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vsd" ContentType="application/vnd.visio"/>
  <Default Extension="vsdx" ContentType="application/vnd.ms-visio.drawing"/>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4.xml" ContentType="application/vnd.openxmlformats-officedocument.wordprocessingml.header+xml"/>
  <Override PartName="/word/footer1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footer20.xml" ContentType="application/vnd.openxmlformats-officedocument.wordprocessingml.footer+xml"/>
  <Override PartName="/word/footer21.xml" ContentType="application/vnd.openxmlformats-officedocument.wordprocessingml.footer+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drawings/drawing1.xml" ContentType="application/vnd.openxmlformats-officedocument.drawingml.chartshapes+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drawings/drawing2.xml" ContentType="application/vnd.openxmlformats-officedocument.drawingml.chartshapes+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charts/chart9.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10.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11.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12.xml" ContentType="application/vnd.openxmlformats-officedocument.drawingml.chart+xml"/>
  <Override PartName="/word/charts/style4.xml" ContentType="application/vnd.ms-office.chartstyle+xml"/>
  <Override PartName="/word/charts/colors4.xml" ContentType="application/vnd.ms-office.chartcolorstyle+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charts/chart13.xml" ContentType="application/vnd.openxmlformats-officedocument.drawingml.chart+xml"/>
  <Override PartName="/word/theme/themeOverride9.xml" ContentType="application/vnd.openxmlformats-officedocument.themeOverride+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FE48F09" w14:textId="065D1E55" w:rsidR="006E0A2C" w:rsidRPr="00BE78CA" w:rsidRDefault="000E497C" w:rsidP="006E0A2C">
      <w:pPr>
        <w:rPr>
          <w:rFonts w:cs="Calibri"/>
        </w:rPr>
      </w:pPr>
      <w:r w:rsidRPr="00BE78CA">
        <w:rPr>
          <w:noProof/>
        </w:rPr>
        <w:drawing>
          <wp:anchor distT="0" distB="0" distL="114300" distR="114300" simplePos="0" relativeHeight="251659264" behindDoc="1" locked="0" layoutInCell="1" allowOverlap="1" wp14:anchorId="1DB69DFB" wp14:editId="67001D4D">
            <wp:simplePos x="0" y="0"/>
            <wp:positionH relativeFrom="column">
              <wp:posOffset>-995321</wp:posOffset>
            </wp:positionH>
            <wp:positionV relativeFrom="paragraph">
              <wp:posOffset>-3591825</wp:posOffset>
            </wp:positionV>
            <wp:extent cx="7639242" cy="10731261"/>
            <wp:effectExtent l="0" t="0" r="0" b="0"/>
            <wp:wrapNone/>
            <wp:docPr id="3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7644199" cy="1073822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5028BB" w14:textId="77777777" w:rsidR="006E0A2C" w:rsidRPr="00BE78CA" w:rsidRDefault="006E0A2C" w:rsidP="006E0A2C">
      <w:pPr>
        <w:rPr>
          <w:rFonts w:cs="Calibri"/>
        </w:rPr>
        <w:sectPr w:rsidR="006E0A2C" w:rsidRPr="00BE78CA" w:rsidSect="00872795">
          <w:headerReference w:type="default" r:id="rId9"/>
          <w:footerReference w:type="default" r:id="rId10"/>
          <w:pgSz w:w="11907" w:h="16840" w:code="9"/>
          <w:pgMar w:top="5670" w:right="1418" w:bottom="1701" w:left="1418" w:header="567" w:footer="567" w:gutter="0"/>
          <w:cols w:space="720"/>
        </w:sectPr>
      </w:pPr>
    </w:p>
    <w:p w14:paraId="1816E01E" w14:textId="75EBE904" w:rsidR="006968BB" w:rsidRPr="00BE78CA" w:rsidRDefault="006968BB" w:rsidP="00AE71AD">
      <w:pPr>
        <w:pStyle w:val="Imprint"/>
      </w:pPr>
      <w:r w:rsidRPr="00BE78CA">
        <w:lastRenderedPageBreak/>
        <w:t xml:space="preserve">This document may be cited as: Ministry for the Environment. </w:t>
      </w:r>
      <w:r w:rsidR="00965181" w:rsidRPr="00BE78CA">
        <w:t>2021</w:t>
      </w:r>
      <w:r w:rsidRPr="00BE78CA">
        <w:t xml:space="preserve">. </w:t>
      </w:r>
      <w:r w:rsidR="00965181" w:rsidRPr="00BE78CA">
        <w:rPr>
          <w:i/>
          <w:iCs/>
        </w:rPr>
        <w:t>New Zealand’s Greenhouse Gas Inventory 1990–2019.</w:t>
      </w:r>
      <w:r w:rsidRPr="00BE78CA">
        <w:t xml:space="preserve"> Wellington: Ministry for the Environment.</w:t>
      </w:r>
    </w:p>
    <w:p w14:paraId="1E447E06" w14:textId="77777777" w:rsidR="006968BB" w:rsidRPr="00BE78CA" w:rsidRDefault="006968BB" w:rsidP="00AE71AD">
      <w:pPr>
        <w:pStyle w:val="Imprint"/>
      </w:pPr>
    </w:p>
    <w:p w14:paraId="4B431A13" w14:textId="77777777" w:rsidR="006968BB" w:rsidRPr="00BE78CA" w:rsidRDefault="006968BB" w:rsidP="00AE71AD">
      <w:pPr>
        <w:pStyle w:val="Imprint"/>
      </w:pPr>
    </w:p>
    <w:p w14:paraId="4A27D5D8" w14:textId="77777777" w:rsidR="006968BB" w:rsidRPr="00BE78CA" w:rsidRDefault="006968BB" w:rsidP="00AE71AD">
      <w:pPr>
        <w:pStyle w:val="Imprint"/>
      </w:pPr>
    </w:p>
    <w:p w14:paraId="3E9C4F04" w14:textId="77777777" w:rsidR="006968BB" w:rsidRPr="00BE78CA" w:rsidRDefault="006968BB" w:rsidP="00AE71AD">
      <w:pPr>
        <w:pStyle w:val="Imprint"/>
      </w:pPr>
    </w:p>
    <w:p w14:paraId="6E7B9885" w14:textId="77777777" w:rsidR="006968BB" w:rsidRPr="00BE78CA" w:rsidRDefault="006968BB" w:rsidP="00AE71AD">
      <w:pPr>
        <w:pStyle w:val="Imprint"/>
      </w:pPr>
    </w:p>
    <w:p w14:paraId="3BDC3A09" w14:textId="77777777" w:rsidR="006968BB" w:rsidRPr="00BE78CA" w:rsidRDefault="006968BB" w:rsidP="00AE71AD">
      <w:pPr>
        <w:pStyle w:val="Imprint"/>
      </w:pPr>
    </w:p>
    <w:p w14:paraId="65C3C925" w14:textId="77777777" w:rsidR="006968BB" w:rsidRPr="00BE78CA" w:rsidRDefault="006968BB" w:rsidP="00AE71AD">
      <w:pPr>
        <w:pStyle w:val="Imprint"/>
      </w:pPr>
    </w:p>
    <w:p w14:paraId="19CA4551" w14:textId="77777777" w:rsidR="006968BB" w:rsidRPr="00BE78CA" w:rsidRDefault="006968BB" w:rsidP="00AE71AD">
      <w:pPr>
        <w:pStyle w:val="Imprint"/>
      </w:pPr>
    </w:p>
    <w:p w14:paraId="32FC779E" w14:textId="77777777" w:rsidR="006968BB" w:rsidRPr="00BE78CA" w:rsidRDefault="006968BB" w:rsidP="00AE71AD">
      <w:pPr>
        <w:pStyle w:val="Imprint"/>
      </w:pPr>
    </w:p>
    <w:p w14:paraId="15B64FA6" w14:textId="77777777" w:rsidR="006968BB" w:rsidRPr="00BE78CA" w:rsidRDefault="006968BB" w:rsidP="00AE71AD">
      <w:pPr>
        <w:pStyle w:val="Imprint"/>
      </w:pPr>
    </w:p>
    <w:p w14:paraId="237B9CEA" w14:textId="77777777" w:rsidR="006968BB" w:rsidRPr="00BE78CA" w:rsidRDefault="006968BB" w:rsidP="00AE71AD">
      <w:pPr>
        <w:pStyle w:val="Imprint"/>
      </w:pPr>
    </w:p>
    <w:p w14:paraId="1607487F" w14:textId="45EE2825" w:rsidR="006968BB" w:rsidRPr="00BE78CA" w:rsidRDefault="006968BB" w:rsidP="00AE71AD">
      <w:pPr>
        <w:pStyle w:val="Imprint"/>
      </w:pPr>
    </w:p>
    <w:p w14:paraId="298EA0B6" w14:textId="77777777" w:rsidR="006968BB" w:rsidRPr="00BE78CA" w:rsidRDefault="006968BB" w:rsidP="00AE71AD">
      <w:pPr>
        <w:pStyle w:val="Imprint"/>
      </w:pPr>
    </w:p>
    <w:p w14:paraId="770CED07" w14:textId="77777777" w:rsidR="006968BB" w:rsidRPr="00BE78CA" w:rsidRDefault="006968BB" w:rsidP="00AE71AD">
      <w:pPr>
        <w:pStyle w:val="Imprint"/>
      </w:pPr>
    </w:p>
    <w:p w14:paraId="6A3D3960" w14:textId="77777777" w:rsidR="00F4306B" w:rsidRPr="00BE78CA" w:rsidRDefault="00F4306B" w:rsidP="00AE47C0">
      <w:pPr>
        <w:pStyle w:val="BodyText"/>
        <w:spacing w:before="0" w:after="0"/>
      </w:pPr>
    </w:p>
    <w:p w14:paraId="236B6233" w14:textId="6C75474D" w:rsidR="0034248F" w:rsidRPr="00BE78CA" w:rsidRDefault="0034248F" w:rsidP="0034248F">
      <w:pPr>
        <w:pStyle w:val="BodyText"/>
      </w:pPr>
      <w:r w:rsidRPr="00BE78CA">
        <w:t>Volume 1, Chapters 1–15</w:t>
      </w:r>
    </w:p>
    <w:p w14:paraId="451E0CE5" w14:textId="038B4A66" w:rsidR="00965181" w:rsidRPr="00BE78CA" w:rsidRDefault="0096512C" w:rsidP="00965181">
      <w:pPr>
        <w:pStyle w:val="BodyText"/>
      </w:pPr>
      <w:r w:rsidRPr="00BE78CA">
        <w:rPr>
          <w:rFonts w:cs="Calibri"/>
        </w:rPr>
        <w:t xml:space="preserve">Submitted to the United Nations </w:t>
      </w:r>
      <w:r w:rsidRPr="00BE78CA">
        <w:rPr>
          <w:rFonts w:cs="Calibri"/>
        </w:rPr>
        <w:br/>
        <w:t>Framework Convention on Climate Change</w:t>
      </w:r>
      <w:r w:rsidR="00325692" w:rsidRPr="00BE78CA">
        <w:rPr>
          <w:rFonts w:cs="Calibri"/>
        </w:rPr>
        <w:br/>
        <w:t xml:space="preserve">in </w:t>
      </w:r>
      <w:r w:rsidR="001E3764" w:rsidRPr="00BE78CA">
        <w:rPr>
          <w:rFonts w:cs="Calibri"/>
        </w:rPr>
        <w:t>April 2021</w:t>
      </w:r>
      <w:r w:rsidRPr="00BE78CA">
        <w:rPr>
          <w:rFonts w:cs="Calibri"/>
        </w:rPr>
        <w:br/>
      </w:r>
    </w:p>
    <w:p w14:paraId="7D699F07" w14:textId="3C78E390" w:rsidR="0096512C" w:rsidRPr="00BE78CA" w:rsidRDefault="0034248F" w:rsidP="00AE71AD">
      <w:pPr>
        <w:pStyle w:val="Imprint"/>
      </w:pPr>
      <w:r w:rsidRPr="00BE78CA">
        <w:t>Published in April 2021 by the</w:t>
      </w:r>
      <w:r w:rsidRPr="00BE78CA">
        <w:br/>
      </w:r>
      <w:r w:rsidR="0096512C" w:rsidRPr="00BE78CA">
        <w:t xml:space="preserve">Ministry for the Environment </w:t>
      </w:r>
      <w:r w:rsidR="0096512C" w:rsidRPr="00BE78CA">
        <w:br/>
        <w:t>Manatū Mō Te Taiao</w:t>
      </w:r>
      <w:r w:rsidR="0096512C" w:rsidRPr="00BE78CA">
        <w:br/>
        <w:t>PO Box 10-362, Wellington, New Zealand</w:t>
      </w:r>
    </w:p>
    <w:p w14:paraId="2F2F546B" w14:textId="19B5CEBE" w:rsidR="006968BB" w:rsidRPr="00BE78CA" w:rsidRDefault="0083531E" w:rsidP="00AE71AD">
      <w:pPr>
        <w:pStyle w:val="Imprint"/>
      </w:pPr>
      <w:r w:rsidRPr="00BE78CA">
        <w:t xml:space="preserve">ISSN: 1179-223X (electronic) </w:t>
      </w:r>
      <w:r w:rsidR="006968BB" w:rsidRPr="00BE78CA">
        <w:br/>
        <w:t>Publication number: ME 1559</w:t>
      </w:r>
    </w:p>
    <w:p w14:paraId="05CFFA29" w14:textId="698DFF18" w:rsidR="006968BB" w:rsidRPr="00BE78CA" w:rsidRDefault="006968BB" w:rsidP="00AE71AD">
      <w:pPr>
        <w:pStyle w:val="Imprint"/>
      </w:pPr>
      <w:bookmarkStart w:id="0" w:name="_Toc405448082"/>
      <w:bookmarkStart w:id="1" w:name="_Toc414531614"/>
      <w:r w:rsidRPr="00BE78CA">
        <w:t>© Crown copyright New Zealand 2021</w:t>
      </w:r>
    </w:p>
    <w:p w14:paraId="0780328F" w14:textId="7BCF01A7" w:rsidR="003412D0" w:rsidRPr="00BE78CA" w:rsidRDefault="00AE47C0" w:rsidP="00F4306B">
      <w:pPr>
        <w:spacing w:after="240"/>
      </w:pPr>
      <w:r w:rsidRPr="00BE78CA">
        <w:t>Cover photo: Ministry for the Environment, Caterina Joseph</w:t>
      </w:r>
    </w:p>
    <w:p w14:paraId="6B3E4022" w14:textId="77777777" w:rsidR="00E024F7" w:rsidRPr="00BE78CA" w:rsidRDefault="006968BB" w:rsidP="000E497C">
      <w:pPr>
        <w:sectPr w:rsidR="00E024F7" w:rsidRPr="00BE78CA" w:rsidSect="00F17C43">
          <w:footerReference w:type="even" r:id="rId11"/>
          <w:footerReference w:type="default" r:id="rId12"/>
          <w:pgSz w:w="11907" w:h="16840" w:code="9"/>
          <w:pgMar w:top="1985" w:right="1701" w:bottom="1134" w:left="1701" w:header="567" w:footer="567" w:gutter="0"/>
          <w:pgNumType w:fmt="lowerRoman"/>
          <w:cols w:space="720"/>
        </w:sectPr>
      </w:pPr>
      <w:r w:rsidRPr="00BE78CA">
        <w:t xml:space="preserve">This document is available on the Ministry for the Environment website: </w:t>
      </w:r>
      <w:r w:rsidR="0034248F" w:rsidRPr="00BE78CA">
        <w:br/>
      </w:r>
      <w:hyperlink r:id="rId13" w:history="1">
        <w:r w:rsidR="0034248F" w:rsidRPr="00BE78CA">
          <w:rPr>
            <w:rStyle w:val="Hyperlink"/>
            <w:color w:val="32809C"/>
          </w:rPr>
          <w:t>www.environment.govt.nz</w:t>
        </w:r>
      </w:hyperlink>
      <w:r w:rsidRPr="00BE78CA">
        <w:t>.</w:t>
      </w:r>
    </w:p>
    <w:p w14:paraId="6D5E4FEE" w14:textId="77777777" w:rsidR="00347D21" w:rsidRPr="00BE78CA" w:rsidRDefault="00347D21" w:rsidP="00347D21">
      <w:pPr>
        <w:pStyle w:val="Heading1"/>
      </w:pPr>
      <w:bookmarkStart w:id="2" w:name="_Toc451345933"/>
      <w:bookmarkStart w:id="3" w:name="_Toc482790670"/>
      <w:bookmarkStart w:id="4" w:name="_Toc511116554"/>
      <w:bookmarkStart w:id="5" w:name="_Toc5269316"/>
      <w:bookmarkStart w:id="6" w:name="_Toc36224354"/>
      <w:bookmarkStart w:id="7" w:name="_Toc68786274"/>
      <w:r w:rsidRPr="00BE78CA">
        <w:lastRenderedPageBreak/>
        <w:t>Acknowledgements</w:t>
      </w:r>
      <w:bookmarkEnd w:id="2"/>
      <w:bookmarkEnd w:id="3"/>
      <w:bookmarkEnd w:id="4"/>
      <w:bookmarkEnd w:id="5"/>
      <w:bookmarkEnd w:id="6"/>
      <w:bookmarkEnd w:id="7"/>
    </w:p>
    <w:p w14:paraId="562D3F9E" w14:textId="77777777" w:rsidR="00347D21" w:rsidRPr="00BE78CA" w:rsidRDefault="00347D21" w:rsidP="00347D21">
      <w:pPr>
        <w:pStyle w:val="BodyText"/>
      </w:pPr>
      <w:r w:rsidRPr="00BE78CA">
        <w:t>The Ministry for the Environment thanks and acknowledges the many experts from central and local government agencies, industry and science organisations that contributed to the development of this inventory.</w:t>
      </w:r>
    </w:p>
    <w:p w14:paraId="20EE6871" w14:textId="77777777" w:rsidR="00347D21" w:rsidRPr="00BE78CA" w:rsidRDefault="00347D21" w:rsidP="00347D21">
      <w:pPr>
        <w:pStyle w:val="Heading6"/>
      </w:pPr>
      <w:r w:rsidRPr="00BE78CA">
        <w:t>Key contributors</w:t>
      </w:r>
    </w:p>
    <w:p w14:paraId="75297AEF" w14:textId="77777777" w:rsidR="00347D21" w:rsidRPr="00BE78CA" w:rsidRDefault="00347D21" w:rsidP="00347D21">
      <w:pPr>
        <w:spacing w:before="200"/>
        <w:rPr>
          <w:b/>
          <w:i/>
        </w:rPr>
      </w:pPr>
      <w:r w:rsidRPr="00BE78CA">
        <w:rPr>
          <w:b/>
          <w:i/>
        </w:rPr>
        <w:t xml:space="preserve">Ministry for the Environment </w:t>
      </w:r>
    </w:p>
    <w:p w14:paraId="535E1264" w14:textId="7DEB2132" w:rsidR="00347D21" w:rsidRPr="00BE78CA" w:rsidRDefault="00347D21" w:rsidP="00627326">
      <w:pPr>
        <w:pStyle w:val="BodyText"/>
        <w:spacing w:before="80" w:after="0"/>
      </w:pPr>
      <w:r w:rsidRPr="00BE78CA">
        <w:t>Caterina Joseph (National Inventory Focal Point, National Inventory Compiler, cross</w:t>
      </w:r>
      <w:r w:rsidR="00FE0A6E" w:rsidRPr="00BE78CA">
        <w:noBreakHyphen/>
      </w:r>
      <w:r w:rsidRPr="00BE78CA">
        <w:t>sector</w:t>
      </w:r>
      <w:r w:rsidR="00FE0A6E" w:rsidRPr="00BE78CA">
        <w:t> </w:t>
      </w:r>
      <w:r w:rsidRPr="00BE78CA">
        <w:t>analyses)</w:t>
      </w:r>
    </w:p>
    <w:p w14:paraId="5AF47200" w14:textId="609688BC" w:rsidR="00347D21" w:rsidRPr="00BE78CA" w:rsidRDefault="00347D21" w:rsidP="00627326">
      <w:pPr>
        <w:pStyle w:val="BodyText"/>
        <w:spacing w:before="80" w:after="0"/>
      </w:pPr>
      <w:r w:rsidRPr="00BE78CA">
        <w:t>Chris Bean (Technical Lead, quality assurance and quality control (QA/QC) manager, Waste,</w:t>
      </w:r>
      <w:r w:rsidR="00FE0A6E" w:rsidRPr="00BE78CA">
        <w:t> </w:t>
      </w:r>
      <w:r w:rsidRPr="00BE78CA">
        <w:t>Tokelau, cross-sector analyses)</w:t>
      </w:r>
    </w:p>
    <w:p w14:paraId="6EC64483" w14:textId="77777777" w:rsidR="00347D21" w:rsidRPr="00BE78CA" w:rsidRDefault="00347D21" w:rsidP="00627326">
      <w:pPr>
        <w:pStyle w:val="BodyText"/>
        <w:spacing w:before="80" w:after="0"/>
        <w:rPr>
          <w:b/>
        </w:rPr>
      </w:pPr>
      <w:r w:rsidRPr="00BE78CA">
        <w:t>Ted Jamieson</w:t>
      </w:r>
      <w:r w:rsidRPr="00BE78CA">
        <w:rPr>
          <w:i/>
        </w:rPr>
        <w:t xml:space="preserve"> </w:t>
      </w:r>
      <w:r w:rsidRPr="00BE78CA">
        <w:t>(Industrial Processes and Product Use (IPPU))</w:t>
      </w:r>
    </w:p>
    <w:p w14:paraId="473F3F9D" w14:textId="4F7F5EC6" w:rsidR="00347D21" w:rsidRPr="00BE78CA" w:rsidRDefault="00347D21" w:rsidP="00627326">
      <w:pPr>
        <w:pStyle w:val="BodyText"/>
        <w:spacing w:before="80" w:after="0"/>
      </w:pPr>
      <w:r w:rsidRPr="00BE78CA">
        <w:t>Heather Martindale (Land Use, Land</w:t>
      </w:r>
      <w:r w:rsidR="00754D3F" w:rsidRPr="00BE78CA">
        <w:t>-</w:t>
      </w:r>
      <w:r w:rsidRPr="00BE78CA">
        <w:t>Use Change and Forestry (LULUCF) and Kyoto Protocol (KP-LULUCF))</w:t>
      </w:r>
    </w:p>
    <w:p w14:paraId="607844C6" w14:textId="77777777" w:rsidR="00347D21" w:rsidRPr="00BE78CA" w:rsidRDefault="00347D21" w:rsidP="00627326">
      <w:pPr>
        <w:pStyle w:val="BodyText"/>
        <w:spacing w:before="80" w:after="0"/>
      </w:pPr>
      <w:r w:rsidRPr="00BE78CA">
        <w:t>Ivan Chirino-Valle (Waste, QA/QC, cross-sector analyses)</w:t>
      </w:r>
    </w:p>
    <w:p w14:paraId="00F33880" w14:textId="77777777" w:rsidR="00347D21" w:rsidRPr="00BE78CA" w:rsidRDefault="00347D21" w:rsidP="00627326">
      <w:pPr>
        <w:pStyle w:val="BodyText"/>
        <w:spacing w:before="80" w:after="0"/>
      </w:pPr>
      <w:r w:rsidRPr="00BE78CA">
        <w:t>Zavia Hands-Smith (IPPU, QA/QC, cross-sector analyses, automation)</w:t>
      </w:r>
    </w:p>
    <w:p w14:paraId="0DCB2E71" w14:textId="77777777" w:rsidR="00347D21" w:rsidRPr="00BE78CA" w:rsidRDefault="00347D21" w:rsidP="00627326">
      <w:pPr>
        <w:pStyle w:val="BodyText"/>
        <w:spacing w:before="80" w:after="0"/>
      </w:pPr>
      <w:r w:rsidRPr="00BE78CA">
        <w:t>Kathryn Slaven (Tokelau, cross-sector analyses)</w:t>
      </w:r>
    </w:p>
    <w:p w14:paraId="46C15169" w14:textId="77777777" w:rsidR="00347D21" w:rsidRPr="00BE78CA" w:rsidRDefault="00347D21" w:rsidP="00627326">
      <w:pPr>
        <w:pStyle w:val="BodyText"/>
        <w:spacing w:before="80" w:after="0"/>
      </w:pPr>
      <w:r w:rsidRPr="00BE78CA">
        <w:t>Antony Gomez, Daniel Lawrence and Bridget McNeill (cross-sector analyses, automation)</w:t>
      </w:r>
    </w:p>
    <w:p w14:paraId="015CFC82" w14:textId="77777777" w:rsidR="00347D21" w:rsidRPr="00BE78CA" w:rsidRDefault="00347D21" w:rsidP="00627326">
      <w:pPr>
        <w:pStyle w:val="BodyText"/>
        <w:spacing w:before="80" w:after="0"/>
      </w:pPr>
      <w:r w:rsidRPr="00BE78CA">
        <w:t>Helen Plume (principal reviewer: cross-sector analyses, general advice and guidance)</w:t>
      </w:r>
    </w:p>
    <w:p w14:paraId="674FAA71" w14:textId="77777777" w:rsidR="00347D21" w:rsidRPr="00BE78CA" w:rsidRDefault="00347D21" w:rsidP="00627326">
      <w:pPr>
        <w:pStyle w:val="BodyText"/>
        <w:spacing w:before="80" w:after="0"/>
      </w:pPr>
      <w:r w:rsidRPr="00BE78CA">
        <w:t>Charissa Billings (supplementary products)</w:t>
      </w:r>
    </w:p>
    <w:p w14:paraId="764A9920" w14:textId="77777777" w:rsidR="00347D21" w:rsidRPr="00BE78CA" w:rsidRDefault="00347D21" w:rsidP="00627326">
      <w:pPr>
        <w:pStyle w:val="BodyText"/>
        <w:spacing w:before="80" w:after="0"/>
      </w:pPr>
      <w:r w:rsidRPr="00BE78CA">
        <w:t>Marion Sorez (planning and monitoring)</w:t>
      </w:r>
    </w:p>
    <w:p w14:paraId="26E15165" w14:textId="77777777" w:rsidR="00347D21" w:rsidRPr="00BE78CA" w:rsidRDefault="00347D21" w:rsidP="00627326">
      <w:pPr>
        <w:pStyle w:val="BodyText"/>
        <w:spacing w:before="80" w:after="0"/>
      </w:pPr>
      <w:r w:rsidRPr="00BE78CA">
        <w:t>Robert McClean and Katherine Wilson (general advice and guidance)</w:t>
      </w:r>
    </w:p>
    <w:p w14:paraId="2CFC5168" w14:textId="0049C10B" w:rsidR="00347D21" w:rsidRPr="00BE78CA" w:rsidRDefault="00347D21" w:rsidP="00627326">
      <w:pPr>
        <w:pStyle w:val="BodyText"/>
        <w:spacing w:before="80" w:after="0"/>
      </w:pPr>
      <w:r w:rsidRPr="00BE78CA">
        <w:t>Alicia Collier, Paloma Hartevelt, Katrina Walsh and Emily Wikingi (communications and</w:t>
      </w:r>
      <w:r w:rsidR="00627326" w:rsidRPr="00BE78CA">
        <w:t> </w:t>
      </w:r>
      <w:r w:rsidRPr="00BE78CA">
        <w:t>publishing)</w:t>
      </w:r>
    </w:p>
    <w:p w14:paraId="66CBC1B8" w14:textId="77777777" w:rsidR="00347D21" w:rsidRPr="00BE78CA" w:rsidRDefault="00347D21" w:rsidP="00347D21">
      <w:pPr>
        <w:spacing w:before="200"/>
        <w:rPr>
          <w:b/>
          <w:i/>
        </w:rPr>
      </w:pPr>
      <w:r w:rsidRPr="00BE78CA">
        <w:rPr>
          <w:b/>
          <w:i/>
        </w:rPr>
        <w:t>Ministry for Primary Industries</w:t>
      </w:r>
    </w:p>
    <w:p w14:paraId="31D39FDD" w14:textId="77777777" w:rsidR="00347D21" w:rsidRPr="00BE78CA" w:rsidRDefault="00347D21" w:rsidP="00582408">
      <w:pPr>
        <w:pStyle w:val="BodyText"/>
        <w:spacing w:before="80" w:after="0"/>
        <w:rPr>
          <w:iCs/>
        </w:rPr>
      </w:pPr>
      <w:r w:rsidRPr="00BE78CA">
        <w:t>Ben Morrow, Melini Navunisaravi, Joel Gibbs and Hazelle Tomlin (Agriculture)</w:t>
      </w:r>
    </w:p>
    <w:p w14:paraId="1EA8A9F8" w14:textId="77777777" w:rsidR="00347D21" w:rsidRPr="00BE78CA" w:rsidRDefault="00347D21" w:rsidP="00347D21">
      <w:pPr>
        <w:spacing w:before="200"/>
        <w:rPr>
          <w:b/>
          <w:i/>
        </w:rPr>
      </w:pPr>
      <w:r w:rsidRPr="00BE78CA">
        <w:rPr>
          <w:b/>
          <w:i/>
        </w:rPr>
        <w:t>Ministry of Business, Innovation and Employment</w:t>
      </w:r>
    </w:p>
    <w:p w14:paraId="478D49EA" w14:textId="77777777" w:rsidR="00347D21" w:rsidRPr="00BE78CA" w:rsidRDefault="00347D21" w:rsidP="00627326">
      <w:pPr>
        <w:pStyle w:val="BodyText"/>
        <w:spacing w:before="80" w:after="0"/>
      </w:pPr>
      <w:r w:rsidRPr="00BE78CA">
        <w:t>Michael Smith and Finbar Maunsell (Energy, IPPU: carbon dioxide)</w:t>
      </w:r>
    </w:p>
    <w:p w14:paraId="1259600A" w14:textId="77777777" w:rsidR="00347D21" w:rsidRPr="00BE78CA" w:rsidRDefault="00347D21" w:rsidP="00582408">
      <w:pPr>
        <w:pStyle w:val="BodyText"/>
        <w:spacing w:before="80" w:after="0"/>
      </w:pPr>
      <w:r w:rsidRPr="00BE78CA">
        <w:t>Jim Fick (QA/QC: Energy)</w:t>
      </w:r>
    </w:p>
    <w:p w14:paraId="09C624CC" w14:textId="77777777" w:rsidR="00347D21" w:rsidRPr="00BE78CA" w:rsidRDefault="00347D21" w:rsidP="00347D21">
      <w:pPr>
        <w:spacing w:before="200"/>
        <w:rPr>
          <w:b/>
          <w:i/>
        </w:rPr>
      </w:pPr>
      <w:r w:rsidRPr="00BE78CA">
        <w:rPr>
          <w:b/>
          <w:i/>
        </w:rPr>
        <w:t>Environmental Protection Authority</w:t>
      </w:r>
    </w:p>
    <w:p w14:paraId="117E4C53" w14:textId="77777777" w:rsidR="00347D21" w:rsidRPr="00BE78CA" w:rsidRDefault="00347D21" w:rsidP="00627326">
      <w:pPr>
        <w:pStyle w:val="BodyText"/>
        <w:spacing w:before="80" w:after="0"/>
      </w:pPr>
      <w:r w:rsidRPr="00BE78CA">
        <w:t>Dave Stuart and Cindy Yap (National Registry)</w:t>
      </w:r>
    </w:p>
    <w:p w14:paraId="3542D80E" w14:textId="77777777" w:rsidR="00347D21" w:rsidRPr="00BE78CA" w:rsidRDefault="00347D21" w:rsidP="00582408">
      <w:pPr>
        <w:pStyle w:val="BodyText"/>
        <w:spacing w:before="80" w:after="0"/>
      </w:pPr>
      <w:r w:rsidRPr="00BE78CA">
        <w:t>Dave Hodson (National Registry, QA/QC: IPPU)</w:t>
      </w:r>
    </w:p>
    <w:p w14:paraId="60676B00" w14:textId="77777777" w:rsidR="00347D21" w:rsidRPr="00BE78CA" w:rsidRDefault="00347D21" w:rsidP="00347D21">
      <w:pPr>
        <w:spacing w:before="200"/>
        <w:rPr>
          <w:b/>
          <w:bCs/>
          <w:i/>
          <w:iCs/>
        </w:rPr>
      </w:pPr>
      <w:r w:rsidRPr="00BE78CA">
        <w:rPr>
          <w:b/>
          <w:bCs/>
          <w:i/>
          <w:iCs/>
        </w:rPr>
        <w:t>Ministry of Foreign Affairs and Trade</w:t>
      </w:r>
    </w:p>
    <w:p w14:paraId="7A80B7A3" w14:textId="77777777" w:rsidR="00347D21" w:rsidRPr="00BE78CA" w:rsidRDefault="00347D21" w:rsidP="00582408">
      <w:pPr>
        <w:pStyle w:val="BodyText"/>
        <w:spacing w:before="80" w:after="0"/>
      </w:pPr>
      <w:r w:rsidRPr="00BE78CA">
        <w:t>Victoria Thomson (Information on Minimisation of Adverse Impacts)</w:t>
      </w:r>
    </w:p>
    <w:p w14:paraId="3711E3D9" w14:textId="77777777" w:rsidR="00347D21" w:rsidRPr="00BE78CA" w:rsidRDefault="00347D21" w:rsidP="002F5FD5">
      <w:pPr>
        <w:keepNext/>
        <w:spacing w:before="200"/>
        <w:rPr>
          <w:b/>
          <w:i/>
        </w:rPr>
      </w:pPr>
      <w:r w:rsidRPr="00BE78CA">
        <w:rPr>
          <w:b/>
          <w:i/>
        </w:rPr>
        <w:lastRenderedPageBreak/>
        <w:t>Tokelau Government</w:t>
      </w:r>
    </w:p>
    <w:p w14:paraId="445ECA95" w14:textId="77777777" w:rsidR="00347D21" w:rsidRPr="00BE78CA" w:rsidRDefault="00347D21" w:rsidP="002F5FD5">
      <w:pPr>
        <w:pStyle w:val="BodyText"/>
        <w:keepNext/>
        <w:spacing w:before="80" w:after="0"/>
      </w:pPr>
      <w:r w:rsidRPr="00BE78CA">
        <w:t>Kele Lui, Tokelau Ministry of Climate, Oceans and Resilience (general advice and guidance)</w:t>
      </w:r>
    </w:p>
    <w:p w14:paraId="038E8C4D" w14:textId="77777777" w:rsidR="00347D21" w:rsidRPr="00BE78CA" w:rsidRDefault="00347D21" w:rsidP="002F5FD5">
      <w:pPr>
        <w:pStyle w:val="BodyText"/>
        <w:keepNext/>
        <w:spacing w:before="80" w:after="0"/>
      </w:pPr>
      <w:r w:rsidRPr="00BE78CA">
        <w:t>Celine Lose, Tokelau Ministry of Climate, Oceans and Resilience (general advice and guidance)</w:t>
      </w:r>
    </w:p>
    <w:p w14:paraId="0EA9151B" w14:textId="77777777" w:rsidR="00347D21" w:rsidRPr="00BE78CA" w:rsidRDefault="00347D21" w:rsidP="00582408">
      <w:pPr>
        <w:pStyle w:val="BodyText"/>
        <w:spacing w:before="80" w:after="0"/>
      </w:pPr>
      <w:r w:rsidRPr="00BE78CA">
        <w:t>Paula Faiva, Tokelau Ministry of Climate, Oceans and Resilience (general advice and guidance)</w:t>
      </w:r>
    </w:p>
    <w:p w14:paraId="079B69F4" w14:textId="77777777" w:rsidR="00347D21" w:rsidRPr="00BE78CA" w:rsidRDefault="00347D21" w:rsidP="002F5FD5">
      <w:pPr>
        <w:pStyle w:val="BodyText"/>
        <w:spacing w:before="80" w:after="80"/>
      </w:pPr>
      <w:r w:rsidRPr="00BE78CA">
        <w:t>Penehuro Lefale, LeA International (peer review, general advice and guidance)</w:t>
      </w:r>
    </w:p>
    <w:p w14:paraId="703C7181" w14:textId="77777777" w:rsidR="00347D21" w:rsidRPr="00BE78CA" w:rsidRDefault="00347D21" w:rsidP="002F5FD5">
      <w:pPr>
        <w:keepNext/>
        <w:spacing w:before="240" w:after="60"/>
        <w:outlineLvl w:val="5"/>
        <w:rPr>
          <w:b/>
          <w:iCs/>
        </w:rPr>
      </w:pPr>
      <w:r w:rsidRPr="00BE78CA">
        <w:rPr>
          <w:b/>
          <w:iCs/>
        </w:rPr>
        <w:t>Technical contributors and contracted specialists</w:t>
      </w:r>
    </w:p>
    <w:p w14:paraId="59DB6716" w14:textId="77777777" w:rsidR="00347D21" w:rsidRPr="00BE78CA" w:rsidRDefault="00347D21" w:rsidP="00347D21">
      <w:pPr>
        <w:keepNext/>
        <w:spacing w:before="80"/>
        <w:rPr>
          <w:b/>
          <w:i/>
        </w:rPr>
      </w:pPr>
      <w:r w:rsidRPr="00BE78CA">
        <w:rPr>
          <w:b/>
          <w:i/>
        </w:rPr>
        <w:t>National compilation and cross-sector analyses</w:t>
      </w:r>
    </w:p>
    <w:p w14:paraId="510E8F55" w14:textId="77777777" w:rsidR="00347D21" w:rsidRPr="00BE78CA" w:rsidRDefault="00347D21" w:rsidP="00582408">
      <w:pPr>
        <w:pStyle w:val="BodyText"/>
        <w:spacing w:before="80" w:after="0"/>
      </w:pPr>
      <w:r w:rsidRPr="00BE78CA">
        <w:t>Olia Glade (Greenhouse Gas Management Institute)</w:t>
      </w:r>
    </w:p>
    <w:p w14:paraId="369D8FA3" w14:textId="77777777" w:rsidR="00347D21" w:rsidRPr="00BE78CA" w:rsidRDefault="00347D21" w:rsidP="00347D21">
      <w:pPr>
        <w:spacing w:before="200"/>
        <w:rPr>
          <w:b/>
          <w:i/>
        </w:rPr>
      </w:pPr>
      <w:r w:rsidRPr="00BE78CA">
        <w:rPr>
          <w:b/>
          <w:i/>
        </w:rPr>
        <w:t>Industrial Processes and Product Use sector</w:t>
      </w:r>
    </w:p>
    <w:p w14:paraId="559C3F4C" w14:textId="77777777" w:rsidR="00347D21" w:rsidRPr="00BE78CA" w:rsidRDefault="00347D21" w:rsidP="00582408">
      <w:pPr>
        <w:pStyle w:val="BodyText"/>
        <w:spacing w:before="80" w:after="0"/>
      </w:pPr>
      <w:r w:rsidRPr="00BE78CA">
        <w:t>Wayne Hennessy (Verum Group)</w:t>
      </w:r>
    </w:p>
    <w:p w14:paraId="663533B4" w14:textId="77777777" w:rsidR="00347D21" w:rsidRPr="00BE78CA" w:rsidRDefault="00347D21" w:rsidP="00347D21">
      <w:pPr>
        <w:keepNext/>
        <w:spacing w:before="200"/>
        <w:rPr>
          <w:b/>
          <w:bCs/>
          <w:i/>
          <w:iCs/>
        </w:rPr>
      </w:pPr>
      <w:r w:rsidRPr="00BE78CA">
        <w:rPr>
          <w:b/>
          <w:i/>
        </w:rPr>
        <w:t xml:space="preserve">Agriculture sector </w:t>
      </w:r>
    </w:p>
    <w:p w14:paraId="220D6C37" w14:textId="77777777" w:rsidR="00347D21" w:rsidRPr="00BE78CA" w:rsidRDefault="00347D21" w:rsidP="00582408">
      <w:pPr>
        <w:pStyle w:val="BodyText"/>
        <w:spacing w:before="80" w:after="0"/>
      </w:pPr>
      <w:r w:rsidRPr="00BE78CA">
        <w:t>Sara Mikaloff-Fletcher and Alex Geddes (National Institute of Water and Atmospheric Research), Donna Giltrap and Stephen McNeill (Manaaki Whenua – Landcare Research), Georgia Glover-Clark, Louis Schipper and David Campbell (University of Waikato)</w:t>
      </w:r>
    </w:p>
    <w:p w14:paraId="77FD3C10" w14:textId="77777777" w:rsidR="00347D21" w:rsidRPr="00BE78CA" w:rsidRDefault="00347D21" w:rsidP="00582408">
      <w:pPr>
        <w:pStyle w:val="BodyText"/>
        <w:spacing w:before="80" w:after="0"/>
      </w:pPr>
      <w:r w:rsidRPr="00BE78CA">
        <w:t>Gerald Rys, Peter Ettema, Mele Tabukovu, Jess Anderson, Marama Findlay, Erin Collier, Jamie Ash, Nina Opacic and Leo Mercer (Ministry for Primary Industries)</w:t>
      </w:r>
    </w:p>
    <w:p w14:paraId="48F639F5" w14:textId="61455944" w:rsidR="00347D21" w:rsidRPr="00BE78CA" w:rsidRDefault="00347D21" w:rsidP="00347D21">
      <w:pPr>
        <w:pStyle w:val="BodyText"/>
        <w:spacing w:before="200" w:after="0"/>
      </w:pPr>
      <w:r w:rsidRPr="00BE78CA">
        <w:rPr>
          <w:b/>
          <w:i/>
        </w:rPr>
        <w:t>Land Use, Land</w:t>
      </w:r>
      <w:r w:rsidR="00754D3F" w:rsidRPr="00BE78CA">
        <w:rPr>
          <w:b/>
          <w:i/>
        </w:rPr>
        <w:t>-</w:t>
      </w:r>
      <w:r w:rsidRPr="00BE78CA">
        <w:rPr>
          <w:b/>
          <w:i/>
        </w:rPr>
        <w:t>Use Change and Forestry sector (LULUCF) and Kyoto Protocol – LULUCF</w:t>
      </w:r>
    </w:p>
    <w:p w14:paraId="291A477E" w14:textId="77777777" w:rsidR="00347D21" w:rsidRPr="00BE78CA" w:rsidRDefault="00347D21" w:rsidP="00582408">
      <w:pPr>
        <w:pStyle w:val="BodyText"/>
        <w:spacing w:before="80" w:after="0"/>
        <w:rPr>
          <w:rFonts w:eastAsia="Calibri"/>
        </w:rPr>
      </w:pPr>
      <w:r w:rsidRPr="00BE78CA">
        <w:rPr>
          <w:rFonts w:eastAsia="Calibri"/>
        </w:rPr>
        <w:t>Deborah Burgess, Charlie Clark, Asher Cook, Michael Cooper, Rachel Innes and Nigel Searles (Ministry for the Environment), Craig Elvidge (Ministry for Primary Industries)</w:t>
      </w:r>
    </w:p>
    <w:p w14:paraId="70357E4B" w14:textId="77777777" w:rsidR="00347D21" w:rsidRPr="00BE78CA" w:rsidRDefault="00347D21" w:rsidP="00347D21">
      <w:pPr>
        <w:spacing w:before="200"/>
        <w:rPr>
          <w:b/>
          <w:i/>
        </w:rPr>
      </w:pPr>
      <w:r w:rsidRPr="00BE78CA">
        <w:rPr>
          <w:b/>
          <w:i/>
        </w:rPr>
        <w:t>Waste sector</w:t>
      </w:r>
    </w:p>
    <w:p w14:paraId="4F3AF510" w14:textId="77777777" w:rsidR="00347D21" w:rsidRPr="00BE78CA" w:rsidRDefault="00347D21" w:rsidP="00582408">
      <w:pPr>
        <w:pStyle w:val="BodyText"/>
        <w:spacing w:before="80" w:after="0"/>
        <w:rPr>
          <w:rFonts w:eastAsia="Calibri"/>
          <w:spacing w:val="-2"/>
        </w:rPr>
      </w:pPr>
      <w:r w:rsidRPr="00BE78CA">
        <w:rPr>
          <w:rFonts w:eastAsia="Calibri"/>
          <w:spacing w:val="-2"/>
        </w:rPr>
        <w:t>Steph Hill (Ministry for the Environment) and Francisco Hernandez (Climate Change Commission)</w:t>
      </w:r>
    </w:p>
    <w:p w14:paraId="23D83D5B" w14:textId="77777777" w:rsidR="00347D21" w:rsidRPr="00BE78CA" w:rsidRDefault="00347D21" w:rsidP="00347D21">
      <w:pPr>
        <w:keepNext/>
        <w:spacing w:before="200"/>
        <w:rPr>
          <w:b/>
          <w:i/>
        </w:rPr>
      </w:pPr>
      <w:r w:rsidRPr="00BE78CA">
        <w:rPr>
          <w:b/>
          <w:i/>
        </w:rPr>
        <w:t>Publication and supplementary products</w:t>
      </w:r>
    </w:p>
    <w:p w14:paraId="39B69E08" w14:textId="77777777" w:rsidR="00347D21" w:rsidRPr="00BE78CA" w:rsidRDefault="00347D21" w:rsidP="00582408">
      <w:pPr>
        <w:pStyle w:val="BodyText"/>
        <w:spacing w:before="80" w:after="0"/>
        <w:rPr>
          <w:rFonts w:eastAsia="Calibri"/>
        </w:rPr>
      </w:pPr>
      <w:r w:rsidRPr="00BE78CA">
        <w:rPr>
          <w:rFonts w:eastAsia="Calibri"/>
        </w:rPr>
        <w:t>Jenny Heine (proof reading and formatting)</w:t>
      </w:r>
    </w:p>
    <w:p w14:paraId="2DD967CF" w14:textId="77777777" w:rsidR="00347D21" w:rsidRPr="00BE78CA" w:rsidRDefault="00347D21" w:rsidP="00582408">
      <w:pPr>
        <w:pStyle w:val="BodyText"/>
        <w:spacing w:before="80" w:after="0"/>
        <w:rPr>
          <w:rFonts w:eastAsia="Calibri"/>
        </w:rPr>
      </w:pPr>
      <w:r w:rsidRPr="00BE78CA">
        <w:rPr>
          <w:rFonts w:eastAsia="Calibri"/>
        </w:rPr>
        <w:t>Typeface (supplementary products: infographics)</w:t>
      </w:r>
    </w:p>
    <w:p w14:paraId="08702DF2" w14:textId="77777777" w:rsidR="00347D21" w:rsidRPr="00BE78CA" w:rsidRDefault="00347D21" w:rsidP="00582408">
      <w:pPr>
        <w:pStyle w:val="BodyText"/>
        <w:spacing w:before="80" w:after="0"/>
        <w:rPr>
          <w:rFonts w:eastAsia="Calibri"/>
        </w:rPr>
      </w:pPr>
      <w:r w:rsidRPr="00BE78CA">
        <w:rPr>
          <w:rFonts w:eastAsia="Calibri"/>
        </w:rPr>
        <w:t>Datacom (supplementary products: emissions tracker)</w:t>
      </w:r>
    </w:p>
    <w:p w14:paraId="366C29B2" w14:textId="77777777" w:rsidR="004574FE" w:rsidRPr="00BE78CA" w:rsidRDefault="004574FE" w:rsidP="00582408">
      <w:pPr>
        <w:pStyle w:val="BodyText"/>
      </w:pPr>
    </w:p>
    <w:p w14:paraId="5FE62477" w14:textId="2C14D640" w:rsidR="000E29E3" w:rsidRPr="00BE78CA" w:rsidRDefault="000E29E3" w:rsidP="00582408">
      <w:pPr>
        <w:pStyle w:val="BodyText"/>
        <w:sectPr w:rsidR="000E29E3" w:rsidRPr="00BE78CA" w:rsidSect="006C3B82">
          <w:footerReference w:type="even" r:id="rId14"/>
          <w:footerReference w:type="default" r:id="rId15"/>
          <w:pgSz w:w="11907" w:h="16840" w:code="9"/>
          <w:pgMar w:top="1418" w:right="1701" w:bottom="1418" w:left="1701" w:header="567" w:footer="567" w:gutter="0"/>
          <w:pgNumType w:fmt="lowerRoman"/>
          <w:cols w:space="720"/>
        </w:sectPr>
      </w:pPr>
    </w:p>
    <w:p w14:paraId="4B4D440E" w14:textId="796AE14B" w:rsidR="00F33E01" w:rsidRPr="00BE78CA" w:rsidRDefault="00F33E01" w:rsidP="00670DF3">
      <w:pPr>
        <w:pStyle w:val="Heading"/>
      </w:pPr>
      <w:r w:rsidRPr="00BE78CA">
        <w:lastRenderedPageBreak/>
        <w:t>Contents</w:t>
      </w:r>
    </w:p>
    <w:p w14:paraId="4BB08979" w14:textId="6D32855D" w:rsidR="00242E8D" w:rsidRDefault="00FE0A6E">
      <w:pPr>
        <w:pStyle w:val="TOC1"/>
        <w:rPr>
          <w:rFonts w:asciiTheme="minorHAnsi" w:eastAsiaTheme="minorEastAsia" w:hAnsiTheme="minorHAnsi" w:cstheme="minorBidi"/>
          <w:noProof/>
          <w:sz w:val="22"/>
        </w:rPr>
      </w:pPr>
      <w:r w:rsidRPr="00BE78CA">
        <w:rPr>
          <w:sz w:val="28"/>
        </w:rPr>
        <w:fldChar w:fldCharType="begin"/>
      </w:r>
      <w:r w:rsidRPr="00BE78CA">
        <w:rPr>
          <w:sz w:val="28"/>
        </w:rPr>
        <w:instrText xml:space="preserve"> TOC \h \z \t "Heading 1,1,Heading 2,2" </w:instrText>
      </w:r>
      <w:r w:rsidRPr="00BE78CA">
        <w:rPr>
          <w:sz w:val="28"/>
        </w:rPr>
        <w:fldChar w:fldCharType="separate"/>
      </w:r>
      <w:hyperlink w:anchor="_Toc68786274" w:history="1">
        <w:r w:rsidR="00242E8D" w:rsidRPr="00702EC9">
          <w:rPr>
            <w:rStyle w:val="Hyperlink"/>
            <w:noProof/>
          </w:rPr>
          <w:t>Acknowledgements</w:t>
        </w:r>
        <w:r w:rsidR="00242E8D">
          <w:rPr>
            <w:noProof/>
            <w:webHidden/>
          </w:rPr>
          <w:tab/>
        </w:r>
        <w:r w:rsidR="00242E8D">
          <w:rPr>
            <w:noProof/>
            <w:webHidden/>
          </w:rPr>
          <w:fldChar w:fldCharType="begin"/>
        </w:r>
        <w:r w:rsidR="00242E8D">
          <w:rPr>
            <w:noProof/>
            <w:webHidden/>
          </w:rPr>
          <w:instrText xml:space="preserve"> PAGEREF _Toc68786274 \h </w:instrText>
        </w:r>
        <w:r w:rsidR="00242E8D">
          <w:rPr>
            <w:noProof/>
            <w:webHidden/>
          </w:rPr>
        </w:r>
        <w:r w:rsidR="00242E8D">
          <w:rPr>
            <w:noProof/>
            <w:webHidden/>
          </w:rPr>
          <w:fldChar w:fldCharType="separate"/>
        </w:r>
        <w:r w:rsidR="00B94D2F">
          <w:rPr>
            <w:noProof/>
            <w:webHidden/>
          </w:rPr>
          <w:t>iii</w:t>
        </w:r>
        <w:r w:rsidR="00242E8D">
          <w:rPr>
            <w:noProof/>
            <w:webHidden/>
          </w:rPr>
          <w:fldChar w:fldCharType="end"/>
        </w:r>
      </w:hyperlink>
    </w:p>
    <w:p w14:paraId="4E96C8D0" w14:textId="1626D1C6" w:rsidR="00242E8D" w:rsidRDefault="00087879">
      <w:pPr>
        <w:pStyle w:val="TOC1"/>
        <w:rPr>
          <w:rFonts w:asciiTheme="minorHAnsi" w:eastAsiaTheme="minorEastAsia" w:hAnsiTheme="minorHAnsi" w:cstheme="minorBidi"/>
          <w:noProof/>
          <w:sz w:val="22"/>
        </w:rPr>
      </w:pPr>
      <w:hyperlink w:anchor="_Toc68786275" w:history="1">
        <w:r w:rsidR="00242E8D" w:rsidRPr="00702EC9">
          <w:rPr>
            <w:rStyle w:val="Hyperlink"/>
            <w:noProof/>
          </w:rPr>
          <w:t>Tables</w:t>
        </w:r>
        <w:r w:rsidR="00242E8D">
          <w:rPr>
            <w:noProof/>
            <w:webHidden/>
          </w:rPr>
          <w:tab/>
        </w:r>
        <w:r w:rsidR="00242E8D">
          <w:rPr>
            <w:noProof/>
            <w:webHidden/>
          </w:rPr>
          <w:fldChar w:fldCharType="begin"/>
        </w:r>
        <w:r w:rsidR="00242E8D">
          <w:rPr>
            <w:noProof/>
            <w:webHidden/>
          </w:rPr>
          <w:instrText xml:space="preserve"> PAGEREF _Toc68786275 \h </w:instrText>
        </w:r>
        <w:r w:rsidR="00242E8D">
          <w:rPr>
            <w:noProof/>
            <w:webHidden/>
          </w:rPr>
        </w:r>
        <w:r w:rsidR="00242E8D">
          <w:rPr>
            <w:noProof/>
            <w:webHidden/>
          </w:rPr>
          <w:fldChar w:fldCharType="separate"/>
        </w:r>
        <w:r w:rsidR="00B94D2F">
          <w:rPr>
            <w:noProof/>
            <w:webHidden/>
          </w:rPr>
          <w:t>ix</w:t>
        </w:r>
        <w:r w:rsidR="00242E8D">
          <w:rPr>
            <w:noProof/>
            <w:webHidden/>
          </w:rPr>
          <w:fldChar w:fldCharType="end"/>
        </w:r>
      </w:hyperlink>
    </w:p>
    <w:p w14:paraId="09A2B5F2" w14:textId="4230A31F" w:rsidR="00242E8D" w:rsidRDefault="00087879">
      <w:pPr>
        <w:pStyle w:val="TOC1"/>
        <w:rPr>
          <w:rFonts w:asciiTheme="minorHAnsi" w:eastAsiaTheme="minorEastAsia" w:hAnsiTheme="minorHAnsi" w:cstheme="minorBidi"/>
          <w:noProof/>
          <w:sz w:val="22"/>
        </w:rPr>
      </w:pPr>
      <w:hyperlink w:anchor="_Toc68786276" w:history="1">
        <w:r w:rsidR="00242E8D" w:rsidRPr="00702EC9">
          <w:rPr>
            <w:rStyle w:val="Hyperlink"/>
            <w:noProof/>
          </w:rPr>
          <w:t>Figures</w:t>
        </w:r>
        <w:r w:rsidR="00242E8D">
          <w:rPr>
            <w:noProof/>
            <w:webHidden/>
          </w:rPr>
          <w:tab/>
        </w:r>
        <w:r w:rsidR="00242E8D">
          <w:rPr>
            <w:noProof/>
            <w:webHidden/>
          </w:rPr>
          <w:fldChar w:fldCharType="begin"/>
        </w:r>
        <w:r w:rsidR="00242E8D">
          <w:rPr>
            <w:noProof/>
            <w:webHidden/>
          </w:rPr>
          <w:instrText xml:space="preserve"> PAGEREF _Toc68786276 \h </w:instrText>
        </w:r>
        <w:r w:rsidR="00242E8D">
          <w:rPr>
            <w:noProof/>
            <w:webHidden/>
          </w:rPr>
        </w:r>
        <w:r w:rsidR="00242E8D">
          <w:rPr>
            <w:noProof/>
            <w:webHidden/>
          </w:rPr>
          <w:fldChar w:fldCharType="separate"/>
        </w:r>
        <w:r w:rsidR="00B94D2F">
          <w:rPr>
            <w:noProof/>
            <w:webHidden/>
          </w:rPr>
          <w:t>xvii</w:t>
        </w:r>
        <w:r w:rsidR="00242E8D">
          <w:rPr>
            <w:noProof/>
            <w:webHidden/>
          </w:rPr>
          <w:fldChar w:fldCharType="end"/>
        </w:r>
      </w:hyperlink>
    </w:p>
    <w:p w14:paraId="422ACB59" w14:textId="07904C54" w:rsidR="00242E8D" w:rsidRDefault="00087879">
      <w:pPr>
        <w:pStyle w:val="TOC1"/>
        <w:rPr>
          <w:rFonts w:asciiTheme="minorHAnsi" w:eastAsiaTheme="minorEastAsia" w:hAnsiTheme="minorHAnsi" w:cstheme="minorBidi"/>
          <w:noProof/>
          <w:sz w:val="22"/>
        </w:rPr>
      </w:pPr>
      <w:hyperlink w:anchor="_Toc68786277" w:history="1">
        <w:r w:rsidR="00242E8D" w:rsidRPr="00702EC9">
          <w:rPr>
            <w:rStyle w:val="Hyperlink"/>
            <w:noProof/>
          </w:rPr>
          <w:t>Abbreviations</w:t>
        </w:r>
        <w:r w:rsidR="00242E8D">
          <w:rPr>
            <w:noProof/>
            <w:webHidden/>
          </w:rPr>
          <w:tab/>
        </w:r>
        <w:r w:rsidR="00242E8D">
          <w:rPr>
            <w:noProof/>
            <w:webHidden/>
          </w:rPr>
          <w:fldChar w:fldCharType="begin"/>
        </w:r>
        <w:r w:rsidR="00242E8D">
          <w:rPr>
            <w:noProof/>
            <w:webHidden/>
          </w:rPr>
          <w:instrText xml:space="preserve"> PAGEREF _Toc68786277 \h </w:instrText>
        </w:r>
        <w:r w:rsidR="00242E8D">
          <w:rPr>
            <w:noProof/>
            <w:webHidden/>
          </w:rPr>
        </w:r>
        <w:r w:rsidR="00242E8D">
          <w:rPr>
            <w:noProof/>
            <w:webHidden/>
          </w:rPr>
          <w:fldChar w:fldCharType="separate"/>
        </w:r>
        <w:r w:rsidR="00B94D2F">
          <w:rPr>
            <w:noProof/>
            <w:webHidden/>
          </w:rPr>
          <w:t>xx</w:t>
        </w:r>
        <w:r w:rsidR="00242E8D">
          <w:rPr>
            <w:noProof/>
            <w:webHidden/>
          </w:rPr>
          <w:fldChar w:fldCharType="end"/>
        </w:r>
      </w:hyperlink>
    </w:p>
    <w:p w14:paraId="7EC7E547" w14:textId="5ECE67E5" w:rsidR="00242E8D" w:rsidRDefault="00087879">
      <w:pPr>
        <w:pStyle w:val="TOC1"/>
        <w:rPr>
          <w:rFonts w:asciiTheme="minorHAnsi" w:eastAsiaTheme="minorEastAsia" w:hAnsiTheme="minorHAnsi" w:cstheme="minorBidi"/>
          <w:noProof/>
          <w:sz w:val="22"/>
        </w:rPr>
      </w:pPr>
      <w:hyperlink w:anchor="_Toc68786278" w:history="1">
        <w:r w:rsidR="00242E8D" w:rsidRPr="00702EC9">
          <w:rPr>
            <w:rStyle w:val="Hyperlink"/>
            <w:noProof/>
          </w:rPr>
          <w:t>Executive summary</w:t>
        </w:r>
        <w:r w:rsidR="00242E8D">
          <w:rPr>
            <w:noProof/>
            <w:webHidden/>
          </w:rPr>
          <w:tab/>
        </w:r>
        <w:r w:rsidR="00242E8D">
          <w:rPr>
            <w:noProof/>
            <w:webHidden/>
          </w:rPr>
          <w:fldChar w:fldCharType="begin"/>
        </w:r>
        <w:r w:rsidR="00242E8D">
          <w:rPr>
            <w:noProof/>
            <w:webHidden/>
          </w:rPr>
          <w:instrText xml:space="preserve"> PAGEREF _Toc68786278 \h </w:instrText>
        </w:r>
        <w:r w:rsidR="00242E8D">
          <w:rPr>
            <w:noProof/>
            <w:webHidden/>
          </w:rPr>
        </w:r>
        <w:r w:rsidR="00242E8D">
          <w:rPr>
            <w:noProof/>
            <w:webHidden/>
          </w:rPr>
          <w:fldChar w:fldCharType="separate"/>
        </w:r>
        <w:r w:rsidR="00B94D2F">
          <w:rPr>
            <w:noProof/>
            <w:webHidden/>
          </w:rPr>
          <w:t>1</w:t>
        </w:r>
        <w:r w:rsidR="00242E8D">
          <w:rPr>
            <w:noProof/>
            <w:webHidden/>
          </w:rPr>
          <w:fldChar w:fldCharType="end"/>
        </w:r>
      </w:hyperlink>
    </w:p>
    <w:p w14:paraId="55B3CDBA" w14:textId="28EB68B7" w:rsidR="00242E8D" w:rsidRDefault="00087879">
      <w:pPr>
        <w:pStyle w:val="TOC2"/>
        <w:rPr>
          <w:rFonts w:asciiTheme="minorHAnsi" w:eastAsiaTheme="minorEastAsia" w:hAnsiTheme="minorHAnsi" w:cstheme="minorBidi"/>
          <w:noProof/>
          <w:sz w:val="22"/>
        </w:rPr>
      </w:pPr>
      <w:hyperlink w:anchor="_Toc68786279" w:history="1">
        <w:r w:rsidR="00242E8D" w:rsidRPr="00702EC9">
          <w:rPr>
            <w:rStyle w:val="Hyperlink"/>
            <w:noProof/>
          </w:rPr>
          <w:t xml:space="preserve">ES.1 </w:t>
        </w:r>
        <w:r w:rsidR="00242E8D">
          <w:rPr>
            <w:rFonts w:asciiTheme="minorHAnsi" w:eastAsiaTheme="minorEastAsia" w:hAnsiTheme="minorHAnsi" w:cstheme="minorBidi"/>
            <w:noProof/>
            <w:sz w:val="22"/>
          </w:rPr>
          <w:tab/>
        </w:r>
        <w:r w:rsidR="00242E8D" w:rsidRPr="00702EC9">
          <w:rPr>
            <w:rStyle w:val="Hyperlink"/>
            <w:noProof/>
          </w:rPr>
          <w:t>Background</w:t>
        </w:r>
        <w:r w:rsidR="00242E8D">
          <w:rPr>
            <w:noProof/>
            <w:webHidden/>
          </w:rPr>
          <w:tab/>
        </w:r>
        <w:r w:rsidR="00242E8D">
          <w:rPr>
            <w:noProof/>
            <w:webHidden/>
          </w:rPr>
          <w:fldChar w:fldCharType="begin"/>
        </w:r>
        <w:r w:rsidR="00242E8D">
          <w:rPr>
            <w:noProof/>
            <w:webHidden/>
          </w:rPr>
          <w:instrText xml:space="preserve"> PAGEREF _Toc68786279 \h </w:instrText>
        </w:r>
        <w:r w:rsidR="00242E8D">
          <w:rPr>
            <w:noProof/>
            <w:webHidden/>
          </w:rPr>
        </w:r>
        <w:r w:rsidR="00242E8D">
          <w:rPr>
            <w:noProof/>
            <w:webHidden/>
          </w:rPr>
          <w:fldChar w:fldCharType="separate"/>
        </w:r>
        <w:r w:rsidR="00B94D2F">
          <w:rPr>
            <w:noProof/>
            <w:webHidden/>
          </w:rPr>
          <w:t>2</w:t>
        </w:r>
        <w:r w:rsidR="00242E8D">
          <w:rPr>
            <w:noProof/>
            <w:webHidden/>
          </w:rPr>
          <w:fldChar w:fldCharType="end"/>
        </w:r>
      </w:hyperlink>
    </w:p>
    <w:p w14:paraId="6DE83900" w14:textId="74E1124F" w:rsidR="00242E8D" w:rsidRDefault="00087879">
      <w:pPr>
        <w:pStyle w:val="TOC2"/>
        <w:rPr>
          <w:rFonts w:asciiTheme="minorHAnsi" w:eastAsiaTheme="minorEastAsia" w:hAnsiTheme="minorHAnsi" w:cstheme="minorBidi"/>
          <w:noProof/>
          <w:sz w:val="22"/>
        </w:rPr>
      </w:pPr>
      <w:hyperlink w:anchor="_Toc68786280" w:history="1">
        <w:r w:rsidR="00242E8D" w:rsidRPr="00702EC9">
          <w:rPr>
            <w:rStyle w:val="Hyperlink"/>
            <w:noProof/>
          </w:rPr>
          <w:t xml:space="preserve">ES.2 </w:t>
        </w:r>
        <w:r w:rsidR="00242E8D">
          <w:rPr>
            <w:rFonts w:asciiTheme="minorHAnsi" w:eastAsiaTheme="minorEastAsia" w:hAnsiTheme="minorHAnsi" w:cstheme="minorBidi"/>
            <w:noProof/>
            <w:sz w:val="22"/>
          </w:rPr>
          <w:tab/>
        </w:r>
        <w:r w:rsidR="00242E8D" w:rsidRPr="00702EC9">
          <w:rPr>
            <w:rStyle w:val="Hyperlink"/>
            <w:noProof/>
          </w:rPr>
          <w:t>National trends</w:t>
        </w:r>
        <w:r w:rsidR="00242E8D">
          <w:rPr>
            <w:noProof/>
            <w:webHidden/>
          </w:rPr>
          <w:tab/>
        </w:r>
        <w:r w:rsidR="00242E8D">
          <w:rPr>
            <w:noProof/>
            <w:webHidden/>
          </w:rPr>
          <w:fldChar w:fldCharType="begin"/>
        </w:r>
        <w:r w:rsidR="00242E8D">
          <w:rPr>
            <w:noProof/>
            <w:webHidden/>
          </w:rPr>
          <w:instrText xml:space="preserve"> PAGEREF _Toc68786280 \h </w:instrText>
        </w:r>
        <w:r w:rsidR="00242E8D">
          <w:rPr>
            <w:noProof/>
            <w:webHidden/>
          </w:rPr>
        </w:r>
        <w:r w:rsidR="00242E8D">
          <w:rPr>
            <w:noProof/>
            <w:webHidden/>
          </w:rPr>
          <w:fldChar w:fldCharType="separate"/>
        </w:r>
        <w:r w:rsidR="00B94D2F">
          <w:rPr>
            <w:noProof/>
            <w:webHidden/>
          </w:rPr>
          <w:t>2</w:t>
        </w:r>
        <w:r w:rsidR="00242E8D">
          <w:rPr>
            <w:noProof/>
            <w:webHidden/>
          </w:rPr>
          <w:fldChar w:fldCharType="end"/>
        </w:r>
      </w:hyperlink>
    </w:p>
    <w:p w14:paraId="00DFAC71" w14:textId="7BCCFFC5" w:rsidR="00242E8D" w:rsidRDefault="00087879">
      <w:pPr>
        <w:pStyle w:val="TOC2"/>
        <w:rPr>
          <w:rFonts w:asciiTheme="minorHAnsi" w:eastAsiaTheme="minorEastAsia" w:hAnsiTheme="minorHAnsi" w:cstheme="minorBidi"/>
          <w:noProof/>
          <w:sz w:val="22"/>
        </w:rPr>
      </w:pPr>
      <w:hyperlink w:anchor="_Toc68786281" w:history="1">
        <w:r w:rsidR="00242E8D" w:rsidRPr="00702EC9">
          <w:rPr>
            <w:rStyle w:val="Hyperlink"/>
            <w:noProof/>
          </w:rPr>
          <w:t xml:space="preserve">ES.3 </w:t>
        </w:r>
        <w:r w:rsidR="00242E8D">
          <w:rPr>
            <w:rFonts w:asciiTheme="minorHAnsi" w:eastAsiaTheme="minorEastAsia" w:hAnsiTheme="minorHAnsi" w:cstheme="minorBidi"/>
            <w:noProof/>
            <w:sz w:val="22"/>
          </w:rPr>
          <w:tab/>
        </w:r>
        <w:r w:rsidR="00242E8D" w:rsidRPr="00702EC9">
          <w:rPr>
            <w:rStyle w:val="Hyperlink"/>
            <w:noProof/>
          </w:rPr>
          <w:t>Greenhouse gas trends</w:t>
        </w:r>
        <w:r w:rsidR="00242E8D">
          <w:rPr>
            <w:noProof/>
            <w:webHidden/>
          </w:rPr>
          <w:tab/>
        </w:r>
        <w:r w:rsidR="00242E8D">
          <w:rPr>
            <w:noProof/>
            <w:webHidden/>
          </w:rPr>
          <w:fldChar w:fldCharType="begin"/>
        </w:r>
        <w:r w:rsidR="00242E8D">
          <w:rPr>
            <w:noProof/>
            <w:webHidden/>
          </w:rPr>
          <w:instrText xml:space="preserve"> PAGEREF _Toc68786281 \h </w:instrText>
        </w:r>
        <w:r w:rsidR="00242E8D">
          <w:rPr>
            <w:noProof/>
            <w:webHidden/>
          </w:rPr>
        </w:r>
        <w:r w:rsidR="00242E8D">
          <w:rPr>
            <w:noProof/>
            <w:webHidden/>
          </w:rPr>
          <w:fldChar w:fldCharType="separate"/>
        </w:r>
        <w:r w:rsidR="00B94D2F">
          <w:rPr>
            <w:noProof/>
            <w:webHidden/>
          </w:rPr>
          <w:t>4</w:t>
        </w:r>
        <w:r w:rsidR="00242E8D">
          <w:rPr>
            <w:noProof/>
            <w:webHidden/>
          </w:rPr>
          <w:fldChar w:fldCharType="end"/>
        </w:r>
      </w:hyperlink>
    </w:p>
    <w:p w14:paraId="1FE70CD9" w14:textId="17555686" w:rsidR="00242E8D" w:rsidRDefault="00087879">
      <w:pPr>
        <w:pStyle w:val="TOC2"/>
        <w:rPr>
          <w:rFonts w:asciiTheme="minorHAnsi" w:eastAsiaTheme="minorEastAsia" w:hAnsiTheme="minorHAnsi" w:cstheme="minorBidi"/>
          <w:noProof/>
          <w:sz w:val="22"/>
        </w:rPr>
      </w:pPr>
      <w:hyperlink w:anchor="_Toc68786282" w:history="1">
        <w:r w:rsidR="00242E8D" w:rsidRPr="00702EC9">
          <w:rPr>
            <w:rStyle w:val="Hyperlink"/>
            <w:noProof/>
          </w:rPr>
          <w:t xml:space="preserve">ES.4 </w:t>
        </w:r>
        <w:r w:rsidR="00242E8D">
          <w:rPr>
            <w:rFonts w:asciiTheme="minorHAnsi" w:eastAsiaTheme="minorEastAsia" w:hAnsiTheme="minorHAnsi" w:cstheme="minorBidi"/>
            <w:noProof/>
            <w:sz w:val="22"/>
          </w:rPr>
          <w:tab/>
        </w:r>
        <w:r w:rsidR="00242E8D" w:rsidRPr="00702EC9">
          <w:rPr>
            <w:rStyle w:val="Hyperlink"/>
            <w:noProof/>
          </w:rPr>
          <w:t>Sector trends</w:t>
        </w:r>
        <w:r w:rsidR="00242E8D">
          <w:rPr>
            <w:noProof/>
            <w:webHidden/>
          </w:rPr>
          <w:tab/>
        </w:r>
        <w:r w:rsidR="00242E8D">
          <w:rPr>
            <w:noProof/>
            <w:webHidden/>
          </w:rPr>
          <w:fldChar w:fldCharType="begin"/>
        </w:r>
        <w:r w:rsidR="00242E8D">
          <w:rPr>
            <w:noProof/>
            <w:webHidden/>
          </w:rPr>
          <w:instrText xml:space="preserve"> PAGEREF _Toc68786282 \h </w:instrText>
        </w:r>
        <w:r w:rsidR="00242E8D">
          <w:rPr>
            <w:noProof/>
            <w:webHidden/>
          </w:rPr>
        </w:r>
        <w:r w:rsidR="00242E8D">
          <w:rPr>
            <w:noProof/>
            <w:webHidden/>
          </w:rPr>
          <w:fldChar w:fldCharType="separate"/>
        </w:r>
        <w:r w:rsidR="00B94D2F">
          <w:rPr>
            <w:noProof/>
            <w:webHidden/>
          </w:rPr>
          <w:t>7</w:t>
        </w:r>
        <w:r w:rsidR="00242E8D">
          <w:rPr>
            <w:noProof/>
            <w:webHidden/>
          </w:rPr>
          <w:fldChar w:fldCharType="end"/>
        </w:r>
      </w:hyperlink>
    </w:p>
    <w:p w14:paraId="7DE4913C" w14:textId="4F63BE21" w:rsidR="00242E8D" w:rsidRDefault="00087879">
      <w:pPr>
        <w:pStyle w:val="TOC2"/>
        <w:rPr>
          <w:rFonts w:asciiTheme="minorHAnsi" w:eastAsiaTheme="minorEastAsia" w:hAnsiTheme="minorHAnsi" w:cstheme="minorBidi"/>
          <w:noProof/>
          <w:sz w:val="22"/>
        </w:rPr>
      </w:pPr>
      <w:hyperlink w:anchor="_Toc68786283" w:history="1">
        <w:r w:rsidR="00242E8D" w:rsidRPr="00702EC9">
          <w:rPr>
            <w:rStyle w:val="Hyperlink"/>
            <w:noProof/>
          </w:rPr>
          <w:t xml:space="preserve">ES.5 </w:t>
        </w:r>
        <w:r w:rsidR="00242E8D">
          <w:rPr>
            <w:rFonts w:asciiTheme="minorHAnsi" w:eastAsiaTheme="minorEastAsia" w:hAnsiTheme="minorHAnsi" w:cstheme="minorBidi"/>
            <w:noProof/>
            <w:sz w:val="22"/>
          </w:rPr>
          <w:tab/>
        </w:r>
        <w:r w:rsidR="00242E8D" w:rsidRPr="00702EC9">
          <w:rPr>
            <w:rStyle w:val="Hyperlink"/>
            <w:noProof/>
          </w:rPr>
          <w:t>Activities under Article 3.3 and Article 3.4 of the Kyoto Protocol (chapter 11)</w:t>
        </w:r>
        <w:r w:rsidR="00242E8D">
          <w:rPr>
            <w:noProof/>
            <w:webHidden/>
          </w:rPr>
          <w:tab/>
        </w:r>
        <w:r w:rsidR="00242E8D">
          <w:rPr>
            <w:noProof/>
            <w:webHidden/>
          </w:rPr>
          <w:fldChar w:fldCharType="begin"/>
        </w:r>
        <w:r w:rsidR="00242E8D">
          <w:rPr>
            <w:noProof/>
            <w:webHidden/>
          </w:rPr>
          <w:instrText xml:space="preserve"> PAGEREF _Toc68786283 \h </w:instrText>
        </w:r>
        <w:r w:rsidR="00242E8D">
          <w:rPr>
            <w:noProof/>
            <w:webHidden/>
          </w:rPr>
        </w:r>
        <w:r w:rsidR="00242E8D">
          <w:rPr>
            <w:noProof/>
            <w:webHidden/>
          </w:rPr>
          <w:fldChar w:fldCharType="separate"/>
        </w:r>
        <w:r w:rsidR="00B94D2F">
          <w:rPr>
            <w:noProof/>
            <w:webHidden/>
          </w:rPr>
          <w:t>14</w:t>
        </w:r>
        <w:r w:rsidR="00242E8D">
          <w:rPr>
            <w:noProof/>
            <w:webHidden/>
          </w:rPr>
          <w:fldChar w:fldCharType="end"/>
        </w:r>
      </w:hyperlink>
    </w:p>
    <w:p w14:paraId="44A49D2D" w14:textId="504CF8D3" w:rsidR="00242E8D" w:rsidRDefault="00087879">
      <w:pPr>
        <w:pStyle w:val="TOC2"/>
        <w:rPr>
          <w:rFonts w:asciiTheme="minorHAnsi" w:eastAsiaTheme="minorEastAsia" w:hAnsiTheme="minorHAnsi" w:cstheme="minorBidi"/>
          <w:noProof/>
          <w:sz w:val="22"/>
        </w:rPr>
      </w:pPr>
      <w:hyperlink w:anchor="_Toc68786284" w:history="1">
        <w:r w:rsidR="00242E8D" w:rsidRPr="00702EC9">
          <w:rPr>
            <w:rStyle w:val="Hyperlink"/>
            <w:noProof/>
          </w:rPr>
          <w:t xml:space="preserve">ES.6 </w:t>
        </w:r>
        <w:r w:rsidR="00242E8D">
          <w:rPr>
            <w:rFonts w:asciiTheme="minorHAnsi" w:eastAsiaTheme="minorEastAsia" w:hAnsiTheme="minorHAnsi" w:cstheme="minorBidi"/>
            <w:noProof/>
            <w:sz w:val="22"/>
          </w:rPr>
          <w:tab/>
        </w:r>
        <w:r w:rsidR="00242E8D" w:rsidRPr="00702EC9">
          <w:rPr>
            <w:rStyle w:val="Hyperlink"/>
            <w:noProof/>
          </w:rPr>
          <w:t>Improvements introduced</w:t>
        </w:r>
        <w:r w:rsidR="00242E8D">
          <w:rPr>
            <w:noProof/>
            <w:webHidden/>
          </w:rPr>
          <w:tab/>
        </w:r>
        <w:r w:rsidR="00242E8D">
          <w:rPr>
            <w:noProof/>
            <w:webHidden/>
          </w:rPr>
          <w:fldChar w:fldCharType="begin"/>
        </w:r>
        <w:r w:rsidR="00242E8D">
          <w:rPr>
            <w:noProof/>
            <w:webHidden/>
          </w:rPr>
          <w:instrText xml:space="preserve"> PAGEREF _Toc68786284 \h </w:instrText>
        </w:r>
        <w:r w:rsidR="00242E8D">
          <w:rPr>
            <w:noProof/>
            <w:webHidden/>
          </w:rPr>
        </w:r>
        <w:r w:rsidR="00242E8D">
          <w:rPr>
            <w:noProof/>
            <w:webHidden/>
          </w:rPr>
          <w:fldChar w:fldCharType="separate"/>
        </w:r>
        <w:r w:rsidR="00B94D2F">
          <w:rPr>
            <w:noProof/>
            <w:webHidden/>
          </w:rPr>
          <w:t>16</w:t>
        </w:r>
        <w:r w:rsidR="00242E8D">
          <w:rPr>
            <w:noProof/>
            <w:webHidden/>
          </w:rPr>
          <w:fldChar w:fldCharType="end"/>
        </w:r>
      </w:hyperlink>
    </w:p>
    <w:p w14:paraId="7A2E98A4" w14:textId="7B6A45C5" w:rsidR="00242E8D" w:rsidRDefault="00087879">
      <w:pPr>
        <w:pStyle w:val="TOC2"/>
        <w:rPr>
          <w:rFonts w:asciiTheme="minorHAnsi" w:eastAsiaTheme="minorEastAsia" w:hAnsiTheme="minorHAnsi" w:cstheme="minorBidi"/>
          <w:noProof/>
          <w:sz w:val="22"/>
        </w:rPr>
      </w:pPr>
      <w:hyperlink w:anchor="_Toc68786285" w:history="1">
        <w:r w:rsidR="00242E8D" w:rsidRPr="00702EC9">
          <w:rPr>
            <w:rStyle w:val="Hyperlink"/>
            <w:noProof/>
          </w:rPr>
          <w:t xml:space="preserve">ES.7 </w:t>
        </w:r>
        <w:r w:rsidR="00242E8D">
          <w:rPr>
            <w:rFonts w:asciiTheme="minorHAnsi" w:eastAsiaTheme="minorEastAsia" w:hAnsiTheme="minorHAnsi" w:cstheme="minorBidi"/>
            <w:noProof/>
            <w:sz w:val="22"/>
          </w:rPr>
          <w:tab/>
        </w:r>
        <w:r w:rsidR="00242E8D" w:rsidRPr="00702EC9">
          <w:rPr>
            <w:rStyle w:val="Hyperlink"/>
            <w:noProof/>
          </w:rPr>
          <w:t>National registry (chapters 12 and 14)</w:t>
        </w:r>
        <w:r w:rsidR="00242E8D">
          <w:rPr>
            <w:noProof/>
            <w:webHidden/>
          </w:rPr>
          <w:tab/>
        </w:r>
        <w:r w:rsidR="00242E8D">
          <w:rPr>
            <w:noProof/>
            <w:webHidden/>
          </w:rPr>
          <w:fldChar w:fldCharType="begin"/>
        </w:r>
        <w:r w:rsidR="00242E8D">
          <w:rPr>
            <w:noProof/>
            <w:webHidden/>
          </w:rPr>
          <w:instrText xml:space="preserve"> PAGEREF _Toc68786285 \h </w:instrText>
        </w:r>
        <w:r w:rsidR="00242E8D">
          <w:rPr>
            <w:noProof/>
            <w:webHidden/>
          </w:rPr>
        </w:r>
        <w:r w:rsidR="00242E8D">
          <w:rPr>
            <w:noProof/>
            <w:webHidden/>
          </w:rPr>
          <w:fldChar w:fldCharType="separate"/>
        </w:r>
        <w:r w:rsidR="00B94D2F">
          <w:rPr>
            <w:noProof/>
            <w:webHidden/>
          </w:rPr>
          <w:t>19</w:t>
        </w:r>
        <w:r w:rsidR="00242E8D">
          <w:rPr>
            <w:noProof/>
            <w:webHidden/>
          </w:rPr>
          <w:fldChar w:fldCharType="end"/>
        </w:r>
      </w:hyperlink>
    </w:p>
    <w:p w14:paraId="68A2CEDA" w14:textId="1F48DA7D" w:rsidR="00242E8D" w:rsidRDefault="00087879">
      <w:pPr>
        <w:pStyle w:val="TOC2"/>
        <w:rPr>
          <w:rFonts w:asciiTheme="minorHAnsi" w:eastAsiaTheme="minorEastAsia" w:hAnsiTheme="minorHAnsi" w:cstheme="minorBidi"/>
          <w:noProof/>
          <w:sz w:val="22"/>
        </w:rPr>
      </w:pPr>
      <w:hyperlink w:anchor="_Toc68786286" w:history="1">
        <w:r w:rsidR="00242E8D" w:rsidRPr="00702EC9">
          <w:rPr>
            <w:rStyle w:val="Hyperlink"/>
            <w:noProof/>
          </w:rPr>
          <w:t>Executive summary: References</w:t>
        </w:r>
        <w:r w:rsidR="00242E8D">
          <w:rPr>
            <w:noProof/>
            <w:webHidden/>
          </w:rPr>
          <w:tab/>
        </w:r>
        <w:r w:rsidR="00242E8D">
          <w:rPr>
            <w:noProof/>
            <w:webHidden/>
          </w:rPr>
          <w:fldChar w:fldCharType="begin"/>
        </w:r>
        <w:r w:rsidR="00242E8D">
          <w:rPr>
            <w:noProof/>
            <w:webHidden/>
          </w:rPr>
          <w:instrText xml:space="preserve"> PAGEREF _Toc68786286 \h </w:instrText>
        </w:r>
        <w:r w:rsidR="00242E8D">
          <w:rPr>
            <w:noProof/>
            <w:webHidden/>
          </w:rPr>
        </w:r>
        <w:r w:rsidR="00242E8D">
          <w:rPr>
            <w:noProof/>
            <w:webHidden/>
          </w:rPr>
          <w:fldChar w:fldCharType="separate"/>
        </w:r>
        <w:r w:rsidR="00B94D2F">
          <w:rPr>
            <w:noProof/>
            <w:webHidden/>
          </w:rPr>
          <w:t>20</w:t>
        </w:r>
        <w:r w:rsidR="00242E8D">
          <w:rPr>
            <w:noProof/>
            <w:webHidden/>
          </w:rPr>
          <w:fldChar w:fldCharType="end"/>
        </w:r>
      </w:hyperlink>
    </w:p>
    <w:p w14:paraId="48E66407" w14:textId="21C1F73B" w:rsidR="00242E8D" w:rsidRDefault="00087879">
      <w:pPr>
        <w:pStyle w:val="TOC1"/>
        <w:rPr>
          <w:rFonts w:asciiTheme="minorHAnsi" w:eastAsiaTheme="minorEastAsia" w:hAnsiTheme="minorHAnsi" w:cstheme="minorBidi"/>
          <w:noProof/>
          <w:sz w:val="22"/>
        </w:rPr>
      </w:pPr>
      <w:hyperlink w:anchor="_Toc68786287" w:history="1">
        <w:r w:rsidR="00242E8D" w:rsidRPr="00702EC9">
          <w:rPr>
            <w:rStyle w:val="Hyperlink"/>
            <w:noProof/>
          </w:rPr>
          <w:t>Chapter 1: Introduction</w:t>
        </w:r>
        <w:r w:rsidR="00242E8D">
          <w:rPr>
            <w:noProof/>
            <w:webHidden/>
          </w:rPr>
          <w:tab/>
        </w:r>
        <w:r w:rsidR="00242E8D">
          <w:rPr>
            <w:noProof/>
            <w:webHidden/>
          </w:rPr>
          <w:fldChar w:fldCharType="begin"/>
        </w:r>
        <w:r w:rsidR="00242E8D">
          <w:rPr>
            <w:noProof/>
            <w:webHidden/>
          </w:rPr>
          <w:instrText xml:space="preserve"> PAGEREF _Toc68786287 \h </w:instrText>
        </w:r>
        <w:r w:rsidR="00242E8D">
          <w:rPr>
            <w:noProof/>
            <w:webHidden/>
          </w:rPr>
        </w:r>
        <w:r w:rsidR="00242E8D">
          <w:rPr>
            <w:noProof/>
            <w:webHidden/>
          </w:rPr>
          <w:fldChar w:fldCharType="separate"/>
        </w:r>
        <w:r w:rsidR="00B94D2F">
          <w:rPr>
            <w:noProof/>
            <w:webHidden/>
          </w:rPr>
          <w:t>21</w:t>
        </w:r>
        <w:r w:rsidR="00242E8D">
          <w:rPr>
            <w:noProof/>
            <w:webHidden/>
          </w:rPr>
          <w:fldChar w:fldCharType="end"/>
        </w:r>
      </w:hyperlink>
    </w:p>
    <w:p w14:paraId="49982A6C" w14:textId="23F3987F" w:rsidR="00242E8D" w:rsidRDefault="00087879">
      <w:pPr>
        <w:pStyle w:val="TOC2"/>
        <w:rPr>
          <w:rFonts w:asciiTheme="minorHAnsi" w:eastAsiaTheme="minorEastAsia" w:hAnsiTheme="minorHAnsi" w:cstheme="minorBidi"/>
          <w:noProof/>
          <w:sz w:val="22"/>
        </w:rPr>
      </w:pPr>
      <w:hyperlink w:anchor="_Toc68786288" w:history="1">
        <w:r w:rsidR="00242E8D" w:rsidRPr="00702EC9">
          <w:rPr>
            <w:rStyle w:val="Hyperlink"/>
            <w:noProof/>
          </w:rPr>
          <w:t xml:space="preserve">1.1 </w:t>
        </w:r>
        <w:r w:rsidR="00242E8D">
          <w:rPr>
            <w:rFonts w:asciiTheme="minorHAnsi" w:eastAsiaTheme="minorEastAsia" w:hAnsiTheme="minorHAnsi" w:cstheme="minorBidi"/>
            <w:noProof/>
            <w:sz w:val="22"/>
          </w:rPr>
          <w:tab/>
        </w:r>
        <w:r w:rsidR="00242E8D" w:rsidRPr="00702EC9">
          <w:rPr>
            <w:rStyle w:val="Hyperlink"/>
            <w:noProof/>
          </w:rPr>
          <w:t>Background</w:t>
        </w:r>
        <w:r w:rsidR="00242E8D">
          <w:rPr>
            <w:noProof/>
            <w:webHidden/>
          </w:rPr>
          <w:tab/>
        </w:r>
        <w:r w:rsidR="00242E8D">
          <w:rPr>
            <w:noProof/>
            <w:webHidden/>
          </w:rPr>
          <w:fldChar w:fldCharType="begin"/>
        </w:r>
        <w:r w:rsidR="00242E8D">
          <w:rPr>
            <w:noProof/>
            <w:webHidden/>
          </w:rPr>
          <w:instrText xml:space="preserve"> PAGEREF _Toc68786288 \h </w:instrText>
        </w:r>
        <w:r w:rsidR="00242E8D">
          <w:rPr>
            <w:noProof/>
            <w:webHidden/>
          </w:rPr>
        </w:r>
        <w:r w:rsidR="00242E8D">
          <w:rPr>
            <w:noProof/>
            <w:webHidden/>
          </w:rPr>
          <w:fldChar w:fldCharType="separate"/>
        </w:r>
        <w:r w:rsidR="00B94D2F">
          <w:rPr>
            <w:noProof/>
            <w:webHidden/>
          </w:rPr>
          <w:t>21</w:t>
        </w:r>
        <w:r w:rsidR="00242E8D">
          <w:rPr>
            <w:noProof/>
            <w:webHidden/>
          </w:rPr>
          <w:fldChar w:fldCharType="end"/>
        </w:r>
      </w:hyperlink>
    </w:p>
    <w:p w14:paraId="6DA04ED1" w14:textId="28E411CC" w:rsidR="00242E8D" w:rsidRDefault="00087879">
      <w:pPr>
        <w:pStyle w:val="TOC2"/>
        <w:rPr>
          <w:rFonts w:asciiTheme="minorHAnsi" w:eastAsiaTheme="minorEastAsia" w:hAnsiTheme="minorHAnsi" w:cstheme="minorBidi"/>
          <w:noProof/>
          <w:sz w:val="22"/>
        </w:rPr>
      </w:pPr>
      <w:hyperlink w:anchor="_Toc68786289" w:history="1">
        <w:r w:rsidR="00242E8D" w:rsidRPr="00702EC9">
          <w:rPr>
            <w:rStyle w:val="Hyperlink"/>
            <w:noProof/>
          </w:rPr>
          <w:t xml:space="preserve">1.2 </w:t>
        </w:r>
        <w:r w:rsidR="00242E8D">
          <w:rPr>
            <w:rFonts w:asciiTheme="minorHAnsi" w:eastAsiaTheme="minorEastAsia" w:hAnsiTheme="minorHAnsi" w:cstheme="minorBidi"/>
            <w:noProof/>
            <w:sz w:val="22"/>
          </w:rPr>
          <w:tab/>
        </w:r>
        <w:r w:rsidR="00242E8D" w:rsidRPr="00702EC9">
          <w:rPr>
            <w:rStyle w:val="Hyperlink"/>
            <w:noProof/>
          </w:rPr>
          <w:t>Description of the national inventory arrangements</w:t>
        </w:r>
        <w:r w:rsidR="00242E8D">
          <w:rPr>
            <w:noProof/>
            <w:webHidden/>
          </w:rPr>
          <w:tab/>
        </w:r>
        <w:r w:rsidR="00242E8D">
          <w:rPr>
            <w:noProof/>
            <w:webHidden/>
          </w:rPr>
          <w:fldChar w:fldCharType="begin"/>
        </w:r>
        <w:r w:rsidR="00242E8D">
          <w:rPr>
            <w:noProof/>
            <w:webHidden/>
          </w:rPr>
          <w:instrText xml:space="preserve"> PAGEREF _Toc68786289 \h </w:instrText>
        </w:r>
        <w:r w:rsidR="00242E8D">
          <w:rPr>
            <w:noProof/>
            <w:webHidden/>
          </w:rPr>
        </w:r>
        <w:r w:rsidR="00242E8D">
          <w:rPr>
            <w:noProof/>
            <w:webHidden/>
          </w:rPr>
          <w:fldChar w:fldCharType="separate"/>
        </w:r>
        <w:r w:rsidR="00B94D2F">
          <w:rPr>
            <w:noProof/>
            <w:webHidden/>
          </w:rPr>
          <w:t>24</w:t>
        </w:r>
        <w:r w:rsidR="00242E8D">
          <w:rPr>
            <w:noProof/>
            <w:webHidden/>
          </w:rPr>
          <w:fldChar w:fldCharType="end"/>
        </w:r>
      </w:hyperlink>
    </w:p>
    <w:p w14:paraId="39FCA31C" w14:textId="159FDDA7" w:rsidR="00242E8D" w:rsidRDefault="00087879">
      <w:pPr>
        <w:pStyle w:val="TOC2"/>
        <w:rPr>
          <w:rFonts w:asciiTheme="minorHAnsi" w:eastAsiaTheme="minorEastAsia" w:hAnsiTheme="minorHAnsi" w:cstheme="minorBidi"/>
          <w:noProof/>
          <w:sz w:val="22"/>
        </w:rPr>
      </w:pPr>
      <w:hyperlink w:anchor="_Toc68786290" w:history="1">
        <w:r w:rsidR="00242E8D" w:rsidRPr="00702EC9">
          <w:rPr>
            <w:rStyle w:val="Hyperlink"/>
            <w:noProof/>
          </w:rPr>
          <w:t xml:space="preserve">1.3 </w:t>
        </w:r>
        <w:r w:rsidR="00242E8D">
          <w:rPr>
            <w:rFonts w:asciiTheme="minorHAnsi" w:eastAsiaTheme="minorEastAsia" w:hAnsiTheme="minorHAnsi" w:cstheme="minorBidi"/>
            <w:noProof/>
            <w:sz w:val="22"/>
          </w:rPr>
          <w:tab/>
        </w:r>
        <w:r w:rsidR="00242E8D" w:rsidRPr="00702EC9">
          <w:rPr>
            <w:rStyle w:val="Hyperlink"/>
            <w:noProof/>
          </w:rPr>
          <w:t>Inventory preparation: data collection, processing and storage</w:t>
        </w:r>
        <w:r w:rsidR="00242E8D">
          <w:rPr>
            <w:noProof/>
            <w:webHidden/>
          </w:rPr>
          <w:tab/>
        </w:r>
        <w:r w:rsidR="00242E8D">
          <w:rPr>
            <w:noProof/>
            <w:webHidden/>
          </w:rPr>
          <w:fldChar w:fldCharType="begin"/>
        </w:r>
        <w:r w:rsidR="00242E8D">
          <w:rPr>
            <w:noProof/>
            <w:webHidden/>
          </w:rPr>
          <w:instrText xml:space="preserve"> PAGEREF _Toc68786290 \h </w:instrText>
        </w:r>
        <w:r w:rsidR="00242E8D">
          <w:rPr>
            <w:noProof/>
            <w:webHidden/>
          </w:rPr>
        </w:r>
        <w:r w:rsidR="00242E8D">
          <w:rPr>
            <w:noProof/>
            <w:webHidden/>
          </w:rPr>
          <w:fldChar w:fldCharType="separate"/>
        </w:r>
        <w:r w:rsidR="00B94D2F">
          <w:rPr>
            <w:noProof/>
            <w:webHidden/>
          </w:rPr>
          <w:t>35</w:t>
        </w:r>
        <w:r w:rsidR="00242E8D">
          <w:rPr>
            <w:noProof/>
            <w:webHidden/>
          </w:rPr>
          <w:fldChar w:fldCharType="end"/>
        </w:r>
      </w:hyperlink>
    </w:p>
    <w:p w14:paraId="2C0A3454" w14:textId="75529123" w:rsidR="00242E8D" w:rsidRDefault="00087879">
      <w:pPr>
        <w:pStyle w:val="TOC2"/>
        <w:rPr>
          <w:rFonts w:asciiTheme="minorHAnsi" w:eastAsiaTheme="minorEastAsia" w:hAnsiTheme="minorHAnsi" w:cstheme="minorBidi"/>
          <w:noProof/>
          <w:sz w:val="22"/>
        </w:rPr>
      </w:pPr>
      <w:hyperlink w:anchor="_Toc68786291" w:history="1">
        <w:r w:rsidR="00242E8D" w:rsidRPr="00702EC9">
          <w:rPr>
            <w:rStyle w:val="Hyperlink"/>
            <w:noProof/>
          </w:rPr>
          <w:t xml:space="preserve">1.4 </w:t>
        </w:r>
        <w:r w:rsidR="00242E8D">
          <w:rPr>
            <w:rFonts w:asciiTheme="minorHAnsi" w:eastAsiaTheme="minorEastAsia" w:hAnsiTheme="minorHAnsi" w:cstheme="minorBidi"/>
            <w:noProof/>
            <w:sz w:val="22"/>
          </w:rPr>
          <w:tab/>
        </w:r>
        <w:r w:rsidR="00242E8D" w:rsidRPr="00702EC9">
          <w:rPr>
            <w:rStyle w:val="Hyperlink"/>
            <w:noProof/>
          </w:rPr>
          <w:t>Methodologies and data sources used</w:t>
        </w:r>
        <w:r w:rsidR="00242E8D">
          <w:rPr>
            <w:noProof/>
            <w:webHidden/>
          </w:rPr>
          <w:tab/>
        </w:r>
        <w:r w:rsidR="00242E8D">
          <w:rPr>
            <w:noProof/>
            <w:webHidden/>
          </w:rPr>
          <w:fldChar w:fldCharType="begin"/>
        </w:r>
        <w:r w:rsidR="00242E8D">
          <w:rPr>
            <w:noProof/>
            <w:webHidden/>
          </w:rPr>
          <w:instrText xml:space="preserve"> PAGEREF _Toc68786291 \h </w:instrText>
        </w:r>
        <w:r w:rsidR="00242E8D">
          <w:rPr>
            <w:noProof/>
            <w:webHidden/>
          </w:rPr>
        </w:r>
        <w:r w:rsidR="00242E8D">
          <w:rPr>
            <w:noProof/>
            <w:webHidden/>
          </w:rPr>
          <w:fldChar w:fldCharType="separate"/>
        </w:r>
        <w:r w:rsidR="00B94D2F">
          <w:rPr>
            <w:noProof/>
            <w:webHidden/>
          </w:rPr>
          <w:t>35</w:t>
        </w:r>
        <w:r w:rsidR="00242E8D">
          <w:rPr>
            <w:noProof/>
            <w:webHidden/>
          </w:rPr>
          <w:fldChar w:fldCharType="end"/>
        </w:r>
      </w:hyperlink>
    </w:p>
    <w:p w14:paraId="1E86351D" w14:textId="651F67FC" w:rsidR="00242E8D" w:rsidRDefault="00087879">
      <w:pPr>
        <w:pStyle w:val="TOC2"/>
        <w:rPr>
          <w:rFonts w:asciiTheme="minorHAnsi" w:eastAsiaTheme="minorEastAsia" w:hAnsiTheme="minorHAnsi" w:cstheme="minorBidi"/>
          <w:noProof/>
          <w:sz w:val="22"/>
        </w:rPr>
      </w:pPr>
      <w:hyperlink w:anchor="_Toc68786292" w:history="1">
        <w:r w:rsidR="00242E8D" w:rsidRPr="00702EC9">
          <w:rPr>
            <w:rStyle w:val="Hyperlink"/>
            <w:noProof/>
          </w:rPr>
          <w:t xml:space="preserve">1.5 </w:t>
        </w:r>
        <w:r w:rsidR="00242E8D">
          <w:rPr>
            <w:rFonts w:asciiTheme="minorHAnsi" w:eastAsiaTheme="minorEastAsia" w:hAnsiTheme="minorHAnsi" w:cstheme="minorBidi"/>
            <w:noProof/>
            <w:sz w:val="22"/>
          </w:rPr>
          <w:tab/>
        </w:r>
        <w:r w:rsidR="00242E8D" w:rsidRPr="00702EC9">
          <w:rPr>
            <w:rStyle w:val="Hyperlink"/>
            <w:noProof/>
          </w:rPr>
          <w:t>Key categories</w:t>
        </w:r>
        <w:r w:rsidR="00242E8D">
          <w:rPr>
            <w:noProof/>
            <w:webHidden/>
          </w:rPr>
          <w:tab/>
        </w:r>
        <w:r w:rsidR="00242E8D">
          <w:rPr>
            <w:noProof/>
            <w:webHidden/>
          </w:rPr>
          <w:fldChar w:fldCharType="begin"/>
        </w:r>
        <w:r w:rsidR="00242E8D">
          <w:rPr>
            <w:noProof/>
            <w:webHidden/>
          </w:rPr>
          <w:instrText xml:space="preserve"> PAGEREF _Toc68786292 \h </w:instrText>
        </w:r>
        <w:r w:rsidR="00242E8D">
          <w:rPr>
            <w:noProof/>
            <w:webHidden/>
          </w:rPr>
        </w:r>
        <w:r w:rsidR="00242E8D">
          <w:rPr>
            <w:noProof/>
            <w:webHidden/>
          </w:rPr>
          <w:fldChar w:fldCharType="separate"/>
        </w:r>
        <w:r w:rsidR="00B94D2F">
          <w:rPr>
            <w:noProof/>
            <w:webHidden/>
          </w:rPr>
          <w:t>38</w:t>
        </w:r>
        <w:r w:rsidR="00242E8D">
          <w:rPr>
            <w:noProof/>
            <w:webHidden/>
          </w:rPr>
          <w:fldChar w:fldCharType="end"/>
        </w:r>
      </w:hyperlink>
    </w:p>
    <w:p w14:paraId="1DB04EA9" w14:textId="7081ECFA" w:rsidR="00242E8D" w:rsidRDefault="00087879">
      <w:pPr>
        <w:pStyle w:val="TOC2"/>
        <w:rPr>
          <w:rFonts w:asciiTheme="minorHAnsi" w:eastAsiaTheme="minorEastAsia" w:hAnsiTheme="minorHAnsi" w:cstheme="minorBidi"/>
          <w:noProof/>
          <w:sz w:val="22"/>
        </w:rPr>
      </w:pPr>
      <w:hyperlink w:anchor="_Toc68786293" w:history="1">
        <w:r w:rsidR="00242E8D" w:rsidRPr="00702EC9">
          <w:rPr>
            <w:rStyle w:val="Hyperlink"/>
            <w:noProof/>
          </w:rPr>
          <w:t xml:space="preserve">1.6 </w:t>
        </w:r>
        <w:r w:rsidR="00242E8D">
          <w:rPr>
            <w:rFonts w:asciiTheme="minorHAnsi" w:eastAsiaTheme="minorEastAsia" w:hAnsiTheme="minorHAnsi" w:cstheme="minorBidi"/>
            <w:noProof/>
            <w:sz w:val="22"/>
          </w:rPr>
          <w:tab/>
        </w:r>
        <w:r w:rsidR="00242E8D" w:rsidRPr="00702EC9">
          <w:rPr>
            <w:rStyle w:val="Hyperlink"/>
            <w:noProof/>
          </w:rPr>
          <w:t>Inventory uncertainty</w:t>
        </w:r>
        <w:r w:rsidR="00242E8D">
          <w:rPr>
            <w:noProof/>
            <w:webHidden/>
          </w:rPr>
          <w:tab/>
        </w:r>
        <w:r w:rsidR="00242E8D">
          <w:rPr>
            <w:noProof/>
            <w:webHidden/>
          </w:rPr>
          <w:fldChar w:fldCharType="begin"/>
        </w:r>
        <w:r w:rsidR="00242E8D">
          <w:rPr>
            <w:noProof/>
            <w:webHidden/>
          </w:rPr>
          <w:instrText xml:space="preserve"> PAGEREF _Toc68786293 \h </w:instrText>
        </w:r>
        <w:r w:rsidR="00242E8D">
          <w:rPr>
            <w:noProof/>
            <w:webHidden/>
          </w:rPr>
        </w:r>
        <w:r w:rsidR="00242E8D">
          <w:rPr>
            <w:noProof/>
            <w:webHidden/>
          </w:rPr>
          <w:fldChar w:fldCharType="separate"/>
        </w:r>
        <w:r w:rsidR="00B94D2F">
          <w:rPr>
            <w:noProof/>
            <w:webHidden/>
          </w:rPr>
          <w:t>48</w:t>
        </w:r>
        <w:r w:rsidR="00242E8D">
          <w:rPr>
            <w:noProof/>
            <w:webHidden/>
          </w:rPr>
          <w:fldChar w:fldCharType="end"/>
        </w:r>
      </w:hyperlink>
    </w:p>
    <w:p w14:paraId="0FC67AEB" w14:textId="4AB0BF7D" w:rsidR="00242E8D" w:rsidRDefault="00087879">
      <w:pPr>
        <w:pStyle w:val="TOC2"/>
        <w:rPr>
          <w:rFonts w:asciiTheme="minorHAnsi" w:eastAsiaTheme="minorEastAsia" w:hAnsiTheme="minorHAnsi" w:cstheme="minorBidi"/>
          <w:noProof/>
          <w:sz w:val="22"/>
        </w:rPr>
      </w:pPr>
      <w:hyperlink w:anchor="_Toc68786294" w:history="1">
        <w:r w:rsidR="00242E8D" w:rsidRPr="00702EC9">
          <w:rPr>
            <w:rStyle w:val="Hyperlink"/>
            <w:noProof/>
          </w:rPr>
          <w:t xml:space="preserve">1.7 </w:t>
        </w:r>
        <w:r w:rsidR="00242E8D">
          <w:rPr>
            <w:rFonts w:asciiTheme="minorHAnsi" w:eastAsiaTheme="minorEastAsia" w:hAnsiTheme="minorHAnsi" w:cstheme="minorBidi"/>
            <w:noProof/>
            <w:sz w:val="22"/>
          </w:rPr>
          <w:tab/>
        </w:r>
        <w:r w:rsidR="00242E8D" w:rsidRPr="00702EC9">
          <w:rPr>
            <w:rStyle w:val="Hyperlink"/>
            <w:noProof/>
          </w:rPr>
          <w:t>Inventory completeness</w:t>
        </w:r>
        <w:r w:rsidR="00242E8D">
          <w:rPr>
            <w:noProof/>
            <w:webHidden/>
          </w:rPr>
          <w:tab/>
        </w:r>
        <w:r w:rsidR="00242E8D">
          <w:rPr>
            <w:noProof/>
            <w:webHidden/>
          </w:rPr>
          <w:fldChar w:fldCharType="begin"/>
        </w:r>
        <w:r w:rsidR="00242E8D">
          <w:rPr>
            <w:noProof/>
            <w:webHidden/>
          </w:rPr>
          <w:instrText xml:space="preserve"> PAGEREF _Toc68786294 \h </w:instrText>
        </w:r>
        <w:r w:rsidR="00242E8D">
          <w:rPr>
            <w:noProof/>
            <w:webHidden/>
          </w:rPr>
        </w:r>
        <w:r w:rsidR="00242E8D">
          <w:rPr>
            <w:noProof/>
            <w:webHidden/>
          </w:rPr>
          <w:fldChar w:fldCharType="separate"/>
        </w:r>
        <w:r w:rsidR="00B94D2F">
          <w:rPr>
            <w:noProof/>
            <w:webHidden/>
          </w:rPr>
          <w:t>50</w:t>
        </w:r>
        <w:r w:rsidR="00242E8D">
          <w:rPr>
            <w:noProof/>
            <w:webHidden/>
          </w:rPr>
          <w:fldChar w:fldCharType="end"/>
        </w:r>
      </w:hyperlink>
    </w:p>
    <w:p w14:paraId="4C6654D3" w14:textId="498794A3" w:rsidR="00242E8D" w:rsidRDefault="00087879">
      <w:pPr>
        <w:pStyle w:val="TOC2"/>
        <w:rPr>
          <w:rFonts w:asciiTheme="minorHAnsi" w:eastAsiaTheme="minorEastAsia" w:hAnsiTheme="minorHAnsi" w:cstheme="minorBidi"/>
          <w:noProof/>
          <w:sz w:val="22"/>
        </w:rPr>
      </w:pPr>
      <w:hyperlink w:anchor="_Toc68786295" w:history="1">
        <w:r w:rsidR="00242E8D" w:rsidRPr="00702EC9">
          <w:rPr>
            <w:rStyle w:val="Hyperlink"/>
            <w:noProof/>
          </w:rPr>
          <w:t xml:space="preserve">1.8 </w:t>
        </w:r>
        <w:r w:rsidR="00242E8D">
          <w:rPr>
            <w:rFonts w:asciiTheme="minorHAnsi" w:eastAsiaTheme="minorEastAsia" w:hAnsiTheme="minorHAnsi" w:cstheme="minorBidi"/>
            <w:noProof/>
            <w:sz w:val="22"/>
          </w:rPr>
          <w:tab/>
        </w:r>
        <w:r w:rsidR="00242E8D" w:rsidRPr="00702EC9">
          <w:rPr>
            <w:rStyle w:val="Hyperlink"/>
            <w:noProof/>
          </w:rPr>
          <w:t>National registry</w:t>
        </w:r>
        <w:r w:rsidR="00242E8D">
          <w:rPr>
            <w:noProof/>
            <w:webHidden/>
          </w:rPr>
          <w:tab/>
        </w:r>
        <w:r w:rsidR="00242E8D">
          <w:rPr>
            <w:noProof/>
            <w:webHidden/>
          </w:rPr>
          <w:fldChar w:fldCharType="begin"/>
        </w:r>
        <w:r w:rsidR="00242E8D">
          <w:rPr>
            <w:noProof/>
            <w:webHidden/>
          </w:rPr>
          <w:instrText xml:space="preserve"> PAGEREF _Toc68786295 \h </w:instrText>
        </w:r>
        <w:r w:rsidR="00242E8D">
          <w:rPr>
            <w:noProof/>
            <w:webHidden/>
          </w:rPr>
        </w:r>
        <w:r w:rsidR="00242E8D">
          <w:rPr>
            <w:noProof/>
            <w:webHidden/>
          </w:rPr>
          <w:fldChar w:fldCharType="separate"/>
        </w:r>
        <w:r w:rsidR="00B94D2F">
          <w:rPr>
            <w:noProof/>
            <w:webHidden/>
          </w:rPr>
          <w:t>51</w:t>
        </w:r>
        <w:r w:rsidR="00242E8D">
          <w:rPr>
            <w:noProof/>
            <w:webHidden/>
          </w:rPr>
          <w:fldChar w:fldCharType="end"/>
        </w:r>
      </w:hyperlink>
    </w:p>
    <w:p w14:paraId="0CD0F91F" w14:textId="3E9EB7FC" w:rsidR="00242E8D" w:rsidRDefault="00087879">
      <w:pPr>
        <w:pStyle w:val="TOC2"/>
        <w:rPr>
          <w:rFonts w:asciiTheme="minorHAnsi" w:eastAsiaTheme="minorEastAsia" w:hAnsiTheme="minorHAnsi" w:cstheme="minorBidi"/>
          <w:noProof/>
          <w:sz w:val="22"/>
        </w:rPr>
      </w:pPr>
      <w:hyperlink w:anchor="_Toc68786296" w:history="1">
        <w:r w:rsidR="00242E8D" w:rsidRPr="00702EC9">
          <w:rPr>
            <w:rStyle w:val="Hyperlink"/>
            <w:noProof/>
          </w:rPr>
          <w:t xml:space="preserve">1.9 </w:t>
        </w:r>
        <w:r w:rsidR="00242E8D">
          <w:rPr>
            <w:rFonts w:asciiTheme="minorHAnsi" w:eastAsiaTheme="minorEastAsia" w:hAnsiTheme="minorHAnsi" w:cstheme="minorBidi"/>
            <w:noProof/>
            <w:sz w:val="22"/>
          </w:rPr>
          <w:tab/>
        </w:r>
        <w:r w:rsidR="00242E8D" w:rsidRPr="00702EC9">
          <w:rPr>
            <w:rStyle w:val="Hyperlink"/>
            <w:noProof/>
          </w:rPr>
          <w:t>New Zealand’s Emissions Trading Scheme</w:t>
        </w:r>
        <w:r w:rsidR="00242E8D">
          <w:rPr>
            <w:noProof/>
            <w:webHidden/>
          </w:rPr>
          <w:tab/>
        </w:r>
        <w:r w:rsidR="00242E8D">
          <w:rPr>
            <w:noProof/>
            <w:webHidden/>
          </w:rPr>
          <w:fldChar w:fldCharType="begin"/>
        </w:r>
        <w:r w:rsidR="00242E8D">
          <w:rPr>
            <w:noProof/>
            <w:webHidden/>
          </w:rPr>
          <w:instrText xml:space="preserve"> PAGEREF _Toc68786296 \h </w:instrText>
        </w:r>
        <w:r w:rsidR="00242E8D">
          <w:rPr>
            <w:noProof/>
            <w:webHidden/>
          </w:rPr>
        </w:r>
        <w:r w:rsidR="00242E8D">
          <w:rPr>
            <w:noProof/>
            <w:webHidden/>
          </w:rPr>
          <w:fldChar w:fldCharType="separate"/>
        </w:r>
        <w:r w:rsidR="00B94D2F">
          <w:rPr>
            <w:noProof/>
            <w:webHidden/>
          </w:rPr>
          <w:t>52</w:t>
        </w:r>
        <w:r w:rsidR="00242E8D">
          <w:rPr>
            <w:noProof/>
            <w:webHidden/>
          </w:rPr>
          <w:fldChar w:fldCharType="end"/>
        </w:r>
      </w:hyperlink>
    </w:p>
    <w:p w14:paraId="47F1E544" w14:textId="5F65EC91" w:rsidR="00242E8D" w:rsidRDefault="00087879">
      <w:pPr>
        <w:pStyle w:val="TOC2"/>
        <w:rPr>
          <w:rFonts w:asciiTheme="minorHAnsi" w:eastAsiaTheme="minorEastAsia" w:hAnsiTheme="minorHAnsi" w:cstheme="minorBidi"/>
          <w:noProof/>
          <w:sz w:val="22"/>
        </w:rPr>
      </w:pPr>
      <w:hyperlink w:anchor="_Toc68786297" w:history="1">
        <w:r w:rsidR="00242E8D" w:rsidRPr="00702EC9">
          <w:rPr>
            <w:rStyle w:val="Hyperlink"/>
            <w:noProof/>
          </w:rPr>
          <w:t xml:space="preserve">1.10 </w:t>
        </w:r>
        <w:r w:rsidR="00242E8D">
          <w:rPr>
            <w:rFonts w:asciiTheme="minorHAnsi" w:eastAsiaTheme="minorEastAsia" w:hAnsiTheme="minorHAnsi" w:cstheme="minorBidi"/>
            <w:noProof/>
            <w:sz w:val="22"/>
          </w:rPr>
          <w:tab/>
        </w:r>
        <w:r w:rsidR="00242E8D" w:rsidRPr="00702EC9">
          <w:rPr>
            <w:rStyle w:val="Hyperlink"/>
            <w:noProof/>
          </w:rPr>
          <w:t>Improvements introduced</w:t>
        </w:r>
        <w:r w:rsidR="00242E8D">
          <w:rPr>
            <w:noProof/>
            <w:webHidden/>
          </w:rPr>
          <w:tab/>
        </w:r>
        <w:r w:rsidR="00242E8D">
          <w:rPr>
            <w:noProof/>
            <w:webHidden/>
          </w:rPr>
          <w:fldChar w:fldCharType="begin"/>
        </w:r>
        <w:r w:rsidR="00242E8D">
          <w:rPr>
            <w:noProof/>
            <w:webHidden/>
          </w:rPr>
          <w:instrText xml:space="preserve"> PAGEREF _Toc68786297 \h </w:instrText>
        </w:r>
        <w:r w:rsidR="00242E8D">
          <w:rPr>
            <w:noProof/>
            <w:webHidden/>
          </w:rPr>
        </w:r>
        <w:r w:rsidR="00242E8D">
          <w:rPr>
            <w:noProof/>
            <w:webHidden/>
          </w:rPr>
          <w:fldChar w:fldCharType="separate"/>
        </w:r>
        <w:r w:rsidR="00B94D2F">
          <w:rPr>
            <w:noProof/>
            <w:webHidden/>
          </w:rPr>
          <w:t>53</w:t>
        </w:r>
        <w:r w:rsidR="00242E8D">
          <w:rPr>
            <w:noProof/>
            <w:webHidden/>
          </w:rPr>
          <w:fldChar w:fldCharType="end"/>
        </w:r>
      </w:hyperlink>
    </w:p>
    <w:p w14:paraId="25F534BA" w14:textId="571DB942" w:rsidR="00242E8D" w:rsidRDefault="00087879">
      <w:pPr>
        <w:pStyle w:val="TOC2"/>
        <w:rPr>
          <w:rFonts w:asciiTheme="minorHAnsi" w:eastAsiaTheme="minorEastAsia" w:hAnsiTheme="minorHAnsi" w:cstheme="minorBidi"/>
          <w:noProof/>
          <w:sz w:val="22"/>
        </w:rPr>
      </w:pPr>
      <w:hyperlink w:anchor="_Toc68786298" w:history="1">
        <w:r w:rsidR="00242E8D" w:rsidRPr="00702EC9">
          <w:rPr>
            <w:rStyle w:val="Hyperlink"/>
            <w:noProof/>
          </w:rPr>
          <w:t>Chapter 1: References</w:t>
        </w:r>
        <w:r w:rsidR="00242E8D">
          <w:rPr>
            <w:noProof/>
            <w:webHidden/>
          </w:rPr>
          <w:tab/>
        </w:r>
        <w:r w:rsidR="00242E8D">
          <w:rPr>
            <w:noProof/>
            <w:webHidden/>
          </w:rPr>
          <w:fldChar w:fldCharType="begin"/>
        </w:r>
        <w:r w:rsidR="00242E8D">
          <w:rPr>
            <w:noProof/>
            <w:webHidden/>
          </w:rPr>
          <w:instrText xml:space="preserve"> PAGEREF _Toc68786298 \h </w:instrText>
        </w:r>
        <w:r w:rsidR="00242E8D">
          <w:rPr>
            <w:noProof/>
            <w:webHidden/>
          </w:rPr>
        </w:r>
        <w:r w:rsidR="00242E8D">
          <w:rPr>
            <w:noProof/>
            <w:webHidden/>
          </w:rPr>
          <w:fldChar w:fldCharType="separate"/>
        </w:r>
        <w:r w:rsidR="00B94D2F">
          <w:rPr>
            <w:noProof/>
            <w:webHidden/>
          </w:rPr>
          <w:t>56</w:t>
        </w:r>
        <w:r w:rsidR="00242E8D">
          <w:rPr>
            <w:noProof/>
            <w:webHidden/>
          </w:rPr>
          <w:fldChar w:fldCharType="end"/>
        </w:r>
      </w:hyperlink>
    </w:p>
    <w:p w14:paraId="4AF480F0" w14:textId="30541A04" w:rsidR="00242E8D" w:rsidRDefault="00087879">
      <w:pPr>
        <w:pStyle w:val="TOC1"/>
        <w:rPr>
          <w:rFonts w:asciiTheme="minorHAnsi" w:eastAsiaTheme="minorEastAsia" w:hAnsiTheme="minorHAnsi" w:cstheme="minorBidi"/>
          <w:noProof/>
          <w:sz w:val="22"/>
        </w:rPr>
      </w:pPr>
      <w:hyperlink w:anchor="_Toc68786299" w:history="1">
        <w:r w:rsidR="00242E8D" w:rsidRPr="00702EC9">
          <w:rPr>
            <w:rStyle w:val="Hyperlink"/>
            <w:noProof/>
          </w:rPr>
          <w:t>Chapter 2: Trends in greenhouse gas emissions</w:t>
        </w:r>
        <w:r w:rsidR="00242E8D">
          <w:rPr>
            <w:noProof/>
            <w:webHidden/>
          </w:rPr>
          <w:tab/>
        </w:r>
        <w:r w:rsidR="00242E8D">
          <w:rPr>
            <w:noProof/>
            <w:webHidden/>
          </w:rPr>
          <w:fldChar w:fldCharType="begin"/>
        </w:r>
        <w:r w:rsidR="00242E8D">
          <w:rPr>
            <w:noProof/>
            <w:webHidden/>
          </w:rPr>
          <w:instrText xml:space="preserve"> PAGEREF _Toc68786299 \h </w:instrText>
        </w:r>
        <w:r w:rsidR="00242E8D">
          <w:rPr>
            <w:noProof/>
            <w:webHidden/>
          </w:rPr>
        </w:r>
        <w:r w:rsidR="00242E8D">
          <w:rPr>
            <w:noProof/>
            <w:webHidden/>
          </w:rPr>
          <w:fldChar w:fldCharType="separate"/>
        </w:r>
        <w:r w:rsidR="00B94D2F">
          <w:rPr>
            <w:noProof/>
            <w:webHidden/>
          </w:rPr>
          <w:t>58</w:t>
        </w:r>
        <w:r w:rsidR="00242E8D">
          <w:rPr>
            <w:noProof/>
            <w:webHidden/>
          </w:rPr>
          <w:fldChar w:fldCharType="end"/>
        </w:r>
      </w:hyperlink>
    </w:p>
    <w:p w14:paraId="210347F6" w14:textId="59422E37" w:rsidR="00242E8D" w:rsidRDefault="00087879">
      <w:pPr>
        <w:pStyle w:val="TOC2"/>
        <w:rPr>
          <w:rFonts w:asciiTheme="minorHAnsi" w:eastAsiaTheme="minorEastAsia" w:hAnsiTheme="minorHAnsi" w:cstheme="minorBidi"/>
          <w:noProof/>
          <w:sz w:val="22"/>
        </w:rPr>
      </w:pPr>
      <w:hyperlink w:anchor="_Toc68786300" w:history="1">
        <w:r w:rsidR="00242E8D" w:rsidRPr="00702EC9">
          <w:rPr>
            <w:rStyle w:val="Hyperlink"/>
            <w:noProof/>
          </w:rPr>
          <w:t xml:space="preserve">2.1 </w:t>
        </w:r>
        <w:r w:rsidR="00242E8D">
          <w:rPr>
            <w:rFonts w:asciiTheme="minorHAnsi" w:eastAsiaTheme="minorEastAsia" w:hAnsiTheme="minorHAnsi" w:cstheme="minorBidi"/>
            <w:noProof/>
            <w:sz w:val="22"/>
          </w:rPr>
          <w:tab/>
        </w:r>
        <w:r w:rsidR="00242E8D" w:rsidRPr="00702EC9">
          <w:rPr>
            <w:rStyle w:val="Hyperlink"/>
            <w:noProof/>
          </w:rPr>
          <w:t>Emission trends for aggregated greenhouse gas emissions</w:t>
        </w:r>
        <w:r w:rsidR="00242E8D">
          <w:rPr>
            <w:noProof/>
            <w:webHidden/>
          </w:rPr>
          <w:tab/>
        </w:r>
        <w:r w:rsidR="00242E8D">
          <w:rPr>
            <w:noProof/>
            <w:webHidden/>
          </w:rPr>
          <w:fldChar w:fldCharType="begin"/>
        </w:r>
        <w:r w:rsidR="00242E8D">
          <w:rPr>
            <w:noProof/>
            <w:webHidden/>
          </w:rPr>
          <w:instrText xml:space="preserve"> PAGEREF _Toc68786300 \h </w:instrText>
        </w:r>
        <w:r w:rsidR="00242E8D">
          <w:rPr>
            <w:noProof/>
            <w:webHidden/>
          </w:rPr>
        </w:r>
        <w:r w:rsidR="00242E8D">
          <w:rPr>
            <w:noProof/>
            <w:webHidden/>
          </w:rPr>
          <w:fldChar w:fldCharType="separate"/>
        </w:r>
        <w:r w:rsidR="00B94D2F">
          <w:rPr>
            <w:noProof/>
            <w:webHidden/>
          </w:rPr>
          <w:t>58</w:t>
        </w:r>
        <w:r w:rsidR="00242E8D">
          <w:rPr>
            <w:noProof/>
            <w:webHidden/>
          </w:rPr>
          <w:fldChar w:fldCharType="end"/>
        </w:r>
      </w:hyperlink>
    </w:p>
    <w:p w14:paraId="15EC7ADE" w14:textId="58BB2579" w:rsidR="00242E8D" w:rsidRDefault="00087879">
      <w:pPr>
        <w:pStyle w:val="TOC2"/>
        <w:rPr>
          <w:rFonts w:asciiTheme="minorHAnsi" w:eastAsiaTheme="minorEastAsia" w:hAnsiTheme="minorHAnsi" w:cstheme="minorBidi"/>
          <w:noProof/>
          <w:sz w:val="22"/>
        </w:rPr>
      </w:pPr>
      <w:hyperlink w:anchor="_Toc68786301" w:history="1">
        <w:r w:rsidR="00242E8D" w:rsidRPr="00702EC9">
          <w:rPr>
            <w:rStyle w:val="Hyperlink"/>
            <w:noProof/>
          </w:rPr>
          <w:t xml:space="preserve">2.2 </w:t>
        </w:r>
        <w:r w:rsidR="00242E8D">
          <w:rPr>
            <w:rFonts w:asciiTheme="minorHAnsi" w:eastAsiaTheme="minorEastAsia" w:hAnsiTheme="minorHAnsi" w:cstheme="minorBidi"/>
            <w:noProof/>
            <w:sz w:val="22"/>
          </w:rPr>
          <w:tab/>
        </w:r>
        <w:r w:rsidR="00242E8D" w:rsidRPr="00702EC9">
          <w:rPr>
            <w:rStyle w:val="Hyperlink"/>
            <w:noProof/>
          </w:rPr>
          <w:t>Emission trends by sector</w:t>
        </w:r>
        <w:r w:rsidR="00242E8D">
          <w:rPr>
            <w:noProof/>
            <w:webHidden/>
          </w:rPr>
          <w:tab/>
        </w:r>
        <w:r w:rsidR="00242E8D">
          <w:rPr>
            <w:noProof/>
            <w:webHidden/>
          </w:rPr>
          <w:fldChar w:fldCharType="begin"/>
        </w:r>
        <w:r w:rsidR="00242E8D">
          <w:rPr>
            <w:noProof/>
            <w:webHidden/>
          </w:rPr>
          <w:instrText xml:space="preserve"> PAGEREF _Toc68786301 \h </w:instrText>
        </w:r>
        <w:r w:rsidR="00242E8D">
          <w:rPr>
            <w:noProof/>
            <w:webHidden/>
          </w:rPr>
        </w:r>
        <w:r w:rsidR="00242E8D">
          <w:rPr>
            <w:noProof/>
            <w:webHidden/>
          </w:rPr>
          <w:fldChar w:fldCharType="separate"/>
        </w:r>
        <w:r w:rsidR="00B94D2F">
          <w:rPr>
            <w:noProof/>
            <w:webHidden/>
          </w:rPr>
          <w:t>60</w:t>
        </w:r>
        <w:r w:rsidR="00242E8D">
          <w:rPr>
            <w:noProof/>
            <w:webHidden/>
          </w:rPr>
          <w:fldChar w:fldCharType="end"/>
        </w:r>
      </w:hyperlink>
    </w:p>
    <w:p w14:paraId="2C32499A" w14:textId="01C9BEF0" w:rsidR="00242E8D" w:rsidRDefault="00087879">
      <w:pPr>
        <w:pStyle w:val="TOC2"/>
        <w:rPr>
          <w:rFonts w:asciiTheme="minorHAnsi" w:eastAsiaTheme="minorEastAsia" w:hAnsiTheme="minorHAnsi" w:cstheme="minorBidi"/>
          <w:noProof/>
          <w:sz w:val="22"/>
        </w:rPr>
      </w:pPr>
      <w:hyperlink w:anchor="_Toc68786302" w:history="1">
        <w:r w:rsidR="00242E8D" w:rsidRPr="00702EC9">
          <w:rPr>
            <w:rStyle w:val="Hyperlink"/>
            <w:noProof/>
          </w:rPr>
          <w:t xml:space="preserve">2.3 </w:t>
        </w:r>
        <w:r w:rsidR="00242E8D">
          <w:rPr>
            <w:rFonts w:asciiTheme="minorHAnsi" w:eastAsiaTheme="minorEastAsia" w:hAnsiTheme="minorHAnsi" w:cstheme="minorBidi"/>
            <w:noProof/>
            <w:sz w:val="22"/>
          </w:rPr>
          <w:tab/>
        </w:r>
        <w:r w:rsidR="00242E8D" w:rsidRPr="00702EC9">
          <w:rPr>
            <w:rStyle w:val="Hyperlink"/>
            <w:noProof/>
          </w:rPr>
          <w:t>Activities under Article 3.3 and Article 3.4 of the Kyoto Protocol</w:t>
        </w:r>
        <w:r w:rsidR="00242E8D">
          <w:rPr>
            <w:noProof/>
            <w:webHidden/>
          </w:rPr>
          <w:tab/>
        </w:r>
        <w:r w:rsidR="00242E8D">
          <w:rPr>
            <w:noProof/>
            <w:webHidden/>
          </w:rPr>
          <w:fldChar w:fldCharType="begin"/>
        </w:r>
        <w:r w:rsidR="00242E8D">
          <w:rPr>
            <w:noProof/>
            <w:webHidden/>
          </w:rPr>
          <w:instrText xml:space="preserve"> PAGEREF _Toc68786302 \h </w:instrText>
        </w:r>
        <w:r w:rsidR="00242E8D">
          <w:rPr>
            <w:noProof/>
            <w:webHidden/>
          </w:rPr>
        </w:r>
        <w:r w:rsidR="00242E8D">
          <w:rPr>
            <w:noProof/>
            <w:webHidden/>
          </w:rPr>
          <w:fldChar w:fldCharType="separate"/>
        </w:r>
        <w:r w:rsidR="00B94D2F">
          <w:rPr>
            <w:noProof/>
            <w:webHidden/>
          </w:rPr>
          <w:t>77</w:t>
        </w:r>
        <w:r w:rsidR="00242E8D">
          <w:rPr>
            <w:noProof/>
            <w:webHidden/>
          </w:rPr>
          <w:fldChar w:fldCharType="end"/>
        </w:r>
      </w:hyperlink>
    </w:p>
    <w:p w14:paraId="203E6034" w14:textId="4E074F17" w:rsidR="00242E8D" w:rsidRDefault="00087879">
      <w:pPr>
        <w:pStyle w:val="TOC2"/>
        <w:rPr>
          <w:rFonts w:asciiTheme="minorHAnsi" w:eastAsiaTheme="minorEastAsia" w:hAnsiTheme="minorHAnsi" w:cstheme="minorBidi"/>
          <w:noProof/>
          <w:sz w:val="22"/>
        </w:rPr>
      </w:pPr>
      <w:hyperlink w:anchor="_Toc68786303" w:history="1">
        <w:r w:rsidR="00242E8D" w:rsidRPr="00702EC9">
          <w:rPr>
            <w:rStyle w:val="Hyperlink"/>
            <w:noProof/>
          </w:rPr>
          <w:t>Chapter 2: References</w:t>
        </w:r>
        <w:r w:rsidR="00242E8D">
          <w:rPr>
            <w:noProof/>
            <w:webHidden/>
          </w:rPr>
          <w:tab/>
        </w:r>
        <w:r w:rsidR="00242E8D">
          <w:rPr>
            <w:noProof/>
            <w:webHidden/>
          </w:rPr>
          <w:fldChar w:fldCharType="begin"/>
        </w:r>
        <w:r w:rsidR="00242E8D">
          <w:rPr>
            <w:noProof/>
            <w:webHidden/>
          </w:rPr>
          <w:instrText xml:space="preserve"> PAGEREF _Toc68786303 \h </w:instrText>
        </w:r>
        <w:r w:rsidR="00242E8D">
          <w:rPr>
            <w:noProof/>
            <w:webHidden/>
          </w:rPr>
        </w:r>
        <w:r w:rsidR="00242E8D">
          <w:rPr>
            <w:noProof/>
            <w:webHidden/>
          </w:rPr>
          <w:fldChar w:fldCharType="separate"/>
        </w:r>
        <w:r w:rsidR="00B94D2F">
          <w:rPr>
            <w:noProof/>
            <w:webHidden/>
          </w:rPr>
          <w:t>81</w:t>
        </w:r>
        <w:r w:rsidR="00242E8D">
          <w:rPr>
            <w:noProof/>
            <w:webHidden/>
          </w:rPr>
          <w:fldChar w:fldCharType="end"/>
        </w:r>
      </w:hyperlink>
    </w:p>
    <w:p w14:paraId="13FD7AC4" w14:textId="74DC5865" w:rsidR="00242E8D" w:rsidRDefault="00087879">
      <w:pPr>
        <w:pStyle w:val="TOC1"/>
        <w:rPr>
          <w:rFonts w:asciiTheme="minorHAnsi" w:eastAsiaTheme="minorEastAsia" w:hAnsiTheme="minorHAnsi" w:cstheme="minorBidi"/>
          <w:noProof/>
          <w:sz w:val="22"/>
        </w:rPr>
      </w:pPr>
      <w:hyperlink w:anchor="_Toc68786304" w:history="1">
        <w:r w:rsidR="00242E8D" w:rsidRPr="00702EC9">
          <w:rPr>
            <w:rStyle w:val="Hyperlink"/>
            <w:rFonts w:cs="Calibri"/>
            <w:noProof/>
            <w:lang w:eastAsia="en-GB"/>
          </w:rPr>
          <w:t>Chapter 3: Energy</w:t>
        </w:r>
        <w:r w:rsidR="00242E8D">
          <w:rPr>
            <w:noProof/>
            <w:webHidden/>
          </w:rPr>
          <w:tab/>
        </w:r>
        <w:r w:rsidR="00242E8D">
          <w:rPr>
            <w:noProof/>
            <w:webHidden/>
          </w:rPr>
          <w:fldChar w:fldCharType="begin"/>
        </w:r>
        <w:r w:rsidR="00242E8D">
          <w:rPr>
            <w:noProof/>
            <w:webHidden/>
          </w:rPr>
          <w:instrText xml:space="preserve"> PAGEREF _Toc68786304 \h </w:instrText>
        </w:r>
        <w:r w:rsidR="00242E8D">
          <w:rPr>
            <w:noProof/>
            <w:webHidden/>
          </w:rPr>
        </w:r>
        <w:r w:rsidR="00242E8D">
          <w:rPr>
            <w:noProof/>
            <w:webHidden/>
          </w:rPr>
          <w:fldChar w:fldCharType="separate"/>
        </w:r>
        <w:r w:rsidR="00B94D2F">
          <w:rPr>
            <w:noProof/>
            <w:webHidden/>
          </w:rPr>
          <w:t>82</w:t>
        </w:r>
        <w:r w:rsidR="00242E8D">
          <w:rPr>
            <w:noProof/>
            <w:webHidden/>
          </w:rPr>
          <w:fldChar w:fldCharType="end"/>
        </w:r>
      </w:hyperlink>
    </w:p>
    <w:p w14:paraId="7E5B7CCD" w14:textId="352ACF02" w:rsidR="00242E8D" w:rsidRDefault="00087879">
      <w:pPr>
        <w:pStyle w:val="TOC2"/>
        <w:rPr>
          <w:rFonts w:asciiTheme="minorHAnsi" w:eastAsiaTheme="minorEastAsia" w:hAnsiTheme="minorHAnsi" w:cstheme="minorBidi"/>
          <w:noProof/>
          <w:sz w:val="22"/>
        </w:rPr>
      </w:pPr>
      <w:hyperlink w:anchor="_Toc68786305" w:history="1">
        <w:r w:rsidR="00242E8D" w:rsidRPr="00702EC9">
          <w:rPr>
            <w:rStyle w:val="Hyperlink"/>
            <w:rFonts w:cs="Calibri"/>
            <w:noProof/>
          </w:rPr>
          <w:t>3.1</w:t>
        </w:r>
        <w:r w:rsidR="00242E8D">
          <w:rPr>
            <w:rFonts w:asciiTheme="minorHAnsi" w:eastAsiaTheme="minorEastAsia" w:hAnsiTheme="minorHAnsi" w:cstheme="minorBidi"/>
            <w:noProof/>
            <w:sz w:val="22"/>
          </w:rPr>
          <w:tab/>
        </w:r>
        <w:r w:rsidR="00242E8D" w:rsidRPr="00702EC9">
          <w:rPr>
            <w:rStyle w:val="Hyperlink"/>
            <w:rFonts w:cs="Calibri"/>
            <w:noProof/>
          </w:rPr>
          <w:t>Sector overview</w:t>
        </w:r>
        <w:r w:rsidR="00242E8D">
          <w:rPr>
            <w:noProof/>
            <w:webHidden/>
          </w:rPr>
          <w:tab/>
        </w:r>
        <w:r w:rsidR="00242E8D">
          <w:rPr>
            <w:noProof/>
            <w:webHidden/>
          </w:rPr>
          <w:fldChar w:fldCharType="begin"/>
        </w:r>
        <w:r w:rsidR="00242E8D">
          <w:rPr>
            <w:noProof/>
            <w:webHidden/>
          </w:rPr>
          <w:instrText xml:space="preserve"> PAGEREF _Toc68786305 \h </w:instrText>
        </w:r>
        <w:r w:rsidR="00242E8D">
          <w:rPr>
            <w:noProof/>
            <w:webHidden/>
          </w:rPr>
        </w:r>
        <w:r w:rsidR="00242E8D">
          <w:rPr>
            <w:noProof/>
            <w:webHidden/>
          </w:rPr>
          <w:fldChar w:fldCharType="separate"/>
        </w:r>
        <w:r w:rsidR="00B94D2F">
          <w:rPr>
            <w:noProof/>
            <w:webHidden/>
          </w:rPr>
          <w:t>82</w:t>
        </w:r>
        <w:r w:rsidR="00242E8D">
          <w:rPr>
            <w:noProof/>
            <w:webHidden/>
          </w:rPr>
          <w:fldChar w:fldCharType="end"/>
        </w:r>
      </w:hyperlink>
    </w:p>
    <w:p w14:paraId="16CFCF3E" w14:textId="2CA98519" w:rsidR="00242E8D" w:rsidRDefault="00087879">
      <w:pPr>
        <w:pStyle w:val="TOC2"/>
        <w:rPr>
          <w:rFonts w:asciiTheme="minorHAnsi" w:eastAsiaTheme="minorEastAsia" w:hAnsiTheme="minorHAnsi" w:cstheme="minorBidi"/>
          <w:noProof/>
          <w:sz w:val="22"/>
        </w:rPr>
      </w:pPr>
      <w:hyperlink w:anchor="_Toc68786306" w:history="1">
        <w:r w:rsidR="00242E8D" w:rsidRPr="00702EC9">
          <w:rPr>
            <w:rStyle w:val="Hyperlink"/>
            <w:rFonts w:cs="Calibri"/>
            <w:noProof/>
          </w:rPr>
          <w:t>3.2</w:t>
        </w:r>
        <w:r w:rsidR="00242E8D">
          <w:rPr>
            <w:rFonts w:asciiTheme="minorHAnsi" w:eastAsiaTheme="minorEastAsia" w:hAnsiTheme="minorHAnsi" w:cstheme="minorBidi"/>
            <w:noProof/>
            <w:sz w:val="22"/>
          </w:rPr>
          <w:tab/>
        </w:r>
        <w:r w:rsidR="00242E8D" w:rsidRPr="00702EC9">
          <w:rPr>
            <w:rStyle w:val="Hyperlink"/>
            <w:rFonts w:cs="Calibri"/>
            <w:noProof/>
          </w:rPr>
          <w:t>Background information</w:t>
        </w:r>
        <w:r w:rsidR="00242E8D">
          <w:rPr>
            <w:noProof/>
            <w:webHidden/>
          </w:rPr>
          <w:tab/>
        </w:r>
        <w:r w:rsidR="00242E8D">
          <w:rPr>
            <w:noProof/>
            <w:webHidden/>
          </w:rPr>
          <w:fldChar w:fldCharType="begin"/>
        </w:r>
        <w:r w:rsidR="00242E8D">
          <w:rPr>
            <w:noProof/>
            <w:webHidden/>
          </w:rPr>
          <w:instrText xml:space="preserve"> PAGEREF _Toc68786306 \h </w:instrText>
        </w:r>
        <w:r w:rsidR="00242E8D">
          <w:rPr>
            <w:noProof/>
            <w:webHidden/>
          </w:rPr>
        </w:r>
        <w:r w:rsidR="00242E8D">
          <w:rPr>
            <w:noProof/>
            <w:webHidden/>
          </w:rPr>
          <w:fldChar w:fldCharType="separate"/>
        </w:r>
        <w:r w:rsidR="00B94D2F">
          <w:rPr>
            <w:noProof/>
            <w:webHidden/>
          </w:rPr>
          <w:t>85</w:t>
        </w:r>
        <w:r w:rsidR="00242E8D">
          <w:rPr>
            <w:noProof/>
            <w:webHidden/>
          </w:rPr>
          <w:fldChar w:fldCharType="end"/>
        </w:r>
      </w:hyperlink>
    </w:p>
    <w:p w14:paraId="3D4E4049" w14:textId="5AAA2D8D" w:rsidR="00242E8D" w:rsidRDefault="00087879">
      <w:pPr>
        <w:pStyle w:val="TOC2"/>
        <w:rPr>
          <w:rFonts w:asciiTheme="minorHAnsi" w:eastAsiaTheme="minorEastAsia" w:hAnsiTheme="minorHAnsi" w:cstheme="minorBidi"/>
          <w:noProof/>
          <w:sz w:val="22"/>
        </w:rPr>
      </w:pPr>
      <w:hyperlink w:anchor="_Toc68786307" w:history="1">
        <w:r w:rsidR="00242E8D" w:rsidRPr="00702EC9">
          <w:rPr>
            <w:rStyle w:val="Hyperlink"/>
            <w:rFonts w:cs="Calibri"/>
            <w:noProof/>
          </w:rPr>
          <w:t>3.3</w:t>
        </w:r>
        <w:r w:rsidR="00242E8D">
          <w:rPr>
            <w:rFonts w:asciiTheme="minorHAnsi" w:eastAsiaTheme="minorEastAsia" w:hAnsiTheme="minorHAnsi" w:cstheme="minorBidi"/>
            <w:noProof/>
            <w:sz w:val="22"/>
          </w:rPr>
          <w:tab/>
        </w:r>
        <w:r w:rsidR="00242E8D" w:rsidRPr="00702EC9">
          <w:rPr>
            <w:rStyle w:val="Hyperlink"/>
            <w:rFonts w:cs="Calibri"/>
            <w:noProof/>
          </w:rPr>
          <w:t>Fuel combustion (CRF 1.A)</w:t>
        </w:r>
        <w:r w:rsidR="00242E8D">
          <w:rPr>
            <w:noProof/>
            <w:webHidden/>
          </w:rPr>
          <w:tab/>
        </w:r>
        <w:r w:rsidR="00242E8D">
          <w:rPr>
            <w:noProof/>
            <w:webHidden/>
          </w:rPr>
          <w:fldChar w:fldCharType="begin"/>
        </w:r>
        <w:r w:rsidR="00242E8D">
          <w:rPr>
            <w:noProof/>
            <w:webHidden/>
          </w:rPr>
          <w:instrText xml:space="preserve"> PAGEREF _Toc68786307 \h </w:instrText>
        </w:r>
        <w:r w:rsidR="00242E8D">
          <w:rPr>
            <w:noProof/>
            <w:webHidden/>
          </w:rPr>
        </w:r>
        <w:r w:rsidR="00242E8D">
          <w:rPr>
            <w:noProof/>
            <w:webHidden/>
          </w:rPr>
          <w:fldChar w:fldCharType="separate"/>
        </w:r>
        <w:r w:rsidR="00B94D2F">
          <w:rPr>
            <w:noProof/>
            <w:webHidden/>
          </w:rPr>
          <w:t>88</w:t>
        </w:r>
        <w:r w:rsidR="00242E8D">
          <w:rPr>
            <w:noProof/>
            <w:webHidden/>
          </w:rPr>
          <w:fldChar w:fldCharType="end"/>
        </w:r>
      </w:hyperlink>
    </w:p>
    <w:p w14:paraId="7E050449" w14:textId="6934A7D3" w:rsidR="00242E8D" w:rsidRDefault="00087879">
      <w:pPr>
        <w:pStyle w:val="TOC2"/>
        <w:rPr>
          <w:rFonts w:asciiTheme="minorHAnsi" w:eastAsiaTheme="minorEastAsia" w:hAnsiTheme="minorHAnsi" w:cstheme="minorBidi"/>
          <w:noProof/>
          <w:sz w:val="22"/>
        </w:rPr>
      </w:pPr>
      <w:hyperlink w:anchor="_Toc68786308" w:history="1">
        <w:r w:rsidR="00242E8D" w:rsidRPr="00702EC9">
          <w:rPr>
            <w:rStyle w:val="Hyperlink"/>
            <w:rFonts w:cs="Calibri"/>
            <w:noProof/>
          </w:rPr>
          <w:t>3.4</w:t>
        </w:r>
        <w:r w:rsidR="00242E8D">
          <w:rPr>
            <w:rFonts w:asciiTheme="minorHAnsi" w:eastAsiaTheme="minorEastAsia" w:hAnsiTheme="minorHAnsi" w:cstheme="minorBidi"/>
            <w:noProof/>
            <w:sz w:val="22"/>
          </w:rPr>
          <w:tab/>
        </w:r>
        <w:r w:rsidR="00242E8D" w:rsidRPr="00702EC9">
          <w:rPr>
            <w:rStyle w:val="Hyperlink"/>
            <w:rFonts w:cs="Calibri"/>
            <w:noProof/>
          </w:rPr>
          <w:t>Fugitive emissions from fuels (CRF 1.B)</w:t>
        </w:r>
        <w:r w:rsidR="00242E8D">
          <w:rPr>
            <w:noProof/>
            <w:webHidden/>
          </w:rPr>
          <w:tab/>
        </w:r>
        <w:r w:rsidR="00242E8D">
          <w:rPr>
            <w:noProof/>
            <w:webHidden/>
          </w:rPr>
          <w:fldChar w:fldCharType="begin"/>
        </w:r>
        <w:r w:rsidR="00242E8D">
          <w:rPr>
            <w:noProof/>
            <w:webHidden/>
          </w:rPr>
          <w:instrText xml:space="preserve"> PAGEREF _Toc68786308 \h </w:instrText>
        </w:r>
        <w:r w:rsidR="00242E8D">
          <w:rPr>
            <w:noProof/>
            <w:webHidden/>
          </w:rPr>
        </w:r>
        <w:r w:rsidR="00242E8D">
          <w:rPr>
            <w:noProof/>
            <w:webHidden/>
          </w:rPr>
          <w:fldChar w:fldCharType="separate"/>
        </w:r>
        <w:r w:rsidR="00B94D2F">
          <w:rPr>
            <w:noProof/>
            <w:webHidden/>
          </w:rPr>
          <w:t>119</w:t>
        </w:r>
        <w:r w:rsidR="00242E8D">
          <w:rPr>
            <w:noProof/>
            <w:webHidden/>
          </w:rPr>
          <w:fldChar w:fldCharType="end"/>
        </w:r>
      </w:hyperlink>
    </w:p>
    <w:p w14:paraId="21826792" w14:textId="2A84FEBC" w:rsidR="00242E8D" w:rsidRDefault="00087879">
      <w:pPr>
        <w:pStyle w:val="TOC2"/>
        <w:rPr>
          <w:rFonts w:asciiTheme="minorHAnsi" w:eastAsiaTheme="minorEastAsia" w:hAnsiTheme="minorHAnsi" w:cstheme="minorBidi"/>
          <w:noProof/>
          <w:sz w:val="22"/>
        </w:rPr>
      </w:pPr>
      <w:hyperlink w:anchor="_Toc68786309" w:history="1">
        <w:r w:rsidR="00242E8D" w:rsidRPr="00702EC9">
          <w:rPr>
            <w:rStyle w:val="Hyperlink"/>
            <w:rFonts w:cs="Calibri"/>
            <w:noProof/>
          </w:rPr>
          <w:t>Chapter 3: References</w:t>
        </w:r>
        <w:r w:rsidR="00242E8D">
          <w:rPr>
            <w:noProof/>
            <w:webHidden/>
          </w:rPr>
          <w:tab/>
        </w:r>
        <w:r w:rsidR="00242E8D">
          <w:rPr>
            <w:noProof/>
            <w:webHidden/>
          </w:rPr>
          <w:fldChar w:fldCharType="begin"/>
        </w:r>
        <w:r w:rsidR="00242E8D">
          <w:rPr>
            <w:noProof/>
            <w:webHidden/>
          </w:rPr>
          <w:instrText xml:space="preserve"> PAGEREF _Toc68786309 \h </w:instrText>
        </w:r>
        <w:r w:rsidR="00242E8D">
          <w:rPr>
            <w:noProof/>
            <w:webHidden/>
          </w:rPr>
        </w:r>
        <w:r w:rsidR="00242E8D">
          <w:rPr>
            <w:noProof/>
            <w:webHidden/>
          </w:rPr>
          <w:fldChar w:fldCharType="separate"/>
        </w:r>
        <w:r w:rsidR="00B94D2F">
          <w:rPr>
            <w:noProof/>
            <w:webHidden/>
          </w:rPr>
          <w:t>128</w:t>
        </w:r>
        <w:r w:rsidR="00242E8D">
          <w:rPr>
            <w:noProof/>
            <w:webHidden/>
          </w:rPr>
          <w:fldChar w:fldCharType="end"/>
        </w:r>
      </w:hyperlink>
    </w:p>
    <w:p w14:paraId="22CC1A0B" w14:textId="21F74199" w:rsidR="00242E8D" w:rsidRDefault="00087879">
      <w:pPr>
        <w:pStyle w:val="TOC1"/>
        <w:rPr>
          <w:rFonts w:asciiTheme="minorHAnsi" w:eastAsiaTheme="minorEastAsia" w:hAnsiTheme="minorHAnsi" w:cstheme="minorBidi"/>
          <w:noProof/>
          <w:sz w:val="22"/>
        </w:rPr>
      </w:pPr>
      <w:hyperlink w:anchor="_Toc68786310" w:history="1">
        <w:r w:rsidR="00242E8D" w:rsidRPr="00702EC9">
          <w:rPr>
            <w:rStyle w:val="Hyperlink"/>
            <w:noProof/>
          </w:rPr>
          <w:t>Chapter 4: Industrial Processes and Product Use (IPPU)</w:t>
        </w:r>
        <w:r w:rsidR="00242E8D">
          <w:rPr>
            <w:noProof/>
            <w:webHidden/>
          </w:rPr>
          <w:tab/>
        </w:r>
        <w:r w:rsidR="00242E8D">
          <w:rPr>
            <w:noProof/>
            <w:webHidden/>
          </w:rPr>
          <w:fldChar w:fldCharType="begin"/>
        </w:r>
        <w:r w:rsidR="00242E8D">
          <w:rPr>
            <w:noProof/>
            <w:webHidden/>
          </w:rPr>
          <w:instrText xml:space="preserve"> PAGEREF _Toc68786310 \h </w:instrText>
        </w:r>
        <w:r w:rsidR="00242E8D">
          <w:rPr>
            <w:noProof/>
            <w:webHidden/>
          </w:rPr>
        </w:r>
        <w:r w:rsidR="00242E8D">
          <w:rPr>
            <w:noProof/>
            <w:webHidden/>
          </w:rPr>
          <w:fldChar w:fldCharType="separate"/>
        </w:r>
        <w:r w:rsidR="00B94D2F">
          <w:rPr>
            <w:noProof/>
            <w:webHidden/>
          </w:rPr>
          <w:t>130</w:t>
        </w:r>
        <w:r w:rsidR="00242E8D">
          <w:rPr>
            <w:noProof/>
            <w:webHidden/>
          </w:rPr>
          <w:fldChar w:fldCharType="end"/>
        </w:r>
      </w:hyperlink>
    </w:p>
    <w:p w14:paraId="0B0FCED9" w14:textId="7980AF07" w:rsidR="00242E8D" w:rsidRDefault="00087879">
      <w:pPr>
        <w:pStyle w:val="TOC2"/>
        <w:rPr>
          <w:rFonts w:asciiTheme="minorHAnsi" w:eastAsiaTheme="minorEastAsia" w:hAnsiTheme="minorHAnsi" w:cstheme="minorBidi"/>
          <w:noProof/>
          <w:sz w:val="22"/>
        </w:rPr>
      </w:pPr>
      <w:hyperlink w:anchor="_Toc68786311" w:history="1">
        <w:r w:rsidR="00242E8D" w:rsidRPr="00702EC9">
          <w:rPr>
            <w:rStyle w:val="Hyperlink"/>
            <w:noProof/>
          </w:rPr>
          <w:t xml:space="preserve">4.1 </w:t>
        </w:r>
        <w:r w:rsidR="00242E8D">
          <w:rPr>
            <w:rFonts w:asciiTheme="minorHAnsi" w:eastAsiaTheme="minorEastAsia" w:hAnsiTheme="minorHAnsi" w:cstheme="minorBidi"/>
            <w:noProof/>
            <w:sz w:val="22"/>
          </w:rPr>
          <w:tab/>
        </w:r>
        <w:r w:rsidR="00242E8D" w:rsidRPr="00702EC9">
          <w:rPr>
            <w:rStyle w:val="Hyperlink"/>
            <w:noProof/>
          </w:rPr>
          <w:t>Sector overview</w:t>
        </w:r>
        <w:r w:rsidR="00242E8D">
          <w:rPr>
            <w:noProof/>
            <w:webHidden/>
          </w:rPr>
          <w:tab/>
        </w:r>
        <w:r w:rsidR="00242E8D">
          <w:rPr>
            <w:noProof/>
            <w:webHidden/>
          </w:rPr>
          <w:fldChar w:fldCharType="begin"/>
        </w:r>
        <w:r w:rsidR="00242E8D">
          <w:rPr>
            <w:noProof/>
            <w:webHidden/>
          </w:rPr>
          <w:instrText xml:space="preserve"> PAGEREF _Toc68786311 \h </w:instrText>
        </w:r>
        <w:r w:rsidR="00242E8D">
          <w:rPr>
            <w:noProof/>
            <w:webHidden/>
          </w:rPr>
        </w:r>
        <w:r w:rsidR="00242E8D">
          <w:rPr>
            <w:noProof/>
            <w:webHidden/>
          </w:rPr>
          <w:fldChar w:fldCharType="separate"/>
        </w:r>
        <w:r w:rsidR="00B94D2F">
          <w:rPr>
            <w:noProof/>
            <w:webHidden/>
          </w:rPr>
          <w:t>130</w:t>
        </w:r>
        <w:r w:rsidR="00242E8D">
          <w:rPr>
            <w:noProof/>
            <w:webHidden/>
          </w:rPr>
          <w:fldChar w:fldCharType="end"/>
        </w:r>
      </w:hyperlink>
    </w:p>
    <w:p w14:paraId="787F0CCE" w14:textId="7B7C48D3" w:rsidR="00242E8D" w:rsidRDefault="00087879">
      <w:pPr>
        <w:pStyle w:val="TOC2"/>
        <w:rPr>
          <w:rFonts w:asciiTheme="minorHAnsi" w:eastAsiaTheme="minorEastAsia" w:hAnsiTheme="minorHAnsi" w:cstheme="minorBidi"/>
          <w:noProof/>
          <w:sz w:val="22"/>
        </w:rPr>
      </w:pPr>
      <w:hyperlink w:anchor="_Toc68786312" w:history="1">
        <w:r w:rsidR="00242E8D" w:rsidRPr="00702EC9">
          <w:rPr>
            <w:rStyle w:val="Hyperlink"/>
            <w:noProof/>
          </w:rPr>
          <w:t>4.2</w:t>
        </w:r>
        <w:r w:rsidR="00242E8D">
          <w:rPr>
            <w:rFonts w:asciiTheme="minorHAnsi" w:eastAsiaTheme="minorEastAsia" w:hAnsiTheme="minorHAnsi" w:cstheme="minorBidi"/>
            <w:noProof/>
            <w:sz w:val="22"/>
          </w:rPr>
          <w:tab/>
        </w:r>
        <w:r w:rsidR="00242E8D" w:rsidRPr="00702EC9">
          <w:rPr>
            <w:rStyle w:val="Hyperlink"/>
            <w:noProof/>
          </w:rPr>
          <w:t>Mineral industry (2.A)</w:t>
        </w:r>
        <w:r w:rsidR="00242E8D">
          <w:rPr>
            <w:noProof/>
            <w:webHidden/>
          </w:rPr>
          <w:tab/>
        </w:r>
        <w:r w:rsidR="00242E8D">
          <w:rPr>
            <w:noProof/>
            <w:webHidden/>
          </w:rPr>
          <w:fldChar w:fldCharType="begin"/>
        </w:r>
        <w:r w:rsidR="00242E8D">
          <w:rPr>
            <w:noProof/>
            <w:webHidden/>
          </w:rPr>
          <w:instrText xml:space="preserve"> PAGEREF _Toc68786312 \h </w:instrText>
        </w:r>
        <w:r w:rsidR="00242E8D">
          <w:rPr>
            <w:noProof/>
            <w:webHidden/>
          </w:rPr>
        </w:r>
        <w:r w:rsidR="00242E8D">
          <w:rPr>
            <w:noProof/>
            <w:webHidden/>
          </w:rPr>
          <w:fldChar w:fldCharType="separate"/>
        </w:r>
        <w:r w:rsidR="00B94D2F">
          <w:rPr>
            <w:noProof/>
            <w:webHidden/>
          </w:rPr>
          <w:t>135</w:t>
        </w:r>
        <w:r w:rsidR="00242E8D">
          <w:rPr>
            <w:noProof/>
            <w:webHidden/>
          </w:rPr>
          <w:fldChar w:fldCharType="end"/>
        </w:r>
      </w:hyperlink>
    </w:p>
    <w:p w14:paraId="3D1B40F5" w14:textId="03E1DBEF" w:rsidR="00242E8D" w:rsidRDefault="00087879">
      <w:pPr>
        <w:pStyle w:val="TOC2"/>
        <w:rPr>
          <w:rFonts w:asciiTheme="minorHAnsi" w:eastAsiaTheme="minorEastAsia" w:hAnsiTheme="minorHAnsi" w:cstheme="minorBidi"/>
          <w:noProof/>
          <w:sz w:val="22"/>
        </w:rPr>
      </w:pPr>
      <w:hyperlink w:anchor="_Toc68786313" w:history="1">
        <w:r w:rsidR="00242E8D" w:rsidRPr="00702EC9">
          <w:rPr>
            <w:rStyle w:val="Hyperlink"/>
            <w:noProof/>
          </w:rPr>
          <w:t>4.3</w:t>
        </w:r>
        <w:r w:rsidR="00242E8D">
          <w:rPr>
            <w:rFonts w:asciiTheme="minorHAnsi" w:eastAsiaTheme="minorEastAsia" w:hAnsiTheme="minorHAnsi" w:cstheme="minorBidi"/>
            <w:noProof/>
            <w:sz w:val="22"/>
          </w:rPr>
          <w:tab/>
        </w:r>
        <w:r w:rsidR="00242E8D" w:rsidRPr="00702EC9">
          <w:rPr>
            <w:rStyle w:val="Hyperlink"/>
            <w:noProof/>
          </w:rPr>
          <w:t>Chemical industry (2.B)</w:t>
        </w:r>
        <w:r w:rsidR="00242E8D">
          <w:rPr>
            <w:noProof/>
            <w:webHidden/>
          </w:rPr>
          <w:tab/>
        </w:r>
        <w:r w:rsidR="00242E8D">
          <w:rPr>
            <w:noProof/>
            <w:webHidden/>
          </w:rPr>
          <w:fldChar w:fldCharType="begin"/>
        </w:r>
        <w:r w:rsidR="00242E8D">
          <w:rPr>
            <w:noProof/>
            <w:webHidden/>
          </w:rPr>
          <w:instrText xml:space="preserve"> PAGEREF _Toc68786313 \h </w:instrText>
        </w:r>
        <w:r w:rsidR="00242E8D">
          <w:rPr>
            <w:noProof/>
            <w:webHidden/>
          </w:rPr>
        </w:r>
        <w:r w:rsidR="00242E8D">
          <w:rPr>
            <w:noProof/>
            <w:webHidden/>
          </w:rPr>
          <w:fldChar w:fldCharType="separate"/>
        </w:r>
        <w:r w:rsidR="00B94D2F">
          <w:rPr>
            <w:noProof/>
            <w:webHidden/>
          </w:rPr>
          <w:t>140</w:t>
        </w:r>
        <w:r w:rsidR="00242E8D">
          <w:rPr>
            <w:noProof/>
            <w:webHidden/>
          </w:rPr>
          <w:fldChar w:fldCharType="end"/>
        </w:r>
      </w:hyperlink>
    </w:p>
    <w:p w14:paraId="5997D63D" w14:textId="5D90F6F2" w:rsidR="00242E8D" w:rsidRDefault="00087879">
      <w:pPr>
        <w:pStyle w:val="TOC2"/>
        <w:rPr>
          <w:rFonts w:asciiTheme="minorHAnsi" w:eastAsiaTheme="minorEastAsia" w:hAnsiTheme="minorHAnsi" w:cstheme="minorBidi"/>
          <w:noProof/>
          <w:sz w:val="22"/>
        </w:rPr>
      </w:pPr>
      <w:hyperlink w:anchor="_Toc68786314" w:history="1">
        <w:r w:rsidR="00242E8D" w:rsidRPr="00702EC9">
          <w:rPr>
            <w:rStyle w:val="Hyperlink"/>
            <w:noProof/>
          </w:rPr>
          <w:t>4.4</w:t>
        </w:r>
        <w:r w:rsidR="00242E8D">
          <w:rPr>
            <w:rFonts w:asciiTheme="minorHAnsi" w:eastAsiaTheme="minorEastAsia" w:hAnsiTheme="minorHAnsi" w:cstheme="minorBidi"/>
            <w:noProof/>
            <w:sz w:val="22"/>
          </w:rPr>
          <w:tab/>
        </w:r>
        <w:r w:rsidR="00242E8D" w:rsidRPr="00702EC9">
          <w:rPr>
            <w:rStyle w:val="Hyperlink"/>
            <w:noProof/>
          </w:rPr>
          <w:t>Metal industry (2.C)</w:t>
        </w:r>
        <w:r w:rsidR="00242E8D">
          <w:rPr>
            <w:noProof/>
            <w:webHidden/>
          </w:rPr>
          <w:tab/>
        </w:r>
        <w:r w:rsidR="00242E8D">
          <w:rPr>
            <w:noProof/>
            <w:webHidden/>
          </w:rPr>
          <w:fldChar w:fldCharType="begin"/>
        </w:r>
        <w:r w:rsidR="00242E8D">
          <w:rPr>
            <w:noProof/>
            <w:webHidden/>
          </w:rPr>
          <w:instrText xml:space="preserve"> PAGEREF _Toc68786314 \h </w:instrText>
        </w:r>
        <w:r w:rsidR="00242E8D">
          <w:rPr>
            <w:noProof/>
            <w:webHidden/>
          </w:rPr>
        </w:r>
        <w:r w:rsidR="00242E8D">
          <w:rPr>
            <w:noProof/>
            <w:webHidden/>
          </w:rPr>
          <w:fldChar w:fldCharType="separate"/>
        </w:r>
        <w:r w:rsidR="00B94D2F">
          <w:rPr>
            <w:noProof/>
            <w:webHidden/>
          </w:rPr>
          <w:t>144</w:t>
        </w:r>
        <w:r w:rsidR="00242E8D">
          <w:rPr>
            <w:noProof/>
            <w:webHidden/>
          </w:rPr>
          <w:fldChar w:fldCharType="end"/>
        </w:r>
      </w:hyperlink>
    </w:p>
    <w:p w14:paraId="3102B6D5" w14:textId="51A69445" w:rsidR="00242E8D" w:rsidRDefault="00087879">
      <w:pPr>
        <w:pStyle w:val="TOC2"/>
        <w:rPr>
          <w:rFonts w:asciiTheme="minorHAnsi" w:eastAsiaTheme="minorEastAsia" w:hAnsiTheme="minorHAnsi" w:cstheme="minorBidi"/>
          <w:noProof/>
          <w:sz w:val="22"/>
        </w:rPr>
      </w:pPr>
      <w:hyperlink w:anchor="_Toc68786315" w:history="1">
        <w:r w:rsidR="00242E8D" w:rsidRPr="00702EC9">
          <w:rPr>
            <w:rStyle w:val="Hyperlink"/>
            <w:noProof/>
          </w:rPr>
          <w:t>4.5</w:t>
        </w:r>
        <w:r w:rsidR="00242E8D">
          <w:rPr>
            <w:rFonts w:asciiTheme="minorHAnsi" w:eastAsiaTheme="minorEastAsia" w:hAnsiTheme="minorHAnsi" w:cstheme="minorBidi"/>
            <w:noProof/>
            <w:sz w:val="22"/>
          </w:rPr>
          <w:tab/>
        </w:r>
        <w:r w:rsidR="00242E8D" w:rsidRPr="00702EC9">
          <w:rPr>
            <w:rStyle w:val="Hyperlink"/>
            <w:noProof/>
          </w:rPr>
          <w:t>Non-energy products from fuels and solvent use (2.D)</w:t>
        </w:r>
        <w:r w:rsidR="00242E8D">
          <w:rPr>
            <w:noProof/>
            <w:webHidden/>
          </w:rPr>
          <w:tab/>
        </w:r>
        <w:r w:rsidR="00242E8D">
          <w:rPr>
            <w:noProof/>
            <w:webHidden/>
          </w:rPr>
          <w:fldChar w:fldCharType="begin"/>
        </w:r>
        <w:r w:rsidR="00242E8D">
          <w:rPr>
            <w:noProof/>
            <w:webHidden/>
          </w:rPr>
          <w:instrText xml:space="preserve"> PAGEREF _Toc68786315 \h </w:instrText>
        </w:r>
        <w:r w:rsidR="00242E8D">
          <w:rPr>
            <w:noProof/>
            <w:webHidden/>
          </w:rPr>
        </w:r>
        <w:r w:rsidR="00242E8D">
          <w:rPr>
            <w:noProof/>
            <w:webHidden/>
          </w:rPr>
          <w:fldChar w:fldCharType="separate"/>
        </w:r>
        <w:r w:rsidR="00B94D2F">
          <w:rPr>
            <w:noProof/>
            <w:webHidden/>
          </w:rPr>
          <w:t>150</w:t>
        </w:r>
        <w:r w:rsidR="00242E8D">
          <w:rPr>
            <w:noProof/>
            <w:webHidden/>
          </w:rPr>
          <w:fldChar w:fldCharType="end"/>
        </w:r>
      </w:hyperlink>
    </w:p>
    <w:p w14:paraId="502CC698" w14:textId="670C56FA" w:rsidR="00242E8D" w:rsidRDefault="00087879">
      <w:pPr>
        <w:pStyle w:val="TOC2"/>
        <w:rPr>
          <w:rFonts w:asciiTheme="minorHAnsi" w:eastAsiaTheme="minorEastAsia" w:hAnsiTheme="minorHAnsi" w:cstheme="minorBidi"/>
          <w:noProof/>
          <w:sz w:val="22"/>
        </w:rPr>
      </w:pPr>
      <w:hyperlink w:anchor="_Toc68786316" w:history="1">
        <w:r w:rsidR="00242E8D" w:rsidRPr="00702EC9">
          <w:rPr>
            <w:rStyle w:val="Hyperlink"/>
            <w:noProof/>
          </w:rPr>
          <w:t>4.6</w:t>
        </w:r>
        <w:r w:rsidR="00242E8D">
          <w:rPr>
            <w:rFonts w:asciiTheme="minorHAnsi" w:eastAsiaTheme="minorEastAsia" w:hAnsiTheme="minorHAnsi" w:cstheme="minorBidi"/>
            <w:noProof/>
            <w:sz w:val="22"/>
          </w:rPr>
          <w:tab/>
        </w:r>
        <w:r w:rsidR="00242E8D" w:rsidRPr="00702EC9">
          <w:rPr>
            <w:rStyle w:val="Hyperlink"/>
            <w:noProof/>
          </w:rPr>
          <w:t>Electronics industry (2.E)</w:t>
        </w:r>
        <w:r w:rsidR="00242E8D">
          <w:rPr>
            <w:noProof/>
            <w:webHidden/>
          </w:rPr>
          <w:tab/>
        </w:r>
        <w:r w:rsidR="00242E8D">
          <w:rPr>
            <w:noProof/>
            <w:webHidden/>
          </w:rPr>
          <w:fldChar w:fldCharType="begin"/>
        </w:r>
        <w:r w:rsidR="00242E8D">
          <w:rPr>
            <w:noProof/>
            <w:webHidden/>
          </w:rPr>
          <w:instrText xml:space="preserve"> PAGEREF _Toc68786316 \h </w:instrText>
        </w:r>
        <w:r w:rsidR="00242E8D">
          <w:rPr>
            <w:noProof/>
            <w:webHidden/>
          </w:rPr>
        </w:r>
        <w:r w:rsidR="00242E8D">
          <w:rPr>
            <w:noProof/>
            <w:webHidden/>
          </w:rPr>
          <w:fldChar w:fldCharType="separate"/>
        </w:r>
        <w:r w:rsidR="00B94D2F">
          <w:rPr>
            <w:noProof/>
            <w:webHidden/>
          </w:rPr>
          <w:t>153</w:t>
        </w:r>
        <w:r w:rsidR="00242E8D">
          <w:rPr>
            <w:noProof/>
            <w:webHidden/>
          </w:rPr>
          <w:fldChar w:fldCharType="end"/>
        </w:r>
      </w:hyperlink>
    </w:p>
    <w:p w14:paraId="60CB9E6B" w14:textId="257758AB" w:rsidR="00242E8D" w:rsidRDefault="00087879">
      <w:pPr>
        <w:pStyle w:val="TOC2"/>
        <w:rPr>
          <w:rFonts w:asciiTheme="minorHAnsi" w:eastAsiaTheme="minorEastAsia" w:hAnsiTheme="minorHAnsi" w:cstheme="minorBidi"/>
          <w:noProof/>
          <w:sz w:val="22"/>
        </w:rPr>
      </w:pPr>
      <w:hyperlink w:anchor="_Toc68786317" w:history="1">
        <w:r w:rsidR="00242E8D" w:rsidRPr="00702EC9">
          <w:rPr>
            <w:rStyle w:val="Hyperlink"/>
            <w:noProof/>
          </w:rPr>
          <w:t>4.7</w:t>
        </w:r>
        <w:r w:rsidR="00242E8D">
          <w:rPr>
            <w:rFonts w:asciiTheme="minorHAnsi" w:eastAsiaTheme="minorEastAsia" w:hAnsiTheme="minorHAnsi" w:cstheme="minorBidi"/>
            <w:noProof/>
            <w:sz w:val="22"/>
          </w:rPr>
          <w:tab/>
        </w:r>
        <w:r w:rsidR="00242E8D" w:rsidRPr="00702EC9">
          <w:rPr>
            <w:rStyle w:val="Hyperlink"/>
            <w:noProof/>
          </w:rPr>
          <w:t>Product uses as substitutes for ODS (2.F)</w:t>
        </w:r>
        <w:r w:rsidR="00242E8D">
          <w:rPr>
            <w:noProof/>
            <w:webHidden/>
          </w:rPr>
          <w:tab/>
        </w:r>
        <w:r w:rsidR="00242E8D">
          <w:rPr>
            <w:noProof/>
            <w:webHidden/>
          </w:rPr>
          <w:fldChar w:fldCharType="begin"/>
        </w:r>
        <w:r w:rsidR="00242E8D">
          <w:rPr>
            <w:noProof/>
            <w:webHidden/>
          </w:rPr>
          <w:instrText xml:space="preserve"> PAGEREF _Toc68786317 \h </w:instrText>
        </w:r>
        <w:r w:rsidR="00242E8D">
          <w:rPr>
            <w:noProof/>
            <w:webHidden/>
          </w:rPr>
        </w:r>
        <w:r w:rsidR="00242E8D">
          <w:rPr>
            <w:noProof/>
            <w:webHidden/>
          </w:rPr>
          <w:fldChar w:fldCharType="separate"/>
        </w:r>
        <w:r w:rsidR="00B94D2F">
          <w:rPr>
            <w:noProof/>
            <w:webHidden/>
          </w:rPr>
          <w:t>153</w:t>
        </w:r>
        <w:r w:rsidR="00242E8D">
          <w:rPr>
            <w:noProof/>
            <w:webHidden/>
          </w:rPr>
          <w:fldChar w:fldCharType="end"/>
        </w:r>
      </w:hyperlink>
    </w:p>
    <w:p w14:paraId="7E89499B" w14:textId="596F62D6" w:rsidR="00242E8D" w:rsidRDefault="00087879">
      <w:pPr>
        <w:pStyle w:val="TOC2"/>
        <w:rPr>
          <w:rFonts w:asciiTheme="minorHAnsi" w:eastAsiaTheme="minorEastAsia" w:hAnsiTheme="minorHAnsi" w:cstheme="minorBidi"/>
          <w:noProof/>
          <w:sz w:val="22"/>
        </w:rPr>
      </w:pPr>
      <w:hyperlink w:anchor="_Toc68786318" w:history="1">
        <w:r w:rsidR="00242E8D" w:rsidRPr="00702EC9">
          <w:rPr>
            <w:rStyle w:val="Hyperlink"/>
            <w:noProof/>
          </w:rPr>
          <w:t>4.8</w:t>
        </w:r>
        <w:r w:rsidR="00242E8D">
          <w:rPr>
            <w:rFonts w:asciiTheme="minorHAnsi" w:eastAsiaTheme="minorEastAsia" w:hAnsiTheme="minorHAnsi" w:cstheme="minorBidi"/>
            <w:noProof/>
            <w:sz w:val="22"/>
          </w:rPr>
          <w:tab/>
        </w:r>
        <w:r w:rsidR="00242E8D" w:rsidRPr="00702EC9">
          <w:rPr>
            <w:rStyle w:val="Hyperlink"/>
            <w:noProof/>
          </w:rPr>
          <w:t>Other product manufacture and use (2.G)</w:t>
        </w:r>
        <w:r w:rsidR="00242E8D">
          <w:rPr>
            <w:noProof/>
            <w:webHidden/>
          </w:rPr>
          <w:tab/>
        </w:r>
        <w:r w:rsidR="00242E8D">
          <w:rPr>
            <w:noProof/>
            <w:webHidden/>
          </w:rPr>
          <w:fldChar w:fldCharType="begin"/>
        </w:r>
        <w:r w:rsidR="00242E8D">
          <w:rPr>
            <w:noProof/>
            <w:webHidden/>
          </w:rPr>
          <w:instrText xml:space="preserve"> PAGEREF _Toc68786318 \h </w:instrText>
        </w:r>
        <w:r w:rsidR="00242E8D">
          <w:rPr>
            <w:noProof/>
            <w:webHidden/>
          </w:rPr>
        </w:r>
        <w:r w:rsidR="00242E8D">
          <w:rPr>
            <w:noProof/>
            <w:webHidden/>
          </w:rPr>
          <w:fldChar w:fldCharType="separate"/>
        </w:r>
        <w:r w:rsidR="00B94D2F">
          <w:rPr>
            <w:noProof/>
            <w:webHidden/>
          </w:rPr>
          <w:t>160</w:t>
        </w:r>
        <w:r w:rsidR="00242E8D">
          <w:rPr>
            <w:noProof/>
            <w:webHidden/>
          </w:rPr>
          <w:fldChar w:fldCharType="end"/>
        </w:r>
      </w:hyperlink>
    </w:p>
    <w:p w14:paraId="73D9BE3C" w14:textId="38666851" w:rsidR="00242E8D" w:rsidRDefault="00087879">
      <w:pPr>
        <w:pStyle w:val="TOC2"/>
        <w:rPr>
          <w:rFonts w:asciiTheme="minorHAnsi" w:eastAsiaTheme="minorEastAsia" w:hAnsiTheme="minorHAnsi" w:cstheme="minorBidi"/>
          <w:noProof/>
          <w:sz w:val="22"/>
        </w:rPr>
      </w:pPr>
      <w:hyperlink w:anchor="_Toc68786319" w:history="1">
        <w:r w:rsidR="00242E8D" w:rsidRPr="00702EC9">
          <w:rPr>
            <w:rStyle w:val="Hyperlink"/>
            <w:noProof/>
          </w:rPr>
          <w:t>Chapter 4: References</w:t>
        </w:r>
        <w:r w:rsidR="00242E8D">
          <w:rPr>
            <w:noProof/>
            <w:webHidden/>
          </w:rPr>
          <w:tab/>
        </w:r>
        <w:r w:rsidR="00242E8D">
          <w:rPr>
            <w:noProof/>
            <w:webHidden/>
          </w:rPr>
          <w:fldChar w:fldCharType="begin"/>
        </w:r>
        <w:r w:rsidR="00242E8D">
          <w:rPr>
            <w:noProof/>
            <w:webHidden/>
          </w:rPr>
          <w:instrText xml:space="preserve"> PAGEREF _Toc68786319 \h </w:instrText>
        </w:r>
        <w:r w:rsidR="00242E8D">
          <w:rPr>
            <w:noProof/>
            <w:webHidden/>
          </w:rPr>
        </w:r>
        <w:r w:rsidR="00242E8D">
          <w:rPr>
            <w:noProof/>
            <w:webHidden/>
          </w:rPr>
          <w:fldChar w:fldCharType="separate"/>
        </w:r>
        <w:r w:rsidR="00B94D2F">
          <w:rPr>
            <w:noProof/>
            <w:webHidden/>
          </w:rPr>
          <w:t>164</w:t>
        </w:r>
        <w:r w:rsidR="00242E8D">
          <w:rPr>
            <w:noProof/>
            <w:webHidden/>
          </w:rPr>
          <w:fldChar w:fldCharType="end"/>
        </w:r>
      </w:hyperlink>
    </w:p>
    <w:p w14:paraId="0363F89D" w14:textId="23A95639" w:rsidR="00242E8D" w:rsidRDefault="00087879">
      <w:pPr>
        <w:pStyle w:val="TOC1"/>
        <w:rPr>
          <w:rFonts w:asciiTheme="minorHAnsi" w:eastAsiaTheme="minorEastAsia" w:hAnsiTheme="minorHAnsi" w:cstheme="minorBidi"/>
          <w:noProof/>
          <w:sz w:val="22"/>
        </w:rPr>
      </w:pPr>
      <w:hyperlink w:anchor="_Toc68786320" w:history="1">
        <w:r w:rsidR="00242E8D" w:rsidRPr="00702EC9">
          <w:rPr>
            <w:rStyle w:val="Hyperlink"/>
            <w:rFonts w:cs="Calibri"/>
            <w:noProof/>
          </w:rPr>
          <w:t>Chapter 5: Agriculture</w:t>
        </w:r>
        <w:r w:rsidR="00242E8D">
          <w:rPr>
            <w:noProof/>
            <w:webHidden/>
          </w:rPr>
          <w:tab/>
        </w:r>
        <w:r w:rsidR="00242E8D">
          <w:rPr>
            <w:noProof/>
            <w:webHidden/>
          </w:rPr>
          <w:fldChar w:fldCharType="begin"/>
        </w:r>
        <w:r w:rsidR="00242E8D">
          <w:rPr>
            <w:noProof/>
            <w:webHidden/>
          </w:rPr>
          <w:instrText xml:space="preserve"> PAGEREF _Toc68786320 \h </w:instrText>
        </w:r>
        <w:r w:rsidR="00242E8D">
          <w:rPr>
            <w:noProof/>
            <w:webHidden/>
          </w:rPr>
        </w:r>
        <w:r w:rsidR="00242E8D">
          <w:rPr>
            <w:noProof/>
            <w:webHidden/>
          </w:rPr>
          <w:fldChar w:fldCharType="separate"/>
        </w:r>
        <w:r w:rsidR="00B94D2F">
          <w:rPr>
            <w:noProof/>
            <w:webHidden/>
          </w:rPr>
          <w:t>165</w:t>
        </w:r>
        <w:r w:rsidR="00242E8D">
          <w:rPr>
            <w:noProof/>
            <w:webHidden/>
          </w:rPr>
          <w:fldChar w:fldCharType="end"/>
        </w:r>
      </w:hyperlink>
    </w:p>
    <w:p w14:paraId="2D455968" w14:textId="49775178" w:rsidR="00242E8D" w:rsidRDefault="00087879">
      <w:pPr>
        <w:pStyle w:val="TOC2"/>
        <w:rPr>
          <w:rFonts w:asciiTheme="minorHAnsi" w:eastAsiaTheme="minorEastAsia" w:hAnsiTheme="minorHAnsi" w:cstheme="minorBidi"/>
          <w:noProof/>
          <w:sz w:val="22"/>
        </w:rPr>
      </w:pPr>
      <w:hyperlink w:anchor="_Toc68786321" w:history="1">
        <w:r w:rsidR="00242E8D" w:rsidRPr="00702EC9">
          <w:rPr>
            <w:rStyle w:val="Hyperlink"/>
            <w:noProof/>
          </w:rPr>
          <w:t xml:space="preserve">5.1 </w:t>
        </w:r>
        <w:r w:rsidR="00242E8D">
          <w:rPr>
            <w:rFonts w:asciiTheme="minorHAnsi" w:eastAsiaTheme="minorEastAsia" w:hAnsiTheme="minorHAnsi" w:cstheme="minorBidi"/>
            <w:noProof/>
            <w:sz w:val="22"/>
          </w:rPr>
          <w:tab/>
        </w:r>
        <w:r w:rsidR="00242E8D" w:rsidRPr="00702EC9">
          <w:rPr>
            <w:rStyle w:val="Hyperlink"/>
            <w:noProof/>
          </w:rPr>
          <w:t>Sector overview</w:t>
        </w:r>
        <w:r w:rsidR="00242E8D">
          <w:rPr>
            <w:noProof/>
            <w:webHidden/>
          </w:rPr>
          <w:tab/>
        </w:r>
        <w:r w:rsidR="00242E8D">
          <w:rPr>
            <w:noProof/>
            <w:webHidden/>
          </w:rPr>
          <w:fldChar w:fldCharType="begin"/>
        </w:r>
        <w:r w:rsidR="00242E8D">
          <w:rPr>
            <w:noProof/>
            <w:webHidden/>
          </w:rPr>
          <w:instrText xml:space="preserve"> PAGEREF _Toc68786321 \h </w:instrText>
        </w:r>
        <w:r w:rsidR="00242E8D">
          <w:rPr>
            <w:noProof/>
            <w:webHidden/>
          </w:rPr>
        </w:r>
        <w:r w:rsidR="00242E8D">
          <w:rPr>
            <w:noProof/>
            <w:webHidden/>
          </w:rPr>
          <w:fldChar w:fldCharType="separate"/>
        </w:r>
        <w:r w:rsidR="00B94D2F">
          <w:rPr>
            <w:noProof/>
            <w:webHidden/>
          </w:rPr>
          <w:t>165</w:t>
        </w:r>
        <w:r w:rsidR="00242E8D">
          <w:rPr>
            <w:noProof/>
            <w:webHidden/>
          </w:rPr>
          <w:fldChar w:fldCharType="end"/>
        </w:r>
      </w:hyperlink>
    </w:p>
    <w:p w14:paraId="5883B15D" w14:textId="3B6AC504" w:rsidR="00242E8D" w:rsidRDefault="00087879">
      <w:pPr>
        <w:pStyle w:val="TOC2"/>
        <w:rPr>
          <w:rFonts w:asciiTheme="minorHAnsi" w:eastAsiaTheme="minorEastAsia" w:hAnsiTheme="minorHAnsi" w:cstheme="minorBidi"/>
          <w:noProof/>
          <w:sz w:val="22"/>
        </w:rPr>
      </w:pPr>
      <w:hyperlink w:anchor="_Toc68786322" w:history="1">
        <w:r w:rsidR="00242E8D" w:rsidRPr="00702EC9">
          <w:rPr>
            <w:rStyle w:val="Hyperlink"/>
            <w:rFonts w:cs="Calibri"/>
            <w:noProof/>
          </w:rPr>
          <w:t>5.2</w:t>
        </w:r>
        <w:r w:rsidR="00242E8D">
          <w:rPr>
            <w:rFonts w:asciiTheme="minorHAnsi" w:eastAsiaTheme="minorEastAsia" w:hAnsiTheme="minorHAnsi" w:cstheme="minorBidi"/>
            <w:noProof/>
            <w:sz w:val="22"/>
          </w:rPr>
          <w:tab/>
        </w:r>
        <w:r w:rsidR="00242E8D" w:rsidRPr="00702EC9">
          <w:rPr>
            <w:rStyle w:val="Hyperlink"/>
            <w:rFonts w:cs="Calibri"/>
            <w:noProof/>
          </w:rPr>
          <w:t>Enteric fermentation (CRF 3.A)</w:t>
        </w:r>
        <w:r w:rsidR="00242E8D">
          <w:rPr>
            <w:noProof/>
            <w:webHidden/>
          </w:rPr>
          <w:tab/>
        </w:r>
        <w:r w:rsidR="00242E8D">
          <w:rPr>
            <w:noProof/>
            <w:webHidden/>
          </w:rPr>
          <w:fldChar w:fldCharType="begin"/>
        </w:r>
        <w:r w:rsidR="00242E8D">
          <w:rPr>
            <w:noProof/>
            <w:webHidden/>
          </w:rPr>
          <w:instrText xml:space="preserve"> PAGEREF _Toc68786322 \h </w:instrText>
        </w:r>
        <w:r w:rsidR="00242E8D">
          <w:rPr>
            <w:noProof/>
            <w:webHidden/>
          </w:rPr>
        </w:r>
        <w:r w:rsidR="00242E8D">
          <w:rPr>
            <w:noProof/>
            <w:webHidden/>
          </w:rPr>
          <w:fldChar w:fldCharType="separate"/>
        </w:r>
        <w:r w:rsidR="00B94D2F">
          <w:rPr>
            <w:noProof/>
            <w:webHidden/>
          </w:rPr>
          <w:t>188</w:t>
        </w:r>
        <w:r w:rsidR="00242E8D">
          <w:rPr>
            <w:noProof/>
            <w:webHidden/>
          </w:rPr>
          <w:fldChar w:fldCharType="end"/>
        </w:r>
      </w:hyperlink>
    </w:p>
    <w:p w14:paraId="4F381AAB" w14:textId="63F38723" w:rsidR="00242E8D" w:rsidRDefault="00087879">
      <w:pPr>
        <w:pStyle w:val="TOC2"/>
        <w:rPr>
          <w:rFonts w:asciiTheme="minorHAnsi" w:eastAsiaTheme="minorEastAsia" w:hAnsiTheme="minorHAnsi" w:cstheme="minorBidi"/>
          <w:noProof/>
          <w:sz w:val="22"/>
        </w:rPr>
      </w:pPr>
      <w:hyperlink w:anchor="_Toc68786323" w:history="1">
        <w:r w:rsidR="00242E8D" w:rsidRPr="00702EC9">
          <w:rPr>
            <w:rStyle w:val="Hyperlink"/>
            <w:rFonts w:cs="Calibri"/>
            <w:noProof/>
          </w:rPr>
          <w:t>5.3</w:t>
        </w:r>
        <w:r w:rsidR="00242E8D">
          <w:rPr>
            <w:rFonts w:asciiTheme="minorHAnsi" w:eastAsiaTheme="minorEastAsia" w:hAnsiTheme="minorHAnsi" w:cstheme="minorBidi"/>
            <w:noProof/>
            <w:sz w:val="22"/>
          </w:rPr>
          <w:tab/>
        </w:r>
        <w:r w:rsidR="00242E8D" w:rsidRPr="00702EC9">
          <w:rPr>
            <w:rStyle w:val="Hyperlink"/>
            <w:rFonts w:cs="Calibri"/>
            <w:noProof/>
          </w:rPr>
          <w:t>Manure management (CRF 3.B)</w:t>
        </w:r>
        <w:r w:rsidR="00242E8D">
          <w:rPr>
            <w:noProof/>
            <w:webHidden/>
          </w:rPr>
          <w:tab/>
        </w:r>
        <w:r w:rsidR="00242E8D">
          <w:rPr>
            <w:noProof/>
            <w:webHidden/>
          </w:rPr>
          <w:fldChar w:fldCharType="begin"/>
        </w:r>
        <w:r w:rsidR="00242E8D">
          <w:rPr>
            <w:noProof/>
            <w:webHidden/>
          </w:rPr>
          <w:instrText xml:space="preserve"> PAGEREF _Toc68786323 \h </w:instrText>
        </w:r>
        <w:r w:rsidR="00242E8D">
          <w:rPr>
            <w:noProof/>
            <w:webHidden/>
          </w:rPr>
        </w:r>
        <w:r w:rsidR="00242E8D">
          <w:rPr>
            <w:noProof/>
            <w:webHidden/>
          </w:rPr>
          <w:fldChar w:fldCharType="separate"/>
        </w:r>
        <w:r w:rsidR="00B94D2F">
          <w:rPr>
            <w:noProof/>
            <w:webHidden/>
          </w:rPr>
          <w:t>199</w:t>
        </w:r>
        <w:r w:rsidR="00242E8D">
          <w:rPr>
            <w:noProof/>
            <w:webHidden/>
          </w:rPr>
          <w:fldChar w:fldCharType="end"/>
        </w:r>
      </w:hyperlink>
    </w:p>
    <w:p w14:paraId="366402D0" w14:textId="2288BDB2" w:rsidR="00242E8D" w:rsidRDefault="00087879">
      <w:pPr>
        <w:pStyle w:val="TOC2"/>
        <w:rPr>
          <w:rFonts w:asciiTheme="minorHAnsi" w:eastAsiaTheme="minorEastAsia" w:hAnsiTheme="minorHAnsi" w:cstheme="minorBidi"/>
          <w:noProof/>
          <w:sz w:val="22"/>
        </w:rPr>
      </w:pPr>
      <w:hyperlink w:anchor="_Toc68786324" w:history="1">
        <w:r w:rsidR="00242E8D" w:rsidRPr="00702EC9">
          <w:rPr>
            <w:rStyle w:val="Hyperlink"/>
            <w:rFonts w:cs="Calibri"/>
            <w:noProof/>
          </w:rPr>
          <w:t>5.4</w:t>
        </w:r>
        <w:r w:rsidR="00242E8D">
          <w:rPr>
            <w:rFonts w:asciiTheme="minorHAnsi" w:eastAsiaTheme="minorEastAsia" w:hAnsiTheme="minorHAnsi" w:cstheme="minorBidi"/>
            <w:noProof/>
            <w:sz w:val="22"/>
          </w:rPr>
          <w:tab/>
        </w:r>
        <w:r w:rsidR="00242E8D" w:rsidRPr="00702EC9">
          <w:rPr>
            <w:rStyle w:val="Hyperlink"/>
            <w:rFonts w:cs="Calibri"/>
            <w:noProof/>
          </w:rPr>
          <w:t>Rice cultivation (CRF 3.C)</w:t>
        </w:r>
        <w:r w:rsidR="00242E8D">
          <w:rPr>
            <w:noProof/>
            <w:webHidden/>
          </w:rPr>
          <w:tab/>
        </w:r>
        <w:r w:rsidR="00242E8D">
          <w:rPr>
            <w:noProof/>
            <w:webHidden/>
          </w:rPr>
          <w:fldChar w:fldCharType="begin"/>
        </w:r>
        <w:r w:rsidR="00242E8D">
          <w:rPr>
            <w:noProof/>
            <w:webHidden/>
          </w:rPr>
          <w:instrText xml:space="preserve"> PAGEREF _Toc68786324 \h </w:instrText>
        </w:r>
        <w:r w:rsidR="00242E8D">
          <w:rPr>
            <w:noProof/>
            <w:webHidden/>
          </w:rPr>
        </w:r>
        <w:r w:rsidR="00242E8D">
          <w:rPr>
            <w:noProof/>
            <w:webHidden/>
          </w:rPr>
          <w:fldChar w:fldCharType="separate"/>
        </w:r>
        <w:r w:rsidR="00B94D2F">
          <w:rPr>
            <w:noProof/>
            <w:webHidden/>
          </w:rPr>
          <w:t>211</w:t>
        </w:r>
        <w:r w:rsidR="00242E8D">
          <w:rPr>
            <w:noProof/>
            <w:webHidden/>
          </w:rPr>
          <w:fldChar w:fldCharType="end"/>
        </w:r>
      </w:hyperlink>
    </w:p>
    <w:p w14:paraId="35CCC698" w14:textId="64715CA7" w:rsidR="00242E8D" w:rsidRDefault="00087879">
      <w:pPr>
        <w:pStyle w:val="TOC2"/>
        <w:rPr>
          <w:rFonts w:asciiTheme="minorHAnsi" w:eastAsiaTheme="minorEastAsia" w:hAnsiTheme="minorHAnsi" w:cstheme="minorBidi"/>
          <w:noProof/>
          <w:sz w:val="22"/>
        </w:rPr>
      </w:pPr>
      <w:hyperlink w:anchor="_Toc68786325" w:history="1">
        <w:r w:rsidR="00242E8D" w:rsidRPr="00702EC9">
          <w:rPr>
            <w:rStyle w:val="Hyperlink"/>
            <w:rFonts w:cs="Calibri"/>
            <w:noProof/>
          </w:rPr>
          <w:t>5.5</w:t>
        </w:r>
        <w:r w:rsidR="00242E8D">
          <w:rPr>
            <w:rFonts w:asciiTheme="minorHAnsi" w:eastAsiaTheme="minorEastAsia" w:hAnsiTheme="minorHAnsi" w:cstheme="minorBidi"/>
            <w:noProof/>
            <w:sz w:val="22"/>
          </w:rPr>
          <w:tab/>
        </w:r>
        <w:r w:rsidR="00242E8D" w:rsidRPr="00702EC9">
          <w:rPr>
            <w:rStyle w:val="Hyperlink"/>
            <w:rFonts w:cs="Calibri"/>
            <w:noProof/>
          </w:rPr>
          <w:t>Agricultural soils (CRF 3.D)</w:t>
        </w:r>
        <w:r w:rsidR="00242E8D">
          <w:rPr>
            <w:noProof/>
            <w:webHidden/>
          </w:rPr>
          <w:tab/>
        </w:r>
        <w:r w:rsidR="00242E8D">
          <w:rPr>
            <w:noProof/>
            <w:webHidden/>
          </w:rPr>
          <w:fldChar w:fldCharType="begin"/>
        </w:r>
        <w:r w:rsidR="00242E8D">
          <w:rPr>
            <w:noProof/>
            <w:webHidden/>
          </w:rPr>
          <w:instrText xml:space="preserve"> PAGEREF _Toc68786325 \h </w:instrText>
        </w:r>
        <w:r w:rsidR="00242E8D">
          <w:rPr>
            <w:noProof/>
            <w:webHidden/>
          </w:rPr>
        </w:r>
        <w:r w:rsidR="00242E8D">
          <w:rPr>
            <w:noProof/>
            <w:webHidden/>
          </w:rPr>
          <w:fldChar w:fldCharType="separate"/>
        </w:r>
        <w:r w:rsidR="00B94D2F">
          <w:rPr>
            <w:noProof/>
            <w:webHidden/>
          </w:rPr>
          <w:t>211</w:t>
        </w:r>
        <w:r w:rsidR="00242E8D">
          <w:rPr>
            <w:noProof/>
            <w:webHidden/>
          </w:rPr>
          <w:fldChar w:fldCharType="end"/>
        </w:r>
      </w:hyperlink>
    </w:p>
    <w:p w14:paraId="0BEB97AE" w14:textId="4D5437C1" w:rsidR="00242E8D" w:rsidRDefault="00087879">
      <w:pPr>
        <w:pStyle w:val="TOC2"/>
        <w:rPr>
          <w:rFonts w:asciiTheme="minorHAnsi" w:eastAsiaTheme="minorEastAsia" w:hAnsiTheme="minorHAnsi" w:cstheme="minorBidi"/>
          <w:noProof/>
          <w:sz w:val="22"/>
        </w:rPr>
      </w:pPr>
      <w:hyperlink w:anchor="_Toc68786326" w:history="1">
        <w:r w:rsidR="00242E8D" w:rsidRPr="00702EC9">
          <w:rPr>
            <w:rStyle w:val="Hyperlink"/>
            <w:rFonts w:cs="Calibri"/>
            <w:noProof/>
          </w:rPr>
          <w:t>5.6</w:t>
        </w:r>
        <w:r w:rsidR="00242E8D">
          <w:rPr>
            <w:rFonts w:asciiTheme="minorHAnsi" w:eastAsiaTheme="minorEastAsia" w:hAnsiTheme="minorHAnsi" w:cstheme="minorBidi"/>
            <w:noProof/>
            <w:sz w:val="22"/>
          </w:rPr>
          <w:tab/>
        </w:r>
        <w:r w:rsidR="00242E8D" w:rsidRPr="00702EC9">
          <w:rPr>
            <w:rStyle w:val="Hyperlink"/>
            <w:rFonts w:cs="Calibri"/>
            <w:noProof/>
          </w:rPr>
          <w:t>Prescribed burning of savanna (CRF 3.E)</w:t>
        </w:r>
        <w:r w:rsidR="00242E8D">
          <w:rPr>
            <w:noProof/>
            <w:webHidden/>
          </w:rPr>
          <w:tab/>
        </w:r>
        <w:r w:rsidR="00242E8D">
          <w:rPr>
            <w:noProof/>
            <w:webHidden/>
          </w:rPr>
          <w:fldChar w:fldCharType="begin"/>
        </w:r>
        <w:r w:rsidR="00242E8D">
          <w:rPr>
            <w:noProof/>
            <w:webHidden/>
          </w:rPr>
          <w:instrText xml:space="preserve"> PAGEREF _Toc68786326 \h </w:instrText>
        </w:r>
        <w:r w:rsidR="00242E8D">
          <w:rPr>
            <w:noProof/>
            <w:webHidden/>
          </w:rPr>
        </w:r>
        <w:r w:rsidR="00242E8D">
          <w:rPr>
            <w:noProof/>
            <w:webHidden/>
          </w:rPr>
          <w:fldChar w:fldCharType="separate"/>
        </w:r>
        <w:r w:rsidR="00B94D2F">
          <w:rPr>
            <w:noProof/>
            <w:webHidden/>
          </w:rPr>
          <w:t>238</w:t>
        </w:r>
        <w:r w:rsidR="00242E8D">
          <w:rPr>
            <w:noProof/>
            <w:webHidden/>
          </w:rPr>
          <w:fldChar w:fldCharType="end"/>
        </w:r>
      </w:hyperlink>
    </w:p>
    <w:p w14:paraId="6826953F" w14:textId="1A5316EF" w:rsidR="00242E8D" w:rsidRDefault="00087879">
      <w:pPr>
        <w:pStyle w:val="TOC2"/>
        <w:rPr>
          <w:rFonts w:asciiTheme="minorHAnsi" w:eastAsiaTheme="minorEastAsia" w:hAnsiTheme="minorHAnsi" w:cstheme="minorBidi"/>
          <w:noProof/>
          <w:sz w:val="22"/>
        </w:rPr>
      </w:pPr>
      <w:hyperlink w:anchor="_Toc68786327" w:history="1">
        <w:r w:rsidR="00242E8D" w:rsidRPr="00702EC9">
          <w:rPr>
            <w:rStyle w:val="Hyperlink"/>
            <w:rFonts w:cs="Calibri"/>
            <w:noProof/>
          </w:rPr>
          <w:t>5.7</w:t>
        </w:r>
        <w:r w:rsidR="00242E8D">
          <w:rPr>
            <w:rFonts w:asciiTheme="minorHAnsi" w:eastAsiaTheme="minorEastAsia" w:hAnsiTheme="minorHAnsi" w:cstheme="minorBidi"/>
            <w:noProof/>
            <w:sz w:val="22"/>
          </w:rPr>
          <w:tab/>
        </w:r>
        <w:r w:rsidR="00242E8D" w:rsidRPr="00702EC9">
          <w:rPr>
            <w:rStyle w:val="Hyperlink"/>
            <w:rFonts w:cs="Calibri"/>
            <w:noProof/>
          </w:rPr>
          <w:t>Field burning of agricultural residues (CRF 3.F)</w:t>
        </w:r>
        <w:r w:rsidR="00242E8D">
          <w:rPr>
            <w:noProof/>
            <w:webHidden/>
          </w:rPr>
          <w:tab/>
        </w:r>
        <w:r w:rsidR="00242E8D">
          <w:rPr>
            <w:noProof/>
            <w:webHidden/>
          </w:rPr>
          <w:fldChar w:fldCharType="begin"/>
        </w:r>
        <w:r w:rsidR="00242E8D">
          <w:rPr>
            <w:noProof/>
            <w:webHidden/>
          </w:rPr>
          <w:instrText xml:space="preserve"> PAGEREF _Toc68786327 \h </w:instrText>
        </w:r>
        <w:r w:rsidR="00242E8D">
          <w:rPr>
            <w:noProof/>
            <w:webHidden/>
          </w:rPr>
        </w:r>
        <w:r w:rsidR="00242E8D">
          <w:rPr>
            <w:noProof/>
            <w:webHidden/>
          </w:rPr>
          <w:fldChar w:fldCharType="separate"/>
        </w:r>
        <w:r w:rsidR="00B94D2F">
          <w:rPr>
            <w:noProof/>
            <w:webHidden/>
          </w:rPr>
          <w:t>238</w:t>
        </w:r>
        <w:r w:rsidR="00242E8D">
          <w:rPr>
            <w:noProof/>
            <w:webHidden/>
          </w:rPr>
          <w:fldChar w:fldCharType="end"/>
        </w:r>
      </w:hyperlink>
    </w:p>
    <w:p w14:paraId="2B388414" w14:textId="1EDE3236" w:rsidR="00242E8D" w:rsidRDefault="00087879">
      <w:pPr>
        <w:pStyle w:val="TOC2"/>
        <w:rPr>
          <w:rFonts w:asciiTheme="minorHAnsi" w:eastAsiaTheme="minorEastAsia" w:hAnsiTheme="minorHAnsi" w:cstheme="minorBidi"/>
          <w:noProof/>
          <w:sz w:val="22"/>
        </w:rPr>
      </w:pPr>
      <w:hyperlink w:anchor="_Toc68786328" w:history="1">
        <w:r w:rsidR="00242E8D" w:rsidRPr="00702EC9">
          <w:rPr>
            <w:rStyle w:val="Hyperlink"/>
            <w:rFonts w:cs="Calibri"/>
            <w:noProof/>
          </w:rPr>
          <w:t>5.8</w:t>
        </w:r>
        <w:r w:rsidR="00242E8D">
          <w:rPr>
            <w:rFonts w:asciiTheme="minorHAnsi" w:eastAsiaTheme="minorEastAsia" w:hAnsiTheme="minorHAnsi" w:cstheme="minorBidi"/>
            <w:noProof/>
            <w:sz w:val="22"/>
          </w:rPr>
          <w:tab/>
        </w:r>
        <w:r w:rsidR="00242E8D" w:rsidRPr="00702EC9">
          <w:rPr>
            <w:rStyle w:val="Hyperlink"/>
            <w:rFonts w:cs="Calibri"/>
            <w:noProof/>
          </w:rPr>
          <w:t>Liming (CRF 3.G)</w:t>
        </w:r>
        <w:r w:rsidR="00242E8D">
          <w:rPr>
            <w:noProof/>
            <w:webHidden/>
          </w:rPr>
          <w:tab/>
        </w:r>
        <w:r w:rsidR="00242E8D">
          <w:rPr>
            <w:noProof/>
            <w:webHidden/>
          </w:rPr>
          <w:fldChar w:fldCharType="begin"/>
        </w:r>
        <w:r w:rsidR="00242E8D">
          <w:rPr>
            <w:noProof/>
            <w:webHidden/>
          </w:rPr>
          <w:instrText xml:space="preserve"> PAGEREF _Toc68786328 \h </w:instrText>
        </w:r>
        <w:r w:rsidR="00242E8D">
          <w:rPr>
            <w:noProof/>
            <w:webHidden/>
          </w:rPr>
        </w:r>
        <w:r w:rsidR="00242E8D">
          <w:rPr>
            <w:noProof/>
            <w:webHidden/>
          </w:rPr>
          <w:fldChar w:fldCharType="separate"/>
        </w:r>
        <w:r w:rsidR="00B94D2F">
          <w:rPr>
            <w:noProof/>
            <w:webHidden/>
          </w:rPr>
          <w:t>242</w:t>
        </w:r>
        <w:r w:rsidR="00242E8D">
          <w:rPr>
            <w:noProof/>
            <w:webHidden/>
          </w:rPr>
          <w:fldChar w:fldCharType="end"/>
        </w:r>
      </w:hyperlink>
    </w:p>
    <w:p w14:paraId="322FC636" w14:textId="204FD22A" w:rsidR="00242E8D" w:rsidRDefault="00087879">
      <w:pPr>
        <w:pStyle w:val="TOC2"/>
        <w:rPr>
          <w:rFonts w:asciiTheme="minorHAnsi" w:eastAsiaTheme="minorEastAsia" w:hAnsiTheme="minorHAnsi" w:cstheme="minorBidi"/>
          <w:noProof/>
          <w:sz w:val="22"/>
        </w:rPr>
      </w:pPr>
      <w:hyperlink w:anchor="_Toc68786329" w:history="1">
        <w:r w:rsidR="00242E8D" w:rsidRPr="00702EC9">
          <w:rPr>
            <w:rStyle w:val="Hyperlink"/>
            <w:noProof/>
          </w:rPr>
          <w:t>5.9</w:t>
        </w:r>
        <w:r w:rsidR="00242E8D">
          <w:rPr>
            <w:rFonts w:asciiTheme="minorHAnsi" w:eastAsiaTheme="minorEastAsia" w:hAnsiTheme="minorHAnsi" w:cstheme="minorBidi"/>
            <w:noProof/>
            <w:sz w:val="22"/>
          </w:rPr>
          <w:tab/>
        </w:r>
        <w:r w:rsidR="00242E8D" w:rsidRPr="00702EC9">
          <w:rPr>
            <w:rStyle w:val="Hyperlink"/>
            <w:noProof/>
          </w:rPr>
          <w:t>Urea application (CRF 3.H)</w:t>
        </w:r>
        <w:r w:rsidR="00242E8D">
          <w:rPr>
            <w:noProof/>
            <w:webHidden/>
          </w:rPr>
          <w:tab/>
        </w:r>
        <w:r w:rsidR="00242E8D">
          <w:rPr>
            <w:noProof/>
            <w:webHidden/>
          </w:rPr>
          <w:fldChar w:fldCharType="begin"/>
        </w:r>
        <w:r w:rsidR="00242E8D">
          <w:rPr>
            <w:noProof/>
            <w:webHidden/>
          </w:rPr>
          <w:instrText xml:space="preserve"> PAGEREF _Toc68786329 \h </w:instrText>
        </w:r>
        <w:r w:rsidR="00242E8D">
          <w:rPr>
            <w:noProof/>
            <w:webHidden/>
          </w:rPr>
        </w:r>
        <w:r w:rsidR="00242E8D">
          <w:rPr>
            <w:noProof/>
            <w:webHidden/>
          </w:rPr>
          <w:fldChar w:fldCharType="separate"/>
        </w:r>
        <w:r w:rsidR="00B94D2F">
          <w:rPr>
            <w:noProof/>
            <w:webHidden/>
          </w:rPr>
          <w:t>244</w:t>
        </w:r>
        <w:r w:rsidR="00242E8D">
          <w:rPr>
            <w:noProof/>
            <w:webHidden/>
          </w:rPr>
          <w:fldChar w:fldCharType="end"/>
        </w:r>
      </w:hyperlink>
    </w:p>
    <w:p w14:paraId="6DD3E260" w14:textId="426CCCF0" w:rsidR="00242E8D" w:rsidRDefault="00087879">
      <w:pPr>
        <w:pStyle w:val="TOC2"/>
        <w:rPr>
          <w:rFonts w:asciiTheme="minorHAnsi" w:eastAsiaTheme="minorEastAsia" w:hAnsiTheme="minorHAnsi" w:cstheme="minorBidi"/>
          <w:noProof/>
          <w:sz w:val="22"/>
        </w:rPr>
      </w:pPr>
      <w:hyperlink w:anchor="_Toc68786330" w:history="1">
        <w:r w:rsidR="00242E8D" w:rsidRPr="00702EC9">
          <w:rPr>
            <w:rStyle w:val="Hyperlink"/>
            <w:rFonts w:cs="Calibri"/>
            <w:noProof/>
          </w:rPr>
          <w:t xml:space="preserve">5.10 </w:t>
        </w:r>
        <w:r w:rsidR="00242E8D">
          <w:rPr>
            <w:rFonts w:asciiTheme="minorHAnsi" w:eastAsiaTheme="minorEastAsia" w:hAnsiTheme="minorHAnsi" w:cstheme="minorBidi"/>
            <w:noProof/>
            <w:sz w:val="22"/>
          </w:rPr>
          <w:tab/>
        </w:r>
        <w:r w:rsidR="00242E8D" w:rsidRPr="00702EC9">
          <w:rPr>
            <w:rStyle w:val="Hyperlink"/>
            <w:rFonts w:cs="Calibri"/>
            <w:noProof/>
          </w:rPr>
          <w:t>Other carbon-containing fertilisers (CRF 3.I)</w:t>
        </w:r>
        <w:r w:rsidR="00242E8D">
          <w:rPr>
            <w:noProof/>
            <w:webHidden/>
          </w:rPr>
          <w:tab/>
        </w:r>
        <w:r w:rsidR="00242E8D">
          <w:rPr>
            <w:noProof/>
            <w:webHidden/>
          </w:rPr>
          <w:fldChar w:fldCharType="begin"/>
        </w:r>
        <w:r w:rsidR="00242E8D">
          <w:rPr>
            <w:noProof/>
            <w:webHidden/>
          </w:rPr>
          <w:instrText xml:space="preserve"> PAGEREF _Toc68786330 \h </w:instrText>
        </w:r>
        <w:r w:rsidR="00242E8D">
          <w:rPr>
            <w:noProof/>
            <w:webHidden/>
          </w:rPr>
        </w:r>
        <w:r w:rsidR="00242E8D">
          <w:rPr>
            <w:noProof/>
            <w:webHidden/>
          </w:rPr>
          <w:fldChar w:fldCharType="separate"/>
        </w:r>
        <w:r w:rsidR="00B94D2F">
          <w:rPr>
            <w:noProof/>
            <w:webHidden/>
          </w:rPr>
          <w:t>246</w:t>
        </w:r>
        <w:r w:rsidR="00242E8D">
          <w:rPr>
            <w:noProof/>
            <w:webHidden/>
          </w:rPr>
          <w:fldChar w:fldCharType="end"/>
        </w:r>
      </w:hyperlink>
    </w:p>
    <w:p w14:paraId="74A07821" w14:textId="66A1B0B1" w:rsidR="00242E8D" w:rsidRDefault="00087879">
      <w:pPr>
        <w:pStyle w:val="TOC2"/>
        <w:rPr>
          <w:rFonts w:asciiTheme="minorHAnsi" w:eastAsiaTheme="minorEastAsia" w:hAnsiTheme="minorHAnsi" w:cstheme="minorBidi"/>
          <w:noProof/>
          <w:sz w:val="22"/>
        </w:rPr>
      </w:pPr>
      <w:hyperlink w:anchor="_Toc68786331" w:history="1">
        <w:r w:rsidR="00242E8D" w:rsidRPr="00702EC9">
          <w:rPr>
            <w:rStyle w:val="Hyperlink"/>
            <w:noProof/>
          </w:rPr>
          <w:t>Chapter 5: References</w:t>
        </w:r>
        <w:r w:rsidR="00242E8D">
          <w:rPr>
            <w:noProof/>
            <w:webHidden/>
          </w:rPr>
          <w:tab/>
        </w:r>
        <w:r w:rsidR="00242E8D">
          <w:rPr>
            <w:noProof/>
            <w:webHidden/>
          </w:rPr>
          <w:fldChar w:fldCharType="begin"/>
        </w:r>
        <w:r w:rsidR="00242E8D">
          <w:rPr>
            <w:noProof/>
            <w:webHidden/>
          </w:rPr>
          <w:instrText xml:space="preserve"> PAGEREF _Toc68786331 \h </w:instrText>
        </w:r>
        <w:r w:rsidR="00242E8D">
          <w:rPr>
            <w:noProof/>
            <w:webHidden/>
          </w:rPr>
        </w:r>
        <w:r w:rsidR="00242E8D">
          <w:rPr>
            <w:noProof/>
            <w:webHidden/>
          </w:rPr>
          <w:fldChar w:fldCharType="separate"/>
        </w:r>
        <w:r w:rsidR="00B94D2F">
          <w:rPr>
            <w:noProof/>
            <w:webHidden/>
          </w:rPr>
          <w:t>247</w:t>
        </w:r>
        <w:r w:rsidR="00242E8D">
          <w:rPr>
            <w:noProof/>
            <w:webHidden/>
          </w:rPr>
          <w:fldChar w:fldCharType="end"/>
        </w:r>
      </w:hyperlink>
    </w:p>
    <w:p w14:paraId="4B2D828C" w14:textId="15609CCB" w:rsidR="00242E8D" w:rsidRDefault="00087879">
      <w:pPr>
        <w:pStyle w:val="TOC1"/>
        <w:rPr>
          <w:rFonts w:asciiTheme="minorHAnsi" w:eastAsiaTheme="minorEastAsia" w:hAnsiTheme="minorHAnsi" w:cstheme="minorBidi"/>
          <w:noProof/>
          <w:sz w:val="22"/>
        </w:rPr>
      </w:pPr>
      <w:hyperlink w:anchor="_Toc68786332" w:history="1">
        <w:r w:rsidR="00242E8D" w:rsidRPr="00702EC9">
          <w:rPr>
            <w:rStyle w:val="Hyperlink"/>
            <w:noProof/>
          </w:rPr>
          <w:t>Chapter 6: Land Use, Land-Use Change and Forestry (LULUCF)</w:t>
        </w:r>
        <w:r w:rsidR="00242E8D">
          <w:rPr>
            <w:noProof/>
            <w:webHidden/>
          </w:rPr>
          <w:tab/>
        </w:r>
        <w:r w:rsidR="00242E8D">
          <w:rPr>
            <w:noProof/>
            <w:webHidden/>
          </w:rPr>
          <w:fldChar w:fldCharType="begin"/>
        </w:r>
        <w:r w:rsidR="00242E8D">
          <w:rPr>
            <w:noProof/>
            <w:webHidden/>
          </w:rPr>
          <w:instrText xml:space="preserve"> PAGEREF _Toc68786332 \h </w:instrText>
        </w:r>
        <w:r w:rsidR="00242E8D">
          <w:rPr>
            <w:noProof/>
            <w:webHidden/>
          </w:rPr>
        </w:r>
        <w:r w:rsidR="00242E8D">
          <w:rPr>
            <w:noProof/>
            <w:webHidden/>
          </w:rPr>
          <w:fldChar w:fldCharType="separate"/>
        </w:r>
        <w:r w:rsidR="00B94D2F">
          <w:rPr>
            <w:noProof/>
            <w:webHidden/>
          </w:rPr>
          <w:t>253</w:t>
        </w:r>
        <w:r w:rsidR="00242E8D">
          <w:rPr>
            <w:noProof/>
            <w:webHidden/>
          </w:rPr>
          <w:fldChar w:fldCharType="end"/>
        </w:r>
      </w:hyperlink>
    </w:p>
    <w:p w14:paraId="2BF618BE" w14:textId="647F0BEA" w:rsidR="00242E8D" w:rsidRDefault="00087879">
      <w:pPr>
        <w:pStyle w:val="TOC2"/>
        <w:rPr>
          <w:rFonts w:asciiTheme="minorHAnsi" w:eastAsiaTheme="minorEastAsia" w:hAnsiTheme="minorHAnsi" w:cstheme="minorBidi"/>
          <w:noProof/>
          <w:sz w:val="22"/>
        </w:rPr>
      </w:pPr>
      <w:hyperlink w:anchor="_Toc68786333" w:history="1">
        <w:r w:rsidR="00242E8D" w:rsidRPr="00702EC9">
          <w:rPr>
            <w:rStyle w:val="Hyperlink"/>
            <w:noProof/>
          </w:rPr>
          <w:t>6.1</w:t>
        </w:r>
        <w:r w:rsidR="00242E8D">
          <w:rPr>
            <w:rFonts w:asciiTheme="minorHAnsi" w:eastAsiaTheme="minorEastAsia" w:hAnsiTheme="minorHAnsi" w:cstheme="minorBidi"/>
            <w:noProof/>
            <w:sz w:val="22"/>
          </w:rPr>
          <w:tab/>
        </w:r>
        <w:r w:rsidR="00242E8D" w:rsidRPr="00702EC9">
          <w:rPr>
            <w:rStyle w:val="Hyperlink"/>
            <w:noProof/>
          </w:rPr>
          <w:t>Sector overview</w:t>
        </w:r>
        <w:r w:rsidR="00242E8D">
          <w:rPr>
            <w:noProof/>
            <w:webHidden/>
          </w:rPr>
          <w:tab/>
        </w:r>
        <w:r w:rsidR="00242E8D">
          <w:rPr>
            <w:noProof/>
            <w:webHidden/>
          </w:rPr>
          <w:fldChar w:fldCharType="begin"/>
        </w:r>
        <w:r w:rsidR="00242E8D">
          <w:rPr>
            <w:noProof/>
            <w:webHidden/>
          </w:rPr>
          <w:instrText xml:space="preserve"> PAGEREF _Toc68786333 \h </w:instrText>
        </w:r>
        <w:r w:rsidR="00242E8D">
          <w:rPr>
            <w:noProof/>
            <w:webHidden/>
          </w:rPr>
        </w:r>
        <w:r w:rsidR="00242E8D">
          <w:rPr>
            <w:noProof/>
            <w:webHidden/>
          </w:rPr>
          <w:fldChar w:fldCharType="separate"/>
        </w:r>
        <w:r w:rsidR="00B94D2F">
          <w:rPr>
            <w:noProof/>
            <w:webHidden/>
          </w:rPr>
          <w:t>253</w:t>
        </w:r>
        <w:r w:rsidR="00242E8D">
          <w:rPr>
            <w:noProof/>
            <w:webHidden/>
          </w:rPr>
          <w:fldChar w:fldCharType="end"/>
        </w:r>
      </w:hyperlink>
    </w:p>
    <w:p w14:paraId="1B1FE95F" w14:textId="036EB622" w:rsidR="00242E8D" w:rsidRDefault="00087879">
      <w:pPr>
        <w:pStyle w:val="TOC2"/>
        <w:rPr>
          <w:rFonts w:asciiTheme="minorHAnsi" w:eastAsiaTheme="minorEastAsia" w:hAnsiTheme="minorHAnsi" w:cstheme="minorBidi"/>
          <w:noProof/>
          <w:sz w:val="22"/>
        </w:rPr>
      </w:pPr>
      <w:hyperlink w:anchor="_Toc68786334" w:history="1">
        <w:r w:rsidR="00242E8D" w:rsidRPr="00702EC9">
          <w:rPr>
            <w:rStyle w:val="Hyperlink"/>
            <w:noProof/>
          </w:rPr>
          <w:t>6.2</w:t>
        </w:r>
        <w:r w:rsidR="00242E8D">
          <w:rPr>
            <w:rFonts w:asciiTheme="minorHAnsi" w:eastAsiaTheme="minorEastAsia" w:hAnsiTheme="minorHAnsi" w:cstheme="minorBidi"/>
            <w:noProof/>
            <w:sz w:val="22"/>
          </w:rPr>
          <w:tab/>
        </w:r>
        <w:r w:rsidR="00242E8D" w:rsidRPr="00702EC9">
          <w:rPr>
            <w:rStyle w:val="Hyperlink"/>
            <w:noProof/>
          </w:rPr>
          <w:t>Representation of land areas</w:t>
        </w:r>
        <w:r w:rsidR="00242E8D">
          <w:rPr>
            <w:noProof/>
            <w:webHidden/>
          </w:rPr>
          <w:tab/>
        </w:r>
        <w:r w:rsidR="00242E8D">
          <w:rPr>
            <w:noProof/>
            <w:webHidden/>
          </w:rPr>
          <w:fldChar w:fldCharType="begin"/>
        </w:r>
        <w:r w:rsidR="00242E8D">
          <w:rPr>
            <w:noProof/>
            <w:webHidden/>
          </w:rPr>
          <w:instrText xml:space="preserve"> PAGEREF _Toc68786334 \h </w:instrText>
        </w:r>
        <w:r w:rsidR="00242E8D">
          <w:rPr>
            <w:noProof/>
            <w:webHidden/>
          </w:rPr>
        </w:r>
        <w:r w:rsidR="00242E8D">
          <w:rPr>
            <w:noProof/>
            <w:webHidden/>
          </w:rPr>
          <w:fldChar w:fldCharType="separate"/>
        </w:r>
        <w:r w:rsidR="00B94D2F">
          <w:rPr>
            <w:noProof/>
            <w:webHidden/>
          </w:rPr>
          <w:t>265</w:t>
        </w:r>
        <w:r w:rsidR="00242E8D">
          <w:rPr>
            <w:noProof/>
            <w:webHidden/>
          </w:rPr>
          <w:fldChar w:fldCharType="end"/>
        </w:r>
      </w:hyperlink>
    </w:p>
    <w:p w14:paraId="3248ABC4" w14:textId="4CBFBF4F" w:rsidR="00242E8D" w:rsidRDefault="00087879">
      <w:pPr>
        <w:pStyle w:val="TOC2"/>
        <w:rPr>
          <w:rFonts w:asciiTheme="minorHAnsi" w:eastAsiaTheme="minorEastAsia" w:hAnsiTheme="minorHAnsi" w:cstheme="minorBidi"/>
          <w:noProof/>
          <w:sz w:val="22"/>
        </w:rPr>
      </w:pPr>
      <w:hyperlink w:anchor="_Toc68786335" w:history="1">
        <w:r w:rsidR="00242E8D" w:rsidRPr="00702EC9">
          <w:rPr>
            <w:rStyle w:val="Hyperlink"/>
            <w:noProof/>
          </w:rPr>
          <w:t>6.3</w:t>
        </w:r>
        <w:r w:rsidR="00242E8D">
          <w:rPr>
            <w:rFonts w:asciiTheme="minorHAnsi" w:eastAsiaTheme="minorEastAsia" w:hAnsiTheme="minorHAnsi" w:cstheme="minorBidi"/>
            <w:noProof/>
            <w:sz w:val="22"/>
          </w:rPr>
          <w:tab/>
        </w:r>
        <w:r w:rsidR="00242E8D" w:rsidRPr="00702EC9">
          <w:rPr>
            <w:rStyle w:val="Hyperlink"/>
            <w:noProof/>
          </w:rPr>
          <w:t>Soils</w:t>
        </w:r>
        <w:r w:rsidR="00242E8D">
          <w:rPr>
            <w:noProof/>
            <w:webHidden/>
          </w:rPr>
          <w:tab/>
        </w:r>
        <w:r w:rsidR="00242E8D">
          <w:rPr>
            <w:noProof/>
            <w:webHidden/>
          </w:rPr>
          <w:fldChar w:fldCharType="begin"/>
        </w:r>
        <w:r w:rsidR="00242E8D">
          <w:rPr>
            <w:noProof/>
            <w:webHidden/>
          </w:rPr>
          <w:instrText xml:space="preserve"> PAGEREF _Toc68786335 \h </w:instrText>
        </w:r>
        <w:r w:rsidR="00242E8D">
          <w:rPr>
            <w:noProof/>
            <w:webHidden/>
          </w:rPr>
        </w:r>
        <w:r w:rsidR="00242E8D">
          <w:rPr>
            <w:noProof/>
            <w:webHidden/>
          </w:rPr>
          <w:fldChar w:fldCharType="separate"/>
        </w:r>
        <w:r w:rsidR="00B94D2F">
          <w:rPr>
            <w:noProof/>
            <w:webHidden/>
          </w:rPr>
          <w:t>284</w:t>
        </w:r>
        <w:r w:rsidR="00242E8D">
          <w:rPr>
            <w:noProof/>
            <w:webHidden/>
          </w:rPr>
          <w:fldChar w:fldCharType="end"/>
        </w:r>
      </w:hyperlink>
    </w:p>
    <w:p w14:paraId="28F25845" w14:textId="70C3A710" w:rsidR="00242E8D" w:rsidRDefault="00087879">
      <w:pPr>
        <w:pStyle w:val="TOC2"/>
        <w:rPr>
          <w:rFonts w:asciiTheme="minorHAnsi" w:eastAsiaTheme="minorEastAsia" w:hAnsiTheme="minorHAnsi" w:cstheme="minorBidi"/>
          <w:noProof/>
          <w:sz w:val="22"/>
        </w:rPr>
      </w:pPr>
      <w:hyperlink w:anchor="_Toc68786336" w:history="1">
        <w:r w:rsidR="00242E8D" w:rsidRPr="00702EC9">
          <w:rPr>
            <w:rStyle w:val="Hyperlink"/>
            <w:noProof/>
          </w:rPr>
          <w:t>6.4</w:t>
        </w:r>
        <w:r w:rsidR="00242E8D">
          <w:rPr>
            <w:rFonts w:asciiTheme="minorHAnsi" w:eastAsiaTheme="minorEastAsia" w:hAnsiTheme="minorHAnsi" w:cstheme="minorBidi"/>
            <w:noProof/>
            <w:sz w:val="22"/>
          </w:rPr>
          <w:tab/>
        </w:r>
        <w:r w:rsidR="00242E8D" w:rsidRPr="00702EC9">
          <w:rPr>
            <w:rStyle w:val="Hyperlink"/>
            <w:noProof/>
          </w:rPr>
          <w:t>Forest land (CRF 4A)</w:t>
        </w:r>
        <w:r w:rsidR="00242E8D">
          <w:rPr>
            <w:noProof/>
            <w:webHidden/>
          </w:rPr>
          <w:tab/>
        </w:r>
        <w:r w:rsidR="00242E8D">
          <w:rPr>
            <w:noProof/>
            <w:webHidden/>
          </w:rPr>
          <w:fldChar w:fldCharType="begin"/>
        </w:r>
        <w:r w:rsidR="00242E8D">
          <w:rPr>
            <w:noProof/>
            <w:webHidden/>
          </w:rPr>
          <w:instrText xml:space="preserve"> PAGEREF _Toc68786336 \h </w:instrText>
        </w:r>
        <w:r w:rsidR="00242E8D">
          <w:rPr>
            <w:noProof/>
            <w:webHidden/>
          </w:rPr>
        </w:r>
        <w:r w:rsidR="00242E8D">
          <w:rPr>
            <w:noProof/>
            <w:webHidden/>
          </w:rPr>
          <w:fldChar w:fldCharType="separate"/>
        </w:r>
        <w:r w:rsidR="00B94D2F">
          <w:rPr>
            <w:noProof/>
            <w:webHidden/>
          </w:rPr>
          <w:t>294</w:t>
        </w:r>
        <w:r w:rsidR="00242E8D">
          <w:rPr>
            <w:noProof/>
            <w:webHidden/>
          </w:rPr>
          <w:fldChar w:fldCharType="end"/>
        </w:r>
      </w:hyperlink>
    </w:p>
    <w:p w14:paraId="74310F47" w14:textId="491DCCF7" w:rsidR="00242E8D" w:rsidRDefault="00087879">
      <w:pPr>
        <w:pStyle w:val="TOC2"/>
        <w:rPr>
          <w:rFonts w:asciiTheme="minorHAnsi" w:eastAsiaTheme="minorEastAsia" w:hAnsiTheme="minorHAnsi" w:cstheme="minorBidi"/>
          <w:noProof/>
          <w:sz w:val="22"/>
        </w:rPr>
      </w:pPr>
      <w:hyperlink w:anchor="_Toc68786337" w:history="1">
        <w:r w:rsidR="00242E8D" w:rsidRPr="00702EC9">
          <w:rPr>
            <w:rStyle w:val="Hyperlink"/>
            <w:noProof/>
          </w:rPr>
          <w:t>6.5</w:t>
        </w:r>
        <w:r w:rsidR="00242E8D">
          <w:rPr>
            <w:rFonts w:asciiTheme="minorHAnsi" w:eastAsiaTheme="minorEastAsia" w:hAnsiTheme="minorHAnsi" w:cstheme="minorBidi"/>
            <w:noProof/>
            <w:sz w:val="22"/>
          </w:rPr>
          <w:tab/>
        </w:r>
        <w:r w:rsidR="00242E8D" w:rsidRPr="00702EC9">
          <w:rPr>
            <w:rStyle w:val="Hyperlink"/>
            <w:noProof/>
          </w:rPr>
          <w:t>Cropland (CRF 4B)</w:t>
        </w:r>
        <w:r w:rsidR="00242E8D">
          <w:rPr>
            <w:noProof/>
            <w:webHidden/>
          </w:rPr>
          <w:tab/>
        </w:r>
        <w:r w:rsidR="00242E8D">
          <w:rPr>
            <w:noProof/>
            <w:webHidden/>
          </w:rPr>
          <w:fldChar w:fldCharType="begin"/>
        </w:r>
        <w:r w:rsidR="00242E8D">
          <w:rPr>
            <w:noProof/>
            <w:webHidden/>
          </w:rPr>
          <w:instrText xml:space="preserve"> PAGEREF _Toc68786337 \h </w:instrText>
        </w:r>
        <w:r w:rsidR="00242E8D">
          <w:rPr>
            <w:noProof/>
            <w:webHidden/>
          </w:rPr>
        </w:r>
        <w:r w:rsidR="00242E8D">
          <w:rPr>
            <w:noProof/>
            <w:webHidden/>
          </w:rPr>
          <w:fldChar w:fldCharType="separate"/>
        </w:r>
        <w:r w:rsidR="00B94D2F">
          <w:rPr>
            <w:noProof/>
            <w:webHidden/>
          </w:rPr>
          <w:t>321</w:t>
        </w:r>
        <w:r w:rsidR="00242E8D">
          <w:rPr>
            <w:noProof/>
            <w:webHidden/>
          </w:rPr>
          <w:fldChar w:fldCharType="end"/>
        </w:r>
      </w:hyperlink>
    </w:p>
    <w:p w14:paraId="19240A2F" w14:textId="7F0C47D6" w:rsidR="00242E8D" w:rsidRDefault="00087879">
      <w:pPr>
        <w:pStyle w:val="TOC2"/>
        <w:rPr>
          <w:rFonts w:asciiTheme="minorHAnsi" w:eastAsiaTheme="minorEastAsia" w:hAnsiTheme="minorHAnsi" w:cstheme="minorBidi"/>
          <w:noProof/>
          <w:sz w:val="22"/>
        </w:rPr>
      </w:pPr>
      <w:hyperlink w:anchor="_Toc68786338" w:history="1">
        <w:r w:rsidR="00242E8D" w:rsidRPr="00702EC9">
          <w:rPr>
            <w:rStyle w:val="Hyperlink"/>
            <w:noProof/>
          </w:rPr>
          <w:t>6.6</w:t>
        </w:r>
        <w:r w:rsidR="00242E8D">
          <w:rPr>
            <w:rFonts w:asciiTheme="minorHAnsi" w:eastAsiaTheme="minorEastAsia" w:hAnsiTheme="minorHAnsi" w:cstheme="minorBidi"/>
            <w:noProof/>
            <w:sz w:val="22"/>
          </w:rPr>
          <w:tab/>
        </w:r>
        <w:r w:rsidR="00242E8D" w:rsidRPr="00702EC9">
          <w:rPr>
            <w:rStyle w:val="Hyperlink"/>
            <w:noProof/>
          </w:rPr>
          <w:t>Grassland (CRF 4C)</w:t>
        </w:r>
        <w:r w:rsidR="00242E8D">
          <w:rPr>
            <w:noProof/>
            <w:webHidden/>
          </w:rPr>
          <w:tab/>
        </w:r>
        <w:r w:rsidR="00242E8D">
          <w:rPr>
            <w:noProof/>
            <w:webHidden/>
          </w:rPr>
          <w:fldChar w:fldCharType="begin"/>
        </w:r>
        <w:r w:rsidR="00242E8D">
          <w:rPr>
            <w:noProof/>
            <w:webHidden/>
          </w:rPr>
          <w:instrText xml:space="preserve"> PAGEREF _Toc68786338 \h </w:instrText>
        </w:r>
        <w:r w:rsidR="00242E8D">
          <w:rPr>
            <w:noProof/>
            <w:webHidden/>
          </w:rPr>
        </w:r>
        <w:r w:rsidR="00242E8D">
          <w:rPr>
            <w:noProof/>
            <w:webHidden/>
          </w:rPr>
          <w:fldChar w:fldCharType="separate"/>
        </w:r>
        <w:r w:rsidR="00B94D2F">
          <w:rPr>
            <w:noProof/>
            <w:webHidden/>
          </w:rPr>
          <w:t>328</w:t>
        </w:r>
        <w:r w:rsidR="00242E8D">
          <w:rPr>
            <w:noProof/>
            <w:webHidden/>
          </w:rPr>
          <w:fldChar w:fldCharType="end"/>
        </w:r>
      </w:hyperlink>
    </w:p>
    <w:p w14:paraId="16A77C6D" w14:textId="75B1DB3F" w:rsidR="00242E8D" w:rsidRDefault="00087879">
      <w:pPr>
        <w:pStyle w:val="TOC2"/>
        <w:rPr>
          <w:rFonts w:asciiTheme="minorHAnsi" w:eastAsiaTheme="minorEastAsia" w:hAnsiTheme="minorHAnsi" w:cstheme="minorBidi"/>
          <w:noProof/>
          <w:sz w:val="22"/>
        </w:rPr>
      </w:pPr>
      <w:hyperlink w:anchor="_Toc68786339" w:history="1">
        <w:r w:rsidR="00242E8D" w:rsidRPr="00702EC9">
          <w:rPr>
            <w:rStyle w:val="Hyperlink"/>
            <w:noProof/>
          </w:rPr>
          <w:t>6.7</w:t>
        </w:r>
        <w:r w:rsidR="00242E8D">
          <w:rPr>
            <w:rFonts w:asciiTheme="minorHAnsi" w:eastAsiaTheme="minorEastAsia" w:hAnsiTheme="minorHAnsi" w:cstheme="minorBidi"/>
            <w:noProof/>
            <w:sz w:val="22"/>
          </w:rPr>
          <w:tab/>
        </w:r>
        <w:r w:rsidR="00242E8D" w:rsidRPr="00702EC9">
          <w:rPr>
            <w:rStyle w:val="Hyperlink"/>
            <w:noProof/>
          </w:rPr>
          <w:t>Wetlands (CRF 4D)</w:t>
        </w:r>
        <w:r w:rsidR="00242E8D">
          <w:rPr>
            <w:noProof/>
            <w:webHidden/>
          </w:rPr>
          <w:tab/>
        </w:r>
        <w:r w:rsidR="00242E8D">
          <w:rPr>
            <w:noProof/>
            <w:webHidden/>
          </w:rPr>
          <w:fldChar w:fldCharType="begin"/>
        </w:r>
        <w:r w:rsidR="00242E8D">
          <w:rPr>
            <w:noProof/>
            <w:webHidden/>
          </w:rPr>
          <w:instrText xml:space="preserve"> PAGEREF _Toc68786339 \h </w:instrText>
        </w:r>
        <w:r w:rsidR="00242E8D">
          <w:rPr>
            <w:noProof/>
            <w:webHidden/>
          </w:rPr>
        </w:r>
        <w:r w:rsidR="00242E8D">
          <w:rPr>
            <w:noProof/>
            <w:webHidden/>
          </w:rPr>
          <w:fldChar w:fldCharType="separate"/>
        </w:r>
        <w:r w:rsidR="00B94D2F">
          <w:rPr>
            <w:noProof/>
            <w:webHidden/>
          </w:rPr>
          <w:t>333</w:t>
        </w:r>
        <w:r w:rsidR="00242E8D">
          <w:rPr>
            <w:noProof/>
            <w:webHidden/>
          </w:rPr>
          <w:fldChar w:fldCharType="end"/>
        </w:r>
      </w:hyperlink>
    </w:p>
    <w:p w14:paraId="325D22C9" w14:textId="61BBF669" w:rsidR="00242E8D" w:rsidRDefault="00087879">
      <w:pPr>
        <w:pStyle w:val="TOC2"/>
        <w:rPr>
          <w:rFonts w:asciiTheme="minorHAnsi" w:eastAsiaTheme="minorEastAsia" w:hAnsiTheme="minorHAnsi" w:cstheme="minorBidi"/>
          <w:noProof/>
          <w:sz w:val="22"/>
        </w:rPr>
      </w:pPr>
      <w:hyperlink w:anchor="_Toc68786340" w:history="1">
        <w:r w:rsidR="00242E8D" w:rsidRPr="00702EC9">
          <w:rPr>
            <w:rStyle w:val="Hyperlink"/>
            <w:noProof/>
          </w:rPr>
          <w:t>6.8</w:t>
        </w:r>
        <w:r w:rsidR="00242E8D">
          <w:rPr>
            <w:rFonts w:asciiTheme="minorHAnsi" w:eastAsiaTheme="minorEastAsia" w:hAnsiTheme="minorHAnsi" w:cstheme="minorBidi"/>
            <w:noProof/>
            <w:sz w:val="22"/>
          </w:rPr>
          <w:tab/>
        </w:r>
        <w:r w:rsidR="00242E8D" w:rsidRPr="00702EC9">
          <w:rPr>
            <w:rStyle w:val="Hyperlink"/>
            <w:noProof/>
          </w:rPr>
          <w:t>Settlements (CRF 4E)</w:t>
        </w:r>
        <w:r w:rsidR="00242E8D">
          <w:rPr>
            <w:noProof/>
            <w:webHidden/>
          </w:rPr>
          <w:tab/>
        </w:r>
        <w:r w:rsidR="00242E8D">
          <w:rPr>
            <w:noProof/>
            <w:webHidden/>
          </w:rPr>
          <w:fldChar w:fldCharType="begin"/>
        </w:r>
        <w:r w:rsidR="00242E8D">
          <w:rPr>
            <w:noProof/>
            <w:webHidden/>
          </w:rPr>
          <w:instrText xml:space="preserve"> PAGEREF _Toc68786340 \h </w:instrText>
        </w:r>
        <w:r w:rsidR="00242E8D">
          <w:rPr>
            <w:noProof/>
            <w:webHidden/>
          </w:rPr>
        </w:r>
        <w:r w:rsidR="00242E8D">
          <w:rPr>
            <w:noProof/>
            <w:webHidden/>
          </w:rPr>
          <w:fldChar w:fldCharType="separate"/>
        </w:r>
        <w:r w:rsidR="00B94D2F">
          <w:rPr>
            <w:noProof/>
            <w:webHidden/>
          </w:rPr>
          <w:t>338</w:t>
        </w:r>
        <w:r w:rsidR="00242E8D">
          <w:rPr>
            <w:noProof/>
            <w:webHidden/>
          </w:rPr>
          <w:fldChar w:fldCharType="end"/>
        </w:r>
      </w:hyperlink>
    </w:p>
    <w:p w14:paraId="3A0C53E9" w14:textId="40C1DB3E" w:rsidR="00242E8D" w:rsidRDefault="00087879">
      <w:pPr>
        <w:pStyle w:val="TOC2"/>
        <w:rPr>
          <w:rFonts w:asciiTheme="minorHAnsi" w:eastAsiaTheme="minorEastAsia" w:hAnsiTheme="minorHAnsi" w:cstheme="minorBidi"/>
          <w:noProof/>
          <w:sz w:val="22"/>
        </w:rPr>
      </w:pPr>
      <w:hyperlink w:anchor="_Toc68786341" w:history="1">
        <w:r w:rsidR="00242E8D" w:rsidRPr="00702EC9">
          <w:rPr>
            <w:rStyle w:val="Hyperlink"/>
            <w:noProof/>
          </w:rPr>
          <w:t>6.9</w:t>
        </w:r>
        <w:r w:rsidR="00242E8D">
          <w:rPr>
            <w:rFonts w:asciiTheme="minorHAnsi" w:eastAsiaTheme="minorEastAsia" w:hAnsiTheme="minorHAnsi" w:cstheme="minorBidi"/>
            <w:noProof/>
            <w:sz w:val="22"/>
          </w:rPr>
          <w:tab/>
        </w:r>
        <w:r w:rsidR="00242E8D" w:rsidRPr="00702EC9">
          <w:rPr>
            <w:rStyle w:val="Hyperlink"/>
            <w:noProof/>
          </w:rPr>
          <w:t>Other land (CRF 4F)</w:t>
        </w:r>
        <w:r w:rsidR="00242E8D">
          <w:rPr>
            <w:noProof/>
            <w:webHidden/>
          </w:rPr>
          <w:tab/>
        </w:r>
        <w:r w:rsidR="00242E8D">
          <w:rPr>
            <w:noProof/>
            <w:webHidden/>
          </w:rPr>
          <w:fldChar w:fldCharType="begin"/>
        </w:r>
        <w:r w:rsidR="00242E8D">
          <w:rPr>
            <w:noProof/>
            <w:webHidden/>
          </w:rPr>
          <w:instrText xml:space="preserve"> PAGEREF _Toc68786341 \h </w:instrText>
        </w:r>
        <w:r w:rsidR="00242E8D">
          <w:rPr>
            <w:noProof/>
            <w:webHidden/>
          </w:rPr>
        </w:r>
        <w:r w:rsidR="00242E8D">
          <w:rPr>
            <w:noProof/>
            <w:webHidden/>
          </w:rPr>
          <w:fldChar w:fldCharType="separate"/>
        </w:r>
        <w:r w:rsidR="00B94D2F">
          <w:rPr>
            <w:noProof/>
            <w:webHidden/>
          </w:rPr>
          <w:t>341</w:t>
        </w:r>
        <w:r w:rsidR="00242E8D">
          <w:rPr>
            <w:noProof/>
            <w:webHidden/>
          </w:rPr>
          <w:fldChar w:fldCharType="end"/>
        </w:r>
      </w:hyperlink>
    </w:p>
    <w:p w14:paraId="05FBD1C9" w14:textId="150EDA3C" w:rsidR="00242E8D" w:rsidRDefault="00087879">
      <w:pPr>
        <w:pStyle w:val="TOC2"/>
        <w:rPr>
          <w:rFonts w:asciiTheme="minorHAnsi" w:eastAsiaTheme="minorEastAsia" w:hAnsiTheme="minorHAnsi" w:cstheme="minorBidi"/>
          <w:noProof/>
          <w:sz w:val="22"/>
        </w:rPr>
      </w:pPr>
      <w:hyperlink w:anchor="_Toc68786342" w:history="1">
        <w:r w:rsidR="00242E8D" w:rsidRPr="00702EC9">
          <w:rPr>
            <w:rStyle w:val="Hyperlink"/>
            <w:noProof/>
          </w:rPr>
          <w:t>6.10</w:t>
        </w:r>
        <w:r w:rsidR="00242E8D">
          <w:rPr>
            <w:rFonts w:asciiTheme="minorHAnsi" w:eastAsiaTheme="minorEastAsia" w:hAnsiTheme="minorHAnsi" w:cstheme="minorBidi"/>
            <w:noProof/>
            <w:sz w:val="22"/>
          </w:rPr>
          <w:tab/>
        </w:r>
        <w:r w:rsidR="00242E8D" w:rsidRPr="00702EC9">
          <w:rPr>
            <w:rStyle w:val="Hyperlink"/>
            <w:noProof/>
          </w:rPr>
          <w:t>Harvested wood products (CRF 4G)</w:t>
        </w:r>
        <w:r w:rsidR="00242E8D">
          <w:rPr>
            <w:noProof/>
            <w:webHidden/>
          </w:rPr>
          <w:tab/>
        </w:r>
        <w:r w:rsidR="00242E8D">
          <w:rPr>
            <w:noProof/>
            <w:webHidden/>
          </w:rPr>
          <w:fldChar w:fldCharType="begin"/>
        </w:r>
        <w:r w:rsidR="00242E8D">
          <w:rPr>
            <w:noProof/>
            <w:webHidden/>
          </w:rPr>
          <w:instrText xml:space="preserve"> PAGEREF _Toc68786342 \h </w:instrText>
        </w:r>
        <w:r w:rsidR="00242E8D">
          <w:rPr>
            <w:noProof/>
            <w:webHidden/>
          </w:rPr>
        </w:r>
        <w:r w:rsidR="00242E8D">
          <w:rPr>
            <w:noProof/>
            <w:webHidden/>
          </w:rPr>
          <w:fldChar w:fldCharType="separate"/>
        </w:r>
        <w:r w:rsidR="00B94D2F">
          <w:rPr>
            <w:noProof/>
            <w:webHidden/>
          </w:rPr>
          <w:t>343</w:t>
        </w:r>
        <w:r w:rsidR="00242E8D">
          <w:rPr>
            <w:noProof/>
            <w:webHidden/>
          </w:rPr>
          <w:fldChar w:fldCharType="end"/>
        </w:r>
      </w:hyperlink>
    </w:p>
    <w:p w14:paraId="28ABD214" w14:textId="4FC886E0" w:rsidR="00242E8D" w:rsidRDefault="00087879">
      <w:pPr>
        <w:pStyle w:val="TOC2"/>
        <w:rPr>
          <w:rFonts w:asciiTheme="minorHAnsi" w:eastAsiaTheme="minorEastAsia" w:hAnsiTheme="minorHAnsi" w:cstheme="minorBidi"/>
          <w:noProof/>
          <w:sz w:val="22"/>
        </w:rPr>
      </w:pPr>
      <w:hyperlink w:anchor="_Toc68786343" w:history="1">
        <w:r w:rsidR="00242E8D" w:rsidRPr="00702EC9">
          <w:rPr>
            <w:rStyle w:val="Hyperlink"/>
            <w:noProof/>
          </w:rPr>
          <w:t>6.11</w:t>
        </w:r>
        <w:r w:rsidR="00242E8D">
          <w:rPr>
            <w:rFonts w:asciiTheme="minorHAnsi" w:eastAsiaTheme="minorEastAsia" w:hAnsiTheme="minorHAnsi" w:cstheme="minorBidi"/>
            <w:noProof/>
            <w:sz w:val="22"/>
          </w:rPr>
          <w:tab/>
        </w:r>
        <w:r w:rsidR="00242E8D" w:rsidRPr="00702EC9">
          <w:rPr>
            <w:rStyle w:val="Hyperlink"/>
            <w:noProof/>
          </w:rPr>
          <w:t>Non-CO</w:t>
        </w:r>
        <w:r w:rsidR="00242E8D" w:rsidRPr="00702EC9">
          <w:rPr>
            <w:rStyle w:val="Hyperlink"/>
            <w:rFonts w:ascii="Arial Bold" w:hAnsi="Arial Bold"/>
            <w:noProof/>
            <w:vertAlign w:val="subscript"/>
          </w:rPr>
          <w:t>2</w:t>
        </w:r>
        <w:r w:rsidR="00242E8D" w:rsidRPr="00702EC9">
          <w:rPr>
            <w:rStyle w:val="Hyperlink"/>
            <w:noProof/>
          </w:rPr>
          <w:t xml:space="preserve"> emissions (CRF 4(I–V))</w:t>
        </w:r>
        <w:r w:rsidR="00242E8D">
          <w:rPr>
            <w:noProof/>
            <w:webHidden/>
          </w:rPr>
          <w:tab/>
        </w:r>
        <w:r w:rsidR="00242E8D">
          <w:rPr>
            <w:noProof/>
            <w:webHidden/>
          </w:rPr>
          <w:fldChar w:fldCharType="begin"/>
        </w:r>
        <w:r w:rsidR="00242E8D">
          <w:rPr>
            <w:noProof/>
            <w:webHidden/>
          </w:rPr>
          <w:instrText xml:space="preserve"> PAGEREF _Toc68786343 \h </w:instrText>
        </w:r>
        <w:r w:rsidR="00242E8D">
          <w:rPr>
            <w:noProof/>
            <w:webHidden/>
          </w:rPr>
        </w:r>
        <w:r w:rsidR="00242E8D">
          <w:rPr>
            <w:noProof/>
            <w:webHidden/>
          </w:rPr>
          <w:fldChar w:fldCharType="separate"/>
        </w:r>
        <w:r w:rsidR="00B94D2F">
          <w:rPr>
            <w:noProof/>
            <w:webHidden/>
          </w:rPr>
          <w:t>347</w:t>
        </w:r>
        <w:r w:rsidR="00242E8D">
          <w:rPr>
            <w:noProof/>
            <w:webHidden/>
          </w:rPr>
          <w:fldChar w:fldCharType="end"/>
        </w:r>
      </w:hyperlink>
    </w:p>
    <w:p w14:paraId="62A71CBC" w14:textId="0BD67AC1" w:rsidR="00242E8D" w:rsidRDefault="00087879">
      <w:pPr>
        <w:pStyle w:val="TOC2"/>
        <w:rPr>
          <w:rFonts w:asciiTheme="minorHAnsi" w:eastAsiaTheme="minorEastAsia" w:hAnsiTheme="minorHAnsi" w:cstheme="minorBidi"/>
          <w:noProof/>
          <w:sz w:val="22"/>
        </w:rPr>
      </w:pPr>
      <w:hyperlink w:anchor="_Toc68786344" w:history="1">
        <w:r w:rsidR="00242E8D" w:rsidRPr="00702EC9">
          <w:rPr>
            <w:rStyle w:val="Hyperlink"/>
            <w:noProof/>
          </w:rPr>
          <w:t>Chapter 6: References</w:t>
        </w:r>
        <w:r w:rsidR="00242E8D">
          <w:rPr>
            <w:noProof/>
            <w:webHidden/>
          </w:rPr>
          <w:tab/>
        </w:r>
        <w:r w:rsidR="00242E8D">
          <w:rPr>
            <w:noProof/>
            <w:webHidden/>
          </w:rPr>
          <w:fldChar w:fldCharType="begin"/>
        </w:r>
        <w:r w:rsidR="00242E8D">
          <w:rPr>
            <w:noProof/>
            <w:webHidden/>
          </w:rPr>
          <w:instrText xml:space="preserve"> PAGEREF _Toc68786344 \h </w:instrText>
        </w:r>
        <w:r w:rsidR="00242E8D">
          <w:rPr>
            <w:noProof/>
            <w:webHidden/>
          </w:rPr>
        </w:r>
        <w:r w:rsidR="00242E8D">
          <w:rPr>
            <w:noProof/>
            <w:webHidden/>
          </w:rPr>
          <w:fldChar w:fldCharType="separate"/>
        </w:r>
        <w:r w:rsidR="00B94D2F">
          <w:rPr>
            <w:noProof/>
            <w:webHidden/>
          </w:rPr>
          <w:t>354</w:t>
        </w:r>
        <w:r w:rsidR="00242E8D">
          <w:rPr>
            <w:noProof/>
            <w:webHidden/>
          </w:rPr>
          <w:fldChar w:fldCharType="end"/>
        </w:r>
      </w:hyperlink>
    </w:p>
    <w:p w14:paraId="40063F79" w14:textId="5162335F" w:rsidR="00242E8D" w:rsidRDefault="00087879">
      <w:pPr>
        <w:pStyle w:val="TOC1"/>
        <w:rPr>
          <w:rFonts w:asciiTheme="minorHAnsi" w:eastAsiaTheme="minorEastAsia" w:hAnsiTheme="minorHAnsi" w:cstheme="minorBidi"/>
          <w:noProof/>
          <w:sz w:val="22"/>
        </w:rPr>
      </w:pPr>
      <w:hyperlink w:anchor="_Toc68786345" w:history="1">
        <w:r w:rsidR="00242E8D" w:rsidRPr="00702EC9">
          <w:rPr>
            <w:rStyle w:val="Hyperlink"/>
            <w:noProof/>
          </w:rPr>
          <w:t>Chapter 7: Waste</w:t>
        </w:r>
        <w:r w:rsidR="00242E8D">
          <w:rPr>
            <w:noProof/>
            <w:webHidden/>
          </w:rPr>
          <w:tab/>
        </w:r>
        <w:r w:rsidR="00242E8D">
          <w:rPr>
            <w:noProof/>
            <w:webHidden/>
          </w:rPr>
          <w:fldChar w:fldCharType="begin"/>
        </w:r>
        <w:r w:rsidR="00242E8D">
          <w:rPr>
            <w:noProof/>
            <w:webHidden/>
          </w:rPr>
          <w:instrText xml:space="preserve"> PAGEREF _Toc68786345 \h </w:instrText>
        </w:r>
        <w:r w:rsidR="00242E8D">
          <w:rPr>
            <w:noProof/>
            <w:webHidden/>
          </w:rPr>
        </w:r>
        <w:r w:rsidR="00242E8D">
          <w:rPr>
            <w:noProof/>
            <w:webHidden/>
          </w:rPr>
          <w:fldChar w:fldCharType="separate"/>
        </w:r>
        <w:r w:rsidR="00B94D2F">
          <w:rPr>
            <w:noProof/>
            <w:webHidden/>
          </w:rPr>
          <w:t>362</w:t>
        </w:r>
        <w:r w:rsidR="00242E8D">
          <w:rPr>
            <w:noProof/>
            <w:webHidden/>
          </w:rPr>
          <w:fldChar w:fldCharType="end"/>
        </w:r>
      </w:hyperlink>
    </w:p>
    <w:p w14:paraId="4ABDE35E" w14:textId="6B555E9B" w:rsidR="00242E8D" w:rsidRDefault="00087879">
      <w:pPr>
        <w:pStyle w:val="TOC2"/>
        <w:rPr>
          <w:rFonts w:asciiTheme="minorHAnsi" w:eastAsiaTheme="minorEastAsia" w:hAnsiTheme="minorHAnsi" w:cstheme="minorBidi"/>
          <w:noProof/>
          <w:sz w:val="22"/>
        </w:rPr>
      </w:pPr>
      <w:hyperlink w:anchor="_Toc68786346" w:history="1">
        <w:r w:rsidR="00242E8D" w:rsidRPr="00702EC9">
          <w:rPr>
            <w:rStyle w:val="Hyperlink"/>
            <w:noProof/>
          </w:rPr>
          <w:t>7.1</w:t>
        </w:r>
        <w:r w:rsidR="00242E8D">
          <w:rPr>
            <w:rFonts w:asciiTheme="minorHAnsi" w:eastAsiaTheme="minorEastAsia" w:hAnsiTheme="minorHAnsi" w:cstheme="minorBidi"/>
            <w:noProof/>
            <w:sz w:val="22"/>
          </w:rPr>
          <w:tab/>
        </w:r>
        <w:r w:rsidR="00242E8D" w:rsidRPr="00702EC9">
          <w:rPr>
            <w:rStyle w:val="Hyperlink"/>
            <w:noProof/>
          </w:rPr>
          <w:t>Sector overview</w:t>
        </w:r>
        <w:r w:rsidR="00242E8D">
          <w:rPr>
            <w:noProof/>
            <w:webHidden/>
          </w:rPr>
          <w:tab/>
        </w:r>
        <w:r w:rsidR="00242E8D">
          <w:rPr>
            <w:noProof/>
            <w:webHidden/>
          </w:rPr>
          <w:fldChar w:fldCharType="begin"/>
        </w:r>
        <w:r w:rsidR="00242E8D">
          <w:rPr>
            <w:noProof/>
            <w:webHidden/>
          </w:rPr>
          <w:instrText xml:space="preserve"> PAGEREF _Toc68786346 \h </w:instrText>
        </w:r>
        <w:r w:rsidR="00242E8D">
          <w:rPr>
            <w:noProof/>
            <w:webHidden/>
          </w:rPr>
        </w:r>
        <w:r w:rsidR="00242E8D">
          <w:rPr>
            <w:noProof/>
            <w:webHidden/>
          </w:rPr>
          <w:fldChar w:fldCharType="separate"/>
        </w:r>
        <w:r w:rsidR="00B94D2F">
          <w:rPr>
            <w:noProof/>
            <w:webHidden/>
          </w:rPr>
          <w:t>362</w:t>
        </w:r>
        <w:r w:rsidR="00242E8D">
          <w:rPr>
            <w:noProof/>
            <w:webHidden/>
          </w:rPr>
          <w:fldChar w:fldCharType="end"/>
        </w:r>
      </w:hyperlink>
    </w:p>
    <w:p w14:paraId="71C861E4" w14:textId="46581314" w:rsidR="00242E8D" w:rsidRDefault="00087879">
      <w:pPr>
        <w:pStyle w:val="TOC2"/>
        <w:rPr>
          <w:rFonts w:asciiTheme="minorHAnsi" w:eastAsiaTheme="minorEastAsia" w:hAnsiTheme="minorHAnsi" w:cstheme="minorBidi"/>
          <w:noProof/>
          <w:sz w:val="22"/>
        </w:rPr>
      </w:pPr>
      <w:hyperlink w:anchor="_Toc68786347" w:history="1">
        <w:r w:rsidR="00242E8D" w:rsidRPr="00702EC9">
          <w:rPr>
            <w:rStyle w:val="Hyperlink"/>
            <w:noProof/>
          </w:rPr>
          <w:t>7.2</w:t>
        </w:r>
        <w:r w:rsidR="00242E8D">
          <w:rPr>
            <w:rFonts w:asciiTheme="minorHAnsi" w:eastAsiaTheme="minorEastAsia" w:hAnsiTheme="minorHAnsi" w:cstheme="minorBidi"/>
            <w:noProof/>
            <w:sz w:val="22"/>
          </w:rPr>
          <w:tab/>
        </w:r>
        <w:r w:rsidR="00242E8D" w:rsidRPr="00702EC9">
          <w:rPr>
            <w:rStyle w:val="Hyperlink"/>
            <w:noProof/>
          </w:rPr>
          <w:t>Solid waste disposal (5.A)</w:t>
        </w:r>
        <w:r w:rsidR="00242E8D">
          <w:rPr>
            <w:noProof/>
            <w:webHidden/>
          </w:rPr>
          <w:tab/>
        </w:r>
        <w:r w:rsidR="00242E8D">
          <w:rPr>
            <w:noProof/>
            <w:webHidden/>
          </w:rPr>
          <w:fldChar w:fldCharType="begin"/>
        </w:r>
        <w:r w:rsidR="00242E8D">
          <w:rPr>
            <w:noProof/>
            <w:webHidden/>
          </w:rPr>
          <w:instrText xml:space="preserve"> PAGEREF _Toc68786347 \h </w:instrText>
        </w:r>
        <w:r w:rsidR="00242E8D">
          <w:rPr>
            <w:noProof/>
            <w:webHidden/>
          </w:rPr>
        </w:r>
        <w:r w:rsidR="00242E8D">
          <w:rPr>
            <w:noProof/>
            <w:webHidden/>
          </w:rPr>
          <w:fldChar w:fldCharType="separate"/>
        </w:r>
        <w:r w:rsidR="00B94D2F">
          <w:rPr>
            <w:noProof/>
            <w:webHidden/>
          </w:rPr>
          <w:t>367</w:t>
        </w:r>
        <w:r w:rsidR="00242E8D">
          <w:rPr>
            <w:noProof/>
            <w:webHidden/>
          </w:rPr>
          <w:fldChar w:fldCharType="end"/>
        </w:r>
      </w:hyperlink>
    </w:p>
    <w:p w14:paraId="2F605261" w14:textId="37F48075" w:rsidR="00242E8D" w:rsidRDefault="00087879">
      <w:pPr>
        <w:pStyle w:val="TOC2"/>
        <w:rPr>
          <w:rFonts w:asciiTheme="minorHAnsi" w:eastAsiaTheme="minorEastAsia" w:hAnsiTheme="minorHAnsi" w:cstheme="minorBidi"/>
          <w:noProof/>
          <w:sz w:val="22"/>
        </w:rPr>
      </w:pPr>
      <w:hyperlink w:anchor="_Toc68786348" w:history="1">
        <w:r w:rsidR="00242E8D" w:rsidRPr="00702EC9">
          <w:rPr>
            <w:rStyle w:val="Hyperlink"/>
            <w:noProof/>
          </w:rPr>
          <w:t>7.3</w:t>
        </w:r>
        <w:r w:rsidR="00242E8D">
          <w:rPr>
            <w:rFonts w:asciiTheme="minorHAnsi" w:eastAsiaTheme="minorEastAsia" w:hAnsiTheme="minorHAnsi" w:cstheme="minorBidi"/>
            <w:noProof/>
            <w:sz w:val="22"/>
          </w:rPr>
          <w:tab/>
        </w:r>
        <w:r w:rsidR="00242E8D" w:rsidRPr="00702EC9">
          <w:rPr>
            <w:rStyle w:val="Hyperlink"/>
            <w:noProof/>
          </w:rPr>
          <w:t>Biological treatment of solid waste (5.B)</w:t>
        </w:r>
        <w:r w:rsidR="00242E8D">
          <w:rPr>
            <w:noProof/>
            <w:webHidden/>
          </w:rPr>
          <w:tab/>
        </w:r>
        <w:r w:rsidR="00242E8D">
          <w:rPr>
            <w:noProof/>
            <w:webHidden/>
          </w:rPr>
          <w:fldChar w:fldCharType="begin"/>
        </w:r>
        <w:r w:rsidR="00242E8D">
          <w:rPr>
            <w:noProof/>
            <w:webHidden/>
          </w:rPr>
          <w:instrText xml:space="preserve"> PAGEREF _Toc68786348 \h </w:instrText>
        </w:r>
        <w:r w:rsidR="00242E8D">
          <w:rPr>
            <w:noProof/>
            <w:webHidden/>
          </w:rPr>
        </w:r>
        <w:r w:rsidR="00242E8D">
          <w:rPr>
            <w:noProof/>
            <w:webHidden/>
          </w:rPr>
          <w:fldChar w:fldCharType="separate"/>
        </w:r>
        <w:r w:rsidR="00B94D2F">
          <w:rPr>
            <w:noProof/>
            <w:webHidden/>
          </w:rPr>
          <w:t>380</w:t>
        </w:r>
        <w:r w:rsidR="00242E8D">
          <w:rPr>
            <w:noProof/>
            <w:webHidden/>
          </w:rPr>
          <w:fldChar w:fldCharType="end"/>
        </w:r>
      </w:hyperlink>
    </w:p>
    <w:p w14:paraId="1D45121B" w14:textId="660BDF76" w:rsidR="00242E8D" w:rsidRDefault="00087879">
      <w:pPr>
        <w:pStyle w:val="TOC2"/>
        <w:rPr>
          <w:rFonts w:asciiTheme="minorHAnsi" w:eastAsiaTheme="minorEastAsia" w:hAnsiTheme="minorHAnsi" w:cstheme="minorBidi"/>
          <w:noProof/>
          <w:sz w:val="22"/>
        </w:rPr>
      </w:pPr>
      <w:hyperlink w:anchor="_Toc68786349" w:history="1">
        <w:r w:rsidR="00242E8D" w:rsidRPr="00702EC9">
          <w:rPr>
            <w:rStyle w:val="Hyperlink"/>
            <w:noProof/>
          </w:rPr>
          <w:t>7.4</w:t>
        </w:r>
        <w:r w:rsidR="00242E8D">
          <w:rPr>
            <w:rFonts w:asciiTheme="minorHAnsi" w:eastAsiaTheme="minorEastAsia" w:hAnsiTheme="minorHAnsi" w:cstheme="minorBidi"/>
            <w:noProof/>
            <w:sz w:val="22"/>
          </w:rPr>
          <w:tab/>
        </w:r>
        <w:r w:rsidR="00242E8D" w:rsidRPr="00702EC9">
          <w:rPr>
            <w:rStyle w:val="Hyperlink"/>
            <w:noProof/>
          </w:rPr>
          <w:t>Incineration and open burning of waste (5.C)</w:t>
        </w:r>
        <w:r w:rsidR="00242E8D">
          <w:rPr>
            <w:noProof/>
            <w:webHidden/>
          </w:rPr>
          <w:tab/>
        </w:r>
        <w:r w:rsidR="00242E8D">
          <w:rPr>
            <w:noProof/>
            <w:webHidden/>
          </w:rPr>
          <w:fldChar w:fldCharType="begin"/>
        </w:r>
        <w:r w:rsidR="00242E8D">
          <w:rPr>
            <w:noProof/>
            <w:webHidden/>
          </w:rPr>
          <w:instrText xml:space="preserve"> PAGEREF _Toc68786349 \h </w:instrText>
        </w:r>
        <w:r w:rsidR="00242E8D">
          <w:rPr>
            <w:noProof/>
            <w:webHidden/>
          </w:rPr>
        </w:r>
        <w:r w:rsidR="00242E8D">
          <w:rPr>
            <w:noProof/>
            <w:webHidden/>
          </w:rPr>
          <w:fldChar w:fldCharType="separate"/>
        </w:r>
        <w:r w:rsidR="00B94D2F">
          <w:rPr>
            <w:noProof/>
            <w:webHidden/>
          </w:rPr>
          <w:t>382</w:t>
        </w:r>
        <w:r w:rsidR="00242E8D">
          <w:rPr>
            <w:noProof/>
            <w:webHidden/>
          </w:rPr>
          <w:fldChar w:fldCharType="end"/>
        </w:r>
      </w:hyperlink>
    </w:p>
    <w:p w14:paraId="7DD4587E" w14:textId="45AB9F27" w:rsidR="00242E8D" w:rsidRDefault="00087879">
      <w:pPr>
        <w:pStyle w:val="TOC2"/>
        <w:rPr>
          <w:rFonts w:asciiTheme="minorHAnsi" w:eastAsiaTheme="minorEastAsia" w:hAnsiTheme="minorHAnsi" w:cstheme="minorBidi"/>
          <w:noProof/>
          <w:sz w:val="22"/>
        </w:rPr>
      </w:pPr>
      <w:hyperlink w:anchor="_Toc68786350" w:history="1">
        <w:r w:rsidR="00242E8D" w:rsidRPr="00702EC9">
          <w:rPr>
            <w:rStyle w:val="Hyperlink"/>
            <w:noProof/>
          </w:rPr>
          <w:t xml:space="preserve">7.5 </w:t>
        </w:r>
        <w:r w:rsidR="00242E8D">
          <w:rPr>
            <w:rFonts w:asciiTheme="minorHAnsi" w:eastAsiaTheme="minorEastAsia" w:hAnsiTheme="minorHAnsi" w:cstheme="minorBidi"/>
            <w:noProof/>
            <w:sz w:val="22"/>
          </w:rPr>
          <w:tab/>
        </w:r>
        <w:r w:rsidR="00242E8D" w:rsidRPr="00702EC9">
          <w:rPr>
            <w:rStyle w:val="Hyperlink"/>
            <w:noProof/>
          </w:rPr>
          <w:t>Wastewater treatment and discharge (5.D)</w:t>
        </w:r>
        <w:r w:rsidR="00242E8D">
          <w:rPr>
            <w:noProof/>
            <w:webHidden/>
          </w:rPr>
          <w:tab/>
        </w:r>
        <w:r w:rsidR="00242E8D">
          <w:rPr>
            <w:noProof/>
            <w:webHidden/>
          </w:rPr>
          <w:fldChar w:fldCharType="begin"/>
        </w:r>
        <w:r w:rsidR="00242E8D">
          <w:rPr>
            <w:noProof/>
            <w:webHidden/>
          </w:rPr>
          <w:instrText xml:space="preserve"> PAGEREF _Toc68786350 \h </w:instrText>
        </w:r>
        <w:r w:rsidR="00242E8D">
          <w:rPr>
            <w:noProof/>
            <w:webHidden/>
          </w:rPr>
        </w:r>
        <w:r w:rsidR="00242E8D">
          <w:rPr>
            <w:noProof/>
            <w:webHidden/>
          </w:rPr>
          <w:fldChar w:fldCharType="separate"/>
        </w:r>
        <w:r w:rsidR="00B94D2F">
          <w:rPr>
            <w:noProof/>
            <w:webHidden/>
          </w:rPr>
          <w:t>387</w:t>
        </w:r>
        <w:r w:rsidR="00242E8D">
          <w:rPr>
            <w:noProof/>
            <w:webHidden/>
          </w:rPr>
          <w:fldChar w:fldCharType="end"/>
        </w:r>
      </w:hyperlink>
    </w:p>
    <w:p w14:paraId="5653CCF0" w14:textId="40C29B43" w:rsidR="00242E8D" w:rsidRDefault="00087879">
      <w:pPr>
        <w:pStyle w:val="TOC2"/>
        <w:rPr>
          <w:rFonts w:asciiTheme="minorHAnsi" w:eastAsiaTheme="minorEastAsia" w:hAnsiTheme="minorHAnsi" w:cstheme="minorBidi"/>
          <w:noProof/>
          <w:sz w:val="22"/>
        </w:rPr>
      </w:pPr>
      <w:hyperlink w:anchor="_Toc68786351" w:history="1">
        <w:r w:rsidR="00242E8D" w:rsidRPr="00702EC9">
          <w:rPr>
            <w:rStyle w:val="Hyperlink"/>
            <w:noProof/>
          </w:rPr>
          <w:t>Chapter 7: References</w:t>
        </w:r>
        <w:r w:rsidR="00242E8D">
          <w:rPr>
            <w:noProof/>
            <w:webHidden/>
          </w:rPr>
          <w:tab/>
        </w:r>
        <w:r w:rsidR="00242E8D">
          <w:rPr>
            <w:noProof/>
            <w:webHidden/>
          </w:rPr>
          <w:fldChar w:fldCharType="begin"/>
        </w:r>
        <w:r w:rsidR="00242E8D">
          <w:rPr>
            <w:noProof/>
            <w:webHidden/>
          </w:rPr>
          <w:instrText xml:space="preserve"> PAGEREF _Toc68786351 \h </w:instrText>
        </w:r>
        <w:r w:rsidR="00242E8D">
          <w:rPr>
            <w:noProof/>
            <w:webHidden/>
          </w:rPr>
        </w:r>
        <w:r w:rsidR="00242E8D">
          <w:rPr>
            <w:noProof/>
            <w:webHidden/>
          </w:rPr>
          <w:fldChar w:fldCharType="separate"/>
        </w:r>
        <w:r w:rsidR="00B94D2F">
          <w:rPr>
            <w:noProof/>
            <w:webHidden/>
          </w:rPr>
          <w:t>400</w:t>
        </w:r>
        <w:r w:rsidR="00242E8D">
          <w:rPr>
            <w:noProof/>
            <w:webHidden/>
          </w:rPr>
          <w:fldChar w:fldCharType="end"/>
        </w:r>
      </w:hyperlink>
    </w:p>
    <w:p w14:paraId="67E9F411" w14:textId="7FE21B20" w:rsidR="00242E8D" w:rsidRDefault="00087879">
      <w:pPr>
        <w:pStyle w:val="TOC1"/>
        <w:rPr>
          <w:rFonts w:asciiTheme="minorHAnsi" w:eastAsiaTheme="minorEastAsia" w:hAnsiTheme="minorHAnsi" w:cstheme="minorBidi"/>
          <w:noProof/>
          <w:sz w:val="22"/>
        </w:rPr>
      </w:pPr>
      <w:hyperlink w:anchor="_Toc68786352" w:history="1">
        <w:r w:rsidR="00242E8D" w:rsidRPr="00702EC9">
          <w:rPr>
            <w:rStyle w:val="Hyperlink"/>
            <w:noProof/>
          </w:rPr>
          <w:t>Chapter 8: Tokelau (other) sector</w:t>
        </w:r>
        <w:r w:rsidR="00242E8D">
          <w:rPr>
            <w:noProof/>
            <w:webHidden/>
          </w:rPr>
          <w:tab/>
        </w:r>
        <w:r w:rsidR="00242E8D">
          <w:rPr>
            <w:noProof/>
            <w:webHidden/>
          </w:rPr>
          <w:fldChar w:fldCharType="begin"/>
        </w:r>
        <w:r w:rsidR="00242E8D">
          <w:rPr>
            <w:noProof/>
            <w:webHidden/>
          </w:rPr>
          <w:instrText xml:space="preserve"> PAGEREF _Toc68786352 \h </w:instrText>
        </w:r>
        <w:r w:rsidR="00242E8D">
          <w:rPr>
            <w:noProof/>
            <w:webHidden/>
          </w:rPr>
        </w:r>
        <w:r w:rsidR="00242E8D">
          <w:rPr>
            <w:noProof/>
            <w:webHidden/>
          </w:rPr>
          <w:fldChar w:fldCharType="separate"/>
        </w:r>
        <w:r w:rsidR="00B94D2F">
          <w:rPr>
            <w:noProof/>
            <w:webHidden/>
          </w:rPr>
          <w:t>402</w:t>
        </w:r>
        <w:r w:rsidR="00242E8D">
          <w:rPr>
            <w:noProof/>
            <w:webHidden/>
          </w:rPr>
          <w:fldChar w:fldCharType="end"/>
        </w:r>
      </w:hyperlink>
    </w:p>
    <w:p w14:paraId="15452B10" w14:textId="0E7B1CF1" w:rsidR="00242E8D" w:rsidRDefault="00087879">
      <w:pPr>
        <w:pStyle w:val="TOC2"/>
        <w:rPr>
          <w:rFonts w:asciiTheme="minorHAnsi" w:eastAsiaTheme="minorEastAsia" w:hAnsiTheme="minorHAnsi" w:cstheme="minorBidi"/>
          <w:noProof/>
          <w:sz w:val="22"/>
        </w:rPr>
      </w:pPr>
      <w:hyperlink w:anchor="_Toc68786353" w:history="1">
        <w:r w:rsidR="00242E8D" w:rsidRPr="00702EC9">
          <w:rPr>
            <w:rStyle w:val="Hyperlink"/>
            <w:noProof/>
          </w:rPr>
          <w:t xml:space="preserve">8.1 </w:t>
        </w:r>
        <w:r w:rsidR="00242E8D">
          <w:rPr>
            <w:rFonts w:asciiTheme="minorHAnsi" w:eastAsiaTheme="minorEastAsia" w:hAnsiTheme="minorHAnsi" w:cstheme="minorBidi"/>
            <w:noProof/>
            <w:sz w:val="22"/>
          </w:rPr>
          <w:tab/>
        </w:r>
        <w:r w:rsidR="00242E8D" w:rsidRPr="00702EC9">
          <w:rPr>
            <w:rStyle w:val="Hyperlink"/>
            <w:noProof/>
          </w:rPr>
          <w:t>Tokelau overview</w:t>
        </w:r>
        <w:r w:rsidR="00242E8D">
          <w:rPr>
            <w:noProof/>
            <w:webHidden/>
          </w:rPr>
          <w:tab/>
        </w:r>
        <w:r w:rsidR="00242E8D">
          <w:rPr>
            <w:noProof/>
            <w:webHidden/>
          </w:rPr>
          <w:fldChar w:fldCharType="begin"/>
        </w:r>
        <w:r w:rsidR="00242E8D">
          <w:rPr>
            <w:noProof/>
            <w:webHidden/>
          </w:rPr>
          <w:instrText xml:space="preserve"> PAGEREF _Toc68786353 \h </w:instrText>
        </w:r>
        <w:r w:rsidR="00242E8D">
          <w:rPr>
            <w:noProof/>
            <w:webHidden/>
          </w:rPr>
        </w:r>
        <w:r w:rsidR="00242E8D">
          <w:rPr>
            <w:noProof/>
            <w:webHidden/>
          </w:rPr>
          <w:fldChar w:fldCharType="separate"/>
        </w:r>
        <w:r w:rsidR="00B94D2F">
          <w:rPr>
            <w:noProof/>
            <w:webHidden/>
          </w:rPr>
          <w:t>402</w:t>
        </w:r>
        <w:r w:rsidR="00242E8D">
          <w:rPr>
            <w:noProof/>
            <w:webHidden/>
          </w:rPr>
          <w:fldChar w:fldCharType="end"/>
        </w:r>
      </w:hyperlink>
    </w:p>
    <w:p w14:paraId="1991B418" w14:textId="60BA6C00" w:rsidR="00242E8D" w:rsidRDefault="00087879">
      <w:pPr>
        <w:pStyle w:val="TOC2"/>
        <w:rPr>
          <w:rFonts w:asciiTheme="minorHAnsi" w:eastAsiaTheme="minorEastAsia" w:hAnsiTheme="minorHAnsi" w:cstheme="minorBidi"/>
          <w:noProof/>
          <w:sz w:val="22"/>
        </w:rPr>
      </w:pPr>
      <w:hyperlink w:anchor="_Toc68786354" w:history="1">
        <w:r w:rsidR="00242E8D" w:rsidRPr="00702EC9">
          <w:rPr>
            <w:rStyle w:val="Hyperlink"/>
            <w:noProof/>
          </w:rPr>
          <w:t xml:space="preserve">8.2 </w:t>
        </w:r>
        <w:r w:rsidR="00242E8D">
          <w:rPr>
            <w:rFonts w:asciiTheme="minorHAnsi" w:eastAsiaTheme="minorEastAsia" w:hAnsiTheme="minorHAnsi" w:cstheme="minorBidi"/>
            <w:noProof/>
            <w:sz w:val="22"/>
          </w:rPr>
          <w:tab/>
        </w:r>
        <w:r w:rsidR="00242E8D" w:rsidRPr="00702EC9">
          <w:rPr>
            <w:rStyle w:val="Hyperlink"/>
            <w:noProof/>
          </w:rPr>
          <w:t>Energy emissions from Tokelau (CRF 6. Tokelau_1)</w:t>
        </w:r>
        <w:r w:rsidR="00242E8D">
          <w:rPr>
            <w:noProof/>
            <w:webHidden/>
          </w:rPr>
          <w:tab/>
        </w:r>
        <w:r w:rsidR="00242E8D">
          <w:rPr>
            <w:noProof/>
            <w:webHidden/>
          </w:rPr>
          <w:fldChar w:fldCharType="begin"/>
        </w:r>
        <w:r w:rsidR="00242E8D">
          <w:rPr>
            <w:noProof/>
            <w:webHidden/>
          </w:rPr>
          <w:instrText xml:space="preserve"> PAGEREF _Toc68786354 \h </w:instrText>
        </w:r>
        <w:r w:rsidR="00242E8D">
          <w:rPr>
            <w:noProof/>
            <w:webHidden/>
          </w:rPr>
        </w:r>
        <w:r w:rsidR="00242E8D">
          <w:rPr>
            <w:noProof/>
            <w:webHidden/>
          </w:rPr>
          <w:fldChar w:fldCharType="separate"/>
        </w:r>
        <w:r w:rsidR="00B94D2F">
          <w:rPr>
            <w:noProof/>
            <w:webHidden/>
          </w:rPr>
          <w:t>409</w:t>
        </w:r>
        <w:r w:rsidR="00242E8D">
          <w:rPr>
            <w:noProof/>
            <w:webHidden/>
          </w:rPr>
          <w:fldChar w:fldCharType="end"/>
        </w:r>
      </w:hyperlink>
    </w:p>
    <w:p w14:paraId="05B6C7CD" w14:textId="7EF20D3B" w:rsidR="00242E8D" w:rsidRDefault="00087879">
      <w:pPr>
        <w:pStyle w:val="TOC2"/>
        <w:rPr>
          <w:rFonts w:asciiTheme="minorHAnsi" w:eastAsiaTheme="minorEastAsia" w:hAnsiTheme="minorHAnsi" w:cstheme="minorBidi"/>
          <w:noProof/>
          <w:sz w:val="22"/>
        </w:rPr>
      </w:pPr>
      <w:hyperlink w:anchor="_Toc68786355" w:history="1">
        <w:r w:rsidR="00242E8D" w:rsidRPr="00702EC9">
          <w:rPr>
            <w:rStyle w:val="Hyperlink"/>
            <w:noProof/>
          </w:rPr>
          <w:t>8.3</w:t>
        </w:r>
        <w:r w:rsidR="00242E8D">
          <w:rPr>
            <w:rFonts w:asciiTheme="minorHAnsi" w:eastAsiaTheme="minorEastAsia" w:hAnsiTheme="minorHAnsi" w:cstheme="minorBidi"/>
            <w:noProof/>
            <w:sz w:val="22"/>
          </w:rPr>
          <w:tab/>
        </w:r>
        <w:r w:rsidR="00242E8D" w:rsidRPr="00702EC9">
          <w:rPr>
            <w:rStyle w:val="Hyperlink"/>
            <w:noProof/>
          </w:rPr>
          <w:t>Emissions from Industrial Processes and Product Use in Tokelau (CRF 6. Tokelau_2)</w:t>
        </w:r>
        <w:r w:rsidR="00242E8D">
          <w:rPr>
            <w:noProof/>
            <w:webHidden/>
          </w:rPr>
          <w:tab/>
        </w:r>
        <w:r w:rsidR="00242E8D">
          <w:rPr>
            <w:noProof/>
            <w:webHidden/>
          </w:rPr>
          <w:fldChar w:fldCharType="begin"/>
        </w:r>
        <w:r w:rsidR="00242E8D">
          <w:rPr>
            <w:noProof/>
            <w:webHidden/>
          </w:rPr>
          <w:instrText xml:space="preserve"> PAGEREF _Toc68786355 \h </w:instrText>
        </w:r>
        <w:r w:rsidR="00242E8D">
          <w:rPr>
            <w:noProof/>
            <w:webHidden/>
          </w:rPr>
        </w:r>
        <w:r w:rsidR="00242E8D">
          <w:rPr>
            <w:noProof/>
            <w:webHidden/>
          </w:rPr>
          <w:fldChar w:fldCharType="separate"/>
        </w:r>
        <w:r w:rsidR="00B94D2F">
          <w:rPr>
            <w:noProof/>
            <w:webHidden/>
          </w:rPr>
          <w:t>417</w:t>
        </w:r>
        <w:r w:rsidR="00242E8D">
          <w:rPr>
            <w:noProof/>
            <w:webHidden/>
          </w:rPr>
          <w:fldChar w:fldCharType="end"/>
        </w:r>
      </w:hyperlink>
    </w:p>
    <w:p w14:paraId="501BB719" w14:textId="42D18CE4" w:rsidR="00242E8D" w:rsidRDefault="00087879">
      <w:pPr>
        <w:pStyle w:val="TOC2"/>
        <w:rPr>
          <w:rFonts w:asciiTheme="minorHAnsi" w:eastAsiaTheme="minorEastAsia" w:hAnsiTheme="minorHAnsi" w:cstheme="minorBidi"/>
          <w:noProof/>
          <w:sz w:val="22"/>
        </w:rPr>
      </w:pPr>
      <w:hyperlink w:anchor="_Toc68786356" w:history="1">
        <w:r w:rsidR="00242E8D" w:rsidRPr="00702EC9">
          <w:rPr>
            <w:rStyle w:val="Hyperlink"/>
            <w:noProof/>
          </w:rPr>
          <w:t>8.4</w:t>
        </w:r>
        <w:r w:rsidR="00242E8D">
          <w:rPr>
            <w:rFonts w:asciiTheme="minorHAnsi" w:eastAsiaTheme="minorEastAsia" w:hAnsiTheme="minorHAnsi" w:cstheme="minorBidi"/>
            <w:noProof/>
            <w:sz w:val="22"/>
          </w:rPr>
          <w:tab/>
        </w:r>
        <w:r w:rsidR="00242E8D" w:rsidRPr="00702EC9">
          <w:rPr>
            <w:rStyle w:val="Hyperlink"/>
            <w:noProof/>
          </w:rPr>
          <w:t>Emissions from the Agriculture sector in Tokelau (CRF 6. Tokelau_3)</w:t>
        </w:r>
        <w:r w:rsidR="00242E8D">
          <w:rPr>
            <w:noProof/>
            <w:webHidden/>
          </w:rPr>
          <w:tab/>
        </w:r>
        <w:r w:rsidR="00242E8D">
          <w:rPr>
            <w:noProof/>
            <w:webHidden/>
          </w:rPr>
          <w:fldChar w:fldCharType="begin"/>
        </w:r>
        <w:r w:rsidR="00242E8D">
          <w:rPr>
            <w:noProof/>
            <w:webHidden/>
          </w:rPr>
          <w:instrText xml:space="preserve"> PAGEREF _Toc68786356 \h </w:instrText>
        </w:r>
        <w:r w:rsidR="00242E8D">
          <w:rPr>
            <w:noProof/>
            <w:webHidden/>
          </w:rPr>
        </w:r>
        <w:r w:rsidR="00242E8D">
          <w:rPr>
            <w:noProof/>
            <w:webHidden/>
          </w:rPr>
          <w:fldChar w:fldCharType="separate"/>
        </w:r>
        <w:r w:rsidR="00B94D2F">
          <w:rPr>
            <w:noProof/>
            <w:webHidden/>
          </w:rPr>
          <w:t>421</w:t>
        </w:r>
        <w:r w:rsidR="00242E8D">
          <w:rPr>
            <w:noProof/>
            <w:webHidden/>
          </w:rPr>
          <w:fldChar w:fldCharType="end"/>
        </w:r>
      </w:hyperlink>
    </w:p>
    <w:p w14:paraId="524C19B1" w14:textId="174DD3EC" w:rsidR="00242E8D" w:rsidRDefault="00087879">
      <w:pPr>
        <w:pStyle w:val="TOC2"/>
        <w:rPr>
          <w:rFonts w:asciiTheme="minorHAnsi" w:eastAsiaTheme="minorEastAsia" w:hAnsiTheme="minorHAnsi" w:cstheme="minorBidi"/>
          <w:noProof/>
          <w:sz w:val="22"/>
        </w:rPr>
      </w:pPr>
      <w:hyperlink w:anchor="_Toc68786357" w:history="1">
        <w:r w:rsidR="00242E8D" w:rsidRPr="00702EC9">
          <w:rPr>
            <w:rStyle w:val="Hyperlink"/>
            <w:noProof/>
          </w:rPr>
          <w:t xml:space="preserve">8.5 </w:t>
        </w:r>
        <w:r w:rsidR="00242E8D">
          <w:rPr>
            <w:rFonts w:asciiTheme="minorHAnsi" w:eastAsiaTheme="minorEastAsia" w:hAnsiTheme="minorHAnsi" w:cstheme="minorBidi"/>
            <w:noProof/>
            <w:sz w:val="22"/>
          </w:rPr>
          <w:tab/>
        </w:r>
        <w:r w:rsidR="00242E8D" w:rsidRPr="00702EC9">
          <w:rPr>
            <w:rStyle w:val="Hyperlink"/>
            <w:noProof/>
          </w:rPr>
          <w:t>Emissions from the Waste sector in Tokelau (CRF 6 Tokelau_5)</w:t>
        </w:r>
        <w:r w:rsidR="00242E8D">
          <w:rPr>
            <w:noProof/>
            <w:webHidden/>
          </w:rPr>
          <w:tab/>
        </w:r>
        <w:r w:rsidR="00242E8D">
          <w:rPr>
            <w:noProof/>
            <w:webHidden/>
          </w:rPr>
          <w:fldChar w:fldCharType="begin"/>
        </w:r>
        <w:r w:rsidR="00242E8D">
          <w:rPr>
            <w:noProof/>
            <w:webHidden/>
          </w:rPr>
          <w:instrText xml:space="preserve"> PAGEREF _Toc68786357 \h </w:instrText>
        </w:r>
        <w:r w:rsidR="00242E8D">
          <w:rPr>
            <w:noProof/>
            <w:webHidden/>
          </w:rPr>
        </w:r>
        <w:r w:rsidR="00242E8D">
          <w:rPr>
            <w:noProof/>
            <w:webHidden/>
          </w:rPr>
          <w:fldChar w:fldCharType="separate"/>
        </w:r>
        <w:r w:rsidR="00B94D2F">
          <w:rPr>
            <w:noProof/>
            <w:webHidden/>
          </w:rPr>
          <w:t>424</w:t>
        </w:r>
        <w:r w:rsidR="00242E8D">
          <w:rPr>
            <w:noProof/>
            <w:webHidden/>
          </w:rPr>
          <w:fldChar w:fldCharType="end"/>
        </w:r>
      </w:hyperlink>
    </w:p>
    <w:p w14:paraId="4C826C73" w14:textId="4CF575A6" w:rsidR="00242E8D" w:rsidRDefault="00087879">
      <w:pPr>
        <w:pStyle w:val="TOC2"/>
        <w:rPr>
          <w:rFonts w:asciiTheme="minorHAnsi" w:eastAsiaTheme="minorEastAsia" w:hAnsiTheme="minorHAnsi" w:cstheme="minorBidi"/>
          <w:noProof/>
          <w:sz w:val="22"/>
        </w:rPr>
      </w:pPr>
      <w:hyperlink w:anchor="_Toc68786358" w:history="1">
        <w:r w:rsidR="00242E8D" w:rsidRPr="00702EC9">
          <w:rPr>
            <w:rStyle w:val="Hyperlink"/>
            <w:noProof/>
          </w:rPr>
          <w:t>Chapter 8: References</w:t>
        </w:r>
        <w:r w:rsidR="00242E8D">
          <w:rPr>
            <w:noProof/>
            <w:webHidden/>
          </w:rPr>
          <w:tab/>
        </w:r>
        <w:r w:rsidR="00242E8D">
          <w:rPr>
            <w:noProof/>
            <w:webHidden/>
          </w:rPr>
          <w:fldChar w:fldCharType="begin"/>
        </w:r>
        <w:r w:rsidR="00242E8D">
          <w:rPr>
            <w:noProof/>
            <w:webHidden/>
          </w:rPr>
          <w:instrText xml:space="preserve"> PAGEREF _Toc68786358 \h </w:instrText>
        </w:r>
        <w:r w:rsidR="00242E8D">
          <w:rPr>
            <w:noProof/>
            <w:webHidden/>
          </w:rPr>
        </w:r>
        <w:r w:rsidR="00242E8D">
          <w:rPr>
            <w:noProof/>
            <w:webHidden/>
          </w:rPr>
          <w:fldChar w:fldCharType="separate"/>
        </w:r>
        <w:r w:rsidR="00B94D2F">
          <w:rPr>
            <w:noProof/>
            <w:webHidden/>
          </w:rPr>
          <w:t>431</w:t>
        </w:r>
        <w:r w:rsidR="00242E8D">
          <w:rPr>
            <w:noProof/>
            <w:webHidden/>
          </w:rPr>
          <w:fldChar w:fldCharType="end"/>
        </w:r>
      </w:hyperlink>
    </w:p>
    <w:p w14:paraId="428746C0" w14:textId="025436E8" w:rsidR="00242E8D" w:rsidRDefault="00087879">
      <w:pPr>
        <w:pStyle w:val="TOC1"/>
        <w:rPr>
          <w:rFonts w:asciiTheme="minorHAnsi" w:eastAsiaTheme="minorEastAsia" w:hAnsiTheme="minorHAnsi" w:cstheme="minorBidi"/>
          <w:noProof/>
          <w:sz w:val="22"/>
        </w:rPr>
      </w:pPr>
      <w:hyperlink w:anchor="_Toc68786359" w:history="1">
        <w:r w:rsidR="00242E8D" w:rsidRPr="00702EC9">
          <w:rPr>
            <w:rStyle w:val="Hyperlink"/>
            <w:noProof/>
          </w:rPr>
          <w:t>Chapter 9: Indirect carbon dioxide and nitrous oxide emissions</w:t>
        </w:r>
        <w:r w:rsidR="00242E8D">
          <w:rPr>
            <w:noProof/>
            <w:webHidden/>
          </w:rPr>
          <w:tab/>
        </w:r>
        <w:r w:rsidR="00242E8D">
          <w:rPr>
            <w:noProof/>
            <w:webHidden/>
          </w:rPr>
          <w:fldChar w:fldCharType="begin"/>
        </w:r>
        <w:r w:rsidR="00242E8D">
          <w:rPr>
            <w:noProof/>
            <w:webHidden/>
          </w:rPr>
          <w:instrText xml:space="preserve"> PAGEREF _Toc68786359 \h </w:instrText>
        </w:r>
        <w:r w:rsidR="00242E8D">
          <w:rPr>
            <w:noProof/>
            <w:webHidden/>
          </w:rPr>
        </w:r>
        <w:r w:rsidR="00242E8D">
          <w:rPr>
            <w:noProof/>
            <w:webHidden/>
          </w:rPr>
          <w:fldChar w:fldCharType="separate"/>
        </w:r>
        <w:r w:rsidR="00B94D2F">
          <w:rPr>
            <w:noProof/>
            <w:webHidden/>
          </w:rPr>
          <w:t>432</w:t>
        </w:r>
        <w:r w:rsidR="00242E8D">
          <w:rPr>
            <w:noProof/>
            <w:webHidden/>
          </w:rPr>
          <w:fldChar w:fldCharType="end"/>
        </w:r>
      </w:hyperlink>
    </w:p>
    <w:p w14:paraId="5AB21ED2" w14:textId="53366C52" w:rsidR="00242E8D" w:rsidRDefault="00087879">
      <w:pPr>
        <w:pStyle w:val="TOC1"/>
        <w:rPr>
          <w:rFonts w:asciiTheme="minorHAnsi" w:eastAsiaTheme="minorEastAsia" w:hAnsiTheme="minorHAnsi" w:cstheme="minorBidi"/>
          <w:noProof/>
          <w:sz w:val="22"/>
        </w:rPr>
      </w:pPr>
      <w:hyperlink w:anchor="_Toc68786360" w:history="1">
        <w:r w:rsidR="00242E8D" w:rsidRPr="00702EC9">
          <w:rPr>
            <w:rStyle w:val="Hyperlink"/>
            <w:noProof/>
          </w:rPr>
          <w:t>Chapter 10: Recalculations and improvements</w:t>
        </w:r>
        <w:r w:rsidR="00242E8D">
          <w:rPr>
            <w:noProof/>
            <w:webHidden/>
          </w:rPr>
          <w:tab/>
        </w:r>
        <w:r w:rsidR="00242E8D">
          <w:rPr>
            <w:noProof/>
            <w:webHidden/>
          </w:rPr>
          <w:fldChar w:fldCharType="begin"/>
        </w:r>
        <w:r w:rsidR="00242E8D">
          <w:rPr>
            <w:noProof/>
            <w:webHidden/>
          </w:rPr>
          <w:instrText xml:space="preserve"> PAGEREF _Toc68786360 \h </w:instrText>
        </w:r>
        <w:r w:rsidR="00242E8D">
          <w:rPr>
            <w:noProof/>
            <w:webHidden/>
          </w:rPr>
        </w:r>
        <w:r w:rsidR="00242E8D">
          <w:rPr>
            <w:noProof/>
            <w:webHidden/>
          </w:rPr>
          <w:fldChar w:fldCharType="separate"/>
        </w:r>
        <w:r w:rsidR="00B94D2F">
          <w:rPr>
            <w:noProof/>
            <w:webHidden/>
          </w:rPr>
          <w:t>433</w:t>
        </w:r>
        <w:r w:rsidR="00242E8D">
          <w:rPr>
            <w:noProof/>
            <w:webHidden/>
          </w:rPr>
          <w:fldChar w:fldCharType="end"/>
        </w:r>
      </w:hyperlink>
    </w:p>
    <w:p w14:paraId="7E554DC7" w14:textId="45BBB77D" w:rsidR="00242E8D" w:rsidRDefault="00087879">
      <w:pPr>
        <w:pStyle w:val="TOC2"/>
        <w:rPr>
          <w:rFonts w:asciiTheme="minorHAnsi" w:eastAsiaTheme="minorEastAsia" w:hAnsiTheme="minorHAnsi" w:cstheme="minorBidi"/>
          <w:noProof/>
          <w:sz w:val="22"/>
        </w:rPr>
      </w:pPr>
      <w:hyperlink w:anchor="_Toc68786361" w:history="1">
        <w:r w:rsidR="00242E8D" w:rsidRPr="00702EC9">
          <w:rPr>
            <w:rStyle w:val="Hyperlink"/>
            <w:noProof/>
          </w:rPr>
          <w:t xml:space="preserve">10.1 </w:t>
        </w:r>
        <w:r w:rsidR="00242E8D">
          <w:rPr>
            <w:rFonts w:asciiTheme="minorHAnsi" w:eastAsiaTheme="minorEastAsia" w:hAnsiTheme="minorHAnsi" w:cstheme="minorBidi"/>
            <w:noProof/>
            <w:sz w:val="22"/>
          </w:rPr>
          <w:tab/>
        </w:r>
        <w:r w:rsidR="00242E8D" w:rsidRPr="00702EC9">
          <w:rPr>
            <w:rStyle w:val="Hyperlink"/>
            <w:noProof/>
          </w:rPr>
          <w:t>Implications and justifications</w:t>
        </w:r>
        <w:r w:rsidR="00242E8D">
          <w:rPr>
            <w:noProof/>
            <w:webHidden/>
          </w:rPr>
          <w:tab/>
        </w:r>
        <w:r w:rsidR="00242E8D">
          <w:rPr>
            <w:noProof/>
            <w:webHidden/>
          </w:rPr>
          <w:fldChar w:fldCharType="begin"/>
        </w:r>
        <w:r w:rsidR="00242E8D">
          <w:rPr>
            <w:noProof/>
            <w:webHidden/>
          </w:rPr>
          <w:instrText xml:space="preserve"> PAGEREF _Toc68786361 \h </w:instrText>
        </w:r>
        <w:r w:rsidR="00242E8D">
          <w:rPr>
            <w:noProof/>
            <w:webHidden/>
          </w:rPr>
        </w:r>
        <w:r w:rsidR="00242E8D">
          <w:rPr>
            <w:noProof/>
            <w:webHidden/>
          </w:rPr>
          <w:fldChar w:fldCharType="separate"/>
        </w:r>
        <w:r w:rsidR="00B94D2F">
          <w:rPr>
            <w:noProof/>
            <w:webHidden/>
          </w:rPr>
          <w:t>433</w:t>
        </w:r>
        <w:r w:rsidR="00242E8D">
          <w:rPr>
            <w:noProof/>
            <w:webHidden/>
          </w:rPr>
          <w:fldChar w:fldCharType="end"/>
        </w:r>
      </w:hyperlink>
    </w:p>
    <w:p w14:paraId="2995D649" w14:textId="04B83E19" w:rsidR="00242E8D" w:rsidRDefault="00087879">
      <w:pPr>
        <w:pStyle w:val="TOC2"/>
        <w:rPr>
          <w:rFonts w:asciiTheme="minorHAnsi" w:eastAsiaTheme="minorEastAsia" w:hAnsiTheme="minorHAnsi" w:cstheme="minorBidi"/>
          <w:noProof/>
          <w:sz w:val="22"/>
        </w:rPr>
      </w:pPr>
      <w:hyperlink w:anchor="_Toc68786362" w:history="1">
        <w:r w:rsidR="00242E8D" w:rsidRPr="00702EC9">
          <w:rPr>
            <w:rStyle w:val="Hyperlink"/>
            <w:noProof/>
          </w:rPr>
          <w:t xml:space="preserve">10.2 </w:t>
        </w:r>
        <w:r w:rsidR="00242E8D">
          <w:rPr>
            <w:rFonts w:asciiTheme="minorHAnsi" w:eastAsiaTheme="minorEastAsia" w:hAnsiTheme="minorHAnsi" w:cstheme="minorBidi"/>
            <w:noProof/>
            <w:sz w:val="22"/>
          </w:rPr>
          <w:tab/>
        </w:r>
        <w:r w:rsidR="00242E8D" w:rsidRPr="00702EC9">
          <w:rPr>
            <w:rStyle w:val="Hyperlink"/>
            <w:noProof/>
          </w:rPr>
          <w:t>Recalculations and planned improvements in response to the review process</w:t>
        </w:r>
        <w:r w:rsidR="00242E8D">
          <w:rPr>
            <w:noProof/>
            <w:webHidden/>
          </w:rPr>
          <w:tab/>
        </w:r>
        <w:r w:rsidR="00242E8D">
          <w:rPr>
            <w:noProof/>
            <w:webHidden/>
          </w:rPr>
          <w:fldChar w:fldCharType="begin"/>
        </w:r>
        <w:r w:rsidR="00242E8D">
          <w:rPr>
            <w:noProof/>
            <w:webHidden/>
          </w:rPr>
          <w:instrText xml:space="preserve"> PAGEREF _Toc68786362 \h </w:instrText>
        </w:r>
        <w:r w:rsidR="00242E8D">
          <w:rPr>
            <w:noProof/>
            <w:webHidden/>
          </w:rPr>
        </w:r>
        <w:r w:rsidR="00242E8D">
          <w:rPr>
            <w:noProof/>
            <w:webHidden/>
          </w:rPr>
          <w:fldChar w:fldCharType="separate"/>
        </w:r>
        <w:r w:rsidR="00B94D2F">
          <w:rPr>
            <w:noProof/>
            <w:webHidden/>
          </w:rPr>
          <w:t>447</w:t>
        </w:r>
        <w:r w:rsidR="00242E8D">
          <w:rPr>
            <w:noProof/>
            <w:webHidden/>
          </w:rPr>
          <w:fldChar w:fldCharType="end"/>
        </w:r>
      </w:hyperlink>
    </w:p>
    <w:p w14:paraId="744A8642" w14:textId="5F1A04BD" w:rsidR="00242E8D" w:rsidRDefault="00087879">
      <w:pPr>
        <w:pStyle w:val="TOC2"/>
        <w:rPr>
          <w:rFonts w:asciiTheme="minorHAnsi" w:eastAsiaTheme="minorEastAsia" w:hAnsiTheme="minorHAnsi" w:cstheme="minorBidi"/>
          <w:noProof/>
          <w:sz w:val="22"/>
        </w:rPr>
      </w:pPr>
      <w:hyperlink w:anchor="_Toc68786363" w:history="1">
        <w:r w:rsidR="00242E8D" w:rsidRPr="00702EC9">
          <w:rPr>
            <w:rStyle w:val="Hyperlink"/>
            <w:noProof/>
          </w:rPr>
          <w:t>Chapter 10: References</w:t>
        </w:r>
        <w:r w:rsidR="00242E8D">
          <w:rPr>
            <w:noProof/>
            <w:webHidden/>
          </w:rPr>
          <w:tab/>
        </w:r>
        <w:r w:rsidR="00242E8D">
          <w:rPr>
            <w:noProof/>
            <w:webHidden/>
          </w:rPr>
          <w:fldChar w:fldCharType="begin"/>
        </w:r>
        <w:r w:rsidR="00242E8D">
          <w:rPr>
            <w:noProof/>
            <w:webHidden/>
          </w:rPr>
          <w:instrText xml:space="preserve"> PAGEREF _Toc68786363 \h </w:instrText>
        </w:r>
        <w:r w:rsidR="00242E8D">
          <w:rPr>
            <w:noProof/>
            <w:webHidden/>
          </w:rPr>
        </w:r>
        <w:r w:rsidR="00242E8D">
          <w:rPr>
            <w:noProof/>
            <w:webHidden/>
          </w:rPr>
          <w:fldChar w:fldCharType="separate"/>
        </w:r>
        <w:r w:rsidR="00B94D2F">
          <w:rPr>
            <w:noProof/>
            <w:webHidden/>
          </w:rPr>
          <w:t>462</w:t>
        </w:r>
        <w:r w:rsidR="00242E8D">
          <w:rPr>
            <w:noProof/>
            <w:webHidden/>
          </w:rPr>
          <w:fldChar w:fldCharType="end"/>
        </w:r>
      </w:hyperlink>
    </w:p>
    <w:p w14:paraId="6A0D86B6" w14:textId="73BE8BFF" w:rsidR="00242E8D" w:rsidRDefault="00087879">
      <w:pPr>
        <w:pStyle w:val="TOC1"/>
        <w:rPr>
          <w:rFonts w:asciiTheme="minorHAnsi" w:eastAsiaTheme="minorEastAsia" w:hAnsiTheme="minorHAnsi" w:cstheme="minorBidi"/>
          <w:noProof/>
          <w:sz w:val="22"/>
        </w:rPr>
      </w:pPr>
      <w:hyperlink w:anchor="_Toc68786364" w:history="1">
        <w:r w:rsidR="00242E8D" w:rsidRPr="00702EC9">
          <w:rPr>
            <w:rStyle w:val="Hyperlink"/>
            <w:noProof/>
          </w:rPr>
          <w:t>Chapter 11: KP-LULUCF</w:t>
        </w:r>
        <w:r w:rsidR="00242E8D">
          <w:rPr>
            <w:noProof/>
            <w:webHidden/>
          </w:rPr>
          <w:tab/>
        </w:r>
        <w:r w:rsidR="00242E8D">
          <w:rPr>
            <w:noProof/>
            <w:webHidden/>
          </w:rPr>
          <w:fldChar w:fldCharType="begin"/>
        </w:r>
        <w:r w:rsidR="00242E8D">
          <w:rPr>
            <w:noProof/>
            <w:webHidden/>
          </w:rPr>
          <w:instrText xml:space="preserve"> PAGEREF _Toc68786364 \h </w:instrText>
        </w:r>
        <w:r w:rsidR="00242E8D">
          <w:rPr>
            <w:noProof/>
            <w:webHidden/>
          </w:rPr>
        </w:r>
        <w:r w:rsidR="00242E8D">
          <w:rPr>
            <w:noProof/>
            <w:webHidden/>
          </w:rPr>
          <w:fldChar w:fldCharType="separate"/>
        </w:r>
        <w:r w:rsidR="00B94D2F">
          <w:rPr>
            <w:noProof/>
            <w:webHidden/>
          </w:rPr>
          <w:t>463</w:t>
        </w:r>
        <w:r w:rsidR="00242E8D">
          <w:rPr>
            <w:noProof/>
            <w:webHidden/>
          </w:rPr>
          <w:fldChar w:fldCharType="end"/>
        </w:r>
      </w:hyperlink>
    </w:p>
    <w:p w14:paraId="23F5F452" w14:textId="54993DCE" w:rsidR="00242E8D" w:rsidRDefault="00087879">
      <w:pPr>
        <w:pStyle w:val="TOC2"/>
        <w:rPr>
          <w:rFonts w:asciiTheme="minorHAnsi" w:eastAsiaTheme="minorEastAsia" w:hAnsiTheme="minorHAnsi" w:cstheme="minorBidi"/>
          <w:noProof/>
          <w:sz w:val="22"/>
        </w:rPr>
      </w:pPr>
      <w:hyperlink w:anchor="_Toc68786365" w:history="1">
        <w:r w:rsidR="00242E8D" w:rsidRPr="00702EC9">
          <w:rPr>
            <w:rStyle w:val="Hyperlink"/>
            <w:noProof/>
          </w:rPr>
          <w:t xml:space="preserve">11.1 </w:t>
        </w:r>
        <w:r w:rsidR="00242E8D">
          <w:rPr>
            <w:rFonts w:asciiTheme="minorHAnsi" w:eastAsiaTheme="minorEastAsia" w:hAnsiTheme="minorHAnsi" w:cstheme="minorBidi"/>
            <w:noProof/>
            <w:sz w:val="22"/>
          </w:rPr>
          <w:tab/>
        </w:r>
        <w:r w:rsidR="00242E8D" w:rsidRPr="00702EC9">
          <w:rPr>
            <w:rStyle w:val="Hyperlink"/>
            <w:noProof/>
          </w:rPr>
          <w:t>General information</w:t>
        </w:r>
        <w:r w:rsidR="00242E8D">
          <w:rPr>
            <w:noProof/>
            <w:webHidden/>
          </w:rPr>
          <w:tab/>
        </w:r>
        <w:r w:rsidR="00242E8D">
          <w:rPr>
            <w:noProof/>
            <w:webHidden/>
          </w:rPr>
          <w:fldChar w:fldCharType="begin"/>
        </w:r>
        <w:r w:rsidR="00242E8D">
          <w:rPr>
            <w:noProof/>
            <w:webHidden/>
          </w:rPr>
          <w:instrText xml:space="preserve"> PAGEREF _Toc68786365 \h </w:instrText>
        </w:r>
        <w:r w:rsidR="00242E8D">
          <w:rPr>
            <w:noProof/>
            <w:webHidden/>
          </w:rPr>
        </w:r>
        <w:r w:rsidR="00242E8D">
          <w:rPr>
            <w:noProof/>
            <w:webHidden/>
          </w:rPr>
          <w:fldChar w:fldCharType="separate"/>
        </w:r>
        <w:r w:rsidR="00B94D2F">
          <w:rPr>
            <w:noProof/>
            <w:webHidden/>
          </w:rPr>
          <w:t>463</w:t>
        </w:r>
        <w:r w:rsidR="00242E8D">
          <w:rPr>
            <w:noProof/>
            <w:webHidden/>
          </w:rPr>
          <w:fldChar w:fldCharType="end"/>
        </w:r>
      </w:hyperlink>
    </w:p>
    <w:p w14:paraId="2DAABF76" w14:textId="0B8C9AAD" w:rsidR="00242E8D" w:rsidRDefault="00087879">
      <w:pPr>
        <w:pStyle w:val="TOC2"/>
        <w:rPr>
          <w:rFonts w:asciiTheme="minorHAnsi" w:eastAsiaTheme="minorEastAsia" w:hAnsiTheme="minorHAnsi" w:cstheme="minorBidi"/>
          <w:noProof/>
          <w:sz w:val="22"/>
        </w:rPr>
      </w:pPr>
      <w:hyperlink w:anchor="_Toc68786366" w:history="1">
        <w:r w:rsidR="00242E8D" w:rsidRPr="00702EC9">
          <w:rPr>
            <w:rStyle w:val="Hyperlink"/>
            <w:noProof/>
          </w:rPr>
          <w:t>11.2</w:t>
        </w:r>
        <w:r w:rsidR="00242E8D">
          <w:rPr>
            <w:rFonts w:asciiTheme="minorHAnsi" w:eastAsiaTheme="minorEastAsia" w:hAnsiTheme="minorHAnsi" w:cstheme="minorBidi"/>
            <w:noProof/>
            <w:sz w:val="22"/>
          </w:rPr>
          <w:tab/>
        </w:r>
        <w:r w:rsidR="00242E8D" w:rsidRPr="00702EC9">
          <w:rPr>
            <w:rStyle w:val="Hyperlink"/>
            <w:noProof/>
          </w:rPr>
          <w:t>Land-related information</w:t>
        </w:r>
        <w:r w:rsidR="00242E8D">
          <w:rPr>
            <w:noProof/>
            <w:webHidden/>
          </w:rPr>
          <w:tab/>
        </w:r>
        <w:r w:rsidR="00242E8D">
          <w:rPr>
            <w:noProof/>
            <w:webHidden/>
          </w:rPr>
          <w:fldChar w:fldCharType="begin"/>
        </w:r>
        <w:r w:rsidR="00242E8D">
          <w:rPr>
            <w:noProof/>
            <w:webHidden/>
          </w:rPr>
          <w:instrText xml:space="preserve"> PAGEREF _Toc68786366 \h </w:instrText>
        </w:r>
        <w:r w:rsidR="00242E8D">
          <w:rPr>
            <w:noProof/>
            <w:webHidden/>
          </w:rPr>
        </w:r>
        <w:r w:rsidR="00242E8D">
          <w:rPr>
            <w:noProof/>
            <w:webHidden/>
          </w:rPr>
          <w:fldChar w:fldCharType="separate"/>
        </w:r>
        <w:r w:rsidR="00B94D2F">
          <w:rPr>
            <w:noProof/>
            <w:webHidden/>
          </w:rPr>
          <w:t>467</w:t>
        </w:r>
        <w:r w:rsidR="00242E8D">
          <w:rPr>
            <w:noProof/>
            <w:webHidden/>
          </w:rPr>
          <w:fldChar w:fldCharType="end"/>
        </w:r>
      </w:hyperlink>
    </w:p>
    <w:p w14:paraId="0A7FEB43" w14:textId="77435F7B" w:rsidR="00242E8D" w:rsidRDefault="00087879">
      <w:pPr>
        <w:pStyle w:val="TOC2"/>
        <w:rPr>
          <w:rFonts w:asciiTheme="minorHAnsi" w:eastAsiaTheme="minorEastAsia" w:hAnsiTheme="minorHAnsi" w:cstheme="minorBidi"/>
          <w:noProof/>
          <w:sz w:val="22"/>
        </w:rPr>
      </w:pPr>
      <w:hyperlink w:anchor="_Toc68786367" w:history="1">
        <w:r w:rsidR="00242E8D" w:rsidRPr="00702EC9">
          <w:rPr>
            <w:rStyle w:val="Hyperlink"/>
            <w:noProof/>
          </w:rPr>
          <w:t>11.3</w:t>
        </w:r>
        <w:r w:rsidR="00242E8D">
          <w:rPr>
            <w:rFonts w:asciiTheme="minorHAnsi" w:eastAsiaTheme="minorEastAsia" w:hAnsiTheme="minorHAnsi" w:cstheme="minorBidi"/>
            <w:noProof/>
            <w:sz w:val="22"/>
          </w:rPr>
          <w:tab/>
        </w:r>
        <w:r w:rsidR="00242E8D" w:rsidRPr="00702EC9">
          <w:rPr>
            <w:rStyle w:val="Hyperlink"/>
            <w:noProof/>
          </w:rPr>
          <w:t>Activity-specific information</w:t>
        </w:r>
        <w:r w:rsidR="00242E8D">
          <w:rPr>
            <w:noProof/>
            <w:webHidden/>
          </w:rPr>
          <w:tab/>
        </w:r>
        <w:r w:rsidR="00242E8D">
          <w:rPr>
            <w:noProof/>
            <w:webHidden/>
          </w:rPr>
          <w:fldChar w:fldCharType="begin"/>
        </w:r>
        <w:r w:rsidR="00242E8D">
          <w:rPr>
            <w:noProof/>
            <w:webHidden/>
          </w:rPr>
          <w:instrText xml:space="preserve"> PAGEREF _Toc68786367 \h </w:instrText>
        </w:r>
        <w:r w:rsidR="00242E8D">
          <w:rPr>
            <w:noProof/>
            <w:webHidden/>
          </w:rPr>
        </w:r>
        <w:r w:rsidR="00242E8D">
          <w:rPr>
            <w:noProof/>
            <w:webHidden/>
          </w:rPr>
          <w:fldChar w:fldCharType="separate"/>
        </w:r>
        <w:r w:rsidR="00B94D2F">
          <w:rPr>
            <w:noProof/>
            <w:webHidden/>
          </w:rPr>
          <w:t>468</w:t>
        </w:r>
        <w:r w:rsidR="00242E8D">
          <w:rPr>
            <w:noProof/>
            <w:webHidden/>
          </w:rPr>
          <w:fldChar w:fldCharType="end"/>
        </w:r>
      </w:hyperlink>
    </w:p>
    <w:p w14:paraId="68711133" w14:textId="5E085079" w:rsidR="00242E8D" w:rsidRDefault="00087879">
      <w:pPr>
        <w:pStyle w:val="TOC2"/>
        <w:rPr>
          <w:rFonts w:asciiTheme="minorHAnsi" w:eastAsiaTheme="minorEastAsia" w:hAnsiTheme="minorHAnsi" w:cstheme="minorBidi"/>
          <w:noProof/>
          <w:sz w:val="22"/>
        </w:rPr>
      </w:pPr>
      <w:hyperlink w:anchor="_Toc68786368" w:history="1">
        <w:r w:rsidR="00242E8D" w:rsidRPr="00702EC9">
          <w:rPr>
            <w:rStyle w:val="Hyperlink"/>
            <w:noProof/>
          </w:rPr>
          <w:t>11.4</w:t>
        </w:r>
        <w:r w:rsidR="00242E8D">
          <w:rPr>
            <w:rFonts w:asciiTheme="minorHAnsi" w:eastAsiaTheme="minorEastAsia" w:hAnsiTheme="minorHAnsi" w:cstheme="minorBidi"/>
            <w:noProof/>
            <w:sz w:val="22"/>
          </w:rPr>
          <w:tab/>
        </w:r>
        <w:r w:rsidR="00242E8D" w:rsidRPr="00702EC9">
          <w:rPr>
            <w:rStyle w:val="Hyperlink"/>
            <w:noProof/>
          </w:rPr>
          <w:t>Other methodological issues</w:t>
        </w:r>
        <w:r w:rsidR="00242E8D">
          <w:rPr>
            <w:noProof/>
            <w:webHidden/>
          </w:rPr>
          <w:tab/>
        </w:r>
        <w:r w:rsidR="00242E8D">
          <w:rPr>
            <w:noProof/>
            <w:webHidden/>
          </w:rPr>
          <w:fldChar w:fldCharType="begin"/>
        </w:r>
        <w:r w:rsidR="00242E8D">
          <w:rPr>
            <w:noProof/>
            <w:webHidden/>
          </w:rPr>
          <w:instrText xml:space="preserve"> PAGEREF _Toc68786368 \h </w:instrText>
        </w:r>
        <w:r w:rsidR="00242E8D">
          <w:rPr>
            <w:noProof/>
            <w:webHidden/>
          </w:rPr>
        </w:r>
        <w:r w:rsidR="00242E8D">
          <w:rPr>
            <w:noProof/>
            <w:webHidden/>
          </w:rPr>
          <w:fldChar w:fldCharType="separate"/>
        </w:r>
        <w:r w:rsidR="00B94D2F">
          <w:rPr>
            <w:noProof/>
            <w:webHidden/>
          </w:rPr>
          <w:t>482</w:t>
        </w:r>
        <w:r w:rsidR="00242E8D">
          <w:rPr>
            <w:noProof/>
            <w:webHidden/>
          </w:rPr>
          <w:fldChar w:fldCharType="end"/>
        </w:r>
      </w:hyperlink>
    </w:p>
    <w:p w14:paraId="54ADC3A4" w14:textId="3AB1EFD4" w:rsidR="00242E8D" w:rsidRDefault="00087879">
      <w:pPr>
        <w:pStyle w:val="TOC2"/>
        <w:rPr>
          <w:rFonts w:asciiTheme="minorHAnsi" w:eastAsiaTheme="minorEastAsia" w:hAnsiTheme="minorHAnsi" w:cstheme="minorBidi"/>
          <w:noProof/>
          <w:sz w:val="22"/>
        </w:rPr>
      </w:pPr>
      <w:hyperlink w:anchor="_Toc68786369" w:history="1">
        <w:r w:rsidR="00242E8D" w:rsidRPr="00702EC9">
          <w:rPr>
            <w:rStyle w:val="Hyperlink"/>
            <w:noProof/>
          </w:rPr>
          <w:t xml:space="preserve">11.5 </w:t>
        </w:r>
        <w:r w:rsidR="00242E8D">
          <w:rPr>
            <w:rFonts w:asciiTheme="minorHAnsi" w:eastAsiaTheme="minorEastAsia" w:hAnsiTheme="minorHAnsi" w:cstheme="minorBidi"/>
            <w:noProof/>
            <w:sz w:val="22"/>
          </w:rPr>
          <w:tab/>
        </w:r>
        <w:r w:rsidR="00242E8D" w:rsidRPr="00702EC9">
          <w:rPr>
            <w:rStyle w:val="Hyperlink"/>
            <w:noProof/>
          </w:rPr>
          <w:t>Demonstration that activities apply</w:t>
        </w:r>
        <w:r w:rsidR="00242E8D">
          <w:rPr>
            <w:noProof/>
            <w:webHidden/>
          </w:rPr>
          <w:tab/>
        </w:r>
        <w:r w:rsidR="00242E8D">
          <w:rPr>
            <w:noProof/>
            <w:webHidden/>
          </w:rPr>
          <w:fldChar w:fldCharType="begin"/>
        </w:r>
        <w:r w:rsidR="00242E8D">
          <w:rPr>
            <w:noProof/>
            <w:webHidden/>
          </w:rPr>
          <w:instrText xml:space="preserve"> PAGEREF _Toc68786369 \h </w:instrText>
        </w:r>
        <w:r w:rsidR="00242E8D">
          <w:rPr>
            <w:noProof/>
            <w:webHidden/>
          </w:rPr>
        </w:r>
        <w:r w:rsidR="00242E8D">
          <w:rPr>
            <w:noProof/>
            <w:webHidden/>
          </w:rPr>
          <w:fldChar w:fldCharType="separate"/>
        </w:r>
        <w:r w:rsidR="00B94D2F">
          <w:rPr>
            <w:noProof/>
            <w:webHidden/>
          </w:rPr>
          <w:t>485</w:t>
        </w:r>
        <w:r w:rsidR="00242E8D">
          <w:rPr>
            <w:noProof/>
            <w:webHidden/>
          </w:rPr>
          <w:fldChar w:fldCharType="end"/>
        </w:r>
      </w:hyperlink>
    </w:p>
    <w:p w14:paraId="29375CEC" w14:textId="5C105456" w:rsidR="00242E8D" w:rsidRDefault="00087879">
      <w:pPr>
        <w:pStyle w:val="TOC2"/>
        <w:rPr>
          <w:rFonts w:asciiTheme="minorHAnsi" w:eastAsiaTheme="minorEastAsia" w:hAnsiTheme="minorHAnsi" w:cstheme="minorBidi"/>
          <w:noProof/>
          <w:sz w:val="22"/>
        </w:rPr>
      </w:pPr>
      <w:hyperlink w:anchor="_Toc68786370" w:history="1">
        <w:r w:rsidR="00242E8D" w:rsidRPr="00702EC9">
          <w:rPr>
            <w:rStyle w:val="Hyperlink"/>
            <w:noProof/>
          </w:rPr>
          <w:t>11.6</w:t>
        </w:r>
        <w:r w:rsidR="00242E8D">
          <w:rPr>
            <w:rFonts w:asciiTheme="minorHAnsi" w:eastAsiaTheme="minorEastAsia" w:hAnsiTheme="minorHAnsi" w:cstheme="minorBidi"/>
            <w:noProof/>
            <w:sz w:val="22"/>
          </w:rPr>
          <w:tab/>
        </w:r>
        <w:r w:rsidR="00242E8D" w:rsidRPr="00702EC9">
          <w:rPr>
            <w:rStyle w:val="Hyperlink"/>
            <w:noProof/>
          </w:rPr>
          <w:t>Other information</w:t>
        </w:r>
        <w:r w:rsidR="00242E8D">
          <w:rPr>
            <w:noProof/>
            <w:webHidden/>
          </w:rPr>
          <w:tab/>
        </w:r>
        <w:r w:rsidR="00242E8D">
          <w:rPr>
            <w:noProof/>
            <w:webHidden/>
          </w:rPr>
          <w:fldChar w:fldCharType="begin"/>
        </w:r>
        <w:r w:rsidR="00242E8D">
          <w:rPr>
            <w:noProof/>
            <w:webHidden/>
          </w:rPr>
          <w:instrText xml:space="preserve"> PAGEREF _Toc68786370 \h </w:instrText>
        </w:r>
        <w:r w:rsidR="00242E8D">
          <w:rPr>
            <w:noProof/>
            <w:webHidden/>
          </w:rPr>
        </w:r>
        <w:r w:rsidR="00242E8D">
          <w:rPr>
            <w:noProof/>
            <w:webHidden/>
          </w:rPr>
          <w:fldChar w:fldCharType="separate"/>
        </w:r>
        <w:r w:rsidR="00B94D2F">
          <w:rPr>
            <w:noProof/>
            <w:webHidden/>
          </w:rPr>
          <w:t>488</w:t>
        </w:r>
        <w:r w:rsidR="00242E8D">
          <w:rPr>
            <w:noProof/>
            <w:webHidden/>
          </w:rPr>
          <w:fldChar w:fldCharType="end"/>
        </w:r>
      </w:hyperlink>
    </w:p>
    <w:p w14:paraId="4BF48441" w14:textId="48B22FC6" w:rsidR="00242E8D" w:rsidRDefault="00087879">
      <w:pPr>
        <w:pStyle w:val="TOC2"/>
        <w:rPr>
          <w:rFonts w:asciiTheme="minorHAnsi" w:eastAsiaTheme="minorEastAsia" w:hAnsiTheme="minorHAnsi" w:cstheme="minorBidi"/>
          <w:noProof/>
          <w:sz w:val="22"/>
        </w:rPr>
      </w:pPr>
      <w:hyperlink w:anchor="_Toc68786371" w:history="1">
        <w:r w:rsidR="00242E8D" w:rsidRPr="00702EC9">
          <w:rPr>
            <w:rStyle w:val="Hyperlink"/>
            <w:noProof/>
          </w:rPr>
          <w:t>11.7</w:t>
        </w:r>
        <w:r w:rsidR="00242E8D">
          <w:rPr>
            <w:rFonts w:asciiTheme="minorHAnsi" w:eastAsiaTheme="minorEastAsia" w:hAnsiTheme="minorHAnsi" w:cstheme="minorBidi"/>
            <w:noProof/>
            <w:sz w:val="22"/>
          </w:rPr>
          <w:tab/>
        </w:r>
        <w:r w:rsidR="00242E8D" w:rsidRPr="00702EC9">
          <w:rPr>
            <w:rStyle w:val="Hyperlink"/>
            <w:noProof/>
          </w:rPr>
          <w:t>Information relating to Article 6</w:t>
        </w:r>
        <w:r w:rsidR="00242E8D">
          <w:rPr>
            <w:noProof/>
            <w:webHidden/>
          </w:rPr>
          <w:tab/>
        </w:r>
        <w:r w:rsidR="00242E8D">
          <w:rPr>
            <w:noProof/>
            <w:webHidden/>
          </w:rPr>
          <w:fldChar w:fldCharType="begin"/>
        </w:r>
        <w:r w:rsidR="00242E8D">
          <w:rPr>
            <w:noProof/>
            <w:webHidden/>
          </w:rPr>
          <w:instrText xml:space="preserve"> PAGEREF _Toc68786371 \h </w:instrText>
        </w:r>
        <w:r w:rsidR="00242E8D">
          <w:rPr>
            <w:noProof/>
            <w:webHidden/>
          </w:rPr>
        </w:r>
        <w:r w:rsidR="00242E8D">
          <w:rPr>
            <w:noProof/>
            <w:webHidden/>
          </w:rPr>
          <w:fldChar w:fldCharType="separate"/>
        </w:r>
        <w:r w:rsidR="00B94D2F">
          <w:rPr>
            <w:noProof/>
            <w:webHidden/>
          </w:rPr>
          <w:t>488</w:t>
        </w:r>
        <w:r w:rsidR="00242E8D">
          <w:rPr>
            <w:noProof/>
            <w:webHidden/>
          </w:rPr>
          <w:fldChar w:fldCharType="end"/>
        </w:r>
      </w:hyperlink>
    </w:p>
    <w:p w14:paraId="7E828621" w14:textId="7C47BFF9" w:rsidR="00242E8D" w:rsidRDefault="00087879">
      <w:pPr>
        <w:pStyle w:val="TOC2"/>
        <w:rPr>
          <w:rFonts w:asciiTheme="minorHAnsi" w:eastAsiaTheme="minorEastAsia" w:hAnsiTheme="minorHAnsi" w:cstheme="minorBidi"/>
          <w:noProof/>
          <w:sz w:val="22"/>
        </w:rPr>
      </w:pPr>
      <w:hyperlink w:anchor="_Toc68786372" w:history="1">
        <w:r w:rsidR="00242E8D" w:rsidRPr="00702EC9">
          <w:rPr>
            <w:rStyle w:val="Hyperlink"/>
            <w:noProof/>
          </w:rPr>
          <w:t>Chapter 11: References</w:t>
        </w:r>
        <w:r w:rsidR="00242E8D">
          <w:rPr>
            <w:noProof/>
            <w:webHidden/>
          </w:rPr>
          <w:tab/>
        </w:r>
        <w:r w:rsidR="00242E8D">
          <w:rPr>
            <w:noProof/>
            <w:webHidden/>
          </w:rPr>
          <w:fldChar w:fldCharType="begin"/>
        </w:r>
        <w:r w:rsidR="00242E8D">
          <w:rPr>
            <w:noProof/>
            <w:webHidden/>
          </w:rPr>
          <w:instrText xml:space="preserve"> PAGEREF _Toc68786372 \h </w:instrText>
        </w:r>
        <w:r w:rsidR="00242E8D">
          <w:rPr>
            <w:noProof/>
            <w:webHidden/>
          </w:rPr>
        </w:r>
        <w:r w:rsidR="00242E8D">
          <w:rPr>
            <w:noProof/>
            <w:webHidden/>
          </w:rPr>
          <w:fldChar w:fldCharType="separate"/>
        </w:r>
        <w:r w:rsidR="00B94D2F">
          <w:rPr>
            <w:noProof/>
            <w:webHidden/>
          </w:rPr>
          <w:t>489</w:t>
        </w:r>
        <w:r w:rsidR="00242E8D">
          <w:rPr>
            <w:noProof/>
            <w:webHidden/>
          </w:rPr>
          <w:fldChar w:fldCharType="end"/>
        </w:r>
      </w:hyperlink>
    </w:p>
    <w:p w14:paraId="70609BFE" w14:textId="03711774" w:rsidR="00242E8D" w:rsidRDefault="00087879" w:rsidP="00242E8D">
      <w:pPr>
        <w:pStyle w:val="TOC1"/>
        <w:keepNext/>
        <w:rPr>
          <w:rFonts w:asciiTheme="minorHAnsi" w:eastAsiaTheme="minorEastAsia" w:hAnsiTheme="minorHAnsi" w:cstheme="minorBidi"/>
          <w:noProof/>
          <w:sz w:val="22"/>
        </w:rPr>
      </w:pPr>
      <w:hyperlink w:anchor="_Toc68786373" w:history="1">
        <w:r w:rsidR="00242E8D" w:rsidRPr="00702EC9">
          <w:rPr>
            <w:rStyle w:val="Hyperlink"/>
            <w:noProof/>
          </w:rPr>
          <w:t>Chapter 12: Information on accounting of the Kyoto Protocol units</w:t>
        </w:r>
        <w:r w:rsidR="00242E8D">
          <w:rPr>
            <w:noProof/>
            <w:webHidden/>
          </w:rPr>
          <w:tab/>
        </w:r>
        <w:r w:rsidR="00242E8D">
          <w:rPr>
            <w:noProof/>
            <w:webHidden/>
          </w:rPr>
          <w:fldChar w:fldCharType="begin"/>
        </w:r>
        <w:r w:rsidR="00242E8D">
          <w:rPr>
            <w:noProof/>
            <w:webHidden/>
          </w:rPr>
          <w:instrText xml:space="preserve"> PAGEREF _Toc68786373 \h </w:instrText>
        </w:r>
        <w:r w:rsidR="00242E8D">
          <w:rPr>
            <w:noProof/>
            <w:webHidden/>
          </w:rPr>
        </w:r>
        <w:r w:rsidR="00242E8D">
          <w:rPr>
            <w:noProof/>
            <w:webHidden/>
          </w:rPr>
          <w:fldChar w:fldCharType="separate"/>
        </w:r>
        <w:r w:rsidR="00B94D2F">
          <w:rPr>
            <w:noProof/>
            <w:webHidden/>
          </w:rPr>
          <w:t>491</w:t>
        </w:r>
        <w:r w:rsidR="00242E8D">
          <w:rPr>
            <w:noProof/>
            <w:webHidden/>
          </w:rPr>
          <w:fldChar w:fldCharType="end"/>
        </w:r>
      </w:hyperlink>
    </w:p>
    <w:p w14:paraId="454D50CA" w14:textId="46DC503C" w:rsidR="00242E8D" w:rsidRDefault="00087879" w:rsidP="00242E8D">
      <w:pPr>
        <w:pStyle w:val="TOC2"/>
        <w:keepNext/>
        <w:rPr>
          <w:rFonts w:asciiTheme="minorHAnsi" w:eastAsiaTheme="minorEastAsia" w:hAnsiTheme="minorHAnsi" w:cstheme="minorBidi"/>
          <w:noProof/>
          <w:sz w:val="22"/>
        </w:rPr>
      </w:pPr>
      <w:hyperlink w:anchor="_Toc68786374" w:history="1">
        <w:r w:rsidR="00242E8D" w:rsidRPr="00702EC9">
          <w:rPr>
            <w:rStyle w:val="Hyperlink"/>
            <w:noProof/>
          </w:rPr>
          <w:t>12.1</w:t>
        </w:r>
        <w:r w:rsidR="00242E8D">
          <w:rPr>
            <w:rFonts w:asciiTheme="minorHAnsi" w:eastAsiaTheme="minorEastAsia" w:hAnsiTheme="minorHAnsi" w:cstheme="minorBidi"/>
            <w:noProof/>
            <w:sz w:val="22"/>
          </w:rPr>
          <w:tab/>
        </w:r>
        <w:r w:rsidR="00242E8D" w:rsidRPr="00702EC9">
          <w:rPr>
            <w:rStyle w:val="Hyperlink"/>
            <w:noProof/>
          </w:rPr>
          <w:t>Background information</w:t>
        </w:r>
        <w:r w:rsidR="00242E8D">
          <w:rPr>
            <w:noProof/>
            <w:webHidden/>
          </w:rPr>
          <w:tab/>
        </w:r>
        <w:r w:rsidR="00242E8D">
          <w:rPr>
            <w:noProof/>
            <w:webHidden/>
          </w:rPr>
          <w:fldChar w:fldCharType="begin"/>
        </w:r>
        <w:r w:rsidR="00242E8D">
          <w:rPr>
            <w:noProof/>
            <w:webHidden/>
          </w:rPr>
          <w:instrText xml:space="preserve"> PAGEREF _Toc68786374 \h </w:instrText>
        </w:r>
        <w:r w:rsidR="00242E8D">
          <w:rPr>
            <w:noProof/>
            <w:webHidden/>
          </w:rPr>
        </w:r>
        <w:r w:rsidR="00242E8D">
          <w:rPr>
            <w:noProof/>
            <w:webHidden/>
          </w:rPr>
          <w:fldChar w:fldCharType="separate"/>
        </w:r>
        <w:r w:rsidR="00B94D2F">
          <w:rPr>
            <w:noProof/>
            <w:webHidden/>
          </w:rPr>
          <w:t>491</w:t>
        </w:r>
        <w:r w:rsidR="00242E8D">
          <w:rPr>
            <w:noProof/>
            <w:webHidden/>
          </w:rPr>
          <w:fldChar w:fldCharType="end"/>
        </w:r>
      </w:hyperlink>
    </w:p>
    <w:p w14:paraId="4221366A" w14:textId="29C70CDD" w:rsidR="00242E8D" w:rsidRDefault="00087879">
      <w:pPr>
        <w:pStyle w:val="TOC2"/>
        <w:rPr>
          <w:rFonts w:asciiTheme="minorHAnsi" w:eastAsiaTheme="minorEastAsia" w:hAnsiTheme="minorHAnsi" w:cstheme="minorBidi"/>
          <w:noProof/>
          <w:sz w:val="22"/>
        </w:rPr>
      </w:pPr>
      <w:hyperlink w:anchor="_Toc68786375" w:history="1">
        <w:r w:rsidR="00242E8D" w:rsidRPr="00702EC9">
          <w:rPr>
            <w:rStyle w:val="Hyperlink"/>
            <w:noProof/>
          </w:rPr>
          <w:t>12.2</w:t>
        </w:r>
        <w:r w:rsidR="00242E8D">
          <w:rPr>
            <w:rFonts w:asciiTheme="minorHAnsi" w:eastAsiaTheme="minorEastAsia" w:hAnsiTheme="minorHAnsi" w:cstheme="minorBidi"/>
            <w:noProof/>
            <w:sz w:val="22"/>
          </w:rPr>
          <w:tab/>
        </w:r>
        <w:r w:rsidR="00242E8D" w:rsidRPr="00702EC9">
          <w:rPr>
            <w:rStyle w:val="Hyperlink"/>
            <w:noProof/>
          </w:rPr>
          <w:t>Summary of the standard electronic format tables for reporting Kyoto Protocol units</w:t>
        </w:r>
        <w:r w:rsidR="00242E8D">
          <w:rPr>
            <w:noProof/>
            <w:webHidden/>
          </w:rPr>
          <w:tab/>
        </w:r>
        <w:r w:rsidR="00242E8D">
          <w:rPr>
            <w:noProof/>
            <w:webHidden/>
          </w:rPr>
          <w:fldChar w:fldCharType="begin"/>
        </w:r>
        <w:r w:rsidR="00242E8D">
          <w:rPr>
            <w:noProof/>
            <w:webHidden/>
          </w:rPr>
          <w:instrText xml:space="preserve"> PAGEREF _Toc68786375 \h </w:instrText>
        </w:r>
        <w:r w:rsidR="00242E8D">
          <w:rPr>
            <w:noProof/>
            <w:webHidden/>
          </w:rPr>
        </w:r>
        <w:r w:rsidR="00242E8D">
          <w:rPr>
            <w:noProof/>
            <w:webHidden/>
          </w:rPr>
          <w:fldChar w:fldCharType="separate"/>
        </w:r>
        <w:r w:rsidR="00B94D2F">
          <w:rPr>
            <w:noProof/>
            <w:webHidden/>
          </w:rPr>
          <w:t>491</w:t>
        </w:r>
        <w:r w:rsidR="00242E8D">
          <w:rPr>
            <w:noProof/>
            <w:webHidden/>
          </w:rPr>
          <w:fldChar w:fldCharType="end"/>
        </w:r>
      </w:hyperlink>
    </w:p>
    <w:p w14:paraId="0F3162F8" w14:textId="7F9CE51E" w:rsidR="00242E8D" w:rsidRDefault="00087879">
      <w:pPr>
        <w:pStyle w:val="TOC2"/>
        <w:rPr>
          <w:rFonts w:asciiTheme="minorHAnsi" w:eastAsiaTheme="minorEastAsia" w:hAnsiTheme="minorHAnsi" w:cstheme="minorBidi"/>
          <w:noProof/>
          <w:sz w:val="22"/>
        </w:rPr>
      </w:pPr>
      <w:hyperlink w:anchor="_Toc68786376" w:history="1">
        <w:r w:rsidR="00242E8D" w:rsidRPr="00702EC9">
          <w:rPr>
            <w:rStyle w:val="Hyperlink"/>
            <w:noProof/>
          </w:rPr>
          <w:t>12.3</w:t>
        </w:r>
        <w:r w:rsidR="00242E8D">
          <w:rPr>
            <w:rFonts w:asciiTheme="minorHAnsi" w:eastAsiaTheme="minorEastAsia" w:hAnsiTheme="minorHAnsi" w:cstheme="minorBidi"/>
            <w:noProof/>
            <w:sz w:val="22"/>
          </w:rPr>
          <w:tab/>
        </w:r>
        <w:r w:rsidR="00242E8D" w:rsidRPr="00702EC9">
          <w:rPr>
            <w:rStyle w:val="Hyperlink"/>
            <w:noProof/>
          </w:rPr>
          <w:t>Discrepancies and notifications</w:t>
        </w:r>
        <w:r w:rsidR="00242E8D">
          <w:rPr>
            <w:noProof/>
            <w:webHidden/>
          </w:rPr>
          <w:tab/>
        </w:r>
        <w:r w:rsidR="00242E8D">
          <w:rPr>
            <w:noProof/>
            <w:webHidden/>
          </w:rPr>
          <w:fldChar w:fldCharType="begin"/>
        </w:r>
        <w:r w:rsidR="00242E8D">
          <w:rPr>
            <w:noProof/>
            <w:webHidden/>
          </w:rPr>
          <w:instrText xml:space="preserve"> PAGEREF _Toc68786376 \h </w:instrText>
        </w:r>
        <w:r w:rsidR="00242E8D">
          <w:rPr>
            <w:noProof/>
            <w:webHidden/>
          </w:rPr>
        </w:r>
        <w:r w:rsidR="00242E8D">
          <w:rPr>
            <w:noProof/>
            <w:webHidden/>
          </w:rPr>
          <w:fldChar w:fldCharType="separate"/>
        </w:r>
        <w:r w:rsidR="00B94D2F">
          <w:rPr>
            <w:noProof/>
            <w:webHidden/>
          </w:rPr>
          <w:t>492</w:t>
        </w:r>
        <w:r w:rsidR="00242E8D">
          <w:rPr>
            <w:noProof/>
            <w:webHidden/>
          </w:rPr>
          <w:fldChar w:fldCharType="end"/>
        </w:r>
      </w:hyperlink>
    </w:p>
    <w:p w14:paraId="74AE6B21" w14:textId="6A0E180E" w:rsidR="00242E8D" w:rsidRDefault="00087879">
      <w:pPr>
        <w:pStyle w:val="TOC2"/>
        <w:rPr>
          <w:rFonts w:asciiTheme="minorHAnsi" w:eastAsiaTheme="minorEastAsia" w:hAnsiTheme="minorHAnsi" w:cstheme="minorBidi"/>
          <w:noProof/>
          <w:sz w:val="22"/>
        </w:rPr>
      </w:pPr>
      <w:hyperlink w:anchor="_Toc68786377" w:history="1">
        <w:r w:rsidR="00242E8D" w:rsidRPr="00702EC9">
          <w:rPr>
            <w:rStyle w:val="Hyperlink"/>
            <w:noProof/>
          </w:rPr>
          <w:t>12.4</w:t>
        </w:r>
        <w:r w:rsidR="00242E8D">
          <w:rPr>
            <w:rFonts w:asciiTheme="minorHAnsi" w:eastAsiaTheme="minorEastAsia" w:hAnsiTheme="minorHAnsi" w:cstheme="minorBidi"/>
            <w:noProof/>
            <w:sz w:val="22"/>
          </w:rPr>
          <w:tab/>
        </w:r>
        <w:r w:rsidR="00242E8D" w:rsidRPr="00702EC9">
          <w:rPr>
            <w:rStyle w:val="Hyperlink"/>
            <w:noProof/>
          </w:rPr>
          <w:t>Publicly accessible information</w:t>
        </w:r>
        <w:r w:rsidR="00242E8D">
          <w:rPr>
            <w:noProof/>
            <w:webHidden/>
          </w:rPr>
          <w:tab/>
        </w:r>
        <w:r w:rsidR="00242E8D">
          <w:rPr>
            <w:noProof/>
            <w:webHidden/>
          </w:rPr>
          <w:fldChar w:fldCharType="begin"/>
        </w:r>
        <w:r w:rsidR="00242E8D">
          <w:rPr>
            <w:noProof/>
            <w:webHidden/>
          </w:rPr>
          <w:instrText xml:space="preserve"> PAGEREF _Toc68786377 \h </w:instrText>
        </w:r>
        <w:r w:rsidR="00242E8D">
          <w:rPr>
            <w:noProof/>
            <w:webHidden/>
          </w:rPr>
        </w:r>
        <w:r w:rsidR="00242E8D">
          <w:rPr>
            <w:noProof/>
            <w:webHidden/>
          </w:rPr>
          <w:fldChar w:fldCharType="separate"/>
        </w:r>
        <w:r w:rsidR="00B94D2F">
          <w:rPr>
            <w:noProof/>
            <w:webHidden/>
          </w:rPr>
          <w:t>492</w:t>
        </w:r>
        <w:r w:rsidR="00242E8D">
          <w:rPr>
            <w:noProof/>
            <w:webHidden/>
          </w:rPr>
          <w:fldChar w:fldCharType="end"/>
        </w:r>
      </w:hyperlink>
    </w:p>
    <w:p w14:paraId="6250C32D" w14:textId="426BF18C" w:rsidR="00242E8D" w:rsidRDefault="00087879">
      <w:pPr>
        <w:pStyle w:val="TOC2"/>
        <w:rPr>
          <w:rFonts w:asciiTheme="minorHAnsi" w:eastAsiaTheme="minorEastAsia" w:hAnsiTheme="minorHAnsi" w:cstheme="minorBidi"/>
          <w:noProof/>
          <w:sz w:val="22"/>
        </w:rPr>
      </w:pPr>
      <w:hyperlink w:anchor="_Toc68786378" w:history="1">
        <w:r w:rsidR="00242E8D" w:rsidRPr="00702EC9">
          <w:rPr>
            <w:rStyle w:val="Hyperlink"/>
            <w:noProof/>
          </w:rPr>
          <w:t>12.5</w:t>
        </w:r>
        <w:r w:rsidR="00242E8D">
          <w:rPr>
            <w:rFonts w:asciiTheme="minorHAnsi" w:eastAsiaTheme="minorEastAsia" w:hAnsiTheme="minorHAnsi" w:cstheme="minorBidi"/>
            <w:noProof/>
            <w:sz w:val="22"/>
          </w:rPr>
          <w:tab/>
        </w:r>
        <w:r w:rsidR="00242E8D" w:rsidRPr="00702EC9">
          <w:rPr>
            <w:rStyle w:val="Hyperlink"/>
            <w:noProof/>
          </w:rPr>
          <w:t>Calculation of the commitment period reserve</w:t>
        </w:r>
        <w:r w:rsidR="00242E8D">
          <w:rPr>
            <w:noProof/>
            <w:webHidden/>
          </w:rPr>
          <w:tab/>
        </w:r>
        <w:r w:rsidR="00242E8D">
          <w:rPr>
            <w:noProof/>
            <w:webHidden/>
          </w:rPr>
          <w:fldChar w:fldCharType="begin"/>
        </w:r>
        <w:r w:rsidR="00242E8D">
          <w:rPr>
            <w:noProof/>
            <w:webHidden/>
          </w:rPr>
          <w:instrText xml:space="preserve"> PAGEREF _Toc68786378 \h </w:instrText>
        </w:r>
        <w:r w:rsidR="00242E8D">
          <w:rPr>
            <w:noProof/>
            <w:webHidden/>
          </w:rPr>
        </w:r>
        <w:r w:rsidR="00242E8D">
          <w:rPr>
            <w:noProof/>
            <w:webHidden/>
          </w:rPr>
          <w:fldChar w:fldCharType="separate"/>
        </w:r>
        <w:r w:rsidR="00B94D2F">
          <w:rPr>
            <w:noProof/>
            <w:webHidden/>
          </w:rPr>
          <w:t>497</w:t>
        </w:r>
        <w:r w:rsidR="00242E8D">
          <w:rPr>
            <w:noProof/>
            <w:webHidden/>
          </w:rPr>
          <w:fldChar w:fldCharType="end"/>
        </w:r>
      </w:hyperlink>
    </w:p>
    <w:p w14:paraId="4F5C8EA8" w14:textId="209FD855" w:rsidR="00242E8D" w:rsidRDefault="00087879">
      <w:pPr>
        <w:pStyle w:val="TOC2"/>
        <w:rPr>
          <w:rFonts w:asciiTheme="minorHAnsi" w:eastAsiaTheme="minorEastAsia" w:hAnsiTheme="minorHAnsi" w:cstheme="minorBidi"/>
          <w:noProof/>
          <w:sz w:val="22"/>
        </w:rPr>
      </w:pPr>
      <w:hyperlink w:anchor="_Toc68786379" w:history="1">
        <w:r w:rsidR="00242E8D" w:rsidRPr="00702EC9">
          <w:rPr>
            <w:rStyle w:val="Hyperlink"/>
            <w:noProof/>
          </w:rPr>
          <w:t>Chapter 12: Reference</w:t>
        </w:r>
        <w:r w:rsidR="00242E8D">
          <w:rPr>
            <w:noProof/>
            <w:webHidden/>
          </w:rPr>
          <w:tab/>
        </w:r>
        <w:r w:rsidR="00242E8D">
          <w:rPr>
            <w:noProof/>
            <w:webHidden/>
          </w:rPr>
          <w:fldChar w:fldCharType="begin"/>
        </w:r>
        <w:r w:rsidR="00242E8D">
          <w:rPr>
            <w:noProof/>
            <w:webHidden/>
          </w:rPr>
          <w:instrText xml:space="preserve"> PAGEREF _Toc68786379 \h </w:instrText>
        </w:r>
        <w:r w:rsidR="00242E8D">
          <w:rPr>
            <w:noProof/>
            <w:webHidden/>
          </w:rPr>
        </w:r>
        <w:r w:rsidR="00242E8D">
          <w:rPr>
            <w:noProof/>
            <w:webHidden/>
          </w:rPr>
          <w:fldChar w:fldCharType="separate"/>
        </w:r>
        <w:r w:rsidR="00B94D2F">
          <w:rPr>
            <w:noProof/>
            <w:webHidden/>
          </w:rPr>
          <w:t>498</w:t>
        </w:r>
        <w:r w:rsidR="00242E8D">
          <w:rPr>
            <w:noProof/>
            <w:webHidden/>
          </w:rPr>
          <w:fldChar w:fldCharType="end"/>
        </w:r>
      </w:hyperlink>
    </w:p>
    <w:p w14:paraId="2CD99FCB" w14:textId="0677289E" w:rsidR="00242E8D" w:rsidRDefault="00087879">
      <w:pPr>
        <w:pStyle w:val="TOC1"/>
        <w:rPr>
          <w:rFonts w:asciiTheme="minorHAnsi" w:eastAsiaTheme="minorEastAsia" w:hAnsiTheme="minorHAnsi" w:cstheme="minorBidi"/>
          <w:noProof/>
          <w:sz w:val="22"/>
        </w:rPr>
      </w:pPr>
      <w:hyperlink w:anchor="_Toc68786380" w:history="1">
        <w:r w:rsidR="00242E8D" w:rsidRPr="00702EC9">
          <w:rPr>
            <w:rStyle w:val="Hyperlink"/>
            <w:noProof/>
          </w:rPr>
          <w:t>Chapter 13: Information on changes to the national inventory system</w:t>
        </w:r>
        <w:r w:rsidR="00242E8D">
          <w:rPr>
            <w:noProof/>
            <w:webHidden/>
          </w:rPr>
          <w:tab/>
        </w:r>
        <w:r w:rsidR="00242E8D">
          <w:rPr>
            <w:noProof/>
            <w:webHidden/>
          </w:rPr>
          <w:fldChar w:fldCharType="begin"/>
        </w:r>
        <w:r w:rsidR="00242E8D">
          <w:rPr>
            <w:noProof/>
            <w:webHidden/>
          </w:rPr>
          <w:instrText xml:space="preserve"> PAGEREF _Toc68786380 \h </w:instrText>
        </w:r>
        <w:r w:rsidR="00242E8D">
          <w:rPr>
            <w:noProof/>
            <w:webHidden/>
          </w:rPr>
        </w:r>
        <w:r w:rsidR="00242E8D">
          <w:rPr>
            <w:noProof/>
            <w:webHidden/>
          </w:rPr>
          <w:fldChar w:fldCharType="separate"/>
        </w:r>
        <w:r w:rsidR="00B94D2F">
          <w:rPr>
            <w:noProof/>
            <w:webHidden/>
          </w:rPr>
          <w:t>499</w:t>
        </w:r>
        <w:r w:rsidR="00242E8D">
          <w:rPr>
            <w:noProof/>
            <w:webHidden/>
          </w:rPr>
          <w:fldChar w:fldCharType="end"/>
        </w:r>
      </w:hyperlink>
    </w:p>
    <w:p w14:paraId="33D403A4" w14:textId="3FFE1F18" w:rsidR="00242E8D" w:rsidRDefault="00087879">
      <w:pPr>
        <w:pStyle w:val="TOC1"/>
        <w:rPr>
          <w:rFonts w:asciiTheme="minorHAnsi" w:eastAsiaTheme="minorEastAsia" w:hAnsiTheme="minorHAnsi" w:cstheme="minorBidi"/>
          <w:noProof/>
          <w:sz w:val="22"/>
        </w:rPr>
      </w:pPr>
      <w:hyperlink w:anchor="_Toc68786381" w:history="1">
        <w:r w:rsidR="00242E8D" w:rsidRPr="00702EC9">
          <w:rPr>
            <w:rStyle w:val="Hyperlink"/>
            <w:noProof/>
          </w:rPr>
          <w:t>Chapter 14: Information on changes to the national registry</w:t>
        </w:r>
        <w:r w:rsidR="00242E8D">
          <w:rPr>
            <w:noProof/>
            <w:webHidden/>
          </w:rPr>
          <w:tab/>
        </w:r>
        <w:r w:rsidR="00242E8D">
          <w:rPr>
            <w:noProof/>
            <w:webHidden/>
          </w:rPr>
          <w:fldChar w:fldCharType="begin"/>
        </w:r>
        <w:r w:rsidR="00242E8D">
          <w:rPr>
            <w:noProof/>
            <w:webHidden/>
          </w:rPr>
          <w:instrText xml:space="preserve"> PAGEREF _Toc68786381 \h </w:instrText>
        </w:r>
        <w:r w:rsidR="00242E8D">
          <w:rPr>
            <w:noProof/>
            <w:webHidden/>
          </w:rPr>
        </w:r>
        <w:r w:rsidR="00242E8D">
          <w:rPr>
            <w:noProof/>
            <w:webHidden/>
          </w:rPr>
          <w:fldChar w:fldCharType="separate"/>
        </w:r>
        <w:r w:rsidR="00B94D2F">
          <w:rPr>
            <w:noProof/>
            <w:webHidden/>
          </w:rPr>
          <w:t>500</w:t>
        </w:r>
        <w:r w:rsidR="00242E8D">
          <w:rPr>
            <w:noProof/>
            <w:webHidden/>
          </w:rPr>
          <w:fldChar w:fldCharType="end"/>
        </w:r>
      </w:hyperlink>
    </w:p>
    <w:p w14:paraId="679C7CB3" w14:textId="5B5D388C" w:rsidR="00242E8D" w:rsidRDefault="00087879">
      <w:pPr>
        <w:pStyle w:val="TOC1"/>
        <w:rPr>
          <w:rFonts w:asciiTheme="minorHAnsi" w:eastAsiaTheme="minorEastAsia" w:hAnsiTheme="minorHAnsi" w:cstheme="minorBidi"/>
          <w:noProof/>
          <w:sz w:val="22"/>
        </w:rPr>
      </w:pPr>
      <w:hyperlink w:anchor="_Toc68786382" w:history="1">
        <w:r w:rsidR="00242E8D" w:rsidRPr="00702EC9">
          <w:rPr>
            <w:rStyle w:val="Hyperlink"/>
            <w:noProof/>
          </w:rPr>
          <w:t>Chapter 15: Information on minimisation of adverse impacts</w:t>
        </w:r>
        <w:r w:rsidR="00242E8D">
          <w:rPr>
            <w:noProof/>
            <w:webHidden/>
          </w:rPr>
          <w:tab/>
        </w:r>
        <w:r w:rsidR="00242E8D">
          <w:rPr>
            <w:noProof/>
            <w:webHidden/>
          </w:rPr>
          <w:fldChar w:fldCharType="begin"/>
        </w:r>
        <w:r w:rsidR="00242E8D">
          <w:rPr>
            <w:noProof/>
            <w:webHidden/>
          </w:rPr>
          <w:instrText xml:space="preserve"> PAGEREF _Toc68786382 \h </w:instrText>
        </w:r>
        <w:r w:rsidR="00242E8D">
          <w:rPr>
            <w:noProof/>
            <w:webHidden/>
          </w:rPr>
        </w:r>
        <w:r w:rsidR="00242E8D">
          <w:rPr>
            <w:noProof/>
            <w:webHidden/>
          </w:rPr>
          <w:fldChar w:fldCharType="separate"/>
        </w:r>
        <w:r w:rsidR="00B94D2F">
          <w:rPr>
            <w:noProof/>
            <w:webHidden/>
          </w:rPr>
          <w:t>502</w:t>
        </w:r>
        <w:r w:rsidR="00242E8D">
          <w:rPr>
            <w:noProof/>
            <w:webHidden/>
          </w:rPr>
          <w:fldChar w:fldCharType="end"/>
        </w:r>
      </w:hyperlink>
    </w:p>
    <w:p w14:paraId="7968BBDC" w14:textId="51A689E1" w:rsidR="00242E8D" w:rsidRDefault="00087879">
      <w:pPr>
        <w:pStyle w:val="TOC2"/>
        <w:rPr>
          <w:rFonts w:asciiTheme="minorHAnsi" w:eastAsiaTheme="minorEastAsia" w:hAnsiTheme="minorHAnsi" w:cstheme="minorBidi"/>
          <w:noProof/>
          <w:sz w:val="22"/>
        </w:rPr>
      </w:pPr>
      <w:hyperlink w:anchor="_Toc68786383" w:history="1">
        <w:r w:rsidR="00242E8D" w:rsidRPr="00702EC9">
          <w:rPr>
            <w:rStyle w:val="Hyperlink"/>
            <w:noProof/>
          </w:rPr>
          <w:t xml:space="preserve">15.1 </w:t>
        </w:r>
        <w:r w:rsidR="00242E8D">
          <w:rPr>
            <w:rFonts w:asciiTheme="minorHAnsi" w:eastAsiaTheme="minorEastAsia" w:hAnsiTheme="minorHAnsi" w:cstheme="minorBidi"/>
            <w:noProof/>
            <w:sz w:val="22"/>
          </w:rPr>
          <w:tab/>
        </w:r>
        <w:r w:rsidR="00242E8D" w:rsidRPr="00702EC9">
          <w:rPr>
            <w:rStyle w:val="Hyperlink"/>
            <w:noProof/>
          </w:rPr>
          <w:t>Overview</w:t>
        </w:r>
        <w:r w:rsidR="00242E8D">
          <w:rPr>
            <w:noProof/>
            <w:webHidden/>
          </w:rPr>
          <w:tab/>
        </w:r>
        <w:r w:rsidR="00242E8D">
          <w:rPr>
            <w:noProof/>
            <w:webHidden/>
          </w:rPr>
          <w:fldChar w:fldCharType="begin"/>
        </w:r>
        <w:r w:rsidR="00242E8D">
          <w:rPr>
            <w:noProof/>
            <w:webHidden/>
          </w:rPr>
          <w:instrText xml:space="preserve"> PAGEREF _Toc68786383 \h </w:instrText>
        </w:r>
        <w:r w:rsidR="00242E8D">
          <w:rPr>
            <w:noProof/>
            <w:webHidden/>
          </w:rPr>
        </w:r>
        <w:r w:rsidR="00242E8D">
          <w:rPr>
            <w:noProof/>
            <w:webHidden/>
          </w:rPr>
          <w:fldChar w:fldCharType="separate"/>
        </w:r>
        <w:r w:rsidR="00B94D2F">
          <w:rPr>
            <w:noProof/>
            <w:webHidden/>
          </w:rPr>
          <w:t>502</w:t>
        </w:r>
        <w:r w:rsidR="00242E8D">
          <w:rPr>
            <w:noProof/>
            <w:webHidden/>
          </w:rPr>
          <w:fldChar w:fldCharType="end"/>
        </w:r>
      </w:hyperlink>
    </w:p>
    <w:p w14:paraId="41FBE926" w14:textId="2E03B4B4" w:rsidR="00242E8D" w:rsidRDefault="00087879">
      <w:pPr>
        <w:pStyle w:val="TOC2"/>
        <w:rPr>
          <w:rFonts w:asciiTheme="minorHAnsi" w:eastAsiaTheme="minorEastAsia" w:hAnsiTheme="minorHAnsi" w:cstheme="minorBidi"/>
          <w:noProof/>
          <w:sz w:val="22"/>
        </w:rPr>
      </w:pPr>
      <w:hyperlink w:anchor="_Toc68786384" w:history="1">
        <w:r w:rsidR="00242E8D" w:rsidRPr="00702EC9">
          <w:rPr>
            <w:rStyle w:val="Hyperlink"/>
            <w:noProof/>
          </w:rPr>
          <w:t xml:space="preserve">15.2 </w:t>
        </w:r>
        <w:r w:rsidR="00242E8D">
          <w:rPr>
            <w:rFonts w:asciiTheme="minorHAnsi" w:eastAsiaTheme="minorEastAsia" w:hAnsiTheme="minorHAnsi" w:cstheme="minorBidi"/>
            <w:noProof/>
            <w:sz w:val="22"/>
          </w:rPr>
          <w:tab/>
        </w:r>
        <w:r w:rsidR="00242E8D" w:rsidRPr="00702EC9">
          <w:rPr>
            <w:rStyle w:val="Hyperlink"/>
            <w:noProof/>
          </w:rPr>
          <w:t>Market imperfections, fiscal incentives, tax and duty exemptions and subsidies</w:t>
        </w:r>
        <w:r w:rsidR="00242E8D">
          <w:rPr>
            <w:noProof/>
            <w:webHidden/>
          </w:rPr>
          <w:tab/>
        </w:r>
        <w:r w:rsidR="00242E8D">
          <w:rPr>
            <w:noProof/>
            <w:webHidden/>
          </w:rPr>
          <w:fldChar w:fldCharType="begin"/>
        </w:r>
        <w:r w:rsidR="00242E8D">
          <w:rPr>
            <w:noProof/>
            <w:webHidden/>
          </w:rPr>
          <w:instrText xml:space="preserve"> PAGEREF _Toc68786384 \h </w:instrText>
        </w:r>
        <w:r w:rsidR="00242E8D">
          <w:rPr>
            <w:noProof/>
            <w:webHidden/>
          </w:rPr>
        </w:r>
        <w:r w:rsidR="00242E8D">
          <w:rPr>
            <w:noProof/>
            <w:webHidden/>
          </w:rPr>
          <w:fldChar w:fldCharType="separate"/>
        </w:r>
        <w:r w:rsidR="00B94D2F">
          <w:rPr>
            <w:noProof/>
            <w:webHidden/>
          </w:rPr>
          <w:t>503</w:t>
        </w:r>
        <w:r w:rsidR="00242E8D">
          <w:rPr>
            <w:noProof/>
            <w:webHidden/>
          </w:rPr>
          <w:fldChar w:fldCharType="end"/>
        </w:r>
      </w:hyperlink>
    </w:p>
    <w:p w14:paraId="782C24F4" w14:textId="05CC1C3D" w:rsidR="00242E8D" w:rsidRDefault="00087879">
      <w:pPr>
        <w:pStyle w:val="TOC2"/>
        <w:rPr>
          <w:rFonts w:asciiTheme="minorHAnsi" w:eastAsiaTheme="minorEastAsia" w:hAnsiTheme="minorHAnsi" w:cstheme="minorBidi"/>
          <w:noProof/>
          <w:sz w:val="22"/>
        </w:rPr>
      </w:pPr>
      <w:hyperlink w:anchor="_Toc68786385" w:history="1">
        <w:r w:rsidR="00242E8D" w:rsidRPr="00702EC9">
          <w:rPr>
            <w:rStyle w:val="Hyperlink"/>
            <w:noProof/>
          </w:rPr>
          <w:t xml:space="preserve">15.3 </w:t>
        </w:r>
        <w:r w:rsidR="00242E8D">
          <w:rPr>
            <w:rFonts w:asciiTheme="minorHAnsi" w:eastAsiaTheme="minorEastAsia" w:hAnsiTheme="minorHAnsi" w:cstheme="minorBidi"/>
            <w:noProof/>
            <w:sz w:val="22"/>
          </w:rPr>
          <w:tab/>
        </w:r>
        <w:r w:rsidR="00242E8D" w:rsidRPr="00702EC9">
          <w:rPr>
            <w:rStyle w:val="Hyperlink"/>
            <w:noProof/>
          </w:rPr>
          <w:t>Removal of subsidies</w:t>
        </w:r>
        <w:r w:rsidR="00242E8D">
          <w:rPr>
            <w:noProof/>
            <w:webHidden/>
          </w:rPr>
          <w:tab/>
        </w:r>
        <w:r w:rsidR="00242E8D">
          <w:rPr>
            <w:noProof/>
            <w:webHidden/>
          </w:rPr>
          <w:fldChar w:fldCharType="begin"/>
        </w:r>
        <w:r w:rsidR="00242E8D">
          <w:rPr>
            <w:noProof/>
            <w:webHidden/>
          </w:rPr>
          <w:instrText xml:space="preserve"> PAGEREF _Toc68786385 \h </w:instrText>
        </w:r>
        <w:r w:rsidR="00242E8D">
          <w:rPr>
            <w:noProof/>
            <w:webHidden/>
          </w:rPr>
        </w:r>
        <w:r w:rsidR="00242E8D">
          <w:rPr>
            <w:noProof/>
            <w:webHidden/>
          </w:rPr>
          <w:fldChar w:fldCharType="separate"/>
        </w:r>
        <w:r w:rsidR="00B94D2F">
          <w:rPr>
            <w:noProof/>
            <w:webHidden/>
          </w:rPr>
          <w:t>504</w:t>
        </w:r>
        <w:r w:rsidR="00242E8D">
          <w:rPr>
            <w:noProof/>
            <w:webHidden/>
          </w:rPr>
          <w:fldChar w:fldCharType="end"/>
        </w:r>
      </w:hyperlink>
    </w:p>
    <w:p w14:paraId="50928FCA" w14:textId="4FAD6FC0" w:rsidR="00242E8D" w:rsidRDefault="00087879">
      <w:pPr>
        <w:pStyle w:val="TOC2"/>
        <w:rPr>
          <w:rFonts w:asciiTheme="minorHAnsi" w:eastAsiaTheme="minorEastAsia" w:hAnsiTheme="minorHAnsi" w:cstheme="minorBidi"/>
          <w:noProof/>
          <w:sz w:val="22"/>
        </w:rPr>
      </w:pPr>
      <w:hyperlink w:anchor="_Toc68786386" w:history="1">
        <w:r w:rsidR="00242E8D" w:rsidRPr="00702EC9">
          <w:rPr>
            <w:rStyle w:val="Hyperlink"/>
            <w:noProof/>
          </w:rPr>
          <w:t xml:space="preserve">15.4 </w:t>
        </w:r>
        <w:r w:rsidR="00242E8D">
          <w:rPr>
            <w:rFonts w:asciiTheme="minorHAnsi" w:eastAsiaTheme="minorEastAsia" w:hAnsiTheme="minorHAnsi" w:cstheme="minorBidi"/>
            <w:noProof/>
            <w:sz w:val="22"/>
          </w:rPr>
          <w:tab/>
        </w:r>
        <w:r w:rsidR="00242E8D" w:rsidRPr="00702EC9">
          <w:rPr>
            <w:rStyle w:val="Hyperlink"/>
            <w:noProof/>
          </w:rPr>
          <w:t>Technological development of non-energy uses of fossil fuels</w:t>
        </w:r>
        <w:r w:rsidR="00242E8D">
          <w:rPr>
            <w:noProof/>
            <w:webHidden/>
          </w:rPr>
          <w:tab/>
        </w:r>
        <w:r w:rsidR="00242E8D">
          <w:rPr>
            <w:noProof/>
            <w:webHidden/>
          </w:rPr>
          <w:fldChar w:fldCharType="begin"/>
        </w:r>
        <w:r w:rsidR="00242E8D">
          <w:rPr>
            <w:noProof/>
            <w:webHidden/>
          </w:rPr>
          <w:instrText xml:space="preserve"> PAGEREF _Toc68786386 \h </w:instrText>
        </w:r>
        <w:r w:rsidR="00242E8D">
          <w:rPr>
            <w:noProof/>
            <w:webHidden/>
          </w:rPr>
        </w:r>
        <w:r w:rsidR="00242E8D">
          <w:rPr>
            <w:noProof/>
            <w:webHidden/>
          </w:rPr>
          <w:fldChar w:fldCharType="separate"/>
        </w:r>
        <w:r w:rsidR="00B94D2F">
          <w:rPr>
            <w:noProof/>
            <w:webHidden/>
          </w:rPr>
          <w:t>504</w:t>
        </w:r>
        <w:r w:rsidR="00242E8D">
          <w:rPr>
            <w:noProof/>
            <w:webHidden/>
          </w:rPr>
          <w:fldChar w:fldCharType="end"/>
        </w:r>
      </w:hyperlink>
    </w:p>
    <w:p w14:paraId="21A308A2" w14:textId="14B3143D" w:rsidR="00242E8D" w:rsidRDefault="00087879">
      <w:pPr>
        <w:pStyle w:val="TOC2"/>
        <w:rPr>
          <w:rFonts w:asciiTheme="minorHAnsi" w:eastAsiaTheme="minorEastAsia" w:hAnsiTheme="minorHAnsi" w:cstheme="minorBidi"/>
          <w:noProof/>
          <w:sz w:val="22"/>
        </w:rPr>
      </w:pPr>
      <w:hyperlink w:anchor="_Toc68786387" w:history="1">
        <w:r w:rsidR="00242E8D" w:rsidRPr="00702EC9">
          <w:rPr>
            <w:rStyle w:val="Hyperlink"/>
            <w:noProof/>
          </w:rPr>
          <w:t xml:space="preserve">15.5 </w:t>
        </w:r>
        <w:r w:rsidR="00242E8D">
          <w:rPr>
            <w:rFonts w:asciiTheme="minorHAnsi" w:eastAsiaTheme="minorEastAsia" w:hAnsiTheme="minorHAnsi" w:cstheme="minorBidi"/>
            <w:noProof/>
            <w:sz w:val="22"/>
          </w:rPr>
          <w:tab/>
        </w:r>
        <w:r w:rsidR="00242E8D" w:rsidRPr="00702EC9">
          <w:rPr>
            <w:rStyle w:val="Hyperlink"/>
            <w:noProof/>
          </w:rPr>
          <w:t>Carbon capture and storage technology development</w:t>
        </w:r>
        <w:r w:rsidR="00242E8D">
          <w:rPr>
            <w:noProof/>
            <w:webHidden/>
          </w:rPr>
          <w:tab/>
        </w:r>
        <w:r w:rsidR="00242E8D">
          <w:rPr>
            <w:noProof/>
            <w:webHidden/>
          </w:rPr>
          <w:fldChar w:fldCharType="begin"/>
        </w:r>
        <w:r w:rsidR="00242E8D">
          <w:rPr>
            <w:noProof/>
            <w:webHidden/>
          </w:rPr>
          <w:instrText xml:space="preserve"> PAGEREF _Toc68786387 \h </w:instrText>
        </w:r>
        <w:r w:rsidR="00242E8D">
          <w:rPr>
            <w:noProof/>
            <w:webHidden/>
          </w:rPr>
        </w:r>
        <w:r w:rsidR="00242E8D">
          <w:rPr>
            <w:noProof/>
            <w:webHidden/>
          </w:rPr>
          <w:fldChar w:fldCharType="separate"/>
        </w:r>
        <w:r w:rsidR="00B94D2F">
          <w:rPr>
            <w:noProof/>
            <w:webHidden/>
          </w:rPr>
          <w:t>504</w:t>
        </w:r>
        <w:r w:rsidR="00242E8D">
          <w:rPr>
            <w:noProof/>
            <w:webHidden/>
          </w:rPr>
          <w:fldChar w:fldCharType="end"/>
        </w:r>
      </w:hyperlink>
    </w:p>
    <w:p w14:paraId="068EF6F0" w14:textId="10F5BE0E" w:rsidR="00242E8D" w:rsidRDefault="00087879">
      <w:pPr>
        <w:pStyle w:val="TOC2"/>
        <w:rPr>
          <w:rFonts w:asciiTheme="minorHAnsi" w:eastAsiaTheme="minorEastAsia" w:hAnsiTheme="minorHAnsi" w:cstheme="minorBidi"/>
          <w:noProof/>
          <w:sz w:val="22"/>
        </w:rPr>
      </w:pPr>
      <w:hyperlink w:anchor="_Toc68786388" w:history="1">
        <w:r w:rsidR="00242E8D" w:rsidRPr="00702EC9">
          <w:rPr>
            <w:rStyle w:val="Hyperlink"/>
            <w:noProof/>
          </w:rPr>
          <w:t xml:space="preserve">15.6 </w:t>
        </w:r>
        <w:r w:rsidR="00242E8D">
          <w:rPr>
            <w:rFonts w:asciiTheme="minorHAnsi" w:eastAsiaTheme="minorEastAsia" w:hAnsiTheme="minorHAnsi" w:cstheme="minorBidi"/>
            <w:noProof/>
            <w:sz w:val="22"/>
          </w:rPr>
          <w:tab/>
        </w:r>
        <w:r w:rsidR="00242E8D" w:rsidRPr="00702EC9">
          <w:rPr>
            <w:rStyle w:val="Hyperlink"/>
            <w:noProof/>
          </w:rPr>
          <w:t>Improvements in fossil fuel efficiencies</w:t>
        </w:r>
        <w:r w:rsidR="00242E8D">
          <w:rPr>
            <w:noProof/>
            <w:webHidden/>
          </w:rPr>
          <w:tab/>
        </w:r>
        <w:r w:rsidR="00242E8D">
          <w:rPr>
            <w:noProof/>
            <w:webHidden/>
          </w:rPr>
          <w:fldChar w:fldCharType="begin"/>
        </w:r>
        <w:r w:rsidR="00242E8D">
          <w:rPr>
            <w:noProof/>
            <w:webHidden/>
          </w:rPr>
          <w:instrText xml:space="preserve"> PAGEREF _Toc68786388 \h </w:instrText>
        </w:r>
        <w:r w:rsidR="00242E8D">
          <w:rPr>
            <w:noProof/>
            <w:webHidden/>
          </w:rPr>
        </w:r>
        <w:r w:rsidR="00242E8D">
          <w:rPr>
            <w:noProof/>
            <w:webHidden/>
          </w:rPr>
          <w:fldChar w:fldCharType="separate"/>
        </w:r>
        <w:r w:rsidR="00B94D2F">
          <w:rPr>
            <w:noProof/>
            <w:webHidden/>
          </w:rPr>
          <w:t>505</w:t>
        </w:r>
        <w:r w:rsidR="00242E8D">
          <w:rPr>
            <w:noProof/>
            <w:webHidden/>
          </w:rPr>
          <w:fldChar w:fldCharType="end"/>
        </w:r>
      </w:hyperlink>
    </w:p>
    <w:p w14:paraId="35A3FEA0" w14:textId="2466F471" w:rsidR="00242E8D" w:rsidRDefault="00087879">
      <w:pPr>
        <w:pStyle w:val="TOC2"/>
        <w:rPr>
          <w:rFonts w:asciiTheme="minorHAnsi" w:eastAsiaTheme="minorEastAsia" w:hAnsiTheme="minorHAnsi" w:cstheme="minorBidi"/>
          <w:noProof/>
          <w:sz w:val="22"/>
        </w:rPr>
      </w:pPr>
      <w:hyperlink w:anchor="_Toc68786389" w:history="1">
        <w:r w:rsidR="00242E8D" w:rsidRPr="00702EC9">
          <w:rPr>
            <w:rStyle w:val="Hyperlink"/>
            <w:noProof/>
          </w:rPr>
          <w:t xml:space="preserve">15.7 </w:t>
        </w:r>
        <w:r w:rsidR="00242E8D">
          <w:rPr>
            <w:rFonts w:asciiTheme="minorHAnsi" w:eastAsiaTheme="minorEastAsia" w:hAnsiTheme="minorHAnsi" w:cstheme="minorBidi"/>
            <w:noProof/>
            <w:sz w:val="22"/>
          </w:rPr>
          <w:tab/>
        </w:r>
        <w:r w:rsidR="00242E8D" w:rsidRPr="00702EC9">
          <w:rPr>
            <w:rStyle w:val="Hyperlink"/>
            <w:noProof/>
          </w:rPr>
          <w:t>Assistance to non-Annex I Parties dependent on the export and consumption of fossil fuels for diversifying their economies</w:t>
        </w:r>
        <w:r w:rsidR="00242E8D">
          <w:rPr>
            <w:noProof/>
            <w:webHidden/>
          </w:rPr>
          <w:tab/>
        </w:r>
        <w:r w:rsidR="00242E8D">
          <w:rPr>
            <w:noProof/>
            <w:webHidden/>
          </w:rPr>
          <w:fldChar w:fldCharType="begin"/>
        </w:r>
        <w:r w:rsidR="00242E8D">
          <w:rPr>
            <w:noProof/>
            <w:webHidden/>
          </w:rPr>
          <w:instrText xml:space="preserve"> PAGEREF _Toc68786389 \h </w:instrText>
        </w:r>
        <w:r w:rsidR="00242E8D">
          <w:rPr>
            <w:noProof/>
            <w:webHidden/>
          </w:rPr>
        </w:r>
        <w:r w:rsidR="00242E8D">
          <w:rPr>
            <w:noProof/>
            <w:webHidden/>
          </w:rPr>
          <w:fldChar w:fldCharType="separate"/>
        </w:r>
        <w:r w:rsidR="00B94D2F">
          <w:rPr>
            <w:noProof/>
            <w:webHidden/>
          </w:rPr>
          <w:t>505</w:t>
        </w:r>
        <w:r w:rsidR="00242E8D">
          <w:rPr>
            <w:noProof/>
            <w:webHidden/>
          </w:rPr>
          <w:fldChar w:fldCharType="end"/>
        </w:r>
      </w:hyperlink>
    </w:p>
    <w:p w14:paraId="6F6C04C2" w14:textId="7E889399" w:rsidR="00242E8D" w:rsidRDefault="00087879">
      <w:pPr>
        <w:pStyle w:val="TOC2"/>
        <w:rPr>
          <w:rFonts w:asciiTheme="minorHAnsi" w:eastAsiaTheme="minorEastAsia" w:hAnsiTheme="minorHAnsi" w:cstheme="minorBidi"/>
          <w:noProof/>
          <w:sz w:val="22"/>
        </w:rPr>
      </w:pPr>
      <w:hyperlink w:anchor="_Toc68786390" w:history="1">
        <w:r w:rsidR="00242E8D" w:rsidRPr="00702EC9">
          <w:rPr>
            <w:rStyle w:val="Hyperlink"/>
            <w:noProof/>
          </w:rPr>
          <w:t>Chapter 15: Reference</w:t>
        </w:r>
        <w:r w:rsidR="00242E8D">
          <w:rPr>
            <w:noProof/>
            <w:webHidden/>
          </w:rPr>
          <w:tab/>
        </w:r>
        <w:r w:rsidR="00242E8D">
          <w:rPr>
            <w:noProof/>
            <w:webHidden/>
          </w:rPr>
          <w:fldChar w:fldCharType="begin"/>
        </w:r>
        <w:r w:rsidR="00242E8D">
          <w:rPr>
            <w:noProof/>
            <w:webHidden/>
          </w:rPr>
          <w:instrText xml:space="preserve"> PAGEREF _Toc68786390 \h </w:instrText>
        </w:r>
        <w:r w:rsidR="00242E8D">
          <w:rPr>
            <w:noProof/>
            <w:webHidden/>
          </w:rPr>
        </w:r>
        <w:r w:rsidR="00242E8D">
          <w:rPr>
            <w:noProof/>
            <w:webHidden/>
          </w:rPr>
          <w:fldChar w:fldCharType="separate"/>
        </w:r>
        <w:r w:rsidR="00B94D2F">
          <w:rPr>
            <w:noProof/>
            <w:webHidden/>
          </w:rPr>
          <w:t>507</w:t>
        </w:r>
        <w:r w:rsidR="00242E8D">
          <w:rPr>
            <w:noProof/>
            <w:webHidden/>
          </w:rPr>
          <w:fldChar w:fldCharType="end"/>
        </w:r>
      </w:hyperlink>
    </w:p>
    <w:p w14:paraId="5D1B5AA5" w14:textId="1DFF6F01" w:rsidR="00F33E01" w:rsidRPr="00BE78CA" w:rsidRDefault="00FE0A6E" w:rsidP="00F33E01">
      <w:pPr>
        <w:rPr>
          <w:sz w:val="28"/>
        </w:rPr>
      </w:pPr>
      <w:r w:rsidRPr="00BE78CA">
        <w:rPr>
          <w:sz w:val="28"/>
        </w:rPr>
        <w:fldChar w:fldCharType="end"/>
      </w:r>
    </w:p>
    <w:p w14:paraId="5A80BE1F" w14:textId="77777777" w:rsidR="005B6417" w:rsidRPr="00BE78CA" w:rsidRDefault="005B6417" w:rsidP="00F33E01"/>
    <w:p w14:paraId="1383A782" w14:textId="77777777" w:rsidR="005B6417" w:rsidRPr="00BE78CA" w:rsidRDefault="005B6417" w:rsidP="00074553">
      <w:pPr>
        <w:sectPr w:rsidR="005B6417" w:rsidRPr="00BE78CA" w:rsidSect="006C3B82">
          <w:footerReference w:type="even" r:id="rId16"/>
          <w:footerReference w:type="default" r:id="rId17"/>
          <w:pgSz w:w="11907" w:h="16840" w:code="9"/>
          <w:pgMar w:top="1418" w:right="1701" w:bottom="1418" w:left="1701" w:header="567" w:footer="567" w:gutter="0"/>
          <w:pgNumType w:fmt="lowerRoman"/>
          <w:cols w:space="720"/>
        </w:sectPr>
      </w:pPr>
    </w:p>
    <w:p w14:paraId="7D715656" w14:textId="41F94973" w:rsidR="00F33E01" w:rsidRPr="00BE78CA" w:rsidRDefault="00F33E01" w:rsidP="000E29E3">
      <w:pPr>
        <w:pStyle w:val="Heading1"/>
      </w:pPr>
      <w:bookmarkStart w:id="8" w:name="_Toc68786275"/>
      <w:r w:rsidRPr="00BE78CA">
        <w:lastRenderedPageBreak/>
        <w:t>Tables</w:t>
      </w:r>
      <w:bookmarkEnd w:id="8"/>
    </w:p>
    <w:p w14:paraId="74FAAB2A" w14:textId="35A7121D" w:rsidR="00242E8D" w:rsidRDefault="00230860">
      <w:pPr>
        <w:pStyle w:val="TableofFigures"/>
        <w:rPr>
          <w:rFonts w:asciiTheme="minorHAnsi" w:eastAsiaTheme="minorEastAsia" w:hAnsiTheme="minorHAnsi" w:cstheme="minorBidi"/>
          <w:sz w:val="22"/>
        </w:rPr>
      </w:pPr>
      <w:r w:rsidRPr="00BE78CA">
        <w:rPr>
          <w:rFonts w:ascii="Arial" w:hAnsi="Arial"/>
          <w:noProof w:val="0"/>
        </w:rPr>
        <w:fldChar w:fldCharType="begin"/>
      </w:r>
      <w:r w:rsidRPr="00BE78CA">
        <w:rPr>
          <w:rFonts w:ascii="Arial" w:hAnsi="Arial"/>
          <w:noProof w:val="0"/>
        </w:rPr>
        <w:instrText xml:space="preserve"> TOC \h \z \t "Table" \c </w:instrText>
      </w:r>
      <w:r w:rsidRPr="00BE78CA">
        <w:rPr>
          <w:rFonts w:ascii="Arial" w:hAnsi="Arial"/>
          <w:noProof w:val="0"/>
        </w:rPr>
        <w:fldChar w:fldCharType="separate"/>
      </w:r>
      <w:hyperlink w:anchor="_Toc68786391" w:history="1">
        <w:r w:rsidR="00242E8D" w:rsidRPr="00972364">
          <w:rPr>
            <w:rStyle w:val="Hyperlink"/>
          </w:rPr>
          <w:t xml:space="preserve">Table ES 3.1 </w:t>
        </w:r>
        <w:r w:rsidR="00242E8D">
          <w:rPr>
            <w:rFonts w:asciiTheme="minorHAnsi" w:eastAsiaTheme="minorEastAsia" w:hAnsiTheme="minorHAnsi" w:cstheme="minorBidi"/>
            <w:sz w:val="22"/>
          </w:rPr>
          <w:tab/>
        </w:r>
        <w:r w:rsidR="00242E8D" w:rsidRPr="00972364">
          <w:rPr>
            <w:rStyle w:val="Hyperlink"/>
          </w:rPr>
          <w:t>New Zealand’s gross emissions by gas in 1990 and 2019</w:t>
        </w:r>
        <w:r w:rsidR="00242E8D">
          <w:rPr>
            <w:webHidden/>
          </w:rPr>
          <w:tab/>
        </w:r>
        <w:r w:rsidR="00242E8D">
          <w:rPr>
            <w:webHidden/>
          </w:rPr>
          <w:fldChar w:fldCharType="begin"/>
        </w:r>
        <w:r w:rsidR="00242E8D">
          <w:rPr>
            <w:webHidden/>
          </w:rPr>
          <w:instrText xml:space="preserve"> PAGEREF _Toc68786391 \h </w:instrText>
        </w:r>
        <w:r w:rsidR="00242E8D">
          <w:rPr>
            <w:webHidden/>
          </w:rPr>
        </w:r>
        <w:r w:rsidR="00242E8D">
          <w:rPr>
            <w:webHidden/>
          </w:rPr>
          <w:fldChar w:fldCharType="separate"/>
        </w:r>
        <w:r w:rsidR="00B94D2F">
          <w:rPr>
            <w:webHidden/>
          </w:rPr>
          <w:t>5</w:t>
        </w:r>
        <w:r w:rsidR="00242E8D">
          <w:rPr>
            <w:webHidden/>
          </w:rPr>
          <w:fldChar w:fldCharType="end"/>
        </w:r>
      </w:hyperlink>
    </w:p>
    <w:p w14:paraId="4F8561C5" w14:textId="649F3C26" w:rsidR="00242E8D" w:rsidRDefault="00087879">
      <w:pPr>
        <w:pStyle w:val="TableofFigures"/>
        <w:rPr>
          <w:rFonts w:asciiTheme="minorHAnsi" w:eastAsiaTheme="minorEastAsia" w:hAnsiTheme="minorHAnsi" w:cstheme="minorBidi"/>
          <w:sz w:val="22"/>
        </w:rPr>
      </w:pPr>
      <w:hyperlink w:anchor="_Toc68786392" w:history="1">
        <w:r w:rsidR="00242E8D" w:rsidRPr="00972364">
          <w:rPr>
            <w:rStyle w:val="Hyperlink"/>
          </w:rPr>
          <w:t xml:space="preserve">Table ES 3.2 </w:t>
        </w:r>
        <w:r w:rsidR="00242E8D">
          <w:rPr>
            <w:rFonts w:asciiTheme="minorHAnsi" w:eastAsiaTheme="minorEastAsia" w:hAnsiTheme="minorHAnsi" w:cstheme="minorBidi"/>
            <w:sz w:val="22"/>
          </w:rPr>
          <w:tab/>
        </w:r>
        <w:r w:rsidR="00242E8D" w:rsidRPr="00972364">
          <w:rPr>
            <w:rStyle w:val="Hyperlink"/>
          </w:rPr>
          <w:t>New Zealand’s indirect greenhouse gas emissions (excluding LULUCF) in 1990 and 2019</w:t>
        </w:r>
        <w:r w:rsidR="00242E8D">
          <w:rPr>
            <w:webHidden/>
          </w:rPr>
          <w:tab/>
        </w:r>
        <w:r w:rsidR="00242E8D">
          <w:rPr>
            <w:webHidden/>
          </w:rPr>
          <w:fldChar w:fldCharType="begin"/>
        </w:r>
        <w:r w:rsidR="00242E8D">
          <w:rPr>
            <w:webHidden/>
          </w:rPr>
          <w:instrText xml:space="preserve"> PAGEREF _Toc68786392 \h </w:instrText>
        </w:r>
        <w:r w:rsidR="00242E8D">
          <w:rPr>
            <w:webHidden/>
          </w:rPr>
        </w:r>
        <w:r w:rsidR="00242E8D">
          <w:rPr>
            <w:webHidden/>
          </w:rPr>
          <w:fldChar w:fldCharType="separate"/>
        </w:r>
        <w:r w:rsidR="00B94D2F">
          <w:rPr>
            <w:webHidden/>
          </w:rPr>
          <w:t>7</w:t>
        </w:r>
        <w:r w:rsidR="00242E8D">
          <w:rPr>
            <w:webHidden/>
          </w:rPr>
          <w:fldChar w:fldCharType="end"/>
        </w:r>
      </w:hyperlink>
    </w:p>
    <w:p w14:paraId="4B04919E" w14:textId="07C4905F" w:rsidR="00242E8D" w:rsidRDefault="00087879">
      <w:pPr>
        <w:pStyle w:val="TableofFigures"/>
        <w:rPr>
          <w:rFonts w:asciiTheme="minorHAnsi" w:eastAsiaTheme="minorEastAsia" w:hAnsiTheme="minorHAnsi" w:cstheme="minorBidi"/>
          <w:sz w:val="22"/>
        </w:rPr>
      </w:pPr>
      <w:hyperlink w:anchor="_Toc68786393" w:history="1">
        <w:r w:rsidR="00242E8D" w:rsidRPr="00972364">
          <w:rPr>
            <w:rStyle w:val="Hyperlink"/>
          </w:rPr>
          <w:t xml:space="preserve">Table ES 4.1 </w:t>
        </w:r>
        <w:r w:rsidR="00242E8D">
          <w:rPr>
            <w:rFonts w:asciiTheme="minorHAnsi" w:eastAsiaTheme="minorEastAsia" w:hAnsiTheme="minorHAnsi" w:cstheme="minorBidi"/>
            <w:sz w:val="22"/>
          </w:rPr>
          <w:tab/>
        </w:r>
        <w:r w:rsidR="00242E8D" w:rsidRPr="00972364">
          <w:rPr>
            <w:rStyle w:val="Hyperlink"/>
          </w:rPr>
          <w:t>New Zealand’s gross emissions by sector in 1990 and 2019</w:t>
        </w:r>
        <w:r w:rsidR="00242E8D">
          <w:rPr>
            <w:webHidden/>
          </w:rPr>
          <w:tab/>
        </w:r>
        <w:r w:rsidR="00242E8D">
          <w:rPr>
            <w:webHidden/>
          </w:rPr>
          <w:fldChar w:fldCharType="begin"/>
        </w:r>
        <w:r w:rsidR="00242E8D">
          <w:rPr>
            <w:webHidden/>
          </w:rPr>
          <w:instrText xml:space="preserve"> PAGEREF _Toc68786393 \h </w:instrText>
        </w:r>
        <w:r w:rsidR="00242E8D">
          <w:rPr>
            <w:webHidden/>
          </w:rPr>
        </w:r>
        <w:r w:rsidR="00242E8D">
          <w:rPr>
            <w:webHidden/>
          </w:rPr>
          <w:fldChar w:fldCharType="separate"/>
        </w:r>
        <w:r w:rsidR="00B94D2F">
          <w:rPr>
            <w:webHidden/>
          </w:rPr>
          <w:t>8</w:t>
        </w:r>
        <w:r w:rsidR="00242E8D">
          <w:rPr>
            <w:webHidden/>
          </w:rPr>
          <w:fldChar w:fldCharType="end"/>
        </w:r>
      </w:hyperlink>
    </w:p>
    <w:p w14:paraId="09532614" w14:textId="1E0BBCB3" w:rsidR="00242E8D" w:rsidRDefault="00087879">
      <w:pPr>
        <w:pStyle w:val="TableofFigures"/>
        <w:rPr>
          <w:rFonts w:asciiTheme="minorHAnsi" w:eastAsiaTheme="minorEastAsia" w:hAnsiTheme="minorHAnsi" w:cstheme="minorBidi"/>
          <w:sz w:val="22"/>
        </w:rPr>
      </w:pPr>
      <w:hyperlink w:anchor="_Toc68786394" w:history="1">
        <w:r w:rsidR="00242E8D" w:rsidRPr="00972364">
          <w:rPr>
            <w:rStyle w:val="Hyperlink"/>
          </w:rPr>
          <w:t xml:space="preserve">Table ES 5.1(a) </w:t>
        </w:r>
        <w:r w:rsidR="00242E8D">
          <w:rPr>
            <w:rFonts w:asciiTheme="minorHAnsi" w:eastAsiaTheme="minorEastAsia" w:hAnsiTheme="minorHAnsi" w:cstheme="minorBidi"/>
            <w:sz w:val="22"/>
          </w:rPr>
          <w:tab/>
        </w:r>
        <w:r w:rsidR="00242E8D" w:rsidRPr="00972364">
          <w:rPr>
            <w:rStyle w:val="Hyperlink"/>
          </w:rPr>
          <w:t>New Zealand’s land-use areas for Afforestation and reforestation, Deforestation and Forest management</w:t>
        </w:r>
        <w:r w:rsidR="00242E8D">
          <w:rPr>
            <w:webHidden/>
          </w:rPr>
          <w:tab/>
        </w:r>
        <w:r w:rsidR="00242E8D">
          <w:rPr>
            <w:webHidden/>
          </w:rPr>
          <w:fldChar w:fldCharType="begin"/>
        </w:r>
        <w:r w:rsidR="00242E8D">
          <w:rPr>
            <w:webHidden/>
          </w:rPr>
          <w:instrText xml:space="preserve"> PAGEREF _Toc68786394 \h </w:instrText>
        </w:r>
        <w:r w:rsidR="00242E8D">
          <w:rPr>
            <w:webHidden/>
          </w:rPr>
        </w:r>
        <w:r w:rsidR="00242E8D">
          <w:rPr>
            <w:webHidden/>
          </w:rPr>
          <w:fldChar w:fldCharType="separate"/>
        </w:r>
        <w:r w:rsidR="00B94D2F">
          <w:rPr>
            <w:webHidden/>
          </w:rPr>
          <w:t>15</w:t>
        </w:r>
        <w:r w:rsidR="00242E8D">
          <w:rPr>
            <w:webHidden/>
          </w:rPr>
          <w:fldChar w:fldCharType="end"/>
        </w:r>
      </w:hyperlink>
    </w:p>
    <w:p w14:paraId="55E89246" w14:textId="603C38AA" w:rsidR="00242E8D" w:rsidRDefault="00087879">
      <w:pPr>
        <w:pStyle w:val="TableofFigures"/>
        <w:rPr>
          <w:rFonts w:asciiTheme="minorHAnsi" w:eastAsiaTheme="minorEastAsia" w:hAnsiTheme="minorHAnsi" w:cstheme="minorBidi"/>
          <w:sz w:val="22"/>
        </w:rPr>
      </w:pPr>
      <w:hyperlink w:anchor="_Toc68786395" w:history="1">
        <w:r w:rsidR="00242E8D" w:rsidRPr="00972364">
          <w:rPr>
            <w:rStyle w:val="Hyperlink"/>
          </w:rPr>
          <w:t xml:space="preserve">Table ES 5.1(b) </w:t>
        </w:r>
        <w:r w:rsidR="00242E8D">
          <w:rPr>
            <w:rFonts w:asciiTheme="minorHAnsi" w:eastAsiaTheme="minorEastAsia" w:hAnsiTheme="minorHAnsi" w:cstheme="minorBidi"/>
            <w:sz w:val="22"/>
          </w:rPr>
          <w:tab/>
        </w:r>
        <w:r w:rsidR="00242E8D" w:rsidRPr="00972364">
          <w:rPr>
            <w:rStyle w:val="Hyperlink"/>
          </w:rPr>
          <w:t>New Zealand’s net emissions and accounting quantity by year for Afforestation and reforestation, Deforestation and Forest management</w:t>
        </w:r>
        <w:r w:rsidR="00242E8D">
          <w:rPr>
            <w:webHidden/>
          </w:rPr>
          <w:tab/>
        </w:r>
        <w:r w:rsidR="00242E8D">
          <w:rPr>
            <w:webHidden/>
          </w:rPr>
          <w:fldChar w:fldCharType="begin"/>
        </w:r>
        <w:r w:rsidR="00242E8D">
          <w:rPr>
            <w:webHidden/>
          </w:rPr>
          <w:instrText xml:space="preserve"> PAGEREF _Toc68786395 \h </w:instrText>
        </w:r>
        <w:r w:rsidR="00242E8D">
          <w:rPr>
            <w:webHidden/>
          </w:rPr>
        </w:r>
        <w:r w:rsidR="00242E8D">
          <w:rPr>
            <w:webHidden/>
          </w:rPr>
          <w:fldChar w:fldCharType="separate"/>
        </w:r>
        <w:r w:rsidR="00B94D2F">
          <w:rPr>
            <w:webHidden/>
          </w:rPr>
          <w:t>16</w:t>
        </w:r>
        <w:r w:rsidR="00242E8D">
          <w:rPr>
            <w:webHidden/>
          </w:rPr>
          <w:fldChar w:fldCharType="end"/>
        </w:r>
      </w:hyperlink>
    </w:p>
    <w:p w14:paraId="56406C6F" w14:textId="785A77B6" w:rsidR="00242E8D" w:rsidRDefault="00087879">
      <w:pPr>
        <w:pStyle w:val="TableofFigures"/>
        <w:rPr>
          <w:rFonts w:asciiTheme="minorHAnsi" w:eastAsiaTheme="minorEastAsia" w:hAnsiTheme="minorHAnsi" w:cstheme="minorBidi"/>
          <w:sz w:val="22"/>
        </w:rPr>
      </w:pPr>
      <w:hyperlink w:anchor="_Toc68786396" w:history="1">
        <w:r w:rsidR="00242E8D" w:rsidRPr="00972364">
          <w:rPr>
            <w:rStyle w:val="Hyperlink"/>
          </w:rPr>
          <w:t xml:space="preserve">Table 1.5.1 </w:t>
        </w:r>
        <w:r w:rsidR="00242E8D">
          <w:rPr>
            <w:rFonts w:asciiTheme="minorHAnsi" w:eastAsiaTheme="minorEastAsia" w:hAnsiTheme="minorHAnsi" w:cstheme="minorBidi"/>
            <w:sz w:val="22"/>
          </w:rPr>
          <w:tab/>
        </w:r>
        <w:r w:rsidR="00242E8D" w:rsidRPr="00972364">
          <w:rPr>
            <w:rStyle w:val="Hyperlink"/>
          </w:rPr>
          <w:t>Summary of New Zealand’s key categories for the 2019 level assessment and the trend assessment for 1990 to 2019 (including and excluding LULUCF activities)</w:t>
        </w:r>
        <w:r w:rsidR="00242E8D">
          <w:rPr>
            <w:webHidden/>
          </w:rPr>
          <w:tab/>
        </w:r>
        <w:r w:rsidR="00242E8D">
          <w:rPr>
            <w:webHidden/>
          </w:rPr>
          <w:fldChar w:fldCharType="begin"/>
        </w:r>
        <w:r w:rsidR="00242E8D">
          <w:rPr>
            <w:webHidden/>
          </w:rPr>
          <w:instrText xml:space="preserve"> PAGEREF _Toc68786396 \h </w:instrText>
        </w:r>
        <w:r w:rsidR="00242E8D">
          <w:rPr>
            <w:webHidden/>
          </w:rPr>
        </w:r>
        <w:r w:rsidR="00242E8D">
          <w:rPr>
            <w:webHidden/>
          </w:rPr>
          <w:fldChar w:fldCharType="separate"/>
        </w:r>
        <w:r w:rsidR="00B94D2F">
          <w:rPr>
            <w:webHidden/>
          </w:rPr>
          <w:t>40</w:t>
        </w:r>
        <w:r w:rsidR="00242E8D">
          <w:rPr>
            <w:webHidden/>
          </w:rPr>
          <w:fldChar w:fldCharType="end"/>
        </w:r>
      </w:hyperlink>
    </w:p>
    <w:p w14:paraId="008CB279" w14:textId="04DE85A1" w:rsidR="00242E8D" w:rsidRDefault="00087879">
      <w:pPr>
        <w:pStyle w:val="TableofFigures"/>
        <w:rPr>
          <w:rFonts w:asciiTheme="minorHAnsi" w:eastAsiaTheme="minorEastAsia" w:hAnsiTheme="minorHAnsi" w:cstheme="minorBidi"/>
          <w:sz w:val="22"/>
        </w:rPr>
      </w:pPr>
      <w:hyperlink w:anchor="_Toc68786397" w:history="1">
        <w:r w:rsidR="00242E8D" w:rsidRPr="00972364">
          <w:rPr>
            <w:rStyle w:val="Hyperlink"/>
          </w:rPr>
          <w:t>Table 1.5.2(a &amp; b)</w:t>
        </w:r>
        <w:r w:rsidR="00242E8D">
          <w:rPr>
            <w:rFonts w:asciiTheme="minorHAnsi" w:eastAsiaTheme="minorEastAsia" w:hAnsiTheme="minorHAnsi" w:cstheme="minorBidi"/>
            <w:sz w:val="22"/>
          </w:rPr>
          <w:tab/>
        </w:r>
        <w:r w:rsidR="00242E8D" w:rsidRPr="00972364">
          <w:rPr>
            <w:rStyle w:val="Hyperlink"/>
          </w:rPr>
          <w:t>2019 level assessment for New Zealand’s key category analysis including LULUCF (a) and excluding LULUCF (b)</w:t>
        </w:r>
        <w:r w:rsidR="00242E8D">
          <w:rPr>
            <w:webHidden/>
          </w:rPr>
          <w:tab/>
        </w:r>
        <w:r w:rsidR="00242E8D">
          <w:rPr>
            <w:webHidden/>
          </w:rPr>
          <w:fldChar w:fldCharType="begin"/>
        </w:r>
        <w:r w:rsidR="00242E8D">
          <w:rPr>
            <w:webHidden/>
          </w:rPr>
          <w:instrText xml:space="preserve"> PAGEREF _Toc68786397 \h </w:instrText>
        </w:r>
        <w:r w:rsidR="00242E8D">
          <w:rPr>
            <w:webHidden/>
          </w:rPr>
        </w:r>
        <w:r w:rsidR="00242E8D">
          <w:rPr>
            <w:webHidden/>
          </w:rPr>
          <w:fldChar w:fldCharType="separate"/>
        </w:r>
        <w:r w:rsidR="00B94D2F">
          <w:rPr>
            <w:webHidden/>
          </w:rPr>
          <w:t>42</w:t>
        </w:r>
        <w:r w:rsidR="00242E8D">
          <w:rPr>
            <w:webHidden/>
          </w:rPr>
          <w:fldChar w:fldCharType="end"/>
        </w:r>
      </w:hyperlink>
    </w:p>
    <w:p w14:paraId="30A77EC2" w14:textId="47472CD2" w:rsidR="00242E8D" w:rsidRDefault="00087879">
      <w:pPr>
        <w:pStyle w:val="TableofFigures"/>
        <w:rPr>
          <w:rFonts w:asciiTheme="minorHAnsi" w:eastAsiaTheme="minorEastAsia" w:hAnsiTheme="minorHAnsi" w:cstheme="minorBidi"/>
          <w:sz w:val="22"/>
        </w:rPr>
      </w:pPr>
      <w:hyperlink w:anchor="_Toc68786398" w:history="1">
        <w:r w:rsidR="00242E8D" w:rsidRPr="00972364">
          <w:rPr>
            <w:rStyle w:val="Hyperlink"/>
          </w:rPr>
          <w:t xml:space="preserve">Table 1.5.3(a &amp; b) </w:t>
        </w:r>
        <w:r w:rsidR="00242E8D">
          <w:rPr>
            <w:rFonts w:asciiTheme="minorHAnsi" w:eastAsiaTheme="minorEastAsia" w:hAnsiTheme="minorHAnsi" w:cstheme="minorBidi"/>
            <w:sz w:val="22"/>
          </w:rPr>
          <w:tab/>
        </w:r>
        <w:r w:rsidR="00242E8D" w:rsidRPr="00972364">
          <w:rPr>
            <w:rStyle w:val="Hyperlink"/>
          </w:rPr>
          <w:t>1990–2019 trend assessment for New Zealand’s key category analysis including LULUCF (a) and excluding LULUCF (b)</w:t>
        </w:r>
        <w:r w:rsidR="00242E8D">
          <w:rPr>
            <w:webHidden/>
          </w:rPr>
          <w:tab/>
        </w:r>
        <w:r w:rsidR="00242E8D">
          <w:rPr>
            <w:webHidden/>
          </w:rPr>
          <w:fldChar w:fldCharType="begin"/>
        </w:r>
        <w:r w:rsidR="00242E8D">
          <w:rPr>
            <w:webHidden/>
          </w:rPr>
          <w:instrText xml:space="preserve"> PAGEREF _Toc68786398 \h </w:instrText>
        </w:r>
        <w:r w:rsidR="00242E8D">
          <w:rPr>
            <w:webHidden/>
          </w:rPr>
        </w:r>
        <w:r w:rsidR="00242E8D">
          <w:rPr>
            <w:webHidden/>
          </w:rPr>
          <w:fldChar w:fldCharType="separate"/>
        </w:r>
        <w:r w:rsidR="00B94D2F">
          <w:rPr>
            <w:webHidden/>
          </w:rPr>
          <w:t>44</w:t>
        </w:r>
        <w:r w:rsidR="00242E8D">
          <w:rPr>
            <w:webHidden/>
          </w:rPr>
          <w:fldChar w:fldCharType="end"/>
        </w:r>
      </w:hyperlink>
    </w:p>
    <w:p w14:paraId="24B6B82A" w14:textId="6622293C" w:rsidR="00242E8D" w:rsidRDefault="00087879">
      <w:pPr>
        <w:pStyle w:val="TableofFigures"/>
        <w:rPr>
          <w:rFonts w:asciiTheme="minorHAnsi" w:eastAsiaTheme="minorEastAsia" w:hAnsiTheme="minorHAnsi" w:cstheme="minorBidi"/>
          <w:sz w:val="22"/>
        </w:rPr>
      </w:pPr>
      <w:hyperlink w:anchor="_Toc68786399" w:history="1">
        <w:r w:rsidR="00242E8D" w:rsidRPr="00972364">
          <w:rPr>
            <w:rStyle w:val="Hyperlink"/>
          </w:rPr>
          <w:t xml:space="preserve">Table 1.9.1 </w:t>
        </w:r>
        <w:r w:rsidR="00242E8D">
          <w:rPr>
            <w:rFonts w:asciiTheme="minorHAnsi" w:eastAsiaTheme="minorEastAsia" w:hAnsiTheme="minorHAnsi" w:cstheme="minorBidi"/>
            <w:sz w:val="22"/>
          </w:rPr>
          <w:tab/>
        </w:r>
        <w:r w:rsidR="00242E8D" w:rsidRPr="00972364">
          <w:rPr>
            <w:rStyle w:val="Hyperlink"/>
          </w:rPr>
          <w:t>Dates for sector entry into the New Zealand Emissions Trading Scheme</w:t>
        </w:r>
        <w:r w:rsidR="00242E8D">
          <w:rPr>
            <w:webHidden/>
          </w:rPr>
          <w:tab/>
        </w:r>
        <w:r w:rsidR="00242E8D">
          <w:rPr>
            <w:webHidden/>
          </w:rPr>
          <w:fldChar w:fldCharType="begin"/>
        </w:r>
        <w:r w:rsidR="00242E8D">
          <w:rPr>
            <w:webHidden/>
          </w:rPr>
          <w:instrText xml:space="preserve"> PAGEREF _Toc68786399 \h </w:instrText>
        </w:r>
        <w:r w:rsidR="00242E8D">
          <w:rPr>
            <w:webHidden/>
          </w:rPr>
        </w:r>
        <w:r w:rsidR="00242E8D">
          <w:rPr>
            <w:webHidden/>
          </w:rPr>
          <w:fldChar w:fldCharType="separate"/>
        </w:r>
        <w:r w:rsidR="00B94D2F">
          <w:rPr>
            <w:webHidden/>
          </w:rPr>
          <w:t>52</w:t>
        </w:r>
        <w:r w:rsidR="00242E8D">
          <w:rPr>
            <w:webHidden/>
          </w:rPr>
          <w:fldChar w:fldCharType="end"/>
        </w:r>
      </w:hyperlink>
    </w:p>
    <w:p w14:paraId="10C3E084" w14:textId="321253FF" w:rsidR="00242E8D" w:rsidRDefault="00087879">
      <w:pPr>
        <w:pStyle w:val="TableofFigures"/>
        <w:rPr>
          <w:rFonts w:asciiTheme="minorHAnsi" w:eastAsiaTheme="minorEastAsia" w:hAnsiTheme="minorHAnsi" w:cstheme="minorBidi"/>
          <w:sz w:val="22"/>
        </w:rPr>
      </w:pPr>
      <w:hyperlink w:anchor="_Toc68786400" w:history="1">
        <w:r w:rsidR="00242E8D" w:rsidRPr="00972364">
          <w:rPr>
            <w:rStyle w:val="Hyperlink"/>
          </w:rPr>
          <w:t>Table 2.2.1</w:t>
        </w:r>
        <w:r w:rsidR="00242E8D">
          <w:rPr>
            <w:rFonts w:asciiTheme="minorHAnsi" w:eastAsiaTheme="minorEastAsia" w:hAnsiTheme="minorHAnsi" w:cstheme="minorBidi"/>
            <w:sz w:val="22"/>
          </w:rPr>
          <w:tab/>
        </w:r>
        <w:r w:rsidR="00242E8D" w:rsidRPr="00972364">
          <w:rPr>
            <w:rStyle w:val="Hyperlink"/>
          </w:rPr>
          <w:t>New Zealand’s emissions by sector between 1990 and 2019</w:t>
        </w:r>
        <w:r w:rsidR="00242E8D">
          <w:rPr>
            <w:webHidden/>
          </w:rPr>
          <w:tab/>
        </w:r>
        <w:r w:rsidR="00242E8D">
          <w:rPr>
            <w:webHidden/>
          </w:rPr>
          <w:fldChar w:fldCharType="begin"/>
        </w:r>
        <w:r w:rsidR="00242E8D">
          <w:rPr>
            <w:webHidden/>
          </w:rPr>
          <w:instrText xml:space="preserve"> PAGEREF _Toc68786400 \h </w:instrText>
        </w:r>
        <w:r w:rsidR="00242E8D">
          <w:rPr>
            <w:webHidden/>
          </w:rPr>
        </w:r>
        <w:r w:rsidR="00242E8D">
          <w:rPr>
            <w:webHidden/>
          </w:rPr>
          <w:fldChar w:fldCharType="separate"/>
        </w:r>
        <w:r w:rsidR="00B94D2F">
          <w:rPr>
            <w:webHidden/>
          </w:rPr>
          <w:t>64</w:t>
        </w:r>
        <w:r w:rsidR="00242E8D">
          <w:rPr>
            <w:webHidden/>
          </w:rPr>
          <w:fldChar w:fldCharType="end"/>
        </w:r>
      </w:hyperlink>
    </w:p>
    <w:p w14:paraId="4588DB17" w14:textId="5590B6AC" w:rsidR="00242E8D" w:rsidRDefault="00087879">
      <w:pPr>
        <w:pStyle w:val="TableofFigures"/>
        <w:rPr>
          <w:rFonts w:asciiTheme="minorHAnsi" w:eastAsiaTheme="minorEastAsia" w:hAnsiTheme="minorHAnsi" w:cstheme="minorBidi"/>
          <w:sz w:val="22"/>
        </w:rPr>
      </w:pPr>
      <w:hyperlink w:anchor="_Toc68786401" w:history="1">
        <w:r w:rsidR="00242E8D" w:rsidRPr="00972364">
          <w:rPr>
            <w:rStyle w:val="Hyperlink"/>
          </w:rPr>
          <w:t xml:space="preserve">Table 2.2.2 </w:t>
        </w:r>
        <w:r w:rsidR="00242E8D">
          <w:rPr>
            <w:rFonts w:asciiTheme="minorHAnsi" w:eastAsiaTheme="minorEastAsia" w:hAnsiTheme="minorHAnsi" w:cstheme="minorBidi"/>
            <w:sz w:val="22"/>
          </w:rPr>
          <w:tab/>
        </w:r>
        <w:r w:rsidR="00242E8D" w:rsidRPr="00972364">
          <w:rPr>
            <w:rStyle w:val="Hyperlink"/>
          </w:rPr>
          <w:t>Emissions from Tokelau</w:t>
        </w:r>
        <w:r w:rsidR="00242E8D">
          <w:rPr>
            <w:webHidden/>
          </w:rPr>
          <w:tab/>
        </w:r>
        <w:r w:rsidR="00242E8D">
          <w:rPr>
            <w:webHidden/>
          </w:rPr>
          <w:fldChar w:fldCharType="begin"/>
        </w:r>
        <w:r w:rsidR="00242E8D">
          <w:rPr>
            <w:webHidden/>
          </w:rPr>
          <w:instrText xml:space="preserve"> PAGEREF _Toc68786401 \h </w:instrText>
        </w:r>
        <w:r w:rsidR="00242E8D">
          <w:rPr>
            <w:webHidden/>
          </w:rPr>
        </w:r>
        <w:r w:rsidR="00242E8D">
          <w:rPr>
            <w:webHidden/>
          </w:rPr>
          <w:fldChar w:fldCharType="separate"/>
        </w:r>
        <w:r w:rsidR="00B94D2F">
          <w:rPr>
            <w:webHidden/>
          </w:rPr>
          <w:t>76</w:t>
        </w:r>
        <w:r w:rsidR="00242E8D">
          <w:rPr>
            <w:webHidden/>
          </w:rPr>
          <w:fldChar w:fldCharType="end"/>
        </w:r>
      </w:hyperlink>
    </w:p>
    <w:p w14:paraId="2E49ED37" w14:textId="05148E5A" w:rsidR="00242E8D" w:rsidRDefault="00087879">
      <w:pPr>
        <w:pStyle w:val="TableofFigures"/>
        <w:rPr>
          <w:rFonts w:asciiTheme="minorHAnsi" w:eastAsiaTheme="minorEastAsia" w:hAnsiTheme="minorHAnsi" w:cstheme="minorBidi"/>
          <w:sz w:val="22"/>
        </w:rPr>
      </w:pPr>
      <w:hyperlink w:anchor="_Toc68786402" w:history="1">
        <w:r w:rsidR="00242E8D" w:rsidRPr="00972364">
          <w:rPr>
            <w:rStyle w:val="Hyperlink"/>
          </w:rPr>
          <w:t xml:space="preserve">Table 2.3.1 </w:t>
        </w:r>
        <w:r w:rsidR="00242E8D">
          <w:rPr>
            <w:rFonts w:asciiTheme="minorHAnsi" w:eastAsiaTheme="minorEastAsia" w:hAnsiTheme="minorHAnsi" w:cstheme="minorBidi"/>
            <w:sz w:val="22"/>
          </w:rPr>
          <w:tab/>
        </w:r>
        <w:r w:rsidR="00242E8D" w:rsidRPr="00972364">
          <w:rPr>
            <w:rStyle w:val="Hyperlink"/>
          </w:rPr>
          <w:t>New Zealand’s net emissions and removals from land subject to activities</w:t>
        </w:r>
        <w:r w:rsidR="00095C0D">
          <w:rPr>
            <w:rStyle w:val="Hyperlink"/>
          </w:rPr>
          <w:t xml:space="preserve"> </w:t>
        </w:r>
        <w:r w:rsidR="00242E8D" w:rsidRPr="00972364">
          <w:rPr>
            <w:rStyle w:val="Hyperlink"/>
          </w:rPr>
          <w:t>under Article 3.3 and Forest management under Article 3.4 of the Kyoto Protocol</w:t>
        </w:r>
        <w:r w:rsidR="00242E8D">
          <w:rPr>
            <w:webHidden/>
          </w:rPr>
          <w:tab/>
        </w:r>
        <w:r w:rsidR="00242E8D">
          <w:rPr>
            <w:webHidden/>
          </w:rPr>
          <w:fldChar w:fldCharType="begin"/>
        </w:r>
        <w:r w:rsidR="00242E8D">
          <w:rPr>
            <w:webHidden/>
          </w:rPr>
          <w:instrText xml:space="preserve"> PAGEREF _Toc68786402 \h </w:instrText>
        </w:r>
        <w:r w:rsidR="00242E8D">
          <w:rPr>
            <w:webHidden/>
          </w:rPr>
        </w:r>
        <w:r w:rsidR="00242E8D">
          <w:rPr>
            <w:webHidden/>
          </w:rPr>
          <w:fldChar w:fldCharType="separate"/>
        </w:r>
        <w:r w:rsidR="00B94D2F">
          <w:rPr>
            <w:webHidden/>
          </w:rPr>
          <w:t>79</w:t>
        </w:r>
        <w:r w:rsidR="00242E8D">
          <w:rPr>
            <w:webHidden/>
          </w:rPr>
          <w:fldChar w:fldCharType="end"/>
        </w:r>
      </w:hyperlink>
    </w:p>
    <w:p w14:paraId="651E2FB2" w14:textId="71B0832A" w:rsidR="00242E8D" w:rsidRDefault="00087879">
      <w:pPr>
        <w:pStyle w:val="TableofFigures"/>
        <w:rPr>
          <w:rFonts w:asciiTheme="minorHAnsi" w:eastAsiaTheme="minorEastAsia" w:hAnsiTheme="minorHAnsi" w:cstheme="minorBidi"/>
          <w:sz w:val="22"/>
        </w:rPr>
      </w:pPr>
      <w:hyperlink w:anchor="_Toc68786403" w:history="1">
        <w:r w:rsidR="00242E8D" w:rsidRPr="00972364">
          <w:rPr>
            <w:rStyle w:val="Hyperlink"/>
          </w:rPr>
          <w:t xml:space="preserve">Table 3.1.1 </w:t>
        </w:r>
        <w:r w:rsidR="00242E8D">
          <w:rPr>
            <w:rFonts w:asciiTheme="minorHAnsi" w:eastAsiaTheme="minorEastAsia" w:hAnsiTheme="minorHAnsi" w:cstheme="minorBidi"/>
            <w:sz w:val="22"/>
          </w:rPr>
          <w:tab/>
        </w:r>
        <w:r w:rsidR="00242E8D" w:rsidRPr="00972364">
          <w:rPr>
            <w:rStyle w:val="Hyperlink"/>
          </w:rPr>
          <w:t>Key categories in the Energy sector</w:t>
        </w:r>
        <w:r w:rsidR="00242E8D">
          <w:rPr>
            <w:webHidden/>
          </w:rPr>
          <w:tab/>
        </w:r>
        <w:r w:rsidR="00242E8D">
          <w:rPr>
            <w:webHidden/>
          </w:rPr>
          <w:fldChar w:fldCharType="begin"/>
        </w:r>
        <w:r w:rsidR="00242E8D">
          <w:rPr>
            <w:webHidden/>
          </w:rPr>
          <w:instrText xml:space="preserve"> PAGEREF _Toc68786403 \h </w:instrText>
        </w:r>
        <w:r w:rsidR="00242E8D">
          <w:rPr>
            <w:webHidden/>
          </w:rPr>
        </w:r>
        <w:r w:rsidR="00242E8D">
          <w:rPr>
            <w:webHidden/>
          </w:rPr>
          <w:fldChar w:fldCharType="separate"/>
        </w:r>
        <w:r w:rsidR="00B94D2F">
          <w:rPr>
            <w:webHidden/>
          </w:rPr>
          <w:t>84</w:t>
        </w:r>
        <w:r w:rsidR="00242E8D">
          <w:rPr>
            <w:webHidden/>
          </w:rPr>
          <w:fldChar w:fldCharType="end"/>
        </w:r>
      </w:hyperlink>
    </w:p>
    <w:p w14:paraId="52189BE6" w14:textId="1CF8A3F4" w:rsidR="00242E8D" w:rsidRDefault="00087879">
      <w:pPr>
        <w:pStyle w:val="TableofFigures"/>
        <w:rPr>
          <w:rFonts w:asciiTheme="minorHAnsi" w:eastAsiaTheme="minorEastAsia" w:hAnsiTheme="minorHAnsi" w:cstheme="minorBidi"/>
          <w:sz w:val="22"/>
        </w:rPr>
      </w:pPr>
      <w:hyperlink w:anchor="_Toc68786404" w:history="1">
        <w:r w:rsidR="00242E8D" w:rsidRPr="00972364">
          <w:rPr>
            <w:rStyle w:val="Hyperlink"/>
          </w:rPr>
          <w:t xml:space="preserve">Table 3.2.1 </w:t>
        </w:r>
        <w:r w:rsidR="00242E8D">
          <w:rPr>
            <w:rFonts w:asciiTheme="minorHAnsi" w:eastAsiaTheme="minorEastAsia" w:hAnsiTheme="minorHAnsi" w:cstheme="minorBidi"/>
            <w:sz w:val="22"/>
          </w:rPr>
          <w:tab/>
        </w:r>
        <w:r w:rsidR="00242E8D" w:rsidRPr="00972364">
          <w:rPr>
            <w:rStyle w:val="Hyperlink"/>
          </w:rPr>
          <w:t>Use of natural gas as a feedstock in New Zealand</w:t>
        </w:r>
        <w:r w:rsidR="00242E8D">
          <w:rPr>
            <w:webHidden/>
          </w:rPr>
          <w:tab/>
        </w:r>
        <w:r w:rsidR="00242E8D">
          <w:rPr>
            <w:webHidden/>
          </w:rPr>
          <w:fldChar w:fldCharType="begin"/>
        </w:r>
        <w:r w:rsidR="00242E8D">
          <w:rPr>
            <w:webHidden/>
          </w:rPr>
          <w:instrText xml:space="preserve"> PAGEREF _Toc68786404 \h </w:instrText>
        </w:r>
        <w:r w:rsidR="00242E8D">
          <w:rPr>
            <w:webHidden/>
          </w:rPr>
        </w:r>
        <w:r w:rsidR="00242E8D">
          <w:rPr>
            <w:webHidden/>
          </w:rPr>
          <w:fldChar w:fldCharType="separate"/>
        </w:r>
        <w:r w:rsidR="00B94D2F">
          <w:rPr>
            <w:webHidden/>
          </w:rPr>
          <w:t>86</w:t>
        </w:r>
        <w:r w:rsidR="00242E8D">
          <w:rPr>
            <w:webHidden/>
          </w:rPr>
          <w:fldChar w:fldCharType="end"/>
        </w:r>
      </w:hyperlink>
    </w:p>
    <w:p w14:paraId="1521B766" w14:textId="3D132C3A" w:rsidR="00242E8D" w:rsidRDefault="00087879">
      <w:pPr>
        <w:pStyle w:val="TableofFigures"/>
        <w:rPr>
          <w:rFonts w:asciiTheme="minorHAnsi" w:eastAsiaTheme="minorEastAsia" w:hAnsiTheme="minorHAnsi" w:cstheme="minorBidi"/>
          <w:sz w:val="22"/>
        </w:rPr>
      </w:pPr>
      <w:hyperlink w:anchor="_Toc68786405" w:history="1">
        <w:r w:rsidR="00242E8D" w:rsidRPr="00972364">
          <w:rPr>
            <w:rStyle w:val="Hyperlink"/>
          </w:rPr>
          <w:t>Table 3.3.1</w:t>
        </w:r>
        <w:r w:rsidR="00242E8D">
          <w:rPr>
            <w:rFonts w:asciiTheme="minorHAnsi" w:eastAsiaTheme="minorEastAsia" w:hAnsiTheme="minorHAnsi" w:cstheme="minorBidi"/>
            <w:sz w:val="22"/>
          </w:rPr>
          <w:tab/>
        </w:r>
        <w:r w:rsidR="00242E8D" w:rsidRPr="00972364">
          <w:rPr>
            <w:rStyle w:val="Hyperlink"/>
          </w:rPr>
          <w:t>Uncertainty for New Zealand’s Energy sector emission estimates for 2019</w:t>
        </w:r>
        <w:r w:rsidR="00242E8D">
          <w:rPr>
            <w:webHidden/>
          </w:rPr>
          <w:tab/>
        </w:r>
        <w:r w:rsidR="00242E8D">
          <w:rPr>
            <w:webHidden/>
          </w:rPr>
          <w:fldChar w:fldCharType="begin"/>
        </w:r>
        <w:r w:rsidR="00242E8D">
          <w:rPr>
            <w:webHidden/>
          </w:rPr>
          <w:instrText xml:space="preserve"> PAGEREF _Toc68786405 \h </w:instrText>
        </w:r>
        <w:r w:rsidR="00242E8D">
          <w:rPr>
            <w:webHidden/>
          </w:rPr>
        </w:r>
        <w:r w:rsidR="00242E8D">
          <w:rPr>
            <w:webHidden/>
          </w:rPr>
          <w:fldChar w:fldCharType="separate"/>
        </w:r>
        <w:r w:rsidR="00B94D2F">
          <w:rPr>
            <w:webHidden/>
          </w:rPr>
          <w:t>97</w:t>
        </w:r>
        <w:r w:rsidR="00242E8D">
          <w:rPr>
            <w:webHidden/>
          </w:rPr>
          <w:fldChar w:fldCharType="end"/>
        </w:r>
      </w:hyperlink>
    </w:p>
    <w:p w14:paraId="49858CA9" w14:textId="15FF73B0" w:rsidR="00242E8D" w:rsidRDefault="00087879">
      <w:pPr>
        <w:pStyle w:val="TableofFigures"/>
        <w:rPr>
          <w:rFonts w:asciiTheme="minorHAnsi" w:eastAsiaTheme="minorEastAsia" w:hAnsiTheme="minorHAnsi" w:cstheme="minorBidi"/>
          <w:sz w:val="22"/>
        </w:rPr>
      </w:pPr>
      <w:hyperlink w:anchor="_Toc68786406" w:history="1">
        <w:r w:rsidR="00242E8D" w:rsidRPr="00972364">
          <w:rPr>
            <w:rStyle w:val="Hyperlink"/>
          </w:rPr>
          <w:t>Table 3.3.2</w:t>
        </w:r>
        <w:r w:rsidR="00242E8D">
          <w:rPr>
            <w:rFonts w:asciiTheme="minorHAnsi" w:eastAsiaTheme="minorEastAsia" w:hAnsiTheme="minorHAnsi" w:cstheme="minorBidi"/>
            <w:sz w:val="22"/>
          </w:rPr>
          <w:tab/>
        </w:r>
        <w:r w:rsidR="00242E8D" w:rsidRPr="00972364">
          <w:rPr>
            <w:rStyle w:val="Hyperlink"/>
          </w:rPr>
          <w:t>Key categories for 1.A.1 Energy industries</w:t>
        </w:r>
        <w:r w:rsidR="00242E8D">
          <w:rPr>
            <w:webHidden/>
          </w:rPr>
          <w:tab/>
        </w:r>
        <w:r w:rsidR="00242E8D">
          <w:rPr>
            <w:webHidden/>
          </w:rPr>
          <w:fldChar w:fldCharType="begin"/>
        </w:r>
        <w:r w:rsidR="00242E8D">
          <w:rPr>
            <w:webHidden/>
          </w:rPr>
          <w:instrText xml:space="preserve"> PAGEREF _Toc68786406 \h </w:instrText>
        </w:r>
        <w:r w:rsidR="00242E8D">
          <w:rPr>
            <w:webHidden/>
          </w:rPr>
        </w:r>
        <w:r w:rsidR="00242E8D">
          <w:rPr>
            <w:webHidden/>
          </w:rPr>
          <w:fldChar w:fldCharType="separate"/>
        </w:r>
        <w:r w:rsidR="00B94D2F">
          <w:rPr>
            <w:webHidden/>
          </w:rPr>
          <w:t>98</w:t>
        </w:r>
        <w:r w:rsidR="00242E8D">
          <w:rPr>
            <w:webHidden/>
          </w:rPr>
          <w:fldChar w:fldCharType="end"/>
        </w:r>
      </w:hyperlink>
    </w:p>
    <w:p w14:paraId="2372099C" w14:textId="70AFB9A2" w:rsidR="00242E8D" w:rsidRDefault="00087879">
      <w:pPr>
        <w:pStyle w:val="TableofFigures"/>
        <w:rPr>
          <w:rFonts w:asciiTheme="minorHAnsi" w:eastAsiaTheme="minorEastAsia" w:hAnsiTheme="minorHAnsi" w:cstheme="minorBidi"/>
          <w:sz w:val="22"/>
        </w:rPr>
      </w:pPr>
      <w:hyperlink w:anchor="_Toc68786407" w:history="1">
        <w:r w:rsidR="00242E8D" w:rsidRPr="00972364">
          <w:rPr>
            <w:rStyle w:val="Hyperlink"/>
          </w:rPr>
          <w:t>Table 3.3.3</w:t>
        </w:r>
        <w:r w:rsidR="00242E8D">
          <w:rPr>
            <w:rFonts w:asciiTheme="minorHAnsi" w:eastAsiaTheme="minorEastAsia" w:hAnsiTheme="minorHAnsi" w:cstheme="minorBidi"/>
            <w:sz w:val="22"/>
          </w:rPr>
          <w:tab/>
        </w:r>
        <w:r w:rsidR="00242E8D" w:rsidRPr="00972364">
          <w:rPr>
            <w:rStyle w:val="Hyperlink"/>
          </w:rPr>
          <w:t>Key categories for 1.A.2 Manufacturing industries and construction</w:t>
        </w:r>
        <w:r w:rsidR="00242E8D">
          <w:rPr>
            <w:webHidden/>
          </w:rPr>
          <w:tab/>
        </w:r>
        <w:r w:rsidR="00242E8D">
          <w:rPr>
            <w:webHidden/>
          </w:rPr>
          <w:fldChar w:fldCharType="begin"/>
        </w:r>
        <w:r w:rsidR="00242E8D">
          <w:rPr>
            <w:webHidden/>
          </w:rPr>
          <w:instrText xml:space="preserve"> PAGEREF _Toc68786407 \h </w:instrText>
        </w:r>
        <w:r w:rsidR="00242E8D">
          <w:rPr>
            <w:webHidden/>
          </w:rPr>
        </w:r>
        <w:r w:rsidR="00242E8D">
          <w:rPr>
            <w:webHidden/>
          </w:rPr>
          <w:fldChar w:fldCharType="separate"/>
        </w:r>
        <w:r w:rsidR="00B94D2F">
          <w:rPr>
            <w:webHidden/>
          </w:rPr>
          <w:t>102</w:t>
        </w:r>
        <w:r w:rsidR="00242E8D">
          <w:rPr>
            <w:webHidden/>
          </w:rPr>
          <w:fldChar w:fldCharType="end"/>
        </w:r>
      </w:hyperlink>
    </w:p>
    <w:p w14:paraId="68E773D2" w14:textId="3A35B37D" w:rsidR="00242E8D" w:rsidRDefault="00087879">
      <w:pPr>
        <w:pStyle w:val="TableofFigures"/>
        <w:rPr>
          <w:rFonts w:asciiTheme="minorHAnsi" w:eastAsiaTheme="minorEastAsia" w:hAnsiTheme="minorHAnsi" w:cstheme="minorBidi"/>
          <w:sz w:val="22"/>
        </w:rPr>
      </w:pPr>
      <w:hyperlink w:anchor="_Toc68786408" w:history="1">
        <w:r w:rsidR="00242E8D" w:rsidRPr="00972364">
          <w:rPr>
            <w:rStyle w:val="Hyperlink"/>
          </w:rPr>
          <w:t xml:space="preserve">Table 3.3.4 </w:t>
        </w:r>
        <w:r w:rsidR="00242E8D">
          <w:rPr>
            <w:rFonts w:asciiTheme="minorHAnsi" w:eastAsiaTheme="minorEastAsia" w:hAnsiTheme="minorHAnsi" w:cstheme="minorBidi"/>
            <w:sz w:val="22"/>
          </w:rPr>
          <w:tab/>
        </w:r>
        <w:r w:rsidR="00242E8D" w:rsidRPr="00972364">
          <w:rPr>
            <w:rStyle w:val="Hyperlink"/>
          </w:rPr>
          <w:t>Solid biomass splits for 2006 that were used to disaggregate the Manufacturing industries and construction category between 1990 and 2019</w:t>
        </w:r>
        <w:r w:rsidR="00242E8D">
          <w:rPr>
            <w:webHidden/>
          </w:rPr>
          <w:tab/>
        </w:r>
        <w:r w:rsidR="00242E8D">
          <w:rPr>
            <w:webHidden/>
          </w:rPr>
          <w:fldChar w:fldCharType="begin"/>
        </w:r>
        <w:r w:rsidR="00242E8D">
          <w:rPr>
            <w:webHidden/>
          </w:rPr>
          <w:instrText xml:space="preserve"> PAGEREF _Toc68786408 \h </w:instrText>
        </w:r>
        <w:r w:rsidR="00242E8D">
          <w:rPr>
            <w:webHidden/>
          </w:rPr>
        </w:r>
        <w:r w:rsidR="00242E8D">
          <w:rPr>
            <w:webHidden/>
          </w:rPr>
          <w:fldChar w:fldCharType="separate"/>
        </w:r>
        <w:r w:rsidR="00B94D2F">
          <w:rPr>
            <w:webHidden/>
          </w:rPr>
          <w:t>103</w:t>
        </w:r>
        <w:r w:rsidR="00242E8D">
          <w:rPr>
            <w:webHidden/>
          </w:rPr>
          <w:fldChar w:fldCharType="end"/>
        </w:r>
      </w:hyperlink>
    </w:p>
    <w:p w14:paraId="12532A71" w14:textId="0C852ED9" w:rsidR="00242E8D" w:rsidRDefault="00087879">
      <w:pPr>
        <w:pStyle w:val="TableofFigures"/>
        <w:rPr>
          <w:rFonts w:asciiTheme="minorHAnsi" w:eastAsiaTheme="minorEastAsia" w:hAnsiTheme="minorHAnsi" w:cstheme="minorBidi"/>
          <w:sz w:val="22"/>
        </w:rPr>
      </w:pPr>
      <w:hyperlink w:anchor="_Toc68786409" w:history="1">
        <w:r w:rsidR="00242E8D" w:rsidRPr="00972364">
          <w:rPr>
            <w:rStyle w:val="Hyperlink"/>
          </w:rPr>
          <w:t xml:space="preserve">Table 3.3.5 </w:t>
        </w:r>
        <w:r w:rsidR="00242E8D">
          <w:rPr>
            <w:rFonts w:asciiTheme="minorHAnsi" w:eastAsiaTheme="minorEastAsia" w:hAnsiTheme="minorHAnsi" w:cstheme="minorBidi"/>
            <w:sz w:val="22"/>
          </w:rPr>
          <w:tab/>
        </w:r>
        <w:r w:rsidR="00242E8D" w:rsidRPr="00972364">
          <w:rPr>
            <w:rStyle w:val="Hyperlink"/>
          </w:rPr>
          <w:t>Energy intensity values used to disaggregate liquid fuel use for manufacturing (gigajoules per gross domestic product index)</w:t>
        </w:r>
        <w:r w:rsidR="00242E8D">
          <w:rPr>
            <w:webHidden/>
          </w:rPr>
          <w:tab/>
        </w:r>
        <w:r w:rsidR="00242E8D">
          <w:rPr>
            <w:webHidden/>
          </w:rPr>
          <w:fldChar w:fldCharType="begin"/>
        </w:r>
        <w:r w:rsidR="00242E8D">
          <w:rPr>
            <w:webHidden/>
          </w:rPr>
          <w:instrText xml:space="preserve"> PAGEREF _Toc68786409 \h </w:instrText>
        </w:r>
        <w:r w:rsidR="00242E8D">
          <w:rPr>
            <w:webHidden/>
          </w:rPr>
        </w:r>
        <w:r w:rsidR="00242E8D">
          <w:rPr>
            <w:webHidden/>
          </w:rPr>
          <w:fldChar w:fldCharType="separate"/>
        </w:r>
        <w:r w:rsidR="00B94D2F">
          <w:rPr>
            <w:webHidden/>
          </w:rPr>
          <w:t>104</w:t>
        </w:r>
        <w:r w:rsidR="00242E8D">
          <w:rPr>
            <w:webHidden/>
          </w:rPr>
          <w:fldChar w:fldCharType="end"/>
        </w:r>
      </w:hyperlink>
    </w:p>
    <w:p w14:paraId="1B8FDACA" w14:textId="2A040262" w:rsidR="00242E8D" w:rsidRDefault="00087879">
      <w:pPr>
        <w:pStyle w:val="TableofFigures"/>
        <w:rPr>
          <w:rFonts w:asciiTheme="minorHAnsi" w:eastAsiaTheme="minorEastAsia" w:hAnsiTheme="minorHAnsi" w:cstheme="minorBidi"/>
          <w:sz w:val="22"/>
        </w:rPr>
      </w:pPr>
      <w:hyperlink w:anchor="_Toc68786410" w:history="1">
        <w:r w:rsidR="00242E8D" w:rsidRPr="00972364">
          <w:rPr>
            <w:rStyle w:val="Hyperlink"/>
          </w:rPr>
          <w:t>Table 3.3.6</w:t>
        </w:r>
        <w:r w:rsidR="00242E8D">
          <w:rPr>
            <w:rFonts w:asciiTheme="minorHAnsi" w:eastAsiaTheme="minorEastAsia" w:hAnsiTheme="minorHAnsi" w:cstheme="minorBidi"/>
            <w:sz w:val="22"/>
          </w:rPr>
          <w:tab/>
        </w:r>
        <w:r w:rsidR="00242E8D" w:rsidRPr="00972364">
          <w:rPr>
            <w:rStyle w:val="Hyperlink"/>
          </w:rPr>
          <w:t>Key categories for 1.A.3 Transport</w:t>
        </w:r>
        <w:r w:rsidR="00242E8D">
          <w:rPr>
            <w:webHidden/>
          </w:rPr>
          <w:tab/>
        </w:r>
        <w:r w:rsidR="00242E8D">
          <w:rPr>
            <w:webHidden/>
          </w:rPr>
          <w:fldChar w:fldCharType="begin"/>
        </w:r>
        <w:r w:rsidR="00242E8D">
          <w:rPr>
            <w:webHidden/>
          </w:rPr>
          <w:instrText xml:space="preserve"> PAGEREF _Toc68786410 \h </w:instrText>
        </w:r>
        <w:r w:rsidR="00242E8D">
          <w:rPr>
            <w:webHidden/>
          </w:rPr>
        </w:r>
        <w:r w:rsidR="00242E8D">
          <w:rPr>
            <w:webHidden/>
          </w:rPr>
          <w:fldChar w:fldCharType="separate"/>
        </w:r>
        <w:r w:rsidR="00B94D2F">
          <w:rPr>
            <w:webHidden/>
          </w:rPr>
          <w:t>108</w:t>
        </w:r>
        <w:r w:rsidR="00242E8D">
          <w:rPr>
            <w:webHidden/>
          </w:rPr>
          <w:fldChar w:fldCharType="end"/>
        </w:r>
      </w:hyperlink>
    </w:p>
    <w:p w14:paraId="78C93186" w14:textId="772BC4BA" w:rsidR="00242E8D" w:rsidRDefault="00087879">
      <w:pPr>
        <w:pStyle w:val="TableofFigures"/>
        <w:rPr>
          <w:rFonts w:asciiTheme="minorHAnsi" w:eastAsiaTheme="minorEastAsia" w:hAnsiTheme="minorHAnsi" w:cstheme="minorBidi"/>
          <w:sz w:val="22"/>
        </w:rPr>
      </w:pPr>
      <w:hyperlink w:anchor="_Toc68786411" w:history="1">
        <w:r w:rsidR="00242E8D" w:rsidRPr="00972364">
          <w:rPr>
            <w:rStyle w:val="Hyperlink"/>
          </w:rPr>
          <w:t>Table 3.3.7</w:t>
        </w:r>
        <w:r w:rsidR="00242E8D">
          <w:rPr>
            <w:rFonts w:asciiTheme="minorHAnsi" w:eastAsiaTheme="minorEastAsia" w:hAnsiTheme="minorHAnsi" w:cstheme="minorBidi"/>
            <w:sz w:val="22"/>
          </w:rPr>
          <w:tab/>
        </w:r>
        <w:r w:rsidR="00242E8D" w:rsidRPr="00972364">
          <w:rPr>
            <w:rStyle w:val="Hyperlink"/>
          </w:rPr>
          <w:t xml:space="preserve">Key categories for 1.A.4 </w:t>
        </w:r>
        <w:r w:rsidR="00242E8D" w:rsidRPr="00972364">
          <w:rPr>
            <w:rStyle w:val="Hyperlink"/>
            <w:lang w:eastAsia="en-GB"/>
          </w:rPr>
          <w:t>Other sectors</w:t>
        </w:r>
        <w:r w:rsidR="00242E8D">
          <w:rPr>
            <w:webHidden/>
          </w:rPr>
          <w:tab/>
        </w:r>
        <w:r w:rsidR="00242E8D">
          <w:rPr>
            <w:webHidden/>
          </w:rPr>
          <w:fldChar w:fldCharType="begin"/>
        </w:r>
        <w:r w:rsidR="00242E8D">
          <w:rPr>
            <w:webHidden/>
          </w:rPr>
          <w:instrText xml:space="preserve"> PAGEREF _Toc68786411 \h </w:instrText>
        </w:r>
        <w:r w:rsidR="00242E8D">
          <w:rPr>
            <w:webHidden/>
          </w:rPr>
        </w:r>
        <w:r w:rsidR="00242E8D">
          <w:rPr>
            <w:webHidden/>
          </w:rPr>
          <w:fldChar w:fldCharType="separate"/>
        </w:r>
        <w:r w:rsidR="00B94D2F">
          <w:rPr>
            <w:webHidden/>
          </w:rPr>
          <w:t>116</w:t>
        </w:r>
        <w:r w:rsidR="00242E8D">
          <w:rPr>
            <w:webHidden/>
          </w:rPr>
          <w:fldChar w:fldCharType="end"/>
        </w:r>
      </w:hyperlink>
    </w:p>
    <w:p w14:paraId="597DE015" w14:textId="23968E10" w:rsidR="00242E8D" w:rsidRDefault="00087879">
      <w:pPr>
        <w:pStyle w:val="TableofFigures"/>
        <w:rPr>
          <w:rFonts w:asciiTheme="minorHAnsi" w:eastAsiaTheme="minorEastAsia" w:hAnsiTheme="minorHAnsi" w:cstheme="minorBidi"/>
          <w:sz w:val="22"/>
        </w:rPr>
      </w:pPr>
      <w:hyperlink w:anchor="_Toc68786412" w:history="1">
        <w:r w:rsidR="00242E8D" w:rsidRPr="00972364">
          <w:rPr>
            <w:rStyle w:val="Hyperlink"/>
          </w:rPr>
          <w:t xml:space="preserve">Table 3.3.8 </w:t>
        </w:r>
        <w:r w:rsidR="00242E8D">
          <w:rPr>
            <w:rFonts w:asciiTheme="minorHAnsi" w:eastAsiaTheme="minorEastAsia" w:hAnsiTheme="minorHAnsi" w:cstheme="minorBidi"/>
            <w:sz w:val="22"/>
          </w:rPr>
          <w:tab/>
        </w:r>
        <w:r w:rsidR="00242E8D" w:rsidRPr="00972364">
          <w:rPr>
            <w:rStyle w:val="Hyperlink"/>
          </w:rPr>
          <w:t>Split of fuel oil activity for ‘other primary industry’</w:t>
        </w:r>
        <w:r w:rsidR="00242E8D">
          <w:rPr>
            <w:webHidden/>
          </w:rPr>
          <w:tab/>
        </w:r>
        <w:r w:rsidR="00242E8D">
          <w:rPr>
            <w:webHidden/>
          </w:rPr>
          <w:fldChar w:fldCharType="begin"/>
        </w:r>
        <w:r w:rsidR="00242E8D">
          <w:rPr>
            <w:webHidden/>
          </w:rPr>
          <w:instrText xml:space="preserve"> PAGEREF _Toc68786412 \h </w:instrText>
        </w:r>
        <w:r w:rsidR="00242E8D">
          <w:rPr>
            <w:webHidden/>
          </w:rPr>
        </w:r>
        <w:r w:rsidR="00242E8D">
          <w:rPr>
            <w:webHidden/>
          </w:rPr>
          <w:fldChar w:fldCharType="separate"/>
        </w:r>
        <w:r w:rsidR="00B94D2F">
          <w:rPr>
            <w:webHidden/>
          </w:rPr>
          <w:t>117</w:t>
        </w:r>
        <w:r w:rsidR="00242E8D">
          <w:rPr>
            <w:webHidden/>
          </w:rPr>
          <w:fldChar w:fldCharType="end"/>
        </w:r>
      </w:hyperlink>
    </w:p>
    <w:p w14:paraId="4D0A6FF4" w14:textId="3A777779" w:rsidR="00242E8D" w:rsidRDefault="00087879">
      <w:pPr>
        <w:pStyle w:val="TableofFigures"/>
        <w:rPr>
          <w:rFonts w:asciiTheme="minorHAnsi" w:eastAsiaTheme="minorEastAsia" w:hAnsiTheme="minorHAnsi" w:cstheme="minorBidi"/>
          <w:sz w:val="22"/>
        </w:rPr>
      </w:pPr>
      <w:hyperlink w:anchor="_Toc68786413" w:history="1">
        <w:r w:rsidR="00242E8D" w:rsidRPr="00972364">
          <w:rPr>
            <w:rStyle w:val="Hyperlink"/>
          </w:rPr>
          <w:t>Table 3.4.1</w:t>
        </w:r>
        <w:r w:rsidR="00242E8D">
          <w:rPr>
            <w:rFonts w:asciiTheme="minorHAnsi" w:eastAsiaTheme="minorEastAsia" w:hAnsiTheme="minorHAnsi" w:cstheme="minorBidi"/>
            <w:sz w:val="22"/>
          </w:rPr>
          <w:tab/>
        </w:r>
        <w:r w:rsidR="00242E8D" w:rsidRPr="00972364">
          <w:rPr>
            <w:rStyle w:val="Hyperlink"/>
          </w:rPr>
          <w:t>Key categories for 1.B Fugitive emissions</w:t>
        </w:r>
        <w:r w:rsidR="00242E8D">
          <w:rPr>
            <w:webHidden/>
          </w:rPr>
          <w:tab/>
        </w:r>
        <w:r w:rsidR="00242E8D">
          <w:rPr>
            <w:webHidden/>
          </w:rPr>
          <w:fldChar w:fldCharType="begin"/>
        </w:r>
        <w:r w:rsidR="00242E8D">
          <w:rPr>
            <w:webHidden/>
          </w:rPr>
          <w:instrText xml:space="preserve"> PAGEREF _Toc68786413 \h </w:instrText>
        </w:r>
        <w:r w:rsidR="00242E8D">
          <w:rPr>
            <w:webHidden/>
          </w:rPr>
        </w:r>
        <w:r w:rsidR="00242E8D">
          <w:rPr>
            <w:webHidden/>
          </w:rPr>
          <w:fldChar w:fldCharType="separate"/>
        </w:r>
        <w:r w:rsidR="00B94D2F">
          <w:rPr>
            <w:webHidden/>
          </w:rPr>
          <w:t>119</w:t>
        </w:r>
        <w:r w:rsidR="00242E8D">
          <w:rPr>
            <w:webHidden/>
          </w:rPr>
          <w:fldChar w:fldCharType="end"/>
        </w:r>
      </w:hyperlink>
    </w:p>
    <w:p w14:paraId="2475B3D1" w14:textId="726FE09D" w:rsidR="00242E8D" w:rsidRDefault="00087879">
      <w:pPr>
        <w:pStyle w:val="TableofFigures"/>
        <w:rPr>
          <w:rFonts w:asciiTheme="minorHAnsi" w:eastAsiaTheme="minorEastAsia" w:hAnsiTheme="minorHAnsi" w:cstheme="minorBidi"/>
          <w:sz w:val="22"/>
        </w:rPr>
      </w:pPr>
      <w:hyperlink w:anchor="_Toc68786414" w:history="1">
        <w:r w:rsidR="00242E8D" w:rsidRPr="00972364">
          <w:rPr>
            <w:rStyle w:val="Hyperlink"/>
          </w:rPr>
          <w:t xml:space="preserve">Table 3.4.2 </w:t>
        </w:r>
        <w:r w:rsidR="00242E8D">
          <w:rPr>
            <w:rFonts w:asciiTheme="minorHAnsi" w:eastAsiaTheme="minorEastAsia" w:hAnsiTheme="minorHAnsi" w:cstheme="minorBidi"/>
            <w:sz w:val="22"/>
          </w:rPr>
          <w:tab/>
        </w:r>
        <w:r w:rsidR="00242E8D" w:rsidRPr="00972364">
          <w:rPr>
            <w:rStyle w:val="Hyperlink"/>
          </w:rPr>
          <w:t>Details of abandoned underground mines in the North Island</w:t>
        </w:r>
        <w:r w:rsidR="00242E8D">
          <w:rPr>
            <w:webHidden/>
          </w:rPr>
          <w:tab/>
        </w:r>
        <w:r w:rsidR="00242E8D">
          <w:rPr>
            <w:webHidden/>
          </w:rPr>
          <w:fldChar w:fldCharType="begin"/>
        </w:r>
        <w:r w:rsidR="00242E8D">
          <w:rPr>
            <w:webHidden/>
          </w:rPr>
          <w:instrText xml:space="preserve"> PAGEREF _Toc68786414 \h </w:instrText>
        </w:r>
        <w:r w:rsidR="00242E8D">
          <w:rPr>
            <w:webHidden/>
          </w:rPr>
        </w:r>
        <w:r w:rsidR="00242E8D">
          <w:rPr>
            <w:webHidden/>
          </w:rPr>
          <w:fldChar w:fldCharType="separate"/>
        </w:r>
        <w:r w:rsidR="00B94D2F">
          <w:rPr>
            <w:webHidden/>
          </w:rPr>
          <w:t>121</w:t>
        </w:r>
        <w:r w:rsidR="00242E8D">
          <w:rPr>
            <w:webHidden/>
          </w:rPr>
          <w:fldChar w:fldCharType="end"/>
        </w:r>
      </w:hyperlink>
    </w:p>
    <w:p w14:paraId="52801A0A" w14:textId="75BB7F8E" w:rsidR="00242E8D" w:rsidRDefault="00087879">
      <w:pPr>
        <w:pStyle w:val="TableofFigures"/>
        <w:rPr>
          <w:rFonts w:asciiTheme="minorHAnsi" w:eastAsiaTheme="minorEastAsia" w:hAnsiTheme="minorHAnsi" w:cstheme="minorBidi"/>
          <w:sz w:val="22"/>
        </w:rPr>
      </w:pPr>
      <w:hyperlink w:anchor="_Toc68786415" w:history="1">
        <w:r w:rsidR="00242E8D" w:rsidRPr="00972364">
          <w:rPr>
            <w:rStyle w:val="Hyperlink"/>
          </w:rPr>
          <w:t xml:space="preserve">Table 4.1.1 </w:t>
        </w:r>
        <w:r w:rsidR="00242E8D">
          <w:rPr>
            <w:rFonts w:asciiTheme="minorHAnsi" w:eastAsiaTheme="minorEastAsia" w:hAnsiTheme="minorHAnsi" w:cstheme="minorBidi"/>
            <w:sz w:val="22"/>
          </w:rPr>
          <w:tab/>
        </w:r>
        <w:r w:rsidR="00242E8D" w:rsidRPr="00972364">
          <w:rPr>
            <w:rStyle w:val="Hyperlink"/>
          </w:rPr>
          <w:t>New Zealand’s greenhouse gas emissions for the IPPU sector by category in 1990 and 2019</w:t>
        </w:r>
        <w:r w:rsidR="00242E8D">
          <w:rPr>
            <w:webHidden/>
          </w:rPr>
          <w:tab/>
        </w:r>
        <w:r w:rsidR="00242E8D">
          <w:rPr>
            <w:webHidden/>
          </w:rPr>
          <w:fldChar w:fldCharType="begin"/>
        </w:r>
        <w:r w:rsidR="00242E8D">
          <w:rPr>
            <w:webHidden/>
          </w:rPr>
          <w:instrText xml:space="preserve"> PAGEREF _Toc68786415 \h </w:instrText>
        </w:r>
        <w:r w:rsidR="00242E8D">
          <w:rPr>
            <w:webHidden/>
          </w:rPr>
        </w:r>
        <w:r w:rsidR="00242E8D">
          <w:rPr>
            <w:webHidden/>
          </w:rPr>
          <w:fldChar w:fldCharType="separate"/>
        </w:r>
        <w:r w:rsidR="00B94D2F">
          <w:rPr>
            <w:webHidden/>
          </w:rPr>
          <w:t>132</w:t>
        </w:r>
        <w:r w:rsidR="00242E8D">
          <w:rPr>
            <w:webHidden/>
          </w:rPr>
          <w:fldChar w:fldCharType="end"/>
        </w:r>
      </w:hyperlink>
    </w:p>
    <w:p w14:paraId="1773C58E" w14:textId="2C1CADF4" w:rsidR="00242E8D" w:rsidRDefault="00087879">
      <w:pPr>
        <w:pStyle w:val="TableofFigures"/>
        <w:rPr>
          <w:rFonts w:asciiTheme="minorHAnsi" w:eastAsiaTheme="minorEastAsia" w:hAnsiTheme="minorHAnsi" w:cstheme="minorBidi"/>
          <w:sz w:val="22"/>
        </w:rPr>
      </w:pPr>
      <w:hyperlink w:anchor="_Toc68786416" w:history="1">
        <w:r w:rsidR="00242E8D" w:rsidRPr="00972364">
          <w:rPr>
            <w:rStyle w:val="Hyperlink"/>
          </w:rPr>
          <w:t xml:space="preserve">Table 4.1.2 </w:t>
        </w:r>
        <w:r w:rsidR="00242E8D">
          <w:rPr>
            <w:rFonts w:asciiTheme="minorHAnsi" w:eastAsiaTheme="minorEastAsia" w:hAnsiTheme="minorHAnsi" w:cstheme="minorBidi"/>
            <w:sz w:val="22"/>
          </w:rPr>
          <w:tab/>
        </w:r>
        <w:r w:rsidR="00242E8D" w:rsidRPr="00972364">
          <w:rPr>
            <w:rStyle w:val="Hyperlink"/>
          </w:rPr>
          <w:t>Key categories in the IPPU sector</w:t>
        </w:r>
        <w:r w:rsidR="00242E8D">
          <w:rPr>
            <w:webHidden/>
          </w:rPr>
          <w:tab/>
        </w:r>
        <w:r w:rsidR="00242E8D">
          <w:rPr>
            <w:webHidden/>
          </w:rPr>
          <w:fldChar w:fldCharType="begin"/>
        </w:r>
        <w:r w:rsidR="00242E8D">
          <w:rPr>
            <w:webHidden/>
          </w:rPr>
          <w:instrText xml:space="preserve"> PAGEREF _Toc68786416 \h </w:instrText>
        </w:r>
        <w:r w:rsidR="00242E8D">
          <w:rPr>
            <w:webHidden/>
          </w:rPr>
        </w:r>
        <w:r w:rsidR="00242E8D">
          <w:rPr>
            <w:webHidden/>
          </w:rPr>
          <w:fldChar w:fldCharType="separate"/>
        </w:r>
        <w:r w:rsidR="00B94D2F">
          <w:rPr>
            <w:webHidden/>
          </w:rPr>
          <w:t>133</w:t>
        </w:r>
        <w:r w:rsidR="00242E8D">
          <w:rPr>
            <w:webHidden/>
          </w:rPr>
          <w:fldChar w:fldCharType="end"/>
        </w:r>
      </w:hyperlink>
    </w:p>
    <w:p w14:paraId="4F6E9CD8" w14:textId="331436F8" w:rsidR="00242E8D" w:rsidRDefault="00087879">
      <w:pPr>
        <w:pStyle w:val="TableofFigures"/>
        <w:rPr>
          <w:rFonts w:asciiTheme="minorHAnsi" w:eastAsiaTheme="minorEastAsia" w:hAnsiTheme="minorHAnsi" w:cstheme="minorBidi"/>
          <w:sz w:val="22"/>
        </w:rPr>
      </w:pPr>
      <w:hyperlink w:anchor="_Toc68786417" w:history="1">
        <w:r w:rsidR="00242E8D" w:rsidRPr="00972364">
          <w:rPr>
            <w:rStyle w:val="Hyperlink"/>
          </w:rPr>
          <w:t>Table 4.2.1</w:t>
        </w:r>
        <w:r w:rsidR="00242E8D">
          <w:rPr>
            <w:rFonts w:asciiTheme="minorHAnsi" w:eastAsiaTheme="minorEastAsia" w:hAnsiTheme="minorHAnsi" w:cstheme="minorBidi"/>
            <w:sz w:val="22"/>
          </w:rPr>
          <w:tab/>
        </w:r>
        <w:r w:rsidR="00242E8D" w:rsidRPr="00972364">
          <w:rPr>
            <w:rStyle w:val="Hyperlink"/>
          </w:rPr>
          <w:t>Uncertainty in emissions from mineral products</w:t>
        </w:r>
        <w:r w:rsidR="00242E8D">
          <w:rPr>
            <w:webHidden/>
          </w:rPr>
          <w:tab/>
        </w:r>
        <w:r w:rsidR="00242E8D">
          <w:rPr>
            <w:webHidden/>
          </w:rPr>
          <w:fldChar w:fldCharType="begin"/>
        </w:r>
        <w:r w:rsidR="00242E8D">
          <w:rPr>
            <w:webHidden/>
          </w:rPr>
          <w:instrText xml:space="preserve"> PAGEREF _Toc68786417 \h </w:instrText>
        </w:r>
        <w:r w:rsidR="00242E8D">
          <w:rPr>
            <w:webHidden/>
          </w:rPr>
        </w:r>
        <w:r w:rsidR="00242E8D">
          <w:rPr>
            <w:webHidden/>
          </w:rPr>
          <w:fldChar w:fldCharType="separate"/>
        </w:r>
        <w:r w:rsidR="00B94D2F">
          <w:rPr>
            <w:webHidden/>
          </w:rPr>
          <w:t>139</w:t>
        </w:r>
        <w:r w:rsidR="00242E8D">
          <w:rPr>
            <w:webHidden/>
          </w:rPr>
          <w:fldChar w:fldCharType="end"/>
        </w:r>
      </w:hyperlink>
    </w:p>
    <w:p w14:paraId="6183F683" w14:textId="379E959D" w:rsidR="00242E8D" w:rsidRDefault="00087879">
      <w:pPr>
        <w:pStyle w:val="TableofFigures"/>
        <w:rPr>
          <w:rFonts w:asciiTheme="minorHAnsi" w:eastAsiaTheme="minorEastAsia" w:hAnsiTheme="minorHAnsi" w:cstheme="minorBidi"/>
          <w:sz w:val="22"/>
        </w:rPr>
      </w:pPr>
      <w:hyperlink w:anchor="_Toc68786418" w:history="1">
        <w:r w:rsidR="00242E8D" w:rsidRPr="00972364">
          <w:rPr>
            <w:rStyle w:val="Hyperlink"/>
          </w:rPr>
          <w:t>Table 4.3.1</w:t>
        </w:r>
        <w:r w:rsidR="00242E8D">
          <w:rPr>
            <w:rFonts w:asciiTheme="minorHAnsi" w:eastAsiaTheme="minorEastAsia" w:hAnsiTheme="minorHAnsi" w:cstheme="minorBidi"/>
            <w:sz w:val="22"/>
          </w:rPr>
          <w:tab/>
        </w:r>
        <w:r w:rsidR="00242E8D" w:rsidRPr="00972364">
          <w:rPr>
            <w:rStyle w:val="Hyperlink"/>
          </w:rPr>
          <w:t>Country-specific emission factors for indirect emissions</w:t>
        </w:r>
        <w:r w:rsidR="00242E8D">
          <w:rPr>
            <w:webHidden/>
          </w:rPr>
          <w:tab/>
        </w:r>
        <w:r w:rsidR="00242E8D">
          <w:rPr>
            <w:webHidden/>
          </w:rPr>
          <w:fldChar w:fldCharType="begin"/>
        </w:r>
        <w:r w:rsidR="00242E8D">
          <w:rPr>
            <w:webHidden/>
          </w:rPr>
          <w:instrText xml:space="preserve"> PAGEREF _Toc68786418 \h </w:instrText>
        </w:r>
        <w:r w:rsidR="00242E8D">
          <w:rPr>
            <w:webHidden/>
          </w:rPr>
        </w:r>
        <w:r w:rsidR="00242E8D">
          <w:rPr>
            <w:webHidden/>
          </w:rPr>
          <w:fldChar w:fldCharType="separate"/>
        </w:r>
        <w:r w:rsidR="00B94D2F">
          <w:rPr>
            <w:webHidden/>
          </w:rPr>
          <w:t>143</w:t>
        </w:r>
        <w:r w:rsidR="00242E8D">
          <w:rPr>
            <w:webHidden/>
          </w:rPr>
          <w:fldChar w:fldCharType="end"/>
        </w:r>
      </w:hyperlink>
    </w:p>
    <w:p w14:paraId="1E94FCF2" w14:textId="44778A98" w:rsidR="00242E8D" w:rsidRDefault="00087879">
      <w:pPr>
        <w:pStyle w:val="TableofFigures"/>
        <w:rPr>
          <w:rFonts w:asciiTheme="minorHAnsi" w:eastAsiaTheme="minorEastAsia" w:hAnsiTheme="minorHAnsi" w:cstheme="minorBidi"/>
          <w:sz w:val="22"/>
        </w:rPr>
      </w:pPr>
      <w:hyperlink w:anchor="_Toc68786419" w:history="1">
        <w:r w:rsidR="00242E8D" w:rsidRPr="00972364">
          <w:rPr>
            <w:rStyle w:val="Hyperlink"/>
          </w:rPr>
          <w:t>Table 4.3.2</w:t>
        </w:r>
        <w:r w:rsidR="00242E8D">
          <w:rPr>
            <w:rFonts w:asciiTheme="minorHAnsi" w:eastAsiaTheme="minorEastAsia" w:hAnsiTheme="minorHAnsi" w:cstheme="minorBidi"/>
            <w:sz w:val="22"/>
          </w:rPr>
          <w:tab/>
        </w:r>
        <w:r w:rsidR="00242E8D" w:rsidRPr="00972364">
          <w:rPr>
            <w:rStyle w:val="Hyperlink"/>
          </w:rPr>
          <w:t xml:space="preserve">Uncertainty in emissions from the </w:t>
        </w:r>
        <w:r w:rsidR="00242E8D" w:rsidRPr="00972364">
          <w:rPr>
            <w:rStyle w:val="Hyperlink"/>
            <w:i/>
          </w:rPr>
          <w:t>Chemical industry</w:t>
        </w:r>
        <w:r w:rsidR="00242E8D" w:rsidRPr="00972364">
          <w:rPr>
            <w:rStyle w:val="Hyperlink"/>
          </w:rPr>
          <w:t xml:space="preserve"> category</w:t>
        </w:r>
        <w:r w:rsidR="00242E8D">
          <w:rPr>
            <w:webHidden/>
          </w:rPr>
          <w:tab/>
        </w:r>
        <w:r w:rsidR="00242E8D">
          <w:rPr>
            <w:webHidden/>
          </w:rPr>
          <w:fldChar w:fldCharType="begin"/>
        </w:r>
        <w:r w:rsidR="00242E8D">
          <w:rPr>
            <w:webHidden/>
          </w:rPr>
          <w:instrText xml:space="preserve"> PAGEREF _Toc68786419 \h </w:instrText>
        </w:r>
        <w:r w:rsidR="00242E8D">
          <w:rPr>
            <w:webHidden/>
          </w:rPr>
        </w:r>
        <w:r w:rsidR="00242E8D">
          <w:rPr>
            <w:webHidden/>
          </w:rPr>
          <w:fldChar w:fldCharType="separate"/>
        </w:r>
        <w:r w:rsidR="00B94D2F">
          <w:rPr>
            <w:webHidden/>
          </w:rPr>
          <w:t>143</w:t>
        </w:r>
        <w:r w:rsidR="00242E8D">
          <w:rPr>
            <w:webHidden/>
          </w:rPr>
          <w:fldChar w:fldCharType="end"/>
        </w:r>
      </w:hyperlink>
    </w:p>
    <w:p w14:paraId="54B8A555" w14:textId="3B89B244" w:rsidR="00242E8D" w:rsidRDefault="00087879">
      <w:pPr>
        <w:pStyle w:val="TableofFigures"/>
        <w:rPr>
          <w:rFonts w:asciiTheme="minorHAnsi" w:eastAsiaTheme="minorEastAsia" w:hAnsiTheme="minorHAnsi" w:cstheme="minorBidi"/>
          <w:sz w:val="22"/>
        </w:rPr>
      </w:pPr>
      <w:hyperlink w:anchor="_Toc68786420" w:history="1">
        <w:r w:rsidR="00242E8D" w:rsidRPr="00972364">
          <w:rPr>
            <w:rStyle w:val="Hyperlink"/>
          </w:rPr>
          <w:t>Table 4.4.1</w:t>
        </w:r>
        <w:r w:rsidR="00242E8D">
          <w:rPr>
            <w:rFonts w:asciiTheme="minorHAnsi" w:eastAsiaTheme="minorEastAsia" w:hAnsiTheme="minorHAnsi" w:cstheme="minorBidi"/>
            <w:sz w:val="22"/>
          </w:rPr>
          <w:tab/>
        </w:r>
        <w:r w:rsidR="00242E8D" w:rsidRPr="00972364">
          <w:rPr>
            <w:rStyle w:val="Hyperlink"/>
          </w:rPr>
          <w:t>Typical analysis from New Zealand Steel Limited of the primary concentrate (provided by New Zealand Steel Limited)</w:t>
        </w:r>
        <w:r w:rsidR="00242E8D">
          <w:rPr>
            <w:webHidden/>
          </w:rPr>
          <w:tab/>
        </w:r>
        <w:r w:rsidR="00242E8D">
          <w:rPr>
            <w:webHidden/>
          </w:rPr>
          <w:fldChar w:fldCharType="begin"/>
        </w:r>
        <w:r w:rsidR="00242E8D">
          <w:rPr>
            <w:webHidden/>
          </w:rPr>
          <w:instrText xml:space="preserve"> PAGEREF _Toc68786420 \h </w:instrText>
        </w:r>
        <w:r w:rsidR="00242E8D">
          <w:rPr>
            <w:webHidden/>
          </w:rPr>
        </w:r>
        <w:r w:rsidR="00242E8D">
          <w:rPr>
            <w:webHidden/>
          </w:rPr>
          <w:fldChar w:fldCharType="separate"/>
        </w:r>
        <w:r w:rsidR="00B94D2F">
          <w:rPr>
            <w:webHidden/>
          </w:rPr>
          <w:t>145</w:t>
        </w:r>
        <w:r w:rsidR="00242E8D">
          <w:rPr>
            <w:webHidden/>
          </w:rPr>
          <w:fldChar w:fldCharType="end"/>
        </w:r>
      </w:hyperlink>
    </w:p>
    <w:p w14:paraId="4AAB8A6A" w14:textId="128EB52A" w:rsidR="00242E8D" w:rsidRDefault="00087879">
      <w:pPr>
        <w:pStyle w:val="TableofFigures"/>
        <w:rPr>
          <w:rFonts w:asciiTheme="minorHAnsi" w:eastAsiaTheme="minorEastAsia" w:hAnsiTheme="minorHAnsi" w:cstheme="minorBidi"/>
          <w:sz w:val="22"/>
        </w:rPr>
      </w:pPr>
      <w:hyperlink w:anchor="_Toc68786421" w:history="1">
        <w:r w:rsidR="00242E8D" w:rsidRPr="00972364">
          <w:rPr>
            <w:rStyle w:val="Hyperlink"/>
          </w:rPr>
          <w:t>Table 4.4.2</w:t>
        </w:r>
        <w:r w:rsidR="00242E8D">
          <w:rPr>
            <w:rFonts w:asciiTheme="minorHAnsi" w:eastAsiaTheme="minorEastAsia" w:hAnsiTheme="minorHAnsi" w:cstheme="minorBidi"/>
            <w:sz w:val="22"/>
          </w:rPr>
          <w:tab/>
        </w:r>
        <w:r w:rsidR="00242E8D" w:rsidRPr="00972364">
          <w:rPr>
            <w:rStyle w:val="Hyperlink"/>
          </w:rPr>
          <w:t>Uncertainty in emissions from the metal industry</w:t>
        </w:r>
        <w:r w:rsidR="00242E8D">
          <w:rPr>
            <w:webHidden/>
          </w:rPr>
          <w:tab/>
        </w:r>
        <w:r w:rsidR="00242E8D">
          <w:rPr>
            <w:webHidden/>
          </w:rPr>
          <w:fldChar w:fldCharType="begin"/>
        </w:r>
        <w:r w:rsidR="00242E8D">
          <w:rPr>
            <w:webHidden/>
          </w:rPr>
          <w:instrText xml:space="preserve"> PAGEREF _Toc68786421 \h </w:instrText>
        </w:r>
        <w:r w:rsidR="00242E8D">
          <w:rPr>
            <w:webHidden/>
          </w:rPr>
        </w:r>
        <w:r w:rsidR="00242E8D">
          <w:rPr>
            <w:webHidden/>
          </w:rPr>
          <w:fldChar w:fldCharType="separate"/>
        </w:r>
        <w:r w:rsidR="00B94D2F">
          <w:rPr>
            <w:webHidden/>
          </w:rPr>
          <w:t>149</w:t>
        </w:r>
        <w:r w:rsidR="00242E8D">
          <w:rPr>
            <w:webHidden/>
          </w:rPr>
          <w:fldChar w:fldCharType="end"/>
        </w:r>
      </w:hyperlink>
    </w:p>
    <w:p w14:paraId="31E9EADC" w14:textId="3C1FB915" w:rsidR="00242E8D" w:rsidRDefault="00087879">
      <w:pPr>
        <w:pStyle w:val="TableofFigures"/>
        <w:rPr>
          <w:rFonts w:asciiTheme="minorHAnsi" w:eastAsiaTheme="minorEastAsia" w:hAnsiTheme="minorHAnsi" w:cstheme="minorBidi"/>
          <w:sz w:val="22"/>
        </w:rPr>
      </w:pPr>
      <w:hyperlink w:anchor="_Toc68786422" w:history="1">
        <w:r w:rsidR="00242E8D" w:rsidRPr="00972364">
          <w:rPr>
            <w:rStyle w:val="Hyperlink"/>
          </w:rPr>
          <w:t>Table 4.4.3</w:t>
        </w:r>
        <w:r w:rsidR="00242E8D">
          <w:rPr>
            <w:rFonts w:asciiTheme="minorHAnsi" w:eastAsiaTheme="minorEastAsia" w:hAnsiTheme="minorHAnsi" w:cstheme="minorBidi"/>
            <w:sz w:val="22"/>
          </w:rPr>
          <w:tab/>
        </w:r>
        <w:r w:rsidR="00242E8D" w:rsidRPr="00972364">
          <w:rPr>
            <w:rStyle w:val="Hyperlink"/>
          </w:rPr>
          <w:t>Explanation of variations in New Zealand’s aluminium emissions</w:t>
        </w:r>
        <w:r w:rsidR="00242E8D">
          <w:rPr>
            <w:webHidden/>
          </w:rPr>
          <w:tab/>
        </w:r>
        <w:r w:rsidR="00242E8D">
          <w:rPr>
            <w:webHidden/>
          </w:rPr>
          <w:fldChar w:fldCharType="begin"/>
        </w:r>
        <w:r w:rsidR="00242E8D">
          <w:rPr>
            <w:webHidden/>
          </w:rPr>
          <w:instrText xml:space="preserve"> PAGEREF _Toc68786422 \h </w:instrText>
        </w:r>
        <w:r w:rsidR="00242E8D">
          <w:rPr>
            <w:webHidden/>
          </w:rPr>
        </w:r>
        <w:r w:rsidR="00242E8D">
          <w:rPr>
            <w:webHidden/>
          </w:rPr>
          <w:fldChar w:fldCharType="separate"/>
        </w:r>
        <w:r w:rsidR="00B94D2F">
          <w:rPr>
            <w:webHidden/>
          </w:rPr>
          <w:t>149</w:t>
        </w:r>
        <w:r w:rsidR="00242E8D">
          <w:rPr>
            <w:webHidden/>
          </w:rPr>
          <w:fldChar w:fldCharType="end"/>
        </w:r>
      </w:hyperlink>
    </w:p>
    <w:p w14:paraId="75E3D867" w14:textId="7406F6A3" w:rsidR="00242E8D" w:rsidRDefault="00087879">
      <w:pPr>
        <w:pStyle w:val="TableofFigures"/>
        <w:rPr>
          <w:rFonts w:asciiTheme="minorHAnsi" w:eastAsiaTheme="minorEastAsia" w:hAnsiTheme="minorHAnsi" w:cstheme="minorBidi"/>
          <w:sz w:val="22"/>
        </w:rPr>
      </w:pPr>
      <w:hyperlink w:anchor="_Toc68786423" w:history="1">
        <w:r w:rsidR="00242E8D" w:rsidRPr="00972364">
          <w:rPr>
            <w:rStyle w:val="Hyperlink"/>
          </w:rPr>
          <w:t xml:space="preserve">Table 4.5.1 </w:t>
        </w:r>
        <w:r w:rsidR="00242E8D">
          <w:rPr>
            <w:rFonts w:asciiTheme="minorHAnsi" w:eastAsiaTheme="minorEastAsia" w:hAnsiTheme="minorHAnsi" w:cstheme="minorBidi"/>
            <w:sz w:val="22"/>
          </w:rPr>
          <w:tab/>
        </w:r>
        <w:r w:rsidR="00242E8D" w:rsidRPr="00972364">
          <w:rPr>
            <w:rStyle w:val="Hyperlink"/>
          </w:rPr>
          <w:t>Calculation of NMVOC emissions from road paving</w:t>
        </w:r>
        <w:r w:rsidR="00242E8D">
          <w:rPr>
            <w:webHidden/>
          </w:rPr>
          <w:tab/>
        </w:r>
        <w:r w:rsidR="00242E8D">
          <w:rPr>
            <w:webHidden/>
          </w:rPr>
          <w:fldChar w:fldCharType="begin"/>
        </w:r>
        <w:r w:rsidR="00242E8D">
          <w:rPr>
            <w:webHidden/>
          </w:rPr>
          <w:instrText xml:space="preserve"> PAGEREF _Toc68786423 \h </w:instrText>
        </w:r>
        <w:r w:rsidR="00242E8D">
          <w:rPr>
            <w:webHidden/>
          </w:rPr>
        </w:r>
        <w:r w:rsidR="00242E8D">
          <w:rPr>
            <w:webHidden/>
          </w:rPr>
          <w:fldChar w:fldCharType="separate"/>
        </w:r>
        <w:r w:rsidR="00B94D2F">
          <w:rPr>
            <w:webHidden/>
          </w:rPr>
          <w:t>152</w:t>
        </w:r>
        <w:r w:rsidR="00242E8D">
          <w:rPr>
            <w:webHidden/>
          </w:rPr>
          <w:fldChar w:fldCharType="end"/>
        </w:r>
      </w:hyperlink>
    </w:p>
    <w:p w14:paraId="40F1E97E" w14:textId="4D297758" w:rsidR="00242E8D" w:rsidRDefault="00087879">
      <w:pPr>
        <w:pStyle w:val="TableofFigures"/>
        <w:rPr>
          <w:rFonts w:asciiTheme="minorHAnsi" w:eastAsiaTheme="minorEastAsia" w:hAnsiTheme="minorHAnsi" w:cstheme="minorBidi"/>
          <w:sz w:val="22"/>
        </w:rPr>
      </w:pPr>
      <w:hyperlink w:anchor="_Toc68786424" w:history="1">
        <w:r w:rsidR="00242E8D" w:rsidRPr="00972364">
          <w:rPr>
            <w:rStyle w:val="Hyperlink"/>
          </w:rPr>
          <w:t xml:space="preserve">Table 4.5.2 </w:t>
        </w:r>
        <w:r w:rsidR="00242E8D">
          <w:rPr>
            <w:rFonts w:asciiTheme="minorHAnsi" w:eastAsiaTheme="minorEastAsia" w:hAnsiTheme="minorHAnsi" w:cstheme="minorBidi"/>
            <w:sz w:val="22"/>
          </w:rPr>
          <w:tab/>
        </w:r>
        <w:r w:rsidR="00242E8D" w:rsidRPr="00972364">
          <w:rPr>
            <w:rStyle w:val="Hyperlink"/>
          </w:rPr>
          <w:t>Fraction of bitumen in road paving material</w:t>
        </w:r>
        <w:r w:rsidR="00242E8D">
          <w:rPr>
            <w:webHidden/>
          </w:rPr>
          <w:tab/>
        </w:r>
        <w:r w:rsidR="00242E8D">
          <w:rPr>
            <w:webHidden/>
          </w:rPr>
          <w:fldChar w:fldCharType="begin"/>
        </w:r>
        <w:r w:rsidR="00242E8D">
          <w:rPr>
            <w:webHidden/>
          </w:rPr>
          <w:instrText xml:space="preserve"> PAGEREF _Toc68786424 \h </w:instrText>
        </w:r>
        <w:r w:rsidR="00242E8D">
          <w:rPr>
            <w:webHidden/>
          </w:rPr>
        </w:r>
        <w:r w:rsidR="00242E8D">
          <w:rPr>
            <w:webHidden/>
          </w:rPr>
          <w:fldChar w:fldCharType="separate"/>
        </w:r>
        <w:r w:rsidR="00B94D2F">
          <w:rPr>
            <w:webHidden/>
          </w:rPr>
          <w:t>152</w:t>
        </w:r>
        <w:r w:rsidR="00242E8D">
          <w:rPr>
            <w:webHidden/>
          </w:rPr>
          <w:fldChar w:fldCharType="end"/>
        </w:r>
      </w:hyperlink>
    </w:p>
    <w:p w14:paraId="1B976D34" w14:textId="4D4F2023" w:rsidR="00242E8D" w:rsidRDefault="00087879">
      <w:pPr>
        <w:pStyle w:val="TableofFigures"/>
        <w:rPr>
          <w:rFonts w:asciiTheme="minorHAnsi" w:eastAsiaTheme="minorEastAsia" w:hAnsiTheme="minorHAnsi" w:cstheme="minorBidi"/>
          <w:sz w:val="22"/>
        </w:rPr>
      </w:pPr>
      <w:hyperlink w:anchor="_Toc68786425" w:history="1">
        <w:r w:rsidR="00242E8D" w:rsidRPr="00972364">
          <w:rPr>
            <w:rStyle w:val="Hyperlink"/>
          </w:rPr>
          <w:t>Table 4.5.3</w:t>
        </w:r>
        <w:r w:rsidR="00242E8D">
          <w:rPr>
            <w:rFonts w:asciiTheme="minorHAnsi" w:eastAsiaTheme="minorEastAsia" w:hAnsiTheme="minorHAnsi" w:cstheme="minorBidi"/>
            <w:sz w:val="22"/>
          </w:rPr>
          <w:tab/>
        </w:r>
        <w:r w:rsidR="00242E8D" w:rsidRPr="00972364">
          <w:rPr>
            <w:rStyle w:val="Hyperlink"/>
          </w:rPr>
          <w:t>Uncertainty in emissions in non-energy products from fuels and solvent use</w:t>
        </w:r>
        <w:r w:rsidR="00242E8D">
          <w:rPr>
            <w:webHidden/>
          </w:rPr>
          <w:tab/>
        </w:r>
        <w:r w:rsidR="00242E8D">
          <w:rPr>
            <w:webHidden/>
          </w:rPr>
          <w:fldChar w:fldCharType="begin"/>
        </w:r>
        <w:r w:rsidR="00242E8D">
          <w:rPr>
            <w:webHidden/>
          </w:rPr>
          <w:instrText xml:space="preserve"> PAGEREF _Toc68786425 \h </w:instrText>
        </w:r>
        <w:r w:rsidR="00242E8D">
          <w:rPr>
            <w:webHidden/>
          </w:rPr>
        </w:r>
        <w:r w:rsidR="00242E8D">
          <w:rPr>
            <w:webHidden/>
          </w:rPr>
          <w:fldChar w:fldCharType="separate"/>
        </w:r>
        <w:r w:rsidR="00B94D2F">
          <w:rPr>
            <w:webHidden/>
          </w:rPr>
          <w:t>152</w:t>
        </w:r>
        <w:r w:rsidR="00242E8D">
          <w:rPr>
            <w:webHidden/>
          </w:rPr>
          <w:fldChar w:fldCharType="end"/>
        </w:r>
      </w:hyperlink>
    </w:p>
    <w:p w14:paraId="1B4522FC" w14:textId="1E6F4C7A" w:rsidR="00242E8D" w:rsidRDefault="00087879">
      <w:pPr>
        <w:pStyle w:val="TableofFigures"/>
        <w:rPr>
          <w:rFonts w:asciiTheme="minorHAnsi" w:eastAsiaTheme="minorEastAsia" w:hAnsiTheme="minorHAnsi" w:cstheme="minorBidi"/>
          <w:sz w:val="22"/>
        </w:rPr>
      </w:pPr>
      <w:hyperlink w:anchor="_Toc68786426" w:history="1">
        <w:r w:rsidR="00242E8D" w:rsidRPr="00972364">
          <w:rPr>
            <w:rStyle w:val="Hyperlink"/>
          </w:rPr>
          <w:t>Table 4.7.1</w:t>
        </w:r>
        <w:r w:rsidR="00242E8D">
          <w:rPr>
            <w:rFonts w:asciiTheme="minorHAnsi" w:eastAsiaTheme="minorEastAsia" w:hAnsiTheme="minorHAnsi" w:cstheme="minorBidi"/>
            <w:sz w:val="22"/>
          </w:rPr>
          <w:tab/>
        </w:r>
        <w:r w:rsidR="00242E8D" w:rsidRPr="00972364">
          <w:rPr>
            <w:rStyle w:val="Hyperlink"/>
          </w:rPr>
          <w:t>Average charge of HFC-134a in mobile air conditioners, 2009</w:t>
        </w:r>
        <w:r w:rsidR="00242E8D">
          <w:rPr>
            <w:webHidden/>
          </w:rPr>
          <w:tab/>
        </w:r>
        <w:r w:rsidR="00242E8D">
          <w:rPr>
            <w:webHidden/>
          </w:rPr>
          <w:fldChar w:fldCharType="begin"/>
        </w:r>
        <w:r w:rsidR="00242E8D">
          <w:rPr>
            <w:webHidden/>
          </w:rPr>
          <w:instrText xml:space="preserve"> PAGEREF _Toc68786426 \h </w:instrText>
        </w:r>
        <w:r w:rsidR="00242E8D">
          <w:rPr>
            <w:webHidden/>
          </w:rPr>
        </w:r>
        <w:r w:rsidR="00242E8D">
          <w:rPr>
            <w:webHidden/>
          </w:rPr>
          <w:fldChar w:fldCharType="separate"/>
        </w:r>
        <w:r w:rsidR="00B94D2F">
          <w:rPr>
            <w:webHidden/>
          </w:rPr>
          <w:t>155</w:t>
        </w:r>
        <w:r w:rsidR="00242E8D">
          <w:rPr>
            <w:webHidden/>
          </w:rPr>
          <w:fldChar w:fldCharType="end"/>
        </w:r>
      </w:hyperlink>
    </w:p>
    <w:p w14:paraId="465BCEC6" w14:textId="53443DBF" w:rsidR="00242E8D" w:rsidRDefault="00087879">
      <w:pPr>
        <w:pStyle w:val="TableofFigures"/>
        <w:rPr>
          <w:rFonts w:asciiTheme="minorHAnsi" w:eastAsiaTheme="minorEastAsia" w:hAnsiTheme="minorHAnsi" w:cstheme="minorBidi"/>
          <w:sz w:val="22"/>
        </w:rPr>
      </w:pPr>
      <w:hyperlink w:anchor="_Toc68786427" w:history="1">
        <w:r w:rsidR="00242E8D" w:rsidRPr="00972364">
          <w:rPr>
            <w:rStyle w:val="Hyperlink"/>
          </w:rPr>
          <w:t>Table 4.7.2</w:t>
        </w:r>
        <w:r w:rsidR="00242E8D">
          <w:rPr>
            <w:rFonts w:asciiTheme="minorHAnsi" w:eastAsiaTheme="minorEastAsia" w:hAnsiTheme="minorHAnsi" w:cstheme="minorBidi"/>
            <w:sz w:val="22"/>
          </w:rPr>
          <w:tab/>
        </w:r>
        <w:r w:rsidR="00242E8D" w:rsidRPr="00972364">
          <w:rPr>
            <w:rStyle w:val="Hyperlink"/>
          </w:rPr>
          <w:t>Summary of methodological tiers by sub-application</w:t>
        </w:r>
        <w:r w:rsidR="00242E8D">
          <w:rPr>
            <w:webHidden/>
          </w:rPr>
          <w:tab/>
        </w:r>
        <w:r w:rsidR="00242E8D">
          <w:rPr>
            <w:webHidden/>
          </w:rPr>
          <w:fldChar w:fldCharType="begin"/>
        </w:r>
        <w:r w:rsidR="00242E8D">
          <w:rPr>
            <w:webHidden/>
          </w:rPr>
          <w:instrText xml:space="preserve"> PAGEREF _Toc68786427 \h </w:instrText>
        </w:r>
        <w:r w:rsidR="00242E8D">
          <w:rPr>
            <w:webHidden/>
          </w:rPr>
        </w:r>
        <w:r w:rsidR="00242E8D">
          <w:rPr>
            <w:webHidden/>
          </w:rPr>
          <w:fldChar w:fldCharType="separate"/>
        </w:r>
        <w:r w:rsidR="00B94D2F">
          <w:rPr>
            <w:webHidden/>
          </w:rPr>
          <w:t>157</w:t>
        </w:r>
        <w:r w:rsidR="00242E8D">
          <w:rPr>
            <w:webHidden/>
          </w:rPr>
          <w:fldChar w:fldCharType="end"/>
        </w:r>
      </w:hyperlink>
    </w:p>
    <w:p w14:paraId="4B1868BB" w14:textId="66771434" w:rsidR="00242E8D" w:rsidRDefault="00087879">
      <w:pPr>
        <w:pStyle w:val="TableofFigures"/>
        <w:rPr>
          <w:rFonts w:asciiTheme="minorHAnsi" w:eastAsiaTheme="minorEastAsia" w:hAnsiTheme="minorHAnsi" w:cstheme="minorBidi"/>
          <w:sz w:val="22"/>
        </w:rPr>
      </w:pPr>
      <w:hyperlink w:anchor="_Toc68786428" w:history="1">
        <w:r w:rsidR="00242E8D" w:rsidRPr="00972364">
          <w:rPr>
            <w:rStyle w:val="Hyperlink"/>
          </w:rPr>
          <w:t xml:space="preserve">Table 4.7.3 </w:t>
        </w:r>
        <w:r w:rsidR="00242E8D">
          <w:rPr>
            <w:rFonts w:asciiTheme="minorHAnsi" w:eastAsiaTheme="minorEastAsia" w:hAnsiTheme="minorHAnsi" w:cstheme="minorBidi"/>
            <w:sz w:val="22"/>
          </w:rPr>
          <w:tab/>
        </w:r>
        <w:r w:rsidR="00242E8D" w:rsidRPr="00972364">
          <w:rPr>
            <w:rStyle w:val="Hyperlink"/>
          </w:rPr>
          <w:t>New Zealand’s uncertainties in product uses as substitutes for ODS</w:t>
        </w:r>
        <w:r w:rsidR="00242E8D">
          <w:rPr>
            <w:webHidden/>
          </w:rPr>
          <w:tab/>
        </w:r>
        <w:r w:rsidR="00242E8D">
          <w:rPr>
            <w:webHidden/>
          </w:rPr>
          <w:fldChar w:fldCharType="begin"/>
        </w:r>
        <w:r w:rsidR="00242E8D">
          <w:rPr>
            <w:webHidden/>
          </w:rPr>
          <w:instrText xml:space="preserve"> PAGEREF _Toc68786428 \h </w:instrText>
        </w:r>
        <w:r w:rsidR="00242E8D">
          <w:rPr>
            <w:webHidden/>
          </w:rPr>
        </w:r>
        <w:r w:rsidR="00242E8D">
          <w:rPr>
            <w:webHidden/>
          </w:rPr>
          <w:fldChar w:fldCharType="separate"/>
        </w:r>
        <w:r w:rsidR="00B94D2F">
          <w:rPr>
            <w:webHidden/>
          </w:rPr>
          <w:t>159</w:t>
        </w:r>
        <w:r w:rsidR="00242E8D">
          <w:rPr>
            <w:webHidden/>
          </w:rPr>
          <w:fldChar w:fldCharType="end"/>
        </w:r>
      </w:hyperlink>
    </w:p>
    <w:p w14:paraId="0276AFDE" w14:textId="506D641D" w:rsidR="00242E8D" w:rsidRDefault="00087879">
      <w:pPr>
        <w:pStyle w:val="TableofFigures"/>
        <w:rPr>
          <w:rFonts w:asciiTheme="minorHAnsi" w:eastAsiaTheme="minorEastAsia" w:hAnsiTheme="minorHAnsi" w:cstheme="minorBidi"/>
          <w:sz w:val="22"/>
        </w:rPr>
      </w:pPr>
      <w:hyperlink w:anchor="_Toc68786429" w:history="1">
        <w:r w:rsidR="00242E8D" w:rsidRPr="00972364">
          <w:rPr>
            <w:rStyle w:val="Hyperlink"/>
          </w:rPr>
          <w:t>Table 4.8.1</w:t>
        </w:r>
        <w:r w:rsidR="00242E8D">
          <w:rPr>
            <w:rFonts w:asciiTheme="minorHAnsi" w:eastAsiaTheme="minorEastAsia" w:hAnsiTheme="minorHAnsi" w:cstheme="minorBidi"/>
            <w:sz w:val="22"/>
          </w:rPr>
          <w:tab/>
        </w:r>
        <w:r w:rsidR="00242E8D" w:rsidRPr="00972364">
          <w:rPr>
            <w:rStyle w:val="Hyperlink"/>
          </w:rPr>
          <w:t>Uncertainty in emissions from other product manufacture and use</w:t>
        </w:r>
        <w:r w:rsidR="00242E8D">
          <w:rPr>
            <w:webHidden/>
          </w:rPr>
          <w:tab/>
        </w:r>
        <w:r w:rsidR="00242E8D">
          <w:rPr>
            <w:webHidden/>
          </w:rPr>
          <w:fldChar w:fldCharType="begin"/>
        </w:r>
        <w:r w:rsidR="00242E8D">
          <w:rPr>
            <w:webHidden/>
          </w:rPr>
          <w:instrText xml:space="preserve"> PAGEREF _Toc68786429 \h </w:instrText>
        </w:r>
        <w:r w:rsidR="00242E8D">
          <w:rPr>
            <w:webHidden/>
          </w:rPr>
        </w:r>
        <w:r w:rsidR="00242E8D">
          <w:rPr>
            <w:webHidden/>
          </w:rPr>
          <w:fldChar w:fldCharType="separate"/>
        </w:r>
        <w:r w:rsidR="00B94D2F">
          <w:rPr>
            <w:webHidden/>
          </w:rPr>
          <w:t>162</w:t>
        </w:r>
        <w:r w:rsidR="00242E8D">
          <w:rPr>
            <w:webHidden/>
          </w:rPr>
          <w:fldChar w:fldCharType="end"/>
        </w:r>
      </w:hyperlink>
    </w:p>
    <w:p w14:paraId="1E459AA3" w14:textId="05CB07FE" w:rsidR="00242E8D" w:rsidRDefault="00087879">
      <w:pPr>
        <w:pStyle w:val="TableofFigures"/>
        <w:rPr>
          <w:rFonts w:asciiTheme="minorHAnsi" w:eastAsiaTheme="minorEastAsia" w:hAnsiTheme="minorHAnsi" w:cstheme="minorBidi"/>
          <w:sz w:val="22"/>
        </w:rPr>
      </w:pPr>
      <w:hyperlink w:anchor="_Toc68786430" w:history="1">
        <w:r w:rsidR="00242E8D" w:rsidRPr="00972364">
          <w:rPr>
            <w:rStyle w:val="Hyperlink"/>
          </w:rPr>
          <w:t xml:space="preserve">Table 5.1.1 </w:t>
        </w:r>
        <w:r w:rsidR="00242E8D">
          <w:rPr>
            <w:rFonts w:asciiTheme="minorHAnsi" w:eastAsiaTheme="minorEastAsia" w:hAnsiTheme="minorHAnsi" w:cstheme="minorBidi"/>
            <w:sz w:val="22"/>
          </w:rPr>
          <w:tab/>
        </w:r>
        <w:r w:rsidR="00242E8D" w:rsidRPr="00972364">
          <w:rPr>
            <w:rStyle w:val="Hyperlink"/>
          </w:rPr>
          <w:t>Trends and relative contribution of New Zealand’s agricultural greenhouse gas emissions by category between 1990 and 2019</w:t>
        </w:r>
        <w:r w:rsidR="00242E8D">
          <w:rPr>
            <w:webHidden/>
          </w:rPr>
          <w:tab/>
        </w:r>
        <w:r w:rsidR="00242E8D">
          <w:rPr>
            <w:webHidden/>
          </w:rPr>
          <w:fldChar w:fldCharType="begin"/>
        </w:r>
        <w:r w:rsidR="00242E8D">
          <w:rPr>
            <w:webHidden/>
          </w:rPr>
          <w:instrText xml:space="preserve"> PAGEREF _Toc68786430 \h </w:instrText>
        </w:r>
        <w:r w:rsidR="00242E8D">
          <w:rPr>
            <w:webHidden/>
          </w:rPr>
        </w:r>
        <w:r w:rsidR="00242E8D">
          <w:rPr>
            <w:webHidden/>
          </w:rPr>
          <w:fldChar w:fldCharType="separate"/>
        </w:r>
        <w:r w:rsidR="00B94D2F">
          <w:rPr>
            <w:webHidden/>
          </w:rPr>
          <w:t>165</w:t>
        </w:r>
        <w:r w:rsidR="00242E8D">
          <w:rPr>
            <w:webHidden/>
          </w:rPr>
          <w:fldChar w:fldCharType="end"/>
        </w:r>
      </w:hyperlink>
    </w:p>
    <w:p w14:paraId="6F4A2187" w14:textId="3042405C" w:rsidR="00242E8D" w:rsidRDefault="00087879">
      <w:pPr>
        <w:pStyle w:val="TableofFigures"/>
        <w:rPr>
          <w:rFonts w:asciiTheme="minorHAnsi" w:eastAsiaTheme="minorEastAsia" w:hAnsiTheme="minorHAnsi" w:cstheme="minorBidi"/>
          <w:sz w:val="22"/>
        </w:rPr>
      </w:pPr>
      <w:hyperlink w:anchor="_Toc68786431" w:history="1">
        <w:r w:rsidR="00242E8D" w:rsidRPr="00972364">
          <w:rPr>
            <w:rStyle w:val="Hyperlink"/>
          </w:rPr>
          <w:t xml:space="preserve">Table 5.1.2 </w:t>
        </w:r>
        <w:r w:rsidR="00242E8D">
          <w:rPr>
            <w:rFonts w:asciiTheme="minorHAnsi" w:eastAsiaTheme="minorEastAsia" w:hAnsiTheme="minorHAnsi" w:cstheme="minorBidi"/>
            <w:sz w:val="22"/>
          </w:rPr>
          <w:tab/>
        </w:r>
        <w:r w:rsidR="00242E8D" w:rsidRPr="00972364">
          <w:rPr>
            <w:rStyle w:val="Hyperlink"/>
          </w:rPr>
          <w:t>Key categories in the Agriculture sector</w:t>
        </w:r>
        <w:r w:rsidR="00242E8D">
          <w:rPr>
            <w:webHidden/>
          </w:rPr>
          <w:tab/>
        </w:r>
        <w:r w:rsidR="00242E8D">
          <w:rPr>
            <w:webHidden/>
          </w:rPr>
          <w:fldChar w:fldCharType="begin"/>
        </w:r>
        <w:r w:rsidR="00242E8D">
          <w:rPr>
            <w:webHidden/>
          </w:rPr>
          <w:instrText xml:space="preserve"> PAGEREF _Toc68786431 \h </w:instrText>
        </w:r>
        <w:r w:rsidR="00242E8D">
          <w:rPr>
            <w:webHidden/>
          </w:rPr>
        </w:r>
        <w:r w:rsidR="00242E8D">
          <w:rPr>
            <w:webHidden/>
          </w:rPr>
          <w:fldChar w:fldCharType="separate"/>
        </w:r>
        <w:r w:rsidR="00B94D2F">
          <w:rPr>
            <w:webHidden/>
          </w:rPr>
          <w:t>170</w:t>
        </w:r>
        <w:r w:rsidR="00242E8D">
          <w:rPr>
            <w:webHidden/>
          </w:rPr>
          <w:fldChar w:fldCharType="end"/>
        </w:r>
      </w:hyperlink>
    </w:p>
    <w:p w14:paraId="09F51F5F" w14:textId="760669D4" w:rsidR="00242E8D" w:rsidRDefault="00087879">
      <w:pPr>
        <w:pStyle w:val="TableofFigures"/>
        <w:rPr>
          <w:rFonts w:asciiTheme="minorHAnsi" w:eastAsiaTheme="minorEastAsia" w:hAnsiTheme="minorHAnsi" w:cstheme="minorBidi"/>
          <w:sz w:val="22"/>
        </w:rPr>
      </w:pPr>
      <w:hyperlink w:anchor="_Toc68786432" w:history="1">
        <w:r w:rsidR="00242E8D" w:rsidRPr="00972364">
          <w:rPr>
            <w:rStyle w:val="Hyperlink"/>
          </w:rPr>
          <w:t xml:space="preserve">Table 5.1.3 </w:t>
        </w:r>
        <w:r w:rsidR="00242E8D">
          <w:rPr>
            <w:rFonts w:asciiTheme="minorHAnsi" w:eastAsiaTheme="minorEastAsia" w:hAnsiTheme="minorHAnsi" w:cstheme="minorBidi"/>
            <w:sz w:val="22"/>
          </w:rPr>
          <w:tab/>
        </w:r>
        <w:r w:rsidR="00242E8D" w:rsidRPr="00972364">
          <w:rPr>
            <w:rStyle w:val="Hyperlink"/>
          </w:rPr>
          <w:t>Methods and emission factors in the Agriculture sector</w:t>
        </w:r>
        <w:r w:rsidR="00242E8D">
          <w:rPr>
            <w:webHidden/>
          </w:rPr>
          <w:tab/>
        </w:r>
        <w:r w:rsidR="00242E8D">
          <w:rPr>
            <w:webHidden/>
          </w:rPr>
          <w:fldChar w:fldCharType="begin"/>
        </w:r>
        <w:r w:rsidR="00242E8D">
          <w:rPr>
            <w:webHidden/>
          </w:rPr>
          <w:instrText xml:space="preserve"> PAGEREF _Toc68786432 \h </w:instrText>
        </w:r>
        <w:r w:rsidR="00242E8D">
          <w:rPr>
            <w:webHidden/>
          </w:rPr>
        </w:r>
        <w:r w:rsidR="00242E8D">
          <w:rPr>
            <w:webHidden/>
          </w:rPr>
          <w:fldChar w:fldCharType="separate"/>
        </w:r>
        <w:r w:rsidR="00B94D2F">
          <w:rPr>
            <w:webHidden/>
          </w:rPr>
          <w:t>171</w:t>
        </w:r>
        <w:r w:rsidR="00242E8D">
          <w:rPr>
            <w:webHidden/>
          </w:rPr>
          <w:fldChar w:fldCharType="end"/>
        </w:r>
      </w:hyperlink>
    </w:p>
    <w:p w14:paraId="1BC14592" w14:textId="597B2240" w:rsidR="00242E8D" w:rsidRDefault="00087879">
      <w:pPr>
        <w:pStyle w:val="TableofFigures"/>
        <w:rPr>
          <w:rFonts w:asciiTheme="minorHAnsi" w:eastAsiaTheme="minorEastAsia" w:hAnsiTheme="minorHAnsi" w:cstheme="minorBidi"/>
          <w:sz w:val="22"/>
        </w:rPr>
      </w:pPr>
      <w:hyperlink w:anchor="_Toc68786433" w:history="1">
        <w:r w:rsidR="00242E8D" w:rsidRPr="00972364">
          <w:rPr>
            <w:rStyle w:val="Hyperlink"/>
          </w:rPr>
          <w:t xml:space="preserve">Table 5.1.4 </w:t>
        </w:r>
        <w:r w:rsidR="00242E8D">
          <w:rPr>
            <w:rFonts w:asciiTheme="minorHAnsi" w:eastAsiaTheme="minorEastAsia" w:hAnsiTheme="minorHAnsi" w:cstheme="minorBidi"/>
            <w:sz w:val="22"/>
          </w:rPr>
          <w:tab/>
        </w:r>
        <w:r w:rsidR="00242E8D" w:rsidRPr="00972364">
          <w:rPr>
            <w:rStyle w:val="Hyperlink"/>
          </w:rPr>
          <w:t>Agriculture sectoral approval process for inventory recalculations and improvements</w:t>
        </w:r>
        <w:r w:rsidR="00242E8D">
          <w:rPr>
            <w:webHidden/>
          </w:rPr>
          <w:tab/>
        </w:r>
        <w:r w:rsidR="00242E8D">
          <w:rPr>
            <w:webHidden/>
          </w:rPr>
          <w:fldChar w:fldCharType="begin"/>
        </w:r>
        <w:r w:rsidR="00242E8D">
          <w:rPr>
            <w:webHidden/>
          </w:rPr>
          <w:instrText xml:space="preserve"> PAGEREF _Toc68786433 \h </w:instrText>
        </w:r>
        <w:r w:rsidR="00242E8D">
          <w:rPr>
            <w:webHidden/>
          </w:rPr>
        </w:r>
        <w:r w:rsidR="00242E8D">
          <w:rPr>
            <w:webHidden/>
          </w:rPr>
          <w:fldChar w:fldCharType="separate"/>
        </w:r>
        <w:r w:rsidR="00B94D2F">
          <w:rPr>
            <w:webHidden/>
          </w:rPr>
          <w:t>186</w:t>
        </w:r>
        <w:r w:rsidR="00242E8D">
          <w:rPr>
            <w:webHidden/>
          </w:rPr>
          <w:fldChar w:fldCharType="end"/>
        </w:r>
      </w:hyperlink>
    </w:p>
    <w:p w14:paraId="6096C582" w14:textId="4FDEB65A" w:rsidR="00242E8D" w:rsidRDefault="00087879">
      <w:pPr>
        <w:pStyle w:val="TableofFigures"/>
        <w:rPr>
          <w:rFonts w:asciiTheme="minorHAnsi" w:eastAsiaTheme="minorEastAsia" w:hAnsiTheme="minorHAnsi" w:cstheme="minorBidi"/>
          <w:sz w:val="22"/>
        </w:rPr>
      </w:pPr>
      <w:hyperlink w:anchor="_Toc68786434" w:history="1">
        <w:r w:rsidR="00242E8D" w:rsidRPr="00972364">
          <w:rPr>
            <w:rStyle w:val="Hyperlink"/>
          </w:rPr>
          <w:t>Table 5.2.1</w:t>
        </w:r>
        <w:r w:rsidR="00242E8D">
          <w:rPr>
            <w:rFonts w:asciiTheme="minorHAnsi" w:eastAsiaTheme="minorEastAsia" w:hAnsiTheme="minorHAnsi" w:cstheme="minorBidi"/>
            <w:sz w:val="22"/>
          </w:rPr>
          <w:tab/>
        </w:r>
        <w:r w:rsidR="00242E8D" w:rsidRPr="00972364">
          <w:rPr>
            <w:rStyle w:val="Hyperlink"/>
          </w:rPr>
          <w:t>Trends and relative contribution of enteric fermentation (methane expressed in kt CO</w:t>
        </w:r>
        <w:r w:rsidR="00242E8D" w:rsidRPr="00972364">
          <w:rPr>
            <w:rStyle w:val="Hyperlink"/>
            <w:vertAlign w:val="subscript"/>
          </w:rPr>
          <w:t>2</w:t>
        </w:r>
        <w:r w:rsidR="00242E8D" w:rsidRPr="00972364">
          <w:rPr>
            <w:rStyle w:val="Hyperlink"/>
          </w:rPr>
          <w:t>-e) from livestock categories between 1990 and 2019</w:t>
        </w:r>
        <w:r w:rsidR="00242E8D">
          <w:rPr>
            <w:webHidden/>
          </w:rPr>
          <w:tab/>
        </w:r>
        <w:r w:rsidR="00242E8D">
          <w:rPr>
            <w:webHidden/>
          </w:rPr>
          <w:fldChar w:fldCharType="begin"/>
        </w:r>
        <w:r w:rsidR="00242E8D">
          <w:rPr>
            <w:webHidden/>
          </w:rPr>
          <w:instrText xml:space="preserve"> PAGEREF _Toc68786434 \h </w:instrText>
        </w:r>
        <w:r w:rsidR="00242E8D">
          <w:rPr>
            <w:webHidden/>
          </w:rPr>
        </w:r>
        <w:r w:rsidR="00242E8D">
          <w:rPr>
            <w:webHidden/>
          </w:rPr>
          <w:fldChar w:fldCharType="separate"/>
        </w:r>
        <w:r w:rsidR="00B94D2F">
          <w:rPr>
            <w:webHidden/>
          </w:rPr>
          <w:t>189</w:t>
        </w:r>
        <w:r w:rsidR="00242E8D">
          <w:rPr>
            <w:webHidden/>
          </w:rPr>
          <w:fldChar w:fldCharType="end"/>
        </w:r>
      </w:hyperlink>
    </w:p>
    <w:p w14:paraId="1323F368" w14:textId="4B57DEEC" w:rsidR="00242E8D" w:rsidRDefault="00087879">
      <w:pPr>
        <w:pStyle w:val="TableofFigures"/>
        <w:rPr>
          <w:rFonts w:asciiTheme="minorHAnsi" w:eastAsiaTheme="minorEastAsia" w:hAnsiTheme="minorHAnsi" w:cstheme="minorBidi"/>
          <w:sz w:val="22"/>
        </w:rPr>
      </w:pPr>
      <w:hyperlink w:anchor="_Toc68786435" w:history="1">
        <w:r w:rsidR="00242E8D" w:rsidRPr="00972364">
          <w:rPr>
            <w:rStyle w:val="Hyperlink"/>
          </w:rPr>
          <w:t>Table 5.2.2</w:t>
        </w:r>
        <w:r w:rsidR="00242E8D">
          <w:rPr>
            <w:rFonts w:asciiTheme="minorHAnsi" w:eastAsiaTheme="minorEastAsia" w:hAnsiTheme="minorHAnsi" w:cstheme="minorBidi"/>
            <w:sz w:val="22"/>
          </w:rPr>
          <w:tab/>
        </w:r>
        <w:r w:rsidR="00242E8D" w:rsidRPr="00972364">
          <w:rPr>
            <w:rStyle w:val="Hyperlink"/>
          </w:rPr>
          <w:t>Methane (CH</w:t>
        </w:r>
        <w:r w:rsidR="00242E8D" w:rsidRPr="00972364">
          <w:rPr>
            <w:rStyle w:val="Hyperlink"/>
            <w:vertAlign w:val="subscript"/>
          </w:rPr>
          <w:t>4</w:t>
        </w:r>
        <w:r w:rsidR="00242E8D" w:rsidRPr="00972364">
          <w:rPr>
            <w:rStyle w:val="Hyperlink"/>
          </w:rPr>
          <w:t>) emissions and gross energy intake (GEI) from New Zealand measurements and IPCC (2006) default values</w:t>
        </w:r>
        <w:r w:rsidR="00242E8D">
          <w:rPr>
            <w:webHidden/>
          </w:rPr>
          <w:tab/>
        </w:r>
        <w:r w:rsidR="00242E8D">
          <w:rPr>
            <w:webHidden/>
          </w:rPr>
          <w:fldChar w:fldCharType="begin"/>
        </w:r>
        <w:r w:rsidR="00242E8D">
          <w:rPr>
            <w:webHidden/>
          </w:rPr>
          <w:instrText xml:space="preserve"> PAGEREF _Toc68786435 \h </w:instrText>
        </w:r>
        <w:r w:rsidR="00242E8D">
          <w:rPr>
            <w:webHidden/>
          </w:rPr>
        </w:r>
        <w:r w:rsidR="00242E8D">
          <w:rPr>
            <w:webHidden/>
          </w:rPr>
          <w:fldChar w:fldCharType="separate"/>
        </w:r>
        <w:r w:rsidR="00B94D2F">
          <w:rPr>
            <w:webHidden/>
          </w:rPr>
          <w:t>192</w:t>
        </w:r>
        <w:r w:rsidR="00242E8D">
          <w:rPr>
            <w:webHidden/>
          </w:rPr>
          <w:fldChar w:fldCharType="end"/>
        </w:r>
      </w:hyperlink>
    </w:p>
    <w:p w14:paraId="653D94D3" w14:textId="4A9D7A21" w:rsidR="00242E8D" w:rsidRDefault="00087879">
      <w:pPr>
        <w:pStyle w:val="TableofFigures"/>
        <w:rPr>
          <w:rFonts w:asciiTheme="minorHAnsi" w:eastAsiaTheme="minorEastAsia" w:hAnsiTheme="minorHAnsi" w:cstheme="minorBidi"/>
          <w:sz w:val="22"/>
        </w:rPr>
      </w:pPr>
      <w:hyperlink w:anchor="_Toc68786436" w:history="1">
        <w:r w:rsidR="00242E8D" w:rsidRPr="00972364">
          <w:rPr>
            <w:rStyle w:val="Hyperlink"/>
          </w:rPr>
          <w:t>Table 5.2.3</w:t>
        </w:r>
        <w:r w:rsidR="00242E8D">
          <w:rPr>
            <w:rFonts w:asciiTheme="minorHAnsi" w:eastAsiaTheme="minorEastAsia" w:hAnsiTheme="minorHAnsi" w:cstheme="minorBidi"/>
            <w:sz w:val="22"/>
          </w:rPr>
          <w:tab/>
        </w:r>
        <w:r w:rsidR="00242E8D" w:rsidRPr="00972364">
          <w:rPr>
            <w:rStyle w:val="Hyperlink"/>
          </w:rPr>
          <w:t>New Zealand’s implied emission factors for enteric fermentation from 1990 to 2019</w:t>
        </w:r>
        <w:r w:rsidR="00242E8D">
          <w:rPr>
            <w:webHidden/>
          </w:rPr>
          <w:tab/>
        </w:r>
        <w:r w:rsidR="00242E8D">
          <w:rPr>
            <w:webHidden/>
          </w:rPr>
          <w:fldChar w:fldCharType="begin"/>
        </w:r>
        <w:r w:rsidR="00242E8D">
          <w:rPr>
            <w:webHidden/>
          </w:rPr>
          <w:instrText xml:space="preserve"> PAGEREF _Toc68786436 \h </w:instrText>
        </w:r>
        <w:r w:rsidR="00242E8D">
          <w:rPr>
            <w:webHidden/>
          </w:rPr>
        </w:r>
        <w:r w:rsidR="00242E8D">
          <w:rPr>
            <w:webHidden/>
          </w:rPr>
          <w:fldChar w:fldCharType="separate"/>
        </w:r>
        <w:r w:rsidR="00B94D2F">
          <w:rPr>
            <w:webHidden/>
          </w:rPr>
          <w:t>192</w:t>
        </w:r>
        <w:r w:rsidR="00242E8D">
          <w:rPr>
            <w:webHidden/>
          </w:rPr>
          <w:fldChar w:fldCharType="end"/>
        </w:r>
      </w:hyperlink>
    </w:p>
    <w:p w14:paraId="06835DC3" w14:textId="734E21C1" w:rsidR="00242E8D" w:rsidRDefault="00087879">
      <w:pPr>
        <w:pStyle w:val="TableofFigures"/>
        <w:rPr>
          <w:rFonts w:asciiTheme="minorHAnsi" w:eastAsiaTheme="minorEastAsia" w:hAnsiTheme="minorHAnsi" w:cstheme="minorBidi"/>
          <w:sz w:val="22"/>
        </w:rPr>
      </w:pPr>
      <w:hyperlink w:anchor="_Toc68786437" w:history="1">
        <w:r w:rsidR="00242E8D" w:rsidRPr="00972364">
          <w:rPr>
            <w:rStyle w:val="Hyperlink"/>
          </w:rPr>
          <w:t>Table 5.2.4</w:t>
        </w:r>
        <w:r w:rsidR="00242E8D">
          <w:rPr>
            <w:rFonts w:asciiTheme="minorHAnsi" w:eastAsiaTheme="minorEastAsia" w:hAnsiTheme="minorHAnsi" w:cstheme="minorBidi"/>
            <w:sz w:val="22"/>
          </w:rPr>
          <w:tab/>
        </w:r>
        <w:r w:rsidR="00242E8D" w:rsidRPr="00972364">
          <w:rPr>
            <w:rStyle w:val="Hyperlink"/>
          </w:rPr>
          <w:t>New Zealand’s uncertainty in the annual estimate of enteric fermentation emissions for 1990 and 2019, estimated using the 95 per cent confidence interval (±16 per cent)</w:t>
        </w:r>
        <w:r w:rsidR="00242E8D">
          <w:rPr>
            <w:webHidden/>
          </w:rPr>
          <w:tab/>
        </w:r>
        <w:r w:rsidR="00242E8D">
          <w:rPr>
            <w:webHidden/>
          </w:rPr>
          <w:fldChar w:fldCharType="begin"/>
        </w:r>
        <w:r w:rsidR="00242E8D">
          <w:rPr>
            <w:webHidden/>
          </w:rPr>
          <w:instrText xml:space="preserve"> PAGEREF _Toc68786437 \h </w:instrText>
        </w:r>
        <w:r w:rsidR="00242E8D">
          <w:rPr>
            <w:webHidden/>
          </w:rPr>
        </w:r>
        <w:r w:rsidR="00242E8D">
          <w:rPr>
            <w:webHidden/>
          </w:rPr>
          <w:fldChar w:fldCharType="separate"/>
        </w:r>
        <w:r w:rsidR="00B94D2F">
          <w:rPr>
            <w:webHidden/>
          </w:rPr>
          <w:t>195</w:t>
        </w:r>
        <w:r w:rsidR="00242E8D">
          <w:rPr>
            <w:webHidden/>
          </w:rPr>
          <w:fldChar w:fldCharType="end"/>
        </w:r>
      </w:hyperlink>
    </w:p>
    <w:p w14:paraId="78B0C605" w14:textId="06616D93" w:rsidR="00242E8D" w:rsidRDefault="00087879">
      <w:pPr>
        <w:pStyle w:val="TableofFigures"/>
        <w:rPr>
          <w:rFonts w:asciiTheme="minorHAnsi" w:eastAsiaTheme="minorEastAsia" w:hAnsiTheme="minorHAnsi" w:cstheme="minorBidi"/>
          <w:sz w:val="22"/>
        </w:rPr>
      </w:pPr>
      <w:hyperlink w:anchor="_Toc68786438" w:history="1">
        <w:r w:rsidR="00242E8D" w:rsidRPr="00972364">
          <w:rPr>
            <w:rStyle w:val="Hyperlink"/>
          </w:rPr>
          <w:t>Table 5.2.5</w:t>
        </w:r>
        <w:r w:rsidR="00242E8D">
          <w:rPr>
            <w:rFonts w:asciiTheme="minorHAnsi" w:eastAsiaTheme="minorEastAsia" w:hAnsiTheme="minorHAnsi" w:cstheme="minorBidi"/>
            <w:sz w:val="22"/>
          </w:rPr>
          <w:tab/>
        </w:r>
        <w:r w:rsidR="00242E8D" w:rsidRPr="00972364">
          <w:rPr>
            <w:rStyle w:val="Hyperlink"/>
          </w:rPr>
          <w:t>Comparison of the IPCC (2006) default emissions factor and country-specific implied emission factors (IEFs) for methane (CH</w:t>
        </w:r>
        <w:r w:rsidR="00242E8D" w:rsidRPr="00972364">
          <w:rPr>
            <w:rStyle w:val="Hyperlink"/>
            <w:vertAlign w:val="subscript"/>
          </w:rPr>
          <w:t>4</w:t>
        </w:r>
        <w:r w:rsidR="00242E8D" w:rsidRPr="00972364">
          <w:rPr>
            <w:rStyle w:val="Hyperlink"/>
          </w:rPr>
          <w:t>) from Enteric fermentation for Dairy cattle, Non</w:t>
        </w:r>
        <w:r w:rsidR="00242E8D" w:rsidRPr="00972364">
          <w:rPr>
            <w:rStyle w:val="Hyperlink"/>
          </w:rPr>
          <w:noBreakHyphen/>
          <w:t>dairy (beef) cattle and Sheep</w:t>
        </w:r>
        <w:r w:rsidR="00242E8D">
          <w:rPr>
            <w:webHidden/>
          </w:rPr>
          <w:tab/>
        </w:r>
        <w:r w:rsidR="00242E8D">
          <w:rPr>
            <w:webHidden/>
          </w:rPr>
          <w:fldChar w:fldCharType="begin"/>
        </w:r>
        <w:r w:rsidR="00242E8D">
          <w:rPr>
            <w:webHidden/>
          </w:rPr>
          <w:instrText xml:space="preserve"> PAGEREF _Toc68786438 \h </w:instrText>
        </w:r>
        <w:r w:rsidR="00242E8D">
          <w:rPr>
            <w:webHidden/>
          </w:rPr>
        </w:r>
        <w:r w:rsidR="00242E8D">
          <w:rPr>
            <w:webHidden/>
          </w:rPr>
          <w:fldChar w:fldCharType="separate"/>
        </w:r>
        <w:r w:rsidR="00B94D2F">
          <w:rPr>
            <w:webHidden/>
          </w:rPr>
          <w:t>196</w:t>
        </w:r>
        <w:r w:rsidR="00242E8D">
          <w:rPr>
            <w:webHidden/>
          </w:rPr>
          <w:fldChar w:fldCharType="end"/>
        </w:r>
      </w:hyperlink>
    </w:p>
    <w:p w14:paraId="30A9B942" w14:textId="63007DA8" w:rsidR="00242E8D" w:rsidRDefault="00087879">
      <w:pPr>
        <w:pStyle w:val="TableofFigures"/>
        <w:rPr>
          <w:rFonts w:asciiTheme="minorHAnsi" w:eastAsiaTheme="minorEastAsia" w:hAnsiTheme="minorHAnsi" w:cstheme="minorBidi"/>
          <w:sz w:val="22"/>
        </w:rPr>
      </w:pPr>
      <w:hyperlink w:anchor="_Toc68786439" w:history="1">
        <w:r w:rsidR="00242E8D" w:rsidRPr="00972364">
          <w:rPr>
            <w:rStyle w:val="Hyperlink"/>
          </w:rPr>
          <w:t>Table 5.2.6</w:t>
        </w:r>
        <w:r w:rsidR="00242E8D">
          <w:rPr>
            <w:rFonts w:asciiTheme="minorHAnsi" w:eastAsiaTheme="minorEastAsia" w:hAnsiTheme="minorHAnsi" w:cstheme="minorBidi"/>
            <w:sz w:val="22"/>
          </w:rPr>
          <w:tab/>
        </w:r>
        <w:r w:rsidR="00242E8D" w:rsidRPr="00972364">
          <w:rPr>
            <w:rStyle w:val="Hyperlink"/>
          </w:rPr>
          <w:t>Comparison of current and previous emissions estimates for enteric fermentation before and after the adoption of updated pasture quality data</w:t>
        </w:r>
        <w:r w:rsidR="00242E8D">
          <w:rPr>
            <w:webHidden/>
          </w:rPr>
          <w:tab/>
        </w:r>
        <w:r w:rsidR="00242E8D">
          <w:rPr>
            <w:webHidden/>
          </w:rPr>
          <w:fldChar w:fldCharType="begin"/>
        </w:r>
        <w:r w:rsidR="00242E8D">
          <w:rPr>
            <w:webHidden/>
          </w:rPr>
          <w:instrText xml:space="preserve"> PAGEREF _Toc68786439 \h </w:instrText>
        </w:r>
        <w:r w:rsidR="00242E8D">
          <w:rPr>
            <w:webHidden/>
          </w:rPr>
        </w:r>
        <w:r w:rsidR="00242E8D">
          <w:rPr>
            <w:webHidden/>
          </w:rPr>
          <w:fldChar w:fldCharType="separate"/>
        </w:r>
        <w:r w:rsidR="00B94D2F">
          <w:rPr>
            <w:webHidden/>
          </w:rPr>
          <w:t>198</w:t>
        </w:r>
        <w:r w:rsidR="00242E8D">
          <w:rPr>
            <w:webHidden/>
          </w:rPr>
          <w:fldChar w:fldCharType="end"/>
        </w:r>
      </w:hyperlink>
    </w:p>
    <w:p w14:paraId="7A34F429" w14:textId="79EC1465" w:rsidR="00242E8D" w:rsidRDefault="00087879">
      <w:pPr>
        <w:pStyle w:val="TableofFigures"/>
        <w:rPr>
          <w:rFonts w:asciiTheme="minorHAnsi" w:eastAsiaTheme="minorEastAsia" w:hAnsiTheme="minorHAnsi" w:cstheme="minorBidi"/>
          <w:sz w:val="22"/>
        </w:rPr>
      </w:pPr>
      <w:hyperlink w:anchor="_Toc68786440" w:history="1">
        <w:r w:rsidR="00242E8D" w:rsidRPr="00972364">
          <w:rPr>
            <w:rStyle w:val="Hyperlink"/>
          </w:rPr>
          <w:t>Table 5.3.1</w:t>
        </w:r>
        <w:r w:rsidR="00242E8D">
          <w:rPr>
            <w:rFonts w:asciiTheme="minorHAnsi" w:eastAsiaTheme="minorEastAsia" w:hAnsiTheme="minorHAnsi" w:cstheme="minorBidi"/>
            <w:sz w:val="22"/>
          </w:rPr>
          <w:tab/>
        </w:r>
        <w:r w:rsidR="00242E8D" w:rsidRPr="00972364">
          <w:rPr>
            <w:rStyle w:val="Hyperlink"/>
          </w:rPr>
          <w:t>Trends and relative contribution of methane and nitrous oxide emissions under the Manure management category between 1990 and 2019</w:t>
        </w:r>
        <w:r w:rsidR="00242E8D">
          <w:rPr>
            <w:webHidden/>
          </w:rPr>
          <w:tab/>
        </w:r>
        <w:r w:rsidR="00242E8D">
          <w:rPr>
            <w:webHidden/>
          </w:rPr>
          <w:fldChar w:fldCharType="begin"/>
        </w:r>
        <w:r w:rsidR="00242E8D">
          <w:rPr>
            <w:webHidden/>
          </w:rPr>
          <w:instrText xml:space="preserve"> PAGEREF _Toc68786440 \h </w:instrText>
        </w:r>
        <w:r w:rsidR="00242E8D">
          <w:rPr>
            <w:webHidden/>
          </w:rPr>
        </w:r>
        <w:r w:rsidR="00242E8D">
          <w:rPr>
            <w:webHidden/>
          </w:rPr>
          <w:fldChar w:fldCharType="separate"/>
        </w:r>
        <w:r w:rsidR="00B94D2F">
          <w:rPr>
            <w:webHidden/>
          </w:rPr>
          <w:t>200</w:t>
        </w:r>
        <w:r w:rsidR="00242E8D">
          <w:rPr>
            <w:webHidden/>
          </w:rPr>
          <w:fldChar w:fldCharType="end"/>
        </w:r>
      </w:hyperlink>
    </w:p>
    <w:p w14:paraId="5C87CB45" w14:textId="0EADBDBE" w:rsidR="00242E8D" w:rsidRDefault="00087879">
      <w:pPr>
        <w:pStyle w:val="TableofFigures"/>
        <w:rPr>
          <w:rFonts w:asciiTheme="minorHAnsi" w:eastAsiaTheme="minorEastAsia" w:hAnsiTheme="minorHAnsi" w:cstheme="minorBidi"/>
          <w:sz w:val="22"/>
        </w:rPr>
      </w:pPr>
      <w:hyperlink w:anchor="_Toc68786441" w:history="1">
        <w:r w:rsidR="00242E8D" w:rsidRPr="00972364">
          <w:rPr>
            <w:rStyle w:val="Hyperlink"/>
          </w:rPr>
          <w:t>Table 5.3.2</w:t>
        </w:r>
        <w:r w:rsidR="00242E8D">
          <w:rPr>
            <w:rFonts w:asciiTheme="minorHAnsi" w:eastAsiaTheme="minorEastAsia" w:hAnsiTheme="minorHAnsi" w:cstheme="minorBidi"/>
            <w:sz w:val="22"/>
          </w:rPr>
          <w:tab/>
        </w:r>
        <w:r w:rsidR="00242E8D" w:rsidRPr="00972364">
          <w:rPr>
            <w:rStyle w:val="Hyperlink"/>
          </w:rPr>
          <w:t>Distribution of livestock waste across animal waste management systems in New Zealand</w:t>
        </w:r>
        <w:r w:rsidR="00242E8D">
          <w:rPr>
            <w:webHidden/>
          </w:rPr>
          <w:tab/>
        </w:r>
        <w:r w:rsidR="00242E8D">
          <w:rPr>
            <w:webHidden/>
          </w:rPr>
          <w:fldChar w:fldCharType="begin"/>
        </w:r>
        <w:r w:rsidR="00242E8D">
          <w:rPr>
            <w:webHidden/>
          </w:rPr>
          <w:instrText xml:space="preserve"> PAGEREF _Toc68786441 \h </w:instrText>
        </w:r>
        <w:r w:rsidR="00242E8D">
          <w:rPr>
            <w:webHidden/>
          </w:rPr>
        </w:r>
        <w:r w:rsidR="00242E8D">
          <w:rPr>
            <w:webHidden/>
          </w:rPr>
          <w:fldChar w:fldCharType="separate"/>
        </w:r>
        <w:r w:rsidR="00B94D2F">
          <w:rPr>
            <w:webHidden/>
          </w:rPr>
          <w:t>200</w:t>
        </w:r>
        <w:r w:rsidR="00242E8D">
          <w:rPr>
            <w:webHidden/>
          </w:rPr>
          <w:fldChar w:fldCharType="end"/>
        </w:r>
      </w:hyperlink>
    </w:p>
    <w:p w14:paraId="608DF200" w14:textId="65164F95" w:rsidR="00242E8D" w:rsidRDefault="00087879">
      <w:pPr>
        <w:pStyle w:val="TableofFigures"/>
        <w:rPr>
          <w:rFonts w:asciiTheme="minorHAnsi" w:eastAsiaTheme="minorEastAsia" w:hAnsiTheme="minorHAnsi" w:cstheme="minorBidi"/>
          <w:sz w:val="22"/>
        </w:rPr>
      </w:pPr>
      <w:hyperlink w:anchor="_Toc68786442" w:history="1">
        <w:r w:rsidR="00242E8D" w:rsidRPr="00972364">
          <w:rPr>
            <w:rStyle w:val="Hyperlink"/>
          </w:rPr>
          <w:t>Table 5.3.3</w:t>
        </w:r>
        <w:r w:rsidR="00242E8D">
          <w:rPr>
            <w:rFonts w:asciiTheme="minorHAnsi" w:eastAsiaTheme="minorEastAsia" w:hAnsiTheme="minorHAnsi" w:cstheme="minorBidi"/>
            <w:sz w:val="22"/>
          </w:rPr>
          <w:tab/>
        </w:r>
        <w:r w:rsidR="00242E8D" w:rsidRPr="00972364">
          <w:rPr>
            <w:rStyle w:val="Hyperlink"/>
          </w:rPr>
          <w:t>Nitrogen excretion rates (N</w:t>
        </w:r>
        <w:r w:rsidR="00242E8D" w:rsidRPr="00972364">
          <w:rPr>
            <w:rStyle w:val="Hyperlink"/>
            <w:vertAlign w:val="subscript"/>
          </w:rPr>
          <w:t>ex</w:t>
        </w:r>
        <w:r w:rsidR="00242E8D" w:rsidRPr="00972364">
          <w:rPr>
            <w:rStyle w:val="Hyperlink"/>
          </w:rPr>
          <w:t>) for New Zealand’s major livestock categories from 1990 to 2019</w:t>
        </w:r>
        <w:r w:rsidR="00242E8D">
          <w:rPr>
            <w:webHidden/>
          </w:rPr>
          <w:tab/>
        </w:r>
        <w:r w:rsidR="00242E8D">
          <w:rPr>
            <w:webHidden/>
          </w:rPr>
          <w:fldChar w:fldCharType="begin"/>
        </w:r>
        <w:r w:rsidR="00242E8D">
          <w:rPr>
            <w:webHidden/>
          </w:rPr>
          <w:instrText xml:space="preserve"> PAGEREF _Toc68786442 \h </w:instrText>
        </w:r>
        <w:r w:rsidR="00242E8D">
          <w:rPr>
            <w:webHidden/>
          </w:rPr>
        </w:r>
        <w:r w:rsidR="00242E8D">
          <w:rPr>
            <w:webHidden/>
          </w:rPr>
          <w:fldChar w:fldCharType="separate"/>
        </w:r>
        <w:r w:rsidR="00B94D2F">
          <w:rPr>
            <w:webHidden/>
          </w:rPr>
          <w:t>204</w:t>
        </w:r>
        <w:r w:rsidR="00242E8D">
          <w:rPr>
            <w:webHidden/>
          </w:rPr>
          <w:fldChar w:fldCharType="end"/>
        </w:r>
      </w:hyperlink>
    </w:p>
    <w:p w14:paraId="4089E555" w14:textId="79AC02AC" w:rsidR="00242E8D" w:rsidRDefault="00087879">
      <w:pPr>
        <w:pStyle w:val="TableofFigures"/>
        <w:rPr>
          <w:rFonts w:asciiTheme="minorHAnsi" w:eastAsiaTheme="minorEastAsia" w:hAnsiTheme="minorHAnsi" w:cstheme="minorBidi"/>
          <w:sz w:val="22"/>
        </w:rPr>
      </w:pPr>
      <w:hyperlink w:anchor="_Toc68786443" w:history="1">
        <w:r w:rsidR="00242E8D" w:rsidRPr="00972364">
          <w:rPr>
            <w:rStyle w:val="Hyperlink"/>
          </w:rPr>
          <w:t>Table 5.3.4</w:t>
        </w:r>
        <w:r w:rsidR="00242E8D">
          <w:rPr>
            <w:rFonts w:asciiTheme="minorHAnsi" w:eastAsiaTheme="minorEastAsia" w:hAnsiTheme="minorHAnsi" w:cstheme="minorBidi"/>
            <w:sz w:val="22"/>
          </w:rPr>
          <w:tab/>
        </w:r>
        <w:r w:rsidR="00242E8D" w:rsidRPr="00972364">
          <w:rPr>
            <w:rStyle w:val="Hyperlink"/>
          </w:rPr>
          <w:t>Nitrogen excretion (N</w:t>
        </w:r>
        <w:r w:rsidR="00242E8D" w:rsidRPr="00972364">
          <w:rPr>
            <w:rStyle w:val="Hyperlink"/>
            <w:vertAlign w:val="subscript"/>
          </w:rPr>
          <w:t>ex</w:t>
        </w:r>
        <w:r w:rsidR="00242E8D" w:rsidRPr="00972364">
          <w:rPr>
            <w:rStyle w:val="Hyperlink"/>
          </w:rPr>
          <w:t>) rates for New Zealand’s swine and goats from 1990 to 2019</w:t>
        </w:r>
        <w:r w:rsidR="00242E8D">
          <w:rPr>
            <w:webHidden/>
          </w:rPr>
          <w:tab/>
        </w:r>
        <w:r w:rsidR="00242E8D">
          <w:rPr>
            <w:webHidden/>
          </w:rPr>
          <w:fldChar w:fldCharType="begin"/>
        </w:r>
        <w:r w:rsidR="00242E8D">
          <w:rPr>
            <w:webHidden/>
          </w:rPr>
          <w:instrText xml:space="preserve"> PAGEREF _Toc68786443 \h </w:instrText>
        </w:r>
        <w:r w:rsidR="00242E8D">
          <w:rPr>
            <w:webHidden/>
          </w:rPr>
        </w:r>
        <w:r w:rsidR="00242E8D">
          <w:rPr>
            <w:webHidden/>
          </w:rPr>
          <w:fldChar w:fldCharType="separate"/>
        </w:r>
        <w:r w:rsidR="00B94D2F">
          <w:rPr>
            <w:webHidden/>
          </w:rPr>
          <w:t>205</w:t>
        </w:r>
        <w:r w:rsidR="00242E8D">
          <w:rPr>
            <w:webHidden/>
          </w:rPr>
          <w:fldChar w:fldCharType="end"/>
        </w:r>
      </w:hyperlink>
    </w:p>
    <w:p w14:paraId="052FC6F9" w14:textId="3E0327DB" w:rsidR="00242E8D" w:rsidRDefault="00087879">
      <w:pPr>
        <w:pStyle w:val="TableofFigures"/>
        <w:rPr>
          <w:rFonts w:asciiTheme="minorHAnsi" w:eastAsiaTheme="minorEastAsia" w:hAnsiTheme="minorHAnsi" w:cstheme="minorBidi"/>
          <w:sz w:val="22"/>
        </w:rPr>
      </w:pPr>
      <w:hyperlink w:anchor="_Toc68786444" w:history="1">
        <w:r w:rsidR="00242E8D" w:rsidRPr="00972364">
          <w:rPr>
            <w:rStyle w:val="Hyperlink"/>
          </w:rPr>
          <w:t>Table 5.3.5</w:t>
        </w:r>
        <w:r w:rsidR="00242E8D">
          <w:rPr>
            <w:rFonts w:asciiTheme="minorHAnsi" w:eastAsiaTheme="minorEastAsia" w:hAnsiTheme="minorHAnsi" w:cstheme="minorBidi"/>
            <w:sz w:val="22"/>
          </w:rPr>
          <w:tab/>
        </w:r>
        <w:r w:rsidR="00242E8D" w:rsidRPr="00972364">
          <w:rPr>
            <w:rStyle w:val="Hyperlink"/>
          </w:rPr>
          <w:t>IPCC default values for the fraction of managed manure nitrogen that volatilises as ammonia and oxides of nitrogen (Frac</w:t>
        </w:r>
        <w:r w:rsidR="00242E8D" w:rsidRPr="00972364">
          <w:rPr>
            <w:rStyle w:val="Hyperlink"/>
            <w:vertAlign w:val="subscript"/>
          </w:rPr>
          <w:t>GasMS</w:t>
        </w:r>
        <w:r w:rsidR="00242E8D" w:rsidRPr="00972364">
          <w:rPr>
            <w:rStyle w:val="Hyperlink"/>
          </w:rPr>
          <w:t>/100) for livestock categories per manure management system in New Zealand</w:t>
        </w:r>
        <w:r w:rsidR="00242E8D">
          <w:rPr>
            <w:webHidden/>
          </w:rPr>
          <w:tab/>
        </w:r>
        <w:r w:rsidR="00242E8D">
          <w:rPr>
            <w:webHidden/>
          </w:rPr>
          <w:fldChar w:fldCharType="begin"/>
        </w:r>
        <w:r w:rsidR="00242E8D">
          <w:rPr>
            <w:webHidden/>
          </w:rPr>
          <w:instrText xml:space="preserve"> PAGEREF _Toc68786444 \h </w:instrText>
        </w:r>
        <w:r w:rsidR="00242E8D">
          <w:rPr>
            <w:webHidden/>
          </w:rPr>
        </w:r>
        <w:r w:rsidR="00242E8D">
          <w:rPr>
            <w:webHidden/>
          </w:rPr>
          <w:fldChar w:fldCharType="separate"/>
        </w:r>
        <w:r w:rsidR="00B94D2F">
          <w:rPr>
            <w:webHidden/>
          </w:rPr>
          <w:t>207</w:t>
        </w:r>
        <w:r w:rsidR="00242E8D">
          <w:rPr>
            <w:webHidden/>
          </w:rPr>
          <w:fldChar w:fldCharType="end"/>
        </w:r>
      </w:hyperlink>
    </w:p>
    <w:p w14:paraId="14F0F0D0" w14:textId="5F627856" w:rsidR="00242E8D" w:rsidRDefault="00087879">
      <w:pPr>
        <w:pStyle w:val="TableofFigures"/>
        <w:rPr>
          <w:rFonts w:asciiTheme="minorHAnsi" w:eastAsiaTheme="minorEastAsia" w:hAnsiTheme="minorHAnsi" w:cstheme="minorBidi"/>
          <w:sz w:val="22"/>
        </w:rPr>
      </w:pPr>
      <w:hyperlink w:anchor="_Toc68786445" w:history="1">
        <w:r w:rsidR="00242E8D" w:rsidRPr="00972364">
          <w:rPr>
            <w:rStyle w:val="Hyperlink"/>
          </w:rPr>
          <w:t>Table 5.3.6</w:t>
        </w:r>
        <w:r w:rsidR="00242E8D">
          <w:rPr>
            <w:rFonts w:asciiTheme="minorHAnsi" w:eastAsiaTheme="minorEastAsia" w:hAnsiTheme="minorHAnsi" w:cstheme="minorBidi"/>
            <w:sz w:val="22"/>
          </w:rPr>
          <w:tab/>
        </w:r>
        <w:r w:rsidR="00242E8D" w:rsidRPr="00972364">
          <w:rPr>
            <w:rStyle w:val="Hyperlink"/>
          </w:rPr>
          <w:t>Comparison of IPCC (2006) table 10A-4 default emission factors and country-specific implied emission factors (IEFs) for methane from manure management</w:t>
        </w:r>
        <w:r w:rsidR="00242E8D">
          <w:rPr>
            <w:webHidden/>
          </w:rPr>
          <w:tab/>
        </w:r>
        <w:r w:rsidR="00242E8D">
          <w:rPr>
            <w:webHidden/>
          </w:rPr>
          <w:fldChar w:fldCharType="begin"/>
        </w:r>
        <w:r w:rsidR="00242E8D">
          <w:rPr>
            <w:webHidden/>
          </w:rPr>
          <w:instrText xml:space="preserve"> PAGEREF _Toc68786445 \h </w:instrText>
        </w:r>
        <w:r w:rsidR="00242E8D">
          <w:rPr>
            <w:webHidden/>
          </w:rPr>
        </w:r>
        <w:r w:rsidR="00242E8D">
          <w:rPr>
            <w:webHidden/>
          </w:rPr>
          <w:fldChar w:fldCharType="separate"/>
        </w:r>
        <w:r w:rsidR="00B94D2F">
          <w:rPr>
            <w:webHidden/>
          </w:rPr>
          <w:t>209</w:t>
        </w:r>
        <w:r w:rsidR="00242E8D">
          <w:rPr>
            <w:webHidden/>
          </w:rPr>
          <w:fldChar w:fldCharType="end"/>
        </w:r>
      </w:hyperlink>
    </w:p>
    <w:p w14:paraId="7A53116F" w14:textId="68340C33" w:rsidR="00242E8D" w:rsidRDefault="00087879">
      <w:pPr>
        <w:pStyle w:val="TableofFigures"/>
        <w:rPr>
          <w:rFonts w:asciiTheme="minorHAnsi" w:eastAsiaTheme="minorEastAsia" w:hAnsiTheme="minorHAnsi" w:cstheme="minorBidi"/>
          <w:sz w:val="22"/>
        </w:rPr>
      </w:pPr>
      <w:hyperlink w:anchor="_Toc68786446" w:history="1">
        <w:r w:rsidR="00242E8D" w:rsidRPr="00972364">
          <w:rPr>
            <w:rStyle w:val="Hyperlink"/>
          </w:rPr>
          <w:t>Table 5.3.7</w:t>
        </w:r>
        <w:r w:rsidR="00242E8D">
          <w:rPr>
            <w:rFonts w:asciiTheme="minorHAnsi" w:eastAsiaTheme="minorEastAsia" w:hAnsiTheme="minorHAnsi" w:cstheme="minorBidi"/>
            <w:sz w:val="22"/>
          </w:rPr>
          <w:tab/>
        </w:r>
        <w:r w:rsidR="00242E8D" w:rsidRPr="00972364">
          <w:rPr>
            <w:rStyle w:val="Hyperlink"/>
          </w:rPr>
          <w:t>Comparison of current and previous emissions estimates before and after the adoption of updated pasture quality data</w:t>
        </w:r>
        <w:r w:rsidR="00242E8D">
          <w:rPr>
            <w:webHidden/>
          </w:rPr>
          <w:tab/>
        </w:r>
        <w:r w:rsidR="00242E8D">
          <w:rPr>
            <w:webHidden/>
          </w:rPr>
          <w:fldChar w:fldCharType="begin"/>
        </w:r>
        <w:r w:rsidR="00242E8D">
          <w:rPr>
            <w:webHidden/>
          </w:rPr>
          <w:instrText xml:space="preserve"> PAGEREF _Toc68786446 \h </w:instrText>
        </w:r>
        <w:r w:rsidR="00242E8D">
          <w:rPr>
            <w:webHidden/>
          </w:rPr>
        </w:r>
        <w:r w:rsidR="00242E8D">
          <w:rPr>
            <w:webHidden/>
          </w:rPr>
          <w:fldChar w:fldCharType="separate"/>
        </w:r>
        <w:r w:rsidR="00B94D2F">
          <w:rPr>
            <w:webHidden/>
          </w:rPr>
          <w:t>210</w:t>
        </w:r>
        <w:r w:rsidR="00242E8D">
          <w:rPr>
            <w:webHidden/>
          </w:rPr>
          <w:fldChar w:fldCharType="end"/>
        </w:r>
      </w:hyperlink>
    </w:p>
    <w:p w14:paraId="5FD0C02A" w14:textId="30082228" w:rsidR="00242E8D" w:rsidRDefault="00087879">
      <w:pPr>
        <w:pStyle w:val="TableofFigures"/>
        <w:rPr>
          <w:rFonts w:asciiTheme="minorHAnsi" w:eastAsiaTheme="minorEastAsia" w:hAnsiTheme="minorHAnsi" w:cstheme="minorBidi"/>
          <w:sz w:val="22"/>
        </w:rPr>
      </w:pPr>
      <w:hyperlink w:anchor="_Toc68786447" w:history="1">
        <w:r w:rsidR="00242E8D" w:rsidRPr="00972364">
          <w:rPr>
            <w:rStyle w:val="Hyperlink"/>
          </w:rPr>
          <w:t>Table 5.5.1</w:t>
        </w:r>
        <w:r w:rsidR="00242E8D">
          <w:rPr>
            <w:rFonts w:asciiTheme="minorHAnsi" w:eastAsiaTheme="minorEastAsia" w:hAnsiTheme="minorHAnsi" w:cstheme="minorBidi"/>
            <w:sz w:val="22"/>
          </w:rPr>
          <w:tab/>
        </w:r>
        <w:r w:rsidR="00242E8D" w:rsidRPr="00972364">
          <w:rPr>
            <w:rStyle w:val="Hyperlink"/>
          </w:rPr>
          <w:t>Trends and relative contribution of nitrous oxide emissions from Agricultural soils categories between 1990 and 2019</w:t>
        </w:r>
        <w:r w:rsidR="00242E8D">
          <w:rPr>
            <w:webHidden/>
          </w:rPr>
          <w:tab/>
        </w:r>
        <w:r w:rsidR="00242E8D">
          <w:rPr>
            <w:webHidden/>
          </w:rPr>
          <w:fldChar w:fldCharType="begin"/>
        </w:r>
        <w:r w:rsidR="00242E8D">
          <w:rPr>
            <w:webHidden/>
          </w:rPr>
          <w:instrText xml:space="preserve"> PAGEREF _Toc68786447 \h </w:instrText>
        </w:r>
        <w:r w:rsidR="00242E8D">
          <w:rPr>
            <w:webHidden/>
          </w:rPr>
        </w:r>
        <w:r w:rsidR="00242E8D">
          <w:rPr>
            <w:webHidden/>
          </w:rPr>
          <w:fldChar w:fldCharType="separate"/>
        </w:r>
        <w:r w:rsidR="00B94D2F">
          <w:rPr>
            <w:webHidden/>
          </w:rPr>
          <w:t>213</w:t>
        </w:r>
        <w:r w:rsidR="00242E8D">
          <w:rPr>
            <w:webHidden/>
          </w:rPr>
          <w:fldChar w:fldCharType="end"/>
        </w:r>
      </w:hyperlink>
    </w:p>
    <w:p w14:paraId="6668FA60" w14:textId="4EA6448B" w:rsidR="00242E8D" w:rsidRDefault="00087879">
      <w:pPr>
        <w:pStyle w:val="TableofFigures"/>
        <w:rPr>
          <w:rFonts w:asciiTheme="minorHAnsi" w:eastAsiaTheme="minorEastAsia" w:hAnsiTheme="minorHAnsi" w:cstheme="minorBidi"/>
          <w:sz w:val="22"/>
        </w:rPr>
      </w:pPr>
      <w:hyperlink w:anchor="_Toc68786448" w:history="1">
        <w:r w:rsidR="00242E8D" w:rsidRPr="00972364">
          <w:rPr>
            <w:rStyle w:val="Hyperlink"/>
          </w:rPr>
          <w:t>Table 5.5.2</w:t>
        </w:r>
        <w:r w:rsidR="00242E8D">
          <w:rPr>
            <w:rFonts w:asciiTheme="minorHAnsi" w:eastAsiaTheme="minorEastAsia" w:hAnsiTheme="minorHAnsi" w:cstheme="minorBidi"/>
            <w:sz w:val="22"/>
          </w:rPr>
          <w:tab/>
        </w:r>
        <w:r w:rsidR="00242E8D" w:rsidRPr="00972364">
          <w:rPr>
            <w:rStyle w:val="Hyperlink"/>
          </w:rPr>
          <w:t>Nitrous oxide (N</w:t>
        </w:r>
        <w:r w:rsidR="00242E8D" w:rsidRPr="00972364">
          <w:rPr>
            <w:rStyle w:val="Hyperlink"/>
            <w:vertAlign w:val="subscript"/>
          </w:rPr>
          <w:t>2</w:t>
        </w:r>
        <w:r w:rsidR="00242E8D" w:rsidRPr="00972364">
          <w:rPr>
            <w:rStyle w:val="Hyperlink"/>
          </w:rPr>
          <w:t>O) emission factors for Agricultural soils in New Zealand, excluding EF</w:t>
        </w:r>
        <w:r w:rsidR="00242E8D" w:rsidRPr="00972364">
          <w:rPr>
            <w:rStyle w:val="Hyperlink"/>
            <w:vertAlign w:val="subscript"/>
          </w:rPr>
          <w:t>3,PRP</w:t>
        </w:r>
        <w:r w:rsidR="00242E8D" w:rsidRPr="00972364">
          <w:rPr>
            <w:rStyle w:val="Hyperlink"/>
            <w:vertAlign w:val="subscript"/>
          </w:rPr>
          <w:noBreakHyphen/>
          <w:t xml:space="preserve"> URINE)</w:t>
        </w:r>
        <w:r w:rsidR="00242E8D" w:rsidRPr="00972364">
          <w:rPr>
            <w:rStyle w:val="Hyperlink"/>
          </w:rPr>
          <w:t xml:space="preserve"> for cattle, sheep and deer</w:t>
        </w:r>
        <w:r w:rsidR="00242E8D">
          <w:rPr>
            <w:webHidden/>
          </w:rPr>
          <w:tab/>
        </w:r>
        <w:r w:rsidR="00242E8D">
          <w:rPr>
            <w:webHidden/>
          </w:rPr>
          <w:fldChar w:fldCharType="begin"/>
        </w:r>
        <w:r w:rsidR="00242E8D">
          <w:rPr>
            <w:webHidden/>
          </w:rPr>
          <w:instrText xml:space="preserve"> PAGEREF _Toc68786448 \h </w:instrText>
        </w:r>
        <w:r w:rsidR="00242E8D">
          <w:rPr>
            <w:webHidden/>
          </w:rPr>
        </w:r>
        <w:r w:rsidR="00242E8D">
          <w:rPr>
            <w:webHidden/>
          </w:rPr>
          <w:fldChar w:fldCharType="separate"/>
        </w:r>
        <w:r w:rsidR="00B94D2F">
          <w:rPr>
            <w:webHidden/>
          </w:rPr>
          <w:t>214</w:t>
        </w:r>
        <w:r w:rsidR="00242E8D">
          <w:rPr>
            <w:webHidden/>
          </w:rPr>
          <w:fldChar w:fldCharType="end"/>
        </w:r>
      </w:hyperlink>
    </w:p>
    <w:p w14:paraId="645A1D06" w14:textId="31F4F9E8" w:rsidR="00242E8D" w:rsidRDefault="00087879">
      <w:pPr>
        <w:pStyle w:val="TableofFigures"/>
        <w:rPr>
          <w:rFonts w:asciiTheme="minorHAnsi" w:eastAsiaTheme="minorEastAsia" w:hAnsiTheme="minorHAnsi" w:cstheme="minorBidi"/>
          <w:sz w:val="22"/>
        </w:rPr>
      </w:pPr>
      <w:hyperlink w:anchor="_Toc68786449" w:history="1">
        <w:r w:rsidR="00242E8D" w:rsidRPr="00972364">
          <w:rPr>
            <w:rStyle w:val="Hyperlink"/>
          </w:rPr>
          <w:t>Table 5.5.3</w:t>
        </w:r>
        <w:r w:rsidR="00242E8D">
          <w:rPr>
            <w:rFonts w:asciiTheme="minorHAnsi" w:eastAsiaTheme="minorEastAsia" w:hAnsiTheme="minorHAnsi" w:cstheme="minorBidi"/>
            <w:sz w:val="22"/>
          </w:rPr>
          <w:tab/>
        </w:r>
        <w:r w:rsidR="00242E8D" w:rsidRPr="00972364">
          <w:rPr>
            <w:rStyle w:val="Hyperlink"/>
          </w:rPr>
          <w:t>Direct nitrous oxide (N</w:t>
        </w:r>
        <w:r w:rsidR="00242E8D" w:rsidRPr="00972364">
          <w:rPr>
            <w:rStyle w:val="Hyperlink"/>
            <w:vertAlign w:val="subscript"/>
          </w:rPr>
          <w:t>2</w:t>
        </w:r>
        <w:r w:rsidR="00242E8D" w:rsidRPr="00972364">
          <w:rPr>
            <w:rStyle w:val="Hyperlink"/>
          </w:rPr>
          <w:t>O) emission factors for urine deposited by cattle, sheep and deer, by livestock type and slope, using values calculated by van der Weerden et al. (2019, 2020)</w:t>
        </w:r>
        <w:r w:rsidR="00242E8D">
          <w:rPr>
            <w:webHidden/>
          </w:rPr>
          <w:tab/>
        </w:r>
        <w:r w:rsidR="00242E8D">
          <w:rPr>
            <w:webHidden/>
          </w:rPr>
          <w:fldChar w:fldCharType="begin"/>
        </w:r>
        <w:r w:rsidR="00242E8D">
          <w:rPr>
            <w:webHidden/>
          </w:rPr>
          <w:instrText xml:space="preserve"> PAGEREF _Toc68786449 \h </w:instrText>
        </w:r>
        <w:r w:rsidR="00242E8D">
          <w:rPr>
            <w:webHidden/>
          </w:rPr>
        </w:r>
        <w:r w:rsidR="00242E8D">
          <w:rPr>
            <w:webHidden/>
          </w:rPr>
          <w:fldChar w:fldCharType="separate"/>
        </w:r>
        <w:r w:rsidR="00B94D2F">
          <w:rPr>
            <w:webHidden/>
          </w:rPr>
          <w:t>215</w:t>
        </w:r>
        <w:r w:rsidR="00242E8D">
          <w:rPr>
            <w:webHidden/>
          </w:rPr>
          <w:fldChar w:fldCharType="end"/>
        </w:r>
      </w:hyperlink>
    </w:p>
    <w:p w14:paraId="70185B73" w14:textId="69ADB60B" w:rsidR="00242E8D" w:rsidRDefault="00087879">
      <w:pPr>
        <w:pStyle w:val="TableofFigures"/>
        <w:rPr>
          <w:rFonts w:asciiTheme="minorHAnsi" w:eastAsiaTheme="minorEastAsia" w:hAnsiTheme="minorHAnsi" w:cstheme="minorBidi"/>
          <w:sz w:val="22"/>
        </w:rPr>
      </w:pPr>
      <w:hyperlink w:anchor="_Toc68786450" w:history="1">
        <w:r w:rsidR="00242E8D" w:rsidRPr="00972364">
          <w:rPr>
            <w:rStyle w:val="Hyperlink"/>
          </w:rPr>
          <w:t>Table 5.5.4</w:t>
        </w:r>
        <w:r w:rsidR="00242E8D">
          <w:rPr>
            <w:rFonts w:asciiTheme="minorHAnsi" w:eastAsiaTheme="minorEastAsia" w:hAnsiTheme="minorHAnsi" w:cstheme="minorBidi"/>
            <w:sz w:val="22"/>
          </w:rPr>
          <w:tab/>
        </w:r>
        <w:r w:rsidR="00242E8D" w:rsidRPr="00972364">
          <w:rPr>
            <w:rStyle w:val="Hyperlink"/>
          </w:rPr>
          <w:t>Parameters for indirect nitrous oxide (N</w:t>
        </w:r>
        <w:r w:rsidR="00242E8D" w:rsidRPr="00972364">
          <w:rPr>
            <w:rStyle w:val="Hyperlink"/>
            <w:vertAlign w:val="subscript"/>
          </w:rPr>
          <w:t>2</w:t>
        </w:r>
        <w:r w:rsidR="00242E8D" w:rsidRPr="00972364">
          <w:rPr>
            <w:rStyle w:val="Hyperlink"/>
          </w:rPr>
          <w:t>O) emissions from agricultural soils in New Zealand</w:t>
        </w:r>
        <w:r w:rsidR="00242E8D">
          <w:rPr>
            <w:webHidden/>
          </w:rPr>
          <w:tab/>
        </w:r>
        <w:r w:rsidR="00242E8D">
          <w:rPr>
            <w:webHidden/>
          </w:rPr>
          <w:fldChar w:fldCharType="begin"/>
        </w:r>
        <w:r w:rsidR="00242E8D">
          <w:rPr>
            <w:webHidden/>
          </w:rPr>
          <w:instrText xml:space="preserve"> PAGEREF _Toc68786450 \h </w:instrText>
        </w:r>
        <w:r w:rsidR="00242E8D">
          <w:rPr>
            <w:webHidden/>
          </w:rPr>
        </w:r>
        <w:r w:rsidR="00242E8D">
          <w:rPr>
            <w:webHidden/>
          </w:rPr>
          <w:fldChar w:fldCharType="separate"/>
        </w:r>
        <w:r w:rsidR="00B94D2F">
          <w:rPr>
            <w:webHidden/>
          </w:rPr>
          <w:t>215</w:t>
        </w:r>
        <w:r w:rsidR="00242E8D">
          <w:rPr>
            <w:webHidden/>
          </w:rPr>
          <w:fldChar w:fldCharType="end"/>
        </w:r>
      </w:hyperlink>
    </w:p>
    <w:p w14:paraId="717936AC" w14:textId="1B8DEF94" w:rsidR="00242E8D" w:rsidRDefault="00087879">
      <w:pPr>
        <w:pStyle w:val="TableofFigures"/>
        <w:rPr>
          <w:rFonts w:asciiTheme="minorHAnsi" w:eastAsiaTheme="minorEastAsia" w:hAnsiTheme="minorHAnsi" w:cstheme="minorBidi"/>
          <w:sz w:val="22"/>
        </w:rPr>
      </w:pPr>
      <w:hyperlink w:anchor="_Toc68786451" w:history="1">
        <w:r w:rsidR="00242E8D" w:rsidRPr="00972364">
          <w:rPr>
            <w:rStyle w:val="Hyperlink"/>
          </w:rPr>
          <w:t>Table 5.5.5</w:t>
        </w:r>
        <w:r w:rsidR="00242E8D">
          <w:rPr>
            <w:rFonts w:asciiTheme="minorHAnsi" w:eastAsiaTheme="minorEastAsia" w:hAnsiTheme="minorHAnsi" w:cstheme="minorBidi"/>
            <w:sz w:val="22"/>
          </w:rPr>
          <w:tab/>
        </w:r>
        <w:r w:rsidR="00242E8D" w:rsidRPr="00972364">
          <w:rPr>
            <w:rStyle w:val="Hyperlink"/>
          </w:rPr>
          <w:t>Emission factors and parameter values for use of mitigation technologies</w:t>
        </w:r>
        <w:r w:rsidR="00242E8D">
          <w:rPr>
            <w:webHidden/>
          </w:rPr>
          <w:tab/>
        </w:r>
        <w:r w:rsidR="00242E8D">
          <w:rPr>
            <w:webHidden/>
          </w:rPr>
          <w:fldChar w:fldCharType="begin"/>
        </w:r>
        <w:r w:rsidR="00242E8D">
          <w:rPr>
            <w:webHidden/>
          </w:rPr>
          <w:instrText xml:space="preserve"> PAGEREF _Toc68786451 \h </w:instrText>
        </w:r>
        <w:r w:rsidR="00242E8D">
          <w:rPr>
            <w:webHidden/>
          </w:rPr>
        </w:r>
        <w:r w:rsidR="00242E8D">
          <w:rPr>
            <w:webHidden/>
          </w:rPr>
          <w:fldChar w:fldCharType="separate"/>
        </w:r>
        <w:r w:rsidR="00B94D2F">
          <w:rPr>
            <w:webHidden/>
          </w:rPr>
          <w:t>215</w:t>
        </w:r>
        <w:r w:rsidR="00242E8D">
          <w:rPr>
            <w:webHidden/>
          </w:rPr>
          <w:fldChar w:fldCharType="end"/>
        </w:r>
      </w:hyperlink>
    </w:p>
    <w:p w14:paraId="523353E7" w14:textId="613C5DFF" w:rsidR="00242E8D" w:rsidRDefault="00087879">
      <w:pPr>
        <w:pStyle w:val="TableofFigures"/>
        <w:rPr>
          <w:rFonts w:asciiTheme="minorHAnsi" w:eastAsiaTheme="minorEastAsia" w:hAnsiTheme="minorHAnsi" w:cstheme="minorBidi"/>
          <w:sz w:val="22"/>
        </w:rPr>
      </w:pPr>
      <w:hyperlink w:anchor="_Toc68786452" w:history="1">
        <w:r w:rsidR="00242E8D" w:rsidRPr="00972364">
          <w:rPr>
            <w:rStyle w:val="Hyperlink"/>
          </w:rPr>
          <w:t>Table 5.5.6</w:t>
        </w:r>
        <w:r w:rsidR="00242E8D">
          <w:rPr>
            <w:rFonts w:asciiTheme="minorHAnsi" w:eastAsiaTheme="minorEastAsia" w:hAnsiTheme="minorHAnsi" w:cstheme="minorBidi"/>
            <w:sz w:val="22"/>
          </w:rPr>
          <w:tab/>
        </w:r>
        <w:r w:rsidR="00242E8D" w:rsidRPr="00972364">
          <w:rPr>
            <w:rStyle w:val="Hyperlink"/>
          </w:rPr>
          <w:t>Number of replicate-level EF</w:t>
        </w:r>
        <w:r w:rsidR="00242E8D" w:rsidRPr="00972364">
          <w:rPr>
            <w:rStyle w:val="Hyperlink"/>
            <w:vertAlign w:val="subscript"/>
          </w:rPr>
          <w:t>3</w:t>
        </w:r>
        <w:r w:rsidR="00242E8D" w:rsidRPr="00972364">
          <w:rPr>
            <w:rStyle w:val="Hyperlink"/>
          </w:rPr>
          <w:t xml:space="preserve"> values collated for van der Weerden et al. (2019, 2020) analysis, for each nitrogen source and topography (number of individual trials shown in brackets)</w:t>
        </w:r>
        <w:r w:rsidR="00242E8D">
          <w:rPr>
            <w:webHidden/>
          </w:rPr>
          <w:tab/>
        </w:r>
        <w:r w:rsidR="00242E8D">
          <w:rPr>
            <w:webHidden/>
          </w:rPr>
          <w:fldChar w:fldCharType="begin"/>
        </w:r>
        <w:r w:rsidR="00242E8D">
          <w:rPr>
            <w:webHidden/>
          </w:rPr>
          <w:instrText xml:space="preserve"> PAGEREF _Toc68786452 \h </w:instrText>
        </w:r>
        <w:r w:rsidR="00242E8D">
          <w:rPr>
            <w:webHidden/>
          </w:rPr>
        </w:r>
        <w:r w:rsidR="00242E8D">
          <w:rPr>
            <w:webHidden/>
          </w:rPr>
          <w:fldChar w:fldCharType="separate"/>
        </w:r>
        <w:r w:rsidR="00B94D2F">
          <w:rPr>
            <w:webHidden/>
          </w:rPr>
          <w:t>221</w:t>
        </w:r>
        <w:r w:rsidR="00242E8D">
          <w:rPr>
            <w:webHidden/>
          </w:rPr>
          <w:fldChar w:fldCharType="end"/>
        </w:r>
      </w:hyperlink>
    </w:p>
    <w:p w14:paraId="1626A2A8" w14:textId="5E088442" w:rsidR="00242E8D" w:rsidRDefault="00087879">
      <w:pPr>
        <w:pStyle w:val="TableofFigures"/>
        <w:rPr>
          <w:rFonts w:asciiTheme="minorHAnsi" w:eastAsiaTheme="minorEastAsia" w:hAnsiTheme="minorHAnsi" w:cstheme="minorBidi"/>
          <w:sz w:val="22"/>
        </w:rPr>
      </w:pPr>
      <w:hyperlink w:anchor="_Toc68786453" w:history="1">
        <w:r w:rsidR="00242E8D" w:rsidRPr="00972364">
          <w:rPr>
            <w:rStyle w:val="Hyperlink"/>
          </w:rPr>
          <w:t>Table 5.5.7</w:t>
        </w:r>
        <w:r w:rsidR="00242E8D">
          <w:rPr>
            <w:rFonts w:asciiTheme="minorHAnsi" w:eastAsiaTheme="minorEastAsia" w:hAnsiTheme="minorHAnsi" w:cstheme="minorBidi"/>
            <w:sz w:val="22"/>
          </w:rPr>
          <w:tab/>
        </w:r>
        <w:r w:rsidR="00242E8D" w:rsidRPr="00972364">
          <w:rPr>
            <w:rStyle w:val="Hyperlink"/>
          </w:rPr>
          <w:t>Number of replicate-level EF</w:t>
        </w:r>
        <w:r w:rsidR="00242E8D" w:rsidRPr="00972364">
          <w:rPr>
            <w:rStyle w:val="Hyperlink"/>
            <w:vertAlign w:val="subscript"/>
          </w:rPr>
          <w:t>3</w:t>
        </w:r>
        <w:r w:rsidR="00242E8D" w:rsidRPr="00972364">
          <w:rPr>
            <w:rStyle w:val="Hyperlink"/>
          </w:rPr>
          <w:t xml:space="preserve"> values collated for van der Weerden et al. (2019, 2020) analysis, for each nitrogen source, season that trial was undertaken, and topography</w:t>
        </w:r>
        <w:r w:rsidR="00242E8D">
          <w:rPr>
            <w:webHidden/>
          </w:rPr>
          <w:tab/>
        </w:r>
        <w:r w:rsidR="00242E8D">
          <w:rPr>
            <w:webHidden/>
          </w:rPr>
          <w:fldChar w:fldCharType="begin"/>
        </w:r>
        <w:r w:rsidR="00242E8D">
          <w:rPr>
            <w:webHidden/>
          </w:rPr>
          <w:instrText xml:space="preserve"> PAGEREF _Toc68786453 \h </w:instrText>
        </w:r>
        <w:r w:rsidR="00242E8D">
          <w:rPr>
            <w:webHidden/>
          </w:rPr>
        </w:r>
        <w:r w:rsidR="00242E8D">
          <w:rPr>
            <w:webHidden/>
          </w:rPr>
          <w:fldChar w:fldCharType="separate"/>
        </w:r>
        <w:r w:rsidR="00B94D2F">
          <w:rPr>
            <w:webHidden/>
          </w:rPr>
          <w:t>221</w:t>
        </w:r>
        <w:r w:rsidR="00242E8D">
          <w:rPr>
            <w:webHidden/>
          </w:rPr>
          <w:fldChar w:fldCharType="end"/>
        </w:r>
      </w:hyperlink>
    </w:p>
    <w:p w14:paraId="633AC36C" w14:textId="6D0ACBCF" w:rsidR="00242E8D" w:rsidRDefault="00087879">
      <w:pPr>
        <w:pStyle w:val="TableofFigures"/>
        <w:rPr>
          <w:rFonts w:asciiTheme="minorHAnsi" w:eastAsiaTheme="minorEastAsia" w:hAnsiTheme="minorHAnsi" w:cstheme="minorBidi"/>
          <w:sz w:val="22"/>
        </w:rPr>
      </w:pPr>
      <w:hyperlink w:anchor="_Toc68786454" w:history="1">
        <w:r w:rsidR="00242E8D" w:rsidRPr="00972364">
          <w:rPr>
            <w:rStyle w:val="Hyperlink"/>
          </w:rPr>
          <w:t>Table 5.5.8</w:t>
        </w:r>
        <w:r w:rsidR="00242E8D">
          <w:rPr>
            <w:rFonts w:asciiTheme="minorHAnsi" w:eastAsiaTheme="minorEastAsia" w:hAnsiTheme="minorHAnsi" w:cstheme="minorBidi"/>
            <w:sz w:val="22"/>
          </w:rPr>
          <w:tab/>
        </w:r>
        <w:r w:rsidR="00242E8D" w:rsidRPr="00972364">
          <w:rPr>
            <w:rStyle w:val="Hyperlink"/>
          </w:rPr>
          <w:t>Trends and relative contribution of direct nitrous oxide emissions from urine and dung deposited by grazing animals per livestock category between 1990 and 2019</w:t>
        </w:r>
        <w:r w:rsidR="00242E8D">
          <w:rPr>
            <w:webHidden/>
          </w:rPr>
          <w:tab/>
        </w:r>
        <w:r w:rsidR="00242E8D">
          <w:rPr>
            <w:webHidden/>
          </w:rPr>
          <w:fldChar w:fldCharType="begin"/>
        </w:r>
        <w:r w:rsidR="00242E8D">
          <w:rPr>
            <w:webHidden/>
          </w:rPr>
          <w:instrText xml:space="preserve"> PAGEREF _Toc68786454 \h </w:instrText>
        </w:r>
        <w:r w:rsidR="00242E8D">
          <w:rPr>
            <w:webHidden/>
          </w:rPr>
        </w:r>
        <w:r w:rsidR="00242E8D">
          <w:rPr>
            <w:webHidden/>
          </w:rPr>
          <w:fldChar w:fldCharType="separate"/>
        </w:r>
        <w:r w:rsidR="00B94D2F">
          <w:rPr>
            <w:webHidden/>
          </w:rPr>
          <w:t>223</w:t>
        </w:r>
        <w:r w:rsidR="00242E8D">
          <w:rPr>
            <w:webHidden/>
          </w:rPr>
          <w:fldChar w:fldCharType="end"/>
        </w:r>
      </w:hyperlink>
    </w:p>
    <w:p w14:paraId="6067EF82" w14:textId="0D449456" w:rsidR="00242E8D" w:rsidRDefault="00087879">
      <w:pPr>
        <w:pStyle w:val="TableofFigures"/>
        <w:rPr>
          <w:rFonts w:asciiTheme="minorHAnsi" w:eastAsiaTheme="minorEastAsia" w:hAnsiTheme="minorHAnsi" w:cstheme="minorBidi"/>
          <w:sz w:val="22"/>
        </w:rPr>
      </w:pPr>
      <w:hyperlink w:anchor="_Toc68786455" w:history="1">
        <w:r w:rsidR="00242E8D" w:rsidRPr="00972364">
          <w:rPr>
            <w:rStyle w:val="Hyperlink"/>
          </w:rPr>
          <w:t>Table 5.5.9</w:t>
        </w:r>
        <w:r w:rsidR="00242E8D">
          <w:rPr>
            <w:rFonts w:asciiTheme="minorHAnsi" w:eastAsiaTheme="minorEastAsia" w:hAnsiTheme="minorHAnsi" w:cstheme="minorBidi"/>
            <w:sz w:val="22"/>
          </w:rPr>
          <w:tab/>
        </w:r>
        <w:r w:rsidR="00242E8D" w:rsidRPr="00972364">
          <w:rPr>
            <w:rStyle w:val="Hyperlink"/>
          </w:rPr>
          <w:t>Mitigation impact of urease inhibitors on nitrous oxide emissions from volatilisation, from 2001 to 2019</w:t>
        </w:r>
        <w:r w:rsidR="00242E8D">
          <w:rPr>
            <w:webHidden/>
          </w:rPr>
          <w:tab/>
        </w:r>
        <w:r w:rsidR="00242E8D">
          <w:rPr>
            <w:webHidden/>
          </w:rPr>
          <w:fldChar w:fldCharType="begin"/>
        </w:r>
        <w:r w:rsidR="00242E8D">
          <w:rPr>
            <w:webHidden/>
          </w:rPr>
          <w:instrText xml:space="preserve"> PAGEREF _Toc68786455 \h </w:instrText>
        </w:r>
        <w:r w:rsidR="00242E8D">
          <w:rPr>
            <w:webHidden/>
          </w:rPr>
        </w:r>
        <w:r w:rsidR="00242E8D">
          <w:rPr>
            <w:webHidden/>
          </w:rPr>
          <w:fldChar w:fldCharType="separate"/>
        </w:r>
        <w:r w:rsidR="00B94D2F">
          <w:rPr>
            <w:webHidden/>
          </w:rPr>
          <w:t>230</w:t>
        </w:r>
        <w:r w:rsidR="00242E8D">
          <w:rPr>
            <w:webHidden/>
          </w:rPr>
          <w:fldChar w:fldCharType="end"/>
        </w:r>
      </w:hyperlink>
    </w:p>
    <w:p w14:paraId="0E5C2FF0" w14:textId="3B468ED0" w:rsidR="00242E8D" w:rsidRDefault="00087879">
      <w:pPr>
        <w:pStyle w:val="TableofFigures"/>
        <w:rPr>
          <w:rFonts w:asciiTheme="minorHAnsi" w:eastAsiaTheme="minorEastAsia" w:hAnsiTheme="minorHAnsi" w:cstheme="minorBidi"/>
          <w:sz w:val="22"/>
        </w:rPr>
      </w:pPr>
      <w:hyperlink w:anchor="_Toc68786456" w:history="1">
        <w:r w:rsidR="00242E8D" w:rsidRPr="00972364">
          <w:rPr>
            <w:rStyle w:val="Hyperlink"/>
          </w:rPr>
          <w:t>Table 5.5.10</w:t>
        </w:r>
        <w:r w:rsidR="00242E8D">
          <w:rPr>
            <w:rFonts w:asciiTheme="minorHAnsi" w:eastAsiaTheme="minorEastAsia" w:hAnsiTheme="minorHAnsi" w:cstheme="minorBidi"/>
            <w:sz w:val="22"/>
          </w:rPr>
          <w:tab/>
        </w:r>
        <w:r w:rsidR="00242E8D" w:rsidRPr="00972364">
          <w:rPr>
            <w:rStyle w:val="Hyperlink"/>
          </w:rPr>
          <w:t>Emission factors, parameters and mitigation for New Zealand’s DCD inhibitor calculations from 2007 to 2012</w:t>
        </w:r>
        <w:r w:rsidR="00242E8D">
          <w:rPr>
            <w:webHidden/>
          </w:rPr>
          <w:tab/>
        </w:r>
        <w:r w:rsidR="00242E8D">
          <w:rPr>
            <w:webHidden/>
          </w:rPr>
          <w:fldChar w:fldCharType="begin"/>
        </w:r>
        <w:r w:rsidR="00242E8D">
          <w:rPr>
            <w:webHidden/>
          </w:rPr>
          <w:instrText xml:space="preserve"> PAGEREF _Toc68786456 \h </w:instrText>
        </w:r>
        <w:r w:rsidR="00242E8D">
          <w:rPr>
            <w:webHidden/>
          </w:rPr>
        </w:r>
        <w:r w:rsidR="00242E8D">
          <w:rPr>
            <w:webHidden/>
          </w:rPr>
          <w:fldChar w:fldCharType="separate"/>
        </w:r>
        <w:r w:rsidR="00B94D2F">
          <w:rPr>
            <w:webHidden/>
          </w:rPr>
          <w:t>231</w:t>
        </w:r>
        <w:r w:rsidR="00242E8D">
          <w:rPr>
            <w:webHidden/>
          </w:rPr>
          <w:fldChar w:fldCharType="end"/>
        </w:r>
      </w:hyperlink>
    </w:p>
    <w:p w14:paraId="01A7B846" w14:textId="1621EF72" w:rsidR="00242E8D" w:rsidRDefault="00087879">
      <w:pPr>
        <w:pStyle w:val="TableofFigures"/>
        <w:rPr>
          <w:rFonts w:asciiTheme="minorHAnsi" w:eastAsiaTheme="minorEastAsia" w:hAnsiTheme="minorHAnsi" w:cstheme="minorBidi"/>
          <w:sz w:val="22"/>
        </w:rPr>
      </w:pPr>
      <w:hyperlink w:anchor="_Toc68786457" w:history="1">
        <w:r w:rsidR="00242E8D" w:rsidRPr="00972364">
          <w:rPr>
            <w:rStyle w:val="Hyperlink"/>
          </w:rPr>
          <w:t>Table 5.5.11</w:t>
        </w:r>
        <w:r w:rsidR="00242E8D">
          <w:rPr>
            <w:rFonts w:asciiTheme="minorHAnsi" w:eastAsiaTheme="minorEastAsia" w:hAnsiTheme="minorHAnsi" w:cstheme="minorBidi"/>
            <w:sz w:val="22"/>
          </w:rPr>
          <w:tab/>
        </w:r>
        <w:r w:rsidR="00242E8D" w:rsidRPr="00972364">
          <w:rPr>
            <w:rStyle w:val="Hyperlink"/>
          </w:rPr>
          <w:t xml:space="preserve">New Zealand’s uncertainties in </w:t>
        </w:r>
        <w:r w:rsidR="00242E8D" w:rsidRPr="00972364">
          <w:rPr>
            <w:rStyle w:val="Hyperlink"/>
            <w:spacing w:val="-2"/>
          </w:rPr>
          <w:t>nitrous oxide</w:t>
        </w:r>
        <w:r w:rsidR="00242E8D" w:rsidRPr="00972364">
          <w:rPr>
            <w:rStyle w:val="Hyperlink"/>
          </w:rPr>
          <w:t xml:space="preserve"> (N</w:t>
        </w:r>
        <w:r w:rsidR="00242E8D" w:rsidRPr="00972364">
          <w:rPr>
            <w:rStyle w:val="Hyperlink"/>
            <w:vertAlign w:val="subscript"/>
          </w:rPr>
          <w:t>2</w:t>
        </w:r>
        <w:r w:rsidR="00242E8D" w:rsidRPr="00972364">
          <w:rPr>
            <w:rStyle w:val="Hyperlink"/>
          </w:rPr>
          <w:t>O) emissions from Agricultural soils for 1990, 2002, 2012 and 2016 estimated using Monte Carlo simulation (1990, 2002), the 95 per cent confidence interval (2012) and the analytical method (2019)</w:t>
        </w:r>
        <w:r w:rsidR="00242E8D">
          <w:rPr>
            <w:webHidden/>
          </w:rPr>
          <w:tab/>
        </w:r>
        <w:r w:rsidR="00242E8D">
          <w:rPr>
            <w:webHidden/>
          </w:rPr>
          <w:fldChar w:fldCharType="begin"/>
        </w:r>
        <w:r w:rsidR="00242E8D">
          <w:rPr>
            <w:webHidden/>
          </w:rPr>
          <w:instrText xml:space="preserve"> PAGEREF _Toc68786457 \h </w:instrText>
        </w:r>
        <w:r w:rsidR="00242E8D">
          <w:rPr>
            <w:webHidden/>
          </w:rPr>
        </w:r>
        <w:r w:rsidR="00242E8D">
          <w:rPr>
            <w:webHidden/>
          </w:rPr>
          <w:fldChar w:fldCharType="separate"/>
        </w:r>
        <w:r w:rsidR="00B94D2F">
          <w:rPr>
            <w:webHidden/>
          </w:rPr>
          <w:t>232</w:t>
        </w:r>
        <w:r w:rsidR="00242E8D">
          <w:rPr>
            <w:webHidden/>
          </w:rPr>
          <w:fldChar w:fldCharType="end"/>
        </w:r>
      </w:hyperlink>
    </w:p>
    <w:p w14:paraId="1A54FDBE" w14:textId="22604DA1" w:rsidR="00242E8D" w:rsidRDefault="00087879">
      <w:pPr>
        <w:pStyle w:val="TableofFigures"/>
        <w:rPr>
          <w:rFonts w:asciiTheme="minorHAnsi" w:eastAsiaTheme="minorEastAsia" w:hAnsiTheme="minorHAnsi" w:cstheme="minorBidi"/>
          <w:sz w:val="22"/>
        </w:rPr>
      </w:pPr>
      <w:hyperlink w:anchor="_Toc68786458" w:history="1">
        <w:r w:rsidR="00242E8D" w:rsidRPr="00972364">
          <w:rPr>
            <w:rStyle w:val="Hyperlink"/>
          </w:rPr>
          <w:t>Table 5.5.12</w:t>
        </w:r>
        <w:r w:rsidR="00242E8D">
          <w:rPr>
            <w:rFonts w:asciiTheme="minorHAnsi" w:eastAsiaTheme="minorEastAsia" w:hAnsiTheme="minorHAnsi" w:cstheme="minorBidi"/>
            <w:sz w:val="22"/>
          </w:rPr>
          <w:tab/>
        </w:r>
        <w:r w:rsidR="00242E8D" w:rsidRPr="00972364">
          <w:rPr>
            <w:rStyle w:val="Hyperlink"/>
          </w:rPr>
          <w:t>Comparison of New Zealand’s implied emission factors (IEFs) for EF</w:t>
        </w:r>
        <w:r w:rsidR="00242E8D" w:rsidRPr="00972364">
          <w:rPr>
            <w:rStyle w:val="Hyperlink"/>
            <w:vertAlign w:val="subscript"/>
          </w:rPr>
          <w:t>1</w:t>
        </w:r>
        <w:r w:rsidR="00242E8D" w:rsidRPr="00972364">
          <w:rPr>
            <w:rStyle w:val="Hyperlink"/>
          </w:rPr>
          <w:t xml:space="preserve"> (synthetic nitrogen fertiliser) and EF</w:t>
        </w:r>
        <w:r w:rsidR="00242E8D" w:rsidRPr="00972364">
          <w:rPr>
            <w:rStyle w:val="Hyperlink"/>
            <w:vertAlign w:val="subscript"/>
          </w:rPr>
          <w:t>3(PRP)</w:t>
        </w:r>
        <w:r w:rsidR="00242E8D" w:rsidRPr="00972364">
          <w:rPr>
            <w:rStyle w:val="Hyperlink"/>
          </w:rPr>
          <w:t xml:space="preserve"> (pasture, range and paddock manure) with the IPCC default and the Australian-specific value</w:t>
        </w:r>
        <w:r w:rsidR="00242E8D">
          <w:rPr>
            <w:webHidden/>
          </w:rPr>
          <w:tab/>
        </w:r>
        <w:r w:rsidR="00242E8D">
          <w:rPr>
            <w:webHidden/>
          </w:rPr>
          <w:fldChar w:fldCharType="begin"/>
        </w:r>
        <w:r w:rsidR="00242E8D">
          <w:rPr>
            <w:webHidden/>
          </w:rPr>
          <w:instrText xml:space="preserve"> PAGEREF _Toc68786458 \h </w:instrText>
        </w:r>
        <w:r w:rsidR="00242E8D">
          <w:rPr>
            <w:webHidden/>
          </w:rPr>
        </w:r>
        <w:r w:rsidR="00242E8D">
          <w:rPr>
            <w:webHidden/>
          </w:rPr>
          <w:fldChar w:fldCharType="separate"/>
        </w:r>
        <w:r w:rsidR="00B94D2F">
          <w:rPr>
            <w:webHidden/>
          </w:rPr>
          <w:t>233</w:t>
        </w:r>
        <w:r w:rsidR="00242E8D">
          <w:rPr>
            <w:webHidden/>
          </w:rPr>
          <w:fldChar w:fldCharType="end"/>
        </w:r>
      </w:hyperlink>
    </w:p>
    <w:p w14:paraId="49973139" w14:textId="7959C5E4" w:rsidR="00242E8D" w:rsidRDefault="00087879">
      <w:pPr>
        <w:pStyle w:val="TableofFigures"/>
        <w:rPr>
          <w:rFonts w:asciiTheme="minorHAnsi" w:eastAsiaTheme="minorEastAsia" w:hAnsiTheme="minorHAnsi" w:cstheme="minorBidi"/>
          <w:sz w:val="22"/>
        </w:rPr>
      </w:pPr>
      <w:hyperlink w:anchor="_Toc68786459" w:history="1">
        <w:r w:rsidR="00242E8D" w:rsidRPr="00972364">
          <w:rPr>
            <w:rStyle w:val="Hyperlink"/>
          </w:rPr>
          <w:t>Table 5.5.13</w:t>
        </w:r>
        <w:r w:rsidR="00242E8D">
          <w:rPr>
            <w:rFonts w:asciiTheme="minorHAnsi" w:eastAsiaTheme="minorEastAsia" w:hAnsiTheme="minorHAnsi" w:cstheme="minorBidi"/>
            <w:sz w:val="22"/>
          </w:rPr>
          <w:tab/>
        </w:r>
        <w:r w:rsidR="00242E8D" w:rsidRPr="00972364">
          <w:rPr>
            <w:rStyle w:val="Hyperlink"/>
          </w:rPr>
          <w:t>Comparison of New Zealand’s country-specific factors for volatilisation (Frac</w:t>
        </w:r>
        <w:r w:rsidR="00242E8D" w:rsidRPr="00972364">
          <w:rPr>
            <w:rStyle w:val="Hyperlink"/>
            <w:vertAlign w:val="subscript"/>
          </w:rPr>
          <w:t>GASF</w:t>
        </w:r>
        <w:r w:rsidR="00242E8D" w:rsidRPr="00972364">
          <w:rPr>
            <w:rStyle w:val="Hyperlink"/>
          </w:rPr>
          <w:t>, Frac</w:t>
        </w:r>
        <w:r w:rsidR="00242E8D" w:rsidRPr="00972364">
          <w:rPr>
            <w:rStyle w:val="Hyperlink"/>
            <w:vertAlign w:val="subscript"/>
          </w:rPr>
          <w:t>GASM</w:t>
        </w:r>
        <w:r w:rsidR="00242E8D" w:rsidRPr="00972364">
          <w:rPr>
            <w:rStyle w:val="Hyperlink"/>
          </w:rPr>
          <w:t>) and leaching and runoff (Frac</w:t>
        </w:r>
        <w:r w:rsidR="00242E8D" w:rsidRPr="00972364">
          <w:rPr>
            <w:rStyle w:val="Hyperlink"/>
            <w:vertAlign w:val="subscript"/>
          </w:rPr>
          <w:t>LEACH-(H)</w:t>
        </w:r>
        <w:r w:rsidR="00242E8D" w:rsidRPr="00972364">
          <w:rPr>
            <w:rStyle w:val="Hyperlink"/>
          </w:rPr>
          <w:t>) with the IPCC default value and the Australian implied emissions factor (IEF)</w:t>
        </w:r>
        <w:r w:rsidR="00242E8D">
          <w:rPr>
            <w:webHidden/>
          </w:rPr>
          <w:tab/>
        </w:r>
        <w:r w:rsidR="00242E8D">
          <w:rPr>
            <w:webHidden/>
          </w:rPr>
          <w:fldChar w:fldCharType="begin"/>
        </w:r>
        <w:r w:rsidR="00242E8D">
          <w:rPr>
            <w:webHidden/>
          </w:rPr>
          <w:instrText xml:space="preserve"> PAGEREF _Toc68786459 \h </w:instrText>
        </w:r>
        <w:r w:rsidR="00242E8D">
          <w:rPr>
            <w:webHidden/>
          </w:rPr>
        </w:r>
        <w:r w:rsidR="00242E8D">
          <w:rPr>
            <w:webHidden/>
          </w:rPr>
          <w:fldChar w:fldCharType="separate"/>
        </w:r>
        <w:r w:rsidR="00B94D2F">
          <w:rPr>
            <w:webHidden/>
          </w:rPr>
          <w:t>234</w:t>
        </w:r>
        <w:r w:rsidR="00242E8D">
          <w:rPr>
            <w:webHidden/>
          </w:rPr>
          <w:fldChar w:fldCharType="end"/>
        </w:r>
      </w:hyperlink>
    </w:p>
    <w:p w14:paraId="48483CD3" w14:textId="013516A0" w:rsidR="00242E8D" w:rsidRDefault="00087879">
      <w:pPr>
        <w:pStyle w:val="TableofFigures"/>
        <w:rPr>
          <w:rFonts w:asciiTheme="minorHAnsi" w:eastAsiaTheme="minorEastAsia" w:hAnsiTheme="minorHAnsi" w:cstheme="minorBidi"/>
          <w:sz w:val="22"/>
        </w:rPr>
      </w:pPr>
      <w:hyperlink w:anchor="_Toc68786460" w:history="1">
        <w:r w:rsidR="00242E8D" w:rsidRPr="00972364">
          <w:rPr>
            <w:rStyle w:val="Hyperlink"/>
          </w:rPr>
          <w:t>Table 5.5.14</w:t>
        </w:r>
        <w:r w:rsidR="00242E8D">
          <w:rPr>
            <w:rFonts w:asciiTheme="minorHAnsi" w:eastAsiaTheme="minorEastAsia" w:hAnsiTheme="minorHAnsi" w:cstheme="minorBidi"/>
            <w:sz w:val="22"/>
          </w:rPr>
          <w:tab/>
        </w:r>
        <w:r w:rsidR="00242E8D" w:rsidRPr="00972364">
          <w:rPr>
            <w:rStyle w:val="Hyperlink"/>
          </w:rPr>
          <w:t>Comparison of current and previous emissions estimates before and after change to the area of </w:t>
        </w:r>
        <w:r w:rsidR="00242E8D" w:rsidRPr="00972364">
          <w:rPr>
            <w:rStyle w:val="Hyperlink"/>
            <w:i/>
            <w:iCs/>
          </w:rPr>
          <w:t>Managed organic soils</w:t>
        </w:r>
        <w:r w:rsidR="00242E8D" w:rsidRPr="00972364">
          <w:rPr>
            <w:rStyle w:val="Hyperlink"/>
          </w:rPr>
          <w:t xml:space="preserve"> used in the Agriculture inventory</w:t>
        </w:r>
        <w:r w:rsidR="00242E8D">
          <w:rPr>
            <w:webHidden/>
          </w:rPr>
          <w:tab/>
        </w:r>
        <w:r w:rsidR="00242E8D">
          <w:rPr>
            <w:webHidden/>
          </w:rPr>
          <w:fldChar w:fldCharType="begin"/>
        </w:r>
        <w:r w:rsidR="00242E8D">
          <w:rPr>
            <w:webHidden/>
          </w:rPr>
          <w:instrText xml:space="preserve"> PAGEREF _Toc68786460 \h </w:instrText>
        </w:r>
        <w:r w:rsidR="00242E8D">
          <w:rPr>
            <w:webHidden/>
          </w:rPr>
        </w:r>
        <w:r w:rsidR="00242E8D">
          <w:rPr>
            <w:webHidden/>
          </w:rPr>
          <w:fldChar w:fldCharType="separate"/>
        </w:r>
        <w:r w:rsidR="00B94D2F">
          <w:rPr>
            <w:webHidden/>
          </w:rPr>
          <w:t>235</w:t>
        </w:r>
        <w:r w:rsidR="00242E8D">
          <w:rPr>
            <w:webHidden/>
          </w:rPr>
          <w:fldChar w:fldCharType="end"/>
        </w:r>
      </w:hyperlink>
    </w:p>
    <w:p w14:paraId="16523608" w14:textId="76113020" w:rsidR="00242E8D" w:rsidRDefault="00087879">
      <w:pPr>
        <w:pStyle w:val="TableofFigures"/>
        <w:rPr>
          <w:rFonts w:asciiTheme="minorHAnsi" w:eastAsiaTheme="minorEastAsia" w:hAnsiTheme="minorHAnsi" w:cstheme="minorBidi"/>
          <w:sz w:val="22"/>
        </w:rPr>
      </w:pPr>
      <w:hyperlink w:anchor="_Toc68786461" w:history="1">
        <w:r w:rsidR="00242E8D" w:rsidRPr="00972364">
          <w:rPr>
            <w:rStyle w:val="Hyperlink"/>
          </w:rPr>
          <w:t>Table 5.5.15</w:t>
        </w:r>
        <w:r w:rsidR="00242E8D">
          <w:rPr>
            <w:rFonts w:asciiTheme="minorHAnsi" w:eastAsiaTheme="minorEastAsia" w:hAnsiTheme="minorHAnsi" w:cstheme="minorBidi"/>
            <w:sz w:val="22"/>
          </w:rPr>
          <w:tab/>
        </w:r>
        <w:r w:rsidR="00242E8D" w:rsidRPr="00972364">
          <w:rPr>
            <w:rStyle w:val="Hyperlink"/>
          </w:rPr>
          <w:t>Comparison of current and previous emissions estimates before and after the adoption of updated pasture quality data</w:t>
        </w:r>
        <w:r w:rsidR="00242E8D">
          <w:rPr>
            <w:webHidden/>
          </w:rPr>
          <w:tab/>
        </w:r>
        <w:r w:rsidR="00242E8D">
          <w:rPr>
            <w:webHidden/>
          </w:rPr>
          <w:fldChar w:fldCharType="begin"/>
        </w:r>
        <w:r w:rsidR="00242E8D">
          <w:rPr>
            <w:webHidden/>
          </w:rPr>
          <w:instrText xml:space="preserve"> PAGEREF _Toc68786461 \h </w:instrText>
        </w:r>
        <w:r w:rsidR="00242E8D">
          <w:rPr>
            <w:webHidden/>
          </w:rPr>
        </w:r>
        <w:r w:rsidR="00242E8D">
          <w:rPr>
            <w:webHidden/>
          </w:rPr>
          <w:fldChar w:fldCharType="separate"/>
        </w:r>
        <w:r w:rsidR="00B94D2F">
          <w:rPr>
            <w:webHidden/>
          </w:rPr>
          <w:t>236</w:t>
        </w:r>
        <w:r w:rsidR="00242E8D">
          <w:rPr>
            <w:webHidden/>
          </w:rPr>
          <w:fldChar w:fldCharType="end"/>
        </w:r>
      </w:hyperlink>
    </w:p>
    <w:p w14:paraId="6AEFA067" w14:textId="47D98F97" w:rsidR="00242E8D" w:rsidRDefault="00087879">
      <w:pPr>
        <w:pStyle w:val="TableofFigures"/>
        <w:rPr>
          <w:rFonts w:asciiTheme="minorHAnsi" w:eastAsiaTheme="minorEastAsia" w:hAnsiTheme="minorHAnsi" w:cstheme="minorBidi"/>
          <w:sz w:val="22"/>
        </w:rPr>
      </w:pPr>
      <w:hyperlink w:anchor="_Toc68786462" w:history="1">
        <w:r w:rsidR="00242E8D" w:rsidRPr="00972364">
          <w:rPr>
            <w:rStyle w:val="Hyperlink"/>
          </w:rPr>
          <w:t>Table 5.5.16</w:t>
        </w:r>
        <w:r w:rsidR="00242E8D">
          <w:rPr>
            <w:rFonts w:asciiTheme="minorHAnsi" w:eastAsiaTheme="minorEastAsia" w:hAnsiTheme="minorHAnsi" w:cstheme="minorBidi"/>
            <w:sz w:val="22"/>
          </w:rPr>
          <w:tab/>
        </w:r>
        <w:r w:rsidR="00242E8D" w:rsidRPr="00972364">
          <w:rPr>
            <w:rStyle w:val="Hyperlink"/>
          </w:rPr>
          <w:t>Comparison of current and previous emissions estimates before and after corrections to sheep nitrogen excretion calculations</w:t>
        </w:r>
        <w:r w:rsidR="00242E8D">
          <w:rPr>
            <w:webHidden/>
          </w:rPr>
          <w:tab/>
        </w:r>
        <w:r w:rsidR="00242E8D">
          <w:rPr>
            <w:webHidden/>
          </w:rPr>
          <w:fldChar w:fldCharType="begin"/>
        </w:r>
        <w:r w:rsidR="00242E8D">
          <w:rPr>
            <w:webHidden/>
          </w:rPr>
          <w:instrText xml:space="preserve"> PAGEREF _Toc68786462 \h </w:instrText>
        </w:r>
        <w:r w:rsidR="00242E8D">
          <w:rPr>
            <w:webHidden/>
          </w:rPr>
        </w:r>
        <w:r w:rsidR="00242E8D">
          <w:rPr>
            <w:webHidden/>
          </w:rPr>
          <w:fldChar w:fldCharType="separate"/>
        </w:r>
        <w:r w:rsidR="00B94D2F">
          <w:rPr>
            <w:webHidden/>
          </w:rPr>
          <w:t>237</w:t>
        </w:r>
        <w:r w:rsidR="00242E8D">
          <w:rPr>
            <w:webHidden/>
          </w:rPr>
          <w:fldChar w:fldCharType="end"/>
        </w:r>
      </w:hyperlink>
    </w:p>
    <w:p w14:paraId="05E984E9" w14:textId="7676A138" w:rsidR="00242E8D" w:rsidRDefault="00087879">
      <w:pPr>
        <w:pStyle w:val="TableofFigures"/>
        <w:rPr>
          <w:rFonts w:asciiTheme="minorHAnsi" w:eastAsiaTheme="minorEastAsia" w:hAnsiTheme="minorHAnsi" w:cstheme="minorBidi"/>
          <w:sz w:val="22"/>
        </w:rPr>
      </w:pPr>
      <w:hyperlink w:anchor="_Toc68786463" w:history="1">
        <w:r w:rsidR="00242E8D" w:rsidRPr="00972364">
          <w:rPr>
            <w:rStyle w:val="Hyperlink"/>
          </w:rPr>
          <w:t>Table 5.7.1</w:t>
        </w:r>
        <w:r w:rsidR="00242E8D">
          <w:rPr>
            <w:rFonts w:asciiTheme="minorHAnsi" w:eastAsiaTheme="minorEastAsia" w:hAnsiTheme="minorHAnsi" w:cstheme="minorBidi"/>
            <w:sz w:val="22"/>
          </w:rPr>
          <w:tab/>
        </w:r>
        <w:r w:rsidR="00242E8D" w:rsidRPr="00972364">
          <w:rPr>
            <w:rStyle w:val="Hyperlink"/>
          </w:rPr>
          <w:t>Emission ratios for agricultural residue burning</w:t>
        </w:r>
        <w:r w:rsidR="00242E8D">
          <w:rPr>
            <w:webHidden/>
          </w:rPr>
          <w:tab/>
        </w:r>
        <w:r w:rsidR="00242E8D">
          <w:rPr>
            <w:webHidden/>
          </w:rPr>
          <w:fldChar w:fldCharType="begin"/>
        </w:r>
        <w:r w:rsidR="00242E8D">
          <w:rPr>
            <w:webHidden/>
          </w:rPr>
          <w:instrText xml:space="preserve"> PAGEREF _Toc68786463 \h </w:instrText>
        </w:r>
        <w:r w:rsidR="00242E8D">
          <w:rPr>
            <w:webHidden/>
          </w:rPr>
        </w:r>
        <w:r w:rsidR="00242E8D">
          <w:rPr>
            <w:webHidden/>
          </w:rPr>
          <w:fldChar w:fldCharType="separate"/>
        </w:r>
        <w:r w:rsidR="00B94D2F">
          <w:rPr>
            <w:webHidden/>
          </w:rPr>
          <w:t>239</w:t>
        </w:r>
        <w:r w:rsidR="00242E8D">
          <w:rPr>
            <w:webHidden/>
          </w:rPr>
          <w:fldChar w:fldCharType="end"/>
        </w:r>
      </w:hyperlink>
    </w:p>
    <w:p w14:paraId="6A9C8AED" w14:textId="53901123" w:rsidR="00242E8D" w:rsidRDefault="00087879">
      <w:pPr>
        <w:pStyle w:val="TableofFigures"/>
        <w:rPr>
          <w:rFonts w:asciiTheme="minorHAnsi" w:eastAsiaTheme="minorEastAsia" w:hAnsiTheme="minorHAnsi" w:cstheme="minorBidi"/>
          <w:sz w:val="22"/>
        </w:rPr>
      </w:pPr>
      <w:hyperlink w:anchor="_Toc68786464" w:history="1">
        <w:r w:rsidR="00242E8D" w:rsidRPr="00972364">
          <w:rPr>
            <w:rStyle w:val="Hyperlink"/>
          </w:rPr>
          <w:t xml:space="preserve">Table 5.7.2 </w:t>
        </w:r>
        <w:r w:rsidR="00242E8D">
          <w:rPr>
            <w:rFonts w:asciiTheme="minorHAnsi" w:eastAsiaTheme="minorEastAsia" w:hAnsiTheme="minorHAnsi" w:cstheme="minorBidi"/>
            <w:sz w:val="22"/>
          </w:rPr>
          <w:tab/>
        </w:r>
        <w:r w:rsidR="00242E8D" w:rsidRPr="00972364">
          <w:rPr>
            <w:rStyle w:val="Hyperlink"/>
          </w:rPr>
          <w:t>Values used to calculate New Zealand emissions from burning of agricultural residues</w:t>
        </w:r>
        <w:r w:rsidR="00242E8D">
          <w:rPr>
            <w:webHidden/>
          </w:rPr>
          <w:tab/>
        </w:r>
        <w:r w:rsidR="00242E8D">
          <w:rPr>
            <w:webHidden/>
          </w:rPr>
          <w:fldChar w:fldCharType="begin"/>
        </w:r>
        <w:r w:rsidR="00242E8D">
          <w:rPr>
            <w:webHidden/>
          </w:rPr>
          <w:instrText xml:space="preserve"> PAGEREF _Toc68786464 \h </w:instrText>
        </w:r>
        <w:r w:rsidR="00242E8D">
          <w:rPr>
            <w:webHidden/>
          </w:rPr>
        </w:r>
        <w:r w:rsidR="00242E8D">
          <w:rPr>
            <w:webHidden/>
          </w:rPr>
          <w:fldChar w:fldCharType="separate"/>
        </w:r>
        <w:r w:rsidR="00B94D2F">
          <w:rPr>
            <w:webHidden/>
          </w:rPr>
          <w:t>240</w:t>
        </w:r>
        <w:r w:rsidR="00242E8D">
          <w:rPr>
            <w:webHidden/>
          </w:rPr>
          <w:fldChar w:fldCharType="end"/>
        </w:r>
      </w:hyperlink>
    </w:p>
    <w:p w14:paraId="128A8D5A" w14:textId="46D856CD" w:rsidR="00242E8D" w:rsidRDefault="00087879">
      <w:pPr>
        <w:pStyle w:val="TableofFigures"/>
        <w:rPr>
          <w:rFonts w:asciiTheme="minorHAnsi" w:eastAsiaTheme="minorEastAsia" w:hAnsiTheme="minorHAnsi" w:cstheme="minorBidi"/>
          <w:sz w:val="22"/>
        </w:rPr>
      </w:pPr>
      <w:hyperlink w:anchor="_Toc68786465" w:history="1">
        <w:r w:rsidR="00242E8D" w:rsidRPr="00972364">
          <w:rPr>
            <w:rStyle w:val="Hyperlink"/>
          </w:rPr>
          <w:t xml:space="preserve">Table 6.1.1 </w:t>
        </w:r>
        <w:r w:rsidR="00242E8D">
          <w:rPr>
            <w:rFonts w:asciiTheme="minorHAnsi" w:eastAsiaTheme="minorEastAsia" w:hAnsiTheme="minorHAnsi" w:cstheme="minorBidi"/>
            <w:sz w:val="22"/>
          </w:rPr>
          <w:tab/>
        </w:r>
        <w:r w:rsidR="00242E8D" w:rsidRPr="00972364">
          <w:rPr>
            <w:rStyle w:val="Hyperlink"/>
          </w:rPr>
          <w:t>New Zealand’s greenhouse gas net emissions for the LULUCF sector by land use category in 1990 and 2019</w:t>
        </w:r>
        <w:r w:rsidR="00242E8D">
          <w:rPr>
            <w:webHidden/>
          </w:rPr>
          <w:tab/>
        </w:r>
        <w:r w:rsidR="00242E8D">
          <w:rPr>
            <w:webHidden/>
          </w:rPr>
          <w:fldChar w:fldCharType="begin"/>
        </w:r>
        <w:r w:rsidR="00242E8D">
          <w:rPr>
            <w:webHidden/>
          </w:rPr>
          <w:instrText xml:space="preserve"> PAGEREF _Toc68786465 \h </w:instrText>
        </w:r>
        <w:r w:rsidR="00242E8D">
          <w:rPr>
            <w:webHidden/>
          </w:rPr>
        </w:r>
        <w:r w:rsidR="00242E8D">
          <w:rPr>
            <w:webHidden/>
          </w:rPr>
          <w:fldChar w:fldCharType="separate"/>
        </w:r>
        <w:r w:rsidR="00B94D2F">
          <w:rPr>
            <w:webHidden/>
          </w:rPr>
          <w:t>253</w:t>
        </w:r>
        <w:r w:rsidR="00242E8D">
          <w:rPr>
            <w:webHidden/>
          </w:rPr>
          <w:fldChar w:fldCharType="end"/>
        </w:r>
      </w:hyperlink>
    </w:p>
    <w:p w14:paraId="685D74B5" w14:textId="754B23B4" w:rsidR="00242E8D" w:rsidRDefault="00087879">
      <w:pPr>
        <w:pStyle w:val="TableofFigures"/>
        <w:rPr>
          <w:rFonts w:asciiTheme="minorHAnsi" w:eastAsiaTheme="minorEastAsia" w:hAnsiTheme="minorHAnsi" w:cstheme="minorBidi"/>
          <w:sz w:val="22"/>
        </w:rPr>
      </w:pPr>
      <w:hyperlink w:anchor="_Toc68786466" w:history="1">
        <w:r w:rsidR="00242E8D" w:rsidRPr="00972364">
          <w:rPr>
            <w:rStyle w:val="Hyperlink"/>
          </w:rPr>
          <w:t xml:space="preserve">Table 6.1.2 </w:t>
        </w:r>
        <w:r w:rsidR="00242E8D">
          <w:rPr>
            <w:rFonts w:asciiTheme="minorHAnsi" w:eastAsiaTheme="minorEastAsia" w:hAnsiTheme="minorHAnsi" w:cstheme="minorBidi"/>
            <w:sz w:val="22"/>
          </w:rPr>
          <w:tab/>
        </w:r>
        <w:r w:rsidR="00242E8D" w:rsidRPr="00972364">
          <w:rPr>
            <w:rStyle w:val="Hyperlink"/>
          </w:rPr>
          <w:t>Land use in New Zealand in 2019</w:t>
        </w:r>
        <w:r w:rsidR="00242E8D">
          <w:rPr>
            <w:webHidden/>
          </w:rPr>
          <w:tab/>
        </w:r>
        <w:r w:rsidR="00242E8D">
          <w:rPr>
            <w:webHidden/>
          </w:rPr>
          <w:fldChar w:fldCharType="begin"/>
        </w:r>
        <w:r w:rsidR="00242E8D">
          <w:rPr>
            <w:webHidden/>
          </w:rPr>
          <w:instrText xml:space="preserve"> PAGEREF _Toc68786466 \h </w:instrText>
        </w:r>
        <w:r w:rsidR="00242E8D">
          <w:rPr>
            <w:webHidden/>
          </w:rPr>
        </w:r>
        <w:r w:rsidR="00242E8D">
          <w:rPr>
            <w:webHidden/>
          </w:rPr>
          <w:fldChar w:fldCharType="separate"/>
        </w:r>
        <w:r w:rsidR="00B94D2F">
          <w:rPr>
            <w:webHidden/>
          </w:rPr>
          <w:t>255</w:t>
        </w:r>
        <w:r w:rsidR="00242E8D">
          <w:rPr>
            <w:webHidden/>
          </w:rPr>
          <w:fldChar w:fldCharType="end"/>
        </w:r>
      </w:hyperlink>
    </w:p>
    <w:p w14:paraId="64533ABD" w14:textId="12CE277D" w:rsidR="00242E8D" w:rsidRDefault="00087879">
      <w:pPr>
        <w:pStyle w:val="TableofFigures"/>
        <w:rPr>
          <w:rFonts w:asciiTheme="minorHAnsi" w:eastAsiaTheme="minorEastAsia" w:hAnsiTheme="minorHAnsi" w:cstheme="minorBidi"/>
          <w:sz w:val="22"/>
        </w:rPr>
      </w:pPr>
      <w:hyperlink w:anchor="_Toc68786467" w:history="1">
        <w:r w:rsidR="00242E8D" w:rsidRPr="00972364">
          <w:rPr>
            <w:rStyle w:val="Hyperlink"/>
          </w:rPr>
          <w:t>Table 6.1.3</w:t>
        </w:r>
        <w:r w:rsidR="00242E8D">
          <w:rPr>
            <w:rFonts w:asciiTheme="minorHAnsi" w:eastAsiaTheme="minorEastAsia" w:hAnsiTheme="minorHAnsi" w:cstheme="minorBidi"/>
            <w:sz w:val="22"/>
          </w:rPr>
          <w:tab/>
        </w:r>
        <w:r w:rsidR="00242E8D" w:rsidRPr="00972364">
          <w:rPr>
            <w:rStyle w:val="Hyperlink"/>
          </w:rPr>
          <w:t>New Zealand’s biomass carbon stock emission factors in land use before conversion</w:t>
        </w:r>
        <w:r w:rsidR="00242E8D">
          <w:rPr>
            <w:webHidden/>
          </w:rPr>
          <w:tab/>
        </w:r>
        <w:r w:rsidR="00242E8D">
          <w:rPr>
            <w:webHidden/>
          </w:rPr>
          <w:fldChar w:fldCharType="begin"/>
        </w:r>
        <w:r w:rsidR="00242E8D">
          <w:rPr>
            <w:webHidden/>
          </w:rPr>
          <w:instrText xml:space="preserve"> PAGEREF _Toc68786467 \h </w:instrText>
        </w:r>
        <w:r w:rsidR="00242E8D">
          <w:rPr>
            <w:webHidden/>
          </w:rPr>
        </w:r>
        <w:r w:rsidR="00242E8D">
          <w:rPr>
            <w:webHidden/>
          </w:rPr>
          <w:fldChar w:fldCharType="separate"/>
        </w:r>
        <w:r w:rsidR="00B94D2F">
          <w:rPr>
            <w:webHidden/>
          </w:rPr>
          <w:t>257</w:t>
        </w:r>
        <w:r w:rsidR="00242E8D">
          <w:rPr>
            <w:webHidden/>
          </w:rPr>
          <w:fldChar w:fldCharType="end"/>
        </w:r>
      </w:hyperlink>
    </w:p>
    <w:p w14:paraId="68014F95" w14:textId="3294E89C" w:rsidR="00242E8D" w:rsidRDefault="00087879">
      <w:pPr>
        <w:pStyle w:val="TableofFigures"/>
        <w:rPr>
          <w:rFonts w:asciiTheme="minorHAnsi" w:eastAsiaTheme="minorEastAsia" w:hAnsiTheme="minorHAnsi" w:cstheme="minorBidi"/>
          <w:sz w:val="22"/>
        </w:rPr>
      </w:pPr>
      <w:hyperlink w:anchor="_Toc68786468" w:history="1">
        <w:r w:rsidR="00242E8D" w:rsidRPr="00972364">
          <w:rPr>
            <w:rStyle w:val="Hyperlink"/>
          </w:rPr>
          <w:t>Table 6.1.4</w:t>
        </w:r>
        <w:r w:rsidR="00242E8D">
          <w:rPr>
            <w:rFonts w:asciiTheme="minorHAnsi" w:eastAsiaTheme="minorEastAsia" w:hAnsiTheme="minorHAnsi" w:cstheme="minorBidi"/>
            <w:sz w:val="22"/>
          </w:rPr>
          <w:tab/>
        </w:r>
        <w:r w:rsidR="00242E8D" w:rsidRPr="00972364">
          <w:rPr>
            <w:rStyle w:val="Hyperlink"/>
          </w:rPr>
          <w:t>New Zealand’s emission factors for annual growth in biomass carbon stock in land after conversion</w:t>
        </w:r>
        <w:r w:rsidR="00242E8D">
          <w:rPr>
            <w:webHidden/>
          </w:rPr>
          <w:tab/>
        </w:r>
        <w:r w:rsidR="00242E8D">
          <w:rPr>
            <w:webHidden/>
          </w:rPr>
          <w:fldChar w:fldCharType="begin"/>
        </w:r>
        <w:r w:rsidR="00242E8D">
          <w:rPr>
            <w:webHidden/>
          </w:rPr>
          <w:instrText xml:space="preserve"> PAGEREF _Toc68786468 \h </w:instrText>
        </w:r>
        <w:r w:rsidR="00242E8D">
          <w:rPr>
            <w:webHidden/>
          </w:rPr>
        </w:r>
        <w:r w:rsidR="00242E8D">
          <w:rPr>
            <w:webHidden/>
          </w:rPr>
          <w:fldChar w:fldCharType="separate"/>
        </w:r>
        <w:r w:rsidR="00B94D2F">
          <w:rPr>
            <w:webHidden/>
          </w:rPr>
          <w:t>258</w:t>
        </w:r>
        <w:r w:rsidR="00242E8D">
          <w:rPr>
            <w:webHidden/>
          </w:rPr>
          <w:fldChar w:fldCharType="end"/>
        </w:r>
      </w:hyperlink>
    </w:p>
    <w:p w14:paraId="1556E8B0" w14:textId="121B3B2D" w:rsidR="00242E8D" w:rsidRDefault="00087879">
      <w:pPr>
        <w:pStyle w:val="TableofFigures"/>
        <w:rPr>
          <w:rFonts w:asciiTheme="minorHAnsi" w:eastAsiaTheme="minorEastAsia" w:hAnsiTheme="minorHAnsi" w:cstheme="minorBidi"/>
          <w:sz w:val="22"/>
        </w:rPr>
      </w:pPr>
      <w:hyperlink w:anchor="_Toc68786469" w:history="1">
        <w:r w:rsidR="00242E8D" w:rsidRPr="00972364">
          <w:rPr>
            <w:rStyle w:val="Hyperlink"/>
          </w:rPr>
          <w:t>Table 6.1.5</w:t>
        </w:r>
        <w:r w:rsidR="00242E8D">
          <w:rPr>
            <w:rFonts w:asciiTheme="minorHAnsi" w:eastAsiaTheme="minorEastAsia" w:hAnsiTheme="minorHAnsi" w:cstheme="minorBidi"/>
            <w:sz w:val="22"/>
          </w:rPr>
          <w:tab/>
        </w:r>
        <w:r w:rsidR="00242E8D" w:rsidRPr="00972364">
          <w:rPr>
            <w:rStyle w:val="Hyperlink"/>
          </w:rPr>
          <w:t>Relationships between land-use, carbon pool and method of calculation used by New Zealand</w:t>
        </w:r>
        <w:r w:rsidR="00242E8D">
          <w:rPr>
            <w:webHidden/>
          </w:rPr>
          <w:tab/>
        </w:r>
        <w:r w:rsidR="00242E8D">
          <w:rPr>
            <w:webHidden/>
          </w:rPr>
          <w:fldChar w:fldCharType="begin"/>
        </w:r>
        <w:r w:rsidR="00242E8D">
          <w:rPr>
            <w:webHidden/>
          </w:rPr>
          <w:instrText xml:space="preserve"> PAGEREF _Toc68786469 \h </w:instrText>
        </w:r>
        <w:r w:rsidR="00242E8D">
          <w:rPr>
            <w:webHidden/>
          </w:rPr>
        </w:r>
        <w:r w:rsidR="00242E8D">
          <w:rPr>
            <w:webHidden/>
          </w:rPr>
          <w:fldChar w:fldCharType="separate"/>
        </w:r>
        <w:r w:rsidR="00B94D2F">
          <w:rPr>
            <w:webHidden/>
          </w:rPr>
          <w:t>259</w:t>
        </w:r>
        <w:r w:rsidR="00242E8D">
          <w:rPr>
            <w:webHidden/>
          </w:rPr>
          <w:fldChar w:fldCharType="end"/>
        </w:r>
      </w:hyperlink>
    </w:p>
    <w:p w14:paraId="42296E72" w14:textId="2BA7E82E" w:rsidR="00242E8D" w:rsidRDefault="00087879">
      <w:pPr>
        <w:pStyle w:val="TableofFigures"/>
        <w:rPr>
          <w:rFonts w:asciiTheme="minorHAnsi" w:eastAsiaTheme="minorEastAsia" w:hAnsiTheme="minorHAnsi" w:cstheme="minorBidi"/>
          <w:sz w:val="22"/>
        </w:rPr>
      </w:pPr>
      <w:hyperlink w:anchor="_Toc68786470" w:history="1">
        <w:r w:rsidR="00242E8D" w:rsidRPr="00972364">
          <w:rPr>
            <w:rStyle w:val="Hyperlink"/>
          </w:rPr>
          <w:t>Table 6.1.6</w:t>
        </w:r>
        <w:r w:rsidR="00242E8D">
          <w:rPr>
            <w:rFonts w:asciiTheme="minorHAnsi" w:eastAsiaTheme="minorEastAsia" w:hAnsiTheme="minorHAnsi" w:cstheme="minorBidi"/>
            <w:sz w:val="22"/>
          </w:rPr>
          <w:tab/>
        </w:r>
        <w:r w:rsidR="00242E8D" w:rsidRPr="00972364">
          <w:rPr>
            <w:rStyle w:val="Hyperlink"/>
          </w:rPr>
          <w:t>New Zealand’s areas of pre-1990 natural forest deforestation estimated by type from 1990 to 2019</w:t>
        </w:r>
        <w:r w:rsidR="00242E8D">
          <w:rPr>
            <w:webHidden/>
          </w:rPr>
          <w:tab/>
        </w:r>
        <w:r w:rsidR="00242E8D">
          <w:rPr>
            <w:webHidden/>
          </w:rPr>
          <w:fldChar w:fldCharType="begin"/>
        </w:r>
        <w:r w:rsidR="00242E8D">
          <w:rPr>
            <w:webHidden/>
          </w:rPr>
          <w:instrText xml:space="preserve"> PAGEREF _Toc68786470 \h </w:instrText>
        </w:r>
        <w:r w:rsidR="00242E8D">
          <w:rPr>
            <w:webHidden/>
          </w:rPr>
        </w:r>
        <w:r w:rsidR="00242E8D">
          <w:rPr>
            <w:webHidden/>
          </w:rPr>
          <w:fldChar w:fldCharType="separate"/>
        </w:r>
        <w:r w:rsidR="00B94D2F">
          <w:rPr>
            <w:webHidden/>
          </w:rPr>
          <w:t>260</w:t>
        </w:r>
        <w:r w:rsidR="00242E8D">
          <w:rPr>
            <w:webHidden/>
          </w:rPr>
          <w:fldChar w:fldCharType="end"/>
        </w:r>
      </w:hyperlink>
    </w:p>
    <w:p w14:paraId="4A7EE255" w14:textId="3024347F" w:rsidR="00242E8D" w:rsidRDefault="00087879">
      <w:pPr>
        <w:pStyle w:val="TableofFigures"/>
        <w:rPr>
          <w:rFonts w:asciiTheme="minorHAnsi" w:eastAsiaTheme="minorEastAsia" w:hAnsiTheme="minorHAnsi" w:cstheme="minorBidi"/>
          <w:sz w:val="22"/>
        </w:rPr>
      </w:pPr>
      <w:hyperlink w:anchor="_Toc68786471" w:history="1">
        <w:r w:rsidR="00242E8D" w:rsidRPr="00972364">
          <w:rPr>
            <w:rStyle w:val="Hyperlink"/>
          </w:rPr>
          <w:t>Table 6.1.7</w:t>
        </w:r>
        <w:r w:rsidR="00242E8D">
          <w:rPr>
            <w:rFonts w:asciiTheme="minorHAnsi" w:eastAsiaTheme="minorEastAsia" w:hAnsiTheme="minorHAnsi" w:cstheme="minorBidi"/>
            <w:sz w:val="22"/>
          </w:rPr>
          <w:tab/>
        </w:r>
        <w:r w:rsidR="00242E8D" w:rsidRPr="00972364">
          <w:rPr>
            <w:rStyle w:val="Hyperlink"/>
          </w:rPr>
          <w:t>Land use categories making the greatest contribution to uncertainty in the LULUCF sector</w:t>
        </w:r>
        <w:r w:rsidR="00242E8D">
          <w:rPr>
            <w:webHidden/>
          </w:rPr>
          <w:tab/>
        </w:r>
        <w:r w:rsidR="00242E8D">
          <w:rPr>
            <w:webHidden/>
          </w:rPr>
          <w:fldChar w:fldCharType="begin"/>
        </w:r>
        <w:r w:rsidR="00242E8D">
          <w:rPr>
            <w:webHidden/>
          </w:rPr>
          <w:instrText xml:space="preserve"> PAGEREF _Toc68786471 \h </w:instrText>
        </w:r>
        <w:r w:rsidR="00242E8D">
          <w:rPr>
            <w:webHidden/>
          </w:rPr>
        </w:r>
        <w:r w:rsidR="00242E8D">
          <w:rPr>
            <w:webHidden/>
          </w:rPr>
          <w:fldChar w:fldCharType="separate"/>
        </w:r>
        <w:r w:rsidR="00B94D2F">
          <w:rPr>
            <w:webHidden/>
          </w:rPr>
          <w:t>262</w:t>
        </w:r>
        <w:r w:rsidR="00242E8D">
          <w:rPr>
            <w:webHidden/>
          </w:rPr>
          <w:fldChar w:fldCharType="end"/>
        </w:r>
      </w:hyperlink>
    </w:p>
    <w:p w14:paraId="00BDA555" w14:textId="03208374" w:rsidR="00242E8D" w:rsidRDefault="00087879">
      <w:pPr>
        <w:pStyle w:val="TableofFigures"/>
        <w:rPr>
          <w:rFonts w:asciiTheme="minorHAnsi" w:eastAsiaTheme="minorEastAsia" w:hAnsiTheme="minorHAnsi" w:cstheme="minorBidi"/>
          <w:sz w:val="22"/>
        </w:rPr>
      </w:pPr>
      <w:hyperlink w:anchor="_Toc68786472" w:history="1">
        <w:r w:rsidR="00242E8D" w:rsidRPr="00972364">
          <w:rPr>
            <w:rStyle w:val="Hyperlink"/>
          </w:rPr>
          <w:t>Table 6.1.8</w:t>
        </w:r>
        <w:r w:rsidR="00242E8D">
          <w:rPr>
            <w:rFonts w:asciiTheme="minorHAnsi" w:eastAsiaTheme="minorEastAsia" w:hAnsiTheme="minorHAnsi" w:cstheme="minorBidi"/>
            <w:sz w:val="22"/>
          </w:rPr>
          <w:tab/>
        </w:r>
        <w:r w:rsidR="00242E8D" w:rsidRPr="00972364">
          <w:rPr>
            <w:rStyle w:val="Hyperlink"/>
          </w:rPr>
          <w:t>Recalculations to New Zealand’s total net LULUCF emissions for 1990 and 2018</w:t>
        </w:r>
        <w:r w:rsidR="00242E8D">
          <w:rPr>
            <w:webHidden/>
          </w:rPr>
          <w:tab/>
        </w:r>
        <w:r w:rsidR="00242E8D">
          <w:rPr>
            <w:webHidden/>
          </w:rPr>
          <w:fldChar w:fldCharType="begin"/>
        </w:r>
        <w:r w:rsidR="00242E8D">
          <w:rPr>
            <w:webHidden/>
          </w:rPr>
          <w:instrText xml:space="preserve"> PAGEREF _Toc68786472 \h </w:instrText>
        </w:r>
        <w:r w:rsidR="00242E8D">
          <w:rPr>
            <w:webHidden/>
          </w:rPr>
        </w:r>
        <w:r w:rsidR="00242E8D">
          <w:rPr>
            <w:webHidden/>
          </w:rPr>
          <w:fldChar w:fldCharType="separate"/>
        </w:r>
        <w:r w:rsidR="00B94D2F">
          <w:rPr>
            <w:webHidden/>
          </w:rPr>
          <w:t>263</w:t>
        </w:r>
        <w:r w:rsidR="00242E8D">
          <w:rPr>
            <w:webHidden/>
          </w:rPr>
          <w:fldChar w:fldCharType="end"/>
        </w:r>
      </w:hyperlink>
    </w:p>
    <w:p w14:paraId="067C682D" w14:textId="1FEF29BF" w:rsidR="00242E8D" w:rsidRDefault="00087879">
      <w:pPr>
        <w:pStyle w:val="TableofFigures"/>
        <w:rPr>
          <w:rFonts w:asciiTheme="minorHAnsi" w:eastAsiaTheme="minorEastAsia" w:hAnsiTheme="minorHAnsi" w:cstheme="minorBidi"/>
          <w:sz w:val="22"/>
        </w:rPr>
      </w:pPr>
      <w:hyperlink w:anchor="_Toc68786473" w:history="1">
        <w:r w:rsidR="00242E8D" w:rsidRPr="00972364">
          <w:rPr>
            <w:rStyle w:val="Hyperlink"/>
          </w:rPr>
          <w:t>Table 6.1.9</w:t>
        </w:r>
        <w:r w:rsidR="00242E8D">
          <w:rPr>
            <w:rFonts w:asciiTheme="minorHAnsi" w:eastAsiaTheme="minorEastAsia" w:hAnsiTheme="minorHAnsi" w:cstheme="minorBidi"/>
            <w:sz w:val="22"/>
          </w:rPr>
          <w:tab/>
        </w:r>
        <w:r w:rsidR="00242E8D" w:rsidRPr="00972364">
          <w:rPr>
            <w:rStyle w:val="Hyperlink"/>
          </w:rPr>
          <w:t>Recalculations to New Zealand’s net LULUCF emissions for 1990 and 2018 by category</w:t>
        </w:r>
        <w:r w:rsidR="00242E8D">
          <w:rPr>
            <w:webHidden/>
          </w:rPr>
          <w:tab/>
        </w:r>
        <w:r w:rsidR="00242E8D">
          <w:rPr>
            <w:webHidden/>
          </w:rPr>
          <w:fldChar w:fldCharType="begin"/>
        </w:r>
        <w:r w:rsidR="00242E8D">
          <w:rPr>
            <w:webHidden/>
          </w:rPr>
          <w:instrText xml:space="preserve"> PAGEREF _Toc68786473 \h </w:instrText>
        </w:r>
        <w:r w:rsidR="00242E8D">
          <w:rPr>
            <w:webHidden/>
          </w:rPr>
        </w:r>
        <w:r w:rsidR="00242E8D">
          <w:rPr>
            <w:webHidden/>
          </w:rPr>
          <w:fldChar w:fldCharType="separate"/>
        </w:r>
        <w:r w:rsidR="00B94D2F">
          <w:rPr>
            <w:webHidden/>
          </w:rPr>
          <w:t>264</w:t>
        </w:r>
        <w:r w:rsidR="00242E8D">
          <w:rPr>
            <w:webHidden/>
          </w:rPr>
          <w:fldChar w:fldCharType="end"/>
        </w:r>
      </w:hyperlink>
    </w:p>
    <w:p w14:paraId="6DB545F6" w14:textId="57857E27" w:rsidR="00242E8D" w:rsidRDefault="00087879">
      <w:pPr>
        <w:pStyle w:val="TableofFigures"/>
        <w:rPr>
          <w:rFonts w:asciiTheme="minorHAnsi" w:eastAsiaTheme="minorEastAsia" w:hAnsiTheme="minorHAnsi" w:cstheme="minorBidi"/>
          <w:sz w:val="22"/>
        </w:rPr>
      </w:pPr>
      <w:hyperlink w:anchor="_Toc68786474" w:history="1">
        <w:r w:rsidR="00242E8D" w:rsidRPr="00972364">
          <w:rPr>
            <w:rStyle w:val="Hyperlink"/>
          </w:rPr>
          <w:t>Table 6.2.1</w:t>
        </w:r>
        <w:r w:rsidR="00242E8D">
          <w:rPr>
            <w:rFonts w:asciiTheme="minorHAnsi" w:eastAsiaTheme="minorEastAsia" w:hAnsiTheme="minorHAnsi" w:cstheme="minorBidi"/>
            <w:sz w:val="22"/>
          </w:rPr>
          <w:tab/>
        </w:r>
        <w:r w:rsidR="00242E8D" w:rsidRPr="00972364">
          <w:rPr>
            <w:rStyle w:val="Hyperlink"/>
          </w:rPr>
          <w:t>New Zealand’s land use categories and land uses</w:t>
        </w:r>
        <w:r w:rsidR="00242E8D">
          <w:rPr>
            <w:webHidden/>
          </w:rPr>
          <w:tab/>
        </w:r>
        <w:r w:rsidR="00242E8D">
          <w:rPr>
            <w:webHidden/>
          </w:rPr>
          <w:fldChar w:fldCharType="begin"/>
        </w:r>
        <w:r w:rsidR="00242E8D">
          <w:rPr>
            <w:webHidden/>
          </w:rPr>
          <w:instrText xml:space="preserve"> PAGEREF _Toc68786474 \h </w:instrText>
        </w:r>
        <w:r w:rsidR="00242E8D">
          <w:rPr>
            <w:webHidden/>
          </w:rPr>
        </w:r>
        <w:r w:rsidR="00242E8D">
          <w:rPr>
            <w:webHidden/>
          </w:rPr>
          <w:fldChar w:fldCharType="separate"/>
        </w:r>
        <w:r w:rsidR="00B94D2F">
          <w:rPr>
            <w:webHidden/>
          </w:rPr>
          <w:t>265</w:t>
        </w:r>
        <w:r w:rsidR="00242E8D">
          <w:rPr>
            <w:webHidden/>
          </w:rPr>
          <w:fldChar w:fldCharType="end"/>
        </w:r>
      </w:hyperlink>
    </w:p>
    <w:p w14:paraId="5E49DBDE" w14:textId="0121FEFF" w:rsidR="00242E8D" w:rsidRDefault="00087879">
      <w:pPr>
        <w:pStyle w:val="TableofFigures"/>
        <w:rPr>
          <w:rFonts w:asciiTheme="minorHAnsi" w:eastAsiaTheme="minorEastAsia" w:hAnsiTheme="minorHAnsi" w:cstheme="minorBidi"/>
          <w:sz w:val="22"/>
        </w:rPr>
      </w:pPr>
      <w:hyperlink w:anchor="_Toc68786475" w:history="1">
        <w:r w:rsidR="00242E8D" w:rsidRPr="00972364">
          <w:rPr>
            <w:rStyle w:val="Hyperlink"/>
          </w:rPr>
          <w:t>Table 6.2.2</w:t>
        </w:r>
        <w:r w:rsidR="00242E8D">
          <w:rPr>
            <w:rFonts w:asciiTheme="minorHAnsi" w:eastAsiaTheme="minorEastAsia" w:hAnsiTheme="minorHAnsi" w:cstheme="minorBidi"/>
            <w:sz w:val="22"/>
          </w:rPr>
          <w:tab/>
        </w:r>
        <w:r w:rsidR="00242E8D" w:rsidRPr="00972364">
          <w:rPr>
            <w:rStyle w:val="Hyperlink"/>
          </w:rPr>
          <w:t>New Zealand’s mapping definitions for each land use</w:t>
        </w:r>
        <w:r w:rsidR="00242E8D">
          <w:rPr>
            <w:webHidden/>
          </w:rPr>
          <w:tab/>
        </w:r>
        <w:r w:rsidR="00242E8D">
          <w:rPr>
            <w:webHidden/>
          </w:rPr>
          <w:fldChar w:fldCharType="begin"/>
        </w:r>
        <w:r w:rsidR="00242E8D">
          <w:rPr>
            <w:webHidden/>
          </w:rPr>
          <w:instrText xml:space="preserve"> PAGEREF _Toc68786475 \h </w:instrText>
        </w:r>
        <w:r w:rsidR="00242E8D">
          <w:rPr>
            <w:webHidden/>
          </w:rPr>
        </w:r>
        <w:r w:rsidR="00242E8D">
          <w:rPr>
            <w:webHidden/>
          </w:rPr>
          <w:fldChar w:fldCharType="separate"/>
        </w:r>
        <w:r w:rsidR="00B94D2F">
          <w:rPr>
            <w:webHidden/>
          </w:rPr>
          <w:t>266</w:t>
        </w:r>
        <w:r w:rsidR="00242E8D">
          <w:rPr>
            <w:webHidden/>
          </w:rPr>
          <w:fldChar w:fldCharType="end"/>
        </w:r>
      </w:hyperlink>
    </w:p>
    <w:p w14:paraId="5284CB02" w14:textId="06E4D858" w:rsidR="00242E8D" w:rsidRDefault="00087879">
      <w:pPr>
        <w:pStyle w:val="TableofFigures"/>
        <w:rPr>
          <w:rFonts w:asciiTheme="minorHAnsi" w:eastAsiaTheme="minorEastAsia" w:hAnsiTheme="minorHAnsi" w:cstheme="minorBidi"/>
          <w:sz w:val="22"/>
        </w:rPr>
      </w:pPr>
      <w:hyperlink w:anchor="_Toc68786476" w:history="1">
        <w:r w:rsidR="00242E8D" w:rsidRPr="00972364">
          <w:rPr>
            <w:rStyle w:val="Hyperlink"/>
          </w:rPr>
          <w:t>Table 6.2.3</w:t>
        </w:r>
        <w:r w:rsidR="00242E8D">
          <w:rPr>
            <w:rFonts w:asciiTheme="minorHAnsi" w:eastAsiaTheme="minorEastAsia" w:hAnsiTheme="minorHAnsi" w:cstheme="minorBidi"/>
            <w:sz w:val="22"/>
          </w:rPr>
          <w:tab/>
        </w:r>
        <w:r w:rsidR="00242E8D" w:rsidRPr="00972364">
          <w:rPr>
            <w:rStyle w:val="Hyperlink"/>
          </w:rPr>
          <w:t>Satellite imagery used for land use mapping in 1990, 2008 and 2012</w:t>
        </w:r>
        <w:r w:rsidR="00242E8D">
          <w:rPr>
            <w:webHidden/>
          </w:rPr>
          <w:tab/>
        </w:r>
        <w:r w:rsidR="00242E8D">
          <w:rPr>
            <w:webHidden/>
          </w:rPr>
          <w:fldChar w:fldCharType="begin"/>
        </w:r>
        <w:r w:rsidR="00242E8D">
          <w:rPr>
            <w:webHidden/>
          </w:rPr>
          <w:instrText xml:space="preserve"> PAGEREF _Toc68786476 \h </w:instrText>
        </w:r>
        <w:r w:rsidR="00242E8D">
          <w:rPr>
            <w:webHidden/>
          </w:rPr>
        </w:r>
        <w:r w:rsidR="00242E8D">
          <w:rPr>
            <w:webHidden/>
          </w:rPr>
          <w:fldChar w:fldCharType="separate"/>
        </w:r>
        <w:r w:rsidR="00B94D2F">
          <w:rPr>
            <w:webHidden/>
          </w:rPr>
          <w:t>268</w:t>
        </w:r>
        <w:r w:rsidR="00242E8D">
          <w:rPr>
            <w:webHidden/>
          </w:rPr>
          <w:fldChar w:fldCharType="end"/>
        </w:r>
      </w:hyperlink>
    </w:p>
    <w:p w14:paraId="4B6CF321" w14:textId="52301112" w:rsidR="00242E8D" w:rsidRDefault="00087879">
      <w:pPr>
        <w:pStyle w:val="TableofFigures"/>
        <w:rPr>
          <w:rFonts w:asciiTheme="minorHAnsi" w:eastAsiaTheme="minorEastAsia" w:hAnsiTheme="minorHAnsi" w:cstheme="minorBidi"/>
          <w:sz w:val="22"/>
        </w:rPr>
      </w:pPr>
      <w:hyperlink w:anchor="_Toc68786477" w:history="1">
        <w:r w:rsidR="00242E8D" w:rsidRPr="00972364">
          <w:rPr>
            <w:rStyle w:val="Hyperlink"/>
          </w:rPr>
          <w:t>Table 6.2.4</w:t>
        </w:r>
        <w:r w:rsidR="00242E8D">
          <w:rPr>
            <w:rFonts w:asciiTheme="minorHAnsi" w:eastAsiaTheme="minorEastAsia" w:hAnsiTheme="minorHAnsi" w:cstheme="minorBidi"/>
            <w:sz w:val="22"/>
          </w:rPr>
          <w:tab/>
        </w:r>
        <w:r w:rsidR="00242E8D" w:rsidRPr="00972364">
          <w:rPr>
            <w:rStyle w:val="Hyperlink"/>
          </w:rPr>
          <w:t>Ancillary mosaicked imagery data sets used in land use mapping</w:t>
        </w:r>
        <w:r w:rsidR="00242E8D">
          <w:rPr>
            <w:webHidden/>
          </w:rPr>
          <w:tab/>
        </w:r>
        <w:r w:rsidR="00242E8D">
          <w:rPr>
            <w:webHidden/>
          </w:rPr>
          <w:fldChar w:fldCharType="begin"/>
        </w:r>
        <w:r w:rsidR="00242E8D">
          <w:rPr>
            <w:webHidden/>
          </w:rPr>
          <w:instrText xml:space="preserve"> PAGEREF _Toc68786477 \h </w:instrText>
        </w:r>
        <w:r w:rsidR="00242E8D">
          <w:rPr>
            <w:webHidden/>
          </w:rPr>
        </w:r>
        <w:r w:rsidR="00242E8D">
          <w:rPr>
            <w:webHidden/>
          </w:rPr>
          <w:fldChar w:fldCharType="separate"/>
        </w:r>
        <w:r w:rsidR="00B94D2F">
          <w:rPr>
            <w:webHidden/>
          </w:rPr>
          <w:t>275</w:t>
        </w:r>
        <w:r w:rsidR="00242E8D">
          <w:rPr>
            <w:webHidden/>
          </w:rPr>
          <w:fldChar w:fldCharType="end"/>
        </w:r>
      </w:hyperlink>
    </w:p>
    <w:p w14:paraId="2DB805F1" w14:textId="7202FDBC" w:rsidR="00242E8D" w:rsidRDefault="00087879">
      <w:pPr>
        <w:pStyle w:val="TableofFigures"/>
        <w:rPr>
          <w:rFonts w:asciiTheme="minorHAnsi" w:eastAsiaTheme="minorEastAsia" w:hAnsiTheme="minorHAnsi" w:cstheme="minorBidi"/>
          <w:sz w:val="22"/>
        </w:rPr>
      </w:pPr>
      <w:hyperlink w:anchor="_Toc68786478" w:history="1">
        <w:r w:rsidR="00242E8D" w:rsidRPr="00972364">
          <w:rPr>
            <w:rStyle w:val="Hyperlink"/>
          </w:rPr>
          <w:t>Table 6.2.5</w:t>
        </w:r>
        <w:r w:rsidR="00242E8D">
          <w:rPr>
            <w:rFonts w:asciiTheme="minorHAnsi" w:eastAsiaTheme="minorEastAsia" w:hAnsiTheme="minorHAnsi" w:cstheme="minorBidi"/>
            <w:sz w:val="22"/>
          </w:rPr>
          <w:tab/>
        </w:r>
        <w:r w:rsidR="00242E8D" w:rsidRPr="00972364">
          <w:rPr>
            <w:rStyle w:val="Hyperlink"/>
          </w:rPr>
          <w:t>Methods used to estimate afforestation total area and trends between 2008 and 2016</w:t>
        </w:r>
        <w:r w:rsidR="00242E8D">
          <w:rPr>
            <w:webHidden/>
          </w:rPr>
          <w:tab/>
        </w:r>
        <w:r w:rsidR="00242E8D">
          <w:rPr>
            <w:webHidden/>
          </w:rPr>
          <w:fldChar w:fldCharType="begin"/>
        </w:r>
        <w:r w:rsidR="00242E8D">
          <w:rPr>
            <w:webHidden/>
          </w:rPr>
          <w:instrText xml:space="preserve"> PAGEREF _Toc68786478 \h </w:instrText>
        </w:r>
        <w:r w:rsidR="00242E8D">
          <w:rPr>
            <w:webHidden/>
          </w:rPr>
        </w:r>
        <w:r w:rsidR="00242E8D">
          <w:rPr>
            <w:webHidden/>
          </w:rPr>
          <w:fldChar w:fldCharType="separate"/>
        </w:r>
        <w:r w:rsidR="00B94D2F">
          <w:rPr>
            <w:webHidden/>
          </w:rPr>
          <w:t>281</w:t>
        </w:r>
        <w:r w:rsidR="00242E8D">
          <w:rPr>
            <w:webHidden/>
          </w:rPr>
          <w:fldChar w:fldCharType="end"/>
        </w:r>
      </w:hyperlink>
    </w:p>
    <w:p w14:paraId="07C8B6EF" w14:textId="127698F9" w:rsidR="00242E8D" w:rsidRDefault="00087879">
      <w:pPr>
        <w:pStyle w:val="TableofFigures"/>
        <w:rPr>
          <w:rFonts w:asciiTheme="minorHAnsi" w:eastAsiaTheme="minorEastAsia" w:hAnsiTheme="minorHAnsi" w:cstheme="minorBidi"/>
          <w:sz w:val="22"/>
        </w:rPr>
      </w:pPr>
      <w:hyperlink w:anchor="_Toc68786479" w:history="1">
        <w:r w:rsidR="00242E8D" w:rsidRPr="00972364">
          <w:rPr>
            <w:rStyle w:val="Hyperlink"/>
          </w:rPr>
          <w:t>Table 6.3.1</w:t>
        </w:r>
        <w:r w:rsidR="00242E8D">
          <w:rPr>
            <w:rFonts w:asciiTheme="minorHAnsi" w:eastAsiaTheme="minorEastAsia" w:hAnsiTheme="minorHAnsi" w:cstheme="minorBidi"/>
            <w:sz w:val="22"/>
          </w:rPr>
          <w:tab/>
        </w:r>
        <w:r w:rsidR="00242E8D" w:rsidRPr="00972364">
          <w:rPr>
            <w:rStyle w:val="Hyperlink"/>
          </w:rPr>
          <w:t xml:space="preserve">Land use effect coefficients with standard errors, </w:t>
        </w:r>
        <w:r w:rsidR="00242E8D" w:rsidRPr="00972364">
          <w:rPr>
            <w:rStyle w:val="Hyperlink"/>
            <w:i/>
          </w:rPr>
          <w:t>t</w:t>
        </w:r>
        <w:r w:rsidR="00242E8D" w:rsidRPr="00972364">
          <w:rPr>
            <w:rStyle w:val="Hyperlink"/>
          </w:rPr>
          <w:t xml:space="preserve">-values, and corresponding </w:t>
        </w:r>
        <w:r w:rsidR="00242E8D" w:rsidRPr="00972364">
          <w:rPr>
            <w:rStyle w:val="Hyperlink"/>
            <w:i/>
          </w:rPr>
          <w:t>p</w:t>
        </w:r>
        <w:r w:rsidR="00242E8D" w:rsidRPr="00972364">
          <w:rPr>
            <w:rStyle w:val="Hyperlink"/>
          </w:rPr>
          <w:noBreakHyphen/>
          <w:t>value significance estimates, extracted from full model results</w:t>
        </w:r>
        <w:r w:rsidR="00242E8D">
          <w:rPr>
            <w:webHidden/>
          </w:rPr>
          <w:tab/>
        </w:r>
        <w:r w:rsidR="00242E8D">
          <w:rPr>
            <w:webHidden/>
          </w:rPr>
          <w:fldChar w:fldCharType="begin"/>
        </w:r>
        <w:r w:rsidR="00242E8D">
          <w:rPr>
            <w:webHidden/>
          </w:rPr>
          <w:instrText xml:space="preserve"> PAGEREF _Toc68786479 \h </w:instrText>
        </w:r>
        <w:r w:rsidR="00242E8D">
          <w:rPr>
            <w:webHidden/>
          </w:rPr>
        </w:r>
        <w:r w:rsidR="00242E8D">
          <w:rPr>
            <w:webHidden/>
          </w:rPr>
          <w:fldChar w:fldCharType="separate"/>
        </w:r>
        <w:r w:rsidR="00B94D2F">
          <w:rPr>
            <w:webHidden/>
          </w:rPr>
          <w:t>288</w:t>
        </w:r>
        <w:r w:rsidR="00242E8D">
          <w:rPr>
            <w:webHidden/>
          </w:rPr>
          <w:fldChar w:fldCharType="end"/>
        </w:r>
      </w:hyperlink>
    </w:p>
    <w:p w14:paraId="3A1EB422" w14:textId="5FD7FDD6" w:rsidR="00242E8D" w:rsidRDefault="00087879">
      <w:pPr>
        <w:pStyle w:val="TableofFigures"/>
        <w:rPr>
          <w:rFonts w:asciiTheme="minorHAnsi" w:eastAsiaTheme="minorEastAsia" w:hAnsiTheme="minorHAnsi" w:cstheme="minorBidi"/>
          <w:sz w:val="22"/>
        </w:rPr>
      </w:pPr>
      <w:hyperlink w:anchor="_Toc68786480" w:history="1">
        <w:r w:rsidR="00242E8D" w:rsidRPr="00972364">
          <w:rPr>
            <w:rStyle w:val="Hyperlink"/>
          </w:rPr>
          <w:t>Table 6.3.2</w:t>
        </w:r>
        <w:r w:rsidR="00242E8D">
          <w:rPr>
            <w:rFonts w:asciiTheme="minorHAnsi" w:eastAsiaTheme="minorEastAsia" w:hAnsiTheme="minorHAnsi" w:cstheme="minorBidi"/>
            <w:sz w:val="22"/>
          </w:rPr>
          <w:tab/>
        </w:r>
        <w:r w:rsidR="00242E8D" w:rsidRPr="00972364">
          <w:rPr>
            <w:rStyle w:val="Hyperlink"/>
          </w:rPr>
          <w:t>Steady state soil organic carbon stocks, with 95 per cent confidence intervals, calculated from Soil CMS model</w:t>
        </w:r>
        <w:r w:rsidR="00242E8D">
          <w:rPr>
            <w:webHidden/>
          </w:rPr>
          <w:tab/>
        </w:r>
        <w:r w:rsidR="00242E8D">
          <w:rPr>
            <w:webHidden/>
          </w:rPr>
          <w:fldChar w:fldCharType="begin"/>
        </w:r>
        <w:r w:rsidR="00242E8D">
          <w:rPr>
            <w:webHidden/>
          </w:rPr>
          <w:instrText xml:space="preserve"> PAGEREF _Toc68786480 \h </w:instrText>
        </w:r>
        <w:r w:rsidR="00242E8D">
          <w:rPr>
            <w:webHidden/>
          </w:rPr>
        </w:r>
        <w:r w:rsidR="00242E8D">
          <w:rPr>
            <w:webHidden/>
          </w:rPr>
          <w:fldChar w:fldCharType="separate"/>
        </w:r>
        <w:r w:rsidR="00B94D2F">
          <w:rPr>
            <w:webHidden/>
          </w:rPr>
          <w:t>289</w:t>
        </w:r>
        <w:r w:rsidR="00242E8D">
          <w:rPr>
            <w:webHidden/>
          </w:rPr>
          <w:fldChar w:fldCharType="end"/>
        </w:r>
      </w:hyperlink>
    </w:p>
    <w:p w14:paraId="46F156DD" w14:textId="22867DD5" w:rsidR="00242E8D" w:rsidRDefault="00087879">
      <w:pPr>
        <w:pStyle w:val="TableofFigures"/>
        <w:rPr>
          <w:rFonts w:asciiTheme="minorHAnsi" w:eastAsiaTheme="minorEastAsia" w:hAnsiTheme="minorHAnsi" w:cstheme="minorBidi"/>
          <w:sz w:val="22"/>
        </w:rPr>
      </w:pPr>
      <w:hyperlink w:anchor="_Toc68786481" w:history="1">
        <w:r w:rsidR="00242E8D" w:rsidRPr="00972364">
          <w:rPr>
            <w:rStyle w:val="Hyperlink"/>
          </w:rPr>
          <w:t>Table 6.3.3</w:t>
        </w:r>
        <w:r w:rsidR="00242E8D">
          <w:rPr>
            <w:rFonts w:asciiTheme="minorHAnsi" w:eastAsiaTheme="minorEastAsia" w:hAnsiTheme="minorHAnsi" w:cstheme="minorBidi"/>
            <w:sz w:val="22"/>
          </w:rPr>
          <w:tab/>
        </w:r>
        <w:r w:rsidR="00242E8D" w:rsidRPr="00972364">
          <w:rPr>
            <w:rStyle w:val="Hyperlink"/>
          </w:rPr>
          <w:t>New Zealand emission factors for organic soils</w:t>
        </w:r>
        <w:r w:rsidR="00242E8D">
          <w:rPr>
            <w:webHidden/>
          </w:rPr>
          <w:tab/>
        </w:r>
        <w:r w:rsidR="00242E8D">
          <w:rPr>
            <w:webHidden/>
          </w:rPr>
          <w:fldChar w:fldCharType="begin"/>
        </w:r>
        <w:r w:rsidR="00242E8D">
          <w:rPr>
            <w:webHidden/>
          </w:rPr>
          <w:instrText xml:space="preserve"> PAGEREF _Toc68786481 \h </w:instrText>
        </w:r>
        <w:r w:rsidR="00242E8D">
          <w:rPr>
            <w:webHidden/>
          </w:rPr>
        </w:r>
        <w:r w:rsidR="00242E8D">
          <w:rPr>
            <w:webHidden/>
          </w:rPr>
          <w:fldChar w:fldCharType="separate"/>
        </w:r>
        <w:r w:rsidR="00B94D2F">
          <w:rPr>
            <w:webHidden/>
          </w:rPr>
          <w:t>292</w:t>
        </w:r>
        <w:r w:rsidR="00242E8D">
          <w:rPr>
            <w:webHidden/>
          </w:rPr>
          <w:fldChar w:fldCharType="end"/>
        </w:r>
      </w:hyperlink>
    </w:p>
    <w:p w14:paraId="339E464F" w14:textId="456A0F31" w:rsidR="00242E8D" w:rsidRDefault="00087879">
      <w:pPr>
        <w:pStyle w:val="TableofFigures"/>
        <w:rPr>
          <w:rFonts w:asciiTheme="minorHAnsi" w:eastAsiaTheme="minorEastAsia" w:hAnsiTheme="minorHAnsi" w:cstheme="minorBidi"/>
          <w:sz w:val="22"/>
        </w:rPr>
      </w:pPr>
      <w:hyperlink w:anchor="_Toc68786482" w:history="1">
        <w:r w:rsidR="00242E8D" w:rsidRPr="00972364">
          <w:rPr>
            <w:rStyle w:val="Hyperlink"/>
          </w:rPr>
          <w:t>Table 6.4.1</w:t>
        </w:r>
        <w:r w:rsidR="00242E8D">
          <w:rPr>
            <w:rFonts w:asciiTheme="minorHAnsi" w:eastAsiaTheme="minorEastAsia" w:hAnsiTheme="minorHAnsi" w:cstheme="minorBidi"/>
            <w:sz w:val="22"/>
          </w:rPr>
          <w:tab/>
        </w:r>
        <w:r w:rsidR="00242E8D" w:rsidRPr="00972364">
          <w:rPr>
            <w:rStyle w:val="Hyperlink"/>
          </w:rPr>
          <w:t>New Zealand’s land-use change for the Forest land category, and associated CO</w:t>
        </w:r>
        <w:r w:rsidR="00242E8D" w:rsidRPr="00972364">
          <w:rPr>
            <w:rStyle w:val="Hyperlink"/>
            <w:vertAlign w:val="subscript"/>
          </w:rPr>
          <w:t>2</w:t>
        </w:r>
        <w:r w:rsidR="00242E8D" w:rsidRPr="00972364">
          <w:rPr>
            <w:rStyle w:val="Hyperlink"/>
          </w:rPr>
          <w:t>-e emissions, in 1990 and 2019</w:t>
        </w:r>
        <w:r w:rsidR="00242E8D">
          <w:rPr>
            <w:webHidden/>
          </w:rPr>
          <w:tab/>
        </w:r>
        <w:r w:rsidR="00242E8D">
          <w:rPr>
            <w:webHidden/>
          </w:rPr>
          <w:fldChar w:fldCharType="begin"/>
        </w:r>
        <w:r w:rsidR="00242E8D">
          <w:rPr>
            <w:webHidden/>
          </w:rPr>
          <w:instrText xml:space="preserve"> PAGEREF _Toc68786482 \h </w:instrText>
        </w:r>
        <w:r w:rsidR="00242E8D">
          <w:rPr>
            <w:webHidden/>
          </w:rPr>
        </w:r>
        <w:r w:rsidR="00242E8D">
          <w:rPr>
            <w:webHidden/>
          </w:rPr>
          <w:fldChar w:fldCharType="separate"/>
        </w:r>
        <w:r w:rsidR="00B94D2F">
          <w:rPr>
            <w:webHidden/>
          </w:rPr>
          <w:t>295</w:t>
        </w:r>
        <w:r w:rsidR="00242E8D">
          <w:rPr>
            <w:webHidden/>
          </w:rPr>
          <w:fldChar w:fldCharType="end"/>
        </w:r>
      </w:hyperlink>
    </w:p>
    <w:p w14:paraId="59FC1F5C" w14:textId="704AAB8A" w:rsidR="00242E8D" w:rsidRDefault="00087879">
      <w:pPr>
        <w:pStyle w:val="TableofFigures"/>
        <w:rPr>
          <w:rFonts w:asciiTheme="minorHAnsi" w:eastAsiaTheme="minorEastAsia" w:hAnsiTheme="minorHAnsi" w:cstheme="minorBidi"/>
          <w:sz w:val="22"/>
        </w:rPr>
      </w:pPr>
      <w:hyperlink w:anchor="_Toc68786483" w:history="1">
        <w:r w:rsidR="00242E8D" w:rsidRPr="00972364">
          <w:rPr>
            <w:rStyle w:val="Hyperlink"/>
          </w:rPr>
          <w:t>Table 6.4.2</w:t>
        </w:r>
        <w:r w:rsidR="00242E8D">
          <w:rPr>
            <w:rFonts w:asciiTheme="minorHAnsi" w:eastAsiaTheme="minorEastAsia" w:hAnsiTheme="minorHAnsi" w:cstheme="minorBidi"/>
            <w:sz w:val="22"/>
          </w:rPr>
          <w:tab/>
        </w:r>
        <w:r w:rsidR="00242E8D" w:rsidRPr="00972364">
          <w:rPr>
            <w:rStyle w:val="Hyperlink"/>
          </w:rPr>
          <w:t>Change in land area and associated CO</w:t>
        </w:r>
        <w:r w:rsidR="00242E8D" w:rsidRPr="00972364">
          <w:rPr>
            <w:rStyle w:val="Hyperlink"/>
            <w:vertAlign w:val="subscript"/>
          </w:rPr>
          <w:t>2</w:t>
        </w:r>
        <w:r w:rsidR="00242E8D" w:rsidRPr="00972364">
          <w:rPr>
            <w:rStyle w:val="Hyperlink"/>
          </w:rPr>
          <w:t xml:space="preserve"> emissions from carbon stock change between 1990 and 2019 for New Zealand’s Forest land</w:t>
        </w:r>
        <w:r w:rsidR="00242E8D">
          <w:rPr>
            <w:webHidden/>
          </w:rPr>
          <w:tab/>
        </w:r>
        <w:r w:rsidR="00242E8D">
          <w:rPr>
            <w:webHidden/>
          </w:rPr>
          <w:fldChar w:fldCharType="begin"/>
        </w:r>
        <w:r w:rsidR="00242E8D">
          <w:rPr>
            <w:webHidden/>
          </w:rPr>
          <w:instrText xml:space="preserve"> PAGEREF _Toc68786483 \h </w:instrText>
        </w:r>
        <w:r w:rsidR="00242E8D">
          <w:rPr>
            <w:webHidden/>
          </w:rPr>
        </w:r>
        <w:r w:rsidR="00242E8D">
          <w:rPr>
            <w:webHidden/>
          </w:rPr>
          <w:fldChar w:fldCharType="separate"/>
        </w:r>
        <w:r w:rsidR="00B94D2F">
          <w:rPr>
            <w:webHidden/>
          </w:rPr>
          <w:t>296</w:t>
        </w:r>
        <w:r w:rsidR="00242E8D">
          <w:rPr>
            <w:webHidden/>
          </w:rPr>
          <w:fldChar w:fldCharType="end"/>
        </w:r>
      </w:hyperlink>
    </w:p>
    <w:p w14:paraId="384C0462" w14:textId="53BEC85F" w:rsidR="00242E8D" w:rsidRDefault="00087879">
      <w:pPr>
        <w:pStyle w:val="TableofFigures"/>
        <w:rPr>
          <w:rFonts w:asciiTheme="minorHAnsi" w:eastAsiaTheme="minorEastAsia" w:hAnsiTheme="minorHAnsi" w:cstheme="minorBidi"/>
          <w:sz w:val="22"/>
        </w:rPr>
      </w:pPr>
      <w:hyperlink w:anchor="_Toc68786484" w:history="1">
        <w:r w:rsidR="00242E8D" w:rsidRPr="00972364">
          <w:rPr>
            <w:rStyle w:val="Hyperlink"/>
          </w:rPr>
          <w:t>Table 6.4.3</w:t>
        </w:r>
        <w:r w:rsidR="00242E8D">
          <w:rPr>
            <w:rFonts w:asciiTheme="minorHAnsi" w:eastAsiaTheme="minorEastAsia" w:hAnsiTheme="minorHAnsi" w:cstheme="minorBidi"/>
            <w:sz w:val="22"/>
          </w:rPr>
          <w:tab/>
        </w:r>
        <w:r w:rsidR="00242E8D" w:rsidRPr="00972364">
          <w:rPr>
            <w:rStyle w:val="Hyperlink"/>
          </w:rPr>
          <w:t>New Zealand’s net carbon stock change by carbon pool for the</w:t>
        </w:r>
        <w:r w:rsidR="00242E8D" w:rsidRPr="00972364">
          <w:rPr>
            <w:rStyle w:val="Hyperlink"/>
            <w:rFonts w:cs="Arial"/>
          </w:rPr>
          <w:t xml:space="preserve"> Forest</w:t>
        </w:r>
        <w:r w:rsidR="00242E8D" w:rsidRPr="00972364">
          <w:rPr>
            <w:rStyle w:val="Hyperlink"/>
          </w:rPr>
          <w:t xml:space="preserve"> land category from 1990 to 2019</w:t>
        </w:r>
        <w:r w:rsidR="00242E8D">
          <w:rPr>
            <w:webHidden/>
          </w:rPr>
          <w:tab/>
        </w:r>
        <w:r w:rsidR="00242E8D">
          <w:rPr>
            <w:webHidden/>
          </w:rPr>
          <w:fldChar w:fldCharType="begin"/>
        </w:r>
        <w:r w:rsidR="00242E8D">
          <w:rPr>
            <w:webHidden/>
          </w:rPr>
          <w:instrText xml:space="preserve"> PAGEREF _Toc68786484 \h </w:instrText>
        </w:r>
        <w:r w:rsidR="00242E8D">
          <w:rPr>
            <w:webHidden/>
          </w:rPr>
        </w:r>
        <w:r w:rsidR="00242E8D">
          <w:rPr>
            <w:webHidden/>
          </w:rPr>
          <w:fldChar w:fldCharType="separate"/>
        </w:r>
        <w:r w:rsidR="00B94D2F">
          <w:rPr>
            <w:webHidden/>
          </w:rPr>
          <w:t>296</w:t>
        </w:r>
        <w:r w:rsidR="00242E8D">
          <w:rPr>
            <w:webHidden/>
          </w:rPr>
          <w:fldChar w:fldCharType="end"/>
        </w:r>
      </w:hyperlink>
    </w:p>
    <w:p w14:paraId="5750F606" w14:textId="4C26CEAD" w:rsidR="00242E8D" w:rsidRDefault="00087879">
      <w:pPr>
        <w:pStyle w:val="TableofFigures"/>
        <w:rPr>
          <w:rFonts w:asciiTheme="minorHAnsi" w:eastAsiaTheme="minorEastAsia" w:hAnsiTheme="minorHAnsi" w:cstheme="minorBidi"/>
          <w:sz w:val="22"/>
        </w:rPr>
      </w:pPr>
      <w:hyperlink w:anchor="_Toc68786485" w:history="1">
        <w:r w:rsidR="00242E8D" w:rsidRPr="00972364">
          <w:rPr>
            <w:rStyle w:val="Hyperlink"/>
          </w:rPr>
          <w:t>Table 6.4.4</w:t>
        </w:r>
        <w:r w:rsidR="00242E8D">
          <w:rPr>
            <w:rFonts w:asciiTheme="minorHAnsi" w:eastAsiaTheme="minorEastAsia" w:hAnsiTheme="minorHAnsi" w:cstheme="minorBidi"/>
            <w:sz w:val="22"/>
          </w:rPr>
          <w:tab/>
        </w:r>
        <w:r w:rsidR="00242E8D" w:rsidRPr="00972364">
          <w:rPr>
            <w:rStyle w:val="Hyperlink"/>
          </w:rPr>
          <w:t>New Zealand’s Forest land subject to deforestation, 1990 and 2019</w:t>
        </w:r>
        <w:r w:rsidR="00242E8D">
          <w:rPr>
            <w:webHidden/>
          </w:rPr>
          <w:tab/>
        </w:r>
        <w:r w:rsidR="00242E8D">
          <w:rPr>
            <w:webHidden/>
          </w:rPr>
          <w:fldChar w:fldCharType="begin"/>
        </w:r>
        <w:r w:rsidR="00242E8D">
          <w:rPr>
            <w:webHidden/>
          </w:rPr>
          <w:instrText xml:space="preserve"> PAGEREF _Toc68786485 \h </w:instrText>
        </w:r>
        <w:r w:rsidR="00242E8D">
          <w:rPr>
            <w:webHidden/>
          </w:rPr>
        </w:r>
        <w:r w:rsidR="00242E8D">
          <w:rPr>
            <w:webHidden/>
          </w:rPr>
          <w:fldChar w:fldCharType="separate"/>
        </w:r>
        <w:r w:rsidR="00B94D2F">
          <w:rPr>
            <w:webHidden/>
          </w:rPr>
          <w:t>299</w:t>
        </w:r>
        <w:r w:rsidR="00242E8D">
          <w:rPr>
            <w:webHidden/>
          </w:rPr>
          <w:fldChar w:fldCharType="end"/>
        </w:r>
      </w:hyperlink>
    </w:p>
    <w:p w14:paraId="57FB1686" w14:textId="5DB00C47" w:rsidR="00242E8D" w:rsidRDefault="00087879">
      <w:pPr>
        <w:pStyle w:val="TableofFigures"/>
        <w:rPr>
          <w:rFonts w:asciiTheme="minorHAnsi" w:eastAsiaTheme="minorEastAsia" w:hAnsiTheme="minorHAnsi" w:cstheme="minorBidi"/>
          <w:sz w:val="22"/>
        </w:rPr>
      </w:pPr>
      <w:hyperlink w:anchor="_Toc68786486" w:history="1">
        <w:r w:rsidR="00242E8D" w:rsidRPr="00972364">
          <w:rPr>
            <w:rStyle w:val="Hyperlink"/>
          </w:rPr>
          <w:t>Table 6.4.5</w:t>
        </w:r>
        <w:r w:rsidR="00242E8D">
          <w:rPr>
            <w:rFonts w:asciiTheme="minorHAnsi" w:eastAsiaTheme="minorEastAsia" w:hAnsiTheme="minorHAnsi" w:cstheme="minorBidi"/>
            <w:sz w:val="22"/>
          </w:rPr>
          <w:tab/>
        </w:r>
        <w:r w:rsidR="00242E8D" w:rsidRPr="00972364">
          <w:rPr>
            <w:rStyle w:val="Hyperlink"/>
          </w:rPr>
          <w:t>Summary of methods used to calculate New Zealand’s natural forest biomass carbon stock from plot data</w:t>
        </w:r>
        <w:r w:rsidR="00242E8D">
          <w:rPr>
            <w:webHidden/>
          </w:rPr>
          <w:tab/>
        </w:r>
        <w:r w:rsidR="00242E8D">
          <w:rPr>
            <w:webHidden/>
          </w:rPr>
          <w:fldChar w:fldCharType="begin"/>
        </w:r>
        <w:r w:rsidR="00242E8D">
          <w:rPr>
            <w:webHidden/>
          </w:rPr>
          <w:instrText xml:space="preserve"> PAGEREF _Toc68786486 \h </w:instrText>
        </w:r>
        <w:r w:rsidR="00242E8D">
          <w:rPr>
            <w:webHidden/>
          </w:rPr>
        </w:r>
        <w:r w:rsidR="00242E8D">
          <w:rPr>
            <w:webHidden/>
          </w:rPr>
          <w:fldChar w:fldCharType="separate"/>
        </w:r>
        <w:r w:rsidR="00B94D2F">
          <w:rPr>
            <w:webHidden/>
          </w:rPr>
          <w:t>305</w:t>
        </w:r>
        <w:r w:rsidR="00242E8D">
          <w:rPr>
            <w:webHidden/>
          </w:rPr>
          <w:fldChar w:fldCharType="end"/>
        </w:r>
      </w:hyperlink>
    </w:p>
    <w:p w14:paraId="569C046B" w14:textId="6EBAC635" w:rsidR="00242E8D" w:rsidRDefault="00087879">
      <w:pPr>
        <w:pStyle w:val="TableofFigures"/>
        <w:rPr>
          <w:rFonts w:asciiTheme="minorHAnsi" w:eastAsiaTheme="minorEastAsia" w:hAnsiTheme="minorHAnsi" w:cstheme="minorBidi"/>
          <w:sz w:val="22"/>
        </w:rPr>
      </w:pPr>
      <w:hyperlink w:anchor="_Toc68786487" w:history="1">
        <w:r w:rsidR="00242E8D" w:rsidRPr="00972364">
          <w:rPr>
            <w:rStyle w:val="Hyperlink"/>
          </w:rPr>
          <w:t xml:space="preserve">Table 6.4.6 </w:t>
        </w:r>
        <w:r w:rsidR="00242E8D">
          <w:rPr>
            <w:rFonts w:asciiTheme="minorHAnsi" w:eastAsiaTheme="minorEastAsia" w:hAnsiTheme="minorHAnsi" w:cstheme="minorBidi"/>
            <w:sz w:val="22"/>
          </w:rPr>
          <w:tab/>
        </w:r>
        <w:r w:rsidR="00242E8D" w:rsidRPr="00972364">
          <w:rPr>
            <w:rStyle w:val="Hyperlink"/>
          </w:rPr>
          <w:t>Influence of individual site and management factors on predicted wood density for New Zealand planted forest</w:t>
        </w:r>
        <w:r w:rsidR="00242E8D">
          <w:rPr>
            <w:webHidden/>
          </w:rPr>
          <w:tab/>
        </w:r>
        <w:r w:rsidR="00242E8D">
          <w:rPr>
            <w:webHidden/>
          </w:rPr>
          <w:fldChar w:fldCharType="begin"/>
        </w:r>
        <w:r w:rsidR="00242E8D">
          <w:rPr>
            <w:webHidden/>
          </w:rPr>
          <w:instrText xml:space="preserve"> PAGEREF _Toc68786487 \h </w:instrText>
        </w:r>
        <w:r w:rsidR="00242E8D">
          <w:rPr>
            <w:webHidden/>
          </w:rPr>
        </w:r>
        <w:r w:rsidR="00242E8D">
          <w:rPr>
            <w:webHidden/>
          </w:rPr>
          <w:fldChar w:fldCharType="separate"/>
        </w:r>
        <w:r w:rsidR="00B94D2F">
          <w:rPr>
            <w:webHidden/>
          </w:rPr>
          <w:t>310</w:t>
        </w:r>
        <w:r w:rsidR="00242E8D">
          <w:rPr>
            <w:webHidden/>
          </w:rPr>
          <w:fldChar w:fldCharType="end"/>
        </w:r>
      </w:hyperlink>
    </w:p>
    <w:p w14:paraId="3A6272BC" w14:textId="187C497C" w:rsidR="00242E8D" w:rsidRDefault="00087879">
      <w:pPr>
        <w:pStyle w:val="TableofFigures"/>
        <w:rPr>
          <w:rFonts w:asciiTheme="minorHAnsi" w:eastAsiaTheme="minorEastAsia" w:hAnsiTheme="minorHAnsi" w:cstheme="minorBidi"/>
          <w:sz w:val="22"/>
        </w:rPr>
      </w:pPr>
      <w:hyperlink w:anchor="_Toc68786488" w:history="1">
        <w:r w:rsidR="00242E8D" w:rsidRPr="00972364">
          <w:rPr>
            <w:rStyle w:val="Hyperlink"/>
          </w:rPr>
          <w:t xml:space="preserve">Table 6.4.7 </w:t>
        </w:r>
        <w:r w:rsidR="00242E8D">
          <w:rPr>
            <w:rFonts w:asciiTheme="minorHAnsi" w:eastAsiaTheme="minorEastAsia" w:hAnsiTheme="minorHAnsi" w:cstheme="minorBidi"/>
            <w:sz w:val="22"/>
          </w:rPr>
          <w:tab/>
        </w:r>
        <w:r w:rsidR="00242E8D" w:rsidRPr="00972364">
          <w:rPr>
            <w:rStyle w:val="Hyperlink"/>
          </w:rPr>
          <w:t>Uncertainty in New Zealand’s 2019 estimates from pre-1990 natural forest (including land in transition)</w:t>
        </w:r>
        <w:r w:rsidR="00242E8D">
          <w:rPr>
            <w:webHidden/>
          </w:rPr>
          <w:tab/>
        </w:r>
        <w:r w:rsidR="00242E8D">
          <w:rPr>
            <w:webHidden/>
          </w:rPr>
          <w:fldChar w:fldCharType="begin"/>
        </w:r>
        <w:r w:rsidR="00242E8D">
          <w:rPr>
            <w:webHidden/>
          </w:rPr>
          <w:instrText xml:space="preserve"> PAGEREF _Toc68786488 \h </w:instrText>
        </w:r>
        <w:r w:rsidR="00242E8D">
          <w:rPr>
            <w:webHidden/>
          </w:rPr>
        </w:r>
        <w:r w:rsidR="00242E8D">
          <w:rPr>
            <w:webHidden/>
          </w:rPr>
          <w:fldChar w:fldCharType="separate"/>
        </w:r>
        <w:r w:rsidR="00B94D2F">
          <w:rPr>
            <w:webHidden/>
          </w:rPr>
          <w:t>315</w:t>
        </w:r>
        <w:r w:rsidR="00242E8D">
          <w:rPr>
            <w:webHidden/>
          </w:rPr>
          <w:fldChar w:fldCharType="end"/>
        </w:r>
      </w:hyperlink>
    </w:p>
    <w:p w14:paraId="6DD8656B" w14:textId="0C21456F" w:rsidR="00242E8D" w:rsidRDefault="00087879">
      <w:pPr>
        <w:pStyle w:val="TableofFigures"/>
        <w:rPr>
          <w:rFonts w:asciiTheme="minorHAnsi" w:eastAsiaTheme="minorEastAsia" w:hAnsiTheme="minorHAnsi" w:cstheme="minorBidi"/>
          <w:sz w:val="22"/>
        </w:rPr>
      </w:pPr>
      <w:hyperlink w:anchor="_Toc68786489" w:history="1">
        <w:r w:rsidR="00242E8D" w:rsidRPr="00972364">
          <w:rPr>
            <w:rStyle w:val="Hyperlink"/>
          </w:rPr>
          <w:t>Table 6.4.8</w:t>
        </w:r>
        <w:r w:rsidR="00242E8D">
          <w:rPr>
            <w:rFonts w:asciiTheme="minorHAnsi" w:eastAsiaTheme="minorEastAsia" w:hAnsiTheme="minorHAnsi" w:cstheme="minorBidi"/>
            <w:sz w:val="22"/>
          </w:rPr>
          <w:tab/>
        </w:r>
        <w:r w:rsidR="00242E8D" w:rsidRPr="00972364">
          <w:rPr>
            <w:rStyle w:val="Hyperlink"/>
          </w:rPr>
          <w:t xml:space="preserve">Uncertainty in New Zealand’s 2019 estimates from </w:t>
        </w:r>
        <w:r w:rsidR="00242E8D" w:rsidRPr="00972364">
          <w:rPr>
            <w:rStyle w:val="Hyperlink"/>
            <w:rFonts w:cs="Arial"/>
          </w:rPr>
          <w:t>pre-1990 planted forest (including land in transition)</w:t>
        </w:r>
        <w:r w:rsidR="00242E8D">
          <w:rPr>
            <w:webHidden/>
          </w:rPr>
          <w:tab/>
        </w:r>
        <w:r w:rsidR="00242E8D">
          <w:rPr>
            <w:webHidden/>
          </w:rPr>
          <w:fldChar w:fldCharType="begin"/>
        </w:r>
        <w:r w:rsidR="00242E8D">
          <w:rPr>
            <w:webHidden/>
          </w:rPr>
          <w:instrText xml:space="preserve"> PAGEREF _Toc68786489 \h </w:instrText>
        </w:r>
        <w:r w:rsidR="00242E8D">
          <w:rPr>
            <w:webHidden/>
          </w:rPr>
        </w:r>
        <w:r w:rsidR="00242E8D">
          <w:rPr>
            <w:webHidden/>
          </w:rPr>
          <w:fldChar w:fldCharType="separate"/>
        </w:r>
        <w:r w:rsidR="00B94D2F">
          <w:rPr>
            <w:webHidden/>
          </w:rPr>
          <w:t>316</w:t>
        </w:r>
        <w:r w:rsidR="00242E8D">
          <w:rPr>
            <w:webHidden/>
          </w:rPr>
          <w:fldChar w:fldCharType="end"/>
        </w:r>
      </w:hyperlink>
    </w:p>
    <w:p w14:paraId="21B7B2E2" w14:textId="60BB158E" w:rsidR="00242E8D" w:rsidRDefault="00087879">
      <w:pPr>
        <w:pStyle w:val="TableofFigures"/>
        <w:rPr>
          <w:rFonts w:asciiTheme="minorHAnsi" w:eastAsiaTheme="minorEastAsia" w:hAnsiTheme="minorHAnsi" w:cstheme="minorBidi"/>
          <w:sz w:val="22"/>
        </w:rPr>
      </w:pPr>
      <w:hyperlink w:anchor="_Toc68786490" w:history="1">
        <w:r w:rsidR="00242E8D" w:rsidRPr="00972364">
          <w:rPr>
            <w:rStyle w:val="Hyperlink"/>
          </w:rPr>
          <w:t xml:space="preserve">Table 6.4.9 </w:t>
        </w:r>
        <w:r w:rsidR="00242E8D">
          <w:rPr>
            <w:rFonts w:asciiTheme="minorHAnsi" w:eastAsiaTheme="minorEastAsia" w:hAnsiTheme="minorHAnsi" w:cstheme="minorBidi"/>
            <w:sz w:val="22"/>
          </w:rPr>
          <w:tab/>
        </w:r>
        <w:r w:rsidR="00242E8D" w:rsidRPr="00972364">
          <w:rPr>
            <w:rStyle w:val="Hyperlink"/>
          </w:rPr>
          <w:t>Uncertainty in New Zealand’s 2019 estimates from post-1989 natural forest</w:t>
        </w:r>
        <w:r w:rsidR="00095C0D">
          <w:rPr>
            <w:rStyle w:val="Hyperlink"/>
          </w:rPr>
          <w:t xml:space="preserve"> </w:t>
        </w:r>
        <w:r w:rsidR="00242E8D" w:rsidRPr="00972364">
          <w:rPr>
            <w:rStyle w:val="Hyperlink"/>
          </w:rPr>
          <w:t>(including land in transition)</w:t>
        </w:r>
        <w:r w:rsidR="00242E8D">
          <w:rPr>
            <w:webHidden/>
          </w:rPr>
          <w:tab/>
        </w:r>
        <w:r w:rsidR="00242E8D">
          <w:rPr>
            <w:webHidden/>
          </w:rPr>
          <w:fldChar w:fldCharType="begin"/>
        </w:r>
        <w:r w:rsidR="00242E8D">
          <w:rPr>
            <w:webHidden/>
          </w:rPr>
          <w:instrText xml:space="preserve"> PAGEREF _Toc68786490 \h </w:instrText>
        </w:r>
        <w:r w:rsidR="00242E8D">
          <w:rPr>
            <w:webHidden/>
          </w:rPr>
        </w:r>
        <w:r w:rsidR="00242E8D">
          <w:rPr>
            <w:webHidden/>
          </w:rPr>
          <w:fldChar w:fldCharType="separate"/>
        </w:r>
        <w:r w:rsidR="00B94D2F">
          <w:rPr>
            <w:webHidden/>
          </w:rPr>
          <w:t>316</w:t>
        </w:r>
        <w:r w:rsidR="00242E8D">
          <w:rPr>
            <w:webHidden/>
          </w:rPr>
          <w:fldChar w:fldCharType="end"/>
        </w:r>
      </w:hyperlink>
    </w:p>
    <w:p w14:paraId="1F564911" w14:textId="48A76967" w:rsidR="00242E8D" w:rsidRDefault="00087879">
      <w:pPr>
        <w:pStyle w:val="TableofFigures"/>
        <w:rPr>
          <w:rFonts w:asciiTheme="minorHAnsi" w:eastAsiaTheme="minorEastAsia" w:hAnsiTheme="minorHAnsi" w:cstheme="minorBidi"/>
          <w:sz w:val="22"/>
        </w:rPr>
      </w:pPr>
      <w:hyperlink w:anchor="_Toc68786491" w:history="1">
        <w:r w:rsidR="00242E8D" w:rsidRPr="00972364">
          <w:rPr>
            <w:rStyle w:val="Hyperlink"/>
          </w:rPr>
          <w:t xml:space="preserve">Table 6.4.10 </w:t>
        </w:r>
        <w:r w:rsidR="00242E8D">
          <w:rPr>
            <w:rFonts w:asciiTheme="minorHAnsi" w:eastAsiaTheme="minorEastAsia" w:hAnsiTheme="minorHAnsi" w:cstheme="minorBidi"/>
            <w:sz w:val="22"/>
          </w:rPr>
          <w:tab/>
        </w:r>
        <w:r w:rsidR="00242E8D" w:rsidRPr="00972364">
          <w:rPr>
            <w:rStyle w:val="Hyperlink"/>
          </w:rPr>
          <w:t>Uncertainty in New Zealand’s 2019 estimates from post-1989 planted forest (including land in transition)</w:t>
        </w:r>
        <w:r w:rsidR="00242E8D">
          <w:rPr>
            <w:webHidden/>
          </w:rPr>
          <w:tab/>
        </w:r>
        <w:r w:rsidR="00242E8D">
          <w:rPr>
            <w:webHidden/>
          </w:rPr>
          <w:fldChar w:fldCharType="begin"/>
        </w:r>
        <w:r w:rsidR="00242E8D">
          <w:rPr>
            <w:webHidden/>
          </w:rPr>
          <w:instrText xml:space="preserve"> PAGEREF _Toc68786491 \h </w:instrText>
        </w:r>
        <w:r w:rsidR="00242E8D">
          <w:rPr>
            <w:webHidden/>
          </w:rPr>
        </w:r>
        <w:r w:rsidR="00242E8D">
          <w:rPr>
            <w:webHidden/>
          </w:rPr>
          <w:fldChar w:fldCharType="separate"/>
        </w:r>
        <w:r w:rsidR="00B94D2F">
          <w:rPr>
            <w:webHidden/>
          </w:rPr>
          <w:t>317</w:t>
        </w:r>
        <w:r w:rsidR="00242E8D">
          <w:rPr>
            <w:webHidden/>
          </w:rPr>
          <w:fldChar w:fldCharType="end"/>
        </w:r>
      </w:hyperlink>
    </w:p>
    <w:p w14:paraId="4C3DD729" w14:textId="1FC28754" w:rsidR="00242E8D" w:rsidRDefault="00087879">
      <w:pPr>
        <w:pStyle w:val="TableofFigures"/>
        <w:rPr>
          <w:rFonts w:asciiTheme="minorHAnsi" w:eastAsiaTheme="minorEastAsia" w:hAnsiTheme="minorHAnsi" w:cstheme="minorBidi"/>
          <w:sz w:val="22"/>
        </w:rPr>
      </w:pPr>
      <w:hyperlink w:anchor="_Toc68786492" w:history="1">
        <w:r w:rsidR="00242E8D" w:rsidRPr="00972364">
          <w:rPr>
            <w:rStyle w:val="Hyperlink"/>
          </w:rPr>
          <w:t xml:space="preserve">Table 6.4.11 </w:t>
        </w:r>
        <w:r w:rsidR="00242E8D">
          <w:rPr>
            <w:rFonts w:asciiTheme="minorHAnsi" w:eastAsiaTheme="minorEastAsia" w:hAnsiTheme="minorHAnsi" w:cstheme="minorBidi"/>
            <w:sz w:val="22"/>
          </w:rPr>
          <w:tab/>
        </w:r>
        <w:r w:rsidR="00242E8D" w:rsidRPr="00972364">
          <w:rPr>
            <w:rStyle w:val="Hyperlink"/>
          </w:rPr>
          <w:t>Recalculations of New Zealand’s estimates for the Forest land category in 1990 and 2018</w:t>
        </w:r>
        <w:r w:rsidR="00242E8D">
          <w:rPr>
            <w:webHidden/>
          </w:rPr>
          <w:tab/>
        </w:r>
        <w:r w:rsidR="00242E8D">
          <w:rPr>
            <w:webHidden/>
          </w:rPr>
          <w:fldChar w:fldCharType="begin"/>
        </w:r>
        <w:r w:rsidR="00242E8D">
          <w:rPr>
            <w:webHidden/>
          </w:rPr>
          <w:instrText xml:space="preserve"> PAGEREF _Toc68786492 \h </w:instrText>
        </w:r>
        <w:r w:rsidR="00242E8D">
          <w:rPr>
            <w:webHidden/>
          </w:rPr>
        </w:r>
        <w:r w:rsidR="00242E8D">
          <w:rPr>
            <w:webHidden/>
          </w:rPr>
          <w:fldChar w:fldCharType="separate"/>
        </w:r>
        <w:r w:rsidR="00B94D2F">
          <w:rPr>
            <w:webHidden/>
          </w:rPr>
          <w:t>319</w:t>
        </w:r>
        <w:r w:rsidR="00242E8D">
          <w:rPr>
            <w:webHidden/>
          </w:rPr>
          <w:fldChar w:fldCharType="end"/>
        </w:r>
      </w:hyperlink>
    </w:p>
    <w:p w14:paraId="7B740C65" w14:textId="7A7CE77E" w:rsidR="00242E8D" w:rsidRDefault="00087879">
      <w:pPr>
        <w:pStyle w:val="TableofFigures"/>
        <w:rPr>
          <w:rFonts w:asciiTheme="minorHAnsi" w:eastAsiaTheme="minorEastAsia" w:hAnsiTheme="minorHAnsi" w:cstheme="minorBidi"/>
          <w:sz w:val="22"/>
        </w:rPr>
      </w:pPr>
      <w:hyperlink w:anchor="_Toc68786493" w:history="1">
        <w:r w:rsidR="00242E8D" w:rsidRPr="00972364">
          <w:rPr>
            <w:rStyle w:val="Hyperlink"/>
          </w:rPr>
          <w:t xml:space="preserve">Table 6.4.12 </w:t>
        </w:r>
        <w:r w:rsidR="00242E8D">
          <w:rPr>
            <w:rFonts w:asciiTheme="minorHAnsi" w:eastAsiaTheme="minorEastAsia" w:hAnsiTheme="minorHAnsi" w:cstheme="minorBidi"/>
            <w:sz w:val="22"/>
          </w:rPr>
          <w:tab/>
        </w:r>
        <w:r w:rsidR="00242E8D" w:rsidRPr="00972364">
          <w:rPr>
            <w:rStyle w:val="Hyperlink"/>
          </w:rPr>
          <w:t>Recalculations of New Zealand’s estimates for the Forest land category in 1990 and 2018</w:t>
        </w:r>
        <w:r w:rsidR="00242E8D">
          <w:rPr>
            <w:webHidden/>
          </w:rPr>
          <w:tab/>
        </w:r>
        <w:r w:rsidR="00242E8D">
          <w:rPr>
            <w:webHidden/>
          </w:rPr>
          <w:fldChar w:fldCharType="begin"/>
        </w:r>
        <w:r w:rsidR="00242E8D">
          <w:rPr>
            <w:webHidden/>
          </w:rPr>
          <w:instrText xml:space="preserve"> PAGEREF _Toc68786493 \h </w:instrText>
        </w:r>
        <w:r w:rsidR="00242E8D">
          <w:rPr>
            <w:webHidden/>
          </w:rPr>
        </w:r>
        <w:r w:rsidR="00242E8D">
          <w:rPr>
            <w:webHidden/>
          </w:rPr>
          <w:fldChar w:fldCharType="separate"/>
        </w:r>
        <w:r w:rsidR="00B94D2F">
          <w:rPr>
            <w:webHidden/>
          </w:rPr>
          <w:t>321</w:t>
        </w:r>
        <w:r w:rsidR="00242E8D">
          <w:rPr>
            <w:webHidden/>
          </w:rPr>
          <w:fldChar w:fldCharType="end"/>
        </w:r>
      </w:hyperlink>
    </w:p>
    <w:p w14:paraId="2E0C69FD" w14:textId="6E619233" w:rsidR="00242E8D" w:rsidRDefault="00087879">
      <w:pPr>
        <w:pStyle w:val="TableofFigures"/>
        <w:rPr>
          <w:rFonts w:asciiTheme="minorHAnsi" w:eastAsiaTheme="minorEastAsia" w:hAnsiTheme="minorHAnsi" w:cstheme="minorBidi"/>
          <w:sz w:val="22"/>
        </w:rPr>
      </w:pPr>
      <w:hyperlink w:anchor="_Toc68786494" w:history="1">
        <w:r w:rsidR="00242E8D" w:rsidRPr="00972364">
          <w:rPr>
            <w:rStyle w:val="Hyperlink"/>
          </w:rPr>
          <w:t>Table 6.5.1</w:t>
        </w:r>
        <w:r w:rsidR="00242E8D">
          <w:rPr>
            <w:rFonts w:asciiTheme="minorHAnsi" w:eastAsiaTheme="minorEastAsia" w:hAnsiTheme="minorHAnsi" w:cstheme="minorBidi"/>
            <w:sz w:val="22"/>
          </w:rPr>
          <w:tab/>
        </w:r>
        <w:r w:rsidR="00242E8D" w:rsidRPr="00972364">
          <w:rPr>
            <w:rStyle w:val="Hyperlink"/>
          </w:rPr>
          <w:t>New Zealand’s land-use change by Cropland category, and associated</w:t>
        </w:r>
        <w:r w:rsidR="00095C0D">
          <w:rPr>
            <w:rStyle w:val="Hyperlink"/>
          </w:rPr>
          <w:t xml:space="preserve"> </w:t>
        </w:r>
        <w:r w:rsidR="00242E8D" w:rsidRPr="00972364">
          <w:rPr>
            <w:rStyle w:val="Hyperlink"/>
          </w:rPr>
          <w:t>CO</w:t>
        </w:r>
        <w:r w:rsidR="00242E8D" w:rsidRPr="00972364">
          <w:rPr>
            <w:rStyle w:val="Hyperlink"/>
            <w:vertAlign w:val="subscript"/>
          </w:rPr>
          <w:t>2</w:t>
        </w:r>
        <w:r w:rsidR="00242E8D" w:rsidRPr="00972364">
          <w:rPr>
            <w:rStyle w:val="Hyperlink"/>
          </w:rPr>
          <w:t>-e emissions, 1990 and 2019</w:t>
        </w:r>
        <w:r w:rsidR="00242E8D">
          <w:rPr>
            <w:webHidden/>
          </w:rPr>
          <w:tab/>
        </w:r>
        <w:r w:rsidR="00242E8D">
          <w:rPr>
            <w:webHidden/>
          </w:rPr>
          <w:fldChar w:fldCharType="begin"/>
        </w:r>
        <w:r w:rsidR="00242E8D">
          <w:rPr>
            <w:webHidden/>
          </w:rPr>
          <w:instrText xml:space="preserve"> PAGEREF _Toc68786494 \h </w:instrText>
        </w:r>
        <w:r w:rsidR="00242E8D">
          <w:rPr>
            <w:webHidden/>
          </w:rPr>
        </w:r>
        <w:r w:rsidR="00242E8D">
          <w:rPr>
            <w:webHidden/>
          </w:rPr>
          <w:fldChar w:fldCharType="separate"/>
        </w:r>
        <w:r w:rsidR="00B94D2F">
          <w:rPr>
            <w:webHidden/>
          </w:rPr>
          <w:t>322</w:t>
        </w:r>
        <w:r w:rsidR="00242E8D">
          <w:rPr>
            <w:webHidden/>
          </w:rPr>
          <w:fldChar w:fldCharType="end"/>
        </w:r>
      </w:hyperlink>
    </w:p>
    <w:p w14:paraId="2D4AECF2" w14:textId="22EA732B" w:rsidR="00242E8D" w:rsidRDefault="00087879">
      <w:pPr>
        <w:pStyle w:val="TableofFigures"/>
        <w:rPr>
          <w:rFonts w:asciiTheme="minorHAnsi" w:eastAsiaTheme="minorEastAsia" w:hAnsiTheme="minorHAnsi" w:cstheme="minorBidi"/>
          <w:sz w:val="22"/>
        </w:rPr>
      </w:pPr>
      <w:hyperlink w:anchor="_Toc68786495" w:history="1">
        <w:r w:rsidR="00242E8D" w:rsidRPr="00972364">
          <w:rPr>
            <w:rStyle w:val="Hyperlink"/>
          </w:rPr>
          <w:t>Table 6.5.2</w:t>
        </w:r>
        <w:r w:rsidR="00242E8D">
          <w:rPr>
            <w:rFonts w:asciiTheme="minorHAnsi" w:eastAsiaTheme="minorEastAsia" w:hAnsiTheme="minorHAnsi" w:cstheme="minorBidi"/>
            <w:sz w:val="22"/>
          </w:rPr>
          <w:tab/>
        </w:r>
        <w:r w:rsidR="00242E8D" w:rsidRPr="00972364">
          <w:rPr>
            <w:rStyle w:val="Hyperlink"/>
          </w:rPr>
          <w:t>New Zealand’s carbon stock change by carbon pool for the</w:t>
        </w:r>
        <w:r w:rsidR="00242E8D" w:rsidRPr="00972364">
          <w:rPr>
            <w:rStyle w:val="Hyperlink"/>
            <w:rFonts w:cs="Arial"/>
          </w:rPr>
          <w:t xml:space="preserve"> Crop</w:t>
        </w:r>
        <w:r w:rsidR="00242E8D" w:rsidRPr="00972364">
          <w:rPr>
            <w:rStyle w:val="Hyperlink"/>
          </w:rPr>
          <w:t>land category from 1990 to 2019</w:t>
        </w:r>
        <w:r w:rsidR="00242E8D">
          <w:rPr>
            <w:webHidden/>
          </w:rPr>
          <w:tab/>
        </w:r>
        <w:r w:rsidR="00242E8D">
          <w:rPr>
            <w:webHidden/>
          </w:rPr>
          <w:fldChar w:fldCharType="begin"/>
        </w:r>
        <w:r w:rsidR="00242E8D">
          <w:rPr>
            <w:webHidden/>
          </w:rPr>
          <w:instrText xml:space="preserve"> PAGEREF _Toc68786495 \h </w:instrText>
        </w:r>
        <w:r w:rsidR="00242E8D">
          <w:rPr>
            <w:webHidden/>
          </w:rPr>
        </w:r>
        <w:r w:rsidR="00242E8D">
          <w:rPr>
            <w:webHidden/>
          </w:rPr>
          <w:fldChar w:fldCharType="separate"/>
        </w:r>
        <w:r w:rsidR="00B94D2F">
          <w:rPr>
            <w:webHidden/>
          </w:rPr>
          <w:t>322</w:t>
        </w:r>
        <w:r w:rsidR="00242E8D">
          <w:rPr>
            <w:webHidden/>
          </w:rPr>
          <w:fldChar w:fldCharType="end"/>
        </w:r>
      </w:hyperlink>
    </w:p>
    <w:p w14:paraId="2E70D82E" w14:textId="19FC4489" w:rsidR="00242E8D" w:rsidRDefault="00087879">
      <w:pPr>
        <w:pStyle w:val="TableofFigures"/>
        <w:rPr>
          <w:rFonts w:asciiTheme="minorHAnsi" w:eastAsiaTheme="minorEastAsia" w:hAnsiTheme="minorHAnsi" w:cstheme="minorBidi"/>
          <w:sz w:val="22"/>
        </w:rPr>
      </w:pPr>
      <w:hyperlink w:anchor="_Toc68786496" w:history="1">
        <w:r w:rsidR="00242E8D" w:rsidRPr="00972364">
          <w:rPr>
            <w:rStyle w:val="Hyperlink"/>
          </w:rPr>
          <w:t>Table 6.5.3</w:t>
        </w:r>
        <w:r w:rsidR="00242E8D">
          <w:rPr>
            <w:rFonts w:asciiTheme="minorHAnsi" w:eastAsiaTheme="minorEastAsia" w:hAnsiTheme="minorHAnsi" w:cstheme="minorBidi"/>
            <w:sz w:val="22"/>
          </w:rPr>
          <w:tab/>
        </w:r>
        <w:r w:rsidR="00242E8D" w:rsidRPr="00972364">
          <w:rPr>
            <w:rStyle w:val="Hyperlink"/>
          </w:rPr>
          <w:t>New Zealand’s land-use change by Cropland land use, and associated CO</w:t>
        </w:r>
        <w:r w:rsidR="00242E8D" w:rsidRPr="00972364">
          <w:rPr>
            <w:rStyle w:val="Hyperlink"/>
            <w:vertAlign w:val="subscript"/>
          </w:rPr>
          <w:t>2</w:t>
        </w:r>
        <w:r w:rsidR="00242E8D" w:rsidRPr="00972364">
          <w:rPr>
            <w:rStyle w:val="Hyperlink"/>
          </w:rPr>
          <w:t xml:space="preserve"> emissions from carbon stock change, from 1990 to 2019</w:t>
        </w:r>
        <w:r w:rsidR="00242E8D">
          <w:rPr>
            <w:webHidden/>
          </w:rPr>
          <w:tab/>
        </w:r>
        <w:r w:rsidR="00242E8D">
          <w:rPr>
            <w:webHidden/>
          </w:rPr>
          <w:fldChar w:fldCharType="begin"/>
        </w:r>
        <w:r w:rsidR="00242E8D">
          <w:rPr>
            <w:webHidden/>
          </w:rPr>
          <w:instrText xml:space="preserve"> PAGEREF _Toc68786496 \h </w:instrText>
        </w:r>
        <w:r w:rsidR="00242E8D">
          <w:rPr>
            <w:webHidden/>
          </w:rPr>
        </w:r>
        <w:r w:rsidR="00242E8D">
          <w:rPr>
            <w:webHidden/>
          </w:rPr>
          <w:fldChar w:fldCharType="separate"/>
        </w:r>
        <w:r w:rsidR="00B94D2F">
          <w:rPr>
            <w:webHidden/>
          </w:rPr>
          <w:t>323</w:t>
        </w:r>
        <w:r w:rsidR="00242E8D">
          <w:rPr>
            <w:webHidden/>
          </w:rPr>
          <w:fldChar w:fldCharType="end"/>
        </w:r>
      </w:hyperlink>
    </w:p>
    <w:p w14:paraId="3A223580" w14:textId="4985CF26" w:rsidR="00242E8D" w:rsidRDefault="00087879">
      <w:pPr>
        <w:pStyle w:val="TableofFigures"/>
        <w:rPr>
          <w:rFonts w:asciiTheme="minorHAnsi" w:eastAsiaTheme="minorEastAsia" w:hAnsiTheme="minorHAnsi" w:cstheme="minorBidi"/>
          <w:sz w:val="22"/>
        </w:rPr>
      </w:pPr>
      <w:hyperlink w:anchor="_Toc68786497" w:history="1">
        <w:r w:rsidR="00242E8D" w:rsidRPr="00972364">
          <w:rPr>
            <w:rStyle w:val="Hyperlink"/>
          </w:rPr>
          <w:t>Table 6.5.4</w:t>
        </w:r>
        <w:r w:rsidR="00242E8D">
          <w:rPr>
            <w:rFonts w:asciiTheme="minorHAnsi" w:eastAsiaTheme="minorEastAsia" w:hAnsiTheme="minorHAnsi" w:cstheme="minorBidi"/>
            <w:sz w:val="22"/>
          </w:rPr>
          <w:tab/>
        </w:r>
        <w:r w:rsidR="00242E8D" w:rsidRPr="00972364">
          <w:rPr>
            <w:rStyle w:val="Hyperlink"/>
          </w:rPr>
          <w:t>New Zealand’s land-use change for the Cropland category from 1990 to 2019</w:t>
        </w:r>
        <w:r w:rsidR="00242E8D">
          <w:rPr>
            <w:webHidden/>
          </w:rPr>
          <w:tab/>
        </w:r>
        <w:r w:rsidR="00242E8D">
          <w:rPr>
            <w:webHidden/>
          </w:rPr>
          <w:fldChar w:fldCharType="begin"/>
        </w:r>
        <w:r w:rsidR="00242E8D">
          <w:rPr>
            <w:webHidden/>
          </w:rPr>
          <w:instrText xml:space="preserve"> PAGEREF _Toc68786497 \h </w:instrText>
        </w:r>
        <w:r w:rsidR="00242E8D">
          <w:rPr>
            <w:webHidden/>
          </w:rPr>
        </w:r>
        <w:r w:rsidR="00242E8D">
          <w:rPr>
            <w:webHidden/>
          </w:rPr>
          <w:fldChar w:fldCharType="separate"/>
        </w:r>
        <w:r w:rsidR="00B94D2F">
          <w:rPr>
            <w:webHidden/>
          </w:rPr>
          <w:t>323</w:t>
        </w:r>
        <w:r w:rsidR="00242E8D">
          <w:rPr>
            <w:webHidden/>
          </w:rPr>
          <w:fldChar w:fldCharType="end"/>
        </w:r>
      </w:hyperlink>
    </w:p>
    <w:p w14:paraId="4D6B52B4" w14:textId="26E50BED" w:rsidR="00242E8D" w:rsidRDefault="00087879">
      <w:pPr>
        <w:pStyle w:val="TableofFigures"/>
        <w:rPr>
          <w:rFonts w:asciiTheme="minorHAnsi" w:eastAsiaTheme="minorEastAsia" w:hAnsiTheme="minorHAnsi" w:cstheme="minorBidi"/>
          <w:sz w:val="22"/>
        </w:rPr>
      </w:pPr>
      <w:hyperlink w:anchor="_Toc68786498" w:history="1">
        <w:r w:rsidR="00242E8D" w:rsidRPr="00972364">
          <w:rPr>
            <w:rStyle w:val="Hyperlink"/>
          </w:rPr>
          <w:t>Table 6.5.5</w:t>
        </w:r>
        <w:r w:rsidR="00242E8D">
          <w:rPr>
            <w:rFonts w:asciiTheme="minorHAnsi" w:eastAsiaTheme="minorEastAsia" w:hAnsiTheme="minorHAnsi" w:cstheme="minorBidi"/>
            <w:sz w:val="22"/>
          </w:rPr>
          <w:tab/>
        </w:r>
        <w:r w:rsidR="00242E8D" w:rsidRPr="00972364">
          <w:rPr>
            <w:rStyle w:val="Hyperlink"/>
          </w:rPr>
          <w:t>Summary of New Zealand’s carbon stock change emission factors for Cropland</w:t>
        </w:r>
        <w:r w:rsidR="00242E8D">
          <w:rPr>
            <w:webHidden/>
          </w:rPr>
          <w:tab/>
        </w:r>
        <w:r w:rsidR="00242E8D">
          <w:rPr>
            <w:webHidden/>
          </w:rPr>
          <w:fldChar w:fldCharType="begin"/>
        </w:r>
        <w:r w:rsidR="00242E8D">
          <w:rPr>
            <w:webHidden/>
          </w:rPr>
          <w:instrText xml:space="preserve"> PAGEREF _Toc68786498 \h </w:instrText>
        </w:r>
        <w:r w:rsidR="00242E8D">
          <w:rPr>
            <w:webHidden/>
          </w:rPr>
        </w:r>
        <w:r w:rsidR="00242E8D">
          <w:rPr>
            <w:webHidden/>
          </w:rPr>
          <w:fldChar w:fldCharType="separate"/>
        </w:r>
        <w:r w:rsidR="00B94D2F">
          <w:rPr>
            <w:webHidden/>
          </w:rPr>
          <w:t>324</w:t>
        </w:r>
        <w:r w:rsidR="00242E8D">
          <w:rPr>
            <w:webHidden/>
          </w:rPr>
          <w:fldChar w:fldCharType="end"/>
        </w:r>
      </w:hyperlink>
    </w:p>
    <w:p w14:paraId="2950B01D" w14:textId="7D46A5BE" w:rsidR="00242E8D" w:rsidRDefault="00087879">
      <w:pPr>
        <w:pStyle w:val="TableofFigures"/>
        <w:rPr>
          <w:rFonts w:asciiTheme="minorHAnsi" w:eastAsiaTheme="minorEastAsia" w:hAnsiTheme="minorHAnsi" w:cstheme="minorBidi"/>
          <w:sz w:val="22"/>
        </w:rPr>
      </w:pPr>
      <w:hyperlink w:anchor="_Toc68786499" w:history="1">
        <w:r w:rsidR="00242E8D" w:rsidRPr="00972364">
          <w:rPr>
            <w:rStyle w:val="Hyperlink"/>
          </w:rPr>
          <w:t>Table 6.5.6</w:t>
        </w:r>
        <w:r w:rsidR="00242E8D">
          <w:rPr>
            <w:rFonts w:asciiTheme="minorHAnsi" w:eastAsiaTheme="minorEastAsia" w:hAnsiTheme="minorHAnsi" w:cstheme="minorBidi"/>
            <w:sz w:val="22"/>
          </w:rPr>
          <w:tab/>
        </w:r>
        <w:r w:rsidR="00242E8D" w:rsidRPr="00972364">
          <w:rPr>
            <w:rStyle w:val="Hyperlink"/>
          </w:rPr>
          <w:t>Uncertainty in New Zealand’s 2018 Cropland estimates (including land in transition)</w:t>
        </w:r>
        <w:r w:rsidR="00242E8D">
          <w:rPr>
            <w:webHidden/>
          </w:rPr>
          <w:tab/>
        </w:r>
        <w:r w:rsidR="00242E8D">
          <w:rPr>
            <w:webHidden/>
          </w:rPr>
          <w:fldChar w:fldCharType="begin"/>
        </w:r>
        <w:r w:rsidR="00242E8D">
          <w:rPr>
            <w:webHidden/>
          </w:rPr>
          <w:instrText xml:space="preserve"> PAGEREF _Toc68786499 \h </w:instrText>
        </w:r>
        <w:r w:rsidR="00242E8D">
          <w:rPr>
            <w:webHidden/>
          </w:rPr>
        </w:r>
        <w:r w:rsidR="00242E8D">
          <w:rPr>
            <w:webHidden/>
          </w:rPr>
          <w:fldChar w:fldCharType="separate"/>
        </w:r>
        <w:r w:rsidR="00B94D2F">
          <w:rPr>
            <w:webHidden/>
          </w:rPr>
          <w:t>327</w:t>
        </w:r>
        <w:r w:rsidR="00242E8D">
          <w:rPr>
            <w:webHidden/>
          </w:rPr>
          <w:fldChar w:fldCharType="end"/>
        </w:r>
      </w:hyperlink>
    </w:p>
    <w:p w14:paraId="17811185" w14:textId="3E0F1FB8" w:rsidR="00242E8D" w:rsidRDefault="00087879">
      <w:pPr>
        <w:pStyle w:val="TableofFigures"/>
        <w:rPr>
          <w:rFonts w:asciiTheme="minorHAnsi" w:eastAsiaTheme="minorEastAsia" w:hAnsiTheme="minorHAnsi" w:cstheme="minorBidi"/>
          <w:sz w:val="22"/>
        </w:rPr>
      </w:pPr>
      <w:hyperlink w:anchor="_Toc68786500" w:history="1">
        <w:r w:rsidR="00242E8D" w:rsidRPr="00972364">
          <w:rPr>
            <w:rStyle w:val="Hyperlink"/>
          </w:rPr>
          <w:t>Table 6.5.7</w:t>
        </w:r>
        <w:r w:rsidR="00242E8D">
          <w:rPr>
            <w:rFonts w:asciiTheme="minorHAnsi" w:eastAsiaTheme="minorEastAsia" w:hAnsiTheme="minorHAnsi" w:cstheme="minorBidi"/>
            <w:sz w:val="22"/>
          </w:rPr>
          <w:tab/>
        </w:r>
        <w:r w:rsidR="00242E8D" w:rsidRPr="00972364">
          <w:rPr>
            <w:rStyle w:val="Hyperlink"/>
          </w:rPr>
          <w:t>Recalculations of New Zealand’s net emissions from the Cropland category in 1990 and 2018</w:t>
        </w:r>
        <w:r w:rsidR="00242E8D">
          <w:rPr>
            <w:webHidden/>
          </w:rPr>
          <w:tab/>
        </w:r>
        <w:r w:rsidR="00242E8D">
          <w:rPr>
            <w:webHidden/>
          </w:rPr>
          <w:fldChar w:fldCharType="begin"/>
        </w:r>
        <w:r w:rsidR="00242E8D">
          <w:rPr>
            <w:webHidden/>
          </w:rPr>
          <w:instrText xml:space="preserve"> PAGEREF _Toc68786500 \h </w:instrText>
        </w:r>
        <w:r w:rsidR="00242E8D">
          <w:rPr>
            <w:webHidden/>
          </w:rPr>
        </w:r>
        <w:r w:rsidR="00242E8D">
          <w:rPr>
            <w:webHidden/>
          </w:rPr>
          <w:fldChar w:fldCharType="separate"/>
        </w:r>
        <w:r w:rsidR="00B94D2F">
          <w:rPr>
            <w:webHidden/>
          </w:rPr>
          <w:t>327</w:t>
        </w:r>
        <w:r w:rsidR="00242E8D">
          <w:rPr>
            <w:webHidden/>
          </w:rPr>
          <w:fldChar w:fldCharType="end"/>
        </w:r>
      </w:hyperlink>
    </w:p>
    <w:p w14:paraId="4D89CBA5" w14:textId="7AD4DE72" w:rsidR="00242E8D" w:rsidRDefault="00087879">
      <w:pPr>
        <w:pStyle w:val="TableofFigures"/>
        <w:rPr>
          <w:rFonts w:asciiTheme="minorHAnsi" w:eastAsiaTheme="minorEastAsia" w:hAnsiTheme="minorHAnsi" w:cstheme="minorBidi"/>
          <w:sz w:val="22"/>
        </w:rPr>
      </w:pPr>
      <w:hyperlink w:anchor="_Toc68786501" w:history="1">
        <w:r w:rsidR="00242E8D" w:rsidRPr="00972364">
          <w:rPr>
            <w:rStyle w:val="Hyperlink"/>
          </w:rPr>
          <w:t>Table 6.6.1</w:t>
        </w:r>
        <w:r w:rsidR="00242E8D">
          <w:rPr>
            <w:rFonts w:asciiTheme="minorHAnsi" w:eastAsiaTheme="minorEastAsia" w:hAnsiTheme="minorHAnsi" w:cstheme="minorBidi"/>
            <w:sz w:val="22"/>
          </w:rPr>
          <w:tab/>
        </w:r>
        <w:r w:rsidR="00242E8D" w:rsidRPr="00972364">
          <w:rPr>
            <w:rStyle w:val="Hyperlink"/>
          </w:rPr>
          <w:t>New Zealand’s land-use change for the Grassland category, and associated CO</w:t>
        </w:r>
        <w:r w:rsidR="00242E8D" w:rsidRPr="00972364">
          <w:rPr>
            <w:rStyle w:val="Hyperlink"/>
            <w:vertAlign w:val="subscript"/>
          </w:rPr>
          <w:t>2</w:t>
        </w:r>
        <w:r w:rsidR="00242E8D" w:rsidRPr="00972364">
          <w:rPr>
            <w:rStyle w:val="Hyperlink"/>
          </w:rPr>
          <w:noBreakHyphen/>
          <w:t>e emissions, from 1990 to 2019</w:t>
        </w:r>
        <w:r w:rsidR="00242E8D">
          <w:rPr>
            <w:webHidden/>
          </w:rPr>
          <w:tab/>
        </w:r>
        <w:r w:rsidR="00242E8D">
          <w:rPr>
            <w:webHidden/>
          </w:rPr>
          <w:fldChar w:fldCharType="begin"/>
        </w:r>
        <w:r w:rsidR="00242E8D">
          <w:rPr>
            <w:webHidden/>
          </w:rPr>
          <w:instrText xml:space="preserve"> PAGEREF _Toc68786501 \h </w:instrText>
        </w:r>
        <w:r w:rsidR="00242E8D">
          <w:rPr>
            <w:webHidden/>
          </w:rPr>
        </w:r>
        <w:r w:rsidR="00242E8D">
          <w:rPr>
            <w:webHidden/>
          </w:rPr>
          <w:fldChar w:fldCharType="separate"/>
        </w:r>
        <w:r w:rsidR="00B94D2F">
          <w:rPr>
            <w:webHidden/>
          </w:rPr>
          <w:t>329</w:t>
        </w:r>
        <w:r w:rsidR="00242E8D">
          <w:rPr>
            <w:webHidden/>
          </w:rPr>
          <w:fldChar w:fldCharType="end"/>
        </w:r>
      </w:hyperlink>
    </w:p>
    <w:p w14:paraId="3A5658DA" w14:textId="25B45F88" w:rsidR="00242E8D" w:rsidRDefault="00087879">
      <w:pPr>
        <w:pStyle w:val="TableofFigures"/>
        <w:rPr>
          <w:rFonts w:asciiTheme="minorHAnsi" w:eastAsiaTheme="minorEastAsia" w:hAnsiTheme="minorHAnsi" w:cstheme="minorBidi"/>
          <w:sz w:val="22"/>
        </w:rPr>
      </w:pPr>
      <w:hyperlink w:anchor="_Toc68786502" w:history="1">
        <w:r w:rsidR="00242E8D" w:rsidRPr="00972364">
          <w:rPr>
            <w:rStyle w:val="Hyperlink"/>
          </w:rPr>
          <w:t>Table 6.6.2</w:t>
        </w:r>
        <w:r w:rsidR="00242E8D">
          <w:rPr>
            <w:rFonts w:asciiTheme="minorHAnsi" w:eastAsiaTheme="minorEastAsia" w:hAnsiTheme="minorHAnsi" w:cstheme="minorBidi"/>
            <w:sz w:val="22"/>
          </w:rPr>
          <w:tab/>
        </w:r>
        <w:r w:rsidR="00242E8D" w:rsidRPr="00972364">
          <w:rPr>
            <w:rStyle w:val="Hyperlink"/>
          </w:rPr>
          <w:t>New Zealand’s carbon stock change by carbon pool for the</w:t>
        </w:r>
        <w:r w:rsidR="00242E8D" w:rsidRPr="00972364">
          <w:rPr>
            <w:rStyle w:val="Hyperlink"/>
            <w:rFonts w:cs="Arial"/>
          </w:rPr>
          <w:t xml:space="preserve"> Grassland</w:t>
        </w:r>
        <w:r w:rsidR="00242E8D" w:rsidRPr="00972364">
          <w:rPr>
            <w:rStyle w:val="Hyperlink"/>
          </w:rPr>
          <w:t xml:space="preserve"> category from 1990 to 2019</w:t>
        </w:r>
        <w:r w:rsidR="00242E8D">
          <w:rPr>
            <w:webHidden/>
          </w:rPr>
          <w:tab/>
        </w:r>
        <w:r w:rsidR="00242E8D">
          <w:rPr>
            <w:webHidden/>
          </w:rPr>
          <w:fldChar w:fldCharType="begin"/>
        </w:r>
        <w:r w:rsidR="00242E8D">
          <w:rPr>
            <w:webHidden/>
          </w:rPr>
          <w:instrText xml:space="preserve"> PAGEREF _Toc68786502 \h </w:instrText>
        </w:r>
        <w:r w:rsidR="00242E8D">
          <w:rPr>
            <w:webHidden/>
          </w:rPr>
        </w:r>
        <w:r w:rsidR="00242E8D">
          <w:rPr>
            <w:webHidden/>
          </w:rPr>
          <w:fldChar w:fldCharType="separate"/>
        </w:r>
        <w:r w:rsidR="00B94D2F">
          <w:rPr>
            <w:webHidden/>
          </w:rPr>
          <w:t>329</w:t>
        </w:r>
        <w:r w:rsidR="00242E8D">
          <w:rPr>
            <w:webHidden/>
          </w:rPr>
          <w:fldChar w:fldCharType="end"/>
        </w:r>
      </w:hyperlink>
    </w:p>
    <w:p w14:paraId="1D9B69DB" w14:textId="07BE0A51" w:rsidR="00242E8D" w:rsidRDefault="00087879">
      <w:pPr>
        <w:pStyle w:val="TableofFigures"/>
        <w:rPr>
          <w:rFonts w:asciiTheme="minorHAnsi" w:eastAsiaTheme="minorEastAsia" w:hAnsiTheme="minorHAnsi" w:cstheme="minorBidi"/>
          <w:sz w:val="22"/>
        </w:rPr>
      </w:pPr>
      <w:hyperlink w:anchor="_Toc68786503" w:history="1">
        <w:r w:rsidR="00242E8D" w:rsidRPr="00972364">
          <w:rPr>
            <w:rStyle w:val="Hyperlink"/>
          </w:rPr>
          <w:t>Table 6.6.3</w:t>
        </w:r>
        <w:r w:rsidR="00242E8D">
          <w:rPr>
            <w:rFonts w:asciiTheme="minorHAnsi" w:eastAsiaTheme="minorEastAsia" w:hAnsiTheme="minorHAnsi" w:cstheme="minorBidi"/>
            <w:sz w:val="22"/>
          </w:rPr>
          <w:tab/>
        </w:r>
        <w:r w:rsidR="00242E8D" w:rsidRPr="00972364">
          <w:rPr>
            <w:rStyle w:val="Hyperlink"/>
          </w:rPr>
          <w:t>Summary of New Zealand’s biomass emission factors for Grassland</w:t>
        </w:r>
        <w:r w:rsidR="00242E8D">
          <w:rPr>
            <w:webHidden/>
          </w:rPr>
          <w:tab/>
        </w:r>
        <w:r w:rsidR="00242E8D">
          <w:rPr>
            <w:webHidden/>
          </w:rPr>
          <w:fldChar w:fldCharType="begin"/>
        </w:r>
        <w:r w:rsidR="00242E8D">
          <w:rPr>
            <w:webHidden/>
          </w:rPr>
          <w:instrText xml:space="preserve"> PAGEREF _Toc68786503 \h </w:instrText>
        </w:r>
        <w:r w:rsidR="00242E8D">
          <w:rPr>
            <w:webHidden/>
          </w:rPr>
        </w:r>
        <w:r w:rsidR="00242E8D">
          <w:rPr>
            <w:webHidden/>
          </w:rPr>
          <w:fldChar w:fldCharType="separate"/>
        </w:r>
        <w:r w:rsidR="00B94D2F">
          <w:rPr>
            <w:webHidden/>
          </w:rPr>
          <w:t>330</w:t>
        </w:r>
        <w:r w:rsidR="00242E8D">
          <w:rPr>
            <w:webHidden/>
          </w:rPr>
          <w:fldChar w:fldCharType="end"/>
        </w:r>
      </w:hyperlink>
    </w:p>
    <w:p w14:paraId="6E38B50C" w14:textId="7AB665E8" w:rsidR="00242E8D" w:rsidRDefault="00087879">
      <w:pPr>
        <w:pStyle w:val="TableofFigures"/>
        <w:rPr>
          <w:rFonts w:asciiTheme="minorHAnsi" w:eastAsiaTheme="minorEastAsia" w:hAnsiTheme="minorHAnsi" w:cstheme="minorBidi"/>
          <w:sz w:val="22"/>
        </w:rPr>
      </w:pPr>
      <w:hyperlink w:anchor="_Toc68786504" w:history="1">
        <w:r w:rsidR="00242E8D" w:rsidRPr="00972364">
          <w:rPr>
            <w:rStyle w:val="Hyperlink"/>
          </w:rPr>
          <w:t>Table 6.6.4</w:t>
        </w:r>
        <w:r w:rsidR="00242E8D">
          <w:rPr>
            <w:rFonts w:asciiTheme="minorHAnsi" w:eastAsiaTheme="minorEastAsia" w:hAnsiTheme="minorHAnsi" w:cstheme="minorBidi"/>
            <w:sz w:val="22"/>
          </w:rPr>
          <w:tab/>
        </w:r>
        <w:r w:rsidR="00242E8D" w:rsidRPr="00972364">
          <w:rPr>
            <w:rStyle w:val="Hyperlink"/>
          </w:rPr>
          <w:t>New Zealand’s soil carbon stock values by Grassland type: from table 6.3.2</w:t>
        </w:r>
        <w:r w:rsidR="00242E8D">
          <w:rPr>
            <w:webHidden/>
          </w:rPr>
          <w:tab/>
        </w:r>
        <w:r w:rsidR="00242E8D">
          <w:rPr>
            <w:webHidden/>
          </w:rPr>
          <w:fldChar w:fldCharType="begin"/>
        </w:r>
        <w:r w:rsidR="00242E8D">
          <w:rPr>
            <w:webHidden/>
          </w:rPr>
          <w:instrText xml:space="preserve"> PAGEREF _Toc68786504 \h </w:instrText>
        </w:r>
        <w:r w:rsidR="00242E8D">
          <w:rPr>
            <w:webHidden/>
          </w:rPr>
        </w:r>
        <w:r w:rsidR="00242E8D">
          <w:rPr>
            <w:webHidden/>
          </w:rPr>
          <w:fldChar w:fldCharType="separate"/>
        </w:r>
        <w:r w:rsidR="00B94D2F">
          <w:rPr>
            <w:webHidden/>
          </w:rPr>
          <w:t>331</w:t>
        </w:r>
        <w:r w:rsidR="00242E8D">
          <w:rPr>
            <w:webHidden/>
          </w:rPr>
          <w:fldChar w:fldCharType="end"/>
        </w:r>
      </w:hyperlink>
    </w:p>
    <w:p w14:paraId="108679EF" w14:textId="6CFF22E5" w:rsidR="00242E8D" w:rsidRDefault="00087879">
      <w:pPr>
        <w:pStyle w:val="TableofFigures"/>
        <w:rPr>
          <w:rFonts w:asciiTheme="minorHAnsi" w:eastAsiaTheme="minorEastAsia" w:hAnsiTheme="minorHAnsi" w:cstheme="minorBidi"/>
          <w:sz w:val="22"/>
        </w:rPr>
      </w:pPr>
      <w:hyperlink w:anchor="_Toc68786505" w:history="1">
        <w:r w:rsidR="00242E8D" w:rsidRPr="00972364">
          <w:rPr>
            <w:rStyle w:val="Hyperlink"/>
          </w:rPr>
          <w:t>Table 6.6.5</w:t>
        </w:r>
        <w:r w:rsidR="00242E8D">
          <w:rPr>
            <w:rFonts w:asciiTheme="minorHAnsi" w:eastAsiaTheme="minorEastAsia" w:hAnsiTheme="minorHAnsi" w:cstheme="minorBidi"/>
            <w:sz w:val="22"/>
          </w:rPr>
          <w:tab/>
        </w:r>
        <w:r w:rsidR="00242E8D" w:rsidRPr="00972364">
          <w:rPr>
            <w:rStyle w:val="Hyperlink"/>
          </w:rPr>
          <w:t>Uncertainty in New Zealand’s 2019 estimates for the Grassland category (including land in transition)</w:t>
        </w:r>
        <w:r w:rsidR="00242E8D">
          <w:rPr>
            <w:webHidden/>
          </w:rPr>
          <w:tab/>
        </w:r>
        <w:r w:rsidR="00242E8D">
          <w:rPr>
            <w:webHidden/>
          </w:rPr>
          <w:fldChar w:fldCharType="begin"/>
        </w:r>
        <w:r w:rsidR="00242E8D">
          <w:rPr>
            <w:webHidden/>
          </w:rPr>
          <w:instrText xml:space="preserve"> PAGEREF _Toc68786505 \h </w:instrText>
        </w:r>
        <w:r w:rsidR="00242E8D">
          <w:rPr>
            <w:webHidden/>
          </w:rPr>
        </w:r>
        <w:r w:rsidR="00242E8D">
          <w:rPr>
            <w:webHidden/>
          </w:rPr>
          <w:fldChar w:fldCharType="separate"/>
        </w:r>
        <w:r w:rsidR="00B94D2F">
          <w:rPr>
            <w:webHidden/>
          </w:rPr>
          <w:t>333</w:t>
        </w:r>
        <w:r w:rsidR="00242E8D">
          <w:rPr>
            <w:webHidden/>
          </w:rPr>
          <w:fldChar w:fldCharType="end"/>
        </w:r>
      </w:hyperlink>
    </w:p>
    <w:p w14:paraId="120080F2" w14:textId="4E9BC093" w:rsidR="00242E8D" w:rsidRDefault="00087879">
      <w:pPr>
        <w:pStyle w:val="TableofFigures"/>
        <w:rPr>
          <w:rFonts w:asciiTheme="minorHAnsi" w:eastAsiaTheme="minorEastAsia" w:hAnsiTheme="minorHAnsi" w:cstheme="minorBidi"/>
          <w:sz w:val="22"/>
        </w:rPr>
      </w:pPr>
      <w:hyperlink w:anchor="_Toc68786506" w:history="1">
        <w:r w:rsidR="00242E8D" w:rsidRPr="00972364">
          <w:rPr>
            <w:rStyle w:val="Hyperlink"/>
          </w:rPr>
          <w:t>Table 6.6.6</w:t>
        </w:r>
        <w:r w:rsidR="00242E8D">
          <w:rPr>
            <w:rFonts w:asciiTheme="minorHAnsi" w:eastAsiaTheme="minorEastAsia" w:hAnsiTheme="minorHAnsi" w:cstheme="minorBidi"/>
            <w:sz w:val="22"/>
          </w:rPr>
          <w:tab/>
        </w:r>
        <w:r w:rsidR="00242E8D" w:rsidRPr="00972364">
          <w:rPr>
            <w:rStyle w:val="Hyperlink"/>
          </w:rPr>
          <w:t>Recalculations of New Zealand’s net emissions from the Grassland category in 1990 and 2018</w:t>
        </w:r>
        <w:r w:rsidR="00242E8D">
          <w:rPr>
            <w:webHidden/>
          </w:rPr>
          <w:tab/>
        </w:r>
        <w:r w:rsidR="00242E8D">
          <w:rPr>
            <w:webHidden/>
          </w:rPr>
          <w:fldChar w:fldCharType="begin"/>
        </w:r>
        <w:r w:rsidR="00242E8D">
          <w:rPr>
            <w:webHidden/>
          </w:rPr>
          <w:instrText xml:space="preserve"> PAGEREF _Toc68786506 \h </w:instrText>
        </w:r>
        <w:r w:rsidR="00242E8D">
          <w:rPr>
            <w:webHidden/>
          </w:rPr>
        </w:r>
        <w:r w:rsidR="00242E8D">
          <w:rPr>
            <w:webHidden/>
          </w:rPr>
          <w:fldChar w:fldCharType="separate"/>
        </w:r>
        <w:r w:rsidR="00B94D2F">
          <w:rPr>
            <w:webHidden/>
          </w:rPr>
          <w:t>333</w:t>
        </w:r>
        <w:r w:rsidR="00242E8D">
          <w:rPr>
            <w:webHidden/>
          </w:rPr>
          <w:fldChar w:fldCharType="end"/>
        </w:r>
      </w:hyperlink>
    </w:p>
    <w:p w14:paraId="385F8374" w14:textId="1A59ABE1" w:rsidR="00242E8D" w:rsidRDefault="00087879">
      <w:pPr>
        <w:pStyle w:val="TableofFigures"/>
        <w:rPr>
          <w:rFonts w:asciiTheme="minorHAnsi" w:eastAsiaTheme="minorEastAsia" w:hAnsiTheme="minorHAnsi" w:cstheme="minorBidi"/>
          <w:sz w:val="22"/>
        </w:rPr>
      </w:pPr>
      <w:hyperlink w:anchor="_Toc68786507" w:history="1">
        <w:r w:rsidR="00242E8D" w:rsidRPr="00972364">
          <w:rPr>
            <w:rStyle w:val="Hyperlink"/>
          </w:rPr>
          <w:t>Table 6.7.1</w:t>
        </w:r>
        <w:r w:rsidR="00242E8D">
          <w:rPr>
            <w:rFonts w:asciiTheme="minorHAnsi" w:eastAsiaTheme="minorEastAsia" w:hAnsiTheme="minorHAnsi" w:cstheme="minorBidi"/>
            <w:sz w:val="22"/>
          </w:rPr>
          <w:tab/>
        </w:r>
        <w:r w:rsidR="00242E8D" w:rsidRPr="00972364">
          <w:rPr>
            <w:rStyle w:val="Hyperlink"/>
          </w:rPr>
          <w:t>New Zealand’s land-use change for the Wetlands category, and associated CO</w:t>
        </w:r>
        <w:r w:rsidR="00242E8D" w:rsidRPr="00972364">
          <w:rPr>
            <w:rStyle w:val="Hyperlink"/>
            <w:vertAlign w:val="subscript"/>
          </w:rPr>
          <w:t>2</w:t>
        </w:r>
        <w:r w:rsidR="00242E8D" w:rsidRPr="00972364">
          <w:rPr>
            <w:rStyle w:val="Hyperlink"/>
          </w:rPr>
          <w:noBreakHyphen/>
          <w:t>e emissions, in 1990 and 2019</w:t>
        </w:r>
        <w:r w:rsidR="00242E8D">
          <w:rPr>
            <w:webHidden/>
          </w:rPr>
          <w:tab/>
        </w:r>
        <w:r w:rsidR="00242E8D">
          <w:rPr>
            <w:webHidden/>
          </w:rPr>
          <w:fldChar w:fldCharType="begin"/>
        </w:r>
        <w:r w:rsidR="00242E8D">
          <w:rPr>
            <w:webHidden/>
          </w:rPr>
          <w:instrText xml:space="preserve"> PAGEREF _Toc68786507 \h </w:instrText>
        </w:r>
        <w:r w:rsidR="00242E8D">
          <w:rPr>
            <w:webHidden/>
          </w:rPr>
        </w:r>
        <w:r w:rsidR="00242E8D">
          <w:rPr>
            <w:webHidden/>
          </w:rPr>
          <w:fldChar w:fldCharType="separate"/>
        </w:r>
        <w:r w:rsidR="00B94D2F">
          <w:rPr>
            <w:webHidden/>
          </w:rPr>
          <w:t>335</w:t>
        </w:r>
        <w:r w:rsidR="00242E8D">
          <w:rPr>
            <w:webHidden/>
          </w:rPr>
          <w:fldChar w:fldCharType="end"/>
        </w:r>
      </w:hyperlink>
    </w:p>
    <w:p w14:paraId="4342D42E" w14:textId="570A16B2" w:rsidR="00242E8D" w:rsidRDefault="00087879">
      <w:pPr>
        <w:pStyle w:val="TableofFigures"/>
        <w:rPr>
          <w:rFonts w:asciiTheme="minorHAnsi" w:eastAsiaTheme="minorEastAsia" w:hAnsiTheme="minorHAnsi" w:cstheme="minorBidi"/>
          <w:sz w:val="22"/>
        </w:rPr>
      </w:pPr>
      <w:hyperlink w:anchor="_Toc68786508" w:history="1">
        <w:r w:rsidR="00242E8D" w:rsidRPr="00972364">
          <w:rPr>
            <w:rStyle w:val="Hyperlink"/>
          </w:rPr>
          <w:t>Table 6.7.2</w:t>
        </w:r>
        <w:r w:rsidR="00242E8D">
          <w:rPr>
            <w:rFonts w:asciiTheme="minorHAnsi" w:eastAsiaTheme="minorEastAsia" w:hAnsiTheme="minorHAnsi" w:cstheme="minorBidi"/>
            <w:sz w:val="22"/>
          </w:rPr>
          <w:tab/>
        </w:r>
        <w:r w:rsidR="00242E8D" w:rsidRPr="00972364">
          <w:rPr>
            <w:rStyle w:val="Hyperlink"/>
          </w:rPr>
          <w:t>New Zealand’s carbon stock change by carbon pool for the Wetlands category from 1990 to 2019</w:t>
        </w:r>
        <w:r w:rsidR="00242E8D">
          <w:rPr>
            <w:webHidden/>
          </w:rPr>
          <w:tab/>
        </w:r>
        <w:r w:rsidR="00242E8D">
          <w:rPr>
            <w:webHidden/>
          </w:rPr>
          <w:fldChar w:fldCharType="begin"/>
        </w:r>
        <w:r w:rsidR="00242E8D">
          <w:rPr>
            <w:webHidden/>
          </w:rPr>
          <w:instrText xml:space="preserve"> PAGEREF _Toc68786508 \h </w:instrText>
        </w:r>
        <w:r w:rsidR="00242E8D">
          <w:rPr>
            <w:webHidden/>
          </w:rPr>
        </w:r>
        <w:r w:rsidR="00242E8D">
          <w:rPr>
            <w:webHidden/>
          </w:rPr>
          <w:fldChar w:fldCharType="separate"/>
        </w:r>
        <w:r w:rsidR="00B94D2F">
          <w:rPr>
            <w:webHidden/>
          </w:rPr>
          <w:t>335</w:t>
        </w:r>
        <w:r w:rsidR="00242E8D">
          <w:rPr>
            <w:webHidden/>
          </w:rPr>
          <w:fldChar w:fldCharType="end"/>
        </w:r>
      </w:hyperlink>
    </w:p>
    <w:p w14:paraId="75D2B6C9" w14:textId="0A918EA4" w:rsidR="00242E8D" w:rsidRDefault="00087879">
      <w:pPr>
        <w:pStyle w:val="TableofFigures"/>
        <w:rPr>
          <w:rFonts w:asciiTheme="minorHAnsi" w:eastAsiaTheme="minorEastAsia" w:hAnsiTheme="minorHAnsi" w:cstheme="minorBidi"/>
          <w:sz w:val="22"/>
        </w:rPr>
      </w:pPr>
      <w:hyperlink w:anchor="_Toc68786509" w:history="1">
        <w:r w:rsidR="00242E8D" w:rsidRPr="00972364">
          <w:rPr>
            <w:rStyle w:val="Hyperlink"/>
          </w:rPr>
          <w:t>Table 6.7.3</w:t>
        </w:r>
        <w:r w:rsidR="00242E8D">
          <w:rPr>
            <w:rFonts w:asciiTheme="minorHAnsi" w:eastAsiaTheme="minorEastAsia" w:hAnsiTheme="minorHAnsi" w:cstheme="minorBidi"/>
            <w:sz w:val="22"/>
          </w:rPr>
          <w:tab/>
        </w:r>
        <w:r w:rsidR="00242E8D" w:rsidRPr="00972364">
          <w:rPr>
            <w:rStyle w:val="Hyperlink"/>
          </w:rPr>
          <w:t>Uncertainty in New Zealand’s 2019 estimates for the Wetlands category (including land in transition)</w:t>
        </w:r>
        <w:r w:rsidR="00242E8D">
          <w:rPr>
            <w:webHidden/>
          </w:rPr>
          <w:tab/>
        </w:r>
        <w:r w:rsidR="00242E8D">
          <w:rPr>
            <w:webHidden/>
          </w:rPr>
          <w:fldChar w:fldCharType="begin"/>
        </w:r>
        <w:r w:rsidR="00242E8D">
          <w:rPr>
            <w:webHidden/>
          </w:rPr>
          <w:instrText xml:space="preserve"> PAGEREF _Toc68786509 \h </w:instrText>
        </w:r>
        <w:r w:rsidR="00242E8D">
          <w:rPr>
            <w:webHidden/>
          </w:rPr>
        </w:r>
        <w:r w:rsidR="00242E8D">
          <w:rPr>
            <w:webHidden/>
          </w:rPr>
          <w:fldChar w:fldCharType="separate"/>
        </w:r>
        <w:r w:rsidR="00B94D2F">
          <w:rPr>
            <w:webHidden/>
          </w:rPr>
          <w:t>337</w:t>
        </w:r>
        <w:r w:rsidR="00242E8D">
          <w:rPr>
            <w:webHidden/>
          </w:rPr>
          <w:fldChar w:fldCharType="end"/>
        </w:r>
      </w:hyperlink>
    </w:p>
    <w:p w14:paraId="2FBB2133" w14:textId="34DD6CC6" w:rsidR="00242E8D" w:rsidRDefault="00087879">
      <w:pPr>
        <w:pStyle w:val="TableofFigures"/>
        <w:rPr>
          <w:rFonts w:asciiTheme="minorHAnsi" w:eastAsiaTheme="minorEastAsia" w:hAnsiTheme="minorHAnsi" w:cstheme="minorBidi"/>
          <w:sz w:val="22"/>
        </w:rPr>
      </w:pPr>
      <w:hyperlink w:anchor="_Toc68786510" w:history="1">
        <w:r w:rsidR="00242E8D" w:rsidRPr="00972364">
          <w:rPr>
            <w:rStyle w:val="Hyperlink"/>
          </w:rPr>
          <w:t>Table 6.7.4</w:t>
        </w:r>
        <w:r w:rsidR="00242E8D">
          <w:rPr>
            <w:rFonts w:asciiTheme="minorHAnsi" w:eastAsiaTheme="minorEastAsia" w:hAnsiTheme="minorHAnsi" w:cstheme="minorBidi"/>
            <w:sz w:val="22"/>
          </w:rPr>
          <w:tab/>
        </w:r>
        <w:r w:rsidR="00242E8D" w:rsidRPr="00972364">
          <w:rPr>
            <w:rStyle w:val="Hyperlink"/>
          </w:rPr>
          <w:t>Recalculations for New Zealand’s net emissions from the Wetlands category in 1990 and 2018</w:t>
        </w:r>
        <w:r w:rsidR="00242E8D">
          <w:rPr>
            <w:webHidden/>
          </w:rPr>
          <w:tab/>
        </w:r>
        <w:r w:rsidR="00242E8D">
          <w:rPr>
            <w:webHidden/>
          </w:rPr>
          <w:fldChar w:fldCharType="begin"/>
        </w:r>
        <w:r w:rsidR="00242E8D">
          <w:rPr>
            <w:webHidden/>
          </w:rPr>
          <w:instrText xml:space="preserve"> PAGEREF _Toc68786510 \h </w:instrText>
        </w:r>
        <w:r w:rsidR="00242E8D">
          <w:rPr>
            <w:webHidden/>
          </w:rPr>
        </w:r>
        <w:r w:rsidR="00242E8D">
          <w:rPr>
            <w:webHidden/>
          </w:rPr>
          <w:fldChar w:fldCharType="separate"/>
        </w:r>
        <w:r w:rsidR="00B94D2F">
          <w:rPr>
            <w:webHidden/>
          </w:rPr>
          <w:t>338</w:t>
        </w:r>
        <w:r w:rsidR="00242E8D">
          <w:rPr>
            <w:webHidden/>
          </w:rPr>
          <w:fldChar w:fldCharType="end"/>
        </w:r>
      </w:hyperlink>
    </w:p>
    <w:p w14:paraId="38F575D3" w14:textId="590467D2" w:rsidR="00242E8D" w:rsidRDefault="00087879">
      <w:pPr>
        <w:pStyle w:val="TableofFigures"/>
        <w:rPr>
          <w:rFonts w:asciiTheme="minorHAnsi" w:eastAsiaTheme="minorEastAsia" w:hAnsiTheme="minorHAnsi" w:cstheme="minorBidi"/>
          <w:sz w:val="22"/>
        </w:rPr>
      </w:pPr>
      <w:hyperlink w:anchor="_Toc68786511" w:history="1">
        <w:r w:rsidR="00242E8D" w:rsidRPr="00972364">
          <w:rPr>
            <w:rStyle w:val="Hyperlink"/>
          </w:rPr>
          <w:t>Table 6.8.1</w:t>
        </w:r>
        <w:r w:rsidR="00242E8D">
          <w:rPr>
            <w:rFonts w:asciiTheme="minorHAnsi" w:eastAsiaTheme="minorEastAsia" w:hAnsiTheme="minorHAnsi" w:cstheme="minorBidi"/>
            <w:sz w:val="22"/>
          </w:rPr>
          <w:tab/>
        </w:r>
        <w:r w:rsidR="00242E8D" w:rsidRPr="00972364">
          <w:rPr>
            <w:rStyle w:val="Hyperlink"/>
          </w:rPr>
          <w:t>New Zealand’s land-use change for the Settlements category, and associated CO</w:t>
        </w:r>
        <w:r w:rsidR="00242E8D" w:rsidRPr="00972364">
          <w:rPr>
            <w:rStyle w:val="Hyperlink"/>
            <w:vertAlign w:val="subscript"/>
          </w:rPr>
          <w:t>2</w:t>
        </w:r>
        <w:r w:rsidR="00242E8D" w:rsidRPr="00972364">
          <w:rPr>
            <w:rStyle w:val="Hyperlink"/>
          </w:rPr>
          <w:noBreakHyphen/>
          <w:t>e emissions, from 1990 to 2019</w:t>
        </w:r>
        <w:r w:rsidR="00242E8D">
          <w:rPr>
            <w:webHidden/>
          </w:rPr>
          <w:tab/>
        </w:r>
        <w:r w:rsidR="00242E8D">
          <w:rPr>
            <w:webHidden/>
          </w:rPr>
          <w:fldChar w:fldCharType="begin"/>
        </w:r>
        <w:r w:rsidR="00242E8D">
          <w:rPr>
            <w:webHidden/>
          </w:rPr>
          <w:instrText xml:space="preserve"> PAGEREF _Toc68786511 \h </w:instrText>
        </w:r>
        <w:r w:rsidR="00242E8D">
          <w:rPr>
            <w:webHidden/>
          </w:rPr>
        </w:r>
        <w:r w:rsidR="00242E8D">
          <w:rPr>
            <w:webHidden/>
          </w:rPr>
          <w:fldChar w:fldCharType="separate"/>
        </w:r>
        <w:r w:rsidR="00B94D2F">
          <w:rPr>
            <w:webHidden/>
          </w:rPr>
          <w:t>339</w:t>
        </w:r>
        <w:r w:rsidR="00242E8D">
          <w:rPr>
            <w:webHidden/>
          </w:rPr>
          <w:fldChar w:fldCharType="end"/>
        </w:r>
      </w:hyperlink>
    </w:p>
    <w:p w14:paraId="3BB5E064" w14:textId="0FB9FFEB" w:rsidR="00242E8D" w:rsidRDefault="00087879">
      <w:pPr>
        <w:pStyle w:val="TableofFigures"/>
        <w:rPr>
          <w:rFonts w:asciiTheme="minorHAnsi" w:eastAsiaTheme="minorEastAsia" w:hAnsiTheme="minorHAnsi" w:cstheme="minorBidi"/>
          <w:sz w:val="22"/>
        </w:rPr>
      </w:pPr>
      <w:hyperlink w:anchor="_Toc68786512" w:history="1">
        <w:r w:rsidR="00242E8D" w:rsidRPr="00972364">
          <w:rPr>
            <w:rStyle w:val="Hyperlink"/>
          </w:rPr>
          <w:t>Table 6.8.2</w:t>
        </w:r>
        <w:r w:rsidR="00242E8D">
          <w:rPr>
            <w:rFonts w:asciiTheme="minorHAnsi" w:eastAsiaTheme="minorEastAsia" w:hAnsiTheme="minorHAnsi" w:cstheme="minorBidi"/>
            <w:sz w:val="22"/>
          </w:rPr>
          <w:tab/>
        </w:r>
        <w:r w:rsidR="00242E8D" w:rsidRPr="00972364">
          <w:rPr>
            <w:rStyle w:val="Hyperlink"/>
          </w:rPr>
          <w:t>New Zealand’s carbon stock change by carbon pool for the Settlements category from 1990 to 2019</w:t>
        </w:r>
        <w:r w:rsidR="00242E8D">
          <w:rPr>
            <w:webHidden/>
          </w:rPr>
          <w:tab/>
        </w:r>
        <w:r w:rsidR="00242E8D">
          <w:rPr>
            <w:webHidden/>
          </w:rPr>
          <w:fldChar w:fldCharType="begin"/>
        </w:r>
        <w:r w:rsidR="00242E8D">
          <w:rPr>
            <w:webHidden/>
          </w:rPr>
          <w:instrText xml:space="preserve"> PAGEREF _Toc68786512 \h </w:instrText>
        </w:r>
        <w:r w:rsidR="00242E8D">
          <w:rPr>
            <w:webHidden/>
          </w:rPr>
        </w:r>
        <w:r w:rsidR="00242E8D">
          <w:rPr>
            <w:webHidden/>
          </w:rPr>
          <w:fldChar w:fldCharType="separate"/>
        </w:r>
        <w:r w:rsidR="00B94D2F">
          <w:rPr>
            <w:webHidden/>
          </w:rPr>
          <w:t>339</w:t>
        </w:r>
        <w:r w:rsidR="00242E8D">
          <w:rPr>
            <w:webHidden/>
          </w:rPr>
          <w:fldChar w:fldCharType="end"/>
        </w:r>
      </w:hyperlink>
    </w:p>
    <w:p w14:paraId="4B6E33C5" w14:textId="02951B68" w:rsidR="00242E8D" w:rsidRDefault="00087879">
      <w:pPr>
        <w:pStyle w:val="TableofFigures"/>
        <w:rPr>
          <w:rFonts w:asciiTheme="minorHAnsi" w:eastAsiaTheme="minorEastAsia" w:hAnsiTheme="minorHAnsi" w:cstheme="minorBidi"/>
          <w:sz w:val="22"/>
        </w:rPr>
      </w:pPr>
      <w:hyperlink w:anchor="_Toc68786513" w:history="1">
        <w:r w:rsidR="00242E8D" w:rsidRPr="00972364">
          <w:rPr>
            <w:rStyle w:val="Hyperlink"/>
          </w:rPr>
          <w:t>Table 6.8.3</w:t>
        </w:r>
        <w:r w:rsidR="00242E8D">
          <w:rPr>
            <w:rFonts w:asciiTheme="minorHAnsi" w:eastAsiaTheme="minorEastAsia" w:hAnsiTheme="minorHAnsi" w:cstheme="minorBidi"/>
            <w:sz w:val="22"/>
          </w:rPr>
          <w:tab/>
        </w:r>
        <w:r w:rsidR="00242E8D" w:rsidRPr="00972364">
          <w:rPr>
            <w:rStyle w:val="Hyperlink"/>
          </w:rPr>
          <w:t>Uncertainty in New Zealand’s 2019 estimates for the Settlements category (including land in transition)</w:t>
        </w:r>
        <w:r w:rsidR="00242E8D">
          <w:rPr>
            <w:webHidden/>
          </w:rPr>
          <w:tab/>
        </w:r>
        <w:r w:rsidR="00242E8D">
          <w:rPr>
            <w:webHidden/>
          </w:rPr>
          <w:fldChar w:fldCharType="begin"/>
        </w:r>
        <w:r w:rsidR="00242E8D">
          <w:rPr>
            <w:webHidden/>
          </w:rPr>
          <w:instrText xml:space="preserve"> PAGEREF _Toc68786513 \h </w:instrText>
        </w:r>
        <w:r w:rsidR="00242E8D">
          <w:rPr>
            <w:webHidden/>
          </w:rPr>
        </w:r>
        <w:r w:rsidR="00242E8D">
          <w:rPr>
            <w:webHidden/>
          </w:rPr>
          <w:fldChar w:fldCharType="separate"/>
        </w:r>
        <w:r w:rsidR="00B94D2F">
          <w:rPr>
            <w:webHidden/>
          </w:rPr>
          <w:t>340</w:t>
        </w:r>
        <w:r w:rsidR="00242E8D">
          <w:rPr>
            <w:webHidden/>
          </w:rPr>
          <w:fldChar w:fldCharType="end"/>
        </w:r>
      </w:hyperlink>
    </w:p>
    <w:p w14:paraId="5DC4E56E" w14:textId="677C75ED" w:rsidR="00242E8D" w:rsidRDefault="00087879">
      <w:pPr>
        <w:pStyle w:val="TableofFigures"/>
        <w:rPr>
          <w:rFonts w:asciiTheme="minorHAnsi" w:eastAsiaTheme="minorEastAsia" w:hAnsiTheme="minorHAnsi" w:cstheme="minorBidi"/>
          <w:sz w:val="22"/>
        </w:rPr>
      </w:pPr>
      <w:hyperlink w:anchor="_Toc68786514" w:history="1">
        <w:r w:rsidR="00242E8D" w:rsidRPr="00972364">
          <w:rPr>
            <w:rStyle w:val="Hyperlink"/>
          </w:rPr>
          <w:t>Table 6.8.4</w:t>
        </w:r>
        <w:r w:rsidR="00242E8D">
          <w:rPr>
            <w:rFonts w:asciiTheme="minorHAnsi" w:eastAsiaTheme="minorEastAsia" w:hAnsiTheme="minorHAnsi" w:cstheme="minorBidi"/>
            <w:sz w:val="22"/>
          </w:rPr>
          <w:tab/>
        </w:r>
        <w:r w:rsidR="00242E8D" w:rsidRPr="00972364">
          <w:rPr>
            <w:rStyle w:val="Hyperlink"/>
          </w:rPr>
          <w:t>Recalculations for New Zealand’s net emissions from the Settlements category in 1990 and 2018</w:t>
        </w:r>
        <w:r w:rsidR="00242E8D">
          <w:rPr>
            <w:webHidden/>
          </w:rPr>
          <w:tab/>
        </w:r>
        <w:r w:rsidR="00242E8D">
          <w:rPr>
            <w:webHidden/>
          </w:rPr>
          <w:fldChar w:fldCharType="begin"/>
        </w:r>
        <w:r w:rsidR="00242E8D">
          <w:rPr>
            <w:webHidden/>
          </w:rPr>
          <w:instrText xml:space="preserve"> PAGEREF _Toc68786514 \h </w:instrText>
        </w:r>
        <w:r w:rsidR="00242E8D">
          <w:rPr>
            <w:webHidden/>
          </w:rPr>
        </w:r>
        <w:r w:rsidR="00242E8D">
          <w:rPr>
            <w:webHidden/>
          </w:rPr>
          <w:fldChar w:fldCharType="separate"/>
        </w:r>
        <w:r w:rsidR="00B94D2F">
          <w:rPr>
            <w:webHidden/>
          </w:rPr>
          <w:t>340</w:t>
        </w:r>
        <w:r w:rsidR="00242E8D">
          <w:rPr>
            <w:webHidden/>
          </w:rPr>
          <w:fldChar w:fldCharType="end"/>
        </w:r>
      </w:hyperlink>
    </w:p>
    <w:p w14:paraId="65A29722" w14:textId="1A52B036" w:rsidR="00242E8D" w:rsidRDefault="00087879">
      <w:pPr>
        <w:pStyle w:val="TableofFigures"/>
        <w:rPr>
          <w:rFonts w:asciiTheme="minorHAnsi" w:eastAsiaTheme="minorEastAsia" w:hAnsiTheme="minorHAnsi" w:cstheme="minorBidi"/>
          <w:sz w:val="22"/>
        </w:rPr>
      </w:pPr>
      <w:hyperlink w:anchor="_Toc68786515" w:history="1">
        <w:r w:rsidR="00242E8D" w:rsidRPr="00972364">
          <w:rPr>
            <w:rStyle w:val="Hyperlink"/>
          </w:rPr>
          <w:t>Table 6.9.1</w:t>
        </w:r>
        <w:r w:rsidR="00242E8D">
          <w:rPr>
            <w:rFonts w:asciiTheme="minorHAnsi" w:eastAsiaTheme="minorEastAsia" w:hAnsiTheme="minorHAnsi" w:cstheme="minorBidi"/>
            <w:sz w:val="22"/>
          </w:rPr>
          <w:tab/>
        </w:r>
        <w:r w:rsidR="00242E8D" w:rsidRPr="00972364">
          <w:rPr>
            <w:rStyle w:val="Hyperlink"/>
          </w:rPr>
          <w:t>New Zealand’s land-use change for the land use category Other land from 1990 to 2019</w:t>
        </w:r>
        <w:r w:rsidR="00242E8D">
          <w:rPr>
            <w:webHidden/>
          </w:rPr>
          <w:tab/>
        </w:r>
        <w:r w:rsidR="00242E8D">
          <w:rPr>
            <w:webHidden/>
          </w:rPr>
          <w:fldChar w:fldCharType="begin"/>
        </w:r>
        <w:r w:rsidR="00242E8D">
          <w:rPr>
            <w:webHidden/>
          </w:rPr>
          <w:instrText xml:space="preserve"> PAGEREF _Toc68786515 \h </w:instrText>
        </w:r>
        <w:r w:rsidR="00242E8D">
          <w:rPr>
            <w:webHidden/>
          </w:rPr>
        </w:r>
        <w:r w:rsidR="00242E8D">
          <w:rPr>
            <w:webHidden/>
          </w:rPr>
          <w:fldChar w:fldCharType="separate"/>
        </w:r>
        <w:r w:rsidR="00B94D2F">
          <w:rPr>
            <w:webHidden/>
          </w:rPr>
          <w:t>341</w:t>
        </w:r>
        <w:r w:rsidR="00242E8D">
          <w:rPr>
            <w:webHidden/>
          </w:rPr>
          <w:fldChar w:fldCharType="end"/>
        </w:r>
      </w:hyperlink>
    </w:p>
    <w:p w14:paraId="298CDBF4" w14:textId="11A75659" w:rsidR="00242E8D" w:rsidRDefault="00087879">
      <w:pPr>
        <w:pStyle w:val="TableofFigures"/>
        <w:rPr>
          <w:rFonts w:asciiTheme="minorHAnsi" w:eastAsiaTheme="minorEastAsia" w:hAnsiTheme="minorHAnsi" w:cstheme="minorBidi"/>
          <w:sz w:val="22"/>
        </w:rPr>
      </w:pPr>
      <w:hyperlink w:anchor="_Toc68786516" w:history="1">
        <w:r w:rsidR="00242E8D" w:rsidRPr="00972364">
          <w:rPr>
            <w:rStyle w:val="Hyperlink"/>
          </w:rPr>
          <w:t>Table 6.9.2</w:t>
        </w:r>
        <w:r w:rsidR="00242E8D">
          <w:rPr>
            <w:rFonts w:asciiTheme="minorHAnsi" w:eastAsiaTheme="minorEastAsia" w:hAnsiTheme="minorHAnsi" w:cstheme="minorBidi"/>
            <w:sz w:val="22"/>
          </w:rPr>
          <w:tab/>
        </w:r>
        <w:r w:rsidR="00242E8D" w:rsidRPr="00972364">
          <w:rPr>
            <w:rStyle w:val="Hyperlink"/>
          </w:rPr>
          <w:t>Summary of New Zealand emission factors for the land use category Other land</w:t>
        </w:r>
        <w:r w:rsidR="00242E8D">
          <w:rPr>
            <w:webHidden/>
          </w:rPr>
          <w:tab/>
        </w:r>
        <w:r w:rsidR="00242E8D">
          <w:rPr>
            <w:webHidden/>
          </w:rPr>
          <w:fldChar w:fldCharType="begin"/>
        </w:r>
        <w:r w:rsidR="00242E8D">
          <w:rPr>
            <w:webHidden/>
          </w:rPr>
          <w:instrText xml:space="preserve"> PAGEREF _Toc68786516 \h </w:instrText>
        </w:r>
        <w:r w:rsidR="00242E8D">
          <w:rPr>
            <w:webHidden/>
          </w:rPr>
        </w:r>
        <w:r w:rsidR="00242E8D">
          <w:rPr>
            <w:webHidden/>
          </w:rPr>
          <w:fldChar w:fldCharType="separate"/>
        </w:r>
        <w:r w:rsidR="00B94D2F">
          <w:rPr>
            <w:webHidden/>
          </w:rPr>
          <w:t>342</w:t>
        </w:r>
        <w:r w:rsidR="00242E8D">
          <w:rPr>
            <w:webHidden/>
          </w:rPr>
          <w:fldChar w:fldCharType="end"/>
        </w:r>
      </w:hyperlink>
    </w:p>
    <w:p w14:paraId="1BDEE8FF" w14:textId="612569E3" w:rsidR="00242E8D" w:rsidRDefault="00087879">
      <w:pPr>
        <w:pStyle w:val="TableofFigures"/>
        <w:rPr>
          <w:rFonts w:asciiTheme="minorHAnsi" w:eastAsiaTheme="minorEastAsia" w:hAnsiTheme="minorHAnsi" w:cstheme="minorBidi"/>
          <w:sz w:val="22"/>
        </w:rPr>
      </w:pPr>
      <w:hyperlink w:anchor="_Toc68786517" w:history="1">
        <w:r w:rsidR="00242E8D" w:rsidRPr="00972364">
          <w:rPr>
            <w:rStyle w:val="Hyperlink"/>
          </w:rPr>
          <w:t>Table 6.9.3</w:t>
        </w:r>
        <w:r w:rsidR="00242E8D">
          <w:rPr>
            <w:rFonts w:asciiTheme="minorHAnsi" w:eastAsiaTheme="minorEastAsia" w:hAnsiTheme="minorHAnsi" w:cstheme="minorBidi"/>
            <w:sz w:val="22"/>
          </w:rPr>
          <w:tab/>
        </w:r>
        <w:r w:rsidR="00242E8D" w:rsidRPr="00972364">
          <w:rPr>
            <w:rStyle w:val="Hyperlink"/>
          </w:rPr>
          <w:t>Uncertainty in New Zealand’s 2019 estimates for the land use category Other land (including land in transition)</w:t>
        </w:r>
        <w:r w:rsidR="00242E8D">
          <w:rPr>
            <w:webHidden/>
          </w:rPr>
          <w:tab/>
        </w:r>
        <w:r w:rsidR="00242E8D">
          <w:rPr>
            <w:webHidden/>
          </w:rPr>
          <w:fldChar w:fldCharType="begin"/>
        </w:r>
        <w:r w:rsidR="00242E8D">
          <w:rPr>
            <w:webHidden/>
          </w:rPr>
          <w:instrText xml:space="preserve"> PAGEREF _Toc68786517 \h </w:instrText>
        </w:r>
        <w:r w:rsidR="00242E8D">
          <w:rPr>
            <w:webHidden/>
          </w:rPr>
        </w:r>
        <w:r w:rsidR="00242E8D">
          <w:rPr>
            <w:webHidden/>
          </w:rPr>
          <w:fldChar w:fldCharType="separate"/>
        </w:r>
        <w:r w:rsidR="00B94D2F">
          <w:rPr>
            <w:webHidden/>
          </w:rPr>
          <w:t>343</w:t>
        </w:r>
        <w:r w:rsidR="00242E8D">
          <w:rPr>
            <w:webHidden/>
          </w:rPr>
          <w:fldChar w:fldCharType="end"/>
        </w:r>
      </w:hyperlink>
    </w:p>
    <w:p w14:paraId="519D51CE" w14:textId="2FB1EE13" w:rsidR="00242E8D" w:rsidRDefault="00087879">
      <w:pPr>
        <w:pStyle w:val="TableofFigures"/>
        <w:rPr>
          <w:rFonts w:asciiTheme="minorHAnsi" w:eastAsiaTheme="minorEastAsia" w:hAnsiTheme="minorHAnsi" w:cstheme="minorBidi"/>
          <w:sz w:val="22"/>
        </w:rPr>
      </w:pPr>
      <w:hyperlink w:anchor="_Toc68786518" w:history="1">
        <w:r w:rsidR="00242E8D" w:rsidRPr="00972364">
          <w:rPr>
            <w:rStyle w:val="Hyperlink"/>
          </w:rPr>
          <w:t>Table 6.9.4</w:t>
        </w:r>
        <w:r w:rsidR="00242E8D">
          <w:rPr>
            <w:rFonts w:asciiTheme="minorHAnsi" w:eastAsiaTheme="minorEastAsia" w:hAnsiTheme="minorHAnsi" w:cstheme="minorBidi"/>
            <w:sz w:val="22"/>
          </w:rPr>
          <w:tab/>
        </w:r>
        <w:r w:rsidR="00242E8D" w:rsidRPr="00972364">
          <w:rPr>
            <w:rStyle w:val="Hyperlink"/>
          </w:rPr>
          <w:t>Recalculations for New Zealand’s net emissions from the Other land category in 1990 and 2018</w:t>
        </w:r>
        <w:r w:rsidR="00242E8D">
          <w:rPr>
            <w:webHidden/>
          </w:rPr>
          <w:tab/>
        </w:r>
        <w:r w:rsidR="00242E8D">
          <w:rPr>
            <w:webHidden/>
          </w:rPr>
          <w:fldChar w:fldCharType="begin"/>
        </w:r>
        <w:r w:rsidR="00242E8D">
          <w:rPr>
            <w:webHidden/>
          </w:rPr>
          <w:instrText xml:space="preserve"> PAGEREF _Toc68786518 \h </w:instrText>
        </w:r>
        <w:r w:rsidR="00242E8D">
          <w:rPr>
            <w:webHidden/>
          </w:rPr>
        </w:r>
        <w:r w:rsidR="00242E8D">
          <w:rPr>
            <w:webHidden/>
          </w:rPr>
          <w:fldChar w:fldCharType="separate"/>
        </w:r>
        <w:r w:rsidR="00B94D2F">
          <w:rPr>
            <w:webHidden/>
          </w:rPr>
          <w:t>343</w:t>
        </w:r>
        <w:r w:rsidR="00242E8D">
          <w:rPr>
            <w:webHidden/>
          </w:rPr>
          <w:fldChar w:fldCharType="end"/>
        </w:r>
      </w:hyperlink>
    </w:p>
    <w:p w14:paraId="1B583D81" w14:textId="21D5FF2F" w:rsidR="00242E8D" w:rsidRDefault="00087879">
      <w:pPr>
        <w:pStyle w:val="TableofFigures"/>
        <w:rPr>
          <w:rFonts w:asciiTheme="minorHAnsi" w:eastAsiaTheme="minorEastAsia" w:hAnsiTheme="minorHAnsi" w:cstheme="minorBidi"/>
          <w:sz w:val="22"/>
        </w:rPr>
      </w:pPr>
      <w:hyperlink w:anchor="_Toc68786519" w:history="1">
        <w:r w:rsidR="00242E8D" w:rsidRPr="00972364">
          <w:rPr>
            <w:rStyle w:val="Hyperlink"/>
          </w:rPr>
          <w:t>Table 6.10.1</w:t>
        </w:r>
        <w:r w:rsidR="00242E8D">
          <w:rPr>
            <w:rFonts w:asciiTheme="minorHAnsi" w:eastAsiaTheme="minorEastAsia" w:hAnsiTheme="minorHAnsi" w:cstheme="minorBidi"/>
            <w:sz w:val="22"/>
          </w:rPr>
          <w:tab/>
        </w:r>
        <w:r w:rsidR="00242E8D" w:rsidRPr="00972364">
          <w:rPr>
            <w:rStyle w:val="Hyperlink"/>
          </w:rPr>
          <w:t>Country-specific conversion factors for Harvested wood products produced from New Zealand wood</w:t>
        </w:r>
        <w:r w:rsidR="00242E8D">
          <w:rPr>
            <w:webHidden/>
          </w:rPr>
          <w:tab/>
        </w:r>
        <w:r w:rsidR="00242E8D">
          <w:rPr>
            <w:webHidden/>
          </w:rPr>
          <w:fldChar w:fldCharType="begin"/>
        </w:r>
        <w:r w:rsidR="00242E8D">
          <w:rPr>
            <w:webHidden/>
          </w:rPr>
          <w:instrText xml:space="preserve"> PAGEREF _Toc68786519 \h </w:instrText>
        </w:r>
        <w:r w:rsidR="00242E8D">
          <w:rPr>
            <w:webHidden/>
          </w:rPr>
        </w:r>
        <w:r w:rsidR="00242E8D">
          <w:rPr>
            <w:webHidden/>
          </w:rPr>
          <w:fldChar w:fldCharType="separate"/>
        </w:r>
        <w:r w:rsidR="00B94D2F">
          <w:rPr>
            <w:webHidden/>
          </w:rPr>
          <w:t>345</w:t>
        </w:r>
        <w:r w:rsidR="00242E8D">
          <w:rPr>
            <w:webHidden/>
          </w:rPr>
          <w:fldChar w:fldCharType="end"/>
        </w:r>
      </w:hyperlink>
    </w:p>
    <w:p w14:paraId="233C4665" w14:textId="3433B18F" w:rsidR="00242E8D" w:rsidRDefault="00087879">
      <w:pPr>
        <w:pStyle w:val="TableofFigures"/>
        <w:rPr>
          <w:rFonts w:asciiTheme="minorHAnsi" w:eastAsiaTheme="minorEastAsia" w:hAnsiTheme="minorHAnsi" w:cstheme="minorBidi"/>
          <w:sz w:val="22"/>
        </w:rPr>
      </w:pPr>
      <w:hyperlink w:anchor="_Toc68786520" w:history="1">
        <w:r w:rsidR="00242E8D" w:rsidRPr="00972364">
          <w:rPr>
            <w:rStyle w:val="Hyperlink"/>
          </w:rPr>
          <w:t>Table 6.10.2</w:t>
        </w:r>
        <w:r w:rsidR="00242E8D">
          <w:rPr>
            <w:rFonts w:asciiTheme="minorHAnsi" w:eastAsiaTheme="minorEastAsia" w:hAnsiTheme="minorHAnsi" w:cstheme="minorBidi"/>
            <w:sz w:val="22"/>
          </w:rPr>
          <w:tab/>
        </w:r>
        <w:r w:rsidR="00242E8D" w:rsidRPr="00972364">
          <w:rPr>
            <w:rStyle w:val="Hyperlink"/>
          </w:rPr>
          <w:t>Uncertainty in Harvested wood products data and parameters</w:t>
        </w:r>
        <w:r w:rsidR="00242E8D">
          <w:rPr>
            <w:webHidden/>
          </w:rPr>
          <w:tab/>
        </w:r>
        <w:r w:rsidR="00242E8D">
          <w:rPr>
            <w:webHidden/>
          </w:rPr>
          <w:fldChar w:fldCharType="begin"/>
        </w:r>
        <w:r w:rsidR="00242E8D">
          <w:rPr>
            <w:webHidden/>
          </w:rPr>
          <w:instrText xml:space="preserve"> PAGEREF _Toc68786520 \h </w:instrText>
        </w:r>
        <w:r w:rsidR="00242E8D">
          <w:rPr>
            <w:webHidden/>
          </w:rPr>
        </w:r>
        <w:r w:rsidR="00242E8D">
          <w:rPr>
            <w:webHidden/>
          </w:rPr>
          <w:fldChar w:fldCharType="separate"/>
        </w:r>
        <w:r w:rsidR="00B94D2F">
          <w:rPr>
            <w:webHidden/>
          </w:rPr>
          <w:t>346</w:t>
        </w:r>
        <w:r w:rsidR="00242E8D">
          <w:rPr>
            <w:webHidden/>
          </w:rPr>
          <w:fldChar w:fldCharType="end"/>
        </w:r>
      </w:hyperlink>
    </w:p>
    <w:p w14:paraId="5A6563EF" w14:textId="43A24D16" w:rsidR="00242E8D" w:rsidRDefault="00087879">
      <w:pPr>
        <w:pStyle w:val="TableofFigures"/>
        <w:rPr>
          <w:rFonts w:asciiTheme="minorHAnsi" w:eastAsiaTheme="minorEastAsia" w:hAnsiTheme="minorHAnsi" w:cstheme="minorBidi"/>
          <w:sz w:val="22"/>
        </w:rPr>
      </w:pPr>
      <w:hyperlink w:anchor="_Toc68786521" w:history="1">
        <w:r w:rsidR="00242E8D" w:rsidRPr="00972364">
          <w:rPr>
            <w:rStyle w:val="Hyperlink"/>
          </w:rPr>
          <w:t>Table 6.10.3</w:t>
        </w:r>
        <w:r w:rsidR="00242E8D">
          <w:rPr>
            <w:rFonts w:asciiTheme="minorHAnsi" w:eastAsiaTheme="minorEastAsia" w:hAnsiTheme="minorHAnsi" w:cstheme="minorBidi"/>
            <w:sz w:val="22"/>
          </w:rPr>
          <w:tab/>
        </w:r>
        <w:r w:rsidR="00242E8D" w:rsidRPr="00972364">
          <w:rPr>
            <w:rStyle w:val="Hyperlink"/>
          </w:rPr>
          <w:t>Uncertainty in New Zealand’s 2019 estimates from emissions associated with Harvested wood products</w:t>
        </w:r>
        <w:r w:rsidR="00242E8D">
          <w:rPr>
            <w:webHidden/>
          </w:rPr>
          <w:tab/>
        </w:r>
        <w:r w:rsidR="00242E8D">
          <w:rPr>
            <w:webHidden/>
          </w:rPr>
          <w:fldChar w:fldCharType="begin"/>
        </w:r>
        <w:r w:rsidR="00242E8D">
          <w:rPr>
            <w:webHidden/>
          </w:rPr>
          <w:instrText xml:space="preserve"> PAGEREF _Toc68786521 \h </w:instrText>
        </w:r>
        <w:r w:rsidR="00242E8D">
          <w:rPr>
            <w:webHidden/>
          </w:rPr>
        </w:r>
        <w:r w:rsidR="00242E8D">
          <w:rPr>
            <w:webHidden/>
          </w:rPr>
          <w:fldChar w:fldCharType="separate"/>
        </w:r>
        <w:r w:rsidR="00B94D2F">
          <w:rPr>
            <w:webHidden/>
          </w:rPr>
          <w:t>346</w:t>
        </w:r>
        <w:r w:rsidR="00242E8D">
          <w:rPr>
            <w:webHidden/>
          </w:rPr>
          <w:fldChar w:fldCharType="end"/>
        </w:r>
      </w:hyperlink>
    </w:p>
    <w:p w14:paraId="7EB7C075" w14:textId="3808C972" w:rsidR="00242E8D" w:rsidRDefault="00087879">
      <w:pPr>
        <w:pStyle w:val="TableofFigures"/>
        <w:rPr>
          <w:rFonts w:asciiTheme="minorHAnsi" w:eastAsiaTheme="minorEastAsia" w:hAnsiTheme="minorHAnsi" w:cstheme="minorBidi"/>
          <w:sz w:val="22"/>
        </w:rPr>
      </w:pPr>
      <w:hyperlink w:anchor="_Toc68786522" w:history="1">
        <w:r w:rsidR="00242E8D" w:rsidRPr="00972364">
          <w:rPr>
            <w:rStyle w:val="Hyperlink"/>
          </w:rPr>
          <w:t>Table 6.10.4</w:t>
        </w:r>
        <w:r w:rsidR="00242E8D">
          <w:rPr>
            <w:rFonts w:asciiTheme="minorHAnsi" w:eastAsiaTheme="minorEastAsia" w:hAnsiTheme="minorHAnsi" w:cstheme="minorBidi"/>
            <w:sz w:val="22"/>
          </w:rPr>
          <w:tab/>
        </w:r>
        <w:r w:rsidR="00242E8D" w:rsidRPr="00972364">
          <w:rPr>
            <w:rStyle w:val="Hyperlink"/>
          </w:rPr>
          <w:t>Recalculations for New Zealand’s net emissions from the Harvested wood products category in 1990 and 2018</w:t>
        </w:r>
        <w:r w:rsidR="00242E8D">
          <w:rPr>
            <w:webHidden/>
          </w:rPr>
          <w:tab/>
        </w:r>
        <w:r w:rsidR="00242E8D">
          <w:rPr>
            <w:webHidden/>
          </w:rPr>
          <w:fldChar w:fldCharType="begin"/>
        </w:r>
        <w:r w:rsidR="00242E8D">
          <w:rPr>
            <w:webHidden/>
          </w:rPr>
          <w:instrText xml:space="preserve"> PAGEREF _Toc68786522 \h </w:instrText>
        </w:r>
        <w:r w:rsidR="00242E8D">
          <w:rPr>
            <w:webHidden/>
          </w:rPr>
        </w:r>
        <w:r w:rsidR="00242E8D">
          <w:rPr>
            <w:webHidden/>
          </w:rPr>
          <w:fldChar w:fldCharType="separate"/>
        </w:r>
        <w:r w:rsidR="00B94D2F">
          <w:rPr>
            <w:webHidden/>
          </w:rPr>
          <w:t>347</w:t>
        </w:r>
        <w:r w:rsidR="00242E8D">
          <w:rPr>
            <w:webHidden/>
          </w:rPr>
          <w:fldChar w:fldCharType="end"/>
        </w:r>
      </w:hyperlink>
    </w:p>
    <w:p w14:paraId="6A5F3346" w14:textId="571D45E8" w:rsidR="00242E8D" w:rsidRDefault="00087879">
      <w:pPr>
        <w:pStyle w:val="TableofFigures"/>
        <w:rPr>
          <w:rFonts w:asciiTheme="minorHAnsi" w:eastAsiaTheme="minorEastAsia" w:hAnsiTheme="minorHAnsi" w:cstheme="minorBidi"/>
          <w:sz w:val="22"/>
        </w:rPr>
      </w:pPr>
      <w:hyperlink w:anchor="_Toc68786523" w:history="1">
        <w:r w:rsidR="00242E8D" w:rsidRPr="00972364">
          <w:rPr>
            <w:rStyle w:val="Hyperlink"/>
          </w:rPr>
          <w:t>Table 6.11.1</w:t>
        </w:r>
        <w:r w:rsidR="00242E8D">
          <w:rPr>
            <w:rFonts w:asciiTheme="minorHAnsi" w:eastAsiaTheme="minorEastAsia" w:hAnsiTheme="minorHAnsi" w:cstheme="minorBidi"/>
            <w:sz w:val="22"/>
          </w:rPr>
          <w:tab/>
        </w:r>
        <w:r w:rsidR="00242E8D" w:rsidRPr="00972364">
          <w:rPr>
            <w:rStyle w:val="Hyperlink"/>
          </w:rPr>
          <w:t>Uncertainty in New Zealand’s 2018 estimates for N</w:t>
        </w:r>
        <w:r w:rsidR="00242E8D" w:rsidRPr="00972364">
          <w:rPr>
            <w:rStyle w:val="Hyperlink"/>
            <w:vertAlign w:val="subscript"/>
          </w:rPr>
          <w:t>2</w:t>
        </w:r>
        <w:r w:rsidR="00242E8D" w:rsidRPr="00972364">
          <w:rPr>
            <w:rStyle w:val="Hyperlink"/>
          </w:rPr>
          <w:t>O emissions from land</w:t>
        </w:r>
        <w:r w:rsidR="00242E8D" w:rsidRPr="00972364">
          <w:rPr>
            <w:rStyle w:val="Hyperlink"/>
          </w:rPr>
          <w:noBreakHyphen/>
          <w:t>use change</w:t>
        </w:r>
        <w:r w:rsidR="00242E8D">
          <w:rPr>
            <w:webHidden/>
          </w:rPr>
          <w:tab/>
        </w:r>
        <w:r w:rsidR="00242E8D">
          <w:rPr>
            <w:webHidden/>
          </w:rPr>
          <w:fldChar w:fldCharType="begin"/>
        </w:r>
        <w:r w:rsidR="00242E8D">
          <w:rPr>
            <w:webHidden/>
          </w:rPr>
          <w:instrText xml:space="preserve"> PAGEREF _Toc68786523 \h </w:instrText>
        </w:r>
        <w:r w:rsidR="00242E8D">
          <w:rPr>
            <w:webHidden/>
          </w:rPr>
        </w:r>
        <w:r w:rsidR="00242E8D">
          <w:rPr>
            <w:webHidden/>
          </w:rPr>
          <w:fldChar w:fldCharType="separate"/>
        </w:r>
        <w:r w:rsidR="00B94D2F">
          <w:rPr>
            <w:webHidden/>
          </w:rPr>
          <w:t>348</w:t>
        </w:r>
        <w:r w:rsidR="00242E8D">
          <w:rPr>
            <w:webHidden/>
          </w:rPr>
          <w:fldChar w:fldCharType="end"/>
        </w:r>
      </w:hyperlink>
    </w:p>
    <w:p w14:paraId="613EFE7C" w14:textId="0C5EABAD" w:rsidR="00242E8D" w:rsidRDefault="00087879">
      <w:pPr>
        <w:pStyle w:val="TableofFigures"/>
        <w:rPr>
          <w:rFonts w:asciiTheme="minorHAnsi" w:eastAsiaTheme="minorEastAsia" w:hAnsiTheme="minorHAnsi" w:cstheme="minorBidi"/>
          <w:sz w:val="22"/>
        </w:rPr>
      </w:pPr>
      <w:hyperlink w:anchor="_Toc68786524" w:history="1">
        <w:r w:rsidR="00242E8D" w:rsidRPr="00972364">
          <w:rPr>
            <w:rStyle w:val="Hyperlink"/>
          </w:rPr>
          <w:t>Table 6.11.2</w:t>
        </w:r>
        <w:r w:rsidR="00242E8D">
          <w:rPr>
            <w:rFonts w:asciiTheme="minorHAnsi" w:eastAsiaTheme="minorEastAsia" w:hAnsiTheme="minorHAnsi" w:cstheme="minorBidi"/>
            <w:sz w:val="22"/>
          </w:rPr>
          <w:tab/>
        </w:r>
        <w:r w:rsidR="00242E8D" w:rsidRPr="00972364">
          <w:rPr>
            <w:rStyle w:val="Hyperlink"/>
          </w:rPr>
          <w:t>Non-CO</w:t>
        </w:r>
        <w:r w:rsidR="00242E8D" w:rsidRPr="00972364">
          <w:rPr>
            <w:rStyle w:val="Hyperlink"/>
            <w:vertAlign w:val="subscript"/>
          </w:rPr>
          <w:t>2</w:t>
        </w:r>
        <w:r w:rsidR="00242E8D" w:rsidRPr="00972364">
          <w:rPr>
            <w:rStyle w:val="Hyperlink"/>
          </w:rPr>
          <w:t xml:space="preserve"> emissions from Biomass burning</w:t>
        </w:r>
        <w:r w:rsidR="00242E8D">
          <w:rPr>
            <w:webHidden/>
          </w:rPr>
          <w:tab/>
        </w:r>
        <w:r w:rsidR="00242E8D">
          <w:rPr>
            <w:webHidden/>
          </w:rPr>
          <w:fldChar w:fldCharType="begin"/>
        </w:r>
        <w:r w:rsidR="00242E8D">
          <w:rPr>
            <w:webHidden/>
          </w:rPr>
          <w:instrText xml:space="preserve"> PAGEREF _Toc68786524 \h </w:instrText>
        </w:r>
        <w:r w:rsidR="00242E8D">
          <w:rPr>
            <w:webHidden/>
          </w:rPr>
        </w:r>
        <w:r w:rsidR="00242E8D">
          <w:rPr>
            <w:webHidden/>
          </w:rPr>
          <w:fldChar w:fldCharType="separate"/>
        </w:r>
        <w:r w:rsidR="00B94D2F">
          <w:rPr>
            <w:webHidden/>
          </w:rPr>
          <w:t>349</w:t>
        </w:r>
        <w:r w:rsidR="00242E8D">
          <w:rPr>
            <w:webHidden/>
          </w:rPr>
          <w:fldChar w:fldCharType="end"/>
        </w:r>
      </w:hyperlink>
    </w:p>
    <w:p w14:paraId="48B5D721" w14:textId="629A2EA7" w:rsidR="00242E8D" w:rsidRDefault="00087879">
      <w:pPr>
        <w:pStyle w:val="TableofFigures"/>
        <w:rPr>
          <w:rFonts w:asciiTheme="minorHAnsi" w:eastAsiaTheme="minorEastAsia" w:hAnsiTheme="minorHAnsi" w:cstheme="minorBidi"/>
          <w:sz w:val="22"/>
        </w:rPr>
      </w:pPr>
      <w:hyperlink w:anchor="_Toc68786525" w:history="1">
        <w:r w:rsidR="00242E8D" w:rsidRPr="00972364">
          <w:rPr>
            <w:rStyle w:val="Hyperlink"/>
          </w:rPr>
          <w:t>Table 6.11.3</w:t>
        </w:r>
        <w:r w:rsidR="00242E8D">
          <w:rPr>
            <w:rFonts w:asciiTheme="minorHAnsi" w:eastAsiaTheme="minorEastAsia" w:hAnsiTheme="minorHAnsi" w:cstheme="minorBidi"/>
            <w:sz w:val="22"/>
          </w:rPr>
          <w:tab/>
        </w:r>
        <w:r w:rsidR="00242E8D" w:rsidRPr="00972364">
          <w:rPr>
            <w:rStyle w:val="Hyperlink"/>
          </w:rPr>
          <w:t>Uncertainty in New Zealand’s 2019 estimates for CH</w:t>
        </w:r>
        <w:r w:rsidR="00242E8D" w:rsidRPr="00972364">
          <w:rPr>
            <w:rStyle w:val="Hyperlink"/>
            <w:vertAlign w:val="subscript"/>
          </w:rPr>
          <w:t>4</w:t>
        </w:r>
        <w:r w:rsidR="00242E8D" w:rsidRPr="00972364">
          <w:rPr>
            <w:rStyle w:val="Hyperlink"/>
          </w:rPr>
          <w:t xml:space="preserve"> and N</w:t>
        </w:r>
        <w:r w:rsidR="00242E8D" w:rsidRPr="00972364">
          <w:rPr>
            <w:rStyle w:val="Hyperlink"/>
            <w:vertAlign w:val="subscript"/>
          </w:rPr>
          <w:t>2</w:t>
        </w:r>
        <w:r w:rsidR="00242E8D" w:rsidRPr="00972364">
          <w:rPr>
            <w:rStyle w:val="Hyperlink"/>
          </w:rPr>
          <w:t>O emissions from Biomass burning</w:t>
        </w:r>
        <w:r w:rsidR="00242E8D">
          <w:rPr>
            <w:webHidden/>
          </w:rPr>
          <w:tab/>
        </w:r>
        <w:r w:rsidR="00242E8D">
          <w:rPr>
            <w:webHidden/>
          </w:rPr>
          <w:fldChar w:fldCharType="begin"/>
        </w:r>
        <w:r w:rsidR="00242E8D">
          <w:rPr>
            <w:webHidden/>
          </w:rPr>
          <w:instrText xml:space="preserve"> PAGEREF _Toc68786525 \h </w:instrText>
        </w:r>
        <w:r w:rsidR="00242E8D">
          <w:rPr>
            <w:webHidden/>
          </w:rPr>
        </w:r>
        <w:r w:rsidR="00242E8D">
          <w:rPr>
            <w:webHidden/>
          </w:rPr>
          <w:fldChar w:fldCharType="separate"/>
        </w:r>
        <w:r w:rsidR="00B94D2F">
          <w:rPr>
            <w:webHidden/>
          </w:rPr>
          <w:t>352</w:t>
        </w:r>
        <w:r w:rsidR="00242E8D">
          <w:rPr>
            <w:webHidden/>
          </w:rPr>
          <w:fldChar w:fldCharType="end"/>
        </w:r>
      </w:hyperlink>
    </w:p>
    <w:p w14:paraId="030ADF0A" w14:textId="290700D0" w:rsidR="00242E8D" w:rsidRDefault="00087879">
      <w:pPr>
        <w:pStyle w:val="TableofFigures"/>
        <w:rPr>
          <w:rFonts w:asciiTheme="minorHAnsi" w:eastAsiaTheme="minorEastAsia" w:hAnsiTheme="minorHAnsi" w:cstheme="minorBidi"/>
          <w:sz w:val="22"/>
        </w:rPr>
      </w:pPr>
      <w:hyperlink w:anchor="_Toc68786526" w:history="1">
        <w:r w:rsidR="00242E8D" w:rsidRPr="00972364">
          <w:rPr>
            <w:rStyle w:val="Hyperlink"/>
          </w:rPr>
          <w:t xml:space="preserve">Table 7.1.1 </w:t>
        </w:r>
        <w:r w:rsidR="00242E8D">
          <w:rPr>
            <w:rFonts w:asciiTheme="minorHAnsi" w:eastAsiaTheme="minorEastAsia" w:hAnsiTheme="minorHAnsi" w:cstheme="minorBidi"/>
            <w:sz w:val="22"/>
          </w:rPr>
          <w:tab/>
        </w:r>
        <w:r w:rsidR="00242E8D" w:rsidRPr="00972364">
          <w:rPr>
            <w:rStyle w:val="Hyperlink"/>
          </w:rPr>
          <w:t>New Zealand’s greenhouse gas emissions for the Waste sector by source category in 1990 and 2019</w:t>
        </w:r>
        <w:r w:rsidR="00242E8D">
          <w:rPr>
            <w:webHidden/>
          </w:rPr>
          <w:tab/>
        </w:r>
        <w:r w:rsidR="00242E8D">
          <w:rPr>
            <w:webHidden/>
          </w:rPr>
          <w:fldChar w:fldCharType="begin"/>
        </w:r>
        <w:r w:rsidR="00242E8D">
          <w:rPr>
            <w:webHidden/>
          </w:rPr>
          <w:instrText xml:space="preserve"> PAGEREF _Toc68786526 \h </w:instrText>
        </w:r>
        <w:r w:rsidR="00242E8D">
          <w:rPr>
            <w:webHidden/>
          </w:rPr>
        </w:r>
        <w:r w:rsidR="00242E8D">
          <w:rPr>
            <w:webHidden/>
          </w:rPr>
          <w:fldChar w:fldCharType="separate"/>
        </w:r>
        <w:r w:rsidR="00B94D2F">
          <w:rPr>
            <w:webHidden/>
          </w:rPr>
          <w:t>364</w:t>
        </w:r>
        <w:r w:rsidR="00242E8D">
          <w:rPr>
            <w:webHidden/>
          </w:rPr>
          <w:fldChar w:fldCharType="end"/>
        </w:r>
      </w:hyperlink>
    </w:p>
    <w:p w14:paraId="531B3223" w14:textId="62182BF4" w:rsidR="00242E8D" w:rsidRDefault="00087879">
      <w:pPr>
        <w:pStyle w:val="TableofFigures"/>
        <w:rPr>
          <w:rFonts w:asciiTheme="minorHAnsi" w:eastAsiaTheme="minorEastAsia" w:hAnsiTheme="minorHAnsi" w:cstheme="minorBidi"/>
          <w:sz w:val="22"/>
        </w:rPr>
      </w:pPr>
      <w:hyperlink w:anchor="_Toc68786527" w:history="1">
        <w:r w:rsidR="00242E8D" w:rsidRPr="00972364">
          <w:rPr>
            <w:rStyle w:val="Hyperlink"/>
          </w:rPr>
          <w:t xml:space="preserve">Table 7.1.2 </w:t>
        </w:r>
        <w:r w:rsidR="00242E8D">
          <w:rPr>
            <w:rFonts w:asciiTheme="minorHAnsi" w:eastAsiaTheme="minorEastAsia" w:hAnsiTheme="minorHAnsi" w:cstheme="minorBidi"/>
            <w:sz w:val="22"/>
          </w:rPr>
          <w:tab/>
        </w:r>
        <w:r w:rsidR="00242E8D" w:rsidRPr="00972364">
          <w:rPr>
            <w:rStyle w:val="Hyperlink"/>
          </w:rPr>
          <w:t>Key categories in the Waste sector</w:t>
        </w:r>
        <w:r w:rsidR="00242E8D">
          <w:rPr>
            <w:webHidden/>
          </w:rPr>
          <w:tab/>
        </w:r>
        <w:r w:rsidR="00242E8D">
          <w:rPr>
            <w:webHidden/>
          </w:rPr>
          <w:fldChar w:fldCharType="begin"/>
        </w:r>
        <w:r w:rsidR="00242E8D">
          <w:rPr>
            <w:webHidden/>
          </w:rPr>
          <w:instrText xml:space="preserve"> PAGEREF _Toc68786527 \h </w:instrText>
        </w:r>
        <w:r w:rsidR="00242E8D">
          <w:rPr>
            <w:webHidden/>
          </w:rPr>
        </w:r>
        <w:r w:rsidR="00242E8D">
          <w:rPr>
            <w:webHidden/>
          </w:rPr>
          <w:fldChar w:fldCharType="separate"/>
        </w:r>
        <w:r w:rsidR="00B94D2F">
          <w:rPr>
            <w:webHidden/>
          </w:rPr>
          <w:t>365</w:t>
        </w:r>
        <w:r w:rsidR="00242E8D">
          <w:rPr>
            <w:webHidden/>
          </w:rPr>
          <w:fldChar w:fldCharType="end"/>
        </w:r>
      </w:hyperlink>
    </w:p>
    <w:p w14:paraId="555F48B3" w14:textId="463F260F" w:rsidR="00242E8D" w:rsidRDefault="00087879">
      <w:pPr>
        <w:pStyle w:val="TableofFigures"/>
        <w:rPr>
          <w:rFonts w:asciiTheme="minorHAnsi" w:eastAsiaTheme="minorEastAsia" w:hAnsiTheme="minorHAnsi" w:cstheme="minorBidi"/>
          <w:sz w:val="22"/>
        </w:rPr>
      </w:pPr>
      <w:hyperlink w:anchor="_Toc68786528" w:history="1">
        <w:r w:rsidR="00242E8D" w:rsidRPr="00972364">
          <w:rPr>
            <w:rStyle w:val="Hyperlink"/>
          </w:rPr>
          <w:t xml:space="preserve">Table 7.2.1 </w:t>
        </w:r>
        <w:r w:rsidR="00242E8D">
          <w:rPr>
            <w:rFonts w:asciiTheme="minorHAnsi" w:eastAsiaTheme="minorEastAsia" w:hAnsiTheme="minorHAnsi" w:cstheme="minorBidi"/>
            <w:sz w:val="22"/>
          </w:rPr>
          <w:tab/>
        </w:r>
        <w:r w:rsidR="00242E8D" w:rsidRPr="00972364">
          <w:rPr>
            <w:rStyle w:val="Hyperlink"/>
          </w:rPr>
          <w:t>Landfill emissions in the common reporting format table</w:t>
        </w:r>
        <w:r w:rsidR="00242E8D">
          <w:rPr>
            <w:webHidden/>
          </w:rPr>
          <w:tab/>
        </w:r>
        <w:r w:rsidR="00242E8D">
          <w:rPr>
            <w:webHidden/>
          </w:rPr>
          <w:fldChar w:fldCharType="begin"/>
        </w:r>
        <w:r w:rsidR="00242E8D">
          <w:rPr>
            <w:webHidden/>
          </w:rPr>
          <w:instrText xml:space="preserve"> PAGEREF _Toc68786528 \h </w:instrText>
        </w:r>
        <w:r w:rsidR="00242E8D">
          <w:rPr>
            <w:webHidden/>
          </w:rPr>
        </w:r>
        <w:r w:rsidR="00242E8D">
          <w:rPr>
            <w:webHidden/>
          </w:rPr>
          <w:fldChar w:fldCharType="separate"/>
        </w:r>
        <w:r w:rsidR="00B94D2F">
          <w:rPr>
            <w:webHidden/>
          </w:rPr>
          <w:t>367</w:t>
        </w:r>
        <w:r w:rsidR="00242E8D">
          <w:rPr>
            <w:webHidden/>
          </w:rPr>
          <w:fldChar w:fldCharType="end"/>
        </w:r>
      </w:hyperlink>
    </w:p>
    <w:p w14:paraId="4374DFA8" w14:textId="4DE15412" w:rsidR="00242E8D" w:rsidRDefault="00087879">
      <w:pPr>
        <w:pStyle w:val="TableofFigures"/>
        <w:rPr>
          <w:rFonts w:asciiTheme="minorHAnsi" w:eastAsiaTheme="minorEastAsia" w:hAnsiTheme="minorHAnsi" w:cstheme="minorBidi"/>
          <w:sz w:val="22"/>
        </w:rPr>
      </w:pPr>
      <w:hyperlink w:anchor="_Toc68786529" w:history="1">
        <w:r w:rsidR="00242E8D" w:rsidRPr="00972364">
          <w:rPr>
            <w:rStyle w:val="Hyperlink"/>
          </w:rPr>
          <w:t xml:space="preserve">Table 7.2.2 </w:t>
        </w:r>
        <w:r w:rsidR="00242E8D">
          <w:rPr>
            <w:rFonts w:asciiTheme="minorHAnsi" w:eastAsiaTheme="minorEastAsia" w:hAnsiTheme="minorHAnsi" w:cstheme="minorBidi"/>
            <w:sz w:val="22"/>
          </w:rPr>
          <w:tab/>
        </w:r>
        <w:r w:rsidR="00242E8D" w:rsidRPr="00972364">
          <w:rPr>
            <w:rStyle w:val="Hyperlink"/>
          </w:rPr>
          <w:t>Landfill categories in 2019</w:t>
        </w:r>
        <w:r w:rsidR="00242E8D">
          <w:rPr>
            <w:webHidden/>
          </w:rPr>
          <w:tab/>
        </w:r>
        <w:r w:rsidR="00242E8D">
          <w:rPr>
            <w:webHidden/>
          </w:rPr>
          <w:fldChar w:fldCharType="begin"/>
        </w:r>
        <w:r w:rsidR="00242E8D">
          <w:rPr>
            <w:webHidden/>
          </w:rPr>
          <w:instrText xml:space="preserve"> PAGEREF _Toc68786529 \h </w:instrText>
        </w:r>
        <w:r w:rsidR="00242E8D">
          <w:rPr>
            <w:webHidden/>
          </w:rPr>
        </w:r>
        <w:r w:rsidR="00242E8D">
          <w:rPr>
            <w:webHidden/>
          </w:rPr>
          <w:fldChar w:fldCharType="separate"/>
        </w:r>
        <w:r w:rsidR="00B94D2F">
          <w:rPr>
            <w:webHidden/>
          </w:rPr>
          <w:t>369</w:t>
        </w:r>
        <w:r w:rsidR="00242E8D">
          <w:rPr>
            <w:webHidden/>
          </w:rPr>
          <w:fldChar w:fldCharType="end"/>
        </w:r>
      </w:hyperlink>
    </w:p>
    <w:p w14:paraId="75B507B2" w14:textId="6DE50EF9" w:rsidR="00242E8D" w:rsidRDefault="00087879">
      <w:pPr>
        <w:pStyle w:val="TableofFigures"/>
        <w:rPr>
          <w:rFonts w:asciiTheme="minorHAnsi" w:eastAsiaTheme="minorEastAsia" w:hAnsiTheme="minorHAnsi" w:cstheme="minorBidi"/>
          <w:sz w:val="22"/>
        </w:rPr>
      </w:pPr>
      <w:hyperlink w:anchor="_Toc68786530" w:history="1">
        <w:r w:rsidR="00242E8D" w:rsidRPr="00972364">
          <w:rPr>
            <w:rStyle w:val="Hyperlink"/>
          </w:rPr>
          <w:t xml:space="preserve">Table 7.2.3 </w:t>
        </w:r>
        <w:r w:rsidR="00242E8D">
          <w:rPr>
            <w:rFonts w:asciiTheme="minorHAnsi" w:eastAsiaTheme="minorEastAsia" w:hAnsiTheme="minorHAnsi" w:cstheme="minorBidi"/>
            <w:sz w:val="22"/>
          </w:rPr>
          <w:tab/>
        </w:r>
        <w:r w:rsidR="00242E8D" w:rsidRPr="00972364">
          <w:rPr>
            <w:rStyle w:val="Hyperlink"/>
          </w:rPr>
          <w:t>Solid waste deposited to municipal and uncategorised landfills from 1950 to 2019</w:t>
        </w:r>
        <w:r w:rsidR="00242E8D">
          <w:rPr>
            <w:webHidden/>
          </w:rPr>
          <w:tab/>
        </w:r>
        <w:r w:rsidR="00242E8D">
          <w:rPr>
            <w:webHidden/>
          </w:rPr>
          <w:fldChar w:fldCharType="begin"/>
        </w:r>
        <w:r w:rsidR="00242E8D">
          <w:rPr>
            <w:webHidden/>
          </w:rPr>
          <w:instrText xml:space="preserve"> PAGEREF _Toc68786530 \h </w:instrText>
        </w:r>
        <w:r w:rsidR="00242E8D">
          <w:rPr>
            <w:webHidden/>
          </w:rPr>
        </w:r>
        <w:r w:rsidR="00242E8D">
          <w:rPr>
            <w:webHidden/>
          </w:rPr>
          <w:fldChar w:fldCharType="separate"/>
        </w:r>
        <w:r w:rsidR="00B94D2F">
          <w:rPr>
            <w:webHidden/>
          </w:rPr>
          <w:t>369</w:t>
        </w:r>
        <w:r w:rsidR="00242E8D">
          <w:rPr>
            <w:webHidden/>
          </w:rPr>
          <w:fldChar w:fldCharType="end"/>
        </w:r>
      </w:hyperlink>
    </w:p>
    <w:p w14:paraId="3CF5256F" w14:textId="493F015E" w:rsidR="00242E8D" w:rsidRDefault="00087879">
      <w:pPr>
        <w:pStyle w:val="TableofFigures"/>
        <w:rPr>
          <w:rFonts w:asciiTheme="minorHAnsi" w:eastAsiaTheme="minorEastAsia" w:hAnsiTheme="minorHAnsi" w:cstheme="minorBidi"/>
          <w:sz w:val="22"/>
        </w:rPr>
      </w:pPr>
      <w:hyperlink w:anchor="_Toc68786531" w:history="1">
        <w:r w:rsidR="00242E8D" w:rsidRPr="00972364">
          <w:rPr>
            <w:rStyle w:val="Hyperlink"/>
          </w:rPr>
          <w:t xml:space="preserve">Table 7.2.4 </w:t>
        </w:r>
        <w:r w:rsidR="00242E8D">
          <w:rPr>
            <w:rFonts w:asciiTheme="minorHAnsi" w:eastAsiaTheme="minorEastAsia" w:hAnsiTheme="minorHAnsi" w:cstheme="minorBidi"/>
            <w:sz w:val="22"/>
          </w:rPr>
          <w:tab/>
        </w:r>
        <w:r w:rsidR="00242E8D" w:rsidRPr="00972364">
          <w:rPr>
            <w:rStyle w:val="Hyperlink"/>
          </w:rPr>
          <w:t>Solid waste deposited to unmanaged landfills from 1950 to 2019</w:t>
        </w:r>
        <w:r w:rsidR="00242E8D">
          <w:rPr>
            <w:webHidden/>
          </w:rPr>
          <w:tab/>
        </w:r>
        <w:r w:rsidR="00242E8D">
          <w:rPr>
            <w:webHidden/>
          </w:rPr>
          <w:fldChar w:fldCharType="begin"/>
        </w:r>
        <w:r w:rsidR="00242E8D">
          <w:rPr>
            <w:webHidden/>
          </w:rPr>
          <w:instrText xml:space="preserve"> PAGEREF _Toc68786531 \h </w:instrText>
        </w:r>
        <w:r w:rsidR="00242E8D">
          <w:rPr>
            <w:webHidden/>
          </w:rPr>
        </w:r>
        <w:r w:rsidR="00242E8D">
          <w:rPr>
            <w:webHidden/>
          </w:rPr>
          <w:fldChar w:fldCharType="separate"/>
        </w:r>
        <w:r w:rsidR="00B94D2F">
          <w:rPr>
            <w:webHidden/>
          </w:rPr>
          <w:t>372</w:t>
        </w:r>
        <w:r w:rsidR="00242E8D">
          <w:rPr>
            <w:webHidden/>
          </w:rPr>
          <w:fldChar w:fldCharType="end"/>
        </w:r>
      </w:hyperlink>
    </w:p>
    <w:p w14:paraId="23A9F136" w14:textId="3896387D" w:rsidR="00242E8D" w:rsidRDefault="00087879">
      <w:pPr>
        <w:pStyle w:val="TableofFigures"/>
        <w:rPr>
          <w:rFonts w:asciiTheme="minorHAnsi" w:eastAsiaTheme="minorEastAsia" w:hAnsiTheme="minorHAnsi" w:cstheme="minorBidi"/>
          <w:sz w:val="22"/>
        </w:rPr>
      </w:pPr>
      <w:hyperlink w:anchor="_Toc68786532" w:history="1">
        <w:r w:rsidR="00242E8D" w:rsidRPr="00972364">
          <w:rPr>
            <w:rStyle w:val="Hyperlink"/>
          </w:rPr>
          <w:t xml:space="preserve">Table 7.2.5 </w:t>
        </w:r>
        <w:r w:rsidR="00242E8D">
          <w:rPr>
            <w:rFonts w:asciiTheme="minorHAnsi" w:eastAsiaTheme="minorEastAsia" w:hAnsiTheme="minorHAnsi" w:cstheme="minorBidi"/>
            <w:sz w:val="22"/>
          </w:rPr>
          <w:tab/>
        </w:r>
        <w:r w:rsidR="00242E8D" w:rsidRPr="00972364">
          <w:rPr>
            <w:rStyle w:val="Hyperlink"/>
          </w:rPr>
          <w:t>Estimated composition of waste to municipal landfills from 1950 to 2019</w:t>
        </w:r>
        <w:r w:rsidR="00242E8D">
          <w:rPr>
            <w:webHidden/>
          </w:rPr>
          <w:tab/>
        </w:r>
        <w:r w:rsidR="00242E8D">
          <w:rPr>
            <w:webHidden/>
          </w:rPr>
          <w:fldChar w:fldCharType="begin"/>
        </w:r>
        <w:r w:rsidR="00242E8D">
          <w:rPr>
            <w:webHidden/>
          </w:rPr>
          <w:instrText xml:space="preserve"> PAGEREF _Toc68786532 \h </w:instrText>
        </w:r>
        <w:r w:rsidR="00242E8D">
          <w:rPr>
            <w:webHidden/>
          </w:rPr>
        </w:r>
        <w:r w:rsidR="00242E8D">
          <w:rPr>
            <w:webHidden/>
          </w:rPr>
          <w:fldChar w:fldCharType="separate"/>
        </w:r>
        <w:r w:rsidR="00B94D2F">
          <w:rPr>
            <w:webHidden/>
          </w:rPr>
          <w:t>375</w:t>
        </w:r>
        <w:r w:rsidR="00242E8D">
          <w:rPr>
            <w:webHidden/>
          </w:rPr>
          <w:fldChar w:fldCharType="end"/>
        </w:r>
      </w:hyperlink>
    </w:p>
    <w:p w14:paraId="49976EF2" w14:textId="4179331F" w:rsidR="00242E8D" w:rsidRDefault="00087879">
      <w:pPr>
        <w:pStyle w:val="TableofFigures"/>
        <w:rPr>
          <w:rFonts w:asciiTheme="minorHAnsi" w:eastAsiaTheme="minorEastAsia" w:hAnsiTheme="minorHAnsi" w:cstheme="minorBidi"/>
          <w:sz w:val="22"/>
        </w:rPr>
      </w:pPr>
      <w:hyperlink w:anchor="_Toc68786533" w:history="1">
        <w:r w:rsidR="00242E8D" w:rsidRPr="00972364">
          <w:rPr>
            <w:rStyle w:val="Hyperlink"/>
            <w:rFonts w:cs="Arial"/>
          </w:rPr>
          <w:t>Table 7.2.6</w:t>
        </w:r>
        <w:r w:rsidR="00242E8D">
          <w:rPr>
            <w:rFonts w:asciiTheme="minorHAnsi" w:eastAsiaTheme="minorEastAsia" w:hAnsiTheme="minorHAnsi" w:cstheme="minorBidi"/>
            <w:sz w:val="22"/>
          </w:rPr>
          <w:tab/>
        </w:r>
        <w:r w:rsidR="00242E8D" w:rsidRPr="00972364">
          <w:rPr>
            <w:rStyle w:val="Hyperlink"/>
            <w:rFonts w:cs="Arial"/>
          </w:rPr>
          <w:t>Parameters by waste type that determine the quantity and rate of methane generation</w:t>
        </w:r>
        <w:r w:rsidR="00242E8D">
          <w:rPr>
            <w:webHidden/>
          </w:rPr>
          <w:tab/>
        </w:r>
        <w:r w:rsidR="00242E8D">
          <w:rPr>
            <w:webHidden/>
          </w:rPr>
          <w:fldChar w:fldCharType="begin"/>
        </w:r>
        <w:r w:rsidR="00242E8D">
          <w:rPr>
            <w:webHidden/>
          </w:rPr>
          <w:instrText xml:space="preserve"> PAGEREF _Toc68786533 \h </w:instrText>
        </w:r>
        <w:r w:rsidR="00242E8D">
          <w:rPr>
            <w:webHidden/>
          </w:rPr>
        </w:r>
        <w:r w:rsidR="00242E8D">
          <w:rPr>
            <w:webHidden/>
          </w:rPr>
          <w:fldChar w:fldCharType="separate"/>
        </w:r>
        <w:r w:rsidR="00B94D2F">
          <w:rPr>
            <w:webHidden/>
          </w:rPr>
          <w:t>376</w:t>
        </w:r>
        <w:r w:rsidR="00242E8D">
          <w:rPr>
            <w:webHidden/>
          </w:rPr>
          <w:fldChar w:fldCharType="end"/>
        </w:r>
      </w:hyperlink>
    </w:p>
    <w:p w14:paraId="51881AF2" w14:textId="7AAE12C0" w:rsidR="00242E8D" w:rsidRDefault="00087879">
      <w:pPr>
        <w:pStyle w:val="TableofFigures"/>
        <w:rPr>
          <w:rFonts w:asciiTheme="minorHAnsi" w:eastAsiaTheme="minorEastAsia" w:hAnsiTheme="minorHAnsi" w:cstheme="minorBidi"/>
          <w:sz w:val="22"/>
        </w:rPr>
      </w:pPr>
      <w:hyperlink w:anchor="_Toc68786534" w:history="1">
        <w:r w:rsidR="00242E8D" w:rsidRPr="00972364">
          <w:rPr>
            <w:rStyle w:val="Hyperlink"/>
          </w:rPr>
          <w:t xml:space="preserve">Table 7.2.7 </w:t>
        </w:r>
        <w:r w:rsidR="00242E8D">
          <w:rPr>
            <w:rFonts w:asciiTheme="minorHAnsi" w:eastAsiaTheme="minorEastAsia" w:hAnsiTheme="minorHAnsi" w:cstheme="minorBidi"/>
            <w:sz w:val="22"/>
          </w:rPr>
          <w:tab/>
        </w:r>
        <w:r w:rsidR="00242E8D" w:rsidRPr="00972364">
          <w:rPr>
            <w:rStyle w:val="Hyperlink"/>
          </w:rPr>
          <w:t>Summary of parameters for municipal landfills</w:t>
        </w:r>
        <w:r w:rsidR="00242E8D">
          <w:rPr>
            <w:webHidden/>
          </w:rPr>
          <w:tab/>
        </w:r>
        <w:r w:rsidR="00242E8D">
          <w:rPr>
            <w:webHidden/>
          </w:rPr>
          <w:fldChar w:fldCharType="begin"/>
        </w:r>
        <w:r w:rsidR="00242E8D">
          <w:rPr>
            <w:webHidden/>
          </w:rPr>
          <w:instrText xml:space="preserve"> PAGEREF _Toc68786534 \h </w:instrText>
        </w:r>
        <w:r w:rsidR="00242E8D">
          <w:rPr>
            <w:webHidden/>
          </w:rPr>
        </w:r>
        <w:r w:rsidR="00242E8D">
          <w:rPr>
            <w:webHidden/>
          </w:rPr>
          <w:fldChar w:fldCharType="separate"/>
        </w:r>
        <w:r w:rsidR="00B94D2F">
          <w:rPr>
            <w:webHidden/>
          </w:rPr>
          <w:t>377</w:t>
        </w:r>
        <w:r w:rsidR="00242E8D">
          <w:rPr>
            <w:webHidden/>
          </w:rPr>
          <w:fldChar w:fldCharType="end"/>
        </w:r>
      </w:hyperlink>
    </w:p>
    <w:p w14:paraId="6D7E985E" w14:textId="6F0B26F9" w:rsidR="00242E8D" w:rsidRDefault="00087879">
      <w:pPr>
        <w:pStyle w:val="TableofFigures"/>
        <w:rPr>
          <w:rFonts w:asciiTheme="minorHAnsi" w:eastAsiaTheme="minorEastAsia" w:hAnsiTheme="minorHAnsi" w:cstheme="minorBidi"/>
          <w:sz w:val="22"/>
        </w:rPr>
      </w:pPr>
      <w:hyperlink w:anchor="_Toc68786535" w:history="1">
        <w:r w:rsidR="00242E8D" w:rsidRPr="00972364">
          <w:rPr>
            <w:rStyle w:val="Hyperlink"/>
          </w:rPr>
          <w:t>Table 7.2.8</w:t>
        </w:r>
        <w:r w:rsidR="00242E8D">
          <w:rPr>
            <w:rFonts w:asciiTheme="minorHAnsi" w:eastAsiaTheme="minorEastAsia" w:hAnsiTheme="minorHAnsi" w:cstheme="minorBidi"/>
            <w:sz w:val="22"/>
          </w:rPr>
          <w:tab/>
        </w:r>
        <w:r w:rsidR="00242E8D" w:rsidRPr="00972364">
          <w:rPr>
            <w:rStyle w:val="Hyperlink"/>
          </w:rPr>
          <w:t>Summary of parameters for non-municipal landfills and farm fills</w:t>
        </w:r>
        <w:r w:rsidR="00242E8D">
          <w:rPr>
            <w:webHidden/>
          </w:rPr>
          <w:tab/>
        </w:r>
        <w:r w:rsidR="00242E8D">
          <w:rPr>
            <w:webHidden/>
          </w:rPr>
          <w:fldChar w:fldCharType="begin"/>
        </w:r>
        <w:r w:rsidR="00242E8D">
          <w:rPr>
            <w:webHidden/>
          </w:rPr>
          <w:instrText xml:space="preserve"> PAGEREF _Toc68786535 \h </w:instrText>
        </w:r>
        <w:r w:rsidR="00242E8D">
          <w:rPr>
            <w:webHidden/>
          </w:rPr>
        </w:r>
        <w:r w:rsidR="00242E8D">
          <w:rPr>
            <w:webHidden/>
          </w:rPr>
          <w:fldChar w:fldCharType="separate"/>
        </w:r>
        <w:r w:rsidR="00B94D2F">
          <w:rPr>
            <w:webHidden/>
          </w:rPr>
          <w:t>379</w:t>
        </w:r>
        <w:r w:rsidR="00242E8D">
          <w:rPr>
            <w:webHidden/>
          </w:rPr>
          <w:fldChar w:fldCharType="end"/>
        </w:r>
      </w:hyperlink>
    </w:p>
    <w:p w14:paraId="2CA841EA" w14:textId="37D750C2" w:rsidR="00242E8D" w:rsidRDefault="00087879">
      <w:pPr>
        <w:pStyle w:val="TableofFigures"/>
        <w:rPr>
          <w:rFonts w:asciiTheme="minorHAnsi" w:eastAsiaTheme="minorEastAsia" w:hAnsiTheme="minorHAnsi" w:cstheme="minorBidi"/>
          <w:sz w:val="22"/>
        </w:rPr>
      </w:pPr>
      <w:hyperlink w:anchor="_Toc68786536" w:history="1">
        <w:r w:rsidR="00242E8D" w:rsidRPr="00972364">
          <w:rPr>
            <w:rStyle w:val="Hyperlink"/>
          </w:rPr>
          <w:t>Table 7.2.9</w:t>
        </w:r>
        <w:r w:rsidR="00242E8D">
          <w:rPr>
            <w:rFonts w:asciiTheme="minorHAnsi" w:eastAsiaTheme="minorEastAsia" w:hAnsiTheme="minorHAnsi" w:cstheme="minorBidi"/>
            <w:sz w:val="22"/>
          </w:rPr>
          <w:tab/>
        </w:r>
        <w:r w:rsidR="00242E8D" w:rsidRPr="00972364">
          <w:rPr>
            <w:rStyle w:val="Hyperlink"/>
          </w:rPr>
          <w:t>Uncertainty in emissions from Solid waste disposal</w:t>
        </w:r>
        <w:r w:rsidR="00242E8D">
          <w:rPr>
            <w:webHidden/>
          </w:rPr>
          <w:tab/>
        </w:r>
        <w:r w:rsidR="00242E8D">
          <w:rPr>
            <w:webHidden/>
          </w:rPr>
          <w:fldChar w:fldCharType="begin"/>
        </w:r>
        <w:r w:rsidR="00242E8D">
          <w:rPr>
            <w:webHidden/>
          </w:rPr>
          <w:instrText xml:space="preserve"> PAGEREF _Toc68786536 \h </w:instrText>
        </w:r>
        <w:r w:rsidR="00242E8D">
          <w:rPr>
            <w:webHidden/>
          </w:rPr>
        </w:r>
        <w:r w:rsidR="00242E8D">
          <w:rPr>
            <w:webHidden/>
          </w:rPr>
          <w:fldChar w:fldCharType="separate"/>
        </w:r>
        <w:r w:rsidR="00B94D2F">
          <w:rPr>
            <w:webHidden/>
          </w:rPr>
          <w:t>379</w:t>
        </w:r>
        <w:r w:rsidR="00242E8D">
          <w:rPr>
            <w:webHidden/>
          </w:rPr>
          <w:fldChar w:fldCharType="end"/>
        </w:r>
      </w:hyperlink>
    </w:p>
    <w:p w14:paraId="4DF579E9" w14:textId="30E3DC50" w:rsidR="00242E8D" w:rsidRDefault="00087879">
      <w:pPr>
        <w:pStyle w:val="TableofFigures"/>
        <w:rPr>
          <w:rFonts w:asciiTheme="minorHAnsi" w:eastAsiaTheme="minorEastAsia" w:hAnsiTheme="minorHAnsi" w:cstheme="minorBidi"/>
          <w:sz w:val="22"/>
        </w:rPr>
      </w:pPr>
      <w:hyperlink w:anchor="_Toc68786537" w:history="1">
        <w:r w:rsidR="00242E8D" w:rsidRPr="00972364">
          <w:rPr>
            <w:rStyle w:val="Hyperlink"/>
          </w:rPr>
          <w:t xml:space="preserve">Table 7.3.1 </w:t>
        </w:r>
        <w:r w:rsidR="00242E8D">
          <w:rPr>
            <w:rFonts w:asciiTheme="minorHAnsi" w:eastAsiaTheme="minorEastAsia" w:hAnsiTheme="minorHAnsi" w:cstheme="minorBidi"/>
            <w:sz w:val="22"/>
          </w:rPr>
          <w:tab/>
        </w:r>
        <w:r w:rsidR="00242E8D" w:rsidRPr="00972364">
          <w:rPr>
            <w:rStyle w:val="Hyperlink"/>
          </w:rPr>
          <w:t>Emission factors applied to estimate emissions from composting</w:t>
        </w:r>
        <w:r w:rsidR="00242E8D">
          <w:rPr>
            <w:webHidden/>
          </w:rPr>
          <w:tab/>
        </w:r>
        <w:r w:rsidR="00242E8D">
          <w:rPr>
            <w:webHidden/>
          </w:rPr>
          <w:fldChar w:fldCharType="begin"/>
        </w:r>
        <w:r w:rsidR="00242E8D">
          <w:rPr>
            <w:webHidden/>
          </w:rPr>
          <w:instrText xml:space="preserve"> PAGEREF _Toc68786537 \h </w:instrText>
        </w:r>
        <w:r w:rsidR="00242E8D">
          <w:rPr>
            <w:webHidden/>
          </w:rPr>
        </w:r>
        <w:r w:rsidR="00242E8D">
          <w:rPr>
            <w:webHidden/>
          </w:rPr>
          <w:fldChar w:fldCharType="separate"/>
        </w:r>
        <w:r w:rsidR="00B94D2F">
          <w:rPr>
            <w:webHidden/>
          </w:rPr>
          <w:t>381</w:t>
        </w:r>
        <w:r w:rsidR="00242E8D">
          <w:rPr>
            <w:webHidden/>
          </w:rPr>
          <w:fldChar w:fldCharType="end"/>
        </w:r>
      </w:hyperlink>
    </w:p>
    <w:p w14:paraId="5D52B98F" w14:textId="636108AF" w:rsidR="00242E8D" w:rsidRDefault="00087879">
      <w:pPr>
        <w:pStyle w:val="TableofFigures"/>
        <w:rPr>
          <w:rFonts w:asciiTheme="minorHAnsi" w:eastAsiaTheme="minorEastAsia" w:hAnsiTheme="minorHAnsi" w:cstheme="minorBidi"/>
          <w:sz w:val="22"/>
        </w:rPr>
      </w:pPr>
      <w:hyperlink w:anchor="_Toc68786538" w:history="1">
        <w:r w:rsidR="00242E8D" w:rsidRPr="00972364">
          <w:rPr>
            <w:rStyle w:val="Hyperlink"/>
          </w:rPr>
          <w:t>Table 7.3.2</w:t>
        </w:r>
        <w:r w:rsidR="00242E8D">
          <w:rPr>
            <w:rFonts w:asciiTheme="minorHAnsi" w:eastAsiaTheme="minorEastAsia" w:hAnsiTheme="minorHAnsi" w:cstheme="minorBidi"/>
            <w:sz w:val="22"/>
          </w:rPr>
          <w:tab/>
        </w:r>
        <w:r w:rsidR="00242E8D" w:rsidRPr="00972364">
          <w:rPr>
            <w:rStyle w:val="Hyperlink"/>
          </w:rPr>
          <w:t>Uncertainty in emissions from compost</w:t>
        </w:r>
        <w:r w:rsidR="00242E8D">
          <w:rPr>
            <w:webHidden/>
          </w:rPr>
          <w:tab/>
        </w:r>
        <w:r w:rsidR="00242E8D">
          <w:rPr>
            <w:webHidden/>
          </w:rPr>
          <w:fldChar w:fldCharType="begin"/>
        </w:r>
        <w:r w:rsidR="00242E8D">
          <w:rPr>
            <w:webHidden/>
          </w:rPr>
          <w:instrText xml:space="preserve"> PAGEREF _Toc68786538 \h </w:instrText>
        </w:r>
        <w:r w:rsidR="00242E8D">
          <w:rPr>
            <w:webHidden/>
          </w:rPr>
        </w:r>
        <w:r w:rsidR="00242E8D">
          <w:rPr>
            <w:webHidden/>
          </w:rPr>
          <w:fldChar w:fldCharType="separate"/>
        </w:r>
        <w:r w:rsidR="00B94D2F">
          <w:rPr>
            <w:webHidden/>
          </w:rPr>
          <w:t>382</w:t>
        </w:r>
        <w:r w:rsidR="00242E8D">
          <w:rPr>
            <w:webHidden/>
          </w:rPr>
          <w:fldChar w:fldCharType="end"/>
        </w:r>
      </w:hyperlink>
    </w:p>
    <w:p w14:paraId="49A57B97" w14:textId="6893B387" w:rsidR="00242E8D" w:rsidRDefault="00087879">
      <w:pPr>
        <w:pStyle w:val="TableofFigures"/>
        <w:rPr>
          <w:rFonts w:asciiTheme="minorHAnsi" w:eastAsiaTheme="minorEastAsia" w:hAnsiTheme="minorHAnsi" w:cstheme="minorBidi"/>
          <w:sz w:val="22"/>
        </w:rPr>
      </w:pPr>
      <w:hyperlink w:anchor="_Toc68786539" w:history="1">
        <w:r w:rsidR="00242E8D" w:rsidRPr="00972364">
          <w:rPr>
            <w:rStyle w:val="Hyperlink"/>
            <w:rFonts w:cs="Arial"/>
          </w:rPr>
          <w:t xml:space="preserve">Table 7.4.1 </w:t>
        </w:r>
        <w:r w:rsidR="00242E8D">
          <w:rPr>
            <w:rFonts w:asciiTheme="minorHAnsi" w:eastAsiaTheme="minorEastAsia" w:hAnsiTheme="minorHAnsi" w:cstheme="minorBidi"/>
            <w:sz w:val="22"/>
          </w:rPr>
          <w:tab/>
        </w:r>
        <w:r w:rsidR="00242E8D" w:rsidRPr="00972364">
          <w:rPr>
            <w:rStyle w:val="Hyperlink"/>
            <w:rFonts w:cs="Arial"/>
          </w:rPr>
          <w:t>Emissions from Incineration and open burning of waste (5.C)</w:t>
        </w:r>
        <w:r w:rsidR="00242E8D">
          <w:rPr>
            <w:webHidden/>
          </w:rPr>
          <w:tab/>
        </w:r>
        <w:r w:rsidR="00242E8D">
          <w:rPr>
            <w:webHidden/>
          </w:rPr>
          <w:fldChar w:fldCharType="begin"/>
        </w:r>
        <w:r w:rsidR="00242E8D">
          <w:rPr>
            <w:webHidden/>
          </w:rPr>
          <w:instrText xml:space="preserve"> PAGEREF _Toc68786539 \h </w:instrText>
        </w:r>
        <w:r w:rsidR="00242E8D">
          <w:rPr>
            <w:webHidden/>
          </w:rPr>
        </w:r>
        <w:r w:rsidR="00242E8D">
          <w:rPr>
            <w:webHidden/>
          </w:rPr>
          <w:fldChar w:fldCharType="separate"/>
        </w:r>
        <w:r w:rsidR="00B94D2F">
          <w:rPr>
            <w:webHidden/>
          </w:rPr>
          <w:t>383</w:t>
        </w:r>
        <w:r w:rsidR="00242E8D">
          <w:rPr>
            <w:webHidden/>
          </w:rPr>
          <w:fldChar w:fldCharType="end"/>
        </w:r>
      </w:hyperlink>
    </w:p>
    <w:p w14:paraId="6C83251F" w14:textId="18FADD35" w:rsidR="00242E8D" w:rsidRDefault="00087879">
      <w:pPr>
        <w:pStyle w:val="TableofFigures"/>
        <w:rPr>
          <w:rFonts w:asciiTheme="minorHAnsi" w:eastAsiaTheme="minorEastAsia" w:hAnsiTheme="minorHAnsi" w:cstheme="minorBidi"/>
          <w:sz w:val="22"/>
        </w:rPr>
      </w:pPr>
      <w:hyperlink w:anchor="_Toc68786540" w:history="1">
        <w:r w:rsidR="00242E8D" w:rsidRPr="00972364">
          <w:rPr>
            <w:rStyle w:val="Hyperlink"/>
          </w:rPr>
          <w:t xml:space="preserve">Table 7.4.2 </w:t>
        </w:r>
        <w:r w:rsidR="00242E8D">
          <w:rPr>
            <w:rFonts w:asciiTheme="minorHAnsi" w:eastAsiaTheme="minorEastAsia" w:hAnsiTheme="minorHAnsi" w:cstheme="minorBidi"/>
            <w:sz w:val="22"/>
          </w:rPr>
          <w:tab/>
        </w:r>
        <w:r w:rsidR="00242E8D" w:rsidRPr="00972364">
          <w:rPr>
            <w:rStyle w:val="Hyperlink"/>
          </w:rPr>
          <w:t>Amounts of waste incinerated from 1990 to 2019</w:t>
        </w:r>
        <w:r w:rsidR="00242E8D">
          <w:rPr>
            <w:webHidden/>
          </w:rPr>
          <w:tab/>
        </w:r>
        <w:r w:rsidR="00242E8D">
          <w:rPr>
            <w:webHidden/>
          </w:rPr>
          <w:fldChar w:fldCharType="begin"/>
        </w:r>
        <w:r w:rsidR="00242E8D">
          <w:rPr>
            <w:webHidden/>
          </w:rPr>
          <w:instrText xml:space="preserve"> PAGEREF _Toc68786540 \h </w:instrText>
        </w:r>
        <w:r w:rsidR="00242E8D">
          <w:rPr>
            <w:webHidden/>
          </w:rPr>
        </w:r>
        <w:r w:rsidR="00242E8D">
          <w:rPr>
            <w:webHidden/>
          </w:rPr>
          <w:fldChar w:fldCharType="separate"/>
        </w:r>
        <w:r w:rsidR="00B94D2F">
          <w:rPr>
            <w:webHidden/>
          </w:rPr>
          <w:t>383</w:t>
        </w:r>
        <w:r w:rsidR="00242E8D">
          <w:rPr>
            <w:webHidden/>
          </w:rPr>
          <w:fldChar w:fldCharType="end"/>
        </w:r>
      </w:hyperlink>
    </w:p>
    <w:p w14:paraId="7E340B39" w14:textId="3A262DD1" w:rsidR="00242E8D" w:rsidRDefault="00087879">
      <w:pPr>
        <w:pStyle w:val="TableofFigures"/>
        <w:rPr>
          <w:rFonts w:asciiTheme="minorHAnsi" w:eastAsiaTheme="minorEastAsia" w:hAnsiTheme="minorHAnsi" w:cstheme="minorBidi"/>
          <w:sz w:val="22"/>
        </w:rPr>
      </w:pPr>
      <w:hyperlink w:anchor="_Toc68786541" w:history="1">
        <w:r w:rsidR="00242E8D" w:rsidRPr="00972364">
          <w:rPr>
            <w:rStyle w:val="Hyperlink"/>
          </w:rPr>
          <w:t>Table 7.4.3</w:t>
        </w:r>
        <w:r w:rsidR="00242E8D">
          <w:rPr>
            <w:rFonts w:asciiTheme="minorHAnsi" w:eastAsiaTheme="minorEastAsia" w:hAnsiTheme="minorHAnsi" w:cstheme="minorBidi"/>
            <w:sz w:val="22"/>
          </w:rPr>
          <w:tab/>
        </w:r>
        <w:r w:rsidR="00242E8D" w:rsidRPr="00972364">
          <w:rPr>
            <w:rStyle w:val="Hyperlink"/>
          </w:rPr>
          <w:t>Values applied to estimate carbon dioxide emissions from open burning of rural waste</w:t>
        </w:r>
        <w:r w:rsidR="00242E8D">
          <w:rPr>
            <w:webHidden/>
          </w:rPr>
          <w:tab/>
        </w:r>
        <w:r w:rsidR="00242E8D">
          <w:rPr>
            <w:webHidden/>
          </w:rPr>
          <w:fldChar w:fldCharType="begin"/>
        </w:r>
        <w:r w:rsidR="00242E8D">
          <w:rPr>
            <w:webHidden/>
          </w:rPr>
          <w:instrText xml:space="preserve"> PAGEREF _Toc68786541 \h </w:instrText>
        </w:r>
        <w:r w:rsidR="00242E8D">
          <w:rPr>
            <w:webHidden/>
          </w:rPr>
        </w:r>
        <w:r w:rsidR="00242E8D">
          <w:rPr>
            <w:webHidden/>
          </w:rPr>
          <w:fldChar w:fldCharType="separate"/>
        </w:r>
        <w:r w:rsidR="00B94D2F">
          <w:rPr>
            <w:webHidden/>
          </w:rPr>
          <w:t>385</w:t>
        </w:r>
        <w:r w:rsidR="00242E8D">
          <w:rPr>
            <w:webHidden/>
          </w:rPr>
          <w:fldChar w:fldCharType="end"/>
        </w:r>
      </w:hyperlink>
    </w:p>
    <w:p w14:paraId="2D9F7861" w14:textId="73541EAA" w:rsidR="00242E8D" w:rsidRDefault="00087879">
      <w:pPr>
        <w:pStyle w:val="TableofFigures"/>
        <w:rPr>
          <w:rFonts w:asciiTheme="minorHAnsi" w:eastAsiaTheme="minorEastAsia" w:hAnsiTheme="minorHAnsi" w:cstheme="minorBidi"/>
          <w:sz w:val="22"/>
        </w:rPr>
      </w:pPr>
      <w:hyperlink w:anchor="_Toc68786542" w:history="1">
        <w:r w:rsidR="00242E8D" w:rsidRPr="00972364">
          <w:rPr>
            <w:rStyle w:val="Hyperlink"/>
          </w:rPr>
          <w:t>Table 7.4.4</w:t>
        </w:r>
        <w:r w:rsidR="00242E8D">
          <w:rPr>
            <w:rFonts w:asciiTheme="minorHAnsi" w:eastAsiaTheme="minorEastAsia" w:hAnsiTheme="minorHAnsi" w:cstheme="minorBidi"/>
            <w:sz w:val="22"/>
          </w:rPr>
          <w:tab/>
        </w:r>
        <w:r w:rsidR="00242E8D" w:rsidRPr="00972364">
          <w:rPr>
            <w:rStyle w:val="Hyperlink"/>
          </w:rPr>
          <w:t>Parameter values applied to estimate emissions from incineration</w:t>
        </w:r>
        <w:r w:rsidR="00242E8D">
          <w:rPr>
            <w:webHidden/>
          </w:rPr>
          <w:tab/>
        </w:r>
        <w:r w:rsidR="00242E8D">
          <w:rPr>
            <w:webHidden/>
          </w:rPr>
          <w:fldChar w:fldCharType="begin"/>
        </w:r>
        <w:r w:rsidR="00242E8D">
          <w:rPr>
            <w:webHidden/>
          </w:rPr>
          <w:instrText xml:space="preserve"> PAGEREF _Toc68786542 \h </w:instrText>
        </w:r>
        <w:r w:rsidR="00242E8D">
          <w:rPr>
            <w:webHidden/>
          </w:rPr>
        </w:r>
        <w:r w:rsidR="00242E8D">
          <w:rPr>
            <w:webHidden/>
          </w:rPr>
          <w:fldChar w:fldCharType="separate"/>
        </w:r>
        <w:r w:rsidR="00B94D2F">
          <w:rPr>
            <w:webHidden/>
          </w:rPr>
          <w:t>385</w:t>
        </w:r>
        <w:r w:rsidR="00242E8D">
          <w:rPr>
            <w:webHidden/>
          </w:rPr>
          <w:fldChar w:fldCharType="end"/>
        </w:r>
      </w:hyperlink>
    </w:p>
    <w:p w14:paraId="59D9DFA7" w14:textId="365BFD3D" w:rsidR="00242E8D" w:rsidRDefault="00087879">
      <w:pPr>
        <w:pStyle w:val="TableofFigures"/>
        <w:rPr>
          <w:rFonts w:asciiTheme="minorHAnsi" w:eastAsiaTheme="minorEastAsia" w:hAnsiTheme="minorHAnsi" w:cstheme="minorBidi"/>
          <w:sz w:val="22"/>
        </w:rPr>
      </w:pPr>
      <w:hyperlink w:anchor="_Toc68786543" w:history="1">
        <w:r w:rsidR="00242E8D" w:rsidRPr="00972364">
          <w:rPr>
            <w:rStyle w:val="Hyperlink"/>
          </w:rPr>
          <w:t>Table 7.4.5</w:t>
        </w:r>
        <w:r w:rsidR="00242E8D">
          <w:rPr>
            <w:rFonts w:asciiTheme="minorHAnsi" w:eastAsiaTheme="minorEastAsia" w:hAnsiTheme="minorHAnsi" w:cstheme="minorBidi"/>
            <w:sz w:val="22"/>
          </w:rPr>
          <w:tab/>
        </w:r>
        <w:r w:rsidR="00242E8D" w:rsidRPr="00972364">
          <w:rPr>
            <w:rStyle w:val="Hyperlink"/>
          </w:rPr>
          <w:t>Parameters used to estimate emissions from open burning</w:t>
        </w:r>
        <w:r w:rsidR="00242E8D">
          <w:rPr>
            <w:webHidden/>
          </w:rPr>
          <w:tab/>
        </w:r>
        <w:r w:rsidR="00242E8D">
          <w:rPr>
            <w:webHidden/>
          </w:rPr>
          <w:fldChar w:fldCharType="begin"/>
        </w:r>
        <w:r w:rsidR="00242E8D">
          <w:rPr>
            <w:webHidden/>
          </w:rPr>
          <w:instrText xml:space="preserve"> PAGEREF _Toc68786543 \h </w:instrText>
        </w:r>
        <w:r w:rsidR="00242E8D">
          <w:rPr>
            <w:webHidden/>
          </w:rPr>
        </w:r>
        <w:r w:rsidR="00242E8D">
          <w:rPr>
            <w:webHidden/>
          </w:rPr>
          <w:fldChar w:fldCharType="separate"/>
        </w:r>
        <w:r w:rsidR="00B94D2F">
          <w:rPr>
            <w:webHidden/>
          </w:rPr>
          <w:t>386</w:t>
        </w:r>
        <w:r w:rsidR="00242E8D">
          <w:rPr>
            <w:webHidden/>
          </w:rPr>
          <w:fldChar w:fldCharType="end"/>
        </w:r>
      </w:hyperlink>
    </w:p>
    <w:p w14:paraId="1665EF46" w14:textId="0D5CA3BB" w:rsidR="00242E8D" w:rsidRDefault="00087879">
      <w:pPr>
        <w:pStyle w:val="TableofFigures"/>
        <w:rPr>
          <w:rFonts w:asciiTheme="minorHAnsi" w:eastAsiaTheme="minorEastAsia" w:hAnsiTheme="minorHAnsi" w:cstheme="minorBidi"/>
          <w:sz w:val="22"/>
        </w:rPr>
      </w:pPr>
      <w:hyperlink w:anchor="_Toc68786544" w:history="1">
        <w:r w:rsidR="00242E8D" w:rsidRPr="00972364">
          <w:rPr>
            <w:rStyle w:val="Hyperlink"/>
          </w:rPr>
          <w:t>Table 7.4.6</w:t>
        </w:r>
        <w:r w:rsidR="00242E8D">
          <w:rPr>
            <w:rFonts w:asciiTheme="minorHAnsi" w:eastAsiaTheme="minorEastAsia" w:hAnsiTheme="minorHAnsi" w:cstheme="minorBidi"/>
            <w:sz w:val="22"/>
          </w:rPr>
          <w:tab/>
        </w:r>
        <w:r w:rsidR="00242E8D" w:rsidRPr="00972364">
          <w:rPr>
            <w:rStyle w:val="Hyperlink"/>
          </w:rPr>
          <w:t>Uncertainty in emissions from incineration and open burning</w:t>
        </w:r>
        <w:r w:rsidR="00242E8D">
          <w:rPr>
            <w:webHidden/>
          </w:rPr>
          <w:tab/>
        </w:r>
        <w:r w:rsidR="00242E8D">
          <w:rPr>
            <w:webHidden/>
          </w:rPr>
          <w:fldChar w:fldCharType="begin"/>
        </w:r>
        <w:r w:rsidR="00242E8D">
          <w:rPr>
            <w:webHidden/>
          </w:rPr>
          <w:instrText xml:space="preserve"> PAGEREF _Toc68786544 \h </w:instrText>
        </w:r>
        <w:r w:rsidR="00242E8D">
          <w:rPr>
            <w:webHidden/>
          </w:rPr>
        </w:r>
        <w:r w:rsidR="00242E8D">
          <w:rPr>
            <w:webHidden/>
          </w:rPr>
          <w:fldChar w:fldCharType="separate"/>
        </w:r>
        <w:r w:rsidR="00B94D2F">
          <w:rPr>
            <w:webHidden/>
          </w:rPr>
          <w:t>387</w:t>
        </w:r>
        <w:r w:rsidR="00242E8D">
          <w:rPr>
            <w:webHidden/>
          </w:rPr>
          <w:fldChar w:fldCharType="end"/>
        </w:r>
      </w:hyperlink>
    </w:p>
    <w:p w14:paraId="5F990F98" w14:textId="05E9385F" w:rsidR="00242E8D" w:rsidRDefault="00087879">
      <w:pPr>
        <w:pStyle w:val="TableofFigures"/>
        <w:rPr>
          <w:rFonts w:asciiTheme="minorHAnsi" w:eastAsiaTheme="minorEastAsia" w:hAnsiTheme="minorHAnsi" w:cstheme="minorBidi"/>
          <w:sz w:val="22"/>
        </w:rPr>
      </w:pPr>
      <w:hyperlink w:anchor="_Toc68786545" w:history="1">
        <w:r w:rsidR="00242E8D" w:rsidRPr="00972364">
          <w:rPr>
            <w:rStyle w:val="Hyperlink"/>
            <w:rFonts w:cs="Arial"/>
          </w:rPr>
          <w:t xml:space="preserve">Table 7.5.1 </w:t>
        </w:r>
        <w:r w:rsidR="00242E8D">
          <w:rPr>
            <w:rFonts w:asciiTheme="minorHAnsi" w:eastAsiaTheme="minorEastAsia" w:hAnsiTheme="minorHAnsi" w:cstheme="minorBidi"/>
            <w:sz w:val="22"/>
          </w:rPr>
          <w:tab/>
        </w:r>
        <w:r w:rsidR="00242E8D" w:rsidRPr="00972364">
          <w:rPr>
            <w:rStyle w:val="Hyperlink"/>
            <w:rFonts w:cs="Arial"/>
          </w:rPr>
          <w:t>Emissions from Wastewater treatment and discharge (5.D)</w:t>
        </w:r>
        <w:r w:rsidR="00242E8D">
          <w:rPr>
            <w:webHidden/>
          </w:rPr>
          <w:tab/>
        </w:r>
        <w:r w:rsidR="00242E8D">
          <w:rPr>
            <w:webHidden/>
          </w:rPr>
          <w:fldChar w:fldCharType="begin"/>
        </w:r>
        <w:r w:rsidR="00242E8D">
          <w:rPr>
            <w:webHidden/>
          </w:rPr>
          <w:instrText xml:space="preserve"> PAGEREF _Toc68786545 \h </w:instrText>
        </w:r>
        <w:r w:rsidR="00242E8D">
          <w:rPr>
            <w:webHidden/>
          </w:rPr>
        </w:r>
        <w:r w:rsidR="00242E8D">
          <w:rPr>
            <w:webHidden/>
          </w:rPr>
          <w:fldChar w:fldCharType="separate"/>
        </w:r>
        <w:r w:rsidR="00B94D2F">
          <w:rPr>
            <w:webHidden/>
          </w:rPr>
          <w:t>388</w:t>
        </w:r>
        <w:r w:rsidR="00242E8D">
          <w:rPr>
            <w:webHidden/>
          </w:rPr>
          <w:fldChar w:fldCharType="end"/>
        </w:r>
      </w:hyperlink>
    </w:p>
    <w:p w14:paraId="0DF818C8" w14:textId="0E99DEB2" w:rsidR="00242E8D" w:rsidRDefault="00087879">
      <w:pPr>
        <w:pStyle w:val="TableofFigures"/>
        <w:rPr>
          <w:rFonts w:asciiTheme="minorHAnsi" w:eastAsiaTheme="minorEastAsia" w:hAnsiTheme="minorHAnsi" w:cstheme="minorBidi"/>
          <w:sz w:val="22"/>
        </w:rPr>
      </w:pPr>
      <w:hyperlink w:anchor="_Toc68786546" w:history="1">
        <w:r w:rsidR="00242E8D" w:rsidRPr="00972364">
          <w:rPr>
            <w:rStyle w:val="Hyperlink"/>
          </w:rPr>
          <w:t xml:space="preserve">Table 7.5.2 </w:t>
        </w:r>
        <w:r w:rsidR="00242E8D">
          <w:rPr>
            <w:rFonts w:asciiTheme="minorHAnsi" w:eastAsiaTheme="minorEastAsia" w:hAnsiTheme="minorHAnsi" w:cstheme="minorBidi"/>
            <w:sz w:val="22"/>
          </w:rPr>
          <w:tab/>
        </w:r>
        <w:r w:rsidR="00242E8D" w:rsidRPr="00972364">
          <w:rPr>
            <w:rStyle w:val="Hyperlink"/>
          </w:rPr>
          <w:t>Activity data and key factors for domestic wastewater from 1990 to 2019</w:t>
        </w:r>
        <w:r w:rsidR="00242E8D">
          <w:rPr>
            <w:webHidden/>
          </w:rPr>
          <w:tab/>
        </w:r>
        <w:r w:rsidR="00242E8D">
          <w:rPr>
            <w:webHidden/>
          </w:rPr>
          <w:fldChar w:fldCharType="begin"/>
        </w:r>
        <w:r w:rsidR="00242E8D">
          <w:rPr>
            <w:webHidden/>
          </w:rPr>
          <w:instrText xml:space="preserve"> PAGEREF _Toc68786546 \h </w:instrText>
        </w:r>
        <w:r w:rsidR="00242E8D">
          <w:rPr>
            <w:webHidden/>
          </w:rPr>
        </w:r>
        <w:r w:rsidR="00242E8D">
          <w:rPr>
            <w:webHidden/>
          </w:rPr>
          <w:fldChar w:fldCharType="separate"/>
        </w:r>
        <w:r w:rsidR="00B94D2F">
          <w:rPr>
            <w:webHidden/>
          </w:rPr>
          <w:t>389</w:t>
        </w:r>
        <w:r w:rsidR="00242E8D">
          <w:rPr>
            <w:webHidden/>
          </w:rPr>
          <w:fldChar w:fldCharType="end"/>
        </w:r>
      </w:hyperlink>
    </w:p>
    <w:p w14:paraId="01DB6CFA" w14:textId="04D667EA" w:rsidR="00242E8D" w:rsidRDefault="00087879">
      <w:pPr>
        <w:pStyle w:val="TableofFigures"/>
        <w:rPr>
          <w:rFonts w:asciiTheme="minorHAnsi" w:eastAsiaTheme="minorEastAsia" w:hAnsiTheme="minorHAnsi" w:cstheme="minorBidi"/>
          <w:sz w:val="22"/>
        </w:rPr>
      </w:pPr>
      <w:hyperlink w:anchor="_Toc68786547" w:history="1">
        <w:r w:rsidR="00242E8D" w:rsidRPr="00972364">
          <w:rPr>
            <w:rStyle w:val="Hyperlink"/>
            <w:rFonts w:cs="Arial"/>
          </w:rPr>
          <w:t xml:space="preserve">Table 7.5.3 </w:t>
        </w:r>
        <w:r w:rsidR="00242E8D">
          <w:rPr>
            <w:rFonts w:asciiTheme="minorHAnsi" w:eastAsiaTheme="minorEastAsia" w:hAnsiTheme="minorHAnsi" w:cstheme="minorBidi"/>
            <w:sz w:val="22"/>
          </w:rPr>
          <w:tab/>
        </w:r>
        <w:r w:rsidR="00242E8D" w:rsidRPr="00972364">
          <w:rPr>
            <w:rStyle w:val="Hyperlink"/>
            <w:rFonts w:cs="Arial"/>
          </w:rPr>
          <w:t>Total organic product producing methane from industrial wastewater from 1990 to 2019</w:t>
        </w:r>
        <w:r w:rsidR="00242E8D">
          <w:rPr>
            <w:webHidden/>
          </w:rPr>
          <w:tab/>
        </w:r>
        <w:r w:rsidR="00242E8D">
          <w:rPr>
            <w:webHidden/>
          </w:rPr>
          <w:fldChar w:fldCharType="begin"/>
        </w:r>
        <w:r w:rsidR="00242E8D">
          <w:rPr>
            <w:webHidden/>
          </w:rPr>
          <w:instrText xml:space="preserve"> PAGEREF _Toc68786547 \h </w:instrText>
        </w:r>
        <w:r w:rsidR="00242E8D">
          <w:rPr>
            <w:webHidden/>
          </w:rPr>
        </w:r>
        <w:r w:rsidR="00242E8D">
          <w:rPr>
            <w:webHidden/>
          </w:rPr>
          <w:fldChar w:fldCharType="separate"/>
        </w:r>
        <w:r w:rsidR="00B94D2F">
          <w:rPr>
            <w:webHidden/>
          </w:rPr>
          <w:t>390</w:t>
        </w:r>
        <w:r w:rsidR="00242E8D">
          <w:rPr>
            <w:webHidden/>
          </w:rPr>
          <w:fldChar w:fldCharType="end"/>
        </w:r>
      </w:hyperlink>
    </w:p>
    <w:p w14:paraId="59F06EC3" w14:textId="02245786" w:rsidR="00242E8D" w:rsidRDefault="00087879">
      <w:pPr>
        <w:pStyle w:val="TableofFigures"/>
        <w:rPr>
          <w:rFonts w:asciiTheme="minorHAnsi" w:eastAsiaTheme="minorEastAsia" w:hAnsiTheme="minorHAnsi" w:cstheme="minorBidi"/>
          <w:sz w:val="22"/>
        </w:rPr>
      </w:pPr>
      <w:hyperlink w:anchor="_Toc68786548" w:history="1">
        <w:r w:rsidR="00242E8D" w:rsidRPr="00972364">
          <w:rPr>
            <w:rStyle w:val="Hyperlink"/>
          </w:rPr>
          <w:t xml:space="preserve">Table 7.5.4 </w:t>
        </w:r>
        <w:r w:rsidR="00242E8D">
          <w:rPr>
            <w:rFonts w:asciiTheme="minorHAnsi" w:eastAsiaTheme="minorEastAsia" w:hAnsiTheme="minorHAnsi" w:cstheme="minorBidi"/>
            <w:sz w:val="22"/>
          </w:rPr>
          <w:tab/>
        </w:r>
        <w:r w:rsidR="00242E8D" w:rsidRPr="00972364">
          <w:rPr>
            <w:rStyle w:val="Hyperlink"/>
          </w:rPr>
          <w:t>Nitrogen in effluent from industrial wastewater from 1990 to 2019</w:t>
        </w:r>
        <w:r w:rsidR="00242E8D">
          <w:rPr>
            <w:webHidden/>
          </w:rPr>
          <w:tab/>
        </w:r>
        <w:r w:rsidR="00242E8D">
          <w:rPr>
            <w:webHidden/>
          </w:rPr>
          <w:fldChar w:fldCharType="begin"/>
        </w:r>
        <w:r w:rsidR="00242E8D">
          <w:rPr>
            <w:webHidden/>
          </w:rPr>
          <w:instrText xml:space="preserve"> PAGEREF _Toc68786548 \h </w:instrText>
        </w:r>
        <w:r w:rsidR="00242E8D">
          <w:rPr>
            <w:webHidden/>
          </w:rPr>
        </w:r>
        <w:r w:rsidR="00242E8D">
          <w:rPr>
            <w:webHidden/>
          </w:rPr>
          <w:fldChar w:fldCharType="separate"/>
        </w:r>
        <w:r w:rsidR="00B94D2F">
          <w:rPr>
            <w:webHidden/>
          </w:rPr>
          <w:t>391</w:t>
        </w:r>
        <w:r w:rsidR="00242E8D">
          <w:rPr>
            <w:webHidden/>
          </w:rPr>
          <w:fldChar w:fldCharType="end"/>
        </w:r>
      </w:hyperlink>
    </w:p>
    <w:p w14:paraId="77D614AB" w14:textId="405D5C79" w:rsidR="00242E8D" w:rsidRDefault="00087879">
      <w:pPr>
        <w:pStyle w:val="TableofFigures"/>
        <w:rPr>
          <w:rFonts w:asciiTheme="minorHAnsi" w:eastAsiaTheme="minorEastAsia" w:hAnsiTheme="minorHAnsi" w:cstheme="minorBidi"/>
          <w:sz w:val="22"/>
        </w:rPr>
      </w:pPr>
      <w:hyperlink w:anchor="_Toc68786549" w:history="1">
        <w:r w:rsidR="00242E8D" w:rsidRPr="00972364">
          <w:rPr>
            <w:rStyle w:val="Hyperlink"/>
          </w:rPr>
          <w:t>Table 7.5.5</w:t>
        </w:r>
        <w:r w:rsidR="00242E8D">
          <w:rPr>
            <w:rFonts w:asciiTheme="minorHAnsi" w:eastAsiaTheme="minorEastAsia" w:hAnsiTheme="minorHAnsi" w:cstheme="minorBidi"/>
            <w:sz w:val="22"/>
          </w:rPr>
          <w:tab/>
        </w:r>
        <w:r w:rsidR="00242E8D" w:rsidRPr="00972364">
          <w:rPr>
            <w:rStyle w:val="Hyperlink"/>
          </w:rPr>
          <w:t>Methods used for calculating emissions from wastewater treatment</w:t>
        </w:r>
        <w:r w:rsidR="00242E8D">
          <w:rPr>
            <w:webHidden/>
          </w:rPr>
          <w:tab/>
        </w:r>
        <w:r w:rsidR="00242E8D">
          <w:rPr>
            <w:webHidden/>
          </w:rPr>
          <w:fldChar w:fldCharType="begin"/>
        </w:r>
        <w:r w:rsidR="00242E8D">
          <w:rPr>
            <w:webHidden/>
          </w:rPr>
          <w:instrText xml:space="preserve"> PAGEREF _Toc68786549 \h </w:instrText>
        </w:r>
        <w:r w:rsidR="00242E8D">
          <w:rPr>
            <w:webHidden/>
          </w:rPr>
        </w:r>
        <w:r w:rsidR="00242E8D">
          <w:rPr>
            <w:webHidden/>
          </w:rPr>
          <w:fldChar w:fldCharType="separate"/>
        </w:r>
        <w:r w:rsidR="00B94D2F">
          <w:rPr>
            <w:webHidden/>
          </w:rPr>
          <w:t>393</w:t>
        </w:r>
        <w:r w:rsidR="00242E8D">
          <w:rPr>
            <w:webHidden/>
          </w:rPr>
          <w:fldChar w:fldCharType="end"/>
        </w:r>
      </w:hyperlink>
    </w:p>
    <w:p w14:paraId="6AE3CF31" w14:textId="2704E483" w:rsidR="00242E8D" w:rsidRDefault="00087879">
      <w:pPr>
        <w:pStyle w:val="TableofFigures"/>
        <w:rPr>
          <w:rFonts w:asciiTheme="minorHAnsi" w:eastAsiaTheme="minorEastAsia" w:hAnsiTheme="minorHAnsi" w:cstheme="minorBidi"/>
          <w:sz w:val="22"/>
        </w:rPr>
      </w:pPr>
      <w:hyperlink w:anchor="_Toc68786550" w:history="1">
        <w:r w:rsidR="00242E8D" w:rsidRPr="00972364">
          <w:rPr>
            <w:rStyle w:val="Hyperlink"/>
          </w:rPr>
          <w:t>Table 7.5.6</w:t>
        </w:r>
        <w:r w:rsidR="00242E8D">
          <w:rPr>
            <w:rFonts w:asciiTheme="minorHAnsi" w:eastAsiaTheme="minorEastAsia" w:hAnsiTheme="minorHAnsi" w:cstheme="minorBidi"/>
            <w:sz w:val="22"/>
          </w:rPr>
          <w:tab/>
        </w:r>
        <w:r w:rsidR="00242E8D" w:rsidRPr="00972364">
          <w:rPr>
            <w:rStyle w:val="Hyperlink"/>
          </w:rPr>
          <w:t>Parameter values applied by New Zealand for estimating methane emissions for domestic wastewater treatment</w:t>
        </w:r>
        <w:r w:rsidR="00242E8D">
          <w:rPr>
            <w:webHidden/>
          </w:rPr>
          <w:tab/>
        </w:r>
        <w:r w:rsidR="00242E8D">
          <w:rPr>
            <w:webHidden/>
          </w:rPr>
          <w:fldChar w:fldCharType="begin"/>
        </w:r>
        <w:r w:rsidR="00242E8D">
          <w:rPr>
            <w:webHidden/>
          </w:rPr>
          <w:instrText xml:space="preserve"> PAGEREF _Toc68786550 \h </w:instrText>
        </w:r>
        <w:r w:rsidR="00242E8D">
          <w:rPr>
            <w:webHidden/>
          </w:rPr>
        </w:r>
        <w:r w:rsidR="00242E8D">
          <w:rPr>
            <w:webHidden/>
          </w:rPr>
          <w:fldChar w:fldCharType="separate"/>
        </w:r>
        <w:r w:rsidR="00B94D2F">
          <w:rPr>
            <w:webHidden/>
          </w:rPr>
          <w:t>394</w:t>
        </w:r>
        <w:r w:rsidR="00242E8D">
          <w:rPr>
            <w:webHidden/>
          </w:rPr>
          <w:fldChar w:fldCharType="end"/>
        </w:r>
      </w:hyperlink>
    </w:p>
    <w:p w14:paraId="40907A5F" w14:textId="1DCB0086" w:rsidR="00242E8D" w:rsidRDefault="00087879">
      <w:pPr>
        <w:pStyle w:val="TableofFigures"/>
        <w:rPr>
          <w:rFonts w:asciiTheme="minorHAnsi" w:eastAsiaTheme="minorEastAsia" w:hAnsiTheme="minorHAnsi" w:cstheme="minorBidi"/>
          <w:sz w:val="22"/>
        </w:rPr>
      </w:pPr>
      <w:hyperlink w:anchor="_Toc68786551" w:history="1">
        <w:r w:rsidR="00242E8D" w:rsidRPr="00972364">
          <w:rPr>
            <w:rStyle w:val="Hyperlink"/>
          </w:rPr>
          <w:t>Table 7.5.7</w:t>
        </w:r>
        <w:r w:rsidR="00242E8D">
          <w:rPr>
            <w:rFonts w:asciiTheme="minorHAnsi" w:eastAsiaTheme="minorEastAsia" w:hAnsiTheme="minorHAnsi" w:cstheme="minorBidi"/>
            <w:sz w:val="22"/>
          </w:rPr>
          <w:tab/>
        </w:r>
        <w:r w:rsidR="00242E8D" w:rsidRPr="00972364">
          <w:rPr>
            <w:rStyle w:val="Hyperlink"/>
          </w:rPr>
          <w:t>Parameter values applied by New Zealand for estimating nitrous oxide emissions from domestic and commercial wastewater treatment</w:t>
        </w:r>
        <w:r w:rsidR="00242E8D">
          <w:rPr>
            <w:webHidden/>
          </w:rPr>
          <w:tab/>
        </w:r>
        <w:r w:rsidR="00242E8D">
          <w:rPr>
            <w:webHidden/>
          </w:rPr>
          <w:fldChar w:fldCharType="begin"/>
        </w:r>
        <w:r w:rsidR="00242E8D">
          <w:rPr>
            <w:webHidden/>
          </w:rPr>
          <w:instrText xml:space="preserve"> PAGEREF _Toc68786551 \h </w:instrText>
        </w:r>
        <w:r w:rsidR="00242E8D">
          <w:rPr>
            <w:webHidden/>
          </w:rPr>
        </w:r>
        <w:r w:rsidR="00242E8D">
          <w:rPr>
            <w:webHidden/>
          </w:rPr>
          <w:fldChar w:fldCharType="separate"/>
        </w:r>
        <w:r w:rsidR="00B94D2F">
          <w:rPr>
            <w:webHidden/>
          </w:rPr>
          <w:t>395</w:t>
        </w:r>
        <w:r w:rsidR="00242E8D">
          <w:rPr>
            <w:webHidden/>
          </w:rPr>
          <w:fldChar w:fldCharType="end"/>
        </w:r>
      </w:hyperlink>
    </w:p>
    <w:p w14:paraId="01B353D3" w14:textId="175F0B96" w:rsidR="00242E8D" w:rsidRDefault="00087879">
      <w:pPr>
        <w:pStyle w:val="TableofFigures"/>
        <w:rPr>
          <w:rFonts w:asciiTheme="minorHAnsi" w:eastAsiaTheme="minorEastAsia" w:hAnsiTheme="minorHAnsi" w:cstheme="minorBidi"/>
          <w:sz w:val="22"/>
        </w:rPr>
      </w:pPr>
      <w:hyperlink w:anchor="_Toc68786552" w:history="1">
        <w:r w:rsidR="00242E8D" w:rsidRPr="00972364">
          <w:rPr>
            <w:rStyle w:val="Hyperlink"/>
          </w:rPr>
          <w:t>Table 7.5.8</w:t>
        </w:r>
        <w:r w:rsidR="00242E8D">
          <w:rPr>
            <w:rFonts w:asciiTheme="minorHAnsi" w:eastAsiaTheme="minorEastAsia" w:hAnsiTheme="minorHAnsi" w:cstheme="minorBidi"/>
            <w:sz w:val="22"/>
          </w:rPr>
          <w:tab/>
        </w:r>
        <w:r w:rsidR="00242E8D" w:rsidRPr="00972364">
          <w:rPr>
            <w:rStyle w:val="Hyperlink"/>
          </w:rPr>
          <w:t>Parameter values applied by New Zealand for estimating methane emissions from wastewater treatment by the meat industry</w:t>
        </w:r>
        <w:r w:rsidR="00242E8D">
          <w:rPr>
            <w:webHidden/>
          </w:rPr>
          <w:tab/>
        </w:r>
        <w:r w:rsidR="00242E8D">
          <w:rPr>
            <w:webHidden/>
          </w:rPr>
          <w:fldChar w:fldCharType="begin"/>
        </w:r>
        <w:r w:rsidR="00242E8D">
          <w:rPr>
            <w:webHidden/>
          </w:rPr>
          <w:instrText xml:space="preserve"> PAGEREF _Toc68786552 \h </w:instrText>
        </w:r>
        <w:r w:rsidR="00242E8D">
          <w:rPr>
            <w:webHidden/>
          </w:rPr>
        </w:r>
        <w:r w:rsidR="00242E8D">
          <w:rPr>
            <w:webHidden/>
          </w:rPr>
          <w:fldChar w:fldCharType="separate"/>
        </w:r>
        <w:r w:rsidR="00B94D2F">
          <w:rPr>
            <w:webHidden/>
          </w:rPr>
          <w:t>396</w:t>
        </w:r>
        <w:r w:rsidR="00242E8D">
          <w:rPr>
            <w:webHidden/>
          </w:rPr>
          <w:fldChar w:fldCharType="end"/>
        </w:r>
      </w:hyperlink>
    </w:p>
    <w:p w14:paraId="57A379CD" w14:textId="6DAD267D" w:rsidR="00242E8D" w:rsidRDefault="00087879">
      <w:pPr>
        <w:pStyle w:val="TableofFigures"/>
        <w:rPr>
          <w:rFonts w:asciiTheme="minorHAnsi" w:eastAsiaTheme="minorEastAsia" w:hAnsiTheme="minorHAnsi" w:cstheme="minorBidi"/>
          <w:sz w:val="22"/>
        </w:rPr>
      </w:pPr>
      <w:hyperlink w:anchor="_Toc68786553" w:history="1">
        <w:r w:rsidR="00242E8D" w:rsidRPr="00972364">
          <w:rPr>
            <w:rStyle w:val="Hyperlink"/>
          </w:rPr>
          <w:t>Table 7.5.9</w:t>
        </w:r>
        <w:r w:rsidR="00242E8D">
          <w:rPr>
            <w:rFonts w:asciiTheme="minorHAnsi" w:eastAsiaTheme="minorEastAsia" w:hAnsiTheme="minorHAnsi" w:cstheme="minorBidi"/>
            <w:sz w:val="22"/>
          </w:rPr>
          <w:tab/>
        </w:r>
        <w:r w:rsidR="00242E8D" w:rsidRPr="00972364">
          <w:rPr>
            <w:rStyle w:val="Hyperlink"/>
          </w:rPr>
          <w:t>Parameter values applied by New Zealand for estimating methane emissions for wastewater treatment by the pulp and paper industry</w:t>
        </w:r>
        <w:r w:rsidR="00242E8D">
          <w:rPr>
            <w:webHidden/>
          </w:rPr>
          <w:tab/>
        </w:r>
        <w:r w:rsidR="00242E8D">
          <w:rPr>
            <w:webHidden/>
          </w:rPr>
          <w:fldChar w:fldCharType="begin"/>
        </w:r>
        <w:r w:rsidR="00242E8D">
          <w:rPr>
            <w:webHidden/>
          </w:rPr>
          <w:instrText xml:space="preserve"> PAGEREF _Toc68786553 \h </w:instrText>
        </w:r>
        <w:r w:rsidR="00242E8D">
          <w:rPr>
            <w:webHidden/>
          </w:rPr>
        </w:r>
        <w:r w:rsidR="00242E8D">
          <w:rPr>
            <w:webHidden/>
          </w:rPr>
          <w:fldChar w:fldCharType="separate"/>
        </w:r>
        <w:r w:rsidR="00B94D2F">
          <w:rPr>
            <w:webHidden/>
          </w:rPr>
          <w:t>396</w:t>
        </w:r>
        <w:r w:rsidR="00242E8D">
          <w:rPr>
            <w:webHidden/>
          </w:rPr>
          <w:fldChar w:fldCharType="end"/>
        </w:r>
      </w:hyperlink>
    </w:p>
    <w:p w14:paraId="35849780" w14:textId="77C739D8" w:rsidR="00242E8D" w:rsidRDefault="00087879">
      <w:pPr>
        <w:pStyle w:val="TableofFigures"/>
        <w:rPr>
          <w:rFonts w:asciiTheme="minorHAnsi" w:eastAsiaTheme="minorEastAsia" w:hAnsiTheme="minorHAnsi" w:cstheme="minorBidi"/>
          <w:sz w:val="22"/>
        </w:rPr>
      </w:pPr>
      <w:hyperlink w:anchor="_Toc68786554" w:history="1">
        <w:r w:rsidR="00242E8D" w:rsidRPr="00972364">
          <w:rPr>
            <w:rStyle w:val="Hyperlink"/>
          </w:rPr>
          <w:t>Table 7.5.10</w:t>
        </w:r>
        <w:r w:rsidR="00242E8D">
          <w:rPr>
            <w:rFonts w:asciiTheme="minorHAnsi" w:eastAsiaTheme="minorEastAsia" w:hAnsiTheme="minorHAnsi" w:cstheme="minorBidi"/>
            <w:sz w:val="22"/>
          </w:rPr>
          <w:tab/>
        </w:r>
        <w:r w:rsidR="00242E8D" w:rsidRPr="00972364">
          <w:rPr>
            <w:rStyle w:val="Hyperlink"/>
          </w:rPr>
          <w:t>Parameter values applied by New Zealand for estimating methane emissions for wastewater treatment by the wine industry</w:t>
        </w:r>
        <w:r w:rsidR="00242E8D">
          <w:rPr>
            <w:webHidden/>
          </w:rPr>
          <w:tab/>
        </w:r>
        <w:r w:rsidR="00242E8D">
          <w:rPr>
            <w:webHidden/>
          </w:rPr>
          <w:fldChar w:fldCharType="begin"/>
        </w:r>
        <w:r w:rsidR="00242E8D">
          <w:rPr>
            <w:webHidden/>
          </w:rPr>
          <w:instrText xml:space="preserve"> PAGEREF _Toc68786554 \h </w:instrText>
        </w:r>
        <w:r w:rsidR="00242E8D">
          <w:rPr>
            <w:webHidden/>
          </w:rPr>
        </w:r>
        <w:r w:rsidR="00242E8D">
          <w:rPr>
            <w:webHidden/>
          </w:rPr>
          <w:fldChar w:fldCharType="separate"/>
        </w:r>
        <w:r w:rsidR="00B94D2F">
          <w:rPr>
            <w:webHidden/>
          </w:rPr>
          <w:t>396</w:t>
        </w:r>
        <w:r w:rsidR="00242E8D">
          <w:rPr>
            <w:webHidden/>
          </w:rPr>
          <w:fldChar w:fldCharType="end"/>
        </w:r>
      </w:hyperlink>
    </w:p>
    <w:p w14:paraId="3AB4D4CE" w14:textId="5E361DE2" w:rsidR="00242E8D" w:rsidRDefault="00087879">
      <w:pPr>
        <w:pStyle w:val="TableofFigures"/>
        <w:rPr>
          <w:rFonts w:asciiTheme="minorHAnsi" w:eastAsiaTheme="minorEastAsia" w:hAnsiTheme="minorHAnsi" w:cstheme="minorBidi"/>
          <w:sz w:val="22"/>
        </w:rPr>
      </w:pPr>
      <w:hyperlink w:anchor="_Toc68786555" w:history="1">
        <w:r w:rsidR="00242E8D" w:rsidRPr="00972364">
          <w:rPr>
            <w:rStyle w:val="Hyperlink"/>
          </w:rPr>
          <w:t>Table 7.5.11</w:t>
        </w:r>
        <w:r w:rsidR="00242E8D">
          <w:rPr>
            <w:rFonts w:asciiTheme="minorHAnsi" w:eastAsiaTheme="minorEastAsia" w:hAnsiTheme="minorHAnsi" w:cstheme="minorBidi"/>
            <w:sz w:val="22"/>
          </w:rPr>
          <w:tab/>
        </w:r>
        <w:r w:rsidR="00242E8D" w:rsidRPr="00972364">
          <w:rPr>
            <w:rStyle w:val="Hyperlink"/>
          </w:rPr>
          <w:t>Parameter values applied by New Zealand for estimating methane emissions for wastewater treatment by the wool scouring industry</w:t>
        </w:r>
        <w:r w:rsidR="00242E8D">
          <w:rPr>
            <w:webHidden/>
          </w:rPr>
          <w:tab/>
        </w:r>
        <w:r w:rsidR="00242E8D">
          <w:rPr>
            <w:webHidden/>
          </w:rPr>
          <w:fldChar w:fldCharType="begin"/>
        </w:r>
        <w:r w:rsidR="00242E8D">
          <w:rPr>
            <w:webHidden/>
          </w:rPr>
          <w:instrText xml:space="preserve"> PAGEREF _Toc68786555 \h </w:instrText>
        </w:r>
        <w:r w:rsidR="00242E8D">
          <w:rPr>
            <w:webHidden/>
          </w:rPr>
        </w:r>
        <w:r w:rsidR="00242E8D">
          <w:rPr>
            <w:webHidden/>
          </w:rPr>
          <w:fldChar w:fldCharType="separate"/>
        </w:r>
        <w:r w:rsidR="00B94D2F">
          <w:rPr>
            <w:webHidden/>
          </w:rPr>
          <w:t>397</w:t>
        </w:r>
        <w:r w:rsidR="00242E8D">
          <w:rPr>
            <w:webHidden/>
          </w:rPr>
          <w:fldChar w:fldCharType="end"/>
        </w:r>
      </w:hyperlink>
    </w:p>
    <w:p w14:paraId="4654AB5E" w14:textId="7A3343F8" w:rsidR="00242E8D" w:rsidRDefault="00087879">
      <w:pPr>
        <w:pStyle w:val="TableofFigures"/>
        <w:rPr>
          <w:rFonts w:asciiTheme="minorHAnsi" w:eastAsiaTheme="minorEastAsia" w:hAnsiTheme="minorHAnsi" w:cstheme="minorBidi"/>
          <w:sz w:val="22"/>
        </w:rPr>
      </w:pPr>
      <w:hyperlink w:anchor="_Toc68786556" w:history="1">
        <w:r w:rsidR="00242E8D" w:rsidRPr="00972364">
          <w:rPr>
            <w:rStyle w:val="Hyperlink"/>
          </w:rPr>
          <w:t>Table 7.5.12</w:t>
        </w:r>
        <w:r w:rsidR="00242E8D">
          <w:rPr>
            <w:rFonts w:asciiTheme="minorHAnsi" w:eastAsiaTheme="minorEastAsia" w:hAnsiTheme="minorHAnsi" w:cstheme="minorBidi"/>
            <w:sz w:val="22"/>
          </w:rPr>
          <w:tab/>
        </w:r>
        <w:r w:rsidR="00242E8D" w:rsidRPr="00972364">
          <w:rPr>
            <w:rStyle w:val="Hyperlink"/>
          </w:rPr>
          <w:t>Parameter values applied by New Zealand for estimating methane emissions for wastewater treatment by the leather and skins industry</w:t>
        </w:r>
        <w:r w:rsidR="00242E8D">
          <w:rPr>
            <w:webHidden/>
          </w:rPr>
          <w:tab/>
        </w:r>
        <w:r w:rsidR="00242E8D">
          <w:rPr>
            <w:webHidden/>
          </w:rPr>
          <w:fldChar w:fldCharType="begin"/>
        </w:r>
        <w:r w:rsidR="00242E8D">
          <w:rPr>
            <w:webHidden/>
          </w:rPr>
          <w:instrText xml:space="preserve"> PAGEREF _Toc68786556 \h </w:instrText>
        </w:r>
        <w:r w:rsidR="00242E8D">
          <w:rPr>
            <w:webHidden/>
          </w:rPr>
        </w:r>
        <w:r w:rsidR="00242E8D">
          <w:rPr>
            <w:webHidden/>
          </w:rPr>
          <w:fldChar w:fldCharType="separate"/>
        </w:r>
        <w:r w:rsidR="00B94D2F">
          <w:rPr>
            <w:webHidden/>
          </w:rPr>
          <w:t>397</w:t>
        </w:r>
        <w:r w:rsidR="00242E8D">
          <w:rPr>
            <w:webHidden/>
          </w:rPr>
          <w:fldChar w:fldCharType="end"/>
        </w:r>
      </w:hyperlink>
    </w:p>
    <w:p w14:paraId="393F0865" w14:textId="343609F3" w:rsidR="00242E8D" w:rsidRDefault="00087879">
      <w:pPr>
        <w:pStyle w:val="TableofFigures"/>
        <w:rPr>
          <w:rFonts w:asciiTheme="minorHAnsi" w:eastAsiaTheme="minorEastAsia" w:hAnsiTheme="minorHAnsi" w:cstheme="minorBidi"/>
          <w:sz w:val="22"/>
        </w:rPr>
      </w:pPr>
      <w:hyperlink w:anchor="_Toc68786557" w:history="1">
        <w:r w:rsidR="00242E8D" w:rsidRPr="00972364">
          <w:rPr>
            <w:rStyle w:val="Hyperlink"/>
          </w:rPr>
          <w:t>Table 7.5.13</w:t>
        </w:r>
        <w:r w:rsidR="00242E8D">
          <w:rPr>
            <w:rFonts w:asciiTheme="minorHAnsi" w:eastAsiaTheme="minorEastAsia" w:hAnsiTheme="minorHAnsi" w:cstheme="minorBidi"/>
            <w:sz w:val="22"/>
          </w:rPr>
          <w:tab/>
        </w:r>
        <w:r w:rsidR="00242E8D" w:rsidRPr="00972364">
          <w:rPr>
            <w:rStyle w:val="Hyperlink"/>
          </w:rPr>
          <w:t>Parameter values applied by New Zealand for estimating nitrous oxide emissions for wastewater treatment for the meat industry</w:t>
        </w:r>
        <w:r w:rsidR="00242E8D">
          <w:rPr>
            <w:webHidden/>
          </w:rPr>
          <w:tab/>
        </w:r>
        <w:r w:rsidR="00242E8D">
          <w:rPr>
            <w:webHidden/>
          </w:rPr>
          <w:fldChar w:fldCharType="begin"/>
        </w:r>
        <w:r w:rsidR="00242E8D">
          <w:rPr>
            <w:webHidden/>
          </w:rPr>
          <w:instrText xml:space="preserve"> PAGEREF _Toc68786557 \h </w:instrText>
        </w:r>
        <w:r w:rsidR="00242E8D">
          <w:rPr>
            <w:webHidden/>
          </w:rPr>
        </w:r>
        <w:r w:rsidR="00242E8D">
          <w:rPr>
            <w:webHidden/>
          </w:rPr>
          <w:fldChar w:fldCharType="separate"/>
        </w:r>
        <w:r w:rsidR="00B94D2F">
          <w:rPr>
            <w:webHidden/>
          </w:rPr>
          <w:t>397</w:t>
        </w:r>
        <w:r w:rsidR="00242E8D">
          <w:rPr>
            <w:webHidden/>
          </w:rPr>
          <w:fldChar w:fldCharType="end"/>
        </w:r>
      </w:hyperlink>
    </w:p>
    <w:p w14:paraId="4231DCF6" w14:textId="6418CCFA" w:rsidR="00242E8D" w:rsidRDefault="00087879">
      <w:pPr>
        <w:pStyle w:val="TableofFigures"/>
        <w:rPr>
          <w:rFonts w:asciiTheme="minorHAnsi" w:eastAsiaTheme="minorEastAsia" w:hAnsiTheme="minorHAnsi" w:cstheme="minorBidi"/>
          <w:sz w:val="22"/>
        </w:rPr>
      </w:pPr>
      <w:hyperlink w:anchor="_Toc68786558" w:history="1">
        <w:r w:rsidR="00242E8D" w:rsidRPr="00972364">
          <w:rPr>
            <w:rStyle w:val="Hyperlink"/>
          </w:rPr>
          <w:t>Table 7.5.14</w:t>
        </w:r>
        <w:r w:rsidR="00242E8D">
          <w:rPr>
            <w:rFonts w:asciiTheme="minorHAnsi" w:eastAsiaTheme="minorEastAsia" w:hAnsiTheme="minorHAnsi" w:cstheme="minorBidi"/>
            <w:sz w:val="22"/>
          </w:rPr>
          <w:tab/>
        </w:r>
        <w:r w:rsidR="00242E8D" w:rsidRPr="00972364">
          <w:rPr>
            <w:rStyle w:val="Hyperlink"/>
          </w:rPr>
          <w:t>Parameter values applied by New Zealand for estimating nitrous oxide emissions for wastewater treatment for the dairy processing industry</w:t>
        </w:r>
        <w:r w:rsidR="00242E8D">
          <w:rPr>
            <w:webHidden/>
          </w:rPr>
          <w:tab/>
        </w:r>
        <w:r w:rsidR="00242E8D">
          <w:rPr>
            <w:webHidden/>
          </w:rPr>
          <w:fldChar w:fldCharType="begin"/>
        </w:r>
        <w:r w:rsidR="00242E8D">
          <w:rPr>
            <w:webHidden/>
          </w:rPr>
          <w:instrText xml:space="preserve"> PAGEREF _Toc68786558 \h </w:instrText>
        </w:r>
        <w:r w:rsidR="00242E8D">
          <w:rPr>
            <w:webHidden/>
          </w:rPr>
        </w:r>
        <w:r w:rsidR="00242E8D">
          <w:rPr>
            <w:webHidden/>
          </w:rPr>
          <w:fldChar w:fldCharType="separate"/>
        </w:r>
        <w:r w:rsidR="00B94D2F">
          <w:rPr>
            <w:webHidden/>
          </w:rPr>
          <w:t>398</w:t>
        </w:r>
        <w:r w:rsidR="00242E8D">
          <w:rPr>
            <w:webHidden/>
          </w:rPr>
          <w:fldChar w:fldCharType="end"/>
        </w:r>
      </w:hyperlink>
    </w:p>
    <w:p w14:paraId="0DF6B425" w14:textId="10DCA47D" w:rsidR="00242E8D" w:rsidRDefault="00087879">
      <w:pPr>
        <w:pStyle w:val="TableofFigures"/>
        <w:rPr>
          <w:rFonts w:asciiTheme="minorHAnsi" w:eastAsiaTheme="minorEastAsia" w:hAnsiTheme="minorHAnsi" w:cstheme="minorBidi"/>
          <w:sz w:val="22"/>
        </w:rPr>
      </w:pPr>
      <w:hyperlink w:anchor="_Toc68786559" w:history="1">
        <w:r w:rsidR="00242E8D" w:rsidRPr="00972364">
          <w:rPr>
            <w:rStyle w:val="Hyperlink"/>
          </w:rPr>
          <w:t>Table 7.5.15</w:t>
        </w:r>
        <w:r w:rsidR="00242E8D">
          <w:rPr>
            <w:rFonts w:asciiTheme="minorHAnsi" w:eastAsiaTheme="minorEastAsia" w:hAnsiTheme="minorHAnsi" w:cstheme="minorBidi"/>
            <w:sz w:val="22"/>
          </w:rPr>
          <w:tab/>
        </w:r>
        <w:r w:rsidR="00242E8D" w:rsidRPr="00972364">
          <w:rPr>
            <w:rStyle w:val="Hyperlink"/>
          </w:rPr>
          <w:t>Parameter values applied by New Zealand for estimating nitrous oxide emissions for wastewater treatment for the meat industry</w:t>
        </w:r>
        <w:r w:rsidR="00242E8D">
          <w:rPr>
            <w:webHidden/>
          </w:rPr>
          <w:tab/>
        </w:r>
        <w:r w:rsidR="00242E8D">
          <w:rPr>
            <w:webHidden/>
          </w:rPr>
          <w:fldChar w:fldCharType="begin"/>
        </w:r>
        <w:r w:rsidR="00242E8D">
          <w:rPr>
            <w:webHidden/>
          </w:rPr>
          <w:instrText xml:space="preserve"> PAGEREF _Toc68786559 \h </w:instrText>
        </w:r>
        <w:r w:rsidR="00242E8D">
          <w:rPr>
            <w:webHidden/>
          </w:rPr>
        </w:r>
        <w:r w:rsidR="00242E8D">
          <w:rPr>
            <w:webHidden/>
          </w:rPr>
          <w:fldChar w:fldCharType="separate"/>
        </w:r>
        <w:r w:rsidR="00B94D2F">
          <w:rPr>
            <w:webHidden/>
          </w:rPr>
          <w:t>398</w:t>
        </w:r>
        <w:r w:rsidR="00242E8D">
          <w:rPr>
            <w:webHidden/>
          </w:rPr>
          <w:fldChar w:fldCharType="end"/>
        </w:r>
      </w:hyperlink>
    </w:p>
    <w:p w14:paraId="4C699CB3" w14:textId="1FAB9FB7" w:rsidR="00242E8D" w:rsidRDefault="00087879">
      <w:pPr>
        <w:pStyle w:val="TableofFigures"/>
        <w:rPr>
          <w:rFonts w:asciiTheme="minorHAnsi" w:eastAsiaTheme="minorEastAsia" w:hAnsiTheme="minorHAnsi" w:cstheme="minorBidi"/>
          <w:sz w:val="22"/>
        </w:rPr>
      </w:pPr>
      <w:hyperlink w:anchor="_Toc68786560" w:history="1">
        <w:r w:rsidR="00242E8D" w:rsidRPr="00972364">
          <w:rPr>
            <w:rStyle w:val="Hyperlink"/>
          </w:rPr>
          <w:t>Table 7.5.16</w:t>
        </w:r>
        <w:r w:rsidR="00242E8D">
          <w:rPr>
            <w:rFonts w:asciiTheme="minorHAnsi" w:eastAsiaTheme="minorEastAsia" w:hAnsiTheme="minorHAnsi" w:cstheme="minorBidi"/>
            <w:sz w:val="22"/>
          </w:rPr>
          <w:tab/>
        </w:r>
        <w:r w:rsidR="00242E8D" w:rsidRPr="00972364">
          <w:rPr>
            <w:rStyle w:val="Hyperlink"/>
          </w:rPr>
          <w:t>Uncertainty in emissions from wastewater</w:t>
        </w:r>
        <w:r w:rsidR="00242E8D">
          <w:rPr>
            <w:webHidden/>
          </w:rPr>
          <w:tab/>
        </w:r>
        <w:r w:rsidR="00242E8D">
          <w:rPr>
            <w:webHidden/>
          </w:rPr>
          <w:fldChar w:fldCharType="begin"/>
        </w:r>
        <w:r w:rsidR="00242E8D">
          <w:rPr>
            <w:webHidden/>
          </w:rPr>
          <w:instrText xml:space="preserve"> PAGEREF _Toc68786560 \h </w:instrText>
        </w:r>
        <w:r w:rsidR="00242E8D">
          <w:rPr>
            <w:webHidden/>
          </w:rPr>
        </w:r>
        <w:r w:rsidR="00242E8D">
          <w:rPr>
            <w:webHidden/>
          </w:rPr>
          <w:fldChar w:fldCharType="separate"/>
        </w:r>
        <w:r w:rsidR="00B94D2F">
          <w:rPr>
            <w:webHidden/>
          </w:rPr>
          <w:t>398</w:t>
        </w:r>
        <w:r w:rsidR="00242E8D">
          <w:rPr>
            <w:webHidden/>
          </w:rPr>
          <w:fldChar w:fldCharType="end"/>
        </w:r>
      </w:hyperlink>
    </w:p>
    <w:p w14:paraId="0AAD4DC8" w14:textId="22814BA8" w:rsidR="00242E8D" w:rsidRDefault="00087879">
      <w:pPr>
        <w:pStyle w:val="TableofFigures"/>
        <w:rPr>
          <w:rFonts w:asciiTheme="minorHAnsi" w:eastAsiaTheme="minorEastAsia" w:hAnsiTheme="minorHAnsi" w:cstheme="minorBidi"/>
          <w:sz w:val="22"/>
        </w:rPr>
      </w:pPr>
      <w:hyperlink w:anchor="_Toc68786561" w:history="1">
        <w:r w:rsidR="00242E8D" w:rsidRPr="00972364">
          <w:rPr>
            <w:rStyle w:val="Hyperlink"/>
          </w:rPr>
          <w:t xml:space="preserve">Table 8.1.1 </w:t>
        </w:r>
        <w:r w:rsidR="00242E8D">
          <w:rPr>
            <w:rFonts w:asciiTheme="minorHAnsi" w:eastAsiaTheme="minorEastAsia" w:hAnsiTheme="minorHAnsi" w:cstheme="minorBidi"/>
            <w:sz w:val="22"/>
          </w:rPr>
          <w:tab/>
        </w:r>
        <w:r w:rsidR="00242E8D" w:rsidRPr="00972364">
          <w:rPr>
            <w:rStyle w:val="Hyperlink"/>
          </w:rPr>
          <w:t>Gross emissions from Tokelau by gas in 1990 and 2019</w:t>
        </w:r>
        <w:r w:rsidR="00242E8D">
          <w:rPr>
            <w:webHidden/>
          </w:rPr>
          <w:tab/>
        </w:r>
        <w:r w:rsidR="00242E8D">
          <w:rPr>
            <w:webHidden/>
          </w:rPr>
          <w:fldChar w:fldCharType="begin"/>
        </w:r>
        <w:r w:rsidR="00242E8D">
          <w:rPr>
            <w:webHidden/>
          </w:rPr>
          <w:instrText xml:space="preserve"> PAGEREF _Toc68786561 \h </w:instrText>
        </w:r>
        <w:r w:rsidR="00242E8D">
          <w:rPr>
            <w:webHidden/>
          </w:rPr>
        </w:r>
        <w:r w:rsidR="00242E8D">
          <w:rPr>
            <w:webHidden/>
          </w:rPr>
          <w:fldChar w:fldCharType="separate"/>
        </w:r>
        <w:r w:rsidR="00B94D2F">
          <w:rPr>
            <w:webHidden/>
          </w:rPr>
          <w:t>405</w:t>
        </w:r>
        <w:r w:rsidR="00242E8D">
          <w:rPr>
            <w:webHidden/>
          </w:rPr>
          <w:fldChar w:fldCharType="end"/>
        </w:r>
      </w:hyperlink>
    </w:p>
    <w:p w14:paraId="358DA176" w14:textId="1D01D67B" w:rsidR="00242E8D" w:rsidRDefault="00087879">
      <w:pPr>
        <w:pStyle w:val="TableofFigures"/>
        <w:rPr>
          <w:rFonts w:asciiTheme="minorHAnsi" w:eastAsiaTheme="minorEastAsia" w:hAnsiTheme="minorHAnsi" w:cstheme="minorBidi"/>
          <w:sz w:val="22"/>
        </w:rPr>
      </w:pPr>
      <w:hyperlink w:anchor="_Toc68786562" w:history="1">
        <w:r w:rsidR="00242E8D" w:rsidRPr="00972364">
          <w:rPr>
            <w:rStyle w:val="Hyperlink"/>
          </w:rPr>
          <w:t>Table 8.1.2</w:t>
        </w:r>
        <w:r w:rsidR="00242E8D">
          <w:rPr>
            <w:rFonts w:asciiTheme="minorHAnsi" w:eastAsiaTheme="minorEastAsia" w:hAnsiTheme="minorHAnsi" w:cstheme="minorBidi"/>
            <w:sz w:val="22"/>
          </w:rPr>
          <w:tab/>
        </w:r>
        <w:r w:rsidR="00242E8D" w:rsidRPr="00972364">
          <w:rPr>
            <w:rStyle w:val="Hyperlink"/>
          </w:rPr>
          <w:t>Key sources for activity data in Tokelau</w:t>
        </w:r>
        <w:r w:rsidR="00242E8D">
          <w:rPr>
            <w:webHidden/>
          </w:rPr>
          <w:tab/>
        </w:r>
        <w:r w:rsidR="00242E8D">
          <w:rPr>
            <w:webHidden/>
          </w:rPr>
          <w:fldChar w:fldCharType="begin"/>
        </w:r>
        <w:r w:rsidR="00242E8D">
          <w:rPr>
            <w:webHidden/>
          </w:rPr>
          <w:instrText xml:space="preserve"> PAGEREF _Toc68786562 \h </w:instrText>
        </w:r>
        <w:r w:rsidR="00242E8D">
          <w:rPr>
            <w:webHidden/>
          </w:rPr>
        </w:r>
        <w:r w:rsidR="00242E8D">
          <w:rPr>
            <w:webHidden/>
          </w:rPr>
          <w:fldChar w:fldCharType="separate"/>
        </w:r>
        <w:r w:rsidR="00B94D2F">
          <w:rPr>
            <w:webHidden/>
          </w:rPr>
          <w:t>408</w:t>
        </w:r>
        <w:r w:rsidR="00242E8D">
          <w:rPr>
            <w:webHidden/>
          </w:rPr>
          <w:fldChar w:fldCharType="end"/>
        </w:r>
      </w:hyperlink>
    </w:p>
    <w:p w14:paraId="1578015D" w14:textId="618C832A" w:rsidR="00242E8D" w:rsidRDefault="00087879">
      <w:pPr>
        <w:pStyle w:val="TableofFigures"/>
        <w:rPr>
          <w:rFonts w:asciiTheme="minorHAnsi" w:eastAsiaTheme="minorEastAsia" w:hAnsiTheme="minorHAnsi" w:cstheme="minorBidi"/>
          <w:sz w:val="22"/>
        </w:rPr>
      </w:pPr>
      <w:hyperlink w:anchor="_Toc68786563" w:history="1">
        <w:r w:rsidR="00242E8D" w:rsidRPr="00972364">
          <w:rPr>
            <w:rStyle w:val="Hyperlink"/>
          </w:rPr>
          <w:t>Table 8.2.1</w:t>
        </w:r>
        <w:r w:rsidR="00242E8D">
          <w:rPr>
            <w:rFonts w:asciiTheme="minorHAnsi" w:eastAsiaTheme="minorEastAsia" w:hAnsiTheme="minorHAnsi" w:cstheme="minorBidi"/>
            <w:sz w:val="22"/>
          </w:rPr>
          <w:tab/>
        </w:r>
        <w:r w:rsidR="00242E8D" w:rsidRPr="00972364">
          <w:rPr>
            <w:rStyle w:val="Hyperlink"/>
          </w:rPr>
          <w:t>Uncertainties for the Energy industries category</w:t>
        </w:r>
        <w:r w:rsidR="00242E8D">
          <w:rPr>
            <w:webHidden/>
          </w:rPr>
          <w:tab/>
        </w:r>
        <w:r w:rsidR="00242E8D">
          <w:rPr>
            <w:webHidden/>
          </w:rPr>
          <w:fldChar w:fldCharType="begin"/>
        </w:r>
        <w:r w:rsidR="00242E8D">
          <w:rPr>
            <w:webHidden/>
          </w:rPr>
          <w:instrText xml:space="preserve"> PAGEREF _Toc68786563 \h </w:instrText>
        </w:r>
        <w:r w:rsidR="00242E8D">
          <w:rPr>
            <w:webHidden/>
          </w:rPr>
        </w:r>
        <w:r w:rsidR="00242E8D">
          <w:rPr>
            <w:webHidden/>
          </w:rPr>
          <w:fldChar w:fldCharType="separate"/>
        </w:r>
        <w:r w:rsidR="00B94D2F">
          <w:rPr>
            <w:webHidden/>
          </w:rPr>
          <w:t>413</w:t>
        </w:r>
        <w:r w:rsidR="00242E8D">
          <w:rPr>
            <w:webHidden/>
          </w:rPr>
          <w:fldChar w:fldCharType="end"/>
        </w:r>
      </w:hyperlink>
    </w:p>
    <w:p w14:paraId="37D909ED" w14:textId="5E94A2D0" w:rsidR="00242E8D" w:rsidRDefault="00087879">
      <w:pPr>
        <w:pStyle w:val="TableofFigures"/>
        <w:rPr>
          <w:rFonts w:asciiTheme="minorHAnsi" w:eastAsiaTheme="minorEastAsia" w:hAnsiTheme="minorHAnsi" w:cstheme="minorBidi"/>
          <w:sz w:val="22"/>
        </w:rPr>
      </w:pPr>
      <w:hyperlink w:anchor="_Toc68786564" w:history="1">
        <w:r w:rsidR="00242E8D" w:rsidRPr="00972364">
          <w:rPr>
            <w:rStyle w:val="Hyperlink"/>
          </w:rPr>
          <w:t>Table 8.2.2</w:t>
        </w:r>
        <w:r w:rsidR="00242E8D">
          <w:rPr>
            <w:rFonts w:asciiTheme="minorHAnsi" w:eastAsiaTheme="minorEastAsia" w:hAnsiTheme="minorHAnsi" w:cstheme="minorBidi"/>
            <w:sz w:val="22"/>
          </w:rPr>
          <w:tab/>
        </w:r>
        <w:r w:rsidR="00242E8D" w:rsidRPr="00972364">
          <w:rPr>
            <w:rStyle w:val="Hyperlink"/>
          </w:rPr>
          <w:t xml:space="preserve">Uncertainties for the </w:t>
        </w:r>
        <w:r w:rsidR="00242E8D" w:rsidRPr="00972364">
          <w:rPr>
            <w:rStyle w:val="Hyperlink"/>
            <w:iCs/>
          </w:rPr>
          <w:t>Other sectors – Residential</w:t>
        </w:r>
        <w:r w:rsidR="00242E8D" w:rsidRPr="00972364">
          <w:rPr>
            <w:rStyle w:val="Hyperlink"/>
            <w:i/>
          </w:rPr>
          <w:t xml:space="preserve"> </w:t>
        </w:r>
        <w:r w:rsidR="00242E8D" w:rsidRPr="00972364">
          <w:rPr>
            <w:rStyle w:val="Hyperlink"/>
          </w:rPr>
          <w:t>category</w:t>
        </w:r>
        <w:r w:rsidR="00242E8D">
          <w:rPr>
            <w:webHidden/>
          </w:rPr>
          <w:tab/>
        </w:r>
        <w:r w:rsidR="00242E8D">
          <w:rPr>
            <w:webHidden/>
          </w:rPr>
          <w:fldChar w:fldCharType="begin"/>
        </w:r>
        <w:r w:rsidR="00242E8D">
          <w:rPr>
            <w:webHidden/>
          </w:rPr>
          <w:instrText xml:space="preserve"> PAGEREF _Toc68786564 \h </w:instrText>
        </w:r>
        <w:r w:rsidR="00242E8D">
          <w:rPr>
            <w:webHidden/>
          </w:rPr>
        </w:r>
        <w:r w:rsidR="00242E8D">
          <w:rPr>
            <w:webHidden/>
          </w:rPr>
          <w:fldChar w:fldCharType="separate"/>
        </w:r>
        <w:r w:rsidR="00B94D2F">
          <w:rPr>
            <w:webHidden/>
          </w:rPr>
          <w:t>415</w:t>
        </w:r>
        <w:r w:rsidR="00242E8D">
          <w:rPr>
            <w:webHidden/>
          </w:rPr>
          <w:fldChar w:fldCharType="end"/>
        </w:r>
      </w:hyperlink>
    </w:p>
    <w:p w14:paraId="1C5EAB55" w14:textId="641BCAED" w:rsidR="00242E8D" w:rsidRDefault="00087879">
      <w:pPr>
        <w:pStyle w:val="TableofFigures"/>
        <w:rPr>
          <w:rFonts w:asciiTheme="minorHAnsi" w:eastAsiaTheme="minorEastAsia" w:hAnsiTheme="minorHAnsi" w:cstheme="minorBidi"/>
          <w:sz w:val="22"/>
        </w:rPr>
      </w:pPr>
      <w:hyperlink w:anchor="_Toc68786565" w:history="1">
        <w:r w:rsidR="00242E8D" w:rsidRPr="00972364">
          <w:rPr>
            <w:rStyle w:val="Hyperlink"/>
          </w:rPr>
          <w:t>Table 8.2.3</w:t>
        </w:r>
        <w:r w:rsidR="00242E8D">
          <w:rPr>
            <w:rFonts w:asciiTheme="minorHAnsi" w:eastAsiaTheme="minorEastAsia" w:hAnsiTheme="minorHAnsi" w:cstheme="minorBidi"/>
            <w:sz w:val="22"/>
          </w:rPr>
          <w:tab/>
        </w:r>
        <w:r w:rsidR="00242E8D" w:rsidRPr="00972364">
          <w:rPr>
            <w:rStyle w:val="Hyperlink"/>
          </w:rPr>
          <w:t>Uncertainties for the Mobile combustion category</w:t>
        </w:r>
        <w:r w:rsidR="00242E8D">
          <w:rPr>
            <w:webHidden/>
          </w:rPr>
          <w:tab/>
        </w:r>
        <w:r w:rsidR="00242E8D">
          <w:rPr>
            <w:webHidden/>
          </w:rPr>
          <w:fldChar w:fldCharType="begin"/>
        </w:r>
        <w:r w:rsidR="00242E8D">
          <w:rPr>
            <w:webHidden/>
          </w:rPr>
          <w:instrText xml:space="preserve"> PAGEREF _Toc68786565 \h </w:instrText>
        </w:r>
        <w:r w:rsidR="00242E8D">
          <w:rPr>
            <w:webHidden/>
          </w:rPr>
        </w:r>
        <w:r w:rsidR="00242E8D">
          <w:rPr>
            <w:webHidden/>
          </w:rPr>
          <w:fldChar w:fldCharType="separate"/>
        </w:r>
        <w:r w:rsidR="00B94D2F">
          <w:rPr>
            <w:webHidden/>
          </w:rPr>
          <w:t>417</w:t>
        </w:r>
        <w:r w:rsidR="00242E8D">
          <w:rPr>
            <w:webHidden/>
          </w:rPr>
          <w:fldChar w:fldCharType="end"/>
        </w:r>
      </w:hyperlink>
    </w:p>
    <w:p w14:paraId="76DF945F" w14:textId="006F8A3D" w:rsidR="00242E8D" w:rsidRDefault="00087879">
      <w:pPr>
        <w:pStyle w:val="TableofFigures"/>
        <w:rPr>
          <w:rFonts w:asciiTheme="minorHAnsi" w:eastAsiaTheme="minorEastAsia" w:hAnsiTheme="minorHAnsi" w:cstheme="minorBidi"/>
          <w:sz w:val="22"/>
        </w:rPr>
      </w:pPr>
      <w:hyperlink w:anchor="_Toc68786566" w:history="1">
        <w:r w:rsidR="00242E8D" w:rsidRPr="00972364">
          <w:rPr>
            <w:rStyle w:val="Hyperlink"/>
          </w:rPr>
          <w:t>Table 8.3.1</w:t>
        </w:r>
        <w:r w:rsidR="00242E8D">
          <w:rPr>
            <w:rFonts w:asciiTheme="minorHAnsi" w:eastAsiaTheme="minorEastAsia" w:hAnsiTheme="minorHAnsi" w:cstheme="minorBidi"/>
            <w:sz w:val="22"/>
          </w:rPr>
          <w:tab/>
        </w:r>
        <w:r w:rsidR="00242E8D" w:rsidRPr="00972364">
          <w:rPr>
            <w:rStyle w:val="Hyperlink"/>
          </w:rPr>
          <w:t>Uncertainties for Refrigeration and air conditioning category</w:t>
        </w:r>
        <w:r w:rsidR="00242E8D">
          <w:rPr>
            <w:webHidden/>
          </w:rPr>
          <w:tab/>
        </w:r>
        <w:r w:rsidR="00242E8D">
          <w:rPr>
            <w:webHidden/>
          </w:rPr>
          <w:fldChar w:fldCharType="begin"/>
        </w:r>
        <w:r w:rsidR="00242E8D">
          <w:rPr>
            <w:webHidden/>
          </w:rPr>
          <w:instrText xml:space="preserve"> PAGEREF _Toc68786566 \h </w:instrText>
        </w:r>
        <w:r w:rsidR="00242E8D">
          <w:rPr>
            <w:webHidden/>
          </w:rPr>
        </w:r>
        <w:r w:rsidR="00242E8D">
          <w:rPr>
            <w:webHidden/>
          </w:rPr>
          <w:fldChar w:fldCharType="separate"/>
        </w:r>
        <w:r w:rsidR="00B94D2F">
          <w:rPr>
            <w:webHidden/>
          </w:rPr>
          <w:t>420</w:t>
        </w:r>
        <w:r w:rsidR="00242E8D">
          <w:rPr>
            <w:webHidden/>
          </w:rPr>
          <w:fldChar w:fldCharType="end"/>
        </w:r>
      </w:hyperlink>
    </w:p>
    <w:p w14:paraId="7A4BFF10" w14:textId="56C9F002" w:rsidR="00242E8D" w:rsidRDefault="00087879">
      <w:pPr>
        <w:pStyle w:val="TableofFigures"/>
        <w:rPr>
          <w:rFonts w:asciiTheme="minorHAnsi" w:eastAsiaTheme="minorEastAsia" w:hAnsiTheme="minorHAnsi" w:cstheme="minorBidi"/>
          <w:sz w:val="22"/>
        </w:rPr>
      </w:pPr>
      <w:hyperlink w:anchor="_Toc68786567" w:history="1">
        <w:r w:rsidR="00242E8D" w:rsidRPr="00972364">
          <w:rPr>
            <w:rStyle w:val="Hyperlink"/>
          </w:rPr>
          <w:t>Table 8.3.2</w:t>
        </w:r>
        <w:r w:rsidR="00242E8D">
          <w:rPr>
            <w:rFonts w:asciiTheme="minorHAnsi" w:eastAsiaTheme="minorEastAsia" w:hAnsiTheme="minorHAnsi" w:cstheme="minorBidi"/>
            <w:sz w:val="22"/>
          </w:rPr>
          <w:tab/>
        </w:r>
        <w:r w:rsidR="00242E8D" w:rsidRPr="00972364">
          <w:rPr>
            <w:rStyle w:val="Hyperlink"/>
          </w:rPr>
          <w:t>Uncertainty in emissions from Other product manufacture and use</w:t>
        </w:r>
        <w:r w:rsidR="00242E8D">
          <w:rPr>
            <w:webHidden/>
          </w:rPr>
          <w:tab/>
        </w:r>
        <w:r w:rsidR="00242E8D">
          <w:rPr>
            <w:webHidden/>
          </w:rPr>
          <w:fldChar w:fldCharType="begin"/>
        </w:r>
        <w:r w:rsidR="00242E8D">
          <w:rPr>
            <w:webHidden/>
          </w:rPr>
          <w:instrText xml:space="preserve"> PAGEREF _Toc68786567 \h </w:instrText>
        </w:r>
        <w:r w:rsidR="00242E8D">
          <w:rPr>
            <w:webHidden/>
          </w:rPr>
        </w:r>
        <w:r w:rsidR="00242E8D">
          <w:rPr>
            <w:webHidden/>
          </w:rPr>
          <w:fldChar w:fldCharType="separate"/>
        </w:r>
        <w:r w:rsidR="00B94D2F">
          <w:rPr>
            <w:webHidden/>
          </w:rPr>
          <w:t>421</w:t>
        </w:r>
        <w:r w:rsidR="00242E8D">
          <w:rPr>
            <w:webHidden/>
          </w:rPr>
          <w:fldChar w:fldCharType="end"/>
        </w:r>
      </w:hyperlink>
    </w:p>
    <w:p w14:paraId="50850112" w14:textId="2DA9A615" w:rsidR="00242E8D" w:rsidRDefault="00087879">
      <w:pPr>
        <w:pStyle w:val="TableofFigures"/>
        <w:rPr>
          <w:rFonts w:asciiTheme="minorHAnsi" w:eastAsiaTheme="minorEastAsia" w:hAnsiTheme="minorHAnsi" w:cstheme="minorBidi"/>
          <w:sz w:val="22"/>
        </w:rPr>
      </w:pPr>
      <w:hyperlink w:anchor="_Toc68786568" w:history="1">
        <w:r w:rsidR="00242E8D" w:rsidRPr="00972364">
          <w:rPr>
            <w:rStyle w:val="Hyperlink"/>
          </w:rPr>
          <w:t xml:space="preserve">Table 8.4.1 </w:t>
        </w:r>
        <w:r w:rsidR="00242E8D">
          <w:rPr>
            <w:rFonts w:asciiTheme="minorHAnsi" w:eastAsiaTheme="minorEastAsia" w:hAnsiTheme="minorHAnsi" w:cstheme="minorBidi"/>
            <w:sz w:val="22"/>
          </w:rPr>
          <w:tab/>
        </w:r>
        <w:r w:rsidR="00242E8D" w:rsidRPr="00972364">
          <w:rPr>
            <w:rStyle w:val="Hyperlink"/>
          </w:rPr>
          <w:t>Number of livestock in Tokelau (2016)</w:t>
        </w:r>
        <w:r w:rsidR="00242E8D">
          <w:rPr>
            <w:webHidden/>
          </w:rPr>
          <w:tab/>
        </w:r>
        <w:r w:rsidR="00242E8D">
          <w:rPr>
            <w:webHidden/>
          </w:rPr>
          <w:fldChar w:fldCharType="begin"/>
        </w:r>
        <w:r w:rsidR="00242E8D">
          <w:rPr>
            <w:webHidden/>
          </w:rPr>
          <w:instrText xml:space="preserve"> PAGEREF _Toc68786568 \h </w:instrText>
        </w:r>
        <w:r w:rsidR="00242E8D">
          <w:rPr>
            <w:webHidden/>
          </w:rPr>
        </w:r>
        <w:r w:rsidR="00242E8D">
          <w:rPr>
            <w:webHidden/>
          </w:rPr>
          <w:fldChar w:fldCharType="separate"/>
        </w:r>
        <w:r w:rsidR="00B94D2F">
          <w:rPr>
            <w:webHidden/>
          </w:rPr>
          <w:t>422</w:t>
        </w:r>
        <w:r w:rsidR="00242E8D">
          <w:rPr>
            <w:webHidden/>
          </w:rPr>
          <w:fldChar w:fldCharType="end"/>
        </w:r>
      </w:hyperlink>
    </w:p>
    <w:p w14:paraId="1986FDE9" w14:textId="40568B20" w:rsidR="00242E8D" w:rsidRDefault="00087879">
      <w:pPr>
        <w:pStyle w:val="TableofFigures"/>
        <w:rPr>
          <w:rFonts w:asciiTheme="minorHAnsi" w:eastAsiaTheme="minorEastAsia" w:hAnsiTheme="minorHAnsi" w:cstheme="minorBidi"/>
          <w:sz w:val="22"/>
        </w:rPr>
      </w:pPr>
      <w:hyperlink w:anchor="_Toc68786569" w:history="1">
        <w:r w:rsidR="00242E8D" w:rsidRPr="00972364">
          <w:rPr>
            <w:rStyle w:val="Hyperlink"/>
            <w:rFonts w:eastAsia="Calibri"/>
          </w:rPr>
          <w:t>Table 8.5.1</w:t>
        </w:r>
        <w:r w:rsidR="00242E8D">
          <w:rPr>
            <w:rFonts w:asciiTheme="minorHAnsi" w:eastAsiaTheme="minorEastAsia" w:hAnsiTheme="minorHAnsi" w:cstheme="minorBidi"/>
            <w:sz w:val="22"/>
          </w:rPr>
          <w:tab/>
        </w:r>
        <w:r w:rsidR="00242E8D" w:rsidRPr="00972364">
          <w:rPr>
            <w:rStyle w:val="Hyperlink"/>
            <w:rFonts w:eastAsia="Calibri"/>
          </w:rPr>
          <w:t>Summary of parameters for uncategorised landfills in Tokelau</w:t>
        </w:r>
        <w:r w:rsidR="00242E8D">
          <w:rPr>
            <w:webHidden/>
          </w:rPr>
          <w:tab/>
        </w:r>
        <w:r w:rsidR="00242E8D">
          <w:rPr>
            <w:webHidden/>
          </w:rPr>
          <w:fldChar w:fldCharType="begin"/>
        </w:r>
        <w:r w:rsidR="00242E8D">
          <w:rPr>
            <w:webHidden/>
          </w:rPr>
          <w:instrText xml:space="preserve"> PAGEREF _Toc68786569 \h </w:instrText>
        </w:r>
        <w:r w:rsidR="00242E8D">
          <w:rPr>
            <w:webHidden/>
          </w:rPr>
        </w:r>
        <w:r w:rsidR="00242E8D">
          <w:rPr>
            <w:webHidden/>
          </w:rPr>
          <w:fldChar w:fldCharType="separate"/>
        </w:r>
        <w:r w:rsidR="00B94D2F">
          <w:rPr>
            <w:webHidden/>
          </w:rPr>
          <w:t>426</w:t>
        </w:r>
        <w:r w:rsidR="00242E8D">
          <w:rPr>
            <w:webHidden/>
          </w:rPr>
          <w:fldChar w:fldCharType="end"/>
        </w:r>
      </w:hyperlink>
    </w:p>
    <w:p w14:paraId="6AC79C79" w14:textId="2A503528" w:rsidR="00242E8D" w:rsidRDefault="00087879">
      <w:pPr>
        <w:pStyle w:val="TableofFigures"/>
        <w:rPr>
          <w:rFonts w:asciiTheme="minorHAnsi" w:eastAsiaTheme="minorEastAsia" w:hAnsiTheme="minorHAnsi" w:cstheme="minorBidi"/>
          <w:sz w:val="22"/>
        </w:rPr>
      </w:pPr>
      <w:hyperlink w:anchor="_Toc68786570" w:history="1">
        <w:r w:rsidR="00242E8D" w:rsidRPr="00972364">
          <w:rPr>
            <w:rStyle w:val="Hyperlink"/>
          </w:rPr>
          <w:t>Table 8.5.2</w:t>
        </w:r>
        <w:r w:rsidR="00242E8D">
          <w:rPr>
            <w:rFonts w:asciiTheme="minorHAnsi" w:eastAsiaTheme="minorEastAsia" w:hAnsiTheme="minorHAnsi" w:cstheme="minorBidi"/>
            <w:sz w:val="22"/>
          </w:rPr>
          <w:tab/>
        </w:r>
        <w:r w:rsidR="00242E8D" w:rsidRPr="00972364">
          <w:rPr>
            <w:rStyle w:val="Hyperlink"/>
          </w:rPr>
          <w:t>Uncertainty in emissions from the Solid waste disposal category</w:t>
        </w:r>
        <w:r w:rsidR="00242E8D">
          <w:rPr>
            <w:webHidden/>
          </w:rPr>
          <w:tab/>
        </w:r>
        <w:r w:rsidR="00242E8D">
          <w:rPr>
            <w:webHidden/>
          </w:rPr>
          <w:fldChar w:fldCharType="begin"/>
        </w:r>
        <w:r w:rsidR="00242E8D">
          <w:rPr>
            <w:webHidden/>
          </w:rPr>
          <w:instrText xml:space="preserve"> PAGEREF _Toc68786570 \h </w:instrText>
        </w:r>
        <w:r w:rsidR="00242E8D">
          <w:rPr>
            <w:webHidden/>
          </w:rPr>
        </w:r>
        <w:r w:rsidR="00242E8D">
          <w:rPr>
            <w:webHidden/>
          </w:rPr>
          <w:fldChar w:fldCharType="separate"/>
        </w:r>
        <w:r w:rsidR="00B94D2F">
          <w:rPr>
            <w:webHidden/>
          </w:rPr>
          <w:t>426</w:t>
        </w:r>
        <w:r w:rsidR="00242E8D">
          <w:rPr>
            <w:webHidden/>
          </w:rPr>
          <w:fldChar w:fldCharType="end"/>
        </w:r>
      </w:hyperlink>
    </w:p>
    <w:p w14:paraId="06CABD14" w14:textId="36F050C3" w:rsidR="00242E8D" w:rsidRDefault="00087879">
      <w:pPr>
        <w:pStyle w:val="TableofFigures"/>
        <w:rPr>
          <w:rFonts w:asciiTheme="minorHAnsi" w:eastAsiaTheme="minorEastAsia" w:hAnsiTheme="minorHAnsi" w:cstheme="minorBidi"/>
          <w:sz w:val="22"/>
        </w:rPr>
      </w:pPr>
      <w:hyperlink w:anchor="_Toc68786571" w:history="1">
        <w:r w:rsidR="00242E8D" w:rsidRPr="00972364">
          <w:rPr>
            <w:rStyle w:val="Hyperlink"/>
            <w:rFonts w:eastAsia="Calibri" w:cs="Arial"/>
          </w:rPr>
          <w:t>Table 8.5.3</w:t>
        </w:r>
        <w:r w:rsidR="00242E8D">
          <w:rPr>
            <w:rFonts w:asciiTheme="minorHAnsi" w:eastAsiaTheme="minorEastAsia" w:hAnsiTheme="minorHAnsi" w:cstheme="minorBidi"/>
            <w:sz w:val="22"/>
          </w:rPr>
          <w:tab/>
        </w:r>
        <w:r w:rsidR="00242E8D" w:rsidRPr="00972364">
          <w:rPr>
            <w:rStyle w:val="Hyperlink"/>
            <w:rFonts w:eastAsia="Calibri" w:cs="Arial"/>
          </w:rPr>
          <w:t>Composition data and carbon content used for estimating emissions from Open burning of waste</w:t>
        </w:r>
        <w:r w:rsidR="00242E8D">
          <w:rPr>
            <w:webHidden/>
          </w:rPr>
          <w:tab/>
        </w:r>
        <w:r w:rsidR="00242E8D">
          <w:rPr>
            <w:webHidden/>
          </w:rPr>
          <w:fldChar w:fldCharType="begin"/>
        </w:r>
        <w:r w:rsidR="00242E8D">
          <w:rPr>
            <w:webHidden/>
          </w:rPr>
          <w:instrText xml:space="preserve"> PAGEREF _Toc68786571 \h </w:instrText>
        </w:r>
        <w:r w:rsidR="00242E8D">
          <w:rPr>
            <w:webHidden/>
          </w:rPr>
        </w:r>
        <w:r w:rsidR="00242E8D">
          <w:rPr>
            <w:webHidden/>
          </w:rPr>
          <w:fldChar w:fldCharType="separate"/>
        </w:r>
        <w:r w:rsidR="00B94D2F">
          <w:rPr>
            <w:webHidden/>
          </w:rPr>
          <w:t>427</w:t>
        </w:r>
        <w:r w:rsidR="00242E8D">
          <w:rPr>
            <w:webHidden/>
          </w:rPr>
          <w:fldChar w:fldCharType="end"/>
        </w:r>
      </w:hyperlink>
    </w:p>
    <w:p w14:paraId="2AC46A21" w14:textId="77640D29" w:rsidR="00242E8D" w:rsidRDefault="00087879">
      <w:pPr>
        <w:pStyle w:val="TableofFigures"/>
        <w:rPr>
          <w:rFonts w:asciiTheme="minorHAnsi" w:eastAsiaTheme="minorEastAsia" w:hAnsiTheme="minorHAnsi" w:cstheme="minorBidi"/>
          <w:sz w:val="22"/>
        </w:rPr>
      </w:pPr>
      <w:hyperlink w:anchor="_Toc68786572" w:history="1">
        <w:r w:rsidR="00242E8D" w:rsidRPr="00972364">
          <w:rPr>
            <w:rStyle w:val="Hyperlink"/>
          </w:rPr>
          <w:t>Table 8.5.4</w:t>
        </w:r>
        <w:r w:rsidR="00242E8D">
          <w:rPr>
            <w:rFonts w:asciiTheme="minorHAnsi" w:eastAsiaTheme="minorEastAsia" w:hAnsiTheme="minorHAnsi" w:cstheme="minorBidi"/>
            <w:sz w:val="22"/>
          </w:rPr>
          <w:tab/>
        </w:r>
        <w:r w:rsidR="00242E8D" w:rsidRPr="00972364">
          <w:rPr>
            <w:rStyle w:val="Hyperlink"/>
          </w:rPr>
          <w:t>Uncertainty in emissions from open burning of waste for Tokelau.</w:t>
        </w:r>
        <w:r w:rsidR="00242E8D">
          <w:rPr>
            <w:webHidden/>
          </w:rPr>
          <w:tab/>
        </w:r>
        <w:r w:rsidR="00242E8D">
          <w:rPr>
            <w:webHidden/>
          </w:rPr>
          <w:fldChar w:fldCharType="begin"/>
        </w:r>
        <w:r w:rsidR="00242E8D">
          <w:rPr>
            <w:webHidden/>
          </w:rPr>
          <w:instrText xml:space="preserve"> PAGEREF _Toc68786572 \h </w:instrText>
        </w:r>
        <w:r w:rsidR="00242E8D">
          <w:rPr>
            <w:webHidden/>
          </w:rPr>
        </w:r>
        <w:r w:rsidR="00242E8D">
          <w:rPr>
            <w:webHidden/>
          </w:rPr>
          <w:fldChar w:fldCharType="separate"/>
        </w:r>
        <w:r w:rsidR="00B94D2F">
          <w:rPr>
            <w:webHidden/>
          </w:rPr>
          <w:t>428</w:t>
        </w:r>
        <w:r w:rsidR="00242E8D">
          <w:rPr>
            <w:webHidden/>
          </w:rPr>
          <w:fldChar w:fldCharType="end"/>
        </w:r>
      </w:hyperlink>
    </w:p>
    <w:p w14:paraId="4C2840DD" w14:textId="1839C4EE" w:rsidR="00242E8D" w:rsidRDefault="00087879">
      <w:pPr>
        <w:pStyle w:val="TableofFigures"/>
        <w:rPr>
          <w:rFonts w:asciiTheme="minorHAnsi" w:eastAsiaTheme="minorEastAsia" w:hAnsiTheme="minorHAnsi" w:cstheme="minorBidi"/>
          <w:sz w:val="22"/>
        </w:rPr>
      </w:pPr>
      <w:hyperlink w:anchor="_Toc68786573" w:history="1">
        <w:r w:rsidR="00242E8D" w:rsidRPr="00972364">
          <w:rPr>
            <w:rStyle w:val="Hyperlink"/>
          </w:rPr>
          <w:t>Table 8.5.5</w:t>
        </w:r>
        <w:r w:rsidR="00242E8D">
          <w:rPr>
            <w:rFonts w:asciiTheme="minorHAnsi" w:eastAsiaTheme="minorEastAsia" w:hAnsiTheme="minorHAnsi" w:cstheme="minorBidi"/>
            <w:sz w:val="22"/>
          </w:rPr>
          <w:tab/>
        </w:r>
        <w:r w:rsidR="00242E8D" w:rsidRPr="00972364">
          <w:rPr>
            <w:rStyle w:val="Hyperlink"/>
          </w:rPr>
          <w:t>Parameters for estimating methane emissions for Tokelau wastewater treatment</w:t>
        </w:r>
        <w:r w:rsidR="00242E8D">
          <w:rPr>
            <w:webHidden/>
          </w:rPr>
          <w:tab/>
        </w:r>
        <w:r w:rsidR="00242E8D">
          <w:rPr>
            <w:webHidden/>
          </w:rPr>
          <w:fldChar w:fldCharType="begin"/>
        </w:r>
        <w:r w:rsidR="00242E8D">
          <w:rPr>
            <w:webHidden/>
          </w:rPr>
          <w:instrText xml:space="preserve"> PAGEREF _Toc68786573 \h </w:instrText>
        </w:r>
        <w:r w:rsidR="00242E8D">
          <w:rPr>
            <w:webHidden/>
          </w:rPr>
        </w:r>
        <w:r w:rsidR="00242E8D">
          <w:rPr>
            <w:webHidden/>
          </w:rPr>
          <w:fldChar w:fldCharType="separate"/>
        </w:r>
        <w:r w:rsidR="00B94D2F">
          <w:rPr>
            <w:webHidden/>
          </w:rPr>
          <w:t>429</w:t>
        </w:r>
        <w:r w:rsidR="00242E8D">
          <w:rPr>
            <w:webHidden/>
          </w:rPr>
          <w:fldChar w:fldCharType="end"/>
        </w:r>
      </w:hyperlink>
    </w:p>
    <w:p w14:paraId="3F4D4610" w14:textId="13097A0F" w:rsidR="00242E8D" w:rsidRDefault="00087879">
      <w:pPr>
        <w:pStyle w:val="TableofFigures"/>
        <w:rPr>
          <w:rFonts w:asciiTheme="minorHAnsi" w:eastAsiaTheme="minorEastAsia" w:hAnsiTheme="minorHAnsi" w:cstheme="minorBidi"/>
          <w:sz w:val="22"/>
        </w:rPr>
      </w:pPr>
      <w:hyperlink w:anchor="_Toc68786574" w:history="1">
        <w:r w:rsidR="00242E8D" w:rsidRPr="00972364">
          <w:rPr>
            <w:rStyle w:val="Hyperlink"/>
          </w:rPr>
          <w:t>Table 8.5.6</w:t>
        </w:r>
        <w:r w:rsidR="00242E8D">
          <w:rPr>
            <w:rFonts w:asciiTheme="minorHAnsi" w:eastAsiaTheme="minorEastAsia" w:hAnsiTheme="minorHAnsi" w:cstheme="minorBidi"/>
            <w:sz w:val="22"/>
          </w:rPr>
          <w:tab/>
        </w:r>
        <w:r w:rsidR="00242E8D" w:rsidRPr="00972364">
          <w:rPr>
            <w:rStyle w:val="Hyperlink"/>
          </w:rPr>
          <w:t>Parameter values applied for estimating nitrous oxide emissions for Tokelau wastewater treatment</w:t>
        </w:r>
        <w:r w:rsidR="00242E8D">
          <w:rPr>
            <w:webHidden/>
          </w:rPr>
          <w:tab/>
        </w:r>
        <w:r w:rsidR="00242E8D">
          <w:rPr>
            <w:webHidden/>
          </w:rPr>
          <w:fldChar w:fldCharType="begin"/>
        </w:r>
        <w:r w:rsidR="00242E8D">
          <w:rPr>
            <w:webHidden/>
          </w:rPr>
          <w:instrText xml:space="preserve"> PAGEREF _Toc68786574 \h </w:instrText>
        </w:r>
        <w:r w:rsidR="00242E8D">
          <w:rPr>
            <w:webHidden/>
          </w:rPr>
        </w:r>
        <w:r w:rsidR="00242E8D">
          <w:rPr>
            <w:webHidden/>
          </w:rPr>
          <w:fldChar w:fldCharType="separate"/>
        </w:r>
        <w:r w:rsidR="00B94D2F">
          <w:rPr>
            <w:webHidden/>
          </w:rPr>
          <w:t>429</w:t>
        </w:r>
        <w:r w:rsidR="00242E8D">
          <w:rPr>
            <w:webHidden/>
          </w:rPr>
          <w:fldChar w:fldCharType="end"/>
        </w:r>
      </w:hyperlink>
    </w:p>
    <w:p w14:paraId="12859D3F" w14:textId="1E71D0C1" w:rsidR="00242E8D" w:rsidRDefault="00087879">
      <w:pPr>
        <w:pStyle w:val="TableofFigures"/>
        <w:rPr>
          <w:rFonts w:asciiTheme="minorHAnsi" w:eastAsiaTheme="minorEastAsia" w:hAnsiTheme="minorHAnsi" w:cstheme="minorBidi"/>
          <w:sz w:val="22"/>
        </w:rPr>
      </w:pPr>
      <w:hyperlink w:anchor="_Toc68786575" w:history="1">
        <w:r w:rsidR="00242E8D" w:rsidRPr="00972364">
          <w:rPr>
            <w:rStyle w:val="Hyperlink"/>
          </w:rPr>
          <w:t>Table 8.5.7</w:t>
        </w:r>
        <w:r w:rsidR="00242E8D">
          <w:rPr>
            <w:rFonts w:asciiTheme="minorHAnsi" w:eastAsiaTheme="minorEastAsia" w:hAnsiTheme="minorHAnsi" w:cstheme="minorBidi"/>
            <w:sz w:val="22"/>
          </w:rPr>
          <w:tab/>
        </w:r>
        <w:r w:rsidR="00242E8D" w:rsidRPr="00972364">
          <w:rPr>
            <w:rStyle w:val="Hyperlink"/>
          </w:rPr>
          <w:t>Uncertainty in emissions from domestic wastewater</w:t>
        </w:r>
        <w:r w:rsidR="00242E8D">
          <w:rPr>
            <w:webHidden/>
          </w:rPr>
          <w:tab/>
        </w:r>
        <w:r w:rsidR="00242E8D">
          <w:rPr>
            <w:webHidden/>
          </w:rPr>
          <w:fldChar w:fldCharType="begin"/>
        </w:r>
        <w:r w:rsidR="00242E8D">
          <w:rPr>
            <w:webHidden/>
          </w:rPr>
          <w:instrText xml:space="preserve"> PAGEREF _Toc68786575 \h </w:instrText>
        </w:r>
        <w:r w:rsidR="00242E8D">
          <w:rPr>
            <w:webHidden/>
          </w:rPr>
        </w:r>
        <w:r w:rsidR="00242E8D">
          <w:rPr>
            <w:webHidden/>
          </w:rPr>
          <w:fldChar w:fldCharType="separate"/>
        </w:r>
        <w:r w:rsidR="00B94D2F">
          <w:rPr>
            <w:webHidden/>
          </w:rPr>
          <w:t>430</w:t>
        </w:r>
        <w:r w:rsidR="00242E8D">
          <w:rPr>
            <w:webHidden/>
          </w:rPr>
          <w:fldChar w:fldCharType="end"/>
        </w:r>
      </w:hyperlink>
    </w:p>
    <w:p w14:paraId="2AEE2DAA" w14:textId="4951D148" w:rsidR="00242E8D" w:rsidRDefault="00087879">
      <w:pPr>
        <w:pStyle w:val="TableofFigures"/>
        <w:rPr>
          <w:rFonts w:asciiTheme="minorHAnsi" w:eastAsiaTheme="minorEastAsia" w:hAnsiTheme="minorHAnsi" w:cstheme="minorBidi"/>
          <w:sz w:val="22"/>
        </w:rPr>
      </w:pPr>
      <w:hyperlink w:anchor="_Toc68786576" w:history="1">
        <w:r w:rsidR="00242E8D" w:rsidRPr="00972364">
          <w:rPr>
            <w:rStyle w:val="Hyperlink"/>
          </w:rPr>
          <w:t xml:space="preserve">Table 10.1.1 </w:t>
        </w:r>
        <w:r w:rsidR="00242E8D">
          <w:rPr>
            <w:rFonts w:asciiTheme="minorHAnsi" w:eastAsiaTheme="minorEastAsia" w:hAnsiTheme="minorHAnsi" w:cstheme="minorBidi"/>
            <w:sz w:val="22"/>
          </w:rPr>
          <w:tab/>
        </w:r>
        <w:r w:rsidR="00242E8D" w:rsidRPr="00972364">
          <w:rPr>
            <w:rStyle w:val="Hyperlink"/>
          </w:rPr>
          <w:t>Largest recalculations in each sector that increase net emissions estimates</w:t>
        </w:r>
        <w:r w:rsidR="00242E8D">
          <w:rPr>
            <w:webHidden/>
          </w:rPr>
          <w:tab/>
        </w:r>
        <w:r w:rsidR="00242E8D">
          <w:rPr>
            <w:webHidden/>
          </w:rPr>
          <w:fldChar w:fldCharType="begin"/>
        </w:r>
        <w:r w:rsidR="00242E8D">
          <w:rPr>
            <w:webHidden/>
          </w:rPr>
          <w:instrText xml:space="preserve"> PAGEREF _Toc68786576 \h </w:instrText>
        </w:r>
        <w:r w:rsidR="00242E8D">
          <w:rPr>
            <w:webHidden/>
          </w:rPr>
        </w:r>
        <w:r w:rsidR="00242E8D">
          <w:rPr>
            <w:webHidden/>
          </w:rPr>
          <w:fldChar w:fldCharType="separate"/>
        </w:r>
        <w:r w:rsidR="00B94D2F">
          <w:rPr>
            <w:webHidden/>
          </w:rPr>
          <w:t>434</w:t>
        </w:r>
        <w:r w:rsidR="00242E8D">
          <w:rPr>
            <w:webHidden/>
          </w:rPr>
          <w:fldChar w:fldCharType="end"/>
        </w:r>
      </w:hyperlink>
    </w:p>
    <w:p w14:paraId="0E5A99F1" w14:textId="5A29B377" w:rsidR="00242E8D" w:rsidRDefault="00087879">
      <w:pPr>
        <w:pStyle w:val="TableofFigures"/>
        <w:rPr>
          <w:rFonts w:asciiTheme="minorHAnsi" w:eastAsiaTheme="minorEastAsia" w:hAnsiTheme="minorHAnsi" w:cstheme="minorBidi"/>
          <w:sz w:val="22"/>
        </w:rPr>
      </w:pPr>
      <w:hyperlink w:anchor="_Toc68786577" w:history="1">
        <w:r w:rsidR="00242E8D" w:rsidRPr="00972364">
          <w:rPr>
            <w:rStyle w:val="Hyperlink"/>
          </w:rPr>
          <w:t xml:space="preserve">Table 10.1.2 </w:t>
        </w:r>
        <w:r w:rsidR="00242E8D">
          <w:rPr>
            <w:rFonts w:asciiTheme="minorHAnsi" w:eastAsiaTheme="minorEastAsia" w:hAnsiTheme="minorHAnsi" w:cstheme="minorBidi"/>
            <w:sz w:val="22"/>
          </w:rPr>
          <w:tab/>
        </w:r>
        <w:r w:rsidR="00242E8D" w:rsidRPr="00972364">
          <w:rPr>
            <w:rStyle w:val="Hyperlink"/>
          </w:rPr>
          <w:t>Largest recalculations in each sector that reduce net emissions estimates</w:t>
        </w:r>
        <w:r w:rsidR="00242E8D">
          <w:rPr>
            <w:webHidden/>
          </w:rPr>
          <w:tab/>
        </w:r>
        <w:r w:rsidR="00242E8D">
          <w:rPr>
            <w:webHidden/>
          </w:rPr>
          <w:fldChar w:fldCharType="begin"/>
        </w:r>
        <w:r w:rsidR="00242E8D">
          <w:rPr>
            <w:webHidden/>
          </w:rPr>
          <w:instrText xml:space="preserve"> PAGEREF _Toc68786577 \h </w:instrText>
        </w:r>
        <w:r w:rsidR="00242E8D">
          <w:rPr>
            <w:webHidden/>
          </w:rPr>
        </w:r>
        <w:r w:rsidR="00242E8D">
          <w:rPr>
            <w:webHidden/>
          </w:rPr>
          <w:fldChar w:fldCharType="separate"/>
        </w:r>
        <w:r w:rsidR="00B94D2F">
          <w:rPr>
            <w:webHidden/>
          </w:rPr>
          <w:t>435</w:t>
        </w:r>
        <w:r w:rsidR="00242E8D">
          <w:rPr>
            <w:webHidden/>
          </w:rPr>
          <w:fldChar w:fldCharType="end"/>
        </w:r>
      </w:hyperlink>
    </w:p>
    <w:p w14:paraId="44D07B75" w14:textId="27387E00" w:rsidR="00242E8D" w:rsidRDefault="00087879">
      <w:pPr>
        <w:pStyle w:val="TableofFigures"/>
        <w:rPr>
          <w:rFonts w:asciiTheme="minorHAnsi" w:eastAsiaTheme="minorEastAsia" w:hAnsiTheme="minorHAnsi" w:cstheme="minorBidi"/>
          <w:sz w:val="22"/>
        </w:rPr>
      </w:pPr>
      <w:hyperlink w:anchor="_Toc68786578" w:history="1">
        <w:r w:rsidR="00242E8D" w:rsidRPr="00972364">
          <w:rPr>
            <w:rStyle w:val="Hyperlink"/>
          </w:rPr>
          <w:t xml:space="preserve">Table 10.1.3 </w:t>
        </w:r>
        <w:r w:rsidR="00242E8D">
          <w:rPr>
            <w:rFonts w:asciiTheme="minorHAnsi" w:eastAsiaTheme="minorEastAsia" w:hAnsiTheme="minorHAnsi" w:cstheme="minorBidi"/>
            <w:sz w:val="22"/>
          </w:rPr>
          <w:tab/>
        </w:r>
        <w:r w:rsidR="00242E8D" w:rsidRPr="00972364">
          <w:rPr>
            <w:rStyle w:val="Hyperlink"/>
          </w:rPr>
          <w:t>Explanations and justifications for recalculations in the IPPU sector</w:t>
        </w:r>
        <w:r w:rsidR="00242E8D">
          <w:rPr>
            <w:webHidden/>
          </w:rPr>
          <w:tab/>
        </w:r>
        <w:r w:rsidR="00242E8D">
          <w:rPr>
            <w:webHidden/>
          </w:rPr>
          <w:fldChar w:fldCharType="begin"/>
        </w:r>
        <w:r w:rsidR="00242E8D">
          <w:rPr>
            <w:webHidden/>
          </w:rPr>
          <w:instrText xml:space="preserve"> PAGEREF _Toc68786578 \h </w:instrText>
        </w:r>
        <w:r w:rsidR="00242E8D">
          <w:rPr>
            <w:webHidden/>
          </w:rPr>
        </w:r>
        <w:r w:rsidR="00242E8D">
          <w:rPr>
            <w:webHidden/>
          </w:rPr>
          <w:fldChar w:fldCharType="separate"/>
        </w:r>
        <w:r w:rsidR="00B94D2F">
          <w:rPr>
            <w:webHidden/>
          </w:rPr>
          <w:t>436</w:t>
        </w:r>
        <w:r w:rsidR="00242E8D">
          <w:rPr>
            <w:webHidden/>
          </w:rPr>
          <w:fldChar w:fldCharType="end"/>
        </w:r>
      </w:hyperlink>
    </w:p>
    <w:p w14:paraId="0D1D073B" w14:textId="58EA92BA" w:rsidR="00242E8D" w:rsidRDefault="00087879">
      <w:pPr>
        <w:pStyle w:val="TableofFigures"/>
        <w:rPr>
          <w:rFonts w:asciiTheme="minorHAnsi" w:eastAsiaTheme="minorEastAsia" w:hAnsiTheme="minorHAnsi" w:cstheme="minorBidi"/>
          <w:sz w:val="22"/>
        </w:rPr>
      </w:pPr>
      <w:hyperlink w:anchor="_Toc68786579" w:history="1">
        <w:r w:rsidR="00242E8D" w:rsidRPr="00972364">
          <w:rPr>
            <w:rStyle w:val="Hyperlink"/>
          </w:rPr>
          <w:t xml:space="preserve">Table 10.1.4 </w:t>
        </w:r>
        <w:r w:rsidR="00242E8D">
          <w:rPr>
            <w:rFonts w:asciiTheme="minorHAnsi" w:eastAsiaTheme="minorEastAsia" w:hAnsiTheme="minorHAnsi" w:cstheme="minorBidi"/>
            <w:sz w:val="22"/>
          </w:rPr>
          <w:tab/>
        </w:r>
        <w:r w:rsidR="00242E8D" w:rsidRPr="00972364">
          <w:rPr>
            <w:rStyle w:val="Hyperlink"/>
          </w:rPr>
          <w:t>Comparison of current and previous emissions estimates before and after change to the area of managed organic soils used in the inventory</w:t>
        </w:r>
        <w:r w:rsidR="00242E8D">
          <w:rPr>
            <w:webHidden/>
          </w:rPr>
          <w:tab/>
        </w:r>
        <w:r w:rsidR="00242E8D">
          <w:rPr>
            <w:webHidden/>
          </w:rPr>
          <w:fldChar w:fldCharType="begin"/>
        </w:r>
        <w:r w:rsidR="00242E8D">
          <w:rPr>
            <w:webHidden/>
          </w:rPr>
          <w:instrText xml:space="preserve"> PAGEREF _Toc68786579 \h </w:instrText>
        </w:r>
        <w:r w:rsidR="00242E8D">
          <w:rPr>
            <w:webHidden/>
          </w:rPr>
        </w:r>
        <w:r w:rsidR="00242E8D">
          <w:rPr>
            <w:webHidden/>
          </w:rPr>
          <w:fldChar w:fldCharType="separate"/>
        </w:r>
        <w:r w:rsidR="00B94D2F">
          <w:rPr>
            <w:webHidden/>
          </w:rPr>
          <w:t>438</w:t>
        </w:r>
        <w:r w:rsidR="00242E8D">
          <w:rPr>
            <w:webHidden/>
          </w:rPr>
          <w:fldChar w:fldCharType="end"/>
        </w:r>
      </w:hyperlink>
    </w:p>
    <w:p w14:paraId="2DAB201A" w14:textId="6FECE978" w:rsidR="00242E8D" w:rsidRDefault="00087879">
      <w:pPr>
        <w:pStyle w:val="TableofFigures"/>
        <w:rPr>
          <w:rFonts w:asciiTheme="minorHAnsi" w:eastAsiaTheme="minorEastAsia" w:hAnsiTheme="minorHAnsi" w:cstheme="minorBidi"/>
          <w:sz w:val="22"/>
        </w:rPr>
      </w:pPr>
      <w:hyperlink w:anchor="_Toc68786580" w:history="1">
        <w:r w:rsidR="00242E8D" w:rsidRPr="00972364">
          <w:rPr>
            <w:rStyle w:val="Hyperlink"/>
          </w:rPr>
          <w:t xml:space="preserve">Table 10.1.5 </w:t>
        </w:r>
        <w:r w:rsidR="00242E8D">
          <w:rPr>
            <w:rFonts w:asciiTheme="minorHAnsi" w:eastAsiaTheme="minorEastAsia" w:hAnsiTheme="minorHAnsi" w:cstheme="minorBidi"/>
            <w:sz w:val="22"/>
          </w:rPr>
          <w:tab/>
        </w:r>
        <w:r w:rsidR="00242E8D" w:rsidRPr="00972364">
          <w:rPr>
            <w:rStyle w:val="Hyperlink"/>
          </w:rPr>
          <w:t>Comparison of previous and new pasture quality values (ME (MJ kg–1 DMI), OMD (%) and N content (%)) by month and livestock type – values in brackets show percentage change compared with previous values</w:t>
        </w:r>
        <w:r w:rsidR="00242E8D">
          <w:rPr>
            <w:webHidden/>
          </w:rPr>
          <w:tab/>
        </w:r>
        <w:r w:rsidR="00242E8D">
          <w:rPr>
            <w:webHidden/>
          </w:rPr>
          <w:fldChar w:fldCharType="begin"/>
        </w:r>
        <w:r w:rsidR="00242E8D">
          <w:rPr>
            <w:webHidden/>
          </w:rPr>
          <w:instrText xml:space="preserve"> PAGEREF _Toc68786580 \h </w:instrText>
        </w:r>
        <w:r w:rsidR="00242E8D">
          <w:rPr>
            <w:webHidden/>
          </w:rPr>
        </w:r>
        <w:r w:rsidR="00242E8D">
          <w:rPr>
            <w:webHidden/>
          </w:rPr>
          <w:fldChar w:fldCharType="separate"/>
        </w:r>
        <w:r w:rsidR="00B94D2F">
          <w:rPr>
            <w:webHidden/>
          </w:rPr>
          <w:t>439</w:t>
        </w:r>
        <w:r w:rsidR="00242E8D">
          <w:rPr>
            <w:webHidden/>
          </w:rPr>
          <w:fldChar w:fldCharType="end"/>
        </w:r>
      </w:hyperlink>
    </w:p>
    <w:p w14:paraId="18FB4BBB" w14:textId="2DE1CD6D" w:rsidR="00242E8D" w:rsidRDefault="00087879">
      <w:pPr>
        <w:pStyle w:val="TableofFigures"/>
        <w:rPr>
          <w:rFonts w:asciiTheme="minorHAnsi" w:eastAsiaTheme="minorEastAsia" w:hAnsiTheme="minorHAnsi" w:cstheme="minorBidi"/>
          <w:sz w:val="22"/>
        </w:rPr>
      </w:pPr>
      <w:hyperlink w:anchor="_Toc68786581" w:history="1">
        <w:r w:rsidR="00242E8D" w:rsidRPr="00972364">
          <w:rPr>
            <w:rStyle w:val="Hyperlink"/>
          </w:rPr>
          <w:t xml:space="preserve">Table 10.1.6 </w:t>
        </w:r>
        <w:r w:rsidR="00242E8D">
          <w:rPr>
            <w:rFonts w:asciiTheme="minorHAnsi" w:eastAsiaTheme="minorEastAsia" w:hAnsiTheme="minorHAnsi" w:cstheme="minorBidi"/>
            <w:sz w:val="22"/>
          </w:rPr>
          <w:tab/>
        </w:r>
        <w:r w:rsidR="00242E8D" w:rsidRPr="00972364">
          <w:rPr>
            <w:rStyle w:val="Hyperlink"/>
          </w:rPr>
          <w:t>Comparison of current and previous emissions estimates before and after the adoption of updated pasture quality data, 1990 to 2019</w:t>
        </w:r>
        <w:r w:rsidR="00242E8D">
          <w:rPr>
            <w:webHidden/>
          </w:rPr>
          <w:tab/>
        </w:r>
        <w:r w:rsidR="00242E8D">
          <w:rPr>
            <w:webHidden/>
          </w:rPr>
          <w:fldChar w:fldCharType="begin"/>
        </w:r>
        <w:r w:rsidR="00242E8D">
          <w:rPr>
            <w:webHidden/>
          </w:rPr>
          <w:instrText xml:space="preserve"> PAGEREF _Toc68786581 \h </w:instrText>
        </w:r>
        <w:r w:rsidR="00242E8D">
          <w:rPr>
            <w:webHidden/>
          </w:rPr>
        </w:r>
        <w:r w:rsidR="00242E8D">
          <w:rPr>
            <w:webHidden/>
          </w:rPr>
          <w:fldChar w:fldCharType="separate"/>
        </w:r>
        <w:r w:rsidR="00B94D2F">
          <w:rPr>
            <w:webHidden/>
          </w:rPr>
          <w:t>440</w:t>
        </w:r>
        <w:r w:rsidR="00242E8D">
          <w:rPr>
            <w:webHidden/>
          </w:rPr>
          <w:fldChar w:fldCharType="end"/>
        </w:r>
      </w:hyperlink>
    </w:p>
    <w:p w14:paraId="7B9506F1" w14:textId="7806DA57" w:rsidR="00242E8D" w:rsidRDefault="00087879">
      <w:pPr>
        <w:pStyle w:val="TableofFigures"/>
        <w:rPr>
          <w:rFonts w:asciiTheme="minorHAnsi" w:eastAsiaTheme="minorEastAsia" w:hAnsiTheme="minorHAnsi" w:cstheme="minorBidi"/>
          <w:sz w:val="22"/>
        </w:rPr>
      </w:pPr>
      <w:hyperlink w:anchor="_Toc68786582" w:history="1">
        <w:r w:rsidR="00242E8D" w:rsidRPr="00972364">
          <w:rPr>
            <w:rStyle w:val="Hyperlink"/>
          </w:rPr>
          <w:t xml:space="preserve">Table 10.1.7 </w:t>
        </w:r>
        <w:r w:rsidR="00242E8D">
          <w:rPr>
            <w:rFonts w:asciiTheme="minorHAnsi" w:eastAsiaTheme="minorEastAsia" w:hAnsiTheme="minorHAnsi" w:cstheme="minorBidi"/>
            <w:sz w:val="22"/>
          </w:rPr>
          <w:tab/>
        </w:r>
        <w:r w:rsidR="00242E8D" w:rsidRPr="00972364">
          <w:rPr>
            <w:rStyle w:val="Hyperlink"/>
          </w:rPr>
          <w:t>Comparison of current and previous emissions estimates before and after corrections to sheep nitrogen excretion (</w:t>
        </w:r>
        <w:r w:rsidR="00242E8D" w:rsidRPr="00972364">
          <w:rPr>
            <w:rStyle w:val="Hyperlink"/>
            <w:rFonts w:eastAsia="Calibri"/>
          </w:rPr>
          <w:t>N</w:t>
        </w:r>
        <w:r w:rsidR="00242E8D" w:rsidRPr="00972364">
          <w:rPr>
            <w:rStyle w:val="Hyperlink"/>
            <w:vertAlign w:val="subscript"/>
          </w:rPr>
          <w:t>ex</w:t>
        </w:r>
        <w:r w:rsidR="00242E8D" w:rsidRPr="00972364">
          <w:rPr>
            <w:rStyle w:val="Hyperlink"/>
          </w:rPr>
          <w:t>) calculations</w:t>
        </w:r>
        <w:r w:rsidR="00242E8D">
          <w:rPr>
            <w:webHidden/>
          </w:rPr>
          <w:tab/>
        </w:r>
        <w:r w:rsidR="00242E8D">
          <w:rPr>
            <w:webHidden/>
          </w:rPr>
          <w:fldChar w:fldCharType="begin"/>
        </w:r>
        <w:r w:rsidR="00242E8D">
          <w:rPr>
            <w:webHidden/>
          </w:rPr>
          <w:instrText xml:space="preserve"> PAGEREF _Toc68786582 \h </w:instrText>
        </w:r>
        <w:r w:rsidR="00242E8D">
          <w:rPr>
            <w:webHidden/>
          </w:rPr>
        </w:r>
        <w:r w:rsidR="00242E8D">
          <w:rPr>
            <w:webHidden/>
          </w:rPr>
          <w:fldChar w:fldCharType="separate"/>
        </w:r>
        <w:r w:rsidR="00B94D2F">
          <w:rPr>
            <w:webHidden/>
          </w:rPr>
          <w:t>440</w:t>
        </w:r>
        <w:r w:rsidR="00242E8D">
          <w:rPr>
            <w:webHidden/>
          </w:rPr>
          <w:fldChar w:fldCharType="end"/>
        </w:r>
      </w:hyperlink>
    </w:p>
    <w:p w14:paraId="1F384CBB" w14:textId="3F6D726F" w:rsidR="00242E8D" w:rsidRDefault="00087879">
      <w:pPr>
        <w:pStyle w:val="TableofFigures"/>
        <w:rPr>
          <w:rFonts w:asciiTheme="minorHAnsi" w:eastAsiaTheme="minorEastAsia" w:hAnsiTheme="minorHAnsi" w:cstheme="minorBidi"/>
          <w:sz w:val="22"/>
        </w:rPr>
      </w:pPr>
      <w:hyperlink w:anchor="_Toc68786583" w:history="1">
        <w:r w:rsidR="00242E8D" w:rsidRPr="00972364">
          <w:rPr>
            <w:rStyle w:val="Hyperlink"/>
          </w:rPr>
          <w:t xml:space="preserve">Table 10.1.8 </w:t>
        </w:r>
        <w:r w:rsidR="00242E8D">
          <w:rPr>
            <w:rFonts w:asciiTheme="minorHAnsi" w:eastAsiaTheme="minorEastAsia" w:hAnsiTheme="minorHAnsi" w:cstheme="minorBidi"/>
            <w:sz w:val="22"/>
          </w:rPr>
          <w:tab/>
        </w:r>
        <w:r w:rsidR="00242E8D" w:rsidRPr="00972364">
          <w:rPr>
            <w:rStyle w:val="Hyperlink"/>
          </w:rPr>
          <w:t>Explanations and justifications for recalculations in the LULUCF sector</w:t>
        </w:r>
        <w:r w:rsidR="00242E8D">
          <w:rPr>
            <w:webHidden/>
          </w:rPr>
          <w:tab/>
        </w:r>
        <w:r w:rsidR="00242E8D">
          <w:rPr>
            <w:webHidden/>
          </w:rPr>
          <w:fldChar w:fldCharType="begin"/>
        </w:r>
        <w:r w:rsidR="00242E8D">
          <w:rPr>
            <w:webHidden/>
          </w:rPr>
          <w:instrText xml:space="preserve"> PAGEREF _Toc68786583 \h </w:instrText>
        </w:r>
        <w:r w:rsidR="00242E8D">
          <w:rPr>
            <w:webHidden/>
          </w:rPr>
        </w:r>
        <w:r w:rsidR="00242E8D">
          <w:rPr>
            <w:webHidden/>
          </w:rPr>
          <w:fldChar w:fldCharType="separate"/>
        </w:r>
        <w:r w:rsidR="00B94D2F">
          <w:rPr>
            <w:webHidden/>
          </w:rPr>
          <w:t>442</w:t>
        </w:r>
        <w:r w:rsidR="00242E8D">
          <w:rPr>
            <w:webHidden/>
          </w:rPr>
          <w:fldChar w:fldCharType="end"/>
        </w:r>
      </w:hyperlink>
    </w:p>
    <w:p w14:paraId="4DE45B1A" w14:textId="7DFEC2C7" w:rsidR="00242E8D" w:rsidRDefault="00087879">
      <w:pPr>
        <w:pStyle w:val="TableofFigures"/>
        <w:rPr>
          <w:rFonts w:asciiTheme="minorHAnsi" w:eastAsiaTheme="minorEastAsia" w:hAnsiTheme="minorHAnsi" w:cstheme="minorBidi"/>
          <w:sz w:val="22"/>
        </w:rPr>
      </w:pPr>
      <w:hyperlink w:anchor="_Toc68786584" w:history="1">
        <w:r w:rsidR="00242E8D" w:rsidRPr="00972364">
          <w:rPr>
            <w:rStyle w:val="Hyperlink"/>
          </w:rPr>
          <w:t xml:space="preserve">Table 10.1.9 </w:t>
        </w:r>
        <w:r w:rsidR="00242E8D">
          <w:rPr>
            <w:rFonts w:asciiTheme="minorHAnsi" w:eastAsiaTheme="minorEastAsia" w:hAnsiTheme="minorHAnsi" w:cstheme="minorBidi"/>
            <w:sz w:val="22"/>
          </w:rPr>
          <w:tab/>
        </w:r>
        <w:r w:rsidR="00242E8D" w:rsidRPr="00972364">
          <w:rPr>
            <w:rStyle w:val="Hyperlink"/>
          </w:rPr>
          <w:t>Explanations and justifications for recalculations in the Waste sector</w:t>
        </w:r>
        <w:r w:rsidR="00242E8D">
          <w:rPr>
            <w:webHidden/>
          </w:rPr>
          <w:tab/>
        </w:r>
        <w:r w:rsidR="00242E8D">
          <w:rPr>
            <w:webHidden/>
          </w:rPr>
          <w:fldChar w:fldCharType="begin"/>
        </w:r>
        <w:r w:rsidR="00242E8D">
          <w:rPr>
            <w:webHidden/>
          </w:rPr>
          <w:instrText xml:space="preserve"> PAGEREF _Toc68786584 \h </w:instrText>
        </w:r>
        <w:r w:rsidR="00242E8D">
          <w:rPr>
            <w:webHidden/>
          </w:rPr>
        </w:r>
        <w:r w:rsidR="00242E8D">
          <w:rPr>
            <w:webHidden/>
          </w:rPr>
          <w:fldChar w:fldCharType="separate"/>
        </w:r>
        <w:r w:rsidR="00B94D2F">
          <w:rPr>
            <w:webHidden/>
          </w:rPr>
          <w:t>443</w:t>
        </w:r>
        <w:r w:rsidR="00242E8D">
          <w:rPr>
            <w:webHidden/>
          </w:rPr>
          <w:fldChar w:fldCharType="end"/>
        </w:r>
      </w:hyperlink>
    </w:p>
    <w:p w14:paraId="4C87E4FD" w14:textId="165F4733" w:rsidR="00242E8D" w:rsidRDefault="00087879">
      <w:pPr>
        <w:pStyle w:val="TableofFigures"/>
        <w:rPr>
          <w:rFonts w:asciiTheme="minorHAnsi" w:eastAsiaTheme="minorEastAsia" w:hAnsiTheme="minorHAnsi" w:cstheme="minorBidi"/>
          <w:sz w:val="22"/>
        </w:rPr>
      </w:pPr>
      <w:hyperlink w:anchor="_Toc68786585" w:history="1">
        <w:r w:rsidR="00242E8D" w:rsidRPr="00972364">
          <w:rPr>
            <w:rStyle w:val="Hyperlink"/>
          </w:rPr>
          <w:t xml:space="preserve">Table 10.1.10 </w:t>
        </w:r>
        <w:r w:rsidR="00242E8D">
          <w:rPr>
            <w:rFonts w:asciiTheme="minorHAnsi" w:eastAsiaTheme="minorEastAsia" w:hAnsiTheme="minorHAnsi" w:cstheme="minorBidi"/>
            <w:sz w:val="22"/>
          </w:rPr>
          <w:tab/>
        </w:r>
        <w:r w:rsidR="00242E8D" w:rsidRPr="00972364">
          <w:rPr>
            <w:rStyle w:val="Hyperlink"/>
          </w:rPr>
          <w:t>Explanation and justifications for recalculations in the other sector (Tokelau)</w:t>
        </w:r>
        <w:r w:rsidR="00242E8D">
          <w:rPr>
            <w:webHidden/>
          </w:rPr>
          <w:tab/>
        </w:r>
        <w:r w:rsidR="00242E8D">
          <w:rPr>
            <w:webHidden/>
          </w:rPr>
          <w:fldChar w:fldCharType="begin"/>
        </w:r>
        <w:r w:rsidR="00242E8D">
          <w:rPr>
            <w:webHidden/>
          </w:rPr>
          <w:instrText xml:space="preserve"> PAGEREF _Toc68786585 \h </w:instrText>
        </w:r>
        <w:r w:rsidR="00242E8D">
          <w:rPr>
            <w:webHidden/>
          </w:rPr>
        </w:r>
        <w:r w:rsidR="00242E8D">
          <w:rPr>
            <w:webHidden/>
          </w:rPr>
          <w:fldChar w:fldCharType="separate"/>
        </w:r>
        <w:r w:rsidR="00B94D2F">
          <w:rPr>
            <w:webHidden/>
          </w:rPr>
          <w:t>445</w:t>
        </w:r>
        <w:r w:rsidR="00242E8D">
          <w:rPr>
            <w:webHidden/>
          </w:rPr>
          <w:fldChar w:fldCharType="end"/>
        </w:r>
      </w:hyperlink>
    </w:p>
    <w:p w14:paraId="14689102" w14:textId="56DD58FE" w:rsidR="00242E8D" w:rsidRDefault="00087879">
      <w:pPr>
        <w:pStyle w:val="TableofFigures"/>
        <w:rPr>
          <w:rFonts w:asciiTheme="minorHAnsi" w:eastAsiaTheme="minorEastAsia" w:hAnsiTheme="minorHAnsi" w:cstheme="minorBidi"/>
          <w:sz w:val="22"/>
        </w:rPr>
      </w:pPr>
      <w:hyperlink w:anchor="_Toc68786586" w:history="1">
        <w:r w:rsidR="00242E8D" w:rsidRPr="00972364">
          <w:rPr>
            <w:rStyle w:val="Hyperlink"/>
          </w:rPr>
          <w:t xml:space="preserve">Table 10.1.11 </w:t>
        </w:r>
        <w:r w:rsidR="00242E8D">
          <w:rPr>
            <w:rFonts w:asciiTheme="minorHAnsi" w:eastAsiaTheme="minorEastAsia" w:hAnsiTheme="minorHAnsi" w:cstheme="minorBidi"/>
            <w:sz w:val="22"/>
          </w:rPr>
          <w:tab/>
        </w:r>
        <w:r w:rsidR="00242E8D" w:rsidRPr="00972364">
          <w:rPr>
            <w:rStyle w:val="Hyperlink"/>
          </w:rPr>
          <w:t>Explanations and justifications for recalculations of New Zealand’s previous Kyoto Protocol LULUCF estimates</w:t>
        </w:r>
        <w:r w:rsidR="00242E8D">
          <w:rPr>
            <w:webHidden/>
          </w:rPr>
          <w:tab/>
        </w:r>
        <w:r w:rsidR="00242E8D">
          <w:rPr>
            <w:webHidden/>
          </w:rPr>
          <w:fldChar w:fldCharType="begin"/>
        </w:r>
        <w:r w:rsidR="00242E8D">
          <w:rPr>
            <w:webHidden/>
          </w:rPr>
          <w:instrText xml:space="preserve"> PAGEREF _Toc68786586 \h </w:instrText>
        </w:r>
        <w:r w:rsidR="00242E8D">
          <w:rPr>
            <w:webHidden/>
          </w:rPr>
        </w:r>
        <w:r w:rsidR="00242E8D">
          <w:rPr>
            <w:webHidden/>
          </w:rPr>
          <w:fldChar w:fldCharType="separate"/>
        </w:r>
        <w:r w:rsidR="00B94D2F">
          <w:rPr>
            <w:webHidden/>
          </w:rPr>
          <w:t>446</w:t>
        </w:r>
        <w:r w:rsidR="00242E8D">
          <w:rPr>
            <w:webHidden/>
          </w:rPr>
          <w:fldChar w:fldCharType="end"/>
        </w:r>
      </w:hyperlink>
    </w:p>
    <w:p w14:paraId="0A8FBE11" w14:textId="528C9301" w:rsidR="00242E8D" w:rsidRDefault="00087879">
      <w:pPr>
        <w:pStyle w:val="TableofFigures"/>
        <w:rPr>
          <w:rFonts w:asciiTheme="minorHAnsi" w:eastAsiaTheme="minorEastAsia" w:hAnsiTheme="minorHAnsi" w:cstheme="minorBidi"/>
          <w:sz w:val="22"/>
        </w:rPr>
      </w:pPr>
      <w:hyperlink w:anchor="_Toc68786587" w:history="1">
        <w:r w:rsidR="00242E8D" w:rsidRPr="00972364">
          <w:rPr>
            <w:rStyle w:val="Hyperlink"/>
          </w:rPr>
          <w:t xml:space="preserve">Table 10.1.12 </w:t>
        </w:r>
        <w:r w:rsidR="00242E8D">
          <w:rPr>
            <w:rFonts w:asciiTheme="minorHAnsi" w:eastAsiaTheme="minorEastAsia" w:hAnsiTheme="minorHAnsi" w:cstheme="minorBidi"/>
            <w:sz w:val="22"/>
          </w:rPr>
          <w:tab/>
        </w:r>
        <w:r w:rsidR="00242E8D" w:rsidRPr="00972364">
          <w:rPr>
            <w:rStyle w:val="Hyperlink"/>
          </w:rPr>
          <w:t>Impact of the recalculations of New Zealand’s net emissions under Article 3.3 and Article 3.4 of the Kyoto Protocol in 2018</w:t>
        </w:r>
        <w:r w:rsidR="00242E8D">
          <w:rPr>
            <w:webHidden/>
          </w:rPr>
          <w:tab/>
        </w:r>
        <w:r w:rsidR="00242E8D">
          <w:rPr>
            <w:webHidden/>
          </w:rPr>
          <w:fldChar w:fldCharType="begin"/>
        </w:r>
        <w:r w:rsidR="00242E8D">
          <w:rPr>
            <w:webHidden/>
          </w:rPr>
          <w:instrText xml:space="preserve"> PAGEREF _Toc68786587 \h </w:instrText>
        </w:r>
        <w:r w:rsidR="00242E8D">
          <w:rPr>
            <w:webHidden/>
          </w:rPr>
        </w:r>
        <w:r w:rsidR="00242E8D">
          <w:rPr>
            <w:webHidden/>
          </w:rPr>
          <w:fldChar w:fldCharType="separate"/>
        </w:r>
        <w:r w:rsidR="00B94D2F">
          <w:rPr>
            <w:webHidden/>
          </w:rPr>
          <w:t>446</w:t>
        </w:r>
        <w:r w:rsidR="00242E8D">
          <w:rPr>
            <w:webHidden/>
          </w:rPr>
          <w:fldChar w:fldCharType="end"/>
        </w:r>
      </w:hyperlink>
    </w:p>
    <w:p w14:paraId="477B3877" w14:textId="26BBF923" w:rsidR="00242E8D" w:rsidRDefault="00087879">
      <w:pPr>
        <w:pStyle w:val="TableofFigures"/>
        <w:rPr>
          <w:rFonts w:asciiTheme="minorHAnsi" w:eastAsiaTheme="minorEastAsia" w:hAnsiTheme="minorHAnsi" w:cstheme="minorBidi"/>
          <w:sz w:val="22"/>
        </w:rPr>
      </w:pPr>
      <w:hyperlink w:anchor="_Toc68786588" w:history="1">
        <w:r w:rsidR="00242E8D" w:rsidRPr="00972364">
          <w:rPr>
            <w:rStyle w:val="Hyperlink"/>
          </w:rPr>
          <w:t xml:space="preserve">Table 10.1.13 </w:t>
        </w:r>
        <w:r w:rsidR="00242E8D">
          <w:rPr>
            <w:rFonts w:asciiTheme="minorHAnsi" w:eastAsiaTheme="minorEastAsia" w:hAnsiTheme="minorHAnsi" w:cstheme="minorBidi"/>
            <w:sz w:val="22"/>
          </w:rPr>
          <w:tab/>
        </w:r>
        <w:r w:rsidR="00242E8D" w:rsidRPr="00972364">
          <w:rPr>
            <w:rStyle w:val="Hyperlink"/>
          </w:rPr>
          <w:t>Recalculations to New Zealand’s 2018 activity data under the Kyoto Protocol</w:t>
        </w:r>
        <w:r w:rsidR="00242E8D">
          <w:rPr>
            <w:webHidden/>
          </w:rPr>
          <w:tab/>
        </w:r>
        <w:r w:rsidR="00242E8D">
          <w:rPr>
            <w:webHidden/>
          </w:rPr>
          <w:fldChar w:fldCharType="begin"/>
        </w:r>
        <w:r w:rsidR="00242E8D">
          <w:rPr>
            <w:webHidden/>
          </w:rPr>
          <w:instrText xml:space="preserve"> PAGEREF _Toc68786588 \h </w:instrText>
        </w:r>
        <w:r w:rsidR="00242E8D">
          <w:rPr>
            <w:webHidden/>
          </w:rPr>
        </w:r>
        <w:r w:rsidR="00242E8D">
          <w:rPr>
            <w:webHidden/>
          </w:rPr>
          <w:fldChar w:fldCharType="separate"/>
        </w:r>
        <w:r w:rsidR="00B94D2F">
          <w:rPr>
            <w:webHidden/>
          </w:rPr>
          <w:t>446</w:t>
        </w:r>
        <w:r w:rsidR="00242E8D">
          <w:rPr>
            <w:webHidden/>
          </w:rPr>
          <w:fldChar w:fldCharType="end"/>
        </w:r>
      </w:hyperlink>
    </w:p>
    <w:p w14:paraId="5D32001A" w14:textId="14633848" w:rsidR="00242E8D" w:rsidRDefault="00087879">
      <w:pPr>
        <w:pStyle w:val="TableofFigures"/>
        <w:rPr>
          <w:rFonts w:asciiTheme="minorHAnsi" w:eastAsiaTheme="minorEastAsia" w:hAnsiTheme="minorHAnsi" w:cstheme="minorBidi"/>
          <w:sz w:val="22"/>
        </w:rPr>
      </w:pPr>
      <w:hyperlink w:anchor="_Toc68786589" w:history="1">
        <w:r w:rsidR="00242E8D" w:rsidRPr="00972364">
          <w:rPr>
            <w:rStyle w:val="Hyperlink"/>
          </w:rPr>
          <w:t xml:space="preserve">Table 10.2.1 </w:t>
        </w:r>
        <w:r w:rsidR="00242E8D">
          <w:rPr>
            <w:rFonts w:asciiTheme="minorHAnsi" w:eastAsiaTheme="minorEastAsia" w:hAnsiTheme="minorHAnsi" w:cstheme="minorBidi"/>
            <w:sz w:val="22"/>
          </w:rPr>
          <w:tab/>
        </w:r>
        <w:r w:rsidR="00242E8D" w:rsidRPr="00972364">
          <w:rPr>
            <w:rStyle w:val="Hyperlink"/>
          </w:rPr>
          <w:t>New Zealand’s response to recommendations still relevant as recorded in table 3 and table 4 of the 2019 assessment review report for issues raised in earlier reviews</w:t>
        </w:r>
        <w:r w:rsidR="00242E8D">
          <w:rPr>
            <w:webHidden/>
          </w:rPr>
          <w:tab/>
        </w:r>
        <w:r w:rsidR="00242E8D">
          <w:rPr>
            <w:webHidden/>
          </w:rPr>
          <w:fldChar w:fldCharType="begin"/>
        </w:r>
        <w:r w:rsidR="00242E8D">
          <w:rPr>
            <w:webHidden/>
          </w:rPr>
          <w:instrText xml:space="preserve"> PAGEREF _Toc68786589 \h </w:instrText>
        </w:r>
        <w:r w:rsidR="00242E8D">
          <w:rPr>
            <w:webHidden/>
          </w:rPr>
        </w:r>
        <w:r w:rsidR="00242E8D">
          <w:rPr>
            <w:webHidden/>
          </w:rPr>
          <w:fldChar w:fldCharType="separate"/>
        </w:r>
        <w:r w:rsidR="00B94D2F">
          <w:rPr>
            <w:webHidden/>
          </w:rPr>
          <w:t>447</w:t>
        </w:r>
        <w:r w:rsidR="00242E8D">
          <w:rPr>
            <w:webHidden/>
          </w:rPr>
          <w:fldChar w:fldCharType="end"/>
        </w:r>
      </w:hyperlink>
    </w:p>
    <w:p w14:paraId="623ABB3D" w14:textId="7CC1D3C2" w:rsidR="00242E8D" w:rsidRDefault="00087879">
      <w:pPr>
        <w:pStyle w:val="TableofFigures"/>
        <w:rPr>
          <w:rFonts w:asciiTheme="minorHAnsi" w:eastAsiaTheme="minorEastAsia" w:hAnsiTheme="minorHAnsi" w:cstheme="minorBidi"/>
          <w:sz w:val="22"/>
        </w:rPr>
      </w:pPr>
      <w:hyperlink w:anchor="_Toc68786590" w:history="1">
        <w:r w:rsidR="00242E8D" w:rsidRPr="00972364">
          <w:rPr>
            <w:rStyle w:val="Hyperlink"/>
          </w:rPr>
          <w:t xml:space="preserve">Table 10.2.2 </w:t>
        </w:r>
        <w:r w:rsidR="00242E8D">
          <w:rPr>
            <w:rFonts w:asciiTheme="minorHAnsi" w:eastAsiaTheme="minorEastAsia" w:hAnsiTheme="minorHAnsi" w:cstheme="minorBidi"/>
            <w:sz w:val="22"/>
          </w:rPr>
          <w:tab/>
        </w:r>
        <w:r w:rsidR="00242E8D" w:rsidRPr="00972364">
          <w:rPr>
            <w:rStyle w:val="Hyperlink"/>
          </w:rPr>
          <w:t>New Zealand’s response to recommendations as recorded in table 5 of the 2019 assessment review report from the review of New Zealand’s 2019 inventory submission</w:t>
        </w:r>
        <w:r w:rsidR="00242E8D">
          <w:rPr>
            <w:webHidden/>
          </w:rPr>
          <w:tab/>
        </w:r>
        <w:r w:rsidR="00242E8D">
          <w:rPr>
            <w:webHidden/>
          </w:rPr>
          <w:fldChar w:fldCharType="begin"/>
        </w:r>
        <w:r w:rsidR="00242E8D">
          <w:rPr>
            <w:webHidden/>
          </w:rPr>
          <w:instrText xml:space="preserve"> PAGEREF _Toc68786590 \h </w:instrText>
        </w:r>
        <w:r w:rsidR="00242E8D">
          <w:rPr>
            <w:webHidden/>
          </w:rPr>
        </w:r>
        <w:r w:rsidR="00242E8D">
          <w:rPr>
            <w:webHidden/>
          </w:rPr>
          <w:fldChar w:fldCharType="separate"/>
        </w:r>
        <w:r w:rsidR="00B94D2F">
          <w:rPr>
            <w:webHidden/>
          </w:rPr>
          <w:t>450</w:t>
        </w:r>
        <w:r w:rsidR="00242E8D">
          <w:rPr>
            <w:webHidden/>
          </w:rPr>
          <w:fldChar w:fldCharType="end"/>
        </w:r>
      </w:hyperlink>
    </w:p>
    <w:p w14:paraId="022DEC2E" w14:textId="2FE3730C" w:rsidR="00242E8D" w:rsidRDefault="00087879">
      <w:pPr>
        <w:pStyle w:val="TableofFigures"/>
        <w:rPr>
          <w:rFonts w:asciiTheme="minorHAnsi" w:eastAsiaTheme="minorEastAsia" w:hAnsiTheme="minorHAnsi" w:cstheme="minorBidi"/>
          <w:sz w:val="22"/>
        </w:rPr>
      </w:pPr>
      <w:hyperlink w:anchor="_Toc68786591" w:history="1">
        <w:r w:rsidR="00242E8D" w:rsidRPr="00972364">
          <w:rPr>
            <w:rStyle w:val="Hyperlink"/>
          </w:rPr>
          <w:t>Table 11.1.1</w:t>
        </w:r>
        <w:r w:rsidR="00242E8D">
          <w:rPr>
            <w:rFonts w:asciiTheme="minorHAnsi" w:eastAsiaTheme="minorEastAsia" w:hAnsiTheme="minorHAnsi" w:cstheme="minorBidi"/>
            <w:sz w:val="22"/>
          </w:rPr>
          <w:tab/>
        </w:r>
        <w:r w:rsidR="00242E8D" w:rsidRPr="00972364">
          <w:rPr>
            <w:rStyle w:val="Hyperlink"/>
          </w:rPr>
          <w:t>New Zealand’s emissions under Article 3.3 and Article 3.4 of the Kyoto Protocol during the second reporting period</w:t>
        </w:r>
        <w:r w:rsidR="00242E8D">
          <w:rPr>
            <w:webHidden/>
          </w:rPr>
          <w:tab/>
        </w:r>
        <w:r w:rsidR="00242E8D">
          <w:rPr>
            <w:webHidden/>
          </w:rPr>
          <w:fldChar w:fldCharType="begin"/>
        </w:r>
        <w:r w:rsidR="00242E8D">
          <w:rPr>
            <w:webHidden/>
          </w:rPr>
          <w:instrText xml:space="preserve"> PAGEREF _Toc68786591 \h </w:instrText>
        </w:r>
        <w:r w:rsidR="00242E8D">
          <w:rPr>
            <w:webHidden/>
          </w:rPr>
        </w:r>
        <w:r w:rsidR="00242E8D">
          <w:rPr>
            <w:webHidden/>
          </w:rPr>
          <w:fldChar w:fldCharType="separate"/>
        </w:r>
        <w:r w:rsidR="00B94D2F">
          <w:rPr>
            <w:webHidden/>
          </w:rPr>
          <w:t>463</w:t>
        </w:r>
        <w:r w:rsidR="00242E8D">
          <w:rPr>
            <w:webHidden/>
          </w:rPr>
          <w:fldChar w:fldCharType="end"/>
        </w:r>
      </w:hyperlink>
    </w:p>
    <w:p w14:paraId="36CA4C18" w14:textId="6E956E8D" w:rsidR="00242E8D" w:rsidRDefault="00087879">
      <w:pPr>
        <w:pStyle w:val="TableofFigures"/>
        <w:rPr>
          <w:rFonts w:asciiTheme="minorHAnsi" w:eastAsiaTheme="minorEastAsia" w:hAnsiTheme="minorHAnsi" w:cstheme="minorBidi"/>
          <w:sz w:val="22"/>
        </w:rPr>
      </w:pPr>
      <w:hyperlink w:anchor="_Toc68786592" w:history="1">
        <w:r w:rsidR="00242E8D" w:rsidRPr="00972364">
          <w:rPr>
            <w:rStyle w:val="Hyperlink"/>
          </w:rPr>
          <w:t>Table 11.1.2</w:t>
        </w:r>
        <w:r w:rsidR="00242E8D">
          <w:rPr>
            <w:rFonts w:asciiTheme="minorHAnsi" w:eastAsiaTheme="minorEastAsia" w:hAnsiTheme="minorHAnsi" w:cstheme="minorBidi"/>
            <w:sz w:val="22"/>
          </w:rPr>
          <w:tab/>
        </w:r>
        <w:r w:rsidR="00242E8D" w:rsidRPr="00972364">
          <w:rPr>
            <w:rStyle w:val="Hyperlink"/>
          </w:rPr>
          <w:t>New Zealand’s emissions for the second commitment period of the Kyoto Protocol by greenhouse gas source category</w:t>
        </w:r>
        <w:r w:rsidR="00242E8D">
          <w:rPr>
            <w:webHidden/>
          </w:rPr>
          <w:tab/>
        </w:r>
        <w:r w:rsidR="00242E8D">
          <w:rPr>
            <w:webHidden/>
          </w:rPr>
          <w:fldChar w:fldCharType="begin"/>
        </w:r>
        <w:r w:rsidR="00242E8D">
          <w:rPr>
            <w:webHidden/>
          </w:rPr>
          <w:instrText xml:space="preserve"> PAGEREF _Toc68786592 \h </w:instrText>
        </w:r>
        <w:r w:rsidR="00242E8D">
          <w:rPr>
            <w:webHidden/>
          </w:rPr>
        </w:r>
        <w:r w:rsidR="00242E8D">
          <w:rPr>
            <w:webHidden/>
          </w:rPr>
          <w:fldChar w:fldCharType="separate"/>
        </w:r>
        <w:r w:rsidR="00B94D2F">
          <w:rPr>
            <w:webHidden/>
          </w:rPr>
          <w:t>465</w:t>
        </w:r>
        <w:r w:rsidR="00242E8D">
          <w:rPr>
            <w:webHidden/>
          </w:rPr>
          <w:fldChar w:fldCharType="end"/>
        </w:r>
      </w:hyperlink>
    </w:p>
    <w:p w14:paraId="09D61515" w14:textId="3BCAC6C3" w:rsidR="00242E8D" w:rsidRDefault="00087879">
      <w:pPr>
        <w:pStyle w:val="TableofFigures"/>
        <w:rPr>
          <w:rFonts w:asciiTheme="minorHAnsi" w:eastAsiaTheme="minorEastAsia" w:hAnsiTheme="minorHAnsi" w:cstheme="minorBidi"/>
          <w:sz w:val="22"/>
        </w:rPr>
      </w:pPr>
      <w:hyperlink w:anchor="_Toc68786593" w:history="1">
        <w:r w:rsidR="00242E8D" w:rsidRPr="00972364">
          <w:rPr>
            <w:rStyle w:val="Hyperlink"/>
          </w:rPr>
          <w:t>Table 11.1.3</w:t>
        </w:r>
        <w:r w:rsidR="00242E8D">
          <w:rPr>
            <w:rFonts w:asciiTheme="minorHAnsi" w:eastAsiaTheme="minorEastAsia" w:hAnsiTheme="minorHAnsi" w:cstheme="minorBidi"/>
            <w:sz w:val="22"/>
          </w:rPr>
          <w:tab/>
        </w:r>
        <w:r w:rsidR="00242E8D" w:rsidRPr="00972364">
          <w:rPr>
            <w:rStyle w:val="Hyperlink"/>
          </w:rPr>
          <w:t>Parameters defining Forest land in New Zealand</w:t>
        </w:r>
        <w:r w:rsidR="00242E8D">
          <w:rPr>
            <w:webHidden/>
          </w:rPr>
          <w:tab/>
        </w:r>
        <w:r w:rsidR="00242E8D">
          <w:rPr>
            <w:webHidden/>
          </w:rPr>
          <w:fldChar w:fldCharType="begin"/>
        </w:r>
        <w:r w:rsidR="00242E8D">
          <w:rPr>
            <w:webHidden/>
          </w:rPr>
          <w:instrText xml:space="preserve"> PAGEREF _Toc68786593 \h </w:instrText>
        </w:r>
        <w:r w:rsidR="00242E8D">
          <w:rPr>
            <w:webHidden/>
          </w:rPr>
        </w:r>
        <w:r w:rsidR="00242E8D">
          <w:rPr>
            <w:webHidden/>
          </w:rPr>
          <w:fldChar w:fldCharType="separate"/>
        </w:r>
        <w:r w:rsidR="00B94D2F">
          <w:rPr>
            <w:webHidden/>
          </w:rPr>
          <w:t>465</w:t>
        </w:r>
        <w:r w:rsidR="00242E8D">
          <w:rPr>
            <w:webHidden/>
          </w:rPr>
          <w:fldChar w:fldCharType="end"/>
        </w:r>
      </w:hyperlink>
    </w:p>
    <w:p w14:paraId="74F3815F" w14:textId="15D88368" w:rsidR="00242E8D" w:rsidRDefault="00087879">
      <w:pPr>
        <w:pStyle w:val="TableofFigures"/>
        <w:rPr>
          <w:rFonts w:asciiTheme="minorHAnsi" w:eastAsiaTheme="minorEastAsia" w:hAnsiTheme="minorHAnsi" w:cstheme="minorBidi"/>
          <w:sz w:val="22"/>
        </w:rPr>
      </w:pPr>
      <w:hyperlink w:anchor="_Toc68786594" w:history="1">
        <w:r w:rsidR="00242E8D" w:rsidRPr="00972364">
          <w:rPr>
            <w:rStyle w:val="Hyperlink"/>
          </w:rPr>
          <w:t>Table 11.2.1</w:t>
        </w:r>
        <w:r w:rsidR="00242E8D">
          <w:rPr>
            <w:rFonts w:asciiTheme="minorHAnsi" w:eastAsiaTheme="minorEastAsia" w:hAnsiTheme="minorHAnsi" w:cstheme="minorBidi"/>
            <w:sz w:val="22"/>
          </w:rPr>
          <w:tab/>
        </w:r>
        <w:r w:rsidR="00242E8D" w:rsidRPr="00972364">
          <w:rPr>
            <w:rStyle w:val="Hyperlink"/>
          </w:rPr>
          <w:t>Relationship between mapped land-use changes and activities reported under Article 3.3 and Article 3.4</w:t>
        </w:r>
        <w:r w:rsidR="00242E8D">
          <w:rPr>
            <w:webHidden/>
          </w:rPr>
          <w:tab/>
        </w:r>
        <w:r w:rsidR="00242E8D">
          <w:rPr>
            <w:webHidden/>
          </w:rPr>
          <w:fldChar w:fldCharType="begin"/>
        </w:r>
        <w:r w:rsidR="00242E8D">
          <w:rPr>
            <w:webHidden/>
          </w:rPr>
          <w:instrText xml:space="preserve"> PAGEREF _Toc68786594 \h </w:instrText>
        </w:r>
        <w:r w:rsidR="00242E8D">
          <w:rPr>
            <w:webHidden/>
          </w:rPr>
        </w:r>
        <w:r w:rsidR="00242E8D">
          <w:rPr>
            <w:webHidden/>
          </w:rPr>
          <w:fldChar w:fldCharType="separate"/>
        </w:r>
        <w:r w:rsidR="00B94D2F">
          <w:rPr>
            <w:webHidden/>
          </w:rPr>
          <w:t>467</w:t>
        </w:r>
        <w:r w:rsidR="00242E8D">
          <w:rPr>
            <w:webHidden/>
          </w:rPr>
          <w:fldChar w:fldCharType="end"/>
        </w:r>
      </w:hyperlink>
    </w:p>
    <w:p w14:paraId="3CB702F0" w14:textId="65E2FEE3" w:rsidR="00242E8D" w:rsidRDefault="00087879">
      <w:pPr>
        <w:pStyle w:val="TableofFigures"/>
        <w:rPr>
          <w:rFonts w:asciiTheme="minorHAnsi" w:eastAsiaTheme="minorEastAsia" w:hAnsiTheme="minorHAnsi" w:cstheme="minorBidi"/>
          <w:sz w:val="22"/>
        </w:rPr>
      </w:pPr>
      <w:hyperlink w:anchor="_Toc68786595" w:history="1">
        <w:r w:rsidR="00242E8D" w:rsidRPr="00972364">
          <w:rPr>
            <w:rStyle w:val="Hyperlink"/>
          </w:rPr>
          <w:t>Table 11.3.1</w:t>
        </w:r>
        <w:r w:rsidR="00242E8D">
          <w:rPr>
            <w:rFonts w:asciiTheme="minorHAnsi" w:eastAsiaTheme="minorEastAsia" w:hAnsiTheme="minorHAnsi" w:cstheme="minorBidi"/>
            <w:sz w:val="22"/>
          </w:rPr>
          <w:tab/>
        </w:r>
        <w:r w:rsidR="00242E8D" w:rsidRPr="00972364">
          <w:rPr>
            <w:rStyle w:val="Hyperlink"/>
          </w:rPr>
          <w:t>New Zealand’s estimated annual area under Afforestation and reforestation</w:t>
        </w:r>
        <w:r w:rsidR="00242E8D" w:rsidRPr="00972364">
          <w:rPr>
            <w:rStyle w:val="Hyperlink"/>
            <w:vertAlign w:val="subscript"/>
          </w:rPr>
          <w:t xml:space="preserve"> </w:t>
        </w:r>
        <w:r w:rsidR="00242E8D" w:rsidRPr="00972364">
          <w:rPr>
            <w:rStyle w:val="Hyperlink"/>
          </w:rPr>
          <w:t>from 1990 to 2019</w:t>
        </w:r>
        <w:r w:rsidR="00242E8D">
          <w:rPr>
            <w:webHidden/>
          </w:rPr>
          <w:tab/>
        </w:r>
        <w:r w:rsidR="00242E8D">
          <w:rPr>
            <w:webHidden/>
          </w:rPr>
          <w:fldChar w:fldCharType="begin"/>
        </w:r>
        <w:r w:rsidR="00242E8D">
          <w:rPr>
            <w:webHidden/>
          </w:rPr>
          <w:instrText xml:space="preserve"> PAGEREF _Toc68786595 \h </w:instrText>
        </w:r>
        <w:r w:rsidR="00242E8D">
          <w:rPr>
            <w:webHidden/>
          </w:rPr>
        </w:r>
        <w:r w:rsidR="00242E8D">
          <w:rPr>
            <w:webHidden/>
          </w:rPr>
          <w:fldChar w:fldCharType="separate"/>
        </w:r>
        <w:r w:rsidR="00B94D2F">
          <w:rPr>
            <w:webHidden/>
          </w:rPr>
          <w:t>469</w:t>
        </w:r>
        <w:r w:rsidR="00242E8D">
          <w:rPr>
            <w:webHidden/>
          </w:rPr>
          <w:fldChar w:fldCharType="end"/>
        </w:r>
      </w:hyperlink>
    </w:p>
    <w:p w14:paraId="53F87A8B" w14:textId="074B5094" w:rsidR="00242E8D" w:rsidRDefault="00087879">
      <w:pPr>
        <w:pStyle w:val="TableofFigures"/>
        <w:rPr>
          <w:rFonts w:asciiTheme="minorHAnsi" w:eastAsiaTheme="minorEastAsia" w:hAnsiTheme="minorHAnsi" w:cstheme="minorBidi"/>
          <w:sz w:val="22"/>
        </w:rPr>
      </w:pPr>
      <w:hyperlink w:anchor="_Toc68786596" w:history="1">
        <w:r w:rsidR="00242E8D" w:rsidRPr="00972364">
          <w:rPr>
            <w:rStyle w:val="Hyperlink"/>
          </w:rPr>
          <w:t>Table 11.3.2</w:t>
        </w:r>
        <w:r w:rsidR="00242E8D">
          <w:rPr>
            <w:rFonts w:asciiTheme="minorHAnsi" w:eastAsiaTheme="minorEastAsia" w:hAnsiTheme="minorHAnsi" w:cstheme="minorBidi"/>
            <w:sz w:val="22"/>
          </w:rPr>
          <w:tab/>
        </w:r>
        <w:r w:rsidR="00242E8D" w:rsidRPr="00972364">
          <w:rPr>
            <w:rStyle w:val="Hyperlink"/>
          </w:rPr>
          <w:t>New Zealand’s estimated annual area under Afforestation and reforestation</w:t>
        </w:r>
        <w:r w:rsidR="00242E8D" w:rsidRPr="00972364">
          <w:rPr>
            <w:rStyle w:val="Hyperlink"/>
            <w:vertAlign w:val="subscript"/>
          </w:rPr>
          <w:t xml:space="preserve"> </w:t>
        </w:r>
        <w:r w:rsidR="00242E8D" w:rsidRPr="00972364">
          <w:rPr>
            <w:rStyle w:val="Hyperlink"/>
          </w:rPr>
          <w:t>from 2013 to 2019</w:t>
        </w:r>
        <w:r w:rsidR="00242E8D">
          <w:rPr>
            <w:webHidden/>
          </w:rPr>
          <w:tab/>
        </w:r>
        <w:r w:rsidR="00242E8D">
          <w:rPr>
            <w:webHidden/>
          </w:rPr>
          <w:fldChar w:fldCharType="begin"/>
        </w:r>
        <w:r w:rsidR="00242E8D">
          <w:rPr>
            <w:webHidden/>
          </w:rPr>
          <w:instrText xml:space="preserve"> PAGEREF _Toc68786596 \h </w:instrText>
        </w:r>
        <w:r w:rsidR="00242E8D">
          <w:rPr>
            <w:webHidden/>
          </w:rPr>
        </w:r>
        <w:r w:rsidR="00242E8D">
          <w:rPr>
            <w:webHidden/>
          </w:rPr>
          <w:fldChar w:fldCharType="separate"/>
        </w:r>
        <w:r w:rsidR="00B94D2F">
          <w:rPr>
            <w:webHidden/>
          </w:rPr>
          <w:t>470</w:t>
        </w:r>
        <w:r w:rsidR="00242E8D">
          <w:rPr>
            <w:webHidden/>
          </w:rPr>
          <w:fldChar w:fldCharType="end"/>
        </w:r>
      </w:hyperlink>
    </w:p>
    <w:p w14:paraId="7E81F9AA" w14:textId="2B1709A4" w:rsidR="00242E8D" w:rsidRDefault="00087879">
      <w:pPr>
        <w:pStyle w:val="TableofFigures"/>
        <w:rPr>
          <w:rFonts w:asciiTheme="minorHAnsi" w:eastAsiaTheme="minorEastAsia" w:hAnsiTheme="minorHAnsi" w:cstheme="minorBidi"/>
          <w:sz w:val="22"/>
        </w:rPr>
      </w:pPr>
      <w:hyperlink w:anchor="_Toc68786597" w:history="1">
        <w:r w:rsidR="00242E8D" w:rsidRPr="00972364">
          <w:rPr>
            <w:rStyle w:val="Hyperlink"/>
          </w:rPr>
          <w:t>Table 11.3.3</w:t>
        </w:r>
        <w:r w:rsidR="00242E8D">
          <w:rPr>
            <w:rFonts w:asciiTheme="minorHAnsi" w:eastAsiaTheme="minorEastAsia" w:hAnsiTheme="minorHAnsi" w:cstheme="minorBidi"/>
            <w:sz w:val="22"/>
          </w:rPr>
          <w:tab/>
        </w:r>
        <w:r w:rsidR="00242E8D" w:rsidRPr="00972364">
          <w:rPr>
            <w:rStyle w:val="Hyperlink"/>
          </w:rPr>
          <w:t>New Zealand’s Afforestation and reforestation reconciliation between Kyoto Protocol and Intergovernmental Panel on Climate Change Convention reporting from 2008 to 2019</w:t>
        </w:r>
        <w:r w:rsidR="00242E8D">
          <w:rPr>
            <w:webHidden/>
          </w:rPr>
          <w:tab/>
        </w:r>
        <w:r w:rsidR="00242E8D">
          <w:rPr>
            <w:webHidden/>
          </w:rPr>
          <w:fldChar w:fldCharType="begin"/>
        </w:r>
        <w:r w:rsidR="00242E8D">
          <w:rPr>
            <w:webHidden/>
          </w:rPr>
          <w:instrText xml:space="preserve"> PAGEREF _Toc68786597 \h </w:instrText>
        </w:r>
        <w:r w:rsidR="00242E8D">
          <w:rPr>
            <w:webHidden/>
          </w:rPr>
        </w:r>
        <w:r w:rsidR="00242E8D">
          <w:rPr>
            <w:webHidden/>
          </w:rPr>
          <w:fldChar w:fldCharType="separate"/>
        </w:r>
        <w:r w:rsidR="00B94D2F">
          <w:rPr>
            <w:webHidden/>
          </w:rPr>
          <w:t>471</w:t>
        </w:r>
        <w:r w:rsidR="00242E8D">
          <w:rPr>
            <w:webHidden/>
          </w:rPr>
          <w:fldChar w:fldCharType="end"/>
        </w:r>
      </w:hyperlink>
    </w:p>
    <w:p w14:paraId="5B53E06C" w14:textId="125C9308" w:rsidR="00242E8D" w:rsidRDefault="00087879">
      <w:pPr>
        <w:pStyle w:val="TableofFigures"/>
        <w:rPr>
          <w:rFonts w:asciiTheme="minorHAnsi" w:eastAsiaTheme="minorEastAsia" w:hAnsiTheme="minorHAnsi" w:cstheme="minorBidi"/>
          <w:sz w:val="22"/>
        </w:rPr>
      </w:pPr>
      <w:hyperlink w:anchor="_Toc68786598" w:history="1">
        <w:r w:rsidR="00242E8D" w:rsidRPr="00972364">
          <w:rPr>
            <w:rStyle w:val="Hyperlink"/>
          </w:rPr>
          <w:t>Table 11.3.4</w:t>
        </w:r>
        <w:r w:rsidR="00242E8D">
          <w:rPr>
            <w:rFonts w:asciiTheme="minorHAnsi" w:eastAsiaTheme="minorEastAsia" w:hAnsiTheme="minorHAnsi" w:cstheme="minorBidi"/>
            <w:sz w:val="22"/>
          </w:rPr>
          <w:tab/>
        </w:r>
        <w:r w:rsidR="00242E8D" w:rsidRPr="00972364">
          <w:rPr>
            <w:rStyle w:val="Hyperlink"/>
          </w:rPr>
          <w:t>Area of New Zealand subject to deforestation</w:t>
        </w:r>
        <w:r w:rsidR="00242E8D">
          <w:rPr>
            <w:webHidden/>
          </w:rPr>
          <w:tab/>
        </w:r>
        <w:r w:rsidR="00242E8D">
          <w:rPr>
            <w:webHidden/>
          </w:rPr>
          <w:fldChar w:fldCharType="begin"/>
        </w:r>
        <w:r w:rsidR="00242E8D">
          <w:rPr>
            <w:webHidden/>
          </w:rPr>
          <w:instrText xml:space="preserve"> PAGEREF _Toc68786598 \h </w:instrText>
        </w:r>
        <w:r w:rsidR="00242E8D">
          <w:rPr>
            <w:webHidden/>
          </w:rPr>
        </w:r>
        <w:r w:rsidR="00242E8D">
          <w:rPr>
            <w:webHidden/>
          </w:rPr>
          <w:fldChar w:fldCharType="separate"/>
        </w:r>
        <w:r w:rsidR="00B94D2F">
          <w:rPr>
            <w:webHidden/>
          </w:rPr>
          <w:t>474</w:t>
        </w:r>
        <w:r w:rsidR="00242E8D">
          <w:rPr>
            <w:webHidden/>
          </w:rPr>
          <w:fldChar w:fldCharType="end"/>
        </w:r>
      </w:hyperlink>
    </w:p>
    <w:p w14:paraId="3BD57E34" w14:textId="6F9F38FA" w:rsidR="00242E8D" w:rsidRDefault="00087879">
      <w:pPr>
        <w:pStyle w:val="TableofFigures"/>
        <w:rPr>
          <w:rFonts w:asciiTheme="minorHAnsi" w:eastAsiaTheme="minorEastAsia" w:hAnsiTheme="minorHAnsi" w:cstheme="minorBidi"/>
          <w:sz w:val="22"/>
        </w:rPr>
      </w:pPr>
      <w:hyperlink w:anchor="_Toc68786599" w:history="1">
        <w:r w:rsidR="00242E8D" w:rsidRPr="00972364">
          <w:rPr>
            <w:rStyle w:val="Hyperlink"/>
          </w:rPr>
          <w:t>Table 11.3.5</w:t>
        </w:r>
        <w:r w:rsidR="00242E8D">
          <w:rPr>
            <w:rFonts w:asciiTheme="minorHAnsi" w:eastAsiaTheme="minorEastAsia" w:hAnsiTheme="minorHAnsi" w:cstheme="minorBidi"/>
            <w:sz w:val="22"/>
          </w:rPr>
          <w:tab/>
        </w:r>
        <w:r w:rsidR="00242E8D" w:rsidRPr="00972364">
          <w:rPr>
            <w:rStyle w:val="Hyperlink"/>
          </w:rPr>
          <w:t>Carbon equivalent forests (2013–19)</w:t>
        </w:r>
        <w:r w:rsidR="00242E8D">
          <w:rPr>
            <w:webHidden/>
          </w:rPr>
          <w:tab/>
        </w:r>
        <w:r w:rsidR="00242E8D">
          <w:rPr>
            <w:webHidden/>
          </w:rPr>
          <w:fldChar w:fldCharType="begin"/>
        </w:r>
        <w:r w:rsidR="00242E8D">
          <w:rPr>
            <w:webHidden/>
          </w:rPr>
          <w:instrText xml:space="preserve"> PAGEREF _Toc68786599 \h </w:instrText>
        </w:r>
        <w:r w:rsidR="00242E8D">
          <w:rPr>
            <w:webHidden/>
          </w:rPr>
        </w:r>
        <w:r w:rsidR="00242E8D">
          <w:rPr>
            <w:webHidden/>
          </w:rPr>
          <w:fldChar w:fldCharType="separate"/>
        </w:r>
        <w:r w:rsidR="00B94D2F">
          <w:rPr>
            <w:webHidden/>
          </w:rPr>
          <w:t>477</w:t>
        </w:r>
        <w:r w:rsidR="00242E8D">
          <w:rPr>
            <w:webHidden/>
          </w:rPr>
          <w:fldChar w:fldCharType="end"/>
        </w:r>
      </w:hyperlink>
    </w:p>
    <w:p w14:paraId="08576B1C" w14:textId="71E9709D" w:rsidR="00242E8D" w:rsidRDefault="00087879">
      <w:pPr>
        <w:pStyle w:val="TableofFigures"/>
        <w:rPr>
          <w:rFonts w:asciiTheme="minorHAnsi" w:eastAsiaTheme="minorEastAsia" w:hAnsiTheme="minorHAnsi" w:cstheme="minorBidi"/>
          <w:sz w:val="22"/>
        </w:rPr>
      </w:pPr>
      <w:hyperlink w:anchor="_Toc68786600" w:history="1">
        <w:r w:rsidR="00242E8D" w:rsidRPr="00972364">
          <w:rPr>
            <w:rStyle w:val="Hyperlink"/>
          </w:rPr>
          <w:t xml:space="preserve">Table 11.4.1 </w:t>
        </w:r>
        <w:r w:rsidR="00242E8D">
          <w:rPr>
            <w:rFonts w:asciiTheme="minorHAnsi" w:eastAsiaTheme="minorEastAsia" w:hAnsiTheme="minorHAnsi" w:cstheme="minorBidi"/>
            <w:sz w:val="22"/>
          </w:rPr>
          <w:tab/>
        </w:r>
        <w:r w:rsidR="00242E8D" w:rsidRPr="00972364">
          <w:rPr>
            <w:rStyle w:val="Hyperlink"/>
          </w:rPr>
          <w:t>Uncertainty in New Zealand’s estimates for Afforestation and reforestation, Deforestation and Forest management in 2019</w:t>
        </w:r>
        <w:r w:rsidR="00242E8D">
          <w:rPr>
            <w:webHidden/>
          </w:rPr>
          <w:tab/>
        </w:r>
        <w:r w:rsidR="00242E8D">
          <w:rPr>
            <w:webHidden/>
          </w:rPr>
          <w:fldChar w:fldCharType="begin"/>
        </w:r>
        <w:r w:rsidR="00242E8D">
          <w:rPr>
            <w:webHidden/>
          </w:rPr>
          <w:instrText xml:space="preserve"> PAGEREF _Toc68786600 \h </w:instrText>
        </w:r>
        <w:r w:rsidR="00242E8D">
          <w:rPr>
            <w:webHidden/>
          </w:rPr>
        </w:r>
        <w:r w:rsidR="00242E8D">
          <w:rPr>
            <w:webHidden/>
          </w:rPr>
          <w:fldChar w:fldCharType="separate"/>
        </w:r>
        <w:r w:rsidR="00B94D2F">
          <w:rPr>
            <w:webHidden/>
          </w:rPr>
          <w:t>482</w:t>
        </w:r>
        <w:r w:rsidR="00242E8D">
          <w:rPr>
            <w:webHidden/>
          </w:rPr>
          <w:fldChar w:fldCharType="end"/>
        </w:r>
      </w:hyperlink>
    </w:p>
    <w:p w14:paraId="1CB4B8F6" w14:textId="3AC597D6" w:rsidR="00242E8D" w:rsidRDefault="00087879">
      <w:pPr>
        <w:pStyle w:val="TableofFigures"/>
        <w:rPr>
          <w:rFonts w:asciiTheme="minorHAnsi" w:eastAsiaTheme="minorEastAsia" w:hAnsiTheme="minorHAnsi" w:cstheme="minorBidi"/>
          <w:sz w:val="22"/>
        </w:rPr>
      </w:pPr>
      <w:hyperlink w:anchor="_Toc68786601" w:history="1">
        <w:r w:rsidR="00242E8D" w:rsidRPr="00972364">
          <w:rPr>
            <w:rStyle w:val="Hyperlink"/>
          </w:rPr>
          <w:t xml:space="preserve">Table 11.4.2 </w:t>
        </w:r>
        <w:r w:rsidR="00242E8D">
          <w:rPr>
            <w:rFonts w:asciiTheme="minorHAnsi" w:eastAsiaTheme="minorEastAsia" w:hAnsiTheme="minorHAnsi" w:cstheme="minorBidi"/>
            <w:sz w:val="22"/>
          </w:rPr>
          <w:tab/>
        </w:r>
        <w:r w:rsidR="00242E8D" w:rsidRPr="00972364">
          <w:rPr>
            <w:rStyle w:val="Hyperlink"/>
          </w:rPr>
          <w:t>Total uncertainty in New Zealand’s estimates for Afforestation and reforestation, Deforestation and Forest management in 2019</w:t>
        </w:r>
        <w:r w:rsidR="00242E8D">
          <w:rPr>
            <w:webHidden/>
          </w:rPr>
          <w:tab/>
        </w:r>
        <w:r w:rsidR="00242E8D">
          <w:rPr>
            <w:webHidden/>
          </w:rPr>
          <w:fldChar w:fldCharType="begin"/>
        </w:r>
        <w:r w:rsidR="00242E8D">
          <w:rPr>
            <w:webHidden/>
          </w:rPr>
          <w:instrText xml:space="preserve"> PAGEREF _Toc68786601 \h </w:instrText>
        </w:r>
        <w:r w:rsidR="00242E8D">
          <w:rPr>
            <w:webHidden/>
          </w:rPr>
        </w:r>
        <w:r w:rsidR="00242E8D">
          <w:rPr>
            <w:webHidden/>
          </w:rPr>
          <w:fldChar w:fldCharType="separate"/>
        </w:r>
        <w:r w:rsidR="00B94D2F">
          <w:rPr>
            <w:webHidden/>
          </w:rPr>
          <w:t>483</w:t>
        </w:r>
        <w:r w:rsidR="00242E8D">
          <w:rPr>
            <w:webHidden/>
          </w:rPr>
          <w:fldChar w:fldCharType="end"/>
        </w:r>
      </w:hyperlink>
    </w:p>
    <w:p w14:paraId="5C287A26" w14:textId="543730D3" w:rsidR="00242E8D" w:rsidRDefault="00087879">
      <w:pPr>
        <w:pStyle w:val="TableofFigures"/>
        <w:rPr>
          <w:rFonts w:asciiTheme="minorHAnsi" w:eastAsiaTheme="minorEastAsia" w:hAnsiTheme="minorHAnsi" w:cstheme="minorBidi"/>
          <w:sz w:val="22"/>
        </w:rPr>
      </w:pPr>
      <w:hyperlink w:anchor="_Toc68786602" w:history="1">
        <w:r w:rsidR="00242E8D" w:rsidRPr="00972364">
          <w:rPr>
            <w:rStyle w:val="Hyperlink"/>
          </w:rPr>
          <w:t>Table 11.4.3</w:t>
        </w:r>
        <w:r w:rsidR="00242E8D">
          <w:rPr>
            <w:rFonts w:asciiTheme="minorHAnsi" w:eastAsiaTheme="minorEastAsia" w:hAnsiTheme="minorHAnsi" w:cstheme="minorBidi"/>
            <w:sz w:val="22"/>
          </w:rPr>
          <w:tab/>
        </w:r>
        <w:r w:rsidR="00242E8D" w:rsidRPr="00972364">
          <w:rPr>
            <w:rStyle w:val="Hyperlink"/>
          </w:rPr>
          <w:t>Recalculations of New Zealand’s 2018 activity data under Article 3.3 and Article 3.4 of the Kyoto Protocol</w:t>
        </w:r>
        <w:r w:rsidR="00242E8D">
          <w:rPr>
            <w:webHidden/>
          </w:rPr>
          <w:tab/>
        </w:r>
        <w:r w:rsidR="00242E8D">
          <w:rPr>
            <w:webHidden/>
          </w:rPr>
          <w:fldChar w:fldCharType="begin"/>
        </w:r>
        <w:r w:rsidR="00242E8D">
          <w:rPr>
            <w:webHidden/>
          </w:rPr>
          <w:instrText xml:space="preserve"> PAGEREF _Toc68786602 \h </w:instrText>
        </w:r>
        <w:r w:rsidR="00242E8D">
          <w:rPr>
            <w:webHidden/>
          </w:rPr>
        </w:r>
        <w:r w:rsidR="00242E8D">
          <w:rPr>
            <w:webHidden/>
          </w:rPr>
          <w:fldChar w:fldCharType="separate"/>
        </w:r>
        <w:r w:rsidR="00B94D2F">
          <w:rPr>
            <w:webHidden/>
          </w:rPr>
          <w:t>483</w:t>
        </w:r>
        <w:r w:rsidR="00242E8D">
          <w:rPr>
            <w:webHidden/>
          </w:rPr>
          <w:fldChar w:fldCharType="end"/>
        </w:r>
      </w:hyperlink>
    </w:p>
    <w:p w14:paraId="17E2FA45" w14:textId="44D5B92D" w:rsidR="00242E8D" w:rsidRDefault="00087879">
      <w:pPr>
        <w:pStyle w:val="TableofFigures"/>
        <w:rPr>
          <w:rFonts w:asciiTheme="minorHAnsi" w:eastAsiaTheme="minorEastAsia" w:hAnsiTheme="minorHAnsi" w:cstheme="minorBidi"/>
          <w:sz w:val="22"/>
        </w:rPr>
      </w:pPr>
      <w:hyperlink w:anchor="_Toc68786603" w:history="1">
        <w:r w:rsidR="00242E8D" w:rsidRPr="00972364">
          <w:rPr>
            <w:rStyle w:val="Hyperlink"/>
          </w:rPr>
          <w:t>Table 11.4.4</w:t>
        </w:r>
        <w:r w:rsidR="00242E8D">
          <w:rPr>
            <w:rFonts w:asciiTheme="minorHAnsi" w:eastAsiaTheme="minorEastAsia" w:hAnsiTheme="minorHAnsi" w:cstheme="minorBidi"/>
            <w:sz w:val="22"/>
          </w:rPr>
          <w:tab/>
        </w:r>
        <w:r w:rsidR="00242E8D" w:rsidRPr="00972364">
          <w:rPr>
            <w:rStyle w:val="Hyperlink"/>
          </w:rPr>
          <w:t>Recalculations of New Zealand’s total net emissions estimates from 2013 under Article 3.3 and Article 3.4 of the Kyoto Protocol</w:t>
        </w:r>
        <w:r w:rsidR="00242E8D">
          <w:rPr>
            <w:webHidden/>
          </w:rPr>
          <w:tab/>
        </w:r>
        <w:r w:rsidR="00242E8D">
          <w:rPr>
            <w:webHidden/>
          </w:rPr>
          <w:fldChar w:fldCharType="begin"/>
        </w:r>
        <w:r w:rsidR="00242E8D">
          <w:rPr>
            <w:webHidden/>
          </w:rPr>
          <w:instrText xml:space="preserve"> PAGEREF _Toc68786603 \h </w:instrText>
        </w:r>
        <w:r w:rsidR="00242E8D">
          <w:rPr>
            <w:webHidden/>
          </w:rPr>
        </w:r>
        <w:r w:rsidR="00242E8D">
          <w:rPr>
            <w:webHidden/>
          </w:rPr>
          <w:fldChar w:fldCharType="separate"/>
        </w:r>
        <w:r w:rsidR="00B94D2F">
          <w:rPr>
            <w:webHidden/>
          </w:rPr>
          <w:t>484</w:t>
        </w:r>
        <w:r w:rsidR="00242E8D">
          <w:rPr>
            <w:webHidden/>
          </w:rPr>
          <w:fldChar w:fldCharType="end"/>
        </w:r>
      </w:hyperlink>
    </w:p>
    <w:p w14:paraId="79A7E335" w14:textId="33653BCC" w:rsidR="00242E8D" w:rsidRDefault="00087879">
      <w:pPr>
        <w:pStyle w:val="TableofFigures"/>
        <w:rPr>
          <w:rFonts w:asciiTheme="minorHAnsi" w:eastAsiaTheme="minorEastAsia" w:hAnsiTheme="minorHAnsi" w:cstheme="minorBidi"/>
          <w:sz w:val="22"/>
        </w:rPr>
      </w:pPr>
      <w:hyperlink w:anchor="_Toc68786604" w:history="1">
        <w:r w:rsidR="00242E8D" w:rsidRPr="00972364">
          <w:rPr>
            <w:rStyle w:val="Hyperlink"/>
          </w:rPr>
          <w:t xml:space="preserve">Table 11.5.1 </w:t>
        </w:r>
        <w:r w:rsidR="00242E8D">
          <w:rPr>
            <w:rFonts w:asciiTheme="minorHAnsi" w:eastAsiaTheme="minorEastAsia" w:hAnsiTheme="minorHAnsi" w:cstheme="minorBidi"/>
            <w:sz w:val="22"/>
          </w:rPr>
          <w:tab/>
        </w:r>
        <w:r w:rsidR="00242E8D" w:rsidRPr="00972364">
          <w:rPr>
            <w:rStyle w:val="Hyperlink"/>
          </w:rPr>
          <w:t>Estimate of land destocked in New Zealand between 2014 and 2016 awaiting a land use determination</w:t>
        </w:r>
        <w:r w:rsidR="00242E8D">
          <w:rPr>
            <w:webHidden/>
          </w:rPr>
          <w:tab/>
        </w:r>
        <w:r w:rsidR="00242E8D">
          <w:rPr>
            <w:webHidden/>
          </w:rPr>
          <w:fldChar w:fldCharType="begin"/>
        </w:r>
        <w:r w:rsidR="00242E8D">
          <w:rPr>
            <w:webHidden/>
          </w:rPr>
          <w:instrText xml:space="preserve"> PAGEREF _Toc68786604 \h </w:instrText>
        </w:r>
        <w:r w:rsidR="00242E8D">
          <w:rPr>
            <w:webHidden/>
          </w:rPr>
        </w:r>
        <w:r w:rsidR="00242E8D">
          <w:rPr>
            <w:webHidden/>
          </w:rPr>
          <w:fldChar w:fldCharType="separate"/>
        </w:r>
        <w:r w:rsidR="00B94D2F">
          <w:rPr>
            <w:webHidden/>
          </w:rPr>
          <w:t>488</w:t>
        </w:r>
        <w:r w:rsidR="00242E8D">
          <w:rPr>
            <w:webHidden/>
          </w:rPr>
          <w:fldChar w:fldCharType="end"/>
        </w:r>
      </w:hyperlink>
    </w:p>
    <w:p w14:paraId="38C466A9" w14:textId="03E6FBDD" w:rsidR="00242E8D" w:rsidRDefault="00087879">
      <w:pPr>
        <w:pStyle w:val="TableofFigures"/>
        <w:rPr>
          <w:rFonts w:asciiTheme="minorHAnsi" w:eastAsiaTheme="minorEastAsia" w:hAnsiTheme="minorHAnsi" w:cstheme="minorBidi"/>
          <w:sz w:val="22"/>
        </w:rPr>
      </w:pPr>
      <w:hyperlink w:anchor="_Toc68786605" w:history="1">
        <w:r w:rsidR="00242E8D" w:rsidRPr="00972364">
          <w:rPr>
            <w:rStyle w:val="Hyperlink"/>
          </w:rPr>
          <w:t>Table 12.2.1</w:t>
        </w:r>
        <w:r w:rsidR="00242E8D">
          <w:rPr>
            <w:rFonts w:asciiTheme="minorHAnsi" w:eastAsiaTheme="minorEastAsia" w:hAnsiTheme="minorHAnsi" w:cstheme="minorBidi"/>
            <w:sz w:val="22"/>
          </w:rPr>
          <w:tab/>
        </w:r>
        <w:r w:rsidR="00242E8D" w:rsidRPr="00972364">
          <w:rPr>
            <w:rStyle w:val="Hyperlink"/>
          </w:rPr>
          <w:t>New Zealand’s submission of the standard electronic format</w:t>
        </w:r>
        <w:r w:rsidR="00242E8D">
          <w:rPr>
            <w:webHidden/>
          </w:rPr>
          <w:tab/>
        </w:r>
        <w:r w:rsidR="00242E8D">
          <w:rPr>
            <w:webHidden/>
          </w:rPr>
          <w:fldChar w:fldCharType="begin"/>
        </w:r>
        <w:r w:rsidR="00242E8D">
          <w:rPr>
            <w:webHidden/>
          </w:rPr>
          <w:instrText xml:space="preserve"> PAGEREF _Toc68786605 \h </w:instrText>
        </w:r>
        <w:r w:rsidR="00242E8D">
          <w:rPr>
            <w:webHidden/>
          </w:rPr>
        </w:r>
        <w:r w:rsidR="00242E8D">
          <w:rPr>
            <w:webHidden/>
          </w:rPr>
          <w:fldChar w:fldCharType="separate"/>
        </w:r>
        <w:r w:rsidR="00B94D2F">
          <w:rPr>
            <w:webHidden/>
          </w:rPr>
          <w:t>492</w:t>
        </w:r>
        <w:r w:rsidR="00242E8D">
          <w:rPr>
            <w:webHidden/>
          </w:rPr>
          <w:fldChar w:fldCharType="end"/>
        </w:r>
      </w:hyperlink>
    </w:p>
    <w:p w14:paraId="61A3255A" w14:textId="2534225E" w:rsidR="00242E8D" w:rsidRDefault="00087879">
      <w:pPr>
        <w:pStyle w:val="TableofFigures"/>
        <w:rPr>
          <w:rFonts w:asciiTheme="minorHAnsi" w:eastAsiaTheme="minorEastAsia" w:hAnsiTheme="minorHAnsi" w:cstheme="minorBidi"/>
          <w:sz w:val="22"/>
        </w:rPr>
      </w:pPr>
      <w:hyperlink w:anchor="_Toc68786606" w:history="1">
        <w:r w:rsidR="00242E8D" w:rsidRPr="00972364">
          <w:rPr>
            <w:rStyle w:val="Hyperlink"/>
          </w:rPr>
          <w:t>Table 12.3.1</w:t>
        </w:r>
        <w:r w:rsidR="00242E8D">
          <w:rPr>
            <w:rFonts w:asciiTheme="minorHAnsi" w:eastAsiaTheme="minorEastAsia" w:hAnsiTheme="minorHAnsi" w:cstheme="minorBidi"/>
            <w:sz w:val="22"/>
          </w:rPr>
          <w:tab/>
        </w:r>
        <w:r w:rsidR="00242E8D" w:rsidRPr="00972364">
          <w:rPr>
            <w:rStyle w:val="Hyperlink"/>
          </w:rPr>
          <w:t>Discrepancies and notifications from New Zealand’s national registry</w:t>
        </w:r>
        <w:r w:rsidR="00242E8D">
          <w:rPr>
            <w:webHidden/>
          </w:rPr>
          <w:tab/>
        </w:r>
        <w:r w:rsidR="00242E8D">
          <w:rPr>
            <w:webHidden/>
          </w:rPr>
          <w:fldChar w:fldCharType="begin"/>
        </w:r>
        <w:r w:rsidR="00242E8D">
          <w:rPr>
            <w:webHidden/>
          </w:rPr>
          <w:instrText xml:space="preserve"> PAGEREF _Toc68786606 \h </w:instrText>
        </w:r>
        <w:r w:rsidR="00242E8D">
          <w:rPr>
            <w:webHidden/>
          </w:rPr>
        </w:r>
        <w:r w:rsidR="00242E8D">
          <w:rPr>
            <w:webHidden/>
          </w:rPr>
          <w:fldChar w:fldCharType="separate"/>
        </w:r>
        <w:r w:rsidR="00B94D2F">
          <w:rPr>
            <w:webHidden/>
          </w:rPr>
          <w:t>492</w:t>
        </w:r>
        <w:r w:rsidR="00242E8D">
          <w:rPr>
            <w:webHidden/>
          </w:rPr>
          <w:fldChar w:fldCharType="end"/>
        </w:r>
      </w:hyperlink>
    </w:p>
    <w:p w14:paraId="4ADCE43B" w14:textId="00035430" w:rsidR="00242E8D" w:rsidRDefault="00087879">
      <w:pPr>
        <w:pStyle w:val="TableofFigures"/>
        <w:rPr>
          <w:rFonts w:asciiTheme="minorHAnsi" w:eastAsiaTheme="minorEastAsia" w:hAnsiTheme="minorHAnsi" w:cstheme="minorBidi"/>
          <w:sz w:val="22"/>
        </w:rPr>
      </w:pPr>
      <w:hyperlink w:anchor="_Toc68786607" w:history="1">
        <w:r w:rsidR="00242E8D" w:rsidRPr="00972364">
          <w:rPr>
            <w:rStyle w:val="Hyperlink"/>
          </w:rPr>
          <w:t>Table 12.4.1</w:t>
        </w:r>
        <w:r w:rsidR="00242E8D">
          <w:rPr>
            <w:rFonts w:asciiTheme="minorHAnsi" w:eastAsiaTheme="minorEastAsia" w:hAnsiTheme="minorHAnsi" w:cstheme="minorBidi"/>
            <w:sz w:val="22"/>
          </w:rPr>
          <w:tab/>
        </w:r>
        <w:r w:rsidR="00242E8D" w:rsidRPr="00972364">
          <w:rPr>
            <w:rStyle w:val="Hyperlink"/>
          </w:rPr>
          <w:t>List of the publicly accessible information in New Zealand’s national registry</w:t>
        </w:r>
        <w:r w:rsidR="00242E8D">
          <w:rPr>
            <w:webHidden/>
          </w:rPr>
          <w:tab/>
        </w:r>
        <w:r w:rsidR="00242E8D">
          <w:rPr>
            <w:webHidden/>
          </w:rPr>
          <w:fldChar w:fldCharType="begin"/>
        </w:r>
        <w:r w:rsidR="00242E8D">
          <w:rPr>
            <w:webHidden/>
          </w:rPr>
          <w:instrText xml:space="preserve"> PAGEREF _Toc68786607 \h </w:instrText>
        </w:r>
        <w:r w:rsidR="00242E8D">
          <w:rPr>
            <w:webHidden/>
          </w:rPr>
        </w:r>
        <w:r w:rsidR="00242E8D">
          <w:rPr>
            <w:webHidden/>
          </w:rPr>
          <w:fldChar w:fldCharType="separate"/>
        </w:r>
        <w:r w:rsidR="00B94D2F">
          <w:rPr>
            <w:webHidden/>
          </w:rPr>
          <w:t>493</w:t>
        </w:r>
        <w:r w:rsidR="00242E8D">
          <w:rPr>
            <w:webHidden/>
          </w:rPr>
          <w:fldChar w:fldCharType="end"/>
        </w:r>
      </w:hyperlink>
    </w:p>
    <w:p w14:paraId="172C92EA" w14:textId="080554A5" w:rsidR="00242E8D" w:rsidRDefault="00087879">
      <w:pPr>
        <w:pStyle w:val="TableofFigures"/>
        <w:rPr>
          <w:rFonts w:asciiTheme="minorHAnsi" w:eastAsiaTheme="minorEastAsia" w:hAnsiTheme="minorHAnsi" w:cstheme="minorBidi"/>
          <w:sz w:val="22"/>
        </w:rPr>
      </w:pPr>
      <w:hyperlink w:anchor="_Toc68786608" w:history="1">
        <w:r w:rsidR="00242E8D" w:rsidRPr="00972364">
          <w:rPr>
            <w:rStyle w:val="Hyperlink"/>
          </w:rPr>
          <w:t xml:space="preserve">Table 14.1 </w:t>
        </w:r>
        <w:r w:rsidR="00242E8D">
          <w:rPr>
            <w:rFonts w:asciiTheme="minorHAnsi" w:eastAsiaTheme="minorEastAsia" w:hAnsiTheme="minorHAnsi" w:cstheme="minorBidi"/>
            <w:sz w:val="22"/>
          </w:rPr>
          <w:tab/>
        </w:r>
        <w:r w:rsidR="00242E8D" w:rsidRPr="00972364">
          <w:rPr>
            <w:rStyle w:val="Hyperlink"/>
          </w:rPr>
          <w:t>Changes made to New Zealand’s national registry</w:t>
        </w:r>
        <w:r w:rsidR="00242E8D">
          <w:rPr>
            <w:webHidden/>
          </w:rPr>
          <w:tab/>
        </w:r>
        <w:r w:rsidR="00242E8D">
          <w:rPr>
            <w:webHidden/>
          </w:rPr>
          <w:fldChar w:fldCharType="begin"/>
        </w:r>
        <w:r w:rsidR="00242E8D">
          <w:rPr>
            <w:webHidden/>
          </w:rPr>
          <w:instrText xml:space="preserve"> PAGEREF _Toc68786608 \h </w:instrText>
        </w:r>
        <w:r w:rsidR="00242E8D">
          <w:rPr>
            <w:webHidden/>
          </w:rPr>
        </w:r>
        <w:r w:rsidR="00242E8D">
          <w:rPr>
            <w:webHidden/>
          </w:rPr>
          <w:fldChar w:fldCharType="separate"/>
        </w:r>
        <w:r w:rsidR="00B94D2F">
          <w:rPr>
            <w:webHidden/>
          </w:rPr>
          <w:t>500</w:t>
        </w:r>
        <w:r w:rsidR="00242E8D">
          <w:rPr>
            <w:webHidden/>
          </w:rPr>
          <w:fldChar w:fldCharType="end"/>
        </w:r>
      </w:hyperlink>
    </w:p>
    <w:p w14:paraId="240CC891" w14:textId="6AE750B2" w:rsidR="00242E8D" w:rsidRDefault="00087879">
      <w:pPr>
        <w:pStyle w:val="TableofFigures"/>
        <w:rPr>
          <w:rFonts w:asciiTheme="minorHAnsi" w:eastAsiaTheme="minorEastAsia" w:hAnsiTheme="minorHAnsi" w:cstheme="minorBidi"/>
          <w:sz w:val="22"/>
        </w:rPr>
      </w:pPr>
      <w:hyperlink w:anchor="_Toc68786609" w:history="1">
        <w:r w:rsidR="00242E8D" w:rsidRPr="00972364">
          <w:rPr>
            <w:rStyle w:val="Hyperlink"/>
          </w:rPr>
          <w:t>Table 14.2</w:t>
        </w:r>
        <w:r w:rsidR="00242E8D">
          <w:rPr>
            <w:rFonts w:asciiTheme="minorHAnsi" w:eastAsiaTheme="minorEastAsia" w:hAnsiTheme="minorHAnsi" w:cstheme="minorBidi"/>
            <w:sz w:val="22"/>
          </w:rPr>
          <w:tab/>
        </w:r>
        <w:r w:rsidR="00242E8D" w:rsidRPr="00972364">
          <w:rPr>
            <w:rStyle w:val="Hyperlink"/>
          </w:rPr>
          <w:t>Previous recommendations for New Zealand from the expert review team</w:t>
        </w:r>
        <w:r w:rsidR="00242E8D">
          <w:rPr>
            <w:webHidden/>
          </w:rPr>
          <w:tab/>
        </w:r>
        <w:r w:rsidR="00242E8D">
          <w:rPr>
            <w:webHidden/>
          </w:rPr>
          <w:fldChar w:fldCharType="begin"/>
        </w:r>
        <w:r w:rsidR="00242E8D">
          <w:rPr>
            <w:webHidden/>
          </w:rPr>
          <w:instrText xml:space="preserve"> PAGEREF _Toc68786609 \h </w:instrText>
        </w:r>
        <w:r w:rsidR="00242E8D">
          <w:rPr>
            <w:webHidden/>
          </w:rPr>
        </w:r>
        <w:r w:rsidR="00242E8D">
          <w:rPr>
            <w:webHidden/>
          </w:rPr>
          <w:fldChar w:fldCharType="separate"/>
        </w:r>
        <w:r w:rsidR="00B94D2F">
          <w:rPr>
            <w:webHidden/>
          </w:rPr>
          <w:t>500</w:t>
        </w:r>
        <w:r w:rsidR="00242E8D">
          <w:rPr>
            <w:webHidden/>
          </w:rPr>
          <w:fldChar w:fldCharType="end"/>
        </w:r>
      </w:hyperlink>
    </w:p>
    <w:p w14:paraId="197726F0" w14:textId="3E3E2B78" w:rsidR="00242E8D" w:rsidRDefault="00087879">
      <w:pPr>
        <w:pStyle w:val="TableofFigures"/>
        <w:rPr>
          <w:rFonts w:asciiTheme="minorHAnsi" w:eastAsiaTheme="minorEastAsia" w:hAnsiTheme="minorHAnsi" w:cstheme="minorBidi"/>
          <w:sz w:val="22"/>
        </w:rPr>
      </w:pPr>
      <w:hyperlink w:anchor="_Toc68786610" w:history="1">
        <w:r w:rsidR="00242E8D" w:rsidRPr="00972364">
          <w:rPr>
            <w:rStyle w:val="Hyperlink"/>
          </w:rPr>
          <w:t xml:space="preserve">Table 14.3 </w:t>
        </w:r>
        <w:r w:rsidR="00242E8D">
          <w:rPr>
            <w:rFonts w:asciiTheme="minorHAnsi" w:eastAsiaTheme="minorEastAsia" w:hAnsiTheme="minorHAnsi" w:cstheme="minorBidi"/>
            <w:sz w:val="22"/>
          </w:rPr>
          <w:tab/>
        </w:r>
        <w:r w:rsidR="00242E8D" w:rsidRPr="00972364">
          <w:rPr>
            <w:rStyle w:val="Hyperlink"/>
          </w:rPr>
          <w:t>Contact details</w:t>
        </w:r>
        <w:r w:rsidR="00242E8D">
          <w:rPr>
            <w:webHidden/>
          </w:rPr>
          <w:tab/>
        </w:r>
        <w:r w:rsidR="00242E8D">
          <w:rPr>
            <w:webHidden/>
          </w:rPr>
          <w:fldChar w:fldCharType="begin"/>
        </w:r>
        <w:r w:rsidR="00242E8D">
          <w:rPr>
            <w:webHidden/>
          </w:rPr>
          <w:instrText xml:space="preserve"> PAGEREF _Toc68786610 \h </w:instrText>
        </w:r>
        <w:r w:rsidR="00242E8D">
          <w:rPr>
            <w:webHidden/>
          </w:rPr>
        </w:r>
        <w:r w:rsidR="00242E8D">
          <w:rPr>
            <w:webHidden/>
          </w:rPr>
          <w:fldChar w:fldCharType="separate"/>
        </w:r>
        <w:r w:rsidR="00B94D2F">
          <w:rPr>
            <w:webHidden/>
          </w:rPr>
          <w:t>501</w:t>
        </w:r>
        <w:r w:rsidR="00242E8D">
          <w:rPr>
            <w:webHidden/>
          </w:rPr>
          <w:fldChar w:fldCharType="end"/>
        </w:r>
      </w:hyperlink>
    </w:p>
    <w:p w14:paraId="04A3F532" w14:textId="0B1D8AE0" w:rsidR="00F33E01" w:rsidRPr="00BE78CA" w:rsidRDefault="00230860" w:rsidP="00F33E01">
      <w:r w:rsidRPr="00BE78CA">
        <w:rPr>
          <w:rFonts w:ascii="Arial" w:hAnsi="Arial" w:cs="Calibri"/>
          <w:sz w:val="20"/>
        </w:rPr>
        <w:fldChar w:fldCharType="end"/>
      </w:r>
    </w:p>
    <w:p w14:paraId="45F6EA5E" w14:textId="77777777" w:rsidR="00F33E01" w:rsidRPr="00BE78CA" w:rsidRDefault="00F33E01" w:rsidP="00F33E01"/>
    <w:p w14:paraId="2C89FA02" w14:textId="77777777" w:rsidR="00F33E01" w:rsidRPr="00BE78CA" w:rsidRDefault="00F33E01" w:rsidP="00F33E01"/>
    <w:p w14:paraId="4448DABF" w14:textId="77777777" w:rsidR="00F33E01" w:rsidRPr="00BE78CA" w:rsidRDefault="00F33E01" w:rsidP="00E44865">
      <w:pPr>
        <w:pStyle w:val="Heading1"/>
      </w:pPr>
      <w:bookmarkStart w:id="9" w:name="_Toc68786276"/>
      <w:r w:rsidRPr="00BE78CA">
        <w:lastRenderedPageBreak/>
        <w:t>Figures</w:t>
      </w:r>
      <w:bookmarkEnd w:id="9"/>
    </w:p>
    <w:p w14:paraId="41B89A5C" w14:textId="5F10DF70" w:rsidR="009A7930" w:rsidRDefault="005B6417">
      <w:pPr>
        <w:pStyle w:val="TableofFigures"/>
        <w:rPr>
          <w:rFonts w:asciiTheme="minorHAnsi" w:eastAsiaTheme="minorEastAsia" w:hAnsiTheme="minorHAnsi" w:cstheme="minorBidi"/>
          <w:sz w:val="22"/>
        </w:rPr>
      </w:pPr>
      <w:r w:rsidRPr="00BE78CA">
        <w:rPr>
          <w:rFonts w:ascii="Arial" w:hAnsi="Arial"/>
          <w:noProof w:val="0"/>
        </w:rPr>
        <w:fldChar w:fldCharType="begin"/>
      </w:r>
      <w:r w:rsidRPr="00BE78CA">
        <w:rPr>
          <w:rFonts w:ascii="Arial" w:hAnsi="Arial"/>
          <w:noProof w:val="0"/>
        </w:rPr>
        <w:instrText xml:space="preserve"> TOC \h \z \t "Figure" \c </w:instrText>
      </w:r>
      <w:r w:rsidRPr="00BE78CA">
        <w:rPr>
          <w:rFonts w:ascii="Arial" w:hAnsi="Arial"/>
          <w:noProof w:val="0"/>
        </w:rPr>
        <w:fldChar w:fldCharType="separate"/>
      </w:r>
      <w:hyperlink w:anchor="_Toc68786611" w:history="1">
        <w:r w:rsidR="009A7930" w:rsidRPr="004B203D">
          <w:rPr>
            <w:rStyle w:val="Hyperlink"/>
          </w:rPr>
          <w:t xml:space="preserve">Figure ES 2.1 </w:t>
        </w:r>
        <w:r w:rsidR="009A7930">
          <w:rPr>
            <w:rFonts w:asciiTheme="minorHAnsi" w:eastAsiaTheme="minorEastAsia" w:hAnsiTheme="minorHAnsi" w:cstheme="minorBidi"/>
            <w:sz w:val="22"/>
          </w:rPr>
          <w:tab/>
        </w:r>
        <w:r w:rsidR="009A7930" w:rsidRPr="004B203D">
          <w:rPr>
            <w:rStyle w:val="Hyperlink"/>
          </w:rPr>
          <w:t>New Zealand’s gross and net emissions (under the Convention) from 1990 to 2019</w:t>
        </w:r>
        <w:r w:rsidR="009A7930">
          <w:rPr>
            <w:webHidden/>
          </w:rPr>
          <w:tab/>
        </w:r>
        <w:r w:rsidR="009A7930">
          <w:rPr>
            <w:webHidden/>
          </w:rPr>
          <w:fldChar w:fldCharType="begin"/>
        </w:r>
        <w:r w:rsidR="009A7930">
          <w:rPr>
            <w:webHidden/>
          </w:rPr>
          <w:instrText xml:space="preserve"> PAGEREF _Toc68786611 \h </w:instrText>
        </w:r>
        <w:r w:rsidR="009A7930">
          <w:rPr>
            <w:webHidden/>
          </w:rPr>
        </w:r>
        <w:r w:rsidR="009A7930">
          <w:rPr>
            <w:webHidden/>
          </w:rPr>
          <w:fldChar w:fldCharType="separate"/>
        </w:r>
        <w:r w:rsidR="00B94D2F">
          <w:rPr>
            <w:webHidden/>
          </w:rPr>
          <w:t>4</w:t>
        </w:r>
        <w:r w:rsidR="009A7930">
          <w:rPr>
            <w:webHidden/>
          </w:rPr>
          <w:fldChar w:fldCharType="end"/>
        </w:r>
      </w:hyperlink>
    </w:p>
    <w:p w14:paraId="62068A9F" w14:textId="59288BCB" w:rsidR="009A7930" w:rsidRDefault="00087879">
      <w:pPr>
        <w:pStyle w:val="TableofFigures"/>
        <w:rPr>
          <w:rFonts w:asciiTheme="minorHAnsi" w:eastAsiaTheme="minorEastAsia" w:hAnsiTheme="minorHAnsi" w:cstheme="minorBidi"/>
          <w:sz w:val="22"/>
        </w:rPr>
      </w:pPr>
      <w:hyperlink w:anchor="_Toc68786612" w:history="1">
        <w:r w:rsidR="009A7930" w:rsidRPr="004B203D">
          <w:rPr>
            <w:rStyle w:val="Hyperlink"/>
          </w:rPr>
          <w:t xml:space="preserve">Figure ES 3.1 </w:t>
        </w:r>
        <w:r w:rsidR="009A7930">
          <w:rPr>
            <w:rFonts w:asciiTheme="minorHAnsi" w:eastAsiaTheme="minorEastAsia" w:hAnsiTheme="minorHAnsi" w:cstheme="minorBidi"/>
            <w:sz w:val="22"/>
          </w:rPr>
          <w:tab/>
        </w:r>
        <w:r w:rsidR="009A7930" w:rsidRPr="004B203D">
          <w:rPr>
            <w:rStyle w:val="Hyperlink"/>
          </w:rPr>
          <w:t>New Zealand’s gross emissions by gas in 2019</w:t>
        </w:r>
        <w:r w:rsidR="009A7930">
          <w:rPr>
            <w:webHidden/>
          </w:rPr>
          <w:tab/>
        </w:r>
        <w:r w:rsidR="009A7930">
          <w:rPr>
            <w:webHidden/>
          </w:rPr>
          <w:fldChar w:fldCharType="begin"/>
        </w:r>
        <w:r w:rsidR="009A7930">
          <w:rPr>
            <w:webHidden/>
          </w:rPr>
          <w:instrText xml:space="preserve"> PAGEREF _Toc68786612 \h </w:instrText>
        </w:r>
        <w:r w:rsidR="009A7930">
          <w:rPr>
            <w:webHidden/>
          </w:rPr>
        </w:r>
        <w:r w:rsidR="009A7930">
          <w:rPr>
            <w:webHidden/>
          </w:rPr>
          <w:fldChar w:fldCharType="separate"/>
        </w:r>
        <w:r w:rsidR="00B94D2F">
          <w:rPr>
            <w:webHidden/>
          </w:rPr>
          <w:t>5</w:t>
        </w:r>
        <w:r w:rsidR="009A7930">
          <w:rPr>
            <w:webHidden/>
          </w:rPr>
          <w:fldChar w:fldCharType="end"/>
        </w:r>
      </w:hyperlink>
    </w:p>
    <w:p w14:paraId="3000CF61" w14:textId="0D8FDD82" w:rsidR="009A7930" w:rsidRDefault="00087879">
      <w:pPr>
        <w:pStyle w:val="TableofFigures"/>
        <w:rPr>
          <w:rFonts w:asciiTheme="minorHAnsi" w:eastAsiaTheme="minorEastAsia" w:hAnsiTheme="minorHAnsi" w:cstheme="minorBidi"/>
          <w:sz w:val="22"/>
        </w:rPr>
      </w:pPr>
      <w:hyperlink w:anchor="_Toc68786613" w:history="1">
        <w:r w:rsidR="009A7930" w:rsidRPr="004B203D">
          <w:rPr>
            <w:rStyle w:val="Hyperlink"/>
          </w:rPr>
          <w:t xml:space="preserve">Figure ES 3.2 </w:t>
        </w:r>
        <w:r w:rsidR="009A7930">
          <w:rPr>
            <w:rFonts w:asciiTheme="minorHAnsi" w:eastAsiaTheme="minorEastAsia" w:hAnsiTheme="minorHAnsi" w:cstheme="minorBidi"/>
            <w:sz w:val="22"/>
          </w:rPr>
          <w:tab/>
        </w:r>
        <w:r w:rsidR="009A7930" w:rsidRPr="004B203D">
          <w:rPr>
            <w:rStyle w:val="Hyperlink"/>
          </w:rPr>
          <w:t>New Zealand’s emissions by gas in 1990 and 2019</w:t>
        </w:r>
        <w:r w:rsidR="009A7930">
          <w:rPr>
            <w:webHidden/>
          </w:rPr>
          <w:tab/>
        </w:r>
        <w:r w:rsidR="009A7930">
          <w:rPr>
            <w:webHidden/>
          </w:rPr>
          <w:fldChar w:fldCharType="begin"/>
        </w:r>
        <w:r w:rsidR="009A7930">
          <w:rPr>
            <w:webHidden/>
          </w:rPr>
          <w:instrText xml:space="preserve"> PAGEREF _Toc68786613 \h </w:instrText>
        </w:r>
        <w:r w:rsidR="009A7930">
          <w:rPr>
            <w:webHidden/>
          </w:rPr>
        </w:r>
        <w:r w:rsidR="009A7930">
          <w:rPr>
            <w:webHidden/>
          </w:rPr>
          <w:fldChar w:fldCharType="separate"/>
        </w:r>
        <w:r w:rsidR="00B94D2F">
          <w:rPr>
            <w:webHidden/>
          </w:rPr>
          <w:t>6</w:t>
        </w:r>
        <w:r w:rsidR="009A7930">
          <w:rPr>
            <w:webHidden/>
          </w:rPr>
          <w:fldChar w:fldCharType="end"/>
        </w:r>
      </w:hyperlink>
    </w:p>
    <w:p w14:paraId="2A207902" w14:textId="7CEF38DE" w:rsidR="009A7930" w:rsidRDefault="00087879">
      <w:pPr>
        <w:pStyle w:val="TableofFigures"/>
        <w:rPr>
          <w:rFonts w:asciiTheme="minorHAnsi" w:eastAsiaTheme="minorEastAsia" w:hAnsiTheme="minorHAnsi" w:cstheme="minorBidi"/>
          <w:sz w:val="22"/>
        </w:rPr>
      </w:pPr>
      <w:hyperlink w:anchor="_Toc68786614" w:history="1">
        <w:r w:rsidR="009A7930" w:rsidRPr="004B203D">
          <w:rPr>
            <w:rStyle w:val="Hyperlink"/>
          </w:rPr>
          <w:t xml:space="preserve">Figure ES 4.1 </w:t>
        </w:r>
        <w:r w:rsidR="009A7930">
          <w:rPr>
            <w:rFonts w:asciiTheme="minorHAnsi" w:eastAsiaTheme="minorEastAsia" w:hAnsiTheme="minorHAnsi" w:cstheme="minorBidi"/>
            <w:sz w:val="22"/>
          </w:rPr>
          <w:tab/>
        </w:r>
        <w:r w:rsidR="009A7930" w:rsidRPr="004B203D">
          <w:rPr>
            <w:rStyle w:val="Hyperlink"/>
          </w:rPr>
          <w:t>Changes in New Zealand’s gross emissions profile by sector from 1990 to 2019</w:t>
        </w:r>
        <w:r w:rsidR="009A7930">
          <w:rPr>
            <w:webHidden/>
          </w:rPr>
          <w:tab/>
        </w:r>
        <w:r w:rsidR="009A7930">
          <w:rPr>
            <w:webHidden/>
          </w:rPr>
          <w:fldChar w:fldCharType="begin"/>
        </w:r>
        <w:r w:rsidR="009A7930">
          <w:rPr>
            <w:webHidden/>
          </w:rPr>
          <w:instrText xml:space="preserve"> PAGEREF _Toc68786614 \h </w:instrText>
        </w:r>
        <w:r w:rsidR="009A7930">
          <w:rPr>
            <w:webHidden/>
          </w:rPr>
        </w:r>
        <w:r w:rsidR="009A7930">
          <w:rPr>
            <w:webHidden/>
          </w:rPr>
          <w:fldChar w:fldCharType="separate"/>
        </w:r>
        <w:r w:rsidR="00B94D2F">
          <w:rPr>
            <w:webHidden/>
          </w:rPr>
          <w:t>7</w:t>
        </w:r>
        <w:r w:rsidR="009A7930">
          <w:rPr>
            <w:webHidden/>
          </w:rPr>
          <w:fldChar w:fldCharType="end"/>
        </w:r>
      </w:hyperlink>
    </w:p>
    <w:p w14:paraId="3ACF011E" w14:textId="556D26DF" w:rsidR="009A7930" w:rsidRDefault="00087879">
      <w:pPr>
        <w:pStyle w:val="TableofFigures"/>
        <w:rPr>
          <w:rFonts w:asciiTheme="minorHAnsi" w:eastAsiaTheme="minorEastAsia" w:hAnsiTheme="minorHAnsi" w:cstheme="minorBidi"/>
          <w:sz w:val="22"/>
        </w:rPr>
      </w:pPr>
      <w:hyperlink w:anchor="_Toc68786615" w:history="1">
        <w:r w:rsidR="009A7930" w:rsidRPr="004B203D">
          <w:rPr>
            <w:rStyle w:val="Hyperlink"/>
          </w:rPr>
          <w:t xml:space="preserve">Figure ES 4.2 </w:t>
        </w:r>
        <w:r w:rsidR="009A7930">
          <w:rPr>
            <w:rFonts w:asciiTheme="minorHAnsi" w:eastAsiaTheme="minorEastAsia" w:hAnsiTheme="minorHAnsi" w:cstheme="minorBidi"/>
            <w:sz w:val="22"/>
          </w:rPr>
          <w:tab/>
        </w:r>
        <w:r w:rsidR="009A7930" w:rsidRPr="004B203D">
          <w:rPr>
            <w:rStyle w:val="Hyperlink"/>
          </w:rPr>
          <w:t>New Zealand’s emissions by sector in 2019</w:t>
        </w:r>
        <w:r w:rsidR="009A7930">
          <w:rPr>
            <w:webHidden/>
          </w:rPr>
          <w:tab/>
        </w:r>
        <w:r w:rsidR="009A7930">
          <w:rPr>
            <w:webHidden/>
          </w:rPr>
          <w:fldChar w:fldCharType="begin"/>
        </w:r>
        <w:r w:rsidR="009A7930">
          <w:rPr>
            <w:webHidden/>
          </w:rPr>
          <w:instrText xml:space="preserve"> PAGEREF _Toc68786615 \h </w:instrText>
        </w:r>
        <w:r w:rsidR="009A7930">
          <w:rPr>
            <w:webHidden/>
          </w:rPr>
        </w:r>
        <w:r w:rsidR="009A7930">
          <w:rPr>
            <w:webHidden/>
          </w:rPr>
          <w:fldChar w:fldCharType="separate"/>
        </w:r>
        <w:r w:rsidR="00B94D2F">
          <w:rPr>
            <w:webHidden/>
          </w:rPr>
          <w:t>8</w:t>
        </w:r>
        <w:r w:rsidR="009A7930">
          <w:rPr>
            <w:webHidden/>
          </w:rPr>
          <w:fldChar w:fldCharType="end"/>
        </w:r>
      </w:hyperlink>
    </w:p>
    <w:p w14:paraId="326AA900" w14:textId="5D6D1761" w:rsidR="009A7930" w:rsidRDefault="00087879">
      <w:pPr>
        <w:pStyle w:val="TableofFigures"/>
        <w:rPr>
          <w:rFonts w:asciiTheme="minorHAnsi" w:eastAsiaTheme="minorEastAsia" w:hAnsiTheme="minorHAnsi" w:cstheme="minorBidi"/>
          <w:sz w:val="22"/>
        </w:rPr>
      </w:pPr>
      <w:hyperlink w:anchor="_Toc68786616" w:history="1">
        <w:r w:rsidR="009A7930" w:rsidRPr="004B203D">
          <w:rPr>
            <w:rStyle w:val="Hyperlink"/>
          </w:rPr>
          <w:t xml:space="preserve">Figure ES 4.3 </w:t>
        </w:r>
        <w:r w:rsidR="009A7930">
          <w:rPr>
            <w:rFonts w:asciiTheme="minorHAnsi" w:eastAsiaTheme="minorEastAsia" w:hAnsiTheme="minorHAnsi" w:cstheme="minorBidi"/>
            <w:sz w:val="22"/>
          </w:rPr>
          <w:tab/>
        </w:r>
        <w:r w:rsidR="009A7930" w:rsidRPr="004B203D">
          <w:rPr>
            <w:rStyle w:val="Hyperlink"/>
          </w:rPr>
          <w:t>Change in New Zealand’s emissions by sector, comparing 1990 and 2019</w:t>
        </w:r>
        <w:r w:rsidR="009A7930">
          <w:rPr>
            <w:webHidden/>
          </w:rPr>
          <w:tab/>
        </w:r>
        <w:r w:rsidR="009A7930">
          <w:rPr>
            <w:webHidden/>
          </w:rPr>
          <w:fldChar w:fldCharType="begin"/>
        </w:r>
        <w:r w:rsidR="009A7930">
          <w:rPr>
            <w:webHidden/>
          </w:rPr>
          <w:instrText xml:space="preserve"> PAGEREF _Toc68786616 \h </w:instrText>
        </w:r>
        <w:r w:rsidR="009A7930">
          <w:rPr>
            <w:webHidden/>
          </w:rPr>
        </w:r>
        <w:r w:rsidR="009A7930">
          <w:rPr>
            <w:webHidden/>
          </w:rPr>
          <w:fldChar w:fldCharType="separate"/>
        </w:r>
        <w:r w:rsidR="00B94D2F">
          <w:rPr>
            <w:webHidden/>
          </w:rPr>
          <w:t>9</w:t>
        </w:r>
        <w:r w:rsidR="009A7930">
          <w:rPr>
            <w:webHidden/>
          </w:rPr>
          <w:fldChar w:fldCharType="end"/>
        </w:r>
      </w:hyperlink>
    </w:p>
    <w:p w14:paraId="40E23B51" w14:textId="129EB3B5" w:rsidR="009A7930" w:rsidRDefault="00087879">
      <w:pPr>
        <w:pStyle w:val="TableofFigures"/>
        <w:rPr>
          <w:rFonts w:asciiTheme="minorHAnsi" w:eastAsiaTheme="minorEastAsia" w:hAnsiTheme="minorHAnsi" w:cstheme="minorBidi"/>
          <w:sz w:val="22"/>
        </w:rPr>
      </w:pPr>
      <w:hyperlink w:anchor="_Toc68786617" w:history="1">
        <w:r w:rsidR="009A7930" w:rsidRPr="004B203D">
          <w:rPr>
            <w:rStyle w:val="Hyperlink"/>
          </w:rPr>
          <w:t xml:space="preserve">Figure ES 4.4 </w:t>
        </w:r>
        <w:r w:rsidR="009A7930">
          <w:rPr>
            <w:rFonts w:asciiTheme="minorHAnsi" w:eastAsiaTheme="minorEastAsia" w:hAnsiTheme="minorHAnsi" w:cstheme="minorBidi"/>
            <w:sz w:val="22"/>
          </w:rPr>
          <w:tab/>
        </w:r>
        <w:r w:rsidR="009A7930" w:rsidRPr="004B203D">
          <w:rPr>
            <w:rStyle w:val="Hyperlink"/>
          </w:rPr>
          <w:t>New Zealand’s LULUCF sector net emissions from 1990 to 2019</w:t>
        </w:r>
        <w:r w:rsidR="009A7930">
          <w:rPr>
            <w:webHidden/>
          </w:rPr>
          <w:tab/>
        </w:r>
        <w:r w:rsidR="009A7930">
          <w:rPr>
            <w:webHidden/>
          </w:rPr>
          <w:fldChar w:fldCharType="begin"/>
        </w:r>
        <w:r w:rsidR="009A7930">
          <w:rPr>
            <w:webHidden/>
          </w:rPr>
          <w:instrText xml:space="preserve"> PAGEREF _Toc68786617 \h </w:instrText>
        </w:r>
        <w:r w:rsidR="009A7930">
          <w:rPr>
            <w:webHidden/>
          </w:rPr>
        </w:r>
        <w:r w:rsidR="009A7930">
          <w:rPr>
            <w:webHidden/>
          </w:rPr>
          <w:fldChar w:fldCharType="separate"/>
        </w:r>
        <w:r w:rsidR="00B94D2F">
          <w:rPr>
            <w:webHidden/>
          </w:rPr>
          <w:t>13</w:t>
        </w:r>
        <w:r w:rsidR="009A7930">
          <w:rPr>
            <w:webHidden/>
          </w:rPr>
          <w:fldChar w:fldCharType="end"/>
        </w:r>
      </w:hyperlink>
    </w:p>
    <w:p w14:paraId="420A75DB" w14:textId="395E6710" w:rsidR="009A7930" w:rsidRDefault="00087879">
      <w:pPr>
        <w:pStyle w:val="TableofFigures"/>
        <w:rPr>
          <w:rFonts w:asciiTheme="minorHAnsi" w:eastAsiaTheme="minorEastAsia" w:hAnsiTheme="minorHAnsi" w:cstheme="minorBidi"/>
          <w:sz w:val="22"/>
        </w:rPr>
      </w:pPr>
      <w:hyperlink w:anchor="_Toc68786618" w:history="1">
        <w:r w:rsidR="009A7930" w:rsidRPr="004B203D">
          <w:rPr>
            <w:rStyle w:val="Hyperlink"/>
          </w:rPr>
          <w:t xml:space="preserve">Figure 1.2.1 </w:t>
        </w:r>
        <w:r w:rsidR="009A7930">
          <w:rPr>
            <w:rFonts w:asciiTheme="minorHAnsi" w:eastAsiaTheme="minorEastAsia" w:hAnsiTheme="minorHAnsi" w:cstheme="minorBidi"/>
            <w:sz w:val="22"/>
          </w:rPr>
          <w:tab/>
        </w:r>
        <w:r w:rsidR="009A7930" w:rsidRPr="004B203D">
          <w:rPr>
            <w:rStyle w:val="Hyperlink"/>
          </w:rPr>
          <w:t>New Zealand’s inventory system at a glance: how different agencies are involved</w:t>
        </w:r>
        <w:r w:rsidR="009A7930">
          <w:rPr>
            <w:webHidden/>
          </w:rPr>
          <w:tab/>
        </w:r>
        <w:r w:rsidR="009A7930">
          <w:rPr>
            <w:webHidden/>
          </w:rPr>
          <w:fldChar w:fldCharType="begin"/>
        </w:r>
        <w:r w:rsidR="009A7930">
          <w:rPr>
            <w:webHidden/>
          </w:rPr>
          <w:instrText xml:space="preserve"> PAGEREF _Toc68786618 \h </w:instrText>
        </w:r>
        <w:r w:rsidR="009A7930">
          <w:rPr>
            <w:webHidden/>
          </w:rPr>
        </w:r>
        <w:r w:rsidR="009A7930">
          <w:rPr>
            <w:webHidden/>
          </w:rPr>
          <w:fldChar w:fldCharType="separate"/>
        </w:r>
        <w:r w:rsidR="00B94D2F">
          <w:rPr>
            <w:webHidden/>
          </w:rPr>
          <w:t>28</w:t>
        </w:r>
        <w:r w:rsidR="009A7930">
          <w:rPr>
            <w:webHidden/>
          </w:rPr>
          <w:fldChar w:fldCharType="end"/>
        </w:r>
      </w:hyperlink>
    </w:p>
    <w:p w14:paraId="26582DD3" w14:textId="4568060D" w:rsidR="009A7930" w:rsidRDefault="00087879">
      <w:pPr>
        <w:pStyle w:val="TableofFigures"/>
        <w:rPr>
          <w:rFonts w:asciiTheme="minorHAnsi" w:eastAsiaTheme="minorEastAsia" w:hAnsiTheme="minorHAnsi" w:cstheme="minorBidi"/>
          <w:sz w:val="22"/>
        </w:rPr>
      </w:pPr>
      <w:hyperlink w:anchor="_Toc68786619" w:history="1">
        <w:r w:rsidR="009A7930" w:rsidRPr="004B203D">
          <w:rPr>
            <w:rStyle w:val="Hyperlink"/>
          </w:rPr>
          <w:t xml:space="preserve">Figure 1.2.2 </w:t>
        </w:r>
        <w:r w:rsidR="009A7930">
          <w:rPr>
            <w:rFonts w:asciiTheme="minorHAnsi" w:eastAsiaTheme="minorEastAsia" w:hAnsiTheme="minorHAnsi" w:cstheme="minorBidi"/>
            <w:sz w:val="22"/>
          </w:rPr>
          <w:tab/>
        </w:r>
        <w:r w:rsidR="009A7930" w:rsidRPr="004B203D">
          <w:rPr>
            <w:rStyle w:val="Hyperlink"/>
          </w:rPr>
          <w:t>Summary of New Zealand’s inventory planning and preparation</w:t>
        </w:r>
        <w:r w:rsidR="009A7930">
          <w:rPr>
            <w:webHidden/>
          </w:rPr>
          <w:tab/>
        </w:r>
        <w:r w:rsidR="009A7930">
          <w:rPr>
            <w:webHidden/>
          </w:rPr>
          <w:fldChar w:fldCharType="begin"/>
        </w:r>
        <w:r w:rsidR="009A7930">
          <w:rPr>
            <w:webHidden/>
          </w:rPr>
          <w:instrText xml:space="preserve"> PAGEREF _Toc68786619 \h </w:instrText>
        </w:r>
        <w:r w:rsidR="009A7930">
          <w:rPr>
            <w:webHidden/>
          </w:rPr>
        </w:r>
        <w:r w:rsidR="009A7930">
          <w:rPr>
            <w:webHidden/>
          </w:rPr>
          <w:fldChar w:fldCharType="separate"/>
        </w:r>
        <w:r w:rsidR="00B94D2F">
          <w:rPr>
            <w:webHidden/>
          </w:rPr>
          <w:t>29</w:t>
        </w:r>
        <w:r w:rsidR="009A7930">
          <w:rPr>
            <w:webHidden/>
          </w:rPr>
          <w:fldChar w:fldCharType="end"/>
        </w:r>
      </w:hyperlink>
    </w:p>
    <w:p w14:paraId="1FE2B446" w14:textId="689A2453" w:rsidR="009A7930" w:rsidRDefault="00087879">
      <w:pPr>
        <w:pStyle w:val="TableofFigures"/>
        <w:rPr>
          <w:rFonts w:asciiTheme="minorHAnsi" w:eastAsiaTheme="minorEastAsia" w:hAnsiTheme="minorHAnsi" w:cstheme="minorBidi"/>
          <w:sz w:val="22"/>
        </w:rPr>
      </w:pPr>
      <w:hyperlink w:anchor="_Toc68786620" w:history="1">
        <w:r w:rsidR="009A7930" w:rsidRPr="004B203D">
          <w:rPr>
            <w:rStyle w:val="Hyperlink"/>
          </w:rPr>
          <w:t xml:space="preserve">Figure 2.1.1 </w:t>
        </w:r>
        <w:r w:rsidR="009A7930">
          <w:rPr>
            <w:rFonts w:asciiTheme="minorHAnsi" w:eastAsiaTheme="minorEastAsia" w:hAnsiTheme="minorHAnsi" w:cstheme="minorBidi"/>
            <w:sz w:val="22"/>
          </w:rPr>
          <w:tab/>
        </w:r>
        <w:r w:rsidR="009A7930" w:rsidRPr="004B203D">
          <w:rPr>
            <w:rStyle w:val="Hyperlink"/>
          </w:rPr>
          <w:t>New Zealand’s gross and net emissions (under the Convention) from 1990 to 2019</w:t>
        </w:r>
        <w:r w:rsidR="009A7930">
          <w:rPr>
            <w:webHidden/>
          </w:rPr>
          <w:tab/>
        </w:r>
        <w:r w:rsidR="009A7930">
          <w:rPr>
            <w:webHidden/>
          </w:rPr>
          <w:fldChar w:fldCharType="begin"/>
        </w:r>
        <w:r w:rsidR="009A7930">
          <w:rPr>
            <w:webHidden/>
          </w:rPr>
          <w:instrText xml:space="preserve"> PAGEREF _Toc68786620 \h </w:instrText>
        </w:r>
        <w:r w:rsidR="009A7930">
          <w:rPr>
            <w:webHidden/>
          </w:rPr>
        </w:r>
        <w:r w:rsidR="009A7930">
          <w:rPr>
            <w:webHidden/>
          </w:rPr>
          <w:fldChar w:fldCharType="separate"/>
        </w:r>
        <w:r w:rsidR="00B94D2F">
          <w:rPr>
            <w:webHidden/>
          </w:rPr>
          <w:t>59</w:t>
        </w:r>
        <w:r w:rsidR="009A7930">
          <w:rPr>
            <w:webHidden/>
          </w:rPr>
          <w:fldChar w:fldCharType="end"/>
        </w:r>
      </w:hyperlink>
    </w:p>
    <w:p w14:paraId="572A92E2" w14:textId="019E3F3D" w:rsidR="009A7930" w:rsidRDefault="00087879">
      <w:pPr>
        <w:pStyle w:val="TableofFigures"/>
        <w:rPr>
          <w:rFonts w:asciiTheme="minorHAnsi" w:eastAsiaTheme="minorEastAsia" w:hAnsiTheme="minorHAnsi" w:cstheme="minorBidi"/>
          <w:sz w:val="22"/>
        </w:rPr>
      </w:pPr>
      <w:hyperlink w:anchor="_Toc68786621" w:history="1">
        <w:r w:rsidR="009A7930" w:rsidRPr="004B203D">
          <w:rPr>
            <w:rStyle w:val="Hyperlink"/>
          </w:rPr>
          <w:t xml:space="preserve">Figure 2.2.1 </w:t>
        </w:r>
        <w:r w:rsidR="009A7930">
          <w:rPr>
            <w:rFonts w:asciiTheme="minorHAnsi" w:eastAsiaTheme="minorEastAsia" w:hAnsiTheme="minorHAnsi" w:cstheme="minorBidi"/>
            <w:sz w:val="22"/>
          </w:rPr>
          <w:tab/>
        </w:r>
        <w:r w:rsidR="009A7930" w:rsidRPr="004B203D">
          <w:rPr>
            <w:rStyle w:val="Hyperlink"/>
          </w:rPr>
          <w:t>New Zealand’s emissions by sector in 2019</w:t>
        </w:r>
        <w:r w:rsidR="009A7930">
          <w:rPr>
            <w:webHidden/>
          </w:rPr>
          <w:tab/>
        </w:r>
        <w:r w:rsidR="009A7930">
          <w:rPr>
            <w:webHidden/>
          </w:rPr>
          <w:fldChar w:fldCharType="begin"/>
        </w:r>
        <w:r w:rsidR="009A7930">
          <w:rPr>
            <w:webHidden/>
          </w:rPr>
          <w:instrText xml:space="preserve"> PAGEREF _Toc68786621 \h </w:instrText>
        </w:r>
        <w:r w:rsidR="009A7930">
          <w:rPr>
            <w:webHidden/>
          </w:rPr>
        </w:r>
        <w:r w:rsidR="009A7930">
          <w:rPr>
            <w:webHidden/>
          </w:rPr>
          <w:fldChar w:fldCharType="separate"/>
        </w:r>
        <w:r w:rsidR="00B94D2F">
          <w:rPr>
            <w:webHidden/>
          </w:rPr>
          <w:t>61</w:t>
        </w:r>
        <w:r w:rsidR="009A7930">
          <w:rPr>
            <w:webHidden/>
          </w:rPr>
          <w:fldChar w:fldCharType="end"/>
        </w:r>
      </w:hyperlink>
    </w:p>
    <w:p w14:paraId="1751BD73" w14:textId="48E96619" w:rsidR="009A7930" w:rsidRDefault="00087879">
      <w:pPr>
        <w:pStyle w:val="TableofFigures"/>
        <w:rPr>
          <w:rFonts w:asciiTheme="minorHAnsi" w:eastAsiaTheme="minorEastAsia" w:hAnsiTheme="minorHAnsi" w:cstheme="minorBidi"/>
          <w:sz w:val="22"/>
        </w:rPr>
      </w:pPr>
      <w:hyperlink w:anchor="_Toc68786622" w:history="1">
        <w:r w:rsidR="009A7930" w:rsidRPr="004B203D">
          <w:rPr>
            <w:rStyle w:val="Hyperlink"/>
          </w:rPr>
          <w:t xml:space="preserve">Figure 2.2.2 </w:t>
        </w:r>
        <w:r w:rsidR="009A7930">
          <w:rPr>
            <w:rFonts w:asciiTheme="minorHAnsi" w:eastAsiaTheme="minorEastAsia" w:hAnsiTheme="minorHAnsi" w:cstheme="minorBidi"/>
            <w:sz w:val="22"/>
          </w:rPr>
          <w:tab/>
        </w:r>
        <w:r w:rsidR="009A7930" w:rsidRPr="004B203D">
          <w:rPr>
            <w:rStyle w:val="Hyperlink"/>
          </w:rPr>
          <w:t>New Zealand’s gross emissions by gas in 2019</w:t>
        </w:r>
        <w:r w:rsidR="009A7930">
          <w:rPr>
            <w:webHidden/>
          </w:rPr>
          <w:tab/>
        </w:r>
        <w:r w:rsidR="009A7930">
          <w:rPr>
            <w:webHidden/>
          </w:rPr>
          <w:fldChar w:fldCharType="begin"/>
        </w:r>
        <w:r w:rsidR="009A7930">
          <w:rPr>
            <w:webHidden/>
          </w:rPr>
          <w:instrText xml:space="preserve"> PAGEREF _Toc68786622 \h </w:instrText>
        </w:r>
        <w:r w:rsidR="009A7930">
          <w:rPr>
            <w:webHidden/>
          </w:rPr>
        </w:r>
        <w:r w:rsidR="009A7930">
          <w:rPr>
            <w:webHidden/>
          </w:rPr>
          <w:fldChar w:fldCharType="separate"/>
        </w:r>
        <w:r w:rsidR="00B94D2F">
          <w:rPr>
            <w:webHidden/>
          </w:rPr>
          <w:t>62</w:t>
        </w:r>
        <w:r w:rsidR="009A7930">
          <w:rPr>
            <w:webHidden/>
          </w:rPr>
          <w:fldChar w:fldCharType="end"/>
        </w:r>
      </w:hyperlink>
    </w:p>
    <w:p w14:paraId="35DD93FC" w14:textId="0FCB13B8" w:rsidR="009A7930" w:rsidRDefault="00087879">
      <w:pPr>
        <w:pStyle w:val="TableofFigures"/>
        <w:rPr>
          <w:rFonts w:asciiTheme="minorHAnsi" w:eastAsiaTheme="minorEastAsia" w:hAnsiTheme="minorHAnsi" w:cstheme="minorBidi"/>
          <w:sz w:val="22"/>
        </w:rPr>
      </w:pPr>
      <w:hyperlink w:anchor="_Toc68786623" w:history="1">
        <w:r w:rsidR="009A7930" w:rsidRPr="004B203D">
          <w:rPr>
            <w:rStyle w:val="Hyperlink"/>
          </w:rPr>
          <w:t>Figure 2.2.3</w:t>
        </w:r>
        <w:r w:rsidR="009A7930">
          <w:rPr>
            <w:rFonts w:asciiTheme="minorHAnsi" w:eastAsiaTheme="minorEastAsia" w:hAnsiTheme="minorHAnsi" w:cstheme="minorBidi"/>
            <w:sz w:val="22"/>
          </w:rPr>
          <w:tab/>
        </w:r>
        <w:r w:rsidR="009A7930" w:rsidRPr="004B203D">
          <w:rPr>
            <w:rStyle w:val="Hyperlink"/>
          </w:rPr>
          <w:t>Percentage contribution by sector to New Zealand’s gross emissions from 1990 to 2019</w:t>
        </w:r>
        <w:r w:rsidR="009A7930">
          <w:rPr>
            <w:webHidden/>
          </w:rPr>
          <w:tab/>
        </w:r>
        <w:r w:rsidR="009A7930">
          <w:rPr>
            <w:webHidden/>
          </w:rPr>
          <w:fldChar w:fldCharType="begin"/>
        </w:r>
        <w:r w:rsidR="009A7930">
          <w:rPr>
            <w:webHidden/>
          </w:rPr>
          <w:instrText xml:space="preserve"> PAGEREF _Toc68786623 \h </w:instrText>
        </w:r>
        <w:r w:rsidR="009A7930">
          <w:rPr>
            <w:webHidden/>
          </w:rPr>
        </w:r>
        <w:r w:rsidR="009A7930">
          <w:rPr>
            <w:webHidden/>
          </w:rPr>
          <w:fldChar w:fldCharType="separate"/>
        </w:r>
        <w:r w:rsidR="00B94D2F">
          <w:rPr>
            <w:webHidden/>
          </w:rPr>
          <w:t>64</w:t>
        </w:r>
        <w:r w:rsidR="009A7930">
          <w:rPr>
            <w:webHidden/>
          </w:rPr>
          <w:fldChar w:fldCharType="end"/>
        </w:r>
      </w:hyperlink>
    </w:p>
    <w:p w14:paraId="1082EEA9" w14:textId="7540E151" w:rsidR="009A7930" w:rsidRDefault="00087879">
      <w:pPr>
        <w:pStyle w:val="TableofFigures"/>
        <w:rPr>
          <w:rFonts w:asciiTheme="minorHAnsi" w:eastAsiaTheme="minorEastAsia" w:hAnsiTheme="minorHAnsi" w:cstheme="minorBidi"/>
          <w:sz w:val="22"/>
        </w:rPr>
      </w:pPr>
      <w:hyperlink w:anchor="_Toc68786624" w:history="1">
        <w:r w:rsidR="009A7930" w:rsidRPr="004B203D">
          <w:rPr>
            <w:rStyle w:val="Hyperlink"/>
          </w:rPr>
          <w:t xml:space="preserve">Figure 2.2.4 </w:t>
        </w:r>
        <w:r w:rsidR="009A7930">
          <w:rPr>
            <w:rFonts w:asciiTheme="minorHAnsi" w:eastAsiaTheme="minorEastAsia" w:hAnsiTheme="minorHAnsi" w:cstheme="minorBidi"/>
            <w:sz w:val="22"/>
          </w:rPr>
          <w:tab/>
        </w:r>
        <w:r w:rsidR="009A7930" w:rsidRPr="004B203D">
          <w:rPr>
            <w:rStyle w:val="Hyperlink"/>
          </w:rPr>
          <w:t>Change in New Zealand’s emissions by sector comparing 1990 and 2019</w:t>
        </w:r>
        <w:r w:rsidR="009A7930">
          <w:rPr>
            <w:webHidden/>
          </w:rPr>
          <w:tab/>
        </w:r>
        <w:r w:rsidR="009A7930">
          <w:rPr>
            <w:webHidden/>
          </w:rPr>
          <w:fldChar w:fldCharType="begin"/>
        </w:r>
        <w:r w:rsidR="009A7930">
          <w:rPr>
            <w:webHidden/>
          </w:rPr>
          <w:instrText xml:space="preserve"> PAGEREF _Toc68786624 \h </w:instrText>
        </w:r>
        <w:r w:rsidR="009A7930">
          <w:rPr>
            <w:webHidden/>
          </w:rPr>
        </w:r>
        <w:r w:rsidR="009A7930">
          <w:rPr>
            <w:webHidden/>
          </w:rPr>
          <w:fldChar w:fldCharType="separate"/>
        </w:r>
        <w:r w:rsidR="00B94D2F">
          <w:rPr>
            <w:webHidden/>
          </w:rPr>
          <w:t>65</w:t>
        </w:r>
        <w:r w:rsidR="009A7930">
          <w:rPr>
            <w:webHidden/>
          </w:rPr>
          <w:fldChar w:fldCharType="end"/>
        </w:r>
      </w:hyperlink>
    </w:p>
    <w:p w14:paraId="0A0A8125" w14:textId="04104C08" w:rsidR="009A7930" w:rsidRDefault="00087879">
      <w:pPr>
        <w:pStyle w:val="TableofFigures"/>
        <w:rPr>
          <w:rFonts w:asciiTheme="minorHAnsi" w:eastAsiaTheme="minorEastAsia" w:hAnsiTheme="minorHAnsi" w:cstheme="minorBidi"/>
          <w:sz w:val="22"/>
        </w:rPr>
      </w:pPr>
      <w:hyperlink w:anchor="_Toc68786625" w:history="1">
        <w:r w:rsidR="009A7930" w:rsidRPr="004B203D">
          <w:rPr>
            <w:rStyle w:val="Hyperlink"/>
          </w:rPr>
          <w:t>Figure 2.2.5</w:t>
        </w:r>
        <w:r w:rsidR="009A7930">
          <w:rPr>
            <w:rFonts w:asciiTheme="minorHAnsi" w:eastAsiaTheme="minorEastAsia" w:hAnsiTheme="minorHAnsi" w:cstheme="minorBidi"/>
            <w:sz w:val="22"/>
          </w:rPr>
          <w:tab/>
        </w:r>
        <w:r w:rsidR="009A7930" w:rsidRPr="004B203D">
          <w:rPr>
            <w:rStyle w:val="Hyperlink"/>
          </w:rPr>
          <w:t>Absolute change in New Zealand’s gross emissions by sector from 1990 to 2019</w:t>
        </w:r>
        <w:r w:rsidR="009A7930">
          <w:rPr>
            <w:webHidden/>
          </w:rPr>
          <w:tab/>
        </w:r>
        <w:r w:rsidR="009A7930">
          <w:rPr>
            <w:webHidden/>
          </w:rPr>
          <w:fldChar w:fldCharType="begin"/>
        </w:r>
        <w:r w:rsidR="009A7930">
          <w:rPr>
            <w:webHidden/>
          </w:rPr>
          <w:instrText xml:space="preserve"> PAGEREF _Toc68786625 \h </w:instrText>
        </w:r>
        <w:r w:rsidR="009A7930">
          <w:rPr>
            <w:webHidden/>
          </w:rPr>
        </w:r>
        <w:r w:rsidR="009A7930">
          <w:rPr>
            <w:webHidden/>
          </w:rPr>
          <w:fldChar w:fldCharType="separate"/>
        </w:r>
        <w:r w:rsidR="00B94D2F">
          <w:rPr>
            <w:webHidden/>
          </w:rPr>
          <w:t>66</w:t>
        </w:r>
        <w:r w:rsidR="009A7930">
          <w:rPr>
            <w:webHidden/>
          </w:rPr>
          <w:fldChar w:fldCharType="end"/>
        </w:r>
      </w:hyperlink>
    </w:p>
    <w:p w14:paraId="50092150" w14:textId="6C47DA5E" w:rsidR="009A7930" w:rsidRDefault="00087879">
      <w:pPr>
        <w:pStyle w:val="TableofFigures"/>
        <w:rPr>
          <w:rFonts w:asciiTheme="minorHAnsi" w:eastAsiaTheme="minorEastAsia" w:hAnsiTheme="minorHAnsi" w:cstheme="minorBidi"/>
          <w:sz w:val="22"/>
        </w:rPr>
      </w:pPr>
      <w:hyperlink w:anchor="_Toc68786626" w:history="1">
        <w:r w:rsidR="009A7930" w:rsidRPr="004B203D">
          <w:rPr>
            <w:rStyle w:val="Hyperlink"/>
          </w:rPr>
          <w:t>Figure 2.2.6</w:t>
        </w:r>
        <w:r w:rsidR="009A7930">
          <w:rPr>
            <w:rFonts w:asciiTheme="minorHAnsi" w:eastAsiaTheme="minorEastAsia" w:hAnsiTheme="minorHAnsi" w:cstheme="minorBidi"/>
            <w:sz w:val="22"/>
          </w:rPr>
          <w:tab/>
        </w:r>
        <w:r w:rsidR="009A7930" w:rsidRPr="004B203D">
          <w:rPr>
            <w:rStyle w:val="Hyperlink"/>
          </w:rPr>
          <w:t>Absolute change in net emission from the LULUCF sector from 1990 to 2019</w:t>
        </w:r>
        <w:r w:rsidR="009A7930">
          <w:rPr>
            <w:webHidden/>
          </w:rPr>
          <w:tab/>
        </w:r>
        <w:r w:rsidR="009A7930">
          <w:rPr>
            <w:webHidden/>
          </w:rPr>
          <w:fldChar w:fldCharType="begin"/>
        </w:r>
        <w:r w:rsidR="009A7930">
          <w:rPr>
            <w:webHidden/>
          </w:rPr>
          <w:instrText xml:space="preserve"> PAGEREF _Toc68786626 \h </w:instrText>
        </w:r>
        <w:r w:rsidR="009A7930">
          <w:rPr>
            <w:webHidden/>
          </w:rPr>
        </w:r>
        <w:r w:rsidR="009A7930">
          <w:rPr>
            <w:webHidden/>
          </w:rPr>
          <w:fldChar w:fldCharType="separate"/>
        </w:r>
        <w:r w:rsidR="00B94D2F">
          <w:rPr>
            <w:webHidden/>
          </w:rPr>
          <w:t>67</w:t>
        </w:r>
        <w:r w:rsidR="009A7930">
          <w:rPr>
            <w:webHidden/>
          </w:rPr>
          <w:fldChar w:fldCharType="end"/>
        </w:r>
      </w:hyperlink>
    </w:p>
    <w:p w14:paraId="094FCEBC" w14:textId="2B2D9752" w:rsidR="009A7930" w:rsidRDefault="00087879">
      <w:pPr>
        <w:pStyle w:val="TableofFigures"/>
        <w:rPr>
          <w:rFonts w:asciiTheme="minorHAnsi" w:eastAsiaTheme="minorEastAsia" w:hAnsiTheme="minorHAnsi" w:cstheme="minorBidi"/>
          <w:sz w:val="22"/>
        </w:rPr>
      </w:pPr>
      <w:hyperlink w:anchor="_Toc68786627" w:history="1">
        <w:r w:rsidR="009A7930" w:rsidRPr="004B203D">
          <w:rPr>
            <w:rStyle w:val="Hyperlink"/>
          </w:rPr>
          <w:t>Figure 2.2.7</w:t>
        </w:r>
        <w:r w:rsidR="009A7930">
          <w:rPr>
            <w:rFonts w:asciiTheme="minorHAnsi" w:eastAsiaTheme="minorEastAsia" w:hAnsiTheme="minorHAnsi" w:cstheme="minorBidi"/>
            <w:sz w:val="22"/>
          </w:rPr>
          <w:tab/>
        </w:r>
        <w:r w:rsidR="009A7930" w:rsidRPr="004B203D">
          <w:rPr>
            <w:rStyle w:val="Hyperlink"/>
          </w:rPr>
          <w:t>New Zealand’s Energy sector emissions from 1990 to 2019</w:t>
        </w:r>
        <w:r w:rsidR="009A7930">
          <w:rPr>
            <w:webHidden/>
          </w:rPr>
          <w:tab/>
        </w:r>
        <w:r w:rsidR="009A7930">
          <w:rPr>
            <w:webHidden/>
          </w:rPr>
          <w:fldChar w:fldCharType="begin"/>
        </w:r>
        <w:r w:rsidR="009A7930">
          <w:rPr>
            <w:webHidden/>
          </w:rPr>
          <w:instrText xml:space="preserve"> PAGEREF _Toc68786627 \h </w:instrText>
        </w:r>
        <w:r w:rsidR="009A7930">
          <w:rPr>
            <w:webHidden/>
          </w:rPr>
        </w:r>
        <w:r w:rsidR="009A7930">
          <w:rPr>
            <w:webHidden/>
          </w:rPr>
          <w:fldChar w:fldCharType="separate"/>
        </w:r>
        <w:r w:rsidR="00B94D2F">
          <w:rPr>
            <w:webHidden/>
          </w:rPr>
          <w:t>68</w:t>
        </w:r>
        <w:r w:rsidR="009A7930">
          <w:rPr>
            <w:webHidden/>
          </w:rPr>
          <w:fldChar w:fldCharType="end"/>
        </w:r>
      </w:hyperlink>
    </w:p>
    <w:p w14:paraId="55BABF83" w14:textId="65F8E115" w:rsidR="009A7930" w:rsidRDefault="00087879">
      <w:pPr>
        <w:pStyle w:val="TableofFigures"/>
        <w:rPr>
          <w:rFonts w:asciiTheme="minorHAnsi" w:eastAsiaTheme="minorEastAsia" w:hAnsiTheme="minorHAnsi" w:cstheme="minorBidi"/>
          <w:sz w:val="22"/>
        </w:rPr>
      </w:pPr>
      <w:hyperlink w:anchor="_Toc68786628" w:history="1">
        <w:r w:rsidR="009A7930" w:rsidRPr="004B203D">
          <w:rPr>
            <w:rStyle w:val="Hyperlink"/>
          </w:rPr>
          <w:t>Figure 2.2.8</w:t>
        </w:r>
        <w:r w:rsidR="009A7930">
          <w:rPr>
            <w:rFonts w:asciiTheme="minorHAnsi" w:eastAsiaTheme="minorEastAsia" w:hAnsiTheme="minorHAnsi" w:cstheme="minorBidi"/>
            <w:sz w:val="22"/>
          </w:rPr>
          <w:tab/>
        </w:r>
        <w:r w:rsidR="009A7930" w:rsidRPr="004B203D">
          <w:rPr>
            <w:rStyle w:val="Hyperlink"/>
          </w:rPr>
          <w:t>New Zealand’s IPPU sector emissions from 1990 to 2019</w:t>
        </w:r>
        <w:r w:rsidR="009A7930">
          <w:rPr>
            <w:webHidden/>
          </w:rPr>
          <w:tab/>
        </w:r>
        <w:r w:rsidR="009A7930">
          <w:rPr>
            <w:webHidden/>
          </w:rPr>
          <w:fldChar w:fldCharType="begin"/>
        </w:r>
        <w:r w:rsidR="009A7930">
          <w:rPr>
            <w:webHidden/>
          </w:rPr>
          <w:instrText xml:space="preserve"> PAGEREF _Toc68786628 \h </w:instrText>
        </w:r>
        <w:r w:rsidR="009A7930">
          <w:rPr>
            <w:webHidden/>
          </w:rPr>
        </w:r>
        <w:r w:rsidR="009A7930">
          <w:rPr>
            <w:webHidden/>
          </w:rPr>
          <w:fldChar w:fldCharType="separate"/>
        </w:r>
        <w:r w:rsidR="00B94D2F">
          <w:rPr>
            <w:webHidden/>
          </w:rPr>
          <w:t>70</w:t>
        </w:r>
        <w:r w:rsidR="009A7930">
          <w:rPr>
            <w:webHidden/>
          </w:rPr>
          <w:fldChar w:fldCharType="end"/>
        </w:r>
      </w:hyperlink>
    </w:p>
    <w:p w14:paraId="7851EDC9" w14:textId="7F9B5EC0" w:rsidR="009A7930" w:rsidRDefault="00087879">
      <w:pPr>
        <w:pStyle w:val="TableofFigures"/>
        <w:rPr>
          <w:rFonts w:asciiTheme="minorHAnsi" w:eastAsiaTheme="minorEastAsia" w:hAnsiTheme="minorHAnsi" w:cstheme="minorBidi"/>
          <w:sz w:val="22"/>
        </w:rPr>
      </w:pPr>
      <w:hyperlink w:anchor="_Toc68786629" w:history="1">
        <w:r w:rsidR="009A7930" w:rsidRPr="004B203D">
          <w:rPr>
            <w:rStyle w:val="Hyperlink"/>
          </w:rPr>
          <w:t>Figure 2.2.9</w:t>
        </w:r>
        <w:r w:rsidR="009A7930">
          <w:rPr>
            <w:rFonts w:asciiTheme="minorHAnsi" w:eastAsiaTheme="minorEastAsia" w:hAnsiTheme="minorHAnsi" w:cstheme="minorBidi"/>
            <w:sz w:val="22"/>
          </w:rPr>
          <w:tab/>
        </w:r>
        <w:r w:rsidR="009A7930" w:rsidRPr="004B203D">
          <w:rPr>
            <w:rStyle w:val="Hyperlink"/>
          </w:rPr>
          <w:t>New Zealand’s Agriculture sector emissions from 1990 to 2019</w:t>
        </w:r>
        <w:r w:rsidR="009A7930">
          <w:rPr>
            <w:webHidden/>
          </w:rPr>
          <w:tab/>
        </w:r>
        <w:r w:rsidR="009A7930">
          <w:rPr>
            <w:webHidden/>
          </w:rPr>
          <w:fldChar w:fldCharType="begin"/>
        </w:r>
        <w:r w:rsidR="009A7930">
          <w:rPr>
            <w:webHidden/>
          </w:rPr>
          <w:instrText xml:space="preserve"> PAGEREF _Toc68786629 \h </w:instrText>
        </w:r>
        <w:r w:rsidR="009A7930">
          <w:rPr>
            <w:webHidden/>
          </w:rPr>
        </w:r>
        <w:r w:rsidR="009A7930">
          <w:rPr>
            <w:webHidden/>
          </w:rPr>
          <w:fldChar w:fldCharType="separate"/>
        </w:r>
        <w:r w:rsidR="00B94D2F">
          <w:rPr>
            <w:webHidden/>
          </w:rPr>
          <w:t>72</w:t>
        </w:r>
        <w:r w:rsidR="009A7930">
          <w:rPr>
            <w:webHidden/>
          </w:rPr>
          <w:fldChar w:fldCharType="end"/>
        </w:r>
      </w:hyperlink>
    </w:p>
    <w:p w14:paraId="7A1C391E" w14:textId="33CDE3A9" w:rsidR="009A7930" w:rsidRDefault="00087879">
      <w:pPr>
        <w:pStyle w:val="TableofFigures"/>
        <w:rPr>
          <w:rFonts w:asciiTheme="minorHAnsi" w:eastAsiaTheme="minorEastAsia" w:hAnsiTheme="minorHAnsi" w:cstheme="minorBidi"/>
          <w:sz w:val="22"/>
        </w:rPr>
      </w:pPr>
      <w:hyperlink w:anchor="_Toc68786630" w:history="1">
        <w:r w:rsidR="009A7930" w:rsidRPr="004B203D">
          <w:rPr>
            <w:rStyle w:val="Hyperlink"/>
          </w:rPr>
          <w:t xml:space="preserve">Figure 2.2.10 </w:t>
        </w:r>
        <w:r w:rsidR="009A7930">
          <w:rPr>
            <w:rFonts w:asciiTheme="minorHAnsi" w:eastAsiaTheme="minorEastAsia" w:hAnsiTheme="minorHAnsi" w:cstheme="minorBidi"/>
            <w:sz w:val="22"/>
          </w:rPr>
          <w:tab/>
        </w:r>
        <w:r w:rsidR="009A7930" w:rsidRPr="004B203D">
          <w:rPr>
            <w:rStyle w:val="Hyperlink"/>
          </w:rPr>
          <w:t>New Zealand’s LULUCF sector net emissions from 1990 to 2019</w:t>
        </w:r>
        <w:r w:rsidR="009A7930">
          <w:rPr>
            <w:webHidden/>
          </w:rPr>
          <w:tab/>
        </w:r>
        <w:r w:rsidR="009A7930">
          <w:rPr>
            <w:webHidden/>
          </w:rPr>
          <w:fldChar w:fldCharType="begin"/>
        </w:r>
        <w:r w:rsidR="009A7930">
          <w:rPr>
            <w:webHidden/>
          </w:rPr>
          <w:instrText xml:space="preserve"> PAGEREF _Toc68786630 \h </w:instrText>
        </w:r>
        <w:r w:rsidR="009A7930">
          <w:rPr>
            <w:webHidden/>
          </w:rPr>
        </w:r>
        <w:r w:rsidR="009A7930">
          <w:rPr>
            <w:webHidden/>
          </w:rPr>
          <w:fldChar w:fldCharType="separate"/>
        </w:r>
        <w:r w:rsidR="00B94D2F">
          <w:rPr>
            <w:webHidden/>
          </w:rPr>
          <w:t>74</w:t>
        </w:r>
        <w:r w:rsidR="009A7930">
          <w:rPr>
            <w:webHidden/>
          </w:rPr>
          <w:fldChar w:fldCharType="end"/>
        </w:r>
      </w:hyperlink>
    </w:p>
    <w:p w14:paraId="27C832E7" w14:textId="2DE5F7B4" w:rsidR="009A7930" w:rsidRDefault="00087879">
      <w:pPr>
        <w:pStyle w:val="TableofFigures"/>
        <w:rPr>
          <w:rFonts w:asciiTheme="minorHAnsi" w:eastAsiaTheme="minorEastAsia" w:hAnsiTheme="minorHAnsi" w:cstheme="minorBidi"/>
          <w:sz w:val="22"/>
        </w:rPr>
      </w:pPr>
      <w:hyperlink w:anchor="_Toc68786631" w:history="1">
        <w:r w:rsidR="009A7930" w:rsidRPr="004B203D">
          <w:rPr>
            <w:rStyle w:val="Hyperlink"/>
          </w:rPr>
          <w:t>Figure 2.2.11</w:t>
        </w:r>
        <w:r w:rsidR="009A7930">
          <w:rPr>
            <w:rFonts w:asciiTheme="minorHAnsi" w:eastAsiaTheme="minorEastAsia" w:hAnsiTheme="minorHAnsi" w:cstheme="minorBidi"/>
            <w:sz w:val="22"/>
          </w:rPr>
          <w:tab/>
        </w:r>
        <w:r w:rsidR="009A7930" w:rsidRPr="004B203D">
          <w:rPr>
            <w:rStyle w:val="Hyperlink"/>
          </w:rPr>
          <w:t>New Zealand’s Waste sector emissions from 1990 to 2019</w:t>
        </w:r>
        <w:r w:rsidR="009A7930">
          <w:rPr>
            <w:webHidden/>
          </w:rPr>
          <w:tab/>
        </w:r>
        <w:r w:rsidR="009A7930">
          <w:rPr>
            <w:webHidden/>
          </w:rPr>
          <w:fldChar w:fldCharType="begin"/>
        </w:r>
        <w:r w:rsidR="009A7930">
          <w:rPr>
            <w:webHidden/>
          </w:rPr>
          <w:instrText xml:space="preserve"> PAGEREF _Toc68786631 \h </w:instrText>
        </w:r>
        <w:r w:rsidR="009A7930">
          <w:rPr>
            <w:webHidden/>
          </w:rPr>
        </w:r>
        <w:r w:rsidR="009A7930">
          <w:rPr>
            <w:webHidden/>
          </w:rPr>
          <w:fldChar w:fldCharType="separate"/>
        </w:r>
        <w:r w:rsidR="00B94D2F">
          <w:rPr>
            <w:webHidden/>
          </w:rPr>
          <w:t>75</w:t>
        </w:r>
        <w:r w:rsidR="009A7930">
          <w:rPr>
            <w:webHidden/>
          </w:rPr>
          <w:fldChar w:fldCharType="end"/>
        </w:r>
      </w:hyperlink>
    </w:p>
    <w:p w14:paraId="46559D43" w14:textId="7745B317" w:rsidR="009A7930" w:rsidRDefault="00087879">
      <w:pPr>
        <w:pStyle w:val="TableofFigures"/>
        <w:rPr>
          <w:rFonts w:asciiTheme="minorHAnsi" w:eastAsiaTheme="minorEastAsia" w:hAnsiTheme="minorHAnsi" w:cstheme="minorBidi"/>
          <w:sz w:val="22"/>
        </w:rPr>
      </w:pPr>
      <w:hyperlink w:anchor="_Toc68786632" w:history="1">
        <w:r w:rsidR="009A7930" w:rsidRPr="004B203D">
          <w:rPr>
            <w:rStyle w:val="Hyperlink"/>
          </w:rPr>
          <w:t>Figure 2.2.12</w:t>
        </w:r>
        <w:r w:rsidR="009A7930">
          <w:rPr>
            <w:rFonts w:asciiTheme="minorHAnsi" w:eastAsiaTheme="minorEastAsia" w:hAnsiTheme="minorHAnsi" w:cstheme="minorBidi"/>
            <w:sz w:val="22"/>
          </w:rPr>
          <w:tab/>
        </w:r>
        <w:r w:rsidR="009A7930" w:rsidRPr="004B203D">
          <w:rPr>
            <w:rStyle w:val="Hyperlink"/>
          </w:rPr>
          <w:t>Emissions by sector for Tokelau from 1990 to 2019</w:t>
        </w:r>
        <w:r w:rsidR="009A7930">
          <w:rPr>
            <w:webHidden/>
          </w:rPr>
          <w:tab/>
        </w:r>
        <w:r w:rsidR="009A7930">
          <w:rPr>
            <w:webHidden/>
          </w:rPr>
          <w:fldChar w:fldCharType="begin"/>
        </w:r>
        <w:r w:rsidR="009A7930">
          <w:rPr>
            <w:webHidden/>
          </w:rPr>
          <w:instrText xml:space="preserve"> PAGEREF _Toc68786632 \h </w:instrText>
        </w:r>
        <w:r w:rsidR="009A7930">
          <w:rPr>
            <w:webHidden/>
          </w:rPr>
        </w:r>
        <w:r w:rsidR="009A7930">
          <w:rPr>
            <w:webHidden/>
          </w:rPr>
          <w:fldChar w:fldCharType="separate"/>
        </w:r>
        <w:r w:rsidR="00B94D2F">
          <w:rPr>
            <w:webHidden/>
          </w:rPr>
          <w:t>77</w:t>
        </w:r>
        <w:r w:rsidR="009A7930">
          <w:rPr>
            <w:webHidden/>
          </w:rPr>
          <w:fldChar w:fldCharType="end"/>
        </w:r>
      </w:hyperlink>
    </w:p>
    <w:p w14:paraId="5D7EE8E8" w14:textId="09E52952" w:rsidR="009A7930" w:rsidRDefault="00087879">
      <w:pPr>
        <w:pStyle w:val="TableofFigures"/>
        <w:rPr>
          <w:rFonts w:asciiTheme="minorHAnsi" w:eastAsiaTheme="minorEastAsia" w:hAnsiTheme="minorHAnsi" w:cstheme="minorBidi"/>
          <w:sz w:val="22"/>
        </w:rPr>
      </w:pPr>
      <w:hyperlink w:anchor="_Toc68786633" w:history="1">
        <w:r w:rsidR="009A7930" w:rsidRPr="004B203D">
          <w:rPr>
            <w:rStyle w:val="Hyperlink"/>
          </w:rPr>
          <w:t>Figure 3.1.1</w:t>
        </w:r>
        <w:r w:rsidR="009A7930">
          <w:rPr>
            <w:rFonts w:asciiTheme="minorHAnsi" w:eastAsiaTheme="minorEastAsia" w:hAnsiTheme="minorHAnsi" w:cstheme="minorBidi"/>
            <w:sz w:val="22"/>
          </w:rPr>
          <w:tab/>
        </w:r>
        <w:r w:rsidR="009A7930" w:rsidRPr="004B203D">
          <w:rPr>
            <w:rStyle w:val="Hyperlink"/>
          </w:rPr>
          <w:t>New Zealand’s Energy sector emissions (1990–2019)</w:t>
        </w:r>
        <w:r w:rsidR="009A7930">
          <w:rPr>
            <w:webHidden/>
          </w:rPr>
          <w:tab/>
        </w:r>
        <w:r w:rsidR="009A7930">
          <w:rPr>
            <w:webHidden/>
          </w:rPr>
          <w:fldChar w:fldCharType="begin"/>
        </w:r>
        <w:r w:rsidR="009A7930">
          <w:rPr>
            <w:webHidden/>
          </w:rPr>
          <w:instrText xml:space="preserve"> PAGEREF _Toc68786633 \h </w:instrText>
        </w:r>
        <w:r w:rsidR="009A7930">
          <w:rPr>
            <w:webHidden/>
          </w:rPr>
        </w:r>
        <w:r w:rsidR="009A7930">
          <w:rPr>
            <w:webHidden/>
          </w:rPr>
          <w:fldChar w:fldCharType="separate"/>
        </w:r>
        <w:r w:rsidR="00B94D2F">
          <w:rPr>
            <w:webHidden/>
          </w:rPr>
          <w:t>83</w:t>
        </w:r>
        <w:r w:rsidR="009A7930">
          <w:rPr>
            <w:webHidden/>
          </w:rPr>
          <w:fldChar w:fldCharType="end"/>
        </w:r>
      </w:hyperlink>
    </w:p>
    <w:p w14:paraId="68B9F6C1" w14:textId="324A4F21" w:rsidR="009A7930" w:rsidRDefault="00087879">
      <w:pPr>
        <w:pStyle w:val="TableofFigures"/>
        <w:rPr>
          <w:rFonts w:asciiTheme="minorHAnsi" w:eastAsiaTheme="minorEastAsia" w:hAnsiTheme="minorHAnsi" w:cstheme="minorBidi"/>
          <w:sz w:val="22"/>
        </w:rPr>
      </w:pPr>
      <w:hyperlink w:anchor="_Toc68786634" w:history="1">
        <w:r w:rsidR="009A7930" w:rsidRPr="004B203D">
          <w:rPr>
            <w:rStyle w:val="Hyperlink"/>
          </w:rPr>
          <w:t>Figure 3.2.1</w:t>
        </w:r>
        <w:r w:rsidR="009A7930">
          <w:rPr>
            <w:rFonts w:asciiTheme="minorHAnsi" w:eastAsiaTheme="minorEastAsia" w:hAnsiTheme="minorHAnsi" w:cstheme="minorBidi"/>
            <w:sz w:val="22"/>
          </w:rPr>
          <w:tab/>
        </w:r>
        <w:r w:rsidR="009A7930" w:rsidRPr="004B203D">
          <w:rPr>
            <w:rStyle w:val="Hyperlink"/>
          </w:rPr>
          <w:t>Natural gas consumption by end use type (1990–2019)</w:t>
        </w:r>
        <w:r w:rsidR="009A7930">
          <w:rPr>
            <w:webHidden/>
          </w:rPr>
          <w:tab/>
        </w:r>
        <w:r w:rsidR="009A7930">
          <w:rPr>
            <w:webHidden/>
          </w:rPr>
          <w:fldChar w:fldCharType="begin"/>
        </w:r>
        <w:r w:rsidR="009A7930">
          <w:rPr>
            <w:webHidden/>
          </w:rPr>
          <w:instrText xml:space="preserve"> PAGEREF _Toc68786634 \h </w:instrText>
        </w:r>
        <w:r w:rsidR="009A7930">
          <w:rPr>
            <w:webHidden/>
          </w:rPr>
        </w:r>
        <w:r w:rsidR="009A7930">
          <w:rPr>
            <w:webHidden/>
          </w:rPr>
          <w:fldChar w:fldCharType="separate"/>
        </w:r>
        <w:r w:rsidR="00B94D2F">
          <w:rPr>
            <w:webHidden/>
          </w:rPr>
          <w:t>87</w:t>
        </w:r>
        <w:r w:rsidR="009A7930">
          <w:rPr>
            <w:webHidden/>
          </w:rPr>
          <w:fldChar w:fldCharType="end"/>
        </w:r>
      </w:hyperlink>
    </w:p>
    <w:p w14:paraId="413C2839" w14:textId="5BEF5987" w:rsidR="009A7930" w:rsidRDefault="00087879">
      <w:pPr>
        <w:pStyle w:val="TableofFigures"/>
        <w:rPr>
          <w:rFonts w:asciiTheme="minorHAnsi" w:eastAsiaTheme="minorEastAsia" w:hAnsiTheme="minorHAnsi" w:cstheme="minorBidi"/>
          <w:sz w:val="22"/>
        </w:rPr>
      </w:pPr>
      <w:hyperlink w:anchor="_Toc68786635" w:history="1">
        <w:r w:rsidR="009A7930" w:rsidRPr="004B203D">
          <w:rPr>
            <w:rStyle w:val="Hyperlink"/>
          </w:rPr>
          <w:t>Figure 3.3.1</w:t>
        </w:r>
        <w:r w:rsidR="009A7930">
          <w:rPr>
            <w:rFonts w:asciiTheme="minorHAnsi" w:eastAsiaTheme="minorEastAsia" w:hAnsiTheme="minorHAnsi" w:cstheme="minorBidi"/>
            <w:sz w:val="22"/>
          </w:rPr>
          <w:tab/>
        </w:r>
        <w:r w:rsidR="009A7930" w:rsidRPr="004B203D">
          <w:rPr>
            <w:rStyle w:val="Hyperlink"/>
          </w:rPr>
          <w:t>Change in New Zealand’s emissions from the fuel combustion categories (1990–2019)</w:t>
        </w:r>
        <w:r w:rsidR="009A7930">
          <w:rPr>
            <w:webHidden/>
          </w:rPr>
          <w:tab/>
        </w:r>
        <w:r w:rsidR="009A7930">
          <w:rPr>
            <w:webHidden/>
          </w:rPr>
          <w:fldChar w:fldCharType="begin"/>
        </w:r>
        <w:r w:rsidR="009A7930">
          <w:rPr>
            <w:webHidden/>
          </w:rPr>
          <w:instrText xml:space="preserve"> PAGEREF _Toc68786635 \h </w:instrText>
        </w:r>
        <w:r w:rsidR="009A7930">
          <w:rPr>
            <w:webHidden/>
          </w:rPr>
        </w:r>
        <w:r w:rsidR="009A7930">
          <w:rPr>
            <w:webHidden/>
          </w:rPr>
          <w:fldChar w:fldCharType="separate"/>
        </w:r>
        <w:r w:rsidR="00B94D2F">
          <w:rPr>
            <w:webHidden/>
          </w:rPr>
          <w:t>89</w:t>
        </w:r>
        <w:r w:rsidR="009A7930">
          <w:rPr>
            <w:webHidden/>
          </w:rPr>
          <w:fldChar w:fldCharType="end"/>
        </w:r>
      </w:hyperlink>
    </w:p>
    <w:p w14:paraId="3BDFF1F1" w14:textId="29797887" w:rsidR="009A7930" w:rsidRDefault="00087879">
      <w:pPr>
        <w:pStyle w:val="TableofFigures"/>
        <w:rPr>
          <w:rFonts w:asciiTheme="minorHAnsi" w:eastAsiaTheme="minorEastAsia" w:hAnsiTheme="minorHAnsi" w:cstheme="minorBidi"/>
          <w:sz w:val="22"/>
        </w:rPr>
      </w:pPr>
      <w:hyperlink w:anchor="_Toc68786636" w:history="1">
        <w:r w:rsidR="009A7930" w:rsidRPr="004B203D">
          <w:rPr>
            <w:rStyle w:val="Hyperlink"/>
          </w:rPr>
          <w:t xml:space="preserve">Figure 3.3.2 </w:t>
        </w:r>
        <w:r w:rsidR="009A7930">
          <w:rPr>
            <w:rFonts w:asciiTheme="minorHAnsi" w:eastAsiaTheme="minorEastAsia" w:hAnsiTheme="minorHAnsi" w:cstheme="minorBidi"/>
            <w:sz w:val="22"/>
          </w:rPr>
          <w:tab/>
        </w:r>
        <w:r w:rsidR="009A7930" w:rsidRPr="004B203D">
          <w:rPr>
            <w:rStyle w:val="Hyperlink"/>
          </w:rPr>
          <w:t>Energy sector quality control process map</w:t>
        </w:r>
        <w:r w:rsidR="009A7930">
          <w:rPr>
            <w:webHidden/>
          </w:rPr>
          <w:tab/>
        </w:r>
        <w:r w:rsidR="009A7930">
          <w:rPr>
            <w:webHidden/>
          </w:rPr>
          <w:fldChar w:fldCharType="begin"/>
        </w:r>
        <w:r w:rsidR="009A7930">
          <w:rPr>
            <w:webHidden/>
          </w:rPr>
          <w:instrText xml:space="preserve"> PAGEREF _Toc68786636 \h </w:instrText>
        </w:r>
        <w:r w:rsidR="009A7930">
          <w:rPr>
            <w:webHidden/>
          </w:rPr>
        </w:r>
        <w:r w:rsidR="009A7930">
          <w:rPr>
            <w:webHidden/>
          </w:rPr>
          <w:fldChar w:fldCharType="separate"/>
        </w:r>
        <w:r w:rsidR="00B94D2F">
          <w:rPr>
            <w:webHidden/>
          </w:rPr>
          <w:t>95</w:t>
        </w:r>
        <w:r w:rsidR="009A7930">
          <w:rPr>
            <w:webHidden/>
          </w:rPr>
          <w:fldChar w:fldCharType="end"/>
        </w:r>
      </w:hyperlink>
    </w:p>
    <w:p w14:paraId="19517F39" w14:textId="1FFAC723" w:rsidR="009A7930" w:rsidRDefault="00087879">
      <w:pPr>
        <w:pStyle w:val="TableofFigures"/>
        <w:rPr>
          <w:rFonts w:asciiTheme="minorHAnsi" w:eastAsiaTheme="minorEastAsia" w:hAnsiTheme="minorHAnsi" w:cstheme="minorBidi"/>
          <w:sz w:val="22"/>
        </w:rPr>
      </w:pPr>
      <w:hyperlink w:anchor="_Toc68786637" w:history="1">
        <w:r w:rsidR="009A7930" w:rsidRPr="004B203D">
          <w:rPr>
            <w:rStyle w:val="Hyperlink"/>
          </w:rPr>
          <w:t xml:space="preserve">Figure 3.3.3 </w:t>
        </w:r>
        <w:r w:rsidR="009A7930">
          <w:rPr>
            <w:rFonts w:asciiTheme="minorHAnsi" w:eastAsiaTheme="minorEastAsia" w:hAnsiTheme="minorHAnsi" w:cstheme="minorBidi"/>
            <w:sz w:val="22"/>
          </w:rPr>
          <w:tab/>
        </w:r>
        <w:r w:rsidR="009A7930" w:rsidRPr="004B203D">
          <w:rPr>
            <w:rStyle w:val="Hyperlink"/>
          </w:rPr>
          <w:t xml:space="preserve">Carbon dioxide implied emission factor (IEF) – Liquid fuel combustion </w:t>
        </w:r>
        <w:r w:rsidR="00A9760A">
          <w:rPr>
            <w:rStyle w:val="Hyperlink"/>
          </w:rPr>
          <w:br/>
        </w:r>
        <w:r w:rsidR="009A7930" w:rsidRPr="004B203D">
          <w:rPr>
            <w:rStyle w:val="Hyperlink"/>
          </w:rPr>
          <w:t>(1990–2019)</w:t>
        </w:r>
        <w:r w:rsidR="009A7930">
          <w:rPr>
            <w:webHidden/>
          </w:rPr>
          <w:tab/>
        </w:r>
        <w:r w:rsidR="009A7930">
          <w:rPr>
            <w:webHidden/>
          </w:rPr>
          <w:fldChar w:fldCharType="begin"/>
        </w:r>
        <w:r w:rsidR="009A7930">
          <w:rPr>
            <w:webHidden/>
          </w:rPr>
          <w:instrText xml:space="preserve"> PAGEREF _Toc68786637 \h </w:instrText>
        </w:r>
        <w:r w:rsidR="009A7930">
          <w:rPr>
            <w:webHidden/>
          </w:rPr>
        </w:r>
        <w:r w:rsidR="009A7930">
          <w:rPr>
            <w:webHidden/>
          </w:rPr>
          <w:fldChar w:fldCharType="separate"/>
        </w:r>
        <w:r w:rsidR="00B94D2F">
          <w:rPr>
            <w:webHidden/>
          </w:rPr>
          <w:t>96</w:t>
        </w:r>
        <w:r w:rsidR="009A7930">
          <w:rPr>
            <w:webHidden/>
          </w:rPr>
          <w:fldChar w:fldCharType="end"/>
        </w:r>
      </w:hyperlink>
    </w:p>
    <w:p w14:paraId="668A6AEC" w14:textId="56085EF2" w:rsidR="009A7930" w:rsidRDefault="00087879">
      <w:pPr>
        <w:pStyle w:val="TableofFigures"/>
        <w:rPr>
          <w:rFonts w:asciiTheme="minorHAnsi" w:eastAsiaTheme="minorEastAsia" w:hAnsiTheme="minorHAnsi" w:cstheme="minorBidi"/>
          <w:sz w:val="22"/>
        </w:rPr>
      </w:pPr>
      <w:hyperlink w:anchor="_Toc68786638" w:history="1">
        <w:r w:rsidR="009A7930" w:rsidRPr="004B203D">
          <w:rPr>
            <w:rStyle w:val="Hyperlink"/>
          </w:rPr>
          <w:t xml:space="preserve">Figure 3.3.4 </w:t>
        </w:r>
        <w:r w:rsidR="009A7930">
          <w:rPr>
            <w:rFonts w:asciiTheme="minorHAnsi" w:eastAsiaTheme="minorEastAsia" w:hAnsiTheme="minorHAnsi" w:cstheme="minorBidi"/>
            <w:sz w:val="22"/>
          </w:rPr>
          <w:tab/>
        </w:r>
        <w:r w:rsidR="009A7930" w:rsidRPr="004B203D">
          <w:rPr>
            <w:rStyle w:val="Hyperlink"/>
          </w:rPr>
          <w:t xml:space="preserve">Carbon dioxide implied emission factor (IEF) – Solid fuel combustion </w:t>
        </w:r>
        <w:r w:rsidR="00A9760A">
          <w:rPr>
            <w:rStyle w:val="Hyperlink"/>
          </w:rPr>
          <w:br/>
        </w:r>
        <w:r w:rsidR="009A7930" w:rsidRPr="004B203D">
          <w:rPr>
            <w:rStyle w:val="Hyperlink"/>
          </w:rPr>
          <w:t>(1990–2019)</w:t>
        </w:r>
        <w:r w:rsidR="009A7930">
          <w:rPr>
            <w:webHidden/>
          </w:rPr>
          <w:tab/>
        </w:r>
        <w:r w:rsidR="009A7930">
          <w:rPr>
            <w:webHidden/>
          </w:rPr>
          <w:fldChar w:fldCharType="begin"/>
        </w:r>
        <w:r w:rsidR="009A7930">
          <w:rPr>
            <w:webHidden/>
          </w:rPr>
          <w:instrText xml:space="preserve"> PAGEREF _Toc68786638 \h </w:instrText>
        </w:r>
        <w:r w:rsidR="009A7930">
          <w:rPr>
            <w:webHidden/>
          </w:rPr>
        </w:r>
        <w:r w:rsidR="009A7930">
          <w:rPr>
            <w:webHidden/>
          </w:rPr>
          <w:fldChar w:fldCharType="separate"/>
        </w:r>
        <w:r w:rsidR="00B94D2F">
          <w:rPr>
            <w:webHidden/>
          </w:rPr>
          <w:t>96</w:t>
        </w:r>
        <w:r w:rsidR="009A7930">
          <w:rPr>
            <w:webHidden/>
          </w:rPr>
          <w:fldChar w:fldCharType="end"/>
        </w:r>
      </w:hyperlink>
    </w:p>
    <w:p w14:paraId="6734C8EE" w14:textId="20F3E40C" w:rsidR="009A7930" w:rsidRDefault="00087879">
      <w:pPr>
        <w:pStyle w:val="TableofFigures"/>
        <w:rPr>
          <w:rFonts w:asciiTheme="minorHAnsi" w:eastAsiaTheme="minorEastAsia" w:hAnsiTheme="minorHAnsi" w:cstheme="minorBidi"/>
          <w:sz w:val="22"/>
        </w:rPr>
      </w:pPr>
      <w:hyperlink w:anchor="_Toc68786639" w:history="1">
        <w:r w:rsidR="009A7930" w:rsidRPr="004B203D">
          <w:rPr>
            <w:rStyle w:val="Hyperlink"/>
          </w:rPr>
          <w:t>Figure 3.3.5</w:t>
        </w:r>
        <w:r w:rsidR="009A7930">
          <w:rPr>
            <w:rFonts w:asciiTheme="minorHAnsi" w:eastAsiaTheme="minorEastAsia" w:hAnsiTheme="minorHAnsi" w:cstheme="minorBidi"/>
            <w:sz w:val="22"/>
          </w:rPr>
          <w:tab/>
        </w:r>
        <w:r w:rsidR="009A7930" w:rsidRPr="004B203D">
          <w:rPr>
            <w:rStyle w:val="Hyperlink"/>
            <w:lang w:eastAsia="en-GB"/>
          </w:rPr>
          <w:t xml:space="preserve">Carbon dioxide implied emission factor </w:t>
        </w:r>
        <w:r w:rsidR="009A7930" w:rsidRPr="004B203D">
          <w:rPr>
            <w:rStyle w:val="Hyperlink"/>
          </w:rPr>
          <w:t>(IEF)</w:t>
        </w:r>
        <w:r w:rsidR="009A7930" w:rsidRPr="004B203D">
          <w:rPr>
            <w:rStyle w:val="Hyperlink"/>
            <w:lang w:eastAsia="en-GB"/>
          </w:rPr>
          <w:t xml:space="preserve"> – Gaseous fuel combustion </w:t>
        </w:r>
        <w:r w:rsidR="009A7930" w:rsidRPr="004B203D">
          <w:rPr>
            <w:rStyle w:val="Hyperlink"/>
          </w:rPr>
          <w:t>(1990–2019)</w:t>
        </w:r>
        <w:r w:rsidR="009A7930">
          <w:rPr>
            <w:webHidden/>
          </w:rPr>
          <w:tab/>
        </w:r>
        <w:r w:rsidR="009A7930">
          <w:rPr>
            <w:webHidden/>
          </w:rPr>
          <w:fldChar w:fldCharType="begin"/>
        </w:r>
        <w:r w:rsidR="009A7930">
          <w:rPr>
            <w:webHidden/>
          </w:rPr>
          <w:instrText xml:space="preserve"> PAGEREF _Toc68786639 \h </w:instrText>
        </w:r>
        <w:r w:rsidR="009A7930">
          <w:rPr>
            <w:webHidden/>
          </w:rPr>
        </w:r>
        <w:r w:rsidR="009A7930">
          <w:rPr>
            <w:webHidden/>
          </w:rPr>
          <w:fldChar w:fldCharType="separate"/>
        </w:r>
        <w:r w:rsidR="00B94D2F">
          <w:rPr>
            <w:webHidden/>
          </w:rPr>
          <w:t>97</w:t>
        </w:r>
        <w:r w:rsidR="009A7930">
          <w:rPr>
            <w:webHidden/>
          </w:rPr>
          <w:fldChar w:fldCharType="end"/>
        </w:r>
      </w:hyperlink>
    </w:p>
    <w:p w14:paraId="6F0D538F" w14:textId="24EE5E72" w:rsidR="009A7930" w:rsidRDefault="00087879">
      <w:pPr>
        <w:pStyle w:val="TableofFigures"/>
        <w:rPr>
          <w:rFonts w:asciiTheme="minorHAnsi" w:eastAsiaTheme="minorEastAsia" w:hAnsiTheme="minorHAnsi" w:cstheme="minorBidi"/>
          <w:sz w:val="22"/>
        </w:rPr>
      </w:pPr>
      <w:hyperlink w:anchor="_Toc68786640" w:history="1">
        <w:r w:rsidR="009A7930" w:rsidRPr="004B203D">
          <w:rPr>
            <w:rStyle w:val="Hyperlink"/>
          </w:rPr>
          <w:t>Figure 3.3.6</w:t>
        </w:r>
        <w:r w:rsidR="009A7930">
          <w:rPr>
            <w:rFonts w:asciiTheme="minorHAnsi" w:eastAsiaTheme="minorEastAsia" w:hAnsiTheme="minorHAnsi" w:cstheme="minorBidi"/>
            <w:sz w:val="22"/>
          </w:rPr>
          <w:tab/>
        </w:r>
        <w:r w:rsidR="009A7930" w:rsidRPr="004B203D">
          <w:rPr>
            <w:rStyle w:val="Hyperlink"/>
            <w:lang w:eastAsia="en-GB"/>
          </w:rPr>
          <w:t xml:space="preserve">New Zealand’s </w:t>
        </w:r>
        <w:r w:rsidR="009A7930" w:rsidRPr="004B203D">
          <w:rPr>
            <w:rStyle w:val="Hyperlink"/>
          </w:rPr>
          <w:t>electricity</w:t>
        </w:r>
        <w:r w:rsidR="009A7930" w:rsidRPr="004B203D">
          <w:rPr>
            <w:rStyle w:val="Hyperlink"/>
            <w:lang w:eastAsia="en-GB"/>
          </w:rPr>
          <w:t xml:space="preserve"> generation by source (1990–2019)</w:t>
        </w:r>
        <w:r w:rsidR="009A7930">
          <w:rPr>
            <w:webHidden/>
          </w:rPr>
          <w:tab/>
        </w:r>
        <w:r w:rsidR="009A7930">
          <w:rPr>
            <w:webHidden/>
          </w:rPr>
          <w:fldChar w:fldCharType="begin"/>
        </w:r>
        <w:r w:rsidR="009A7930">
          <w:rPr>
            <w:webHidden/>
          </w:rPr>
          <w:instrText xml:space="preserve"> PAGEREF _Toc68786640 \h </w:instrText>
        </w:r>
        <w:r w:rsidR="009A7930">
          <w:rPr>
            <w:webHidden/>
          </w:rPr>
        </w:r>
        <w:r w:rsidR="009A7930">
          <w:rPr>
            <w:webHidden/>
          </w:rPr>
          <w:fldChar w:fldCharType="separate"/>
        </w:r>
        <w:r w:rsidR="00B94D2F">
          <w:rPr>
            <w:webHidden/>
          </w:rPr>
          <w:t>99</w:t>
        </w:r>
        <w:r w:rsidR="009A7930">
          <w:rPr>
            <w:webHidden/>
          </w:rPr>
          <w:fldChar w:fldCharType="end"/>
        </w:r>
      </w:hyperlink>
    </w:p>
    <w:p w14:paraId="6D4B93E0" w14:textId="7FEA93B8" w:rsidR="009A7930" w:rsidRDefault="00087879">
      <w:pPr>
        <w:pStyle w:val="TableofFigures"/>
        <w:rPr>
          <w:rFonts w:asciiTheme="minorHAnsi" w:eastAsiaTheme="minorEastAsia" w:hAnsiTheme="minorHAnsi" w:cstheme="minorBidi"/>
          <w:sz w:val="22"/>
        </w:rPr>
      </w:pPr>
      <w:hyperlink w:anchor="_Toc68786641" w:history="1">
        <w:r w:rsidR="009A7930" w:rsidRPr="004B203D">
          <w:rPr>
            <w:rStyle w:val="Hyperlink"/>
          </w:rPr>
          <w:t>Figure 3.3.7</w:t>
        </w:r>
        <w:r w:rsidR="009A7930">
          <w:rPr>
            <w:rFonts w:asciiTheme="minorHAnsi" w:eastAsiaTheme="minorEastAsia" w:hAnsiTheme="minorHAnsi" w:cstheme="minorBidi"/>
            <w:sz w:val="22"/>
          </w:rPr>
          <w:tab/>
        </w:r>
        <w:r w:rsidR="009A7930" w:rsidRPr="004B203D">
          <w:rPr>
            <w:rStyle w:val="Hyperlink"/>
            <w:lang w:eastAsia="en-GB"/>
          </w:rPr>
          <w:t>Decision tree to identify a main activity electricity generator or an autoproducer</w:t>
        </w:r>
        <w:r w:rsidR="009A7930">
          <w:rPr>
            <w:webHidden/>
          </w:rPr>
          <w:tab/>
        </w:r>
        <w:r w:rsidR="009A7930">
          <w:rPr>
            <w:webHidden/>
          </w:rPr>
          <w:fldChar w:fldCharType="begin"/>
        </w:r>
        <w:r w:rsidR="009A7930">
          <w:rPr>
            <w:webHidden/>
          </w:rPr>
          <w:instrText xml:space="preserve"> PAGEREF _Toc68786641 \h </w:instrText>
        </w:r>
        <w:r w:rsidR="009A7930">
          <w:rPr>
            <w:webHidden/>
          </w:rPr>
        </w:r>
        <w:r w:rsidR="009A7930">
          <w:rPr>
            <w:webHidden/>
          </w:rPr>
          <w:fldChar w:fldCharType="separate"/>
        </w:r>
        <w:r w:rsidR="00B94D2F">
          <w:rPr>
            <w:webHidden/>
          </w:rPr>
          <w:t>100</w:t>
        </w:r>
        <w:r w:rsidR="009A7930">
          <w:rPr>
            <w:webHidden/>
          </w:rPr>
          <w:fldChar w:fldCharType="end"/>
        </w:r>
      </w:hyperlink>
    </w:p>
    <w:p w14:paraId="0774ED31" w14:textId="45FF9663" w:rsidR="009A7930" w:rsidRDefault="00087879">
      <w:pPr>
        <w:pStyle w:val="TableofFigures"/>
        <w:rPr>
          <w:rFonts w:asciiTheme="minorHAnsi" w:eastAsiaTheme="minorEastAsia" w:hAnsiTheme="minorHAnsi" w:cstheme="minorBidi"/>
          <w:sz w:val="22"/>
        </w:rPr>
      </w:pPr>
      <w:hyperlink w:anchor="_Toc68786642" w:history="1">
        <w:r w:rsidR="009A7930" w:rsidRPr="004B203D">
          <w:rPr>
            <w:rStyle w:val="Hyperlink"/>
          </w:rPr>
          <w:t xml:space="preserve">Figure 3.3.8 </w:t>
        </w:r>
        <w:r w:rsidR="009A7930">
          <w:rPr>
            <w:rFonts w:asciiTheme="minorHAnsi" w:eastAsiaTheme="minorEastAsia" w:hAnsiTheme="minorHAnsi" w:cstheme="minorBidi"/>
            <w:sz w:val="22"/>
          </w:rPr>
          <w:tab/>
        </w:r>
        <w:r w:rsidR="009A7930" w:rsidRPr="004B203D">
          <w:rPr>
            <w:rStyle w:val="Hyperlink"/>
          </w:rPr>
          <w:t>Proportions used for Manufacturing industries and construction category – Gasoline (1990–2019)</w:t>
        </w:r>
        <w:r w:rsidR="009A7930">
          <w:rPr>
            <w:webHidden/>
          </w:rPr>
          <w:tab/>
        </w:r>
        <w:r w:rsidR="009A7930">
          <w:rPr>
            <w:webHidden/>
          </w:rPr>
          <w:fldChar w:fldCharType="begin"/>
        </w:r>
        <w:r w:rsidR="009A7930">
          <w:rPr>
            <w:webHidden/>
          </w:rPr>
          <w:instrText xml:space="preserve"> PAGEREF _Toc68786642 \h </w:instrText>
        </w:r>
        <w:r w:rsidR="009A7930">
          <w:rPr>
            <w:webHidden/>
          </w:rPr>
        </w:r>
        <w:r w:rsidR="009A7930">
          <w:rPr>
            <w:webHidden/>
          </w:rPr>
          <w:fldChar w:fldCharType="separate"/>
        </w:r>
        <w:r w:rsidR="00B94D2F">
          <w:rPr>
            <w:webHidden/>
          </w:rPr>
          <w:t>105</w:t>
        </w:r>
        <w:r w:rsidR="009A7930">
          <w:rPr>
            <w:webHidden/>
          </w:rPr>
          <w:fldChar w:fldCharType="end"/>
        </w:r>
      </w:hyperlink>
    </w:p>
    <w:p w14:paraId="2BBC2B2C" w14:textId="216E2BB5" w:rsidR="009A7930" w:rsidRDefault="00087879">
      <w:pPr>
        <w:pStyle w:val="TableofFigures"/>
        <w:rPr>
          <w:rFonts w:asciiTheme="minorHAnsi" w:eastAsiaTheme="minorEastAsia" w:hAnsiTheme="minorHAnsi" w:cstheme="minorBidi"/>
          <w:sz w:val="22"/>
        </w:rPr>
      </w:pPr>
      <w:hyperlink w:anchor="_Toc68786643" w:history="1">
        <w:r w:rsidR="009A7930" w:rsidRPr="004B203D">
          <w:rPr>
            <w:rStyle w:val="Hyperlink"/>
          </w:rPr>
          <w:t xml:space="preserve">Figure 3.3.9 </w:t>
        </w:r>
        <w:r w:rsidR="009A7930">
          <w:rPr>
            <w:rFonts w:asciiTheme="minorHAnsi" w:eastAsiaTheme="minorEastAsia" w:hAnsiTheme="minorHAnsi" w:cstheme="minorBidi"/>
            <w:sz w:val="22"/>
          </w:rPr>
          <w:tab/>
        </w:r>
        <w:r w:rsidR="009A7930" w:rsidRPr="004B203D">
          <w:rPr>
            <w:rStyle w:val="Hyperlink"/>
          </w:rPr>
          <w:t>Proportions used for Manufacturing industries and construction category – Diesel (1990–2019)</w:t>
        </w:r>
        <w:r w:rsidR="009A7930">
          <w:rPr>
            <w:webHidden/>
          </w:rPr>
          <w:tab/>
        </w:r>
        <w:r w:rsidR="009A7930">
          <w:rPr>
            <w:webHidden/>
          </w:rPr>
          <w:fldChar w:fldCharType="begin"/>
        </w:r>
        <w:r w:rsidR="009A7930">
          <w:rPr>
            <w:webHidden/>
          </w:rPr>
          <w:instrText xml:space="preserve"> PAGEREF _Toc68786643 \h </w:instrText>
        </w:r>
        <w:r w:rsidR="009A7930">
          <w:rPr>
            <w:webHidden/>
          </w:rPr>
        </w:r>
        <w:r w:rsidR="009A7930">
          <w:rPr>
            <w:webHidden/>
          </w:rPr>
          <w:fldChar w:fldCharType="separate"/>
        </w:r>
        <w:r w:rsidR="00B94D2F">
          <w:rPr>
            <w:webHidden/>
          </w:rPr>
          <w:t>105</w:t>
        </w:r>
        <w:r w:rsidR="009A7930">
          <w:rPr>
            <w:webHidden/>
          </w:rPr>
          <w:fldChar w:fldCharType="end"/>
        </w:r>
      </w:hyperlink>
    </w:p>
    <w:p w14:paraId="6CD0FD90" w14:textId="10CF9D0D" w:rsidR="009A7930" w:rsidRDefault="00087879">
      <w:pPr>
        <w:pStyle w:val="TableofFigures"/>
        <w:rPr>
          <w:rFonts w:asciiTheme="minorHAnsi" w:eastAsiaTheme="minorEastAsia" w:hAnsiTheme="minorHAnsi" w:cstheme="minorBidi"/>
          <w:sz w:val="22"/>
        </w:rPr>
      </w:pPr>
      <w:hyperlink w:anchor="_Toc68786644" w:history="1">
        <w:r w:rsidR="009A7930" w:rsidRPr="004B203D">
          <w:rPr>
            <w:rStyle w:val="Hyperlink"/>
          </w:rPr>
          <w:t xml:space="preserve">Figure 3.3.10 </w:t>
        </w:r>
        <w:r w:rsidR="009A7930">
          <w:rPr>
            <w:rFonts w:asciiTheme="minorHAnsi" w:eastAsiaTheme="minorEastAsia" w:hAnsiTheme="minorHAnsi" w:cstheme="minorBidi"/>
            <w:sz w:val="22"/>
          </w:rPr>
          <w:tab/>
        </w:r>
        <w:r w:rsidR="009A7930" w:rsidRPr="004B203D">
          <w:rPr>
            <w:rStyle w:val="Hyperlink"/>
          </w:rPr>
          <w:t>Proportions used for Manufacturing industries and construction category – Fuel oil (1990–2019)</w:t>
        </w:r>
        <w:r w:rsidR="009A7930">
          <w:rPr>
            <w:webHidden/>
          </w:rPr>
          <w:tab/>
        </w:r>
        <w:r w:rsidR="009A7930">
          <w:rPr>
            <w:webHidden/>
          </w:rPr>
          <w:fldChar w:fldCharType="begin"/>
        </w:r>
        <w:r w:rsidR="009A7930">
          <w:rPr>
            <w:webHidden/>
          </w:rPr>
          <w:instrText xml:space="preserve"> PAGEREF _Toc68786644 \h </w:instrText>
        </w:r>
        <w:r w:rsidR="009A7930">
          <w:rPr>
            <w:webHidden/>
          </w:rPr>
        </w:r>
        <w:r w:rsidR="009A7930">
          <w:rPr>
            <w:webHidden/>
          </w:rPr>
          <w:fldChar w:fldCharType="separate"/>
        </w:r>
        <w:r w:rsidR="00B94D2F">
          <w:rPr>
            <w:webHidden/>
          </w:rPr>
          <w:t>105</w:t>
        </w:r>
        <w:r w:rsidR="009A7930">
          <w:rPr>
            <w:webHidden/>
          </w:rPr>
          <w:fldChar w:fldCharType="end"/>
        </w:r>
      </w:hyperlink>
    </w:p>
    <w:p w14:paraId="289C8190" w14:textId="39748382" w:rsidR="009A7930" w:rsidRDefault="00087879">
      <w:pPr>
        <w:pStyle w:val="TableofFigures"/>
        <w:rPr>
          <w:rFonts w:asciiTheme="minorHAnsi" w:eastAsiaTheme="minorEastAsia" w:hAnsiTheme="minorHAnsi" w:cstheme="minorBidi"/>
          <w:sz w:val="22"/>
        </w:rPr>
      </w:pPr>
      <w:hyperlink w:anchor="_Toc68786645" w:history="1">
        <w:r w:rsidR="009A7930" w:rsidRPr="004B203D">
          <w:rPr>
            <w:rStyle w:val="Hyperlink"/>
          </w:rPr>
          <w:t>Figure 3.3.11</w:t>
        </w:r>
        <w:r w:rsidR="009A7930" w:rsidRPr="004B203D">
          <w:rPr>
            <w:rStyle w:val="Hyperlink"/>
            <w:lang w:eastAsia="en-GB"/>
          </w:rPr>
          <w:t xml:space="preserve"> </w:t>
        </w:r>
        <w:r w:rsidR="009A7930">
          <w:rPr>
            <w:rFonts w:asciiTheme="minorHAnsi" w:eastAsiaTheme="minorEastAsia" w:hAnsiTheme="minorHAnsi" w:cstheme="minorBidi"/>
            <w:sz w:val="22"/>
          </w:rPr>
          <w:tab/>
        </w:r>
        <w:r w:rsidR="009A7930" w:rsidRPr="004B203D">
          <w:rPr>
            <w:rStyle w:val="Hyperlink"/>
            <w:lang w:eastAsia="en-GB"/>
          </w:rPr>
          <w:t>Splicing method decision tree for gasoline emissions</w:t>
        </w:r>
        <w:r w:rsidR="009A7930">
          <w:rPr>
            <w:webHidden/>
          </w:rPr>
          <w:tab/>
        </w:r>
        <w:r w:rsidR="009A7930">
          <w:rPr>
            <w:webHidden/>
          </w:rPr>
          <w:fldChar w:fldCharType="begin"/>
        </w:r>
        <w:r w:rsidR="009A7930">
          <w:rPr>
            <w:webHidden/>
          </w:rPr>
          <w:instrText xml:space="preserve"> PAGEREF _Toc68786645 \h </w:instrText>
        </w:r>
        <w:r w:rsidR="009A7930">
          <w:rPr>
            <w:webHidden/>
          </w:rPr>
        </w:r>
        <w:r w:rsidR="009A7930">
          <w:rPr>
            <w:webHidden/>
          </w:rPr>
          <w:fldChar w:fldCharType="separate"/>
        </w:r>
        <w:r w:rsidR="00B94D2F">
          <w:rPr>
            <w:webHidden/>
          </w:rPr>
          <w:t>110</w:t>
        </w:r>
        <w:r w:rsidR="009A7930">
          <w:rPr>
            <w:webHidden/>
          </w:rPr>
          <w:fldChar w:fldCharType="end"/>
        </w:r>
      </w:hyperlink>
    </w:p>
    <w:p w14:paraId="17233BB8" w14:textId="221F4885" w:rsidR="009A7930" w:rsidRDefault="00087879">
      <w:pPr>
        <w:pStyle w:val="TableofFigures"/>
        <w:rPr>
          <w:rFonts w:asciiTheme="minorHAnsi" w:eastAsiaTheme="minorEastAsia" w:hAnsiTheme="minorHAnsi" w:cstheme="minorBidi"/>
          <w:sz w:val="22"/>
        </w:rPr>
      </w:pPr>
      <w:hyperlink w:anchor="_Toc68786646" w:history="1">
        <w:r w:rsidR="009A7930" w:rsidRPr="004B203D">
          <w:rPr>
            <w:rStyle w:val="Hyperlink"/>
          </w:rPr>
          <w:t xml:space="preserve">Figure 3.4.1 </w:t>
        </w:r>
        <w:r w:rsidR="009A7930">
          <w:rPr>
            <w:rFonts w:asciiTheme="minorHAnsi" w:eastAsiaTheme="minorEastAsia" w:hAnsiTheme="minorHAnsi" w:cstheme="minorBidi"/>
            <w:sz w:val="22"/>
          </w:rPr>
          <w:tab/>
        </w:r>
        <w:r w:rsidR="009A7930" w:rsidRPr="004B203D">
          <w:rPr>
            <w:rStyle w:val="Hyperlink"/>
          </w:rPr>
          <w:t xml:space="preserve">Schematic diagram of the use of geothermal fluid for electricity generation </w:t>
        </w:r>
        <w:r w:rsidR="00A9760A">
          <w:rPr>
            <w:rStyle w:val="Hyperlink"/>
          </w:rPr>
          <w:br/>
        </w:r>
        <w:r w:rsidR="009A7930" w:rsidRPr="004B203D">
          <w:rPr>
            <w:rStyle w:val="Hyperlink"/>
          </w:rPr>
          <w:t>– as at Wairakei and Ohaaki geothermal stations (New Zealand Institute of Chemistry, 1998)</w:t>
        </w:r>
        <w:r w:rsidR="009A7930">
          <w:rPr>
            <w:webHidden/>
          </w:rPr>
          <w:tab/>
        </w:r>
        <w:r w:rsidR="009A7930">
          <w:rPr>
            <w:webHidden/>
          </w:rPr>
          <w:fldChar w:fldCharType="begin"/>
        </w:r>
        <w:r w:rsidR="009A7930">
          <w:rPr>
            <w:webHidden/>
          </w:rPr>
          <w:instrText xml:space="preserve"> PAGEREF _Toc68786646 \h </w:instrText>
        </w:r>
        <w:r w:rsidR="009A7930">
          <w:rPr>
            <w:webHidden/>
          </w:rPr>
        </w:r>
        <w:r w:rsidR="009A7930">
          <w:rPr>
            <w:webHidden/>
          </w:rPr>
          <w:fldChar w:fldCharType="separate"/>
        </w:r>
        <w:r w:rsidR="00B94D2F">
          <w:rPr>
            <w:webHidden/>
          </w:rPr>
          <w:t>123</w:t>
        </w:r>
        <w:r w:rsidR="009A7930">
          <w:rPr>
            <w:webHidden/>
          </w:rPr>
          <w:fldChar w:fldCharType="end"/>
        </w:r>
      </w:hyperlink>
    </w:p>
    <w:p w14:paraId="3DB6C37B" w14:textId="6C0D1B1A" w:rsidR="009A7930" w:rsidRDefault="00087879">
      <w:pPr>
        <w:pStyle w:val="TableofFigures"/>
        <w:rPr>
          <w:rFonts w:asciiTheme="minorHAnsi" w:eastAsiaTheme="minorEastAsia" w:hAnsiTheme="minorHAnsi" w:cstheme="minorBidi"/>
          <w:sz w:val="22"/>
        </w:rPr>
      </w:pPr>
      <w:hyperlink w:anchor="_Toc68786647" w:history="1">
        <w:r w:rsidR="009A7930" w:rsidRPr="004B203D">
          <w:rPr>
            <w:rStyle w:val="Hyperlink"/>
          </w:rPr>
          <w:t>Figure 4.1.1</w:t>
        </w:r>
        <w:r w:rsidR="009A7930">
          <w:rPr>
            <w:rFonts w:asciiTheme="minorHAnsi" w:eastAsiaTheme="minorEastAsia" w:hAnsiTheme="minorHAnsi" w:cstheme="minorBidi"/>
            <w:sz w:val="22"/>
          </w:rPr>
          <w:tab/>
        </w:r>
        <w:r w:rsidR="009A7930" w:rsidRPr="004B203D">
          <w:rPr>
            <w:rStyle w:val="Hyperlink"/>
          </w:rPr>
          <w:t>New Zealand’s annual emissions from the IPPU sector from 1990 to 2019</w:t>
        </w:r>
        <w:r w:rsidR="009A7930">
          <w:rPr>
            <w:webHidden/>
          </w:rPr>
          <w:tab/>
        </w:r>
        <w:r w:rsidR="009A7930">
          <w:rPr>
            <w:webHidden/>
          </w:rPr>
          <w:fldChar w:fldCharType="begin"/>
        </w:r>
        <w:r w:rsidR="009A7930">
          <w:rPr>
            <w:webHidden/>
          </w:rPr>
          <w:instrText xml:space="preserve"> PAGEREF _Toc68786647 \h </w:instrText>
        </w:r>
        <w:r w:rsidR="009A7930">
          <w:rPr>
            <w:webHidden/>
          </w:rPr>
        </w:r>
        <w:r w:rsidR="009A7930">
          <w:rPr>
            <w:webHidden/>
          </w:rPr>
          <w:fldChar w:fldCharType="separate"/>
        </w:r>
        <w:r w:rsidR="00B94D2F">
          <w:rPr>
            <w:webHidden/>
          </w:rPr>
          <w:t>132</w:t>
        </w:r>
        <w:r w:rsidR="009A7930">
          <w:rPr>
            <w:webHidden/>
          </w:rPr>
          <w:fldChar w:fldCharType="end"/>
        </w:r>
      </w:hyperlink>
    </w:p>
    <w:p w14:paraId="27762405" w14:textId="16A90249" w:rsidR="009A7930" w:rsidRDefault="00087879">
      <w:pPr>
        <w:pStyle w:val="TableofFigures"/>
        <w:rPr>
          <w:rFonts w:asciiTheme="minorHAnsi" w:eastAsiaTheme="minorEastAsia" w:hAnsiTheme="minorHAnsi" w:cstheme="minorBidi"/>
          <w:sz w:val="22"/>
        </w:rPr>
      </w:pPr>
      <w:hyperlink w:anchor="_Toc68786648" w:history="1">
        <w:r w:rsidR="009A7930" w:rsidRPr="004B203D">
          <w:rPr>
            <w:rStyle w:val="Hyperlink"/>
          </w:rPr>
          <w:t>Figure 4.1.2</w:t>
        </w:r>
        <w:r w:rsidR="009A7930">
          <w:rPr>
            <w:rFonts w:asciiTheme="minorHAnsi" w:eastAsiaTheme="minorEastAsia" w:hAnsiTheme="minorHAnsi" w:cstheme="minorBidi"/>
            <w:sz w:val="22"/>
          </w:rPr>
          <w:tab/>
        </w:r>
        <w:r w:rsidR="009A7930" w:rsidRPr="004B203D">
          <w:rPr>
            <w:rStyle w:val="Hyperlink"/>
          </w:rPr>
          <w:t>Change in New Zealand’s emissions from the IPPU sector from 1990 to 2019</w:t>
        </w:r>
        <w:r w:rsidR="009A7930">
          <w:rPr>
            <w:webHidden/>
          </w:rPr>
          <w:tab/>
        </w:r>
        <w:r w:rsidR="009A7930">
          <w:rPr>
            <w:webHidden/>
          </w:rPr>
          <w:fldChar w:fldCharType="begin"/>
        </w:r>
        <w:r w:rsidR="009A7930">
          <w:rPr>
            <w:webHidden/>
          </w:rPr>
          <w:instrText xml:space="preserve"> PAGEREF _Toc68786648 \h </w:instrText>
        </w:r>
        <w:r w:rsidR="009A7930">
          <w:rPr>
            <w:webHidden/>
          </w:rPr>
        </w:r>
        <w:r w:rsidR="009A7930">
          <w:rPr>
            <w:webHidden/>
          </w:rPr>
          <w:fldChar w:fldCharType="separate"/>
        </w:r>
        <w:r w:rsidR="00B94D2F">
          <w:rPr>
            <w:webHidden/>
          </w:rPr>
          <w:t>132</w:t>
        </w:r>
        <w:r w:rsidR="009A7930">
          <w:rPr>
            <w:webHidden/>
          </w:rPr>
          <w:fldChar w:fldCharType="end"/>
        </w:r>
      </w:hyperlink>
    </w:p>
    <w:p w14:paraId="7A50A197" w14:textId="03A0B764" w:rsidR="009A7930" w:rsidRDefault="00087879">
      <w:pPr>
        <w:pStyle w:val="TableofFigures"/>
        <w:rPr>
          <w:rFonts w:asciiTheme="minorHAnsi" w:eastAsiaTheme="minorEastAsia" w:hAnsiTheme="minorHAnsi" w:cstheme="minorBidi"/>
          <w:sz w:val="22"/>
        </w:rPr>
      </w:pPr>
      <w:hyperlink w:anchor="_Toc68786649" w:history="1">
        <w:r w:rsidR="009A7930" w:rsidRPr="004B203D">
          <w:rPr>
            <w:rStyle w:val="Hyperlink"/>
          </w:rPr>
          <w:t xml:space="preserve">Figure 4.1.3 </w:t>
        </w:r>
        <w:r w:rsidR="009A7930">
          <w:rPr>
            <w:rFonts w:asciiTheme="minorHAnsi" w:eastAsiaTheme="minorEastAsia" w:hAnsiTheme="minorHAnsi" w:cstheme="minorBidi"/>
            <w:sz w:val="22"/>
          </w:rPr>
          <w:tab/>
        </w:r>
        <w:r w:rsidR="009A7930" w:rsidRPr="004B203D">
          <w:rPr>
            <w:rStyle w:val="Hyperlink"/>
          </w:rPr>
          <w:t>Example: Tier 1 quality checks for the IPPU sector</w:t>
        </w:r>
        <w:r w:rsidR="009A7930">
          <w:rPr>
            <w:webHidden/>
          </w:rPr>
          <w:tab/>
        </w:r>
        <w:r w:rsidR="009A7930">
          <w:rPr>
            <w:webHidden/>
          </w:rPr>
          <w:fldChar w:fldCharType="begin"/>
        </w:r>
        <w:r w:rsidR="009A7930">
          <w:rPr>
            <w:webHidden/>
          </w:rPr>
          <w:instrText xml:space="preserve"> PAGEREF _Toc68786649 \h </w:instrText>
        </w:r>
        <w:r w:rsidR="009A7930">
          <w:rPr>
            <w:webHidden/>
          </w:rPr>
        </w:r>
        <w:r w:rsidR="009A7930">
          <w:rPr>
            <w:webHidden/>
          </w:rPr>
          <w:fldChar w:fldCharType="separate"/>
        </w:r>
        <w:r w:rsidR="00B94D2F">
          <w:rPr>
            <w:webHidden/>
          </w:rPr>
          <w:t>135</w:t>
        </w:r>
        <w:r w:rsidR="009A7930">
          <w:rPr>
            <w:webHidden/>
          </w:rPr>
          <w:fldChar w:fldCharType="end"/>
        </w:r>
      </w:hyperlink>
    </w:p>
    <w:p w14:paraId="02540C87" w14:textId="19B86FED" w:rsidR="009A7930" w:rsidRDefault="00087879">
      <w:pPr>
        <w:pStyle w:val="TableofFigures"/>
        <w:rPr>
          <w:rFonts w:asciiTheme="minorHAnsi" w:eastAsiaTheme="minorEastAsia" w:hAnsiTheme="minorHAnsi" w:cstheme="minorBidi"/>
          <w:sz w:val="22"/>
        </w:rPr>
      </w:pPr>
      <w:hyperlink w:anchor="_Toc68786650" w:history="1">
        <w:r w:rsidR="009A7930" w:rsidRPr="004B203D">
          <w:rPr>
            <w:rStyle w:val="Hyperlink"/>
          </w:rPr>
          <w:t xml:space="preserve">Figure 4.4.1 </w:t>
        </w:r>
        <w:r w:rsidR="009A7930">
          <w:rPr>
            <w:rFonts w:asciiTheme="minorHAnsi" w:eastAsiaTheme="minorEastAsia" w:hAnsiTheme="minorHAnsi" w:cstheme="minorBidi"/>
            <w:sz w:val="22"/>
          </w:rPr>
          <w:tab/>
        </w:r>
        <w:r w:rsidR="009A7930" w:rsidRPr="004B203D">
          <w:rPr>
            <w:rStyle w:val="Hyperlink"/>
          </w:rPr>
          <w:t>Simplified schematic of iron and steel production in New Zealand</w:t>
        </w:r>
        <w:r w:rsidR="009A7930">
          <w:rPr>
            <w:webHidden/>
          </w:rPr>
          <w:tab/>
        </w:r>
        <w:r w:rsidR="009A7930">
          <w:rPr>
            <w:webHidden/>
          </w:rPr>
          <w:fldChar w:fldCharType="begin"/>
        </w:r>
        <w:r w:rsidR="009A7930">
          <w:rPr>
            <w:webHidden/>
          </w:rPr>
          <w:instrText xml:space="preserve"> PAGEREF _Toc68786650 \h </w:instrText>
        </w:r>
        <w:r w:rsidR="009A7930">
          <w:rPr>
            <w:webHidden/>
          </w:rPr>
        </w:r>
        <w:r w:rsidR="009A7930">
          <w:rPr>
            <w:webHidden/>
          </w:rPr>
          <w:fldChar w:fldCharType="separate"/>
        </w:r>
        <w:r w:rsidR="00B94D2F">
          <w:rPr>
            <w:webHidden/>
          </w:rPr>
          <w:t>146</w:t>
        </w:r>
        <w:r w:rsidR="009A7930">
          <w:rPr>
            <w:webHidden/>
          </w:rPr>
          <w:fldChar w:fldCharType="end"/>
        </w:r>
      </w:hyperlink>
    </w:p>
    <w:p w14:paraId="6D715575" w14:textId="4FA745AE" w:rsidR="009A7930" w:rsidRDefault="00087879">
      <w:pPr>
        <w:pStyle w:val="TableofFigures"/>
        <w:rPr>
          <w:rFonts w:asciiTheme="minorHAnsi" w:eastAsiaTheme="minorEastAsia" w:hAnsiTheme="minorHAnsi" w:cstheme="minorBidi"/>
          <w:sz w:val="22"/>
        </w:rPr>
      </w:pPr>
      <w:hyperlink w:anchor="_Toc68786651" w:history="1">
        <w:r w:rsidR="009A7930" w:rsidRPr="004B203D">
          <w:rPr>
            <w:rStyle w:val="Hyperlink"/>
          </w:rPr>
          <w:t>Figure 5.1.1</w:t>
        </w:r>
        <w:r w:rsidR="009A7930">
          <w:rPr>
            <w:rFonts w:asciiTheme="minorHAnsi" w:eastAsiaTheme="minorEastAsia" w:hAnsiTheme="minorHAnsi" w:cstheme="minorBidi"/>
            <w:sz w:val="22"/>
          </w:rPr>
          <w:tab/>
        </w:r>
        <w:r w:rsidR="009A7930" w:rsidRPr="004B203D">
          <w:rPr>
            <w:rStyle w:val="Hyperlink"/>
          </w:rPr>
          <w:t>Change in New Zealand’s emissions from the Agriculture sector from 1990 to 2019</w:t>
        </w:r>
        <w:r w:rsidR="009A7930">
          <w:rPr>
            <w:webHidden/>
          </w:rPr>
          <w:tab/>
        </w:r>
        <w:r w:rsidR="009A7930">
          <w:rPr>
            <w:webHidden/>
          </w:rPr>
          <w:fldChar w:fldCharType="begin"/>
        </w:r>
        <w:r w:rsidR="009A7930">
          <w:rPr>
            <w:webHidden/>
          </w:rPr>
          <w:instrText xml:space="preserve"> PAGEREF _Toc68786651 \h </w:instrText>
        </w:r>
        <w:r w:rsidR="009A7930">
          <w:rPr>
            <w:webHidden/>
          </w:rPr>
        </w:r>
        <w:r w:rsidR="009A7930">
          <w:rPr>
            <w:webHidden/>
          </w:rPr>
          <w:fldChar w:fldCharType="separate"/>
        </w:r>
        <w:r w:rsidR="00B94D2F">
          <w:rPr>
            <w:webHidden/>
          </w:rPr>
          <w:t>166</w:t>
        </w:r>
        <w:r w:rsidR="009A7930">
          <w:rPr>
            <w:webHidden/>
          </w:rPr>
          <w:fldChar w:fldCharType="end"/>
        </w:r>
      </w:hyperlink>
    </w:p>
    <w:p w14:paraId="2FE84F1C" w14:textId="417C17D8" w:rsidR="009A7930" w:rsidRDefault="00087879">
      <w:pPr>
        <w:pStyle w:val="TableofFigures"/>
        <w:rPr>
          <w:rFonts w:asciiTheme="minorHAnsi" w:eastAsiaTheme="minorEastAsia" w:hAnsiTheme="minorHAnsi" w:cstheme="minorBidi"/>
          <w:sz w:val="22"/>
        </w:rPr>
      </w:pPr>
      <w:hyperlink w:anchor="_Toc68786652" w:history="1">
        <w:r w:rsidR="009A7930" w:rsidRPr="004B203D">
          <w:rPr>
            <w:rStyle w:val="Hyperlink"/>
          </w:rPr>
          <w:t>Figure 5.1.2</w:t>
        </w:r>
        <w:r w:rsidR="009A7930">
          <w:rPr>
            <w:rFonts w:asciiTheme="minorHAnsi" w:eastAsiaTheme="minorEastAsia" w:hAnsiTheme="minorHAnsi" w:cstheme="minorBidi"/>
            <w:sz w:val="22"/>
          </w:rPr>
          <w:tab/>
        </w:r>
        <w:r w:rsidR="009A7930" w:rsidRPr="004B203D">
          <w:rPr>
            <w:rStyle w:val="Hyperlink"/>
          </w:rPr>
          <w:t>New Zealand’s Agriculture sector emissions from 1990 to 2019</w:t>
        </w:r>
        <w:r w:rsidR="009A7930">
          <w:rPr>
            <w:webHidden/>
          </w:rPr>
          <w:tab/>
        </w:r>
        <w:r w:rsidR="009A7930">
          <w:rPr>
            <w:webHidden/>
          </w:rPr>
          <w:fldChar w:fldCharType="begin"/>
        </w:r>
        <w:r w:rsidR="009A7930">
          <w:rPr>
            <w:webHidden/>
          </w:rPr>
          <w:instrText xml:space="preserve"> PAGEREF _Toc68786652 \h </w:instrText>
        </w:r>
        <w:r w:rsidR="009A7930">
          <w:rPr>
            <w:webHidden/>
          </w:rPr>
        </w:r>
        <w:r w:rsidR="009A7930">
          <w:rPr>
            <w:webHidden/>
          </w:rPr>
          <w:fldChar w:fldCharType="separate"/>
        </w:r>
        <w:r w:rsidR="00B94D2F">
          <w:rPr>
            <w:webHidden/>
          </w:rPr>
          <w:t>167</w:t>
        </w:r>
        <w:r w:rsidR="009A7930">
          <w:rPr>
            <w:webHidden/>
          </w:rPr>
          <w:fldChar w:fldCharType="end"/>
        </w:r>
      </w:hyperlink>
    </w:p>
    <w:p w14:paraId="7E2FBB69" w14:textId="622AC4C4" w:rsidR="009A7930" w:rsidRDefault="00087879">
      <w:pPr>
        <w:pStyle w:val="TableofFigures"/>
        <w:rPr>
          <w:rFonts w:asciiTheme="minorHAnsi" w:eastAsiaTheme="minorEastAsia" w:hAnsiTheme="minorHAnsi" w:cstheme="minorBidi"/>
          <w:sz w:val="22"/>
        </w:rPr>
      </w:pPr>
      <w:hyperlink w:anchor="_Toc68786653" w:history="1">
        <w:r w:rsidR="009A7930" w:rsidRPr="004B203D">
          <w:rPr>
            <w:rStyle w:val="Hyperlink"/>
          </w:rPr>
          <w:t xml:space="preserve">Figure 5.1.3a </w:t>
        </w:r>
        <w:r w:rsidR="009A7930">
          <w:rPr>
            <w:rFonts w:asciiTheme="minorHAnsi" w:eastAsiaTheme="minorEastAsia" w:hAnsiTheme="minorHAnsi" w:cstheme="minorBidi"/>
            <w:sz w:val="22"/>
          </w:rPr>
          <w:tab/>
        </w:r>
        <w:r w:rsidR="009A7930" w:rsidRPr="004B203D">
          <w:rPr>
            <w:rStyle w:val="Hyperlink"/>
          </w:rPr>
          <w:t>Populations of New Zealand’s dairy cattle, beef cattle and deer from 1990 to 2019 (June year ending)</w:t>
        </w:r>
        <w:r w:rsidR="009A7930">
          <w:rPr>
            <w:webHidden/>
          </w:rPr>
          <w:tab/>
        </w:r>
        <w:r w:rsidR="009A7930">
          <w:rPr>
            <w:webHidden/>
          </w:rPr>
          <w:fldChar w:fldCharType="begin"/>
        </w:r>
        <w:r w:rsidR="009A7930">
          <w:rPr>
            <w:webHidden/>
          </w:rPr>
          <w:instrText xml:space="preserve"> PAGEREF _Toc68786653 \h </w:instrText>
        </w:r>
        <w:r w:rsidR="009A7930">
          <w:rPr>
            <w:webHidden/>
          </w:rPr>
        </w:r>
        <w:r w:rsidR="009A7930">
          <w:rPr>
            <w:webHidden/>
          </w:rPr>
          <w:fldChar w:fldCharType="separate"/>
        </w:r>
        <w:r w:rsidR="00B94D2F">
          <w:rPr>
            <w:webHidden/>
          </w:rPr>
          <w:t>168</w:t>
        </w:r>
        <w:r w:rsidR="009A7930">
          <w:rPr>
            <w:webHidden/>
          </w:rPr>
          <w:fldChar w:fldCharType="end"/>
        </w:r>
      </w:hyperlink>
    </w:p>
    <w:p w14:paraId="0835ADF9" w14:textId="212B84C6" w:rsidR="009A7930" w:rsidRDefault="00087879">
      <w:pPr>
        <w:pStyle w:val="TableofFigures"/>
        <w:rPr>
          <w:rFonts w:asciiTheme="minorHAnsi" w:eastAsiaTheme="minorEastAsia" w:hAnsiTheme="minorHAnsi" w:cstheme="minorBidi"/>
          <w:sz w:val="22"/>
        </w:rPr>
      </w:pPr>
      <w:hyperlink w:anchor="_Toc68786654" w:history="1">
        <w:r w:rsidR="009A7930" w:rsidRPr="004B203D">
          <w:rPr>
            <w:rStyle w:val="Hyperlink"/>
          </w:rPr>
          <w:t xml:space="preserve">Figure 5.1.3b </w:t>
        </w:r>
        <w:r w:rsidR="009A7930">
          <w:rPr>
            <w:rFonts w:asciiTheme="minorHAnsi" w:eastAsiaTheme="minorEastAsia" w:hAnsiTheme="minorHAnsi" w:cstheme="minorBidi"/>
            <w:sz w:val="22"/>
          </w:rPr>
          <w:tab/>
        </w:r>
        <w:r w:rsidR="009A7930" w:rsidRPr="004B203D">
          <w:rPr>
            <w:rStyle w:val="Hyperlink"/>
          </w:rPr>
          <w:t>Population of New Zealand’s sheep from 1990 to 2019 (June year ending)</w:t>
        </w:r>
        <w:r w:rsidR="009A7930">
          <w:rPr>
            <w:webHidden/>
          </w:rPr>
          <w:tab/>
        </w:r>
        <w:r w:rsidR="009A7930">
          <w:rPr>
            <w:webHidden/>
          </w:rPr>
          <w:fldChar w:fldCharType="begin"/>
        </w:r>
        <w:r w:rsidR="009A7930">
          <w:rPr>
            <w:webHidden/>
          </w:rPr>
          <w:instrText xml:space="preserve"> PAGEREF _Toc68786654 \h </w:instrText>
        </w:r>
        <w:r w:rsidR="009A7930">
          <w:rPr>
            <w:webHidden/>
          </w:rPr>
        </w:r>
        <w:r w:rsidR="009A7930">
          <w:rPr>
            <w:webHidden/>
          </w:rPr>
          <w:fldChar w:fldCharType="separate"/>
        </w:r>
        <w:r w:rsidR="00B94D2F">
          <w:rPr>
            <w:webHidden/>
          </w:rPr>
          <w:t>169</w:t>
        </w:r>
        <w:r w:rsidR="009A7930">
          <w:rPr>
            <w:webHidden/>
          </w:rPr>
          <w:fldChar w:fldCharType="end"/>
        </w:r>
      </w:hyperlink>
    </w:p>
    <w:p w14:paraId="0E5FE2A1" w14:textId="6BD4C778" w:rsidR="009A7930" w:rsidRDefault="00087879">
      <w:pPr>
        <w:pStyle w:val="TableofFigures"/>
        <w:rPr>
          <w:rFonts w:asciiTheme="minorHAnsi" w:eastAsiaTheme="minorEastAsia" w:hAnsiTheme="minorHAnsi" w:cstheme="minorBidi"/>
          <w:sz w:val="22"/>
        </w:rPr>
      </w:pPr>
      <w:hyperlink w:anchor="_Toc68786655" w:history="1">
        <w:r w:rsidR="009A7930" w:rsidRPr="004B203D">
          <w:rPr>
            <w:rStyle w:val="Hyperlink"/>
          </w:rPr>
          <w:t>Figure 5.1.4</w:t>
        </w:r>
        <w:r w:rsidR="009A7930">
          <w:rPr>
            <w:rFonts w:asciiTheme="minorHAnsi" w:eastAsiaTheme="minorEastAsia" w:hAnsiTheme="minorHAnsi" w:cstheme="minorBidi"/>
            <w:sz w:val="22"/>
          </w:rPr>
          <w:tab/>
        </w:r>
        <w:r w:rsidR="009A7930" w:rsidRPr="004B203D">
          <w:rPr>
            <w:rStyle w:val="Hyperlink"/>
          </w:rPr>
          <w:t>Dairy milk productivity and implied enteric fermentation methane emission factors for dairy cows from 1990 to 2019</w:t>
        </w:r>
        <w:r w:rsidR="009A7930">
          <w:rPr>
            <w:webHidden/>
          </w:rPr>
          <w:tab/>
        </w:r>
        <w:r w:rsidR="009A7930">
          <w:rPr>
            <w:webHidden/>
          </w:rPr>
          <w:fldChar w:fldCharType="begin"/>
        </w:r>
        <w:r w:rsidR="009A7930">
          <w:rPr>
            <w:webHidden/>
          </w:rPr>
          <w:instrText xml:space="preserve"> PAGEREF _Toc68786655 \h </w:instrText>
        </w:r>
        <w:r w:rsidR="009A7930">
          <w:rPr>
            <w:webHidden/>
          </w:rPr>
        </w:r>
        <w:r w:rsidR="009A7930">
          <w:rPr>
            <w:webHidden/>
          </w:rPr>
          <w:fldChar w:fldCharType="separate"/>
        </w:r>
        <w:r w:rsidR="00B94D2F">
          <w:rPr>
            <w:webHidden/>
          </w:rPr>
          <w:t>170</w:t>
        </w:r>
        <w:r w:rsidR="009A7930">
          <w:rPr>
            <w:webHidden/>
          </w:rPr>
          <w:fldChar w:fldCharType="end"/>
        </w:r>
      </w:hyperlink>
    </w:p>
    <w:p w14:paraId="0F8604AC" w14:textId="43FE07A8" w:rsidR="009A7930" w:rsidRDefault="00087879">
      <w:pPr>
        <w:pStyle w:val="TableofFigures"/>
        <w:rPr>
          <w:rFonts w:asciiTheme="minorHAnsi" w:eastAsiaTheme="minorEastAsia" w:hAnsiTheme="minorHAnsi" w:cstheme="minorBidi"/>
          <w:sz w:val="22"/>
        </w:rPr>
      </w:pPr>
      <w:hyperlink w:anchor="_Toc68786656" w:history="1">
        <w:r w:rsidR="009A7930" w:rsidRPr="004B203D">
          <w:rPr>
            <w:rStyle w:val="Hyperlink"/>
          </w:rPr>
          <w:t xml:space="preserve">Figure 5.1.5 </w:t>
        </w:r>
        <w:r w:rsidR="009A7930">
          <w:rPr>
            <w:rFonts w:asciiTheme="minorHAnsi" w:eastAsiaTheme="minorEastAsia" w:hAnsiTheme="minorHAnsi" w:cstheme="minorBidi"/>
            <w:sz w:val="22"/>
          </w:rPr>
          <w:tab/>
        </w:r>
        <w:r w:rsidR="009A7930" w:rsidRPr="004B203D">
          <w:rPr>
            <w:rStyle w:val="Hyperlink"/>
          </w:rPr>
          <w:t>Simplified methodology for calculating emissions for major ruminant livestock categories</w:t>
        </w:r>
        <w:r w:rsidR="009A7930">
          <w:rPr>
            <w:webHidden/>
          </w:rPr>
          <w:tab/>
        </w:r>
        <w:r w:rsidR="009A7930">
          <w:rPr>
            <w:webHidden/>
          </w:rPr>
          <w:fldChar w:fldCharType="begin"/>
        </w:r>
        <w:r w:rsidR="009A7930">
          <w:rPr>
            <w:webHidden/>
          </w:rPr>
          <w:instrText xml:space="preserve"> PAGEREF _Toc68786656 \h </w:instrText>
        </w:r>
        <w:r w:rsidR="009A7930">
          <w:rPr>
            <w:webHidden/>
          </w:rPr>
        </w:r>
        <w:r w:rsidR="009A7930">
          <w:rPr>
            <w:webHidden/>
          </w:rPr>
          <w:fldChar w:fldCharType="separate"/>
        </w:r>
        <w:r w:rsidR="00B94D2F">
          <w:rPr>
            <w:webHidden/>
          </w:rPr>
          <w:t>173</w:t>
        </w:r>
        <w:r w:rsidR="009A7930">
          <w:rPr>
            <w:webHidden/>
          </w:rPr>
          <w:fldChar w:fldCharType="end"/>
        </w:r>
      </w:hyperlink>
    </w:p>
    <w:p w14:paraId="236DE738" w14:textId="42AF1320" w:rsidR="009A7930" w:rsidRDefault="00087879">
      <w:pPr>
        <w:pStyle w:val="TableofFigures"/>
        <w:rPr>
          <w:rFonts w:asciiTheme="minorHAnsi" w:eastAsiaTheme="minorEastAsia" w:hAnsiTheme="minorHAnsi" w:cstheme="minorBidi"/>
          <w:sz w:val="22"/>
        </w:rPr>
      </w:pPr>
      <w:hyperlink w:anchor="_Toc68786657" w:history="1">
        <w:r w:rsidR="009A7930" w:rsidRPr="004B203D">
          <w:rPr>
            <w:rStyle w:val="Hyperlink"/>
          </w:rPr>
          <w:t xml:space="preserve">Figure 5.1.6 </w:t>
        </w:r>
        <w:r w:rsidR="009A7930">
          <w:rPr>
            <w:rFonts w:asciiTheme="minorHAnsi" w:eastAsiaTheme="minorEastAsia" w:hAnsiTheme="minorHAnsi" w:cstheme="minorBidi"/>
            <w:sz w:val="22"/>
          </w:rPr>
          <w:tab/>
        </w:r>
        <w:r w:rsidR="009A7930" w:rsidRPr="004B203D">
          <w:rPr>
            <w:rStyle w:val="Hyperlink"/>
          </w:rPr>
          <w:t>National monthly milk production in New Zealand from 2016 to 2019</w:t>
        </w:r>
        <w:r w:rsidR="009A7930">
          <w:rPr>
            <w:webHidden/>
          </w:rPr>
          <w:tab/>
        </w:r>
        <w:r w:rsidR="009A7930">
          <w:rPr>
            <w:webHidden/>
          </w:rPr>
          <w:fldChar w:fldCharType="begin"/>
        </w:r>
        <w:r w:rsidR="009A7930">
          <w:rPr>
            <w:webHidden/>
          </w:rPr>
          <w:instrText xml:space="preserve"> PAGEREF _Toc68786657 \h </w:instrText>
        </w:r>
        <w:r w:rsidR="009A7930">
          <w:rPr>
            <w:webHidden/>
          </w:rPr>
        </w:r>
        <w:r w:rsidR="009A7930">
          <w:rPr>
            <w:webHidden/>
          </w:rPr>
          <w:fldChar w:fldCharType="separate"/>
        </w:r>
        <w:r w:rsidR="00B94D2F">
          <w:rPr>
            <w:webHidden/>
          </w:rPr>
          <w:t>177</w:t>
        </w:r>
        <w:r w:rsidR="009A7930">
          <w:rPr>
            <w:webHidden/>
          </w:rPr>
          <w:fldChar w:fldCharType="end"/>
        </w:r>
      </w:hyperlink>
    </w:p>
    <w:p w14:paraId="4A4C13AE" w14:textId="57886E27" w:rsidR="009A7930" w:rsidRDefault="00087879">
      <w:pPr>
        <w:pStyle w:val="TableofFigures"/>
        <w:rPr>
          <w:rFonts w:asciiTheme="minorHAnsi" w:eastAsiaTheme="minorEastAsia" w:hAnsiTheme="minorHAnsi" w:cstheme="minorBidi"/>
          <w:sz w:val="22"/>
        </w:rPr>
      </w:pPr>
      <w:hyperlink w:anchor="_Toc68786658" w:history="1">
        <w:r w:rsidR="009A7930" w:rsidRPr="004B203D">
          <w:rPr>
            <w:rStyle w:val="Hyperlink"/>
          </w:rPr>
          <w:t xml:space="preserve">Figure 5.1.7 </w:t>
        </w:r>
        <w:r w:rsidR="009A7930">
          <w:rPr>
            <w:rFonts w:asciiTheme="minorHAnsi" w:eastAsiaTheme="minorEastAsia" w:hAnsiTheme="minorHAnsi" w:cstheme="minorBidi"/>
            <w:sz w:val="22"/>
          </w:rPr>
          <w:tab/>
        </w:r>
        <w:r w:rsidR="009A7930" w:rsidRPr="004B203D">
          <w:rPr>
            <w:rStyle w:val="Hyperlink"/>
          </w:rPr>
          <w:t>Agriculture sectoral approval process for inventory recalculations and improvements</w:t>
        </w:r>
        <w:r w:rsidR="009A7930">
          <w:rPr>
            <w:webHidden/>
          </w:rPr>
          <w:tab/>
        </w:r>
        <w:r w:rsidR="009A7930">
          <w:rPr>
            <w:webHidden/>
          </w:rPr>
          <w:fldChar w:fldCharType="begin"/>
        </w:r>
        <w:r w:rsidR="009A7930">
          <w:rPr>
            <w:webHidden/>
          </w:rPr>
          <w:instrText xml:space="preserve"> PAGEREF _Toc68786658 \h </w:instrText>
        </w:r>
        <w:r w:rsidR="009A7930">
          <w:rPr>
            <w:webHidden/>
          </w:rPr>
        </w:r>
        <w:r w:rsidR="009A7930">
          <w:rPr>
            <w:webHidden/>
          </w:rPr>
          <w:fldChar w:fldCharType="separate"/>
        </w:r>
        <w:r w:rsidR="00B94D2F">
          <w:rPr>
            <w:webHidden/>
          </w:rPr>
          <w:t>183</w:t>
        </w:r>
        <w:r w:rsidR="009A7930">
          <w:rPr>
            <w:webHidden/>
          </w:rPr>
          <w:fldChar w:fldCharType="end"/>
        </w:r>
      </w:hyperlink>
    </w:p>
    <w:p w14:paraId="639BC6DC" w14:textId="3E83B049" w:rsidR="009A7930" w:rsidRDefault="00087879">
      <w:pPr>
        <w:pStyle w:val="TableofFigures"/>
        <w:rPr>
          <w:rFonts w:asciiTheme="minorHAnsi" w:eastAsiaTheme="minorEastAsia" w:hAnsiTheme="minorHAnsi" w:cstheme="minorBidi"/>
          <w:sz w:val="22"/>
        </w:rPr>
      </w:pPr>
      <w:hyperlink w:anchor="_Toc68786659" w:history="1">
        <w:r w:rsidR="009A7930" w:rsidRPr="004B203D">
          <w:rPr>
            <w:rStyle w:val="Hyperlink"/>
          </w:rPr>
          <w:t>Figure 5.2.1</w:t>
        </w:r>
        <w:r w:rsidR="009A7930">
          <w:rPr>
            <w:rFonts w:asciiTheme="minorHAnsi" w:eastAsiaTheme="minorEastAsia" w:hAnsiTheme="minorHAnsi" w:cstheme="minorBidi"/>
            <w:sz w:val="22"/>
          </w:rPr>
          <w:tab/>
        </w:r>
        <w:r w:rsidR="009A7930" w:rsidRPr="004B203D">
          <w:rPr>
            <w:rStyle w:val="Hyperlink"/>
          </w:rPr>
          <w:t>Schematic diagram showing how New Zealand’s emissions from enteric fermentation for cattle and deer are calculated</w:t>
        </w:r>
        <w:r w:rsidR="009A7930">
          <w:rPr>
            <w:webHidden/>
          </w:rPr>
          <w:tab/>
        </w:r>
        <w:r w:rsidR="009A7930">
          <w:rPr>
            <w:webHidden/>
          </w:rPr>
          <w:fldChar w:fldCharType="begin"/>
        </w:r>
        <w:r w:rsidR="009A7930">
          <w:rPr>
            <w:webHidden/>
          </w:rPr>
          <w:instrText xml:space="preserve"> PAGEREF _Toc68786659 \h </w:instrText>
        </w:r>
        <w:r w:rsidR="009A7930">
          <w:rPr>
            <w:webHidden/>
          </w:rPr>
        </w:r>
        <w:r w:rsidR="009A7930">
          <w:rPr>
            <w:webHidden/>
          </w:rPr>
          <w:fldChar w:fldCharType="separate"/>
        </w:r>
        <w:r w:rsidR="00B94D2F">
          <w:rPr>
            <w:webHidden/>
          </w:rPr>
          <w:t>190</w:t>
        </w:r>
        <w:r w:rsidR="009A7930">
          <w:rPr>
            <w:webHidden/>
          </w:rPr>
          <w:fldChar w:fldCharType="end"/>
        </w:r>
      </w:hyperlink>
    </w:p>
    <w:p w14:paraId="6A28DF27" w14:textId="16DFA651" w:rsidR="009A7930" w:rsidRDefault="00087879">
      <w:pPr>
        <w:pStyle w:val="TableofFigures"/>
        <w:rPr>
          <w:rFonts w:asciiTheme="minorHAnsi" w:eastAsiaTheme="minorEastAsia" w:hAnsiTheme="minorHAnsi" w:cstheme="minorBidi"/>
          <w:sz w:val="22"/>
        </w:rPr>
      </w:pPr>
      <w:hyperlink w:anchor="_Toc68786660" w:history="1">
        <w:r w:rsidR="009A7930" w:rsidRPr="004B203D">
          <w:rPr>
            <w:rStyle w:val="Hyperlink"/>
          </w:rPr>
          <w:t>Figure 5.5.1</w:t>
        </w:r>
        <w:r w:rsidR="009A7930">
          <w:rPr>
            <w:rFonts w:asciiTheme="minorHAnsi" w:eastAsiaTheme="minorEastAsia" w:hAnsiTheme="minorHAnsi" w:cstheme="minorBidi"/>
            <w:sz w:val="22"/>
          </w:rPr>
          <w:tab/>
        </w:r>
        <w:r w:rsidR="009A7930" w:rsidRPr="004B203D">
          <w:rPr>
            <w:rStyle w:val="Hyperlink"/>
          </w:rPr>
          <w:t>Sources of nitrous oxide emissions from agricultural soils, showing the contribution of each source to emissions through both direct and indirect pathways</w:t>
        </w:r>
        <w:r w:rsidR="009A7930">
          <w:rPr>
            <w:webHidden/>
          </w:rPr>
          <w:tab/>
        </w:r>
        <w:r w:rsidR="009A7930">
          <w:rPr>
            <w:webHidden/>
          </w:rPr>
          <w:fldChar w:fldCharType="begin"/>
        </w:r>
        <w:r w:rsidR="009A7930">
          <w:rPr>
            <w:webHidden/>
          </w:rPr>
          <w:instrText xml:space="preserve"> PAGEREF _Toc68786660 \h </w:instrText>
        </w:r>
        <w:r w:rsidR="009A7930">
          <w:rPr>
            <w:webHidden/>
          </w:rPr>
        </w:r>
        <w:r w:rsidR="009A7930">
          <w:rPr>
            <w:webHidden/>
          </w:rPr>
          <w:fldChar w:fldCharType="separate"/>
        </w:r>
        <w:r w:rsidR="00B94D2F">
          <w:rPr>
            <w:webHidden/>
          </w:rPr>
          <w:t>211</w:t>
        </w:r>
        <w:r w:rsidR="009A7930">
          <w:rPr>
            <w:webHidden/>
          </w:rPr>
          <w:fldChar w:fldCharType="end"/>
        </w:r>
      </w:hyperlink>
    </w:p>
    <w:p w14:paraId="3D05D753" w14:textId="0FC1A7DC" w:rsidR="009A7930" w:rsidRDefault="00087879">
      <w:pPr>
        <w:pStyle w:val="TableofFigures"/>
        <w:rPr>
          <w:rFonts w:asciiTheme="minorHAnsi" w:eastAsiaTheme="minorEastAsia" w:hAnsiTheme="minorHAnsi" w:cstheme="minorBidi"/>
          <w:sz w:val="22"/>
        </w:rPr>
      </w:pPr>
      <w:hyperlink w:anchor="_Toc68786661" w:history="1">
        <w:r w:rsidR="009A7930" w:rsidRPr="004B203D">
          <w:rPr>
            <w:rStyle w:val="Hyperlink"/>
          </w:rPr>
          <w:t>Figure 5.5.2</w:t>
        </w:r>
        <w:r w:rsidR="009A7930">
          <w:rPr>
            <w:rFonts w:asciiTheme="minorHAnsi" w:eastAsiaTheme="minorEastAsia" w:hAnsiTheme="minorHAnsi" w:cstheme="minorBidi"/>
            <w:sz w:val="22"/>
          </w:rPr>
          <w:tab/>
        </w:r>
        <w:r w:rsidR="009A7930" w:rsidRPr="004B203D">
          <w:rPr>
            <w:rStyle w:val="Hyperlink"/>
          </w:rPr>
          <w:t>Synthetic nitrogen fertiliser use in New Zealand from 1990 to 2019</w:t>
        </w:r>
        <w:r w:rsidR="009A7930">
          <w:rPr>
            <w:webHidden/>
          </w:rPr>
          <w:tab/>
        </w:r>
        <w:r w:rsidR="009A7930">
          <w:rPr>
            <w:webHidden/>
          </w:rPr>
          <w:fldChar w:fldCharType="begin"/>
        </w:r>
        <w:r w:rsidR="009A7930">
          <w:rPr>
            <w:webHidden/>
          </w:rPr>
          <w:instrText xml:space="preserve"> PAGEREF _Toc68786661 \h </w:instrText>
        </w:r>
        <w:r w:rsidR="009A7930">
          <w:rPr>
            <w:webHidden/>
          </w:rPr>
        </w:r>
        <w:r w:rsidR="009A7930">
          <w:rPr>
            <w:webHidden/>
          </w:rPr>
          <w:fldChar w:fldCharType="separate"/>
        </w:r>
        <w:r w:rsidR="00B94D2F">
          <w:rPr>
            <w:webHidden/>
          </w:rPr>
          <w:t>217</w:t>
        </w:r>
        <w:r w:rsidR="009A7930">
          <w:rPr>
            <w:webHidden/>
          </w:rPr>
          <w:fldChar w:fldCharType="end"/>
        </w:r>
      </w:hyperlink>
    </w:p>
    <w:p w14:paraId="2422642B" w14:textId="357D156C" w:rsidR="009A7930" w:rsidRDefault="00087879">
      <w:pPr>
        <w:pStyle w:val="TableofFigures"/>
        <w:rPr>
          <w:rFonts w:asciiTheme="minorHAnsi" w:eastAsiaTheme="minorEastAsia" w:hAnsiTheme="minorHAnsi" w:cstheme="minorBidi"/>
          <w:sz w:val="22"/>
        </w:rPr>
      </w:pPr>
      <w:hyperlink w:anchor="_Toc68786662" w:history="1">
        <w:r w:rsidR="009A7930" w:rsidRPr="004B203D">
          <w:rPr>
            <w:rStyle w:val="Hyperlink"/>
          </w:rPr>
          <w:t>Figure 5.5.3</w:t>
        </w:r>
        <w:r w:rsidR="009A7930">
          <w:rPr>
            <w:rFonts w:asciiTheme="minorHAnsi" w:eastAsiaTheme="minorEastAsia" w:hAnsiTheme="minorHAnsi" w:cstheme="minorBidi"/>
            <w:sz w:val="22"/>
          </w:rPr>
          <w:tab/>
        </w:r>
        <w:r w:rsidR="009A7930" w:rsidRPr="004B203D">
          <w:rPr>
            <w:rStyle w:val="Hyperlink"/>
          </w:rPr>
          <w:t>Percentage of synthetic nitrogen fertiliser derived from urea from 1990 to 2019</w:t>
        </w:r>
        <w:r w:rsidR="009A7930">
          <w:rPr>
            <w:webHidden/>
          </w:rPr>
          <w:tab/>
        </w:r>
        <w:r w:rsidR="009A7930">
          <w:rPr>
            <w:webHidden/>
          </w:rPr>
          <w:fldChar w:fldCharType="begin"/>
        </w:r>
        <w:r w:rsidR="009A7930">
          <w:rPr>
            <w:webHidden/>
          </w:rPr>
          <w:instrText xml:space="preserve"> PAGEREF _Toc68786662 \h </w:instrText>
        </w:r>
        <w:r w:rsidR="009A7930">
          <w:rPr>
            <w:webHidden/>
          </w:rPr>
        </w:r>
        <w:r w:rsidR="009A7930">
          <w:rPr>
            <w:webHidden/>
          </w:rPr>
          <w:fldChar w:fldCharType="separate"/>
        </w:r>
        <w:r w:rsidR="00B94D2F">
          <w:rPr>
            <w:webHidden/>
          </w:rPr>
          <w:t>217</w:t>
        </w:r>
        <w:r w:rsidR="009A7930">
          <w:rPr>
            <w:webHidden/>
          </w:rPr>
          <w:fldChar w:fldCharType="end"/>
        </w:r>
      </w:hyperlink>
    </w:p>
    <w:p w14:paraId="5669975E" w14:textId="44B722F3" w:rsidR="009A7930" w:rsidRDefault="00087879">
      <w:pPr>
        <w:pStyle w:val="TableofFigures"/>
        <w:rPr>
          <w:rFonts w:asciiTheme="minorHAnsi" w:eastAsiaTheme="minorEastAsia" w:hAnsiTheme="minorHAnsi" w:cstheme="minorBidi"/>
          <w:sz w:val="22"/>
        </w:rPr>
      </w:pPr>
      <w:hyperlink w:anchor="_Toc68786663" w:history="1">
        <w:r w:rsidR="009A7930" w:rsidRPr="004B203D">
          <w:rPr>
            <w:rStyle w:val="Hyperlink"/>
          </w:rPr>
          <w:t>Figure 5.8.1</w:t>
        </w:r>
        <w:r w:rsidR="009A7930">
          <w:rPr>
            <w:rFonts w:asciiTheme="minorHAnsi" w:eastAsiaTheme="minorEastAsia" w:hAnsiTheme="minorHAnsi" w:cstheme="minorBidi"/>
            <w:sz w:val="22"/>
          </w:rPr>
          <w:tab/>
        </w:r>
        <w:r w:rsidR="009A7930" w:rsidRPr="004B203D">
          <w:rPr>
            <w:rStyle w:val="Hyperlink"/>
          </w:rPr>
          <w:t>Limestone usage on agricultural land in New Zealand from 1990 to 2019</w:t>
        </w:r>
        <w:r w:rsidR="009A7930">
          <w:rPr>
            <w:webHidden/>
          </w:rPr>
          <w:tab/>
        </w:r>
        <w:r w:rsidR="009A7930">
          <w:rPr>
            <w:webHidden/>
          </w:rPr>
          <w:fldChar w:fldCharType="begin"/>
        </w:r>
        <w:r w:rsidR="009A7930">
          <w:rPr>
            <w:webHidden/>
          </w:rPr>
          <w:instrText xml:space="preserve"> PAGEREF _Toc68786663 \h </w:instrText>
        </w:r>
        <w:r w:rsidR="009A7930">
          <w:rPr>
            <w:webHidden/>
          </w:rPr>
        </w:r>
        <w:r w:rsidR="009A7930">
          <w:rPr>
            <w:webHidden/>
          </w:rPr>
          <w:fldChar w:fldCharType="separate"/>
        </w:r>
        <w:r w:rsidR="00B94D2F">
          <w:rPr>
            <w:webHidden/>
          </w:rPr>
          <w:t>243</w:t>
        </w:r>
        <w:r w:rsidR="009A7930">
          <w:rPr>
            <w:webHidden/>
          </w:rPr>
          <w:fldChar w:fldCharType="end"/>
        </w:r>
      </w:hyperlink>
    </w:p>
    <w:p w14:paraId="2BE0D182" w14:textId="4F7D32E4" w:rsidR="009A7930" w:rsidRDefault="00087879">
      <w:pPr>
        <w:pStyle w:val="TableofFigures"/>
        <w:rPr>
          <w:rFonts w:asciiTheme="minorHAnsi" w:eastAsiaTheme="minorEastAsia" w:hAnsiTheme="minorHAnsi" w:cstheme="minorBidi"/>
          <w:sz w:val="22"/>
        </w:rPr>
      </w:pPr>
      <w:hyperlink w:anchor="_Toc68786664" w:history="1">
        <w:r w:rsidR="009A7930" w:rsidRPr="004B203D">
          <w:rPr>
            <w:rStyle w:val="Hyperlink"/>
          </w:rPr>
          <w:t>Figure 5.8.2</w:t>
        </w:r>
        <w:r w:rsidR="009A7930">
          <w:rPr>
            <w:rFonts w:asciiTheme="minorHAnsi" w:eastAsiaTheme="minorEastAsia" w:hAnsiTheme="minorHAnsi" w:cstheme="minorBidi"/>
            <w:sz w:val="22"/>
          </w:rPr>
          <w:tab/>
        </w:r>
        <w:r w:rsidR="009A7930" w:rsidRPr="004B203D">
          <w:rPr>
            <w:rStyle w:val="Hyperlink"/>
          </w:rPr>
          <w:t>Dolomite usage on agricultural land in New Zealand from 1990 to 2019</w:t>
        </w:r>
        <w:r w:rsidR="009A7930">
          <w:rPr>
            <w:webHidden/>
          </w:rPr>
          <w:tab/>
        </w:r>
        <w:r w:rsidR="009A7930">
          <w:rPr>
            <w:webHidden/>
          </w:rPr>
          <w:fldChar w:fldCharType="begin"/>
        </w:r>
        <w:r w:rsidR="009A7930">
          <w:rPr>
            <w:webHidden/>
          </w:rPr>
          <w:instrText xml:space="preserve"> PAGEREF _Toc68786664 \h </w:instrText>
        </w:r>
        <w:r w:rsidR="009A7930">
          <w:rPr>
            <w:webHidden/>
          </w:rPr>
        </w:r>
        <w:r w:rsidR="009A7930">
          <w:rPr>
            <w:webHidden/>
          </w:rPr>
          <w:fldChar w:fldCharType="separate"/>
        </w:r>
        <w:r w:rsidR="00B94D2F">
          <w:rPr>
            <w:webHidden/>
          </w:rPr>
          <w:t>243</w:t>
        </w:r>
        <w:r w:rsidR="009A7930">
          <w:rPr>
            <w:webHidden/>
          </w:rPr>
          <w:fldChar w:fldCharType="end"/>
        </w:r>
      </w:hyperlink>
    </w:p>
    <w:p w14:paraId="6AD23254" w14:textId="1DFD25C8" w:rsidR="009A7930" w:rsidRDefault="00087879">
      <w:pPr>
        <w:pStyle w:val="TableofFigures"/>
        <w:rPr>
          <w:rFonts w:asciiTheme="minorHAnsi" w:eastAsiaTheme="minorEastAsia" w:hAnsiTheme="minorHAnsi" w:cstheme="minorBidi"/>
          <w:sz w:val="22"/>
        </w:rPr>
      </w:pPr>
      <w:hyperlink w:anchor="_Toc68786665" w:history="1">
        <w:r w:rsidR="009A7930" w:rsidRPr="004B203D">
          <w:rPr>
            <w:rStyle w:val="Hyperlink"/>
          </w:rPr>
          <w:t>Figure 6.1.1</w:t>
        </w:r>
        <w:r w:rsidR="009A7930">
          <w:rPr>
            <w:rFonts w:asciiTheme="minorHAnsi" w:eastAsiaTheme="minorEastAsia" w:hAnsiTheme="minorHAnsi" w:cstheme="minorBidi"/>
            <w:sz w:val="22"/>
          </w:rPr>
          <w:tab/>
        </w:r>
        <w:r w:rsidR="009A7930" w:rsidRPr="004B203D">
          <w:rPr>
            <w:rStyle w:val="Hyperlink"/>
          </w:rPr>
          <w:t>New Zealand’s annual emissions from the LULUCF sector from 1990 to 2019</w:t>
        </w:r>
        <w:r w:rsidR="009A7930">
          <w:rPr>
            <w:webHidden/>
          </w:rPr>
          <w:tab/>
        </w:r>
        <w:r w:rsidR="009A7930">
          <w:rPr>
            <w:webHidden/>
          </w:rPr>
          <w:fldChar w:fldCharType="begin"/>
        </w:r>
        <w:r w:rsidR="009A7930">
          <w:rPr>
            <w:webHidden/>
          </w:rPr>
          <w:instrText xml:space="preserve"> PAGEREF _Toc68786665 \h </w:instrText>
        </w:r>
        <w:r w:rsidR="009A7930">
          <w:rPr>
            <w:webHidden/>
          </w:rPr>
        </w:r>
        <w:r w:rsidR="009A7930">
          <w:rPr>
            <w:webHidden/>
          </w:rPr>
          <w:fldChar w:fldCharType="separate"/>
        </w:r>
        <w:r w:rsidR="00B94D2F">
          <w:rPr>
            <w:webHidden/>
          </w:rPr>
          <w:t>254</w:t>
        </w:r>
        <w:r w:rsidR="009A7930">
          <w:rPr>
            <w:webHidden/>
          </w:rPr>
          <w:fldChar w:fldCharType="end"/>
        </w:r>
      </w:hyperlink>
    </w:p>
    <w:p w14:paraId="1CE1B302" w14:textId="5E692244" w:rsidR="009A7930" w:rsidRDefault="00087879">
      <w:pPr>
        <w:pStyle w:val="TableofFigures"/>
        <w:rPr>
          <w:rFonts w:asciiTheme="minorHAnsi" w:eastAsiaTheme="minorEastAsia" w:hAnsiTheme="minorHAnsi" w:cstheme="minorBidi"/>
          <w:sz w:val="22"/>
        </w:rPr>
      </w:pPr>
      <w:hyperlink w:anchor="_Toc68786666" w:history="1">
        <w:r w:rsidR="009A7930" w:rsidRPr="004B203D">
          <w:rPr>
            <w:rStyle w:val="Hyperlink"/>
          </w:rPr>
          <w:t>Figure 6.1.2</w:t>
        </w:r>
        <w:r w:rsidR="009A7930">
          <w:rPr>
            <w:rFonts w:asciiTheme="minorHAnsi" w:eastAsiaTheme="minorEastAsia" w:hAnsiTheme="minorHAnsi" w:cstheme="minorBidi"/>
            <w:sz w:val="22"/>
          </w:rPr>
          <w:tab/>
        </w:r>
        <w:r w:rsidR="009A7930" w:rsidRPr="004B203D">
          <w:rPr>
            <w:rStyle w:val="Hyperlink"/>
          </w:rPr>
          <w:t>Change in New Zealand’s emissions from the LULUCF sector from 1990 to 2019</w:t>
        </w:r>
        <w:r w:rsidR="009A7930">
          <w:rPr>
            <w:webHidden/>
          </w:rPr>
          <w:tab/>
        </w:r>
        <w:r w:rsidR="009A7930">
          <w:rPr>
            <w:webHidden/>
          </w:rPr>
          <w:fldChar w:fldCharType="begin"/>
        </w:r>
        <w:r w:rsidR="009A7930">
          <w:rPr>
            <w:webHidden/>
          </w:rPr>
          <w:instrText xml:space="preserve"> PAGEREF _Toc68786666 \h </w:instrText>
        </w:r>
        <w:r w:rsidR="009A7930">
          <w:rPr>
            <w:webHidden/>
          </w:rPr>
        </w:r>
        <w:r w:rsidR="009A7930">
          <w:rPr>
            <w:webHidden/>
          </w:rPr>
          <w:fldChar w:fldCharType="separate"/>
        </w:r>
        <w:r w:rsidR="00B94D2F">
          <w:rPr>
            <w:webHidden/>
          </w:rPr>
          <w:t>255</w:t>
        </w:r>
        <w:r w:rsidR="009A7930">
          <w:rPr>
            <w:webHidden/>
          </w:rPr>
          <w:fldChar w:fldCharType="end"/>
        </w:r>
      </w:hyperlink>
    </w:p>
    <w:p w14:paraId="199D1C2F" w14:textId="7D7379B4" w:rsidR="009A7930" w:rsidRDefault="00087879">
      <w:pPr>
        <w:pStyle w:val="TableofFigures"/>
        <w:rPr>
          <w:rFonts w:asciiTheme="minorHAnsi" w:eastAsiaTheme="minorEastAsia" w:hAnsiTheme="minorHAnsi" w:cstheme="minorBidi"/>
          <w:sz w:val="22"/>
        </w:rPr>
      </w:pPr>
      <w:hyperlink w:anchor="_Toc68786667" w:history="1">
        <w:r w:rsidR="009A7930" w:rsidRPr="004B203D">
          <w:rPr>
            <w:rStyle w:val="Hyperlink"/>
          </w:rPr>
          <w:t>Figure 6.2.1</w:t>
        </w:r>
        <w:r w:rsidR="009A7930">
          <w:rPr>
            <w:rFonts w:asciiTheme="minorHAnsi" w:eastAsiaTheme="minorEastAsia" w:hAnsiTheme="minorHAnsi" w:cstheme="minorBidi"/>
            <w:sz w:val="22"/>
          </w:rPr>
          <w:tab/>
        </w:r>
        <w:r w:rsidR="009A7930" w:rsidRPr="004B203D">
          <w:rPr>
            <w:rStyle w:val="Hyperlink"/>
          </w:rPr>
          <w:t>New Zealand’s land use mapping process for 1990 and 2008 land use maps</w:t>
        </w:r>
        <w:r w:rsidR="009A7930">
          <w:rPr>
            <w:webHidden/>
          </w:rPr>
          <w:tab/>
        </w:r>
        <w:r w:rsidR="009A7930">
          <w:rPr>
            <w:webHidden/>
          </w:rPr>
          <w:fldChar w:fldCharType="begin"/>
        </w:r>
        <w:r w:rsidR="009A7930">
          <w:rPr>
            <w:webHidden/>
          </w:rPr>
          <w:instrText xml:space="preserve"> PAGEREF _Toc68786667 \h </w:instrText>
        </w:r>
        <w:r w:rsidR="009A7930">
          <w:rPr>
            <w:webHidden/>
          </w:rPr>
        </w:r>
        <w:r w:rsidR="009A7930">
          <w:rPr>
            <w:webHidden/>
          </w:rPr>
          <w:fldChar w:fldCharType="separate"/>
        </w:r>
        <w:r w:rsidR="00B94D2F">
          <w:rPr>
            <w:webHidden/>
          </w:rPr>
          <w:t>270</w:t>
        </w:r>
        <w:r w:rsidR="009A7930">
          <w:rPr>
            <w:webHidden/>
          </w:rPr>
          <w:fldChar w:fldCharType="end"/>
        </w:r>
      </w:hyperlink>
    </w:p>
    <w:p w14:paraId="3B4F035A" w14:textId="6EC38449" w:rsidR="009A7930" w:rsidRDefault="00087879">
      <w:pPr>
        <w:pStyle w:val="TableofFigures"/>
        <w:rPr>
          <w:rFonts w:asciiTheme="minorHAnsi" w:eastAsiaTheme="minorEastAsia" w:hAnsiTheme="minorHAnsi" w:cstheme="minorBidi"/>
          <w:sz w:val="22"/>
        </w:rPr>
      </w:pPr>
      <w:hyperlink w:anchor="_Toc68786668" w:history="1">
        <w:r w:rsidR="009A7930" w:rsidRPr="004B203D">
          <w:rPr>
            <w:rStyle w:val="Hyperlink"/>
          </w:rPr>
          <w:t>Figure 6.2.2</w:t>
        </w:r>
        <w:r w:rsidR="009A7930">
          <w:rPr>
            <w:rFonts w:asciiTheme="minorHAnsi" w:eastAsiaTheme="minorEastAsia" w:hAnsiTheme="minorHAnsi" w:cstheme="minorBidi"/>
            <w:sz w:val="22"/>
          </w:rPr>
          <w:tab/>
        </w:r>
        <w:r w:rsidR="009A7930" w:rsidRPr="004B203D">
          <w:rPr>
            <w:rStyle w:val="Hyperlink"/>
          </w:rPr>
          <w:t>Land use map of New Zealand as at 1 January 1990</w:t>
        </w:r>
        <w:r w:rsidR="009A7930">
          <w:rPr>
            <w:webHidden/>
          </w:rPr>
          <w:tab/>
        </w:r>
        <w:r w:rsidR="009A7930">
          <w:rPr>
            <w:webHidden/>
          </w:rPr>
          <w:fldChar w:fldCharType="begin"/>
        </w:r>
        <w:r w:rsidR="009A7930">
          <w:rPr>
            <w:webHidden/>
          </w:rPr>
          <w:instrText xml:space="preserve"> PAGEREF _Toc68786668 \h </w:instrText>
        </w:r>
        <w:r w:rsidR="009A7930">
          <w:rPr>
            <w:webHidden/>
          </w:rPr>
        </w:r>
        <w:r w:rsidR="009A7930">
          <w:rPr>
            <w:webHidden/>
          </w:rPr>
          <w:fldChar w:fldCharType="separate"/>
        </w:r>
        <w:r w:rsidR="00B94D2F">
          <w:rPr>
            <w:webHidden/>
          </w:rPr>
          <w:t>271</w:t>
        </w:r>
        <w:r w:rsidR="009A7930">
          <w:rPr>
            <w:webHidden/>
          </w:rPr>
          <w:fldChar w:fldCharType="end"/>
        </w:r>
      </w:hyperlink>
    </w:p>
    <w:p w14:paraId="61406A16" w14:textId="49C81DAE" w:rsidR="009A7930" w:rsidRDefault="00087879">
      <w:pPr>
        <w:pStyle w:val="TableofFigures"/>
        <w:rPr>
          <w:rFonts w:asciiTheme="minorHAnsi" w:eastAsiaTheme="minorEastAsia" w:hAnsiTheme="minorHAnsi" w:cstheme="minorBidi"/>
          <w:sz w:val="22"/>
        </w:rPr>
      </w:pPr>
      <w:hyperlink w:anchor="_Toc68786669" w:history="1">
        <w:r w:rsidR="009A7930" w:rsidRPr="004B203D">
          <w:rPr>
            <w:rStyle w:val="Hyperlink"/>
          </w:rPr>
          <w:t>Figure 6.2.3</w:t>
        </w:r>
        <w:r w:rsidR="009A7930">
          <w:rPr>
            <w:rFonts w:asciiTheme="minorHAnsi" w:eastAsiaTheme="minorEastAsia" w:hAnsiTheme="minorHAnsi" w:cstheme="minorBidi"/>
            <w:sz w:val="22"/>
          </w:rPr>
          <w:tab/>
        </w:r>
        <w:r w:rsidR="009A7930" w:rsidRPr="004B203D">
          <w:rPr>
            <w:rStyle w:val="Hyperlink"/>
          </w:rPr>
          <w:t>Land use map of New Zealand as at 1 January 2008</w:t>
        </w:r>
        <w:r w:rsidR="009A7930">
          <w:rPr>
            <w:webHidden/>
          </w:rPr>
          <w:tab/>
        </w:r>
        <w:r w:rsidR="009A7930">
          <w:rPr>
            <w:webHidden/>
          </w:rPr>
          <w:fldChar w:fldCharType="begin"/>
        </w:r>
        <w:r w:rsidR="009A7930">
          <w:rPr>
            <w:webHidden/>
          </w:rPr>
          <w:instrText xml:space="preserve"> PAGEREF _Toc68786669 \h </w:instrText>
        </w:r>
        <w:r w:rsidR="009A7930">
          <w:rPr>
            <w:webHidden/>
          </w:rPr>
        </w:r>
        <w:r w:rsidR="009A7930">
          <w:rPr>
            <w:webHidden/>
          </w:rPr>
          <w:fldChar w:fldCharType="separate"/>
        </w:r>
        <w:r w:rsidR="00B94D2F">
          <w:rPr>
            <w:webHidden/>
          </w:rPr>
          <w:t>272</w:t>
        </w:r>
        <w:r w:rsidR="009A7930">
          <w:rPr>
            <w:webHidden/>
          </w:rPr>
          <w:fldChar w:fldCharType="end"/>
        </w:r>
      </w:hyperlink>
    </w:p>
    <w:p w14:paraId="7F32B863" w14:textId="0CD1CEF1" w:rsidR="009A7930" w:rsidRDefault="00087879">
      <w:pPr>
        <w:pStyle w:val="TableofFigures"/>
        <w:rPr>
          <w:rFonts w:asciiTheme="minorHAnsi" w:eastAsiaTheme="minorEastAsia" w:hAnsiTheme="minorHAnsi" w:cstheme="minorBidi"/>
          <w:sz w:val="22"/>
        </w:rPr>
      </w:pPr>
      <w:hyperlink w:anchor="_Toc68786670" w:history="1">
        <w:r w:rsidR="009A7930" w:rsidRPr="004B203D">
          <w:rPr>
            <w:rStyle w:val="Hyperlink"/>
          </w:rPr>
          <w:t>Figure 6.2.4</w:t>
        </w:r>
        <w:r w:rsidR="009A7930">
          <w:rPr>
            <w:rFonts w:asciiTheme="minorHAnsi" w:eastAsiaTheme="minorEastAsia" w:hAnsiTheme="minorHAnsi" w:cstheme="minorBidi"/>
            <w:sz w:val="22"/>
          </w:rPr>
          <w:tab/>
        </w:r>
        <w:r w:rsidR="009A7930" w:rsidRPr="004B203D">
          <w:rPr>
            <w:rStyle w:val="Hyperlink"/>
          </w:rPr>
          <w:t>Identification of post-1989 forest in New Zealand</w:t>
        </w:r>
        <w:r w:rsidR="009A7930">
          <w:rPr>
            <w:webHidden/>
          </w:rPr>
          <w:tab/>
        </w:r>
        <w:r w:rsidR="009A7930">
          <w:rPr>
            <w:webHidden/>
          </w:rPr>
          <w:fldChar w:fldCharType="begin"/>
        </w:r>
        <w:r w:rsidR="009A7930">
          <w:rPr>
            <w:webHidden/>
          </w:rPr>
          <w:instrText xml:space="preserve"> PAGEREF _Toc68786670 \h </w:instrText>
        </w:r>
        <w:r w:rsidR="009A7930">
          <w:rPr>
            <w:webHidden/>
          </w:rPr>
        </w:r>
        <w:r w:rsidR="009A7930">
          <w:rPr>
            <w:webHidden/>
          </w:rPr>
          <w:fldChar w:fldCharType="separate"/>
        </w:r>
        <w:r w:rsidR="00B94D2F">
          <w:rPr>
            <w:webHidden/>
          </w:rPr>
          <w:t>274</w:t>
        </w:r>
        <w:r w:rsidR="009A7930">
          <w:rPr>
            <w:webHidden/>
          </w:rPr>
          <w:fldChar w:fldCharType="end"/>
        </w:r>
      </w:hyperlink>
    </w:p>
    <w:p w14:paraId="57D8AB78" w14:textId="64F94E2F" w:rsidR="009A7930" w:rsidRDefault="00087879">
      <w:pPr>
        <w:pStyle w:val="TableofFigures"/>
        <w:rPr>
          <w:rFonts w:asciiTheme="minorHAnsi" w:eastAsiaTheme="minorEastAsia" w:hAnsiTheme="minorHAnsi" w:cstheme="minorBidi"/>
          <w:sz w:val="22"/>
        </w:rPr>
      </w:pPr>
      <w:hyperlink w:anchor="_Toc68786671" w:history="1">
        <w:r w:rsidR="009A7930" w:rsidRPr="004B203D">
          <w:rPr>
            <w:rStyle w:val="Hyperlink"/>
          </w:rPr>
          <w:t>Figure 6.2.5</w:t>
        </w:r>
        <w:r w:rsidR="009A7930">
          <w:rPr>
            <w:rFonts w:asciiTheme="minorHAnsi" w:eastAsiaTheme="minorEastAsia" w:hAnsiTheme="minorHAnsi" w:cstheme="minorBidi"/>
            <w:sz w:val="22"/>
          </w:rPr>
          <w:tab/>
        </w:r>
        <w:r w:rsidR="009A7930" w:rsidRPr="004B203D">
          <w:rPr>
            <w:rStyle w:val="Hyperlink"/>
          </w:rPr>
          <w:t>New Zealand’s land use mapping process for 2012 and 2016 land use maps</w:t>
        </w:r>
        <w:r w:rsidR="009A7930">
          <w:rPr>
            <w:webHidden/>
          </w:rPr>
          <w:tab/>
        </w:r>
        <w:r w:rsidR="009A7930">
          <w:rPr>
            <w:webHidden/>
          </w:rPr>
          <w:fldChar w:fldCharType="begin"/>
        </w:r>
        <w:r w:rsidR="009A7930">
          <w:rPr>
            <w:webHidden/>
          </w:rPr>
          <w:instrText xml:space="preserve"> PAGEREF _Toc68786671 \h </w:instrText>
        </w:r>
        <w:r w:rsidR="009A7930">
          <w:rPr>
            <w:webHidden/>
          </w:rPr>
        </w:r>
        <w:r w:rsidR="009A7930">
          <w:rPr>
            <w:webHidden/>
          </w:rPr>
          <w:fldChar w:fldCharType="separate"/>
        </w:r>
        <w:r w:rsidR="00B94D2F">
          <w:rPr>
            <w:webHidden/>
          </w:rPr>
          <w:t>275</w:t>
        </w:r>
        <w:r w:rsidR="009A7930">
          <w:rPr>
            <w:webHidden/>
          </w:rPr>
          <w:fldChar w:fldCharType="end"/>
        </w:r>
      </w:hyperlink>
    </w:p>
    <w:p w14:paraId="2E36FE06" w14:textId="70AC711D" w:rsidR="009A7930" w:rsidRDefault="00087879">
      <w:pPr>
        <w:pStyle w:val="TableofFigures"/>
        <w:rPr>
          <w:rFonts w:asciiTheme="minorHAnsi" w:eastAsiaTheme="minorEastAsia" w:hAnsiTheme="minorHAnsi" w:cstheme="minorBidi"/>
          <w:sz w:val="22"/>
        </w:rPr>
      </w:pPr>
      <w:hyperlink w:anchor="_Toc68786672" w:history="1">
        <w:r w:rsidR="009A7930" w:rsidRPr="004B203D">
          <w:rPr>
            <w:rStyle w:val="Hyperlink"/>
          </w:rPr>
          <w:t>Figure 6.2.6</w:t>
        </w:r>
        <w:r w:rsidR="009A7930">
          <w:rPr>
            <w:rFonts w:asciiTheme="minorHAnsi" w:eastAsiaTheme="minorEastAsia" w:hAnsiTheme="minorHAnsi" w:cstheme="minorBidi"/>
            <w:sz w:val="22"/>
          </w:rPr>
          <w:tab/>
        </w:r>
        <w:r w:rsidR="009A7930" w:rsidRPr="004B203D">
          <w:rPr>
            <w:rStyle w:val="Hyperlink"/>
          </w:rPr>
          <w:t>New Zealand’s identification of deforestation</w:t>
        </w:r>
        <w:r w:rsidR="009A7930">
          <w:rPr>
            <w:webHidden/>
          </w:rPr>
          <w:tab/>
        </w:r>
        <w:r w:rsidR="009A7930">
          <w:rPr>
            <w:webHidden/>
          </w:rPr>
          <w:fldChar w:fldCharType="begin"/>
        </w:r>
        <w:r w:rsidR="009A7930">
          <w:rPr>
            <w:webHidden/>
          </w:rPr>
          <w:instrText xml:space="preserve"> PAGEREF _Toc68786672 \h </w:instrText>
        </w:r>
        <w:r w:rsidR="009A7930">
          <w:rPr>
            <w:webHidden/>
          </w:rPr>
        </w:r>
        <w:r w:rsidR="009A7930">
          <w:rPr>
            <w:webHidden/>
          </w:rPr>
          <w:fldChar w:fldCharType="separate"/>
        </w:r>
        <w:r w:rsidR="00B94D2F">
          <w:rPr>
            <w:webHidden/>
          </w:rPr>
          <w:t>278</w:t>
        </w:r>
        <w:r w:rsidR="009A7930">
          <w:rPr>
            <w:webHidden/>
          </w:rPr>
          <w:fldChar w:fldCharType="end"/>
        </w:r>
      </w:hyperlink>
    </w:p>
    <w:p w14:paraId="0EBC0772" w14:textId="162A59EF" w:rsidR="009A7930" w:rsidRDefault="00087879">
      <w:pPr>
        <w:pStyle w:val="TableofFigures"/>
        <w:rPr>
          <w:rFonts w:asciiTheme="minorHAnsi" w:eastAsiaTheme="minorEastAsia" w:hAnsiTheme="minorHAnsi" w:cstheme="minorBidi"/>
          <w:sz w:val="22"/>
        </w:rPr>
      </w:pPr>
      <w:hyperlink w:anchor="_Toc68786673" w:history="1">
        <w:r w:rsidR="009A7930" w:rsidRPr="004B203D">
          <w:rPr>
            <w:rStyle w:val="Hyperlink"/>
          </w:rPr>
          <w:t>Figure 6.2.7</w:t>
        </w:r>
        <w:r w:rsidR="009A7930">
          <w:rPr>
            <w:rFonts w:asciiTheme="minorHAnsi" w:eastAsiaTheme="minorEastAsia" w:hAnsiTheme="minorHAnsi" w:cstheme="minorBidi"/>
            <w:sz w:val="22"/>
          </w:rPr>
          <w:tab/>
        </w:r>
        <w:r w:rsidR="009A7930" w:rsidRPr="004B203D">
          <w:rPr>
            <w:rStyle w:val="Hyperlink"/>
          </w:rPr>
          <w:t>Land use map of New Zealand as at 31 December 2016</w:t>
        </w:r>
        <w:r w:rsidR="009A7930">
          <w:rPr>
            <w:webHidden/>
          </w:rPr>
          <w:tab/>
        </w:r>
        <w:r w:rsidR="009A7930">
          <w:rPr>
            <w:webHidden/>
          </w:rPr>
          <w:fldChar w:fldCharType="begin"/>
        </w:r>
        <w:r w:rsidR="009A7930">
          <w:rPr>
            <w:webHidden/>
          </w:rPr>
          <w:instrText xml:space="preserve"> PAGEREF _Toc68786673 \h </w:instrText>
        </w:r>
        <w:r w:rsidR="009A7930">
          <w:rPr>
            <w:webHidden/>
          </w:rPr>
        </w:r>
        <w:r w:rsidR="009A7930">
          <w:rPr>
            <w:webHidden/>
          </w:rPr>
          <w:fldChar w:fldCharType="separate"/>
        </w:r>
        <w:r w:rsidR="00B94D2F">
          <w:rPr>
            <w:webHidden/>
          </w:rPr>
          <w:t>279</w:t>
        </w:r>
        <w:r w:rsidR="009A7930">
          <w:rPr>
            <w:webHidden/>
          </w:rPr>
          <w:fldChar w:fldCharType="end"/>
        </w:r>
      </w:hyperlink>
    </w:p>
    <w:p w14:paraId="5E765D08" w14:textId="438136E9" w:rsidR="009A7930" w:rsidRDefault="00087879">
      <w:pPr>
        <w:pStyle w:val="TableofFigures"/>
        <w:rPr>
          <w:rFonts w:asciiTheme="minorHAnsi" w:eastAsiaTheme="minorEastAsia" w:hAnsiTheme="minorHAnsi" w:cstheme="minorBidi"/>
          <w:sz w:val="22"/>
        </w:rPr>
      </w:pPr>
      <w:hyperlink w:anchor="_Toc68786674" w:history="1">
        <w:r w:rsidR="009A7930" w:rsidRPr="004B203D">
          <w:rPr>
            <w:rStyle w:val="Hyperlink"/>
          </w:rPr>
          <w:t>Figure 6.3.1</w:t>
        </w:r>
        <w:r w:rsidR="009A7930">
          <w:rPr>
            <w:rFonts w:asciiTheme="minorHAnsi" w:eastAsiaTheme="minorEastAsia" w:hAnsiTheme="minorHAnsi" w:cstheme="minorBidi"/>
            <w:sz w:val="22"/>
          </w:rPr>
          <w:tab/>
        </w:r>
        <w:r w:rsidR="009A7930" w:rsidRPr="004B203D">
          <w:rPr>
            <w:rStyle w:val="Hyperlink"/>
          </w:rPr>
          <w:t>Soil samples in the Soil CMS model calibration data set</w:t>
        </w:r>
        <w:r w:rsidR="009A7930">
          <w:rPr>
            <w:webHidden/>
          </w:rPr>
          <w:tab/>
        </w:r>
        <w:r w:rsidR="009A7930">
          <w:rPr>
            <w:webHidden/>
          </w:rPr>
          <w:fldChar w:fldCharType="begin"/>
        </w:r>
        <w:r w:rsidR="009A7930">
          <w:rPr>
            <w:webHidden/>
          </w:rPr>
          <w:instrText xml:space="preserve"> PAGEREF _Toc68786674 \h </w:instrText>
        </w:r>
        <w:r w:rsidR="009A7930">
          <w:rPr>
            <w:webHidden/>
          </w:rPr>
        </w:r>
        <w:r w:rsidR="009A7930">
          <w:rPr>
            <w:webHidden/>
          </w:rPr>
          <w:fldChar w:fldCharType="separate"/>
        </w:r>
        <w:r w:rsidR="00B94D2F">
          <w:rPr>
            <w:webHidden/>
          </w:rPr>
          <w:t>287</w:t>
        </w:r>
        <w:r w:rsidR="009A7930">
          <w:rPr>
            <w:webHidden/>
          </w:rPr>
          <w:fldChar w:fldCharType="end"/>
        </w:r>
      </w:hyperlink>
    </w:p>
    <w:p w14:paraId="7DDBD3B8" w14:textId="3FA9DA53" w:rsidR="009A7930" w:rsidRDefault="00087879">
      <w:pPr>
        <w:pStyle w:val="TableofFigures"/>
        <w:rPr>
          <w:rFonts w:asciiTheme="minorHAnsi" w:eastAsiaTheme="minorEastAsia" w:hAnsiTheme="minorHAnsi" w:cstheme="minorBidi"/>
          <w:sz w:val="22"/>
        </w:rPr>
      </w:pPr>
      <w:hyperlink w:anchor="_Toc68786675" w:history="1">
        <w:r w:rsidR="009A7930" w:rsidRPr="004B203D">
          <w:rPr>
            <w:rStyle w:val="Hyperlink"/>
          </w:rPr>
          <w:t>Figure 6.3.2</w:t>
        </w:r>
        <w:r w:rsidR="009A7930">
          <w:rPr>
            <w:rFonts w:asciiTheme="minorHAnsi" w:eastAsiaTheme="minorEastAsia" w:hAnsiTheme="minorHAnsi" w:cstheme="minorBidi"/>
            <w:sz w:val="22"/>
          </w:rPr>
          <w:tab/>
        </w:r>
        <w:r w:rsidR="009A7930" w:rsidRPr="004B203D">
          <w:rPr>
            <w:rStyle w:val="Hyperlink"/>
          </w:rPr>
          <w:t>Result of applying the Marcus multi-comparison test to the adopted model</w:t>
        </w:r>
        <w:r w:rsidR="009A7930">
          <w:rPr>
            <w:webHidden/>
          </w:rPr>
          <w:tab/>
        </w:r>
        <w:r w:rsidR="009A7930">
          <w:rPr>
            <w:webHidden/>
          </w:rPr>
          <w:fldChar w:fldCharType="begin"/>
        </w:r>
        <w:r w:rsidR="009A7930">
          <w:rPr>
            <w:webHidden/>
          </w:rPr>
          <w:instrText xml:space="preserve"> PAGEREF _Toc68786675 \h </w:instrText>
        </w:r>
        <w:r w:rsidR="009A7930">
          <w:rPr>
            <w:webHidden/>
          </w:rPr>
        </w:r>
        <w:r w:rsidR="009A7930">
          <w:rPr>
            <w:webHidden/>
          </w:rPr>
          <w:fldChar w:fldCharType="separate"/>
        </w:r>
        <w:r w:rsidR="00B94D2F">
          <w:rPr>
            <w:webHidden/>
          </w:rPr>
          <w:t>290</w:t>
        </w:r>
        <w:r w:rsidR="009A7930">
          <w:rPr>
            <w:webHidden/>
          </w:rPr>
          <w:fldChar w:fldCharType="end"/>
        </w:r>
      </w:hyperlink>
    </w:p>
    <w:p w14:paraId="7556358C" w14:textId="3E01FFE0" w:rsidR="009A7930" w:rsidRDefault="00087879">
      <w:pPr>
        <w:pStyle w:val="TableofFigures"/>
        <w:rPr>
          <w:rFonts w:asciiTheme="minorHAnsi" w:eastAsiaTheme="minorEastAsia" w:hAnsiTheme="minorHAnsi" w:cstheme="minorBidi"/>
          <w:sz w:val="22"/>
        </w:rPr>
      </w:pPr>
      <w:hyperlink w:anchor="_Toc68786676" w:history="1">
        <w:r w:rsidR="009A7930" w:rsidRPr="004B203D">
          <w:rPr>
            <w:rStyle w:val="Hyperlink"/>
          </w:rPr>
          <w:t>Figure 6.4.1</w:t>
        </w:r>
        <w:r w:rsidR="009A7930">
          <w:rPr>
            <w:rFonts w:asciiTheme="minorHAnsi" w:eastAsiaTheme="minorEastAsia" w:hAnsiTheme="minorHAnsi" w:cstheme="minorBidi"/>
            <w:sz w:val="22"/>
          </w:rPr>
          <w:tab/>
        </w:r>
        <w:r w:rsidR="009A7930" w:rsidRPr="004B203D">
          <w:rPr>
            <w:rStyle w:val="Hyperlink"/>
          </w:rPr>
          <w:t>Annual areas of afforestation/reforestation in New Zealand from 1990 to 2019</w:t>
        </w:r>
        <w:r w:rsidR="009A7930">
          <w:rPr>
            <w:webHidden/>
          </w:rPr>
          <w:tab/>
        </w:r>
        <w:r w:rsidR="009A7930">
          <w:rPr>
            <w:webHidden/>
          </w:rPr>
          <w:fldChar w:fldCharType="begin"/>
        </w:r>
        <w:r w:rsidR="009A7930">
          <w:rPr>
            <w:webHidden/>
          </w:rPr>
          <w:instrText xml:space="preserve"> PAGEREF _Toc68786676 \h </w:instrText>
        </w:r>
        <w:r w:rsidR="009A7930">
          <w:rPr>
            <w:webHidden/>
          </w:rPr>
        </w:r>
        <w:r w:rsidR="009A7930">
          <w:rPr>
            <w:webHidden/>
          </w:rPr>
          <w:fldChar w:fldCharType="separate"/>
        </w:r>
        <w:r w:rsidR="00B94D2F">
          <w:rPr>
            <w:webHidden/>
          </w:rPr>
          <w:t>298</w:t>
        </w:r>
        <w:r w:rsidR="009A7930">
          <w:rPr>
            <w:webHidden/>
          </w:rPr>
          <w:fldChar w:fldCharType="end"/>
        </w:r>
      </w:hyperlink>
    </w:p>
    <w:p w14:paraId="075137DF" w14:textId="47943211" w:rsidR="009A7930" w:rsidRDefault="00087879">
      <w:pPr>
        <w:pStyle w:val="TableofFigures"/>
        <w:rPr>
          <w:rFonts w:asciiTheme="minorHAnsi" w:eastAsiaTheme="minorEastAsia" w:hAnsiTheme="minorHAnsi" w:cstheme="minorBidi"/>
          <w:sz w:val="22"/>
        </w:rPr>
      </w:pPr>
      <w:hyperlink w:anchor="_Toc68786677" w:history="1">
        <w:r w:rsidR="009A7930" w:rsidRPr="004B203D">
          <w:rPr>
            <w:rStyle w:val="Hyperlink"/>
          </w:rPr>
          <w:t>Figure 6.4.2</w:t>
        </w:r>
        <w:r w:rsidR="009A7930">
          <w:rPr>
            <w:rFonts w:asciiTheme="minorHAnsi" w:eastAsiaTheme="minorEastAsia" w:hAnsiTheme="minorHAnsi" w:cstheme="minorBidi"/>
            <w:sz w:val="22"/>
          </w:rPr>
          <w:tab/>
        </w:r>
        <w:r w:rsidR="009A7930" w:rsidRPr="004B203D">
          <w:rPr>
            <w:rStyle w:val="Hyperlink"/>
          </w:rPr>
          <w:t>New Zealand’s net carbon dioxide removals by post-1989 forests from 1990 to 2019</w:t>
        </w:r>
        <w:r w:rsidR="009A7930">
          <w:rPr>
            <w:webHidden/>
          </w:rPr>
          <w:tab/>
        </w:r>
        <w:r w:rsidR="009A7930">
          <w:rPr>
            <w:webHidden/>
          </w:rPr>
          <w:fldChar w:fldCharType="begin"/>
        </w:r>
        <w:r w:rsidR="009A7930">
          <w:rPr>
            <w:webHidden/>
          </w:rPr>
          <w:instrText xml:space="preserve"> PAGEREF _Toc68786677 \h </w:instrText>
        </w:r>
        <w:r w:rsidR="009A7930">
          <w:rPr>
            <w:webHidden/>
          </w:rPr>
        </w:r>
        <w:r w:rsidR="009A7930">
          <w:rPr>
            <w:webHidden/>
          </w:rPr>
          <w:fldChar w:fldCharType="separate"/>
        </w:r>
        <w:r w:rsidR="00B94D2F">
          <w:rPr>
            <w:webHidden/>
          </w:rPr>
          <w:t>298</w:t>
        </w:r>
        <w:r w:rsidR="009A7930">
          <w:rPr>
            <w:webHidden/>
          </w:rPr>
          <w:fldChar w:fldCharType="end"/>
        </w:r>
      </w:hyperlink>
    </w:p>
    <w:p w14:paraId="51D90ACD" w14:textId="24CF26F4" w:rsidR="009A7930" w:rsidRDefault="00087879">
      <w:pPr>
        <w:pStyle w:val="TableofFigures"/>
        <w:rPr>
          <w:rFonts w:asciiTheme="minorHAnsi" w:eastAsiaTheme="minorEastAsia" w:hAnsiTheme="minorHAnsi" w:cstheme="minorBidi"/>
          <w:sz w:val="22"/>
        </w:rPr>
      </w:pPr>
      <w:hyperlink w:anchor="_Toc68786678" w:history="1">
        <w:r w:rsidR="009A7930" w:rsidRPr="004B203D">
          <w:rPr>
            <w:rStyle w:val="Hyperlink"/>
          </w:rPr>
          <w:t>Figure 6.4.3</w:t>
        </w:r>
        <w:r w:rsidR="009A7930">
          <w:rPr>
            <w:rFonts w:asciiTheme="minorHAnsi" w:eastAsiaTheme="minorEastAsia" w:hAnsiTheme="minorHAnsi" w:cstheme="minorBidi"/>
            <w:sz w:val="22"/>
          </w:rPr>
          <w:tab/>
        </w:r>
        <w:r w:rsidR="009A7930" w:rsidRPr="004B203D">
          <w:rPr>
            <w:rStyle w:val="Hyperlink"/>
          </w:rPr>
          <w:t>New Zealand’s area of deforestation since 1990, by Forest land category</w:t>
        </w:r>
        <w:r w:rsidR="009A7930">
          <w:rPr>
            <w:webHidden/>
          </w:rPr>
          <w:tab/>
        </w:r>
        <w:r w:rsidR="009A7930">
          <w:rPr>
            <w:webHidden/>
          </w:rPr>
          <w:fldChar w:fldCharType="begin"/>
        </w:r>
        <w:r w:rsidR="009A7930">
          <w:rPr>
            <w:webHidden/>
          </w:rPr>
          <w:instrText xml:space="preserve"> PAGEREF _Toc68786678 \h </w:instrText>
        </w:r>
        <w:r w:rsidR="009A7930">
          <w:rPr>
            <w:webHidden/>
          </w:rPr>
        </w:r>
        <w:r w:rsidR="009A7930">
          <w:rPr>
            <w:webHidden/>
          </w:rPr>
          <w:fldChar w:fldCharType="separate"/>
        </w:r>
        <w:r w:rsidR="00B94D2F">
          <w:rPr>
            <w:webHidden/>
          </w:rPr>
          <w:t>300</w:t>
        </w:r>
        <w:r w:rsidR="009A7930">
          <w:rPr>
            <w:webHidden/>
          </w:rPr>
          <w:fldChar w:fldCharType="end"/>
        </w:r>
      </w:hyperlink>
    </w:p>
    <w:p w14:paraId="0E803B6F" w14:textId="7D150B4E" w:rsidR="009A7930" w:rsidRDefault="00087879">
      <w:pPr>
        <w:pStyle w:val="TableofFigures"/>
        <w:rPr>
          <w:rFonts w:asciiTheme="minorHAnsi" w:eastAsiaTheme="minorEastAsia" w:hAnsiTheme="minorHAnsi" w:cstheme="minorBidi"/>
          <w:sz w:val="22"/>
        </w:rPr>
      </w:pPr>
      <w:hyperlink w:anchor="_Toc68786679" w:history="1">
        <w:r w:rsidR="009A7930" w:rsidRPr="004B203D">
          <w:rPr>
            <w:rStyle w:val="Hyperlink"/>
          </w:rPr>
          <w:t>Figure 6.4.4</w:t>
        </w:r>
        <w:r w:rsidR="009A7930">
          <w:rPr>
            <w:rFonts w:asciiTheme="minorHAnsi" w:eastAsiaTheme="minorEastAsia" w:hAnsiTheme="minorHAnsi" w:cstheme="minorBidi"/>
            <w:sz w:val="22"/>
          </w:rPr>
          <w:tab/>
        </w:r>
        <w:r w:rsidR="009A7930" w:rsidRPr="004B203D">
          <w:rPr>
            <w:rStyle w:val="Hyperlink"/>
          </w:rPr>
          <w:t>New Zealand’s area of planted forest harvest (inclusive of deforestation) from 1990 to 2019</w:t>
        </w:r>
        <w:r w:rsidR="009A7930">
          <w:rPr>
            <w:webHidden/>
          </w:rPr>
          <w:tab/>
        </w:r>
        <w:r w:rsidR="009A7930">
          <w:rPr>
            <w:webHidden/>
          </w:rPr>
          <w:fldChar w:fldCharType="begin"/>
        </w:r>
        <w:r w:rsidR="009A7930">
          <w:rPr>
            <w:webHidden/>
          </w:rPr>
          <w:instrText xml:space="preserve"> PAGEREF _Toc68786679 \h </w:instrText>
        </w:r>
        <w:r w:rsidR="009A7930">
          <w:rPr>
            <w:webHidden/>
          </w:rPr>
        </w:r>
        <w:r w:rsidR="009A7930">
          <w:rPr>
            <w:webHidden/>
          </w:rPr>
          <w:fldChar w:fldCharType="separate"/>
        </w:r>
        <w:r w:rsidR="00B94D2F">
          <w:rPr>
            <w:webHidden/>
          </w:rPr>
          <w:t>301</w:t>
        </w:r>
        <w:r w:rsidR="009A7930">
          <w:rPr>
            <w:webHidden/>
          </w:rPr>
          <w:fldChar w:fldCharType="end"/>
        </w:r>
      </w:hyperlink>
    </w:p>
    <w:p w14:paraId="6874C672" w14:textId="12A9FE31" w:rsidR="009A7930" w:rsidRDefault="00087879">
      <w:pPr>
        <w:pStyle w:val="TableofFigures"/>
        <w:rPr>
          <w:rFonts w:asciiTheme="minorHAnsi" w:eastAsiaTheme="minorEastAsia" w:hAnsiTheme="minorHAnsi" w:cstheme="minorBidi"/>
          <w:sz w:val="22"/>
        </w:rPr>
      </w:pPr>
      <w:hyperlink w:anchor="_Toc68786680" w:history="1">
        <w:r w:rsidR="009A7930" w:rsidRPr="004B203D">
          <w:rPr>
            <w:rStyle w:val="Hyperlink"/>
          </w:rPr>
          <w:t>Figure 6.4.5</w:t>
        </w:r>
        <w:r w:rsidR="009A7930">
          <w:rPr>
            <w:rFonts w:asciiTheme="minorHAnsi" w:eastAsiaTheme="minorEastAsia" w:hAnsiTheme="minorHAnsi" w:cstheme="minorBidi"/>
            <w:sz w:val="22"/>
          </w:rPr>
          <w:tab/>
        </w:r>
        <w:r w:rsidR="009A7930" w:rsidRPr="004B203D">
          <w:rPr>
            <w:rStyle w:val="Hyperlink"/>
          </w:rPr>
          <w:t>Location of New Zealand’s pre-1990 forest carbon monitoring plots</w:t>
        </w:r>
        <w:r w:rsidR="009A7930">
          <w:rPr>
            <w:webHidden/>
          </w:rPr>
          <w:tab/>
        </w:r>
        <w:r w:rsidR="009A7930">
          <w:rPr>
            <w:webHidden/>
          </w:rPr>
          <w:fldChar w:fldCharType="begin"/>
        </w:r>
        <w:r w:rsidR="009A7930">
          <w:rPr>
            <w:webHidden/>
          </w:rPr>
          <w:instrText xml:space="preserve"> PAGEREF _Toc68786680 \h </w:instrText>
        </w:r>
        <w:r w:rsidR="009A7930">
          <w:rPr>
            <w:webHidden/>
          </w:rPr>
        </w:r>
        <w:r w:rsidR="009A7930">
          <w:rPr>
            <w:webHidden/>
          </w:rPr>
          <w:fldChar w:fldCharType="separate"/>
        </w:r>
        <w:r w:rsidR="00B94D2F">
          <w:rPr>
            <w:webHidden/>
          </w:rPr>
          <w:t>303</w:t>
        </w:r>
        <w:r w:rsidR="009A7930">
          <w:rPr>
            <w:webHidden/>
          </w:rPr>
          <w:fldChar w:fldCharType="end"/>
        </w:r>
      </w:hyperlink>
    </w:p>
    <w:p w14:paraId="62EDFB4C" w14:textId="14E603A2" w:rsidR="009A7930" w:rsidRDefault="00087879">
      <w:pPr>
        <w:pStyle w:val="TableofFigures"/>
        <w:rPr>
          <w:rFonts w:asciiTheme="minorHAnsi" w:eastAsiaTheme="minorEastAsia" w:hAnsiTheme="minorHAnsi" w:cstheme="minorBidi"/>
          <w:sz w:val="22"/>
        </w:rPr>
      </w:pPr>
      <w:hyperlink w:anchor="_Toc68786681" w:history="1">
        <w:r w:rsidR="009A7930" w:rsidRPr="004B203D">
          <w:rPr>
            <w:rStyle w:val="Hyperlink"/>
          </w:rPr>
          <w:t>Figure 6.4.6</w:t>
        </w:r>
        <w:r w:rsidR="009A7930">
          <w:rPr>
            <w:rFonts w:asciiTheme="minorHAnsi" w:eastAsiaTheme="minorEastAsia" w:hAnsiTheme="minorHAnsi" w:cstheme="minorBidi"/>
            <w:sz w:val="22"/>
          </w:rPr>
          <w:tab/>
        </w:r>
        <w:r w:rsidR="009A7930" w:rsidRPr="004B203D">
          <w:rPr>
            <w:rStyle w:val="Hyperlink"/>
          </w:rPr>
          <w:t>Location of New Zealand’s post-1989 forest plots</w:t>
        </w:r>
        <w:r w:rsidR="009A7930">
          <w:rPr>
            <w:webHidden/>
          </w:rPr>
          <w:tab/>
        </w:r>
        <w:r w:rsidR="009A7930">
          <w:rPr>
            <w:webHidden/>
          </w:rPr>
          <w:fldChar w:fldCharType="begin"/>
        </w:r>
        <w:r w:rsidR="009A7930">
          <w:rPr>
            <w:webHidden/>
          </w:rPr>
          <w:instrText xml:space="preserve"> PAGEREF _Toc68786681 \h </w:instrText>
        </w:r>
        <w:r w:rsidR="009A7930">
          <w:rPr>
            <w:webHidden/>
          </w:rPr>
        </w:r>
        <w:r w:rsidR="009A7930">
          <w:rPr>
            <w:webHidden/>
          </w:rPr>
          <w:fldChar w:fldCharType="separate"/>
        </w:r>
        <w:r w:rsidR="00B94D2F">
          <w:rPr>
            <w:webHidden/>
          </w:rPr>
          <w:t>304</w:t>
        </w:r>
        <w:r w:rsidR="009A7930">
          <w:rPr>
            <w:webHidden/>
          </w:rPr>
          <w:fldChar w:fldCharType="end"/>
        </w:r>
      </w:hyperlink>
    </w:p>
    <w:p w14:paraId="5ECE846D" w14:textId="6A317829" w:rsidR="009A7930" w:rsidRDefault="00087879">
      <w:pPr>
        <w:pStyle w:val="TableofFigures"/>
        <w:rPr>
          <w:rFonts w:asciiTheme="minorHAnsi" w:eastAsiaTheme="minorEastAsia" w:hAnsiTheme="minorHAnsi" w:cstheme="minorBidi"/>
          <w:sz w:val="22"/>
        </w:rPr>
      </w:pPr>
      <w:hyperlink w:anchor="_Toc68786682" w:history="1">
        <w:r w:rsidR="009A7930" w:rsidRPr="004B203D">
          <w:rPr>
            <w:rStyle w:val="Hyperlink"/>
          </w:rPr>
          <w:t>Figure 6.4.7</w:t>
        </w:r>
        <w:r w:rsidR="009A7930">
          <w:rPr>
            <w:rFonts w:asciiTheme="minorHAnsi" w:eastAsiaTheme="minorEastAsia" w:hAnsiTheme="minorHAnsi" w:cstheme="minorBidi"/>
            <w:sz w:val="22"/>
          </w:rPr>
          <w:tab/>
        </w:r>
        <w:r w:rsidR="009A7930" w:rsidRPr="004B203D">
          <w:rPr>
            <w:rStyle w:val="Hyperlink"/>
          </w:rPr>
          <w:t>New Zealand’s planted forest inventory modelling process</w:t>
        </w:r>
        <w:r w:rsidR="009A7930">
          <w:rPr>
            <w:webHidden/>
          </w:rPr>
          <w:tab/>
        </w:r>
        <w:r w:rsidR="009A7930">
          <w:rPr>
            <w:webHidden/>
          </w:rPr>
          <w:fldChar w:fldCharType="begin"/>
        </w:r>
        <w:r w:rsidR="009A7930">
          <w:rPr>
            <w:webHidden/>
          </w:rPr>
          <w:instrText xml:space="preserve"> PAGEREF _Toc68786682 \h </w:instrText>
        </w:r>
        <w:r w:rsidR="009A7930">
          <w:rPr>
            <w:webHidden/>
          </w:rPr>
        </w:r>
        <w:r w:rsidR="009A7930">
          <w:rPr>
            <w:webHidden/>
          </w:rPr>
          <w:fldChar w:fldCharType="separate"/>
        </w:r>
        <w:r w:rsidR="00B94D2F">
          <w:rPr>
            <w:webHidden/>
          </w:rPr>
          <w:t>311</w:t>
        </w:r>
        <w:r w:rsidR="009A7930">
          <w:rPr>
            <w:webHidden/>
          </w:rPr>
          <w:fldChar w:fldCharType="end"/>
        </w:r>
      </w:hyperlink>
    </w:p>
    <w:p w14:paraId="33BB2011" w14:textId="33D5FD94" w:rsidR="009A7930" w:rsidRDefault="00087879">
      <w:pPr>
        <w:pStyle w:val="TableofFigures"/>
        <w:rPr>
          <w:rFonts w:asciiTheme="minorHAnsi" w:eastAsiaTheme="minorEastAsia" w:hAnsiTheme="minorHAnsi" w:cstheme="minorBidi"/>
          <w:sz w:val="22"/>
        </w:rPr>
      </w:pPr>
      <w:hyperlink w:anchor="_Toc68786683" w:history="1">
        <w:r w:rsidR="009A7930" w:rsidRPr="004B203D">
          <w:rPr>
            <w:rStyle w:val="Hyperlink"/>
          </w:rPr>
          <w:t>Figure 6.10.1</w:t>
        </w:r>
        <w:r w:rsidR="009A7930">
          <w:rPr>
            <w:rFonts w:asciiTheme="minorHAnsi" w:eastAsiaTheme="minorEastAsia" w:hAnsiTheme="minorHAnsi" w:cstheme="minorBidi"/>
            <w:sz w:val="22"/>
          </w:rPr>
          <w:tab/>
        </w:r>
        <w:r w:rsidR="009A7930" w:rsidRPr="004B203D">
          <w:rPr>
            <w:rStyle w:val="Hyperlink"/>
          </w:rPr>
          <w:t>Volume of roundwood produced and exported between 1990 to 2019</w:t>
        </w:r>
        <w:r w:rsidR="009A7930">
          <w:rPr>
            <w:webHidden/>
          </w:rPr>
          <w:tab/>
        </w:r>
        <w:r w:rsidR="009A7930">
          <w:rPr>
            <w:webHidden/>
          </w:rPr>
          <w:fldChar w:fldCharType="begin"/>
        </w:r>
        <w:r w:rsidR="009A7930">
          <w:rPr>
            <w:webHidden/>
          </w:rPr>
          <w:instrText xml:space="preserve"> PAGEREF _Toc68786683 \h </w:instrText>
        </w:r>
        <w:r w:rsidR="009A7930">
          <w:rPr>
            <w:webHidden/>
          </w:rPr>
        </w:r>
        <w:r w:rsidR="009A7930">
          <w:rPr>
            <w:webHidden/>
          </w:rPr>
          <w:fldChar w:fldCharType="separate"/>
        </w:r>
        <w:r w:rsidR="00B94D2F">
          <w:rPr>
            <w:webHidden/>
          </w:rPr>
          <w:t>344</w:t>
        </w:r>
        <w:r w:rsidR="009A7930">
          <w:rPr>
            <w:webHidden/>
          </w:rPr>
          <w:fldChar w:fldCharType="end"/>
        </w:r>
      </w:hyperlink>
    </w:p>
    <w:p w14:paraId="2CC9F72E" w14:textId="1A3BACED" w:rsidR="009A7930" w:rsidRDefault="00087879">
      <w:pPr>
        <w:pStyle w:val="TableofFigures"/>
        <w:rPr>
          <w:rFonts w:asciiTheme="minorHAnsi" w:eastAsiaTheme="minorEastAsia" w:hAnsiTheme="minorHAnsi" w:cstheme="minorBidi"/>
          <w:sz w:val="22"/>
        </w:rPr>
      </w:pPr>
      <w:hyperlink w:anchor="_Toc68786684" w:history="1">
        <w:r w:rsidR="009A7930" w:rsidRPr="004B203D">
          <w:rPr>
            <w:rStyle w:val="Hyperlink"/>
          </w:rPr>
          <w:t>Figure 7.1.1</w:t>
        </w:r>
        <w:r w:rsidR="009A7930">
          <w:rPr>
            <w:rFonts w:asciiTheme="minorHAnsi" w:eastAsiaTheme="minorEastAsia" w:hAnsiTheme="minorHAnsi" w:cstheme="minorBidi"/>
            <w:sz w:val="22"/>
          </w:rPr>
          <w:tab/>
        </w:r>
        <w:r w:rsidR="009A7930" w:rsidRPr="004B203D">
          <w:rPr>
            <w:rStyle w:val="Hyperlink"/>
          </w:rPr>
          <w:t>Flows of solid waste generation and disposal in New Zealand</w:t>
        </w:r>
        <w:r w:rsidR="009A7930">
          <w:rPr>
            <w:webHidden/>
          </w:rPr>
          <w:tab/>
        </w:r>
        <w:r w:rsidR="009A7930">
          <w:rPr>
            <w:webHidden/>
          </w:rPr>
          <w:fldChar w:fldCharType="begin"/>
        </w:r>
        <w:r w:rsidR="009A7930">
          <w:rPr>
            <w:webHidden/>
          </w:rPr>
          <w:instrText xml:space="preserve"> PAGEREF _Toc68786684 \h </w:instrText>
        </w:r>
        <w:r w:rsidR="009A7930">
          <w:rPr>
            <w:webHidden/>
          </w:rPr>
        </w:r>
        <w:r w:rsidR="009A7930">
          <w:rPr>
            <w:webHidden/>
          </w:rPr>
          <w:fldChar w:fldCharType="separate"/>
        </w:r>
        <w:r w:rsidR="00B94D2F">
          <w:rPr>
            <w:webHidden/>
          </w:rPr>
          <w:t>362</w:t>
        </w:r>
        <w:r w:rsidR="009A7930">
          <w:rPr>
            <w:webHidden/>
          </w:rPr>
          <w:fldChar w:fldCharType="end"/>
        </w:r>
      </w:hyperlink>
    </w:p>
    <w:p w14:paraId="5B1C72BB" w14:textId="1EFFFC11" w:rsidR="009A7930" w:rsidRDefault="00087879">
      <w:pPr>
        <w:pStyle w:val="TableofFigures"/>
        <w:rPr>
          <w:rFonts w:asciiTheme="minorHAnsi" w:eastAsiaTheme="minorEastAsia" w:hAnsiTheme="minorHAnsi" w:cstheme="minorBidi"/>
          <w:sz w:val="22"/>
        </w:rPr>
      </w:pPr>
      <w:hyperlink w:anchor="_Toc68786685" w:history="1">
        <w:r w:rsidR="009A7930" w:rsidRPr="004B203D">
          <w:rPr>
            <w:rStyle w:val="Hyperlink"/>
          </w:rPr>
          <w:t>Figure 7.1.2</w:t>
        </w:r>
        <w:r w:rsidR="009A7930">
          <w:rPr>
            <w:rFonts w:asciiTheme="minorHAnsi" w:eastAsiaTheme="minorEastAsia" w:hAnsiTheme="minorHAnsi" w:cstheme="minorBidi"/>
            <w:sz w:val="22"/>
          </w:rPr>
          <w:tab/>
        </w:r>
        <w:r w:rsidR="009A7930" w:rsidRPr="004B203D">
          <w:rPr>
            <w:rStyle w:val="Hyperlink"/>
          </w:rPr>
          <w:t>Profile of emissions from New Zealand’s Waste sector by source category from 1990 to 2019</w:t>
        </w:r>
        <w:r w:rsidR="009A7930">
          <w:rPr>
            <w:webHidden/>
          </w:rPr>
          <w:tab/>
        </w:r>
        <w:r w:rsidR="009A7930">
          <w:rPr>
            <w:webHidden/>
          </w:rPr>
          <w:fldChar w:fldCharType="begin"/>
        </w:r>
        <w:r w:rsidR="009A7930">
          <w:rPr>
            <w:webHidden/>
          </w:rPr>
          <w:instrText xml:space="preserve"> PAGEREF _Toc68786685 \h </w:instrText>
        </w:r>
        <w:r w:rsidR="009A7930">
          <w:rPr>
            <w:webHidden/>
          </w:rPr>
        </w:r>
        <w:r w:rsidR="009A7930">
          <w:rPr>
            <w:webHidden/>
          </w:rPr>
          <w:fldChar w:fldCharType="separate"/>
        </w:r>
        <w:r w:rsidR="00B94D2F">
          <w:rPr>
            <w:webHidden/>
          </w:rPr>
          <w:t>364</w:t>
        </w:r>
        <w:r w:rsidR="009A7930">
          <w:rPr>
            <w:webHidden/>
          </w:rPr>
          <w:fldChar w:fldCharType="end"/>
        </w:r>
      </w:hyperlink>
    </w:p>
    <w:p w14:paraId="6D6A53A9" w14:textId="0EDE2BA2" w:rsidR="009A7930" w:rsidRDefault="00087879">
      <w:pPr>
        <w:pStyle w:val="TableofFigures"/>
        <w:rPr>
          <w:rFonts w:asciiTheme="minorHAnsi" w:eastAsiaTheme="minorEastAsia" w:hAnsiTheme="minorHAnsi" w:cstheme="minorBidi"/>
          <w:sz w:val="22"/>
        </w:rPr>
      </w:pPr>
      <w:hyperlink w:anchor="_Toc68786686" w:history="1">
        <w:r w:rsidR="009A7930" w:rsidRPr="004B203D">
          <w:rPr>
            <w:rStyle w:val="Hyperlink"/>
          </w:rPr>
          <w:t>Figure 7.1.3</w:t>
        </w:r>
        <w:r w:rsidR="009A7930">
          <w:rPr>
            <w:rFonts w:asciiTheme="minorHAnsi" w:eastAsiaTheme="minorEastAsia" w:hAnsiTheme="minorHAnsi" w:cstheme="minorBidi"/>
            <w:sz w:val="22"/>
          </w:rPr>
          <w:tab/>
        </w:r>
        <w:r w:rsidR="009A7930" w:rsidRPr="004B203D">
          <w:rPr>
            <w:rStyle w:val="Hyperlink"/>
          </w:rPr>
          <w:t>Change in New Zealand’s emissions from the Waste sector by source category from 1990 to 2019</w:t>
        </w:r>
        <w:r w:rsidR="009A7930">
          <w:rPr>
            <w:webHidden/>
          </w:rPr>
          <w:tab/>
        </w:r>
        <w:r w:rsidR="009A7930">
          <w:rPr>
            <w:webHidden/>
          </w:rPr>
          <w:fldChar w:fldCharType="begin"/>
        </w:r>
        <w:r w:rsidR="009A7930">
          <w:rPr>
            <w:webHidden/>
          </w:rPr>
          <w:instrText xml:space="preserve"> PAGEREF _Toc68786686 \h </w:instrText>
        </w:r>
        <w:r w:rsidR="009A7930">
          <w:rPr>
            <w:webHidden/>
          </w:rPr>
        </w:r>
        <w:r w:rsidR="009A7930">
          <w:rPr>
            <w:webHidden/>
          </w:rPr>
          <w:fldChar w:fldCharType="separate"/>
        </w:r>
        <w:r w:rsidR="00B94D2F">
          <w:rPr>
            <w:webHidden/>
          </w:rPr>
          <w:t>364</w:t>
        </w:r>
        <w:r w:rsidR="009A7930">
          <w:rPr>
            <w:webHidden/>
          </w:rPr>
          <w:fldChar w:fldCharType="end"/>
        </w:r>
      </w:hyperlink>
    </w:p>
    <w:p w14:paraId="23187188" w14:textId="39FB9266" w:rsidR="009A7930" w:rsidRDefault="00087879">
      <w:pPr>
        <w:pStyle w:val="TableofFigures"/>
        <w:rPr>
          <w:rFonts w:asciiTheme="minorHAnsi" w:eastAsiaTheme="minorEastAsia" w:hAnsiTheme="minorHAnsi" w:cstheme="minorBidi"/>
          <w:sz w:val="22"/>
        </w:rPr>
      </w:pPr>
      <w:hyperlink w:anchor="_Toc68786687" w:history="1">
        <w:r w:rsidR="009A7930" w:rsidRPr="004B203D">
          <w:rPr>
            <w:rStyle w:val="Hyperlink"/>
          </w:rPr>
          <w:t xml:space="preserve">Figure 7.1.4 </w:t>
        </w:r>
        <w:r w:rsidR="009A7930">
          <w:rPr>
            <w:rFonts w:asciiTheme="minorHAnsi" w:eastAsiaTheme="minorEastAsia" w:hAnsiTheme="minorHAnsi" w:cstheme="minorBidi"/>
            <w:sz w:val="22"/>
          </w:rPr>
          <w:tab/>
        </w:r>
        <w:r w:rsidR="009A7930" w:rsidRPr="004B203D">
          <w:rPr>
            <w:rStyle w:val="Hyperlink"/>
          </w:rPr>
          <w:t>Tier 1 quality checks for the Waste sector</w:t>
        </w:r>
        <w:r w:rsidR="009A7930">
          <w:rPr>
            <w:webHidden/>
          </w:rPr>
          <w:tab/>
        </w:r>
        <w:r w:rsidR="009A7930">
          <w:rPr>
            <w:webHidden/>
          </w:rPr>
          <w:fldChar w:fldCharType="begin"/>
        </w:r>
        <w:r w:rsidR="009A7930">
          <w:rPr>
            <w:webHidden/>
          </w:rPr>
          <w:instrText xml:space="preserve"> PAGEREF _Toc68786687 \h </w:instrText>
        </w:r>
        <w:r w:rsidR="009A7930">
          <w:rPr>
            <w:webHidden/>
          </w:rPr>
        </w:r>
        <w:r w:rsidR="009A7930">
          <w:rPr>
            <w:webHidden/>
          </w:rPr>
          <w:fldChar w:fldCharType="separate"/>
        </w:r>
        <w:r w:rsidR="00B94D2F">
          <w:rPr>
            <w:webHidden/>
          </w:rPr>
          <w:t>366</w:t>
        </w:r>
        <w:r w:rsidR="009A7930">
          <w:rPr>
            <w:webHidden/>
          </w:rPr>
          <w:fldChar w:fldCharType="end"/>
        </w:r>
      </w:hyperlink>
    </w:p>
    <w:p w14:paraId="7BC8410D" w14:textId="4E8438BA" w:rsidR="009A7930" w:rsidRDefault="00087879">
      <w:pPr>
        <w:pStyle w:val="TableofFigures"/>
        <w:rPr>
          <w:rFonts w:asciiTheme="minorHAnsi" w:eastAsiaTheme="minorEastAsia" w:hAnsiTheme="minorHAnsi" w:cstheme="minorBidi"/>
          <w:sz w:val="22"/>
        </w:rPr>
      </w:pPr>
      <w:hyperlink w:anchor="_Toc68786688" w:history="1">
        <w:r w:rsidR="009A7930" w:rsidRPr="004B203D">
          <w:rPr>
            <w:rStyle w:val="Hyperlink"/>
          </w:rPr>
          <w:t xml:space="preserve">Figure 8.1.1 </w:t>
        </w:r>
        <w:r w:rsidR="009A7930">
          <w:rPr>
            <w:rFonts w:asciiTheme="minorHAnsi" w:eastAsiaTheme="minorEastAsia" w:hAnsiTheme="minorHAnsi" w:cstheme="minorBidi"/>
            <w:sz w:val="22"/>
          </w:rPr>
          <w:tab/>
        </w:r>
        <w:r w:rsidR="009A7930" w:rsidRPr="004B203D">
          <w:rPr>
            <w:rStyle w:val="Hyperlink"/>
          </w:rPr>
          <w:t>Map of Tokelau</w:t>
        </w:r>
        <w:r w:rsidR="009A7930">
          <w:rPr>
            <w:webHidden/>
          </w:rPr>
          <w:tab/>
        </w:r>
        <w:r w:rsidR="009A7930">
          <w:rPr>
            <w:webHidden/>
          </w:rPr>
          <w:fldChar w:fldCharType="begin"/>
        </w:r>
        <w:r w:rsidR="009A7930">
          <w:rPr>
            <w:webHidden/>
          </w:rPr>
          <w:instrText xml:space="preserve"> PAGEREF _Toc68786688 \h </w:instrText>
        </w:r>
        <w:r w:rsidR="009A7930">
          <w:rPr>
            <w:webHidden/>
          </w:rPr>
        </w:r>
        <w:r w:rsidR="009A7930">
          <w:rPr>
            <w:webHidden/>
          </w:rPr>
          <w:fldChar w:fldCharType="separate"/>
        </w:r>
        <w:r w:rsidR="00B94D2F">
          <w:rPr>
            <w:webHidden/>
          </w:rPr>
          <w:t>402</w:t>
        </w:r>
        <w:r w:rsidR="009A7930">
          <w:rPr>
            <w:webHidden/>
          </w:rPr>
          <w:fldChar w:fldCharType="end"/>
        </w:r>
      </w:hyperlink>
    </w:p>
    <w:p w14:paraId="4C7476F9" w14:textId="123D7287" w:rsidR="009A7930" w:rsidRDefault="00087879">
      <w:pPr>
        <w:pStyle w:val="TableofFigures"/>
        <w:rPr>
          <w:rFonts w:asciiTheme="minorHAnsi" w:eastAsiaTheme="minorEastAsia" w:hAnsiTheme="minorHAnsi" w:cstheme="minorBidi"/>
          <w:sz w:val="22"/>
        </w:rPr>
      </w:pPr>
      <w:hyperlink w:anchor="_Toc68786689" w:history="1">
        <w:r w:rsidR="009A7930" w:rsidRPr="004B203D">
          <w:rPr>
            <w:rStyle w:val="Hyperlink"/>
          </w:rPr>
          <w:t xml:space="preserve">Figure 8.1.2 </w:t>
        </w:r>
        <w:r w:rsidR="009A7930">
          <w:rPr>
            <w:rFonts w:asciiTheme="minorHAnsi" w:eastAsiaTheme="minorEastAsia" w:hAnsiTheme="minorHAnsi" w:cstheme="minorBidi"/>
            <w:sz w:val="22"/>
          </w:rPr>
          <w:tab/>
        </w:r>
        <w:r w:rsidR="009A7930" w:rsidRPr="004B203D">
          <w:rPr>
            <w:rStyle w:val="Hyperlink"/>
          </w:rPr>
          <w:t>Tokelau’s emissions by gas in 2019</w:t>
        </w:r>
        <w:r w:rsidR="009A7930">
          <w:rPr>
            <w:webHidden/>
          </w:rPr>
          <w:tab/>
        </w:r>
        <w:r w:rsidR="009A7930">
          <w:rPr>
            <w:webHidden/>
          </w:rPr>
          <w:fldChar w:fldCharType="begin"/>
        </w:r>
        <w:r w:rsidR="009A7930">
          <w:rPr>
            <w:webHidden/>
          </w:rPr>
          <w:instrText xml:space="preserve"> PAGEREF _Toc68786689 \h </w:instrText>
        </w:r>
        <w:r w:rsidR="009A7930">
          <w:rPr>
            <w:webHidden/>
          </w:rPr>
        </w:r>
        <w:r w:rsidR="009A7930">
          <w:rPr>
            <w:webHidden/>
          </w:rPr>
          <w:fldChar w:fldCharType="separate"/>
        </w:r>
        <w:r w:rsidR="00B94D2F">
          <w:rPr>
            <w:webHidden/>
          </w:rPr>
          <w:t>404</w:t>
        </w:r>
        <w:r w:rsidR="009A7930">
          <w:rPr>
            <w:webHidden/>
          </w:rPr>
          <w:fldChar w:fldCharType="end"/>
        </w:r>
      </w:hyperlink>
    </w:p>
    <w:p w14:paraId="2B0513FD" w14:textId="156C6828" w:rsidR="009A7930" w:rsidRDefault="00087879">
      <w:pPr>
        <w:pStyle w:val="TableofFigures"/>
        <w:rPr>
          <w:rFonts w:asciiTheme="minorHAnsi" w:eastAsiaTheme="minorEastAsia" w:hAnsiTheme="minorHAnsi" w:cstheme="minorBidi"/>
          <w:sz w:val="22"/>
        </w:rPr>
      </w:pPr>
      <w:hyperlink w:anchor="_Toc68786690" w:history="1">
        <w:r w:rsidR="009A7930" w:rsidRPr="004B203D">
          <w:rPr>
            <w:rStyle w:val="Hyperlink"/>
          </w:rPr>
          <w:t xml:space="preserve">Figure 8.1.3 </w:t>
        </w:r>
        <w:r w:rsidR="009A7930">
          <w:rPr>
            <w:rFonts w:asciiTheme="minorHAnsi" w:eastAsiaTheme="minorEastAsia" w:hAnsiTheme="minorHAnsi" w:cstheme="minorBidi"/>
            <w:sz w:val="22"/>
          </w:rPr>
          <w:tab/>
        </w:r>
        <w:r w:rsidR="009A7930" w:rsidRPr="004B203D">
          <w:rPr>
            <w:rStyle w:val="Hyperlink"/>
          </w:rPr>
          <w:t>Tokelau’s emissions by sector in 2019</w:t>
        </w:r>
        <w:r w:rsidR="009A7930">
          <w:rPr>
            <w:webHidden/>
          </w:rPr>
          <w:tab/>
        </w:r>
        <w:r w:rsidR="009A7930">
          <w:rPr>
            <w:webHidden/>
          </w:rPr>
          <w:fldChar w:fldCharType="begin"/>
        </w:r>
        <w:r w:rsidR="009A7930">
          <w:rPr>
            <w:webHidden/>
          </w:rPr>
          <w:instrText xml:space="preserve"> PAGEREF _Toc68786690 \h </w:instrText>
        </w:r>
        <w:r w:rsidR="009A7930">
          <w:rPr>
            <w:webHidden/>
          </w:rPr>
        </w:r>
        <w:r w:rsidR="009A7930">
          <w:rPr>
            <w:webHidden/>
          </w:rPr>
          <w:fldChar w:fldCharType="separate"/>
        </w:r>
        <w:r w:rsidR="00B94D2F">
          <w:rPr>
            <w:webHidden/>
          </w:rPr>
          <w:t>405</w:t>
        </w:r>
        <w:r w:rsidR="009A7930">
          <w:rPr>
            <w:webHidden/>
          </w:rPr>
          <w:fldChar w:fldCharType="end"/>
        </w:r>
      </w:hyperlink>
    </w:p>
    <w:p w14:paraId="7CDC891A" w14:textId="2C8DB4DA" w:rsidR="009A7930" w:rsidRDefault="00087879">
      <w:pPr>
        <w:pStyle w:val="TableofFigures"/>
        <w:rPr>
          <w:rFonts w:asciiTheme="minorHAnsi" w:eastAsiaTheme="minorEastAsia" w:hAnsiTheme="minorHAnsi" w:cstheme="minorBidi"/>
          <w:sz w:val="22"/>
        </w:rPr>
      </w:pPr>
      <w:hyperlink w:anchor="_Toc68786691" w:history="1">
        <w:r w:rsidR="009A7930" w:rsidRPr="004B203D">
          <w:rPr>
            <w:rStyle w:val="Hyperlink"/>
            <w:rFonts w:eastAsia="Calibri"/>
          </w:rPr>
          <w:t xml:space="preserve">Figure 8.1.4 </w:t>
        </w:r>
        <w:r w:rsidR="009A7930">
          <w:rPr>
            <w:rFonts w:asciiTheme="minorHAnsi" w:eastAsiaTheme="minorEastAsia" w:hAnsiTheme="minorHAnsi" w:cstheme="minorBidi"/>
            <w:sz w:val="22"/>
          </w:rPr>
          <w:tab/>
        </w:r>
        <w:r w:rsidR="009A7930" w:rsidRPr="004B203D">
          <w:rPr>
            <w:rStyle w:val="Hyperlink"/>
            <w:rFonts w:eastAsia="Calibri"/>
          </w:rPr>
          <w:t>Emissions by sector for Tokelau (kt CO</w:t>
        </w:r>
        <w:r w:rsidR="009A7930" w:rsidRPr="004B203D">
          <w:rPr>
            <w:rStyle w:val="Hyperlink"/>
            <w:rFonts w:eastAsia="Calibri"/>
            <w:vertAlign w:val="subscript"/>
          </w:rPr>
          <w:t>2</w:t>
        </w:r>
        <w:r w:rsidR="009A7930" w:rsidRPr="004B203D">
          <w:rPr>
            <w:rStyle w:val="Hyperlink"/>
            <w:rFonts w:eastAsia="Calibri"/>
          </w:rPr>
          <w:t>-e) from 1990 to 2019</w:t>
        </w:r>
        <w:r w:rsidR="009A7930">
          <w:rPr>
            <w:webHidden/>
          </w:rPr>
          <w:tab/>
        </w:r>
        <w:r w:rsidR="009A7930">
          <w:rPr>
            <w:webHidden/>
          </w:rPr>
          <w:fldChar w:fldCharType="begin"/>
        </w:r>
        <w:r w:rsidR="009A7930">
          <w:rPr>
            <w:webHidden/>
          </w:rPr>
          <w:instrText xml:space="preserve"> PAGEREF _Toc68786691 \h </w:instrText>
        </w:r>
        <w:r w:rsidR="009A7930">
          <w:rPr>
            <w:webHidden/>
          </w:rPr>
        </w:r>
        <w:r w:rsidR="009A7930">
          <w:rPr>
            <w:webHidden/>
          </w:rPr>
          <w:fldChar w:fldCharType="separate"/>
        </w:r>
        <w:r w:rsidR="00B94D2F">
          <w:rPr>
            <w:webHidden/>
          </w:rPr>
          <w:t>406</w:t>
        </w:r>
        <w:r w:rsidR="009A7930">
          <w:rPr>
            <w:webHidden/>
          </w:rPr>
          <w:fldChar w:fldCharType="end"/>
        </w:r>
      </w:hyperlink>
    </w:p>
    <w:p w14:paraId="3384B37E" w14:textId="221CC8B4" w:rsidR="009A7930" w:rsidRDefault="00087879">
      <w:pPr>
        <w:pStyle w:val="TableofFigures"/>
        <w:rPr>
          <w:rFonts w:asciiTheme="minorHAnsi" w:eastAsiaTheme="minorEastAsia" w:hAnsiTheme="minorHAnsi" w:cstheme="minorBidi"/>
          <w:sz w:val="22"/>
        </w:rPr>
      </w:pPr>
      <w:hyperlink w:anchor="_Toc68786692" w:history="1">
        <w:r w:rsidR="009A7930" w:rsidRPr="004B203D">
          <w:rPr>
            <w:rStyle w:val="Hyperlink"/>
          </w:rPr>
          <w:t xml:space="preserve">Figure 8.2.1 </w:t>
        </w:r>
        <w:r w:rsidR="009A7930">
          <w:rPr>
            <w:rFonts w:asciiTheme="minorHAnsi" w:eastAsiaTheme="minorEastAsia" w:hAnsiTheme="minorHAnsi" w:cstheme="minorBidi"/>
            <w:sz w:val="22"/>
          </w:rPr>
          <w:tab/>
        </w:r>
        <w:r w:rsidR="009A7930" w:rsidRPr="004B203D">
          <w:rPr>
            <w:rStyle w:val="Hyperlink"/>
          </w:rPr>
          <w:t>Cluster block diagram for Tokelau’s solar project</w:t>
        </w:r>
        <w:r w:rsidR="009A7930">
          <w:rPr>
            <w:webHidden/>
          </w:rPr>
          <w:tab/>
        </w:r>
        <w:r w:rsidR="009A7930">
          <w:rPr>
            <w:webHidden/>
          </w:rPr>
          <w:fldChar w:fldCharType="begin"/>
        </w:r>
        <w:r w:rsidR="009A7930">
          <w:rPr>
            <w:webHidden/>
          </w:rPr>
          <w:instrText xml:space="preserve"> PAGEREF _Toc68786692 \h </w:instrText>
        </w:r>
        <w:r w:rsidR="009A7930">
          <w:rPr>
            <w:webHidden/>
          </w:rPr>
        </w:r>
        <w:r w:rsidR="009A7930">
          <w:rPr>
            <w:webHidden/>
          </w:rPr>
          <w:fldChar w:fldCharType="separate"/>
        </w:r>
        <w:r w:rsidR="00B94D2F">
          <w:rPr>
            <w:webHidden/>
          </w:rPr>
          <w:t>411</w:t>
        </w:r>
        <w:r w:rsidR="009A7930">
          <w:rPr>
            <w:webHidden/>
          </w:rPr>
          <w:fldChar w:fldCharType="end"/>
        </w:r>
      </w:hyperlink>
    </w:p>
    <w:p w14:paraId="04E6A4CC" w14:textId="1C385C22" w:rsidR="009A7930" w:rsidRDefault="00087879">
      <w:pPr>
        <w:pStyle w:val="TableofFigures"/>
        <w:rPr>
          <w:rFonts w:asciiTheme="minorHAnsi" w:eastAsiaTheme="minorEastAsia" w:hAnsiTheme="minorHAnsi" w:cstheme="minorBidi"/>
          <w:sz w:val="22"/>
        </w:rPr>
      </w:pPr>
      <w:hyperlink w:anchor="_Toc68786693" w:history="1">
        <w:r w:rsidR="009A7930" w:rsidRPr="004B203D">
          <w:rPr>
            <w:rStyle w:val="Hyperlink"/>
            <w:rFonts w:eastAsia="Calibri"/>
          </w:rPr>
          <w:t xml:space="preserve">Figure 8.2.2 </w:t>
        </w:r>
        <w:r w:rsidR="009A7930">
          <w:rPr>
            <w:rFonts w:asciiTheme="minorHAnsi" w:eastAsiaTheme="minorEastAsia" w:hAnsiTheme="minorHAnsi" w:cstheme="minorBidi"/>
            <w:sz w:val="22"/>
          </w:rPr>
          <w:tab/>
        </w:r>
        <w:r w:rsidR="009A7930" w:rsidRPr="004B203D">
          <w:rPr>
            <w:rStyle w:val="Hyperlink"/>
            <w:rFonts w:eastAsia="Calibri"/>
          </w:rPr>
          <w:t>Energy emissions by category for Tokelau (kt CO</w:t>
        </w:r>
        <w:r w:rsidR="009A7930" w:rsidRPr="004B203D">
          <w:rPr>
            <w:rStyle w:val="Hyperlink"/>
            <w:rFonts w:eastAsia="Calibri"/>
            <w:vertAlign w:val="subscript"/>
          </w:rPr>
          <w:t>2</w:t>
        </w:r>
        <w:r w:rsidR="009A7930" w:rsidRPr="004B203D">
          <w:rPr>
            <w:rStyle w:val="Hyperlink"/>
            <w:rFonts w:eastAsia="Calibri"/>
          </w:rPr>
          <w:t>-e) from 1990 to 2019</w:t>
        </w:r>
        <w:r w:rsidR="009A7930">
          <w:rPr>
            <w:webHidden/>
          </w:rPr>
          <w:tab/>
        </w:r>
        <w:r w:rsidR="009A7930">
          <w:rPr>
            <w:webHidden/>
          </w:rPr>
          <w:fldChar w:fldCharType="begin"/>
        </w:r>
        <w:r w:rsidR="009A7930">
          <w:rPr>
            <w:webHidden/>
          </w:rPr>
          <w:instrText xml:space="preserve"> PAGEREF _Toc68786693 \h </w:instrText>
        </w:r>
        <w:r w:rsidR="009A7930">
          <w:rPr>
            <w:webHidden/>
          </w:rPr>
        </w:r>
        <w:r w:rsidR="009A7930">
          <w:rPr>
            <w:webHidden/>
          </w:rPr>
          <w:fldChar w:fldCharType="separate"/>
        </w:r>
        <w:r w:rsidR="00B94D2F">
          <w:rPr>
            <w:webHidden/>
          </w:rPr>
          <w:t>412</w:t>
        </w:r>
        <w:r w:rsidR="009A7930">
          <w:rPr>
            <w:webHidden/>
          </w:rPr>
          <w:fldChar w:fldCharType="end"/>
        </w:r>
      </w:hyperlink>
    </w:p>
    <w:p w14:paraId="1F4CC62E" w14:textId="7FC5F118" w:rsidR="009A7930" w:rsidRDefault="00087879">
      <w:pPr>
        <w:pStyle w:val="TableofFigures"/>
        <w:rPr>
          <w:rFonts w:asciiTheme="minorHAnsi" w:eastAsiaTheme="minorEastAsia" w:hAnsiTheme="minorHAnsi" w:cstheme="minorBidi"/>
          <w:sz w:val="22"/>
        </w:rPr>
      </w:pPr>
      <w:hyperlink w:anchor="_Toc68786694" w:history="1">
        <w:r w:rsidR="009A7930" w:rsidRPr="004B203D">
          <w:rPr>
            <w:rStyle w:val="Hyperlink"/>
            <w:rFonts w:eastAsia="Calibri"/>
          </w:rPr>
          <w:t xml:space="preserve">Figure 8.3.1 </w:t>
        </w:r>
        <w:r w:rsidR="009A7930">
          <w:rPr>
            <w:rFonts w:asciiTheme="minorHAnsi" w:eastAsiaTheme="minorEastAsia" w:hAnsiTheme="minorHAnsi" w:cstheme="minorBidi"/>
            <w:sz w:val="22"/>
          </w:rPr>
          <w:tab/>
        </w:r>
        <w:r w:rsidR="009A7930" w:rsidRPr="004B203D">
          <w:rPr>
            <w:rStyle w:val="Hyperlink"/>
            <w:rFonts w:eastAsia="Calibri"/>
          </w:rPr>
          <w:t>IPPU emissions by category for Tokelau (kt CO</w:t>
        </w:r>
        <w:r w:rsidR="009A7930" w:rsidRPr="004B203D">
          <w:rPr>
            <w:rStyle w:val="Hyperlink"/>
            <w:rFonts w:eastAsia="Calibri"/>
            <w:vertAlign w:val="subscript"/>
          </w:rPr>
          <w:t>2</w:t>
        </w:r>
        <w:r w:rsidR="009A7930" w:rsidRPr="004B203D">
          <w:rPr>
            <w:rStyle w:val="Hyperlink"/>
            <w:rFonts w:eastAsia="Calibri"/>
          </w:rPr>
          <w:t>-e) from 1990 to 2019</w:t>
        </w:r>
        <w:r w:rsidR="009A7930">
          <w:rPr>
            <w:webHidden/>
          </w:rPr>
          <w:tab/>
        </w:r>
        <w:r w:rsidR="009A7930">
          <w:rPr>
            <w:webHidden/>
          </w:rPr>
          <w:fldChar w:fldCharType="begin"/>
        </w:r>
        <w:r w:rsidR="009A7930">
          <w:rPr>
            <w:webHidden/>
          </w:rPr>
          <w:instrText xml:space="preserve"> PAGEREF _Toc68786694 \h </w:instrText>
        </w:r>
        <w:r w:rsidR="009A7930">
          <w:rPr>
            <w:webHidden/>
          </w:rPr>
        </w:r>
        <w:r w:rsidR="009A7930">
          <w:rPr>
            <w:webHidden/>
          </w:rPr>
          <w:fldChar w:fldCharType="separate"/>
        </w:r>
        <w:r w:rsidR="00B94D2F">
          <w:rPr>
            <w:webHidden/>
          </w:rPr>
          <w:t>418</w:t>
        </w:r>
        <w:r w:rsidR="009A7930">
          <w:rPr>
            <w:webHidden/>
          </w:rPr>
          <w:fldChar w:fldCharType="end"/>
        </w:r>
      </w:hyperlink>
    </w:p>
    <w:p w14:paraId="5F5BA2A8" w14:textId="2AA5E5EA" w:rsidR="009A7930" w:rsidRDefault="00087879">
      <w:pPr>
        <w:pStyle w:val="TableofFigures"/>
        <w:rPr>
          <w:rFonts w:asciiTheme="minorHAnsi" w:eastAsiaTheme="minorEastAsia" w:hAnsiTheme="minorHAnsi" w:cstheme="minorBidi"/>
          <w:sz w:val="22"/>
        </w:rPr>
      </w:pPr>
      <w:hyperlink w:anchor="_Toc68786695" w:history="1">
        <w:r w:rsidR="009A7930" w:rsidRPr="004B203D">
          <w:rPr>
            <w:rStyle w:val="Hyperlink"/>
            <w:rFonts w:eastAsia="Calibri"/>
          </w:rPr>
          <w:t xml:space="preserve">Figure 8.3.2 </w:t>
        </w:r>
        <w:r w:rsidR="009A7930">
          <w:rPr>
            <w:rFonts w:asciiTheme="minorHAnsi" w:eastAsiaTheme="minorEastAsia" w:hAnsiTheme="minorHAnsi" w:cstheme="minorBidi"/>
            <w:sz w:val="22"/>
          </w:rPr>
          <w:tab/>
        </w:r>
        <w:r w:rsidR="009A7930" w:rsidRPr="004B203D">
          <w:rPr>
            <w:rStyle w:val="Hyperlink"/>
            <w:rFonts w:eastAsia="Calibri"/>
          </w:rPr>
          <w:t>Agriculture emissions by category for Tokelau (kt CO</w:t>
        </w:r>
        <w:r w:rsidR="009A7930" w:rsidRPr="004B203D">
          <w:rPr>
            <w:rStyle w:val="Hyperlink"/>
            <w:rFonts w:eastAsia="Calibri"/>
            <w:vertAlign w:val="subscript"/>
          </w:rPr>
          <w:t>2</w:t>
        </w:r>
        <w:r w:rsidR="009A7930" w:rsidRPr="004B203D">
          <w:rPr>
            <w:rStyle w:val="Hyperlink"/>
            <w:rFonts w:eastAsia="Calibri"/>
          </w:rPr>
          <w:t>-e) from 1990 to 2019</w:t>
        </w:r>
        <w:r w:rsidR="009A7930">
          <w:rPr>
            <w:webHidden/>
          </w:rPr>
          <w:tab/>
        </w:r>
        <w:r w:rsidR="009A7930">
          <w:rPr>
            <w:webHidden/>
          </w:rPr>
          <w:fldChar w:fldCharType="begin"/>
        </w:r>
        <w:r w:rsidR="009A7930">
          <w:rPr>
            <w:webHidden/>
          </w:rPr>
          <w:instrText xml:space="preserve"> PAGEREF _Toc68786695 \h </w:instrText>
        </w:r>
        <w:r w:rsidR="009A7930">
          <w:rPr>
            <w:webHidden/>
          </w:rPr>
        </w:r>
        <w:r w:rsidR="009A7930">
          <w:rPr>
            <w:webHidden/>
          </w:rPr>
          <w:fldChar w:fldCharType="separate"/>
        </w:r>
        <w:r w:rsidR="00B94D2F">
          <w:rPr>
            <w:webHidden/>
          </w:rPr>
          <w:t>422</w:t>
        </w:r>
        <w:r w:rsidR="009A7930">
          <w:rPr>
            <w:webHidden/>
          </w:rPr>
          <w:fldChar w:fldCharType="end"/>
        </w:r>
      </w:hyperlink>
    </w:p>
    <w:p w14:paraId="597BFFF7" w14:textId="67CE9A95" w:rsidR="009A7930" w:rsidRDefault="00087879">
      <w:pPr>
        <w:pStyle w:val="TableofFigures"/>
        <w:rPr>
          <w:rFonts w:asciiTheme="minorHAnsi" w:eastAsiaTheme="minorEastAsia" w:hAnsiTheme="minorHAnsi" w:cstheme="minorBidi"/>
          <w:sz w:val="22"/>
        </w:rPr>
      </w:pPr>
      <w:hyperlink w:anchor="_Toc68786696" w:history="1">
        <w:r w:rsidR="009A7930" w:rsidRPr="004B203D">
          <w:rPr>
            <w:rStyle w:val="Hyperlink"/>
            <w:rFonts w:eastAsia="Calibri"/>
          </w:rPr>
          <w:t xml:space="preserve">Figure 8.5.1 </w:t>
        </w:r>
        <w:r w:rsidR="009A7930">
          <w:rPr>
            <w:rFonts w:asciiTheme="minorHAnsi" w:eastAsiaTheme="minorEastAsia" w:hAnsiTheme="minorHAnsi" w:cstheme="minorBidi"/>
            <w:sz w:val="22"/>
          </w:rPr>
          <w:tab/>
        </w:r>
        <w:r w:rsidR="009A7930" w:rsidRPr="004B203D">
          <w:rPr>
            <w:rStyle w:val="Hyperlink"/>
            <w:rFonts w:eastAsia="Calibri"/>
          </w:rPr>
          <w:t>Waste sector emissions by category for Tokelau (kt CO</w:t>
        </w:r>
        <w:r w:rsidR="009A7930" w:rsidRPr="004B203D">
          <w:rPr>
            <w:rStyle w:val="Hyperlink"/>
            <w:rFonts w:eastAsia="Calibri"/>
            <w:vertAlign w:val="subscript"/>
          </w:rPr>
          <w:t>2</w:t>
        </w:r>
        <w:r w:rsidR="009A7930" w:rsidRPr="004B203D">
          <w:rPr>
            <w:rStyle w:val="Hyperlink"/>
            <w:rFonts w:eastAsia="Calibri"/>
          </w:rPr>
          <w:t>-e) from 1990 to 2019</w:t>
        </w:r>
        <w:r w:rsidR="009A7930">
          <w:rPr>
            <w:webHidden/>
          </w:rPr>
          <w:tab/>
        </w:r>
        <w:r w:rsidR="009A7930">
          <w:rPr>
            <w:webHidden/>
          </w:rPr>
          <w:fldChar w:fldCharType="begin"/>
        </w:r>
        <w:r w:rsidR="009A7930">
          <w:rPr>
            <w:webHidden/>
          </w:rPr>
          <w:instrText xml:space="preserve"> PAGEREF _Toc68786696 \h </w:instrText>
        </w:r>
        <w:r w:rsidR="009A7930">
          <w:rPr>
            <w:webHidden/>
          </w:rPr>
        </w:r>
        <w:r w:rsidR="009A7930">
          <w:rPr>
            <w:webHidden/>
          </w:rPr>
          <w:fldChar w:fldCharType="separate"/>
        </w:r>
        <w:r w:rsidR="00B94D2F">
          <w:rPr>
            <w:webHidden/>
          </w:rPr>
          <w:t>425</w:t>
        </w:r>
        <w:r w:rsidR="009A7930">
          <w:rPr>
            <w:webHidden/>
          </w:rPr>
          <w:fldChar w:fldCharType="end"/>
        </w:r>
      </w:hyperlink>
    </w:p>
    <w:p w14:paraId="05178704" w14:textId="216D3DCA" w:rsidR="009A7930" w:rsidRDefault="00087879">
      <w:pPr>
        <w:pStyle w:val="TableofFigures"/>
        <w:rPr>
          <w:rFonts w:asciiTheme="minorHAnsi" w:eastAsiaTheme="minorEastAsia" w:hAnsiTheme="minorHAnsi" w:cstheme="minorBidi"/>
          <w:sz w:val="22"/>
        </w:rPr>
      </w:pPr>
      <w:hyperlink w:anchor="_Toc68786697" w:history="1">
        <w:r w:rsidR="009A7930" w:rsidRPr="004B203D">
          <w:rPr>
            <w:rStyle w:val="Hyperlink"/>
          </w:rPr>
          <w:t xml:space="preserve">Figure 10.1.1 </w:t>
        </w:r>
        <w:r w:rsidR="009A7930">
          <w:rPr>
            <w:rFonts w:asciiTheme="minorHAnsi" w:eastAsiaTheme="minorEastAsia" w:hAnsiTheme="minorHAnsi" w:cstheme="minorBidi"/>
            <w:sz w:val="22"/>
          </w:rPr>
          <w:tab/>
        </w:r>
        <w:r w:rsidR="009A7930" w:rsidRPr="004B203D">
          <w:rPr>
            <w:rStyle w:val="Hyperlink"/>
          </w:rPr>
          <w:t>Effect of recalculations on New Zealand’s gross greenhouse gas emissions from 1990 to 2018</w:t>
        </w:r>
        <w:r w:rsidR="009A7930">
          <w:rPr>
            <w:webHidden/>
          </w:rPr>
          <w:tab/>
        </w:r>
        <w:r w:rsidR="009A7930">
          <w:rPr>
            <w:webHidden/>
          </w:rPr>
          <w:fldChar w:fldCharType="begin"/>
        </w:r>
        <w:r w:rsidR="009A7930">
          <w:rPr>
            <w:webHidden/>
          </w:rPr>
          <w:instrText xml:space="preserve"> PAGEREF _Toc68786697 \h </w:instrText>
        </w:r>
        <w:r w:rsidR="009A7930">
          <w:rPr>
            <w:webHidden/>
          </w:rPr>
        </w:r>
        <w:r w:rsidR="009A7930">
          <w:rPr>
            <w:webHidden/>
          </w:rPr>
          <w:fldChar w:fldCharType="separate"/>
        </w:r>
        <w:r w:rsidR="00B94D2F">
          <w:rPr>
            <w:webHidden/>
          </w:rPr>
          <w:t>434</w:t>
        </w:r>
        <w:r w:rsidR="009A7930">
          <w:rPr>
            <w:webHidden/>
          </w:rPr>
          <w:fldChar w:fldCharType="end"/>
        </w:r>
      </w:hyperlink>
    </w:p>
    <w:p w14:paraId="72A36796" w14:textId="45D75F05" w:rsidR="009A7930" w:rsidRDefault="00087879">
      <w:pPr>
        <w:pStyle w:val="TableofFigures"/>
        <w:rPr>
          <w:rFonts w:asciiTheme="minorHAnsi" w:eastAsiaTheme="minorEastAsia" w:hAnsiTheme="minorHAnsi" w:cstheme="minorBidi"/>
          <w:sz w:val="22"/>
        </w:rPr>
      </w:pPr>
      <w:hyperlink w:anchor="_Toc68786698" w:history="1">
        <w:r w:rsidR="009A7930" w:rsidRPr="004B203D">
          <w:rPr>
            <w:rStyle w:val="Hyperlink"/>
          </w:rPr>
          <w:t xml:space="preserve">Figure 10.1.2 </w:t>
        </w:r>
        <w:r w:rsidR="009A7930">
          <w:rPr>
            <w:rFonts w:asciiTheme="minorHAnsi" w:eastAsiaTheme="minorEastAsia" w:hAnsiTheme="minorHAnsi" w:cstheme="minorBidi"/>
            <w:sz w:val="22"/>
          </w:rPr>
          <w:tab/>
        </w:r>
        <w:r w:rsidR="009A7930" w:rsidRPr="004B203D">
          <w:rPr>
            <w:rStyle w:val="Hyperlink"/>
          </w:rPr>
          <w:t>Effect of changes to activity data on New Zealand’s Energy sector from 1990 to 2018</w:t>
        </w:r>
        <w:r w:rsidR="009A7930">
          <w:rPr>
            <w:webHidden/>
          </w:rPr>
          <w:tab/>
        </w:r>
        <w:r w:rsidR="009A7930">
          <w:rPr>
            <w:webHidden/>
          </w:rPr>
          <w:fldChar w:fldCharType="begin"/>
        </w:r>
        <w:r w:rsidR="009A7930">
          <w:rPr>
            <w:webHidden/>
          </w:rPr>
          <w:instrText xml:space="preserve"> PAGEREF _Toc68786698 \h </w:instrText>
        </w:r>
        <w:r w:rsidR="009A7930">
          <w:rPr>
            <w:webHidden/>
          </w:rPr>
        </w:r>
        <w:r w:rsidR="009A7930">
          <w:rPr>
            <w:webHidden/>
          </w:rPr>
          <w:fldChar w:fldCharType="separate"/>
        </w:r>
        <w:r w:rsidR="00B94D2F">
          <w:rPr>
            <w:webHidden/>
          </w:rPr>
          <w:t>435</w:t>
        </w:r>
        <w:r w:rsidR="009A7930">
          <w:rPr>
            <w:webHidden/>
          </w:rPr>
          <w:fldChar w:fldCharType="end"/>
        </w:r>
      </w:hyperlink>
    </w:p>
    <w:p w14:paraId="01C9DC1C" w14:textId="2CB5A2F2" w:rsidR="009A7930" w:rsidRDefault="00087879">
      <w:pPr>
        <w:pStyle w:val="TableofFigures"/>
        <w:rPr>
          <w:rFonts w:asciiTheme="minorHAnsi" w:eastAsiaTheme="minorEastAsia" w:hAnsiTheme="minorHAnsi" w:cstheme="minorBidi"/>
          <w:sz w:val="22"/>
        </w:rPr>
      </w:pPr>
      <w:hyperlink w:anchor="_Toc68786699" w:history="1">
        <w:r w:rsidR="009A7930" w:rsidRPr="004B203D">
          <w:rPr>
            <w:rStyle w:val="Hyperlink"/>
          </w:rPr>
          <w:t xml:space="preserve">Figure 10.1.3 </w:t>
        </w:r>
        <w:r w:rsidR="009A7930">
          <w:rPr>
            <w:rFonts w:asciiTheme="minorHAnsi" w:eastAsiaTheme="minorEastAsia" w:hAnsiTheme="minorHAnsi" w:cstheme="minorBidi"/>
            <w:sz w:val="22"/>
          </w:rPr>
          <w:tab/>
        </w:r>
        <w:r w:rsidR="009A7930" w:rsidRPr="004B203D">
          <w:rPr>
            <w:rStyle w:val="Hyperlink"/>
          </w:rPr>
          <w:t>Effect of recalculations on the IPPU sector from 1990 to 2018</w:t>
        </w:r>
        <w:r w:rsidR="009A7930">
          <w:rPr>
            <w:webHidden/>
          </w:rPr>
          <w:tab/>
        </w:r>
        <w:r w:rsidR="009A7930">
          <w:rPr>
            <w:webHidden/>
          </w:rPr>
          <w:fldChar w:fldCharType="begin"/>
        </w:r>
        <w:r w:rsidR="009A7930">
          <w:rPr>
            <w:webHidden/>
          </w:rPr>
          <w:instrText xml:space="preserve"> PAGEREF _Toc68786699 \h </w:instrText>
        </w:r>
        <w:r w:rsidR="009A7930">
          <w:rPr>
            <w:webHidden/>
          </w:rPr>
        </w:r>
        <w:r w:rsidR="009A7930">
          <w:rPr>
            <w:webHidden/>
          </w:rPr>
          <w:fldChar w:fldCharType="separate"/>
        </w:r>
        <w:r w:rsidR="00B94D2F">
          <w:rPr>
            <w:webHidden/>
          </w:rPr>
          <w:t>437</w:t>
        </w:r>
        <w:r w:rsidR="009A7930">
          <w:rPr>
            <w:webHidden/>
          </w:rPr>
          <w:fldChar w:fldCharType="end"/>
        </w:r>
      </w:hyperlink>
    </w:p>
    <w:p w14:paraId="380DBFF7" w14:textId="54EA96CA" w:rsidR="009A7930" w:rsidRDefault="00087879">
      <w:pPr>
        <w:pStyle w:val="TableofFigures"/>
        <w:rPr>
          <w:rFonts w:asciiTheme="minorHAnsi" w:eastAsiaTheme="minorEastAsia" w:hAnsiTheme="minorHAnsi" w:cstheme="minorBidi"/>
          <w:sz w:val="22"/>
        </w:rPr>
      </w:pPr>
      <w:hyperlink w:anchor="_Toc68786700" w:history="1">
        <w:r w:rsidR="009A7930" w:rsidRPr="004B203D">
          <w:rPr>
            <w:rStyle w:val="Hyperlink"/>
          </w:rPr>
          <w:t xml:space="preserve">Figure 10.1.4 </w:t>
        </w:r>
        <w:r w:rsidR="009A7930">
          <w:rPr>
            <w:rFonts w:asciiTheme="minorHAnsi" w:eastAsiaTheme="minorEastAsia" w:hAnsiTheme="minorHAnsi" w:cstheme="minorBidi"/>
            <w:sz w:val="22"/>
          </w:rPr>
          <w:tab/>
        </w:r>
        <w:r w:rsidR="009A7930" w:rsidRPr="004B203D">
          <w:rPr>
            <w:rStyle w:val="Hyperlink"/>
          </w:rPr>
          <w:t>Effect of recalculations on New Zealand’s Agriculture sector from 1990 to 2018</w:t>
        </w:r>
        <w:r w:rsidR="009A7930">
          <w:rPr>
            <w:webHidden/>
          </w:rPr>
          <w:tab/>
        </w:r>
        <w:r w:rsidR="009A7930">
          <w:rPr>
            <w:webHidden/>
          </w:rPr>
          <w:fldChar w:fldCharType="begin"/>
        </w:r>
        <w:r w:rsidR="009A7930">
          <w:rPr>
            <w:webHidden/>
          </w:rPr>
          <w:instrText xml:space="preserve"> PAGEREF _Toc68786700 \h </w:instrText>
        </w:r>
        <w:r w:rsidR="009A7930">
          <w:rPr>
            <w:webHidden/>
          </w:rPr>
        </w:r>
        <w:r w:rsidR="009A7930">
          <w:rPr>
            <w:webHidden/>
          </w:rPr>
          <w:fldChar w:fldCharType="separate"/>
        </w:r>
        <w:r w:rsidR="00B94D2F">
          <w:rPr>
            <w:webHidden/>
          </w:rPr>
          <w:t>441</w:t>
        </w:r>
        <w:r w:rsidR="009A7930">
          <w:rPr>
            <w:webHidden/>
          </w:rPr>
          <w:fldChar w:fldCharType="end"/>
        </w:r>
      </w:hyperlink>
    </w:p>
    <w:p w14:paraId="028A3D81" w14:textId="26C32B54" w:rsidR="009A7930" w:rsidRDefault="00087879">
      <w:pPr>
        <w:pStyle w:val="TableofFigures"/>
        <w:rPr>
          <w:rFonts w:asciiTheme="minorHAnsi" w:eastAsiaTheme="minorEastAsia" w:hAnsiTheme="minorHAnsi" w:cstheme="minorBidi"/>
          <w:sz w:val="22"/>
        </w:rPr>
      </w:pPr>
      <w:hyperlink w:anchor="_Toc68786701" w:history="1">
        <w:r w:rsidR="009A7930" w:rsidRPr="004B203D">
          <w:rPr>
            <w:rStyle w:val="Hyperlink"/>
          </w:rPr>
          <w:t xml:space="preserve">Figure 10.1.5 </w:t>
        </w:r>
        <w:r w:rsidR="009A7930">
          <w:rPr>
            <w:rFonts w:asciiTheme="minorHAnsi" w:eastAsiaTheme="minorEastAsia" w:hAnsiTheme="minorHAnsi" w:cstheme="minorBidi"/>
            <w:sz w:val="22"/>
          </w:rPr>
          <w:tab/>
        </w:r>
        <w:r w:rsidR="009A7930" w:rsidRPr="004B203D">
          <w:rPr>
            <w:rStyle w:val="Hyperlink"/>
          </w:rPr>
          <w:t>Effect of recalculations on net emissions from New Zealand’s LULUCF sector from 1990 to 2018</w:t>
        </w:r>
        <w:r w:rsidR="009A7930">
          <w:rPr>
            <w:webHidden/>
          </w:rPr>
          <w:tab/>
        </w:r>
        <w:r w:rsidR="009A7930">
          <w:rPr>
            <w:webHidden/>
          </w:rPr>
          <w:fldChar w:fldCharType="begin"/>
        </w:r>
        <w:r w:rsidR="009A7930">
          <w:rPr>
            <w:webHidden/>
          </w:rPr>
          <w:instrText xml:space="preserve"> PAGEREF _Toc68786701 \h </w:instrText>
        </w:r>
        <w:r w:rsidR="009A7930">
          <w:rPr>
            <w:webHidden/>
          </w:rPr>
        </w:r>
        <w:r w:rsidR="009A7930">
          <w:rPr>
            <w:webHidden/>
          </w:rPr>
          <w:fldChar w:fldCharType="separate"/>
        </w:r>
        <w:r w:rsidR="00B94D2F">
          <w:rPr>
            <w:webHidden/>
          </w:rPr>
          <w:t>442</w:t>
        </w:r>
        <w:r w:rsidR="009A7930">
          <w:rPr>
            <w:webHidden/>
          </w:rPr>
          <w:fldChar w:fldCharType="end"/>
        </w:r>
      </w:hyperlink>
    </w:p>
    <w:p w14:paraId="0C662F05" w14:textId="548C6C63" w:rsidR="009A7930" w:rsidRDefault="00087879">
      <w:pPr>
        <w:pStyle w:val="TableofFigures"/>
        <w:rPr>
          <w:rFonts w:asciiTheme="minorHAnsi" w:eastAsiaTheme="minorEastAsia" w:hAnsiTheme="minorHAnsi" w:cstheme="minorBidi"/>
          <w:sz w:val="22"/>
        </w:rPr>
      </w:pPr>
      <w:hyperlink w:anchor="_Toc68786702" w:history="1">
        <w:r w:rsidR="009A7930" w:rsidRPr="004B203D">
          <w:rPr>
            <w:rStyle w:val="Hyperlink"/>
          </w:rPr>
          <w:t xml:space="preserve">Figure 10.1.6 </w:t>
        </w:r>
        <w:r w:rsidR="009A7930">
          <w:rPr>
            <w:rFonts w:asciiTheme="minorHAnsi" w:eastAsiaTheme="minorEastAsia" w:hAnsiTheme="minorHAnsi" w:cstheme="minorBidi"/>
            <w:sz w:val="22"/>
          </w:rPr>
          <w:tab/>
        </w:r>
        <w:r w:rsidR="009A7930" w:rsidRPr="004B203D">
          <w:rPr>
            <w:rStyle w:val="Hyperlink"/>
          </w:rPr>
          <w:t>Effect of recalculations on New Zealand’s Waste sector from 1990 to 2018</w:t>
        </w:r>
        <w:r w:rsidR="009A7930">
          <w:rPr>
            <w:webHidden/>
          </w:rPr>
          <w:tab/>
        </w:r>
        <w:r w:rsidR="009A7930">
          <w:rPr>
            <w:webHidden/>
          </w:rPr>
          <w:fldChar w:fldCharType="begin"/>
        </w:r>
        <w:r w:rsidR="009A7930">
          <w:rPr>
            <w:webHidden/>
          </w:rPr>
          <w:instrText xml:space="preserve"> PAGEREF _Toc68786702 \h </w:instrText>
        </w:r>
        <w:r w:rsidR="009A7930">
          <w:rPr>
            <w:webHidden/>
          </w:rPr>
        </w:r>
        <w:r w:rsidR="009A7930">
          <w:rPr>
            <w:webHidden/>
          </w:rPr>
          <w:fldChar w:fldCharType="separate"/>
        </w:r>
        <w:r w:rsidR="00B94D2F">
          <w:rPr>
            <w:webHidden/>
          </w:rPr>
          <w:t>443</w:t>
        </w:r>
        <w:r w:rsidR="009A7930">
          <w:rPr>
            <w:webHidden/>
          </w:rPr>
          <w:fldChar w:fldCharType="end"/>
        </w:r>
      </w:hyperlink>
    </w:p>
    <w:p w14:paraId="47268C4A" w14:textId="315C5914" w:rsidR="009A7930" w:rsidRDefault="00087879">
      <w:pPr>
        <w:pStyle w:val="TableofFigures"/>
        <w:rPr>
          <w:rFonts w:asciiTheme="minorHAnsi" w:eastAsiaTheme="minorEastAsia" w:hAnsiTheme="minorHAnsi" w:cstheme="minorBidi"/>
          <w:sz w:val="22"/>
        </w:rPr>
      </w:pPr>
      <w:hyperlink w:anchor="_Toc68786703" w:history="1">
        <w:r w:rsidR="009A7930" w:rsidRPr="004B203D">
          <w:rPr>
            <w:rStyle w:val="Hyperlink"/>
          </w:rPr>
          <w:t xml:space="preserve">Figure 10.1.7 </w:t>
        </w:r>
        <w:r w:rsidR="009A7930">
          <w:rPr>
            <w:rFonts w:asciiTheme="minorHAnsi" w:eastAsiaTheme="minorEastAsia" w:hAnsiTheme="minorHAnsi" w:cstheme="minorBidi"/>
            <w:sz w:val="22"/>
          </w:rPr>
          <w:tab/>
        </w:r>
        <w:r w:rsidR="009A7930" w:rsidRPr="004B203D">
          <w:rPr>
            <w:rStyle w:val="Hyperlink"/>
          </w:rPr>
          <w:t>Effect of recalculations on the Other sector (Tokelau) from 1990 to 2018</w:t>
        </w:r>
        <w:r w:rsidR="009A7930">
          <w:rPr>
            <w:webHidden/>
          </w:rPr>
          <w:tab/>
        </w:r>
        <w:r w:rsidR="009A7930">
          <w:rPr>
            <w:webHidden/>
          </w:rPr>
          <w:fldChar w:fldCharType="begin"/>
        </w:r>
        <w:r w:rsidR="009A7930">
          <w:rPr>
            <w:webHidden/>
          </w:rPr>
          <w:instrText xml:space="preserve"> PAGEREF _Toc68786703 \h </w:instrText>
        </w:r>
        <w:r w:rsidR="009A7930">
          <w:rPr>
            <w:webHidden/>
          </w:rPr>
        </w:r>
        <w:r w:rsidR="009A7930">
          <w:rPr>
            <w:webHidden/>
          </w:rPr>
          <w:fldChar w:fldCharType="separate"/>
        </w:r>
        <w:r w:rsidR="00B94D2F">
          <w:rPr>
            <w:webHidden/>
          </w:rPr>
          <w:t>445</w:t>
        </w:r>
        <w:r w:rsidR="009A7930">
          <w:rPr>
            <w:webHidden/>
          </w:rPr>
          <w:fldChar w:fldCharType="end"/>
        </w:r>
      </w:hyperlink>
    </w:p>
    <w:p w14:paraId="2CE0C991" w14:textId="1FE3979F" w:rsidR="009A7930" w:rsidRDefault="00087879">
      <w:pPr>
        <w:pStyle w:val="TableofFigures"/>
        <w:rPr>
          <w:rFonts w:asciiTheme="minorHAnsi" w:eastAsiaTheme="minorEastAsia" w:hAnsiTheme="minorHAnsi" w:cstheme="minorBidi"/>
          <w:sz w:val="22"/>
        </w:rPr>
      </w:pPr>
      <w:hyperlink w:anchor="_Toc68786704" w:history="1">
        <w:r w:rsidR="009A7930" w:rsidRPr="004B203D">
          <w:rPr>
            <w:rStyle w:val="Hyperlink"/>
          </w:rPr>
          <w:t>Figure 11.3.1</w:t>
        </w:r>
        <w:r w:rsidR="009A7930">
          <w:rPr>
            <w:rFonts w:asciiTheme="minorHAnsi" w:eastAsiaTheme="minorEastAsia" w:hAnsiTheme="minorHAnsi" w:cstheme="minorBidi"/>
            <w:sz w:val="22"/>
          </w:rPr>
          <w:tab/>
        </w:r>
        <w:r w:rsidR="009A7930" w:rsidRPr="004B203D">
          <w:rPr>
            <w:rStyle w:val="Hyperlink"/>
          </w:rPr>
          <w:t>New Zealand’s annual areas of deforestation from 1990 to 2019</w:t>
        </w:r>
        <w:r w:rsidR="009A7930">
          <w:rPr>
            <w:webHidden/>
          </w:rPr>
          <w:tab/>
        </w:r>
        <w:r w:rsidR="009A7930">
          <w:rPr>
            <w:webHidden/>
          </w:rPr>
          <w:fldChar w:fldCharType="begin"/>
        </w:r>
        <w:r w:rsidR="009A7930">
          <w:rPr>
            <w:webHidden/>
          </w:rPr>
          <w:instrText xml:space="preserve"> PAGEREF _Toc68786704 \h </w:instrText>
        </w:r>
        <w:r w:rsidR="009A7930">
          <w:rPr>
            <w:webHidden/>
          </w:rPr>
        </w:r>
        <w:r w:rsidR="009A7930">
          <w:rPr>
            <w:webHidden/>
          </w:rPr>
          <w:fldChar w:fldCharType="separate"/>
        </w:r>
        <w:r w:rsidR="00B94D2F">
          <w:rPr>
            <w:webHidden/>
          </w:rPr>
          <w:t>475</w:t>
        </w:r>
        <w:r w:rsidR="009A7930">
          <w:rPr>
            <w:webHidden/>
          </w:rPr>
          <w:fldChar w:fldCharType="end"/>
        </w:r>
      </w:hyperlink>
    </w:p>
    <w:p w14:paraId="46A1904C" w14:textId="1F0433A4" w:rsidR="009A7930" w:rsidRDefault="00087879">
      <w:pPr>
        <w:pStyle w:val="TableofFigures"/>
        <w:rPr>
          <w:rFonts w:asciiTheme="minorHAnsi" w:eastAsiaTheme="minorEastAsia" w:hAnsiTheme="minorHAnsi" w:cstheme="minorBidi"/>
          <w:sz w:val="22"/>
        </w:rPr>
      </w:pPr>
      <w:hyperlink w:anchor="_Toc68786705" w:history="1">
        <w:r w:rsidR="009A7930" w:rsidRPr="004B203D">
          <w:rPr>
            <w:rStyle w:val="Hyperlink"/>
          </w:rPr>
          <w:t>Figure 11.5.1</w:t>
        </w:r>
        <w:r w:rsidR="009A7930">
          <w:rPr>
            <w:rFonts w:asciiTheme="minorHAnsi" w:eastAsiaTheme="minorEastAsia" w:hAnsiTheme="minorHAnsi" w:cstheme="minorBidi"/>
            <w:sz w:val="22"/>
          </w:rPr>
          <w:tab/>
        </w:r>
        <w:r w:rsidR="009A7930" w:rsidRPr="004B203D">
          <w:rPr>
            <w:rStyle w:val="Hyperlink"/>
          </w:rPr>
          <w:t>Verification of deforestation in New Zealand</w:t>
        </w:r>
        <w:r w:rsidR="009A7930">
          <w:rPr>
            <w:webHidden/>
          </w:rPr>
          <w:tab/>
        </w:r>
        <w:r w:rsidR="009A7930">
          <w:rPr>
            <w:webHidden/>
          </w:rPr>
          <w:fldChar w:fldCharType="begin"/>
        </w:r>
        <w:r w:rsidR="009A7930">
          <w:rPr>
            <w:webHidden/>
          </w:rPr>
          <w:instrText xml:space="preserve"> PAGEREF _Toc68786705 \h </w:instrText>
        </w:r>
        <w:r w:rsidR="009A7930">
          <w:rPr>
            <w:webHidden/>
          </w:rPr>
        </w:r>
        <w:r w:rsidR="009A7930">
          <w:rPr>
            <w:webHidden/>
          </w:rPr>
          <w:fldChar w:fldCharType="separate"/>
        </w:r>
        <w:r w:rsidR="00B94D2F">
          <w:rPr>
            <w:webHidden/>
          </w:rPr>
          <w:t>486</w:t>
        </w:r>
        <w:r w:rsidR="009A7930">
          <w:rPr>
            <w:webHidden/>
          </w:rPr>
          <w:fldChar w:fldCharType="end"/>
        </w:r>
      </w:hyperlink>
    </w:p>
    <w:p w14:paraId="38A9ADBB" w14:textId="3F299E88" w:rsidR="00F33E01" w:rsidRPr="00BE78CA" w:rsidRDefault="005B6417" w:rsidP="00F33E01">
      <w:r w:rsidRPr="00BE78CA">
        <w:rPr>
          <w:rFonts w:ascii="Arial" w:hAnsi="Arial" w:cs="Calibri"/>
          <w:sz w:val="20"/>
        </w:rPr>
        <w:fldChar w:fldCharType="end"/>
      </w:r>
    </w:p>
    <w:p w14:paraId="7BD88CC9" w14:textId="58ECE0A1" w:rsidR="00AE71AD" w:rsidRPr="00BE78CA" w:rsidRDefault="00AE71AD" w:rsidP="000E497C"/>
    <w:p w14:paraId="5F00DEAE" w14:textId="77777777" w:rsidR="0001221A" w:rsidRPr="00BE78CA" w:rsidRDefault="0001221A" w:rsidP="000E497C">
      <w:pPr>
        <w:sectPr w:rsidR="0001221A" w:rsidRPr="00BE78CA" w:rsidSect="006C3B82">
          <w:footerReference w:type="even" r:id="rId18"/>
          <w:pgSz w:w="11907" w:h="16840" w:code="9"/>
          <w:pgMar w:top="1418" w:right="1701" w:bottom="1418" w:left="1701" w:header="567" w:footer="567" w:gutter="0"/>
          <w:pgNumType w:fmt="lowerRoman"/>
          <w:cols w:space="720"/>
        </w:sectPr>
      </w:pPr>
    </w:p>
    <w:p w14:paraId="3F6BA8DB" w14:textId="77777777" w:rsidR="0001221A" w:rsidRPr="00BE78CA" w:rsidRDefault="0001221A" w:rsidP="0001221A">
      <w:pPr>
        <w:pStyle w:val="Heading1"/>
      </w:pPr>
      <w:bookmarkStart w:id="10" w:name="_Toc36224357"/>
      <w:bookmarkStart w:id="11" w:name="_Toc68786277"/>
      <w:r w:rsidRPr="00BE78CA">
        <w:lastRenderedPageBreak/>
        <w:t>Abbreviations</w:t>
      </w:r>
      <w:bookmarkEnd w:id="10"/>
      <w:bookmarkEnd w:id="11"/>
    </w:p>
    <w:tbl>
      <w:tblPr>
        <w:tblW w:w="8618" w:type="dxa"/>
        <w:tblLook w:val="04A0" w:firstRow="1" w:lastRow="0" w:firstColumn="1" w:lastColumn="0" w:noHBand="0" w:noVBand="1"/>
      </w:tblPr>
      <w:tblGrid>
        <w:gridCol w:w="1526"/>
        <w:gridCol w:w="7092"/>
      </w:tblGrid>
      <w:tr w:rsidR="00EE10BF" w:rsidRPr="00BE78CA" w14:paraId="493C4658" w14:textId="77777777" w:rsidTr="00C26084">
        <w:tc>
          <w:tcPr>
            <w:tcW w:w="1526" w:type="dxa"/>
            <w:shd w:val="clear" w:color="auto" w:fill="auto"/>
          </w:tcPr>
          <w:p w14:paraId="77E9E90B"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AAP</w:t>
            </w:r>
          </w:p>
        </w:tc>
        <w:tc>
          <w:tcPr>
            <w:tcW w:w="7092" w:type="dxa"/>
            <w:shd w:val="clear" w:color="auto" w:fill="auto"/>
          </w:tcPr>
          <w:p w14:paraId="639E414E" w14:textId="77777777" w:rsidR="00EE10BF" w:rsidRPr="00BE78CA" w:rsidRDefault="00EE10BF" w:rsidP="00C26084">
            <w:pPr>
              <w:pStyle w:val="BodyText"/>
              <w:spacing w:before="100" w:after="0"/>
              <w:rPr>
                <w:rFonts w:eastAsia="Calibri" w:cs="Calibri"/>
                <w:sz w:val="20"/>
                <w:szCs w:val="20"/>
              </w:rPr>
            </w:pPr>
            <w:r w:rsidRPr="00BE78CA">
              <w:rPr>
                <w:rFonts w:cs="Calibri"/>
                <w:sz w:val="20"/>
                <w:szCs w:val="20"/>
              </w:rPr>
              <w:t>average animal population</w:t>
            </w:r>
          </w:p>
        </w:tc>
      </w:tr>
      <w:tr w:rsidR="00EE10BF" w:rsidRPr="00BE78CA" w14:paraId="050E7BD5" w14:textId="77777777" w:rsidTr="00C26084">
        <w:tc>
          <w:tcPr>
            <w:tcW w:w="1526" w:type="dxa"/>
            <w:shd w:val="clear" w:color="auto" w:fill="auto"/>
          </w:tcPr>
          <w:p w14:paraId="28638539"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AAU</w:t>
            </w:r>
          </w:p>
        </w:tc>
        <w:tc>
          <w:tcPr>
            <w:tcW w:w="7092" w:type="dxa"/>
            <w:shd w:val="clear" w:color="auto" w:fill="auto"/>
          </w:tcPr>
          <w:p w14:paraId="0CFA9ABA"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assigned amount unit</w:t>
            </w:r>
          </w:p>
        </w:tc>
      </w:tr>
      <w:tr w:rsidR="00EE10BF" w:rsidRPr="00BE78CA" w14:paraId="6AA0ABE4" w14:textId="77777777" w:rsidTr="00C26084">
        <w:tc>
          <w:tcPr>
            <w:tcW w:w="1526" w:type="dxa"/>
            <w:shd w:val="clear" w:color="auto" w:fill="auto"/>
          </w:tcPr>
          <w:p w14:paraId="17B15EF1"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AD</w:t>
            </w:r>
          </w:p>
        </w:tc>
        <w:tc>
          <w:tcPr>
            <w:tcW w:w="7092" w:type="dxa"/>
            <w:shd w:val="clear" w:color="auto" w:fill="auto"/>
          </w:tcPr>
          <w:p w14:paraId="0A93FEBF"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activity data</w:t>
            </w:r>
          </w:p>
        </w:tc>
      </w:tr>
      <w:tr w:rsidR="00EE10BF" w:rsidRPr="00BE78CA" w14:paraId="029B736C" w14:textId="77777777" w:rsidTr="00C26084">
        <w:tc>
          <w:tcPr>
            <w:tcW w:w="1526" w:type="dxa"/>
            <w:shd w:val="clear" w:color="auto" w:fill="auto"/>
          </w:tcPr>
          <w:p w14:paraId="30EF471C"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AIC</w:t>
            </w:r>
          </w:p>
        </w:tc>
        <w:tc>
          <w:tcPr>
            <w:tcW w:w="7092" w:type="dxa"/>
            <w:shd w:val="clear" w:color="auto" w:fill="auto"/>
          </w:tcPr>
          <w:p w14:paraId="6687CB9F" w14:textId="77777777" w:rsidR="00EE10BF" w:rsidRPr="00BE78CA" w:rsidRDefault="00EE10BF" w:rsidP="00C26084">
            <w:pPr>
              <w:pStyle w:val="BodyText"/>
              <w:spacing w:before="100" w:after="0"/>
              <w:rPr>
                <w:rFonts w:eastAsia="Calibri" w:cs="Calibri"/>
                <w:sz w:val="20"/>
                <w:szCs w:val="20"/>
              </w:rPr>
            </w:pPr>
            <w:r w:rsidRPr="00BE78CA">
              <w:rPr>
                <w:rFonts w:cs="Calibri"/>
                <w:sz w:val="20"/>
                <w:szCs w:val="20"/>
              </w:rPr>
              <w:t>Akaike information criterion</w:t>
            </w:r>
          </w:p>
        </w:tc>
      </w:tr>
      <w:tr w:rsidR="00EE10BF" w:rsidRPr="00BE78CA" w14:paraId="371D4410" w14:textId="77777777" w:rsidTr="00C26084">
        <w:tc>
          <w:tcPr>
            <w:tcW w:w="1526" w:type="dxa"/>
            <w:shd w:val="clear" w:color="auto" w:fill="auto"/>
          </w:tcPr>
          <w:p w14:paraId="20A7B5DA" w14:textId="77777777" w:rsidR="00EE10BF" w:rsidRPr="00BE78CA" w:rsidRDefault="00EE10BF" w:rsidP="00C26084">
            <w:pPr>
              <w:pStyle w:val="BodyText"/>
              <w:spacing w:before="100" w:after="0"/>
              <w:rPr>
                <w:rFonts w:eastAsia="Calibri" w:cs="Calibri"/>
                <w:b/>
                <w:bCs/>
                <w:sz w:val="20"/>
                <w:szCs w:val="20"/>
              </w:rPr>
            </w:pPr>
            <w:r w:rsidRPr="00BE78CA">
              <w:rPr>
                <w:rFonts w:cs="Calibri"/>
                <w:b/>
                <w:bCs/>
                <w:spacing w:val="-2"/>
                <w:sz w:val="20"/>
                <w:szCs w:val="20"/>
              </w:rPr>
              <w:t>ANZSIC</w:t>
            </w:r>
          </w:p>
        </w:tc>
        <w:tc>
          <w:tcPr>
            <w:tcW w:w="7092" w:type="dxa"/>
            <w:shd w:val="clear" w:color="auto" w:fill="auto"/>
          </w:tcPr>
          <w:p w14:paraId="5CF827D7" w14:textId="77777777" w:rsidR="00EE10BF" w:rsidRPr="00BE78CA" w:rsidRDefault="00EE10BF" w:rsidP="00C26084">
            <w:pPr>
              <w:pStyle w:val="BodyText"/>
              <w:spacing w:before="100" w:after="0"/>
              <w:rPr>
                <w:rFonts w:eastAsia="Calibri" w:cs="Calibri"/>
                <w:sz w:val="20"/>
                <w:szCs w:val="20"/>
              </w:rPr>
            </w:pPr>
            <w:r w:rsidRPr="00BE78CA">
              <w:rPr>
                <w:rFonts w:cs="Calibri"/>
                <w:spacing w:val="-2"/>
                <w:sz w:val="20"/>
                <w:szCs w:val="20"/>
              </w:rPr>
              <w:t>Australian and New Zealand Standard Industrial Classification</w:t>
            </w:r>
          </w:p>
        </w:tc>
      </w:tr>
      <w:tr w:rsidR="00EE10BF" w:rsidRPr="00BE78CA" w14:paraId="0E243F98" w14:textId="77777777" w:rsidTr="00C26084">
        <w:tc>
          <w:tcPr>
            <w:tcW w:w="1526" w:type="dxa"/>
            <w:shd w:val="clear" w:color="auto" w:fill="auto"/>
          </w:tcPr>
          <w:p w14:paraId="78C8F54C"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APEC</w:t>
            </w:r>
          </w:p>
        </w:tc>
        <w:tc>
          <w:tcPr>
            <w:tcW w:w="7092" w:type="dxa"/>
            <w:shd w:val="clear" w:color="auto" w:fill="auto"/>
          </w:tcPr>
          <w:p w14:paraId="50775C7E"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 xml:space="preserve">Asia-Pacific Economic Cooperation </w:t>
            </w:r>
          </w:p>
        </w:tc>
      </w:tr>
      <w:tr w:rsidR="00EE10BF" w:rsidRPr="00BE78CA" w14:paraId="7D9FEA8C" w14:textId="77777777" w:rsidTr="00C26084">
        <w:tc>
          <w:tcPr>
            <w:tcW w:w="1526" w:type="dxa"/>
            <w:shd w:val="clear" w:color="auto" w:fill="auto"/>
          </w:tcPr>
          <w:p w14:paraId="1FA85A53"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 xml:space="preserve">ARR </w:t>
            </w:r>
          </w:p>
        </w:tc>
        <w:tc>
          <w:tcPr>
            <w:tcW w:w="7092" w:type="dxa"/>
            <w:shd w:val="clear" w:color="auto" w:fill="auto"/>
          </w:tcPr>
          <w:p w14:paraId="189DED29"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assessment review report</w:t>
            </w:r>
          </w:p>
        </w:tc>
      </w:tr>
      <w:tr w:rsidR="00EE10BF" w:rsidRPr="00BE78CA" w14:paraId="780E87F2" w14:textId="77777777" w:rsidTr="00C26084">
        <w:tc>
          <w:tcPr>
            <w:tcW w:w="1526" w:type="dxa"/>
            <w:shd w:val="clear" w:color="auto" w:fill="auto"/>
          </w:tcPr>
          <w:p w14:paraId="7AF606F3"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BERG</w:t>
            </w:r>
          </w:p>
        </w:tc>
        <w:tc>
          <w:tcPr>
            <w:tcW w:w="7092" w:type="dxa"/>
            <w:shd w:val="clear" w:color="auto" w:fill="auto"/>
          </w:tcPr>
          <w:p w14:paraId="4B758F7D"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Biological Emissions Reference Group</w:t>
            </w:r>
          </w:p>
        </w:tc>
      </w:tr>
      <w:tr w:rsidR="00EE10BF" w:rsidRPr="00BE78CA" w14:paraId="487C63C8" w14:textId="77777777" w:rsidTr="00C26084">
        <w:tc>
          <w:tcPr>
            <w:tcW w:w="1526" w:type="dxa"/>
            <w:shd w:val="clear" w:color="auto" w:fill="auto"/>
          </w:tcPr>
          <w:p w14:paraId="60825170"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BOD</w:t>
            </w:r>
          </w:p>
        </w:tc>
        <w:tc>
          <w:tcPr>
            <w:tcW w:w="7092" w:type="dxa"/>
            <w:shd w:val="clear" w:color="auto" w:fill="auto"/>
          </w:tcPr>
          <w:p w14:paraId="027B1FB7"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biochemical oxygen demand</w:t>
            </w:r>
          </w:p>
        </w:tc>
      </w:tr>
      <w:tr w:rsidR="00EE10BF" w:rsidRPr="00BE78CA" w14:paraId="21937CEA" w14:textId="77777777" w:rsidTr="00C26084">
        <w:tc>
          <w:tcPr>
            <w:tcW w:w="1526" w:type="dxa"/>
            <w:shd w:val="clear" w:color="auto" w:fill="auto"/>
          </w:tcPr>
          <w:p w14:paraId="670CC141"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BRANZ</w:t>
            </w:r>
          </w:p>
        </w:tc>
        <w:tc>
          <w:tcPr>
            <w:tcW w:w="7092" w:type="dxa"/>
            <w:shd w:val="clear" w:color="auto" w:fill="auto"/>
          </w:tcPr>
          <w:p w14:paraId="6F5EC409"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Building Research Association of New Zealand</w:t>
            </w:r>
          </w:p>
        </w:tc>
      </w:tr>
      <w:tr w:rsidR="00EE10BF" w:rsidRPr="00BE78CA" w14:paraId="0EFC1DF0" w14:textId="77777777" w:rsidTr="00C26084">
        <w:tc>
          <w:tcPr>
            <w:tcW w:w="1526" w:type="dxa"/>
            <w:shd w:val="clear" w:color="auto" w:fill="auto"/>
          </w:tcPr>
          <w:p w14:paraId="322BE95C" w14:textId="77777777" w:rsidR="00EE10BF" w:rsidRPr="00BE78CA" w:rsidRDefault="00EE10BF" w:rsidP="00C26084">
            <w:pPr>
              <w:pStyle w:val="BodyText"/>
              <w:spacing w:before="100" w:after="0"/>
              <w:rPr>
                <w:rFonts w:eastAsia="Calibri" w:cs="Calibri"/>
                <w:b/>
                <w:sz w:val="20"/>
                <w:szCs w:val="20"/>
              </w:rPr>
            </w:pPr>
            <w:r w:rsidRPr="00BE78CA">
              <w:rPr>
                <w:rFonts w:cs="Calibri"/>
                <w:b/>
                <w:sz w:val="20"/>
                <w:szCs w:val="20"/>
              </w:rPr>
              <w:t>CF</w:t>
            </w:r>
            <w:r w:rsidRPr="00BE78CA">
              <w:rPr>
                <w:rFonts w:cs="Calibri"/>
                <w:b/>
                <w:sz w:val="20"/>
                <w:szCs w:val="20"/>
                <w:vertAlign w:val="subscript"/>
              </w:rPr>
              <w:t>4</w:t>
            </w:r>
          </w:p>
        </w:tc>
        <w:tc>
          <w:tcPr>
            <w:tcW w:w="7092" w:type="dxa"/>
            <w:shd w:val="clear" w:color="auto" w:fill="auto"/>
          </w:tcPr>
          <w:p w14:paraId="59A44BC8" w14:textId="77777777" w:rsidR="00EE10BF" w:rsidRPr="00BE78CA" w:rsidRDefault="00EE10BF" w:rsidP="00C26084">
            <w:pPr>
              <w:pStyle w:val="BodyText"/>
              <w:spacing w:before="100" w:after="0"/>
              <w:rPr>
                <w:rFonts w:eastAsia="Calibri" w:cs="Calibri"/>
                <w:sz w:val="20"/>
                <w:szCs w:val="20"/>
              </w:rPr>
            </w:pPr>
            <w:r w:rsidRPr="00BE78CA">
              <w:rPr>
                <w:rFonts w:cs="Calibri"/>
                <w:sz w:val="20"/>
                <w:szCs w:val="20"/>
              </w:rPr>
              <w:t>perfluoromethane</w:t>
            </w:r>
          </w:p>
        </w:tc>
      </w:tr>
      <w:tr w:rsidR="00EE10BF" w:rsidRPr="00BE78CA" w14:paraId="11EDCCD1" w14:textId="77777777" w:rsidTr="00C26084">
        <w:tc>
          <w:tcPr>
            <w:tcW w:w="1526" w:type="dxa"/>
            <w:shd w:val="clear" w:color="auto" w:fill="auto"/>
          </w:tcPr>
          <w:p w14:paraId="79153156" w14:textId="77777777" w:rsidR="00EE10BF" w:rsidRPr="00BE78CA" w:rsidRDefault="00EE10BF" w:rsidP="00C26084">
            <w:pPr>
              <w:pStyle w:val="BodyText"/>
              <w:spacing w:before="100" w:after="0"/>
              <w:rPr>
                <w:rFonts w:eastAsia="Calibri" w:cs="Calibri"/>
                <w:b/>
                <w:sz w:val="20"/>
                <w:szCs w:val="20"/>
              </w:rPr>
            </w:pPr>
            <w:r w:rsidRPr="00BE78CA">
              <w:rPr>
                <w:rFonts w:cs="Calibri"/>
                <w:b/>
                <w:sz w:val="20"/>
                <w:szCs w:val="20"/>
              </w:rPr>
              <w:t>C</w:t>
            </w:r>
            <w:r w:rsidRPr="00BE78CA">
              <w:rPr>
                <w:rFonts w:cs="Calibri"/>
                <w:b/>
                <w:sz w:val="20"/>
                <w:szCs w:val="20"/>
                <w:vertAlign w:val="subscript"/>
              </w:rPr>
              <w:t>2</w:t>
            </w:r>
            <w:r w:rsidRPr="00BE78CA">
              <w:rPr>
                <w:rFonts w:cs="Calibri"/>
                <w:b/>
                <w:sz w:val="20"/>
                <w:szCs w:val="20"/>
              </w:rPr>
              <w:t>F</w:t>
            </w:r>
            <w:r w:rsidRPr="00BE78CA">
              <w:rPr>
                <w:rFonts w:cs="Calibri"/>
                <w:b/>
                <w:sz w:val="20"/>
                <w:szCs w:val="20"/>
                <w:vertAlign w:val="subscript"/>
              </w:rPr>
              <w:t>6</w:t>
            </w:r>
          </w:p>
        </w:tc>
        <w:tc>
          <w:tcPr>
            <w:tcW w:w="7092" w:type="dxa"/>
            <w:shd w:val="clear" w:color="auto" w:fill="auto"/>
          </w:tcPr>
          <w:p w14:paraId="3D12B670" w14:textId="77777777" w:rsidR="00EE10BF" w:rsidRPr="00BE78CA" w:rsidRDefault="00EE10BF" w:rsidP="00C26084">
            <w:pPr>
              <w:pStyle w:val="BodyText"/>
              <w:spacing w:before="100" w:after="0"/>
              <w:rPr>
                <w:rFonts w:eastAsia="Calibri" w:cs="Calibri"/>
                <w:sz w:val="20"/>
                <w:szCs w:val="20"/>
              </w:rPr>
            </w:pPr>
            <w:r w:rsidRPr="00BE78CA">
              <w:rPr>
                <w:rFonts w:cs="Calibri"/>
                <w:sz w:val="20"/>
                <w:szCs w:val="20"/>
              </w:rPr>
              <w:t>perfluoroethane</w:t>
            </w:r>
          </w:p>
        </w:tc>
      </w:tr>
      <w:tr w:rsidR="00EE10BF" w:rsidRPr="00BE78CA" w14:paraId="0E63D792" w14:textId="77777777" w:rsidTr="00C26084">
        <w:tc>
          <w:tcPr>
            <w:tcW w:w="1526" w:type="dxa"/>
            <w:shd w:val="clear" w:color="auto" w:fill="auto"/>
          </w:tcPr>
          <w:p w14:paraId="6AD73781" w14:textId="77777777" w:rsidR="00EE10BF" w:rsidRPr="00BE78CA" w:rsidRDefault="00EE10BF" w:rsidP="00C26084">
            <w:pPr>
              <w:pStyle w:val="BodyText"/>
              <w:spacing w:before="100" w:after="0"/>
              <w:rPr>
                <w:rFonts w:cs="Calibri"/>
                <w:b/>
                <w:sz w:val="20"/>
                <w:szCs w:val="20"/>
              </w:rPr>
            </w:pPr>
            <w:r w:rsidRPr="00BE78CA">
              <w:rPr>
                <w:rFonts w:cs="Calibri"/>
                <w:b/>
                <w:sz w:val="20"/>
                <w:szCs w:val="20"/>
              </w:rPr>
              <w:t>C</w:t>
            </w:r>
            <w:r w:rsidRPr="00BE78CA">
              <w:rPr>
                <w:rFonts w:cs="Calibri"/>
                <w:b/>
                <w:sz w:val="20"/>
                <w:szCs w:val="20"/>
                <w:vertAlign w:val="subscript"/>
              </w:rPr>
              <w:t>3</w:t>
            </w:r>
            <w:r w:rsidRPr="00BE78CA">
              <w:rPr>
                <w:rFonts w:cs="Calibri"/>
                <w:b/>
                <w:sz w:val="20"/>
                <w:szCs w:val="20"/>
              </w:rPr>
              <w:t>F</w:t>
            </w:r>
            <w:r w:rsidRPr="00BE78CA">
              <w:rPr>
                <w:rFonts w:cs="Calibri"/>
                <w:b/>
                <w:sz w:val="20"/>
                <w:szCs w:val="20"/>
                <w:vertAlign w:val="subscript"/>
              </w:rPr>
              <w:t>8</w:t>
            </w:r>
          </w:p>
        </w:tc>
        <w:tc>
          <w:tcPr>
            <w:tcW w:w="7092" w:type="dxa"/>
            <w:shd w:val="clear" w:color="auto" w:fill="auto"/>
          </w:tcPr>
          <w:p w14:paraId="5D7937F0" w14:textId="77777777" w:rsidR="00EE10BF" w:rsidRPr="00BE78CA" w:rsidRDefault="00EE10BF" w:rsidP="00C26084">
            <w:pPr>
              <w:pStyle w:val="BodyText"/>
              <w:spacing w:before="100" w:after="0"/>
              <w:rPr>
                <w:rFonts w:cs="Calibri"/>
                <w:sz w:val="20"/>
                <w:szCs w:val="20"/>
              </w:rPr>
            </w:pPr>
            <w:r w:rsidRPr="00BE78CA">
              <w:rPr>
                <w:rFonts w:cs="Calibri"/>
                <w:sz w:val="20"/>
                <w:szCs w:val="20"/>
              </w:rPr>
              <w:t xml:space="preserve">perfluoropropane </w:t>
            </w:r>
          </w:p>
        </w:tc>
      </w:tr>
      <w:tr w:rsidR="00EE10BF" w:rsidRPr="00BE78CA" w14:paraId="0F32EEF7" w14:textId="77777777" w:rsidTr="00C26084">
        <w:tc>
          <w:tcPr>
            <w:tcW w:w="1526" w:type="dxa"/>
            <w:shd w:val="clear" w:color="auto" w:fill="auto"/>
          </w:tcPr>
          <w:p w14:paraId="2751A64D" w14:textId="77777777" w:rsidR="00EE10BF" w:rsidRPr="00BE78CA" w:rsidRDefault="00EE10BF" w:rsidP="00C26084">
            <w:pPr>
              <w:pStyle w:val="BodyText"/>
              <w:spacing w:before="100" w:after="0"/>
              <w:rPr>
                <w:rFonts w:eastAsia="Calibri" w:cs="Calibri"/>
                <w:b/>
                <w:sz w:val="20"/>
                <w:szCs w:val="20"/>
              </w:rPr>
            </w:pPr>
            <w:r w:rsidRPr="00BE78CA">
              <w:rPr>
                <w:rFonts w:cs="Calibri"/>
                <w:b/>
                <w:sz w:val="20"/>
                <w:szCs w:val="20"/>
              </w:rPr>
              <w:t>CaO</w:t>
            </w:r>
          </w:p>
        </w:tc>
        <w:tc>
          <w:tcPr>
            <w:tcW w:w="7092" w:type="dxa"/>
            <w:shd w:val="clear" w:color="auto" w:fill="auto"/>
          </w:tcPr>
          <w:p w14:paraId="02659C89" w14:textId="77777777" w:rsidR="00EE10BF" w:rsidRPr="00BE78CA" w:rsidRDefault="00EE10BF" w:rsidP="00C26084">
            <w:pPr>
              <w:pStyle w:val="BodyText"/>
              <w:spacing w:before="100" w:after="0"/>
              <w:rPr>
                <w:rFonts w:eastAsia="Calibri" w:cs="Calibri"/>
                <w:sz w:val="20"/>
                <w:szCs w:val="20"/>
              </w:rPr>
            </w:pPr>
            <w:r w:rsidRPr="00BE78CA">
              <w:rPr>
                <w:rFonts w:cs="Calibri"/>
                <w:sz w:val="20"/>
                <w:szCs w:val="20"/>
              </w:rPr>
              <w:t xml:space="preserve">calcium oxide </w:t>
            </w:r>
          </w:p>
        </w:tc>
      </w:tr>
      <w:tr w:rsidR="00EE10BF" w:rsidRPr="00BE78CA" w14:paraId="4AE8B503" w14:textId="77777777" w:rsidTr="00C26084">
        <w:tc>
          <w:tcPr>
            <w:tcW w:w="1526" w:type="dxa"/>
            <w:shd w:val="clear" w:color="auto" w:fill="auto"/>
          </w:tcPr>
          <w:p w14:paraId="3006403E" w14:textId="77777777" w:rsidR="00EE10BF" w:rsidRPr="00BE78CA" w:rsidRDefault="00EE10BF" w:rsidP="00C26084">
            <w:pPr>
              <w:pStyle w:val="BodyText"/>
              <w:spacing w:before="100" w:after="0"/>
              <w:rPr>
                <w:rFonts w:cs="Calibri"/>
                <w:b/>
                <w:sz w:val="20"/>
                <w:szCs w:val="20"/>
              </w:rPr>
            </w:pPr>
            <w:r w:rsidRPr="00BE78CA">
              <w:rPr>
                <w:rFonts w:cs="Calibri"/>
                <w:b/>
                <w:sz w:val="20"/>
                <w:szCs w:val="20"/>
              </w:rPr>
              <w:t>Ca(OH)</w:t>
            </w:r>
            <w:r w:rsidRPr="00BE78CA">
              <w:rPr>
                <w:rFonts w:cs="Calibri"/>
                <w:b/>
                <w:sz w:val="20"/>
                <w:szCs w:val="20"/>
                <w:vertAlign w:val="subscript"/>
              </w:rPr>
              <w:t>2</w:t>
            </w:r>
          </w:p>
        </w:tc>
        <w:tc>
          <w:tcPr>
            <w:tcW w:w="7092" w:type="dxa"/>
            <w:shd w:val="clear" w:color="auto" w:fill="auto"/>
          </w:tcPr>
          <w:p w14:paraId="7ADB5214" w14:textId="77777777" w:rsidR="00EE10BF" w:rsidRPr="00BE78CA" w:rsidRDefault="00EE10BF" w:rsidP="00C26084">
            <w:pPr>
              <w:pStyle w:val="BodyText"/>
              <w:spacing w:before="100" w:after="0"/>
              <w:rPr>
                <w:rFonts w:cs="Calibri"/>
                <w:sz w:val="20"/>
                <w:szCs w:val="20"/>
              </w:rPr>
            </w:pPr>
            <w:r w:rsidRPr="00BE78CA">
              <w:rPr>
                <w:rFonts w:cs="Calibri"/>
                <w:sz w:val="20"/>
                <w:szCs w:val="20"/>
              </w:rPr>
              <w:t>calcium hydroxide</w:t>
            </w:r>
          </w:p>
        </w:tc>
      </w:tr>
      <w:tr w:rsidR="00EE10BF" w:rsidRPr="00BE78CA" w14:paraId="3032375F" w14:textId="77777777" w:rsidTr="00C26084">
        <w:tc>
          <w:tcPr>
            <w:tcW w:w="1526" w:type="dxa"/>
            <w:shd w:val="clear" w:color="auto" w:fill="auto"/>
          </w:tcPr>
          <w:p w14:paraId="5C7515B8" w14:textId="77777777" w:rsidR="00EE10BF" w:rsidRPr="00BE78CA" w:rsidRDefault="00EE10BF" w:rsidP="00C26084">
            <w:pPr>
              <w:pStyle w:val="BodyText"/>
              <w:spacing w:before="100" w:after="0"/>
              <w:rPr>
                <w:rFonts w:cs="Calibri"/>
                <w:b/>
                <w:sz w:val="20"/>
                <w:szCs w:val="20"/>
              </w:rPr>
            </w:pPr>
            <w:r w:rsidRPr="00BE78CA">
              <w:rPr>
                <w:rFonts w:cs="Calibri"/>
                <w:b/>
                <w:sz w:val="20"/>
                <w:szCs w:val="20"/>
              </w:rPr>
              <w:t>CCF</w:t>
            </w:r>
            <w:r w:rsidRPr="00BE78CA">
              <w:rPr>
                <w:rFonts w:cs="Calibri"/>
                <w:b/>
                <w:sz w:val="20"/>
                <w:szCs w:val="20"/>
                <w:vertAlign w:val="subscript"/>
              </w:rPr>
              <w:t>i</w:t>
            </w:r>
          </w:p>
        </w:tc>
        <w:tc>
          <w:tcPr>
            <w:tcW w:w="7092" w:type="dxa"/>
            <w:shd w:val="clear" w:color="auto" w:fill="auto"/>
          </w:tcPr>
          <w:p w14:paraId="12CF27B0" w14:textId="77777777" w:rsidR="00EE10BF" w:rsidRPr="00BE78CA" w:rsidRDefault="00EE10BF" w:rsidP="00C26084">
            <w:pPr>
              <w:pStyle w:val="BodyText"/>
              <w:spacing w:before="100" w:after="0"/>
              <w:rPr>
                <w:rFonts w:cs="Calibri"/>
                <w:sz w:val="20"/>
                <w:szCs w:val="20"/>
              </w:rPr>
            </w:pPr>
            <w:r w:rsidRPr="00BE78CA">
              <w:rPr>
                <w:rFonts w:cs="Calibri"/>
                <w:spacing w:val="-2"/>
                <w:sz w:val="20"/>
                <w:szCs w:val="20"/>
              </w:rPr>
              <w:t>carbon content factor</w:t>
            </w:r>
          </w:p>
        </w:tc>
      </w:tr>
      <w:tr w:rsidR="00EE10BF" w:rsidRPr="00BE78CA" w14:paraId="3B43D09C" w14:textId="77777777" w:rsidTr="00C26084">
        <w:tc>
          <w:tcPr>
            <w:tcW w:w="1526" w:type="dxa"/>
            <w:shd w:val="clear" w:color="auto" w:fill="auto"/>
          </w:tcPr>
          <w:p w14:paraId="11830657" w14:textId="77777777" w:rsidR="00EE10BF" w:rsidRPr="00BE78CA" w:rsidRDefault="00EE10BF" w:rsidP="00C26084">
            <w:pPr>
              <w:pStyle w:val="BodyText"/>
              <w:spacing w:before="100" w:after="0"/>
              <w:rPr>
                <w:rFonts w:cs="Calibri"/>
                <w:b/>
                <w:sz w:val="20"/>
                <w:szCs w:val="20"/>
              </w:rPr>
            </w:pPr>
            <w:r w:rsidRPr="00BE78CA">
              <w:rPr>
                <w:rFonts w:cs="Calibri"/>
                <w:b/>
                <w:sz w:val="20"/>
                <w:szCs w:val="20"/>
              </w:rPr>
              <w:t>CDM</w:t>
            </w:r>
          </w:p>
        </w:tc>
        <w:tc>
          <w:tcPr>
            <w:tcW w:w="7092" w:type="dxa"/>
            <w:shd w:val="clear" w:color="auto" w:fill="auto"/>
          </w:tcPr>
          <w:p w14:paraId="6A96EE60" w14:textId="77777777" w:rsidR="00EE10BF" w:rsidRPr="00BE78CA" w:rsidRDefault="00EE10BF" w:rsidP="00C26084">
            <w:pPr>
              <w:pStyle w:val="BodyText"/>
              <w:spacing w:before="100" w:after="0"/>
              <w:rPr>
                <w:rFonts w:cs="Calibri"/>
                <w:sz w:val="20"/>
                <w:szCs w:val="20"/>
              </w:rPr>
            </w:pPr>
            <w:r w:rsidRPr="00BE78CA">
              <w:rPr>
                <w:rFonts w:cs="Calibri"/>
                <w:sz w:val="20"/>
                <w:szCs w:val="20"/>
              </w:rPr>
              <w:t>Clean Development Mechanism</w:t>
            </w:r>
          </w:p>
        </w:tc>
      </w:tr>
      <w:tr w:rsidR="00EE10BF" w:rsidRPr="00BE78CA" w14:paraId="66E4B213" w14:textId="77777777" w:rsidTr="00C26084">
        <w:tc>
          <w:tcPr>
            <w:tcW w:w="1526" w:type="dxa"/>
            <w:shd w:val="clear" w:color="auto" w:fill="auto"/>
          </w:tcPr>
          <w:p w14:paraId="33A6D48D"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 xml:space="preserve">CEF </w:t>
            </w:r>
          </w:p>
        </w:tc>
        <w:tc>
          <w:tcPr>
            <w:tcW w:w="7092" w:type="dxa"/>
            <w:shd w:val="clear" w:color="auto" w:fill="auto"/>
          </w:tcPr>
          <w:p w14:paraId="223503EF"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carbon equivalent forest</w:t>
            </w:r>
          </w:p>
        </w:tc>
      </w:tr>
      <w:tr w:rsidR="00EE10BF" w:rsidRPr="00BE78CA" w14:paraId="790EA9D1" w14:textId="77777777" w:rsidTr="00C26084">
        <w:tc>
          <w:tcPr>
            <w:tcW w:w="1526" w:type="dxa"/>
            <w:shd w:val="clear" w:color="auto" w:fill="auto"/>
          </w:tcPr>
          <w:p w14:paraId="6E908354"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CEF</w:t>
            </w:r>
            <w:r w:rsidRPr="00BE78CA">
              <w:rPr>
                <w:rFonts w:eastAsia="Calibri" w:cs="Calibri"/>
                <w:b/>
                <w:sz w:val="20"/>
                <w:szCs w:val="20"/>
                <w:vertAlign w:val="subscript"/>
              </w:rPr>
              <w:t>hc</w:t>
            </w:r>
            <w:r w:rsidRPr="00BE78CA">
              <w:rPr>
                <w:rFonts w:eastAsia="Calibri" w:cs="Calibri"/>
                <w:b/>
                <w:sz w:val="20"/>
                <w:szCs w:val="20"/>
              </w:rPr>
              <w:t xml:space="preserve"> </w:t>
            </w:r>
          </w:p>
        </w:tc>
        <w:tc>
          <w:tcPr>
            <w:tcW w:w="7092" w:type="dxa"/>
            <w:shd w:val="clear" w:color="auto" w:fill="auto"/>
          </w:tcPr>
          <w:p w14:paraId="390B1418"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carbon equivalent forest (harvested and converted)</w:t>
            </w:r>
          </w:p>
        </w:tc>
      </w:tr>
      <w:tr w:rsidR="00EE10BF" w:rsidRPr="00BE78CA" w14:paraId="2D4641ED" w14:textId="77777777" w:rsidTr="00C26084">
        <w:tc>
          <w:tcPr>
            <w:tcW w:w="1526" w:type="dxa"/>
            <w:shd w:val="clear" w:color="auto" w:fill="auto"/>
          </w:tcPr>
          <w:p w14:paraId="4295B39B"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CEF</w:t>
            </w:r>
            <w:r w:rsidRPr="00BE78CA">
              <w:rPr>
                <w:rFonts w:eastAsia="Calibri" w:cs="Calibri"/>
                <w:b/>
                <w:sz w:val="20"/>
                <w:szCs w:val="20"/>
                <w:vertAlign w:val="subscript"/>
              </w:rPr>
              <w:t xml:space="preserve">ne </w:t>
            </w:r>
          </w:p>
        </w:tc>
        <w:tc>
          <w:tcPr>
            <w:tcW w:w="7092" w:type="dxa"/>
            <w:shd w:val="clear" w:color="auto" w:fill="auto"/>
          </w:tcPr>
          <w:p w14:paraId="041824BE"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carbon equivalent forest (newly established)</w:t>
            </w:r>
          </w:p>
        </w:tc>
      </w:tr>
      <w:tr w:rsidR="00EE10BF" w:rsidRPr="00BE78CA" w14:paraId="031A71F5" w14:textId="77777777" w:rsidTr="00C26084">
        <w:tc>
          <w:tcPr>
            <w:tcW w:w="1526" w:type="dxa"/>
            <w:shd w:val="clear" w:color="auto" w:fill="auto"/>
          </w:tcPr>
          <w:p w14:paraId="7B5BDDB6"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CER</w:t>
            </w:r>
          </w:p>
        </w:tc>
        <w:tc>
          <w:tcPr>
            <w:tcW w:w="7092" w:type="dxa"/>
            <w:shd w:val="clear" w:color="auto" w:fill="auto"/>
          </w:tcPr>
          <w:p w14:paraId="0E558D4D"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 xml:space="preserve">certified emission reductions </w:t>
            </w:r>
          </w:p>
        </w:tc>
      </w:tr>
      <w:tr w:rsidR="00EE10BF" w:rsidRPr="00BE78CA" w14:paraId="5121AEAF" w14:textId="77777777" w:rsidTr="00C26084">
        <w:tc>
          <w:tcPr>
            <w:tcW w:w="1526" w:type="dxa"/>
            <w:shd w:val="clear" w:color="auto" w:fill="auto"/>
          </w:tcPr>
          <w:p w14:paraId="28927336" w14:textId="77777777" w:rsidR="00EE10BF" w:rsidRPr="00BE78CA" w:rsidRDefault="00EE10BF" w:rsidP="00C26084">
            <w:pPr>
              <w:pStyle w:val="BodyText"/>
              <w:spacing w:before="100" w:after="0"/>
              <w:rPr>
                <w:rFonts w:eastAsia="Calibri" w:cs="Calibri"/>
                <w:b/>
                <w:sz w:val="20"/>
                <w:szCs w:val="20"/>
              </w:rPr>
            </w:pPr>
            <w:r w:rsidRPr="00BE78CA">
              <w:rPr>
                <w:rFonts w:cs="Calibri"/>
                <w:b/>
                <w:sz w:val="20"/>
                <w:szCs w:val="20"/>
              </w:rPr>
              <w:t>CFC</w:t>
            </w:r>
          </w:p>
        </w:tc>
        <w:tc>
          <w:tcPr>
            <w:tcW w:w="7092" w:type="dxa"/>
            <w:shd w:val="clear" w:color="auto" w:fill="auto"/>
          </w:tcPr>
          <w:p w14:paraId="155AA2BB" w14:textId="77777777" w:rsidR="00EE10BF" w:rsidRPr="00BE78CA" w:rsidRDefault="00EE10BF" w:rsidP="00C26084">
            <w:pPr>
              <w:pStyle w:val="BodyText"/>
              <w:spacing w:before="100" w:after="0"/>
              <w:rPr>
                <w:rFonts w:eastAsia="Calibri" w:cs="Calibri"/>
                <w:sz w:val="20"/>
                <w:szCs w:val="20"/>
              </w:rPr>
            </w:pPr>
            <w:r w:rsidRPr="00BE78CA">
              <w:rPr>
                <w:rFonts w:cs="Calibri"/>
                <w:sz w:val="20"/>
                <w:szCs w:val="20"/>
              </w:rPr>
              <w:t>chlorofluorocarbon</w:t>
            </w:r>
          </w:p>
        </w:tc>
      </w:tr>
      <w:tr w:rsidR="00EE10BF" w:rsidRPr="00BE78CA" w14:paraId="430C2E75" w14:textId="77777777" w:rsidTr="00C26084">
        <w:tc>
          <w:tcPr>
            <w:tcW w:w="1526" w:type="dxa"/>
            <w:shd w:val="clear" w:color="auto" w:fill="auto"/>
          </w:tcPr>
          <w:p w14:paraId="143745BF"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CH</w:t>
            </w:r>
            <w:r w:rsidRPr="00BE78CA">
              <w:rPr>
                <w:rFonts w:eastAsia="Calibri" w:cs="Calibri"/>
                <w:b/>
                <w:sz w:val="20"/>
                <w:szCs w:val="20"/>
                <w:vertAlign w:val="subscript"/>
              </w:rPr>
              <w:t>4</w:t>
            </w:r>
          </w:p>
        </w:tc>
        <w:tc>
          <w:tcPr>
            <w:tcW w:w="7092" w:type="dxa"/>
            <w:shd w:val="clear" w:color="auto" w:fill="auto"/>
          </w:tcPr>
          <w:p w14:paraId="277B5F85"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methane</w:t>
            </w:r>
          </w:p>
        </w:tc>
      </w:tr>
      <w:tr w:rsidR="00EE10BF" w:rsidRPr="00BE78CA" w14:paraId="22EDF5B9" w14:textId="77777777" w:rsidTr="00C26084">
        <w:tc>
          <w:tcPr>
            <w:tcW w:w="1526" w:type="dxa"/>
            <w:shd w:val="clear" w:color="auto" w:fill="auto"/>
          </w:tcPr>
          <w:p w14:paraId="455F20BC"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 xml:space="preserve">CMP </w:t>
            </w:r>
          </w:p>
        </w:tc>
        <w:tc>
          <w:tcPr>
            <w:tcW w:w="7092" w:type="dxa"/>
            <w:shd w:val="clear" w:color="auto" w:fill="auto"/>
          </w:tcPr>
          <w:p w14:paraId="6D77AB27"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Conference of the Parties serving as the Meeting of the Parties to the Kyoto Protocol</w:t>
            </w:r>
          </w:p>
        </w:tc>
      </w:tr>
      <w:tr w:rsidR="00EE10BF" w:rsidRPr="00BE78CA" w14:paraId="6B19CDE2" w14:textId="77777777" w:rsidTr="00C26084">
        <w:tc>
          <w:tcPr>
            <w:tcW w:w="1526" w:type="dxa"/>
            <w:shd w:val="clear" w:color="auto" w:fill="auto"/>
          </w:tcPr>
          <w:p w14:paraId="1DF88C1B" w14:textId="77777777" w:rsidR="00EE10BF" w:rsidRPr="00BE78CA" w:rsidRDefault="00EE10BF" w:rsidP="00C26084">
            <w:pPr>
              <w:pStyle w:val="BodyText"/>
              <w:spacing w:before="100" w:after="0"/>
              <w:rPr>
                <w:rFonts w:eastAsia="Calibri" w:cs="Calibri"/>
                <w:b/>
                <w:sz w:val="20"/>
                <w:szCs w:val="20"/>
              </w:rPr>
            </w:pPr>
            <w:r w:rsidRPr="00BE78CA">
              <w:rPr>
                <w:rFonts w:cs="Calibri"/>
                <w:b/>
                <w:sz w:val="20"/>
                <w:szCs w:val="20"/>
                <w:lang w:eastAsia="en-GB"/>
              </w:rPr>
              <w:t>CNG</w:t>
            </w:r>
          </w:p>
        </w:tc>
        <w:tc>
          <w:tcPr>
            <w:tcW w:w="7092" w:type="dxa"/>
            <w:shd w:val="clear" w:color="auto" w:fill="auto"/>
          </w:tcPr>
          <w:p w14:paraId="6323AFBD" w14:textId="77777777" w:rsidR="00EE10BF" w:rsidRPr="00BE78CA" w:rsidRDefault="00EE10BF" w:rsidP="00C26084">
            <w:pPr>
              <w:pStyle w:val="BodyText"/>
              <w:spacing w:before="100" w:after="0"/>
              <w:rPr>
                <w:rFonts w:eastAsia="Calibri" w:cs="Calibri"/>
                <w:sz w:val="20"/>
                <w:szCs w:val="20"/>
              </w:rPr>
            </w:pPr>
            <w:r w:rsidRPr="00BE78CA">
              <w:rPr>
                <w:rFonts w:cs="Calibri"/>
                <w:sz w:val="20"/>
                <w:szCs w:val="20"/>
                <w:lang w:eastAsia="en-GB"/>
              </w:rPr>
              <w:t>compressed natural gas</w:t>
            </w:r>
          </w:p>
        </w:tc>
      </w:tr>
      <w:tr w:rsidR="00EE10BF" w:rsidRPr="00BE78CA" w14:paraId="5B0BDFC5" w14:textId="77777777" w:rsidTr="00C26084">
        <w:tc>
          <w:tcPr>
            <w:tcW w:w="1526" w:type="dxa"/>
            <w:shd w:val="clear" w:color="auto" w:fill="auto"/>
          </w:tcPr>
          <w:p w14:paraId="57FC4A57"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 xml:space="preserve">CO </w:t>
            </w:r>
          </w:p>
        </w:tc>
        <w:tc>
          <w:tcPr>
            <w:tcW w:w="7092" w:type="dxa"/>
            <w:shd w:val="clear" w:color="auto" w:fill="auto"/>
          </w:tcPr>
          <w:p w14:paraId="04BCD389"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carbon monoxide</w:t>
            </w:r>
          </w:p>
        </w:tc>
      </w:tr>
      <w:tr w:rsidR="00EE10BF" w:rsidRPr="00BE78CA" w14:paraId="67408823" w14:textId="77777777" w:rsidTr="00C26084">
        <w:tc>
          <w:tcPr>
            <w:tcW w:w="1526" w:type="dxa"/>
            <w:shd w:val="clear" w:color="auto" w:fill="auto"/>
          </w:tcPr>
          <w:p w14:paraId="719480D3"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COD</w:t>
            </w:r>
          </w:p>
        </w:tc>
        <w:tc>
          <w:tcPr>
            <w:tcW w:w="7092" w:type="dxa"/>
            <w:shd w:val="clear" w:color="auto" w:fill="auto"/>
          </w:tcPr>
          <w:p w14:paraId="691F0CF2"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chemical oxygen demand</w:t>
            </w:r>
          </w:p>
        </w:tc>
      </w:tr>
      <w:tr w:rsidR="00EE10BF" w:rsidRPr="00BE78CA" w14:paraId="18DD8B4E" w14:textId="77777777" w:rsidTr="00C26084">
        <w:tc>
          <w:tcPr>
            <w:tcW w:w="1526" w:type="dxa"/>
            <w:shd w:val="clear" w:color="auto" w:fill="auto"/>
          </w:tcPr>
          <w:p w14:paraId="31B399F5"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COP</w:t>
            </w:r>
          </w:p>
        </w:tc>
        <w:tc>
          <w:tcPr>
            <w:tcW w:w="7092" w:type="dxa"/>
            <w:shd w:val="clear" w:color="auto" w:fill="auto"/>
          </w:tcPr>
          <w:p w14:paraId="52260D6A" w14:textId="77777777" w:rsidR="00EE10BF" w:rsidRPr="00BE78CA" w:rsidRDefault="00EE10BF" w:rsidP="00C26084">
            <w:pPr>
              <w:pStyle w:val="BodyText"/>
              <w:spacing w:before="100" w:after="0"/>
              <w:rPr>
                <w:rFonts w:eastAsia="Calibri" w:cs="Calibri"/>
                <w:sz w:val="20"/>
                <w:szCs w:val="20"/>
              </w:rPr>
            </w:pPr>
            <w:r w:rsidRPr="00BE78CA">
              <w:rPr>
                <w:rFonts w:cs="Calibri"/>
                <w:sz w:val="20"/>
                <w:szCs w:val="20"/>
              </w:rPr>
              <w:t>Conference of the Parties</w:t>
            </w:r>
          </w:p>
        </w:tc>
      </w:tr>
      <w:tr w:rsidR="00EE10BF" w:rsidRPr="00BE78CA" w14:paraId="00E0D9C1" w14:textId="77777777" w:rsidTr="00C26084">
        <w:tc>
          <w:tcPr>
            <w:tcW w:w="1526" w:type="dxa"/>
            <w:shd w:val="clear" w:color="auto" w:fill="auto"/>
          </w:tcPr>
          <w:p w14:paraId="0635E31E"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CO</w:t>
            </w:r>
            <w:r w:rsidRPr="00BE78CA">
              <w:rPr>
                <w:rFonts w:eastAsia="Calibri" w:cs="Calibri"/>
                <w:b/>
                <w:sz w:val="20"/>
                <w:szCs w:val="20"/>
                <w:vertAlign w:val="subscript"/>
              </w:rPr>
              <w:t>2</w:t>
            </w:r>
            <w:r w:rsidRPr="00BE78CA">
              <w:rPr>
                <w:rFonts w:eastAsia="Calibri" w:cs="Calibri"/>
                <w:b/>
                <w:sz w:val="20"/>
                <w:szCs w:val="20"/>
              </w:rPr>
              <w:t xml:space="preserve"> </w:t>
            </w:r>
          </w:p>
        </w:tc>
        <w:tc>
          <w:tcPr>
            <w:tcW w:w="7092" w:type="dxa"/>
            <w:shd w:val="clear" w:color="auto" w:fill="auto"/>
          </w:tcPr>
          <w:p w14:paraId="5C5696B7"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carbon dioxide</w:t>
            </w:r>
          </w:p>
        </w:tc>
      </w:tr>
      <w:tr w:rsidR="00EE10BF" w:rsidRPr="00BE78CA" w14:paraId="4AC8C6A8" w14:textId="77777777" w:rsidTr="00C26084">
        <w:tc>
          <w:tcPr>
            <w:tcW w:w="1526" w:type="dxa"/>
            <w:shd w:val="clear" w:color="auto" w:fill="auto"/>
          </w:tcPr>
          <w:p w14:paraId="4D0E6A79"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CO</w:t>
            </w:r>
            <w:r w:rsidRPr="00BE78CA">
              <w:rPr>
                <w:rFonts w:eastAsia="Calibri" w:cs="Calibri"/>
                <w:b/>
                <w:sz w:val="20"/>
                <w:szCs w:val="20"/>
                <w:vertAlign w:val="subscript"/>
              </w:rPr>
              <w:t>2</w:t>
            </w:r>
            <w:r w:rsidRPr="00BE78CA">
              <w:rPr>
                <w:rFonts w:eastAsia="Calibri" w:cs="Calibri"/>
                <w:b/>
                <w:sz w:val="20"/>
                <w:szCs w:val="20"/>
              </w:rPr>
              <w:t>-e</w:t>
            </w:r>
          </w:p>
        </w:tc>
        <w:tc>
          <w:tcPr>
            <w:tcW w:w="7092" w:type="dxa"/>
            <w:shd w:val="clear" w:color="auto" w:fill="auto"/>
          </w:tcPr>
          <w:p w14:paraId="3D1787FD"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carbon dioxide equivalent</w:t>
            </w:r>
          </w:p>
        </w:tc>
      </w:tr>
      <w:tr w:rsidR="00EE10BF" w:rsidRPr="00BE78CA" w14:paraId="31AD6F74" w14:textId="77777777" w:rsidTr="00C26084">
        <w:tc>
          <w:tcPr>
            <w:tcW w:w="1526" w:type="dxa"/>
            <w:shd w:val="clear" w:color="auto" w:fill="auto"/>
          </w:tcPr>
          <w:p w14:paraId="1379FB64"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CP1</w:t>
            </w:r>
          </w:p>
        </w:tc>
        <w:tc>
          <w:tcPr>
            <w:tcW w:w="7092" w:type="dxa"/>
            <w:shd w:val="clear" w:color="auto" w:fill="auto"/>
          </w:tcPr>
          <w:p w14:paraId="49ADF56F"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first commitment period under the Kyoto Protocol</w:t>
            </w:r>
          </w:p>
        </w:tc>
      </w:tr>
      <w:tr w:rsidR="00EE10BF" w:rsidRPr="00BE78CA" w14:paraId="1E6A2851" w14:textId="77777777" w:rsidTr="00C26084">
        <w:tc>
          <w:tcPr>
            <w:tcW w:w="1526" w:type="dxa"/>
            <w:shd w:val="clear" w:color="auto" w:fill="auto"/>
          </w:tcPr>
          <w:p w14:paraId="65997D98"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CP2</w:t>
            </w:r>
          </w:p>
        </w:tc>
        <w:tc>
          <w:tcPr>
            <w:tcW w:w="7092" w:type="dxa"/>
            <w:shd w:val="clear" w:color="auto" w:fill="auto"/>
          </w:tcPr>
          <w:p w14:paraId="4C7422DC"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second commitment period under the Kyoto Protocol</w:t>
            </w:r>
          </w:p>
        </w:tc>
      </w:tr>
      <w:tr w:rsidR="00EE10BF" w:rsidRPr="00BE78CA" w14:paraId="7E730514" w14:textId="77777777" w:rsidTr="00C26084">
        <w:tc>
          <w:tcPr>
            <w:tcW w:w="1526" w:type="dxa"/>
            <w:shd w:val="clear" w:color="auto" w:fill="auto"/>
          </w:tcPr>
          <w:p w14:paraId="69996F75"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CRA</w:t>
            </w:r>
          </w:p>
        </w:tc>
        <w:tc>
          <w:tcPr>
            <w:tcW w:w="7092" w:type="dxa"/>
            <w:shd w:val="clear" w:color="auto" w:fill="auto"/>
          </w:tcPr>
          <w:p w14:paraId="3E55D902"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Calculation and Reporting Application</w:t>
            </w:r>
          </w:p>
        </w:tc>
      </w:tr>
      <w:tr w:rsidR="00EE10BF" w:rsidRPr="00BE78CA" w14:paraId="6A57170D" w14:textId="77777777" w:rsidTr="00C26084">
        <w:tc>
          <w:tcPr>
            <w:tcW w:w="1526" w:type="dxa"/>
            <w:shd w:val="clear" w:color="auto" w:fill="auto"/>
          </w:tcPr>
          <w:p w14:paraId="1D96CAED"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 xml:space="preserve">CRF </w:t>
            </w:r>
          </w:p>
        </w:tc>
        <w:tc>
          <w:tcPr>
            <w:tcW w:w="7092" w:type="dxa"/>
            <w:shd w:val="clear" w:color="auto" w:fill="auto"/>
          </w:tcPr>
          <w:p w14:paraId="3CF3A6E9"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common reporting format</w:t>
            </w:r>
          </w:p>
        </w:tc>
      </w:tr>
      <w:tr w:rsidR="00EE10BF" w:rsidRPr="00BE78CA" w14:paraId="45B49464" w14:textId="77777777" w:rsidTr="00C26084">
        <w:tc>
          <w:tcPr>
            <w:tcW w:w="1526" w:type="dxa"/>
            <w:shd w:val="clear" w:color="auto" w:fill="auto"/>
          </w:tcPr>
          <w:p w14:paraId="2A1C48D5" w14:textId="77777777" w:rsidR="00EE10BF" w:rsidRPr="00BE78CA" w:rsidRDefault="00EE10BF" w:rsidP="00C26084">
            <w:pPr>
              <w:pStyle w:val="BodyText"/>
              <w:spacing w:before="100" w:after="0"/>
              <w:rPr>
                <w:rFonts w:eastAsia="Calibri" w:cs="Calibri"/>
                <w:b/>
                <w:bCs/>
                <w:sz w:val="20"/>
                <w:szCs w:val="20"/>
              </w:rPr>
            </w:pPr>
            <w:r w:rsidRPr="00BE78CA">
              <w:rPr>
                <w:rFonts w:cs="Calibri"/>
                <w:b/>
                <w:bCs/>
                <w:sz w:val="20"/>
                <w:szCs w:val="20"/>
              </w:rPr>
              <w:t>CSIRO</w:t>
            </w:r>
          </w:p>
        </w:tc>
        <w:tc>
          <w:tcPr>
            <w:tcW w:w="7092" w:type="dxa"/>
            <w:shd w:val="clear" w:color="auto" w:fill="auto"/>
          </w:tcPr>
          <w:p w14:paraId="1A22D791" w14:textId="77777777" w:rsidR="00EE10BF" w:rsidRPr="00BE78CA" w:rsidRDefault="00EE10BF" w:rsidP="00C26084">
            <w:pPr>
              <w:pStyle w:val="BodyText"/>
              <w:spacing w:before="100" w:after="0"/>
              <w:rPr>
                <w:rFonts w:eastAsia="Calibri" w:cs="Calibri"/>
                <w:sz w:val="20"/>
                <w:szCs w:val="20"/>
              </w:rPr>
            </w:pPr>
            <w:r w:rsidRPr="00BE78CA">
              <w:rPr>
                <w:rFonts w:cs="Calibri"/>
                <w:sz w:val="20"/>
                <w:szCs w:val="20"/>
              </w:rPr>
              <w:t>Commonwealth Scientific and Industrial Research Organisation</w:t>
            </w:r>
          </w:p>
        </w:tc>
      </w:tr>
      <w:tr w:rsidR="00EE10BF" w:rsidRPr="00BE78CA" w14:paraId="0BB65FC8" w14:textId="77777777" w:rsidTr="00C26084">
        <w:tc>
          <w:tcPr>
            <w:tcW w:w="1526" w:type="dxa"/>
            <w:shd w:val="clear" w:color="auto" w:fill="auto"/>
          </w:tcPr>
          <w:p w14:paraId="3BAD9B71"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DCD</w:t>
            </w:r>
          </w:p>
        </w:tc>
        <w:tc>
          <w:tcPr>
            <w:tcW w:w="7092" w:type="dxa"/>
            <w:shd w:val="clear" w:color="auto" w:fill="auto"/>
          </w:tcPr>
          <w:p w14:paraId="0E311319"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dicyandiamide</w:t>
            </w:r>
          </w:p>
        </w:tc>
      </w:tr>
      <w:tr w:rsidR="00EE10BF" w:rsidRPr="00BE78CA" w14:paraId="1D4FB43A" w14:textId="77777777" w:rsidTr="00C26084">
        <w:tc>
          <w:tcPr>
            <w:tcW w:w="1526" w:type="dxa"/>
            <w:shd w:val="clear" w:color="auto" w:fill="auto"/>
          </w:tcPr>
          <w:p w14:paraId="6E8529E2" w14:textId="77777777" w:rsidR="00EE10BF" w:rsidRPr="00BE78CA" w:rsidRDefault="00EE10BF" w:rsidP="00C26084">
            <w:pPr>
              <w:pStyle w:val="BodyText"/>
              <w:spacing w:before="100" w:after="0"/>
              <w:rPr>
                <w:rFonts w:eastAsia="Calibri" w:cs="Calibri"/>
                <w:b/>
                <w:bCs/>
                <w:sz w:val="20"/>
                <w:szCs w:val="20"/>
              </w:rPr>
            </w:pPr>
            <w:r w:rsidRPr="00BE78CA">
              <w:rPr>
                <w:b/>
                <w:bCs/>
                <w:spacing w:val="-2"/>
                <w:sz w:val="20"/>
                <w:szCs w:val="20"/>
              </w:rPr>
              <w:lastRenderedPageBreak/>
              <w:t>DDOC</w:t>
            </w:r>
          </w:p>
        </w:tc>
        <w:tc>
          <w:tcPr>
            <w:tcW w:w="7092" w:type="dxa"/>
            <w:shd w:val="clear" w:color="auto" w:fill="auto"/>
          </w:tcPr>
          <w:p w14:paraId="05A4C615" w14:textId="77777777" w:rsidR="00EE10BF" w:rsidRPr="00BE78CA" w:rsidRDefault="00EE10BF" w:rsidP="00C26084">
            <w:pPr>
              <w:pStyle w:val="BodyText"/>
              <w:spacing w:before="100" w:after="0"/>
              <w:rPr>
                <w:rFonts w:eastAsia="Calibri" w:cs="Calibri"/>
                <w:sz w:val="20"/>
                <w:szCs w:val="20"/>
              </w:rPr>
            </w:pPr>
            <w:r w:rsidRPr="00BE78CA">
              <w:rPr>
                <w:spacing w:val="-2"/>
                <w:sz w:val="20"/>
                <w:szCs w:val="20"/>
              </w:rPr>
              <w:t>decomposable degradable organic carbon</w:t>
            </w:r>
          </w:p>
        </w:tc>
      </w:tr>
      <w:tr w:rsidR="00EE10BF" w:rsidRPr="00BE78CA" w14:paraId="5C6B4407" w14:textId="77777777" w:rsidTr="00C26084">
        <w:tc>
          <w:tcPr>
            <w:tcW w:w="1526" w:type="dxa"/>
            <w:shd w:val="clear" w:color="auto" w:fill="auto"/>
          </w:tcPr>
          <w:p w14:paraId="15C1C913"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DEF</w:t>
            </w:r>
          </w:p>
        </w:tc>
        <w:tc>
          <w:tcPr>
            <w:tcW w:w="7092" w:type="dxa"/>
            <w:shd w:val="clear" w:color="auto" w:fill="auto"/>
          </w:tcPr>
          <w:p w14:paraId="464B93A0"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default emissions factor</w:t>
            </w:r>
          </w:p>
        </w:tc>
      </w:tr>
      <w:tr w:rsidR="00EE10BF" w:rsidRPr="00BE78CA" w14:paraId="26FD42F6" w14:textId="77777777" w:rsidTr="00C26084">
        <w:tc>
          <w:tcPr>
            <w:tcW w:w="1526" w:type="dxa"/>
            <w:shd w:val="clear" w:color="auto" w:fill="auto"/>
          </w:tcPr>
          <w:p w14:paraId="1A1DB7C2"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DEF</w:t>
            </w:r>
          </w:p>
        </w:tc>
        <w:tc>
          <w:tcPr>
            <w:tcW w:w="7092" w:type="dxa"/>
            <w:shd w:val="clear" w:color="auto" w:fill="auto"/>
          </w:tcPr>
          <w:p w14:paraId="011F4095"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diesel exhaust fluid</w:t>
            </w:r>
          </w:p>
        </w:tc>
      </w:tr>
      <w:tr w:rsidR="00EE10BF" w:rsidRPr="00BE78CA" w14:paraId="770F893D" w14:textId="77777777" w:rsidTr="00C26084">
        <w:tc>
          <w:tcPr>
            <w:tcW w:w="1526" w:type="dxa"/>
            <w:shd w:val="clear" w:color="auto" w:fill="auto"/>
          </w:tcPr>
          <w:p w14:paraId="5CFE9F00"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DM</w:t>
            </w:r>
          </w:p>
        </w:tc>
        <w:tc>
          <w:tcPr>
            <w:tcW w:w="7092" w:type="dxa"/>
            <w:shd w:val="clear" w:color="auto" w:fill="auto"/>
          </w:tcPr>
          <w:p w14:paraId="2F269ADB"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dry matter</w:t>
            </w:r>
          </w:p>
        </w:tc>
      </w:tr>
      <w:tr w:rsidR="00EE10BF" w:rsidRPr="00BE78CA" w14:paraId="685797EB" w14:textId="77777777" w:rsidTr="00C26084">
        <w:tc>
          <w:tcPr>
            <w:tcW w:w="1526" w:type="dxa"/>
            <w:shd w:val="clear" w:color="auto" w:fill="auto"/>
          </w:tcPr>
          <w:p w14:paraId="2A10E684"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DMD</w:t>
            </w:r>
          </w:p>
        </w:tc>
        <w:tc>
          <w:tcPr>
            <w:tcW w:w="7092" w:type="dxa"/>
            <w:shd w:val="clear" w:color="auto" w:fill="auto"/>
          </w:tcPr>
          <w:p w14:paraId="65682B72"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dry-matter digestibility</w:t>
            </w:r>
          </w:p>
        </w:tc>
      </w:tr>
      <w:tr w:rsidR="00EE10BF" w:rsidRPr="00BE78CA" w14:paraId="3C0D3507" w14:textId="77777777" w:rsidTr="00C26084">
        <w:tc>
          <w:tcPr>
            <w:tcW w:w="1526" w:type="dxa"/>
            <w:shd w:val="clear" w:color="auto" w:fill="auto"/>
          </w:tcPr>
          <w:p w14:paraId="036BF49B"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DMI</w:t>
            </w:r>
          </w:p>
        </w:tc>
        <w:tc>
          <w:tcPr>
            <w:tcW w:w="7092" w:type="dxa"/>
            <w:shd w:val="clear" w:color="auto" w:fill="auto"/>
          </w:tcPr>
          <w:p w14:paraId="5F9396CE"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dry-matter intake</w:t>
            </w:r>
          </w:p>
        </w:tc>
      </w:tr>
      <w:tr w:rsidR="00EE10BF" w:rsidRPr="00BE78CA" w14:paraId="392E9085" w14:textId="77777777" w:rsidTr="00C26084">
        <w:tc>
          <w:tcPr>
            <w:tcW w:w="1526" w:type="dxa"/>
            <w:shd w:val="clear" w:color="auto" w:fill="auto"/>
          </w:tcPr>
          <w:p w14:paraId="61B81F5D" w14:textId="77777777" w:rsidR="00EE10BF" w:rsidRPr="00BE78CA" w:rsidRDefault="00EE10BF" w:rsidP="00C26084">
            <w:pPr>
              <w:pStyle w:val="BodyText"/>
              <w:spacing w:before="100" w:after="0"/>
              <w:rPr>
                <w:rFonts w:eastAsia="Calibri" w:cs="Calibri"/>
                <w:b/>
                <w:sz w:val="20"/>
                <w:szCs w:val="20"/>
              </w:rPr>
            </w:pPr>
            <w:r w:rsidRPr="00BE78CA">
              <w:rPr>
                <w:rFonts w:cs="Calibri"/>
                <w:b/>
                <w:sz w:val="20"/>
                <w:szCs w:val="20"/>
              </w:rPr>
              <w:t>DOC</w:t>
            </w:r>
          </w:p>
        </w:tc>
        <w:tc>
          <w:tcPr>
            <w:tcW w:w="7092" w:type="dxa"/>
            <w:shd w:val="clear" w:color="auto" w:fill="auto"/>
          </w:tcPr>
          <w:p w14:paraId="6F981A1C" w14:textId="77777777" w:rsidR="00EE10BF" w:rsidRPr="00BE78CA" w:rsidRDefault="00EE10BF" w:rsidP="00C26084">
            <w:pPr>
              <w:pStyle w:val="BodyText"/>
              <w:spacing w:before="100" w:after="0"/>
              <w:rPr>
                <w:rFonts w:eastAsia="Calibri" w:cs="Calibri"/>
                <w:sz w:val="20"/>
                <w:szCs w:val="20"/>
              </w:rPr>
            </w:pPr>
            <w:r w:rsidRPr="00BE78CA">
              <w:rPr>
                <w:rFonts w:cs="Calibri"/>
                <w:sz w:val="20"/>
                <w:szCs w:val="20"/>
              </w:rPr>
              <w:t>degradable organic carbon</w:t>
            </w:r>
          </w:p>
        </w:tc>
      </w:tr>
      <w:tr w:rsidR="00EE10BF" w:rsidRPr="00BE78CA" w14:paraId="522F3F86" w14:textId="77777777" w:rsidTr="00C26084">
        <w:tc>
          <w:tcPr>
            <w:tcW w:w="1526" w:type="dxa"/>
            <w:shd w:val="clear" w:color="auto" w:fill="auto"/>
          </w:tcPr>
          <w:p w14:paraId="4A6B0AF8" w14:textId="77777777" w:rsidR="00EE10BF" w:rsidRPr="00BE78CA" w:rsidRDefault="00EE10BF" w:rsidP="00C26084">
            <w:pPr>
              <w:pStyle w:val="BodyText"/>
              <w:spacing w:before="100" w:after="0"/>
              <w:rPr>
                <w:rFonts w:cs="Calibri"/>
                <w:b/>
                <w:bCs/>
                <w:sz w:val="20"/>
                <w:szCs w:val="20"/>
              </w:rPr>
            </w:pPr>
            <w:r w:rsidRPr="00BE78CA">
              <w:rPr>
                <w:b/>
                <w:bCs/>
                <w:sz w:val="20"/>
                <w:szCs w:val="20"/>
              </w:rPr>
              <w:t>DOCf</w:t>
            </w:r>
          </w:p>
        </w:tc>
        <w:tc>
          <w:tcPr>
            <w:tcW w:w="7092" w:type="dxa"/>
            <w:shd w:val="clear" w:color="auto" w:fill="auto"/>
          </w:tcPr>
          <w:p w14:paraId="07909EF8" w14:textId="77777777" w:rsidR="00EE10BF" w:rsidRPr="00BE78CA" w:rsidRDefault="00EE10BF" w:rsidP="00C26084">
            <w:pPr>
              <w:pStyle w:val="BodyText"/>
              <w:spacing w:before="100" w:after="0"/>
              <w:rPr>
                <w:rFonts w:cs="Calibri"/>
                <w:sz w:val="20"/>
                <w:szCs w:val="20"/>
              </w:rPr>
            </w:pPr>
            <w:r w:rsidRPr="00BE78CA">
              <w:rPr>
                <w:sz w:val="20"/>
                <w:szCs w:val="20"/>
              </w:rPr>
              <w:t>fraction of degradable organic carbon</w:t>
            </w:r>
          </w:p>
        </w:tc>
      </w:tr>
      <w:tr w:rsidR="00EE10BF" w:rsidRPr="00BE78CA" w14:paraId="3520B294" w14:textId="77777777" w:rsidTr="00C26084">
        <w:tc>
          <w:tcPr>
            <w:tcW w:w="1526" w:type="dxa"/>
            <w:shd w:val="clear" w:color="auto" w:fill="auto"/>
          </w:tcPr>
          <w:p w14:paraId="79A4D0B1"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DPFI</w:t>
            </w:r>
          </w:p>
        </w:tc>
        <w:tc>
          <w:tcPr>
            <w:tcW w:w="7092" w:type="dxa"/>
            <w:shd w:val="clear" w:color="auto" w:fill="auto"/>
          </w:tcPr>
          <w:p w14:paraId="42E70E69"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 xml:space="preserve">Delivery of Petroleum Fuels by Industry </w:t>
            </w:r>
          </w:p>
        </w:tc>
      </w:tr>
      <w:tr w:rsidR="00EE10BF" w:rsidRPr="00BE78CA" w14:paraId="191D095E" w14:textId="77777777" w:rsidTr="00C26084">
        <w:tc>
          <w:tcPr>
            <w:tcW w:w="1526" w:type="dxa"/>
            <w:shd w:val="clear" w:color="auto" w:fill="auto"/>
          </w:tcPr>
          <w:p w14:paraId="426FA8D7"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EEZ</w:t>
            </w:r>
          </w:p>
        </w:tc>
        <w:tc>
          <w:tcPr>
            <w:tcW w:w="7092" w:type="dxa"/>
            <w:shd w:val="clear" w:color="auto" w:fill="auto"/>
          </w:tcPr>
          <w:p w14:paraId="50AD081C"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Exclusive Economic Zone</w:t>
            </w:r>
          </w:p>
        </w:tc>
      </w:tr>
      <w:tr w:rsidR="00EE10BF" w:rsidRPr="00BE78CA" w14:paraId="60CEA172" w14:textId="77777777" w:rsidTr="00C26084">
        <w:tc>
          <w:tcPr>
            <w:tcW w:w="1526" w:type="dxa"/>
            <w:shd w:val="clear" w:color="auto" w:fill="auto"/>
          </w:tcPr>
          <w:p w14:paraId="09FD23E8"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 xml:space="preserve">EF </w:t>
            </w:r>
          </w:p>
        </w:tc>
        <w:tc>
          <w:tcPr>
            <w:tcW w:w="7092" w:type="dxa"/>
            <w:shd w:val="clear" w:color="auto" w:fill="auto"/>
          </w:tcPr>
          <w:p w14:paraId="4F573D11"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emission factor</w:t>
            </w:r>
          </w:p>
        </w:tc>
      </w:tr>
      <w:tr w:rsidR="00EE10BF" w:rsidRPr="00BE78CA" w14:paraId="559238A2" w14:textId="77777777" w:rsidTr="00C26084">
        <w:tc>
          <w:tcPr>
            <w:tcW w:w="1526" w:type="dxa"/>
            <w:shd w:val="clear" w:color="auto" w:fill="auto"/>
          </w:tcPr>
          <w:p w14:paraId="72147E4F"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EF</w:t>
            </w:r>
            <w:r w:rsidRPr="00BE78CA">
              <w:rPr>
                <w:rFonts w:eastAsia="Calibri" w:cs="Calibri"/>
                <w:b/>
                <w:sz w:val="20"/>
                <w:szCs w:val="20"/>
                <w:vertAlign w:val="subscript"/>
              </w:rPr>
              <w:t>3</w:t>
            </w:r>
          </w:p>
        </w:tc>
        <w:tc>
          <w:tcPr>
            <w:tcW w:w="7092" w:type="dxa"/>
            <w:shd w:val="clear" w:color="auto" w:fill="auto"/>
          </w:tcPr>
          <w:p w14:paraId="173E8C1F" w14:textId="77777777" w:rsidR="00EE10BF" w:rsidRPr="00BE78CA" w:rsidRDefault="00EE10BF" w:rsidP="00C26084">
            <w:pPr>
              <w:pStyle w:val="BodyText"/>
              <w:spacing w:before="100" w:after="0"/>
              <w:rPr>
                <w:rFonts w:eastAsia="Calibri" w:cs="Calibri"/>
                <w:sz w:val="20"/>
                <w:szCs w:val="20"/>
              </w:rPr>
            </w:pPr>
            <w:r w:rsidRPr="00BE78CA">
              <w:rPr>
                <w:sz w:val="20"/>
                <w:szCs w:val="20"/>
              </w:rPr>
              <w:t>emission factor for N</w:t>
            </w:r>
            <w:r w:rsidRPr="00BE78CA">
              <w:rPr>
                <w:sz w:val="20"/>
                <w:szCs w:val="20"/>
                <w:vertAlign w:val="subscript"/>
              </w:rPr>
              <w:t>2</w:t>
            </w:r>
            <w:r w:rsidRPr="00BE78CA">
              <w:rPr>
                <w:sz w:val="20"/>
                <w:szCs w:val="20"/>
              </w:rPr>
              <w:t>O emissions from urine and dung nitrogen</w:t>
            </w:r>
          </w:p>
        </w:tc>
      </w:tr>
      <w:tr w:rsidR="00EE10BF" w:rsidRPr="00BE78CA" w14:paraId="3A8335D6" w14:textId="77777777" w:rsidTr="00C26084">
        <w:tc>
          <w:tcPr>
            <w:tcW w:w="1526" w:type="dxa"/>
            <w:shd w:val="clear" w:color="auto" w:fill="auto"/>
          </w:tcPr>
          <w:p w14:paraId="6593819B" w14:textId="77777777" w:rsidR="00EE10BF" w:rsidRPr="00BE78CA" w:rsidRDefault="00EE10BF" w:rsidP="00C26084">
            <w:pPr>
              <w:pStyle w:val="BodyText"/>
              <w:spacing w:before="100" w:after="0"/>
              <w:rPr>
                <w:rFonts w:eastAsia="Calibri" w:cs="Calibri"/>
                <w:b/>
                <w:bCs/>
                <w:sz w:val="20"/>
                <w:szCs w:val="20"/>
              </w:rPr>
            </w:pPr>
            <w:r w:rsidRPr="00BE78CA">
              <w:rPr>
                <w:rFonts w:cs="Calibri"/>
                <w:b/>
                <w:bCs/>
                <w:sz w:val="20"/>
                <w:szCs w:val="20"/>
              </w:rPr>
              <w:t>EF</w:t>
            </w:r>
            <w:r w:rsidRPr="00BE78CA">
              <w:rPr>
                <w:rFonts w:cs="Calibri"/>
                <w:b/>
                <w:bCs/>
                <w:sz w:val="20"/>
                <w:szCs w:val="20"/>
                <w:vertAlign w:val="subscript"/>
              </w:rPr>
              <w:t>3,PRP</w:t>
            </w:r>
          </w:p>
        </w:tc>
        <w:tc>
          <w:tcPr>
            <w:tcW w:w="7092" w:type="dxa"/>
            <w:shd w:val="clear" w:color="auto" w:fill="auto"/>
          </w:tcPr>
          <w:p w14:paraId="66E00095" w14:textId="77777777" w:rsidR="00EE10BF" w:rsidRPr="00BE78CA" w:rsidRDefault="00EE10BF" w:rsidP="00C26084">
            <w:pPr>
              <w:pStyle w:val="BodyText"/>
              <w:spacing w:before="100" w:after="0"/>
              <w:rPr>
                <w:rFonts w:eastAsia="Calibri" w:cs="Calibri"/>
                <w:sz w:val="20"/>
                <w:szCs w:val="20"/>
              </w:rPr>
            </w:pPr>
            <w:r w:rsidRPr="00BE78CA">
              <w:rPr>
                <w:sz w:val="20"/>
                <w:szCs w:val="20"/>
              </w:rPr>
              <w:t>emission factor for N</w:t>
            </w:r>
            <w:r w:rsidRPr="00BE78CA">
              <w:rPr>
                <w:sz w:val="20"/>
                <w:szCs w:val="20"/>
                <w:vertAlign w:val="subscript"/>
              </w:rPr>
              <w:t>2</w:t>
            </w:r>
            <w:r w:rsidRPr="00BE78CA">
              <w:rPr>
                <w:sz w:val="20"/>
                <w:szCs w:val="20"/>
              </w:rPr>
              <w:t>O emissions from urine and dung nitrogen deposited on pasture, range and paddock by grazing animals</w:t>
            </w:r>
          </w:p>
        </w:tc>
      </w:tr>
      <w:tr w:rsidR="00EE10BF" w:rsidRPr="00BE78CA" w14:paraId="545BC6BC" w14:textId="77777777" w:rsidTr="00C26084">
        <w:tc>
          <w:tcPr>
            <w:tcW w:w="1526" w:type="dxa"/>
            <w:shd w:val="clear" w:color="auto" w:fill="auto"/>
          </w:tcPr>
          <w:p w14:paraId="56B5272F"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EPA</w:t>
            </w:r>
          </w:p>
        </w:tc>
        <w:tc>
          <w:tcPr>
            <w:tcW w:w="7092" w:type="dxa"/>
            <w:shd w:val="clear" w:color="auto" w:fill="auto"/>
          </w:tcPr>
          <w:p w14:paraId="7EAD2B1C"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Environmental Protection Authority</w:t>
            </w:r>
          </w:p>
        </w:tc>
      </w:tr>
      <w:tr w:rsidR="00EE10BF" w:rsidRPr="00BE78CA" w14:paraId="639D3F92" w14:textId="77777777" w:rsidTr="00C26084">
        <w:tc>
          <w:tcPr>
            <w:tcW w:w="1526" w:type="dxa"/>
            <w:shd w:val="clear" w:color="auto" w:fill="auto"/>
          </w:tcPr>
          <w:p w14:paraId="5FE3F3FC"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 xml:space="preserve">ERT </w:t>
            </w:r>
          </w:p>
        </w:tc>
        <w:tc>
          <w:tcPr>
            <w:tcW w:w="7092" w:type="dxa"/>
            <w:shd w:val="clear" w:color="auto" w:fill="auto"/>
          </w:tcPr>
          <w:p w14:paraId="4713F4A5"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expert review team</w:t>
            </w:r>
          </w:p>
        </w:tc>
      </w:tr>
      <w:tr w:rsidR="00EE10BF" w:rsidRPr="00BE78CA" w14:paraId="4CAC2798" w14:textId="77777777" w:rsidTr="00C26084">
        <w:tc>
          <w:tcPr>
            <w:tcW w:w="1526" w:type="dxa"/>
            <w:shd w:val="clear" w:color="auto" w:fill="auto"/>
          </w:tcPr>
          <w:p w14:paraId="229CB7E1"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ERU</w:t>
            </w:r>
          </w:p>
        </w:tc>
        <w:tc>
          <w:tcPr>
            <w:tcW w:w="7092" w:type="dxa"/>
            <w:shd w:val="clear" w:color="auto" w:fill="auto"/>
          </w:tcPr>
          <w:p w14:paraId="71470588"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emission reduction unit</w:t>
            </w:r>
          </w:p>
        </w:tc>
      </w:tr>
      <w:tr w:rsidR="00EE10BF" w:rsidRPr="00BE78CA" w14:paraId="7ED60AD6" w14:textId="77777777" w:rsidTr="00C26084">
        <w:tc>
          <w:tcPr>
            <w:tcW w:w="1526" w:type="dxa"/>
            <w:shd w:val="clear" w:color="auto" w:fill="auto"/>
          </w:tcPr>
          <w:p w14:paraId="0377CF5C"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ETS</w:t>
            </w:r>
          </w:p>
        </w:tc>
        <w:tc>
          <w:tcPr>
            <w:tcW w:w="7092" w:type="dxa"/>
            <w:shd w:val="clear" w:color="auto" w:fill="auto"/>
          </w:tcPr>
          <w:p w14:paraId="265AA76F"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Emissions Trading Scheme</w:t>
            </w:r>
          </w:p>
        </w:tc>
      </w:tr>
      <w:tr w:rsidR="00EE10BF" w:rsidRPr="00BE78CA" w14:paraId="7FE462D9" w14:textId="77777777" w:rsidTr="00C26084">
        <w:tc>
          <w:tcPr>
            <w:tcW w:w="1526" w:type="dxa"/>
            <w:shd w:val="clear" w:color="auto" w:fill="auto"/>
          </w:tcPr>
          <w:p w14:paraId="746AB8D0"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F</w:t>
            </w:r>
          </w:p>
        </w:tc>
        <w:tc>
          <w:tcPr>
            <w:tcW w:w="7092" w:type="dxa"/>
            <w:shd w:val="clear" w:color="auto" w:fill="auto"/>
          </w:tcPr>
          <w:p w14:paraId="3D40F42E"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fraction of methane in landfill gas</w:t>
            </w:r>
          </w:p>
        </w:tc>
      </w:tr>
      <w:tr w:rsidR="00EE10BF" w:rsidRPr="00BE78CA" w14:paraId="260F50FC" w14:textId="77777777" w:rsidTr="00C26084">
        <w:tc>
          <w:tcPr>
            <w:tcW w:w="1526" w:type="dxa"/>
            <w:shd w:val="clear" w:color="auto" w:fill="auto"/>
          </w:tcPr>
          <w:p w14:paraId="77B10C60"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FAME</w:t>
            </w:r>
          </w:p>
        </w:tc>
        <w:tc>
          <w:tcPr>
            <w:tcW w:w="7092" w:type="dxa"/>
            <w:shd w:val="clear" w:color="auto" w:fill="auto"/>
          </w:tcPr>
          <w:p w14:paraId="5E34AE4B"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fatty acid methyl ester</w:t>
            </w:r>
          </w:p>
        </w:tc>
      </w:tr>
      <w:tr w:rsidR="00EE10BF" w:rsidRPr="00BE78CA" w14:paraId="45553793" w14:textId="77777777" w:rsidTr="00C26084">
        <w:tc>
          <w:tcPr>
            <w:tcW w:w="1526" w:type="dxa"/>
            <w:shd w:val="clear" w:color="auto" w:fill="auto"/>
          </w:tcPr>
          <w:p w14:paraId="34A28FF1"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 xml:space="preserve">FAO </w:t>
            </w:r>
          </w:p>
        </w:tc>
        <w:tc>
          <w:tcPr>
            <w:tcW w:w="7092" w:type="dxa"/>
            <w:shd w:val="clear" w:color="auto" w:fill="auto"/>
          </w:tcPr>
          <w:p w14:paraId="5B78D376"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 xml:space="preserve">Food and Agriculture Organization </w:t>
            </w:r>
          </w:p>
        </w:tc>
      </w:tr>
      <w:tr w:rsidR="00EE10BF" w:rsidRPr="00BE78CA" w14:paraId="66987793" w14:textId="77777777" w:rsidTr="00C26084">
        <w:tc>
          <w:tcPr>
            <w:tcW w:w="1526" w:type="dxa"/>
            <w:shd w:val="clear" w:color="auto" w:fill="auto"/>
          </w:tcPr>
          <w:p w14:paraId="7141D6D8"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 xml:space="preserve">FAOSTAT </w:t>
            </w:r>
          </w:p>
        </w:tc>
        <w:tc>
          <w:tcPr>
            <w:tcW w:w="7092" w:type="dxa"/>
            <w:shd w:val="clear" w:color="auto" w:fill="auto"/>
          </w:tcPr>
          <w:p w14:paraId="05DC1183"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Database produced by the Statistics Division of the Food and Agriculture Organization the United Nations</w:t>
            </w:r>
          </w:p>
        </w:tc>
      </w:tr>
      <w:tr w:rsidR="00EE10BF" w:rsidRPr="00BE78CA" w14:paraId="2F0C318C" w14:textId="77777777" w:rsidTr="00C26084">
        <w:tc>
          <w:tcPr>
            <w:tcW w:w="1526" w:type="dxa"/>
            <w:shd w:val="clear" w:color="auto" w:fill="auto"/>
          </w:tcPr>
          <w:p w14:paraId="023029F5"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FDM</w:t>
            </w:r>
          </w:p>
        </w:tc>
        <w:tc>
          <w:tcPr>
            <w:tcW w:w="7092" w:type="dxa"/>
            <w:shd w:val="clear" w:color="auto" w:fill="auto"/>
          </w:tcPr>
          <w:p w14:paraId="0CC65088"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faecal dry matter</w:t>
            </w:r>
          </w:p>
        </w:tc>
      </w:tr>
      <w:tr w:rsidR="00EE10BF" w:rsidRPr="00BE78CA" w14:paraId="1A8A0178" w14:textId="77777777" w:rsidTr="00C26084">
        <w:tc>
          <w:tcPr>
            <w:tcW w:w="1526" w:type="dxa"/>
            <w:shd w:val="clear" w:color="auto" w:fill="auto"/>
          </w:tcPr>
          <w:p w14:paraId="01D5A4EA"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FENZ</w:t>
            </w:r>
          </w:p>
        </w:tc>
        <w:tc>
          <w:tcPr>
            <w:tcW w:w="7092" w:type="dxa"/>
            <w:shd w:val="clear" w:color="auto" w:fill="auto"/>
          </w:tcPr>
          <w:p w14:paraId="7C246029" w14:textId="77777777" w:rsidR="00EE10BF" w:rsidRPr="00BE78CA" w:rsidRDefault="00EE10BF" w:rsidP="00C26084">
            <w:pPr>
              <w:pStyle w:val="BodyText"/>
              <w:spacing w:before="100" w:after="0"/>
              <w:rPr>
                <w:rFonts w:eastAsia="Calibri" w:cs="Calibri"/>
                <w:sz w:val="20"/>
                <w:szCs w:val="20"/>
              </w:rPr>
            </w:pPr>
            <w:r w:rsidRPr="00BE78CA">
              <w:rPr>
                <w:rFonts w:cs="Calibri"/>
                <w:sz w:val="20"/>
                <w:szCs w:val="20"/>
              </w:rPr>
              <w:t>Fire and Emergency New Zealand</w:t>
            </w:r>
          </w:p>
        </w:tc>
      </w:tr>
      <w:tr w:rsidR="00EE10BF" w:rsidRPr="00BE78CA" w14:paraId="2414DCA3" w14:textId="77777777" w:rsidTr="00C26084">
        <w:tc>
          <w:tcPr>
            <w:tcW w:w="1526" w:type="dxa"/>
            <w:shd w:val="clear" w:color="auto" w:fill="auto"/>
          </w:tcPr>
          <w:p w14:paraId="3B670F11"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 xml:space="preserve">FMRL </w:t>
            </w:r>
          </w:p>
        </w:tc>
        <w:tc>
          <w:tcPr>
            <w:tcW w:w="7092" w:type="dxa"/>
            <w:shd w:val="clear" w:color="auto" w:fill="auto"/>
          </w:tcPr>
          <w:p w14:paraId="7BB9DB09"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forest management reference level</w:t>
            </w:r>
          </w:p>
        </w:tc>
      </w:tr>
      <w:tr w:rsidR="00EE10BF" w:rsidRPr="00BE78CA" w14:paraId="0D1C37D2" w14:textId="77777777" w:rsidTr="00C26084">
        <w:tc>
          <w:tcPr>
            <w:tcW w:w="1526" w:type="dxa"/>
            <w:shd w:val="clear" w:color="auto" w:fill="auto"/>
          </w:tcPr>
          <w:p w14:paraId="4F611023"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FFSR</w:t>
            </w:r>
          </w:p>
        </w:tc>
        <w:tc>
          <w:tcPr>
            <w:tcW w:w="7092" w:type="dxa"/>
            <w:shd w:val="clear" w:color="auto" w:fill="auto"/>
          </w:tcPr>
          <w:p w14:paraId="59B4EE06"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Fossil Fuel Subsidy Reform</w:t>
            </w:r>
          </w:p>
        </w:tc>
      </w:tr>
      <w:tr w:rsidR="00EE10BF" w:rsidRPr="00BE78CA" w14:paraId="3334B691" w14:textId="77777777" w:rsidTr="00C26084">
        <w:tc>
          <w:tcPr>
            <w:tcW w:w="1526" w:type="dxa"/>
            <w:shd w:val="clear" w:color="auto" w:fill="auto"/>
          </w:tcPr>
          <w:p w14:paraId="0E962C63"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FMRL</w:t>
            </w:r>
            <w:r w:rsidRPr="00BE78CA">
              <w:rPr>
                <w:rFonts w:eastAsia="Calibri" w:cs="Calibri"/>
                <w:b/>
                <w:i/>
                <w:sz w:val="20"/>
                <w:szCs w:val="20"/>
                <w:vertAlign w:val="subscript"/>
              </w:rPr>
              <w:t>corr</w:t>
            </w:r>
            <w:r w:rsidRPr="00BE78CA">
              <w:rPr>
                <w:rFonts w:eastAsia="Calibri" w:cs="Calibri"/>
                <w:b/>
                <w:sz w:val="20"/>
                <w:szCs w:val="20"/>
              </w:rPr>
              <w:t xml:space="preserve"> </w:t>
            </w:r>
          </w:p>
        </w:tc>
        <w:tc>
          <w:tcPr>
            <w:tcW w:w="7092" w:type="dxa"/>
            <w:shd w:val="clear" w:color="auto" w:fill="auto"/>
          </w:tcPr>
          <w:p w14:paraId="3231952D"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technically corrected forest management reference level</w:t>
            </w:r>
          </w:p>
        </w:tc>
      </w:tr>
      <w:tr w:rsidR="00EE10BF" w:rsidRPr="00BE78CA" w14:paraId="76036270" w14:textId="77777777" w:rsidTr="00C26084">
        <w:tc>
          <w:tcPr>
            <w:tcW w:w="1526" w:type="dxa"/>
            <w:shd w:val="clear" w:color="auto" w:fill="auto"/>
          </w:tcPr>
          <w:p w14:paraId="084C9CA4"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FOD</w:t>
            </w:r>
          </w:p>
        </w:tc>
        <w:tc>
          <w:tcPr>
            <w:tcW w:w="7092" w:type="dxa"/>
            <w:shd w:val="clear" w:color="auto" w:fill="auto"/>
          </w:tcPr>
          <w:p w14:paraId="7E21E962"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 xml:space="preserve">First Order Decay </w:t>
            </w:r>
          </w:p>
        </w:tc>
      </w:tr>
      <w:tr w:rsidR="00EE10BF" w:rsidRPr="00BE78CA" w14:paraId="12D3225E" w14:textId="77777777" w:rsidTr="00C26084">
        <w:tc>
          <w:tcPr>
            <w:tcW w:w="1526" w:type="dxa"/>
            <w:shd w:val="clear" w:color="auto" w:fill="auto"/>
          </w:tcPr>
          <w:p w14:paraId="7AE45D0B"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 xml:space="preserve">FOLPI </w:t>
            </w:r>
          </w:p>
        </w:tc>
        <w:tc>
          <w:tcPr>
            <w:tcW w:w="7092" w:type="dxa"/>
            <w:shd w:val="clear" w:color="auto" w:fill="auto"/>
          </w:tcPr>
          <w:p w14:paraId="25D260AA"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Forestry-Oriented Linear Programming Interpreter</w:t>
            </w:r>
          </w:p>
        </w:tc>
      </w:tr>
      <w:tr w:rsidR="00EE10BF" w:rsidRPr="00BE78CA" w14:paraId="7127B6F3" w14:textId="77777777" w:rsidTr="00C26084">
        <w:tc>
          <w:tcPr>
            <w:tcW w:w="1526" w:type="dxa"/>
            <w:shd w:val="clear" w:color="auto" w:fill="auto"/>
          </w:tcPr>
          <w:p w14:paraId="48DA2400"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GDP</w:t>
            </w:r>
          </w:p>
        </w:tc>
        <w:tc>
          <w:tcPr>
            <w:tcW w:w="7092" w:type="dxa"/>
            <w:shd w:val="clear" w:color="auto" w:fill="auto"/>
          </w:tcPr>
          <w:p w14:paraId="73A3E226"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gross domestic product</w:t>
            </w:r>
          </w:p>
        </w:tc>
      </w:tr>
      <w:tr w:rsidR="00EE10BF" w:rsidRPr="00BE78CA" w14:paraId="1EC77251" w14:textId="77777777" w:rsidTr="00C26084">
        <w:tc>
          <w:tcPr>
            <w:tcW w:w="1526" w:type="dxa"/>
            <w:shd w:val="clear" w:color="auto" w:fill="auto"/>
          </w:tcPr>
          <w:p w14:paraId="1BA27EE4"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GEI</w:t>
            </w:r>
          </w:p>
        </w:tc>
        <w:tc>
          <w:tcPr>
            <w:tcW w:w="7092" w:type="dxa"/>
            <w:shd w:val="clear" w:color="auto" w:fill="auto"/>
          </w:tcPr>
          <w:p w14:paraId="43EAB8FC"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gross energy intake</w:t>
            </w:r>
          </w:p>
        </w:tc>
      </w:tr>
      <w:tr w:rsidR="00EE10BF" w:rsidRPr="00BE78CA" w14:paraId="21280639" w14:textId="77777777" w:rsidTr="00C26084">
        <w:tc>
          <w:tcPr>
            <w:tcW w:w="1526" w:type="dxa"/>
            <w:shd w:val="clear" w:color="auto" w:fill="auto"/>
          </w:tcPr>
          <w:p w14:paraId="64794DF0"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Gg</w:t>
            </w:r>
          </w:p>
        </w:tc>
        <w:tc>
          <w:tcPr>
            <w:tcW w:w="7092" w:type="dxa"/>
            <w:shd w:val="clear" w:color="auto" w:fill="auto"/>
          </w:tcPr>
          <w:p w14:paraId="1CAFD917"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gigagram(s)</w:t>
            </w:r>
          </w:p>
        </w:tc>
      </w:tr>
      <w:tr w:rsidR="00EE10BF" w:rsidRPr="00BE78CA" w14:paraId="66CA2894" w14:textId="77777777" w:rsidTr="00C26084">
        <w:tc>
          <w:tcPr>
            <w:tcW w:w="1526" w:type="dxa"/>
            <w:shd w:val="clear" w:color="auto" w:fill="auto"/>
          </w:tcPr>
          <w:p w14:paraId="17837B65"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GHG</w:t>
            </w:r>
          </w:p>
        </w:tc>
        <w:tc>
          <w:tcPr>
            <w:tcW w:w="7092" w:type="dxa"/>
            <w:shd w:val="clear" w:color="auto" w:fill="auto"/>
          </w:tcPr>
          <w:p w14:paraId="2A219E7F"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greenhouse gas(es)</w:t>
            </w:r>
          </w:p>
        </w:tc>
      </w:tr>
      <w:tr w:rsidR="00EE10BF" w:rsidRPr="00BE78CA" w14:paraId="0582AEAD" w14:textId="77777777" w:rsidTr="00C26084">
        <w:tc>
          <w:tcPr>
            <w:tcW w:w="1526" w:type="dxa"/>
            <w:shd w:val="clear" w:color="auto" w:fill="auto"/>
          </w:tcPr>
          <w:p w14:paraId="7483A9AD"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GIS</w:t>
            </w:r>
          </w:p>
        </w:tc>
        <w:tc>
          <w:tcPr>
            <w:tcW w:w="7092" w:type="dxa"/>
            <w:shd w:val="clear" w:color="auto" w:fill="auto"/>
          </w:tcPr>
          <w:p w14:paraId="7A1151F9"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geographic information system</w:t>
            </w:r>
          </w:p>
        </w:tc>
      </w:tr>
      <w:tr w:rsidR="00EE10BF" w:rsidRPr="00BE78CA" w14:paraId="2ED9B93E" w14:textId="77777777" w:rsidTr="00C26084">
        <w:tc>
          <w:tcPr>
            <w:tcW w:w="1526" w:type="dxa"/>
            <w:shd w:val="clear" w:color="auto" w:fill="auto"/>
          </w:tcPr>
          <w:p w14:paraId="0173E803"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GJ</w:t>
            </w:r>
          </w:p>
        </w:tc>
        <w:tc>
          <w:tcPr>
            <w:tcW w:w="7092" w:type="dxa"/>
            <w:shd w:val="clear" w:color="auto" w:fill="auto"/>
          </w:tcPr>
          <w:p w14:paraId="5698614D"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gigajoule(s)</w:t>
            </w:r>
          </w:p>
        </w:tc>
      </w:tr>
      <w:tr w:rsidR="00EE10BF" w:rsidRPr="00BE78CA" w14:paraId="2CC34B0A" w14:textId="77777777" w:rsidTr="00C26084">
        <w:tc>
          <w:tcPr>
            <w:tcW w:w="1526" w:type="dxa"/>
            <w:shd w:val="clear" w:color="auto" w:fill="auto"/>
          </w:tcPr>
          <w:p w14:paraId="71A43E89" w14:textId="77777777" w:rsidR="00EE10BF" w:rsidRPr="00BE78CA" w:rsidRDefault="00EE10BF" w:rsidP="00C26084">
            <w:pPr>
              <w:pStyle w:val="BodyText"/>
              <w:spacing w:before="100" w:after="0"/>
              <w:rPr>
                <w:rFonts w:cs="Calibri"/>
                <w:b/>
                <w:sz w:val="20"/>
                <w:szCs w:val="20"/>
              </w:rPr>
            </w:pPr>
            <w:r w:rsidRPr="00BE78CA">
              <w:rPr>
                <w:rFonts w:cs="Calibri"/>
                <w:b/>
                <w:sz w:val="20"/>
                <w:szCs w:val="20"/>
              </w:rPr>
              <w:t>GPS</w:t>
            </w:r>
          </w:p>
        </w:tc>
        <w:tc>
          <w:tcPr>
            <w:tcW w:w="7092" w:type="dxa"/>
            <w:shd w:val="clear" w:color="auto" w:fill="auto"/>
          </w:tcPr>
          <w:p w14:paraId="450004C1"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global positioning system</w:t>
            </w:r>
          </w:p>
        </w:tc>
      </w:tr>
      <w:tr w:rsidR="00EE10BF" w:rsidRPr="00BE78CA" w14:paraId="5F576B98" w14:textId="77777777" w:rsidTr="00C26084">
        <w:tc>
          <w:tcPr>
            <w:tcW w:w="1526" w:type="dxa"/>
            <w:shd w:val="clear" w:color="auto" w:fill="auto"/>
          </w:tcPr>
          <w:p w14:paraId="5B2279D3" w14:textId="77777777" w:rsidR="00EE10BF" w:rsidRPr="00BE78CA" w:rsidRDefault="00EE10BF" w:rsidP="00C26084">
            <w:pPr>
              <w:pStyle w:val="BodyText"/>
              <w:spacing w:before="100" w:after="0"/>
              <w:rPr>
                <w:rFonts w:cs="Calibri"/>
                <w:b/>
                <w:sz w:val="20"/>
                <w:szCs w:val="20"/>
              </w:rPr>
            </w:pPr>
            <w:r w:rsidRPr="00BE78CA">
              <w:rPr>
                <w:rFonts w:cs="Calibri"/>
                <w:b/>
                <w:sz w:val="20"/>
                <w:szCs w:val="20"/>
              </w:rPr>
              <w:t>GRA</w:t>
            </w:r>
          </w:p>
        </w:tc>
        <w:tc>
          <w:tcPr>
            <w:tcW w:w="7092" w:type="dxa"/>
            <w:shd w:val="clear" w:color="auto" w:fill="auto"/>
          </w:tcPr>
          <w:p w14:paraId="54A88086"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Global Research Alliance on Agricultural Greenhouse Gases</w:t>
            </w:r>
          </w:p>
        </w:tc>
      </w:tr>
      <w:tr w:rsidR="00EE10BF" w:rsidRPr="00BE78CA" w14:paraId="5439144A" w14:textId="77777777" w:rsidTr="00C26084">
        <w:tc>
          <w:tcPr>
            <w:tcW w:w="1526" w:type="dxa"/>
            <w:shd w:val="clear" w:color="auto" w:fill="auto"/>
          </w:tcPr>
          <w:p w14:paraId="37C79B08" w14:textId="77777777" w:rsidR="00EE10BF" w:rsidRPr="00BE78CA" w:rsidRDefault="00EE10BF" w:rsidP="00C26084">
            <w:pPr>
              <w:pStyle w:val="BodyText"/>
              <w:spacing w:before="100" w:after="0"/>
              <w:rPr>
                <w:rFonts w:cs="Calibri"/>
                <w:b/>
                <w:sz w:val="20"/>
                <w:szCs w:val="20"/>
              </w:rPr>
            </w:pPr>
            <w:r w:rsidRPr="00BE78CA">
              <w:rPr>
                <w:rFonts w:cs="Calibri"/>
                <w:b/>
                <w:sz w:val="20"/>
                <w:szCs w:val="20"/>
              </w:rPr>
              <w:t>GST</w:t>
            </w:r>
          </w:p>
        </w:tc>
        <w:tc>
          <w:tcPr>
            <w:tcW w:w="7092" w:type="dxa"/>
            <w:shd w:val="clear" w:color="auto" w:fill="auto"/>
          </w:tcPr>
          <w:p w14:paraId="7F93628F"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 xml:space="preserve">goods and services tax </w:t>
            </w:r>
          </w:p>
        </w:tc>
      </w:tr>
      <w:tr w:rsidR="00EE10BF" w:rsidRPr="00BE78CA" w14:paraId="1A5F071A" w14:textId="77777777" w:rsidTr="00C26084">
        <w:tc>
          <w:tcPr>
            <w:tcW w:w="1526" w:type="dxa"/>
            <w:shd w:val="clear" w:color="auto" w:fill="auto"/>
          </w:tcPr>
          <w:p w14:paraId="2CCC3CF7" w14:textId="77777777" w:rsidR="00EE10BF" w:rsidRPr="00BE78CA" w:rsidRDefault="00EE10BF" w:rsidP="00C26084">
            <w:pPr>
              <w:pStyle w:val="BodyText"/>
              <w:spacing w:before="100" w:after="0"/>
              <w:rPr>
                <w:rFonts w:cs="Calibri"/>
                <w:b/>
                <w:sz w:val="20"/>
                <w:szCs w:val="20"/>
              </w:rPr>
            </w:pPr>
            <w:r w:rsidRPr="00BE78CA">
              <w:rPr>
                <w:rFonts w:cs="Calibri"/>
                <w:b/>
                <w:sz w:val="20"/>
                <w:szCs w:val="20"/>
              </w:rPr>
              <w:t>G20</w:t>
            </w:r>
          </w:p>
        </w:tc>
        <w:tc>
          <w:tcPr>
            <w:tcW w:w="7092" w:type="dxa"/>
            <w:shd w:val="clear" w:color="auto" w:fill="auto"/>
          </w:tcPr>
          <w:p w14:paraId="324BA0A7" w14:textId="77777777" w:rsidR="00EE10BF" w:rsidRPr="00BE78CA" w:rsidRDefault="00EE10BF" w:rsidP="00C26084">
            <w:pPr>
              <w:pStyle w:val="BodyText"/>
              <w:spacing w:before="100" w:after="0"/>
              <w:rPr>
                <w:rFonts w:eastAsia="Calibri" w:cs="Calibri"/>
                <w:sz w:val="20"/>
                <w:szCs w:val="20"/>
              </w:rPr>
            </w:pPr>
            <w:r w:rsidRPr="00BE78CA">
              <w:rPr>
                <w:rFonts w:cs="Calibri"/>
                <w:sz w:val="20"/>
                <w:szCs w:val="20"/>
              </w:rPr>
              <w:t>Group of Twenty</w:t>
            </w:r>
          </w:p>
        </w:tc>
      </w:tr>
      <w:tr w:rsidR="00EE10BF" w:rsidRPr="00BE78CA" w14:paraId="37CF5FFC" w14:textId="77777777" w:rsidTr="00C26084">
        <w:tc>
          <w:tcPr>
            <w:tcW w:w="1526" w:type="dxa"/>
            <w:shd w:val="clear" w:color="auto" w:fill="auto"/>
          </w:tcPr>
          <w:p w14:paraId="4AA04184"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ha</w:t>
            </w:r>
          </w:p>
        </w:tc>
        <w:tc>
          <w:tcPr>
            <w:tcW w:w="7092" w:type="dxa"/>
            <w:shd w:val="clear" w:color="auto" w:fill="auto"/>
          </w:tcPr>
          <w:p w14:paraId="00FE5354"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hectare(s)</w:t>
            </w:r>
          </w:p>
        </w:tc>
      </w:tr>
      <w:tr w:rsidR="00EE10BF" w:rsidRPr="00BE78CA" w14:paraId="1BE78EC0" w14:textId="77777777" w:rsidTr="00C26084">
        <w:tc>
          <w:tcPr>
            <w:tcW w:w="1526" w:type="dxa"/>
            <w:shd w:val="clear" w:color="auto" w:fill="auto"/>
          </w:tcPr>
          <w:p w14:paraId="29A20F4E"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lastRenderedPageBreak/>
              <w:t>HCFC</w:t>
            </w:r>
          </w:p>
        </w:tc>
        <w:tc>
          <w:tcPr>
            <w:tcW w:w="7092" w:type="dxa"/>
            <w:shd w:val="clear" w:color="auto" w:fill="auto"/>
          </w:tcPr>
          <w:p w14:paraId="4931F096"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hydrochlorofluorocarbon</w:t>
            </w:r>
          </w:p>
        </w:tc>
      </w:tr>
      <w:tr w:rsidR="00EE10BF" w:rsidRPr="00BE78CA" w14:paraId="1993C573" w14:textId="77777777" w:rsidTr="00C26084">
        <w:tc>
          <w:tcPr>
            <w:tcW w:w="1526" w:type="dxa"/>
            <w:shd w:val="clear" w:color="auto" w:fill="auto"/>
          </w:tcPr>
          <w:p w14:paraId="1D5C1094"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HFC</w:t>
            </w:r>
          </w:p>
        </w:tc>
        <w:tc>
          <w:tcPr>
            <w:tcW w:w="7092" w:type="dxa"/>
            <w:shd w:val="clear" w:color="auto" w:fill="auto"/>
          </w:tcPr>
          <w:p w14:paraId="6FF4B369"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hydrofluorocarbon</w:t>
            </w:r>
          </w:p>
        </w:tc>
      </w:tr>
      <w:tr w:rsidR="00EE10BF" w:rsidRPr="00BE78CA" w14:paraId="61E1B32B" w14:textId="77777777" w:rsidTr="00C26084">
        <w:tc>
          <w:tcPr>
            <w:tcW w:w="1526" w:type="dxa"/>
            <w:shd w:val="clear" w:color="auto" w:fill="auto"/>
          </w:tcPr>
          <w:p w14:paraId="221377E5"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IAE</w:t>
            </w:r>
          </w:p>
        </w:tc>
        <w:tc>
          <w:tcPr>
            <w:tcW w:w="7092" w:type="dxa"/>
            <w:shd w:val="clear" w:color="auto" w:fill="auto"/>
          </w:tcPr>
          <w:p w14:paraId="5FEB5326" w14:textId="77777777" w:rsidR="00EE10BF" w:rsidRPr="00BE78CA" w:rsidRDefault="00EE10BF" w:rsidP="00C26084">
            <w:pPr>
              <w:pStyle w:val="BodyText"/>
              <w:spacing w:before="100" w:after="0"/>
              <w:rPr>
                <w:rFonts w:eastAsia="Calibri" w:cs="Calibri"/>
                <w:sz w:val="20"/>
                <w:szCs w:val="20"/>
              </w:rPr>
            </w:pPr>
            <w:r w:rsidRPr="00BE78CA">
              <w:rPr>
                <w:rFonts w:cs="Calibri"/>
                <w:sz w:val="20"/>
                <w:szCs w:val="20"/>
                <w:lang w:eastAsia="en-GB"/>
              </w:rPr>
              <w:t>International Energy Agency</w:t>
            </w:r>
          </w:p>
        </w:tc>
      </w:tr>
      <w:tr w:rsidR="00EE10BF" w:rsidRPr="00BE78CA" w14:paraId="243BD23F" w14:textId="77777777" w:rsidTr="00C26084">
        <w:tc>
          <w:tcPr>
            <w:tcW w:w="1526" w:type="dxa"/>
            <w:shd w:val="clear" w:color="auto" w:fill="auto"/>
          </w:tcPr>
          <w:p w14:paraId="2AA354B6"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IE</w:t>
            </w:r>
          </w:p>
        </w:tc>
        <w:tc>
          <w:tcPr>
            <w:tcW w:w="7092" w:type="dxa"/>
            <w:shd w:val="clear" w:color="auto" w:fill="auto"/>
          </w:tcPr>
          <w:p w14:paraId="56F586A8"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included elsewhere</w:t>
            </w:r>
          </w:p>
        </w:tc>
      </w:tr>
      <w:tr w:rsidR="00EE10BF" w:rsidRPr="00BE78CA" w14:paraId="454DCB71" w14:textId="77777777" w:rsidTr="00C26084">
        <w:tc>
          <w:tcPr>
            <w:tcW w:w="1526" w:type="dxa"/>
            <w:shd w:val="clear" w:color="auto" w:fill="auto"/>
          </w:tcPr>
          <w:p w14:paraId="25FD6DFD"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IEF</w:t>
            </w:r>
          </w:p>
        </w:tc>
        <w:tc>
          <w:tcPr>
            <w:tcW w:w="7092" w:type="dxa"/>
            <w:shd w:val="clear" w:color="auto" w:fill="auto"/>
          </w:tcPr>
          <w:p w14:paraId="0671581C"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implied emission factor</w:t>
            </w:r>
          </w:p>
        </w:tc>
      </w:tr>
      <w:tr w:rsidR="00EE10BF" w:rsidRPr="00BE78CA" w14:paraId="5C3E1E92" w14:textId="77777777" w:rsidTr="00C26084">
        <w:tc>
          <w:tcPr>
            <w:tcW w:w="1526" w:type="dxa"/>
            <w:shd w:val="clear" w:color="auto" w:fill="auto"/>
          </w:tcPr>
          <w:p w14:paraId="54827A67"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 xml:space="preserve">IPCC </w:t>
            </w:r>
          </w:p>
        </w:tc>
        <w:tc>
          <w:tcPr>
            <w:tcW w:w="7092" w:type="dxa"/>
            <w:shd w:val="clear" w:color="auto" w:fill="auto"/>
          </w:tcPr>
          <w:p w14:paraId="2C9E9EC8"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Intergovernmental Panel on Climate Change</w:t>
            </w:r>
          </w:p>
        </w:tc>
      </w:tr>
      <w:tr w:rsidR="00EE10BF" w:rsidRPr="00BE78CA" w14:paraId="4F1027EC" w14:textId="77777777" w:rsidTr="00C26084">
        <w:tc>
          <w:tcPr>
            <w:tcW w:w="1526" w:type="dxa"/>
            <w:shd w:val="clear" w:color="auto" w:fill="auto"/>
          </w:tcPr>
          <w:p w14:paraId="56279E8E"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 xml:space="preserve">IPPU </w:t>
            </w:r>
          </w:p>
        </w:tc>
        <w:tc>
          <w:tcPr>
            <w:tcW w:w="7092" w:type="dxa"/>
            <w:shd w:val="clear" w:color="auto" w:fill="auto"/>
          </w:tcPr>
          <w:p w14:paraId="48FA8D6B"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Industrial Processes and Product Use</w:t>
            </w:r>
          </w:p>
        </w:tc>
      </w:tr>
      <w:tr w:rsidR="00EE10BF" w:rsidRPr="00BE78CA" w14:paraId="6FBD0734" w14:textId="77777777" w:rsidTr="00C26084">
        <w:tc>
          <w:tcPr>
            <w:tcW w:w="1526" w:type="dxa"/>
            <w:shd w:val="clear" w:color="auto" w:fill="auto"/>
          </w:tcPr>
          <w:p w14:paraId="39D871B6" w14:textId="77777777" w:rsidR="00EE10BF" w:rsidRPr="00BE78CA" w:rsidRDefault="00EE10BF" w:rsidP="00C26084">
            <w:pPr>
              <w:pStyle w:val="BodyText"/>
              <w:spacing w:before="100" w:after="0"/>
              <w:rPr>
                <w:rFonts w:eastAsia="Calibri" w:cs="Calibri"/>
                <w:b/>
                <w:sz w:val="20"/>
                <w:szCs w:val="20"/>
              </w:rPr>
            </w:pPr>
            <w:r w:rsidRPr="00BE78CA">
              <w:rPr>
                <w:rFonts w:cs="Calibri"/>
                <w:b/>
                <w:sz w:val="20"/>
                <w:szCs w:val="20"/>
              </w:rPr>
              <w:t>IRENA</w:t>
            </w:r>
          </w:p>
        </w:tc>
        <w:tc>
          <w:tcPr>
            <w:tcW w:w="7092" w:type="dxa"/>
            <w:shd w:val="clear" w:color="auto" w:fill="auto"/>
          </w:tcPr>
          <w:p w14:paraId="3F8F18F3" w14:textId="77777777" w:rsidR="00EE10BF" w:rsidRPr="00BE78CA" w:rsidRDefault="00EE10BF" w:rsidP="00C26084">
            <w:pPr>
              <w:pStyle w:val="BodyText"/>
              <w:spacing w:before="100" w:after="0"/>
              <w:rPr>
                <w:rFonts w:eastAsia="Calibri" w:cs="Calibri"/>
                <w:sz w:val="20"/>
                <w:szCs w:val="20"/>
              </w:rPr>
            </w:pPr>
            <w:r w:rsidRPr="00BE78CA">
              <w:rPr>
                <w:rFonts w:cs="Calibri"/>
                <w:sz w:val="20"/>
                <w:szCs w:val="20"/>
              </w:rPr>
              <w:t xml:space="preserve">International Renewable Energy Agency </w:t>
            </w:r>
          </w:p>
        </w:tc>
      </w:tr>
      <w:tr w:rsidR="00EE10BF" w:rsidRPr="00BE78CA" w14:paraId="46B3B5F0" w14:textId="77777777" w:rsidTr="00C26084">
        <w:tc>
          <w:tcPr>
            <w:tcW w:w="1526" w:type="dxa"/>
            <w:shd w:val="clear" w:color="auto" w:fill="auto"/>
          </w:tcPr>
          <w:p w14:paraId="41CA496E" w14:textId="77777777" w:rsidR="00EE10BF" w:rsidRPr="00BE78CA" w:rsidRDefault="00EE10BF" w:rsidP="00C26084">
            <w:pPr>
              <w:pStyle w:val="BodyText"/>
              <w:spacing w:before="100" w:after="0"/>
              <w:rPr>
                <w:rFonts w:cs="Calibri"/>
                <w:b/>
                <w:sz w:val="20"/>
                <w:szCs w:val="20"/>
              </w:rPr>
            </w:pPr>
            <w:r w:rsidRPr="00BE78CA">
              <w:rPr>
                <w:rFonts w:cs="Calibri"/>
                <w:b/>
                <w:sz w:val="20"/>
                <w:szCs w:val="20"/>
              </w:rPr>
              <w:t>kg</w:t>
            </w:r>
          </w:p>
        </w:tc>
        <w:tc>
          <w:tcPr>
            <w:tcW w:w="7092" w:type="dxa"/>
            <w:shd w:val="clear" w:color="auto" w:fill="auto"/>
          </w:tcPr>
          <w:p w14:paraId="086FDE66" w14:textId="6705BCBC" w:rsidR="00EE10BF" w:rsidRPr="00BE78CA" w:rsidRDefault="00EE10BF" w:rsidP="00C26084">
            <w:pPr>
              <w:pStyle w:val="BodyText"/>
              <w:spacing w:before="100" w:after="0"/>
              <w:rPr>
                <w:rFonts w:cs="Calibri"/>
                <w:sz w:val="20"/>
                <w:szCs w:val="20"/>
              </w:rPr>
            </w:pPr>
            <w:r w:rsidRPr="00BE78CA">
              <w:rPr>
                <w:rFonts w:cs="Calibri"/>
                <w:sz w:val="20"/>
                <w:szCs w:val="20"/>
              </w:rPr>
              <w:t>kilogram</w:t>
            </w:r>
            <w:r w:rsidR="00C26084" w:rsidRPr="00BE78CA">
              <w:rPr>
                <w:rFonts w:cs="Calibri"/>
                <w:sz w:val="20"/>
                <w:szCs w:val="20"/>
              </w:rPr>
              <w:t>(s)</w:t>
            </w:r>
          </w:p>
        </w:tc>
      </w:tr>
      <w:tr w:rsidR="00EE10BF" w:rsidRPr="00BE78CA" w14:paraId="3AF6CCC6" w14:textId="77777777" w:rsidTr="00C26084">
        <w:tc>
          <w:tcPr>
            <w:tcW w:w="1526" w:type="dxa"/>
            <w:shd w:val="clear" w:color="auto" w:fill="auto"/>
          </w:tcPr>
          <w:p w14:paraId="77578B94" w14:textId="77777777" w:rsidR="00EE10BF" w:rsidRPr="00BE78CA" w:rsidRDefault="00EE10BF" w:rsidP="00C26084">
            <w:pPr>
              <w:pStyle w:val="BodyText"/>
              <w:spacing w:before="100" w:after="0"/>
              <w:rPr>
                <w:rFonts w:cs="Calibri"/>
                <w:b/>
                <w:sz w:val="20"/>
                <w:szCs w:val="20"/>
              </w:rPr>
            </w:pPr>
            <w:r w:rsidRPr="00BE78CA">
              <w:rPr>
                <w:rFonts w:cs="Calibri"/>
                <w:b/>
                <w:sz w:val="20"/>
                <w:szCs w:val="20"/>
              </w:rPr>
              <w:t>kJ</w:t>
            </w:r>
          </w:p>
        </w:tc>
        <w:tc>
          <w:tcPr>
            <w:tcW w:w="7092" w:type="dxa"/>
            <w:shd w:val="clear" w:color="auto" w:fill="auto"/>
          </w:tcPr>
          <w:p w14:paraId="7492B355" w14:textId="4AE87037" w:rsidR="00EE10BF" w:rsidRPr="00BE78CA" w:rsidRDefault="00EE10BF" w:rsidP="00C26084">
            <w:pPr>
              <w:pStyle w:val="BodyText"/>
              <w:spacing w:before="100" w:after="0"/>
              <w:rPr>
                <w:rFonts w:cs="Calibri"/>
                <w:sz w:val="20"/>
                <w:szCs w:val="20"/>
              </w:rPr>
            </w:pPr>
            <w:r w:rsidRPr="00BE78CA">
              <w:rPr>
                <w:rFonts w:cs="Calibri"/>
                <w:sz w:val="20"/>
                <w:szCs w:val="20"/>
              </w:rPr>
              <w:t>kilojoule</w:t>
            </w:r>
            <w:r w:rsidR="00C26084" w:rsidRPr="00BE78CA">
              <w:rPr>
                <w:rFonts w:cs="Calibri"/>
                <w:sz w:val="20"/>
                <w:szCs w:val="20"/>
              </w:rPr>
              <w:t>(s)</w:t>
            </w:r>
          </w:p>
        </w:tc>
      </w:tr>
      <w:tr w:rsidR="00EE10BF" w:rsidRPr="00BE78CA" w14:paraId="4C59396C" w14:textId="77777777" w:rsidTr="00C26084">
        <w:tc>
          <w:tcPr>
            <w:tcW w:w="1526" w:type="dxa"/>
            <w:shd w:val="clear" w:color="auto" w:fill="auto"/>
          </w:tcPr>
          <w:p w14:paraId="291A9C60"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KP</w:t>
            </w:r>
          </w:p>
        </w:tc>
        <w:tc>
          <w:tcPr>
            <w:tcW w:w="7092" w:type="dxa"/>
            <w:shd w:val="clear" w:color="auto" w:fill="auto"/>
          </w:tcPr>
          <w:p w14:paraId="7CEDDD8C"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Kyoto Protocol</w:t>
            </w:r>
          </w:p>
        </w:tc>
      </w:tr>
      <w:tr w:rsidR="00EE10BF" w:rsidRPr="00BE78CA" w14:paraId="0439FD04" w14:textId="77777777" w:rsidTr="00C26084">
        <w:tc>
          <w:tcPr>
            <w:tcW w:w="1526" w:type="dxa"/>
            <w:shd w:val="clear" w:color="auto" w:fill="auto"/>
          </w:tcPr>
          <w:p w14:paraId="15FCBDED"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KP-LULUCF</w:t>
            </w:r>
          </w:p>
        </w:tc>
        <w:tc>
          <w:tcPr>
            <w:tcW w:w="7092" w:type="dxa"/>
            <w:shd w:val="clear" w:color="auto" w:fill="auto"/>
          </w:tcPr>
          <w:p w14:paraId="1C0EF0D6" w14:textId="5BF48434"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Land Use, Land-</w:t>
            </w:r>
            <w:r w:rsidR="00C26084" w:rsidRPr="00BE78CA">
              <w:rPr>
                <w:rFonts w:eastAsia="Calibri" w:cs="Calibri"/>
                <w:sz w:val="20"/>
                <w:szCs w:val="20"/>
              </w:rPr>
              <w:t>U</w:t>
            </w:r>
            <w:r w:rsidRPr="00BE78CA">
              <w:rPr>
                <w:rFonts w:eastAsia="Calibri" w:cs="Calibri"/>
                <w:sz w:val="20"/>
                <w:szCs w:val="20"/>
              </w:rPr>
              <w:t>se Change and Forestry activities under the Kyoto Protocol</w:t>
            </w:r>
          </w:p>
        </w:tc>
      </w:tr>
      <w:tr w:rsidR="00EE10BF" w:rsidRPr="00BE78CA" w14:paraId="470B5AC8" w14:textId="77777777" w:rsidTr="00C26084">
        <w:tc>
          <w:tcPr>
            <w:tcW w:w="1526" w:type="dxa"/>
            <w:shd w:val="clear" w:color="auto" w:fill="auto"/>
          </w:tcPr>
          <w:p w14:paraId="3FAC2991"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kt</w:t>
            </w:r>
          </w:p>
        </w:tc>
        <w:tc>
          <w:tcPr>
            <w:tcW w:w="7092" w:type="dxa"/>
            <w:shd w:val="clear" w:color="auto" w:fill="auto"/>
          </w:tcPr>
          <w:p w14:paraId="4AC37279"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kilotonne(s)</w:t>
            </w:r>
          </w:p>
        </w:tc>
      </w:tr>
      <w:tr w:rsidR="00EE10BF" w:rsidRPr="00BE78CA" w14:paraId="333F8AC7" w14:textId="77777777" w:rsidTr="00C26084">
        <w:tc>
          <w:tcPr>
            <w:tcW w:w="1526" w:type="dxa"/>
            <w:shd w:val="clear" w:color="auto" w:fill="auto"/>
          </w:tcPr>
          <w:p w14:paraId="19A687CB"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LCDB</w:t>
            </w:r>
          </w:p>
        </w:tc>
        <w:tc>
          <w:tcPr>
            <w:tcW w:w="7092" w:type="dxa"/>
            <w:shd w:val="clear" w:color="auto" w:fill="auto"/>
          </w:tcPr>
          <w:p w14:paraId="24B4481F"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land cover database</w:t>
            </w:r>
          </w:p>
        </w:tc>
      </w:tr>
      <w:tr w:rsidR="00EE10BF" w:rsidRPr="00BE78CA" w14:paraId="24B76277" w14:textId="77777777" w:rsidTr="00C26084">
        <w:tc>
          <w:tcPr>
            <w:tcW w:w="1526" w:type="dxa"/>
            <w:shd w:val="clear" w:color="auto" w:fill="auto"/>
          </w:tcPr>
          <w:p w14:paraId="27BBD301"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 xml:space="preserve">lCER </w:t>
            </w:r>
          </w:p>
        </w:tc>
        <w:tc>
          <w:tcPr>
            <w:tcW w:w="7092" w:type="dxa"/>
            <w:shd w:val="clear" w:color="auto" w:fill="auto"/>
          </w:tcPr>
          <w:p w14:paraId="6B9A979D"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long-term certified emission reduction unit</w:t>
            </w:r>
          </w:p>
        </w:tc>
      </w:tr>
      <w:tr w:rsidR="00EE10BF" w:rsidRPr="00BE78CA" w14:paraId="0D3A932F" w14:textId="77777777" w:rsidTr="00C26084">
        <w:tc>
          <w:tcPr>
            <w:tcW w:w="1526" w:type="dxa"/>
            <w:shd w:val="clear" w:color="auto" w:fill="auto"/>
          </w:tcPr>
          <w:p w14:paraId="2A492F98"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LFG</w:t>
            </w:r>
          </w:p>
        </w:tc>
        <w:tc>
          <w:tcPr>
            <w:tcW w:w="7092" w:type="dxa"/>
            <w:shd w:val="clear" w:color="auto" w:fill="auto"/>
          </w:tcPr>
          <w:p w14:paraId="54B3B52E"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landfill gas</w:t>
            </w:r>
          </w:p>
        </w:tc>
      </w:tr>
      <w:tr w:rsidR="00EE10BF" w:rsidRPr="00BE78CA" w14:paraId="6948F67A" w14:textId="77777777" w:rsidTr="00C26084">
        <w:tc>
          <w:tcPr>
            <w:tcW w:w="1526" w:type="dxa"/>
            <w:shd w:val="clear" w:color="auto" w:fill="auto"/>
          </w:tcPr>
          <w:p w14:paraId="1B2D3404"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LIC</w:t>
            </w:r>
          </w:p>
        </w:tc>
        <w:tc>
          <w:tcPr>
            <w:tcW w:w="7092" w:type="dxa"/>
            <w:shd w:val="clear" w:color="auto" w:fill="auto"/>
          </w:tcPr>
          <w:p w14:paraId="30312AF0"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Livestock Improvement Corporation</w:t>
            </w:r>
          </w:p>
        </w:tc>
      </w:tr>
      <w:tr w:rsidR="00EE10BF" w:rsidRPr="00BE78CA" w14:paraId="15A9B57C" w14:textId="77777777" w:rsidTr="00C26084">
        <w:tc>
          <w:tcPr>
            <w:tcW w:w="1526" w:type="dxa"/>
            <w:shd w:val="clear" w:color="auto" w:fill="auto"/>
          </w:tcPr>
          <w:p w14:paraId="2F24967D"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LiDAR</w:t>
            </w:r>
          </w:p>
        </w:tc>
        <w:tc>
          <w:tcPr>
            <w:tcW w:w="7092" w:type="dxa"/>
            <w:shd w:val="clear" w:color="auto" w:fill="auto"/>
          </w:tcPr>
          <w:p w14:paraId="29AE1007"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Light Detection and Ranging</w:t>
            </w:r>
          </w:p>
        </w:tc>
      </w:tr>
      <w:tr w:rsidR="00EE10BF" w:rsidRPr="00BE78CA" w14:paraId="1C2C9915" w14:textId="77777777" w:rsidTr="00C26084">
        <w:tc>
          <w:tcPr>
            <w:tcW w:w="1526" w:type="dxa"/>
            <w:shd w:val="clear" w:color="auto" w:fill="auto"/>
          </w:tcPr>
          <w:p w14:paraId="2AA420D4" w14:textId="77777777" w:rsidR="00EE10BF" w:rsidRPr="00BE78CA" w:rsidRDefault="00EE10BF" w:rsidP="00C26084">
            <w:pPr>
              <w:pStyle w:val="BodyText"/>
              <w:spacing w:before="100" w:after="0"/>
              <w:rPr>
                <w:rFonts w:eastAsia="Calibri" w:cs="Calibri"/>
                <w:b/>
                <w:sz w:val="20"/>
                <w:szCs w:val="20"/>
              </w:rPr>
            </w:pPr>
            <w:r w:rsidRPr="00BE78CA">
              <w:rPr>
                <w:rFonts w:cs="Calibri"/>
                <w:b/>
                <w:sz w:val="20"/>
                <w:szCs w:val="20"/>
                <w:lang w:eastAsia="en-GB"/>
              </w:rPr>
              <w:t>LPG</w:t>
            </w:r>
          </w:p>
        </w:tc>
        <w:tc>
          <w:tcPr>
            <w:tcW w:w="7092" w:type="dxa"/>
            <w:shd w:val="clear" w:color="auto" w:fill="auto"/>
          </w:tcPr>
          <w:p w14:paraId="758C2321" w14:textId="77777777" w:rsidR="00EE10BF" w:rsidRPr="00BE78CA" w:rsidRDefault="00EE10BF" w:rsidP="00C26084">
            <w:pPr>
              <w:pStyle w:val="BodyText"/>
              <w:spacing w:before="100" w:after="0"/>
              <w:rPr>
                <w:rFonts w:eastAsia="Calibri" w:cs="Calibri"/>
                <w:sz w:val="20"/>
                <w:szCs w:val="20"/>
              </w:rPr>
            </w:pPr>
            <w:r w:rsidRPr="00BE78CA">
              <w:rPr>
                <w:rFonts w:cs="Calibri"/>
                <w:sz w:val="20"/>
                <w:szCs w:val="20"/>
              </w:rPr>
              <w:t>liquefied petroleu</w:t>
            </w:r>
            <w:r w:rsidRPr="00BE78CA">
              <w:rPr>
                <w:rFonts w:cs="Calibri"/>
                <w:sz w:val="20"/>
                <w:szCs w:val="20"/>
                <w:lang w:eastAsia="en-GB"/>
              </w:rPr>
              <w:t>m gas</w:t>
            </w:r>
          </w:p>
        </w:tc>
      </w:tr>
      <w:tr w:rsidR="00EE10BF" w:rsidRPr="00BE78CA" w14:paraId="4186761D" w14:textId="77777777" w:rsidTr="00C26084">
        <w:tc>
          <w:tcPr>
            <w:tcW w:w="1526" w:type="dxa"/>
            <w:shd w:val="clear" w:color="auto" w:fill="auto"/>
          </w:tcPr>
          <w:p w14:paraId="75F98A46"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LUCAS</w:t>
            </w:r>
          </w:p>
        </w:tc>
        <w:tc>
          <w:tcPr>
            <w:tcW w:w="7092" w:type="dxa"/>
            <w:shd w:val="clear" w:color="auto" w:fill="auto"/>
          </w:tcPr>
          <w:p w14:paraId="013AA2DC"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Land Use Carbon Analysis System</w:t>
            </w:r>
          </w:p>
        </w:tc>
      </w:tr>
      <w:tr w:rsidR="00EE10BF" w:rsidRPr="00BE78CA" w14:paraId="51FF6971" w14:textId="77777777" w:rsidTr="00C26084">
        <w:tc>
          <w:tcPr>
            <w:tcW w:w="1526" w:type="dxa"/>
            <w:shd w:val="clear" w:color="auto" w:fill="auto"/>
          </w:tcPr>
          <w:p w14:paraId="5E6E061C"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LUE</w:t>
            </w:r>
          </w:p>
        </w:tc>
        <w:tc>
          <w:tcPr>
            <w:tcW w:w="7092" w:type="dxa"/>
            <w:shd w:val="clear" w:color="auto" w:fill="auto"/>
          </w:tcPr>
          <w:p w14:paraId="3DED41BB"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land use effect</w:t>
            </w:r>
          </w:p>
        </w:tc>
      </w:tr>
      <w:tr w:rsidR="00EE10BF" w:rsidRPr="00BE78CA" w14:paraId="55EE8727" w14:textId="77777777" w:rsidTr="00C26084">
        <w:tc>
          <w:tcPr>
            <w:tcW w:w="1526" w:type="dxa"/>
            <w:shd w:val="clear" w:color="auto" w:fill="auto"/>
          </w:tcPr>
          <w:p w14:paraId="4E7CEAF8"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LULUCF</w:t>
            </w:r>
          </w:p>
        </w:tc>
        <w:tc>
          <w:tcPr>
            <w:tcW w:w="7092" w:type="dxa"/>
            <w:shd w:val="clear" w:color="auto" w:fill="auto"/>
          </w:tcPr>
          <w:p w14:paraId="294EFA8C"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Land Use, Land-Use Change and Forestry</w:t>
            </w:r>
          </w:p>
        </w:tc>
      </w:tr>
      <w:tr w:rsidR="00EE10BF" w:rsidRPr="00BE78CA" w14:paraId="531B6FBB" w14:textId="77777777" w:rsidTr="00C26084">
        <w:tc>
          <w:tcPr>
            <w:tcW w:w="1526" w:type="dxa"/>
            <w:shd w:val="clear" w:color="auto" w:fill="auto"/>
          </w:tcPr>
          <w:p w14:paraId="3AC3C925"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LUM</w:t>
            </w:r>
          </w:p>
        </w:tc>
        <w:tc>
          <w:tcPr>
            <w:tcW w:w="7092" w:type="dxa"/>
            <w:shd w:val="clear" w:color="auto" w:fill="auto"/>
          </w:tcPr>
          <w:p w14:paraId="04087274"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land use map</w:t>
            </w:r>
          </w:p>
        </w:tc>
      </w:tr>
      <w:tr w:rsidR="00EE10BF" w:rsidRPr="00BE78CA" w14:paraId="4D71BEB3" w14:textId="77777777" w:rsidTr="00C26084">
        <w:tc>
          <w:tcPr>
            <w:tcW w:w="1526" w:type="dxa"/>
            <w:shd w:val="clear" w:color="auto" w:fill="auto"/>
          </w:tcPr>
          <w:p w14:paraId="5E9A3D7C"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 xml:space="preserve">MBIE </w:t>
            </w:r>
          </w:p>
        </w:tc>
        <w:tc>
          <w:tcPr>
            <w:tcW w:w="7092" w:type="dxa"/>
            <w:shd w:val="clear" w:color="auto" w:fill="auto"/>
          </w:tcPr>
          <w:p w14:paraId="5E35B51B"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Ministry of Business, Innovation and Employment</w:t>
            </w:r>
          </w:p>
        </w:tc>
      </w:tr>
      <w:tr w:rsidR="00EE10BF" w:rsidRPr="00BE78CA" w14:paraId="6919BDEE" w14:textId="77777777" w:rsidTr="00C26084">
        <w:tc>
          <w:tcPr>
            <w:tcW w:w="1526" w:type="dxa"/>
            <w:shd w:val="clear" w:color="auto" w:fill="auto"/>
          </w:tcPr>
          <w:p w14:paraId="1FADB677"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MCF</w:t>
            </w:r>
          </w:p>
        </w:tc>
        <w:tc>
          <w:tcPr>
            <w:tcW w:w="7092" w:type="dxa"/>
            <w:shd w:val="clear" w:color="auto" w:fill="auto"/>
          </w:tcPr>
          <w:p w14:paraId="663DBA1C"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methane correction factor</w:t>
            </w:r>
          </w:p>
        </w:tc>
      </w:tr>
      <w:tr w:rsidR="00EE10BF" w:rsidRPr="00BE78CA" w14:paraId="4496200A" w14:textId="77777777" w:rsidTr="00C26084">
        <w:tc>
          <w:tcPr>
            <w:tcW w:w="1526" w:type="dxa"/>
            <w:shd w:val="clear" w:color="auto" w:fill="auto"/>
          </w:tcPr>
          <w:p w14:paraId="1B9833AC"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MDI</w:t>
            </w:r>
          </w:p>
        </w:tc>
        <w:tc>
          <w:tcPr>
            <w:tcW w:w="7092" w:type="dxa"/>
            <w:shd w:val="clear" w:color="auto" w:fill="auto"/>
          </w:tcPr>
          <w:p w14:paraId="390309A7"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metered dose inhaler</w:t>
            </w:r>
          </w:p>
        </w:tc>
      </w:tr>
      <w:tr w:rsidR="00EE10BF" w:rsidRPr="00BE78CA" w14:paraId="0BCCA857" w14:textId="77777777" w:rsidTr="00C26084">
        <w:tc>
          <w:tcPr>
            <w:tcW w:w="1526" w:type="dxa"/>
            <w:shd w:val="clear" w:color="auto" w:fill="auto"/>
          </w:tcPr>
          <w:p w14:paraId="4E57E757"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MDO</w:t>
            </w:r>
          </w:p>
        </w:tc>
        <w:tc>
          <w:tcPr>
            <w:tcW w:w="7092" w:type="dxa"/>
            <w:shd w:val="clear" w:color="auto" w:fill="auto"/>
          </w:tcPr>
          <w:p w14:paraId="1D52C7EE" w14:textId="77777777" w:rsidR="00EE10BF" w:rsidRPr="00BE78CA" w:rsidRDefault="00EE10BF" w:rsidP="00C26084">
            <w:pPr>
              <w:pStyle w:val="BodyText"/>
              <w:spacing w:before="100" w:after="0"/>
              <w:rPr>
                <w:rFonts w:eastAsia="Calibri" w:cs="Calibri"/>
                <w:sz w:val="20"/>
                <w:szCs w:val="20"/>
              </w:rPr>
            </w:pPr>
            <w:r w:rsidRPr="00BE78CA">
              <w:rPr>
                <w:rFonts w:cs="Calibri"/>
                <w:sz w:val="20"/>
                <w:szCs w:val="20"/>
              </w:rPr>
              <w:t>marine diesel oil</w:t>
            </w:r>
          </w:p>
        </w:tc>
      </w:tr>
      <w:tr w:rsidR="00EE10BF" w:rsidRPr="00BE78CA" w14:paraId="589586AA" w14:textId="77777777" w:rsidTr="00C26084">
        <w:tc>
          <w:tcPr>
            <w:tcW w:w="1526" w:type="dxa"/>
            <w:shd w:val="clear" w:color="auto" w:fill="auto"/>
          </w:tcPr>
          <w:p w14:paraId="4562D1E5"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ME</w:t>
            </w:r>
          </w:p>
        </w:tc>
        <w:tc>
          <w:tcPr>
            <w:tcW w:w="7092" w:type="dxa"/>
            <w:shd w:val="clear" w:color="auto" w:fill="auto"/>
          </w:tcPr>
          <w:p w14:paraId="7B1B122F"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metabolisable energy</w:t>
            </w:r>
          </w:p>
        </w:tc>
      </w:tr>
      <w:tr w:rsidR="00EE10BF" w:rsidRPr="00BE78CA" w14:paraId="481C8699" w14:textId="77777777" w:rsidTr="00C26084">
        <w:tc>
          <w:tcPr>
            <w:tcW w:w="1526" w:type="dxa"/>
            <w:shd w:val="clear" w:color="auto" w:fill="auto"/>
          </w:tcPr>
          <w:p w14:paraId="7B5C0FAE"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MFAT</w:t>
            </w:r>
          </w:p>
        </w:tc>
        <w:tc>
          <w:tcPr>
            <w:tcW w:w="7092" w:type="dxa"/>
            <w:shd w:val="clear" w:color="auto" w:fill="auto"/>
          </w:tcPr>
          <w:p w14:paraId="15D283F2"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Ministry of Foreign Affairs and Trade</w:t>
            </w:r>
          </w:p>
        </w:tc>
      </w:tr>
      <w:tr w:rsidR="00EE10BF" w:rsidRPr="00BE78CA" w14:paraId="43658E77" w14:textId="77777777" w:rsidTr="00C26084">
        <w:tc>
          <w:tcPr>
            <w:tcW w:w="1526" w:type="dxa"/>
            <w:shd w:val="clear" w:color="auto" w:fill="auto"/>
          </w:tcPr>
          <w:p w14:paraId="09647174"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MfE</w:t>
            </w:r>
          </w:p>
        </w:tc>
        <w:tc>
          <w:tcPr>
            <w:tcW w:w="7092" w:type="dxa"/>
            <w:shd w:val="clear" w:color="auto" w:fill="auto"/>
          </w:tcPr>
          <w:p w14:paraId="6D6128C2"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Ministry for the Environment</w:t>
            </w:r>
          </w:p>
        </w:tc>
      </w:tr>
      <w:tr w:rsidR="00EE10BF" w:rsidRPr="00BE78CA" w14:paraId="13D41FF3" w14:textId="77777777" w:rsidTr="00C26084">
        <w:tc>
          <w:tcPr>
            <w:tcW w:w="1526" w:type="dxa"/>
            <w:shd w:val="clear" w:color="auto" w:fill="auto"/>
          </w:tcPr>
          <w:p w14:paraId="2A174BF7" w14:textId="77777777" w:rsidR="00EE10BF" w:rsidRPr="00BE78CA" w:rsidRDefault="00EE10BF" w:rsidP="00C26084">
            <w:pPr>
              <w:pStyle w:val="BodyText"/>
              <w:spacing w:before="100" w:after="0"/>
              <w:rPr>
                <w:rFonts w:eastAsia="Calibri" w:cs="Calibri"/>
                <w:b/>
                <w:sz w:val="20"/>
                <w:szCs w:val="20"/>
              </w:rPr>
            </w:pPr>
            <w:r w:rsidRPr="00BE78CA">
              <w:rPr>
                <w:rFonts w:cs="Calibri"/>
                <w:b/>
                <w:sz w:val="20"/>
                <w:szCs w:val="20"/>
              </w:rPr>
              <w:t>MgO</w:t>
            </w:r>
          </w:p>
        </w:tc>
        <w:tc>
          <w:tcPr>
            <w:tcW w:w="7092" w:type="dxa"/>
            <w:shd w:val="clear" w:color="auto" w:fill="auto"/>
          </w:tcPr>
          <w:p w14:paraId="5ACA0950" w14:textId="77777777" w:rsidR="00EE10BF" w:rsidRPr="00BE78CA" w:rsidRDefault="00EE10BF" w:rsidP="00C26084">
            <w:pPr>
              <w:pStyle w:val="BodyText"/>
              <w:spacing w:before="100" w:after="0"/>
              <w:rPr>
                <w:rFonts w:eastAsia="Calibri" w:cs="Calibri"/>
                <w:sz w:val="20"/>
                <w:szCs w:val="20"/>
              </w:rPr>
            </w:pPr>
            <w:r w:rsidRPr="00BE78CA">
              <w:rPr>
                <w:rFonts w:cs="Calibri"/>
                <w:sz w:val="20"/>
                <w:szCs w:val="20"/>
              </w:rPr>
              <w:t>magnesium oxide</w:t>
            </w:r>
          </w:p>
        </w:tc>
      </w:tr>
      <w:tr w:rsidR="00EE10BF" w:rsidRPr="00BE78CA" w14:paraId="749C2A0F" w14:textId="77777777" w:rsidTr="00C26084">
        <w:tc>
          <w:tcPr>
            <w:tcW w:w="1526" w:type="dxa"/>
            <w:shd w:val="clear" w:color="auto" w:fill="auto"/>
          </w:tcPr>
          <w:p w14:paraId="4BDA779B" w14:textId="77777777" w:rsidR="00EE10BF" w:rsidRPr="00BE78CA" w:rsidRDefault="00EE10BF" w:rsidP="00C26084">
            <w:pPr>
              <w:pStyle w:val="BodyText"/>
              <w:spacing w:before="100" w:after="0"/>
              <w:rPr>
                <w:rFonts w:cs="Calibri"/>
                <w:b/>
                <w:sz w:val="20"/>
                <w:szCs w:val="20"/>
              </w:rPr>
            </w:pPr>
            <w:r w:rsidRPr="00BE78CA">
              <w:rPr>
                <w:rFonts w:cs="Calibri"/>
                <w:b/>
                <w:sz w:val="20"/>
                <w:szCs w:val="20"/>
              </w:rPr>
              <w:t>MiCORE</w:t>
            </w:r>
          </w:p>
        </w:tc>
        <w:tc>
          <w:tcPr>
            <w:tcW w:w="7092" w:type="dxa"/>
            <w:shd w:val="clear" w:color="auto" w:fill="auto"/>
          </w:tcPr>
          <w:p w14:paraId="172B5658" w14:textId="77777777" w:rsidR="00EE10BF" w:rsidRPr="00BE78CA" w:rsidRDefault="00EE10BF" w:rsidP="00C26084">
            <w:pPr>
              <w:pStyle w:val="BodyText"/>
              <w:spacing w:before="100" w:after="0"/>
              <w:rPr>
                <w:rFonts w:cs="Calibri"/>
                <w:sz w:val="20"/>
                <w:szCs w:val="20"/>
              </w:rPr>
            </w:pPr>
            <w:r w:rsidRPr="00BE78CA">
              <w:rPr>
                <w:rFonts w:cs="Calibri"/>
                <w:sz w:val="20"/>
                <w:szCs w:val="20"/>
              </w:rPr>
              <w:t>Ministry of Climate, Oceans and Resilience (Tokelau)</w:t>
            </w:r>
          </w:p>
        </w:tc>
      </w:tr>
      <w:tr w:rsidR="00EE10BF" w:rsidRPr="00BE78CA" w14:paraId="7B9BDA03" w14:textId="77777777" w:rsidTr="00C26084">
        <w:tc>
          <w:tcPr>
            <w:tcW w:w="1526" w:type="dxa"/>
            <w:shd w:val="clear" w:color="auto" w:fill="auto"/>
          </w:tcPr>
          <w:p w14:paraId="26067537" w14:textId="77777777" w:rsidR="00EE10BF" w:rsidRPr="00BE78CA" w:rsidRDefault="00EE10BF" w:rsidP="00C26084">
            <w:pPr>
              <w:pStyle w:val="BodyText"/>
              <w:spacing w:before="100" w:after="0"/>
              <w:rPr>
                <w:rFonts w:cs="Calibri"/>
                <w:b/>
                <w:sz w:val="20"/>
                <w:szCs w:val="20"/>
              </w:rPr>
            </w:pPr>
            <w:r w:rsidRPr="00BE78CA">
              <w:rPr>
                <w:rFonts w:cs="Calibri"/>
                <w:b/>
                <w:sz w:val="20"/>
                <w:szCs w:val="20"/>
              </w:rPr>
              <w:t>MJ</w:t>
            </w:r>
          </w:p>
        </w:tc>
        <w:tc>
          <w:tcPr>
            <w:tcW w:w="7092" w:type="dxa"/>
            <w:shd w:val="clear" w:color="auto" w:fill="auto"/>
          </w:tcPr>
          <w:p w14:paraId="60CB8AE2" w14:textId="6F3222BC" w:rsidR="00EE10BF" w:rsidRPr="00BE78CA" w:rsidRDefault="00EE10BF" w:rsidP="00C26084">
            <w:pPr>
              <w:pStyle w:val="BodyText"/>
              <w:spacing w:before="100" w:after="0"/>
              <w:rPr>
                <w:rFonts w:cs="Calibri"/>
                <w:sz w:val="20"/>
                <w:szCs w:val="20"/>
              </w:rPr>
            </w:pPr>
            <w:r w:rsidRPr="00BE78CA">
              <w:rPr>
                <w:rFonts w:cs="Calibri"/>
                <w:sz w:val="20"/>
                <w:szCs w:val="20"/>
              </w:rPr>
              <w:t>megajoule</w:t>
            </w:r>
            <w:r w:rsidR="00C26084" w:rsidRPr="00BE78CA">
              <w:rPr>
                <w:rFonts w:cs="Calibri"/>
                <w:sz w:val="20"/>
                <w:szCs w:val="20"/>
              </w:rPr>
              <w:t>(s)</w:t>
            </w:r>
          </w:p>
        </w:tc>
      </w:tr>
      <w:tr w:rsidR="00EE10BF" w:rsidRPr="00BE78CA" w14:paraId="736EF561" w14:textId="77777777" w:rsidTr="00C26084">
        <w:tc>
          <w:tcPr>
            <w:tcW w:w="1526" w:type="dxa"/>
            <w:shd w:val="clear" w:color="auto" w:fill="auto"/>
          </w:tcPr>
          <w:p w14:paraId="2507A418"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MOS</w:t>
            </w:r>
          </w:p>
        </w:tc>
        <w:tc>
          <w:tcPr>
            <w:tcW w:w="7092" w:type="dxa"/>
            <w:shd w:val="clear" w:color="auto" w:fill="auto"/>
          </w:tcPr>
          <w:p w14:paraId="312F0210"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 xml:space="preserve">Monthly Oil Supply </w:t>
            </w:r>
          </w:p>
        </w:tc>
      </w:tr>
      <w:tr w:rsidR="00EE10BF" w:rsidRPr="00BE78CA" w14:paraId="270C982E" w14:textId="77777777" w:rsidTr="00C26084">
        <w:tc>
          <w:tcPr>
            <w:tcW w:w="1526" w:type="dxa"/>
            <w:shd w:val="clear" w:color="auto" w:fill="auto"/>
          </w:tcPr>
          <w:p w14:paraId="02C874B7"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MPI</w:t>
            </w:r>
          </w:p>
        </w:tc>
        <w:tc>
          <w:tcPr>
            <w:tcW w:w="7092" w:type="dxa"/>
            <w:shd w:val="clear" w:color="auto" w:fill="auto"/>
          </w:tcPr>
          <w:p w14:paraId="5F32484D"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Ministry for Primary Industries</w:t>
            </w:r>
          </w:p>
        </w:tc>
      </w:tr>
      <w:tr w:rsidR="00EE10BF" w:rsidRPr="00BE78CA" w14:paraId="41B7248E" w14:textId="77777777" w:rsidTr="00C26084">
        <w:tc>
          <w:tcPr>
            <w:tcW w:w="1526" w:type="dxa"/>
            <w:shd w:val="clear" w:color="auto" w:fill="auto"/>
          </w:tcPr>
          <w:p w14:paraId="2936DDE6"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Mt</w:t>
            </w:r>
          </w:p>
        </w:tc>
        <w:tc>
          <w:tcPr>
            <w:tcW w:w="7092" w:type="dxa"/>
            <w:shd w:val="clear" w:color="auto" w:fill="auto"/>
          </w:tcPr>
          <w:p w14:paraId="38EB9B72" w14:textId="6AC1D3CA"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megatonne(s)</w:t>
            </w:r>
            <w:r w:rsidR="00C26084" w:rsidRPr="00BE78CA">
              <w:rPr>
                <w:rFonts w:eastAsia="Calibri" w:cs="Calibri"/>
                <w:sz w:val="20"/>
                <w:szCs w:val="20"/>
              </w:rPr>
              <w:t xml:space="preserve"> or million tonne(s)</w:t>
            </w:r>
          </w:p>
        </w:tc>
      </w:tr>
      <w:tr w:rsidR="00EE10BF" w:rsidRPr="00BE78CA" w14:paraId="37B7C552" w14:textId="77777777" w:rsidTr="00C26084">
        <w:tc>
          <w:tcPr>
            <w:tcW w:w="1526" w:type="dxa"/>
            <w:shd w:val="clear" w:color="auto" w:fill="auto"/>
          </w:tcPr>
          <w:p w14:paraId="2A0221A5"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MW</w:t>
            </w:r>
          </w:p>
        </w:tc>
        <w:tc>
          <w:tcPr>
            <w:tcW w:w="7092" w:type="dxa"/>
            <w:shd w:val="clear" w:color="auto" w:fill="auto"/>
          </w:tcPr>
          <w:p w14:paraId="2ED18A6A"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megawatt(s)</w:t>
            </w:r>
          </w:p>
        </w:tc>
      </w:tr>
      <w:tr w:rsidR="00EE10BF" w:rsidRPr="00BE78CA" w14:paraId="3444779E" w14:textId="77777777" w:rsidTr="00C26084">
        <w:tc>
          <w:tcPr>
            <w:tcW w:w="1526" w:type="dxa"/>
            <w:shd w:val="clear" w:color="auto" w:fill="auto"/>
          </w:tcPr>
          <w:p w14:paraId="2019B933"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N</w:t>
            </w:r>
          </w:p>
        </w:tc>
        <w:tc>
          <w:tcPr>
            <w:tcW w:w="7092" w:type="dxa"/>
            <w:shd w:val="clear" w:color="auto" w:fill="auto"/>
          </w:tcPr>
          <w:p w14:paraId="15E2AE46"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nitrogen</w:t>
            </w:r>
          </w:p>
        </w:tc>
      </w:tr>
      <w:tr w:rsidR="00EE10BF" w:rsidRPr="00BE78CA" w14:paraId="5C9A5B59" w14:textId="77777777" w:rsidTr="00C26084">
        <w:tc>
          <w:tcPr>
            <w:tcW w:w="1526" w:type="dxa"/>
            <w:shd w:val="clear" w:color="auto" w:fill="auto"/>
          </w:tcPr>
          <w:p w14:paraId="41ADA71D"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N</w:t>
            </w:r>
            <w:r w:rsidRPr="00BE78CA">
              <w:rPr>
                <w:rFonts w:eastAsia="Calibri" w:cs="Calibri"/>
                <w:b/>
                <w:sz w:val="20"/>
                <w:szCs w:val="20"/>
                <w:vertAlign w:val="subscript"/>
              </w:rPr>
              <w:t>2</w:t>
            </w:r>
            <w:r w:rsidRPr="00BE78CA">
              <w:rPr>
                <w:rFonts w:eastAsia="Calibri" w:cs="Calibri"/>
                <w:b/>
                <w:sz w:val="20"/>
                <w:szCs w:val="20"/>
              </w:rPr>
              <w:t xml:space="preserve">O </w:t>
            </w:r>
          </w:p>
        </w:tc>
        <w:tc>
          <w:tcPr>
            <w:tcW w:w="7092" w:type="dxa"/>
            <w:shd w:val="clear" w:color="auto" w:fill="auto"/>
          </w:tcPr>
          <w:p w14:paraId="3DF0DEA6"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nitrous oxide</w:t>
            </w:r>
          </w:p>
        </w:tc>
      </w:tr>
      <w:tr w:rsidR="00EE10BF" w:rsidRPr="00BE78CA" w14:paraId="67B8F758" w14:textId="77777777" w:rsidTr="00C26084">
        <w:tc>
          <w:tcPr>
            <w:tcW w:w="1526" w:type="dxa"/>
            <w:shd w:val="clear" w:color="auto" w:fill="auto"/>
          </w:tcPr>
          <w:p w14:paraId="28AF4564"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 xml:space="preserve">NA </w:t>
            </w:r>
          </w:p>
        </w:tc>
        <w:tc>
          <w:tcPr>
            <w:tcW w:w="7092" w:type="dxa"/>
            <w:shd w:val="clear" w:color="auto" w:fill="auto"/>
          </w:tcPr>
          <w:p w14:paraId="6705E1EC"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not applicable</w:t>
            </w:r>
          </w:p>
        </w:tc>
      </w:tr>
      <w:tr w:rsidR="00EE10BF" w:rsidRPr="00BE78CA" w14:paraId="4F0D71F9" w14:textId="77777777" w:rsidTr="00C26084">
        <w:tc>
          <w:tcPr>
            <w:tcW w:w="1526" w:type="dxa"/>
            <w:shd w:val="clear" w:color="auto" w:fill="auto"/>
          </w:tcPr>
          <w:p w14:paraId="3DF5D84A"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lastRenderedPageBreak/>
              <w:t>NE</w:t>
            </w:r>
          </w:p>
        </w:tc>
        <w:tc>
          <w:tcPr>
            <w:tcW w:w="7092" w:type="dxa"/>
            <w:shd w:val="clear" w:color="auto" w:fill="auto"/>
          </w:tcPr>
          <w:p w14:paraId="1B776940"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not estimated</w:t>
            </w:r>
          </w:p>
        </w:tc>
      </w:tr>
      <w:tr w:rsidR="00EE10BF" w:rsidRPr="00BE78CA" w14:paraId="11F92052" w14:textId="77777777" w:rsidTr="00C26084">
        <w:tc>
          <w:tcPr>
            <w:tcW w:w="1526" w:type="dxa"/>
            <w:shd w:val="clear" w:color="auto" w:fill="auto"/>
          </w:tcPr>
          <w:p w14:paraId="51DA405D"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 xml:space="preserve">NEFD </w:t>
            </w:r>
          </w:p>
        </w:tc>
        <w:tc>
          <w:tcPr>
            <w:tcW w:w="7092" w:type="dxa"/>
            <w:shd w:val="clear" w:color="auto" w:fill="auto"/>
          </w:tcPr>
          <w:p w14:paraId="3CE400A2"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National Exotic Forest Description</w:t>
            </w:r>
          </w:p>
        </w:tc>
      </w:tr>
      <w:tr w:rsidR="00EE10BF" w:rsidRPr="00BE78CA" w14:paraId="7EFA960A" w14:textId="77777777" w:rsidTr="00C26084">
        <w:tc>
          <w:tcPr>
            <w:tcW w:w="1526" w:type="dxa"/>
            <w:shd w:val="clear" w:color="auto" w:fill="auto"/>
          </w:tcPr>
          <w:p w14:paraId="1D59989F" w14:textId="77777777" w:rsidR="00EE10BF" w:rsidRPr="00BE78CA" w:rsidRDefault="00EE10BF" w:rsidP="00C26084">
            <w:pPr>
              <w:pStyle w:val="BodyText"/>
              <w:spacing w:before="100" w:after="0"/>
              <w:rPr>
                <w:rFonts w:eastAsia="Calibri" w:cs="Calibri"/>
                <w:b/>
                <w:sz w:val="20"/>
                <w:szCs w:val="20"/>
              </w:rPr>
            </w:pPr>
            <w:r w:rsidRPr="00BE78CA">
              <w:rPr>
                <w:rFonts w:cs="Calibri"/>
                <w:b/>
                <w:sz w:val="20"/>
                <w:szCs w:val="20"/>
              </w:rPr>
              <w:t>N</w:t>
            </w:r>
            <w:r w:rsidRPr="00BE78CA">
              <w:rPr>
                <w:rFonts w:cs="Calibri"/>
                <w:b/>
                <w:sz w:val="20"/>
                <w:szCs w:val="20"/>
                <w:vertAlign w:val="subscript"/>
              </w:rPr>
              <w:t>ex</w:t>
            </w:r>
          </w:p>
        </w:tc>
        <w:tc>
          <w:tcPr>
            <w:tcW w:w="7092" w:type="dxa"/>
            <w:shd w:val="clear" w:color="auto" w:fill="auto"/>
          </w:tcPr>
          <w:p w14:paraId="1140D365" w14:textId="77777777" w:rsidR="00EE10BF" w:rsidRPr="00BE78CA" w:rsidRDefault="00EE10BF" w:rsidP="00C26084">
            <w:pPr>
              <w:pStyle w:val="BodyText"/>
              <w:spacing w:before="100" w:after="0"/>
              <w:rPr>
                <w:rFonts w:eastAsia="Calibri" w:cs="Calibri"/>
                <w:sz w:val="20"/>
                <w:szCs w:val="20"/>
              </w:rPr>
            </w:pPr>
            <w:r w:rsidRPr="00BE78CA">
              <w:rPr>
                <w:rFonts w:cs="Calibri"/>
                <w:sz w:val="20"/>
                <w:szCs w:val="20"/>
              </w:rPr>
              <w:t xml:space="preserve">nitrogen excretion rates </w:t>
            </w:r>
          </w:p>
        </w:tc>
      </w:tr>
      <w:tr w:rsidR="00EE10BF" w:rsidRPr="00BE78CA" w14:paraId="784A0892" w14:textId="77777777" w:rsidTr="00C26084">
        <w:tc>
          <w:tcPr>
            <w:tcW w:w="1526" w:type="dxa"/>
            <w:shd w:val="clear" w:color="auto" w:fill="auto"/>
          </w:tcPr>
          <w:p w14:paraId="6E5B015B"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NF</w:t>
            </w:r>
            <w:r w:rsidRPr="00BE78CA">
              <w:rPr>
                <w:rFonts w:eastAsia="Calibri" w:cs="Calibri"/>
                <w:b/>
                <w:sz w:val="20"/>
                <w:szCs w:val="20"/>
                <w:vertAlign w:val="subscript"/>
              </w:rPr>
              <w:t>3</w:t>
            </w:r>
          </w:p>
        </w:tc>
        <w:tc>
          <w:tcPr>
            <w:tcW w:w="7092" w:type="dxa"/>
            <w:shd w:val="clear" w:color="auto" w:fill="auto"/>
          </w:tcPr>
          <w:p w14:paraId="344FE67D"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nitrogen trifluoride</w:t>
            </w:r>
          </w:p>
        </w:tc>
      </w:tr>
      <w:tr w:rsidR="00EE10BF" w:rsidRPr="00BE78CA" w14:paraId="12D02369" w14:textId="77777777" w:rsidTr="00C26084">
        <w:tc>
          <w:tcPr>
            <w:tcW w:w="1526" w:type="dxa"/>
            <w:shd w:val="clear" w:color="auto" w:fill="auto"/>
          </w:tcPr>
          <w:p w14:paraId="4B37CDF6" w14:textId="77777777" w:rsidR="00EE10BF" w:rsidRPr="00BE78CA" w:rsidRDefault="00EE10BF" w:rsidP="00C26084">
            <w:pPr>
              <w:pStyle w:val="BodyText"/>
              <w:spacing w:before="100" w:after="0"/>
              <w:rPr>
                <w:rFonts w:eastAsia="Calibri" w:cs="Calibri"/>
                <w:b/>
                <w:sz w:val="20"/>
                <w:szCs w:val="20"/>
              </w:rPr>
            </w:pPr>
            <w:r w:rsidRPr="00BE78CA">
              <w:rPr>
                <w:rFonts w:cs="Calibri"/>
                <w:b/>
                <w:sz w:val="20"/>
                <w:szCs w:val="20"/>
              </w:rPr>
              <w:t>NH</w:t>
            </w:r>
            <w:r w:rsidRPr="00BE78CA">
              <w:rPr>
                <w:rFonts w:cs="Calibri"/>
                <w:b/>
                <w:sz w:val="20"/>
                <w:szCs w:val="20"/>
                <w:vertAlign w:val="subscript"/>
              </w:rPr>
              <w:t>3</w:t>
            </w:r>
          </w:p>
        </w:tc>
        <w:tc>
          <w:tcPr>
            <w:tcW w:w="7092" w:type="dxa"/>
            <w:shd w:val="clear" w:color="auto" w:fill="auto"/>
          </w:tcPr>
          <w:p w14:paraId="36E53933"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ammonia</w:t>
            </w:r>
          </w:p>
        </w:tc>
      </w:tr>
      <w:tr w:rsidR="00EE10BF" w:rsidRPr="00BE78CA" w14:paraId="5C5AF13F" w14:textId="77777777" w:rsidTr="00C26084">
        <w:tc>
          <w:tcPr>
            <w:tcW w:w="1526" w:type="dxa"/>
            <w:shd w:val="clear" w:color="auto" w:fill="auto"/>
          </w:tcPr>
          <w:p w14:paraId="55EB2A5E"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NIR</w:t>
            </w:r>
          </w:p>
        </w:tc>
        <w:tc>
          <w:tcPr>
            <w:tcW w:w="7092" w:type="dxa"/>
            <w:shd w:val="clear" w:color="auto" w:fill="auto"/>
          </w:tcPr>
          <w:p w14:paraId="39C52CF8"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national inventory report</w:t>
            </w:r>
          </w:p>
        </w:tc>
      </w:tr>
      <w:tr w:rsidR="00EE10BF" w:rsidRPr="00BE78CA" w14:paraId="5B768B86" w14:textId="77777777" w:rsidTr="00C26084">
        <w:tc>
          <w:tcPr>
            <w:tcW w:w="1526" w:type="dxa"/>
            <w:shd w:val="clear" w:color="auto" w:fill="auto"/>
          </w:tcPr>
          <w:p w14:paraId="27E5DED9"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NMVOC</w:t>
            </w:r>
          </w:p>
        </w:tc>
        <w:tc>
          <w:tcPr>
            <w:tcW w:w="7092" w:type="dxa"/>
            <w:shd w:val="clear" w:color="auto" w:fill="auto"/>
          </w:tcPr>
          <w:p w14:paraId="38A2DFF5"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non-methane volatile organic compound</w:t>
            </w:r>
          </w:p>
        </w:tc>
      </w:tr>
      <w:tr w:rsidR="00EE10BF" w:rsidRPr="00BE78CA" w14:paraId="4FF01876" w14:textId="77777777" w:rsidTr="00C26084">
        <w:tc>
          <w:tcPr>
            <w:tcW w:w="1526" w:type="dxa"/>
            <w:shd w:val="clear" w:color="auto" w:fill="auto"/>
          </w:tcPr>
          <w:p w14:paraId="6DD3857E"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NO</w:t>
            </w:r>
          </w:p>
        </w:tc>
        <w:tc>
          <w:tcPr>
            <w:tcW w:w="7092" w:type="dxa"/>
            <w:shd w:val="clear" w:color="auto" w:fill="auto"/>
          </w:tcPr>
          <w:p w14:paraId="66B52F9A"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not occurring</w:t>
            </w:r>
          </w:p>
        </w:tc>
      </w:tr>
      <w:tr w:rsidR="00EE10BF" w:rsidRPr="00BE78CA" w14:paraId="0A58479B" w14:textId="77777777" w:rsidTr="00C26084">
        <w:tc>
          <w:tcPr>
            <w:tcW w:w="1526" w:type="dxa"/>
            <w:shd w:val="clear" w:color="auto" w:fill="auto"/>
          </w:tcPr>
          <w:p w14:paraId="48E747D3"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NO</w:t>
            </w:r>
            <w:r w:rsidRPr="00BE78CA">
              <w:rPr>
                <w:rFonts w:eastAsia="Calibri" w:cs="Calibri"/>
                <w:b/>
                <w:sz w:val="20"/>
                <w:szCs w:val="20"/>
                <w:vertAlign w:val="subscript"/>
              </w:rPr>
              <w:t>3</w:t>
            </w:r>
          </w:p>
        </w:tc>
        <w:tc>
          <w:tcPr>
            <w:tcW w:w="7092" w:type="dxa"/>
            <w:shd w:val="clear" w:color="auto" w:fill="auto"/>
          </w:tcPr>
          <w:p w14:paraId="6BBB4523"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nitrate</w:t>
            </w:r>
          </w:p>
        </w:tc>
      </w:tr>
      <w:tr w:rsidR="00EE10BF" w:rsidRPr="00BE78CA" w14:paraId="7CF09CD4" w14:textId="77777777" w:rsidTr="00C26084">
        <w:tc>
          <w:tcPr>
            <w:tcW w:w="1526" w:type="dxa"/>
            <w:shd w:val="clear" w:color="auto" w:fill="auto"/>
          </w:tcPr>
          <w:p w14:paraId="77BFAA65"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NO</w:t>
            </w:r>
            <w:r w:rsidRPr="00BE78CA">
              <w:rPr>
                <w:rFonts w:eastAsia="Calibri" w:cs="Calibri"/>
                <w:b/>
                <w:sz w:val="20"/>
                <w:szCs w:val="20"/>
                <w:vertAlign w:val="subscript"/>
              </w:rPr>
              <w:t>x</w:t>
            </w:r>
          </w:p>
        </w:tc>
        <w:tc>
          <w:tcPr>
            <w:tcW w:w="7092" w:type="dxa"/>
            <w:shd w:val="clear" w:color="auto" w:fill="auto"/>
          </w:tcPr>
          <w:p w14:paraId="0EF8E186"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nitrogen oxides (other than nitrous oxide)</w:t>
            </w:r>
          </w:p>
        </w:tc>
      </w:tr>
      <w:tr w:rsidR="00EE10BF" w:rsidRPr="00BE78CA" w14:paraId="6117D532" w14:textId="77777777" w:rsidTr="00C26084">
        <w:tc>
          <w:tcPr>
            <w:tcW w:w="1526" w:type="dxa"/>
            <w:shd w:val="clear" w:color="auto" w:fill="auto"/>
          </w:tcPr>
          <w:p w14:paraId="35BD7856"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NSD</w:t>
            </w:r>
          </w:p>
        </w:tc>
        <w:tc>
          <w:tcPr>
            <w:tcW w:w="7092" w:type="dxa"/>
            <w:shd w:val="clear" w:color="auto" w:fill="auto"/>
          </w:tcPr>
          <w:p w14:paraId="40BE56E1"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National Soils Database</w:t>
            </w:r>
          </w:p>
        </w:tc>
      </w:tr>
      <w:tr w:rsidR="00EE10BF" w:rsidRPr="00BE78CA" w14:paraId="542768B3" w14:textId="77777777" w:rsidTr="00C26084">
        <w:tc>
          <w:tcPr>
            <w:tcW w:w="1526" w:type="dxa"/>
            <w:shd w:val="clear" w:color="auto" w:fill="auto"/>
          </w:tcPr>
          <w:p w14:paraId="6A5AC8BC"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NZAGRC</w:t>
            </w:r>
          </w:p>
        </w:tc>
        <w:tc>
          <w:tcPr>
            <w:tcW w:w="7092" w:type="dxa"/>
            <w:shd w:val="clear" w:color="auto" w:fill="auto"/>
          </w:tcPr>
          <w:p w14:paraId="37D3D1E1"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New Zealand Agricultural Greenhouse Gas Research Centre</w:t>
            </w:r>
          </w:p>
        </w:tc>
      </w:tr>
      <w:tr w:rsidR="00EE10BF" w:rsidRPr="00BE78CA" w14:paraId="56C6D948" w14:textId="77777777" w:rsidTr="00C26084">
        <w:tc>
          <w:tcPr>
            <w:tcW w:w="1526" w:type="dxa"/>
            <w:shd w:val="clear" w:color="auto" w:fill="auto"/>
          </w:tcPr>
          <w:p w14:paraId="06E86B34" w14:textId="77777777" w:rsidR="00EE10BF" w:rsidRPr="00BE78CA" w:rsidRDefault="00EE10BF" w:rsidP="00C26084">
            <w:pPr>
              <w:pStyle w:val="BodyText"/>
              <w:spacing w:before="100" w:after="0"/>
              <w:rPr>
                <w:rFonts w:eastAsia="Calibri" w:cs="Calibri"/>
                <w:b/>
                <w:sz w:val="20"/>
                <w:szCs w:val="20"/>
              </w:rPr>
            </w:pPr>
            <w:r w:rsidRPr="00BE78CA">
              <w:rPr>
                <w:rFonts w:cs="Calibri"/>
                <w:b/>
                <w:sz w:val="20"/>
                <w:szCs w:val="20"/>
              </w:rPr>
              <w:t>NZAS</w:t>
            </w:r>
          </w:p>
        </w:tc>
        <w:tc>
          <w:tcPr>
            <w:tcW w:w="7092" w:type="dxa"/>
            <w:shd w:val="clear" w:color="auto" w:fill="auto"/>
          </w:tcPr>
          <w:p w14:paraId="1D656B01" w14:textId="77777777" w:rsidR="00EE10BF" w:rsidRPr="00BE78CA" w:rsidRDefault="00EE10BF" w:rsidP="00C26084">
            <w:pPr>
              <w:pStyle w:val="BodyText"/>
              <w:spacing w:before="100" w:after="0"/>
              <w:rPr>
                <w:rFonts w:eastAsia="Calibri" w:cs="Calibri"/>
                <w:sz w:val="20"/>
                <w:szCs w:val="20"/>
              </w:rPr>
            </w:pPr>
            <w:r w:rsidRPr="00BE78CA">
              <w:rPr>
                <w:rFonts w:cs="Calibri"/>
                <w:sz w:val="20"/>
                <w:szCs w:val="20"/>
              </w:rPr>
              <w:t>New Zealand Aluminium Smelters Limited</w:t>
            </w:r>
          </w:p>
        </w:tc>
      </w:tr>
      <w:tr w:rsidR="00EE10BF" w:rsidRPr="00BE78CA" w14:paraId="49BF7799" w14:textId="77777777" w:rsidTr="00C26084">
        <w:tc>
          <w:tcPr>
            <w:tcW w:w="1526" w:type="dxa"/>
            <w:shd w:val="clear" w:color="auto" w:fill="auto"/>
          </w:tcPr>
          <w:p w14:paraId="258A89C8"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 xml:space="preserve">NZ ETS </w:t>
            </w:r>
          </w:p>
        </w:tc>
        <w:tc>
          <w:tcPr>
            <w:tcW w:w="7092" w:type="dxa"/>
            <w:shd w:val="clear" w:color="auto" w:fill="auto"/>
          </w:tcPr>
          <w:p w14:paraId="4ED48357"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New Zealand Emissions Trading Scheme</w:t>
            </w:r>
          </w:p>
        </w:tc>
      </w:tr>
      <w:tr w:rsidR="00EE10BF" w:rsidRPr="00BE78CA" w14:paraId="2535C820" w14:textId="77777777" w:rsidTr="00C26084">
        <w:tc>
          <w:tcPr>
            <w:tcW w:w="1526" w:type="dxa"/>
            <w:shd w:val="clear" w:color="auto" w:fill="auto"/>
          </w:tcPr>
          <w:p w14:paraId="515BFE00"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NZLRI</w:t>
            </w:r>
          </w:p>
        </w:tc>
        <w:tc>
          <w:tcPr>
            <w:tcW w:w="7092" w:type="dxa"/>
            <w:shd w:val="clear" w:color="auto" w:fill="auto"/>
          </w:tcPr>
          <w:p w14:paraId="512C2289"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New Zealand Land Resource Inventory</w:t>
            </w:r>
          </w:p>
        </w:tc>
      </w:tr>
      <w:tr w:rsidR="00EE10BF" w:rsidRPr="00BE78CA" w14:paraId="23281783" w14:textId="77777777" w:rsidTr="00C26084">
        <w:tc>
          <w:tcPr>
            <w:tcW w:w="1526" w:type="dxa"/>
            <w:shd w:val="clear" w:color="auto" w:fill="auto"/>
          </w:tcPr>
          <w:p w14:paraId="1B4B2BC0"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NZU</w:t>
            </w:r>
          </w:p>
        </w:tc>
        <w:tc>
          <w:tcPr>
            <w:tcW w:w="7092" w:type="dxa"/>
            <w:shd w:val="clear" w:color="auto" w:fill="auto"/>
          </w:tcPr>
          <w:p w14:paraId="2DDA1A1A"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New Zealand Unit</w:t>
            </w:r>
          </w:p>
        </w:tc>
      </w:tr>
      <w:tr w:rsidR="00EE10BF" w:rsidRPr="00BE78CA" w14:paraId="09167447" w14:textId="77777777" w:rsidTr="00C26084">
        <w:tc>
          <w:tcPr>
            <w:tcW w:w="1526" w:type="dxa"/>
            <w:shd w:val="clear" w:color="auto" w:fill="auto"/>
          </w:tcPr>
          <w:p w14:paraId="541ABBAE"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ODA</w:t>
            </w:r>
          </w:p>
        </w:tc>
        <w:tc>
          <w:tcPr>
            <w:tcW w:w="7092" w:type="dxa"/>
            <w:shd w:val="clear" w:color="auto" w:fill="auto"/>
          </w:tcPr>
          <w:p w14:paraId="209ED9CE"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official development assistance</w:t>
            </w:r>
          </w:p>
        </w:tc>
      </w:tr>
      <w:tr w:rsidR="00EE10BF" w:rsidRPr="00BE78CA" w14:paraId="25D5F33E" w14:textId="77777777" w:rsidTr="00C26084">
        <w:tc>
          <w:tcPr>
            <w:tcW w:w="1526" w:type="dxa"/>
            <w:shd w:val="clear" w:color="auto" w:fill="auto"/>
          </w:tcPr>
          <w:p w14:paraId="3D77835D"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ODS</w:t>
            </w:r>
          </w:p>
        </w:tc>
        <w:tc>
          <w:tcPr>
            <w:tcW w:w="7092" w:type="dxa"/>
            <w:shd w:val="clear" w:color="auto" w:fill="auto"/>
          </w:tcPr>
          <w:p w14:paraId="2CF749C6"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ozone depleting substances</w:t>
            </w:r>
          </w:p>
        </w:tc>
      </w:tr>
      <w:tr w:rsidR="00EE10BF" w:rsidRPr="00BE78CA" w14:paraId="5C89F9C7" w14:textId="77777777" w:rsidTr="00C26084">
        <w:tc>
          <w:tcPr>
            <w:tcW w:w="1526" w:type="dxa"/>
            <w:shd w:val="clear" w:color="auto" w:fill="auto"/>
          </w:tcPr>
          <w:p w14:paraId="1BE161D9"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OECD</w:t>
            </w:r>
          </w:p>
        </w:tc>
        <w:tc>
          <w:tcPr>
            <w:tcW w:w="7092" w:type="dxa"/>
            <w:shd w:val="clear" w:color="auto" w:fill="auto"/>
          </w:tcPr>
          <w:p w14:paraId="307390E2"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 xml:space="preserve">Organisation for Economic Co-operation and Development </w:t>
            </w:r>
          </w:p>
        </w:tc>
      </w:tr>
      <w:tr w:rsidR="00EE10BF" w:rsidRPr="00BE78CA" w14:paraId="635F74FC" w14:textId="77777777" w:rsidTr="00C26084">
        <w:tc>
          <w:tcPr>
            <w:tcW w:w="1526" w:type="dxa"/>
            <w:shd w:val="clear" w:color="auto" w:fill="auto"/>
          </w:tcPr>
          <w:p w14:paraId="344032AB"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OMD</w:t>
            </w:r>
          </w:p>
        </w:tc>
        <w:tc>
          <w:tcPr>
            <w:tcW w:w="7092" w:type="dxa"/>
            <w:shd w:val="clear" w:color="auto" w:fill="auto"/>
          </w:tcPr>
          <w:p w14:paraId="1DE488C3" w14:textId="77777777" w:rsidR="00EE10BF" w:rsidRPr="00BE78CA" w:rsidRDefault="00EE10BF" w:rsidP="00C26084">
            <w:pPr>
              <w:pStyle w:val="BodyText"/>
              <w:spacing w:before="100" w:after="0"/>
              <w:rPr>
                <w:rFonts w:eastAsia="Calibri" w:cs="Calibri"/>
                <w:sz w:val="20"/>
                <w:szCs w:val="20"/>
                <w:highlight w:val="yellow"/>
              </w:rPr>
            </w:pPr>
            <w:r w:rsidRPr="00BE78CA">
              <w:rPr>
                <w:rFonts w:eastAsia="Calibri" w:cs="Calibri"/>
                <w:sz w:val="20"/>
                <w:szCs w:val="20"/>
              </w:rPr>
              <w:t>organic matter digestibility</w:t>
            </w:r>
          </w:p>
        </w:tc>
      </w:tr>
      <w:tr w:rsidR="00EE10BF" w:rsidRPr="00BE78CA" w14:paraId="29A4C197" w14:textId="77777777" w:rsidTr="00C26084">
        <w:tc>
          <w:tcPr>
            <w:tcW w:w="1526" w:type="dxa"/>
            <w:shd w:val="clear" w:color="auto" w:fill="auto"/>
          </w:tcPr>
          <w:p w14:paraId="6017C0B6"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PFC</w:t>
            </w:r>
          </w:p>
        </w:tc>
        <w:tc>
          <w:tcPr>
            <w:tcW w:w="7092" w:type="dxa"/>
            <w:shd w:val="clear" w:color="auto" w:fill="auto"/>
          </w:tcPr>
          <w:p w14:paraId="0A48E5CE"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perfluorocarbon</w:t>
            </w:r>
          </w:p>
        </w:tc>
      </w:tr>
      <w:tr w:rsidR="00EE10BF" w:rsidRPr="00BE78CA" w14:paraId="4E105780" w14:textId="77777777" w:rsidTr="00C26084">
        <w:tc>
          <w:tcPr>
            <w:tcW w:w="1526" w:type="dxa"/>
            <w:shd w:val="clear" w:color="auto" w:fill="auto"/>
          </w:tcPr>
          <w:p w14:paraId="30A388B6" w14:textId="77777777" w:rsidR="00EE10BF" w:rsidRPr="00BE78CA" w:rsidRDefault="00EE10BF" w:rsidP="00C26084">
            <w:pPr>
              <w:pStyle w:val="BodyText"/>
              <w:spacing w:before="100" w:after="0"/>
              <w:rPr>
                <w:rFonts w:eastAsia="Calibri" w:cs="Calibri"/>
                <w:b/>
                <w:bCs/>
                <w:sz w:val="20"/>
                <w:szCs w:val="20"/>
              </w:rPr>
            </w:pPr>
            <w:r w:rsidRPr="00BE78CA">
              <w:rPr>
                <w:rFonts w:cs="Calibri"/>
                <w:b/>
                <w:bCs/>
                <w:sz w:val="20"/>
                <w:szCs w:val="20"/>
              </w:rPr>
              <w:t>PGGRC</w:t>
            </w:r>
          </w:p>
        </w:tc>
        <w:tc>
          <w:tcPr>
            <w:tcW w:w="7092" w:type="dxa"/>
            <w:shd w:val="clear" w:color="auto" w:fill="auto"/>
          </w:tcPr>
          <w:p w14:paraId="0CC07334" w14:textId="77777777" w:rsidR="00EE10BF" w:rsidRPr="00BE78CA" w:rsidRDefault="00EE10BF" w:rsidP="00C26084">
            <w:pPr>
              <w:pStyle w:val="BodyText"/>
              <w:spacing w:before="100" w:after="0"/>
              <w:rPr>
                <w:rFonts w:eastAsia="Calibri" w:cs="Calibri"/>
                <w:sz w:val="20"/>
                <w:szCs w:val="20"/>
              </w:rPr>
            </w:pPr>
            <w:r w:rsidRPr="00BE78CA">
              <w:rPr>
                <w:rFonts w:cs="Calibri"/>
                <w:sz w:val="20"/>
                <w:szCs w:val="20"/>
              </w:rPr>
              <w:t>Pastoral Greenhouse Gas Research Consortium</w:t>
            </w:r>
          </w:p>
        </w:tc>
      </w:tr>
      <w:tr w:rsidR="00EE10BF" w:rsidRPr="00BE78CA" w14:paraId="454DD781" w14:textId="77777777" w:rsidTr="00C26084">
        <w:tc>
          <w:tcPr>
            <w:tcW w:w="1526" w:type="dxa"/>
            <w:shd w:val="clear" w:color="auto" w:fill="auto"/>
          </w:tcPr>
          <w:p w14:paraId="63F99986"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PJ</w:t>
            </w:r>
          </w:p>
        </w:tc>
        <w:tc>
          <w:tcPr>
            <w:tcW w:w="7092" w:type="dxa"/>
            <w:shd w:val="clear" w:color="auto" w:fill="auto"/>
          </w:tcPr>
          <w:p w14:paraId="79838337"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petajoule(s)</w:t>
            </w:r>
          </w:p>
        </w:tc>
      </w:tr>
      <w:tr w:rsidR="00EE10BF" w:rsidRPr="00BE78CA" w14:paraId="2BC6A796" w14:textId="77777777" w:rsidTr="00C26084">
        <w:tc>
          <w:tcPr>
            <w:tcW w:w="1526" w:type="dxa"/>
            <w:shd w:val="clear" w:color="auto" w:fill="auto"/>
          </w:tcPr>
          <w:p w14:paraId="565159E3"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PSP</w:t>
            </w:r>
          </w:p>
        </w:tc>
        <w:tc>
          <w:tcPr>
            <w:tcW w:w="7092" w:type="dxa"/>
            <w:shd w:val="clear" w:color="auto" w:fill="auto"/>
          </w:tcPr>
          <w:p w14:paraId="09F23422"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permanent sample plot</w:t>
            </w:r>
          </w:p>
        </w:tc>
      </w:tr>
      <w:tr w:rsidR="00EE10BF" w:rsidRPr="00BE78CA" w14:paraId="5B5DD483" w14:textId="77777777" w:rsidTr="00C26084">
        <w:tc>
          <w:tcPr>
            <w:tcW w:w="1526" w:type="dxa"/>
            <w:shd w:val="clear" w:color="auto" w:fill="auto"/>
          </w:tcPr>
          <w:p w14:paraId="7F17F7E9"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PV</w:t>
            </w:r>
          </w:p>
        </w:tc>
        <w:tc>
          <w:tcPr>
            <w:tcW w:w="7092" w:type="dxa"/>
            <w:shd w:val="clear" w:color="auto" w:fill="auto"/>
          </w:tcPr>
          <w:p w14:paraId="558E9E5A"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photovoltaics</w:t>
            </w:r>
          </w:p>
        </w:tc>
      </w:tr>
      <w:tr w:rsidR="00EE10BF" w:rsidRPr="00BE78CA" w14:paraId="4A9C3329" w14:textId="77777777" w:rsidTr="00C26084">
        <w:tc>
          <w:tcPr>
            <w:tcW w:w="1526" w:type="dxa"/>
            <w:shd w:val="clear" w:color="auto" w:fill="auto"/>
          </w:tcPr>
          <w:p w14:paraId="39AE7C0F"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QA</w:t>
            </w:r>
          </w:p>
        </w:tc>
        <w:tc>
          <w:tcPr>
            <w:tcW w:w="7092" w:type="dxa"/>
            <w:shd w:val="clear" w:color="auto" w:fill="auto"/>
          </w:tcPr>
          <w:p w14:paraId="75DA1673"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quality assurance</w:t>
            </w:r>
          </w:p>
        </w:tc>
      </w:tr>
      <w:tr w:rsidR="00EE10BF" w:rsidRPr="00BE78CA" w14:paraId="3A46F30D" w14:textId="77777777" w:rsidTr="00C26084">
        <w:tc>
          <w:tcPr>
            <w:tcW w:w="1526" w:type="dxa"/>
            <w:shd w:val="clear" w:color="auto" w:fill="auto"/>
          </w:tcPr>
          <w:p w14:paraId="65638F9F"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 xml:space="preserve">QC </w:t>
            </w:r>
          </w:p>
        </w:tc>
        <w:tc>
          <w:tcPr>
            <w:tcW w:w="7092" w:type="dxa"/>
            <w:shd w:val="clear" w:color="auto" w:fill="auto"/>
          </w:tcPr>
          <w:p w14:paraId="3789BDE6"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quality control</w:t>
            </w:r>
          </w:p>
        </w:tc>
      </w:tr>
      <w:tr w:rsidR="00EE10BF" w:rsidRPr="00BE78CA" w14:paraId="473753B4" w14:textId="77777777" w:rsidTr="00C26084">
        <w:tc>
          <w:tcPr>
            <w:tcW w:w="1526" w:type="dxa"/>
            <w:shd w:val="clear" w:color="auto" w:fill="auto"/>
          </w:tcPr>
          <w:p w14:paraId="4EE71309"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RGG</w:t>
            </w:r>
          </w:p>
        </w:tc>
        <w:tc>
          <w:tcPr>
            <w:tcW w:w="7092" w:type="dxa"/>
            <w:shd w:val="clear" w:color="auto" w:fill="auto"/>
          </w:tcPr>
          <w:p w14:paraId="11D22DE5"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 xml:space="preserve">Reporting Governance Group </w:t>
            </w:r>
          </w:p>
        </w:tc>
      </w:tr>
      <w:tr w:rsidR="00EE10BF" w:rsidRPr="00BE78CA" w14:paraId="7CBAFCF8" w14:textId="77777777" w:rsidTr="00C26084">
        <w:tc>
          <w:tcPr>
            <w:tcW w:w="1526" w:type="dxa"/>
            <w:shd w:val="clear" w:color="auto" w:fill="auto"/>
          </w:tcPr>
          <w:p w14:paraId="3092EBFF"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RMU</w:t>
            </w:r>
          </w:p>
        </w:tc>
        <w:tc>
          <w:tcPr>
            <w:tcW w:w="7092" w:type="dxa"/>
            <w:shd w:val="clear" w:color="auto" w:fill="auto"/>
          </w:tcPr>
          <w:p w14:paraId="0F7453AE"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removal unit</w:t>
            </w:r>
          </w:p>
        </w:tc>
      </w:tr>
      <w:tr w:rsidR="00EE10BF" w:rsidRPr="00BE78CA" w14:paraId="186B0925" w14:textId="77777777" w:rsidTr="00C26084">
        <w:tc>
          <w:tcPr>
            <w:tcW w:w="1526" w:type="dxa"/>
            <w:shd w:val="clear" w:color="auto" w:fill="auto"/>
          </w:tcPr>
          <w:p w14:paraId="2C87B03A"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SDGs</w:t>
            </w:r>
          </w:p>
        </w:tc>
        <w:tc>
          <w:tcPr>
            <w:tcW w:w="7092" w:type="dxa"/>
            <w:shd w:val="clear" w:color="auto" w:fill="auto"/>
          </w:tcPr>
          <w:p w14:paraId="6C807DE7" w14:textId="77777777" w:rsidR="00EE10BF" w:rsidRPr="00BE78CA" w:rsidRDefault="00EE10BF" w:rsidP="00C26084">
            <w:pPr>
              <w:pStyle w:val="BodyText"/>
              <w:spacing w:before="100" w:after="0"/>
              <w:rPr>
                <w:rFonts w:eastAsia="Calibri" w:cs="Calibri"/>
                <w:sz w:val="20"/>
                <w:szCs w:val="20"/>
                <w:highlight w:val="yellow"/>
              </w:rPr>
            </w:pPr>
            <w:r w:rsidRPr="00BE78CA">
              <w:rPr>
                <w:rFonts w:eastAsia="Calibri" w:cs="Calibri"/>
                <w:sz w:val="20"/>
                <w:szCs w:val="20"/>
              </w:rPr>
              <w:t>Sustainable Development Goals</w:t>
            </w:r>
          </w:p>
        </w:tc>
      </w:tr>
      <w:tr w:rsidR="00EE10BF" w:rsidRPr="00BE78CA" w14:paraId="75FAE075" w14:textId="77777777" w:rsidTr="00C26084">
        <w:tc>
          <w:tcPr>
            <w:tcW w:w="1526" w:type="dxa"/>
            <w:shd w:val="clear" w:color="auto" w:fill="auto"/>
          </w:tcPr>
          <w:p w14:paraId="5D4A9E97"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SEF</w:t>
            </w:r>
          </w:p>
        </w:tc>
        <w:tc>
          <w:tcPr>
            <w:tcW w:w="7092" w:type="dxa"/>
            <w:shd w:val="clear" w:color="auto" w:fill="auto"/>
          </w:tcPr>
          <w:p w14:paraId="12B2F202"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standard electronic format</w:t>
            </w:r>
          </w:p>
        </w:tc>
      </w:tr>
      <w:tr w:rsidR="00EE10BF" w:rsidRPr="00BE78CA" w14:paraId="7727B441" w14:textId="77777777" w:rsidTr="00C26084">
        <w:tc>
          <w:tcPr>
            <w:tcW w:w="1526" w:type="dxa"/>
            <w:shd w:val="clear" w:color="auto" w:fill="auto"/>
          </w:tcPr>
          <w:p w14:paraId="3481EF60"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SF</w:t>
            </w:r>
            <w:r w:rsidRPr="00BE78CA">
              <w:rPr>
                <w:rFonts w:eastAsia="Calibri" w:cs="Calibri"/>
                <w:b/>
                <w:sz w:val="20"/>
                <w:szCs w:val="20"/>
                <w:vertAlign w:val="subscript"/>
              </w:rPr>
              <w:t>6</w:t>
            </w:r>
          </w:p>
        </w:tc>
        <w:tc>
          <w:tcPr>
            <w:tcW w:w="7092" w:type="dxa"/>
            <w:shd w:val="clear" w:color="auto" w:fill="auto"/>
          </w:tcPr>
          <w:p w14:paraId="77C90DEA"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sulphur hexafluoride</w:t>
            </w:r>
          </w:p>
        </w:tc>
      </w:tr>
      <w:tr w:rsidR="00EE10BF" w:rsidRPr="00BE78CA" w14:paraId="08A846E6" w14:textId="77777777" w:rsidTr="00C26084">
        <w:tc>
          <w:tcPr>
            <w:tcW w:w="1526" w:type="dxa"/>
            <w:shd w:val="clear" w:color="auto" w:fill="auto"/>
          </w:tcPr>
          <w:p w14:paraId="493B1155"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SIDS</w:t>
            </w:r>
          </w:p>
        </w:tc>
        <w:tc>
          <w:tcPr>
            <w:tcW w:w="7092" w:type="dxa"/>
            <w:shd w:val="clear" w:color="auto" w:fill="auto"/>
          </w:tcPr>
          <w:p w14:paraId="7A14BD1F"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Small Island Developing States</w:t>
            </w:r>
          </w:p>
        </w:tc>
      </w:tr>
      <w:tr w:rsidR="00EE10BF" w:rsidRPr="00BE78CA" w14:paraId="4E49EB3A" w14:textId="77777777" w:rsidTr="00C26084">
        <w:tc>
          <w:tcPr>
            <w:tcW w:w="1526" w:type="dxa"/>
            <w:shd w:val="clear" w:color="auto" w:fill="auto"/>
          </w:tcPr>
          <w:p w14:paraId="3AB4AA1D"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SO</w:t>
            </w:r>
            <w:r w:rsidRPr="00BE78CA">
              <w:rPr>
                <w:rFonts w:eastAsia="Calibri" w:cs="Calibri"/>
                <w:b/>
                <w:sz w:val="20"/>
                <w:szCs w:val="20"/>
                <w:vertAlign w:val="subscript"/>
              </w:rPr>
              <w:t>2</w:t>
            </w:r>
          </w:p>
        </w:tc>
        <w:tc>
          <w:tcPr>
            <w:tcW w:w="7092" w:type="dxa"/>
            <w:shd w:val="clear" w:color="auto" w:fill="auto"/>
          </w:tcPr>
          <w:p w14:paraId="3FEEFC18"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sulphur dioxide</w:t>
            </w:r>
          </w:p>
        </w:tc>
      </w:tr>
      <w:tr w:rsidR="00EE10BF" w:rsidRPr="00BE78CA" w14:paraId="5D731814" w14:textId="77777777" w:rsidTr="00C26084">
        <w:tc>
          <w:tcPr>
            <w:tcW w:w="1526" w:type="dxa"/>
            <w:shd w:val="clear" w:color="auto" w:fill="auto"/>
          </w:tcPr>
          <w:p w14:paraId="04D1E6FE"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SOC</w:t>
            </w:r>
          </w:p>
        </w:tc>
        <w:tc>
          <w:tcPr>
            <w:tcW w:w="7092" w:type="dxa"/>
            <w:shd w:val="clear" w:color="auto" w:fill="auto"/>
          </w:tcPr>
          <w:p w14:paraId="0397465D"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soil organic carbon</w:t>
            </w:r>
          </w:p>
        </w:tc>
      </w:tr>
      <w:tr w:rsidR="00EE10BF" w:rsidRPr="00BE78CA" w14:paraId="664575D8" w14:textId="77777777" w:rsidTr="00C26084">
        <w:tc>
          <w:tcPr>
            <w:tcW w:w="1526" w:type="dxa"/>
            <w:shd w:val="clear" w:color="auto" w:fill="auto"/>
          </w:tcPr>
          <w:p w14:paraId="2443E9FA" w14:textId="77777777" w:rsidR="00EE10BF" w:rsidRPr="00BE78CA" w:rsidRDefault="00EE10BF" w:rsidP="00C26084">
            <w:pPr>
              <w:pStyle w:val="BodyText"/>
              <w:spacing w:before="100" w:after="0"/>
              <w:rPr>
                <w:b/>
                <w:bCs/>
                <w:sz w:val="20"/>
                <w:szCs w:val="20"/>
              </w:rPr>
            </w:pPr>
            <w:r w:rsidRPr="00BE78CA">
              <w:rPr>
                <w:b/>
                <w:bCs/>
                <w:sz w:val="20"/>
                <w:szCs w:val="20"/>
              </w:rPr>
              <w:t>SWAP</w:t>
            </w:r>
          </w:p>
        </w:tc>
        <w:tc>
          <w:tcPr>
            <w:tcW w:w="7092" w:type="dxa"/>
            <w:shd w:val="clear" w:color="auto" w:fill="auto"/>
          </w:tcPr>
          <w:p w14:paraId="5C73EC84" w14:textId="77777777" w:rsidR="00EE10BF" w:rsidRPr="00BE78CA" w:rsidRDefault="00EE10BF" w:rsidP="00C26084">
            <w:pPr>
              <w:pStyle w:val="BodyText"/>
              <w:spacing w:before="100" w:after="0"/>
              <w:rPr>
                <w:sz w:val="20"/>
                <w:szCs w:val="20"/>
              </w:rPr>
            </w:pPr>
            <w:r w:rsidRPr="00BE78CA">
              <w:rPr>
                <w:i/>
                <w:sz w:val="20"/>
                <w:szCs w:val="20"/>
              </w:rPr>
              <w:t>Solid Waste Analysis Protocol</w:t>
            </w:r>
          </w:p>
        </w:tc>
      </w:tr>
      <w:tr w:rsidR="00EE10BF" w:rsidRPr="00BE78CA" w14:paraId="7BD039A6" w14:textId="77777777" w:rsidTr="00C26084">
        <w:tc>
          <w:tcPr>
            <w:tcW w:w="1526" w:type="dxa"/>
            <w:shd w:val="clear" w:color="auto" w:fill="auto"/>
          </w:tcPr>
          <w:p w14:paraId="11C6BCE8" w14:textId="77777777" w:rsidR="00EE10BF" w:rsidRPr="00BE78CA" w:rsidRDefault="00EE10BF" w:rsidP="00C26084">
            <w:pPr>
              <w:pStyle w:val="BodyText"/>
              <w:spacing w:before="100" w:after="0"/>
              <w:rPr>
                <w:rFonts w:eastAsia="Calibri" w:cs="Calibri"/>
                <w:b/>
                <w:bCs/>
                <w:sz w:val="20"/>
                <w:szCs w:val="20"/>
              </w:rPr>
            </w:pPr>
            <w:r w:rsidRPr="00BE78CA">
              <w:rPr>
                <w:b/>
                <w:bCs/>
                <w:sz w:val="20"/>
                <w:szCs w:val="20"/>
              </w:rPr>
              <w:t>SWDS</w:t>
            </w:r>
          </w:p>
        </w:tc>
        <w:tc>
          <w:tcPr>
            <w:tcW w:w="7092" w:type="dxa"/>
            <w:shd w:val="clear" w:color="auto" w:fill="auto"/>
          </w:tcPr>
          <w:p w14:paraId="1049D72B" w14:textId="77777777" w:rsidR="00EE10BF" w:rsidRPr="00BE78CA" w:rsidRDefault="00EE10BF" w:rsidP="00C26084">
            <w:pPr>
              <w:pStyle w:val="BodyText"/>
              <w:spacing w:before="100" w:after="0"/>
              <w:rPr>
                <w:rFonts w:eastAsia="Calibri" w:cs="Calibri"/>
                <w:sz w:val="20"/>
                <w:szCs w:val="20"/>
              </w:rPr>
            </w:pPr>
            <w:r w:rsidRPr="00BE78CA">
              <w:rPr>
                <w:sz w:val="20"/>
                <w:szCs w:val="20"/>
              </w:rPr>
              <w:t>solid waste disposable sites</w:t>
            </w:r>
          </w:p>
        </w:tc>
      </w:tr>
      <w:tr w:rsidR="00EE10BF" w:rsidRPr="00BE78CA" w14:paraId="584A12B9" w14:textId="77777777" w:rsidTr="00C26084">
        <w:tc>
          <w:tcPr>
            <w:tcW w:w="1526" w:type="dxa"/>
            <w:shd w:val="clear" w:color="auto" w:fill="auto"/>
          </w:tcPr>
          <w:p w14:paraId="7E409BDF"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t</w:t>
            </w:r>
          </w:p>
        </w:tc>
        <w:tc>
          <w:tcPr>
            <w:tcW w:w="7092" w:type="dxa"/>
            <w:shd w:val="clear" w:color="auto" w:fill="auto"/>
          </w:tcPr>
          <w:p w14:paraId="0FA8C2E9" w14:textId="50AA6CEF"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tonne</w:t>
            </w:r>
            <w:r w:rsidR="00C26084" w:rsidRPr="00BE78CA">
              <w:rPr>
                <w:rFonts w:eastAsia="Calibri" w:cs="Calibri"/>
                <w:sz w:val="20"/>
                <w:szCs w:val="20"/>
              </w:rPr>
              <w:t>(</w:t>
            </w:r>
            <w:r w:rsidRPr="00BE78CA">
              <w:rPr>
                <w:rFonts w:eastAsia="Calibri" w:cs="Calibri"/>
                <w:sz w:val="20"/>
                <w:szCs w:val="20"/>
              </w:rPr>
              <w:t>s</w:t>
            </w:r>
            <w:r w:rsidR="00C26084" w:rsidRPr="00BE78CA">
              <w:rPr>
                <w:rFonts w:eastAsia="Calibri" w:cs="Calibri"/>
                <w:sz w:val="20"/>
                <w:szCs w:val="20"/>
              </w:rPr>
              <w:t>)</w:t>
            </w:r>
          </w:p>
        </w:tc>
      </w:tr>
      <w:tr w:rsidR="00EE10BF" w:rsidRPr="00BE78CA" w14:paraId="5A8E5D9B" w14:textId="77777777" w:rsidTr="00C26084">
        <w:tc>
          <w:tcPr>
            <w:tcW w:w="1526" w:type="dxa"/>
            <w:shd w:val="clear" w:color="auto" w:fill="auto"/>
          </w:tcPr>
          <w:p w14:paraId="2CBD383F"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TACCC</w:t>
            </w:r>
          </w:p>
        </w:tc>
        <w:tc>
          <w:tcPr>
            <w:tcW w:w="7092" w:type="dxa"/>
            <w:shd w:val="clear" w:color="auto" w:fill="auto"/>
          </w:tcPr>
          <w:p w14:paraId="72239815"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transparency, accuracy, completeness, consistency and comparability</w:t>
            </w:r>
          </w:p>
        </w:tc>
      </w:tr>
      <w:tr w:rsidR="00EE10BF" w:rsidRPr="00BE78CA" w14:paraId="1CED8828" w14:textId="77777777" w:rsidTr="00C26084">
        <w:tc>
          <w:tcPr>
            <w:tcW w:w="1526" w:type="dxa"/>
            <w:shd w:val="clear" w:color="auto" w:fill="auto"/>
          </w:tcPr>
          <w:p w14:paraId="22A9E671"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 xml:space="preserve">tCER </w:t>
            </w:r>
          </w:p>
        </w:tc>
        <w:tc>
          <w:tcPr>
            <w:tcW w:w="7092" w:type="dxa"/>
            <w:shd w:val="clear" w:color="auto" w:fill="auto"/>
          </w:tcPr>
          <w:p w14:paraId="6AFA3C70"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temporary certified emission reduction unit</w:t>
            </w:r>
          </w:p>
        </w:tc>
      </w:tr>
      <w:tr w:rsidR="00EE10BF" w:rsidRPr="00BE78CA" w14:paraId="28A86B7A" w14:textId="77777777" w:rsidTr="00C26084">
        <w:tc>
          <w:tcPr>
            <w:tcW w:w="1526" w:type="dxa"/>
            <w:shd w:val="clear" w:color="auto" w:fill="auto"/>
          </w:tcPr>
          <w:p w14:paraId="5F8D168F"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lastRenderedPageBreak/>
              <w:t>TJ</w:t>
            </w:r>
          </w:p>
        </w:tc>
        <w:tc>
          <w:tcPr>
            <w:tcW w:w="7092" w:type="dxa"/>
            <w:shd w:val="clear" w:color="auto" w:fill="auto"/>
          </w:tcPr>
          <w:p w14:paraId="42A75659" w14:textId="26E4969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terajoule</w:t>
            </w:r>
            <w:r w:rsidR="00C26084" w:rsidRPr="00BE78CA">
              <w:rPr>
                <w:rFonts w:eastAsia="Calibri" w:cs="Calibri"/>
                <w:sz w:val="20"/>
                <w:szCs w:val="20"/>
              </w:rPr>
              <w:t>(s)</w:t>
            </w:r>
          </w:p>
        </w:tc>
      </w:tr>
      <w:tr w:rsidR="00EE10BF" w:rsidRPr="00BE78CA" w14:paraId="1F127B2A" w14:textId="77777777" w:rsidTr="00C26084">
        <w:tc>
          <w:tcPr>
            <w:tcW w:w="1526" w:type="dxa"/>
            <w:shd w:val="clear" w:color="auto" w:fill="auto"/>
          </w:tcPr>
          <w:p w14:paraId="602FE44F"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TOW</w:t>
            </w:r>
          </w:p>
        </w:tc>
        <w:tc>
          <w:tcPr>
            <w:tcW w:w="7092" w:type="dxa"/>
            <w:shd w:val="clear" w:color="auto" w:fill="auto"/>
          </w:tcPr>
          <w:p w14:paraId="2856A55C"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total organic product in wastewater</w:t>
            </w:r>
          </w:p>
        </w:tc>
      </w:tr>
      <w:tr w:rsidR="00EE10BF" w:rsidRPr="00BE78CA" w14:paraId="7BBA84FB" w14:textId="77777777" w:rsidTr="00C26084">
        <w:tc>
          <w:tcPr>
            <w:tcW w:w="1526" w:type="dxa"/>
            <w:shd w:val="clear" w:color="auto" w:fill="auto"/>
          </w:tcPr>
          <w:p w14:paraId="230BAB57"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UEF</w:t>
            </w:r>
          </w:p>
        </w:tc>
        <w:tc>
          <w:tcPr>
            <w:tcW w:w="7092" w:type="dxa"/>
            <w:shd w:val="clear" w:color="auto" w:fill="auto"/>
          </w:tcPr>
          <w:p w14:paraId="11B8DB1C"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unique emissions factor</w:t>
            </w:r>
          </w:p>
        </w:tc>
      </w:tr>
      <w:tr w:rsidR="00EE10BF" w:rsidRPr="00BE78CA" w14:paraId="27C17F0C" w14:textId="77777777" w:rsidTr="00C26084">
        <w:tc>
          <w:tcPr>
            <w:tcW w:w="1526" w:type="dxa"/>
            <w:shd w:val="clear" w:color="auto" w:fill="auto"/>
          </w:tcPr>
          <w:p w14:paraId="3D8C79C9"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 xml:space="preserve">UNFCCC </w:t>
            </w:r>
          </w:p>
        </w:tc>
        <w:tc>
          <w:tcPr>
            <w:tcW w:w="7092" w:type="dxa"/>
            <w:shd w:val="clear" w:color="auto" w:fill="auto"/>
          </w:tcPr>
          <w:p w14:paraId="5128DD60" w14:textId="77777777" w:rsidR="00EE10BF" w:rsidRPr="00BE78CA" w:rsidRDefault="00EE10BF" w:rsidP="00C26084">
            <w:pPr>
              <w:pStyle w:val="BodyText"/>
              <w:spacing w:before="100" w:after="0"/>
              <w:rPr>
                <w:rFonts w:eastAsia="Calibri" w:cs="Calibri"/>
                <w:sz w:val="20"/>
                <w:szCs w:val="20"/>
              </w:rPr>
            </w:pPr>
            <w:r w:rsidRPr="00BE78CA">
              <w:rPr>
                <w:rFonts w:eastAsia="Calibri" w:cs="Calibri"/>
                <w:sz w:val="20"/>
                <w:szCs w:val="20"/>
              </w:rPr>
              <w:t xml:space="preserve">United Nations Framework Convention on Climate Change </w:t>
            </w:r>
          </w:p>
        </w:tc>
      </w:tr>
      <w:tr w:rsidR="00EE10BF" w:rsidRPr="00BE78CA" w14:paraId="71B8EE20" w14:textId="77777777" w:rsidTr="00C26084">
        <w:tc>
          <w:tcPr>
            <w:tcW w:w="1526" w:type="dxa"/>
            <w:shd w:val="clear" w:color="auto" w:fill="auto"/>
          </w:tcPr>
          <w:p w14:paraId="4533BAAA" w14:textId="77777777" w:rsidR="00EE10BF" w:rsidRPr="00BE78CA" w:rsidRDefault="00EE10BF" w:rsidP="00C26084">
            <w:pPr>
              <w:pStyle w:val="BodyText"/>
              <w:spacing w:before="100" w:after="0"/>
              <w:rPr>
                <w:rFonts w:eastAsia="Calibri" w:cs="Calibri"/>
                <w:b/>
                <w:sz w:val="20"/>
                <w:szCs w:val="20"/>
              </w:rPr>
            </w:pPr>
            <w:r w:rsidRPr="00BE78CA">
              <w:rPr>
                <w:rFonts w:eastAsia="Calibri" w:cs="Calibri"/>
                <w:b/>
                <w:sz w:val="20"/>
                <w:szCs w:val="20"/>
              </w:rPr>
              <w:t>WTO</w:t>
            </w:r>
          </w:p>
        </w:tc>
        <w:tc>
          <w:tcPr>
            <w:tcW w:w="7092" w:type="dxa"/>
            <w:shd w:val="clear" w:color="auto" w:fill="auto"/>
          </w:tcPr>
          <w:p w14:paraId="6C8CD449" w14:textId="77777777" w:rsidR="00EE10BF" w:rsidRPr="00BE78CA" w:rsidRDefault="00EE10BF" w:rsidP="00C26084">
            <w:pPr>
              <w:pStyle w:val="BodyText"/>
              <w:spacing w:before="100" w:after="0"/>
              <w:rPr>
                <w:rFonts w:eastAsia="Calibri" w:cs="Calibri"/>
                <w:sz w:val="20"/>
                <w:szCs w:val="20"/>
              </w:rPr>
            </w:pPr>
            <w:r w:rsidRPr="00BE78CA">
              <w:rPr>
                <w:rFonts w:cs="Calibri"/>
                <w:sz w:val="20"/>
                <w:szCs w:val="20"/>
              </w:rPr>
              <w:t>World Trade Organisation</w:t>
            </w:r>
          </w:p>
        </w:tc>
      </w:tr>
    </w:tbl>
    <w:p w14:paraId="12726771" w14:textId="2097921A" w:rsidR="0001221A" w:rsidRPr="00BE78CA" w:rsidRDefault="0001221A" w:rsidP="000E497C"/>
    <w:p w14:paraId="71CCA58A" w14:textId="27B6212E" w:rsidR="007E4367" w:rsidRPr="00BE78CA" w:rsidRDefault="007E4367" w:rsidP="000E497C"/>
    <w:p w14:paraId="11239AE2" w14:textId="25275AEE" w:rsidR="007E4367" w:rsidRPr="00BE78CA" w:rsidRDefault="007E4367" w:rsidP="000E497C"/>
    <w:p w14:paraId="4DAC86B8" w14:textId="77777777" w:rsidR="00E3522C" w:rsidRPr="00BE78CA" w:rsidRDefault="00E3522C" w:rsidP="000E497C">
      <w:pPr>
        <w:sectPr w:rsidR="00E3522C" w:rsidRPr="00BE78CA" w:rsidSect="006C3B82">
          <w:footerReference w:type="even" r:id="rId19"/>
          <w:pgSz w:w="11907" w:h="16840" w:code="9"/>
          <w:pgMar w:top="1418" w:right="1701" w:bottom="1418" w:left="1701" w:header="567" w:footer="567" w:gutter="0"/>
          <w:pgNumType w:fmt="lowerRoman"/>
          <w:cols w:space="720"/>
        </w:sectPr>
      </w:pPr>
    </w:p>
    <w:p w14:paraId="1FB0363A" w14:textId="77777777" w:rsidR="00EA5549" w:rsidRPr="00BE78CA" w:rsidRDefault="00EA5549" w:rsidP="005459ED">
      <w:pPr>
        <w:pStyle w:val="Heading1"/>
        <w:spacing w:after="440"/>
      </w:pPr>
      <w:bookmarkStart w:id="12" w:name="executive-summary"/>
      <w:bookmarkStart w:id="13" w:name="_Toc68786278"/>
      <w:r w:rsidRPr="00BE78CA">
        <w:lastRenderedPageBreak/>
        <w:t>Executive summary</w:t>
      </w:r>
      <w:bookmarkEnd w:id="12"/>
      <w:bookmarkEnd w:id="13"/>
    </w:p>
    <w:tbl>
      <w:tblPr>
        <w:tblStyle w:val="TableGrid"/>
        <w:tblW w:w="0" w:type="auto"/>
        <w:tblBorders>
          <w:top w:val="single" w:sz="4" w:space="0" w:color="365F91"/>
          <w:left w:val="single" w:sz="4" w:space="0" w:color="365F91"/>
          <w:bottom w:val="single" w:sz="4" w:space="0" w:color="365F91"/>
          <w:right w:val="single" w:sz="4" w:space="0" w:color="365F91"/>
          <w:insideH w:val="single" w:sz="4" w:space="0" w:color="365F91"/>
          <w:insideV w:val="single" w:sz="4" w:space="0" w:color="365F91"/>
        </w:tblBorders>
        <w:tblCellMar>
          <w:left w:w="142" w:type="dxa"/>
        </w:tblCellMar>
        <w:tblLook w:val="04A0" w:firstRow="1" w:lastRow="0" w:firstColumn="1" w:lastColumn="0" w:noHBand="0" w:noVBand="1"/>
      </w:tblPr>
      <w:tblGrid>
        <w:gridCol w:w="8495"/>
      </w:tblGrid>
      <w:tr w:rsidR="00987A96" w:rsidRPr="00BE78CA" w14:paraId="1A319283" w14:textId="77777777" w:rsidTr="008D2189">
        <w:tc>
          <w:tcPr>
            <w:tcW w:w="8495" w:type="dxa"/>
          </w:tcPr>
          <w:p w14:paraId="5B0FF184" w14:textId="77777777" w:rsidR="00987A96" w:rsidRPr="00BE78CA" w:rsidRDefault="00987A96" w:rsidP="005459ED">
            <w:pPr>
              <w:pStyle w:val="Keypointshead"/>
              <w:spacing w:before="200" w:after="120"/>
              <w:jc w:val="left"/>
            </w:pPr>
            <w:r w:rsidRPr="00BE78CA">
              <w:t>Key points</w:t>
            </w:r>
          </w:p>
          <w:p w14:paraId="0DB12DF9" w14:textId="77777777" w:rsidR="00987A96" w:rsidRPr="00BE78CA" w:rsidRDefault="00987A96" w:rsidP="0031069B">
            <w:pPr>
              <w:pStyle w:val="Keypointshead"/>
              <w:spacing w:after="0"/>
              <w:jc w:val="left"/>
            </w:pPr>
            <w:r w:rsidRPr="00BE78CA">
              <w:t>In 2019</w:t>
            </w:r>
          </w:p>
          <w:p w14:paraId="613D54D7" w14:textId="3D53D8C8" w:rsidR="00987A96" w:rsidRPr="00BE78CA" w:rsidRDefault="00987A96" w:rsidP="000B00C7">
            <w:pPr>
              <w:pStyle w:val="Keypointsbullet"/>
              <w:spacing w:before="80"/>
              <w:jc w:val="left"/>
            </w:pPr>
            <w:r w:rsidRPr="00BE78CA">
              <w:t>New Zealand’s gross greenhouse gas emissions were 82,318 kilotonnes carbon dioxide equivalent (kt CO</w:t>
            </w:r>
            <w:r w:rsidRPr="00BE78CA">
              <w:rPr>
                <w:vertAlign w:val="subscript"/>
              </w:rPr>
              <w:t>2</w:t>
            </w:r>
            <w:r w:rsidRPr="00BE78CA">
              <w:t>-e), comprising 46 per cent carbon dioxide, 42 per cent methane, 10 per cent nitrous oxide and</w:t>
            </w:r>
            <w:r w:rsidR="005C168F" w:rsidRPr="00BE78CA">
              <w:t> </w:t>
            </w:r>
            <w:r w:rsidRPr="00BE78CA">
              <w:t>2 per cent fluorinated gases.</w:t>
            </w:r>
          </w:p>
          <w:p w14:paraId="08EC9C78" w14:textId="77777777" w:rsidR="00987A96" w:rsidRPr="00BE78CA" w:rsidRDefault="00987A96" w:rsidP="000B00C7">
            <w:pPr>
              <w:pStyle w:val="Keypointsbullet"/>
              <w:spacing w:before="80"/>
              <w:jc w:val="left"/>
            </w:pPr>
            <w:r w:rsidRPr="00BE78CA">
              <w:t>The Agriculture and Energy sectors were the two largest contributors to gross emissions, at 48 per cent and 42 per cent respectively.</w:t>
            </w:r>
          </w:p>
          <w:p w14:paraId="783B4B55" w14:textId="52B4C0A8" w:rsidR="00987A96" w:rsidRPr="00BE78CA" w:rsidRDefault="00987A96" w:rsidP="000B00C7">
            <w:pPr>
              <w:pStyle w:val="Keypointsbullet"/>
              <w:spacing w:before="80"/>
              <w:jc w:val="left"/>
            </w:pPr>
            <w:r w:rsidRPr="00BE78CA">
              <w:t>The Land Use, Land-Use Change and Forestry (LULUCF) sector offset 33 per cent of New Zealand’s gross</w:t>
            </w:r>
            <w:r w:rsidR="005C168F" w:rsidRPr="00BE78CA">
              <w:t> </w:t>
            </w:r>
            <w:r w:rsidRPr="00BE78CA">
              <w:t>emissions.</w:t>
            </w:r>
          </w:p>
          <w:p w14:paraId="15C5EE5F" w14:textId="77777777" w:rsidR="00987A96" w:rsidRPr="00BE78CA" w:rsidRDefault="00987A96" w:rsidP="000B00C7">
            <w:pPr>
              <w:pStyle w:val="Keypointsbullet"/>
              <w:spacing w:before="80"/>
              <w:jc w:val="left"/>
            </w:pPr>
            <w:r w:rsidRPr="00BE78CA">
              <w:t>New Zealand’s net emissions were 54,893 kt CO</w:t>
            </w:r>
            <w:r w:rsidRPr="00BE78CA">
              <w:rPr>
                <w:vertAlign w:val="subscript"/>
              </w:rPr>
              <w:t>2</w:t>
            </w:r>
            <w:r w:rsidRPr="00BE78CA">
              <w:t>-e in 2019.</w:t>
            </w:r>
          </w:p>
          <w:p w14:paraId="65567AF7" w14:textId="77777777" w:rsidR="00987A96" w:rsidRPr="00BE78CA" w:rsidRDefault="00987A96" w:rsidP="005C168F">
            <w:pPr>
              <w:pStyle w:val="Keypointshead"/>
              <w:spacing w:before="160" w:after="0"/>
              <w:jc w:val="left"/>
            </w:pPr>
            <w:r w:rsidRPr="00BE78CA">
              <w:t>Since 1990</w:t>
            </w:r>
          </w:p>
          <w:p w14:paraId="41B8485F" w14:textId="77777777" w:rsidR="00987A96" w:rsidRPr="00BE78CA" w:rsidRDefault="00987A96" w:rsidP="000B00C7">
            <w:pPr>
              <w:pStyle w:val="Keypointsbullet"/>
              <w:spacing w:before="80"/>
              <w:jc w:val="left"/>
            </w:pPr>
            <w:r w:rsidRPr="00BE78CA">
              <w:t>New Zealand’s gross emissions have increased by 26 per cent (17,189 kt CO</w:t>
            </w:r>
            <w:r w:rsidRPr="00BE78CA">
              <w:rPr>
                <w:vertAlign w:val="subscript"/>
              </w:rPr>
              <w:t>2</w:t>
            </w:r>
            <w:r w:rsidRPr="00BE78CA">
              <w:t>-e). The five emission sources that contributed the most to this increase were:</w:t>
            </w:r>
          </w:p>
          <w:p w14:paraId="55BD3AE7" w14:textId="77777777" w:rsidR="00987A96" w:rsidRPr="00BE78CA" w:rsidRDefault="00987A96" w:rsidP="000B00C7">
            <w:pPr>
              <w:pStyle w:val="Keypointsub-bullet"/>
              <w:spacing w:before="80"/>
              <w:jc w:val="left"/>
            </w:pPr>
            <w:r w:rsidRPr="00BE78CA">
              <w:t>enteric fermentation from an increase in the dairy cattle population (methane)</w:t>
            </w:r>
          </w:p>
          <w:p w14:paraId="57899A51" w14:textId="77777777" w:rsidR="00987A96" w:rsidRPr="00BE78CA" w:rsidRDefault="00987A96" w:rsidP="000B00C7">
            <w:pPr>
              <w:pStyle w:val="Keypointsub-bullet"/>
              <w:spacing w:before="80"/>
              <w:jc w:val="left"/>
            </w:pPr>
            <w:r w:rsidRPr="00BE78CA">
              <w:t>fuel use in road transport due to traffic growth (carbon dioxide)</w:t>
            </w:r>
          </w:p>
          <w:p w14:paraId="54F1EC91" w14:textId="2D086BE2" w:rsidR="00987A96" w:rsidRPr="00BE78CA" w:rsidRDefault="00987A96" w:rsidP="000B00C7">
            <w:pPr>
              <w:pStyle w:val="Keypointsub-bullet"/>
              <w:spacing w:before="80"/>
              <w:jc w:val="left"/>
            </w:pPr>
            <w:r w:rsidRPr="00BE78CA">
              <w:t xml:space="preserve">fuel use in </w:t>
            </w:r>
            <w:r w:rsidRPr="00BE78CA">
              <w:rPr>
                <w:i/>
              </w:rPr>
              <w:t>Manufacturing industries and construction</w:t>
            </w:r>
            <w:r w:rsidRPr="00BE78CA">
              <w:t xml:space="preserve"> from increased production due to</w:t>
            </w:r>
            <w:r w:rsidR="006A565F" w:rsidRPr="00BE78CA">
              <w:t> </w:t>
            </w:r>
            <w:r w:rsidRPr="00BE78CA">
              <w:t>economic</w:t>
            </w:r>
            <w:r w:rsidR="005C168F" w:rsidRPr="00BE78CA">
              <w:t> </w:t>
            </w:r>
            <w:r w:rsidRPr="00BE78CA">
              <w:t>growth (carbon dioxide)</w:t>
            </w:r>
          </w:p>
          <w:p w14:paraId="600D5A07" w14:textId="77777777" w:rsidR="00987A96" w:rsidRPr="00BE78CA" w:rsidRDefault="00987A96" w:rsidP="000B00C7">
            <w:pPr>
              <w:pStyle w:val="Keypointsub-bullet"/>
              <w:spacing w:before="80"/>
              <w:jc w:val="left"/>
            </w:pPr>
            <w:r w:rsidRPr="00BE78CA">
              <w:t>agricultural soils, from increased fertiliser use (nitrous oxide)</w:t>
            </w:r>
          </w:p>
          <w:p w14:paraId="7B43B933" w14:textId="7E32D5A9" w:rsidR="00987A96" w:rsidRPr="00BE78CA" w:rsidRDefault="00987A96" w:rsidP="000B00C7">
            <w:pPr>
              <w:pStyle w:val="Keypointsub-bullet"/>
              <w:spacing w:before="80"/>
              <w:jc w:val="left"/>
            </w:pPr>
            <w:r w:rsidRPr="00BE78CA">
              <w:t>industrial and household refrigeration and air-conditioning systems from increased use</w:t>
            </w:r>
            <w:r w:rsidR="006A565F" w:rsidRPr="00BE78CA">
              <w:t> </w:t>
            </w:r>
            <w:r w:rsidRPr="00BE78CA">
              <w:t>of</w:t>
            </w:r>
            <w:r w:rsidR="006A565F" w:rsidRPr="00BE78CA">
              <w:t> </w:t>
            </w:r>
            <w:r w:rsidRPr="00BE78CA">
              <w:t>hydrofluorocarbon-based refrigerants that replaced ozone depleting substances (fluorinated</w:t>
            </w:r>
            <w:r w:rsidR="006A565F" w:rsidRPr="00BE78CA">
              <w:t> </w:t>
            </w:r>
            <w:r w:rsidRPr="00BE78CA">
              <w:t>gases).</w:t>
            </w:r>
          </w:p>
          <w:p w14:paraId="7024C0A0" w14:textId="77777777" w:rsidR="00987A96" w:rsidRPr="00BE78CA" w:rsidRDefault="00987A96" w:rsidP="000B00C7">
            <w:pPr>
              <w:pStyle w:val="Keypointsbullet"/>
              <w:spacing w:before="80"/>
              <w:jc w:val="left"/>
            </w:pPr>
            <w:r w:rsidRPr="00BE78CA">
              <w:t>Emissions from the Waste sector decreased by 16 per cent since 1990, due to ongoing improvements in the management of solid waste disposal at municipal landfills.</w:t>
            </w:r>
          </w:p>
          <w:p w14:paraId="4CFEB7EE" w14:textId="77777777" w:rsidR="00987A96" w:rsidRPr="00BE78CA" w:rsidRDefault="00987A96" w:rsidP="000B00C7">
            <w:pPr>
              <w:pStyle w:val="Keypointsbullet"/>
              <w:spacing w:before="80"/>
              <w:jc w:val="left"/>
            </w:pPr>
            <w:r w:rsidRPr="00BE78CA">
              <w:t>New Zealand’s net emissions increased by 34 per cent (13,778 kt CO</w:t>
            </w:r>
            <w:r w:rsidRPr="00BE78CA">
              <w:rPr>
                <w:vertAlign w:val="subscript"/>
              </w:rPr>
              <w:t>2</w:t>
            </w:r>
            <w:r w:rsidRPr="00BE78CA">
              <w:t>-e), due to the underlying increase in gross emissions.</w:t>
            </w:r>
          </w:p>
          <w:p w14:paraId="62E2FE66" w14:textId="77777777" w:rsidR="00987A96" w:rsidRPr="00BE78CA" w:rsidRDefault="00987A96" w:rsidP="005C168F">
            <w:pPr>
              <w:pStyle w:val="Keypointshead"/>
              <w:spacing w:before="160" w:after="0"/>
              <w:jc w:val="left"/>
            </w:pPr>
            <w:r w:rsidRPr="00BE78CA">
              <w:t>Between 2018 and 2019</w:t>
            </w:r>
          </w:p>
          <w:p w14:paraId="39468032" w14:textId="77777777" w:rsidR="00987A96" w:rsidRPr="00BE78CA" w:rsidRDefault="00987A96" w:rsidP="005C168F">
            <w:pPr>
              <w:pStyle w:val="Keypointsbullet"/>
              <w:spacing w:before="80"/>
              <w:jc w:val="left"/>
            </w:pPr>
            <w:r w:rsidRPr="00BE78CA">
              <w:t>Gross emissions increased by 2 per cent, which was largely attributed to an increase in emissions from the Energy sector (by 5 per cent or 1,711 kt CO</w:t>
            </w:r>
            <w:r w:rsidRPr="00BE78CA">
              <w:rPr>
                <w:vertAlign w:val="subscript"/>
              </w:rPr>
              <w:t>2</w:t>
            </w:r>
            <w:r w:rsidRPr="00BE78CA">
              <w:t>-e) driven mainly by:</w:t>
            </w:r>
          </w:p>
          <w:p w14:paraId="60B0E2A4" w14:textId="77777777" w:rsidR="00987A96" w:rsidRPr="00BE78CA" w:rsidRDefault="00987A96" w:rsidP="005C168F">
            <w:pPr>
              <w:pStyle w:val="Keypointsub-bullet"/>
              <w:spacing w:before="80"/>
              <w:jc w:val="left"/>
            </w:pPr>
            <w:r w:rsidRPr="00BE78CA">
              <w:t xml:space="preserve">an increase in emissions from </w:t>
            </w:r>
            <w:r w:rsidRPr="00BE78CA">
              <w:rPr>
                <w:i/>
              </w:rPr>
              <w:t>Manufacturing industries and construction</w:t>
            </w:r>
            <w:r w:rsidRPr="00BE78CA">
              <w:t>, largely due to an increase in methanol production</w:t>
            </w:r>
          </w:p>
          <w:p w14:paraId="7CF39DAB" w14:textId="77777777" w:rsidR="00987A96" w:rsidRPr="00BE78CA" w:rsidRDefault="00987A96" w:rsidP="005C168F">
            <w:pPr>
              <w:pStyle w:val="Keypointsub-bullet"/>
              <w:spacing w:before="80"/>
              <w:jc w:val="left"/>
            </w:pPr>
            <w:r w:rsidRPr="00BE78CA">
              <w:t xml:space="preserve">an increase in emissions from </w:t>
            </w:r>
            <w:r w:rsidRPr="00BE78CA">
              <w:rPr>
                <w:i/>
              </w:rPr>
              <w:t>Public electricity and heat production</w:t>
            </w:r>
            <w:r w:rsidRPr="00BE78CA">
              <w:t>, primarily driven by an increase in natural gas-fired and coal-fired electricity generation in response to lower levels of hydro generation.</w:t>
            </w:r>
          </w:p>
          <w:p w14:paraId="28F49F23" w14:textId="77777777" w:rsidR="00987A96" w:rsidRPr="00BE78CA" w:rsidRDefault="00987A96" w:rsidP="005C168F">
            <w:pPr>
              <w:pStyle w:val="Keypointsbullet"/>
              <w:spacing w:before="80"/>
              <w:jc w:val="left"/>
            </w:pPr>
            <w:r w:rsidRPr="00BE78CA">
              <w:t>Emissions from the Agriculture, Industrial Processes and Product Use, and Waste sectors changed only by small annual variations of less than 2 per cent.</w:t>
            </w:r>
          </w:p>
          <w:p w14:paraId="4B89B87D" w14:textId="77777777" w:rsidR="00987A96" w:rsidRPr="00BE78CA" w:rsidRDefault="00987A96" w:rsidP="005C168F">
            <w:pPr>
              <w:pStyle w:val="Keypointsbullet"/>
              <w:spacing w:before="80"/>
              <w:jc w:val="left"/>
            </w:pPr>
            <w:r w:rsidRPr="00BE78CA">
              <w:t>Net emissions increased by 2 per cent (1,071 kt CO</w:t>
            </w:r>
            <w:r w:rsidRPr="00BE78CA">
              <w:rPr>
                <w:vertAlign w:val="subscript"/>
              </w:rPr>
              <w:t>2</w:t>
            </w:r>
            <w:r w:rsidRPr="00BE78CA">
              <w:t>-e), due to the increase in gross emissions being greater than the increase of removals from the LULUCF sector.</w:t>
            </w:r>
          </w:p>
          <w:p w14:paraId="7D7764C7" w14:textId="77777777" w:rsidR="00987A96" w:rsidRPr="00BE78CA" w:rsidRDefault="00987A96" w:rsidP="005C168F">
            <w:pPr>
              <w:pStyle w:val="Keypointshead"/>
              <w:spacing w:before="160" w:after="0"/>
              <w:jc w:val="left"/>
            </w:pPr>
            <w:r w:rsidRPr="00BE78CA">
              <w:t>Improvements</w:t>
            </w:r>
          </w:p>
          <w:p w14:paraId="68623089" w14:textId="77777777" w:rsidR="00987A96" w:rsidRPr="00BE78CA" w:rsidRDefault="00987A96" w:rsidP="005C168F">
            <w:pPr>
              <w:pStyle w:val="Keypointsbullet"/>
              <w:spacing w:before="80"/>
              <w:jc w:val="left"/>
            </w:pPr>
            <w:r w:rsidRPr="00BE78CA">
              <w:t>Emissions estimates for the entire time series are recalculated due to improvements to the inventory. The largest changes to this inventory are:</w:t>
            </w:r>
          </w:p>
          <w:p w14:paraId="19ECD68E" w14:textId="43A228ED" w:rsidR="00987A96" w:rsidRPr="00BE78CA" w:rsidRDefault="00987A96" w:rsidP="005C168F">
            <w:pPr>
              <w:pStyle w:val="Keypointsub-bullet"/>
              <w:spacing w:before="80"/>
              <w:jc w:val="left"/>
            </w:pPr>
            <w:r w:rsidRPr="00BE78CA">
              <w:t xml:space="preserve">the use of LULUCF data on managed organic soils in </w:t>
            </w:r>
            <w:r w:rsidRPr="00BE78CA">
              <w:rPr>
                <w:i/>
                <w:iCs/>
              </w:rPr>
              <w:t>Cropland</w:t>
            </w:r>
            <w:r w:rsidRPr="00BE78CA">
              <w:t xml:space="preserve"> and </w:t>
            </w:r>
            <w:r w:rsidRPr="00BE78CA">
              <w:rPr>
                <w:i/>
                <w:iCs/>
              </w:rPr>
              <w:t>Grassland</w:t>
            </w:r>
            <w:r w:rsidRPr="00BE78CA">
              <w:t xml:space="preserve">, which is used to estimate emissions from the </w:t>
            </w:r>
            <w:r w:rsidRPr="00BE78CA">
              <w:rPr>
                <w:i/>
              </w:rPr>
              <w:t>Cultivation of organic soils</w:t>
            </w:r>
            <w:r w:rsidRPr="00BE78CA">
              <w:t xml:space="preserve"> </w:t>
            </w:r>
            <w:r w:rsidR="00E52B4E" w:rsidRPr="00BE78CA">
              <w:t>(</w:t>
            </w:r>
            <w:r w:rsidRPr="00BE78CA">
              <w:t xml:space="preserve">CRF 3.D.1.6), and the adoption of updated pasture quality data for the dairy cattle, beef cattle, sheep and deer </w:t>
            </w:r>
            <w:r w:rsidR="00671668" w:rsidRPr="00BE78CA">
              <w:t>livestock types</w:t>
            </w:r>
          </w:p>
          <w:p w14:paraId="35D3D224" w14:textId="3F816907" w:rsidR="00987A96" w:rsidRPr="00BE78CA" w:rsidRDefault="00987A96" w:rsidP="005C168F">
            <w:pPr>
              <w:pStyle w:val="Keypointsub-bullet"/>
              <w:spacing w:before="80" w:after="120"/>
              <w:jc w:val="left"/>
            </w:pPr>
            <w:r w:rsidRPr="00BE78CA">
              <w:t>updated carbon stocks and stock change for the pre-1990 planted forest estate to more accurately reflect the improvements in management practices and genetics across the different age cohorts through time.</w:t>
            </w:r>
          </w:p>
        </w:tc>
      </w:tr>
    </w:tbl>
    <w:p w14:paraId="2031A98E" w14:textId="00C1B3AB" w:rsidR="00855935" w:rsidRPr="00BE78CA" w:rsidRDefault="00855935" w:rsidP="00790431">
      <w:pPr>
        <w:pStyle w:val="Heading2"/>
      </w:pPr>
      <w:bookmarkStart w:id="14" w:name="es.1-background"/>
      <w:bookmarkStart w:id="15" w:name="_Toc68786279"/>
      <w:r w:rsidRPr="00BE78CA">
        <w:lastRenderedPageBreak/>
        <w:t xml:space="preserve">ES.1 </w:t>
      </w:r>
      <w:r w:rsidR="00790431" w:rsidRPr="00BE78CA">
        <w:tab/>
      </w:r>
      <w:r w:rsidRPr="00BE78CA">
        <w:t>Background</w:t>
      </w:r>
      <w:bookmarkEnd w:id="14"/>
      <w:bookmarkEnd w:id="15"/>
    </w:p>
    <w:p w14:paraId="2C4266F5" w14:textId="77777777" w:rsidR="00855935" w:rsidRPr="00BE78CA" w:rsidRDefault="00855935" w:rsidP="00790431">
      <w:pPr>
        <w:pStyle w:val="BodyText"/>
      </w:pPr>
      <w:r w:rsidRPr="00BE78CA">
        <w:rPr>
          <w:i/>
        </w:rPr>
        <w:t>New Zealand’s Greenhouse Gas Inventory</w:t>
      </w:r>
      <w:r w:rsidRPr="00BE78CA">
        <w:t xml:space="preserve"> (the inventory) is the official annual report of all anthropogenic (human-induced) emissions and removals of greenhouse gases (GHGs) in New Zealand. It measures New Zealand’s progress against obligations under the United Nations Framework Convention on Climate Change (the Convention) and the Kyoto Protocol and is the official basis for measuring New Zealand’s progress towards its international emissions reduction targets.</w:t>
      </w:r>
    </w:p>
    <w:p w14:paraId="0A748B97" w14:textId="285C5DDD" w:rsidR="00855935" w:rsidRPr="00BE78CA" w:rsidRDefault="00855935" w:rsidP="00790431">
      <w:pPr>
        <w:pStyle w:val="BodyText"/>
      </w:pPr>
      <w:r w:rsidRPr="00BE78CA">
        <w:t>The inventory submission consists of the common reporting format (CRF) database containing inventory data for 1990 to 2019 from all emissions and removals in New Zealand together with</w:t>
      </w:r>
      <w:r w:rsidR="00790431" w:rsidRPr="00BE78CA">
        <w:t> </w:t>
      </w:r>
      <w:r w:rsidRPr="00BE78CA">
        <w:t>this publication, the national inventory report, which is a narrative that presents major emission trends and methodologies for estimating emissions and removals. It also includes sections on the inventory uncertainties, recalculations and improvements. In addition, the standard electronic format tables that contain data on emission units and emission reduction units in the emissions register and any unit transfers between the registers of different countries are included in this submission.</w:t>
      </w:r>
    </w:p>
    <w:p w14:paraId="341BD761" w14:textId="77777777" w:rsidR="00855935" w:rsidRPr="00BE78CA" w:rsidRDefault="00855935" w:rsidP="00790431">
      <w:pPr>
        <w:pStyle w:val="BodyText"/>
      </w:pPr>
      <w:r w:rsidRPr="00BE78CA">
        <w:t>Inventory reporting under the Convention covers seven direct GHGs: carbon dioxide (CO</w:t>
      </w:r>
      <w:r w:rsidRPr="00BE78CA">
        <w:rPr>
          <w:vertAlign w:val="subscript"/>
        </w:rPr>
        <w:t>2</w:t>
      </w:r>
      <w:r w:rsidRPr="00BE78CA">
        <w:t>), methane (CH</w:t>
      </w:r>
      <w:r w:rsidRPr="00BE78CA">
        <w:rPr>
          <w:vertAlign w:val="subscript"/>
        </w:rPr>
        <w:t>4</w:t>
      </w:r>
      <w:r w:rsidRPr="00BE78CA">
        <w:t>), nitrous oxide (N</w:t>
      </w:r>
      <w:r w:rsidRPr="00BE78CA">
        <w:rPr>
          <w:vertAlign w:val="subscript"/>
        </w:rPr>
        <w:t>2</w:t>
      </w:r>
      <w:r w:rsidRPr="00BE78CA">
        <w:t>O), hydrofluorocarbons (HFCs), perfluorocarbons (PFCs), sulphur hexafluoride (SF</w:t>
      </w:r>
      <w:r w:rsidRPr="00BE78CA">
        <w:rPr>
          <w:vertAlign w:val="subscript"/>
        </w:rPr>
        <w:t>6</w:t>
      </w:r>
      <w:r w:rsidRPr="00BE78CA">
        <w:t>) and nitrogen trifluoride (NF</w:t>
      </w:r>
      <w:r w:rsidRPr="00BE78CA">
        <w:rPr>
          <w:vertAlign w:val="subscript"/>
        </w:rPr>
        <w:t>3</w:t>
      </w:r>
      <w:r w:rsidRPr="00BE78CA">
        <w:t>).</w:t>
      </w:r>
      <w:r w:rsidRPr="00BE78CA">
        <w:rPr>
          <w:rStyle w:val="FootnoteReference"/>
        </w:rPr>
        <w:footnoteReference w:id="1"/>
      </w:r>
      <w:r w:rsidRPr="00BE78CA">
        <w:t xml:space="preserve"> Indirect GHGs</w:t>
      </w:r>
      <w:r w:rsidRPr="00BE78CA">
        <w:rPr>
          <w:rStyle w:val="FootnoteReference"/>
        </w:rPr>
        <w:footnoteReference w:id="2"/>
      </w:r>
      <w:r w:rsidRPr="00BE78CA">
        <w:t xml:space="preserve"> are also included; however, only emissions and removals of the direct GHGs are included in estimates of total national emissions under the Convention and accounted for under the Kyoto Protocol.</w:t>
      </w:r>
    </w:p>
    <w:p w14:paraId="2B226E92" w14:textId="77777777" w:rsidR="00855935" w:rsidRPr="00BE78CA" w:rsidRDefault="00855935" w:rsidP="00790431">
      <w:pPr>
        <w:pStyle w:val="BodyText"/>
      </w:pPr>
      <w:r w:rsidRPr="00BE78CA">
        <w:t>The gases are reported under six sectors: Energy, Industrial Processes and Product Use (IPPU), Agriculture, Land Use, Land-Use Change and Forestry (LULUCF) and Waste sectors, and New Zealand’s ‘Other’ sector (Tokelau).</w:t>
      </w:r>
    </w:p>
    <w:p w14:paraId="62F891B5" w14:textId="4D931D48" w:rsidR="00855935" w:rsidRPr="00BE78CA" w:rsidRDefault="00855935" w:rsidP="00790431">
      <w:pPr>
        <w:pStyle w:val="BodyText"/>
      </w:pPr>
      <w:r w:rsidRPr="00BE78CA">
        <w:t>New Zealand ratified the Convention on 16 September 1993 and the Paris Agreement on 4 October 2016. The extension (as of 13 November 2017) of New Zealand’s ratification of the Convention and the Paris Agreement to include Tokelau means that, among other things, New</w:t>
      </w:r>
      <w:r w:rsidR="00790431" w:rsidRPr="00BE78CA">
        <w:t> </w:t>
      </w:r>
      <w:r w:rsidRPr="00BE78CA">
        <w:t>Zealand’s national inventory shall include GHG emissions and removals estimates from Tokelau. Starting from 2019, emissions from Tokelau have been included in New Zealand’s greenhouse inventory.</w:t>
      </w:r>
    </w:p>
    <w:p w14:paraId="74FAAF35" w14:textId="2170A593" w:rsidR="00855935" w:rsidRPr="00BE78CA" w:rsidRDefault="00855935" w:rsidP="00855935">
      <w:pPr>
        <w:pStyle w:val="Heading2"/>
      </w:pPr>
      <w:bookmarkStart w:id="16" w:name="es.2-national-trends"/>
      <w:bookmarkStart w:id="17" w:name="_Toc68786280"/>
      <w:r w:rsidRPr="00BE78CA">
        <w:t xml:space="preserve">ES.2 </w:t>
      </w:r>
      <w:r w:rsidR="00790431" w:rsidRPr="00BE78CA">
        <w:tab/>
      </w:r>
      <w:r w:rsidRPr="00BE78CA">
        <w:t>National trends</w:t>
      </w:r>
      <w:bookmarkEnd w:id="16"/>
      <w:bookmarkEnd w:id="17"/>
    </w:p>
    <w:p w14:paraId="50207804" w14:textId="77777777" w:rsidR="00855935" w:rsidRPr="00BE78CA" w:rsidRDefault="00855935" w:rsidP="00855935">
      <w:pPr>
        <w:pStyle w:val="Heading4"/>
      </w:pPr>
      <w:bookmarkStart w:id="18" w:name="gross-emissions"/>
      <w:r w:rsidRPr="00BE78CA">
        <w:t>Gross emissions</w:t>
      </w:r>
      <w:bookmarkEnd w:id="18"/>
    </w:p>
    <w:p w14:paraId="08A923B9" w14:textId="77777777" w:rsidR="00855935" w:rsidRPr="00BE78CA" w:rsidRDefault="00855935" w:rsidP="00855935">
      <w:pPr>
        <w:pStyle w:val="BodyText"/>
      </w:pPr>
      <w:r w:rsidRPr="00BE78CA">
        <w:t>Gross emissions include those from Energy, IPPU, Agriculture, Waste and New Zealand’s ‘Other’ sector (Tokelau) but do not include emissions and removals from the LULUCF sector (UNFCCC, 2013).</w:t>
      </w:r>
    </w:p>
    <w:p w14:paraId="5BCC23C2" w14:textId="77777777" w:rsidR="00855935" w:rsidRPr="00BE78CA" w:rsidRDefault="00855935" w:rsidP="00855935">
      <w:pPr>
        <w:pStyle w:val="Heading5"/>
      </w:pPr>
      <w:bookmarkStart w:id="19" w:name="section"/>
      <w:r w:rsidRPr="00BE78CA">
        <w:lastRenderedPageBreak/>
        <w:t>1990–2019</w:t>
      </w:r>
      <w:bookmarkEnd w:id="19"/>
    </w:p>
    <w:p w14:paraId="4184A21E" w14:textId="77777777" w:rsidR="00855935" w:rsidRPr="00BE78CA" w:rsidRDefault="00855935" w:rsidP="00790431">
      <w:pPr>
        <w:pStyle w:val="BodyText"/>
        <w:keepLines/>
      </w:pPr>
      <w:r w:rsidRPr="00BE78CA">
        <w:t>In 1990, New Zealand’s gross GHG emissions were 65,129.2 kilotonnes carbon dioxide equivalent (kt CO</w:t>
      </w:r>
      <w:r w:rsidRPr="00BE78CA">
        <w:rPr>
          <w:vertAlign w:val="subscript"/>
        </w:rPr>
        <w:t>2</w:t>
      </w:r>
      <w:r w:rsidRPr="00BE78CA">
        <w:t>-e). Between 1990 and 2019, GHG emissions increased by 17,188.6 kt CO</w:t>
      </w:r>
      <w:r w:rsidRPr="00BE78CA">
        <w:rPr>
          <w:vertAlign w:val="subscript"/>
        </w:rPr>
        <w:t>2</w:t>
      </w:r>
      <w:r w:rsidRPr="00BE78CA">
        <w:t>-e (26.4 per cent) to 82,317.9 kt CO</w:t>
      </w:r>
      <w:r w:rsidRPr="00BE78CA">
        <w:rPr>
          <w:vertAlign w:val="subscript"/>
        </w:rPr>
        <w:t>2</w:t>
      </w:r>
      <w:r w:rsidRPr="00BE78CA">
        <w:t>-e in 2019 (see figure ES 2.1). From 1990 to 2019, the average annual growth in gross emissions was 0.8 per cent.</w:t>
      </w:r>
    </w:p>
    <w:p w14:paraId="184C2E2B" w14:textId="77777777" w:rsidR="00855935" w:rsidRPr="00BE78CA" w:rsidRDefault="00855935" w:rsidP="00855935">
      <w:pPr>
        <w:pStyle w:val="BodyText"/>
      </w:pPr>
      <w:r w:rsidRPr="00BE78CA">
        <w:t xml:space="preserve">The emission categories that contributed the most to this increase in gross emissions were: </w:t>
      </w:r>
      <w:r w:rsidRPr="00BE78CA">
        <w:rPr>
          <w:i/>
        </w:rPr>
        <w:t>Enteric fermentation</w:t>
      </w:r>
      <w:r w:rsidRPr="00BE78CA">
        <w:rPr>
          <w:rStyle w:val="FootnoteReference"/>
        </w:rPr>
        <w:footnoteReference w:id="3"/>
      </w:r>
      <w:r w:rsidRPr="00BE78CA">
        <w:t xml:space="preserve"> </w:t>
      </w:r>
      <w:r w:rsidRPr="00BE78CA">
        <w:rPr>
          <w:i/>
        </w:rPr>
        <w:t>from dairy cattle</w:t>
      </w:r>
      <w:r w:rsidRPr="00BE78CA">
        <w:t xml:space="preserve">, </w:t>
      </w:r>
      <w:r w:rsidRPr="00BE78CA">
        <w:rPr>
          <w:i/>
        </w:rPr>
        <w:t>Road transportation</w:t>
      </w:r>
      <w:r w:rsidRPr="00BE78CA">
        <w:t xml:space="preserve">, </w:t>
      </w:r>
      <w:r w:rsidRPr="00BE78CA">
        <w:rPr>
          <w:i/>
        </w:rPr>
        <w:t>Manufacturing industries and construction</w:t>
      </w:r>
      <w:r w:rsidRPr="00BE78CA">
        <w:t xml:space="preserve"> (especially the categories </w:t>
      </w:r>
      <w:r w:rsidRPr="00BE78CA">
        <w:rPr>
          <w:i/>
        </w:rPr>
        <w:t>Chemicals</w:t>
      </w:r>
      <w:r w:rsidRPr="00BE78CA">
        <w:t xml:space="preserve"> and </w:t>
      </w:r>
      <w:r w:rsidRPr="00BE78CA">
        <w:rPr>
          <w:i/>
        </w:rPr>
        <w:t>Food processing, beverages and tobacco</w:t>
      </w:r>
      <w:r w:rsidRPr="00BE78CA">
        <w:t xml:space="preserve">), </w:t>
      </w:r>
      <w:r w:rsidRPr="00BE78CA">
        <w:rPr>
          <w:i/>
        </w:rPr>
        <w:t>Agricultural soils</w:t>
      </w:r>
      <w:r w:rsidRPr="00BE78CA">
        <w:t xml:space="preserve"> and </w:t>
      </w:r>
      <w:r w:rsidRPr="00BE78CA">
        <w:rPr>
          <w:i/>
        </w:rPr>
        <w:t>Product uses as substitutes for ODS</w:t>
      </w:r>
      <w:r w:rsidRPr="00BE78CA">
        <w:t>.</w:t>
      </w:r>
      <w:r w:rsidRPr="00BE78CA">
        <w:rPr>
          <w:rStyle w:val="FootnoteReference"/>
        </w:rPr>
        <w:footnoteReference w:id="4"/>
      </w:r>
    </w:p>
    <w:p w14:paraId="3D93F639" w14:textId="77777777" w:rsidR="00855935" w:rsidRPr="00BE78CA" w:rsidRDefault="00855935" w:rsidP="00855935">
      <w:pPr>
        <w:pStyle w:val="Heading5"/>
      </w:pPr>
      <w:bookmarkStart w:id="20" w:name="section-1"/>
      <w:r w:rsidRPr="00BE78CA">
        <w:t>2018–2019</w:t>
      </w:r>
      <w:bookmarkEnd w:id="20"/>
    </w:p>
    <w:p w14:paraId="7059B0EF" w14:textId="2C2D1035" w:rsidR="00855935" w:rsidRPr="00BE78CA" w:rsidRDefault="00855935" w:rsidP="00855935">
      <w:pPr>
        <w:pStyle w:val="BodyText"/>
      </w:pPr>
      <w:r w:rsidRPr="00BE78CA">
        <w:t>Between 2018 and 2019, New Zealand’s gross emissions increased by 1,739.6 kt CO</w:t>
      </w:r>
      <w:r w:rsidRPr="00BE78CA">
        <w:rPr>
          <w:vertAlign w:val="subscript"/>
        </w:rPr>
        <w:t>2</w:t>
      </w:r>
      <w:r w:rsidRPr="00BE78CA">
        <w:t>-e (2.2</w:t>
      </w:r>
      <w:r w:rsidR="005B6417" w:rsidRPr="00BE78CA">
        <w:t> </w:t>
      </w:r>
      <w:r w:rsidRPr="00BE78CA">
        <w:t>per</w:t>
      </w:r>
      <w:r w:rsidR="005B6417" w:rsidRPr="00BE78CA">
        <w:t> </w:t>
      </w:r>
      <w:r w:rsidRPr="00BE78CA">
        <w:t>cent), which was mainly driven by an increase of emissions from the Energy sector (1,711.1 kt CO</w:t>
      </w:r>
      <w:r w:rsidRPr="00BE78CA">
        <w:rPr>
          <w:vertAlign w:val="subscript"/>
        </w:rPr>
        <w:t>2</w:t>
      </w:r>
      <w:r w:rsidRPr="00BE78CA">
        <w:t>-e or 5.3 per cent). This was mainly the result of an increase in emissions from:</w:t>
      </w:r>
    </w:p>
    <w:p w14:paraId="3BE5C4EC" w14:textId="77777777" w:rsidR="00855935" w:rsidRPr="00BE78CA" w:rsidRDefault="00855935" w:rsidP="00855935">
      <w:pPr>
        <w:pStyle w:val="Bullet"/>
      </w:pPr>
      <w:r w:rsidRPr="00BE78CA">
        <w:rPr>
          <w:i/>
        </w:rPr>
        <w:t>Manufacturing industries and construction</w:t>
      </w:r>
      <w:r w:rsidRPr="00BE78CA">
        <w:t xml:space="preserve"> (especially the </w:t>
      </w:r>
      <w:r w:rsidRPr="00BE78CA">
        <w:rPr>
          <w:i/>
        </w:rPr>
        <w:t>Chemicals</w:t>
      </w:r>
      <w:r w:rsidRPr="00BE78CA">
        <w:t xml:space="preserve"> category), largely due to an increase in methanol production</w:t>
      </w:r>
    </w:p>
    <w:p w14:paraId="78C07490" w14:textId="77777777" w:rsidR="00855935" w:rsidRPr="00BE78CA" w:rsidRDefault="00855935" w:rsidP="00855935">
      <w:pPr>
        <w:pStyle w:val="Bullet"/>
      </w:pPr>
      <w:r w:rsidRPr="00BE78CA">
        <w:rPr>
          <w:i/>
        </w:rPr>
        <w:t>Public electricity and heat production</w:t>
      </w:r>
      <w:r w:rsidRPr="00BE78CA">
        <w:t>, primarily driven by an increase in natural gas-fired and coal-fired electricity generation in response to lower levels of hydro generation.</w:t>
      </w:r>
    </w:p>
    <w:p w14:paraId="0A44A88F" w14:textId="77777777" w:rsidR="00855935" w:rsidRPr="00BE78CA" w:rsidRDefault="00855935" w:rsidP="00855935">
      <w:pPr>
        <w:pStyle w:val="BodyText"/>
      </w:pPr>
      <w:r w:rsidRPr="00BE78CA">
        <w:t>Emissions from the Agriculture, IPPU and Waste sectors showed small annual variations below 2 per cent.</w:t>
      </w:r>
    </w:p>
    <w:p w14:paraId="07032D53" w14:textId="77777777" w:rsidR="00855935" w:rsidRPr="00BE78CA" w:rsidRDefault="00855935" w:rsidP="00855935">
      <w:pPr>
        <w:pStyle w:val="Heading4"/>
      </w:pPr>
      <w:bookmarkStart w:id="21" w:name="X3a60496ea61900d773b3eb72738d5a1d237439b"/>
      <w:r w:rsidRPr="00BE78CA">
        <w:t>Net emissions – reporting under the Convention</w:t>
      </w:r>
      <w:bookmarkEnd w:id="21"/>
    </w:p>
    <w:p w14:paraId="1FEE858C" w14:textId="77777777" w:rsidR="00855935" w:rsidRPr="00BE78CA" w:rsidRDefault="00855935" w:rsidP="00855935">
      <w:pPr>
        <w:pStyle w:val="BodyText"/>
      </w:pPr>
      <w:r w:rsidRPr="00BE78CA">
        <w:t>Net emissions include emissions from the Energy, IPPU, Agriculture and Waste sectors, LULUCF reported under the convention, and New Zealand’s ‘Other’ sector (Tokelau).</w:t>
      </w:r>
    </w:p>
    <w:p w14:paraId="1C860EC6" w14:textId="68CCFC04" w:rsidR="00855935" w:rsidRPr="00BE78CA" w:rsidRDefault="00855935" w:rsidP="00855935">
      <w:pPr>
        <w:pStyle w:val="BodyText"/>
      </w:pPr>
      <w:r w:rsidRPr="00BE78CA">
        <w:t>In 1990, New Zealand’s net emissions were 41,114.8 kt CO</w:t>
      </w:r>
      <w:r w:rsidRPr="00BE78CA">
        <w:rPr>
          <w:vertAlign w:val="subscript"/>
        </w:rPr>
        <w:t>2</w:t>
      </w:r>
      <w:r w:rsidRPr="00BE78CA">
        <w:t>-e. Between 1990 and 2019, net GHG emissions increased by 13,778.0 kt CO</w:t>
      </w:r>
      <w:r w:rsidRPr="00BE78CA">
        <w:rPr>
          <w:vertAlign w:val="subscript"/>
        </w:rPr>
        <w:t>2</w:t>
      </w:r>
      <w:r w:rsidRPr="00BE78CA">
        <w:t>-e (33.5 per cent) to 54,892.8 kt CO</w:t>
      </w:r>
      <w:r w:rsidRPr="00BE78CA">
        <w:rPr>
          <w:vertAlign w:val="subscript"/>
        </w:rPr>
        <w:t>2</w:t>
      </w:r>
      <w:r w:rsidRPr="00BE78CA">
        <w:t>-e (see figure</w:t>
      </w:r>
      <w:r w:rsidR="007C1BFA" w:rsidRPr="00BE78CA">
        <w:t> </w:t>
      </w:r>
      <w:r w:rsidRPr="00BE78CA">
        <w:t>ES 2.1).</w:t>
      </w:r>
    </w:p>
    <w:p w14:paraId="5DF17D45" w14:textId="77777777" w:rsidR="00855935" w:rsidRPr="00BE78CA" w:rsidRDefault="00855935" w:rsidP="00855935">
      <w:pPr>
        <w:pStyle w:val="BodyText"/>
      </w:pPr>
      <w:r w:rsidRPr="00BE78CA">
        <w:rPr>
          <w:bCs/>
        </w:rPr>
        <w:t xml:space="preserve">The four categories that contributed the most to the increase in net emissions between 1990 and 2019 were </w:t>
      </w:r>
      <w:r w:rsidRPr="00BE78CA">
        <w:rPr>
          <w:bCs/>
          <w:i/>
        </w:rPr>
        <w:t>Land converted to forest land</w:t>
      </w:r>
      <w:r w:rsidRPr="00BE78CA">
        <w:rPr>
          <w:bCs/>
        </w:rPr>
        <w:t xml:space="preserve">, </w:t>
      </w:r>
      <w:r w:rsidRPr="00BE78CA">
        <w:rPr>
          <w:bCs/>
          <w:i/>
        </w:rPr>
        <w:t>Enteric fermentation from dairy cattle</w:t>
      </w:r>
      <w:r w:rsidRPr="00BE78CA">
        <w:rPr>
          <w:bCs/>
        </w:rPr>
        <w:t xml:space="preserve">, </w:t>
      </w:r>
      <w:r w:rsidRPr="00BE78CA">
        <w:rPr>
          <w:bCs/>
          <w:i/>
        </w:rPr>
        <w:t xml:space="preserve">Road </w:t>
      </w:r>
      <w:r w:rsidRPr="00BE78CA">
        <w:rPr>
          <w:i/>
        </w:rPr>
        <w:t>transportation</w:t>
      </w:r>
      <w:r w:rsidRPr="00BE78CA">
        <w:t xml:space="preserve"> and </w:t>
      </w:r>
      <w:r w:rsidRPr="00BE78CA">
        <w:rPr>
          <w:i/>
        </w:rPr>
        <w:t>Manufacturing industries and construction</w:t>
      </w:r>
      <w:r w:rsidRPr="00BE78CA">
        <w:t>.</w:t>
      </w:r>
    </w:p>
    <w:p w14:paraId="145FBAE0" w14:textId="4C6CA2D4" w:rsidR="00855935" w:rsidRPr="00BE78CA" w:rsidRDefault="00855935" w:rsidP="00855935">
      <w:pPr>
        <w:pStyle w:val="Figure"/>
      </w:pPr>
      <w:bookmarkStart w:id="22" w:name="_Toc68786611"/>
      <w:r w:rsidRPr="00BE78CA">
        <w:lastRenderedPageBreak/>
        <w:t xml:space="preserve">Figure ES 2.1 </w:t>
      </w:r>
      <w:r w:rsidR="002122A5" w:rsidRPr="00BE78CA">
        <w:tab/>
      </w:r>
      <w:r w:rsidRPr="00BE78CA">
        <w:t>New Zealand’s gross and net emissions (under the Convention) from</w:t>
      </w:r>
      <w:r w:rsidR="005B6417" w:rsidRPr="00BE78CA">
        <w:t> </w:t>
      </w:r>
      <w:r w:rsidRPr="00BE78CA">
        <w:t>1990</w:t>
      </w:r>
      <w:r w:rsidR="005B6417" w:rsidRPr="00BE78CA">
        <w:t> </w:t>
      </w:r>
      <w:r w:rsidRPr="00BE78CA">
        <w:t>to</w:t>
      </w:r>
      <w:r w:rsidR="005B6417" w:rsidRPr="00BE78CA">
        <w:t> </w:t>
      </w:r>
      <w:r w:rsidRPr="00BE78CA">
        <w:t>2019</w:t>
      </w:r>
      <w:bookmarkEnd w:id="22"/>
    </w:p>
    <w:p w14:paraId="3790F20D" w14:textId="77777777" w:rsidR="00855935" w:rsidRPr="00BE78CA" w:rsidRDefault="00855935" w:rsidP="00855935">
      <w:pPr>
        <w:pStyle w:val="BodyText"/>
      </w:pPr>
      <w:r w:rsidRPr="00BE78CA">
        <w:rPr>
          <w:noProof/>
        </w:rPr>
        <w:drawing>
          <wp:inline distT="0" distB="0" distL="0" distR="0" wp14:anchorId="74D82C21" wp14:editId="2421D35E">
            <wp:extent cx="5397500" cy="3877056"/>
            <wp:effectExtent l="0" t="0" r="0" b="9525"/>
            <wp:docPr id="1" name="Picture"/>
            <wp:cNvGraphicFramePr/>
            <a:graphic xmlns:a="http://schemas.openxmlformats.org/drawingml/2006/main">
              <a:graphicData uri="http://schemas.openxmlformats.org/drawingml/2006/picture">
                <pic:pic xmlns:pic="http://schemas.openxmlformats.org/drawingml/2006/picture">
                  <pic:nvPicPr>
                    <pic:cNvPr id="0" name="Picture" descr="code/graphs/images/es_2_1_crf.png"/>
                    <pic:cNvPicPr>
                      <a:picLocks noChangeAspect="1" noChangeArrowheads="1"/>
                    </pic:cNvPicPr>
                  </pic:nvPicPr>
                  <pic:blipFill>
                    <a:blip r:embed="rId20"/>
                    <a:stretch>
                      <a:fillRect/>
                    </a:stretch>
                  </pic:blipFill>
                  <pic:spPr bwMode="auto">
                    <a:xfrm>
                      <a:off x="0" y="0"/>
                      <a:ext cx="5400900" cy="3879498"/>
                    </a:xfrm>
                    <a:prstGeom prst="rect">
                      <a:avLst/>
                    </a:prstGeom>
                    <a:noFill/>
                    <a:ln w="9525">
                      <a:noFill/>
                      <a:headEnd/>
                      <a:tailEnd/>
                    </a:ln>
                  </pic:spPr>
                </pic:pic>
              </a:graphicData>
            </a:graphic>
          </wp:inline>
        </w:drawing>
      </w:r>
    </w:p>
    <w:p w14:paraId="4EA2ABEC" w14:textId="77777777" w:rsidR="00855935" w:rsidRPr="00BE78CA" w:rsidRDefault="00855935" w:rsidP="00855935">
      <w:pPr>
        <w:pStyle w:val="Heading4"/>
      </w:pPr>
      <w:bookmarkStart w:id="23" w:name="accounting-for-new-zealands-2020-target"/>
      <w:r w:rsidRPr="00BE78CA">
        <w:t>Accounting for New Zealand’s 2020 target</w:t>
      </w:r>
      <w:bookmarkEnd w:id="23"/>
    </w:p>
    <w:p w14:paraId="51AA5659" w14:textId="77777777" w:rsidR="00855935" w:rsidRPr="00BE78CA" w:rsidRDefault="00855935" w:rsidP="00855935">
      <w:pPr>
        <w:pStyle w:val="BodyText"/>
      </w:pPr>
      <w:r w:rsidRPr="00BE78CA">
        <w:t xml:space="preserve">For the period 2013 to 2020, New Zealand has taken a target under the Convention. This target is to reduce emissions to 5 per cent below 1990 levels by 2020. For 2013 to 2020, New Zealand has taken an unconditional target to reduce its GHG emissions under the Convention. New Zealand will apply the Kyoto Protocol framework of rules to its target, to ensure New Zealand’s actions are transparent and have integrity. This means New Zealand will count net removals from Article 3.3 – </w:t>
      </w:r>
      <w:r w:rsidRPr="00BE78CA">
        <w:rPr>
          <w:i/>
        </w:rPr>
        <w:t>Afforestation and reforestation</w:t>
      </w:r>
      <w:r w:rsidRPr="00BE78CA">
        <w:t xml:space="preserve"> and </w:t>
      </w:r>
      <w:r w:rsidRPr="00BE78CA">
        <w:rPr>
          <w:i/>
        </w:rPr>
        <w:t>Deforestation</w:t>
      </w:r>
      <w:r w:rsidRPr="00BE78CA">
        <w:t xml:space="preserve"> and Article 3.4 – </w:t>
      </w:r>
      <w:r w:rsidRPr="00BE78CA">
        <w:rPr>
          <w:i/>
        </w:rPr>
        <w:t>Forest management</w:t>
      </w:r>
      <w:r w:rsidRPr="00BE78CA">
        <w:t xml:space="preserve"> of the Kyoto Protocol towards its target.</w:t>
      </w:r>
    </w:p>
    <w:p w14:paraId="0EBF7777" w14:textId="77777777" w:rsidR="00855935" w:rsidRPr="00BE78CA" w:rsidRDefault="00855935" w:rsidP="00855935">
      <w:pPr>
        <w:pStyle w:val="BodyText"/>
      </w:pPr>
      <w:r w:rsidRPr="00BE78CA">
        <w:t>Following the Kyoto Protocol rules, New Zealand’s emissions budget for the period 2013 to 2020 is 509,774,982 tonnes CO</w:t>
      </w:r>
      <w:r w:rsidRPr="00BE78CA">
        <w:rPr>
          <w:vertAlign w:val="subscript"/>
        </w:rPr>
        <w:t>2</w:t>
      </w:r>
      <w:r w:rsidRPr="00BE78CA">
        <w:t xml:space="preserve">-e. This is based on the gross emissions data for 1990 included in New Zealand’s 2016 inventory submission. For more details, refer to New Zealand’s </w:t>
      </w:r>
      <w:r w:rsidRPr="00BE78CA">
        <w:rPr>
          <w:i/>
        </w:rPr>
        <w:t>Initial Report to Facilitate the Calculation of its Emissions Budget for the Period 2013 to 2020</w:t>
      </w:r>
      <w:r w:rsidRPr="00BE78CA">
        <w:t xml:space="preserve"> (Ministry for the Environment, 2016).</w:t>
      </w:r>
    </w:p>
    <w:p w14:paraId="6256CF9E" w14:textId="77777777" w:rsidR="00855935" w:rsidRPr="00BE78CA" w:rsidRDefault="00855935" w:rsidP="00855935">
      <w:pPr>
        <w:pStyle w:val="BodyText"/>
      </w:pPr>
      <w:r w:rsidRPr="00BE78CA">
        <w:t>The emissions budget is calculated as the total cumulative emissions New Zealand would emit on a straight-line track from a 1990 level in 2010 (equal to gross emissions in 1990 from the Initial Report) to the target in 2020 (i.e., the same amount multiplied by 0.95).</w:t>
      </w:r>
    </w:p>
    <w:p w14:paraId="3767D3DD" w14:textId="7B9FAD0A" w:rsidR="00855935" w:rsidRPr="00BE78CA" w:rsidRDefault="00855935" w:rsidP="00855935">
      <w:pPr>
        <w:pStyle w:val="Heading2"/>
      </w:pPr>
      <w:bookmarkStart w:id="24" w:name="es.3-greenhouse-gas-trends"/>
      <w:bookmarkStart w:id="25" w:name="_Toc68786281"/>
      <w:r w:rsidRPr="00BE78CA">
        <w:t xml:space="preserve">ES.3 </w:t>
      </w:r>
      <w:r w:rsidR="00412CC9" w:rsidRPr="00BE78CA">
        <w:tab/>
      </w:r>
      <w:r w:rsidRPr="00BE78CA">
        <w:t>Greenhouse gas trends</w:t>
      </w:r>
      <w:bookmarkEnd w:id="24"/>
      <w:bookmarkEnd w:id="25"/>
    </w:p>
    <w:p w14:paraId="25379B9B" w14:textId="77777777" w:rsidR="00855935" w:rsidRPr="00BE78CA" w:rsidRDefault="00855935" w:rsidP="00855935">
      <w:pPr>
        <w:pStyle w:val="BodyText"/>
      </w:pPr>
      <w:r w:rsidRPr="00BE78CA">
        <w:t>Inventory reporting under the Convention covers the following direct GHGs: CO</w:t>
      </w:r>
      <w:r w:rsidRPr="00BE78CA">
        <w:rPr>
          <w:vertAlign w:val="subscript"/>
        </w:rPr>
        <w:t>2</w:t>
      </w:r>
      <w:r w:rsidRPr="00BE78CA">
        <w:t>, CH</w:t>
      </w:r>
      <w:r w:rsidRPr="00BE78CA">
        <w:rPr>
          <w:vertAlign w:val="subscript"/>
        </w:rPr>
        <w:t>4</w:t>
      </w:r>
      <w:r w:rsidRPr="00BE78CA">
        <w:t>, N</w:t>
      </w:r>
      <w:r w:rsidRPr="00BE78CA">
        <w:rPr>
          <w:vertAlign w:val="subscript"/>
        </w:rPr>
        <w:t>2</w:t>
      </w:r>
      <w:r w:rsidRPr="00BE78CA">
        <w:t>O, SF</w:t>
      </w:r>
      <w:r w:rsidRPr="00BE78CA">
        <w:rPr>
          <w:vertAlign w:val="subscript"/>
        </w:rPr>
        <w:t>6</w:t>
      </w:r>
      <w:r w:rsidRPr="00BE78CA">
        <w:t>, PFCs, HFCs and NF</w:t>
      </w:r>
      <w:r w:rsidRPr="00BE78CA">
        <w:rPr>
          <w:vertAlign w:val="subscript"/>
        </w:rPr>
        <w:t>3</w:t>
      </w:r>
      <w:r w:rsidRPr="00BE78CA">
        <w:t>. Because NF</w:t>
      </w:r>
      <w:r w:rsidRPr="00BE78CA">
        <w:rPr>
          <w:vertAlign w:val="subscript"/>
        </w:rPr>
        <w:t>3</w:t>
      </w:r>
      <w:r w:rsidRPr="00BE78CA">
        <w:t xml:space="preserve"> emissions do not occur in New Zealand, no NF</w:t>
      </w:r>
      <w:r w:rsidRPr="00BE78CA">
        <w:rPr>
          <w:vertAlign w:val="subscript"/>
        </w:rPr>
        <w:t>3</w:t>
      </w:r>
      <w:r w:rsidRPr="00BE78CA">
        <w:t xml:space="preserve"> data are included in this report.</w:t>
      </w:r>
    </w:p>
    <w:p w14:paraId="61594660" w14:textId="77777777" w:rsidR="00855935" w:rsidRPr="00BE78CA" w:rsidRDefault="00855935" w:rsidP="00855935">
      <w:pPr>
        <w:pStyle w:val="BodyText"/>
      </w:pPr>
      <w:r w:rsidRPr="00BE78CA">
        <w:lastRenderedPageBreak/>
        <w:t>Table ES 3.1 provides a summary of emissions for each gas in 1990 and 2019 and the changes since 1990. This is also shown in figure ES 3.2.</w:t>
      </w:r>
    </w:p>
    <w:p w14:paraId="38EDAC23" w14:textId="77777777" w:rsidR="00855935" w:rsidRPr="00BE78CA" w:rsidRDefault="00855935" w:rsidP="00855935">
      <w:pPr>
        <w:pStyle w:val="BodyText"/>
        <w:rPr>
          <w:bCs/>
        </w:rPr>
      </w:pPr>
      <w:r w:rsidRPr="00BE78CA">
        <w:rPr>
          <w:bCs/>
        </w:rPr>
        <w:t>Figure ES 3.1 presents New Zealand’s 2019 emissions by gas.</w:t>
      </w:r>
    </w:p>
    <w:p w14:paraId="10F19DB3" w14:textId="44ED102B" w:rsidR="00855935" w:rsidRPr="00BE78CA" w:rsidRDefault="00855935" w:rsidP="00855935">
      <w:pPr>
        <w:pStyle w:val="Figure"/>
      </w:pPr>
      <w:bookmarkStart w:id="26" w:name="_Toc68786612"/>
      <w:r w:rsidRPr="00BE78CA">
        <w:t xml:space="preserve">Figure ES 3.1 </w:t>
      </w:r>
      <w:r w:rsidR="002122A5" w:rsidRPr="00BE78CA">
        <w:tab/>
      </w:r>
      <w:r w:rsidRPr="00BE78CA">
        <w:t>New Zealand’s gross emissions by gas in 2019</w:t>
      </w:r>
      <w:bookmarkEnd w:id="26"/>
    </w:p>
    <w:p w14:paraId="203B8D7B" w14:textId="77777777" w:rsidR="00855935" w:rsidRPr="00BE78CA" w:rsidRDefault="00855935" w:rsidP="0062754B">
      <w:pPr>
        <w:pStyle w:val="BodyText"/>
        <w:spacing w:after="80"/>
      </w:pPr>
      <w:r w:rsidRPr="00BE78CA">
        <w:rPr>
          <w:noProof/>
        </w:rPr>
        <w:drawing>
          <wp:inline distT="0" distB="0" distL="0" distR="0" wp14:anchorId="40B68DD9" wp14:editId="7E229780">
            <wp:extent cx="5397500" cy="3959524"/>
            <wp:effectExtent l="0" t="0" r="0" b="3175"/>
            <wp:docPr id="2" name="Picture"/>
            <wp:cNvGraphicFramePr/>
            <a:graphic xmlns:a="http://schemas.openxmlformats.org/drawingml/2006/main">
              <a:graphicData uri="http://schemas.openxmlformats.org/drawingml/2006/picture">
                <pic:pic xmlns:pic="http://schemas.openxmlformats.org/drawingml/2006/picture">
                  <pic:nvPicPr>
                    <pic:cNvPr id="0" name="Picture" descr="code/graphs/images/es_3_1_crf.png"/>
                    <pic:cNvPicPr>
                      <a:picLocks noChangeAspect="1" noChangeArrowheads="1"/>
                    </pic:cNvPicPr>
                  </pic:nvPicPr>
                  <pic:blipFill rotWithShape="1">
                    <a:blip r:embed="rId21"/>
                    <a:srcRect b="2189"/>
                    <a:stretch/>
                  </pic:blipFill>
                  <pic:spPr bwMode="auto">
                    <a:xfrm>
                      <a:off x="0" y="0"/>
                      <a:ext cx="5397500" cy="3959524"/>
                    </a:xfrm>
                    <a:prstGeom prst="rect">
                      <a:avLst/>
                    </a:prstGeom>
                    <a:noFill/>
                    <a:ln>
                      <a:noFill/>
                    </a:ln>
                    <a:extLst>
                      <a:ext uri="{53640926-AAD7-44D8-BBD7-CCE9431645EC}">
                        <a14:shadowObscured xmlns:a14="http://schemas.microsoft.com/office/drawing/2010/main"/>
                      </a:ext>
                    </a:extLst>
                  </pic:spPr>
                </pic:pic>
              </a:graphicData>
            </a:graphic>
          </wp:inline>
        </w:drawing>
      </w:r>
    </w:p>
    <w:p w14:paraId="27AF7D07" w14:textId="3052C715" w:rsidR="00855935" w:rsidRPr="00BE78CA" w:rsidRDefault="00855935" w:rsidP="00371B89">
      <w:pPr>
        <w:pStyle w:val="Noteundertable"/>
        <w:spacing w:after="200"/>
      </w:pPr>
      <w:r w:rsidRPr="00BE78CA">
        <w:rPr>
          <w:b/>
        </w:rPr>
        <w:t>Note:</w:t>
      </w:r>
      <w:r w:rsidR="00371B89" w:rsidRPr="00BE78CA">
        <w:tab/>
      </w:r>
      <w:r w:rsidRPr="00BE78CA">
        <w:t>The percentages may not add up to 100 per cent due to rounding.</w:t>
      </w:r>
    </w:p>
    <w:p w14:paraId="125C4B1D" w14:textId="5EA20D27" w:rsidR="00855935" w:rsidRPr="00BE78CA" w:rsidRDefault="00855935" w:rsidP="00042805">
      <w:pPr>
        <w:pStyle w:val="Table"/>
      </w:pPr>
      <w:bookmarkStart w:id="27" w:name="_Toc68786391"/>
      <w:r w:rsidRPr="00BE78CA">
        <w:t xml:space="preserve">Table ES 3.1 </w:t>
      </w:r>
      <w:r w:rsidR="002122A5" w:rsidRPr="00BE78CA">
        <w:tab/>
      </w:r>
      <w:r w:rsidRPr="00BE78CA">
        <w:t>New Zealand’s gross emissions by gas in 1990 and 2019</w:t>
      </w:r>
      <w:bookmarkEnd w:id="27"/>
    </w:p>
    <w:tbl>
      <w:tblPr>
        <w:tblW w:w="8448" w:type="dxa"/>
        <w:tblLook w:val="0420" w:firstRow="1" w:lastRow="0" w:firstColumn="0" w:lastColumn="0" w:noHBand="0" w:noVBand="1"/>
      </w:tblPr>
      <w:tblGrid>
        <w:gridCol w:w="2955"/>
        <w:gridCol w:w="1129"/>
        <w:gridCol w:w="1127"/>
        <w:gridCol w:w="1735"/>
        <w:gridCol w:w="1502"/>
      </w:tblGrid>
      <w:tr w:rsidR="007F6E73" w:rsidRPr="00BE78CA" w14:paraId="53E809E7" w14:textId="77777777" w:rsidTr="005B6417">
        <w:trPr>
          <w:cantSplit/>
          <w:tblHeader/>
        </w:trPr>
        <w:tc>
          <w:tcPr>
            <w:tcW w:w="1749" w:type="pct"/>
            <w:tcBorders>
              <w:top w:val="single" w:sz="4" w:space="0" w:color="365F91"/>
              <w:bottom w:val="single" w:sz="4" w:space="0" w:color="365F91"/>
            </w:tcBorders>
            <w:shd w:val="clear" w:color="auto" w:fill="365F91"/>
            <w:tcMar>
              <w:top w:w="0" w:type="dxa"/>
              <w:left w:w="108" w:type="dxa"/>
              <w:bottom w:w="0" w:type="dxa"/>
              <w:right w:w="108" w:type="dxa"/>
            </w:tcMar>
            <w:vAlign w:val="bottom"/>
          </w:tcPr>
          <w:p w14:paraId="79BA5BA4" w14:textId="77777777" w:rsidR="00855935" w:rsidRPr="00BE78CA" w:rsidRDefault="00855935" w:rsidP="007F6E73">
            <w:pPr>
              <w:pStyle w:val="TableTextBold"/>
              <w:rPr>
                <w:noProof w:val="0"/>
                <w:color w:val="FFFFFF" w:themeColor="background1"/>
              </w:rPr>
            </w:pPr>
            <w:r w:rsidRPr="00BE78CA">
              <w:rPr>
                <w:rFonts w:eastAsia="Calibri"/>
                <w:noProof w:val="0"/>
                <w:color w:val="FFFFFF" w:themeColor="background1"/>
              </w:rPr>
              <w:t>Direct greenhouse gas emissions</w:t>
            </w:r>
          </w:p>
        </w:tc>
        <w:tc>
          <w:tcPr>
            <w:tcW w:w="668" w:type="pct"/>
            <w:tcBorders>
              <w:top w:val="single" w:sz="4" w:space="0" w:color="365F91"/>
              <w:bottom w:val="single" w:sz="4" w:space="0" w:color="365F91"/>
            </w:tcBorders>
            <w:shd w:val="clear" w:color="auto" w:fill="365F91"/>
            <w:tcMar>
              <w:top w:w="0" w:type="dxa"/>
              <w:left w:w="108" w:type="dxa"/>
              <w:bottom w:w="0" w:type="dxa"/>
              <w:right w:w="108" w:type="dxa"/>
            </w:tcMar>
            <w:vAlign w:val="bottom"/>
          </w:tcPr>
          <w:p w14:paraId="7D5AA70C" w14:textId="77777777" w:rsidR="00855935" w:rsidRPr="00BE78CA" w:rsidRDefault="00855935" w:rsidP="006819B6">
            <w:pPr>
              <w:pStyle w:val="TableTextBold"/>
              <w:jc w:val="right"/>
              <w:rPr>
                <w:noProof w:val="0"/>
                <w:color w:val="FFFFFF" w:themeColor="background1"/>
              </w:rPr>
            </w:pPr>
            <w:r w:rsidRPr="00BE78CA">
              <w:rPr>
                <w:rFonts w:eastAsia="Calibri"/>
                <w:noProof w:val="0"/>
                <w:color w:val="FFFFFF" w:themeColor="background1"/>
              </w:rPr>
              <w:t>1990</w:t>
            </w:r>
          </w:p>
        </w:tc>
        <w:tc>
          <w:tcPr>
            <w:tcW w:w="667" w:type="pct"/>
            <w:tcBorders>
              <w:top w:val="single" w:sz="4" w:space="0" w:color="365F91"/>
              <w:bottom w:val="single" w:sz="4" w:space="0" w:color="365F91"/>
            </w:tcBorders>
            <w:shd w:val="clear" w:color="auto" w:fill="365F91"/>
            <w:tcMar>
              <w:top w:w="0" w:type="dxa"/>
              <w:left w:w="108" w:type="dxa"/>
              <w:bottom w:w="0" w:type="dxa"/>
              <w:right w:w="108" w:type="dxa"/>
            </w:tcMar>
            <w:vAlign w:val="bottom"/>
          </w:tcPr>
          <w:p w14:paraId="19C77CF6" w14:textId="77777777" w:rsidR="00855935" w:rsidRPr="00BE78CA" w:rsidRDefault="00855935" w:rsidP="006819B6">
            <w:pPr>
              <w:pStyle w:val="TableTextBold"/>
              <w:jc w:val="right"/>
              <w:rPr>
                <w:noProof w:val="0"/>
                <w:color w:val="FFFFFF" w:themeColor="background1"/>
              </w:rPr>
            </w:pPr>
            <w:r w:rsidRPr="00BE78CA">
              <w:rPr>
                <w:rFonts w:eastAsia="Calibri"/>
                <w:noProof w:val="0"/>
                <w:color w:val="FFFFFF" w:themeColor="background1"/>
              </w:rPr>
              <w:t>2019</w:t>
            </w:r>
          </w:p>
        </w:tc>
        <w:tc>
          <w:tcPr>
            <w:tcW w:w="1027" w:type="pct"/>
            <w:tcBorders>
              <w:top w:val="single" w:sz="4" w:space="0" w:color="365F91"/>
              <w:bottom w:val="single" w:sz="4" w:space="0" w:color="365F91"/>
            </w:tcBorders>
            <w:shd w:val="clear" w:color="auto" w:fill="365F91"/>
            <w:tcMar>
              <w:top w:w="0" w:type="dxa"/>
              <w:left w:w="108" w:type="dxa"/>
              <w:bottom w:w="0" w:type="dxa"/>
              <w:right w:w="108" w:type="dxa"/>
            </w:tcMar>
            <w:vAlign w:val="bottom"/>
          </w:tcPr>
          <w:p w14:paraId="151197C0" w14:textId="3BB2FEFC" w:rsidR="00855935" w:rsidRPr="00BE78CA" w:rsidRDefault="00855935" w:rsidP="006819B6">
            <w:pPr>
              <w:pStyle w:val="TableTextBold"/>
              <w:jc w:val="right"/>
              <w:rPr>
                <w:noProof w:val="0"/>
                <w:color w:val="FFFFFF" w:themeColor="background1"/>
              </w:rPr>
            </w:pPr>
            <w:r w:rsidRPr="00BE78CA">
              <w:rPr>
                <w:rFonts w:eastAsia="Calibri"/>
                <w:noProof w:val="0"/>
                <w:color w:val="FFFFFF" w:themeColor="background1"/>
              </w:rPr>
              <w:t>Change from 1990 (kt</w:t>
            </w:r>
            <w:r w:rsidR="005B6417" w:rsidRPr="00BE78CA">
              <w:rPr>
                <w:rFonts w:eastAsia="Calibri"/>
                <w:noProof w:val="0"/>
                <w:color w:val="FFFFFF" w:themeColor="background1"/>
              </w:rPr>
              <w:t> </w:t>
            </w:r>
            <w:r w:rsidRPr="00BE78CA">
              <w:rPr>
                <w:rFonts w:eastAsia="Calibri"/>
                <w:noProof w:val="0"/>
                <w:color w:val="FFFFFF" w:themeColor="background1"/>
              </w:rPr>
              <w:t>CO</w:t>
            </w:r>
            <w:r w:rsidRPr="00BE78CA">
              <w:rPr>
                <w:rFonts w:eastAsia="Calibri"/>
                <w:noProof w:val="0"/>
                <w:color w:val="FFFFFF" w:themeColor="background1"/>
                <w:vertAlign w:val="subscript"/>
              </w:rPr>
              <w:t>2</w:t>
            </w:r>
            <w:r w:rsidRPr="00BE78CA">
              <w:rPr>
                <w:rFonts w:eastAsia="Calibri"/>
                <w:noProof w:val="0"/>
                <w:color w:val="FFFFFF" w:themeColor="background1"/>
              </w:rPr>
              <w:t>-equivalent)</w:t>
            </w:r>
          </w:p>
        </w:tc>
        <w:tc>
          <w:tcPr>
            <w:tcW w:w="889" w:type="pct"/>
            <w:tcBorders>
              <w:top w:val="single" w:sz="4" w:space="0" w:color="365F91"/>
              <w:bottom w:val="single" w:sz="4" w:space="0" w:color="365F91"/>
            </w:tcBorders>
            <w:shd w:val="clear" w:color="auto" w:fill="365F91"/>
            <w:tcMar>
              <w:top w:w="0" w:type="dxa"/>
              <w:left w:w="108" w:type="dxa"/>
              <w:bottom w:w="0" w:type="dxa"/>
              <w:right w:w="108" w:type="dxa"/>
            </w:tcMar>
            <w:vAlign w:val="bottom"/>
          </w:tcPr>
          <w:p w14:paraId="5EF764EF" w14:textId="77777777" w:rsidR="00855935" w:rsidRPr="00BE78CA" w:rsidRDefault="00855935" w:rsidP="006819B6">
            <w:pPr>
              <w:pStyle w:val="TableTextBold"/>
              <w:jc w:val="right"/>
              <w:rPr>
                <w:noProof w:val="0"/>
                <w:color w:val="FFFFFF" w:themeColor="background1"/>
              </w:rPr>
            </w:pPr>
            <w:r w:rsidRPr="00BE78CA">
              <w:rPr>
                <w:rFonts w:eastAsia="Calibri"/>
                <w:noProof w:val="0"/>
                <w:color w:val="FFFFFF" w:themeColor="background1"/>
              </w:rPr>
              <w:t>Change from 1990 (%)</w:t>
            </w:r>
          </w:p>
        </w:tc>
      </w:tr>
      <w:tr w:rsidR="00855935" w:rsidRPr="00BE78CA" w14:paraId="1D6C71F3" w14:textId="77777777" w:rsidTr="005B6417">
        <w:trPr>
          <w:cantSplit/>
        </w:trPr>
        <w:tc>
          <w:tcPr>
            <w:tcW w:w="1749" w:type="pct"/>
            <w:tcBorders>
              <w:top w:val="single" w:sz="4" w:space="0" w:color="365F91"/>
              <w:left w:val="single" w:sz="4" w:space="0" w:color="FFFFFF"/>
              <w:bottom w:val="single" w:sz="8" w:space="0" w:color="365F91"/>
            </w:tcBorders>
            <w:shd w:val="clear" w:color="auto" w:fill="FFFFFF"/>
            <w:tcMar>
              <w:top w:w="0" w:type="dxa"/>
              <w:left w:w="108" w:type="dxa"/>
              <w:bottom w:w="0" w:type="dxa"/>
              <w:right w:w="108" w:type="dxa"/>
            </w:tcMar>
            <w:vAlign w:val="center"/>
          </w:tcPr>
          <w:p w14:paraId="07D0BE09" w14:textId="77777777" w:rsidR="00855935" w:rsidRPr="00BE78CA" w:rsidRDefault="00855935" w:rsidP="007F6E73">
            <w:pPr>
              <w:pStyle w:val="TableText"/>
            </w:pPr>
            <w:r w:rsidRPr="00BE78CA">
              <w:rPr>
                <w:rFonts w:eastAsia="Calibri" w:cs="Calibri"/>
                <w:color w:val="111111"/>
              </w:rPr>
              <w:t>CO</w:t>
            </w:r>
            <w:r w:rsidRPr="00BE78CA">
              <w:rPr>
                <w:rFonts w:eastAsia="Calibri" w:cs="Calibri"/>
                <w:color w:val="111111"/>
                <w:vertAlign w:val="subscript"/>
              </w:rPr>
              <w:t>2</w:t>
            </w:r>
          </w:p>
        </w:tc>
        <w:tc>
          <w:tcPr>
            <w:tcW w:w="668" w:type="pct"/>
            <w:tcBorders>
              <w:top w:val="single" w:sz="4" w:space="0" w:color="365F91"/>
              <w:bottom w:val="single" w:sz="8" w:space="0" w:color="365F91"/>
            </w:tcBorders>
            <w:shd w:val="clear" w:color="auto" w:fill="FFFFFF"/>
            <w:tcMar>
              <w:top w:w="0" w:type="dxa"/>
              <w:left w:w="108" w:type="dxa"/>
              <w:bottom w:w="0" w:type="dxa"/>
              <w:right w:w="108" w:type="dxa"/>
            </w:tcMar>
            <w:vAlign w:val="center"/>
          </w:tcPr>
          <w:p w14:paraId="6E170DF3" w14:textId="77777777" w:rsidR="00855935" w:rsidRPr="00BE78CA" w:rsidRDefault="00855935" w:rsidP="006819B6">
            <w:pPr>
              <w:pStyle w:val="TableText"/>
              <w:jc w:val="right"/>
            </w:pPr>
            <w:r w:rsidRPr="00BE78CA">
              <w:rPr>
                <w:rFonts w:eastAsia="Calibri" w:cs="Calibri"/>
                <w:color w:val="111111"/>
              </w:rPr>
              <w:t>25,649.3</w:t>
            </w:r>
          </w:p>
        </w:tc>
        <w:tc>
          <w:tcPr>
            <w:tcW w:w="667" w:type="pct"/>
            <w:tcBorders>
              <w:top w:val="single" w:sz="4" w:space="0" w:color="365F91"/>
              <w:bottom w:val="single" w:sz="8" w:space="0" w:color="365F91"/>
            </w:tcBorders>
            <w:shd w:val="clear" w:color="auto" w:fill="FFFFFF"/>
            <w:tcMar>
              <w:top w:w="0" w:type="dxa"/>
              <w:left w:w="108" w:type="dxa"/>
              <w:bottom w:w="0" w:type="dxa"/>
              <w:right w:w="108" w:type="dxa"/>
            </w:tcMar>
            <w:vAlign w:val="center"/>
          </w:tcPr>
          <w:p w14:paraId="057F0357" w14:textId="77777777" w:rsidR="00855935" w:rsidRPr="00BE78CA" w:rsidRDefault="00855935" w:rsidP="006819B6">
            <w:pPr>
              <w:pStyle w:val="TableText"/>
              <w:jc w:val="right"/>
            </w:pPr>
            <w:r w:rsidRPr="00BE78CA">
              <w:rPr>
                <w:rFonts w:eastAsia="Calibri" w:cs="Calibri"/>
                <w:color w:val="111111"/>
              </w:rPr>
              <w:t>37,494.5</w:t>
            </w:r>
          </w:p>
        </w:tc>
        <w:tc>
          <w:tcPr>
            <w:tcW w:w="1027" w:type="pct"/>
            <w:tcBorders>
              <w:top w:val="single" w:sz="4" w:space="0" w:color="365F91"/>
              <w:bottom w:val="single" w:sz="8" w:space="0" w:color="365F91"/>
            </w:tcBorders>
            <w:shd w:val="clear" w:color="auto" w:fill="FFFFFF"/>
            <w:tcMar>
              <w:top w:w="0" w:type="dxa"/>
              <w:left w:w="108" w:type="dxa"/>
              <w:bottom w:w="0" w:type="dxa"/>
              <w:right w:w="108" w:type="dxa"/>
            </w:tcMar>
            <w:vAlign w:val="center"/>
          </w:tcPr>
          <w:p w14:paraId="74AFCEFC" w14:textId="77777777" w:rsidR="00855935" w:rsidRPr="00BE78CA" w:rsidRDefault="00855935" w:rsidP="006819B6">
            <w:pPr>
              <w:pStyle w:val="TableText"/>
              <w:jc w:val="right"/>
            </w:pPr>
            <w:r w:rsidRPr="00BE78CA">
              <w:rPr>
                <w:rFonts w:eastAsia="Calibri" w:cs="Calibri"/>
                <w:color w:val="111111"/>
              </w:rPr>
              <w:t>11,845.2</w:t>
            </w:r>
          </w:p>
        </w:tc>
        <w:tc>
          <w:tcPr>
            <w:tcW w:w="889" w:type="pct"/>
            <w:tcBorders>
              <w:top w:val="single" w:sz="4" w:space="0" w:color="365F91"/>
              <w:bottom w:val="single" w:sz="8" w:space="0" w:color="365F91"/>
              <w:right w:val="single" w:sz="4" w:space="0" w:color="FFFFFF"/>
            </w:tcBorders>
            <w:shd w:val="clear" w:color="auto" w:fill="FFFFFF"/>
            <w:tcMar>
              <w:top w:w="0" w:type="dxa"/>
              <w:left w:w="108" w:type="dxa"/>
              <w:bottom w:w="0" w:type="dxa"/>
              <w:right w:w="108" w:type="dxa"/>
            </w:tcMar>
            <w:vAlign w:val="center"/>
          </w:tcPr>
          <w:p w14:paraId="17A48419" w14:textId="77777777" w:rsidR="00855935" w:rsidRPr="00BE78CA" w:rsidRDefault="00855935" w:rsidP="006819B6">
            <w:pPr>
              <w:pStyle w:val="TableText"/>
              <w:jc w:val="right"/>
            </w:pPr>
            <w:r w:rsidRPr="00BE78CA">
              <w:rPr>
                <w:rFonts w:eastAsia="Calibri" w:cs="Calibri"/>
                <w:color w:val="111111"/>
              </w:rPr>
              <w:t>46.2</w:t>
            </w:r>
          </w:p>
        </w:tc>
      </w:tr>
      <w:tr w:rsidR="00855935" w:rsidRPr="00BE78CA" w14:paraId="6F5A53AF" w14:textId="77777777" w:rsidTr="005B6417">
        <w:trPr>
          <w:cantSplit/>
        </w:trPr>
        <w:tc>
          <w:tcPr>
            <w:tcW w:w="1749" w:type="pct"/>
            <w:tcBorders>
              <w:top w:val="single" w:sz="8" w:space="0" w:color="365F91"/>
              <w:left w:val="single" w:sz="4" w:space="0" w:color="FFFFFF"/>
              <w:bottom w:val="single" w:sz="8" w:space="0" w:color="365F91"/>
            </w:tcBorders>
            <w:shd w:val="clear" w:color="auto" w:fill="FFFFFF"/>
            <w:tcMar>
              <w:top w:w="0" w:type="dxa"/>
              <w:left w:w="108" w:type="dxa"/>
              <w:bottom w:w="0" w:type="dxa"/>
              <w:right w:w="108" w:type="dxa"/>
            </w:tcMar>
            <w:vAlign w:val="center"/>
          </w:tcPr>
          <w:p w14:paraId="645C39F6" w14:textId="77777777" w:rsidR="00855935" w:rsidRPr="00BE78CA" w:rsidRDefault="00855935" w:rsidP="007F6E73">
            <w:pPr>
              <w:pStyle w:val="TableText"/>
            </w:pPr>
            <w:r w:rsidRPr="00BE78CA">
              <w:rPr>
                <w:rFonts w:eastAsia="Calibri" w:cs="Calibri"/>
                <w:color w:val="111111"/>
              </w:rPr>
              <w:t>CH</w:t>
            </w:r>
            <w:r w:rsidRPr="00BE78CA">
              <w:rPr>
                <w:rFonts w:eastAsia="Calibri" w:cs="Calibri"/>
                <w:color w:val="111111"/>
                <w:vertAlign w:val="subscript"/>
              </w:rPr>
              <w:t>4</w:t>
            </w:r>
          </w:p>
        </w:tc>
        <w:tc>
          <w:tcPr>
            <w:tcW w:w="668" w:type="pct"/>
            <w:tcBorders>
              <w:top w:val="single" w:sz="8" w:space="0" w:color="365F91"/>
              <w:bottom w:val="single" w:sz="8" w:space="0" w:color="365F91"/>
            </w:tcBorders>
            <w:shd w:val="clear" w:color="auto" w:fill="FFFFFF"/>
            <w:tcMar>
              <w:top w:w="0" w:type="dxa"/>
              <w:left w:w="108" w:type="dxa"/>
              <w:bottom w:w="0" w:type="dxa"/>
              <w:right w:w="108" w:type="dxa"/>
            </w:tcMar>
            <w:vAlign w:val="center"/>
          </w:tcPr>
          <w:p w14:paraId="41288588" w14:textId="77777777" w:rsidR="00855935" w:rsidRPr="00BE78CA" w:rsidRDefault="00855935" w:rsidP="006819B6">
            <w:pPr>
              <w:pStyle w:val="TableText"/>
              <w:jc w:val="right"/>
            </w:pPr>
            <w:r w:rsidRPr="00BE78CA">
              <w:rPr>
                <w:rFonts w:eastAsia="Calibri" w:cs="Calibri"/>
                <w:color w:val="111111"/>
              </w:rPr>
              <w:t>32,795.3</w:t>
            </w:r>
          </w:p>
        </w:tc>
        <w:tc>
          <w:tcPr>
            <w:tcW w:w="667" w:type="pct"/>
            <w:tcBorders>
              <w:top w:val="single" w:sz="8" w:space="0" w:color="365F91"/>
              <w:bottom w:val="single" w:sz="8" w:space="0" w:color="365F91"/>
            </w:tcBorders>
            <w:shd w:val="clear" w:color="auto" w:fill="FFFFFF"/>
            <w:tcMar>
              <w:top w:w="0" w:type="dxa"/>
              <w:left w:w="108" w:type="dxa"/>
              <w:bottom w:w="0" w:type="dxa"/>
              <w:right w:w="108" w:type="dxa"/>
            </w:tcMar>
            <w:vAlign w:val="center"/>
          </w:tcPr>
          <w:p w14:paraId="4A979337" w14:textId="77777777" w:rsidR="00855935" w:rsidRPr="00BE78CA" w:rsidRDefault="00855935" w:rsidP="006819B6">
            <w:pPr>
              <w:pStyle w:val="TableText"/>
              <w:jc w:val="right"/>
            </w:pPr>
            <w:r w:rsidRPr="00BE78CA">
              <w:rPr>
                <w:rFonts w:eastAsia="Calibri" w:cs="Calibri"/>
                <w:color w:val="111111"/>
              </w:rPr>
              <w:t>34,621.3</w:t>
            </w:r>
          </w:p>
        </w:tc>
        <w:tc>
          <w:tcPr>
            <w:tcW w:w="1027" w:type="pct"/>
            <w:tcBorders>
              <w:top w:val="single" w:sz="8" w:space="0" w:color="365F91"/>
              <w:bottom w:val="single" w:sz="8" w:space="0" w:color="365F91"/>
            </w:tcBorders>
            <w:shd w:val="clear" w:color="auto" w:fill="FFFFFF"/>
            <w:tcMar>
              <w:top w:w="0" w:type="dxa"/>
              <w:left w:w="108" w:type="dxa"/>
              <w:bottom w:w="0" w:type="dxa"/>
              <w:right w:w="108" w:type="dxa"/>
            </w:tcMar>
            <w:vAlign w:val="center"/>
          </w:tcPr>
          <w:p w14:paraId="33F77288" w14:textId="77777777" w:rsidR="00855935" w:rsidRPr="00BE78CA" w:rsidRDefault="00855935" w:rsidP="006819B6">
            <w:pPr>
              <w:pStyle w:val="TableText"/>
              <w:jc w:val="right"/>
            </w:pPr>
            <w:r w:rsidRPr="00BE78CA">
              <w:rPr>
                <w:rFonts w:eastAsia="Calibri" w:cs="Calibri"/>
                <w:color w:val="111111"/>
              </w:rPr>
              <w:t>1,826.0</w:t>
            </w:r>
          </w:p>
        </w:tc>
        <w:tc>
          <w:tcPr>
            <w:tcW w:w="889" w:type="pct"/>
            <w:tcBorders>
              <w:top w:val="single" w:sz="8" w:space="0" w:color="365F91"/>
              <w:bottom w:val="single" w:sz="8" w:space="0" w:color="365F91"/>
              <w:right w:val="single" w:sz="4" w:space="0" w:color="FFFFFF"/>
            </w:tcBorders>
            <w:shd w:val="clear" w:color="auto" w:fill="FFFFFF"/>
            <w:tcMar>
              <w:top w:w="0" w:type="dxa"/>
              <w:left w:w="108" w:type="dxa"/>
              <w:bottom w:w="0" w:type="dxa"/>
              <w:right w:w="108" w:type="dxa"/>
            </w:tcMar>
            <w:vAlign w:val="center"/>
          </w:tcPr>
          <w:p w14:paraId="36F1A52C" w14:textId="77777777" w:rsidR="00855935" w:rsidRPr="00BE78CA" w:rsidRDefault="00855935" w:rsidP="006819B6">
            <w:pPr>
              <w:pStyle w:val="TableText"/>
              <w:jc w:val="right"/>
            </w:pPr>
            <w:r w:rsidRPr="00BE78CA">
              <w:rPr>
                <w:rFonts w:eastAsia="Calibri" w:cs="Calibri"/>
                <w:color w:val="111111"/>
              </w:rPr>
              <w:t>5.6</w:t>
            </w:r>
          </w:p>
        </w:tc>
      </w:tr>
      <w:tr w:rsidR="00855935" w:rsidRPr="00BE78CA" w14:paraId="5C7DCFDA" w14:textId="77777777" w:rsidTr="005B6417">
        <w:trPr>
          <w:cantSplit/>
        </w:trPr>
        <w:tc>
          <w:tcPr>
            <w:tcW w:w="1749" w:type="pct"/>
            <w:tcBorders>
              <w:top w:val="single" w:sz="8" w:space="0" w:color="365F91"/>
              <w:left w:val="single" w:sz="4" w:space="0" w:color="FFFFFF"/>
              <w:bottom w:val="single" w:sz="8" w:space="0" w:color="365F91"/>
            </w:tcBorders>
            <w:shd w:val="clear" w:color="auto" w:fill="FFFFFF"/>
            <w:tcMar>
              <w:top w:w="0" w:type="dxa"/>
              <w:left w:w="108" w:type="dxa"/>
              <w:bottom w:w="0" w:type="dxa"/>
              <w:right w:w="108" w:type="dxa"/>
            </w:tcMar>
            <w:vAlign w:val="center"/>
          </w:tcPr>
          <w:p w14:paraId="77496472" w14:textId="77777777" w:rsidR="00855935" w:rsidRPr="00BE78CA" w:rsidRDefault="00855935" w:rsidP="007F6E73">
            <w:pPr>
              <w:pStyle w:val="TableText"/>
            </w:pPr>
            <w:r w:rsidRPr="00BE78CA">
              <w:rPr>
                <w:rFonts w:eastAsia="Calibri" w:cs="Calibri"/>
                <w:color w:val="111111"/>
              </w:rPr>
              <w:t>N</w:t>
            </w:r>
            <w:r w:rsidRPr="00BE78CA">
              <w:rPr>
                <w:rFonts w:eastAsia="Calibri" w:cs="Calibri"/>
                <w:color w:val="111111"/>
                <w:vertAlign w:val="subscript"/>
              </w:rPr>
              <w:t>2</w:t>
            </w:r>
            <w:r w:rsidRPr="00BE78CA">
              <w:rPr>
                <w:rFonts w:eastAsia="Calibri" w:cs="Calibri"/>
                <w:color w:val="111111"/>
              </w:rPr>
              <w:t>O</w:t>
            </w:r>
          </w:p>
        </w:tc>
        <w:tc>
          <w:tcPr>
            <w:tcW w:w="668" w:type="pct"/>
            <w:tcBorders>
              <w:top w:val="single" w:sz="8" w:space="0" w:color="365F91"/>
              <w:bottom w:val="single" w:sz="8" w:space="0" w:color="365F91"/>
            </w:tcBorders>
            <w:shd w:val="clear" w:color="auto" w:fill="FFFFFF"/>
            <w:tcMar>
              <w:top w:w="0" w:type="dxa"/>
              <w:left w:w="108" w:type="dxa"/>
              <w:bottom w:w="0" w:type="dxa"/>
              <w:right w:w="108" w:type="dxa"/>
            </w:tcMar>
            <w:vAlign w:val="center"/>
          </w:tcPr>
          <w:p w14:paraId="559F5DA0" w14:textId="77777777" w:rsidR="00855935" w:rsidRPr="00BE78CA" w:rsidRDefault="00855935" w:rsidP="006819B6">
            <w:pPr>
              <w:pStyle w:val="TableText"/>
              <w:jc w:val="right"/>
            </w:pPr>
            <w:r w:rsidRPr="00BE78CA">
              <w:rPr>
                <w:rFonts w:eastAsia="Calibri" w:cs="Calibri"/>
                <w:color w:val="111111"/>
              </w:rPr>
              <w:t>5,754.7</w:t>
            </w:r>
          </w:p>
        </w:tc>
        <w:tc>
          <w:tcPr>
            <w:tcW w:w="667" w:type="pct"/>
            <w:tcBorders>
              <w:top w:val="single" w:sz="8" w:space="0" w:color="365F91"/>
              <w:bottom w:val="single" w:sz="8" w:space="0" w:color="365F91"/>
            </w:tcBorders>
            <w:shd w:val="clear" w:color="auto" w:fill="FFFFFF"/>
            <w:tcMar>
              <w:top w:w="0" w:type="dxa"/>
              <w:left w:w="108" w:type="dxa"/>
              <w:bottom w:w="0" w:type="dxa"/>
              <w:right w:w="108" w:type="dxa"/>
            </w:tcMar>
            <w:vAlign w:val="center"/>
          </w:tcPr>
          <w:p w14:paraId="5DD7B8D6" w14:textId="77777777" w:rsidR="00855935" w:rsidRPr="00BE78CA" w:rsidRDefault="00855935" w:rsidP="006819B6">
            <w:pPr>
              <w:pStyle w:val="TableText"/>
              <w:jc w:val="right"/>
            </w:pPr>
            <w:r w:rsidRPr="00BE78CA">
              <w:rPr>
                <w:rFonts w:eastAsia="Calibri" w:cs="Calibri"/>
                <w:color w:val="111111"/>
              </w:rPr>
              <w:t>8,363.2</w:t>
            </w:r>
          </w:p>
        </w:tc>
        <w:tc>
          <w:tcPr>
            <w:tcW w:w="1027" w:type="pct"/>
            <w:tcBorders>
              <w:top w:val="single" w:sz="8" w:space="0" w:color="365F91"/>
              <w:bottom w:val="single" w:sz="8" w:space="0" w:color="365F91"/>
            </w:tcBorders>
            <w:shd w:val="clear" w:color="auto" w:fill="FFFFFF"/>
            <w:tcMar>
              <w:top w:w="0" w:type="dxa"/>
              <w:left w:w="108" w:type="dxa"/>
              <w:bottom w:w="0" w:type="dxa"/>
              <w:right w:w="108" w:type="dxa"/>
            </w:tcMar>
            <w:vAlign w:val="center"/>
          </w:tcPr>
          <w:p w14:paraId="37DAD14B" w14:textId="77777777" w:rsidR="00855935" w:rsidRPr="00BE78CA" w:rsidRDefault="00855935" w:rsidP="006819B6">
            <w:pPr>
              <w:pStyle w:val="TableText"/>
              <w:jc w:val="right"/>
            </w:pPr>
            <w:r w:rsidRPr="00BE78CA">
              <w:rPr>
                <w:rFonts w:eastAsia="Calibri" w:cs="Calibri"/>
                <w:color w:val="111111"/>
              </w:rPr>
              <w:t>2,608.5</w:t>
            </w:r>
          </w:p>
        </w:tc>
        <w:tc>
          <w:tcPr>
            <w:tcW w:w="889" w:type="pct"/>
            <w:tcBorders>
              <w:top w:val="single" w:sz="8" w:space="0" w:color="365F91"/>
              <w:bottom w:val="single" w:sz="8" w:space="0" w:color="365F91"/>
              <w:right w:val="single" w:sz="4" w:space="0" w:color="FFFFFF"/>
            </w:tcBorders>
            <w:shd w:val="clear" w:color="auto" w:fill="FFFFFF"/>
            <w:tcMar>
              <w:top w:w="0" w:type="dxa"/>
              <w:left w:w="108" w:type="dxa"/>
              <w:bottom w:w="0" w:type="dxa"/>
              <w:right w:w="108" w:type="dxa"/>
            </w:tcMar>
            <w:vAlign w:val="center"/>
          </w:tcPr>
          <w:p w14:paraId="609C0522" w14:textId="77777777" w:rsidR="00855935" w:rsidRPr="00BE78CA" w:rsidRDefault="00855935" w:rsidP="006819B6">
            <w:pPr>
              <w:pStyle w:val="TableText"/>
              <w:jc w:val="right"/>
            </w:pPr>
            <w:r w:rsidRPr="00BE78CA">
              <w:rPr>
                <w:rFonts w:eastAsia="Calibri" w:cs="Calibri"/>
                <w:color w:val="111111"/>
              </w:rPr>
              <w:t>45.3</w:t>
            </w:r>
          </w:p>
        </w:tc>
      </w:tr>
      <w:tr w:rsidR="00855935" w:rsidRPr="00BE78CA" w14:paraId="17DAC223" w14:textId="77777777" w:rsidTr="005B6417">
        <w:trPr>
          <w:cantSplit/>
        </w:trPr>
        <w:tc>
          <w:tcPr>
            <w:tcW w:w="1749" w:type="pct"/>
            <w:tcBorders>
              <w:top w:val="single" w:sz="8" w:space="0" w:color="365F91"/>
              <w:left w:val="single" w:sz="4" w:space="0" w:color="FFFFFF"/>
              <w:bottom w:val="single" w:sz="8" w:space="0" w:color="365F91"/>
            </w:tcBorders>
            <w:shd w:val="clear" w:color="auto" w:fill="FFFFFF"/>
            <w:tcMar>
              <w:top w:w="0" w:type="dxa"/>
              <w:left w:w="108" w:type="dxa"/>
              <w:bottom w:w="0" w:type="dxa"/>
              <w:right w:w="108" w:type="dxa"/>
            </w:tcMar>
            <w:vAlign w:val="center"/>
          </w:tcPr>
          <w:p w14:paraId="619BCA9D" w14:textId="77777777" w:rsidR="00855935" w:rsidRPr="00BE78CA" w:rsidRDefault="00855935" w:rsidP="007F6E73">
            <w:pPr>
              <w:pStyle w:val="TableText"/>
            </w:pPr>
            <w:r w:rsidRPr="00BE78CA">
              <w:rPr>
                <w:rFonts w:eastAsia="Calibri" w:cs="Calibri"/>
                <w:color w:val="111111"/>
              </w:rPr>
              <w:t>HFCs</w:t>
            </w:r>
          </w:p>
        </w:tc>
        <w:tc>
          <w:tcPr>
            <w:tcW w:w="668" w:type="pct"/>
            <w:tcBorders>
              <w:top w:val="single" w:sz="8" w:space="0" w:color="365F91"/>
              <w:bottom w:val="single" w:sz="8" w:space="0" w:color="365F91"/>
            </w:tcBorders>
            <w:shd w:val="clear" w:color="auto" w:fill="FFFFFF"/>
            <w:tcMar>
              <w:top w:w="0" w:type="dxa"/>
              <w:left w:w="108" w:type="dxa"/>
              <w:bottom w:w="0" w:type="dxa"/>
              <w:right w:w="108" w:type="dxa"/>
            </w:tcMar>
            <w:vAlign w:val="center"/>
          </w:tcPr>
          <w:p w14:paraId="30B8E2DF" w14:textId="77777777" w:rsidR="00855935" w:rsidRPr="00BE78CA" w:rsidRDefault="00855935" w:rsidP="006819B6">
            <w:pPr>
              <w:pStyle w:val="TableText"/>
              <w:jc w:val="right"/>
            </w:pPr>
            <w:r w:rsidRPr="00BE78CA">
              <w:rPr>
                <w:rFonts w:eastAsia="Calibri" w:cs="Calibri"/>
                <w:color w:val="111111"/>
              </w:rPr>
              <w:t>Not occurring</w:t>
            </w:r>
          </w:p>
        </w:tc>
        <w:tc>
          <w:tcPr>
            <w:tcW w:w="667" w:type="pct"/>
            <w:tcBorders>
              <w:top w:val="single" w:sz="8" w:space="0" w:color="365F91"/>
              <w:bottom w:val="single" w:sz="8" w:space="0" w:color="365F91"/>
            </w:tcBorders>
            <w:shd w:val="clear" w:color="auto" w:fill="FFFFFF"/>
            <w:tcMar>
              <w:top w:w="0" w:type="dxa"/>
              <w:left w:w="108" w:type="dxa"/>
              <w:bottom w:w="0" w:type="dxa"/>
              <w:right w:w="108" w:type="dxa"/>
            </w:tcMar>
            <w:vAlign w:val="center"/>
          </w:tcPr>
          <w:p w14:paraId="3FE445D3" w14:textId="77777777" w:rsidR="00855935" w:rsidRPr="00BE78CA" w:rsidRDefault="00855935" w:rsidP="006819B6">
            <w:pPr>
              <w:pStyle w:val="TableText"/>
              <w:jc w:val="right"/>
            </w:pPr>
            <w:r w:rsidRPr="00BE78CA">
              <w:rPr>
                <w:rFonts w:eastAsia="Calibri" w:cs="Calibri"/>
                <w:color w:val="111111"/>
              </w:rPr>
              <w:t>1,734.1</w:t>
            </w:r>
          </w:p>
        </w:tc>
        <w:tc>
          <w:tcPr>
            <w:tcW w:w="1027" w:type="pct"/>
            <w:tcBorders>
              <w:top w:val="single" w:sz="8" w:space="0" w:color="365F91"/>
              <w:bottom w:val="single" w:sz="8" w:space="0" w:color="365F91"/>
            </w:tcBorders>
            <w:shd w:val="clear" w:color="auto" w:fill="FFFFFF"/>
            <w:tcMar>
              <w:top w:w="0" w:type="dxa"/>
              <w:left w:w="108" w:type="dxa"/>
              <w:bottom w:w="0" w:type="dxa"/>
              <w:right w:w="108" w:type="dxa"/>
            </w:tcMar>
            <w:vAlign w:val="center"/>
          </w:tcPr>
          <w:p w14:paraId="33578E10" w14:textId="77777777" w:rsidR="00855935" w:rsidRPr="00BE78CA" w:rsidRDefault="00855935" w:rsidP="006819B6">
            <w:pPr>
              <w:pStyle w:val="TableText"/>
              <w:jc w:val="right"/>
            </w:pPr>
            <w:r w:rsidRPr="00BE78CA">
              <w:rPr>
                <w:rFonts w:eastAsia="Calibri" w:cs="Calibri"/>
                <w:color w:val="111111"/>
              </w:rPr>
              <w:t>1,734.1</w:t>
            </w:r>
          </w:p>
        </w:tc>
        <w:tc>
          <w:tcPr>
            <w:tcW w:w="889" w:type="pct"/>
            <w:tcBorders>
              <w:top w:val="single" w:sz="8" w:space="0" w:color="365F91"/>
              <w:bottom w:val="single" w:sz="8" w:space="0" w:color="365F91"/>
              <w:right w:val="single" w:sz="4" w:space="0" w:color="FFFFFF"/>
            </w:tcBorders>
            <w:shd w:val="clear" w:color="auto" w:fill="FFFFFF"/>
            <w:tcMar>
              <w:top w:w="0" w:type="dxa"/>
              <w:left w:w="108" w:type="dxa"/>
              <w:bottom w:w="0" w:type="dxa"/>
              <w:right w:w="108" w:type="dxa"/>
            </w:tcMar>
            <w:vAlign w:val="center"/>
          </w:tcPr>
          <w:p w14:paraId="40F1D08F" w14:textId="77777777" w:rsidR="00855935" w:rsidRPr="00BE78CA" w:rsidRDefault="00855935" w:rsidP="006819B6">
            <w:pPr>
              <w:pStyle w:val="TableText"/>
              <w:jc w:val="right"/>
            </w:pPr>
            <w:r w:rsidRPr="00BE78CA">
              <w:rPr>
                <w:rFonts w:eastAsia="Calibri" w:cs="Calibri"/>
                <w:color w:val="111111"/>
              </w:rPr>
              <w:t>NA</w:t>
            </w:r>
          </w:p>
        </w:tc>
      </w:tr>
      <w:tr w:rsidR="00855935" w:rsidRPr="00BE78CA" w14:paraId="710B4E68" w14:textId="77777777" w:rsidTr="005B6417">
        <w:trPr>
          <w:cantSplit/>
        </w:trPr>
        <w:tc>
          <w:tcPr>
            <w:tcW w:w="1749" w:type="pct"/>
            <w:tcBorders>
              <w:top w:val="single" w:sz="8" w:space="0" w:color="365F91"/>
              <w:left w:val="single" w:sz="4" w:space="0" w:color="FFFFFF"/>
              <w:bottom w:val="single" w:sz="8" w:space="0" w:color="365F91"/>
            </w:tcBorders>
            <w:shd w:val="clear" w:color="auto" w:fill="FFFFFF"/>
            <w:tcMar>
              <w:top w:w="0" w:type="dxa"/>
              <w:left w:w="108" w:type="dxa"/>
              <w:bottom w:w="0" w:type="dxa"/>
              <w:right w:w="108" w:type="dxa"/>
            </w:tcMar>
            <w:vAlign w:val="center"/>
          </w:tcPr>
          <w:p w14:paraId="3E56776E" w14:textId="77777777" w:rsidR="00855935" w:rsidRPr="00BE78CA" w:rsidRDefault="00855935" w:rsidP="007F6E73">
            <w:pPr>
              <w:pStyle w:val="TableText"/>
            </w:pPr>
            <w:r w:rsidRPr="00BE78CA">
              <w:rPr>
                <w:rFonts w:eastAsia="Calibri" w:cs="Calibri"/>
                <w:color w:val="111111"/>
              </w:rPr>
              <w:t>PFCs</w:t>
            </w:r>
          </w:p>
        </w:tc>
        <w:tc>
          <w:tcPr>
            <w:tcW w:w="668" w:type="pct"/>
            <w:tcBorders>
              <w:top w:val="single" w:sz="8" w:space="0" w:color="365F91"/>
              <w:bottom w:val="single" w:sz="8" w:space="0" w:color="365F91"/>
            </w:tcBorders>
            <w:shd w:val="clear" w:color="auto" w:fill="FFFFFF"/>
            <w:tcMar>
              <w:top w:w="0" w:type="dxa"/>
              <w:left w:w="108" w:type="dxa"/>
              <w:bottom w:w="0" w:type="dxa"/>
              <w:right w:w="108" w:type="dxa"/>
            </w:tcMar>
            <w:vAlign w:val="center"/>
          </w:tcPr>
          <w:p w14:paraId="16309214" w14:textId="77777777" w:rsidR="00855935" w:rsidRPr="00BE78CA" w:rsidRDefault="00855935" w:rsidP="006819B6">
            <w:pPr>
              <w:pStyle w:val="TableText"/>
              <w:jc w:val="right"/>
            </w:pPr>
            <w:r w:rsidRPr="00BE78CA">
              <w:rPr>
                <w:rFonts w:eastAsia="Calibri" w:cs="Calibri"/>
                <w:color w:val="111111"/>
              </w:rPr>
              <w:t>909.9</w:t>
            </w:r>
          </w:p>
        </w:tc>
        <w:tc>
          <w:tcPr>
            <w:tcW w:w="667" w:type="pct"/>
            <w:tcBorders>
              <w:top w:val="single" w:sz="8" w:space="0" w:color="365F91"/>
              <w:bottom w:val="single" w:sz="8" w:space="0" w:color="365F91"/>
            </w:tcBorders>
            <w:shd w:val="clear" w:color="auto" w:fill="FFFFFF"/>
            <w:tcMar>
              <w:top w:w="0" w:type="dxa"/>
              <w:left w:w="108" w:type="dxa"/>
              <w:bottom w:w="0" w:type="dxa"/>
              <w:right w:w="108" w:type="dxa"/>
            </w:tcMar>
            <w:vAlign w:val="center"/>
          </w:tcPr>
          <w:p w14:paraId="6060B7F2" w14:textId="77777777" w:rsidR="00855935" w:rsidRPr="00BE78CA" w:rsidRDefault="00855935" w:rsidP="006819B6">
            <w:pPr>
              <w:pStyle w:val="TableText"/>
              <w:jc w:val="right"/>
            </w:pPr>
            <w:r w:rsidRPr="00BE78CA">
              <w:rPr>
                <w:rFonts w:eastAsia="Calibri" w:cs="Calibri"/>
                <w:color w:val="111111"/>
              </w:rPr>
              <w:t>89.1</w:t>
            </w:r>
          </w:p>
        </w:tc>
        <w:tc>
          <w:tcPr>
            <w:tcW w:w="1027" w:type="pct"/>
            <w:tcBorders>
              <w:top w:val="single" w:sz="8" w:space="0" w:color="365F91"/>
              <w:bottom w:val="single" w:sz="8" w:space="0" w:color="365F91"/>
            </w:tcBorders>
            <w:shd w:val="clear" w:color="auto" w:fill="FFFFFF"/>
            <w:tcMar>
              <w:top w:w="0" w:type="dxa"/>
              <w:left w:w="108" w:type="dxa"/>
              <w:bottom w:w="0" w:type="dxa"/>
              <w:right w:w="108" w:type="dxa"/>
            </w:tcMar>
            <w:vAlign w:val="center"/>
          </w:tcPr>
          <w:p w14:paraId="797D9EF8" w14:textId="77777777" w:rsidR="00855935" w:rsidRPr="00BE78CA" w:rsidRDefault="00855935" w:rsidP="006819B6">
            <w:pPr>
              <w:pStyle w:val="TableText"/>
              <w:jc w:val="right"/>
            </w:pPr>
            <w:r w:rsidRPr="00BE78CA">
              <w:rPr>
                <w:rFonts w:eastAsia="Calibri" w:cs="Calibri"/>
                <w:color w:val="111111"/>
              </w:rPr>
              <w:t>–820.8</w:t>
            </w:r>
          </w:p>
        </w:tc>
        <w:tc>
          <w:tcPr>
            <w:tcW w:w="889" w:type="pct"/>
            <w:tcBorders>
              <w:top w:val="single" w:sz="8" w:space="0" w:color="365F91"/>
              <w:bottom w:val="single" w:sz="8" w:space="0" w:color="365F91"/>
              <w:right w:val="single" w:sz="4" w:space="0" w:color="FFFFFF"/>
            </w:tcBorders>
            <w:shd w:val="clear" w:color="auto" w:fill="FFFFFF"/>
            <w:tcMar>
              <w:top w:w="0" w:type="dxa"/>
              <w:left w:w="108" w:type="dxa"/>
              <w:bottom w:w="0" w:type="dxa"/>
              <w:right w:w="108" w:type="dxa"/>
            </w:tcMar>
            <w:vAlign w:val="center"/>
          </w:tcPr>
          <w:p w14:paraId="63488B0D" w14:textId="77777777" w:rsidR="00855935" w:rsidRPr="00BE78CA" w:rsidRDefault="00855935" w:rsidP="006819B6">
            <w:pPr>
              <w:pStyle w:val="TableText"/>
              <w:jc w:val="right"/>
            </w:pPr>
            <w:r w:rsidRPr="00BE78CA">
              <w:rPr>
                <w:rFonts w:eastAsia="Calibri" w:cs="Calibri"/>
                <w:color w:val="111111"/>
              </w:rPr>
              <w:t>–90.2</w:t>
            </w:r>
          </w:p>
        </w:tc>
      </w:tr>
      <w:tr w:rsidR="00855935" w:rsidRPr="00BE78CA" w14:paraId="06C3C2F6" w14:textId="77777777" w:rsidTr="005B6417">
        <w:trPr>
          <w:cantSplit/>
        </w:trPr>
        <w:tc>
          <w:tcPr>
            <w:tcW w:w="1749" w:type="pct"/>
            <w:tcBorders>
              <w:top w:val="single" w:sz="8" w:space="0" w:color="365F91"/>
              <w:left w:val="single" w:sz="4" w:space="0" w:color="FFFFFF"/>
              <w:bottom w:val="single" w:sz="8" w:space="0" w:color="365F91"/>
            </w:tcBorders>
            <w:shd w:val="clear" w:color="auto" w:fill="FFFFFF"/>
            <w:tcMar>
              <w:top w:w="0" w:type="dxa"/>
              <w:left w:w="108" w:type="dxa"/>
              <w:bottom w:w="0" w:type="dxa"/>
              <w:right w:w="108" w:type="dxa"/>
            </w:tcMar>
            <w:vAlign w:val="center"/>
          </w:tcPr>
          <w:p w14:paraId="59CBE012" w14:textId="77777777" w:rsidR="00855935" w:rsidRPr="00BE78CA" w:rsidRDefault="00855935" w:rsidP="007F6E73">
            <w:pPr>
              <w:pStyle w:val="TableText"/>
            </w:pPr>
            <w:r w:rsidRPr="00BE78CA">
              <w:rPr>
                <w:rFonts w:eastAsia="Calibri" w:cs="Calibri"/>
                <w:color w:val="111111"/>
              </w:rPr>
              <w:t>SF</w:t>
            </w:r>
            <w:r w:rsidRPr="00BE78CA">
              <w:rPr>
                <w:rFonts w:eastAsia="Calibri" w:cs="Calibri"/>
                <w:color w:val="111111"/>
                <w:vertAlign w:val="subscript"/>
              </w:rPr>
              <w:t>6</w:t>
            </w:r>
          </w:p>
        </w:tc>
        <w:tc>
          <w:tcPr>
            <w:tcW w:w="668" w:type="pct"/>
            <w:tcBorders>
              <w:top w:val="single" w:sz="8" w:space="0" w:color="365F91"/>
              <w:bottom w:val="single" w:sz="8" w:space="0" w:color="365F91"/>
            </w:tcBorders>
            <w:shd w:val="clear" w:color="auto" w:fill="FFFFFF"/>
            <w:tcMar>
              <w:top w:w="0" w:type="dxa"/>
              <w:left w:w="108" w:type="dxa"/>
              <w:bottom w:w="0" w:type="dxa"/>
              <w:right w:w="108" w:type="dxa"/>
            </w:tcMar>
            <w:vAlign w:val="center"/>
          </w:tcPr>
          <w:p w14:paraId="7D5FE8C7" w14:textId="77777777" w:rsidR="00855935" w:rsidRPr="00BE78CA" w:rsidRDefault="00855935" w:rsidP="006819B6">
            <w:pPr>
              <w:pStyle w:val="TableText"/>
              <w:jc w:val="right"/>
            </w:pPr>
            <w:r w:rsidRPr="00BE78CA">
              <w:rPr>
                <w:rFonts w:eastAsia="Calibri" w:cs="Calibri"/>
                <w:color w:val="111111"/>
              </w:rPr>
              <w:t>20.0</w:t>
            </w:r>
          </w:p>
        </w:tc>
        <w:tc>
          <w:tcPr>
            <w:tcW w:w="667" w:type="pct"/>
            <w:tcBorders>
              <w:top w:val="single" w:sz="8" w:space="0" w:color="365F91"/>
              <w:bottom w:val="single" w:sz="8" w:space="0" w:color="365F91"/>
            </w:tcBorders>
            <w:shd w:val="clear" w:color="auto" w:fill="FFFFFF"/>
            <w:tcMar>
              <w:top w:w="0" w:type="dxa"/>
              <w:left w:w="108" w:type="dxa"/>
              <w:bottom w:w="0" w:type="dxa"/>
              <w:right w:w="108" w:type="dxa"/>
            </w:tcMar>
            <w:vAlign w:val="center"/>
          </w:tcPr>
          <w:p w14:paraId="63721D1E" w14:textId="77777777" w:rsidR="00855935" w:rsidRPr="00BE78CA" w:rsidRDefault="00855935" w:rsidP="006819B6">
            <w:pPr>
              <w:pStyle w:val="TableText"/>
              <w:jc w:val="right"/>
            </w:pPr>
            <w:r w:rsidRPr="00BE78CA">
              <w:rPr>
                <w:rFonts w:eastAsia="Calibri" w:cs="Calibri"/>
                <w:color w:val="111111"/>
              </w:rPr>
              <w:t>15.7</w:t>
            </w:r>
          </w:p>
        </w:tc>
        <w:tc>
          <w:tcPr>
            <w:tcW w:w="1027" w:type="pct"/>
            <w:tcBorders>
              <w:top w:val="single" w:sz="8" w:space="0" w:color="365F91"/>
              <w:bottom w:val="single" w:sz="8" w:space="0" w:color="365F91"/>
            </w:tcBorders>
            <w:shd w:val="clear" w:color="auto" w:fill="FFFFFF"/>
            <w:tcMar>
              <w:top w:w="0" w:type="dxa"/>
              <w:left w:w="108" w:type="dxa"/>
              <w:bottom w:w="0" w:type="dxa"/>
              <w:right w:w="108" w:type="dxa"/>
            </w:tcMar>
            <w:vAlign w:val="center"/>
          </w:tcPr>
          <w:p w14:paraId="2BD3E76F" w14:textId="77777777" w:rsidR="00855935" w:rsidRPr="00BE78CA" w:rsidRDefault="00855935" w:rsidP="006819B6">
            <w:pPr>
              <w:pStyle w:val="TableText"/>
              <w:jc w:val="right"/>
            </w:pPr>
            <w:r w:rsidRPr="00BE78CA">
              <w:rPr>
                <w:rFonts w:eastAsia="Calibri" w:cs="Calibri"/>
                <w:color w:val="111111"/>
              </w:rPr>
              <w:t>–4.3</w:t>
            </w:r>
          </w:p>
        </w:tc>
        <w:tc>
          <w:tcPr>
            <w:tcW w:w="889" w:type="pct"/>
            <w:tcBorders>
              <w:top w:val="single" w:sz="8" w:space="0" w:color="365F91"/>
              <w:bottom w:val="single" w:sz="8" w:space="0" w:color="365F91"/>
              <w:right w:val="single" w:sz="4" w:space="0" w:color="FFFFFF"/>
            </w:tcBorders>
            <w:shd w:val="clear" w:color="auto" w:fill="FFFFFF"/>
            <w:tcMar>
              <w:top w:w="0" w:type="dxa"/>
              <w:left w:w="108" w:type="dxa"/>
              <w:bottom w:w="0" w:type="dxa"/>
              <w:right w:w="108" w:type="dxa"/>
            </w:tcMar>
            <w:vAlign w:val="center"/>
          </w:tcPr>
          <w:p w14:paraId="7B625780" w14:textId="77777777" w:rsidR="00855935" w:rsidRPr="00BE78CA" w:rsidRDefault="00855935" w:rsidP="006819B6">
            <w:pPr>
              <w:pStyle w:val="TableText"/>
              <w:jc w:val="right"/>
            </w:pPr>
            <w:r w:rsidRPr="00BE78CA">
              <w:rPr>
                <w:rFonts w:eastAsia="Calibri" w:cs="Calibri"/>
                <w:color w:val="111111"/>
              </w:rPr>
              <w:t>–21.4</w:t>
            </w:r>
          </w:p>
        </w:tc>
      </w:tr>
      <w:tr w:rsidR="00855935" w:rsidRPr="00BE78CA" w14:paraId="14B919B9" w14:textId="77777777" w:rsidTr="005B6417">
        <w:trPr>
          <w:cantSplit/>
        </w:trPr>
        <w:tc>
          <w:tcPr>
            <w:tcW w:w="1749" w:type="pct"/>
            <w:tcBorders>
              <w:top w:val="single" w:sz="8" w:space="0" w:color="365F91"/>
              <w:left w:val="single" w:sz="4" w:space="0" w:color="FFFFFF"/>
              <w:bottom w:val="single" w:sz="4" w:space="0" w:color="365F91"/>
            </w:tcBorders>
            <w:shd w:val="clear" w:color="auto" w:fill="FFFFFF"/>
            <w:tcMar>
              <w:top w:w="0" w:type="dxa"/>
              <w:left w:w="108" w:type="dxa"/>
              <w:bottom w:w="0" w:type="dxa"/>
              <w:right w:w="108" w:type="dxa"/>
            </w:tcMar>
            <w:vAlign w:val="center"/>
          </w:tcPr>
          <w:p w14:paraId="1F1B1BC7" w14:textId="77777777" w:rsidR="00855935" w:rsidRPr="00BE78CA" w:rsidRDefault="00855935" w:rsidP="006819B6">
            <w:pPr>
              <w:pStyle w:val="Tableboldblue"/>
            </w:pPr>
            <w:r w:rsidRPr="00BE78CA">
              <w:rPr>
                <w:rFonts w:eastAsia="Calibri"/>
              </w:rPr>
              <w:t>Gross, all gases</w:t>
            </w:r>
          </w:p>
        </w:tc>
        <w:tc>
          <w:tcPr>
            <w:tcW w:w="668" w:type="pct"/>
            <w:tcBorders>
              <w:top w:val="single" w:sz="8" w:space="0" w:color="365F91"/>
              <w:bottom w:val="single" w:sz="4" w:space="0" w:color="365F91"/>
            </w:tcBorders>
            <w:shd w:val="clear" w:color="auto" w:fill="FFFFFF"/>
            <w:tcMar>
              <w:top w:w="0" w:type="dxa"/>
              <w:left w:w="108" w:type="dxa"/>
              <w:bottom w:w="0" w:type="dxa"/>
              <w:right w:w="108" w:type="dxa"/>
            </w:tcMar>
            <w:vAlign w:val="center"/>
          </w:tcPr>
          <w:p w14:paraId="6E0574E9" w14:textId="77777777" w:rsidR="00855935" w:rsidRPr="00BE78CA" w:rsidRDefault="00855935" w:rsidP="006819B6">
            <w:pPr>
              <w:pStyle w:val="Tableboldblue"/>
              <w:jc w:val="right"/>
            </w:pPr>
            <w:r w:rsidRPr="00BE78CA">
              <w:rPr>
                <w:rFonts w:eastAsia="Calibri"/>
              </w:rPr>
              <w:t>65,129.2</w:t>
            </w:r>
          </w:p>
        </w:tc>
        <w:tc>
          <w:tcPr>
            <w:tcW w:w="667" w:type="pct"/>
            <w:tcBorders>
              <w:top w:val="single" w:sz="8" w:space="0" w:color="365F91"/>
              <w:bottom w:val="single" w:sz="4" w:space="0" w:color="365F91"/>
            </w:tcBorders>
            <w:shd w:val="clear" w:color="auto" w:fill="FFFFFF"/>
            <w:tcMar>
              <w:top w:w="0" w:type="dxa"/>
              <w:left w:w="108" w:type="dxa"/>
              <w:bottom w:w="0" w:type="dxa"/>
              <w:right w:w="108" w:type="dxa"/>
            </w:tcMar>
            <w:vAlign w:val="center"/>
          </w:tcPr>
          <w:p w14:paraId="626303C1" w14:textId="77777777" w:rsidR="00855935" w:rsidRPr="00BE78CA" w:rsidRDefault="00855935" w:rsidP="006819B6">
            <w:pPr>
              <w:pStyle w:val="Tableboldblue"/>
              <w:jc w:val="right"/>
            </w:pPr>
            <w:r w:rsidRPr="00BE78CA">
              <w:rPr>
                <w:rFonts w:eastAsia="Calibri"/>
              </w:rPr>
              <w:t>82,317.9</w:t>
            </w:r>
          </w:p>
        </w:tc>
        <w:tc>
          <w:tcPr>
            <w:tcW w:w="1027" w:type="pct"/>
            <w:tcBorders>
              <w:top w:val="single" w:sz="8" w:space="0" w:color="365F91"/>
              <w:bottom w:val="single" w:sz="4" w:space="0" w:color="365F91"/>
            </w:tcBorders>
            <w:shd w:val="clear" w:color="auto" w:fill="FFFFFF"/>
            <w:tcMar>
              <w:top w:w="0" w:type="dxa"/>
              <w:left w:w="108" w:type="dxa"/>
              <w:bottom w:w="0" w:type="dxa"/>
              <w:right w:w="108" w:type="dxa"/>
            </w:tcMar>
            <w:vAlign w:val="center"/>
          </w:tcPr>
          <w:p w14:paraId="0B93FFB9" w14:textId="77777777" w:rsidR="00855935" w:rsidRPr="00BE78CA" w:rsidRDefault="00855935" w:rsidP="006819B6">
            <w:pPr>
              <w:pStyle w:val="Tableboldblue"/>
              <w:jc w:val="right"/>
            </w:pPr>
            <w:r w:rsidRPr="00BE78CA">
              <w:rPr>
                <w:rFonts w:eastAsia="Calibri"/>
              </w:rPr>
              <w:t>17,188.6</w:t>
            </w:r>
          </w:p>
        </w:tc>
        <w:tc>
          <w:tcPr>
            <w:tcW w:w="889" w:type="pct"/>
            <w:tcBorders>
              <w:top w:val="single" w:sz="8" w:space="0" w:color="365F91"/>
              <w:bottom w:val="single" w:sz="4" w:space="0" w:color="365F91"/>
              <w:right w:val="single" w:sz="4" w:space="0" w:color="FFFFFF"/>
            </w:tcBorders>
            <w:shd w:val="clear" w:color="auto" w:fill="FFFFFF"/>
            <w:tcMar>
              <w:top w:w="0" w:type="dxa"/>
              <w:left w:w="108" w:type="dxa"/>
              <w:bottom w:w="0" w:type="dxa"/>
              <w:right w:w="108" w:type="dxa"/>
            </w:tcMar>
            <w:vAlign w:val="center"/>
          </w:tcPr>
          <w:p w14:paraId="47C6124E" w14:textId="77777777" w:rsidR="00855935" w:rsidRPr="00BE78CA" w:rsidRDefault="00855935" w:rsidP="006819B6">
            <w:pPr>
              <w:pStyle w:val="Tableboldblue"/>
              <w:jc w:val="right"/>
            </w:pPr>
            <w:r w:rsidRPr="00BE78CA">
              <w:rPr>
                <w:rFonts w:eastAsia="Calibri"/>
              </w:rPr>
              <w:t>26.4</w:t>
            </w:r>
          </w:p>
        </w:tc>
      </w:tr>
    </w:tbl>
    <w:p w14:paraId="1C1C8A74" w14:textId="6B02D263" w:rsidR="00855935" w:rsidRPr="00BE78CA" w:rsidRDefault="00855935" w:rsidP="006819B6">
      <w:pPr>
        <w:pStyle w:val="Noteundertable"/>
      </w:pPr>
      <w:r w:rsidRPr="00BE78CA">
        <w:rPr>
          <w:b/>
        </w:rPr>
        <w:t>Note:</w:t>
      </w:r>
      <w:r w:rsidRPr="00BE78CA">
        <w:t xml:space="preserve"> </w:t>
      </w:r>
      <w:r w:rsidRPr="00BE78CA">
        <w:tab/>
        <w:t xml:space="preserve">Gross emissions exclude net removals from the LULUCF sector. The per cent change for HFCs is not applicable (NA) because no emissions of HFCs occurred in </w:t>
      </w:r>
      <w:r w:rsidRPr="00BE78CA">
        <w:rPr>
          <w:bCs/>
        </w:rPr>
        <w:t>1990.</w:t>
      </w:r>
      <w:r w:rsidRPr="00BE78CA">
        <w:t xml:space="preserve"> Columns may not total due to rounding. Percentages presented are calculated from unrounded values.</w:t>
      </w:r>
    </w:p>
    <w:p w14:paraId="664E0784" w14:textId="6F561954" w:rsidR="00FD4501" w:rsidRPr="00BE78CA" w:rsidRDefault="00FD4501" w:rsidP="0062754B">
      <w:pPr>
        <w:pStyle w:val="BodyText"/>
        <w:keepLines/>
      </w:pPr>
      <w:r w:rsidRPr="00BE78CA">
        <w:lastRenderedPageBreak/>
        <w:t xml:space="preserve">In </w:t>
      </w:r>
      <w:r w:rsidRPr="00BE78CA">
        <w:rPr>
          <w:bCs/>
        </w:rPr>
        <w:t>1990, CH</w:t>
      </w:r>
      <w:r w:rsidRPr="00BE78CA">
        <w:rPr>
          <w:bCs/>
          <w:vertAlign w:val="subscript"/>
        </w:rPr>
        <w:t>4</w:t>
      </w:r>
      <w:r w:rsidRPr="00BE78CA">
        <w:rPr>
          <w:bCs/>
        </w:rPr>
        <w:t xml:space="preserve"> made up the largest proportion of gross emissions, while in 2019, CO</w:t>
      </w:r>
      <w:r w:rsidRPr="00BE78CA">
        <w:rPr>
          <w:bCs/>
          <w:vertAlign w:val="subscript"/>
        </w:rPr>
        <w:t>2</w:t>
      </w:r>
      <w:r w:rsidRPr="00BE78CA">
        <w:rPr>
          <w:bCs/>
        </w:rPr>
        <w:t xml:space="preserve"> and CH</w:t>
      </w:r>
      <w:r w:rsidRPr="00BE78CA">
        <w:rPr>
          <w:bCs/>
          <w:vertAlign w:val="subscript"/>
        </w:rPr>
        <w:t>4</w:t>
      </w:r>
      <w:r w:rsidRPr="00BE78CA">
        <w:rPr>
          <w:bCs/>
        </w:rPr>
        <w:t xml:space="preserve"> contributed the largest proportions (45.5 per cent and 42.1 per cent respectively) to the gross national emissions (see figure ES 3.2). While emissions of CH</w:t>
      </w:r>
      <w:r w:rsidRPr="00BE78CA">
        <w:rPr>
          <w:bCs/>
          <w:vertAlign w:val="subscript"/>
        </w:rPr>
        <w:t>4</w:t>
      </w:r>
      <w:r w:rsidRPr="00BE78CA">
        <w:rPr>
          <w:bCs/>
        </w:rPr>
        <w:t xml:space="preserve"> have also increased over this time, the proportion of CH</w:t>
      </w:r>
      <w:r w:rsidRPr="00BE78CA">
        <w:rPr>
          <w:bCs/>
          <w:vertAlign w:val="subscript"/>
        </w:rPr>
        <w:t>4</w:t>
      </w:r>
      <w:r w:rsidRPr="00BE78CA">
        <w:rPr>
          <w:bCs/>
        </w:rPr>
        <w:t xml:space="preserve"> in the inventory has decreased over the time series, because CO</w:t>
      </w:r>
      <w:r w:rsidRPr="00BE78CA">
        <w:rPr>
          <w:bCs/>
          <w:vertAlign w:val="subscript"/>
        </w:rPr>
        <w:t>2</w:t>
      </w:r>
      <w:r w:rsidRPr="00BE78CA">
        <w:rPr>
          <w:bCs/>
        </w:rPr>
        <w:t xml:space="preserve"> emissions have increased by a greater amount.</w:t>
      </w:r>
    </w:p>
    <w:p w14:paraId="0DF8391E" w14:textId="694A3667" w:rsidR="00855935" w:rsidRPr="00BE78CA" w:rsidRDefault="00855935" w:rsidP="00855935">
      <w:pPr>
        <w:pStyle w:val="Figure"/>
      </w:pPr>
      <w:bookmarkStart w:id="28" w:name="_Toc68786613"/>
      <w:r w:rsidRPr="00BE78CA">
        <w:t xml:space="preserve">Figure ES 3.2 </w:t>
      </w:r>
      <w:r w:rsidR="00FD4501" w:rsidRPr="00BE78CA">
        <w:tab/>
      </w:r>
      <w:r w:rsidRPr="00BE78CA">
        <w:t>New Zealand’s emissions by gas in 1990 and 2019</w:t>
      </w:r>
      <w:bookmarkEnd w:id="28"/>
    </w:p>
    <w:p w14:paraId="06B3F77D" w14:textId="77777777" w:rsidR="00855935" w:rsidRPr="00BE78CA" w:rsidRDefault="00855935" w:rsidP="00855935">
      <w:pPr>
        <w:pStyle w:val="BodyText"/>
      </w:pPr>
      <w:r w:rsidRPr="00BE78CA">
        <w:rPr>
          <w:noProof/>
        </w:rPr>
        <w:drawing>
          <wp:inline distT="0" distB="0" distL="0" distR="0" wp14:anchorId="7CDE6BDB" wp14:editId="7BDC9DCD">
            <wp:extent cx="5397500" cy="4048125"/>
            <wp:effectExtent l="0" t="0" r="0" b="0"/>
            <wp:docPr id="3" name="Picture"/>
            <wp:cNvGraphicFramePr/>
            <a:graphic xmlns:a="http://schemas.openxmlformats.org/drawingml/2006/main">
              <a:graphicData uri="http://schemas.openxmlformats.org/drawingml/2006/picture">
                <pic:pic xmlns:pic="http://schemas.openxmlformats.org/drawingml/2006/picture">
                  <pic:nvPicPr>
                    <pic:cNvPr id="0" name="Picture" descr="code/graphs/images/es_3_2_crf.png"/>
                    <pic:cNvPicPr>
                      <a:picLocks noChangeAspect="1" noChangeArrowheads="1"/>
                    </pic:cNvPicPr>
                  </pic:nvPicPr>
                  <pic:blipFill>
                    <a:blip r:embed="rId22"/>
                    <a:stretch>
                      <a:fillRect/>
                    </a:stretch>
                  </pic:blipFill>
                  <pic:spPr bwMode="auto">
                    <a:xfrm>
                      <a:off x="0" y="0"/>
                      <a:ext cx="5397500" cy="4048125"/>
                    </a:xfrm>
                    <a:prstGeom prst="rect">
                      <a:avLst/>
                    </a:prstGeom>
                    <a:noFill/>
                    <a:ln w="9525">
                      <a:noFill/>
                      <a:headEnd/>
                      <a:tailEnd/>
                    </a:ln>
                  </pic:spPr>
                </pic:pic>
              </a:graphicData>
            </a:graphic>
          </wp:inline>
        </w:drawing>
      </w:r>
    </w:p>
    <w:p w14:paraId="08AA05BF" w14:textId="77777777" w:rsidR="00855935" w:rsidRPr="00BE78CA" w:rsidRDefault="00855935" w:rsidP="00855935">
      <w:pPr>
        <w:pStyle w:val="BodyText"/>
        <w:rPr>
          <w:bCs/>
        </w:rPr>
      </w:pPr>
      <w:r w:rsidRPr="00BE78CA">
        <w:rPr>
          <w:bCs/>
        </w:rPr>
        <w:t>This trend reflects the increase in CO</w:t>
      </w:r>
      <w:r w:rsidRPr="00BE78CA">
        <w:rPr>
          <w:bCs/>
          <w:vertAlign w:val="subscript"/>
        </w:rPr>
        <w:t>2</w:t>
      </w:r>
      <w:r w:rsidRPr="00BE78CA">
        <w:rPr>
          <w:bCs/>
        </w:rPr>
        <w:t xml:space="preserve"> emissions from the Energy sector as the biggest contributor of CO</w:t>
      </w:r>
      <w:r w:rsidRPr="00BE78CA">
        <w:rPr>
          <w:bCs/>
          <w:vertAlign w:val="subscript"/>
        </w:rPr>
        <w:t>2</w:t>
      </w:r>
      <w:r w:rsidRPr="00BE78CA">
        <w:rPr>
          <w:bCs/>
        </w:rPr>
        <w:t xml:space="preserve"> to New Zealand’s gross emissions (ranging between 86.8 per cent and 88.7 per cent of gross CO</w:t>
      </w:r>
      <w:r w:rsidRPr="00BE78CA">
        <w:rPr>
          <w:bCs/>
          <w:vertAlign w:val="subscript"/>
        </w:rPr>
        <w:t>2</w:t>
      </w:r>
      <w:r w:rsidRPr="00BE78CA">
        <w:rPr>
          <w:bCs/>
        </w:rPr>
        <w:t xml:space="preserve"> emissions across the entire time series).</w:t>
      </w:r>
    </w:p>
    <w:p w14:paraId="7DAB1C11" w14:textId="77777777" w:rsidR="00855935" w:rsidRPr="00BE78CA" w:rsidRDefault="00855935" w:rsidP="00855935">
      <w:pPr>
        <w:pStyle w:val="BodyText"/>
        <w:rPr>
          <w:bCs/>
        </w:rPr>
      </w:pPr>
      <w:r w:rsidRPr="00BE78CA">
        <w:rPr>
          <w:bCs/>
        </w:rPr>
        <w:t>In 2019, net emissions from the LULUCF sector were –27,425.1 kt CO</w:t>
      </w:r>
      <w:r w:rsidRPr="00BE78CA">
        <w:rPr>
          <w:bCs/>
          <w:vertAlign w:val="subscript"/>
        </w:rPr>
        <w:t>2</w:t>
      </w:r>
      <w:r w:rsidRPr="00BE78CA">
        <w:rPr>
          <w:bCs/>
        </w:rPr>
        <w:t>-e. This offset 33.3 per cent of New Zealand’s gross emissions.</w:t>
      </w:r>
    </w:p>
    <w:p w14:paraId="2860B469" w14:textId="77777777" w:rsidR="00855935" w:rsidRPr="00BE78CA" w:rsidRDefault="00855935" w:rsidP="00855935">
      <w:pPr>
        <w:pStyle w:val="BodyText"/>
      </w:pPr>
      <w:r w:rsidRPr="00BE78CA">
        <w:rPr>
          <w:bCs/>
        </w:rPr>
        <w:t>Between 1990 and 2019, the amount of CO</w:t>
      </w:r>
      <w:r w:rsidRPr="00BE78CA">
        <w:rPr>
          <w:bCs/>
          <w:vertAlign w:val="subscript"/>
        </w:rPr>
        <w:t>2</w:t>
      </w:r>
      <w:r w:rsidRPr="00BE78CA">
        <w:rPr>
          <w:bCs/>
        </w:rPr>
        <w:t>-e removed from the atmosphere by the LULUCF sector increased by 3,410.6 kt CO</w:t>
      </w:r>
      <w:r w:rsidRPr="00BE78CA">
        <w:rPr>
          <w:bCs/>
          <w:vertAlign w:val="subscript"/>
        </w:rPr>
        <w:t>2</w:t>
      </w:r>
      <w:r w:rsidRPr="00BE78CA">
        <w:rPr>
          <w:bCs/>
        </w:rPr>
        <w:t>-e (14.2 per cent) from the 1990 level of 24,014.5 kt CO</w:t>
      </w:r>
      <w:r w:rsidRPr="00BE78CA">
        <w:rPr>
          <w:bCs/>
          <w:vertAlign w:val="subscript"/>
        </w:rPr>
        <w:t>2</w:t>
      </w:r>
      <w:r w:rsidRPr="00BE78CA">
        <w:rPr>
          <w:bCs/>
        </w:rPr>
        <w:t>-e. This is largely due to increasing yields in plantation forests from improved genetics and management practices, the rapid expansion of afforestation in the 1990s and</w:t>
      </w:r>
      <w:r w:rsidRPr="00BE78CA">
        <w:t xml:space="preserve"> an increase in the production of harvested wood products, which have compensated for the emissions from the increase in forest harvesting.</w:t>
      </w:r>
    </w:p>
    <w:p w14:paraId="20F5D9EB" w14:textId="77777777" w:rsidR="00855935" w:rsidRPr="00BE78CA" w:rsidRDefault="00855935" w:rsidP="00855935">
      <w:pPr>
        <w:pStyle w:val="Heading4"/>
      </w:pPr>
      <w:bookmarkStart w:id="29" w:name="indirect-gases"/>
      <w:r w:rsidRPr="00BE78CA">
        <w:t>Indirect gases</w:t>
      </w:r>
      <w:bookmarkEnd w:id="29"/>
    </w:p>
    <w:p w14:paraId="12B5C193" w14:textId="77777777" w:rsidR="00855935" w:rsidRPr="00BE78CA" w:rsidRDefault="00855935" w:rsidP="00855935">
      <w:pPr>
        <w:pStyle w:val="BodyText"/>
      </w:pPr>
      <w:r w:rsidRPr="00BE78CA">
        <w:rPr>
          <w:spacing w:val="-2"/>
        </w:rPr>
        <w:t>Indirect GHGs are included in inventory reporting but are not counted in emissions totals. These</w:t>
      </w:r>
      <w:r w:rsidRPr="00BE78CA">
        <w:t xml:space="preserve"> indirect gases are carbon monoxide (CO), sulphur dioxide (SO</w:t>
      </w:r>
      <w:r w:rsidRPr="00BE78CA">
        <w:rPr>
          <w:vertAlign w:val="subscript"/>
        </w:rPr>
        <w:t>2</w:t>
      </w:r>
      <w:r w:rsidRPr="00BE78CA">
        <w:t>), oxides of nitrogen (NO</w:t>
      </w:r>
      <w:r w:rsidRPr="00BE78CA">
        <w:rPr>
          <w:vertAlign w:val="subscript"/>
        </w:rPr>
        <w:t>X</w:t>
      </w:r>
      <w:r w:rsidRPr="00BE78CA">
        <w:t>) and non-methane volatile organic compounds (NMVOCs). Table ES 3.2 summarises New Zealand’s indirect GHG emissions in 1990 and 2019 as well as the change between these years.</w:t>
      </w:r>
    </w:p>
    <w:p w14:paraId="61CFD687" w14:textId="670B0AF9" w:rsidR="00855935" w:rsidRPr="00BE78CA" w:rsidRDefault="00855935" w:rsidP="00042805">
      <w:pPr>
        <w:pStyle w:val="Table"/>
      </w:pPr>
      <w:bookmarkStart w:id="30" w:name="_Toc68786392"/>
      <w:r w:rsidRPr="00BE78CA">
        <w:lastRenderedPageBreak/>
        <w:t xml:space="preserve">Table ES 3.2 </w:t>
      </w:r>
      <w:r w:rsidR="007D2480" w:rsidRPr="00BE78CA">
        <w:tab/>
      </w:r>
      <w:r w:rsidRPr="00BE78CA">
        <w:t>New Zealand’s indirect greenhouse gas emissions (excluding LULUCF) in</w:t>
      </w:r>
      <w:r w:rsidR="00E21442" w:rsidRPr="00BE78CA">
        <w:t> </w:t>
      </w:r>
      <w:r w:rsidRPr="00BE78CA">
        <w:t>1990</w:t>
      </w:r>
      <w:r w:rsidR="00E21442" w:rsidRPr="00BE78CA">
        <w:t> </w:t>
      </w:r>
      <w:r w:rsidRPr="00BE78CA">
        <w:t>and</w:t>
      </w:r>
      <w:r w:rsidR="00E21442" w:rsidRPr="00BE78CA">
        <w:t> </w:t>
      </w:r>
      <w:r w:rsidRPr="00BE78CA">
        <w:t>2019</w:t>
      </w:r>
      <w:bookmarkEnd w:id="30"/>
    </w:p>
    <w:tbl>
      <w:tblPr>
        <w:tblW w:w="8505" w:type="dxa"/>
        <w:tblLayout w:type="fixed"/>
        <w:tblLook w:val="0420" w:firstRow="1" w:lastRow="0" w:firstColumn="0" w:lastColumn="0" w:noHBand="0" w:noVBand="1"/>
      </w:tblPr>
      <w:tblGrid>
        <w:gridCol w:w="2869"/>
        <w:gridCol w:w="995"/>
        <w:gridCol w:w="995"/>
        <w:gridCol w:w="1710"/>
        <w:gridCol w:w="1936"/>
      </w:tblGrid>
      <w:tr w:rsidR="00B512E4" w:rsidRPr="00BE78CA" w14:paraId="6841BAA3" w14:textId="77777777" w:rsidTr="00FE4BF5">
        <w:trPr>
          <w:cantSplit/>
          <w:tblHeader/>
        </w:trPr>
        <w:tc>
          <w:tcPr>
            <w:tcW w:w="2869" w:type="dxa"/>
            <w:tcBorders>
              <w:top w:val="single" w:sz="4" w:space="0" w:color="365F91"/>
              <w:bottom w:val="single" w:sz="4" w:space="0" w:color="365F91"/>
            </w:tcBorders>
            <w:shd w:val="clear" w:color="auto" w:fill="365F91"/>
            <w:tcMar>
              <w:top w:w="0" w:type="dxa"/>
              <w:left w:w="108" w:type="dxa"/>
              <w:bottom w:w="0" w:type="dxa"/>
              <w:right w:w="108" w:type="dxa"/>
            </w:tcMar>
            <w:vAlign w:val="bottom"/>
          </w:tcPr>
          <w:p w14:paraId="7D65E6BC" w14:textId="77777777" w:rsidR="00855935" w:rsidRPr="00BE78CA" w:rsidRDefault="00855935" w:rsidP="00EA4DF7">
            <w:pPr>
              <w:pStyle w:val="TableTextBold"/>
              <w:spacing w:before="50" w:after="50"/>
              <w:rPr>
                <w:noProof w:val="0"/>
                <w:color w:val="FFFFFF" w:themeColor="background1"/>
              </w:rPr>
            </w:pPr>
            <w:r w:rsidRPr="00BE78CA">
              <w:rPr>
                <w:rFonts w:eastAsia="Calibri"/>
                <w:noProof w:val="0"/>
                <w:color w:val="FFFFFF" w:themeColor="background1"/>
              </w:rPr>
              <w:t>Indirect greenhouse gas emissions</w:t>
            </w:r>
          </w:p>
        </w:tc>
        <w:tc>
          <w:tcPr>
            <w:tcW w:w="995" w:type="dxa"/>
            <w:tcBorders>
              <w:top w:val="single" w:sz="4" w:space="0" w:color="365F91"/>
              <w:bottom w:val="single" w:sz="4" w:space="0" w:color="365F91"/>
            </w:tcBorders>
            <w:shd w:val="clear" w:color="auto" w:fill="365F91"/>
            <w:tcMar>
              <w:top w:w="0" w:type="dxa"/>
              <w:left w:w="108" w:type="dxa"/>
              <w:bottom w:w="0" w:type="dxa"/>
              <w:right w:w="108" w:type="dxa"/>
            </w:tcMar>
            <w:vAlign w:val="bottom"/>
          </w:tcPr>
          <w:p w14:paraId="4951B780" w14:textId="77777777" w:rsidR="00855935" w:rsidRPr="00BE78CA" w:rsidRDefault="00855935" w:rsidP="00EA4DF7">
            <w:pPr>
              <w:pStyle w:val="TableTextBold"/>
              <w:spacing w:before="50" w:after="50"/>
              <w:jc w:val="right"/>
              <w:rPr>
                <w:noProof w:val="0"/>
                <w:color w:val="FFFFFF" w:themeColor="background1"/>
              </w:rPr>
            </w:pPr>
            <w:r w:rsidRPr="00BE78CA">
              <w:rPr>
                <w:rFonts w:eastAsia="Calibri"/>
                <w:noProof w:val="0"/>
                <w:color w:val="FFFFFF" w:themeColor="background1"/>
              </w:rPr>
              <w:t>1990</w:t>
            </w:r>
          </w:p>
        </w:tc>
        <w:tc>
          <w:tcPr>
            <w:tcW w:w="995" w:type="dxa"/>
            <w:tcBorders>
              <w:top w:val="single" w:sz="4" w:space="0" w:color="365F91"/>
              <w:bottom w:val="single" w:sz="4" w:space="0" w:color="365F91"/>
            </w:tcBorders>
            <w:shd w:val="clear" w:color="auto" w:fill="365F91"/>
            <w:tcMar>
              <w:top w:w="0" w:type="dxa"/>
              <w:left w:w="108" w:type="dxa"/>
              <w:bottom w:w="0" w:type="dxa"/>
              <w:right w:w="108" w:type="dxa"/>
            </w:tcMar>
            <w:vAlign w:val="bottom"/>
          </w:tcPr>
          <w:p w14:paraId="5EF9976B" w14:textId="77777777" w:rsidR="00855935" w:rsidRPr="00BE78CA" w:rsidRDefault="00855935" w:rsidP="00EA4DF7">
            <w:pPr>
              <w:pStyle w:val="TableTextBold"/>
              <w:spacing w:before="50" w:after="50"/>
              <w:jc w:val="right"/>
              <w:rPr>
                <w:noProof w:val="0"/>
                <w:color w:val="FFFFFF" w:themeColor="background1"/>
              </w:rPr>
            </w:pPr>
            <w:r w:rsidRPr="00BE78CA">
              <w:rPr>
                <w:rFonts w:eastAsia="Calibri"/>
                <w:noProof w:val="0"/>
                <w:color w:val="FFFFFF" w:themeColor="background1"/>
              </w:rPr>
              <w:t>2019</w:t>
            </w:r>
          </w:p>
        </w:tc>
        <w:tc>
          <w:tcPr>
            <w:tcW w:w="1710" w:type="dxa"/>
            <w:tcBorders>
              <w:top w:val="single" w:sz="4" w:space="0" w:color="365F91"/>
              <w:bottom w:val="single" w:sz="4" w:space="0" w:color="365F91"/>
            </w:tcBorders>
            <w:shd w:val="clear" w:color="auto" w:fill="365F91"/>
            <w:tcMar>
              <w:top w:w="0" w:type="dxa"/>
              <w:left w:w="108" w:type="dxa"/>
              <w:bottom w:w="0" w:type="dxa"/>
              <w:right w:w="108" w:type="dxa"/>
            </w:tcMar>
            <w:vAlign w:val="bottom"/>
          </w:tcPr>
          <w:p w14:paraId="2832CF9F" w14:textId="2C25CC73" w:rsidR="00855935" w:rsidRPr="00BE78CA" w:rsidRDefault="00855935" w:rsidP="00EA4DF7">
            <w:pPr>
              <w:pStyle w:val="TableTextBold"/>
              <w:spacing w:before="50" w:after="50"/>
              <w:jc w:val="right"/>
              <w:rPr>
                <w:noProof w:val="0"/>
                <w:color w:val="FFFFFF" w:themeColor="background1"/>
              </w:rPr>
            </w:pPr>
            <w:r w:rsidRPr="00BE78CA">
              <w:rPr>
                <w:rFonts w:eastAsia="Calibri"/>
                <w:noProof w:val="0"/>
                <w:color w:val="FFFFFF" w:themeColor="background1"/>
              </w:rPr>
              <w:t xml:space="preserve">Change from 1990 </w:t>
            </w:r>
            <w:r w:rsidR="00B512E4" w:rsidRPr="00BE78CA">
              <w:rPr>
                <w:rFonts w:eastAsia="Calibri"/>
                <w:noProof w:val="0"/>
                <w:color w:val="FFFFFF" w:themeColor="background1"/>
              </w:rPr>
              <w:br/>
            </w:r>
            <w:r w:rsidRPr="00BE78CA">
              <w:rPr>
                <w:rFonts w:eastAsia="Calibri"/>
                <w:noProof w:val="0"/>
                <w:color w:val="FFFFFF" w:themeColor="background1"/>
              </w:rPr>
              <w:t>(kt CO</w:t>
            </w:r>
            <w:r w:rsidRPr="00BE78CA">
              <w:rPr>
                <w:rFonts w:eastAsia="Calibri"/>
                <w:noProof w:val="0"/>
                <w:color w:val="FFFFFF" w:themeColor="background1"/>
                <w:vertAlign w:val="subscript"/>
              </w:rPr>
              <w:t>2</w:t>
            </w:r>
            <w:r w:rsidRPr="00BE78CA">
              <w:rPr>
                <w:rFonts w:eastAsia="Calibri"/>
                <w:noProof w:val="0"/>
                <w:color w:val="FFFFFF" w:themeColor="background1"/>
              </w:rPr>
              <w:t>-equivalent)</w:t>
            </w:r>
          </w:p>
        </w:tc>
        <w:tc>
          <w:tcPr>
            <w:tcW w:w="1936" w:type="dxa"/>
            <w:tcBorders>
              <w:top w:val="single" w:sz="4" w:space="0" w:color="365F91"/>
              <w:bottom w:val="single" w:sz="4" w:space="0" w:color="365F91"/>
            </w:tcBorders>
            <w:shd w:val="clear" w:color="auto" w:fill="365F91"/>
            <w:tcMar>
              <w:top w:w="0" w:type="dxa"/>
              <w:left w:w="108" w:type="dxa"/>
              <w:bottom w:w="0" w:type="dxa"/>
              <w:right w:w="108" w:type="dxa"/>
            </w:tcMar>
            <w:vAlign w:val="bottom"/>
          </w:tcPr>
          <w:p w14:paraId="4053C1E1" w14:textId="2DA2384D" w:rsidR="00855935" w:rsidRPr="00BE78CA" w:rsidRDefault="00855935" w:rsidP="00EA4DF7">
            <w:pPr>
              <w:pStyle w:val="TableTextBold"/>
              <w:spacing w:before="50" w:after="50"/>
              <w:jc w:val="right"/>
              <w:rPr>
                <w:noProof w:val="0"/>
                <w:color w:val="FFFFFF" w:themeColor="background1"/>
              </w:rPr>
            </w:pPr>
            <w:r w:rsidRPr="00BE78CA">
              <w:rPr>
                <w:rFonts w:eastAsia="Calibri"/>
                <w:noProof w:val="0"/>
                <w:color w:val="FFFFFF" w:themeColor="background1"/>
              </w:rPr>
              <w:t xml:space="preserve">Change from 1990 </w:t>
            </w:r>
            <w:r w:rsidR="00B512E4" w:rsidRPr="00BE78CA">
              <w:rPr>
                <w:rFonts w:eastAsia="Calibri"/>
                <w:noProof w:val="0"/>
                <w:color w:val="FFFFFF" w:themeColor="background1"/>
              </w:rPr>
              <w:br/>
            </w:r>
            <w:r w:rsidRPr="00BE78CA">
              <w:rPr>
                <w:rFonts w:eastAsia="Calibri"/>
                <w:noProof w:val="0"/>
                <w:color w:val="FFFFFF" w:themeColor="background1"/>
              </w:rPr>
              <w:t>(%)</w:t>
            </w:r>
          </w:p>
        </w:tc>
      </w:tr>
      <w:tr w:rsidR="00855935" w:rsidRPr="00BE78CA" w14:paraId="43062D91" w14:textId="77777777" w:rsidTr="00B512E4">
        <w:trPr>
          <w:cantSplit/>
        </w:trPr>
        <w:tc>
          <w:tcPr>
            <w:tcW w:w="2869" w:type="dxa"/>
            <w:tcBorders>
              <w:top w:val="single" w:sz="4" w:space="0" w:color="365F91"/>
              <w:left w:val="single" w:sz="4" w:space="0" w:color="FFFFFF"/>
              <w:bottom w:val="single" w:sz="8" w:space="0" w:color="365F91"/>
            </w:tcBorders>
            <w:shd w:val="clear" w:color="auto" w:fill="FFFFFF"/>
            <w:tcMar>
              <w:top w:w="0" w:type="dxa"/>
              <w:left w:w="108" w:type="dxa"/>
              <w:bottom w:w="0" w:type="dxa"/>
              <w:right w:w="108" w:type="dxa"/>
            </w:tcMar>
            <w:vAlign w:val="center"/>
          </w:tcPr>
          <w:p w14:paraId="3CA2009E" w14:textId="77777777" w:rsidR="00855935" w:rsidRPr="00BE78CA" w:rsidRDefault="00855935" w:rsidP="00EA4DF7">
            <w:pPr>
              <w:pStyle w:val="TableText"/>
              <w:spacing w:before="50" w:after="50"/>
            </w:pPr>
            <w:r w:rsidRPr="00BE78CA">
              <w:rPr>
                <w:rFonts w:eastAsia="Calibri"/>
              </w:rPr>
              <w:t>CO</w:t>
            </w:r>
          </w:p>
        </w:tc>
        <w:tc>
          <w:tcPr>
            <w:tcW w:w="995" w:type="dxa"/>
            <w:tcBorders>
              <w:top w:val="single" w:sz="4" w:space="0" w:color="365F91"/>
              <w:bottom w:val="single" w:sz="8" w:space="0" w:color="365F91"/>
            </w:tcBorders>
            <w:shd w:val="clear" w:color="auto" w:fill="FFFFFF"/>
            <w:tcMar>
              <w:top w:w="0" w:type="dxa"/>
              <w:left w:w="108" w:type="dxa"/>
              <w:bottom w:w="0" w:type="dxa"/>
              <w:right w:w="108" w:type="dxa"/>
            </w:tcMar>
            <w:vAlign w:val="center"/>
          </w:tcPr>
          <w:p w14:paraId="2DFE7B7A" w14:textId="77777777" w:rsidR="00855935" w:rsidRPr="00BE78CA" w:rsidRDefault="00855935" w:rsidP="00EA4DF7">
            <w:pPr>
              <w:pStyle w:val="TableText"/>
              <w:spacing w:before="50" w:after="50"/>
              <w:jc w:val="right"/>
            </w:pPr>
            <w:r w:rsidRPr="00BE78CA">
              <w:rPr>
                <w:rFonts w:eastAsia="Calibri"/>
              </w:rPr>
              <w:t xml:space="preserve"> 603.74</w:t>
            </w:r>
          </w:p>
        </w:tc>
        <w:tc>
          <w:tcPr>
            <w:tcW w:w="995" w:type="dxa"/>
            <w:tcBorders>
              <w:top w:val="single" w:sz="4" w:space="0" w:color="365F91"/>
              <w:bottom w:val="single" w:sz="8" w:space="0" w:color="365F91"/>
            </w:tcBorders>
            <w:shd w:val="clear" w:color="auto" w:fill="FFFFFF"/>
            <w:tcMar>
              <w:top w:w="0" w:type="dxa"/>
              <w:left w:w="108" w:type="dxa"/>
              <w:bottom w:w="0" w:type="dxa"/>
              <w:right w:w="108" w:type="dxa"/>
            </w:tcMar>
            <w:vAlign w:val="center"/>
          </w:tcPr>
          <w:p w14:paraId="16D3B524" w14:textId="77777777" w:rsidR="00855935" w:rsidRPr="00BE78CA" w:rsidRDefault="00855935" w:rsidP="00EA4DF7">
            <w:pPr>
              <w:pStyle w:val="TableText"/>
              <w:spacing w:before="50" w:after="50"/>
              <w:jc w:val="right"/>
            </w:pPr>
            <w:r w:rsidRPr="00BE78CA">
              <w:rPr>
                <w:rFonts w:eastAsia="Calibri"/>
              </w:rPr>
              <w:t xml:space="preserve"> 730.35</w:t>
            </w:r>
          </w:p>
        </w:tc>
        <w:tc>
          <w:tcPr>
            <w:tcW w:w="1710" w:type="dxa"/>
            <w:tcBorders>
              <w:top w:val="single" w:sz="4" w:space="0" w:color="365F91"/>
              <w:bottom w:val="single" w:sz="8" w:space="0" w:color="365F91"/>
            </w:tcBorders>
            <w:shd w:val="clear" w:color="auto" w:fill="FFFFFF"/>
            <w:tcMar>
              <w:top w:w="0" w:type="dxa"/>
              <w:left w:w="108" w:type="dxa"/>
              <w:bottom w:w="0" w:type="dxa"/>
              <w:right w:w="108" w:type="dxa"/>
            </w:tcMar>
            <w:vAlign w:val="center"/>
          </w:tcPr>
          <w:p w14:paraId="52D8D3EF" w14:textId="77777777" w:rsidR="00855935" w:rsidRPr="00BE78CA" w:rsidRDefault="00855935" w:rsidP="00EA4DF7">
            <w:pPr>
              <w:pStyle w:val="TableText"/>
              <w:spacing w:before="50" w:after="50"/>
              <w:jc w:val="right"/>
            </w:pPr>
            <w:r w:rsidRPr="00BE78CA">
              <w:rPr>
                <w:rFonts w:eastAsia="Calibri"/>
              </w:rPr>
              <w:t xml:space="preserve"> 126.60</w:t>
            </w:r>
          </w:p>
        </w:tc>
        <w:tc>
          <w:tcPr>
            <w:tcW w:w="1936" w:type="dxa"/>
            <w:tcBorders>
              <w:top w:val="single" w:sz="4" w:space="0" w:color="365F91"/>
              <w:bottom w:val="single" w:sz="8" w:space="0" w:color="365F91"/>
              <w:right w:val="single" w:sz="4" w:space="0" w:color="FFFFFF"/>
            </w:tcBorders>
            <w:shd w:val="clear" w:color="auto" w:fill="FFFFFF"/>
            <w:tcMar>
              <w:top w:w="0" w:type="dxa"/>
              <w:left w:w="108" w:type="dxa"/>
              <w:bottom w:w="0" w:type="dxa"/>
              <w:right w:w="108" w:type="dxa"/>
            </w:tcMar>
            <w:vAlign w:val="center"/>
          </w:tcPr>
          <w:p w14:paraId="634757F5" w14:textId="77777777" w:rsidR="00855935" w:rsidRPr="00BE78CA" w:rsidRDefault="00855935" w:rsidP="00EA4DF7">
            <w:pPr>
              <w:pStyle w:val="TableText"/>
              <w:spacing w:before="50" w:after="50"/>
              <w:jc w:val="right"/>
            </w:pPr>
            <w:r w:rsidRPr="00BE78CA">
              <w:rPr>
                <w:rFonts w:eastAsia="Calibri"/>
              </w:rPr>
              <w:t>20.97</w:t>
            </w:r>
          </w:p>
        </w:tc>
      </w:tr>
      <w:tr w:rsidR="00855935" w:rsidRPr="00BE78CA" w14:paraId="312213E5" w14:textId="77777777" w:rsidTr="00B512E4">
        <w:trPr>
          <w:cantSplit/>
        </w:trPr>
        <w:tc>
          <w:tcPr>
            <w:tcW w:w="2869" w:type="dxa"/>
            <w:tcBorders>
              <w:top w:val="single" w:sz="8" w:space="0" w:color="365F91"/>
              <w:left w:val="single" w:sz="4" w:space="0" w:color="FFFFFF"/>
              <w:bottom w:val="single" w:sz="8" w:space="0" w:color="365F91"/>
            </w:tcBorders>
            <w:shd w:val="clear" w:color="auto" w:fill="FFFFFF"/>
            <w:tcMar>
              <w:top w:w="0" w:type="dxa"/>
              <w:left w:w="108" w:type="dxa"/>
              <w:bottom w:w="0" w:type="dxa"/>
              <w:right w:w="108" w:type="dxa"/>
            </w:tcMar>
            <w:vAlign w:val="center"/>
          </w:tcPr>
          <w:p w14:paraId="5F0EEC2A" w14:textId="77777777" w:rsidR="00855935" w:rsidRPr="00BE78CA" w:rsidRDefault="00855935" w:rsidP="00EA4DF7">
            <w:pPr>
              <w:pStyle w:val="TableText"/>
              <w:spacing w:before="50" w:after="50"/>
            </w:pPr>
            <w:r w:rsidRPr="00BE78CA">
              <w:rPr>
                <w:rFonts w:eastAsia="Calibri"/>
              </w:rPr>
              <w:t>NMVOCs</w:t>
            </w:r>
          </w:p>
        </w:tc>
        <w:tc>
          <w:tcPr>
            <w:tcW w:w="995" w:type="dxa"/>
            <w:tcBorders>
              <w:top w:val="single" w:sz="8" w:space="0" w:color="365F91"/>
              <w:bottom w:val="single" w:sz="8" w:space="0" w:color="365F91"/>
            </w:tcBorders>
            <w:shd w:val="clear" w:color="auto" w:fill="FFFFFF"/>
            <w:tcMar>
              <w:top w:w="0" w:type="dxa"/>
              <w:left w:w="108" w:type="dxa"/>
              <w:bottom w:w="0" w:type="dxa"/>
              <w:right w:w="108" w:type="dxa"/>
            </w:tcMar>
            <w:vAlign w:val="center"/>
          </w:tcPr>
          <w:p w14:paraId="5A86F4F4" w14:textId="77777777" w:rsidR="00855935" w:rsidRPr="00BE78CA" w:rsidRDefault="00855935" w:rsidP="00EA4DF7">
            <w:pPr>
              <w:pStyle w:val="TableText"/>
              <w:spacing w:before="50" w:after="50"/>
              <w:jc w:val="right"/>
            </w:pPr>
            <w:r w:rsidRPr="00BE78CA">
              <w:rPr>
                <w:rFonts w:eastAsia="Calibri"/>
              </w:rPr>
              <w:t>14,288.76</w:t>
            </w:r>
          </w:p>
        </w:tc>
        <w:tc>
          <w:tcPr>
            <w:tcW w:w="995" w:type="dxa"/>
            <w:tcBorders>
              <w:top w:val="single" w:sz="8" w:space="0" w:color="365F91"/>
              <w:bottom w:val="single" w:sz="8" w:space="0" w:color="365F91"/>
            </w:tcBorders>
            <w:shd w:val="clear" w:color="auto" w:fill="FFFFFF"/>
            <w:tcMar>
              <w:top w:w="0" w:type="dxa"/>
              <w:left w:w="108" w:type="dxa"/>
              <w:bottom w:w="0" w:type="dxa"/>
              <w:right w:w="108" w:type="dxa"/>
            </w:tcMar>
            <w:vAlign w:val="center"/>
          </w:tcPr>
          <w:p w14:paraId="06700B7D" w14:textId="77777777" w:rsidR="00855935" w:rsidRPr="00BE78CA" w:rsidRDefault="00855935" w:rsidP="00EA4DF7">
            <w:pPr>
              <w:pStyle w:val="TableText"/>
              <w:spacing w:before="50" w:after="50"/>
              <w:jc w:val="right"/>
            </w:pPr>
            <w:r w:rsidRPr="00BE78CA">
              <w:rPr>
                <w:rFonts w:eastAsia="Calibri"/>
              </w:rPr>
              <w:t>15,726.04</w:t>
            </w:r>
          </w:p>
        </w:tc>
        <w:tc>
          <w:tcPr>
            <w:tcW w:w="1710" w:type="dxa"/>
            <w:tcBorders>
              <w:top w:val="single" w:sz="8" w:space="0" w:color="365F91"/>
              <w:bottom w:val="single" w:sz="8" w:space="0" w:color="365F91"/>
            </w:tcBorders>
            <w:shd w:val="clear" w:color="auto" w:fill="FFFFFF"/>
            <w:tcMar>
              <w:top w:w="0" w:type="dxa"/>
              <w:left w:w="108" w:type="dxa"/>
              <w:bottom w:w="0" w:type="dxa"/>
              <w:right w:w="108" w:type="dxa"/>
            </w:tcMar>
            <w:vAlign w:val="center"/>
          </w:tcPr>
          <w:p w14:paraId="13755B88" w14:textId="77777777" w:rsidR="00855935" w:rsidRPr="00BE78CA" w:rsidRDefault="00855935" w:rsidP="00EA4DF7">
            <w:pPr>
              <w:pStyle w:val="TableText"/>
              <w:spacing w:before="50" w:after="50"/>
              <w:jc w:val="right"/>
            </w:pPr>
            <w:r w:rsidRPr="00BE78CA">
              <w:rPr>
                <w:rFonts w:eastAsia="Calibri"/>
              </w:rPr>
              <w:t>1,437.28</w:t>
            </w:r>
          </w:p>
        </w:tc>
        <w:tc>
          <w:tcPr>
            <w:tcW w:w="1936" w:type="dxa"/>
            <w:tcBorders>
              <w:top w:val="single" w:sz="8" w:space="0" w:color="365F91"/>
              <w:bottom w:val="single" w:sz="8" w:space="0" w:color="365F91"/>
              <w:right w:val="single" w:sz="4" w:space="0" w:color="FFFFFF"/>
            </w:tcBorders>
            <w:shd w:val="clear" w:color="auto" w:fill="FFFFFF"/>
            <w:tcMar>
              <w:top w:w="0" w:type="dxa"/>
              <w:left w:w="108" w:type="dxa"/>
              <w:bottom w:w="0" w:type="dxa"/>
              <w:right w:w="108" w:type="dxa"/>
            </w:tcMar>
            <w:vAlign w:val="center"/>
          </w:tcPr>
          <w:p w14:paraId="18452ED3" w14:textId="77777777" w:rsidR="00855935" w:rsidRPr="00BE78CA" w:rsidRDefault="00855935" w:rsidP="00EA4DF7">
            <w:pPr>
              <w:pStyle w:val="TableText"/>
              <w:spacing w:before="50" w:after="50"/>
              <w:jc w:val="right"/>
            </w:pPr>
            <w:r w:rsidRPr="00BE78CA">
              <w:rPr>
                <w:rFonts w:eastAsia="Calibri"/>
              </w:rPr>
              <w:t>10.06</w:t>
            </w:r>
          </w:p>
        </w:tc>
      </w:tr>
      <w:tr w:rsidR="00855935" w:rsidRPr="00BE78CA" w14:paraId="1F9F7BB8" w14:textId="77777777" w:rsidTr="00B512E4">
        <w:trPr>
          <w:cantSplit/>
        </w:trPr>
        <w:tc>
          <w:tcPr>
            <w:tcW w:w="2869" w:type="dxa"/>
            <w:tcBorders>
              <w:top w:val="single" w:sz="8" w:space="0" w:color="365F91"/>
              <w:left w:val="single" w:sz="4" w:space="0" w:color="FFFFFF"/>
              <w:bottom w:val="single" w:sz="8" w:space="0" w:color="365F91"/>
            </w:tcBorders>
            <w:shd w:val="clear" w:color="auto" w:fill="FFFFFF"/>
            <w:tcMar>
              <w:top w:w="0" w:type="dxa"/>
              <w:left w:w="108" w:type="dxa"/>
              <w:bottom w:w="0" w:type="dxa"/>
              <w:right w:w="108" w:type="dxa"/>
            </w:tcMar>
            <w:vAlign w:val="center"/>
          </w:tcPr>
          <w:p w14:paraId="0361F75C" w14:textId="77777777" w:rsidR="00855935" w:rsidRPr="00BE78CA" w:rsidRDefault="00855935" w:rsidP="00EA4DF7">
            <w:pPr>
              <w:pStyle w:val="TableText"/>
              <w:spacing w:before="50" w:after="50"/>
            </w:pPr>
            <w:r w:rsidRPr="00BE78CA">
              <w:rPr>
                <w:rFonts w:eastAsia="Calibri"/>
              </w:rPr>
              <w:t>NO</w:t>
            </w:r>
            <w:r w:rsidRPr="00BE78CA">
              <w:rPr>
                <w:rFonts w:eastAsia="Calibri"/>
                <w:vertAlign w:val="subscript"/>
              </w:rPr>
              <w:t>X</w:t>
            </w:r>
          </w:p>
        </w:tc>
        <w:tc>
          <w:tcPr>
            <w:tcW w:w="995" w:type="dxa"/>
            <w:tcBorders>
              <w:top w:val="single" w:sz="8" w:space="0" w:color="365F91"/>
              <w:bottom w:val="single" w:sz="8" w:space="0" w:color="365F91"/>
            </w:tcBorders>
            <w:shd w:val="clear" w:color="auto" w:fill="FFFFFF"/>
            <w:tcMar>
              <w:top w:w="0" w:type="dxa"/>
              <w:left w:w="108" w:type="dxa"/>
              <w:bottom w:w="0" w:type="dxa"/>
              <w:right w:w="108" w:type="dxa"/>
            </w:tcMar>
            <w:vAlign w:val="center"/>
          </w:tcPr>
          <w:p w14:paraId="605B3C9E" w14:textId="77777777" w:rsidR="00855935" w:rsidRPr="00BE78CA" w:rsidRDefault="00855935" w:rsidP="00EA4DF7">
            <w:pPr>
              <w:pStyle w:val="TableText"/>
              <w:spacing w:before="50" w:after="50"/>
              <w:jc w:val="right"/>
            </w:pPr>
            <w:r w:rsidRPr="00BE78CA">
              <w:rPr>
                <w:rFonts w:eastAsia="Calibri"/>
              </w:rPr>
              <w:t xml:space="preserve"> 101.95</w:t>
            </w:r>
          </w:p>
        </w:tc>
        <w:tc>
          <w:tcPr>
            <w:tcW w:w="995" w:type="dxa"/>
            <w:tcBorders>
              <w:top w:val="single" w:sz="8" w:space="0" w:color="365F91"/>
              <w:bottom w:val="single" w:sz="8" w:space="0" w:color="365F91"/>
            </w:tcBorders>
            <w:shd w:val="clear" w:color="auto" w:fill="FFFFFF"/>
            <w:tcMar>
              <w:top w:w="0" w:type="dxa"/>
              <w:left w:w="108" w:type="dxa"/>
              <w:bottom w:w="0" w:type="dxa"/>
              <w:right w:w="108" w:type="dxa"/>
            </w:tcMar>
            <w:vAlign w:val="center"/>
          </w:tcPr>
          <w:p w14:paraId="27315C15" w14:textId="77777777" w:rsidR="00855935" w:rsidRPr="00BE78CA" w:rsidRDefault="00855935" w:rsidP="00EA4DF7">
            <w:pPr>
              <w:pStyle w:val="TableText"/>
              <w:spacing w:before="50" w:after="50"/>
              <w:jc w:val="right"/>
            </w:pPr>
            <w:r w:rsidRPr="00BE78CA">
              <w:rPr>
                <w:rFonts w:eastAsia="Calibri"/>
              </w:rPr>
              <w:t xml:space="preserve"> 176.55</w:t>
            </w:r>
          </w:p>
        </w:tc>
        <w:tc>
          <w:tcPr>
            <w:tcW w:w="1710" w:type="dxa"/>
            <w:tcBorders>
              <w:top w:val="single" w:sz="8" w:space="0" w:color="365F91"/>
              <w:bottom w:val="single" w:sz="8" w:space="0" w:color="365F91"/>
            </w:tcBorders>
            <w:shd w:val="clear" w:color="auto" w:fill="FFFFFF"/>
            <w:tcMar>
              <w:top w:w="0" w:type="dxa"/>
              <w:left w:w="108" w:type="dxa"/>
              <w:bottom w:w="0" w:type="dxa"/>
              <w:right w:w="108" w:type="dxa"/>
            </w:tcMar>
            <w:vAlign w:val="center"/>
          </w:tcPr>
          <w:p w14:paraId="2BA64D93" w14:textId="77777777" w:rsidR="00855935" w:rsidRPr="00BE78CA" w:rsidRDefault="00855935" w:rsidP="00EA4DF7">
            <w:pPr>
              <w:pStyle w:val="TableText"/>
              <w:spacing w:before="50" w:after="50"/>
              <w:jc w:val="right"/>
            </w:pPr>
            <w:r w:rsidRPr="00BE78CA">
              <w:rPr>
                <w:rFonts w:eastAsia="Calibri"/>
              </w:rPr>
              <w:t xml:space="preserve"> 74.60</w:t>
            </w:r>
          </w:p>
        </w:tc>
        <w:tc>
          <w:tcPr>
            <w:tcW w:w="1936" w:type="dxa"/>
            <w:tcBorders>
              <w:top w:val="single" w:sz="8" w:space="0" w:color="365F91"/>
              <w:bottom w:val="single" w:sz="8" w:space="0" w:color="365F91"/>
              <w:right w:val="single" w:sz="4" w:space="0" w:color="FFFFFF"/>
            </w:tcBorders>
            <w:shd w:val="clear" w:color="auto" w:fill="FFFFFF"/>
            <w:tcMar>
              <w:top w:w="0" w:type="dxa"/>
              <w:left w:w="108" w:type="dxa"/>
              <w:bottom w:w="0" w:type="dxa"/>
              <w:right w:w="108" w:type="dxa"/>
            </w:tcMar>
            <w:vAlign w:val="center"/>
          </w:tcPr>
          <w:p w14:paraId="25FABFDE" w14:textId="77777777" w:rsidR="00855935" w:rsidRPr="00BE78CA" w:rsidRDefault="00855935" w:rsidP="00EA4DF7">
            <w:pPr>
              <w:pStyle w:val="TableText"/>
              <w:spacing w:before="50" w:after="50"/>
              <w:jc w:val="right"/>
            </w:pPr>
            <w:r w:rsidRPr="00BE78CA">
              <w:rPr>
                <w:rFonts w:eastAsia="Calibri"/>
              </w:rPr>
              <w:t>73.18</w:t>
            </w:r>
          </w:p>
        </w:tc>
      </w:tr>
      <w:tr w:rsidR="00855935" w:rsidRPr="00BE78CA" w14:paraId="384F718F" w14:textId="77777777" w:rsidTr="00B512E4">
        <w:trPr>
          <w:cantSplit/>
        </w:trPr>
        <w:tc>
          <w:tcPr>
            <w:tcW w:w="2869" w:type="dxa"/>
            <w:tcBorders>
              <w:top w:val="single" w:sz="8" w:space="0" w:color="365F91"/>
              <w:left w:val="single" w:sz="4" w:space="0" w:color="FFFFFF"/>
              <w:bottom w:val="single" w:sz="4" w:space="0" w:color="365F91"/>
            </w:tcBorders>
            <w:shd w:val="clear" w:color="auto" w:fill="FFFFFF"/>
            <w:tcMar>
              <w:top w:w="0" w:type="dxa"/>
              <w:left w:w="108" w:type="dxa"/>
              <w:bottom w:w="0" w:type="dxa"/>
              <w:right w:w="108" w:type="dxa"/>
            </w:tcMar>
            <w:vAlign w:val="center"/>
          </w:tcPr>
          <w:p w14:paraId="445A140A" w14:textId="77777777" w:rsidR="00855935" w:rsidRPr="00BE78CA" w:rsidRDefault="00855935" w:rsidP="00EA4DF7">
            <w:pPr>
              <w:pStyle w:val="TableText"/>
              <w:spacing w:before="50" w:after="50"/>
            </w:pPr>
            <w:r w:rsidRPr="00BE78CA">
              <w:rPr>
                <w:rFonts w:eastAsia="Calibri"/>
              </w:rPr>
              <w:t>SO</w:t>
            </w:r>
            <w:r w:rsidRPr="00BE78CA">
              <w:rPr>
                <w:rFonts w:eastAsia="Calibri"/>
                <w:vertAlign w:val="subscript"/>
              </w:rPr>
              <w:t>2</w:t>
            </w:r>
          </w:p>
        </w:tc>
        <w:tc>
          <w:tcPr>
            <w:tcW w:w="995" w:type="dxa"/>
            <w:tcBorders>
              <w:top w:val="single" w:sz="8" w:space="0" w:color="365F91"/>
              <w:bottom w:val="single" w:sz="4" w:space="0" w:color="365F91"/>
            </w:tcBorders>
            <w:shd w:val="clear" w:color="auto" w:fill="FFFFFF"/>
            <w:tcMar>
              <w:top w:w="0" w:type="dxa"/>
              <w:left w:w="108" w:type="dxa"/>
              <w:bottom w:w="0" w:type="dxa"/>
              <w:right w:w="108" w:type="dxa"/>
            </w:tcMar>
            <w:vAlign w:val="center"/>
          </w:tcPr>
          <w:p w14:paraId="4EBFA770" w14:textId="4356B152" w:rsidR="00855935" w:rsidRPr="00BE78CA" w:rsidRDefault="00855935" w:rsidP="00EA4DF7">
            <w:pPr>
              <w:pStyle w:val="TableText"/>
              <w:spacing w:before="50" w:after="50"/>
              <w:jc w:val="right"/>
            </w:pPr>
            <w:r w:rsidRPr="00BE78CA">
              <w:rPr>
                <w:rFonts w:eastAsia="Calibri"/>
              </w:rPr>
              <w:t>57.09</w:t>
            </w:r>
          </w:p>
        </w:tc>
        <w:tc>
          <w:tcPr>
            <w:tcW w:w="995" w:type="dxa"/>
            <w:tcBorders>
              <w:top w:val="single" w:sz="8" w:space="0" w:color="365F91"/>
              <w:bottom w:val="single" w:sz="4" w:space="0" w:color="365F91"/>
            </w:tcBorders>
            <w:shd w:val="clear" w:color="auto" w:fill="FFFFFF"/>
            <w:tcMar>
              <w:top w:w="0" w:type="dxa"/>
              <w:left w:w="108" w:type="dxa"/>
              <w:bottom w:w="0" w:type="dxa"/>
              <w:right w:w="108" w:type="dxa"/>
            </w:tcMar>
            <w:vAlign w:val="center"/>
          </w:tcPr>
          <w:p w14:paraId="29874B6E" w14:textId="77777777" w:rsidR="00855935" w:rsidRPr="00BE78CA" w:rsidRDefault="00855935" w:rsidP="00EA4DF7">
            <w:pPr>
              <w:pStyle w:val="TableText"/>
              <w:spacing w:before="50" w:after="50"/>
              <w:jc w:val="right"/>
            </w:pPr>
            <w:r w:rsidRPr="00BE78CA">
              <w:rPr>
                <w:rFonts w:eastAsia="Calibri"/>
              </w:rPr>
              <w:t xml:space="preserve"> 79.29</w:t>
            </w:r>
          </w:p>
        </w:tc>
        <w:tc>
          <w:tcPr>
            <w:tcW w:w="1710" w:type="dxa"/>
            <w:tcBorders>
              <w:top w:val="single" w:sz="8" w:space="0" w:color="365F91"/>
              <w:bottom w:val="single" w:sz="4" w:space="0" w:color="365F91"/>
            </w:tcBorders>
            <w:shd w:val="clear" w:color="auto" w:fill="FFFFFF"/>
            <w:tcMar>
              <w:top w:w="0" w:type="dxa"/>
              <w:left w:w="108" w:type="dxa"/>
              <w:bottom w:w="0" w:type="dxa"/>
              <w:right w:w="108" w:type="dxa"/>
            </w:tcMar>
            <w:vAlign w:val="center"/>
          </w:tcPr>
          <w:p w14:paraId="46658956" w14:textId="77777777" w:rsidR="00855935" w:rsidRPr="00BE78CA" w:rsidRDefault="00855935" w:rsidP="00EA4DF7">
            <w:pPr>
              <w:pStyle w:val="TableText"/>
              <w:spacing w:before="50" w:after="50"/>
              <w:jc w:val="right"/>
            </w:pPr>
            <w:r w:rsidRPr="00BE78CA">
              <w:rPr>
                <w:rFonts w:eastAsia="Calibri"/>
              </w:rPr>
              <w:t xml:space="preserve"> 22.20</w:t>
            </w:r>
          </w:p>
        </w:tc>
        <w:tc>
          <w:tcPr>
            <w:tcW w:w="1936" w:type="dxa"/>
            <w:tcBorders>
              <w:top w:val="single" w:sz="8" w:space="0" w:color="365F91"/>
              <w:bottom w:val="single" w:sz="4" w:space="0" w:color="365F91"/>
              <w:right w:val="single" w:sz="4" w:space="0" w:color="FFFFFF"/>
            </w:tcBorders>
            <w:shd w:val="clear" w:color="auto" w:fill="FFFFFF"/>
            <w:tcMar>
              <w:top w:w="0" w:type="dxa"/>
              <w:left w:w="108" w:type="dxa"/>
              <w:bottom w:w="0" w:type="dxa"/>
              <w:right w:w="108" w:type="dxa"/>
            </w:tcMar>
            <w:vAlign w:val="center"/>
          </w:tcPr>
          <w:p w14:paraId="405281EF" w14:textId="77777777" w:rsidR="00855935" w:rsidRPr="00BE78CA" w:rsidRDefault="00855935" w:rsidP="00EA4DF7">
            <w:pPr>
              <w:pStyle w:val="TableText"/>
              <w:spacing w:before="50" w:after="50"/>
              <w:jc w:val="right"/>
            </w:pPr>
            <w:r w:rsidRPr="00BE78CA">
              <w:rPr>
                <w:rFonts w:eastAsia="Calibri"/>
              </w:rPr>
              <w:t>38.89</w:t>
            </w:r>
          </w:p>
        </w:tc>
      </w:tr>
    </w:tbl>
    <w:p w14:paraId="5AC45C94" w14:textId="412117FE" w:rsidR="00855935" w:rsidRPr="00BE78CA" w:rsidRDefault="00855935" w:rsidP="00855935">
      <w:pPr>
        <w:pStyle w:val="Noteundertable"/>
      </w:pPr>
      <w:r w:rsidRPr="00BE78CA">
        <w:rPr>
          <w:b/>
        </w:rPr>
        <w:t>Note:</w:t>
      </w:r>
      <w:r w:rsidRPr="00BE78CA">
        <w:t xml:space="preserve"> </w:t>
      </w:r>
      <w:r w:rsidR="00B512E4" w:rsidRPr="00BE78CA">
        <w:tab/>
      </w:r>
      <w:r w:rsidRPr="00BE78CA">
        <w:t>Columns may not total due to rounding. Percentages presented are calculated from unrounded values.</w:t>
      </w:r>
    </w:p>
    <w:p w14:paraId="3A208D9B" w14:textId="6FDD7E56" w:rsidR="00855935" w:rsidRPr="00BE78CA" w:rsidRDefault="00855935" w:rsidP="00855935">
      <w:pPr>
        <w:pStyle w:val="Heading2"/>
      </w:pPr>
      <w:bookmarkStart w:id="31" w:name="es.4-sector-trends"/>
      <w:bookmarkStart w:id="32" w:name="_Toc68786282"/>
      <w:r w:rsidRPr="00BE78CA">
        <w:t xml:space="preserve">ES.4 </w:t>
      </w:r>
      <w:r w:rsidR="00B512E4" w:rsidRPr="00BE78CA">
        <w:tab/>
      </w:r>
      <w:r w:rsidRPr="00BE78CA">
        <w:t>Sector trends</w:t>
      </w:r>
      <w:bookmarkEnd w:id="31"/>
      <w:bookmarkEnd w:id="32"/>
    </w:p>
    <w:p w14:paraId="0DE5461C" w14:textId="1F44AA7F" w:rsidR="00855935" w:rsidRPr="00BE78CA" w:rsidRDefault="00855935" w:rsidP="00855935">
      <w:pPr>
        <w:pStyle w:val="BodyText"/>
      </w:pPr>
      <w:r w:rsidRPr="00BE78CA">
        <w:t>The Agriculture and Energy sectors dominate New Zealand’s gross emissions. Together, these sectors produced almost 90 per cent of New Zealand’s annual gross GHG emissions from 1990 to 2019. The IPPU and Waste sectors produce relatively small amounts of GHGs, contributing between 4 per cent and 7 per cent to the annual gross emissions for the entire time series. Figure ES 4.1 shows the proportion that each inventory sector contributed to New Zealand’s gross emissions, as well as the proportion of gross emissions offset by the LULUCF sector, which was a net GHG sink between 1990 and 2019.</w:t>
      </w:r>
    </w:p>
    <w:p w14:paraId="2FBF48A2" w14:textId="4B08DA6D" w:rsidR="00855935" w:rsidRPr="00BE78CA" w:rsidRDefault="00855935" w:rsidP="00855935">
      <w:pPr>
        <w:pStyle w:val="Figure"/>
      </w:pPr>
      <w:bookmarkStart w:id="33" w:name="_Toc68786614"/>
      <w:r w:rsidRPr="00BE78CA">
        <w:t xml:space="preserve">Figure ES 4.1 </w:t>
      </w:r>
      <w:r w:rsidR="00EA4DF7" w:rsidRPr="00BE78CA">
        <w:tab/>
      </w:r>
      <w:r w:rsidRPr="00BE78CA">
        <w:t>Changes in New Zealand’s gross emissions profile by sector from 1990 to 2019</w:t>
      </w:r>
      <w:bookmarkEnd w:id="33"/>
    </w:p>
    <w:p w14:paraId="58524BFC" w14:textId="77777777" w:rsidR="00855935" w:rsidRPr="00BE78CA" w:rsidRDefault="00855935" w:rsidP="00855935">
      <w:pPr>
        <w:pStyle w:val="BodyText"/>
      </w:pPr>
      <w:r w:rsidRPr="00BE78CA">
        <w:rPr>
          <w:noProof/>
        </w:rPr>
        <w:drawing>
          <wp:inline distT="0" distB="0" distL="0" distR="0" wp14:anchorId="599EBB61" wp14:editId="39876675">
            <wp:extent cx="5397500" cy="4048125"/>
            <wp:effectExtent l="0" t="0" r="0" b="0"/>
            <wp:docPr id="4" name="Picture"/>
            <wp:cNvGraphicFramePr/>
            <a:graphic xmlns:a="http://schemas.openxmlformats.org/drawingml/2006/main">
              <a:graphicData uri="http://schemas.openxmlformats.org/drawingml/2006/picture">
                <pic:pic xmlns:pic="http://schemas.openxmlformats.org/drawingml/2006/picture">
                  <pic:nvPicPr>
                    <pic:cNvPr id="0" name="Picture" descr="code/graphs/images/es_4_1_crf.png"/>
                    <pic:cNvPicPr>
                      <a:picLocks noChangeAspect="1" noChangeArrowheads="1"/>
                    </pic:cNvPicPr>
                  </pic:nvPicPr>
                  <pic:blipFill>
                    <a:blip r:embed="rId23"/>
                    <a:stretch>
                      <a:fillRect/>
                    </a:stretch>
                  </pic:blipFill>
                  <pic:spPr bwMode="auto">
                    <a:xfrm>
                      <a:off x="0" y="0"/>
                      <a:ext cx="5397500" cy="4048125"/>
                    </a:xfrm>
                    <a:prstGeom prst="rect">
                      <a:avLst/>
                    </a:prstGeom>
                    <a:noFill/>
                    <a:ln w="9525">
                      <a:noFill/>
                      <a:headEnd/>
                      <a:tailEnd/>
                    </a:ln>
                  </pic:spPr>
                </pic:pic>
              </a:graphicData>
            </a:graphic>
          </wp:inline>
        </w:drawing>
      </w:r>
    </w:p>
    <w:p w14:paraId="6839FA48" w14:textId="2DB074EB" w:rsidR="00855935" w:rsidRPr="00BE78CA" w:rsidRDefault="00855935" w:rsidP="00855935">
      <w:pPr>
        <w:pStyle w:val="Noteundertable"/>
      </w:pPr>
      <w:r w:rsidRPr="00BE78CA">
        <w:rPr>
          <w:b/>
        </w:rPr>
        <w:t>Note:</w:t>
      </w:r>
      <w:r w:rsidRPr="00BE78CA">
        <w:t xml:space="preserve"> </w:t>
      </w:r>
      <w:r w:rsidR="00EA4DF7" w:rsidRPr="00BE78CA">
        <w:tab/>
      </w:r>
      <w:r w:rsidRPr="00BE78CA">
        <w:t>Net removals from the LULUCF sector are as reported under the Convention (see chapter 6).</w:t>
      </w:r>
    </w:p>
    <w:p w14:paraId="1343800A" w14:textId="77777777" w:rsidR="00855935" w:rsidRPr="00BE78CA" w:rsidRDefault="00855935" w:rsidP="00EA4DF7">
      <w:pPr>
        <w:pStyle w:val="BodyText"/>
        <w:keepLines/>
      </w:pPr>
      <w:r w:rsidRPr="00BE78CA">
        <w:lastRenderedPageBreak/>
        <w:t>Figure ES 4.2 shows emissions by sector in 2019. Agriculture was New Zealand’s largest sector contributing (48.1 per cent of the gross emissions). New Zealand’s Energy sector contributed 41.6 per cent to the gross emissions, while the IPPU and Waste sectors contributed 6.2 per cent and 4.0 per cent to the gross emissions respectively.</w:t>
      </w:r>
    </w:p>
    <w:p w14:paraId="1F93B7FB" w14:textId="562871B9" w:rsidR="00855935" w:rsidRPr="00BE78CA" w:rsidRDefault="00855935" w:rsidP="00EA4DF7">
      <w:pPr>
        <w:pStyle w:val="Figure"/>
        <w:spacing w:after="40"/>
      </w:pPr>
      <w:bookmarkStart w:id="34" w:name="_Toc68786615"/>
      <w:r w:rsidRPr="00BE78CA">
        <w:t xml:space="preserve">Figure ES 4.2 </w:t>
      </w:r>
      <w:r w:rsidR="00EA4DF7" w:rsidRPr="00BE78CA">
        <w:tab/>
      </w:r>
      <w:r w:rsidRPr="00BE78CA">
        <w:t>New Zealand’s emissions by sector in 2019</w:t>
      </w:r>
      <w:bookmarkEnd w:id="34"/>
    </w:p>
    <w:p w14:paraId="0105E271" w14:textId="77777777" w:rsidR="00855935" w:rsidRPr="00BE78CA" w:rsidRDefault="00855935" w:rsidP="00EA4DF7">
      <w:pPr>
        <w:pStyle w:val="BodyText"/>
      </w:pPr>
      <w:r w:rsidRPr="00BE78CA">
        <w:rPr>
          <w:noProof/>
        </w:rPr>
        <w:drawing>
          <wp:inline distT="0" distB="0" distL="0" distR="0" wp14:anchorId="1A7277C3" wp14:editId="46B32E24">
            <wp:extent cx="5397500" cy="3975652"/>
            <wp:effectExtent l="0" t="0" r="0" b="6350"/>
            <wp:docPr id="5" name="Picture"/>
            <wp:cNvGraphicFramePr/>
            <a:graphic xmlns:a="http://schemas.openxmlformats.org/drawingml/2006/main">
              <a:graphicData uri="http://schemas.openxmlformats.org/drawingml/2006/picture">
                <pic:pic xmlns:pic="http://schemas.openxmlformats.org/drawingml/2006/picture">
                  <pic:nvPicPr>
                    <pic:cNvPr id="0" name="Picture" descr="code/graphs/images/es_4_2_crf.png"/>
                    <pic:cNvPicPr>
                      <a:picLocks noChangeAspect="1" noChangeArrowheads="1"/>
                    </pic:cNvPicPr>
                  </pic:nvPicPr>
                  <pic:blipFill rotWithShape="1">
                    <a:blip r:embed="rId24"/>
                    <a:srcRect b="1790"/>
                    <a:stretch/>
                  </pic:blipFill>
                  <pic:spPr bwMode="auto">
                    <a:xfrm>
                      <a:off x="0" y="0"/>
                      <a:ext cx="5397500" cy="3975652"/>
                    </a:xfrm>
                    <a:prstGeom prst="rect">
                      <a:avLst/>
                    </a:prstGeom>
                    <a:noFill/>
                    <a:ln>
                      <a:noFill/>
                    </a:ln>
                    <a:extLst>
                      <a:ext uri="{53640926-AAD7-44D8-BBD7-CCE9431645EC}">
                        <a14:shadowObscured xmlns:a14="http://schemas.microsoft.com/office/drawing/2010/main"/>
                      </a:ext>
                    </a:extLst>
                  </pic:spPr>
                </pic:pic>
              </a:graphicData>
            </a:graphic>
          </wp:inline>
        </w:drawing>
      </w:r>
    </w:p>
    <w:p w14:paraId="59CCBCC0" w14:textId="77777777" w:rsidR="00855935" w:rsidRPr="00BE78CA" w:rsidRDefault="00855935" w:rsidP="00855935">
      <w:pPr>
        <w:pStyle w:val="Noteundertable"/>
      </w:pPr>
      <w:r w:rsidRPr="00BE78CA">
        <w:rPr>
          <w:b/>
        </w:rPr>
        <w:t>Note:</w:t>
      </w:r>
      <w:r w:rsidRPr="00BE78CA">
        <w:t xml:space="preserve"> </w:t>
      </w:r>
      <w:r w:rsidRPr="00BE78CA">
        <w:tab/>
        <w:t>The percentages may not add up to 100 per cent due to rounding. The LULUCF sector, which is not a part of gross emissions, is included here as a negative value. The Tokelau sector is not visible due to its small contribution (4.30 kt CO</w:t>
      </w:r>
      <w:r w:rsidRPr="00BE78CA">
        <w:rPr>
          <w:vertAlign w:val="subscript"/>
        </w:rPr>
        <w:t>2</w:t>
      </w:r>
      <w:r w:rsidRPr="00BE78CA">
        <w:t>-e or 0.005 per cent of New Zealand’s gross GHG emissions).</w:t>
      </w:r>
    </w:p>
    <w:p w14:paraId="1E71F855" w14:textId="2884CCB7" w:rsidR="00855935" w:rsidRPr="00BE78CA" w:rsidRDefault="00855935" w:rsidP="00855935">
      <w:pPr>
        <w:pStyle w:val="BodyText"/>
      </w:pPr>
      <w:r w:rsidRPr="00BE78CA">
        <w:t>Table ES 4.1 and figure ES 4.3 summarise emissions by sector in 1990 and 2019 as well as the</w:t>
      </w:r>
      <w:r w:rsidR="005B6417" w:rsidRPr="00BE78CA">
        <w:t> </w:t>
      </w:r>
      <w:r w:rsidRPr="00BE78CA">
        <w:t>change between those years. A more detailed description of the emission trends for each sector is presented in chapter 2.</w:t>
      </w:r>
    </w:p>
    <w:p w14:paraId="15508702" w14:textId="689FB88C" w:rsidR="00855935" w:rsidRPr="00BE78CA" w:rsidRDefault="00855935" w:rsidP="00EA4DF7">
      <w:pPr>
        <w:pStyle w:val="Table"/>
      </w:pPr>
      <w:bookmarkStart w:id="35" w:name="_Toc68786393"/>
      <w:r w:rsidRPr="00BE78CA">
        <w:t xml:space="preserve">Table ES 4.1 </w:t>
      </w:r>
      <w:r w:rsidR="00EA4DF7" w:rsidRPr="00BE78CA">
        <w:tab/>
      </w:r>
      <w:r w:rsidRPr="00BE78CA">
        <w:t>New Zealand’s gross emissions by sector in 1990 and 2019</w:t>
      </w:r>
      <w:bookmarkEnd w:id="35"/>
    </w:p>
    <w:tbl>
      <w:tblPr>
        <w:tblW w:w="8494" w:type="dxa"/>
        <w:tblLayout w:type="fixed"/>
        <w:tblLook w:val="0420" w:firstRow="1" w:lastRow="0" w:firstColumn="0" w:lastColumn="0" w:noHBand="0" w:noVBand="1"/>
      </w:tblPr>
      <w:tblGrid>
        <w:gridCol w:w="1125"/>
        <w:gridCol w:w="1036"/>
        <w:gridCol w:w="1036"/>
        <w:gridCol w:w="3280"/>
        <w:gridCol w:w="2017"/>
      </w:tblGrid>
      <w:tr w:rsidR="00F5003E" w:rsidRPr="00BE78CA" w14:paraId="634BC65A" w14:textId="77777777" w:rsidTr="00FE4BF5">
        <w:trPr>
          <w:cantSplit/>
          <w:tblHeader/>
        </w:trPr>
        <w:tc>
          <w:tcPr>
            <w:tcW w:w="1125" w:type="dxa"/>
            <w:tcBorders>
              <w:top w:val="single" w:sz="4" w:space="0" w:color="365F91"/>
              <w:bottom w:val="single" w:sz="4" w:space="0" w:color="365F91"/>
            </w:tcBorders>
            <w:shd w:val="clear" w:color="auto" w:fill="365F91"/>
            <w:tcMar>
              <w:top w:w="0" w:type="dxa"/>
              <w:left w:w="108" w:type="dxa"/>
              <w:bottom w:w="0" w:type="dxa"/>
              <w:right w:w="108" w:type="dxa"/>
            </w:tcMar>
            <w:vAlign w:val="center"/>
          </w:tcPr>
          <w:p w14:paraId="4D581F0F" w14:textId="77777777" w:rsidR="00855935" w:rsidRPr="00BE78CA" w:rsidRDefault="00855935" w:rsidP="00F5003E">
            <w:pPr>
              <w:pStyle w:val="TableTextBold"/>
              <w:spacing w:before="50" w:after="50"/>
              <w:rPr>
                <w:noProof w:val="0"/>
                <w:color w:val="FFFFFF" w:themeColor="background1"/>
              </w:rPr>
            </w:pPr>
            <w:r w:rsidRPr="00BE78CA">
              <w:rPr>
                <w:rFonts w:eastAsia="Calibri"/>
                <w:noProof w:val="0"/>
                <w:color w:val="FFFFFF" w:themeColor="background1"/>
              </w:rPr>
              <w:t>Sector</w:t>
            </w:r>
          </w:p>
        </w:tc>
        <w:tc>
          <w:tcPr>
            <w:tcW w:w="1036" w:type="dxa"/>
            <w:tcBorders>
              <w:top w:val="single" w:sz="4" w:space="0" w:color="365F91"/>
              <w:bottom w:val="single" w:sz="4" w:space="0" w:color="365F91"/>
            </w:tcBorders>
            <w:shd w:val="clear" w:color="auto" w:fill="365F91"/>
            <w:tcMar>
              <w:top w:w="0" w:type="dxa"/>
              <w:left w:w="108" w:type="dxa"/>
              <w:bottom w:w="0" w:type="dxa"/>
              <w:right w:w="108" w:type="dxa"/>
            </w:tcMar>
            <w:vAlign w:val="center"/>
          </w:tcPr>
          <w:p w14:paraId="48AC594A" w14:textId="77777777" w:rsidR="00855935" w:rsidRPr="00BE78CA" w:rsidRDefault="00855935" w:rsidP="00F5003E">
            <w:pPr>
              <w:pStyle w:val="TableTextBold"/>
              <w:spacing w:before="50" w:after="50"/>
              <w:jc w:val="right"/>
              <w:rPr>
                <w:noProof w:val="0"/>
                <w:color w:val="FFFFFF" w:themeColor="background1"/>
              </w:rPr>
            </w:pPr>
            <w:r w:rsidRPr="00BE78CA">
              <w:rPr>
                <w:rFonts w:eastAsia="Calibri"/>
                <w:noProof w:val="0"/>
                <w:color w:val="FFFFFF" w:themeColor="background1"/>
              </w:rPr>
              <w:t>1990</w:t>
            </w:r>
          </w:p>
        </w:tc>
        <w:tc>
          <w:tcPr>
            <w:tcW w:w="1036" w:type="dxa"/>
            <w:tcBorders>
              <w:top w:val="single" w:sz="4" w:space="0" w:color="365F91"/>
              <w:bottom w:val="single" w:sz="4" w:space="0" w:color="365F91"/>
            </w:tcBorders>
            <w:shd w:val="clear" w:color="auto" w:fill="365F91"/>
            <w:tcMar>
              <w:top w:w="0" w:type="dxa"/>
              <w:left w:w="108" w:type="dxa"/>
              <w:bottom w:w="0" w:type="dxa"/>
              <w:right w:w="108" w:type="dxa"/>
            </w:tcMar>
            <w:vAlign w:val="center"/>
          </w:tcPr>
          <w:p w14:paraId="16EA59BB" w14:textId="77777777" w:rsidR="00855935" w:rsidRPr="00BE78CA" w:rsidRDefault="00855935" w:rsidP="00F5003E">
            <w:pPr>
              <w:pStyle w:val="TableTextBold"/>
              <w:spacing w:before="50" w:after="50"/>
              <w:jc w:val="right"/>
              <w:rPr>
                <w:noProof w:val="0"/>
                <w:color w:val="FFFFFF" w:themeColor="background1"/>
              </w:rPr>
            </w:pPr>
            <w:r w:rsidRPr="00BE78CA">
              <w:rPr>
                <w:rFonts w:eastAsia="Calibri"/>
                <w:noProof w:val="0"/>
                <w:color w:val="FFFFFF" w:themeColor="background1"/>
              </w:rPr>
              <w:t>2019</w:t>
            </w:r>
          </w:p>
        </w:tc>
        <w:tc>
          <w:tcPr>
            <w:tcW w:w="3280" w:type="dxa"/>
            <w:tcBorders>
              <w:top w:val="single" w:sz="4" w:space="0" w:color="365F91"/>
              <w:bottom w:val="single" w:sz="4" w:space="0" w:color="365F91"/>
            </w:tcBorders>
            <w:shd w:val="clear" w:color="auto" w:fill="365F91"/>
            <w:tcMar>
              <w:top w:w="0" w:type="dxa"/>
              <w:left w:w="108" w:type="dxa"/>
              <w:bottom w:w="0" w:type="dxa"/>
              <w:right w:w="108" w:type="dxa"/>
            </w:tcMar>
            <w:vAlign w:val="center"/>
          </w:tcPr>
          <w:p w14:paraId="3781195A" w14:textId="77777777" w:rsidR="00855935" w:rsidRPr="00BE78CA" w:rsidRDefault="00855935" w:rsidP="00F5003E">
            <w:pPr>
              <w:pStyle w:val="TableTextBold"/>
              <w:spacing w:before="50" w:after="50"/>
              <w:jc w:val="right"/>
              <w:rPr>
                <w:noProof w:val="0"/>
                <w:color w:val="FFFFFF" w:themeColor="background1"/>
              </w:rPr>
            </w:pPr>
            <w:r w:rsidRPr="00BE78CA">
              <w:rPr>
                <w:rFonts w:eastAsia="Calibri"/>
                <w:noProof w:val="0"/>
                <w:color w:val="FFFFFF" w:themeColor="background1"/>
              </w:rPr>
              <w:t>Change from 1990 (kt CO</w:t>
            </w:r>
            <w:r w:rsidRPr="00BE78CA">
              <w:rPr>
                <w:rFonts w:eastAsia="Calibri"/>
                <w:noProof w:val="0"/>
                <w:color w:val="FFFFFF" w:themeColor="background1"/>
                <w:vertAlign w:val="subscript"/>
              </w:rPr>
              <w:t>2</w:t>
            </w:r>
            <w:r w:rsidRPr="00BE78CA">
              <w:rPr>
                <w:rFonts w:eastAsia="Calibri"/>
                <w:noProof w:val="0"/>
                <w:color w:val="FFFFFF" w:themeColor="background1"/>
              </w:rPr>
              <w:t>-equivalent)</w:t>
            </w:r>
          </w:p>
        </w:tc>
        <w:tc>
          <w:tcPr>
            <w:tcW w:w="2017" w:type="dxa"/>
            <w:tcBorders>
              <w:top w:val="single" w:sz="4" w:space="0" w:color="365F91"/>
              <w:bottom w:val="single" w:sz="4" w:space="0" w:color="365F91"/>
            </w:tcBorders>
            <w:shd w:val="clear" w:color="auto" w:fill="365F91"/>
            <w:tcMar>
              <w:top w:w="0" w:type="dxa"/>
              <w:left w:w="108" w:type="dxa"/>
              <w:bottom w:w="0" w:type="dxa"/>
              <w:right w:w="108" w:type="dxa"/>
            </w:tcMar>
            <w:vAlign w:val="center"/>
          </w:tcPr>
          <w:p w14:paraId="6EB650EF" w14:textId="77777777" w:rsidR="00855935" w:rsidRPr="00BE78CA" w:rsidRDefault="00855935" w:rsidP="00F5003E">
            <w:pPr>
              <w:pStyle w:val="TableTextBold"/>
              <w:spacing w:before="50" w:after="50"/>
              <w:jc w:val="right"/>
              <w:rPr>
                <w:noProof w:val="0"/>
                <w:color w:val="FFFFFF" w:themeColor="background1"/>
              </w:rPr>
            </w:pPr>
            <w:r w:rsidRPr="00BE78CA">
              <w:rPr>
                <w:rFonts w:eastAsia="Calibri"/>
                <w:noProof w:val="0"/>
                <w:color w:val="FFFFFF" w:themeColor="background1"/>
              </w:rPr>
              <w:t>Change from 1990 (%)</w:t>
            </w:r>
          </w:p>
        </w:tc>
      </w:tr>
      <w:tr w:rsidR="00855935" w:rsidRPr="00BE78CA" w14:paraId="161EC826" w14:textId="77777777" w:rsidTr="00F5003E">
        <w:trPr>
          <w:cantSplit/>
        </w:trPr>
        <w:tc>
          <w:tcPr>
            <w:tcW w:w="1125" w:type="dxa"/>
            <w:tcBorders>
              <w:top w:val="single" w:sz="4" w:space="0" w:color="365F91"/>
              <w:left w:val="single" w:sz="4" w:space="0" w:color="FFFFFF"/>
              <w:bottom w:val="single" w:sz="8" w:space="0" w:color="365F91"/>
            </w:tcBorders>
            <w:shd w:val="clear" w:color="auto" w:fill="FFFFFF"/>
            <w:tcMar>
              <w:top w:w="0" w:type="dxa"/>
              <w:left w:w="108" w:type="dxa"/>
              <w:bottom w:w="0" w:type="dxa"/>
              <w:right w:w="108" w:type="dxa"/>
            </w:tcMar>
            <w:vAlign w:val="center"/>
          </w:tcPr>
          <w:p w14:paraId="6D054954" w14:textId="77777777" w:rsidR="00855935" w:rsidRPr="00BE78CA" w:rsidRDefault="00855935" w:rsidP="00F5003E">
            <w:pPr>
              <w:pStyle w:val="TableText"/>
              <w:spacing w:before="40" w:after="40"/>
            </w:pPr>
            <w:r w:rsidRPr="00BE78CA">
              <w:rPr>
                <w:rFonts w:eastAsia="Calibri"/>
              </w:rPr>
              <w:t>Energy</w:t>
            </w:r>
          </w:p>
        </w:tc>
        <w:tc>
          <w:tcPr>
            <w:tcW w:w="1036" w:type="dxa"/>
            <w:tcBorders>
              <w:top w:val="single" w:sz="4" w:space="0" w:color="365F91"/>
              <w:bottom w:val="single" w:sz="8" w:space="0" w:color="365F91"/>
            </w:tcBorders>
            <w:shd w:val="clear" w:color="auto" w:fill="FFFFFF"/>
            <w:tcMar>
              <w:top w:w="0" w:type="dxa"/>
              <w:left w:w="108" w:type="dxa"/>
              <w:bottom w:w="0" w:type="dxa"/>
              <w:right w:w="108" w:type="dxa"/>
            </w:tcMar>
            <w:vAlign w:val="center"/>
          </w:tcPr>
          <w:p w14:paraId="7EDB0529" w14:textId="77777777" w:rsidR="00855935" w:rsidRPr="00BE78CA" w:rsidRDefault="00855935" w:rsidP="00F5003E">
            <w:pPr>
              <w:pStyle w:val="TableText"/>
              <w:spacing w:before="40" w:after="40"/>
              <w:jc w:val="right"/>
            </w:pPr>
            <w:r w:rsidRPr="00BE78CA">
              <w:rPr>
                <w:rFonts w:eastAsia="Calibri"/>
              </w:rPr>
              <w:t>23,744.5</w:t>
            </w:r>
          </w:p>
        </w:tc>
        <w:tc>
          <w:tcPr>
            <w:tcW w:w="1036" w:type="dxa"/>
            <w:tcBorders>
              <w:top w:val="single" w:sz="4" w:space="0" w:color="365F91"/>
              <w:bottom w:val="single" w:sz="8" w:space="0" w:color="365F91"/>
            </w:tcBorders>
            <w:shd w:val="clear" w:color="auto" w:fill="FFFFFF"/>
            <w:tcMar>
              <w:top w:w="0" w:type="dxa"/>
              <w:left w:w="108" w:type="dxa"/>
              <w:bottom w:w="0" w:type="dxa"/>
              <w:right w:w="108" w:type="dxa"/>
            </w:tcMar>
            <w:vAlign w:val="center"/>
          </w:tcPr>
          <w:p w14:paraId="3361FA98" w14:textId="77777777" w:rsidR="00855935" w:rsidRPr="00BE78CA" w:rsidRDefault="00855935" w:rsidP="00F5003E">
            <w:pPr>
              <w:pStyle w:val="TableText"/>
              <w:spacing w:before="40" w:after="40"/>
              <w:jc w:val="right"/>
            </w:pPr>
            <w:r w:rsidRPr="00BE78CA">
              <w:rPr>
                <w:rFonts w:eastAsia="Calibri"/>
              </w:rPr>
              <w:t>34,263.1</w:t>
            </w:r>
          </w:p>
        </w:tc>
        <w:tc>
          <w:tcPr>
            <w:tcW w:w="3280" w:type="dxa"/>
            <w:tcBorders>
              <w:top w:val="single" w:sz="4" w:space="0" w:color="365F91"/>
              <w:bottom w:val="single" w:sz="8" w:space="0" w:color="365F91"/>
            </w:tcBorders>
            <w:shd w:val="clear" w:color="auto" w:fill="FFFFFF"/>
            <w:tcMar>
              <w:top w:w="0" w:type="dxa"/>
              <w:left w:w="108" w:type="dxa"/>
              <w:bottom w:w="0" w:type="dxa"/>
              <w:right w:w="108" w:type="dxa"/>
            </w:tcMar>
            <w:vAlign w:val="center"/>
          </w:tcPr>
          <w:p w14:paraId="50D76712" w14:textId="77777777" w:rsidR="00855935" w:rsidRPr="00BE78CA" w:rsidRDefault="00855935" w:rsidP="00F5003E">
            <w:pPr>
              <w:pStyle w:val="TableText"/>
              <w:spacing w:before="40" w:after="40"/>
              <w:jc w:val="right"/>
            </w:pPr>
            <w:r w:rsidRPr="00BE78CA">
              <w:rPr>
                <w:rFonts w:eastAsia="Calibri"/>
              </w:rPr>
              <w:t>10,518.5</w:t>
            </w:r>
          </w:p>
        </w:tc>
        <w:tc>
          <w:tcPr>
            <w:tcW w:w="2017" w:type="dxa"/>
            <w:tcBorders>
              <w:top w:val="single" w:sz="4" w:space="0" w:color="365F91"/>
              <w:bottom w:val="single" w:sz="8" w:space="0" w:color="365F91"/>
              <w:right w:val="single" w:sz="4" w:space="0" w:color="FFFFFF"/>
            </w:tcBorders>
            <w:shd w:val="clear" w:color="auto" w:fill="FFFFFF"/>
            <w:tcMar>
              <w:top w:w="0" w:type="dxa"/>
              <w:left w:w="108" w:type="dxa"/>
              <w:bottom w:w="0" w:type="dxa"/>
              <w:right w:w="108" w:type="dxa"/>
            </w:tcMar>
            <w:vAlign w:val="center"/>
          </w:tcPr>
          <w:p w14:paraId="7299ECCF" w14:textId="77777777" w:rsidR="00855935" w:rsidRPr="00BE78CA" w:rsidRDefault="00855935" w:rsidP="00F5003E">
            <w:pPr>
              <w:pStyle w:val="TableText"/>
              <w:spacing w:before="40" w:after="40"/>
              <w:jc w:val="right"/>
            </w:pPr>
            <w:r w:rsidRPr="00BE78CA">
              <w:rPr>
                <w:rFonts w:eastAsia="Calibri"/>
              </w:rPr>
              <w:t>44.3%</w:t>
            </w:r>
          </w:p>
        </w:tc>
      </w:tr>
      <w:tr w:rsidR="00855935" w:rsidRPr="00BE78CA" w14:paraId="5C72D627" w14:textId="77777777" w:rsidTr="00F5003E">
        <w:trPr>
          <w:cantSplit/>
        </w:trPr>
        <w:tc>
          <w:tcPr>
            <w:tcW w:w="1125" w:type="dxa"/>
            <w:tcBorders>
              <w:top w:val="single" w:sz="8" w:space="0" w:color="365F91"/>
              <w:left w:val="single" w:sz="4" w:space="0" w:color="FFFFFF"/>
              <w:bottom w:val="single" w:sz="8" w:space="0" w:color="365F91"/>
            </w:tcBorders>
            <w:shd w:val="clear" w:color="auto" w:fill="FFFFFF"/>
            <w:tcMar>
              <w:top w:w="0" w:type="dxa"/>
              <w:left w:w="108" w:type="dxa"/>
              <w:bottom w:w="0" w:type="dxa"/>
              <w:right w:w="108" w:type="dxa"/>
            </w:tcMar>
            <w:vAlign w:val="center"/>
          </w:tcPr>
          <w:p w14:paraId="35F11287" w14:textId="77777777" w:rsidR="00855935" w:rsidRPr="00BE78CA" w:rsidRDefault="00855935" w:rsidP="00F5003E">
            <w:pPr>
              <w:pStyle w:val="TableText"/>
              <w:spacing w:before="40" w:after="40"/>
            </w:pPr>
            <w:r w:rsidRPr="00BE78CA">
              <w:rPr>
                <w:rFonts w:eastAsia="Calibri"/>
              </w:rPr>
              <w:t>IPPU</w:t>
            </w:r>
          </w:p>
        </w:tc>
        <w:tc>
          <w:tcPr>
            <w:tcW w:w="1036" w:type="dxa"/>
            <w:tcBorders>
              <w:top w:val="single" w:sz="8" w:space="0" w:color="365F91"/>
              <w:bottom w:val="single" w:sz="8" w:space="0" w:color="365F91"/>
            </w:tcBorders>
            <w:shd w:val="clear" w:color="auto" w:fill="FFFFFF"/>
            <w:tcMar>
              <w:top w:w="0" w:type="dxa"/>
              <w:left w:w="108" w:type="dxa"/>
              <w:bottom w:w="0" w:type="dxa"/>
              <w:right w:w="108" w:type="dxa"/>
            </w:tcMar>
            <w:vAlign w:val="center"/>
          </w:tcPr>
          <w:p w14:paraId="7C608BC6" w14:textId="77777777" w:rsidR="00855935" w:rsidRPr="00BE78CA" w:rsidRDefault="00855935" w:rsidP="00F5003E">
            <w:pPr>
              <w:pStyle w:val="TableText"/>
              <w:spacing w:before="40" w:after="40"/>
              <w:jc w:val="right"/>
            </w:pPr>
            <w:r w:rsidRPr="00BE78CA">
              <w:rPr>
                <w:rFonts w:eastAsia="Calibri"/>
              </w:rPr>
              <w:t>3,579.9</w:t>
            </w:r>
          </w:p>
        </w:tc>
        <w:tc>
          <w:tcPr>
            <w:tcW w:w="1036" w:type="dxa"/>
            <w:tcBorders>
              <w:top w:val="single" w:sz="8" w:space="0" w:color="365F91"/>
              <w:bottom w:val="single" w:sz="8" w:space="0" w:color="365F91"/>
            </w:tcBorders>
            <w:shd w:val="clear" w:color="auto" w:fill="FFFFFF"/>
            <w:tcMar>
              <w:top w:w="0" w:type="dxa"/>
              <w:left w:w="108" w:type="dxa"/>
              <w:bottom w:w="0" w:type="dxa"/>
              <w:right w:w="108" w:type="dxa"/>
            </w:tcMar>
            <w:vAlign w:val="center"/>
          </w:tcPr>
          <w:p w14:paraId="1EDF16C1" w14:textId="77777777" w:rsidR="00855935" w:rsidRPr="00BE78CA" w:rsidRDefault="00855935" w:rsidP="00F5003E">
            <w:pPr>
              <w:pStyle w:val="TableText"/>
              <w:spacing w:before="40" w:after="40"/>
              <w:jc w:val="right"/>
            </w:pPr>
            <w:r w:rsidRPr="00BE78CA">
              <w:rPr>
                <w:rFonts w:eastAsia="Calibri"/>
              </w:rPr>
              <w:t>5,115.9</w:t>
            </w:r>
          </w:p>
        </w:tc>
        <w:tc>
          <w:tcPr>
            <w:tcW w:w="3280" w:type="dxa"/>
            <w:tcBorders>
              <w:top w:val="single" w:sz="8" w:space="0" w:color="365F91"/>
              <w:bottom w:val="single" w:sz="8" w:space="0" w:color="365F91"/>
            </w:tcBorders>
            <w:shd w:val="clear" w:color="auto" w:fill="FFFFFF"/>
            <w:tcMar>
              <w:top w:w="0" w:type="dxa"/>
              <w:left w:w="108" w:type="dxa"/>
              <w:bottom w:w="0" w:type="dxa"/>
              <w:right w:w="108" w:type="dxa"/>
            </w:tcMar>
            <w:vAlign w:val="center"/>
          </w:tcPr>
          <w:p w14:paraId="6F78AC46" w14:textId="77777777" w:rsidR="00855935" w:rsidRPr="00BE78CA" w:rsidRDefault="00855935" w:rsidP="00F5003E">
            <w:pPr>
              <w:pStyle w:val="TableText"/>
              <w:spacing w:before="40" w:after="40"/>
              <w:jc w:val="right"/>
            </w:pPr>
            <w:r w:rsidRPr="00BE78CA">
              <w:rPr>
                <w:rFonts w:eastAsia="Calibri"/>
              </w:rPr>
              <w:t>1,536.0</w:t>
            </w:r>
          </w:p>
        </w:tc>
        <w:tc>
          <w:tcPr>
            <w:tcW w:w="2017" w:type="dxa"/>
            <w:tcBorders>
              <w:top w:val="single" w:sz="8" w:space="0" w:color="365F91"/>
              <w:bottom w:val="single" w:sz="8" w:space="0" w:color="365F91"/>
              <w:right w:val="single" w:sz="4" w:space="0" w:color="FFFFFF"/>
            </w:tcBorders>
            <w:shd w:val="clear" w:color="auto" w:fill="FFFFFF"/>
            <w:tcMar>
              <w:top w:w="0" w:type="dxa"/>
              <w:left w:w="108" w:type="dxa"/>
              <w:bottom w:w="0" w:type="dxa"/>
              <w:right w:w="108" w:type="dxa"/>
            </w:tcMar>
            <w:vAlign w:val="center"/>
          </w:tcPr>
          <w:p w14:paraId="0375E22F" w14:textId="77777777" w:rsidR="00855935" w:rsidRPr="00BE78CA" w:rsidRDefault="00855935" w:rsidP="00F5003E">
            <w:pPr>
              <w:pStyle w:val="TableText"/>
              <w:spacing w:before="40" w:after="40"/>
              <w:jc w:val="right"/>
            </w:pPr>
            <w:r w:rsidRPr="00BE78CA">
              <w:rPr>
                <w:rFonts w:eastAsia="Calibri"/>
              </w:rPr>
              <w:t>42.9%</w:t>
            </w:r>
          </w:p>
        </w:tc>
      </w:tr>
      <w:tr w:rsidR="00855935" w:rsidRPr="00BE78CA" w14:paraId="7DA5B912" w14:textId="77777777" w:rsidTr="00F5003E">
        <w:trPr>
          <w:cantSplit/>
        </w:trPr>
        <w:tc>
          <w:tcPr>
            <w:tcW w:w="1125" w:type="dxa"/>
            <w:tcBorders>
              <w:top w:val="single" w:sz="8" w:space="0" w:color="365F91"/>
              <w:left w:val="single" w:sz="4" w:space="0" w:color="FFFFFF"/>
              <w:bottom w:val="single" w:sz="8" w:space="0" w:color="365F91"/>
            </w:tcBorders>
            <w:shd w:val="clear" w:color="auto" w:fill="FFFFFF"/>
            <w:tcMar>
              <w:top w:w="0" w:type="dxa"/>
              <w:left w:w="108" w:type="dxa"/>
              <w:bottom w:w="0" w:type="dxa"/>
              <w:right w:w="108" w:type="dxa"/>
            </w:tcMar>
            <w:vAlign w:val="center"/>
          </w:tcPr>
          <w:p w14:paraId="3C8E6F09" w14:textId="77777777" w:rsidR="00855935" w:rsidRPr="00BE78CA" w:rsidRDefault="00855935" w:rsidP="00F5003E">
            <w:pPr>
              <w:pStyle w:val="TableText"/>
              <w:spacing w:before="40" w:after="40"/>
            </w:pPr>
            <w:r w:rsidRPr="00BE78CA">
              <w:rPr>
                <w:rFonts w:eastAsia="Calibri"/>
              </w:rPr>
              <w:t>Agriculture</w:t>
            </w:r>
          </w:p>
        </w:tc>
        <w:tc>
          <w:tcPr>
            <w:tcW w:w="1036" w:type="dxa"/>
            <w:tcBorders>
              <w:top w:val="single" w:sz="8" w:space="0" w:color="365F91"/>
              <w:bottom w:val="single" w:sz="8" w:space="0" w:color="365F91"/>
            </w:tcBorders>
            <w:shd w:val="clear" w:color="auto" w:fill="FFFFFF"/>
            <w:tcMar>
              <w:top w:w="0" w:type="dxa"/>
              <w:left w:w="108" w:type="dxa"/>
              <w:bottom w:w="0" w:type="dxa"/>
              <w:right w:w="108" w:type="dxa"/>
            </w:tcMar>
            <w:vAlign w:val="center"/>
          </w:tcPr>
          <w:p w14:paraId="3F467014" w14:textId="77777777" w:rsidR="00855935" w:rsidRPr="00BE78CA" w:rsidRDefault="00855935" w:rsidP="00F5003E">
            <w:pPr>
              <w:pStyle w:val="TableText"/>
              <w:spacing w:before="40" w:after="40"/>
              <w:jc w:val="right"/>
            </w:pPr>
            <w:r w:rsidRPr="00BE78CA">
              <w:rPr>
                <w:rFonts w:eastAsia="Calibri"/>
              </w:rPr>
              <w:t>33,840.3</w:t>
            </w:r>
          </w:p>
        </w:tc>
        <w:tc>
          <w:tcPr>
            <w:tcW w:w="1036" w:type="dxa"/>
            <w:tcBorders>
              <w:top w:val="single" w:sz="8" w:space="0" w:color="365F91"/>
              <w:bottom w:val="single" w:sz="8" w:space="0" w:color="365F91"/>
            </w:tcBorders>
            <w:shd w:val="clear" w:color="auto" w:fill="FFFFFF"/>
            <w:tcMar>
              <w:top w:w="0" w:type="dxa"/>
              <w:left w:w="108" w:type="dxa"/>
              <w:bottom w:w="0" w:type="dxa"/>
              <w:right w:w="108" w:type="dxa"/>
            </w:tcMar>
            <w:vAlign w:val="center"/>
          </w:tcPr>
          <w:p w14:paraId="0C4697DE" w14:textId="77777777" w:rsidR="00855935" w:rsidRPr="00BE78CA" w:rsidRDefault="00855935" w:rsidP="00F5003E">
            <w:pPr>
              <w:pStyle w:val="TableText"/>
              <w:spacing w:before="40" w:after="40"/>
              <w:jc w:val="right"/>
            </w:pPr>
            <w:r w:rsidRPr="00BE78CA">
              <w:rPr>
                <w:rFonts w:eastAsia="Calibri"/>
              </w:rPr>
              <w:t>39,617.7</w:t>
            </w:r>
          </w:p>
        </w:tc>
        <w:tc>
          <w:tcPr>
            <w:tcW w:w="3280" w:type="dxa"/>
            <w:tcBorders>
              <w:top w:val="single" w:sz="8" w:space="0" w:color="365F91"/>
              <w:bottom w:val="single" w:sz="8" w:space="0" w:color="365F91"/>
            </w:tcBorders>
            <w:shd w:val="clear" w:color="auto" w:fill="FFFFFF"/>
            <w:tcMar>
              <w:top w:w="0" w:type="dxa"/>
              <w:left w:w="108" w:type="dxa"/>
              <w:bottom w:w="0" w:type="dxa"/>
              <w:right w:w="108" w:type="dxa"/>
            </w:tcMar>
            <w:vAlign w:val="center"/>
          </w:tcPr>
          <w:p w14:paraId="0B3CE902" w14:textId="77777777" w:rsidR="00855935" w:rsidRPr="00BE78CA" w:rsidRDefault="00855935" w:rsidP="00F5003E">
            <w:pPr>
              <w:pStyle w:val="TableText"/>
              <w:spacing w:before="40" w:after="40"/>
              <w:jc w:val="right"/>
            </w:pPr>
            <w:r w:rsidRPr="00BE78CA">
              <w:rPr>
                <w:rFonts w:eastAsia="Calibri"/>
              </w:rPr>
              <w:t>5,777.4</w:t>
            </w:r>
          </w:p>
        </w:tc>
        <w:tc>
          <w:tcPr>
            <w:tcW w:w="2017" w:type="dxa"/>
            <w:tcBorders>
              <w:top w:val="single" w:sz="8" w:space="0" w:color="365F91"/>
              <w:bottom w:val="single" w:sz="8" w:space="0" w:color="365F91"/>
              <w:right w:val="single" w:sz="4" w:space="0" w:color="FFFFFF"/>
            </w:tcBorders>
            <w:shd w:val="clear" w:color="auto" w:fill="FFFFFF"/>
            <w:tcMar>
              <w:top w:w="0" w:type="dxa"/>
              <w:left w:w="108" w:type="dxa"/>
              <w:bottom w:w="0" w:type="dxa"/>
              <w:right w:w="108" w:type="dxa"/>
            </w:tcMar>
            <w:vAlign w:val="center"/>
          </w:tcPr>
          <w:p w14:paraId="3AC39E89" w14:textId="77777777" w:rsidR="00855935" w:rsidRPr="00BE78CA" w:rsidRDefault="00855935" w:rsidP="00F5003E">
            <w:pPr>
              <w:pStyle w:val="TableText"/>
              <w:spacing w:before="40" w:after="40"/>
              <w:jc w:val="right"/>
            </w:pPr>
            <w:r w:rsidRPr="00BE78CA">
              <w:rPr>
                <w:rFonts w:eastAsia="Calibri"/>
              </w:rPr>
              <w:t>17.1%</w:t>
            </w:r>
          </w:p>
        </w:tc>
      </w:tr>
      <w:tr w:rsidR="00855935" w:rsidRPr="00BE78CA" w14:paraId="6184A883" w14:textId="77777777" w:rsidTr="00F5003E">
        <w:trPr>
          <w:cantSplit/>
        </w:trPr>
        <w:tc>
          <w:tcPr>
            <w:tcW w:w="1125" w:type="dxa"/>
            <w:tcBorders>
              <w:top w:val="single" w:sz="8" w:space="0" w:color="365F91"/>
              <w:left w:val="single" w:sz="4" w:space="0" w:color="FFFFFF"/>
              <w:bottom w:val="single" w:sz="8" w:space="0" w:color="365F91"/>
            </w:tcBorders>
            <w:shd w:val="clear" w:color="auto" w:fill="FFFFFF"/>
            <w:tcMar>
              <w:top w:w="0" w:type="dxa"/>
              <w:left w:w="108" w:type="dxa"/>
              <w:bottom w:w="0" w:type="dxa"/>
              <w:right w:w="108" w:type="dxa"/>
            </w:tcMar>
            <w:vAlign w:val="center"/>
          </w:tcPr>
          <w:p w14:paraId="59B9D66F" w14:textId="77777777" w:rsidR="00855935" w:rsidRPr="00BE78CA" w:rsidRDefault="00855935" w:rsidP="00F5003E">
            <w:pPr>
              <w:pStyle w:val="TableText"/>
              <w:spacing w:before="40" w:after="40"/>
            </w:pPr>
            <w:r w:rsidRPr="00BE78CA">
              <w:rPr>
                <w:rFonts w:eastAsia="Calibri"/>
              </w:rPr>
              <w:t>Tokelau</w:t>
            </w:r>
          </w:p>
        </w:tc>
        <w:tc>
          <w:tcPr>
            <w:tcW w:w="1036" w:type="dxa"/>
            <w:tcBorders>
              <w:top w:val="single" w:sz="8" w:space="0" w:color="365F91"/>
              <w:bottom w:val="single" w:sz="8" w:space="0" w:color="365F91"/>
            </w:tcBorders>
            <w:shd w:val="clear" w:color="auto" w:fill="FFFFFF"/>
            <w:tcMar>
              <w:top w:w="0" w:type="dxa"/>
              <w:left w:w="108" w:type="dxa"/>
              <w:bottom w:w="0" w:type="dxa"/>
              <w:right w:w="108" w:type="dxa"/>
            </w:tcMar>
            <w:vAlign w:val="center"/>
          </w:tcPr>
          <w:p w14:paraId="49643392" w14:textId="77777777" w:rsidR="00855935" w:rsidRPr="00BE78CA" w:rsidRDefault="00855935" w:rsidP="00F5003E">
            <w:pPr>
              <w:pStyle w:val="TableText"/>
              <w:spacing w:before="40" w:after="40"/>
              <w:jc w:val="right"/>
            </w:pPr>
            <w:r w:rsidRPr="00BE78CA">
              <w:rPr>
                <w:rFonts w:eastAsia="Calibri"/>
              </w:rPr>
              <w:t>3.2</w:t>
            </w:r>
          </w:p>
        </w:tc>
        <w:tc>
          <w:tcPr>
            <w:tcW w:w="1036" w:type="dxa"/>
            <w:tcBorders>
              <w:top w:val="single" w:sz="8" w:space="0" w:color="365F91"/>
              <w:bottom w:val="single" w:sz="8" w:space="0" w:color="365F91"/>
            </w:tcBorders>
            <w:shd w:val="clear" w:color="auto" w:fill="FFFFFF"/>
            <w:tcMar>
              <w:top w:w="0" w:type="dxa"/>
              <w:left w:w="108" w:type="dxa"/>
              <w:bottom w:w="0" w:type="dxa"/>
              <w:right w:w="108" w:type="dxa"/>
            </w:tcMar>
            <w:vAlign w:val="center"/>
          </w:tcPr>
          <w:p w14:paraId="241B3A50" w14:textId="77777777" w:rsidR="00855935" w:rsidRPr="00BE78CA" w:rsidRDefault="00855935" w:rsidP="00F5003E">
            <w:pPr>
              <w:pStyle w:val="TableText"/>
              <w:spacing w:before="40" w:after="40"/>
              <w:jc w:val="right"/>
            </w:pPr>
            <w:r w:rsidRPr="00BE78CA">
              <w:rPr>
                <w:rFonts w:eastAsia="Calibri"/>
              </w:rPr>
              <w:t>4.3</w:t>
            </w:r>
          </w:p>
        </w:tc>
        <w:tc>
          <w:tcPr>
            <w:tcW w:w="3280" w:type="dxa"/>
            <w:tcBorders>
              <w:top w:val="single" w:sz="8" w:space="0" w:color="365F91"/>
              <w:bottom w:val="single" w:sz="8" w:space="0" w:color="365F91"/>
            </w:tcBorders>
            <w:shd w:val="clear" w:color="auto" w:fill="FFFFFF"/>
            <w:tcMar>
              <w:top w:w="0" w:type="dxa"/>
              <w:left w:w="108" w:type="dxa"/>
              <w:bottom w:w="0" w:type="dxa"/>
              <w:right w:w="108" w:type="dxa"/>
            </w:tcMar>
            <w:vAlign w:val="center"/>
          </w:tcPr>
          <w:p w14:paraId="4398D379" w14:textId="77777777" w:rsidR="00855935" w:rsidRPr="00BE78CA" w:rsidRDefault="00855935" w:rsidP="00F5003E">
            <w:pPr>
              <w:pStyle w:val="TableText"/>
              <w:spacing w:before="40" w:after="40"/>
              <w:jc w:val="right"/>
            </w:pPr>
            <w:r w:rsidRPr="00BE78CA">
              <w:rPr>
                <w:rFonts w:eastAsia="Calibri"/>
              </w:rPr>
              <w:t>1.1</w:t>
            </w:r>
          </w:p>
        </w:tc>
        <w:tc>
          <w:tcPr>
            <w:tcW w:w="2017" w:type="dxa"/>
            <w:tcBorders>
              <w:top w:val="single" w:sz="8" w:space="0" w:color="365F91"/>
              <w:bottom w:val="single" w:sz="8" w:space="0" w:color="365F91"/>
              <w:right w:val="single" w:sz="4" w:space="0" w:color="FFFFFF"/>
            </w:tcBorders>
            <w:shd w:val="clear" w:color="auto" w:fill="FFFFFF"/>
            <w:tcMar>
              <w:top w:w="0" w:type="dxa"/>
              <w:left w:w="108" w:type="dxa"/>
              <w:bottom w:w="0" w:type="dxa"/>
              <w:right w:w="108" w:type="dxa"/>
            </w:tcMar>
            <w:vAlign w:val="center"/>
          </w:tcPr>
          <w:p w14:paraId="58F59C93" w14:textId="77777777" w:rsidR="00855935" w:rsidRPr="00BE78CA" w:rsidRDefault="00855935" w:rsidP="00F5003E">
            <w:pPr>
              <w:pStyle w:val="TableText"/>
              <w:spacing w:before="40" w:after="40"/>
              <w:jc w:val="right"/>
            </w:pPr>
            <w:r w:rsidRPr="00BE78CA">
              <w:rPr>
                <w:rFonts w:eastAsia="Calibri"/>
              </w:rPr>
              <w:t>35.7%</w:t>
            </w:r>
          </w:p>
        </w:tc>
      </w:tr>
      <w:tr w:rsidR="00855935" w:rsidRPr="00BE78CA" w14:paraId="2F3E6B86" w14:textId="77777777" w:rsidTr="00F5003E">
        <w:trPr>
          <w:cantSplit/>
        </w:trPr>
        <w:tc>
          <w:tcPr>
            <w:tcW w:w="1125" w:type="dxa"/>
            <w:tcBorders>
              <w:top w:val="single" w:sz="8" w:space="0" w:color="365F91"/>
              <w:left w:val="single" w:sz="4" w:space="0" w:color="FFFFFF"/>
              <w:bottom w:val="single" w:sz="8" w:space="0" w:color="365F91"/>
            </w:tcBorders>
            <w:shd w:val="clear" w:color="auto" w:fill="FFFFFF"/>
            <w:tcMar>
              <w:top w:w="0" w:type="dxa"/>
              <w:left w:w="108" w:type="dxa"/>
              <w:bottom w:w="0" w:type="dxa"/>
              <w:right w:w="108" w:type="dxa"/>
            </w:tcMar>
            <w:vAlign w:val="center"/>
          </w:tcPr>
          <w:p w14:paraId="3941A61F" w14:textId="77777777" w:rsidR="00855935" w:rsidRPr="00BE78CA" w:rsidRDefault="00855935" w:rsidP="00F5003E">
            <w:pPr>
              <w:pStyle w:val="TableText"/>
              <w:spacing w:before="40" w:after="40"/>
            </w:pPr>
            <w:r w:rsidRPr="00BE78CA">
              <w:rPr>
                <w:rFonts w:eastAsia="Calibri"/>
              </w:rPr>
              <w:t>Waste</w:t>
            </w:r>
          </w:p>
        </w:tc>
        <w:tc>
          <w:tcPr>
            <w:tcW w:w="1036" w:type="dxa"/>
            <w:tcBorders>
              <w:top w:val="single" w:sz="8" w:space="0" w:color="365F91"/>
              <w:bottom w:val="single" w:sz="8" w:space="0" w:color="365F91"/>
            </w:tcBorders>
            <w:shd w:val="clear" w:color="auto" w:fill="FFFFFF"/>
            <w:tcMar>
              <w:top w:w="0" w:type="dxa"/>
              <w:left w:w="108" w:type="dxa"/>
              <w:bottom w:w="0" w:type="dxa"/>
              <w:right w:w="108" w:type="dxa"/>
            </w:tcMar>
            <w:vAlign w:val="center"/>
          </w:tcPr>
          <w:p w14:paraId="268EC8C2" w14:textId="77777777" w:rsidR="00855935" w:rsidRPr="00BE78CA" w:rsidRDefault="00855935" w:rsidP="00F5003E">
            <w:pPr>
              <w:pStyle w:val="TableText"/>
              <w:spacing w:before="40" w:after="40"/>
              <w:jc w:val="right"/>
            </w:pPr>
            <w:r w:rsidRPr="00BE78CA">
              <w:rPr>
                <w:rFonts w:eastAsia="Calibri"/>
              </w:rPr>
              <w:t>3,961.3</w:t>
            </w:r>
          </w:p>
        </w:tc>
        <w:tc>
          <w:tcPr>
            <w:tcW w:w="1036" w:type="dxa"/>
            <w:tcBorders>
              <w:top w:val="single" w:sz="8" w:space="0" w:color="365F91"/>
              <w:bottom w:val="single" w:sz="8" w:space="0" w:color="365F91"/>
            </w:tcBorders>
            <w:shd w:val="clear" w:color="auto" w:fill="FFFFFF"/>
            <w:tcMar>
              <w:top w:w="0" w:type="dxa"/>
              <w:left w:w="108" w:type="dxa"/>
              <w:bottom w:w="0" w:type="dxa"/>
              <w:right w:w="108" w:type="dxa"/>
            </w:tcMar>
            <w:vAlign w:val="center"/>
          </w:tcPr>
          <w:p w14:paraId="4EB8779E" w14:textId="77777777" w:rsidR="00855935" w:rsidRPr="00BE78CA" w:rsidRDefault="00855935" w:rsidP="00F5003E">
            <w:pPr>
              <w:pStyle w:val="TableText"/>
              <w:spacing w:before="40" w:after="40"/>
              <w:jc w:val="right"/>
            </w:pPr>
            <w:r w:rsidRPr="00BE78CA">
              <w:rPr>
                <w:rFonts w:eastAsia="Calibri"/>
              </w:rPr>
              <w:t>3,316.9</w:t>
            </w:r>
          </w:p>
        </w:tc>
        <w:tc>
          <w:tcPr>
            <w:tcW w:w="3280" w:type="dxa"/>
            <w:tcBorders>
              <w:top w:val="single" w:sz="8" w:space="0" w:color="365F91"/>
              <w:bottom w:val="single" w:sz="8" w:space="0" w:color="365F91"/>
            </w:tcBorders>
            <w:shd w:val="clear" w:color="auto" w:fill="FFFFFF"/>
            <w:tcMar>
              <w:top w:w="0" w:type="dxa"/>
              <w:left w:w="108" w:type="dxa"/>
              <w:bottom w:w="0" w:type="dxa"/>
              <w:right w:w="108" w:type="dxa"/>
            </w:tcMar>
            <w:vAlign w:val="center"/>
          </w:tcPr>
          <w:p w14:paraId="15D1CAA2" w14:textId="77777777" w:rsidR="00855935" w:rsidRPr="00BE78CA" w:rsidRDefault="00855935" w:rsidP="00F5003E">
            <w:pPr>
              <w:pStyle w:val="TableText"/>
              <w:spacing w:before="40" w:after="40"/>
              <w:jc w:val="right"/>
            </w:pPr>
            <w:r w:rsidRPr="00BE78CA">
              <w:rPr>
                <w:rFonts w:eastAsia="Calibri"/>
              </w:rPr>
              <w:t>–644.4</w:t>
            </w:r>
          </w:p>
        </w:tc>
        <w:tc>
          <w:tcPr>
            <w:tcW w:w="2017" w:type="dxa"/>
            <w:tcBorders>
              <w:top w:val="single" w:sz="8" w:space="0" w:color="365F91"/>
              <w:bottom w:val="single" w:sz="8" w:space="0" w:color="365F91"/>
              <w:right w:val="single" w:sz="4" w:space="0" w:color="FFFFFF"/>
            </w:tcBorders>
            <w:shd w:val="clear" w:color="auto" w:fill="FFFFFF"/>
            <w:tcMar>
              <w:top w:w="0" w:type="dxa"/>
              <w:left w:w="108" w:type="dxa"/>
              <w:bottom w:w="0" w:type="dxa"/>
              <w:right w:w="108" w:type="dxa"/>
            </w:tcMar>
            <w:vAlign w:val="center"/>
          </w:tcPr>
          <w:p w14:paraId="2C576159" w14:textId="77777777" w:rsidR="00855935" w:rsidRPr="00BE78CA" w:rsidRDefault="00855935" w:rsidP="00F5003E">
            <w:pPr>
              <w:pStyle w:val="TableText"/>
              <w:spacing w:before="40" w:after="40"/>
              <w:jc w:val="right"/>
            </w:pPr>
            <w:r w:rsidRPr="00BE78CA">
              <w:rPr>
                <w:rFonts w:eastAsia="Calibri"/>
              </w:rPr>
              <w:t>–16.3%</w:t>
            </w:r>
          </w:p>
        </w:tc>
      </w:tr>
      <w:tr w:rsidR="00F5003E" w:rsidRPr="00BE78CA" w14:paraId="35B2EE25" w14:textId="77777777" w:rsidTr="00F5003E">
        <w:trPr>
          <w:cantSplit/>
        </w:trPr>
        <w:tc>
          <w:tcPr>
            <w:tcW w:w="1125" w:type="dxa"/>
            <w:tcBorders>
              <w:top w:val="single" w:sz="8" w:space="0" w:color="365F91"/>
              <w:left w:val="single" w:sz="4" w:space="0" w:color="FFFFFF"/>
              <w:bottom w:val="single" w:sz="8" w:space="0" w:color="365F91"/>
            </w:tcBorders>
            <w:shd w:val="clear" w:color="auto" w:fill="FFFFFF"/>
            <w:tcMar>
              <w:top w:w="0" w:type="dxa"/>
              <w:left w:w="108" w:type="dxa"/>
              <w:bottom w:w="0" w:type="dxa"/>
              <w:right w:w="108" w:type="dxa"/>
            </w:tcMar>
            <w:vAlign w:val="center"/>
          </w:tcPr>
          <w:p w14:paraId="08AFC581" w14:textId="77777777" w:rsidR="00855935" w:rsidRPr="00BE78CA" w:rsidRDefault="00855935" w:rsidP="00F5003E">
            <w:pPr>
              <w:pStyle w:val="Tableboldblue"/>
              <w:spacing w:before="40" w:after="40"/>
            </w:pPr>
            <w:r w:rsidRPr="00BE78CA">
              <w:rPr>
                <w:rFonts w:eastAsia="Calibri"/>
              </w:rPr>
              <w:t>Gross</w:t>
            </w:r>
          </w:p>
        </w:tc>
        <w:tc>
          <w:tcPr>
            <w:tcW w:w="1036" w:type="dxa"/>
            <w:tcBorders>
              <w:top w:val="single" w:sz="8" w:space="0" w:color="365F91"/>
              <w:bottom w:val="single" w:sz="8" w:space="0" w:color="365F91"/>
            </w:tcBorders>
            <w:shd w:val="clear" w:color="auto" w:fill="FFFFFF"/>
            <w:tcMar>
              <w:top w:w="0" w:type="dxa"/>
              <w:left w:w="108" w:type="dxa"/>
              <w:bottom w:w="0" w:type="dxa"/>
              <w:right w:w="108" w:type="dxa"/>
            </w:tcMar>
            <w:vAlign w:val="center"/>
          </w:tcPr>
          <w:p w14:paraId="5A38A6D3" w14:textId="77777777" w:rsidR="00855935" w:rsidRPr="00BE78CA" w:rsidRDefault="00855935" w:rsidP="00F5003E">
            <w:pPr>
              <w:pStyle w:val="Tableboldblue"/>
              <w:spacing w:before="40" w:after="40"/>
              <w:jc w:val="right"/>
            </w:pPr>
            <w:r w:rsidRPr="00BE78CA">
              <w:rPr>
                <w:rFonts w:eastAsia="Calibri"/>
              </w:rPr>
              <w:t>65,129.2</w:t>
            </w:r>
          </w:p>
        </w:tc>
        <w:tc>
          <w:tcPr>
            <w:tcW w:w="1036" w:type="dxa"/>
            <w:tcBorders>
              <w:top w:val="single" w:sz="8" w:space="0" w:color="365F91"/>
              <w:bottom w:val="single" w:sz="8" w:space="0" w:color="365F91"/>
            </w:tcBorders>
            <w:shd w:val="clear" w:color="auto" w:fill="FFFFFF"/>
            <w:tcMar>
              <w:top w:w="0" w:type="dxa"/>
              <w:left w:w="108" w:type="dxa"/>
              <w:bottom w:w="0" w:type="dxa"/>
              <w:right w:w="108" w:type="dxa"/>
            </w:tcMar>
            <w:vAlign w:val="center"/>
          </w:tcPr>
          <w:p w14:paraId="4A64D900" w14:textId="77777777" w:rsidR="00855935" w:rsidRPr="00BE78CA" w:rsidRDefault="00855935" w:rsidP="00F5003E">
            <w:pPr>
              <w:pStyle w:val="Tableboldblue"/>
              <w:spacing w:before="40" w:after="40"/>
              <w:jc w:val="right"/>
            </w:pPr>
            <w:r w:rsidRPr="00BE78CA">
              <w:rPr>
                <w:rFonts w:eastAsia="Calibri"/>
              </w:rPr>
              <w:t>82,317.9</w:t>
            </w:r>
          </w:p>
        </w:tc>
        <w:tc>
          <w:tcPr>
            <w:tcW w:w="3280" w:type="dxa"/>
            <w:tcBorders>
              <w:top w:val="single" w:sz="8" w:space="0" w:color="365F91"/>
              <w:bottom w:val="single" w:sz="8" w:space="0" w:color="365F91"/>
            </w:tcBorders>
            <w:shd w:val="clear" w:color="auto" w:fill="FFFFFF"/>
            <w:tcMar>
              <w:top w:w="0" w:type="dxa"/>
              <w:left w:w="108" w:type="dxa"/>
              <w:bottom w:w="0" w:type="dxa"/>
              <w:right w:w="108" w:type="dxa"/>
            </w:tcMar>
            <w:vAlign w:val="center"/>
          </w:tcPr>
          <w:p w14:paraId="19E5A181" w14:textId="77777777" w:rsidR="00855935" w:rsidRPr="00BE78CA" w:rsidRDefault="00855935" w:rsidP="00F5003E">
            <w:pPr>
              <w:pStyle w:val="Tableboldblue"/>
              <w:spacing w:before="40" w:after="40"/>
              <w:jc w:val="right"/>
            </w:pPr>
            <w:r w:rsidRPr="00BE78CA">
              <w:rPr>
                <w:rFonts w:eastAsia="Calibri"/>
              </w:rPr>
              <w:t>17,188.6</w:t>
            </w:r>
          </w:p>
        </w:tc>
        <w:tc>
          <w:tcPr>
            <w:tcW w:w="2017" w:type="dxa"/>
            <w:tcBorders>
              <w:top w:val="single" w:sz="8" w:space="0" w:color="365F91"/>
              <w:bottom w:val="single" w:sz="8" w:space="0" w:color="365F91"/>
              <w:right w:val="single" w:sz="4" w:space="0" w:color="FFFFFF"/>
            </w:tcBorders>
            <w:shd w:val="clear" w:color="auto" w:fill="FFFFFF"/>
            <w:tcMar>
              <w:top w:w="0" w:type="dxa"/>
              <w:left w:w="108" w:type="dxa"/>
              <w:bottom w:w="0" w:type="dxa"/>
              <w:right w:w="108" w:type="dxa"/>
            </w:tcMar>
            <w:vAlign w:val="center"/>
          </w:tcPr>
          <w:p w14:paraId="197196CD" w14:textId="77777777" w:rsidR="00855935" w:rsidRPr="00BE78CA" w:rsidRDefault="00855935" w:rsidP="00F5003E">
            <w:pPr>
              <w:pStyle w:val="Tableboldblue"/>
              <w:spacing w:before="40" w:after="40"/>
              <w:jc w:val="right"/>
            </w:pPr>
            <w:r w:rsidRPr="00BE78CA">
              <w:rPr>
                <w:rFonts w:eastAsia="Calibri"/>
              </w:rPr>
              <w:t>26.4%</w:t>
            </w:r>
          </w:p>
        </w:tc>
      </w:tr>
      <w:tr w:rsidR="00855935" w:rsidRPr="00BE78CA" w14:paraId="65E395BC" w14:textId="77777777" w:rsidTr="00F5003E">
        <w:trPr>
          <w:cantSplit/>
        </w:trPr>
        <w:tc>
          <w:tcPr>
            <w:tcW w:w="1125" w:type="dxa"/>
            <w:tcBorders>
              <w:top w:val="single" w:sz="8" w:space="0" w:color="365F91"/>
              <w:left w:val="single" w:sz="4" w:space="0" w:color="FFFFFF"/>
              <w:bottom w:val="single" w:sz="8" w:space="0" w:color="365F91"/>
            </w:tcBorders>
            <w:shd w:val="clear" w:color="auto" w:fill="FFFFFF"/>
            <w:tcMar>
              <w:top w:w="0" w:type="dxa"/>
              <w:left w:w="108" w:type="dxa"/>
              <w:bottom w:w="0" w:type="dxa"/>
              <w:right w:w="108" w:type="dxa"/>
            </w:tcMar>
            <w:vAlign w:val="center"/>
          </w:tcPr>
          <w:p w14:paraId="2C66D9B5" w14:textId="77777777" w:rsidR="00855935" w:rsidRPr="00BE78CA" w:rsidRDefault="00855935" w:rsidP="00F5003E">
            <w:pPr>
              <w:pStyle w:val="TableText"/>
              <w:spacing w:before="40" w:after="40"/>
            </w:pPr>
            <w:r w:rsidRPr="00BE78CA">
              <w:rPr>
                <w:rFonts w:eastAsia="Calibri"/>
              </w:rPr>
              <w:t>LULUCF</w:t>
            </w:r>
          </w:p>
        </w:tc>
        <w:tc>
          <w:tcPr>
            <w:tcW w:w="1036" w:type="dxa"/>
            <w:tcBorders>
              <w:top w:val="single" w:sz="8" w:space="0" w:color="365F91"/>
              <w:bottom w:val="single" w:sz="8" w:space="0" w:color="365F91"/>
            </w:tcBorders>
            <w:shd w:val="clear" w:color="auto" w:fill="FFFFFF"/>
            <w:tcMar>
              <w:top w:w="0" w:type="dxa"/>
              <w:left w:w="108" w:type="dxa"/>
              <w:bottom w:w="0" w:type="dxa"/>
              <w:right w:w="108" w:type="dxa"/>
            </w:tcMar>
            <w:vAlign w:val="center"/>
          </w:tcPr>
          <w:p w14:paraId="00BACD8C" w14:textId="77777777" w:rsidR="00855935" w:rsidRPr="00BE78CA" w:rsidRDefault="00855935" w:rsidP="00F5003E">
            <w:pPr>
              <w:pStyle w:val="TableText"/>
              <w:spacing w:before="40" w:after="40"/>
              <w:jc w:val="right"/>
            </w:pPr>
            <w:r w:rsidRPr="00BE78CA">
              <w:rPr>
                <w:rFonts w:eastAsia="Calibri"/>
              </w:rPr>
              <w:t>–24,014.5</w:t>
            </w:r>
          </w:p>
        </w:tc>
        <w:tc>
          <w:tcPr>
            <w:tcW w:w="1036" w:type="dxa"/>
            <w:tcBorders>
              <w:top w:val="single" w:sz="8" w:space="0" w:color="365F91"/>
              <w:bottom w:val="single" w:sz="8" w:space="0" w:color="365F91"/>
            </w:tcBorders>
            <w:shd w:val="clear" w:color="auto" w:fill="FFFFFF"/>
            <w:tcMar>
              <w:top w:w="0" w:type="dxa"/>
              <w:left w:w="108" w:type="dxa"/>
              <w:bottom w:w="0" w:type="dxa"/>
              <w:right w:w="108" w:type="dxa"/>
            </w:tcMar>
            <w:vAlign w:val="center"/>
          </w:tcPr>
          <w:p w14:paraId="196C30B4" w14:textId="77777777" w:rsidR="00855935" w:rsidRPr="00BE78CA" w:rsidRDefault="00855935" w:rsidP="00F5003E">
            <w:pPr>
              <w:pStyle w:val="TableText"/>
              <w:spacing w:before="40" w:after="40"/>
              <w:jc w:val="right"/>
            </w:pPr>
            <w:r w:rsidRPr="00BE78CA">
              <w:rPr>
                <w:rFonts w:eastAsia="Calibri"/>
              </w:rPr>
              <w:t>–27,425.1</w:t>
            </w:r>
          </w:p>
        </w:tc>
        <w:tc>
          <w:tcPr>
            <w:tcW w:w="3280" w:type="dxa"/>
            <w:tcBorders>
              <w:top w:val="single" w:sz="8" w:space="0" w:color="365F91"/>
              <w:bottom w:val="single" w:sz="8" w:space="0" w:color="365F91"/>
            </w:tcBorders>
            <w:shd w:val="clear" w:color="auto" w:fill="FFFFFF"/>
            <w:tcMar>
              <w:top w:w="0" w:type="dxa"/>
              <w:left w:w="108" w:type="dxa"/>
              <w:bottom w:w="0" w:type="dxa"/>
              <w:right w:w="108" w:type="dxa"/>
            </w:tcMar>
            <w:vAlign w:val="center"/>
          </w:tcPr>
          <w:p w14:paraId="66952FBF" w14:textId="77777777" w:rsidR="00855935" w:rsidRPr="00BE78CA" w:rsidRDefault="00855935" w:rsidP="00F5003E">
            <w:pPr>
              <w:pStyle w:val="TableText"/>
              <w:spacing w:before="40" w:after="40"/>
              <w:jc w:val="right"/>
            </w:pPr>
            <w:r w:rsidRPr="00BE78CA">
              <w:rPr>
                <w:rFonts w:eastAsia="Calibri"/>
              </w:rPr>
              <w:t>–3,410.6</w:t>
            </w:r>
          </w:p>
        </w:tc>
        <w:tc>
          <w:tcPr>
            <w:tcW w:w="2017" w:type="dxa"/>
            <w:tcBorders>
              <w:top w:val="single" w:sz="8" w:space="0" w:color="365F91"/>
              <w:bottom w:val="single" w:sz="8" w:space="0" w:color="365F91"/>
              <w:right w:val="single" w:sz="4" w:space="0" w:color="FFFFFF"/>
            </w:tcBorders>
            <w:shd w:val="clear" w:color="auto" w:fill="FFFFFF"/>
            <w:tcMar>
              <w:top w:w="0" w:type="dxa"/>
              <w:left w:w="108" w:type="dxa"/>
              <w:bottom w:w="0" w:type="dxa"/>
              <w:right w:w="108" w:type="dxa"/>
            </w:tcMar>
            <w:vAlign w:val="center"/>
          </w:tcPr>
          <w:p w14:paraId="0455AD3C" w14:textId="77777777" w:rsidR="00855935" w:rsidRPr="00BE78CA" w:rsidRDefault="00855935" w:rsidP="00F5003E">
            <w:pPr>
              <w:pStyle w:val="TableText"/>
              <w:spacing w:before="40" w:after="40"/>
              <w:jc w:val="right"/>
            </w:pPr>
            <w:r w:rsidRPr="00BE78CA">
              <w:rPr>
                <w:rFonts w:eastAsia="Calibri"/>
              </w:rPr>
              <w:t>–14.2%</w:t>
            </w:r>
          </w:p>
        </w:tc>
      </w:tr>
      <w:tr w:rsidR="00855935" w:rsidRPr="00BE78CA" w14:paraId="2D2940B7" w14:textId="77777777" w:rsidTr="00F5003E">
        <w:trPr>
          <w:cantSplit/>
        </w:trPr>
        <w:tc>
          <w:tcPr>
            <w:tcW w:w="1125" w:type="dxa"/>
            <w:tcBorders>
              <w:top w:val="single" w:sz="8" w:space="0" w:color="365F91"/>
              <w:left w:val="single" w:sz="4" w:space="0" w:color="FFFFFF"/>
              <w:bottom w:val="single" w:sz="4" w:space="0" w:color="365F91"/>
            </w:tcBorders>
            <w:shd w:val="clear" w:color="auto" w:fill="FFFFFF"/>
            <w:tcMar>
              <w:top w:w="0" w:type="dxa"/>
              <w:left w:w="108" w:type="dxa"/>
              <w:bottom w:w="0" w:type="dxa"/>
              <w:right w:w="108" w:type="dxa"/>
            </w:tcMar>
            <w:vAlign w:val="center"/>
          </w:tcPr>
          <w:p w14:paraId="66F43D50" w14:textId="77777777" w:rsidR="00855935" w:rsidRPr="00BE78CA" w:rsidRDefault="00855935" w:rsidP="00F5003E">
            <w:pPr>
              <w:pStyle w:val="Tableboldblue"/>
              <w:spacing w:before="40" w:after="40"/>
            </w:pPr>
            <w:r w:rsidRPr="00BE78CA">
              <w:rPr>
                <w:rFonts w:eastAsia="Calibri"/>
              </w:rPr>
              <w:t>Net</w:t>
            </w:r>
          </w:p>
        </w:tc>
        <w:tc>
          <w:tcPr>
            <w:tcW w:w="1036" w:type="dxa"/>
            <w:tcBorders>
              <w:top w:val="single" w:sz="8" w:space="0" w:color="365F91"/>
              <w:bottom w:val="single" w:sz="4" w:space="0" w:color="365F91"/>
            </w:tcBorders>
            <w:shd w:val="clear" w:color="auto" w:fill="FFFFFF"/>
            <w:tcMar>
              <w:top w:w="0" w:type="dxa"/>
              <w:left w:w="108" w:type="dxa"/>
              <w:bottom w:w="0" w:type="dxa"/>
              <w:right w:w="108" w:type="dxa"/>
            </w:tcMar>
            <w:vAlign w:val="center"/>
          </w:tcPr>
          <w:p w14:paraId="42E1151B" w14:textId="77777777" w:rsidR="00855935" w:rsidRPr="00BE78CA" w:rsidRDefault="00855935" w:rsidP="00F5003E">
            <w:pPr>
              <w:pStyle w:val="Tableboldblue"/>
              <w:spacing w:before="40" w:after="40"/>
              <w:jc w:val="right"/>
            </w:pPr>
            <w:r w:rsidRPr="00BE78CA">
              <w:rPr>
                <w:rFonts w:eastAsia="Calibri"/>
              </w:rPr>
              <w:t>41,114.8</w:t>
            </w:r>
          </w:p>
        </w:tc>
        <w:tc>
          <w:tcPr>
            <w:tcW w:w="1036" w:type="dxa"/>
            <w:tcBorders>
              <w:top w:val="single" w:sz="8" w:space="0" w:color="365F91"/>
              <w:bottom w:val="single" w:sz="4" w:space="0" w:color="365F91"/>
            </w:tcBorders>
            <w:shd w:val="clear" w:color="auto" w:fill="FFFFFF"/>
            <w:tcMar>
              <w:top w:w="0" w:type="dxa"/>
              <w:left w:w="108" w:type="dxa"/>
              <w:bottom w:w="0" w:type="dxa"/>
              <w:right w:w="108" w:type="dxa"/>
            </w:tcMar>
            <w:vAlign w:val="center"/>
          </w:tcPr>
          <w:p w14:paraId="4FF38DFD" w14:textId="77777777" w:rsidR="00855935" w:rsidRPr="00BE78CA" w:rsidRDefault="00855935" w:rsidP="00F5003E">
            <w:pPr>
              <w:pStyle w:val="Tableboldblue"/>
              <w:spacing w:before="40" w:after="40"/>
              <w:jc w:val="right"/>
            </w:pPr>
            <w:r w:rsidRPr="00BE78CA">
              <w:rPr>
                <w:rFonts w:eastAsia="Calibri"/>
              </w:rPr>
              <w:t>54,892.8</w:t>
            </w:r>
          </w:p>
        </w:tc>
        <w:tc>
          <w:tcPr>
            <w:tcW w:w="3280" w:type="dxa"/>
            <w:tcBorders>
              <w:top w:val="single" w:sz="8" w:space="0" w:color="365F91"/>
              <w:bottom w:val="single" w:sz="4" w:space="0" w:color="365F91"/>
            </w:tcBorders>
            <w:shd w:val="clear" w:color="auto" w:fill="FFFFFF"/>
            <w:tcMar>
              <w:top w:w="0" w:type="dxa"/>
              <w:left w:w="108" w:type="dxa"/>
              <w:bottom w:w="0" w:type="dxa"/>
              <w:right w:w="108" w:type="dxa"/>
            </w:tcMar>
            <w:vAlign w:val="center"/>
          </w:tcPr>
          <w:p w14:paraId="4D9B134D" w14:textId="77777777" w:rsidR="00855935" w:rsidRPr="00BE78CA" w:rsidRDefault="00855935" w:rsidP="00F5003E">
            <w:pPr>
              <w:pStyle w:val="Tableboldblue"/>
              <w:spacing w:before="40" w:after="40"/>
              <w:jc w:val="right"/>
            </w:pPr>
            <w:r w:rsidRPr="00BE78CA">
              <w:rPr>
                <w:rFonts w:eastAsia="Calibri"/>
              </w:rPr>
              <w:t>13,778.0</w:t>
            </w:r>
          </w:p>
        </w:tc>
        <w:tc>
          <w:tcPr>
            <w:tcW w:w="2017" w:type="dxa"/>
            <w:tcBorders>
              <w:top w:val="single" w:sz="8" w:space="0" w:color="365F91"/>
              <w:bottom w:val="single" w:sz="4" w:space="0" w:color="365F91"/>
              <w:right w:val="single" w:sz="4" w:space="0" w:color="FFFFFF"/>
            </w:tcBorders>
            <w:shd w:val="clear" w:color="auto" w:fill="FFFFFF"/>
            <w:tcMar>
              <w:top w:w="0" w:type="dxa"/>
              <w:left w:w="108" w:type="dxa"/>
              <w:bottom w:w="0" w:type="dxa"/>
              <w:right w:w="108" w:type="dxa"/>
            </w:tcMar>
            <w:vAlign w:val="center"/>
          </w:tcPr>
          <w:p w14:paraId="51405C7E" w14:textId="77777777" w:rsidR="00855935" w:rsidRPr="00BE78CA" w:rsidRDefault="00855935" w:rsidP="00F5003E">
            <w:pPr>
              <w:pStyle w:val="Tableboldblue"/>
              <w:spacing w:before="40" w:after="40"/>
              <w:jc w:val="right"/>
            </w:pPr>
            <w:r w:rsidRPr="00BE78CA">
              <w:rPr>
                <w:rFonts w:eastAsia="Calibri"/>
              </w:rPr>
              <w:t>33.5%</w:t>
            </w:r>
          </w:p>
        </w:tc>
      </w:tr>
    </w:tbl>
    <w:p w14:paraId="22A47863" w14:textId="77777777" w:rsidR="00855935" w:rsidRPr="00BE78CA" w:rsidRDefault="00855935" w:rsidP="00855935">
      <w:pPr>
        <w:pStyle w:val="Noteundertable"/>
      </w:pPr>
      <w:r w:rsidRPr="00BE78CA">
        <w:rPr>
          <w:b/>
        </w:rPr>
        <w:t>Note:</w:t>
      </w:r>
      <w:r w:rsidRPr="00BE78CA">
        <w:t xml:space="preserve"> </w:t>
      </w:r>
      <w:r w:rsidRPr="00BE78CA">
        <w:tab/>
        <w:t>Net emissions from the LULUCF sector are reported as a negative number because the sector removes more CO</w:t>
      </w:r>
      <w:r w:rsidRPr="00BE78CA">
        <w:rPr>
          <w:vertAlign w:val="subscript"/>
        </w:rPr>
        <w:t>2</w:t>
      </w:r>
      <w:r w:rsidRPr="00BE78CA">
        <w:t xml:space="preserve"> from the atmosphere than it emits (see chapter 6). Columns may not total due to rounding. Percentages presented are calculated from unrounded values.</w:t>
      </w:r>
    </w:p>
    <w:p w14:paraId="1AAB2185" w14:textId="3E817B50" w:rsidR="00855935" w:rsidRPr="00BE78CA" w:rsidRDefault="00855935" w:rsidP="00855935">
      <w:pPr>
        <w:pStyle w:val="Figure"/>
      </w:pPr>
      <w:bookmarkStart w:id="36" w:name="_Toc68786616"/>
      <w:r w:rsidRPr="00BE78CA">
        <w:lastRenderedPageBreak/>
        <w:t xml:space="preserve">Figure ES 4.3 </w:t>
      </w:r>
      <w:r w:rsidR="00F5003E" w:rsidRPr="00BE78CA">
        <w:tab/>
      </w:r>
      <w:r w:rsidRPr="00BE78CA">
        <w:t>Change in New Zealand’s emissions by sector, comparing 1990 and 2019</w:t>
      </w:r>
      <w:bookmarkEnd w:id="36"/>
    </w:p>
    <w:p w14:paraId="32319D98" w14:textId="77777777" w:rsidR="00855935" w:rsidRPr="00BE78CA" w:rsidRDefault="00855935" w:rsidP="00855935">
      <w:pPr>
        <w:pStyle w:val="BodyText"/>
      </w:pPr>
      <w:r w:rsidRPr="00BE78CA">
        <w:rPr>
          <w:noProof/>
        </w:rPr>
        <w:drawing>
          <wp:inline distT="0" distB="0" distL="0" distR="0" wp14:anchorId="4582AD25" wp14:editId="516C21E0">
            <wp:extent cx="5397500" cy="3979468"/>
            <wp:effectExtent l="0" t="0" r="0" b="2540"/>
            <wp:docPr id="6" name="Picture"/>
            <wp:cNvGraphicFramePr/>
            <a:graphic xmlns:a="http://schemas.openxmlformats.org/drawingml/2006/main">
              <a:graphicData uri="http://schemas.openxmlformats.org/drawingml/2006/picture">
                <pic:pic xmlns:pic="http://schemas.openxmlformats.org/drawingml/2006/picture">
                  <pic:nvPicPr>
                    <pic:cNvPr id="0" name="Picture" descr="code/graphs/images/es_4_3_crf.png"/>
                    <pic:cNvPicPr>
                      <a:picLocks noChangeAspect="1" noChangeArrowheads="1"/>
                    </pic:cNvPicPr>
                  </pic:nvPicPr>
                  <pic:blipFill rotWithShape="1">
                    <a:blip r:embed="rId25"/>
                    <a:srcRect b="1696"/>
                    <a:stretch/>
                  </pic:blipFill>
                  <pic:spPr bwMode="auto">
                    <a:xfrm>
                      <a:off x="0" y="0"/>
                      <a:ext cx="5397500" cy="3979468"/>
                    </a:xfrm>
                    <a:prstGeom prst="rect">
                      <a:avLst/>
                    </a:prstGeom>
                    <a:noFill/>
                    <a:ln>
                      <a:noFill/>
                    </a:ln>
                    <a:extLst>
                      <a:ext uri="{53640926-AAD7-44D8-BBD7-CCE9431645EC}">
                        <a14:shadowObscured xmlns:a14="http://schemas.microsoft.com/office/drawing/2010/main"/>
                      </a:ext>
                    </a:extLst>
                  </pic:spPr>
                </pic:pic>
              </a:graphicData>
            </a:graphic>
          </wp:inline>
        </w:drawing>
      </w:r>
    </w:p>
    <w:p w14:paraId="3477A57D" w14:textId="77777777" w:rsidR="00855935" w:rsidRPr="00BE78CA" w:rsidRDefault="00855935" w:rsidP="00855935">
      <w:pPr>
        <w:pStyle w:val="Heading3"/>
      </w:pPr>
      <w:bookmarkStart w:id="37" w:name="sector-specific-trends"/>
      <w:r w:rsidRPr="00BE78CA">
        <w:t>Sector-specific trends</w:t>
      </w:r>
      <w:bookmarkEnd w:id="37"/>
    </w:p>
    <w:p w14:paraId="6D147B02" w14:textId="77777777" w:rsidR="00855935" w:rsidRPr="00BE78CA" w:rsidRDefault="00855935" w:rsidP="00855935">
      <w:pPr>
        <w:pStyle w:val="Heading4"/>
      </w:pPr>
      <w:bookmarkStart w:id="38" w:name="energy-chapter-3"/>
      <w:r w:rsidRPr="00BE78CA">
        <w:t>Energy (chapter 3)</w:t>
      </w:r>
      <w:bookmarkEnd w:id="38"/>
    </w:p>
    <w:p w14:paraId="45BFEA52" w14:textId="77777777" w:rsidR="00855935" w:rsidRPr="00BE78CA" w:rsidRDefault="00855935" w:rsidP="00855935">
      <w:pPr>
        <w:pStyle w:val="Heading5"/>
      </w:pPr>
      <w:bookmarkStart w:id="39" w:name="section-2"/>
      <w:r w:rsidRPr="00BE78CA">
        <w:t>2019</w:t>
      </w:r>
      <w:bookmarkEnd w:id="39"/>
    </w:p>
    <w:p w14:paraId="6E8D2986" w14:textId="4061944A" w:rsidR="00855935" w:rsidRPr="00BE78CA" w:rsidRDefault="00855935" w:rsidP="00855935">
      <w:pPr>
        <w:pStyle w:val="BodyText"/>
      </w:pPr>
      <w:r w:rsidRPr="00BE78CA">
        <w:t>In 2019, emissions from the Energy sector contributed 34,263.1 kt CO</w:t>
      </w:r>
      <w:r w:rsidRPr="00BE78CA">
        <w:rPr>
          <w:vertAlign w:val="subscript"/>
        </w:rPr>
        <w:t>2</w:t>
      </w:r>
      <w:r w:rsidRPr="00BE78CA">
        <w:t>-e or 41.6 cent of New</w:t>
      </w:r>
      <w:r w:rsidR="00F5003E" w:rsidRPr="00BE78CA">
        <w:t> </w:t>
      </w:r>
      <w:r w:rsidRPr="00BE78CA">
        <w:t>Zealand’s gross GHG emissions (see figure ES 4.2).</w:t>
      </w:r>
    </w:p>
    <w:p w14:paraId="387EDC70" w14:textId="77777777" w:rsidR="00855935" w:rsidRPr="00BE78CA" w:rsidRDefault="00855935" w:rsidP="00855935">
      <w:pPr>
        <w:pStyle w:val="BodyText"/>
      </w:pPr>
      <w:r w:rsidRPr="00BE78CA">
        <w:t xml:space="preserve">The largest sources of emissions in the Energy sector were </w:t>
      </w:r>
      <w:r w:rsidRPr="00BE78CA">
        <w:rPr>
          <w:i/>
        </w:rPr>
        <w:t>Road transportation</w:t>
      </w:r>
      <w:r w:rsidRPr="00BE78CA">
        <w:t>, contributing 14,670.1 kt CO</w:t>
      </w:r>
      <w:r w:rsidRPr="00BE78CA">
        <w:rPr>
          <w:vertAlign w:val="subscript"/>
        </w:rPr>
        <w:t>2</w:t>
      </w:r>
      <w:r w:rsidRPr="00BE78CA">
        <w:t xml:space="preserve">-e (42.8 per cent), and </w:t>
      </w:r>
      <w:r w:rsidRPr="00BE78CA">
        <w:rPr>
          <w:i/>
        </w:rPr>
        <w:t>Public electricity and heat production</w:t>
      </w:r>
      <w:r w:rsidRPr="00BE78CA">
        <w:t xml:space="preserve"> category, contributing 4,181.3 kt CO</w:t>
      </w:r>
      <w:r w:rsidRPr="00BE78CA">
        <w:rPr>
          <w:vertAlign w:val="subscript"/>
        </w:rPr>
        <w:t>2</w:t>
      </w:r>
      <w:r w:rsidRPr="00BE78CA">
        <w:t>-e (12.2 per cent) to energy emissions.</w:t>
      </w:r>
    </w:p>
    <w:p w14:paraId="75DB77BF" w14:textId="77777777" w:rsidR="00855935" w:rsidRPr="00BE78CA" w:rsidRDefault="00855935" w:rsidP="00855935">
      <w:pPr>
        <w:pStyle w:val="Heading5"/>
      </w:pPr>
      <w:bookmarkStart w:id="40" w:name="section-3"/>
      <w:r w:rsidRPr="00BE78CA">
        <w:t>1990–2019</w:t>
      </w:r>
      <w:bookmarkEnd w:id="40"/>
    </w:p>
    <w:p w14:paraId="7F8DCA07" w14:textId="77777777" w:rsidR="00855935" w:rsidRPr="00BE78CA" w:rsidRDefault="00855935" w:rsidP="00855935">
      <w:pPr>
        <w:pStyle w:val="BodyText"/>
      </w:pPr>
      <w:r w:rsidRPr="00BE78CA">
        <w:t>In 2019, emissions from the Energy sector increased by 44.3 per cent (10,518.5 kt CO</w:t>
      </w:r>
      <w:r w:rsidRPr="00BE78CA">
        <w:rPr>
          <w:vertAlign w:val="subscript"/>
        </w:rPr>
        <w:t>2</w:t>
      </w:r>
      <w:r w:rsidRPr="00BE78CA">
        <w:t>-e) from the 1990 level of 23,744.5 kt CO</w:t>
      </w:r>
      <w:r w:rsidRPr="00BE78CA">
        <w:rPr>
          <w:vertAlign w:val="subscript"/>
        </w:rPr>
        <w:t>2</w:t>
      </w:r>
      <w:r w:rsidRPr="00BE78CA">
        <w:t>-e.</w:t>
      </w:r>
    </w:p>
    <w:p w14:paraId="7D8C6141" w14:textId="625DE352" w:rsidR="00855935" w:rsidRPr="00BE78CA" w:rsidRDefault="00855935" w:rsidP="00855935">
      <w:pPr>
        <w:pStyle w:val="BodyText"/>
      </w:pPr>
      <w:r w:rsidRPr="00BE78CA">
        <w:t xml:space="preserve">This growth in emissions is primarily from </w:t>
      </w:r>
      <w:r w:rsidRPr="00BE78CA">
        <w:rPr>
          <w:i/>
        </w:rPr>
        <w:t>Road transportation</w:t>
      </w:r>
      <w:r w:rsidRPr="00BE78CA">
        <w:t>, which increased by 7,194.9</w:t>
      </w:r>
      <w:r w:rsidR="00F5003E" w:rsidRPr="00BE78CA">
        <w:t> </w:t>
      </w:r>
      <w:r w:rsidRPr="00BE78CA">
        <w:t>kt CO</w:t>
      </w:r>
      <w:r w:rsidRPr="00BE78CA">
        <w:rPr>
          <w:vertAlign w:val="subscript"/>
        </w:rPr>
        <w:t>2</w:t>
      </w:r>
      <w:r w:rsidRPr="00BE78CA">
        <w:t xml:space="preserve">-e (96.2 per cent), </w:t>
      </w:r>
      <w:r w:rsidRPr="00BE78CA">
        <w:rPr>
          <w:i/>
        </w:rPr>
        <w:t>Chemicals</w:t>
      </w:r>
      <w:r w:rsidRPr="00BE78CA">
        <w:t>, which increased by 1,325.1 kt CO</w:t>
      </w:r>
      <w:r w:rsidRPr="00BE78CA">
        <w:rPr>
          <w:vertAlign w:val="subscript"/>
        </w:rPr>
        <w:t>2</w:t>
      </w:r>
      <w:r w:rsidRPr="00BE78CA">
        <w:t xml:space="preserve">-e (240 per cent), and </w:t>
      </w:r>
      <w:r w:rsidRPr="00BE78CA">
        <w:rPr>
          <w:i/>
        </w:rPr>
        <w:t>Food</w:t>
      </w:r>
      <w:r w:rsidR="00F5003E" w:rsidRPr="00BE78CA">
        <w:rPr>
          <w:i/>
        </w:rPr>
        <w:t> </w:t>
      </w:r>
      <w:r w:rsidRPr="00BE78CA">
        <w:rPr>
          <w:i/>
        </w:rPr>
        <w:t>processing, beverages and tobacco</w:t>
      </w:r>
      <w:r w:rsidRPr="00BE78CA">
        <w:t>, which increased by 1,589.8 kt CO</w:t>
      </w:r>
      <w:r w:rsidRPr="00BE78CA">
        <w:rPr>
          <w:vertAlign w:val="subscript"/>
        </w:rPr>
        <w:t>2</w:t>
      </w:r>
      <w:r w:rsidRPr="00BE78CA">
        <w:t>-e (95.7 per cent).</w:t>
      </w:r>
    </w:p>
    <w:p w14:paraId="0D7BFE6A" w14:textId="77777777" w:rsidR="00855935" w:rsidRPr="00BE78CA" w:rsidRDefault="00855935" w:rsidP="00855935">
      <w:pPr>
        <w:pStyle w:val="BodyText"/>
      </w:pPr>
      <w:r w:rsidRPr="00BE78CA">
        <w:t xml:space="preserve">In 2019, emissions from the </w:t>
      </w:r>
      <w:r w:rsidRPr="00BE78CA">
        <w:rPr>
          <w:i/>
        </w:rPr>
        <w:t>Manufacture of solid fuels and other energy industries</w:t>
      </w:r>
      <w:r w:rsidRPr="00BE78CA">
        <w:t xml:space="preserve"> were lower than the 1990 level, by 1,408.1 kt CO</w:t>
      </w:r>
      <w:r w:rsidRPr="00BE78CA">
        <w:rPr>
          <w:vertAlign w:val="subscript"/>
        </w:rPr>
        <w:t>2</w:t>
      </w:r>
      <w:r w:rsidRPr="00BE78CA">
        <w:t>-e (79.9 per cent). This decrease is primarily due to the cessation of synthetic gasoline production in 1997.</w:t>
      </w:r>
    </w:p>
    <w:p w14:paraId="68DBEF76" w14:textId="047B61F3" w:rsidR="00855935" w:rsidRPr="00BE78CA" w:rsidRDefault="00855935" w:rsidP="00855935">
      <w:pPr>
        <w:pStyle w:val="BodyText"/>
      </w:pPr>
      <w:r w:rsidRPr="00BE78CA">
        <w:lastRenderedPageBreak/>
        <w:t>Figure ES 4.1 show the Energy sector emissions time series from 1990 to 2019. The trend</w:t>
      </w:r>
      <w:r w:rsidR="00F5003E" w:rsidRPr="00BE78CA">
        <w:t> </w:t>
      </w:r>
      <w:r w:rsidRPr="00BE78CA">
        <w:t>shows emissions increased until around 2005, after which there has been a general lateral movement.</w:t>
      </w:r>
    </w:p>
    <w:p w14:paraId="587E8298" w14:textId="77777777" w:rsidR="00855935" w:rsidRPr="00BE78CA" w:rsidRDefault="00855935" w:rsidP="00855935">
      <w:pPr>
        <w:pStyle w:val="Heading5"/>
      </w:pPr>
      <w:bookmarkStart w:id="41" w:name="section-4"/>
      <w:r w:rsidRPr="00BE78CA">
        <w:t>2018–2019</w:t>
      </w:r>
      <w:bookmarkEnd w:id="41"/>
    </w:p>
    <w:p w14:paraId="0864DD4F" w14:textId="77777777" w:rsidR="00855935" w:rsidRPr="00BE78CA" w:rsidRDefault="00855935" w:rsidP="00855935">
      <w:pPr>
        <w:pStyle w:val="BodyText"/>
      </w:pPr>
      <w:r w:rsidRPr="00BE78CA">
        <w:t>Between</w:t>
      </w:r>
      <w:r w:rsidRPr="00BE78CA">
        <w:rPr>
          <w:bCs/>
        </w:rPr>
        <w:t xml:space="preserve"> 2018 and 2019, emissions from the Energy sector increased by 1,711.1 kt C</w:t>
      </w:r>
      <w:r w:rsidRPr="00BE78CA">
        <w:t>O</w:t>
      </w:r>
      <w:r w:rsidRPr="00BE78CA">
        <w:rPr>
          <w:vertAlign w:val="subscript"/>
        </w:rPr>
        <w:t>2</w:t>
      </w:r>
      <w:r w:rsidRPr="00BE78CA">
        <w:t>-e (</w:t>
      </w:r>
      <w:r w:rsidRPr="00BE78CA">
        <w:rPr>
          <w:bCs/>
        </w:rPr>
        <w:t>5.3</w:t>
      </w:r>
      <w:r w:rsidRPr="00BE78CA">
        <w:rPr>
          <w:b/>
        </w:rPr>
        <w:t> </w:t>
      </w:r>
      <w:r w:rsidRPr="00BE78CA">
        <w:t>per cent). This is primarily due to the 756.5 kt CO</w:t>
      </w:r>
      <w:r w:rsidRPr="00BE78CA">
        <w:rPr>
          <w:vertAlign w:val="subscript"/>
        </w:rPr>
        <w:t>2</w:t>
      </w:r>
      <w:r w:rsidRPr="00BE78CA">
        <w:t xml:space="preserve">-e (11.0 per cent) increase in emissions from 1.A.2 </w:t>
      </w:r>
      <w:r w:rsidRPr="00BE78CA">
        <w:rPr>
          <w:i/>
        </w:rPr>
        <w:t>Manufacturing industries and construction</w:t>
      </w:r>
      <w:r w:rsidRPr="00BE78CA">
        <w:t>. The increase is largely due to a rise in methanol production.</w:t>
      </w:r>
    </w:p>
    <w:p w14:paraId="208ADC3E" w14:textId="70597A5E" w:rsidR="00855935" w:rsidRPr="00BE78CA" w:rsidRDefault="00855935" w:rsidP="00855935">
      <w:pPr>
        <w:pStyle w:val="BodyText"/>
        <w:rPr>
          <w:spacing w:val="2"/>
        </w:rPr>
      </w:pPr>
      <w:r w:rsidRPr="00BE78CA">
        <w:rPr>
          <w:spacing w:val="2"/>
        </w:rPr>
        <w:t xml:space="preserve">The increase was partially offset by decreases from the categories 1.A.3.a </w:t>
      </w:r>
      <w:r w:rsidRPr="00BE78CA">
        <w:rPr>
          <w:i/>
          <w:spacing w:val="2"/>
        </w:rPr>
        <w:t>Domestic aviation</w:t>
      </w:r>
      <w:r w:rsidR="009E1B93" w:rsidRPr="00BE78CA">
        <w:rPr>
          <w:spacing w:val="2"/>
        </w:rPr>
        <w:t> </w:t>
      </w:r>
      <w:r w:rsidRPr="00BE78CA">
        <w:rPr>
          <w:spacing w:val="2"/>
        </w:rPr>
        <w:t xml:space="preserve">and 1.A.3.b </w:t>
      </w:r>
      <w:r w:rsidRPr="00BE78CA">
        <w:rPr>
          <w:i/>
          <w:spacing w:val="2"/>
        </w:rPr>
        <w:t>Road transportation</w:t>
      </w:r>
      <w:r w:rsidRPr="00BE78CA">
        <w:rPr>
          <w:spacing w:val="2"/>
        </w:rPr>
        <w:t>, which decreased by 55.1 kt CO</w:t>
      </w:r>
      <w:r w:rsidRPr="00BE78CA">
        <w:rPr>
          <w:spacing w:val="2"/>
          <w:vertAlign w:val="subscript"/>
        </w:rPr>
        <w:t>2</w:t>
      </w:r>
      <w:r w:rsidRPr="00BE78CA">
        <w:rPr>
          <w:spacing w:val="2"/>
        </w:rPr>
        <w:t>-e (5.1 per cent) and 29.1</w:t>
      </w:r>
      <w:r w:rsidR="00AD216E" w:rsidRPr="00BE78CA">
        <w:rPr>
          <w:spacing w:val="2"/>
        </w:rPr>
        <w:t> </w:t>
      </w:r>
      <w:r w:rsidRPr="00BE78CA">
        <w:rPr>
          <w:spacing w:val="2"/>
        </w:rPr>
        <w:t>kt CO</w:t>
      </w:r>
      <w:r w:rsidRPr="00BE78CA">
        <w:rPr>
          <w:spacing w:val="2"/>
          <w:vertAlign w:val="subscript"/>
        </w:rPr>
        <w:t>2</w:t>
      </w:r>
      <w:r w:rsidRPr="00BE78CA">
        <w:rPr>
          <w:spacing w:val="2"/>
        </w:rPr>
        <w:t>-e (0.2 per cent) respectively. The decrease in domestic aviation for 2019 saw</w:t>
      </w:r>
      <w:r w:rsidR="009E1B93" w:rsidRPr="00BE78CA">
        <w:rPr>
          <w:spacing w:val="2"/>
        </w:rPr>
        <w:t> </w:t>
      </w:r>
      <w:r w:rsidRPr="00BE78CA">
        <w:rPr>
          <w:spacing w:val="2"/>
        </w:rPr>
        <w:t>activity fall back to a similar level as 2017 after the peak of 2018. The 5 per cent drop was in line with historical variability and was similar to the 5 per cent drop seen in 2014, but</w:t>
      </w:r>
      <w:r w:rsidR="009E1B93" w:rsidRPr="00BE78CA">
        <w:rPr>
          <w:spacing w:val="2"/>
        </w:rPr>
        <w:t> </w:t>
      </w:r>
      <w:r w:rsidRPr="00BE78CA">
        <w:rPr>
          <w:spacing w:val="2"/>
        </w:rPr>
        <w:t>less than the 17 per cent drop of 2012. It is beyond the scope of this report to examine the underlying drivers, which are numerous and interlinked via complex economic and behavioural relationships.</w:t>
      </w:r>
    </w:p>
    <w:p w14:paraId="0A300760" w14:textId="77777777" w:rsidR="00855935" w:rsidRPr="00BE78CA" w:rsidRDefault="00855935" w:rsidP="00855935">
      <w:pPr>
        <w:pStyle w:val="BodyText"/>
      </w:pPr>
      <w:r w:rsidRPr="00BE78CA">
        <w:t>A 720.1 kt CO</w:t>
      </w:r>
      <w:r w:rsidRPr="00BE78CA">
        <w:rPr>
          <w:vertAlign w:val="subscript"/>
        </w:rPr>
        <w:t>2</w:t>
      </w:r>
      <w:r w:rsidRPr="00BE78CA">
        <w:t xml:space="preserve">-e (20.8 per cent) increase also occurred in emissions from category 1.A.1.a </w:t>
      </w:r>
      <w:r w:rsidRPr="00BE78CA">
        <w:rPr>
          <w:i/>
        </w:rPr>
        <w:t>Public electricity and heat production</w:t>
      </w:r>
      <w:r w:rsidRPr="00BE78CA">
        <w:t>. This was primarily due to an increase in natural gas-fired and coal-fired generation in response to lower levels of hydro generation.</w:t>
      </w:r>
    </w:p>
    <w:p w14:paraId="6F97A0F9" w14:textId="77777777" w:rsidR="00855935" w:rsidRPr="00BE78CA" w:rsidRDefault="00855935" w:rsidP="00855935">
      <w:pPr>
        <w:pStyle w:val="Heading4"/>
      </w:pPr>
      <w:bookmarkStart w:id="42" w:name="ippu-chapter-4"/>
      <w:r w:rsidRPr="00BE78CA">
        <w:t>IPPU (chapter 4)</w:t>
      </w:r>
      <w:bookmarkEnd w:id="42"/>
    </w:p>
    <w:p w14:paraId="27076C04" w14:textId="77777777" w:rsidR="00855935" w:rsidRPr="00BE78CA" w:rsidRDefault="00855935" w:rsidP="00855935">
      <w:pPr>
        <w:pStyle w:val="Heading5"/>
      </w:pPr>
      <w:bookmarkStart w:id="43" w:name="section-5"/>
      <w:r w:rsidRPr="00BE78CA">
        <w:t>2019</w:t>
      </w:r>
      <w:bookmarkEnd w:id="43"/>
    </w:p>
    <w:p w14:paraId="62C79D28" w14:textId="443D59CE" w:rsidR="00855935" w:rsidRPr="00BE78CA" w:rsidRDefault="00855935" w:rsidP="00855935">
      <w:pPr>
        <w:pStyle w:val="BodyText"/>
      </w:pPr>
      <w:r w:rsidRPr="00BE78CA">
        <w:t>In 2019, emissions from the IPPU sector contributed 5,115.9 kt CO</w:t>
      </w:r>
      <w:r w:rsidRPr="00BE78CA">
        <w:rPr>
          <w:vertAlign w:val="subscript"/>
        </w:rPr>
        <w:t>2</w:t>
      </w:r>
      <w:r w:rsidRPr="00BE78CA">
        <w:t>-e or 6.2 per cent of New</w:t>
      </w:r>
      <w:r w:rsidR="009E1B93" w:rsidRPr="00BE78CA">
        <w:t> </w:t>
      </w:r>
      <w:r w:rsidRPr="00BE78CA">
        <w:t>Zealand’s gross GHG emissions (see figure ES 4.2).</w:t>
      </w:r>
    </w:p>
    <w:p w14:paraId="1EE50138" w14:textId="77777777" w:rsidR="00855935" w:rsidRPr="00BE78CA" w:rsidRDefault="00855935" w:rsidP="00855935">
      <w:pPr>
        <w:pStyle w:val="BodyText"/>
      </w:pPr>
      <w:r w:rsidRPr="00BE78CA">
        <w:t xml:space="preserve">The largest category is the </w:t>
      </w:r>
      <w:r w:rsidRPr="00BE78CA">
        <w:rPr>
          <w:i/>
        </w:rPr>
        <w:t>Metal industry</w:t>
      </w:r>
      <w:r w:rsidRPr="00BE78CA">
        <w:t>, with substantial CO</w:t>
      </w:r>
      <w:r w:rsidRPr="00BE78CA">
        <w:rPr>
          <w:vertAlign w:val="subscript"/>
        </w:rPr>
        <w:t>2</w:t>
      </w:r>
      <w:r w:rsidRPr="00BE78CA">
        <w:t xml:space="preserve"> emissions from the </w:t>
      </w:r>
      <w:r w:rsidRPr="00BE78CA">
        <w:rPr>
          <w:i/>
        </w:rPr>
        <w:t>Iron and steel production</w:t>
      </w:r>
      <w:r w:rsidRPr="00BE78CA">
        <w:t xml:space="preserve"> and </w:t>
      </w:r>
      <w:r w:rsidRPr="00BE78CA">
        <w:rPr>
          <w:i/>
        </w:rPr>
        <w:t>Aluminium production</w:t>
      </w:r>
      <w:r w:rsidRPr="00BE78CA">
        <w:t xml:space="preserve"> categories. The </w:t>
      </w:r>
      <w:r w:rsidRPr="00BE78CA">
        <w:rPr>
          <w:i/>
        </w:rPr>
        <w:t>Mineral industry</w:t>
      </w:r>
      <w:r w:rsidRPr="00BE78CA">
        <w:t xml:space="preserve"> and </w:t>
      </w:r>
      <w:r w:rsidRPr="00BE78CA">
        <w:rPr>
          <w:i/>
        </w:rPr>
        <w:t>Chemical industry</w:t>
      </w:r>
      <w:r w:rsidRPr="00BE78CA">
        <w:t xml:space="preserve"> categories also contribute significant CO</w:t>
      </w:r>
      <w:r w:rsidRPr="00BE78CA">
        <w:rPr>
          <w:vertAlign w:val="subscript"/>
        </w:rPr>
        <w:t>2</w:t>
      </w:r>
      <w:r w:rsidRPr="00BE78CA">
        <w:t xml:space="preserve"> emissions, and most of the non-CO</w:t>
      </w:r>
      <w:r w:rsidRPr="00BE78CA">
        <w:rPr>
          <w:vertAlign w:val="subscript"/>
        </w:rPr>
        <w:t>2</w:t>
      </w:r>
      <w:r w:rsidRPr="00BE78CA">
        <w:t xml:space="preserve"> emissions come from the </w:t>
      </w:r>
      <w:r w:rsidRPr="00BE78CA">
        <w:rPr>
          <w:i/>
        </w:rPr>
        <w:t>Product uses as substitutes for ODS</w:t>
      </w:r>
      <w:r w:rsidRPr="00BE78CA">
        <w:t xml:space="preserve"> category.</w:t>
      </w:r>
    </w:p>
    <w:p w14:paraId="526C7438" w14:textId="77777777" w:rsidR="00855935" w:rsidRPr="00BE78CA" w:rsidRDefault="00855935" w:rsidP="00855935">
      <w:pPr>
        <w:pStyle w:val="BodyText"/>
      </w:pPr>
      <w:r w:rsidRPr="00BE78CA">
        <w:t>The IPPU sector also produces smaller amounts of CH</w:t>
      </w:r>
      <w:r w:rsidRPr="00BE78CA">
        <w:rPr>
          <w:vertAlign w:val="subscript"/>
        </w:rPr>
        <w:t>4</w:t>
      </w:r>
      <w:r w:rsidRPr="00BE78CA">
        <w:t xml:space="preserve"> from methanol production and N</w:t>
      </w:r>
      <w:r w:rsidRPr="00BE78CA">
        <w:rPr>
          <w:vertAlign w:val="subscript"/>
        </w:rPr>
        <w:t>2</w:t>
      </w:r>
      <w:r w:rsidRPr="00BE78CA">
        <w:t xml:space="preserve">O used for medical applications in the </w:t>
      </w:r>
      <w:r w:rsidRPr="00BE78CA">
        <w:rPr>
          <w:i/>
        </w:rPr>
        <w:t>Other product manufacture and use</w:t>
      </w:r>
      <w:r w:rsidRPr="00BE78CA">
        <w:t xml:space="preserve"> category.</w:t>
      </w:r>
    </w:p>
    <w:p w14:paraId="25B36EFF" w14:textId="77777777" w:rsidR="00855935" w:rsidRPr="00BE78CA" w:rsidRDefault="00855935" w:rsidP="00855935">
      <w:pPr>
        <w:pStyle w:val="BodyText"/>
      </w:pPr>
      <w:r w:rsidRPr="00BE78CA">
        <w:t xml:space="preserve">Coal and natural gas are also used on a significant scale for energy in these industries, and related emissions are reported under the Energy sector in the category </w:t>
      </w:r>
      <w:r w:rsidRPr="00BE78CA">
        <w:rPr>
          <w:i/>
        </w:rPr>
        <w:t>Manufacturing industries and construction</w:t>
      </w:r>
      <w:r w:rsidRPr="00BE78CA">
        <w:t>.</w:t>
      </w:r>
    </w:p>
    <w:p w14:paraId="6FB600A1" w14:textId="77777777" w:rsidR="00855935" w:rsidRPr="00BE78CA" w:rsidRDefault="00855935" w:rsidP="00855935">
      <w:pPr>
        <w:pStyle w:val="Heading5"/>
      </w:pPr>
      <w:bookmarkStart w:id="44" w:name="section-6"/>
      <w:r w:rsidRPr="00BE78CA">
        <w:t>1990–2019</w:t>
      </w:r>
      <w:bookmarkEnd w:id="44"/>
    </w:p>
    <w:p w14:paraId="34431215" w14:textId="77777777" w:rsidR="00855935" w:rsidRPr="00BE78CA" w:rsidRDefault="00855935" w:rsidP="00855935">
      <w:pPr>
        <w:pStyle w:val="BodyText"/>
      </w:pPr>
      <w:r w:rsidRPr="00BE78CA">
        <w:t>IPPU sector emissions in 2019 were 1,536.0 kt CO</w:t>
      </w:r>
      <w:r w:rsidRPr="00BE78CA">
        <w:rPr>
          <w:vertAlign w:val="subscript"/>
        </w:rPr>
        <w:t>2</w:t>
      </w:r>
      <w:r w:rsidRPr="00BE78CA">
        <w:t>-e (42.9 per cent) higher than emissions in 1990 (3,579.9 kt CO</w:t>
      </w:r>
      <w:r w:rsidRPr="00BE78CA">
        <w:rPr>
          <w:vertAlign w:val="subscript"/>
        </w:rPr>
        <w:t>2</w:t>
      </w:r>
      <w:r w:rsidRPr="00BE78CA">
        <w:t>-e).</w:t>
      </w:r>
    </w:p>
    <w:p w14:paraId="0C197132" w14:textId="6F2367E8" w:rsidR="00855935" w:rsidRPr="00BE78CA" w:rsidRDefault="00855935" w:rsidP="00855935">
      <w:pPr>
        <w:pStyle w:val="BodyText"/>
      </w:pPr>
      <w:r w:rsidRPr="00BE78CA">
        <w:t xml:space="preserve">This increase was mainly driven by increasing emissions from the </w:t>
      </w:r>
      <w:r w:rsidRPr="00BE78CA">
        <w:rPr>
          <w:i/>
        </w:rPr>
        <w:t>Product uses as substitutes for ODS</w:t>
      </w:r>
      <w:r w:rsidRPr="00BE78CA">
        <w:t xml:space="preserve"> category, due to the introduction of HFCs to replace ozone depleting substances (ODS) in refrigeration and air conditioning and the increased use of household and commercial air conditioning. Carbon dioxide emissions have also increased due to increased production of metals, lime and cement, but at a slower rate. A substantial reduction has occurred in </w:t>
      </w:r>
      <w:r w:rsidRPr="00BE78CA">
        <w:lastRenderedPageBreak/>
        <w:t xml:space="preserve">emissions of PFCs, due to improved management of anode effects in the </w:t>
      </w:r>
      <w:r w:rsidRPr="00BE78CA">
        <w:rPr>
          <w:i/>
        </w:rPr>
        <w:t>Aluminium production category</w:t>
      </w:r>
      <w:r w:rsidRPr="00BE78CA">
        <w:t xml:space="preserve"> and some reduction in emissions of N</w:t>
      </w:r>
      <w:r w:rsidRPr="00BE78CA">
        <w:rPr>
          <w:vertAlign w:val="subscript"/>
        </w:rPr>
        <w:t>2</w:t>
      </w:r>
      <w:r w:rsidRPr="00BE78CA">
        <w:t>O used for medical applications in</w:t>
      </w:r>
      <w:r w:rsidR="0017448E" w:rsidRPr="00BE78CA">
        <w:t> </w:t>
      </w:r>
      <w:r w:rsidRPr="00BE78CA">
        <w:t xml:space="preserve">the </w:t>
      </w:r>
      <w:r w:rsidRPr="00BE78CA">
        <w:rPr>
          <w:i/>
        </w:rPr>
        <w:t>Other product manufacture and use</w:t>
      </w:r>
      <w:r w:rsidRPr="00BE78CA">
        <w:t xml:space="preserve"> category.</w:t>
      </w:r>
    </w:p>
    <w:p w14:paraId="47183C2B" w14:textId="77777777" w:rsidR="00855935" w:rsidRPr="00BE78CA" w:rsidRDefault="00855935" w:rsidP="00855935">
      <w:pPr>
        <w:pStyle w:val="Heading5"/>
      </w:pPr>
      <w:bookmarkStart w:id="45" w:name="section-7"/>
      <w:r w:rsidRPr="00BE78CA">
        <w:t>2018–2019</w:t>
      </w:r>
      <w:bookmarkEnd w:id="45"/>
    </w:p>
    <w:p w14:paraId="07C90F85" w14:textId="0B070AFB" w:rsidR="00855935" w:rsidRPr="00BE78CA" w:rsidRDefault="00855935" w:rsidP="0017448E">
      <w:pPr>
        <w:pStyle w:val="BodyText"/>
        <w:spacing w:before="80" w:after="100"/>
      </w:pPr>
      <w:r w:rsidRPr="00BE78CA">
        <w:t xml:space="preserve">Between </w:t>
      </w:r>
      <w:r w:rsidRPr="00BE78CA">
        <w:rPr>
          <w:bCs/>
        </w:rPr>
        <w:t>2018 and 2019, emissions from the IPPU sector decreased by 71.0 kt CO</w:t>
      </w:r>
      <w:r w:rsidRPr="00BE78CA">
        <w:rPr>
          <w:bCs/>
          <w:vertAlign w:val="subscript"/>
        </w:rPr>
        <w:t>2</w:t>
      </w:r>
      <w:r w:rsidRPr="00BE78CA">
        <w:rPr>
          <w:bCs/>
        </w:rPr>
        <w:t>-e (1.4</w:t>
      </w:r>
      <w:r w:rsidR="0017448E" w:rsidRPr="00BE78CA">
        <w:rPr>
          <w:bCs/>
        </w:rPr>
        <w:t> </w:t>
      </w:r>
      <w:r w:rsidRPr="00BE78CA">
        <w:rPr>
          <w:bCs/>
        </w:rPr>
        <w:t>p</w:t>
      </w:r>
      <w:r w:rsidRPr="00BE78CA">
        <w:t>er</w:t>
      </w:r>
      <w:r w:rsidR="0017448E" w:rsidRPr="00BE78CA">
        <w:t> </w:t>
      </w:r>
      <w:r w:rsidRPr="00BE78CA">
        <w:t>cent).</w:t>
      </w:r>
    </w:p>
    <w:p w14:paraId="4765293F" w14:textId="77777777" w:rsidR="00855935" w:rsidRPr="00BE78CA" w:rsidRDefault="00855935" w:rsidP="0017448E">
      <w:pPr>
        <w:pStyle w:val="BodyText"/>
        <w:spacing w:before="100" w:after="100"/>
      </w:pPr>
      <w:r w:rsidRPr="00BE78CA">
        <w:t xml:space="preserve">This change was the net result of a decrease in emissions from the </w:t>
      </w:r>
      <w:r w:rsidRPr="00BE78CA">
        <w:rPr>
          <w:i/>
        </w:rPr>
        <w:t>Product uses as substitutes for ODS</w:t>
      </w:r>
      <w:r w:rsidRPr="00BE78CA">
        <w:t xml:space="preserve"> category (106.6 kt CO</w:t>
      </w:r>
      <w:r w:rsidRPr="00BE78CA">
        <w:rPr>
          <w:vertAlign w:val="subscript"/>
        </w:rPr>
        <w:t>2</w:t>
      </w:r>
      <w:r w:rsidRPr="00BE78CA">
        <w:t>-e or 5.8 per cent). This is the result of year-to-year fluctuations in the volume of HFCs imported. It was offset by small increases in all other significant categories driven by varying production rates.</w:t>
      </w:r>
    </w:p>
    <w:p w14:paraId="0EEC3E1E" w14:textId="77777777" w:rsidR="00855935" w:rsidRPr="00BE78CA" w:rsidRDefault="00855935" w:rsidP="00855935">
      <w:pPr>
        <w:pStyle w:val="Heading4"/>
      </w:pPr>
      <w:bookmarkStart w:id="46" w:name="agriculture-chapter-5"/>
      <w:r w:rsidRPr="00BE78CA">
        <w:t>Agriculture (chapter 5)</w:t>
      </w:r>
      <w:bookmarkEnd w:id="46"/>
    </w:p>
    <w:p w14:paraId="1817AB6A" w14:textId="77777777" w:rsidR="00855935" w:rsidRPr="00BE78CA" w:rsidRDefault="00855935" w:rsidP="00855935">
      <w:pPr>
        <w:pStyle w:val="Heading5"/>
      </w:pPr>
      <w:bookmarkStart w:id="47" w:name="section-8"/>
      <w:r w:rsidRPr="00BE78CA">
        <w:t>2019</w:t>
      </w:r>
      <w:bookmarkEnd w:id="47"/>
    </w:p>
    <w:p w14:paraId="5F17C2EB" w14:textId="77777777" w:rsidR="00855935" w:rsidRPr="00BE78CA" w:rsidRDefault="00855935" w:rsidP="0017448E">
      <w:pPr>
        <w:pStyle w:val="BodyText"/>
        <w:spacing w:before="80" w:after="100"/>
      </w:pPr>
      <w:r w:rsidRPr="00BE78CA">
        <w:t xml:space="preserve">In </w:t>
      </w:r>
      <w:r w:rsidRPr="00BE78CA">
        <w:rPr>
          <w:bCs/>
        </w:rPr>
        <w:t>2019, emissions from the Agriculture sector contributed 39,617.7 kt CO</w:t>
      </w:r>
      <w:r w:rsidRPr="00BE78CA">
        <w:rPr>
          <w:bCs/>
          <w:vertAlign w:val="subscript"/>
        </w:rPr>
        <w:t>2</w:t>
      </w:r>
      <w:r w:rsidRPr="00BE78CA">
        <w:rPr>
          <w:bCs/>
        </w:rPr>
        <w:t xml:space="preserve">-e, representing 48.1 per cent of New Zealand’s gross GHG emissions in 2019 (see </w:t>
      </w:r>
      <w:r w:rsidRPr="00BE78CA">
        <w:t>figure ES 4.2).</w:t>
      </w:r>
    </w:p>
    <w:p w14:paraId="2D9DA12A" w14:textId="4DC6FC2E" w:rsidR="00855935" w:rsidRPr="00BE78CA" w:rsidRDefault="00855935" w:rsidP="0017448E">
      <w:pPr>
        <w:pStyle w:val="BodyText"/>
        <w:spacing w:before="100" w:after="100"/>
      </w:pPr>
      <w:r w:rsidRPr="00BE78CA">
        <w:rPr>
          <w:i/>
        </w:rPr>
        <w:t>Enteric fermentation</w:t>
      </w:r>
      <w:r w:rsidRPr="00BE78CA">
        <w:t xml:space="preserve"> was the main source of agriculture emissions, contributing 73.1 per cent (28,974.6 kt CO</w:t>
      </w:r>
      <w:r w:rsidRPr="00BE78CA">
        <w:rPr>
          <w:vertAlign w:val="subscript"/>
        </w:rPr>
        <w:t>2</w:t>
      </w:r>
      <w:r w:rsidRPr="00BE78CA">
        <w:t xml:space="preserve">-e) of the sector’s emissions. </w:t>
      </w:r>
      <w:r w:rsidRPr="00BE78CA">
        <w:rPr>
          <w:i/>
        </w:rPr>
        <w:t>Agricultural soils</w:t>
      </w:r>
      <w:r w:rsidRPr="00BE78CA">
        <w:t xml:space="preserve"> (19.6 per cent) was the second largest source followed by </w:t>
      </w:r>
      <w:r w:rsidRPr="00BE78CA">
        <w:rPr>
          <w:i/>
        </w:rPr>
        <w:t>Manure management</w:t>
      </w:r>
      <w:r w:rsidRPr="00BE78CA">
        <w:t xml:space="preserve"> (4.4 per cent). </w:t>
      </w:r>
      <w:r w:rsidRPr="00BE78CA">
        <w:rPr>
          <w:i/>
        </w:rPr>
        <w:t>Urea application</w:t>
      </w:r>
      <w:r w:rsidRPr="00BE78CA">
        <w:t xml:space="preserve"> and </w:t>
      </w:r>
      <w:r w:rsidRPr="00BE78CA">
        <w:rPr>
          <w:i/>
        </w:rPr>
        <w:t>Liming</w:t>
      </w:r>
      <w:r w:rsidRPr="00BE78CA">
        <w:t xml:space="preserve"> contributed 1.4 per cent each. </w:t>
      </w:r>
      <w:r w:rsidRPr="00BE78CA">
        <w:rPr>
          <w:i/>
        </w:rPr>
        <w:t>Field burning of agricultural residues</w:t>
      </w:r>
      <w:r w:rsidRPr="00BE78CA">
        <w:t xml:space="preserve"> contributed the remaining 0.1</w:t>
      </w:r>
      <w:r w:rsidR="0017448E" w:rsidRPr="00BE78CA">
        <w:t> </w:t>
      </w:r>
      <w:r w:rsidRPr="00BE78CA">
        <w:t>per cent.</w:t>
      </w:r>
    </w:p>
    <w:p w14:paraId="133CA266" w14:textId="77777777" w:rsidR="00855935" w:rsidRPr="00BE78CA" w:rsidRDefault="00855935" w:rsidP="00855935">
      <w:pPr>
        <w:pStyle w:val="Heading5"/>
      </w:pPr>
      <w:bookmarkStart w:id="48" w:name="section-9"/>
      <w:r w:rsidRPr="00BE78CA">
        <w:t>1990–2019</w:t>
      </w:r>
      <w:bookmarkEnd w:id="48"/>
    </w:p>
    <w:p w14:paraId="182EEA3D" w14:textId="77777777" w:rsidR="00855935" w:rsidRPr="00BE78CA" w:rsidRDefault="00855935" w:rsidP="0017448E">
      <w:pPr>
        <w:pStyle w:val="BodyText"/>
        <w:spacing w:before="80" w:after="100"/>
        <w:rPr>
          <w:bCs/>
        </w:rPr>
      </w:pPr>
      <w:r w:rsidRPr="00BE78CA">
        <w:t xml:space="preserve">In </w:t>
      </w:r>
      <w:r w:rsidRPr="00BE78CA">
        <w:rPr>
          <w:bCs/>
        </w:rPr>
        <w:t>2019, New Zealand’s Agriculture sector emissions were 17.1 per cent (5,777.4 kt CO</w:t>
      </w:r>
      <w:r w:rsidRPr="00BE78CA">
        <w:rPr>
          <w:bCs/>
          <w:vertAlign w:val="subscript"/>
        </w:rPr>
        <w:t>2</w:t>
      </w:r>
      <w:r w:rsidRPr="00BE78CA">
        <w:rPr>
          <w:bCs/>
        </w:rPr>
        <w:t>-e) above the 1990 level of 33,840.3 kt CO</w:t>
      </w:r>
      <w:r w:rsidRPr="00BE78CA">
        <w:rPr>
          <w:bCs/>
          <w:vertAlign w:val="subscript"/>
        </w:rPr>
        <w:t>2</w:t>
      </w:r>
      <w:r w:rsidRPr="00BE78CA">
        <w:rPr>
          <w:bCs/>
        </w:rPr>
        <w:t>-e.</w:t>
      </w:r>
    </w:p>
    <w:p w14:paraId="5ADCEF10" w14:textId="77777777" w:rsidR="00855935" w:rsidRPr="00BE78CA" w:rsidRDefault="00855935" w:rsidP="0017448E">
      <w:pPr>
        <w:pStyle w:val="BodyText"/>
        <w:spacing w:before="100" w:after="100"/>
        <w:rPr>
          <w:bCs/>
        </w:rPr>
      </w:pPr>
      <w:r w:rsidRPr="00BE78CA">
        <w:rPr>
          <w:bCs/>
        </w:rPr>
        <w:t>The greatest contributions to the increase since 1990 are a 46.9 per cent (2,478.3 kt CO</w:t>
      </w:r>
      <w:r w:rsidRPr="00BE78CA">
        <w:rPr>
          <w:bCs/>
          <w:vertAlign w:val="subscript"/>
        </w:rPr>
        <w:t>2</w:t>
      </w:r>
      <w:r w:rsidRPr="00BE78CA">
        <w:rPr>
          <w:bCs/>
        </w:rPr>
        <w:t>-e) increase in N</w:t>
      </w:r>
      <w:r w:rsidRPr="00BE78CA">
        <w:rPr>
          <w:bCs/>
          <w:vertAlign w:val="subscript"/>
        </w:rPr>
        <w:t>2</w:t>
      </w:r>
      <w:r w:rsidRPr="00BE78CA">
        <w:rPr>
          <w:bCs/>
        </w:rPr>
        <w:t xml:space="preserve">O emissions from </w:t>
      </w:r>
      <w:r w:rsidRPr="00BE78CA">
        <w:rPr>
          <w:bCs/>
          <w:i/>
        </w:rPr>
        <w:t>Agricultural soils</w:t>
      </w:r>
      <w:r w:rsidRPr="00BE78CA">
        <w:rPr>
          <w:bCs/>
        </w:rPr>
        <w:t xml:space="preserve"> and a 5.9 per cent (1,624.2 kt CO</w:t>
      </w:r>
      <w:r w:rsidRPr="00BE78CA">
        <w:rPr>
          <w:bCs/>
          <w:vertAlign w:val="subscript"/>
        </w:rPr>
        <w:t>2</w:t>
      </w:r>
      <w:r w:rsidRPr="00BE78CA">
        <w:rPr>
          <w:bCs/>
        </w:rPr>
        <w:t>-e) increase in CH</w:t>
      </w:r>
      <w:r w:rsidRPr="00BE78CA">
        <w:rPr>
          <w:bCs/>
          <w:vertAlign w:val="subscript"/>
        </w:rPr>
        <w:t>4</w:t>
      </w:r>
      <w:r w:rsidRPr="00BE78CA">
        <w:rPr>
          <w:bCs/>
        </w:rPr>
        <w:t xml:space="preserve"> emissions from </w:t>
      </w:r>
      <w:r w:rsidRPr="00BE78CA">
        <w:rPr>
          <w:bCs/>
          <w:i/>
        </w:rPr>
        <w:t>Enteric fermentation</w:t>
      </w:r>
      <w:r w:rsidRPr="00BE78CA">
        <w:rPr>
          <w:bCs/>
        </w:rPr>
        <w:t>.</w:t>
      </w:r>
    </w:p>
    <w:p w14:paraId="68CC2EE6" w14:textId="2DABB43A" w:rsidR="00855935" w:rsidRPr="00BE78CA" w:rsidRDefault="00855935" w:rsidP="0017448E">
      <w:pPr>
        <w:pStyle w:val="BodyText"/>
        <w:spacing w:before="100" w:after="100"/>
      </w:pPr>
      <w:r w:rsidRPr="00BE78CA">
        <w:t>The increase in N</w:t>
      </w:r>
      <w:r w:rsidRPr="00BE78CA">
        <w:rPr>
          <w:vertAlign w:val="subscript"/>
        </w:rPr>
        <w:t>2</w:t>
      </w:r>
      <w:r w:rsidRPr="00BE78CA">
        <w:t xml:space="preserve">O emissions from </w:t>
      </w:r>
      <w:r w:rsidRPr="00BE78CA">
        <w:rPr>
          <w:i/>
        </w:rPr>
        <w:t>Agricultural soils</w:t>
      </w:r>
      <w:r w:rsidRPr="00BE78CA">
        <w:t xml:space="preserve"> has largely been driven by the increased application of synthetic nitrogen fertiliser since 1990. The increase in emissions from </w:t>
      </w:r>
      <w:r w:rsidRPr="00BE78CA">
        <w:rPr>
          <w:i/>
        </w:rPr>
        <w:t>Enteric fermentation</w:t>
      </w:r>
      <w:r w:rsidRPr="00BE78CA">
        <w:t xml:space="preserve"> is driven by increases in dairy cattle numbers, which have been partially offset by</w:t>
      </w:r>
      <w:r w:rsidR="0017448E" w:rsidRPr="00BE78CA">
        <w:t> </w:t>
      </w:r>
      <w:r w:rsidRPr="00BE78CA">
        <w:t>a decrease in beef cattle and sheep. The change in animal populations since 1990 reflects the relative financial returns to each animal sector (it has been more profitable to farm dairy cattle than beef cattle or sheep in New Zealand over the reporting period) and changes in New Zealand’s regulatory environment, especially with regard to freshwater quality.</w:t>
      </w:r>
    </w:p>
    <w:p w14:paraId="7C301195" w14:textId="77777777" w:rsidR="00855935" w:rsidRPr="00BE78CA" w:rsidRDefault="00855935" w:rsidP="00855935">
      <w:pPr>
        <w:pStyle w:val="Heading5"/>
      </w:pPr>
      <w:bookmarkStart w:id="49" w:name="section-10"/>
      <w:r w:rsidRPr="00BE78CA">
        <w:t>2018–2019</w:t>
      </w:r>
      <w:bookmarkEnd w:id="49"/>
    </w:p>
    <w:p w14:paraId="5B1F6DC6" w14:textId="77777777" w:rsidR="00855935" w:rsidRPr="00BE78CA" w:rsidRDefault="00855935" w:rsidP="0017448E">
      <w:pPr>
        <w:pStyle w:val="BodyText"/>
        <w:spacing w:before="80" w:after="100"/>
      </w:pPr>
      <w:r w:rsidRPr="00BE78CA">
        <w:rPr>
          <w:spacing w:val="-2"/>
        </w:rPr>
        <w:t>Between 2018 and 2019, total agricultural emissions increased by 0.4 per cent (147.2 kt CO</w:t>
      </w:r>
      <w:r w:rsidRPr="00BE78CA">
        <w:rPr>
          <w:spacing w:val="-2"/>
          <w:vertAlign w:val="subscript"/>
        </w:rPr>
        <w:t>2</w:t>
      </w:r>
      <w:r w:rsidRPr="00BE78CA">
        <w:rPr>
          <w:spacing w:val="-2"/>
        </w:rPr>
        <w:t>-e).</w:t>
      </w:r>
      <w:r w:rsidRPr="00BE78CA">
        <w:t xml:space="preserve"> This was due to an increase in emissions from </w:t>
      </w:r>
      <w:r w:rsidRPr="00BE78CA">
        <w:rPr>
          <w:i/>
          <w:iCs/>
        </w:rPr>
        <w:t>Non-dairy</w:t>
      </w:r>
      <w:r w:rsidRPr="00BE78CA">
        <w:t xml:space="preserve"> (beef) </w:t>
      </w:r>
      <w:r w:rsidRPr="00BE78CA">
        <w:rPr>
          <w:i/>
          <w:iCs/>
        </w:rPr>
        <w:t>cattle</w:t>
      </w:r>
      <w:r w:rsidRPr="00BE78CA">
        <w:t xml:space="preserve"> (</w:t>
      </w:r>
      <w:r w:rsidRPr="00BE78CA">
        <w:rPr>
          <w:i/>
          <w:iCs/>
        </w:rPr>
        <w:t>Enteric fermentation</w:t>
      </w:r>
      <w:r w:rsidRPr="00BE78CA">
        <w:t xml:space="preserve">, </w:t>
      </w:r>
      <w:r w:rsidRPr="00BE78CA">
        <w:rPr>
          <w:i/>
          <w:iCs/>
        </w:rPr>
        <w:t>Manure management</w:t>
      </w:r>
      <w:r w:rsidRPr="00BE78CA">
        <w:t xml:space="preserve"> and </w:t>
      </w:r>
      <w:r w:rsidRPr="00BE78CA">
        <w:rPr>
          <w:i/>
          <w:iCs/>
        </w:rPr>
        <w:t>Agricultural soils</w:t>
      </w:r>
      <w:r w:rsidRPr="00BE78CA">
        <w:t xml:space="preserve">) and </w:t>
      </w:r>
      <w:r w:rsidRPr="00BE78CA">
        <w:rPr>
          <w:i/>
          <w:iCs/>
        </w:rPr>
        <w:t>Liming</w:t>
      </w:r>
      <w:r w:rsidRPr="00BE78CA">
        <w:t>, and comprises:</w:t>
      </w:r>
    </w:p>
    <w:p w14:paraId="5FC32D74" w14:textId="77777777" w:rsidR="00855935" w:rsidRPr="00BE78CA" w:rsidRDefault="00855935" w:rsidP="0017448E">
      <w:pPr>
        <w:pStyle w:val="Bullet"/>
        <w:spacing w:after="100"/>
      </w:pPr>
      <w:r w:rsidRPr="00BE78CA">
        <w:rPr>
          <w:i/>
        </w:rPr>
        <w:t xml:space="preserve">Non-dairy </w:t>
      </w:r>
      <w:r w:rsidRPr="00BE78CA">
        <w:rPr>
          <w:iCs/>
        </w:rPr>
        <w:t>(beef)</w:t>
      </w:r>
      <w:r w:rsidRPr="00BE78CA">
        <w:rPr>
          <w:i/>
        </w:rPr>
        <w:t xml:space="preserve"> cattle</w:t>
      </w:r>
      <w:r w:rsidRPr="00BE78CA">
        <w:t xml:space="preserve"> emissions, which increased 5.3 per cent (354.6 kt CO</w:t>
      </w:r>
      <w:r w:rsidRPr="00BE78CA">
        <w:rPr>
          <w:vertAlign w:val="subscript"/>
        </w:rPr>
        <w:t>2</w:t>
      </w:r>
      <w:r w:rsidRPr="00BE78CA">
        <w:t>-e) due to an increase in the population</w:t>
      </w:r>
    </w:p>
    <w:p w14:paraId="5DB3A3E4" w14:textId="77777777" w:rsidR="00855935" w:rsidRPr="00BE78CA" w:rsidRDefault="00855935" w:rsidP="00855935">
      <w:pPr>
        <w:pStyle w:val="Bullet"/>
      </w:pPr>
      <w:r w:rsidRPr="00BE78CA">
        <w:rPr>
          <w:i/>
        </w:rPr>
        <w:t>Liming</w:t>
      </w:r>
      <w:r w:rsidRPr="00BE78CA">
        <w:t xml:space="preserve"> emissions (CO</w:t>
      </w:r>
      <w:r w:rsidRPr="00BE78CA">
        <w:rPr>
          <w:vertAlign w:val="subscript"/>
        </w:rPr>
        <w:t>2</w:t>
      </w:r>
      <w:r w:rsidRPr="00BE78CA">
        <w:t>), which increased 10.4 per cent (51.3 kt CO</w:t>
      </w:r>
      <w:r w:rsidRPr="00BE78CA">
        <w:rPr>
          <w:vertAlign w:val="subscript"/>
        </w:rPr>
        <w:t>2</w:t>
      </w:r>
      <w:r w:rsidRPr="00BE78CA">
        <w:t>-e) due to an increase in limestone use.</w:t>
      </w:r>
    </w:p>
    <w:p w14:paraId="4FA3391E" w14:textId="77777777" w:rsidR="00855935" w:rsidRPr="00BE78CA" w:rsidRDefault="00855935" w:rsidP="00855935">
      <w:pPr>
        <w:pStyle w:val="BodyText"/>
      </w:pPr>
      <w:r w:rsidRPr="00BE78CA">
        <w:lastRenderedPageBreak/>
        <w:t>Emissions from other activities fell, but these decreases were not enough to offset the overall increase in agricultural emissions. This decrease comprises:</w:t>
      </w:r>
    </w:p>
    <w:p w14:paraId="43D32531" w14:textId="77777777" w:rsidR="00855935" w:rsidRPr="00BE78CA" w:rsidRDefault="00855935" w:rsidP="0017448E">
      <w:pPr>
        <w:pStyle w:val="Bullet"/>
        <w:spacing w:after="100"/>
      </w:pPr>
      <w:r w:rsidRPr="00BE78CA">
        <w:rPr>
          <w:i/>
        </w:rPr>
        <w:t>Sheep</w:t>
      </w:r>
      <w:r w:rsidRPr="00BE78CA">
        <w:t xml:space="preserve"> emissions, which decreased by 1.5 per cent (149.5 kt CO</w:t>
      </w:r>
      <w:r w:rsidRPr="00BE78CA">
        <w:rPr>
          <w:vertAlign w:val="subscript"/>
        </w:rPr>
        <w:t>2</w:t>
      </w:r>
      <w:r w:rsidRPr="00BE78CA">
        <w:t>-e) due to a continual drop in animal numbers year-on-year</w:t>
      </w:r>
    </w:p>
    <w:p w14:paraId="164694DB" w14:textId="77777777" w:rsidR="00855935" w:rsidRPr="00BE78CA" w:rsidRDefault="00855935" w:rsidP="0017448E">
      <w:pPr>
        <w:pStyle w:val="Bullet"/>
        <w:spacing w:after="100"/>
      </w:pPr>
      <w:r w:rsidRPr="00BE78CA">
        <w:rPr>
          <w:i/>
        </w:rPr>
        <w:t>Dairy cattle</w:t>
      </w:r>
      <w:r w:rsidRPr="00BE78CA">
        <w:t xml:space="preserve"> emissions, which dropped by 0.4 per cent (73.8 kt CO</w:t>
      </w:r>
      <w:r w:rsidRPr="00BE78CA">
        <w:rPr>
          <w:vertAlign w:val="subscript"/>
        </w:rPr>
        <w:t>2</w:t>
      </w:r>
      <w:r w:rsidRPr="00BE78CA">
        <w:t>-e)</w:t>
      </w:r>
    </w:p>
    <w:p w14:paraId="2CC9570C" w14:textId="77777777" w:rsidR="00855935" w:rsidRPr="00BE78CA" w:rsidRDefault="00855935" w:rsidP="00855935">
      <w:pPr>
        <w:pStyle w:val="Bullet"/>
      </w:pPr>
      <w:r w:rsidRPr="00BE78CA">
        <w:rPr>
          <w:i/>
        </w:rPr>
        <w:t>Urea</w:t>
      </w:r>
      <w:r w:rsidRPr="00BE78CA">
        <w:t xml:space="preserve"> emissions, which decreased by 6.2 per cent (37.5 kt CO</w:t>
      </w:r>
      <w:r w:rsidRPr="00BE78CA">
        <w:rPr>
          <w:vertAlign w:val="subscript"/>
        </w:rPr>
        <w:t>2</w:t>
      </w:r>
      <w:r w:rsidRPr="00BE78CA">
        <w:t>-e) due to an increase in limestone use.</w:t>
      </w:r>
    </w:p>
    <w:p w14:paraId="431D37C2" w14:textId="77777777" w:rsidR="00855935" w:rsidRPr="00BE78CA" w:rsidRDefault="00855935" w:rsidP="00855935">
      <w:pPr>
        <w:pStyle w:val="Heading4"/>
      </w:pPr>
      <w:bookmarkStart w:id="50" w:name="lulucf-chapter-6"/>
      <w:r w:rsidRPr="00BE78CA">
        <w:t>LULUCF (chapter 6)</w:t>
      </w:r>
      <w:bookmarkEnd w:id="50"/>
    </w:p>
    <w:p w14:paraId="52F0E37E" w14:textId="77777777" w:rsidR="00855935" w:rsidRPr="00BE78CA" w:rsidRDefault="00855935" w:rsidP="00855935">
      <w:pPr>
        <w:pStyle w:val="BodyText"/>
      </w:pPr>
      <w:r w:rsidRPr="00BE78CA">
        <w:t>The following information on LULUCF summarises reporting under the Convention. Reporting for Article 3.3 and Article 3.4 LULUCF activities under the Kyoto Protocol are covered in section ES.5 and chapter 2, section 2.3.</w:t>
      </w:r>
    </w:p>
    <w:p w14:paraId="7E5446B1" w14:textId="77777777" w:rsidR="00855935" w:rsidRPr="00BE78CA" w:rsidRDefault="00855935" w:rsidP="00855935">
      <w:pPr>
        <w:pStyle w:val="Heading5"/>
      </w:pPr>
      <w:bookmarkStart w:id="51" w:name="section-11"/>
      <w:r w:rsidRPr="00BE78CA">
        <w:t>2019</w:t>
      </w:r>
      <w:bookmarkEnd w:id="51"/>
    </w:p>
    <w:p w14:paraId="0228E00D" w14:textId="52B29AF2" w:rsidR="00855935" w:rsidRPr="00BE78CA" w:rsidRDefault="00855935" w:rsidP="00855935">
      <w:pPr>
        <w:pStyle w:val="BodyText"/>
      </w:pPr>
      <w:r w:rsidRPr="00BE78CA">
        <w:t>In 2019, total net removals from the LULUCF sector were 27,425.1 kt CO</w:t>
      </w:r>
      <w:r w:rsidRPr="00BE78CA">
        <w:rPr>
          <w:vertAlign w:val="subscript"/>
        </w:rPr>
        <w:t>2</w:t>
      </w:r>
      <w:r w:rsidRPr="00BE78CA">
        <w:t>-e or 33.3 per cent of</w:t>
      </w:r>
      <w:r w:rsidR="0017448E" w:rsidRPr="00BE78CA">
        <w:t> </w:t>
      </w:r>
      <w:r w:rsidRPr="00BE78CA">
        <w:t>New Zealand’s gross GHG emissions (see figure ES 4.2). This comprises net removals of 27,612.5 kt CO</w:t>
      </w:r>
      <w:r w:rsidRPr="00BE78CA">
        <w:rPr>
          <w:vertAlign w:val="subscript"/>
        </w:rPr>
        <w:t>2</w:t>
      </w:r>
      <w:r w:rsidRPr="00BE78CA">
        <w:t>, emissions of 76.6 kt CO</w:t>
      </w:r>
      <w:r w:rsidRPr="00BE78CA">
        <w:rPr>
          <w:vertAlign w:val="subscript"/>
        </w:rPr>
        <w:t>2</w:t>
      </w:r>
      <w:r w:rsidRPr="00BE78CA">
        <w:t>-e of CH</w:t>
      </w:r>
      <w:r w:rsidRPr="00BE78CA">
        <w:rPr>
          <w:vertAlign w:val="subscript"/>
        </w:rPr>
        <w:t>4</w:t>
      </w:r>
      <w:r w:rsidRPr="00BE78CA">
        <w:t xml:space="preserve"> and 110.9 kt CO</w:t>
      </w:r>
      <w:r w:rsidRPr="00BE78CA">
        <w:rPr>
          <w:vertAlign w:val="subscript"/>
        </w:rPr>
        <w:t>2</w:t>
      </w:r>
      <w:r w:rsidRPr="00BE78CA">
        <w:t>-e of N</w:t>
      </w:r>
      <w:r w:rsidRPr="00BE78CA">
        <w:rPr>
          <w:vertAlign w:val="subscript"/>
        </w:rPr>
        <w:t>2</w:t>
      </w:r>
      <w:r w:rsidRPr="00BE78CA">
        <w:t xml:space="preserve">O. The category contributing the most to both removals and emissions is </w:t>
      </w:r>
      <w:r w:rsidRPr="00BE78CA">
        <w:rPr>
          <w:i/>
        </w:rPr>
        <w:t>Forest land remaining forest land</w:t>
      </w:r>
      <w:r w:rsidRPr="00BE78CA">
        <w:t>. This</w:t>
      </w:r>
      <w:r w:rsidR="005B6417" w:rsidRPr="00BE78CA">
        <w:t> </w:t>
      </w:r>
      <w:r w:rsidRPr="00BE78CA">
        <w:t>is because large removals result from the growth of all forests on this land and there were</w:t>
      </w:r>
      <w:r w:rsidR="005B6417" w:rsidRPr="00BE78CA">
        <w:t> </w:t>
      </w:r>
      <w:r w:rsidRPr="00BE78CA">
        <w:t>also large emissions from the sustainable harvest of New Zealand’s plantation forests.</w:t>
      </w:r>
    </w:p>
    <w:p w14:paraId="75280DFD" w14:textId="77777777" w:rsidR="00855935" w:rsidRPr="00BE78CA" w:rsidRDefault="00855935" w:rsidP="00855935">
      <w:pPr>
        <w:pStyle w:val="Heading5"/>
      </w:pPr>
      <w:bookmarkStart w:id="52" w:name="section-12"/>
      <w:r w:rsidRPr="00BE78CA">
        <w:t>1990–2019</w:t>
      </w:r>
      <w:bookmarkEnd w:id="52"/>
    </w:p>
    <w:p w14:paraId="1CAD96C1" w14:textId="7BDDF704" w:rsidR="00855935" w:rsidRPr="00BE78CA" w:rsidRDefault="00855935" w:rsidP="00855935">
      <w:pPr>
        <w:pStyle w:val="BodyText"/>
      </w:pPr>
      <w:r w:rsidRPr="00BE78CA">
        <w:t>Net removals in 2019 have increased by 3,410.6 kt CO</w:t>
      </w:r>
      <w:r w:rsidRPr="00BE78CA">
        <w:rPr>
          <w:vertAlign w:val="subscript"/>
        </w:rPr>
        <w:t>2</w:t>
      </w:r>
      <w:r w:rsidRPr="00BE78CA">
        <w:t>-e (14.2 per cent) from the 1990 level of</w:t>
      </w:r>
      <w:r w:rsidR="00512A86" w:rsidRPr="00BE78CA">
        <w:t> </w:t>
      </w:r>
      <w:r w:rsidRPr="00BE78CA">
        <w:t>24,014.5 kt CO</w:t>
      </w:r>
      <w:r w:rsidRPr="00BE78CA">
        <w:rPr>
          <w:vertAlign w:val="subscript"/>
        </w:rPr>
        <w:t>2</w:t>
      </w:r>
      <w:r w:rsidRPr="00BE78CA">
        <w:t>-e (see figure ES 4.4 and figure 6.1.1 and figure 6.2.2 (chapter 6)). This is largely due to increasing yields in plantation forests from improved genetics and management practices, the rapid expansion of afforestation in the 1990s and an increase in the production of harvested wood products, which have compensated for the emissions from the increase in forest harvesting.</w:t>
      </w:r>
    </w:p>
    <w:p w14:paraId="4A7D2DA0" w14:textId="5A80449B" w:rsidR="00855935" w:rsidRPr="00BE78CA" w:rsidRDefault="00855935" w:rsidP="00855935">
      <w:pPr>
        <w:pStyle w:val="BodyText"/>
      </w:pPr>
      <w:r w:rsidRPr="00BE78CA">
        <w:t>The fluctuations in net emissions from the LULUCF sector (see figure 2.2.6 (chapter 2)) are influenced by harvesting and deforestation rates. Harvesting rates are driven by a number of</w:t>
      </w:r>
      <w:r w:rsidR="00512A86" w:rsidRPr="00BE78CA">
        <w:t> </w:t>
      </w:r>
      <w:r w:rsidRPr="00BE78CA">
        <w:t>factors, particularly forest age and log prices. Deforestation rates are driven largely by the</w:t>
      </w:r>
      <w:r w:rsidR="00512A86" w:rsidRPr="00BE78CA">
        <w:t> </w:t>
      </w:r>
      <w:r w:rsidRPr="00BE78CA">
        <w:t>relative profitability of forestry compared with alternative land uses. The increase in net</w:t>
      </w:r>
      <w:r w:rsidR="00512A86" w:rsidRPr="00BE78CA">
        <w:t> </w:t>
      </w:r>
      <w:r w:rsidRPr="00BE78CA">
        <w:t>emissions between 2004 and 2007 was largely due to the increase in planted forest deforestation that occurred leading up to 2008, immediately before the introduction of the</w:t>
      </w:r>
      <w:r w:rsidR="001B283D" w:rsidRPr="00BE78CA">
        <w:t> </w:t>
      </w:r>
      <w:r w:rsidRPr="00BE78CA">
        <w:t>New Zealand Emissions Trading Scheme.</w:t>
      </w:r>
      <w:r w:rsidRPr="00BE78CA">
        <w:rPr>
          <w:rStyle w:val="FootnoteReference"/>
        </w:rPr>
        <w:footnoteReference w:id="5"/>
      </w:r>
    </w:p>
    <w:p w14:paraId="3F4C1FDA" w14:textId="3A16D1D6" w:rsidR="00855935" w:rsidRPr="00BE78CA" w:rsidRDefault="00855935" w:rsidP="00512A86">
      <w:pPr>
        <w:pStyle w:val="Figure"/>
        <w:spacing w:after="60"/>
      </w:pPr>
      <w:bookmarkStart w:id="53" w:name="_Toc68786617"/>
      <w:r w:rsidRPr="00BE78CA">
        <w:lastRenderedPageBreak/>
        <w:t xml:space="preserve">Figure ES 4.4 </w:t>
      </w:r>
      <w:r w:rsidR="00512A86" w:rsidRPr="00BE78CA">
        <w:tab/>
      </w:r>
      <w:r w:rsidRPr="00BE78CA">
        <w:t>New Zealand’s LULUCF sector net emissions from 1990 to 2019</w:t>
      </w:r>
      <w:bookmarkEnd w:id="53"/>
    </w:p>
    <w:p w14:paraId="666EC808" w14:textId="77777777" w:rsidR="00855935" w:rsidRPr="00BE78CA" w:rsidRDefault="00855935" w:rsidP="005B6417">
      <w:pPr>
        <w:pStyle w:val="BodyText"/>
        <w:spacing w:after="0"/>
      </w:pPr>
      <w:r w:rsidRPr="00BE78CA">
        <w:rPr>
          <w:noProof/>
        </w:rPr>
        <w:drawing>
          <wp:inline distT="0" distB="0" distL="0" distR="0" wp14:anchorId="4A28B812" wp14:editId="0A3D22B0">
            <wp:extent cx="5311472" cy="3697357"/>
            <wp:effectExtent l="0" t="0" r="3810" b="0"/>
            <wp:docPr id="7" name="Picture"/>
            <wp:cNvGraphicFramePr/>
            <a:graphic xmlns:a="http://schemas.openxmlformats.org/drawingml/2006/main">
              <a:graphicData uri="http://schemas.openxmlformats.org/drawingml/2006/picture">
                <pic:pic xmlns:pic="http://schemas.openxmlformats.org/drawingml/2006/picture">
                  <pic:nvPicPr>
                    <pic:cNvPr id="0" name="Picture" descr="code/graphs/images/es_4_4_crf.png"/>
                    <pic:cNvPicPr>
                      <a:picLocks noChangeAspect="1" noChangeArrowheads="1"/>
                    </pic:cNvPicPr>
                  </pic:nvPicPr>
                  <pic:blipFill rotWithShape="1">
                    <a:blip r:embed="rId26"/>
                    <a:srcRect b="2380"/>
                    <a:stretch/>
                  </pic:blipFill>
                  <pic:spPr bwMode="auto">
                    <a:xfrm>
                      <a:off x="0" y="0"/>
                      <a:ext cx="5317325" cy="3701431"/>
                    </a:xfrm>
                    <a:prstGeom prst="rect">
                      <a:avLst/>
                    </a:prstGeom>
                    <a:noFill/>
                    <a:ln>
                      <a:noFill/>
                    </a:ln>
                    <a:extLst>
                      <a:ext uri="{53640926-AAD7-44D8-BBD7-CCE9431645EC}">
                        <a14:shadowObscured xmlns:a14="http://schemas.microsoft.com/office/drawing/2010/main"/>
                      </a:ext>
                    </a:extLst>
                  </pic:spPr>
                </pic:pic>
              </a:graphicData>
            </a:graphic>
          </wp:inline>
        </w:drawing>
      </w:r>
    </w:p>
    <w:p w14:paraId="42FCD2F1" w14:textId="77777777" w:rsidR="00855935" w:rsidRPr="00BE78CA" w:rsidRDefault="00855935" w:rsidP="00855935">
      <w:pPr>
        <w:pStyle w:val="Heading5"/>
      </w:pPr>
      <w:bookmarkStart w:id="54" w:name="section-13"/>
      <w:r w:rsidRPr="00BE78CA">
        <w:t>2018–2019</w:t>
      </w:r>
      <w:bookmarkEnd w:id="54"/>
    </w:p>
    <w:p w14:paraId="783540F0" w14:textId="525F28F8" w:rsidR="00855935" w:rsidRPr="00BE78CA" w:rsidRDefault="00855935" w:rsidP="00855935">
      <w:pPr>
        <w:pStyle w:val="BodyText"/>
      </w:pPr>
      <w:r w:rsidRPr="00BE78CA">
        <w:t>Net removals from the LULUCF sector increased between 2018 and 2019 by 668.7 kt CO</w:t>
      </w:r>
      <w:r w:rsidRPr="00BE78CA">
        <w:rPr>
          <w:vertAlign w:val="subscript"/>
        </w:rPr>
        <w:t>2</w:t>
      </w:r>
      <w:r w:rsidRPr="00BE78CA">
        <w:t xml:space="preserve">-e (2.5 per cent), with the largest changes occurring in the </w:t>
      </w:r>
      <w:r w:rsidRPr="00BE78CA">
        <w:rPr>
          <w:i/>
        </w:rPr>
        <w:t>Harvested wood products</w:t>
      </w:r>
      <w:r w:rsidRPr="00BE78CA">
        <w:t xml:space="preserve"> (691.7</w:t>
      </w:r>
      <w:r w:rsidR="00512A86" w:rsidRPr="00BE78CA">
        <w:t> </w:t>
      </w:r>
      <w:r w:rsidRPr="00BE78CA">
        <w:t>kt CO</w:t>
      </w:r>
      <w:r w:rsidRPr="00BE78CA">
        <w:rPr>
          <w:vertAlign w:val="subscript"/>
        </w:rPr>
        <w:t>2</w:t>
      </w:r>
      <w:r w:rsidRPr="00BE78CA">
        <w:t xml:space="preserve">-e) and </w:t>
      </w:r>
      <w:r w:rsidRPr="00BE78CA">
        <w:rPr>
          <w:i/>
        </w:rPr>
        <w:t>Grassland</w:t>
      </w:r>
      <w:r w:rsidRPr="00BE78CA">
        <w:t xml:space="preserve"> (317.2 kt CO</w:t>
      </w:r>
      <w:r w:rsidRPr="00BE78CA">
        <w:rPr>
          <w:vertAlign w:val="subscript"/>
        </w:rPr>
        <w:t>2</w:t>
      </w:r>
      <w:r w:rsidRPr="00BE78CA">
        <w:t>-e) categories.</w:t>
      </w:r>
    </w:p>
    <w:p w14:paraId="2E092BC7" w14:textId="77777777" w:rsidR="00855935" w:rsidRPr="00BE78CA" w:rsidRDefault="00855935" w:rsidP="00855935">
      <w:pPr>
        <w:pStyle w:val="Heading4"/>
      </w:pPr>
      <w:bookmarkStart w:id="55" w:name="waste-chapter-7"/>
      <w:r w:rsidRPr="00BE78CA">
        <w:t>Waste (chapter 7)</w:t>
      </w:r>
      <w:bookmarkEnd w:id="55"/>
    </w:p>
    <w:p w14:paraId="30E13D0C" w14:textId="77777777" w:rsidR="00855935" w:rsidRPr="00BE78CA" w:rsidRDefault="00855935" w:rsidP="00855935">
      <w:pPr>
        <w:pStyle w:val="Heading5"/>
      </w:pPr>
      <w:bookmarkStart w:id="56" w:name="section-14"/>
      <w:r w:rsidRPr="00BE78CA">
        <w:t>2019</w:t>
      </w:r>
      <w:bookmarkEnd w:id="56"/>
    </w:p>
    <w:p w14:paraId="4BEFC156" w14:textId="2D87E772" w:rsidR="00855935" w:rsidRPr="00BE78CA" w:rsidRDefault="00855935" w:rsidP="00855935">
      <w:pPr>
        <w:pStyle w:val="BodyText"/>
      </w:pPr>
      <w:r w:rsidRPr="00BE78CA">
        <w:t>In 2019, emissions from the Waste sector contributed 3,316.9 kt CO</w:t>
      </w:r>
      <w:r w:rsidRPr="00BE78CA">
        <w:rPr>
          <w:vertAlign w:val="subscript"/>
        </w:rPr>
        <w:t>2</w:t>
      </w:r>
      <w:r w:rsidRPr="00BE78CA">
        <w:t>-e or 4.0 per cent of New</w:t>
      </w:r>
      <w:r w:rsidR="00512A86" w:rsidRPr="00BE78CA">
        <w:t> </w:t>
      </w:r>
      <w:r w:rsidRPr="00BE78CA">
        <w:t xml:space="preserve">Zealand’s gross GHG emissions. The largest source category is </w:t>
      </w:r>
      <w:r w:rsidRPr="00BE78CA">
        <w:rPr>
          <w:i/>
        </w:rPr>
        <w:t>Solid waste disposal</w:t>
      </w:r>
      <w:r w:rsidRPr="00BE78CA">
        <w:t>, as</w:t>
      </w:r>
      <w:r w:rsidR="00512A86" w:rsidRPr="00BE78CA">
        <w:t> </w:t>
      </w:r>
      <w:r w:rsidRPr="00BE78CA">
        <w:t>shown in chapter 7, table 7.1.1 (emissions by source category).</w:t>
      </w:r>
    </w:p>
    <w:p w14:paraId="47D8E120" w14:textId="77777777" w:rsidR="00855935" w:rsidRPr="00BE78CA" w:rsidRDefault="00855935" w:rsidP="00855935">
      <w:pPr>
        <w:pStyle w:val="Heading5"/>
      </w:pPr>
      <w:bookmarkStart w:id="57" w:name="section-15"/>
      <w:r w:rsidRPr="00BE78CA">
        <w:t>1990–2019</w:t>
      </w:r>
      <w:bookmarkEnd w:id="57"/>
    </w:p>
    <w:p w14:paraId="66415D24" w14:textId="77777777" w:rsidR="00855935" w:rsidRPr="00BE78CA" w:rsidRDefault="00855935" w:rsidP="00855935">
      <w:pPr>
        <w:pStyle w:val="BodyText"/>
        <w:rPr>
          <w:bCs/>
        </w:rPr>
      </w:pPr>
      <w:r w:rsidRPr="00BE78CA">
        <w:t xml:space="preserve">In </w:t>
      </w:r>
      <w:r w:rsidRPr="00BE78CA">
        <w:rPr>
          <w:bCs/>
        </w:rPr>
        <w:t>2019, emissions from the Waste sector decreased by 16.3 per cent (644.4 kt CO</w:t>
      </w:r>
      <w:r w:rsidRPr="00BE78CA">
        <w:rPr>
          <w:bCs/>
          <w:vertAlign w:val="subscript"/>
        </w:rPr>
        <w:t>2</w:t>
      </w:r>
      <w:r w:rsidRPr="00BE78CA">
        <w:rPr>
          <w:bCs/>
        </w:rPr>
        <w:t>-e), from 3,961.3 kt CO</w:t>
      </w:r>
      <w:r w:rsidRPr="00BE78CA">
        <w:rPr>
          <w:bCs/>
          <w:vertAlign w:val="subscript"/>
        </w:rPr>
        <w:t>2</w:t>
      </w:r>
      <w:r w:rsidRPr="00BE78CA">
        <w:rPr>
          <w:bCs/>
        </w:rPr>
        <w:t>-e in 1990.</w:t>
      </w:r>
    </w:p>
    <w:p w14:paraId="749F2A15" w14:textId="67C216B9" w:rsidR="00855935" w:rsidRPr="00BE78CA" w:rsidRDefault="00855935" w:rsidP="00855935">
      <w:pPr>
        <w:pStyle w:val="BodyText"/>
      </w:pPr>
      <w:r w:rsidRPr="00BE78CA">
        <w:t>Annual emissions increased between 1990 and 2002, peaking at 4,493.3 kt CO</w:t>
      </w:r>
      <w:r w:rsidRPr="00BE78CA">
        <w:rPr>
          <w:vertAlign w:val="subscript"/>
        </w:rPr>
        <w:t>2</w:t>
      </w:r>
      <w:r w:rsidRPr="00BE78CA">
        <w:t>-e in 2002, and</w:t>
      </w:r>
      <w:r w:rsidR="004E7D40" w:rsidRPr="00BE78CA">
        <w:t> </w:t>
      </w:r>
      <w:r w:rsidRPr="00BE78CA">
        <w:t>have generally decreased since that time. Growth in population and economic activity since 1990 has resulted in increasing volumes of solid waste and wastewater for the whole of</w:t>
      </w:r>
      <w:r w:rsidR="004E7D40" w:rsidRPr="00BE78CA">
        <w:t> </w:t>
      </w:r>
      <w:r w:rsidRPr="00BE78CA">
        <w:t>the time series. Ongoing improvements in the management of solid waste disposal at municipal landfills have meant total Waste sector emissions have been trending down since</w:t>
      </w:r>
      <w:r w:rsidR="004E7D40" w:rsidRPr="00BE78CA">
        <w:t> </w:t>
      </w:r>
      <w:r w:rsidRPr="00BE78CA">
        <w:t>2005, in spite of increasing volumes of solid waste and wastewater. The reduction in</w:t>
      </w:r>
      <w:r w:rsidR="004E7D40" w:rsidRPr="00BE78CA">
        <w:t> </w:t>
      </w:r>
      <w:r w:rsidRPr="00BE78CA">
        <w:t>emissions</w:t>
      </w:r>
      <w:r w:rsidR="004E7D40" w:rsidRPr="00BE78CA">
        <w:t> </w:t>
      </w:r>
      <w:r w:rsidRPr="00BE78CA">
        <w:t>is particularly the result of increased CH</w:t>
      </w:r>
      <w:r w:rsidRPr="00BE78CA">
        <w:rPr>
          <w:vertAlign w:val="subscript"/>
        </w:rPr>
        <w:t>4</w:t>
      </w:r>
      <w:r w:rsidRPr="00BE78CA">
        <w:t xml:space="preserve"> recovery driven by the National Environmental Standards for Air Quality introduced in 2004 and also by the New Zealand Emissions Trading Scheme since 2013. The trends are shown in chapter 2, figure 2.2.11, and</w:t>
      </w:r>
      <w:r w:rsidR="004E7D40" w:rsidRPr="00BE78CA">
        <w:t> </w:t>
      </w:r>
      <w:r w:rsidRPr="00BE78CA">
        <w:t>chapter 7, figure 7.1.2 and figure 7.1.3.</w:t>
      </w:r>
    </w:p>
    <w:p w14:paraId="191E5913" w14:textId="77777777" w:rsidR="00855935" w:rsidRPr="00BE78CA" w:rsidRDefault="00855935" w:rsidP="00855935">
      <w:pPr>
        <w:pStyle w:val="Heading5"/>
      </w:pPr>
      <w:bookmarkStart w:id="58" w:name="section-16"/>
      <w:r w:rsidRPr="00BE78CA">
        <w:lastRenderedPageBreak/>
        <w:t>2018–2019</w:t>
      </w:r>
      <w:bookmarkEnd w:id="58"/>
    </w:p>
    <w:p w14:paraId="3C4BE1AE" w14:textId="2EBD174D" w:rsidR="00855935" w:rsidRPr="00BE78CA" w:rsidRDefault="00855935" w:rsidP="00065063">
      <w:pPr>
        <w:pStyle w:val="BodyText"/>
        <w:spacing w:before="100" w:after="100"/>
      </w:pPr>
      <w:r w:rsidRPr="00BE78CA">
        <w:t xml:space="preserve">Between </w:t>
      </w:r>
      <w:r w:rsidRPr="00BE78CA">
        <w:rPr>
          <w:bCs/>
        </w:rPr>
        <w:t>2018 and 2019, emissions from the Waste sector decreased by 48.4 kt CO</w:t>
      </w:r>
      <w:r w:rsidRPr="00BE78CA">
        <w:rPr>
          <w:bCs/>
          <w:vertAlign w:val="subscript"/>
        </w:rPr>
        <w:t>2</w:t>
      </w:r>
      <w:r w:rsidRPr="00BE78CA">
        <w:rPr>
          <w:bCs/>
        </w:rPr>
        <w:t>-e (1.4</w:t>
      </w:r>
      <w:r w:rsidR="004E7D40" w:rsidRPr="00BE78CA">
        <w:rPr>
          <w:bCs/>
        </w:rPr>
        <w:t> </w:t>
      </w:r>
      <w:r w:rsidRPr="00BE78CA">
        <w:rPr>
          <w:bCs/>
        </w:rPr>
        <w:t>per cent). This decrease is largely the result of decreases in CH</w:t>
      </w:r>
      <w:r w:rsidRPr="00BE78CA">
        <w:rPr>
          <w:bCs/>
          <w:vertAlign w:val="subscript"/>
        </w:rPr>
        <w:t>4</w:t>
      </w:r>
      <w:r w:rsidRPr="00BE78CA">
        <w:rPr>
          <w:bCs/>
        </w:rPr>
        <w:t xml:space="preserve"> emissions in the </w:t>
      </w:r>
      <w:r w:rsidRPr="00BE78CA">
        <w:rPr>
          <w:bCs/>
          <w:i/>
        </w:rPr>
        <w:t>Solid was</w:t>
      </w:r>
      <w:r w:rsidRPr="00BE78CA">
        <w:rPr>
          <w:i/>
        </w:rPr>
        <w:t>te disposal</w:t>
      </w:r>
      <w:r w:rsidRPr="00BE78CA">
        <w:t xml:space="preserve"> category, due to changes in the composition of waste disposed to municipal landfills.</w:t>
      </w:r>
    </w:p>
    <w:p w14:paraId="461D9765" w14:textId="77777777" w:rsidR="00855935" w:rsidRPr="00BE78CA" w:rsidRDefault="00855935" w:rsidP="00855935">
      <w:pPr>
        <w:pStyle w:val="Heading4"/>
      </w:pPr>
      <w:bookmarkStart w:id="59" w:name="other-sector-tokelau-chapter-8"/>
      <w:r w:rsidRPr="00BE78CA">
        <w:t>Other sector (Tokelau – chapter 8)</w:t>
      </w:r>
      <w:bookmarkEnd w:id="59"/>
    </w:p>
    <w:p w14:paraId="7845C698" w14:textId="77777777" w:rsidR="00855935" w:rsidRPr="00BE78CA" w:rsidRDefault="00855935" w:rsidP="00065063">
      <w:pPr>
        <w:pStyle w:val="Heading5"/>
        <w:spacing w:before="180"/>
      </w:pPr>
      <w:bookmarkStart w:id="60" w:name="section-17"/>
      <w:r w:rsidRPr="00BE78CA">
        <w:t>2019</w:t>
      </w:r>
      <w:bookmarkEnd w:id="60"/>
    </w:p>
    <w:p w14:paraId="27E0AB4F" w14:textId="38891F16" w:rsidR="00855935" w:rsidRPr="00BE78CA" w:rsidRDefault="00855935" w:rsidP="00065063">
      <w:pPr>
        <w:pStyle w:val="BodyText"/>
        <w:spacing w:before="100" w:after="100"/>
      </w:pPr>
      <w:r w:rsidRPr="00BE78CA">
        <w:t xml:space="preserve">In </w:t>
      </w:r>
      <w:r w:rsidRPr="00BE78CA">
        <w:rPr>
          <w:bCs/>
        </w:rPr>
        <w:t>2019, emissions from the Tokelau sector contributed 4.30 kt CO</w:t>
      </w:r>
      <w:r w:rsidRPr="00BE78CA">
        <w:rPr>
          <w:bCs/>
          <w:vertAlign w:val="subscript"/>
        </w:rPr>
        <w:t>2</w:t>
      </w:r>
      <w:r w:rsidRPr="00BE78CA">
        <w:rPr>
          <w:bCs/>
        </w:rPr>
        <w:t>-e or 0.005 p</w:t>
      </w:r>
      <w:r w:rsidRPr="00BE78CA">
        <w:t>er cent of New</w:t>
      </w:r>
      <w:r w:rsidR="004E7D40" w:rsidRPr="00BE78CA">
        <w:t> </w:t>
      </w:r>
      <w:r w:rsidRPr="00BE78CA">
        <w:t>Zealand’s gross GHG emissions (see figure ES 4.2).</w:t>
      </w:r>
    </w:p>
    <w:p w14:paraId="7118B35D" w14:textId="15C9C86B" w:rsidR="00855935" w:rsidRPr="00BE78CA" w:rsidRDefault="00855935" w:rsidP="00065063">
      <w:pPr>
        <w:pStyle w:val="BodyText"/>
        <w:spacing w:before="100" w:after="100"/>
      </w:pPr>
      <w:r w:rsidRPr="00BE78CA">
        <w:t xml:space="preserve">The largest source category is </w:t>
      </w:r>
      <w:r w:rsidRPr="00BE78CA">
        <w:rPr>
          <w:i/>
        </w:rPr>
        <w:t>Domestic navigation</w:t>
      </w:r>
      <w:r w:rsidRPr="00BE78CA">
        <w:t>, which contributed 2.20 kt CO</w:t>
      </w:r>
      <w:r w:rsidRPr="00BE78CA">
        <w:rPr>
          <w:vertAlign w:val="subscript"/>
        </w:rPr>
        <w:t>2</w:t>
      </w:r>
      <w:r w:rsidRPr="00BE78CA">
        <w:t>-e (87.0</w:t>
      </w:r>
      <w:r w:rsidR="004E7D40" w:rsidRPr="00BE78CA">
        <w:t> </w:t>
      </w:r>
      <w:r w:rsidRPr="00BE78CA">
        <w:t>per cent of all energy emissions and 51.2 per cent of gross emissions from Tokelau).</w:t>
      </w:r>
    </w:p>
    <w:p w14:paraId="5BA5E36E" w14:textId="77777777" w:rsidR="00855935" w:rsidRPr="00BE78CA" w:rsidRDefault="00855935" w:rsidP="00065063">
      <w:pPr>
        <w:pStyle w:val="Heading5"/>
        <w:spacing w:before="200"/>
      </w:pPr>
      <w:bookmarkStart w:id="61" w:name="section-18"/>
      <w:r w:rsidRPr="00BE78CA">
        <w:t>1990–2019</w:t>
      </w:r>
      <w:bookmarkEnd w:id="61"/>
    </w:p>
    <w:p w14:paraId="0612DB7D" w14:textId="77777777" w:rsidR="00855935" w:rsidRPr="00BE78CA" w:rsidRDefault="00855935" w:rsidP="00065063">
      <w:pPr>
        <w:pStyle w:val="BodyText"/>
        <w:spacing w:before="100" w:after="100"/>
      </w:pPr>
      <w:r w:rsidRPr="00BE78CA">
        <w:t>In 1990, the total emissions from Tokelau were 3.17 kt CO</w:t>
      </w:r>
      <w:r w:rsidRPr="00BE78CA">
        <w:rPr>
          <w:vertAlign w:val="subscript"/>
        </w:rPr>
        <w:t>2</w:t>
      </w:r>
      <w:r w:rsidRPr="00BE78CA">
        <w:t>-e. Between 1990 and 2019, total emissions increased by 35.7 per cent (1.13 kt CO</w:t>
      </w:r>
      <w:r w:rsidRPr="00BE78CA">
        <w:rPr>
          <w:vertAlign w:val="subscript"/>
        </w:rPr>
        <w:t>2</w:t>
      </w:r>
      <w:r w:rsidRPr="00BE78CA">
        <w:t>-e) to 4.30 kt CO</w:t>
      </w:r>
      <w:r w:rsidRPr="00BE78CA">
        <w:rPr>
          <w:vertAlign w:val="subscript"/>
        </w:rPr>
        <w:t>2</w:t>
      </w:r>
      <w:r w:rsidRPr="00BE78CA">
        <w:t>-e.</w:t>
      </w:r>
    </w:p>
    <w:p w14:paraId="1C7B0CCD" w14:textId="03468A7E" w:rsidR="00855935" w:rsidRPr="00BE78CA" w:rsidRDefault="00855935" w:rsidP="00065063">
      <w:pPr>
        <w:pStyle w:val="BodyText"/>
        <w:spacing w:before="100" w:after="100"/>
      </w:pPr>
      <w:r w:rsidRPr="00BE78CA">
        <w:t xml:space="preserve">The emission categories that contributed the most to this change were </w:t>
      </w:r>
      <w:r w:rsidRPr="00BE78CA">
        <w:rPr>
          <w:i/>
        </w:rPr>
        <w:t>Domestic navigation</w:t>
      </w:r>
      <w:r w:rsidRPr="00BE78CA">
        <w:t xml:space="preserve"> and </w:t>
      </w:r>
      <w:r w:rsidRPr="00BE78CA">
        <w:rPr>
          <w:i/>
        </w:rPr>
        <w:t>Refrigeration and air conditioning</w:t>
      </w:r>
      <w:r w:rsidRPr="00BE78CA">
        <w:t xml:space="preserve">. The changes in </w:t>
      </w:r>
      <w:r w:rsidRPr="00BE78CA">
        <w:rPr>
          <w:i/>
        </w:rPr>
        <w:t>Domestic navigation</w:t>
      </w:r>
      <w:r w:rsidRPr="00BE78CA">
        <w:t xml:space="preserve"> are a result of Tokelau gaining ownership and use of the ferry </w:t>
      </w:r>
      <w:r w:rsidRPr="00BE78CA">
        <w:rPr>
          <w:i/>
        </w:rPr>
        <w:t>Mataliki</w:t>
      </w:r>
      <w:r w:rsidRPr="00BE78CA">
        <w:t xml:space="preserve"> in 2016, cargo vessel </w:t>
      </w:r>
      <w:r w:rsidRPr="00BE78CA">
        <w:rPr>
          <w:i/>
        </w:rPr>
        <w:t>Kalopaga</w:t>
      </w:r>
      <w:r w:rsidRPr="00BE78CA">
        <w:t xml:space="preserve"> in 2018 and inter-atoll vessel </w:t>
      </w:r>
      <w:r w:rsidRPr="00BE78CA">
        <w:rPr>
          <w:i/>
        </w:rPr>
        <w:t>Fetu o te Moana</w:t>
      </w:r>
      <w:r w:rsidRPr="00BE78CA">
        <w:t xml:space="preserve"> in 2019 leading to an increasing number of sea voyages between the atolls, which increased transport emissions. Emissions from Tokelau’s IPPU sector have also increased mainly due to the introduction of air conditioning after 2006. Further changes in Tokelau’s Energy sector emissions are a significant rise then drop (by around 400 per cent and 82.5 per cent respectively) in consumption of imported petroleum products used for electricity production in Tokelau. For electricity generation, two important events occurred: first, the changeover to 24 hour, 7 days a week electricity in 2004 (from 6 pm to 10 pm before that, at an estimated 20 per cent of the 24 hour, 7 days a week value in 2011); and, second, the introduction of solar-powered plants in 2012. Emissions from Tokelau’s Agriculture sector decreased slightly as a result of a reduced population of pigs. The trends are</w:t>
      </w:r>
      <w:r w:rsidR="004E7D40" w:rsidRPr="00BE78CA">
        <w:t> </w:t>
      </w:r>
      <w:r w:rsidRPr="00BE78CA">
        <w:t>shown in chapter 2, figure 2.2.12, and in chapter 8.</w:t>
      </w:r>
    </w:p>
    <w:p w14:paraId="37A6C567" w14:textId="77777777" w:rsidR="00855935" w:rsidRPr="00BE78CA" w:rsidRDefault="00855935" w:rsidP="00855935">
      <w:pPr>
        <w:pStyle w:val="Heading5"/>
      </w:pPr>
      <w:bookmarkStart w:id="62" w:name="section-19"/>
      <w:r w:rsidRPr="00BE78CA">
        <w:t>2018–2019</w:t>
      </w:r>
      <w:bookmarkEnd w:id="62"/>
    </w:p>
    <w:p w14:paraId="13EFCB59" w14:textId="17C42CE2" w:rsidR="00855935" w:rsidRPr="00BE78CA" w:rsidRDefault="00855935" w:rsidP="00065063">
      <w:pPr>
        <w:pStyle w:val="BodyText"/>
        <w:spacing w:before="100"/>
      </w:pPr>
      <w:r w:rsidRPr="00BE78CA">
        <w:t>Total Tokelau emissions in 2019 were 0.66 kt CO</w:t>
      </w:r>
      <w:r w:rsidRPr="00BE78CA">
        <w:rPr>
          <w:vertAlign w:val="subscript"/>
        </w:rPr>
        <w:t>2</w:t>
      </w:r>
      <w:r w:rsidRPr="00BE78CA">
        <w:t>-e (18.2 per cent) higher than emissions in 2018. The higher emissions are largely the result of increases in CO</w:t>
      </w:r>
      <w:r w:rsidRPr="00BE78CA">
        <w:rPr>
          <w:vertAlign w:val="subscript"/>
        </w:rPr>
        <w:t>2</w:t>
      </w:r>
      <w:r w:rsidRPr="00BE78CA">
        <w:t xml:space="preserve"> emissions in the </w:t>
      </w:r>
      <w:r w:rsidRPr="00BE78CA">
        <w:rPr>
          <w:i/>
        </w:rPr>
        <w:t>Domestic navigation</w:t>
      </w:r>
      <w:r w:rsidRPr="00BE78CA">
        <w:t xml:space="preserve"> category, due to increased shipping within Tokelau, as explained in the section for 1990</w:t>
      </w:r>
      <w:r w:rsidR="004E7D40" w:rsidRPr="00BE78CA">
        <w:t xml:space="preserve"> to </w:t>
      </w:r>
      <w:r w:rsidRPr="00BE78CA">
        <w:t>2019 emission trends above.</w:t>
      </w:r>
    </w:p>
    <w:p w14:paraId="7158E162" w14:textId="230EBBD1" w:rsidR="00855935" w:rsidRPr="00BE78CA" w:rsidRDefault="00855935" w:rsidP="00855935">
      <w:pPr>
        <w:pStyle w:val="Heading2"/>
      </w:pPr>
      <w:bookmarkStart w:id="63" w:name="Xe61861c086d75407fde7e209cbdfcbc398e0b07"/>
      <w:bookmarkStart w:id="64" w:name="_Toc68786283"/>
      <w:r w:rsidRPr="00BE78CA">
        <w:t xml:space="preserve">ES.5 </w:t>
      </w:r>
      <w:r w:rsidR="004E7D40" w:rsidRPr="00BE78CA">
        <w:tab/>
      </w:r>
      <w:r w:rsidRPr="00BE78CA">
        <w:t>Activities under Article 3.3 and Article 3.4 of the Kyoto</w:t>
      </w:r>
      <w:r w:rsidR="004E7D40" w:rsidRPr="00BE78CA">
        <w:t> </w:t>
      </w:r>
      <w:r w:rsidRPr="00BE78CA">
        <w:t>Protocol (chapter 11)</w:t>
      </w:r>
      <w:bookmarkEnd w:id="63"/>
      <w:bookmarkEnd w:id="64"/>
    </w:p>
    <w:p w14:paraId="79CB5473" w14:textId="77777777" w:rsidR="00855935" w:rsidRPr="00BE78CA" w:rsidRDefault="00855935" w:rsidP="00065063">
      <w:pPr>
        <w:pStyle w:val="BodyText"/>
        <w:spacing w:before="100"/>
      </w:pPr>
      <w:r w:rsidRPr="00BE78CA">
        <w:t xml:space="preserve">Under the Kyoto Protocol, reporting of </w:t>
      </w:r>
      <w:r w:rsidRPr="00BE78CA">
        <w:rPr>
          <w:i/>
        </w:rPr>
        <w:t>Afforestation and reforestation</w:t>
      </w:r>
      <w:r w:rsidRPr="00BE78CA">
        <w:t xml:space="preserve"> and </w:t>
      </w:r>
      <w:r w:rsidRPr="00BE78CA">
        <w:rPr>
          <w:i/>
        </w:rPr>
        <w:t>Deforestation</w:t>
      </w:r>
      <w:r w:rsidRPr="00BE78CA">
        <w:t xml:space="preserve"> activities since 1990, and </w:t>
      </w:r>
      <w:r w:rsidRPr="00BE78CA">
        <w:rPr>
          <w:i/>
        </w:rPr>
        <w:t>Forest management</w:t>
      </w:r>
      <w:r w:rsidRPr="00BE78CA">
        <w:t xml:space="preserve"> is mandatory during the second commitment period. This is a change from the first commitment period, when reporting on </w:t>
      </w:r>
      <w:r w:rsidRPr="00BE78CA">
        <w:rPr>
          <w:i/>
        </w:rPr>
        <w:t>Forest management</w:t>
      </w:r>
      <w:r w:rsidRPr="00BE78CA">
        <w:t xml:space="preserve"> was voluntary for Annex I Parties. Reporting on the Kyoto Protocol, Article 3.4 activities </w:t>
      </w:r>
      <w:r w:rsidRPr="00BE78CA">
        <w:rPr>
          <w:i/>
        </w:rPr>
        <w:t>Cropland management</w:t>
      </w:r>
      <w:r w:rsidRPr="00BE78CA">
        <w:t xml:space="preserve">, </w:t>
      </w:r>
      <w:r w:rsidRPr="00BE78CA">
        <w:rPr>
          <w:i/>
        </w:rPr>
        <w:t>Grazing land management</w:t>
      </w:r>
      <w:r w:rsidRPr="00BE78CA">
        <w:t xml:space="preserve">, </w:t>
      </w:r>
      <w:r w:rsidRPr="00BE78CA">
        <w:rPr>
          <w:i/>
        </w:rPr>
        <w:t>Revegetation</w:t>
      </w:r>
      <w:r w:rsidRPr="00BE78CA">
        <w:t xml:space="preserve"> and </w:t>
      </w:r>
      <w:r w:rsidRPr="00BE78CA">
        <w:rPr>
          <w:i/>
        </w:rPr>
        <w:t>Wetland drainage and rewetting</w:t>
      </w:r>
      <w:r w:rsidRPr="00BE78CA">
        <w:t xml:space="preserve"> is voluntary for the 2013 to 2020 period. New Zealand has not elected to report on any of these voluntary categories.</w:t>
      </w:r>
    </w:p>
    <w:p w14:paraId="0873B6B1" w14:textId="77777777" w:rsidR="00855935" w:rsidRPr="00BE78CA" w:rsidRDefault="00855935" w:rsidP="00855935">
      <w:pPr>
        <w:pStyle w:val="BodyText"/>
      </w:pPr>
      <w:r w:rsidRPr="00BE78CA">
        <w:lastRenderedPageBreak/>
        <w:t>More information on how New Zealand accounts against its target is provided in section ES.2.</w:t>
      </w:r>
    </w:p>
    <w:p w14:paraId="5A3461F7" w14:textId="0D574E20" w:rsidR="00855935" w:rsidRPr="00BE78CA" w:rsidRDefault="00855935" w:rsidP="00855935">
      <w:pPr>
        <w:pStyle w:val="BodyText"/>
      </w:pPr>
      <w:r w:rsidRPr="00BE78CA">
        <w:t>New Zealand reports on activities under Article 3.3 and Article 3.4 of the Kyoto Protocol by monitoring trends in land use. The Ministry for the Environment tracks forest land use and periodically produces land</w:t>
      </w:r>
      <w:r w:rsidR="00344BC0" w:rsidRPr="00BE78CA">
        <w:t xml:space="preserve"> </w:t>
      </w:r>
      <w:r w:rsidRPr="00BE78CA">
        <w:t>use maps. This information is supplemented by forestry statistics produced by the Ministry for Primary Industries. These data sources are used to detect the following trends in land use.</w:t>
      </w:r>
    </w:p>
    <w:p w14:paraId="269F2D61" w14:textId="77777777" w:rsidR="00855935" w:rsidRPr="00BE78CA" w:rsidRDefault="00855935" w:rsidP="00855935">
      <w:pPr>
        <w:pStyle w:val="Heading5"/>
      </w:pPr>
      <w:bookmarkStart w:id="65" w:name="afforestation-and-reforestation"/>
      <w:r w:rsidRPr="00BE78CA">
        <w:t>Afforestation and reforestation</w:t>
      </w:r>
      <w:bookmarkEnd w:id="65"/>
    </w:p>
    <w:p w14:paraId="439CA440" w14:textId="2E856516" w:rsidR="00855935" w:rsidRPr="00BE78CA" w:rsidRDefault="00855935" w:rsidP="00855935">
      <w:pPr>
        <w:pStyle w:val="BodyText"/>
        <w:rPr>
          <w:bCs/>
        </w:rPr>
      </w:pPr>
      <w:r w:rsidRPr="00BE78CA">
        <w:t xml:space="preserve">The net area subject to </w:t>
      </w:r>
      <w:r w:rsidRPr="00BE78CA">
        <w:rPr>
          <w:i/>
        </w:rPr>
        <w:t>Afforestation and reforestation</w:t>
      </w:r>
      <w:r w:rsidRPr="00BE78CA">
        <w:t xml:space="preserve"> activities between </w:t>
      </w:r>
      <w:r w:rsidRPr="00BE78CA">
        <w:rPr>
          <w:bCs/>
        </w:rPr>
        <w:t>1990 and 2019 was</w:t>
      </w:r>
      <w:r w:rsidR="00065063" w:rsidRPr="00BE78CA">
        <w:rPr>
          <w:bCs/>
        </w:rPr>
        <w:t> </w:t>
      </w:r>
      <w:r w:rsidRPr="00BE78CA">
        <w:rPr>
          <w:bCs/>
        </w:rPr>
        <w:t xml:space="preserve">739,454 hectares. This excludes the area subsequently converted to another land use, which is reported as a </w:t>
      </w:r>
      <w:r w:rsidRPr="00BE78CA">
        <w:rPr>
          <w:bCs/>
          <w:i/>
          <w:iCs/>
        </w:rPr>
        <w:t>Deforestation</w:t>
      </w:r>
      <w:r w:rsidRPr="00BE78CA">
        <w:rPr>
          <w:bCs/>
        </w:rPr>
        <w:t xml:space="preserve"> activity. The provisional estimate of </w:t>
      </w:r>
      <w:r w:rsidRPr="00BE78CA">
        <w:rPr>
          <w:bCs/>
          <w:i/>
        </w:rPr>
        <w:t>Afforestation and reforestation</w:t>
      </w:r>
      <w:r w:rsidRPr="00BE78CA">
        <w:rPr>
          <w:bCs/>
        </w:rPr>
        <w:t xml:space="preserve"> for 2019 is 24,067 hectares.</w:t>
      </w:r>
    </w:p>
    <w:p w14:paraId="6B560610" w14:textId="77777777" w:rsidR="00855935" w:rsidRPr="00BE78CA" w:rsidRDefault="00855935" w:rsidP="00855935">
      <w:pPr>
        <w:pStyle w:val="Heading5"/>
      </w:pPr>
      <w:bookmarkStart w:id="66" w:name="deforestation"/>
      <w:r w:rsidRPr="00BE78CA">
        <w:t>Deforestation</w:t>
      </w:r>
      <w:bookmarkEnd w:id="66"/>
    </w:p>
    <w:p w14:paraId="5E337358" w14:textId="77777777" w:rsidR="00855935" w:rsidRPr="00BE78CA" w:rsidRDefault="00855935" w:rsidP="00855935">
      <w:pPr>
        <w:pStyle w:val="BodyText"/>
      </w:pPr>
      <w:r w:rsidRPr="00BE78CA">
        <w:t>The area deforested between 1 January 1990 and 31 December 2019 was 202,641 hectares.</w:t>
      </w:r>
      <w:r w:rsidRPr="00BE78CA">
        <w:rPr>
          <w:rStyle w:val="FootnoteReference"/>
        </w:rPr>
        <w:footnoteReference w:id="6"/>
      </w:r>
      <w:r w:rsidRPr="00BE78CA">
        <w:t xml:space="preserve"> The provisional estimated area subject to </w:t>
      </w:r>
      <w:r w:rsidRPr="00BE78CA">
        <w:rPr>
          <w:i/>
        </w:rPr>
        <w:t>Deforestation</w:t>
      </w:r>
      <w:r w:rsidRPr="00BE78CA">
        <w:t xml:space="preserve"> in 2019 was 4,745 hectares. In 2019, net emissions from </w:t>
      </w:r>
      <w:r w:rsidRPr="00BE78CA">
        <w:rPr>
          <w:i/>
        </w:rPr>
        <w:t>Deforestation</w:t>
      </w:r>
      <w:r w:rsidRPr="00BE78CA">
        <w:t xml:space="preserve"> were 2,906.6 kt CO</w:t>
      </w:r>
      <w:r w:rsidRPr="00BE78CA">
        <w:rPr>
          <w:vertAlign w:val="subscript"/>
        </w:rPr>
        <w:t>2</w:t>
      </w:r>
      <w:r w:rsidRPr="00BE78CA">
        <w:t>-e, compared with 2,269.9 kt CO</w:t>
      </w:r>
      <w:r w:rsidRPr="00BE78CA">
        <w:rPr>
          <w:vertAlign w:val="subscript"/>
        </w:rPr>
        <w:t>2</w:t>
      </w:r>
      <w:r w:rsidRPr="00BE78CA">
        <w:t>-e in 2018 (a 28.1 per cent increase).</w:t>
      </w:r>
    </w:p>
    <w:p w14:paraId="76DCE795" w14:textId="77777777" w:rsidR="00855935" w:rsidRPr="00BE78CA" w:rsidRDefault="00855935" w:rsidP="00855935">
      <w:pPr>
        <w:pStyle w:val="Heading5"/>
      </w:pPr>
      <w:bookmarkStart w:id="67" w:name="forest-management"/>
      <w:r w:rsidRPr="00BE78CA">
        <w:t>Forest management</w:t>
      </w:r>
      <w:bookmarkEnd w:id="67"/>
    </w:p>
    <w:p w14:paraId="13AD3F8F" w14:textId="77777777" w:rsidR="00855935" w:rsidRPr="00BE78CA" w:rsidRDefault="00855935" w:rsidP="00855935">
      <w:pPr>
        <w:pStyle w:val="BodyText"/>
      </w:pPr>
      <w:r w:rsidRPr="00BE78CA">
        <w:t xml:space="preserve">The total area reported under </w:t>
      </w:r>
      <w:r w:rsidRPr="00BE78CA">
        <w:rPr>
          <w:i/>
        </w:rPr>
        <w:t>Forest management</w:t>
      </w:r>
      <w:r w:rsidRPr="00BE78CA">
        <w:t xml:space="preserve"> at the end of 2019 was 9,201,461 hectares, equivalent to 34.2 per cent of New Zealand’s total land area (table ES 5.1(a). This category includes all land that was forest at 1 January 1990 and has not been deforested since 1990. Net removals on this land in 2019 were 20,665.3 kt CO</w:t>
      </w:r>
      <w:r w:rsidRPr="00BE78CA">
        <w:rPr>
          <w:vertAlign w:val="subscript"/>
        </w:rPr>
        <w:t>2</w:t>
      </w:r>
      <w:r w:rsidRPr="00BE78CA">
        <w:t>-e, including net removals of 12,086.8 kt CO</w:t>
      </w:r>
      <w:r w:rsidRPr="00BE78CA">
        <w:rPr>
          <w:vertAlign w:val="subscript"/>
        </w:rPr>
        <w:t>2</w:t>
      </w:r>
      <w:r w:rsidRPr="00BE78CA">
        <w:t xml:space="preserve">-e from the </w:t>
      </w:r>
      <w:r w:rsidRPr="00BE78CA">
        <w:rPr>
          <w:i/>
        </w:rPr>
        <w:t>Harvested wood products</w:t>
      </w:r>
      <w:r w:rsidRPr="00BE78CA">
        <w:t xml:space="preserve"> category.</w:t>
      </w:r>
    </w:p>
    <w:p w14:paraId="786C114F" w14:textId="00234221" w:rsidR="00855935" w:rsidRPr="00BE78CA" w:rsidRDefault="00855935" w:rsidP="00065063">
      <w:pPr>
        <w:pStyle w:val="Table"/>
      </w:pPr>
      <w:bookmarkStart w:id="68" w:name="_Toc68786394"/>
      <w:r w:rsidRPr="00BE78CA">
        <w:t xml:space="preserve">Table ES 5.1(a) </w:t>
      </w:r>
      <w:r w:rsidR="00065063" w:rsidRPr="00BE78CA">
        <w:tab/>
      </w:r>
      <w:r w:rsidRPr="00BE78CA">
        <w:t>New Zealand’s land-use areas for Afforestation and reforestation, Deforestation and Forest</w:t>
      </w:r>
      <w:r w:rsidR="00065063" w:rsidRPr="00BE78CA">
        <w:t> </w:t>
      </w:r>
      <w:r w:rsidRPr="00BE78CA">
        <w:t>management</w:t>
      </w:r>
      <w:bookmarkEnd w:id="68"/>
    </w:p>
    <w:tbl>
      <w:tblPr>
        <w:tblW w:w="8494" w:type="dxa"/>
        <w:tblBorders>
          <w:top w:val="single" w:sz="4" w:space="0" w:color="365F91"/>
          <w:bottom w:val="single" w:sz="4" w:space="0" w:color="365F91"/>
          <w:insideH w:val="single" w:sz="4" w:space="0" w:color="365F91"/>
          <w:insideV w:val="single" w:sz="4" w:space="0" w:color="365F91"/>
        </w:tblBorders>
        <w:tblCellMar>
          <w:left w:w="85" w:type="dxa"/>
          <w:right w:w="57" w:type="dxa"/>
        </w:tblCellMar>
        <w:tblLook w:val="0420" w:firstRow="1" w:lastRow="0" w:firstColumn="0" w:lastColumn="0" w:noHBand="0" w:noVBand="1"/>
      </w:tblPr>
      <w:tblGrid>
        <w:gridCol w:w="1508"/>
        <w:gridCol w:w="998"/>
        <w:gridCol w:w="998"/>
        <w:gridCol w:w="998"/>
        <w:gridCol w:w="998"/>
        <w:gridCol w:w="998"/>
        <w:gridCol w:w="998"/>
        <w:gridCol w:w="998"/>
      </w:tblGrid>
      <w:tr w:rsidR="00CE6E69" w:rsidRPr="00BE78CA" w14:paraId="12B8F185" w14:textId="77777777" w:rsidTr="00292755">
        <w:trPr>
          <w:cantSplit/>
          <w:tblHeader/>
        </w:trPr>
        <w:tc>
          <w:tcPr>
            <w:tcW w:w="1531" w:type="dxa"/>
            <w:tcBorders>
              <w:bottom w:val="single" w:sz="4" w:space="0" w:color="365F91"/>
              <w:right w:val="nil"/>
            </w:tcBorders>
            <w:shd w:val="clear" w:color="auto" w:fill="365F91"/>
            <w:tcMar>
              <w:top w:w="0" w:type="dxa"/>
              <w:left w:w="85" w:type="dxa"/>
              <w:bottom w:w="0" w:type="dxa"/>
              <w:right w:w="57" w:type="dxa"/>
            </w:tcMar>
            <w:vAlign w:val="center"/>
          </w:tcPr>
          <w:p w14:paraId="64E10506" w14:textId="77777777" w:rsidR="00855935" w:rsidRPr="00BE78CA" w:rsidRDefault="00855935" w:rsidP="0089038A">
            <w:pPr>
              <w:pStyle w:val="TableTextBold"/>
              <w:spacing w:before="50" w:after="50"/>
              <w:rPr>
                <w:noProof w:val="0"/>
                <w:color w:val="FFFFFF" w:themeColor="background1"/>
              </w:rPr>
            </w:pPr>
            <w:r w:rsidRPr="00BE78CA">
              <w:rPr>
                <w:rFonts w:eastAsia="Calibri"/>
                <w:noProof w:val="0"/>
                <w:color w:val="FFFFFF" w:themeColor="background1"/>
              </w:rPr>
              <w:t xml:space="preserve"> </w:t>
            </w:r>
          </w:p>
        </w:tc>
        <w:tc>
          <w:tcPr>
            <w:tcW w:w="964" w:type="dxa"/>
            <w:tcBorders>
              <w:left w:val="nil"/>
              <w:bottom w:val="single" w:sz="4" w:space="0" w:color="365F91"/>
              <w:right w:val="nil"/>
            </w:tcBorders>
            <w:shd w:val="clear" w:color="auto" w:fill="365F91"/>
            <w:tcMar>
              <w:top w:w="0" w:type="dxa"/>
              <w:left w:w="85" w:type="dxa"/>
              <w:bottom w:w="0" w:type="dxa"/>
              <w:right w:w="57" w:type="dxa"/>
            </w:tcMar>
            <w:vAlign w:val="center"/>
          </w:tcPr>
          <w:p w14:paraId="278AA4CD" w14:textId="77777777" w:rsidR="00855935" w:rsidRPr="00BE78CA" w:rsidRDefault="00855935" w:rsidP="0089038A">
            <w:pPr>
              <w:pStyle w:val="TableTextBold"/>
              <w:spacing w:before="50" w:after="50"/>
              <w:jc w:val="center"/>
              <w:rPr>
                <w:noProof w:val="0"/>
                <w:color w:val="FFFFFF" w:themeColor="background1"/>
              </w:rPr>
            </w:pPr>
            <w:r w:rsidRPr="00BE78CA">
              <w:rPr>
                <w:rFonts w:eastAsia="Calibri"/>
                <w:noProof w:val="0"/>
                <w:color w:val="FFFFFF" w:themeColor="background1"/>
              </w:rPr>
              <w:t>2013</w:t>
            </w:r>
          </w:p>
        </w:tc>
        <w:tc>
          <w:tcPr>
            <w:tcW w:w="964" w:type="dxa"/>
            <w:tcBorders>
              <w:left w:val="nil"/>
              <w:bottom w:val="single" w:sz="4" w:space="0" w:color="365F91"/>
              <w:right w:val="nil"/>
            </w:tcBorders>
            <w:shd w:val="clear" w:color="auto" w:fill="365F91"/>
            <w:tcMar>
              <w:top w:w="0" w:type="dxa"/>
              <w:left w:w="85" w:type="dxa"/>
              <w:bottom w:w="0" w:type="dxa"/>
              <w:right w:w="57" w:type="dxa"/>
            </w:tcMar>
            <w:vAlign w:val="center"/>
          </w:tcPr>
          <w:p w14:paraId="0CE11C5A" w14:textId="77777777" w:rsidR="00855935" w:rsidRPr="00BE78CA" w:rsidRDefault="00855935" w:rsidP="0089038A">
            <w:pPr>
              <w:pStyle w:val="TableTextBold"/>
              <w:spacing w:before="50" w:after="50"/>
              <w:jc w:val="center"/>
              <w:rPr>
                <w:noProof w:val="0"/>
                <w:color w:val="FFFFFF" w:themeColor="background1"/>
              </w:rPr>
            </w:pPr>
            <w:r w:rsidRPr="00BE78CA">
              <w:rPr>
                <w:rFonts w:eastAsia="Calibri"/>
                <w:noProof w:val="0"/>
                <w:color w:val="FFFFFF" w:themeColor="background1"/>
              </w:rPr>
              <w:t>2014</w:t>
            </w:r>
          </w:p>
        </w:tc>
        <w:tc>
          <w:tcPr>
            <w:tcW w:w="964" w:type="dxa"/>
            <w:tcBorders>
              <w:left w:val="nil"/>
              <w:bottom w:val="single" w:sz="4" w:space="0" w:color="365F91"/>
              <w:right w:val="nil"/>
            </w:tcBorders>
            <w:shd w:val="clear" w:color="auto" w:fill="365F91"/>
            <w:tcMar>
              <w:top w:w="0" w:type="dxa"/>
              <w:left w:w="85" w:type="dxa"/>
              <w:bottom w:w="0" w:type="dxa"/>
              <w:right w:w="57" w:type="dxa"/>
            </w:tcMar>
            <w:vAlign w:val="center"/>
          </w:tcPr>
          <w:p w14:paraId="33094DF0" w14:textId="77777777" w:rsidR="00855935" w:rsidRPr="00BE78CA" w:rsidRDefault="00855935" w:rsidP="0089038A">
            <w:pPr>
              <w:pStyle w:val="TableTextBold"/>
              <w:spacing w:before="50" w:after="50"/>
              <w:jc w:val="center"/>
              <w:rPr>
                <w:noProof w:val="0"/>
                <w:color w:val="FFFFFF" w:themeColor="background1"/>
              </w:rPr>
            </w:pPr>
            <w:r w:rsidRPr="00BE78CA">
              <w:rPr>
                <w:rFonts w:eastAsia="Calibri"/>
                <w:noProof w:val="0"/>
                <w:color w:val="FFFFFF" w:themeColor="background1"/>
              </w:rPr>
              <w:t>2015</w:t>
            </w:r>
          </w:p>
        </w:tc>
        <w:tc>
          <w:tcPr>
            <w:tcW w:w="964" w:type="dxa"/>
            <w:tcBorders>
              <w:left w:val="nil"/>
              <w:bottom w:val="single" w:sz="4" w:space="0" w:color="365F91"/>
              <w:right w:val="nil"/>
            </w:tcBorders>
            <w:shd w:val="clear" w:color="auto" w:fill="365F91"/>
            <w:tcMar>
              <w:top w:w="0" w:type="dxa"/>
              <w:left w:w="85" w:type="dxa"/>
              <w:bottom w:w="0" w:type="dxa"/>
              <w:right w:w="57" w:type="dxa"/>
            </w:tcMar>
            <w:vAlign w:val="center"/>
          </w:tcPr>
          <w:p w14:paraId="06FFAE3B" w14:textId="77777777" w:rsidR="00855935" w:rsidRPr="00BE78CA" w:rsidRDefault="00855935" w:rsidP="0089038A">
            <w:pPr>
              <w:pStyle w:val="TableTextBold"/>
              <w:spacing w:before="50" w:after="50"/>
              <w:jc w:val="center"/>
              <w:rPr>
                <w:noProof w:val="0"/>
                <w:color w:val="FFFFFF" w:themeColor="background1"/>
              </w:rPr>
            </w:pPr>
            <w:r w:rsidRPr="00BE78CA">
              <w:rPr>
                <w:rFonts w:eastAsia="Calibri"/>
                <w:noProof w:val="0"/>
                <w:color w:val="FFFFFF" w:themeColor="background1"/>
              </w:rPr>
              <w:t>2016</w:t>
            </w:r>
          </w:p>
        </w:tc>
        <w:tc>
          <w:tcPr>
            <w:tcW w:w="964" w:type="dxa"/>
            <w:tcBorders>
              <w:left w:val="nil"/>
              <w:bottom w:val="single" w:sz="4" w:space="0" w:color="365F91"/>
              <w:right w:val="nil"/>
            </w:tcBorders>
            <w:shd w:val="clear" w:color="auto" w:fill="365F91"/>
            <w:tcMar>
              <w:top w:w="0" w:type="dxa"/>
              <w:left w:w="85" w:type="dxa"/>
              <w:bottom w:w="0" w:type="dxa"/>
              <w:right w:w="57" w:type="dxa"/>
            </w:tcMar>
            <w:vAlign w:val="center"/>
          </w:tcPr>
          <w:p w14:paraId="19CBD033" w14:textId="77777777" w:rsidR="00855935" w:rsidRPr="00BE78CA" w:rsidRDefault="00855935" w:rsidP="0089038A">
            <w:pPr>
              <w:pStyle w:val="TableTextBold"/>
              <w:spacing w:before="50" w:after="50"/>
              <w:jc w:val="center"/>
              <w:rPr>
                <w:noProof w:val="0"/>
                <w:color w:val="FFFFFF" w:themeColor="background1"/>
              </w:rPr>
            </w:pPr>
            <w:r w:rsidRPr="00BE78CA">
              <w:rPr>
                <w:rFonts w:eastAsia="Calibri"/>
                <w:noProof w:val="0"/>
                <w:color w:val="FFFFFF" w:themeColor="background1"/>
              </w:rPr>
              <w:t>2017</w:t>
            </w:r>
          </w:p>
        </w:tc>
        <w:tc>
          <w:tcPr>
            <w:tcW w:w="964" w:type="dxa"/>
            <w:tcBorders>
              <w:left w:val="nil"/>
              <w:bottom w:val="single" w:sz="4" w:space="0" w:color="365F91"/>
              <w:right w:val="nil"/>
            </w:tcBorders>
            <w:shd w:val="clear" w:color="auto" w:fill="365F91"/>
            <w:tcMar>
              <w:top w:w="0" w:type="dxa"/>
              <w:left w:w="85" w:type="dxa"/>
              <w:bottom w:w="0" w:type="dxa"/>
              <w:right w:w="57" w:type="dxa"/>
            </w:tcMar>
            <w:vAlign w:val="center"/>
          </w:tcPr>
          <w:p w14:paraId="3AFEE1EF" w14:textId="77777777" w:rsidR="00855935" w:rsidRPr="00BE78CA" w:rsidRDefault="00855935" w:rsidP="0089038A">
            <w:pPr>
              <w:pStyle w:val="TableTextBold"/>
              <w:spacing w:before="50" w:after="50"/>
              <w:jc w:val="center"/>
              <w:rPr>
                <w:noProof w:val="0"/>
                <w:color w:val="FFFFFF" w:themeColor="background1"/>
              </w:rPr>
            </w:pPr>
            <w:r w:rsidRPr="00BE78CA">
              <w:rPr>
                <w:rFonts w:eastAsia="Calibri"/>
                <w:noProof w:val="0"/>
                <w:color w:val="FFFFFF" w:themeColor="background1"/>
              </w:rPr>
              <w:t>2018</w:t>
            </w:r>
          </w:p>
        </w:tc>
        <w:tc>
          <w:tcPr>
            <w:tcW w:w="964" w:type="dxa"/>
            <w:tcBorders>
              <w:left w:val="nil"/>
              <w:bottom w:val="single" w:sz="4" w:space="0" w:color="365F91"/>
            </w:tcBorders>
            <w:shd w:val="clear" w:color="auto" w:fill="365F91"/>
            <w:tcMar>
              <w:top w:w="0" w:type="dxa"/>
              <w:left w:w="85" w:type="dxa"/>
              <w:bottom w:w="0" w:type="dxa"/>
              <w:right w:w="57" w:type="dxa"/>
            </w:tcMar>
            <w:vAlign w:val="center"/>
          </w:tcPr>
          <w:p w14:paraId="5F2E6A82" w14:textId="77777777" w:rsidR="00855935" w:rsidRPr="00BE78CA" w:rsidRDefault="00855935" w:rsidP="0089038A">
            <w:pPr>
              <w:pStyle w:val="TableTextBold"/>
              <w:spacing w:before="50" w:after="50"/>
              <w:jc w:val="center"/>
              <w:rPr>
                <w:noProof w:val="0"/>
                <w:color w:val="FFFFFF" w:themeColor="background1"/>
              </w:rPr>
            </w:pPr>
            <w:r w:rsidRPr="00BE78CA">
              <w:rPr>
                <w:rFonts w:eastAsia="Calibri"/>
                <w:noProof w:val="0"/>
                <w:color w:val="FFFFFF" w:themeColor="background1"/>
              </w:rPr>
              <w:t>2019</w:t>
            </w:r>
          </w:p>
        </w:tc>
      </w:tr>
      <w:tr w:rsidR="00D73C53" w:rsidRPr="00BE78CA" w14:paraId="5983F9A0" w14:textId="77777777" w:rsidTr="00292755">
        <w:trPr>
          <w:cantSplit/>
        </w:trPr>
        <w:tc>
          <w:tcPr>
            <w:tcW w:w="1531" w:type="dxa"/>
            <w:gridSpan w:val="8"/>
            <w:tcBorders>
              <w:top w:val="single" w:sz="4" w:space="0" w:color="365F91"/>
              <w:bottom w:val="single" w:sz="4" w:space="0" w:color="auto"/>
            </w:tcBorders>
            <w:shd w:val="clear" w:color="auto" w:fill="365F91"/>
            <w:tcMar>
              <w:top w:w="0" w:type="dxa"/>
              <w:left w:w="85" w:type="dxa"/>
              <w:bottom w:w="0" w:type="dxa"/>
              <w:right w:w="57" w:type="dxa"/>
            </w:tcMar>
            <w:vAlign w:val="center"/>
          </w:tcPr>
          <w:p w14:paraId="5C162B32" w14:textId="77777777" w:rsidR="00855935" w:rsidRPr="00BE78CA" w:rsidRDefault="00855935" w:rsidP="0089038A">
            <w:pPr>
              <w:pStyle w:val="TableTextBold"/>
              <w:spacing w:before="50" w:after="50"/>
              <w:rPr>
                <w:noProof w:val="0"/>
                <w:color w:val="FFFFFF" w:themeColor="background1"/>
              </w:rPr>
            </w:pPr>
            <w:r w:rsidRPr="00BE78CA">
              <w:rPr>
                <w:rFonts w:eastAsia="Calibri"/>
                <w:noProof w:val="0"/>
                <w:color w:val="FFFFFF" w:themeColor="background1"/>
              </w:rPr>
              <w:t>Afforestation and reforestation</w:t>
            </w:r>
          </w:p>
        </w:tc>
      </w:tr>
      <w:tr w:rsidR="00942E2C" w:rsidRPr="00BE78CA" w14:paraId="0474BFB7" w14:textId="77777777" w:rsidTr="00292755">
        <w:trPr>
          <w:cantSplit/>
        </w:trPr>
        <w:tc>
          <w:tcPr>
            <w:tcW w:w="1531" w:type="dxa"/>
            <w:tcBorders>
              <w:top w:val="single" w:sz="4" w:space="0" w:color="auto"/>
              <w:right w:val="nil"/>
            </w:tcBorders>
            <w:shd w:val="clear" w:color="auto" w:fill="FFFFFF"/>
            <w:tcMar>
              <w:top w:w="0" w:type="dxa"/>
              <w:left w:w="85" w:type="dxa"/>
              <w:bottom w:w="0" w:type="dxa"/>
              <w:right w:w="57" w:type="dxa"/>
            </w:tcMar>
            <w:vAlign w:val="center"/>
          </w:tcPr>
          <w:p w14:paraId="370C4E82" w14:textId="77777777" w:rsidR="00855935" w:rsidRPr="00BE78CA" w:rsidRDefault="00855935" w:rsidP="0089038A">
            <w:pPr>
              <w:pStyle w:val="TableText"/>
              <w:spacing w:before="50" w:after="50"/>
            </w:pPr>
            <w:r w:rsidRPr="00BE78CA">
              <w:rPr>
                <w:rFonts w:eastAsia="Calibri"/>
              </w:rPr>
              <w:t>Net cumulative area since 1990 (ha)</w:t>
            </w:r>
          </w:p>
        </w:tc>
        <w:tc>
          <w:tcPr>
            <w:tcW w:w="964" w:type="dxa"/>
            <w:tcBorders>
              <w:top w:val="single" w:sz="4" w:space="0" w:color="auto"/>
              <w:left w:val="nil"/>
              <w:bottom w:val="single" w:sz="4" w:space="0" w:color="365F91"/>
              <w:right w:val="nil"/>
            </w:tcBorders>
            <w:shd w:val="clear" w:color="auto" w:fill="FFFFFF"/>
            <w:tcMar>
              <w:top w:w="0" w:type="dxa"/>
              <w:left w:w="85" w:type="dxa"/>
              <w:bottom w:w="0" w:type="dxa"/>
              <w:right w:w="57" w:type="dxa"/>
            </w:tcMar>
          </w:tcPr>
          <w:p w14:paraId="6E2CB3D4" w14:textId="77777777" w:rsidR="00855935" w:rsidRPr="00BE78CA" w:rsidRDefault="00855935" w:rsidP="0089038A">
            <w:pPr>
              <w:pStyle w:val="TableText"/>
              <w:spacing w:before="50" w:after="50"/>
              <w:jc w:val="center"/>
            </w:pPr>
            <w:r w:rsidRPr="00BE78CA">
              <w:rPr>
                <w:rFonts w:eastAsia="Calibri"/>
              </w:rPr>
              <w:t>688,324.6</w:t>
            </w:r>
          </w:p>
        </w:tc>
        <w:tc>
          <w:tcPr>
            <w:tcW w:w="964" w:type="dxa"/>
            <w:tcBorders>
              <w:top w:val="single" w:sz="4" w:space="0" w:color="auto"/>
              <w:left w:val="nil"/>
              <w:bottom w:val="single" w:sz="4" w:space="0" w:color="365F91"/>
              <w:right w:val="nil"/>
            </w:tcBorders>
            <w:shd w:val="clear" w:color="auto" w:fill="FFFFFF"/>
            <w:tcMar>
              <w:top w:w="0" w:type="dxa"/>
              <w:left w:w="85" w:type="dxa"/>
              <w:bottom w:w="0" w:type="dxa"/>
              <w:right w:w="57" w:type="dxa"/>
            </w:tcMar>
          </w:tcPr>
          <w:p w14:paraId="43FBCDB7" w14:textId="77777777" w:rsidR="00855935" w:rsidRPr="00BE78CA" w:rsidRDefault="00855935" w:rsidP="0089038A">
            <w:pPr>
              <w:pStyle w:val="TableText"/>
              <w:spacing w:before="50" w:after="50"/>
              <w:jc w:val="center"/>
            </w:pPr>
            <w:r w:rsidRPr="00BE78CA">
              <w:rPr>
                <w:rFonts w:eastAsia="Calibri"/>
              </w:rPr>
              <w:t>692,604.4</w:t>
            </w:r>
          </w:p>
        </w:tc>
        <w:tc>
          <w:tcPr>
            <w:tcW w:w="964" w:type="dxa"/>
            <w:tcBorders>
              <w:top w:val="single" w:sz="4" w:space="0" w:color="auto"/>
              <w:left w:val="nil"/>
              <w:bottom w:val="single" w:sz="4" w:space="0" w:color="365F91"/>
              <w:right w:val="nil"/>
            </w:tcBorders>
            <w:shd w:val="clear" w:color="auto" w:fill="FFFFFF"/>
            <w:tcMar>
              <w:top w:w="0" w:type="dxa"/>
              <w:left w:w="85" w:type="dxa"/>
              <w:bottom w:w="0" w:type="dxa"/>
              <w:right w:w="57" w:type="dxa"/>
            </w:tcMar>
          </w:tcPr>
          <w:p w14:paraId="2E0FCF81" w14:textId="77777777" w:rsidR="00855935" w:rsidRPr="00BE78CA" w:rsidRDefault="00855935" w:rsidP="0089038A">
            <w:pPr>
              <w:pStyle w:val="TableText"/>
              <w:spacing w:before="50" w:after="50"/>
              <w:jc w:val="center"/>
            </w:pPr>
            <w:r w:rsidRPr="00BE78CA">
              <w:rPr>
                <w:rFonts w:eastAsia="Calibri"/>
              </w:rPr>
              <w:t>696,844.4</w:t>
            </w:r>
          </w:p>
        </w:tc>
        <w:tc>
          <w:tcPr>
            <w:tcW w:w="964" w:type="dxa"/>
            <w:tcBorders>
              <w:top w:val="single" w:sz="4" w:space="0" w:color="auto"/>
              <w:left w:val="nil"/>
              <w:bottom w:val="single" w:sz="4" w:space="0" w:color="365F91"/>
              <w:right w:val="nil"/>
            </w:tcBorders>
            <w:shd w:val="clear" w:color="auto" w:fill="FFFFFF"/>
            <w:tcMar>
              <w:top w:w="0" w:type="dxa"/>
              <w:left w:w="85" w:type="dxa"/>
              <w:bottom w:w="0" w:type="dxa"/>
              <w:right w:w="57" w:type="dxa"/>
            </w:tcMar>
          </w:tcPr>
          <w:p w14:paraId="2F986287" w14:textId="77777777" w:rsidR="00855935" w:rsidRPr="00BE78CA" w:rsidRDefault="00855935" w:rsidP="0089038A">
            <w:pPr>
              <w:pStyle w:val="TableText"/>
              <w:spacing w:before="50" w:after="50"/>
              <w:jc w:val="center"/>
            </w:pPr>
            <w:r w:rsidRPr="00BE78CA">
              <w:rPr>
                <w:rFonts w:eastAsia="Calibri"/>
              </w:rPr>
              <w:t>701,269.3</w:t>
            </w:r>
          </w:p>
        </w:tc>
        <w:tc>
          <w:tcPr>
            <w:tcW w:w="964" w:type="dxa"/>
            <w:tcBorders>
              <w:top w:val="single" w:sz="4" w:space="0" w:color="auto"/>
              <w:left w:val="nil"/>
              <w:bottom w:val="single" w:sz="4" w:space="0" w:color="365F91"/>
              <w:right w:val="nil"/>
            </w:tcBorders>
            <w:shd w:val="clear" w:color="auto" w:fill="FFFFFF"/>
            <w:tcMar>
              <w:top w:w="0" w:type="dxa"/>
              <w:left w:w="85" w:type="dxa"/>
              <w:bottom w:w="0" w:type="dxa"/>
              <w:right w:w="57" w:type="dxa"/>
            </w:tcMar>
          </w:tcPr>
          <w:p w14:paraId="0408A6A5" w14:textId="77777777" w:rsidR="00855935" w:rsidRPr="00BE78CA" w:rsidRDefault="00855935" w:rsidP="0089038A">
            <w:pPr>
              <w:pStyle w:val="TableText"/>
              <w:spacing w:before="50" w:after="50"/>
              <w:jc w:val="center"/>
            </w:pPr>
            <w:r w:rsidRPr="00BE78CA">
              <w:rPr>
                <w:rFonts w:eastAsia="Calibri"/>
              </w:rPr>
              <w:t>708,740.7</w:t>
            </w:r>
          </w:p>
        </w:tc>
        <w:tc>
          <w:tcPr>
            <w:tcW w:w="964" w:type="dxa"/>
            <w:tcBorders>
              <w:top w:val="single" w:sz="4" w:space="0" w:color="auto"/>
              <w:left w:val="nil"/>
              <w:bottom w:val="single" w:sz="4" w:space="0" w:color="365F91"/>
              <w:right w:val="nil"/>
            </w:tcBorders>
            <w:shd w:val="clear" w:color="auto" w:fill="FFFFFF"/>
            <w:tcMar>
              <w:top w:w="0" w:type="dxa"/>
              <w:left w:w="85" w:type="dxa"/>
              <w:bottom w:w="0" w:type="dxa"/>
              <w:right w:w="57" w:type="dxa"/>
            </w:tcMar>
          </w:tcPr>
          <w:p w14:paraId="5AEDB3FF" w14:textId="77777777" w:rsidR="00855935" w:rsidRPr="00BE78CA" w:rsidRDefault="00855935" w:rsidP="0089038A">
            <w:pPr>
              <w:pStyle w:val="TableText"/>
              <w:spacing w:before="50" w:after="50"/>
              <w:jc w:val="center"/>
            </w:pPr>
            <w:r w:rsidRPr="00BE78CA">
              <w:rPr>
                <w:rFonts w:eastAsia="Calibri"/>
              </w:rPr>
              <w:t>716,330.6</w:t>
            </w:r>
          </w:p>
        </w:tc>
        <w:tc>
          <w:tcPr>
            <w:tcW w:w="964" w:type="dxa"/>
            <w:tcBorders>
              <w:top w:val="single" w:sz="4" w:space="0" w:color="auto"/>
              <w:left w:val="nil"/>
              <w:bottom w:val="single" w:sz="4" w:space="0" w:color="365F91"/>
            </w:tcBorders>
            <w:shd w:val="clear" w:color="auto" w:fill="FFFFFF"/>
            <w:tcMar>
              <w:top w:w="0" w:type="dxa"/>
              <w:left w:w="85" w:type="dxa"/>
              <w:bottom w:w="0" w:type="dxa"/>
              <w:right w:w="57" w:type="dxa"/>
            </w:tcMar>
          </w:tcPr>
          <w:p w14:paraId="6C1F3658" w14:textId="77777777" w:rsidR="00855935" w:rsidRPr="00BE78CA" w:rsidRDefault="00855935" w:rsidP="0089038A">
            <w:pPr>
              <w:pStyle w:val="TableText"/>
              <w:spacing w:before="50" w:after="50"/>
              <w:jc w:val="center"/>
            </w:pPr>
            <w:r w:rsidRPr="00BE78CA">
              <w:rPr>
                <w:rFonts w:eastAsia="Calibri"/>
              </w:rPr>
              <w:t>739,454.0</w:t>
            </w:r>
          </w:p>
        </w:tc>
      </w:tr>
      <w:tr w:rsidR="00942E2C" w:rsidRPr="00BE78CA" w14:paraId="267CA3E0" w14:textId="77777777" w:rsidTr="00292755">
        <w:trPr>
          <w:cantSplit/>
        </w:trPr>
        <w:tc>
          <w:tcPr>
            <w:tcW w:w="1531" w:type="dxa"/>
            <w:tcBorders>
              <w:top w:val="single" w:sz="4" w:space="0" w:color="365F91"/>
              <w:bottom w:val="single" w:sz="4" w:space="0" w:color="365F91"/>
              <w:right w:val="nil"/>
            </w:tcBorders>
            <w:shd w:val="clear" w:color="auto" w:fill="FFFFFF"/>
            <w:tcMar>
              <w:top w:w="0" w:type="dxa"/>
              <w:left w:w="85" w:type="dxa"/>
              <w:bottom w:w="0" w:type="dxa"/>
              <w:right w:w="57" w:type="dxa"/>
            </w:tcMar>
            <w:vAlign w:val="center"/>
          </w:tcPr>
          <w:p w14:paraId="0DEB78C5" w14:textId="77777777" w:rsidR="00855935" w:rsidRPr="00BE78CA" w:rsidRDefault="00855935" w:rsidP="0089038A">
            <w:pPr>
              <w:pStyle w:val="TableText"/>
              <w:spacing w:before="50" w:after="50"/>
            </w:pPr>
            <w:r w:rsidRPr="00BE78CA">
              <w:rPr>
                <w:rFonts w:eastAsia="Calibri"/>
              </w:rPr>
              <w:t>Area in calendar year (ha)</w:t>
            </w:r>
          </w:p>
        </w:tc>
        <w:tc>
          <w:tcPr>
            <w:tcW w:w="964" w:type="dxa"/>
            <w:tcBorders>
              <w:top w:val="single" w:sz="4" w:space="0" w:color="365F91"/>
              <w:left w:val="nil"/>
              <w:bottom w:val="single" w:sz="4" w:space="0" w:color="365F91"/>
              <w:right w:val="nil"/>
            </w:tcBorders>
            <w:shd w:val="clear" w:color="auto" w:fill="FFFFFF"/>
            <w:tcMar>
              <w:top w:w="0" w:type="dxa"/>
              <w:left w:w="85" w:type="dxa"/>
              <w:bottom w:w="0" w:type="dxa"/>
              <w:right w:w="57" w:type="dxa"/>
            </w:tcMar>
          </w:tcPr>
          <w:p w14:paraId="1D84D444" w14:textId="77777777" w:rsidR="00855935" w:rsidRPr="00BE78CA" w:rsidRDefault="00855935" w:rsidP="0089038A">
            <w:pPr>
              <w:pStyle w:val="TableText"/>
              <w:spacing w:before="50" w:after="50"/>
              <w:jc w:val="center"/>
            </w:pPr>
            <w:r w:rsidRPr="00BE78CA">
              <w:rPr>
                <w:rFonts w:eastAsia="Calibri"/>
              </w:rPr>
              <w:t>7,285.7</w:t>
            </w:r>
          </w:p>
        </w:tc>
        <w:tc>
          <w:tcPr>
            <w:tcW w:w="964" w:type="dxa"/>
            <w:tcBorders>
              <w:top w:val="single" w:sz="4" w:space="0" w:color="365F91"/>
              <w:left w:val="nil"/>
              <w:bottom w:val="single" w:sz="4" w:space="0" w:color="365F91"/>
              <w:right w:val="nil"/>
            </w:tcBorders>
            <w:shd w:val="clear" w:color="auto" w:fill="FFFFFF"/>
            <w:tcMar>
              <w:top w:w="0" w:type="dxa"/>
              <w:left w:w="85" w:type="dxa"/>
              <w:bottom w:w="0" w:type="dxa"/>
              <w:right w:w="57" w:type="dxa"/>
            </w:tcMar>
          </w:tcPr>
          <w:p w14:paraId="0BCFFF1C" w14:textId="77777777" w:rsidR="00855935" w:rsidRPr="00BE78CA" w:rsidRDefault="00855935" w:rsidP="0089038A">
            <w:pPr>
              <w:pStyle w:val="TableText"/>
              <w:spacing w:before="50" w:after="50"/>
              <w:jc w:val="center"/>
            </w:pPr>
            <w:r w:rsidRPr="00BE78CA">
              <w:rPr>
                <w:rFonts w:eastAsia="Calibri"/>
              </w:rPr>
              <w:t>5,937.1</w:t>
            </w:r>
          </w:p>
        </w:tc>
        <w:tc>
          <w:tcPr>
            <w:tcW w:w="964" w:type="dxa"/>
            <w:tcBorders>
              <w:top w:val="single" w:sz="4" w:space="0" w:color="365F91"/>
              <w:left w:val="nil"/>
              <w:bottom w:val="single" w:sz="4" w:space="0" w:color="365F91"/>
              <w:right w:val="nil"/>
            </w:tcBorders>
            <w:shd w:val="clear" w:color="auto" w:fill="FFFFFF"/>
            <w:tcMar>
              <w:top w:w="0" w:type="dxa"/>
              <w:left w:w="85" w:type="dxa"/>
              <w:bottom w:w="0" w:type="dxa"/>
              <w:right w:w="57" w:type="dxa"/>
            </w:tcMar>
          </w:tcPr>
          <w:p w14:paraId="457A96CF" w14:textId="77777777" w:rsidR="00855935" w:rsidRPr="00BE78CA" w:rsidRDefault="00855935" w:rsidP="0089038A">
            <w:pPr>
              <w:pStyle w:val="TableText"/>
              <w:spacing w:before="50" w:after="50"/>
              <w:jc w:val="center"/>
            </w:pPr>
            <w:r w:rsidRPr="00BE78CA">
              <w:rPr>
                <w:rFonts w:eastAsia="Calibri"/>
              </w:rPr>
              <w:t>5,937.1</w:t>
            </w:r>
          </w:p>
        </w:tc>
        <w:tc>
          <w:tcPr>
            <w:tcW w:w="964" w:type="dxa"/>
            <w:tcBorders>
              <w:top w:val="single" w:sz="4" w:space="0" w:color="365F91"/>
              <w:left w:val="nil"/>
              <w:bottom w:val="single" w:sz="4" w:space="0" w:color="365F91"/>
              <w:right w:val="nil"/>
            </w:tcBorders>
            <w:shd w:val="clear" w:color="auto" w:fill="FFFFFF"/>
            <w:tcMar>
              <w:top w:w="0" w:type="dxa"/>
              <w:left w:w="85" w:type="dxa"/>
              <w:bottom w:w="0" w:type="dxa"/>
              <w:right w:w="57" w:type="dxa"/>
            </w:tcMar>
          </w:tcPr>
          <w:p w14:paraId="0AF8618A" w14:textId="77777777" w:rsidR="00855935" w:rsidRPr="00BE78CA" w:rsidRDefault="00855935" w:rsidP="0089038A">
            <w:pPr>
              <w:pStyle w:val="TableText"/>
              <w:spacing w:before="50" w:after="50"/>
              <w:jc w:val="center"/>
            </w:pPr>
            <w:r w:rsidRPr="00BE78CA">
              <w:rPr>
                <w:rFonts w:eastAsia="Calibri"/>
              </w:rPr>
              <w:t>5,784.4</w:t>
            </w:r>
          </w:p>
        </w:tc>
        <w:tc>
          <w:tcPr>
            <w:tcW w:w="964" w:type="dxa"/>
            <w:tcBorders>
              <w:top w:val="single" w:sz="4" w:space="0" w:color="365F91"/>
              <w:left w:val="nil"/>
              <w:bottom w:val="single" w:sz="4" w:space="0" w:color="365F91"/>
              <w:right w:val="nil"/>
            </w:tcBorders>
            <w:shd w:val="clear" w:color="auto" w:fill="FFFFFF"/>
            <w:tcMar>
              <w:top w:w="0" w:type="dxa"/>
              <w:left w:w="85" w:type="dxa"/>
              <w:bottom w:w="0" w:type="dxa"/>
              <w:right w:w="57" w:type="dxa"/>
            </w:tcMar>
          </w:tcPr>
          <w:p w14:paraId="75C2928B" w14:textId="77777777" w:rsidR="00855935" w:rsidRPr="00BE78CA" w:rsidRDefault="00855935" w:rsidP="0089038A">
            <w:pPr>
              <w:pStyle w:val="TableText"/>
              <w:spacing w:before="50" w:after="50"/>
              <w:jc w:val="center"/>
            </w:pPr>
            <w:r w:rsidRPr="00BE78CA">
              <w:rPr>
                <w:rFonts w:eastAsia="Calibri"/>
              </w:rPr>
              <w:t>8,126.0</w:t>
            </w:r>
          </w:p>
        </w:tc>
        <w:tc>
          <w:tcPr>
            <w:tcW w:w="964" w:type="dxa"/>
            <w:tcBorders>
              <w:top w:val="single" w:sz="4" w:space="0" w:color="365F91"/>
              <w:left w:val="nil"/>
              <w:bottom w:val="single" w:sz="4" w:space="0" w:color="365F91"/>
              <w:right w:val="nil"/>
            </w:tcBorders>
            <w:shd w:val="clear" w:color="auto" w:fill="FFFFFF"/>
            <w:tcMar>
              <w:top w:w="0" w:type="dxa"/>
              <w:left w:w="85" w:type="dxa"/>
              <w:bottom w:w="0" w:type="dxa"/>
              <w:right w:w="57" w:type="dxa"/>
            </w:tcMar>
          </w:tcPr>
          <w:p w14:paraId="447CCD2A" w14:textId="77777777" w:rsidR="00855935" w:rsidRPr="00BE78CA" w:rsidRDefault="00855935" w:rsidP="0089038A">
            <w:pPr>
              <w:pStyle w:val="TableText"/>
              <w:spacing w:before="50" w:after="50"/>
              <w:jc w:val="center"/>
            </w:pPr>
            <w:r w:rsidRPr="00BE78CA">
              <w:rPr>
                <w:rFonts w:eastAsia="Calibri"/>
              </w:rPr>
              <w:t>8,322.8</w:t>
            </w:r>
          </w:p>
        </w:tc>
        <w:tc>
          <w:tcPr>
            <w:tcW w:w="964" w:type="dxa"/>
            <w:tcBorders>
              <w:top w:val="single" w:sz="4" w:space="0" w:color="365F91"/>
              <w:left w:val="nil"/>
              <w:bottom w:val="single" w:sz="4" w:space="0" w:color="365F91"/>
            </w:tcBorders>
            <w:shd w:val="clear" w:color="auto" w:fill="FFFFFF"/>
            <w:tcMar>
              <w:top w:w="0" w:type="dxa"/>
              <w:left w:w="85" w:type="dxa"/>
              <w:bottom w:w="0" w:type="dxa"/>
              <w:right w:w="57" w:type="dxa"/>
            </w:tcMar>
          </w:tcPr>
          <w:p w14:paraId="02D7A90A" w14:textId="77777777" w:rsidR="00855935" w:rsidRPr="00BE78CA" w:rsidRDefault="00855935" w:rsidP="0089038A">
            <w:pPr>
              <w:pStyle w:val="TableText"/>
              <w:spacing w:before="50" w:after="50"/>
              <w:jc w:val="center"/>
            </w:pPr>
            <w:r w:rsidRPr="00BE78CA">
              <w:rPr>
                <w:rFonts w:eastAsia="Calibri"/>
              </w:rPr>
              <w:t>24,067.4</w:t>
            </w:r>
          </w:p>
        </w:tc>
      </w:tr>
      <w:tr w:rsidR="00D73C53" w:rsidRPr="00BE78CA" w14:paraId="3407AEB2" w14:textId="77777777" w:rsidTr="00292755">
        <w:trPr>
          <w:cantSplit/>
        </w:trPr>
        <w:tc>
          <w:tcPr>
            <w:tcW w:w="1531" w:type="dxa"/>
            <w:gridSpan w:val="8"/>
            <w:tcBorders>
              <w:top w:val="single" w:sz="4" w:space="0" w:color="365F91"/>
              <w:bottom w:val="single" w:sz="4" w:space="0" w:color="365F91"/>
            </w:tcBorders>
            <w:shd w:val="clear" w:color="auto" w:fill="365F91"/>
            <w:tcMar>
              <w:top w:w="0" w:type="dxa"/>
              <w:left w:w="85" w:type="dxa"/>
              <w:bottom w:w="0" w:type="dxa"/>
              <w:right w:w="57" w:type="dxa"/>
            </w:tcMar>
          </w:tcPr>
          <w:p w14:paraId="16A7878B" w14:textId="77777777" w:rsidR="00855935" w:rsidRPr="00BE78CA" w:rsidRDefault="00855935" w:rsidP="0089038A">
            <w:pPr>
              <w:pStyle w:val="TableTextBold"/>
              <w:spacing w:before="50" w:after="50"/>
              <w:rPr>
                <w:noProof w:val="0"/>
                <w:color w:val="FFFFFF" w:themeColor="background1"/>
              </w:rPr>
            </w:pPr>
            <w:r w:rsidRPr="00BE78CA">
              <w:rPr>
                <w:rFonts w:eastAsia="Calibri"/>
                <w:noProof w:val="0"/>
                <w:color w:val="FFFFFF" w:themeColor="background1"/>
              </w:rPr>
              <w:t>Deforestation</w:t>
            </w:r>
          </w:p>
        </w:tc>
      </w:tr>
      <w:tr w:rsidR="00942E2C" w:rsidRPr="00BE78CA" w14:paraId="65357828" w14:textId="77777777" w:rsidTr="00292755">
        <w:trPr>
          <w:cantSplit/>
        </w:trPr>
        <w:tc>
          <w:tcPr>
            <w:tcW w:w="1531" w:type="dxa"/>
            <w:tcBorders>
              <w:top w:val="single" w:sz="4" w:space="0" w:color="365F91"/>
              <w:bottom w:val="single" w:sz="4" w:space="0" w:color="365F91"/>
              <w:right w:val="nil"/>
            </w:tcBorders>
            <w:shd w:val="clear" w:color="auto" w:fill="FFFFFF"/>
            <w:tcMar>
              <w:top w:w="0" w:type="dxa"/>
              <w:left w:w="85" w:type="dxa"/>
              <w:bottom w:w="0" w:type="dxa"/>
              <w:right w:w="57" w:type="dxa"/>
            </w:tcMar>
            <w:vAlign w:val="center"/>
          </w:tcPr>
          <w:p w14:paraId="25C5BC48" w14:textId="77777777" w:rsidR="00855935" w:rsidRPr="00BE78CA" w:rsidRDefault="00855935" w:rsidP="0089038A">
            <w:pPr>
              <w:pStyle w:val="TableText"/>
              <w:spacing w:before="50" w:after="50"/>
            </w:pPr>
            <w:r w:rsidRPr="00BE78CA">
              <w:rPr>
                <w:rFonts w:eastAsia="Calibri"/>
              </w:rPr>
              <w:t>Net cumulative area since 1990 (ha)</w:t>
            </w:r>
          </w:p>
        </w:tc>
        <w:tc>
          <w:tcPr>
            <w:tcW w:w="964" w:type="dxa"/>
            <w:tcBorders>
              <w:top w:val="single" w:sz="4" w:space="0" w:color="365F91"/>
              <w:left w:val="nil"/>
              <w:bottom w:val="single" w:sz="4" w:space="0" w:color="365F91"/>
              <w:right w:val="nil"/>
            </w:tcBorders>
            <w:shd w:val="clear" w:color="auto" w:fill="FFFFFF"/>
            <w:tcMar>
              <w:top w:w="0" w:type="dxa"/>
              <w:left w:w="85" w:type="dxa"/>
              <w:bottom w:w="0" w:type="dxa"/>
              <w:right w:w="57" w:type="dxa"/>
            </w:tcMar>
          </w:tcPr>
          <w:p w14:paraId="2DD4D2ED" w14:textId="77777777" w:rsidR="00855935" w:rsidRPr="00BE78CA" w:rsidRDefault="00855935" w:rsidP="0089038A">
            <w:pPr>
              <w:pStyle w:val="TableText"/>
              <w:spacing w:before="50" w:after="50"/>
              <w:jc w:val="center"/>
            </w:pPr>
            <w:r w:rsidRPr="00BE78CA">
              <w:rPr>
                <w:rFonts w:eastAsia="Calibri"/>
              </w:rPr>
              <w:t>172,304.1</w:t>
            </w:r>
          </w:p>
        </w:tc>
        <w:tc>
          <w:tcPr>
            <w:tcW w:w="964" w:type="dxa"/>
            <w:tcBorders>
              <w:top w:val="single" w:sz="4" w:space="0" w:color="365F91"/>
              <w:left w:val="nil"/>
              <w:bottom w:val="single" w:sz="4" w:space="0" w:color="365F91"/>
              <w:right w:val="nil"/>
            </w:tcBorders>
            <w:shd w:val="clear" w:color="auto" w:fill="FFFFFF"/>
            <w:tcMar>
              <w:top w:w="0" w:type="dxa"/>
              <w:left w:w="85" w:type="dxa"/>
              <w:bottom w:w="0" w:type="dxa"/>
              <w:right w:w="57" w:type="dxa"/>
            </w:tcMar>
          </w:tcPr>
          <w:p w14:paraId="58AC8D7C" w14:textId="77777777" w:rsidR="00855935" w:rsidRPr="00BE78CA" w:rsidRDefault="00855935" w:rsidP="0089038A">
            <w:pPr>
              <w:pStyle w:val="TableText"/>
              <w:spacing w:before="50" w:after="50"/>
              <w:jc w:val="center"/>
            </w:pPr>
            <w:r w:rsidRPr="00BE78CA">
              <w:rPr>
                <w:rFonts w:eastAsia="Calibri"/>
              </w:rPr>
              <w:t>180,996.3</w:t>
            </w:r>
          </w:p>
        </w:tc>
        <w:tc>
          <w:tcPr>
            <w:tcW w:w="964" w:type="dxa"/>
            <w:tcBorders>
              <w:top w:val="single" w:sz="4" w:space="0" w:color="365F91"/>
              <w:left w:val="nil"/>
              <w:bottom w:val="single" w:sz="4" w:space="0" w:color="365F91"/>
              <w:right w:val="nil"/>
            </w:tcBorders>
            <w:shd w:val="clear" w:color="auto" w:fill="FFFFFF"/>
            <w:tcMar>
              <w:top w:w="0" w:type="dxa"/>
              <w:left w:w="85" w:type="dxa"/>
              <w:bottom w:w="0" w:type="dxa"/>
              <w:right w:w="57" w:type="dxa"/>
            </w:tcMar>
          </w:tcPr>
          <w:p w14:paraId="6EBCC182" w14:textId="77777777" w:rsidR="00855935" w:rsidRPr="00BE78CA" w:rsidRDefault="00855935" w:rsidP="0089038A">
            <w:pPr>
              <w:pStyle w:val="TableText"/>
              <w:spacing w:before="50" w:after="50"/>
              <w:jc w:val="center"/>
            </w:pPr>
            <w:r w:rsidRPr="00BE78CA">
              <w:rPr>
                <w:rFonts w:eastAsia="Calibri"/>
              </w:rPr>
              <w:t>186,989.6</w:t>
            </w:r>
          </w:p>
        </w:tc>
        <w:tc>
          <w:tcPr>
            <w:tcW w:w="964" w:type="dxa"/>
            <w:tcBorders>
              <w:top w:val="single" w:sz="4" w:space="0" w:color="365F91"/>
              <w:left w:val="nil"/>
              <w:bottom w:val="single" w:sz="4" w:space="0" w:color="365F91"/>
              <w:right w:val="nil"/>
            </w:tcBorders>
            <w:shd w:val="clear" w:color="auto" w:fill="FFFFFF"/>
            <w:tcMar>
              <w:top w:w="0" w:type="dxa"/>
              <w:left w:w="85" w:type="dxa"/>
              <w:bottom w:w="0" w:type="dxa"/>
              <w:right w:w="57" w:type="dxa"/>
            </w:tcMar>
          </w:tcPr>
          <w:p w14:paraId="5A5894E8" w14:textId="77777777" w:rsidR="00855935" w:rsidRPr="00BE78CA" w:rsidRDefault="00855935" w:rsidP="0089038A">
            <w:pPr>
              <w:pStyle w:val="TableText"/>
              <w:spacing w:before="50" w:after="50"/>
              <w:jc w:val="center"/>
            </w:pPr>
            <w:r w:rsidRPr="00BE78CA">
              <w:rPr>
                <w:rFonts w:eastAsia="Calibri"/>
              </w:rPr>
              <w:t>190,524.4</w:t>
            </w:r>
          </w:p>
        </w:tc>
        <w:tc>
          <w:tcPr>
            <w:tcW w:w="964" w:type="dxa"/>
            <w:tcBorders>
              <w:top w:val="single" w:sz="4" w:space="0" w:color="365F91"/>
              <w:left w:val="nil"/>
              <w:bottom w:val="single" w:sz="4" w:space="0" w:color="365F91"/>
              <w:right w:val="nil"/>
            </w:tcBorders>
            <w:shd w:val="clear" w:color="auto" w:fill="FFFFFF"/>
            <w:tcMar>
              <w:top w:w="0" w:type="dxa"/>
              <w:left w:w="85" w:type="dxa"/>
              <w:bottom w:w="0" w:type="dxa"/>
              <w:right w:w="57" w:type="dxa"/>
            </w:tcMar>
          </w:tcPr>
          <w:p w14:paraId="13556BB7" w14:textId="77777777" w:rsidR="00855935" w:rsidRPr="00BE78CA" w:rsidRDefault="00855935" w:rsidP="0089038A">
            <w:pPr>
              <w:pStyle w:val="TableText"/>
              <w:spacing w:before="50" w:after="50"/>
              <w:jc w:val="center"/>
            </w:pPr>
            <w:r w:rsidRPr="00BE78CA">
              <w:rPr>
                <w:rFonts w:eastAsia="Calibri"/>
              </w:rPr>
              <w:t>194,044.8</w:t>
            </w:r>
          </w:p>
        </w:tc>
        <w:tc>
          <w:tcPr>
            <w:tcW w:w="964" w:type="dxa"/>
            <w:tcBorders>
              <w:top w:val="single" w:sz="4" w:space="0" w:color="365F91"/>
              <w:left w:val="nil"/>
              <w:bottom w:val="single" w:sz="4" w:space="0" w:color="365F91"/>
              <w:right w:val="nil"/>
            </w:tcBorders>
            <w:shd w:val="clear" w:color="auto" w:fill="FFFFFF"/>
            <w:tcMar>
              <w:top w:w="0" w:type="dxa"/>
              <w:left w:w="85" w:type="dxa"/>
              <w:bottom w:w="0" w:type="dxa"/>
              <w:right w:w="57" w:type="dxa"/>
            </w:tcMar>
          </w:tcPr>
          <w:p w14:paraId="4F120061" w14:textId="77777777" w:rsidR="00855935" w:rsidRPr="00BE78CA" w:rsidRDefault="00855935" w:rsidP="0089038A">
            <w:pPr>
              <w:pStyle w:val="TableText"/>
              <w:spacing w:before="50" w:after="50"/>
              <w:jc w:val="center"/>
            </w:pPr>
            <w:r w:rsidRPr="00BE78CA">
              <w:rPr>
                <w:rFonts w:eastAsia="Calibri"/>
              </w:rPr>
              <w:t>197,896.2</w:t>
            </w:r>
          </w:p>
        </w:tc>
        <w:tc>
          <w:tcPr>
            <w:tcW w:w="964" w:type="dxa"/>
            <w:tcBorders>
              <w:top w:val="single" w:sz="4" w:space="0" w:color="365F91"/>
              <w:left w:val="nil"/>
              <w:bottom w:val="single" w:sz="4" w:space="0" w:color="365F91"/>
            </w:tcBorders>
            <w:shd w:val="clear" w:color="auto" w:fill="FFFFFF"/>
            <w:tcMar>
              <w:top w:w="0" w:type="dxa"/>
              <w:left w:w="85" w:type="dxa"/>
              <w:bottom w:w="0" w:type="dxa"/>
              <w:right w:w="57" w:type="dxa"/>
            </w:tcMar>
          </w:tcPr>
          <w:p w14:paraId="00A56C39" w14:textId="77777777" w:rsidR="00855935" w:rsidRPr="00BE78CA" w:rsidRDefault="00855935" w:rsidP="0089038A">
            <w:pPr>
              <w:pStyle w:val="TableText"/>
              <w:spacing w:before="50" w:after="50"/>
              <w:jc w:val="center"/>
            </w:pPr>
            <w:r w:rsidRPr="00BE78CA">
              <w:rPr>
                <w:rFonts w:eastAsia="Calibri"/>
              </w:rPr>
              <w:t>202,641.4</w:t>
            </w:r>
          </w:p>
        </w:tc>
      </w:tr>
      <w:tr w:rsidR="00942E2C" w:rsidRPr="00BE78CA" w14:paraId="483BAE06" w14:textId="77777777" w:rsidTr="00292755">
        <w:trPr>
          <w:cantSplit/>
        </w:trPr>
        <w:tc>
          <w:tcPr>
            <w:tcW w:w="1531" w:type="dxa"/>
            <w:tcBorders>
              <w:top w:val="single" w:sz="4" w:space="0" w:color="365F91"/>
              <w:bottom w:val="single" w:sz="4" w:space="0" w:color="365F91"/>
              <w:right w:val="nil"/>
            </w:tcBorders>
            <w:shd w:val="clear" w:color="auto" w:fill="FFFFFF"/>
            <w:tcMar>
              <w:top w:w="0" w:type="dxa"/>
              <w:left w:w="85" w:type="dxa"/>
              <w:bottom w:w="0" w:type="dxa"/>
              <w:right w:w="57" w:type="dxa"/>
            </w:tcMar>
            <w:vAlign w:val="center"/>
          </w:tcPr>
          <w:p w14:paraId="4F4F923D" w14:textId="77777777" w:rsidR="00855935" w:rsidRPr="00BE78CA" w:rsidRDefault="00855935" w:rsidP="0089038A">
            <w:pPr>
              <w:pStyle w:val="TableText"/>
              <w:spacing w:before="50" w:after="50"/>
            </w:pPr>
            <w:r w:rsidRPr="00BE78CA">
              <w:rPr>
                <w:rFonts w:eastAsia="Calibri"/>
              </w:rPr>
              <w:t>Area in calendar year (ha)</w:t>
            </w:r>
          </w:p>
        </w:tc>
        <w:tc>
          <w:tcPr>
            <w:tcW w:w="964" w:type="dxa"/>
            <w:tcBorders>
              <w:top w:val="single" w:sz="4" w:space="0" w:color="365F91"/>
              <w:left w:val="nil"/>
              <w:bottom w:val="single" w:sz="4" w:space="0" w:color="365F91"/>
              <w:right w:val="nil"/>
            </w:tcBorders>
            <w:shd w:val="clear" w:color="auto" w:fill="FFFFFF"/>
            <w:tcMar>
              <w:top w:w="0" w:type="dxa"/>
              <w:left w:w="85" w:type="dxa"/>
              <w:bottom w:w="0" w:type="dxa"/>
              <w:right w:w="57" w:type="dxa"/>
            </w:tcMar>
          </w:tcPr>
          <w:p w14:paraId="3AAA0F31" w14:textId="77777777" w:rsidR="00855935" w:rsidRPr="00BE78CA" w:rsidRDefault="00855935" w:rsidP="0089038A">
            <w:pPr>
              <w:pStyle w:val="TableText"/>
              <w:spacing w:before="50" w:after="50"/>
              <w:jc w:val="center"/>
            </w:pPr>
            <w:r w:rsidRPr="00BE78CA">
              <w:rPr>
                <w:rFonts w:eastAsia="Calibri"/>
              </w:rPr>
              <w:t>13,865.6</w:t>
            </w:r>
          </w:p>
        </w:tc>
        <w:tc>
          <w:tcPr>
            <w:tcW w:w="964" w:type="dxa"/>
            <w:tcBorders>
              <w:top w:val="single" w:sz="4" w:space="0" w:color="365F91"/>
              <w:left w:val="nil"/>
              <w:bottom w:val="single" w:sz="4" w:space="0" w:color="365F91"/>
              <w:right w:val="nil"/>
            </w:tcBorders>
            <w:shd w:val="clear" w:color="auto" w:fill="FFFFFF"/>
            <w:tcMar>
              <w:top w:w="0" w:type="dxa"/>
              <w:left w:w="85" w:type="dxa"/>
              <w:bottom w:w="0" w:type="dxa"/>
              <w:right w:w="57" w:type="dxa"/>
            </w:tcMar>
          </w:tcPr>
          <w:p w14:paraId="2915AD42" w14:textId="77777777" w:rsidR="00855935" w:rsidRPr="00BE78CA" w:rsidRDefault="00855935" w:rsidP="0089038A">
            <w:pPr>
              <w:pStyle w:val="TableText"/>
              <w:spacing w:before="50" w:after="50"/>
              <w:jc w:val="center"/>
            </w:pPr>
            <w:r w:rsidRPr="00BE78CA">
              <w:rPr>
                <w:rFonts w:eastAsia="Calibri"/>
              </w:rPr>
              <w:t>8,692.3</w:t>
            </w:r>
          </w:p>
        </w:tc>
        <w:tc>
          <w:tcPr>
            <w:tcW w:w="964" w:type="dxa"/>
            <w:tcBorders>
              <w:top w:val="single" w:sz="4" w:space="0" w:color="365F91"/>
              <w:left w:val="nil"/>
              <w:bottom w:val="single" w:sz="4" w:space="0" w:color="365F91"/>
              <w:right w:val="nil"/>
            </w:tcBorders>
            <w:shd w:val="clear" w:color="auto" w:fill="FFFFFF"/>
            <w:tcMar>
              <w:top w:w="0" w:type="dxa"/>
              <w:left w:w="85" w:type="dxa"/>
              <w:bottom w:w="0" w:type="dxa"/>
              <w:right w:w="57" w:type="dxa"/>
            </w:tcMar>
          </w:tcPr>
          <w:p w14:paraId="3FA48A61" w14:textId="77777777" w:rsidR="00855935" w:rsidRPr="00BE78CA" w:rsidRDefault="00855935" w:rsidP="0089038A">
            <w:pPr>
              <w:pStyle w:val="TableText"/>
              <w:spacing w:before="50" w:after="50"/>
              <w:jc w:val="center"/>
            </w:pPr>
            <w:r w:rsidRPr="00BE78CA">
              <w:rPr>
                <w:rFonts w:eastAsia="Calibri"/>
              </w:rPr>
              <w:t>5,993.3</w:t>
            </w:r>
          </w:p>
        </w:tc>
        <w:tc>
          <w:tcPr>
            <w:tcW w:w="964" w:type="dxa"/>
            <w:tcBorders>
              <w:top w:val="single" w:sz="4" w:space="0" w:color="365F91"/>
              <w:left w:val="nil"/>
              <w:bottom w:val="single" w:sz="4" w:space="0" w:color="365F91"/>
              <w:right w:val="nil"/>
            </w:tcBorders>
            <w:shd w:val="clear" w:color="auto" w:fill="FFFFFF"/>
            <w:tcMar>
              <w:top w:w="0" w:type="dxa"/>
              <w:left w:w="85" w:type="dxa"/>
              <w:bottom w:w="0" w:type="dxa"/>
              <w:right w:w="57" w:type="dxa"/>
            </w:tcMar>
          </w:tcPr>
          <w:p w14:paraId="265D7711" w14:textId="77777777" w:rsidR="00855935" w:rsidRPr="00BE78CA" w:rsidRDefault="00855935" w:rsidP="0089038A">
            <w:pPr>
              <w:pStyle w:val="TableText"/>
              <w:spacing w:before="50" w:after="50"/>
              <w:jc w:val="center"/>
            </w:pPr>
            <w:r w:rsidRPr="00BE78CA">
              <w:rPr>
                <w:rFonts w:eastAsia="Calibri"/>
              </w:rPr>
              <w:t>3,534.8</w:t>
            </w:r>
          </w:p>
        </w:tc>
        <w:tc>
          <w:tcPr>
            <w:tcW w:w="964" w:type="dxa"/>
            <w:tcBorders>
              <w:top w:val="single" w:sz="4" w:space="0" w:color="365F91"/>
              <w:left w:val="nil"/>
              <w:bottom w:val="single" w:sz="4" w:space="0" w:color="365F91"/>
              <w:right w:val="nil"/>
            </w:tcBorders>
            <w:shd w:val="clear" w:color="auto" w:fill="FFFFFF"/>
            <w:tcMar>
              <w:top w:w="0" w:type="dxa"/>
              <w:left w:w="85" w:type="dxa"/>
              <w:bottom w:w="0" w:type="dxa"/>
              <w:right w:w="57" w:type="dxa"/>
            </w:tcMar>
          </w:tcPr>
          <w:p w14:paraId="6AAD9A1E" w14:textId="77777777" w:rsidR="00855935" w:rsidRPr="00BE78CA" w:rsidRDefault="00855935" w:rsidP="0089038A">
            <w:pPr>
              <w:pStyle w:val="TableText"/>
              <w:spacing w:before="50" w:after="50"/>
              <w:jc w:val="center"/>
            </w:pPr>
            <w:r w:rsidRPr="00BE78CA">
              <w:rPr>
                <w:rFonts w:eastAsia="Calibri"/>
              </w:rPr>
              <w:t>3,520.4</w:t>
            </w:r>
          </w:p>
        </w:tc>
        <w:tc>
          <w:tcPr>
            <w:tcW w:w="964" w:type="dxa"/>
            <w:tcBorders>
              <w:top w:val="single" w:sz="4" w:space="0" w:color="365F91"/>
              <w:left w:val="nil"/>
              <w:bottom w:val="single" w:sz="4" w:space="0" w:color="365F91"/>
              <w:right w:val="nil"/>
            </w:tcBorders>
            <w:shd w:val="clear" w:color="auto" w:fill="FFFFFF"/>
            <w:tcMar>
              <w:top w:w="0" w:type="dxa"/>
              <w:left w:w="85" w:type="dxa"/>
              <w:bottom w:w="0" w:type="dxa"/>
              <w:right w:w="57" w:type="dxa"/>
            </w:tcMar>
          </w:tcPr>
          <w:p w14:paraId="20FE7406" w14:textId="77777777" w:rsidR="00855935" w:rsidRPr="00BE78CA" w:rsidRDefault="00855935" w:rsidP="0089038A">
            <w:pPr>
              <w:pStyle w:val="TableText"/>
              <w:spacing w:before="50" w:after="50"/>
              <w:jc w:val="center"/>
            </w:pPr>
            <w:r w:rsidRPr="00BE78CA">
              <w:rPr>
                <w:rFonts w:eastAsia="Calibri"/>
              </w:rPr>
              <w:t>3,851.4</w:t>
            </w:r>
          </w:p>
        </w:tc>
        <w:tc>
          <w:tcPr>
            <w:tcW w:w="964" w:type="dxa"/>
            <w:tcBorders>
              <w:top w:val="single" w:sz="4" w:space="0" w:color="365F91"/>
              <w:left w:val="nil"/>
              <w:bottom w:val="single" w:sz="4" w:space="0" w:color="365F91"/>
            </w:tcBorders>
            <w:shd w:val="clear" w:color="auto" w:fill="FFFFFF"/>
            <w:tcMar>
              <w:top w:w="0" w:type="dxa"/>
              <w:left w:w="85" w:type="dxa"/>
              <w:bottom w:w="0" w:type="dxa"/>
              <w:right w:w="57" w:type="dxa"/>
            </w:tcMar>
          </w:tcPr>
          <w:p w14:paraId="5CB5DF12" w14:textId="77777777" w:rsidR="00855935" w:rsidRPr="00BE78CA" w:rsidRDefault="00855935" w:rsidP="0089038A">
            <w:pPr>
              <w:pStyle w:val="TableText"/>
              <w:spacing w:before="50" w:after="50"/>
              <w:jc w:val="center"/>
            </w:pPr>
            <w:r w:rsidRPr="00BE78CA">
              <w:rPr>
                <w:rFonts w:eastAsia="Calibri"/>
              </w:rPr>
              <w:t>4,745.1</w:t>
            </w:r>
          </w:p>
        </w:tc>
      </w:tr>
      <w:tr w:rsidR="00D73C53" w:rsidRPr="00BE78CA" w14:paraId="1250EA51" w14:textId="77777777" w:rsidTr="00292755">
        <w:trPr>
          <w:cantSplit/>
        </w:trPr>
        <w:tc>
          <w:tcPr>
            <w:tcW w:w="1531" w:type="dxa"/>
            <w:gridSpan w:val="8"/>
            <w:tcBorders>
              <w:top w:val="single" w:sz="4" w:space="0" w:color="365F91"/>
              <w:bottom w:val="single" w:sz="4" w:space="0" w:color="365F91"/>
            </w:tcBorders>
            <w:shd w:val="clear" w:color="auto" w:fill="365F91"/>
            <w:tcMar>
              <w:top w:w="0" w:type="dxa"/>
              <w:left w:w="85" w:type="dxa"/>
              <w:bottom w:w="0" w:type="dxa"/>
              <w:right w:w="57" w:type="dxa"/>
            </w:tcMar>
          </w:tcPr>
          <w:p w14:paraId="348FF904" w14:textId="77777777" w:rsidR="00855935" w:rsidRPr="00BE78CA" w:rsidRDefault="00855935" w:rsidP="0089038A">
            <w:pPr>
              <w:pStyle w:val="TableTextBold"/>
              <w:spacing w:before="50" w:after="50"/>
              <w:rPr>
                <w:noProof w:val="0"/>
                <w:color w:val="FFFFFF" w:themeColor="background1"/>
              </w:rPr>
            </w:pPr>
            <w:r w:rsidRPr="00BE78CA">
              <w:rPr>
                <w:rFonts w:eastAsia="Calibri"/>
                <w:noProof w:val="0"/>
                <w:color w:val="FFFFFF" w:themeColor="background1"/>
              </w:rPr>
              <w:t>Forest management</w:t>
            </w:r>
          </w:p>
        </w:tc>
      </w:tr>
      <w:tr w:rsidR="00942E2C" w:rsidRPr="00BE78CA" w14:paraId="5833DA22" w14:textId="77777777" w:rsidTr="00292755">
        <w:trPr>
          <w:cantSplit/>
        </w:trPr>
        <w:tc>
          <w:tcPr>
            <w:tcW w:w="1531" w:type="dxa"/>
            <w:tcBorders>
              <w:top w:val="single" w:sz="4" w:space="0" w:color="365F91"/>
              <w:bottom w:val="single" w:sz="4" w:space="0" w:color="365F91"/>
              <w:right w:val="nil"/>
            </w:tcBorders>
            <w:shd w:val="clear" w:color="auto" w:fill="FFFFFF"/>
            <w:tcMar>
              <w:top w:w="0" w:type="dxa"/>
              <w:left w:w="85" w:type="dxa"/>
              <w:bottom w:w="0" w:type="dxa"/>
              <w:right w:w="57" w:type="dxa"/>
            </w:tcMar>
            <w:vAlign w:val="center"/>
          </w:tcPr>
          <w:p w14:paraId="4539F36D" w14:textId="77777777" w:rsidR="00855935" w:rsidRPr="00BE78CA" w:rsidRDefault="00855935" w:rsidP="0089038A">
            <w:pPr>
              <w:pStyle w:val="TableText"/>
              <w:spacing w:before="50" w:after="50"/>
            </w:pPr>
            <w:r w:rsidRPr="00BE78CA">
              <w:rPr>
                <w:rFonts w:eastAsia="Calibri"/>
              </w:rPr>
              <w:t>Net cumulative area since 1990 (ha)</w:t>
            </w:r>
          </w:p>
        </w:tc>
        <w:tc>
          <w:tcPr>
            <w:tcW w:w="964" w:type="dxa"/>
            <w:tcBorders>
              <w:top w:val="single" w:sz="4" w:space="0" w:color="365F91"/>
              <w:left w:val="nil"/>
              <w:bottom w:val="single" w:sz="4" w:space="0" w:color="365F91"/>
              <w:right w:val="nil"/>
            </w:tcBorders>
            <w:shd w:val="clear" w:color="auto" w:fill="FFFFFF"/>
            <w:tcMar>
              <w:top w:w="0" w:type="dxa"/>
              <w:left w:w="85" w:type="dxa"/>
              <w:bottom w:w="0" w:type="dxa"/>
              <w:right w:w="57" w:type="dxa"/>
            </w:tcMar>
          </w:tcPr>
          <w:p w14:paraId="5B3C79CF" w14:textId="77777777" w:rsidR="00855935" w:rsidRPr="00BE78CA" w:rsidRDefault="00855935" w:rsidP="0089038A">
            <w:pPr>
              <w:pStyle w:val="TableText"/>
              <w:spacing w:before="50" w:after="50"/>
              <w:jc w:val="center"/>
            </w:pPr>
            <w:r w:rsidRPr="00BE78CA">
              <w:rPr>
                <w:rFonts w:eastAsia="Calibri"/>
              </w:rPr>
              <w:t>9,220,080.6</w:t>
            </w:r>
          </w:p>
        </w:tc>
        <w:tc>
          <w:tcPr>
            <w:tcW w:w="964" w:type="dxa"/>
            <w:tcBorders>
              <w:top w:val="single" w:sz="4" w:space="0" w:color="365F91"/>
              <w:left w:val="nil"/>
              <w:bottom w:val="single" w:sz="4" w:space="0" w:color="365F91"/>
              <w:right w:val="nil"/>
            </w:tcBorders>
            <w:shd w:val="clear" w:color="auto" w:fill="FFFFFF"/>
            <w:tcMar>
              <w:top w:w="0" w:type="dxa"/>
              <w:left w:w="85" w:type="dxa"/>
              <w:bottom w:w="0" w:type="dxa"/>
              <w:right w:w="57" w:type="dxa"/>
            </w:tcMar>
          </w:tcPr>
          <w:p w14:paraId="3A19D28A" w14:textId="77777777" w:rsidR="00855935" w:rsidRPr="00BE78CA" w:rsidRDefault="00855935" w:rsidP="0089038A">
            <w:pPr>
              <w:pStyle w:val="TableText"/>
              <w:spacing w:before="50" w:after="50"/>
              <w:jc w:val="center"/>
            </w:pPr>
            <w:r w:rsidRPr="00BE78CA">
              <w:rPr>
                <w:rFonts w:eastAsia="Calibri"/>
              </w:rPr>
              <w:t>9,213,045.6</w:t>
            </w:r>
          </w:p>
        </w:tc>
        <w:tc>
          <w:tcPr>
            <w:tcW w:w="964" w:type="dxa"/>
            <w:tcBorders>
              <w:top w:val="single" w:sz="4" w:space="0" w:color="365F91"/>
              <w:left w:val="nil"/>
              <w:bottom w:val="single" w:sz="4" w:space="0" w:color="365F91"/>
              <w:right w:val="nil"/>
            </w:tcBorders>
            <w:shd w:val="clear" w:color="auto" w:fill="FFFFFF"/>
            <w:tcMar>
              <w:top w:w="0" w:type="dxa"/>
              <w:left w:w="85" w:type="dxa"/>
              <w:bottom w:w="0" w:type="dxa"/>
              <w:right w:w="57" w:type="dxa"/>
            </w:tcMar>
          </w:tcPr>
          <w:p w14:paraId="0BAED7E5" w14:textId="77777777" w:rsidR="00855935" w:rsidRPr="00BE78CA" w:rsidRDefault="00855935" w:rsidP="0089038A">
            <w:pPr>
              <w:pStyle w:val="TableText"/>
              <w:spacing w:before="50" w:after="50"/>
              <w:jc w:val="center"/>
            </w:pPr>
            <w:r w:rsidRPr="00BE78CA">
              <w:rPr>
                <w:rFonts w:eastAsia="Calibri"/>
              </w:rPr>
              <w:t>9,208,749.4</w:t>
            </w:r>
          </w:p>
        </w:tc>
        <w:tc>
          <w:tcPr>
            <w:tcW w:w="964" w:type="dxa"/>
            <w:tcBorders>
              <w:top w:val="single" w:sz="4" w:space="0" w:color="365F91"/>
              <w:left w:val="nil"/>
              <w:bottom w:val="single" w:sz="4" w:space="0" w:color="365F91"/>
              <w:right w:val="nil"/>
            </w:tcBorders>
            <w:shd w:val="clear" w:color="auto" w:fill="FFFFFF"/>
            <w:tcMar>
              <w:top w:w="0" w:type="dxa"/>
              <w:left w:w="85" w:type="dxa"/>
              <w:bottom w:w="0" w:type="dxa"/>
              <w:right w:w="57" w:type="dxa"/>
            </w:tcMar>
          </w:tcPr>
          <w:p w14:paraId="4D9D24E9" w14:textId="77777777" w:rsidR="00855935" w:rsidRPr="00BE78CA" w:rsidRDefault="00855935" w:rsidP="0089038A">
            <w:pPr>
              <w:pStyle w:val="TableText"/>
              <w:spacing w:before="50" w:after="50"/>
              <w:jc w:val="center"/>
            </w:pPr>
            <w:r w:rsidRPr="00BE78CA">
              <w:rPr>
                <w:rFonts w:eastAsia="Calibri"/>
              </w:rPr>
              <w:t>9,207,186.4</w:t>
            </w:r>
          </w:p>
        </w:tc>
        <w:tc>
          <w:tcPr>
            <w:tcW w:w="964" w:type="dxa"/>
            <w:tcBorders>
              <w:top w:val="single" w:sz="4" w:space="0" w:color="365F91"/>
              <w:left w:val="nil"/>
              <w:bottom w:val="single" w:sz="4" w:space="0" w:color="365F91"/>
              <w:right w:val="nil"/>
            </w:tcBorders>
            <w:shd w:val="clear" w:color="auto" w:fill="FFFFFF"/>
            <w:tcMar>
              <w:top w:w="0" w:type="dxa"/>
              <w:left w:w="85" w:type="dxa"/>
              <w:bottom w:w="0" w:type="dxa"/>
              <w:right w:w="57" w:type="dxa"/>
            </w:tcMar>
          </w:tcPr>
          <w:p w14:paraId="209DEBBE" w14:textId="77777777" w:rsidR="00855935" w:rsidRPr="00BE78CA" w:rsidRDefault="00855935" w:rsidP="0089038A">
            <w:pPr>
              <w:pStyle w:val="TableText"/>
              <w:spacing w:before="50" w:after="50"/>
              <w:jc w:val="center"/>
            </w:pPr>
            <w:r w:rsidRPr="00BE78CA">
              <w:rPr>
                <w:rFonts w:eastAsia="Calibri"/>
              </w:rPr>
              <w:t>9,206,006.3</w:t>
            </w:r>
          </w:p>
        </w:tc>
        <w:tc>
          <w:tcPr>
            <w:tcW w:w="964" w:type="dxa"/>
            <w:tcBorders>
              <w:top w:val="single" w:sz="4" w:space="0" w:color="365F91"/>
              <w:left w:val="nil"/>
              <w:bottom w:val="single" w:sz="4" w:space="0" w:color="365F91"/>
              <w:right w:val="nil"/>
            </w:tcBorders>
            <w:shd w:val="clear" w:color="auto" w:fill="FFFFFF"/>
            <w:tcMar>
              <w:top w:w="0" w:type="dxa"/>
              <w:left w:w="85" w:type="dxa"/>
              <w:bottom w:w="0" w:type="dxa"/>
              <w:right w:w="57" w:type="dxa"/>
            </w:tcMar>
          </w:tcPr>
          <w:p w14:paraId="65699D7B" w14:textId="77777777" w:rsidR="00855935" w:rsidRPr="00BE78CA" w:rsidRDefault="00855935" w:rsidP="0089038A">
            <w:pPr>
              <w:pStyle w:val="TableText"/>
              <w:spacing w:before="50" w:after="50"/>
              <w:jc w:val="center"/>
            </w:pPr>
            <w:r w:rsidRPr="00BE78CA">
              <w:rPr>
                <w:rFonts w:eastAsia="Calibri"/>
              </w:rPr>
              <w:t>9,204,682.8</w:t>
            </w:r>
          </w:p>
        </w:tc>
        <w:tc>
          <w:tcPr>
            <w:tcW w:w="964" w:type="dxa"/>
            <w:tcBorders>
              <w:top w:val="single" w:sz="4" w:space="0" w:color="365F91"/>
              <w:left w:val="nil"/>
              <w:bottom w:val="single" w:sz="4" w:space="0" w:color="365F91"/>
            </w:tcBorders>
            <w:shd w:val="clear" w:color="auto" w:fill="FFFFFF"/>
            <w:tcMar>
              <w:top w:w="0" w:type="dxa"/>
              <w:left w:w="85" w:type="dxa"/>
              <w:bottom w:w="0" w:type="dxa"/>
              <w:right w:w="57" w:type="dxa"/>
            </w:tcMar>
          </w:tcPr>
          <w:p w14:paraId="1FCB6023" w14:textId="77777777" w:rsidR="00855935" w:rsidRPr="00BE78CA" w:rsidRDefault="00855935" w:rsidP="0089038A">
            <w:pPr>
              <w:pStyle w:val="TableText"/>
              <w:spacing w:before="50" w:after="50"/>
              <w:jc w:val="center"/>
            </w:pPr>
            <w:r w:rsidRPr="00BE78CA">
              <w:rPr>
                <w:rFonts w:eastAsia="Calibri"/>
              </w:rPr>
              <w:t>9,201,461.3</w:t>
            </w:r>
          </w:p>
        </w:tc>
      </w:tr>
      <w:tr w:rsidR="00D73C53" w:rsidRPr="00BE78CA" w14:paraId="49699AC2" w14:textId="77777777" w:rsidTr="00292755">
        <w:trPr>
          <w:cantSplit/>
        </w:trPr>
        <w:tc>
          <w:tcPr>
            <w:tcW w:w="1531" w:type="dxa"/>
            <w:gridSpan w:val="8"/>
            <w:tcBorders>
              <w:top w:val="single" w:sz="4" w:space="0" w:color="365F91"/>
              <w:bottom w:val="nil"/>
            </w:tcBorders>
            <w:shd w:val="clear" w:color="auto" w:fill="365F91"/>
            <w:tcMar>
              <w:top w:w="0" w:type="dxa"/>
              <w:left w:w="85" w:type="dxa"/>
              <w:bottom w:w="0" w:type="dxa"/>
              <w:right w:w="57" w:type="dxa"/>
            </w:tcMar>
          </w:tcPr>
          <w:p w14:paraId="584425C3" w14:textId="77777777" w:rsidR="00855935" w:rsidRPr="00BE78CA" w:rsidRDefault="00855935" w:rsidP="0089038A">
            <w:pPr>
              <w:pStyle w:val="TableTextBold"/>
              <w:spacing w:before="50" w:after="50"/>
              <w:rPr>
                <w:noProof w:val="0"/>
                <w:color w:val="FFFFFF" w:themeColor="background1"/>
              </w:rPr>
            </w:pPr>
            <w:r w:rsidRPr="00BE78CA">
              <w:rPr>
                <w:rFonts w:eastAsia="Calibri"/>
                <w:noProof w:val="0"/>
                <w:color w:val="FFFFFF" w:themeColor="background1"/>
              </w:rPr>
              <w:t>Total</w:t>
            </w:r>
          </w:p>
        </w:tc>
      </w:tr>
      <w:tr w:rsidR="00942E2C" w:rsidRPr="00BE78CA" w14:paraId="7553B337" w14:textId="77777777" w:rsidTr="00292755">
        <w:trPr>
          <w:cantSplit/>
        </w:trPr>
        <w:tc>
          <w:tcPr>
            <w:tcW w:w="1531" w:type="dxa"/>
            <w:tcBorders>
              <w:right w:val="nil"/>
            </w:tcBorders>
            <w:shd w:val="clear" w:color="auto" w:fill="FFFFFF"/>
            <w:tcMar>
              <w:top w:w="0" w:type="dxa"/>
              <w:left w:w="85" w:type="dxa"/>
              <w:bottom w:w="0" w:type="dxa"/>
              <w:right w:w="57" w:type="dxa"/>
            </w:tcMar>
            <w:vAlign w:val="center"/>
          </w:tcPr>
          <w:p w14:paraId="7362D40C" w14:textId="77777777" w:rsidR="00855935" w:rsidRPr="00BE78CA" w:rsidRDefault="00855935" w:rsidP="0089038A">
            <w:pPr>
              <w:pStyle w:val="Tableboldblue"/>
              <w:spacing w:before="50" w:after="50"/>
            </w:pPr>
            <w:r w:rsidRPr="00BE78CA">
              <w:rPr>
                <w:rFonts w:eastAsia="Calibri"/>
              </w:rPr>
              <w:t>Total area included (ha)</w:t>
            </w:r>
          </w:p>
        </w:tc>
        <w:tc>
          <w:tcPr>
            <w:tcW w:w="964" w:type="dxa"/>
            <w:tcBorders>
              <w:top w:val="nil"/>
              <w:left w:val="nil"/>
              <w:right w:val="nil"/>
            </w:tcBorders>
            <w:shd w:val="clear" w:color="auto" w:fill="FFFFFF"/>
            <w:tcMar>
              <w:top w:w="0" w:type="dxa"/>
              <w:left w:w="85" w:type="dxa"/>
              <w:bottom w:w="0" w:type="dxa"/>
              <w:right w:w="57" w:type="dxa"/>
            </w:tcMar>
          </w:tcPr>
          <w:p w14:paraId="316DCCD1" w14:textId="77777777" w:rsidR="00855935" w:rsidRPr="00BE78CA" w:rsidRDefault="00855935" w:rsidP="0089038A">
            <w:pPr>
              <w:pStyle w:val="Tableboldblue"/>
              <w:spacing w:before="50" w:after="50"/>
              <w:jc w:val="center"/>
            </w:pPr>
            <w:r w:rsidRPr="00BE78CA">
              <w:rPr>
                <w:rFonts w:eastAsia="Calibri"/>
              </w:rPr>
              <w:t>10,080,709.3</w:t>
            </w:r>
          </w:p>
        </w:tc>
        <w:tc>
          <w:tcPr>
            <w:tcW w:w="964" w:type="dxa"/>
            <w:tcBorders>
              <w:top w:val="nil"/>
              <w:left w:val="nil"/>
              <w:right w:val="nil"/>
            </w:tcBorders>
            <w:shd w:val="clear" w:color="auto" w:fill="FFFFFF"/>
            <w:tcMar>
              <w:top w:w="0" w:type="dxa"/>
              <w:left w:w="85" w:type="dxa"/>
              <w:bottom w:w="0" w:type="dxa"/>
              <w:right w:w="57" w:type="dxa"/>
            </w:tcMar>
          </w:tcPr>
          <w:p w14:paraId="5C573C86" w14:textId="77777777" w:rsidR="00855935" w:rsidRPr="00BE78CA" w:rsidRDefault="00855935" w:rsidP="0089038A">
            <w:pPr>
              <w:pStyle w:val="Tableboldblue"/>
              <w:spacing w:before="50" w:after="50"/>
              <w:jc w:val="center"/>
            </w:pPr>
            <w:r w:rsidRPr="00BE78CA">
              <w:rPr>
                <w:rFonts w:eastAsia="Calibri"/>
              </w:rPr>
              <w:t>10,086,646.4</w:t>
            </w:r>
          </w:p>
        </w:tc>
        <w:tc>
          <w:tcPr>
            <w:tcW w:w="964" w:type="dxa"/>
            <w:tcBorders>
              <w:top w:val="nil"/>
              <w:left w:val="nil"/>
              <w:right w:val="nil"/>
            </w:tcBorders>
            <w:shd w:val="clear" w:color="auto" w:fill="FFFFFF"/>
            <w:tcMar>
              <w:top w:w="0" w:type="dxa"/>
              <w:left w:w="85" w:type="dxa"/>
              <w:bottom w:w="0" w:type="dxa"/>
              <w:right w:w="57" w:type="dxa"/>
            </w:tcMar>
          </w:tcPr>
          <w:p w14:paraId="19B9CF47" w14:textId="77777777" w:rsidR="00855935" w:rsidRPr="00BE78CA" w:rsidRDefault="00855935" w:rsidP="0089038A">
            <w:pPr>
              <w:pStyle w:val="Tableboldblue"/>
              <w:spacing w:before="50" w:after="50"/>
              <w:jc w:val="center"/>
            </w:pPr>
            <w:r w:rsidRPr="00BE78CA">
              <w:rPr>
                <w:rFonts w:eastAsia="Calibri"/>
              </w:rPr>
              <w:t>10,092,583.4</w:t>
            </w:r>
          </w:p>
        </w:tc>
        <w:tc>
          <w:tcPr>
            <w:tcW w:w="964" w:type="dxa"/>
            <w:tcBorders>
              <w:top w:val="nil"/>
              <w:left w:val="nil"/>
              <w:right w:val="nil"/>
            </w:tcBorders>
            <w:shd w:val="clear" w:color="auto" w:fill="FFFFFF"/>
            <w:tcMar>
              <w:top w:w="0" w:type="dxa"/>
              <w:left w:w="85" w:type="dxa"/>
              <w:bottom w:w="0" w:type="dxa"/>
              <w:right w:w="57" w:type="dxa"/>
            </w:tcMar>
          </w:tcPr>
          <w:p w14:paraId="08518E2B" w14:textId="77777777" w:rsidR="00855935" w:rsidRPr="00BE78CA" w:rsidRDefault="00855935" w:rsidP="0089038A">
            <w:pPr>
              <w:pStyle w:val="Tableboldblue"/>
              <w:spacing w:before="50" w:after="50"/>
              <w:jc w:val="center"/>
            </w:pPr>
            <w:r w:rsidRPr="00BE78CA">
              <w:rPr>
                <w:rFonts w:eastAsia="Calibri"/>
              </w:rPr>
              <w:t>10,098,980.1</w:t>
            </w:r>
          </w:p>
        </w:tc>
        <w:tc>
          <w:tcPr>
            <w:tcW w:w="964" w:type="dxa"/>
            <w:tcBorders>
              <w:top w:val="nil"/>
              <w:left w:val="nil"/>
              <w:right w:val="nil"/>
            </w:tcBorders>
            <w:shd w:val="clear" w:color="auto" w:fill="FFFFFF"/>
            <w:tcMar>
              <w:top w:w="0" w:type="dxa"/>
              <w:left w:w="85" w:type="dxa"/>
              <w:bottom w:w="0" w:type="dxa"/>
              <w:right w:w="57" w:type="dxa"/>
            </w:tcMar>
          </w:tcPr>
          <w:p w14:paraId="3BC7C404" w14:textId="77777777" w:rsidR="00855935" w:rsidRPr="00BE78CA" w:rsidRDefault="00855935" w:rsidP="0089038A">
            <w:pPr>
              <w:pStyle w:val="Tableboldblue"/>
              <w:spacing w:before="50" w:after="50"/>
              <w:jc w:val="center"/>
            </w:pPr>
            <w:r w:rsidRPr="00BE78CA">
              <w:rPr>
                <w:rFonts w:eastAsia="Calibri"/>
              </w:rPr>
              <w:t>10,108,791.8</w:t>
            </w:r>
          </w:p>
        </w:tc>
        <w:tc>
          <w:tcPr>
            <w:tcW w:w="964" w:type="dxa"/>
            <w:tcBorders>
              <w:top w:val="nil"/>
              <w:left w:val="nil"/>
              <w:right w:val="nil"/>
            </w:tcBorders>
            <w:shd w:val="clear" w:color="auto" w:fill="FFFFFF"/>
            <w:tcMar>
              <w:top w:w="0" w:type="dxa"/>
              <w:left w:w="85" w:type="dxa"/>
              <w:bottom w:w="0" w:type="dxa"/>
              <w:right w:w="57" w:type="dxa"/>
            </w:tcMar>
          </w:tcPr>
          <w:p w14:paraId="79B7905C" w14:textId="77777777" w:rsidR="00855935" w:rsidRPr="00BE78CA" w:rsidRDefault="00855935" w:rsidP="0089038A">
            <w:pPr>
              <w:pStyle w:val="Tableboldblue"/>
              <w:spacing w:before="50" w:after="50"/>
              <w:jc w:val="center"/>
            </w:pPr>
            <w:r w:rsidRPr="00BE78CA">
              <w:rPr>
                <w:rFonts w:eastAsia="Calibri"/>
              </w:rPr>
              <w:t>10,118,909.6</w:t>
            </w:r>
          </w:p>
        </w:tc>
        <w:tc>
          <w:tcPr>
            <w:tcW w:w="964" w:type="dxa"/>
            <w:tcBorders>
              <w:top w:val="nil"/>
              <w:left w:val="nil"/>
            </w:tcBorders>
            <w:shd w:val="clear" w:color="auto" w:fill="FFFFFF"/>
            <w:tcMar>
              <w:top w:w="0" w:type="dxa"/>
              <w:left w:w="85" w:type="dxa"/>
              <w:bottom w:w="0" w:type="dxa"/>
              <w:right w:w="57" w:type="dxa"/>
            </w:tcMar>
          </w:tcPr>
          <w:p w14:paraId="122A217F" w14:textId="77777777" w:rsidR="00855935" w:rsidRPr="00BE78CA" w:rsidRDefault="00855935" w:rsidP="0089038A">
            <w:pPr>
              <w:pStyle w:val="Tableboldblue"/>
              <w:spacing w:before="50" w:after="50"/>
              <w:jc w:val="center"/>
            </w:pPr>
            <w:r w:rsidRPr="00BE78CA">
              <w:rPr>
                <w:rFonts w:eastAsia="Calibri"/>
              </w:rPr>
              <w:t>10,143,556.7</w:t>
            </w:r>
          </w:p>
        </w:tc>
      </w:tr>
    </w:tbl>
    <w:p w14:paraId="270F3A05" w14:textId="77777777" w:rsidR="00855935" w:rsidRPr="00BE78CA" w:rsidRDefault="00855935" w:rsidP="00855935">
      <w:pPr>
        <w:pStyle w:val="Noteundertable"/>
      </w:pPr>
      <w:r w:rsidRPr="00BE78CA">
        <w:rPr>
          <w:b/>
        </w:rPr>
        <w:lastRenderedPageBreak/>
        <w:t>Note:</w:t>
      </w:r>
      <w:r w:rsidRPr="00BE78CA">
        <w:t xml:space="preserve"> </w:t>
      </w:r>
      <w:r w:rsidRPr="00BE78CA">
        <w:tab/>
        <w:t xml:space="preserve">All figures for 2017, 2018 and 2019 in this table are provisional. Afforestation and reforestation refers to new forest established since 31 December 1989 but excludes areas of carbon equivalent forest. This means the areas differ from those reported in chapter 6 because the carbon equivalent forest provision means some new forest is reported under </w:t>
      </w:r>
      <w:r w:rsidRPr="00BE78CA">
        <w:rPr>
          <w:i/>
          <w:iCs/>
        </w:rPr>
        <w:t>Forest management</w:t>
      </w:r>
      <w:r w:rsidRPr="00BE78CA">
        <w:t>. Columns may not total due to rounding.</w:t>
      </w:r>
    </w:p>
    <w:p w14:paraId="0E31A12B" w14:textId="77777777" w:rsidR="00855935" w:rsidRPr="00BE78CA" w:rsidRDefault="00855935" w:rsidP="00855935">
      <w:pPr>
        <w:pStyle w:val="Heading5"/>
      </w:pPr>
      <w:bookmarkStart w:id="69" w:name="emissions-and-removals-in-2019"/>
      <w:r w:rsidRPr="00BE78CA">
        <w:t xml:space="preserve">Emissions and removals in </w:t>
      </w:r>
      <w:r w:rsidRPr="00BE78CA">
        <w:rPr>
          <w:bCs w:val="0"/>
        </w:rPr>
        <w:t>2019</w:t>
      </w:r>
      <w:bookmarkEnd w:id="69"/>
    </w:p>
    <w:p w14:paraId="2100AFD0" w14:textId="77777777" w:rsidR="00855935" w:rsidRPr="00BE78CA" w:rsidRDefault="00855935" w:rsidP="00855935">
      <w:pPr>
        <w:pStyle w:val="BodyText"/>
      </w:pPr>
      <w:r w:rsidRPr="00BE78CA">
        <w:t>The emissions and removals associated with the above land-use changes are:</w:t>
      </w:r>
    </w:p>
    <w:p w14:paraId="32657317" w14:textId="77777777" w:rsidR="00855935" w:rsidRPr="00BE78CA" w:rsidRDefault="00855935" w:rsidP="00855935">
      <w:pPr>
        <w:pStyle w:val="Bullet"/>
      </w:pPr>
      <w:r w:rsidRPr="00BE78CA">
        <w:t>net removals of 15,812.1 kt CO</w:t>
      </w:r>
      <w:r w:rsidRPr="00BE78CA">
        <w:rPr>
          <w:vertAlign w:val="subscript"/>
        </w:rPr>
        <w:t>2</w:t>
      </w:r>
      <w:r w:rsidRPr="00BE78CA">
        <w:t xml:space="preserve">-e for </w:t>
      </w:r>
      <w:r w:rsidRPr="00BE78CA">
        <w:rPr>
          <w:i/>
        </w:rPr>
        <w:t>Afforestation and reforestation</w:t>
      </w:r>
    </w:p>
    <w:p w14:paraId="78FCF97E" w14:textId="77777777" w:rsidR="00855935" w:rsidRPr="00BE78CA" w:rsidRDefault="00855935" w:rsidP="00855935">
      <w:pPr>
        <w:pStyle w:val="Bullet"/>
      </w:pPr>
      <w:r w:rsidRPr="00BE78CA">
        <w:t>net emissions of 2,906.6 kt CO</w:t>
      </w:r>
      <w:r w:rsidRPr="00BE78CA">
        <w:rPr>
          <w:vertAlign w:val="subscript"/>
        </w:rPr>
        <w:t>2</w:t>
      </w:r>
      <w:r w:rsidRPr="00BE78CA">
        <w:t xml:space="preserve">-e for </w:t>
      </w:r>
      <w:r w:rsidRPr="00BE78CA">
        <w:rPr>
          <w:i/>
        </w:rPr>
        <w:t>Deforestation</w:t>
      </w:r>
    </w:p>
    <w:p w14:paraId="1BFC4332" w14:textId="77777777" w:rsidR="00855935" w:rsidRPr="00BE78CA" w:rsidRDefault="00855935" w:rsidP="00855935">
      <w:pPr>
        <w:pStyle w:val="Bullet"/>
      </w:pPr>
      <w:r w:rsidRPr="00BE78CA">
        <w:t>net removals of 20,665.3 kt CO</w:t>
      </w:r>
      <w:r w:rsidRPr="00BE78CA">
        <w:rPr>
          <w:vertAlign w:val="subscript"/>
        </w:rPr>
        <w:t>2</w:t>
      </w:r>
      <w:r w:rsidRPr="00BE78CA">
        <w:t xml:space="preserve">-e for </w:t>
      </w:r>
      <w:r w:rsidRPr="00BE78CA">
        <w:rPr>
          <w:i/>
        </w:rPr>
        <w:t>Forest management</w:t>
      </w:r>
      <w:r w:rsidRPr="00BE78CA">
        <w:t>.</w:t>
      </w:r>
    </w:p>
    <w:p w14:paraId="37AAA8B6" w14:textId="77777777" w:rsidR="00855935" w:rsidRPr="00BE78CA" w:rsidRDefault="00855935" w:rsidP="00855935">
      <w:pPr>
        <w:pStyle w:val="Heading5"/>
      </w:pPr>
      <w:bookmarkStart w:id="70" w:name="emissions-and-removals-from-2013-to-2019"/>
      <w:r w:rsidRPr="00BE78CA">
        <w:t xml:space="preserve">Emissions and removals from 2013 to </w:t>
      </w:r>
      <w:r w:rsidRPr="00BE78CA">
        <w:rPr>
          <w:bCs w:val="0"/>
        </w:rPr>
        <w:t>2019</w:t>
      </w:r>
      <w:bookmarkEnd w:id="70"/>
    </w:p>
    <w:p w14:paraId="291715E6" w14:textId="77777777" w:rsidR="00855935" w:rsidRPr="00BE78CA" w:rsidRDefault="00855935" w:rsidP="00855935">
      <w:pPr>
        <w:pStyle w:val="BodyText"/>
      </w:pPr>
      <w:r w:rsidRPr="00BE78CA">
        <w:t>Estimates of emissions and removals for activities under Article 3.3 and Article 3.4 of the Kyoto Protocol for the period 2013 to 2019 are included in the inventory because these are used to establish the accounting quantity. This is the value that New Zealand can use towards meeting its 2020 target (see table ES 5.1(b)). The specific rules that apply when accounting against a target are explained in chapter 11, section 11.3.4.</w:t>
      </w:r>
    </w:p>
    <w:p w14:paraId="75AFF2D7" w14:textId="70F245D5" w:rsidR="00855935" w:rsidRPr="00BE78CA" w:rsidRDefault="00855935" w:rsidP="00855935">
      <w:pPr>
        <w:pStyle w:val="Table"/>
      </w:pPr>
      <w:bookmarkStart w:id="71" w:name="_Toc68786395"/>
      <w:r w:rsidRPr="00BE78CA">
        <w:t xml:space="preserve">Table ES 5.1(b) </w:t>
      </w:r>
      <w:r w:rsidR="008A2DB7" w:rsidRPr="00BE78CA">
        <w:tab/>
      </w:r>
      <w:r w:rsidRPr="00BE78CA">
        <w:t>New Zealand’s net emissions and accounting quantity by year for Afforestation and reforestation, Deforestation and Forest management</w:t>
      </w:r>
      <w:bookmarkEnd w:id="71"/>
    </w:p>
    <w:tbl>
      <w:tblPr>
        <w:tblW w:w="8448" w:type="dxa"/>
        <w:tblLook w:val="0420" w:firstRow="1" w:lastRow="0" w:firstColumn="0" w:lastColumn="0" w:noHBand="0" w:noVBand="1"/>
      </w:tblPr>
      <w:tblGrid>
        <w:gridCol w:w="2023"/>
        <w:gridCol w:w="917"/>
        <w:gridCol w:w="918"/>
        <w:gridCol w:w="918"/>
        <w:gridCol w:w="918"/>
        <w:gridCol w:w="918"/>
        <w:gridCol w:w="918"/>
        <w:gridCol w:w="918"/>
      </w:tblGrid>
      <w:tr w:rsidR="008A2DB7" w:rsidRPr="00BE78CA" w14:paraId="224912F2" w14:textId="77777777" w:rsidTr="008A2DB7">
        <w:trPr>
          <w:cantSplit/>
          <w:tblHeader/>
        </w:trPr>
        <w:tc>
          <w:tcPr>
            <w:tcW w:w="1198" w:type="pct"/>
            <w:tcBorders>
              <w:top w:val="single" w:sz="4" w:space="0" w:color="365F91"/>
              <w:bottom w:val="single" w:sz="4" w:space="0" w:color="365F91"/>
            </w:tcBorders>
            <w:shd w:val="clear" w:color="auto" w:fill="365F91"/>
            <w:tcMar>
              <w:top w:w="0" w:type="dxa"/>
              <w:left w:w="108" w:type="dxa"/>
              <w:bottom w:w="0" w:type="dxa"/>
              <w:right w:w="108" w:type="dxa"/>
            </w:tcMar>
            <w:vAlign w:val="center"/>
          </w:tcPr>
          <w:p w14:paraId="7A041D96" w14:textId="77777777" w:rsidR="00855935" w:rsidRPr="00BE78CA" w:rsidRDefault="00855935" w:rsidP="008A2DB7">
            <w:pPr>
              <w:pStyle w:val="TableTextBold"/>
              <w:rPr>
                <w:noProof w:val="0"/>
                <w:color w:val="FFFFFF" w:themeColor="background1"/>
              </w:rPr>
            </w:pPr>
            <w:r w:rsidRPr="00BE78CA">
              <w:rPr>
                <w:rFonts w:eastAsia="Calibri"/>
                <w:noProof w:val="0"/>
                <w:color w:val="FFFFFF" w:themeColor="background1"/>
              </w:rPr>
              <w:t>Activity</w:t>
            </w:r>
          </w:p>
        </w:tc>
        <w:tc>
          <w:tcPr>
            <w:tcW w:w="0" w:type="auto"/>
            <w:tcBorders>
              <w:top w:val="single" w:sz="4" w:space="0" w:color="365F91"/>
              <w:bottom w:val="single" w:sz="4" w:space="0" w:color="365F91"/>
            </w:tcBorders>
            <w:shd w:val="clear" w:color="auto" w:fill="365F91"/>
            <w:tcMar>
              <w:top w:w="0" w:type="dxa"/>
              <w:left w:w="108" w:type="dxa"/>
              <w:bottom w:w="0" w:type="dxa"/>
              <w:right w:w="108" w:type="dxa"/>
            </w:tcMar>
            <w:vAlign w:val="center"/>
          </w:tcPr>
          <w:p w14:paraId="0AEFEA86" w14:textId="77777777" w:rsidR="00855935" w:rsidRPr="00BE78CA" w:rsidRDefault="00855935" w:rsidP="008A2DB7">
            <w:pPr>
              <w:pStyle w:val="TableTextBold"/>
              <w:jc w:val="right"/>
              <w:rPr>
                <w:noProof w:val="0"/>
                <w:color w:val="FFFFFF" w:themeColor="background1"/>
              </w:rPr>
            </w:pPr>
            <w:r w:rsidRPr="00BE78CA">
              <w:rPr>
                <w:rFonts w:eastAsia="Calibri"/>
                <w:noProof w:val="0"/>
                <w:color w:val="FFFFFF" w:themeColor="background1"/>
              </w:rPr>
              <w:t>2013</w:t>
            </w:r>
          </w:p>
        </w:tc>
        <w:tc>
          <w:tcPr>
            <w:tcW w:w="0" w:type="auto"/>
            <w:tcBorders>
              <w:top w:val="single" w:sz="4" w:space="0" w:color="365F91"/>
              <w:bottom w:val="single" w:sz="4" w:space="0" w:color="365F91"/>
            </w:tcBorders>
            <w:shd w:val="clear" w:color="auto" w:fill="365F91"/>
            <w:tcMar>
              <w:top w:w="0" w:type="dxa"/>
              <w:left w:w="108" w:type="dxa"/>
              <w:bottom w:w="0" w:type="dxa"/>
              <w:right w:w="108" w:type="dxa"/>
            </w:tcMar>
            <w:vAlign w:val="center"/>
          </w:tcPr>
          <w:p w14:paraId="3104C0DE" w14:textId="77777777" w:rsidR="00855935" w:rsidRPr="00BE78CA" w:rsidRDefault="00855935" w:rsidP="008A2DB7">
            <w:pPr>
              <w:pStyle w:val="TableTextBold"/>
              <w:jc w:val="right"/>
              <w:rPr>
                <w:noProof w:val="0"/>
                <w:color w:val="FFFFFF" w:themeColor="background1"/>
              </w:rPr>
            </w:pPr>
            <w:r w:rsidRPr="00BE78CA">
              <w:rPr>
                <w:rFonts w:eastAsia="Calibri"/>
                <w:noProof w:val="0"/>
                <w:color w:val="FFFFFF" w:themeColor="background1"/>
              </w:rPr>
              <w:t>2014</w:t>
            </w:r>
          </w:p>
        </w:tc>
        <w:tc>
          <w:tcPr>
            <w:tcW w:w="0" w:type="auto"/>
            <w:tcBorders>
              <w:top w:val="single" w:sz="4" w:space="0" w:color="365F91"/>
              <w:bottom w:val="single" w:sz="4" w:space="0" w:color="365F91"/>
            </w:tcBorders>
            <w:shd w:val="clear" w:color="auto" w:fill="365F91"/>
            <w:tcMar>
              <w:top w:w="0" w:type="dxa"/>
              <w:left w:w="108" w:type="dxa"/>
              <w:bottom w:w="0" w:type="dxa"/>
              <w:right w:w="108" w:type="dxa"/>
            </w:tcMar>
            <w:vAlign w:val="center"/>
          </w:tcPr>
          <w:p w14:paraId="1E67C23E" w14:textId="77777777" w:rsidR="00855935" w:rsidRPr="00BE78CA" w:rsidRDefault="00855935" w:rsidP="008A2DB7">
            <w:pPr>
              <w:pStyle w:val="TableTextBold"/>
              <w:jc w:val="right"/>
              <w:rPr>
                <w:noProof w:val="0"/>
                <w:color w:val="FFFFFF" w:themeColor="background1"/>
              </w:rPr>
            </w:pPr>
            <w:r w:rsidRPr="00BE78CA">
              <w:rPr>
                <w:rFonts w:eastAsia="Calibri"/>
                <w:noProof w:val="0"/>
                <w:color w:val="FFFFFF" w:themeColor="background1"/>
              </w:rPr>
              <w:t>2015</w:t>
            </w:r>
          </w:p>
        </w:tc>
        <w:tc>
          <w:tcPr>
            <w:tcW w:w="0" w:type="auto"/>
            <w:tcBorders>
              <w:top w:val="single" w:sz="4" w:space="0" w:color="365F91"/>
              <w:bottom w:val="single" w:sz="4" w:space="0" w:color="365F91"/>
            </w:tcBorders>
            <w:shd w:val="clear" w:color="auto" w:fill="365F91"/>
            <w:tcMar>
              <w:top w:w="0" w:type="dxa"/>
              <w:left w:w="108" w:type="dxa"/>
              <w:bottom w:w="0" w:type="dxa"/>
              <w:right w:w="108" w:type="dxa"/>
            </w:tcMar>
            <w:vAlign w:val="center"/>
          </w:tcPr>
          <w:p w14:paraId="0D9383D7" w14:textId="77777777" w:rsidR="00855935" w:rsidRPr="00BE78CA" w:rsidRDefault="00855935" w:rsidP="008A2DB7">
            <w:pPr>
              <w:pStyle w:val="TableTextBold"/>
              <w:jc w:val="right"/>
              <w:rPr>
                <w:noProof w:val="0"/>
                <w:color w:val="FFFFFF" w:themeColor="background1"/>
              </w:rPr>
            </w:pPr>
            <w:r w:rsidRPr="00BE78CA">
              <w:rPr>
                <w:rFonts w:eastAsia="Calibri"/>
                <w:noProof w:val="0"/>
                <w:color w:val="FFFFFF" w:themeColor="background1"/>
              </w:rPr>
              <w:t>2016</w:t>
            </w:r>
          </w:p>
        </w:tc>
        <w:tc>
          <w:tcPr>
            <w:tcW w:w="0" w:type="auto"/>
            <w:tcBorders>
              <w:top w:val="single" w:sz="4" w:space="0" w:color="365F91"/>
              <w:bottom w:val="single" w:sz="4" w:space="0" w:color="365F91"/>
            </w:tcBorders>
            <w:shd w:val="clear" w:color="auto" w:fill="365F91"/>
            <w:tcMar>
              <w:top w:w="0" w:type="dxa"/>
              <w:left w:w="108" w:type="dxa"/>
              <w:bottom w:w="0" w:type="dxa"/>
              <w:right w:w="108" w:type="dxa"/>
            </w:tcMar>
            <w:vAlign w:val="center"/>
          </w:tcPr>
          <w:p w14:paraId="6F35953C" w14:textId="77777777" w:rsidR="00855935" w:rsidRPr="00BE78CA" w:rsidRDefault="00855935" w:rsidP="008A2DB7">
            <w:pPr>
              <w:pStyle w:val="TableTextBold"/>
              <w:jc w:val="right"/>
              <w:rPr>
                <w:noProof w:val="0"/>
                <w:color w:val="FFFFFF" w:themeColor="background1"/>
              </w:rPr>
            </w:pPr>
            <w:r w:rsidRPr="00BE78CA">
              <w:rPr>
                <w:rFonts w:eastAsia="Calibri"/>
                <w:noProof w:val="0"/>
                <w:color w:val="FFFFFF" w:themeColor="background1"/>
              </w:rPr>
              <w:t>2017</w:t>
            </w:r>
          </w:p>
        </w:tc>
        <w:tc>
          <w:tcPr>
            <w:tcW w:w="0" w:type="auto"/>
            <w:tcBorders>
              <w:top w:val="single" w:sz="4" w:space="0" w:color="365F91"/>
              <w:bottom w:val="single" w:sz="4" w:space="0" w:color="365F91"/>
            </w:tcBorders>
            <w:shd w:val="clear" w:color="auto" w:fill="365F91"/>
            <w:tcMar>
              <w:top w:w="0" w:type="dxa"/>
              <w:left w:w="108" w:type="dxa"/>
              <w:bottom w:w="0" w:type="dxa"/>
              <w:right w:w="108" w:type="dxa"/>
            </w:tcMar>
            <w:vAlign w:val="center"/>
          </w:tcPr>
          <w:p w14:paraId="75AB1F98" w14:textId="77777777" w:rsidR="00855935" w:rsidRPr="00BE78CA" w:rsidRDefault="00855935" w:rsidP="008A2DB7">
            <w:pPr>
              <w:pStyle w:val="TableTextBold"/>
              <w:jc w:val="right"/>
              <w:rPr>
                <w:noProof w:val="0"/>
                <w:color w:val="FFFFFF" w:themeColor="background1"/>
              </w:rPr>
            </w:pPr>
            <w:r w:rsidRPr="00BE78CA">
              <w:rPr>
                <w:rFonts w:eastAsia="Calibri"/>
                <w:noProof w:val="0"/>
                <w:color w:val="FFFFFF" w:themeColor="background1"/>
              </w:rPr>
              <w:t>2018</w:t>
            </w:r>
          </w:p>
        </w:tc>
        <w:tc>
          <w:tcPr>
            <w:tcW w:w="0" w:type="auto"/>
            <w:tcBorders>
              <w:top w:val="single" w:sz="4" w:space="0" w:color="365F91"/>
              <w:bottom w:val="single" w:sz="4" w:space="0" w:color="365F91"/>
            </w:tcBorders>
            <w:shd w:val="clear" w:color="auto" w:fill="365F91"/>
            <w:tcMar>
              <w:top w:w="0" w:type="dxa"/>
              <w:left w:w="108" w:type="dxa"/>
              <w:bottom w:w="0" w:type="dxa"/>
              <w:right w:w="108" w:type="dxa"/>
            </w:tcMar>
            <w:vAlign w:val="center"/>
          </w:tcPr>
          <w:p w14:paraId="40E813B6" w14:textId="77777777" w:rsidR="00855935" w:rsidRPr="00BE78CA" w:rsidRDefault="00855935" w:rsidP="008A2DB7">
            <w:pPr>
              <w:pStyle w:val="TableTextBold"/>
              <w:jc w:val="right"/>
              <w:rPr>
                <w:noProof w:val="0"/>
                <w:color w:val="FFFFFF" w:themeColor="background1"/>
              </w:rPr>
            </w:pPr>
            <w:r w:rsidRPr="00BE78CA">
              <w:rPr>
                <w:rFonts w:eastAsia="Calibri"/>
                <w:noProof w:val="0"/>
                <w:color w:val="FFFFFF" w:themeColor="background1"/>
              </w:rPr>
              <w:t>2019</w:t>
            </w:r>
          </w:p>
        </w:tc>
      </w:tr>
      <w:tr w:rsidR="00855935" w:rsidRPr="00BE78CA" w14:paraId="376E08AB" w14:textId="77777777" w:rsidTr="008A2DB7">
        <w:trPr>
          <w:cantSplit/>
        </w:trPr>
        <w:tc>
          <w:tcPr>
            <w:tcW w:w="1198" w:type="pct"/>
            <w:tcBorders>
              <w:top w:val="single" w:sz="4" w:space="0" w:color="365F91"/>
              <w:left w:val="single" w:sz="4" w:space="0" w:color="FFFFFF"/>
              <w:bottom w:val="single" w:sz="8" w:space="0" w:color="365F91"/>
            </w:tcBorders>
            <w:shd w:val="clear" w:color="auto" w:fill="FFFFFF"/>
            <w:tcMar>
              <w:top w:w="0" w:type="dxa"/>
              <w:left w:w="108" w:type="dxa"/>
              <w:bottom w:w="0" w:type="dxa"/>
              <w:right w:w="108" w:type="dxa"/>
            </w:tcMar>
            <w:vAlign w:val="center"/>
          </w:tcPr>
          <w:p w14:paraId="6868A1FB" w14:textId="77777777" w:rsidR="00855935" w:rsidRPr="00BE78CA" w:rsidRDefault="00855935" w:rsidP="00975ADD">
            <w:pPr>
              <w:pStyle w:val="TableText"/>
              <w:spacing w:before="50" w:after="50"/>
            </w:pPr>
            <w:r w:rsidRPr="00BE78CA">
              <w:rPr>
                <w:rFonts w:eastAsia="Calibri"/>
              </w:rPr>
              <w:t>Afforestation and reforestation</w:t>
            </w:r>
          </w:p>
        </w:tc>
        <w:tc>
          <w:tcPr>
            <w:tcW w:w="0" w:type="auto"/>
            <w:tcBorders>
              <w:top w:val="single" w:sz="4" w:space="0" w:color="365F91"/>
              <w:bottom w:val="single" w:sz="8" w:space="0" w:color="365F91"/>
            </w:tcBorders>
            <w:shd w:val="clear" w:color="auto" w:fill="FFFFFF"/>
            <w:tcMar>
              <w:top w:w="0" w:type="dxa"/>
              <w:left w:w="108" w:type="dxa"/>
              <w:bottom w:w="0" w:type="dxa"/>
              <w:right w:w="108" w:type="dxa"/>
            </w:tcMar>
          </w:tcPr>
          <w:p w14:paraId="111B12BF" w14:textId="77777777" w:rsidR="00855935" w:rsidRPr="00BE78CA" w:rsidRDefault="00855935" w:rsidP="00975ADD">
            <w:pPr>
              <w:pStyle w:val="TableText"/>
              <w:spacing w:before="50" w:after="50"/>
              <w:jc w:val="right"/>
            </w:pPr>
            <w:r w:rsidRPr="00BE78CA">
              <w:rPr>
                <w:rFonts w:eastAsia="Calibri"/>
              </w:rPr>
              <w:t>–17,929.8</w:t>
            </w:r>
          </w:p>
        </w:tc>
        <w:tc>
          <w:tcPr>
            <w:tcW w:w="0" w:type="auto"/>
            <w:tcBorders>
              <w:top w:val="single" w:sz="4" w:space="0" w:color="365F91"/>
              <w:bottom w:val="single" w:sz="8" w:space="0" w:color="365F91"/>
            </w:tcBorders>
            <w:shd w:val="clear" w:color="auto" w:fill="FFFFFF"/>
            <w:tcMar>
              <w:top w:w="0" w:type="dxa"/>
              <w:left w:w="108" w:type="dxa"/>
              <w:bottom w:w="0" w:type="dxa"/>
              <w:right w:w="108" w:type="dxa"/>
            </w:tcMar>
          </w:tcPr>
          <w:p w14:paraId="56AAE6D4" w14:textId="77777777" w:rsidR="00855935" w:rsidRPr="00BE78CA" w:rsidRDefault="00855935" w:rsidP="00975ADD">
            <w:pPr>
              <w:pStyle w:val="TableText"/>
              <w:spacing w:before="50" w:after="50"/>
              <w:jc w:val="right"/>
            </w:pPr>
            <w:r w:rsidRPr="00BE78CA">
              <w:rPr>
                <w:rFonts w:eastAsia="Calibri"/>
              </w:rPr>
              <w:t>–18,154.1</w:t>
            </w:r>
          </w:p>
        </w:tc>
        <w:tc>
          <w:tcPr>
            <w:tcW w:w="0" w:type="auto"/>
            <w:tcBorders>
              <w:top w:val="single" w:sz="4" w:space="0" w:color="365F91"/>
              <w:bottom w:val="single" w:sz="8" w:space="0" w:color="365F91"/>
            </w:tcBorders>
            <w:shd w:val="clear" w:color="auto" w:fill="FFFFFF"/>
            <w:tcMar>
              <w:top w:w="0" w:type="dxa"/>
              <w:left w:w="108" w:type="dxa"/>
              <w:bottom w:w="0" w:type="dxa"/>
              <w:right w:w="108" w:type="dxa"/>
            </w:tcMar>
          </w:tcPr>
          <w:p w14:paraId="75662AC1" w14:textId="77777777" w:rsidR="00855935" w:rsidRPr="00BE78CA" w:rsidRDefault="00855935" w:rsidP="00975ADD">
            <w:pPr>
              <w:pStyle w:val="TableText"/>
              <w:spacing w:before="50" w:after="50"/>
              <w:jc w:val="right"/>
            </w:pPr>
            <w:r w:rsidRPr="00BE78CA">
              <w:rPr>
                <w:rFonts w:eastAsia="Calibri"/>
              </w:rPr>
              <w:t>–18,346.9</w:t>
            </w:r>
          </w:p>
        </w:tc>
        <w:tc>
          <w:tcPr>
            <w:tcW w:w="0" w:type="auto"/>
            <w:tcBorders>
              <w:top w:val="single" w:sz="4" w:space="0" w:color="365F91"/>
              <w:bottom w:val="single" w:sz="8" w:space="0" w:color="365F91"/>
            </w:tcBorders>
            <w:shd w:val="clear" w:color="auto" w:fill="FFFFFF"/>
            <w:tcMar>
              <w:top w:w="0" w:type="dxa"/>
              <w:left w:w="108" w:type="dxa"/>
              <w:bottom w:w="0" w:type="dxa"/>
              <w:right w:w="108" w:type="dxa"/>
            </w:tcMar>
          </w:tcPr>
          <w:p w14:paraId="6B8322D9" w14:textId="77777777" w:rsidR="00855935" w:rsidRPr="00BE78CA" w:rsidRDefault="00855935" w:rsidP="00975ADD">
            <w:pPr>
              <w:pStyle w:val="TableText"/>
              <w:spacing w:before="50" w:after="50"/>
              <w:jc w:val="right"/>
            </w:pPr>
            <w:r w:rsidRPr="00BE78CA">
              <w:rPr>
                <w:rFonts w:eastAsia="Calibri"/>
              </w:rPr>
              <w:t>–17,976.5</w:t>
            </w:r>
          </w:p>
        </w:tc>
        <w:tc>
          <w:tcPr>
            <w:tcW w:w="0" w:type="auto"/>
            <w:tcBorders>
              <w:top w:val="single" w:sz="4" w:space="0" w:color="365F91"/>
              <w:bottom w:val="single" w:sz="8" w:space="0" w:color="365F91"/>
            </w:tcBorders>
            <w:shd w:val="clear" w:color="auto" w:fill="FFFFFF"/>
            <w:tcMar>
              <w:top w:w="0" w:type="dxa"/>
              <w:left w:w="108" w:type="dxa"/>
              <w:bottom w:w="0" w:type="dxa"/>
              <w:right w:w="108" w:type="dxa"/>
            </w:tcMar>
          </w:tcPr>
          <w:p w14:paraId="20DCDF09" w14:textId="77777777" w:rsidR="00855935" w:rsidRPr="00BE78CA" w:rsidRDefault="00855935" w:rsidP="00975ADD">
            <w:pPr>
              <w:pStyle w:val="TableText"/>
              <w:spacing w:before="50" w:after="50"/>
              <w:jc w:val="right"/>
            </w:pPr>
            <w:r w:rsidRPr="00BE78CA">
              <w:rPr>
                <w:rFonts w:eastAsia="Calibri"/>
              </w:rPr>
              <w:t>–18,130.5</w:t>
            </w:r>
          </w:p>
        </w:tc>
        <w:tc>
          <w:tcPr>
            <w:tcW w:w="0" w:type="auto"/>
            <w:tcBorders>
              <w:top w:val="single" w:sz="4" w:space="0" w:color="365F91"/>
              <w:bottom w:val="single" w:sz="8" w:space="0" w:color="365F91"/>
            </w:tcBorders>
            <w:shd w:val="clear" w:color="auto" w:fill="FFFFFF"/>
            <w:tcMar>
              <w:top w:w="0" w:type="dxa"/>
              <w:left w:w="108" w:type="dxa"/>
              <w:bottom w:w="0" w:type="dxa"/>
              <w:right w:w="108" w:type="dxa"/>
            </w:tcMar>
          </w:tcPr>
          <w:p w14:paraId="54652E04" w14:textId="77777777" w:rsidR="00855935" w:rsidRPr="00BE78CA" w:rsidRDefault="00855935" w:rsidP="00975ADD">
            <w:pPr>
              <w:pStyle w:val="TableText"/>
              <w:spacing w:before="50" w:after="50"/>
              <w:jc w:val="right"/>
            </w:pPr>
            <w:r w:rsidRPr="00BE78CA">
              <w:rPr>
                <w:rFonts w:eastAsia="Calibri"/>
              </w:rPr>
              <w:t>–17,197.6</w:t>
            </w:r>
          </w:p>
        </w:tc>
        <w:tc>
          <w:tcPr>
            <w:tcW w:w="0" w:type="auto"/>
            <w:tcBorders>
              <w:top w:val="single" w:sz="4" w:space="0" w:color="365F91"/>
              <w:bottom w:val="single" w:sz="8" w:space="0" w:color="365F91"/>
              <w:right w:val="single" w:sz="4" w:space="0" w:color="FFFFFF"/>
            </w:tcBorders>
            <w:shd w:val="clear" w:color="auto" w:fill="FFFFFF"/>
            <w:tcMar>
              <w:top w:w="0" w:type="dxa"/>
              <w:left w:w="108" w:type="dxa"/>
              <w:bottom w:w="0" w:type="dxa"/>
              <w:right w:w="108" w:type="dxa"/>
            </w:tcMar>
          </w:tcPr>
          <w:p w14:paraId="48A32FD0" w14:textId="77777777" w:rsidR="00855935" w:rsidRPr="00BE78CA" w:rsidRDefault="00855935" w:rsidP="00975ADD">
            <w:pPr>
              <w:pStyle w:val="TableText"/>
              <w:spacing w:before="50" w:after="50"/>
              <w:jc w:val="right"/>
            </w:pPr>
            <w:r w:rsidRPr="00BE78CA">
              <w:rPr>
                <w:rFonts w:eastAsia="Calibri"/>
              </w:rPr>
              <w:t>–15,812.1</w:t>
            </w:r>
          </w:p>
        </w:tc>
      </w:tr>
      <w:tr w:rsidR="00855935" w:rsidRPr="00BE78CA" w14:paraId="7BBCAB34" w14:textId="77777777" w:rsidTr="008A2DB7">
        <w:trPr>
          <w:cantSplit/>
        </w:trPr>
        <w:tc>
          <w:tcPr>
            <w:tcW w:w="1198" w:type="pct"/>
            <w:tcBorders>
              <w:top w:val="single" w:sz="8" w:space="0" w:color="365F91"/>
              <w:left w:val="single" w:sz="4" w:space="0" w:color="FFFFFF"/>
              <w:bottom w:val="single" w:sz="8" w:space="0" w:color="365F91"/>
            </w:tcBorders>
            <w:shd w:val="clear" w:color="auto" w:fill="FFFFFF"/>
            <w:tcMar>
              <w:top w:w="0" w:type="dxa"/>
              <w:left w:w="108" w:type="dxa"/>
              <w:bottom w:w="0" w:type="dxa"/>
              <w:right w:w="108" w:type="dxa"/>
            </w:tcMar>
            <w:vAlign w:val="center"/>
          </w:tcPr>
          <w:p w14:paraId="134F5440" w14:textId="77777777" w:rsidR="00855935" w:rsidRPr="00BE78CA" w:rsidRDefault="00855935" w:rsidP="00975ADD">
            <w:pPr>
              <w:pStyle w:val="TableText"/>
              <w:spacing w:before="50" w:after="50"/>
            </w:pPr>
            <w:r w:rsidRPr="00BE78CA">
              <w:rPr>
                <w:rFonts w:eastAsia="Calibri"/>
              </w:rPr>
              <w:t>Deforestation</w:t>
            </w:r>
          </w:p>
        </w:tc>
        <w:tc>
          <w:tcPr>
            <w:tcW w:w="0" w:type="auto"/>
            <w:tcBorders>
              <w:top w:val="single" w:sz="8" w:space="0" w:color="365F91"/>
              <w:bottom w:val="single" w:sz="8" w:space="0" w:color="365F91"/>
            </w:tcBorders>
            <w:shd w:val="clear" w:color="auto" w:fill="FFFFFF"/>
            <w:tcMar>
              <w:top w:w="0" w:type="dxa"/>
              <w:left w:w="108" w:type="dxa"/>
              <w:bottom w:w="0" w:type="dxa"/>
              <w:right w:w="108" w:type="dxa"/>
            </w:tcMar>
          </w:tcPr>
          <w:p w14:paraId="655FE3B4" w14:textId="77777777" w:rsidR="00855935" w:rsidRPr="00BE78CA" w:rsidRDefault="00855935" w:rsidP="00975ADD">
            <w:pPr>
              <w:pStyle w:val="TableText"/>
              <w:spacing w:before="50" w:after="50"/>
              <w:jc w:val="right"/>
            </w:pPr>
            <w:r w:rsidRPr="00BE78CA">
              <w:rPr>
                <w:rFonts w:eastAsia="Calibri"/>
              </w:rPr>
              <w:t>8,485.0</w:t>
            </w:r>
          </w:p>
        </w:tc>
        <w:tc>
          <w:tcPr>
            <w:tcW w:w="0" w:type="auto"/>
            <w:tcBorders>
              <w:top w:val="single" w:sz="8" w:space="0" w:color="365F91"/>
              <w:bottom w:val="single" w:sz="8" w:space="0" w:color="365F91"/>
            </w:tcBorders>
            <w:shd w:val="clear" w:color="auto" w:fill="FFFFFF"/>
            <w:tcMar>
              <w:top w:w="0" w:type="dxa"/>
              <w:left w:w="108" w:type="dxa"/>
              <w:bottom w:w="0" w:type="dxa"/>
              <w:right w:w="108" w:type="dxa"/>
            </w:tcMar>
          </w:tcPr>
          <w:p w14:paraId="2AAF6308" w14:textId="77777777" w:rsidR="00855935" w:rsidRPr="00BE78CA" w:rsidRDefault="00855935" w:rsidP="00975ADD">
            <w:pPr>
              <w:pStyle w:val="TableText"/>
              <w:spacing w:before="50" w:after="50"/>
              <w:jc w:val="right"/>
            </w:pPr>
            <w:r w:rsidRPr="00BE78CA">
              <w:rPr>
                <w:rFonts w:eastAsia="Calibri"/>
              </w:rPr>
              <w:t>5,382.1</w:t>
            </w:r>
          </w:p>
        </w:tc>
        <w:tc>
          <w:tcPr>
            <w:tcW w:w="0" w:type="auto"/>
            <w:tcBorders>
              <w:top w:val="single" w:sz="8" w:space="0" w:color="365F91"/>
              <w:bottom w:val="single" w:sz="8" w:space="0" w:color="365F91"/>
            </w:tcBorders>
            <w:shd w:val="clear" w:color="auto" w:fill="FFFFFF"/>
            <w:tcMar>
              <w:top w:w="0" w:type="dxa"/>
              <w:left w:w="108" w:type="dxa"/>
              <w:bottom w:w="0" w:type="dxa"/>
              <w:right w:w="108" w:type="dxa"/>
            </w:tcMar>
          </w:tcPr>
          <w:p w14:paraId="2577004D" w14:textId="77777777" w:rsidR="00855935" w:rsidRPr="00BE78CA" w:rsidRDefault="00855935" w:rsidP="00975ADD">
            <w:pPr>
              <w:pStyle w:val="TableText"/>
              <w:spacing w:before="50" w:after="50"/>
              <w:jc w:val="right"/>
            </w:pPr>
            <w:r w:rsidRPr="00BE78CA">
              <w:rPr>
                <w:rFonts w:eastAsia="Calibri"/>
              </w:rPr>
              <w:t>3,470.7</w:t>
            </w:r>
          </w:p>
        </w:tc>
        <w:tc>
          <w:tcPr>
            <w:tcW w:w="0" w:type="auto"/>
            <w:tcBorders>
              <w:top w:val="single" w:sz="8" w:space="0" w:color="365F91"/>
              <w:bottom w:val="single" w:sz="8" w:space="0" w:color="365F91"/>
            </w:tcBorders>
            <w:shd w:val="clear" w:color="auto" w:fill="FFFFFF"/>
            <w:tcMar>
              <w:top w:w="0" w:type="dxa"/>
              <w:left w:w="108" w:type="dxa"/>
              <w:bottom w:w="0" w:type="dxa"/>
              <w:right w:w="108" w:type="dxa"/>
            </w:tcMar>
          </w:tcPr>
          <w:p w14:paraId="61534E01" w14:textId="77777777" w:rsidR="00855935" w:rsidRPr="00BE78CA" w:rsidRDefault="00855935" w:rsidP="00975ADD">
            <w:pPr>
              <w:pStyle w:val="TableText"/>
              <w:spacing w:before="50" w:after="50"/>
              <w:jc w:val="right"/>
            </w:pPr>
            <w:r w:rsidRPr="00BE78CA">
              <w:rPr>
                <w:rFonts w:eastAsia="Calibri"/>
              </w:rPr>
              <w:t>1,818.8</w:t>
            </w:r>
          </w:p>
        </w:tc>
        <w:tc>
          <w:tcPr>
            <w:tcW w:w="0" w:type="auto"/>
            <w:tcBorders>
              <w:top w:val="single" w:sz="8" w:space="0" w:color="365F91"/>
              <w:bottom w:val="single" w:sz="8" w:space="0" w:color="365F91"/>
            </w:tcBorders>
            <w:shd w:val="clear" w:color="auto" w:fill="FFFFFF"/>
            <w:tcMar>
              <w:top w:w="0" w:type="dxa"/>
              <w:left w:w="108" w:type="dxa"/>
              <w:bottom w:w="0" w:type="dxa"/>
              <w:right w:w="108" w:type="dxa"/>
            </w:tcMar>
          </w:tcPr>
          <w:p w14:paraId="53E479DE" w14:textId="77777777" w:rsidR="00855935" w:rsidRPr="00BE78CA" w:rsidRDefault="00855935" w:rsidP="00975ADD">
            <w:pPr>
              <w:pStyle w:val="TableText"/>
              <w:spacing w:before="50" w:after="50"/>
              <w:jc w:val="right"/>
            </w:pPr>
            <w:r w:rsidRPr="00BE78CA">
              <w:rPr>
                <w:rFonts w:eastAsia="Calibri"/>
              </w:rPr>
              <w:t>1,869.8</w:t>
            </w:r>
          </w:p>
        </w:tc>
        <w:tc>
          <w:tcPr>
            <w:tcW w:w="0" w:type="auto"/>
            <w:tcBorders>
              <w:top w:val="single" w:sz="8" w:space="0" w:color="365F91"/>
              <w:bottom w:val="single" w:sz="8" w:space="0" w:color="365F91"/>
            </w:tcBorders>
            <w:shd w:val="clear" w:color="auto" w:fill="FFFFFF"/>
            <w:tcMar>
              <w:top w:w="0" w:type="dxa"/>
              <w:left w:w="108" w:type="dxa"/>
              <w:bottom w:w="0" w:type="dxa"/>
              <w:right w:w="108" w:type="dxa"/>
            </w:tcMar>
          </w:tcPr>
          <w:p w14:paraId="7F241D00" w14:textId="77777777" w:rsidR="00855935" w:rsidRPr="00BE78CA" w:rsidRDefault="00855935" w:rsidP="00975ADD">
            <w:pPr>
              <w:pStyle w:val="TableText"/>
              <w:spacing w:before="50" w:after="50"/>
              <w:jc w:val="right"/>
            </w:pPr>
            <w:r w:rsidRPr="00BE78CA">
              <w:rPr>
                <w:rFonts w:eastAsia="Calibri"/>
              </w:rPr>
              <w:t>2,269.9</w:t>
            </w:r>
          </w:p>
        </w:tc>
        <w:tc>
          <w:tcPr>
            <w:tcW w:w="0" w:type="auto"/>
            <w:tcBorders>
              <w:top w:val="single" w:sz="8" w:space="0" w:color="365F91"/>
              <w:bottom w:val="single" w:sz="8" w:space="0" w:color="365F91"/>
              <w:right w:val="single" w:sz="4" w:space="0" w:color="FFFFFF"/>
            </w:tcBorders>
            <w:shd w:val="clear" w:color="auto" w:fill="FFFFFF"/>
            <w:tcMar>
              <w:top w:w="0" w:type="dxa"/>
              <w:left w:w="108" w:type="dxa"/>
              <w:bottom w:w="0" w:type="dxa"/>
              <w:right w:w="108" w:type="dxa"/>
            </w:tcMar>
          </w:tcPr>
          <w:p w14:paraId="277983A9" w14:textId="77777777" w:rsidR="00855935" w:rsidRPr="00BE78CA" w:rsidRDefault="00855935" w:rsidP="00975ADD">
            <w:pPr>
              <w:pStyle w:val="TableText"/>
              <w:spacing w:before="50" w:after="50"/>
              <w:jc w:val="right"/>
            </w:pPr>
            <w:r w:rsidRPr="00BE78CA">
              <w:rPr>
                <w:rFonts w:eastAsia="Calibri"/>
              </w:rPr>
              <w:t>2,906.6</w:t>
            </w:r>
          </w:p>
        </w:tc>
      </w:tr>
      <w:tr w:rsidR="00855935" w:rsidRPr="00BE78CA" w14:paraId="633DD6B4" w14:textId="77777777" w:rsidTr="008A2DB7">
        <w:trPr>
          <w:cantSplit/>
        </w:trPr>
        <w:tc>
          <w:tcPr>
            <w:tcW w:w="1198" w:type="pct"/>
            <w:tcBorders>
              <w:top w:val="single" w:sz="8" w:space="0" w:color="365F91"/>
              <w:left w:val="single" w:sz="4" w:space="0" w:color="FFFFFF"/>
              <w:bottom w:val="single" w:sz="8" w:space="0" w:color="365F91"/>
            </w:tcBorders>
            <w:shd w:val="clear" w:color="auto" w:fill="FFFFFF"/>
            <w:tcMar>
              <w:top w:w="0" w:type="dxa"/>
              <w:left w:w="108" w:type="dxa"/>
              <w:bottom w:w="0" w:type="dxa"/>
              <w:right w:w="108" w:type="dxa"/>
            </w:tcMar>
            <w:vAlign w:val="center"/>
          </w:tcPr>
          <w:p w14:paraId="1000EEAB" w14:textId="77777777" w:rsidR="00855935" w:rsidRPr="00BE78CA" w:rsidRDefault="00855935" w:rsidP="00975ADD">
            <w:pPr>
              <w:pStyle w:val="TableText"/>
              <w:spacing w:before="50" w:after="50"/>
            </w:pPr>
            <w:r w:rsidRPr="00BE78CA">
              <w:rPr>
                <w:rFonts w:eastAsia="Calibri"/>
              </w:rPr>
              <w:t>Forest management</w:t>
            </w:r>
          </w:p>
        </w:tc>
        <w:tc>
          <w:tcPr>
            <w:tcW w:w="0" w:type="auto"/>
            <w:tcBorders>
              <w:top w:val="single" w:sz="8" w:space="0" w:color="365F91"/>
              <w:bottom w:val="single" w:sz="8" w:space="0" w:color="365F91"/>
            </w:tcBorders>
            <w:shd w:val="clear" w:color="auto" w:fill="FFFFFF"/>
            <w:tcMar>
              <w:top w:w="0" w:type="dxa"/>
              <w:left w:w="108" w:type="dxa"/>
              <w:bottom w:w="0" w:type="dxa"/>
              <w:right w:w="108" w:type="dxa"/>
            </w:tcMar>
          </w:tcPr>
          <w:p w14:paraId="0ED0C481" w14:textId="77777777" w:rsidR="00855935" w:rsidRPr="00BE78CA" w:rsidRDefault="00855935" w:rsidP="00975ADD">
            <w:pPr>
              <w:pStyle w:val="TableText"/>
              <w:spacing w:before="50" w:after="50"/>
              <w:jc w:val="right"/>
            </w:pPr>
            <w:r w:rsidRPr="00BE78CA">
              <w:rPr>
                <w:rFonts w:eastAsia="Calibri"/>
              </w:rPr>
              <w:t>–21,535.0</w:t>
            </w:r>
          </w:p>
        </w:tc>
        <w:tc>
          <w:tcPr>
            <w:tcW w:w="0" w:type="auto"/>
            <w:tcBorders>
              <w:top w:val="single" w:sz="8" w:space="0" w:color="365F91"/>
              <w:bottom w:val="single" w:sz="8" w:space="0" w:color="365F91"/>
            </w:tcBorders>
            <w:shd w:val="clear" w:color="auto" w:fill="FFFFFF"/>
            <w:tcMar>
              <w:top w:w="0" w:type="dxa"/>
              <w:left w:w="108" w:type="dxa"/>
              <w:bottom w:w="0" w:type="dxa"/>
              <w:right w:w="108" w:type="dxa"/>
            </w:tcMar>
          </w:tcPr>
          <w:p w14:paraId="7A0F4D0B" w14:textId="77777777" w:rsidR="00855935" w:rsidRPr="00BE78CA" w:rsidRDefault="00855935" w:rsidP="00975ADD">
            <w:pPr>
              <w:pStyle w:val="TableText"/>
              <w:spacing w:before="50" w:after="50"/>
              <w:jc w:val="right"/>
            </w:pPr>
            <w:r w:rsidRPr="00BE78CA">
              <w:rPr>
                <w:rFonts w:eastAsia="Calibri"/>
              </w:rPr>
              <w:t>–20,286.4</w:t>
            </w:r>
          </w:p>
        </w:tc>
        <w:tc>
          <w:tcPr>
            <w:tcW w:w="0" w:type="auto"/>
            <w:tcBorders>
              <w:top w:val="single" w:sz="8" w:space="0" w:color="365F91"/>
              <w:bottom w:val="single" w:sz="8" w:space="0" w:color="365F91"/>
            </w:tcBorders>
            <w:shd w:val="clear" w:color="auto" w:fill="FFFFFF"/>
            <w:tcMar>
              <w:top w:w="0" w:type="dxa"/>
              <w:left w:w="108" w:type="dxa"/>
              <w:bottom w:w="0" w:type="dxa"/>
              <w:right w:w="108" w:type="dxa"/>
            </w:tcMar>
          </w:tcPr>
          <w:p w14:paraId="380BAA70" w14:textId="77777777" w:rsidR="00855935" w:rsidRPr="00BE78CA" w:rsidRDefault="00855935" w:rsidP="00975ADD">
            <w:pPr>
              <w:pStyle w:val="TableText"/>
              <w:spacing w:before="50" w:after="50"/>
              <w:jc w:val="right"/>
            </w:pPr>
            <w:r w:rsidRPr="00BE78CA">
              <w:rPr>
                <w:rFonts w:eastAsia="Calibri"/>
              </w:rPr>
              <w:t>–19,189.1</w:t>
            </w:r>
          </w:p>
        </w:tc>
        <w:tc>
          <w:tcPr>
            <w:tcW w:w="0" w:type="auto"/>
            <w:tcBorders>
              <w:top w:val="single" w:sz="8" w:space="0" w:color="365F91"/>
              <w:bottom w:val="single" w:sz="8" w:space="0" w:color="365F91"/>
            </w:tcBorders>
            <w:shd w:val="clear" w:color="auto" w:fill="FFFFFF"/>
            <w:tcMar>
              <w:top w:w="0" w:type="dxa"/>
              <w:left w:w="108" w:type="dxa"/>
              <w:bottom w:w="0" w:type="dxa"/>
              <w:right w:w="108" w:type="dxa"/>
            </w:tcMar>
          </w:tcPr>
          <w:p w14:paraId="329665E0" w14:textId="77777777" w:rsidR="00855935" w:rsidRPr="00BE78CA" w:rsidRDefault="00855935" w:rsidP="00975ADD">
            <w:pPr>
              <w:pStyle w:val="TableText"/>
              <w:spacing w:before="50" w:after="50"/>
              <w:jc w:val="right"/>
            </w:pPr>
            <w:r w:rsidRPr="00BE78CA">
              <w:rPr>
                <w:rFonts w:eastAsia="Calibri"/>
              </w:rPr>
              <w:t>–16,394.0</w:t>
            </w:r>
          </w:p>
        </w:tc>
        <w:tc>
          <w:tcPr>
            <w:tcW w:w="0" w:type="auto"/>
            <w:tcBorders>
              <w:top w:val="single" w:sz="8" w:space="0" w:color="365F91"/>
              <w:bottom w:val="single" w:sz="8" w:space="0" w:color="365F91"/>
            </w:tcBorders>
            <w:shd w:val="clear" w:color="auto" w:fill="FFFFFF"/>
            <w:tcMar>
              <w:top w:w="0" w:type="dxa"/>
              <w:left w:w="108" w:type="dxa"/>
              <w:bottom w:w="0" w:type="dxa"/>
              <w:right w:w="108" w:type="dxa"/>
            </w:tcMar>
          </w:tcPr>
          <w:p w14:paraId="4ECF1E63" w14:textId="77777777" w:rsidR="00855935" w:rsidRPr="00BE78CA" w:rsidRDefault="00855935" w:rsidP="00975ADD">
            <w:pPr>
              <w:pStyle w:val="TableText"/>
              <w:spacing w:before="50" w:after="50"/>
              <w:jc w:val="right"/>
            </w:pPr>
            <w:r w:rsidRPr="00BE78CA">
              <w:rPr>
                <w:rFonts w:eastAsia="Calibri"/>
              </w:rPr>
              <w:t>–16,866.9</w:t>
            </w:r>
          </w:p>
        </w:tc>
        <w:tc>
          <w:tcPr>
            <w:tcW w:w="0" w:type="auto"/>
            <w:tcBorders>
              <w:top w:val="single" w:sz="8" w:space="0" w:color="365F91"/>
              <w:bottom w:val="single" w:sz="8" w:space="0" w:color="365F91"/>
            </w:tcBorders>
            <w:shd w:val="clear" w:color="auto" w:fill="FFFFFF"/>
            <w:tcMar>
              <w:top w:w="0" w:type="dxa"/>
              <w:left w:w="108" w:type="dxa"/>
              <w:bottom w:w="0" w:type="dxa"/>
              <w:right w:w="108" w:type="dxa"/>
            </w:tcMar>
          </w:tcPr>
          <w:p w14:paraId="7ACD97E6" w14:textId="77777777" w:rsidR="00855935" w:rsidRPr="00BE78CA" w:rsidRDefault="00855935" w:rsidP="00975ADD">
            <w:pPr>
              <w:pStyle w:val="TableText"/>
              <w:spacing w:before="50" w:after="50"/>
              <w:jc w:val="right"/>
            </w:pPr>
            <w:r w:rsidRPr="00BE78CA">
              <w:rPr>
                <w:rFonts w:eastAsia="Calibri"/>
              </w:rPr>
              <w:t>–18,509.3</w:t>
            </w:r>
          </w:p>
        </w:tc>
        <w:tc>
          <w:tcPr>
            <w:tcW w:w="0" w:type="auto"/>
            <w:tcBorders>
              <w:top w:val="single" w:sz="8" w:space="0" w:color="365F91"/>
              <w:bottom w:val="single" w:sz="8" w:space="0" w:color="365F91"/>
              <w:right w:val="single" w:sz="4" w:space="0" w:color="FFFFFF"/>
            </w:tcBorders>
            <w:shd w:val="clear" w:color="auto" w:fill="FFFFFF"/>
            <w:tcMar>
              <w:top w:w="0" w:type="dxa"/>
              <w:left w:w="108" w:type="dxa"/>
              <w:bottom w:w="0" w:type="dxa"/>
              <w:right w:w="108" w:type="dxa"/>
            </w:tcMar>
          </w:tcPr>
          <w:p w14:paraId="3C494DE3" w14:textId="77777777" w:rsidR="00855935" w:rsidRPr="00BE78CA" w:rsidRDefault="00855935" w:rsidP="00975ADD">
            <w:pPr>
              <w:pStyle w:val="TableText"/>
              <w:spacing w:before="50" w:after="50"/>
              <w:jc w:val="right"/>
            </w:pPr>
            <w:r w:rsidRPr="00BE78CA">
              <w:rPr>
                <w:rFonts w:eastAsia="Calibri"/>
              </w:rPr>
              <w:t>–20,665.3</w:t>
            </w:r>
          </w:p>
        </w:tc>
      </w:tr>
      <w:tr w:rsidR="00855935" w:rsidRPr="00BE78CA" w14:paraId="552261F5" w14:textId="77777777" w:rsidTr="008A2DB7">
        <w:trPr>
          <w:cantSplit/>
        </w:trPr>
        <w:tc>
          <w:tcPr>
            <w:tcW w:w="1198" w:type="pct"/>
            <w:tcBorders>
              <w:top w:val="single" w:sz="8" w:space="0" w:color="365F91"/>
              <w:left w:val="single" w:sz="4" w:space="0" w:color="FFFFFF"/>
              <w:bottom w:val="single" w:sz="8" w:space="0" w:color="365F91"/>
            </w:tcBorders>
            <w:shd w:val="clear" w:color="auto" w:fill="FFFFFF"/>
            <w:tcMar>
              <w:top w:w="0" w:type="dxa"/>
              <w:left w:w="108" w:type="dxa"/>
              <w:bottom w:w="0" w:type="dxa"/>
              <w:right w:w="108" w:type="dxa"/>
            </w:tcMar>
            <w:vAlign w:val="center"/>
          </w:tcPr>
          <w:p w14:paraId="56629E0B" w14:textId="77777777" w:rsidR="00855935" w:rsidRPr="00BE78CA" w:rsidRDefault="00855935" w:rsidP="00975ADD">
            <w:pPr>
              <w:pStyle w:val="Tableboldblue"/>
              <w:spacing w:before="50" w:after="50"/>
            </w:pPr>
            <w:r w:rsidRPr="00BE78CA">
              <w:rPr>
                <w:rFonts w:eastAsia="Calibri"/>
              </w:rPr>
              <w:t>Net emissions (kt CO</w:t>
            </w:r>
            <w:r w:rsidRPr="00BE78CA">
              <w:rPr>
                <w:rFonts w:eastAsia="Calibri"/>
                <w:vertAlign w:val="subscript"/>
              </w:rPr>
              <w:t>2</w:t>
            </w:r>
            <w:r w:rsidRPr="00BE78CA">
              <w:rPr>
                <w:rFonts w:eastAsia="Calibri"/>
              </w:rPr>
              <w:t>-e)</w:t>
            </w:r>
          </w:p>
        </w:tc>
        <w:tc>
          <w:tcPr>
            <w:tcW w:w="0" w:type="auto"/>
            <w:tcBorders>
              <w:top w:val="single" w:sz="8" w:space="0" w:color="365F91"/>
              <w:bottom w:val="single" w:sz="8" w:space="0" w:color="365F91"/>
            </w:tcBorders>
            <w:shd w:val="clear" w:color="auto" w:fill="FFFFFF"/>
            <w:tcMar>
              <w:top w:w="0" w:type="dxa"/>
              <w:left w:w="108" w:type="dxa"/>
              <w:bottom w:w="0" w:type="dxa"/>
              <w:right w:w="108" w:type="dxa"/>
            </w:tcMar>
          </w:tcPr>
          <w:p w14:paraId="2055DFFE" w14:textId="77777777" w:rsidR="00855935" w:rsidRPr="00BE78CA" w:rsidRDefault="00855935" w:rsidP="00975ADD">
            <w:pPr>
              <w:pStyle w:val="Tableboldblue"/>
              <w:spacing w:before="50" w:after="50"/>
            </w:pPr>
            <w:r w:rsidRPr="00BE78CA">
              <w:rPr>
                <w:rFonts w:eastAsia="Calibri"/>
              </w:rPr>
              <w:t>–30,979.9</w:t>
            </w:r>
          </w:p>
        </w:tc>
        <w:tc>
          <w:tcPr>
            <w:tcW w:w="0" w:type="auto"/>
            <w:tcBorders>
              <w:top w:val="single" w:sz="8" w:space="0" w:color="365F91"/>
              <w:bottom w:val="single" w:sz="8" w:space="0" w:color="365F91"/>
            </w:tcBorders>
            <w:shd w:val="clear" w:color="auto" w:fill="FFFFFF"/>
            <w:tcMar>
              <w:top w:w="0" w:type="dxa"/>
              <w:left w:w="108" w:type="dxa"/>
              <w:bottom w:w="0" w:type="dxa"/>
              <w:right w:w="108" w:type="dxa"/>
            </w:tcMar>
          </w:tcPr>
          <w:p w14:paraId="197EDE81" w14:textId="77777777" w:rsidR="00855935" w:rsidRPr="00BE78CA" w:rsidRDefault="00855935" w:rsidP="00975ADD">
            <w:pPr>
              <w:pStyle w:val="Tableboldblue"/>
              <w:spacing w:before="50" w:after="50"/>
            </w:pPr>
            <w:r w:rsidRPr="00BE78CA">
              <w:rPr>
                <w:rFonts w:eastAsia="Calibri"/>
              </w:rPr>
              <w:t>–33,058.4</w:t>
            </w:r>
          </w:p>
        </w:tc>
        <w:tc>
          <w:tcPr>
            <w:tcW w:w="0" w:type="auto"/>
            <w:tcBorders>
              <w:top w:val="single" w:sz="8" w:space="0" w:color="365F91"/>
              <w:bottom w:val="single" w:sz="8" w:space="0" w:color="365F91"/>
            </w:tcBorders>
            <w:shd w:val="clear" w:color="auto" w:fill="FFFFFF"/>
            <w:tcMar>
              <w:top w:w="0" w:type="dxa"/>
              <w:left w:w="108" w:type="dxa"/>
              <w:bottom w:w="0" w:type="dxa"/>
              <w:right w:w="108" w:type="dxa"/>
            </w:tcMar>
          </w:tcPr>
          <w:p w14:paraId="332ABC6D" w14:textId="77777777" w:rsidR="00855935" w:rsidRPr="00BE78CA" w:rsidRDefault="00855935" w:rsidP="00975ADD">
            <w:pPr>
              <w:pStyle w:val="Tableboldblue"/>
              <w:spacing w:before="50" w:after="50"/>
            </w:pPr>
            <w:r w:rsidRPr="00BE78CA">
              <w:rPr>
                <w:rFonts w:eastAsia="Calibri"/>
              </w:rPr>
              <w:t>–34,065.3</w:t>
            </w:r>
          </w:p>
        </w:tc>
        <w:tc>
          <w:tcPr>
            <w:tcW w:w="0" w:type="auto"/>
            <w:tcBorders>
              <w:top w:val="single" w:sz="8" w:space="0" w:color="365F91"/>
              <w:bottom w:val="single" w:sz="8" w:space="0" w:color="365F91"/>
            </w:tcBorders>
            <w:shd w:val="clear" w:color="auto" w:fill="FFFFFF"/>
            <w:tcMar>
              <w:top w:w="0" w:type="dxa"/>
              <w:left w:w="108" w:type="dxa"/>
              <w:bottom w:w="0" w:type="dxa"/>
              <w:right w:w="108" w:type="dxa"/>
            </w:tcMar>
          </w:tcPr>
          <w:p w14:paraId="098B78F8" w14:textId="77777777" w:rsidR="00855935" w:rsidRPr="00BE78CA" w:rsidRDefault="00855935" w:rsidP="00975ADD">
            <w:pPr>
              <w:pStyle w:val="Tableboldblue"/>
              <w:spacing w:before="50" w:after="50"/>
            </w:pPr>
            <w:r w:rsidRPr="00BE78CA">
              <w:rPr>
                <w:rFonts w:eastAsia="Calibri"/>
              </w:rPr>
              <w:t>–32,551.7</w:t>
            </w:r>
          </w:p>
        </w:tc>
        <w:tc>
          <w:tcPr>
            <w:tcW w:w="0" w:type="auto"/>
            <w:tcBorders>
              <w:top w:val="single" w:sz="8" w:space="0" w:color="365F91"/>
              <w:bottom w:val="single" w:sz="8" w:space="0" w:color="365F91"/>
            </w:tcBorders>
            <w:shd w:val="clear" w:color="auto" w:fill="FFFFFF"/>
            <w:tcMar>
              <w:top w:w="0" w:type="dxa"/>
              <w:left w:w="108" w:type="dxa"/>
              <w:bottom w:w="0" w:type="dxa"/>
              <w:right w:w="108" w:type="dxa"/>
            </w:tcMar>
          </w:tcPr>
          <w:p w14:paraId="46AC6DA1" w14:textId="77777777" w:rsidR="00855935" w:rsidRPr="00BE78CA" w:rsidRDefault="00855935" w:rsidP="00975ADD">
            <w:pPr>
              <w:pStyle w:val="Tableboldblue"/>
              <w:spacing w:before="50" w:after="50"/>
            </w:pPr>
            <w:r w:rsidRPr="00BE78CA">
              <w:rPr>
                <w:rFonts w:eastAsia="Calibri"/>
              </w:rPr>
              <w:t>–33,127.6</w:t>
            </w:r>
          </w:p>
        </w:tc>
        <w:tc>
          <w:tcPr>
            <w:tcW w:w="0" w:type="auto"/>
            <w:tcBorders>
              <w:top w:val="single" w:sz="8" w:space="0" w:color="365F91"/>
              <w:bottom w:val="single" w:sz="8" w:space="0" w:color="365F91"/>
            </w:tcBorders>
            <w:shd w:val="clear" w:color="auto" w:fill="FFFFFF"/>
            <w:tcMar>
              <w:top w:w="0" w:type="dxa"/>
              <w:left w:w="108" w:type="dxa"/>
              <w:bottom w:w="0" w:type="dxa"/>
              <w:right w:w="108" w:type="dxa"/>
            </w:tcMar>
          </w:tcPr>
          <w:p w14:paraId="5FF6816B" w14:textId="77777777" w:rsidR="00855935" w:rsidRPr="00BE78CA" w:rsidRDefault="00855935" w:rsidP="00975ADD">
            <w:pPr>
              <w:pStyle w:val="Tableboldblue"/>
              <w:spacing w:before="50" w:after="50"/>
            </w:pPr>
            <w:r w:rsidRPr="00BE78CA">
              <w:rPr>
                <w:rFonts w:eastAsia="Calibri"/>
              </w:rPr>
              <w:t>–33,437.0</w:t>
            </w:r>
          </w:p>
        </w:tc>
        <w:tc>
          <w:tcPr>
            <w:tcW w:w="0" w:type="auto"/>
            <w:tcBorders>
              <w:top w:val="single" w:sz="8" w:space="0" w:color="365F91"/>
              <w:bottom w:val="single" w:sz="8" w:space="0" w:color="365F91"/>
              <w:right w:val="single" w:sz="4" w:space="0" w:color="FFFFFF"/>
            </w:tcBorders>
            <w:shd w:val="clear" w:color="auto" w:fill="FFFFFF"/>
            <w:tcMar>
              <w:top w:w="0" w:type="dxa"/>
              <w:left w:w="108" w:type="dxa"/>
              <w:bottom w:w="0" w:type="dxa"/>
              <w:right w:w="108" w:type="dxa"/>
            </w:tcMar>
          </w:tcPr>
          <w:p w14:paraId="0ECFCE1A" w14:textId="77777777" w:rsidR="00855935" w:rsidRPr="00BE78CA" w:rsidRDefault="00855935" w:rsidP="00975ADD">
            <w:pPr>
              <w:pStyle w:val="Tableboldblue"/>
              <w:spacing w:before="50" w:after="50"/>
            </w:pPr>
            <w:r w:rsidRPr="00BE78CA">
              <w:rPr>
                <w:rFonts w:eastAsia="Calibri"/>
              </w:rPr>
              <w:t>–33,570.7</w:t>
            </w:r>
          </w:p>
        </w:tc>
      </w:tr>
      <w:tr w:rsidR="00855935" w:rsidRPr="00BE78CA" w14:paraId="466452FA" w14:textId="77777777" w:rsidTr="008A2DB7">
        <w:trPr>
          <w:cantSplit/>
        </w:trPr>
        <w:tc>
          <w:tcPr>
            <w:tcW w:w="1198" w:type="pct"/>
            <w:tcBorders>
              <w:top w:val="single" w:sz="8" w:space="0" w:color="365F91"/>
              <w:left w:val="single" w:sz="4" w:space="0" w:color="FFFFFF"/>
              <w:bottom w:val="single" w:sz="4" w:space="0" w:color="365F91"/>
            </w:tcBorders>
            <w:shd w:val="clear" w:color="auto" w:fill="FFFFFF"/>
            <w:tcMar>
              <w:top w:w="0" w:type="dxa"/>
              <w:left w:w="108" w:type="dxa"/>
              <w:bottom w:w="0" w:type="dxa"/>
              <w:right w:w="108" w:type="dxa"/>
            </w:tcMar>
            <w:vAlign w:val="center"/>
          </w:tcPr>
          <w:p w14:paraId="2314DBC8" w14:textId="77777777" w:rsidR="00855935" w:rsidRPr="00BE78CA" w:rsidRDefault="00855935" w:rsidP="00975ADD">
            <w:pPr>
              <w:pStyle w:val="Tableboldblue"/>
              <w:spacing w:before="50" w:after="50"/>
            </w:pPr>
            <w:r w:rsidRPr="00BE78CA">
              <w:rPr>
                <w:rFonts w:eastAsia="Calibri"/>
              </w:rPr>
              <w:t>Accounting quantity (kt CO</w:t>
            </w:r>
            <w:r w:rsidRPr="00BE78CA">
              <w:rPr>
                <w:rFonts w:eastAsia="Calibri"/>
                <w:vertAlign w:val="subscript"/>
              </w:rPr>
              <w:t>2</w:t>
            </w:r>
            <w:r w:rsidRPr="00BE78CA">
              <w:rPr>
                <w:rFonts w:eastAsia="Calibri"/>
              </w:rPr>
              <w:noBreakHyphen/>
              <w:t>e)</w:t>
            </w:r>
          </w:p>
        </w:tc>
        <w:tc>
          <w:tcPr>
            <w:tcW w:w="0" w:type="auto"/>
            <w:tcBorders>
              <w:top w:val="single" w:sz="8" w:space="0" w:color="365F91"/>
              <w:bottom w:val="single" w:sz="4" w:space="0" w:color="365F91"/>
            </w:tcBorders>
            <w:shd w:val="clear" w:color="auto" w:fill="FFFFFF"/>
            <w:tcMar>
              <w:top w:w="0" w:type="dxa"/>
              <w:left w:w="108" w:type="dxa"/>
              <w:bottom w:w="0" w:type="dxa"/>
              <w:right w:w="108" w:type="dxa"/>
            </w:tcMar>
          </w:tcPr>
          <w:p w14:paraId="72405115" w14:textId="77777777" w:rsidR="00855935" w:rsidRPr="00BE78CA" w:rsidRDefault="00855935" w:rsidP="00975ADD">
            <w:pPr>
              <w:pStyle w:val="Tableboldblue"/>
              <w:spacing w:before="50" w:after="50"/>
            </w:pPr>
            <w:r w:rsidRPr="00BE78CA">
              <w:rPr>
                <w:rFonts w:eastAsia="Calibri"/>
              </w:rPr>
              <w:t>–9,444.9</w:t>
            </w:r>
          </w:p>
        </w:tc>
        <w:tc>
          <w:tcPr>
            <w:tcW w:w="0" w:type="auto"/>
            <w:tcBorders>
              <w:top w:val="single" w:sz="8" w:space="0" w:color="365F91"/>
              <w:bottom w:val="single" w:sz="4" w:space="0" w:color="365F91"/>
            </w:tcBorders>
            <w:shd w:val="clear" w:color="auto" w:fill="FFFFFF"/>
            <w:tcMar>
              <w:top w:w="0" w:type="dxa"/>
              <w:left w:w="108" w:type="dxa"/>
              <w:bottom w:w="0" w:type="dxa"/>
              <w:right w:w="108" w:type="dxa"/>
            </w:tcMar>
          </w:tcPr>
          <w:p w14:paraId="28739322" w14:textId="77777777" w:rsidR="00855935" w:rsidRPr="00BE78CA" w:rsidRDefault="00855935" w:rsidP="00975ADD">
            <w:pPr>
              <w:pStyle w:val="Tableboldblue"/>
              <w:spacing w:before="50" w:after="50"/>
            </w:pPr>
            <w:r w:rsidRPr="00BE78CA">
              <w:rPr>
                <w:rFonts w:eastAsia="Calibri"/>
              </w:rPr>
              <w:t>–12,772.0</w:t>
            </w:r>
          </w:p>
        </w:tc>
        <w:tc>
          <w:tcPr>
            <w:tcW w:w="0" w:type="auto"/>
            <w:tcBorders>
              <w:top w:val="single" w:sz="8" w:space="0" w:color="365F91"/>
              <w:bottom w:val="single" w:sz="4" w:space="0" w:color="365F91"/>
            </w:tcBorders>
            <w:shd w:val="clear" w:color="auto" w:fill="FFFFFF"/>
            <w:tcMar>
              <w:top w:w="0" w:type="dxa"/>
              <w:left w:w="108" w:type="dxa"/>
              <w:bottom w:w="0" w:type="dxa"/>
              <w:right w:w="108" w:type="dxa"/>
            </w:tcMar>
          </w:tcPr>
          <w:p w14:paraId="74E0469B" w14:textId="77777777" w:rsidR="00855935" w:rsidRPr="00BE78CA" w:rsidRDefault="00855935" w:rsidP="00975ADD">
            <w:pPr>
              <w:pStyle w:val="Tableboldblue"/>
              <w:spacing w:before="50" w:after="50"/>
            </w:pPr>
            <w:r w:rsidRPr="00BE78CA">
              <w:rPr>
                <w:rFonts w:eastAsia="Calibri"/>
              </w:rPr>
              <w:t>–14,876.2</w:t>
            </w:r>
          </w:p>
        </w:tc>
        <w:tc>
          <w:tcPr>
            <w:tcW w:w="0" w:type="auto"/>
            <w:tcBorders>
              <w:top w:val="single" w:sz="8" w:space="0" w:color="365F91"/>
              <w:bottom w:val="single" w:sz="4" w:space="0" w:color="365F91"/>
            </w:tcBorders>
            <w:shd w:val="clear" w:color="auto" w:fill="FFFFFF"/>
            <w:tcMar>
              <w:top w:w="0" w:type="dxa"/>
              <w:left w:w="108" w:type="dxa"/>
              <w:bottom w:w="0" w:type="dxa"/>
              <w:right w:w="108" w:type="dxa"/>
            </w:tcMar>
          </w:tcPr>
          <w:p w14:paraId="5B019E8B" w14:textId="77777777" w:rsidR="00855935" w:rsidRPr="00BE78CA" w:rsidRDefault="00855935" w:rsidP="00975ADD">
            <w:pPr>
              <w:pStyle w:val="Tableboldblue"/>
              <w:spacing w:before="50" w:after="50"/>
            </w:pPr>
            <w:r w:rsidRPr="00BE78CA">
              <w:rPr>
                <w:rFonts w:eastAsia="Calibri"/>
              </w:rPr>
              <w:t>–16,157.7</w:t>
            </w:r>
          </w:p>
        </w:tc>
        <w:tc>
          <w:tcPr>
            <w:tcW w:w="0" w:type="auto"/>
            <w:tcBorders>
              <w:top w:val="single" w:sz="8" w:space="0" w:color="365F91"/>
              <w:bottom w:val="single" w:sz="4" w:space="0" w:color="365F91"/>
            </w:tcBorders>
            <w:shd w:val="clear" w:color="auto" w:fill="FFFFFF"/>
            <w:tcMar>
              <w:top w:w="0" w:type="dxa"/>
              <w:left w:w="108" w:type="dxa"/>
              <w:bottom w:w="0" w:type="dxa"/>
              <w:right w:w="108" w:type="dxa"/>
            </w:tcMar>
          </w:tcPr>
          <w:p w14:paraId="682C2C9C" w14:textId="77777777" w:rsidR="00855935" w:rsidRPr="00BE78CA" w:rsidRDefault="00855935" w:rsidP="00975ADD">
            <w:pPr>
              <w:pStyle w:val="Tableboldblue"/>
              <w:spacing w:before="50" w:after="50"/>
            </w:pPr>
            <w:r w:rsidRPr="00BE78CA">
              <w:rPr>
                <w:rFonts w:eastAsia="Calibri"/>
              </w:rPr>
              <w:t>–16,260.7</w:t>
            </w:r>
          </w:p>
        </w:tc>
        <w:tc>
          <w:tcPr>
            <w:tcW w:w="0" w:type="auto"/>
            <w:tcBorders>
              <w:top w:val="single" w:sz="8" w:space="0" w:color="365F91"/>
              <w:bottom w:val="single" w:sz="4" w:space="0" w:color="365F91"/>
            </w:tcBorders>
            <w:shd w:val="clear" w:color="auto" w:fill="FFFFFF"/>
            <w:tcMar>
              <w:top w:w="0" w:type="dxa"/>
              <w:left w:w="108" w:type="dxa"/>
              <w:bottom w:w="0" w:type="dxa"/>
              <w:right w:w="108" w:type="dxa"/>
            </w:tcMar>
          </w:tcPr>
          <w:p w14:paraId="01B84F04" w14:textId="77777777" w:rsidR="00855935" w:rsidRPr="00BE78CA" w:rsidRDefault="00855935" w:rsidP="00975ADD">
            <w:pPr>
              <w:pStyle w:val="Tableboldblue"/>
              <w:spacing w:before="50" w:after="50"/>
            </w:pPr>
            <w:r w:rsidRPr="00BE78CA">
              <w:rPr>
                <w:rFonts w:eastAsia="Calibri"/>
              </w:rPr>
              <w:t>–14,927.7</w:t>
            </w:r>
          </w:p>
        </w:tc>
        <w:tc>
          <w:tcPr>
            <w:tcW w:w="0" w:type="auto"/>
            <w:tcBorders>
              <w:top w:val="single" w:sz="8" w:space="0" w:color="365F91"/>
              <w:bottom w:val="single" w:sz="4" w:space="0" w:color="365F91"/>
              <w:right w:val="single" w:sz="4" w:space="0" w:color="FFFFFF"/>
            </w:tcBorders>
            <w:shd w:val="clear" w:color="auto" w:fill="FFFFFF"/>
            <w:tcMar>
              <w:top w:w="0" w:type="dxa"/>
              <w:left w:w="108" w:type="dxa"/>
              <w:bottom w:w="0" w:type="dxa"/>
              <w:right w:w="108" w:type="dxa"/>
            </w:tcMar>
          </w:tcPr>
          <w:p w14:paraId="16BC06FA" w14:textId="77777777" w:rsidR="00855935" w:rsidRPr="00BE78CA" w:rsidRDefault="00855935" w:rsidP="00975ADD">
            <w:pPr>
              <w:pStyle w:val="Tableboldblue"/>
              <w:spacing w:before="50" w:after="50"/>
            </w:pPr>
            <w:r w:rsidRPr="00BE78CA">
              <w:rPr>
                <w:rFonts w:eastAsia="Calibri"/>
              </w:rPr>
              <w:t>–12,905.4</w:t>
            </w:r>
          </w:p>
        </w:tc>
      </w:tr>
    </w:tbl>
    <w:p w14:paraId="11D02D78" w14:textId="77777777" w:rsidR="00855935" w:rsidRPr="00BE78CA" w:rsidRDefault="00855935" w:rsidP="00975ADD">
      <w:pPr>
        <w:pStyle w:val="Noteundertable"/>
        <w:spacing w:after="0"/>
      </w:pPr>
      <w:r w:rsidRPr="00BE78CA">
        <w:rPr>
          <w:b/>
        </w:rPr>
        <w:t>Note:</w:t>
      </w:r>
      <w:r w:rsidRPr="00BE78CA">
        <w:t xml:space="preserve"> </w:t>
      </w:r>
      <w:r w:rsidRPr="00BE78CA">
        <w:tab/>
        <w:t xml:space="preserve">All figures for 2017, 2018 and 2019 in this table are provisional. The accounting quantity excludes net emissions from </w:t>
      </w:r>
      <w:r w:rsidRPr="00BE78CA">
        <w:rPr>
          <w:i/>
          <w:iCs/>
        </w:rPr>
        <w:t>Forest management</w:t>
      </w:r>
      <w:r w:rsidRPr="00BE78CA">
        <w:t xml:space="preserve"> because these will be accounted for against a forest management reference level at the end of the 2020 year and a cap will apply; further information on this is included in chapter 11, section 11.3.4. Removals are expressed as a negative value as per section 2.2.3 of the 2006 IPCC Guidelines (IPCC, 2006). Afforestation and reforestation refers to new forest established since 31 December 1989. Columns may not total due to rounding.</w:t>
      </w:r>
    </w:p>
    <w:p w14:paraId="7A6D169A" w14:textId="596EC345" w:rsidR="00855935" w:rsidRPr="00BE78CA" w:rsidRDefault="00855935" w:rsidP="00855935">
      <w:pPr>
        <w:pStyle w:val="Heading2"/>
      </w:pPr>
      <w:bookmarkStart w:id="72" w:name="es.6-improvements-introduced"/>
      <w:bookmarkStart w:id="73" w:name="_Toc68786284"/>
      <w:r w:rsidRPr="00BE78CA">
        <w:t xml:space="preserve">ES.6 </w:t>
      </w:r>
      <w:r w:rsidR="007303AE" w:rsidRPr="00BE78CA">
        <w:tab/>
      </w:r>
      <w:r w:rsidRPr="00BE78CA">
        <w:t>Improvements introduced</w:t>
      </w:r>
      <w:bookmarkEnd w:id="72"/>
      <w:bookmarkEnd w:id="73"/>
    </w:p>
    <w:p w14:paraId="4609131F" w14:textId="77777777" w:rsidR="00855935" w:rsidRPr="00BE78CA" w:rsidRDefault="00855935" w:rsidP="00855935">
      <w:pPr>
        <w:pStyle w:val="BodyText"/>
      </w:pPr>
      <w:r w:rsidRPr="00BE78CA">
        <w:t>The inventory follows a process of continuous improvement as per the Convention principles. A range of improvements have been made to the inventory since the last submission. Improvements are made from year to year, to follow recommendations from international expert review teams, correct errors and implement additional changes planned by the agencies involved in preparing the inventory.</w:t>
      </w:r>
    </w:p>
    <w:p w14:paraId="652F6BCB" w14:textId="77777777" w:rsidR="00855935" w:rsidRPr="00BE78CA" w:rsidRDefault="00855935" w:rsidP="00855935">
      <w:pPr>
        <w:pStyle w:val="BodyText"/>
      </w:pPr>
      <w:r w:rsidRPr="00BE78CA">
        <w:t xml:space="preserve">When improvements are made, it is good practice to recalculate the whole time series from </w:t>
      </w:r>
      <w:r w:rsidRPr="00BE78CA">
        <w:rPr>
          <w:bCs/>
        </w:rPr>
        <w:t>1990</w:t>
      </w:r>
      <w:r w:rsidRPr="00BE78CA">
        <w:t xml:space="preserve"> to the current inventory year to ensure a consistent time series. This means estimates of emissions and/or removals in a given year may differ from emissions and/or removals reported in the previous inventory submission.</w:t>
      </w:r>
    </w:p>
    <w:p w14:paraId="67473B49" w14:textId="77777777" w:rsidR="00855935" w:rsidRPr="00BE78CA" w:rsidRDefault="00855935" w:rsidP="00855935">
      <w:pPr>
        <w:pStyle w:val="BodyText"/>
      </w:pPr>
      <w:r w:rsidRPr="00BE78CA">
        <w:t>The main improvements by sector are outlined below. Chapter 10 provides information on all recalculations made to the estimates.</w:t>
      </w:r>
    </w:p>
    <w:p w14:paraId="32BA58FB" w14:textId="77777777" w:rsidR="00855935" w:rsidRPr="00BE78CA" w:rsidRDefault="00855935" w:rsidP="00855935">
      <w:pPr>
        <w:pStyle w:val="Heading4"/>
      </w:pPr>
      <w:bookmarkStart w:id="74" w:name="energy-chapter-3-1"/>
      <w:r w:rsidRPr="00BE78CA">
        <w:lastRenderedPageBreak/>
        <w:t>Energy (chapter 3)</w:t>
      </w:r>
      <w:bookmarkEnd w:id="74"/>
    </w:p>
    <w:p w14:paraId="31F45985" w14:textId="77777777" w:rsidR="00855935" w:rsidRPr="00BE78CA" w:rsidRDefault="00855935" w:rsidP="00855935">
      <w:pPr>
        <w:pStyle w:val="BodyText"/>
      </w:pPr>
      <w:r w:rsidRPr="00BE78CA">
        <w:t>A number of improvements have been introduced for the 2021 inventory submission. Some were made in response to expert review team recommendations and involve the use of more disaggregated data or reallocation of emissions. Details on these improvements are presented in chapter 10. Other improvements in accuracy have resulted from the standard revision of activity data. Energy activity data for the years 1990 to 2018 have been updated according to the latest energy statistics published by the Ministry of Business, Innovation and Employment (Ministry of Business, Innovation and Employment, 2020).</w:t>
      </w:r>
    </w:p>
    <w:p w14:paraId="061B0FF9" w14:textId="0E90A4EC" w:rsidR="00855935" w:rsidRPr="00BE78CA" w:rsidRDefault="00855935" w:rsidP="00855935">
      <w:pPr>
        <w:pStyle w:val="BodyText"/>
      </w:pPr>
      <w:r w:rsidRPr="00BE78CA">
        <w:t>Projects to implement further improvements for the reference approach and sectoral approach are ongoing. A project to streamline, simplify and de-bottleneck the GHG reporting data system is nearly halfway complete. Key milestones have already been reached whereby several upstream data systems, including the energy balance tables, have been translated into</w:t>
      </w:r>
      <w:r w:rsidR="00975ADD" w:rsidRPr="00BE78CA">
        <w:t> </w:t>
      </w:r>
      <w:r w:rsidRPr="00BE78CA">
        <w:t>the R programming language. This work at the same time also reviews calculation methodologies and identifies any inconsistencies that may lead to potential improvements and</w:t>
      </w:r>
      <w:r w:rsidR="00EF2CF2" w:rsidRPr="00BE78CA">
        <w:t> </w:t>
      </w:r>
      <w:r w:rsidRPr="00BE78CA">
        <w:t>revisions. Furthermore, work is well under way in constructing a new comprehensive fuel</w:t>
      </w:r>
      <w:r w:rsidR="00EF2CF2" w:rsidRPr="00BE78CA">
        <w:t> </w:t>
      </w:r>
      <w:r w:rsidRPr="00BE78CA">
        <w:t>properties data management system. A progress report will be included in the 2022 submission. All source-specific planned improvements are discussed in their corresponding sections in chapter 3.</w:t>
      </w:r>
    </w:p>
    <w:p w14:paraId="57406FF7" w14:textId="77777777" w:rsidR="00855935" w:rsidRPr="00BE78CA" w:rsidRDefault="00855935" w:rsidP="00855935">
      <w:pPr>
        <w:pStyle w:val="BodyText"/>
      </w:pPr>
      <w:r w:rsidRPr="00BE78CA">
        <w:t>Changes to activity data in the Energy sector have resulted in a 0.1 per cent (33.8 kt CO</w:t>
      </w:r>
      <w:r w:rsidRPr="00BE78CA">
        <w:rPr>
          <w:vertAlign w:val="subscript"/>
        </w:rPr>
        <w:t>2</w:t>
      </w:r>
      <w:r w:rsidRPr="00BE78CA">
        <w:t>-e) decrease in energy emissions in 1990 and a 1.9 per cent (605.8 kt CO</w:t>
      </w:r>
      <w:r w:rsidRPr="00BE78CA">
        <w:rPr>
          <w:vertAlign w:val="subscript"/>
        </w:rPr>
        <w:t>2</w:t>
      </w:r>
      <w:r w:rsidRPr="00BE78CA">
        <w:t>-e) increase in energy emissions in 2018.</w:t>
      </w:r>
    </w:p>
    <w:p w14:paraId="5E142C86" w14:textId="77777777" w:rsidR="00855935" w:rsidRPr="00BE78CA" w:rsidRDefault="00855935" w:rsidP="00855935">
      <w:pPr>
        <w:pStyle w:val="Heading4"/>
      </w:pPr>
      <w:bookmarkStart w:id="75" w:name="ippu-chapter-4-1"/>
      <w:r w:rsidRPr="00BE78CA">
        <w:t>IPPU (chapter 4)</w:t>
      </w:r>
      <w:bookmarkEnd w:id="75"/>
    </w:p>
    <w:p w14:paraId="46FCE9B2" w14:textId="32C159C6" w:rsidR="00855935" w:rsidRPr="00BE78CA" w:rsidRDefault="00855935" w:rsidP="00855935">
      <w:pPr>
        <w:pStyle w:val="BodyText"/>
      </w:pPr>
      <w:r w:rsidRPr="00BE78CA">
        <w:t>For this submission, the model used to calculate emissions from mobile air conditioning has</w:t>
      </w:r>
      <w:r w:rsidR="00EF2CF2" w:rsidRPr="00BE78CA">
        <w:t> </w:t>
      </w:r>
      <w:r w:rsidRPr="00BE78CA">
        <w:t xml:space="preserve">been improved, to better reflect changes in the vehicle fleet. Activity data have been recalculated in the </w:t>
      </w:r>
      <w:r w:rsidRPr="00BE78CA">
        <w:rPr>
          <w:i/>
        </w:rPr>
        <w:t>Lime production</w:t>
      </w:r>
      <w:r w:rsidRPr="00BE78CA">
        <w:t xml:space="preserve"> category, but with no effect on emissions.</w:t>
      </w:r>
    </w:p>
    <w:p w14:paraId="6F9E2369" w14:textId="77777777" w:rsidR="00855935" w:rsidRPr="00BE78CA" w:rsidRDefault="00855935" w:rsidP="00855935">
      <w:pPr>
        <w:pStyle w:val="BodyText"/>
      </w:pPr>
      <w:r w:rsidRPr="00BE78CA">
        <w:t>Section 4.1.7 in chapter 4 contains more details about improvements and recalculations for the IPPU sector.</w:t>
      </w:r>
    </w:p>
    <w:p w14:paraId="20C15381" w14:textId="77777777" w:rsidR="00855935" w:rsidRPr="00BE78CA" w:rsidRDefault="00855935" w:rsidP="00855935">
      <w:pPr>
        <w:pStyle w:val="BodyText"/>
      </w:pPr>
      <w:r w:rsidRPr="00BE78CA">
        <w:t>Improvements and recalculations made in the IPPU sector have resulted in no change for 1990 and a 0.6 per cent increase in emissions for 2018 (28.8 kt CO</w:t>
      </w:r>
      <w:r w:rsidRPr="00BE78CA">
        <w:rPr>
          <w:vertAlign w:val="subscript"/>
        </w:rPr>
        <w:t>2</w:t>
      </w:r>
      <w:r w:rsidRPr="00BE78CA">
        <w:t>-e).</w:t>
      </w:r>
    </w:p>
    <w:p w14:paraId="33AD461E" w14:textId="77777777" w:rsidR="00855935" w:rsidRPr="00BE78CA" w:rsidRDefault="00855935" w:rsidP="00855935">
      <w:pPr>
        <w:pStyle w:val="Heading4"/>
      </w:pPr>
      <w:bookmarkStart w:id="76" w:name="agriculture-chapter-5-1"/>
      <w:r w:rsidRPr="00BE78CA">
        <w:t>Agriculture (chapter 5)</w:t>
      </w:r>
      <w:bookmarkEnd w:id="76"/>
    </w:p>
    <w:p w14:paraId="1967C6F7" w14:textId="77777777" w:rsidR="00855935" w:rsidRPr="00BE78CA" w:rsidRDefault="00855935" w:rsidP="00855935">
      <w:pPr>
        <w:pStyle w:val="BodyText"/>
      </w:pPr>
      <w:r w:rsidRPr="00BE78CA">
        <w:t>New Zealand has made the following improvements and corrections to the Agriculture sector:</w:t>
      </w:r>
    </w:p>
    <w:p w14:paraId="3D48B1F2" w14:textId="4654E677" w:rsidR="00855935" w:rsidRPr="00BE78CA" w:rsidRDefault="00855935" w:rsidP="00855935">
      <w:pPr>
        <w:pStyle w:val="Bullet"/>
      </w:pPr>
      <w:r w:rsidRPr="00BE78CA">
        <w:t>use of a revised set of figures on the metabolisable energy content,</w:t>
      </w:r>
      <w:r w:rsidRPr="00BE78CA">
        <w:rPr>
          <w:rStyle w:val="FootnoteReference"/>
        </w:rPr>
        <w:footnoteReference w:id="7"/>
      </w:r>
      <w:r w:rsidRPr="00BE78CA">
        <w:t xml:space="preserve"> nitrogen content and</w:t>
      </w:r>
      <w:r w:rsidR="00EF2CF2" w:rsidRPr="00BE78CA">
        <w:t> </w:t>
      </w:r>
      <w:r w:rsidRPr="00BE78CA">
        <w:t>digestibility of pasture for the entire time series (</w:t>
      </w:r>
      <w:r w:rsidRPr="00BE78CA">
        <w:rPr>
          <w:bCs/>
        </w:rPr>
        <w:t>1990–2019). Further detail on this improvement can be found in chapter 5, section 5.5.5, chapter 10,</w:t>
      </w:r>
      <w:r w:rsidRPr="00BE78CA">
        <w:t xml:space="preserve"> section 10.1.3, and annex 3</w:t>
      </w:r>
    </w:p>
    <w:p w14:paraId="28DF5DF1" w14:textId="052C9BA0" w:rsidR="00855935" w:rsidRPr="00BE78CA" w:rsidRDefault="00855935" w:rsidP="00855935">
      <w:pPr>
        <w:pStyle w:val="Bullet"/>
      </w:pPr>
      <w:r w:rsidRPr="00BE78CA">
        <w:t>use of a new set of figures for the area of managed organic soils, which is consistent with</w:t>
      </w:r>
      <w:r w:rsidR="00EF2CF2" w:rsidRPr="00BE78CA">
        <w:t> </w:t>
      </w:r>
      <w:r w:rsidRPr="00BE78CA">
        <w:t xml:space="preserve">the area of organic soils in </w:t>
      </w:r>
      <w:r w:rsidRPr="00BE78CA">
        <w:rPr>
          <w:i/>
        </w:rPr>
        <w:t>Cropland</w:t>
      </w:r>
      <w:r w:rsidRPr="00BE78CA">
        <w:t xml:space="preserve"> and </w:t>
      </w:r>
      <w:r w:rsidRPr="00BE78CA">
        <w:rPr>
          <w:i/>
        </w:rPr>
        <w:t>Grassland</w:t>
      </w:r>
      <w:r w:rsidRPr="00BE78CA">
        <w:t xml:space="preserve"> reported in chapter 6 (LULUCF). Further detail on this improvement can be found in chapter 5, section 5.5.5, chapter 10, section 10.1.3 and annex 3.</w:t>
      </w:r>
    </w:p>
    <w:p w14:paraId="1C23B5E7" w14:textId="77777777" w:rsidR="00855935" w:rsidRPr="00BE78CA" w:rsidRDefault="00855935" w:rsidP="00855935">
      <w:pPr>
        <w:pStyle w:val="BodyText"/>
      </w:pPr>
      <w:r w:rsidRPr="00BE78CA">
        <w:lastRenderedPageBreak/>
        <w:t xml:space="preserve">The </w:t>
      </w:r>
      <w:r w:rsidRPr="00BE78CA">
        <w:rPr>
          <w:bCs/>
        </w:rPr>
        <w:t>2021</w:t>
      </w:r>
      <w:r w:rsidRPr="00BE78CA">
        <w:t xml:space="preserve"> Agriculture inventory also includes a minor correction to the calculation of nitrogen excretion from sheep. This has now been corrected for the 2021 inventory submission. Further detail on this improvement can be found in chapter 5, section 5.5.5, chapter 10, section 10.1.3 and annex 3.</w:t>
      </w:r>
    </w:p>
    <w:p w14:paraId="2106201C" w14:textId="3B1F829C" w:rsidR="00855935" w:rsidRPr="00BE78CA" w:rsidRDefault="00855935" w:rsidP="00855935">
      <w:pPr>
        <w:pStyle w:val="BodyText"/>
      </w:pPr>
      <w:r w:rsidRPr="00BE78CA">
        <w:t>Improvements and recalculations made to the Agriculture sector in the 2021 inventory submission have resulted in a 5.2 percent (1,658.3 kt CO</w:t>
      </w:r>
      <w:r w:rsidRPr="00BE78CA">
        <w:rPr>
          <w:vertAlign w:val="subscript"/>
        </w:rPr>
        <w:t>2</w:t>
      </w:r>
      <w:r w:rsidRPr="00BE78CA">
        <w:t>-e) increase in estimated agricultural emissions in 1990 and a 4.7 percent (1,773.6 kt CO</w:t>
      </w:r>
      <w:r w:rsidRPr="00BE78CA">
        <w:rPr>
          <w:vertAlign w:val="subscript"/>
        </w:rPr>
        <w:t>2</w:t>
      </w:r>
      <w:r w:rsidRPr="00BE78CA">
        <w:t>-e) increase in agricultural emissions in</w:t>
      </w:r>
      <w:r w:rsidR="00255371" w:rsidRPr="00BE78CA">
        <w:t> </w:t>
      </w:r>
      <w:r w:rsidRPr="00BE78CA">
        <w:t>2018.</w:t>
      </w:r>
    </w:p>
    <w:p w14:paraId="030A86B3" w14:textId="77777777" w:rsidR="00855935" w:rsidRPr="00BE78CA" w:rsidRDefault="00855935" w:rsidP="00855935">
      <w:pPr>
        <w:pStyle w:val="Heading4"/>
      </w:pPr>
      <w:bookmarkStart w:id="77" w:name="lulucf-chapter-6-1"/>
      <w:r w:rsidRPr="00BE78CA">
        <w:t>LULUCF (chapter 6)</w:t>
      </w:r>
      <w:bookmarkEnd w:id="77"/>
    </w:p>
    <w:p w14:paraId="45DE412A" w14:textId="6C1717B5" w:rsidR="00855935" w:rsidRPr="00BE78CA" w:rsidRDefault="00855935" w:rsidP="00855935">
      <w:pPr>
        <w:pStyle w:val="BodyText"/>
      </w:pPr>
      <w:r w:rsidRPr="00BE78CA">
        <w:t>The main differences between this submission and estimates of New Zealand’s LULUCF net</w:t>
      </w:r>
      <w:r w:rsidR="005B6417" w:rsidRPr="00BE78CA">
        <w:t xml:space="preserve"> </w:t>
      </w:r>
      <w:r w:rsidRPr="00BE78CA">
        <w:t>removals reported in the previous inventory submission result from the following (in decreasing order of magnitude):</w:t>
      </w:r>
    </w:p>
    <w:p w14:paraId="7A76D4AE" w14:textId="77777777" w:rsidR="00855935" w:rsidRPr="00BE78CA" w:rsidRDefault="00855935" w:rsidP="00255371">
      <w:pPr>
        <w:pStyle w:val="Bullet"/>
      </w:pPr>
      <w:r w:rsidRPr="00BE78CA">
        <w:t>the pre-1990 planted forest yield table has been updated to improve accuracy. Previously, only one yield table was applied to all pre-1990 planted forest. However, due to improved genetics and management practices, a single yield table is not representative of the entire pre-1990 planted forest estate through time and multiple rotations. Therefore, in this submission, three period-specific yield tables have been applied. This results in significant changes to net removals through time. The improvement results in a decrease of removals of approximately 2,000 kt CO</w:t>
      </w:r>
      <w:r w:rsidRPr="00BE78CA">
        <w:rPr>
          <w:vertAlign w:val="subscript"/>
        </w:rPr>
        <w:t>2</w:t>
      </w:r>
      <w:r w:rsidRPr="00BE78CA">
        <w:t>-e in 1990 and an increase of removals of approximately 5,000 kt CO</w:t>
      </w:r>
      <w:r w:rsidRPr="00BE78CA">
        <w:rPr>
          <w:vertAlign w:val="subscript"/>
        </w:rPr>
        <w:t>2</w:t>
      </w:r>
      <w:r w:rsidRPr="00BE78CA">
        <w:t xml:space="preserve">-e in 2018, compared with the previous submission. More information on the use and justification of using multiple yield tables can be found in chapter 6, section 6.4.2, under </w:t>
      </w:r>
      <w:r w:rsidRPr="00BE78CA">
        <w:rPr>
          <w:i/>
        </w:rPr>
        <w:t>Forest land</w:t>
      </w:r>
    </w:p>
    <w:p w14:paraId="3BCA01AF" w14:textId="77777777" w:rsidR="00855935" w:rsidRPr="00BE78CA" w:rsidRDefault="00855935" w:rsidP="00855935">
      <w:pPr>
        <w:pStyle w:val="Bullet"/>
      </w:pPr>
      <w:r w:rsidRPr="00BE78CA">
        <w:t>improved mapping of wilding pines has led to the reclassification of approximately 20,000 hectares of forest previously classified as post-1989 planted forest to post-1989 natural forest</w:t>
      </w:r>
    </w:p>
    <w:p w14:paraId="4FAF74C2" w14:textId="77777777" w:rsidR="00855935" w:rsidRPr="00BE78CA" w:rsidRDefault="00855935" w:rsidP="00855935">
      <w:pPr>
        <w:pStyle w:val="Bullet"/>
      </w:pPr>
      <w:r w:rsidRPr="00BE78CA">
        <w:t>the harvest age profile of the post-1989 planted forest estate has been improved to more accurately reflect the actual stand ages that are being harvested. This improvement results in a small increase in net removals due to the simultaneous changes to carbon gains and carbon losses from harvesting.</w:t>
      </w:r>
    </w:p>
    <w:p w14:paraId="191F1CAE" w14:textId="77777777" w:rsidR="00855935" w:rsidRPr="00BE78CA" w:rsidRDefault="00855935" w:rsidP="00855935">
      <w:pPr>
        <w:pStyle w:val="BodyText"/>
      </w:pPr>
      <w:r w:rsidRPr="00BE78CA">
        <w:t>Chapter 6, section 6.1.4, and the land use category-specific sections in chapter 6 contain more details about improvements and recalculations for the LULUCF sector.</w:t>
      </w:r>
    </w:p>
    <w:p w14:paraId="599C0FC2" w14:textId="77777777" w:rsidR="00855935" w:rsidRPr="00BE78CA" w:rsidRDefault="00855935" w:rsidP="00855935">
      <w:pPr>
        <w:pStyle w:val="BodyText"/>
      </w:pPr>
      <w:r w:rsidRPr="00BE78CA">
        <w:t>Improvements made to the LULUCF sector have resulted in a 15.1 per cent (4,282.6 kt CO</w:t>
      </w:r>
      <w:r w:rsidRPr="00BE78CA">
        <w:rPr>
          <w:vertAlign w:val="subscript"/>
        </w:rPr>
        <w:t>2</w:t>
      </w:r>
      <w:r w:rsidRPr="00BE78CA">
        <w:t>-e) decrease in net LULUCF removals in 1990 and a 14.4 per cent (3,362.3 kt CO</w:t>
      </w:r>
      <w:r w:rsidRPr="00BE78CA">
        <w:rPr>
          <w:vertAlign w:val="subscript"/>
        </w:rPr>
        <w:t>2</w:t>
      </w:r>
      <w:r w:rsidRPr="00BE78CA">
        <w:t>-e) increase in net LULUCF removals in 2018.</w:t>
      </w:r>
    </w:p>
    <w:p w14:paraId="5315696E" w14:textId="77777777" w:rsidR="00855935" w:rsidRPr="00BE78CA" w:rsidRDefault="00855935" w:rsidP="00855935">
      <w:pPr>
        <w:pStyle w:val="Heading4"/>
      </w:pPr>
      <w:bookmarkStart w:id="78" w:name="waste-chapter-7-1"/>
      <w:r w:rsidRPr="00BE78CA">
        <w:t>Waste (chapter 7)</w:t>
      </w:r>
      <w:bookmarkEnd w:id="78"/>
    </w:p>
    <w:p w14:paraId="777A86A3" w14:textId="59508D2E" w:rsidR="00855935" w:rsidRPr="00BE78CA" w:rsidRDefault="00855935" w:rsidP="00855935">
      <w:pPr>
        <w:pStyle w:val="BodyText"/>
      </w:pPr>
      <w:r w:rsidRPr="00BE78CA">
        <w:t>Improvements and recalculations made to estimates in the Waste sector have resulted in a 2.1 per cent (86.3 kt CO</w:t>
      </w:r>
      <w:r w:rsidRPr="00BE78CA">
        <w:rPr>
          <w:vertAlign w:val="subscript"/>
        </w:rPr>
        <w:t>2</w:t>
      </w:r>
      <w:r w:rsidRPr="00BE78CA">
        <w:t>-e) decrease in emissions in 1990 and a 17.1 per cent (692.1 kt CO</w:t>
      </w:r>
      <w:r w:rsidRPr="00BE78CA">
        <w:rPr>
          <w:vertAlign w:val="subscript"/>
        </w:rPr>
        <w:t>2</w:t>
      </w:r>
      <w:r w:rsidRPr="00BE78CA">
        <w:t>-e) decrease in emissions in 2018. Several large improvements and recalculations have been made</w:t>
      </w:r>
      <w:r w:rsidR="00255371" w:rsidRPr="00BE78CA">
        <w:t> </w:t>
      </w:r>
      <w:r w:rsidRPr="00BE78CA">
        <w:t xml:space="preserve">to the Waste sector in the 2021 submission, along with other smaller changes. The methods for </w:t>
      </w:r>
      <w:r w:rsidRPr="00BE78CA">
        <w:rPr>
          <w:i/>
        </w:rPr>
        <w:t>Managed waste disposal</w:t>
      </w:r>
      <w:r w:rsidRPr="00BE78CA">
        <w:t xml:space="preserve"> sites have been significantly revised, causing emissions to occur earlier in the time series, and largely explain the overall decreasing trend toward the</w:t>
      </w:r>
      <w:r w:rsidR="00255371" w:rsidRPr="00BE78CA">
        <w:t> </w:t>
      </w:r>
      <w:r w:rsidRPr="00BE78CA">
        <w:t xml:space="preserve">end of the time series in the Waste sector. Further significant changes in estimates for </w:t>
      </w:r>
      <w:r w:rsidRPr="00BE78CA">
        <w:rPr>
          <w:i/>
        </w:rPr>
        <w:t>Unmanaged waste disposal</w:t>
      </w:r>
      <w:r w:rsidRPr="00BE78CA">
        <w:t xml:space="preserve"> sites and </w:t>
      </w:r>
      <w:r w:rsidRPr="00BE78CA">
        <w:rPr>
          <w:i/>
        </w:rPr>
        <w:t>Open burning of waste</w:t>
      </w:r>
      <w:r w:rsidRPr="00BE78CA">
        <w:t xml:space="preserve"> have reduced emissions overall, mainly due to significantly increasing the proportion of farm waste burned instead of buried. </w:t>
      </w:r>
      <w:r w:rsidRPr="00BE78CA">
        <w:lastRenderedPageBreak/>
        <w:t>Farm waste contains a lot of wood-based material, so burning it produces far fewer emissions than burying.</w:t>
      </w:r>
    </w:p>
    <w:p w14:paraId="328C07B6" w14:textId="77777777" w:rsidR="00855935" w:rsidRPr="00BE78CA" w:rsidRDefault="00855935" w:rsidP="00855935">
      <w:pPr>
        <w:pStyle w:val="BodyText"/>
      </w:pPr>
      <w:r w:rsidRPr="00BE78CA">
        <w:t>Further details can be found under methodological issues for each source category in chapter 7 and also in chapter 10.</w:t>
      </w:r>
    </w:p>
    <w:p w14:paraId="4110AB8E" w14:textId="77777777" w:rsidR="00855935" w:rsidRPr="00BE78CA" w:rsidRDefault="00855935" w:rsidP="00855935">
      <w:pPr>
        <w:pStyle w:val="Heading4"/>
      </w:pPr>
      <w:bookmarkStart w:id="79" w:name="other-sector-tokelau-chapter-8-1"/>
      <w:r w:rsidRPr="00BE78CA">
        <w:t>Other sector (Tokelau – chapter 8)</w:t>
      </w:r>
      <w:bookmarkEnd w:id="79"/>
    </w:p>
    <w:p w14:paraId="379249A4" w14:textId="77777777" w:rsidR="00855935" w:rsidRPr="00BE78CA" w:rsidRDefault="00855935" w:rsidP="00855935">
      <w:pPr>
        <w:pStyle w:val="BodyText"/>
      </w:pPr>
      <w:r w:rsidRPr="00BE78CA">
        <w:t>One minor recalculation has been made in the Tokelau emission estimates since the 2020 submission. The recalculation made for the Tokelau sector has resulted in no change in emissions in 1990 and a 0.6 per cent (0.02 kt CO</w:t>
      </w:r>
      <w:r w:rsidRPr="00BE78CA">
        <w:rPr>
          <w:vertAlign w:val="subscript"/>
        </w:rPr>
        <w:t>2</w:t>
      </w:r>
      <w:r w:rsidRPr="00BE78CA">
        <w:t>-e) increase in emissions in 2018. This is a result of re-interpolating diesel used for electricity generation in 2016 to 2018 using the latest activity data for 2019.</w:t>
      </w:r>
    </w:p>
    <w:p w14:paraId="021FF75E" w14:textId="77777777" w:rsidR="00855935" w:rsidRPr="00BE78CA" w:rsidRDefault="00855935" w:rsidP="00855935">
      <w:pPr>
        <w:pStyle w:val="Heading4"/>
      </w:pPr>
      <w:bookmarkStart w:id="80" w:name="kp-lulucf-chapter-11"/>
      <w:r w:rsidRPr="00BE78CA">
        <w:t>KP-LULUCF (chapter 11)</w:t>
      </w:r>
      <w:bookmarkEnd w:id="80"/>
    </w:p>
    <w:p w14:paraId="1F617C02" w14:textId="77777777" w:rsidR="00855935" w:rsidRPr="00BE78CA" w:rsidRDefault="00855935" w:rsidP="00855935">
      <w:pPr>
        <w:pStyle w:val="BodyText"/>
      </w:pPr>
      <w:r w:rsidRPr="00BE78CA">
        <w:t>Improvements have been introduced to the 2020 submission resulting in recalculations for all three activities. These improvements are listed in chapter 1 and chapter 11 (KP-LULUCF).</w:t>
      </w:r>
    </w:p>
    <w:p w14:paraId="79DF2EAB" w14:textId="77777777" w:rsidR="00855935" w:rsidRPr="00BE78CA" w:rsidRDefault="00855935" w:rsidP="00855935">
      <w:pPr>
        <w:pStyle w:val="Heading4"/>
      </w:pPr>
      <w:bookmarkStart w:id="81" w:name="Xfefb940a4f195fdf3cba221b6def840433b79bc"/>
      <w:r w:rsidRPr="00BE78CA">
        <w:t>Improvements to national inventory system</w:t>
      </w:r>
      <w:bookmarkEnd w:id="81"/>
    </w:p>
    <w:p w14:paraId="020E5414" w14:textId="77777777" w:rsidR="00855935" w:rsidRPr="00BE78CA" w:rsidRDefault="00855935" w:rsidP="00855935">
      <w:pPr>
        <w:pStyle w:val="BodyText"/>
      </w:pPr>
      <w:r w:rsidRPr="00BE78CA">
        <w:t>No changes have been made in the legal or institutional arrangements in the national inventory system since the 2020 inventory submission.</w:t>
      </w:r>
    </w:p>
    <w:p w14:paraId="7ABC43C7" w14:textId="02451154" w:rsidR="00855935" w:rsidRPr="00BE78CA" w:rsidRDefault="00855935" w:rsidP="00855935">
      <w:pPr>
        <w:pStyle w:val="Heading2"/>
      </w:pPr>
      <w:bookmarkStart w:id="82" w:name="X94dfde0b0b37efd291022644587edd0f4723674"/>
      <w:bookmarkStart w:id="83" w:name="_Toc68786285"/>
      <w:r w:rsidRPr="00BE78CA">
        <w:t xml:space="preserve">ES.7 </w:t>
      </w:r>
      <w:r w:rsidR="00255371" w:rsidRPr="00BE78CA">
        <w:tab/>
      </w:r>
      <w:r w:rsidRPr="00BE78CA">
        <w:t>National registry (chapters 12 and 14)</w:t>
      </w:r>
      <w:bookmarkEnd w:id="82"/>
      <w:bookmarkEnd w:id="83"/>
    </w:p>
    <w:p w14:paraId="23811232" w14:textId="37D31FA2" w:rsidR="00855935" w:rsidRPr="00BE78CA" w:rsidRDefault="00855935" w:rsidP="00855935">
      <w:pPr>
        <w:pStyle w:val="BodyText"/>
      </w:pPr>
      <w:r w:rsidRPr="00BE78CA">
        <w:t>The national registry (the New Zealand Emissions Trading Register or the Register) is New Zealand’s online facility to manage the accounting, reporting and reconciliation of emissions, unit holdings and transactions as part of the New Zealand Emissions Trading Scheme. The</w:t>
      </w:r>
      <w:r w:rsidR="00255371" w:rsidRPr="00BE78CA">
        <w:t> </w:t>
      </w:r>
      <w:r w:rsidRPr="00BE78CA">
        <w:t>Environmental Protection Authority is designated as the agency responsible for the implementation and operation of New Zealand’s national registry under the Kyoto Protocol. The Register is electronic and accessible via the internet (</w:t>
      </w:r>
      <w:hyperlink r:id="rId27">
        <w:r w:rsidRPr="00BE78CA">
          <w:t>www.emissionsregister.govt.nz</w:t>
        </w:r>
      </w:hyperlink>
      <w:r w:rsidRPr="00BE78CA">
        <w:t>).</w:t>
      </w:r>
    </w:p>
    <w:p w14:paraId="29A3DE1C" w14:textId="77777777" w:rsidR="00855935" w:rsidRPr="00BE78CA" w:rsidRDefault="00855935" w:rsidP="00855935">
      <w:pPr>
        <w:pStyle w:val="BodyText"/>
      </w:pPr>
      <w:r w:rsidRPr="00BE78CA">
        <w:t>In January 2008, New Zealand’s national registry was issued with New Zealand’s assigned amount of 309,564,733 metric tonnes CO</w:t>
      </w:r>
      <w:r w:rsidRPr="00BE78CA">
        <w:rPr>
          <w:vertAlign w:val="subscript"/>
        </w:rPr>
        <w:t>2</w:t>
      </w:r>
      <w:r w:rsidRPr="00BE78CA">
        <w:t>-e for the first commitment period (CP1) (covering the five-year period 2008 to 2012).</w:t>
      </w:r>
    </w:p>
    <w:p w14:paraId="0E8C98C3" w14:textId="4E12EE96" w:rsidR="00855935" w:rsidRPr="00BE78CA" w:rsidRDefault="00855935" w:rsidP="00855935">
      <w:pPr>
        <w:pStyle w:val="BodyText"/>
      </w:pPr>
      <w:r w:rsidRPr="00BE78CA">
        <w:t>At the beginning of the 2020 calendar year, New Zealand’s national registry held 308,343,858 CP1 assigned amount units, 110,744,560 CP1 emissions reduction units, 21,685,909 CP1 certified emission reduction units and 100,845,399 CP1 removal units. The number and mix of</w:t>
      </w:r>
      <w:r w:rsidR="00255371" w:rsidRPr="00BE78CA">
        <w:t> </w:t>
      </w:r>
      <w:r w:rsidRPr="00BE78CA">
        <w:t>units held at the end of 2020 were the same as at the beginning of 2020, because no international transactions occurred during this period and these amounts include the units retired to meet CP1 obligations. No second commitment period units were held by New Zealand in 2020.</w:t>
      </w:r>
    </w:p>
    <w:p w14:paraId="42CD3A58" w14:textId="77777777" w:rsidR="00855935" w:rsidRPr="00BE78CA" w:rsidRDefault="00855935" w:rsidP="00855935">
      <w:pPr>
        <w:pStyle w:val="BodyText"/>
      </w:pPr>
      <w:r w:rsidRPr="00BE78CA">
        <w:t>New Zealand’s national registry did not hold any temporary certified emission reduction units or long-term certified emission reduction units during 2020.</w:t>
      </w:r>
    </w:p>
    <w:p w14:paraId="0F027954" w14:textId="3326AE01" w:rsidR="00855935" w:rsidRPr="00BE78CA" w:rsidRDefault="00855935" w:rsidP="00855935">
      <w:pPr>
        <w:pStyle w:val="BodyText"/>
      </w:pPr>
      <w:r w:rsidRPr="00BE78CA">
        <w:t>For further information, please refer to chapters 12 and 14 of this inventory submission and the standard electronic format tables on New Zealand Emissions Trading Register holdings and transactions that were submitted to the United Nations Framework Convention on Climate Change along with this inventory submission.</w:t>
      </w:r>
      <w:bookmarkStart w:id="84" w:name="executive-summary-references"/>
      <w:r w:rsidRPr="00BE78CA">
        <w:br w:type="page"/>
      </w:r>
    </w:p>
    <w:p w14:paraId="6CF554CB" w14:textId="77777777" w:rsidR="00855935" w:rsidRPr="00BE78CA" w:rsidRDefault="00855935" w:rsidP="00855935">
      <w:pPr>
        <w:pStyle w:val="Heading2"/>
        <w:spacing w:before="0" w:after="360"/>
      </w:pPr>
      <w:bookmarkStart w:id="85" w:name="_Toc68786286"/>
      <w:r w:rsidRPr="00BE78CA">
        <w:lastRenderedPageBreak/>
        <w:t>Executive summary: References</w:t>
      </w:r>
      <w:bookmarkEnd w:id="84"/>
      <w:bookmarkEnd w:id="85"/>
    </w:p>
    <w:p w14:paraId="1AC2E250" w14:textId="77777777" w:rsidR="00855935" w:rsidRPr="00BE78CA" w:rsidRDefault="00855935" w:rsidP="00855935">
      <w:pPr>
        <w:pStyle w:val="References"/>
      </w:pPr>
      <w:r w:rsidRPr="00BE78CA">
        <w:t xml:space="preserve">IPCC. 2006. Eggleston HS, Buendia L, Miwa K, Ngara T, Tanabe K (eds). </w:t>
      </w:r>
      <w:r w:rsidRPr="00BE78CA">
        <w:rPr>
          <w:i/>
        </w:rPr>
        <w:t>2006 IPCC Guidelines for National Greenhouse Gas Inventories. Volume 4. Agriculture, Forestry and Other Land Use.</w:t>
      </w:r>
      <w:r w:rsidRPr="00BE78CA">
        <w:t xml:space="preserve"> IPCC National Greenhouse Gas Inventories Programme. Japan: Published for the IPCC by the Institute for Global Environmental Strategies.</w:t>
      </w:r>
    </w:p>
    <w:p w14:paraId="4170E690" w14:textId="77777777" w:rsidR="00855935" w:rsidRPr="00BE78CA" w:rsidRDefault="00855935" w:rsidP="00855935">
      <w:pPr>
        <w:pStyle w:val="References"/>
      </w:pPr>
      <w:r w:rsidRPr="00BE78CA">
        <w:t xml:space="preserve">Ministry for the Environment. 2016. </w:t>
      </w:r>
      <w:r w:rsidRPr="00BE78CA">
        <w:rPr>
          <w:i/>
        </w:rPr>
        <w:t>New Zealand’s Initial Report to Facilitate the Calculation of its Emissions Budget for the Period 2013 to 2020</w:t>
      </w:r>
      <w:r w:rsidRPr="00BE78CA">
        <w:t>. Wellington: Ministry for the Environment.</w:t>
      </w:r>
    </w:p>
    <w:p w14:paraId="2349F170" w14:textId="77777777" w:rsidR="00855935" w:rsidRPr="00BE78CA" w:rsidRDefault="00855935" w:rsidP="00855935">
      <w:pPr>
        <w:pStyle w:val="References"/>
      </w:pPr>
      <w:r w:rsidRPr="00BE78CA">
        <w:t xml:space="preserve">Ministry of Business, Innovation and Employment. </w:t>
      </w:r>
      <w:r w:rsidRPr="00BE78CA">
        <w:rPr>
          <w:bCs/>
        </w:rPr>
        <w:t>2020.</w:t>
      </w:r>
      <w:r w:rsidRPr="00BE78CA">
        <w:t xml:space="preserve"> </w:t>
      </w:r>
      <w:r w:rsidRPr="00BE78CA">
        <w:rPr>
          <w:i/>
        </w:rPr>
        <w:t>Energy in New Zealand</w:t>
      </w:r>
      <w:r w:rsidRPr="00BE78CA">
        <w:t xml:space="preserve">. Wellington: Ministry of Business, Innovation and Employment. Retrieved from www.mbie.govt.nz/building-and-energy/energy-and-natural-resources/energy-statistics-and-modelling/energy-publications-and-technical-papers/energy-in-new-zealand/ (September </w:t>
      </w:r>
      <w:r w:rsidRPr="00BE78CA">
        <w:rPr>
          <w:bCs/>
        </w:rPr>
        <w:t>2020</w:t>
      </w:r>
      <w:r w:rsidRPr="00BE78CA">
        <w:t>).</w:t>
      </w:r>
    </w:p>
    <w:p w14:paraId="66C02855" w14:textId="77777777" w:rsidR="00855935" w:rsidRPr="00BE78CA" w:rsidRDefault="00855935" w:rsidP="00855935">
      <w:pPr>
        <w:pStyle w:val="References"/>
      </w:pPr>
      <w:r w:rsidRPr="00BE78CA">
        <w:t xml:space="preserve">UNFCCC. 2013. FCCC/CP/2013/10/Add.3. </w:t>
      </w:r>
      <w:r w:rsidRPr="00BE78CA">
        <w:rPr>
          <w:i/>
        </w:rPr>
        <w:t>Report of the Conference of the Parties on its nineteenth session, held in Warsaw from 11 to 23 November 2013: Addendum; Decision 24/CP.19 Revision of the UNFCCC reporting guidelines on annual inventories for Parties included in Annex I to the Convention</w:t>
      </w:r>
      <w:r w:rsidRPr="00BE78CA">
        <w:t>.</w:t>
      </w:r>
    </w:p>
    <w:p w14:paraId="45AE62A4" w14:textId="77777777" w:rsidR="006C5016" w:rsidRPr="00BE78CA" w:rsidRDefault="006C5016" w:rsidP="000E497C"/>
    <w:p w14:paraId="17E368A6" w14:textId="77777777" w:rsidR="004B3E51" w:rsidRPr="00BE78CA" w:rsidRDefault="004B3E51" w:rsidP="000E497C"/>
    <w:p w14:paraId="220E7BF4" w14:textId="4E0B059E" w:rsidR="004B3E51" w:rsidRPr="00BE78CA" w:rsidRDefault="004B3E51" w:rsidP="000E497C">
      <w:pPr>
        <w:sectPr w:rsidR="004B3E51" w:rsidRPr="00BE78CA" w:rsidSect="00211C26">
          <w:footerReference w:type="even" r:id="rId28"/>
          <w:pgSz w:w="11907" w:h="16840" w:code="9"/>
          <w:pgMar w:top="1418" w:right="1701" w:bottom="1418" w:left="1701" w:header="567" w:footer="567" w:gutter="0"/>
          <w:pgNumType w:start="1"/>
          <w:cols w:space="720"/>
        </w:sectPr>
      </w:pPr>
    </w:p>
    <w:p w14:paraId="42CDDD39" w14:textId="77777777" w:rsidR="00387C28" w:rsidRPr="00BE78CA" w:rsidRDefault="00387C28" w:rsidP="00387C28">
      <w:pPr>
        <w:pStyle w:val="Heading1"/>
      </w:pPr>
      <w:bookmarkStart w:id="86" w:name="chapter-1-introduction"/>
      <w:bookmarkStart w:id="87" w:name="_Toc68786287"/>
      <w:r w:rsidRPr="00BE78CA">
        <w:lastRenderedPageBreak/>
        <w:t>Chapter 1: Introduction</w:t>
      </w:r>
      <w:bookmarkEnd w:id="86"/>
      <w:bookmarkEnd w:id="87"/>
    </w:p>
    <w:p w14:paraId="6EAC99FD" w14:textId="77777777" w:rsidR="00387C28" w:rsidRPr="00BE78CA" w:rsidRDefault="00387C28" w:rsidP="00387C28">
      <w:pPr>
        <w:pStyle w:val="Heading2"/>
      </w:pPr>
      <w:bookmarkStart w:id="88" w:name="background"/>
      <w:bookmarkStart w:id="89" w:name="_Toc68786288"/>
      <w:r w:rsidRPr="00BE78CA">
        <w:t xml:space="preserve">1.1 </w:t>
      </w:r>
      <w:r w:rsidRPr="00BE78CA">
        <w:tab/>
        <w:t>Background</w:t>
      </w:r>
      <w:bookmarkEnd w:id="88"/>
      <w:bookmarkEnd w:id="89"/>
    </w:p>
    <w:p w14:paraId="6E9C6748" w14:textId="0ED7D2BB" w:rsidR="00387C28" w:rsidRPr="00BE78CA" w:rsidRDefault="00387C28" w:rsidP="00387C28">
      <w:pPr>
        <w:pStyle w:val="BodyText"/>
      </w:pPr>
      <w:r w:rsidRPr="00BE78CA">
        <w:t>Greenhouse gases in the Earth’s atmosphere trap warmth from the sun and make life as we know it possible. The Intergovernmental Panel on Climate Change (IPCC) Fifth Assessment Report (IPCC, 2013) confirms that warming in the climate system is unequivocal, with many of the observed changes unprecedented over decades to millennia: warming of the atmosphere and the ocean, diminishing snow and ice, rising sea levels and increasing concentrations of greenhouse gases (GHGs). The report also suggests that, since the beginning of the industrial revolution (about 1750 AD), the atmospheric concentrations of the GHGs carbon dioxide (CO</w:t>
      </w:r>
      <w:r w:rsidRPr="00BE78CA">
        <w:rPr>
          <w:vertAlign w:val="subscript"/>
        </w:rPr>
        <w:t>2</w:t>
      </w:r>
      <w:r w:rsidRPr="00BE78CA">
        <w:t>), methane (CH</w:t>
      </w:r>
      <w:r w:rsidRPr="00BE78CA">
        <w:rPr>
          <w:vertAlign w:val="subscript"/>
        </w:rPr>
        <w:t>4</w:t>
      </w:r>
      <w:r w:rsidRPr="00BE78CA">
        <w:t>) and nitrous oxide (N</w:t>
      </w:r>
      <w:r w:rsidRPr="00BE78CA">
        <w:rPr>
          <w:vertAlign w:val="subscript"/>
        </w:rPr>
        <w:t>2</w:t>
      </w:r>
      <w:r w:rsidRPr="00BE78CA">
        <w:t>O) have all increased due to human activity. Continued emissions of GHGs will cause further warming and changes to all components of the climate system.</w:t>
      </w:r>
    </w:p>
    <w:p w14:paraId="01333669" w14:textId="77777777" w:rsidR="00387C28" w:rsidRPr="00BE78CA" w:rsidRDefault="00387C28" w:rsidP="00387C28">
      <w:pPr>
        <w:pStyle w:val="Heading3"/>
      </w:pPr>
      <w:bookmarkStart w:id="90" w:name="X4dac08bfba5c2a4ded8b3b0ba006c0f41387bd8"/>
      <w:r w:rsidRPr="00BE78CA">
        <w:t xml:space="preserve">1.1.1 </w:t>
      </w:r>
      <w:r w:rsidRPr="00BE78CA">
        <w:tab/>
        <w:t>United Nations Framework Convention on Climate Change</w:t>
      </w:r>
      <w:bookmarkEnd w:id="90"/>
    </w:p>
    <w:p w14:paraId="24BB1A5C" w14:textId="77777777" w:rsidR="00387C28" w:rsidRPr="00BE78CA" w:rsidRDefault="00387C28" w:rsidP="00387C28">
      <w:pPr>
        <w:pStyle w:val="BodyText"/>
      </w:pPr>
      <w:r w:rsidRPr="00BE78CA">
        <w:t>The science of climate change is assessed by the IPCC. In 1990, the IPCC concluded that human-induced climate change was a threat to our future. In response, the United Nations General Assembly convened a series of meetings that culminated in the adoption of the United Nations Framework Convention on Climate Change (the Convention) at the Earth Summit in Rio de Janeiro in May 1992.</w:t>
      </w:r>
    </w:p>
    <w:p w14:paraId="38EF0873" w14:textId="77777777" w:rsidR="00387C28" w:rsidRPr="00BE78CA" w:rsidRDefault="00387C28" w:rsidP="00387C28">
      <w:pPr>
        <w:pStyle w:val="BodyText"/>
      </w:pPr>
      <w:r w:rsidRPr="00BE78CA">
        <w:t>The Convention has been signed and ratified by 197 nations, including New Zealand, and took effect on 21 March 1994.</w:t>
      </w:r>
    </w:p>
    <w:p w14:paraId="4523FEA1" w14:textId="77777777" w:rsidR="00387C28" w:rsidRPr="00BE78CA" w:rsidRDefault="00387C28" w:rsidP="00387C28">
      <w:pPr>
        <w:pStyle w:val="BodyText"/>
      </w:pPr>
      <w:r w:rsidRPr="00BE78CA">
        <w:t>The main objective of the Convention (UNFCCC, 1992, Article 2) is to achieve:</w:t>
      </w:r>
    </w:p>
    <w:p w14:paraId="10EC365D" w14:textId="77777777" w:rsidR="00387C28" w:rsidRPr="00BE78CA" w:rsidRDefault="00387C28" w:rsidP="00387C28">
      <w:pPr>
        <w:pStyle w:val="Quote"/>
      </w:pPr>
      <w:r w:rsidRPr="00BE78CA">
        <w:t>… stabilization of greenhouse gas concentrations in the atmosphere at a level that would prevent dangerous anthropogenic interference with the climate system. Such a level should be achieved within a time-frame sufficient to allow ecosystems to adapt naturally to climate change, to ensure that food production is not threatened and to enable economic development to proceed in a sustainable manner.</w:t>
      </w:r>
    </w:p>
    <w:p w14:paraId="50EE5963" w14:textId="77777777" w:rsidR="00387C28" w:rsidRPr="00BE78CA" w:rsidRDefault="00387C28" w:rsidP="00387C28">
      <w:pPr>
        <w:pStyle w:val="BodyText"/>
      </w:pPr>
      <w:r w:rsidRPr="00BE78CA">
        <w:t>All countries that ratify the Convention (the Parties) are required to take action to address climate change, including monitoring trends in anthropogenic GHG emissions. The annual inventory of GHG emissions and removals fulfils this obligation. Parties are also obligated to protect and enhance carbon sinks and reservoirs, for example, forests, and implement measures that assist in national and/or regional climate change adaptation and mitigation. In addition, Parties listed in Annex II</w:t>
      </w:r>
      <w:r w:rsidRPr="00BE78CA">
        <w:rPr>
          <w:rStyle w:val="FootnoteReference"/>
        </w:rPr>
        <w:footnoteReference w:id="8"/>
      </w:r>
      <w:r w:rsidRPr="00BE78CA">
        <w:t xml:space="preserve"> to the Convention commit to providing technology transfer, capacity building and financial assistance to non-Annex I</w:t>
      </w:r>
      <w:r w:rsidRPr="00BE78CA">
        <w:rPr>
          <w:rStyle w:val="FootnoteReference"/>
        </w:rPr>
        <w:footnoteReference w:id="9"/>
      </w:r>
      <w:r w:rsidRPr="00BE78CA">
        <w:t xml:space="preserve"> Parties (developing country parties).</w:t>
      </w:r>
    </w:p>
    <w:p w14:paraId="62E80F5E" w14:textId="501B5F36" w:rsidR="00387C28" w:rsidRPr="00BE78CA" w:rsidRDefault="00387C28" w:rsidP="00387C28">
      <w:pPr>
        <w:pStyle w:val="BodyText"/>
      </w:pPr>
      <w:r w:rsidRPr="00BE78CA">
        <w:lastRenderedPageBreak/>
        <w:t>Annex I Parties also agreed to aim to return GHG emissions to 1990 levels by the year 2000. Only a few Annex I Parties made appreciable progress towards achieving this aim. The international community recognised that the existing commitments in the Convention were not enough to ensure GHG levels would be stabilised at a safe level. In response, in 1995, Parties launched a new round of talks to provide stronger and more detailed commitments for Annex I Parties. After two-and-a-half years of negotiations, the Kyoto Protocol was adopted in Kyoto, Japan, on 11 December 1997. New Zealand ratified the Kyoto Protocol on 19 December 2002. The Protocol came into force on 16 February 2005.</w:t>
      </w:r>
    </w:p>
    <w:p w14:paraId="7BA27245" w14:textId="37398F15" w:rsidR="00387C28" w:rsidRPr="00BE78CA" w:rsidRDefault="00387C28" w:rsidP="00387C28">
      <w:pPr>
        <w:pStyle w:val="BodyText"/>
      </w:pPr>
      <w:r w:rsidRPr="00BE78CA">
        <w:t>To accelerate and intensify the actions and investments needed for a sustainable low carbon future, Parties to the convention reached a landmark agreement in Paris, France, on</w:t>
      </w:r>
      <w:r w:rsidR="00CA648A" w:rsidRPr="00BE78CA">
        <w:t> </w:t>
      </w:r>
      <w:r w:rsidRPr="00BE78CA">
        <w:t>12 December 2015. The Paris Agreement was ratified by New Zealand on 4 October 2016. The extension (as of 13 November 2017) of New Zealand’s ratification of the Convention and the Paris Agreement to include Tokelau means,</w:t>
      </w:r>
      <w:r w:rsidRPr="00BE78CA">
        <w:rPr>
          <w:iCs/>
        </w:rPr>
        <w:t xml:space="preserve"> among other things</w:t>
      </w:r>
      <w:r w:rsidRPr="00BE78CA">
        <w:t>, that New Zealand’s national inventory shall include GHG emissions and removals estimates from Tokelau. Since 2019 (data 1990–2017), emissions from Tokelau have been included in New Zealand’s greenhouse inventory.</w:t>
      </w:r>
    </w:p>
    <w:p w14:paraId="2206BB34" w14:textId="362001BC" w:rsidR="00387C28" w:rsidRPr="00BE78CA" w:rsidRDefault="00387C28" w:rsidP="00387C28">
      <w:pPr>
        <w:pStyle w:val="Heading3"/>
      </w:pPr>
      <w:bookmarkStart w:id="91" w:name="kyoto-protocol"/>
      <w:r w:rsidRPr="00BE78CA">
        <w:t xml:space="preserve">1.1.2 </w:t>
      </w:r>
      <w:r w:rsidRPr="00BE78CA">
        <w:tab/>
        <w:t>Kyoto Protocol</w:t>
      </w:r>
      <w:bookmarkEnd w:id="91"/>
    </w:p>
    <w:p w14:paraId="7748705C" w14:textId="467E2AE7" w:rsidR="00387C28" w:rsidRPr="00BE78CA" w:rsidRDefault="00387C28" w:rsidP="00387C28">
      <w:pPr>
        <w:pStyle w:val="BodyText"/>
      </w:pPr>
      <w:r w:rsidRPr="00BE78CA">
        <w:t>The Kyoto Protocol shares and expands upon the Convention’s objectives, principles and institutions. Only Parties to the Convention that have also become Parties to the Protocol (by ratifying, accepting, approving or acceding to it) are bound by the Protocol’s commitments, noting that GHG targets in the Kyoto Protocol only apply to Annex I Parties. The original objective of the Kyoto Protocol was to reduce the aggregate emissions of six GHGs from Annex I Parties to the Kyoto Protocol, together with targets for the first commitment period (CP1) by at least 5 per cent below 1990 levels in the CP1 (2008–12). New Zealand’s target in CP1 was to return emissions to 1990 levels</w:t>
      </w:r>
      <w:r w:rsidRPr="00BE78CA">
        <w:rPr>
          <w:rStyle w:val="FootnoteReference"/>
        </w:rPr>
        <w:footnoteReference w:id="10"/>
      </w:r>
      <w:r w:rsidRPr="00BE78CA">
        <w:t xml:space="preserve"> on average over the commitment period or otherwise take responsibility for the excess.</w:t>
      </w:r>
    </w:p>
    <w:p w14:paraId="310B7BA6" w14:textId="77777777" w:rsidR="00387C28" w:rsidRPr="00BE78CA" w:rsidRDefault="00387C28" w:rsidP="00387C28">
      <w:pPr>
        <w:pStyle w:val="BodyText"/>
      </w:pPr>
      <w:r w:rsidRPr="00BE78CA">
        <w:t>The eighth session of the Conference of the Parties serving as the meeting of the Parties to the Kyoto Protocol (Doha, Qatar, November to December 2012), agreed to amendments to the Kyoto Protocol for the period 2013 to 2020, including new targets in an amended Annex B.</w:t>
      </w:r>
      <w:r w:rsidRPr="00BE78CA">
        <w:rPr>
          <w:rStyle w:val="FootnoteReference"/>
        </w:rPr>
        <w:footnoteReference w:id="11"/>
      </w:r>
    </w:p>
    <w:p w14:paraId="20935D75" w14:textId="77777777" w:rsidR="00387C28" w:rsidRPr="00BE78CA" w:rsidRDefault="00387C28" w:rsidP="00387C28">
      <w:pPr>
        <w:pStyle w:val="BodyText"/>
      </w:pPr>
      <w:r w:rsidRPr="00BE78CA">
        <w:t>New Zealand has taken a target under the Convention during the 2013 to 2020 period and does not have a commitment listed in the amended Annex B of the Kyoto Protocol. However, New Zealand remains a Party to the Kyoto Protocol and applies the Kyoto Protocol framework of rules to its target for the 2013 to 2020 period.</w:t>
      </w:r>
    </w:p>
    <w:p w14:paraId="5075164A" w14:textId="3FB84695" w:rsidR="00387C28" w:rsidRPr="00BE78CA" w:rsidRDefault="00387C28" w:rsidP="006C0A82">
      <w:pPr>
        <w:pStyle w:val="BodyText"/>
      </w:pPr>
      <w:r w:rsidRPr="00BE78CA">
        <w:t xml:space="preserve">When reporting emissions and removals from the Land Use, Land-Use Change and Forestry (LULUCF) sector, New Zealand uses the land-based approach, set out in the </w:t>
      </w:r>
      <w:r w:rsidRPr="00BE78CA">
        <w:rPr>
          <w:i/>
        </w:rPr>
        <w:t>2006 IPCC Guidelines for National Greenhouse Gas Inventories</w:t>
      </w:r>
      <w:r w:rsidRPr="00BE78CA">
        <w:t xml:space="preserve"> (IPCC, 2006a). For the period 2013 </w:t>
      </w:r>
      <w:r w:rsidRPr="00BE78CA">
        <w:lastRenderedPageBreak/>
        <w:t>to</w:t>
      </w:r>
      <w:r w:rsidR="00872C47" w:rsidRPr="00BE78CA">
        <w:t> </w:t>
      </w:r>
      <w:r w:rsidRPr="00BE78CA">
        <w:t>2020,</w:t>
      </w:r>
      <w:r w:rsidR="00C707E2" w:rsidRPr="00BE78CA">
        <w:t> </w:t>
      </w:r>
      <w:r w:rsidRPr="00BE78CA">
        <w:t>New Zealand will also complete activity-based reporting under Article 3.3 of the Kyoto</w:t>
      </w:r>
      <w:r w:rsidR="00872C47" w:rsidRPr="00BE78CA">
        <w:t> </w:t>
      </w:r>
      <w:r w:rsidRPr="00BE78CA">
        <w:t xml:space="preserve">Protocol for the categories </w:t>
      </w:r>
      <w:r w:rsidRPr="00BE78CA">
        <w:rPr>
          <w:i/>
        </w:rPr>
        <w:t>Afforestation</w:t>
      </w:r>
      <w:r w:rsidRPr="00BE78CA">
        <w:t xml:space="preserve">, </w:t>
      </w:r>
      <w:r w:rsidRPr="00BE78CA">
        <w:rPr>
          <w:i/>
        </w:rPr>
        <w:t>Reforestation</w:t>
      </w:r>
      <w:r w:rsidRPr="00BE78CA">
        <w:t xml:space="preserve"> and </w:t>
      </w:r>
      <w:r w:rsidRPr="00BE78CA">
        <w:rPr>
          <w:i/>
        </w:rPr>
        <w:t>Deforestation</w:t>
      </w:r>
      <w:r w:rsidRPr="00BE78CA">
        <w:t xml:space="preserve">, and under Article 3.4 for </w:t>
      </w:r>
      <w:r w:rsidRPr="00BE78CA">
        <w:rPr>
          <w:i/>
        </w:rPr>
        <w:t>Forest management</w:t>
      </w:r>
      <w:r w:rsidRPr="00BE78CA">
        <w:t>.</w:t>
      </w:r>
    </w:p>
    <w:p w14:paraId="36E4E4FB" w14:textId="77777777" w:rsidR="00387C28" w:rsidRPr="00BE78CA" w:rsidRDefault="00387C28" w:rsidP="00387C28">
      <w:pPr>
        <w:pStyle w:val="Heading3"/>
      </w:pPr>
      <w:bookmarkStart w:id="92" w:name="the-inventory"/>
      <w:r w:rsidRPr="00BE78CA">
        <w:t xml:space="preserve">1.1.3 </w:t>
      </w:r>
      <w:r w:rsidRPr="00BE78CA">
        <w:tab/>
        <w:t>The inventory</w:t>
      </w:r>
      <w:bookmarkEnd w:id="92"/>
    </w:p>
    <w:p w14:paraId="063151B2" w14:textId="77777777" w:rsidR="00387C28" w:rsidRPr="00BE78CA" w:rsidRDefault="00387C28" w:rsidP="00387C28">
      <w:pPr>
        <w:pStyle w:val="BodyText"/>
      </w:pPr>
      <w:r w:rsidRPr="00BE78CA">
        <w:t xml:space="preserve">The Convention covers emissions and removals of all anthropogenic GHGs not controlled by the Montreal Protocol. </w:t>
      </w:r>
      <w:r w:rsidRPr="00BE78CA">
        <w:rPr>
          <w:i/>
        </w:rPr>
        <w:t>New Zealand’s Greenhouse Gas Inventory</w:t>
      </w:r>
      <w:r w:rsidRPr="00BE78CA">
        <w:t xml:space="preserve"> (the inventory) is the official annual report of these emissions and removals in New Zealand.</w:t>
      </w:r>
    </w:p>
    <w:p w14:paraId="2D17CB58" w14:textId="043D86EA" w:rsidR="00387C28" w:rsidRPr="00BE78CA" w:rsidRDefault="00387C28" w:rsidP="00387C28">
      <w:pPr>
        <w:pStyle w:val="BodyText"/>
      </w:pPr>
      <w:r w:rsidRPr="00BE78CA">
        <w:t>The methodologies, content and format of the inventory are described in the 2006 IPCC Guidelines (IPCC, 2006b) and reporting guidelines agreed by the Conference of the Parties to</w:t>
      </w:r>
      <w:r w:rsidR="004421E1" w:rsidRPr="00BE78CA">
        <w:t> </w:t>
      </w:r>
      <w:r w:rsidRPr="00BE78CA">
        <w:t>the Convention and Conference of the Parties serving as the meeting of the Parties to the Kyoto Protocol (CMP). The most recent reporting guidelines for inventory reporting under the</w:t>
      </w:r>
      <w:r w:rsidR="004421E1" w:rsidRPr="00BE78CA">
        <w:t> </w:t>
      </w:r>
      <w:r w:rsidRPr="00BE78CA">
        <w:t>Convention are FCCC/CP/2013/10/Add.3 (UNFCCC, 2013b). As per the Convention reporting guidelines, New Zealand followed the 2006 IPCC Guidelines in the preparation of the</w:t>
      </w:r>
      <w:r w:rsidR="004421E1" w:rsidRPr="00BE78CA">
        <w:t> </w:t>
      </w:r>
      <w:r w:rsidRPr="00BE78CA">
        <w:t>inventory. The 100-year global warming potential values from the IPCC Fourth Assessment Report are also used.</w:t>
      </w:r>
      <w:r w:rsidRPr="00BE78CA">
        <w:rPr>
          <w:rStyle w:val="FootnoteReference"/>
        </w:rPr>
        <w:footnoteReference w:id="12"/>
      </w:r>
    </w:p>
    <w:p w14:paraId="04E0B2DC" w14:textId="4C831415" w:rsidR="00387C28" w:rsidRPr="00BE78CA" w:rsidRDefault="00387C28" w:rsidP="00387C28">
      <w:pPr>
        <w:pStyle w:val="BodyText"/>
      </w:pPr>
      <w:r w:rsidRPr="00BE78CA">
        <w:t>A complete inventory submission contains two main components: the national inventory report (NIR) and the common reporting format (CRF) tables. In addition, the inventory submission includes standard electronic format (SEF) tables that show holdings and transactions of units transferred and acquired under the Kyoto Protocol. Inventories are subject to an annual technical review process administered by the UNFCCC secretariat. The</w:t>
      </w:r>
      <w:r w:rsidR="004421E1" w:rsidRPr="00BE78CA">
        <w:t> </w:t>
      </w:r>
      <w:r w:rsidRPr="00BE78CA">
        <w:t>results of these reviews are available on the UNFCCC website (</w:t>
      </w:r>
      <w:hyperlink r:id="rId29">
        <w:r w:rsidRPr="00BE78CA">
          <w:t>www.unfccc.int</w:t>
        </w:r>
      </w:hyperlink>
      <w:r w:rsidRPr="00BE78CA">
        <w:t>).</w:t>
      </w:r>
    </w:p>
    <w:p w14:paraId="3B3A44C4" w14:textId="604A5850" w:rsidR="00387C28" w:rsidRPr="00BE78CA" w:rsidRDefault="00387C28" w:rsidP="00387C28">
      <w:pPr>
        <w:pStyle w:val="BodyText"/>
      </w:pPr>
      <w:r w:rsidRPr="00BE78CA">
        <w:t>The inventory reports on emissions and removals of the gases CO</w:t>
      </w:r>
      <w:r w:rsidRPr="00BE78CA">
        <w:rPr>
          <w:vertAlign w:val="subscript"/>
        </w:rPr>
        <w:t>2</w:t>
      </w:r>
      <w:r w:rsidRPr="00BE78CA">
        <w:t>, CH</w:t>
      </w:r>
      <w:r w:rsidRPr="00BE78CA">
        <w:rPr>
          <w:vertAlign w:val="subscript"/>
        </w:rPr>
        <w:t>4</w:t>
      </w:r>
      <w:r w:rsidRPr="00BE78CA">
        <w:t>, N</w:t>
      </w:r>
      <w:r w:rsidRPr="00BE78CA">
        <w:rPr>
          <w:vertAlign w:val="subscript"/>
        </w:rPr>
        <w:t>2</w:t>
      </w:r>
      <w:r w:rsidRPr="00BE78CA">
        <w:t>O, hydrofluorocarbons (HFCs), perfluorocarbons (PFCs), sulphur hexafluoride (SF</w:t>
      </w:r>
      <w:r w:rsidRPr="00BE78CA">
        <w:rPr>
          <w:vertAlign w:val="subscript"/>
        </w:rPr>
        <w:t>6</w:t>
      </w:r>
      <w:r w:rsidRPr="00BE78CA">
        <w:t>) and nitrogen</w:t>
      </w:r>
      <w:r w:rsidR="004421E1" w:rsidRPr="00BE78CA">
        <w:t> </w:t>
      </w:r>
      <w:r w:rsidRPr="00BE78CA">
        <w:t>trifluoride (NF</w:t>
      </w:r>
      <w:r w:rsidRPr="00BE78CA">
        <w:rPr>
          <w:vertAlign w:val="subscript"/>
        </w:rPr>
        <w:t>3</w:t>
      </w:r>
      <w:r w:rsidRPr="00BE78CA">
        <w:t>).</w:t>
      </w:r>
      <w:r w:rsidRPr="00BE78CA">
        <w:rPr>
          <w:rStyle w:val="FootnoteReference"/>
        </w:rPr>
        <w:footnoteReference w:id="13"/>
      </w:r>
      <w:r w:rsidRPr="00BE78CA">
        <w:t xml:space="preserve"> The indirect GHGs,</w:t>
      </w:r>
      <w:r w:rsidRPr="00BE78CA">
        <w:rPr>
          <w:rStyle w:val="FootnoteReference"/>
        </w:rPr>
        <w:footnoteReference w:id="14"/>
      </w:r>
      <w:r w:rsidRPr="00BE78CA">
        <w:t xml:space="preserve"> carbon monoxide (CO), sulphur dioxide (SO</w:t>
      </w:r>
      <w:r w:rsidRPr="00BE78CA">
        <w:rPr>
          <w:vertAlign w:val="subscript"/>
        </w:rPr>
        <w:t>2</w:t>
      </w:r>
      <w:r w:rsidRPr="00BE78CA">
        <w:t>), oxides of nitrogen (NO</w:t>
      </w:r>
      <w:r w:rsidRPr="00BE78CA">
        <w:rPr>
          <w:vertAlign w:val="subscript"/>
        </w:rPr>
        <w:t>X</w:t>
      </w:r>
      <w:r w:rsidRPr="00BE78CA">
        <w:t>) and non-methane volatile organic compounds (NMVOCs), are also included. Only emissions and removals of the direct GHGs (CO</w:t>
      </w:r>
      <w:r w:rsidRPr="00BE78CA">
        <w:rPr>
          <w:vertAlign w:val="subscript"/>
        </w:rPr>
        <w:t>2</w:t>
      </w:r>
      <w:r w:rsidRPr="00BE78CA">
        <w:t>, CH</w:t>
      </w:r>
      <w:r w:rsidRPr="00BE78CA">
        <w:rPr>
          <w:vertAlign w:val="subscript"/>
        </w:rPr>
        <w:t>4</w:t>
      </w:r>
      <w:r w:rsidRPr="00BE78CA">
        <w:t>, N</w:t>
      </w:r>
      <w:r w:rsidRPr="00BE78CA">
        <w:rPr>
          <w:vertAlign w:val="subscript"/>
        </w:rPr>
        <w:t>2</w:t>
      </w:r>
      <w:r w:rsidRPr="00BE78CA">
        <w:t>O, SF</w:t>
      </w:r>
      <w:r w:rsidRPr="00BE78CA">
        <w:rPr>
          <w:vertAlign w:val="subscript"/>
        </w:rPr>
        <w:t>6</w:t>
      </w:r>
      <w:r w:rsidRPr="00BE78CA">
        <w:t>, PFCs, HFCs and NF</w:t>
      </w:r>
      <w:r w:rsidRPr="00BE78CA">
        <w:rPr>
          <w:vertAlign w:val="subscript"/>
        </w:rPr>
        <w:t>3</w:t>
      </w:r>
      <w:r w:rsidRPr="00BE78CA">
        <w:t>) are reported in total gross and net emissions under the Convention and are accounted for</w:t>
      </w:r>
      <w:r w:rsidR="004421E1" w:rsidRPr="00BE78CA">
        <w:t> </w:t>
      </w:r>
      <w:r w:rsidRPr="00BE78CA">
        <w:t>under the Kyoto Protocol. The gases are reported under six sectors and gross emissions include those from Energy, Industrial Processes and Product Use (IPPU), Agriculture, Waste and New Zealand’s ‘Other’ sector (Tokelau), but do not include emissions and removals from the LULUCF sector (UNFCCC, 2013b).</w:t>
      </w:r>
    </w:p>
    <w:p w14:paraId="456CD870" w14:textId="77777777" w:rsidR="00387C28" w:rsidRPr="00BE78CA" w:rsidRDefault="00387C28" w:rsidP="00387C28">
      <w:pPr>
        <w:pStyle w:val="BodyText"/>
      </w:pPr>
      <w:r w:rsidRPr="00BE78CA">
        <w:t>Since 2019, GHG emissions from Tokelau, New Zealand’s overseas dependent territory,</w:t>
      </w:r>
      <w:r w:rsidRPr="00BE78CA">
        <w:rPr>
          <w:rStyle w:val="FootnoteReference"/>
        </w:rPr>
        <w:footnoteReference w:id="15"/>
      </w:r>
      <w:r w:rsidRPr="00BE78CA">
        <w:t xml:space="preserve"> have been included in New Zealand’s ‘Other’ sector.</w:t>
      </w:r>
    </w:p>
    <w:p w14:paraId="7BB8143B" w14:textId="77777777" w:rsidR="00387C28" w:rsidRPr="00BE78CA" w:rsidRDefault="00387C28" w:rsidP="00053F84">
      <w:pPr>
        <w:pStyle w:val="BodyText"/>
        <w:spacing w:after="100"/>
      </w:pPr>
      <w:r w:rsidRPr="00BE78CA">
        <w:lastRenderedPageBreak/>
        <w:t>Reporting on afforestation, reforestation and deforestation activities since 1990 (Article 3.3 activities under the Kyoto Protocol) and forest management (under Article 3.4 of the Kyoto Protocol) are mandatory during the 2013 to 2020 period of the Kyoto Protocol. Afforestation, reforestation, deforestation and forest management activities are defined below. The definitions are consistent with Decision 16/CMP.1 (UNFCCC, 2005a).</w:t>
      </w:r>
    </w:p>
    <w:p w14:paraId="5FED0994" w14:textId="77777777" w:rsidR="00387C28" w:rsidRPr="00BE78CA" w:rsidRDefault="00387C28" w:rsidP="00053F84">
      <w:pPr>
        <w:pStyle w:val="Heading3"/>
        <w:spacing w:before="320"/>
      </w:pPr>
      <w:bookmarkStart w:id="93" w:name="supplementary-information-required"/>
      <w:r w:rsidRPr="00BE78CA">
        <w:t xml:space="preserve">1.1.4 </w:t>
      </w:r>
      <w:r w:rsidRPr="00BE78CA">
        <w:tab/>
        <w:t>Supplementary information required</w:t>
      </w:r>
      <w:bookmarkEnd w:id="93"/>
    </w:p>
    <w:p w14:paraId="23954D35" w14:textId="77777777" w:rsidR="00387C28" w:rsidRPr="00BE78CA" w:rsidRDefault="00387C28" w:rsidP="00053F84">
      <w:pPr>
        <w:pStyle w:val="BodyText"/>
        <w:spacing w:before="100" w:after="100"/>
      </w:pPr>
      <w:r w:rsidRPr="00BE78CA">
        <w:t>Following guidelines adopted by the CMP for reporting under Article 7.1 of the Kyoto Protocol, New Zealand includes supplementary information in its annual inventory submission.</w:t>
      </w:r>
    </w:p>
    <w:p w14:paraId="31BFA6F2" w14:textId="77777777" w:rsidR="00387C28" w:rsidRPr="00BE78CA" w:rsidRDefault="00387C28" w:rsidP="00053F84">
      <w:pPr>
        <w:pStyle w:val="BodyText"/>
        <w:spacing w:before="100" w:after="100"/>
      </w:pPr>
      <w:r w:rsidRPr="00BE78CA">
        <w:t>The supplementary information covers:</w:t>
      </w:r>
    </w:p>
    <w:p w14:paraId="207470B3" w14:textId="77777777" w:rsidR="00387C28" w:rsidRPr="00BE78CA" w:rsidRDefault="00387C28" w:rsidP="00053F84">
      <w:pPr>
        <w:pStyle w:val="Bullet"/>
        <w:spacing w:after="100"/>
      </w:pPr>
      <w:r w:rsidRPr="00BE78CA">
        <w:t>information on emissions and removals for each activity under Article 3.3, forest management under Article 3.4, and for any elected activities under Article 3.4 (chapter 11)</w:t>
      </w:r>
    </w:p>
    <w:p w14:paraId="2E145440" w14:textId="77777777" w:rsidR="00387C28" w:rsidRPr="00BE78CA" w:rsidRDefault="00387C28" w:rsidP="00053F84">
      <w:pPr>
        <w:pStyle w:val="Bullet"/>
        <w:spacing w:after="100"/>
      </w:pPr>
      <w:r w:rsidRPr="00BE78CA">
        <w:t>holdings and transactions of units transferred and acquired under Kyoto Protocol mechanisms (chapter 12)</w:t>
      </w:r>
    </w:p>
    <w:p w14:paraId="5CF0F131" w14:textId="273B50D1" w:rsidR="00387C28" w:rsidRPr="00BE78CA" w:rsidRDefault="00387C28" w:rsidP="00053F84">
      <w:pPr>
        <w:pStyle w:val="Bullet"/>
        <w:spacing w:after="100"/>
      </w:pPr>
      <w:r w:rsidRPr="00BE78CA">
        <w:t>significant changes to the national system for estimating emissions and removals (chapter</w:t>
      </w:r>
      <w:r w:rsidR="00D1332D" w:rsidRPr="00BE78CA">
        <w:t> </w:t>
      </w:r>
      <w:r w:rsidRPr="00BE78CA">
        <w:t>13) and to the Kyoto Protocol unit registry (chapter 14)</w:t>
      </w:r>
    </w:p>
    <w:p w14:paraId="2261CBC1" w14:textId="77777777" w:rsidR="00387C28" w:rsidRPr="00BE78CA" w:rsidRDefault="00387C28" w:rsidP="00387C28">
      <w:pPr>
        <w:pStyle w:val="Bullet"/>
      </w:pPr>
      <w:r w:rsidRPr="00BE78CA">
        <w:t>information related to the implementation of Article 3.14 on the minimisation of adverse impacts on developing country Parties (chapter 15).</w:t>
      </w:r>
    </w:p>
    <w:p w14:paraId="1CD2749F" w14:textId="77777777" w:rsidR="00387C28" w:rsidRPr="00BE78CA" w:rsidRDefault="00387C28" w:rsidP="00053F84">
      <w:pPr>
        <w:pStyle w:val="Heading2"/>
        <w:spacing w:before="320"/>
      </w:pPr>
      <w:bookmarkStart w:id="94" w:name="X3d8ef0902c11d2c20ca27020f96f283b7720eed"/>
      <w:bookmarkStart w:id="95" w:name="_Toc68786289"/>
      <w:r w:rsidRPr="00BE78CA">
        <w:t xml:space="preserve">1.2 </w:t>
      </w:r>
      <w:r w:rsidRPr="00BE78CA">
        <w:tab/>
        <w:t>Description of the national inventory arrangements</w:t>
      </w:r>
      <w:bookmarkEnd w:id="94"/>
      <w:bookmarkEnd w:id="95"/>
    </w:p>
    <w:p w14:paraId="50D0B281" w14:textId="77777777" w:rsidR="00387C28" w:rsidRPr="00BE78CA" w:rsidRDefault="00387C28" w:rsidP="00053F84">
      <w:pPr>
        <w:pStyle w:val="Heading3"/>
        <w:spacing w:before="240"/>
      </w:pPr>
      <w:bookmarkStart w:id="96" w:name="Xcd9072cb7f9986ae7704ae8a82e4c52ab339908"/>
      <w:r w:rsidRPr="00BE78CA">
        <w:t xml:space="preserve">1.2.1 </w:t>
      </w:r>
      <w:r w:rsidRPr="00BE78CA">
        <w:tab/>
        <w:t>Institutional, legal and procedural arrangements</w:t>
      </w:r>
      <w:bookmarkEnd w:id="96"/>
    </w:p>
    <w:p w14:paraId="715CE849" w14:textId="3554C89D" w:rsidR="00387C28" w:rsidRPr="00BE78CA" w:rsidRDefault="00387C28" w:rsidP="00053F84">
      <w:pPr>
        <w:pStyle w:val="BodyText"/>
        <w:spacing w:before="100" w:after="100"/>
      </w:pPr>
      <w:r w:rsidRPr="00BE78CA">
        <w:t>In 2002, New Zealand passed into legislation the Climate Change Response Act 2002. This enabled New Zealand to meet its international obligations under the Convention and Kyoto Protocol. A Prime Ministerial directive for the administration of the 2002 Act named the Ministry for the Environment (MfE) as New Zealand’s ‘inventory agency’. Part 3, section 32, of</w:t>
      </w:r>
      <w:r w:rsidR="00053F84" w:rsidRPr="00BE78CA">
        <w:t> </w:t>
      </w:r>
      <w:r w:rsidRPr="00BE78CA">
        <w:t>the Act specifies the following functions and requirements.</w:t>
      </w:r>
    </w:p>
    <w:p w14:paraId="1448282A" w14:textId="77777777" w:rsidR="00387C28" w:rsidRPr="00BE78CA" w:rsidRDefault="00387C28" w:rsidP="00B82DD4">
      <w:pPr>
        <w:pStyle w:val="BodyText"/>
        <w:spacing w:before="100" w:after="90"/>
      </w:pPr>
      <w:r w:rsidRPr="00BE78CA">
        <w:t>1.</w:t>
      </w:r>
      <w:r w:rsidRPr="00BE78CA">
        <w:tab/>
        <w:t>The primary functions of the inventory agency are to:</w:t>
      </w:r>
    </w:p>
    <w:p w14:paraId="2F399F9C" w14:textId="77777777" w:rsidR="00387C28" w:rsidRPr="00BE78CA" w:rsidRDefault="00387C28" w:rsidP="00B82DD4">
      <w:pPr>
        <w:pStyle w:val="Sub-bullet"/>
        <w:spacing w:after="90"/>
      </w:pPr>
      <w:r w:rsidRPr="00BE78CA">
        <w:t>estimate annually New Zealand’s human-induced emissions by sources and removals by sinks of greenhouse gases; and</w:t>
      </w:r>
    </w:p>
    <w:p w14:paraId="50AD0108" w14:textId="77777777" w:rsidR="00387C28" w:rsidRPr="00BE78CA" w:rsidRDefault="00387C28" w:rsidP="00B82DD4">
      <w:pPr>
        <w:pStyle w:val="Sub-bullet"/>
        <w:spacing w:after="90"/>
      </w:pPr>
      <w:r w:rsidRPr="00BE78CA">
        <w:t>prepare the following reports for the purpose of discharging New Zealand’s obligations:</w:t>
      </w:r>
    </w:p>
    <w:p w14:paraId="180D7630" w14:textId="670E7264" w:rsidR="00387C28" w:rsidRPr="00BE78CA" w:rsidRDefault="00387C28" w:rsidP="00B82DD4">
      <w:pPr>
        <w:pStyle w:val="Sub-listi"/>
        <w:spacing w:after="90"/>
      </w:pPr>
      <w:r w:rsidRPr="00BE78CA">
        <w:t>New Zealand’s annual inventory report under Articles 4 and 12 of the Convention and Article 7.1 of the Protocol, including (but not limited to) the quantities of long-term certified emission reduction units and temporary certified emission reduction units that have expired or have been replaced, retired, or cancelled; and</w:t>
      </w:r>
    </w:p>
    <w:p w14:paraId="577BC097" w14:textId="160217BB" w:rsidR="00387C28" w:rsidRPr="00BE78CA" w:rsidRDefault="00387C28" w:rsidP="00B82DD4">
      <w:pPr>
        <w:pStyle w:val="Sub-listi"/>
        <w:spacing w:after="90"/>
      </w:pPr>
      <w:r w:rsidRPr="00BE78CA">
        <w:t>report of information by New Zealand under Article 13 of the Paris Agreement</w:t>
      </w:r>
      <w:r w:rsidR="00B82DD4" w:rsidRPr="00BE78CA">
        <w:t>;</w:t>
      </w:r>
      <w:r w:rsidRPr="00BE78CA">
        <w:rPr>
          <w:rStyle w:val="FootnoteReference"/>
        </w:rPr>
        <w:footnoteReference w:id="16"/>
      </w:r>
      <w:r w:rsidRPr="00BE78CA">
        <w:t xml:space="preserve"> and</w:t>
      </w:r>
    </w:p>
    <w:p w14:paraId="419840B0" w14:textId="77777777" w:rsidR="00387C28" w:rsidRPr="00BE78CA" w:rsidRDefault="00387C28" w:rsidP="00053F84">
      <w:pPr>
        <w:pStyle w:val="Sub-listi"/>
      </w:pPr>
      <w:r w:rsidRPr="00BE78CA">
        <w:t>New Zealand’s national communication (or periodic report) under Article 7.2 of the Kyoto Protocol and Article 12 of the Convention</w:t>
      </w:r>
    </w:p>
    <w:p w14:paraId="08F685FE" w14:textId="65E3C589" w:rsidR="00387C28" w:rsidRPr="00BE78CA" w:rsidRDefault="000F4F49" w:rsidP="00053F84">
      <w:pPr>
        <w:pStyle w:val="BodyText"/>
        <w:spacing w:before="0" w:after="100"/>
      </w:pPr>
      <w:r w:rsidRPr="00BE78CA">
        <w:lastRenderedPageBreak/>
        <w:t>2.</w:t>
      </w:r>
      <w:r w:rsidRPr="00BE78CA">
        <w:tab/>
      </w:r>
      <w:r w:rsidR="00387C28" w:rsidRPr="00BE78CA">
        <w:t>In carrying out its functions, the inventory agency must:</w:t>
      </w:r>
    </w:p>
    <w:p w14:paraId="747F23E2" w14:textId="77777777" w:rsidR="00387C28" w:rsidRPr="00BE78CA" w:rsidRDefault="00387C28" w:rsidP="00053F84">
      <w:pPr>
        <w:pStyle w:val="Sub-bullet"/>
        <w:spacing w:after="100"/>
      </w:pPr>
      <w:r w:rsidRPr="00BE78CA">
        <w:t>identify source categories</w:t>
      </w:r>
    </w:p>
    <w:p w14:paraId="4C90814C" w14:textId="77777777" w:rsidR="00387C28" w:rsidRPr="00BE78CA" w:rsidRDefault="00387C28" w:rsidP="00053F84">
      <w:pPr>
        <w:pStyle w:val="Sub-bullet"/>
        <w:spacing w:after="100"/>
      </w:pPr>
      <w:r w:rsidRPr="00BE78CA">
        <w:t>collect data by means of:</w:t>
      </w:r>
    </w:p>
    <w:p w14:paraId="5EBD2589" w14:textId="77777777" w:rsidR="00387C28" w:rsidRPr="00BE78CA" w:rsidRDefault="00387C28" w:rsidP="00FA2314">
      <w:pPr>
        <w:pStyle w:val="Sub-listi"/>
        <w:numPr>
          <w:ilvl w:val="1"/>
          <w:numId w:val="22"/>
        </w:numPr>
        <w:spacing w:after="100"/>
      </w:pPr>
      <w:r w:rsidRPr="00BE78CA">
        <w:t>voluntary collection</w:t>
      </w:r>
    </w:p>
    <w:p w14:paraId="1955EC50" w14:textId="77777777" w:rsidR="00387C28" w:rsidRPr="00BE78CA" w:rsidRDefault="00387C28" w:rsidP="00FA2314">
      <w:pPr>
        <w:pStyle w:val="Sub-listi"/>
        <w:numPr>
          <w:ilvl w:val="1"/>
          <w:numId w:val="22"/>
        </w:numPr>
        <w:spacing w:after="100"/>
      </w:pPr>
      <w:r w:rsidRPr="00BE78CA">
        <w:t>collection from government agencies and other agencies that hold relevant information</w:t>
      </w:r>
    </w:p>
    <w:p w14:paraId="10576FFD" w14:textId="77777777" w:rsidR="00387C28" w:rsidRPr="00BE78CA" w:rsidRDefault="00387C28" w:rsidP="00FA2314">
      <w:pPr>
        <w:pStyle w:val="Sub-listi"/>
        <w:numPr>
          <w:ilvl w:val="1"/>
          <w:numId w:val="22"/>
        </w:numPr>
        <w:spacing w:after="100"/>
      </w:pPr>
      <w:r w:rsidRPr="00BE78CA">
        <w:t>collection in accordance with regulations made under this Part (if any)</w:t>
      </w:r>
    </w:p>
    <w:p w14:paraId="056FF5DC" w14:textId="77777777" w:rsidR="00387C28" w:rsidRPr="00BE78CA" w:rsidRDefault="00387C28" w:rsidP="00053F84">
      <w:pPr>
        <w:pStyle w:val="Sub-bullet"/>
        <w:spacing w:after="100"/>
      </w:pPr>
      <w:r w:rsidRPr="00BE78CA">
        <w:t>estimate the emissions and removals by sinks for each source category</w:t>
      </w:r>
    </w:p>
    <w:p w14:paraId="3337AE32" w14:textId="77777777" w:rsidR="00387C28" w:rsidRPr="00BE78CA" w:rsidRDefault="00387C28" w:rsidP="00053F84">
      <w:pPr>
        <w:pStyle w:val="Sub-bullet"/>
        <w:spacing w:after="100"/>
      </w:pPr>
      <w:r w:rsidRPr="00BE78CA">
        <w:t>undertake assessments on uncertainties</w:t>
      </w:r>
    </w:p>
    <w:p w14:paraId="7A22939F" w14:textId="77777777" w:rsidR="00387C28" w:rsidRPr="00BE78CA" w:rsidRDefault="00387C28" w:rsidP="00053F84">
      <w:pPr>
        <w:pStyle w:val="Sub-bullet"/>
        <w:spacing w:after="100"/>
      </w:pPr>
      <w:r w:rsidRPr="00BE78CA">
        <w:t>undertake procedures to verify the data</w:t>
      </w:r>
    </w:p>
    <w:p w14:paraId="1B862457" w14:textId="77777777" w:rsidR="00387C28" w:rsidRPr="00BE78CA" w:rsidRDefault="00387C28" w:rsidP="000F4F49">
      <w:pPr>
        <w:pStyle w:val="Sub-bullet"/>
      </w:pPr>
      <w:r w:rsidRPr="00BE78CA">
        <w:t>retain information and documents to show how the estimates were determined.</w:t>
      </w:r>
    </w:p>
    <w:p w14:paraId="042CCE8A" w14:textId="77777777" w:rsidR="00387C28" w:rsidRPr="00BE78CA" w:rsidRDefault="00387C28" w:rsidP="000F4F49">
      <w:pPr>
        <w:pStyle w:val="BodyText"/>
      </w:pPr>
      <w:r w:rsidRPr="00BE78CA">
        <w:t>Compliance provisions in section 36 of the Act provide for the authorisation of inspectors to collect information needed to estimate emissions or removals of GHGs.</w:t>
      </w:r>
    </w:p>
    <w:p w14:paraId="45FC28B3" w14:textId="77777777" w:rsidR="00387C28" w:rsidRPr="00BE78CA" w:rsidRDefault="00387C28" w:rsidP="00387C28">
      <w:pPr>
        <w:pStyle w:val="BodyText"/>
      </w:pPr>
      <w:r w:rsidRPr="00BE78CA">
        <w:t xml:space="preserve">On 13 November 2017, New Zealand also extended its ratification of the Convention and the Paris Agreement to include Tokelau. This means, </w:t>
      </w:r>
      <w:r w:rsidRPr="00BE78CA">
        <w:rPr>
          <w:iCs/>
        </w:rPr>
        <w:t>among other things</w:t>
      </w:r>
      <w:r w:rsidRPr="00BE78CA">
        <w:t>, that New Zealand’s national GHG inventory shall include the GHG estimates from Tokelau. Further details are included in chapter 8, section 8.1.3.</w:t>
      </w:r>
    </w:p>
    <w:p w14:paraId="75B22714" w14:textId="77777777" w:rsidR="00387C28" w:rsidRPr="00BE78CA" w:rsidRDefault="00387C28" w:rsidP="00387C28">
      <w:pPr>
        <w:pStyle w:val="Heading3"/>
      </w:pPr>
      <w:bookmarkStart w:id="97" w:name="X66a5f8ee1ef6794df3c860c9737842c37eb9602"/>
      <w:r w:rsidRPr="00BE78CA">
        <w:t xml:space="preserve">1.2.2 </w:t>
      </w:r>
      <w:r w:rsidRPr="00BE78CA">
        <w:tab/>
        <w:t>Inventory planning, preparation and management</w:t>
      </w:r>
      <w:bookmarkEnd w:id="97"/>
    </w:p>
    <w:p w14:paraId="4E92121E" w14:textId="77777777" w:rsidR="00387C28" w:rsidRPr="00BE78CA" w:rsidRDefault="00387C28" w:rsidP="00387C28">
      <w:pPr>
        <w:pStyle w:val="BodyText"/>
      </w:pPr>
      <w:r w:rsidRPr="00BE78CA">
        <w:t>New Zealand is required under Article 5.1 of the Kyoto Protocol to have a national system for its inventory. New Zealand provided a full description of the national system in its initial report under the Kyoto Protocol (Ministry for the Environment, 2006). Changes to the national inventory system are documented in section 1.2.4 and chapter 13 of this submission.</w:t>
      </w:r>
    </w:p>
    <w:p w14:paraId="54CDD972" w14:textId="77777777" w:rsidR="00387C28" w:rsidRPr="00BE78CA" w:rsidRDefault="00387C28" w:rsidP="00387C28">
      <w:pPr>
        <w:pStyle w:val="BodyText"/>
      </w:pPr>
      <w:r w:rsidRPr="00BE78CA">
        <w:t>New Zealand has developed national inventory system guidelines that document the tasks required to officially submit the inventory. These guidelines cover multiple aspects of the production of the inventory: inventory management, inventory planning and preparation, quality assurance and quality control (QA/QC) processes, communication and error management. This is a living document that is updated as required.</w:t>
      </w:r>
    </w:p>
    <w:p w14:paraId="781BCE5E" w14:textId="77777777" w:rsidR="00387C28" w:rsidRPr="00BE78CA" w:rsidRDefault="00387C28" w:rsidP="00387C28">
      <w:pPr>
        <w:pStyle w:val="Heading4"/>
      </w:pPr>
      <w:bookmarkStart w:id="98" w:name="inventory-management"/>
      <w:r w:rsidRPr="00BE78CA">
        <w:t>Inventory management</w:t>
      </w:r>
      <w:bookmarkEnd w:id="98"/>
    </w:p>
    <w:p w14:paraId="5DC8D1D3" w14:textId="0B6B7BBC" w:rsidR="00387C28" w:rsidRPr="00BE78CA" w:rsidRDefault="00387C28" w:rsidP="00387C28">
      <w:pPr>
        <w:pStyle w:val="BodyText"/>
      </w:pPr>
      <w:r w:rsidRPr="00BE78CA">
        <w:t>New Zealand uses a hybrid (centralised/distributed) approach to management for the inventory programme. Management and coordination of the inventory programme, as well</w:t>
      </w:r>
      <w:r w:rsidR="000F4F49" w:rsidRPr="00BE78CA">
        <w:t> </w:t>
      </w:r>
      <w:r w:rsidRPr="00BE78CA">
        <w:t>as</w:t>
      </w:r>
      <w:r w:rsidR="000F4F49" w:rsidRPr="00BE78CA">
        <w:t> </w:t>
      </w:r>
      <w:r w:rsidRPr="00BE78CA">
        <w:t>compilation, publication and submission of the inventory, are carried out by the inventory agency (MfE) in a centralised manner. Sector-specific work, which includes obtaining</w:t>
      </w:r>
      <w:r w:rsidR="000F4F49" w:rsidRPr="00BE78CA">
        <w:t> </w:t>
      </w:r>
      <w:r w:rsidRPr="00BE78CA">
        <w:t>and processing activity data, estimating emissions, preparing sectoral CRF tables</w:t>
      </w:r>
      <w:r w:rsidR="00053F84" w:rsidRPr="00BE78CA">
        <w:t> </w:t>
      </w:r>
      <w:r w:rsidRPr="00BE78CA">
        <w:t>and</w:t>
      </w:r>
      <w:r w:rsidR="000F4F49" w:rsidRPr="00BE78CA">
        <w:t> </w:t>
      </w:r>
      <w:r w:rsidRPr="00BE78CA">
        <w:t>writing sectoral inventory chapters, is carried out by a number of designated government</w:t>
      </w:r>
      <w:r w:rsidR="000F4F49" w:rsidRPr="00BE78CA">
        <w:t> </w:t>
      </w:r>
      <w:r w:rsidRPr="00BE78CA">
        <w:t>departments.</w:t>
      </w:r>
    </w:p>
    <w:p w14:paraId="7C267838" w14:textId="03A5E7A9" w:rsidR="00387C28" w:rsidRPr="00BE78CA" w:rsidRDefault="00387C28" w:rsidP="00387C28">
      <w:pPr>
        <w:pStyle w:val="BodyText"/>
      </w:pPr>
      <w:r w:rsidRPr="00BE78CA">
        <w:t>MfE is New Zealand’s inventory agency. It is responsible for the overall coordination, compilation and submission of the inventory to the UNFCCC secretariat. The National Inventory Compiler is based at MfE. Arrangements with other government departments have</w:t>
      </w:r>
      <w:r w:rsidR="00053F84" w:rsidRPr="00BE78CA">
        <w:t> </w:t>
      </w:r>
      <w:r w:rsidRPr="00BE78CA">
        <w:t>evolved as resources and capacity have allowed and as a greater understanding of the</w:t>
      </w:r>
      <w:r w:rsidR="00B82DD4" w:rsidRPr="00BE78CA">
        <w:t> </w:t>
      </w:r>
      <w:r w:rsidRPr="00BE78CA">
        <w:t>reporting requirements has been attained.</w:t>
      </w:r>
    </w:p>
    <w:p w14:paraId="6ADF041D" w14:textId="03E2E263" w:rsidR="00387C28" w:rsidRPr="00BE78CA" w:rsidRDefault="00387C28" w:rsidP="00387C28">
      <w:pPr>
        <w:pStyle w:val="BodyText"/>
      </w:pPr>
      <w:r w:rsidRPr="00BE78CA">
        <w:lastRenderedPageBreak/>
        <w:t>Inventory governance within each sector, as well as sector-level quality control, is managed by</w:t>
      </w:r>
      <w:r w:rsidR="000F4F49" w:rsidRPr="00BE78CA">
        <w:t> </w:t>
      </w:r>
      <w:r w:rsidRPr="00BE78CA">
        <w:t>the departments responsible for the sectors. The Reporting Governance Group (RGG) provides cross-agency governance over the climate change reporting, modelling and projections of GHG emissions and removals. The RGG is chaired by MfE, and its membership includes representation from the Ministry for Primary Industries (MPI), the Ministry of Business, Innovation and Employment (MBIE) and the Environmental Protection Authority (EPA), as well as some observers (e.g., Ministry of Foreign Affairs and Trade (MFAT), Government of Tokelau and Stats NZ). The main roles and expectations of the RGG include:</w:t>
      </w:r>
    </w:p>
    <w:p w14:paraId="08ADAB79" w14:textId="77777777" w:rsidR="00387C28" w:rsidRPr="00BE78CA" w:rsidRDefault="00387C28" w:rsidP="000F4F49">
      <w:pPr>
        <w:pStyle w:val="Bullet"/>
      </w:pPr>
      <w:r w:rsidRPr="00BE78CA">
        <w:t>guiding, conferring and approving (on the basis of advice from technical experts) major inventory recalculations and improvements, GHG emissions projections and their assumptions, analytical systems and tools for climate change reporting, planning and priorities, key messages, and management of stakeholders and risks</w:t>
      </w:r>
    </w:p>
    <w:p w14:paraId="0997F9D5" w14:textId="77777777" w:rsidR="00387C28" w:rsidRPr="00BE78CA" w:rsidRDefault="00387C28" w:rsidP="000F4F49">
      <w:pPr>
        <w:pStyle w:val="Bullet"/>
      </w:pPr>
      <w:r w:rsidRPr="00BE78CA">
        <w:t>focusing on the delivery of reporting commitments to meet national and international requirements</w:t>
      </w:r>
    </w:p>
    <w:p w14:paraId="26580EB0" w14:textId="77777777" w:rsidR="00387C28" w:rsidRPr="00BE78CA" w:rsidRDefault="00387C28" w:rsidP="000F4F49">
      <w:pPr>
        <w:pStyle w:val="Bullet"/>
      </w:pPr>
      <w:r w:rsidRPr="00BE78CA">
        <w:t>providing reporting leadership and guidance to analysts and technical specialists involved in this work</w:t>
      </w:r>
    </w:p>
    <w:p w14:paraId="1B383328" w14:textId="77777777" w:rsidR="00387C28" w:rsidRPr="00BE78CA" w:rsidRDefault="00387C28" w:rsidP="000F4F49">
      <w:pPr>
        <w:pStyle w:val="Bullet"/>
      </w:pPr>
      <w:r w:rsidRPr="00BE78CA">
        <w:t>sharing information, providing feedback and resolving any differences between departments that impact on the delivery of the work programme</w:t>
      </w:r>
    </w:p>
    <w:p w14:paraId="560F485E" w14:textId="50FCD657" w:rsidR="00387C28" w:rsidRPr="00BE78CA" w:rsidRDefault="00387C28" w:rsidP="000F4F49">
      <w:pPr>
        <w:pStyle w:val="Bullet"/>
      </w:pPr>
      <w:r w:rsidRPr="00BE78CA">
        <w:t>monitoring and reporting to the Climate Change Directors Group (a cross-agency group that oversees New Zealand’s international and domestic climate change policy) on the ‘big</w:t>
      </w:r>
      <w:r w:rsidR="00053F84" w:rsidRPr="00BE78CA">
        <w:t> </w:t>
      </w:r>
      <w:r w:rsidRPr="00BE78CA">
        <w:t>picture’ of the reporting work programme, direction, progress in delivery and capability to deliver.</w:t>
      </w:r>
    </w:p>
    <w:p w14:paraId="235818E4" w14:textId="77777777" w:rsidR="00387C28" w:rsidRPr="00BE78CA" w:rsidRDefault="00387C28" w:rsidP="00387C28">
      <w:pPr>
        <w:pStyle w:val="BodyText"/>
      </w:pPr>
      <w:r w:rsidRPr="00BE78CA">
        <w:t>Apart from its overall inventory coordination role, MfE also compiles emissions estimates for:</w:t>
      </w:r>
    </w:p>
    <w:p w14:paraId="05BF9509" w14:textId="77777777" w:rsidR="00387C28" w:rsidRPr="00BE78CA" w:rsidRDefault="00387C28" w:rsidP="000F4F49">
      <w:pPr>
        <w:pStyle w:val="Bullet"/>
      </w:pPr>
      <w:r w:rsidRPr="00BE78CA">
        <w:t>the IPPU sector (non-CO</w:t>
      </w:r>
      <w:r w:rsidRPr="00BE78CA">
        <w:rPr>
          <w:vertAlign w:val="subscript"/>
        </w:rPr>
        <w:t>2</w:t>
      </w:r>
      <w:r w:rsidRPr="00BE78CA">
        <w:t xml:space="preserve"> gases through industry surveys and CO</w:t>
      </w:r>
      <w:r w:rsidRPr="00BE78CA">
        <w:rPr>
          <w:vertAlign w:val="subscript"/>
        </w:rPr>
        <w:t>2</w:t>
      </w:r>
      <w:r w:rsidRPr="00BE78CA">
        <w:t xml:space="preserve"> data provided by MBIE and the EPA)</w:t>
      </w:r>
    </w:p>
    <w:p w14:paraId="21C52235" w14:textId="77777777" w:rsidR="00387C28" w:rsidRPr="00BE78CA" w:rsidRDefault="00387C28" w:rsidP="000F4F49">
      <w:pPr>
        <w:pStyle w:val="Bullet"/>
      </w:pPr>
      <w:r w:rsidRPr="00BE78CA">
        <w:t>the Waste sector</w:t>
      </w:r>
    </w:p>
    <w:p w14:paraId="22BE1DFA" w14:textId="77777777" w:rsidR="00387C28" w:rsidRPr="00BE78CA" w:rsidRDefault="00387C28" w:rsidP="000F4F49">
      <w:pPr>
        <w:pStyle w:val="Bullet"/>
      </w:pPr>
      <w:r w:rsidRPr="00BE78CA">
        <w:t xml:space="preserve">emissions and removals for the LULUCF sector </w:t>
      </w:r>
    </w:p>
    <w:p w14:paraId="7290C7AC" w14:textId="77777777" w:rsidR="00387C28" w:rsidRPr="00BE78CA" w:rsidRDefault="00387C28" w:rsidP="000F4F49">
      <w:pPr>
        <w:pStyle w:val="Bullet"/>
      </w:pPr>
      <w:r w:rsidRPr="00BE78CA">
        <w:t>Article 3.3 and Article 3.4 activities under the Kyoto Protocol.</w:t>
      </w:r>
    </w:p>
    <w:p w14:paraId="3749191B" w14:textId="77777777" w:rsidR="00387C28" w:rsidRPr="00BE78CA" w:rsidRDefault="00387C28" w:rsidP="00387C28">
      <w:pPr>
        <w:pStyle w:val="BodyText"/>
      </w:pPr>
      <w:r w:rsidRPr="00BE78CA">
        <w:t>MfE conducts field measurement programmes within the LULUCF sector. It undertakes land use mapping from satellite imagery to report on emissions and removals for the LULUCF sector and Article 3.3 and Article 3.4 activities under the Kyoto Protocol. This is supplemented with data on harvested wood products production and non-CO</w:t>
      </w:r>
      <w:r w:rsidRPr="00BE78CA">
        <w:rPr>
          <w:vertAlign w:val="subscript"/>
        </w:rPr>
        <w:t>2</w:t>
      </w:r>
      <w:r w:rsidRPr="00BE78CA">
        <w:t xml:space="preserve"> emissions collected through surveys of the sector.</w:t>
      </w:r>
    </w:p>
    <w:p w14:paraId="0A54F1F6" w14:textId="77777777" w:rsidR="00387C28" w:rsidRPr="00BE78CA" w:rsidRDefault="00387C28" w:rsidP="00387C28">
      <w:pPr>
        <w:pStyle w:val="BodyText"/>
      </w:pPr>
      <w:r w:rsidRPr="00BE78CA">
        <w:t>MfE coordinates with the Tokelau Ministry of Climate, Oceans and Resilience (MiCORE; formerly known as the Climate Change Agency) on Tokelau’s inventory data and information.</w:t>
      </w:r>
    </w:p>
    <w:p w14:paraId="77D312FA" w14:textId="77777777" w:rsidR="00387C28" w:rsidRPr="00BE78CA" w:rsidRDefault="00387C28" w:rsidP="00387C28">
      <w:pPr>
        <w:pStyle w:val="BodyText"/>
      </w:pPr>
      <w:r w:rsidRPr="00BE78CA">
        <w:t>MBIE estimates all emissions from the Energy sector and CO</w:t>
      </w:r>
      <w:r w:rsidRPr="00BE78CA">
        <w:rPr>
          <w:vertAlign w:val="subscript"/>
        </w:rPr>
        <w:t>2</w:t>
      </w:r>
      <w:r w:rsidRPr="00BE78CA">
        <w:t xml:space="preserve"> emissions from the IPPU sector, based in part on Emissions Trading Scheme (ETS) returns.</w:t>
      </w:r>
    </w:p>
    <w:p w14:paraId="778BEBE4" w14:textId="77777777" w:rsidR="00387C28" w:rsidRPr="00BE78CA" w:rsidRDefault="00387C28" w:rsidP="00387C28">
      <w:pPr>
        <w:pStyle w:val="BodyText"/>
      </w:pPr>
      <w:r w:rsidRPr="00BE78CA">
        <w:t>MPI estimates emissions from the Agriculture sector. The estimates are underpinned by research and modelling undertaken at New Zealand’s Crown research institutes, universities and private research companies, and survey data collected by the national statistics agency Stats NZ and key sector organisations.</w:t>
      </w:r>
    </w:p>
    <w:p w14:paraId="4DE57965" w14:textId="77777777" w:rsidR="00387C28" w:rsidRPr="00BE78CA" w:rsidRDefault="00387C28" w:rsidP="00387C28">
      <w:pPr>
        <w:pStyle w:val="BodyText"/>
      </w:pPr>
      <w:r w:rsidRPr="00BE78CA">
        <w:lastRenderedPageBreak/>
        <w:t>Stats NZ also provides population census data for producing the Waste and IPPU sectors’ emissions estimates and livestock statistics data for estimating emissions from the Agriculture and Waste sectors.</w:t>
      </w:r>
    </w:p>
    <w:p w14:paraId="776F035C" w14:textId="77777777" w:rsidR="00387C28" w:rsidRPr="00BE78CA" w:rsidRDefault="00387C28" w:rsidP="00387C28">
      <w:pPr>
        <w:pStyle w:val="BodyText"/>
      </w:pPr>
      <w:r w:rsidRPr="00BE78CA">
        <w:t>MFAT provides information on the minimisation of adverse impacts under Article 13.4 of the Kyoto Protocol, as reported in chapter 15.</w:t>
      </w:r>
    </w:p>
    <w:p w14:paraId="78E0E14C" w14:textId="77777777" w:rsidR="00387C28" w:rsidRPr="00BE78CA" w:rsidRDefault="00387C28" w:rsidP="00387C28">
      <w:pPr>
        <w:pStyle w:val="BodyText"/>
      </w:pPr>
      <w:r w:rsidRPr="00BE78CA">
        <w:t>MiCORE and the Tokelau National Statistics Office coordinate efforts in activity data collection and data processing for estimating emissions from Tokelau for all inventory sectors.</w:t>
      </w:r>
    </w:p>
    <w:p w14:paraId="66300AA2" w14:textId="26B65457" w:rsidR="00387C28" w:rsidRPr="00BE78CA" w:rsidRDefault="00387C28" w:rsidP="00387C28">
      <w:pPr>
        <w:pStyle w:val="BodyText"/>
      </w:pPr>
      <w:r w:rsidRPr="00BE78CA">
        <w:t>The Climate Change Response Act 2002 establishes the requirement for a registry and a registrar. The EPA is the designated agency responsible for the implementation and operation</w:t>
      </w:r>
      <w:r w:rsidR="00053F84" w:rsidRPr="00BE78CA">
        <w:t> </w:t>
      </w:r>
      <w:r w:rsidRPr="00BE78CA">
        <w:t>of New Zealand’s national registry under the Kyoto Protocol, the New Zealand Emissions Trading Register. The registry is electronic and accessible via the internet (</w:t>
      </w:r>
      <w:hyperlink r:id="rId30">
        <w:r w:rsidRPr="00BE78CA">
          <w:t>www.emissionsregister.govt.nz</w:t>
        </w:r>
      </w:hyperlink>
      <w:r w:rsidRPr="00BE78CA">
        <w:t>). Information on the annual holdings and transactions of transferred and acquired units under the Kyoto Protocol is provided in the SEF tables accompanying this submission. Refer to chapters 12 and 14 for further information.</w:t>
      </w:r>
    </w:p>
    <w:p w14:paraId="5C14C397" w14:textId="7658299F" w:rsidR="00387C28" w:rsidRPr="00BE78CA" w:rsidRDefault="00387C28" w:rsidP="00387C28">
      <w:pPr>
        <w:pStyle w:val="BodyText"/>
      </w:pPr>
      <w:r w:rsidRPr="00BE78CA">
        <w:t>The above arrangements are presented in figure 1.2.1, which shows the specific responsibilities of different agencies involved in the inventory production as well as their</w:t>
      </w:r>
      <w:r w:rsidR="00053F84" w:rsidRPr="00BE78CA">
        <w:t> </w:t>
      </w:r>
      <w:r w:rsidRPr="00BE78CA">
        <w:t>contribution to the inventory submission.</w:t>
      </w:r>
    </w:p>
    <w:p w14:paraId="23A0506C" w14:textId="77777777" w:rsidR="00387C28" w:rsidRPr="00BE78CA" w:rsidRDefault="00387C28" w:rsidP="00387C28">
      <w:pPr>
        <w:pStyle w:val="Figure"/>
      </w:pPr>
      <w:bookmarkStart w:id="99" w:name="_Toc68786618"/>
      <w:r w:rsidRPr="00BE78CA">
        <w:lastRenderedPageBreak/>
        <w:t xml:space="preserve">Figure 1.2.1 </w:t>
      </w:r>
      <w:r w:rsidRPr="00BE78CA">
        <w:tab/>
        <w:t>New Zealand’s inventory system at a glance: how different agencies are involved</w:t>
      </w:r>
      <w:bookmarkEnd w:id="99"/>
    </w:p>
    <w:p w14:paraId="583A0D89" w14:textId="77777777" w:rsidR="00387C28" w:rsidRPr="00BE78CA" w:rsidRDefault="00387C28" w:rsidP="00387C28">
      <w:pPr>
        <w:pStyle w:val="BodyText"/>
      </w:pPr>
      <w:r w:rsidRPr="00BE78CA">
        <w:rPr>
          <w:noProof/>
        </w:rPr>
        <w:drawing>
          <wp:inline distT="0" distB="0" distL="0" distR="0" wp14:anchorId="6B009C48" wp14:editId="117853E5">
            <wp:extent cx="5397500" cy="5672082"/>
            <wp:effectExtent l="0" t="0" r="0" b="0"/>
            <wp:docPr id="8" name="Picture"/>
            <wp:cNvGraphicFramePr/>
            <a:graphic xmlns:a="http://schemas.openxmlformats.org/drawingml/2006/main">
              <a:graphicData uri="http://schemas.openxmlformats.org/drawingml/2006/picture">
                <pic:pic xmlns:pic="http://schemas.openxmlformats.org/drawingml/2006/picture">
                  <pic:nvPicPr>
                    <pic:cNvPr id="0" name="Picture" descr="images/fig_1_2_1.png"/>
                    <pic:cNvPicPr>
                      <a:picLocks noChangeAspect="1" noChangeArrowheads="1"/>
                    </pic:cNvPicPr>
                  </pic:nvPicPr>
                  <pic:blipFill>
                    <a:blip r:embed="rId31"/>
                    <a:stretch>
                      <a:fillRect/>
                    </a:stretch>
                  </pic:blipFill>
                  <pic:spPr bwMode="auto">
                    <a:xfrm>
                      <a:off x="0" y="0"/>
                      <a:ext cx="5397500" cy="5672082"/>
                    </a:xfrm>
                    <a:prstGeom prst="rect">
                      <a:avLst/>
                    </a:prstGeom>
                    <a:noFill/>
                    <a:ln w="9525">
                      <a:noFill/>
                      <a:headEnd/>
                      <a:tailEnd/>
                    </a:ln>
                  </pic:spPr>
                </pic:pic>
              </a:graphicData>
            </a:graphic>
          </wp:inline>
        </w:drawing>
      </w:r>
    </w:p>
    <w:p w14:paraId="4626137E" w14:textId="4CDA10D7" w:rsidR="00387C28" w:rsidRPr="00BE78CA" w:rsidRDefault="00387C28" w:rsidP="00387C28">
      <w:pPr>
        <w:pStyle w:val="Noteundertable"/>
      </w:pPr>
      <w:r w:rsidRPr="00BE78CA">
        <w:rPr>
          <w:b/>
        </w:rPr>
        <w:t>Note:</w:t>
      </w:r>
      <w:r w:rsidRPr="00BE78CA">
        <w:t xml:space="preserve"> </w:t>
      </w:r>
      <w:r w:rsidRPr="00BE78CA">
        <w:tab/>
        <w:t>EPA = Environmental Protection Authority; ETS = Emissions Trading Scheme; IPPU = Industrial Processes and</w:t>
      </w:r>
      <w:r w:rsidR="00DE5142" w:rsidRPr="00BE78CA">
        <w:t> </w:t>
      </w:r>
      <w:r w:rsidRPr="00BE78CA">
        <w:t>Product Use; KP-LULUCF = Land Use, Land-Use Change and Forestry activities under the Kyoto Protocol; LULUCF = Land Use, Land-Use Change and Forestry; MBIE = Ministry of Business, Innovation and Employment; MFAT = Ministry of Foreign Affairs and Trade; MfE = Ministry for the Environment; MiCORE</w:t>
      </w:r>
      <w:r w:rsidR="00DE5142" w:rsidRPr="00BE78CA">
        <w:t> </w:t>
      </w:r>
      <w:r w:rsidRPr="00BE78CA">
        <w:t>=</w:t>
      </w:r>
      <w:r w:rsidR="00DE5142" w:rsidRPr="00BE78CA">
        <w:t> </w:t>
      </w:r>
      <w:r w:rsidRPr="00BE78CA">
        <w:t>Ministry of Climate, Oceans and Resilience (Tokelau); MPI = Ministry for Primary Industries; QC</w:t>
      </w:r>
      <w:r w:rsidR="00DE5142" w:rsidRPr="00BE78CA">
        <w:t> </w:t>
      </w:r>
      <w:r w:rsidRPr="00BE78CA">
        <w:t>=</w:t>
      </w:r>
      <w:r w:rsidR="00DE5142" w:rsidRPr="00BE78CA">
        <w:t> </w:t>
      </w:r>
      <w:r w:rsidRPr="00BE78CA">
        <w:t>quality control.</w:t>
      </w:r>
    </w:p>
    <w:p w14:paraId="3DC690A1" w14:textId="77777777" w:rsidR="00387C28" w:rsidRPr="00BE78CA" w:rsidRDefault="00387C28" w:rsidP="00CA3E16">
      <w:pPr>
        <w:pStyle w:val="Heading4"/>
      </w:pPr>
      <w:bookmarkStart w:id="100" w:name="inventory-planning-and-preparation"/>
      <w:r w:rsidRPr="00BE78CA">
        <w:lastRenderedPageBreak/>
        <w:t>Inventory planning and preparation</w:t>
      </w:r>
      <w:bookmarkEnd w:id="100"/>
    </w:p>
    <w:p w14:paraId="05A751C0" w14:textId="77777777" w:rsidR="00387C28" w:rsidRPr="00BE78CA" w:rsidRDefault="00387C28" w:rsidP="00CA3E16">
      <w:pPr>
        <w:pStyle w:val="BodyText"/>
        <w:keepNext/>
      </w:pPr>
      <w:r w:rsidRPr="00BE78CA">
        <w:t>A summary of the inventory planning and preparation process is presented in figure 1.2.2.</w:t>
      </w:r>
    </w:p>
    <w:p w14:paraId="7EF7DD61" w14:textId="77777777" w:rsidR="00387C28" w:rsidRPr="00BE78CA" w:rsidRDefault="00387C28" w:rsidP="00387C28">
      <w:pPr>
        <w:pStyle w:val="Figure"/>
      </w:pPr>
      <w:bookmarkStart w:id="101" w:name="_Toc68786619"/>
      <w:r w:rsidRPr="00BE78CA">
        <w:t xml:space="preserve">Figure 1.2.2 </w:t>
      </w:r>
      <w:r w:rsidRPr="00BE78CA">
        <w:tab/>
        <w:t>Summary of New Zealand’s inventory planning and preparation</w:t>
      </w:r>
      <w:bookmarkEnd w:id="101"/>
    </w:p>
    <w:p w14:paraId="05F4E002" w14:textId="77777777" w:rsidR="00387C28" w:rsidRPr="00BE78CA" w:rsidRDefault="00387C28" w:rsidP="00387C28">
      <w:pPr>
        <w:pStyle w:val="BodyText"/>
      </w:pPr>
      <w:r w:rsidRPr="00BE78CA">
        <w:rPr>
          <w:noProof/>
        </w:rPr>
        <w:drawing>
          <wp:inline distT="0" distB="0" distL="0" distR="0" wp14:anchorId="503734A8" wp14:editId="70EC0145">
            <wp:extent cx="5397500" cy="6394221"/>
            <wp:effectExtent l="0" t="0" r="0" b="0"/>
            <wp:docPr id="9" name="Picture"/>
            <wp:cNvGraphicFramePr/>
            <a:graphic xmlns:a="http://schemas.openxmlformats.org/drawingml/2006/main">
              <a:graphicData uri="http://schemas.openxmlformats.org/drawingml/2006/picture">
                <pic:pic xmlns:pic="http://schemas.openxmlformats.org/drawingml/2006/picture">
                  <pic:nvPicPr>
                    <pic:cNvPr id="0" name="Picture" descr="images/fig_1_2_2.png"/>
                    <pic:cNvPicPr>
                      <a:picLocks noChangeAspect="1" noChangeArrowheads="1"/>
                    </pic:cNvPicPr>
                  </pic:nvPicPr>
                  <pic:blipFill>
                    <a:blip r:embed="rId32"/>
                    <a:stretch>
                      <a:fillRect/>
                    </a:stretch>
                  </pic:blipFill>
                  <pic:spPr bwMode="auto">
                    <a:xfrm>
                      <a:off x="0" y="0"/>
                      <a:ext cx="5397500" cy="6394221"/>
                    </a:xfrm>
                    <a:prstGeom prst="rect">
                      <a:avLst/>
                    </a:prstGeom>
                    <a:noFill/>
                    <a:ln w="9525">
                      <a:noFill/>
                      <a:headEnd/>
                      <a:tailEnd/>
                    </a:ln>
                  </pic:spPr>
                </pic:pic>
              </a:graphicData>
            </a:graphic>
          </wp:inline>
        </w:drawing>
      </w:r>
    </w:p>
    <w:p w14:paraId="1E425351" w14:textId="77777777" w:rsidR="00387C28" w:rsidRPr="00BE78CA" w:rsidRDefault="00387C28" w:rsidP="00387C28">
      <w:pPr>
        <w:pStyle w:val="Noteundertable"/>
      </w:pPr>
      <w:r w:rsidRPr="00BE78CA">
        <w:rPr>
          <w:b/>
        </w:rPr>
        <w:t>Note:</w:t>
      </w:r>
      <w:r w:rsidRPr="00BE78CA">
        <w:t xml:space="preserve"> </w:t>
      </w:r>
      <w:r w:rsidRPr="00BE78CA">
        <w:tab/>
        <w:t>CRF = common reporting format; NIR = National Inventory Report; PR = peer review;</w:t>
      </w:r>
      <w:r w:rsidRPr="00BE78CA">
        <w:br/>
        <w:t>QC = quality control.</w:t>
      </w:r>
    </w:p>
    <w:p w14:paraId="718312CE" w14:textId="77777777" w:rsidR="00387C28" w:rsidRPr="00BE78CA" w:rsidRDefault="00387C28" w:rsidP="00387C28">
      <w:pPr>
        <w:pStyle w:val="Heading5"/>
      </w:pPr>
      <w:bookmarkStart w:id="102" w:name="inventory-planning"/>
      <w:r w:rsidRPr="00BE78CA">
        <w:t>Inventory planning</w:t>
      </w:r>
      <w:bookmarkEnd w:id="102"/>
    </w:p>
    <w:p w14:paraId="4C755482" w14:textId="77777777" w:rsidR="00387C28" w:rsidRPr="00BE78CA" w:rsidRDefault="00387C28" w:rsidP="00387C28">
      <w:pPr>
        <w:pStyle w:val="BodyText"/>
      </w:pPr>
      <w:r w:rsidRPr="00BE78CA">
        <w:t>Inventory planning is a two-phase process. The first phase, intrinsic sectoral planning, involves planning for the inventory compilation at the sector level. This includes planning for technical projects, actions and procedures that are specific to each sector. The second phase, national compilation and publication planning, involves planning for the cross-sectoral compilation.</w:t>
      </w:r>
    </w:p>
    <w:p w14:paraId="4C37D9D0" w14:textId="77777777" w:rsidR="00387C28" w:rsidRPr="00BE78CA" w:rsidRDefault="00387C28" w:rsidP="00387C28">
      <w:pPr>
        <w:pStyle w:val="BodyText"/>
      </w:pPr>
      <w:r w:rsidRPr="00BE78CA">
        <w:lastRenderedPageBreak/>
        <w:t>Once the intrinsic sectoral planning is complete, the plans are coordinated between the agencies and adjustments made as necessary. This usually happens through a lessons learned workshop and a production planning workshop. The lessons learned workshop is dedicated to the analysis of what worked well and what did not in the previous inventory cycle. During the production planning workshop, the following are discussed and agreed:</w:t>
      </w:r>
    </w:p>
    <w:p w14:paraId="15ABF18F" w14:textId="77777777" w:rsidR="00387C28" w:rsidRPr="00BE78CA" w:rsidRDefault="00387C28" w:rsidP="00387C28">
      <w:pPr>
        <w:pStyle w:val="Bullet"/>
      </w:pPr>
      <w:r w:rsidRPr="00BE78CA">
        <w:t>inventory deliverables</w:t>
      </w:r>
    </w:p>
    <w:p w14:paraId="005EAB22" w14:textId="77777777" w:rsidR="00387C28" w:rsidRPr="00BE78CA" w:rsidRDefault="00387C28" w:rsidP="00387C28">
      <w:pPr>
        <w:pStyle w:val="Bullet"/>
      </w:pPr>
      <w:r w:rsidRPr="00BE78CA">
        <w:t>QC deliverables</w:t>
      </w:r>
    </w:p>
    <w:p w14:paraId="4AD7E2F6" w14:textId="77777777" w:rsidR="00387C28" w:rsidRPr="00BE78CA" w:rsidRDefault="00387C28" w:rsidP="00387C28">
      <w:pPr>
        <w:pStyle w:val="Bullet"/>
      </w:pPr>
      <w:r w:rsidRPr="00BE78CA">
        <w:t>schedule of major milestones</w:t>
      </w:r>
    </w:p>
    <w:p w14:paraId="572AC644" w14:textId="77777777" w:rsidR="00387C28" w:rsidRPr="00BE78CA" w:rsidRDefault="00387C28" w:rsidP="00387C28">
      <w:pPr>
        <w:pStyle w:val="Bullet"/>
      </w:pPr>
      <w:r w:rsidRPr="00BE78CA">
        <w:t>changes to chapter structure</w:t>
      </w:r>
    </w:p>
    <w:p w14:paraId="1F051132" w14:textId="77777777" w:rsidR="00387C28" w:rsidRPr="00BE78CA" w:rsidRDefault="00387C28" w:rsidP="00387C28">
      <w:pPr>
        <w:pStyle w:val="Bullet"/>
      </w:pPr>
      <w:r w:rsidRPr="00BE78CA">
        <w:t>approach for solving problems during inventory preparation.</w:t>
      </w:r>
    </w:p>
    <w:p w14:paraId="2071739F" w14:textId="77777777" w:rsidR="00387C28" w:rsidRPr="00BE78CA" w:rsidRDefault="00387C28" w:rsidP="00387C28">
      <w:pPr>
        <w:pStyle w:val="BodyText"/>
      </w:pPr>
      <w:r w:rsidRPr="00BE78CA">
        <w:t>The second phase of the inventory planning, the national compilation and publication planning workshop, is dedicated to cross-sectoral compilation. The workshop occurs towards the end of each calendar year. During this workshop, different aspects of the compilation process are discussed and a detailed plan for the cross-sectoral compilation and publication is agreed. Participants in the workshop include MfE’s publication and public liaison teams as well as the inventory production team. During the national compilation and publication planning workshop, the following are discussed and agreed:</w:t>
      </w:r>
    </w:p>
    <w:p w14:paraId="3B6D670A" w14:textId="77777777" w:rsidR="00387C28" w:rsidRPr="00BE78CA" w:rsidRDefault="00387C28" w:rsidP="009A36CA">
      <w:pPr>
        <w:pStyle w:val="Bullet"/>
        <w:numPr>
          <w:ilvl w:val="0"/>
          <w:numId w:val="19"/>
        </w:numPr>
      </w:pPr>
      <w:r w:rsidRPr="00BE78CA">
        <w:t>national compilation timeline</w:t>
      </w:r>
    </w:p>
    <w:p w14:paraId="6F16C106" w14:textId="77777777" w:rsidR="00387C28" w:rsidRPr="00BE78CA" w:rsidRDefault="00387C28" w:rsidP="009A36CA">
      <w:pPr>
        <w:pStyle w:val="Bullet"/>
        <w:numPr>
          <w:ilvl w:val="0"/>
          <w:numId w:val="19"/>
        </w:numPr>
      </w:pPr>
      <w:r w:rsidRPr="00BE78CA">
        <w:t>publication timeline</w:t>
      </w:r>
    </w:p>
    <w:p w14:paraId="56F7ED94" w14:textId="77777777" w:rsidR="00387C28" w:rsidRPr="00BE78CA" w:rsidRDefault="00387C28" w:rsidP="009A36CA">
      <w:pPr>
        <w:pStyle w:val="Bullet"/>
        <w:numPr>
          <w:ilvl w:val="0"/>
          <w:numId w:val="19"/>
        </w:numPr>
      </w:pPr>
      <w:r w:rsidRPr="00BE78CA">
        <w:t>public relations timeline.</w:t>
      </w:r>
    </w:p>
    <w:p w14:paraId="00621DE9" w14:textId="77777777" w:rsidR="00387C28" w:rsidRPr="00BE78CA" w:rsidRDefault="00387C28" w:rsidP="00387C28">
      <w:pPr>
        <w:pStyle w:val="BodyText"/>
      </w:pPr>
      <w:r w:rsidRPr="00BE78CA">
        <w:t>Lessons learned are also considered in developing the plan.</w:t>
      </w:r>
    </w:p>
    <w:p w14:paraId="4F2230A3" w14:textId="2F8B523A" w:rsidR="00387C28" w:rsidRPr="00BE78CA" w:rsidRDefault="00387C28" w:rsidP="00387C28">
      <w:pPr>
        <w:pStyle w:val="BodyText"/>
      </w:pPr>
      <w:r w:rsidRPr="00BE78CA">
        <w:t>The second phase of the inventory planning also includes a workshop dedicated to key messages for the inventory, which is an integral part of the cross-sectoral compilation. The workshop’s output is the set of key inventory messages agreed between the sector leads, National Inventory Compiler and primary peer reviewers. The key messages are used for both the NIR and the inventory summary on MfE’s website, which presents a brief description of the</w:t>
      </w:r>
      <w:r w:rsidR="0038615B" w:rsidRPr="00BE78CA">
        <w:t> </w:t>
      </w:r>
      <w:r w:rsidRPr="00BE78CA">
        <w:t>inventory findings.</w:t>
      </w:r>
    </w:p>
    <w:p w14:paraId="6DB0B182" w14:textId="77777777" w:rsidR="00387C28" w:rsidRPr="00BE78CA" w:rsidRDefault="00387C28" w:rsidP="00387C28">
      <w:pPr>
        <w:pStyle w:val="BodyText"/>
      </w:pPr>
      <w:r w:rsidRPr="00BE78CA">
        <w:t>The inventory planning process for Tokelau is governed by a memorandum of understanding between New Zealand and Tokelau. Further information is provided in chapter 8.</w:t>
      </w:r>
    </w:p>
    <w:p w14:paraId="2E96BDB7" w14:textId="77777777" w:rsidR="00387C28" w:rsidRPr="00BE78CA" w:rsidRDefault="00387C28" w:rsidP="00387C28">
      <w:pPr>
        <w:pStyle w:val="Heading5"/>
      </w:pPr>
      <w:bookmarkStart w:id="103" w:name="inventory-preparation"/>
      <w:r w:rsidRPr="00BE78CA">
        <w:t>Inventory preparation</w:t>
      </w:r>
      <w:bookmarkEnd w:id="103"/>
    </w:p>
    <w:p w14:paraId="67F8E820" w14:textId="77777777" w:rsidR="00387C28" w:rsidRPr="00BE78CA" w:rsidRDefault="00387C28" w:rsidP="00387C28">
      <w:pPr>
        <w:pStyle w:val="BodyText"/>
      </w:pPr>
      <w:r w:rsidRPr="00BE78CA">
        <w:t>The inventory preparation cycle has three phases: data collection and preliminary processing, final data processing and chapter preparation, and the national inventory compilation.</w:t>
      </w:r>
    </w:p>
    <w:p w14:paraId="52EDFAE0" w14:textId="77777777" w:rsidR="00387C28" w:rsidRPr="00BE78CA" w:rsidRDefault="00387C28" w:rsidP="00387C28">
      <w:pPr>
        <w:pStyle w:val="BodyText"/>
      </w:pPr>
      <w:r w:rsidRPr="00BE78CA">
        <w:t>The first phase, data collection and preliminary processing (June–October), includes data cleansing, data checks and preliminary formatting of data for further use. This phase may also include analysing potential improvements and related recalculations involved in the inventory.</w:t>
      </w:r>
    </w:p>
    <w:p w14:paraId="0EBE48C2" w14:textId="0B076701" w:rsidR="00387C28" w:rsidRPr="00BE78CA" w:rsidRDefault="00387C28" w:rsidP="00387C28">
      <w:pPr>
        <w:pStyle w:val="BodyText"/>
      </w:pPr>
      <w:r w:rsidRPr="00BE78CA">
        <w:t>The second phase of the inventory preparation (October–January) includes final data processing and drafting of sector chapters. During this phase, emissions estimates are finalised, final data quality control and verification are performed, data are loaded into the</w:t>
      </w:r>
      <w:r w:rsidR="00CA3E16" w:rsidRPr="00BE78CA">
        <w:t> </w:t>
      </w:r>
      <w:r w:rsidRPr="00BE78CA">
        <w:t>CRF</w:t>
      </w:r>
      <w:r w:rsidR="00CA3E16" w:rsidRPr="00BE78CA">
        <w:t> </w:t>
      </w:r>
      <w:r w:rsidRPr="00BE78CA">
        <w:t>Reporter and sector chapters are updated, reviewed and approved.</w:t>
      </w:r>
    </w:p>
    <w:p w14:paraId="34F9E4BD" w14:textId="7EDAB142" w:rsidR="00387C28" w:rsidRPr="00BE78CA" w:rsidRDefault="00387C28" w:rsidP="00387C28">
      <w:pPr>
        <w:pStyle w:val="BodyText"/>
      </w:pPr>
      <w:r w:rsidRPr="00BE78CA">
        <w:lastRenderedPageBreak/>
        <w:t>The final phase of the inventory preparation (February–April) includes cross-sector analyses, national inventory compilation and publication, as well as the production of supplementary material for New Zealand’s Minister of Climate Change and the general public. The inventory compilation team has, since 2020, been developing new automated processes for the compilation of some of its cross-sector chapters, which are being tested and improved over</w:t>
      </w:r>
      <w:r w:rsidR="00CA3E16" w:rsidRPr="00BE78CA">
        <w:t> </w:t>
      </w:r>
      <w:r w:rsidRPr="00BE78CA">
        <w:t>time.</w:t>
      </w:r>
    </w:p>
    <w:p w14:paraId="71C8EB38" w14:textId="77777777" w:rsidR="00387C28" w:rsidRPr="00BE78CA" w:rsidRDefault="00387C28" w:rsidP="00387C28">
      <w:pPr>
        <w:pStyle w:val="BodyText"/>
      </w:pPr>
      <w:r w:rsidRPr="00BE78CA">
        <w:t>Tokelau follows the same inventory preparation cycle. The inventory data from Tokelau are prepared in November and generally undergo the same processes as the rest of the inventory.</w:t>
      </w:r>
    </w:p>
    <w:p w14:paraId="43F4A4E7" w14:textId="7232BBEF" w:rsidR="00387C28" w:rsidRPr="00BE78CA" w:rsidRDefault="00387C28" w:rsidP="00387C28">
      <w:pPr>
        <w:pStyle w:val="BodyText"/>
      </w:pPr>
      <w:r w:rsidRPr="00BE78CA">
        <w:t>During the inventory planning and preparation cycles, the National Inventory Compiler and inventory project manager have regular meetings with sector leads and experts to ensure that</w:t>
      </w:r>
      <w:r w:rsidR="00CA3E16" w:rsidRPr="00BE78CA">
        <w:t> </w:t>
      </w:r>
      <w:r w:rsidRPr="00BE78CA">
        <w:t>all issues are addressed and the production process goes as planned. The inventory QC Manager also has regular meetings with sector leads to monitor QC processes and procedures that are in place to ensure the quality of the final product meets the Convention standards and</w:t>
      </w:r>
      <w:r w:rsidR="00CA3E16" w:rsidRPr="00BE78CA">
        <w:t> </w:t>
      </w:r>
      <w:r w:rsidRPr="00BE78CA">
        <w:t>the QC deliverables are produced according to the agreed plan. Both the National Inventory Compiler and the QC Manager provide technical support and advice to the sector leads when required.</w:t>
      </w:r>
    </w:p>
    <w:p w14:paraId="1B66F894" w14:textId="1F60B95C" w:rsidR="00387C28" w:rsidRPr="00BE78CA" w:rsidRDefault="00387C28" w:rsidP="00387C28">
      <w:pPr>
        <w:pStyle w:val="Heading3"/>
      </w:pPr>
      <w:bookmarkStart w:id="104" w:name="X722f3597d7002e4931c785416b4c553dac341c5"/>
      <w:r w:rsidRPr="00BE78CA">
        <w:t xml:space="preserve">1.2.3 </w:t>
      </w:r>
      <w:r w:rsidR="00CA3E16" w:rsidRPr="00BE78CA">
        <w:tab/>
      </w:r>
      <w:r w:rsidRPr="00BE78CA">
        <w:t>Quality assurance and quality control and verification plan</w:t>
      </w:r>
      <w:bookmarkEnd w:id="104"/>
    </w:p>
    <w:p w14:paraId="585B0441" w14:textId="77777777" w:rsidR="00387C28" w:rsidRPr="00BE78CA" w:rsidRDefault="00387C28" w:rsidP="00387C28">
      <w:pPr>
        <w:pStyle w:val="BodyText"/>
      </w:pPr>
      <w:r w:rsidRPr="00BE78CA">
        <w:t xml:space="preserve">Quality assurance and quality control are integral parts of preparing New Zealand’s inventory. MfE developed a QA/QC plan in 2004, as required by the reporting guidelines under the Convention (UNFCCC, 2006, 2013b) to formalise, document and archive the QA/QC procedures. This plan has been updated as the automatic QC tools have been developed and the approach to the final CRF data approvals has been modified. Details of the QA/QC activities performed during the compilation of the </w:t>
      </w:r>
      <w:r w:rsidRPr="00BE78CA">
        <w:rPr>
          <w:bCs/>
        </w:rPr>
        <w:t>2021</w:t>
      </w:r>
      <w:r w:rsidRPr="00BE78CA">
        <w:t xml:space="preserve"> submission are discussed in the relevant sections below. Examples of QC checks are provided in the Excel spreadsheets accompanying this submission.</w:t>
      </w:r>
    </w:p>
    <w:p w14:paraId="36BF1E2F" w14:textId="77777777" w:rsidR="00387C28" w:rsidRPr="00BE78CA" w:rsidRDefault="00387C28" w:rsidP="00387C28">
      <w:pPr>
        <w:pStyle w:val="Heading4"/>
      </w:pPr>
      <w:bookmarkStart w:id="105" w:name="quality-control"/>
      <w:r w:rsidRPr="00BE78CA">
        <w:t>Quality control</w:t>
      </w:r>
      <w:bookmarkEnd w:id="105"/>
    </w:p>
    <w:p w14:paraId="5CF5D27B" w14:textId="78546CD7" w:rsidR="00387C28" w:rsidRPr="00BE78CA" w:rsidRDefault="00387C28" w:rsidP="00387C28">
      <w:pPr>
        <w:pStyle w:val="BodyText"/>
      </w:pPr>
      <w:r w:rsidRPr="00BE78CA">
        <w:t>The focus of New Zealand’s QC plan is to meet the transparency, accuracy, completeness, consistency and comparability (TACCC) principles while ensuring efficient use of resources, and</w:t>
      </w:r>
      <w:r w:rsidR="00CA3E16" w:rsidRPr="00BE78CA">
        <w:t> </w:t>
      </w:r>
      <w:r w:rsidRPr="00BE78CA">
        <w:t>to mitigate QC-related risks in the inventory planning and preparation process.</w:t>
      </w:r>
    </w:p>
    <w:p w14:paraId="5D98979E" w14:textId="77777777" w:rsidR="00387C28" w:rsidRPr="00BE78CA" w:rsidRDefault="00387C28" w:rsidP="00387C28">
      <w:pPr>
        <w:pStyle w:val="BodyText"/>
      </w:pPr>
      <w:r w:rsidRPr="00BE78CA">
        <w:t>The main elements of the QA/QC plan include:</w:t>
      </w:r>
    </w:p>
    <w:p w14:paraId="41FD678F" w14:textId="77777777" w:rsidR="00387C28" w:rsidRPr="00BE78CA" w:rsidRDefault="00387C28" w:rsidP="00CA3E16">
      <w:pPr>
        <w:pStyle w:val="Bullet"/>
      </w:pPr>
      <w:r w:rsidRPr="00BE78CA">
        <w:t>revising the QC deliverables to ensure they are fit for purpose, well supported with relevant templates, and adapted to the changes in the inventory software tools</w:t>
      </w:r>
    </w:p>
    <w:p w14:paraId="317AA6A7" w14:textId="77777777" w:rsidR="00387C28" w:rsidRPr="00BE78CA" w:rsidRDefault="00387C28" w:rsidP="00CA3E16">
      <w:pPr>
        <w:pStyle w:val="Bullet"/>
      </w:pPr>
      <w:r w:rsidRPr="00BE78CA">
        <w:t>reinforcing the error-checking process by providing dedicated personnel and support to the sector leads</w:t>
      </w:r>
    </w:p>
    <w:p w14:paraId="49581601" w14:textId="77777777" w:rsidR="00387C28" w:rsidRPr="00BE78CA" w:rsidRDefault="00387C28" w:rsidP="00CA3E16">
      <w:pPr>
        <w:pStyle w:val="Bullet"/>
      </w:pPr>
      <w:r w:rsidRPr="00BE78CA">
        <w:t>applying automated inventory tools, where available, to minimise the number of errors during data transfers</w:t>
      </w:r>
    </w:p>
    <w:p w14:paraId="53510D30" w14:textId="77777777" w:rsidR="00387C28" w:rsidRPr="00BE78CA" w:rsidRDefault="00387C28" w:rsidP="00CA3E16">
      <w:pPr>
        <w:pStyle w:val="Bullet"/>
      </w:pPr>
      <w:r w:rsidRPr="00BE78CA">
        <w:t>adjusting QC tools to accommodate any changes in the CRF Reporter software that happened since the previous submission</w:t>
      </w:r>
    </w:p>
    <w:p w14:paraId="6773C8B2" w14:textId="77777777" w:rsidR="00387C28" w:rsidRPr="00BE78CA" w:rsidRDefault="00387C28" w:rsidP="00CA3E16">
      <w:pPr>
        <w:pStyle w:val="Bullet"/>
      </w:pPr>
      <w:r w:rsidRPr="00BE78CA">
        <w:t>performing CRF data integrity checks and adhering to the reporting guidelines once data compilation in each sector is complete</w:t>
      </w:r>
    </w:p>
    <w:p w14:paraId="5FE741D5" w14:textId="77777777" w:rsidR="00387C28" w:rsidRPr="00BE78CA" w:rsidRDefault="00387C28" w:rsidP="00CA3E16">
      <w:pPr>
        <w:pStyle w:val="Bullet"/>
      </w:pPr>
      <w:r w:rsidRPr="00BE78CA">
        <w:t>ensuring the chapters in the inventory and their structure demonstrate transparency of the methods and incorporate suggestions from previous inventory reviews.</w:t>
      </w:r>
    </w:p>
    <w:p w14:paraId="45D57B2B" w14:textId="64CA9AE2" w:rsidR="00387C28" w:rsidRPr="00BE78CA" w:rsidRDefault="00387C28" w:rsidP="00435299">
      <w:pPr>
        <w:pStyle w:val="BodyText"/>
        <w:spacing w:after="100"/>
      </w:pPr>
      <w:r w:rsidRPr="00BE78CA">
        <w:lastRenderedPageBreak/>
        <w:t>Completion of the IPCC 2006 Tier 1 QC check sheets for each sector is the responsibility of the</w:t>
      </w:r>
      <w:r w:rsidR="00CA3E16" w:rsidRPr="00BE78CA">
        <w:t> </w:t>
      </w:r>
      <w:r w:rsidRPr="00BE78CA">
        <w:t>sector leads. The Tier 1 checks are in line with the 2006 IPCC Guidelines (IPCC, 2006b). Wherever possible, manual checking has been replaced by, or supplemented with, automated</w:t>
      </w:r>
      <w:r w:rsidR="00CA3E16" w:rsidRPr="00BE78CA">
        <w:t> </w:t>
      </w:r>
      <w:r w:rsidRPr="00BE78CA">
        <w:t>checks.</w:t>
      </w:r>
    </w:p>
    <w:p w14:paraId="29E304F4" w14:textId="0BCCBE0A" w:rsidR="00387C28" w:rsidRPr="00BE78CA" w:rsidRDefault="00387C28" w:rsidP="00435299">
      <w:pPr>
        <w:pStyle w:val="BodyText"/>
        <w:spacing w:after="100"/>
      </w:pPr>
      <w:r w:rsidRPr="00BE78CA">
        <w:t>The sectoral contributions to the inventory, that is, sector chapters and data preparation, and</w:t>
      </w:r>
      <w:r w:rsidR="00CA3E16" w:rsidRPr="00BE78CA">
        <w:t> </w:t>
      </w:r>
      <w:r w:rsidRPr="00BE78CA">
        <w:t>Tier 1 QC checks were signed off by the responsible agency before final approval of the inventory by the national inventory agency (MfE) and submission to the UNFCCC.</w:t>
      </w:r>
    </w:p>
    <w:p w14:paraId="0541C070" w14:textId="77777777" w:rsidR="00387C28" w:rsidRPr="00BE78CA" w:rsidRDefault="00387C28" w:rsidP="00435299">
      <w:pPr>
        <w:pStyle w:val="BodyText"/>
        <w:spacing w:after="100"/>
      </w:pPr>
      <w:r w:rsidRPr="00BE78CA">
        <w:t>MfE used the QC-checking procedures included in the CRF Reporter to ensure the data submitted to the UNFCCC secretariat are complete. In addition, data in the CRF tables were also checked for anomalies, errors and omissions.</w:t>
      </w:r>
    </w:p>
    <w:p w14:paraId="46803A37" w14:textId="77777777" w:rsidR="00387C28" w:rsidRPr="00BE78CA" w:rsidRDefault="00387C28" w:rsidP="00435299">
      <w:pPr>
        <w:pStyle w:val="BodyText"/>
        <w:spacing w:after="100"/>
      </w:pPr>
      <w:r w:rsidRPr="00BE78CA">
        <w:t>After the CRF data were compiled in each inventory sector, MfE personnel reviewed the CRF data for each sector and category for data integrity and time-series consistency prior to sector finalisation. This is to ensure that the CRF does not contain blank entries in the reported categories, and all instances of using the ‘IE’ (included elsewhere) and ‘NE’ (not estimated) notation keys for GHG emissions, as well as large variations in the implied emission factors, have been explained. The results of these checks were provided to the sector leads to make any corrections and to include the relevant references and explanations, if required, in order to finalise the CRF data for each inventory sector.</w:t>
      </w:r>
    </w:p>
    <w:p w14:paraId="40462C4B" w14:textId="77777777" w:rsidR="00387C28" w:rsidRPr="00BE78CA" w:rsidRDefault="00387C28" w:rsidP="00435299">
      <w:pPr>
        <w:pStyle w:val="BodyText"/>
        <w:spacing w:after="100"/>
      </w:pPr>
      <w:r w:rsidRPr="00BE78CA">
        <w:t>Annex 6 contains details of the QA/QC processes applied during the preparation of the inventory.</w:t>
      </w:r>
    </w:p>
    <w:p w14:paraId="5F1E0AB1" w14:textId="77777777" w:rsidR="00387C28" w:rsidRPr="00BE78CA" w:rsidRDefault="00387C28" w:rsidP="00435299">
      <w:pPr>
        <w:pStyle w:val="BodyText"/>
        <w:spacing w:after="100"/>
      </w:pPr>
      <w:r w:rsidRPr="00BE78CA">
        <w:t>The Energy and Agriculture activity data provided by Stats NZ are official national statistics (Tier 1) and, as such, are subject to their own rigorous QA/QC procedures.</w:t>
      </w:r>
    </w:p>
    <w:p w14:paraId="1E8D1327" w14:textId="77777777" w:rsidR="00387C28" w:rsidRPr="00BE78CA" w:rsidRDefault="00387C28" w:rsidP="00435299">
      <w:pPr>
        <w:pStyle w:val="BodyText"/>
        <w:spacing w:after="100"/>
      </w:pPr>
      <w:r w:rsidRPr="00BE78CA">
        <w:t>Human and animal population statistics provided by Stats NZ were also used for estimating emissions from the Waste sector.</w:t>
      </w:r>
    </w:p>
    <w:p w14:paraId="25247365" w14:textId="77777777" w:rsidR="00387C28" w:rsidRPr="00BE78CA" w:rsidRDefault="00387C28" w:rsidP="00435299">
      <w:pPr>
        <w:pStyle w:val="BodyText"/>
        <w:spacing w:after="100"/>
      </w:pPr>
      <w:r w:rsidRPr="00BE78CA">
        <w:t>Tokelau’s activity data undergo QC processes at the Tokelau National Statistics Office. The Tokelau sector in the CRF undergoes similar QA/QC processes as other inventory sectors.</w:t>
      </w:r>
    </w:p>
    <w:p w14:paraId="026BB453" w14:textId="77777777" w:rsidR="00387C28" w:rsidRPr="00BE78CA" w:rsidRDefault="00387C28" w:rsidP="00387C28">
      <w:pPr>
        <w:pStyle w:val="Heading4"/>
      </w:pPr>
      <w:bookmarkStart w:id="106" w:name="quality-assurance"/>
      <w:r w:rsidRPr="00BE78CA">
        <w:t>Quality assurance</w:t>
      </w:r>
      <w:bookmarkEnd w:id="106"/>
    </w:p>
    <w:p w14:paraId="78F18454" w14:textId="69B26CB5" w:rsidR="00387C28" w:rsidRPr="00BE78CA" w:rsidRDefault="00387C28" w:rsidP="00435299">
      <w:pPr>
        <w:pStyle w:val="BodyText"/>
        <w:spacing w:after="100"/>
      </w:pPr>
      <w:r w:rsidRPr="00BE78CA">
        <w:t>New Zealand’s QA system includes prioritisation of improvements, processes around accepting</w:t>
      </w:r>
      <w:r w:rsidR="00435299" w:rsidRPr="00BE78CA">
        <w:t> </w:t>
      </w:r>
      <w:r w:rsidRPr="00BE78CA">
        <w:t>improvements into the inventory, in-depth review of sector inventories or their components every 5 to 10 years, and improving the expertise of key contributors to the inventory. The government audit agency (Audit New Zealand) makes annual audits of the inventory performance. New Zealand also considers the international inventory reviews performed by the expert review teams under the UNFCCC as an important element of quality</w:t>
      </w:r>
      <w:r w:rsidR="00435299" w:rsidRPr="00BE78CA">
        <w:t> </w:t>
      </w:r>
      <w:r w:rsidRPr="00BE78CA">
        <w:t>assurance. The main aspects of quality assurance are explained in detail below.</w:t>
      </w:r>
    </w:p>
    <w:p w14:paraId="646E82DA" w14:textId="77777777" w:rsidR="00387C28" w:rsidRPr="00BE78CA" w:rsidRDefault="00387C28" w:rsidP="00435299">
      <w:pPr>
        <w:pStyle w:val="BodyText"/>
        <w:spacing w:after="100"/>
      </w:pPr>
      <w:r w:rsidRPr="00BE78CA">
        <w:t>All sector leads are encouraged to schedule QA audits of their systems at least every five years.</w:t>
      </w:r>
    </w:p>
    <w:p w14:paraId="7E9ECB2B" w14:textId="33970CB3" w:rsidR="00387C28" w:rsidRPr="00BE78CA" w:rsidRDefault="00387C28" w:rsidP="00435299">
      <w:pPr>
        <w:pStyle w:val="BodyText"/>
        <w:spacing w:after="100"/>
      </w:pPr>
      <w:r w:rsidRPr="00BE78CA">
        <w:t>The Energy sector lead had a discussion of sectoral issues with the Danish inventory team during bilateral meetings in 2017 dedicated to different aspects of the Energy sectoral inventory, specifically: data sources, data collection and verification processes; using the New</w:t>
      </w:r>
      <w:r w:rsidR="00435299" w:rsidRPr="00BE78CA">
        <w:t> </w:t>
      </w:r>
      <w:r w:rsidRPr="00BE78CA">
        <w:t>Zealand Emissions Trading Scheme (NZ ETS) data for higher tier methods in the Energy sector; applying higher tier methods for road transport; disaggregation of non-road liquid fuel use; and fugitive emissions from fuels. In 2019, an external consultant was contracted to review and develop a QA plan for the Energy sector. Several recommendations from that review have already been implemented, and work continues on addressing the other issues.</w:t>
      </w:r>
    </w:p>
    <w:p w14:paraId="2CE538FE" w14:textId="06D26109" w:rsidR="00387C28" w:rsidRPr="00BE78CA" w:rsidRDefault="00387C28" w:rsidP="00387C28">
      <w:pPr>
        <w:pStyle w:val="BodyText"/>
      </w:pPr>
      <w:r w:rsidRPr="00BE78CA">
        <w:lastRenderedPageBreak/>
        <w:t>The Agriculture sector completed a major QA review of its calculation models with an external</w:t>
      </w:r>
      <w:r w:rsidR="00F658E4" w:rsidRPr="00BE78CA">
        <w:t> </w:t>
      </w:r>
      <w:r w:rsidRPr="00BE78CA">
        <w:t>party in 2013. Since then, there have also been other QA activities for agriculture, including a bilateral review with Australia in 2014, and an external review of equations used to determine metabolisable energy requirements in 2016. For more information, see chapter 5, section 5.1.6.</w:t>
      </w:r>
    </w:p>
    <w:p w14:paraId="70C8323A" w14:textId="77777777" w:rsidR="00387C28" w:rsidRPr="00BE78CA" w:rsidRDefault="00387C28" w:rsidP="00387C28">
      <w:pPr>
        <w:pStyle w:val="Heading5"/>
      </w:pPr>
      <w:bookmarkStart w:id="107" w:name="prioritisation-of-improvements"/>
      <w:r w:rsidRPr="00BE78CA">
        <w:t>Prioritisation of improvements</w:t>
      </w:r>
      <w:bookmarkEnd w:id="107"/>
    </w:p>
    <w:p w14:paraId="4B3BBFA0" w14:textId="77777777" w:rsidR="00387C28" w:rsidRPr="00BE78CA" w:rsidRDefault="00387C28" w:rsidP="00387C28">
      <w:pPr>
        <w:pStyle w:val="BodyText"/>
      </w:pPr>
      <w:r w:rsidRPr="00BE78CA">
        <w:t>Priorities for the development of the inventory are guided by:</w:t>
      </w:r>
    </w:p>
    <w:p w14:paraId="4E332DF9" w14:textId="77777777" w:rsidR="00387C28" w:rsidRPr="00BE78CA" w:rsidRDefault="00387C28" w:rsidP="00AD77E8">
      <w:pPr>
        <w:pStyle w:val="Bullet"/>
      </w:pPr>
      <w:r w:rsidRPr="00BE78CA">
        <w:t>key categories (level and trend)</w:t>
      </w:r>
    </w:p>
    <w:p w14:paraId="1C7782ED" w14:textId="77777777" w:rsidR="00387C28" w:rsidRPr="00BE78CA" w:rsidRDefault="00387C28" w:rsidP="00AD77E8">
      <w:pPr>
        <w:pStyle w:val="Bullet"/>
      </w:pPr>
      <w:r w:rsidRPr="00BE78CA">
        <w:t>the degree of improvement to be achieved for existing emission and removal estimates</w:t>
      </w:r>
    </w:p>
    <w:p w14:paraId="2FE66CEE" w14:textId="77777777" w:rsidR="00387C28" w:rsidRPr="00BE78CA" w:rsidRDefault="00387C28" w:rsidP="00AD77E8">
      <w:pPr>
        <w:pStyle w:val="Bullet"/>
      </w:pPr>
      <w:r w:rsidRPr="00BE78CA">
        <w:t>the availability of resources required to implement the change</w:t>
      </w:r>
    </w:p>
    <w:p w14:paraId="35EDAE18" w14:textId="77777777" w:rsidR="00387C28" w:rsidRPr="00BE78CA" w:rsidRDefault="00387C28" w:rsidP="00AD77E8">
      <w:pPr>
        <w:pStyle w:val="Bullet"/>
      </w:pPr>
      <w:r w:rsidRPr="00BE78CA">
        <w:t>recommendations from previous international reviews of the inventory.</w:t>
      </w:r>
    </w:p>
    <w:p w14:paraId="7A3C9B11" w14:textId="77777777" w:rsidR="00387C28" w:rsidRPr="00BE78CA" w:rsidRDefault="00387C28" w:rsidP="00387C28">
      <w:pPr>
        <w:pStyle w:val="BodyText"/>
      </w:pPr>
      <w:r w:rsidRPr="00BE78CA">
        <w:t xml:space="preserve">Uncertainties are also considered in prioritising improvements. For example, if a change in a methodological approach may lead to a significant increase of uncertainty of the estimates, </w:t>
      </w:r>
      <w:r w:rsidRPr="00BE78CA">
        <w:rPr>
          <w:spacing w:val="-2"/>
        </w:rPr>
        <w:t>then the proposed change may be rejected on the basis of an undesired increase in uncertainty</w:t>
      </w:r>
      <w:r w:rsidRPr="00BE78CA">
        <w:t>. Otherwise, if the proposed improvement is not expected to affect the uncertainty significantly or will result in uncertainty reduction, then the change is likely to be accepted. Sectors are encouraged to develop annual inventory improvement and QA and QC plans to reflect current and future development of the inventory.</w:t>
      </w:r>
    </w:p>
    <w:p w14:paraId="0215DEE7" w14:textId="77777777" w:rsidR="00387C28" w:rsidRPr="00BE78CA" w:rsidRDefault="00387C28" w:rsidP="00387C28">
      <w:pPr>
        <w:pStyle w:val="Heading5"/>
      </w:pPr>
      <w:bookmarkStart w:id="108" w:name="Xd4042aa741d773d9c1b3b9e3747cdd2889229e4"/>
      <w:r w:rsidRPr="00BE78CA">
        <w:t>Acceptance of improvements and recalculations</w:t>
      </w:r>
      <w:bookmarkEnd w:id="108"/>
    </w:p>
    <w:p w14:paraId="1C1503FC" w14:textId="7C14CC9B" w:rsidR="00387C28" w:rsidRPr="00BE78CA" w:rsidRDefault="00387C28" w:rsidP="00387C28">
      <w:pPr>
        <w:pStyle w:val="BodyText"/>
      </w:pPr>
      <w:r w:rsidRPr="00BE78CA">
        <w:t>All proposed improvements in the inventory undergo peer review by an independent expert or</w:t>
      </w:r>
      <w:r w:rsidR="00AD77E8" w:rsidRPr="00BE78CA">
        <w:t> </w:t>
      </w:r>
      <w:r w:rsidRPr="00BE78CA">
        <w:t>a group of experts. The change will be included in the inventory only if the peer reviewer concludes that the change is consistent with IPCC guidelines.</w:t>
      </w:r>
    </w:p>
    <w:p w14:paraId="6D4699A3" w14:textId="77777777" w:rsidR="00387C28" w:rsidRPr="00BE78CA" w:rsidRDefault="00387C28" w:rsidP="00387C28">
      <w:pPr>
        <w:pStyle w:val="BodyText"/>
      </w:pPr>
      <w:r w:rsidRPr="00BE78CA">
        <w:t>Given the significance of the Agriculture sector to New Zealand’s emissions, the Government established the Agriculture Inventory Advisory Panel, an independent group of experts, to assess whether proposed improvements and recalculations in the sector are scientifically robust enough to be included in the inventory. Reports and/or papers on proposed changes must be peer reviewed before they are presented to the panel, which then advises MPI of its recommendations. Refer to chapter 5, section 5.1.5, for further details.</w:t>
      </w:r>
    </w:p>
    <w:p w14:paraId="4880F0CF" w14:textId="21E40A14" w:rsidR="00387C28" w:rsidRPr="00BE78CA" w:rsidRDefault="00387C28" w:rsidP="00387C28">
      <w:pPr>
        <w:pStyle w:val="BodyText"/>
      </w:pPr>
      <w:r w:rsidRPr="00BE78CA">
        <w:t>All recalculations and improvements to the inventory require the approval of the RGG. The</w:t>
      </w:r>
      <w:r w:rsidR="00AD77E8" w:rsidRPr="00BE78CA">
        <w:t> </w:t>
      </w:r>
      <w:r w:rsidRPr="00BE78CA">
        <w:t>recalculations need to be sufficiently explained in terms of improving one or more of the</w:t>
      </w:r>
      <w:r w:rsidR="00AD77E8" w:rsidRPr="00BE78CA">
        <w:t> </w:t>
      </w:r>
      <w:r w:rsidRPr="00BE78CA">
        <w:t>TACCC principles. If due to recalculations, emissions from the recalculated category exceed</w:t>
      </w:r>
      <w:r w:rsidR="00AD77E8" w:rsidRPr="00BE78CA">
        <w:t> </w:t>
      </w:r>
      <w:r w:rsidRPr="00BE78CA">
        <w:t>500</w:t>
      </w:r>
      <w:r w:rsidR="00AD77E8" w:rsidRPr="00BE78CA">
        <w:t> </w:t>
      </w:r>
      <w:r w:rsidRPr="00BE78CA">
        <w:t>kilotonnes carbon dioxide equivalent (kt CO</w:t>
      </w:r>
      <w:r w:rsidRPr="00BE78CA">
        <w:rPr>
          <w:vertAlign w:val="subscript"/>
        </w:rPr>
        <w:t>2</w:t>
      </w:r>
      <w:r w:rsidRPr="00BE78CA">
        <w:t>-e), the results and reasons for the recalculations are recorded in the Recalculation form. The recalculations and explanations are</w:t>
      </w:r>
      <w:r w:rsidR="00AD77E8" w:rsidRPr="00BE78CA">
        <w:t> </w:t>
      </w:r>
      <w:r w:rsidRPr="00BE78CA">
        <w:t>documented and archived for future reference.</w:t>
      </w:r>
    </w:p>
    <w:p w14:paraId="15A312F0" w14:textId="77777777" w:rsidR="00387C28" w:rsidRPr="00BE78CA" w:rsidRDefault="00387C28" w:rsidP="00387C28">
      <w:pPr>
        <w:pStyle w:val="Heading4"/>
      </w:pPr>
      <w:bookmarkStart w:id="109" w:name="verification-activities"/>
      <w:r w:rsidRPr="00BE78CA">
        <w:t>Verification activities</w:t>
      </w:r>
      <w:bookmarkEnd w:id="109"/>
    </w:p>
    <w:p w14:paraId="2C1A3D95" w14:textId="77777777" w:rsidR="00387C28" w:rsidRPr="00BE78CA" w:rsidRDefault="00387C28" w:rsidP="00387C28">
      <w:pPr>
        <w:pStyle w:val="BodyText"/>
      </w:pPr>
      <w:r w:rsidRPr="00BE78CA">
        <w:t>Where relevant, further verification activities carried out for a sector are discussed in the sector-specific sections of this report. Section 1.9.2 provides information about the verification method that has become available for the inventory by using data from the NZ ETS.</w:t>
      </w:r>
    </w:p>
    <w:p w14:paraId="05B9400B" w14:textId="77777777" w:rsidR="00387C28" w:rsidRPr="00BE78CA" w:rsidRDefault="00387C28" w:rsidP="00387C28">
      <w:pPr>
        <w:pStyle w:val="BodyText"/>
      </w:pPr>
      <w:r w:rsidRPr="00BE78CA">
        <w:t>In the Energy sector, the reference approach is used for verification of the emission estimates for CO</w:t>
      </w:r>
      <w:r w:rsidRPr="00BE78CA">
        <w:rPr>
          <w:vertAlign w:val="subscript"/>
        </w:rPr>
        <w:t>2</w:t>
      </w:r>
      <w:r w:rsidRPr="00BE78CA">
        <w:t xml:space="preserve"> obtained from the sectoral approach.</w:t>
      </w:r>
    </w:p>
    <w:p w14:paraId="2EDAA157" w14:textId="77777777" w:rsidR="00387C28" w:rsidRPr="00BE78CA" w:rsidRDefault="00387C28" w:rsidP="00387C28">
      <w:pPr>
        <w:pStyle w:val="Heading4"/>
      </w:pPr>
      <w:bookmarkStart w:id="110" w:name="treatment-of-confidentiality-issues"/>
      <w:r w:rsidRPr="00BE78CA">
        <w:lastRenderedPageBreak/>
        <w:t>Treatment of confidentiality issues</w:t>
      </w:r>
      <w:bookmarkEnd w:id="110"/>
    </w:p>
    <w:p w14:paraId="146C5B0D" w14:textId="77777777" w:rsidR="00387C28" w:rsidRPr="00BE78CA" w:rsidRDefault="00387C28" w:rsidP="00387C28">
      <w:pPr>
        <w:pStyle w:val="BodyText"/>
      </w:pPr>
      <w:r w:rsidRPr="00BE78CA">
        <w:t>When specific emissions and activity data in the inventory can result in identifying individuals and/or individual businesses and, therefore, affect their wellbeing, commercial interest in trade and/or negotiations, those data are considered to be confidential.</w:t>
      </w:r>
    </w:p>
    <w:p w14:paraId="1BEDD066" w14:textId="77777777" w:rsidR="00387C28" w:rsidRPr="00BE78CA" w:rsidRDefault="00387C28" w:rsidP="00387C28">
      <w:pPr>
        <w:pStyle w:val="BodyText"/>
      </w:pPr>
      <w:r w:rsidRPr="00BE78CA">
        <w:t xml:space="preserve">New Zealand’s </w:t>
      </w:r>
      <w:hyperlink r:id="rId33">
        <w:r w:rsidRPr="00BE78CA">
          <w:rPr>
            <w:rStyle w:val="Hyperlink"/>
          </w:rPr>
          <w:t>Tier 1 Statistics Protocol</w:t>
        </w:r>
      </w:hyperlink>
      <w:hyperlink r:id="rId34" w:history="1"/>
      <w:r w:rsidRPr="00BE78CA">
        <w:t xml:space="preserve"> is a part of its national circumstances. The relevant definition of confidentiality (protocol 4) is given below.</w:t>
      </w:r>
    </w:p>
    <w:p w14:paraId="0D60A842" w14:textId="53C42F38" w:rsidR="00387C28" w:rsidRPr="00BE78CA" w:rsidRDefault="00387C28" w:rsidP="00387C28">
      <w:pPr>
        <w:pStyle w:val="Bullet"/>
      </w:pPr>
      <w:r w:rsidRPr="00BE78CA">
        <w:t>Confidentiality refers to the protection of individuals’ and organisations’ information, and</w:t>
      </w:r>
      <w:r w:rsidR="000F0DF6" w:rsidRPr="00BE78CA">
        <w:t> </w:t>
      </w:r>
      <w:r w:rsidRPr="00BE78CA">
        <w:t>ensuring that the information is not made available or disclosed to unauthorised individuals or entities.</w:t>
      </w:r>
    </w:p>
    <w:p w14:paraId="50239F3A" w14:textId="443A1B13" w:rsidR="00387C28" w:rsidRPr="00BE78CA" w:rsidRDefault="00387C28" w:rsidP="00387C28">
      <w:pPr>
        <w:pStyle w:val="Bullet"/>
      </w:pPr>
      <w:r w:rsidRPr="00BE78CA">
        <w:t>The protection of respondents’ information is a cornerstone of maintaining the integrity of</w:t>
      </w:r>
      <w:r w:rsidR="000F0DF6" w:rsidRPr="00BE78CA">
        <w:t> </w:t>
      </w:r>
      <w:r w:rsidRPr="00BE78CA">
        <w:t>the Official Statistics System.</w:t>
      </w:r>
    </w:p>
    <w:p w14:paraId="01A05734" w14:textId="630A8E58" w:rsidR="00387C28" w:rsidRPr="00BE78CA" w:rsidRDefault="00387C28" w:rsidP="00387C28">
      <w:pPr>
        <w:pStyle w:val="BodyText"/>
      </w:pPr>
      <w:r w:rsidRPr="00BE78CA">
        <w:t>The 2006 IPCC Guidelines recommend that confidential data be aggregated so as to draw out</w:t>
      </w:r>
      <w:r w:rsidR="000F0DF6" w:rsidRPr="00BE78CA">
        <w:t> </w:t>
      </w:r>
      <w:r w:rsidRPr="00BE78CA">
        <w:t>the information that is important to the user, without disclosing confidential data (IPCC, 2006b). For New Zealand, confidentiality issues largely apply to sources of emissions in the Energy and IPPU sectors, where an entire industry or source category is often represented by just one or two companies. Therefore, a practice of presenting information as an ‘industry average’ is often not applicable in New Zealand because this would lead to breaching business confidentiality. Confidential information is held by the agencies preparing the inventory sector estimates (EPA, MBIE, MfE and MPI), and each agency has security procedures (e.g., password-restricted access to files on computers) to ensure the data are kept confidential.</w:t>
      </w:r>
    </w:p>
    <w:p w14:paraId="7F3E2547" w14:textId="77777777" w:rsidR="00387C28" w:rsidRPr="00BE78CA" w:rsidRDefault="00387C28" w:rsidP="00387C28">
      <w:pPr>
        <w:pStyle w:val="BodyText"/>
      </w:pPr>
      <w:r w:rsidRPr="00BE78CA">
        <w:t>To protect the confidentiality of businesses that contribute data to the inventory (as appropriate), two approaches are used:</w:t>
      </w:r>
    </w:p>
    <w:p w14:paraId="0E290843" w14:textId="418F9F66" w:rsidR="00387C28" w:rsidRPr="00BE78CA" w:rsidRDefault="00387C28" w:rsidP="000F0DF6">
      <w:pPr>
        <w:pStyle w:val="Bullet"/>
      </w:pPr>
      <w:r w:rsidRPr="00BE78CA">
        <w:t>where emissions can be reported without compromising confidentiality, the corresponding activity data are not reported and are marked as confidential in the CRF</w:t>
      </w:r>
      <w:r w:rsidR="00AB754D" w:rsidRPr="00BE78CA">
        <w:t> </w:t>
      </w:r>
      <w:r w:rsidRPr="00BE78CA">
        <w:t>tables</w:t>
      </w:r>
    </w:p>
    <w:p w14:paraId="572EADE8" w14:textId="77777777" w:rsidR="00387C28" w:rsidRPr="00BE78CA" w:rsidRDefault="00387C28" w:rsidP="000F0DF6">
      <w:pPr>
        <w:pStyle w:val="Bullet"/>
      </w:pPr>
      <w:r w:rsidRPr="00BE78CA">
        <w:t>where reporting emissions data would risk breaching confidentiality, the emissions data are aggregated with other emissions from a different source category. The notation key ‘IE’ (included elsewhere) is used.</w:t>
      </w:r>
    </w:p>
    <w:p w14:paraId="34D286A2" w14:textId="56749C0D" w:rsidR="00387C28" w:rsidRPr="00BE78CA" w:rsidRDefault="00387C28" w:rsidP="00387C28">
      <w:pPr>
        <w:pStyle w:val="BodyText"/>
      </w:pPr>
      <w:r w:rsidRPr="00BE78CA">
        <w:t xml:space="preserve">In the IPPU sector, activity data for the categories </w:t>
      </w:r>
      <w:r w:rsidRPr="00BE78CA">
        <w:rPr>
          <w:i/>
        </w:rPr>
        <w:t>Iron and steel production</w:t>
      </w:r>
      <w:r w:rsidRPr="00BE78CA">
        <w:t xml:space="preserve">, </w:t>
      </w:r>
      <w:r w:rsidRPr="00BE78CA">
        <w:rPr>
          <w:i/>
        </w:rPr>
        <w:t>Cement production</w:t>
      </w:r>
      <w:r w:rsidRPr="00BE78CA">
        <w:t xml:space="preserve"> and </w:t>
      </w:r>
      <w:r w:rsidRPr="00BE78CA">
        <w:rPr>
          <w:i/>
        </w:rPr>
        <w:t>Glass production</w:t>
      </w:r>
      <w:r w:rsidRPr="00BE78CA">
        <w:t xml:space="preserve"> are marked as confidential. Emissions for </w:t>
      </w:r>
      <w:r w:rsidRPr="00BE78CA">
        <w:rPr>
          <w:i/>
        </w:rPr>
        <w:t>Glass production</w:t>
      </w:r>
      <w:r w:rsidRPr="00BE78CA">
        <w:t xml:space="preserve"> are</w:t>
      </w:r>
      <w:r w:rsidR="000F0DF6" w:rsidRPr="00BE78CA">
        <w:t> </w:t>
      </w:r>
      <w:r w:rsidRPr="00BE78CA">
        <w:t xml:space="preserve">reported under the </w:t>
      </w:r>
      <w:r w:rsidRPr="00BE78CA">
        <w:rPr>
          <w:i/>
        </w:rPr>
        <w:t>Other uses of carbonates</w:t>
      </w:r>
      <w:r w:rsidRPr="00BE78CA">
        <w:t xml:space="preserve"> category.</w:t>
      </w:r>
    </w:p>
    <w:p w14:paraId="0B83B72B" w14:textId="19483214" w:rsidR="00387C28" w:rsidRPr="00BE78CA" w:rsidRDefault="00387C28" w:rsidP="00387C28">
      <w:pPr>
        <w:pStyle w:val="Heading3"/>
      </w:pPr>
      <w:bookmarkStart w:id="111" w:name="X4f8f91a13464da7240f59eb505c948e76b7a652"/>
      <w:r w:rsidRPr="00BE78CA">
        <w:t xml:space="preserve">1.2.4 </w:t>
      </w:r>
      <w:r w:rsidR="000F0DF6" w:rsidRPr="00BE78CA">
        <w:tab/>
      </w:r>
      <w:r w:rsidRPr="00BE78CA">
        <w:t>Changes in national inventory arrangements since the previous annual</w:t>
      </w:r>
      <w:r w:rsidR="000F0DF6" w:rsidRPr="00BE78CA">
        <w:t> </w:t>
      </w:r>
      <w:r w:rsidRPr="00BE78CA">
        <w:t>greenhouse gas inventory submission</w:t>
      </w:r>
      <w:bookmarkEnd w:id="111"/>
    </w:p>
    <w:p w14:paraId="57169694" w14:textId="77777777" w:rsidR="00387C28" w:rsidRPr="00BE78CA" w:rsidRDefault="00387C28" w:rsidP="00387C28">
      <w:pPr>
        <w:pStyle w:val="BodyText"/>
      </w:pPr>
      <w:r w:rsidRPr="00BE78CA">
        <w:t>No changes have been made in the legal or institutional arrangements in the National Inventory System since the last (2020) inventory submission.</w:t>
      </w:r>
    </w:p>
    <w:p w14:paraId="189BA12E" w14:textId="384FB44B" w:rsidR="00387C28" w:rsidRPr="00BE78CA" w:rsidRDefault="00387C28" w:rsidP="00387C28">
      <w:pPr>
        <w:pStyle w:val="BodyText"/>
      </w:pPr>
      <w:r w:rsidRPr="00BE78CA">
        <w:t>Programme and operational improvements were implemented to improve the quality and</w:t>
      </w:r>
      <w:r w:rsidR="000F0DF6" w:rsidRPr="00BE78CA">
        <w:t> </w:t>
      </w:r>
      <w:r w:rsidRPr="00BE78CA">
        <w:t>efficiency of the inventory production in 2020 (see chapter 13 for details).</w:t>
      </w:r>
    </w:p>
    <w:p w14:paraId="25832D64" w14:textId="1E49B68B" w:rsidR="00387C28" w:rsidRPr="00BE78CA" w:rsidRDefault="00387C28" w:rsidP="00387C28">
      <w:pPr>
        <w:pStyle w:val="Heading2"/>
      </w:pPr>
      <w:bookmarkStart w:id="112" w:name="X1f491e03dacef9b92f948d6be6f0685beea979b"/>
      <w:bookmarkStart w:id="113" w:name="_Toc68786290"/>
      <w:r w:rsidRPr="00BE78CA">
        <w:lastRenderedPageBreak/>
        <w:t xml:space="preserve">1.3 </w:t>
      </w:r>
      <w:r w:rsidR="000F0DF6" w:rsidRPr="00BE78CA">
        <w:tab/>
      </w:r>
      <w:r w:rsidRPr="00BE78CA">
        <w:t>Inventory preparation: data collection, processing and</w:t>
      </w:r>
      <w:r w:rsidR="000F0DF6" w:rsidRPr="00BE78CA">
        <w:t> </w:t>
      </w:r>
      <w:r w:rsidRPr="00BE78CA">
        <w:t>storage</w:t>
      </w:r>
      <w:bookmarkEnd w:id="112"/>
      <w:bookmarkEnd w:id="113"/>
    </w:p>
    <w:p w14:paraId="34711A57" w14:textId="77777777" w:rsidR="00387C28" w:rsidRPr="00BE78CA" w:rsidRDefault="00387C28" w:rsidP="00387C28">
      <w:pPr>
        <w:pStyle w:val="BodyText"/>
      </w:pPr>
      <w:r w:rsidRPr="00BE78CA">
        <w:t>Inventory planning and preparation is described above in section 1.2.</w:t>
      </w:r>
    </w:p>
    <w:p w14:paraId="720C3A3E" w14:textId="1AFBD288" w:rsidR="00387C28" w:rsidRPr="00BE78CA" w:rsidRDefault="00387C28" w:rsidP="00387C28">
      <w:pPr>
        <w:pStyle w:val="BodyText"/>
      </w:pPr>
      <w:r w:rsidRPr="00BE78CA">
        <w:t>The National Inventory Compiler coordinates the calculation of level and trend uncertainties, key category assessment, and finalises the inventory. The inventory is then approved for</w:t>
      </w:r>
      <w:r w:rsidR="002A14FD" w:rsidRPr="00BE78CA">
        <w:t> </w:t>
      </w:r>
      <w:r w:rsidRPr="00BE78CA">
        <w:t>publication by the Climate Change Director (MfE) before submission to the UNFCCC</w:t>
      </w:r>
      <w:r w:rsidR="002A14FD" w:rsidRPr="00BE78CA">
        <w:t> </w:t>
      </w:r>
      <w:r w:rsidRPr="00BE78CA">
        <w:t>secretariat.</w:t>
      </w:r>
    </w:p>
    <w:p w14:paraId="5A235708" w14:textId="77777777" w:rsidR="00387C28" w:rsidRPr="00BE78CA" w:rsidRDefault="00387C28" w:rsidP="00387C28">
      <w:pPr>
        <w:pStyle w:val="BodyText"/>
      </w:pPr>
      <w:r w:rsidRPr="00BE78CA">
        <w:t>The inventory and all required data for the submission are stored at MfE in a restricted file system. The inventory is published on the MfE and UNFCCC websites.</w:t>
      </w:r>
    </w:p>
    <w:p w14:paraId="18CEA726" w14:textId="77777777" w:rsidR="00387C28" w:rsidRPr="00BE78CA" w:rsidRDefault="00387C28" w:rsidP="00387C28">
      <w:pPr>
        <w:pStyle w:val="Heading4"/>
      </w:pPr>
      <w:bookmarkStart w:id="114" w:name="data-archiving-security-and-recovery"/>
      <w:r w:rsidRPr="00BE78CA">
        <w:t>Data archiving, security and recovery</w:t>
      </w:r>
      <w:bookmarkEnd w:id="114"/>
    </w:p>
    <w:p w14:paraId="4AEF1D18" w14:textId="77777777" w:rsidR="00387C28" w:rsidRPr="00BE78CA" w:rsidRDefault="00387C28" w:rsidP="00387C28">
      <w:pPr>
        <w:pStyle w:val="BodyText"/>
      </w:pPr>
      <w:r w:rsidRPr="00BE78CA">
        <w:t>To provide data security and file recovery for the inventory in the event of a disaster, a distributive strategy for storage is in place. This includes storing inventory files using different types of storage devices (local and networked storage devices) in different geographical locations. The changes to all files are backed up on a daily basis, and the entire system is backed up on a weekly basis.</w:t>
      </w:r>
    </w:p>
    <w:p w14:paraId="523BF5B6" w14:textId="77777777" w:rsidR="00387C28" w:rsidRPr="00BE78CA" w:rsidRDefault="00387C28" w:rsidP="00387C28">
      <w:pPr>
        <w:pStyle w:val="BodyText"/>
      </w:pPr>
      <w:r w:rsidRPr="00BE78CA">
        <w:t>New Zealand’s inventory archiving system reflects the distributed system. Specifically:</w:t>
      </w:r>
    </w:p>
    <w:p w14:paraId="614E38B5" w14:textId="4239F888" w:rsidR="00387C28" w:rsidRPr="00BE78CA" w:rsidRDefault="00387C28" w:rsidP="002A14FD">
      <w:pPr>
        <w:pStyle w:val="Bullet"/>
      </w:pPr>
      <w:r w:rsidRPr="00BE78CA">
        <w:t>all files for the inventory are stored in MfE’s secure file management system and backed</w:t>
      </w:r>
      <w:r w:rsidR="00E51CC0" w:rsidRPr="00BE78CA">
        <w:t> </w:t>
      </w:r>
      <w:r w:rsidRPr="00BE78CA">
        <w:t>up on several different devices held in different locations. This covers all data files</w:t>
      </w:r>
      <w:r w:rsidR="00E51CC0" w:rsidRPr="00BE78CA">
        <w:t> </w:t>
      </w:r>
      <w:r w:rsidRPr="00BE78CA">
        <w:t>and supplementary materials as part of the submission for the inventory, CRF tables, database back-up files from the CRF Reporter, sectoral chapters, the compiled inventory, confirmations of sign-off, communication between New Zealand’s inventory team and the</w:t>
      </w:r>
      <w:r w:rsidR="00E51CC0" w:rsidRPr="00BE78CA">
        <w:t> </w:t>
      </w:r>
      <w:r w:rsidRPr="00BE78CA">
        <w:t>expert review team, national inventory system, process maps, project planning and documentation, and other related documents for the inventory</w:t>
      </w:r>
    </w:p>
    <w:p w14:paraId="10E25FAF" w14:textId="77777777" w:rsidR="00387C28" w:rsidRPr="00BE78CA" w:rsidRDefault="00387C28" w:rsidP="002A14FD">
      <w:pPr>
        <w:pStyle w:val="Bullet"/>
      </w:pPr>
      <w:r w:rsidRPr="00BE78CA">
        <w:t>each sectoral agency keeps its data in secure file systems, including communication with contractors, activity data, emission factors, preliminary calculations and specific software applications containing sectoral data models</w:t>
      </w:r>
    </w:p>
    <w:p w14:paraId="577D6D94" w14:textId="77777777" w:rsidR="00387C28" w:rsidRPr="00BE78CA" w:rsidRDefault="00387C28" w:rsidP="002A14FD">
      <w:pPr>
        <w:pStyle w:val="Bullet"/>
      </w:pPr>
      <w:r w:rsidRPr="00BE78CA">
        <w:t>each of the agencies involved in the preparation of the inventory has security procedures in case of natural disasters, fire, flood or other accidents, which are kept at a high standard.</w:t>
      </w:r>
    </w:p>
    <w:p w14:paraId="01E198AB" w14:textId="1D6B4F98" w:rsidR="00387C28" w:rsidRPr="00BE78CA" w:rsidRDefault="00387C28" w:rsidP="00387C28">
      <w:pPr>
        <w:pStyle w:val="Heading2"/>
      </w:pPr>
      <w:bookmarkStart w:id="115" w:name="methodologies-and-data-sources-used"/>
      <w:bookmarkStart w:id="116" w:name="_Toc68786291"/>
      <w:r w:rsidRPr="00BE78CA">
        <w:t xml:space="preserve">1.4 </w:t>
      </w:r>
      <w:r w:rsidR="00412CC9" w:rsidRPr="00BE78CA">
        <w:tab/>
      </w:r>
      <w:r w:rsidRPr="00BE78CA">
        <w:t>Methodologies and data sources used</w:t>
      </w:r>
      <w:bookmarkEnd w:id="115"/>
      <w:bookmarkEnd w:id="116"/>
    </w:p>
    <w:p w14:paraId="46AA79B0" w14:textId="77777777" w:rsidR="00387C28" w:rsidRPr="00BE78CA" w:rsidRDefault="00387C28" w:rsidP="00387C28">
      <w:pPr>
        <w:pStyle w:val="BodyText"/>
      </w:pPr>
      <w:r w:rsidRPr="00BE78CA">
        <w:t xml:space="preserve">The guiding documents in the inventory’s preparation are the </w:t>
      </w:r>
      <w:r w:rsidRPr="00BE78CA">
        <w:rPr>
          <w:i/>
        </w:rPr>
        <w:t>2006 IPCC Guidelines for National Greenhouse Gas Inventories</w:t>
      </w:r>
      <w:r w:rsidRPr="00BE78CA">
        <w:t xml:space="preserve"> (IPCC, 2006b), the </w:t>
      </w:r>
      <w:r w:rsidRPr="00BE78CA">
        <w:rPr>
          <w:i/>
        </w:rPr>
        <w:t>2013 Revised Supplementary Methods and Good Practice Guidance Arising from the Kyoto Protocol</w:t>
      </w:r>
      <w:r w:rsidRPr="00BE78CA">
        <w:t xml:space="preserve"> (IPCC, 2014), the revised </w:t>
      </w:r>
      <w:r w:rsidRPr="00BE78CA">
        <w:rPr>
          <w:i/>
        </w:rPr>
        <w:t>UNFCCC reporting guidelines on annual inventories for Parties included in Annex I to the Convention</w:t>
      </w:r>
      <w:r w:rsidRPr="00BE78CA">
        <w:t xml:space="preserve"> (UNFCCC, 2013b), and the Kyoto Protocol decisions pertaining to reporting and review (UNFCCC, 2005 a–k, 2012, 2013c, 2016a, 2016b).</w:t>
      </w:r>
    </w:p>
    <w:p w14:paraId="150B3D2B" w14:textId="77777777" w:rsidR="00387C28" w:rsidRPr="00BE78CA" w:rsidRDefault="00387C28" w:rsidP="00D6018D">
      <w:pPr>
        <w:pStyle w:val="BodyText"/>
        <w:spacing w:after="100"/>
      </w:pPr>
      <w:r w:rsidRPr="00BE78CA">
        <w:t xml:space="preserve">The 2006 IPCC Guidelines provide a number of possible methodologies for calculating emissions or removals from a given category (IPCC, 2006b). In most cases, these possibilities represent calculations of the same form where the differences are in the level of detail at which the calculations are carried out. The methodologies are provided in a structure of three tiers that describe and connect the various levels of detail at which estimates can be made. </w:t>
      </w:r>
      <w:r w:rsidRPr="00BE78CA">
        <w:lastRenderedPageBreak/>
        <w:t>The choice of method depends on factors such as the importance of the inventory category and the availability of data. The tiered structure ensures that estimates calculated at a highly detailed level can be aggregated up to a common minimum level of detail for comparison with all other reporting countries. The methods for estimating emissions and/or removals are distinguished between the tiers as follows:</w:t>
      </w:r>
    </w:p>
    <w:p w14:paraId="6B365823" w14:textId="77777777" w:rsidR="00387C28" w:rsidRPr="00BE78CA" w:rsidRDefault="00387C28" w:rsidP="00D6018D">
      <w:pPr>
        <w:pStyle w:val="Bullet"/>
        <w:numPr>
          <w:ilvl w:val="0"/>
          <w:numId w:val="23"/>
        </w:numPr>
        <w:spacing w:after="100"/>
      </w:pPr>
      <w:r w:rsidRPr="00BE78CA">
        <w:t>Tier 1 methods apply IPCC default emission factors and use IPCC default methods</w:t>
      </w:r>
    </w:p>
    <w:p w14:paraId="1EE0156D" w14:textId="77777777" w:rsidR="00387C28" w:rsidRPr="00BE78CA" w:rsidRDefault="00387C28" w:rsidP="00D6018D">
      <w:pPr>
        <w:pStyle w:val="Bullet"/>
        <w:numPr>
          <w:ilvl w:val="0"/>
          <w:numId w:val="23"/>
        </w:numPr>
        <w:spacing w:after="100"/>
      </w:pPr>
      <w:r w:rsidRPr="00BE78CA">
        <w:t>Tier 2 methods apply country-specific emission factors and use IPCC default methods</w:t>
      </w:r>
    </w:p>
    <w:p w14:paraId="15A2C0DB" w14:textId="77777777" w:rsidR="00387C28" w:rsidRPr="00BE78CA" w:rsidRDefault="00387C28" w:rsidP="00D6018D">
      <w:pPr>
        <w:pStyle w:val="Bullet"/>
        <w:numPr>
          <w:ilvl w:val="0"/>
          <w:numId w:val="23"/>
        </w:numPr>
        <w:spacing w:after="100"/>
      </w:pPr>
      <w:r w:rsidRPr="00BE78CA">
        <w:t>Tier 3 methods apply country-specific emission factors and use country-specific methods.</w:t>
      </w:r>
    </w:p>
    <w:p w14:paraId="1FCD4543" w14:textId="77777777" w:rsidR="00387C28" w:rsidRPr="00BE78CA" w:rsidRDefault="00387C28" w:rsidP="00387C28">
      <w:pPr>
        <w:pStyle w:val="BodyText"/>
      </w:pPr>
      <w:r w:rsidRPr="00BE78CA">
        <w:t>Methodology for each sector in the inventory is described briefly in this section. Refer to each sector chapter for more detail.</w:t>
      </w:r>
    </w:p>
    <w:p w14:paraId="20E6DB8E" w14:textId="77777777" w:rsidR="00387C28" w:rsidRPr="00BE78CA" w:rsidRDefault="00387C28" w:rsidP="00387C28">
      <w:pPr>
        <w:pStyle w:val="Heading4"/>
      </w:pPr>
      <w:bookmarkStart w:id="117" w:name="energy"/>
      <w:r w:rsidRPr="00BE78CA">
        <w:t>Energy</w:t>
      </w:r>
      <w:bookmarkEnd w:id="117"/>
    </w:p>
    <w:p w14:paraId="5381A39D" w14:textId="77777777" w:rsidR="00387C28" w:rsidRPr="00BE78CA" w:rsidRDefault="00387C28" w:rsidP="00D6018D">
      <w:pPr>
        <w:pStyle w:val="BodyText"/>
        <w:spacing w:after="100"/>
      </w:pPr>
      <w:r w:rsidRPr="00BE78CA">
        <w:t>Greenhouse gas emissions from the Energy sector are calculated using a detailed sectoral approach. This bottom-up approach is demand based; it involves processing energy data collected on a regular basis through various surveys. For verification, New Zealand also applies the IPCC reference approach to estimate CO</w:t>
      </w:r>
      <w:r w:rsidRPr="00BE78CA">
        <w:rPr>
          <w:vertAlign w:val="subscript"/>
        </w:rPr>
        <w:t>2</w:t>
      </w:r>
      <w:r w:rsidRPr="00BE78CA">
        <w:t xml:space="preserve"> emissions from fuel combustion for the time series 1990 to 2019 (see annex 4).</w:t>
      </w:r>
    </w:p>
    <w:p w14:paraId="2F6E8D63" w14:textId="77777777" w:rsidR="00387C28" w:rsidRPr="00BE78CA" w:rsidRDefault="00387C28" w:rsidP="00D6018D">
      <w:pPr>
        <w:pStyle w:val="BodyText"/>
        <w:spacing w:after="100"/>
      </w:pPr>
      <w:r w:rsidRPr="00BE78CA">
        <w:t xml:space="preserve">The activity data used for the sectoral approach are referred to as ‘observed’ energy-use figures. These are based on surveys and questionnaires administered by MBIE. The differences between ‘calculated’ and ‘observed’ figures are reported as statistical differences in the energy balance tables released along with </w:t>
      </w:r>
      <w:r w:rsidRPr="00BE78CA">
        <w:rPr>
          <w:i/>
        </w:rPr>
        <w:t>Energy in New Zealand</w:t>
      </w:r>
      <w:r w:rsidRPr="00BE78CA">
        <w:t xml:space="preserve"> (MBIE, 2020). Note that, due to the intervening time between the publication of </w:t>
      </w:r>
      <w:r w:rsidRPr="00BE78CA">
        <w:rPr>
          <w:i/>
          <w:iCs/>
        </w:rPr>
        <w:t>Energy in New Zealand</w:t>
      </w:r>
      <w:r w:rsidRPr="00BE78CA">
        <w:t xml:space="preserve"> and the preparation of this submission, some data revisions may have occurred.</w:t>
      </w:r>
    </w:p>
    <w:p w14:paraId="3F32D027" w14:textId="77777777" w:rsidR="00387C28" w:rsidRPr="00BE78CA" w:rsidRDefault="00387C28" w:rsidP="00387C28">
      <w:pPr>
        <w:pStyle w:val="Heading4"/>
      </w:pPr>
      <w:bookmarkStart w:id="118" w:name="ippu"/>
      <w:r w:rsidRPr="00BE78CA">
        <w:t>IPPU</w:t>
      </w:r>
      <w:bookmarkEnd w:id="118"/>
    </w:p>
    <w:p w14:paraId="1B68430F" w14:textId="77777777" w:rsidR="00387C28" w:rsidRPr="00BE78CA" w:rsidRDefault="00387C28" w:rsidP="00D6018D">
      <w:pPr>
        <w:pStyle w:val="BodyText"/>
        <w:spacing w:after="100"/>
      </w:pPr>
      <w:r w:rsidRPr="00BE78CA">
        <w:t xml:space="preserve">Activity data in the IPPU sector have been derived from a variety of sources. In the </w:t>
      </w:r>
      <w:r w:rsidRPr="00BE78CA">
        <w:rPr>
          <w:i/>
        </w:rPr>
        <w:t>Mineral industry</w:t>
      </w:r>
      <w:r w:rsidRPr="00BE78CA">
        <w:t xml:space="preserve"> category, the primary data source is emissions data reported under the NZ ETS. For the </w:t>
      </w:r>
      <w:r w:rsidRPr="00BE78CA">
        <w:rPr>
          <w:i/>
        </w:rPr>
        <w:t>Chemical industry</w:t>
      </w:r>
      <w:r w:rsidRPr="00BE78CA">
        <w:t xml:space="preserve"> and </w:t>
      </w:r>
      <w:r w:rsidRPr="00BE78CA">
        <w:rPr>
          <w:i/>
        </w:rPr>
        <w:t>Metal industry</w:t>
      </w:r>
      <w:r w:rsidRPr="00BE78CA">
        <w:t xml:space="preserve"> categories, data (including activity data) are provided to MBIE in response to an annual survey. For some large-scale activities in the </w:t>
      </w:r>
      <w:r w:rsidRPr="00BE78CA">
        <w:rPr>
          <w:i/>
        </w:rPr>
        <w:t>Mineral industry</w:t>
      </w:r>
      <w:r w:rsidRPr="00BE78CA">
        <w:t xml:space="preserve">, </w:t>
      </w:r>
      <w:r w:rsidRPr="00BE78CA">
        <w:rPr>
          <w:i/>
        </w:rPr>
        <w:t>Chemical industry</w:t>
      </w:r>
      <w:r w:rsidRPr="00BE78CA">
        <w:t xml:space="preserve"> and </w:t>
      </w:r>
      <w:r w:rsidRPr="00BE78CA">
        <w:rPr>
          <w:i/>
        </w:rPr>
        <w:t>Metal industry</w:t>
      </w:r>
      <w:r w:rsidRPr="00BE78CA">
        <w:t xml:space="preserve"> categories, which are carried out by only one or two companies in New Zealand, activity data are reported as confidential in the CRF tables.</w:t>
      </w:r>
    </w:p>
    <w:p w14:paraId="09E15697" w14:textId="77777777" w:rsidR="00387C28" w:rsidRPr="00BE78CA" w:rsidRDefault="00387C28" w:rsidP="00D6018D">
      <w:pPr>
        <w:pStyle w:val="BodyText"/>
        <w:spacing w:after="100"/>
      </w:pPr>
      <w:r w:rsidRPr="00BE78CA">
        <w:t xml:space="preserve">Emissions data for glass production (2.A.3) are reported in category 2.A.4 to aggregate the data with other sources and preserve confidentiality. Also, data on emissions from hydrogen making at the Marsden Point oil refinery are reported in the </w:t>
      </w:r>
      <w:r w:rsidRPr="00BE78CA">
        <w:rPr>
          <w:i/>
        </w:rPr>
        <w:t>Chemical industry</w:t>
      </w:r>
      <w:r w:rsidRPr="00BE78CA">
        <w:t xml:space="preserve"> source category. This allows data from New Zealand’s only industrial hydrogen-making process, which is smaller in scale than refining, to be aggregated and kept confidential.</w:t>
      </w:r>
    </w:p>
    <w:p w14:paraId="24C3A4EA" w14:textId="77777777" w:rsidR="00387C28" w:rsidRPr="00BE78CA" w:rsidRDefault="00387C28" w:rsidP="00D6018D">
      <w:pPr>
        <w:pStyle w:val="BodyText"/>
        <w:spacing w:after="100"/>
      </w:pPr>
      <w:r w:rsidRPr="00BE78CA">
        <w:t xml:space="preserve">For the </w:t>
      </w:r>
      <w:r w:rsidRPr="00BE78CA">
        <w:rPr>
          <w:i/>
        </w:rPr>
        <w:t>Product uses as substitutes for ODS</w:t>
      </w:r>
      <w:r w:rsidRPr="00BE78CA">
        <w:rPr>
          <w:rStyle w:val="FootnoteReference"/>
        </w:rPr>
        <w:footnoteReference w:id="17"/>
      </w:r>
      <w:r w:rsidRPr="00BE78CA">
        <w:t xml:space="preserve"> category, updated activity data have been obtained through a detailed annual survey covering the electrical, refrigeration and other industry participants (Verum Group Ltd, unpublished) as well as importers of HFCs and other substances in this category.</w:t>
      </w:r>
    </w:p>
    <w:p w14:paraId="009A787B" w14:textId="77777777" w:rsidR="00387C28" w:rsidRPr="00BE78CA" w:rsidRDefault="00387C28" w:rsidP="00D6018D">
      <w:pPr>
        <w:pStyle w:val="BodyText"/>
        <w:spacing w:after="100"/>
      </w:pPr>
      <w:r w:rsidRPr="00BE78CA">
        <w:t>New Zealand uses a combination of Tier 1 and Tier 2 methodologies for the IPPU sector. Tier 2 methods are used for all key categories.</w:t>
      </w:r>
    </w:p>
    <w:p w14:paraId="410CC77F" w14:textId="77777777" w:rsidR="00387C28" w:rsidRPr="00BE78CA" w:rsidRDefault="00387C28" w:rsidP="009D5303">
      <w:pPr>
        <w:pStyle w:val="BodyText"/>
        <w:spacing w:after="100"/>
      </w:pPr>
      <w:r w:rsidRPr="00BE78CA">
        <w:lastRenderedPageBreak/>
        <w:t xml:space="preserve">For the small amounts of indirect GHG emissions reported in the </w:t>
      </w:r>
      <w:r w:rsidRPr="00BE78CA">
        <w:rPr>
          <w:i/>
        </w:rPr>
        <w:t>Chemical industry</w:t>
      </w:r>
      <w:r w:rsidRPr="00BE78CA">
        <w:t xml:space="preserve"> category and the </w:t>
      </w:r>
      <w:r w:rsidRPr="00BE78CA">
        <w:rPr>
          <w:i/>
        </w:rPr>
        <w:t>Other product manufacture and use</w:t>
      </w:r>
      <w:r w:rsidRPr="00BE78CA">
        <w:t xml:space="preserve"> category, data were obtained by a detailed industry survey and analysis (CRL Energy Ltd, unpublished). Emissions and activity data have been extrapolated for the years since 2006.</w:t>
      </w:r>
    </w:p>
    <w:p w14:paraId="224E318D" w14:textId="77777777" w:rsidR="00387C28" w:rsidRPr="00BE78CA" w:rsidRDefault="00387C28" w:rsidP="009D5303">
      <w:pPr>
        <w:pStyle w:val="BodyText"/>
        <w:spacing w:after="100"/>
      </w:pPr>
      <w:r w:rsidRPr="00BE78CA">
        <w:t>Country-specific emission factors have been used where available, including for emissions of indirect GHGs.</w:t>
      </w:r>
    </w:p>
    <w:p w14:paraId="2CCFA812" w14:textId="77777777" w:rsidR="00387C28" w:rsidRPr="00BE78CA" w:rsidRDefault="00387C28" w:rsidP="00387C28">
      <w:pPr>
        <w:pStyle w:val="Heading4"/>
      </w:pPr>
      <w:bookmarkStart w:id="119" w:name="agriculture"/>
      <w:r w:rsidRPr="00BE78CA">
        <w:t>Agriculture</w:t>
      </w:r>
      <w:bookmarkEnd w:id="119"/>
    </w:p>
    <w:p w14:paraId="356F76B5" w14:textId="229A35BB" w:rsidR="00387C28" w:rsidRPr="00BE78CA" w:rsidRDefault="00387C28" w:rsidP="009D5303">
      <w:pPr>
        <w:pStyle w:val="BodyText"/>
        <w:spacing w:after="100"/>
      </w:pPr>
      <w:r w:rsidRPr="00BE78CA">
        <w:t>New Zealand has developed a largely Tier 2 (with some Tier 1 aspects) methodology with</w:t>
      </w:r>
      <w:r w:rsidR="009D5303" w:rsidRPr="00BE78CA">
        <w:t> </w:t>
      </w:r>
      <w:r w:rsidRPr="00BE78CA">
        <w:t>country-specific emission factors for a range of emission sources. This methodology uses</w:t>
      </w:r>
      <w:r w:rsidR="009D5303" w:rsidRPr="00BE78CA">
        <w:t> </w:t>
      </w:r>
      <w:r w:rsidRPr="00BE78CA">
        <w:t>detailed data on livestock population and production to calculate livestock energy requirements for four major livestock categories (</w:t>
      </w:r>
      <w:r w:rsidR="005B4C8A" w:rsidRPr="00BE78CA">
        <w:t>d</w:t>
      </w:r>
      <w:r w:rsidRPr="00BE78CA">
        <w:t xml:space="preserve">airy cattle, beef cattle, </w:t>
      </w:r>
      <w:r w:rsidR="005B4C8A" w:rsidRPr="00BE78CA">
        <w:t>s</w:t>
      </w:r>
      <w:r w:rsidRPr="00BE78CA">
        <w:t>heep</w:t>
      </w:r>
      <w:r w:rsidR="0063133A" w:rsidRPr="00BE78CA">
        <w:t xml:space="preserve"> </w:t>
      </w:r>
      <w:r w:rsidRPr="00BE78CA">
        <w:t xml:space="preserve">and </w:t>
      </w:r>
      <w:r w:rsidR="005B4C8A" w:rsidRPr="00BE78CA">
        <w:t>d</w:t>
      </w:r>
      <w:r w:rsidRPr="00BE78CA">
        <w:t>ee</w:t>
      </w:r>
      <w:r w:rsidRPr="00BE78CA">
        <w:rPr>
          <w:iCs/>
        </w:rPr>
        <w:t>r</w:t>
      </w:r>
      <w:r w:rsidRPr="00BE78CA">
        <w:t>). Other livestock are classified as ‘minor’ due to their small total contribution to agricultural emissions and are outlined below. Animal population data are collected by Stats NZ. Productivity data are available from the Livestock Improvement Corporation and industry organisations, such as Beef + Lamb New Zealand Ltd and Deer Industry New Zealand, which regularly collect animal sector statistics. Statistics on animal carcass weights are collected by MPI and are used to derive live weights.</w:t>
      </w:r>
    </w:p>
    <w:p w14:paraId="1029D220" w14:textId="75651B26" w:rsidR="00387C28" w:rsidRPr="00BE78CA" w:rsidRDefault="00387C28" w:rsidP="009D5303">
      <w:pPr>
        <w:pStyle w:val="BodyText"/>
        <w:spacing w:after="100"/>
      </w:pPr>
      <w:r w:rsidRPr="00BE78CA">
        <w:t>Other livestock species combined (</w:t>
      </w:r>
      <w:r w:rsidRPr="00BE78CA">
        <w:rPr>
          <w:i/>
        </w:rPr>
        <w:t>Swine</w:t>
      </w:r>
      <w:r w:rsidRPr="00BE78CA">
        <w:t xml:space="preserve">, </w:t>
      </w:r>
      <w:r w:rsidRPr="00BE78CA">
        <w:rPr>
          <w:i/>
        </w:rPr>
        <w:t>Goats</w:t>
      </w:r>
      <w:r w:rsidRPr="00BE78CA">
        <w:t xml:space="preserve">, </w:t>
      </w:r>
      <w:r w:rsidRPr="00BE78CA">
        <w:rPr>
          <w:i/>
        </w:rPr>
        <w:t>Horses</w:t>
      </w:r>
      <w:r w:rsidRPr="00BE78CA">
        <w:t xml:space="preserve">, </w:t>
      </w:r>
      <w:r w:rsidRPr="00BE78CA">
        <w:rPr>
          <w:i/>
        </w:rPr>
        <w:t>Llamas</w:t>
      </w:r>
      <w:r w:rsidRPr="00BE78CA">
        <w:t xml:space="preserve"> </w:t>
      </w:r>
      <w:r w:rsidRPr="00BE78CA">
        <w:rPr>
          <w:i/>
        </w:rPr>
        <w:t>and</w:t>
      </w:r>
      <w:r w:rsidRPr="00BE78CA">
        <w:t xml:space="preserve"> </w:t>
      </w:r>
      <w:r w:rsidRPr="00BE78CA">
        <w:rPr>
          <w:i/>
        </w:rPr>
        <w:t>alpacas</w:t>
      </w:r>
      <w:r w:rsidRPr="00BE78CA">
        <w:t xml:space="preserve">, </w:t>
      </w:r>
      <w:r w:rsidRPr="00BE78CA">
        <w:rPr>
          <w:i/>
        </w:rPr>
        <w:t>Mules and asses</w:t>
      </w:r>
      <w:r w:rsidRPr="00BE78CA">
        <w:t xml:space="preserve"> and </w:t>
      </w:r>
      <w:r w:rsidRPr="00BE78CA">
        <w:rPr>
          <w:i/>
        </w:rPr>
        <w:t>Poultry</w:t>
      </w:r>
      <w:r w:rsidRPr="00BE78CA">
        <w:t>) account for only 0.5 per cent of New Zealand’s agriculture emissions. Emissions from these minor livestock species are estimated using Tier 1 methods. Where information is available, New Zealand has used country-specific emission methodology and factors. Rabbits are considered an agricultural pest in New Zealand and, based on expert opinion, only a very</w:t>
      </w:r>
      <w:r w:rsidR="009D5303" w:rsidRPr="00BE78CA">
        <w:t> </w:t>
      </w:r>
      <w:r w:rsidRPr="00BE78CA">
        <w:t>small number of rabbits are farmed in the country (R Sanson, pers. comm., 2019). Subsequently, emissions from farmed rabbits are not estimated (NE) because their emissions are insignificant. There is no known farming of other fur-bearing animals in New Zealand.</w:t>
      </w:r>
    </w:p>
    <w:p w14:paraId="2F6EDD55" w14:textId="5084569A" w:rsidR="00387C28" w:rsidRPr="00BE78CA" w:rsidRDefault="00387C28" w:rsidP="009D5303">
      <w:pPr>
        <w:pStyle w:val="BodyText"/>
        <w:spacing w:after="100"/>
      </w:pPr>
      <w:r w:rsidRPr="00BE78CA">
        <w:t xml:space="preserve">For estimating emissions from the </w:t>
      </w:r>
      <w:r w:rsidRPr="00BE78CA">
        <w:rPr>
          <w:i/>
        </w:rPr>
        <w:t>Agricultural soils</w:t>
      </w:r>
      <w:r w:rsidRPr="00BE78CA">
        <w:t xml:space="preserve"> category, New Zealand uses methodologies based on the 2006 IPCC Guidelines, the outputs of the Tier 2 livestock population characterisation, modelling of the livestock nutrition and energy requirements, and</w:t>
      </w:r>
      <w:r w:rsidR="009D5303" w:rsidRPr="00BE78CA">
        <w:t> </w:t>
      </w:r>
      <w:r w:rsidRPr="00BE78CA">
        <w:t>data on the application of nitrogen fertilisers. New Zealand uses a combination of default</w:t>
      </w:r>
      <w:r w:rsidR="009D5303" w:rsidRPr="00BE78CA">
        <w:t> </w:t>
      </w:r>
      <w:r w:rsidRPr="00BE78CA">
        <w:t>and country-specific emission factors and parameters to calculate N</w:t>
      </w:r>
      <w:r w:rsidRPr="00BE78CA">
        <w:rPr>
          <w:vertAlign w:val="subscript"/>
        </w:rPr>
        <w:t>2</w:t>
      </w:r>
      <w:r w:rsidRPr="00BE78CA">
        <w:t>O emissions from</w:t>
      </w:r>
      <w:r w:rsidR="009D5303" w:rsidRPr="00BE78CA">
        <w:t> </w:t>
      </w:r>
      <w:r w:rsidRPr="00BE78CA">
        <w:t xml:space="preserve">the </w:t>
      </w:r>
      <w:r w:rsidRPr="00BE78CA">
        <w:rPr>
          <w:i/>
        </w:rPr>
        <w:t>Agricultural soils</w:t>
      </w:r>
      <w:r w:rsidRPr="00BE78CA">
        <w:t xml:space="preserve"> category. Details on these emission factors and parameters are listed in chapter 5 (tables 5.5.2, 5.5.3 and 5.5.4) and annex 3 (tables A3.1.5, A3.1.6 and A3.1.7). Table 5.5.5 in chapter 5 contains the parameters used to estimate emissions where specific mitigation technologies are used.</w:t>
      </w:r>
    </w:p>
    <w:p w14:paraId="4B2DD933" w14:textId="3327AFDB" w:rsidR="00387C28" w:rsidRPr="00BE78CA" w:rsidRDefault="00387C28" w:rsidP="009D5303">
      <w:pPr>
        <w:pStyle w:val="BodyText"/>
        <w:spacing w:after="100"/>
      </w:pPr>
      <w:r w:rsidRPr="00BE78CA">
        <w:t xml:space="preserve">Activity data for the </w:t>
      </w:r>
      <w:r w:rsidRPr="00BE78CA">
        <w:rPr>
          <w:i/>
        </w:rPr>
        <w:t>Liming</w:t>
      </w:r>
      <w:r w:rsidRPr="00BE78CA">
        <w:t xml:space="preserve"> category are obtained from Stats NZ, and activity data on the use</w:t>
      </w:r>
      <w:r w:rsidR="009D5303" w:rsidRPr="00BE78CA">
        <w:t> </w:t>
      </w:r>
      <w:r w:rsidRPr="00BE78CA">
        <w:t>of synthetic fertiliser containing nitrogen are provided by the Fertiliser Association of New</w:t>
      </w:r>
      <w:r w:rsidR="009D5303" w:rsidRPr="00BE78CA">
        <w:t> </w:t>
      </w:r>
      <w:r w:rsidRPr="00BE78CA">
        <w:t xml:space="preserve">Zealand. A Tier 2 (model) approach is used to calculate emissions from the </w:t>
      </w:r>
      <w:r w:rsidRPr="00BE78CA">
        <w:rPr>
          <w:i/>
        </w:rPr>
        <w:t>Burning of agricultural residues</w:t>
      </w:r>
      <w:r w:rsidRPr="00BE78CA">
        <w:t xml:space="preserve"> category. There is no rice cultivation in New Zealand or CO</w:t>
      </w:r>
      <w:r w:rsidRPr="00BE78CA">
        <w:rPr>
          <w:vertAlign w:val="subscript"/>
        </w:rPr>
        <w:t>2</w:t>
      </w:r>
      <w:r w:rsidRPr="00BE78CA">
        <w:t xml:space="preserve"> emissions from other carbon-containing fertilisers.</w:t>
      </w:r>
    </w:p>
    <w:p w14:paraId="38F252C5" w14:textId="77777777" w:rsidR="00387C28" w:rsidRPr="00BE78CA" w:rsidRDefault="00387C28" w:rsidP="00387C28">
      <w:pPr>
        <w:pStyle w:val="Heading4"/>
      </w:pPr>
      <w:bookmarkStart w:id="120" w:name="lulucf-and-kp-lulucf"/>
      <w:r w:rsidRPr="00BE78CA">
        <w:t>LULUCF and KP-LULUCF</w:t>
      </w:r>
      <w:bookmarkEnd w:id="120"/>
    </w:p>
    <w:p w14:paraId="435E0FDB" w14:textId="3FAC0B00" w:rsidR="00387C28" w:rsidRPr="00BE78CA" w:rsidRDefault="00387C28" w:rsidP="009D5303">
      <w:pPr>
        <w:pStyle w:val="BodyText"/>
        <w:spacing w:after="100"/>
      </w:pPr>
      <w:r w:rsidRPr="00BE78CA">
        <w:t>New Zealand uses a combination of Tier 1, Tier 2 and Tier 3 methodologies for estimating emissions and removals for the LULUCF sector under the Convention and Article 3.3 and Article</w:t>
      </w:r>
      <w:r w:rsidR="009D5303" w:rsidRPr="00BE78CA">
        <w:t> </w:t>
      </w:r>
      <w:r w:rsidRPr="00BE78CA">
        <w:t>3.4 activities under the Kyoto Protocol. Tier 2 or Tier 3 approaches have been applied to</w:t>
      </w:r>
      <w:r w:rsidR="009D5303" w:rsidRPr="00BE78CA">
        <w:t> </w:t>
      </w:r>
      <w:r w:rsidRPr="00BE78CA">
        <w:t xml:space="preserve">estimate biomass carbon in the pools with the most living biomass at maturity: </w:t>
      </w:r>
      <w:r w:rsidRPr="00BE78CA">
        <w:rPr>
          <w:i/>
        </w:rPr>
        <w:t>Pre-1990 natural forest</w:t>
      </w:r>
      <w:r w:rsidRPr="00BE78CA">
        <w:t xml:space="preserve">, </w:t>
      </w:r>
      <w:r w:rsidRPr="00BE78CA">
        <w:rPr>
          <w:i/>
        </w:rPr>
        <w:t>Pre-1990 planted forest</w:t>
      </w:r>
      <w:r w:rsidRPr="00BE78CA">
        <w:t xml:space="preserve">, </w:t>
      </w:r>
      <w:r w:rsidRPr="00BE78CA">
        <w:rPr>
          <w:i/>
        </w:rPr>
        <w:t>Post-1989 natural forest</w:t>
      </w:r>
      <w:r w:rsidRPr="00BE78CA">
        <w:t xml:space="preserve">, </w:t>
      </w:r>
      <w:r w:rsidRPr="00BE78CA">
        <w:rPr>
          <w:i/>
        </w:rPr>
        <w:t>Post-1989 planted forest</w:t>
      </w:r>
      <w:r w:rsidRPr="00BE78CA">
        <w:t xml:space="preserve">, </w:t>
      </w:r>
      <w:r w:rsidRPr="00BE78CA">
        <w:rPr>
          <w:i/>
        </w:rPr>
        <w:lastRenderedPageBreak/>
        <w:t>Perennial cropland</w:t>
      </w:r>
      <w:r w:rsidRPr="00BE78CA">
        <w:t xml:space="preserve"> and </w:t>
      </w:r>
      <w:r w:rsidRPr="00BE78CA">
        <w:rPr>
          <w:i/>
        </w:rPr>
        <w:t>Grassland with woody biomass</w:t>
      </w:r>
      <w:r w:rsidRPr="00BE78CA">
        <w:t>. For all other land-use categories, a Tier</w:t>
      </w:r>
      <w:r w:rsidR="009D5303" w:rsidRPr="00BE78CA">
        <w:t> </w:t>
      </w:r>
      <w:r w:rsidRPr="00BE78CA">
        <w:t xml:space="preserve">1 approach is used for estimating biomass carbon. A Tier 2 modelling approach has also been used to estimate carbon changes in the mineral soil component of the soil organic matter pool, while Tier 1 is used for organic soils. Furthermore, a Tier 2 approach has been used to estimate carbon stock changes in the </w:t>
      </w:r>
      <w:r w:rsidRPr="00BE78CA">
        <w:rPr>
          <w:i/>
        </w:rPr>
        <w:t>Harvested wood products</w:t>
      </w:r>
      <w:r w:rsidRPr="00BE78CA">
        <w:t xml:space="preserve"> category.</w:t>
      </w:r>
    </w:p>
    <w:p w14:paraId="0A93188F" w14:textId="77777777" w:rsidR="00387C28" w:rsidRPr="00BE78CA" w:rsidRDefault="00387C28" w:rsidP="009D5303">
      <w:pPr>
        <w:pStyle w:val="BodyText"/>
        <w:spacing w:after="100"/>
      </w:pPr>
      <w:r w:rsidRPr="00BE78CA">
        <w:t>New Zealand has established a data collection and modelling programme for the LULUCF sector called the Land Use and Carbon Analysis System (LUCAS). The LUCAS programme includes:</w:t>
      </w:r>
    </w:p>
    <w:p w14:paraId="4821CAD0" w14:textId="77777777" w:rsidR="00387C28" w:rsidRPr="00BE78CA" w:rsidRDefault="00387C28" w:rsidP="009D5303">
      <w:pPr>
        <w:pStyle w:val="Bullet"/>
        <w:spacing w:after="100"/>
      </w:pPr>
      <w:r w:rsidRPr="00BE78CA">
        <w:t>use of field plot measurements for natural and planted forests</w:t>
      </w:r>
    </w:p>
    <w:p w14:paraId="536E757D" w14:textId="77777777" w:rsidR="00387C28" w:rsidRPr="00BE78CA" w:rsidRDefault="00387C28" w:rsidP="009D5303">
      <w:pPr>
        <w:pStyle w:val="Bullet"/>
        <w:spacing w:after="100"/>
      </w:pPr>
      <w:r w:rsidRPr="00BE78CA">
        <w:t>use of allometric models and a forest carbon modelling system to estimate carbon stock and carbon stock change in natural and planted forests respectively (Paul et al., 2020; Paul et al., unpublished(a), unpublished(b), unpublished(c); Paul and Wakelin, unpublished</w:t>
      </w:r>
    </w:p>
    <w:p w14:paraId="4F9E13C7" w14:textId="77777777" w:rsidR="00387C28" w:rsidRPr="00BE78CA" w:rsidRDefault="00387C28" w:rsidP="009D5303">
      <w:pPr>
        <w:pStyle w:val="Bullet"/>
        <w:spacing w:after="100"/>
      </w:pPr>
      <w:r w:rsidRPr="00BE78CA">
        <w:t>wall-to-wall land use mapping for 1990, 2008, 2012 and 2016 using satellite and aircraft remotely sensed imagery, with additional information on post-1989 forest afforestation and deforestation of planted forest used for estimating the change</w:t>
      </w:r>
    </w:p>
    <w:p w14:paraId="7E698B30" w14:textId="77777777" w:rsidR="00387C28" w:rsidRPr="00BE78CA" w:rsidRDefault="00387C28" w:rsidP="009D5303">
      <w:pPr>
        <w:pStyle w:val="Bullet"/>
        <w:spacing w:after="100"/>
      </w:pPr>
      <w:r w:rsidRPr="00BE78CA">
        <w:t>development of databases and applications to store and process all data associated with LULUCF activities.</w:t>
      </w:r>
    </w:p>
    <w:p w14:paraId="320D9EBC" w14:textId="77777777" w:rsidR="00387C28" w:rsidRPr="00BE78CA" w:rsidRDefault="00387C28" w:rsidP="00387C28">
      <w:pPr>
        <w:pStyle w:val="Heading4"/>
      </w:pPr>
      <w:bookmarkStart w:id="121" w:name="waste"/>
      <w:r w:rsidRPr="00BE78CA">
        <w:t>Waste</w:t>
      </w:r>
      <w:bookmarkEnd w:id="121"/>
    </w:p>
    <w:p w14:paraId="4F8F5429" w14:textId="289B50B0" w:rsidR="00387C28" w:rsidRPr="00BE78CA" w:rsidRDefault="00387C28" w:rsidP="009D5303">
      <w:pPr>
        <w:pStyle w:val="BodyText"/>
        <w:spacing w:after="100"/>
      </w:pPr>
      <w:r w:rsidRPr="00BE78CA">
        <w:t>Activity data have come from a variety of sources. Municipal solid waste disposal data, from mandatory reporting under the Waste Minimisation Act 2008 and from the NZ ETS, were used for the years for which they are available (2010 onwards). Activity data for all other sources were based on specific surveys. Interpolation based on gross domestic product or population is</w:t>
      </w:r>
      <w:r w:rsidR="009D5303" w:rsidRPr="00BE78CA">
        <w:t> </w:t>
      </w:r>
      <w:r w:rsidRPr="00BE78CA">
        <w:t>used for other years.</w:t>
      </w:r>
    </w:p>
    <w:p w14:paraId="489C75C5" w14:textId="77777777" w:rsidR="00387C28" w:rsidRPr="00BE78CA" w:rsidRDefault="00387C28" w:rsidP="009D5303">
      <w:pPr>
        <w:pStyle w:val="BodyText"/>
        <w:spacing w:after="100"/>
      </w:pPr>
      <w:r w:rsidRPr="00BE78CA">
        <w:t xml:space="preserve">New Zealand uses Tier 2 methodologies for estimating emissions from the </w:t>
      </w:r>
      <w:r w:rsidRPr="00BE78CA">
        <w:rPr>
          <w:i/>
        </w:rPr>
        <w:t>Solid waste disposal</w:t>
      </w:r>
      <w:r w:rsidRPr="00BE78CA">
        <w:t xml:space="preserve"> source category, which is a key category, and for some wastewater emissions. Tier 1 methods are used to estimate other emissions from the Waste sector.</w:t>
      </w:r>
    </w:p>
    <w:p w14:paraId="355EEE58" w14:textId="77777777" w:rsidR="00387C28" w:rsidRPr="00BE78CA" w:rsidRDefault="00387C28" w:rsidP="009D5303">
      <w:pPr>
        <w:pStyle w:val="BodyText"/>
        <w:spacing w:after="100"/>
      </w:pPr>
      <w:r w:rsidRPr="00BE78CA">
        <w:t>Country-specific emission factors have been used where available, including parameters for municipal waste (Eunomia, unpublished) and for treatment of some types of industrial wastewater (Cardno, unpublished).</w:t>
      </w:r>
    </w:p>
    <w:p w14:paraId="15EA6F67" w14:textId="77777777" w:rsidR="00387C28" w:rsidRPr="00BE78CA" w:rsidRDefault="00387C28" w:rsidP="009D5303">
      <w:pPr>
        <w:pStyle w:val="BodyText"/>
        <w:spacing w:after="100"/>
      </w:pPr>
      <w:r w:rsidRPr="00BE78CA">
        <w:t>Methodological issues are discussed under each source category in chapter 7.</w:t>
      </w:r>
    </w:p>
    <w:p w14:paraId="5DC07631" w14:textId="77777777" w:rsidR="00387C28" w:rsidRPr="00BE78CA" w:rsidRDefault="00387C28" w:rsidP="00387C28">
      <w:pPr>
        <w:pStyle w:val="Heading4"/>
      </w:pPr>
      <w:bookmarkStart w:id="122" w:name="other-sector-tokelau"/>
      <w:r w:rsidRPr="00BE78CA">
        <w:t>Other sector (Tokelau)</w:t>
      </w:r>
      <w:bookmarkEnd w:id="122"/>
    </w:p>
    <w:p w14:paraId="3B832359" w14:textId="77777777" w:rsidR="00387C28" w:rsidRPr="00BE78CA" w:rsidRDefault="00387C28" w:rsidP="009D5303">
      <w:pPr>
        <w:pStyle w:val="BodyText"/>
        <w:spacing w:after="100"/>
      </w:pPr>
      <w:r w:rsidRPr="00BE78CA">
        <w:t>The Tokelau National Statistics Office collects and processes activity data from Tokelau for inventory preparation. Chapter 8, table 8.1.2, contains the key sources of the activity data from Tokelau used in Tokelau’s GHG inventory.</w:t>
      </w:r>
    </w:p>
    <w:p w14:paraId="30EFD63D" w14:textId="6973323F" w:rsidR="00387C28" w:rsidRPr="00BE78CA" w:rsidRDefault="00387C28" w:rsidP="00387C28">
      <w:pPr>
        <w:pStyle w:val="Heading2"/>
      </w:pPr>
      <w:bookmarkStart w:id="123" w:name="key-categories"/>
      <w:bookmarkStart w:id="124" w:name="_Toc68786292"/>
      <w:r w:rsidRPr="00BE78CA">
        <w:t xml:space="preserve">1.5 </w:t>
      </w:r>
      <w:r w:rsidR="009D5303" w:rsidRPr="00BE78CA">
        <w:tab/>
      </w:r>
      <w:r w:rsidRPr="00BE78CA">
        <w:t>Key categories</w:t>
      </w:r>
      <w:bookmarkEnd w:id="123"/>
      <w:bookmarkEnd w:id="124"/>
    </w:p>
    <w:p w14:paraId="7BFAB1E1" w14:textId="035B9194" w:rsidR="00387C28" w:rsidRPr="00BE78CA" w:rsidRDefault="00387C28" w:rsidP="009D5303">
      <w:pPr>
        <w:pStyle w:val="Heading3"/>
        <w:spacing w:before="240"/>
      </w:pPr>
      <w:bookmarkStart w:id="125" w:name="reporting-under-the-convention"/>
      <w:r w:rsidRPr="00BE78CA">
        <w:t xml:space="preserve">1.5.1 </w:t>
      </w:r>
      <w:r w:rsidR="009D5303" w:rsidRPr="00BE78CA">
        <w:tab/>
      </w:r>
      <w:r w:rsidRPr="00BE78CA">
        <w:t>Reporting under the Convention</w:t>
      </w:r>
      <w:bookmarkEnd w:id="125"/>
    </w:p>
    <w:p w14:paraId="5B870F21" w14:textId="77777777" w:rsidR="00387C28" w:rsidRPr="00BE78CA" w:rsidRDefault="00387C28" w:rsidP="009D5303">
      <w:pPr>
        <w:pStyle w:val="BodyText"/>
        <w:spacing w:before="100" w:after="100"/>
      </w:pPr>
      <w:r w:rsidRPr="00BE78CA">
        <w:t>The 2006 IPCC Guidelines identify a key category as:</w:t>
      </w:r>
    </w:p>
    <w:p w14:paraId="675C51B5" w14:textId="77777777" w:rsidR="00387C28" w:rsidRPr="00BE78CA" w:rsidRDefault="00387C28" w:rsidP="00387C28">
      <w:pPr>
        <w:pStyle w:val="Quote"/>
      </w:pPr>
      <w:r w:rsidRPr="00BE78CA">
        <w:t>…one that is prioritised within the National Inventory System because its estimate has a significant influence on a country’s total Inventory of direct greenhouse gases in terms of the absolute level of emissions, the trend in emissions, or both.</w:t>
      </w:r>
    </w:p>
    <w:p w14:paraId="5BB77C19" w14:textId="77777777" w:rsidR="00387C28" w:rsidRPr="00BE78CA" w:rsidRDefault="00387C28" w:rsidP="00387C28">
      <w:pPr>
        <w:pStyle w:val="BodyText"/>
      </w:pPr>
      <w:r w:rsidRPr="00BE78CA">
        <w:lastRenderedPageBreak/>
        <w:t>Key categories identified within the inventory are used to prioritise inventory improvements.</w:t>
      </w:r>
    </w:p>
    <w:p w14:paraId="2920A1C7" w14:textId="77777777" w:rsidR="00387C28" w:rsidRPr="00BE78CA" w:rsidRDefault="00387C28" w:rsidP="00387C28">
      <w:pPr>
        <w:pStyle w:val="BodyText"/>
      </w:pPr>
      <w:r w:rsidRPr="00BE78CA">
        <w:t>The key categories in the inventory have been assessed using the Approach 1 level (L1) and Approach 1 trend (T1) methodologies from the 2006 IPCC Guidelines, because some categories in the inventory apply default uncertainty values for emission estimates, and developing country-specific uncertainty values is resource prohibitive.</w:t>
      </w:r>
    </w:p>
    <w:p w14:paraId="63EB08D6" w14:textId="727057E3" w:rsidR="00387C28" w:rsidRPr="00BE78CA" w:rsidRDefault="00387C28" w:rsidP="00387C28">
      <w:pPr>
        <w:pStyle w:val="BodyText"/>
      </w:pPr>
      <w:r w:rsidRPr="00BE78CA">
        <w:t>The key category analysis identifies key categories of emissions and removals as those that sum to 95 per cent of the gross or net level of emissions and those that are within the top 95</w:t>
      </w:r>
      <w:r w:rsidR="00387C49" w:rsidRPr="00BE78CA">
        <w:t> </w:t>
      </w:r>
      <w:r w:rsidRPr="00BE78CA">
        <w:t>per cent of the categories that contribute to the change between 1990 and 2019, or the trend of emissions. New Zealand does not currently use qualitative assessment to identify any key categories. The key categories identified in the 2019 year are summarised in table 1.5.1. In</w:t>
      </w:r>
      <w:r w:rsidR="00387C49" w:rsidRPr="00BE78CA">
        <w:t> </w:t>
      </w:r>
      <w:r w:rsidRPr="00BE78CA">
        <w:t>accordance with the 2006 IPCC Guidelines, the key category analysis is performed once for</w:t>
      </w:r>
      <w:r w:rsidR="00D32B62" w:rsidRPr="00BE78CA">
        <w:t> </w:t>
      </w:r>
      <w:r w:rsidRPr="00BE78CA">
        <w:t>the inventory excluding the LULUCF sector and then repeated for the inventory including the LULUCF sector. Non-LULUCF categories that are identified as key in the first analysis are still counted even when they are not identified as a key category when the LULUCF sector is</w:t>
      </w:r>
      <w:r w:rsidR="00D32B62" w:rsidRPr="00BE78CA">
        <w:t> </w:t>
      </w:r>
      <w:r w:rsidRPr="00BE78CA">
        <w:t>included.</w:t>
      </w:r>
    </w:p>
    <w:p w14:paraId="4ABEE6C3" w14:textId="36FB3173" w:rsidR="00387C28" w:rsidRPr="00BE78CA" w:rsidRDefault="00387C28" w:rsidP="00387C28">
      <w:pPr>
        <w:pStyle w:val="BodyText"/>
      </w:pPr>
      <w:r w:rsidRPr="00BE78CA">
        <w:t>The key category analysis performed for the inventory differs from that produced in the CRF</w:t>
      </w:r>
      <w:r w:rsidR="00D32B62" w:rsidRPr="00BE78CA">
        <w:t> </w:t>
      </w:r>
      <w:r w:rsidRPr="00BE78CA">
        <w:t>tables, because the level of aggregation of categories is adjusted to better reflect New</w:t>
      </w:r>
      <w:r w:rsidR="00D32B62" w:rsidRPr="00BE78CA">
        <w:t> </w:t>
      </w:r>
      <w:r w:rsidRPr="00BE78CA">
        <w:t>Zealand’s emissions profile. Specifically, a large proportion of emissions from the Energy</w:t>
      </w:r>
      <w:r w:rsidR="00D32B62" w:rsidRPr="00BE78CA">
        <w:t> </w:t>
      </w:r>
      <w:r w:rsidRPr="00BE78CA">
        <w:t>and Agriculture sectors are disaggregated further than the key category analysis generated in the CRF tables, to allow for a more evenly proportioned analysis of categories.</w:t>
      </w:r>
    </w:p>
    <w:p w14:paraId="18A7ABB2" w14:textId="77777777" w:rsidR="00387C28" w:rsidRPr="00BE78CA" w:rsidRDefault="00387C28" w:rsidP="00387C28">
      <w:pPr>
        <w:pStyle w:val="BodyText"/>
      </w:pPr>
      <w:r w:rsidRPr="00BE78CA">
        <w:t>Table 1.5.2(a) identifies that the major contributions to the level analysis of net emissions for 2019 are:</w:t>
      </w:r>
    </w:p>
    <w:p w14:paraId="737291DE" w14:textId="77777777" w:rsidR="00387C28" w:rsidRPr="00BE78CA" w:rsidRDefault="00387C28" w:rsidP="00D32B62">
      <w:pPr>
        <w:pStyle w:val="Bullet"/>
      </w:pPr>
      <w:r w:rsidRPr="00BE78CA">
        <w:t>CO</w:t>
      </w:r>
      <w:r w:rsidRPr="00BE78CA">
        <w:rPr>
          <w:vertAlign w:val="subscript"/>
        </w:rPr>
        <w:t>2</w:t>
      </w:r>
      <w:r w:rsidRPr="00BE78CA">
        <w:t xml:space="preserve"> emissions from </w:t>
      </w:r>
      <w:r w:rsidRPr="00BE78CA">
        <w:rPr>
          <w:i/>
          <w:iCs/>
        </w:rPr>
        <w:t xml:space="preserve">Forest land – Forest land remaining forest land </w:t>
      </w:r>
      <w:r w:rsidRPr="00BE78CA">
        <w:t>(14.7 per cent)</w:t>
      </w:r>
    </w:p>
    <w:p w14:paraId="0D52F96C" w14:textId="77777777" w:rsidR="00387C28" w:rsidRPr="00BE78CA" w:rsidRDefault="00387C28" w:rsidP="00D32B62">
      <w:pPr>
        <w:pStyle w:val="Bullet"/>
      </w:pPr>
      <w:r w:rsidRPr="00BE78CA">
        <w:t>CO</w:t>
      </w:r>
      <w:r w:rsidRPr="00BE78CA">
        <w:rPr>
          <w:vertAlign w:val="subscript"/>
        </w:rPr>
        <w:t>2</w:t>
      </w:r>
      <w:r w:rsidRPr="00BE78CA">
        <w:t xml:space="preserve"> emissions from </w:t>
      </w:r>
      <w:r w:rsidRPr="00BE78CA">
        <w:rPr>
          <w:i/>
        </w:rPr>
        <w:t>Road transportation – Liquid fuels</w:t>
      </w:r>
      <w:r w:rsidRPr="00BE78CA">
        <w:t xml:space="preserve"> (12.2 per cent)</w:t>
      </w:r>
    </w:p>
    <w:p w14:paraId="43375CCE" w14:textId="77777777" w:rsidR="00387C28" w:rsidRPr="00BE78CA" w:rsidRDefault="00387C28" w:rsidP="009A36CA">
      <w:pPr>
        <w:pStyle w:val="Bullet"/>
        <w:numPr>
          <w:ilvl w:val="0"/>
          <w:numId w:val="19"/>
        </w:numPr>
      </w:pPr>
      <w:r w:rsidRPr="00BE78CA">
        <w:t>CH</w:t>
      </w:r>
      <w:r w:rsidRPr="00BE78CA">
        <w:rPr>
          <w:vertAlign w:val="subscript"/>
        </w:rPr>
        <w:t>4</w:t>
      </w:r>
      <w:r w:rsidRPr="00BE78CA">
        <w:t xml:space="preserve"> emissions from </w:t>
      </w:r>
      <w:r w:rsidRPr="00BE78CA">
        <w:rPr>
          <w:i/>
        </w:rPr>
        <w:t>Dairy cattle – Enteric fermentation</w:t>
      </w:r>
      <w:r w:rsidRPr="00BE78CA">
        <w:t xml:space="preserve"> (11.7 per cent)</w:t>
      </w:r>
    </w:p>
    <w:p w14:paraId="3DF029FF" w14:textId="77777777" w:rsidR="00387C28" w:rsidRPr="00BE78CA" w:rsidRDefault="00387C28" w:rsidP="009A36CA">
      <w:pPr>
        <w:pStyle w:val="Bullet"/>
        <w:numPr>
          <w:ilvl w:val="0"/>
          <w:numId w:val="19"/>
        </w:numPr>
      </w:pPr>
      <w:r w:rsidRPr="00BE78CA">
        <w:t>CO</w:t>
      </w:r>
      <w:r w:rsidRPr="00BE78CA">
        <w:rPr>
          <w:vertAlign w:val="subscript"/>
        </w:rPr>
        <w:t>2</w:t>
      </w:r>
      <w:r w:rsidRPr="00BE78CA">
        <w:t xml:space="preserve"> emissions from </w:t>
      </w:r>
      <w:r w:rsidRPr="00BE78CA">
        <w:rPr>
          <w:i/>
        </w:rPr>
        <w:t>Forest land – Harvested wood products</w:t>
      </w:r>
      <w:r w:rsidRPr="00BE78CA">
        <w:t xml:space="preserve"> (8.4 per cent).</w:t>
      </w:r>
    </w:p>
    <w:p w14:paraId="4187E956" w14:textId="77777777" w:rsidR="00387C28" w:rsidRPr="00BE78CA" w:rsidRDefault="00387C28" w:rsidP="00387C28">
      <w:pPr>
        <w:pStyle w:val="BodyText"/>
      </w:pPr>
      <w:r w:rsidRPr="00BE78CA">
        <w:t>As detailed in table 1.5.3(a), the key categories that were identified as having the largest relative influence on the trend, when compared with the average change in net emissions from 1990 to 2019, are:</w:t>
      </w:r>
    </w:p>
    <w:p w14:paraId="160F6FF2" w14:textId="77777777" w:rsidR="00387C28" w:rsidRPr="00BE78CA" w:rsidRDefault="00387C28" w:rsidP="00313010">
      <w:pPr>
        <w:pStyle w:val="Bullet"/>
      </w:pPr>
      <w:r w:rsidRPr="00BE78CA">
        <w:t>CO</w:t>
      </w:r>
      <w:r w:rsidRPr="00BE78CA">
        <w:rPr>
          <w:vertAlign w:val="subscript"/>
        </w:rPr>
        <w:t>2</w:t>
      </w:r>
      <w:r w:rsidRPr="00BE78CA">
        <w:t xml:space="preserve"> emissions from </w:t>
      </w:r>
      <w:r w:rsidRPr="00BE78CA">
        <w:rPr>
          <w:i/>
        </w:rPr>
        <w:t>Forest land – Forest land remaining forest land</w:t>
      </w:r>
      <w:r w:rsidRPr="00BE78CA">
        <w:t xml:space="preserve"> (17.8 per cent as an increase)</w:t>
      </w:r>
    </w:p>
    <w:p w14:paraId="69465960" w14:textId="77777777" w:rsidR="00387C28" w:rsidRPr="00BE78CA" w:rsidRDefault="00387C28" w:rsidP="00313010">
      <w:pPr>
        <w:pStyle w:val="Bullet"/>
      </w:pPr>
      <w:r w:rsidRPr="00BE78CA">
        <w:t>CH</w:t>
      </w:r>
      <w:r w:rsidRPr="00BE78CA">
        <w:rPr>
          <w:vertAlign w:val="subscript"/>
        </w:rPr>
        <w:t>4</w:t>
      </w:r>
      <w:r w:rsidRPr="00BE78CA">
        <w:t xml:space="preserve"> emissions from </w:t>
      </w:r>
      <w:r w:rsidRPr="00BE78CA">
        <w:rPr>
          <w:i/>
        </w:rPr>
        <w:t>Sheep</w:t>
      </w:r>
      <w:r w:rsidRPr="00BE78CA">
        <w:t xml:space="preserve"> – </w:t>
      </w:r>
      <w:r w:rsidRPr="00BE78CA">
        <w:rPr>
          <w:i/>
        </w:rPr>
        <w:t>Enteric fermentation</w:t>
      </w:r>
      <w:r w:rsidRPr="00BE78CA">
        <w:t xml:space="preserve"> (13.5 per cent as a decrease)</w:t>
      </w:r>
    </w:p>
    <w:p w14:paraId="4ADF9622" w14:textId="77777777" w:rsidR="00387C28" w:rsidRPr="00BE78CA" w:rsidRDefault="00387C28" w:rsidP="00313010">
      <w:pPr>
        <w:pStyle w:val="Bullet"/>
      </w:pPr>
      <w:r w:rsidRPr="00BE78CA">
        <w:t>CO</w:t>
      </w:r>
      <w:r w:rsidRPr="00BE78CA">
        <w:rPr>
          <w:vertAlign w:val="subscript"/>
        </w:rPr>
        <w:t>2</w:t>
      </w:r>
      <w:r w:rsidRPr="00BE78CA">
        <w:t xml:space="preserve"> emissions from </w:t>
      </w:r>
      <w:r w:rsidRPr="00BE78CA">
        <w:rPr>
          <w:i/>
        </w:rPr>
        <w:t>Forest land – Harvested wood products</w:t>
      </w:r>
      <w:r w:rsidRPr="00BE78CA">
        <w:t xml:space="preserve"> (10.8 per cent as an increase)</w:t>
      </w:r>
    </w:p>
    <w:p w14:paraId="7E8F8385" w14:textId="77777777" w:rsidR="00387C28" w:rsidRPr="00BE78CA" w:rsidRDefault="00387C28" w:rsidP="00313010">
      <w:pPr>
        <w:pStyle w:val="Bullet"/>
      </w:pPr>
      <w:r w:rsidRPr="00BE78CA">
        <w:t>CH</w:t>
      </w:r>
      <w:r w:rsidRPr="00BE78CA">
        <w:rPr>
          <w:vertAlign w:val="subscript"/>
        </w:rPr>
        <w:t>4</w:t>
      </w:r>
      <w:r w:rsidRPr="00BE78CA">
        <w:t xml:space="preserve"> emissions from </w:t>
      </w:r>
      <w:r w:rsidRPr="00BE78CA">
        <w:rPr>
          <w:i/>
        </w:rPr>
        <w:t>Dairy cattle – Land converted to forest land</w:t>
      </w:r>
      <w:r w:rsidRPr="00BE78CA">
        <w:t xml:space="preserve"> (9.4 per cent as a decrease).</w:t>
      </w:r>
    </w:p>
    <w:p w14:paraId="62B5781B" w14:textId="77777777" w:rsidR="00387C28" w:rsidRPr="00BE78CA" w:rsidRDefault="00387C28" w:rsidP="00D32B62">
      <w:pPr>
        <w:pStyle w:val="BodyText"/>
      </w:pPr>
      <w:r w:rsidRPr="00BE78CA">
        <w:t>For gross emissions, table 1.5.2(b) identifies that the major contributions to the level analysis for 2019 are:</w:t>
      </w:r>
    </w:p>
    <w:p w14:paraId="66CD8823" w14:textId="77777777" w:rsidR="00387C28" w:rsidRPr="00BE78CA" w:rsidRDefault="00387C28" w:rsidP="00D32B62">
      <w:pPr>
        <w:pStyle w:val="Bullet"/>
      </w:pPr>
      <w:r w:rsidRPr="00BE78CA">
        <w:t>CO</w:t>
      </w:r>
      <w:r w:rsidRPr="00BE78CA">
        <w:rPr>
          <w:vertAlign w:val="subscript"/>
        </w:rPr>
        <w:t>2</w:t>
      </w:r>
      <w:r w:rsidRPr="00BE78CA">
        <w:t xml:space="preserve"> emissions from </w:t>
      </w:r>
      <w:r w:rsidRPr="00BE78CA">
        <w:rPr>
          <w:i/>
        </w:rPr>
        <w:t>Road transportation – Liquid fuels</w:t>
      </w:r>
      <w:r w:rsidRPr="00BE78CA">
        <w:t xml:space="preserve"> (17.7 per cent)</w:t>
      </w:r>
    </w:p>
    <w:p w14:paraId="75EC88DE" w14:textId="77777777" w:rsidR="00387C28" w:rsidRPr="00BE78CA" w:rsidRDefault="00387C28" w:rsidP="00D32B62">
      <w:pPr>
        <w:pStyle w:val="Bullet"/>
      </w:pPr>
      <w:r w:rsidRPr="00BE78CA">
        <w:t>CH</w:t>
      </w:r>
      <w:r w:rsidRPr="00BE78CA">
        <w:rPr>
          <w:vertAlign w:val="subscript"/>
        </w:rPr>
        <w:t>4</w:t>
      </w:r>
      <w:r w:rsidRPr="00BE78CA">
        <w:t xml:space="preserve"> emissions from </w:t>
      </w:r>
      <w:r w:rsidRPr="00BE78CA">
        <w:rPr>
          <w:i/>
        </w:rPr>
        <w:t>Dairy cattle</w:t>
      </w:r>
      <w:r w:rsidRPr="00BE78CA">
        <w:t xml:space="preserve"> – </w:t>
      </w:r>
      <w:r w:rsidRPr="00BE78CA">
        <w:rPr>
          <w:i/>
        </w:rPr>
        <w:t>Enteric fermentation</w:t>
      </w:r>
      <w:r w:rsidRPr="00BE78CA">
        <w:t xml:space="preserve"> (17.0 per cent)</w:t>
      </w:r>
    </w:p>
    <w:p w14:paraId="0E4BAAE8" w14:textId="77777777" w:rsidR="00387C28" w:rsidRPr="00BE78CA" w:rsidRDefault="00387C28" w:rsidP="00D32B62">
      <w:pPr>
        <w:pStyle w:val="Bullet"/>
      </w:pPr>
      <w:r w:rsidRPr="00BE78CA">
        <w:t>CH</w:t>
      </w:r>
      <w:r w:rsidRPr="00BE78CA">
        <w:rPr>
          <w:vertAlign w:val="subscript"/>
        </w:rPr>
        <w:t>4</w:t>
      </w:r>
      <w:r w:rsidRPr="00BE78CA">
        <w:t xml:space="preserve"> emissions from </w:t>
      </w:r>
      <w:r w:rsidRPr="00BE78CA">
        <w:rPr>
          <w:i/>
        </w:rPr>
        <w:t>Sheep</w:t>
      </w:r>
      <w:r w:rsidRPr="00BE78CA">
        <w:t xml:space="preserve"> – </w:t>
      </w:r>
      <w:r w:rsidRPr="00BE78CA">
        <w:rPr>
          <w:i/>
        </w:rPr>
        <w:t>Enteric fermentation</w:t>
      </w:r>
      <w:r w:rsidRPr="00BE78CA">
        <w:t xml:space="preserve"> (10.4 per cent)</w:t>
      </w:r>
    </w:p>
    <w:p w14:paraId="07E83C4F" w14:textId="77777777" w:rsidR="00387C28" w:rsidRPr="00BE78CA" w:rsidRDefault="00387C28" w:rsidP="00D32B62">
      <w:pPr>
        <w:pStyle w:val="Bullet"/>
      </w:pPr>
      <w:r w:rsidRPr="00BE78CA">
        <w:t>CH</w:t>
      </w:r>
      <w:r w:rsidRPr="00BE78CA">
        <w:rPr>
          <w:vertAlign w:val="subscript"/>
        </w:rPr>
        <w:t>4</w:t>
      </w:r>
      <w:r w:rsidRPr="00BE78CA">
        <w:t xml:space="preserve"> emissions from </w:t>
      </w:r>
      <w:r w:rsidRPr="00BE78CA">
        <w:rPr>
          <w:i/>
        </w:rPr>
        <w:t xml:space="preserve">Non-dairy </w:t>
      </w:r>
      <w:r w:rsidRPr="00BE78CA">
        <w:rPr>
          <w:iCs/>
        </w:rPr>
        <w:t>(beef)</w:t>
      </w:r>
      <w:r w:rsidRPr="00BE78CA">
        <w:rPr>
          <w:i/>
        </w:rPr>
        <w:t xml:space="preserve"> cattle</w:t>
      </w:r>
      <w:r w:rsidRPr="00BE78CA">
        <w:t xml:space="preserve"> – </w:t>
      </w:r>
      <w:r w:rsidRPr="00BE78CA">
        <w:rPr>
          <w:i/>
        </w:rPr>
        <w:t>Enteric fermentation</w:t>
      </w:r>
      <w:r w:rsidRPr="00BE78CA">
        <w:t xml:space="preserve"> (7.2 per cent).</w:t>
      </w:r>
    </w:p>
    <w:p w14:paraId="735E54C0" w14:textId="77777777" w:rsidR="00387C28" w:rsidRPr="00BE78CA" w:rsidRDefault="00387C28" w:rsidP="00387C28">
      <w:pPr>
        <w:pStyle w:val="BodyText"/>
      </w:pPr>
      <w:r w:rsidRPr="00BE78CA">
        <w:lastRenderedPageBreak/>
        <w:t>As detailed in table 1.5.3(b), the key categories that were identified as having the largest relative influence on the trend, when compared with the average change in gross emissions from 1990 to 2019, are:</w:t>
      </w:r>
    </w:p>
    <w:p w14:paraId="04E6307B" w14:textId="77777777" w:rsidR="00387C28" w:rsidRPr="00BE78CA" w:rsidRDefault="00387C28" w:rsidP="00D32B62">
      <w:pPr>
        <w:pStyle w:val="Bullet"/>
      </w:pPr>
      <w:r w:rsidRPr="00BE78CA">
        <w:t>CH</w:t>
      </w:r>
      <w:r w:rsidRPr="00BE78CA">
        <w:rPr>
          <w:vertAlign w:val="subscript"/>
        </w:rPr>
        <w:t>4</w:t>
      </w:r>
      <w:r w:rsidRPr="00BE78CA">
        <w:t xml:space="preserve"> emissions from </w:t>
      </w:r>
      <w:r w:rsidRPr="00BE78CA">
        <w:rPr>
          <w:i/>
        </w:rPr>
        <w:t>Sheep</w:t>
      </w:r>
      <w:r w:rsidRPr="00BE78CA">
        <w:t xml:space="preserve"> – </w:t>
      </w:r>
      <w:r w:rsidRPr="00BE78CA">
        <w:rPr>
          <w:i/>
        </w:rPr>
        <w:t>Enteric fermentation</w:t>
      </w:r>
      <w:r w:rsidRPr="00BE78CA">
        <w:t xml:space="preserve"> (22.3 per cent as a decrease)</w:t>
      </w:r>
    </w:p>
    <w:p w14:paraId="0DDE935D" w14:textId="77777777" w:rsidR="00387C28" w:rsidRPr="00BE78CA" w:rsidRDefault="00387C28" w:rsidP="00D32B62">
      <w:pPr>
        <w:pStyle w:val="Bullet"/>
      </w:pPr>
      <w:r w:rsidRPr="00BE78CA">
        <w:t>CH</w:t>
      </w:r>
      <w:r w:rsidRPr="00BE78CA">
        <w:rPr>
          <w:vertAlign w:val="subscript"/>
        </w:rPr>
        <w:t>4</w:t>
      </w:r>
      <w:r w:rsidRPr="00BE78CA">
        <w:t xml:space="preserve"> emissions from </w:t>
      </w:r>
      <w:r w:rsidRPr="00BE78CA">
        <w:rPr>
          <w:i/>
        </w:rPr>
        <w:t>Dairy cattle</w:t>
      </w:r>
      <w:r w:rsidRPr="00BE78CA">
        <w:t xml:space="preserve"> – </w:t>
      </w:r>
      <w:r w:rsidRPr="00BE78CA">
        <w:rPr>
          <w:i/>
        </w:rPr>
        <w:t>Enteric fermentation</w:t>
      </w:r>
      <w:r w:rsidRPr="00BE78CA">
        <w:t xml:space="preserve"> (14.1 per cent as an increase)</w:t>
      </w:r>
    </w:p>
    <w:p w14:paraId="2EC7FE80" w14:textId="77777777" w:rsidR="00387C28" w:rsidRPr="00BE78CA" w:rsidRDefault="00387C28" w:rsidP="00D32B62">
      <w:pPr>
        <w:pStyle w:val="Bullet"/>
      </w:pPr>
      <w:r w:rsidRPr="00BE78CA">
        <w:t>CO</w:t>
      </w:r>
      <w:r w:rsidRPr="00BE78CA">
        <w:rPr>
          <w:vertAlign w:val="subscript"/>
        </w:rPr>
        <w:t>2</w:t>
      </w:r>
      <w:r w:rsidRPr="00BE78CA">
        <w:t xml:space="preserve"> emissions from </w:t>
      </w:r>
      <w:r w:rsidRPr="00BE78CA">
        <w:rPr>
          <w:i/>
        </w:rPr>
        <w:t>Road transportation – Liquid fuels</w:t>
      </w:r>
      <w:r w:rsidRPr="00BE78CA">
        <w:t xml:space="preserve"> (12.5 per cent as an increase)</w:t>
      </w:r>
    </w:p>
    <w:p w14:paraId="497B3251" w14:textId="77777777" w:rsidR="00387C28" w:rsidRPr="00BE78CA" w:rsidRDefault="00387C28" w:rsidP="00D32B62">
      <w:pPr>
        <w:pStyle w:val="Bullet"/>
      </w:pPr>
      <w:r w:rsidRPr="00BE78CA">
        <w:t>CO</w:t>
      </w:r>
      <w:r w:rsidRPr="00BE78CA">
        <w:rPr>
          <w:vertAlign w:val="subscript"/>
        </w:rPr>
        <w:t>2</w:t>
      </w:r>
      <w:r w:rsidRPr="00BE78CA">
        <w:t xml:space="preserve"> emissions from Energy industries – </w:t>
      </w:r>
      <w:r w:rsidRPr="00BE78CA">
        <w:rPr>
          <w:i/>
          <w:iCs/>
        </w:rPr>
        <w:t>Manufacture of solid fuels</w:t>
      </w:r>
      <w:r w:rsidRPr="00BE78CA">
        <w:t xml:space="preserve"> and </w:t>
      </w:r>
      <w:r w:rsidRPr="00BE78CA">
        <w:rPr>
          <w:i/>
          <w:iCs/>
        </w:rPr>
        <w:t>Other energy industries – Gaseous fuels</w:t>
      </w:r>
      <w:r w:rsidRPr="00BE78CA">
        <w:t xml:space="preserve"> (4.2 per cent as a decrease).</w:t>
      </w:r>
    </w:p>
    <w:p w14:paraId="164621A6" w14:textId="77777777" w:rsidR="00387C28" w:rsidRPr="00BE78CA" w:rsidRDefault="00387C28" w:rsidP="007D2480">
      <w:pPr>
        <w:pStyle w:val="Table"/>
      </w:pPr>
      <w:bookmarkStart w:id="126" w:name="_Toc68786396"/>
      <w:r w:rsidRPr="00BE78CA">
        <w:t xml:space="preserve">Table 1.5.1 </w:t>
      </w:r>
      <w:r w:rsidRPr="00BE78CA">
        <w:tab/>
        <w:t>Summary of New Zealand’s key categories for the 2019 level assessment and the trend assessment for 1990 to 2019 (including and excluding LULUCF activities)</w:t>
      </w:r>
      <w:bookmarkEnd w:id="126"/>
    </w:p>
    <w:tbl>
      <w:tblPr>
        <w:tblW w:w="8494" w:type="dxa"/>
        <w:tblLayout w:type="fixed"/>
        <w:tblCellMar>
          <w:left w:w="85" w:type="dxa"/>
          <w:right w:w="85" w:type="dxa"/>
        </w:tblCellMar>
        <w:tblLook w:val="0420" w:firstRow="1" w:lastRow="0" w:firstColumn="0" w:lastColumn="0" w:noHBand="0" w:noVBand="1"/>
      </w:tblPr>
      <w:tblGrid>
        <w:gridCol w:w="1132"/>
        <w:gridCol w:w="5522"/>
        <w:gridCol w:w="80"/>
        <w:gridCol w:w="628"/>
        <w:gridCol w:w="1132"/>
      </w:tblGrid>
      <w:tr w:rsidR="00D5279D" w:rsidRPr="00BE78CA" w14:paraId="02C7A09E" w14:textId="77777777" w:rsidTr="00A05410">
        <w:trPr>
          <w:cantSplit/>
          <w:tblHeader/>
        </w:trPr>
        <w:tc>
          <w:tcPr>
            <w:tcW w:w="6658" w:type="dxa"/>
            <w:gridSpan w:val="2"/>
            <w:tcBorders>
              <w:top w:val="single" w:sz="4" w:space="0" w:color="365F91"/>
            </w:tcBorders>
            <w:shd w:val="clear" w:color="auto" w:fill="365F91"/>
            <w:vAlign w:val="center"/>
          </w:tcPr>
          <w:p w14:paraId="1B859714" w14:textId="77777777" w:rsidR="00387C28" w:rsidRPr="00BE78CA" w:rsidRDefault="00387C28" w:rsidP="006946F8">
            <w:pPr>
              <w:pStyle w:val="TableTextBold"/>
              <w:spacing w:before="50" w:after="50"/>
              <w:rPr>
                <w:noProof w:val="0"/>
                <w:color w:val="FFFFFF" w:themeColor="background1"/>
              </w:rPr>
            </w:pPr>
            <w:r w:rsidRPr="00BE78CA">
              <w:rPr>
                <w:rFonts w:eastAsia="Calibri"/>
                <w:noProof w:val="0"/>
                <w:color w:val="FFFFFF" w:themeColor="background1"/>
              </w:rPr>
              <w:t>Quantitative method used: IPCC Tier 1</w:t>
            </w:r>
          </w:p>
        </w:tc>
        <w:tc>
          <w:tcPr>
            <w:tcW w:w="708" w:type="dxa"/>
            <w:gridSpan w:val="2"/>
            <w:tcBorders>
              <w:top w:val="single" w:sz="4" w:space="0" w:color="365F91"/>
            </w:tcBorders>
            <w:shd w:val="clear" w:color="auto" w:fill="365F91"/>
            <w:vAlign w:val="center"/>
          </w:tcPr>
          <w:p w14:paraId="6F018F76" w14:textId="77777777" w:rsidR="00387C28" w:rsidRPr="00BE78CA" w:rsidRDefault="00387C28" w:rsidP="006946F8">
            <w:pPr>
              <w:pStyle w:val="TableTextBold"/>
              <w:spacing w:before="50" w:after="50"/>
              <w:jc w:val="center"/>
              <w:rPr>
                <w:noProof w:val="0"/>
                <w:color w:val="FFFFFF" w:themeColor="background1"/>
              </w:rPr>
            </w:pPr>
          </w:p>
        </w:tc>
        <w:tc>
          <w:tcPr>
            <w:tcW w:w="1128" w:type="dxa"/>
            <w:tcBorders>
              <w:top w:val="single" w:sz="4" w:space="0" w:color="365F91"/>
            </w:tcBorders>
            <w:shd w:val="clear" w:color="auto" w:fill="365F91"/>
            <w:vAlign w:val="center"/>
          </w:tcPr>
          <w:p w14:paraId="29E9A0B9" w14:textId="77777777" w:rsidR="00387C28" w:rsidRPr="00BE78CA" w:rsidRDefault="00387C28" w:rsidP="006946F8">
            <w:pPr>
              <w:pStyle w:val="TableTextBold"/>
              <w:spacing w:before="50" w:after="50"/>
              <w:rPr>
                <w:noProof w:val="0"/>
                <w:color w:val="FFFFFF" w:themeColor="background1"/>
              </w:rPr>
            </w:pPr>
          </w:p>
        </w:tc>
      </w:tr>
      <w:tr w:rsidR="00227F08" w:rsidRPr="00BE78CA" w14:paraId="020E3891" w14:textId="77777777" w:rsidTr="00A05410">
        <w:trPr>
          <w:cantSplit/>
          <w:tblHeader/>
        </w:trPr>
        <w:tc>
          <w:tcPr>
            <w:tcW w:w="1133" w:type="dxa"/>
            <w:shd w:val="clear" w:color="auto" w:fill="365F91"/>
            <w:vAlign w:val="bottom"/>
          </w:tcPr>
          <w:p w14:paraId="3F6984D9" w14:textId="77777777" w:rsidR="00387C28" w:rsidRPr="00BE78CA" w:rsidRDefault="00387C28" w:rsidP="006946F8">
            <w:pPr>
              <w:pStyle w:val="TableTextBold"/>
              <w:spacing w:before="50" w:after="50"/>
              <w:rPr>
                <w:noProof w:val="0"/>
                <w:color w:val="FFFFFF" w:themeColor="background1"/>
              </w:rPr>
            </w:pPr>
            <w:r w:rsidRPr="00BE78CA">
              <w:rPr>
                <w:rFonts w:eastAsia="Calibri"/>
                <w:noProof w:val="0"/>
                <w:color w:val="FFFFFF" w:themeColor="background1"/>
              </w:rPr>
              <w:t>CRF Category code</w:t>
            </w:r>
          </w:p>
        </w:tc>
        <w:tc>
          <w:tcPr>
            <w:tcW w:w="5605" w:type="dxa"/>
            <w:gridSpan w:val="2"/>
            <w:shd w:val="clear" w:color="auto" w:fill="365F91"/>
            <w:vAlign w:val="bottom"/>
          </w:tcPr>
          <w:p w14:paraId="4E1A3C32" w14:textId="77777777" w:rsidR="00387C28" w:rsidRPr="00BE78CA" w:rsidRDefault="00387C28" w:rsidP="006946F8">
            <w:pPr>
              <w:pStyle w:val="TableTextBold"/>
              <w:spacing w:before="50" w:after="50"/>
              <w:rPr>
                <w:noProof w:val="0"/>
                <w:color w:val="FFFFFF" w:themeColor="background1"/>
              </w:rPr>
            </w:pPr>
            <w:r w:rsidRPr="00BE78CA">
              <w:rPr>
                <w:rFonts w:eastAsia="Calibri"/>
                <w:noProof w:val="0"/>
                <w:color w:val="FFFFFF" w:themeColor="background1"/>
              </w:rPr>
              <w:t>IPCC Category</w:t>
            </w:r>
          </w:p>
        </w:tc>
        <w:tc>
          <w:tcPr>
            <w:tcW w:w="623" w:type="dxa"/>
            <w:shd w:val="clear" w:color="auto" w:fill="365F91"/>
            <w:vAlign w:val="bottom"/>
          </w:tcPr>
          <w:p w14:paraId="5F841FF5" w14:textId="77777777" w:rsidR="00387C28" w:rsidRPr="00BE78CA" w:rsidRDefault="00387C28" w:rsidP="006946F8">
            <w:pPr>
              <w:pStyle w:val="TableTextBold"/>
              <w:spacing w:before="50" w:after="50"/>
              <w:jc w:val="center"/>
              <w:rPr>
                <w:noProof w:val="0"/>
                <w:color w:val="FFFFFF" w:themeColor="background1"/>
              </w:rPr>
            </w:pPr>
            <w:r w:rsidRPr="00BE78CA">
              <w:rPr>
                <w:rFonts w:eastAsia="Calibri"/>
                <w:noProof w:val="0"/>
                <w:color w:val="FFFFFF" w:themeColor="background1"/>
              </w:rPr>
              <w:t>Gas</w:t>
            </w:r>
          </w:p>
        </w:tc>
        <w:tc>
          <w:tcPr>
            <w:tcW w:w="1133" w:type="dxa"/>
            <w:shd w:val="clear" w:color="auto" w:fill="365F91"/>
            <w:vAlign w:val="bottom"/>
          </w:tcPr>
          <w:p w14:paraId="6ACAD304" w14:textId="77777777" w:rsidR="00387C28" w:rsidRPr="00BE78CA" w:rsidRDefault="00387C28" w:rsidP="006946F8">
            <w:pPr>
              <w:pStyle w:val="TableTextBold"/>
              <w:spacing w:before="50" w:after="50"/>
              <w:rPr>
                <w:noProof w:val="0"/>
                <w:color w:val="FFFFFF" w:themeColor="background1"/>
              </w:rPr>
            </w:pPr>
            <w:r w:rsidRPr="00BE78CA">
              <w:rPr>
                <w:rFonts w:eastAsia="Calibri"/>
                <w:noProof w:val="0"/>
                <w:color w:val="FFFFFF" w:themeColor="background1"/>
              </w:rPr>
              <w:t>Criteria for identification</w:t>
            </w:r>
          </w:p>
        </w:tc>
      </w:tr>
      <w:tr w:rsidR="007B0D79" w:rsidRPr="00BE78CA" w14:paraId="7E701433" w14:textId="77777777" w:rsidTr="00A05410">
        <w:trPr>
          <w:cantSplit/>
        </w:trPr>
        <w:tc>
          <w:tcPr>
            <w:tcW w:w="1133" w:type="dxa"/>
            <w:tcBorders>
              <w:left w:val="single" w:sz="4" w:space="0" w:color="FFFFFF"/>
              <w:bottom w:val="single" w:sz="4" w:space="0" w:color="365F91"/>
            </w:tcBorders>
            <w:shd w:val="clear" w:color="auto" w:fill="FFFFFF"/>
            <w:vAlign w:val="center"/>
          </w:tcPr>
          <w:p w14:paraId="769CCCBE" w14:textId="77777777" w:rsidR="00387C28" w:rsidRPr="00BE78CA" w:rsidRDefault="00387C28" w:rsidP="006946F8">
            <w:pPr>
              <w:pStyle w:val="TableTextBold"/>
              <w:spacing w:before="50" w:after="50"/>
              <w:rPr>
                <w:noProof w:val="0"/>
              </w:rPr>
            </w:pPr>
            <w:r w:rsidRPr="00BE78CA">
              <w:rPr>
                <w:rFonts w:eastAsia="Calibri"/>
                <w:noProof w:val="0"/>
              </w:rPr>
              <w:t>Energy</w:t>
            </w:r>
          </w:p>
        </w:tc>
        <w:tc>
          <w:tcPr>
            <w:tcW w:w="5605" w:type="dxa"/>
            <w:gridSpan w:val="2"/>
            <w:tcBorders>
              <w:bottom w:val="single" w:sz="4" w:space="0" w:color="365F91"/>
            </w:tcBorders>
            <w:shd w:val="clear" w:color="auto" w:fill="FFFFFF"/>
            <w:vAlign w:val="center"/>
          </w:tcPr>
          <w:p w14:paraId="78678C75" w14:textId="77777777" w:rsidR="00387C28" w:rsidRPr="00BE78CA" w:rsidRDefault="00387C28" w:rsidP="006946F8">
            <w:pPr>
              <w:pStyle w:val="TableTextBold"/>
              <w:spacing w:before="50" w:after="50"/>
              <w:rPr>
                <w:noProof w:val="0"/>
              </w:rPr>
            </w:pPr>
          </w:p>
        </w:tc>
        <w:tc>
          <w:tcPr>
            <w:tcW w:w="623" w:type="dxa"/>
            <w:tcBorders>
              <w:bottom w:val="single" w:sz="4" w:space="0" w:color="365F91"/>
            </w:tcBorders>
            <w:shd w:val="clear" w:color="auto" w:fill="FFFFFF"/>
            <w:vAlign w:val="center"/>
          </w:tcPr>
          <w:p w14:paraId="378469F4" w14:textId="77777777" w:rsidR="00387C28" w:rsidRPr="00BE78CA" w:rsidRDefault="00387C28" w:rsidP="006946F8">
            <w:pPr>
              <w:pStyle w:val="TableTextBold"/>
              <w:spacing w:before="50" w:after="50"/>
              <w:jc w:val="center"/>
              <w:rPr>
                <w:noProof w:val="0"/>
              </w:rPr>
            </w:pPr>
          </w:p>
        </w:tc>
        <w:tc>
          <w:tcPr>
            <w:tcW w:w="1133" w:type="dxa"/>
            <w:tcBorders>
              <w:bottom w:val="single" w:sz="4" w:space="0" w:color="365F91"/>
              <w:right w:val="single" w:sz="4" w:space="0" w:color="FFFFFF"/>
            </w:tcBorders>
            <w:shd w:val="clear" w:color="auto" w:fill="FFFFFF"/>
            <w:vAlign w:val="center"/>
          </w:tcPr>
          <w:p w14:paraId="6DE17C72" w14:textId="77777777" w:rsidR="00387C28" w:rsidRPr="00BE78CA" w:rsidRDefault="00387C28" w:rsidP="006946F8">
            <w:pPr>
              <w:pStyle w:val="TableTextBold"/>
              <w:spacing w:before="50" w:after="50"/>
              <w:rPr>
                <w:noProof w:val="0"/>
              </w:rPr>
            </w:pPr>
          </w:p>
        </w:tc>
      </w:tr>
      <w:tr w:rsidR="007B0D79" w:rsidRPr="00BE78CA" w14:paraId="1F1063F9" w14:textId="77777777" w:rsidTr="00A05410">
        <w:trPr>
          <w:cantSplit/>
        </w:trPr>
        <w:tc>
          <w:tcPr>
            <w:tcW w:w="1133" w:type="dxa"/>
            <w:tcBorders>
              <w:top w:val="single" w:sz="4" w:space="0" w:color="365F91"/>
              <w:left w:val="single" w:sz="4" w:space="0" w:color="FFFFFF"/>
              <w:bottom w:val="single" w:sz="4" w:space="0" w:color="365F91"/>
            </w:tcBorders>
            <w:shd w:val="clear" w:color="auto" w:fill="FFFFFF"/>
            <w:vAlign w:val="center"/>
          </w:tcPr>
          <w:p w14:paraId="2CC3F339" w14:textId="77777777" w:rsidR="00387C28" w:rsidRPr="00BE78CA" w:rsidRDefault="00387C28" w:rsidP="006946F8">
            <w:pPr>
              <w:pStyle w:val="TableText"/>
              <w:spacing w:before="50" w:after="50"/>
            </w:pPr>
            <w:r w:rsidRPr="00BE78CA">
              <w:rPr>
                <w:rFonts w:eastAsia="Calibri"/>
              </w:rPr>
              <w:t>1.A.1.a</w:t>
            </w:r>
          </w:p>
        </w:tc>
        <w:tc>
          <w:tcPr>
            <w:tcW w:w="5605" w:type="dxa"/>
            <w:gridSpan w:val="2"/>
            <w:tcBorders>
              <w:top w:val="single" w:sz="4" w:space="0" w:color="365F91"/>
              <w:bottom w:val="single" w:sz="4" w:space="0" w:color="365F91"/>
            </w:tcBorders>
            <w:shd w:val="clear" w:color="auto" w:fill="FFFFFF"/>
            <w:vAlign w:val="center"/>
          </w:tcPr>
          <w:p w14:paraId="74568D92" w14:textId="77777777" w:rsidR="00387C28" w:rsidRPr="00BE78CA" w:rsidRDefault="00387C28" w:rsidP="006946F8">
            <w:pPr>
              <w:pStyle w:val="TableText"/>
              <w:spacing w:before="50" w:after="50"/>
            </w:pPr>
            <w:r w:rsidRPr="00BE78CA">
              <w:rPr>
                <w:rFonts w:eastAsia="Calibri"/>
              </w:rPr>
              <w:t>Energy Industries – Public Electricity and Heat Production Gaseous Fuels</w:t>
            </w:r>
          </w:p>
        </w:tc>
        <w:tc>
          <w:tcPr>
            <w:tcW w:w="623" w:type="dxa"/>
            <w:tcBorders>
              <w:top w:val="single" w:sz="4" w:space="0" w:color="365F91"/>
              <w:bottom w:val="single" w:sz="4" w:space="0" w:color="365F91"/>
            </w:tcBorders>
            <w:shd w:val="clear" w:color="auto" w:fill="FFFFFF"/>
            <w:vAlign w:val="center"/>
          </w:tcPr>
          <w:p w14:paraId="37821F43" w14:textId="77777777" w:rsidR="00387C28" w:rsidRPr="00BE78CA" w:rsidRDefault="00387C28" w:rsidP="006946F8">
            <w:pPr>
              <w:pStyle w:val="TableText"/>
              <w:spacing w:before="50" w:after="50"/>
              <w:jc w:val="center"/>
            </w:pPr>
            <w:r w:rsidRPr="00BE78CA">
              <w:rPr>
                <w:rFonts w:eastAsia="Calibri"/>
              </w:rPr>
              <w:t>CO</w:t>
            </w:r>
            <w:r w:rsidRPr="00BE78CA">
              <w:rPr>
                <w:rFonts w:eastAsia="Calibri"/>
                <w:vertAlign w:val="subscript"/>
              </w:rPr>
              <w:t>2</w:t>
            </w:r>
          </w:p>
        </w:tc>
        <w:tc>
          <w:tcPr>
            <w:tcW w:w="1133" w:type="dxa"/>
            <w:tcBorders>
              <w:top w:val="single" w:sz="4" w:space="0" w:color="365F91"/>
              <w:bottom w:val="single" w:sz="4" w:space="0" w:color="365F91"/>
              <w:right w:val="single" w:sz="4" w:space="0" w:color="FFFFFF"/>
            </w:tcBorders>
            <w:shd w:val="clear" w:color="auto" w:fill="FFFFFF"/>
            <w:vAlign w:val="center"/>
          </w:tcPr>
          <w:p w14:paraId="15F625AF" w14:textId="77777777" w:rsidR="00387C28" w:rsidRPr="00BE78CA" w:rsidRDefault="00387C28" w:rsidP="006946F8">
            <w:pPr>
              <w:pStyle w:val="TableText"/>
              <w:spacing w:before="50" w:after="50"/>
            </w:pPr>
            <w:r w:rsidRPr="00BE78CA">
              <w:rPr>
                <w:rFonts w:eastAsia="Calibri"/>
              </w:rPr>
              <w:t>L1, T1</w:t>
            </w:r>
          </w:p>
        </w:tc>
      </w:tr>
      <w:tr w:rsidR="007B0D79" w:rsidRPr="00BE78CA" w14:paraId="35F938A6" w14:textId="77777777" w:rsidTr="00A05410">
        <w:trPr>
          <w:cantSplit/>
        </w:trPr>
        <w:tc>
          <w:tcPr>
            <w:tcW w:w="1133" w:type="dxa"/>
            <w:tcBorders>
              <w:top w:val="single" w:sz="4" w:space="0" w:color="365F91"/>
              <w:left w:val="single" w:sz="4" w:space="0" w:color="FFFFFF"/>
              <w:bottom w:val="single" w:sz="4" w:space="0" w:color="365F91"/>
            </w:tcBorders>
            <w:shd w:val="clear" w:color="auto" w:fill="FFFFFF"/>
            <w:vAlign w:val="center"/>
          </w:tcPr>
          <w:p w14:paraId="52D8002D" w14:textId="77777777" w:rsidR="00387C28" w:rsidRPr="00BE78CA" w:rsidRDefault="00387C28" w:rsidP="006946F8">
            <w:pPr>
              <w:pStyle w:val="TableText"/>
              <w:spacing w:before="50" w:after="50"/>
            </w:pPr>
            <w:r w:rsidRPr="00BE78CA">
              <w:rPr>
                <w:rFonts w:eastAsia="Calibri"/>
              </w:rPr>
              <w:t>1.A.1.a</w:t>
            </w:r>
          </w:p>
        </w:tc>
        <w:tc>
          <w:tcPr>
            <w:tcW w:w="5605" w:type="dxa"/>
            <w:gridSpan w:val="2"/>
            <w:tcBorders>
              <w:top w:val="single" w:sz="4" w:space="0" w:color="365F91"/>
              <w:bottom w:val="single" w:sz="4" w:space="0" w:color="365F91"/>
            </w:tcBorders>
            <w:shd w:val="clear" w:color="auto" w:fill="FFFFFF"/>
            <w:vAlign w:val="center"/>
          </w:tcPr>
          <w:p w14:paraId="438BAB71" w14:textId="77777777" w:rsidR="00387C28" w:rsidRPr="00BE78CA" w:rsidRDefault="00387C28" w:rsidP="006946F8">
            <w:pPr>
              <w:pStyle w:val="TableText"/>
              <w:spacing w:before="50" w:after="50"/>
            </w:pPr>
            <w:r w:rsidRPr="00BE78CA">
              <w:rPr>
                <w:rFonts w:eastAsia="Calibri"/>
              </w:rPr>
              <w:t>Energy Industries – Public Electricity and Heat Production Solid Fuels</w:t>
            </w:r>
          </w:p>
        </w:tc>
        <w:tc>
          <w:tcPr>
            <w:tcW w:w="623" w:type="dxa"/>
            <w:tcBorders>
              <w:top w:val="single" w:sz="4" w:space="0" w:color="365F91"/>
              <w:bottom w:val="single" w:sz="4" w:space="0" w:color="365F91"/>
            </w:tcBorders>
            <w:shd w:val="clear" w:color="auto" w:fill="FFFFFF"/>
            <w:vAlign w:val="center"/>
          </w:tcPr>
          <w:p w14:paraId="603CF9DF" w14:textId="77777777" w:rsidR="00387C28" w:rsidRPr="00BE78CA" w:rsidRDefault="00387C28" w:rsidP="006946F8">
            <w:pPr>
              <w:pStyle w:val="TableText"/>
              <w:spacing w:before="50" w:after="50"/>
              <w:jc w:val="center"/>
            </w:pPr>
            <w:r w:rsidRPr="00BE78CA">
              <w:rPr>
                <w:rFonts w:eastAsia="Calibri"/>
              </w:rPr>
              <w:t>CO</w:t>
            </w:r>
            <w:r w:rsidRPr="00BE78CA">
              <w:rPr>
                <w:rFonts w:eastAsia="Calibri"/>
                <w:vertAlign w:val="subscript"/>
              </w:rPr>
              <w:t>2</w:t>
            </w:r>
          </w:p>
        </w:tc>
        <w:tc>
          <w:tcPr>
            <w:tcW w:w="1133" w:type="dxa"/>
            <w:tcBorders>
              <w:top w:val="single" w:sz="4" w:space="0" w:color="365F91"/>
              <w:bottom w:val="single" w:sz="4" w:space="0" w:color="365F91"/>
              <w:right w:val="single" w:sz="4" w:space="0" w:color="FFFFFF"/>
            </w:tcBorders>
            <w:shd w:val="clear" w:color="auto" w:fill="FFFFFF"/>
            <w:vAlign w:val="center"/>
          </w:tcPr>
          <w:p w14:paraId="1E4AC877" w14:textId="77777777" w:rsidR="00387C28" w:rsidRPr="00BE78CA" w:rsidRDefault="00387C28" w:rsidP="006946F8">
            <w:pPr>
              <w:pStyle w:val="TableText"/>
              <w:spacing w:before="50" w:after="50"/>
            </w:pPr>
            <w:r w:rsidRPr="00BE78CA">
              <w:rPr>
                <w:rFonts w:eastAsia="Calibri"/>
              </w:rPr>
              <w:t>L1, T1</w:t>
            </w:r>
          </w:p>
        </w:tc>
      </w:tr>
      <w:tr w:rsidR="007B0D79" w:rsidRPr="00BE78CA" w14:paraId="5F30ACA7" w14:textId="77777777" w:rsidTr="00A05410">
        <w:trPr>
          <w:cantSplit/>
        </w:trPr>
        <w:tc>
          <w:tcPr>
            <w:tcW w:w="1133" w:type="dxa"/>
            <w:tcBorders>
              <w:top w:val="single" w:sz="4" w:space="0" w:color="365F91"/>
              <w:left w:val="single" w:sz="4" w:space="0" w:color="FFFFFF"/>
              <w:bottom w:val="single" w:sz="4" w:space="0" w:color="365F91"/>
            </w:tcBorders>
            <w:shd w:val="clear" w:color="auto" w:fill="FFFFFF"/>
            <w:vAlign w:val="center"/>
          </w:tcPr>
          <w:p w14:paraId="34FF13B8" w14:textId="77777777" w:rsidR="00387C28" w:rsidRPr="00BE78CA" w:rsidRDefault="00387C28" w:rsidP="006946F8">
            <w:pPr>
              <w:pStyle w:val="TableText"/>
              <w:spacing w:before="50" w:after="50"/>
            </w:pPr>
            <w:r w:rsidRPr="00BE78CA">
              <w:rPr>
                <w:rFonts w:eastAsia="Calibri"/>
              </w:rPr>
              <w:t>1.A.1.b</w:t>
            </w:r>
          </w:p>
        </w:tc>
        <w:tc>
          <w:tcPr>
            <w:tcW w:w="5605" w:type="dxa"/>
            <w:gridSpan w:val="2"/>
            <w:tcBorders>
              <w:top w:val="single" w:sz="4" w:space="0" w:color="365F91"/>
              <w:bottom w:val="single" w:sz="4" w:space="0" w:color="365F91"/>
            </w:tcBorders>
            <w:shd w:val="clear" w:color="auto" w:fill="FFFFFF"/>
            <w:vAlign w:val="center"/>
          </w:tcPr>
          <w:p w14:paraId="38A44466" w14:textId="77777777" w:rsidR="00387C28" w:rsidRPr="00BE78CA" w:rsidRDefault="00387C28" w:rsidP="006946F8">
            <w:pPr>
              <w:pStyle w:val="TableText"/>
              <w:spacing w:before="50" w:after="50"/>
            </w:pPr>
            <w:r w:rsidRPr="00BE78CA">
              <w:rPr>
                <w:rFonts w:eastAsia="Calibri"/>
              </w:rPr>
              <w:t>Energy Industries – Petroleum Refining Liquid Fuels</w:t>
            </w:r>
          </w:p>
        </w:tc>
        <w:tc>
          <w:tcPr>
            <w:tcW w:w="623" w:type="dxa"/>
            <w:tcBorders>
              <w:top w:val="single" w:sz="4" w:space="0" w:color="365F91"/>
              <w:bottom w:val="single" w:sz="4" w:space="0" w:color="365F91"/>
            </w:tcBorders>
            <w:shd w:val="clear" w:color="auto" w:fill="FFFFFF"/>
            <w:vAlign w:val="center"/>
          </w:tcPr>
          <w:p w14:paraId="10E0CCA2" w14:textId="77777777" w:rsidR="00387C28" w:rsidRPr="00BE78CA" w:rsidRDefault="00387C28" w:rsidP="006946F8">
            <w:pPr>
              <w:pStyle w:val="TableText"/>
              <w:spacing w:before="50" w:after="50"/>
              <w:jc w:val="center"/>
            </w:pPr>
            <w:r w:rsidRPr="00BE78CA">
              <w:rPr>
                <w:rFonts w:eastAsia="Calibri"/>
              </w:rPr>
              <w:t>CO</w:t>
            </w:r>
            <w:r w:rsidRPr="00BE78CA">
              <w:rPr>
                <w:rFonts w:eastAsia="Calibri"/>
                <w:vertAlign w:val="subscript"/>
              </w:rPr>
              <w:t>2</w:t>
            </w:r>
          </w:p>
        </w:tc>
        <w:tc>
          <w:tcPr>
            <w:tcW w:w="1133" w:type="dxa"/>
            <w:tcBorders>
              <w:top w:val="single" w:sz="4" w:space="0" w:color="365F91"/>
              <w:bottom w:val="single" w:sz="4" w:space="0" w:color="365F91"/>
              <w:right w:val="single" w:sz="4" w:space="0" w:color="FFFFFF"/>
            </w:tcBorders>
            <w:shd w:val="clear" w:color="auto" w:fill="FFFFFF"/>
            <w:vAlign w:val="center"/>
          </w:tcPr>
          <w:p w14:paraId="1B171295" w14:textId="77777777" w:rsidR="00387C28" w:rsidRPr="00BE78CA" w:rsidRDefault="00387C28" w:rsidP="006946F8">
            <w:pPr>
              <w:pStyle w:val="TableText"/>
              <w:spacing w:before="50" w:after="50"/>
            </w:pPr>
            <w:r w:rsidRPr="00BE78CA">
              <w:rPr>
                <w:rFonts w:eastAsia="Calibri"/>
              </w:rPr>
              <w:t>L1, T1</w:t>
            </w:r>
          </w:p>
        </w:tc>
      </w:tr>
      <w:tr w:rsidR="007B0D79" w:rsidRPr="00BE78CA" w14:paraId="12CEEEBB" w14:textId="77777777" w:rsidTr="00A05410">
        <w:trPr>
          <w:cantSplit/>
        </w:trPr>
        <w:tc>
          <w:tcPr>
            <w:tcW w:w="1133" w:type="dxa"/>
            <w:tcBorders>
              <w:top w:val="single" w:sz="4" w:space="0" w:color="365F91"/>
              <w:left w:val="single" w:sz="4" w:space="0" w:color="FFFFFF"/>
              <w:bottom w:val="single" w:sz="4" w:space="0" w:color="365F91"/>
            </w:tcBorders>
            <w:shd w:val="clear" w:color="auto" w:fill="FFFFFF"/>
            <w:vAlign w:val="center"/>
          </w:tcPr>
          <w:p w14:paraId="695C6A4B" w14:textId="77777777" w:rsidR="00387C28" w:rsidRPr="00BE78CA" w:rsidRDefault="00387C28" w:rsidP="006946F8">
            <w:pPr>
              <w:pStyle w:val="TableText"/>
              <w:spacing w:before="50" w:after="50"/>
            </w:pPr>
            <w:r w:rsidRPr="00BE78CA">
              <w:rPr>
                <w:rFonts w:eastAsia="Calibri"/>
              </w:rPr>
              <w:t>1.A.1.b</w:t>
            </w:r>
          </w:p>
        </w:tc>
        <w:tc>
          <w:tcPr>
            <w:tcW w:w="5605" w:type="dxa"/>
            <w:gridSpan w:val="2"/>
            <w:tcBorders>
              <w:top w:val="single" w:sz="4" w:space="0" w:color="365F91"/>
              <w:bottom w:val="single" w:sz="4" w:space="0" w:color="365F91"/>
            </w:tcBorders>
            <w:shd w:val="clear" w:color="auto" w:fill="FFFFFF"/>
            <w:vAlign w:val="center"/>
          </w:tcPr>
          <w:p w14:paraId="1966A11B" w14:textId="77777777" w:rsidR="00387C28" w:rsidRPr="00BE78CA" w:rsidRDefault="00387C28" w:rsidP="006946F8">
            <w:pPr>
              <w:pStyle w:val="TableText"/>
              <w:spacing w:before="50" w:after="50"/>
            </w:pPr>
            <w:r w:rsidRPr="00BE78CA">
              <w:rPr>
                <w:rFonts w:eastAsia="Calibri"/>
              </w:rPr>
              <w:t>Energy Industries – Petroleum Refining Gaseous Fuels</w:t>
            </w:r>
          </w:p>
        </w:tc>
        <w:tc>
          <w:tcPr>
            <w:tcW w:w="623" w:type="dxa"/>
            <w:tcBorders>
              <w:top w:val="single" w:sz="4" w:space="0" w:color="365F91"/>
              <w:bottom w:val="single" w:sz="4" w:space="0" w:color="365F91"/>
            </w:tcBorders>
            <w:shd w:val="clear" w:color="auto" w:fill="FFFFFF"/>
            <w:vAlign w:val="center"/>
          </w:tcPr>
          <w:p w14:paraId="113F44D4" w14:textId="77777777" w:rsidR="00387C28" w:rsidRPr="00BE78CA" w:rsidRDefault="00387C28" w:rsidP="006946F8">
            <w:pPr>
              <w:pStyle w:val="TableText"/>
              <w:spacing w:before="50" w:after="50"/>
              <w:jc w:val="center"/>
            </w:pPr>
            <w:r w:rsidRPr="00BE78CA">
              <w:rPr>
                <w:rFonts w:eastAsia="Calibri"/>
              </w:rPr>
              <w:t>CO</w:t>
            </w:r>
            <w:r w:rsidRPr="00BE78CA">
              <w:rPr>
                <w:rFonts w:eastAsia="Calibri"/>
                <w:vertAlign w:val="subscript"/>
              </w:rPr>
              <w:t>2</w:t>
            </w:r>
          </w:p>
        </w:tc>
        <w:tc>
          <w:tcPr>
            <w:tcW w:w="1133" w:type="dxa"/>
            <w:tcBorders>
              <w:top w:val="single" w:sz="4" w:space="0" w:color="365F91"/>
              <w:bottom w:val="single" w:sz="4" w:space="0" w:color="365F91"/>
              <w:right w:val="single" w:sz="4" w:space="0" w:color="FFFFFF"/>
            </w:tcBorders>
            <w:shd w:val="clear" w:color="auto" w:fill="FFFFFF"/>
            <w:vAlign w:val="center"/>
          </w:tcPr>
          <w:p w14:paraId="43403F73" w14:textId="77777777" w:rsidR="00387C28" w:rsidRPr="00BE78CA" w:rsidRDefault="00387C28" w:rsidP="006946F8">
            <w:pPr>
              <w:pStyle w:val="TableText"/>
              <w:spacing w:before="50" w:after="50"/>
            </w:pPr>
            <w:r w:rsidRPr="00BE78CA">
              <w:rPr>
                <w:rFonts w:eastAsia="Calibri"/>
              </w:rPr>
              <w:t>L1, T1</w:t>
            </w:r>
          </w:p>
        </w:tc>
      </w:tr>
      <w:tr w:rsidR="007B0D79" w:rsidRPr="00BE78CA" w14:paraId="0A35A7A2" w14:textId="77777777" w:rsidTr="00A05410">
        <w:trPr>
          <w:cantSplit/>
        </w:trPr>
        <w:tc>
          <w:tcPr>
            <w:tcW w:w="1133" w:type="dxa"/>
            <w:tcBorders>
              <w:top w:val="single" w:sz="4" w:space="0" w:color="365F91"/>
              <w:left w:val="single" w:sz="4" w:space="0" w:color="FFFFFF"/>
              <w:bottom w:val="single" w:sz="4" w:space="0" w:color="365F91"/>
            </w:tcBorders>
            <w:shd w:val="clear" w:color="auto" w:fill="FFFFFF"/>
            <w:vAlign w:val="center"/>
          </w:tcPr>
          <w:p w14:paraId="27A92825" w14:textId="77777777" w:rsidR="00387C28" w:rsidRPr="00BE78CA" w:rsidRDefault="00387C28" w:rsidP="006946F8">
            <w:pPr>
              <w:pStyle w:val="TableText"/>
              <w:spacing w:before="50" w:after="50"/>
            </w:pPr>
            <w:r w:rsidRPr="00BE78CA">
              <w:rPr>
                <w:rFonts w:eastAsia="Calibri"/>
              </w:rPr>
              <w:t>1.A.1.c</w:t>
            </w:r>
          </w:p>
        </w:tc>
        <w:tc>
          <w:tcPr>
            <w:tcW w:w="5605" w:type="dxa"/>
            <w:gridSpan w:val="2"/>
            <w:tcBorders>
              <w:top w:val="single" w:sz="4" w:space="0" w:color="365F91"/>
              <w:bottom w:val="single" w:sz="4" w:space="0" w:color="365F91"/>
            </w:tcBorders>
            <w:shd w:val="clear" w:color="auto" w:fill="FFFFFF"/>
            <w:vAlign w:val="center"/>
          </w:tcPr>
          <w:p w14:paraId="1F75CD5D" w14:textId="77777777" w:rsidR="00387C28" w:rsidRPr="00BE78CA" w:rsidRDefault="00387C28" w:rsidP="006946F8">
            <w:pPr>
              <w:pStyle w:val="TableText"/>
              <w:spacing w:before="50" w:after="50"/>
            </w:pPr>
            <w:r w:rsidRPr="00BE78CA">
              <w:rPr>
                <w:rFonts w:eastAsia="Calibri"/>
              </w:rPr>
              <w:t>Energy Industries – Manufacture of Solid Fuels and Other Energy Industries Gaseous Fuels</w:t>
            </w:r>
          </w:p>
        </w:tc>
        <w:tc>
          <w:tcPr>
            <w:tcW w:w="623" w:type="dxa"/>
            <w:tcBorders>
              <w:top w:val="single" w:sz="4" w:space="0" w:color="365F91"/>
              <w:bottom w:val="single" w:sz="4" w:space="0" w:color="365F91"/>
            </w:tcBorders>
            <w:shd w:val="clear" w:color="auto" w:fill="FFFFFF"/>
            <w:vAlign w:val="center"/>
          </w:tcPr>
          <w:p w14:paraId="05542BED" w14:textId="77777777" w:rsidR="00387C28" w:rsidRPr="00BE78CA" w:rsidRDefault="00387C28" w:rsidP="006946F8">
            <w:pPr>
              <w:pStyle w:val="TableText"/>
              <w:spacing w:before="50" w:after="50"/>
              <w:jc w:val="center"/>
            </w:pPr>
            <w:r w:rsidRPr="00BE78CA">
              <w:rPr>
                <w:rFonts w:eastAsia="Calibri"/>
              </w:rPr>
              <w:t>CO</w:t>
            </w:r>
            <w:r w:rsidRPr="00BE78CA">
              <w:rPr>
                <w:rFonts w:eastAsia="Calibri"/>
                <w:vertAlign w:val="subscript"/>
              </w:rPr>
              <w:t>2</w:t>
            </w:r>
          </w:p>
        </w:tc>
        <w:tc>
          <w:tcPr>
            <w:tcW w:w="1133" w:type="dxa"/>
            <w:tcBorders>
              <w:top w:val="single" w:sz="4" w:space="0" w:color="365F91"/>
              <w:bottom w:val="single" w:sz="4" w:space="0" w:color="365F91"/>
              <w:right w:val="single" w:sz="4" w:space="0" w:color="FFFFFF"/>
            </w:tcBorders>
            <w:shd w:val="clear" w:color="auto" w:fill="FFFFFF"/>
            <w:vAlign w:val="center"/>
          </w:tcPr>
          <w:p w14:paraId="0925CCFC" w14:textId="77777777" w:rsidR="00387C28" w:rsidRPr="00BE78CA" w:rsidRDefault="00387C28" w:rsidP="006946F8">
            <w:pPr>
              <w:pStyle w:val="TableText"/>
              <w:spacing w:before="50" w:after="50"/>
            </w:pPr>
            <w:r w:rsidRPr="00BE78CA">
              <w:rPr>
                <w:rFonts w:eastAsia="Calibri"/>
              </w:rPr>
              <w:t>L1, T1</w:t>
            </w:r>
          </w:p>
        </w:tc>
      </w:tr>
      <w:tr w:rsidR="007B0D79" w:rsidRPr="00BE78CA" w14:paraId="62DB58D4" w14:textId="77777777" w:rsidTr="00A05410">
        <w:trPr>
          <w:cantSplit/>
        </w:trPr>
        <w:tc>
          <w:tcPr>
            <w:tcW w:w="1133" w:type="dxa"/>
            <w:tcBorders>
              <w:top w:val="single" w:sz="4" w:space="0" w:color="365F91"/>
              <w:left w:val="single" w:sz="4" w:space="0" w:color="FFFFFF"/>
              <w:bottom w:val="single" w:sz="4" w:space="0" w:color="365F91"/>
            </w:tcBorders>
            <w:shd w:val="clear" w:color="auto" w:fill="FFFFFF"/>
            <w:vAlign w:val="center"/>
          </w:tcPr>
          <w:p w14:paraId="476C9B49" w14:textId="77777777" w:rsidR="00387C28" w:rsidRPr="00BE78CA" w:rsidRDefault="00387C28" w:rsidP="006946F8">
            <w:pPr>
              <w:pStyle w:val="TableText"/>
              <w:spacing w:before="50" w:after="50"/>
            </w:pPr>
            <w:r w:rsidRPr="00BE78CA">
              <w:rPr>
                <w:rFonts w:eastAsia="Calibri"/>
              </w:rPr>
              <w:t>1.A.2.c</w:t>
            </w:r>
          </w:p>
        </w:tc>
        <w:tc>
          <w:tcPr>
            <w:tcW w:w="5605" w:type="dxa"/>
            <w:gridSpan w:val="2"/>
            <w:tcBorders>
              <w:top w:val="single" w:sz="4" w:space="0" w:color="365F91"/>
              <w:bottom w:val="single" w:sz="4" w:space="0" w:color="365F91"/>
            </w:tcBorders>
            <w:shd w:val="clear" w:color="auto" w:fill="FFFFFF"/>
            <w:vAlign w:val="center"/>
          </w:tcPr>
          <w:p w14:paraId="2C8E2A85" w14:textId="77777777" w:rsidR="00387C28" w:rsidRPr="00BE78CA" w:rsidRDefault="00387C28" w:rsidP="006946F8">
            <w:pPr>
              <w:pStyle w:val="TableText"/>
              <w:spacing w:before="50" w:after="50"/>
            </w:pPr>
            <w:r w:rsidRPr="00BE78CA">
              <w:rPr>
                <w:rFonts w:eastAsia="Calibri"/>
              </w:rPr>
              <w:t>Manufacturing Industries and Construction – Chemicals Gaseous Fuels</w:t>
            </w:r>
          </w:p>
        </w:tc>
        <w:tc>
          <w:tcPr>
            <w:tcW w:w="623" w:type="dxa"/>
            <w:tcBorders>
              <w:top w:val="single" w:sz="4" w:space="0" w:color="365F91"/>
              <w:bottom w:val="single" w:sz="4" w:space="0" w:color="365F91"/>
            </w:tcBorders>
            <w:shd w:val="clear" w:color="auto" w:fill="FFFFFF"/>
            <w:vAlign w:val="center"/>
          </w:tcPr>
          <w:p w14:paraId="6501F27A" w14:textId="77777777" w:rsidR="00387C28" w:rsidRPr="00BE78CA" w:rsidRDefault="00387C28" w:rsidP="006946F8">
            <w:pPr>
              <w:pStyle w:val="TableText"/>
              <w:spacing w:before="50" w:after="50"/>
              <w:jc w:val="center"/>
            </w:pPr>
            <w:r w:rsidRPr="00BE78CA">
              <w:rPr>
                <w:rFonts w:eastAsia="Calibri"/>
              </w:rPr>
              <w:t>CO</w:t>
            </w:r>
            <w:r w:rsidRPr="00BE78CA">
              <w:rPr>
                <w:rFonts w:eastAsia="Calibri"/>
                <w:vertAlign w:val="subscript"/>
              </w:rPr>
              <w:t>2</w:t>
            </w:r>
          </w:p>
        </w:tc>
        <w:tc>
          <w:tcPr>
            <w:tcW w:w="1133" w:type="dxa"/>
            <w:tcBorders>
              <w:top w:val="single" w:sz="4" w:space="0" w:color="365F91"/>
              <w:bottom w:val="single" w:sz="4" w:space="0" w:color="365F91"/>
              <w:right w:val="single" w:sz="4" w:space="0" w:color="FFFFFF"/>
            </w:tcBorders>
            <w:shd w:val="clear" w:color="auto" w:fill="FFFFFF"/>
            <w:vAlign w:val="center"/>
          </w:tcPr>
          <w:p w14:paraId="16C01B13" w14:textId="77777777" w:rsidR="00387C28" w:rsidRPr="00BE78CA" w:rsidRDefault="00387C28" w:rsidP="006946F8">
            <w:pPr>
              <w:pStyle w:val="TableText"/>
              <w:spacing w:before="50" w:after="50"/>
            </w:pPr>
            <w:r w:rsidRPr="00BE78CA">
              <w:rPr>
                <w:rFonts w:eastAsia="Calibri"/>
              </w:rPr>
              <w:t>L1, T1</w:t>
            </w:r>
          </w:p>
        </w:tc>
      </w:tr>
      <w:tr w:rsidR="007B0D79" w:rsidRPr="00BE78CA" w14:paraId="18E3E6FD" w14:textId="77777777" w:rsidTr="00A05410">
        <w:trPr>
          <w:cantSplit/>
        </w:trPr>
        <w:tc>
          <w:tcPr>
            <w:tcW w:w="1133" w:type="dxa"/>
            <w:tcBorders>
              <w:top w:val="single" w:sz="4" w:space="0" w:color="365F91"/>
              <w:left w:val="single" w:sz="4" w:space="0" w:color="FFFFFF"/>
              <w:bottom w:val="single" w:sz="4" w:space="0" w:color="365F91"/>
            </w:tcBorders>
            <w:shd w:val="clear" w:color="auto" w:fill="FFFFFF"/>
            <w:vAlign w:val="center"/>
          </w:tcPr>
          <w:p w14:paraId="13EBAE4F" w14:textId="77777777" w:rsidR="00387C28" w:rsidRPr="00BE78CA" w:rsidRDefault="00387C28" w:rsidP="006946F8">
            <w:pPr>
              <w:pStyle w:val="TableText"/>
              <w:spacing w:before="50" w:after="50"/>
            </w:pPr>
            <w:r w:rsidRPr="00BE78CA">
              <w:rPr>
                <w:rFonts w:eastAsia="Calibri"/>
              </w:rPr>
              <w:t>1.A.2.d</w:t>
            </w:r>
          </w:p>
        </w:tc>
        <w:tc>
          <w:tcPr>
            <w:tcW w:w="5605" w:type="dxa"/>
            <w:gridSpan w:val="2"/>
            <w:tcBorders>
              <w:top w:val="single" w:sz="4" w:space="0" w:color="365F91"/>
              <w:bottom w:val="single" w:sz="4" w:space="0" w:color="365F91"/>
            </w:tcBorders>
            <w:shd w:val="clear" w:color="auto" w:fill="FFFFFF"/>
            <w:vAlign w:val="center"/>
          </w:tcPr>
          <w:p w14:paraId="538AD8C0" w14:textId="77777777" w:rsidR="00387C28" w:rsidRPr="00BE78CA" w:rsidRDefault="00387C28" w:rsidP="006946F8">
            <w:pPr>
              <w:pStyle w:val="TableText"/>
              <w:spacing w:before="50" w:after="50"/>
            </w:pPr>
            <w:r w:rsidRPr="00BE78CA">
              <w:rPr>
                <w:rFonts w:eastAsia="Calibri"/>
              </w:rPr>
              <w:t>Manufacturing Industries and Construction – Pulp, Paper and Print Gaseous Fuels</w:t>
            </w:r>
          </w:p>
        </w:tc>
        <w:tc>
          <w:tcPr>
            <w:tcW w:w="623" w:type="dxa"/>
            <w:tcBorders>
              <w:top w:val="single" w:sz="4" w:space="0" w:color="365F91"/>
              <w:bottom w:val="single" w:sz="4" w:space="0" w:color="365F91"/>
            </w:tcBorders>
            <w:shd w:val="clear" w:color="auto" w:fill="FFFFFF"/>
            <w:vAlign w:val="center"/>
          </w:tcPr>
          <w:p w14:paraId="10AA259B" w14:textId="77777777" w:rsidR="00387C28" w:rsidRPr="00BE78CA" w:rsidRDefault="00387C28" w:rsidP="006946F8">
            <w:pPr>
              <w:pStyle w:val="TableText"/>
              <w:spacing w:before="50" w:after="50"/>
              <w:jc w:val="center"/>
            </w:pPr>
            <w:r w:rsidRPr="00BE78CA">
              <w:rPr>
                <w:rFonts w:eastAsia="Calibri"/>
              </w:rPr>
              <w:t>CO</w:t>
            </w:r>
            <w:r w:rsidRPr="00BE78CA">
              <w:rPr>
                <w:rFonts w:eastAsia="Calibri"/>
                <w:vertAlign w:val="subscript"/>
              </w:rPr>
              <w:t>2</w:t>
            </w:r>
          </w:p>
        </w:tc>
        <w:tc>
          <w:tcPr>
            <w:tcW w:w="1133" w:type="dxa"/>
            <w:tcBorders>
              <w:top w:val="single" w:sz="4" w:space="0" w:color="365F91"/>
              <w:bottom w:val="single" w:sz="4" w:space="0" w:color="365F91"/>
              <w:right w:val="single" w:sz="4" w:space="0" w:color="FFFFFF"/>
            </w:tcBorders>
            <w:shd w:val="clear" w:color="auto" w:fill="FFFFFF"/>
            <w:vAlign w:val="center"/>
          </w:tcPr>
          <w:p w14:paraId="6A715557" w14:textId="77777777" w:rsidR="00387C28" w:rsidRPr="00BE78CA" w:rsidRDefault="00387C28" w:rsidP="006946F8">
            <w:pPr>
              <w:pStyle w:val="TableText"/>
              <w:spacing w:before="50" w:after="50"/>
            </w:pPr>
            <w:r w:rsidRPr="00BE78CA">
              <w:rPr>
                <w:rFonts w:eastAsia="Calibri"/>
              </w:rPr>
              <w:t>L1, T1</w:t>
            </w:r>
          </w:p>
        </w:tc>
      </w:tr>
      <w:tr w:rsidR="007B0D79" w:rsidRPr="00BE78CA" w14:paraId="60ABDA58" w14:textId="77777777" w:rsidTr="00A05410">
        <w:trPr>
          <w:cantSplit/>
        </w:trPr>
        <w:tc>
          <w:tcPr>
            <w:tcW w:w="1133" w:type="dxa"/>
            <w:tcBorders>
              <w:top w:val="single" w:sz="4" w:space="0" w:color="365F91"/>
              <w:left w:val="single" w:sz="4" w:space="0" w:color="FFFFFF"/>
              <w:bottom w:val="single" w:sz="4" w:space="0" w:color="365F91"/>
            </w:tcBorders>
            <w:shd w:val="clear" w:color="auto" w:fill="FFFFFF"/>
            <w:vAlign w:val="center"/>
          </w:tcPr>
          <w:p w14:paraId="7A213F77" w14:textId="77777777" w:rsidR="00387C28" w:rsidRPr="00BE78CA" w:rsidRDefault="00387C28" w:rsidP="006946F8">
            <w:pPr>
              <w:pStyle w:val="TableText"/>
              <w:spacing w:before="50" w:after="50"/>
            </w:pPr>
            <w:r w:rsidRPr="00BE78CA">
              <w:rPr>
                <w:rFonts w:eastAsia="Calibri"/>
              </w:rPr>
              <w:t>1.A.2.d</w:t>
            </w:r>
          </w:p>
        </w:tc>
        <w:tc>
          <w:tcPr>
            <w:tcW w:w="5605" w:type="dxa"/>
            <w:gridSpan w:val="2"/>
            <w:tcBorders>
              <w:top w:val="single" w:sz="4" w:space="0" w:color="365F91"/>
              <w:bottom w:val="single" w:sz="4" w:space="0" w:color="365F91"/>
            </w:tcBorders>
            <w:shd w:val="clear" w:color="auto" w:fill="FFFFFF"/>
            <w:vAlign w:val="center"/>
          </w:tcPr>
          <w:p w14:paraId="688CA3FA" w14:textId="77777777" w:rsidR="00387C28" w:rsidRPr="00BE78CA" w:rsidRDefault="00387C28" w:rsidP="006946F8">
            <w:pPr>
              <w:pStyle w:val="TableText"/>
              <w:spacing w:before="50" w:after="50"/>
            </w:pPr>
            <w:r w:rsidRPr="00BE78CA">
              <w:rPr>
                <w:rFonts w:eastAsia="Calibri"/>
              </w:rPr>
              <w:t>Manufacturing Industries and Construction – Pulp, Paper and Print Solid Fuels</w:t>
            </w:r>
          </w:p>
        </w:tc>
        <w:tc>
          <w:tcPr>
            <w:tcW w:w="623" w:type="dxa"/>
            <w:tcBorders>
              <w:top w:val="single" w:sz="4" w:space="0" w:color="365F91"/>
              <w:bottom w:val="single" w:sz="4" w:space="0" w:color="365F91"/>
            </w:tcBorders>
            <w:shd w:val="clear" w:color="auto" w:fill="FFFFFF"/>
            <w:vAlign w:val="center"/>
          </w:tcPr>
          <w:p w14:paraId="767B8F73" w14:textId="77777777" w:rsidR="00387C28" w:rsidRPr="00BE78CA" w:rsidRDefault="00387C28" w:rsidP="006946F8">
            <w:pPr>
              <w:pStyle w:val="TableText"/>
              <w:spacing w:before="50" w:after="50"/>
              <w:jc w:val="center"/>
            </w:pPr>
            <w:r w:rsidRPr="00BE78CA">
              <w:rPr>
                <w:rFonts w:eastAsia="Calibri"/>
              </w:rPr>
              <w:t>CO</w:t>
            </w:r>
            <w:r w:rsidRPr="00BE78CA">
              <w:rPr>
                <w:rFonts w:eastAsia="Calibri"/>
                <w:vertAlign w:val="subscript"/>
              </w:rPr>
              <w:t>2</w:t>
            </w:r>
          </w:p>
        </w:tc>
        <w:tc>
          <w:tcPr>
            <w:tcW w:w="1133" w:type="dxa"/>
            <w:tcBorders>
              <w:top w:val="single" w:sz="4" w:space="0" w:color="365F91"/>
              <w:bottom w:val="single" w:sz="4" w:space="0" w:color="365F91"/>
              <w:right w:val="single" w:sz="4" w:space="0" w:color="FFFFFF"/>
            </w:tcBorders>
            <w:shd w:val="clear" w:color="auto" w:fill="FFFFFF"/>
            <w:vAlign w:val="center"/>
          </w:tcPr>
          <w:p w14:paraId="7D3B229D" w14:textId="77777777" w:rsidR="00387C28" w:rsidRPr="00BE78CA" w:rsidRDefault="00387C28" w:rsidP="006946F8">
            <w:pPr>
              <w:pStyle w:val="TableText"/>
              <w:spacing w:before="50" w:after="50"/>
            </w:pPr>
            <w:r w:rsidRPr="00BE78CA">
              <w:rPr>
                <w:rFonts w:eastAsia="Calibri"/>
              </w:rPr>
              <w:t>T1</w:t>
            </w:r>
          </w:p>
        </w:tc>
      </w:tr>
      <w:tr w:rsidR="007B0D79" w:rsidRPr="00BE78CA" w14:paraId="2C3B1275" w14:textId="77777777" w:rsidTr="00A05410">
        <w:trPr>
          <w:cantSplit/>
        </w:trPr>
        <w:tc>
          <w:tcPr>
            <w:tcW w:w="1133" w:type="dxa"/>
            <w:tcBorders>
              <w:top w:val="single" w:sz="4" w:space="0" w:color="365F91"/>
              <w:left w:val="single" w:sz="4" w:space="0" w:color="FFFFFF"/>
              <w:bottom w:val="single" w:sz="4" w:space="0" w:color="365F91"/>
            </w:tcBorders>
            <w:shd w:val="clear" w:color="auto" w:fill="FFFFFF"/>
            <w:vAlign w:val="center"/>
          </w:tcPr>
          <w:p w14:paraId="3BE43ECE" w14:textId="77777777" w:rsidR="00387C28" w:rsidRPr="00BE78CA" w:rsidRDefault="00387C28" w:rsidP="006946F8">
            <w:pPr>
              <w:pStyle w:val="TableText"/>
              <w:spacing w:before="50" w:after="50"/>
            </w:pPr>
            <w:r w:rsidRPr="00BE78CA">
              <w:rPr>
                <w:rFonts w:eastAsia="Calibri"/>
              </w:rPr>
              <w:t>1.A.2.e</w:t>
            </w:r>
          </w:p>
        </w:tc>
        <w:tc>
          <w:tcPr>
            <w:tcW w:w="5605" w:type="dxa"/>
            <w:gridSpan w:val="2"/>
            <w:tcBorders>
              <w:top w:val="single" w:sz="4" w:space="0" w:color="365F91"/>
              <w:bottom w:val="single" w:sz="4" w:space="0" w:color="365F91"/>
            </w:tcBorders>
            <w:shd w:val="clear" w:color="auto" w:fill="FFFFFF"/>
            <w:vAlign w:val="center"/>
          </w:tcPr>
          <w:p w14:paraId="3E4A40B3" w14:textId="77777777" w:rsidR="00387C28" w:rsidRPr="00BE78CA" w:rsidRDefault="00387C28" w:rsidP="006946F8">
            <w:pPr>
              <w:pStyle w:val="TableText"/>
              <w:spacing w:before="50" w:after="50"/>
            </w:pPr>
            <w:r w:rsidRPr="00BE78CA">
              <w:rPr>
                <w:rFonts w:eastAsia="Calibri"/>
              </w:rPr>
              <w:t>Manufacturing Industries and Construction – Food Processing, Beverages and Tobacco Solid Fuels</w:t>
            </w:r>
          </w:p>
        </w:tc>
        <w:tc>
          <w:tcPr>
            <w:tcW w:w="623" w:type="dxa"/>
            <w:tcBorders>
              <w:top w:val="single" w:sz="4" w:space="0" w:color="365F91"/>
              <w:bottom w:val="single" w:sz="4" w:space="0" w:color="365F91"/>
            </w:tcBorders>
            <w:shd w:val="clear" w:color="auto" w:fill="FFFFFF"/>
            <w:vAlign w:val="center"/>
          </w:tcPr>
          <w:p w14:paraId="41A0E107" w14:textId="77777777" w:rsidR="00387C28" w:rsidRPr="00BE78CA" w:rsidRDefault="00387C28" w:rsidP="006946F8">
            <w:pPr>
              <w:pStyle w:val="TableText"/>
              <w:spacing w:before="50" w:after="50"/>
              <w:jc w:val="center"/>
            </w:pPr>
            <w:r w:rsidRPr="00BE78CA">
              <w:rPr>
                <w:rFonts w:eastAsia="Calibri"/>
              </w:rPr>
              <w:t>CO</w:t>
            </w:r>
            <w:r w:rsidRPr="00BE78CA">
              <w:rPr>
                <w:rFonts w:eastAsia="Calibri"/>
                <w:vertAlign w:val="subscript"/>
              </w:rPr>
              <w:t>2</w:t>
            </w:r>
          </w:p>
        </w:tc>
        <w:tc>
          <w:tcPr>
            <w:tcW w:w="1133" w:type="dxa"/>
            <w:tcBorders>
              <w:top w:val="single" w:sz="4" w:space="0" w:color="365F91"/>
              <w:bottom w:val="single" w:sz="4" w:space="0" w:color="365F91"/>
              <w:right w:val="single" w:sz="4" w:space="0" w:color="FFFFFF"/>
            </w:tcBorders>
            <w:shd w:val="clear" w:color="auto" w:fill="FFFFFF"/>
            <w:vAlign w:val="center"/>
          </w:tcPr>
          <w:p w14:paraId="53E5A6C1" w14:textId="77777777" w:rsidR="00387C28" w:rsidRPr="00BE78CA" w:rsidRDefault="00387C28" w:rsidP="006946F8">
            <w:pPr>
              <w:pStyle w:val="TableText"/>
              <w:spacing w:before="50" w:after="50"/>
            </w:pPr>
            <w:r w:rsidRPr="00BE78CA">
              <w:rPr>
                <w:rFonts w:eastAsia="Calibri"/>
              </w:rPr>
              <w:t>L1, T1</w:t>
            </w:r>
          </w:p>
        </w:tc>
      </w:tr>
      <w:tr w:rsidR="007B0D79" w:rsidRPr="00BE78CA" w14:paraId="7CD5CDA7" w14:textId="77777777" w:rsidTr="00A05410">
        <w:trPr>
          <w:cantSplit/>
        </w:trPr>
        <w:tc>
          <w:tcPr>
            <w:tcW w:w="1133" w:type="dxa"/>
            <w:tcBorders>
              <w:top w:val="single" w:sz="4" w:space="0" w:color="365F91"/>
              <w:left w:val="single" w:sz="4" w:space="0" w:color="FFFFFF"/>
              <w:bottom w:val="single" w:sz="4" w:space="0" w:color="365F91"/>
            </w:tcBorders>
            <w:shd w:val="clear" w:color="auto" w:fill="FFFFFF"/>
            <w:vAlign w:val="center"/>
          </w:tcPr>
          <w:p w14:paraId="713FCBE5" w14:textId="77777777" w:rsidR="00387C28" w:rsidRPr="00BE78CA" w:rsidRDefault="00387C28" w:rsidP="006946F8">
            <w:pPr>
              <w:pStyle w:val="TableText"/>
              <w:spacing w:before="50" w:after="50"/>
            </w:pPr>
            <w:r w:rsidRPr="00BE78CA">
              <w:rPr>
                <w:rFonts w:eastAsia="Calibri"/>
              </w:rPr>
              <w:t>1.A.2.e</w:t>
            </w:r>
          </w:p>
        </w:tc>
        <w:tc>
          <w:tcPr>
            <w:tcW w:w="5605" w:type="dxa"/>
            <w:gridSpan w:val="2"/>
            <w:tcBorders>
              <w:top w:val="single" w:sz="4" w:space="0" w:color="365F91"/>
              <w:bottom w:val="single" w:sz="4" w:space="0" w:color="365F91"/>
            </w:tcBorders>
            <w:shd w:val="clear" w:color="auto" w:fill="FFFFFF"/>
            <w:vAlign w:val="center"/>
          </w:tcPr>
          <w:p w14:paraId="377E15A4" w14:textId="77777777" w:rsidR="00387C28" w:rsidRPr="00BE78CA" w:rsidRDefault="00387C28" w:rsidP="006946F8">
            <w:pPr>
              <w:pStyle w:val="TableText"/>
              <w:spacing w:before="50" w:after="50"/>
            </w:pPr>
            <w:r w:rsidRPr="00BE78CA">
              <w:rPr>
                <w:rFonts w:eastAsia="Calibri"/>
              </w:rPr>
              <w:t>Manufacturing Industries and Construction – Food Processing, Beverages and Tobacco Gaseous Fuels</w:t>
            </w:r>
          </w:p>
        </w:tc>
        <w:tc>
          <w:tcPr>
            <w:tcW w:w="623" w:type="dxa"/>
            <w:tcBorders>
              <w:top w:val="single" w:sz="4" w:space="0" w:color="365F91"/>
              <w:bottom w:val="single" w:sz="4" w:space="0" w:color="365F91"/>
            </w:tcBorders>
            <w:shd w:val="clear" w:color="auto" w:fill="FFFFFF"/>
            <w:vAlign w:val="center"/>
          </w:tcPr>
          <w:p w14:paraId="7B10FB62" w14:textId="77777777" w:rsidR="00387C28" w:rsidRPr="00BE78CA" w:rsidRDefault="00387C28" w:rsidP="006946F8">
            <w:pPr>
              <w:pStyle w:val="TableText"/>
              <w:spacing w:before="50" w:after="50"/>
              <w:jc w:val="center"/>
            </w:pPr>
            <w:r w:rsidRPr="00BE78CA">
              <w:rPr>
                <w:rFonts w:eastAsia="Calibri"/>
              </w:rPr>
              <w:t>CO</w:t>
            </w:r>
            <w:r w:rsidRPr="00BE78CA">
              <w:rPr>
                <w:rFonts w:eastAsia="Calibri"/>
                <w:vertAlign w:val="subscript"/>
              </w:rPr>
              <w:t>2</w:t>
            </w:r>
          </w:p>
        </w:tc>
        <w:tc>
          <w:tcPr>
            <w:tcW w:w="1133" w:type="dxa"/>
            <w:tcBorders>
              <w:top w:val="single" w:sz="4" w:space="0" w:color="365F91"/>
              <w:bottom w:val="single" w:sz="4" w:space="0" w:color="365F91"/>
              <w:right w:val="single" w:sz="4" w:space="0" w:color="FFFFFF"/>
            </w:tcBorders>
            <w:shd w:val="clear" w:color="auto" w:fill="FFFFFF"/>
            <w:vAlign w:val="center"/>
          </w:tcPr>
          <w:p w14:paraId="5588D164" w14:textId="77777777" w:rsidR="00387C28" w:rsidRPr="00BE78CA" w:rsidRDefault="00387C28" w:rsidP="006946F8">
            <w:pPr>
              <w:pStyle w:val="TableText"/>
              <w:spacing w:before="50" w:after="50"/>
            </w:pPr>
            <w:r w:rsidRPr="00BE78CA">
              <w:rPr>
                <w:rFonts w:eastAsia="Calibri"/>
              </w:rPr>
              <w:t>L1, T1</w:t>
            </w:r>
          </w:p>
        </w:tc>
      </w:tr>
      <w:tr w:rsidR="007B0D79" w:rsidRPr="00BE78CA" w14:paraId="1B5A2EF0" w14:textId="77777777" w:rsidTr="00A05410">
        <w:trPr>
          <w:cantSplit/>
        </w:trPr>
        <w:tc>
          <w:tcPr>
            <w:tcW w:w="1133" w:type="dxa"/>
            <w:tcBorders>
              <w:top w:val="single" w:sz="4" w:space="0" w:color="365F91"/>
              <w:left w:val="single" w:sz="4" w:space="0" w:color="FFFFFF"/>
              <w:bottom w:val="single" w:sz="4" w:space="0" w:color="365F91"/>
            </w:tcBorders>
            <w:shd w:val="clear" w:color="auto" w:fill="FFFFFF"/>
            <w:vAlign w:val="center"/>
          </w:tcPr>
          <w:p w14:paraId="313F8830" w14:textId="77777777" w:rsidR="00387C28" w:rsidRPr="00BE78CA" w:rsidRDefault="00387C28" w:rsidP="006946F8">
            <w:pPr>
              <w:pStyle w:val="TableText"/>
              <w:spacing w:before="50" w:after="50"/>
            </w:pPr>
            <w:r w:rsidRPr="00BE78CA">
              <w:rPr>
                <w:rFonts w:eastAsia="Calibri"/>
              </w:rPr>
              <w:t>1.A.2.e</w:t>
            </w:r>
          </w:p>
        </w:tc>
        <w:tc>
          <w:tcPr>
            <w:tcW w:w="5605" w:type="dxa"/>
            <w:gridSpan w:val="2"/>
            <w:tcBorders>
              <w:top w:val="single" w:sz="4" w:space="0" w:color="365F91"/>
              <w:bottom w:val="single" w:sz="4" w:space="0" w:color="365F91"/>
            </w:tcBorders>
            <w:shd w:val="clear" w:color="auto" w:fill="FFFFFF"/>
            <w:vAlign w:val="center"/>
          </w:tcPr>
          <w:p w14:paraId="6D58717A" w14:textId="77777777" w:rsidR="00387C28" w:rsidRPr="00BE78CA" w:rsidRDefault="00387C28" w:rsidP="006946F8">
            <w:pPr>
              <w:pStyle w:val="TableText"/>
              <w:spacing w:before="50" w:after="50"/>
            </w:pPr>
            <w:r w:rsidRPr="00BE78CA">
              <w:rPr>
                <w:rFonts w:eastAsia="Calibri"/>
              </w:rPr>
              <w:t>Manufacturing Industries and Construction – Food Processing, Beverages and Tobacco Liquid Fuels</w:t>
            </w:r>
          </w:p>
        </w:tc>
        <w:tc>
          <w:tcPr>
            <w:tcW w:w="623" w:type="dxa"/>
            <w:tcBorders>
              <w:top w:val="single" w:sz="4" w:space="0" w:color="365F91"/>
              <w:bottom w:val="single" w:sz="4" w:space="0" w:color="365F91"/>
            </w:tcBorders>
            <w:shd w:val="clear" w:color="auto" w:fill="FFFFFF"/>
            <w:vAlign w:val="center"/>
          </w:tcPr>
          <w:p w14:paraId="75063F91" w14:textId="77777777" w:rsidR="00387C28" w:rsidRPr="00BE78CA" w:rsidRDefault="00387C28" w:rsidP="006946F8">
            <w:pPr>
              <w:pStyle w:val="TableText"/>
              <w:spacing w:before="50" w:after="50"/>
              <w:jc w:val="center"/>
            </w:pPr>
            <w:r w:rsidRPr="00BE78CA">
              <w:rPr>
                <w:rFonts w:eastAsia="Calibri"/>
              </w:rPr>
              <w:t>CO</w:t>
            </w:r>
            <w:r w:rsidRPr="00BE78CA">
              <w:rPr>
                <w:rFonts w:eastAsia="Calibri"/>
                <w:vertAlign w:val="subscript"/>
              </w:rPr>
              <w:t>2</w:t>
            </w:r>
          </w:p>
        </w:tc>
        <w:tc>
          <w:tcPr>
            <w:tcW w:w="1133" w:type="dxa"/>
            <w:tcBorders>
              <w:top w:val="single" w:sz="4" w:space="0" w:color="365F91"/>
              <w:bottom w:val="single" w:sz="4" w:space="0" w:color="365F91"/>
              <w:right w:val="single" w:sz="4" w:space="0" w:color="FFFFFF"/>
            </w:tcBorders>
            <w:shd w:val="clear" w:color="auto" w:fill="FFFFFF"/>
            <w:vAlign w:val="center"/>
          </w:tcPr>
          <w:p w14:paraId="0BC18D66" w14:textId="77777777" w:rsidR="00387C28" w:rsidRPr="00BE78CA" w:rsidRDefault="00387C28" w:rsidP="006946F8">
            <w:pPr>
              <w:pStyle w:val="TableText"/>
              <w:spacing w:before="50" w:after="50"/>
            </w:pPr>
            <w:r w:rsidRPr="00BE78CA">
              <w:rPr>
                <w:rFonts w:eastAsia="Calibri"/>
              </w:rPr>
              <w:t>L1</w:t>
            </w:r>
          </w:p>
        </w:tc>
      </w:tr>
      <w:tr w:rsidR="007B0D79" w:rsidRPr="00BE78CA" w14:paraId="64BECE08" w14:textId="77777777" w:rsidTr="00A05410">
        <w:trPr>
          <w:cantSplit/>
        </w:trPr>
        <w:tc>
          <w:tcPr>
            <w:tcW w:w="1133" w:type="dxa"/>
            <w:tcBorders>
              <w:top w:val="single" w:sz="4" w:space="0" w:color="365F91"/>
              <w:left w:val="single" w:sz="4" w:space="0" w:color="FFFFFF"/>
              <w:bottom w:val="single" w:sz="4" w:space="0" w:color="365F91"/>
            </w:tcBorders>
            <w:shd w:val="clear" w:color="auto" w:fill="FFFFFF"/>
            <w:vAlign w:val="center"/>
          </w:tcPr>
          <w:p w14:paraId="6DC77F75" w14:textId="77777777" w:rsidR="00387C28" w:rsidRPr="00BE78CA" w:rsidRDefault="00387C28" w:rsidP="006946F8">
            <w:pPr>
              <w:pStyle w:val="TableText"/>
              <w:spacing w:before="50" w:after="50"/>
            </w:pPr>
            <w:r w:rsidRPr="00BE78CA">
              <w:rPr>
                <w:rFonts w:eastAsia="Calibri"/>
              </w:rPr>
              <w:t>1.A.2.f</w:t>
            </w:r>
          </w:p>
        </w:tc>
        <w:tc>
          <w:tcPr>
            <w:tcW w:w="5605" w:type="dxa"/>
            <w:gridSpan w:val="2"/>
            <w:tcBorders>
              <w:top w:val="single" w:sz="4" w:space="0" w:color="365F91"/>
              <w:bottom w:val="single" w:sz="4" w:space="0" w:color="365F91"/>
            </w:tcBorders>
            <w:shd w:val="clear" w:color="auto" w:fill="FFFFFF"/>
            <w:vAlign w:val="center"/>
          </w:tcPr>
          <w:p w14:paraId="19719648" w14:textId="77777777" w:rsidR="00387C28" w:rsidRPr="00BE78CA" w:rsidRDefault="00387C28" w:rsidP="006946F8">
            <w:pPr>
              <w:pStyle w:val="TableText"/>
              <w:spacing w:before="50" w:after="50"/>
            </w:pPr>
            <w:r w:rsidRPr="00BE78CA">
              <w:rPr>
                <w:rFonts w:eastAsia="Calibri"/>
              </w:rPr>
              <w:t>Manufacturing Industries and Construction – Non-metallic Minerals Solid Fuels</w:t>
            </w:r>
          </w:p>
        </w:tc>
        <w:tc>
          <w:tcPr>
            <w:tcW w:w="623" w:type="dxa"/>
            <w:tcBorders>
              <w:top w:val="single" w:sz="4" w:space="0" w:color="365F91"/>
              <w:bottom w:val="single" w:sz="4" w:space="0" w:color="365F91"/>
            </w:tcBorders>
            <w:shd w:val="clear" w:color="auto" w:fill="FFFFFF"/>
            <w:vAlign w:val="center"/>
          </w:tcPr>
          <w:p w14:paraId="359EF57D" w14:textId="77777777" w:rsidR="00387C28" w:rsidRPr="00BE78CA" w:rsidRDefault="00387C28" w:rsidP="006946F8">
            <w:pPr>
              <w:pStyle w:val="TableText"/>
              <w:spacing w:before="50" w:after="50"/>
              <w:jc w:val="center"/>
            </w:pPr>
            <w:r w:rsidRPr="00BE78CA">
              <w:rPr>
                <w:rFonts w:eastAsia="Calibri"/>
              </w:rPr>
              <w:t>CO</w:t>
            </w:r>
            <w:r w:rsidRPr="00BE78CA">
              <w:rPr>
                <w:rFonts w:eastAsia="Calibri"/>
                <w:vertAlign w:val="subscript"/>
              </w:rPr>
              <w:t>2</w:t>
            </w:r>
          </w:p>
        </w:tc>
        <w:tc>
          <w:tcPr>
            <w:tcW w:w="1133" w:type="dxa"/>
            <w:tcBorders>
              <w:top w:val="single" w:sz="4" w:space="0" w:color="365F91"/>
              <w:bottom w:val="single" w:sz="4" w:space="0" w:color="365F91"/>
              <w:right w:val="single" w:sz="4" w:space="0" w:color="FFFFFF"/>
            </w:tcBorders>
            <w:shd w:val="clear" w:color="auto" w:fill="FFFFFF"/>
            <w:vAlign w:val="center"/>
          </w:tcPr>
          <w:p w14:paraId="2E3C9221" w14:textId="77777777" w:rsidR="00387C28" w:rsidRPr="00BE78CA" w:rsidRDefault="00387C28" w:rsidP="006946F8">
            <w:pPr>
              <w:pStyle w:val="TableText"/>
              <w:spacing w:before="50" w:after="50"/>
            </w:pPr>
            <w:r w:rsidRPr="00BE78CA">
              <w:rPr>
                <w:rFonts w:eastAsia="Calibri"/>
              </w:rPr>
              <w:t>L1, T1</w:t>
            </w:r>
          </w:p>
        </w:tc>
      </w:tr>
      <w:tr w:rsidR="007B0D79" w:rsidRPr="00BE78CA" w14:paraId="079C6C01" w14:textId="77777777" w:rsidTr="00A05410">
        <w:trPr>
          <w:cantSplit/>
        </w:trPr>
        <w:tc>
          <w:tcPr>
            <w:tcW w:w="1133" w:type="dxa"/>
            <w:tcBorders>
              <w:top w:val="single" w:sz="4" w:space="0" w:color="365F91"/>
              <w:left w:val="single" w:sz="4" w:space="0" w:color="FFFFFF"/>
              <w:bottom w:val="single" w:sz="4" w:space="0" w:color="365F91"/>
            </w:tcBorders>
            <w:shd w:val="clear" w:color="auto" w:fill="FFFFFF"/>
            <w:vAlign w:val="center"/>
          </w:tcPr>
          <w:p w14:paraId="06F30524" w14:textId="77777777" w:rsidR="00387C28" w:rsidRPr="00BE78CA" w:rsidRDefault="00387C28" w:rsidP="006946F8">
            <w:pPr>
              <w:pStyle w:val="TableText"/>
              <w:spacing w:before="50" w:after="50"/>
            </w:pPr>
            <w:r w:rsidRPr="00BE78CA">
              <w:rPr>
                <w:rFonts w:eastAsia="Calibri"/>
              </w:rPr>
              <w:t>1.A.2.g.iii</w:t>
            </w:r>
          </w:p>
        </w:tc>
        <w:tc>
          <w:tcPr>
            <w:tcW w:w="5605" w:type="dxa"/>
            <w:gridSpan w:val="2"/>
            <w:tcBorders>
              <w:top w:val="single" w:sz="4" w:space="0" w:color="365F91"/>
              <w:bottom w:val="single" w:sz="4" w:space="0" w:color="365F91"/>
            </w:tcBorders>
            <w:shd w:val="clear" w:color="auto" w:fill="FFFFFF"/>
            <w:vAlign w:val="center"/>
          </w:tcPr>
          <w:p w14:paraId="3418EFB3" w14:textId="77777777" w:rsidR="00387C28" w:rsidRPr="00BE78CA" w:rsidRDefault="00387C28" w:rsidP="006946F8">
            <w:pPr>
              <w:pStyle w:val="TableText"/>
              <w:spacing w:before="50" w:after="50"/>
            </w:pPr>
            <w:r w:rsidRPr="00BE78CA">
              <w:rPr>
                <w:rFonts w:eastAsia="Calibri"/>
              </w:rPr>
              <w:t>Other (please specify) – Mining (excluding fuels) and Quarrying Liquid Fuels</w:t>
            </w:r>
          </w:p>
        </w:tc>
        <w:tc>
          <w:tcPr>
            <w:tcW w:w="623" w:type="dxa"/>
            <w:tcBorders>
              <w:top w:val="single" w:sz="4" w:space="0" w:color="365F91"/>
              <w:bottom w:val="single" w:sz="4" w:space="0" w:color="365F91"/>
            </w:tcBorders>
            <w:shd w:val="clear" w:color="auto" w:fill="FFFFFF"/>
            <w:vAlign w:val="center"/>
          </w:tcPr>
          <w:p w14:paraId="3BB073A7" w14:textId="77777777" w:rsidR="00387C28" w:rsidRPr="00BE78CA" w:rsidRDefault="00387C28" w:rsidP="006946F8">
            <w:pPr>
              <w:pStyle w:val="TableText"/>
              <w:spacing w:before="50" w:after="50"/>
              <w:jc w:val="center"/>
            </w:pPr>
            <w:r w:rsidRPr="00BE78CA">
              <w:rPr>
                <w:rFonts w:eastAsia="Calibri"/>
              </w:rPr>
              <w:t>CO</w:t>
            </w:r>
            <w:r w:rsidRPr="00BE78CA">
              <w:rPr>
                <w:rFonts w:eastAsia="Calibri"/>
                <w:vertAlign w:val="subscript"/>
              </w:rPr>
              <w:t>2</w:t>
            </w:r>
          </w:p>
        </w:tc>
        <w:tc>
          <w:tcPr>
            <w:tcW w:w="1133" w:type="dxa"/>
            <w:tcBorders>
              <w:top w:val="single" w:sz="4" w:space="0" w:color="365F91"/>
              <w:bottom w:val="single" w:sz="4" w:space="0" w:color="365F91"/>
              <w:right w:val="single" w:sz="4" w:space="0" w:color="FFFFFF"/>
            </w:tcBorders>
            <w:shd w:val="clear" w:color="auto" w:fill="FFFFFF"/>
            <w:vAlign w:val="center"/>
          </w:tcPr>
          <w:p w14:paraId="7B51AE66" w14:textId="77777777" w:rsidR="00387C28" w:rsidRPr="00BE78CA" w:rsidRDefault="00387C28" w:rsidP="006946F8">
            <w:pPr>
              <w:pStyle w:val="TableText"/>
              <w:spacing w:before="50" w:after="50"/>
            </w:pPr>
            <w:r w:rsidRPr="00BE78CA">
              <w:rPr>
                <w:rFonts w:eastAsia="Calibri"/>
              </w:rPr>
              <w:t>L1, T1</w:t>
            </w:r>
          </w:p>
        </w:tc>
      </w:tr>
      <w:tr w:rsidR="007B0D79" w:rsidRPr="00BE78CA" w14:paraId="7626C0E3" w14:textId="77777777" w:rsidTr="00A05410">
        <w:trPr>
          <w:cantSplit/>
        </w:trPr>
        <w:tc>
          <w:tcPr>
            <w:tcW w:w="1133" w:type="dxa"/>
            <w:tcBorders>
              <w:top w:val="single" w:sz="4" w:space="0" w:color="365F91"/>
              <w:left w:val="single" w:sz="4" w:space="0" w:color="FFFFFF"/>
              <w:bottom w:val="single" w:sz="4" w:space="0" w:color="365F91"/>
            </w:tcBorders>
            <w:shd w:val="clear" w:color="auto" w:fill="FFFFFF"/>
            <w:vAlign w:val="center"/>
          </w:tcPr>
          <w:p w14:paraId="16E81A0A" w14:textId="77777777" w:rsidR="00387C28" w:rsidRPr="00BE78CA" w:rsidRDefault="00387C28" w:rsidP="006946F8">
            <w:pPr>
              <w:pStyle w:val="TableText"/>
              <w:spacing w:before="50" w:after="50"/>
            </w:pPr>
            <w:r w:rsidRPr="00BE78CA">
              <w:rPr>
                <w:rFonts w:eastAsia="Calibri"/>
              </w:rPr>
              <w:t>1.A.2.g.viii</w:t>
            </w:r>
          </w:p>
        </w:tc>
        <w:tc>
          <w:tcPr>
            <w:tcW w:w="5605" w:type="dxa"/>
            <w:gridSpan w:val="2"/>
            <w:tcBorders>
              <w:top w:val="single" w:sz="4" w:space="0" w:color="365F91"/>
              <w:bottom w:val="single" w:sz="4" w:space="0" w:color="365F91"/>
            </w:tcBorders>
            <w:shd w:val="clear" w:color="auto" w:fill="FFFFFF"/>
            <w:vAlign w:val="center"/>
          </w:tcPr>
          <w:p w14:paraId="613BA389" w14:textId="77777777" w:rsidR="00387C28" w:rsidRPr="00BE78CA" w:rsidRDefault="00387C28" w:rsidP="006946F8">
            <w:pPr>
              <w:pStyle w:val="TableText"/>
              <w:spacing w:before="50" w:after="50"/>
            </w:pPr>
            <w:r w:rsidRPr="00BE78CA">
              <w:rPr>
                <w:rFonts w:eastAsia="Calibri"/>
              </w:rPr>
              <w:t>Other (please specify) – Other (please specify) Liquid Fuels</w:t>
            </w:r>
          </w:p>
        </w:tc>
        <w:tc>
          <w:tcPr>
            <w:tcW w:w="623" w:type="dxa"/>
            <w:tcBorders>
              <w:top w:val="single" w:sz="4" w:space="0" w:color="365F91"/>
              <w:bottom w:val="single" w:sz="4" w:space="0" w:color="365F91"/>
            </w:tcBorders>
            <w:shd w:val="clear" w:color="auto" w:fill="FFFFFF"/>
            <w:vAlign w:val="center"/>
          </w:tcPr>
          <w:p w14:paraId="47FD978F" w14:textId="77777777" w:rsidR="00387C28" w:rsidRPr="00BE78CA" w:rsidRDefault="00387C28" w:rsidP="006946F8">
            <w:pPr>
              <w:pStyle w:val="TableText"/>
              <w:spacing w:before="50" w:after="50"/>
              <w:jc w:val="center"/>
            </w:pPr>
            <w:r w:rsidRPr="00BE78CA">
              <w:rPr>
                <w:rFonts w:eastAsia="Calibri"/>
              </w:rPr>
              <w:t>CO</w:t>
            </w:r>
            <w:r w:rsidRPr="00BE78CA">
              <w:rPr>
                <w:rFonts w:eastAsia="Calibri"/>
                <w:vertAlign w:val="subscript"/>
              </w:rPr>
              <w:t>2</w:t>
            </w:r>
          </w:p>
        </w:tc>
        <w:tc>
          <w:tcPr>
            <w:tcW w:w="1133" w:type="dxa"/>
            <w:tcBorders>
              <w:top w:val="single" w:sz="4" w:space="0" w:color="365F91"/>
              <w:bottom w:val="single" w:sz="4" w:space="0" w:color="365F91"/>
              <w:right w:val="single" w:sz="4" w:space="0" w:color="FFFFFF"/>
            </w:tcBorders>
            <w:shd w:val="clear" w:color="auto" w:fill="FFFFFF"/>
            <w:vAlign w:val="center"/>
          </w:tcPr>
          <w:p w14:paraId="66AC2C27" w14:textId="77777777" w:rsidR="00387C28" w:rsidRPr="00BE78CA" w:rsidRDefault="00387C28" w:rsidP="006946F8">
            <w:pPr>
              <w:pStyle w:val="TableText"/>
              <w:spacing w:before="50" w:after="50"/>
            </w:pPr>
            <w:r w:rsidRPr="00BE78CA">
              <w:rPr>
                <w:rFonts w:eastAsia="Calibri"/>
              </w:rPr>
              <w:t>L1, T1</w:t>
            </w:r>
          </w:p>
        </w:tc>
      </w:tr>
      <w:tr w:rsidR="007B0D79" w:rsidRPr="00BE78CA" w14:paraId="399301AF" w14:textId="77777777" w:rsidTr="00A05410">
        <w:trPr>
          <w:cantSplit/>
        </w:trPr>
        <w:tc>
          <w:tcPr>
            <w:tcW w:w="1133" w:type="dxa"/>
            <w:tcBorders>
              <w:top w:val="single" w:sz="4" w:space="0" w:color="365F91"/>
              <w:left w:val="single" w:sz="4" w:space="0" w:color="FFFFFF"/>
              <w:bottom w:val="single" w:sz="4" w:space="0" w:color="365F91"/>
            </w:tcBorders>
            <w:shd w:val="clear" w:color="auto" w:fill="FFFFFF"/>
            <w:vAlign w:val="center"/>
          </w:tcPr>
          <w:p w14:paraId="47C2B3CF" w14:textId="77777777" w:rsidR="00387C28" w:rsidRPr="00BE78CA" w:rsidRDefault="00387C28" w:rsidP="006946F8">
            <w:pPr>
              <w:pStyle w:val="TableText"/>
              <w:spacing w:before="50" w:after="50"/>
            </w:pPr>
            <w:r w:rsidRPr="00BE78CA">
              <w:rPr>
                <w:rFonts w:eastAsia="Calibri"/>
              </w:rPr>
              <w:t>1.A.2.g.viii</w:t>
            </w:r>
          </w:p>
        </w:tc>
        <w:tc>
          <w:tcPr>
            <w:tcW w:w="5605" w:type="dxa"/>
            <w:gridSpan w:val="2"/>
            <w:tcBorders>
              <w:top w:val="single" w:sz="4" w:space="0" w:color="365F91"/>
              <w:bottom w:val="single" w:sz="4" w:space="0" w:color="365F91"/>
            </w:tcBorders>
            <w:shd w:val="clear" w:color="auto" w:fill="FFFFFF"/>
            <w:vAlign w:val="center"/>
          </w:tcPr>
          <w:p w14:paraId="1378E30B" w14:textId="77777777" w:rsidR="00387C28" w:rsidRPr="00BE78CA" w:rsidRDefault="00387C28" w:rsidP="006946F8">
            <w:pPr>
              <w:pStyle w:val="TableText"/>
              <w:spacing w:before="50" w:after="50"/>
            </w:pPr>
            <w:r w:rsidRPr="00BE78CA">
              <w:rPr>
                <w:rFonts w:eastAsia="Calibri"/>
              </w:rPr>
              <w:t>Other (please specify) – Other (please specify) Solid Fuels</w:t>
            </w:r>
          </w:p>
        </w:tc>
        <w:tc>
          <w:tcPr>
            <w:tcW w:w="623" w:type="dxa"/>
            <w:tcBorders>
              <w:top w:val="single" w:sz="4" w:space="0" w:color="365F91"/>
              <w:bottom w:val="single" w:sz="4" w:space="0" w:color="365F91"/>
            </w:tcBorders>
            <w:shd w:val="clear" w:color="auto" w:fill="FFFFFF"/>
            <w:vAlign w:val="center"/>
          </w:tcPr>
          <w:p w14:paraId="1FAAE47B" w14:textId="77777777" w:rsidR="00387C28" w:rsidRPr="00BE78CA" w:rsidRDefault="00387C28" w:rsidP="006946F8">
            <w:pPr>
              <w:pStyle w:val="TableText"/>
              <w:spacing w:before="50" w:after="50"/>
              <w:jc w:val="center"/>
            </w:pPr>
            <w:r w:rsidRPr="00BE78CA">
              <w:rPr>
                <w:rFonts w:eastAsia="Calibri"/>
              </w:rPr>
              <w:t>CO</w:t>
            </w:r>
            <w:r w:rsidRPr="00BE78CA">
              <w:rPr>
                <w:rFonts w:eastAsia="Calibri"/>
                <w:vertAlign w:val="subscript"/>
              </w:rPr>
              <w:t>2</w:t>
            </w:r>
          </w:p>
        </w:tc>
        <w:tc>
          <w:tcPr>
            <w:tcW w:w="1133" w:type="dxa"/>
            <w:tcBorders>
              <w:top w:val="single" w:sz="4" w:space="0" w:color="365F91"/>
              <w:bottom w:val="single" w:sz="4" w:space="0" w:color="365F91"/>
              <w:right w:val="single" w:sz="4" w:space="0" w:color="FFFFFF"/>
            </w:tcBorders>
            <w:shd w:val="clear" w:color="auto" w:fill="FFFFFF"/>
            <w:vAlign w:val="center"/>
          </w:tcPr>
          <w:p w14:paraId="7A0C0118" w14:textId="77777777" w:rsidR="00387C28" w:rsidRPr="00BE78CA" w:rsidRDefault="00387C28" w:rsidP="006946F8">
            <w:pPr>
              <w:pStyle w:val="TableText"/>
              <w:spacing w:before="50" w:after="50"/>
            </w:pPr>
            <w:r w:rsidRPr="00BE78CA">
              <w:rPr>
                <w:rFonts w:eastAsia="Calibri"/>
              </w:rPr>
              <w:t>T1</w:t>
            </w:r>
          </w:p>
        </w:tc>
      </w:tr>
      <w:tr w:rsidR="007B0D79" w:rsidRPr="00BE78CA" w14:paraId="1021F8CE" w14:textId="77777777" w:rsidTr="00A05410">
        <w:trPr>
          <w:cantSplit/>
        </w:trPr>
        <w:tc>
          <w:tcPr>
            <w:tcW w:w="1133" w:type="dxa"/>
            <w:tcBorders>
              <w:top w:val="single" w:sz="4" w:space="0" w:color="365F91"/>
              <w:left w:val="single" w:sz="4" w:space="0" w:color="FFFFFF"/>
              <w:bottom w:val="single" w:sz="4" w:space="0" w:color="365F91"/>
            </w:tcBorders>
            <w:shd w:val="clear" w:color="auto" w:fill="FFFFFF"/>
            <w:vAlign w:val="center"/>
          </w:tcPr>
          <w:p w14:paraId="57B47C1A" w14:textId="77777777" w:rsidR="00387C28" w:rsidRPr="00BE78CA" w:rsidRDefault="00387C28" w:rsidP="006946F8">
            <w:pPr>
              <w:pStyle w:val="TableText"/>
              <w:spacing w:before="50" w:after="50"/>
            </w:pPr>
            <w:r w:rsidRPr="00BE78CA">
              <w:rPr>
                <w:rFonts w:eastAsia="Calibri"/>
              </w:rPr>
              <w:t>1.A.3.a</w:t>
            </w:r>
          </w:p>
        </w:tc>
        <w:tc>
          <w:tcPr>
            <w:tcW w:w="5605" w:type="dxa"/>
            <w:gridSpan w:val="2"/>
            <w:tcBorders>
              <w:top w:val="single" w:sz="4" w:space="0" w:color="365F91"/>
              <w:bottom w:val="single" w:sz="4" w:space="0" w:color="365F91"/>
            </w:tcBorders>
            <w:shd w:val="clear" w:color="auto" w:fill="FFFFFF"/>
            <w:vAlign w:val="center"/>
          </w:tcPr>
          <w:p w14:paraId="4209D001" w14:textId="77777777" w:rsidR="00387C28" w:rsidRPr="00BE78CA" w:rsidRDefault="00387C28" w:rsidP="006946F8">
            <w:pPr>
              <w:pStyle w:val="TableText"/>
              <w:spacing w:before="50" w:after="50"/>
            </w:pPr>
            <w:r w:rsidRPr="00BE78CA">
              <w:rPr>
                <w:rFonts w:eastAsia="Calibri"/>
              </w:rPr>
              <w:t>Domestic Aviation – Jet Kerosene</w:t>
            </w:r>
          </w:p>
        </w:tc>
        <w:tc>
          <w:tcPr>
            <w:tcW w:w="623" w:type="dxa"/>
            <w:tcBorders>
              <w:top w:val="single" w:sz="4" w:space="0" w:color="365F91"/>
              <w:bottom w:val="single" w:sz="4" w:space="0" w:color="365F91"/>
            </w:tcBorders>
            <w:shd w:val="clear" w:color="auto" w:fill="FFFFFF"/>
            <w:vAlign w:val="center"/>
          </w:tcPr>
          <w:p w14:paraId="0D7D990C" w14:textId="77777777" w:rsidR="00387C28" w:rsidRPr="00BE78CA" w:rsidRDefault="00387C28" w:rsidP="006946F8">
            <w:pPr>
              <w:pStyle w:val="TableText"/>
              <w:spacing w:before="50" w:after="50"/>
              <w:jc w:val="center"/>
            </w:pPr>
            <w:r w:rsidRPr="00BE78CA">
              <w:rPr>
                <w:rFonts w:eastAsia="Calibri"/>
              </w:rPr>
              <w:t>CO</w:t>
            </w:r>
            <w:r w:rsidRPr="00BE78CA">
              <w:rPr>
                <w:rFonts w:eastAsia="Calibri"/>
                <w:vertAlign w:val="subscript"/>
              </w:rPr>
              <w:t>2</w:t>
            </w:r>
          </w:p>
        </w:tc>
        <w:tc>
          <w:tcPr>
            <w:tcW w:w="1133" w:type="dxa"/>
            <w:tcBorders>
              <w:top w:val="single" w:sz="4" w:space="0" w:color="365F91"/>
              <w:bottom w:val="single" w:sz="4" w:space="0" w:color="365F91"/>
              <w:right w:val="single" w:sz="4" w:space="0" w:color="FFFFFF"/>
            </w:tcBorders>
            <w:shd w:val="clear" w:color="auto" w:fill="FFFFFF"/>
            <w:vAlign w:val="center"/>
          </w:tcPr>
          <w:p w14:paraId="26651D4E" w14:textId="77777777" w:rsidR="00387C28" w:rsidRPr="00BE78CA" w:rsidRDefault="00387C28" w:rsidP="006946F8">
            <w:pPr>
              <w:pStyle w:val="TableText"/>
              <w:spacing w:before="50" w:after="50"/>
            </w:pPr>
            <w:r w:rsidRPr="00BE78CA">
              <w:rPr>
                <w:rFonts w:eastAsia="Calibri"/>
              </w:rPr>
              <w:t>L1, T1</w:t>
            </w:r>
          </w:p>
        </w:tc>
      </w:tr>
      <w:tr w:rsidR="007B0D79" w:rsidRPr="00BE78CA" w14:paraId="3F693AE5" w14:textId="77777777" w:rsidTr="00A05410">
        <w:trPr>
          <w:cantSplit/>
        </w:trPr>
        <w:tc>
          <w:tcPr>
            <w:tcW w:w="1133" w:type="dxa"/>
            <w:tcBorders>
              <w:top w:val="single" w:sz="4" w:space="0" w:color="365F91"/>
              <w:left w:val="single" w:sz="4" w:space="0" w:color="FFFFFF"/>
              <w:bottom w:val="single" w:sz="4" w:space="0" w:color="365F91"/>
            </w:tcBorders>
            <w:shd w:val="clear" w:color="auto" w:fill="FFFFFF"/>
            <w:vAlign w:val="center"/>
          </w:tcPr>
          <w:p w14:paraId="0252A48C" w14:textId="77777777" w:rsidR="00387C28" w:rsidRPr="00BE78CA" w:rsidRDefault="00387C28" w:rsidP="006946F8">
            <w:pPr>
              <w:pStyle w:val="TableText"/>
              <w:spacing w:before="50" w:after="50"/>
            </w:pPr>
            <w:r w:rsidRPr="00BE78CA">
              <w:rPr>
                <w:rFonts w:eastAsia="Calibri"/>
              </w:rPr>
              <w:t>1.A.3.b</w:t>
            </w:r>
          </w:p>
        </w:tc>
        <w:tc>
          <w:tcPr>
            <w:tcW w:w="5605" w:type="dxa"/>
            <w:gridSpan w:val="2"/>
            <w:tcBorders>
              <w:top w:val="single" w:sz="4" w:space="0" w:color="365F91"/>
              <w:bottom w:val="single" w:sz="4" w:space="0" w:color="365F91"/>
            </w:tcBorders>
            <w:shd w:val="clear" w:color="auto" w:fill="FFFFFF"/>
            <w:vAlign w:val="center"/>
          </w:tcPr>
          <w:p w14:paraId="377F3AB1" w14:textId="77777777" w:rsidR="00387C28" w:rsidRPr="00BE78CA" w:rsidRDefault="00387C28" w:rsidP="006946F8">
            <w:pPr>
              <w:pStyle w:val="TableText"/>
              <w:spacing w:before="50" w:after="50"/>
            </w:pPr>
            <w:r w:rsidRPr="00BE78CA">
              <w:rPr>
                <w:rFonts w:eastAsia="Calibri"/>
              </w:rPr>
              <w:t>Transport – Road Transportation Liquid Fuels</w:t>
            </w:r>
          </w:p>
        </w:tc>
        <w:tc>
          <w:tcPr>
            <w:tcW w:w="623" w:type="dxa"/>
            <w:tcBorders>
              <w:top w:val="single" w:sz="4" w:space="0" w:color="365F91"/>
              <w:bottom w:val="single" w:sz="4" w:space="0" w:color="365F91"/>
            </w:tcBorders>
            <w:shd w:val="clear" w:color="auto" w:fill="FFFFFF"/>
            <w:vAlign w:val="center"/>
          </w:tcPr>
          <w:p w14:paraId="26FB7C1C" w14:textId="77777777" w:rsidR="00387C28" w:rsidRPr="00BE78CA" w:rsidRDefault="00387C28" w:rsidP="006946F8">
            <w:pPr>
              <w:pStyle w:val="TableText"/>
              <w:spacing w:before="50" w:after="50"/>
              <w:jc w:val="center"/>
            </w:pPr>
            <w:r w:rsidRPr="00BE78CA">
              <w:rPr>
                <w:rFonts w:eastAsia="Calibri"/>
              </w:rPr>
              <w:t>CO</w:t>
            </w:r>
            <w:r w:rsidRPr="00BE78CA">
              <w:rPr>
                <w:rFonts w:eastAsia="Calibri"/>
                <w:vertAlign w:val="subscript"/>
              </w:rPr>
              <w:t>2</w:t>
            </w:r>
          </w:p>
        </w:tc>
        <w:tc>
          <w:tcPr>
            <w:tcW w:w="1133" w:type="dxa"/>
            <w:tcBorders>
              <w:top w:val="single" w:sz="4" w:space="0" w:color="365F91"/>
              <w:bottom w:val="single" w:sz="4" w:space="0" w:color="365F91"/>
              <w:right w:val="single" w:sz="4" w:space="0" w:color="FFFFFF"/>
            </w:tcBorders>
            <w:shd w:val="clear" w:color="auto" w:fill="FFFFFF"/>
            <w:vAlign w:val="center"/>
          </w:tcPr>
          <w:p w14:paraId="18D5068E" w14:textId="77777777" w:rsidR="00387C28" w:rsidRPr="00BE78CA" w:rsidRDefault="00387C28" w:rsidP="006946F8">
            <w:pPr>
              <w:pStyle w:val="TableText"/>
              <w:spacing w:before="50" w:after="50"/>
            </w:pPr>
            <w:r w:rsidRPr="00BE78CA">
              <w:rPr>
                <w:rFonts w:eastAsia="Calibri"/>
              </w:rPr>
              <w:t>L1, T1</w:t>
            </w:r>
          </w:p>
        </w:tc>
      </w:tr>
      <w:tr w:rsidR="007B0D79" w:rsidRPr="00BE78CA" w14:paraId="13D0EC8E" w14:textId="77777777" w:rsidTr="00A05410">
        <w:trPr>
          <w:cantSplit/>
        </w:trPr>
        <w:tc>
          <w:tcPr>
            <w:tcW w:w="1133" w:type="dxa"/>
            <w:tcBorders>
              <w:top w:val="single" w:sz="4" w:space="0" w:color="365F91"/>
              <w:left w:val="single" w:sz="4" w:space="0" w:color="FFFFFF"/>
              <w:bottom w:val="single" w:sz="4" w:space="0" w:color="365F91"/>
            </w:tcBorders>
            <w:shd w:val="clear" w:color="auto" w:fill="FFFFFF"/>
            <w:vAlign w:val="center"/>
          </w:tcPr>
          <w:p w14:paraId="43053DB4" w14:textId="77777777" w:rsidR="00387C28" w:rsidRPr="00BE78CA" w:rsidRDefault="00387C28" w:rsidP="006946F8">
            <w:pPr>
              <w:pStyle w:val="TableText"/>
              <w:spacing w:before="50" w:after="50"/>
            </w:pPr>
            <w:r w:rsidRPr="00BE78CA">
              <w:rPr>
                <w:rFonts w:eastAsia="Calibri"/>
              </w:rPr>
              <w:t>1.A.3.b</w:t>
            </w:r>
          </w:p>
        </w:tc>
        <w:tc>
          <w:tcPr>
            <w:tcW w:w="5605" w:type="dxa"/>
            <w:gridSpan w:val="2"/>
            <w:tcBorders>
              <w:top w:val="single" w:sz="4" w:space="0" w:color="365F91"/>
              <w:bottom w:val="single" w:sz="4" w:space="0" w:color="365F91"/>
            </w:tcBorders>
            <w:shd w:val="clear" w:color="auto" w:fill="FFFFFF"/>
            <w:vAlign w:val="center"/>
          </w:tcPr>
          <w:p w14:paraId="3B1D0C6A" w14:textId="77777777" w:rsidR="00387C28" w:rsidRPr="00BE78CA" w:rsidRDefault="00387C28" w:rsidP="006946F8">
            <w:pPr>
              <w:pStyle w:val="TableText"/>
              <w:spacing w:before="50" w:after="50"/>
            </w:pPr>
            <w:r w:rsidRPr="00BE78CA">
              <w:rPr>
                <w:rFonts w:eastAsia="Calibri"/>
              </w:rPr>
              <w:t>Transport – Road Transportation Gaseous Fuels</w:t>
            </w:r>
          </w:p>
        </w:tc>
        <w:tc>
          <w:tcPr>
            <w:tcW w:w="623" w:type="dxa"/>
            <w:tcBorders>
              <w:top w:val="single" w:sz="4" w:space="0" w:color="365F91"/>
              <w:bottom w:val="single" w:sz="4" w:space="0" w:color="365F91"/>
            </w:tcBorders>
            <w:shd w:val="clear" w:color="auto" w:fill="FFFFFF"/>
            <w:vAlign w:val="center"/>
          </w:tcPr>
          <w:p w14:paraId="6472192B" w14:textId="77777777" w:rsidR="00387C28" w:rsidRPr="00BE78CA" w:rsidRDefault="00387C28" w:rsidP="006946F8">
            <w:pPr>
              <w:pStyle w:val="TableText"/>
              <w:spacing w:before="50" w:after="50"/>
              <w:jc w:val="center"/>
            </w:pPr>
            <w:r w:rsidRPr="00BE78CA">
              <w:rPr>
                <w:rFonts w:eastAsia="Calibri"/>
              </w:rPr>
              <w:t>CO</w:t>
            </w:r>
            <w:r w:rsidRPr="00BE78CA">
              <w:rPr>
                <w:rFonts w:eastAsia="Calibri"/>
                <w:vertAlign w:val="subscript"/>
              </w:rPr>
              <w:t>2</w:t>
            </w:r>
          </w:p>
        </w:tc>
        <w:tc>
          <w:tcPr>
            <w:tcW w:w="1133" w:type="dxa"/>
            <w:tcBorders>
              <w:top w:val="single" w:sz="4" w:space="0" w:color="365F91"/>
              <w:bottom w:val="single" w:sz="4" w:space="0" w:color="365F91"/>
              <w:right w:val="single" w:sz="4" w:space="0" w:color="FFFFFF"/>
            </w:tcBorders>
            <w:shd w:val="clear" w:color="auto" w:fill="FFFFFF"/>
            <w:vAlign w:val="center"/>
          </w:tcPr>
          <w:p w14:paraId="083C7E96" w14:textId="77777777" w:rsidR="00387C28" w:rsidRPr="00BE78CA" w:rsidRDefault="00387C28" w:rsidP="006946F8">
            <w:pPr>
              <w:pStyle w:val="TableText"/>
              <w:spacing w:before="50" w:after="50"/>
            </w:pPr>
            <w:r w:rsidRPr="00BE78CA">
              <w:rPr>
                <w:rFonts w:eastAsia="Calibri"/>
              </w:rPr>
              <w:t>T1</w:t>
            </w:r>
          </w:p>
        </w:tc>
      </w:tr>
      <w:tr w:rsidR="007B0D79" w:rsidRPr="00BE78CA" w14:paraId="73FC11DC" w14:textId="77777777" w:rsidTr="00A05410">
        <w:trPr>
          <w:cantSplit/>
        </w:trPr>
        <w:tc>
          <w:tcPr>
            <w:tcW w:w="1133" w:type="dxa"/>
            <w:tcBorders>
              <w:top w:val="single" w:sz="4" w:space="0" w:color="365F91"/>
              <w:left w:val="single" w:sz="4" w:space="0" w:color="FFFFFF"/>
              <w:bottom w:val="single" w:sz="4" w:space="0" w:color="365F91"/>
            </w:tcBorders>
            <w:shd w:val="clear" w:color="auto" w:fill="FFFFFF"/>
            <w:vAlign w:val="center"/>
          </w:tcPr>
          <w:p w14:paraId="510FAF91" w14:textId="77777777" w:rsidR="00387C28" w:rsidRPr="00BE78CA" w:rsidRDefault="00387C28" w:rsidP="006946F8">
            <w:pPr>
              <w:pStyle w:val="TableText"/>
              <w:spacing w:before="50" w:after="50"/>
            </w:pPr>
            <w:r w:rsidRPr="00BE78CA">
              <w:rPr>
                <w:rFonts w:eastAsia="Calibri"/>
              </w:rPr>
              <w:t>1.A.3.d</w:t>
            </w:r>
          </w:p>
        </w:tc>
        <w:tc>
          <w:tcPr>
            <w:tcW w:w="5605" w:type="dxa"/>
            <w:gridSpan w:val="2"/>
            <w:tcBorders>
              <w:top w:val="single" w:sz="4" w:space="0" w:color="365F91"/>
              <w:bottom w:val="single" w:sz="4" w:space="0" w:color="365F91"/>
            </w:tcBorders>
            <w:shd w:val="clear" w:color="auto" w:fill="FFFFFF"/>
            <w:vAlign w:val="center"/>
          </w:tcPr>
          <w:p w14:paraId="61CF3F6A" w14:textId="77777777" w:rsidR="00387C28" w:rsidRPr="00BE78CA" w:rsidRDefault="00387C28" w:rsidP="006946F8">
            <w:pPr>
              <w:pStyle w:val="TableText"/>
              <w:spacing w:before="50" w:after="50"/>
            </w:pPr>
            <w:r w:rsidRPr="00BE78CA">
              <w:rPr>
                <w:rFonts w:eastAsia="Calibri"/>
              </w:rPr>
              <w:t>Domestic Navigation – Residual Fuel Oil</w:t>
            </w:r>
          </w:p>
        </w:tc>
        <w:tc>
          <w:tcPr>
            <w:tcW w:w="623" w:type="dxa"/>
            <w:tcBorders>
              <w:top w:val="single" w:sz="4" w:space="0" w:color="365F91"/>
              <w:bottom w:val="single" w:sz="4" w:space="0" w:color="365F91"/>
            </w:tcBorders>
            <w:shd w:val="clear" w:color="auto" w:fill="FFFFFF"/>
            <w:vAlign w:val="center"/>
          </w:tcPr>
          <w:p w14:paraId="66C0BB5E" w14:textId="77777777" w:rsidR="00387C28" w:rsidRPr="00BE78CA" w:rsidRDefault="00387C28" w:rsidP="006946F8">
            <w:pPr>
              <w:pStyle w:val="TableText"/>
              <w:spacing w:before="50" w:after="50"/>
              <w:jc w:val="center"/>
            </w:pPr>
            <w:r w:rsidRPr="00BE78CA">
              <w:rPr>
                <w:rFonts w:eastAsia="Calibri"/>
              </w:rPr>
              <w:t>CO</w:t>
            </w:r>
            <w:r w:rsidRPr="00BE78CA">
              <w:rPr>
                <w:rFonts w:eastAsia="Calibri"/>
                <w:vertAlign w:val="subscript"/>
              </w:rPr>
              <w:t>2</w:t>
            </w:r>
          </w:p>
        </w:tc>
        <w:tc>
          <w:tcPr>
            <w:tcW w:w="1133" w:type="dxa"/>
            <w:tcBorders>
              <w:top w:val="single" w:sz="4" w:space="0" w:color="365F91"/>
              <w:bottom w:val="single" w:sz="4" w:space="0" w:color="365F91"/>
              <w:right w:val="single" w:sz="4" w:space="0" w:color="FFFFFF"/>
            </w:tcBorders>
            <w:shd w:val="clear" w:color="auto" w:fill="FFFFFF"/>
            <w:vAlign w:val="center"/>
          </w:tcPr>
          <w:p w14:paraId="0AE0FAA4" w14:textId="77777777" w:rsidR="00387C28" w:rsidRPr="00BE78CA" w:rsidRDefault="00387C28" w:rsidP="006946F8">
            <w:pPr>
              <w:pStyle w:val="TableText"/>
              <w:spacing w:before="50" w:after="50"/>
            </w:pPr>
            <w:r w:rsidRPr="00BE78CA">
              <w:rPr>
                <w:rFonts w:eastAsia="Calibri"/>
              </w:rPr>
              <w:t>L1</w:t>
            </w:r>
          </w:p>
        </w:tc>
      </w:tr>
      <w:tr w:rsidR="007B0D79" w:rsidRPr="00BE78CA" w14:paraId="55E8F85A" w14:textId="77777777" w:rsidTr="00A05410">
        <w:trPr>
          <w:cantSplit/>
        </w:trPr>
        <w:tc>
          <w:tcPr>
            <w:tcW w:w="1133" w:type="dxa"/>
            <w:tcBorders>
              <w:top w:val="single" w:sz="4" w:space="0" w:color="365F91"/>
              <w:left w:val="single" w:sz="4" w:space="0" w:color="FFFFFF"/>
              <w:bottom w:val="single" w:sz="4" w:space="0" w:color="365F91"/>
            </w:tcBorders>
            <w:shd w:val="clear" w:color="auto" w:fill="FFFFFF"/>
            <w:vAlign w:val="center"/>
          </w:tcPr>
          <w:p w14:paraId="28460C2D" w14:textId="77777777" w:rsidR="00387C28" w:rsidRPr="00BE78CA" w:rsidRDefault="00387C28" w:rsidP="006946F8">
            <w:pPr>
              <w:pStyle w:val="TableText"/>
              <w:spacing w:before="50" w:after="50"/>
            </w:pPr>
            <w:r w:rsidRPr="00BE78CA">
              <w:rPr>
                <w:rFonts w:eastAsia="Calibri"/>
              </w:rPr>
              <w:t>1.A.4.a</w:t>
            </w:r>
          </w:p>
        </w:tc>
        <w:tc>
          <w:tcPr>
            <w:tcW w:w="5605" w:type="dxa"/>
            <w:gridSpan w:val="2"/>
            <w:tcBorders>
              <w:top w:val="single" w:sz="4" w:space="0" w:color="365F91"/>
              <w:bottom w:val="single" w:sz="4" w:space="0" w:color="365F91"/>
            </w:tcBorders>
            <w:shd w:val="clear" w:color="auto" w:fill="FFFFFF"/>
            <w:vAlign w:val="center"/>
          </w:tcPr>
          <w:p w14:paraId="224DD984" w14:textId="77777777" w:rsidR="00387C28" w:rsidRPr="00BE78CA" w:rsidRDefault="00387C28" w:rsidP="006946F8">
            <w:pPr>
              <w:pStyle w:val="TableText"/>
              <w:spacing w:before="50" w:after="50"/>
            </w:pPr>
            <w:r w:rsidRPr="00BE78CA">
              <w:rPr>
                <w:rFonts w:eastAsia="Calibri"/>
              </w:rPr>
              <w:t>Other Sectors – Commercial/Institutional Liquid Fuels</w:t>
            </w:r>
          </w:p>
        </w:tc>
        <w:tc>
          <w:tcPr>
            <w:tcW w:w="623" w:type="dxa"/>
            <w:tcBorders>
              <w:top w:val="single" w:sz="4" w:space="0" w:color="365F91"/>
              <w:bottom w:val="single" w:sz="4" w:space="0" w:color="365F91"/>
            </w:tcBorders>
            <w:shd w:val="clear" w:color="auto" w:fill="FFFFFF"/>
            <w:vAlign w:val="center"/>
          </w:tcPr>
          <w:p w14:paraId="1F9E5527" w14:textId="77777777" w:rsidR="00387C28" w:rsidRPr="00BE78CA" w:rsidRDefault="00387C28" w:rsidP="006946F8">
            <w:pPr>
              <w:pStyle w:val="TableText"/>
              <w:spacing w:before="50" w:after="50"/>
              <w:jc w:val="center"/>
            </w:pPr>
            <w:r w:rsidRPr="00BE78CA">
              <w:rPr>
                <w:rFonts w:eastAsia="Calibri"/>
              </w:rPr>
              <w:t>CO</w:t>
            </w:r>
            <w:r w:rsidRPr="00BE78CA">
              <w:rPr>
                <w:rFonts w:eastAsia="Calibri"/>
                <w:vertAlign w:val="subscript"/>
              </w:rPr>
              <w:t>2</w:t>
            </w:r>
          </w:p>
        </w:tc>
        <w:tc>
          <w:tcPr>
            <w:tcW w:w="1133" w:type="dxa"/>
            <w:tcBorders>
              <w:top w:val="single" w:sz="4" w:space="0" w:color="365F91"/>
              <w:bottom w:val="single" w:sz="4" w:space="0" w:color="365F91"/>
              <w:right w:val="single" w:sz="4" w:space="0" w:color="FFFFFF"/>
            </w:tcBorders>
            <w:shd w:val="clear" w:color="auto" w:fill="FFFFFF"/>
            <w:vAlign w:val="center"/>
          </w:tcPr>
          <w:p w14:paraId="1835757D" w14:textId="77777777" w:rsidR="00387C28" w:rsidRPr="00BE78CA" w:rsidRDefault="00387C28" w:rsidP="006946F8">
            <w:pPr>
              <w:pStyle w:val="TableText"/>
              <w:spacing w:before="50" w:after="50"/>
            </w:pPr>
            <w:r w:rsidRPr="00BE78CA">
              <w:rPr>
                <w:rFonts w:eastAsia="Calibri"/>
              </w:rPr>
              <w:t>L1</w:t>
            </w:r>
          </w:p>
        </w:tc>
      </w:tr>
      <w:tr w:rsidR="007B0D79" w:rsidRPr="00BE78CA" w14:paraId="1A9A4696" w14:textId="77777777" w:rsidTr="00A05410">
        <w:trPr>
          <w:cantSplit/>
        </w:trPr>
        <w:tc>
          <w:tcPr>
            <w:tcW w:w="1133" w:type="dxa"/>
            <w:tcBorders>
              <w:top w:val="single" w:sz="4" w:space="0" w:color="365F91"/>
              <w:left w:val="single" w:sz="4" w:space="0" w:color="FFFFFF"/>
              <w:bottom w:val="single" w:sz="4" w:space="0" w:color="365F91"/>
            </w:tcBorders>
            <w:shd w:val="clear" w:color="auto" w:fill="FFFFFF"/>
            <w:vAlign w:val="center"/>
          </w:tcPr>
          <w:p w14:paraId="658C7A85" w14:textId="77777777" w:rsidR="00387C28" w:rsidRPr="00BE78CA" w:rsidRDefault="00387C28" w:rsidP="006946F8">
            <w:pPr>
              <w:pStyle w:val="TableText"/>
              <w:spacing w:before="50" w:after="50"/>
            </w:pPr>
            <w:r w:rsidRPr="00BE78CA">
              <w:rPr>
                <w:rFonts w:eastAsia="Calibri"/>
              </w:rPr>
              <w:t>1.A.4.a</w:t>
            </w:r>
          </w:p>
        </w:tc>
        <w:tc>
          <w:tcPr>
            <w:tcW w:w="5605" w:type="dxa"/>
            <w:gridSpan w:val="2"/>
            <w:tcBorders>
              <w:top w:val="single" w:sz="4" w:space="0" w:color="365F91"/>
              <w:bottom w:val="single" w:sz="4" w:space="0" w:color="365F91"/>
            </w:tcBorders>
            <w:shd w:val="clear" w:color="auto" w:fill="FFFFFF"/>
            <w:vAlign w:val="center"/>
          </w:tcPr>
          <w:p w14:paraId="59453ABF" w14:textId="77777777" w:rsidR="00387C28" w:rsidRPr="00BE78CA" w:rsidRDefault="00387C28" w:rsidP="006946F8">
            <w:pPr>
              <w:pStyle w:val="TableText"/>
              <w:spacing w:before="50" w:after="50"/>
            </w:pPr>
            <w:r w:rsidRPr="00BE78CA">
              <w:rPr>
                <w:rFonts w:eastAsia="Calibri"/>
              </w:rPr>
              <w:t>Other Sectors – Commercial/Institutional Gaseous Fuels</w:t>
            </w:r>
          </w:p>
        </w:tc>
        <w:tc>
          <w:tcPr>
            <w:tcW w:w="623" w:type="dxa"/>
            <w:tcBorders>
              <w:top w:val="single" w:sz="4" w:space="0" w:color="365F91"/>
              <w:bottom w:val="single" w:sz="4" w:space="0" w:color="365F91"/>
            </w:tcBorders>
            <w:shd w:val="clear" w:color="auto" w:fill="FFFFFF"/>
            <w:vAlign w:val="center"/>
          </w:tcPr>
          <w:p w14:paraId="4FEBA9F2" w14:textId="77777777" w:rsidR="00387C28" w:rsidRPr="00BE78CA" w:rsidRDefault="00387C28" w:rsidP="006946F8">
            <w:pPr>
              <w:pStyle w:val="TableText"/>
              <w:spacing w:before="50" w:after="50"/>
              <w:jc w:val="center"/>
            </w:pPr>
            <w:r w:rsidRPr="00BE78CA">
              <w:rPr>
                <w:rFonts w:eastAsia="Calibri"/>
              </w:rPr>
              <w:t>CO</w:t>
            </w:r>
            <w:r w:rsidRPr="00BE78CA">
              <w:rPr>
                <w:rFonts w:eastAsia="Calibri"/>
                <w:vertAlign w:val="subscript"/>
              </w:rPr>
              <w:t>2</w:t>
            </w:r>
          </w:p>
        </w:tc>
        <w:tc>
          <w:tcPr>
            <w:tcW w:w="1133" w:type="dxa"/>
            <w:tcBorders>
              <w:top w:val="single" w:sz="4" w:space="0" w:color="365F91"/>
              <w:bottom w:val="single" w:sz="4" w:space="0" w:color="365F91"/>
              <w:right w:val="single" w:sz="4" w:space="0" w:color="FFFFFF"/>
            </w:tcBorders>
            <w:shd w:val="clear" w:color="auto" w:fill="FFFFFF"/>
            <w:vAlign w:val="center"/>
          </w:tcPr>
          <w:p w14:paraId="1EE38CB9" w14:textId="77777777" w:rsidR="00387C28" w:rsidRPr="00BE78CA" w:rsidRDefault="00387C28" w:rsidP="006946F8">
            <w:pPr>
              <w:pStyle w:val="TableText"/>
              <w:spacing w:before="50" w:after="50"/>
            </w:pPr>
            <w:r w:rsidRPr="00BE78CA">
              <w:rPr>
                <w:rFonts w:eastAsia="Calibri"/>
              </w:rPr>
              <w:t>L1, T1</w:t>
            </w:r>
          </w:p>
        </w:tc>
      </w:tr>
      <w:tr w:rsidR="007B0D79" w:rsidRPr="00BE78CA" w14:paraId="365471A3" w14:textId="77777777" w:rsidTr="00A05410">
        <w:trPr>
          <w:cantSplit/>
        </w:trPr>
        <w:tc>
          <w:tcPr>
            <w:tcW w:w="1133" w:type="dxa"/>
            <w:tcBorders>
              <w:top w:val="single" w:sz="4" w:space="0" w:color="365F91"/>
              <w:left w:val="single" w:sz="4" w:space="0" w:color="FFFFFF"/>
              <w:bottom w:val="single" w:sz="4" w:space="0" w:color="365F91"/>
            </w:tcBorders>
            <w:shd w:val="clear" w:color="auto" w:fill="FFFFFF"/>
            <w:vAlign w:val="center"/>
          </w:tcPr>
          <w:p w14:paraId="2B92B6DE" w14:textId="77777777" w:rsidR="00387C28" w:rsidRPr="00BE78CA" w:rsidRDefault="00387C28" w:rsidP="006946F8">
            <w:pPr>
              <w:pStyle w:val="TableText"/>
              <w:spacing w:before="50" w:after="50"/>
            </w:pPr>
            <w:r w:rsidRPr="00BE78CA">
              <w:rPr>
                <w:rFonts w:eastAsia="Calibri"/>
              </w:rPr>
              <w:t>1.A.4.a</w:t>
            </w:r>
          </w:p>
        </w:tc>
        <w:tc>
          <w:tcPr>
            <w:tcW w:w="5605" w:type="dxa"/>
            <w:gridSpan w:val="2"/>
            <w:tcBorders>
              <w:top w:val="single" w:sz="4" w:space="0" w:color="365F91"/>
              <w:bottom w:val="single" w:sz="4" w:space="0" w:color="365F91"/>
            </w:tcBorders>
            <w:shd w:val="clear" w:color="auto" w:fill="FFFFFF"/>
            <w:vAlign w:val="center"/>
          </w:tcPr>
          <w:p w14:paraId="367E3C57" w14:textId="77777777" w:rsidR="00387C28" w:rsidRPr="00BE78CA" w:rsidRDefault="00387C28" w:rsidP="006946F8">
            <w:pPr>
              <w:pStyle w:val="TableText"/>
              <w:spacing w:before="50" w:after="50"/>
            </w:pPr>
            <w:r w:rsidRPr="00BE78CA">
              <w:rPr>
                <w:rFonts w:eastAsia="Calibri"/>
              </w:rPr>
              <w:t>Other Sectors – Commercial/Institutional Solid Fuels</w:t>
            </w:r>
          </w:p>
        </w:tc>
        <w:tc>
          <w:tcPr>
            <w:tcW w:w="623" w:type="dxa"/>
            <w:tcBorders>
              <w:top w:val="single" w:sz="4" w:space="0" w:color="365F91"/>
              <w:bottom w:val="single" w:sz="4" w:space="0" w:color="365F91"/>
            </w:tcBorders>
            <w:shd w:val="clear" w:color="auto" w:fill="FFFFFF"/>
            <w:vAlign w:val="center"/>
          </w:tcPr>
          <w:p w14:paraId="23DD9958" w14:textId="77777777" w:rsidR="00387C28" w:rsidRPr="00BE78CA" w:rsidRDefault="00387C28" w:rsidP="006946F8">
            <w:pPr>
              <w:pStyle w:val="TableText"/>
              <w:spacing w:before="50" w:after="50"/>
              <w:jc w:val="center"/>
            </w:pPr>
            <w:r w:rsidRPr="00BE78CA">
              <w:rPr>
                <w:rFonts w:eastAsia="Calibri"/>
              </w:rPr>
              <w:t>CO</w:t>
            </w:r>
            <w:r w:rsidRPr="00BE78CA">
              <w:rPr>
                <w:rFonts w:eastAsia="Calibri"/>
                <w:vertAlign w:val="subscript"/>
              </w:rPr>
              <w:t>2</w:t>
            </w:r>
          </w:p>
        </w:tc>
        <w:tc>
          <w:tcPr>
            <w:tcW w:w="1133" w:type="dxa"/>
            <w:tcBorders>
              <w:top w:val="single" w:sz="4" w:space="0" w:color="365F91"/>
              <w:bottom w:val="single" w:sz="4" w:space="0" w:color="365F91"/>
              <w:right w:val="single" w:sz="4" w:space="0" w:color="FFFFFF"/>
            </w:tcBorders>
            <w:shd w:val="clear" w:color="auto" w:fill="FFFFFF"/>
            <w:vAlign w:val="center"/>
          </w:tcPr>
          <w:p w14:paraId="0750803E" w14:textId="77777777" w:rsidR="00387C28" w:rsidRPr="00BE78CA" w:rsidRDefault="00387C28" w:rsidP="006946F8">
            <w:pPr>
              <w:pStyle w:val="TableText"/>
              <w:spacing w:before="50" w:after="50"/>
            </w:pPr>
            <w:r w:rsidRPr="00BE78CA">
              <w:rPr>
                <w:rFonts w:eastAsia="Calibri"/>
              </w:rPr>
              <w:t>T1</w:t>
            </w:r>
          </w:p>
        </w:tc>
      </w:tr>
      <w:tr w:rsidR="007B0D79" w:rsidRPr="00BE78CA" w14:paraId="30337B71" w14:textId="77777777" w:rsidTr="00A05410">
        <w:trPr>
          <w:cantSplit/>
        </w:trPr>
        <w:tc>
          <w:tcPr>
            <w:tcW w:w="1133" w:type="dxa"/>
            <w:tcBorders>
              <w:top w:val="single" w:sz="4" w:space="0" w:color="365F91"/>
              <w:left w:val="single" w:sz="4" w:space="0" w:color="FFFFFF"/>
              <w:bottom w:val="single" w:sz="4" w:space="0" w:color="365F91"/>
            </w:tcBorders>
            <w:shd w:val="clear" w:color="auto" w:fill="FFFFFF"/>
            <w:vAlign w:val="center"/>
          </w:tcPr>
          <w:p w14:paraId="60984D02" w14:textId="77777777" w:rsidR="00387C28" w:rsidRPr="00BE78CA" w:rsidRDefault="00387C28" w:rsidP="006946F8">
            <w:pPr>
              <w:pStyle w:val="TableText"/>
              <w:spacing w:before="50" w:after="50"/>
            </w:pPr>
            <w:r w:rsidRPr="00BE78CA">
              <w:rPr>
                <w:rFonts w:eastAsia="Calibri"/>
              </w:rPr>
              <w:t>1.A.4.b</w:t>
            </w:r>
          </w:p>
        </w:tc>
        <w:tc>
          <w:tcPr>
            <w:tcW w:w="5605" w:type="dxa"/>
            <w:gridSpan w:val="2"/>
            <w:tcBorders>
              <w:top w:val="single" w:sz="4" w:space="0" w:color="365F91"/>
              <w:bottom w:val="single" w:sz="4" w:space="0" w:color="365F91"/>
            </w:tcBorders>
            <w:shd w:val="clear" w:color="auto" w:fill="FFFFFF"/>
            <w:vAlign w:val="center"/>
          </w:tcPr>
          <w:p w14:paraId="4DCF3AEA" w14:textId="77777777" w:rsidR="00387C28" w:rsidRPr="00BE78CA" w:rsidRDefault="00387C28" w:rsidP="006946F8">
            <w:pPr>
              <w:pStyle w:val="TableText"/>
              <w:spacing w:before="50" w:after="50"/>
            </w:pPr>
            <w:r w:rsidRPr="00BE78CA">
              <w:rPr>
                <w:rFonts w:eastAsia="Calibri"/>
              </w:rPr>
              <w:t>Other Sectors – Residential Gaseous Fuels</w:t>
            </w:r>
          </w:p>
        </w:tc>
        <w:tc>
          <w:tcPr>
            <w:tcW w:w="623" w:type="dxa"/>
            <w:tcBorders>
              <w:top w:val="single" w:sz="4" w:space="0" w:color="365F91"/>
              <w:bottom w:val="single" w:sz="4" w:space="0" w:color="365F91"/>
            </w:tcBorders>
            <w:shd w:val="clear" w:color="auto" w:fill="FFFFFF"/>
            <w:vAlign w:val="center"/>
          </w:tcPr>
          <w:p w14:paraId="22140025" w14:textId="77777777" w:rsidR="00387C28" w:rsidRPr="00BE78CA" w:rsidRDefault="00387C28" w:rsidP="006946F8">
            <w:pPr>
              <w:pStyle w:val="TableText"/>
              <w:spacing w:before="50" w:after="50"/>
              <w:jc w:val="center"/>
            </w:pPr>
            <w:r w:rsidRPr="00BE78CA">
              <w:rPr>
                <w:rFonts w:eastAsia="Calibri"/>
              </w:rPr>
              <w:t>CO</w:t>
            </w:r>
            <w:r w:rsidRPr="00BE78CA">
              <w:rPr>
                <w:rFonts w:eastAsia="Calibri"/>
                <w:vertAlign w:val="subscript"/>
              </w:rPr>
              <w:t>2</w:t>
            </w:r>
          </w:p>
        </w:tc>
        <w:tc>
          <w:tcPr>
            <w:tcW w:w="1133" w:type="dxa"/>
            <w:tcBorders>
              <w:top w:val="single" w:sz="4" w:space="0" w:color="365F91"/>
              <w:bottom w:val="single" w:sz="4" w:space="0" w:color="365F91"/>
              <w:right w:val="single" w:sz="4" w:space="0" w:color="FFFFFF"/>
            </w:tcBorders>
            <w:shd w:val="clear" w:color="auto" w:fill="FFFFFF"/>
            <w:vAlign w:val="center"/>
          </w:tcPr>
          <w:p w14:paraId="74565CD0" w14:textId="77777777" w:rsidR="00387C28" w:rsidRPr="00BE78CA" w:rsidRDefault="00387C28" w:rsidP="006946F8">
            <w:pPr>
              <w:pStyle w:val="TableText"/>
              <w:spacing w:before="50" w:after="50"/>
            </w:pPr>
            <w:r w:rsidRPr="00BE78CA">
              <w:rPr>
                <w:rFonts w:eastAsia="Calibri"/>
              </w:rPr>
              <w:t>L1, T1</w:t>
            </w:r>
          </w:p>
        </w:tc>
      </w:tr>
      <w:tr w:rsidR="007B0D79" w:rsidRPr="00BE78CA" w14:paraId="6B6D7DBB" w14:textId="77777777" w:rsidTr="00A05410">
        <w:trPr>
          <w:cantSplit/>
        </w:trPr>
        <w:tc>
          <w:tcPr>
            <w:tcW w:w="1133" w:type="dxa"/>
            <w:tcBorders>
              <w:top w:val="single" w:sz="4" w:space="0" w:color="365F91"/>
              <w:left w:val="single" w:sz="4" w:space="0" w:color="FFFFFF"/>
              <w:bottom w:val="single" w:sz="4" w:space="0" w:color="365F91"/>
            </w:tcBorders>
            <w:shd w:val="clear" w:color="auto" w:fill="FFFFFF"/>
            <w:vAlign w:val="center"/>
          </w:tcPr>
          <w:p w14:paraId="42137CD6" w14:textId="77777777" w:rsidR="00387C28" w:rsidRPr="00BE78CA" w:rsidRDefault="00387C28" w:rsidP="006946F8">
            <w:pPr>
              <w:pStyle w:val="TableText"/>
              <w:spacing w:before="50" w:after="50"/>
            </w:pPr>
            <w:r w:rsidRPr="00BE78CA">
              <w:rPr>
                <w:rFonts w:eastAsia="Calibri"/>
              </w:rPr>
              <w:t>1.A.4.b</w:t>
            </w:r>
          </w:p>
        </w:tc>
        <w:tc>
          <w:tcPr>
            <w:tcW w:w="5605" w:type="dxa"/>
            <w:gridSpan w:val="2"/>
            <w:tcBorders>
              <w:top w:val="single" w:sz="4" w:space="0" w:color="365F91"/>
              <w:bottom w:val="single" w:sz="4" w:space="0" w:color="365F91"/>
            </w:tcBorders>
            <w:shd w:val="clear" w:color="auto" w:fill="FFFFFF"/>
            <w:vAlign w:val="center"/>
          </w:tcPr>
          <w:p w14:paraId="00A8EEF8" w14:textId="77777777" w:rsidR="00387C28" w:rsidRPr="00BE78CA" w:rsidRDefault="00387C28" w:rsidP="006946F8">
            <w:pPr>
              <w:pStyle w:val="TableText"/>
              <w:spacing w:before="50" w:after="50"/>
            </w:pPr>
            <w:r w:rsidRPr="00BE78CA">
              <w:rPr>
                <w:rFonts w:eastAsia="Calibri"/>
              </w:rPr>
              <w:t>Other Sectors – Residential Liquid Fuels</w:t>
            </w:r>
          </w:p>
        </w:tc>
        <w:tc>
          <w:tcPr>
            <w:tcW w:w="623" w:type="dxa"/>
            <w:tcBorders>
              <w:top w:val="single" w:sz="4" w:space="0" w:color="365F91"/>
              <w:bottom w:val="single" w:sz="4" w:space="0" w:color="365F91"/>
            </w:tcBorders>
            <w:shd w:val="clear" w:color="auto" w:fill="FFFFFF"/>
            <w:vAlign w:val="center"/>
          </w:tcPr>
          <w:p w14:paraId="6BE44FAC" w14:textId="77777777" w:rsidR="00387C28" w:rsidRPr="00BE78CA" w:rsidRDefault="00387C28" w:rsidP="006946F8">
            <w:pPr>
              <w:pStyle w:val="TableText"/>
              <w:spacing w:before="50" w:after="50"/>
              <w:jc w:val="center"/>
            </w:pPr>
            <w:r w:rsidRPr="00BE78CA">
              <w:rPr>
                <w:rFonts w:eastAsia="Calibri"/>
              </w:rPr>
              <w:t>CO</w:t>
            </w:r>
            <w:r w:rsidRPr="00BE78CA">
              <w:rPr>
                <w:rFonts w:eastAsia="Calibri"/>
                <w:vertAlign w:val="subscript"/>
              </w:rPr>
              <w:t>2</w:t>
            </w:r>
          </w:p>
        </w:tc>
        <w:tc>
          <w:tcPr>
            <w:tcW w:w="1133" w:type="dxa"/>
            <w:tcBorders>
              <w:top w:val="single" w:sz="4" w:space="0" w:color="365F91"/>
              <w:bottom w:val="single" w:sz="4" w:space="0" w:color="365F91"/>
              <w:right w:val="single" w:sz="4" w:space="0" w:color="FFFFFF"/>
            </w:tcBorders>
            <w:shd w:val="clear" w:color="auto" w:fill="FFFFFF"/>
            <w:vAlign w:val="center"/>
          </w:tcPr>
          <w:p w14:paraId="30D16070" w14:textId="77777777" w:rsidR="00387C28" w:rsidRPr="00BE78CA" w:rsidRDefault="00387C28" w:rsidP="006946F8">
            <w:pPr>
              <w:pStyle w:val="TableText"/>
              <w:spacing w:before="50" w:after="50"/>
            </w:pPr>
            <w:r w:rsidRPr="00BE78CA">
              <w:rPr>
                <w:rFonts w:eastAsia="Calibri"/>
              </w:rPr>
              <w:t>L1</w:t>
            </w:r>
          </w:p>
        </w:tc>
      </w:tr>
      <w:tr w:rsidR="007B0D79" w:rsidRPr="00BE78CA" w14:paraId="2968961F" w14:textId="77777777" w:rsidTr="00A05410">
        <w:trPr>
          <w:cantSplit/>
        </w:trPr>
        <w:tc>
          <w:tcPr>
            <w:tcW w:w="1133" w:type="dxa"/>
            <w:tcBorders>
              <w:top w:val="single" w:sz="4" w:space="0" w:color="365F91"/>
              <w:left w:val="single" w:sz="4" w:space="0" w:color="FFFFFF"/>
              <w:bottom w:val="single" w:sz="4" w:space="0" w:color="365F91"/>
            </w:tcBorders>
            <w:shd w:val="clear" w:color="auto" w:fill="FFFFFF"/>
            <w:vAlign w:val="center"/>
          </w:tcPr>
          <w:p w14:paraId="627D4EFD" w14:textId="77777777" w:rsidR="00387C28" w:rsidRPr="00BE78CA" w:rsidRDefault="00387C28" w:rsidP="006946F8">
            <w:pPr>
              <w:pStyle w:val="TableText"/>
              <w:spacing w:before="50" w:after="50"/>
            </w:pPr>
            <w:r w:rsidRPr="00BE78CA">
              <w:rPr>
                <w:rFonts w:eastAsia="Calibri"/>
              </w:rPr>
              <w:t>1.A.4.b</w:t>
            </w:r>
          </w:p>
        </w:tc>
        <w:tc>
          <w:tcPr>
            <w:tcW w:w="5605" w:type="dxa"/>
            <w:gridSpan w:val="2"/>
            <w:tcBorders>
              <w:top w:val="single" w:sz="4" w:space="0" w:color="365F91"/>
              <w:bottom w:val="single" w:sz="4" w:space="0" w:color="365F91"/>
            </w:tcBorders>
            <w:shd w:val="clear" w:color="auto" w:fill="FFFFFF"/>
            <w:vAlign w:val="center"/>
          </w:tcPr>
          <w:p w14:paraId="7C4C3B04" w14:textId="77777777" w:rsidR="00387C28" w:rsidRPr="00BE78CA" w:rsidRDefault="00387C28" w:rsidP="006946F8">
            <w:pPr>
              <w:pStyle w:val="TableText"/>
              <w:spacing w:before="50" w:after="50"/>
            </w:pPr>
            <w:r w:rsidRPr="00BE78CA">
              <w:rPr>
                <w:rFonts w:eastAsia="Calibri"/>
              </w:rPr>
              <w:t>Other Sectors – Residential Solid Fuels</w:t>
            </w:r>
          </w:p>
        </w:tc>
        <w:tc>
          <w:tcPr>
            <w:tcW w:w="623" w:type="dxa"/>
            <w:tcBorders>
              <w:top w:val="single" w:sz="4" w:space="0" w:color="365F91"/>
              <w:bottom w:val="single" w:sz="4" w:space="0" w:color="365F91"/>
            </w:tcBorders>
            <w:shd w:val="clear" w:color="auto" w:fill="FFFFFF"/>
            <w:vAlign w:val="center"/>
          </w:tcPr>
          <w:p w14:paraId="1380F301" w14:textId="77777777" w:rsidR="00387C28" w:rsidRPr="00BE78CA" w:rsidRDefault="00387C28" w:rsidP="006946F8">
            <w:pPr>
              <w:pStyle w:val="TableText"/>
              <w:spacing w:before="50" w:after="50"/>
              <w:jc w:val="center"/>
            </w:pPr>
            <w:r w:rsidRPr="00BE78CA">
              <w:rPr>
                <w:rFonts w:eastAsia="Calibri"/>
              </w:rPr>
              <w:t>CO</w:t>
            </w:r>
            <w:r w:rsidRPr="00BE78CA">
              <w:rPr>
                <w:rFonts w:eastAsia="Calibri"/>
                <w:vertAlign w:val="subscript"/>
              </w:rPr>
              <w:t>2</w:t>
            </w:r>
          </w:p>
        </w:tc>
        <w:tc>
          <w:tcPr>
            <w:tcW w:w="1133" w:type="dxa"/>
            <w:tcBorders>
              <w:top w:val="single" w:sz="4" w:space="0" w:color="365F91"/>
              <w:bottom w:val="single" w:sz="4" w:space="0" w:color="365F91"/>
              <w:right w:val="single" w:sz="4" w:space="0" w:color="FFFFFF"/>
            </w:tcBorders>
            <w:shd w:val="clear" w:color="auto" w:fill="FFFFFF"/>
            <w:vAlign w:val="center"/>
          </w:tcPr>
          <w:p w14:paraId="54F72C3A" w14:textId="77777777" w:rsidR="00387C28" w:rsidRPr="00BE78CA" w:rsidRDefault="00387C28" w:rsidP="006946F8">
            <w:pPr>
              <w:pStyle w:val="TableText"/>
              <w:spacing w:before="50" w:after="50"/>
            </w:pPr>
            <w:r w:rsidRPr="00BE78CA">
              <w:rPr>
                <w:rFonts w:eastAsia="Calibri"/>
              </w:rPr>
              <w:t>T1</w:t>
            </w:r>
          </w:p>
        </w:tc>
      </w:tr>
      <w:tr w:rsidR="007B0D79" w:rsidRPr="00BE78CA" w14:paraId="3AA904B8" w14:textId="77777777" w:rsidTr="00A05410">
        <w:trPr>
          <w:cantSplit/>
        </w:trPr>
        <w:tc>
          <w:tcPr>
            <w:tcW w:w="1133" w:type="dxa"/>
            <w:tcBorders>
              <w:top w:val="single" w:sz="4" w:space="0" w:color="365F91"/>
              <w:left w:val="single" w:sz="4" w:space="0" w:color="FFFFFF"/>
              <w:bottom w:val="single" w:sz="4" w:space="0" w:color="365F91"/>
            </w:tcBorders>
            <w:shd w:val="clear" w:color="auto" w:fill="FFFFFF"/>
            <w:vAlign w:val="center"/>
          </w:tcPr>
          <w:p w14:paraId="2C53F011" w14:textId="77777777" w:rsidR="00387C28" w:rsidRPr="00BE78CA" w:rsidRDefault="00387C28" w:rsidP="006946F8">
            <w:pPr>
              <w:pStyle w:val="TableText"/>
              <w:spacing w:before="50" w:after="50"/>
            </w:pPr>
            <w:r w:rsidRPr="00BE78CA">
              <w:rPr>
                <w:rFonts w:eastAsia="Calibri"/>
              </w:rPr>
              <w:t>1.A.4.c</w:t>
            </w:r>
          </w:p>
        </w:tc>
        <w:tc>
          <w:tcPr>
            <w:tcW w:w="5605" w:type="dxa"/>
            <w:gridSpan w:val="2"/>
            <w:tcBorders>
              <w:top w:val="single" w:sz="4" w:space="0" w:color="365F91"/>
              <w:bottom w:val="single" w:sz="4" w:space="0" w:color="365F91"/>
            </w:tcBorders>
            <w:shd w:val="clear" w:color="auto" w:fill="FFFFFF"/>
            <w:vAlign w:val="center"/>
          </w:tcPr>
          <w:p w14:paraId="2B2D769F" w14:textId="77777777" w:rsidR="00387C28" w:rsidRPr="00BE78CA" w:rsidRDefault="00387C28" w:rsidP="006946F8">
            <w:pPr>
              <w:pStyle w:val="TableText"/>
              <w:spacing w:before="50" w:after="50"/>
            </w:pPr>
            <w:r w:rsidRPr="00BE78CA">
              <w:rPr>
                <w:rFonts w:eastAsia="Calibri"/>
              </w:rPr>
              <w:t>Other Sectors – Agriculture/Forestry/Fishing Liquid Fuels</w:t>
            </w:r>
          </w:p>
        </w:tc>
        <w:tc>
          <w:tcPr>
            <w:tcW w:w="623" w:type="dxa"/>
            <w:tcBorders>
              <w:top w:val="single" w:sz="4" w:space="0" w:color="365F91"/>
              <w:bottom w:val="single" w:sz="4" w:space="0" w:color="365F91"/>
            </w:tcBorders>
            <w:shd w:val="clear" w:color="auto" w:fill="FFFFFF"/>
            <w:vAlign w:val="center"/>
          </w:tcPr>
          <w:p w14:paraId="0A2C7F51" w14:textId="77777777" w:rsidR="00387C28" w:rsidRPr="00BE78CA" w:rsidRDefault="00387C28" w:rsidP="006946F8">
            <w:pPr>
              <w:pStyle w:val="TableText"/>
              <w:spacing w:before="50" w:after="50"/>
              <w:jc w:val="center"/>
            </w:pPr>
            <w:r w:rsidRPr="00BE78CA">
              <w:rPr>
                <w:rFonts w:eastAsia="Calibri"/>
              </w:rPr>
              <w:t>CO</w:t>
            </w:r>
            <w:r w:rsidRPr="00BE78CA">
              <w:rPr>
                <w:rFonts w:eastAsia="Calibri"/>
                <w:vertAlign w:val="subscript"/>
              </w:rPr>
              <w:t>2</w:t>
            </w:r>
          </w:p>
        </w:tc>
        <w:tc>
          <w:tcPr>
            <w:tcW w:w="1133" w:type="dxa"/>
            <w:tcBorders>
              <w:top w:val="single" w:sz="4" w:space="0" w:color="365F91"/>
              <w:bottom w:val="single" w:sz="4" w:space="0" w:color="365F91"/>
              <w:right w:val="single" w:sz="4" w:space="0" w:color="FFFFFF"/>
            </w:tcBorders>
            <w:shd w:val="clear" w:color="auto" w:fill="FFFFFF"/>
            <w:vAlign w:val="center"/>
          </w:tcPr>
          <w:p w14:paraId="681CF9D3" w14:textId="77777777" w:rsidR="00387C28" w:rsidRPr="00BE78CA" w:rsidRDefault="00387C28" w:rsidP="006946F8">
            <w:pPr>
              <w:pStyle w:val="TableText"/>
              <w:spacing w:before="50" w:after="50"/>
            </w:pPr>
            <w:r w:rsidRPr="00BE78CA">
              <w:rPr>
                <w:rFonts w:eastAsia="Calibri"/>
              </w:rPr>
              <w:t>L1, T1</w:t>
            </w:r>
          </w:p>
        </w:tc>
      </w:tr>
      <w:tr w:rsidR="007B0D79" w:rsidRPr="00BE78CA" w14:paraId="51592BDD" w14:textId="77777777" w:rsidTr="00A05410">
        <w:trPr>
          <w:cantSplit/>
        </w:trPr>
        <w:tc>
          <w:tcPr>
            <w:tcW w:w="1133" w:type="dxa"/>
            <w:tcBorders>
              <w:top w:val="single" w:sz="4" w:space="0" w:color="365F91"/>
              <w:left w:val="single" w:sz="4" w:space="0" w:color="FFFFFF"/>
              <w:bottom w:val="single" w:sz="4" w:space="0" w:color="365F91"/>
            </w:tcBorders>
            <w:shd w:val="clear" w:color="auto" w:fill="FFFFFF"/>
            <w:vAlign w:val="center"/>
          </w:tcPr>
          <w:p w14:paraId="0126E45C" w14:textId="77777777" w:rsidR="00387C28" w:rsidRPr="00BE78CA" w:rsidRDefault="00387C28" w:rsidP="006946F8">
            <w:pPr>
              <w:pStyle w:val="TableText"/>
              <w:spacing w:before="50" w:after="50"/>
            </w:pPr>
            <w:r w:rsidRPr="00BE78CA">
              <w:rPr>
                <w:rFonts w:eastAsia="Calibri"/>
              </w:rPr>
              <w:t>1.A.4.c</w:t>
            </w:r>
          </w:p>
        </w:tc>
        <w:tc>
          <w:tcPr>
            <w:tcW w:w="5605" w:type="dxa"/>
            <w:gridSpan w:val="2"/>
            <w:tcBorders>
              <w:top w:val="single" w:sz="4" w:space="0" w:color="365F91"/>
              <w:bottom w:val="single" w:sz="4" w:space="0" w:color="365F91"/>
            </w:tcBorders>
            <w:shd w:val="clear" w:color="auto" w:fill="FFFFFF"/>
            <w:vAlign w:val="center"/>
          </w:tcPr>
          <w:p w14:paraId="4C1344E9" w14:textId="77777777" w:rsidR="00387C28" w:rsidRPr="00BE78CA" w:rsidRDefault="00387C28" w:rsidP="006946F8">
            <w:pPr>
              <w:pStyle w:val="TableText"/>
              <w:spacing w:before="50" w:after="50"/>
            </w:pPr>
            <w:r w:rsidRPr="00BE78CA">
              <w:rPr>
                <w:rFonts w:eastAsia="Calibri"/>
              </w:rPr>
              <w:t>Other Sectors – Agriculture/Forestry/Fishing Solid Fuels</w:t>
            </w:r>
          </w:p>
        </w:tc>
        <w:tc>
          <w:tcPr>
            <w:tcW w:w="623" w:type="dxa"/>
            <w:tcBorders>
              <w:top w:val="single" w:sz="4" w:space="0" w:color="365F91"/>
              <w:bottom w:val="single" w:sz="4" w:space="0" w:color="365F91"/>
            </w:tcBorders>
            <w:shd w:val="clear" w:color="auto" w:fill="FFFFFF"/>
            <w:vAlign w:val="center"/>
          </w:tcPr>
          <w:p w14:paraId="1A476DEC" w14:textId="77777777" w:rsidR="00387C28" w:rsidRPr="00BE78CA" w:rsidRDefault="00387C28" w:rsidP="006946F8">
            <w:pPr>
              <w:pStyle w:val="TableText"/>
              <w:spacing w:before="50" w:after="50"/>
              <w:jc w:val="center"/>
            </w:pPr>
            <w:r w:rsidRPr="00BE78CA">
              <w:rPr>
                <w:rFonts w:eastAsia="Calibri"/>
              </w:rPr>
              <w:t>CO</w:t>
            </w:r>
            <w:r w:rsidRPr="00BE78CA">
              <w:rPr>
                <w:rFonts w:eastAsia="Calibri"/>
                <w:vertAlign w:val="subscript"/>
              </w:rPr>
              <w:t>2</w:t>
            </w:r>
          </w:p>
        </w:tc>
        <w:tc>
          <w:tcPr>
            <w:tcW w:w="1133" w:type="dxa"/>
            <w:tcBorders>
              <w:top w:val="single" w:sz="4" w:space="0" w:color="365F91"/>
              <w:bottom w:val="single" w:sz="4" w:space="0" w:color="365F91"/>
              <w:right w:val="single" w:sz="4" w:space="0" w:color="FFFFFF"/>
            </w:tcBorders>
            <w:shd w:val="clear" w:color="auto" w:fill="FFFFFF"/>
            <w:vAlign w:val="center"/>
          </w:tcPr>
          <w:p w14:paraId="4150BC6B" w14:textId="77777777" w:rsidR="00387C28" w:rsidRPr="00BE78CA" w:rsidRDefault="00387C28" w:rsidP="006946F8">
            <w:pPr>
              <w:pStyle w:val="TableText"/>
              <w:spacing w:before="50" w:after="50"/>
            </w:pPr>
            <w:r w:rsidRPr="00BE78CA">
              <w:rPr>
                <w:rFonts w:eastAsia="Calibri"/>
              </w:rPr>
              <w:t>T1</w:t>
            </w:r>
          </w:p>
        </w:tc>
      </w:tr>
      <w:tr w:rsidR="007B0D79" w:rsidRPr="00BE78CA" w14:paraId="61BFED0D" w14:textId="77777777" w:rsidTr="00A05410">
        <w:trPr>
          <w:cantSplit/>
        </w:trPr>
        <w:tc>
          <w:tcPr>
            <w:tcW w:w="1133" w:type="dxa"/>
            <w:tcBorders>
              <w:top w:val="single" w:sz="4" w:space="0" w:color="365F91"/>
              <w:left w:val="single" w:sz="4" w:space="0" w:color="FFFFFF"/>
              <w:bottom w:val="single" w:sz="4" w:space="0" w:color="365F91"/>
            </w:tcBorders>
            <w:shd w:val="clear" w:color="auto" w:fill="FFFFFF"/>
            <w:vAlign w:val="center"/>
          </w:tcPr>
          <w:p w14:paraId="64F492B4" w14:textId="77777777" w:rsidR="00387C28" w:rsidRPr="00BE78CA" w:rsidRDefault="00387C28" w:rsidP="006946F8">
            <w:pPr>
              <w:pStyle w:val="TableText"/>
              <w:spacing w:before="50" w:after="50"/>
            </w:pPr>
            <w:r w:rsidRPr="00BE78CA">
              <w:rPr>
                <w:rFonts w:eastAsia="Calibri"/>
              </w:rPr>
              <w:t>1.B.1.a.1</w:t>
            </w:r>
          </w:p>
        </w:tc>
        <w:tc>
          <w:tcPr>
            <w:tcW w:w="5605" w:type="dxa"/>
            <w:gridSpan w:val="2"/>
            <w:tcBorders>
              <w:top w:val="single" w:sz="4" w:space="0" w:color="365F91"/>
              <w:bottom w:val="single" w:sz="4" w:space="0" w:color="365F91"/>
            </w:tcBorders>
            <w:shd w:val="clear" w:color="auto" w:fill="FFFFFF"/>
            <w:vAlign w:val="center"/>
          </w:tcPr>
          <w:p w14:paraId="15ACDFEE" w14:textId="77777777" w:rsidR="00387C28" w:rsidRPr="00BE78CA" w:rsidRDefault="00387C28" w:rsidP="006946F8">
            <w:pPr>
              <w:pStyle w:val="TableText"/>
              <w:spacing w:before="50" w:after="50"/>
            </w:pPr>
            <w:r w:rsidRPr="00BE78CA">
              <w:rPr>
                <w:rFonts w:eastAsia="Calibri"/>
              </w:rPr>
              <w:t>Coal Mining and Handling – Underground Mines</w:t>
            </w:r>
          </w:p>
        </w:tc>
        <w:tc>
          <w:tcPr>
            <w:tcW w:w="623" w:type="dxa"/>
            <w:tcBorders>
              <w:top w:val="single" w:sz="4" w:space="0" w:color="365F91"/>
              <w:bottom w:val="single" w:sz="4" w:space="0" w:color="365F91"/>
            </w:tcBorders>
            <w:shd w:val="clear" w:color="auto" w:fill="FFFFFF"/>
            <w:vAlign w:val="center"/>
          </w:tcPr>
          <w:p w14:paraId="24176D74" w14:textId="77777777" w:rsidR="00387C28" w:rsidRPr="00BE78CA" w:rsidRDefault="00387C28" w:rsidP="006946F8">
            <w:pPr>
              <w:pStyle w:val="TableText"/>
              <w:spacing w:before="50" w:after="50"/>
              <w:jc w:val="center"/>
            </w:pPr>
            <w:r w:rsidRPr="00BE78CA">
              <w:rPr>
                <w:rFonts w:eastAsia="Calibri"/>
              </w:rPr>
              <w:t>CH</w:t>
            </w:r>
            <w:r w:rsidRPr="00BE78CA">
              <w:rPr>
                <w:rFonts w:eastAsia="Calibri"/>
                <w:vertAlign w:val="subscript"/>
              </w:rPr>
              <w:t>4</w:t>
            </w:r>
          </w:p>
        </w:tc>
        <w:tc>
          <w:tcPr>
            <w:tcW w:w="1133" w:type="dxa"/>
            <w:tcBorders>
              <w:top w:val="single" w:sz="4" w:space="0" w:color="365F91"/>
              <w:bottom w:val="single" w:sz="4" w:space="0" w:color="365F91"/>
              <w:right w:val="single" w:sz="4" w:space="0" w:color="FFFFFF"/>
            </w:tcBorders>
            <w:shd w:val="clear" w:color="auto" w:fill="FFFFFF"/>
            <w:vAlign w:val="center"/>
          </w:tcPr>
          <w:p w14:paraId="31CEB343" w14:textId="77777777" w:rsidR="00387C28" w:rsidRPr="00BE78CA" w:rsidRDefault="00387C28" w:rsidP="006946F8">
            <w:pPr>
              <w:pStyle w:val="TableText"/>
              <w:spacing w:before="50" w:after="50"/>
            </w:pPr>
            <w:r w:rsidRPr="00BE78CA">
              <w:rPr>
                <w:rFonts w:eastAsia="Calibri"/>
              </w:rPr>
              <w:t>T1</w:t>
            </w:r>
          </w:p>
        </w:tc>
      </w:tr>
      <w:tr w:rsidR="007B0D79" w:rsidRPr="00BE78CA" w14:paraId="65FEFF40" w14:textId="77777777" w:rsidTr="00A05410">
        <w:trPr>
          <w:cantSplit/>
        </w:trPr>
        <w:tc>
          <w:tcPr>
            <w:tcW w:w="1133" w:type="dxa"/>
            <w:tcBorders>
              <w:top w:val="single" w:sz="4" w:space="0" w:color="365F91"/>
              <w:left w:val="single" w:sz="4" w:space="0" w:color="FFFFFF"/>
              <w:bottom w:val="single" w:sz="4" w:space="0" w:color="365F91"/>
            </w:tcBorders>
            <w:shd w:val="clear" w:color="auto" w:fill="FFFFFF"/>
            <w:vAlign w:val="center"/>
          </w:tcPr>
          <w:p w14:paraId="1AF5F227" w14:textId="77777777" w:rsidR="00387C28" w:rsidRPr="00BE78CA" w:rsidRDefault="00387C28" w:rsidP="006946F8">
            <w:pPr>
              <w:pStyle w:val="TableText"/>
              <w:spacing w:before="50" w:after="50"/>
            </w:pPr>
            <w:r w:rsidRPr="00BE78CA">
              <w:rPr>
                <w:rFonts w:eastAsia="Calibri"/>
              </w:rPr>
              <w:lastRenderedPageBreak/>
              <w:t>1.B.2.b.5</w:t>
            </w:r>
          </w:p>
        </w:tc>
        <w:tc>
          <w:tcPr>
            <w:tcW w:w="5605" w:type="dxa"/>
            <w:gridSpan w:val="2"/>
            <w:tcBorders>
              <w:top w:val="single" w:sz="4" w:space="0" w:color="365F91"/>
              <w:bottom w:val="single" w:sz="4" w:space="0" w:color="365F91"/>
            </w:tcBorders>
            <w:shd w:val="clear" w:color="auto" w:fill="FFFFFF"/>
            <w:vAlign w:val="center"/>
          </w:tcPr>
          <w:p w14:paraId="68578141" w14:textId="77777777" w:rsidR="00387C28" w:rsidRPr="00BE78CA" w:rsidRDefault="00387C28" w:rsidP="006946F8">
            <w:pPr>
              <w:pStyle w:val="TableText"/>
              <w:spacing w:before="50" w:after="50"/>
            </w:pPr>
            <w:r w:rsidRPr="00BE78CA">
              <w:rPr>
                <w:rFonts w:eastAsia="Calibri"/>
              </w:rPr>
              <w:t>Natural Gas – Distribution</w:t>
            </w:r>
          </w:p>
        </w:tc>
        <w:tc>
          <w:tcPr>
            <w:tcW w:w="623" w:type="dxa"/>
            <w:tcBorders>
              <w:top w:val="single" w:sz="4" w:space="0" w:color="365F91"/>
              <w:bottom w:val="single" w:sz="4" w:space="0" w:color="365F91"/>
            </w:tcBorders>
            <w:shd w:val="clear" w:color="auto" w:fill="FFFFFF"/>
            <w:vAlign w:val="center"/>
          </w:tcPr>
          <w:p w14:paraId="00069892" w14:textId="77777777" w:rsidR="00387C28" w:rsidRPr="00BE78CA" w:rsidRDefault="00387C28" w:rsidP="006946F8">
            <w:pPr>
              <w:pStyle w:val="TableText"/>
              <w:spacing w:before="50" w:after="50"/>
              <w:jc w:val="center"/>
            </w:pPr>
            <w:r w:rsidRPr="00BE78CA">
              <w:rPr>
                <w:rFonts w:eastAsia="Calibri"/>
              </w:rPr>
              <w:t>CH</w:t>
            </w:r>
            <w:r w:rsidRPr="00BE78CA">
              <w:rPr>
                <w:rFonts w:eastAsia="Calibri"/>
                <w:vertAlign w:val="subscript"/>
              </w:rPr>
              <w:t>4</w:t>
            </w:r>
          </w:p>
        </w:tc>
        <w:tc>
          <w:tcPr>
            <w:tcW w:w="1133" w:type="dxa"/>
            <w:tcBorders>
              <w:top w:val="single" w:sz="4" w:space="0" w:color="365F91"/>
              <w:bottom w:val="single" w:sz="4" w:space="0" w:color="365F91"/>
              <w:right w:val="single" w:sz="4" w:space="0" w:color="FFFFFF"/>
            </w:tcBorders>
            <w:shd w:val="clear" w:color="auto" w:fill="FFFFFF"/>
            <w:vAlign w:val="center"/>
          </w:tcPr>
          <w:p w14:paraId="1817D97B" w14:textId="77777777" w:rsidR="00387C28" w:rsidRPr="00BE78CA" w:rsidRDefault="00387C28" w:rsidP="006946F8">
            <w:pPr>
              <w:pStyle w:val="TableText"/>
              <w:spacing w:before="50" w:after="50"/>
            </w:pPr>
            <w:r w:rsidRPr="00BE78CA">
              <w:rPr>
                <w:rFonts w:eastAsia="Calibri"/>
              </w:rPr>
              <w:t>L1, T1</w:t>
            </w:r>
          </w:p>
        </w:tc>
      </w:tr>
      <w:tr w:rsidR="007B0D79" w:rsidRPr="00BE78CA" w14:paraId="548BD31A" w14:textId="77777777" w:rsidTr="00A05410">
        <w:trPr>
          <w:cantSplit/>
        </w:trPr>
        <w:tc>
          <w:tcPr>
            <w:tcW w:w="1133" w:type="dxa"/>
            <w:tcBorders>
              <w:top w:val="single" w:sz="4" w:space="0" w:color="365F91"/>
              <w:left w:val="single" w:sz="4" w:space="0" w:color="FFFFFF"/>
              <w:bottom w:val="single" w:sz="4" w:space="0" w:color="365F91"/>
            </w:tcBorders>
            <w:shd w:val="clear" w:color="auto" w:fill="FFFFFF"/>
            <w:vAlign w:val="center"/>
          </w:tcPr>
          <w:p w14:paraId="02933142" w14:textId="77777777" w:rsidR="00387C28" w:rsidRPr="00BE78CA" w:rsidRDefault="00387C28" w:rsidP="006946F8">
            <w:pPr>
              <w:pStyle w:val="TableText"/>
              <w:spacing w:before="50" w:after="50"/>
            </w:pPr>
            <w:r w:rsidRPr="00BE78CA">
              <w:rPr>
                <w:rFonts w:eastAsia="Calibri"/>
              </w:rPr>
              <w:t>1.B.2.c.1.ii</w:t>
            </w:r>
          </w:p>
        </w:tc>
        <w:tc>
          <w:tcPr>
            <w:tcW w:w="5605" w:type="dxa"/>
            <w:gridSpan w:val="2"/>
            <w:tcBorders>
              <w:top w:val="single" w:sz="4" w:space="0" w:color="365F91"/>
              <w:bottom w:val="single" w:sz="4" w:space="0" w:color="365F91"/>
            </w:tcBorders>
            <w:shd w:val="clear" w:color="auto" w:fill="FFFFFF"/>
            <w:vAlign w:val="center"/>
          </w:tcPr>
          <w:p w14:paraId="63D56DAB" w14:textId="77777777" w:rsidR="00387C28" w:rsidRPr="00BE78CA" w:rsidRDefault="00387C28" w:rsidP="006946F8">
            <w:pPr>
              <w:pStyle w:val="TableText"/>
              <w:spacing w:before="50" w:after="50"/>
            </w:pPr>
            <w:r w:rsidRPr="00BE78CA">
              <w:rPr>
                <w:rFonts w:eastAsia="Calibri"/>
              </w:rPr>
              <w:t>Venting – Gas</w:t>
            </w:r>
          </w:p>
        </w:tc>
        <w:tc>
          <w:tcPr>
            <w:tcW w:w="623" w:type="dxa"/>
            <w:tcBorders>
              <w:top w:val="single" w:sz="4" w:space="0" w:color="365F91"/>
              <w:bottom w:val="single" w:sz="4" w:space="0" w:color="365F91"/>
            </w:tcBorders>
            <w:shd w:val="clear" w:color="auto" w:fill="FFFFFF"/>
            <w:vAlign w:val="center"/>
          </w:tcPr>
          <w:p w14:paraId="0DDD17E9" w14:textId="77777777" w:rsidR="00387C28" w:rsidRPr="00BE78CA" w:rsidRDefault="00387C28" w:rsidP="006946F8">
            <w:pPr>
              <w:pStyle w:val="TableText"/>
              <w:spacing w:before="50" w:after="50"/>
              <w:jc w:val="center"/>
            </w:pPr>
            <w:r w:rsidRPr="00BE78CA">
              <w:rPr>
                <w:rFonts w:eastAsia="Calibri"/>
              </w:rPr>
              <w:t>CO</w:t>
            </w:r>
            <w:r w:rsidRPr="00BE78CA">
              <w:rPr>
                <w:rFonts w:eastAsia="Calibri"/>
                <w:vertAlign w:val="subscript"/>
              </w:rPr>
              <w:t>2</w:t>
            </w:r>
          </w:p>
        </w:tc>
        <w:tc>
          <w:tcPr>
            <w:tcW w:w="1133" w:type="dxa"/>
            <w:tcBorders>
              <w:top w:val="single" w:sz="4" w:space="0" w:color="365F91"/>
              <w:bottom w:val="single" w:sz="4" w:space="0" w:color="365F91"/>
              <w:right w:val="single" w:sz="4" w:space="0" w:color="FFFFFF"/>
            </w:tcBorders>
            <w:shd w:val="clear" w:color="auto" w:fill="FFFFFF"/>
            <w:vAlign w:val="center"/>
          </w:tcPr>
          <w:p w14:paraId="75EB0781" w14:textId="77777777" w:rsidR="00387C28" w:rsidRPr="00BE78CA" w:rsidRDefault="00387C28" w:rsidP="006946F8">
            <w:pPr>
              <w:pStyle w:val="TableText"/>
              <w:spacing w:before="50" w:after="50"/>
            </w:pPr>
            <w:r w:rsidRPr="00BE78CA">
              <w:rPr>
                <w:rFonts w:eastAsia="Calibri"/>
              </w:rPr>
              <w:t>L1, T1</w:t>
            </w:r>
          </w:p>
        </w:tc>
      </w:tr>
      <w:tr w:rsidR="007B0D79" w:rsidRPr="00BE78CA" w14:paraId="181E388A" w14:textId="77777777" w:rsidTr="00A05410">
        <w:trPr>
          <w:cantSplit/>
        </w:trPr>
        <w:tc>
          <w:tcPr>
            <w:tcW w:w="1133" w:type="dxa"/>
            <w:tcBorders>
              <w:top w:val="single" w:sz="4" w:space="0" w:color="365F91"/>
              <w:left w:val="single" w:sz="4" w:space="0" w:color="FFFFFF"/>
              <w:bottom w:val="single" w:sz="4" w:space="0" w:color="365F91"/>
            </w:tcBorders>
            <w:shd w:val="clear" w:color="auto" w:fill="FFFFFF"/>
            <w:vAlign w:val="center"/>
          </w:tcPr>
          <w:p w14:paraId="132E7460" w14:textId="77777777" w:rsidR="00387C28" w:rsidRPr="00BE78CA" w:rsidRDefault="00387C28" w:rsidP="006946F8">
            <w:pPr>
              <w:pStyle w:val="TableText"/>
              <w:spacing w:before="50" w:after="50"/>
            </w:pPr>
            <w:r w:rsidRPr="00BE78CA">
              <w:rPr>
                <w:rFonts w:eastAsia="Calibri"/>
              </w:rPr>
              <w:t>1.B.2.d</w:t>
            </w:r>
          </w:p>
        </w:tc>
        <w:tc>
          <w:tcPr>
            <w:tcW w:w="5605" w:type="dxa"/>
            <w:gridSpan w:val="2"/>
            <w:tcBorders>
              <w:top w:val="single" w:sz="4" w:space="0" w:color="365F91"/>
              <w:bottom w:val="single" w:sz="4" w:space="0" w:color="365F91"/>
            </w:tcBorders>
            <w:shd w:val="clear" w:color="auto" w:fill="FFFFFF"/>
            <w:vAlign w:val="center"/>
          </w:tcPr>
          <w:p w14:paraId="783337E0" w14:textId="77777777" w:rsidR="00387C28" w:rsidRPr="00BE78CA" w:rsidRDefault="00387C28" w:rsidP="006946F8">
            <w:pPr>
              <w:pStyle w:val="TableText"/>
              <w:spacing w:before="50" w:after="50"/>
            </w:pPr>
            <w:r w:rsidRPr="00BE78CA">
              <w:rPr>
                <w:rFonts w:eastAsia="Calibri"/>
              </w:rPr>
              <w:t>Other (please specify) – Geothermal</w:t>
            </w:r>
          </w:p>
        </w:tc>
        <w:tc>
          <w:tcPr>
            <w:tcW w:w="623" w:type="dxa"/>
            <w:tcBorders>
              <w:top w:val="single" w:sz="4" w:space="0" w:color="365F91"/>
              <w:bottom w:val="single" w:sz="4" w:space="0" w:color="365F91"/>
            </w:tcBorders>
            <w:shd w:val="clear" w:color="auto" w:fill="FFFFFF"/>
            <w:vAlign w:val="center"/>
          </w:tcPr>
          <w:p w14:paraId="5FF384A2" w14:textId="77777777" w:rsidR="00387C28" w:rsidRPr="00BE78CA" w:rsidRDefault="00387C28" w:rsidP="006946F8">
            <w:pPr>
              <w:pStyle w:val="TableText"/>
              <w:spacing w:before="50" w:after="50"/>
              <w:jc w:val="center"/>
            </w:pPr>
          </w:p>
        </w:tc>
        <w:tc>
          <w:tcPr>
            <w:tcW w:w="1133" w:type="dxa"/>
            <w:tcBorders>
              <w:top w:val="single" w:sz="4" w:space="0" w:color="365F91"/>
              <w:bottom w:val="single" w:sz="4" w:space="0" w:color="365F91"/>
              <w:right w:val="single" w:sz="4" w:space="0" w:color="FFFFFF"/>
            </w:tcBorders>
            <w:shd w:val="clear" w:color="auto" w:fill="FFFFFF"/>
            <w:vAlign w:val="center"/>
          </w:tcPr>
          <w:p w14:paraId="1C342939" w14:textId="77777777" w:rsidR="00387C28" w:rsidRPr="00BE78CA" w:rsidRDefault="00387C28" w:rsidP="006946F8">
            <w:pPr>
              <w:pStyle w:val="TableText"/>
              <w:spacing w:before="50" w:after="50"/>
            </w:pPr>
            <w:r w:rsidRPr="00BE78CA">
              <w:rPr>
                <w:rFonts w:eastAsia="Calibri"/>
              </w:rPr>
              <w:t>L1, T1</w:t>
            </w:r>
          </w:p>
        </w:tc>
      </w:tr>
      <w:tr w:rsidR="007B0D79" w:rsidRPr="00BE78CA" w14:paraId="45E667B9" w14:textId="77777777" w:rsidTr="00A05410">
        <w:trPr>
          <w:cantSplit/>
        </w:trPr>
        <w:tc>
          <w:tcPr>
            <w:tcW w:w="1133" w:type="dxa"/>
            <w:tcBorders>
              <w:top w:val="single" w:sz="4" w:space="0" w:color="365F91"/>
              <w:left w:val="single" w:sz="4" w:space="0" w:color="FFFFFF"/>
              <w:bottom w:val="single" w:sz="4" w:space="0" w:color="365F91"/>
            </w:tcBorders>
            <w:shd w:val="clear" w:color="auto" w:fill="FFFFFF"/>
            <w:vAlign w:val="center"/>
          </w:tcPr>
          <w:p w14:paraId="5A6BCEE3" w14:textId="77777777" w:rsidR="00387C28" w:rsidRPr="00BE78CA" w:rsidRDefault="00387C28" w:rsidP="006946F8">
            <w:pPr>
              <w:pStyle w:val="TableTextBold"/>
              <w:spacing w:before="50" w:after="50"/>
              <w:rPr>
                <w:noProof w:val="0"/>
              </w:rPr>
            </w:pPr>
            <w:r w:rsidRPr="00BE78CA">
              <w:rPr>
                <w:rFonts w:eastAsia="Calibri"/>
                <w:noProof w:val="0"/>
              </w:rPr>
              <w:t>IPPU</w:t>
            </w:r>
          </w:p>
        </w:tc>
        <w:tc>
          <w:tcPr>
            <w:tcW w:w="5605" w:type="dxa"/>
            <w:gridSpan w:val="2"/>
            <w:tcBorders>
              <w:top w:val="single" w:sz="4" w:space="0" w:color="365F91"/>
              <w:bottom w:val="single" w:sz="4" w:space="0" w:color="365F91"/>
            </w:tcBorders>
            <w:shd w:val="clear" w:color="auto" w:fill="FFFFFF"/>
            <w:vAlign w:val="center"/>
          </w:tcPr>
          <w:p w14:paraId="74ECC29D" w14:textId="77777777" w:rsidR="00387C28" w:rsidRPr="00BE78CA" w:rsidRDefault="00387C28" w:rsidP="006946F8">
            <w:pPr>
              <w:pStyle w:val="TableTextBold"/>
              <w:spacing w:before="50" w:after="50"/>
              <w:rPr>
                <w:noProof w:val="0"/>
              </w:rPr>
            </w:pPr>
          </w:p>
        </w:tc>
        <w:tc>
          <w:tcPr>
            <w:tcW w:w="623" w:type="dxa"/>
            <w:tcBorders>
              <w:top w:val="single" w:sz="4" w:space="0" w:color="365F91"/>
              <w:bottom w:val="single" w:sz="4" w:space="0" w:color="365F91"/>
            </w:tcBorders>
            <w:shd w:val="clear" w:color="auto" w:fill="FFFFFF"/>
            <w:vAlign w:val="center"/>
          </w:tcPr>
          <w:p w14:paraId="39F2ED4F" w14:textId="77777777" w:rsidR="00387C28" w:rsidRPr="00BE78CA" w:rsidRDefault="00387C28" w:rsidP="006946F8">
            <w:pPr>
              <w:pStyle w:val="TableTextBold"/>
              <w:spacing w:before="50" w:after="50"/>
              <w:jc w:val="center"/>
              <w:rPr>
                <w:noProof w:val="0"/>
              </w:rPr>
            </w:pPr>
          </w:p>
        </w:tc>
        <w:tc>
          <w:tcPr>
            <w:tcW w:w="1133" w:type="dxa"/>
            <w:tcBorders>
              <w:top w:val="single" w:sz="4" w:space="0" w:color="365F91"/>
              <w:bottom w:val="single" w:sz="4" w:space="0" w:color="365F91"/>
              <w:right w:val="single" w:sz="4" w:space="0" w:color="FFFFFF"/>
            </w:tcBorders>
            <w:shd w:val="clear" w:color="auto" w:fill="FFFFFF"/>
            <w:vAlign w:val="center"/>
          </w:tcPr>
          <w:p w14:paraId="3786B54F" w14:textId="77777777" w:rsidR="00387C28" w:rsidRPr="00BE78CA" w:rsidRDefault="00387C28" w:rsidP="006946F8">
            <w:pPr>
              <w:pStyle w:val="TableTextBold"/>
              <w:spacing w:before="50" w:after="50"/>
              <w:rPr>
                <w:noProof w:val="0"/>
              </w:rPr>
            </w:pPr>
          </w:p>
        </w:tc>
      </w:tr>
      <w:tr w:rsidR="007B0D79" w:rsidRPr="00BE78CA" w14:paraId="788C2D04" w14:textId="77777777" w:rsidTr="00A05410">
        <w:trPr>
          <w:cantSplit/>
        </w:trPr>
        <w:tc>
          <w:tcPr>
            <w:tcW w:w="1133" w:type="dxa"/>
            <w:tcBorders>
              <w:top w:val="single" w:sz="4" w:space="0" w:color="365F91"/>
              <w:left w:val="single" w:sz="4" w:space="0" w:color="FFFFFF"/>
              <w:bottom w:val="single" w:sz="4" w:space="0" w:color="365F91"/>
            </w:tcBorders>
            <w:shd w:val="clear" w:color="auto" w:fill="FFFFFF"/>
            <w:vAlign w:val="center"/>
          </w:tcPr>
          <w:p w14:paraId="3325FDBF" w14:textId="77777777" w:rsidR="00387C28" w:rsidRPr="00BE78CA" w:rsidRDefault="00387C28" w:rsidP="006946F8">
            <w:pPr>
              <w:pStyle w:val="TableText"/>
              <w:spacing w:before="50" w:after="50"/>
            </w:pPr>
            <w:r w:rsidRPr="00BE78CA">
              <w:rPr>
                <w:rFonts w:eastAsia="Calibri"/>
              </w:rPr>
              <w:t>2.A.1</w:t>
            </w:r>
          </w:p>
        </w:tc>
        <w:tc>
          <w:tcPr>
            <w:tcW w:w="5605" w:type="dxa"/>
            <w:gridSpan w:val="2"/>
            <w:tcBorders>
              <w:top w:val="single" w:sz="4" w:space="0" w:color="365F91"/>
              <w:bottom w:val="single" w:sz="4" w:space="0" w:color="365F91"/>
            </w:tcBorders>
            <w:shd w:val="clear" w:color="auto" w:fill="FFFFFF"/>
            <w:vAlign w:val="center"/>
          </w:tcPr>
          <w:p w14:paraId="5384648C" w14:textId="77777777" w:rsidR="00387C28" w:rsidRPr="00BE78CA" w:rsidRDefault="00387C28" w:rsidP="006946F8">
            <w:pPr>
              <w:pStyle w:val="TableText"/>
              <w:spacing w:before="50" w:after="50"/>
            </w:pPr>
            <w:r w:rsidRPr="00BE78CA">
              <w:rPr>
                <w:rFonts w:eastAsia="Calibri"/>
              </w:rPr>
              <w:t>Mineral Industry – Cement Production</w:t>
            </w:r>
          </w:p>
        </w:tc>
        <w:tc>
          <w:tcPr>
            <w:tcW w:w="623" w:type="dxa"/>
            <w:tcBorders>
              <w:top w:val="single" w:sz="4" w:space="0" w:color="365F91"/>
              <w:bottom w:val="single" w:sz="4" w:space="0" w:color="365F91"/>
            </w:tcBorders>
            <w:shd w:val="clear" w:color="auto" w:fill="FFFFFF"/>
            <w:vAlign w:val="center"/>
          </w:tcPr>
          <w:p w14:paraId="191238BC" w14:textId="77777777" w:rsidR="00387C28" w:rsidRPr="00BE78CA" w:rsidRDefault="00387C28" w:rsidP="006946F8">
            <w:pPr>
              <w:pStyle w:val="TableText"/>
              <w:spacing w:before="50" w:after="50"/>
              <w:jc w:val="center"/>
            </w:pPr>
            <w:r w:rsidRPr="00BE78CA">
              <w:rPr>
                <w:rFonts w:eastAsia="Calibri"/>
              </w:rPr>
              <w:t>CO</w:t>
            </w:r>
            <w:r w:rsidRPr="00BE78CA">
              <w:rPr>
                <w:rFonts w:eastAsia="Calibri"/>
                <w:vertAlign w:val="subscript"/>
              </w:rPr>
              <w:t>2</w:t>
            </w:r>
          </w:p>
        </w:tc>
        <w:tc>
          <w:tcPr>
            <w:tcW w:w="1133" w:type="dxa"/>
            <w:tcBorders>
              <w:top w:val="single" w:sz="4" w:space="0" w:color="365F91"/>
              <w:bottom w:val="single" w:sz="4" w:space="0" w:color="365F91"/>
              <w:right w:val="single" w:sz="4" w:space="0" w:color="FFFFFF"/>
            </w:tcBorders>
            <w:shd w:val="clear" w:color="auto" w:fill="FFFFFF"/>
            <w:vAlign w:val="center"/>
          </w:tcPr>
          <w:p w14:paraId="6B175105" w14:textId="77777777" w:rsidR="00387C28" w:rsidRPr="00BE78CA" w:rsidRDefault="00387C28" w:rsidP="006946F8">
            <w:pPr>
              <w:pStyle w:val="TableText"/>
              <w:spacing w:before="50" w:after="50"/>
            </w:pPr>
            <w:r w:rsidRPr="00BE78CA">
              <w:rPr>
                <w:rFonts w:eastAsia="Calibri"/>
              </w:rPr>
              <w:t>L1, T1</w:t>
            </w:r>
          </w:p>
        </w:tc>
      </w:tr>
      <w:tr w:rsidR="007B0D79" w:rsidRPr="00BE78CA" w14:paraId="50847648" w14:textId="77777777" w:rsidTr="00A05410">
        <w:trPr>
          <w:cantSplit/>
        </w:trPr>
        <w:tc>
          <w:tcPr>
            <w:tcW w:w="1133" w:type="dxa"/>
            <w:tcBorders>
              <w:top w:val="single" w:sz="4" w:space="0" w:color="365F91"/>
              <w:left w:val="single" w:sz="4" w:space="0" w:color="FFFFFF"/>
              <w:bottom w:val="single" w:sz="4" w:space="0" w:color="365F91"/>
            </w:tcBorders>
            <w:shd w:val="clear" w:color="auto" w:fill="FFFFFF"/>
            <w:vAlign w:val="center"/>
          </w:tcPr>
          <w:p w14:paraId="34A7EA90" w14:textId="77777777" w:rsidR="00387C28" w:rsidRPr="00BE78CA" w:rsidRDefault="00387C28" w:rsidP="006946F8">
            <w:pPr>
              <w:pStyle w:val="TableText"/>
              <w:spacing w:before="50" w:after="50"/>
            </w:pPr>
            <w:r w:rsidRPr="00BE78CA">
              <w:rPr>
                <w:rFonts w:eastAsia="Calibri"/>
              </w:rPr>
              <w:t>2.C.1</w:t>
            </w:r>
          </w:p>
        </w:tc>
        <w:tc>
          <w:tcPr>
            <w:tcW w:w="5605" w:type="dxa"/>
            <w:gridSpan w:val="2"/>
            <w:tcBorders>
              <w:top w:val="single" w:sz="4" w:space="0" w:color="365F91"/>
              <w:bottom w:val="single" w:sz="4" w:space="0" w:color="365F91"/>
            </w:tcBorders>
            <w:shd w:val="clear" w:color="auto" w:fill="FFFFFF"/>
            <w:vAlign w:val="center"/>
          </w:tcPr>
          <w:p w14:paraId="28DE76BF" w14:textId="77777777" w:rsidR="00387C28" w:rsidRPr="00BE78CA" w:rsidRDefault="00387C28" w:rsidP="006946F8">
            <w:pPr>
              <w:pStyle w:val="TableText"/>
              <w:spacing w:before="50" w:after="50"/>
            </w:pPr>
            <w:r w:rsidRPr="00BE78CA">
              <w:rPr>
                <w:rFonts w:eastAsia="Calibri"/>
              </w:rPr>
              <w:t>Metal Industry – Iron and Steel Production</w:t>
            </w:r>
          </w:p>
        </w:tc>
        <w:tc>
          <w:tcPr>
            <w:tcW w:w="623" w:type="dxa"/>
            <w:tcBorders>
              <w:top w:val="single" w:sz="4" w:space="0" w:color="365F91"/>
              <w:bottom w:val="single" w:sz="4" w:space="0" w:color="365F91"/>
            </w:tcBorders>
            <w:shd w:val="clear" w:color="auto" w:fill="FFFFFF"/>
            <w:vAlign w:val="center"/>
          </w:tcPr>
          <w:p w14:paraId="797E4E75" w14:textId="77777777" w:rsidR="00387C28" w:rsidRPr="00BE78CA" w:rsidRDefault="00387C28" w:rsidP="006946F8">
            <w:pPr>
              <w:pStyle w:val="TableText"/>
              <w:spacing w:before="50" w:after="50"/>
              <w:jc w:val="center"/>
            </w:pPr>
            <w:r w:rsidRPr="00BE78CA">
              <w:rPr>
                <w:rFonts w:eastAsia="Calibri"/>
              </w:rPr>
              <w:t>CO</w:t>
            </w:r>
            <w:r w:rsidRPr="00BE78CA">
              <w:rPr>
                <w:rFonts w:eastAsia="Calibri"/>
                <w:vertAlign w:val="subscript"/>
              </w:rPr>
              <w:t>2</w:t>
            </w:r>
          </w:p>
        </w:tc>
        <w:tc>
          <w:tcPr>
            <w:tcW w:w="1133" w:type="dxa"/>
            <w:tcBorders>
              <w:top w:val="single" w:sz="4" w:space="0" w:color="365F91"/>
              <w:bottom w:val="single" w:sz="4" w:space="0" w:color="365F91"/>
              <w:right w:val="single" w:sz="4" w:space="0" w:color="FFFFFF"/>
            </w:tcBorders>
            <w:shd w:val="clear" w:color="auto" w:fill="FFFFFF"/>
            <w:vAlign w:val="center"/>
          </w:tcPr>
          <w:p w14:paraId="7D94CCDF" w14:textId="77777777" w:rsidR="00387C28" w:rsidRPr="00BE78CA" w:rsidRDefault="00387C28" w:rsidP="006946F8">
            <w:pPr>
              <w:pStyle w:val="TableText"/>
              <w:spacing w:before="50" w:after="50"/>
            </w:pPr>
            <w:r w:rsidRPr="00BE78CA">
              <w:rPr>
                <w:rFonts w:eastAsia="Calibri"/>
              </w:rPr>
              <w:t>L1</w:t>
            </w:r>
          </w:p>
        </w:tc>
      </w:tr>
      <w:tr w:rsidR="007B0D79" w:rsidRPr="00BE78CA" w14:paraId="361558FA" w14:textId="77777777" w:rsidTr="00A05410">
        <w:trPr>
          <w:cantSplit/>
        </w:trPr>
        <w:tc>
          <w:tcPr>
            <w:tcW w:w="1133" w:type="dxa"/>
            <w:tcBorders>
              <w:top w:val="single" w:sz="4" w:space="0" w:color="365F91"/>
              <w:left w:val="single" w:sz="4" w:space="0" w:color="FFFFFF"/>
              <w:bottom w:val="single" w:sz="4" w:space="0" w:color="365F91"/>
            </w:tcBorders>
            <w:shd w:val="clear" w:color="auto" w:fill="FFFFFF"/>
            <w:vAlign w:val="center"/>
          </w:tcPr>
          <w:p w14:paraId="04BA77F5" w14:textId="77777777" w:rsidR="00387C28" w:rsidRPr="00BE78CA" w:rsidRDefault="00387C28" w:rsidP="006946F8">
            <w:pPr>
              <w:pStyle w:val="TableText"/>
              <w:spacing w:before="50" w:after="50"/>
            </w:pPr>
            <w:r w:rsidRPr="00BE78CA">
              <w:rPr>
                <w:rFonts w:eastAsia="Calibri"/>
              </w:rPr>
              <w:t>2.C.3</w:t>
            </w:r>
          </w:p>
        </w:tc>
        <w:tc>
          <w:tcPr>
            <w:tcW w:w="5605" w:type="dxa"/>
            <w:gridSpan w:val="2"/>
            <w:tcBorders>
              <w:top w:val="single" w:sz="4" w:space="0" w:color="365F91"/>
              <w:bottom w:val="single" w:sz="4" w:space="0" w:color="365F91"/>
            </w:tcBorders>
            <w:shd w:val="clear" w:color="auto" w:fill="FFFFFF"/>
            <w:vAlign w:val="center"/>
          </w:tcPr>
          <w:p w14:paraId="0098B6A4" w14:textId="77777777" w:rsidR="00387C28" w:rsidRPr="00BE78CA" w:rsidRDefault="00387C28" w:rsidP="006946F8">
            <w:pPr>
              <w:pStyle w:val="TableText"/>
              <w:spacing w:before="50" w:after="50"/>
            </w:pPr>
            <w:r w:rsidRPr="00BE78CA">
              <w:rPr>
                <w:rFonts w:eastAsia="Calibri"/>
              </w:rPr>
              <w:t>Metal Industry – Aluminium Production</w:t>
            </w:r>
          </w:p>
        </w:tc>
        <w:tc>
          <w:tcPr>
            <w:tcW w:w="623" w:type="dxa"/>
            <w:tcBorders>
              <w:top w:val="single" w:sz="4" w:space="0" w:color="365F91"/>
              <w:bottom w:val="single" w:sz="4" w:space="0" w:color="365F91"/>
            </w:tcBorders>
            <w:shd w:val="clear" w:color="auto" w:fill="FFFFFF"/>
            <w:vAlign w:val="center"/>
          </w:tcPr>
          <w:p w14:paraId="7DA373BD" w14:textId="77777777" w:rsidR="00387C28" w:rsidRPr="00BE78CA" w:rsidRDefault="00387C28" w:rsidP="006946F8">
            <w:pPr>
              <w:pStyle w:val="TableText"/>
              <w:spacing w:before="50" w:after="50"/>
              <w:jc w:val="center"/>
            </w:pPr>
            <w:r w:rsidRPr="00BE78CA">
              <w:rPr>
                <w:rFonts w:eastAsia="Calibri"/>
              </w:rPr>
              <w:t>CO</w:t>
            </w:r>
            <w:r w:rsidRPr="00BE78CA">
              <w:rPr>
                <w:rFonts w:eastAsia="Calibri"/>
                <w:vertAlign w:val="subscript"/>
              </w:rPr>
              <w:t>2</w:t>
            </w:r>
          </w:p>
        </w:tc>
        <w:tc>
          <w:tcPr>
            <w:tcW w:w="1133" w:type="dxa"/>
            <w:tcBorders>
              <w:top w:val="single" w:sz="4" w:space="0" w:color="365F91"/>
              <w:bottom w:val="single" w:sz="4" w:space="0" w:color="365F91"/>
              <w:right w:val="single" w:sz="4" w:space="0" w:color="FFFFFF"/>
            </w:tcBorders>
            <w:shd w:val="clear" w:color="auto" w:fill="FFFFFF"/>
            <w:vAlign w:val="center"/>
          </w:tcPr>
          <w:p w14:paraId="029C026A" w14:textId="77777777" w:rsidR="00387C28" w:rsidRPr="00BE78CA" w:rsidRDefault="00387C28" w:rsidP="006946F8">
            <w:pPr>
              <w:pStyle w:val="TableText"/>
              <w:spacing w:before="50" w:after="50"/>
            </w:pPr>
            <w:r w:rsidRPr="00BE78CA">
              <w:rPr>
                <w:rFonts w:eastAsia="Calibri"/>
              </w:rPr>
              <w:t>L1</w:t>
            </w:r>
          </w:p>
        </w:tc>
      </w:tr>
      <w:tr w:rsidR="007B0D79" w:rsidRPr="00BE78CA" w14:paraId="538F9C53" w14:textId="77777777" w:rsidTr="00A05410">
        <w:trPr>
          <w:cantSplit/>
        </w:trPr>
        <w:tc>
          <w:tcPr>
            <w:tcW w:w="1133" w:type="dxa"/>
            <w:tcBorders>
              <w:top w:val="single" w:sz="4" w:space="0" w:color="365F91"/>
              <w:left w:val="single" w:sz="4" w:space="0" w:color="FFFFFF"/>
              <w:bottom w:val="single" w:sz="4" w:space="0" w:color="365F91"/>
            </w:tcBorders>
            <w:shd w:val="clear" w:color="auto" w:fill="FFFFFF"/>
            <w:vAlign w:val="center"/>
          </w:tcPr>
          <w:p w14:paraId="6C0338B3" w14:textId="77777777" w:rsidR="00387C28" w:rsidRPr="00BE78CA" w:rsidRDefault="00387C28" w:rsidP="006946F8">
            <w:pPr>
              <w:pStyle w:val="TableText"/>
              <w:spacing w:before="50" w:after="50"/>
            </w:pPr>
            <w:r w:rsidRPr="00BE78CA">
              <w:rPr>
                <w:rFonts w:eastAsia="Calibri"/>
              </w:rPr>
              <w:t>2.C.3</w:t>
            </w:r>
          </w:p>
        </w:tc>
        <w:tc>
          <w:tcPr>
            <w:tcW w:w="5605" w:type="dxa"/>
            <w:gridSpan w:val="2"/>
            <w:tcBorders>
              <w:top w:val="single" w:sz="4" w:space="0" w:color="365F91"/>
              <w:bottom w:val="single" w:sz="4" w:space="0" w:color="365F91"/>
            </w:tcBorders>
            <w:shd w:val="clear" w:color="auto" w:fill="FFFFFF"/>
            <w:vAlign w:val="center"/>
          </w:tcPr>
          <w:p w14:paraId="52A31F9D" w14:textId="77777777" w:rsidR="00387C28" w:rsidRPr="00BE78CA" w:rsidRDefault="00387C28" w:rsidP="006946F8">
            <w:pPr>
              <w:pStyle w:val="TableText"/>
              <w:spacing w:before="50" w:after="50"/>
            </w:pPr>
            <w:r w:rsidRPr="00BE78CA">
              <w:rPr>
                <w:rFonts w:eastAsia="Calibri"/>
              </w:rPr>
              <w:t>Metal Industry – Aluminium Production</w:t>
            </w:r>
          </w:p>
        </w:tc>
        <w:tc>
          <w:tcPr>
            <w:tcW w:w="623" w:type="dxa"/>
            <w:tcBorders>
              <w:top w:val="single" w:sz="4" w:space="0" w:color="365F91"/>
              <w:bottom w:val="single" w:sz="4" w:space="0" w:color="365F91"/>
            </w:tcBorders>
            <w:shd w:val="clear" w:color="auto" w:fill="FFFFFF"/>
            <w:vAlign w:val="center"/>
          </w:tcPr>
          <w:p w14:paraId="5700BC26" w14:textId="77777777" w:rsidR="00387C28" w:rsidRPr="00BE78CA" w:rsidRDefault="00387C28" w:rsidP="006946F8">
            <w:pPr>
              <w:pStyle w:val="TableText"/>
              <w:spacing w:before="50" w:after="50"/>
              <w:jc w:val="center"/>
            </w:pPr>
            <w:r w:rsidRPr="00BE78CA">
              <w:rPr>
                <w:rFonts w:eastAsia="Calibri"/>
              </w:rPr>
              <w:t>PFCs</w:t>
            </w:r>
          </w:p>
        </w:tc>
        <w:tc>
          <w:tcPr>
            <w:tcW w:w="1133" w:type="dxa"/>
            <w:tcBorders>
              <w:top w:val="single" w:sz="4" w:space="0" w:color="365F91"/>
              <w:bottom w:val="single" w:sz="4" w:space="0" w:color="365F91"/>
              <w:right w:val="single" w:sz="4" w:space="0" w:color="FFFFFF"/>
            </w:tcBorders>
            <w:shd w:val="clear" w:color="auto" w:fill="FFFFFF"/>
            <w:vAlign w:val="center"/>
          </w:tcPr>
          <w:p w14:paraId="523EF025" w14:textId="77777777" w:rsidR="00387C28" w:rsidRPr="00BE78CA" w:rsidRDefault="00387C28" w:rsidP="006946F8">
            <w:pPr>
              <w:pStyle w:val="TableText"/>
              <w:spacing w:before="50" w:after="50"/>
            </w:pPr>
            <w:r w:rsidRPr="00BE78CA">
              <w:rPr>
                <w:rFonts w:eastAsia="Calibri"/>
              </w:rPr>
              <w:t>T1</w:t>
            </w:r>
          </w:p>
        </w:tc>
      </w:tr>
      <w:tr w:rsidR="007B0D79" w:rsidRPr="00BE78CA" w14:paraId="7F6699DD" w14:textId="77777777" w:rsidTr="00A05410">
        <w:trPr>
          <w:cantSplit/>
        </w:trPr>
        <w:tc>
          <w:tcPr>
            <w:tcW w:w="1133" w:type="dxa"/>
            <w:tcBorders>
              <w:top w:val="single" w:sz="4" w:space="0" w:color="365F91"/>
              <w:left w:val="single" w:sz="4" w:space="0" w:color="FFFFFF"/>
              <w:bottom w:val="single" w:sz="4" w:space="0" w:color="365F91"/>
            </w:tcBorders>
            <w:shd w:val="clear" w:color="auto" w:fill="FFFFFF"/>
            <w:vAlign w:val="center"/>
          </w:tcPr>
          <w:p w14:paraId="476CF0AC" w14:textId="77777777" w:rsidR="00387C28" w:rsidRPr="00BE78CA" w:rsidRDefault="00387C28" w:rsidP="006946F8">
            <w:pPr>
              <w:pStyle w:val="TableText"/>
              <w:spacing w:before="50" w:after="50"/>
            </w:pPr>
            <w:r w:rsidRPr="00BE78CA">
              <w:rPr>
                <w:rFonts w:eastAsia="Calibri"/>
              </w:rPr>
              <w:t>2.F.1</w:t>
            </w:r>
          </w:p>
        </w:tc>
        <w:tc>
          <w:tcPr>
            <w:tcW w:w="5605" w:type="dxa"/>
            <w:gridSpan w:val="2"/>
            <w:tcBorders>
              <w:top w:val="single" w:sz="4" w:space="0" w:color="365F91"/>
              <w:bottom w:val="single" w:sz="4" w:space="0" w:color="365F91"/>
            </w:tcBorders>
            <w:shd w:val="clear" w:color="auto" w:fill="FFFFFF"/>
            <w:vAlign w:val="center"/>
          </w:tcPr>
          <w:p w14:paraId="3959CC21" w14:textId="77777777" w:rsidR="00387C28" w:rsidRPr="00BE78CA" w:rsidRDefault="00387C28" w:rsidP="006946F8">
            <w:pPr>
              <w:pStyle w:val="TableText"/>
              <w:spacing w:before="50" w:after="50"/>
            </w:pPr>
            <w:r w:rsidRPr="00BE78CA">
              <w:rPr>
                <w:rFonts w:eastAsia="Calibri"/>
              </w:rPr>
              <w:t>Product Uses as Substitutes for ODS – Refrigeration and Air conditioning</w:t>
            </w:r>
          </w:p>
        </w:tc>
        <w:tc>
          <w:tcPr>
            <w:tcW w:w="623" w:type="dxa"/>
            <w:tcBorders>
              <w:top w:val="single" w:sz="4" w:space="0" w:color="365F91"/>
              <w:bottom w:val="single" w:sz="4" w:space="0" w:color="365F91"/>
            </w:tcBorders>
            <w:shd w:val="clear" w:color="auto" w:fill="FFFFFF"/>
            <w:vAlign w:val="center"/>
          </w:tcPr>
          <w:p w14:paraId="44F8D911" w14:textId="77777777" w:rsidR="00387C28" w:rsidRPr="00BE78CA" w:rsidRDefault="00387C28" w:rsidP="006946F8">
            <w:pPr>
              <w:pStyle w:val="TableText"/>
              <w:spacing w:before="50" w:after="50"/>
              <w:jc w:val="center"/>
            </w:pPr>
          </w:p>
        </w:tc>
        <w:tc>
          <w:tcPr>
            <w:tcW w:w="1133" w:type="dxa"/>
            <w:tcBorders>
              <w:top w:val="single" w:sz="4" w:space="0" w:color="365F91"/>
              <w:bottom w:val="single" w:sz="4" w:space="0" w:color="365F91"/>
              <w:right w:val="single" w:sz="4" w:space="0" w:color="FFFFFF"/>
            </w:tcBorders>
            <w:shd w:val="clear" w:color="auto" w:fill="FFFFFF"/>
            <w:vAlign w:val="center"/>
          </w:tcPr>
          <w:p w14:paraId="19AC3B2B" w14:textId="77777777" w:rsidR="00387C28" w:rsidRPr="00BE78CA" w:rsidRDefault="00387C28" w:rsidP="006946F8">
            <w:pPr>
              <w:pStyle w:val="TableText"/>
              <w:spacing w:before="50" w:after="50"/>
            </w:pPr>
            <w:r w:rsidRPr="00BE78CA">
              <w:rPr>
                <w:rFonts w:eastAsia="Calibri"/>
              </w:rPr>
              <w:t>L1, T1</w:t>
            </w:r>
          </w:p>
        </w:tc>
      </w:tr>
      <w:tr w:rsidR="007B0D79" w:rsidRPr="00BE78CA" w14:paraId="7021DC25" w14:textId="77777777" w:rsidTr="00A05410">
        <w:trPr>
          <w:cantSplit/>
        </w:trPr>
        <w:tc>
          <w:tcPr>
            <w:tcW w:w="1133" w:type="dxa"/>
            <w:tcBorders>
              <w:top w:val="single" w:sz="4" w:space="0" w:color="365F91"/>
              <w:left w:val="single" w:sz="4" w:space="0" w:color="FFFFFF"/>
              <w:bottom w:val="single" w:sz="4" w:space="0" w:color="365F91"/>
            </w:tcBorders>
            <w:shd w:val="clear" w:color="auto" w:fill="FFFFFF"/>
            <w:vAlign w:val="center"/>
          </w:tcPr>
          <w:p w14:paraId="1E29AACC" w14:textId="77777777" w:rsidR="00387C28" w:rsidRPr="00BE78CA" w:rsidRDefault="00387C28" w:rsidP="006946F8">
            <w:pPr>
              <w:pStyle w:val="TableTextBold"/>
              <w:spacing w:before="50" w:after="50"/>
              <w:rPr>
                <w:noProof w:val="0"/>
              </w:rPr>
            </w:pPr>
            <w:r w:rsidRPr="00BE78CA">
              <w:rPr>
                <w:rFonts w:eastAsia="Calibri"/>
                <w:noProof w:val="0"/>
              </w:rPr>
              <w:t>Agriculture</w:t>
            </w:r>
          </w:p>
        </w:tc>
        <w:tc>
          <w:tcPr>
            <w:tcW w:w="5605" w:type="dxa"/>
            <w:gridSpan w:val="2"/>
            <w:tcBorders>
              <w:top w:val="single" w:sz="4" w:space="0" w:color="365F91"/>
              <w:bottom w:val="single" w:sz="4" w:space="0" w:color="365F91"/>
            </w:tcBorders>
            <w:shd w:val="clear" w:color="auto" w:fill="FFFFFF"/>
            <w:vAlign w:val="center"/>
          </w:tcPr>
          <w:p w14:paraId="3F8A2329" w14:textId="77777777" w:rsidR="00387C28" w:rsidRPr="00BE78CA" w:rsidRDefault="00387C28" w:rsidP="006946F8">
            <w:pPr>
              <w:pStyle w:val="TableTextBold"/>
              <w:spacing w:before="50" w:after="50"/>
              <w:rPr>
                <w:noProof w:val="0"/>
              </w:rPr>
            </w:pPr>
          </w:p>
        </w:tc>
        <w:tc>
          <w:tcPr>
            <w:tcW w:w="623" w:type="dxa"/>
            <w:tcBorders>
              <w:top w:val="single" w:sz="4" w:space="0" w:color="365F91"/>
              <w:bottom w:val="single" w:sz="4" w:space="0" w:color="365F91"/>
            </w:tcBorders>
            <w:shd w:val="clear" w:color="auto" w:fill="FFFFFF"/>
            <w:vAlign w:val="center"/>
          </w:tcPr>
          <w:p w14:paraId="3173A793" w14:textId="77777777" w:rsidR="00387C28" w:rsidRPr="00BE78CA" w:rsidRDefault="00387C28" w:rsidP="006946F8">
            <w:pPr>
              <w:pStyle w:val="TableTextBold"/>
              <w:spacing w:before="50" w:after="50"/>
              <w:jc w:val="center"/>
              <w:rPr>
                <w:noProof w:val="0"/>
              </w:rPr>
            </w:pPr>
          </w:p>
        </w:tc>
        <w:tc>
          <w:tcPr>
            <w:tcW w:w="1133" w:type="dxa"/>
            <w:tcBorders>
              <w:top w:val="single" w:sz="4" w:space="0" w:color="365F91"/>
              <w:bottom w:val="single" w:sz="4" w:space="0" w:color="365F91"/>
              <w:right w:val="single" w:sz="4" w:space="0" w:color="FFFFFF"/>
            </w:tcBorders>
            <w:shd w:val="clear" w:color="auto" w:fill="FFFFFF"/>
            <w:vAlign w:val="center"/>
          </w:tcPr>
          <w:p w14:paraId="3CF07769" w14:textId="77777777" w:rsidR="00387C28" w:rsidRPr="00BE78CA" w:rsidRDefault="00387C28" w:rsidP="006946F8">
            <w:pPr>
              <w:pStyle w:val="TableTextBold"/>
              <w:spacing w:before="50" w:after="50"/>
              <w:rPr>
                <w:noProof w:val="0"/>
              </w:rPr>
            </w:pPr>
          </w:p>
        </w:tc>
      </w:tr>
      <w:tr w:rsidR="007B0D79" w:rsidRPr="00BE78CA" w14:paraId="303CBFA4" w14:textId="77777777" w:rsidTr="00A05410">
        <w:trPr>
          <w:cantSplit/>
        </w:trPr>
        <w:tc>
          <w:tcPr>
            <w:tcW w:w="1133" w:type="dxa"/>
            <w:tcBorders>
              <w:top w:val="single" w:sz="4" w:space="0" w:color="365F91"/>
              <w:left w:val="single" w:sz="4" w:space="0" w:color="FFFFFF"/>
              <w:bottom w:val="single" w:sz="4" w:space="0" w:color="365F91"/>
            </w:tcBorders>
            <w:shd w:val="clear" w:color="auto" w:fill="FFFFFF"/>
            <w:vAlign w:val="center"/>
          </w:tcPr>
          <w:p w14:paraId="5E0771F3" w14:textId="77777777" w:rsidR="00387C28" w:rsidRPr="00BE78CA" w:rsidRDefault="00387C28" w:rsidP="006946F8">
            <w:pPr>
              <w:pStyle w:val="TableText"/>
              <w:spacing w:before="50" w:after="50"/>
            </w:pPr>
            <w:r w:rsidRPr="00BE78CA">
              <w:rPr>
                <w:rFonts w:eastAsia="Calibri"/>
              </w:rPr>
              <w:t>3.A.1</w:t>
            </w:r>
          </w:p>
        </w:tc>
        <w:tc>
          <w:tcPr>
            <w:tcW w:w="5605" w:type="dxa"/>
            <w:gridSpan w:val="2"/>
            <w:tcBorders>
              <w:top w:val="single" w:sz="4" w:space="0" w:color="365F91"/>
              <w:bottom w:val="single" w:sz="4" w:space="0" w:color="365F91"/>
            </w:tcBorders>
            <w:shd w:val="clear" w:color="auto" w:fill="FFFFFF"/>
            <w:vAlign w:val="center"/>
          </w:tcPr>
          <w:p w14:paraId="5EAB5084" w14:textId="77777777" w:rsidR="00387C28" w:rsidRPr="00BE78CA" w:rsidRDefault="00387C28" w:rsidP="006946F8">
            <w:pPr>
              <w:pStyle w:val="TableText"/>
              <w:spacing w:before="50" w:after="50"/>
            </w:pPr>
            <w:r w:rsidRPr="00BE78CA">
              <w:rPr>
                <w:rFonts w:eastAsia="Calibri"/>
              </w:rPr>
              <w:t>Option A – Dairy Cattle</w:t>
            </w:r>
          </w:p>
        </w:tc>
        <w:tc>
          <w:tcPr>
            <w:tcW w:w="623" w:type="dxa"/>
            <w:tcBorders>
              <w:top w:val="single" w:sz="4" w:space="0" w:color="365F91"/>
              <w:bottom w:val="single" w:sz="4" w:space="0" w:color="365F91"/>
            </w:tcBorders>
            <w:shd w:val="clear" w:color="auto" w:fill="FFFFFF"/>
            <w:vAlign w:val="center"/>
          </w:tcPr>
          <w:p w14:paraId="6D3CBE9A" w14:textId="77777777" w:rsidR="00387C28" w:rsidRPr="00BE78CA" w:rsidRDefault="00387C28" w:rsidP="006946F8">
            <w:pPr>
              <w:pStyle w:val="TableText"/>
              <w:spacing w:before="50" w:after="50"/>
              <w:jc w:val="center"/>
            </w:pPr>
            <w:r w:rsidRPr="00BE78CA">
              <w:rPr>
                <w:rFonts w:eastAsia="Calibri"/>
              </w:rPr>
              <w:t>CH</w:t>
            </w:r>
            <w:r w:rsidRPr="00BE78CA">
              <w:rPr>
                <w:rFonts w:eastAsia="Calibri"/>
                <w:vertAlign w:val="subscript"/>
              </w:rPr>
              <w:t>4</w:t>
            </w:r>
          </w:p>
        </w:tc>
        <w:tc>
          <w:tcPr>
            <w:tcW w:w="1133" w:type="dxa"/>
            <w:tcBorders>
              <w:top w:val="single" w:sz="4" w:space="0" w:color="365F91"/>
              <w:bottom w:val="single" w:sz="4" w:space="0" w:color="365F91"/>
              <w:right w:val="single" w:sz="4" w:space="0" w:color="FFFFFF"/>
            </w:tcBorders>
            <w:shd w:val="clear" w:color="auto" w:fill="FFFFFF"/>
            <w:vAlign w:val="center"/>
          </w:tcPr>
          <w:p w14:paraId="4E69144D" w14:textId="77777777" w:rsidR="00387C28" w:rsidRPr="00BE78CA" w:rsidRDefault="00387C28" w:rsidP="006946F8">
            <w:pPr>
              <w:pStyle w:val="TableText"/>
              <w:spacing w:before="50" w:after="50"/>
            </w:pPr>
            <w:r w:rsidRPr="00BE78CA">
              <w:rPr>
                <w:rFonts w:eastAsia="Calibri"/>
              </w:rPr>
              <w:t>L1, T1</w:t>
            </w:r>
          </w:p>
        </w:tc>
      </w:tr>
      <w:tr w:rsidR="007B0D79" w:rsidRPr="00BE78CA" w14:paraId="5F272CD0" w14:textId="77777777" w:rsidTr="00A05410">
        <w:trPr>
          <w:cantSplit/>
        </w:trPr>
        <w:tc>
          <w:tcPr>
            <w:tcW w:w="1133" w:type="dxa"/>
            <w:tcBorders>
              <w:top w:val="single" w:sz="4" w:space="0" w:color="365F91"/>
              <w:left w:val="single" w:sz="4" w:space="0" w:color="FFFFFF"/>
              <w:bottom w:val="single" w:sz="4" w:space="0" w:color="365F91"/>
            </w:tcBorders>
            <w:shd w:val="clear" w:color="auto" w:fill="FFFFFF"/>
            <w:vAlign w:val="center"/>
          </w:tcPr>
          <w:p w14:paraId="2590BF1C" w14:textId="77777777" w:rsidR="00387C28" w:rsidRPr="00BE78CA" w:rsidRDefault="00387C28" w:rsidP="006946F8">
            <w:pPr>
              <w:pStyle w:val="TableText"/>
              <w:spacing w:before="50" w:after="50"/>
            </w:pPr>
            <w:r w:rsidRPr="00BE78CA">
              <w:rPr>
                <w:rFonts w:eastAsia="Calibri"/>
              </w:rPr>
              <w:t>3.A.1</w:t>
            </w:r>
          </w:p>
        </w:tc>
        <w:tc>
          <w:tcPr>
            <w:tcW w:w="5605" w:type="dxa"/>
            <w:gridSpan w:val="2"/>
            <w:tcBorders>
              <w:top w:val="single" w:sz="4" w:space="0" w:color="365F91"/>
              <w:bottom w:val="single" w:sz="4" w:space="0" w:color="365F91"/>
            </w:tcBorders>
            <w:shd w:val="clear" w:color="auto" w:fill="FFFFFF"/>
            <w:vAlign w:val="center"/>
          </w:tcPr>
          <w:p w14:paraId="3D00686B" w14:textId="77777777" w:rsidR="00387C28" w:rsidRPr="00BE78CA" w:rsidRDefault="00387C28" w:rsidP="006946F8">
            <w:pPr>
              <w:pStyle w:val="TableText"/>
              <w:spacing w:before="50" w:after="50"/>
            </w:pPr>
            <w:r w:rsidRPr="00BE78CA">
              <w:rPr>
                <w:rFonts w:eastAsia="Calibri"/>
              </w:rPr>
              <w:t xml:space="preserve">Option A – Non-Dairy </w:t>
            </w:r>
            <w:r w:rsidRPr="00BE78CA">
              <w:rPr>
                <w:rFonts w:eastAsia="Calibri"/>
                <w:i/>
                <w:iCs/>
              </w:rPr>
              <w:t>(Beef)</w:t>
            </w:r>
            <w:r w:rsidRPr="00BE78CA">
              <w:rPr>
                <w:rFonts w:eastAsia="Calibri"/>
              </w:rPr>
              <w:t xml:space="preserve"> Cattle</w:t>
            </w:r>
          </w:p>
        </w:tc>
        <w:tc>
          <w:tcPr>
            <w:tcW w:w="623" w:type="dxa"/>
            <w:tcBorders>
              <w:top w:val="single" w:sz="4" w:space="0" w:color="365F91"/>
              <w:bottom w:val="single" w:sz="4" w:space="0" w:color="365F91"/>
            </w:tcBorders>
            <w:shd w:val="clear" w:color="auto" w:fill="FFFFFF"/>
            <w:vAlign w:val="center"/>
          </w:tcPr>
          <w:p w14:paraId="53B2A324" w14:textId="77777777" w:rsidR="00387C28" w:rsidRPr="00BE78CA" w:rsidRDefault="00387C28" w:rsidP="006946F8">
            <w:pPr>
              <w:pStyle w:val="TableText"/>
              <w:spacing w:before="50" w:after="50"/>
              <w:jc w:val="center"/>
            </w:pPr>
            <w:r w:rsidRPr="00BE78CA">
              <w:rPr>
                <w:rFonts w:eastAsia="Calibri"/>
              </w:rPr>
              <w:t>CH</w:t>
            </w:r>
            <w:r w:rsidRPr="00BE78CA">
              <w:rPr>
                <w:rFonts w:eastAsia="Calibri"/>
                <w:vertAlign w:val="subscript"/>
              </w:rPr>
              <w:t>4</w:t>
            </w:r>
          </w:p>
        </w:tc>
        <w:tc>
          <w:tcPr>
            <w:tcW w:w="1133" w:type="dxa"/>
            <w:tcBorders>
              <w:top w:val="single" w:sz="4" w:space="0" w:color="365F91"/>
              <w:bottom w:val="single" w:sz="4" w:space="0" w:color="365F91"/>
              <w:right w:val="single" w:sz="4" w:space="0" w:color="FFFFFF"/>
            </w:tcBorders>
            <w:shd w:val="clear" w:color="auto" w:fill="FFFFFF"/>
            <w:vAlign w:val="center"/>
          </w:tcPr>
          <w:p w14:paraId="072986DB" w14:textId="77777777" w:rsidR="00387C28" w:rsidRPr="00BE78CA" w:rsidRDefault="00387C28" w:rsidP="006946F8">
            <w:pPr>
              <w:pStyle w:val="TableText"/>
              <w:spacing w:before="50" w:after="50"/>
            </w:pPr>
            <w:r w:rsidRPr="00BE78CA">
              <w:rPr>
                <w:rFonts w:eastAsia="Calibri"/>
              </w:rPr>
              <w:t>L1, T1</w:t>
            </w:r>
          </w:p>
        </w:tc>
      </w:tr>
      <w:tr w:rsidR="007B0D79" w:rsidRPr="00BE78CA" w14:paraId="1AA6D2C2" w14:textId="77777777" w:rsidTr="00A05410">
        <w:trPr>
          <w:cantSplit/>
        </w:trPr>
        <w:tc>
          <w:tcPr>
            <w:tcW w:w="1133" w:type="dxa"/>
            <w:tcBorders>
              <w:top w:val="single" w:sz="4" w:space="0" w:color="365F91"/>
              <w:left w:val="single" w:sz="4" w:space="0" w:color="FFFFFF"/>
              <w:bottom w:val="single" w:sz="4" w:space="0" w:color="365F91"/>
            </w:tcBorders>
            <w:shd w:val="clear" w:color="auto" w:fill="FFFFFF"/>
            <w:vAlign w:val="center"/>
          </w:tcPr>
          <w:p w14:paraId="7CEF1CAC" w14:textId="77777777" w:rsidR="00387C28" w:rsidRPr="00BE78CA" w:rsidRDefault="00387C28" w:rsidP="006946F8">
            <w:pPr>
              <w:pStyle w:val="TableText"/>
              <w:spacing w:before="50" w:after="50"/>
            </w:pPr>
            <w:r w:rsidRPr="00BE78CA">
              <w:rPr>
                <w:rFonts w:eastAsia="Calibri"/>
              </w:rPr>
              <w:t>3.A.2</w:t>
            </w:r>
          </w:p>
        </w:tc>
        <w:tc>
          <w:tcPr>
            <w:tcW w:w="5605" w:type="dxa"/>
            <w:gridSpan w:val="2"/>
            <w:tcBorders>
              <w:top w:val="single" w:sz="4" w:space="0" w:color="365F91"/>
              <w:bottom w:val="single" w:sz="4" w:space="0" w:color="365F91"/>
            </w:tcBorders>
            <w:shd w:val="clear" w:color="auto" w:fill="FFFFFF"/>
            <w:vAlign w:val="center"/>
          </w:tcPr>
          <w:p w14:paraId="7C2BEF03" w14:textId="77777777" w:rsidR="00387C28" w:rsidRPr="00BE78CA" w:rsidRDefault="00387C28" w:rsidP="006946F8">
            <w:pPr>
              <w:pStyle w:val="TableText"/>
              <w:spacing w:before="50" w:after="50"/>
            </w:pPr>
            <w:r w:rsidRPr="00BE78CA">
              <w:rPr>
                <w:rFonts w:eastAsia="Calibri"/>
              </w:rPr>
              <w:t>Other (please specify) – Sheep</w:t>
            </w:r>
          </w:p>
        </w:tc>
        <w:tc>
          <w:tcPr>
            <w:tcW w:w="623" w:type="dxa"/>
            <w:tcBorders>
              <w:top w:val="single" w:sz="4" w:space="0" w:color="365F91"/>
              <w:bottom w:val="single" w:sz="4" w:space="0" w:color="365F91"/>
            </w:tcBorders>
            <w:shd w:val="clear" w:color="auto" w:fill="FFFFFF"/>
            <w:vAlign w:val="center"/>
          </w:tcPr>
          <w:p w14:paraId="3C7D4219" w14:textId="77777777" w:rsidR="00387C28" w:rsidRPr="00BE78CA" w:rsidRDefault="00387C28" w:rsidP="006946F8">
            <w:pPr>
              <w:pStyle w:val="TableText"/>
              <w:spacing w:before="50" w:after="50"/>
              <w:jc w:val="center"/>
            </w:pPr>
            <w:r w:rsidRPr="00BE78CA">
              <w:rPr>
                <w:rFonts w:eastAsia="Calibri"/>
              </w:rPr>
              <w:t>CH</w:t>
            </w:r>
            <w:r w:rsidRPr="00BE78CA">
              <w:rPr>
                <w:rFonts w:eastAsia="Calibri"/>
                <w:vertAlign w:val="subscript"/>
              </w:rPr>
              <w:t>4</w:t>
            </w:r>
          </w:p>
        </w:tc>
        <w:tc>
          <w:tcPr>
            <w:tcW w:w="1133" w:type="dxa"/>
            <w:tcBorders>
              <w:top w:val="single" w:sz="4" w:space="0" w:color="365F91"/>
              <w:bottom w:val="single" w:sz="4" w:space="0" w:color="365F91"/>
              <w:right w:val="single" w:sz="4" w:space="0" w:color="FFFFFF"/>
            </w:tcBorders>
            <w:shd w:val="clear" w:color="auto" w:fill="FFFFFF"/>
            <w:vAlign w:val="center"/>
          </w:tcPr>
          <w:p w14:paraId="2C5D843D" w14:textId="77777777" w:rsidR="00387C28" w:rsidRPr="00BE78CA" w:rsidRDefault="00387C28" w:rsidP="006946F8">
            <w:pPr>
              <w:pStyle w:val="TableText"/>
              <w:spacing w:before="50" w:after="50"/>
            </w:pPr>
            <w:r w:rsidRPr="00BE78CA">
              <w:rPr>
                <w:rFonts w:eastAsia="Calibri"/>
              </w:rPr>
              <w:t>L1, T1</w:t>
            </w:r>
          </w:p>
        </w:tc>
      </w:tr>
      <w:tr w:rsidR="007B0D79" w:rsidRPr="00BE78CA" w14:paraId="3111E2E4" w14:textId="77777777" w:rsidTr="00A05410">
        <w:trPr>
          <w:cantSplit/>
        </w:trPr>
        <w:tc>
          <w:tcPr>
            <w:tcW w:w="1133" w:type="dxa"/>
            <w:tcBorders>
              <w:top w:val="single" w:sz="4" w:space="0" w:color="365F91"/>
              <w:left w:val="single" w:sz="4" w:space="0" w:color="FFFFFF"/>
              <w:bottom w:val="single" w:sz="4" w:space="0" w:color="365F91"/>
            </w:tcBorders>
            <w:shd w:val="clear" w:color="auto" w:fill="FFFFFF"/>
            <w:vAlign w:val="center"/>
          </w:tcPr>
          <w:p w14:paraId="0CF0119B" w14:textId="77777777" w:rsidR="00387C28" w:rsidRPr="00BE78CA" w:rsidRDefault="00387C28" w:rsidP="006946F8">
            <w:pPr>
              <w:pStyle w:val="TableText"/>
              <w:spacing w:before="50" w:after="50"/>
            </w:pPr>
            <w:r w:rsidRPr="00BE78CA">
              <w:rPr>
                <w:rFonts w:eastAsia="Calibri"/>
              </w:rPr>
              <w:t>3.A.4</w:t>
            </w:r>
          </w:p>
        </w:tc>
        <w:tc>
          <w:tcPr>
            <w:tcW w:w="5605" w:type="dxa"/>
            <w:gridSpan w:val="2"/>
            <w:tcBorders>
              <w:top w:val="single" w:sz="4" w:space="0" w:color="365F91"/>
              <w:bottom w:val="single" w:sz="4" w:space="0" w:color="365F91"/>
            </w:tcBorders>
            <w:shd w:val="clear" w:color="auto" w:fill="FFFFFF"/>
            <w:vAlign w:val="center"/>
          </w:tcPr>
          <w:p w14:paraId="70E01277" w14:textId="77777777" w:rsidR="00387C28" w:rsidRPr="00BE78CA" w:rsidRDefault="00387C28" w:rsidP="006946F8">
            <w:pPr>
              <w:pStyle w:val="TableText"/>
              <w:spacing w:before="50" w:after="50"/>
            </w:pPr>
            <w:r w:rsidRPr="00BE78CA">
              <w:rPr>
                <w:rFonts w:eastAsia="Calibri"/>
              </w:rPr>
              <w:t>Other livestock – Deer</w:t>
            </w:r>
          </w:p>
        </w:tc>
        <w:tc>
          <w:tcPr>
            <w:tcW w:w="623" w:type="dxa"/>
            <w:tcBorders>
              <w:top w:val="single" w:sz="4" w:space="0" w:color="365F91"/>
              <w:bottom w:val="single" w:sz="4" w:space="0" w:color="365F91"/>
            </w:tcBorders>
            <w:shd w:val="clear" w:color="auto" w:fill="FFFFFF"/>
            <w:vAlign w:val="center"/>
          </w:tcPr>
          <w:p w14:paraId="5F31510C" w14:textId="77777777" w:rsidR="00387C28" w:rsidRPr="00BE78CA" w:rsidRDefault="00387C28" w:rsidP="006946F8">
            <w:pPr>
              <w:pStyle w:val="TableText"/>
              <w:spacing w:before="50" w:after="50"/>
              <w:jc w:val="center"/>
            </w:pPr>
            <w:r w:rsidRPr="00BE78CA">
              <w:rPr>
                <w:rFonts w:eastAsia="Calibri"/>
              </w:rPr>
              <w:t>CH</w:t>
            </w:r>
            <w:r w:rsidRPr="00BE78CA">
              <w:rPr>
                <w:rFonts w:eastAsia="Calibri"/>
                <w:vertAlign w:val="subscript"/>
              </w:rPr>
              <w:t>4</w:t>
            </w:r>
          </w:p>
        </w:tc>
        <w:tc>
          <w:tcPr>
            <w:tcW w:w="1133" w:type="dxa"/>
            <w:tcBorders>
              <w:top w:val="single" w:sz="4" w:space="0" w:color="365F91"/>
              <w:bottom w:val="single" w:sz="4" w:space="0" w:color="365F91"/>
              <w:right w:val="single" w:sz="4" w:space="0" w:color="FFFFFF"/>
            </w:tcBorders>
            <w:shd w:val="clear" w:color="auto" w:fill="FFFFFF"/>
            <w:vAlign w:val="center"/>
          </w:tcPr>
          <w:p w14:paraId="01FF0FE8" w14:textId="77777777" w:rsidR="00387C28" w:rsidRPr="00BE78CA" w:rsidRDefault="00387C28" w:rsidP="006946F8">
            <w:pPr>
              <w:pStyle w:val="TableText"/>
              <w:spacing w:before="50" w:after="50"/>
            </w:pPr>
            <w:r w:rsidRPr="00BE78CA">
              <w:rPr>
                <w:rFonts w:eastAsia="Calibri"/>
              </w:rPr>
              <w:t>L1</w:t>
            </w:r>
          </w:p>
        </w:tc>
      </w:tr>
      <w:tr w:rsidR="007B0D79" w:rsidRPr="00BE78CA" w14:paraId="07C77FAF" w14:textId="77777777" w:rsidTr="00A05410">
        <w:trPr>
          <w:cantSplit/>
        </w:trPr>
        <w:tc>
          <w:tcPr>
            <w:tcW w:w="1133" w:type="dxa"/>
            <w:tcBorders>
              <w:top w:val="single" w:sz="4" w:space="0" w:color="365F91"/>
              <w:left w:val="single" w:sz="4" w:space="0" w:color="FFFFFF"/>
              <w:bottom w:val="single" w:sz="4" w:space="0" w:color="365F91"/>
            </w:tcBorders>
            <w:shd w:val="clear" w:color="auto" w:fill="FFFFFF"/>
            <w:vAlign w:val="center"/>
          </w:tcPr>
          <w:p w14:paraId="163A13BC" w14:textId="77777777" w:rsidR="00387C28" w:rsidRPr="00BE78CA" w:rsidRDefault="00387C28" w:rsidP="006946F8">
            <w:pPr>
              <w:pStyle w:val="TableText"/>
              <w:spacing w:before="50" w:after="50"/>
            </w:pPr>
            <w:r w:rsidRPr="00BE78CA">
              <w:rPr>
                <w:rFonts w:eastAsia="Calibri"/>
              </w:rPr>
              <w:t>3.A.4</w:t>
            </w:r>
          </w:p>
        </w:tc>
        <w:tc>
          <w:tcPr>
            <w:tcW w:w="5605" w:type="dxa"/>
            <w:gridSpan w:val="2"/>
            <w:tcBorders>
              <w:top w:val="single" w:sz="4" w:space="0" w:color="365F91"/>
              <w:bottom w:val="single" w:sz="4" w:space="0" w:color="365F91"/>
            </w:tcBorders>
            <w:shd w:val="clear" w:color="auto" w:fill="FFFFFF"/>
            <w:vAlign w:val="center"/>
          </w:tcPr>
          <w:p w14:paraId="4D13C1AD" w14:textId="77777777" w:rsidR="00387C28" w:rsidRPr="00BE78CA" w:rsidRDefault="00387C28" w:rsidP="006946F8">
            <w:pPr>
              <w:pStyle w:val="TableText"/>
              <w:spacing w:before="50" w:after="50"/>
            </w:pPr>
            <w:r w:rsidRPr="00BE78CA">
              <w:rPr>
                <w:rFonts w:eastAsia="Calibri"/>
              </w:rPr>
              <w:t>Other livestock – Goats</w:t>
            </w:r>
          </w:p>
        </w:tc>
        <w:tc>
          <w:tcPr>
            <w:tcW w:w="623" w:type="dxa"/>
            <w:tcBorders>
              <w:top w:val="single" w:sz="4" w:space="0" w:color="365F91"/>
              <w:bottom w:val="single" w:sz="4" w:space="0" w:color="365F91"/>
            </w:tcBorders>
            <w:shd w:val="clear" w:color="auto" w:fill="FFFFFF"/>
            <w:vAlign w:val="center"/>
          </w:tcPr>
          <w:p w14:paraId="09F9F466" w14:textId="77777777" w:rsidR="00387C28" w:rsidRPr="00BE78CA" w:rsidRDefault="00387C28" w:rsidP="006946F8">
            <w:pPr>
              <w:pStyle w:val="TableText"/>
              <w:spacing w:before="50" w:after="50"/>
              <w:jc w:val="center"/>
            </w:pPr>
            <w:r w:rsidRPr="00BE78CA">
              <w:rPr>
                <w:rFonts w:eastAsia="Calibri"/>
              </w:rPr>
              <w:t>CH</w:t>
            </w:r>
            <w:r w:rsidRPr="00BE78CA">
              <w:rPr>
                <w:rFonts w:eastAsia="Calibri"/>
                <w:vertAlign w:val="subscript"/>
              </w:rPr>
              <w:t>4</w:t>
            </w:r>
          </w:p>
        </w:tc>
        <w:tc>
          <w:tcPr>
            <w:tcW w:w="1133" w:type="dxa"/>
            <w:tcBorders>
              <w:top w:val="single" w:sz="4" w:space="0" w:color="365F91"/>
              <w:bottom w:val="single" w:sz="4" w:space="0" w:color="365F91"/>
              <w:right w:val="single" w:sz="4" w:space="0" w:color="FFFFFF"/>
            </w:tcBorders>
            <w:shd w:val="clear" w:color="auto" w:fill="FFFFFF"/>
            <w:vAlign w:val="center"/>
          </w:tcPr>
          <w:p w14:paraId="5521ABC5" w14:textId="77777777" w:rsidR="00387C28" w:rsidRPr="00BE78CA" w:rsidRDefault="00387C28" w:rsidP="006946F8">
            <w:pPr>
              <w:pStyle w:val="TableText"/>
              <w:spacing w:before="50" w:after="50"/>
            </w:pPr>
            <w:r w:rsidRPr="00BE78CA">
              <w:rPr>
                <w:rFonts w:eastAsia="Calibri"/>
              </w:rPr>
              <w:t>T1</w:t>
            </w:r>
          </w:p>
        </w:tc>
      </w:tr>
      <w:tr w:rsidR="007B0D79" w:rsidRPr="00BE78CA" w14:paraId="335ACCB2" w14:textId="77777777" w:rsidTr="00A05410">
        <w:trPr>
          <w:cantSplit/>
        </w:trPr>
        <w:tc>
          <w:tcPr>
            <w:tcW w:w="1133" w:type="dxa"/>
            <w:tcBorders>
              <w:top w:val="single" w:sz="4" w:space="0" w:color="365F91"/>
              <w:left w:val="single" w:sz="4" w:space="0" w:color="FFFFFF"/>
              <w:bottom w:val="single" w:sz="4" w:space="0" w:color="365F91"/>
            </w:tcBorders>
            <w:shd w:val="clear" w:color="auto" w:fill="FFFFFF"/>
            <w:vAlign w:val="center"/>
          </w:tcPr>
          <w:p w14:paraId="0B7A0B42" w14:textId="77777777" w:rsidR="00387C28" w:rsidRPr="00BE78CA" w:rsidRDefault="00387C28" w:rsidP="006946F8">
            <w:pPr>
              <w:pStyle w:val="TableText"/>
              <w:spacing w:before="50" w:after="50"/>
            </w:pPr>
            <w:r w:rsidRPr="00BE78CA">
              <w:rPr>
                <w:rFonts w:eastAsia="Calibri"/>
              </w:rPr>
              <w:t>3.B.1.1</w:t>
            </w:r>
          </w:p>
        </w:tc>
        <w:tc>
          <w:tcPr>
            <w:tcW w:w="5605" w:type="dxa"/>
            <w:gridSpan w:val="2"/>
            <w:tcBorders>
              <w:top w:val="single" w:sz="4" w:space="0" w:color="365F91"/>
              <w:bottom w:val="single" w:sz="4" w:space="0" w:color="365F91"/>
            </w:tcBorders>
            <w:shd w:val="clear" w:color="auto" w:fill="FFFFFF"/>
            <w:vAlign w:val="center"/>
          </w:tcPr>
          <w:p w14:paraId="640E9CAB" w14:textId="77777777" w:rsidR="00387C28" w:rsidRPr="00BE78CA" w:rsidRDefault="00387C28" w:rsidP="006946F8">
            <w:pPr>
              <w:pStyle w:val="TableText"/>
              <w:spacing w:before="50" w:after="50"/>
            </w:pPr>
            <w:r w:rsidRPr="00BE78CA">
              <w:rPr>
                <w:rFonts w:eastAsia="Calibri"/>
              </w:rPr>
              <w:t>Option A – Dairy Cattle</w:t>
            </w:r>
          </w:p>
        </w:tc>
        <w:tc>
          <w:tcPr>
            <w:tcW w:w="623" w:type="dxa"/>
            <w:tcBorders>
              <w:top w:val="single" w:sz="4" w:space="0" w:color="365F91"/>
              <w:bottom w:val="single" w:sz="4" w:space="0" w:color="365F91"/>
            </w:tcBorders>
            <w:shd w:val="clear" w:color="auto" w:fill="FFFFFF"/>
            <w:vAlign w:val="center"/>
          </w:tcPr>
          <w:p w14:paraId="1F9D4715" w14:textId="77777777" w:rsidR="00387C28" w:rsidRPr="00BE78CA" w:rsidRDefault="00387C28" w:rsidP="006946F8">
            <w:pPr>
              <w:pStyle w:val="TableText"/>
              <w:spacing w:before="50" w:after="50"/>
              <w:jc w:val="center"/>
            </w:pPr>
            <w:r w:rsidRPr="00BE78CA">
              <w:rPr>
                <w:rFonts w:eastAsia="Calibri"/>
              </w:rPr>
              <w:t>CH</w:t>
            </w:r>
            <w:r w:rsidRPr="00BE78CA">
              <w:rPr>
                <w:rFonts w:eastAsia="Calibri"/>
                <w:vertAlign w:val="subscript"/>
              </w:rPr>
              <w:t>4</w:t>
            </w:r>
          </w:p>
        </w:tc>
        <w:tc>
          <w:tcPr>
            <w:tcW w:w="1133" w:type="dxa"/>
            <w:tcBorders>
              <w:top w:val="single" w:sz="4" w:space="0" w:color="365F91"/>
              <w:bottom w:val="single" w:sz="4" w:space="0" w:color="365F91"/>
              <w:right w:val="single" w:sz="4" w:space="0" w:color="FFFFFF"/>
            </w:tcBorders>
            <w:shd w:val="clear" w:color="auto" w:fill="FFFFFF"/>
            <w:vAlign w:val="center"/>
          </w:tcPr>
          <w:p w14:paraId="6FBCA6E0" w14:textId="77777777" w:rsidR="00387C28" w:rsidRPr="00BE78CA" w:rsidRDefault="00387C28" w:rsidP="006946F8">
            <w:pPr>
              <w:pStyle w:val="TableText"/>
              <w:spacing w:before="50" w:after="50"/>
            </w:pPr>
            <w:r w:rsidRPr="00BE78CA">
              <w:rPr>
                <w:rFonts w:eastAsia="Calibri"/>
              </w:rPr>
              <w:t>L1, T1</w:t>
            </w:r>
          </w:p>
        </w:tc>
      </w:tr>
      <w:tr w:rsidR="007B0D79" w:rsidRPr="00BE78CA" w14:paraId="713C9BF7" w14:textId="77777777" w:rsidTr="00A05410">
        <w:trPr>
          <w:cantSplit/>
        </w:trPr>
        <w:tc>
          <w:tcPr>
            <w:tcW w:w="1133" w:type="dxa"/>
            <w:tcBorders>
              <w:top w:val="single" w:sz="4" w:space="0" w:color="365F91"/>
              <w:left w:val="single" w:sz="4" w:space="0" w:color="FFFFFF"/>
              <w:bottom w:val="single" w:sz="4" w:space="0" w:color="365F91"/>
            </w:tcBorders>
            <w:shd w:val="clear" w:color="auto" w:fill="FFFFFF"/>
            <w:vAlign w:val="center"/>
          </w:tcPr>
          <w:p w14:paraId="3D6BA31A" w14:textId="77777777" w:rsidR="00387C28" w:rsidRPr="00BE78CA" w:rsidRDefault="00387C28" w:rsidP="006946F8">
            <w:pPr>
              <w:pStyle w:val="TableText"/>
              <w:spacing w:before="50" w:after="50"/>
            </w:pPr>
            <w:r w:rsidRPr="00BE78CA">
              <w:rPr>
                <w:rFonts w:eastAsia="Calibri"/>
              </w:rPr>
              <w:t>3.B.1.2</w:t>
            </w:r>
          </w:p>
        </w:tc>
        <w:tc>
          <w:tcPr>
            <w:tcW w:w="5605" w:type="dxa"/>
            <w:gridSpan w:val="2"/>
            <w:tcBorders>
              <w:top w:val="single" w:sz="4" w:space="0" w:color="365F91"/>
              <w:bottom w:val="single" w:sz="4" w:space="0" w:color="365F91"/>
            </w:tcBorders>
            <w:shd w:val="clear" w:color="auto" w:fill="FFFFFF"/>
            <w:vAlign w:val="center"/>
          </w:tcPr>
          <w:p w14:paraId="655CFF80" w14:textId="77777777" w:rsidR="00387C28" w:rsidRPr="00BE78CA" w:rsidRDefault="00387C28" w:rsidP="006946F8">
            <w:pPr>
              <w:pStyle w:val="TableText"/>
              <w:spacing w:before="50" w:after="50"/>
            </w:pPr>
            <w:r w:rsidRPr="00BE78CA">
              <w:rPr>
                <w:rFonts w:eastAsia="Calibri"/>
              </w:rPr>
              <w:t>CH</w:t>
            </w:r>
            <w:r w:rsidRPr="00BE78CA">
              <w:rPr>
                <w:rFonts w:eastAsia="Calibri"/>
                <w:vertAlign w:val="subscript"/>
              </w:rPr>
              <w:t>4</w:t>
            </w:r>
            <w:r w:rsidRPr="00BE78CA">
              <w:rPr>
                <w:rFonts w:eastAsia="Calibri"/>
              </w:rPr>
              <w:t xml:space="preserve"> Emissions – Sheep</w:t>
            </w:r>
          </w:p>
        </w:tc>
        <w:tc>
          <w:tcPr>
            <w:tcW w:w="623" w:type="dxa"/>
            <w:tcBorders>
              <w:top w:val="single" w:sz="4" w:space="0" w:color="365F91"/>
              <w:bottom w:val="single" w:sz="4" w:space="0" w:color="365F91"/>
            </w:tcBorders>
            <w:shd w:val="clear" w:color="auto" w:fill="FFFFFF"/>
            <w:vAlign w:val="center"/>
          </w:tcPr>
          <w:p w14:paraId="3BC2B049" w14:textId="77777777" w:rsidR="00387C28" w:rsidRPr="00BE78CA" w:rsidRDefault="00387C28" w:rsidP="006946F8">
            <w:pPr>
              <w:pStyle w:val="TableText"/>
              <w:spacing w:before="50" w:after="50"/>
              <w:jc w:val="center"/>
            </w:pPr>
            <w:r w:rsidRPr="00BE78CA">
              <w:rPr>
                <w:rFonts w:eastAsia="Calibri"/>
              </w:rPr>
              <w:t>CH</w:t>
            </w:r>
            <w:r w:rsidRPr="00BE78CA">
              <w:rPr>
                <w:rFonts w:eastAsia="Calibri"/>
                <w:vertAlign w:val="subscript"/>
              </w:rPr>
              <w:t>4</w:t>
            </w:r>
          </w:p>
        </w:tc>
        <w:tc>
          <w:tcPr>
            <w:tcW w:w="1133" w:type="dxa"/>
            <w:tcBorders>
              <w:top w:val="single" w:sz="4" w:space="0" w:color="365F91"/>
              <w:bottom w:val="single" w:sz="4" w:space="0" w:color="365F91"/>
              <w:right w:val="single" w:sz="4" w:space="0" w:color="FFFFFF"/>
            </w:tcBorders>
            <w:shd w:val="clear" w:color="auto" w:fill="FFFFFF"/>
            <w:vAlign w:val="center"/>
          </w:tcPr>
          <w:p w14:paraId="36F1B1BE" w14:textId="77777777" w:rsidR="00387C28" w:rsidRPr="00BE78CA" w:rsidRDefault="00387C28" w:rsidP="006946F8">
            <w:pPr>
              <w:pStyle w:val="TableText"/>
              <w:spacing w:before="50" w:after="50"/>
            </w:pPr>
            <w:r w:rsidRPr="00BE78CA">
              <w:rPr>
                <w:rFonts w:eastAsia="Calibri"/>
              </w:rPr>
              <w:t>T1</w:t>
            </w:r>
          </w:p>
        </w:tc>
      </w:tr>
      <w:tr w:rsidR="007B0D79" w:rsidRPr="00BE78CA" w14:paraId="4EEB49DF" w14:textId="77777777" w:rsidTr="00A05410">
        <w:trPr>
          <w:cantSplit/>
        </w:trPr>
        <w:tc>
          <w:tcPr>
            <w:tcW w:w="1133" w:type="dxa"/>
            <w:tcBorders>
              <w:top w:val="single" w:sz="4" w:space="0" w:color="365F91"/>
              <w:left w:val="single" w:sz="4" w:space="0" w:color="FFFFFF"/>
              <w:bottom w:val="single" w:sz="4" w:space="0" w:color="365F91"/>
            </w:tcBorders>
            <w:shd w:val="clear" w:color="auto" w:fill="FFFFFF"/>
            <w:vAlign w:val="center"/>
          </w:tcPr>
          <w:p w14:paraId="3D3839AF" w14:textId="77777777" w:rsidR="00387C28" w:rsidRPr="00BE78CA" w:rsidRDefault="00387C28" w:rsidP="006946F8">
            <w:pPr>
              <w:pStyle w:val="TableText"/>
              <w:spacing w:before="50" w:after="50"/>
            </w:pPr>
            <w:r w:rsidRPr="00BE78CA">
              <w:rPr>
                <w:rFonts w:eastAsia="Calibri"/>
              </w:rPr>
              <w:t>3.D.1.1</w:t>
            </w:r>
          </w:p>
        </w:tc>
        <w:tc>
          <w:tcPr>
            <w:tcW w:w="5605" w:type="dxa"/>
            <w:gridSpan w:val="2"/>
            <w:tcBorders>
              <w:top w:val="single" w:sz="4" w:space="0" w:color="365F91"/>
              <w:bottom w:val="single" w:sz="4" w:space="0" w:color="365F91"/>
            </w:tcBorders>
            <w:shd w:val="clear" w:color="auto" w:fill="FFFFFF"/>
            <w:vAlign w:val="center"/>
          </w:tcPr>
          <w:p w14:paraId="3109B83B" w14:textId="77777777" w:rsidR="00387C28" w:rsidRPr="00BE78CA" w:rsidRDefault="00387C28" w:rsidP="006946F8">
            <w:pPr>
              <w:pStyle w:val="TableText"/>
              <w:spacing w:before="50" w:after="50"/>
            </w:pPr>
            <w:r w:rsidRPr="00BE78CA">
              <w:rPr>
                <w:rFonts w:eastAsia="Calibri"/>
              </w:rPr>
              <w:t>Direct N</w:t>
            </w:r>
            <w:r w:rsidRPr="00BE78CA">
              <w:rPr>
                <w:rFonts w:eastAsia="Calibri"/>
                <w:vertAlign w:val="subscript"/>
              </w:rPr>
              <w:t>2</w:t>
            </w:r>
            <w:r w:rsidRPr="00BE78CA">
              <w:rPr>
                <w:rFonts w:eastAsia="Calibri"/>
              </w:rPr>
              <w:t>O Emissions from Managed Soils – Inorganic N Fertilisers</w:t>
            </w:r>
          </w:p>
        </w:tc>
        <w:tc>
          <w:tcPr>
            <w:tcW w:w="623" w:type="dxa"/>
            <w:tcBorders>
              <w:top w:val="single" w:sz="4" w:space="0" w:color="365F91"/>
              <w:bottom w:val="single" w:sz="4" w:space="0" w:color="365F91"/>
            </w:tcBorders>
            <w:shd w:val="clear" w:color="auto" w:fill="FFFFFF"/>
            <w:vAlign w:val="center"/>
          </w:tcPr>
          <w:p w14:paraId="5CED781D" w14:textId="77777777" w:rsidR="00387C28" w:rsidRPr="00BE78CA" w:rsidRDefault="00387C28" w:rsidP="006946F8">
            <w:pPr>
              <w:pStyle w:val="TableText"/>
              <w:spacing w:before="50" w:after="50"/>
              <w:jc w:val="center"/>
            </w:pPr>
            <w:r w:rsidRPr="00BE78CA">
              <w:rPr>
                <w:rFonts w:eastAsia="Calibri"/>
              </w:rPr>
              <w:t>N</w:t>
            </w:r>
            <w:r w:rsidRPr="00BE78CA">
              <w:rPr>
                <w:rFonts w:eastAsia="Calibri"/>
                <w:vertAlign w:val="subscript"/>
              </w:rPr>
              <w:t>2</w:t>
            </w:r>
            <w:r w:rsidRPr="00BE78CA">
              <w:rPr>
                <w:rFonts w:eastAsia="Calibri"/>
              </w:rPr>
              <w:t>O</w:t>
            </w:r>
          </w:p>
        </w:tc>
        <w:tc>
          <w:tcPr>
            <w:tcW w:w="1133" w:type="dxa"/>
            <w:tcBorders>
              <w:top w:val="single" w:sz="4" w:space="0" w:color="365F91"/>
              <w:bottom w:val="single" w:sz="4" w:space="0" w:color="365F91"/>
              <w:right w:val="single" w:sz="4" w:space="0" w:color="FFFFFF"/>
            </w:tcBorders>
            <w:shd w:val="clear" w:color="auto" w:fill="FFFFFF"/>
            <w:vAlign w:val="center"/>
          </w:tcPr>
          <w:p w14:paraId="1D25D1B8" w14:textId="77777777" w:rsidR="00387C28" w:rsidRPr="00BE78CA" w:rsidRDefault="00387C28" w:rsidP="006946F8">
            <w:pPr>
              <w:pStyle w:val="TableText"/>
              <w:spacing w:before="50" w:after="50"/>
            </w:pPr>
            <w:r w:rsidRPr="00BE78CA">
              <w:rPr>
                <w:rFonts w:eastAsia="Calibri"/>
              </w:rPr>
              <w:t>L1, T1</w:t>
            </w:r>
          </w:p>
        </w:tc>
      </w:tr>
      <w:tr w:rsidR="007B0D79" w:rsidRPr="00BE78CA" w14:paraId="7AC63AA0" w14:textId="77777777" w:rsidTr="00A05410">
        <w:trPr>
          <w:cantSplit/>
        </w:trPr>
        <w:tc>
          <w:tcPr>
            <w:tcW w:w="1133" w:type="dxa"/>
            <w:tcBorders>
              <w:top w:val="single" w:sz="4" w:space="0" w:color="365F91"/>
              <w:left w:val="single" w:sz="4" w:space="0" w:color="FFFFFF"/>
              <w:bottom w:val="single" w:sz="4" w:space="0" w:color="365F91"/>
            </w:tcBorders>
            <w:shd w:val="clear" w:color="auto" w:fill="FFFFFF"/>
            <w:vAlign w:val="center"/>
          </w:tcPr>
          <w:p w14:paraId="337DDB89" w14:textId="77777777" w:rsidR="00387C28" w:rsidRPr="00BE78CA" w:rsidRDefault="00387C28" w:rsidP="006946F8">
            <w:pPr>
              <w:pStyle w:val="TableText"/>
              <w:spacing w:before="50" w:after="50"/>
            </w:pPr>
            <w:r w:rsidRPr="00BE78CA">
              <w:rPr>
                <w:rFonts w:eastAsia="Calibri"/>
              </w:rPr>
              <w:t>3.D.1.3</w:t>
            </w:r>
          </w:p>
        </w:tc>
        <w:tc>
          <w:tcPr>
            <w:tcW w:w="5605" w:type="dxa"/>
            <w:gridSpan w:val="2"/>
            <w:tcBorders>
              <w:top w:val="single" w:sz="4" w:space="0" w:color="365F91"/>
              <w:bottom w:val="single" w:sz="4" w:space="0" w:color="365F91"/>
            </w:tcBorders>
            <w:shd w:val="clear" w:color="auto" w:fill="FFFFFF"/>
            <w:vAlign w:val="center"/>
          </w:tcPr>
          <w:p w14:paraId="7E5BE358" w14:textId="77777777" w:rsidR="00387C28" w:rsidRPr="00BE78CA" w:rsidRDefault="00387C28" w:rsidP="006946F8">
            <w:pPr>
              <w:pStyle w:val="TableText"/>
              <w:spacing w:before="50" w:after="50"/>
            </w:pPr>
            <w:r w:rsidRPr="00BE78CA">
              <w:rPr>
                <w:rFonts w:eastAsia="Calibri"/>
              </w:rPr>
              <w:t>Direct N</w:t>
            </w:r>
            <w:r w:rsidRPr="00BE78CA">
              <w:rPr>
                <w:rFonts w:eastAsia="Calibri"/>
                <w:vertAlign w:val="subscript"/>
              </w:rPr>
              <w:t>2</w:t>
            </w:r>
            <w:r w:rsidRPr="00BE78CA">
              <w:rPr>
                <w:rFonts w:eastAsia="Calibri"/>
              </w:rPr>
              <w:t>O Emissions from Managed Soils – Urine and Dung Deposited by Grazing Animals</w:t>
            </w:r>
          </w:p>
        </w:tc>
        <w:tc>
          <w:tcPr>
            <w:tcW w:w="623" w:type="dxa"/>
            <w:tcBorders>
              <w:top w:val="single" w:sz="4" w:space="0" w:color="365F91"/>
              <w:bottom w:val="single" w:sz="4" w:space="0" w:color="365F91"/>
            </w:tcBorders>
            <w:shd w:val="clear" w:color="auto" w:fill="FFFFFF"/>
            <w:vAlign w:val="center"/>
          </w:tcPr>
          <w:p w14:paraId="262D993C" w14:textId="77777777" w:rsidR="00387C28" w:rsidRPr="00BE78CA" w:rsidRDefault="00387C28" w:rsidP="006946F8">
            <w:pPr>
              <w:pStyle w:val="TableText"/>
              <w:spacing w:before="50" w:after="50"/>
              <w:jc w:val="center"/>
            </w:pPr>
            <w:r w:rsidRPr="00BE78CA">
              <w:rPr>
                <w:rFonts w:eastAsia="Calibri"/>
              </w:rPr>
              <w:t>N</w:t>
            </w:r>
            <w:r w:rsidRPr="00BE78CA">
              <w:rPr>
                <w:rFonts w:eastAsia="Calibri"/>
                <w:vertAlign w:val="subscript"/>
              </w:rPr>
              <w:t>2</w:t>
            </w:r>
            <w:r w:rsidRPr="00BE78CA">
              <w:rPr>
                <w:rFonts w:eastAsia="Calibri"/>
              </w:rPr>
              <w:t>O</w:t>
            </w:r>
          </w:p>
        </w:tc>
        <w:tc>
          <w:tcPr>
            <w:tcW w:w="1133" w:type="dxa"/>
            <w:tcBorders>
              <w:top w:val="single" w:sz="4" w:space="0" w:color="365F91"/>
              <w:bottom w:val="single" w:sz="4" w:space="0" w:color="365F91"/>
              <w:right w:val="single" w:sz="4" w:space="0" w:color="FFFFFF"/>
            </w:tcBorders>
            <w:shd w:val="clear" w:color="auto" w:fill="FFFFFF"/>
            <w:vAlign w:val="center"/>
          </w:tcPr>
          <w:p w14:paraId="3E5C6CC9" w14:textId="77777777" w:rsidR="00387C28" w:rsidRPr="00BE78CA" w:rsidRDefault="00387C28" w:rsidP="006946F8">
            <w:pPr>
              <w:pStyle w:val="TableText"/>
              <w:spacing w:before="50" w:after="50"/>
            </w:pPr>
            <w:r w:rsidRPr="00BE78CA">
              <w:rPr>
                <w:rFonts w:eastAsia="Calibri"/>
              </w:rPr>
              <w:t>L1, T1</w:t>
            </w:r>
          </w:p>
        </w:tc>
      </w:tr>
      <w:tr w:rsidR="007B0D79" w:rsidRPr="00BE78CA" w14:paraId="2948A47E" w14:textId="77777777" w:rsidTr="00A05410">
        <w:trPr>
          <w:cantSplit/>
        </w:trPr>
        <w:tc>
          <w:tcPr>
            <w:tcW w:w="1133" w:type="dxa"/>
            <w:tcBorders>
              <w:top w:val="single" w:sz="4" w:space="0" w:color="365F91"/>
              <w:left w:val="single" w:sz="4" w:space="0" w:color="FFFFFF"/>
              <w:bottom w:val="single" w:sz="4" w:space="0" w:color="365F91"/>
            </w:tcBorders>
            <w:shd w:val="clear" w:color="auto" w:fill="FFFFFF"/>
            <w:vAlign w:val="center"/>
          </w:tcPr>
          <w:p w14:paraId="21C403A3" w14:textId="77777777" w:rsidR="00387C28" w:rsidRPr="00BE78CA" w:rsidRDefault="00387C28" w:rsidP="006946F8">
            <w:pPr>
              <w:pStyle w:val="TableText"/>
              <w:spacing w:before="50" w:after="50"/>
            </w:pPr>
            <w:r w:rsidRPr="00BE78CA">
              <w:rPr>
                <w:rFonts w:eastAsia="Calibri"/>
              </w:rPr>
              <w:t>3.D.1.4</w:t>
            </w:r>
          </w:p>
        </w:tc>
        <w:tc>
          <w:tcPr>
            <w:tcW w:w="5605" w:type="dxa"/>
            <w:gridSpan w:val="2"/>
            <w:tcBorders>
              <w:top w:val="single" w:sz="4" w:space="0" w:color="365F91"/>
              <w:bottom w:val="single" w:sz="4" w:space="0" w:color="365F91"/>
            </w:tcBorders>
            <w:shd w:val="clear" w:color="auto" w:fill="FFFFFF"/>
            <w:vAlign w:val="center"/>
          </w:tcPr>
          <w:p w14:paraId="77CC5343" w14:textId="77777777" w:rsidR="00387C28" w:rsidRPr="00BE78CA" w:rsidRDefault="00387C28" w:rsidP="006946F8">
            <w:pPr>
              <w:pStyle w:val="TableText"/>
              <w:spacing w:before="50" w:after="50"/>
            </w:pPr>
            <w:r w:rsidRPr="00BE78CA">
              <w:rPr>
                <w:rFonts w:eastAsia="Calibri"/>
              </w:rPr>
              <w:t>Direct N</w:t>
            </w:r>
            <w:r w:rsidRPr="00BE78CA">
              <w:rPr>
                <w:rFonts w:eastAsia="Calibri"/>
                <w:vertAlign w:val="subscript"/>
              </w:rPr>
              <w:t>2</w:t>
            </w:r>
            <w:r w:rsidRPr="00BE78CA">
              <w:rPr>
                <w:rFonts w:eastAsia="Calibri"/>
              </w:rPr>
              <w:t>O Emissions from Managed Soils – Crop Residues</w:t>
            </w:r>
          </w:p>
        </w:tc>
        <w:tc>
          <w:tcPr>
            <w:tcW w:w="623" w:type="dxa"/>
            <w:tcBorders>
              <w:top w:val="single" w:sz="4" w:space="0" w:color="365F91"/>
              <w:bottom w:val="single" w:sz="4" w:space="0" w:color="365F91"/>
            </w:tcBorders>
            <w:shd w:val="clear" w:color="auto" w:fill="FFFFFF"/>
            <w:vAlign w:val="center"/>
          </w:tcPr>
          <w:p w14:paraId="74A32361" w14:textId="77777777" w:rsidR="00387C28" w:rsidRPr="00BE78CA" w:rsidRDefault="00387C28" w:rsidP="006946F8">
            <w:pPr>
              <w:pStyle w:val="TableText"/>
              <w:spacing w:before="50" w:after="50"/>
              <w:jc w:val="center"/>
            </w:pPr>
            <w:r w:rsidRPr="00BE78CA">
              <w:rPr>
                <w:rFonts w:eastAsia="Calibri"/>
              </w:rPr>
              <w:t>N</w:t>
            </w:r>
            <w:r w:rsidRPr="00BE78CA">
              <w:rPr>
                <w:rFonts w:eastAsia="Calibri"/>
                <w:vertAlign w:val="subscript"/>
              </w:rPr>
              <w:t>2</w:t>
            </w:r>
            <w:r w:rsidRPr="00BE78CA">
              <w:rPr>
                <w:rFonts w:eastAsia="Calibri"/>
              </w:rPr>
              <w:t>O</w:t>
            </w:r>
          </w:p>
        </w:tc>
        <w:tc>
          <w:tcPr>
            <w:tcW w:w="1133" w:type="dxa"/>
            <w:tcBorders>
              <w:top w:val="single" w:sz="4" w:space="0" w:color="365F91"/>
              <w:bottom w:val="single" w:sz="4" w:space="0" w:color="365F91"/>
              <w:right w:val="single" w:sz="4" w:space="0" w:color="FFFFFF"/>
            </w:tcBorders>
            <w:shd w:val="clear" w:color="auto" w:fill="FFFFFF"/>
            <w:vAlign w:val="center"/>
          </w:tcPr>
          <w:p w14:paraId="31912BC3" w14:textId="77777777" w:rsidR="00387C28" w:rsidRPr="00BE78CA" w:rsidRDefault="00387C28" w:rsidP="006946F8">
            <w:pPr>
              <w:pStyle w:val="TableText"/>
              <w:spacing w:before="50" w:after="50"/>
            </w:pPr>
            <w:r w:rsidRPr="00BE78CA">
              <w:rPr>
                <w:rFonts w:eastAsia="Calibri"/>
              </w:rPr>
              <w:t>L1</w:t>
            </w:r>
          </w:p>
        </w:tc>
      </w:tr>
      <w:tr w:rsidR="007B0D79" w:rsidRPr="00BE78CA" w14:paraId="241A3B8F" w14:textId="77777777" w:rsidTr="00A05410">
        <w:trPr>
          <w:cantSplit/>
        </w:trPr>
        <w:tc>
          <w:tcPr>
            <w:tcW w:w="1133" w:type="dxa"/>
            <w:tcBorders>
              <w:top w:val="single" w:sz="4" w:space="0" w:color="365F91"/>
              <w:left w:val="single" w:sz="4" w:space="0" w:color="FFFFFF"/>
              <w:bottom w:val="single" w:sz="4" w:space="0" w:color="365F91"/>
            </w:tcBorders>
            <w:shd w:val="clear" w:color="auto" w:fill="FFFFFF"/>
            <w:vAlign w:val="center"/>
          </w:tcPr>
          <w:p w14:paraId="62DB48A4" w14:textId="77777777" w:rsidR="00387C28" w:rsidRPr="00BE78CA" w:rsidRDefault="00387C28" w:rsidP="006946F8">
            <w:pPr>
              <w:pStyle w:val="TableText"/>
              <w:spacing w:before="50" w:after="50"/>
            </w:pPr>
            <w:r w:rsidRPr="00BE78CA">
              <w:rPr>
                <w:rFonts w:eastAsia="Calibri"/>
              </w:rPr>
              <w:t>3.D.1.6</w:t>
            </w:r>
          </w:p>
        </w:tc>
        <w:tc>
          <w:tcPr>
            <w:tcW w:w="5605" w:type="dxa"/>
            <w:gridSpan w:val="2"/>
            <w:tcBorders>
              <w:top w:val="single" w:sz="4" w:space="0" w:color="365F91"/>
              <w:bottom w:val="single" w:sz="4" w:space="0" w:color="365F91"/>
            </w:tcBorders>
            <w:shd w:val="clear" w:color="auto" w:fill="FFFFFF"/>
            <w:vAlign w:val="center"/>
          </w:tcPr>
          <w:p w14:paraId="117EB7BD" w14:textId="77777777" w:rsidR="00387C28" w:rsidRPr="00BE78CA" w:rsidRDefault="00387C28" w:rsidP="006946F8">
            <w:pPr>
              <w:pStyle w:val="TableText"/>
              <w:spacing w:before="50" w:after="50"/>
            </w:pPr>
            <w:r w:rsidRPr="00BE78CA">
              <w:rPr>
                <w:rFonts w:eastAsia="Calibri"/>
              </w:rPr>
              <w:t>Direct N</w:t>
            </w:r>
            <w:r w:rsidRPr="00BE78CA">
              <w:rPr>
                <w:rFonts w:eastAsia="Calibri"/>
                <w:vertAlign w:val="subscript"/>
              </w:rPr>
              <w:t>2</w:t>
            </w:r>
            <w:r w:rsidRPr="00BE78CA">
              <w:rPr>
                <w:rFonts w:eastAsia="Calibri"/>
              </w:rPr>
              <w:t>O Emissions from Managed Soils – Cultivation of Organic Soils</w:t>
            </w:r>
          </w:p>
        </w:tc>
        <w:tc>
          <w:tcPr>
            <w:tcW w:w="623" w:type="dxa"/>
            <w:tcBorders>
              <w:top w:val="single" w:sz="4" w:space="0" w:color="365F91"/>
              <w:bottom w:val="single" w:sz="4" w:space="0" w:color="365F91"/>
            </w:tcBorders>
            <w:shd w:val="clear" w:color="auto" w:fill="FFFFFF"/>
            <w:vAlign w:val="center"/>
          </w:tcPr>
          <w:p w14:paraId="455B8050" w14:textId="77777777" w:rsidR="00387C28" w:rsidRPr="00BE78CA" w:rsidRDefault="00387C28" w:rsidP="006946F8">
            <w:pPr>
              <w:pStyle w:val="TableText"/>
              <w:spacing w:before="50" w:after="50"/>
              <w:jc w:val="center"/>
            </w:pPr>
            <w:r w:rsidRPr="00BE78CA">
              <w:rPr>
                <w:rFonts w:eastAsia="Calibri"/>
              </w:rPr>
              <w:t>N</w:t>
            </w:r>
            <w:r w:rsidRPr="00BE78CA">
              <w:rPr>
                <w:rFonts w:eastAsia="Calibri"/>
                <w:vertAlign w:val="subscript"/>
              </w:rPr>
              <w:t>2</w:t>
            </w:r>
            <w:r w:rsidRPr="00BE78CA">
              <w:rPr>
                <w:rFonts w:eastAsia="Calibri"/>
              </w:rPr>
              <w:t>O</w:t>
            </w:r>
          </w:p>
        </w:tc>
        <w:tc>
          <w:tcPr>
            <w:tcW w:w="1133" w:type="dxa"/>
            <w:tcBorders>
              <w:top w:val="single" w:sz="4" w:space="0" w:color="365F91"/>
              <w:bottom w:val="single" w:sz="4" w:space="0" w:color="365F91"/>
              <w:right w:val="single" w:sz="4" w:space="0" w:color="FFFFFF"/>
            </w:tcBorders>
            <w:shd w:val="clear" w:color="auto" w:fill="FFFFFF"/>
            <w:vAlign w:val="center"/>
          </w:tcPr>
          <w:p w14:paraId="62564ECF" w14:textId="77777777" w:rsidR="00387C28" w:rsidRPr="00BE78CA" w:rsidRDefault="00387C28" w:rsidP="006946F8">
            <w:pPr>
              <w:pStyle w:val="TableText"/>
              <w:spacing w:before="50" w:after="50"/>
            </w:pPr>
            <w:r w:rsidRPr="00BE78CA">
              <w:rPr>
                <w:rFonts w:eastAsia="Calibri"/>
              </w:rPr>
              <w:t>L1, T1</w:t>
            </w:r>
          </w:p>
        </w:tc>
      </w:tr>
      <w:tr w:rsidR="007B0D79" w:rsidRPr="00BE78CA" w14:paraId="3A1F2420" w14:textId="77777777" w:rsidTr="00A05410">
        <w:trPr>
          <w:cantSplit/>
        </w:trPr>
        <w:tc>
          <w:tcPr>
            <w:tcW w:w="1133" w:type="dxa"/>
            <w:tcBorders>
              <w:top w:val="single" w:sz="4" w:space="0" w:color="365F91"/>
              <w:left w:val="single" w:sz="4" w:space="0" w:color="FFFFFF"/>
              <w:bottom w:val="single" w:sz="4" w:space="0" w:color="365F91"/>
            </w:tcBorders>
            <w:shd w:val="clear" w:color="auto" w:fill="FFFFFF"/>
            <w:vAlign w:val="center"/>
          </w:tcPr>
          <w:p w14:paraId="1D6BA70E" w14:textId="77777777" w:rsidR="00387C28" w:rsidRPr="00BE78CA" w:rsidRDefault="00387C28" w:rsidP="006946F8">
            <w:pPr>
              <w:pStyle w:val="TableText"/>
              <w:spacing w:before="50" w:after="50"/>
            </w:pPr>
            <w:r w:rsidRPr="00BE78CA">
              <w:rPr>
                <w:rFonts w:eastAsia="Calibri"/>
              </w:rPr>
              <w:t>3.D.2.1</w:t>
            </w:r>
          </w:p>
        </w:tc>
        <w:tc>
          <w:tcPr>
            <w:tcW w:w="5605" w:type="dxa"/>
            <w:gridSpan w:val="2"/>
            <w:tcBorders>
              <w:top w:val="single" w:sz="4" w:space="0" w:color="365F91"/>
              <w:bottom w:val="single" w:sz="4" w:space="0" w:color="365F91"/>
            </w:tcBorders>
            <w:shd w:val="clear" w:color="auto" w:fill="FFFFFF"/>
            <w:vAlign w:val="center"/>
          </w:tcPr>
          <w:p w14:paraId="45F49037" w14:textId="77777777" w:rsidR="00387C28" w:rsidRPr="00BE78CA" w:rsidRDefault="00387C28" w:rsidP="006946F8">
            <w:pPr>
              <w:pStyle w:val="TableText"/>
              <w:spacing w:before="50" w:after="50"/>
            </w:pPr>
            <w:r w:rsidRPr="00BE78CA">
              <w:rPr>
                <w:rFonts w:eastAsia="Calibri"/>
              </w:rPr>
              <w:t>Indirect N</w:t>
            </w:r>
            <w:r w:rsidRPr="00BE78CA">
              <w:rPr>
                <w:rFonts w:eastAsia="Calibri"/>
                <w:vertAlign w:val="subscript"/>
              </w:rPr>
              <w:t>2</w:t>
            </w:r>
            <w:r w:rsidRPr="00BE78CA">
              <w:rPr>
                <w:rFonts w:eastAsia="Calibri"/>
              </w:rPr>
              <w:t>O Emissions from Managed Soils – Atmospheric Deposition</w:t>
            </w:r>
          </w:p>
        </w:tc>
        <w:tc>
          <w:tcPr>
            <w:tcW w:w="623" w:type="dxa"/>
            <w:tcBorders>
              <w:top w:val="single" w:sz="4" w:space="0" w:color="365F91"/>
              <w:bottom w:val="single" w:sz="4" w:space="0" w:color="365F91"/>
            </w:tcBorders>
            <w:shd w:val="clear" w:color="auto" w:fill="FFFFFF"/>
            <w:vAlign w:val="center"/>
          </w:tcPr>
          <w:p w14:paraId="524D566F" w14:textId="77777777" w:rsidR="00387C28" w:rsidRPr="00BE78CA" w:rsidRDefault="00387C28" w:rsidP="006946F8">
            <w:pPr>
              <w:pStyle w:val="TableText"/>
              <w:spacing w:before="50" w:after="50"/>
              <w:jc w:val="center"/>
            </w:pPr>
            <w:r w:rsidRPr="00BE78CA">
              <w:rPr>
                <w:rFonts w:eastAsia="Calibri"/>
              </w:rPr>
              <w:t>N</w:t>
            </w:r>
            <w:r w:rsidRPr="00BE78CA">
              <w:rPr>
                <w:rFonts w:eastAsia="Calibri"/>
                <w:vertAlign w:val="subscript"/>
              </w:rPr>
              <w:t>2</w:t>
            </w:r>
            <w:r w:rsidRPr="00BE78CA">
              <w:rPr>
                <w:rFonts w:eastAsia="Calibri"/>
              </w:rPr>
              <w:t>O</w:t>
            </w:r>
          </w:p>
        </w:tc>
        <w:tc>
          <w:tcPr>
            <w:tcW w:w="1133" w:type="dxa"/>
            <w:tcBorders>
              <w:top w:val="single" w:sz="4" w:space="0" w:color="365F91"/>
              <w:bottom w:val="single" w:sz="4" w:space="0" w:color="365F91"/>
              <w:right w:val="single" w:sz="4" w:space="0" w:color="FFFFFF"/>
            </w:tcBorders>
            <w:shd w:val="clear" w:color="auto" w:fill="FFFFFF"/>
            <w:vAlign w:val="center"/>
          </w:tcPr>
          <w:p w14:paraId="7BF9D2F6" w14:textId="77777777" w:rsidR="00387C28" w:rsidRPr="00BE78CA" w:rsidRDefault="00387C28" w:rsidP="006946F8">
            <w:pPr>
              <w:pStyle w:val="TableText"/>
              <w:spacing w:before="50" w:after="50"/>
            </w:pPr>
            <w:r w:rsidRPr="00BE78CA">
              <w:rPr>
                <w:rFonts w:eastAsia="Calibri"/>
              </w:rPr>
              <w:t>L1</w:t>
            </w:r>
          </w:p>
        </w:tc>
      </w:tr>
      <w:tr w:rsidR="007B0D79" w:rsidRPr="00BE78CA" w14:paraId="08BFA0D8" w14:textId="77777777" w:rsidTr="00A05410">
        <w:trPr>
          <w:cantSplit/>
        </w:trPr>
        <w:tc>
          <w:tcPr>
            <w:tcW w:w="1133" w:type="dxa"/>
            <w:tcBorders>
              <w:top w:val="single" w:sz="4" w:space="0" w:color="365F91"/>
              <w:left w:val="single" w:sz="4" w:space="0" w:color="FFFFFF"/>
              <w:bottom w:val="single" w:sz="4" w:space="0" w:color="365F91"/>
            </w:tcBorders>
            <w:shd w:val="clear" w:color="auto" w:fill="FFFFFF"/>
            <w:vAlign w:val="center"/>
          </w:tcPr>
          <w:p w14:paraId="57B9A3BC" w14:textId="77777777" w:rsidR="00387C28" w:rsidRPr="00BE78CA" w:rsidRDefault="00387C28" w:rsidP="006946F8">
            <w:pPr>
              <w:pStyle w:val="TableText"/>
              <w:spacing w:before="50" w:after="50"/>
            </w:pPr>
            <w:r w:rsidRPr="00BE78CA">
              <w:rPr>
                <w:rFonts w:eastAsia="Calibri"/>
              </w:rPr>
              <w:t>3.D.2.2</w:t>
            </w:r>
          </w:p>
        </w:tc>
        <w:tc>
          <w:tcPr>
            <w:tcW w:w="5605" w:type="dxa"/>
            <w:gridSpan w:val="2"/>
            <w:tcBorders>
              <w:top w:val="single" w:sz="4" w:space="0" w:color="365F91"/>
              <w:bottom w:val="single" w:sz="4" w:space="0" w:color="365F91"/>
            </w:tcBorders>
            <w:shd w:val="clear" w:color="auto" w:fill="FFFFFF"/>
            <w:vAlign w:val="center"/>
          </w:tcPr>
          <w:p w14:paraId="07CB4169" w14:textId="77777777" w:rsidR="00387C28" w:rsidRPr="00BE78CA" w:rsidRDefault="00387C28" w:rsidP="006946F8">
            <w:pPr>
              <w:pStyle w:val="TableText"/>
              <w:spacing w:before="50" w:after="50"/>
            </w:pPr>
            <w:r w:rsidRPr="00BE78CA">
              <w:rPr>
                <w:rFonts w:eastAsia="Calibri"/>
              </w:rPr>
              <w:t>Indirect N</w:t>
            </w:r>
            <w:r w:rsidRPr="00BE78CA">
              <w:rPr>
                <w:rFonts w:eastAsia="Calibri"/>
                <w:vertAlign w:val="subscript"/>
              </w:rPr>
              <w:t>2</w:t>
            </w:r>
            <w:r w:rsidRPr="00BE78CA">
              <w:rPr>
                <w:rFonts w:eastAsia="Calibri"/>
              </w:rPr>
              <w:t>O Emissions from Managed Soils – Nitrogen Leaching and Run-off</w:t>
            </w:r>
          </w:p>
        </w:tc>
        <w:tc>
          <w:tcPr>
            <w:tcW w:w="623" w:type="dxa"/>
            <w:tcBorders>
              <w:top w:val="single" w:sz="4" w:space="0" w:color="365F91"/>
              <w:bottom w:val="single" w:sz="4" w:space="0" w:color="365F91"/>
            </w:tcBorders>
            <w:shd w:val="clear" w:color="auto" w:fill="FFFFFF"/>
            <w:vAlign w:val="center"/>
          </w:tcPr>
          <w:p w14:paraId="1B991205" w14:textId="77777777" w:rsidR="00387C28" w:rsidRPr="00BE78CA" w:rsidRDefault="00387C28" w:rsidP="006946F8">
            <w:pPr>
              <w:pStyle w:val="TableText"/>
              <w:spacing w:before="50" w:after="50"/>
              <w:jc w:val="center"/>
            </w:pPr>
            <w:r w:rsidRPr="00BE78CA">
              <w:rPr>
                <w:rFonts w:eastAsia="Calibri"/>
              </w:rPr>
              <w:t>N</w:t>
            </w:r>
            <w:r w:rsidRPr="00BE78CA">
              <w:rPr>
                <w:rFonts w:eastAsia="Calibri"/>
                <w:vertAlign w:val="subscript"/>
              </w:rPr>
              <w:t>2</w:t>
            </w:r>
            <w:r w:rsidRPr="00BE78CA">
              <w:rPr>
                <w:rFonts w:eastAsia="Calibri"/>
              </w:rPr>
              <w:t>O</w:t>
            </w:r>
          </w:p>
        </w:tc>
        <w:tc>
          <w:tcPr>
            <w:tcW w:w="1133" w:type="dxa"/>
            <w:tcBorders>
              <w:top w:val="single" w:sz="4" w:space="0" w:color="365F91"/>
              <w:bottom w:val="single" w:sz="4" w:space="0" w:color="365F91"/>
              <w:right w:val="single" w:sz="4" w:space="0" w:color="FFFFFF"/>
            </w:tcBorders>
            <w:shd w:val="clear" w:color="auto" w:fill="FFFFFF"/>
            <w:vAlign w:val="center"/>
          </w:tcPr>
          <w:p w14:paraId="5A54F81F" w14:textId="77777777" w:rsidR="00387C28" w:rsidRPr="00BE78CA" w:rsidRDefault="00387C28" w:rsidP="006946F8">
            <w:pPr>
              <w:pStyle w:val="TableText"/>
              <w:spacing w:before="50" w:after="50"/>
            </w:pPr>
            <w:r w:rsidRPr="00BE78CA">
              <w:rPr>
                <w:rFonts w:eastAsia="Calibri"/>
              </w:rPr>
              <w:t>L1</w:t>
            </w:r>
          </w:p>
        </w:tc>
      </w:tr>
      <w:tr w:rsidR="007B0D79" w:rsidRPr="00BE78CA" w14:paraId="3B4BE9EA" w14:textId="77777777" w:rsidTr="00A05410">
        <w:trPr>
          <w:cantSplit/>
        </w:trPr>
        <w:tc>
          <w:tcPr>
            <w:tcW w:w="1133" w:type="dxa"/>
            <w:tcBorders>
              <w:top w:val="single" w:sz="4" w:space="0" w:color="365F91"/>
              <w:left w:val="single" w:sz="4" w:space="0" w:color="FFFFFF"/>
              <w:bottom w:val="single" w:sz="4" w:space="0" w:color="365F91"/>
            </w:tcBorders>
            <w:shd w:val="clear" w:color="auto" w:fill="FFFFFF"/>
            <w:vAlign w:val="center"/>
          </w:tcPr>
          <w:p w14:paraId="3A8A414E" w14:textId="77777777" w:rsidR="00387C28" w:rsidRPr="00BE78CA" w:rsidRDefault="00387C28" w:rsidP="006946F8">
            <w:pPr>
              <w:pStyle w:val="TableText"/>
              <w:spacing w:before="50" w:after="50"/>
            </w:pPr>
            <w:r w:rsidRPr="00BE78CA">
              <w:rPr>
                <w:rFonts w:eastAsia="Calibri"/>
              </w:rPr>
              <w:t>3.G</w:t>
            </w:r>
          </w:p>
        </w:tc>
        <w:tc>
          <w:tcPr>
            <w:tcW w:w="5605" w:type="dxa"/>
            <w:gridSpan w:val="2"/>
            <w:tcBorders>
              <w:top w:val="single" w:sz="4" w:space="0" w:color="365F91"/>
              <w:bottom w:val="single" w:sz="4" w:space="0" w:color="365F91"/>
            </w:tcBorders>
            <w:shd w:val="clear" w:color="auto" w:fill="FFFFFF"/>
            <w:vAlign w:val="center"/>
          </w:tcPr>
          <w:p w14:paraId="64F82812" w14:textId="77777777" w:rsidR="00387C28" w:rsidRPr="00BE78CA" w:rsidRDefault="00387C28" w:rsidP="006946F8">
            <w:pPr>
              <w:pStyle w:val="TableText"/>
              <w:spacing w:before="50" w:after="50"/>
            </w:pPr>
            <w:r w:rsidRPr="00BE78CA">
              <w:rPr>
                <w:rFonts w:eastAsia="Calibri"/>
              </w:rPr>
              <w:t>Agriculture – Liming</w:t>
            </w:r>
          </w:p>
        </w:tc>
        <w:tc>
          <w:tcPr>
            <w:tcW w:w="623" w:type="dxa"/>
            <w:tcBorders>
              <w:top w:val="single" w:sz="4" w:space="0" w:color="365F91"/>
              <w:bottom w:val="single" w:sz="4" w:space="0" w:color="365F91"/>
            </w:tcBorders>
            <w:shd w:val="clear" w:color="auto" w:fill="FFFFFF"/>
            <w:vAlign w:val="center"/>
          </w:tcPr>
          <w:p w14:paraId="1F263978" w14:textId="77777777" w:rsidR="00387C28" w:rsidRPr="00BE78CA" w:rsidRDefault="00387C28" w:rsidP="006946F8">
            <w:pPr>
              <w:pStyle w:val="TableText"/>
              <w:spacing w:before="50" w:after="50"/>
              <w:jc w:val="center"/>
            </w:pPr>
            <w:r w:rsidRPr="00BE78CA">
              <w:rPr>
                <w:rFonts w:eastAsia="Calibri"/>
              </w:rPr>
              <w:t>CO</w:t>
            </w:r>
            <w:r w:rsidRPr="00BE78CA">
              <w:rPr>
                <w:rFonts w:eastAsia="Calibri"/>
                <w:vertAlign w:val="subscript"/>
              </w:rPr>
              <w:t>2</w:t>
            </w:r>
          </w:p>
        </w:tc>
        <w:tc>
          <w:tcPr>
            <w:tcW w:w="1133" w:type="dxa"/>
            <w:tcBorders>
              <w:top w:val="single" w:sz="4" w:space="0" w:color="365F91"/>
              <w:bottom w:val="single" w:sz="4" w:space="0" w:color="365F91"/>
              <w:right w:val="single" w:sz="4" w:space="0" w:color="FFFFFF"/>
            </w:tcBorders>
            <w:shd w:val="clear" w:color="auto" w:fill="FFFFFF"/>
            <w:vAlign w:val="center"/>
          </w:tcPr>
          <w:p w14:paraId="18777EE6" w14:textId="77777777" w:rsidR="00387C28" w:rsidRPr="00BE78CA" w:rsidRDefault="00387C28" w:rsidP="006946F8">
            <w:pPr>
              <w:pStyle w:val="TableText"/>
              <w:spacing w:before="50" w:after="50"/>
            </w:pPr>
            <w:r w:rsidRPr="00BE78CA">
              <w:rPr>
                <w:rFonts w:eastAsia="Calibri"/>
              </w:rPr>
              <w:t>L1</w:t>
            </w:r>
          </w:p>
        </w:tc>
      </w:tr>
      <w:tr w:rsidR="007B0D79" w:rsidRPr="00BE78CA" w14:paraId="0529254E" w14:textId="77777777" w:rsidTr="00A05410">
        <w:trPr>
          <w:cantSplit/>
        </w:trPr>
        <w:tc>
          <w:tcPr>
            <w:tcW w:w="1133" w:type="dxa"/>
            <w:tcBorders>
              <w:top w:val="single" w:sz="4" w:space="0" w:color="365F91"/>
              <w:left w:val="single" w:sz="4" w:space="0" w:color="FFFFFF"/>
              <w:bottom w:val="single" w:sz="4" w:space="0" w:color="365F91"/>
            </w:tcBorders>
            <w:shd w:val="clear" w:color="auto" w:fill="FFFFFF"/>
            <w:vAlign w:val="center"/>
          </w:tcPr>
          <w:p w14:paraId="6A597DDD" w14:textId="77777777" w:rsidR="00387C28" w:rsidRPr="00BE78CA" w:rsidRDefault="00387C28" w:rsidP="006946F8">
            <w:pPr>
              <w:pStyle w:val="TableText"/>
              <w:spacing w:before="50" w:after="50"/>
            </w:pPr>
            <w:r w:rsidRPr="00BE78CA">
              <w:rPr>
                <w:rFonts w:eastAsia="Calibri"/>
              </w:rPr>
              <w:t>3.H</w:t>
            </w:r>
          </w:p>
        </w:tc>
        <w:tc>
          <w:tcPr>
            <w:tcW w:w="5605" w:type="dxa"/>
            <w:gridSpan w:val="2"/>
            <w:tcBorders>
              <w:top w:val="single" w:sz="4" w:space="0" w:color="365F91"/>
              <w:bottom w:val="single" w:sz="4" w:space="0" w:color="365F91"/>
            </w:tcBorders>
            <w:shd w:val="clear" w:color="auto" w:fill="FFFFFF"/>
            <w:vAlign w:val="center"/>
          </w:tcPr>
          <w:p w14:paraId="063E688C" w14:textId="77777777" w:rsidR="00387C28" w:rsidRPr="00BE78CA" w:rsidRDefault="00387C28" w:rsidP="006946F8">
            <w:pPr>
              <w:pStyle w:val="TableText"/>
              <w:spacing w:before="50" w:after="50"/>
            </w:pPr>
            <w:r w:rsidRPr="00BE78CA">
              <w:rPr>
                <w:rFonts w:eastAsia="Calibri"/>
              </w:rPr>
              <w:t>Agriculture – Urea Application</w:t>
            </w:r>
          </w:p>
        </w:tc>
        <w:tc>
          <w:tcPr>
            <w:tcW w:w="623" w:type="dxa"/>
            <w:tcBorders>
              <w:top w:val="single" w:sz="4" w:space="0" w:color="365F91"/>
              <w:bottom w:val="single" w:sz="4" w:space="0" w:color="365F91"/>
            </w:tcBorders>
            <w:shd w:val="clear" w:color="auto" w:fill="FFFFFF"/>
            <w:vAlign w:val="center"/>
          </w:tcPr>
          <w:p w14:paraId="233D6D7F" w14:textId="77777777" w:rsidR="00387C28" w:rsidRPr="00BE78CA" w:rsidRDefault="00387C28" w:rsidP="006946F8">
            <w:pPr>
              <w:pStyle w:val="TableText"/>
              <w:spacing w:before="50" w:after="50"/>
              <w:jc w:val="center"/>
            </w:pPr>
          </w:p>
        </w:tc>
        <w:tc>
          <w:tcPr>
            <w:tcW w:w="1133" w:type="dxa"/>
            <w:tcBorders>
              <w:top w:val="single" w:sz="4" w:space="0" w:color="365F91"/>
              <w:bottom w:val="single" w:sz="4" w:space="0" w:color="365F91"/>
              <w:right w:val="single" w:sz="4" w:space="0" w:color="FFFFFF"/>
            </w:tcBorders>
            <w:shd w:val="clear" w:color="auto" w:fill="FFFFFF"/>
            <w:vAlign w:val="center"/>
          </w:tcPr>
          <w:p w14:paraId="069E622E" w14:textId="77777777" w:rsidR="00387C28" w:rsidRPr="00BE78CA" w:rsidRDefault="00387C28" w:rsidP="006946F8">
            <w:pPr>
              <w:pStyle w:val="TableText"/>
              <w:spacing w:before="50" w:after="50"/>
            </w:pPr>
            <w:r w:rsidRPr="00BE78CA">
              <w:rPr>
                <w:rFonts w:eastAsia="Calibri"/>
              </w:rPr>
              <w:t>L1, T1</w:t>
            </w:r>
          </w:p>
        </w:tc>
      </w:tr>
      <w:tr w:rsidR="007B0D79" w:rsidRPr="00BE78CA" w14:paraId="0D45B78A" w14:textId="77777777" w:rsidTr="00A05410">
        <w:trPr>
          <w:cantSplit/>
        </w:trPr>
        <w:tc>
          <w:tcPr>
            <w:tcW w:w="1133" w:type="dxa"/>
            <w:tcBorders>
              <w:top w:val="single" w:sz="4" w:space="0" w:color="365F91"/>
              <w:left w:val="single" w:sz="4" w:space="0" w:color="FFFFFF"/>
              <w:bottom w:val="single" w:sz="4" w:space="0" w:color="365F91"/>
            </w:tcBorders>
            <w:shd w:val="clear" w:color="auto" w:fill="FFFFFF"/>
            <w:vAlign w:val="center"/>
          </w:tcPr>
          <w:p w14:paraId="1688C35B" w14:textId="77777777" w:rsidR="00387C28" w:rsidRPr="00BE78CA" w:rsidRDefault="00387C28" w:rsidP="006946F8">
            <w:pPr>
              <w:pStyle w:val="TableTextBold"/>
              <w:spacing w:before="50" w:after="50"/>
              <w:rPr>
                <w:noProof w:val="0"/>
              </w:rPr>
            </w:pPr>
            <w:r w:rsidRPr="00BE78CA">
              <w:rPr>
                <w:rFonts w:eastAsia="Calibri"/>
                <w:noProof w:val="0"/>
              </w:rPr>
              <w:t>LULUCF</w:t>
            </w:r>
          </w:p>
        </w:tc>
        <w:tc>
          <w:tcPr>
            <w:tcW w:w="5605" w:type="dxa"/>
            <w:gridSpan w:val="2"/>
            <w:tcBorders>
              <w:top w:val="single" w:sz="4" w:space="0" w:color="365F91"/>
              <w:bottom w:val="single" w:sz="4" w:space="0" w:color="365F91"/>
            </w:tcBorders>
            <w:shd w:val="clear" w:color="auto" w:fill="FFFFFF"/>
            <w:vAlign w:val="center"/>
          </w:tcPr>
          <w:p w14:paraId="17BB3F5F" w14:textId="77777777" w:rsidR="00387C28" w:rsidRPr="00BE78CA" w:rsidRDefault="00387C28" w:rsidP="006946F8">
            <w:pPr>
              <w:pStyle w:val="TableTextBold"/>
              <w:spacing w:before="50" w:after="50"/>
              <w:rPr>
                <w:noProof w:val="0"/>
              </w:rPr>
            </w:pPr>
          </w:p>
        </w:tc>
        <w:tc>
          <w:tcPr>
            <w:tcW w:w="623" w:type="dxa"/>
            <w:tcBorders>
              <w:top w:val="single" w:sz="4" w:space="0" w:color="365F91"/>
              <w:bottom w:val="single" w:sz="4" w:space="0" w:color="365F91"/>
            </w:tcBorders>
            <w:shd w:val="clear" w:color="auto" w:fill="FFFFFF"/>
            <w:vAlign w:val="center"/>
          </w:tcPr>
          <w:p w14:paraId="057AD3AA" w14:textId="77777777" w:rsidR="00387C28" w:rsidRPr="00BE78CA" w:rsidRDefault="00387C28" w:rsidP="006946F8">
            <w:pPr>
              <w:pStyle w:val="TableTextBold"/>
              <w:spacing w:before="50" w:after="50"/>
              <w:jc w:val="center"/>
              <w:rPr>
                <w:noProof w:val="0"/>
              </w:rPr>
            </w:pPr>
          </w:p>
        </w:tc>
        <w:tc>
          <w:tcPr>
            <w:tcW w:w="1133" w:type="dxa"/>
            <w:tcBorders>
              <w:top w:val="single" w:sz="4" w:space="0" w:color="365F91"/>
              <w:bottom w:val="single" w:sz="4" w:space="0" w:color="365F91"/>
              <w:right w:val="single" w:sz="4" w:space="0" w:color="FFFFFF"/>
            </w:tcBorders>
            <w:shd w:val="clear" w:color="auto" w:fill="FFFFFF"/>
            <w:vAlign w:val="center"/>
          </w:tcPr>
          <w:p w14:paraId="5416E46B" w14:textId="77777777" w:rsidR="00387C28" w:rsidRPr="00BE78CA" w:rsidRDefault="00387C28" w:rsidP="006946F8">
            <w:pPr>
              <w:pStyle w:val="TableTextBold"/>
              <w:spacing w:before="50" w:after="50"/>
              <w:rPr>
                <w:noProof w:val="0"/>
              </w:rPr>
            </w:pPr>
          </w:p>
        </w:tc>
      </w:tr>
      <w:tr w:rsidR="007B0D79" w:rsidRPr="00BE78CA" w14:paraId="5B2CA377" w14:textId="77777777" w:rsidTr="00A05410">
        <w:trPr>
          <w:cantSplit/>
        </w:trPr>
        <w:tc>
          <w:tcPr>
            <w:tcW w:w="1133" w:type="dxa"/>
            <w:tcBorders>
              <w:top w:val="single" w:sz="4" w:space="0" w:color="365F91"/>
              <w:left w:val="single" w:sz="4" w:space="0" w:color="FFFFFF"/>
              <w:bottom w:val="single" w:sz="4" w:space="0" w:color="365F91"/>
            </w:tcBorders>
            <w:shd w:val="clear" w:color="auto" w:fill="FFFFFF"/>
            <w:vAlign w:val="center"/>
          </w:tcPr>
          <w:p w14:paraId="469ED45E" w14:textId="77777777" w:rsidR="00387C28" w:rsidRPr="00BE78CA" w:rsidRDefault="00387C28" w:rsidP="006946F8">
            <w:pPr>
              <w:pStyle w:val="TableText"/>
              <w:spacing w:before="50" w:after="50"/>
            </w:pPr>
            <w:r w:rsidRPr="00BE78CA">
              <w:rPr>
                <w:rFonts w:eastAsia="Calibri"/>
              </w:rPr>
              <w:t>4.A.1</w:t>
            </w:r>
          </w:p>
        </w:tc>
        <w:tc>
          <w:tcPr>
            <w:tcW w:w="5605" w:type="dxa"/>
            <w:gridSpan w:val="2"/>
            <w:tcBorders>
              <w:top w:val="single" w:sz="4" w:space="0" w:color="365F91"/>
              <w:bottom w:val="single" w:sz="4" w:space="0" w:color="365F91"/>
            </w:tcBorders>
            <w:shd w:val="clear" w:color="auto" w:fill="FFFFFF"/>
            <w:vAlign w:val="center"/>
          </w:tcPr>
          <w:p w14:paraId="5645EC92" w14:textId="77777777" w:rsidR="00387C28" w:rsidRPr="00BE78CA" w:rsidRDefault="00387C28" w:rsidP="006946F8">
            <w:pPr>
              <w:pStyle w:val="TableText"/>
              <w:spacing w:before="50" w:after="50"/>
            </w:pPr>
            <w:r w:rsidRPr="00BE78CA">
              <w:rPr>
                <w:rFonts w:eastAsia="Calibri"/>
              </w:rPr>
              <w:t>Forest Land – Forest Land Remaining Forest Land</w:t>
            </w:r>
          </w:p>
        </w:tc>
        <w:tc>
          <w:tcPr>
            <w:tcW w:w="623" w:type="dxa"/>
            <w:tcBorders>
              <w:top w:val="single" w:sz="4" w:space="0" w:color="365F91"/>
              <w:bottom w:val="single" w:sz="4" w:space="0" w:color="365F91"/>
            </w:tcBorders>
            <w:shd w:val="clear" w:color="auto" w:fill="FFFFFF"/>
            <w:vAlign w:val="center"/>
          </w:tcPr>
          <w:p w14:paraId="53916F62" w14:textId="77777777" w:rsidR="00387C28" w:rsidRPr="00BE78CA" w:rsidRDefault="00387C28" w:rsidP="006946F8">
            <w:pPr>
              <w:pStyle w:val="TableText"/>
              <w:spacing w:before="50" w:after="50"/>
              <w:jc w:val="center"/>
            </w:pPr>
            <w:r w:rsidRPr="00BE78CA">
              <w:rPr>
                <w:rFonts w:eastAsia="Calibri"/>
              </w:rPr>
              <w:t>CO</w:t>
            </w:r>
            <w:r w:rsidRPr="00BE78CA">
              <w:rPr>
                <w:rFonts w:eastAsia="Calibri"/>
                <w:vertAlign w:val="subscript"/>
              </w:rPr>
              <w:t>2</w:t>
            </w:r>
          </w:p>
        </w:tc>
        <w:tc>
          <w:tcPr>
            <w:tcW w:w="1133" w:type="dxa"/>
            <w:tcBorders>
              <w:top w:val="single" w:sz="4" w:space="0" w:color="365F91"/>
              <w:bottom w:val="single" w:sz="4" w:space="0" w:color="365F91"/>
              <w:right w:val="single" w:sz="4" w:space="0" w:color="FFFFFF"/>
            </w:tcBorders>
            <w:shd w:val="clear" w:color="auto" w:fill="FFFFFF"/>
            <w:vAlign w:val="center"/>
          </w:tcPr>
          <w:p w14:paraId="0D6AF459" w14:textId="77777777" w:rsidR="00387C28" w:rsidRPr="00BE78CA" w:rsidRDefault="00387C28" w:rsidP="006946F8">
            <w:pPr>
              <w:pStyle w:val="TableText"/>
              <w:spacing w:before="50" w:after="50"/>
            </w:pPr>
            <w:r w:rsidRPr="00BE78CA">
              <w:rPr>
                <w:rFonts w:eastAsia="Calibri"/>
              </w:rPr>
              <w:t>L1, T1</w:t>
            </w:r>
          </w:p>
        </w:tc>
      </w:tr>
      <w:tr w:rsidR="007B0D79" w:rsidRPr="00BE78CA" w14:paraId="3FEED08E" w14:textId="77777777" w:rsidTr="00A05410">
        <w:trPr>
          <w:cantSplit/>
        </w:trPr>
        <w:tc>
          <w:tcPr>
            <w:tcW w:w="1133" w:type="dxa"/>
            <w:tcBorders>
              <w:top w:val="single" w:sz="4" w:space="0" w:color="365F91"/>
              <w:left w:val="single" w:sz="4" w:space="0" w:color="FFFFFF"/>
              <w:bottom w:val="single" w:sz="4" w:space="0" w:color="365F91"/>
            </w:tcBorders>
            <w:shd w:val="clear" w:color="auto" w:fill="FFFFFF"/>
            <w:vAlign w:val="center"/>
          </w:tcPr>
          <w:p w14:paraId="5A8801B7" w14:textId="77777777" w:rsidR="00387C28" w:rsidRPr="00BE78CA" w:rsidRDefault="00387C28" w:rsidP="006946F8">
            <w:pPr>
              <w:pStyle w:val="TableText"/>
              <w:spacing w:before="50" w:after="50"/>
            </w:pPr>
            <w:r w:rsidRPr="00BE78CA">
              <w:rPr>
                <w:rFonts w:eastAsia="Calibri"/>
              </w:rPr>
              <w:t>4.A.2</w:t>
            </w:r>
          </w:p>
        </w:tc>
        <w:tc>
          <w:tcPr>
            <w:tcW w:w="5605" w:type="dxa"/>
            <w:gridSpan w:val="2"/>
            <w:tcBorders>
              <w:top w:val="single" w:sz="4" w:space="0" w:color="365F91"/>
              <w:bottom w:val="single" w:sz="4" w:space="0" w:color="365F91"/>
            </w:tcBorders>
            <w:shd w:val="clear" w:color="auto" w:fill="FFFFFF"/>
            <w:vAlign w:val="center"/>
          </w:tcPr>
          <w:p w14:paraId="2EB6C27E" w14:textId="77777777" w:rsidR="00387C28" w:rsidRPr="00BE78CA" w:rsidRDefault="00387C28" w:rsidP="006946F8">
            <w:pPr>
              <w:pStyle w:val="TableText"/>
              <w:spacing w:before="50" w:after="50"/>
            </w:pPr>
            <w:r w:rsidRPr="00BE78CA">
              <w:rPr>
                <w:rFonts w:eastAsia="Calibri"/>
              </w:rPr>
              <w:t>Forest Land – Land Converted to Forest Land</w:t>
            </w:r>
          </w:p>
        </w:tc>
        <w:tc>
          <w:tcPr>
            <w:tcW w:w="623" w:type="dxa"/>
            <w:tcBorders>
              <w:top w:val="single" w:sz="4" w:space="0" w:color="365F91"/>
              <w:bottom w:val="single" w:sz="4" w:space="0" w:color="365F91"/>
            </w:tcBorders>
            <w:shd w:val="clear" w:color="auto" w:fill="FFFFFF"/>
            <w:vAlign w:val="center"/>
          </w:tcPr>
          <w:p w14:paraId="34501CAA" w14:textId="77777777" w:rsidR="00387C28" w:rsidRPr="00BE78CA" w:rsidRDefault="00387C28" w:rsidP="006946F8">
            <w:pPr>
              <w:pStyle w:val="TableText"/>
              <w:spacing w:before="50" w:after="50"/>
              <w:jc w:val="center"/>
            </w:pPr>
            <w:r w:rsidRPr="00BE78CA">
              <w:rPr>
                <w:rFonts w:eastAsia="Calibri"/>
              </w:rPr>
              <w:t>CO</w:t>
            </w:r>
            <w:r w:rsidRPr="00BE78CA">
              <w:rPr>
                <w:rFonts w:eastAsia="Calibri"/>
                <w:vertAlign w:val="subscript"/>
              </w:rPr>
              <w:t>2</w:t>
            </w:r>
          </w:p>
        </w:tc>
        <w:tc>
          <w:tcPr>
            <w:tcW w:w="1133" w:type="dxa"/>
            <w:tcBorders>
              <w:top w:val="single" w:sz="4" w:space="0" w:color="365F91"/>
              <w:bottom w:val="single" w:sz="4" w:space="0" w:color="365F91"/>
              <w:right w:val="single" w:sz="4" w:space="0" w:color="FFFFFF"/>
            </w:tcBorders>
            <w:shd w:val="clear" w:color="auto" w:fill="FFFFFF"/>
            <w:vAlign w:val="center"/>
          </w:tcPr>
          <w:p w14:paraId="006864C7" w14:textId="77777777" w:rsidR="00387C28" w:rsidRPr="00BE78CA" w:rsidRDefault="00387C28" w:rsidP="006946F8">
            <w:pPr>
              <w:pStyle w:val="TableText"/>
              <w:spacing w:before="50" w:after="50"/>
            </w:pPr>
            <w:r w:rsidRPr="00BE78CA">
              <w:rPr>
                <w:rFonts w:eastAsia="Calibri"/>
              </w:rPr>
              <w:t>L1, T1</w:t>
            </w:r>
          </w:p>
        </w:tc>
      </w:tr>
      <w:tr w:rsidR="007B0D79" w:rsidRPr="00BE78CA" w14:paraId="2E683DD3" w14:textId="77777777" w:rsidTr="00A05410">
        <w:trPr>
          <w:cantSplit/>
        </w:trPr>
        <w:tc>
          <w:tcPr>
            <w:tcW w:w="1133" w:type="dxa"/>
            <w:tcBorders>
              <w:top w:val="single" w:sz="4" w:space="0" w:color="365F91"/>
              <w:left w:val="single" w:sz="4" w:space="0" w:color="FFFFFF"/>
              <w:bottom w:val="single" w:sz="4" w:space="0" w:color="365F91"/>
            </w:tcBorders>
            <w:shd w:val="clear" w:color="auto" w:fill="FFFFFF"/>
            <w:vAlign w:val="center"/>
          </w:tcPr>
          <w:p w14:paraId="47C39C26" w14:textId="77777777" w:rsidR="00387C28" w:rsidRPr="00BE78CA" w:rsidRDefault="00387C28" w:rsidP="006946F8">
            <w:pPr>
              <w:pStyle w:val="TableText"/>
              <w:spacing w:before="50" w:after="50"/>
            </w:pPr>
            <w:r w:rsidRPr="00BE78CA">
              <w:rPr>
                <w:rFonts w:eastAsia="Calibri"/>
              </w:rPr>
              <w:t>4.B.1</w:t>
            </w:r>
          </w:p>
        </w:tc>
        <w:tc>
          <w:tcPr>
            <w:tcW w:w="5605" w:type="dxa"/>
            <w:gridSpan w:val="2"/>
            <w:tcBorders>
              <w:top w:val="single" w:sz="4" w:space="0" w:color="365F91"/>
              <w:bottom w:val="single" w:sz="4" w:space="0" w:color="365F91"/>
            </w:tcBorders>
            <w:shd w:val="clear" w:color="auto" w:fill="FFFFFF"/>
            <w:vAlign w:val="center"/>
          </w:tcPr>
          <w:p w14:paraId="364A2763" w14:textId="77777777" w:rsidR="00387C28" w:rsidRPr="00BE78CA" w:rsidRDefault="00387C28" w:rsidP="006946F8">
            <w:pPr>
              <w:pStyle w:val="TableText"/>
              <w:spacing w:before="50" w:after="50"/>
            </w:pPr>
            <w:r w:rsidRPr="00BE78CA">
              <w:rPr>
                <w:rFonts w:eastAsia="Calibri"/>
              </w:rPr>
              <w:t>Cropland – Cropland Remaining Cropland</w:t>
            </w:r>
          </w:p>
        </w:tc>
        <w:tc>
          <w:tcPr>
            <w:tcW w:w="623" w:type="dxa"/>
            <w:tcBorders>
              <w:top w:val="single" w:sz="4" w:space="0" w:color="365F91"/>
              <w:bottom w:val="single" w:sz="4" w:space="0" w:color="365F91"/>
            </w:tcBorders>
            <w:shd w:val="clear" w:color="auto" w:fill="FFFFFF"/>
            <w:vAlign w:val="center"/>
          </w:tcPr>
          <w:p w14:paraId="55D5C2AD" w14:textId="77777777" w:rsidR="00387C28" w:rsidRPr="00BE78CA" w:rsidRDefault="00387C28" w:rsidP="006946F8">
            <w:pPr>
              <w:pStyle w:val="TableText"/>
              <w:spacing w:before="50" w:after="50"/>
              <w:jc w:val="center"/>
            </w:pPr>
            <w:r w:rsidRPr="00BE78CA">
              <w:rPr>
                <w:rFonts w:eastAsia="Calibri"/>
              </w:rPr>
              <w:t>CO</w:t>
            </w:r>
            <w:r w:rsidRPr="00BE78CA">
              <w:rPr>
                <w:rFonts w:eastAsia="Calibri"/>
                <w:vertAlign w:val="subscript"/>
              </w:rPr>
              <w:t>2</w:t>
            </w:r>
          </w:p>
        </w:tc>
        <w:tc>
          <w:tcPr>
            <w:tcW w:w="1133" w:type="dxa"/>
            <w:tcBorders>
              <w:top w:val="single" w:sz="4" w:space="0" w:color="365F91"/>
              <w:bottom w:val="single" w:sz="4" w:space="0" w:color="365F91"/>
              <w:right w:val="single" w:sz="4" w:space="0" w:color="FFFFFF"/>
            </w:tcBorders>
            <w:shd w:val="clear" w:color="auto" w:fill="FFFFFF"/>
            <w:vAlign w:val="center"/>
          </w:tcPr>
          <w:p w14:paraId="049A4C28" w14:textId="77777777" w:rsidR="00387C28" w:rsidRPr="00BE78CA" w:rsidRDefault="00387C28" w:rsidP="006946F8">
            <w:pPr>
              <w:pStyle w:val="TableText"/>
              <w:spacing w:before="50" w:after="50"/>
            </w:pPr>
            <w:r w:rsidRPr="00BE78CA">
              <w:rPr>
                <w:rFonts w:eastAsia="Calibri"/>
              </w:rPr>
              <w:t>L1, T1</w:t>
            </w:r>
          </w:p>
        </w:tc>
      </w:tr>
      <w:tr w:rsidR="007B0D79" w:rsidRPr="00BE78CA" w14:paraId="4C927AD3" w14:textId="77777777" w:rsidTr="00A05410">
        <w:trPr>
          <w:cantSplit/>
        </w:trPr>
        <w:tc>
          <w:tcPr>
            <w:tcW w:w="1133" w:type="dxa"/>
            <w:tcBorders>
              <w:top w:val="single" w:sz="4" w:space="0" w:color="365F91"/>
              <w:left w:val="single" w:sz="4" w:space="0" w:color="FFFFFF"/>
              <w:bottom w:val="single" w:sz="4" w:space="0" w:color="365F91"/>
            </w:tcBorders>
            <w:shd w:val="clear" w:color="auto" w:fill="FFFFFF"/>
            <w:vAlign w:val="center"/>
          </w:tcPr>
          <w:p w14:paraId="70189055" w14:textId="77777777" w:rsidR="00387C28" w:rsidRPr="00BE78CA" w:rsidRDefault="00387C28" w:rsidP="006946F8">
            <w:pPr>
              <w:pStyle w:val="TableText"/>
              <w:spacing w:before="50" w:after="50"/>
            </w:pPr>
            <w:r w:rsidRPr="00BE78CA">
              <w:rPr>
                <w:rFonts w:eastAsia="Calibri"/>
              </w:rPr>
              <w:t>4.C.1</w:t>
            </w:r>
          </w:p>
        </w:tc>
        <w:tc>
          <w:tcPr>
            <w:tcW w:w="5605" w:type="dxa"/>
            <w:gridSpan w:val="2"/>
            <w:tcBorders>
              <w:top w:val="single" w:sz="4" w:space="0" w:color="365F91"/>
              <w:bottom w:val="single" w:sz="4" w:space="0" w:color="365F91"/>
            </w:tcBorders>
            <w:shd w:val="clear" w:color="auto" w:fill="FFFFFF"/>
            <w:vAlign w:val="center"/>
          </w:tcPr>
          <w:p w14:paraId="7965EE0F" w14:textId="77777777" w:rsidR="00387C28" w:rsidRPr="00BE78CA" w:rsidRDefault="00387C28" w:rsidP="006946F8">
            <w:pPr>
              <w:pStyle w:val="TableText"/>
              <w:spacing w:before="50" w:after="50"/>
            </w:pPr>
            <w:r w:rsidRPr="00BE78CA">
              <w:rPr>
                <w:rFonts w:eastAsia="Calibri"/>
              </w:rPr>
              <w:t>Grassland – Grassland Remaining Grassland</w:t>
            </w:r>
          </w:p>
        </w:tc>
        <w:tc>
          <w:tcPr>
            <w:tcW w:w="623" w:type="dxa"/>
            <w:tcBorders>
              <w:top w:val="single" w:sz="4" w:space="0" w:color="365F91"/>
              <w:bottom w:val="single" w:sz="4" w:space="0" w:color="365F91"/>
            </w:tcBorders>
            <w:shd w:val="clear" w:color="auto" w:fill="FFFFFF"/>
            <w:vAlign w:val="center"/>
          </w:tcPr>
          <w:p w14:paraId="566AA5EA" w14:textId="77777777" w:rsidR="00387C28" w:rsidRPr="00BE78CA" w:rsidRDefault="00387C28" w:rsidP="006946F8">
            <w:pPr>
              <w:pStyle w:val="TableText"/>
              <w:spacing w:before="50" w:after="50"/>
              <w:jc w:val="center"/>
            </w:pPr>
            <w:r w:rsidRPr="00BE78CA">
              <w:rPr>
                <w:rFonts w:eastAsia="Calibri"/>
              </w:rPr>
              <w:t>CO</w:t>
            </w:r>
            <w:r w:rsidRPr="00BE78CA">
              <w:rPr>
                <w:rFonts w:eastAsia="Calibri"/>
                <w:vertAlign w:val="subscript"/>
              </w:rPr>
              <w:t>2</w:t>
            </w:r>
          </w:p>
        </w:tc>
        <w:tc>
          <w:tcPr>
            <w:tcW w:w="1133" w:type="dxa"/>
            <w:tcBorders>
              <w:top w:val="single" w:sz="4" w:space="0" w:color="365F91"/>
              <w:bottom w:val="single" w:sz="4" w:space="0" w:color="365F91"/>
              <w:right w:val="single" w:sz="4" w:space="0" w:color="FFFFFF"/>
            </w:tcBorders>
            <w:shd w:val="clear" w:color="auto" w:fill="FFFFFF"/>
            <w:vAlign w:val="center"/>
          </w:tcPr>
          <w:p w14:paraId="546BF492" w14:textId="77777777" w:rsidR="00387C28" w:rsidRPr="00BE78CA" w:rsidRDefault="00387C28" w:rsidP="006946F8">
            <w:pPr>
              <w:pStyle w:val="TableText"/>
              <w:spacing w:before="50" w:after="50"/>
            </w:pPr>
            <w:r w:rsidRPr="00BE78CA">
              <w:rPr>
                <w:rFonts w:eastAsia="Calibri"/>
              </w:rPr>
              <w:t>L1, T1</w:t>
            </w:r>
          </w:p>
        </w:tc>
      </w:tr>
      <w:tr w:rsidR="007B0D79" w:rsidRPr="00BE78CA" w14:paraId="59788368" w14:textId="77777777" w:rsidTr="00A05410">
        <w:trPr>
          <w:cantSplit/>
        </w:trPr>
        <w:tc>
          <w:tcPr>
            <w:tcW w:w="1133" w:type="dxa"/>
            <w:tcBorders>
              <w:top w:val="single" w:sz="4" w:space="0" w:color="365F91"/>
              <w:left w:val="single" w:sz="4" w:space="0" w:color="FFFFFF"/>
              <w:bottom w:val="single" w:sz="4" w:space="0" w:color="365F91"/>
            </w:tcBorders>
            <w:shd w:val="clear" w:color="auto" w:fill="FFFFFF"/>
            <w:vAlign w:val="center"/>
          </w:tcPr>
          <w:p w14:paraId="2A7EDF2C" w14:textId="77777777" w:rsidR="00387C28" w:rsidRPr="00BE78CA" w:rsidRDefault="00387C28" w:rsidP="006946F8">
            <w:pPr>
              <w:pStyle w:val="TableText"/>
              <w:spacing w:before="50" w:after="50"/>
            </w:pPr>
            <w:r w:rsidRPr="00BE78CA">
              <w:rPr>
                <w:rFonts w:eastAsia="Calibri"/>
              </w:rPr>
              <w:t>4.C.2</w:t>
            </w:r>
          </w:p>
        </w:tc>
        <w:tc>
          <w:tcPr>
            <w:tcW w:w="5605" w:type="dxa"/>
            <w:gridSpan w:val="2"/>
            <w:tcBorders>
              <w:top w:val="single" w:sz="4" w:space="0" w:color="365F91"/>
              <w:bottom w:val="single" w:sz="4" w:space="0" w:color="365F91"/>
            </w:tcBorders>
            <w:shd w:val="clear" w:color="auto" w:fill="FFFFFF"/>
            <w:vAlign w:val="center"/>
          </w:tcPr>
          <w:p w14:paraId="604471C0" w14:textId="77777777" w:rsidR="00387C28" w:rsidRPr="00BE78CA" w:rsidRDefault="00387C28" w:rsidP="006946F8">
            <w:pPr>
              <w:pStyle w:val="TableText"/>
              <w:spacing w:before="50" w:after="50"/>
            </w:pPr>
            <w:r w:rsidRPr="00BE78CA">
              <w:rPr>
                <w:rFonts w:eastAsia="Calibri"/>
              </w:rPr>
              <w:t>Grassland – Land Converted to Grassland</w:t>
            </w:r>
          </w:p>
        </w:tc>
        <w:tc>
          <w:tcPr>
            <w:tcW w:w="623" w:type="dxa"/>
            <w:tcBorders>
              <w:top w:val="single" w:sz="4" w:space="0" w:color="365F91"/>
              <w:bottom w:val="single" w:sz="4" w:space="0" w:color="365F91"/>
            </w:tcBorders>
            <w:shd w:val="clear" w:color="auto" w:fill="FFFFFF"/>
            <w:vAlign w:val="center"/>
          </w:tcPr>
          <w:p w14:paraId="3CCCB9A1" w14:textId="77777777" w:rsidR="00387C28" w:rsidRPr="00BE78CA" w:rsidRDefault="00387C28" w:rsidP="006946F8">
            <w:pPr>
              <w:pStyle w:val="TableText"/>
              <w:spacing w:before="50" w:after="50"/>
              <w:jc w:val="center"/>
            </w:pPr>
            <w:r w:rsidRPr="00BE78CA">
              <w:rPr>
                <w:rFonts w:eastAsia="Calibri"/>
              </w:rPr>
              <w:t>CO</w:t>
            </w:r>
            <w:r w:rsidRPr="00BE78CA">
              <w:rPr>
                <w:rFonts w:eastAsia="Calibri"/>
                <w:vertAlign w:val="subscript"/>
              </w:rPr>
              <w:t>2</w:t>
            </w:r>
          </w:p>
        </w:tc>
        <w:tc>
          <w:tcPr>
            <w:tcW w:w="1133" w:type="dxa"/>
            <w:tcBorders>
              <w:top w:val="single" w:sz="4" w:space="0" w:color="365F91"/>
              <w:bottom w:val="single" w:sz="4" w:space="0" w:color="365F91"/>
              <w:right w:val="single" w:sz="4" w:space="0" w:color="FFFFFF"/>
            </w:tcBorders>
            <w:shd w:val="clear" w:color="auto" w:fill="FFFFFF"/>
            <w:vAlign w:val="center"/>
          </w:tcPr>
          <w:p w14:paraId="14FA1807" w14:textId="77777777" w:rsidR="00387C28" w:rsidRPr="00BE78CA" w:rsidRDefault="00387C28" w:rsidP="006946F8">
            <w:pPr>
              <w:pStyle w:val="TableText"/>
              <w:spacing w:before="50" w:after="50"/>
            </w:pPr>
            <w:r w:rsidRPr="00BE78CA">
              <w:rPr>
                <w:rFonts w:eastAsia="Calibri"/>
              </w:rPr>
              <w:t>L1, T1</w:t>
            </w:r>
          </w:p>
        </w:tc>
      </w:tr>
      <w:tr w:rsidR="007B0D79" w:rsidRPr="00BE78CA" w14:paraId="6D6AE14D" w14:textId="77777777" w:rsidTr="00A05410">
        <w:trPr>
          <w:cantSplit/>
        </w:trPr>
        <w:tc>
          <w:tcPr>
            <w:tcW w:w="1133" w:type="dxa"/>
            <w:tcBorders>
              <w:top w:val="single" w:sz="4" w:space="0" w:color="365F91"/>
              <w:left w:val="single" w:sz="4" w:space="0" w:color="FFFFFF"/>
              <w:bottom w:val="single" w:sz="4" w:space="0" w:color="365F91"/>
            </w:tcBorders>
            <w:shd w:val="clear" w:color="auto" w:fill="FFFFFF"/>
            <w:vAlign w:val="center"/>
          </w:tcPr>
          <w:p w14:paraId="7F5615D4" w14:textId="77777777" w:rsidR="00387C28" w:rsidRPr="00BE78CA" w:rsidRDefault="00387C28" w:rsidP="006946F8">
            <w:pPr>
              <w:pStyle w:val="TableText"/>
              <w:spacing w:before="50" w:after="50"/>
            </w:pPr>
            <w:r w:rsidRPr="00BE78CA">
              <w:rPr>
                <w:rFonts w:eastAsia="Calibri"/>
              </w:rPr>
              <w:t>4.G</w:t>
            </w:r>
          </w:p>
        </w:tc>
        <w:tc>
          <w:tcPr>
            <w:tcW w:w="5605" w:type="dxa"/>
            <w:gridSpan w:val="2"/>
            <w:tcBorders>
              <w:top w:val="single" w:sz="4" w:space="0" w:color="365F91"/>
              <w:bottom w:val="single" w:sz="4" w:space="0" w:color="365F91"/>
            </w:tcBorders>
            <w:shd w:val="clear" w:color="auto" w:fill="FFFFFF"/>
            <w:vAlign w:val="center"/>
          </w:tcPr>
          <w:p w14:paraId="2490592F" w14:textId="77777777" w:rsidR="00387C28" w:rsidRPr="00BE78CA" w:rsidRDefault="00387C28" w:rsidP="006946F8">
            <w:pPr>
              <w:pStyle w:val="TableText"/>
              <w:spacing w:before="50" w:after="50"/>
            </w:pPr>
            <w:r w:rsidRPr="00BE78CA">
              <w:rPr>
                <w:rFonts w:eastAsia="Calibri"/>
              </w:rPr>
              <w:t>Land Use, Land-Use Change and Forestry – Harvested Wood Products</w:t>
            </w:r>
          </w:p>
        </w:tc>
        <w:tc>
          <w:tcPr>
            <w:tcW w:w="623" w:type="dxa"/>
            <w:tcBorders>
              <w:top w:val="single" w:sz="4" w:space="0" w:color="365F91"/>
              <w:bottom w:val="single" w:sz="4" w:space="0" w:color="365F91"/>
            </w:tcBorders>
            <w:shd w:val="clear" w:color="auto" w:fill="FFFFFF"/>
            <w:vAlign w:val="center"/>
          </w:tcPr>
          <w:p w14:paraId="50BA1A98" w14:textId="77777777" w:rsidR="00387C28" w:rsidRPr="00BE78CA" w:rsidRDefault="00387C28" w:rsidP="006946F8">
            <w:pPr>
              <w:pStyle w:val="TableText"/>
              <w:spacing w:before="50" w:after="50"/>
              <w:jc w:val="center"/>
            </w:pPr>
          </w:p>
        </w:tc>
        <w:tc>
          <w:tcPr>
            <w:tcW w:w="1133" w:type="dxa"/>
            <w:tcBorders>
              <w:top w:val="single" w:sz="4" w:space="0" w:color="365F91"/>
              <w:bottom w:val="single" w:sz="4" w:space="0" w:color="365F91"/>
              <w:right w:val="single" w:sz="4" w:space="0" w:color="FFFFFF"/>
            </w:tcBorders>
            <w:shd w:val="clear" w:color="auto" w:fill="FFFFFF"/>
            <w:vAlign w:val="center"/>
          </w:tcPr>
          <w:p w14:paraId="0E9B0DBE" w14:textId="77777777" w:rsidR="00387C28" w:rsidRPr="00BE78CA" w:rsidRDefault="00387C28" w:rsidP="006946F8">
            <w:pPr>
              <w:pStyle w:val="TableText"/>
              <w:spacing w:before="50" w:after="50"/>
            </w:pPr>
            <w:r w:rsidRPr="00BE78CA">
              <w:rPr>
                <w:rFonts w:eastAsia="Calibri"/>
              </w:rPr>
              <w:t>L1, T1</w:t>
            </w:r>
          </w:p>
        </w:tc>
      </w:tr>
      <w:tr w:rsidR="007B0D79" w:rsidRPr="00BE78CA" w14:paraId="57166A39" w14:textId="77777777" w:rsidTr="00A05410">
        <w:trPr>
          <w:cantSplit/>
        </w:trPr>
        <w:tc>
          <w:tcPr>
            <w:tcW w:w="1133" w:type="dxa"/>
            <w:tcBorders>
              <w:top w:val="single" w:sz="4" w:space="0" w:color="365F91"/>
              <w:left w:val="single" w:sz="4" w:space="0" w:color="FFFFFF"/>
              <w:bottom w:val="single" w:sz="4" w:space="0" w:color="365F91"/>
            </w:tcBorders>
            <w:shd w:val="clear" w:color="auto" w:fill="FFFFFF"/>
            <w:vAlign w:val="center"/>
          </w:tcPr>
          <w:p w14:paraId="3852386A" w14:textId="77777777" w:rsidR="00387C28" w:rsidRPr="00BE78CA" w:rsidRDefault="00387C28" w:rsidP="006946F8">
            <w:pPr>
              <w:pStyle w:val="TableTextBold"/>
              <w:spacing w:before="50" w:after="50"/>
              <w:rPr>
                <w:noProof w:val="0"/>
              </w:rPr>
            </w:pPr>
            <w:r w:rsidRPr="00BE78CA">
              <w:rPr>
                <w:rFonts w:eastAsia="Calibri"/>
                <w:noProof w:val="0"/>
              </w:rPr>
              <w:t>Waste</w:t>
            </w:r>
          </w:p>
        </w:tc>
        <w:tc>
          <w:tcPr>
            <w:tcW w:w="5605" w:type="dxa"/>
            <w:gridSpan w:val="2"/>
            <w:tcBorders>
              <w:top w:val="single" w:sz="4" w:space="0" w:color="365F91"/>
              <w:bottom w:val="single" w:sz="4" w:space="0" w:color="365F91"/>
            </w:tcBorders>
            <w:shd w:val="clear" w:color="auto" w:fill="FFFFFF"/>
            <w:vAlign w:val="center"/>
          </w:tcPr>
          <w:p w14:paraId="454B14A6" w14:textId="77777777" w:rsidR="00387C28" w:rsidRPr="00BE78CA" w:rsidRDefault="00387C28" w:rsidP="006946F8">
            <w:pPr>
              <w:pStyle w:val="TableTextBold"/>
              <w:spacing w:before="50" w:after="50"/>
              <w:rPr>
                <w:noProof w:val="0"/>
              </w:rPr>
            </w:pPr>
          </w:p>
        </w:tc>
        <w:tc>
          <w:tcPr>
            <w:tcW w:w="623" w:type="dxa"/>
            <w:tcBorders>
              <w:top w:val="single" w:sz="4" w:space="0" w:color="365F91"/>
              <w:bottom w:val="single" w:sz="4" w:space="0" w:color="365F91"/>
            </w:tcBorders>
            <w:shd w:val="clear" w:color="auto" w:fill="FFFFFF"/>
            <w:vAlign w:val="center"/>
          </w:tcPr>
          <w:p w14:paraId="6C63EB7C" w14:textId="77777777" w:rsidR="00387C28" w:rsidRPr="00BE78CA" w:rsidRDefault="00387C28" w:rsidP="006946F8">
            <w:pPr>
              <w:pStyle w:val="TableTextBold"/>
              <w:spacing w:before="50" w:after="50"/>
              <w:jc w:val="center"/>
              <w:rPr>
                <w:noProof w:val="0"/>
              </w:rPr>
            </w:pPr>
          </w:p>
        </w:tc>
        <w:tc>
          <w:tcPr>
            <w:tcW w:w="1133" w:type="dxa"/>
            <w:tcBorders>
              <w:top w:val="single" w:sz="4" w:space="0" w:color="365F91"/>
              <w:bottom w:val="single" w:sz="4" w:space="0" w:color="365F91"/>
              <w:right w:val="single" w:sz="4" w:space="0" w:color="FFFFFF"/>
            </w:tcBorders>
            <w:shd w:val="clear" w:color="auto" w:fill="FFFFFF"/>
            <w:vAlign w:val="center"/>
          </w:tcPr>
          <w:p w14:paraId="504DE351" w14:textId="77777777" w:rsidR="00387C28" w:rsidRPr="00BE78CA" w:rsidRDefault="00387C28" w:rsidP="006946F8">
            <w:pPr>
              <w:pStyle w:val="TableTextBold"/>
              <w:spacing w:before="50" w:after="50"/>
              <w:rPr>
                <w:noProof w:val="0"/>
              </w:rPr>
            </w:pPr>
          </w:p>
        </w:tc>
      </w:tr>
      <w:tr w:rsidR="007B0D79" w:rsidRPr="00BE78CA" w14:paraId="5F38827E" w14:textId="77777777" w:rsidTr="00A05410">
        <w:trPr>
          <w:cantSplit/>
        </w:trPr>
        <w:tc>
          <w:tcPr>
            <w:tcW w:w="1133" w:type="dxa"/>
            <w:tcBorders>
              <w:top w:val="single" w:sz="4" w:space="0" w:color="365F91"/>
              <w:left w:val="single" w:sz="4" w:space="0" w:color="FFFFFF"/>
              <w:bottom w:val="single" w:sz="4" w:space="0" w:color="365F91"/>
            </w:tcBorders>
            <w:shd w:val="clear" w:color="auto" w:fill="FFFFFF"/>
            <w:vAlign w:val="center"/>
          </w:tcPr>
          <w:p w14:paraId="11F5F7B5" w14:textId="77777777" w:rsidR="00387C28" w:rsidRPr="00BE78CA" w:rsidRDefault="00387C28" w:rsidP="006946F8">
            <w:pPr>
              <w:pStyle w:val="TableText"/>
              <w:spacing w:before="50" w:after="50"/>
            </w:pPr>
            <w:r w:rsidRPr="00BE78CA">
              <w:rPr>
                <w:rFonts w:eastAsia="Calibri"/>
              </w:rPr>
              <w:t>5.A</w:t>
            </w:r>
          </w:p>
        </w:tc>
        <w:tc>
          <w:tcPr>
            <w:tcW w:w="5605" w:type="dxa"/>
            <w:gridSpan w:val="2"/>
            <w:tcBorders>
              <w:top w:val="single" w:sz="4" w:space="0" w:color="365F91"/>
              <w:bottom w:val="single" w:sz="4" w:space="0" w:color="365F91"/>
            </w:tcBorders>
            <w:shd w:val="clear" w:color="auto" w:fill="FFFFFF"/>
            <w:vAlign w:val="center"/>
          </w:tcPr>
          <w:p w14:paraId="242C9CEB" w14:textId="77777777" w:rsidR="00387C28" w:rsidRPr="00BE78CA" w:rsidRDefault="00387C28" w:rsidP="006946F8">
            <w:pPr>
              <w:pStyle w:val="TableText"/>
              <w:spacing w:before="50" w:after="50"/>
            </w:pPr>
            <w:r w:rsidRPr="00BE78CA">
              <w:rPr>
                <w:rFonts w:eastAsia="Calibri"/>
              </w:rPr>
              <w:t>Waste – Solid Waste Disposal</w:t>
            </w:r>
          </w:p>
        </w:tc>
        <w:tc>
          <w:tcPr>
            <w:tcW w:w="623" w:type="dxa"/>
            <w:tcBorders>
              <w:top w:val="single" w:sz="4" w:space="0" w:color="365F91"/>
              <w:bottom w:val="single" w:sz="4" w:space="0" w:color="365F91"/>
            </w:tcBorders>
            <w:shd w:val="clear" w:color="auto" w:fill="FFFFFF"/>
            <w:vAlign w:val="center"/>
          </w:tcPr>
          <w:p w14:paraId="5E8CA5C2" w14:textId="77777777" w:rsidR="00387C28" w:rsidRPr="00BE78CA" w:rsidRDefault="00387C28" w:rsidP="006946F8">
            <w:pPr>
              <w:pStyle w:val="TableText"/>
              <w:spacing w:before="50" w:after="50"/>
              <w:jc w:val="center"/>
            </w:pPr>
            <w:r w:rsidRPr="00BE78CA">
              <w:rPr>
                <w:rFonts w:eastAsia="Calibri"/>
              </w:rPr>
              <w:t>CH</w:t>
            </w:r>
            <w:r w:rsidRPr="00BE78CA">
              <w:rPr>
                <w:rFonts w:eastAsia="Calibri"/>
                <w:vertAlign w:val="subscript"/>
              </w:rPr>
              <w:t>4</w:t>
            </w:r>
          </w:p>
        </w:tc>
        <w:tc>
          <w:tcPr>
            <w:tcW w:w="1133" w:type="dxa"/>
            <w:tcBorders>
              <w:top w:val="single" w:sz="4" w:space="0" w:color="365F91"/>
              <w:bottom w:val="single" w:sz="4" w:space="0" w:color="365F91"/>
              <w:right w:val="single" w:sz="4" w:space="0" w:color="FFFFFF"/>
            </w:tcBorders>
            <w:shd w:val="clear" w:color="auto" w:fill="FFFFFF"/>
            <w:vAlign w:val="center"/>
          </w:tcPr>
          <w:p w14:paraId="54BFDAC4" w14:textId="77777777" w:rsidR="00387C28" w:rsidRPr="00BE78CA" w:rsidRDefault="00387C28" w:rsidP="006946F8">
            <w:pPr>
              <w:pStyle w:val="TableText"/>
              <w:spacing w:before="50" w:after="50"/>
            </w:pPr>
            <w:r w:rsidRPr="00BE78CA">
              <w:rPr>
                <w:rFonts w:eastAsia="Calibri"/>
              </w:rPr>
              <w:t>L1, T1</w:t>
            </w:r>
          </w:p>
        </w:tc>
      </w:tr>
      <w:tr w:rsidR="007B0D79" w:rsidRPr="00BE78CA" w14:paraId="04B4EFE8" w14:textId="77777777" w:rsidTr="00A05410">
        <w:trPr>
          <w:cantSplit/>
        </w:trPr>
        <w:tc>
          <w:tcPr>
            <w:tcW w:w="1133" w:type="dxa"/>
            <w:tcBorders>
              <w:top w:val="single" w:sz="4" w:space="0" w:color="365F91"/>
              <w:left w:val="single" w:sz="4" w:space="0" w:color="FFFFFF"/>
              <w:bottom w:val="single" w:sz="4" w:space="0" w:color="365F91"/>
            </w:tcBorders>
            <w:shd w:val="clear" w:color="auto" w:fill="FFFFFF"/>
            <w:vAlign w:val="center"/>
          </w:tcPr>
          <w:p w14:paraId="15F30E31" w14:textId="77777777" w:rsidR="00387C28" w:rsidRPr="00BE78CA" w:rsidRDefault="00387C28" w:rsidP="006946F8">
            <w:pPr>
              <w:pStyle w:val="TableText"/>
              <w:spacing w:before="50" w:after="50"/>
            </w:pPr>
            <w:r w:rsidRPr="00BE78CA">
              <w:rPr>
                <w:rFonts w:eastAsia="Calibri"/>
              </w:rPr>
              <w:t>5.C</w:t>
            </w:r>
          </w:p>
        </w:tc>
        <w:tc>
          <w:tcPr>
            <w:tcW w:w="5605" w:type="dxa"/>
            <w:gridSpan w:val="2"/>
            <w:tcBorders>
              <w:top w:val="single" w:sz="4" w:space="0" w:color="365F91"/>
              <w:bottom w:val="single" w:sz="4" w:space="0" w:color="365F91"/>
            </w:tcBorders>
            <w:shd w:val="clear" w:color="auto" w:fill="FFFFFF"/>
            <w:vAlign w:val="center"/>
          </w:tcPr>
          <w:p w14:paraId="28742F4A" w14:textId="77777777" w:rsidR="00387C28" w:rsidRPr="00BE78CA" w:rsidRDefault="00387C28" w:rsidP="006946F8">
            <w:pPr>
              <w:pStyle w:val="TableText"/>
              <w:spacing w:before="50" w:after="50"/>
            </w:pPr>
            <w:r w:rsidRPr="00BE78CA">
              <w:rPr>
                <w:rFonts w:eastAsia="Calibri"/>
              </w:rPr>
              <w:t>Waste – Incineration and Open Burning of Waste</w:t>
            </w:r>
          </w:p>
        </w:tc>
        <w:tc>
          <w:tcPr>
            <w:tcW w:w="623" w:type="dxa"/>
            <w:tcBorders>
              <w:top w:val="single" w:sz="4" w:space="0" w:color="365F91"/>
              <w:bottom w:val="single" w:sz="4" w:space="0" w:color="365F91"/>
            </w:tcBorders>
            <w:shd w:val="clear" w:color="auto" w:fill="FFFFFF"/>
            <w:vAlign w:val="center"/>
          </w:tcPr>
          <w:p w14:paraId="0C46FA49" w14:textId="77777777" w:rsidR="00387C28" w:rsidRPr="00BE78CA" w:rsidRDefault="00387C28" w:rsidP="006946F8">
            <w:pPr>
              <w:pStyle w:val="TableText"/>
              <w:spacing w:before="50" w:after="50"/>
              <w:jc w:val="center"/>
            </w:pPr>
            <w:r w:rsidRPr="00BE78CA">
              <w:rPr>
                <w:rFonts w:eastAsia="Calibri"/>
              </w:rPr>
              <w:t>CO</w:t>
            </w:r>
            <w:r w:rsidRPr="00BE78CA">
              <w:rPr>
                <w:rFonts w:eastAsia="Calibri"/>
                <w:vertAlign w:val="subscript"/>
              </w:rPr>
              <w:t>2</w:t>
            </w:r>
          </w:p>
        </w:tc>
        <w:tc>
          <w:tcPr>
            <w:tcW w:w="1133" w:type="dxa"/>
            <w:tcBorders>
              <w:top w:val="single" w:sz="4" w:space="0" w:color="365F91"/>
              <w:bottom w:val="single" w:sz="4" w:space="0" w:color="365F91"/>
              <w:right w:val="single" w:sz="4" w:space="0" w:color="FFFFFF"/>
            </w:tcBorders>
            <w:shd w:val="clear" w:color="auto" w:fill="FFFFFF"/>
            <w:vAlign w:val="center"/>
          </w:tcPr>
          <w:p w14:paraId="19FC722D" w14:textId="77777777" w:rsidR="00387C28" w:rsidRPr="00BE78CA" w:rsidRDefault="00387C28" w:rsidP="006946F8">
            <w:pPr>
              <w:pStyle w:val="TableText"/>
              <w:spacing w:before="50" w:after="50"/>
            </w:pPr>
            <w:r w:rsidRPr="00BE78CA">
              <w:rPr>
                <w:rFonts w:eastAsia="Calibri"/>
              </w:rPr>
              <w:t>T1</w:t>
            </w:r>
          </w:p>
        </w:tc>
      </w:tr>
      <w:tr w:rsidR="007B0D79" w:rsidRPr="00BE78CA" w14:paraId="51B27645" w14:textId="77777777" w:rsidTr="00A05410">
        <w:trPr>
          <w:cantSplit/>
        </w:trPr>
        <w:tc>
          <w:tcPr>
            <w:tcW w:w="1133" w:type="dxa"/>
            <w:tcBorders>
              <w:top w:val="single" w:sz="4" w:space="0" w:color="365F91"/>
              <w:left w:val="single" w:sz="4" w:space="0" w:color="FFFFFF"/>
              <w:bottom w:val="single" w:sz="4" w:space="0" w:color="365F91"/>
            </w:tcBorders>
            <w:shd w:val="clear" w:color="auto" w:fill="FFFFFF"/>
            <w:vAlign w:val="center"/>
          </w:tcPr>
          <w:p w14:paraId="2C645CAB" w14:textId="77777777" w:rsidR="00387C28" w:rsidRPr="00BE78CA" w:rsidRDefault="00387C28" w:rsidP="006946F8">
            <w:pPr>
              <w:pStyle w:val="TableText"/>
              <w:spacing w:before="50" w:after="50"/>
            </w:pPr>
            <w:r w:rsidRPr="00BE78CA">
              <w:rPr>
                <w:rFonts w:eastAsia="Calibri"/>
              </w:rPr>
              <w:t>5.D</w:t>
            </w:r>
          </w:p>
        </w:tc>
        <w:tc>
          <w:tcPr>
            <w:tcW w:w="5605" w:type="dxa"/>
            <w:gridSpan w:val="2"/>
            <w:tcBorders>
              <w:top w:val="single" w:sz="4" w:space="0" w:color="365F91"/>
              <w:bottom w:val="single" w:sz="4" w:space="0" w:color="365F91"/>
            </w:tcBorders>
            <w:shd w:val="clear" w:color="auto" w:fill="FFFFFF"/>
            <w:vAlign w:val="center"/>
          </w:tcPr>
          <w:p w14:paraId="2143C73E" w14:textId="77777777" w:rsidR="00387C28" w:rsidRPr="00BE78CA" w:rsidRDefault="00387C28" w:rsidP="006946F8">
            <w:pPr>
              <w:pStyle w:val="TableText"/>
              <w:spacing w:before="50" w:after="50"/>
            </w:pPr>
            <w:r w:rsidRPr="00BE78CA">
              <w:rPr>
                <w:rFonts w:eastAsia="Calibri"/>
              </w:rPr>
              <w:t>Waste – Wastewater Treatment and Discharge</w:t>
            </w:r>
          </w:p>
        </w:tc>
        <w:tc>
          <w:tcPr>
            <w:tcW w:w="623" w:type="dxa"/>
            <w:tcBorders>
              <w:top w:val="single" w:sz="4" w:space="0" w:color="365F91"/>
              <w:bottom w:val="single" w:sz="4" w:space="0" w:color="365F91"/>
            </w:tcBorders>
            <w:shd w:val="clear" w:color="auto" w:fill="FFFFFF"/>
            <w:vAlign w:val="center"/>
          </w:tcPr>
          <w:p w14:paraId="403F5510" w14:textId="77777777" w:rsidR="00387C28" w:rsidRPr="00BE78CA" w:rsidRDefault="00387C28" w:rsidP="006946F8">
            <w:pPr>
              <w:pStyle w:val="TableText"/>
              <w:spacing w:before="50" w:after="50"/>
              <w:jc w:val="center"/>
            </w:pPr>
            <w:r w:rsidRPr="00BE78CA">
              <w:rPr>
                <w:rFonts w:eastAsia="Calibri"/>
              </w:rPr>
              <w:t>CH</w:t>
            </w:r>
            <w:r w:rsidRPr="00BE78CA">
              <w:rPr>
                <w:rFonts w:eastAsia="Calibri"/>
                <w:vertAlign w:val="subscript"/>
              </w:rPr>
              <w:t>4</w:t>
            </w:r>
          </w:p>
        </w:tc>
        <w:tc>
          <w:tcPr>
            <w:tcW w:w="1133" w:type="dxa"/>
            <w:tcBorders>
              <w:top w:val="single" w:sz="4" w:space="0" w:color="365F91"/>
              <w:bottom w:val="single" w:sz="4" w:space="0" w:color="365F91"/>
              <w:right w:val="single" w:sz="4" w:space="0" w:color="FFFFFF"/>
            </w:tcBorders>
            <w:shd w:val="clear" w:color="auto" w:fill="FFFFFF"/>
            <w:vAlign w:val="center"/>
          </w:tcPr>
          <w:p w14:paraId="58AF21D9" w14:textId="77777777" w:rsidR="00387C28" w:rsidRPr="00BE78CA" w:rsidRDefault="00387C28" w:rsidP="006946F8">
            <w:pPr>
              <w:pStyle w:val="TableText"/>
              <w:spacing w:before="50" w:after="50"/>
            </w:pPr>
            <w:r w:rsidRPr="00BE78CA">
              <w:rPr>
                <w:rFonts w:eastAsia="Calibri"/>
              </w:rPr>
              <w:t>L1</w:t>
            </w:r>
          </w:p>
        </w:tc>
      </w:tr>
    </w:tbl>
    <w:p w14:paraId="4670193F" w14:textId="10153820" w:rsidR="00387C28" w:rsidRPr="00BE78CA" w:rsidRDefault="00387C28" w:rsidP="00387C28">
      <w:pPr>
        <w:pStyle w:val="Noteundertable"/>
      </w:pPr>
      <w:r w:rsidRPr="00BE78CA">
        <w:rPr>
          <w:b/>
        </w:rPr>
        <w:t>Note:</w:t>
      </w:r>
      <w:r w:rsidRPr="00BE78CA">
        <w:t xml:space="preserve"> </w:t>
      </w:r>
      <w:r w:rsidRPr="00BE78CA">
        <w:tab/>
        <w:t>L1 means a key category is identified under the level analysis – approach 1 and T1 is trend analysis – approach 1. According to the 2006 IPCC Guidelines (IPCC, 2006b), L1 indicates a level assessment for a Tier</w:t>
      </w:r>
      <w:r w:rsidR="007432BC" w:rsidRPr="00BE78CA">
        <w:t> </w:t>
      </w:r>
      <w:r w:rsidRPr="00BE78CA">
        <w:t>1</w:t>
      </w:r>
      <w:r w:rsidR="007432BC" w:rsidRPr="00BE78CA">
        <w:t> </w:t>
      </w:r>
      <w:r w:rsidRPr="00BE78CA">
        <w:t>key category, and T1 indicates a trend assessment for a Tier 1 key category.</w:t>
      </w:r>
    </w:p>
    <w:p w14:paraId="55855A1B" w14:textId="4E657FD7" w:rsidR="00387C28" w:rsidRPr="00BE78CA" w:rsidRDefault="00387C28" w:rsidP="007D2480">
      <w:pPr>
        <w:pStyle w:val="Table"/>
        <w:ind w:left="1418" w:hanging="1418"/>
      </w:pPr>
      <w:bookmarkStart w:id="127" w:name="_Toc68786397"/>
      <w:r w:rsidRPr="00BE78CA">
        <w:lastRenderedPageBreak/>
        <w:t>Table 1.5.2(a &amp; b)</w:t>
      </w:r>
      <w:r w:rsidR="005B6417" w:rsidRPr="00BE78CA">
        <w:tab/>
      </w:r>
      <w:r w:rsidRPr="00BE78CA">
        <w:t>2019 level assessment for New Zealand’s key category analysis including LULUCF (a) and</w:t>
      </w:r>
      <w:r w:rsidR="0055370E" w:rsidRPr="00BE78CA">
        <w:t> </w:t>
      </w:r>
      <w:r w:rsidRPr="00BE78CA">
        <w:t>excluding LULUCF (b)</w:t>
      </w:r>
      <w:bookmarkEnd w:id="127"/>
    </w:p>
    <w:tbl>
      <w:tblPr>
        <w:tblW w:w="8494" w:type="dxa"/>
        <w:tblCellMar>
          <w:left w:w="57" w:type="dxa"/>
          <w:right w:w="57" w:type="dxa"/>
        </w:tblCellMar>
        <w:tblLook w:val="0420" w:firstRow="1" w:lastRow="0" w:firstColumn="0" w:lastColumn="0" w:noHBand="0" w:noVBand="1"/>
      </w:tblPr>
      <w:tblGrid>
        <w:gridCol w:w="813"/>
        <w:gridCol w:w="3217"/>
        <w:gridCol w:w="546"/>
        <w:gridCol w:w="1404"/>
        <w:gridCol w:w="1286"/>
        <w:gridCol w:w="1228"/>
      </w:tblGrid>
      <w:tr w:rsidR="00387C28" w:rsidRPr="00BE78CA" w14:paraId="325E021D" w14:textId="77777777" w:rsidTr="00BF54C6">
        <w:trPr>
          <w:cantSplit/>
          <w:tblHeader/>
        </w:trPr>
        <w:tc>
          <w:tcPr>
            <w:tcW w:w="0" w:type="auto"/>
            <w:gridSpan w:val="6"/>
            <w:tcBorders>
              <w:top w:val="single" w:sz="4" w:space="0" w:color="365F91"/>
            </w:tcBorders>
            <w:shd w:val="clear" w:color="auto" w:fill="365F91"/>
            <w:tcMar>
              <w:top w:w="0" w:type="dxa"/>
              <w:left w:w="57" w:type="dxa"/>
              <w:bottom w:w="0" w:type="dxa"/>
              <w:right w:w="57" w:type="dxa"/>
            </w:tcMar>
            <w:vAlign w:val="center"/>
          </w:tcPr>
          <w:p w14:paraId="77DE9DF0" w14:textId="77777777" w:rsidR="00387C28" w:rsidRPr="00BE78CA" w:rsidRDefault="00387C28" w:rsidP="00083ECB">
            <w:pPr>
              <w:pStyle w:val="TableTextBold"/>
              <w:spacing w:after="0"/>
              <w:rPr>
                <w:rFonts w:eastAsia="Calibri"/>
                <w:noProof w:val="0"/>
                <w:color w:val="FFFFFF" w:themeColor="background1"/>
              </w:rPr>
            </w:pPr>
            <w:r w:rsidRPr="00BE78CA">
              <w:rPr>
                <w:noProof w:val="0"/>
                <w:color w:val="FFFFFF" w:themeColor="background1"/>
              </w:rPr>
              <w:t>(a) IPCC Tier 1 category level assessment – including LULUCF (net emissions): 2019</w:t>
            </w:r>
          </w:p>
        </w:tc>
      </w:tr>
      <w:tr w:rsidR="0077535C" w:rsidRPr="00BE78CA" w14:paraId="59E9D53E" w14:textId="77777777" w:rsidTr="0077535C">
        <w:trPr>
          <w:cantSplit/>
          <w:tblHeader/>
        </w:trPr>
        <w:tc>
          <w:tcPr>
            <w:tcW w:w="813" w:type="dxa"/>
            <w:tcBorders>
              <w:bottom w:val="single" w:sz="4" w:space="0" w:color="365F91"/>
            </w:tcBorders>
            <w:shd w:val="clear" w:color="auto" w:fill="365F91"/>
            <w:tcMar>
              <w:top w:w="0" w:type="dxa"/>
              <w:left w:w="57" w:type="dxa"/>
              <w:bottom w:w="0" w:type="dxa"/>
              <w:right w:w="57" w:type="dxa"/>
            </w:tcMar>
            <w:vAlign w:val="bottom"/>
          </w:tcPr>
          <w:p w14:paraId="5B83EB2D" w14:textId="77777777" w:rsidR="00387C28" w:rsidRPr="00BE78CA" w:rsidRDefault="00387C28" w:rsidP="00C26084">
            <w:pPr>
              <w:pStyle w:val="TableTextBold"/>
              <w:rPr>
                <w:noProof w:val="0"/>
                <w:color w:val="FFFFFF" w:themeColor="background1"/>
              </w:rPr>
            </w:pPr>
            <w:r w:rsidRPr="00BE78CA">
              <w:rPr>
                <w:rFonts w:eastAsia="Calibri"/>
                <w:noProof w:val="0"/>
                <w:color w:val="FFFFFF" w:themeColor="background1"/>
              </w:rPr>
              <w:t>CRF category code</w:t>
            </w:r>
          </w:p>
        </w:tc>
        <w:tc>
          <w:tcPr>
            <w:tcW w:w="3217" w:type="dxa"/>
            <w:tcBorders>
              <w:bottom w:val="single" w:sz="4" w:space="0" w:color="365F91"/>
            </w:tcBorders>
            <w:shd w:val="clear" w:color="auto" w:fill="365F91"/>
            <w:tcMar>
              <w:top w:w="0" w:type="dxa"/>
              <w:left w:w="57" w:type="dxa"/>
              <w:bottom w:w="0" w:type="dxa"/>
              <w:right w:w="57" w:type="dxa"/>
            </w:tcMar>
            <w:vAlign w:val="bottom"/>
          </w:tcPr>
          <w:p w14:paraId="6EE1F29D" w14:textId="77777777" w:rsidR="00387C28" w:rsidRPr="00BE78CA" w:rsidRDefault="00387C28" w:rsidP="00C26084">
            <w:pPr>
              <w:pStyle w:val="TableTextBold"/>
              <w:rPr>
                <w:noProof w:val="0"/>
                <w:color w:val="FFFFFF" w:themeColor="background1"/>
              </w:rPr>
            </w:pPr>
            <w:r w:rsidRPr="00BE78CA">
              <w:rPr>
                <w:rFonts w:eastAsia="Calibri"/>
                <w:noProof w:val="0"/>
                <w:color w:val="FFFFFF" w:themeColor="background1"/>
              </w:rPr>
              <w:t>IPCC category</w:t>
            </w:r>
          </w:p>
        </w:tc>
        <w:tc>
          <w:tcPr>
            <w:tcW w:w="546" w:type="dxa"/>
            <w:tcBorders>
              <w:bottom w:val="single" w:sz="4" w:space="0" w:color="365F91"/>
            </w:tcBorders>
            <w:shd w:val="clear" w:color="auto" w:fill="365F91"/>
            <w:tcMar>
              <w:top w:w="0" w:type="dxa"/>
              <w:left w:w="57" w:type="dxa"/>
              <w:bottom w:w="0" w:type="dxa"/>
              <w:right w:w="57" w:type="dxa"/>
            </w:tcMar>
            <w:vAlign w:val="bottom"/>
          </w:tcPr>
          <w:p w14:paraId="6D2565FF" w14:textId="77777777" w:rsidR="00387C28" w:rsidRPr="00BE78CA" w:rsidRDefault="00387C28" w:rsidP="006132E1">
            <w:pPr>
              <w:pStyle w:val="TableTextBold"/>
              <w:jc w:val="center"/>
              <w:rPr>
                <w:noProof w:val="0"/>
                <w:color w:val="FFFFFF" w:themeColor="background1"/>
              </w:rPr>
            </w:pPr>
            <w:r w:rsidRPr="00BE78CA">
              <w:rPr>
                <w:rFonts w:eastAsia="Calibri"/>
                <w:noProof w:val="0"/>
                <w:color w:val="FFFFFF" w:themeColor="background1"/>
              </w:rPr>
              <w:t>Gas</w:t>
            </w:r>
          </w:p>
        </w:tc>
        <w:tc>
          <w:tcPr>
            <w:tcW w:w="1404" w:type="dxa"/>
            <w:tcBorders>
              <w:bottom w:val="single" w:sz="4" w:space="0" w:color="365F91"/>
            </w:tcBorders>
            <w:shd w:val="clear" w:color="auto" w:fill="365F91"/>
            <w:tcMar>
              <w:top w:w="0" w:type="dxa"/>
              <w:left w:w="57" w:type="dxa"/>
              <w:bottom w:w="0" w:type="dxa"/>
              <w:right w:w="57" w:type="dxa"/>
            </w:tcMar>
            <w:vAlign w:val="bottom"/>
          </w:tcPr>
          <w:p w14:paraId="4EC6D64E" w14:textId="3D650DA8" w:rsidR="00387C28" w:rsidRPr="00BE78CA" w:rsidRDefault="00387C28" w:rsidP="002B097E">
            <w:pPr>
              <w:pStyle w:val="TableTextBold"/>
              <w:jc w:val="right"/>
              <w:rPr>
                <w:noProof w:val="0"/>
                <w:color w:val="FFFFFF" w:themeColor="background1"/>
              </w:rPr>
            </w:pPr>
            <w:r w:rsidRPr="00BE78CA">
              <w:rPr>
                <w:rFonts w:eastAsia="Calibri"/>
                <w:noProof w:val="0"/>
                <w:color w:val="FFFFFF" w:themeColor="background1"/>
              </w:rPr>
              <w:t>2019 estimate (kt</w:t>
            </w:r>
            <w:r w:rsidR="000178AB" w:rsidRPr="00BE78CA">
              <w:rPr>
                <w:rFonts w:eastAsia="Calibri"/>
                <w:noProof w:val="0"/>
                <w:color w:val="FFFFFF" w:themeColor="background1"/>
              </w:rPr>
              <w:t> </w:t>
            </w:r>
            <w:r w:rsidRPr="00BE78CA">
              <w:rPr>
                <w:rFonts w:eastAsia="Calibri"/>
                <w:noProof w:val="0"/>
                <w:color w:val="FFFFFF" w:themeColor="background1"/>
              </w:rPr>
              <w:t>CO</w:t>
            </w:r>
            <w:r w:rsidRPr="00BE78CA">
              <w:rPr>
                <w:rFonts w:eastAsia="Calibri"/>
                <w:noProof w:val="0"/>
                <w:color w:val="FFFFFF" w:themeColor="background1"/>
                <w:vertAlign w:val="subscript"/>
              </w:rPr>
              <w:t>2</w:t>
            </w:r>
            <w:r w:rsidRPr="00BE78CA">
              <w:rPr>
                <w:rFonts w:eastAsia="Calibri"/>
                <w:noProof w:val="0"/>
                <w:color w:val="FFFFFF" w:themeColor="background1"/>
              </w:rPr>
              <w:t>-equivalent)</w:t>
            </w:r>
          </w:p>
        </w:tc>
        <w:tc>
          <w:tcPr>
            <w:tcW w:w="1286" w:type="dxa"/>
            <w:tcBorders>
              <w:bottom w:val="single" w:sz="4" w:space="0" w:color="365F91"/>
            </w:tcBorders>
            <w:shd w:val="clear" w:color="auto" w:fill="365F91"/>
            <w:tcMar>
              <w:top w:w="0" w:type="dxa"/>
              <w:left w:w="57" w:type="dxa"/>
              <w:bottom w:w="0" w:type="dxa"/>
              <w:right w:w="57" w:type="dxa"/>
            </w:tcMar>
            <w:vAlign w:val="bottom"/>
          </w:tcPr>
          <w:p w14:paraId="3D18531D" w14:textId="00D4BC83" w:rsidR="00387C28" w:rsidRPr="00BE78CA" w:rsidRDefault="00387C28" w:rsidP="002B097E">
            <w:pPr>
              <w:pStyle w:val="TableTextBold"/>
              <w:jc w:val="right"/>
              <w:rPr>
                <w:noProof w:val="0"/>
                <w:color w:val="FFFFFF" w:themeColor="background1"/>
              </w:rPr>
            </w:pPr>
            <w:r w:rsidRPr="00BE78CA">
              <w:rPr>
                <w:rFonts w:eastAsia="Calibri"/>
                <w:noProof w:val="0"/>
                <w:color w:val="FFFFFF" w:themeColor="background1"/>
              </w:rPr>
              <w:t xml:space="preserve">Level assessment </w:t>
            </w:r>
            <w:r w:rsidR="000178AB" w:rsidRPr="00BE78CA">
              <w:rPr>
                <w:rFonts w:eastAsia="Calibri"/>
                <w:noProof w:val="0"/>
                <w:color w:val="FFFFFF" w:themeColor="background1"/>
              </w:rPr>
              <w:br/>
            </w:r>
            <w:r w:rsidRPr="00BE78CA">
              <w:rPr>
                <w:rFonts w:eastAsia="Calibri"/>
                <w:noProof w:val="0"/>
                <w:color w:val="FFFFFF" w:themeColor="background1"/>
              </w:rPr>
              <w:t>(%)</w:t>
            </w:r>
          </w:p>
        </w:tc>
        <w:tc>
          <w:tcPr>
            <w:tcW w:w="1228" w:type="dxa"/>
            <w:tcBorders>
              <w:bottom w:val="single" w:sz="4" w:space="0" w:color="365F91"/>
            </w:tcBorders>
            <w:shd w:val="clear" w:color="auto" w:fill="365F91"/>
            <w:tcMar>
              <w:top w:w="0" w:type="dxa"/>
              <w:left w:w="57" w:type="dxa"/>
              <w:bottom w:w="0" w:type="dxa"/>
              <w:right w:w="57" w:type="dxa"/>
            </w:tcMar>
            <w:vAlign w:val="bottom"/>
          </w:tcPr>
          <w:p w14:paraId="69396523" w14:textId="77777777" w:rsidR="00387C28" w:rsidRPr="00BE78CA" w:rsidRDefault="00387C28" w:rsidP="002B097E">
            <w:pPr>
              <w:pStyle w:val="TableTextBold"/>
              <w:jc w:val="right"/>
              <w:rPr>
                <w:noProof w:val="0"/>
                <w:color w:val="FFFFFF" w:themeColor="background1"/>
              </w:rPr>
            </w:pPr>
            <w:r w:rsidRPr="00BE78CA">
              <w:rPr>
                <w:rFonts w:eastAsia="Calibri"/>
                <w:noProof w:val="0"/>
                <w:color w:val="FFFFFF" w:themeColor="background1"/>
              </w:rPr>
              <w:t>Cumulative total (%)</w:t>
            </w:r>
          </w:p>
        </w:tc>
      </w:tr>
      <w:tr w:rsidR="0077535C" w:rsidRPr="00BE78CA" w14:paraId="28819F4D" w14:textId="77777777" w:rsidTr="0077535C">
        <w:trPr>
          <w:cantSplit/>
        </w:trPr>
        <w:tc>
          <w:tcPr>
            <w:tcW w:w="813" w:type="dxa"/>
            <w:tcBorders>
              <w:top w:val="single" w:sz="4" w:space="0" w:color="365F91"/>
              <w:bottom w:val="single" w:sz="4" w:space="0" w:color="365F91"/>
            </w:tcBorders>
            <w:shd w:val="clear" w:color="auto" w:fill="FFFFFF"/>
            <w:tcMar>
              <w:top w:w="0" w:type="dxa"/>
              <w:left w:w="57" w:type="dxa"/>
              <w:bottom w:w="0" w:type="dxa"/>
              <w:right w:w="57" w:type="dxa"/>
            </w:tcMar>
          </w:tcPr>
          <w:p w14:paraId="7AA68A14" w14:textId="77777777" w:rsidR="00387C28" w:rsidRPr="00BE78CA" w:rsidRDefault="00387C28" w:rsidP="004C0828">
            <w:pPr>
              <w:pStyle w:val="TableText"/>
              <w:spacing w:before="50" w:after="50"/>
            </w:pPr>
            <w:r w:rsidRPr="00BE78CA">
              <w:rPr>
                <w:rFonts w:eastAsia="Calibri"/>
              </w:rPr>
              <w:t>4.A.1</w:t>
            </w:r>
          </w:p>
        </w:tc>
        <w:tc>
          <w:tcPr>
            <w:tcW w:w="3217" w:type="dxa"/>
            <w:tcBorders>
              <w:top w:val="single" w:sz="4" w:space="0" w:color="365F91"/>
              <w:bottom w:val="single" w:sz="4" w:space="0" w:color="365F91"/>
            </w:tcBorders>
            <w:shd w:val="clear" w:color="auto" w:fill="FFFFFF"/>
            <w:tcMar>
              <w:top w:w="0" w:type="dxa"/>
              <w:left w:w="57" w:type="dxa"/>
              <w:bottom w:w="0" w:type="dxa"/>
              <w:right w:w="57" w:type="dxa"/>
            </w:tcMar>
          </w:tcPr>
          <w:p w14:paraId="620C2A4F" w14:textId="77777777" w:rsidR="00387C28" w:rsidRPr="00BE78CA" w:rsidRDefault="00387C28" w:rsidP="004C0828">
            <w:pPr>
              <w:pStyle w:val="TableText"/>
              <w:spacing w:before="50" w:after="50"/>
            </w:pPr>
            <w:r w:rsidRPr="00BE78CA">
              <w:rPr>
                <w:rFonts w:eastAsia="Calibri"/>
              </w:rPr>
              <w:t>Forest Land – Forest Land Remaining Forest Land</w:t>
            </w:r>
          </w:p>
        </w:tc>
        <w:tc>
          <w:tcPr>
            <w:tcW w:w="546" w:type="dxa"/>
            <w:tcBorders>
              <w:top w:val="single" w:sz="4" w:space="0" w:color="365F91"/>
              <w:bottom w:val="single" w:sz="4" w:space="0" w:color="365F91"/>
            </w:tcBorders>
            <w:shd w:val="clear" w:color="auto" w:fill="FFFFFF"/>
            <w:tcMar>
              <w:top w:w="0" w:type="dxa"/>
              <w:left w:w="57" w:type="dxa"/>
              <w:bottom w:w="0" w:type="dxa"/>
              <w:right w:w="57" w:type="dxa"/>
            </w:tcMar>
          </w:tcPr>
          <w:p w14:paraId="07BFFB15" w14:textId="77777777" w:rsidR="00387C28" w:rsidRPr="00BE78CA" w:rsidRDefault="00387C28" w:rsidP="006132E1">
            <w:pPr>
              <w:pStyle w:val="TableText"/>
              <w:spacing w:before="50" w:after="50"/>
              <w:jc w:val="center"/>
            </w:pPr>
            <w:r w:rsidRPr="00BE78CA">
              <w:rPr>
                <w:rFonts w:eastAsia="Calibri"/>
              </w:rPr>
              <w:t>CO</w:t>
            </w:r>
            <w:r w:rsidRPr="00BE78CA">
              <w:rPr>
                <w:rFonts w:eastAsia="Calibri"/>
                <w:vertAlign w:val="subscript"/>
              </w:rPr>
              <w:t>2</w:t>
            </w:r>
          </w:p>
        </w:tc>
        <w:tc>
          <w:tcPr>
            <w:tcW w:w="1404" w:type="dxa"/>
            <w:tcBorders>
              <w:top w:val="single" w:sz="4" w:space="0" w:color="365F91"/>
              <w:bottom w:val="single" w:sz="4" w:space="0" w:color="365F91"/>
            </w:tcBorders>
            <w:shd w:val="clear" w:color="auto" w:fill="FFFFFF"/>
            <w:tcMar>
              <w:top w:w="0" w:type="dxa"/>
              <w:left w:w="57" w:type="dxa"/>
              <w:bottom w:w="0" w:type="dxa"/>
              <w:right w:w="57" w:type="dxa"/>
            </w:tcMar>
          </w:tcPr>
          <w:p w14:paraId="6B101B0F" w14:textId="77777777" w:rsidR="00387C28" w:rsidRPr="00BE78CA" w:rsidRDefault="00387C28" w:rsidP="002B097E">
            <w:pPr>
              <w:pStyle w:val="TableText"/>
              <w:spacing w:before="50" w:after="50"/>
              <w:jc w:val="right"/>
            </w:pPr>
            <w:r w:rsidRPr="00BE78CA">
              <w:rPr>
                <w:rFonts w:eastAsia="Calibri"/>
              </w:rPr>
              <w:t>–17,544.5</w:t>
            </w:r>
          </w:p>
        </w:tc>
        <w:tc>
          <w:tcPr>
            <w:tcW w:w="1286" w:type="dxa"/>
            <w:tcBorders>
              <w:top w:val="single" w:sz="4" w:space="0" w:color="365F91"/>
              <w:bottom w:val="single" w:sz="4" w:space="0" w:color="365F91"/>
            </w:tcBorders>
            <w:shd w:val="clear" w:color="auto" w:fill="FFFFFF"/>
            <w:tcMar>
              <w:top w:w="0" w:type="dxa"/>
              <w:left w:w="57" w:type="dxa"/>
              <w:bottom w:w="0" w:type="dxa"/>
              <w:right w:w="57" w:type="dxa"/>
            </w:tcMar>
          </w:tcPr>
          <w:p w14:paraId="63EB04C2" w14:textId="77777777" w:rsidR="00387C28" w:rsidRPr="00BE78CA" w:rsidRDefault="00387C28" w:rsidP="002B097E">
            <w:pPr>
              <w:pStyle w:val="TableText"/>
              <w:spacing w:before="50" w:after="50"/>
              <w:jc w:val="right"/>
            </w:pPr>
            <w:r w:rsidRPr="00BE78CA">
              <w:rPr>
                <w:rFonts w:eastAsia="Calibri"/>
              </w:rPr>
              <w:t>14.7</w:t>
            </w:r>
          </w:p>
        </w:tc>
        <w:tc>
          <w:tcPr>
            <w:tcW w:w="1228" w:type="dxa"/>
            <w:tcBorders>
              <w:top w:val="single" w:sz="4" w:space="0" w:color="365F91"/>
              <w:bottom w:val="single" w:sz="4" w:space="0" w:color="365F91"/>
              <w:right w:val="single" w:sz="4" w:space="0" w:color="FFFFFF"/>
            </w:tcBorders>
            <w:shd w:val="clear" w:color="auto" w:fill="FFFFFF"/>
            <w:tcMar>
              <w:top w:w="0" w:type="dxa"/>
              <w:left w:w="57" w:type="dxa"/>
              <w:bottom w:w="0" w:type="dxa"/>
              <w:right w:w="57" w:type="dxa"/>
            </w:tcMar>
          </w:tcPr>
          <w:p w14:paraId="4A227F7C" w14:textId="77777777" w:rsidR="00387C28" w:rsidRPr="00BE78CA" w:rsidRDefault="00387C28" w:rsidP="002B097E">
            <w:pPr>
              <w:pStyle w:val="TableText"/>
              <w:spacing w:before="50" w:after="50"/>
              <w:jc w:val="right"/>
            </w:pPr>
            <w:r w:rsidRPr="00BE78CA">
              <w:rPr>
                <w:rFonts w:eastAsia="Calibri"/>
              </w:rPr>
              <w:t>14.7</w:t>
            </w:r>
          </w:p>
        </w:tc>
      </w:tr>
      <w:tr w:rsidR="0077535C" w:rsidRPr="00BE78CA" w14:paraId="710EFB35" w14:textId="77777777" w:rsidTr="0077535C">
        <w:trPr>
          <w:cantSplit/>
        </w:trPr>
        <w:tc>
          <w:tcPr>
            <w:tcW w:w="813" w:type="dxa"/>
            <w:tcBorders>
              <w:top w:val="single" w:sz="4" w:space="0" w:color="365F91"/>
              <w:bottom w:val="single" w:sz="4" w:space="0" w:color="365F91"/>
            </w:tcBorders>
            <w:shd w:val="clear" w:color="auto" w:fill="FFFFFF"/>
            <w:tcMar>
              <w:top w:w="0" w:type="dxa"/>
              <w:left w:w="57" w:type="dxa"/>
              <w:bottom w:w="0" w:type="dxa"/>
              <w:right w:w="57" w:type="dxa"/>
            </w:tcMar>
          </w:tcPr>
          <w:p w14:paraId="0FC90BFE" w14:textId="77777777" w:rsidR="00387C28" w:rsidRPr="00BE78CA" w:rsidRDefault="00387C28" w:rsidP="004C0828">
            <w:pPr>
              <w:pStyle w:val="TableText"/>
              <w:spacing w:before="50" w:after="50"/>
            </w:pPr>
            <w:r w:rsidRPr="00BE78CA">
              <w:rPr>
                <w:rFonts w:eastAsia="Calibri"/>
              </w:rPr>
              <w:t>1.A.3.b</w:t>
            </w:r>
          </w:p>
        </w:tc>
        <w:tc>
          <w:tcPr>
            <w:tcW w:w="3217" w:type="dxa"/>
            <w:tcBorders>
              <w:top w:val="single" w:sz="4" w:space="0" w:color="365F91"/>
              <w:bottom w:val="single" w:sz="4" w:space="0" w:color="365F91"/>
            </w:tcBorders>
            <w:shd w:val="clear" w:color="auto" w:fill="FFFFFF"/>
            <w:tcMar>
              <w:top w:w="0" w:type="dxa"/>
              <w:left w:w="57" w:type="dxa"/>
              <w:bottom w:w="0" w:type="dxa"/>
              <w:right w:w="57" w:type="dxa"/>
            </w:tcMar>
          </w:tcPr>
          <w:p w14:paraId="2EDDB989" w14:textId="77777777" w:rsidR="00387C28" w:rsidRPr="00BE78CA" w:rsidRDefault="00387C28" w:rsidP="004C0828">
            <w:pPr>
              <w:pStyle w:val="TableText"/>
              <w:spacing w:before="50" w:after="50"/>
            </w:pPr>
            <w:r w:rsidRPr="00BE78CA">
              <w:rPr>
                <w:rFonts w:eastAsia="Calibri"/>
              </w:rPr>
              <w:t>Transport – Road Transportation</w:t>
            </w:r>
          </w:p>
        </w:tc>
        <w:tc>
          <w:tcPr>
            <w:tcW w:w="546" w:type="dxa"/>
            <w:tcBorders>
              <w:top w:val="single" w:sz="4" w:space="0" w:color="365F91"/>
              <w:bottom w:val="single" w:sz="4" w:space="0" w:color="365F91"/>
            </w:tcBorders>
            <w:shd w:val="clear" w:color="auto" w:fill="FFFFFF"/>
            <w:tcMar>
              <w:top w:w="0" w:type="dxa"/>
              <w:left w:w="57" w:type="dxa"/>
              <w:bottom w:w="0" w:type="dxa"/>
              <w:right w:w="57" w:type="dxa"/>
            </w:tcMar>
          </w:tcPr>
          <w:p w14:paraId="0B238155" w14:textId="77777777" w:rsidR="00387C28" w:rsidRPr="00BE78CA" w:rsidRDefault="00387C28" w:rsidP="006132E1">
            <w:pPr>
              <w:pStyle w:val="TableText"/>
              <w:spacing w:before="50" w:after="50"/>
              <w:jc w:val="center"/>
            </w:pPr>
            <w:r w:rsidRPr="00BE78CA">
              <w:rPr>
                <w:rFonts w:eastAsia="Calibri"/>
              </w:rPr>
              <w:t>CO</w:t>
            </w:r>
            <w:r w:rsidRPr="00BE78CA">
              <w:rPr>
                <w:rFonts w:eastAsia="Calibri"/>
                <w:vertAlign w:val="subscript"/>
              </w:rPr>
              <w:t>2</w:t>
            </w:r>
          </w:p>
        </w:tc>
        <w:tc>
          <w:tcPr>
            <w:tcW w:w="1404" w:type="dxa"/>
            <w:tcBorders>
              <w:top w:val="single" w:sz="4" w:space="0" w:color="365F91"/>
              <w:bottom w:val="single" w:sz="4" w:space="0" w:color="365F91"/>
            </w:tcBorders>
            <w:shd w:val="clear" w:color="auto" w:fill="FFFFFF"/>
            <w:tcMar>
              <w:top w:w="0" w:type="dxa"/>
              <w:left w:w="57" w:type="dxa"/>
              <w:bottom w:w="0" w:type="dxa"/>
              <w:right w:w="57" w:type="dxa"/>
            </w:tcMar>
          </w:tcPr>
          <w:p w14:paraId="6C255512" w14:textId="77777777" w:rsidR="00387C28" w:rsidRPr="00BE78CA" w:rsidRDefault="00387C28" w:rsidP="002B097E">
            <w:pPr>
              <w:pStyle w:val="TableText"/>
              <w:spacing w:before="50" w:after="50"/>
              <w:jc w:val="right"/>
            </w:pPr>
            <w:r w:rsidRPr="00BE78CA">
              <w:rPr>
                <w:rFonts w:eastAsia="Calibri"/>
              </w:rPr>
              <w:t>14,559.4</w:t>
            </w:r>
          </w:p>
        </w:tc>
        <w:tc>
          <w:tcPr>
            <w:tcW w:w="1286" w:type="dxa"/>
            <w:tcBorders>
              <w:top w:val="single" w:sz="4" w:space="0" w:color="365F91"/>
              <w:bottom w:val="single" w:sz="4" w:space="0" w:color="365F91"/>
            </w:tcBorders>
            <w:shd w:val="clear" w:color="auto" w:fill="FFFFFF"/>
            <w:tcMar>
              <w:top w:w="0" w:type="dxa"/>
              <w:left w:w="57" w:type="dxa"/>
              <w:bottom w:w="0" w:type="dxa"/>
              <w:right w:w="57" w:type="dxa"/>
            </w:tcMar>
          </w:tcPr>
          <w:p w14:paraId="6F3D8068" w14:textId="77777777" w:rsidR="00387C28" w:rsidRPr="00BE78CA" w:rsidRDefault="00387C28" w:rsidP="002B097E">
            <w:pPr>
              <w:pStyle w:val="TableText"/>
              <w:spacing w:before="50" w:after="50"/>
              <w:jc w:val="right"/>
            </w:pPr>
            <w:r w:rsidRPr="00BE78CA">
              <w:rPr>
                <w:rFonts w:eastAsia="Calibri"/>
              </w:rPr>
              <w:t>12.2</w:t>
            </w:r>
          </w:p>
        </w:tc>
        <w:tc>
          <w:tcPr>
            <w:tcW w:w="1228" w:type="dxa"/>
            <w:tcBorders>
              <w:top w:val="single" w:sz="4" w:space="0" w:color="365F91"/>
              <w:bottom w:val="single" w:sz="4" w:space="0" w:color="365F91"/>
              <w:right w:val="single" w:sz="4" w:space="0" w:color="FFFFFF"/>
            </w:tcBorders>
            <w:shd w:val="clear" w:color="auto" w:fill="FFFFFF"/>
            <w:tcMar>
              <w:top w:w="0" w:type="dxa"/>
              <w:left w:w="57" w:type="dxa"/>
              <w:bottom w:w="0" w:type="dxa"/>
              <w:right w:w="57" w:type="dxa"/>
            </w:tcMar>
          </w:tcPr>
          <w:p w14:paraId="25741323" w14:textId="77777777" w:rsidR="00387C28" w:rsidRPr="00BE78CA" w:rsidRDefault="00387C28" w:rsidP="002B097E">
            <w:pPr>
              <w:pStyle w:val="TableText"/>
              <w:spacing w:before="50" w:after="50"/>
              <w:jc w:val="right"/>
            </w:pPr>
            <w:r w:rsidRPr="00BE78CA">
              <w:rPr>
                <w:rFonts w:eastAsia="Calibri"/>
              </w:rPr>
              <w:t>26.8</w:t>
            </w:r>
          </w:p>
        </w:tc>
      </w:tr>
      <w:tr w:rsidR="0077535C" w:rsidRPr="00BE78CA" w14:paraId="447AC884" w14:textId="77777777" w:rsidTr="0077535C">
        <w:trPr>
          <w:cantSplit/>
        </w:trPr>
        <w:tc>
          <w:tcPr>
            <w:tcW w:w="813" w:type="dxa"/>
            <w:tcBorders>
              <w:top w:val="single" w:sz="4" w:space="0" w:color="365F91"/>
              <w:bottom w:val="single" w:sz="4" w:space="0" w:color="365F91"/>
            </w:tcBorders>
            <w:shd w:val="clear" w:color="auto" w:fill="FFFFFF"/>
            <w:tcMar>
              <w:top w:w="0" w:type="dxa"/>
              <w:left w:w="57" w:type="dxa"/>
              <w:bottom w:w="0" w:type="dxa"/>
              <w:right w:w="57" w:type="dxa"/>
            </w:tcMar>
          </w:tcPr>
          <w:p w14:paraId="66C803C2" w14:textId="77777777" w:rsidR="00387C28" w:rsidRPr="00BE78CA" w:rsidRDefault="00387C28" w:rsidP="004C0828">
            <w:pPr>
              <w:pStyle w:val="TableText"/>
              <w:spacing w:before="50" w:after="50"/>
            </w:pPr>
            <w:r w:rsidRPr="00BE78CA">
              <w:rPr>
                <w:rFonts w:eastAsia="Calibri"/>
              </w:rPr>
              <w:t>3.A.1</w:t>
            </w:r>
          </w:p>
        </w:tc>
        <w:tc>
          <w:tcPr>
            <w:tcW w:w="3217" w:type="dxa"/>
            <w:tcBorders>
              <w:top w:val="single" w:sz="4" w:space="0" w:color="365F91"/>
              <w:bottom w:val="single" w:sz="4" w:space="0" w:color="365F91"/>
            </w:tcBorders>
            <w:shd w:val="clear" w:color="auto" w:fill="FFFFFF"/>
            <w:tcMar>
              <w:top w:w="0" w:type="dxa"/>
              <w:left w:w="57" w:type="dxa"/>
              <w:bottom w:w="0" w:type="dxa"/>
              <w:right w:w="57" w:type="dxa"/>
            </w:tcMar>
          </w:tcPr>
          <w:p w14:paraId="22450BB6" w14:textId="77777777" w:rsidR="00387C28" w:rsidRPr="00BE78CA" w:rsidRDefault="00387C28" w:rsidP="004C0828">
            <w:pPr>
              <w:pStyle w:val="TableText"/>
              <w:spacing w:before="50" w:after="50"/>
            </w:pPr>
            <w:r w:rsidRPr="00BE78CA">
              <w:rPr>
                <w:rFonts w:eastAsia="Calibri"/>
              </w:rPr>
              <w:t>Option A – Dairy Cattle</w:t>
            </w:r>
          </w:p>
        </w:tc>
        <w:tc>
          <w:tcPr>
            <w:tcW w:w="546" w:type="dxa"/>
            <w:tcBorders>
              <w:top w:val="single" w:sz="4" w:space="0" w:color="365F91"/>
              <w:bottom w:val="single" w:sz="4" w:space="0" w:color="365F91"/>
            </w:tcBorders>
            <w:shd w:val="clear" w:color="auto" w:fill="FFFFFF"/>
            <w:tcMar>
              <w:top w:w="0" w:type="dxa"/>
              <w:left w:w="57" w:type="dxa"/>
              <w:bottom w:w="0" w:type="dxa"/>
              <w:right w:w="57" w:type="dxa"/>
            </w:tcMar>
          </w:tcPr>
          <w:p w14:paraId="4DDEFD9D" w14:textId="77777777" w:rsidR="00387C28" w:rsidRPr="00BE78CA" w:rsidRDefault="00387C28" w:rsidP="006132E1">
            <w:pPr>
              <w:pStyle w:val="TableText"/>
              <w:spacing w:before="50" w:after="50"/>
              <w:jc w:val="center"/>
            </w:pPr>
            <w:r w:rsidRPr="00BE78CA">
              <w:rPr>
                <w:rFonts w:eastAsia="Calibri"/>
              </w:rPr>
              <w:t>CH</w:t>
            </w:r>
            <w:r w:rsidRPr="00BE78CA">
              <w:rPr>
                <w:rFonts w:eastAsia="Calibri"/>
                <w:vertAlign w:val="subscript"/>
              </w:rPr>
              <w:t>4</w:t>
            </w:r>
          </w:p>
        </w:tc>
        <w:tc>
          <w:tcPr>
            <w:tcW w:w="1404" w:type="dxa"/>
            <w:tcBorders>
              <w:top w:val="single" w:sz="4" w:space="0" w:color="365F91"/>
              <w:bottom w:val="single" w:sz="4" w:space="0" w:color="365F91"/>
            </w:tcBorders>
            <w:shd w:val="clear" w:color="auto" w:fill="FFFFFF"/>
            <w:tcMar>
              <w:top w:w="0" w:type="dxa"/>
              <w:left w:w="57" w:type="dxa"/>
              <w:bottom w:w="0" w:type="dxa"/>
              <w:right w:w="57" w:type="dxa"/>
            </w:tcMar>
          </w:tcPr>
          <w:p w14:paraId="7EB44839" w14:textId="77777777" w:rsidR="00387C28" w:rsidRPr="00BE78CA" w:rsidRDefault="00387C28" w:rsidP="002B097E">
            <w:pPr>
              <w:pStyle w:val="TableText"/>
              <w:spacing w:before="50" w:after="50"/>
              <w:jc w:val="right"/>
            </w:pPr>
            <w:r w:rsidRPr="00BE78CA">
              <w:rPr>
                <w:rFonts w:eastAsia="Calibri"/>
              </w:rPr>
              <w:t>14,013.6</w:t>
            </w:r>
          </w:p>
        </w:tc>
        <w:tc>
          <w:tcPr>
            <w:tcW w:w="1286" w:type="dxa"/>
            <w:tcBorders>
              <w:top w:val="single" w:sz="4" w:space="0" w:color="365F91"/>
              <w:bottom w:val="single" w:sz="4" w:space="0" w:color="365F91"/>
            </w:tcBorders>
            <w:shd w:val="clear" w:color="auto" w:fill="FFFFFF"/>
            <w:tcMar>
              <w:top w:w="0" w:type="dxa"/>
              <w:left w:w="57" w:type="dxa"/>
              <w:bottom w:w="0" w:type="dxa"/>
              <w:right w:w="57" w:type="dxa"/>
            </w:tcMar>
          </w:tcPr>
          <w:p w14:paraId="6543AAE4" w14:textId="77777777" w:rsidR="00387C28" w:rsidRPr="00BE78CA" w:rsidRDefault="00387C28" w:rsidP="002B097E">
            <w:pPr>
              <w:pStyle w:val="TableText"/>
              <w:spacing w:before="50" w:after="50"/>
              <w:jc w:val="right"/>
            </w:pPr>
            <w:r w:rsidRPr="00BE78CA">
              <w:rPr>
                <w:rFonts w:eastAsia="Calibri"/>
              </w:rPr>
              <w:t>11.7</w:t>
            </w:r>
          </w:p>
        </w:tc>
        <w:tc>
          <w:tcPr>
            <w:tcW w:w="1228" w:type="dxa"/>
            <w:tcBorders>
              <w:top w:val="single" w:sz="4" w:space="0" w:color="365F91"/>
              <w:bottom w:val="single" w:sz="4" w:space="0" w:color="365F91"/>
              <w:right w:val="single" w:sz="4" w:space="0" w:color="FFFFFF"/>
            </w:tcBorders>
            <w:shd w:val="clear" w:color="auto" w:fill="FFFFFF"/>
            <w:tcMar>
              <w:top w:w="0" w:type="dxa"/>
              <w:left w:w="57" w:type="dxa"/>
              <w:bottom w:w="0" w:type="dxa"/>
              <w:right w:w="57" w:type="dxa"/>
            </w:tcMar>
          </w:tcPr>
          <w:p w14:paraId="6FFFD427" w14:textId="77777777" w:rsidR="00387C28" w:rsidRPr="00BE78CA" w:rsidRDefault="00387C28" w:rsidP="002B097E">
            <w:pPr>
              <w:pStyle w:val="TableText"/>
              <w:spacing w:before="50" w:after="50"/>
              <w:jc w:val="right"/>
            </w:pPr>
            <w:r w:rsidRPr="00BE78CA">
              <w:rPr>
                <w:rFonts w:eastAsia="Calibri"/>
              </w:rPr>
              <w:t>38.6</w:t>
            </w:r>
          </w:p>
        </w:tc>
      </w:tr>
      <w:tr w:rsidR="0077535C" w:rsidRPr="00BE78CA" w14:paraId="0EC1622B" w14:textId="77777777" w:rsidTr="0077535C">
        <w:trPr>
          <w:cantSplit/>
        </w:trPr>
        <w:tc>
          <w:tcPr>
            <w:tcW w:w="813" w:type="dxa"/>
            <w:tcBorders>
              <w:top w:val="single" w:sz="4" w:space="0" w:color="365F91"/>
              <w:bottom w:val="single" w:sz="4" w:space="0" w:color="365F91"/>
            </w:tcBorders>
            <w:shd w:val="clear" w:color="auto" w:fill="FFFFFF"/>
            <w:tcMar>
              <w:top w:w="0" w:type="dxa"/>
              <w:left w:w="57" w:type="dxa"/>
              <w:bottom w:w="0" w:type="dxa"/>
              <w:right w:w="57" w:type="dxa"/>
            </w:tcMar>
          </w:tcPr>
          <w:p w14:paraId="356B3C9B" w14:textId="77777777" w:rsidR="00387C28" w:rsidRPr="00BE78CA" w:rsidRDefault="00387C28" w:rsidP="004C0828">
            <w:pPr>
              <w:pStyle w:val="TableText"/>
              <w:spacing w:before="50" w:after="50"/>
            </w:pPr>
            <w:r w:rsidRPr="00BE78CA">
              <w:rPr>
                <w:rFonts w:eastAsia="Calibri"/>
              </w:rPr>
              <w:t>4.G</w:t>
            </w:r>
          </w:p>
        </w:tc>
        <w:tc>
          <w:tcPr>
            <w:tcW w:w="3217" w:type="dxa"/>
            <w:tcBorders>
              <w:top w:val="single" w:sz="4" w:space="0" w:color="365F91"/>
              <w:bottom w:val="single" w:sz="4" w:space="0" w:color="365F91"/>
            </w:tcBorders>
            <w:shd w:val="clear" w:color="auto" w:fill="FFFFFF"/>
            <w:tcMar>
              <w:top w:w="0" w:type="dxa"/>
              <w:left w:w="57" w:type="dxa"/>
              <w:bottom w:w="0" w:type="dxa"/>
              <w:right w:w="57" w:type="dxa"/>
            </w:tcMar>
          </w:tcPr>
          <w:p w14:paraId="6E00D92D" w14:textId="77777777" w:rsidR="00387C28" w:rsidRPr="00BE78CA" w:rsidRDefault="00387C28" w:rsidP="004C0828">
            <w:pPr>
              <w:pStyle w:val="TableText"/>
              <w:spacing w:before="50" w:after="50"/>
            </w:pPr>
            <w:r w:rsidRPr="00BE78CA">
              <w:rPr>
                <w:rFonts w:eastAsia="Calibri"/>
              </w:rPr>
              <w:t>Land Use, Land-Use Change and Forestry – Harvested Wood Products</w:t>
            </w:r>
          </w:p>
        </w:tc>
        <w:tc>
          <w:tcPr>
            <w:tcW w:w="546" w:type="dxa"/>
            <w:tcBorders>
              <w:top w:val="single" w:sz="4" w:space="0" w:color="365F91"/>
              <w:bottom w:val="single" w:sz="4" w:space="0" w:color="365F91"/>
            </w:tcBorders>
            <w:shd w:val="clear" w:color="auto" w:fill="FFFFFF"/>
            <w:tcMar>
              <w:top w:w="0" w:type="dxa"/>
              <w:left w:w="57" w:type="dxa"/>
              <w:bottom w:w="0" w:type="dxa"/>
              <w:right w:w="57" w:type="dxa"/>
            </w:tcMar>
          </w:tcPr>
          <w:p w14:paraId="31988F81" w14:textId="77777777" w:rsidR="00387C28" w:rsidRPr="00BE78CA" w:rsidRDefault="00387C28" w:rsidP="006132E1">
            <w:pPr>
              <w:pStyle w:val="TableText"/>
              <w:spacing w:before="50" w:after="50"/>
              <w:jc w:val="center"/>
            </w:pPr>
            <w:r w:rsidRPr="00BE78CA">
              <w:rPr>
                <w:rFonts w:eastAsia="Calibri"/>
              </w:rPr>
              <w:t>CO</w:t>
            </w:r>
            <w:r w:rsidRPr="00BE78CA">
              <w:rPr>
                <w:rFonts w:eastAsia="Calibri"/>
                <w:vertAlign w:val="subscript"/>
              </w:rPr>
              <w:t>2</w:t>
            </w:r>
          </w:p>
        </w:tc>
        <w:tc>
          <w:tcPr>
            <w:tcW w:w="1404" w:type="dxa"/>
            <w:tcBorders>
              <w:top w:val="single" w:sz="4" w:space="0" w:color="365F91"/>
              <w:bottom w:val="single" w:sz="4" w:space="0" w:color="365F91"/>
            </w:tcBorders>
            <w:shd w:val="clear" w:color="auto" w:fill="FFFFFF"/>
            <w:tcMar>
              <w:top w:w="0" w:type="dxa"/>
              <w:left w:w="57" w:type="dxa"/>
              <w:bottom w:w="0" w:type="dxa"/>
              <w:right w:w="57" w:type="dxa"/>
            </w:tcMar>
          </w:tcPr>
          <w:p w14:paraId="44C620F4" w14:textId="77777777" w:rsidR="00387C28" w:rsidRPr="00BE78CA" w:rsidRDefault="00387C28" w:rsidP="002B097E">
            <w:pPr>
              <w:pStyle w:val="TableText"/>
              <w:spacing w:before="50" w:after="50"/>
              <w:jc w:val="right"/>
            </w:pPr>
            <w:r w:rsidRPr="00BE78CA">
              <w:rPr>
                <w:rFonts w:eastAsia="Calibri"/>
              </w:rPr>
              <w:t>–10,067.3</w:t>
            </w:r>
          </w:p>
        </w:tc>
        <w:tc>
          <w:tcPr>
            <w:tcW w:w="1286" w:type="dxa"/>
            <w:tcBorders>
              <w:top w:val="single" w:sz="4" w:space="0" w:color="365F91"/>
              <w:bottom w:val="single" w:sz="4" w:space="0" w:color="365F91"/>
            </w:tcBorders>
            <w:shd w:val="clear" w:color="auto" w:fill="FFFFFF"/>
            <w:tcMar>
              <w:top w:w="0" w:type="dxa"/>
              <w:left w:w="57" w:type="dxa"/>
              <w:bottom w:w="0" w:type="dxa"/>
              <w:right w:w="57" w:type="dxa"/>
            </w:tcMar>
          </w:tcPr>
          <w:p w14:paraId="7FEB095A" w14:textId="77777777" w:rsidR="00387C28" w:rsidRPr="00BE78CA" w:rsidRDefault="00387C28" w:rsidP="002B097E">
            <w:pPr>
              <w:pStyle w:val="TableText"/>
              <w:spacing w:before="50" w:after="50"/>
              <w:jc w:val="right"/>
            </w:pPr>
            <w:r w:rsidRPr="00BE78CA">
              <w:rPr>
                <w:rFonts w:eastAsia="Calibri"/>
              </w:rPr>
              <w:t>8.4</w:t>
            </w:r>
          </w:p>
        </w:tc>
        <w:tc>
          <w:tcPr>
            <w:tcW w:w="1228" w:type="dxa"/>
            <w:tcBorders>
              <w:top w:val="single" w:sz="4" w:space="0" w:color="365F91"/>
              <w:bottom w:val="single" w:sz="4" w:space="0" w:color="365F91"/>
              <w:right w:val="single" w:sz="4" w:space="0" w:color="FFFFFF"/>
            </w:tcBorders>
            <w:shd w:val="clear" w:color="auto" w:fill="FFFFFF"/>
            <w:tcMar>
              <w:top w:w="0" w:type="dxa"/>
              <w:left w:w="57" w:type="dxa"/>
              <w:bottom w:w="0" w:type="dxa"/>
              <w:right w:w="57" w:type="dxa"/>
            </w:tcMar>
          </w:tcPr>
          <w:p w14:paraId="76D2C44B" w14:textId="77777777" w:rsidR="00387C28" w:rsidRPr="00BE78CA" w:rsidRDefault="00387C28" w:rsidP="002B097E">
            <w:pPr>
              <w:pStyle w:val="TableText"/>
              <w:spacing w:before="50" w:after="50"/>
              <w:jc w:val="right"/>
            </w:pPr>
            <w:r w:rsidRPr="00BE78CA">
              <w:rPr>
                <w:rFonts w:eastAsia="Calibri"/>
              </w:rPr>
              <w:t>47.0</w:t>
            </w:r>
          </w:p>
        </w:tc>
      </w:tr>
      <w:tr w:rsidR="0077535C" w:rsidRPr="00BE78CA" w14:paraId="10EACC8E" w14:textId="77777777" w:rsidTr="0077535C">
        <w:trPr>
          <w:cantSplit/>
        </w:trPr>
        <w:tc>
          <w:tcPr>
            <w:tcW w:w="813" w:type="dxa"/>
            <w:tcBorders>
              <w:top w:val="single" w:sz="4" w:space="0" w:color="365F91"/>
              <w:bottom w:val="single" w:sz="4" w:space="0" w:color="365F91"/>
            </w:tcBorders>
            <w:shd w:val="clear" w:color="auto" w:fill="FFFFFF"/>
            <w:tcMar>
              <w:top w:w="0" w:type="dxa"/>
              <w:left w:w="57" w:type="dxa"/>
              <w:bottom w:w="0" w:type="dxa"/>
              <w:right w:w="57" w:type="dxa"/>
            </w:tcMar>
          </w:tcPr>
          <w:p w14:paraId="2BDFB4E8" w14:textId="77777777" w:rsidR="00387C28" w:rsidRPr="00BE78CA" w:rsidRDefault="00387C28" w:rsidP="004C0828">
            <w:pPr>
              <w:pStyle w:val="TableText"/>
              <w:spacing w:before="50" w:after="50"/>
            </w:pPr>
            <w:r w:rsidRPr="00BE78CA">
              <w:rPr>
                <w:rFonts w:eastAsia="Calibri"/>
              </w:rPr>
              <w:t>3.A.2</w:t>
            </w:r>
          </w:p>
        </w:tc>
        <w:tc>
          <w:tcPr>
            <w:tcW w:w="3217" w:type="dxa"/>
            <w:tcBorders>
              <w:top w:val="single" w:sz="4" w:space="0" w:color="365F91"/>
              <w:bottom w:val="single" w:sz="4" w:space="0" w:color="365F91"/>
            </w:tcBorders>
            <w:shd w:val="clear" w:color="auto" w:fill="FFFFFF"/>
            <w:tcMar>
              <w:top w:w="0" w:type="dxa"/>
              <w:left w:w="57" w:type="dxa"/>
              <w:bottom w:w="0" w:type="dxa"/>
              <w:right w:w="57" w:type="dxa"/>
            </w:tcMar>
          </w:tcPr>
          <w:p w14:paraId="402C0558" w14:textId="77777777" w:rsidR="00387C28" w:rsidRPr="00BE78CA" w:rsidRDefault="00387C28" w:rsidP="004C0828">
            <w:pPr>
              <w:pStyle w:val="TableText"/>
              <w:spacing w:before="50" w:after="50"/>
            </w:pPr>
            <w:r w:rsidRPr="00BE78CA">
              <w:rPr>
                <w:rFonts w:eastAsia="Calibri"/>
              </w:rPr>
              <w:t>Other (please specify) – Sheep</w:t>
            </w:r>
          </w:p>
        </w:tc>
        <w:tc>
          <w:tcPr>
            <w:tcW w:w="546" w:type="dxa"/>
            <w:tcBorders>
              <w:top w:val="single" w:sz="4" w:space="0" w:color="365F91"/>
              <w:bottom w:val="single" w:sz="4" w:space="0" w:color="365F91"/>
            </w:tcBorders>
            <w:shd w:val="clear" w:color="auto" w:fill="FFFFFF"/>
            <w:tcMar>
              <w:top w:w="0" w:type="dxa"/>
              <w:left w:w="57" w:type="dxa"/>
              <w:bottom w:w="0" w:type="dxa"/>
              <w:right w:w="57" w:type="dxa"/>
            </w:tcMar>
          </w:tcPr>
          <w:p w14:paraId="73D5CB5F" w14:textId="77777777" w:rsidR="00387C28" w:rsidRPr="00BE78CA" w:rsidRDefault="00387C28" w:rsidP="006132E1">
            <w:pPr>
              <w:pStyle w:val="TableText"/>
              <w:spacing w:before="50" w:after="50"/>
              <w:jc w:val="center"/>
            </w:pPr>
            <w:r w:rsidRPr="00BE78CA">
              <w:rPr>
                <w:rFonts w:eastAsia="Calibri"/>
              </w:rPr>
              <w:t>CH</w:t>
            </w:r>
            <w:r w:rsidRPr="00BE78CA">
              <w:rPr>
                <w:rFonts w:eastAsia="Calibri"/>
                <w:vertAlign w:val="subscript"/>
              </w:rPr>
              <w:t>4</w:t>
            </w:r>
          </w:p>
        </w:tc>
        <w:tc>
          <w:tcPr>
            <w:tcW w:w="1404" w:type="dxa"/>
            <w:tcBorders>
              <w:top w:val="single" w:sz="4" w:space="0" w:color="365F91"/>
              <w:bottom w:val="single" w:sz="4" w:space="0" w:color="365F91"/>
            </w:tcBorders>
            <w:shd w:val="clear" w:color="auto" w:fill="FFFFFF"/>
            <w:tcMar>
              <w:top w:w="0" w:type="dxa"/>
              <w:left w:w="57" w:type="dxa"/>
              <w:bottom w:w="0" w:type="dxa"/>
              <w:right w:w="57" w:type="dxa"/>
            </w:tcMar>
          </w:tcPr>
          <w:p w14:paraId="6BE7E383" w14:textId="77777777" w:rsidR="00387C28" w:rsidRPr="00BE78CA" w:rsidRDefault="00387C28" w:rsidP="002B097E">
            <w:pPr>
              <w:pStyle w:val="TableText"/>
              <w:spacing w:before="50" w:after="50"/>
              <w:jc w:val="right"/>
            </w:pPr>
            <w:r w:rsidRPr="00BE78CA">
              <w:rPr>
                <w:rFonts w:eastAsia="Calibri"/>
              </w:rPr>
              <w:t>8,527.2</w:t>
            </w:r>
          </w:p>
        </w:tc>
        <w:tc>
          <w:tcPr>
            <w:tcW w:w="1286" w:type="dxa"/>
            <w:tcBorders>
              <w:top w:val="single" w:sz="4" w:space="0" w:color="365F91"/>
              <w:bottom w:val="single" w:sz="4" w:space="0" w:color="365F91"/>
            </w:tcBorders>
            <w:shd w:val="clear" w:color="auto" w:fill="FFFFFF"/>
            <w:tcMar>
              <w:top w:w="0" w:type="dxa"/>
              <w:left w:w="57" w:type="dxa"/>
              <w:bottom w:w="0" w:type="dxa"/>
              <w:right w:w="57" w:type="dxa"/>
            </w:tcMar>
          </w:tcPr>
          <w:p w14:paraId="3A0FF6ED" w14:textId="77777777" w:rsidR="00387C28" w:rsidRPr="00BE78CA" w:rsidRDefault="00387C28" w:rsidP="002B097E">
            <w:pPr>
              <w:pStyle w:val="TableText"/>
              <w:spacing w:before="50" w:after="50"/>
              <w:jc w:val="right"/>
            </w:pPr>
            <w:r w:rsidRPr="00BE78CA">
              <w:rPr>
                <w:rFonts w:eastAsia="Calibri"/>
              </w:rPr>
              <w:t>7.1</w:t>
            </w:r>
          </w:p>
        </w:tc>
        <w:tc>
          <w:tcPr>
            <w:tcW w:w="1228" w:type="dxa"/>
            <w:tcBorders>
              <w:top w:val="single" w:sz="4" w:space="0" w:color="365F91"/>
              <w:bottom w:val="single" w:sz="4" w:space="0" w:color="365F91"/>
              <w:right w:val="single" w:sz="4" w:space="0" w:color="FFFFFF"/>
            </w:tcBorders>
            <w:shd w:val="clear" w:color="auto" w:fill="FFFFFF"/>
            <w:tcMar>
              <w:top w:w="0" w:type="dxa"/>
              <w:left w:w="57" w:type="dxa"/>
              <w:bottom w:w="0" w:type="dxa"/>
              <w:right w:w="57" w:type="dxa"/>
            </w:tcMar>
          </w:tcPr>
          <w:p w14:paraId="1180AFF4" w14:textId="77777777" w:rsidR="00387C28" w:rsidRPr="00BE78CA" w:rsidRDefault="00387C28" w:rsidP="002B097E">
            <w:pPr>
              <w:pStyle w:val="TableText"/>
              <w:spacing w:before="50" w:after="50"/>
              <w:jc w:val="right"/>
            </w:pPr>
            <w:r w:rsidRPr="00BE78CA">
              <w:rPr>
                <w:rFonts w:eastAsia="Calibri"/>
              </w:rPr>
              <w:t>54.1</w:t>
            </w:r>
          </w:p>
        </w:tc>
      </w:tr>
      <w:tr w:rsidR="0077535C" w:rsidRPr="00BE78CA" w14:paraId="3AF3D6B6" w14:textId="77777777" w:rsidTr="0077535C">
        <w:trPr>
          <w:cantSplit/>
        </w:trPr>
        <w:tc>
          <w:tcPr>
            <w:tcW w:w="813" w:type="dxa"/>
            <w:tcBorders>
              <w:top w:val="single" w:sz="4" w:space="0" w:color="365F91"/>
              <w:bottom w:val="single" w:sz="4" w:space="0" w:color="365F91"/>
            </w:tcBorders>
            <w:shd w:val="clear" w:color="auto" w:fill="FFFFFF"/>
            <w:tcMar>
              <w:top w:w="0" w:type="dxa"/>
              <w:left w:w="57" w:type="dxa"/>
              <w:bottom w:w="0" w:type="dxa"/>
              <w:right w:w="57" w:type="dxa"/>
            </w:tcMar>
          </w:tcPr>
          <w:p w14:paraId="1AB61DCF" w14:textId="77777777" w:rsidR="00387C28" w:rsidRPr="00BE78CA" w:rsidRDefault="00387C28" w:rsidP="004C0828">
            <w:pPr>
              <w:pStyle w:val="TableText"/>
              <w:spacing w:before="50" w:after="50"/>
            </w:pPr>
            <w:r w:rsidRPr="00BE78CA">
              <w:rPr>
                <w:rFonts w:eastAsia="Calibri"/>
              </w:rPr>
              <w:t>3.A.1</w:t>
            </w:r>
          </w:p>
        </w:tc>
        <w:tc>
          <w:tcPr>
            <w:tcW w:w="3217" w:type="dxa"/>
            <w:tcBorders>
              <w:top w:val="single" w:sz="4" w:space="0" w:color="365F91"/>
              <w:bottom w:val="single" w:sz="4" w:space="0" w:color="365F91"/>
            </w:tcBorders>
            <w:shd w:val="clear" w:color="auto" w:fill="FFFFFF"/>
            <w:tcMar>
              <w:top w:w="0" w:type="dxa"/>
              <w:left w:w="57" w:type="dxa"/>
              <w:bottom w:w="0" w:type="dxa"/>
              <w:right w:w="57" w:type="dxa"/>
            </w:tcMar>
          </w:tcPr>
          <w:p w14:paraId="57A246D8" w14:textId="77777777" w:rsidR="00387C28" w:rsidRPr="00BE78CA" w:rsidRDefault="00387C28" w:rsidP="004C0828">
            <w:pPr>
              <w:pStyle w:val="TableText"/>
              <w:spacing w:before="50" w:after="50"/>
            </w:pPr>
            <w:r w:rsidRPr="00BE78CA">
              <w:rPr>
                <w:rFonts w:eastAsia="Calibri"/>
              </w:rPr>
              <w:t xml:space="preserve">Option A – Non-Dairy </w:t>
            </w:r>
            <w:r w:rsidRPr="00BE78CA">
              <w:rPr>
                <w:rFonts w:eastAsia="Calibri"/>
                <w:i/>
                <w:iCs/>
              </w:rPr>
              <w:t>(Beef)</w:t>
            </w:r>
            <w:r w:rsidRPr="00BE78CA">
              <w:rPr>
                <w:rFonts w:eastAsia="Calibri"/>
              </w:rPr>
              <w:t xml:space="preserve"> Cattle</w:t>
            </w:r>
          </w:p>
        </w:tc>
        <w:tc>
          <w:tcPr>
            <w:tcW w:w="546" w:type="dxa"/>
            <w:tcBorders>
              <w:top w:val="single" w:sz="4" w:space="0" w:color="365F91"/>
              <w:bottom w:val="single" w:sz="4" w:space="0" w:color="365F91"/>
            </w:tcBorders>
            <w:shd w:val="clear" w:color="auto" w:fill="FFFFFF"/>
            <w:tcMar>
              <w:top w:w="0" w:type="dxa"/>
              <w:left w:w="57" w:type="dxa"/>
              <w:bottom w:w="0" w:type="dxa"/>
              <w:right w:w="57" w:type="dxa"/>
            </w:tcMar>
          </w:tcPr>
          <w:p w14:paraId="0784B29A" w14:textId="77777777" w:rsidR="00387C28" w:rsidRPr="00BE78CA" w:rsidRDefault="00387C28" w:rsidP="006132E1">
            <w:pPr>
              <w:pStyle w:val="TableText"/>
              <w:spacing w:before="50" w:after="50"/>
              <w:jc w:val="center"/>
            </w:pPr>
            <w:r w:rsidRPr="00BE78CA">
              <w:rPr>
                <w:rFonts w:eastAsia="Calibri"/>
              </w:rPr>
              <w:t>CH</w:t>
            </w:r>
            <w:r w:rsidRPr="00BE78CA">
              <w:rPr>
                <w:rFonts w:eastAsia="Calibri"/>
                <w:vertAlign w:val="subscript"/>
              </w:rPr>
              <w:t>4</w:t>
            </w:r>
          </w:p>
        </w:tc>
        <w:tc>
          <w:tcPr>
            <w:tcW w:w="1404" w:type="dxa"/>
            <w:tcBorders>
              <w:top w:val="single" w:sz="4" w:space="0" w:color="365F91"/>
              <w:bottom w:val="single" w:sz="4" w:space="0" w:color="365F91"/>
            </w:tcBorders>
            <w:shd w:val="clear" w:color="auto" w:fill="FFFFFF"/>
            <w:tcMar>
              <w:top w:w="0" w:type="dxa"/>
              <w:left w:w="57" w:type="dxa"/>
              <w:bottom w:w="0" w:type="dxa"/>
              <w:right w:w="57" w:type="dxa"/>
            </w:tcMar>
          </w:tcPr>
          <w:p w14:paraId="08C4612A" w14:textId="77777777" w:rsidR="00387C28" w:rsidRPr="00BE78CA" w:rsidRDefault="00387C28" w:rsidP="002B097E">
            <w:pPr>
              <w:pStyle w:val="TableText"/>
              <w:spacing w:before="50" w:after="50"/>
              <w:jc w:val="right"/>
            </w:pPr>
            <w:r w:rsidRPr="00BE78CA">
              <w:rPr>
                <w:rFonts w:eastAsia="Calibri"/>
              </w:rPr>
              <w:t>5,893.7</w:t>
            </w:r>
          </w:p>
        </w:tc>
        <w:tc>
          <w:tcPr>
            <w:tcW w:w="1286" w:type="dxa"/>
            <w:tcBorders>
              <w:top w:val="single" w:sz="4" w:space="0" w:color="365F91"/>
              <w:bottom w:val="single" w:sz="4" w:space="0" w:color="365F91"/>
            </w:tcBorders>
            <w:shd w:val="clear" w:color="auto" w:fill="FFFFFF"/>
            <w:tcMar>
              <w:top w:w="0" w:type="dxa"/>
              <w:left w:w="57" w:type="dxa"/>
              <w:bottom w:w="0" w:type="dxa"/>
              <w:right w:w="57" w:type="dxa"/>
            </w:tcMar>
          </w:tcPr>
          <w:p w14:paraId="70D049F8" w14:textId="77777777" w:rsidR="00387C28" w:rsidRPr="00BE78CA" w:rsidRDefault="00387C28" w:rsidP="002B097E">
            <w:pPr>
              <w:pStyle w:val="TableText"/>
              <w:spacing w:before="50" w:after="50"/>
              <w:jc w:val="right"/>
            </w:pPr>
            <w:r w:rsidRPr="00BE78CA">
              <w:rPr>
                <w:rFonts w:eastAsia="Calibri"/>
              </w:rPr>
              <w:t>4.9</w:t>
            </w:r>
          </w:p>
        </w:tc>
        <w:tc>
          <w:tcPr>
            <w:tcW w:w="1228" w:type="dxa"/>
            <w:tcBorders>
              <w:top w:val="single" w:sz="4" w:space="0" w:color="365F91"/>
              <w:bottom w:val="single" w:sz="4" w:space="0" w:color="365F91"/>
              <w:right w:val="single" w:sz="4" w:space="0" w:color="FFFFFF"/>
            </w:tcBorders>
            <w:shd w:val="clear" w:color="auto" w:fill="FFFFFF"/>
            <w:tcMar>
              <w:top w:w="0" w:type="dxa"/>
              <w:left w:w="57" w:type="dxa"/>
              <w:bottom w:w="0" w:type="dxa"/>
              <w:right w:w="57" w:type="dxa"/>
            </w:tcMar>
          </w:tcPr>
          <w:p w14:paraId="01B29467" w14:textId="77777777" w:rsidR="00387C28" w:rsidRPr="00BE78CA" w:rsidRDefault="00387C28" w:rsidP="002B097E">
            <w:pPr>
              <w:pStyle w:val="TableText"/>
              <w:spacing w:before="50" w:after="50"/>
              <w:jc w:val="right"/>
            </w:pPr>
            <w:r w:rsidRPr="00BE78CA">
              <w:rPr>
                <w:rFonts w:eastAsia="Calibri"/>
              </w:rPr>
              <w:t>59.0</w:t>
            </w:r>
          </w:p>
        </w:tc>
      </w:tr>
      <w:tr w:rsidR="0077535C" w:rsidRPr="00BE78CA" w14:paraId="111B1E15" w14:textId="77777777" w:rsidTr="0077535C">
        <w:trPr>
          <w:cantSplit/>
        </w:trPr>
        <w:tc>
          <w:tcPr>
            <w:tcW w:w="813" w:type="dxa"/>
            <w:tcBorders>
              <w:top w:val="single" w:sz="4" w:space="0" w:color="365F91"/>
              <w:bottom w:val="single" w:sz="4" w:space="0" w:color="365F91"/>
            </w:tcBorders>
            <w:shd w:val="clear" w:color="auto" w:fill="FFFFFF"/>
            <w:tcMar>
              <w:top w:w="0" w:type="dxa"/>
              <w:left w:w="57" w:type="dxa"/>
              <w:bottom w:w="0" w:type="dxa"/>
              <w:right w:w="57" w:type="dxa"/>
            </w:tcMar>
          </w:tcPr>
          <w:p w14:paraId="3780CCCD" w14:textId="77777777" w:rsidR="00387C28" w:rsidRPr="00BE78CA" w:rsidRDefault="00387C28" w:rsidP="004C0828">
            <w:pPr>
              <w:pStyle w:val="TableText"/>
              <w:spacing w:before="50" w:after="50"/>
            </w:pPr>
            <w:r w:rsidRPr="00BE78CA">
              <w:rPr>
                <w:rFonts w:eastAsia="Calibri"/>
              </w:rPr>
              <w:t>4.A.2</w:t>
            </w:r>
          </w:p>
        </w:tc>
        <w:tc>
          <w:tcPr>
            <w:tcW w:w="3217" w:type="dxa"/>
            <w:tcBorders>
              <w:top w:val="single" w:sz="4" w:space="0" w:color="365F91"/>
              <w:bottom w:val="single" w:sz="4" w:space="0" w:color="365F91"/>
            </w:tcBorders>
            <w:shd w:val="clear" w:color="auto" w:fill="FFFFFF"/>
            <w:tcMar>
              <w:top w:w="0" w:type="dxa"/>
              <w:left w:w="57" w:type="dxa"/>
              <w:bottom w:w="0" w:type="dxa"/>
              <w:right w:w="57" w:type="dxa"/>
            </w:tcMar>
          </w:tcPr>
          <w:p w14:paraId="633DA64B" w14:textId="77777777" w:rsidR="00387C28" w:rsidRPr="00BE78CA" w:rsidRDefault="00387C28" w:rsidP="004C0828">
            <w:pPr>
              <w:pStyle w:val="TableText"/>
              <w:spacing w:before="50" w:after="50"/>
            </w:pPr>
            <w:r w:rsidRPr="00BE78CA">
              <w:rPr>
                <w:rFonts w:eastAsia="Calibri"/>
              </w:rPr>
              <w:t>Forest Land – Land Converted to Forest Land</w:t>
            </w:r>
          </w:p>
        </w:tc>
        <w:tc>
          <w:tcPr>
            <w:tcW w:w="546" w:type="dxa"/>
            <w:tcBorders>
              <w:top w:val="single" w:sz="4" w:space="0" w:color="365F91"/>
              <w:bottom w:val="single" w:sz="4" w:space="0" w:color="365F91"/>
            </w:tcBorders>
            <w:shd w:val="clear" w:color="auto" w:fill="FFFFFF"/>
            <w:tcMar>
              <w:top w:w="0" w:type="dxa"/>
              <w:left w:w="57" w:type="dxa"/>
              <w:bottom w:w="0" w:type="dxa"/>
              <w:right w:w="57" w:type="dxa"/>
            </w:tcMar>
          </w:tcPr>
          <w:p w14:paraId="4F217292" w14:textId="77777777" w:rsidR="00387C28" w:rsidRPr="00BE78CA" w:rsidRDefault="00387C28" w:rsidP="006132E1">
            <w:pPr>
              <w:pStyle w:val="TableText"/>
              <w:spacing w:before="50" w:after="50"/>
              <w:jc w:val="center"/>
            </w:pPr>
            <w:r w:rsidRPr="00BE78CA">
              <w:rPr>
                <w:rFonts w:eastAsia="Calibri"/>
              </w:rPr>
              <w:t>CO</w:t>
            </w:r>
            <w:r w:rsidRPr="00BE78CA">
              <w:rPr>
                <w:rFonts w:eastAsia="Calibri"/>
                <w:vertAlign w:val="subscript"/>
              </w:rPr>
              <w:t>2</w:t>
            </w:r>
          </w:p>
        </w:tc>
        <w:tc>
          <w:tcPr>
            <w:tcW w:w="1404" w:type="dxa"/>
            <w:tcBorders>
              <w:top w:val="single" w:sz="4" w:space="0" w:color="365F91"/>
              <w:bottom w:val="single" w:sz="4" w:space="0" w:color="365F91"/>
            </w:tcBorders>
            <w:shd w:val="clear" w:color="auto" w:fill="FFFFFF"/>
            <w:tcMar>
              <w:top w:w="0" w:type="dxa"/>
              <w:left w:w="57" w:type="dxa"/>
              <w:bottom w:w="0" w:type="dxa"/>
              <w:right w:w="57" w:type="dxa"/>
            </w:tcMar>
          </w:tcPr>
          <w:p w14:paraId="51353762" w14:textId="77777777" w:rsidR="00387C28" w:rsidRPr="00BE78CA" w:rsidRDefault="00387C28" w:rsidP="002B097E">
            <w:pPr>
              <w:pStyle w:val="TableText"/>
              <w:spacing w:before="50" w:after="50"/>
              <w:jc w:val="right"/>
            </w:pPr>
            <w:r w:rsidRPr="00BE78CA">
              <w:rPr>
                <w:rFonts w:eastAsia="Calibri"/>
              </w:rPr>
              <w:t>–4,736.0</w:t>
            </w:r>
          </w:p>
        </w:tc>
        <w:tc>
          <w:tcPr>
            <w:tcW w:w="1286" w:type="dxa"/>
            <w:tcBorders>
              <w:top w:val="single" w:sz="4" w:space="0" w:color="365F91"/>
              <w:bottom w:val="single" w:sz="4" w:space="0" w:color="365F91"/>
            </w:tcBorders>
            <w:shd w:val="clear" w:color="auto" w:fill="FFFFFF"/>
            <w:tcMar>
              <w:top w:w="0" w:type="dxa"/>
              <w:left w:w="57" w:type="dxa"/>
              <w:bottom w:w="0" w:type="dxa"/>
              <w:right w:w="57" w:type="dxa"/>
            </w:tcMar>
          </w:tcPr>
          <w:p w14:paraId="019A9D79" w14:textId="77777777" w:rsidR="00387C28" w:rsidRPr="00BE78CA" w:rsidRDefault="00387C28" w:rsidP="002B097E">
            <w:pPr>
              <w:pStyle w:val="TableText"/>
              <w:spacing w:before="50" w:after="50"/>
              <w:jc w:val="right"/>
            </w:pPr>
            <w:r w:rsidRPr="00BE78CA">
              <w:rPr>
                <w:rFonts w:eastAsia="Calibri"/>
              </w:rPr>
              <w:t>4.0</w:t>
            </w:r>
          </w:p>
        </w:tc>
        <w:tc>
          <w:tcPr>
            <w:tcW w:w="1228" w:type="dxa"/>
            <w:tcBorders>
              <w:top w:val="single" w:sz="4" w:space="0" w:color="365F91"/>
              <w:bottom w:val="single" w:sz="4" w:space="0" w:color="365F91"/>
              <w:right w:val="single" w:sz="4" w:space="0" w:color="FFFFFF"/>
            </w:tcBorders>
            <w:shd w:val="clear" w:color="auto" w:fill="FFFFFF"/>
            <w:tcMar>
              <w:top w:w="0" w:type="dxa"/>
              <w:left w:w="57" w:type="dxa"/>
              <w:bottom w:w="0" w:type="dxa"/>
              <w:right w:w="57" w:type="dxa"/>
            </w:tcMar>
          </w:tcPr>
          <w:p w14:paraId="2397C988" w14:textId="77777777" w:rsidR="00387C28" w:rsidRPr="00BE78CA" w:rsidRDefault="00387C28" w:rsidP="002B097E">
            <w:pPr>
              <w:pStyle w:val="TableText"/>
              <w:spacing w:before="50" w:after="50"/>
              <w:jc w:val="right"/>
            </w:pPr>
            <w:r w:rsidRPr="00BE78CA">
              <w:rPr>
                <w:rFonts w:eastAsia="Calibri"/>
              </w:rPr>
              <w:t>63.0</w:t>
            </w:r>
          </w:p>
        </w:tc>
      </w:tr>
      <w:tr w:rsidR="0077535C" w:rsidRPr="00BE78CA" w14:paraId="7CD58207" w14:textId="77777777" w:rsidTr="0077535C">
        <w:trPr>
          <w:cantSplit/>
        </w:trPr>
        <w:tc>
          <w:tcPr>
            <w:tcW w:w="813" w:type="dxa"/>
            <w:tcBorders>
              <w:top w:val="single" w:sz="4" w:space="0" w:color="365F91"/>
              <w:bottom w:val="single" w:sz="4" w:space="0" w:color="365F91"/>
            </w:tcBorders>
            <w:shd w:val="clear" w:color="auto" w:fill="FFFFFF"/>
            <w:tcMar>
              <w:top w:w="0" w:type="dxa"/>
              <w:left w:w="57" w:type="dxa"/>
              <w:bottom w:w="0" w:type="dxa"/>
              <w:right w:w="57" w:type="dxa"/>
            </w:tcMar>
          </w:tcPr>
          <w:p w14:paraId="585DC908" w14:textId="77777777" w:rsidR="00387C28" w:rsidRPr="00BE78CA" w:rsidRDefault="00387C28" w:rsidP="004C0828">
            <w:pPr>
              <w:pStyle w:val="TableText"/>
              <w:spacing w:before="50" w:after="50"/>
            </w:pPr>
            <w:r w:rsidRPr="00BE78CA">
              <w:rPr>
                <w:rFonts w:eastAsia="Calibri"/>
              </w:rPr>
              <w:t>3.D.1.3</w:t>
            </w:r>
          </w:p>
        </w:tc>
        <w:tc>
          <w:tcPr>
            <w:tcW w:w="3217" w:type="dxa"/>
            <w:tcBorders>
              <w:top w:val="single" w:sz="4" w:space="0" w:color="365F91"/>
              <w:bottom w:val="single" w:sz="4" w:space="0" w:color="365F91"/>
            </w:tcBorders>
            <w:shd w:val="clear" w:color="auto" w:fill="FFFFFF"/>
            <w:tcMar>
              <w:top w:w="0" w:type="dxa"/>
              <w:left w:w="57" w:type="dxa"/>
              <w:bottom w:w="0" w:type="dxa"/>
              <w:right w:w="57" w:type="dxa"/>
            </w:tcMar>
          </w:tcPr>
          <w:p w14:paraId="20F61F59" w14:textId="3C6D5818" w:rsidR="00387C28" w:rsidRPr="00BE78CA" w:rsidRDefault="00387C28" w:rsidP="004C0828">
            <w:pPr>
              <w:pStyle w:val="TableText"/>
              <w:spacing w:before="50" w:after="50"/>
            </w:pPr>
            <w:r w:rsidRPr="00BE78CA">
              <w:rPr>
                <w:rFonts w:eastAsia="Calibri"/>
              </w:rPr>
              <w:t>Direct N</w:t>
            </w:r>
            <w:r w:rsidRPr="00BE78CA">
              <w:rPr>
                <w:rFonts w:eastAsia="Calibri"/>
                <w:vertAlign w:val="subscript"/>
              </w:rPr>
              <w:t>2</w:t>
            </w:r>
            <w:r w:rsidRPr="00BE78CA">
              <w:rPr>
                <w:rFonts w:eastAsia="Calibri"/>
              </w:rPr>
              <w:t>O Emissions from Managed Soils –</w:t>
            </w:r>
            <w:r w:rsidR="004C0828" w:rsidRPr="00BE78CA">
              <w:rPr>
                <w:rFonts w:eastAsia="Calibri"/>
              </w:rPr>
              <w:t> </w:t>
            </w:r>
            <w:r w:rsidRPr="00BE78CA">
              <w:rPr>
                <w:rFonts w:eastAsia="Calibri"/>
              </w:rPr>
              <w:t>Urine and Dung Deposited by Grazing Animals</w:t>
            </w:r>
          </w:p>
        </w:tc>
        <w:tc>
          <w:tcPr>
            <w:tcW w:w="546" w:type="dxa"/>
            <w:tcBorders>
              <w:top w:val="single" w:sz="4" w:space="0" w:color="365F91"/>
              <w:bottom w:val="single" w:sz="4" w:space="0" w:color="365F91"/>
            </w:tcBorders>
            <w:shd w:val="clear" w:color="auto" w:fill="FFFFFF"/>
            <w:tcMar>
              <w:top w:w="0" w:type="dxa"/>
              <w:left w:w="57" w:type="dxa"/>
              <w:bottom w:w="0" w:type="dxa"/>
              <w:right w:w="57" w:type="dxa"/>
            </w:tcMar>
          </w:tcPr>
          <w:p w14:paraId="1D1D56A0" w14:textId="77777777" w:rsidR="00387C28" w:rsidRPr="00BE78CA" w:rsidRDefault="00387C28" w:rsidP="006132E1">
            <w:pPr>
              <w:pStyle w:val="TableText"/>
              <w:spacing w:before="50" w:after="50"/>
              <w:jc w:val="center"/>
            </w:pPr>
            <w:r w:rsidRPr="00BE78CA">
              <w:rPr>
                <w:rFonts w:eastAsia="Calibri"/>
              </w:rPr>
              <w:t>N</w:t>
            </w:r>
            <w:r w:rsidRPr="00BE78CA">
              <w:rPr>
                <w:rFonts w:eastAsia="Calibri"/>
                <w:vertAlign w:val="subscript"/>
              </w:rPr>
              <w:t>2</w:t>
            </w:r>
            <w:r w:rsidRPr="00BE78CA">
              <w:rPr>
                <w:rFonts w:eastAsia="Calibri"/>
              </w:rPr>
              <w:t>O</w:t>
            </w:r>
          </w:p>
        </w:tc>
        <w:tc>
          <w:tcPr>
            <w:tcW w:w="1404" w:type="dxa"/>
            <w:tcBorders>
              <w:top w:val="single" w:sz="4" w:space="0" w:color="365F91"/>
              <w:bottom w:val="single" w:sz="4" w:space="0" w:color="365F91"/>
            </w:tcBorders>
            <w:shd w:val="clear" w:color="auto" w:fill="FFFFFF"/>
            <w:tcMar>
              <w:top w:w="0" w:type="dxa"/>
              <w:left w:w="57" w:type="dxa"/>
              <w:bottom w:w="0" w:type="dxa"/>
              <w:right w:w="57" w:type="dxa"/>
            </w:tcMar>
          </w:tcPr>
          <w:p w14:paraId="099101EF" w14:textId="77777777" w:rsidR="00387C28" w:rsidRPr="00BE78CA" w:rsidRDefault="00387C28" w:rsidP="002B097E">
            <w:pPr>
              <w:pStyle w:val="TableText"/>
              <w:spacing w:before="50" w:after="50"/>
              <w:jc w:val="right"/>
            </w:pPr>
            <w:r w:rsidRPr="00BE78CA">
              <w:rPr>
                <w:rFonts w:eastAsia="Calibri"/>
              </w:rPr>
              <w:t>3,899.3</w:t>
            </w:r>
          </w:p>
        </w:tc>
        <w:tc>
          <w:tcPr>
            <w:tcW w:w="1286" w:type="dxa"/>
            <w:tcBorders>
              <w:top w:val="single" w:sz="4" w:space="0" w:color="365F91"/>
              <w:bottom w:val="single" w:sz="4" w:space="0" w:color="365F91"/>
            </w:tcBorders>
            <w:shd w:val="clear" w:color="auto" w:fill="FFFFFF"/>
            <w:tcMar>
              <w:top w:w="0" w:type="dxa"/>
              <w:left w:w="57" w:type="dxa"/>
              <w:bottom w:w="0" w:type="dxa"/>
              <w:right w:w="57" w:type="dxa"/>
            </w:tcMar>
          </w:tcPr>
          <w:p w14:paraId="1B03DE15" w14:textId="77777777" w:rsidR="00387C28" w:rsidRPr="00BE78CA" w:rsidRDefault="00387C28" w:rsidP="002B097E">
            <w:pPr>
              <w:pStyle w:val="TableText"/>
              <w:spacing w:before="50" w:after="50"/>
              <w:jc w:val="right"/>
            </w:pPr>
            <w:r w:rsidRPr="00BE78CA">
              <w:rPr>
                <w:rFonts w:eastAsia="Calibri"/>
              </w:rPr>
              <w:t>3.3</w:t>
            </w:r>
          </w:p>
        </w:tc>
        <w:tc>
          <w:tcPr>
            <w:tcW w:w="1228" w:type="dxa"/>
            <w:tcBorders>
              <w:top w:val="single" w:sz="4" w:space="0" w:color="365F91"/>
              <w:bottom w:val="single" w:sz="4" w:space="0" w:color="365F91"/>
              <w:right w:val="single" w:sz="4" w:space="0" w:color="FFFFFF"/>
            </w:tcBorders>
            <w:shd w:val="clear" w:color="auto" w:fill="FFFFFF"/>
            <w:tcMar>
              <w:top w:w="0" w:type="dxa"/>
              <w:left w:w="57" w:type="dxa"/>
              <w:bottom w:w="0" w:type="dxa"/>
              <w:right w:w="57" w:type="dxa"/>
            </w:tcMar>
          </w:tcPr>
          <w:p w14:paraId="7E6B7E34" w14:textId="77777777" w:rsidR="00387C28" w:rsidRPr="00BE78CA" w:rsidRDefault="00387C28" w:rsidP="002B097E">
            <w:pPr>
              <w:pStyle w:val="TableText"/>
              <w:spacing w:before="50" w:after="50"/>
              <w:jc w:val="right"/>
            </w:pPr>
            <w:r w:rsidRPr="00BE78CA">
              <w:rPr>
                <w:rFonts w:eastAsia="Calibri"/>
              </w:rPr>
              <w:t>66.3</w:t>
            </w:r>
          </w:p>
        </w:tc>
      </w:tr>
      <w:tr w:rsidR="0077535C" w:rsidRPr="00BE78CA" w14:paraId="327C7A0C" w14:textId="77777777" w:rsidTr="0077535C">
        <w:trPr>
          <w:cantSplit/>
        </w:trPr>
        <w:tc>
          <w:tcPr>
            <w:tcW w:w="813" w:type="dxa"/>
            <w:tcBorders>
              <w:top w:val="single" w:sz="4" w:space="0" w:color="365F91"/>
              <w:bottom w:val="single" w:sz="4" w:space="0" w:color="365F91"/>
            </w:tcBorders>
            <w:shd w:val="clear" w:color="auto" w:fill="FFFFFF"/>
            <w:tcMar>
              <w:top w:w="0" w:type="dxa"/>
              <w:left w:w="57" w:type="dxa"/>
              <w:bottom w:w="0" w:type="dxa"/>
              <w:right w:w="57" w:type="dxa"/>
            </w:tcMar>
          </w:tcPr>
          <w:p w14:paraId="25EA5189" w14:textId="77777777" w:rsidR="00387C28" w:rsidRPr="00BE78CA" w:rsidRDefault="00387C28" w:rsidP="004C0828">
            <w:pPr>
              <w:pStyle w:val="TableText"/>
              <w:spacing w:before="50" w:after="50"/>
            </w:pPr>
            <w:r w:rsidRPr="00BE78CA">
              <w:rPr>
                <w:rFonts w:eastAsia="Calibri"/>
              </w:rPr>
              <w:t>4.C.2</w:t>
            </w:r>
          </w:p>
        </w:tc>
        <w:tc>
          <w:tcPr>
            <w:tcW w:w="3217" w:type="dxa"/>
            <w:tcBorders>
              <w:top w:val="single" w:sz="4" w:space="0" w:color="365F91"/>
              <w:bottom w:val="single" w:sz="4" w:space="0" w:color="365F91"/>
            </w:tcBorders>
            <w:shd w:val="clear" w:color="auto" w:fill="FFFFFF"/>
            <w:tcMar>
              <w:top w:w="0" w:type="dxa"/>
              <w:left w:w="57" w:type="dxa"/>
              <w:bottom w:w="0" w:type="dxa"/>
              <w:right w:w="57" w:type="dxa"/>
            </w:tcMar>
          </w:tcPr>
          <w:p w14:paraId="2946CC83" w14:textId="77777777" w:rsidR="00387C28" w:rsidRPr="00BE78CA" w:rsidRDefault="00387C28" w:rsidP="004C0828">
            <w:pPr>
              <w:pStyle w:val="TableText"/>
              <w:spacing w:before="50" w:after="50"/>
            </w:pPr>
            <w:r w:rsidRPr="00BE78CA">
              <w:rPr>
                <w:rFonts w:eastAsia="Calibri"/>
              </w:rPr>
              <w:t>Grassland – Land Converted to Grassland</w:t>
            </w:r>
          </w:p>
        </w:tc>
        <w:tc>
          <w:tcPr>
            <w:tcW w:w="546" w:type="dxa"/>
            <w:tcBorders>
              <w:top w:val="single" w:sz="4" w:space="0" w:color="365F91"/>
              <w:bottom w:val="single" w:sz="4" w:space="0" w:color="365F91"/>
            </w:tcBorders>
            <w:shd w:val="clear" w:color="auto" w:fill="FFFFFF"/>
            <w:tcMar>
              <w:top w:w="0" w:type="dxa"/>
              <w:left w:w="57" w:type="dxa"/>
              <w:bottom w:w="0" w:type="dxa"/>
              <w:right w:w="57" w:type="dxa"/>
            </w:tcMar>
          </w:tcPr>
          <w:p w14:paraId="1C208BF8" w14:textId="77777777" w:rsidR="00387C28" w:rsidRPr="00BE78CA" w:rsidRDefault="00387C28" w:rsidP="006132E1">
            <w:pPr>
              <w:pStyle w:val="TableText"/>
              <w:spacing w:before="50" w:after="50"/>
              <w:jc w:val="center"/>
            </w:pPr>
            <w:r w:rsidRPr="00BE78CA">
              <w:rPr>
                <w:rFonts w:eastAsia="Calibri"/>
              </w:rPr>
              <w:t>CO</w:t>
            </w:r>
            <w:r w:rsidRPr="00BE78CA">
              <w:rPr>
                <w:rFonts w:eastAsia="Calibri"/>
                <w:vertAlign w:val="subscript"/>
              </w:rPr>
              <w:t>2</w:t>
            </w:r>
          </w:p>
        </w:tc>
        <w:tc>
          <w:tcPr>
            <w:tcW w:w="1404" w:type="dxa"/>
            <w:tcBorders>
              <w:top w:val="single" w:sz="4" w:space="0" w:color="365F91"/>
              <w:bottom w:val="single" w:sz="4" w:space="0" w:color="365F91"/>
            </w:tcBorders>
            <w:shd w:val="clear" w:color="auto" w:fill="FFFFFF"/>
            <w:tcMar>
              <w:top w:w="0" w:type="dxa"/>
              <w:left w:w="57" w:type="dxa"/>
              <w:bottom w:w="0" w:type="dxa"/>
              <w:right w:w="57" w:type="dxa"/>
            </w:tcMar>
          </w:tcPr>
          <w:p w14:paraId="27A65C6C" w14:textId="77777777" w:rsidR="00387C28" w:rsidRPr="00BE78CA" w:rsidRDefault="00387C28" w:rsidP="002B097E">
            <w:pPr>
              <w:pStyle w:val="TableText"/>
              <w:spacing w:before="50" w:after="50"/>
              <w:jc w:val="right"/>
            </w:pPr>
            <w:r w:rsidRPr="00BE78CA">
              <w:rPr>
                <w:rFonts w:eastAsia="Calibri"/>
              </w:rPr>
              <w:t>2,953.0</w:t>
            </w:r>
          </w:p>
        </w:tc>
        <w:tc>
          <w:tcPr>
            <w:tcW w:w="1286" w:type="dxa"/>
            <w:tcBorders>
              <w:top w:val="single" w:sz="4" w:space="0" w:color="365F91"/>
              <w:bottom w:val="single" w:sz="4" w:space="0" w:color="365F91"/>
            </w:tcBorders>
            <w:shd w:val="clear" w:color="auto" w:fill="FFFFFF"/>
            <w:tcMar>
              <w:top w:w="0" w:type="dxa"/>
              <w:left w:w="57" w:type="dxa"/>
              <w:bottom w:w="0" w:type="dxa"/>
              <w:right w:w="57" w:type="dxa"/>
            </w:tcMar>
          </w:tcPr>
          <w:p w14:paraId="34345EF8" w14:textId="77777777" w:rsidR="00387C28" w:rsidRPr="00BE78CA" w:rsidRDefault="00387C28" w:rsidP="002B097E">
            <w:pPr>
              <w:pStyle w:val="TableText"/>
              <w:spacing w:before="50" w:after="50"/>
              <w:jc w:val="right"/>
            </w:pPr>
            <w:r w:rsidRPr="00BE78CA">
              <w:rPr>
                <w:rFonts w:eastAsia="Calibri"/>
              </w:rPr>
              <w:t>2.5</w:t>
            </w:r>
          </w:p>
        </w:tc>
        <w:tc>
          <w:tcPr>
            <w:tcW w:w="1228" w:type="dxa"/>
            <w:tcBorders>
              <w:top w:val="single" w:sz="4" w:space="0" w:color="365F91"/>
              <w:bottom w:val="single" w:sz="4" w:space="0" w:color="365F91"/>
              <w:right w:val="single" w:sz="4" w:space="0" w:color="FFFFFF"/>
            </w:tcBorders>
            <w:shd w:val="clear" w:color="auto" w:fill="FFFFFF"/>
            <w:tcMar>
              <w:top w:w="0" w:type="dxa"/>
              <w:left w:w="57" w:type="dxa"/>
              <w:bottom w:w="0" w:type="dxa"/>
              <w:right w:w="57" w:type="dxa"/>
            </w:tcMar>
          </w:tcPr>
          <w:p w14:paraId="582C31B9" w14:textId="77777777" w:rsidR="00387C28" w:rsidRPr="00BE78CA" w:rsidRDefault="00387C28" w:rsidP="002B097E">
            <w:pPr>
              <w:pStyle w:val="TableText"/>
              <w:spacing w:before="50" w:after="50"/>
              <w:jc w:val="right"/>
            </w:pPr>
            <w:r w:rsidRPr="00BE78CA">
              <w:rPr>
                <w:rFonts w:eastAsia="Calibri"/>
              </w:rPr>
              <w:t>68.7</w:t>
            </w:r>
          </w:p>
        </w:tc>
      </w:tr>
      <w:tr w:rsidR="0077535C" w:rsidRPr="00BE78CA" w14:paraId="100726B6" w14:textId="77777777" w:rsidTr="0077535C">
        <w:trPr>
          <w:cantSplit/>
        </w:trPr>
        <w:tc>
          <w:tcPr>
            <w:tcW w:w="813" w:type="dxa"/>
            <w:tcBorders>
              <w:top w:val="single" w:sz="4" w:space="0" w:color="365F91"/>
              <w:bottom w:val="single" w:sz="4" w:space="0" w:color="365F91"/>
            </w:tcBorders>
            <w:shd w:val="clear" w:color="auto" w:fill="FFFFFF"/>
            <w:tcMar>
              <w:top w:w="0" w:type="dxa"/>
              <w:left w:w="57" w:type="dxa"/>
              <w:bottom w:w="0" w:type="dxa"/>
              <w:right w:w="57" w:type="dxa"/>
            </w:tcMar>
          </w:tcPr>
          <w:p w14:paraId="6C62F127" w14:textId="77777777" w:rsidR="00387C28" w:rsidRPr="00BE78CA" w:rsidRDefault="00387C28" w:rsidP="004C0828">
            <w:pPr>
              <w:pStyle w:val="TableText"/>
              <w:spacing w:before="50" w:after="50"/>
            </w:pPr>
            <w:r w:rsidRPr="00BE78CA">
              <w:rPr>
                <w:rFonts w:eastAsia="Calibri"/>
              </w:rPr>
              <w:t>5.A</w:t>
            </w:r>
          </w:p>
        </w:tc>
        <w:tc>
          <w:tcPr>
            <w:tcW w:w="3217" w:type="dxa"/>
            <w:tcBorders>
              <w:top w:val="single" w:sz="4" w:space="0" w:color="365F91"/>
              <w:bottom w:val="single" w:sz="4" w:space="0" w:color="365F91"/>
            </w:tcBorders>
            <w:shd w:val="clear" w:color="auto" w:fill="FFFFFF"/>
            <w:tcMar>
              <w:top w:w="0" w:type="dxa"/>
              <w:left w:w="57" w:type="dxa"/>
              <w:bottom w:w="0" w:type="dxa"/>
              <w:right w:w="57" w:type="dxa"/>
            </w:tcMar>
          </w:tcPr>
          <w:p w14:paraId="2ACA5A5C" w14:textId="77777777" w:rsidR="00387C28" w:rsidRPr="00BE78CA" w:rsidRDefault="00387C28" w:rsidP="004C0828">
            <w:pPr>
              <w:pStyle w:val="TableText"/>
              <w:spacing w:before="50" w:after="50"/>
            </w:pPr>
            <w:r w:rsidRPr="00BE78CA">
              <w:rPr>
                <w:rFonts w:eastAsia="Calibri"/>
              </w:rPr>
              <w:t>Waste – Solid Waste Disposal</w:t>
            </w:r>
          </w:p>
        </w:tc>
        <w:tc>
          <w:tcPr>
            <w:tcW w:w="546" w:type="dxa"/>
            <w:tcBorders>
              <w:top w:val="single" w:sz="4" w:space="0" w:color="365F91"/>
              <w:bottom w:val="single" w:sz="4" w:space="0" w:color="365F91"/>
            </w:tcBorders>
            <w:shd w:val="clear" w:color="auto" w:fill="FFFFFF"/>
            <w:tcMar>
              <w:top w:w="0" w:type="dxa"/>
              <w:left w:w="57" w:type="dxa"/>
              <w:bottom w:w="0" w:type="dxa"/>
              <w:right w:w="57" w:type="dxa"/>
            </w:tcMar>
          </w:tcPr>
          <w:p w14:paraId="2FF93232" w14:textId="77777777" w:rsidR="00387C28" w:rsidRPr="00BE78CA" w:rsidRDefault="00387C28" w:rsidP="006132E1">
            <w:pPr>
              <w:pStyle w:val="TableText"/>
              <w:spacing w:before="50" w:after="50"/>
              <w:jc w:val="center"/>
            </w:pPr>
            <w:r w:rsidRPr="00BE78CA">
              <w:rPr>
                <w:rFonts w:eastAsia="Calibri"/>
              </w:rPr>
              <w:t>CH</w:t>
            </w:r>
            <w:r w:rsidRPr="00BE78CA">
              <w:rPr>
                <w:rFonts w:eastAsia="Calibri"/>
                <w:vertAlign w:val="subscript"/>
              </w:rPr>
              <w:t>4</w:t>
            </w:r>
          </w:p>
        </w:tc>
        <w:tc>
          <w:tcPr>
            <w:tcW w:w="1404" w:type="dxa"/>
            <w:tcBorders>
              <w:top w:val="single" w:sz="4" w:space="0" w:color="365F91"/>
              <w:bottom w:val="single" w:sz="4" w:space="0" w:color="365F91"/>
            </w:tcBorders>
            <w:shd w:val="clear" w:color="auto" w:fill="FFFFFF"/>
            <w:tcMar>
              <w:top w:w="0" w:type="dxa"/>
              <w:left w:w="57" w:type="dxa"/>
              <w:bottom w:w="0" w:type="dxa"/>
              <w:right w:w="57" w:type="dxa"/>
            </w:tcMar>
          </w:tcPr>
          <w:p w14:paraId="0607798A" w14:textId="77777777" w:rsidR="00387C28" w:rsidRPr="00BE78CA" w:rsidRDefault="00387C28" w:rsidP="002B097E">
            <w:pPr>
              <w:pStyle w:val="TableText"/>
              <w:spacing w:before="50" w:after="50"/>
              <w:jc w:val="right"/>
            </w:pPr>
            <w:r w:rsidRPr="00BE78CA">
              <w:rPr>
                <w:rFonts w:eastAsia="Calibri"/>
              </w:rPr>
              <w:t>2,692.9</w:t>
            </w:r>
          </w:p>
        </w:tc>
        <w:tc>
          <w:tcPr>
            <w:tcW w:w="1286" w:type="dxa"/>
            <w:tcBorders>
              <w:top w:val="single" w:sz="4" w:space="0" w:color="365F91"/>
              <w:bottom w:val="single" w:sz="4" w:space="0" w:color="365F91"/>
            </w:tcBorders>
            <w:shd w:val="clear" w:color="auto" w:fill="FFFFFF"/>
            <w:tcMar>
              <w:top w:w="0" w:type="dxa"/>
              <w:left w:w="57" w:type="dxa"/>
              <w:bottom w:w="0" w:type="dxa"/>
              <w:right w:w="57" w:type="dxa"/>
            </w:tcMar>
          </w:tcPr>
          <w:p w14:paraId="67CE60A6" w14:textId="77777777" w:rsidR="00387C28" w:rsidRPr="00BE78CA" w:rsidRDefault="00387C28" w:rsidP="002B097E">
            <w:pPr>
              <w:pStyle w:val="TableText"/>
              <w:spacing w:before="50" w:after="50"/>
              <w:jc w:val="right"/>
            </w:pPr>
            <w:r w:rsidRPr="00BE78CA">
              <w:rPr>
                <w:rFonts w:eastAsia="Calibri"/>
              </w:rPr>
              <w:t>2.3</w:t>
            </w:r>
          </w:p>
        </w:tc>
        <w:tc>
          <w:tcPr>
            <w:tcW w:w="1228" w:type="dxa"/>
            <w:tcBorders>
              <w:top w:val="single" w:sz="4" w:space="0" w:color="365F91"/>
              <w:bottom w:val="single" w:sz="4" w:space="0" w:color="365F91"/>
              <w:right w:val="single" w:sz="4" w:space="0" w:color="FFFFFF"/>
            </w:tcBorders>
            <w:shd w:val="clear" w:color="auto" w:fill="FFFFFF"/>
            <w:tcMar>
              <w:top w:w="0" w:type="dxa"/>
              <w:left w:w="57" w:type="dxa"/>
              <w:bottom w:w="0" w:type="dxa"/>
              <w:right w:w="57" w:type="dxa"/>
            </w:tcMar>
          </w:tcPr>
          <w:p w14:paraId="735E9F03" w14:textId="77777777" w:rsidR="00387C28" w:rsidRPr="00BE78CA" w:rsidRDefault="00387C28" w:rsidP="002B097E">
            <w:pPr>
              <w:pStyle w:val="TableText"/>
              <w:spacing w:before="50" w:after="50"/>
              <w:jc w:val="right"/>
            </w:pPr>
            <w:r w:rsidRPr="00BE78CA">
              <w:rPr>
                <w:rFonts w:eastAsia="Calibri"/>
              </w:rPr>
              <w:t>71.0</w:t>
            </w:r>
          </w:p>
        </w:tc>
      </w:tr>
      <w:tr w:rsidR="0077535C" w:rsidRPr="00BE78CA" w14:paraId="1862B573" w14:textId="77777777" w:rsidTr="0077535C">
        <w:trPr>
          <w:cantSplit/>
        </w:trPr>
        <w:tc>
          <w:tcPr>
            <w:tcW w:w="813" w:type="dxa"/>
            <w:tcBorders>
              <w:top w:val="single" w:sz="4" w:space="0" w:color="365F91"/>
              <w:bottom w:val="single" w:sz="4" w:space="0" w:color="365F91"/>
            </w:tcBorders>
            <w:shd w:val="clear" w:color="auto" w:fill="FFFFFF"/>
            <w:tcMar>
              <w:top w:w="0" w:type="dxa"/>
              <w:left w:w="57" w:type="dxa"/>
              <w:bottom w:w="0" w:type="dxa"/>
              <w:right w:w="57" w:type="dxa"/>
            </w:tcMar>
          </w:tcPr>
          <w:p w14:paraId="7D64C7E4" w14:textId="77777777" w:rsidR="00387C28" w:rsidRPr="00BE78CA" w:rsidRDefault="00387C28" w:rsidP="004C0828">
            <w:pPr>
              <w:pStyle w:val="TableText"/>
              <w:spacing w:before="50" w:after="50"/>
            </w:pPr>
            <w:r w:rsidRPr="00BE78CA">
              <w:rPr>
                <w:rFonts w:eastAsia="Calibri"/>
              </w:rPr>
              <w:t>1.A.1.a</w:t>
            </w:r>
          </w:p>
        </w:tc>
        <w:tc>
          <w:tcPr>
            <w:tcW w:w="3217" w:type="dxa"/>
            <w:tcBorders>
              <w:top w:val="single" w:sz="4" w:space="0" w:color="365F91"/>
              <w:bottom w:val="single" w:sz="4" w:space="0" w:color="365F91"/>
            </w:tcBorders>
            <w:shd w:val="clear" w:color="auto" w:fill="FFFFFF"/>
            <w:tcMar>
              <w:top w:w="0" w:type="dxa"/>
              <w:left w:w="57" w:type="dxa"/>
              <w:bottom w:w="0" w:type="dxa"/>
              <w:right w:w="57" w:type="dxa"/>
            </w:tcMar>
          </w:tcPr>
          <w:p w14:paraId="1E556360" w14:textId="77777777" w:rsidR="00387C28" w:rsidRPr="00BE78CA" w:rsidRDefault="00387C28" w:rsidP="004C0828">
            <w:pPr>
              <w:pStyle w:val="TableText"/>
              <w:spacing w:before="50" w:after="50"/>
            </w:pPr>
            <w:r w:rsidRPr="00BE78CA">
              <w:rPr>
                <w:rFonts w:eastAsia="Calibri"/>
              </w:rPr>
              <w:t>Energy Industries – Public Electricity and Heat Production</w:t>
            </w:r>
          </w:p>
        </w:tc>
        <w:tc>
          <w:tcPr>
            <w:tcW w:w="546" w:type="dxa"/>
            <w:tcBorders>
              <w:top w:val="single" w:sz="4" w:space="0" w:color="365F91"/>
              <w:bottom w:val="single" w:sz="4" w:space="0" w:color="365F91"/>
            </w:tcBorders>
            <w:shd w:val="clear" w:color="auto" w:fill="FFFFFF"/>
            <w:tcMar>
              <w:top w:w="0" w:type="dxa"/>
              <w:left w:w="57" w:type="dxa"/>
              <w:bottom w:w="0" w:type="dxa"/>
              <w:right w:w="57" w:type="dxa"/>
            </w:tcMar>
          </w:tcPr>
          <w:p w14:paraId="4CD222EE" w14:textId="77777777" w:rsidR="00387C28" w:rsidRPr="00BE78CA" w:rsidRDefault="00387C28" w:rsidP="006132E1">
            <w:pPr>
              <w:pStyle w:val="TableText"/>
              <w:spacing w:before="50" w:after="50"/>
              <w:jc w:val="center"/>
            </w:pPr>
            <w:r w:rsidRPr="00BE78CA">
              <w:rPr>
                <w:rFonts w:eastAsia="Calibri"/>
              </w:rPr>
              <w:t>CO</w:t>
            </w:r>
            <w:r w:rsidRPr="00BE78CA">
              <w:rPr>
                <w:rFonts w:eastAsia="Calibri"/>
                <w:vertAlign w:val="subscript"/>
              </w:rPr>
              <w:t>2</w:t>
            </w:r>
          </w:p>
        </w:tc>
        <w:tc>
          <w:tcPr>
            <w:tcW w:w="1404" w:type="dxa"/>
            <w:tcBorders>
              <w:top w:val="single" w:sz="4" w:space="0" w:color="365F91"/>
              <w:bottom w:val="single" w:sz="4" w:space="0" w:color="365F91"/>
            </w:tcBorders>
            <w:shd w:val="clear" w:color="auto" w:fill="FFFFFF"/>
            <w:tcMar>
              <w:top w:w="0" w:type="dxa"/>
              <w:left w:w="57" w:type="dxa"/>
              <w:bottom w:w="0" w:type="dxa"/>
              <w:right w:w="57" w:type="dxa"/>
            </w:tcMar>
          </w:tcPr>
          <w:p w14:paraId="3492E21F" w14:textId="77777777" w:rsidR="00387C28" w:rsidRPr="00BE78CA" w:rsidRDefault="00387C28" w:rsidP="002B097E">
            <w:pPr>
              <w:pStyle w:val="TableText"/>
              <w:spacing w:before="50" w:after="50"/>
              <w:jc w:val="right"/>
            </w:pPr>
            <w:r w:rsidRPr="00BE78CA">
              <w:rPr>
                <w:rFonts w:eastAsia="Calibri"/>
              </w:rPr>
              <w:t>2,533.5</w:t>
            </w:r>
          </w:p>
        </w:tc>
        <w:tc>
          <w:tcPr>
            <w:tcW w:w="1286" w:type="dxa"/>
            <w:tcBorders>
              <w:top w:val="single" w:sz="4" w:space="0" w:color="365F91"/>
              <w:bottom w:val="single" w:sz="4" w:space="0" w:color="365F91"/>
            </w:tcBorders>
            <w:shd w:val="clear" w:color="auto" w:fill="FFFFFF"/>
            <w:tcMar>
              <w:top w:w="0" w:type="dxa"/>
              <w:left w:w="57" w:type="dxa"/>
              <w:bottom w:w="0" w:type="dxa"/>
              <w:right w:w="57" w:type="dxa"/>
            </w:tcMar>
          </w:tcPr>
          <w:p w14:paraId="01F99B0E" w14:textId="77777777" w:rsidR="00387C28" w:rsidRPr="00BE78CA" w:rsidRDefault="00387C28" w:rsidP="002B097E">
            <w:pPr>
              <w:pStyle w:val="TableText"/>
              <w:spacing w:before="50" w:after="50"/>
              <w:jc w:val="right"/>
            </w:pPr>
            <w:r w:rsidRPr="00BE78CA">
              <w:rPr>
                <w:rFonts w:eastAsia="Calibri"/>
              </w:rPr>
              <w:t>2.1</w:t>
            </w:r>
          </w:p>
        </w:tc>
        <w:tc>
          <w:tcPr>
            <w:tcW w:w="1228" w:type="dxa"/>
            <w:tcBorders>
              <w:top w:val="single" w:sz="4" w:space="0" w:color="365F91"/>
              <w:bottom w:val="single" w:sz="4" w:space="0" w:color="365F91"/>
              <w:right w:val="single" w:sz="4" w:space="0" w:color="FFFFFF"/>
            </w:tcBorders>
            <w:shd w:val="clear" w:color="auto" w:fill="FFFFFF"/>
            <w:tcMar>
              <w:top w:w="0" w:type="dxa"/>
              <w:left w:w="57" w:type="dxa"/>
              <w:bottom w:w="0" w:type="dxa"/>
              <w:right w:w="57" w:type="dxa"/>
            </w:tcMar>
          </w:tcPr>
          <w:p w14:paraId="5FBE08C1" w14:textId="77777777" w:rsidR="00387C28" w:rsidRPr="00BE78CA" w:rsidRDefault="00387C28" w:rsidP="002B097E">
            <w:pPr>
              <w:pStyle w:val="TableText"/>
              <w:spacing w:before="50" w:after="50"/>
              <w:jc w:val="right"/>
            </w:pPr>
            <w:r w:rsidRPr="00BE78CA">
              <w:rPr>
                <w:rFonts w:eastAsia="Calibri"/>
              </w:rPr>
              <w:t>73.1</w:t>
            </w:r>
          </w:p>
        </w:tc>
      </w:tr>
      <w:tr w:rsidR="0077535C" w:rsidRPr="00BE78CA" w14:paraId="4B050A5A" w14:textId="77777777" w:rsidTr="0077535C">
        <w:trPr>
          <w:cantSplit/>
        </w:trPr>
        <w:tc>
          <w:tcPr>
            <w:tcW w:w="813" w:type="dxa"/>
            <w:tcBorders>
              <w:top w:val="single" w:sz="4" w:space="0" w:color="365F91"/>
              <w:bottom w:val="single" w:sz="4" w:space="0" w:color="365F91"/>
            </w:tcBorders>
            <w:shd w:val="clear" w:color="auto" w:fill="FFFFFF"/>
            <w:tcMar>
              <w:top w:w="0" w:type="dxa"/>
              <w:left w:w="57" w:type="dxa"/>
              <w:bottom w:w="0" w:type="dxa"/>
              <w:right w:w="57" w:type="dxa"/>
            </w:tcMar>
          </w:tcPr>
          <w:p w14:paraId="1DD7C563" w14:textId="77777777" w:rsidR="00387C28" w:rsidRPr="00BE78CA" w:rsidRDefault="00387C28" w:rsidP="004C0828">
            <w:pPr>
              <w:pStyle w:val="TableText"/>
              <w:spacing w:before="50" w:after="50"/>
            </w:pPr>
            <w:r w:rsidRPr="00BE78CA">
              <w:rPr>
                <w:rFonts w:eastAsia="Calibri"/>
              </w:rPr>
              <w:t>1.A.2.c</w:t>
            </w:r>
          </w:p>
        </w:tc>
        <w:tc>
          <w:tcPr>
            <w:tcW w:w="3217" w:type="dxa"/>
            <w:tcBorders>
              <w:top w:val="single" w:sz="4" w:space="0" w:color="365F91"/>
              <w:bottom w:val="single" w:sz="4" w:space="0" w:color="365F91"/>
            </w:tcBorders>
            <w:shd w:val="clear" w:color="auto" w:fill="FFFFFF"/>
            <w:tcMar>
              <w:top w:w="0" w:type="dxa"/>
              <w:left w:w="57" w:type="dxa"/>
              <w:bottom w:w="0" w:type="dxa"/>
              <w:right w:w="57" w:type="dxa"/>
            </w:tcMar>
          </w:tcPr>
          <w:p w14:paraId="79BC1AD0" w14:textId="77777777" w:rsidR="00387C28" w:rsidRPr="00BE78CA" w:rsidRDefault="00387C28" w:rsidP="004C0828">
            <w:pPr>
              <w:pStyle w:val="TableText"/>
              <w:spacing w:before="50" w:after="50"/>
            </w:pPr>
            <w:r w:rsidRPr="00BE78CA">
              <w:rPr>
                <w:rFonts w:eastAsia="Calibri"/>
              </w:rPr>
              <w:t>Chemicals – Gaseous Fuels</w:t>
            </w:r>
          </w:p>
        </w:tc>
        <w:tc>
          <w:tcPr>
            <w:tcW w:w="546" w:type="dxa"/>
            <w:tcBorders>
              <w:top w:val="single" w:sz="4" w:space="0" w:color="365F91"/>
              <w:bottom w:val="single" w:sz="4" w:space="0" w:color="365F91"/>
            </w:tcBorders>
            <w:shd w:val="clear" w:color="auto" w:fill="FFFFFF"/>
            <w:tcMar>
              <w:top w:w="0" w:type="dxa"/>
              <w:left w:w="57" w:type="dxa"/>
              <w:bottom w:w="0" w:type="dxa"/>
              <w:right w:w="57" w:type="dxa"/>
            </w:tcMar>
          </w:tcPr>
          <w:p w14:paraId="405D9214" w14:textId="77777777" w:rsidR="00387C28" w:rsidRPr="00BE78CA" w:rsidRDefault="00387C28" w:rsidP="006132E1">
            <w:pPr>
              <w:pStyle w:val="TableText"/>
              <w:spacing w:before="50" w:after="50"/>
              <w:jc w:val="center"/>
            </w:pPr>
            <w:r w:rsidRPr="00BE78CA">
              <w:rPr>
                <w:rFonts w:eastAsia="Calibri"/>
              </w:rPr>
              <w:t>CO</w:t>
            </w:r>
            <w:r w:rsidRPr="00BE78CA">
              <w:rPr>
                <w:rFonts w:eastAsia="Calibri"/>
                <w:vertAlign w:val="subscript"/>
              </w:rPr>
              <w:t>2</w:t>
            </w:r>
          </w:p>
        </w:tc>
        <w:tc>
          <w:tcPr>
            <w:tcW w:w="1404" w:type="dxa"/>
            <w:tcBorders>
              <w:top w:val="single" w:sz="4" w:space="0" w:color="365F91"/>
              <w:bottom w:val="single" w:sz="4" w:space="0" w:color="365F91"/>
            </w:tcBorders>
            <w:shd w:val="clear" w:color="auto" w:fill="FFFFFF"/>
            <w:tcMar>
              <w:top w:w="0" w:type="dxa"/>
              <w:left w:w="57" w:type="dxa"/>
              <w:bottom w:w="0" w:type="dxa"/>
              <w:right w:w="57" w:type="dxa"/>
            </w:tcMar>
          </w:tcPr>
          <w:p w14:paraId="60B9CE20" w14:textId="77777777" w:rsidR="00387C28" w:rsidRPr="00BE78CA" w:rsidRDefault="00387C28" w:rsidP="002B097E">
            <w:pPr>
              <w:pStyle w:val="TableText"/>
              <w:spacing w:before="50" w:after="50"/>
              <w:jc w:val="right"/>
            </w:pPr>
            <w:r w:rsidRPr="00BE78CA">
              <w:rPr>
                <w:rFonts w:eastAsia="Calibri"/>
              </w:rPr>
              <w:t>1,859.2</w:t>
            </w:r>
          </w:p>
        </w:tc>
        <w:tc>
          <w:tcPr>
            <w:tcW w:w="1286" w:type="dxa"/>
            <w:tcBorders>
              <w:top w:val="single" w:sz="4" w:space="0" w:color="365F91"/>
              <w:bottom w:val="single" w:sz="4" w:space="0" w:color="365F91"/>
            </w:tcBorders>
            <w:shd w:val="clear" w:color="auto" w:fill="FFFFFF"/>
            <w:tcMar>
              <w:top w:w="0" w:type="dxa"/>
              <w:left w:w="57" w:type="dxa"/>
              <w:bottom w:w="0" w:type="dxa"/>
              <w:right w:w="57" w:type="dxa"/>
            </w:tcMar>
          </w:tcPr>
          <w:p w14:paraId="532578B1" w14:textId="77777777" w:rsidR="00387C28" w:rsidRPr="00BE78CA" w:rsidRDefault="00387C28" w:rsidP="002B097E">
            <w:pPr>
              <w:pStyle w:val="TableText"/>
              <w:spacing w:before="50" w:after="50"/>
              <w:jc w:val="right"/>
            </w:pPr>
            <w:r w:rsidRPr="00BE78CA">
              <w:rPr>
                <w:rFonts w:eastAsia="Calibri"/>
              </w:rPr>
              <w:t>1.6</w:t>
            </w:r>
          </w:p>
        </w:tc>
        <w:tc>
          <w:tcPr>
            <w:tcW w:w="1228" w:type="dxa"/>
            <w:tcBorders>
              <w:top w:val="single" w:sz="4" w:space="0" w:color="365F91"/>
              <w:bottom w:val="single" w:sz="4" w:space="0" w:color="365F91"/>
              <w:right w:val="single" w:sz="4" w:space="0" w:color="FFFFFF"/>
            </w:tcBorders>
            <w:shd w:val="clear" w:color="auto" w:fill="FFFFFF"/>
            <w:tcMar>
              <w:top w:w="0" w:type="dxa"/>
              <w:left w:w="57" w:type="dxa"/>
              <w:bottom w:w="0" w:type="dxa"/>
              <w:right w:w="57" w:type="dxa"/>
            </w:tcMar>
          </w:tcPr>
          <w:p w14:paraId="5F93FAB0" w14:textId="77777777" w:rsidR="00387C28" w:rsidRPr="00BE78CA" w:rsidRDefault="00387C28" w:rsidP="002B097E">
            <w:pPr>
              <w:pStyle w:val="TableText"/>
              <w:spacing w:before="50" w:after="50"/>
              <w:jc w:val="right"/>
            </w:pPr>
            <w:r w:rsidRPr="00BE78CA">
              <w:rPr>
                <w:rFonts w:eastAsia="Calibri"/>
              </w:rPr>
              <w:t>74.6</w:t>
            </w:r>
          </w:p>
        </w:tc>
      </w:tr>
      <w:tr w:rsidR="0077535C" w:rsidRPr="00BE78CA" w14:paraId="439F0865" w14:textId="77777777" w:rsidTr="0077535C">
        <w:trPr>
          <w:cantSplit/>
        </w:trPr>
        <w:tc>
          <w:tcPr>
            <w:tcW w:w="813" w:type="dxa"/>
            <w:tcBorders>
              <w:top w:val="single" w:sz="4" w:space="0" w:color="365F91"/>
              <w:bottom w:val="single" w:sz="4" w:space="0" w:color="365F91"/>
            </w:tcBorders>
            <w:shd w:val="clear" w:color="auto" w:fill="FFFFFF"/>
            <w:tcMar>
              <w:top w:w="0" w:type="dxa"/>
              <w:left w:w="57" w:type="dxa"/>
              <w:bottom w:w="0" w:type="dxa"/>
              <w:right w:w="57" w:type="dxa"/>
            </w:tcMar>
          </w:tcPr>
          <w:p w14:paraId="1B6B056D" w14:textId="77777777" w:rsidR="00387C28" w:rsidRPr="00BE78CA" w:rsidRDefault="00387C28" w:rsidP="004C0828">
            <w:pPr>
              <w:pStyle w:val="TableText"/>
              <w:spacing w:before="50" w:after="50"/>
            </w:pPr>
            <w:r w:rsidRPr="00BE78CA">
              <w:rPr>
                <w:rFonts w:eastAsia="Calibri"/>
              </w:rPr>
              <w:t>1.A.2.e</w:t>
            </w:r>
          </w:p>
        </w:tc>
        <w:tc>
          <w:tcPr>
            <w:tcW w:w="3217" w:type="dxa"/>
            <w:tcBorders>
              <w:top w:val="single" w:sz="4" w:space="0" w:color="365F91"/>
              <w:bottom w:val="single" w:sz="4" w:space="0" w:color="365F91"/>
            </w:tcBorders>
            <w:shd w:val="clear" w:color="auto" w:fill="FFFFFF"/>
            <w:tcMar>
              <w:top w:w="0" w:type="dxa"/>
              <w:left w:w="57" w:type="dxa"/>
              <w:bottom w:w="0" w:type="dxa"/>
              <w:right w:w="57" w:type="dxa"/>
            </w:tcMar>
          </w:tcPr>
          <w:p w14:paraId="73BBDB32" w14:textId="31EB8360" w:rsidR="00387C28" w:rsidRPr="00BE78CA" w:rsidRDefault="00387C28" w:rsidP="004C0828">
            <w:pPr>
              <w:pStyle w:val="TableText"/>
              <w:spacing w:before="50" w:after="50"/>
            </w:pPr>
            <w:r w:rsidRPr="00BE78CA">
              <w:rPr>
                <w:rFonts w:eastAsia="Calibri"/>
              </w:rPr>
              <w:t>Food Processing, Beverages and Tobacco –</w:t>
            </w:r>
            <w:r w:rsidR="004C0828" w:rsidRPr="00BE78CA">
              <w:rPr>
                <w:rFonts w:eastAsia="Calibri"/>
              </w:rPr>
              <w:t> </w:t>
            </w:r>
            <w:r w:rsidRPr="00BE78CA">
              <w:rPr>
                <w:rFonts w:eastAsia="Calibri"/>
              </w:rPr>
              <w:t>Solid Fuels</w:t>
            </w:r>
          </w:p>
        </w:tc>
        <w:tc>
          <w:tcPr>
            <w:tcW w:w="546" w:type="dxa"/>
            <w:tcBorders>
              <w:top w:val="single" w:sz="4" w:space="0" w:color="365F91"/>
              <w:bottom w:val="single" w:sz="4" w:space="0" w:color="365F91"/>
            </w:tcBorders>
            <w:shd w:val="clear" w:color="auto" w:fill="FFFFFF"/>
            <w:tcMar>
              <w:top w:w="0" w:type="dxa"/>
              <w:left w:w="57" w:type="dxa"/>
              <w:bottom w:w="0" w:type="dxa"/>
              <w:right w:w="57" w:type="dxa"/>
            </w:tcMar>
          </w:tcPr>
          <w:p w14:paraId="08D4FAA3" w14:textId="77777777" w:rsidR="00387C28" w:rsidRPr="00BE78CA" w:rsidRDefault="00387C28" w:rsidP="006132E1">
            <w:pPr>
              <w:pStyle w:val="TableText"/>
              <w:spacing w:before="50" w:after="50"/>
              <w:jc w:val="center"/>
            </w:pPr>
            <w:r w:rsidRPr="00BE78CA">
              <w:rPr>
                <w:rFonts w:eastAsia="Calibri"/>
              </w:rPr>
              <w:t>CO</w:t>
            </w:r>
            <w:r w:rsidRPr="00BE78CA">
              <w:rPr>
                <w:rFonts w:eastAsia="Calibri"/>
                <w:vertAlign w:val="subscript"/>
              </w:rPr>
              <w:t>2</w:t>
            </w:r>
          </w:p>
        </w:tc>
        <w:tc>
          <w:tcPr>
            <w:tcW w:w="1404" w:type="dxa"/>
            <w:tcBorders>
              <w:top w:val="single" w:sz="4" w:space="0" w:color="365F91"/>
              <w:bottom w:val="single" w:sz="4" w:space="0" w:color="365F91"/>
            </w:tcBorders>
            <w:shd w:val="clear" w:color="auto" w:fill="FFFFFF"/>
            <w:tcMar>
              <w:top w:w="0" w:type="dxa"/>
              <w:left w:w="57" w:type="dxa"/>
              <w:bottom w:w="0" w:type="dxa"/>
              <w:right w:w="57" w:type="dxa"/>
            </w:tcMar>
          </w:tcPr>
          <w:p w14:paraId="6DA00139" w14:textId="77777777" w:rsidR="00387C28" w:rsidRPr="00BE78CA" w:rsidRDefault="00387C28" w:rsidP="002B097E">
            <w:pPr>
              <w:pStyle w:val="TableText"/>
              <w:spacing w:before="50" w:after="50"/>
              <w:jc w:val="right"/>
            </w:pPr>
            <w:r w:rsidRPr="00BE78CA">
              <w:rPr>
                <w:rFonts w:eastAsia="Calibri"/>
              </w:rPr>
              <w:t>1,751.6</w:t>
            </w:r>
          </w:p>
        </w:tc>
        <w:tc>
          <w:tcPr>
            <w:tcW w:w="1286" w:type="dxa"/>
            <w:tcBorders>
              <w:top w:val="single" w:sz="4" w:space="0" w:color="365F91"/>
              <w:bottom w:val="single" w:sz="4" w:space="0" w:color="365F91"/>
            </w:tcBorders>
            <w:shd w:val="clear" w:color="auto" w:fill="FFFFFF"/>
            <w:tcMar>
              <w:top w:w="0" w:type="dxa"/>
              <w:left w:w="57" w:type="dxa"/>
              <w:bottom w:w="0" w:type="dxa"/>
              <w:right w:w="57" w:type="dxa"/>
            </w:tcMar>
          </w:tcPr>
          <w:p w14:paraId="2E5BE8E3" w14:textId="77777777" w:rsidR="00387C28" w:rsidRPr="00BE78CA" w:rsidRDefault="00387C28" w:rsidP="002B097E">
            <w:pPr>
              <w:pStyle w:val="TableText"/>
              <w:spacing w:before="50" w:after="50"/>
              <w:jc w:val="right"/>
            </w:pPr>
            <w:r w:rsidRPr="00BE78CA">
              <w:rPr>
                <w:rFonts w:eastAsia="Calibri"/>
              </w:rPr>
              <w:t>1.5</w:t>
            </w:r>
          </w:p>
        </w:tc>
        <w:tc>
          <w:tcPr>
            <w:tcW w:w="1228" w:type="dxa"/>
            <w:tcBorders>
              <w:top w:val="single" w:sz="4" w:space="0" w:color="365F91"/>
              <w:bottom w:val="single" w:sz="4" w:space="0" w:color="365F91"/>
              <w:right w:val="single" w:sz="4" w:space="0" w:color="FFFFFF"/>
            </w:tcBorders>
            <w:shd w:val="clear" w:color="auto" w:fill="FFFFFF"/>
            <w:tcMar>
              <w:top w:w="0" w:type="dxa"/>
              <w:left w:w="57" w:type="dxa"/>
              <w:bottom w:w="0" w:type="dxa"/>
              <w:right w:w="57" w:type="dxa"/>
            </w:tcMar>
          </w:tcPr>
          <w:p w14:paraId="170205A3" w14:textId="77777777" w:rsidR="00387C28" w:rsidRPr="00BE78CA" w:rsidRDefault="00387C28" w:rsidP="002B097E">
            <w:pPr>
              <w:pStyle w:val="TableText"/>
              <w:spacing w:before="50" w:after="50"/>
              <w:jc w:val="right"/>
            </w:pPr>
            <w:r w:rsidRPr="00BE78CA">
              <w:rPr>
                <w:rFonts w:eastAsia="Calibri"/>
              </w:rPr>
              <w:t>76.1</w:t>
            </w:r>
          </w:p>
        </w:tc>
      </w:tr>
      <w:tr w:rsidR="0077535C" w:rsidRPr="00BE78CA" w14:paraId="7B9D4B9F" w14:textId="77777777" w:rsidTr="0077535C">
        <w:trPr>
          <w:cantSplit/>
        </w:trPr>
        <w:tc>
          <w:tcPr>
            <w:tcW w:w="813" w:type="dxa"/>
            <w:tcBorders>
              <w:top w:val="single" w:sz="4" w:space="0" w:color="365F91"/>
              <w:bottom w:val="single" w:sz="4" w:space="0" w:color="365F91"/>
            </w:tcBorders>
            <w:shd w:val="clear" w:color="auto" w:fill="FFFFFF"/>
            <w:tcMar>
              <w:top w:w="0" w:type="dxa"/>
              <w:left w:w="57" w:type="dxa"/>
              <w:bottom w:w="0" w:type="dxa"/>
              <w:right w:w="57" w:type="dxa"/>
            </w:tcMar>
          </w:tcPr>
          <w:p w14:paraId="4711DDC9" w14:textId="77777777" w:rsidR="00387C28" w:rsidRPr="00BE78CA" w:rsidRDefault="00387C28" w:rsidP="004C0828">
            <w:pPr>
              <w:pStyle w:val="TableText"/>
              <w:spacing w:before="50" w:after="50"/>
            </w:pPr>
            <w:r w:rsidRPr="00BE78CA">
              <w:rPr>
                <w:rFonts w:eastAsia="Calibri"/>
              </w:rPr>
              <w:t>2.C.1</w:t>
            </w:r>
          </w:p>
        </w:tc>
        <w:tc>
          <w:tcPr>
            <w:tcW w:w="3217" w:type="dxa"/>
            <w:tcBorders>
              <w:top w:val="single" w:sz="4" w:space="0" w:color="365F91"/>
              <w:bottom w:val="single" w:sz="4" w:space="0" w:color="365F91"/>
            </w:tcBorders>
            <w:shd w:val="clear" w:color="auto" w:fill="FFFFFF"/>
            <w:tcMar>
              <w:top w:w="0" w:type="dxa"/>
              <w:left w:w="57" w:type="dxa"/>
              <w:bottom w:w="0" w:type="dxa"/>
              <w:right w:w="57" w:type="dxa"/>
            </w:tcMar>
          </w:tcPr>
          <w:p w14:paraId="137652B8" w14:textId="77777777" w:rsidR="00387C28" w:rsidRPr="00BE78CA" w:rsidRDefault="00387C28" w:rsidP="004C0828">
            <w:pPr>
              <w:pStyle w:val="TableText"/>
              <w:spacing w:before="50" w:after="50"/>
            </w:pPr>
            <w:r w:rsidRPr="00BE78CA">
              <w:rPr>
                <w:rFonts w:eastAsia="Calibri"/>
              </w:rPr>
              <w:t>Metal Industry – Iron and Steel Production</w:t>
            </w:r>
          </w:p>
        </w:tc>
        <w:tc>
          <w:tcPr>
            <w:tcW w:w="546" w:type="dxa"/>
            <w:tcBorders>
              <w:top w:val="single" w:sz="4" w:space="0" w:color="365F91"/>
              <w:bottom w:val="single" w:sz="4" w:space="0" w:color="365F91"/>
            </w:tcBorders>
            <w:shd w:val="clear" w:color="auto" w:fill="FFFFFF"/>
            <w:tcMar>
              <w:top w:w="0" w:type="dxa"/>
              <w:left w:w="57" w:type="dxa"/>
              <w:bottom w:w="0" w:type="dxa"/>
              <w:right w:w="57" w:type="dxa"/>
            </w:tcMar>
          </w:tcPr>
          <w:p w14:paraId="3D50297F" w14:textId="77777777" w:rsidR="00387C28" w:rsidRPr="00BE78CA" w:rsidRDefault="00387C28" w:rsidP="006132E1">
            <w:pPr>
              <w:pStyle w:val="TableText"/>
              <w:spacing w:before="50" w:after="50"/>
              <w:jc w:val="center"/>
            </w:pPr>
            <w:r w:rsidRPr="00BE78CA">
              <w:rPr>
                <w:rFonts w:eastAsia="Calibri"/>
              </w:rPr>
              <w:t>CO</w:t>
            </w:r>
            <w:r w:rsidRPr="00BE78CA">
              <w:rPr>
                <w:rFonts w:eastAsia="Calibri"/>
                <w:vertAlign w:val="subscript"/>
              </w:rPr>
              <w:t>2</w:t>
            </w:r>
          </w:p>
        </w:tc>
        <w:tc>
          <w:tcPr>
            <w:tcW w:w="1404" w:type="dxa"/>
            <w:tcBorders>
              <w:top w:val="single" w:sz="4" w:space="0" w:color="365F91"/>
              <w:bottom w:val="single" w:sz="4" w:space="0" w:color="365F91"/>
            </w:tcBorders>
            <w:shd w:val="clear" w:color="auto" w:fill="FFFFFF"/>
            <w:tcMar>
              <w:top w:w="0" w:type="dxa"/>
              <w:left w:w="57" w:type="dxa"/>
              <w:bottom w:w="0" w:type="dxa"/>
              <w:right w:w="57" w:type="dxa"/>
            </w:tcMar>
          </w:tcPr>
          <w:p w14:paraId="4754C002" w14:textId="77777777" w:rsidR="00387C28" w:rsidRPr="00BE78CA" w:rsidRDefault="00387C28" w:rsidP="002B097E">
            <w:pPr>
              <w:pStyle w:val="TableText"/>
              <w:spacing w:before="50" w:after="50"/>
              <w:jc w:val="right"/>
            </w:pPr>
            <w:r w:rsidRPr="00BE78CA">
              <w:rPr>
                <w:rFonts w:eastAsia="Calibri"/>
              </w:rPr>
              <w:t>1,661.6</w:t>
            </w:r>
          </w:p>
        </w:tc>
        <w:tc>
          <w:tcPr>
            <w:tcW w:w="1286" w:type="dxa"/>
            <w:tcBorders>
              <w:top w:val="single" w:sz="4" w:space="0" w:color="365F91"/>
              <w:bottom w:val="single" w:sz="4" w:space="0" w:color="365F91"/>
            </w:tcBorders>
            <w:shd w:val="clear" w:color="auto" w:fill="FFFFFF"/>
            <w:tcMar>
              <w:top w:w="0" w:type="dxa"/>
              <w:left w:w="57" w:type="dxa"/>
              <w:bottom w:w="0" w:type="dxa"/>
              <w:right w:w="57" w:type="dxa"/>
            </w:tcMar>
          </w:tcPr>
          <w:p w14:paraId="1956E286" w14:textId="77777777" w:rsidR="00387C28" w:rsidRPr="00BE78CA" w:rsidRDefault="00387C28" w:rsidP="002B097E">
            <w:pPr>
              <w:pStyle w:val="TableText"/>
              <w:spacing w:before="50" w:after="50"/>
              <w:jc w:val="right"/>
            </w:pPr>
            <w:r w:rsidRPr="00BE78CA">
              <w:rPr>
                <w:rFonts w:eastAsia="Calibri"/>
              </w:rPr>
              <w:t>1.4</w:t>
            </w:r>
          </w:p>
        </w:tc>
        <w:tc>
          <w:tcPr>
            <w:tcW w:w="1228" w:type="dxa"/>
            <w:tcBorders>
              <w:top w:val="single" w:sz="4" w:space="0" w:color="365F91"/>
              <w:bottom w:val="single" w:sz="4" w:space="0" w:color="365F91"/>
              <w:right w:val="single" w:sz="4" w:space="0" w:color="FFFFFF"/>
            </w:tcBorders>
            <w:shd w:val="clear" w:color="auto" w:fill="FFFFFF"/>
            <w:tcMar>
              <w:top w:w="0" w:type="dxa"/>
              <w:left w:w="57" w:type="dxa"/>
              <w:bottom w:w="0" w:type="dxa"/>
              <w:right w:w="57" w:type="dxa"/>
            </w:tcMar>
          </w:tcPr>
          <w:p w14:paraId="353CE155" w14:textId="77777777" w:rsidR="00387C28" w:rsidRPr="00BE78CA" w:rsidRDefault="00387C28" w:rsidP="002B097E">
            <w:pPr>
              <w:pStyle w:val="TableText"/>
              <w:spacing w:before="50" w:after="50"/>
              <w:jc w:val="right"/>
            </w:pPr>
            <w:r w:rsidRPr="00BE78CA">
              <w:rPr>
                <w:rFonts w:eastAsia="Calibri"/>
              </w:rPr>
              <w:t>77.5</w:t>
            </w:r>
          </w:p>
        </w:tc>
      </w:tr>
      <w:tr w:rsidR="0077535C" w:rsidRPr="00BE78CA" w14:paraId="44DD65B1" w14:textId="77777777" w:rsidTr="0077535C">
        <w:trPr>
          <w:cantSplit/>
        </w:trPr>
        <w:tc>
          <w:tcPr>
            <w:tcW w:w="813" w:type="dxa"/>
            <w:tcBorders>
              <w:top w:val="single" w:sz="4" w:space="0" w:color="365F91"/>
              <w:bottom w:val="single" w:sz="4" w:space="0" w:color="365F91"/>
            </w:tcBorders>
            <w:shd w:val="clear" w:color="auto" w:fill="FFFFFF"/>
            <w:tcMar>
              <w:top w:w="0" w:type="dxa"/>
              <w:left w:w="57" w:type="dxa"/>
              <w:bottom w:w="0" w:type="dxa"/>
              <w:right w:w="57" w:type="dxa"/>
            </w:tcMar>
          </w:tcPr>
          <w:p w14:paraId="5C6B197B" w14:textId="77777777" w:rsidR="00387C28" w:rsidRPr="00BE78CA" w:rsidRDefault="00387C28" w:rsidP="004C0828">
            <w:pPr>
              <w:pStyle w:val="TableText"/>
              <w:spacing w:before="50" w:after="50"/>
            </w:pPr>
            <w:r w:rsidRPr="00BE78CA">
              <w:rPr>
                <w:rFonts w:eastAsia="Calibri"/>
              </w:rPr>
              <w:t>2.F.1</w:t>
            </w:r>
          </w:p>
        </w:tc>
        <w:tc>
          <w:tcPr>
            <w:tcW w:w="3217" w:type="dxa"/>
            <w:tcBorders>
              <w:top w:val="single" w:sz="4" w:space="0" w:color="365F91"/>
              <w:bottom w:val="single" w:sz="4" w:space="0" w:color="365F91"/>
            </w:tcBorders>
            <w:shd w:val="clear" w:color="auto" w:fill="FFFFFF"/>
            <w:tcMar>
              <w:top w:w="0" w:type="dxa"/>
              <w:left w:w="57" w:type="dxa"/>
              <w:bottom w:w="0" w:type="dxa"/>
              <w:right w:w="57" w:type="dxa"/>
            </w:tcMar>
          </w:tcPr>
          <w:p w14:paraId="13BD744E" w14:textId="4DBB4378" w:rsidR="00387C28" w:rsidRPr="00BE78CA" w:rsidRDefault="00387C28" w:rsidP="004C0828">
            <w:pPr>
              <w:pStyle w:val="TableText"/>
              <w:spacing w:before="50" w:after="50"/>
            </w:pPr>
            <w:r w:rsidRPr="00BE78CA">
              <w:rPr>
                <w:rFonts w:eastAsia="Calibri"/>
              </w:rPr>
              <w:t>Product Uses as Substitutes for ODS –</w:t>
            </w:r>
            <w:r w:rsidR="004C0828" w:rsidRPr="00BE78CA">
              <w:rPr>
                <w:rFonts w:eastAsia="Calibri"/>
              </w:rPr>
              <w:t> </w:t>
            </w:r>
            <w:r w:rsidRPr="00BE78CA">
              <w:rPr>
                <w:rFonts w:eastAsia="Calibri"/>
              </w:rPr>
              <w:t>Refrigeration and Air conditioning</w:t>
            </w:r>
          </w:p>
        </w:tc>
        <w:tc>
          <w:tcPr>
            <w:tcW w:w="546" w:type="dxa"/>
            <w:tcBorders>
              <w:top w:val="single" w:sz="4" w:space="0" w:color="365F91"/>
              <w:bottom w:val="single" w:sz="4" w:space="0" w:color="365F91"/>
            </w:tcBorders>
            <w:shd w:val="clear" w:color="auto" w:fill="FFFFFF"/>
            <w:tcMar>
              <w:top w:w="0" w:type="dxa"/>
              <w:left w:w="57" w:type="dxa"/>
              <w:bottom w:w="0" w:type="dxa"/>
              <w:right w:w="57" w:type="dxa"/>
            </w:tcMar>
          </w:tcPr>
          <w:p w14:paraId="66238809" w14:textId="77777777" w:rsidR="00387C28" w:rsidRPr="00BE78CA" w:rsidRDefault="00387C28" w:rsidP="006132E1">
            <w:pPr>
              <w:pStyle w:val="TableText"/>
              <w:spacing w:before="50" w:after="50"/>
              <w:jc w:val="center"/>
            </w:pPr>
            <w:r w:rsidRPr="00BE78CA">
              <w:rPr>
                <w:rFonts w:eastAsia="Calibri"/>
              </w:rPr>
              <w:t>HFCs</w:t>
            </w:r>
          </w:p>
        </w:tc>
        <w:tc>
          <w:tcPr>
            <w:tcW w:w="1404" w:type="dxa"/>
            <w:tcBorders>
              <w:top w:val="single" w:sz="4" w:space="0" w:color="365F91"/>
              <w:bottom w:val="single" w:sz="4" w:space="0" w:color="365F91"/>
            </w:tcBorders>
            <w:shd w:val="clear" w:color="auto" w:fill="FFFFFF"/>
            <w:tcMar>
              <w:top w:w="0" w:type="dxa"/>
              <w:left w:w="57" w:type="dxa"/>
              <w:bottom w:w="0" w:type="dxa"/>
              <w:right w:w="57" w:type="dxa"/>
            </w:tcMar>
          </w:tcPr>
          <w:p w14:paraId="7C26A7D8" w14:textId="77777777" w:rsidR="00387C28" w:rsidRPr="00BE78CA" w:rsidRDefault="00387C28" w:rsidP="002B097E">
            <w:pPr>
              <w:pStyle w:val="TableText"/>
              <w:spacing w:before="50" w:after="50"/>
              <w:jc w:val="right"/>
            </w:pPr>
            <w:r w:rsidRPr="00BE78CA">
              <w:rPr>
                <w:rFonts w:eastAsia="Calibri"/>
              </w:rPr>
              <w:t>1,637.7</w:t>
            </w:r>
          </w:p>
        </w:tc>
        <w:tc>
          <w:tcPr>
            <w:tcW w:w="1286" w:type="dxa"/>
            <w:tcBorders>
              <w:top w:val="single" w:sz="4" w:space="0" w:color="365F91"/>
              <w:bottom w:val="single" w:sz="4" w:space="0" w:color="365F91"/>
            </w:tcBorders>
            <w:shd w:val="clear" w:color="auto" w:fill="FFFFFF"/>
            <w:tcMar>
              <w:top w:w="0" w:type="dxa"/>
              <w:left w:w="57" w:type="dxa"/>
              <w:bottom w:w="0" w:type="dxa"/>
              <w:right w:w="57" w:type="dxa"/>
            </w:tcMar>
          </w:tcPr>
          <w:p w14:paraId="7201FCDB" w14:textId="77777777" w:rsidR="00387C28" w:rsidRPr="00BE78CA" w:rsidRDefault="00387C28" w:rsidP="002B097E">
            <w:pPr>
              <w:pStyle w:val="TableText"/>
              <w:spacing w:before="50" w:after="50"/>
              <w:jc w:val="right"/>
            </w:pPr>
            <w:r w:rsidRPr="00BE78CA">
              <w:rPr>
                <w:rFonts w:eastAsia="Calibri"/>
              </w:rPr>
              <w:t>1.4</w:t>
            </w:r>
          </w:p>
        </w:tc>
        <w:tc>
          <w:tcPr>
            <w:tcW w:w="1228" w:type="dxa"/>
            <w:tcBorders>
              <w:top w:val="single" w:sz="4" w:space="0" w:color="365F91"/>
              <w:bottom w:val="single" w:sz="4" w:space="0" w:color="365F91"/>
              <w:right w:val="single" w:sz="4" w:space="0" w:color="FFFFFF"/>
            </w:tcBorders>
            <w:shd w:val="clear" w:color="auto" w:fill="FFFFFF"/>
            <w:tcMar>
              <w:top w:w="0" w:type="dxa"/>
              <w:left w:w="57" w:type="dxa"/>
              <w:bottom w:w="0" w:type="dxa"/>
              <w:right w:w="57" w:type="dxa"/>
            </w:tcMar>
          </w:tcPr>
          <w:p w14:paraId="514E5345" w14:textId="77777777" w:rsidR="00387C28" w:rsidRPr="00BE78CA" w:rsidRDefault="00387C28" w:rsidP="002B097E">
            <w:pPr>
              <w:pStyle w:val="TableText"/>
              <w:spacing w:before="50" w:after="50"/>
              <w:jc w:val="right"/>
            </w:pPr>
            <w:r w:rsidRPr="00BE78CA">
              <w:rPr>
                <w:rFonts w:eastAsia="Calibri"/>
              </w:rPr>
              <w:t>78.9</w:t>
            </w:r>
          </w:p>
        </w:tc>
      </w:tr>
      <w:tr w:rsidR="0077535C" w:rsidRPr="00BE78CA" w14:paraId="641E1CA8" w14:textId="77777777" w:rsidTr="0077535C">
        <w:trPr>
          <w:cantSplit/>
        </w:trPr>
        <w:tc>
          <w:tcPr>
            <w:tcW w:w="813" w:type="dxa"/>
            <w:tcBorders>
              <w:top w:val="single" w:sz="4" w:space="0" w:color="365F91"/>
              <w:bottom w:val="single" w:sz="4" w:space="0" w:color="365F91"/>
            </w:tcBorders>
            <w:shd w:val="clear" w:color="auto" w:fill="FFFFFF"/>
            <w:tcMar>
              <w:top w:w="0" w:type="dxa"/>
              <w:left w:w="57" w:type="dxa"/>
              <w:bottom w:w="0" w:type="dxa"/>
              <w:right w:w="57" w:type="dxa"/>
            </w:tcMar>
          </w:tcPr>
          <w:p w14:paraId="7C931927" w14:textId="77777777" w:rsidR="00387C28" w:rsidRPr="00BE78CA" w:rsidRDefault="00387C28" w:rsidP="004C0828">
            <w:pPr>
              <w:pStyle w:val="TableText"/>
              <w:spacing w:before="50" w:after="50"/>
            </w:pPr>
            <w:r w:rsidRPr="00BE78CA">
              <w:rPr>
                <w:rFonts w:eastAsia="Calibri"/>
              </w:rPr>
              <w:t>1.A.1.a</w:t>
            </w:r>
          </w:p>
        </w:tc>
        <w:tc>
          <w:tcPr>
            <w:tcW w:w="3217" w:type="dxa"/>
            <w:tcBorders>
              <w:top w:val="single" w:sz="4" w:space="0" w:color="365F91"/>
              <w:bottom w:val="single" w:sz="4" w:space="0" w:color="365F91"/>
            </w:tcBorders>
            <w:shd w:val="clear" w:color="auto" w:fill="FFFFFF"/>
            <w:tcMar>
              <w:top w:w="0" w:type="dxa"/>
              <w:left w:w="57" w:type="dxa"/>
              <w:bottom w:w="0" w:type="dxa"/>
              <w:right w:w="57" w:type="dxa"/>
            </w:tcMar>
          </w:tcPr>
          <w:p w14:paraId="3238F5EA" w14:textId="77777777" w:rsidR="00387C28" w:rsidRPr="00BE78CA" w:rsidRDefault="00387C28" w:rsidP="004C0828">
            <w:pPr>
              <w:pStyle w:val="TableText"/>
              <w:spacing w:before="50" w:after="50"/>
            </w:pPr>
            <w:r w:rsidRPr="00BE78CA">
              <w:rPr>
                <w:rFonts w:eastAsia="Calibri"/>
              </w:rPr>
              <w:t>Energy Industries – Public Electricity and Heat Production</w:t>
            </w:r>
          </w:p>
        </w:tc>
        <w:tc>
          <w:tcPr>
            <w:tcW w:w="546" w:type="dxa"/>
            <w:tcBorders>
              <w:top w:val="single" w:sz="4" w:space="0" w:color="365F91"/>
              <w:bottom w:val="single" w:sz="4" w:space="0" w:color="365F91"/>
            </w:tcBorders>
            <w:shd w:val="clear" w:color="auto" w:fill="FFFFFF"/>
            <w:tcMar>
              <w:top w:w="0" w:type="dxa"/>
              <w:left w:w="57" w:type="dxa"/>
              <w:bottom w:w="0" w:type="dxa"/>
              <w:right w:w="57" w:type="dxa"/>
            </w:tcMar>
          </w:tcPr>
          <w:p w14:paraId="4E3ED884" w14:textId="77777777" w:rsidR="00387C28" w:rsidRPr="00BE78CA" w:rsidRDefault="00387C28" w:rsidP="006132E1">
            <w:pPr>
              <w:pStyle w:val="TableText"/>
              <w:spacing w:before="50" w:after="50"/>
              <w:jc w:val="center"/>
            </w:pPr>
            <w:r w:rsidRPr="00BE78CA">
              <w:rPr>
                <w:rFonts w:eastAsia="Calibri"/>
              </w:rPr>
              <w:t>CO</w:t>
            </w:r>
            <w:r w:rsidRPr="00BE78CA">
              <w:rPr>
                <w:rFonts w:eastAsia="Calibri"/>
                <w:vertAlign w:val="subscript"/>
              </w:rPr>
              <w:t>2</w:t>
            </w:r>
          </w:p>
        </w:tc>
        <w:tc>
          <w:tcPr>
            <w:tcW w:w="1404" w:type="dxa"/>
            <w:tcBorders>
              <w:top w:val="single" w:sz="4" w:space="0" w:color="365F91"/>
              <w:bottom w:val="single" w:sz="4" w:space="0" w:color="365F91"/>
            </w:tcBorders>
            <w:shd w:val="clear" w:color="auto" w:fill="FFFFFF"/>
            <w:tcMar>
              <w:top w:w="0" w:type="dxa"/>
              <w:left w:w="57" w:type="dxa"/>
              <w:bottom w:w="0" w:type="dxa"/>
              <w:right w:w="57" w:type="dxa"/>
            </w:tcMar>
          </w:tcPr>
          <w:p w14:paraId="5C0516DE" w14:textId="77777777" w:rsidR="00387C28" w:rsidRPr="00BE78CA" w:rsidRDefault="00387C28" w:rsidP="002B097E">
            <w:pPr>
              <w:pStyle w:val="TableText"/>
              <w:spacing w:before="50" w:after="50"/>
              <w:jc w:val="right"/>
            </w:pPr>
            <w:r w:rsidRPr="00BE78CA">
              <w:rPr>
                <w:rFonts w:eastAsia="Calibri"/>
              </w:rPr>
              <w:t>1,634.8</w:t>
            </w:r>
          </w:p>
        </w:tc>
        <w:tc>
          <w:tcPr>
            <w:tcW w:w="1286" w:type="dxa"/>
            <w:tcBorders>
              <w:top w:val="single" w:sz="4" w:space="0" w:color="365F91"/>
              <w:bottom w:val="single" w:sz="4" w:space="0" w:color="365F91"/>
            </w:tcBorders>
            <w:shd w:val="clear" w:color="auto" w:fill="FFFFFF"/>
            <w:tcMar>
              <w:top w:w="0" w:type="dxa"/>
              <w:left w:w="57" w:type="dxa"/>
              <w:bottom w:w="0" w:type="dxa"/>
              <w:right w:w="57" w:type="dxa"/>
            </w:tcMar>
          </w:tcPr>
          <w:p w14:paraId="4A4B3776" w14:textId="77777777" w:rsidR="00387C28" w:rsidRPr="00BE78CA" w:rsidRDefault="00387C28" w:rsidP="002B097E">
            <w:pPr>
              <w:pStyle w:val="TableText"/>
              <w:spacing w:before="50" w:after="50"/>
              <w:jc w:val="right"/>
            </w:pPr>
            <w:r w:rsidRPr="00BE78CA">
              <w:rPr>
                <w:rFonts w:eastAsia="Calibri"/>
              </w:rPr>
              <w:t>1.4</w:t>
            </w:r>
          </w:p>
        </w:tc>
        <w:tc>
          <w:tcPr>
            <w:tcW w:w="1228" w:type="dxa"/>
            <w:tcBorders>
              <w:top w:val="single" w:sz="4" w:space="0" w:color="365F91"/>
              <w:bottom w:val="single" w:sz="4" w:space="0" w:color="365F91"/>
              <w:right w:val="single" w:sz="4" w:space="0" w:color="FFFFFF"/>
            </w:tcBorders>
            <w:shd w:val="clear" w:color="auto" w:fill="FFFFFF"/>
            <w:tcMar>
              <w:top w:w="0" w:type="dxa"/>
              <w:left w:w="57" w:type="dxa"/>
              <w:bottom w:w="0" w:type="dxa"/>
              <w:right w:w="57" w:type="dxa"/>
            </w:tcMar>
          </w:tcPr>
          <w:p w14:paraId="429B8A86" w14:textId="77777777" w:rsidR="00387C28" w:rsidRPr="00BE78CA" w:rsidRDefault="00387C28" w:rsidP="002B097E">
            <w:pPr>
              <w:pStyle w:val="TableText"/>
              <w:spacing w:before="50" w:after="50"/>
              <w:jc w:val="right"/>
            </w:pPr>
            <w:r w:rsidRPr="00BE78CA">
              <w:rPr>
                <w:rFonts w:eastAsia="Calibri"/>
              </w:rPr>
              <w:t>80.2</w:t>
            </w:r>
          </w:p>
        </w:tc>
      </w:tr>
      <w:tr w:rsidR="0077535C" w:rsidRPr="00BE78CA" w14:paraId="6D8FB819" w14:textId="77777777" w:rsidTr="0077535C">
        <w:trPr>
          <w:cantSplit/>
        </w:trPr>
        <w:tc>
          <w:tcPr>
            <w:tcW w:w="813" w:type="dxa"/>
            <w:tcBorders>
              <w:top w:val="single" w:sz="4" w:space="0" w:color="365F91"/>
              <w:bottom w:val="single" w:sz="4" w:space="0" w:color="365F91"/>
            </w:tcBorders>
            <w:shd w:val="clear" w:color="auto" w:fill="FFFFFF"/>
            <w:tcMar>
              <w:top w:w="0" w:type="dxa"/>
              <w:left w:w="57" w:type="dxa"/>
              <w:bottom w:w="0" w:type="dxa"/>
              <w:right w:w="57" w:type="dxa"/>
            </w:tcMar>
          </w:tcPr>
          <w:p w14:paraId="723E3B09" w14:textId="77777777" w:rsidR="00387C28" w:rsidRPr="00BE78CA" w:rsidRDefault="00387C28" w:rsidP="004C0828">
            <w:pPr>
              <w:pStyle w:val="TableText"/>
              <w:spacing w:before="50" w:after="50"/>
            </w:pPr>
            <w:r w:rsidRPr="00BE78CA">
              <w:rPr>
                <w:rFonts w:eastAsia="Calibri"/>
              </w:rPr>
              <w:t>3.D.1.1</w:t>
            </w:r>
          </w:p>
        </w:tc>
        <w:tc>
          <w:tcPr>
            <w:tcW w:w="3217" w:type="dxa"/>
            <w:tcBorders>
              <w:top w:val="single" w:sz="4" w:space="0" w:color="365F91"/>
              <w:bottom w:val="single" w:sz="4" w:space="0" w:color="365F91"/>
            </w:tcBorders>
            <w:shd w:val="clear" w:color="auto" w:fill="FFFFFF"/>
            <w:tcMar>
              <w:top w:w="0" w:type="dxa"/>
              <w:left w:w="57" w:type="dxa"/>
              <w:bottom w:w="0" w:type="dxa"/>
              <w:right w:w="57" w:type="dxa"/>
            </w:tcMar>
          </w:tcPr>
          <w:p w14:paraId="586BB896" w14:textId="51D468CF" w:rsidR="00387C28" w:rsidRPr="00BE78CA" w:rsidRDefault="00387C28" w:rsidP="004C0828">
            <w:pPr>
              <w:pStyle w:val="TableText"/>
              <w:spacing w:before="50" w:after="50"/>
            </w:pPr>
            <w:r w:rsidRPr="00BE78CA">
              <w:rPr>
                <w:rFonts w:eastAsia="Calibri"/>
              </w:rPr>
              <w:t>Direct N</w:t>
            </w:r>
            <w:r w:rsidRPr="00BE78CA">
              <w:rPr>
                <w:rFonts w:eastAsia="Calibri"/>
                <w:vertAlign w:val="subscript"/>
              </w:rPr>
              <w:t>2</w:t>
            </w:r>
            <w:r w:rsidRPr="00BE78CA">
              <w:rPr>
                <w:rFonts w:eastAsia="Calibri"/>
              </w:rPr>
              <w:t>O Emissions from Managed Soils –</w:t>
            </w:r>
            <w:r w:rsidR="004C0828" w:rsidRPr="00BE78CA">
              <w:rPr>
                <w:rFonts w:eastAsia="Calibri"/>
              </w:rPr>
              <w:t> </w:t>
            </w:r>
            <w:r w:rsidRPr="00BE78CA">
              <w:rPr>
                <w:rFonts w:eastAsia="Calibri"/>
              </w:rPr>
              <w:t>Inorganic N Fertilisers</w:t>
            </w:r>
          </w:p>
        </w:tc>
        <w:tc>
          <w:tcPr>
            <w:tcW w:w="546" w:type="dxa"/>
            <w:tcBorders>
              <w:top w:val="single" w:sz="4" w:space="0" w:color="365F91"/>
              <w:bottom w:val="single" w:sz="4" w:space="0" w:color="365F91"/>
            </w:tcBorders>
            <w:shd w:val="clear" w:color="auto" w:fill="FFFFFF"/>
            <w:tcMar>
              <w:top w:w="0" w:type="dxa"/>
              <w:left w:w="57" w:type="dxa"/>
              <w:bottom w:w="0" w:type="dxa"/>
              <w:right w:w="57" w:type="dxa"/>
            </w:tcMar>
          </w:tcPr>
          <w:p w14:paraId="3795371F" w14:textId="77777777" w:rsidR="00387C28" w:rsidRPr="00BE78CA" w:rsidRDefault="00387C28" w:rsidP="006132E1">
            <w:pPr>
              <w:pStyle w:val="TableText"/>
              <w:spacing w:before="50" w:after="50"/>
              <w:jc w:val="center"/>
            </w:pPr>
            <w:r w:rsidRPr="00BE78CA">
              <w:rPr>
                <w:rFonts w:eastAsia="Calibri"/>
              </w:rPr>
              <w:t>N</w:t>
            </w:r>
            <w:r w:rsidRPr="00BE78CA">
              <w:rPr>
                <w:rFonts w:eastAsia="Calibri"/>
                <w:vertAlign w:val="subscript"/>
              </w:rPr>
              <w:t>2</w:t>
            </w:r>
            <w:r w:rsidRPr="00BE78CA">
              <w:rPr>
                <w:rFonts w:eastAsia="Calibri"/>
              </w:rPr>
              <w:t>O</w:t>
            </w:r>
          </w:p>
        </w:tc>
        <w:tc>
          <w:tcPr>
            <w:tcW w:w="1404" w:type="dxa"/>
            <w:tcBorders>
              <w:top w:val="single" w:sz="4" w:space="0" w:color="365F91"/>
              <w:bottom w:val="single" w:sz="4" w:space="0" w:color="365F91"/>
            </w:tcBorders>
            <w:shd w:val="clear" w:color="auto" w:fill="FFFFFF"/>
            <w:tcMar>
              <w:top w:w="0" w:type="dxa"/>
              <w:left w:w="57" w:type="dxa"/>
              <w:bottom w:w="0" w:type="dxa"/>
              <w:right w:w="57" w:type="dxa"/>
            </w:tcMar>
          </w:tcPr>
          <w:p w14:paraId="727077ED" w14:textId="77777777" w:rsidR="00387C28" w:rsidRPr="00BE78CA" w:rsidRDefault="00387C28" w:rsidP="002B097E">
            <w:pPr>
              <w:pStyle w:val="TableText"/>
              <w:spacing w:before="50" w:after="50"/>
              <w:jc w:val="right"/>
            </w:pPr>
            <w:r w:rsidRPr="00BE78CA">
              <w:rPr>
                <w:rFonts w:eastAsia="Calibri"/>
              </w:rPr>
              <w:t>1,429.3</w:t>
            </w:r>
          </w:p>
        </w:tc>
        <w:tc>
          <w:tcPr>
            <w:tcW w:w="1286" w:type="dxa"/>
            <w:tcBorders>
              <w:top w:val="single" w:sz="4" w:space="0" w:color="365F91"/>
              <w:bottom w:val="single" w:sz="4" w:space="0" w:color="365F91"/>
            </w:tcBorders>
            <w:shd w:val="clear" w:color="auto" w:fill="FFFFFF"/>
            <w:tcMar>
              <w:top w:w="0" w:type="dxa"/>
              <w:left w:w="57" w:type="dxa"/>
              <w:bottom w:w="0" w:type="dxa"/>
              <w:right w:w="57" w:type="dxa"/>
            </w:tcMar>
          </w:tcPr>
          <w:p w14:paraId="5FB5ACDE" w14:textId="77777777" w:rsidR="00387C28" w:rsidRPr="00BE78CA" w:rsidRDefault="00387C28" w:rsidP="002B097E">
            <w:pPr>
              <w:pStyle w:val="TableText"/>
              <w:spacing w:before="50" w:after="50"/>
              <w:jc w:val="right"/>
            </w:pPr>
            <w:r w:rsidRPr="00BE78CA">
              <w:rPr>
                <w:rFonts w:eastAsia="Calibri"/>
              </w:rPr>
              <w:t>1.2</w:t>
            </w:r>
          </w:p>
        </w:tc>
        <w:tc>
          <w:tcPr>
            <w:tcW w:w="1228" w:type="dxa"/>
            <w:tcBorders>
              <w:top w:val="single" w:sz="4" w:space="0" w:color="365F91"/>
              <w:bottom w:val="single" w:sz="4" w:space="0" w:color="365F91"/>
              <w:right w:val="single" w:sz="4" w:space="0" w:color="FFFFFF"/>
            </w:tcBorders>
            <w:shd w:val="clear" w:color="auto" w:fill="FFFFFF"/>
            <w:tcMar>
              <w:top w:w="0" w:type="dxa"/>
              <w:left w:w="57" w:type="dxa"/>
              <w:bottom w:w="0" w:type="dxa"/>
              <w:right w:w="57" w:type="dxa"/>
            </w:tcMar>
          </w:tcPr>
          <w:p w14:paraId="57B59E88" w14:textId="77777777" w:rsidR="00387C28" w:rsidRPr="00BE78CA" w:rsidRDefault="00387C28" w:rsidP="002B097E">
            <w:pPr>
              <w:pStyle w:val="TableText"/>
              <w:spacing w:before="50" w:after="50"/>
              <w:jc w:val="right"/>
            </w:pPr>
            <w:r w:rsidRPr="00BE78CA">
              <w:rPr>
                <w:rFonts w:eastAsia="Calibri"/>
              </w:rPr>
              <w:t>81.4</w:t>
            </w:r>
          </w:p>
        </w:tc>
      </w:tr>
      <w:tr w:rsidR="0077535C" w:rsidRPr="00BE78CA" w14:paraId="04548AEC" w14:textId="77777777" w:rsidTr="0077535C">
        <w:trPr>
          <w:cantSplit/>
        </w:trPr>
        <w:tc>
          <w:tcPr>
            <w:tcW w:w="813" w:type="dxa"/>
            <w:tcBorders>
              <w:top w:val="single" w:sz="4" w:space="0" w:color="365F91"/>
              <w:bottom w:val="single" w:sz="4" w:space="0" w:color="365F91"/>
            </w:tcBorders>
            <w:shd w:val="clear" w:color="auto" w:fill="FFFFFF"/>
            <w:tcMar>
              <w:top w:w="0" w:type="dxa"/>
              <w:left w:w="57" w:type="dxa"/>
              <w:bottom w:w="0" w:type="dxa"/>
              <w:right w:w="57" w:type="dxa"/>
            </w:tcMar>
          </w:tcPr>
          <w:p w14:paraId="3D96781D" w14:textId="77777777" w:rsidR="00387C28" w:rsidRPr="00BE78CA" w:rsidRDefault="00387C28" w:rsidP="004C0828">
            <w:pPr>
              <w:pStyle w:val="TableText"/>
              <w:spacing w:before="50" w:after="50"/>
            </w:pPr>
            <w:r w:rsidRPr="00BE78CA">
              <w:rPr>
                <w:rFonts w:eastAsia="Calibri"/>
              </w:rPr>
              <w:t>3.B.1.1</w:t>
            </w:r>
          </w:p>
        </w:tc>
        <w:tc>
          <w:tcPr>
            <w:tcW w:w="3217" w:type="dxa"/>
            <w:tcBorders>
              <w:top w:val="single" w:sz="4" w:space="0" w:color="365F91"/>
              <w:bottom w:val="single" w:sz="4" w:space="0" w:color="365F91"/>
            </w:tcBorders>
            <w:shd w:val="clear" w:color="auto" w:fill="FFFFFF"/>
            <w:tcMar>
              <w:top w:w="0" w:type="dxa"/>
              <w:left w:w="57" w:type="dxa"/>
              <w:bottom w:w="0" w:type="dxa"/>
              <w:right w:w="57" w:type="dxa"/>
            </w:tcMar>
          </w:tcPr>
          <w:p w14:paraId="508AD311" w14:textId="77777777" w:rsidR="00387C28" w:rsidRPr="00BE78CA" w:rsidRDefault="00387C28" w:rsidP="004C0828">
            <w:pPr>
              <w:pStyle w:val="TableText"/>
              <w:spacing w:before="50" w:after="50"/>
            </w:pPr>
            <w:r w:rsidRPr="00BE78CA">
              <w:rPr>
                <w:rFonts w:eastAsia="Calibri"/>
              </w:rPr>
              <w:t>Cattle – Option A</w:t>
            </w:r>
          </w:p>
        </w:tc>
        <w:tc>
          <w:tcPr>
            <w:tcW w:w="546" w:type="dxa"/>
            <w:tcBorders>
              <w:top w:val="single" w:sz="4" w:space="0" w:color="365F91"/>
              <w:bottom w:val="single" w:sz="4" w:space="0" w:color="365F91"/>
            </w:tcBorders>
            <w:shd w:val="clear" w:color="auto" w:fill="FFFFFF"/>
            <w:tcMar>
              <w:top w:w="0" w:type="dxa"/>
              <w:left w:w="57" w:type="dxa"/>
              <w:bottom w:w="0" w:type="dxa"/>
              <w:right w:w="57" w:type="dxa"/>
            </w:tcMar>
          </w:tcPr>
          <w:p w14:paraId="78D0078B" w14:textId="77777777" w:rsidR="00387C28" w:rsidRPr="00BE78CA" w:rsidRDefault="00387C28" w:rsidP="006132E1">
            <w:pPr>
              <w:pStyle w:val="TableText"/>
              <w:spacing w:before="50" w:after="50"/>
              <w:jc w:val="center"/>
            </w:pPr>
            <w:r w:rsidRPr="00BE78CA">
              <w:rPr>
                <w:rFonts w:eastAsia="Calibri"/>
              </w:rPr>
              <w:t>CH</w:t>
            </w:r>
            <w:r w:rsidRPr="00BE78CA">
              <w:rPr>
                <w:rFonts w:eastAsia="Calibri"/>
                <w:vertAlign w:val="subscript"/>
              </w:rPr>
              <w:t>4</w:t>
            </w:r>
          </w:p>
        </w:tc>
        <w:tc>
          <w:tcPr>
            <w:tcW w:w="1404" w:type="dxa"/>
            <w:tcBorders>
              <w:top w:val="single" w:sz="4" w:space="0" w:color="365F91"/>
              <w:bottom w:val="single" w:sz="4" w:space="0" w:color="365F91"/>
            </w:tcBorders>
            <w:shd w:val="clear" w:color="auto" w:fill="FFFFFF"/>
            <w:tcMar>
              <w:top w:w="0" w:type="dxa"/>
              <w:left w:w="57" w:type="dxa"/>
              <w:bottom w:w="0" w:type="dxa"/>
              <w:right w:w="57" w:type="dxa"/>
            </w:tcMar>
          </w:tcPr>
          <w:p w14:paraId="5FBE4D90" w14:textId="77777777" w:rsidR="00387C28" w:rsidRPr="00BE78CA" w:rsidRDefault="00387C28" w:rsidP="002B097E">
            <w:pPr>
              <w:pStyle w:val="TableText"/>
              <w:spacing w:before="50" w:after="50"/>
              <w:jc w:val="right"/>
            </w:pPr>
            <w:r w:rsidRPr="00BE78CA">
              <w:rPr>
                <w:rFonts w:eastAsia="Calibri"/>
              </w:rPr>
              <w:t>1,384.2</w:t>
            </w:r>
          </w:p>
        </w:tc>
        <w:tc>
          <w:tcPr>
            <w:tcW w:w="1286" w:type="dxa"/>
            <w:tcBorders>
              <w:top w:val="single" w:sz="4" w:space="0" w:color="365F91"/>
              <w:bottom w:val="single" w:sz="4" w:space="0" w:color="365F91"/>
            </w:tcBorders>
            <w:shd w:val="clear" w:color="auto" w:fill="FFFFFF"/>
            <w:tcMar>
              <w:top w:w="0" w:type="dxa"/>
              <w:left w:w="57" w:type="dxa"/>
              <w:bottom w:w="0" w:type="dxa"/>
              <w:right w:w="57" w:type="dxa"/>
            </w:tcMar>
          </w:tcPr>
          <w:p w14:paraId="22B28713" w14:textId="77777777" w:rsidR="00387C28" w:rsidRPr="00BE78CA" w:rsidRDefault="00387C28" w:rsidP="002B097E">
            <w:pPr>
              <w:pStyle w:val="TableText"/>
              <w:spacing w:before="50" w:after="50"/>
              <w:jc w:val="right"/>
            </w:pPr>
            <w:r w:rsidRPr="00BE78CA">
              <w:rPr>
                <w:rFonts w:eastAsia="Calibri"/>
              </w:rPr>
              <w:t>1.2</w:t>
            </w:r>
          </w:p>
        </w:tc>
        <w:tc>
          <w:tcPr>
            <w:tcW w:w="1228" w:type="dxa"/>
            <w:tcBorders>
              <w:top w:val="single" w:sz="4" w:space="0" w:color="365F91"/>
              <w:bottom w:val="single" w:sz="4" w:space="0" w:color="365F91"/>
              <w:right w:val="single" w:sz="4" w:space="0" w:color="FFFFFF"/>
            </w:tcBorders>
            <w:shd w:val="clear" w:color="auto" w:fill="FFFFFF"/>
            <w:tcMar>
              <w:top w:w="0" w:type="dxa"/>
              <w:left w:w="57" w:type="dxa"/>
              <w:bottom w:w="0" w:type="dxa"/>
              <w:right w:w="57" w:type="dxa"/>
            </w:tcMar>
          </w:tcPr>
          <w:p w14:paraId="35F49DBF" w14:textId="77777777" w:rsidR="00387C28" w:rsidRPr="00BE78CA" w:rsidRDefault="00387C28" w:rsidP="002B097E">
            <w:pPr>
              <w:pStyle w:val="TableText"/>
              <w:spacing w:before="50" w:after="50"/>
              <w:jc w:val="right"/>
            </w:pPr>
            <w:r w:rsidRPr="00BE78CA">
              <w:rPr>
                <w:rFonts w:eastAsia="Calibri"/>
              </w:rPr>
              <w:t>82.6</w:t>
            </w:r>
          </w:p>
        </w:tc>
      </w:tr>
      <w:tr w:rsidR="0077535C" w:rsidRPr="00BE78CA" w14:paraId="21726715" w14:textId="77777777" w:rsidTr="0077535C">
        <w:trPr>
          <w:cantSplit/>
        </w:trPr>
        <w:tc>
          <w:tcPr>
            <w:tcW w:w="813" w:type="dxa"/>
            <w:tcBorders>
              <w:top w:val="single" w:sz="4" w:space="0" w:color="365F91"/>
              <w:bottom w:val="single" w:sz="4" w:space="0" w:color="365F91"/>
            </w:tcBorders>
            <w:shd w:val="clear" w:color="auto" w:fill="FFFFFF"/>
            <w:tcMar>
              <w:top w:w="0" w:type="dxa"/>
              <w:left w:w="57" w:type="dxa"/>
              <w:bottom w:w="0" w:type="dxa"/>
              <w:right w:w="57" w:type="dxa"/>
            </w:tcMar>
          </w:tcPr>
          <w:p w14:paraId="3A622DBE" w14:textId="77777777" w:rsidR="00387C28" w:rsidRPr="00BE78CA" w:rsidRDefault="00387C28" w:rsidP="004C0828">
            <w:pPr>
              <w:pStyle w:val="TableText"/>
              <w:spacing w:before="50" w:after="50"/>
            </w:pPr>
            <w:r w:rsidRPr="00BE78CA">
              <w:rPr>
                <w:rFonts w:eastAsia="Calibri"/>
              </w:rPr>
              <w:t>4.C.1</w:t>
            </w:r>
          </w:p>
        </w:tc>
        <w:tc>
          <w:tcPr>
            <w:tcW w:w="3217" w:type="dxa"/>
            <w:tcBorders>
              <w:top w:val="single" w:sz="4" w:space="0" w:color="365F91"/>
              <w:bottom w:val="single" w:sz="4" w:space="0" w:color="365F91"/>
            </w:tcBorders>
            <w:shd w:val="clear" w:color="auto" w:fill="FFFFFF"/>
            <w:tcMar>
              <w:top w:w="0" w:type="dxa"/>
              <w:left w:w="57" w:type="dxa"/>
              <w:bottom w:w="0" w:type="dxa"/>
              <w:right w:w="57" w:type="dxa"/>
            </w:tcMar>
          </w:tcPr>
          <w:p w14:paraId="638199BA" w14:textId="77777777" w:rsidR="00387C28" w:rsidRPr="00BE78CA" w:rsidRDefault="00387C28" w:rsidP="004C0828">
            <w:pPr>
              <w:pStyle w:val="TableText"/>
              <w:spacing w:before="50" w:after="50"/>
            </w:pPr>
            <w:r w:rsidRPr="00BE78CA">
              <w:rPr>
                <w:rFonts w:eastAsia="Calibri"/>
              </w:rPr>
              <w:t>Grassland – Grassland Remaining Grassland</w:t>
            </w:r>
          </w:p>
        </w:tc>
        <w:tc>
          <w:tcPr>
            <w:tcW w:w="546" w:type="dxa"/>
            <w:tcBorders>
              <w:top w:val="single" w:sz="4" w:space="0" w:color="365F91"/>
              <w:bottom w:val="single" w:sz="4" w:space="0" w:color="365F91"/>
            </w:tcBorders>
            <w:shd w:val="clear" w:color="auto" w:fill="FFFFFF"/>
            <w:tcMar>
              <w:top w:w="0" w:type="dxa"/>
              <w:left w:w="57" w:type="dxa"/>
              <w:bottom w:w="0" w:type="dxa"/>
              <w:right w:w="57" w:type="dxa"/>
            </w:tcMar>
          </w:tcPr>
          <w:p w14:paraId="7DF36E40" w14:textId="77777777" w:rsidR="00387C28" w:rsidRPr="00BE78CA" w:rsidRDefault="00387C28" w:rsidP="006132E1">
            <w:pPr>
              <w:pStyle w:val="TableText"/>
              <w:spacing w:before="50" w:after="50"/>
              <w:jc w:val="center"/>
            </w:pPr>
            <w:r w:rsidRPr="00BE78CA">
              <w:rPr>
                <w:rFonts w:eastAsia="Calibri"/>
              </w:rPr>
              <w:t>CO</w:t>
            </w:r>
            <w:r w:rsidRPr="00BE78CA">
              <w:rPr>
                <w:rFonts w:eastAsia="Calibri"/>
                <w:vertAlign w:val="subscript"/>
              </w:rPr>
              <w:t>2</w:t>
            </w:r>
          </w:p>
        </w:tc>
        <w:tc>
          <w:tcPr>
            <w:tcW w:w="1404" w:type="dxa"/>
            <w:tcBorders>
              <w:top w:val="single" w:sz="4" w:space="0" w:color="365F91"/>
              <w:bottom w:val="single" w:sz="4" w:space="0" w:color="365F91"/>
            </w:tcBorders>
            <w:shd w:val="clear" w:color="auto" w:fill="FFFFFF"/>
            <w:tcMar>
              <w:top w:w="0" w:type="dxa"/>
              <w:left w:w="57" w:type="dxa"/>
              <w:bottom w:w="0" w:type="dxa"/>
              <w:right w:w="57" w:type="dxa"/>
            </w:tcMar>
          </w:tcPr>
          <w:p w14:paraId="7ED98CD9" w14:textId="77777777" w:rsidR="00387C28" w:rsidRPr="00BE78CA" w:rsidRDefault="00387C28" w:rsidP="002B097E">
            <w:pPr>
              <w:pStyle w:val="TableText"/>
              <w:spacing w:before="50" w:after="50"/>
              <w:jc w:val="right"/>
            </w:pPr>
            <w:r w:rsidRPr="00BE78CA">
              <w:rPr>
                <w:rFonts w:eastAsia="Calibri"/>
              </w:rPr>
              <w:t>1,228.2</w:t>
            </w:r>
          </w:p>
        </w:tc>
        <w:tc>
          <w:tcPr>
            <w:tcW w:w="1286" w:type="dxa"/>
            <w:tcBorders>
              <w:top w:val="single" w:sz="4" w:space="0" w:color="365F91"/>
              <w:bottom w:val="single" w:sz="4" w:space="0" w:color="365F91"/>
            </w:tcBorders>
            <w:shd w:val="clear" w:color="auto" w:fill="FFFFFF"/>
            <w:tcMar>
              <w:top w:w="0" w:type="dxa"/>
              <w:left w:w="57" w:type="dxa"/>
              <w:bottom w:w="0" w:type="dxa"/>
              <w:right w:w="57" w:type="dxa"/>
            </w:tcMar>
          </w:tcPr>
          <w:p w14:paraId="7AFD6DEB" w14:textId="77777777" w:rsidR="00387C28" w:rsidRPr="00BE78CA" w:rsidRDefault="00387C28" w:rsidP="002B097E">
            <w:pPr>
              <w:pStyle w:val="TableText"/>
              <w:spacing w:before="50" w:after="50"/>
              <w:jc w:val="right"/>
            </w:pPr>
            <w:r w:rsidRPr="00BE78CA">
              <w:rPr>
                <w:rFonts w:eastAsia="Calibri"/>
              </w:rPr>
              <w:t>1.0</w:t>
            </w:r>
          </w:p>
        </w:tc>
        <w:tc>
          <w:tcPr>
            <w:tcW w:w="1228" w:type="dxa"/>
            <w:tcBorders>
              <w:top w:val="single" w:sz="4" w:space="0" w:color="365F91"/>
              <w:bottom w:val="single" w:sz="4" w:space="0" w:color="365F91"/>
              <w:right w:val="single" w:sz="4" w:space="0" w:color="FFFFFF"/>
            </w:tcBorders>
            <w:shd w:val="clear" w:color="auto" w:fill="FFFFFF"/>
            <w:tcMar>
              <w:top w:w="0" w:type="dxa"/>
              <w:left w:w="57" w:type="dxa"/>
              <w:bottom w:w="0" w:type="dxa"/>
              <w:right w:w="57" w:type="dxa"/>
            </w:tcMar>
          </w:tcPr>
          <w:p w14:paraId="676ED1C5" w14:textId="77777777" w:rsidR="00387C28" w:rsidRPr="00BE78CA" w:rsidRDefault="00387C28" w:rsidP="002B097E">
            <w:pPr>
              <w:pStyle w:val="TableText"/>
              <w:spacing w:before="50" w:after="50"/>
              <w:jc w:val="right"/>
            </w:pPr>
            <w:r w:rsidRPr="00BE78CA">
              <w:rPr>
                <w:rFonts w:eastAsia="Calibri"/>
              </w:rPr>
              <w:t>83.6</w:t>
            </w:r>
          </w:p>
        </w:tc>
      </w:tr>
      <w:tr w:rsidR="0077535C" w:rsidRPr="00BE78CA" w14:paraId="1BB10290" w14:textId="77777777" w:rsidTr="0077535C">
        <w:trPr>
          <w:cantSplit/>
        </w:trPr>
        <w:tc>
          <w:tcPr>
            <w:tcW w:w="813" w:type="dxa"/>
            <w:tcBorders>
              <w:top w:val="single" w:sz="4" w:space="0" w:color="365F91"/>
              <w:bottom w:val="single" w:sz="4" w:space="0" w:color="365F91"/>
            </w:tcBorders>
            <w:shd w:val="clear" w:color="auto" w:fill="FFFFFF"/>
            <w:tcMar>
              <w:top w:w="0" w:type="dxa"/>
              <w:left w:w="57" w:type="dxa"/>
              <w:bottom w:w="0" w:type="dxa"/>
              <w:right w:w="57" w:type="dxa"/>
            </w:tcMar>
          </w:tcPr>
          <w:p w14:paraId="3CE9556A" w14:textId="77777777" w:rsidR="00387C28" w:rsidRPr="00BE78CA" w:rsidRDefault="00387C28" w:rsidP="004C0828">
            <w:pPr>
              <w:pStyle w:val="TableText"/>
              <w:spacing w:before="50" w:after="50"/>
            </w:pPr>
            <w:r w:rsidRPr="00BE78CA">
              <w:rPr>
                <w:rFonts w:eastAsia="Calibri"/>
              </w:rPr>
              <w:t>1.A.2.e</w:t>
            </w:r>
          </w:p>
        </w:tc>
        <w:tc>
          <w:tcPr>
            <w:tcW w:w="3217" w:type="dxa"/>
            <w:tcBorders>
              <w:top w:val="single" w:sz="4" w:space="0" w:color="365F91"/>
              <w:bottom w:val="single" w:sz="4" w:space="0" w:color="365F91"/>
            </w:tcBorders>
            <w:shd w:val="clear" w:color="auto" w:fill="FFFFFF"/>
            <w:tcMar>
              <w:top w:w="0" w:type="dxa"/>
              <w:left w:w="57" w:type="dxa"/>
              <w:bottom w:w="0" w:type="dxa"/>
              <w:right w:w="57" w:type="dxa"/>
            </w:tcMar>
          </w:tcPr>
          <w:p w14:paraId="5E7E939B" w14:textId="6C071A82" w:rsidR="00387C28" w:rsidRPr="00BE78CA" w:rsidRDefault="00387C28" w:rsidP="004C0828">
            <w:pPr>
              <w:pStyle w:val="TableText"/>
              <w:spacing w:before="50" w:after="50"/>
            </w:pPr>
            <w:r w:rsidRPr="00BE78CA">
              <w:rPr>
                <w:rFonts w:eastAsia="Calibri"/>
              </w:rPr>
              <w:t>Food Processing, Beverages and Tobacco –</w:t>
            </w:r>
            <w:r w:rsidR="004C0828" w:rsidRPr="00BE78CA">
              <w:rPr>
                <w:rFonts w:eastAsia="Calibri"/>
              </w:rPr>
              <w:t> </w:t>
            </w:r>
            <w:r w:rsidRPr="00BE78CA">
              <w:rPr>
                <w:rFonts w:eastAsia="Calibri"/>
              </w:rPr>
              <w:t>Gaseous Fuels</w:t>
            </w:r>
          </w:p>
        </w:tc>
        <w:tc>
          <w:tcPr>
            <w:tcW w:w="546" w:type="dxa"/>
            <w:tcBorders>
              <w:top w:val="single" w:sz="4" w:space="0" w:color="365F91"/>
              <w:bottom w:val="single" w:sz="4" w:space="0" w:color="365F91"/>
            </w:tcBorders>
            <w:shd w:val="clear" w:color="auto" w:fill="FFFFFF"/>
            <w:tcMar>
              <w:top w:w="0" w:type="dxa"/>
              <w:left w:w="57" w:type="dxa"/>
              <w:bottom w:w="0" w:type="dxa"/>
              <w:right w:w="57" w:type="dxa"/>
            </w:tcMar>
          </w:tcPr>
          <w:p w14:paraId="38F181D1" w14:textId="77777777" w:rsidR="00387C28" w:rsidRPr="00BE78CA" w:rsidRDefault="00387C28" w:rsidP="006132E1">
            <w:pPr>
              <w:pStyle w:val="TableText"/>
              <w:spacing w:before="50" w:after="50"/>
              <w:jc w:val="center"/>
            </w:pPr>
            <w:r w:rsidRPr="00BE78CA">
              <w:rPr>
                <w:rFonts w:eastAsia="Calibri"/>
              </w:rPr>
              <w:t>CO</w:t>
            </w:r>
            <w:r w:rsidRPr="00BE78CA">
              <w:rPr>
                <w:rFonts w:eastAsia="Calibri"/>
                <w:vertAlign w:val="subscript"/>
              </w:rPr>
              <w:t>2</w:t>
            </w:r>
          </w:p>
        </w:tc>
        <w:tc>
          <w:tcPr>
            <w:tcW w:w="1404" w:type="dxa"/>
            <w:tcBorders>
              <w:top w:val="single" w:sz="4" w:space="0" w:color="365F91"/>
              <w:bottom w:val="single" w:sz="4" w:space="0" w:color="365F91"/>
            </w:tcBorders>
            <w:shd w:val="clear" w:color="auto" w:fill="FFFFFF"/>
            <w:tcMar>
              <w:top w:w="0" w:type="dxa"/>
              <w:left w:w="57" w:type="dxa"/>
              <w:bottom w:w="0" w:type="dxa"/>
              <w:right w:w="57" w:type="dxa"/>
            </w:tcMar>
          </w:tcPr>
          <w:p w14:paraId="240E06F8" w14:textId="77777777" w:rsidR="00387C28" w:rsidRPr="00BE78CA" w:rsidRDefault="00387C28" w:rsidP="002B097E">
            <w:pPr>
              <w:pStyle w:val="TableText"/>
              <w:spacing w:before="50" w:after="50"/>
              <w:jc w:val="right"/>
            </w:pPr>
            <w:r w:rsidRPr="00BE78CA">
              <w:rPr>
                <w:rFonts w:eastAsia="Calibri"/>
              </w:rPr>
              <w:t>1,197.6</w:t>
            </w:r>
          </w:p>
        </w:tc>
        <w:tc>
          <w:tcPr>
            <w:tcW w:w="1286" w:type="dxa"/>
            <w:tcBorders>
              <w:top w:val="single" w:sz="4" w:space="0" w:color="365F91"/>
              <w:bottom w:val="single" w:sz="4" w:space="0" w:color="365F91"/>
            </w:tcBorders>
            <w:shd w:val="clear" w:color="auto" w:fill="FFFFFF"/>
            <w:tcMar>
              <w:top w:w="0" w:type="dxa"/>
              <w:left w:w="57" w:type="dxa"/>
              <w:bottom w:w="0" w:type="dxa"/>
              <w:right w:w="57" w:type="dxa"/>
            </w:tcMar>
          </w:tcPr>
          <w:p w14:paraId="492E1BFB" w14:textId="77777777" w:rsidR="00387C28" w:rsidRPr="00BE78CA" w:rsidRDefault="00387C28" w:rsidP="002B097E">
            <w:pPr>
              <w:pStyle w:val="TableText"/>
              <w:spacing w:before="50" w:after="50"/>
              <w:jc w:val="right"/>
            </w:pPr>
            <w:r w:rsidRPr="00BE78CA">
              <w:rPr>
                <w:rFonts w:eastAsia="Calibri"/>
              </w:rPr>
              <w:t>1.0</w:t>
            </w:r>
          </w:p>
        </w:tc>
        <w:tc>
          <w:tcPr>
            <w:tcW w:w="1228" w:type="dxa"/>
            <w:tcBorders>
              <w:top w:val="single" w:sz="4" w:space="0" w:color="365F91"/>
              <w:bottom w:val="single" w:sz="4" w:space="0" w:color="365F91"/>
              <w:right w:val="single" w:sz="4" w:space="0" w:color="FFFFFF"/>
            </w:tcBorders>
            <w:shd w:val="clear" w:color="auto" w:fill="FFFFFF"/>
            <w:tcMar>
              <w:top w:w="0" w:type="dxa"/>
              <w:left w:w="57" w:type="dxa"/>
              <w:bottom w:w="0" w:type="dxa"/>
              <w:right w:w="57" w:type="dxa"/>
            </w:tcMar>
          </w:tcPr>
          <w:p w14:paraId="08F43564" w14:textId="77777777" w:rsidR="00387C28" w:rsidRPr="00BE78CA" w:rsidRDefault="00387C28" w:rsidP="002B097E">
            <w:pPr>
              <w:pStyle w:val="TableText"/>
              <w:spacing w:before="50" w:after="50"/>
              <w:jc w:val="right"/>
            </w:pPr>
            <w:r w:rsidRPr="00BE78CA">
              <w:rPr>
                <w:rFonts w:eastAsia="Calibri"/>
              </w:rPr>
              <w:t>84.6</w:t>
            </w:r>
          </w:p>
        </w:tc>
      </w:tr>
      <w:tr w:rsidR="0077535C" w:rsidRPr="00BE78CA" w14:paraId="2CD49606" w14:textId="77777777" w:rsidTr="0077535C">
        <w:trPr>
          <w:cantSplit/>
        </w:trPr>
        <w:tc>
          <w:tcPr>
            <w:tcW w:w="813" w:type="dxa"/>
            <w:tcBorders>
              <w:top w:val="single" w:sz="4" w:space="0" w:color="365F91"/>
              <w:bottom w:val="single" w:sz="4" w:space="0" w:color="365F91"/>
            </w:tcBorders>
            <w:shd w:val="clear" w:color="auto" w:fill="FFFFFF"/>
            <w:tcMar>
              <w:top w:w="0" w:type="dxa"/>
              <w:left w:w="57" w:type="dxa"/>
              <w:bottom w:w="0" w:type="dxa"/>
              <w:right w:w="57" w:type="dxa"/>
            </w:tcMar>
          </w:tcPr>
          <w:p w14:paraId="70BC21DB" w14:textId="77777777" w:rsidR="00387C28" w:rsidRPr="00BE78CA" w:rsidRDefault="00387C28" w:rsidP="004C0828">
            <w:pPr>
              <w:pStyle w:val="TableText"/>
              <w:spacing w:before="50" w:after="50"/>
            </w:pPr>
            <w:r w:rsidRPr="00BE78CA">
              <w:rPr>
                <w:rFonts w:eastAsia="Calibri"/>
              </w:rPr>
              <w:t>1.A.4.c</w:t>
            </w:r>
          </w:p>
        </w:tc>
        <w:tc>
          <w:tcPr>
            <w:tcW w:w="3217" w:type="dxa"/>
            <w:tcBorders>
              <w:top w:val="single" w:sz="4" w:space="0" w:color="365F91"/>
              <w:bottom w:val="single" w:sz="4" w:space="0" w:color="365F91"/>
            </w:tcBorders>
            <w:shd w:val="clear" w:color="auto" w:fill="FFFFFF"/>
            <w:tcMar>
              <w:top w:w="0" w:type="dxa"/>
              <w:left w:w="57" w:type="dxa"/>
              <w:bottom w:w="0" w:type="dxa"/>
              <w:right w:w="57" w:type="dxa"/>
            </w:tcMar>
          </w:tcPr>
          <w:p w14:paraId="7C6BBCB3" w14:textId="5CC5B7E5" w:rsidR="00387C28" w:rsidRPr="00BE78CA" w:rsidRDefault="00387C28" w:rsidP="004C0828">
            <w:pPr>
              <w:pStyle w:val="TableText"/>
              <w:spacing w:before="50" w:after="50"/>
            </w:pPr>
            <w:r w:rsidRPr="00BE78CA">
              <w:rPr>
                <w:rFonts w:eastAsia="Calibri"/>
              </w:rPr>
              <w:t>Other Sectors – Agriculture/Forestry/</w:t>
            </w:r>
            <w:r w:rsidR="004C0828" w:rsidRPr="00BE78CA">
              <w:rPr>
                <w:rFonts w:eastAsia="Calibri"/>
              </w:rPr>
              <w:t xml:space="preserve"> </w:t>
            </w:r>
            <w:r w:rsidRPr="00BE78CA">
              <w:rPr>
                <w:rFonts w:eastAsia="Calibri"/>
              </w:rPr>
              <w:t>Fishing</w:t>
            </w:r>
          </w:p>
        </w:tc>
        <w:tc>
          <w:tcPr>
            <w:tcW w:w="546" w:type="dxa"/>
            <w:tcBorders>
              <w:top w:val="single" w:sz="4" w:space="0" w:color="365F91"/>
              <w:bottom w:val="single" w:sz="4" w:space="0" w:color="365F91"/>
            </w:tcBorders>
            <w:shd w:val="clear" w:color="auto" w:fill="FFFFFF"/>
            <w:tcMar>
              <w:top w:w="0" w:type="dxa"/>
              <w:left w:w="57" w:type="dxa"/>
              <w:bottom w:w="0" w:type="dxa"/>
              <w:right w:w="57" w:type="dxa"/>
            </w:tcMar>
          </w:tcPr>
          <w:p w14:paraId="4C331FD4" w14:textId="77777777" w:rsidR="00387C28" w:rsidRPr="00BE78CA" w:rsidRDefault="00387C28" w:rsidP="006132E1">
            <w:pPr>
              <w:pStyle w:val="TableText"/>
              <w:spacing w:before="50" w:after="50"/>
              <w:jc w:val="center"/>
            </w:pPr>
            <w:r w:rsidRPr="00BE78CA">
              <w:rPr>
                <w:rFonts w:eastAsia="Calibri"/>
              </w:rPr>
              <w:t>CO</w:t>
            </w:r>
            <w:r w:rsidRPr="00BE78CA">
              <w:rPr>
                <w:rFonts w:eastAsia="Calibri"/>
                <w:vertAlign w:val="subscript"/>
              </w:rPr>
              <w:t>2</w:t>
            </w:r>
          </w:p>
        </w:tc>
        <w:tc>
          <w:tcPr>
            <w:tcW w:w="1404" w:type="dxa"/>
            <w:tcBorders>
              <w:top w:val="single" w:sz="4" w:space="0" w:color="365F91"/>
              <w:bottom w:val="single" w:sz="4" w:space="0" w:color="365F91"/>
            </w:tcBorders>
            <w:shd w:val="clear" w:color="auto" w:fill="FFFFFF"/>
            <w:tcMar>
              <w:top w:w="0" w:type="dxa"/>
              <w:left w:w="57" w:type="dxa"/>
              <w:bottom w:w="0" w:type="dxa"/>
              <w:right w:w="57" w:type="dxa"/>
            </w:tcMar>
          </w:tcPr>
          <w:p w14:paraId="6058EB25" w14:textId="77777777" w:rsidR="00387C28" w:rsidRPr="00BE78CA" w:rsidRDefault="00387C28" w:rsidP="002B097E">
            <w:pPr>
              <w:pStyle w:val="TableText"/>
              <w:spacing w:before="50" w:after="50"/>
              <w:jc w:val="right"/>
            </w:pPr>
            <w:r w:rsidRPr="00BE78CA">
              <w:rPr>
                <w:rFonts w:eastAsia="Calibri"/>
              </w:rPr>
              <w:t>1,154.3</w:t>
            </w:r>
          </w:p>
        </w:tc>
        <w:tc>
          <w:tcPr>
            <w:tcW w:w="1286" w:type="dxa"/>
            <w:tcBorders>
              <w:top w:val="single" w:sz="4" w:space="0" w:color="365F91"/>
              <w:bottom w:val="single" w:sz="4" w:space="0" w:color="365F91"/>
            </w:tcBorders>
            <w:shd w:val="clear" w:color="auto" w:fill="FFFFFF"/>
            <w:tcMar>
              <w:top w:w="0" w:type="dxa"/>
              <w:left w:w="57" w:type="dxa"/>
              <w:bottom w:w="0" w:type="dxa"/>
              <w:right w:w="57" w:type="dxa"/>
            </w:tcMar>
          </w:tcPr>
          <w:p w14:paraId="4E41D032" w14:textId="77777777" w:rsidR="00387C28" w:rsidRPr="00BE78CA" w:rsidRDefault="00387C28" w:rsidP="002B097E">
            <w:pPr>
              <w:pStyle w:val="TableText"/>
              <w:spacing w:before="50" w:after="50"/>
              <w:jc w:val="right"/>
            </w:pPr>
            <w:r w:rsidRPr="00BE78CA">
              <w:rPr>
                <w:rFonts w:eastAsia="Calibri"/>
              </w:rPr>
              <w:t>1.0</w:t>
            </w:r>
          </w:p>
        </w:tc>
        <w:tc>
          <w:tcPr>
            <w:tcW w:w="1228" w:type="dxa"/>
            <w:tcBorders>
              <w:top w:val="single" w:sz="4" w:space="0" w:color="365F91"/>
              <w:bottom w:val="single" w:sz="4" w:space="0" w:color="365F91"/>
              <w:right w:val="single" w:sz="4" w:space="0" w:color="FFFFFF"/>
            </w:tcBorders>
            <w:shd w:val="clear" w:color="auto" w:fill="FFFFFF"/>
            <w:tcMar>
              <w:top w:w="0" w:type="dxa"/>
              <w:left w:w="57" w:type="dxa"/>
              <w:bottom w:w="0" w:type="dxa"/>
              <w:right w:w="57" w:type="dxa"/>
            </w:tcMar>
          </w:tcPr>
          <w:p w14:paraId="4DDCDB44" w14:textId="77777777" w:rsidR="00387C28" w:rsidRPr="00BE78CA" w:rsidRDefault="00387C28" w:rsidP="002B097E">
            <w:pPr>
              <w:pStyle w:val="TableText"/>
              <w:spacing w:before="50" w:after="50"/>
              <w:jc w:val="right"/>
            </w:pPr>
            <w:r w:rsidRPr="00BE78CA">
              <w:rPr>
                <w:rFonts w:eastAsia="Calibri"/>
              </w:rPr>
              <w:t>85.6</w:t>
            </w:r>
          </w:p>
        </w:tc>
      </w:tr>
      <w:tr w:rsidR="0077535C" w:rsidRPr="00BE78CA" w14:paraId="70A39A28" w14:textId="77777777" w:rsidTr="0077535C">
        <w:trPr>
          <w:cantSplit/>
        </w:trPr>
        <w:tc>
          <w:tcPr>
            <w:tcW w:w="813" w:type="dxa"/>
            <w:tcBorders>
              <w:top w:val="single" w:sz="4" w:space="0" w:color="365F91"/>
              <w:bottom w:val="single" w:sz="4" w:space="0" w:color="365F91"/>
            </w:tcBorders>
            <w:shd w:val="clear" w:color="auto" w:fill="FFFFFF"/>
            <w:tcMar>
              <w:top w:w="0" w:type="dxa"/>
              <w:left w:w="57" w:type="dxa"/>
              <w:bottom w:w="0" w:type="dxa"/>
              <w:right w:w="57" w:type="dxa"/>
            </w:tcMar>
          </w:tcPr>
          <w:p w14:paraId="728C213E" w14:textId="77777777" w:rsidR="00387C28" w:rsidRPr="00BE78CA" w:rsidRDefault="00387C28" w:rsidP="004C0828">
            <w:pPr>
              <w:pStyle w:val="TableText"/>
              <w:spacing w:before="50" w:after="50"/>
            </w:pPr>
            <w:r w:rsidRPr="00BE78CA">
              <w:rPr>
                <w:rFonts w:eastAsia="Calibri"/>
              </w:rPr>
              <w:t>1.A.3.a</w:t>
            </w:r>
          </w:p>
        </w:tc>
        <w:tc>
          <w:tcPr>
            <w:tcW w:w="3217" w:type="dxa"/>
            <w:tcBorders>
              <w:top w:val="single" w:sz="4" w:space="0" w:color="365F91"/>
              <w:bottom w:val="single" w:sz="4" w:space="0" w:color="365F91"/>
            </w:tcBorders>
            <w:shd w:val="clear" w:color="auto" w:fill="FFFFFF"/>
            <w:tcMar>
              <w:top w:w="0" w:type="dxa"/>
              <w:left w:w="57" w:type="dxa"/>
              <w:bottom w:w="0" w:type="dxa"/>
              <w:right w:w="57" w:type="dxa"/>
            </w:tcMar>
          </w:tcPr>
          <w:p w14:paraId="04E44927" w14:textId="77777777" w:rsidR="00387C28" w:rsidRPr="00BE78CA" w:rsidRDefault="00387C28" w:rsidP="004C0828">
            <w:pPr>
              <w:pStyle w:val="TableText"/>
              <w:spacing w:before="50" w:after="50"/>
            </w:pPr>
            <w:r w:rsidRPr="00BE78CA">
              <w:rPr>
                <w:rFonts w:eastAsia="Calibri"/>
              </w:rPr>
              <w:t>Domestic Aviation – Jet Kerosene</w:t>
            </w:r>
          </w:p>
        </w:tc>
        <w:tc>
          <w:tcPr>
            <w:tcW w:w="546" w:type="dxa"/>
            <w:tcBorders>
              <w:top w:val="single" w:sz="4" w:space="0" w:color="365F91"/>
              <w:bottom w:val="single" w:sz="4" w:space="0" w:color="365F91"/>
            </w:tcBorders>
            <w:shd w:val="clear" w:color="auto" w:fill="FFFFFF"/>
            <w:tcMar>
              <w:top w:w="0" w:type="dxa"/>
              <w:left w:w="57" w:type="dxa"/>
              <w:bottom w:w="0" w:type="dxa"/>
              <w:right w:w="57" w:type="dxa"/>
            </w:tcMar>
          </w:tcPr>
          <w:p w14:paraId="44D719EF" w14:textId="77777777" w:rsidR="00387C28" w:rsidRPr="00BE78CA" w:rsidRDefault="00387C28" w:rsidP="006132E1">
            <w:pPr>
              <w:pStyle w:val="TableText"/>
              <w:spacing w:before="50" w:after="50"/>
              <w:jc w:val="center"/>
            </w:pPr>
            <w:r w:rsidRPr="00BE78CA">
              <w:rPr>
                <w:rFonts w:eastAsia="Calibri"/>
              </w:rPr>
              <w:t>CO</w:t>
            </w:r>
            <w:r w:rsidRPr="00BE78CA">
              <w:rPr>
                <w:rFonts w:eastAsia="Calibri"/>
                <w:vertAlign w:val="subscript"/>
              </w:rPr>
              <w:t>2</w:t>
            </w:r>
          </w:p>
        </w:tc>
        <w:tc>
          <w:tcPr>
            <w:tcW w:w="1404" w:type="dxa"/>
            <w:tcBorders>
              <w:top w:val="single" w:sz="4" w:space="0" w:color="365F91"/>
              <w:bottom w:val="single" w:sz="4" w:space="0" w:color="365F91"/>
            </w:tcBorders>
            <w:shd w:val="clear" w:color="auto" w:fill="FFFFFF"/>
            <w:tcMar>
              <w:top w:w="0" w:type="dxa"/>
              <w:left w:w="57" w:type="dxa"/>
              <w:bottom w:w="0" w:type="dxa"/>
              <w:right w:w="57" w:type="dxa"/>
            </w:tcMar>
          </w:tcPr>
          <w:p w14:paraId="0B0ACB95" w14:textId="77777777" w:rsidR="00387C28" w:rsidRPr="00BE78CA" w:rsidRDefault="00387C28" w:rsidP="002B097E">
            <w:pPr>
              <w:pStyle w:val="TableText"/>
              <w:spacing w:before="50" w:after="50"/>
              <w:jc w:val="right"/>
            </w:pPr>
            <w:r w:rsidRPr="00BE78CA">
              <w:rPr>
                <w:rFonts w:eastAsia="Calibri"/>
              </w:rPr>
              <w:t>989.6</w:t>
            </w:r>
          </w:p>
        </w:tc>
        <w:tc>
          <w:tcPr>
            <w:tcW w:w="1286" w:type="dxa"/>
            <w:tcBorders>
              <w:top w:val="single" w:sz="4" w:space="0" w:color="365F91"/>
              <w:bottom w:val="single" w:sz="4" w:space="0" w:color="365F91"/>
            </w:tcBorders>
            <w:shd w:val="clear" w:color="auto" w:fill="FFFFFF"/>
            <w:tcMar>
              <w:top w:w="0" w:type="dxa"/>
              <w:left w:w="57" w:type="dxa"/>
              <w:bottom w:w="0" w:type="dxa"/>
              <w:right w:w="57" w:type="dxa"/>
            </w:tcMar>
          </w:tcPr>
          <w:p w14:paraId="3830B9DE" w14:textId="77777777" w:rsidR="00387C28" w:rsidRPr="00BE78CA" w:rsidRDefault="00387C28" w:rsidP="002B097E">
            <w:pPr>
              <w:pStyle w:val="TableText"/>
              <w:spacing w:before="50" w:after="50"/>
              <w:jc w:val="right"/>
            </w:pPr>
            <w:r w:rsidRPr="00BE78CA">
              <w:rPr>
                <w:rFonts w:eastAsia="Calibri"/>
              </w:rPr>
              <w:t>0.8</w:t>
            </w:r>
          </w:p>
        </w:tc>
        <w:tc>
          <w:tcPr>
            <w:tcW w:w="1228" w:type="dxa"/>
            <w:tcBorders>
              <w:top w:val="single" w:sz="4" w:space="0" w:color="365F91"/>
              <w:bottom w:val="single" w:sz="4" w:space="0" w:color="365F91"/>
              <w:right w:val="single" w:sz="4" w:space="0" w:color="FFFFFF"/>
            </w:tcBorders>
            <w:shd w:val="clear" w:color="auto" w:fill="FFFFFF"/>
            <w:tcMar>
              <w:top w:w="0" w:type="dxa"/>
              <w:left w:w="57" w:type="dxa"/>
              <w:bottom w:w="0" w:type="dxa"/>
              <w:right w:w="57" w:type="dxa"/>
            </w:tcMar>
          </w:tcPr>
          <w:p w14:paraId="40574FF7" w14:textId="77777777" w:rsidR="00387C28" w:rsidRPr="00BE78CA" w:rsidRDefault="00387C28" w:rsidP="002B097E">
            <w:pPr>
              <w:pStyle w:val="TableText"/>
              <w:spacing w:before="50" w:after="50"/>
              <w:jc w:val="right"/>
            </w:pPr>
            <w:r w:rsidRPr="00BE78CA">
              <w:rPr>
                <w:rFonts w:eastAsia="Calibri"/>
              </w:rPr>
              <w:t>86.4</w:t>
            </w:r>
          </w:p>
        </w:tc>
      </w:tr>
      <w:tr w:rsidR="0077535C" w:rsidRPr="00BE78CA" w14:paraId="42E17D3E" w14:textId="77777777" w:rsidTr="0077535C">
        <w:trPr>
          <w:cantSplit/>
        </w:trPr>
        <w:tc>
          <w:tcPr>
            <w:tcW w:w="813" w:type="dxa"/>
            <w:tcBorders>
              <w:top w:val="single" w:sz="4" w:space="0" w:color="365F91"/>
              <w:bottom w:val="single" w:sz="4" w:space="0" w:color="365F91"/>
            </w:tcBorders>
            <w:shd w:val="clear" w:color="auto" w:fill="FFFFFF"/>
            <w:tcMar>
              <w:top w:w="0" w:type="dxa"/>
              <w:left w:w="57" w:type="dxa"/>
              <w:bottom w:w="0" w:type="dxa"/>
              <w:right w:w="57" w:type="dxa"/>
            </w:tcMar>
          </w:tcPr>
          <w:p w14:paraId="4F5DF228" w14:textId="77777777" w:rsidR="00387C28" w:rsidRPr="00BE78CA" w:rsidRDefault="00387C28" w:rsidP="004C0828">
            <w:pPr>
              <w:pStyle w:val="TableText"/>
              <w:spacing w:before="50" w:after="50"/>
            </w:pPr>
            <w:r w:rsidRPr="00BE78CA">
              <w:rPr>
                <w:rFonts w:eastAsia="Calibri"/>
              </w:rPr>
              <w:t>3.D.2.1</w:t>
            </w:r>
          </w:p>
        </w:tc>
        <w:tc>
          <w:tcPr>
            <w:tcW w:w="3217" w:type="dxa"/>
            <w:tcBorders>
              <w:top w:val="single" w:sz="4" w:space="0" w:color="365F91"/>
              <w:bottom w:val="single" w:sz="4" w:space="0" w:color="365F91"/>
            </w:tcBorders>
            <w:shd w:val="clear" w:color="auto" w:fill="FFFFFF"/>
            <w:tcMar>
              <w:top w:w="0" w:type="dxa"/>
              <w:left w:w="57" w:type="dxa"/>
              <w:bottom w:w="0" w:type="dxa"/>
              <w:right w:w="57" w:type="dxa"/>
            </w:tcMar>
          </w:tcPr>
          <w:p w14:paraId="621FCBA9" w14:textId="77777777" w:rsidR="00387C28" w:rsidRPr="00BE78CA" w:rsidRDefault="00387C28" w:rsidP="004C0828">
            <w:pPr>
              <w:pStyle w:val="TableText"/>
              <w:spacing w:before="50" w:after="50"/>
            </w:pPr>
            <w:r w:rsidRPr="00BE78CA">
              <w:rPr>
                <w:rFonts w:eastAsia="Calibri"/>
              </w:rPr>
              <w:t>Indirect N</w:t>
            </w:r>
            <w:r w:rsidRPr="00BE78CA">
              <w:rPr>
                <w:rFonts w:eastAsia="Calibri"/>
                <w:vertAlign w:val="subscript"/>
              </w:rPr>
              <w:t>2</w:t>
            </w:r>
            <w:r w:rsidRPr="00BE78CA">
              <w:rPr>
                <w:rFonts w:eastAsia="Calibri"/>
              </w:rPr>
              <w:t>O Emissions from Managed Soils – Atmospheric Deposition</w:t>
            </w:r>
          </w:p>
        </w:tc>
        <w:tc>
          <w:tcPr>
            <w:tcW w:w="546" w:type="dxa"/>
            <w:tcBorders>
              <w:top w:val="single" w:sz="4" w:space="0" w:color="365F91"/>
              <w:bottom w:val="single" w:sz="4" w:space="0" w:color="365F91"/>
            </w:tcBorders>
            <w:shd w:val="clear" w:color="auto" w:fill="FFFFFF"/>
            <w:tcMar>
              <w:top w:w="0" w:type="dxa"/>
              <w:left w:w="57" w:type="dxa"/>
              <w:bottom w:w="0" w:type="dxa"/>
              <w:right w:w="57" w:type="dxa"/>
            </w:tcMar>
          </w:tcPr>
          <w:p w14:paraId="78D4F825" w14:textId="77777777" w:rsidR="00387C28" w:rsidRPr="00BE78CA" w:rsidRDefault="00387C28" w:rsidP="006132E1">
            <w:pPr>
              <w:pStyle w:val="TableText"/>
              <w:spacing w:before="50" w:after="50"/>
              <w:jc w:val="center"/>
            </w:pPr>
            <w:r w:rsidRPr="00BE78CA">
              <w:rPr>
                <w:rFonts w:eastAsia="Calibri"/>
              </w:rPr>
              <w:t>N</w:t>
            </w:r>
            <w:r w:rsidRPr="00BE78CA">
              <w:rPr>
                <w:rFonts w:eastAsia="Calibri"/>
                <w:vertAlign w:val="subscript"/>
              </w:rPr>
              <w:t>2</w:t>
            </w:r>
            <w:r w:rsidRPr="00BE78CA">
              <w:rPr>
                <w:rFonts w:eastAsia="Calibri"/>
              </w:rPr>
              <w:t>O</w:t>
            </w:r>
          </w:p>
        </w:tc>
        <w:tc>
          <w:tcPr>
            <w:tcW w:w="1404" w:type="dxa"/>
            <w:tcBorders>
              <w:top w:val="single" w:sz="4" w:space="0" w:color="365F91"/>
              <w:bottom w:val="single" w:sz="4" w:space="0" w:color="365F91"/>
            </w:tcBorders>
            <w:shd w:val="clear" w:color="auto" w:fill="FFFFFF"/>
            <w:tcMar>
              <w:top w:w="0" w:type="dxa"/>
              <w:left w:w="57" w:type="dxa"/>
              <w:bottom w:w="0" w:type="dxa"/>
              <w:right w:w="57" w:type="dxa"/>
            </w:tcMar>
          </w:tcPr>
          <w:p w14:paraId="1D4096E9" w14:textId="77777777" w:rsidR="00387C28" w:rsidRPr="00BE78CA" w:rsidRDefault="00387C28" w:rsidP="002B097E">
            <w:pPr>
              <w:pStyle w:val="TableText"/>
              <w:spacing w:before="50" w:after="50"/>
              <w:jc w:val="right"/>
            </w:pPr>
            <w:r w:rsidRPr="00BE78CA">
              <w:rPr>
                <w:rFonts w:eastAsia="Calibri"/>
              </w:rPr>
              <w:t>925.3</w:t>
            </w:r>
          </w:p>
        </w:tc>
        <w:tc>
          <w:tcPr>
            <w:tcW w:w="1286" w:type="dxa"/>
            <w:tcBorders>
              <w:top w:val="single" w:sz="4" w:space="0" w:color="365F91"/>
              <w:bottom w:val="single" w:sz="4" w:space="0" w:color="365F91"/>
            </w:tcBorders>
            <w:shd w:val="clear" w:color="auto" w:fill="FFFFFF"/>
            <w:tcMar>
              <w:top w:w="0" w:type="dxa"/>
              <w:left w:w="57" w:type="dxa"/>
              <w:bottom w:w="0" w:type="dxa"/>
              <w:right w:w="57" w:type="dxa"/>
            </w:tcMar>
          </w:tcPr>
          <w:p w14:paraId="51EA18AC" w14:textId="77777777" w:rsidR="00387C28" w:rsidRPr="00BE78CA" w:rsidRDefault="00387C28" w:rsidP="002B097E">
            <w:pPr>
              <w:pStyle w:val="TableText"/>
              <w:spacing w:before="50" w:after="50"/>
              <w:jc w:val="right"/>
            </w:pPr>
            <w:r w:rsidRPr="00BE78CA">
              <w:rPr>
                <w:rFonts w:eastAsia="Calibri"/>
              </w:rPr>
              <w:t>0.8</w:t>
            </w:r>
          </w:p>
        </w:tc>
        <w:tc>
          <w:tcPr>
            <w:tcW w:w="1228" w:type="dxa"/>
            <w:tcBorders>
              <w:top w:val="single" w:sz="4" w:space="0" w:color="365F91"/>
              <w:bottom w:val="single" w:sz="4" w:space="0" w:color="365F91"/>
              <w:right w:val="single" w:sz="4" w:space="0" w:color="FFFFFF"/>
            </w:tcBorders>
            <w:shd w:val="clear" w:color="auto" w:fill="FFFFFF"/>
            <w:tcMar>
              <w:top w:w="0" w:type="dxa"/>
              <w:left w:w="57" w:type="dxa"/>
              <w:bottom w:w="0" w:type="dxa"/>
              <w:right w:w="57" w:type="dxa"/>
            </w:tcMar>
          </w:tcPr>
          <w:p w14:paraId="1CC168E3" w14:textId="77777777" w:rsidR="00387C28" w:rsidRPr="00BE78CA" w:rsidRDefault="00387C28" w:rsidP="002B097E">
            <w:pPr>
              <w:pStyle w:val="TableText"/>
              <w:spacing w:before="50" w:after="50"/>
              <w:jc w:val="right"/>
            </w:pPr>
            <w:r w:rsidRPr="00BE78CA">
              <w:rPr>
                <w:rFonts w:eastAsia="Calibri"/>
              </w:rPr>
              <w:t>87.2</w:t>
            </w:r>
          </w:p>
        </w:tc>
      </w:tr>
      <w:tr w:rsidR="0077535C" w:rsidRPr="00BE78CA" w14:paraId="7036B9F1" w14:textId="77777777" w:rsidTr="0077535C">
        <w:trPr>
          <w:cantSplit/>
        </w:trPr>
        <w:tc>
          <w:tcPr>
            <w:tcW w:w="813" w:type="dxa"/>
            <w:tcBorders>
              <w:top w:val="single" w:sz="4" w:space="0" w:color="365F91"/>
              <w:bottom w:val="single" w:sz="4" w:space="0" w:color="365F91"/>
            </w:tcBorders>
            <w:shd w:val="clear" w:color="auto" w:fill="FFFFFF"/>
            <w:tcMar>
              <w:top w:w="0" w:type="dxa"/>
              <w:left w:w="57" w:type="dxa"/>
              <w:bottom w:w="0" w:type="dxa"/>
              <w:right w:w="57" w:type="dxa"/>
            </w:tcMar>
          </w:tcPr>
          <w:p w14:paraId="5F8E96E0" w14:textId="77777777" w:rsidR="00387C28" w:rsidRPr="00BE78CA" w:rsidRDefault="00387C28" w:rsidP="004C0828">
            <w:pPr>
              <w:pStyle w:val="TableText"/>
              <w:spacing w:before="50" w:after="50"/>
            </w:pPr>
            <w:r w:rsidRPr="00BE78CA">
              <w:rPr>
                <w:rFonts w:eastAsia="Calibri"/>
              </w:rPr>
              <w:t>1.A.2.g.iii</w:t>
            </w:r>
          </w:p>
        </w:tc>
        <w:tc>
          <w:tcPr>
            <w:tcW w:w="3217" w:type="dxa"/>
            <w:tcBorders>
              <w:top w:val="single" w:sz="4" w:space="0" w:color="365F91"/>
              <w:bottom w:val="single" w:sz="4" w:space="0" w:color="365F91"/>
            </w:tcBorders>
            <w:shd w:val="clear" w:color="auto" w:fill="FFFFFF"/>
            <w:tcMar>
              <w:top w:w="0" w:type="dxa"/>
              <w:left w:w="57" w:type="dxa"/>
              <w:bottom w:w="0" w:type="dxa"/>
              <w:right w:w="57" w:type="dxa"/>
            </w:tcMar>
          </w:tcPr>
          <w:p w14:paraId="7C3F0A07" w14:textId="17CC4348" w:rsidR="00387C28" w:rsidRPr="00BE78CA" w:rsidRDefault="00387C28" w:rsidP="004C0828">
            <w:pPr>
              <w:pStyle w:val="TableText"/>
              <w:spacing w:before="50" w:after="50"/>
            </w:pPr>
            <w:r w:rsidRPr="00BE78CA">
              <w:rPr>
                <w:rFonts w:eastAsia="Calibri"/>
              </w:rPr>
              <w:t>Mining (excluding fuels) and Quarrying –</w:t>
            </w:r>
            <w:r w:rsidR="004C0828" w:rsidRPr="00BE78CA">
              <w:rPr>
                <w:rFonts w:eastAsia="Calibri"/>
              </w:rPr>
              <w:t> </w:t>
            </w:r>
            <w:r w:rsidRPr="00BE78CA">
              <w:rPr>
                <w:rFonts w:eastAsia="Calibri"/>
              </w:rPr>
              <w:t>Liquid Fuels</w:t>
            </w:r>
          </w:p>
        </w:tc>
        <w:tc>
          <w:tcPr>
            <w:tcW w:w="546" w:type="dxa"/>
            <w:tcBorders>
              <w:top w:val="single" w:sz="4" w:space="0" w:color="365F91"/>
              <w:bottom w:val="single" w:sz="4" w:space="0" w:color="365F91"/>
            </w:tcBorders>
            <w:shd w:val="clear" w:color="auto" w:fill="FFFFFF"/>
            <w:tcMar>
              <w:top w:w="0" w:type="dxa"/>
              <w:left w:w="57" w:type="dxa"/>
              <w:bottom w:w="0" w:type="dxa"/>
              <w:right w:w="57" w:type="dxa"/>
            </w:tcMar>
          </w:tcPr>
          <w:p w14:paraId="1970BC03" w14:textId="77777777" w:rsidR="00387C28" w:rsidRPr="00BE78CA" w:rsidRDefault="00387C28" w:rsidP="006132E1">
            <w:pPr>
              <w:pStyle w:val="TableText"/>
              <w:spacing w:before="50" w:after="50"/>
              <w:jc w:val="center"/>
            </w:pPr>
            <w:r w:rsidRPr="00BE78CA">
              <w:rPr>
                <w:rFonts w:eastAsia="Calibri"/>
              </w:rPr>
              <w:t>CO</w:t>
            </w:r>
            <w:r w:rsidRPr="00BE78CA">
              <w:rPr>
                <w:rFonts w:eastAsia="Calibri"/>
                <w:vertAlign w:val="subscript"/>
              </w:rPr>
              <w:t>2</w:t>
            </w:r>
          </w:p>
        </w:tc>
        <w:tc>
          <w:tcPr>
            <w:tcW w:w="1404" w:type="dxa"/>
            <w:tcBorders>
              <w:top w:val="single" w:sz="4" w:space="0" w:color="365F91"/>
              <w:bottom w:val="single" w:sz="4" w:space="0" w:color="365F91"/>
            </w:tcBorders>
            <w:shd w:val="clear" w:color="auto" w:fill="FFFFFF"/>
            <w:tcMar>
              <w:top w:w="0" w:type="dxa"/>
              <w:left w:w="57" w:type="dxa"/>
              <w:bottom w:w="0" w:type="dxa"/>
              <w:right w:w="57" w:type="dxa"/>
            </w:tcMar>
          </w:tcPr>
          <w:p w14:paraId="14E9702C" w14:textId="77777777" w:rsidR="00387C28" w:rsidRPr="00BE78CA" w:rsidRDefault="00387C28" w:rsidP="002B097E">
            <w:pPr>
              <w:pStyle w:val="TableText"/>
              <w:spacing w:before="50" w:after="50"/>
              <w:jc w:val="right"/>
            </w:pPr>
            <w:r w:rsidRPr="00BE78CA">
              <w:rPr>
                <w:rFonts w:eastAsia="Calibri"/>
              </w:rPr>
              <w:t>834.6</w:t>
            </w:r>
          </w:p>
        </w:tc>
        <w:tc>
          <w:tcPr>
            <w:tcW w:w="1286" w:type="dxa"/>
            <w:tcBorders>
              <w:top w:val="single" w:sz="4" w:space="0" w:color="365F91"/>
              <w:bottom w:val="single" w:sz="4" w:space="0" w:color="365F91"/>
            </w:tcBorders>
            <w:shd w:val="clear" w:color="auto" w:fill="FFFFFF"/>
            <w:tcMar>
              <w:top w:w="0" w:type="dxa"/>
              <w:left w:w="57" w:type="dxa"/>
              <w:bottom w:w="0" w:type="dxa"/>
              <w:right w:w="57" w:type="dxa"/>
            </w:tcMar>
          </w:tcPr>
          <w:p w14:paraId="5A80FA7C" w14:textId="77777777" w:rsidR="00387C28" w:rsidRPr="00BE78CA" w:rsidRDefault="00387C28" w:rsidP="002B097E">
            <w:pPr>
              <w:pStyle w:val="TableText"/>
              <w:spacing w:before="50" w:after="50"/>
              <w:jc w:val="right"/>
            </w:pPr>
            <w:r w:rsidRPr="00BE78CA">
              <w:rPr>
                <w:rFonts w:eastAsia="Calibri"/>
              </w:rPr>
              <w:t>0.7</w:t>
            </w:r>
          </w:p>
        </w:tc>
        <w:tc>
          <w:tcPr>
            <w:tcW w:w="1228" w:type="dxa"/>
            <w:tcBorders>
              <w:top w:val="single" w:sz="4" w:space="0" w:color="365F91"/>
              <w:bottom w:val="single" w:sz="4" w:space="0" w:color="365F91"/>
              <w:right w:val="single" w:sz="4" w:space="0" w:color="FFFFFF"/>
            </w:tcBorders>
            <w:shd w:val="clear" w:color="auto" w:fill="FFFFFF"/>
            <w:tcMar>
              <w:top w:w="0" w:type="dxa"/>
              <w:left w:w="57" w:type="dxa"/>
              <w:bottom w:w="0" w:type="dxa"/>
              <w:right w:w="57" w:type="dxa"/>
            </w:tcMar>
          </w:tcPr>
          <w:p w14:paraId="21165139" w14:textId="77777777" w:rsidR="00387C28" w:rsidRPr="00BE78CA" w:rsidRDefault="00387C28" w:rsidP="002B097E">
            <w:pPr>
              <w:pStyle w:val="TableText"/>
              <w:spacing w:before="50" w:after="50"/>
              <w:jc w:val="right"/>
            </w:pPr>
            <w:r w:rsidRPr="00BE78CA">
              <w:rPr>
                <w:rFonts w:eastAsia="Calibri"/>
              </w:rPr>
              <w:t>87.9</w:t>
            </w:r>
          </w:p>
        </w:tc>
      </w:tr>
      <w:tr w:rsidR="0077535C" w:rsidRPr="00BE78CA" w14:paraId="1DD6E564" w14:textId="77777777" w:rsidTr="0077535C">
        <w:trPr>
          <w:cantSplit/>
        </w:trPr>
        <w:tc>
          <w:tcPr>
            <w:tcW w:w="813" w:type="dxa"/>
            <w:tcBorders>
              <w:top w:val="single" w:sz="4" w:space="0" w:color="365F91"/>
              <w:bottom w:val="single" w:sz="4" w:space="0" w:color="365F91"/>
            </w:tcBorders>
            <w:shd w:val="clear" w:color="auto" w:fill="FFFFFF"/>
            <w:tcMar>
              <w:top w:w="0" w:type="dxa"/>
              <w:left w:w="57" w:type="dxa"/>
              <w:bottom w:w="0" w:type="dxa"/>
              <w:right w:w="57" w:type="dxa"/>
            </w:tcMar>
          </w:tcPr>
          <w:p w14:paraId="7E884244" w14:textId="77777777" w:rsidR="00387C28" w:rsidRPr="00BE78CA" w:rsidRDefault="00387C28" w:rsidP="004C0828">
            <w:pPr>
              <w:pStyle w:val="TableText"/>
              <w:spacing w:before="50" w:after="50"/>
            </w:pPr>
            <w:r w:rsidRPr="00BE78CA">
              <w:rPr>
                <w:rFonts w:eastAsia="Calibri"/>
              </w:rPr>
              <w:t>1.A.1.b</w:t>
            </w:r>
          </w:p>
        </w:tc>
        <w:tc>
          <w:tcPr>
            <w:tcW w:w="3217" w:type="dxa"/>
            <w:tcBorders>
              <w:top w:val="single" w:sz="4" w:space="0" w:color="365F91"/>
              <w:bottom w:val="single" w:sz="4" w:space="0" w:color="365F91"/>
            </w:tcBorders>
            <w:shd w:val="clear" w:color="auto" w:fill="FFFFFF"/>
            <w:tcMar>
              <w:top w:w="0" w:type="dxa"/>
              <w:left w:w="57" w:type="dxa"/>
              <w:bottom w:w="0" w:type="dxa"/>
              <w:right w:w="57" w:type="dxa"/>
            </w:tcMar>
          </w:tcPr>
          <w:p w14:paraId="4C632450" w14:textId="77777777" w:rsidR="00387C28" w:rsidRPr="00BE78CA" w:rsidRDefault="00387C28" w:rsidP="004C0828">
            <w:pPr>
              <w:pStyle w:val="TableText"/>
              <w:spacing w:before="50" w:after="50"/>
            </w:pPr>
            <w:r w:rsidRPr="00BE78CA">
              <w:rPr>
                <w:rFonts w:eastAsia="Calibri"/>
              </w:rPr>
              <w:t>Petroleum Refining – Liquid Fuels</w:t>
            </w:r>
          </w:p>
        </w:tc>
        <w:tc>
          <w:tcPr>
            <w:tcW w:w="546" w:type="dxa"/>
            <w:tcBorders>
              <w:top w:val="single" w:sz="4" w:space="0" w:color="365F91"/>
              <w:bottom w:val="single" w:sz="4" w:space="0" w:color="365F91"/>
            </w:tcBorders>
            <w:shd w:val="clear" w:color="auto" w:fill="FFFFFF"/>
            <w:tcMar>
              <w:top w:w="0" w:type="dxa"/>
              <w:left w:w="57" w:type="dxa"/>
              <w:bottom w:w="0" w:type="dxa"/>
              <w:right w:w="57" w:type="dxa"/>
            </w:tcMar>
          </w:tcPr>
          <w:p w14:paraId="1274E369" w14:textId="77777777" w:rsidR="00387C28" w:rsidRPr="00BE78CA" w:rsidRDefault="00387C28" w:rsidP="006132E1">
            <w:pPr>
              <w:pStyle w:val="TableText"/>
              <w:spacing w:before="50" w:after="50"/>
              <w:jc w:val="center"/>
            </w:pPr>
            <w:r w:rsidRPr="00BE78CA">
              <w:rPr>
                <w:rFonts w:eastAsia="Calibri"/>
              </w:rPr>
              <w:t>CO</w:t>
            </w:r>
            <w:r w:rsidRPr="00BE78CA">
              <w:rPr>
                <w:rFonts w:eastAsia="Calibri"/>
                <w:vertAlign w:val="subscript"/>
              </w:rPr>
              <w:t>2</w:t>
            </w:r>
          </w:p>
        </w:tc>
        <w:tc>
          <w:tcPr>
            <w:tcW w:w="1404" w:type="dxa"/>
            <w:tcBorders>
              <w:top w:val="single" w:sz="4" w:space="0" w:color="365F91"/>
              <w:bottom w:val="single" w:sz="4" w:space="0" w:color="365F91"/>
            </w:tcBorders>
            <w:shd w:val="clear" w:color="auto" w:fill="FFFFFF"/>
            <w:tcMar>
              <w:top w:w="0" w:type="dxa"/>
              <w:left w:w="57" w:type="dxa"/>
              <w:bottom w:w="0" w:type="dxa"/>
              <w:right w:w="57" w:type="dxa"/>
            </w:tcMar>
          </w:tcPr>
          <w:p w14:paraId="2944FE86" w14:textId="77777777" w:rsidR="00387C28" w:rsidRPr="00BE78CA" w:rsidRDefault="00387C28" w:rsidP="002B097E">
            <w:pPr>
              <w:pStyle w:val="TableText"/>
              <w:spacing w:before="50" w:after="50"/>
              <w:jc w:val="right"/>
            </w:pPr>
            <w:r w:rsidRPr="00BE78CA">
              <w:rPr>
                <w:rFonts w:eastAsia="Calibri"/>
              </w:rPr>
              <w:t>663.7</w:t>
            </w:r>
          </w:p>
        </w:tc>
        <w:tc>
          <w:tcPr>
            <w:tcW w:w="1286" w:type="dxa"/>
            <w:tcBorders>
              <w:top w:val="single" w:sz="4" w:space="0" w:color="365F91"/>
              <w:bottom w:val="single" w:sz="4" w:space="0" w:color="365F91"/>
            </w:tcBorders>
            <w:shd w:val="clear" w:color="auto" w:fill="FFFFFF"/>
            <w:tcMar>
              <w:top w:w="0" w:type="dxa"/>
              <w:left w:w="57" w:type="dxa"/>
              <w:bottom w:w="0" w:type="dxa"/>
              <w:right w:w="57" w:type="dxa"/>
            </w:tcMar>
          </w:tcPr>
          <w:p w14:paraId="56E52A2D" w14:textId="77777777" w:rsidR="00387C28" w:rsidRPr="00BE78CA" w:rsidRDefault="00387C28" w:rsidP="002B097E">
            <w:pPr>
              <w:pStyle w:val="TableText"/>
              <w:spacing w:before="50" w:after="50"/>
              <w:jc w:val="right"/>
            </w:pPr>
            <w:r w:rsidRPr="00BE78CA">
              <w:rPr>
                <w:rFonts w:eastAsia="Calibri"/>
              </w:rPr>
              <w:t>0.6</w:t>
            </w:r>
          </w:p>
        </w:tc>
        <w:tc>
          <w:tcPr>
            <w:tcW w:w="1228" w:type="dxa"/>
            <w:tcBorders>
              <w:top w:val="single" w:sz="4" w:space="0" w:color="365F91"/>
              <w:bottom w:val="single" w:sz="4" w:space="0" w:color="365F91"/>
              <w:right w:val="single" w:sz="4" w:space="0" w:color="FFFFFF"/>
            </w:tcBorders>
            <w:shd w:val="clear" w:color="auto" w:fill="FFFFFF"/>
            <w:tcMar>
              <w:top w:w="0" w:type="dxa"/>
              <w:left w:w="57" w:type="dxa"/>
              <w:bottom w:w="0" w:type="dxa"/>
              <w:right w:w="57" w:type="dxa"/>
            </w:tcMar>
          </w:tcPr>
          <w:p w14:paraId="308FF5D6" w14:textId="77777777" w:rsidR="00387C28" w:rsidRPr="00BE78CA" w:rsidRDefault="00387C28" w:rsidP="002B097E">
            <w:pPr>
              <w:pStyle w:val="TableText"/>
              <w:spacing w:before="50" w:after="50"/>
              <w:jc w:val="right"/>
            </w:pPr>
            <w:r w:rsidRPr="00BE78CA">
              <w:rPr>
                <w:rFonts w:eastAsia="Calibri"/>
              </w:rPr>
              <w:t>88.4</w:t>
            </w:r>
          </w:p>
        </w:tc>
      </w:tr>
      <w:tr w:rsidR="0077535C" w:rsidRPr="00BE78CA" w14:paraId="5FA3B471" w14:textId="77777777" w:rsidTr="0077535C">
        <w:trPr>
          <w:cantSplit/>
        </w:trPr>
        <w:tc>
          <w:tcPr>
            <w:tcW w:w="813" w:type="dxa"/>
            <w:tcBorders>
              <w:top w:val="single" w:sz="4" w:space="0" w:color="365F91"/>
              <w:bottom w:val="single" w:sz="4" w:space="0" w:color="365F91"/>
            </w:tcBorders>
            <w:shd w:val="clear" w:color="auto" w:fill="FFFFFF"/>
            <w:tcMar>
              <w:top w:w="0" w:type="dxa"/>
              <w:left w:w="57" w:type="dxa"/>
              <w:bottom w:w="0" w:type="dxa"/>
              <w:right w:w="57" w:type="dxa"/>
            </w:tcMar>
          </w:tcPr>
          <w:p w14:paraId="582AEE37" w14:textId="77777777" w:rsidR="00387C28" w:rsidRPr="00BE78CA" w:rsidRDefault="00387C28" w:rsidP="004C0828">
            <w:pPr>
              <w:pStyle w:val="TableText"/>
              <w:spacing w:before="50" w:after="50"/>
            </w:pPr>
            <w:r w:rsidRPr="00BE78CA">
              <w:rPr>
                <w:rFonts w:eastAsia="Calibri"/>
              </w:rPr>
              <w:t>3.D.1.6</w:t>
            </w:r>
          </w:p>
        </w:tc>
        <w:tc>
          <w:tcPr>
            <w:tcW w:w="3217" w:type="dxa"/>
            <w:tcBorders>
              <w:top w:val="single" w:sz="4" w:space="0" w:color="365F91"/>
              <w:bottom w:val="single" w:sz="4" w:space="0" w:color="365F91"/>
            </w:tcBorders>
            <w:shd w:val="clear" w:color="auto" w:fill="FFFFFF"/>
            <w:tcMar>
              <w:top w:w="0" w:type="dxa"/>
              <w:left w:w="57" w:type="dxa"/>
              <w:bottom w:w="0" w:type="dxa"/>
              <w:right w:w="57" w:type="dxa"/>
            </w:tcMar>
          </w:tcPr>
          <w:p w14:paraId="0201995D" w14:textId="57B02720" w:rsidR="00387C28" w:rsidRPr="00BE78CA" w:rsidRDefault="00387C28" w:rsidP="004C0828">
            <w:pPr>
              <w:pStyle w:val="TableText"/>
              <w:spacing w:before="50" w:after="50"/>
            </w:pPr>
            <w:r w:rsidRPr="00BE78CA">
              <w:rPr>
                <w:rFonts w:eastAsia="Calibri"/>
              </w:rPr>
              <w:t>Direct N</w:t>
            </w:r>
            <w:r w:rsidRPr="00BE78CA">
              <w:rPr>
                <w:rFonts w:eastAsia="Calibri"/>
                <w:vertAlign w:val="subscript"/>
              </w:rPr>
              <w:t>2</w:t>
            </w:r>
            <w:r w:rsidRPr="00BE78CA">
              <w:rPr>
                <w:rFonts w:eastAsia="Calibri"/>
              </w:rPr>
              <w:t>O Emissions from Managed Soils –</w:t>
            </w:r>
            <w:r w:rsidR="004C0828" w:rsidRPr="00BE78CA">
              <w:rPr>
                <w:rFonts w:eastAsia="Calibri"/>
              </w:rPr>
              <w:t> </w:t>
            </w:r>
            <w:r w:rsidRPr="00BE78CA">
              <w:rPr>
                <w:rFonts w:eastAsia="Calibri"/>
              </w:rPr>
              <w:t>Cultivation of Organic Soils</w:t>
            </w:r>
          </w:p>
        </w:tc>
        <w:tc>
          <w:tcPr>
            <w:tcW w:w="546" w:type="dxa"/>
            <w:tcBorders>
              <w:top w:val="single" w:sz="4" w:space="0" w:color="365F91"/>
              <w:bottom w:val="single" w:sz="4" w:space="0" w:color="365F91"/>
            </w:tcBorders>
            <w:shd w:val="clear" w:color="auto" w:fill="FFFFFF"/>
            <w:tcMar>
              <w:top w:w="0" w:type="dxa"/>
              <w:left w:w="57" w:type="dxa"/>
              <w:bottom w:w="0" w:type="dxa"/>
              <w:right w:w="57" w:type="dxa"/>
            </w:tcMar>
          </w:tcPr>
          <w:p w14:paraId="12652F0C" w14:textId="77777777" w:rsidR="00387C28" w:rsidRPr="00BE78CA" w:rsidRDefault="00387C28" w:rsidP="006132E1">
            <w:pPr>
              <w:pStyle w:val="TableText"/>
              <w:spacing w:before="50" w:after="50"/>
              <w:jc w:val="center"/>
            </w:pPr>
            <w:r w:rsidRPr="00BE78CA">
              <w:rPr>
                <w:rFonts w:eastAsia="Calibri"/>
              </w:rPr>
              <w:t>N</w:t>
            </w:r>
            <w:r w:rsidRPr="00BE78CA">
              <w:rPr>
                <w:rFonts w:eastAsia="Calibri"/>
                <w:vertAlign w:val="subscript"/>
              </w:rPr>
              <w:t>2</w:t>
            </w:r>
            <w:r w:rsidRPr="00BE78CA">
              <w:rPr>
                <w:rFonts w:eastAsia="Calibri"/>
              </w:rPr>
              <w:t>O</w:t>
            </w:r>
          </w:p>
        </w:tc>
        <w:tc>
          <w:tcPr>
            <w:tcW w:w="1404" w:type="dxa"/>
            <w:tcBorders>
              <w:top w:val="single" w:sz="4" w:space="0" w:color="365F91"/>
              <w:bottom w:val="single" w:sz="4" w:space="0" w:color="365F91"/>
            </w:tcBorders>
            <w:shd w:val="clear" w:color="auto" w:fill="FFFFFF"/>
            <w:tcMar>
              <w:top w:w="0" w:type="dxa"/>
              <w:left w:w="57" w:type="dxa"/>
              <w:bottom w:w="0" w:type="dxa"/>
              <w:right w:w="57" w:type="dxa"/>
            </w:tcMar>
          </w:tcPr>
          <w:p w14:paraId="4ECAA3EC" w14:textId="77777777" w:rsidR="00387C28" w:rsidRPr="00BE78CA" w:rsidRDefault="00387C28" w:rsidP="002B097E">
            <w:pPr>
              <w:pStyle w:val="TableText"/>
              <w:spacing w:before="50" w:after="50"/>
              <w:jc w:val="right"/>
            </w:pPr>
            <w:r w:rsidRPr="00BE78CA">
              <w:rPr>
                <w:rFonts w:eastAsia="Calibri"/>
              </w:rPr>
              <w:t>653.0</w:t>
            </w:r>
          </w:p>
        </w:tc>
        <w:tc>
          <w:tcPr>
            <w:tcW w:w="1286" w:type="dxa"/>
            <w:tcBorders>
              <w:top w:val="single" w:sz="4" w:space="0" w:color="365F91"/>
              <w:bottom w:val="single" w:sz="4" w:space="0" w:color="365F91"/>
            </w:tcBorders>
            <w:shd w:val="clear" w:color="auto" w:fill="FFFFFF"/>
            <w:tcMar>
              <w:top w:w="0" w:type="dxa"/>
              <w:left w:w="57" w:type="dxa"/>
              <w:bottom w:w="0" w:type="dxa"/>
              <w:right w:w="57" w:type="dxa"/>
            </w:tcMar>
          </w:tcPr>
          <w:p w14:paraId="4EFF66EE" w14:textId="77777777" w:rsidR="00387C28" w:rsidRPr="00BE78CA" w:rsidRDefault="00387C28" w:rsidP="002B097E">
            <w:pPr>
              <w:pStyle w:val="TableText"/>
              <w:spacing w:before="50" w:after="50"/>
              <w:jc w:val="right"/>
            </w:pPr>
            <w:r w:rsidRPr="00BE78CA">
              <w:rPr>
                <w:rFonts w:eastAsia="Calibri"/>
              </w:rPr>
              <w:t>0.5</w:t>
            </w:r>
          </w:p>
        </w:tc>
        <w:tc>
          <w:tcPr>
            <w:tcW w:w="1228" w:type="dxa"/>
            <w:tcBorders>
              <w:top w:val="single" w:sz="4" w:space="0" w:color="365F91"/>
              <w:bottom w:val="single" w:sz="4" w:space="0" w:color="365F91"/>
              <w:right w:val="single" w:sz="4" w:space="0" w:color="FFFFFF"/>
            </w:tcBorders>
            <w:shd w:val="clear" w:color="auto" w:fill="FFFFFF"/>
            <w:tcMar>
              <w:top w:w="0" w:type="dxa"/>
              <w:left w:w="57" w:type="dxa"/>
              <w:bottom w:w="0" w:type="dxa"/>
              <w:right w:w="57" w:type="dxa"/>
            </w:tcMar>
          </w:tcPr>
          <w:p w14:paraId="371C9C44" w14:textId="77777777" w:rsidR="00387C28" w:rsidRPr="00BE78CA" w:rsidRDefault="00387C28" w:rsidP="002B097E">
            <w:pPr>
              <w:pStyle w:val="TableText"/>
              <w:spacing w:before="50" w:after="50"/>
              <w:jc w:val="right"/>
            </w:pPr>
            <w:r w:rsidRPr="00BE78CA">
              <w:rPr>
                <w:rFonts w:eastAsia="Calibri"/>
              </w:rPr>
              <w:t>89.0</w:t>
            </w:r>
          </w:p>
        </w:tc>
      </w:tr>
      <w:tr w:rsidR="0077535C" w:rsidRPr="00BE78CA" w14:paraId="0A81E1B5" w14:textId="77777777" w:rsidTr="0077535C">
        <w:trPr>
          <w:cantSplit/>
        </w:trPr>
        <w:tc>
          <w:tcPr>
            <w:tcW w:w="813" w:type="dxa"/>
            <w:tcBorders>
              <w:top w:val="single" w:sz="4" w:space="0" w:color="365F91"/>
              <w:bottom w:val="single" w:sz="4" w:space="0" w:color="365F91"/>
            </w:tcBorders>
            <w:shd w:val="clear" w:color="auto" w:fill="FFFFFF"/>
            <w:tcMar>
              <w:top w:w="0" w:type="dxa"/>
              <w:left w:w="57" w:type="dxa"/>
              <w:bottom w:w="0" w:type="dxa"/>
              <w:right w:w="57" w:type="dxa"/>
            </w:tcMar>
          </w:tcPr>
          <w:p w14:paraId="264E47CA" w14:textId="77777777" w:rsidR="00387C28" w:rsidRPr="00BE78CA" w:rsidRDefault="00387C28" w:rsidP="004C0828">
            <w:pPr>
              <w:pStyle w:val="TableText"/>
              <w:spacing w:before="50" w:after="50"/>
            </w:pPr>
            <w:r w:rsidRPr="00BE78CA">
              <w:rPr>
                <w:rFonts w:eastAsia="Calibri"/>
              </w:rPr>
              <w:t>1.A.4.a</w:t>
            </w:r>
          </w:p>
        </w:tc>
        <w:tc>
          <w:tcPr>
            <w:tcW w:w="3217" w:type="dxa"/>
            <w:tcBorders>
              <w:top w:val="single" w:sz="4" w:space="0" w:color="365F91"/>
              <w:bottom w:val="single" w:sz="4" w:space="0" w:color="365F91"/>
            </w:tcBorders>
            <w:shd w:val="clear" w:color="auto" w:fill="FFFFFF"/>
            <w:tcMar>
              <w:top w:w="0" w:type="dxa"/>
              <w:left w:w="57" w:type="dxa"/>
              <w:bottom w:w="0" w:type="dxa"/>
              <w:right w:w="57" w:type="dxa"/>
            </w:tcMar>
          </w:tcPr>
          <w:p w14:paraId="2424EA13" w14:textId="77777777" w:rsidR="00387C28" w:rsidRPr="00BE78CA" w:rsidRDefault="00387C28" w:rsidP="004C0828">
            <w:pPr>
              <w:pStyle w:val="TableText"/>
              <w:spacing w:before="50" w:after="50"/>
            </w:pPr>
            <w:r w:rsidRPr="00BE78CA">
              <w:rPr>
                <w:rFonts w:eastAsia="Calibri"/>
              </w:rPr>
              <w:t>Other Sectors – Commercial/Institutional</w:t>
            </w:r>
          </w:p>
        </w:tc>
        <w:tc>
          <w:tcPr>
            <w:tcW w:w="546" w:type="dxa"/>
            <w:tcBorders>
              <w:top w:val="single" w:sz="4" w:space="0" w:color="365F91"/>
              <w:bottom w:val="single" w:sz="4" w:space="0" w:color="365F91"/>
            </w:tcBorders>
            <w:shd w:val="clear" w:color="auto" w:fill="FFFFFF"/>
            <w:tcMar>
              <w:top w:w="0" w:type="dxa"/>
              <w:left w:w="57" w:type="dxa"/>
              <w:bottom w:w="0" w:type="dxa"/>
              <w:right w:w="57" w:type="dxa"/>
            </w:tcMar>
          </w:tcPr>
          <w:p w14:paraId="37349EA3" w14:textId="77777777" w:rsidR="00387C28" w:rsidRPr="00BE78CA" w:rsidRDefault="00387C28" w:rsidP="006132E1">
            <w:pPr>
              <w:pStyle w:val="TableText"/>
              <w:spacing w:before="50" w:after="50"/>
              <w:jc w:val="center"/>
            </w:pPr>
            <w:r w:rsidRPr="00BE78CA">
              <w:rPr>
                <w:rFonts w:eastAsia="Calibri"/>
              </w:rPr>
              <w:t>CO</w:t>
            </w:r>
            <w:r w:rsidRPr="00BE78CA">
              <w:rPr>
                <w:rFonts w:eastAsia="Calibri"/>
                <w:vertAlign w:val="subscript"/>
              </w:rPr>
              <w:t>2</w:t>
            </w:r>
          </w:p>
        </w:tc>
        <w:tc>
          <w:tcPr>
            <w:tcW w:w="1404" w:type="dxa"/>
            <w:tcBorders>
              <w:top w:val="single" w:sz="4" w:space="0" w:color="365F91"/>
              <w:bottom w:val="single" w:sz="4" w:space="0" w:color="365F91"/>
            </w:tcBorders>
            <w:shd w:val="clear" w:color="auto" w:fill="FFFFFF"/>
            <w:tcMar>
              <w:top w:w="0" w:type="dxa"/>
              <w:left w:w="57" w:type="dxa"/>
              <w:bottom w:w="0" w:type="dxa"/>
              <w:right w:w="57" w:type="dxa"/>
            </w:tcMar>
          </w:tcPr>
          <w:p w14:paraId="78B6B4D8" w14:textId="77777777" w:rsidR="00387C28" w:rsidRPr="00BE78CA" w:rsidRDefault="00387C28" w:rsidP="002B097E">
            <w:pPr>
              <w:pStyle w:val="TableText"/>
              <w:spacing w:before="50" w:after="50"/>
              <w:jc w:val="right"/>
            </w:pPr>
            <w:r w:rsidRPr="00BE78CA">
              <w:rPr>
                <w:rFonts w:eastAsia="Calibri"/>
              </w:rPr>
              <w:t>587.4</w:t>
            </w:r>
          </w:p>
        </w:tc>
        <w:tc>
          <w:tcPr>
            <w:tcW w:w="1286" w:type="dxa"/>
            <w:tcBorders>
              <w:top w:val="single" w:sz="4" w:space="0" w:color="365F91"/>
              <w:bottom w:val="single" w:sz="4" w:space="0" w:color="365F91"/>
            </w:tcBorders>
            <w:shd w:val="clear" w:color="auto" w:fill="FFFFFF"/>
            <w:tcMar>
              <w:top w:w="0" w:type="dxa"/>
              <w:left w:w="57" w:type="dxa"/>
              <w:bottom w:w="0" w:type="dxa"/>
              <w:right w:w="57" w:type="dxa"/>
            </w:tcMar>
          </w:tcPr>
          <w:p w14:paraId="1444B650" w14:textId="77777777" w:rsidR="00387C28" w:rsidRPr="00BE78CA" w:rsidRDefault="00387C28" w:rsidP="002B097E">
            <w:pPr>
              <w:pStyle w:val="TableText"/>
              <w:spacing w:before="50" w:after="50"/>
              <w:jc w:val="right"/>
            </w:pPr>
            <w:r w:rsidRPr="00BE78CA">
              <w:rPr>
                <w:rFonts w:eastAsia="Calibri"/>
              </w:rPr>
              <w:t>0.5</w:t>
            </w:r>
          </w:p>
        </w:tc>
        <w:tc>
          <w:tcPr>
            <w:tcW w:w="1228" w:type="dxa"/>
            <w:tcBorders>
              <w:top w:val="single" w:sz="4" w:space="0" w:color="365F91"/>
              <w:bottom w:val="single" w:sz="4" w:space="0" w:color="365F91"/>
              <w:right w:val="single" w:sz="4" w:space="0" w:color="FFFFFF"/>
            </w:tcBorders>
            <w:shd w:val="clear" w:color="auto" w:fill="FFFFFF"/>
            <w:tcMar>
              <w:top w:w="0" w:type="dxa"/>
              <w:left w:w="57" w:type="dxa"/>
              <w:bottom w:w="0" w:type="dxa"/>
              <w:right w:w="57" w:type="dxa"/>
            </w:tcMar>
          </w:tcPr>
          <w:p w14:paraId="2B12C7A5" w14:textId="77777777" w:rsidR="00387C28" w:rsidRPr="00BE78CA" w:rsidRDefault="00387C28" w:rsidP="002B097E">
            <w:pPr>
              <w:pStyle w:val="TableText"/>
              <w:spacing w:before="50" w:after="50"/>
              <w:jc w:val="right"/>
            </w:pPr>
            <w:r w:rsidRPr="00BE78CA">
              <w:rPr>
                <w:rFonts w:eastAsia="Calibri"/>
              </w:rPr>
              <w:t>89.5</w:t>
            </w:r>
          </w:p>
        </w:tc>
      </w:tr>
      <w:tr w:rsidR="0077535C" w:rsidRPr="00BE78CA" w14:paraId="27E54ADB" w14:textId="77777777" w:rsidTr="0077535C">
        <w:trPr>
          <w:cantSplit/>
        </w:trPr>
        <w:tc>
          <w:tcPr>
            <w:tcW w:w="813" w:type="dxa"/>
            <w:tcBorders>
              <w:top w:val="single" w:sz="4" w:space="0" w:color="365F91"/>
              <w:bottom w:val="single" w:sz="4" w:space="0" w:color="365F91"/>
            </w:tcBorders>
            <w:shd w:val="clear" w:color="auto" w:fill="FFFFFF"/>
            <w:tcMar>
              <w:top w:w="0" w:type="dxa"/>
              <w:left w:w="57" w:type="dxa"/>
              <w:bottom w:w="0" w:type="dxa"/>
              <w:right w:w="57" w:type="dxa"/>
            </w:tcMar>
          </w:tcPr>
          <w:p w14:paraId="33BC8B49" w14:textId="77777777" w:rsidR="00387C28" w:rsidRPr="00BE78CA" w:rsidRDefault="00387C28" w:rsidP="004C0828">
            <w:pPr>
              <w:pStyle w:val="TableText"/>
              <w:spacing w:before="50" w:after="50"/>
            </w:pPr>
            <w:r w:rsidRPr="00BE78CA">
              <w:rPr>
                <w:rFonts w:eastAsia="Calibri"/>
              </w:rPr>
              <w:t>1.B.2.d</w:t>
            </w:r>
          </w:p>
        </w:tc>
        <w:tc>
          <w:tcPr>
            <w:tcW w:w="3217" w:type="dxa"/>
            <w:tcBorders>
              <w:top w:val="single" w:sz="4" w:space="0" w:color="365F91"/>
              <w:bottom w:val="single" w:sz="4" w:space="0" w:color="365F91"/>
            </w:tcBorders>
            <w:shd w:val="clear" w:color="auto" w:fill="FFFFFF"/>
            <w:tcMar>
              <w:top w:w="0" w:type="dxa"/>
              <w:left w:w="57" w:type="dxa"/>
              <w:bottom w:w="0" w:type="dxa"/>
              <w:right w:w="57" w:type="dxa"/>
            </w:tcMar>
          </w:tcPr>
          <w:p w14:paraId="633841A4" w14:textId="77777777" w:rsidR="00387C28" w:rsidRPr="00BE78CA" w:rsidRDefault="00387C28" w:rsidP="004C0828">
            <w:pPr>
              <w:pStyle w:val="TableText"/>
              <w:spacing w:before="50" w:after="50"/>
            </w:pPr>
            <w:r w:rsidRPr="00BE78CA">
              <w:rPr>
                <w:rFonts w:eastAsia="Calibri"/>
              </w:rPr>
              <w:t>Other (please specify) – Geothermal</w:t>
            </w:r>
          </w:p>
        </w:tc>
        <w:tc>
          <w:tcPr>
            <w:tcW w:w="546" w:type="dxa"/>
            <w:tcBorders>
              <w:top w:val="single" w:sz="4" w:space="0" w:color="365F91"/>
              <w:bottom w:val="single" w:sz="4" w:space="0" w:color="365F91"/>
            </w:tcBorders>
            <w:shd w:val="clear" w:color="auto" w:fill="FFFFFF"/>
            <w:tcMar>
              <w:top w:w="0" w:type="dxa"/>
              <w:left w:w="57" w:type="dxa"/>
              <w:bottom w:w="0" w:type="dxa"/>
              <w:right w:w="57" w:type="dxa"/>
            </w:tcMar>
          </w:tcPr>
          <w:p w14:paraId="003B0D6B" w14:textId="77777777" w:rsidR="00387C28" w:rsidRPr="00BE78CA" w:rsidRDefault="00387C28" w:rsidP="006132E1">
            <w:pPr>
              <w:pStyle w:val="TableText"/>
              <w:spacing w:before="50" w:after="50"/>
              <w:jc w:val="center"/>
            </w:pPr>
            <w:r w:rsidRPr="00BE78CA">
              <w:rPr>
                <w:rFonts w:eastAsia="Calibri"/>
              </w:rPr>
              <w:t>CO</w:t>
            </w:r>
            <w:r w:rsidRPr="00BE78CA">
              <w:rPr>
                <w:rFonts w:eastAsia="Calibri"/>
                <w:vertAlign w:val="subscript"/>
              </w:rPr>
              <w:t>2</w:t>
            </w:r>
          </w:p>
        </w:tc>
        <w:tc>
          <w:tcPr>
            <w:tcW w:w="1404" w:type="dxa"/>
            <w:tcBorders>
              <w:top w:val="single" w:sz="4" w:space="0" w:color="365F91"/>
              <w:bottom w:val="single" w:sz="4" w:space="0" w:color="365F91"/>
            </w:tcBorders>
            <w:shd w:val="clear" w:color="auto" w:fill="FFFFFF"/>
            <w:tcMar>
              <w:top w:w="0" w:type="dxa"/>
              <w:left w:w="57" w:type="dxa"/>
              <w:bottom w:w="0" w:type="dxa"/>
              <w:right w:w="57" w:type="dxa"/>
            </w:tcMar>
          </w:tcPr>
          <w:p w14:paraId="747E775E" w14:textId="77777777" w:rsidR="00387C28" w:rsidRPr="00BE78CA" w:rsidRDefault="00387C28" w:rsidP="002B097E">
            <w:pPr>
              <w:pStyle w:val="TableText"/>
              <w:spacing w:before="50" w:after="50"/>
              <w:jc w:val="right"/>
            </w:pPr>
            <w:r w:rsidRPr="00BE78CA">
              <w:rPr>
                <w:rFonts w:eastAsia="Calibri"/>
              </w:rPr>
              <w:t>585.1</w:t>
            </w:r>
          </w:p>
        </w:tc>
        <w:tc>
          <w:tcPr>
            <w:tcW w:w="1286" w:type="dxa"/>
            <w:tcBorders>
              <w:top w:val="single" w:sz="4" w:space="0" w:color="365F91"/>
              <w:bottom w:val="single" w:sz="4" w:space="0" w:color="365F91"/>
            </w:tcBorders>
            <w:shd w:val="clear" w:color="auto" w:fill="FFFFFF"/>
            <w:tcMar>
              <w:top w:w="0" w:type="dxa"/>
              <w:left w:w="57" w:type="dxa"/>
              <w:bottom w:w="0" w:type="dxa"/>
              <w:right w:w="57" w:type="dxa"/>
            </w:tcMar>
          </w:tcPr>
          <w:p w14:paraId="32B64584" w14:textId="77777777" w:rsidR="00387C28" w:rsidRPr="00BE78CA" w:rsidRDefault="00387C28" w:rsidP="002B097E">
            <w:pPr>
              <w:pStyle w:val="TableText"/>
              <w:spacing w:before="50" w:after="50"/>
              <w:jc w:val="right"/>
            </w:pPr>
            <w:r w:rsidRPr="00BE78CA">
              <w:rPr>
                <w:rFonts w:eastAsia="Calibri"/>
              </w:rPr>
              <w:t>0.5</w:t>
            </w:r>
          </w:p>
        </w:tc>
        <w:tc>
          <w:tcPr>
            <w:tcW w:w="1228" w:type="dxa"/>
            <w:tcBorders>
              <w:top w:val="single" w:sz="4" w:space="0" w:color="365F91"/>
              <w:bottom w:val="single" w:sz="4" w:space="0" w:color="365F91"/>
              <w:right w:val="single" w:sz="4" w:space="0" w:color="FFFFFF"/>
            </w:tcBorders>
            <w:shd w:val="clear" w:color="auto" w:fill="FFFFFF"/>
            <w:tcMar>
              <w:top w:w="0" w:type="dxa"/>
              <w:left w:w="57" w:type="dxa"/>
              <w:bottom w:w="0" w:type="dxa"/>
              <w:right w:w="57" w:type="dxa"/>
            </w:tcMar>
          </w:tcPr>
          <w:p w14:paraId="15959E44" w14:textId="77777777" w:rsidR="00387C28" w:rsidRPr="00BE78CA" w:rsidRDefault="00387C28" w:rsidP="002B097E">
            <w:pPr>
              <w:pStyle w:val="TableText"/>
              <w:spacing w:before="50" w:after="50"/>
              <w:jc w:val="right"/>
            </w:pPr>
            <w:r w:rsidRPr="00BE78CA">
              <w:rPr>
                <w:rFonts w:eastAsia="Calibri"/>
              </w:rPr>
              <w:t>90.0</w:t>
            </w:r>
          </w:p>
        </w:tc>
      </w:tr>
      <w:tr w:rsidR="0077535C" w:rsidRPr="00BE78CA" w14:paraId="7A30897C" w14:textId="77777777" w:rsidTr="0077535C">
        <w:trPr>
          <w:cantSplit/>
        </w:trPr>
        <w:tc>
          <w:tcPr>
            <w:tcW w:w="813" w:type="dxa"/>
            <w:tcBorders>
              <w:top w:val="single" w:sz="4" w:space="0" w:color="365F91"/>
              <w:bottom w:val="single" w:sz="4" w:space="0" w:color="365F91"/>
            </w:tcBorders>
            <w:shd w:val="clear" w:color="auto" w:fill="FFFFFF"/>
            <w:tcMar>
              <w:top w:w="0" w:type="dxa"/>
              <w:left w:w="57" w:type="dxa"/>
              <w:bottom w:w="0" w:type="dxa"/>
              <w:right w:w="57" w:type="dxa"/>
            </w:tcMar>
          </w:tcPr>
          <w:p w14:paraId="22757739" w14:textId="77777777" w:rsidR="00387C28" w:rsidRPr="00BE78CA" w:rsidRDefault="00387C28" w:rsidP="004C0828">
            <w:pPr>
              <w:pStyle w:val="TableText"/>
              <w:spacing w:before="50" w:after="50"/>
            </w:pPr>
            <w:r w:rsidRPr="00BE78CA">
              <w:rPr>
                <w:rFonts w:eastAsia="Calibri"/>
              </w:rPr>
              <w:t>2.C.3</w:t>
            </w:r>
          </w:p>
        </w:tc>
        <w:tc>
          <w:tcPr>
            <w:tcW w:w="3217" w:type="dxa"/>
            <w:tcBorders>
              <w:top w:val="single" w:sz="4" w:space="0" w:color="365F91"/>
              <w:bottom w:val="single" w:sz="4" w:space="0" w:color="365F91"/>
            </w:tcBorders>
            <w:shd w:val="clear" w:color="auto" w:fill="FFFFFF"/>
            <w:tcMar>
              <w:top w:w="0" w:type="dxa"/>
              <w:left w:w="57" w:type="dxa"/>
              <w:bottom w:w="0" w:type="dxa"/>
              <w:right w:w="57" w:type="dxa"/>
            </w:tcMar>
          </w:tcPr>
          <w:p w14:paraId="0F6B7A03" w14:textId="77777777" w:rsidR="00387C28" w:rsidRPr="00BE78CA" w:rsidRDefault="00387C28" w:rsidP="004C0828">
            <w:pPr>
              <w:pStyle w:val="TableText"/>
              <w:spacing w:before="50" w:after="50"/>
            </w:pPr>
            <w:r w:rsidRPr="00BE78CA">
              <w:rPr>
                <w:rFonts w:eastAsia="Calibri"/>
              </w:rPr>
              <w:t>Metal Industry – Aluminium Production</w:t>
            </w:r>
          </w:p>
        </w:tc>
        <w:tc>
          <w:tcPr>
            <w:tcW w:w="546" w:type="dxa"/>
            <w:tcBorders>
              <w:top w:val="single" w:sz="4" w:space="0" w:color="365F91"/>
              <w:bottom w:val="single" w:sz="4" w:space="0" w:color="365F91"/>
            </w:tcBorders>
            <w:shd w:val="clear" w:color="auto" w:fill="FFFFFF"/>
            <w:tcMar>
              <w:top w:w="0" w:type="dxa"/>
              <w:left w:w="57" w:type="dxa"/>
              <w:bottom w:w="0" w:type="dxa"/>
              <w:right w:w="57" w:type="dxa"/>
            </w:tcMar>
          </w:tcPr>
          <w:p w14:paraId="29347053" w14:textId="77777777" w:rsidR="00387C28" w:rsidRPr="00BE78CA" w:rsidRDefault="00387C28" w:rsidP="006132E1">
            <w:pPr>
              <w:pStyle w:val="TableText"/>
              <w:spacing w:before="50" w:after="50"/>
              <w:jc w:val="center"/>
            </w:pPr>
            <w:r w:rsidRPr="00BE78CA">
              <w:rPr>
                <w:rFonts w:eastAsia="Calibri"/>
              </w:rPr>
              <w:t>CO</w:t>
            </w:r>
            <w:r w:rsidRPr="00BE78CA">
              <w:rPr>
                <w:rFonts w:eastAsia="Calibri"/>
                <w:vertAlign w:val="subscript"/>
              </w:rPr>
              <w:t>2</w:t>
            </w:r>
          </w:p>
        </w:tc>
        <w:tc>
          <w:tcPr>
            <w:tcW w:w="1404" w:type="dxa"/>
            <w:tcBorders>
              <w:top w:val="single" w:sz="4" w:space="0" w:color="365F91"/>
              <w:bottom w:val="single" w:sz="4" w:space="0" w:color="365F91"/>
            </w:tcBorders>
            <w:shd w:val="clear" w:color="auto" w:fill="FFFFFF"/>
            <w:tcMar>
              <w:top w:w="0" w:type="dxa"/>
              <w:left w:w="57" w:type="dxa"/>
              <w:bottom w:w="0" w:type="dxa"/>
              <w:right w:w="57" w:type="dxa"/>
            </w:tcMar>
          </w:tcPr>
          <w:p w14:paraId="5BC5F292" w14:textId="77777777" w:rsidR="00387C28" w:rsidRPr="00BE78CA" w:rsidRDefault="00387C28" w:rsidP="002B097E">
            <w:pPr>
              <w:pStyle w:val="TableText"/>
              <w:spacing w:before="50" w:after="50"/>
              <w:jc w:val="right"/>
            </w:pPr>
            <w:r w:rsidRPr="00BE78CA">
              <w:rPr>
                <w:rFonts w:eastAsia="Calibri"/>
              </w:rPr>
              <w:t>574.5</w:t>
            </w:r>
          </w:p>
        </w:tc>
        <w:tc>
          <w:tcPr>
            <w:tcW w:w="1286" w:type="dxa"/>
            <w:tcBorders>
              <w:top w:val="single" w:sz="4" w:space="0" w:color="365F91"/>
              <w:bottom w:val="single" w:sz="4" w:space="0" w:color="365F91"/>
            </w:tcBorders>
            <w:shd w:val="clear" w:color="auto" w:fill="FFFFFF"/>
            <w:tcMar>
              <w:top w:w="0" w:type="dxa"/>
              <w:left w:w="57" w:type="dxa"/>
              <w:bottom w:w="0" w:type="dxa"/>
              <w:right w:w="57" w:type="dxa"/>
            </w:tcMar>
          </w:tcPr>
          <w:p w14:paraId="53F7C3BF" w14:textId="77777777" w:rsidR="00387C28" w:rsidRPr="00BE78CA" w:rsidRDefault="00387C28" w:rsidP="002B097E">
            <w:pPr>
              <w:pStyle w:val="TableText"/>
              <w:spacing w:before="50" w:after="50"/>
              <w:jc w:val="right"/>
            </w:pPr>
            <w:r w:rsidRPr="00BE78CA">
              <w:rPr>
                <w:rFonts w:eastAsia="Calibri"/>
              </w:rPr>
              <w:t>0.5</w:t>
            </w:r>
          </w:p>
        </w:tc>
        <w:tc>
          <w:tcPr>
            <w:tcW w:w="1228" w:type="dxa"/>
            <w:tcBorders>
              <w:top w:val="single" w:sz="4" w:space="0" w:color="365F91"/>
              <w:bottom w:val="single" w:sz="4" w:space="0" w:color="365F91"/>
              <w:right w:val="single" w:sz="4" w:space="0" w:color="FFFFFF"/>
            </w:tcBorders>
            <w:shd w:val="clear" w:color="auto" w:fill="FFFFFF"/>
            <w:tcMar>
              <w:top w:w="0" w:type="dxa"/>
              <w:left w:w="57" w:type="dxa"/>
              <w:bottom w:w="0" w:type="dxa"/>
              <w:right w:w="57" w:type="dxa"/>
            </w:tcMar>
          </w:tcPr>
          <w:p w14:paraId="631D6820" w14:textId="77777777" w:rsidR="00387C28" w:rsidRPr="00BE78CA" w:rsidRDefault="00387C28" w:rsidP="002B097E">
            <w:pPr>
              <w:pStyle w:val="TableText"/>
              <w:spacing w:before="50" w:after="50"/>
              <w:jc w:val="right"/>
            </w:pPr>
            <w:r w:rsidRPr="00BE78CA">
              <w:rPr>
                <w:rFonts w:eastAsia="Calibri"/>
              </w:rPr>
              <w:t>90.4</w:t>
            </w:r>
          </w:p>
        </w:tc>
      </w:tr>
      <w:tr w:rsidR="0077535C" w:rsidRPr="00BE78CA" w14:paraId="4517827C" w14:textId="77777777" w:rsidTr="0077535C">
        <w:trPr>
          <w:cantSplit/>
        </w:trPr>
        <w:tc>
          <w:tcPr>
            <w:tcW w:w="813" w:type="dxa"/>
            <w:tcBorders>
              <w:top w:val="single" w:sz="4" w:space="0" w:color="365F91"/>
              <w:bottom w:val="single" w:sz="4" w:space="0" w:color="365F91"/>
            </w:tcBorders>
            <w:shd w:val="clear" w:color="auto" w:fill="FFFFFF"/>
            <w:tcMar>
              <w:top w:w="0" w:type="dxa"/>
              <w:left w:w="57" w:type="dxa"/>
              <w:bottom w:w="0" w:type="dxa"/>
              <w:right w:w="57" w:type="dxa"/>
            </w:tcMar>
          </w:tcPr>
          <w:p w14:paraId="33174F89" w14:textId="77777777" w:rsidR="00387C28" w:rsidRPr="00BE78CA" w:rsidRDefault="00387C28" w:rsidP="004C0828">
            <w:pPr>
              <w:pStyle w:val="TableText"/>
              <w:spacing w:before="50" w:after="50"/>
            </w:pPr>
            <w:r w:rsidRPr="00BE78CA">
              <w:rPr>
                <w:rFonts w:eastAsia="Calibri"/>
              </w:rPr>
              <w:t>3.H</w:t>
            </w:r>
          </w:p>
        </w:tc>
        <w:tc>
          <w:tcPr>
            <w:tcW w:w="3217" w:type="dxa"/>
            <w:tcBorders>
              <w:top w:val="single" w:sz="4" w:space="0" w:color="365F91"/>
              <w:bottom w:val="single" w:sz="4" w:space="0" w:color="365F91"/>
            </w:tcBorders>
            <w:shd w:val="clear" w:color="auto" w:fill="FFFFFF"/>
            <w:tcMar>
              <w:top w:w="0" w:type="dxa"/>
              <w:left w:w="57" w:type="dxa"/>
              <w:bottom w:w="0" w:type="dxa"/>
              <w:right w:w="57" w:type="dxa"/>
            </w:tcMar>
          </w:tcPr>
          <w:p w14:paraId="20530D6B" w14:textId="77777777" w:rsidR="00387C28" w:rsidRPr="00BE78CA" w:rsidRDefault="00387C28" w:rsidP="004C0828">
            <w:pPr>
              <w:pStyle w:val="TableText"/>
              <w:spacing w:before="50" w:after="50"/>
            </w:pPr>
            <w:r w:rsidRPr="00BE78CA">
              <w:rPr>
                <w:rFonts w:eastAsia="Calibri"/>
              </w:rPr>
              <w:t>Agriculture – Urea Application</w:t>
            </w:r>
          </w:p>
        </w:tc>
        <w:tc>
          <w:tcPr>
            <w:tcW w:w="546" w:type="dxa"/>
            <w:tcBorders>
              <w:top w:val="single" w:sz="4" w:space="0" w:color="365F91"/>
              <w:bottom w:val="single" w:sz="4" w:space="0" w:color="365F91"/>
            </w:tcBorders>
            <w:shd w:val="clear" w:color="auto" w:fill="FFFFFF"/>
            <w:tcMar>
              <w:top w:w="0" w:type="dxa"/>
              <w:left w:w="57" w:type="dxa"/>
              <w:bottom w:w="0" w:type="dxa"/>
              <w:right w:w="57" w:type="dxa"/>
            </w:tcMar>
          </w:tcPr>
          <w:p w14:paraId="2D3682C3" w14:textId="77777777" w:rsidR="00387C28" w:rsidRPr="00BE78CA" w:rsidRDefault="00387C28" w:rsidP="006132E1">
            <w:pPr>
              <w:pStyle w:val="TableText"/>
              <w:spacing w:before="50" w:after="50"/>
              <w:jc w:val="center"/>
            </w:pPr>
            <w:r w:rsidRPr="00BE78CA">
              <w:rPr>
                <w:rFonts w:eastAsia="Calibri"/>
              </w:rPr>
              <w:t>CO</w:t>
            </w:r>
            <w:r w:rsidRPr="00BE78CA">
              <w:rPr>
                <w:rFonts w:eastAsia="Calibri"/>
                <w:vertAlign w:val="subscript"/>
              </w:rPr>
              <w:t>2</w:t>
            </w:r>
          </w:p>
        </w:tc>
        <w:tc>
          <w:tcPr>
            <w:tcW w:w="1404" w:type="dxa"/>
            <w:tcBorders>
              <w:top w:val="single" w:sz="4" w:space="0" w:color="365F91"/>
              <w:bottom w:val="single" w:sz="4" w:space="0" w:color="365F91"/>
            </w:tcBorders>
            <w:shd w:val="clear" w:color="auto" w:fill="FFFFFF"/>
            <w:tcMar>
              <w:top w:w="0" w:type="dxa"/>
              <w:left w:w="57" w:type="dxa"/>
              <w:bottom w:w="0" w:type="dxa"/>
              <w:right w:w="57" w:type="dxa"/>
            </w:tcMar>
          </w:tcPr>
          <w:p w14:paraId="1F4331DB" w14:textId="77777777" w:rsidR="00387C28" w:rsidRPr="00BE78CA" w:rsidRDefault="00387C28" w:rsidP="002B097E">
            <w:pPr>
              <w:pStyle w:val="TableText"/>
              <w:spacing w:before="50" w:after="50"/>
              <w:jc w:val="right"/>
            </w:pPr>
            <w:r w:rsidRPr="00BE78CA">
              <w:rPr>
                <w:rFonts w:eastAsia="Calibri"/>
              </w:rPr>
              <w:t>570.7</w:t>
            </w:r>
          </w:p>
        </w:tc>
        <w:tc>
          <w:tcPr>
            <w:tcW w:w="1286" w:type="dxa"/>
            <w:tcBorders>
              <w:top w:val="single" w:sz="4" w:space="0" w:color="365F91"/>
              <w:bottom w:val="single" w:sz="4" w:space="0" w:color="365F91"/>
            </w:tcBorders>
            <w:shd w:val="clear" w:color="auto" w:fill="FFFFFF"/>
            <w:tcMar>
              <w:top w:w="0" w:type="dxa"/>
              <w:left w:w="57" w:type="dxa"/>
              <w:bottom w:w="0" w:type="dxa"/>
              <w:right w:w="57" w:type="dxa"/>
            </w:tcMar>
          </w:tcPr>
          <w:p w14:paraId="6FDC6F2E" w14:textId="77777777" w:rsidR="00387C28" w:rsidRPr="00BE78CA" w:rsidRDefault="00387C28" w:rsidP="002B097E">
            <w:pPr>
              <w:pStyle w:val="TableText"/>
              <w:spacing w:before="50" w:after="50"/>
              <w:jc w:val="right"/>
            </w:pPr>
            <w:r w:rsidRPr="00BE78CA">
              <w:rPr>
                <w:rFonts w:eastAsia="Calibri"/>
              </w:rPr>
              <w:t>0.5</w:t>
            </w:r>
          </w:p>
        </w:tc>
        <w:tc>
          <w:tcPr>
            <w:tcW w:w="1228" w:type="dxa"/>
            <w:tcBorders>
              <w:top w:val="single" w:sz="4" w:space="0" w:color="365F91"/>
              <w:bottom w:val="single" w:sz="4" w:space="0" w:color="365F91"/>
              <w:right w:val="single" w:sz="4" w:space="0" w:color="FFFFFF"/>
            </w:tcBorders>
            <w:shd w:val="clear" w:color="auto" w:fill="FFFFFF"/>
            <w:tcMar>
              <w:top w:w="0" w:type="dxa"/>
              <w:left w:w="57" w:type="dxa"/>
              <w:bottom w:w="0" w:type="dxa"/>
              <w:right w:w="57" w:type="dxa"/>
            </w:tcMar>
          </w:tcPr>
          <w:p w14:paraId="76A222A1" w14:textId="77777777" w:rsidR="00387C28" w:rsidRPr="00BE78CA" w:rsidRDefault="00387C28" w:rsidP="002B097E">
            <w:pPr>
              <w:pStyle w:val="TableText"/>
              <w:spacing w:before="50" w:after="50"/>
              <w:jc w:val="right"/>
            </w:pPr>
            <w:r w:rsidRPr="00BE78CA">
              <w:rPr>
                <w:rFonts w:eastAsia="Calibri"/>
              </w:rPr>
              <w:t>90.9</w:t>
            </w:r>
          </w:p>
        </w:tc>
      </w:tr>
      <w:tr w:rsidR="0077535C" w:rsidRPr="00BE78CA" w14:paraId="6EAFBCF3" w14:textId="77777777" w:rsidTr="0077535C">
        <w:trPr>
          <w:cantSplit/>
        </w:trPr>
        <w:tc>
          <w:tcPr>
            <w:tcW w:w="813" w:type="dxa"/>
            <w:tcBorders>
              <w:top w:val="single" w:sz="4" w:space="0" w:color="365F91"/>
              <w:bottom w:val="single" w:sz="4" w:space="0" w:color="365F91"/>
            </w:tcBorders>
            <w:shd w:val="clear" w:color="auto" w:fill="FFFFFF"/>
            <w:tcMar>
              <w:top w:w="0" w:type="dxa"/>
              <w:left w:w="57" w:type="dxa"/>
              <w:bottom w:w="0" w:type="dxa"/>
              <w:right w:w="57" w:type="dxa"/>
            </w:tcMar>
          </w:tcPr>
          <w:p w14:paraId="31F59C99" w14:textId="77777777" w:rsidR="00387C28" w:rsidRPr="00BE78CA" w:rsidRDefault="00387C28" w:rsidP="004C0828">
            <w:pPr>
              <w:pStyle w:val="TableText"/>
              <w:spacing w:before="50" w:after="50"/>
            </w:pPr>
            <w:r w:rsidRPr="00BE78CA">
              <w:rPr>
                <w:rFonts w:eastAsia="Calibri"/>
              </w:rPr>
              <w:t>3.G</w:t>
            </w:r>
          </w:p>
        </w:tc>
        <w:tc>
          <w:tcPr>
            <w:tcW w:w="3217" w:type="dxa"/>
            <w:tcBorders>
              <w:top w:val="single" w:sz="4" w:space="0" w:color="365F91"/>
              <w:bottom w:val="single" w:sz="4" w:space="0" w:color="365F91"/>
            </w:tcBorders>
            <w:shd w:val="clear" w:color="auto" w:fill="FFFFFF"/>
            <w:tcMar>
              <w:top w:w="0" w:type="dxa"/>
              <w:left w:w="57" w:type="dxa"/>
              <w:bottom w:w="0" w:type="dxa"/>
              <w:right w:w="57" w:type="dxa"/>
            </w:tcMar>
          </w:tcPr>
          <w:p w14:paraId="36857359" w14:textId="77777777" w:rsidR="00387C28" w:rsidRPr="00BE78CA" w:rsidRDefault="00387C28" w:rsidP="004C0828">
            <w:pPr>
              <w:pStyle w:val="TableText"/>
              <w:spacing w:before="50" w:after="50"/>
            </w:pPr>
            <w:r w:rsidRPr="00BE78CA">
              <w:rPr>
                <w:rFonts w:eastAsia="Calibri"/>
              </w:rPr>
              <w:t>Agriculture – Liming</w:t>
            </w:r>
          </w:p>
        </w:tc>
        <w:tc>
          <w:tcPr>
            <w:tcW w:w="546" w:type="dxa"/>
            <w:tcBorders>
              <w:top w:val="single" w:sz="4" w:space="0" w:color="365F91"/>
              <w:bottom w:val="single" w:sz="4" w:space="0" w:color="365F91"/>
            </w:tcBorders>
            <w:shd w:val="clear" w:color="auto" w:fill="FFFFFF"/>
            <w:tcMar>
              <w:top w:w="0" w:type="dxa"/>
              <w:left w:w="57" w:type="dxa"/>
              <w:bottom w:w="0" w:type="dxa"/>
              <w:right w:w="57" w:type="dxa"/>
            </w:tcMar>
          </w:tcPr>
          <w:p w14:paraId="38A6E809" w14:textId="77777777" w:rsidR="00387C28" w:rsidRPr="00BE78CA" w:rsidRDefault="00387C28" w:rsidP="006132E1">
            <w:pPr>
              <w:pStyle w:val="TableText"/>
              <w:spacing w:before="50" w:after="50"/>
              <w:jc w:val="center"/>
            </w:pPr>
            <w:r w:rsidRPr="00BE78CA">
              <w:rPr>
                <w:rFonts w:eastAsia="Calibri"/>
              </w:rPr>
              <w:t>CO</w:t>
            </w:r>
            <w:r w:rsidRPr="00BE78CA">
              <w:rPr>
                <w:rFonts w:eastAsia="Calibri"/>
                <w:vertAlign w:val="subscript"/>
              </w:rPr>
              <w:t>2</w:t>
            </w:r>
          </w:p>
        </w:tc>
        <w:tc>
          <w:tcPr>
            <w:tcW w:w="1404" w:type="dxa"/>
            <w:tcBorders>
              <w:top w:val="single" w:sz="4" w:space="0" w:color="365F91"/>
              <w:bottom w:val="single" w:sz="4" w:space="0" w:color="365F91"/>
            </w:tcBorders>
            <w:shd w:val="clear" w:color="auto" w:fill="FFFFFF"/>
            <w:tcMar>
              <w:top w:w="0" w:type="dxa"/>
              <w:left w:w="57" w:type="dxa"/>
              <w:bottom w:w="0" w:type="dxa"/>
              <w:right w:w="57" w:type="dxa"/>
            </w:tcMar>
          </w:tcPr>
          <w:p w14:paraId="76207EC7" w14:textId="77777777" w:rsidR="00387C28" w:rsidRPr="00BE78CA" w:rsidRDefault="00387C28" w:rsidP="002B097E">
            <w:pPr>
              <w:pStyle w:val="TableText"/>
              <w:spacing w:before="50" w:after="50"/>
              <w:jc w:val="right"/>
            </w:pPr>
            <w:r w:rsidRPr="00BE78CA">
              <w:rPr>
                <w:rFonts w:eastAsia="Calibri"/>
              </w:rPr>
              <w:t>546.1</w:t>
            </w:r>
          </w:p>
        </w:tc>
        <w:tc>
          <w:tcPr>
            <w:tcW w:w="1286" w:type="dxa"/>
            <w:tcBorders>
              <w:top w:val="single" w:sz="4" w:space="0" w:color="365F91"/>
              <w:bottom w:val="single" w:sz="4" w:space="0" w:color="365F91"/>
            </w:tcBorders>
            <w:shd w:val="clear" w:color="auto" w:fill="FFFFFF"/>
            <w:tcMar>
              <w:top w:w="0" w:type="dxa"/>
              <w:left w:w="57" w:type="dxa"/>
              <w:bottom w:w="0" w:type="dxa"/>
              <w:right w:w="57" w:type="dxa"/>
            </w:tcMar>
          </w:tcPr>
          <w:p w14:paraId="57AC8C81" w14:textId="77777777" w:rsidR="00387C28" w:rsidRPr="00BE78CA" w:rsidRDefault="00387C28" w:rsidP="002B097E">
            <w:pPr>
              <w:pStyle w:val="TableText"/>
              <w:spacing w:before="50" w:after="50"/>
              <w:jc w:val="right"/>
            </w:pPr>
            <w:r w:rsidRPr="00BE78CA">
              <w:rPr>
                <w:rFonts w:eastAsia="Calibri"/>
              </w:rPr>
              <w:t>0.5</w:t>
            </w:r>
          </w:p>
        </w:tc>
        <w:tc>
          <w:tcPr>
            <w:tcW w:w="1228" w:type="dxa"/>
            <w:tcBorders>
              <w:top w:val="single" w:sz="4" w:space="0" w:color="365F91"/>
              <w:bottom w:val="single" w:sz="4" w:space="0" w:color="365F91"/>
              <w:right w:val="single" w:sz="4" w:space="0" w:color="FFFFFF"/>
            </w:tcBorders>
            <w:shd w:val="clear" w:color="auto" w:fill="FFFFFF"/>
            <w:tcMar>
              <w:top w:w="0" w:type="dxa"/>
              <w:left w:w="57" w:type="dxa"/>
              <w:bottom w:w="0" w:type="dxa"/>
              <w:right w:w="57" w:type="dxa"/>
            </w:tcMar>
          </w:tcPr>
          <w:p w14:paraId="11972694" w14:textId="77777777" w:rsidR="00387C28" w:rsidRPr="00BE78CA" w:rsidRDefault="00387C28" w:rsidP="002B097E">
            <w:pPr>
              <w:pStyle w:val="TableText"/>
              <w:spacing w:before="50" w:after="50"/>
              <w:jc w:val="right"/>
            </w:pPr>
            <w:r w:rsidRPr="00BE78CA">
              <w:rPr>
                <w:rFonts w:eastAsia="Calibri"/>
              </w:rPr>
              <w:t>91.4</w:t>
            </w:r>
          </w:p>
        </w:tc>
      </w:tr>
      <w:tr w:rsidR="0077535C" w:rsidRPr="00BE78CA" w14:paraId="114EF95F" w14:textId="77777777" w:rsidTr="0077535C">
        <w:trPr>
          <w:cantSplit/>
        </w:trPr>
        <w:tc>
          <w:tcPr>
            <w:tcW w:w="813" w:type="dxa"/>
            <w:tcBorders>
              <w:top w:val="single" w:sz="4" w:space="0" w:color="365F91"/>
              <w:bottom w:val="single" w:sz="4" w:space="0" w:color="365F91"/>
            </w:tcBorders>
            <w:shd w:val="clear" w:color="auto" w:fill="FFFFFF"/>
            <w:tcMar>
              <w:top w:w="0" w:type="dxa"/>
              <w:left w:w="57" w:type="dxa"/>
              <w:bottom w:w="0" w:type="dxa"/>
              <w:right w:w="57" w:type="dxa"/>
            </w:tcMar>
          </w:tcPr>
          <w:p w14:paraId="66F0B787" w14:textId="77777777" w:rsidR="00387C28" w:rsidRPr="00BE78CA" w:rsidRDefault="00387C28" w:rsidP="004C0828">
            <w:pPr>
              <w:pStyle w:val="TableText"/>
              <w:spacing w:before="50" w:after="50"/>
            </w:pPr>
            <w:r w:rsidRPr="00BE78CA">
              <w:rPr>
                <w:rFonts w:eastAsia="Calibri"/>
              </w:rPr>
              <w:lastRenderedPageBreak/>
              <w:t>3.D.2.2</w:t>
            </w:r>
          </w:p>
        </w:tc>
        <w:tc>
          <w:tcPr>
            <w:tcW w:w="3217" w:type="dxa"/>
            <w:tcBorders>
              <w:top w:val="single" w:sz="4" w:space="0" w:color="365F91"/>
              <w:bottom w:val="single" w:sz="4" w:space="0" w:color="365F91"/>
            </w:tcBorders>
            <w:shd w:val="clear" w:color="auto" w:fill="FFFFFF"/>
            <w:tcMar>
              <w:top w:w="0" w:type="dxa"/>
              <w:left w:w="57" w:type="dxa"/>
              <w:bottom w:w="0" w:type="dxa"/>
              <w:right w:w="57" w:type="dxa"/>
            </w:tcMar>
          </w:tcPr>
          <w:p w14:paraId="3BBD9C9F" w14:textId="77777777" w:rsidR="00387C28" w:rsidRPr="00BE78CA" w:rsidRDefault="00387C28" w:rsidP="004C0828">
            <w:pPr>
              <w:pStyle w:val="TableText"/>
              <w:spacing w:before="50" w:after="50"/>
            </w:pPr>
            <w:r w:rsidRPr="00BE78CA">
              <w:rPr>
                <w:rFonts w:eastAsia="Calibri"/>
              </w:rPr>
              <w:t>Indirect N</w:t>
            </w:r>
            <w:r w:rsidRPr="00BE78CA">
              <w:rPr>
                <w:rFonts w:eastAsia="Calibri"/>
                <w:vertAlign w:val="subscript"/>
              </w:rPr>
              <w:t>2</w:t>
            </w:r>
            <w:r w:rsidRPr="00BE78CA">
              <w:rPr>
                <w:rFonts w:eastAsia="Calibri"/>
              </w:rPr>
              <w:t>O Emissions from Managed Soils – Nitrogen Leaching and Run-off</w:t>
            </w:r>
          </w:p>
        </w:tc>
        <w:tc>
          <w:tcPr>
            <w:tcW w:w="546" w:type="dxa"/>
            <w:tcBorders>
              <w:top w:val="single" w:sz="4" w:space="0" w:color="365F91"/>
              <w:bottom w:val="single" w:sz="4" w:space="0" w:color="365F91"/>
            </w:tcBorders>
            <w:shd w:val="clear" w:color="auto" w:fill="FFFFFF"/>
            <w:tcMar>
              <w:top w:w="0" w:type="dxa"/>
              <w:left w:w="57" w:type="dxa"/>
              <w:bottom w:w="0" w:type="dxa"/>
              <w:right w:w="57" w:type="dxa"/>
            </w:tcMar>
          </w:tcPr>
          <w:p w14:paraId="742E4CC9" w14:textId="77777777" w:rsidR="00387C28" w:rsidRPr="00BE78CA" w:rsidRDefault="00387C28" w:rsidP="006132E1">
            <w:pPr>
              <w:pStyle w:val="TableText"/>
              <w:spacing w:before="50" w:after="50"/>
              <w:jc w:val="center"/>
            </w:pPr>
            <w:r w:rsidRPr="00BE78CA">
              <w:rPr>
                <w:rFonts w:eastAsia="Calibri"/>
              </w:rPr>
              <w:t>N</w:t>
            </w:r>
            <w:r w:rsidRPr="00BE78CA">
              <w:rPr>
                <w:rFonts w:eastAsia="Calibri"/>
                <w:vertAlign w:val="subscript"/>
              </w:rPr>
              <w:t>2</w:t>
            </w:r>
            <w:r w:rsidRPr="00BE78CA">
              <w:rPr>
                <w:rFonts w:eastAsia="Calibri"/>
              </w:rPr>
              <w:t>O</w:t>
            </w:r>
          </w:p>
        </w:tc>
        <w:tc>
          <w:tcPr>
            <w:tcW w:w="1404" w:type="dxa"/>
            <w:tcBorders>
              <w:top w:val="single" w:sz="4" w:space="0" w:color="365F91"/>
              <w:bottom w:val="single" w:sz="4" w:space="0" w:color="365F91"/>
            </w:tcBorders>
            <w:shd w:val="clear" w:color="auto" w:fill="FFFFFF"/>
            <w:tcMar>
              <w:top w:w="0" w:type="dxa"/>
              <w:left w:w="57" w:type="dxa"/>
              <w:bottom w:w="0" w:type="dxa"/>
              <w:right w:w="57" w:type="dxa"/>
            </w:tcMar>
          </w:tcPr>
          <w:p w14:paraId="2F44B0BC" w14:textId="77777777" w:rsidR="00387C28" w:rsidRPr="00BE78CA" w:rsidRDefault="00387C28" w:rsidP="002B097E">
            <w:pPr>
              <w:pStyle w:val="TableText"/>
              <w:spacing w:before="50" w:after="50"/>
              <w:jc w:val="right"/>
            </w:pPr>
            <w:r w:rsidRPr="00BE78CA">
              <w:rPr>
                <w:rFonts w:eastAsia="Calibri"/>
              </w:rPr>
              <w:t>513.8</w:t>
            </w:r>
          </w:p>
        </w:tc>
        <w:tc>
          <w:tcPr>
            <w:tcW w:w="1286" w:type="dxa"/>
            <w:tcBorders>
              <w:top w:val="single" w:sz="4" w:space="0" w:color="365F91"/>
              <w:bottom w:val="single" w:sz="4" w:space="0" w:color="365F91"/>
            </w:tcBorders>
            <w:shd w:val="clear" w:color="auto" w:fill="FFFFFF"/>
            <w:tcMar>
              <w:top w:w="0" w:type="dxa"/>
              <w:left w:w="57" w:type="dxa"/>
              <w:bottom w:w="0" w:type="dxa"/>
              <w:right w:w="57" w:type="dxa"/>
            </w:tcMar>
          </w:tcPr>
          <w:p w14:paraId="793CDD8E" w14:textId="77777777" w:rsidR="00387C28" w:rsidRPr="00BE78CA" w:rsidRDefault="00387C28" w:rsidP="002B097E">
            <w:pPr>
              <w:pStyle w:val="TableText"/>
              <w:spacing w:before="50" w:after="50"/>
              <w:jc w:val="right"/>
            </w:pPr>
            <w:r w:rsidRPr="00BE78CA">
              <w:rPr>
                <w:rFonts w:eastAsia="Calibri"/>
              </w:rPr>
              <w:t>0.4</w:t>
            </w:r>
          </w:p>
        </w:tc>
        <w:tc>
          <w:tcPr>
            <w:tcW w:w="1228" w:type="dxa"/>
            <w:tcBorders>
              <w:top w:val="single" w:sz="4" w:space="0" w:color="365F91"/>
              <w:bottom w:val="single" w:sz="4" w:space="0" w:color="365F91"/>
              <w:right w:val="single" w:sz="4" w:space="0" w:color="FFFFFF"/>
            </w:tcBorders>
            <w:shd w:val="clear" w:color="auto" w:fill="FFFFFF"/>
            <w:tcMar>
              <w:top w:w="0" w:type="dxa"/>
              <w:left w:w="57" w:type="dxa"/>
              <w:bottom w:w="0" w:type="dxa"/>
              <w:right w:w="57" w:type="dxa"/>
            </w:tcMar>
          </w:tcPr>
          <w:p w14:paraId="2F0C98CF" w14:textId="77777777" w:rsidR="00387C28" w:rsidRPr="00BE78CA" w:rsidRDefault="00387C28" w:rsidP="002B097E">
            <w:pPr>
              <w:pStyle w:val="TableText"/>
              <w:spacing w:before="50" w:after="50"/>
              <w:jc w:val="right"/>
            </w:pPr>
            <w:r w:rsidRPr="00BE78CA">
              <w:rPr>
                <w:rFonts w:eastAsia="Calibri"/>
              </w:rPr>
              <w:t>91.8</w:t>
            </w:r>
          </w:p>
        </w:tc>
      </w:tr>
      <w:tr w:rsidR="0077535C" w:rsidRPr="00BE78CA" w14:paraId="3049A9AE" w14:textId="77777777" w:rsidTr="0077535C">
        <w:trPr>
          <w:cantSplit/>
        </w:trPr>
        <w:tc>
          <w:tcPr>
            <w:tcW w:w="813" w:type="dxa"/>
            <w:tcBorders>
              <w:top w:val="single" w:sz="4" w:space="0" w:color="365F91"/>
              <w:bottom w:val="single" w:sz="4" w:space="0" w:color="365F91"/>
            </w:tcBorders>
            <w:shd w:val="clear" w:color="auto" w:fill="FFFFFF"/>
            <w:tcMar>
              <w:top w:w="0" w:type="dxa"/>
              <w:left w:w="57" w:type="dxa"/>
              <w:bottom w:w="0" w:type="dxa"/>
              <w:right w:w="57" w:type="dxa"/>
            </w:tcMar>
          </w:tcPr>
          <w:p w14:paraId="1DC15F85" w14:textId="77777777" w:rsidR="00387C28" w:rsidRPr="00BE78CA" w:rsidRDefault="00387C28" w:rsidP="004C0828">
            <w:pPr>
              <w:pStyle w:val="TableText"/>
              <w:spacing w:before="50" w:after="50"/>
            </w:pPr>
            <w:r w:rsidRPr="00BE78CA">
              <w:rPr>
                <w:rFonts w:eastAsia="Calibri"/>
              </w:rPr>
              <w:t>3.A.4</w:t>
            </w:r>
          </w:p>
        </w:tc>
        <w:tc>
          <w:tcPr>
            <w:tcW w:w="3217" w:type="dxa"/>
            <w:tcBorders>
              <w:top w:val="single" w:sz="4" w:space="0" w:color="365F91"/>
              <w:bottom w:val="single" w:sz="4" w:space="0" w:color="365F91"/>
            </w:tcBorders>
            <w:shd w:val="clear" w:color="auto" w:fill="FFFFFF"/>
            <w:tcMar>
              <w:top w:w="0" w:type="dxa"/>
              <w:left w:w="57" w:type="dxa"/>
              <w:bottom w:w="0" w:type="dxa"/>
              <w:right w:w="57" w:type="dxa"/>
            </w:tcMar>
          </w:tcPr>
          <w:p w14:paraId="1E7A3906" w14:textId="77777777" w:rsidR="00387C28" w:rsidRPr="00BE78CA" w:rsidRDefault="00387C28" w:rsidP="004C0828">
            <w:pPr>
              <w:pStyle w:val="TableText"/>
              <w:spacing w:before="50" w:after="50"/>
            </w:pPr>
            <w:r w:rsidRPr="00BE78CA">
              <w:rPr>
                <w:rFonts w:eastAsia="Calibri"/>
              </w:rPr>
              <w:t>Other livestock – Deer</w:t>
            </w:r>
          </w:p>
        </w:tc>
        <w:tc>
          <w:tcPr>
            <w:tcW w:w="546" w:type="dxa"/>
            <w:tcBorders>
              <w:top w:val="single" w:sz="4" w:space="0" w:color="365F91"/>
              <w:bottom w:val="single" w:sz="4" w:space="0" w:color="365F91"/>
            </w:tcBorders>
            <w:shd w:val="clear" w:color="auto" w:fill="FFFFFF"/>
            <w:tcMar>
              <w:top w:w="0" w:type="dxa"/>
              <w:left w:w="57" w:type="dxa"/>
              <w:bottom w:w="0" w:type="dxa"/>
              <w:right w:w="57" w:type="dxa"/>
            </w:tcMar>
          </w:tcPr>
          <w:p w14:paraId="51EA6E80" w14:textId="77777777" w:rsidR="00387C28" w:rsidRPr="00BE78CA" w:rsidRDefault="00387C28" w:rsidP="006132E1">
            <w:pPr>
              <w:pStyle w:val="TableText"/>
              <w:spacing w:before="50" w:after="50"/>
              <w:jc w:val="center"/>
            </w:pPr>
            <w:r w:rsidRPr="00BE78CA">
              <w:rPr>
                <w:rFonts w:eastAsia="Calibri"/>
              </w:rPr>
              <w:t>CH</w:t>
            </w:r>
            <w:r w:rsidRPr="00BE78CA">
              <w:rPr>
                <w:rFonts w:eastAsia="Calibri"/>
                <w:vertAlign w:val="subscript"/>
              </w:rPr>
              <w:t>4</w:t>
            </w:r>
          </w:p>
        </w:tc>
        <w:tc>
          <w:tcPr>
            <w:tcW w:w="1404" w:type="dxa"/>
            <w:tcBorders>
              <w:top w:val="single" w:sz="4" w:space="0" w:color="365F91"/>
              <w:bottom w:val="single" w:sz="4" w:space="0" w:color="365F91"/>
            </w:tcBorders>
            <w:shd w:val="clear" w:color="auto" w:fill="FFFFFF"/>
            <w:tcMar>
              <w:top w:w="0" w:type="dxa"/>
              <w:left w:w="57" w:type="dxa"/>
              <w:bottom w:w="0" w:type="dxa"/>
              <w:right w:w="57" w:type="dxa"/>
            </w:tcMar>
          </w:tcPr>
          <w:p w14:paraId="299DFDBE" w14:textId="77777777" w:rsidR="00387C28" w:rsidRPr="00BE78CA" w:rsidRDefault="00387C28" w:rsidP="002B097E">
            <w:pPr>
              <w:pStyle w:val="TableText"/>
              <w:spacing w:before="50" w:after="50"/>
              <w:jc w:val="right"/>
            </w:pPr>
            <w:r w:rsidRPr="00BE78CA">
              <w:rPr>
                <w:rFonts w:eastAsia="Calibri"/>
              </w:rPr>
              <w:t>492.9</w:t>
            </w:r>
          </w:p>
        </w:tc>
        <w:tc>
          <w:tcPr>
            <w:tcW w:w="1286" w:type="dxa"/>
            <w:tcBorders>
              <w:top w:val="single" w:sz="4" w:space="0" w:color="365F91"/>
              <w:bottom w:val="single" w:sz="4" w:space="0" w:color="365F91"/>
            </w:tcBorders>
            <w:shd w:val="clear" w:color="auto" w:fill="FFFFFF"/>
            <w:tcMar>
              <w:top w:w="0" w:type="dxa"/>
              <w:left w:w="57" w:type="dxa"/>
              <w:bottom w:w="0" w:type="dxa"/>
              <w:right w:w="57" w:type="dxa"/>
            </w:tcMar>
          </w:tcPr>
          <w:p w14:paraId="2D1C2250" w14:textId="77777777" w:rsidR="00387C28" w:rsidRPr="00BE78CA" w:rsidRDefault="00387C28" w:rsidP="002B097E">
            <w:pPr>
              <w:pStyle w:val="TableText"/>
              <w:spacing w:before="50" w:after="50"/>
              <w:jc w:val="right"/>
            </w:pPr>
            <w:r w:rsidRPr="00BE78CA">
              <w:rPr>
                <w:rFonts w:eastAsia="Calibri"/>
              </w:rPr>
              <w:t>0.4</w:t>
            </w:r>
          </w:p>
        </w:tc>
        <w:tc>
          <w:tcPr>
            <w:tcW w:w="1228" w:type="dxa"/>
            <w:tcBorders>
              <w:top w:val="single" w:sz="4" w:space="0" w:color="365F91"/>
              <w:bottom w:val="single" w:sz="4" w:space="0" w:color="365F91"/>
              <w:right w:val="single" w:sz="4" w:space="0" w:color="FFFFFF"/>
            </w:tcBorders>
            <w:shd w:val="clear" w:color="auto" w:fill="FFFFFF"/>
            <w:tcMar>
              <w:top w:w="0" w:type="dxa"/>
              <w:left w:w="57" w:type="dxa"/>
              <w:bottom w:w="0" w:type="dxa"/>
              <w:right w:w="57" w:type="dxa"/>
            </w:tcMar>
          </w:tcPr>
          <w:p w14:paraId="2B5D2B0F" w14:textId="77777777" w:rsidR="00387C28" w:rsidRPr="00BE78CA" w:rsidRDefault="00387C28" w:rsidP="002B097E">
            <w:pPr>
              <w:pStyle w:val="TableText"/>
              <w:spacing w:before="50" w:after="50"/>
              <w:jc w:val="right"/>
            </w:pPr>
            <w:r w:rsidRPr="00BE78CA">
              <w:rPr>
                <w:rFonts w:eastAsia="Calibri"/>
              </w:rPr>
              <w:t>92.2</w:t>
            </w:r>
          </w:p>
        </w:tc>
      </w:tr>
      <w:tr w:rsidR="0077535C" w:rsidRPr="00BE78CA" w14:paraId="61EA6978" w14:textId="77777777" w:rsidTr="0077535C">
        <w:trPr>
          <w:cantSplit/>
        </w:trPr>
        <w:tc>
          <w:tcPr>
            <w:tcW w:w="813" w:type="dxa"/>
            <w:tcBorders>
              <w:top w:val="single" w:sz="4" w:space="0" w:color="365F91"/>
              <w:bottom w:val="single" w:sz="4" w:space="0" w:color="365F91"/>
            </w:tcBorders>
            <w:shd w:val="clear" w:color="auto" w:fill="FFFFFF"/>
            <w:tcMar>
              <w:top w:w="0" w:type="dxa"/>
              <w:left w:w="57" w:type="dxa"/>
              <w:bottom w:w="0" w:type="dxa"/>
              <w:right w:w="57" w:type="dxa"/>
            </w:tcMar>
          </w:tcPr>
          <w:p w14:paraId="14FF39C7" w14:textId="77777777" w:rsidR="00387C28" w:rsidRPr="00BE78CA" w:rsidRDefault="00387C28" w:rsidP="004C0828">
            <w:pPr>
              <w:pStyle w:val="TableText"/>
              <w:spacing w:before="50" w:after="50"/>
            </w:pPr>
            <w:r w:rsidRPr="00BE78CA">
              <w:rPr>
                <w:rFonts w:eastAsia="Calibri"/>
              </w:rPr>
              <w:t>1.A.4.a</w:t>
            </w:r>
          </w:p>
        </w:tc>
        <w:tc>
          <w:tcPr>
            <w:tcW w:w="3217" w:type="dxa"/>
            <w:tcBorders>
              <w:top w:val="single" w:sz="4" w:space="0" w:color="365F91"/>
              <w:bottom w:val="single" w:sz="4" w:space="0" w:color="365F91"/>
            </w:tcBorders>
            <w:shd w:val="clear" w:color="auto" w:fill="FFFFFF"/>
            <w:tcMar>
              <w:top w:w="0" w:type="dxa"/>
              <w:left w:w="57" w:type="dxa"/>
              <w:bottom w:w="0" w:type="dxa"/>
              <w:right w:w="57" w:type="dxa"/>
            </w:tcMar>
          </w:tcPr>
          <w:p w14:paraId="1E58384C" w14:textId="77777777" w:rsidR="00387C28" w:rsidRPr="00BE78CA" w:rsidRDefault="00387C28" w:rsidP="004C0828">
            <w:pPr>
              <w:pStyle w:val="TableText"/>
              <w:spacing w:before="50" w:after="50"/>
            </w:pPr>
            <w:r w:rsidRPr="00BE78CA">
              <w:rPr>
                <w:rFonts w:eastAsia="Calibri"/>
              </w:rPr>
              <w:t>Other Sectors – Commercial/Institutional</w:t>
            </w:r>
          </w:p>
        </w:tc>
        <w:tc>
          <w:tcPr>
            <w:tcW w:w="546" w:type="dxa"/>
            <w:tcBorders>
              <w:top w:val="single" w:sz="4" w:space="0" w:color="365F91"/>
              <w:bottom w:val="single" w:sz="4" w:space="0" w:color="365F91"/>
            </w:tcBorders>
            <w:shd w:val="clear" w:color="auto" w:fill="FFFFFF"/>
            <w:tcMar>
              <w:top w:w="0" w:type="dxa"/>
              <w:left w:w="57" w:type="dxa"/>
              <w:bottom w:w="0" w:type="dxa"/>
              <w:right w:w="57" w:type="dxa"/>
            </w:tcMar>
          </w:tcPr>
          <w:p w14:paraId="39748D82" w14:textId="77777777" w:rsidR="00387C28" w:rsidRPr="00BE78CA" w:rsidRDefault="00387C28" w:rsidP="006132E1">
            <w:pPr>
              <w:pStyle w:val="TableText"/>
              <w:spacing w:before="50" w:after="50"/>
              <w:jc w:val="center"/>
            </w:pPr>
            <w:r w:rsidRPr="00BE78CA">
              <w:rPr>
                <w:rFonts w:eastAsia="Calibri"/>
              </w:rPr>
              <w:t>CO</w:t>
            </w:r>
            <w:r w:rsidRPr="00BE78CA">
              <w:rPr>
                <w:rFonts w:eastAsia="Calibri"/>
                <w:vertAlign w:val="subscript"/>
              </w:rPr>
              <w:t>2</w:t>
            </w:r>
          </w:p>
        </w:tc>
        <w:tc>
          <w:tcPr>
            <w:tcW w:w="1404" w:type="dxa"/>
            <w:tcBorders>
              <w:top w:val="single" w:sz="4" w:space="0" w:color="365F91"/>
              <w:bottom w:val="single" w:sz="4" w:space="0" w:color="365F91"/>
            </w:tcBorders>
            <w:shd w:val="clear" w:color="auto" w:fill="FFFFFF"/>
            <w:tcMar>
              <w:top w:w="0" w:type="dxa"/>
              <w:left w:w="57" w:type="dxa"/>
              <w:bottom w:w="0" w:type="dxa"/>
              <w:right w:w="57" w:type="dxa"/>
            </w:tcMar>
          </w:tcPr>
          <w:p w14:paraId="47657C28" w14:textId="77777777" w:rsidR="00387C28" w:rsidRPr="00BE78CA" w:rsidRDefault="00387C28" w:rsidP="002B097E">
            <w:pPr>
              <w:pStyle w:val="TableText"/>
              <w:spacing w:before="50" w:after="50"/>
              <w:jc w:val="right"/>
            </w:pPr>
            <w:r w:rsidRPr="00BE78CA">
              <w:rPr>
                <w:rFonts w:eastAsia="Calibri"/>
              </w:rPr>
              <w:t>461.7</w:t>
            </w:r>
          </w:p>
        </w:tc>
        <w:tc>
          <w:tcPr>
            <w:tcW w:w="1286" w:type="dxa"/>
            <w:tcBorders>
              <w:top w:val="single" w:sz="4" w:space="0" w:color="365F91"/>
              <w:bottom w:val="single" w:sz="4" w:space="0" w:color="365F91"/>
            </w:tcBorders>
            <w:shd w:val="clear" w:color="auto" w:fill="FFFFFF"/>
            <w:tcMar>
              <w:top w:w="0" w:type="dxa"/>
              <w:left w:w="57" w:type="dxa"/>
              <w:bottom w:w="0" w:type="dxa"/>
              <w:right w:w="57" w:type="dxa"/>
            </w:tcMar>
          </w:tcPr>
          <w:p w14:paraId="1B58F2C2" w14:textId="77777777" w:rsidR="00387C28" w:rsidRPr="00BE78CA" w:rsidRDefault="00387C28" w:rsidP="002B097E">
            <w:pPr>
              <w:pStyle w:val="TableText"/>
              <w:spacing w:before="50" w:after="50"/>
              <w:jc w:val="right"/>
            </w:pPr>
            <w:r w:rsidRPr="00BE78CA">
              <w:rPr>
                <w:rFonts w:eastAsia="Calibri"/>
              </w:rPr>
              <w:t>0.4</w:t>
            </w:r>
          </w:p>
        </w:tc>
        <w:tc>
          <w:tcPr>
            <w:tcW w:w="1228" w:type="dxa"/>
            <w:tcBorders>
              <w:top w:val="single" w:sz="4" w:space="0" w:color="365F91"/>
              <w:bottom w:val="single" w:sz="4" w:space="0" w:color="365F91"/>
              <w:right w:val="single" w:sz="4" w:space="0" w:color="FFFFFF"/>
            </w:tcBorders>
            <w:shd w:val="clear" w:color="auto" w:fill="FFFFFF"/>
            <w:tcMar>
              <w:top w:w="0" w:type="dxa"/>
              <w:left w:w="57" w:type="dxa"/>
              <w:bottom w:w="0" w:type="dxa"/>
              <w:right w:w="57" w:type="dxa"/>
            </w:tcMar>
          </w:tcPr>
          <w:p w14:paraId="3E65C95A" w14:textId="77777777" w:rsidR="00387C28" w:rsidRPr="00BE78CA" w:rsidRDefault="00387C28" w:rsidP="002B097E">
            <w:pPr>
              <w:pStyle w:val="TableText"/>
              <w:spacing w:before="50" w:after="50"/>
              <w:jc w:val="right"/>
            </w:pPr>
            <w:r w:rsidRPr="00BE78CA">
              <w:rPr>
                <w:rFonts w:eastAsia="Calibri"/>
              </w:rPr>
              <w:t>92.6</w:t>
            </w:r>
          </w:p>
        </w:tc>
      </w:tr>
      <w:tr w:rsidR="0077535C" w:rsidRPr="00BE78CA" w14:paraId="79ED71B5" w14:textId="77777777" w:rsidTr="0077535C">
        <w:trPr>
          <w:cantSplit/>
        </w:trPr>
        <w:tc>
          <w:tcPr>
            <w:tcW w:w="813" w:type="dxa"/>
            <w:tcBorders>
              <w:top w:val="single" w:sz="4" w:space="0" w:color="365F91"/>
              <w:bottom w:val="single" w:sz="4" w:space="0" w:color="365F91"/>
            </w:tcBorders>
            <w:shd w:val="clear" w:color="auto" w:fill="FFFFFF"/>
            <w:tcMar>
              <w:top w:w="0" w:type="dxa"/>
              <w:left w:w="57" w:type="dxa"/>
              <w:bottom w:w="0" w:type="dxa"/>
              <w:right w:w="57" w:type="dxa"/>
            </w:tcMar>
          </w:tcPr>
          <w:p w14:paraId="78DD1062" w14:textId="77777777" w:rsidR="00387C28" w:rsidRPr="00BE78CA" w:rsidRDefault="00387C28" w:rsidP="004C0828">
            <w:pPr>
              <w:pStyle w:val="TableText"/>
              <w:spacing w:before="50" w:after="50"/>
            </w:pPr>
            <w:r w:rsidRPr="00BE78CA">
              <w:rPr>
                <w:rFonts w:eastAsia="Calibri"/>
              </w:rPr>
              <w:t>2.A.1</w:t>
            </w:r>
          </w:p>
        </w:tc>
        <w:tc>
          <w:tcPr>
            <w:tcW w:w="3217" w:type="dxa"/>
            <w:tcBorders>
              <w:top w:val="single" w:sz="4" w:space="0" w:color="365F91"/>
              <w:bottom w:val="single" w:sz="4" w:space="0" w:color="365F91"/>
            </w:tcBorders>
            <w:shd w:val="clear" w:color="auto" w:fill="FFFFFF"/>
            <w:tcMar>
              <w:top w:w="0" w:type="dxa"/>
              <w:left w:w="57" w:type="dxa"/>
              <w:bottom w:w="0" w:type="dxa"/>
              <w:right w:w="57" w:type="dxa"/>
            </w:tcMar>
          </w:tcPr>
          <w:p w14:paraId="53CA801A" w14:textId="77777777" w:rsidR="00387C28" w:rsidRPr="00BE78CA" w:rsidRDefault="00387C28" w:rsidP="004C0828">
            <w:pPr>
              <w:pStyle w:val="TableText"/>
              <w:spacing w:before="50" w:after="50"/>
            </w:pPr>
            <w:r w:rsidRPr="00BE78CA">
              <w:rPr>
                <w:rFonts w:eastAsia="Calibri"/>
              </w:rPr>
              <w:t>Mineral Industry – Cement Production</w:t>
            </w:r>
          </w:p>
        </w:tc>
        <w:tc>
          <w:tcPr>
            <w:tcW w:w="546" w:type="dxa"/>
            <w:tcBorders>
              <w:top w:val="single" w:sz="4" w:space="0" w:color="365F91"/>
              <w:bottom w:val="single" w:sz="4" w:space="0" w:color="365F91"/>
            </w:tcBorders>
            <w:shd w:val="clear" w:color="auto" w:fill="FFFFFF"/>
            <w:tcMar>
              <w:top w:w="0" w:type="dxa"/>
              <w:left w:w="57" w:type="dxa"/>
              <w:bottom w:w="0" w:type="dxa"/>
              <w:right w:w="57" w:type="dxa"/>
            </w:tcMar>
          </w:tcPr>
          <w:p w14:paraId="1AA15311" w14:textId="77777777" w:rsidR="00387C28" w:rsidRPr="00BE78CA" w:rsidRDefault="00387C28" w:rsidP="006132E1">
            <w:pPr>
              <w:pStyle w:val="TableText"/>
              <w:spacing w:before="50" w:after="50"/>
              <w:jc w:val="center"/>
            </w:pPr>
            <w:r w:rsidRPr="00BE78CA">
              <w:rPr>
                <w:rFonts w:eastAsia="Calibri"/>
              </w:rPr>
              <w:t>CO</w:t>
            </w:r>
            <w:r w:rsidRPr="00BE78CA">
              <w:rPr>
                <w:rFonts w:eastAsia="Calibri"/>
                <w:vertAlign w:val="subscript"/>
              </w:rPr>
              <w:t>2</w:t>
            </w:r>
          </w:p>
        </w:tc>
        <w:tc>
          <w:tcPr>
            <w:tcW w:w="1404" w:type="dxa"/>
            <w:tcBorders>
              <w:top w:val="single" w:sz="4" w:space="0" w:color="365F91"/>
              <w:bottom w:val="single" w:sz="4" w:space="0" w:color="365F91"/>
            </w:tcBorders>
            <w:shd w:val="clear" w:color="auto" w:fill="FFFFFF"/>
            <w:tcMar>
              <w:top w:w="0" w:type="dxa"/>
              <w:left w:w="57" w:type="dxa"/>
              <w:bottom w:w="0" w:type="dxa"/>
              <w:right w:w="57" w:type="dxa"/>
            </w:tcMar>
          </w:tcPr>
          <w:p w14:paraId="39FC830D" w14:textId="77777777" w:rsidR="00387C28" w:rsidRPr="00BE78CA" w:rsidRDefault="00387C28" w:rsidP="002B097E">
            <w:pPr>
              <w:pStyle w:val="TableText"/>
              <w:spacing w:before="50" w:after="50"/>
              <w:jc w:val="right"/>
            </w:pPr>
            <w:r w:rsidRPr="00BE78CA">
              <w:rPr>
                <w:rFonts w:eastAsia="Calibri"/>
              </w:rPr>
              <w:t>410.9</w:t>
            </w:r>
          </w:p>
        </w:tc>
        <w:tc>
          <w:tcPr>
            <w:tcW w:w="1286" w:type="dxa"/>
            <w:tcBorders>
              <w:top w:val="single" w:sz="4" w:space="0" w:color="365F91"/>
              <w:bottom w:val="single" w:sz="4" w:space="0" w:color="365F91"/>
            </w:tcBorders>
            <w:shd w:val="clear" w:color="auto" w:fill="FFFFFF"/>
            <w:tcMar>
              <w:top w:w="0" w:type="dxa"/>
              <w:left w:w="57" w:type="dxa"/>
              <w:bottom w:w="0" w:type="dxa"/>
              <w:right w:w="57" w:type="dxa"/>
            </w:tcMar>
          </w:tcPr>
          <w:p w14:paraId="273C5554" w14:textId="77777777" w:rsidR="00387C28" w:rsidRPr="00BE78CA" w:rsidRDefault="00387C28" w:rsidP="002B097E">
            <w:pPr>
              <w:pStyle w:val="TableText"/>
              <w:spacing w:before="50" w:after="50"/>
              <w:jc w:val="right"/>
            </w:pPr>
            <w:r w:rsidRPr="00BE78CA">
              <w:rPr>
                <w:rFonts w:eastAsia="Calibri"/>
              </w:rPr>
              <w:t>0.3</w:t>
            </w:r>
          </w:p>
        </w:tc>
        <w:tc>
          <w:tcPr>
            <w:tcW w:w="1228" w:type="dxa"/>
            <w:tcBorders>
              <w:top w:val="single" w:sz="4" w:space="0" w:color="365F91"/>
              <w:bottom w:val="single" w:sz="4" w:space="0" w:color="365F91"/>
              <w:right w:val="single" w:sz="4" w:space="0" w:color="FFFFFF"/>
            </w:tcBorders>
            <w:shd w:val="clear" w:color="auto" w:fill="FFFFFF"/>
            <w:tcMar>
              <w:top w:w="0" w:type="dxa"/>
              <w:left w:w="57" w:type="dxa"/>
              <w:bottom w:w="0" w:type="dxa"/>
              <w:right w:w="57" w:type="dxa"/>
            </w:tcMar>
          </w:tcPr>
          <w:p w14:paraId="50A2358E" w14:textId="77777777" w:rsidR="00387C28" w:rsidRPr="00BE78CA" w:rsidRDefault="00387C28" w:rsidP="002B097E">
            <w:pPr>
              <w:pStyle w:val="TableText"/>
              <w:spacing w:before="50" w:after="50"/>
              <w:jc w:val="right"/>
            </w:pPr>
            <w:r w:rsidRPr="00BE78CA">
              <w:rPr>
                <w:rFonts w:eastAsia="Calibri"/>
              </w:rPr>
              <w:t>93.0</w:t>
            </w:r>
          </w:p>
        </w:tc>
      </w:tr>
      <w:tr w:rsidR="0077535C" w:rsidRPr="00BE78CA" w14:paraId="2893357A" w14:textId="77777777" w:rsidTr="0077535C">
        <w:trPr>
          <w:cantSplit/>
        </w:trPr>
        <w:tc>
          <w:tcPr>
            <w:tcW w:w="813" w:type="dxa"/>
            <w:tcBorders>
              <w:top w:val="single" w:sz="4" w:space="0" w:color="365F91"/>
              <w:bottom w:val="single" w:sz="4" w:space="0" w:color="365F91"/>
            </w:tcBorders>
            <w:shd w:val="clear" w:color="auto" w:fill="FFFFFF"/>
            <w:tcMar>
              <w:top w:w="0" w:type="dxa"/>
              <w:left w:w="57" w:type="dxa"/>
              <w:bottom w:w="0" w:type="dxa"/>
              <w:right w:w="57" w:type="dxa"/>
            </w:tcMar>
          </w:tcPr>
          <w:p w14:paraId="253026E4" w14:textId="77777777" w:rsidR="00387C28" w:rsidRPr="00BE78CA" w:rsidRDefault="00387C28" w:rsidP="004C0828">
            <w:pPr>
              <w:pStyle w:val="TableText"/>
              <w:spacing w:before="50" w:after="50"/>
            </w:pPr>
            <w:r w:rsidRPr="00BE78CA">
              <w:rPr>
                <w:rFonts w:eastAsia="Calibri"/>
              </w:rPr>
              <w:t>1.A.2.f</w:t>
            </w:r>
          </w:p>
        </w:tc>
        <w:tc>
          <w:tcPr>
            <w:tcW w:w="3217" w:type="dxa"/>
            <w:tcBorders>
              <w:top w:val="single" w:sz="4" w:space="0" w:color="365F91"/>
              <w:bottom w:val="single" w:sz="4" w:space="0" w:color="365F91"/>
            </w:tcBorders>
            <w:shd w:val="clear" w:color="auto" w:fill="FFFFFF"/>
            <w:tcMar>
              <w:top w:w="0" w:type="dxa"/>
              <w:left w:w="57" w:type="dxa"/>
              <w:bottom w:w="0" w:type="dxa"/>
              <w:right w:w="57" w:type="dxa"/>
            </w:tcMar>
          </w:tcPr>
          <w:p w14:paraId="4350AF4D" w14:textId="77777777" w:rsidR="00387C28" w:rsidRPr="00BE78CA" w:rsidRDefault="00387C28" w:rsidP="004C0828">
            <w:pPr>
              <w:pStyle w:val="TableText"/>
              <w:spacing w:before="50" w:after="50"/>
            </w:pPr>
            <w:r w:rsidRPr="00BE78CA">
              <w:rPr>
                <w:rFonts w:eastAsia="Calibri"/>
              </w:rPr>
              <w:t>Non-metallic Minerals – Solid Fuels</w:t>
            </w:r>
          </w:p>
        </w:tc>
        <w:tc>
          <w:tcPr>
            <w:tcW w:w="546" w:type="dxa"/>
            <w:tcBorders>
              <w:top w:val="single" w:sz="4" w:space="0" w:color="365F91"/>
              <w:bottom w:val="single" w:sz="4" w:space="0" w:color="365F91"/>
            </w:tcBorders>
            <w:shd w:val="clear" w:color="auto" w:fill="FFFFFF"/>
            <w:tcMar>
              <w:top w:w="0" w:type="dxa"/>
              <w:left w:w="57" w:type="dxa"/>
              <w:bottom w:w="0" w:type="dxa"/>
              <w:right w:w="57" w:type="dxa"/>
            </w:tcMar>
          </w:tcPr>
          <w:p w14:paraId="0961F8D7" w14:textId="77777777" w:rsidR="00387C28" w:rsidRPr="00BE78CA" w:rsidRDefault="00387C28" w:rsidP="006132E1">
            <w:pPr>
              <w:pStyle w:val="TableText"/>
              <w:spacing w:before="50" w:after="50"/>
              <w:jc w:val="center"/>
            </w:pPr>
            <w:r w:rsidRPr="00BE78CA">
              <w:rPr>
                <w:rFonts w:eastAsia="Calibri"/>
              </w:rPr>
              <w:t>CO</w:t>
            </w:r>
            <w:r w:rsidRPr="00BE78CA">
              <w:rPr>
                <w:rFonts w:eastAsia="Calibri"/>
                <w:vertAlign w:val="subscript"/>
              </w:rPr>
              <w:t>2</w:t>
            </w:r>
          </w:p>
        </w:tc>
        <w:tc>
          <w:tcPr>
            <w:tcW w:w="1404" w:type="dxa"/>
            <w:tcBorders>
              <w:top w:val="single" w:sz="4" w:space="0" w:color="365F91"/>
              <w:bottom w:val="single" w:sz="4" w:space="0" w:color="365F91"/>
            </w:tcBorders>
            <w:shd w:val="clear" w:color="auto" w:fill="FFFFFF"/>
            <w:tcMar>
              <w:top w:w="0" w:type="dxa"/>
              <w:left w:w="57" w:type="dxa"/>
              <w:bottom w:w="0" w:type="dxa"/>
              <w:right w:w="57" w:type="dxa"/>
            </w:tcMar>
          </w:tcPr>
          <w:p w14:paraId="0E93F7BF" w14:textId="77777777" w:rsidR="00387C28" w:rsidRPr="00BE78CA" w:rsidRDefault="00387C28" w:rsidP="002B097E">
            <w:pPr>
              <w:pStyle w:val="TableText"/>
              <w:spacing w:before="50" w:after="50"/>
              <w:jc w:val="right"/>
            </w:pPr>
            <w:r w:rsidRPr="00BE78CA">
              <w:rPr>
                <w:rFonts w:eastAsia="Calibri"/>
              </w:rPr>
              <w:t>383.7</w:t>
            </w:r>
          </w:p>
        </w:tc>
        <w:tc>
          <w:tcPr>
            <w:tcW w:w="1286" w:type="dxa"/>
            <w:tcBorders>
              <w:top w:val="single" w:sz="4" w:space="0" w:color="365F91"/>
              <w:bottom w:val="single" w:sz="4" w:space="0" w:color="365F91"/>
            </w:tcBorders>
            <w:shd w:val="clear" w:color="auto" w:fill="FFFFFF"/>
            <w:tcMar>
              <w:top w:w="0" w:type="dxa"/>
              <w:left w:w="57" w:type="dxa"/>
              <w:bottom w:w="0" w:type="dxa"/>
              <w:right w:w="57" w:type="dxa"/>
            </w:tcMar>
          </w:tcPr>
          <w:p w14:paraId="5D94113C" w14:textId="77777777" w:rsidR="00387C28" w:rsidRPr="00BE78CA" w:rsidRDefault="00387C28" w:rsidP="002B097E">
            <w:pPr>
              <w:pStyle w:val="TableText"/>
              <w:spacing w:before="50" w:after="50"/>
              <w:jc w:val="right"/>
            </w:pPr>
            <w:r w:rsidRPr="00BE78CA">
              <w:rPr>
                <w:rFonts w:eastAsia="Calibri"/>
              </w:rPr>
              <w:t>0.3</w:t>
            </w:r>
          </w:p>
        </w:tc>
        <w:tc>
          <w:tcPr>
            <w:tcW w:w="1228" w:type="dxa"/>
            <w:tcBorders>
              <w:top w:val="single" w:sz="4" w:space="0" w:color="365F91"/>
              <w:bottom w:val="single" w:sz="4" w:space="0" w:color="365F91"/>
              <w:right w:val="single" w:sz="4" w:space="0" w:color="FFFFFF"/>
            </w:tcBorders>
            <w:shd w:val="clear" w:color="auto" w:fill="FFFFFF"/>
            <w:tcMar>
              <w:top w:w="0" w:type="dxa"/>
              <w:left w:w="57" w:type="dxa"/>
              <w:bottom w:w="0" w:type="dxa"/>
              <w:right w:w="57" w:type="dxa"/>
            </w:tcMar>
          </w:tcPr>
          <w:p w14:paraId="14660324" w14:textId="77777777" w:rsidR="00387C28" w:rsidRPr="00BE78CA" w:rsidRDefault="00387C28" w:rsidP="002B097E">
            <w:pPr>
              <w:pStyle w:val="TableText"/>
              <w:spacing w:before="50" w:after="50"/>
              <w:jc w:val="right"/>
            </w:pPr>
            <w:r w:rsidRPr="00BE78CA">
              <w:rPr>
                <w:rFonts w:eastAsia="Calibri"/>
              </w:rPr>
              <w:t>93.3</w:t>
            </w:r>
          </w:p>
        </w:tc>
      </w:tr>
      <w:tr w:rsidR="0077535C" w:rsidRPr="00BE78CA" w14:paraId="251316C3" w14:textId="77777777" w:rsidTr="0077535C">
        <w:trPr>
          <w:cantSplit/>
        </w:trPr>
        <w:tc>
          <w:tcPr>
            <w:tcW w:w="813" w:type="dxa"/>
            <w:tcBorders>
              <w:top w:val="single" w:sz="4" w:space="0" w:color="365F91"/>
              <w:bottom w:val="single" w:sz="4" w:space="0" w:color="365F91"/>
            </w:tcBorders>
            <w:shd w:val="clear" w:color="auto" w:fill="FFFFFF"/>
            <w:tcMar>
              <w:top w:w="0" w:type="dxa"/>
              <w:left w:w="57" w:type="dxa"/>
              <w:bottom w:w="0" w:type="dxa"/>
              <w:right w:w="57" w:type="dxa"/>
            </w:tcMar>
          </w:tcPr>
          <w:p w14:paraId="3277420B" w14:textId="77777777" w:rsidR="00387C28" w:rsidRPr="00BE78CA" w:rsidRDefault="00387C28" w:rsidP="004C0828">
            <w:pPr>
              <w:pStyle w:val="TableText"/>
              <w:spacing w:before="50" w:after="50"/>
            </w:pPr>
            <w:r w:rsidRPr="00BE78CA">
              <w:rPr>
                <w:rFonts w:eastAsia="Calibri"/>
              </w:rPr>
              <w:t>1.A.4.b</w:t>
            </w:r>
          </w:p>
        </w:tc>
        <w:tc>
          <w:tcPr>
            <w:tcW w:w="3217" w:type="dxa"/>
            <w:tcBorders>
              <w:top w:val="single" w:sz="4" w:space="0" w:color="365F91"/>
              <w:bottom w:val="single" w:sz="4" w:space="0" w:color="365F91"/>
            </w:tcBorders>
            <w:shd w:val="clear" w:color="auto" w:fill="FFFFFF"/>
            <w:tcMar>
              <w:top w:w="0" w:type="dxa"/>
              <w:left w:w="57" w:type="dxa"/>
              <w:bottom w:w="0" w:type="dxa"/>
              <w:right w:w="57" w:type="dxa"/>
            </w:tcMar>
          </w:tcPr>
          <w:p w14:paraId="242D66BB" w14:textId="77777777" w:rsidR="00387C28" w:rsidRPr="00BE78CA" w:rsidRDefault="00387C28" w:rsidP="004C0828">
            <w:pPr>
              <w:pStyle w:val="TableText"/>
              <w:spacing w:before="50" w:after="50"/>
            </w:pPr>
            <w:r w:rsidRPr="00BE78CA">
              <w:rPr>
                <w:rFonts w:eastAsia="Calibri"/>
              </w:rPr>
              <w:t>Other Sectors – Residential</w:t>
            </w:r>
          </w:p>
        </w:tc>
        <w:tc>
          <w:tcPr>
            <w:tcW w:w="546" w:type="dxa"/>
            <w:tcBorders>
              <w:top w:val="single" w:sz="4" w:space="0" w:color="365F91"/>
              <w:bottom w:val="single" w:sz="4" w:space="0" w:color="365F91"/>
            </w:tcBorders>
            <w:shd w:val="clear" w:color="auto" w:fill="FFFFFF"/>
            <w:tcMar>
              <w:top w:w="0" w:type="dxa"/>
              <w:left w:w="57" w:type="dxa"/>
              <w:bottom w:w="0" w:type="dxa"/>
              <w:right w:w="57" w:type="dxa"/>
            </w:tcMar>
          </w:tcPr>
          <w:p w14:paraId="7CCAD964" w14:textId="77777777" w:rsidR="00387C28" w:rsidRPr="00BE78CA" w:rsidRDefault="00387C28" w:rsidP="006132E1">
            <w:pPr>
              <w:pStyle w:val="TableText"/>
              <w:spacing w:before="50" w:after="50"/>
              <w:jc w:val="center"/>
            </w:pPr>
            <w:r w:rsidRPr="00BE78CA">
              <w:rPr>
                <w:rFonts w:eastAsia="Calibri"/>
              </w:rPr>
              <w:t>CO</w:t>
            </w:r>
            <w:r w:rsidRPr="00BE78CA">
              <w:rPr>
                <w:rFonts w:eastAsia="Calibri"/>
                <w:vertAlign w:val="subscript"/>
              </w:rPr>
              <w:t>2</w:t>
            </w:r>
          </w:p>
        </w:tc>
        <w:tc>
          <w:tcPr>
            <w:tcW w:w="1404" w:type="dxa"/>
            <w:tcBorders>
              <w:top w:val="single" w:sz="4" w:space="0" w:color="365F91"/>
              <w:bottom w:val="single" w:sz="4" w:space="0" w:color="365F91"/>
            </w:tcBorders>
            <w:shd w:val="clear" w:color="auto" w:fill="FFFFFF"/>
            <w:tcMar>
              <w:top w:w="0" w:type="dxa"/>
              <w:left w:w="57" w:type="dxa"/>
              <w:bottom w:w="0" w:type="dxa"/>
              <w:right w:w="57" w:type="dxa"/>
            </w:tcMar>
          </w:tcPr>
          <w:p w14:paraId="0D02B9C8" w14:textId="77777777" w:rsidR="00387C28" w:rsidRPr="00BE78CA" w:rsidRDefault="00387C28" w:rsidP="002B097E">
            <w:pPr>
              <w:pStyle w:val="TableText"/>
              <w:spacing w:before="50" w:after="50"/>
              <w:jc w:val="right"/>
            </w:pPr>
            <w:r w:rsidRPr="00BE78CA">
              <w:rPr>
                <w:rFonts w:eastAsia="Calibri"/>
              </w:rPr>
              <w:t>369.6</w:t>
            </w:r>
          </w:p>
        </w:tc>
        <w:tc>
          <w:tcPr>
            <w:tcW w:w="1286" w:type="dxa"/>
            <w:tcBorders>
              <w:top w:val="single" w:sz="4" w:space="0" w:color="365F91"/>
              <w:bottom w:val="single" w:sz="4" w:space="0" w:color="365F91"/>
            </w:tcBorders>
            <w:shd w:val="clear" w:color="auto" w:fill="FFFFFF"/>
            <w:tcMar>
              <w:top w:w="0" w:type="dxa"/>
              <w:left w:w="57" w:type="dxa"/>
              <w:bottom w:w="0" w:type="dxa"/>
              <w:right w:w="57" w:type="dxa"/>
            </w:tcMar>
          </w:tcPr>
          <w:p w14:paraId="3C9DE93A" w14:textId="77777777" w:rsidR="00387C28" w:rsidRPr="00BE78CA" w:rsidRDefault="00387C28" w:rsidP="002B097E">
            <w:pPr>
              <w:pStyle w:val="TableText"/>
              <w:spacing w:before="50" w:after="50"/>
              <w:jc w:val="right"/>
            </w:pPr>
            <w:r w:rsidRPr="00BE78CA">
              <w:rPr>
                <w:rFonts w:eastAsia="Calibri"/>
              </w:rPr>
              <w:t>0.3</w:t>
            </w:r>
          </w:p>
        </w:tc>
        <w:tc>
          <w:tcPr>
            <w:tcW w:w="1228" w:type="dxa"/>
            <w:tcBorders>
              <w:top w:val="single" w:sz="4" w:space="0" w:color="365F91"/>
              <w:bottom w:val="single" w:sz="4" w:space="0" w:color="365F91"/>
              <w:right w:val="single" w:sz="4" w:space="0" w:color="FFFFFF"/>
            </w:tcBorders>
            <w:shd w:val="clear" w:color="auto" w:fill="FFFFFF"/>
            <w:tcMar>
              <w:top w:w="0" w:type="dxa"/>
              <w:left w:w="57" w:type="dxa"/>
              <w:bottom w:w="0" w:type="dxa"/>
              <w:right w:w="57" w:type="dxa"/>
            </w:tcMar>
          </w:tcPr>
          <w:p w14:paraId="1109190F" w14:textId="77777777" w:rsidR="00387C28" w:rsidRPr="00BE78CA" w:rsidRDefault="00387C28" w:rsidP="002B097E">
            <w:pPr>
              <w:pStyle w:val="TableText"/>
              <w:spacing w:before="50" w:after="50"/>
              <w:jc w:val="right"/>
            </w:pPr>
            <w:r w:rsidRPr="00BE78CA">
              <w:rPr>
                <w:rFonts w:eastAsia="Calibri"/>
              </w:rPr>
              <w:t>93.6</w:t>
            </w:r>
          </w:p>
        </w:tc>
      </w:tr>
      <w:tr w:rsidR="0077535C" w:rsidRPr="00BE78CA" w14:paraId="3D91B59F" w14:textId="77777777" w:rsidTr="0077535C">
        <w:trPr>
          <w:cantSplit/>
        </w:trPr>
        <w:tc>
          <w:tcPr>
            <w:tcW w:w="813" w:type="dxa"/>
            <w:tcBorders>
              <w:top w:val="single" w:sz="4" w:space="0" w:color="365F91"/>
              <w:bottom w:val="single" w:sz="4" w:space="0" w:color="365F91"/>
            </w:tcBorders>
            <w:shd w:val="clear" w:color="auto" w:fill="FFFFFF"/>
            <w:tcMar>
              <w:top w:w="0" w:type="dxa"/>
              <w:left w:w="57" w:type="dxa"/>
              <w:bottom w:w="0" w:type="dxa"/>
              <w:right w:w="57" w:type="dxa"/>
            </w:tcMar>
          </w:tcPr>
          <w:p w14:paraId="685D0729" w14:textId="77777777" w:rsidR="00387C28" w:rsidRPr="00BE78CA" w:rsidRDefault="00387C28" w:rsidP="004C0828">
            <w:pPr>
              <w:pStyle w:val="TableText"/>
              <w:spacing w:before="50" w:after="50"/>
            </w:pPr>
            <w:r w:rsidRPr="00BE78CA">
              <w:rPr>
                <w:rFonts w:eastAsia="Calibri"/>
              </w:rPr>
              <w:t>1.A.1.c</w:t>
            </w:r>
          </w:p>
        </w:tc>
        <w:tc>
          <w:tcPr>
            <w:tcW w:w="3217" w:type="dxa"/>
            <w:tcBorders>
              <w:top w:val="single" w:sz="4" w:space="0" w:color="365F91"/>
              <w:bottom w:val="single" w:sz="4" w:space="0" w:color="365F91"/>
            </w:tcBorders>
            <w:shd w:val="clear" w:color="auto" w:fill="FFFFFF"/>
            <w:tcMar>
              <w:top w:w="0" w:type="dxa"/>
              <w:left w:w="57" w:type="dxa"/>
              <w:bottom w:w="0" w:type="dxa"/>
              <w:right w:w="57" w:type="dxa"/>
            </w:tcMar>
          </w:tcPr>
          <w:p w14:paraId="53E8A54E" w14:textId="77777777" w:rsidR="00387C28" w:rsidRPr="00BE78CA" w:rsidRDefault="00387C28" w:rsidP="004C0828">
            <w:pPr>
              <w:pStyle w:val="TableText"/>
              <w:spacing w:before="50" w:after="50"/>
            </w:pPr>
            <w:r w:rsidRPr="00BE78CA">
              <w:rPr>
                <w:rFonts w:eastAsia="Calibri"/>
              </w:rPr>
              <w:t>Energy Industries – Manufacture of Solid Fuels and Other Energy Industries</w:t>
            </w:r>
          </w:p>
        </w:tc>
        <w:tc>
          <w:tcPr>
            <w:tcW w:w="546" w:type="dxa"/>
            <w:tcBorders>
              <w:top w:val="single" w:sz="4" w:space="0" w:color="365F91"/>
              <w:bottom w:val="single" w:sz="4" w:space="0" w:color="365F91"/>
            </w:tcBorders>
            <w:shd w:val="clear" w:color="auto" w:fill="FFFFFF"/>
            <w:tcMar>
              <w:top w:w="0" w:type="dxa"/>
              <w:left w:w="57" w:type="dxa"/>
              <w:bottom w:w="0" w:type="dxa"/>
              <w:right w:w="57" w:type="dxa"/>
            </w:tcMar>
          </w:tcPr>
          <w:p w14:paraId="1F1A9361" w14:textId="77777777" w:rsidR="00387C28" w:rsidRPr="00BE78CA" w:rsidRDefault="00387C28" w:rsidP="006132E1">
            <w:pPr>
              <w:pStyle w:val="TableText"/>
              <w:spacing w:before="50" w:after="50"/>
              <w:jc w:val="center"/>
            </w:pPr>
            <w:r w:rsidRPr="00BE78CA">
              <w:rPr>
                <w:rFonts w:eastAsia="Calibri"/>
              </w:rPr>
              <w:t>CO</w:t>
            </w:r>
            <w:r w:rsidRPr="00BE78CA">
              <w:rPr>
                <w:rFonts w:eastAsia="Calibri"/>
                <w:vertAlign w:val="subscript"/>
              </w:rPr>
              <w:t>2</w:t>
            </w:r>
          </w:p>
        </w:tc>
        <w:tc>
          <w:tcPr>
            <w:tcW w:w="1404" w:type="dxa"/>
            <w:tcBorders>
              <w:top w:val="single" w:sz="4" w:space="0" w:color="365F91"/>
              <w:bottom w:val="single" w:sz="4" w:space="0" w:color="365F91"/>
            </w:tcBorders>
            <w:shd w:val="clear" w:color="auto" w:fill="FFFFFF"/>
            <w:tcMar>
              <w:top w:w="0" w:type="dxa"/>
              <w:left w:w="57" w:type="dxa"/>
              <w:bottom w:w="0" w:type="dxa"/>
              <w:right w:w="57" w:type="dxa"/>
            </w:tcMar>
          </w:tcPr>
          <w:p w14:paraId="5994B53F" w14:textId="77777777" w:rsidR="00387C28" w:rsidRPr="00BE78CA" w:rsidRDefault="00387C28" w:rsidP="002B097E">
            <w:pPr>
              <w:pStyle w:val="TableText"/>
              <w:spacing w:before="50" w:after="50"/>
              <w:jc w:val="right"/>
            </w:pPr>
            <w:r w:rsidRPr="00BE78CA">
              <w:rPr>
                <w:rFonts w:eastAsia="Calibri"/>
              </w:rPr>
              <w:t>354.0</w:t>
            </w:r>
          </w:p>
        </w:tc>
        <w:tc>
          <w:tcPr>
            <w:tcW w:w="1286" w:type="dxa"/>
            <w:tcBorders>
              <w:top w:val="single" w:sz="4" w:space="0" w:color="365F91"/>
              <w:bottom w:val="single" w:sz="4" w:space="0" w:color="365F91"/>
            </w:tcBorders>
            <w:shd w:val="clear" w:color="auto" w:fill="FFFFFF"/>
            <w:tcMar>
              <w:top w:w="0" w:type="dxa"/>
              <w:left w:w="57" w:type="dxa"/>
              <w:bottom w:w="0" w:type="dxa"/>
              <w:right w:w="57" w:type="dxa"/>
            </w:tcMar>
          </w:tcPr>
          <w:p w14:paraId="38FA16E4" w14:textId="77777777" w:rsidR="00387C28" w:rsidRPr="00BE78CA" w:rsidRDefault="00387C28" w:rsidP="002B097E">
            <w:pPr>
              <w:pStyle w:val="TableText"/>
              <w:spacing w:before="50" w:after="50"/>
              <w:jc w:val="right"/>
            </w:pPr>
            <w:r w:rsidRPr="00BE78CA">
              <w:rPr>
                <w:rFonts w:eastAsia="Calibri"/>
              </w:rPr>
              <w:t>0.3</w:t>
            </w:r>
          </w:p>
        </w:tc>
        <w:tc>
          <w:tcPr>
            <w:tcW w:w="1228" w:type="dxa"/>
            <w:tcBorders>
              <w:top w:val="single" w:sz="4" w:space="0" w:color="365F91"/>
              <w:bottom w:val="single" w:sz="4" w:space="0" w:color="365F91"/>
              <w:right w:val="single" w:sz="4" w:space="0" w:color="FFFFFF"/>
            </w:tcBorders>
            <w:shd w:val="clear" w:color="auto" w:fill="FFFFFF"/>
            <w:tcMar>
              <w:top w:w="0" w:type="dxa"/>
              <w:left w:w="57" w:type="dxa"/>
              <w:bottom w:w="0" w:type="dxa"/>
              <w:right w:w="57" w:type="dxa"/>
            </w:tcMar>
          </w:tcPr>
          <w:p w14:paraId="6D4CFCF8" w14:textId="77777777" w:rsidR="00387C28" w:rsidRPr="00BE78CA" w:rsidRDefault="00387C28" w:rsidP="002B097E">
            <w:pPr>
              <w:pStyle w:val="TableText"/>
              <w:spacing w:before="50" w:after="50"/>
              <w:jc w:val="right"/>
            </w:pPr>
            <w:r w:rsidRPr="00BE78CA">
              <w:rPr>
                <w:rFonts w:eastAsia="Calibri"/>
              </w:rPr>
              <w:t>93.9</w:t>
            </w:r>
          </w:p>
        </w:tc>
      </w:tr>
      <w:tr w:rsidR="0077535C" w:rsidRPr="00BE78CA" w14:paraId="02C201A5" w14:textId="77777777" w:rsidTr="0077535C">
        <w:trPr>
          <w:cantSplit/>
        </w:trPr>
        <w:tc>
          <w:tcPr>
            <w:tcW w:w="813" w:type="dxa"/>
            <w:tcBorders>
              <w:top w:val="single" w:sz="4" w:space="0" w:color="365F91"/>
              <w:bottom w:val="single" w:sz="4" w:space="0" w:color="365F91"/>
            </w:tcBorders>
            <w:shd w:val="clear" w:color="auto" w:fill="FFFFFF"/>
            <w:tcMar>
              <w:top w:w="0" w:type="dxa"/>
              <w:left w:w="57" w:type="dxa"/>
              <w:bottom w:w="0" w:type="dxa"/>
              <w:right w:w="57" w:type="dxa"/>
            </w:tcMar>
          </w:tcPr>
          <w:p w14:paraId="19F17499" w14:textId="77777777" w:rsidR="00387C28" w:rsidRPr="00BE78CA" w:rsidRDefault="00387C28" w:rsidP="004C0828">
            <w:pPr>
              <w:pStyle w:val="TableText"/>
              <w:spacing w:before="50" w:after="50"/>
            </w:pPr>
            <w:r w:rsidRPr="00BE78CA">
              <w:rPr>
                <w:rFonts w:eastAsia="Calibri"/>
              </w:rPr>
              <w:t>1.A.3.d</w:t>
            </w:r>
          </w:p>
        </w:tc>
        <w:tc>
          <w:tcPr>
            <w:tcW w:w="3217" w:type="dxa"/>
            <w:tcBorders>
              <w:top w:val="single" w:sz="4" w:space="0" w:color="365F91"/>
              <w:bottom w:val="single" w:sz="4" w:space="0" w:color="365F91"/>
            </w:tcBorders>
            <w:shd w:val="clear" w:color="auto" w:fill="FFFFFF"/>
            <w:tcMar>
              <w:top w:w="0" w:type="dxa"/>
              <w:left w:w="57" w:type="dxa"/>
              <w:bottom w:w="0" w:type="dxa"/>
              <w:right w:w="57" w:type="dxa"/>
            </w:tcMar>
          </w:tcPr>
          <w:p w14:paraId="5F12D145" w14:textId="77777777" w:rsidR="00387C28" w:rsidRPr="00BE78CA" w:rsidRDefault="00387C28" w:rsidP="004C0828">
            <w:pPr>
              <w:pStyle w:val="TableText"/>
              <w:spacing w:before="50" w:after="50"/>
            </w:pPr>
            <w:r w:rsidRPr="00BE78CA">
              <w:rPr>
                <w:rFonts w:eastAsia="Calibri"/>
              </w:rPr>
              <w:t>Domestic Navigation – Residual Fuel Oil</w:t>
            </w:r>
          </w:p>
        </w:tc>
        <w:tc>
          <w:tcPr>
            <w:tcW w:w="546" w:type="dxa"/>
            <w:tcBorders>
              <w:top w:val="single" w:sz="4" w:space="0" w:color="365F91"/>
              <w:bottom w:val="single" w:sz="4" w:space="0" w:color="365F91"/>
            </w:tcBorders>
            <w:shd w:val="clear" w:color="auto" w:fill="FFFFFF"/>
            <w:tcMar>
              <w:top w:w="0" w:type="dxa"/>
              <w:left w:w="57" w:type="dxa"/>
              <w:bottom w:w="0" w:type="dxa"/>
              <w:right w:w="57" w:type="dxa"/>
            </w:tcMar>
          </w:tcPr>
          <w:p w14:paraId="6FF32D0A" w14:textId="77777777" w:rsidR="00387C28" w:rsidRPr="00BE78CA" w:rsidRDefault="00387C28" w:rsidP="006132E1">
            <w:pPr>
              <w:pStyle w:val="TableText"/>
              <w:spacing w:before="50" w:after="50"/>
              <w:jc w:val="center"/>
            </w:pPr>
            <w:r w:rsidRPr="00BE78CA">
              <w:rPr>
                <w:rFonts w:eastAsia="Calibri"/>
              </w:rPr>
              <w:t>CO</w:t>
            </w:r>
            <w:r w:rsidRPr="00BE78CA">
              <w:rPr>
                <w:rFonts w:eastAsia="Calibri"/>
                <w:vertAlign w:val="subscript"/>
              </w:rPr>
              <w:t>2</w:t>
            </w:r>
          </w:p>
        </w:tc>
        <w:tc>
          <w:tcPr>
            <w:tcW w:w="1404" w:type="dxa"/>
            <w:tcBorders>
              <w:top w:val="single" w:sz="4" w:space="0" w:color="365F91"/>
              <w:bottom w:val="single" w:sz="4" w:space="0" w:color="365F91"/>
            </w:tcBorders>
            <w:shd w:val="clear" w:color="auto" w:fill="FFFFFF"/>
            <w:tcMar>
              <w:top w:w="0" w:type="dxa"/>
              <w:left w:w="57" w:type="dxa"/>
              <w:bottom w:w="0" w:type="dxa"/>
              <w:right w:w="57" w:type="dxa"/>
            </w:tcMar>
          </w:tcPr>
          <w:p w14:paraId="5F13C4D4" w14:textId="77777777" w:rsidR="00387C28" w:rsidRPr="00BE78CA" w:rsidRDefault="00387C28" w:rsidP="002B097E">
            <w:pPr>
              <w:pStyle w:val="TableText"/>
              <w:spacing w:before="50" w:after="50"/>
              <w:jc w:val="right"/>
            </w:pPr>
            <w:r w:rsidRPr="00BE78CA">
              <w:rPr>
                <w:rFonts w:eastAsia="Calibri"/>
              </w:rPr>
              <w:t>329.1</w:t>
            </w:r>
          </w:p>
        </w:tc>
        <w:tc>
          <w:tcPr>
            <w:tcW w:w="1286" w:type="dxa"/>
            <w:tcBorders>
              <w:top w:val="single" w:sz="4" w:space="0" w:color="365F91"/>
              <w:bottom w:val="single" w:sz="4" w:space="0" w:color="365F91"/>
            </w:tcBorders>
            <w:shd w:val="clear" w:color="auto" w:fill="FFFFFF"/>
            <w:tcMar>
              <w:top w:w="0" w:type="dxa"/>
              <w:left w:w="57" w:type="dxa"/>
              <w:bottom w:w="0" w:type="dxa"/>
              <w:right w:w="57" w:type="dxa"/>
            </w:tcMar>
          </w:tcPr>
          <w:p w14:paraId="1472DDF2" w14:textId="77777777" w:rsidR="00387C28" w:rsidRPr="00BE78CA" w:rsidRDefault="00387C28" w:rsidP="002B097E">
            <w:pPr>
              <w:pStyle w:val="TableText"/>
              <w:spacing w:before="50" w:after="50"/>
              <w:jc w:val="right"/>
            </w:pPr>
            <w:r w:rsidRPr="00BE78CA">
              <w:rPr>
                <w:rFonts w:eastAsia="Calibri"/>
              </w:rPr>
              <w:t>0.3</w:t>
            </w:r>
          </w:p>
        </w:tc>
        <w:tc>
          <w:tcPr>
            <w:tcW w:w="1228" w:type="dxa"/>
            <w:tcBorders>
              <w:top w:val="single" w:sz="4" w:space="0" w:color="365F91"/>
              <w:bottom w:val="single" w:sz="4" w:space="0" w:color="365F91"/>
              <w:right w:val="single" w:sz="4" w:space="0" w:color="FFFFFF"/>
            </w:tcBorders>
            <w:shd w:val="clear" w:color="auto" w:fill="FFFFFF"/>
            <w:tcMar>
              <w:top w:w="0" w:type="dxa"/>
              <w:left w:w="57" w:type="dxa"/>
              <w:bottom w:w="0" w:type="dxa"/>
              <w:right w:w="57" w:type="dxa"/>
            </w:tcMar>
          </w:tcPr>
          <w:p w14:paraId="15B95A18" w14:textId="77777777" w:rsidR="00387C28" w:rsidRPr="00BE78CA" w:rsidRDefault="00387C28" w:rsidP="002B097E">
            <w:pPr>
              <w:pStyle w:val="TableText"/>
              <w:spacing w:before="50" w:after="50"/>
              <w:jc w:val="right"/>
            </w:pPr>
            <w:r w:rsidRPr="00BE78CA">
              <w:rPr>
                <w:rFonts w:eastAsia="Calibri"/>
              </w:rPr>
              <w:t>94.2</w:t>
            </w:r>
          </w:p>
        </w:tc>
      </w:tr>
      <w:tr w:rsidR="0077535C" w:rsidRPr="00BE78CA" w14:paraId="7BFECE40" w14:textId="77777777" w:rsidTr="0077535C">
        <w:trPr>
          <w:cantSplit/>
        </w:trPr>
        <w:tc>
          <w:tcPr>
            <w:tcW w:w="813" w:type="dxa"/>
            <w:tcBorders>
              <w:top w:val="single" w:sz="4" w:space="0" w:color="365F91"/>
              <w:bottom w:val="single" w:sz="4" w:space="0" w:color="365F91"/>
            </w:tcBorders>
            <w:shd w:val="clear" w:color="auto" w:fill="FFFFFF"/>
            <w:tcMar>
              <w:top w:w="0" w:type="dxa"/>
              <w:left w:w="57" w:type="dxa"/>
              <w:bottom w:w="0" w:type="dxa"/>
              <w:right w:w="57" w:type="dxa"/>
            </w:tcMar>
          </w:tcPr>
          <w:p w14:paraId="67C5CFE3" w14:textId="77777777" w:rsidR="00387C28" w:rsidRPr="00BE78CA" w:rsidRDefault="00387C28" w:rsidP="004C0828">
            <w:pPr>
              <w:pStyle w:val="TableText"/>
              <w:spacing w:before="50" w:after="50"/>
            </w:pPr>
            <w:r w:rsidRPr="00BE78CA">
              <w:rPr>
                <w:rFonts w:eastAsia="Calibri"/>
              </w:rPr>
              <w:t>1.A.2.d</w:t>
            </w:r>
          </w:p>
        </w:tc>
        <w:tc>
          <w:tcPr>
            <w:tcW w:w="3217" w:type="dxa"/>
            <w:tcBorders>
              <w:top w:val="single" w:sz="4" w:space="0" w:color="365F91"/>
              <w:bottom w:val="single" w:sz="4" w:space="0" w:color="365F91"/>
            </w:tcBorders>
            <w:shd w:val="clear" w:color="auto" w:fill="FFFFFF"/>
            <w:tcMar>
              <w:top w:w="0" w:type="dxa"/>
              <w:left w:w="57" w:type="dxa"/>
              <w:bottom w:w="0" w:type="dxa"/>
              <w:right w:w="57" w:type="dxa"/>
            </w:tcMar>
          </w:tcPr>
          <w:p w14:paraId="2AC5131B" w14:textId="77777777" w:rsidR="00387C28" w:rsidRPr="00BE78CA" w:rsidRDefault="00387C28" w:rsidP="004C0828">
            <w:pPr>
              <w:pStyle w:val="TableText"/>
              <w:spacing w:before="50" w:after="50"/>
            </w:pPr>
            <w:r w:rsidRPr="00BE78CA">
              <w:rPr>
                <w:rFonts w:eastAsia="Calibri"/>
              </w:rPr>
              <w:t>Pulp, Paper and Print – Gaseous Fuels</w:t>
            </w:r>
          </w:p>
        </w:tc>
        <w:tc>
          <w:tcPr>
            <w:tcW w:w="546" w:type="dxa"/>
            <w:tcBorders>
              <w:top w:val="single" w:sz="4" w:space="0" w:color="365F91"/>
              <w:bottom w:val="single" w:sz="4" w:space="0" w:color="365F91"/>
            </w:tcBorders>
            <w:shd w:val="clear" w:color="auto" w:fill="FFFFFF"/>
            <w:tcMar>
              <w:top w:w="0" w:type="dxa"/>
              <w:left w:w="57" w:type="dxa"/>
              <w:bottom w:w="0" w:type="dxa"/>
              <w:right w:w="57" w:type="dxa"/>
            </w:tcMar>
          </w:tcPr>
          <w:p w14:paraId="657AC2E8" w14:textId="77777777" w:rsidR="00387C28" w:rsidRPr="00BE78CA" w:rsidRDefault="00387C28" w:rsidP="006132E1">
            <w:pPr>
              <w:pStyle w:val="TableText"/>
              <w:spacing w:before="50" w:after="50"/>
              <w:jc w:val="center"/>
            </w:pPr>
            <w:r w:rsidRPr="00BE78CA">
              <w:rPr>
                <w:rFonts w:eastAsia="Calibri"/>
              </w:rPr>
              <w:t>CO</w:t>
            </w:r>
            <w:r w:rsidRPr="00BE78CA">
              <w:rPr>
                <w:rFonts w:eastAsia="Calibri"/>
                <w:vertAlign w:val="subscript"/>
              </w:rPr>
              <w:t>2</w:t>
            </w:r>
          </w:p>
        </w:tc>
        <w:tc>
          <w:tcPr>
            <w:tcW w:w="1404" w:type="dxa"/>
            <w:tcBorders>
              <w:top w:val="single" w:sz="4" w:space="0" w:color="365F91"/>
              <w:bottom w:val="single" w:sz="4" w:space="0" w:color="365F91"/>
            </w:tcBorders>
            <w:shd w:val="clear" w:color="auto" w:fill="FFFFFF"/>
            <w:tcMar>
              <w:top w:w="0" w:type="dxa"/>
              <w:left w:w="57" w:type="dxa"/>
              <w:bottom w:w="0" w:type="dxa"/>
              <w:right w:w="57" w:type="dxa"/>
            </w:tcMar>
          </w:tcPr>
          <w:p w14:paraId="31941ECA" w14:textId="77777777" w:rsidR="00387C28" w:rsidRPr="00BE78CA" w:rsidRDefault="00387C28" w:rsidP="002B097E">
            <w:pPr>
              <w:pStyle w:val="TableText"/>
              <w:spacing w:before="50" w:after="50"/>
              <w:jc w:val="right"/>
            </w:pPr>
            <w:r w:rsidRPr="00BE78CA">
              <w:rPr>
                <w:rFonts w:eastAsia="Calibri"/>
              </w:rPr>
              <w:t>315.7</w:t>
            </w:r>
          </w:p>
        </w:tc>
        <w:tc>
          <w:tcPr>
            <w:tcW w:w="1286" w:type="dxa"/>
            <w:tcBorders>
              <w:top w:val="single" w:sz="4" w:space="0" w:color="365F91"/>
              <w:bottom w:val="single" w:sz="4" w:space="0" w:color="365F91"/>
            </w:tcBorders>
            <w:shd w:val="clear" w:color="auto" w:fill="FFFFFF"/>
            <w:tcMar>
              <w:top w:w="0" w:type="dxa"/>
              <w:left w:w="57" w:type="dxa"/>
              <w:bottom w:w="0" w:type="dxa"/>
              <w:right w:w="57" w:type="dxa"/>
            </w:tcMar>
          </w:tcPr>
          <w:p w14:paraId="1A6E036D" w14:textId="77777777" w:rsidR="00387C28" w:rsidRPr="00BE78CA" w:rsidRDefault="00387C28" w:rsidP="002B097E">
            <w:pPr>
              <w:pStyle w:val="TableText"/>
              <w:spacing w:before="50" w:after="50"/>
              <w:jc w:val="right"/>
            </w:pPr>
            <w:r w:rsidRPr="00BE78CA">
              <w:rPr>
                <w:rFonts w:eastAsia="Calibri"/>
              </w:rPr>
              <w:t>0.3</w:t>
            </w:r>
          </w:p>
        </w:tc>
        <w:tc>
          <w:tcPr>
            <w:tcW w:w="1228" w:type="dxa"/>
            <w:tcBorders>
              <w:top w:val="single" w:sz="4" w:space="0" w:color="365F91"/>
              <w:bottom w:val="single" w:sz="4" w:space="0" w:color="365F91"/>
              <w:right w:val="single" w:sz="4" w:space="0" w:color="FFFFFF"/>
            </w:tcBorders>
            <w:shd w:val="clear" w:color="auto" w:fill="FFFFFF"/>
            <w:tcMar>
              <w:top w:w="0" w:type="dxa"/>
              <w:left w:w="57" w:type="dxa"/>
              <w:bottom w:w="0" w:type="dxa"/>
              <w:right w:w="57" w:type="dxa"/>
            </w:tcMar>
          </w:tcPr>
          <w:p w14:paraId="0986307D" w14:textId="77777777" w:rsidR="00387C28" w:rsidRPr="00BE78CA" w:rsidRDefault="00387C28" w:rsidP="002B097E">
            <w:pPr>
              <w:pStyle w:val="TableText"/>
              <w:spacing w:before="50" w:after="50"/>
              <w:jc w:val="right"/>
            </w:pPr>
            <w:r w:rsidRPr="00BE78CA">
              <w:rPr>
                <w:rFonts w:eastAsia="Calibri"/>
              </w:rPr>
              <w:t>94.4</w:t>
            </w:r>
          </w:p>
        </w:tc>
      </w:tr>
      <w:tr w:rsidR="0077535C" w:rsidRPr="00BE78CA" w14:paraId="6B75B5AB" w14:textId="77777777" w:rsidTr="0077535C">
        <w:trPr>
          <w:cantSplit/>
        </w:trPr>
        <w:tc>
          <w:tcPr>
            <w:tcW w:w="813" w:type="dxa"/>
            <w:tcBorders>
              <w:top w:val="single" w:sz="4" w:space="0" w:color="365F91"/>
              <w:bottom w:val="single" w:sz="4" w:space="0" w:color="365F91"/>
            </w:tcBorders>
            <w:shd w:val="clear" w:color="auto" w:fill="FFFFFF"/>
            <w:tcMar>
              <w:top w:w="0" w:type="dxa"/>
              <w:left w:w="57" w:type="dxa"/>
              <w:bottom w:w="0" w:type="dxa"/>
              <w:right w:w="57" w:type="dxa"/>
            </w:tcMar>
          </w:tcPr>
          <w:p w14:paraId="793B58D8" w14:textId="77777777" w:rsidR="00387C28" w:rsidRPr="00BE78CA" w:rsidRDefault="00387C28" w:rsidP="004C0828">
            <w:pPr>
              <w:pStyle w:val="TableText"/>
              <w:spacing w:before="50" w:after="50"/>
            </w:pPr>
            <w:r w:rsidRPr="00BE78CA">
              <w:rPr>
                <w:rFonts w:eastAsia="Calibri"/>
              </w:rPr>
              <w:t>4.B.1</w:t>
            </w:r>
          </w:p>
        </w:tc>
        <w:tc>
          <w:tcPr>
            <w:tcW w:w="3217" w:type="dxa"/>
            <w:tcBorders>
              <w:top w:val="single" w:sz="4" w:space="0" w:color="365F91"/>
              <w:bottom w:val="single" w:sz="4" w:space="0" w:color="365F91"/>
            </w:tcBorders>
            <w:shd w:val="clear" w:color="auto" w:fill="FFFFFF"/>
            <w:tcMar>
              <w:top w:w="0" w:type="dxa"/>
              <w:left w:w="57" w:type="dxa"/>
              <w:bottom w:w="0" w:type="dxa"/>
              <w:right w:w="57" w:type="dxa"/>
            </w:tcMar>
          </w:tcPr>
          <w:p w14:paraId="74CC5060" w14:textId="77777777" w:rsidR="00387C28" w:rsidRPr="00BE78CA" w:rsidRDefault="00387C28" w:rsidP="004C0828">
            <w:pPr>
              <w:pStyle w:val="TableText"/>
              <w:spacing w:before="50" w:after="50"/>
            </w:pPr>
            <w:r w:rsidRPr="00BE78CA">
              <w:rPr>
                <w:rFonts w:eastAsia="Calibri"/>
              </w:rPr>
              <w:t>Cropland – Cropland Remaining Cropland</w:t>
            </w:r>
          </w:p>
        </w:tc>
        <w:tc>
          <w:tcPr>
            <w:tcW w:w="546" w:type="dxa"/>
            <w:tcBorders>
              <w:top w:val="single" w:sz="4" w:space="0" w:color="365F91"/>
              <w:bottom w:val="single" w:sz="4" w:space="0" w:color="365F91"/>
            </w:tcBorders>
            <w:shd w:val="clear" w:color="auto" w:fill="FFFFFF"/>
            <w:tcMar>
              <w:top w:w="0" w:type="dxa"/>
              <w:left w:w="57" w:type="dxa"/>
              <w:bottom w:w="0" w:type="dxa"/>
              <w:right w:w="57" w:type="dxa"/>
            </w:tcMar>
          </w:tcPr>
          <w:p w14:paraId="5D346118" w14:textId="77777777" w:rsidR="00387C28" w:rsidRPr="00BE78CA" w:rsidRDefault="00387C28" w:rsidP="006132E1">
            <w:pPr>
              <w:pStyle w:val="TableText"/>
              <w:spacing w:before="50" w:after="50"/>
              <w:jc w:val="center"/>
            </w:pPr>
            <w:r w:rsidRPr="00BE78CA">
              <w:rPr>
                <w:rFonts w:eastAsia="Calibri"/>
              </w:rPr>
              <w:t>CO</w:t>
            </w:r>
            <w:r w:rsidRPr="00BE78CA">
              <w:rPr>
                <w:rFonts w:eastAsia="Calibri"/>
                <w:vertAlign w:val="subscript"/>
              </w:rPr>
              <w:t>2</w:t>
            </w:r>
          </w:p>
        </w:tc>
        <w:tc>
          <w:tcPr>
            <w:tcW w:w="1404" w:type="dxa"/>
            <w:tcBorders>
              <w:top w:val="single" w:sz="4" w:space="0" w:color="365F91"/>
              <w:bottom w:val="single" w:sz="4" w:space="0" w:color="365F91"/>
            </w:tcBorders>
            <w:shd w:val="clear" w:color="auto" w:fill="FFFFFF"/>
            <w:tcMar>
              <w:top w:w="0" w:type="dxa"/>
              <w:left w:w="57" w:type="dxa"/>
              <w:bottom w:w="0" w:type="dxa"/>
              <w:right w:w="57" w:type="dxa"/>
            </w:tcMar>
          </w:tcPr>
          <w:p w14:paraId="3D7DB70D" w14:textId="77777777" w:rsidR="00387C28" w:rsidRPr="00BE78CA" w:rsidRDefault="00387C28" w:rsidP="002B097E">
            <w:pPr>
              <w:pStyle w:val="TableText"/>
              <w:spacing w:before="50" w:after="50"/>
              <w:jc w:val="right"/>
            </w:pPr>
            <w:r w:rsidRPr="00BE78CA">
              <w:rPr>
                <w:rFonts w:eastAsia="Calibri"/>
              </w:rPr>
              <w:t>315.6</w:t>
            </w:r>
          </w:p>
        </w:tc>
        <w:tc>
          <w:tcPr>
            <w:tcW w:w="1286" w:type="dxa"/>
            <w:tcBorders>
              <w:top w:val="single" w:sz="4" w:space="0" w:color="365F91"/>
              <w:bottom w:val="single" w:sz="4" w:space="0" w:color="365F91"/>
            </w:tcBorders>
            <w:shd w:val="clear" w:color="auto" w:fill="FFFFFF"/>
            <w:tcMar>
              <w:top w:w="0" w:type="dxa"/>
              <w:left w:w="57" w:type="dxa"/>
              <w:bottom w:w="0" w:type="dxa"/>
              <w:right w:w="57" w:type="dxa"/>
            </w:tcMar>
          </w:tcPr>
          <w:p w14:paraId="1AE445B1" w14:textId="77777777" w:rsidR="00387C28" w:rsidRPr="00BE78CA" w:rsidRDefault="00387C28" w:rsidP="002B097E">
            <w:pPr>
              <w:pStyle w:val="TableText"/>
              <w:spacing w:before="50" w:after="50"/>
              <w:jc w:val="right"/>
            </w:pPr>
            <w:r w:rsidRPr="00BE78CA">
              <w:rPr>
                <w:rFonts w:eastAsia="Calibri"/>
              </w:rPr>
              <w:t>0.3</w:t>
            </w:r>
          </w:p>
        </w:tc>
        <w:tc>
          <w:tcPr>
            <w:tcW w:w="1228" w:type="dxa"/>
            <w:tcBorders>
              <w:top w:val="single" w:sz="4" w:space="0" w:color="365F91"/>
              <w:bottom w:val="single" w:sz="4" w:space="0" w:color="365F91"/>
              <w:right w:val="single" w:sz="4" w:space="0" w:color="FFFFFF"/>
            </w:tcBorders>
            <w:shd w:val="clear" w:color="auto" w:fill="FFFFFF"/>
            <w:tcMar>
              <w:top w:w="0" w:type="dxa"/>
              <w:left w:w="57" w:type="dxa"/>
              <w:bottom w:w="0" w:type="dxa"/>
              <w:right w:w="57" w:type="dxa"/>
            </w:tcMar>
          </w:tcPr>
          <w:p w14:paraId="42525438" w14:textId="77777777" w:rsidR="00387C28" w:rsidRPr="00BE78CA" w:rsidRDefault="00387C28" w:rsidP="002B097E">
            <w:pPr>
              <w:pStyle w:val="TableText"/>
              <w:spacing w:before="50" w:after="50"/>
              <w:jc w:val="right"/>
            </w:pPr>
            <w:r w:rsidRPr="00BE78CA">
              <w:rPr>
                <w:rFonts w:eastAsia="Calibri"/>
              </w:rPr>
              <w:t>94.7</w:t>
            </w:r>
          </w:p>
        </w:tc>
      </w:tr>
      <w:tr w:rsidR="0077535C" w:rsidRPr="00BE78CA" w14:paraId="21DA9C31" w14:textId="77777777" w:rsidTr="0077535C">
        <w:trPr>
          <w:cantSplit/>
        </w:trPr>
        <w:tc>
          <w:tcPr>
            <w:tcW w:w="813" w:type="dxa"/>
            <w:tcBorders>
              <w:top w:val="single" w:sz="4" w:space="0" w:color="365F91"/>
              <w:bottom w:val="single" w:sz="4" w:space="0" w:color="365F91"/>
            </w:tcBorders>
            <w:shd w:val="clear" w:color="auto" w:fill="FFFFFF"/>
            <w:tcMar>
              <w:top w:w="0" w:type="dxa"/>
              <w:left w:w="57" w:type="dxa"/>
              <w:bottom w:w="0" w:type="dxa"/>
              <w:right w:w="57" w:type="dxa"/>
            </w:tcMar>
          </w:tcPr>
          <w:p w14:paraId="1DC74C59" w14:textId="77777777" w:rsidR="00387C28" w:rsidRPr="00BE78CA" w:rsidRDefault="00387C28" w:rsidP="004C0828">
            <w:pPr>
              <w:pStyle w:val="TableText"/>
              <w:spacing w:before="50" w:after="50"/>
            </w:pPr>
            <w:r w:rsidRPr="00BE78CA">
              <w:rPr>
                <w:rFonts w:eastAsia="Calibri"/>
              </w:rPr>
              <w:t>1.A.2.e</w:t>
            </w:r>
          </w:p>
        </w:tc>
        <w:tc>
          <w:tcPr>
            <w:tcW w:w="3217" w:type="dxa"/>
            <w:tcBorders>
              <w:top w:val="single" w:sz="4" w:space="0" w:color="365F91"/>
              <w:bottom w:val="single" w:sz="4" w:space="0" w:color="365F91"/>
            </w:tcBorders>
            <w:shd w:val="clear" w:color="auto" w:fill="FFFFFF"/>
            <w:tcMar>
              <w:top w:w="0" w:type="dxa"/>
              <w:left w:w="57" w:type="dxa"/>
              <w:bottom w:w="0" w:type="dxa"/>
              <w:right w:w="57" w:type="dxa"/>
            </w:tcMar>
          </w:tcPr>
          <w:p w14:paraId="01C8A31D" w14:textId="743F25BD" w:rsidR="00387C28" w:rsidRPr="00BE78CA" w:rsidRDefault="00387C28" w:rsidP="004C0828">
            <w:pPr>
              <w:pStyle w:val="TableText"/>
              <w:spacing w:before="50" w:after="50"/>
            </w:pPr>
            <w:r w:rsidRPr="00BE78CA">
              <w:rPr>
                <w:rFonts w:eastAsia="Calibri"/>
              </w:rPr>
              <w:t>Food Processing, Beverages and Tobacco –</w:t>
            </w:r>
            <w:r w:rsidR="004C0828" w:rsidRPr="00BE78CA">
              <w:rPr>
                <w:rFonts w:eastAsia="Calibri"/>
              </w:rPr>
              <w:t> </w:t>
            </w:r>
            <w:r w:rsidRPr="00BE78CA">
              <w:rPr>
                <w:rFonts w:eastAsia="Calibri"/>
              </w:rPr>
              <w:t>Liquid Fuels</w:t>
            </w:r>
          </w:p>
        </w:tc>
        <w:tc>
          <w:tcPr>
            <w:tcW w:w="546" w:type="dxa"/>
            <w:tcBorders>
              <w:top w:val="single" w:sz="4" w:space="0" w:color="365F91"/>
              <w:bottom w:val="single" w:sz="4" w:space="0" w:color="365F91"/>
            </w:tcBorders>
            <w:shd w:val="clear" w:color="auto" w:fill="FFFFFF"/>
            <w:tcMar>
              <w:top w:w="0" w:type="dxa"/>
              <w:left w:w="57" w:type="dxa"/>
              <w:bottom w:w="0" w:type="dxa"/>
              <w:right w:w="57" w:type="dxa"/>
            </w:tcMar>
          </w:tcPr>
          <w:p w14:paraId="09264C88" w14:textId="77777777" w:rsidR="00387C28" w:rsidRPr="00BE78CA" w:rsidRDefault="00387C28" w:rsidP="006132E1">
            <w:pPr>
              <w:pStyle w:val="TableText"/>
              <w:spacing w:before="50" w:after="50"/>
              <w:jc w:val="center"/>
            </w:pPr>
            <w:r w:rsidRPr="00BE78CA">
              <w:rPr>
                <w:rFonts w:eastAsia="Calibri"/>
              </w:rPr>
              <w:t>CO</w:t>
            </w:r>
            <w:r w:rsidRPr="00BE78CA">
              <w:rPr>
                <w:rFonts w:eastAsia="Calibri"/>
                <w:vertAlign w:val="subscript"/>
              </w:rPr>
              <w:t>2</w:t>
            </w:r>
          </w:p>
        </w:tc>
        <w:tc>
          <w:tcPr>
            <w:tcW w:w="1404" w:type="dxa"/>
            <w:tcBorders>
              <w:top w:val="single" w:sz="4" w:space="0" w:color="365F91"/>
              <w:bottom w:val="single" w:sz="4" w:space="0" w:color="365F91"/>
            </w:tcBorders>
            <w:shd w:val="clear" w:color="auto" w:fill="FFFFFF"/>
            <w:tcMar>
              <w:top w:w="0" w:type="dxa"/>
              <w:left w:w="57" w:type="dxa"/>
              <w:bottom w:w="0" w:type="dxa"/>
              <w:right w:w="57" w:type="dxa"/>
            </w:tcMar>
          </w:tcPr>
          <w:p w14:paraId="1D52AB58" w14:textId="77777777" w:rsidR="00387C28" w:rsidRPr="00BE78CA" w:rsidRDefault="00387C28" w:rsidP="002B097E">
            <w:pPr>
              <w:pStyle w:val="TableText"/>
              <w:spacing w:before="50" w:after="50"/>
              <w:jc w:val="right"/>
            </w:pPr>
            <w:r w:rsidRPr="00BE78CA">
              <w:rPr>
                <w:rFonts w:eastAsia="Calibri"/>
              </w:rPr>
              <w:t>287.7</w:t>
            </w:r>
          </w:p>
        </w:tc>
        <w:tc>
          <w:tcPr>
            <w:tcW w:w="1286" w:type="dxa"/>
            <w:tcBorders>
              <w:top w:val="single" w:sz="4" w:space="0" w:color="365F91"/>
              <w:bottom w:val="single" w:sz="4" w:space="0" w:color="365F91"/>
            </w:tcBorders>
            <w:shd w:val="clear" w:color="auto" w:fill="FFFFFF"/>
            <w:tcMar>
              <w:top w:w="0" w:type="dxa"/>
              <w:left w:w="57" w:type="dxa"/>
              <w:bottom w:w="0" w:type="dxa"/>
              <w:right w:w="57" w:type="dxa"/>
            </w:tcMar>
          </w:tcPr>
          <w:p w14:paraId="07840057" w14:textId="77777777" w:rsidR="00387C28" w:rsidRPr="00BE78CA" w:rsidRDefault="00387C28" w:rsidP="002B097E">
            <w:pPr>
              <w:pStyle w:val="TableText"/>
              <w:spacing w:before="50" w:after="50"/>
              <w:jc w:val="right"/>
            </w:pPr>
            <w:r w:rsidRPr="00BE78CA">
              <w:rPr>
                <w:rFonts w:eastAsia="Calibri"/>
              </w:rPr>
              <w:t>0.2</w:t>
            </w:r>
          </w:p>
        </w:tc>
        <w:tc>
          <w:tcPr>
            <w:tcW w:w="1228" w:type="dxa"/>
            <w:tcBorders>
              <w:top w:val="single" w:sz="4" w:space="0" w:color="365F91"/>
              <w:bottom w:val="single" w:sz="4" w:space="0" w:color="365F91"/>
              <w:right w:val="single" w:sz="4" w:space="0" w:color="FFFFFF"/>
            </w:tcBorders>
            <w:shd w:val="clear" w:color="auto" w:fill="FFFFFF"/>
            <w:tcMar>
              <w:top w:w="0" w:type="dxa"/>
              <w:left w:w="57" w:type="dxa"/>
              <w:bottom w:w="0" w:type="dxa"/>
              <w:right w:w="57" w:type="dxa"/>
            </w:tcMar>
          </w:tcPr>
          <w:p w14:paraId="6E0DC8BB" w14:textId="77777777" w:rsidR="00387C28" w:rsidRPr="00BE78CA" w:rsidRDefault="00387C28" w:rsidP="002B097E">
            <w:pPr>
              <w:pStyle w:val="TableText"/>
              <w:spacing w:before="50" w:after="50"/>
              <w:jc w:val="right"/>
            </w:pPr>
            <w:r w:rsidRPr="00BE78CA">
              <w:rPr>
                <w:rFonts w:eastAsia="Calibri"/>
              </w:rPr>
              <w:t>94.9</w:t>
            </w:r>
          </w:p>
        </w:tc>
      </w:tr>
      <w:tr w:rsidR="0077535C" w:rsidRPr="00BE78CA" w14:paraId="0D803C25" w14:textId="77777777" w:rsidTr="0077535C">
        <w:trPr>
          <w:cantSplit/>
        </w:trPr>
        <w:tc>
          <w:tcPr>
            <w:tcW w:w="813" w:type="dxa"/>
            <w:tcBorders>
              <w:top w:val="single" w:sz="4" w:space="0" w:color="365F91"/>
              <w:bottom w:val="single" w:sz="4" w:space="0" w:color="365F91"/>
            </w:tcBorders>
            <w:shd w:val="clear" w:color="auto" w:fill="FFFFFF"/>
            <w:tcMar>
              <w:top w:w="0" w:type="dxa"/>
              <w:left w:w="57" w:type="dxa"/>
              <w:bottom w:w="0" w:type="dxa"/>
              <w:right w:w="57" w:type="dxa"/>
            </w:tcMar>
          </w:tcPr>
          <w:p w14:paraId="5AA6D565" w14:textId="77777777" w:rsidR="00387C28" w:rsidRPr="00BE78CA" w:rsidRDefault="00387C28" w:rsidP="004C0828">
            <w:pPr>
              <w:pStyle w:val="TableText"/>
              <w:spacing w:before="50" w:after="50"/>
            </w:pPr>
            <w:r w:rsidRPr="00BE78CA">
              <w:rPr>
                <w:rFonts w:eastAsia="Calibri"/>
              </w:rPr>
              <w:t>1.B.2.c.1.ii</w:t>
            </w:r>
          </w:p>
        </w:tc>
        <w:tc>
          <w:tcPr>
            <w:tcW w:w="3217" w:type="dxa"/>
            <w:tcBorders>
              <w:top w:val="single" w:sz="4" w:space="0" w:color="365F91"/>
              <w:bottom w:val="single" w:sz="4" w:space="0" w:color="365F91"/>
            </w:tcBorders>
            <w:shd w:val="clear" w:color="auto" w:fill="FFFFFF"/>
            <w:tcMar>
              <w:top w:w="0" w:type="dxa"/>
              <w:left w:w="57" w:type="dxa"/>
              <w:bottom w:w="0" w:type="dxa"/>
              <w:right w:w="57" w:type="dxa"/>
            </w:tcMar>
          </w:tcPr>
          <w:p w14:paraId="4D557C7A" w14:textId="77777777" w:rsidR="00387C28" w:rsidRPr="00BE78CA" w:rsidRDefault="00387C28" w:rsidP="004C0828">
            <w:pPr>
              <w:pStyle w:val="TableText"/>
              <w:spacing w:before="50" w:after="50"/>
            </w:pPr>
            <w:r w:rsidRPr="00BE78CA">
              <w:rPr>
                <w:rFonts w:eastAsia="Calibri"/>
              </w:rPr>
              <w:t>Venting – Gas</w:t>
            </w:r>
          </w:p>
        </w:tc>
        <w:tc>
          <w:tcPr>
            <w:tcW w:w="546" w:type="dxa"/>
            <w:tcBorders>
              <w:top w:val="single" w:sz="4" w:space="0" w:color="365F91"/>
              <w:bottom w:val="single" w:sz="4" w:space="0" w:color="365F91"/>
            </w:tcBorders>
            <w:shd w:val="clear" w:color="auto" w:fill="FFFFFF"/>
            <w:tcMar>
              <w:top w:w="0" w:type="dxa"/>
              <w:left w:w="57" w:type="dxa"/>
              <w:bottom w:w="0" w:type="dxa"/>
              <w:right w:w="57" w:type="dxa"/>
            </w:tcMar>
          </w:tcPr>
          <w:p w14:paraId="639526AA" w14:textId="77777777" w:rsidR="00387C28" w:rsidRPr="00BE78CA" w:rsidRDefault="00387C28" w:rsidP="006132E1">
            <w:pPr>
              <w:pStyle w:val="TableText"/>
              <w:spacing w:before="50" w:after="50"/>
              <w:jc w:val="center"/>
            </w:pPr>
            <w:r w:rsidRPr="00BE78CA">
              <w:rPr>
                <w:rFonts w:eastAsia="Calibri"/>
              </w:rPr>
              <w:t>CO</w:t>
            </w:r>
            <w:r w:rsidRPr="00BE78CA">
              <w:rPr>
                <w:rFonts w:eastAsia="Calibri"/>
                <w:vertAlign w:val="subscript"/>
              </w:rPr>
              <w:t>2</w:t>
            </w:r>
          </w:p>
        </w:tc>
        <w:tc>
          <w:tcPr>
            <w:tcW w:w="1404" w:type="dxa"/>
            <w:tcBorders>
              <w:top w:val="single" w:sz="4" w:space="0" w:color="365F91"/>
              <w:bottom w:val="single" w:sz="4" w:space="0" w:color="365F91"/>
            </w:tcBorders>
            <w:shd w:val="clear" w:color="auto" w:fill="FFFFFF"/>
            <w:tcMar>
              <w:top w:w="0" w:type="dxa"/>
              <w:left w:w="57" w:type="dxa"/>
              <w:bottom w:w="0" w:type="dxa"/>
              <w:right w:w="57" w:type="dxa"/>
            </w:tcMar>
          </w:tcPr>
          <w:p w14:paraId="6BF9397F" w14:textId="77777777" w:rsidR="00387C28" w:rsidRPr="00BE78CA" w:rsidRDefault="00387C28" w:rsidP="002B097E">
            <w:pPr>
              <w:pStyle w:val="TableText"/>
              <w:spacing w:before="50" w:after="50"/>
              <w:jc w:val="right"/>
            </w:pPr>
            <w:r w:rsidRPr="00BE78CA">
              <w:rPr>
                <w:rFonts w:eastAsia="Calibri"/>
              </w:rPr>
              <w:t>283.0</w:t>
            </w:r>
          </w:p>
        </w:tc>
        <w:tc>
          <w:tcPr>
            <w:tcW w:w="1286" w:type="dxa"/>
            <w:tcBorders>
              <w:top w:val="single" w:sz="4" w:space="0" w:color="365F91"/>
              <w:bottom w:val="single" w:sz="4" w:space="0" w:color="365F91"/>
            </w:tcBorders>
            <w:shd w:val="clear" w:color="auto" w:fill="FFFFFF"/>
            <w:tcMar>
              <w:top w:w="0" w:type="dxa"/>
              <w:left w:w="57" w:type="dxa"/>
              <w:bottom w:w="0" w:type="dxa"/>
              <w:right w:w="57" w:type="dxa"/>
            </w:tcMar>
          </w:tcPr>
          <w:p w14:paraId="531FB300" w14:textId="77777777" w:rsidR="00387C28" w:rsidRPr="00BE78CA" w:rsidRDefault="00387C28" w:rsidP="002B097E">
            <w:pPr>
              <w:pStyle w:val="TableText"/>
              <w:spacing w:before="50" w:after="50"/>
              <w:jc w:val="right"/>
            </w:pPr>
            <w:r w:rsidRPr="00BE78CA">
              <w:rPr>
                <w:rFonts w:eastAsia="Calibri"/>
              </w:rPr>
              <w:t>0.2</w:t>
            </w:r>
          </w:p>
        </w:tc>
        <w:tc>
          <w:tcPr>
            <w:tcW w:w="1228" w:type="dxa"/>
            <w:tcBorders>
              <w:top w:val="single" w:sz="4" w:space="0" w:color="365F91"/>
              <w:bottom w:val="single" w:sz="4" w:space="0" w:color="365F91"/>
              <w:right w:val="single" w:sz="4" w:space="0" w:color="FFFFFF"/>
            </w:tcBorders>
            <w:shd w:val="clear" w:color="auto" w:fill="FFFFFF"/>
            <w:tcMar>
              <w:top w:w="0" w:type="dxa"/>
              <w:left w:w="57" w:type="dxa"/>
              <w:bottom w:w="0" w:type="dxa"/>
              <w:right w:w="57" w:type="dxa"/>
            </w:tcMar>
          </w:tcPr>
          <w:p w14:paraId="0222D634" w14:textId="77777777" w:rsidR="00387C28" w:rsidRPr="00BE78CA" w:rsidRDefault="00387C28" w:rsidP="002B097E">
            <w:pPr>
              <w:pStyle w:val="TableText"/>
              <w:spacing w:before="50" w:after="50"/>
              <w:jc w:val="right"/>
            </w:pPr>
            <w:r w:rsidRPr="00BE78CA">
              <w:rPr>
                <w:rFonts w:eastAsia="Calibri"/>
              </w:rPr>
              <w:t>95.2</w:t>
            </w:r>
          </w:p>
        </w:tc>
      </w:tr>
    </w:tbl>
    <w:p w14:paraId="0B901437" w14:textId="77777777" w:rsidR="00387C28" w:rsidRPr="00BE78CA" w:rsidRDefault="00387C28" w:rsidP="004C0828">
      <w:pPr>
        <w:pStyle w:val="BodyText"/>
      </w:pPr>
    </w:p>
    <w:tbl>
      <w:tblPr>
        <w:tblW w:w="8494" w:type="dxa"/>
        <w:tblLayout w:type="fixed"/>
        <w:tblCellMar>
          <w:left w:w="57" w:type="dxa"/>
          <w:right w:w="57" w:type="dxa"/>
        </w:tblCellMar>
        <w:tblLook w:val="0420" w:firstRow="1" w:lastRow="0" w:firstColumn="0" w:lastColumn="0" w:noHBand="0" w:noVBand="1"/>
      </w:tblPr>
      <w:tblGrid>
        <w:gridCol w:w="796"/>
        <w:gridCol w:w="3238"/>
        <w:gridCol w:w="528"/>
        <w:gridCol w:w="1409"/>
        <w:gridCol w:w="1290"/>
        <w:gridCol w:w="1233"/>
      </w:tblGrid>
      <w:tr w:rsidR="00387C28" w:rsidRPr="00BE78CA" w14:paraId="6BDF611F" w14:textId="77777777" w:rsidTr="00BF54C6">
        <w:trPr>
          <w:cantSplit/>
          <w:tblHeader/>
        </w:trPr>
        <w:tc>
          <w:tcPr>
            <w:tcW w:w="8494" w:type="dxa"/>
            <w:gridSpan w:val="6"/>
            <w:tcBorders>
              <w:top w:val="single" w:sz="4" w:space="0" w:color="365F91"/>
              <w:bottom w:val="single" w:sz="4" w:space="0" w:color="365F91"/>
            </w:tcBorders>
            <w:shd w:val="clear" w:color="auto" w:fill="365F91"/>
            <w:tcMar>
              <w:top w:w="0" w:type="dxa"/>
              <w:left w:w="57" w:type="dxa"/>
              <w:bottom w:w="0" w:type="dxa"/>
              <w:right w:w="57" w:type="dxa"/>
            </w:tcMar>
          </w:tcPr>
          <w:p w14:paraId="31643203" w14:textId="77777777" w:rsidR="00387C28" w:rsidRPr="00BE78CA" w:rsidRDefault="00387C28" w:rsidP="00E55E06">
            <w:pPr>
              <w:pStyle w:val="TableTextBold"/>
              <w:spacing w:after="0"/>
              <w:rPr>
                <w:rFonts w:eastAsia="Calibri"/>
                <w:noProof w:val="0"/>
                <w:color w:val="FFFFFF" w:themeColor="background1"/>
              </w:rPr>
            </w:pPr>
            <w:r w:rsidRPr="00BE78CA">
              <w:rPr>
                <w:noProof w:val="0"/>
                <w:color w:val="FFFFFF" w:themeColor="background1"/>
              </w:rPr>
              <w:t>(b) IPCC Tier 1 category level assessment – excluding LULUCF (gross emissions): 2019</w:t>
            </w:r>
          </w:p>
        </w:tc>
      </w:tr>
      <w:tr w:rsidR="0077535C" w:rsidRPr="00BE78CA" w14:paraId="16BABE5E" w14:textId="77777777" w:rsidTr="0077535C">
        <w:trPr>
          <w:cantSplit/>
          <w:tblHeader/>
        </w:trPr>
        <w:tc>
          <w:tcPr>
            <w:tcW w:w="796" w:type="dxa"/>
            <w:tcBorders>
              <w:top w:val="single" w:sz="4" w:space="0" w:color="365F91"/>
              <w:bottom w:val="single" w:sz="4" w:space="0" w:color="365F91"/>
            </w:tcBorders>
            <w:shd w:val="clear" w:color="auto" w:fill="365F91"/>
            <w:tcMar>
              <w:top w:w="0" w:type="dxa"/>
              <w:left w:w="57" w:type="dxa"/>
              <w:bottom w:w="0" w:type="dxa"/>
              <w:right w:w="57" w:type="dxa"/>
            </w:tcMar>
            <w:vAlign w:val="bottom"/>
          </w:tcPr>
          <w:p w14:paraId="739DDFC4" w14:textId="77777777" w:rsidR="00387C28" w:rsidRPr="00BE78CA" w:rsidRDefault="00387C28" w:rsidP="00C26084">
            <w:pPr>
              <w:pStyle w:val="TableTextBold"/>
              <w:rPr>
                <w:noProof w:val="0"/>
                <w:color w:val="FFFFFF" w:themeColor="background1"/>
              </w:rPr>
            </w:pPr>
            <w:r w:rsidRPr="00BE78CA">
              <w:rPr>
                <w:rFonts w:eastAsia="Calibri"/>
                <w:noProof w:val="0"/>
                <w:color w:val="FFFFFF" w:themeColor="background1"/>
              </w:rPr>
              <w:t>CRF category code</w:t>
            </w:r>
          </w:p>
        </w:tc>
        <w:tc>
          <w:tcPr>
            <w:tcW w:w="3238" w:type="dxa"/>
            <w:tcBorders>
              <w:top w:val="single" w:sz="4" w:space="0" w:color="365F91"/>
              <w:bottom w:val="single" w:sz="4" w:space="0" w:color="365F91"/>
            </w:tcBorders>
            <w:shd w:val="clear" w:color="auto" w:fill="365F91"/>
            <w:tcMar>
              <w:top w:w="0" w:type="dxa"/>
              <w:left w:w="57" w:type="dxa"/>
              <w:bottom w:w="0" w:type="dxa"/>
              <w:right w:w="57" w:type="dxa"/>
            </w:tcMar>
            <w:vAlign w:val="bottom"/>
          </w:tcPr>
          <w:p w14:paraId="0A9E45A3" w14:textId="77777777" w:rsidR="00387C28" w:rsidRPr="00BE78CA" w:rsidRDefault="00387C28" w:rsidP="00C26084">
            <w:pPr>
              <w:pStyle w:val="TableTextBold"/>
              <w:rPr>
                <w:noProof w:val="0"/>
                <w:color w:val="FFFFFF" w:themeColor="background1"/>
              </w:rPr>
            </w:pPr>
            <w:r w:rsidRPr="00BE78CA">
              <w:rPr>
                <w:rFonts w:eastAsia="Calibri"/>
                <w:noProof w:val="0"/>
                <w:color w:val="FFFFFF" w:themeColor="background1"/>
              </w:rPr>
              <w:t>IPCC category</w:t>
            </w:r>
          </w:p>
        </w:tc>
        <w:tc>
          <w:tcPr>
            <w:tcW w:w="528" w:type="dxa"/>
            <w:tcBorders>
              <w:top w:val="single" w:sz="4" w:space="0" w:color="365F91"/>
              <w:bottom w:val="single" w:sz="4" w:space="0" w:color="365F91"/>
            </w:tcBorders>
            <w:shd w:val="clear" w:color="auto" w:fill="365F91"/>
            <w:tcMar>
              <w:top w:w="0" w:type="dxa"/>
              <w:left w:w="57" w:type="dxa"/>
              <w:bottom w:w="0" w:type="dxa"/>
              <w:right w:w="57" w:type="dxa"/>
            </w:tcMar>
            <w:vAlign w:val="bottom"/>
          </w:tcPr>
          <w:p w14:paraId="74E23330" w14:textId="77777777" w:rsidR="00387C28" w:rsidRPr="00BE78CA" w:rsidRDefault="00387C28" w:rsidP="006132E1">
            <w:pPr>
              <w:pStyle w:val="TableTextBold"/>
              <w:jc w:val="center"/>
              <w:rPr>
                <w:noProof w:val="0"/>
                <w:color w:val="FFFFFF" w:themeColor="background1"/>
              </w:rPr>
            </w:pPr>
            <w:r w:rsidRPr="00BE78CA">
              <w:rPr>
                <w:rFonts w:eastAsia="Calibri"/>
                <w:noProof w:val="0"/>
                <w:color w:val="FFFFFF" w:themeColor="background1"/>
              </w:rPr>
              <w:t>Gas</w:t>
            </w:r>
          </w:p>
        </w:tc>
        <w:tc>
          <w:tcPr>
            <w:tcW w:w="1409" w:type="dxa"/>
            <w:tcBorders>
              <w:top w:val="single" w:sz="4" w:space="0" w:color="365F91"/>
              <w:bottom w:val="single" w:sz="4" w:space="0" w:color="365F91"/>
            </w:tcBorders>
            <w:shd w:val="clear" w:color="auto" w:fill="365F91"/>
            <w:tcMar>
              <w:top w:w="0" w:type="dxa"/>
              <w:left w:w="57" w:type="dxa"/>
              <w:bottom w:w="0" w:type="dxa"/>
              <w:right w:w="57" w:type="dxa"/>
            </w:tcMar>
            <w:vAlign w:val="bottom"/>
          </w:tcPr>
          <w:p w14:paraId="24D2A263" w14:textId="30B23123" w:rsidR="00387C28" w:rsidRPr="00BE78CA" w:rsidRDefault="00387C28" w:rsidP="002B097E">
            <w:pPr>
              <w:pStyle w:val="TableTextBold"/>
              <w:jc w:val="right"/>
              <w:rPr>
                <w:noProof w:val="0"/>
                <w:color w:val="FFFFFF" w:themeColor="background1"/>
              </w:rPr>
            </w:pPr>
            <w:r w:rsidRPr="00BE78CA">
              <w:rPr>
                <w:rFonts w:eastAsia="Calibri"/>
                <w:noProof w:val="0"/>
                <w:color w:val="FFFFFF" w:themeColor="background1"/>
              </w:rPr>
              <w:t>2019 estimate (kt</w:t>
            </w:r>
            <w:r w:rsidR="002B097E" w:rsidRPr="00BE78CA">
              <w:rPr>
                <w:rFonts w:eastAsia="Calibri"/>
                <w:noProof w:val="0"/>
                <w:color w:val="FFFFFF" w:themeColor="background1"/>
              </w:rPr>
              <w:t> </w:t>
            </w:r>
            <w:r w:rsidRPr="00BE78CA">
              <w:rPr>
                <w:rFonts w:eastAsia="Calibri"/>
                <w:noProof w:val="0"/>
                <w:color w:val="FFFFFF" w:themeColor="background1"/>
              </w:rPr>
              <w:t>CO</w:t>
            </w:r>
            <w:r w:rsidRPr="00BE78CA">
              <w:rPr>
                <w:rFonts w:eastAsia="Calibri"/>
                <w:noProof w:val="0"/>
                <w:color w:val="FFFFFF" w:themeColor="background1"/>
                <w:vertAlign w:val="subscript"/>
              </w:rPr>
              <w:t>2</w:t>
            </w:r>
            <w:r w:rsidRPr="00BE78CA">
              <w:rPr>
                <w:rFonts w:eastAsia="Calibri"/>
                <w:noProof w:val="0"/>
                <w:color w:val="FFFFFF" w:themeColor="background1"/>
              </w:rPr>
              <w:t>-equivalent)</w:t>
            </w:r>
          </w:p>
        </w:tc>
        <w:tc>
          <w:tcPr>
            <w:tcW w:w="1290" w:type="dxa"/>
            <w:tcBorders>
              <w:top w:val="single" w:sz="4" w:space="0" w:color="365F91"/>
              <w:bottom w:val="single" w:sz="4" w:space="0" w:color="365F91"/>
            </w:tcBorders>
            <w:shd w:val="clear" w:color="auto" w:fill="365F91"/>
            <w:tcMar>
              <w:top w:w="0" w:type="dxa"/>
              <w:left w:w="57" w:type="dxa"/>
              <w:bottom w:w="0" w:type="dxa"/>
              <w:right w:w="57" w:type="dxa"/>
            </w:tcMar>
            <w:vAlign w:val="bottom"/>
          </w:tcPr>
          <w:p w14:paraId="3FAC83CF" w14:textId="77777777" w:rsidR="00387C28" w:rsidRPr="00BE78CA" w:rsidRDefault="00387C28" w:rsidP="002B097E">
            <w:pPr>
              <w:pStyle w:val="TableTextBold"/>
              <w:jc w:val="right"/>
              <w:rPr>
                <w:noProof w:val="0"/>
                <w:color w:val="FFFFFF" w:themeColor="background1"/>
              </w:rPr>
            </w:pPr>
            <w:r w:rsidRPr="00BE78CA">
              <w:rPr>
                <w:rFonts w:eastAsia="Calibri"/>
                <w:noProof w:val="0"/>
                <w:color w:val="FFFFFF" w:themeColor="background1"/>
              </w:rPr>
              <w:t>Level assessment (%)</w:t>
            </w:r>
          </w:p>
        </w:tc>
        <w:tc>
          <w:tcPr>
            <w:tcW w:w="1233" w:type="dxa"/>
            <w:tcBorders>
              <w:top w:val="single" w:sz="4" w:space="0" w:color="365F91"/>
              <w:bottom w:val="single" w:sz="4" w:space="0" w:color="365F91"/>
            </w:tcBorders>
            <w:shd w:val="clear" w:color="auto" w:fill="365F91"/>
            <w:tcMar>
              <w:top w:w="0" w:type="dxa"/>
              <w:left w:w="57" w:type="dxa"/>
              <w:bottom w:w="0" w:type="dxa"/>
              <w:right w:w="57" w:type="dxa"/>
            </w:tcMar>
            <w:vAlign w:val="bottom"/>
          </w:tcPr>
          <w:p w14:paraId="58497FDA" w14:textId="77777777" w:rsidR="00387C28" w:rsidRPr="00BE78CA" w:rsidRDefault="00387C28" w:rsidP="002B097E">
            <w:pPr>
              <w:pStyle w:val="TableTextBold"/>
              <w:jc w:val="right"/>
              <w:rPr>
                <w:noProof w:val="0"/>
                <w:color w:val="FFFFFF" w:themeColor="background1"/>
              </w:rPr>
            </w:pPr>
            <w:r w:rsidRPr="00BE78CA">
              <w:rPr>
                <w:rFonts w:eastAsia="Calibri"/>
                <w:noProof w:val="0"/>
                <w:color w:val="FFFFFF" w:themeColor="background1"/>
              </w:rPr>
              <w:t>Cumulative total (%)</w:t>
            </w:r>
          </w:p>
        </w:tc>
      </w:tr>
      <w:tr w:rsidR="0077535C" w:rsidRPr="00BE78CA" w14:paraId="26DA083B" w14:textId="77777777" w:rsidTr="0077535C">
        <w:trPr>
          <w:cantSplit/>
        </w:trPr>
        <w:tc>
          <w:tcPr>
            <w:tcW w:w="796" w:type="dxa"/>
            <w:tcBorders>
              <w:top w:val="single" w:sz="4" w:space="0" w:color="365F91"/>
              <w:left w:val="single" w:sz="4" w:space="0" w:color="FFFFFF"/>
              <w:bottom w:val="single" w:sz="4" w:space="0" w:color="365F91"/>
            </w:tcBorders>
            <w:shd w:val="clear" w:color="auto" w:fill="FFFFFF"/>
            <w:tcMar>
              <w:top w:w="0" w:type="dxa"/>
              <w:left w:w="57" w:type="dxa"/>
              <w:bottom w:w="0" w:type="dxa"/>
              <w:right w:w="57" w:type="dxa"/>
            </w:tcMar>
          </w:tcPr>
          <w:p w14:paraId="1525CC68" w14:textId="77777777" w:rsidR="00387C28" w:rsidRPr="00BE78CA" w:rsidRDefault="00387C28" w:rsidP="00E55E06">
            <w:pPr>
              <w:pStyle w:val="TableText"/>
              <w:spacing w:before="50" w:after="50"/>
            </w:pPr>
            <w:r w:rsidRPr="00BE78CA">
              <w:rPr>
                <w:rFonts w:eastAsia="Calibri"/>
              </w:rPr>
              <w:t>1.A.3.b</w:t>
            </w:r>
          </w:p>
        </w:tc>
        <w:tc>
          <w:tcPr>
            <w:tcW w:w="3238" w:type="dxa"/>
            <w:tcBorders>
              <w:top w:val="single" w:sz="4" w:space="0" w:color="365F91"/>
              <w:bottom w:val="single" w:sz="4" w:space="0" w:color="365F91"/>
            </w:tcBorders>
            <w:shd w:val="clear" w:color="auto" w:fill="FFFFFF"/>
            <w:tcMar>
              <w:top w:w="0" w:type="dxa"/>
              <w:left w:w="57" w:type="dxa"/>
              <w:bottom w:w="0" w:type="dxa"/>
              <w:right w:w="57" w:type="dxa"/>
            </w:tcMar>
          </w:tcPr>
          <w:p w14:paraId="661F645B" w14:textId="77777777" w:rsidR="00387C28" w:rsidRPr="00BE78CA" w:rsidRDefault="00387C28" w:rsidP="00E55E06">
            <w:pPr>
              <w:pStyle w:val="TableText"/>
              <w:spacing w:before="50" w:after="50"/>
            </w:pPr>
            <w:r w:rsidRPr="00BE78CA">
              <w:rPr>
                <w:rFonts w:eastAsia="Calibri"/>
              </w:rPr>
              <w:t>Transport – Road Transportation</w:t>
            </w:r>
          </w:p>
        </w:tc>
        <w:tc>
          <w:tcPr>
            <w:tcW w:w="528" w:type="dxa"/>
            <w:tcBorders>
              <w:top w:val="single" w:sz="4" w:space="0" w:color="365F91"/>
              <w:bottom w:val="single" w:sz="4" w:space="0" w:color="365F91"/>
            </w:tcBorders>
            <w:shd w:val="clear" w:color="auto" w:fill="FFFFFF"/>
            <w:tcMar>
              <w:top w:w="0" w:type="dxa"/>
              <w:left w:w="57" w:type="dxa"/>
              <w:bottom w:w="0" w:type="dxa"/>
              <w:right w:w="57" w:type="dxa"/>
            </w:tcMar>
          </w:tcPr>
          <w:p w14:paraId="5D59E833" w14:textId="77777777" w:rsidR="00387C28" w:rsidRPr="00BE78CA" w:rsidRDefault="00387C28" w:rsidP="006132E1">
            <w:pPr>
              <w:pStyle w:val="TableText"/>
              <w:spacing w:before="50" w:after="50"/>
              <w:jc w:val="center"/>
            </w:pPr>
            <w:r w:rsidRPr="00BE78CA">
              <w:rPr>
                <w:rFonts w:eastAsia="Calibri"/>
              </w:rPr>
              <w:t>CO</w:t>
            </w:r>
            <w:r w:rsidRPr="00BE78CA">
              <w:rPr>
                <w:rFonts w:eastAsia="Calibri"/>
                <w:vertAlign w:val="subscript"/>
              </w:rPr>
              <w:t>2</w:t>
            </w:r>
          </w:p>
        </w:tc>
        <w:tc>
          <w:tcPr>
            <w:tcW w:w="1409" w:type="dxa"/>
            <w:tcBorders>
              <w:top w:val="single" w:sz="4" w:space="0" w:color="365F91"/>
              <w:bottom w:val="single" w:sz="4" w:space="0" w:color="365F91"/>
            </w:tcBorders>
            <w:shd w:val="clear" w:color="auto" w:fill="FFFFFF"/>
            <w:tcMar>
              <w:top w:w="0" w:type="dxa"/>
              <w:left w:w="57" w:type="dxa"/>
              <w:bottom w:w="0" w:type="dxa"/>
              <w:right w:w="57" w:type="dxa"/>
            </w:tcMar>
          </w:tcPr>
          <w:p w14:paraId="5D2DD101" w14:textId="77777777" w:rsidR="00387C28" w:rsidRPr="00BE78CA" w:rsidRDefault="00387C28" w:rsidP="002B097E">
            <w:pPr>
              <w:pStyle w:val="TableText"/>
              <w:spacing w:before="50" w:after="50"/>
              <w:jc w:val="right"/>
            </w:pPr>
            <w:r w:rsidRPr="00BE78CA">
              <w:rPr>
                <w:rFonts w:eastAsia="Calibri"/>
              </w:rPr>
              <w:t>14,559.4</w:t>
            </w:r>
          </w:p>
        </w:tc>
        <w:tc>
          <w:tcPr>
            <w:tcW w:w="1290" w:type="dxa"/>
            <w:tcBorders>
              <w:top w:val="single" w:sz="4" w:space="0" w:color="365F91"/>
              <w:bottom w:val="single" w:sz="4" w:space="0" w:color="365F91"/>
            </w:tcBorders>
            <w:shd w:val="clear" w:color="auto" w:fill="FFFFFF"/>
            <w:tcMar>
              <w:top w:w="0" w:type="dxa"/>
              <w:left w:w="57" w:type="dxa"/>
              <w:bottom w:w="0" w:type="dxa"/>
              <w:right w:w="57" w:type="dxa"/>
            </w:tcMar>
          </w:tcPr>
          <w:p w14:paraId="41B80375" w14:textId="77777777" w:rsidR="00387C28" w:rsidRPr="00BE78CA" w:rsidRDefault="00387C28" w:rsidP="002B097E">
            <w:pPr>
              <w:pStyle w:val="TableText"/>
              <w:spacing w:before="50" w:after="50"/>
              <w:jc w:val="right"/>
            </w:pPr>
            <w:r w:rsidRPr="00BE78CA">
              <w:rPr>
                <w:rFonts w:eastAsia="Calibri"/>
              </w:rPr>
              <w:t>17.7</w:t>
            </w:r>
          </w:p>
        </w:tc>
        <w:tc>
          <w:tcPr>
            <w:tcW w:w="1233" w:type="dxa"/>
            <w:tcBorders>
              <w:top w:val="single" w:sz="4" w:space="0" w:color="365F91"/>
              <w:bottom w:val="single" w:sz="4" w:space="0" w:color="365F91"/>
            </w:tcBorders>
            <w:shd w:val="clear" w:color="auto" w:fill="FFFFFF"/>
            <w:tcMar>
              <w:top w:w="0" w:type="dxa"/>
              <w:left w:w="57" w:type="dxa"/>
              <w:bottom w:w="0" w:type="dxa"/>
              <w:right w:w="57" w:type="dxa"/>
            </w:tcMar>
          </w:tcPr>
          <w:p w14:paraId="4B696F27" w14:textId="77777777" w:rsidR="00387C28" w:rsidRPr="00BE78CA" w:rsidRDefault="00387C28" w:rsidP="002B097E">
            <w:pPr>
              <w:pStyle w:val="TableText"/>
              <w:spacing w:before="50" w:after="50"/>
              <w:jc w:val="right"/>
            </w:pPr>
            <w:r w:rsidRPr="00BE78CA">
              <w:rPr>
                <w:rFonts w:eastAsia="Calibri"/>
              </w:rPr>
              <w:t>17.7</w:t>
            </w:r>
          </w:p>
        </w:tc>
      </w:tr>
      <w:tr w:rsidR="0077535C" w:rsidRPr="00BE78CA" w14:paraId="40032022" w14:textId="77777777" w:rsidTr="0077535C">
        <w:trPr>
          <w:cantSplit/>
        </w:trPr>
        <w:tc>
          <w:tcPr>
            <w:tcW w:w="796" w:type="dxa"/>
            <w:tcBorders>
              <w:top w:val="single" w:sz="4" w:space="0" w:color="365F91"/>
              <w:left w:val="single" w:sz="4" w:space="0" w:color="FFFFFF"/>
              <w:bottom w:val="single" w:sz="4" w:space="0" w:color="365F91"/>
            </w:tcBorders>
            <w:shd w:val="clear" w:color="auto" w:fill="FFFFFF"/>
            <w:tcMar>
              <w:top w:w="0" w:type="dxa"/>
              <w:left w:w="57" w:type="dxa"/>
              <w:bottom w:w="0" w:type="dxa"/>
              <w:right w:w="57" w:type="dxa"/>
            </w:tcMar>
          </w:tcPr>
          <w:p w14:paraId="157A89D7" w14:textId="77777777" w:rsidR="00387C28" w:rsidRPr="00BE78CA" w:rsidRDefault="00387C28" w:rsidP="00E55E06">
            <w:pPr>
              <w:pStyle w:val="TableText"/>
              <w:spacing w:before="50" w:after="50"/>
            </w:pPr>
            <w:r w:rsidRPr="00BE78CA">
              <w:rPr>
                <w:rFonts w:eastAsia="Calibri"/>
              </w:rPr>
              <w:t>3.A.1</w:t>
            </w:r>
          </w:p>
        </w:tc>
        <w:tc>
          <w:tcPr>
            <w:tcW w:w="3238" w:type="dxa"/>
            <w:tcBorders>
              <w:top w:val="single" w:sz="4" w:space="0" w:color="365F91"/>
              <w:bottom w:val="single" w:sz="4" w:space="0" w:color="365F91"/>
            </w:tcBorders>
            <w:shd w:val="clear" w:color="auto" w:fill="FFFFFF"/>
            <w:tcMar>
              <w:top w:w="0" w:type="dxa"/>
              <w:left w:w="57" w:type="dxa"/>
              <w:bottom w:w="0" w:type="dxa"/>
              <w:right w:w="57" w:type="dxa"/>
            </w:tcMar>
          </w:tcPr>
          <w:p w14:paraId="1906BEBF" w14:textId="77777777" w:rsidR="00387C28" w:rsidRPr="00BE78CA" w:rsidRDefault="00387C28" w:rsidP="00E55E06">
            <w:pPr>
              <w:pStyle w:val="TableText"/>
              <w:spacing w:before="50" w:after="50"/>
            </w:pPr>
            <w:r w:rsidRPr="00BE78CA">
              <w:rPr>
                <w:rFonts w:eastAsia="Calibri"/>
              </w:rPr>
              <w:t>Option A – Dairy Cattle</w:t>
            </w:r>
          </w:p>
        </w:tc>
        <w:tc>
          <w:tcPr>
            <w:tcW w:w="528" w:type="dxa"/>
            <w:tcBorders>
              <w:top w:val="single" w:sz="4" w:space="0" w:color="365F91"/>
              <w:bottom w:val="single" w:sz="4" w:space="0" w:color="365F91"/>
            </w:tcBorders>
            <w:shd w:val="clear" w:color="auto" w:fill="FFFFFF"/>
            <w:tcMar>
              <w:top w:w="0" w:type="dxa"/>
              <w:left w:w="57" w:type="dxa"/>
              <w:bottom w:w="0" w:type="dxa"/>
              <w:right w:w="57" w:type="dxa"/>
            </w:tcMar>
          </w:tcPr>
          <w:p w14:paraId="32D05D5C" w14:textId="77777777" w:rsidR="00387C28" w:rsidRPr="00BE78CA" w:rsidRDefault="00387C28" w:rsidP="006132E1">
            <w:pPr>
              <w:pStyle w:val="TableText"/>
              <w:spacing w:before="50" w:after="50"/>
              <w:jc w:val="center"/>
            </w:pPr>
            <w:r w:rsidRPr="00BE78CA">
              <w:rPr>
                <w:rFonts w:eastAsia="Calibri"/>
              </w:rPr>
              <w:t>CH</w:t>
            </w:r>
            <w:r w:rsidRPr="00BE78CA">
              <w:rPr>
                <w:rFonts w:eastAsia="Calibri"/>
                <w:vertAlign w:val="subscript"/>
              </w:rPr>
              <w:t>4</w:t>
            </w:r>
          </w:p>
        </w:tc>
        <w:tc>
          <w:tcPr>
            <w:tcW w:w="1409" w:type="dxa"/>
            <w:tcBorders>
              <w:top w:val="single" w:sz="4" w:space="0" w:color="365F91"/>
              <w:bottom w:val="single" w:sz="4" w:space="0" w:color="365F91"/>
            </w:tcBorders>
            <w:shd w:val="clear" w:color="auto" w:fill="FFFFFF"/>
            <w:tcMar>
              <w:top w:w="0" w:type="dxa"/>
              <w:left w:w="57" w:type="dxa"/>
              <w:bottom w:w="0" w:type="dxa"/>
              <w:right w:w="57" w:type="dxa"/>
            </w:tcMar>
          </w:tcPr>
          <w:p w14:paraId="7E9A6032" w14:textId="77777777" w:rsidR="00387C28" w:rsidRPr="00BE78CA" w:rsidRDefault="00387C28" w:rsidP="002B097E">
            <w:pPr>
              <w:pStyle w:val="TableText"/>
              <w:spacing w:before="50" w:after="50"/>
              <w:jc w:val="right"/>
            </w:pPr>
            <w:r w:rsidRPr="00BE78CA">
              <w:rPr>
                <w:rFonts w:eastAsia="Calibri"/>
              </w:rPr>
              <w:t>14,013.6</w:t>
            </w:r>
          </w:p>
        </w:tc>
        <w:tc>
          <w:tcPr>
            <w:tcW w:w="1290" w:type="dxa"/>
            <w:tcBorders>
              <w:top w:val="single" w:sz="4" w:space="0" w:color="365F91"/>
              <w:bottom w:val="single" w:sz="4" w:space="0" w:color="365F91"/>
            </w:tcBorders>
            <w:shd w:val="clear" w:color="auto" w:fill="FFFFFF"/>
            <w:tcMar>
              <w:top w:w="0" w:type="dxa"/>
              <w:left w:w="57" w:type="dxa"/>
              <w:bottom w:w="0" w:type="dxa"/>
              <w:right w:w="57" w:type="dxa"/>
            </w:tcMar>
          </w:tcPr>
          <w:p w14:paraId="03694CD6" w14:textId="77777777" w:rsidR="00387C28" w:rsidRPr="00BE78CA" w:rsidRDefault="00387C28" w:rsidP="002B097E">
            <w:pPr>
              <w:pStyle w:val="TableText"/>
              <w:spacing w:before="50" w:after="50"/>
              <w:jc w:val="right"/>
            </w:pPr>
            <w:r w:rsidRPr="00BE78CA">
              <w:rPr>
                <w:rFonts w:eastAsia="Calibri"/>
              </w:rPr>
              <w:t>17.0</w:t>
            </w:r>
          </w:p>
        </w:tc>
        <w:tc>
          <w:tcPr>
            <w:tcW w:w="1233" w:type="dxa"/>
            <w:tcBorders>
              <w:top w:val="single" w:sz="4" w:space="0" w:color="365F91"/>
              <w:bottom w:val="single" w:sz="4" w:space="0" w:color="365F91"/>
            </w:tcBorders>
            <w:shd w:val="clear" w:color="auto" w:fill="FFFFFF"/>
            <w:tcMar>
              <w:top w:w="0" w:type="dxa"/>
              <w:left w:w="57" w:type="dxa"/>
              <w:bottom w:w="0" w:type="dxa"/>
              <w:right w:w="57" w:type="dxa"/>
            </w:tcMar>
          </w:tcPr>
          <w:p w14:paraId="79B56C27" w14:textId="77777777" w:rsidR="00387C28" w:rsidRPr="00BE78CA" w:rsidRDefault="00387C28" w:rsidP="002B097E">
            <w:pPr>
              <w:pStyle w:val="TableText"/>
              <w:spacing w:before="50" w:after="50"/>
              <w:jc w:val="right"/>
            </w:pPr>
            <w:r w:rsidRPr="00BE78CA">
              <w:rPr>
                <w:rFonts w:eastAsia="Calibri"/>
              </w:rPr>
              <w:t>34.7</w:t>
            </w:r>
          </w:p>
        </w:tc>
      </w:tr>
      <w:tr w:rsidR="0077535C" w:rsidRPr="00BE78CA" w14:paraId="7C97371F" w14:textId="77777777" w:rsidTr="0077535C">
        <w:trPr>
          <w:cantSplit/>
        </w:trPr>
        <w:tc>
          <w:tcPr>
            <w:tcW w:w="796" w:type="dxa"/>
            <w:tcBorders>
              <w:top w:val="single" w:sz="4" w:space="0" w:color="365F91"/>
              <w:left w:val="single" w:sz="4" w:space="0" w:color="FFFFFF"/>
              <w:bottom w:val="single" w:sz="4" w:space="0" w:color="365F91"/>
            </w:tcBorders>
            <w:shd w:val="clear" w:color="auto" w:fill="FFFFFF"/>
            <w:tcMar>
              <w:top w:w="0" w:type="dxa"/>
              <w:left w:w="57" w:type="dxa"/>
              <w:bottom w:w="0" w:type="dxa"/>
              <w:right w:w="57" w:type="dxa"/>
            </w:tcMar>
          </w:tcPr>
          <w:p w14:paraId="52F49DE1" w14:textId="77777777" w:rsidR="00387C28" w:rsidRPr="00BE78CA" w:rsidRDefault="00387C28" w:rsidP="00E55E06">
            <w:pPr>
              <w:pStyle w:val="TableText"/>
              <w:spacing w:before="50" w:after="50"/>
            </w:pPr>
            <w:r w:rsidRPr="00BE78CA">
              <w:rPr>
                <w:rFonts w:eastAsia="Calibri"/>
              </w:rPr>
              <w:t>3.A.2</w:t>
            </w:r>
          </w:p>
        </w:tc>
        <w:tc>
          <w:tcPr>
            <w:tcW w:w="3238" w:type="dxa"/>
            <w:tcBorders>
              <w:top w:val="single" w:sz="4" w:space="0" w:color="365F91"/>
              <w:bottom w:val="single" w:sz="4" w:space="0" w:color="365F91"/>
            </w:tcBorders>
            <w:shd w:val="clear" w:color="auto" w:fill="FFFFFF"/>
            <w:tcMar>
              <w:top w:w="0" w:type="dxa"/>
              <w:left w:w="57" w:type="dxa"/>
              <w:bottom w:w="0" w:type="dxa"/>
              <w:right w:w="57" w:type="dxa"/>
            </w:tcMar>
          </w:tcPr>
          <w:p w14:paraId="0D599F4D" w14:textId="77777777" w:rsidR="00387C28" w:rsidRPr="00BE78CA" w:rsidRDefault="00387C28" w:rsidP="00E55E06">
            <w:pPr>
              <w:pStyle w:val="TableText"/>
              <w:spacing w:before="50" w:after="50"/>
            </w:pPr>
            <w:r w:rsidRPr="00BE78CA">
              <w:rPr>
                <w:rFonts w:eastAsia="Calibri"/>
              </w:rPr>
              <w:t>Other (please specify) – Sheep</w:t>
            </w:r>
          </w:p>
        </w:tc>
        <w:tc>
          <w:tcPr>
            <w:tcW w:w="528" w:type="dxa"/>
            <w:tcBorders>
              <w:top w:val="single" w:sz="4" w:space="0" w:color="365F91"/>
              <w:bottom w:val="single" w:sz="4" w:space="0" w:color="365F91"/>
            </w:tcBorders>
            <w:shd w:val="clear" w:color="auto" w:fill="FFFFFF"/>
            <w:tcMar>
              <w:top w:w="0" w:type="dxa"/>
              <w:left w:w="57" w:type="dxa"/>
              <w:bottom w:w="0" w:type="dxa"/>
              <w:right w:w="57" w:type="dxa"/>
            </w:tcMar>
          </w:tcPr>
          <w:p w14:paraId="4241094A" w14:textId="77777777" w:rsidR="00387C28" w:rsidRPr="00BE78CA" w:rsidRDefault="00387C28" w:rsidP="006132E1">
            <w:pPr>
              <w:pStyle w:val="TableText"/>
              <w:spacing w:before="50" w:after="50"/>
              <w:jc w:val="center"/>
            </w:pPr>
            <w:r w:rsidRPr="00BE78CA">
              <w:rPr>
                <w:rFonts w:eastAsia="Calibri"/>
              </w:rPr>
              <w:t>CH</w:t>
            </w:r>
            <w:r w:rsidRPr="00BE78CA">
              <w:rPr>
                <w:rFonts w:eastAsia="Calibri"/>
                <w:vertAlign w:val="subscript"/>
              </w:rPr>
              <w:t>4</w:t>
            </w:r>
          </w:p>
        </w:tc>
        <w:tc>
          <w:tcPr>
            <w:tcW w:w="1409" w:type="dxa"/>
            <w:tcBorders>
              <w:top w:val="single" w:sz="4" w:space="0" w:color="365F91"/>
              <w:bottom w:val="single" w:sz="4" w:space="0" w:color="365F91"/>
            </w:tcBorders>
            <w:shd w:val="clear" w:color="auto" w:fill="FFFFFF"/>
            <w:tcMar>
              <w:top w:w="0" w:type="dxa"/>
              <w:left w:w="57" w:type="dxa"/>
              <w:bottom w:w="0" w:type="dxa"/>
              <w:right w:w="57" w:type="dxa"/>
            </w:tcMar>
          </w:tcPr>
          <w:p w14:paraId="540E3E30" w14:textId="77777777" w:rsidR="00387C28" w:rsidRPr="00BE78CA" w:rsidRDefault="00387C28" w:rsidP="002B097E">
            <w:pPr>
              <w:pStyle w:val="TableText"/>
              <w:spacing w:before="50" w:after="50"/>
              <w:jc w:val="right"/>
            </w:pPr>
            <w:r w:rsidRPr="00BE78CA">
              <w:rPr>
                <w:rFonts w:eastAsia="Calibri"/>
              </w:rPr>
              <w:t>8,527.2</w:t>
            </w:r>
          </w:p>
        </w:tc>
        <w:tc>
          <w:tcPr>
            <w:tcW w:w="1290" w:type="dxa"/>
            <w:tcBorders>
              <w:top w:val="single" w:sz="4" w:space="0" w:color="365F91"/>
              <w:bottom w:val="single" w:sz="4" w:space="0" w:color="365F91"/>
            </w:tcBorders>
            <w:shd w:val="clear" w:color="auto" w:fill="FFFFFF"/>
            <w:tcMar>
              <w:top w:w="0" w:type="dxa"/>
              <w:left w:w="57" w:type="dxa"/>
              <w:bottom w:w="0" w:type="dxa"/>
              <w:right w:w="57" w:type="dxa"/>
            </w:tcMar>
          </w:tcPr>
          <w:p w14:paraId="41749D44" w14:textId="77777777" w:rsidR="00387C28" w:rsidRPr="00BE78CA" w:rsidRDefault="00387C28" w:rsidP="002B097E">
            <w:pPr>
              <w:pStyle w:val="TableText"/>
              <w:spacing w:before="50" w:after="50"/>
              <w:jc w:val="right"/>
            </w:pPr>
            <w:r w:rsidRPr="00BE78CA">
              <w:rPr>
                <w:rFonts w:eastAsia="Calibri"/>
              </w:rPr>
              <w:t>10.4</w:t>
            </w:r>
          </w:p>
        </w:tc>
        <w:tc>
          <w:tcPr>
            <w:tcW w:w="1233" w:type="dxa"/>
            <w:tcBorders>
              <w:top w:val="single" w:sz="4" w:space="0" w:color="365F91"/>
              <w:bottom w:val="single" w:sz="4" w:space="0" w:color="365F91"/>
            </w:tcBorders>
            <w:shd w:val="clear" w:color="auto" w:fill="FFFFFF"/>
            <w:tcMar>
              <w:top w:w="0" w:type="dxa"/>
              <w:left w:w="57" w:type="dxa"/>
              <w:bottom w:w="0" w:type="dxa"/>
              <w:right w:w="57" w:type="dxa"/>
            </w:tcMar>
          </w:tcPr>
          <w:p w14:paraId="31C20DC6" w14:textId="77777777" w:rsidR="00387C28" w:rsidRPr="00BE78CA" w:rsidRDefault="00387C28" w:rsidP="002B097E">
            <w:pPr>
              <w:pStyle w:val="TableText"/>
              <w:spacing w:before="50" w:after="50"/>
              <w:jc w:val="right"/>
            </w:pPr>
            <w:r w:rsidRPr="00BE78CA">
              <w:rPr>
                <w:rFonts w:eastAsia="Calibri"/>
              </w:rPr>
              <w:t>45.1</w:t>
            </w:r>
          </w:p>
        </w:tc>
      </w:tr>
      <w:tr w:rsidR="0077535C" w:rsidRPr="00BE78CA" w14:paraId="45F83869" w14:textId="77777777" w:rsidTr="0077535C">
        <w:trPr>
          <w:cantSplit/>
        </w:trPr>
        <w:tc>
          <w:tcPr>
            <w:tcW w:w="796" w:type="dxa"/>
            <w:tcBorders>
              <w:top w:val="single" w:sz="4" w:space="0" w:color="365F91"/>
              <w:left w:val="single" w:sz="4" w:space="0" w:color="FFFFFF"/>
              <w:bottom w:val="single" w:sz="4" w:space="0" w:color="365F91"/>
            </w:tcBorders>
            <w:shd w:val="clear" w:color="auto" w:fill="FFFFFF"/>
            <w:tcMar>
              <w:top w:w="0" w:type="dxa"/>
              <w:left w:w="57" w:type="dxa"/>
              <w:bottom w:w="0" w:type="dxa"/>
              <w:right w:w="57" w:type="dxa"/>
            </w:tcMar>
          </w:tcPr>
          <w:p w14:paraId="502AAA6E" w14:textId="77777777" w:rsidR="00387C28" w:rsidRPr="00BE78CA" w:rsidRDefault="00387C28" w:rsidP="00E55E06">
            <w:pPr>
              <w:pStyle w:val="TableText"/>
              <w:spacing w:before="50" w:after="50"/>
            </w:pPr>
            <w:r w:rsidRPr="00BE78CA">
              <w:rPr>
                <w:rFonts w:eastAsia="Calibri"/>
              </w:rPr>
              <w:t>3.A.1</w:t>
            </w:r>
          </w:p>
        </w:tc>
        <w:tc>
          <w:tcPr>
            <w:tcW w:w="3238" w:type="dxa"/>
            <w:tcBorders>
              <w:top w:val="single" w:sz="4" w:space="0" w:color="365F91"/>
              <w:bottom w:val="single" w:sz="4" w:space="0" w:color="365F91"/>
            </w:tcBorders>
            <w:shd w:val="clear" w:color="auto" w:fill="FFFFFF"/>
            <w:tcMar>
              <w:top w:w="0" w:type="dxa"/>
              <w:left w:w="57" w:type="dxa"/>
              <w:bottom w:w="0" w:type="dxa"/>
              <w:right w:w="57" w:type="dxa"/>
            </w:tcMar>
          </w:tcPr>
          <w:p w14:paraId="0FD915B5" w14:textId="77777777" w:rsidR="00387C28" w:rsidRPr="00BE78CA" w:rsidRDefault="00387C28" w:rsidP="00E55E06">
            <w:pPr>
              <w:pStyle w:val="TableText"/>
              <w:spacing w:before="50" w:after="50"/>
            </w:pPr>
            <w:r w:rsidRPr="00BE78CA">
              <w:rPr>
                <w:rFonts w:eastAsia="Calibri"/>
              </w:rPr>
              <w:t xml:space="preserve">Option A – Non-Dairy </w:t>
            </w:r>
            <w:r w:rsidRPr="00BE78CA">
              <w:rPr>
                <w:rFonts w:eastAsia="Calibri"/>
                <w:i/>
                <w:iCs/>
              </w:rPr>
              <w:t>(Beef)</w:t>
            </w:r>
            <w:r w:rsidRPr="00BE78CA">
              <w:rPr>
                <w:rFonts w:eastAsia="Calibri"/>
              </w:rPr>
              <w:t xml:space="preserve"> Cattle</w:t>
            </w:r>
          </w:p>
        </w:tc>
        <w:tc>
          <w:tcPr>
            <w:tcW w:w="528" w:type="dxa"/>
            <w:tcBorders>
              <w:top w:val="single" w:sz="4" w:space="0" w:color="365F91"/>
              <w:bottom w:val="single" w:sz="4" w:space="0" w:color="365F91"/>
            </w:tcBorders>
            <w:shd w:val="clear" w:color="auto" w:fill="FFFFFF"/>
            <w:tcMar>
              <w:top w:w="0" w:type="dxa"/>
              <w:left w:w="57" w:type="dxa"/>
              <w:bottom w:w="0" w:type="dxa"/>
              <w:right w:w="57" w:type="dxa"/>
            </w:tcMar>
          </w:tcPr>
          <w:p w14:paraId="162268C5" w14:textId="77777777" w:rsidR="00387C28" w:rsidRPr="00BE78CA" w:rsidRDefault="00387C28" w:rsidP="006132E1">
            <w:pPr>
              <w:pStyle w:val="TableText"/>
              <w:spacing w:before="50" w:after="50"/>
              <w:jc w:val="center"/>
            </w:pPr>
            <w:r w:rsidRPr="00BE78CA">
              <w:rPr>
                <w:rFonts w:eastAsia="Calibri"/>
              </w:rPr>
              <w:t>CH</w:t>
            </w:r>
            <w:r w:rsidRPr="00BE78CA">
              <w:rPr>
                <w:rFonts w:eastAsia="Calibri"/>
                <w:vertAlign w:val="subscript"/>
              </w:rPr>
              <w:t>4</w:t>
            </w:r>
          </w:p>
        </w:tc>
        <w:tc>
          <w:tcPr>
            <w:tcW w:w="1409" w:type="dxa"/>
            <w:tcBorders>
              <w:top w:val="single" w:sz="4" w:space="0" w:color="365F91"/>
              <w:bottom w:val="single" w:sz="4" w:space="0" w:color="365F91"/>
            </w:tcBorders>
            <w:shd w:val="clear" w:color="auto" w:fill="FFFFFF"/>
            <w:tcMar>
              <w:top w:w="0" w:type="dxa"/>
              <w:left w:w="57" w:type="dxa"/>
              <w:bottom w:w="0" w:type="dxa"/>
              <w:right w:w="57" w:type="dxa"/>
            </w:tcMar>
          </w:tcPr>
          <w:p w14:paraId="411A00E4" w14:textId="77777777" w:rsidR="00387C28" w:rsidRPr="00BE78CA" w:rsidRDefault="00387C28" w:rsidP="002B097E">
            <w:pPr>
              <w:pStyle w:val="TableText"/>
              <w:spacing w:before="50" w:after="50"/>
              <w:jc w:val="right"/>
            </w:pPr>
            <w:r w:rsidRPr="00BE78CA">
              <w:rPr>
                <w:rFonts w:eastAsia="Calibri"/>
              </w:rPr>
              <w:t>5,893.7</w:t>
            </w:r>
          </w:p>
        </w:tc>
        <w:tc>
          <w:tcPr>
            <w:tcW w:w="1290" w:type="dxa"/>
            <w:tcBorders>
              <w:top w:val="single" w:sz="4" w:space="0" w:color="365F91"/>
              <w:bottom w:val="single" w:sz="4" w:space="0" w:color="365F91"/>
            </w:tcBorders>
            <w:shd w:val="clear" w:color="auto" w:fill="FFFFFF"/>
            <w:tcMar>
              <w:top w:w="0" w:type="dxa"/>
              <w:left w:w="57" w:type="dxa"/>
              <w:bottom w:w="0" w:type="dxa"/>
              <w:right w:w="57" w:type="dxa"/>
            </w:tcMar>
          </w:tcPr>
          <w:p w14:paraId="1DA114EE" w14:textId="77777777" w:rsidR="00387C28" w:rsidRPr="00BE78CA" w:rsidRDefault="00387C28" w:rsidP="002B097E">
            <w:pPr>
              <w:pStyle w:val="TableText"/>
              <w:spacing w:before="50" w:after="50"/>
              <w:jc w:val="right"/>
            </w:pPr>
            <w:r w:rsidRPr="00BE78CA">
              <w:rPr>
                <w:rFonts w:eastAsia="Calibri"/>
              </w:rPr>
              <w:t>7.2</w:t>
            </w:r>
          </w:p>
        </w:tc>
        <w:tc>
          <w:tcPr>
            <w:tcW w:w="1233" w:type="dxa"/>
            <w:tcBorders>
              <w:top w:val="single" w:sz="4" w:space="0" w:color="365F91"/>
              <w:bottom w:val="single" w:sz="4" w:space="0" w:color="365F91"/>
            </w:tcBorders>
            <w:shd w:val="clear" w:color="auto" w:fill="FFFFFF"/>
            <w:tcMar>
              <w:top w:w="0" w:type="dxa"/>
              <w:left w:w="57" w:type="dxa"/>
              <w:bottom w:w="0" w:type="dxa"/>
              <w:right w:w="57" w:type="dxa"/>
            </w:tcMar>
          </w:tcPr>
          <w:p w14:paraId="47ACA9BB" w14:textId="77777777" w:rsidR="00387C28" w:rsidRPr="00BE78CA" w:rsidRDefault="00387C28" w:rsidP="002B097E">
            <w:pPr>
              <w:pStyle w:val="TableText"/>
              <w:spacing w:before="50" w:after="50"/>
              <w:jc w:val="right"/>
            </w:pPr>
            <w:r w:rsidRPr="00BE78CA">
              <w:rPr>
                <w:rFonts w:eastAsia="Calibri"/>
              </w:rPr>
              <w:t>52.2</w:t>
            </w:r>
          </w:p>
        </w:tc>
      </w:tr>
      <w:tr w:rsidR="0077535C" w:rsidRPr="00BE78CA" w14:paraId="6E24438C" w14:textId="77777777" w:rsidTr="0077535C">
        <w:trPr>
          <w:cantSplit/>
        </w:trPr>
        <w:tc>
          <w:tcPr>
            <w:tcW w:w="796" w:type="dxa"/>
            <w:tcBorders>
              <w:top w:val="single" w:sz="4" w:space="0" w:color="365F91"/>
              <w:left w:val="single" w:sz="4" w:space="0" w:color="FFFFFF"/>
              <w:bottom w:val="single" w:sz="4" w:space="0" w:color="365F91"/>
            </w:tcBorders>
            <w:shd w:val="clear" w:color="auto" w:fill="FFFFFF"/>
            <w:tcMar>
              <w:top w:w="0" w:type="dxa"/>
              <w:left w:w="57" w:type="dxa"/>
              <w:bottom w:w="0" w:type="dxa"/>
              <w:right w:w="57" w:type="dxa"/>
            </w:tcMar>
          </w:tcPr>
          <w:p w14:paraId="5E98E6F0" w14:textId="77777777" w:rsidR="00387C28" w:rsidRPr="00BE78CA" w:rsidRDefault="00387C28" w:rsidP="00E55E06">
            <w:pPr>
              <w:pStyle w:val="TableText"/>
              <w:spacing w:before="50" w:after="50"/>
            </w:pPr>
            <w:r w:rsidRPr="00BE78CA">
              <w:rPr>
                <w:rFonts w:eastAsia="Calibri"/>
              </w:rPr>
              <w:t>3.D.1.3</w:t>
            </w:r>
          </w:p>
        </w:tc>
        <w:tc>
          <w:tcPr>
            <w:tcW w:w="3238" w:type="dxa"/>
            <w:tcBorders>
              <w:top w:val="single" w:sz="4" w:space="0" w:color="365F91"/>
              <w:bottom w:val="single" w:sz="4" w:space="0" w:color="365F91"/>
            </w:tcBorders>
            <w:shd w:val="clear" w:color="auto" w:fill="FFFFFF"/>
            <w:tcMar>
              <w:top w:w="0" w:type="dxa"/>
              <w:left w:w="57" w:type="dxa"/>
              <w:bottom w:w="0" w:type="dxa"/>
              <w:right w:w="57" w:type="dxa"/>
            </w:tcMar>
          </w:tcPr>
          <w:p w14:paraId="2AE07A61" w14:textId="414F9E20" w:rsidR="00387C28" w:rsidRPr="00BE78CA" w:rsidRDefault="00387C28" w:rsidP="00E55E06">
            <w:pPr>
              <w:pStyle w:val="TableText"/>
              <w:spacing w:before="50" w:after="50"/>
            </w:pPr>
            <w:r w:rsidRPr="00BE78CA">
              <w:rPr>
                <w:rFonts w:eastAsia="Calibri"/>
              </w:rPr>
              <w:t>Direct N</w:t>
            </w:r>
            <w:r w:rsidRPr="00BE78CA">
              <w:rPr>
                <w:rFonts w:eastAsia="Calibri"/>
                <w:vertAlign w:val="subscript"/>
              </w:rPr>
              <w:t>2</w:t>
            </w:r>
            <w:r w:rsidRPr="00BE78CA">
              <w:rPr>
                <w:rFonts w:eastAsia="Calibri"/>
              </w:rPr>
              <w:t>O Emissions from Managed Soils –</w:t>
            </w:r>
            <w:r w:rsidR="002B097E" w:rsidRPr="00BE78CA">
              <w:rPr>
                <w:rFonts w:eastAsia="Calibri"/>
              </w:rPr>
              <w:t> </w:t>
            </w:r>
            <w:r w:rsidRPr="00BE78CA">
              <w:rPr>
                <w:rFonts w:eastAsia="Calibri"/>
              </w:rPr>
              <w:t>Urine and Dung Deposited by Grazing Animals</w:t>
            </w:r>
          </w:p>
        </w:tc>
        <w:tc>
          <w:tcPr>
            <w:tcW w:w="528" w:type="dxa"/>
            <w:tcBorders>
              <w:top w:val="single" w:sz="4" w:space="0" w:color="365F91"/>
              <w:bottom w:val="single" w:sz="4" w:space="0" w:color="365F91"/>
            </w:tcBorders>
            <w:shd w:val="clear" w:color="auto" w:fill="FFFFFF"/>
            <w:tcMar>
              <w:top w:w="0" w:type="dxa"/>
              <w:left w:w="57" w:type="dxa"/>
              <w:bottom w:w="0" w:type="dxa"/>
              <w:right w:w="57" w:type="dxa"/>
            </w:tcMar>
          </w:tcPr>
          <w:p w14:paraId="00C39204" w14:textId="77777777" w:rsidR="00387C28" w:rsidRPr="00BE78CA" w:rsidRDefault="00387C28" w:rsidP="006132E1">
            <w:pPr>
              <w:pStyle w:val="TableText"/>
              <w:spacing w:before="50" w:after="50"/>
              <w:jc w:val="center"/>
            </w:pPr>
            <w:r w:rsidRPr="00BE78CA">
              <w:rPr>
                <w:rFonts w:eastAsia="Calibri"/>
              </w:rPr>
              <w:t>N</w:t>
            </w:r>
            <w:r w:rsidRPr="00BE78CA">
              <w:rPr>
                <w:rFonts w:eastAsia="Calibri"/>
                <w:vertAlign w:val="subscript"/>
              </w:rPr>
              <w:t>2</w:t>
            </w:r>
            <w:r w:rsidRPr="00BE78CA">
              <w:rPr>
                <w:rFonts w:eastAsia="Calibri"/>
              </w:rPr>
              <w:t>O</w:t>
            </w:r>
          </w:p>
        </w:tc>
        <w:tc>
          <w:tcPr>
            <w:tcW w:w="1409" w:type="dxa"/>
            <w:tcBorders>
              <w:top w:val="single" w:sz="4" w:space="0" w:color="365F91"/>
              <w:bottom w:val="single" w:sz="4" w:space="0" w:color="365F91"/>
            </w:tcBorders>
            <w:shd w:val="clear" w:color="auto" w:fill="FFFFFF"/>
            <w:tcMar>
              <w:top w:w="0" w:type="dxa"/>
              <w:left w:w="57" w:type="dxa"/>
              <w:bottom w:w="0" w:type="dxa"/>
              <w:right w:w="57" w:type="dxa"/>
            </w:tcMar>
          </w:tcPr>
          <w:p w14:paraId="69C54E76" w14:textId="77777777" w:rsidR="00387C28" w:rsidRPr="00BE78CA" w:rsidRDefault="00387C28" w:rsidP="002B097E">
            <w:pPr>
              <w:pStyle w:val="TableText"/>
              <w:spacing w:before="50" w:after="50"/>
              <w:jc w:val="right"/>
            </w:pPr>
            <w:r w:rsidRPr="00BE78CA">
              <w:rPr>
                <w:rFonts w:eastAsia="Calibri"/>
              </w:rPr>
              <w:t>3,899.3</w:t>
            </w:r>
          </w:p>
        </w:tc>
        <w:tc>
          <w:tcPr>
            <w:tcW w:w="1290" w:type="dxa"/>
            <w:tcBorders>
              <w:top w:val="single" w:sz="4" w:space="0" w:color="365F91"/>
              <w:bottom w:val="single" w:sz="4" w:space="0" w:color="365F91"/>
            </w:tcBorders>
            <w:shd w:val="clear" w:color="auto" w:fill="FFFFFF"/>
            <w:tcMar>
              <w:top w:w="0" w:type="dxa"/>
              <w:left w:w="57" w:type="dxa"/>
              <w:bottom w:w="0" w:type="dxa"/>
              <w:right w:w="57" w:type="dxa"/>
            </w:tcMar>
          </w:tcPr>
          <w:p w14:paraId="515FE8BF" w14:textId="77777777" w:rsidR="00387C28" w:rsidRPr="00BE78CA" w:rsidRDefault="00387C28" w:rsidP="002B097E">
            <w:pPr>
              <w:pStyle w:val="TableText"/>
              <w:spacing w:before="50" w:after="50"/>
              <w:jc w:val="right"/>
            </w:pPr>
            <w:r w:rsidRPr="00BE78CA">
              <w:rPr>
                <w:rFonts w:eastAsia="Calibri"/>
              </w:rPr>
              <w:t>4.7</w:t>
            </w:r>
          </w:p>
        </w:tc>
        <w:tc>
          <w:tcPr>
            <w:tcW w:w="1233" w:type="dxa"/>
            <w:tcBorders>
              <w:top w:val="single" w:sz="4" w:space="0" w:color="365F91"/>
              <w:bottom w:val="single" w:sz="4" w:space="0" w:color="365F91"/>
            </w:tcBorders>
            <w:shd w:val="clear" w:color="auto" w:fill="FFFFFF"/>
            <w:tcMar>
              <w:top w:w="0" w:type="dxa"/>
              <w:left w:w="57" w:type="dxa"/>
              <w:bottom w:w="0" w:type="dxa"/>
              <w:right w:w="57" w:type="dxa"/>
            </w:tcMar>
          </w:tcPr>
          <w:p w14:paraId="6770D18F" w14:textId="77777777" w:rsidR="00387C28" w:rsidRPr="00BE78CA" w:rsidRDefault="00387C28" w:rsidP="002B097E">
            <w:pPr>
              <w:pStyle w:val="TableText"/>
              <w:spacing w:before="50" w:after="50"/>
              <w:jc w:val="right"/>
            </w:pPr>
            <w:r w:rsidRPr="00BE78CA">
              <w:rPr>
                <w:rFonts w:eastAsia="Calibri"/>
              </w:rPr>
              <w:t>57.0</w:t>
            </w:r>
          </w:p>
        </w:tc>
      </w:tr>
      <w:tr w:rsidR="0077535C" w:rsidRPr="00BE78CA" w14:paraId="52E553AA" w14:textId="77777777" w:rsidTr="0077535C">
        <w:trPr>
          <w:cantSplit/>
        </w:trPr>
        <w:tc>
          <w:tcPr>
            <w:tcW w:w="796" w:type="dxa"/>
            <w:tcBorders>
              <w:top w:val="single" w:sz="4" w:space="0" w:color="365F91"/>
              <w:left w:val="single" w:sz="4" w:space="0" w:color="FFFFFF"/>
              <w:bottom w:val="single" w:sz="4" w:space="0" w:color="365F91"/>
            </w:tcBorders>
            <w:shd w:val="clear" w:color="auto" w:fill="FFFFFF"/>
            <w:tcMar>
              <w:top w:w="0" w:type="dxa"/>
              <w:left w:w="57" w:type="dxa"/>
              <w:bottom w:w="0" w:type="dxa"/>
              <w:right w:w="57" w:type="dxa"/>
            </w:tcMar>
          </w:tcPr>
          <w:p w14:paraId="00404195" w14:textId="77777777" w:rsidR="00387C28" w:rsidRPr="00BE78CA" w:rsidRDefault="00387C28" w:rsidP="00E55E06">
            <w:pPr>
              <w:pStyle w:val="TableText"/>
              <w:spacing w:before="50" w:after="50"/>
            </w:pPr>
            <w:r w:rsidRPr="00BE78CA">
              <w:rPr>
                <w:rFonts w:eastAsia="Calibri"/>
              </w:rPr>
              <w:t>5.A</w:t>
            </w:r>
          </w:p>
        </w:tc>
        <w:tc>
          <w:tcPr>
            <w:tcW w:w="3238" w:type="dxa"/>
            <w:tcBorders>
              <w:top w:val="single" w:sz="4" w:space="0" w:color="365F91"/>
              <w:bottom w:val="single" w:sz="4" w:space="0" w:color="365F91"/>
            </w:tcBorders>
            <w:shd w:val="clear" w:color="auto" w:fill="FFFFFF"/>
            <w:tcMar>
              <w:top w:w="0" w:type="dxa"/>
              <w:left w:w="57" w:type="dxa"/>
              <w:bottom w:w="0" w:type="dxa"/>
              <w:right w:w="57" w:type="dxa"/>
            </w:tcMar>
          </w:tcPr>
          <w:p w14:paraId="3C209E03" w14:textId="77777777" w:rsidR="00387C28" w:rsidRPr="00BE78CA" w:rsidRDefault="00387C28" w:rsidP="00E55E06">
            <w:pPr>
              <w:pStyle w:val="TableText"/>
              <w:spacing w:before="50" w:after="50"/>
            </w:pPr>
            <w:r w:rsidRPr="00BE78CA">
              <w:rPr>
                <w:rFonts w:eastAsia="Calibri"/>
              </w:rPr>
              <w:t>Waste – Solid Waste Disposal</w:t>
            </w:r>
          </w:p>
        </w:tc>
        <w:tc>
          <w:tcPr>
            <w:tcW w:w="528" w:type="dxa"/>
            <w:tcBorders>
              <w:top w:val="single" w:sz="4" w:space="0" w:color="365F91"/>
              <w:bottom w:val="single" w:sz="4" w:space="0" w:color="365F91"/>
            </w:tcBorders>
            <w:shd w:val="clear" w:color="auto" w:fill="FFFFFF"/>
            <w:tcMar>
              <w:top w:w="0" w:type="dxa"/>
              <w:left w:w="57" w:type="dxa"/>
              <w:bottom w:w="0" w:type="dxa"/>
              <w:right w:w="57" w:type="dxa"/>
            </w:tcMar>
          </w:tcPr>
          <w:p w14:paraId="4A5AAB5D" w14:textId="77777777" w:rsidR="00387C28" w:rsidRPr="00BE78CA" w:rsidRDefault="00387C28" w:rsidP="006132E1">
            <w:pPr>
              <w:pStyle w:val="TableText"/>
              <w:spacing w:before="50" w:after="50"/>
              <w:jc w:val="center"/>
            </w:pPr>
            <w:r w:rsidRPr="00BE78CA">
              <w:rPr>
                <w:rFonts w:eastAsia="Calibri"/>
              </w:rPr>
              <w:t>CH</w:t>
            </w:r>
            <w:r w:rsidRPr="00BE78CA">
              <w:rPr>
                <w:rFonts w:eastAsia="Calibri"/>
                <w:vertAlign w:val="subscript"/>
              </w:rPr>
              <w:t>4</w:t>
            </w:r>
          </w:p>
        </w:tc>
        <w:tc>
          <w:tcPr>
            <w:tcW w:w="1409" w:type="dxa"/>
            <w:tcBorders>
              <w:top w:val="single" w:sz="4" w:space="0" w:color="365F91"/>
              <w:bottom w:val="single" w:sz="4" w:space="0" w:color="365F91"/>
            </w:tcBorders>
            <w:shd w:val="clear" w:color="auto" w:fill="FFFFFF"/>
            <w:tcMar>
              <w:top w:w="0" w:type="dxa"/>
              <w:left w:w="57" w:type="dxa"/>
              <w:bottom w:w="0" w:type="dxa"/>
              <w:right w:w="57" w:type="dxa"/>
            </w:tcMar>
          </w:tcPr>
          <w:p w14:paraId="136CE195" w14:textId="77777777" w:rsidR="00387C28" w:rsidRPr="00BE78CA" w:rsidRDefault="00387C28" w:rsidP="002B097E">
            <w:pPr>
              <w:pStyle w:val="TableText"/>
              <w:spacing w:before="50" w:after="50"/>
              <w:jc w:val="right"/>
            </w:pPr>
            <w:r w:rsidRPr="00BE78CA">
              <w:rPr>
                <w:rFonts w:eastAsia="Calibri"/>
              </w:rPr>
              <w:t>2,692.9</w:t>
            </w:r>
          </w:p>
        </w:tc>
        <w:tc>
          <w:tcPr>
            <w:tcW w:w="1290" w:type="dxa"/>
            <w:tcBorders>
              <w:top w:val="single" w:sz="4" w:space="0" w:color="365F91"/>
              <w:bottom w:val="single" w:sz="4" w:space="0" w:color="365F91"/>
            </w:tcBorders>
            <w:shd w:val="clear" w:color="auto" w:fill="FFFFFF"/>
            <w:tcMar>
              <w:top w:w="0" w:type="dxa"/>
              <w:left w:w="57" w:type="dxa"/>
              <w:bottom w:w="0" w:type="dxa"/>
              <w:right w:w="57" w:type="dxa"/>
            </w:tcMar>
          </w:tcPr>
          <w:p w14:paraId="5316DFF4" w14:textId="77777777" w:rsidR="00387C28" w:rsidRPr="00BE78CA" w:rsidRDefault="00387C28" w:rsidP="002B097E">
            <w:pPr>
              <w:pStyle w:val="TableText"/>
              <w:spacing w:before="50" w:after="50"/>
              <w:jc w:val="right"/>
            </w:pPr>
            <w:r w:rsidRPr="00BE78CA">
              <w:rPr>
                <w:rFonts w:eastAsia="Calibri"/>
              </w:rPr>
              <w:t>3.3</w:t>
            </w:r>
          </w:p>
        </w:tc>
        <w:tc>
          <w:tcPr>
            <w:tcW w:w="1233" w:type="dxa"/>
            <w:tcBorders>
              <w:top w:val="single" w:sz="4" w:space="0" w:color="365F91"/>
              <w:bottom w:val="single" w:sz="4" w:space="0" w:color="365F91"/>
            </w:tcBorders>
            <w:shd w:val="clear" w:color="auto" w:fill="FFFFFF"/>
            <w:tcMar>
              <w:top w:w="0" w:type="dxa"/>
              <w:left w:w="57" w:type="dxa"/>
              <w:bottom w:w="0" w:type="dxa"/>
              <w:right w:w="57" w:type="dxa"/>
            </w:tcMar>
          </w:tcPr>
          <w:p w14:paraId="2F9A70C7" w14:textId="77777777" w:rsidR="00387C28" w:rsidRPr="00BE78CA" w:rsidRDefault="00387C28" w:rsidP="002B097E">
            <w:pPr>
              <w:pStyle w:val="TableText"/>
              <w:spacing w:before="50" w:after="50"/>
              <w:jc w:val="right"/>
            </w:pPr>
            <w:r w:rsidRPr="00BE78CA">
              <w:rPr>
                <w:rFonts w:eastAsia="Calibri"/>
              </w:rPr>
              <w:t>60.2</w:t>
            </w:r>
          </w:p>
        </w:tc>
      </w:tr>
      <w:tr w:rsidR="0077535C" w:rsidRPr="00BE78CA" w14:paraId="5295F5D4" w14:textId="77777777" w:rsidTr="0077535C">
        <w:trPr>
          <w:cantSplit/>
        </w:trPr>
        <w:tc>
          <w:tcPr>
            <w:tcW w:w="796" w:type="dxa"/>
            <w:tcBorders>
              <w:top w:val="single" w:sz="4" w:space="0" w:color="365F91"/>
              <w:left w:val="single" w:sz="4" w:space="0" w:color="FFFFFF"/>
              <w:bottom w:val="single" w:sz="4" w:space="0" w:color="365F91"/>
            </w:tcBorders>
            <w:shd w:val="clear" w:color="auto" w:fill="FFFFFF"/>
            <w:tcMar>
              <w:top w:w="0" w:type="dxa"/>
              <w:left w:w="57" w:type="dxa"/>
              <w:bottom w:w="0" w:type="dxa"/>
              <w:right w:w="57" w:type="dxa"/>
            </w:tcMar>
          </w:tcPr>
          <w:p w14:paraId="42C784A3" w14:textId="77777777" w:rsidR="00387C28" w:rsidRPr="00BE78CA" w:rsidRDefault="00387C28" w:rsidP="00E55E06">
            <w:pPr>
              <w:pStyle w:val="TableText"/>
              <w:spacing w:before="50" w:after="50"/>
            </w:pPr>
            <w:r w:rsidRPr="00BE78CA">
              <w:rPr>
                <w:rFonts w:eastAsia="Calibri"/>
              </w:rPr>
              <w:t>1.A.1.a</w:t>
            </w:r>
          </w:p>
        </w:tc>
        <w:tc>
          <w:tcPr>
            <w:tcW w:w="3238" w:type="dxa"/>
            <w:tcBorders>
              <w:top w:val="single" w:sz="4" w:space="0" w:color="365F91"/>
              <w:bottom w:val="single" w:sz="4" w:space="0" w:color="365F91"/>
            </w:tcBorders>
            <w:shd w:val="clear" w:color="auto" w:fill="FFFFFF"/>
            <w:tcMar>
              <w:top w:w="0" w:type="dxa"/>
              <w:left w:w="57" w:type="dxa"/>
              <w:bottom w:w="0" w:type="dxa"/>
              <w:right w:w="57" w:type="dxa"/>
            </w:tcMar>
          </w:tcPr>
          <w:p w14:paraId="7B383FEC" w14:textId="77777777" w:rsidR="00387C28" w:rsidRPr="00BE78CA" w:rsidRDefault="00387C28" w:rsidP="00E55E06">
            <w:pPr>
              <w:pStyle w:val="TableText"/>
              <w:spacing w:before="50" w:after="50"/>
            </w:pPr>
            <w:r w:rsidRPr="00BE78CA">
              <w:rPr>
                <w:rFonts w:eastAsia="Calibri"/>
              </w:rPr>
              <w:t>Energy Industries – Public Electricity and Heat Production</w:t>
            </w:r>
          </w:p>
        </w:tc>
        <w:tc>
          <w:tcPr>
            <w:tcW w:w="528" w:type="dxa"/>
            <w:tcBorders>
              <w:top w:val="single" w:sz="4" w:space="0" w:color="365F91"/>
              <w:bottom w:val="single" w:sz="4" w:space="0" w:color="365F91"/>
            </w:tcBorders>
            <w:shd w:val="clear" w:color="auto" w:fill="FFFFFF"/>
            <w:tcMar>
              <w:top w:w="0" w:type="dxa"/>
              <w:left w:w="57" w:type="dxa"/>
              <w:bottom w:w="0" w:type="dxa"/>
              <w:right w:w="57" w:type="dxa"/>
            </w:tcMar>
          </w:tcPr>
          <w:p w14:paraId="37F9315A" w14:textId="77777777" w:rsidR="00387C28" w:rsidRPr="00BE78CA" w:rsidRDefault="00387C28" w:rsidP="006132E1">
            <w:pPr>
              <w:pStyle w:val="TableText"/>
              <w:spacing w:before="50" w:after="50"/>
              <w:jc w:val="center"/>
            </w:pPr>
            <w:r w:rsidRPr="00BE78CA">
              <w:rPr>
                <w:rFonts w:eastAsia="Calibri"/>
              </w:rPr>
              <w:t>CO</w:t>
            </w:r>
            <w:r w:rsidRPr="00BE78CA">
              <w:rPr>
                <w:rFonts w:eastAsia="Calibri"/>
                <w:vertAlign w:val="subscript"/>
              </w:rPr>
              <w:t>2</w:t>
            </w:r>
          </w:p>
        </w:tc>
        <w:tc>
          <w:tcPr>
            <w:tcW w:w="1409" w:type="dxa"/>
            <w:tcBorders>
              <w:top w:val="single" w:sz="4" w:space="0" w:color="365F91"/>
              <w:bottom w:val="single" w:sz="4" w:space="0" w:color="365F91"/>
            </w:tcBorders>
            <w:shd w:val="clear" w:color="auto" w:fill="FFFFFF"/>
            <w:tcMar>
              <w:top w:w="0" w:type="dxa"/>
              <w:left w:w="57" w:type="dxa"/>
              <w:bottom w:w="0" w:type="dxa"/>
              <w:right w:w="57" w:type="dxa"/>
            </w:tcMar>
          </w:tcPr>
          <w:p w14:paraId="6DE723D5" w14:textId="77777777" w:rsidR="00387C28" w:rsidRPr="00BE78CA" w:rsidRDefault="00387C28" w:rsidP="002B097E">
            <w:pPr>
              <w:pStyle w:val="TableText"/>
              <w:spacing w:before="50" w:after="50"/>
              <w:jc w:val="right"/>
            </w:pPr>
            <w:r w:rsidRPr="00BE78CA">
              <w:rPr>
                <w:rFonts w:eastAsia="Calibri"/>
              </w:rPr>
              <w:t>2,533.5</w:t>
            </w:r>
          </w:p>
        </w:tc>
        <w:tc>
          <w:tcPr>
            <w:tcW w:w="1290" w:type="dxa"/>
            <w:tcBorders>
              <w:top w:val="single" w:sz="4" w:space="0" w:color="365F91"/>
              <w:bottom w:val="single" w:sz="4" w:space="0" w:color="365F91"/>
            </w:tcBorders>
            <w:shd w:val="clear" w:color="auto" w:fill="FFFFFF"/>
            <w:tcMar>
              <w:top w:w="0" w:type="dxa"/>
              <w:left w:w="57" w:type="dxa"/>
              <w:bottom w:w="0" w:type="dxa"/>
              <w:right w:w="57" w:type="dxa"/>
            </w:tcMar>
          </w:tcPr>
          <w:p w14:paraId="57568FEC" w14:textId="77777777" w:rsidR="00387C28" w:rsidRPr="00BE78CA" w:rsidRDefault="00387C28" w:rsidP="002B097E">
            <w:pPr>
              <w:pStyle w:val="TableText"/>
              <w:spacing w:before="50" w:after="50"/>
              <w:jc w:val="right"/>
            </w:pPr>
            <w:r w:rsidRPr="00BE78CA">
              <w:rPr>
                <w:rFonts w:eastAsia="Calibri"/>
              </w:rPr>
              <w:t>3.1</w:t>
            </w:r>
          </w:p>
        </w:tc>
        <w:tc>
          <w:tcPr>
            <w:tcW w:w="1233" w:type="dxa"/>
            <w:tcBorders>
              <w:top w:val="single" w:sz="4" w:space="0" w:color="365F91"/>
              <w:bottom w:val="single" w:sz="4" w:space="0" w:color="365F91"/>
            </w:tcBorders>
            <w:shd w:val="clear" w:color="auto" w:fill="FFFFFF"/>
            <w:tcMar>
              <w:top w:w="0" w:type="dxa"/>
              <w:left w:w="57" w:type="dxa"/>
              <w:bottom w:w="0" w:type="dxa"/>
              <w:right w:w="57" w:type="dxa"/>
            </w:tcMar>
          </w:tcPr>
          <w:p w14:paraId="2EDC4027" w14:textId="77777777" w:rsidR="00387C28" w:rsidRPr="00BE78CA" w:rsidRDefault="00387C28" w:rsidP="002B097E">
            <w:pPr>
              <w:pStyle w:val="TableText"/>
              <w:spacing w:before="50" w:after="50"/>
              <w:jc w:val="right"/>
            </w:pPr>
            <w:r w:rsidRPr="00BE78CA">
              <w:rPr>
                <w:rFonts w:eastAsia="Calibri"/>
              </w:rPr>
              <w:t>63.3</w:t>
            </w:r>
          </w:p>
        </w:tc>
      </w:tr>
      <w:tr w:rsidR="0077535C" w:rsidRPr="00BE78CA" w14:paraId="305768DA" w14:textId="77777777" w:rsidTr="0077535C">
        <w:trPr>
          <w:cantSplit/>
        </w:trPr>
        <w:tc>
          <w:tcPr>
            <w:tcW w:w="796" w:type="dxa"/>
            <w:tcBorders>
              <w:top w:val="single" w:sz="4" w:space="0" w:color="365F91"/>
              <w:left w:val="single" w:sz="4" w:space="0" w:color="FFFFFF"/>
              <w:bottom w:val="single" w:sz="4" w:space="0" w:color="365F91"/>
            </w:tcBorders>
            <w:shd w:val="clear" w:color="auto" w:fill="FFFFFF"/>
            <w:tcMar>
              <w:top w:w="0" w:type="dxa"/>
              <w:left w:w="57" w:type="dxa"/>
              <w:bottom w:w="0" w:type="dxa"/>
              <w:right w:w="57" w:type="dxa"/>
            </w:tcMar>
          </w:tcPr>
          <w:p w14:paraId="5E04A1CD" w14:textId="77777777" w:rsidR="00387C28" w:rsidRPr="00BE78CA" w:rsidRDefault="00387C28" w:rsidP="00E55E06">
            <w:pPr>
              <w:pStyle w:val="TableText"/>
              <w:spacing w:before="50" w:after="50"/>
            </w:pPr>
            <w:r w:rsidRPr="00BE78CA">
              <w:rPr>
                <w:rFonts w:eastAsia="Calibri"/>
              </w:rPr>
              <w:t>1.A.2.c</w:t>
            </w:r>
          </w:p>
        </w:tc>
        <w:tc>
          <w:tcPr>
            <w:tcW w:w="3238" w:type="dxa"/>
            <w:tcBorders>
              <w:top w:val="single" w:sz="4" w:space="0" w:color="365F91"/>
              <w:bottom w:val="single" w:sz="4" w:space="0" w:color="365F91"/>
            </w:tcBorders>
            <w:shd w:val="clear" w:color="auto" w:fill="FFFFFF"/>
            <w:tcMar>
              <w:top w:w="0" w:type="dxa"/>
              <w:left w:w="57" w:type="dxa"/>
              <w:bottom w:w="0" w:type="dxa"/>
              <w:right w:w="57" w:type="dxa"/>
            </w:tcMar>
          </w:tcPr>
          <w:p w14:paraId="72C022DD" w14:textId="77777777" w:rsidR="00387C28" w:rsidRPr="00BE78CA" w:rsidRDefault="00387C28" w:rsidP="00E55E06">
            <w:pPr>
              <w:pStyle w:val="TableText"/>
              <w:spacing w:before="50" w:after="50"/>
            </w:pPr>
            <w:r w:rsidRPr="00BE78CA">
              <w:rPr>
                <w:rFonts w:eastAsia="Calibri"/>
              </w:rPr>
              <w:t>Chemicals – Gaseous Fuels</w:t>
            </w:r>
          </w:p>
        </w:tc>
        <w:tc>
          <w:tcPr>
            <w:tcW w:w="528" w:type="dxa"/>
            <w:tcBorders>
              <w:top w:val="single" w:sz="4" w:space="0" w:color="365F91"/>
              <w:bottom w:val="single" w:sz="4" w:space="0" w:color="365F91"/>
            </w:tcBorders>
            <w:shd w:val="clear" w:color="auto" w:fill="FFFFFF"/>
            <w:tcMar>
              <w:top w:w="0" w:type="dxa"/>
              <w:left w:w="57" w:type="dxa"/>
              <w:bottom w:w="0" w:type="dxa"/>
              <w:right w:w="57" w:type="dxa"/>
            </w:tcMar>
          </w:tcPr>
          <w:p w14:paraId="50067FFB" w14:textId="77777777" w:rsidR="00387C28" w:rsidRPr="00BE78CA" w:rsidRDefault="00387C28" w:rsidP="006132E1">
            <w:pPr>
              <w:pStyle w:val="TableText"/>
              <w:spacing w:before="50" w:after="50"/>
              <w:jc w:val="center"/>
            </w:pPr>
            <w:r w:rsidRPr="00BE78CA">
              <w:rPr>
                <w:rFonts w:eastAsia="Calibri"/>
              </w:rPr>
              <w:t>CO</w:t>
            </w:r>
            <w:r w:rsidRPr="00BE78CA">
              <w:rPr>
                <w:rFonts w:eastAsia="Calibri"/>
                <w:vertAlign w:val="subscript"/>
              </w:rPr>
              <w:t>2</w:t>
            </w:r>
          </w:p>
        </w:tc>
        <w:tc>
          <w:tcPr>
            <w:tcW w:w="1409" w:type="dxa"/>
            <w:tcBorders>
              <w:top w:val="single" w:sz="4" w:space="0" w:color="365F91"/>
              <w:bottom w:val="single" w:sz="4" w:space="0" w:color="365F91"/>
            </w:tcBorders>
            <w:shd w:val="clear" w:color="auto" w:fill="FFFFFF"/>
            <w:tcMar>
              <w:top w:w="0" w:type="dxa"/>
              <w:left w:w="57" w:type="dxa"/>
              <w:bottom w:w="0" w:type="dxa"/>
              <w:right w:w="57" w:type="dxa"/>
            </w:tcMar>
          </w:tcPr>
          <w:p w14:paraId="2468983A" w14:textId="77777777" w:rsidR="00387C28" w:rsidRPr="00BE78CA" w:rsidRDefault="00387C28" w:rsidP="002B097E">
            <w:pPr>
              <w:pStyle w:val="TableText"/>
              <w:spacing w:before="50" w:after="50"/>
              <w:jc w:val="right"/>
            </w:pPr>
            <w:r w:rsidRPr="00BE78CA">
              <w:rPr>
                <w:rFonts w:eastAsia="Calibri"/>
              </w:rPr>
              <w:t>1,859.2</w:t>
            </w:r>
          </w:p>
        </w:tc>
        <w:tc>
          <w:tcPr>
            <w:tcW w:w="1290" w:type="dxa"/>
            <w:tcBorders>
              <w:top w:val="single" w:sz="4" w:space="0" w:color="365F91"/>
              <w:bottom w:val="single" w:sz="4" w:space="0" w:color="365F91"/>
            </w:tcBorders>
            <w:shd w:val="clear" w:color="auto" w:fill="FFFFFF"/>
            <w:tcMar>
              <w:top w:w="0" w:type="dxa"/>
              <w:left w:w="57" w:type="dxa"/>
              <w:bottom w:w="0" w:type="dxa"/>
              <w:right w:w="57" w:type="dxa"/>
            </w:tcMar>
          </w:tcPr>
          <w:p w14:paraId="5BA4ACF4" w14:textId="77777777" w:rsidR="00387C28" w:rsidRPr="00BE78CA" w:rsidRDefault="00387C28" w:rsidP="002B097E">
            <w:pPr>
              <w:pStyle w:val="TableText"/>
              <w:spacing w:before="50" w:after="50"/>
              <w:jc w:val="right"/>
            </w:pPr>
            <w:r w:rsidRPr="00BE78CA">
              <w:rPr>
                <w:rFonts w:eastAsia="Calibri"/>
              </w:rPr>
              <w:t>2.3</w:t>
            </w:r>
          </w:p>
        </w:tc>
        <w:tc>
          <w:tcPr>
            <w:tcW w:w="1233" w:type="dxa"/>
            <w:tcBorders>
              <w:top w:val="single" w:sz="4" w:space="0" w:color="365F91"/>
              <w:bottom w:val="single" w:sz="4" w:space="0" w:color="365F91"/>
            </w:tcBorders>
            <w:shd w:val="clear" w:color="auto" w:fill="FFFFFF"/>
            <w:tcMar>
              <w:top w:w="0" w:type="dxa"/>
              <w:left w:w="57" w:type="dxa"/>
              <w:bottom w:w="0" w:type="dxa"/>
              <w:right w:w="57" w:type="dxa"/>
            </w:tcMar>
          </w:tcPr>
          <w:p w14:paraId="578BFC35" w14:textId="77777777" w:rsidR="00387C28" w:rsidRPr="00BE78CA" w:rsidRDefault="00387C28" w:rsidP="002B097E">
            <w:pPr>
              <w:pStyle w:val="TableText"/>
              <w:spacing w:before="50" w:after="50"/>
              <w:jc w:val="right"/>
            </w:pPr>
            <w:r w:rsidRPr="00BE78CA">
              <w:rPr>
                <w:rFonts w:eastAsia="Calibri"/>
              </w:rPr>
              <w:t>65.6</w:t>
            </w:r>
          </w:p>
        </w:tc>
      </w:tr>
      <w:tr w:rsidR="0077535C" w:rsidRPr="00BE78CA" w14:paraId="267DD127" w14:textId="77777777" w:rsidTr="0077535C">
        <w:trPr>
          <w:cantSplit/>
        </w:trPr>
        <w:tc>
          <w:tcPr>
            <w:tcW w:w="796" w:type="dxa"/>
            <w:tcBorders>
              <w:top w:val="single" w:sz="4" w:space="0" w:color="365F91"/>
              <w:left w:val="single" w:sz="4" w:space="0" w:color="FFFFFF"/>
              <w:bottom w:val="single" w:sz="4" w:space="0" w:color="365F91"/>
            </w:tcBorders>
            <w:shd w:val="clear" w:color="auto" w:fill="FFFFFF"/>
            <w:tcMar>
              <w:top w:w="0" w:type="dxa"/>
              <w:left w:w="57" w:type="dxa"/>
              <w:bottom w:w="0" w:type="dxa"/>
              <w:right w:w="57" w:type="dxa"/>
            </w:tcMar>
          </w:tcPr>
          <w:p w14:paraId="245E46BE" w14:textId="77777777" w:rsidR="00387C28" w:rsidRPr="00BE78CA" w:rsidRDefault="00387C28" w:rsidP="00E55E06">
            <w:pPr>
              <w:pStyle w:val="TableText"/>
              <w:spacing w:before="50" w:after="50"/>
            </w:pPr>
            <w:r w:rsidRPr="00BE78CA">
              <w:rPr>
                <w:rFonts w:eastAsia="Calibri"/>
              </w:rPr>
              <w:t>1.A.2.e</w:t>
            </w:r>
          </w:p>
        </w:tc>
        <w:tc>
          <w:tcPr>
            <w:tcW w:w="3238" w:type="dxa"/>
            <w:tcBorders>
              <w:top w:val="single" w:sz="4" w:space="0" w:color="365F91"/>
              <w:bottom w:val="single" w:sz="4" w:space="0" w:color="365F91"/>
            </w:tcBorders>
            <w:shd w:val="clear" w:color="auto" w:fill="FFFFFF"/>
            <w:tcMar>
              <w:top w:w="0" w:type="dxa"/>
              <w:left w:w="57" w:type="dxa"/>
              <w:bottom w:w="0" w:type="dxa"/>
              <w:right w:w="57" w:type="dxa"/>
            </w:tcMar>
          </w:tcPr>
          <w:p w14:paraId="4FCCAECE" w14:textId="38BB36AD" w:rsidR="00387C28" w:rsidRPr="00BE78CA" w:rsidRDefault="00387C28" w:rsidP="00E55E06">
            <w:pPr>
              <w:pStyle w:val="TableText"/>
              <w:spacing w:before="50" w:after="50"/>
            </w:pPr>
            <w:r w:rsidRPr="00BE78CA">
              <w:rPr>
                <w:rFonts w:eastAsia="Calibri"/>
              </w:rPr>
              <w:t>Food Processing, Beverages and Tobacco –</w:t>
            </w:r>
            <w:r w:rsidR="006132E1" w:rsidRPr="00BE78CA">
              <w:rPr>
                <w:rFonts w:eastAsia="Calibri"/>
              </w:rPr>
              <w:t> </w:t>
            </w:r>
            <w:r w:rsidRPr="00BE78CA">
              <w:rPr>
                <w:rFonts w:eastAsia="Calibri"/>
              </w:rPr>
              <w:t>Solid Fuels</w:t>
            </w:r>
          </w:p>
        </w:tc>
        <w:tc>
          <w:tcPr>
            <w:tcW w:w="528" w:type="dxa"/>
            <w:tcBorders>
              <w:top w:val="single" w:sz="4" w:space="0" w:color="365F91"/>
              <w:bottom w:val="single" w:sz="4" w:space="0" w:color="365F91"/>
            </w:tcBorders>
            <w:shd w:val="clear" w:color="auto" w:fill="FFFFFF"/>
            <w:tcMar>
              <w:top w:w="0" w:type="dxa"/>
              <w:left w:w="57" w:type="dxa"/>
              <w:bottom w:w="0" w:type="dxa"/>
              <w:right w:w="57" w:type="dxa"/>
            </w:tcMar>
          </w:tcPr>
          <w:p w14:paraId="7A5AEF1F" w14:textId="77777777" w:rsidR="00387C28" w:rsidRPr="00BE78CA" w:rsidRDefault="00387C28" w:rsidP="006132E1">
            <w:pPr>
              <w:pStyle w:val="TableText"/>
              <w:spacing w:before="50" w:after="50"/>
              <w:jc w:val="center"/>
            </w:pPr>
            <w:r w:rsidRPr="00BE78CA">
              <w:rPr>
                <w:rFonts w:eastAsia="Calibri"/>
              </w:rPr>
              <w:t>CO</w:t>
            </w:r>
            <w:r w:rsidRPr="00BE78CA">
              <w:rPr>
                <w:rFonts w:eastAsia="Calibri"/>
                <w:vertAlign w:val="subscript"/>
              </w:rPr>
              <w:t>2</w:t>
            </w:r>
          </w:p>
        </w:tc>
        <w:tc>
          <w:tcPr>
            <w:tcW w:w="1409" w:type="dxa"/>
            <w:tcBorders>
              <w:top w:val="single" w:sz="4" w:space="0" w:color="365F91"/>
              <w:bottom w:val="single" w:sz="4" w:space="0" w:color="365F91"/>
            </w:tcBorders>
            <w:shd w:val="clear" w:color="auto" w:fill="FFFFFF"/>
            <w:tcMar>
              <w:top w:w="0" w:type="dxa"/>
              <w:left w:w="57" w:type="dxa"/>
              <w:bottom w:w="0" w:type="dxa"/>
              <w:right w:w="57" w:type="dxa"/>
            </w:tcMar>
          </w:tcPr>
          <w:p w14:paraId="0D9473BF" w14:textId="77777777" w:rsidR="00387C28" w:rsidRPr="00BE78CA" w:rsidRDefault="00387C28" w:rsidP="002B097E">
            <w:pPr>
              <w:pStyle w:val="TableText"/>
              <w:spacing w:before="50" w:after="50"/>
              <w:jc w:val="right"/>
            </w:pPr>
            <w:r w:rsidRPr="00BE78CA">
              <w:rPr>
                <w:rFonts w:eastAsia="Calibri"/>
              </w:rPr>
              <w:t>1,751.6</w:t>
            </w:r>
          </w:p>
        </w:tc>
        <w:tc>
          <w:tcPr>
            <w:tcW w:w="1290" w:type="dxa"/>
            <w:tcBorders>
              <w:top w:val="single" w:sz="4" w:space="0" w:color="365F91"/>
              <w:bottom w:val="single" w:sz="4" w:space="0" w:color="365F91"/>
            </w:tcBorders>
            <w:shd w:val="clear" w:color="auto" w:fill="FFFFFF"/>
            <w:tcMar>
              <w:top w:w="0" w:type="dxa"/>
              <w:left w:w="57" w:type="dxa"/>
              <w:bottom w:w="0" w:type="dxa"/>
              <w:right w:w="57" w:type="dxa"/>
            </w:tcMar>
          </w:tcPr>
          <w:p w14:paraId="1329270E" w14:textId="77777777" w:rsidR="00387C28" w:rsidRPr="00BE78CA" w:rsidRDefault="00387C28" w:rsidP="002B097E">
            <w:pPr>
              <w:pStyle w:val="TableText"/>
              <w:spacing w:before="50" w:after="50"/>
              <w:jc w:val="right"/>
            </w:pPr>
            <w:r w:rsidRPr="00BE78CA">
              <w:rPr>
                <w:rFonts w:eastAsia="Calibri"/>
              </w:rPr>
              <w:t>2.1</w:t>
            </w:r>
          </w:p>
        </w:tc>
        <w:tc>
          <w:tcPr>
            <w:tcW w:w="1233" w:type="dxa"/>
            <w:tcBorders>
              <w:top w:val="single" w:sz="4" w:space="0" w:color="365F91"/>
              <w:bottom w:val="single" w:sz="4" w:space="0" w:color="365F91"/>
            </w:tcBorders>
            <w:shd w:val="clear" w:color="auto" w:fill="FFFFFF"/>
            <w:tcMar>
              <w:top w:w="0" w:type="dxa"/>
              <w:left w:w="57" w:type="dxa"/>
              <w:bottom w:w="0" w:type="dxa"/>
              <w:right w:w="57" w:type="dxa"/>
            </w:tcMar>
          </w:tcPr>
          <w:p w14:paraId="2CCBEE32" w14:textId="77777777" w:rsidR="00387C28" w:rsidRPr="00BE78CA" w:rsidRDefault="00387C28" w:rsidP="002B097E">
            <w:pPr>
              <w:pStyle w:val="TableText"/>
              <w:spacing w:before="50" w:after="50"/>
              <w:jc w:val="right"/>
            </w:pPr>
            <w:r w:rsidRPr="00BE78CA">
              <w:rPr>
                <w:rFonts w:eastAsia="Calibri"/>
              </w:rPr>
              <w:t>67.7</w:t>
            </w:r>
          </w:p>
        </w:tc>
      </w:tr>
      <w:tr w:rsidR="0077535C" w:rsidRPr="00BE78CA" w14:paraId="4EE6C142" w14:textId="77777777" w:rsidTr="0077535C">
        <w:trPr>
          <w:cantSplit/>
        </w:trPr>
        <w:tc>
          <w:tcPr>
            <w:tcW w:w="796" w:type="dxa"/>
            <w:tcBorders>
              <w:top w:val="single" w:sz="4" w:space="0" w:color="365F91"/>
              <w:left w:val="single" w:sz="4" w:space="0" w:color="FFFFFF"/>
              <w:bottom w:val="single" w:sz="4" w:space="0" w:color="365F91"/>
            </w:tcBorders>
            <w:shd w:val="clear" w:color="auto" w:fill="FFFFFF"/>
            <w:tcMar>
              <w:top w:w="0" w:type="dxa"/>
              <w:left w:w="57" w:type="dxa"/>
              <w:bottom w:w="0" w:type="dxa"/>
              <w:right w:w="57" w:type="dxa"/>
            </w:tcMar>
          </w:tcPr>
          <w:p w14:paraId="43CD889B" w14:textId="77777777" w:rsidR="00387C28" w:rsidRPr="00BE78CA" w:rsidRDefault="00387C28" w:rsidP="00E55E06">
            <w:pPr>
              <w:pStyle w:val="TableText"/>
              <w:spacing w:before="50" w:after="50"/>
            </w:pPr>
            <w:r w:rsidRPr="00BE78CA">
              <w:rPr>
                <w:rFonts w:eastAsia="Calibri"/>
              </w:rPr>
              <w:t>2.C.1</w:t>
            </w:r>
          </w:p>
        </w:tc>
        <w:tc>
          <w:tcPr>
            <w:tcW w:w="3238" w:type="dxa"/>
            <w:tcBorders>
              <w:top w:val="single" w:sz="4" w:space="0" w:color="365F91"/>
              <w:bottom w:val="single" w:sz="4" w:space="0" w:color="365F91"/>
            </w:tcBorders>
            <w:shd w:val="clear" w:color="auto" w:fill="FFFFFF"/>
            <w:tcMar>
              <w:top w:w="0" w:type="dxa"/>
              <w:left w:w="57" w:type="dxa"/>
              <w:bottom w:w="0" w:type="dxa"/>
              <w:right w:w="57" w:type="dxa"/>
            </w:tcMar>
          </w:tcPr>
          <w:p w14:paraId="3EFE6811" w14:textId="77777777" w:rsidR="00387C28" w:rsidRPr="00BE78CA" w:rsidRDefault="00387C28" w:rsidP="00E55E06">
            <w:pPr>
              <w:pStyle w:val="TableText"/>
              <w:spacing w:before="50" w:after="50"/>
            </w:pPr>
            <w:r w:rsidRPr="00BE78CA">
              <w:rPr>
                <w:rFonts w:eastAsia="Calibri"/>
              </w:rPr>
              <w:t>Metal Industry – Iron and Steel Production</w:t>
            </w:r>
          </w:p>
        </w:tc>
        <w:tc>
          <w:tcPr>
            <w:tcW w:w="528" w:type="dxa"/>
            <w:tcBorders>
              <w:top w:val="single" w:sz="4" w:space="0" w:color="365F91"/>
              <w:bottom w:val="single" w:sz="4" w:space="0" w:color="365F91"/>
            </w:tcBorders>
            <w:shd w:val="clear" w:color="auto" w:fill="FFFFFF"/>
            <w:tcMar>
              <w:top w:w="0" w:type="dxa"/>
              <w:left w:w="57" w:type="dxa"/>
              <w:bottom w:w="0" w:type="dxa"/>
              <w:right w:w="57" w:type="dxa"/>
            </w:tcMar>
          </w:tcPr>
          <w:p w14:paraId="40EB3223" w14:textId="77777777" w:rsidR="00387C28" w:rsidRPr="00BE78CA" w:rsidRDefault="00387C28" w:rsidP="006132E1">
            <w:pPr>
              <w:pStyle w:val="TableText"/>
              <w:spacing w:before="50" w:after="50"/>
              <w:jc w:val="center"/>
            </w:pPr>
            <w:r w:rsidRPr="00BE78CA">
              <w:rPr>
                <w:rFonts w:eastAsia="Calibri"/>
              </w:rPr>
              <w:t>CO</w:t>
            </w:r>
            <w:r w:rsidRPr="00BE78CA">
              <w:rPr>
                <w:rFonts w:eastAsia="Calibri"/>
                <w:vertAlign w:val="subscript"/>
              </w:rPr>
              <w:t>2</w:t>
            </w:r>
          </w:p>
        </w:tc>
        <w:tc>
          <w:tcPr>
            <w:tcW w:w="1409" w:type="dxa"/>
            <w:tcBorders>
              <w:top w:val="single" w:sz="4" w:space="0" w:color="365F91"/>
              <w:bottom w:val="single" w:sz="4" w:space="0" w:color="365F91"/>
            </w:tcBorders>
            <w:shd w:val="clear" w:color="auto" w:fill="FFFFFF"/>
            <w:tcMar>
              <w:top w:w="0" w:type="dxa"/>
              <w:left w:w="57" w:type="dxa"/>
              <w:bottom w:w="0" w:type="dxa"/>
              <w:right w:w="57" w:type="dxa"/>
            </w:tcMar>
          </w:tcPr>
          <w:p w14:paraId="19EF3A04" w14:textId="77777777" w:rsidR="00387C28" w:rsidRPr="00BE78CA" w:rsidRDefault="00387C28" w:rsidP="002B097E">
            <w:pPr>
              <w:pStyle w:val="TableText"/>
              <w:spacing w:before="50" w:after="50"/>
              <w:jc w:val="right"/>
            </w:pPr>
            <w:r w:rsidRPr="00BE78CA">
              <w:rPr>
                <w:rFonts w:eastAsia="Calibri"/>
              </w:rPr>
              <w:t>1,661.6</w:t>
            </w:r>
          </w:p>
        </w:tc>
        <w:tc>
          <w:tcPr>
            <w:tcW w:w="1290" w:type="dxa"/>
            <w:tcBorders>
              <w:top w:val="single" w:sz="4" w:space="0" w:color="365F91"/>
              <w:bottom w:val="single" w:sz="4" w:space="0" w:color="365F91"/>
            </w:tcBorders>
            <w:shd w:val="clear" w:color="auto" w:fill="FFFFFF"/>
            <w:tcMar>
              <w:top w:w="0" w:type="dxa"/>
              <w:left w:w="57" w:type="dxa"/>
              <w:bottom w:w="0" w:type="dxa"/>
              <w:right w:w="57" w:type="dxa"/>
            </w:tcMar>
          </w:tcPr>
          <w:p w14:paraId="09916201" w14:textId="77777777" w:rsidR="00387C28" w:rsidRPr="00BE78CA" w:rsidRDefault="00387C28" w:rsidP="002B097E">
            <w:pPr>
              <w:pStyle w:val="TableText"/>
              <w:spacing w:before="50" w:after="50"/>
              <w:jc w:val="right"/>
            </w:pPr>
            <w:r w:rsidRPr="00BE78CA">
              <w:rPr>
                <w:rFonts w:eastAsia="Calibri"/>
              </w:rPr>
              <w:t>2.0</w:t>
            </w:r>
          </w:p>
        </w:tc>
        <w:tc>
          <w:tcPr>
            <w:tcW w:w="1233" w:type="dxa"/>
            <w:tcBorders>
              <w:top w:val="single" w:sz="4" w:space="0" w:color="365F91"/>
              <w:bottom w:val="single" w:sz="4" w:space="0" w:color="365F91"/>
            </w:tcBorders>
            <w:shd w:val="clear" w:color="auto" w:fill="FFFFFF"/>
            <w:tcMar>
              <w:top w:w="0" w:type="dxa"/>
              <w:left w:w="57" w:type="dxa"/>
              <w:bottom w:w="0" w:type="dxa"/>
              <w:right w:w="57" w:type="dxa"/>
            </w:tcMar>
          </w:tcPr>
          <w:p w14:paraId="29697CD5" w14:textId="77777777" w:rsidR="00387C28" w:rsidRPr="00BE78CA" w:rsidRDefault="00387C28" w:rsidP="002B097E">
            <w:pPr>
              <w:pStyle w:val="TableText"/>
              <w:spacing w:before="50" w:after="50"/>
              <w:jc w:val="right"/>
            </w:pPr>
            <w:r w:rsidRPr="00BE78CA">
              <w:rPr>
                <w:rFonts w:eastAsia="Calibri"/>
              </w:rPr>
              <w:t>69.7</w:t>
            </w:r>
          </w:p>
        </w:tc>
      </w:tr>
      <w:tr w:rsidR="0077535C" w:rsidRPr="00BE78CA" w14:paraId="2D64BE61" w14:textId="77777777" w:rsidTr="0077535C">
        <w:trPr>
          <w:cantSplit/>
        </w:trPr>
        <w:tc>
          <w:tcPr>
            <w:tcW w:w="796" w:type="dxa"/>
            <w:tcBorders>
              <w:top w:val="single" w:sz="4" w:space="0" w:color="365F91"/>
              <w:left w:val="single" w:sz="4" w:space="0" w:color="FFFFFF"/>
              <w:bottom w:val="single" w:sz="4" w:space="0" w:color="365F91"/>
            </w:tcBorders>
            <w:shd w:val="clear" w:color="auto" w:fill="FFFFFF"/>
            <w:tcMar>
              <w:top w:w="0" w:type="dxa"/>
              <w:left w:w="57" w:type="dxa"/>
              <w:bottom w:w="0" w:type="dxa"/>
              <w:right w:w="57" w:type="dxa"/>
            </w:tcMar>
          </w:tcPr>
          <w:p w14:paraId="0590DE91" w14:textId="77777777" w:rsidR="00387C28" w:rsidRPr="00BE78CA" w:rsidRDefault="00387C28" w:rsidP="00E55E06">
            <w:pPr>
              <w:pStyle w:val="TableText"/>
              <w:spacing w:before="50" w:after="50"/>
            </w:pPr>
            <w:r w:rsidRPr="00BE78CA">
              <w:rPr>
                <w:rFonts w:eastAsia="Calibri"/>
              </w:rPr>
              <w:t>2.F.1</w:t>
            </w:r>
          </w:p>
        </w:tc>
        <w:tc>
          <w:tcPr>
            <w:tcW w:w="3238" w:type="dxa"/>
            <w:tcBorders>
              <w:top w:val="single" w:sz="4" w:space="0" w:color="365F91"/>
              <w:bottom w:val="single" w:sz="4" w:space="0" w:color="365F91"/>
            </w:tcBorders>
            <w:shd w:val="clear" w:color="auto" w:fill="FFFFFF"/>
            <w:tcMar>
              <w:top w:w="0" w:type="dxa"/>
              <w:left w:w="57" w:type="dxa"/>
              <w:bottom w:w="0" w:type="dxa"/>
              <w:right w:w="57" w:type="dxa"/>
            </w:tcMar>
          </w:tcPr>
          <w:p w14:paraId="21B70F22" w14:textId="77777777" w:rsidR="00387C28" w:rsidRPr="00BE78CA" w:rsidRDefault="00387C28" w:rsidP="00E55E06">
            <w:pPr>
              <w:pStyle w:val="TableText"/>
              <w:spacing w:before="50" w:after="50"/>
            </w:pPr>
            <w:r w:rsidRPr="00BE78CA">
              <w:rPr>
                <w:rFonts w:eastAsia="Calibri"/>
              </w:rPr>
              <w:t>Product Uses as Substitutes for ODS – Refrigeration and Air conditioning</w:t>
            </w:r>
          </w:p>
        </w:tc>
        <w:tc>
          <w:tcPr>
            <w:tcW w:w="528" w:type="dxa"/>
            <w:tcBorders>
              <w:top w:val="single" w:sz="4" w:space="0" w:color="365F91"/>
              <w:bottom w:val="single" w:sz="4" w:space="0" w:color="365F91"/>
            </w:tcBorders>
            <w:shd w:val="clear" w:color="auto" w:fill="FFFFFF"/>
            <w:tcMar>
              <w:top w:w="0" w:type="dxa"/>
              <w:left w:w="57" w:type="dxa"/>
              <w:bottom w:w="0" w:type="dxa"/>
              <w:right w:w="57" w:type="dxa"/>
            </w:tcMar>
          </w:tcPr>
          <w:p w14:paraId="06CC5682" w14:textId="77777777" w:rsidR="00387C28" w:rsidRPr="00BE78CA" w:rsidRDefault="00387C28" w:rsidP="006132E1">
            <w:pPr>
              <w:pStyle w:val="TableText"/>
              <w:spacing w:before="50" w:after="50"/>
              <w:jc w:val="center"/>
            </w:pPr>
            <w:r w:rsidRPr="00BE78CA">
              <w:rPr>
                <w:rFonts w:eastAsia="Calibri"/>
              </w:rPr>
              <w:t>HFCs</w:t>
            </w:r>
          </w:p>
        </w:tc>
        <w:tc>
          <w:tcPr>
            <w:tcW w:w="1409" w:type="dxa"/>
            <w:tcBorders>
              <w:top w:val="single" w:sz="4" w:space="0" w:color="365F91"/>
              <w:bottom w:val="single" w:sz="4" w:space="0" w:color="365F91"/>
            </w:tcBorders>
            <w:shd w:val="clear" w:color="auto" w:fill="FFFFFF"/>
            <w:tcMar>
              <w:top w:w="0" w:type="dxa"/>
              <w:left w:w="57" w:type="dxa"/>
              <w:bottom w:w="0" w:type="dxa"/>
              <w:right w:w="57" w:type="dxa"/>
            </w:tcMar>
          </w:tcPr>
          <w:p w14:paraId="681F73D2" w14:textId="77777777" w:rsidR="00387C28" w:rsidRPr="00BE78CA" w:rsidRDefault="00387C28" w:rsidP="002B097E">
            <w:pPr>
              <w:pStyle w:val="TableText"/>
              <w:spacing w:before="50" w:after="50"/>
              <w:jc w:val="right"/>
            </w:pPr>
            <w:r w:rsidRPr="00BE78CA">
              <w:rPr>
                <w:rFonts w:eastAsia="Calibri"/>
              </w:rPr>
              <w:t>1,637.7</w:t>
            </w:r>
          </w:p>
        </w:tc>
        <w:tc>
          <w:tcPr>
            <w:tcW w:w="1290" w:type="dxa"/>
            <w:tcBorders>
              <w:top w:val="single" w:sz="4" w:space="0" w:color="365F91"/>
              <w:bottom w:val="single" w:sz="4" w:space="0" w:color="365F91"/>
            </w:tcBorders>
            <w:shd w:val="clear" w:color="auto" w:fill="FFFFFF"/>
            <w:tcMar>
              <w:top w:w="0" w:type="dxa"/>
              <w:left w:w="57" w:type="dxa"/>
              <w:bottom w:w="0" w:type="dxa"/>
              <w:right w:w="57" w:type="dxa"/>
            </w:tcMar>
          </w:tcPr>
          <w:p w14:paraId="19AB1AC7" w14:textId="77777777" w:rsidR="00387C28" w:rsidRPr="00BE78CA" w:rsidRDefault="00387C28" w:rsidP="002B097E">
            <w:pPr>
              <w:pStyle w:val="TableText"/>
              <w:spacing w:before="50" w:after="50"/>
              <w:jc w:val="right"/>
            </w:pPr>
            <w:r w:rsidRPr="00BE78CA">
              <w:rPr>
                <w:rFonts w:eastAsia="Calibri"/>
              </w:rPr>
              <w:t>2.0</w:t>
            </w:r>
          </w:p>
        </w:tc>
        <w:tc>
          <w:tcPr>
            <w:tcW w:w="1233" w:type="dxa"/>
            <w:tcBorders>
              <w:top w:val="single" w:sz="4" w:space="0" w:color="365F91"/>
              <w:bottom w:val="single" w:sz="4" w:space="0" w:color="365F91"/>
            </w:tcBorders>
            <w:shd w:val="clear" w:color="auto" w:fill="FFFFFF"/>
            <w:tcMar>
              <w:top w:w="0" w:type="dxa"/>
              <w:left w:w="57" w:type="dxa"/>
              <w:bottom w:w="0" w:type="dxa"/>
              <w:right w:w="57" w:type="dxa"/>
            </w:tcMar>
          </w:tcPr>
          <w:p w14:paraId="542F15D0" w14:textId="77777777" w:rsidR="00387C28" w:rsidRPr="00BE78CA" w:rsidRDefault="00387C28" w:rsidP="002B097E">
            <w:pPr>
              <w:pStyle w:val="TableText"/>
              <w:spacing w:before="50" w:after="50"/>
              <w:jc w:val="right"/>
            </w:pPr>
            <w:r w:rsidRPr="00BE78CA">
              <w:rPr>
                <w:rFonts w:eastAsia="Calibri"/>
              </w:rPr>
              <w:t>71.7</w:t>
            </w:r>
          </w:p>
        </w:tc>
      </w:tr>
      <w:tr w:rsidR="0077535C" w:rsidRPr="00BE78CA" w14:paraId="16EA2E24" w14:textId="77777777" w:rsidTr="0077535C">
        <w:trPr>
          <w:cantSplit/>
        </w:trPr>
        <w:tc>
          <w:tcPr>
            <w:tcW w:w="796" w:type="dxa"/>
            <w:tcBorders>
              <w:top w:val="single" w:sz="4" w:space="0" w:color="365F91"/>
              <w:left w:val="single" w:sz="4" w:space="0" w:color="FFFFFF"/>
              <w:bottom w:val="single" w:sz="4" w:space="0" w:color="365F91"/>
            </w:tcBorders>
            <w:shd w:val="clear" w:color="auto" w:fill="FFFFFF"/>
            <w:tcMar>
              <w:top w:w="0" w:type="dxa"/>
              <w:left w:w="57" w:type="dxa"/>
              <w:bottom w:w="0" w:type="dxa"/>
              <w:right w:w="57" w:type="dxa"/>
            </w:tcMar>
          </w:tcPr>
          <w:p w14:paraId="0CE865B5" w14:textId="77777777" w:rsidR="00387C28" w:rsidRPr="00BE78CA" w:rsidRDefault="00387C28" w:rsidP="00E55E06">
            <w:pPr>
              <w:pStyle w:val="TableText"/>
              <w:spacing w:before="50" w:after="50"/>
            </w:pPr>
            <w:r w:rsidRPr="00BE78CA">
              <w:rPr>
                <w:rFonts w:eastAsia="Calibri"/>
              </w:rPr>
              <w:t>1.A.1.a</w:t>
            </w:r>
          </w:p>
        </w:tc>
        <w:tc>
          <w:tcPr>
            <w:tcW w:w="3238" w:type="dxa"/>
            <w:tcBorders>
              <w:top w:val="single" w:sz="4" w:space="0" w:color="365F91"/>
              <w:bottom w:val="single" w:sz="4" w:space="0" w:color="365F91"/>
            </w:tcBorders>
            <w:shd w:val="clear" w:color="auto" w:fill="FFFFFF"/>
            <w:tcMar>
              <w:top w:w="0" w:type="dxa"/>
              <w:left w:w="57" w:type="dxa"/>
              <w:bottom w:w="0" w:type="dxa"/>
              <w:right w:w="57" w:type="dxa"/>
            </w:tcMar>
          </w:tcPr>
          <w:p w14:paraId="4A929BC2" w14:textId="77777777" w:rsidR="00387C28" w:rsidRPr="00BE78CA" w:rsidRDefault="00387C28" w:rsidP="00E55E06">
            <w:pPr>
              <w:pStyle w:val="TableText"/>
              <w:spacing w:before="50" w:after="50"/>
            </w:pPr>
            <w:r w:rsidRPr="00BE78CA">
              <w:rPr>
                <w:rFonts w:eastAsia="Calibri"/>
              </w:rPr>
              <w:t>Energy Industries – Public Electricity and Heat Production</w:t>
            </w:r>
          </w:p>
        </w:tc>
        <w:tc>
          <w:tcPr>
            <w:tcW w:w="528" w:type="dxa"/>
            <w:tcBorders>
              <w:top w:val="single" w:sz="4" w:space="0" w:color="365F91"/>
              <w:bottom w:val="single" w:sz="4" w:space="0" w:color="365F91"/>
            </w:tcBorders>
            <w:shd w:val="clear" w:color="auto" w:fill="FFFFFF"/>
            <w:tcMar>
              <w:top w:w="0" w:type="dxa"/>
              <w:left w:w="57" w:type="dxa"/>
              <w:bottom w:w="0" w:type="dxa"/>
              <w:right w:w="57" w:type="dxa"/>
            </w:tcMar>
          </w:tcPr>
          <w:p w14:paraId="756E347F" w14:textId="77777777" w:rsidR="00387C28" w:rsidRPr="00BE78CA" w:rsidRDefault="00387C28" w:rsidP="006132E1">
            <w:pPr>
              <w:pStyle w:val="TableText"/>
              <w:spacing w:before="50" w:after="50"/>
              <w:jc w:val="center"/>
            </w:pPr>
            <w:r w:rsidRPr="00BE78CA">
              <w:rPr>
                <w:rFonts w:eastAsia="Calibri"/>
              </w:rPr>
              <w:t>CO</w:t>
            </w:r>
            <w:r w:rsidRPr="00BE78CA">
              <w:rPr>
                <w:rFonts w:eastAsia="Calibri"/>
                <w:vertAlign w:val="subscript"/>
              </w:rPr>
              <w:t>2</w:t>
            </w:r>
          </w:p>
        </w:tc>
        <w:tc>
          <w:tcPr>
            <w:tcW w:w="1409" w:type="dxa"/>
            <w:tcBorders>
              <w:top w:val="single" w:sz="4" w:space="0" w:color="365F91"/>
              <w:bottom w:val="single" w:sz="4" w:space="0" w:color="365F91"/>
            </w:tcBorders>
            <w:shd w:val="clear" w:color="auto" w:fill="FFFFFF"/>
            <w:tcMar>
              <w:top w:w="0" w:type="dxa"/>
              <w:left w:w="57" w:type="dxa"/>
              <w:bottom w:w="0" w:type="dxa"/>
              <w:right w:w="57" w:type="dxa"/>
            </w:tcMar>
          </w:tcPr>
          <w:p w14:paraId="1FE0CFDE" w14:textId="77777777" w:rsidR="00387C28" w:rsidRPr="00BE78CA" w:rsidRDefault="00387C28" w:rsidP="002B097E">
            <w:pPr>
              <w:pStyle w:val="TableText"/>
              <w:spacing w:before="50" w:after="50"/>
              <w:jc w:val="right"/>
            </w:pPr>
            <w:r w:rsidRPr="00BE78CA">
              <w:rPr>
                <w:rFonts w:eastAsia="Calibri"/>
              </w:rPr>
              <w:t>1,634.8</w:t>
            </w:r>
          </w:p>
        </w:tc>
        <w:tc>
          <w:tcPr>
            <w:tcW w:w="1290" w:type="dxa"/>
            <w:tcBorders>
              <w:top w:val="single" w:sz="4" w:space="0" w:color="365F91"/>
              <w:bottom w:val="single" w:sz="4" w:space="0" w:color="365F91"/>
            </w:tcBorders>
            <w:shd w:val="clear" w:color="auto" w:fill="FFFFFF"/>
            <w:tcMar>
              <w:top w:w="0" w:type="dxa"/>
              <w:left w:w="57" w:type="dxa"/>
              <w:bottom w:w="0" w:type="dxa"/>
              <w:right w:w="57" w:type="dxa"/>
            </w:tcMar>
          </w:tcPr>
          <w:p w14:paraId="0E934880" w14:textId="77777777" w:rsidR="00387C28" w:rsidRPr="00BE78CA" w:rsidRDefault="00387C28" w:rsidP="002B097E">
            <w:pPr>
              <w:pStyle w:val="TableText"/>
              <w:spacing w:before="50" w:after="50"/>
              <w:jc w:val="right"/>
            </w:pPr>
            <w:r w:rsidRPr="00BE78CA">
              <w:rPr>
                <w:rFonts w:eastAsia="Calibri"/>
              </w:rPr>
              <w:t>2.0</w:t>
            </w:r>
          </w:p>
        </w:tc>
        <w:tc>
          <w:tcPr>
            <w:tcW w:w="1233" w:type="dxa"/>
            <w:tcBorders>
              <w:top w:val="single" w:sz="4" w:space="0" w:color="365F91"/>
              <w:bottom w:val="single" w:sz="4" w:space="0" w:color="365F91"/>
            </w:tcBorders>
            <w:shd w:val="clear" w:color="auto" w:fill="FFFFFF"/>
            <w:tcMar>
              <w:top w:w="0" w:type="dxa"/>
              <w:left w:w="57" w:type="dxa"/>
              <w:bottom w:w="0" w:type="dxa"/>
              <w:right w:w="57" w:type="dxa"/>
            </w:tcMar>
          </w:tcPr>
          <w:p w14:paraId="4351099A" w14:textId="77777777" w:rsidR="00387C28" w:rsidRPr="00BE78CA" w:rsidRDefault="00387C28" w:rsidP="002B097E">
            <w:pPr>
              <w:pStyle w:val="TableText"/>
              <w:spacing w:before="50" w:after="50"/>
              <w:jc w:val="right"/>
            </w:pPr>
            <w:r w:rsidRPr="00BE78CA">
              <w:rPr>
                <w:rFonts w:eastAsia="Calibri"/>
              </w:rPr>
              <w:t>73.7</w:t>
            </w:r>
          </w:p>
        </w:tc>
      </w:tr>
      <w:tr w:rsidR="0077535C" w:rsidRPr="00BE78CA" w14:paraId="68867DA9" w14:textId="77777777" w:rsidTr="0077535C">
        <w:trPr>
          <w:cantSplit/>
        </w:trPr>
        <w:tc>
          <w:tcPr>
            <w:tcW w:w="796" w:type="dxa"/>
            <w:tcBorders>
              <w:top w:val="single" w:sz="4" w:space="0" w:color="365F91"/>
              <w:left w:val="single" w:sz="4" w:space="0" w:color="FFFFFF"/>
              <w:bottom w:val="single" w:sz="4" w:space="0" w:color="365F91"/>
            </w:tcBorders>
            <w:shd w:val="clear" w:color="auto" w:fill="FFFFFF"/>
            <w:tcMar>
              <w:top w:w="0" w:type="dxa"/>
              <w:left w:w="57" w:type="dxa"/>
              <w:bottom w:w="0" w:type="dxa"/>
              <w:right w:w="57" w:type="dxa"/>
            </w:tcMar>
          </w:tcPr>
          <w:p w14:paraId="30F8E2B6" w14:textId="77777777" w:rsidR="00387C28" w:rsidRPr="00BE78CA" w:rsidRDefault="00387C28" w:rsidP="00E55E06">
            <w:pPr>
              <w:pStyle w:val="TableText"/>
              <w:spacing w:before="50" w:after="50"/>
            </w:pPr>
            <w:r w:rsidRPr="00BE78CA">
              <w:rPr>
                <w:rFonts w:eastAsia="Calibri"/>
              </w:rPr>
              <w:t>3.D.1.1</w:t>
            </w:r>
          </w:p>
        </w:tc>
        <w:tc>
          <w:tcPr>
            <w:tcW w:w="3238" w:type="dxa"/>
            <w:tcBorders>
              <w:top w:val="single" w:sz="4" w:space="0" w:color="365F91"/>
              <w:bottom w:val="single" w:sz="4" w:space="0" w:color="365F91"/>
            </w:tcBorders>
            <w:shd w:val="clear" w:color="auto" w:fill="FFFFFF"/>
            <w:tcMar>
              <w:top w:w="0" w:type="dxa"/>
              <w:left w:w="57" w:type="dxa"/>
              <w:bottom w:w="0" w:type="dxa"/>
              <w:right w:w="57" w:type="dxa"/>
            </w:tcMar>
          </w:tcPr>
          <w:p w14:paraId="571E2C78" w14:textId="41D36FC5" w:rsidR="00387C28" w:rsidRPr="00BE78CA" w:rsidRDefault="00387C28" w:rsidP="00E55E06">
            <w:pPr>
              <w:pStyle w:val="TableText"/>
              <w:spacing w:before="50" w:after="50"/>
            </w:pPr>
            <w:r w:rsidRPr="00BE78CA">
              <w:rPr>
                <w:rFonts w:eastAsia="Calibri"/>
              </w:rPr>
              <w:t>Direct N</w:t>
            </w:r>
            <w:r w:rsidRPr="00BE78CA">
              <w:rPr>
                <w:rFonts w:eastAsia="Calibri"/>
                <w:vertAlign w:val="subscript"/>
              </w:rPr>
              <w:t>2</w:t>
            </w:r>
            <w:r w:rsidRPr="00BE78CA">
              <w:rPr>
                <w:rFonts w:eastAsia="Calibri"/>
              </w:rPr>
              <w:t>O Emissions from Managed Soils –</w:t>
            </w:r>
            <w:r w:rsidR="006132E1" w:rsidRPr="00BE78CA">
              <w:rPr>
                <w:rFonts w:eastAsia="Calibri"/>
              </w:rPr>
              <w:t> </w:t>
            </w:r>
            <w:r w:rsidRPr="00BE78CA">
              <w:rPr>
                <w:rFonts w:eastAsia="Calibri"/>
              </w:rPr>
              <w:t>Inorganic N Fertilisers</w:t>
            </w:r>
          </w:p>
        </w:tc>
        <w:tc>
          <w:tcPr>
            <w:tcW w:w="528" w:type="dxa"/>
            <w:tcBorders>
              <w:top w:val="single" w:sz="4" w:space="0" w:color="365F91"/>
              <w:bottom w:val="single" w:sz="4" w:space="0" w:color="365F91"/>
            </w:tcBorders>
            <w:shd w:val="clear" w:color="auto" w:fill="FFFFFF"/>
            <w:tcMar>
              <w:top w:w="0" w:type="dxa"/>
              <w:left w:w="57" w:type="dxa"/>
              <w:bottom w:w="0" w:type="dxa"/>
              <w:right w:w="57" w:type="dxa"/>
            </w:tcMar>
          </w:tcPr>
          <w:p w14:paraId="3B9CD4F4" w14:textId="77777777" w:rsidR="00387C28" w:rsidRPr="00BE78CA" w:rsidRDefault="00387C28" w:rsidP="006132E1">
            <w:pPr>
              <w:pStyle w:val="TableText"/>
              <w:spacing w:before="50" w:after="50"/>
              <w:jc w:val="center"/>
            </w:pPr>
            <w:r w:rsidRPr="00BE78CA">
              <w:rPr>
                <w:rFonts w:eastAsia="Calibri"/>
              </w:rPr>
              <w:t>N</w:t>
            </w:r>
            <w:r w:rsidRPr="00BE78CA">
              <w:rPr>
                <w:rFonts w:eastAsia="Calibri"/>
                <w:vertAlign w:val="subscript"/>
              </w:rPr>
              <w:t>2</w:t>
            </w:r>
            <w:r w:rsidRPr="00BE78CA">
              <w:rPr>
                <w:rFonts w:eastAsia="Calibri"/>
              </w:rPr>
              <w:t>O</w:t>
            </w:r>
          </w:p>
        </w:tc>
        <w:tc>
          <w:tcPr>
            <w:tcW w:w="1409" w:type="dxa"/>
            <w:tcBorders>
              <w:top w:val="single" w:sz="4" w:space="0" w:color="365F91"/>
              <w:bottom w:val="single" w:sz="4" w:space="0" w:color="365F91"/>
            </w:tcBorders>
            <w:shd w:val="clear" w:color="auto" w:fill="FFFFFF"/>
            <w:tcMar>
              <w:top w:w="0" w:type="dxa"/>
              <w:left w:w="57" w:type="dxa"/>
              <w:bottom w:w="0" w:type="dxa"/>
              <w:right w:w="57" w:type="dxa"/>
            </w:tcMar>
          </w:tcPr>
          <w:p w14:paraId="0AA27AEC" w14:textId="77777777" w:rsidR="00387C28" w:rsidRPr="00BE78CA" w:rsidRDefault="00387C28" w:rsidP="002B097E">
            <w:pPr>
              <w:pStyle w:val="TableText"/>
              <w:spacing w:before="50" w:after="50"/>
              <w:jc w:val="right"/>
            </w:pPr>
            <w:r w:rsidRPr="00BE78CA">
              <w:rPr>
                <w:rFonts w:eastAsia="Calibri"/>
              </w:rPr>
              <w:t>1,429.3</w:t>
            </w:r>
          </w:p>
        </w:tc>
        <w:tc>
          <w:tcPr>
            <w:tcW w:w="1290" w:type="dxa"/>
            <w:tcBorders>
              <w:top w:val="single" w:sz="4" w:space="0" w:color="365F91"/>
              <w:bottom w:val="single" w:sz="4" w:space="0" w:color="365F91"/>
            </w:tcBorders>
            <w:shd w:val="clear" w:color="auto" w:fill="FFFFFF"/>
            <w:tcMar>
              <w:top w:w="0" w:type="dxa"/>
              <w:left w:w="57" w:type="dxa"/>
              <w:bottom w:w="0" w:type="dxa"/>
              <w:right w:w="57" w:type="dxa"/>
            </w:tcMar>
          </w:tcPr>
          <w:p w14:paraId="165260E4" w14:textId="77777777" w:rsidR="00387C28" w:rsidRPr="00BE78CA" w:rsidRDefault="00387C28" w:rsidP="002B097E">
            <w:pPr>
              <w:pStyle w:val="TableText"/>
              <w:spacing w:before="50" w:after="50"/>
              <w:jc w:val="right"/>
            </w:pPr>
            <w:r w:rsidRPr="00BE78CA">
              <w:rPr>
                <w:rFonts w:eastAsia="Calibri"/>
              </w:rPr>
              <w:t>1.7</w:t>
            </w:r>
          </w:p>
        </w:tc>
        <w:tc>
          <w:tcPr>
            <w:tcW w:w="1233" w:type="dxa"/>
            <w:tcBorders>
              <w:top w:val="single" w:sz="4" w:space="0" w:color="365F91"/>
              <w:bottom w:val="single" w:sz="4" w:space="0" w:color="365F91"/>
            </w:tcBorders>
            <w:shd w:val="clear" w:color="auto" w:fill="FFFFFF"/>
            <w:tcMar>
              <w:top w:w="0" w:type="dxa"/>
              <w:left w:w="57" w:type="dxa"/>
              <w:bottom w:w="0" w:type="dxa"/>
              <w:right w:w="57" w:type="dxa"/>
            </w:tcMar>
          </w:tcPr>
          <w:p w14:paraId="715BC44C" w14:textId="77777777" w:rsidR="00387C28" w:rsidRPr="00BE78CA" w:rsidRDefault="00387C28" w:rsidP="002B097E">
            <w:pPr>
              <w:pStyle w:val="TableText"/>
              <w:spacing w:before="50" w:after="50"/>
              <w:jc w:val="right"/>
            </w:pPr>
            <w:r w:rsidRPr="00BE78CA">
              <w:rPr>
                <w:rFonts w:eastAsia="Calibri"/>
              </w:rPr>
              <w:t>75.4</w:t>
            </w:r>
          </w:p>
        </w:tc>
      </w:tr>
      <w:tr w:rsidR="0077535C" w:rsidRPr="00BE78CA" w14:paraId="4FA1737C" w14:textId="77777777" w:rsidTr="0077535C">
        <w:trPr>
          <w:cantSplit/>
        </w:trPr>
        <w:tc>
          <w:tcPr>
            <w:tcW w:w="796" w:type="dxa"/>
            <w:tcBorders>
              <w:top w:val="single" w:sz="4" w:space="0" w:color="365F91"/>
              <w:left w:val="single" w:sz="4" w:space="0" w:color="FFFFFF"/>
              <w:bottom w:val="single" w:sz="4" w:space="0" w:color="365F91"/>
            </w:tcBorders>
            <w:shd w:val="clear" w:color="auto" w:fill="FFFFFF"/>
            <w:tcMar>
              <w:top w:w="0" w:type="dxa"/>
              <w:left w:w="57" w:type="dxa"/>
              <w:bottom w:w="0" w:type="dxa"/>
              <w:right w:w="57" w:type="dxa"/>
            </w:tcMar>
          </w:tcPr>
          <w:p w14:paraId="0A8FA586" w14:textId="77777777" w:rsidR="00387C28" w:rsidRPr="00BE78CA" w:rsidRDefault="00387C28" w:rsidP="00E55E06">
            <w:pPr>
              <w:pStyle w:val="TableText"/>
              <w:spacing w:before="50" w:after="50"/>
            </w:pPr>
            <w:r w:rsidRPr="00BE78CA">
              <w:rPr>
                <w:rFonts w:eastAsia="Calibri"/>
              </w:rPr>
              <w:t>3.B.1.1</w:t>
            </w:r>
          </w:p>
        </w:tc>
        <w:tc>
          <w:tcPr>
            <w:tcW w:w="3238" w:type="dxa"/>
            <w:tcBorders>
              <w:top w:val="single" w:sz="4" w:space="0" w:color="365F91"/>
              <w:bottom w:val="single" w:sz="4" w:space="0" w:color="365F91"/>
            </w:tcBorders>
            <w:shd w:val="clear" w:color="auto" w:fill="FFFFFF"/>
            <w:tcMar>
              <w:top w:w="0" w:type="dxa"/>
              <w:left w:w="57" w:type="dxa"/>
              <w:bottom w:w="0" w:type="dxa"/>
              <w:right w:w="57" w:type="dxa"/>
            </w:tcMar>
          </w:tcPr>
          <w:p w14:paraId="43CDB316" w14:textId="77777777" w:rsidR="00387C28" w:rsidRPr="00BE78CA" w:rsidRDefault="00387C28" w:rsidP="00E55E06">
            <w:pPr>
              <w:pStyle w:val="TableText"/>
              <w:spacing w:before="50" w:after="50"/>
            </w:pPr>
            <w:r w:rsidRPr="00BE78CA">
              <w:rPr>
                <w:rFonts w:eastAsia="Calibri"/>
              </w:rPr>
              <w:t>Cattle – Option A</w:t>
            </w:r>
          </w:p>
        </w:tc>
        <w:tc>
          <w:tcPr>
            <w:tcW w:w="528" w:type="dxa"/>
            <w:tcBorders>
              <w:top w:val="single" w:sz="4" w:space="0" w:color="365F91"/>
              <w:bottom w:val="single" w:sz="4" w:space="0" w:color="365F91"/>
            </w:tcBorders>
            <w:shd w:val="clear" w:color="auto" w:fill="FFFFFF"/>
            <w:tcMar>
              <w:top w:w="0" w:type="dxa"/>
              <w:left w:w="57" w:type="dxa"/>
              <w:bottom w:w="0" w:type="dxa"/>
              <w:right w:w="57" w:type="dxa"/>
            </w:tcMar>
          </w:tcPr>
          <w:p w14:paraId="455C2FAE" w14:textId="77777777" w:rsidR="00387C28" w:rsidRPr="00BE78CA" w:rsidRDefault="00387C28" w:rsidP="006132E1">
            <w:pPr>
              <w:pStyle w:val="TableText"/>
              <w:spacing w:before="50" w:after="50"/>
              <w:jc w:val="center"/>
            </w:pPr>
            <w:r w:rsidRPr="00BE78CA">
              <w:rPr>
                <w:rFonts w:eastAsia="Calibri"/>
              </w:rPr>
              <w:t>CH</w:t>
            </w:r>
            <w:r w:rsidRPr="00BE78CA">
              <w:rPr>
                <w:rFonts w:eastAsia="Calibri"/>
                <w:vertAlign w:val="subscript"/>
              </w:rPr>
              <w:t>4</w:t>
            </w:r>
          </w:p>
        </w:tc>
        <w:tc>
          <w:tcPr>
            <w:tcW w:w="1409" w:type="dxa"/>
            <w:tcBorders>
              <w:top w:val="single" w:sz="4" w:space="0" w:color="365F91"/>
              <w:bottom w:val="single" w:sz="4" w:space="0" w:color="365F91"/>
            </w:tcBorders>
            <w:shd w:val="clear" w:color="auto" w:fill="FFFFFF"/>
            <w:tcMar>
              <w:top w:w="0" w:type="dxa"/>
              <w:left w:w="57" w:type="dxa"/>
              <w:bottom w:w="0" w:type="dxa"/>
              <w:right w:w="57" w:type="dxa"/>
            </w:tcMar>
          </w:tcPr>
          <w:p w14:paraId="7C9DF422" w14:textId="77777777" w:rsidR="00387C28" w:rsidRPr="00BE78CA" w:rsidRDefault="00387C28" w:rsidP="002B097E">
            <w:pPr>
              <w:pStyle w:val="TableText"/>
              <w:spacing w:before="50" w:after="50"/>
              <w:jc w:val="right"/>
            </w:pPr>
            <w:r w:rsidRPr="00BE78CA">
              <w:rPr>
                <w:rFonts w:eastAsia="Calibri"/>
              </w:rPr>
              <w:t>1,384.2</w:t>
            </w:r>
          </w:p>
        </w:tc>
        <w:tc>
          <w:tcPr>
            <w:tcW w:w="1290" w:type="dxa"/>
            <w:tcBorders>
              <w:top w:val="single" w:sz="4" w:space="0" w:color="365F91"/>
              <w:bottom w:val="single" w:sz="4" w:space="0" w:color="365F91"/>
            </w:tcBorders>
            <w:shd w:val="clear" w:color="auto" w:fill="FFFFFF"/>
            <w:tcMar>
              <w:top w:w="0" w:type="dxa"/>
              <w:left w:w="57" w:type="dxa"/>
              <w:bottom w:w="0" w:type="dxa"/>
              <w:right w:w="57" w:type="dxa"/>
            </w:tcMar>
          </w:tcPr>
          <w:p w14:paraId="52ABB8F5" w14:textId="77777777" w:rsidR="00387C28" w:rsidRPr="00BE78CA" w:rsidRDefault="00387C28" w:rsidP="002B097E">
            <w:pPr>
              <w:pStyle w:val="TableText"/>
              <w:spacing w:before="50" w:after="50"/>
              <w:jc w:val="right"/>
            </w:pPr>
            <w:r w:rsidRPr="00BE78CA">
              <w:rPr>
                <w:rFonts w:eastAsia="Calibri"/>
              </w:rPr>
              <w:t>1.7</w:t>
            </w:r>
          </w:p>
        </w:tc>
        <w:tc>
          <w:tcPr>
            <w:tcW w:w="1233" w:type="dxa"/>
            <w:tcBorders>
              <w:top w:val="single" w:sz="4" w:space="0" w:color="365F91"/>
              <w:bottom w:val="single" w:sz="4" w:space="0" w:color="365F91"/>
            </w:tcBorders>
            <w:shd w:val="clear" w:color="auto" w:fill="FFFFFF"/>
            <w:tcMar>
              <w:top w:w="0" w:type="dxa"/>
              <w:left w:w="57" w:type="dxa"/>
              <w:bottom w:w="0" w:type="dxa"/>
              <w:right w:w="57" w:type="dxa"/>
            </w:tcMar>
          </w:tcPr>
          <w:p w14:paraId="20E36B8B" w14:textId="77777777" w:rsidR="00387C28" w:rsidRPr="00BE78CA" w:rsidRDefault="00387C28" w:rsidP="002B097E">
            <w:pPr>
              <w:pStyle w:val="TableText"/>
              <w:spacing w:before="50" w:after="50"/>
              <w:jc w:val="right"/>
            </w:pPr>
            <w:r w:rsidRPr="00BE78CA">
              <w:rPr>
                <w:rFonts w:eastAsia="Calibri"/>
              </w:rPr>
              <w:t>77.1</w:t>
            </w:r>
          </w:p>
        </w:tc>
      </w:tr>
      <w:tr w:rsidR="0077535C" w:rsidRPr="00BE78CA" w14:paraId="05AE44FE" w14:textId="77777777" w:rsidTr="0077535C">
        <w:trPr>
          <w:cantSplit/>
        </w:trPr>
        <w:tc>
          <w:tcPr>
            <w:tcW w:w="796" w:type="dxa"/>
            <w:tcBorders>
              <w:top w:val="single" w:sz="4" w:space="0" w:color="365F91"/>
              <w:left w:val="single" w:sz="4" w:space="0" w:color="FFFFFF"/>
              <w:bottom w:val="single" w:sz="4" w:space="0" w:color="365F91"/>
            </w:tcBorders>
            <w:shd w:val="clear" w:color="auto" w:fill="FFFFFF"/>
            <w:tcMar>
              <w:top w:w="0" w:type="dxa"/>
              <w:left w:w="57" w:type="dxa"/>
              <w:bottom w:w="0" w:type="dxa"/>
              <w:right w:w="57" w:type="dxa"/>
            </w:tcMar>
          </w:tcPr>
          <w:p w14:paraId="7FD83A87" w14:textId="77777777" w:rsidR="00387C28" w:rsidRPr="00BE78CA" w:rsidRDefault="00387C28" w:rsidP="00E55E06">
            <w:pPr>
              <w:pStyle w:val="TableText"/>
              <w:spacing w:before="50" w:after="50"/>
            </w:pPr>
            <w:r w:rsidRPr="00BE78CA">
              <w:rPr>
                <w:rFonts w:eastAsia="Calibri"/>
              </w:rPr>
              <w:t>1.A.2.e</w:t>
            </w:r>
          </w:p>
        </w:tc>
        <w:tc>
          <w:tcPr>
            <w:tcW w:w="3238" w:type="dxa"/>
            <w:tcBorders>
              <w:top w:val="single" w:sz="4" w:space="0" w:color="365F91"/>
              <w:bottom w:val="single" w:sz="4" w:space="0" w:color="365F91"/>
            </w:tcBorders>
            <w:shd w:val="clear" w:color="auto" w:fill="FFFFFF"/>
            <w:tcMar>
              <w:top w:w="0" w:type="dxa"/>
              <w:left w:w="57" w:type="dxa"/>
              <w:bottom w:w="0" w:type="dxa"/>
              <w:right w:w="57" w:type="dxa"/>
            </w:tcMar>
          </w:tcPr>
          <w:p w14:paraId="254A4F1F" w14:textId="58CBDC4E" w:rsidR="00387C28" w:rsidRPr="00BE78CA" w:rsidRDefault="00387C28" w:rsidP="00E55E06">
            <w:pPr>
              <w:pStyle w:val="TableText"/>
              <w:spacing w:before="50" w:after="50"/>
            </w:pPr>
            <w:r w:rsidRPr="00BE78CA">
              <w:rPr>
                <w:rFonts w:eastAsia="Calibri"/>
              </w:rPr>
              <w:t>Food Processing, Beverages and Tobacco –</w:t>
            </w:r>
            <w:r w:rsidR="006132E1" w:rsidRPr="00BE78CA">
              <w:rPr>
                <w:rFonts w:eastAsia="Calibri"/>
              </w:rPr>
              <w:t> </w:t>
            </w:r>
            <w:r w:rsidRPr="00BE78CA">
              <w:rPr>
                <w:rFonts w:eastAsia="Calibri"/>
              </w:rPr>
              <w:t>Gaseous Fuels</w:t>
            </w:r>
          </w:p>
        </w:tc>
        <w:tc>
          <w:tcPr>
            <w:tcW w:w="528" w:type="dxa"/>
            <w:tcBorders>
              <w:top w:val="single" w:sz="4" w:space="0" w:color="365F91"/>
              <w:bottom w:val="single" w:sz="4" w:space="0" w:color="365F91"/>
            </w:tcBorders>
            <w:shd w:val="clear" w:color="auto" w:fill="FFFFFF"/>
            <w:tcMar>
              <w:top w:w="0" w:type="dxa"/>
              <w:left w:w="57" w:type="dxa"/>
              <w:bottom w:w="0" w:type="dxa"/>
              <w:right w:w="57" w:type="dxa"/>
            </w:tcMar>
          </w:tcPr>
          <w:p w14:paraId="2ECA1854" w14:textId="77777777" w:rsidR="00387C28" w:rsidRPr="00BE78CA" w:rsidRDefault="00387C28" w:rsidP="006132E1">
            <w:pPr>
              <w:pStyle w:val="TableText"/>
              <w:spacing w:before="50" w:after="50"/>
              <w:jc w:val="center"/>
            </w:pPr>
            <w:r w:rsidRPr="00BE78CA">
              <w:rPr>
                <w:rFonts w:eastAsia="Calibri"/>
              </w:rPr>
              <w:t>CO</w:t>
            </w:r>
            <w:r w:rsidRPr="00BE78CA">
              <w:rPr>
                <w:rFonts w:eastAsia="Calibri"/>
                <w:vertAlign w:val="subscript"/>
              </w:rPr>
              <w:t>2</w:t>
            </w:r>
          </w:p>
        </w:tc>
        <w:tc>
          <w:tcPr>
            <w:tcW w:w="1409" w:type="dxa"/>
            <w:tcBorders>
              <w:top w:val="single" w:sz="4" w:space="0" w:color="365F91"/>
              <w:bottom w:val="single" w:sz="4" w:space="0" w:color="365F91"/>
            </w:tcBorders>
            <w:shd w:val="clear" w:color="auto" w:fill="FFFFFF"/>
            <w:tcMar>
              <w:top w:w="0" w:type="dxa"/>
              <w:left w:w="57" w:type="dxa"/>
              <w:bottom w:w="0" w:type="dxa"/>
              <w:right w:w="57" w:type="dxa"/>
            </w:tcMar>
          </w:tcPr>
          <w:p w14:paraId="1A140D9C" w14:textId="77777777" w:rsidR="00387C28" w:rsidRPr="00BE78CA" w:rsidRDefault="00387C28" w:rsidP="002B097E">
            <w:pPr>
              <w:pStyle w:val="TableText"/>
              <w:spacing w:before="50" w:after="50"/>
              <w:jc w:val="right"/>
            </w:pPr>
            <w:r w:rsidRPr="00BE78CA">
              <w:rPr>
                <w:rFonts w:eastAsia="Calibri"/>
              </w:rPr>
              <w:t>1,197.6</w:t>
            </w:r>
          </w:p>
        </w:tc>
        <w:tc>
          <w:tcPr>
            <w:tcW w:w="1290" w:type="dxa"/>
            <w:tcBorders>
              <w:top w:val="single" w:sz="4" w:space="0" w:color="365F91"/>
              <w:bottom w:val="single" w:sz="4" w:space="0" w:color="365F91"/>
            </w:tcBorders>
            <w:shd w:val="clear" w:color="auto" w:fill="FFFFFF"/>
            <w:tcMar>
              <w:top w:w="0" w:type="dxa"/>
              <w:left w:w="57" w:type="dxa"/>
              <w:bottom w:w="0" w:type="dxa"/>
              <w:right w:w="57" w:type="dxa"/>
            </w:tcMar>
          </w:tcPr>
          <w:p w14:paraId="0E5ACAE7" w14:textId="77777777" w:rsidR="00387C28" w:rsidRPr="00BE78CA" w:rsidRDefault="00387C28" w:rsidP="002B097E">
            <w:pPr>
              <w:pStyle w:val="TableText"/>
              <w:spacing w:before="50" w:after="50"/>
              <w:jc w:val="right"/>
            </w:pPr>
            <w:r w:rsidRPr="00BE78CA">
              <w:rPr>
                <w:rFonts w:eastAsia="Calibri"/>
              </w:rPr>
              <w:t>1.5</w:t>
            </w:r>
          </w:p>
        </w:tc>
        <w:tc>
          <w:tcPr>
            <w:tcW w:w="1233" w:type="dxa"/>
            <w:tcBorders>
              <w:top w:val="single" w:sz="4" w:space="0" w:color="365F91"/>
              <w:bottom w:val="single" w:sz="4" w:space="0" w:color="365F91"/>
            </w:tcBorders>
            <w:shd w:val="clear" w:color="auto" w:fill="FFFFFF"/>
            <w:tcMar>
              <w:top w:w="0" w:type="dxa"/>
              <w:left w:w="57" w:type="dxa"/>
              <w:bottom w:w="0" w:type="dxa"/>
              <w:right w:w="57" w:type="dxa"/>
            </w:tcMar>
          </w:tcPr>
          <w:p w14:paraId="4C26C05B" w14:textId="77777777" w:rsidR="00387C28" w:rsidRPr="00BE78CA" w:rsidRDefault="00387C28" w:rsidP="002B097E">
            <w:pPr>
              <w:pStyle w:val="TableText"/>
              <w:spacing w:before="50" w:after="50"/>
              <w:jc w:val="right"/>
            </w:pPr>
            <w:r w:rsidRPr="00BE78CA">
              <w:rPr>
                <w:rFonts w:eastAsia="Calibri"/>
              </w:rPr>
              <w:t>78.6</w:t>
            </w:r>
          </w:p>
        </w:tc>
      </w:tr>
      <w:tr w:rsidR="0077535C" w:rsidRPr="00BE78CA" w14:paraId="77E983DB" w14:textId="77777777" w:rsidTr="0077535C">
        <w:trPr>
          <w:cantSplit/>
        </w:trPr>
        <w:tc>
          <w:tcPr>
            <w:tcW w:w="796" w:type="dxa"/>
            <w:tcBorders>
              <w:top w:val="single" w:sz="4" w:space="0" w:color="365F91"/>
              <w:left w:val="single" w:sz="4" w:space="0" w:color="FFFFFF"/>
              <w:bottom w:val="single" w:sz="4" w:space="0" w:color="365F91"/>
            </w:tcBorders>
            <w:shd w:val="clear" w:color="auto" w:fill="FFFFFF"/>
            <w:tcMar>
              <w:top w:w="0" w:type="dxa"/>
              <w:left w:w="57" w:type="dxa"/>
              <w:bottom w:w="0" w:type="dxa"/>
              <w:right w:w="57" w:type="dxa"/>
            </w:tcMar>
          </w:tcPr>
          <w:p w14:paraId="09998743" w14:textId="77777777" w:rsidR="00387C28" w:rsidRPr="00BE78CA" w:rsidRDefault="00387C28" w:rsidP="00E55E06">
            <w:pPr>
              <w:pStyle w:val="TableText"/>
              <w:spacing w:before="50" w:after="50"/>
            </w:pPr>
            <w:r w:rsidRPr="00BE78CA">
              <w:rPr>
                <w:rFonts w:eastAsia="Calibri"/>
              </w:rPr>
              <w:t>1.A.4.c</w:t>
            </w:r>
          </w:p>
        </w:tc>
        <w:tc>
          <w:tcPr>
            <w:tcW w:w="3238" w:type="dxa"/>
            <w:tcBorders>
              <w:top w:val="single" w:sz="4" w:space="0" w:color="365F91"/>
              <w:bottom w:val="single" w:sz="4" w:space="0" w:color="365F91"/>
            </w:tcBorders>
            <w:shd w:val="clear" w:color="auto" w:fill="FFFFFF"/>
            <w:tcMar>
              <w:top w:w="0" w:type="dxa"/>
              <w:left w:w="57" w:type="dxa"/>
              <w:bottom w:w="0" w:type="dxa"/>
              <w:right w:w="57" w:type="dxa"/>
            </w:tcMar>
          </w:tcPr>
          <w:p w14:paraId="61E6D7A6" w14:textId="6773B2B4" w:rsidR="00387C28" w:rsidRPr="00BE78CA" w:rsidRDefault="00387C28" w:rsidP="00E55E06">
            <w:pPr>
              <w:pStyle w:val="TableText"/>
              <w:spacing w:before="50" w:after="50"/>
            </w:pPr>
            <w:r w:rsidRPr="00BE78CA">
              <w:rPr>
                <w:rFonts w:eastAsia="Calibri"/>
              </w:rPr>
              <w:t>Other Sectors – Agriculture/Forestry/</w:t>
            </w:r>
            <w:r w:rsidR="006132E1" w:rsidRPr="00BE78CA">
              <w:rPr>
                <w:rFonts w:eastAsia="Calibri"/>
              </w:rPr>
              <w:t xml:space="preserve"> </w:t>
            </w:r>
            <w:r w:rsidRPr="00BE78CA">
              <w:rPr>
                <w:rFonts w:eastAsia="Calibri"/>
              </w:rPr>
              <w:t>Fishing</w:t>
            </w:r>
          </w:p>
        </w:tc>
        <w:tc>
          <w:tcPr>
            <w:tcW w:w="528" w:type="dxa"/>
            <w:tcBorders>
              <w:top w:val="single" w:sz="4" w:space="0" w:color="365F91"/>
              <w:bottom w:val="single" w:sz="4" w:space="0" w:color="365F91"/>
            </w:tcBorders>
            <w:shd w:val="clear" w:color="auto" w:fill="FFFFFF"/>
            <w:tcMar>
              <w:top w:w="0" w:type="dxa"/>
              <w:left w:w="57" w:type="dxa"/>
              <w:bottom w:w="0" w:type="dxa"/>
              <w:right w:w="57" w:type="dxa"/>
            </w:tcMar>
          </w:tcPr>
          <w:p w14:paraId="6FEBF1FD" w14:textId="77777777" w:rsidR="00387C28" w:rsidRPr="00BE78CA" w:rsidRDefault="00387C28" w:rsidP="006132E1">
            <w:pPr>
              <w:pStyle w:val="TableText"/>
              <w:spacing w:before="50" w:after="50"/>
              <w:jc w:val="center"/>
            </w:pPr>
            <w:r w:rsidRPr="00BE78CA">
              <w:rPr>
                <w:rFonts w:eastAsia="Calibri"/>
              </w:rPr>
              <w:t>CO</w:t>
            </w:r>
            <w:r w:rsidRPr="00BE78CA">
              <w:rPr>
                <w:rFonts w:eastAsia="Calibri"/>
                <w:vertAlign w:val="subscript"/>
              </w:rPr>
              <w:t>2</w:t>
            </w:r>
          </w:p>
        </w:tc>
        <w:tc>
          <w:tcPr>
            <w:tcW w:w="1409" w:type="dxa"/>
            <w:tcBorders>
              <w:top w:val="single" w:sz="4" w:space="0" w:color="365F91"/>
              <w:bottom w:val="single" w:sz="4" w:space="0" w:color="365F91"/>
            </w:tcBorders>
            <w:shd w:val="clear" w:color="auto" w:fill="FFFFFF"/>
            <w:tcMar>
              <w:top w:w="0" w:type="dxa"/>
              <w:left w:w="57" w:type="dxa"/>
              <w:bottom w:w="0" w:type="dxa"/>
              <w:right w:w="57" w:type="dxa"/>
            </w:tcMar>
          </w:tcPr>
          <w:p w14:paraId="49AF6C53" w14:textId="77777777" w:rsidR="00387C28" w:rsidRPr="00BE78CA" w:rsidRDefault="00387C28" w:rsidP="002B097E">
            <w:pPr>
              <w:pStyle w:val="TableText"/>
              <w:spacing w:before="50" w:after="50"/>
              <w:jc w:val="right"/>
            </w:pPr>
            <w:r w:rsidRPr="00BE78CA">
              <w:rPr>
                <w:rFonts w:eastAsia="Calibri"/>
              </w:rPr>
              <w:t>1,154.3</w:t>
            </w:r>
          </w:p>
        </w:tc>
        <w:tc>
          <w:tcPr>
            <w:tcW w:w="1290" w:type="dxa"/>
            <w:tcBorders>
              <w:top w:val="single" w:sz="4" w:space="0" w:color="365F91"/>
              <w:bottom w:val="single" w:sz="4" w:space="0" w:color="365F91"/>
            </w:tcBorders>
            <w:shd w:val="clear" w:color="auto" w:fill="FFFFFF"/>
            <w:tcMar>
              <w:top w:w="0" w:type="dxa"/>
              <w:left w:w="57" w:type="dxa"/>
              <w:bottom w:w="0" w:type="dxa"/>
              <w:right w:w="57" w:type="dxa"/>
            </w:tcMar>
          </w:tcPr>
          <w:p w14:paraId="69DB77E7" w14:textId="77777777" w:rsidR="00387C28" w:rsidRPr="00BE78CA" w:rsidRDefault="00387C28" w:rsidP="002B097E">
            <w:pPr>
              <w:pStyle w:val="TableText"/>
              <w:spacing w:before="50" w:after="50"/>
              <w:jc w:val="right"/>
            </w:pPr>
            <w:r w:rsidRPr="00BE78CA">
              <w:rPr>
                <w:rFonts w:eastAsia="Calibri"/>
              </w:rPr>
              <w:t>1.4</w:t>
            </w:r>
          </w:p>
        </w:tc>
        <w:tc>
          <w:tcPr>
            <w:tcW w:w="1233" w:type="dxa"/>
            <w:tcBorders>
              <w:top w:val="single" w:sz="4" w:space="0" w:color="365F91"/>
              <w:bottom w:val="single" w:sz="4" w:space="0" w:color="365F91"/>
            </w:tcBorders>
            <w:shd w:val="clear" w:color="auto" w:fill="FFFFFF"/>
            <w:tcMar>
              <w:top w:w="0" w:type="dxa"/>
              <w:left w:w="57" w:type="dxa"/>
              <w:bottom w:w="0" w:type="dxa"/>
              <w:right w:w="57" w:type="dxa"/>
            </w:tcMar>
          </w:tcPr>
          <w:p w14:paraId="2393CB43" w14:textId="77777777" w:rsidR="00387C28" w:rsidRPr="00BE78CA" w:rsidRDefault="00387C28" w:rsidP="002B097E">
            <w:pPr>
              <w:pStyle w:val="TableText"/>
              <w:spacing w:before="50" w:after="50"/>
              <w:jc w:val="right"/>
            </w:pPr>
            <w:r w:rsidRPr="00BE78CA">
              <w:rPr>
                <w:rFonts w:eastAsia="Calibri"/>
              </w:rPr>
              <w:t>80.0</w:t>
            </w:r>
          </w:p>
        </w:tc>
      </w:tr>
      <w:tr w:rsidR="0077535C" w:rsidRPr="00BE78CA" w14:paraId="1D23DDAE" w14:textId="77777777" w:rsidTr="0077535C">
        <w:trPr>
          <w:cantSplit/>
        </w:trPr>
        <w:tc>
          <w:tcPr>
            <w:tcW w:w="796" w:type="dxa"/>
            <w:tcBorders>
              <w:top w:val="single" w:sz="4" w:space="0" w:color="365F91"/>
              <w:left w:val="single" w:sz="4" w:space="0" w:color="FFFFFF"/>
              <w:bottom w:val="single" w:sz="4" w:space="0" w:color="365F91"/>
            </w:tcBorders>
            <w:shd w:val="clear" w:color="auto" w:fill="FFFFFF"/>
            <w:tcMar>
              <w:top w:w="0" w:type="dxa"/>
              <w:left w:w="57" w:type="dxa"/>
              <w:bottom w:w="0" w:type="dxa"/>
              <w:right w:w="57" w:type="dxa"/>
            </w:tcMar>
          </w:tcPr>
          <w:p w14:paraId="54746371" w14:textId="77777777" w:rsidR="00387C28" w:rsidRPr="00BE78CA" w:rsidRDefault="00387C28" w:rsidP="00E55E06">
            <w:pPr>
              <w:pStyle w:val="TableText"/>
              <w:spacing w:before="50" w:after="50"/>
            </w:pPr>
            <w:r w:rsidRPr="00BE78CA">
              <w:rPr>
                <w:rFonts w:eastAsia="Calibri"/>
              </w:rPr>
              <w:t>1.A.3.a</w:t>
            </w:r>
          </w:p>
        </w:tc>
        <w:tc>
          <w:tcPr>
            <w:tcW w:w="3238" w:type="dxa"/>
            <w:tcBorders>
              <w:top w:val="single" w:sz="4" w:space="0" w:color="365F91"/>
              <w:bottom w:val="single" w:sz="4" w:space="0" w:color="365F91"/>
            </w:tcBorders>
            <w:shd w:val="clear" w:color="auto" w:fill="FFFFFF"/>
            <w:tcMar>
              <w:top w:w="0" w:type="dxa"/>
              <w:left w:w="57" w:type="dxa"/>
              <w:bottom w:w="0" w:type="dxa"/>
              <w:right w:w="57" w:type="dxa"/>
            </w:tcMar>
          </w:tcPr>
          <w:p w14:paraId="1017BBB2" w14:textId="77777777" w:rsidR="00387C28" w:rsidRPr="00BE78CA" w:rsidRDefault="00387C28" w:rsidP="00E55E06">
            <w:pPr>
              <w:pStyle w:val="TableText"/>
              <w:spacing w:before="50" w:after="50"/>
            </w:pPr>
            <w:r w:rsidRPr="00BE78CA">
              <w:rPr>
                <w:rFonts w:eastAsia="Calibri"/>
              </w:rPr>
              <w:t>Domestic Aviation – Jet Kerosene</w:t>
            </w:r>
          </w:p>
        </w:tc>
        <w:tc>
          <w:tcPr>
            <w:tcW w:w="528" w:type="dxa"/>
            <w:tcBorders>
              <w:top w:val="single" w:sz="4" w:space="0" w:color="365F91"/>
              <w:bottom w:val="single" w:sz="4" w:space="0" w:color="365F91"/>
            </w:tcBorders>
            <w:shd w:val="clear" w:color="auto" w:fill="FFFFFF"/>
            <w:tcMar>
              <w:top w:w="0" w:type="dxa"/>
              <w:left w:w="57" w:type="dxa"/>
              <w:bottom w:w="0" w:type="dxa"/>
              <w:right w:w="57" w:type="dxa"/>
            </w:tcMar>
          </w:tcPr>
          <w:p w14:paraId="798866BD" w14:textId="77777777" w:rsidR="00387C28" w:rsidRPr="00BE78CA" w:rsidRDefault="00387C28" w:rsidP="006132E1">
            <w:pPr>
              <w:pStyle w:val="TableText"/>
              <w:spacing w:before="50" w:after="50"/>
              <w:jc w:val="center"/>
            </w:pPr>
            <w:r w:rsidRPr="00BE78CA">
              <w:rPr>
                <w:rFonts w:eastAsia="Calibri"/>
              </w:rPr>
              <w:t>CO</w:t>
            </w:r>
            <w:r w:rsidRPr="00BE78CA">
              <w:rPr>
                <w:rFonts w:eastAsia="Calibri"/>
                <w:vertAlign w:val="subscript"/>
              </w:rPr>
              <w:t>2</w:t>
            </w:r>
          </w:p>
        </w:tc>
        <w:tc>
          <w:tcPr>
            <w:tcW w:w="1409" w:type="dxa"/>
            <w:tcBorders>
              <w:top w:val="single" w:sz="4" w:space="0" w:color="365F91"/>
              <w:bottom w:val="single" w:sz="4" w:space="0" w:color="365F91"/>
            </w:tcBorders>
            <w:shd w:val="clear" w:color="auto" w:fill="FFFFFF"/>
            <w:tcMar>
              <w:top w:w="0" w:type="dxa"/>
              <w:left w:w="57" w:type="dxa"/>
              <w:bottom w:w="0" w:type="dxa"/>
              <w:right w:w="57" w:type="dxa"/>
            </w:tcMar>
          </w:tcPr>
          <w:p w14:paraId="00DA6104" w14:textId="77777777" w:rsidR="00387C28" w:rsidRPr="00BE78CA" w:rsidRDefault="00387C28" w:rsidP="002B097E">
            <w:pPr>
              <w:pStyle w:val="TableText"/>
              <w:spacing w:before="50" w:after="50"/>
              <w:jc w:val="right"/>
            </w:pPr>
            <w:r w:rsidRPr="00BE78CA">
              <w:rPr>
                <w:rFonts w:eastAsia="Calibri"/>
              </w:rPr>
              <w:t>989.6</w:t>
            </w:r>
          </w:p>
        </w:tc>
        <w:tc>
          <w:tcPr>
            <w:tcW w:w="1290" w:type="dxa"/>
            <w:tcBorders>
              <w:top w:val="single" w:sz="4" w:space="0" w:color="365F91"/>
              <w:bottom w:val="single" w:sz="4" w:space="0" w:color="365F91"/>
            </w:tcBorders>
            <w:shd w:val="clear" w:color="auto" w:fill="FFFFFF"/>
            <w:tcMar>
              <w:top w:w="0" w:type="dxa"/>
              <w:left w:w="57" w:type="dxa"/>
              <w:bottom w:w="0" w:type="dxa"/>
              <w:right w:w="57" w:type="dxa"/>
            </w:tcMar>
          </w:tcPr>
          <w:p w14:paraId="54C88FC6" w14:textId="77777777" w:rsidR="00387C28" w:rsidRPr="00BE78CA" w:rsidRDefault="00387C28" w:rsidP="002B097E">
            <w:pPr>
              <w:pStyle w:val="TableText"/>
              <w:spacing w:before="50" w:after="50"/>
              <w:jc w:val="right"/>
            </w:pPr>
            <w:r w:rsidRPr="00BE78CA">
              <w:rPr>
                <w:rFonts w:eastAsia="Calibri"/>
              </w:rPr>
              <w:t>1.2</w:t>
            </w:r>
          </w:p>
        </w:tc>
        <w:tc>
          <w:tcPr>
            <w:tcW w:w="1233" w:type="dxa"/>
            <w:tcBorders>
              <w:top w:val="single" w:sz="4" w:space="0" w:color="365F91"/>
              <w:bottom w:val="single" w:sz="4" w:space="0" w:color="365F91"/>
            </w:tcBorders>
            <w:shd w:val="clear" w:color="auto" w:fill="FFFFFF"/>
            <w:tcMar>
              <w:top w:w="0" w:type="dxa"/>
              <w:left w:w="57" w:type="dxa"/>
              <w:bottom w:w="0" w:type="dxa"/>
              <w:right w:w="57" w:type="dxa"/>
            </w:tcMar>
          </w:tcPr>
          <w:p w14:paraId="2D40770C" w14:textId="77777777" w:rsidR="00387C28" w:rsidRPr="00BE78CA" w:rsidRDefault="00387C28" w:rsidP="002B097E">
            <w:pPr>
              <w:pStyle w:val="TableText"/>
              <w:spacing w:before="50" w:after="50"/>
              <w:jc w:val="right"/>
            </w:pPr>
            <w:r w:rsidRPr="00BE78CA">
              <w:rPr>
                <w:rFonts w:eastAsia="Calibri"/>
              </w:rPr>
              <w:t>81.2</w:t>
            </w:r>
          </w:p>
        </w:tc>
      </w:tr>
      <w:tr w:rsidR="0077535C" w:rsidRPr="00BE78CA" w14:paraId="504BF468" w14:textId="77777777" w:rsidTr="0077535C">
        <w:trPr>
          <w:cantSplit/>
        </w:trPr>
        <w:tc>
          <w:tcPr>
            <w:tcW w:w="796" w:type="dxa"/>
            <w:tcBorders>
              <w:top w:val="single" w:sz="4" w:space="0" w:color="365F91"/>
              <w:left w:val="single" w:sz="4" w:space="0" w:color="FFFFFF"/>
              <w:bottom w:val="single" w:sz="4" w:space="0" w:color="365F91"/>
            </w:tcBorders>
            <w:shd w:val="clear" w:color="auto" w:fill="FFFFFF"/>
            <w:tcMar>
              <w:top w:w="0" w:type="dxa"/>
              <w:left w:w="57" w:type="dxa"/>
              <w:bottom w:w="0" w:type="dxa"/>
              <w:right w:w="57" w:type="dxa"/>
            </w:tcMar>
          </w:tcPr>
          <w:p w14:paraId="03FC1948" w14:textId="77777777" w:rsidR="00387C28" w:rsidRPr="00BE78CA" w:rsidRDefault="00387C28" w:rsidP="00E55E06">
            <w:pPr>
              <w:pStyle w:val="TableText"/>
              <w:spacing w:before="50" w:after="50"/>
            </w:pPr>
            <w:r w:rsidRPr="00BE78CA">
              <w:rPr>
                <w:rFonts w:eastAsia="Calibri"/>
              </w:rPr>
              <w:t>3.D.2.1</w:t>
            </w:r>
          </w:p>
        </w:tc>
        <w:tc>
          <w:tcPr>
            <w:tcW w:w="3238" w:type="dxa"/>
            <w:tcBorders>
              <w:top w:val="single" w:sz="4" w:space="0" w:color="365F91"/>
              <w:bottom w:val="single" w:sz="4" w:space="0" w:color="365F91"/>
            </w:tcBorders>
            <w:shd w:val="clear" w:color="auto" w:fill="FFFFFF"/>
            <w:tcMar>
              <w:top w:w="0" w:type="dxa"/>
              <w:left w:w="57" w:type="dxa"/>
              <w:bottom w:w="0" w:type="dxa"/>
              <w:right w:w="57" w:type="dxa"/>
            </w:tcMar>
          </w:tcPr>
          <w:p w14:paraId="7962940D" w14:textId="77777777" w:rsidR="00387C28" w:rsidRPr="00BE78CA" w:rsidRDefault="00387C28" w:rsidP="00E55E06">
            <w:pPr>
              <w:pStyle w:val="TableText"/>
              <w:spacing w:before="50" w:after="50"/>
            </w:pPr>
            <w:r w:rsidRPr="00BE78CA">
              <w:rPr>
                <w:rFonts w:eastAsia="Calibri"/>
              </w:rPr>
              <w:t>Indirect N</w:t>
            </w:r>
            <w:r w:rsidRPr="00BE78CA">
              <w:rPr>
                <w:rFonts w:eastAsia="Calibri"/>
                <w:vertAlign w:val="subscript"/>
              </w:rPr>
              <w:t>2</w:t>
            </w:r>
            <w:r w:rsidRPr="00BE78CA">
              <w:rPr>
                <w:rFonts w:eastAsia="Calibri"/>
              </w:rPr>
              <w:t>O Emissions from Managed Soils – Atmospheric Deposition</w:t>
            </w:r>
          </w:p>
        </w:tc>
        <w:tc>
          <w:tcPr>
            <w:tcW w:w="528" w:type="dxa"/>
            <w:tcBorders>
              <w:top w:val="single" w:sz="4" w:space="0" w:color="365F91"/>
              <w:bottom w:val="single" w:sz="4" w:space="0" w:color="365F91"/>
            </w:tcBorders>
            <w:shd w:val="clear" w:color="auto" w:fill="FFFFFF"/>
            <w:tcMar>
              <w:top w:w="0" w:type="dxa"/>
              <w:left w:w="57" w:type="dxa"/>
              <w:bottom w:w="0" w:type="dxa"/>
              <w:right w:w="57" w:type="dxa"/>
            </w:tcMar>
          </w:tcPr>
          <w:p w14:paraId="55D6C011" w14:textId="77777777" w:rsidR="00387C28" w:rsidRPr="00BE78CA" w:rsidRDefault="00387C28" w:rsidP="006132E1">
            <w:pPr>
              <w:pStyle w:val="TableText"/>
              <w:spacing w:before="50" w:after="50"/>
              <w:jc w:val="center"/>
            </w:pPr>
            <w:r w:rsidRPr="00BE78CA">
              <w:rPr>
                <w:rFonts w:eastAsia="Calibri"/>
              </w:rPr>
              <w:t>N</w:t>
            </w:r>
            <w:r w:rsidRPr="00BE78CA">
              <w:rPr>
                <w:rFonts w:eastAsia="Calibri"/>
                <w:vertAlign w:val="subscript"/>
              </w:rPr>
              <w:t>2</w:t>
            </w:r>
            <w:r w:rsidRPr="00BE78CA">
              <w:rPr>
                <w:rFonts w:eastAsia="Calibri"/>
              </w:rPr>
              <w:t>O</w:t>
            </w:r>
          </w:p>
        </w:tc>
        <w:tc>
          <w:tcPr>
            <w:tcW w:w="1409" w:type="dxa"/>
            <w:tcBorders>
              <w:top w:val="single" w:sz="4" w:space="0" w:color="365F91"/>
              <w:bottom w:val="single" w:sz="4" w:space="0" w:color="365F91"/>
            </w:tcBorders>
            <w:shd w:val="clear" w:color="auto" w:fill="FFFFFF"/>
            <w:tcMar>
              <w:top w:w="0" w:type="dxa"/>
              <w:left w:w="57" w:type="dxa"/>
              <w:bottom w:w="0" w:type="dxa"/>
              <w:right w:w="57" w:type="dxa"/>
            </w:tcMar>
          </w:tcPr>
          <w:p w14:paraId="2A932411" w14:textId="77777777" w:rsidR="00387C28" w:rsidRPr="00BE78CA" w:rsidRDefault="00387C28" w:rsidP="002B097E">
            <w:pPr>
              <w:pStyle w:val="TableText"/>
              <w:spacing w:before="50" w:after="50"/>
              <w:jc w:val="right"/>
            </w:pPr>
            <w:r w:rsidRPr="00BE78CA">
              <w:rPr>
                <w:rFonts w:eastAsia="Calibri"/>
              </w:rPr>
              <w:t>925.3</w:t>
            </w:r>
          </w:p>
        </w:tc>
        <w:tc>
          <w:tcPr>
            <w:tcW w:w="1290" w:type="dxa"/>
            <w:tcBorders>
              <w:top w:val="single" w:sz="4" w:space="0" w:color="365F91"/>
              <w:bottom w:val="single" w:sz="4" w:space="0" w:color="365F91"/>
            </w:tcBorders>
            <w:shd w:val="clear" w:color="auto" w:fill="FFFFFF"/>
            <w:tcMar>
              <w:top w:w="0" w:type="dxa"/>
              <w:left w:w="57" w:type="dxa"/>
              <w:bottom w:w="0" w:type="dxa"/>
              <w:right w:w="57" w:type="dxa"/>
            </w:tcMar>
          </w:tcPr>
          <w:p w14:paraId="69DB7C7C" w14:textId="77777777" w:rsidR="00387C28" w:rsidRPr="00BE78CA" w:rsidRDefault="00387C28" w:rsidP="002B097E">
            <w:pPr>
              <w:pStyle w:val="TableText"/>
              <w:spacing w:before="50" w:after="50"/>
              <w:jc w:val="right"/>
            </w:pPr>
            <w:r w:rsidRPr="00BE78CA">
              <w:rPr>
                <w:rFonts w:eastAsia="Calibri"/>
              </w:rPr>
              <w:t>1.1</w:t>
            </w:r>
          </w:p>
        </w:tc>
        <w:tc>
          <w:tcPr>
            <w:tcW w:w="1233" w:type="dxa"/>
            <w:tcBorders>
              <w:top w:val="single" w:sz="4" w:space="0" w:color="365F91"/>
              <w:bottom w:val="single" w:sz="4" w:space="0" w:color="365F91"/>
            </w:tcBorders>
            <w:shd w:val="clear" w:color="auto" w:fill="FFFFFF"/>
            <w:tcMar>
              <w:top w:w="0" w:type="dxa"/>
              <w:left w:w="57" w:type="dxa"/>
              <w:bottom w:w="0" w:type="dxa"/>
              <w:right w:w="57" w:type="dxa"/>
            </w:tcMar>
          </w:tcPr>
          <w:p w14:paraId="244398DC" w14:textId="77777777" w:rsidR="00387C28" w:rsidRPr="00BE78CA" w:rsidRDefault="00387C28" w:rsidP="002B097E">
            <w:pPr>
              <w:pStyle w:val="TableText"/>
              <w:spacing w:before="50" w:after="50"/>
              <w:jc w:val="right"/>
            </w:pPr>
            <w:r w:rsidRPr="00BE78CA">
              <w:rPr>
                <w:rFonts w:eastAsia="Calibri"/>
              </w:rPr>
              <w:t>82.3</w:t>
            </w:r>
          </w:p>
        </w:tc>
      </w:tr>
      <w:tr w:rsidR="0077535C" w:rsidRPr="00BE78CA" w14:paraId="733CA451" w14:textId="77777777" w:rsidTr="0077535C">
        <w:trPr>
          <w:cantSplit/>
        </w:trPr>
        <w:tc>
          <w:tcPr>
            <w:tcW w:w="796" w:type="dxa"/>
            <w:tcBorders>
              <w:top w:val="single" w:sz="4" w:space="0" w:color="365F91"/>
              <w:left w:val="single" w:sz="4" w:space="0" w:color="FFFFFF"/>
              <w:bottom w:val="single" w:sz="4" w:space="0" w:color="365F91"/>
            </w:tcBorders>
            <w:shd w:val="clear" w:color="auto" w:fill="FFFFFF"/>
            <w:tcMar>
              <w:top w:w="0" w:type="dxa"/>
              <w:left w:w="57" w:type="dxa"/>
              <w:bottom w:w="0" w:type="dxa"/>
              <w:right w:w="57" w:type="dxa"/>
            </w:tcMar>
          </w:tcPr>
          <w:p w14:paraId="0CEC145F" w14:textId="77777777" w:rsidR="00387C28" w:rsidRPr="00BE78CA" w:rsidRDefault="00387C28" w:rsidP="00E55E06">
            <w:pPr>
              <w:pStyle w:val="TableText"/>
              <w:spacing w:before="50" w:after="50"/>
            </w:pPr>
            <w:r w:rsidRPr="00BE78CA">
              <w:rPr>
                <w:rFonts w:eastAsia="Calibri"/>
              </w:rPr>
              <w:lastRenderedPageBreak/>
              <w:t>1.A.2.g.iii</w:t>
            </w:r>
          </w:p>
        </w:tc>
        <w:tc>
          <w:tcPr>
            <w:tcW w:w="3238" w:type="dxa"/>
            <w:tcBorders>
              <w:top w:val="single" w:sz="4" w:space="0" w:color="365F91"/>
              <w:bottom w:val="single" w:sz="4" w:space="0" w:color="365F91"/>
            </w:tcBorders>
            <w:shd w:val="clear" w:color="auto" w:fill="FFFFFF"/>
            <w:tcMar>
              <w:top w:w="0" w:type="dxa"/>
              <w:left w:w="57" w:type="dxa"/>
              <w:bottom w:w="0" w:type="dxa"/>
              <w:right w:w="57" w:type="dxa"/>
            </w:tcMar>
          </w:tcPr>
          <w:p w14:paraId="57D64B24" w14:textId="76B01A1A" w:rsidR="00387C28" w:rsidRPr="00BE78CA" w:rsidRDefault="00387C28" w:rsidP="00E55E06">
            <w:pPr>
              <w:pStyle w:val="TableText"/>
              <w:spacing w:before="50" w:after="50"/>
            </w:pPr>
            <w:r w:rsidRPr="00BE78CA">
              <w:rPr>
                <w:rFonts w:eastAsia="Calibri"/>
              </w:rPr>
              <w:t>Mining (excluding fuels) and quarrying –</w:t>
            </w:r>
            <w:r w:rsidR="006132E1" w:rsidRPr="00BE78CA">
              <w:rPr>
                <w:rFonts w:eastAsia="Calibri"/>
              </w:rPr>
              <w:t> </w:t>
            </w:r>
            <w:r w:rsidRPr="00BE78CA">
              <w:rPr>
                <w:rFonts w:eastAsia="Calibri"/>
              </w:rPr>
              <w:t>Liquid Fuels</w:t>
            </w:r>
          </w:p>
        </w:tc>
        <w:tc>
          <w:tcPr>
            <w:tcW w:w="528" w:type="dxa"/>
            <w:tcBorders>
              <w:top w:val="single" w:sz="4" w:space="0" w:color="365F91"/>
              <w:bottom w:val="single" w:sz="4" w:space="0" w:color="365F91"/>
            </w:tcBorders>
            <w:shd w:val="clear" w:color="auto" w:fill="FFFFFF"/>
            <w:tcMar>
              <w:top w:w="0" w:type="dxa"/>
              <w:left w:w="57" w:type="dxa"/>
              <w:bottom w:w="0" w:type="dxa"/>
              <w:right w:w="57" w:type="dxa"/>
            </w:tcMar>
          </w:tcPr>
          <w:p w14:paraId="530D7A9F" w14:textId="77777777" w:rsidR="00387C28" w:rsidRPr="00BE78CA" w:rsidRDefault="00387C28" w:rsidP="006132E1">
            <w:pPr>
              <w:pStyle w:val="TableText"/>
              <w:spacing w:before="50" w:after="50"/>
              <w:jc w:val="center"/>
            </w:pPr>
            <w:r w:rsidRPr="00BE78CA">
              <w:rPr>
                <w:rFonts w:eastAsia="Calibri"/>
              </w:rPr>
              <w:t>CO</w:t>
            </w:r>
            <w:r w:rsidRPr="00BE78CA">
              <w:rPr>
                <w:rFonts w:eastAsia="Calibri"/>
                <w:vertAlign w:val="subscript"/>
              </w:rPr>
              <w:t>2</w:t>
            </w:r>
          </w:p>
        </w:tc>
        <w:tc>
          <w:tcPr>
            <w:tcW w:w="1409" w:type="dxa"/>
            <w:tcBorders>
              <w:top w:val="single" w:sz="4" w:space="0" w:color="365F91"/>
              <w:bottom w:val="single" w:sz="4" w:space="0" w:color="365F91"/>
            </w:tcBorders>
            <w:shd w:val="clear" w:color="auto" w:fill="FFFFFF"/>
            <w:tcMar>
              <w:top w:w="0" w:type="dxa"/>
              <w:left w:w="57" w:type="dxa"/>
              <w:bottom w:w="0" w:type="dxa"/>
              <w:right w:w="57" w:type="dxa"/>
            </w:tcMar>
          </w:tcPr>
          <w:p w14:paraId="4725F7BC" w14:textId="77777777" w:rsidR="00387C28" w:rsidRPr="00BE78CA" w:rsidRDefault="00387C28" w:rsidP="002B097E">
            <w:pPr>
              <w:pStyle w:val="TableText"/>
              <w:spacing w:before="50" w:after="50"/>
              <w:jc w:val="right"/>
            </w:pPr>
            <w:r w:rsidRPr="00BE78CA">
              <w:rPr>
                <w:rFonts w:eastAsia="Calibri"/>
              </w:rPr>
              <w:t>834.6</w:t>
            </w:r>
          </w:p>
        </w:tc>
        <w:tc>
          <w:tcPr>
            <w:tcW w:w="1290" w:type="dxa"/>
            <w:tcBorders>
              <w:top w:val="single" w:sz="4" w:space="0" w:color="365F91"/>
              <w:bottom w:val="single" w:sz="4" w:space="0" w:color="365F91"/>
            </w:tcBorders>
            <w:shd w:val="clear" w:color="auto" w:fill="FFFFFF"/>
            <w:tcMar>
              <w:top w:w="0" w:type="dxa"/>
              <w:left w:w="57" w:type="dxa"/>
              <w:bottom w:w="0" w:type="dxa"/>
              <w:right w:w="57" w:type="dxa"/>
            </w:tcMar>
          </w:tcPr>
          <w:p w14:paraId="169DB633" w14:textId="77777777" w:rsidR="00387C28" w:rsidRPr="00BE78CA" w:rsidRDefault="00387C28" w:rsidP="002B097E">
            <w:pPr>
              <w:pStyle w:val="TableText"/>
              <w:spacing w:before="50" w:after="50"/>
              <w:jc w:val="right"/>
            </w:pPr>
            <w:r w:rsidRPr="00BE78CA">
              <w:rPr>
                <w:rFonts w:eastAsia="Calibri"/>
              </w:rPr>
              <w:t>1.0</w:t>
            </w:r>
          </w:p>
        </w:tc>
        <w:tc>
          <w:tcPr>
            <w:tcW w:w="1233" w:type="dxa"/>
            <w:tcBorders>
              <w:top w:val="single" w:sz="4" w:space="0" w:color="365F91"/>
              <w:bottom w:val="single" w:sz="4" w:space="0" w:color="365F91"/>
            </w:tcBorders>
            <w:shd w:val="clear" w:color="auto" w:fill="FFFFFF"/>
            <w:tcMar>
              <w:top w:w="0" w:type="dxa"/>
              <w:left w:w="57" w:type="dxa"/>
              <w:bottom w:w="0" w:type="dxa"/>
              <w:right w:w="57" w:type="dxa"/>
            </w:tcMar>
          </w:tcPr>
          <w:p w14:paraId="3B638045" w14:textId="77777777" w:rsidR="00387C28" w:rsidRPr="00BE78CA" w:rsidRDefault="00387C28" w:rsidP="002B097E">
            <w:pPr>
              <w:pStyle w:val="TableText"/>
              <w:spacing w:before="50" w:after="50"/>
              <w:jc w:val="right"/>
            </w:pPr>
            <w:r w:rsidRPr="00BE78CA">
              <w:rPr>
                <w:rFonts w:eastAsia="Calibri"/>
              </w:rPr>
              <w:t>83.3</w:t>
            </w:r>
          </w:p>
        </w:tc>
      </w:tr>
      <w:tr w:rsidR="0077535C" w:rsidRPr="00BE78CA" w14:paraId="79A90A68" w14:textId="77777777" w:rsidTr="0077535C">
        <w:trPr>
          <w:cantSplit/>
        </w:trPr>
        <w:tc>
          <w:tcPr>
            <w:tcW w:w="796" w:type="dxa"/>
            <w:tcBorders>
              <w:top w:val="single" w:sz="4" w:space="0" w:color="365F91"/>
              <w:left w:val="single" w:sz="4" w:space="0" w:color="FFFFFF"/>
              <w:bottom w:val="single" w:sz="4" w:space="0" w:color="365F91"/>
            </w:tcBorders>
            <w:shd w:val="clear" w:color="auto" w:fill="FFFFFF"/>
            <w:tcMar>
              <w:top w:w="0" w:type="dxa"/>
              <w:left w:w="57" w:type="dxa"/>
              <w:bottom w:w="0" w:type="dxa"/>
              <w:right w:w="57" w:type="dxa"/>
            </w:tcMar>
          </w:tcPr>
          <w:p w14:paraId="78789BAD" w14:textId="77777777" w:rsidR="00387C28" w:rsidRPr="00BE78CA" w:rsidRDefault="00387C28" w:rsidP="00E55E06">
            <w:pPr>
              <w:pStyle w:val="TableText"/>
              <w:spacing w:before="50" w:after="50"/>
            </w:pPr>
            <w:r w:rsidRPr="00BE78CA">
              <w:rPr>
                <w:rFonts w:eastAsia="Calibri"/>
              </w:rPr>
              <w:t>1.A.1.b</w:t>
            </w:r>
          </w:p>
        </w:tc>
        <w:tc>
          <w:tcPr>
            <w:tcW w:w="3238" w:type="dxa"/>
            <w:tcBorders>
              <w:top w:val="single" w:sz="4" w:space="0" w:color="365F91"/>
              <w:bottom w:val="single" w:sz="4" w:space="0" w:color="365F91"/>
            </w:tcBorders>
            <w:shd w:val="clear" w:color="auto" w:fill="FFFFFF"/>
            <w:tcMar>
              <w:top w:w="0" w:type="dxa"/>
              <w:left w:w="57" w:type="dxa"/>
              <w:bottom w:w="0" w:type="dxa"/>
              <w:right w:w="57" w:type="dxa"/>
            </w:tcMar>
          </w:tcPr>
          <w:p w14:paraId="45F93D8C" w14:textId="77777777" w:rsidR="00387C28" w:rsidRPr="00BE78CA" w:rsidRDefault="00387C28" w:rsidP="00E55E06">
            <w:pPr>
              <w:pStyle w:val="TableText"/>
              <w:spacing w:before="50" w:after="50"/>
            </w:pPr>
            <w:r w:rsidRPr="00BE78CA">
              <w:rPr>
                <w:rFonts w:eastAsia="Calibri"/>
              </w:rPr>
              <w:t>Petroleum Refining – Liquid Fuels</w:t>
            </w:r>
          </w:p>
        </w:tc>
        <w:tc>
          <w:tcPr>
            <w:tcW w:w="528" w:type="dxa"/>
            <w:tcBorders>
              <w:top w:val="single" w:sz="4" w:space="0" w:color="365F91"/>
              <w:bottom w:val="single" w:sz="4" w:space="0" w:color="365F91"/>
            </w:tcBorders>
            <w:shd w:val="clear" w:color="auto" w:fill="FFFFFF"/>
            <w:tcMar>
              <w:top w:w="0" w:type="dxa"/>
              <w:left w:w="57" w:type="dxa"/>
              <w:bottom w:w="0" w:type="dxa"/>
              <w:right w:w="57" w:type="dxa"/>
            </w:tcMar>
          </w:tcPr>
          <w:p w14:paraId="05BB0DE3" w14:textId="77777777" w:rsidR="00387C28" w:rsidRPr="00BE78CA" w:rsidRDefault="00387C28" w:rsidP="006132E1">
            <w:pPr>
              <w:pStyle w:val="TableText"/>
              <w:spacing w:before="50" w:after="50"/>
              <w:jc w:val="center"/>
            </w:pPr>
            <w:r w:rsidRPr="00BE78CA">
              <w:rPr>
                <w:rFonts w:eastAsia="Calibri"/>
              </w:rPr>
              <w:t>CO</w:t>
            </w:r>
            <w:r w:rsidRPr="00BE78CA">
              <w:rPr>
                <w:rFonts w:eastAsia="Calibri"/>
                <w:vertAlign w:val="subscript"/>
              </w:rPr>
              <w:t>2</w:t>
            </w:r>
          </w:p>
        </w:tc>
        <w:tc>
          <w:tcPr>
            <w:tcW w:w="1409" w:type="dxa"/>
            <w:tcBorders>
              <w:top w:val="single" w:sz="4" w:space="0" w:color="365F91"/>
              <w:bottom w:val="single" w:sz="4" w:space="0" w:color="365F91"/>
            </w:tcBorders>
            <w:shd w:val="clear" w:color="auto" w:fill="FFFFFF"/>
            <w:tcMar>
              <w:top w:w="0" w:type="dxa"/>
              <w:left w:w="57" w:type="dxa"/>
              <w:bottom w:w="0" w:type="dxa"/>
              <w:right w:w="57" w:type="dxa"/>
            </w:tcMar>
          </w:tcPr>
          <w:p w14:paraId="741071C3" w14:textId="77777777" w:rsidR="00387C28" w:rsidRPr="00BE78CA" w:rsidRDefault="00387C28" w:rsidP="002B097E">
            <w:pPr>
              <w:pStyle w:val="TableText"/>
              <w:spacing w:before="50" w:after="50"/>
              <w:jc w:val="right"/>
            </w:pPr>
            <w:r w:rsidRPr="00BE78CA">
              <w:rPr>
                <w:rFonts w:eastAsia="Calibri"/>
              </w:rPr>
              <w:t>663.7</w:t>
            </w:r>
          </w:p>
        </w:tc>
        <w:tc>
          <w:tcPr>
            <w:tcW w:w="1290" w:type="dxa"/>
            <w:tcBorders>
              <w:top w:val="single" w:sz="4" w:space="0" w:color="365F91"/>
              <w:bottom w:val="single" w:sz="4" w:space="0" w:color="365F91"/>
            </w:tcBorders>
            <w:shd w:val="clear" w:color="auto" w:fill="FFFFFF"/>
            <w:tcMar>
              <w:top w:w="0" w:type="dxa"/>
              <w:left w:w="57" w:type="dxa"/>
              <w:bottom w:w="0" w:type="dxa"/>
              <w:right w:w="57" w:type="dxa"/>
            </w:tcMar>
          </w:tcPr>
          <w:p w14:paraId="35E93DCD" w14:textId="77777777" w:rsidR="00387C28" w:rsidRPr="00BE78CA" w:rsidRDefault="00387C28" w:rsidP="002B097E">
            <w:pPr>
              <w:pStyle w:val="TableText"/>
              <w:spacing w:before="50" w:after="50"/>
              <w:jc w:val="right"/>
            </w:pPr>
            <w:r w:rsidRPr="00BE78CA">
              <w:rPr>
                <w:rFonts w:eastAsia="Calibri"/>
              </w:rPr>
              <w:t>0.8</w:t>
            </w:r>
          </w:p>
        </w:tc>
        <w:tc>
          <w:tcPr>
            <w:tcW w:w="1233" w:type="dxa"/>
            <w:tcBorders>
              <w:top w:val="single" w:sz="4" w:space="0" w:color="365F91"/>
              <w:bottom w:val="single" w:sz="4" w:space="0" w:color="365F91"/>
            </w:tcBorders>
            <w:shd w:val="clear" w:color="auto" w:fill="FFFFFF"/>
            <w:tcMar>
              <w:top w:w="0" w:type="dxa"/>
              <w:left w:w="57" w:type="dxa"/>
              <w:bottom w:w="0" w:type="dxa"/>
              <w:right w:w="57" w:type="dxa"/>
            </w:tcMar>
          </w:tcPr>
          <w:p w14:paraId="4FF4B3F8" w14:textId="77777777" w:rsidR="00387C28" w:rsidRPr="00BE78CA" w:rsidRDefault="00387C28" w:rsidP="002B097E">
            <w:pPr>
              <w:pStyle w:val="TableText"/>
              <w:spacing w:before="50" w:after="50"/>
              <w:jc w:val="right"/>
            </w:pPr>
            <w:r w:rsidRPr="00BE78CA">
              <w:rPr>
                <w:rFonts w:eastAsia="Calibri"/>
              </w:rPr>
              <w:t>84.1</w:t>
            </w:r>
          </w:p>
        </w:tc>
      </w:tr>
      <w:tr w:rsidR="0077535C" w:rsidRPr="00BE78CA" w14:paraId="7F44BC99" w14:textId="77777777" w:rsidTr="0077535C">
        <w:trPr>
          <w:cantSplit/>
        </w:trPr>
        <w:tc>
          <w:tcPr>
            <w:tcW w:w="796" w:type="dxa"/>
            <w:tcBorders>
              <w:top w:val="single" w:sz="4" w:space="0" w:color="365F91"/>
              <w:left w:val="single" w:sz="4" w:space="0" w:color="FFFFFF"/>
              <w:bottom w:val="single" w:sz="4" w:space="0" w:color="365F91"/>
            </w:tcBorders>
            <w:shd w:val="clear" w:color="auto" w:fill="FFFFFF"/>
            <w:tcMar>
              <w:top w:w="0" w:type="dxa"/>
              <w:left w:w="57" w:type="dxa"/>
              <w:bottom w:w="0" w:type="dxa"/>
              <w:right w:w="57" w:type="dxa"/>
            </w:tcMar>
          </w:tcPr>
          <w:p w14:paraId="65012566" w14:textId="77777777" w:rsidR="00387C28" w:rsidRPr="00BE78CA" w:rsidRDefault="00387C28" w:rsidP="00E55E06">
            <w:pPr>
              <w:pStyle w:val="TableText"/>
              <w:spacing w:before="50" w:after="50"/>
            </w:pPr>
            <w:r w:rsidRPr="00BE78CA">
              <w:rPr>
                <w:rFonts w:eastAsia="Calibri"/>
              </w:rPr>
              <w:t>3.D.1.6</w:t>
            </w:r>
          </w:p>
        </w:tc>
        <w:tc>
          <w:tcPr>
            <w:tcW w:w="3238" w:type="dxa"/>
            <w:tcBorders>
              <w:top w:val="single" w:sz="4" w:space="0" w:color="365F91"/>
              <w:bottom w:val="single" w:sz="4" w:space="0" w:color="365F91"/>
            </w:tcBorders>
            <w:shd w:val="clear" w:color="auto" w:fill="FFFFFF"/>
            <w:tcMar>
              <w:top w:w="0" w:type="dxa"/>
              <w:left w:w="57" w:type="dxa"/>
              <w:bottom w:w="0" w:type="dxa"/>
              <w:right w:w="57" w:type="dxa"/>
            </w:tcMar>
          </w:tcPr>
          <w:p w14:paraId="7804B05D" w14:textId="088CF1C9" w:rsidR="00387C28" w:rsidRPr="00BE78CA" w:rsidRDefault="00387C28" w:rsidP="00E55E06">
            <w:pPr>
              <w:pStyle w:val="TableText"/>
              <w:spacing w:before="50" w:after="50"/>
            </w:pPr>
            <w:r w:rsidRPr="00BE78CA">
              <w:rPr>
                <w:rFonts w:eastAsia="Calibri"/>
              </w:rPr>
              <w:t>Direct N</w:t>
            </w:r>
            <w:r w:rsidRPr="00BE78CA">
              <w:rPr>
                <w:rFonts w:eastAsia="Calibri"/>
                <w:vertAlign w:val="subscript"/>
              </w:rPr>
              <w:t>2</w:t>
            </w:r>
            <w:r w:rsidRPr="00BE78CA">
              <w:rPr>
                <w:rFonts w:eastAsia="Calibri"/>
              </w:rPr>
              <w:t>O Emissions from Managed Soils –</w:t>
            </w:r>
            <w:r w:rsidR="006132E1" w:rsidRPr="00BE78CA">
              <w:rPr>
                <w:rFonts w:eastAsia="Calibri"/>
              </w:rPr>
              <w:t> </w:t>
            </w:r>
            <w:r w:rsidRPr="00BE78CA">
              <w:rPr>
                <w:rFonts w:eastAsia="Calibri"/>
              </w:rPr>
              <w:t>Cultivation of Organic Soils</w:t>
            </w:r>
          </w:p>
        </w:tc>
        <w:tc>
          <w:tcPr>
            <w:tcW w:w="528" w:type="dxa"/>
            <w:tcBorders>
              <w:top w:val="single" w:sz="4" w:space="0" w:color="365F91"/>
              <w:bottom w:val="single" w:sz="4" w:space="0" w:color="365F91"/>
            </w:tcBorders>
            <w:shd w:val="clear" w:color="auto" w:fill="FFFFFF"/>
            <w:tcMar>
              <w:top w:w="0" w:type="dxa"/>
              <w:left w:w="57" w:type="dxa"/>
              <w:bottom w:w="0" w:type="dxa"/>
              <w:right w:w="57" w:type="dxa"/>
            </w:tcMar>
          </w:tcPr>
          <w:p w14:paraId="66EED8B8" w14:textId="77777777" w:rsidR="00387C28" w:rsidRPr="00BE78CA" w:rsidRDefault="00387C28" w:rsidP="006132E1">
            <w:pPr>
              <w:pStyle w:val="TableText"/>
              <w:spacing w:before="50" w:after="50"/>
              <w:jc w:val="center"/>
            </w:pPr>
            <w:r w:rsidRPr="00BE78CA">
              <w:rPr>
                <w:rFonts w:eastAsia="Calibri"/>
              </w:rPr>
              <w:t>N</w:t>
            </w:r>
            <w:r w:rsidRPr="00BE78CA">
              <w:rPr>
                <w:rFonts w:eastAsia="Calibri"/>
                <w:vertAlign w:val="subscript"/>
              </w:rPr>
              <w:t>2</w:t>
            </w:r>
            <w:r w:rsidRPr="00BE78CA">
              <w:rPr>
                <w:rFonts w:eastAsia="Calibri"/>
              </w:rPr>
              <w:t>O</w:t>
            </w:r>
          </w:p>
        </w:tc>
        <w:tc>
          <w:tcPr>
            <w:tcW w:w="1409" w:type="dxa"/>
            <w:tcBorders>
              <w:top w:val="single" w:sz="4" w:space="0" w:color="365F91"/>
              <w:bottom w:val="single" w:sz="4" w:space="0" w:color="365F91"/>
            </w:tcBorders>
            <w:shd w:val="clear" w:color="auto" w:fill="FFFFFF"/>
            <w:tcMar>
              <w:top w:w="0" w:type="dxa"/>
              <w:left w:w="57" w:type="dxa"/>
              <w:bottom w:w="0" w:type="dxa"/>
              <w:right w:w="57" w:type="dxa"/>
            </w:tcMar>
          </w:tcPr>
          <w:p w14:paraId="73FCEB46" w14:textId="77777777" w:rsidR="00387C28" w:rsidRPr="00BE78CA" w:rsidRDefault="00387C28" w:rsidP="002B097E">
            <w:pPr>
              <w:pStyle w:val="TableText"/>
              <w:spacing w:before="50" w:after="50"/>
              <w:jc w:val="right"/>
            </w:pPr>
            <w:r w:rsidRPr="00BE78CA">
              <w:rPr>
                <w:rFonts w:eastAsia="Calibri"/>
              </w:rPr>
              <w:t>653.0</w:t>
            </w:r>
          </w:p>
        </w:tc>
        <w:tc>
          <w:tcPr>
            <w:tcW w:w="1290" w:type="dxa"/>
            <w:tcBorders>
              <w:top w:val="single" w:sz="4" w:space="0" w:color="365F91"/>
              <w:bottom w:val="single" w:sz="4" w:space="0" w:color="365F91"/>
            </w:tcBorders>
            <w:shd w:val="clear" w:color="auto" w:fill="FFFFFF"/>
            <w:tcMar>
              <w:top w:w="0" w:type="dxa"/>
              <w:left w:w="57" w:type="dxa"/>
              <w:bottom w:w="0" w:type="dxa"/>
              <w:right w:w="57" w:type="dxa"/>
            </w:tcMar>
          </w:tcPr>
          <w:p w14:paraId="48DAD3DD" w14:textId="77777777" w:rsidR="00387C28" w:rsidRPr="00BE78CA" w:rsidRDefault="00387C28" w:rsidP="002B097E">
            <w:pPr>
              <w:pStyle w:val="TableText"/>
              <w:spacing w:before="50" w:after="50"/>
              <w:jc w:val="right"/>
            </w:pPr>
            <w:r w:rsidRPr="00BE78CA">
              <w:rPr>
                <w:rFonts w:eastAsia="Calibri"/>
              </w:rPr>
              <w:t>0.8</w:t>
            </w:r>
          </w:p>
        </w:tc>
        <w:tc>
          <w:tcPr>
            <w:tcW w:w="1233" w:type="dxa"/>
            <w:tcBorders>
              <w:top w:val="single" w:sz="4" w:space="0" w:color="365F91"/>
              <w:bottom w:val="single" w:sz="4" w:space="0" w:color="365F91"/>
            </w:tcBorders>
            <w:shd w:val="clear" w:color="auto" w:fill="FFFFFF"/>
            <w:tcMar>
              <w:top w:w="0" w:type="dxa"/>
              <w:left w:w="57" w:type="dxa"/>
              <w:bottom w:w="0" w:type="dxa"/>
              <w:right w:w="57" w:type="dxa"/>
            </w:tcMar>
          </w:tcPr>
          <w:p w14:paraId="0DFEB3CF" w14:textId="77777777" w:rsidR="00387C28" w:rsidRPr="00BE78CA" w:rsidRDefault="00387C28" w:rsidP="002B097E">
            <w:pPr>
              <w:pStyle w:val="TableText"/>
              <w:spacing w:before="50" w:after="50"/>
              <w:jc w:val="right"/>
            </w:pPr>
            <w:r w:rsidRPr="00BE78CA">
              <w:rPr>
                <w:rFonts w:eastAsia="Calibri"/>
              </w:rPr>
              <w:t>84.9</w:t>
            </w:r>
          </w:p>
        </w:tc>
      </w:tr>
      <w:tr w:rsidR="0077535C" w:rsidRPr="00BE78CA" w14:paraId="501DDAA8" w14:textId="77777777" w:rsidTr="0077535C">
        <w:trPr>
          <w:cantSplit/>
        </w:trPr>
        <w:tc>
          <w:tcPr>
            <w:tcW w:w="796" w:type="dxa"/>
            <w:tcBorders>
              <w:top w:val="single" w:sz="4" w:space="0" w:color="365F91"/>
              <w:left w:val="single" w:sz="4" w:space="0" w:color="FFFFFF"/>
              <w:bottom w:val="single" w:sz="4" w:space="0" w:color="365F91"/>
            </w:tcBorders>
            <w:shd w:val="clear" w:color="auto" w:fill="FFFFFF"/>
            <w:tcMar>
              <w:top w:w="0" w:type="dxa"/>
              <w:left w:w="57" w:type="dxa"/>
              <w:bottom w:w="0" w:type="dxa"/>
              <w:right w:w="57" w:type="dxa"/>
            </w:tcMar>
          </w:tcPr>
          <w:p w14:paraId="0B0446D3" w14:textId="77777777" w:rsidR="00387C28" w:rsidRPr="00BE78CA" w:rsidRDefault="00387C28" w:rsidP="00E55E06">
            <w:pPr>
              <w:pStyle w:val="TableText"/>
              <w:spacing w:before="50" w:after="50"/>
            </w:pPr>
            <w:r w:rsidRPr="00BE78CA">
              <w:rPr>
                <w:rFonts w:eastAsia="Calibri"/>
              </w:rPr>
              <w:t>1.A.4.a</w:t>
            </w:r>
          </w:p>
        </w:tc>
        <w:tc>
          <w:tcPr>
            <w:tcW w:w="3238" w:type="dxa"/>
            <w:tcBorders>
              <w:top w:val="single" w:sz="4" w:space="0" w:color="365F91"/>
              <w:bottom w:val="single" w:sz="4" w:space="0" w:color="365F91"/>
            </w:tcBorders>
            <w:shd w:val="clear" w:color="auto" w:fill="FFFFFF"/>
            <w:tcMar>
              <w:top w:w="0" w:type="dxa"/>
              <w:left w:w="57" w:type="dxa"/>
              <w:bottom w:w="0" w:type="dxa"/>
              <w:right w:w="57" w:type="dxa"/>
            </w:tcMar>
          </w:tcPr>
          <w:p w14:paraId="3E1DCF44" w14:textId="77777777" w:rsidR="00387C28" w:rsidRPr="00BE78CA" w:rsidRDefault="00387C28" w:rsidP="00E55E06">
            <w:pPr>
              <w:pStyle w:val="TableText"/>
              <w:spacing w:before="50" w:after="50"/>
            </w:pPr>
            <w:r w:rsidRPr="00BE78CA">
              <w:rPr>
                <w:rFonts w:eastAsia="Calibri"/>
              </w:rPr>
              <w:t>Other Sectors – Commercial/Institutional</w:t>
            </w:r>
          </w:p>
        </w:tc>
        <w:tc>
          <w:tcPr>
            <w:tcW w:w="528" w:type="dxa"/>
            <w:tcBorders>
              <w:top w:val="single" w:sz="4" w:space="0" w:color="365F91"/>
              <w:bottom w:val="single" w:sz="4" w:space="0" w:color="365F91"/>
            </w:tcBorders>
            <w:shd w:val="clear" w:color="auto" w:fill="FFFFFF"/>
            <w:tcMar>
              <w:top w:w="0" w:type="dxa"/>
              <w:left w:w="57" w:type="dxa"/>
              <w:bottom w:w="0" w:type="dxa"/>
              <w:right w:w="57" w:type="dxa"/>
            </w:tcMar>
          </w:tcPr>
          <w:p w14:paraId="18A5298A" w14:textId="77777777" w:rsidR="00387C28" w:rsidRPr="00BE78CA" w:rsidRDefault="00387C28" w:rsidP="006132E1">
            <w:pPr>
              <w:pStyle w:val="TableText"/>
              <w:spacing w:before="50" w:after="50"/>
              <w:jc w:val="center"/>
            </w:pPr>
            <w:r w:rsidRPr="00BE78CA">
              <w:rPr>
                <w:rFonts w:eastAsia="Calibri"/>
              </w:rPr>
              <w:t>CO</w:t>
            </w:r>
            <w:r w:rsidRPr="00BE78CA">
              <w:rPr>
                <w:rFonts w:eastAsia="Calibri"/>
                <w:vertAlign w:val="subscript"/>
              </w:rPr>
              <w:t>2</w:t>
            </w:r>
          </w:p>
        </w:tc>
        <w:tc>
          <w:tcPr>
            <w:tcW w:w="1409" w:type="dxa"/>
            <w:tcBorders>
              <w:top w:val="single" w:sz="4" w:space="0" w:color="365F91"/>
              <w:bottom w:val="single" w:sz="4" w:space="0" w:color="365F91"/>
            </w:tcBorders>
            <w:shd w:val="clear" w:color="auto" w:fill="FFFFFF"/>
            <w:tcMar>
              <w:top w:w="0" w:type="dxa"/>
              <w:left w:w="57" w:type="dxa"/>
              <w:bottom w:w="0" w:type="dxa"/>
              <w:right w:w="57" w:type="dxa"/>
            </w:tcMar>
          </w:tcPr>
          <w:p w14:paraId="133751B3" w14:textId="77777777" w:rsidR="00387C28" w:rsidRPr="00BE78CA" w:rsidRDefault="00387C28" w:rsidP="002B097E">
            <w:pPr>
              <w:pStyle w:val="TableText"/>
              <w:spacing w:before="50" w:after="50"/>
              <w:jc w:val="right"/>
            </w:pPr>
            <w:r w:rsidRPr="00BE78CA">
              <w:rPr>
                <w:rFonts w:eastAsia="Calibri"/>
              </w:rPr>
              <w:t>587.4</w:t>
            </w:r>
          </w:p>
        </w:tc>
        <w:tc>
          <w:tcPr>
            <w:tcW w:w="1290" w:type="dxa"/>
            <w:tcBorders>
              <w:top w:val="single" w:sz="4" w:space="0" w:color="365F91"/>
              <w:bottom w:val="single" w:sz="4" w:space="0" w:color="365F91"/>
            </w:tcBorders>
            <w:shd w:val="clear" w:color="auto" w:fill="FFFFFF"/>
            <w:tcMar>
              <w:top w:w="0" w:type="dxa"/>
              <w:left w:w="57" w:type="dxa"/>
              <w:bottom w:w="0" w:type="dxa"/>
              <w:right w:w="57" w:type="dxa"/>
            </w:tcMar>
          </w:tcPr>
          <w:p w14:paraId="4C460D34" w14:textId="77777777" w:rsidR="00387C28" w:rsidRPr="00BE78CA" w:rsidRDefault="00387C28" w:rsidP="002B097E">
            <w:pPr>
              <w:pStyle w:val="TableText"/>
              <w:spacing w:before="50" w:after="50"/>
              <w:jc w:val="right"/>
            </w:pPr>
            <w:r w:rsidRPr="00BE78CA">
              <w:rPr>
                <w:rFonts w:eastAsia="Calibri"/>
              </w:rPr>
              <w:t>0.7</w:t>
            </w:r>
          </w:p>
        </w:tc>
        <w:tc>
          <w:tcPr>
            <w:tcW w:w="1233" w:type="dxa"/>
            <w:tcBorders>
              <w:top w:val="single" w:sz="4" w:space="0" w:color="365F91"/>
              <w:bottom w:val="single" w:sz="4" w:space="0" w:color="365F91"/>
            </w:tcBorders>
            <w:shd w:val="clear" w:color="auto" w:fill="FFFFFF"/>
            <w:tcMar>
              <w:top w:w="0" w:type="dxa"/>
              <w:left w:w="57" w:type="dxa"/>
              <w:bottom w:w="0" w:type="dxa"/>
              <w:right w:w="57" w:type="dxa"/>
            </w:tcMar>
          </w:tcPr>
          <w:p w14:paraId="3675612D" w14:textId="77777777" w:rsidR="00387C28" w:rsidRPr="00BE78CA" w:rsidRDefault="00387C28" w:rsidP="002B097E">
            <w:pPr>
              <w:pStyle w:val="TableText"/>
              <w:spacing w:before="50" w:after="50"/>
              <w:jc w:val="right"/>
            </w:pPr>
            <w:r w:rsidRPr="00BE78CA">
              <w:rPr>
                <w:rFonts w:eastAsia="Calibri"/>
              </w:rPr>
              <w:t>85.6</w:t>
            </w:r>
          </w:p>
        </w:tc>
      </w:tr>
      <w:tr w:rsidR="0077535C" w:rsidRPr="00BE78CA" w14:paraId="50A4C9BB" w14:textId="77777777" w:rsidTr="0077535C">
        <w:trPr>
          <w:cantSplit/>
        </w:trPr>
        <w:tc>
          <w:tcPr>
            <w:tcW w:w="796" w:type="dxa"/>
            <w:tcBorders>
              <w:top w:val="single" w:sz="4" w:space="0" w:color="365F91"/>
              <w:left w:val="single" w:sz="4" w:space="0" w:color="FFFFFF"/>
              <w:bottom w:val="single" w:sz="4" w:space="0" w:color="365F91"/>
            </w:tcBorders>
            <w:shd w:val="clear" w:color="auto" w:fill="FFFFFF"/>
            <w:tcMar>
              <w:top w:w="0" w:type="dxa"/>
              <w:left w:w="57" w:type="dxa"/>
              <w:bottom w:w="0" w:type="dxa"/>
              <w:right w:w="57" w:type="dxa"/>
            </w:tcMar>
          </w:tcPr>
          <w:p w14:paraId="245A3AAC" w14:textId="77777777" w:rsidR="00387C28" w:rsidRPr="00BE78CA" w:rsidRDefault="00387C28" w:rsidP="00E55E06">
            <w:pPr>
              <w:pStyle w:val="TableText"/>
              <w:spacing w:before="50" w:after="50"/>
            </w:pPr>
            <w:r w:rsidRPr="00BE78CA">
              <w:rPr>
                <w:rFonts w:eastAsia="Calibri"/>
              </w:rPr>
              <w:t>1.B.2.d</w:t>
            </w:r>
          </w:p>
        </w:tc>
        <w:tc>
          <w:tcPr>
            <w:tcW w:w="3238" w:type="dxa"/>
            <w:tcBorders>
              <w:top w:val="single" w:sz="4" w:space="0" w:color="365F91"/>
              <w:bottom w:val="single" w:sz="4" w:space="0" w:color="365F91"/>
            </w:tcBorders>
            <w:shd w:val="clear" w:color="auto" w:fill="FFFFFF"/>
            <w:tcMar>
              <w:top w:w="0" w:type="dxa"/>
              <w:left w:w="57" w:type="dxa"/>
              <w:bottom w:w="0" w:type="dxa"/>
              <w:right w:w="57" w:type="dxa"/>
            </w:tcMar>
          </w:tcPr>
          <w:p w14:paraId="34899195" w14:textId="77777777" w:rsidR="00387C28" w:rsidRPr="00BE78CA" w:rsidRDefault="00387C28" w:rsidP="00E55E06">
            <w:pPr>
              <w:pStyle w:val="TableText"/>
              <w:spacing w:before="50" w:after="50"/>
            </w:pPr>
            <w:r w:rsidRPr="00BE78CA">
              <w:rPr>
                <w:rFonts w:eastAsia="Calibri"/>
              </w:rPr>
              <w:t>Other (please specify) – Geothermal</w:t>
            </w:r>
          </w:p>
        </w:tc>
        <w:tc>
          <w:tcPr>
            <w:tcW w:w="528" w:type="dxa"/>
            <w:tcBorders>
              <w:top w:val="single" w:sz="4" w:space="0" w:color="365F91"/>
              <w:bottom w:val="single" w:sz="4" w:space="0" w:color="365F91"/>
            </w:tcBorders>
            <w:shd w:val="clear" w:color="auto" w:fill="FFFFFF"/>
            <w:tcMar>
              <w:top w:w="0" w:type="dxa"/>
              <w:left w:w="57" w:type="dxa"/>
              <w:bottom w:w="0" w:type="dxa"/>
              <w:right w:w="57" w:type="dxa"/>
            </w:tcMar>
          </w:tcPr>
          <w:p w14:paraId="1CA2C458" w14:textId="77777777" w:rsidR="00387C28" w:rsidRPr="00BE78CA" w:rsidRDefault="00387C28" w:rsidP="006132E1">
            <w:pPr>
              <w:pStyle w:val="TableText"/>
              <w:spacing w:before="50" w:after="50"/>
              <w:jc w:val="center"/>
            </w:pPr>
            <w:r w:rsidRPr="00BE78CA">
              <w:rPr>
                <w:rFonts w:eastAsia="Calibri"/>
              </w:rPr>
              <w:t>CO</w:t>
            </w:r>
            <w:r w:rsidRPr="00BE78CA">
              <w:rPr>
                <w:rFonts w:eastAsia="Calibri"/>
                <w:vertAlign w:val="subscript"/>
              </w:rPr>
              <w:t>2</w:t>
            </w:r>
          </w:p>
        </w:tc>
        <w:tc>
          <w:tcPr>
            <w:tcW w:w="1409" w:type="dxa"/>
            <w:tcBorders>
              <w:top w:val="single" w:sz="4" w:space="0" w:color="365F91"/>
              <w:bottom w:val="single" w:sz="4" w:space="0" w:color="365F91"/>
            </w:tcBorders>
            <w:shd w:val="clear" w:color="auto" w:fill="FFFFFF"/>
            <w:tcMar>
              <w:top w:w="0" w:type="dxa"/>
              <w:left w:w="57" w:type="dxa"/>
              <w:bottom w:w="0" w:type="dxa"/>
              <w:right w:w="57" w:type="dxa"/>
            </w:tcMar>
          </w:tcPr>
          <w:p w14:paraId="2B5314D3" w14:textId="77777777" w:rsidR="00387C28" w:rsidRPr="00BE78CA" w:rsidRDefault="00387C28" w:rsidP="002B097E">
            <w:pPr>
              <w:pStyle w:val="TableText"/>
              <w:spacing w:before="50" w:after="50"/>
              <w:jc w:val="right"/>
            </w:pPr>
            <w:r w:rsidRPr="00BE78CA">
              <w:rPr>
                <w:rFonts w:eastAsia="Calibri"/>
              </w:rPr>
              <w:t>585.1</w:t>
            </w:r>
          </w:p>
        </w:tc>
        <w:tc>
          <w:tcPr>
            <w:tcW w:w="1290" w:type="dxa"/>
            <w:tcBorders>
              <w:top w:val="single" w:sz="4" w:space="0" w:color="365F91"/>
              <w:bottom w:val="single" w:sz="4" w:space="0" w:color="365F91"/>
            </w:tcBorders>
            <w:shd w:val="clear" w:color="auto" w:fill="FFFFFF"/>
            <w:tcMar>
              <w:top w:w="0" w:type="dxa"/>
              <w:left w:w="57" w:type="dxa"/>
              <w:bottom w:w="0" w:type="dxa"/>
              <w:right w:w="57" w:type="dxa"/>
            </w:tcMar>
          </w:tcPr>
          <w:p w14:paraId="2D52A69D" w14:textId="77777777" w:rsidR="00387C28" w:rsidRPr="00BE78CA" w:rsidRDefault="00387C28" w:rsidP="002B097E">
            <w:pPr>
              <w:pStyle w:val="TableText"/>
              <w:spacing w:before="50" w:after="50"/>
              <w:jc w:val="right"/>
            </w:pPr>
            <w:r w:rsidRPr="00BE78CA">
              <w:rPr>
                <w:rFonts w:eastAsia="Calibri"/>
              </w:rPr>
              <w:t>0.7</w:t>
            </w:r>
          </w:p>
        </w:tc>
        <w:tc>
          <w:tcPr>
            <w:tcW w:w="1233" w:type="dxa"/>
            <w:tcBorders>
              <w:top w:val="single" w:sz="4" w:space="0" w:color="365F91"/>
              <w:bottom w:val="single" w:sz="4" w:space="0" w:color="365F91"/>
            </w:tcBorders>
            <w:shd w:val="clear" w:color="auto" w:fill="FFFFFF"/>
            <w:tcMar>
              <w:top w:w="0" w:type="dxa"/>
              <w:left w:w="57" w:type="dxa"/>
              <w:bottom w:w="0" w:type="dxa"/>
              <w:right w:w="57" w:type="dxa"/>
            </w:tcMar>
          </w:tcPr>
          <w:p w14:paraId="56CEA535" w14:textId="77777777" w:rsidR="00387C28" w:rsidRPr="00BE78CA" w:rsidRDefault="00387C28" w:rsidP="002B097E">
            <w:pPr>
              <w:pStyle w:val="TableText"/>
              <w:spacing w:before="50" w:after="50"/>
              <w:jc w:val="right"/>
            </w:pPr>
            <w:r w:rsidRPr="00BE78CA">
              <w:rPr>
                <w:rFonts w:eastAsia="Calibri"/>
              </w:rPr>
              <w:t>86.3</w:t>
            </w:r>
          </w:p>
        </w:tc>
      </w:tr>
      <w:tr w:rsidR="0077535C" w:rsidRPr="00BE78CA" w14:paraId="153C93CA" w14:textId="77777777" w:rsidTr="0077535C">
        <w:trPr>
          <w:cantSplit/>
        </w:trPr>
        <w:tc>
          <w:tcPr>
            <w:tcW w:w="796" w:type="dxa"/>
            <w:tcBorders>
              <w:top w:val="single" w:sz="4" w:space="0" w:color="365F91"/>
              <w:left w:val="single" w:sz="4" w:space="0" w:color="FFFFFF"/>
              <w:bottom w:val="single" w:sz="4" w:space="0" w:color="365F91"/>
            </w:tcBorders>
            <w:shd w:val="clear" w:color="auto" w:fill="FFFFFF"/>
            <w:tcMar>
              <w:top w:w="0" w:type="dxa"/>
              <w:left w:w="57" w:type="dxa"/>
              <w:bottom w:w="0" w:type="dxa"/>
              <w:right w:w="57" w:type="dxa"/>
            </w:tcMar>
          </w:tcPr>
          <w:p w14:paraId="5CDBDEDA" w14:textId="77777777" w:rsidR="00387C28" w:rsidRPr="00BE78CA" w:rsidRDefault="00387C28" w:rsidP="00E55E06">
            <w:pPr>
              <w:pStyle w:val="TableText"/>
              <w:spacing w:before="50" w:after="50"/>
            </w:pPr>
            <w:r w:rsidRPr="00BE78CA">
              <w:rPr>
                <w:rFonts w:eastAsia="Calibri"/>
              </w:rPr>
              <w:t>2.C.3</w:t>
            </w:r>
          </w:p>
        </w:tc>
        <w:tc>
          <w:tcPr>
            <w:tcW w:w="3238" w:type="dxa"/>
            <w:tcBorders>
              <w:top w:val="single" w:sz="4" w:space="0" w:color="365F91"/>
              <w:bottom w:val="single" w:sz="4" w:space="0" w:color="365F91"/>
            </w:tcBorders>
            <w:shd w:val="clear" w:color="auto" w:fill="FFFFFF"/>
            <w:tcMar>
              <w:top w:w="0" w:type="dxa"/>
              <w:left w:w="57" w:type="dxa"/>
              <w:bottom w:w="0" w:type="dxa"/>
              <w:right w:w="57" w:type="dxa"/>
            </w:tcMar>
          </w:tcPr>
          <w:p w14:paraId="7A013BD1" w14:textId="77777777" w:rsidR="00387C28" w:rsidRPr="00BE78CA" w:rsidRDefault="00387C28" w:rsidP="00E55E06">
            <w:pPr>
              <w:pStyle w:val="TableText"/>
              <w:spacing w:before="50" w:after="50"/>
            </w:pPr>
            <w:r w:rsidRPr="00BE78CA">
              <w:rPr>
                <w:rFonts w:eastAsia="Calibri"/>
              </w:rPr>
              <w:t>Metal Industry – Aluminium Production</w:t>
            </w:r>
          </w:p>
        </w:tc>
        <w:tc>
          <w:tcPr>
            <w:tcW w:w="528" w:type="dxa"/>
            <w:tcBorders>
              <w:top w:val="single" w:sz="4" w:space="0" w:color="365F91"/>
              <w:bottom w:val="single" w:sz="4" w:space="0" w:color="365F91"/>
            </w:tcBorders>
            <w:shd w:val="clear" w:color="auto" w:fill="FFFFFF"/>
            <w:tcMar>
              <w:top w:w="0" w:type="dxa"/>
              <w:left w:w="57" w:type="dxa"/>
              <w:bottom w:w="0" w:type="dxa"/>
              <w:right w:w="57" w:type="dxa"/>
            </w:tcMar>
          </w:tcPr>
          <w:p w14:paraId="1C60ACFA" w14:textId="77777777" w:rsidR="00387C28" w:rsidRPr="00BE78CA" w:rsidRDefault="00387C28" w:rsidP="006132E1">
            <w:pPr>
              <w:pStyle w:val="TableText"/>
              <w:spacing w:before="50" w:after="50"/>
              <w:jc w:val="center"/>
            </w:pPr>
            <w:r w:rsidRPr="00BE78CA">
              <w:rPr>
                <w:rFonts w:eastAsia="Calibri"/>
              </w:rPr>
              <w:t>CO</w:t>
            </w:r>
            <w:r w:rsidRPr="00BE78CA">
              <w:rPr>
                <w:rFonts w:eastAsia="Calibri"/>
                <w:vertAlign w:val="subscript"/>
              </w:rPr>
              <w:t>2</w:t>
            </w:r>
          </w:p>
        </w:tc>
        <w:tc>
          <w:tcPr>
            <w:tcW w:w="1409" w:type="dxa"/>
            <w:tcBorders>
              <w:top w:val="single" w:sz="4" w:space="0" w:color="365F91"/>
              <w:bottom w:val="single" w:sz="4" w:space="0" w:color="365F91"/>
            </w:tcBorders>
            <w:shd w:val="clear" w:color="auto" w:fill="FFFFFF"/>
            <w:tcMar>
              <w:top w:w="0" w:type="dxa"/>
              <w:left w:w="57" w:type="dxa"/>
              <w:bottom w:w="0" w:type="dxa"/>
              <w:right w:w="57" w:type="dxa"/>
            </w:tcMar>
          </w:tcPr>
          <w:p w14:paraId="43D8A399" w14:textId="77777777" w:rsidR="00387C28" w:rsidRPr="00BE78CA" w:rsidRDefault="00387C28" w:rsidP="002B097E">
            <w:pPr>
              <w:pStyle w:val="TableText"/>
              <w:spacing w:before="50" w:after="50"/>
              <w:jc w:val="right"/>
            </w:pPr>
            <w:r w:rsidRPr="00BE78CA">
              <w:rPr>
                <w:rFonts w:eastAsia="Calibri"/>
              </w:rPr>
              <w:t>574.5</w:t>
            </w:r>
          </w:p>
        </w:tc>
        <w:tc>
          <w:tcPr>
            <w:tcW w:w="1290" w:type="dxa"/>
            <w:tcBorders>
              <w:top w:val="single" w:sz="4" w:space="0" w:color="365F91"/>
              <w:bottom w:val="single" w:sz="4" w:space="0" w:color="365F91"/>
            </w:tcBorders>
            <w:shd w:val="clear" w:color="auto" w:fill="FFFFFF"/>
            <w:tcMar>
              <w:top w:w="0" w:type="dxa"/>
              <w:left w:w="57" w:type="dxa"/>
              <w:bottom w:w="0" w:type="dxa"/>
              <w:right w:w="57" w:type="dxa"/>
            </w:tcMar>
          </w:tcPr>
          <w:p w14:paraId="690907EF" w14:textId="77777777" w:rsidR="00387C28" w:rsidRPr="00BE78CA" w:rsidRDefault="00387C28" w:rsidP="002B097E">
            <w:pPr>
              <w:pStyle w:val="TableText"/>
              <w:spacing w:before="50" w:after="50"/>
              <w:jc w:val="right"/>
            </w:pPr>
            <w:r w:rsidRPr="00BE78CA">
              <w:rPr>
                <w:rFonts w:eastAsia="Calibri"/>
              </w:rPr>
              <w:t>0.7</w:t>
            </w:r>
          </w:p>
        </w:tc>
        <w:tc>
          <w:tcPr>
            <w:tcW w:w="1233" w:type="dxa"/>
            <w:tcBorders>
              <w:top w:val="single" w:sz="4" w:space="0" w:color="365F91"/>
              <w:bottom w:val="single" w:sz="4" w:space="0" w:color="365F91"/>
            </w:tcBorders>
            <w:shd w:val="clear" w:color="auto" w:fill="FFFFFF"/>
            <w:tcMar>
              <w:top w:w="0" w:type="dxa"/>
              <w:left w:w="57" w:type="dxa"/>
              <w:bottom w:w="0" w:type="dxa"/>
              <w:right w:w="57" w:type="dxa"/>
            </w:tcMar>
          </w:tcPr>
          <w:p w14:paraId="1A82567C" w14:textId="77777777" w:rsidR="00387C28" w:rsidRPr="00BE78CA" w:rsidRDefault="00387C28" w:rsidP="002B097E">
            <w:pPr>
              <w:pStyle w:val="TableText"/>
              <w:spacing w:before="50" w:after="50"/>
              <w:jc w:val="right"/>
            </w:pPr>
            <w:r w:rsidRPr="00BE78CA">
              <w:rPr>
                <w:rFonts w:eastAsia="Calibri"/>
              </w:rPr>
              <w:t>87.0</w:t>
            </w:r>
          </w:p>
        </w:tc>
      </w:tr>
      <w:tr w:rsidR="0077535C" w:rsidRPr="00BE78CA" w14:paraId="55D3D9E1" w14:textId="77777777" w:rsidTr="0077535C">
        <w:trPr>
          <w:cantSplit/>
        </w:trPr>
        <w:tc>
          <w:tcPr>
            <w:tcW w:w="796" w:type="dxa"/>
            <w:tcBorders>
              <w:top w:val="single" w:sz="4" w:space="0" w:color="365F91"/>
              <w:left w:val="single" w:sz="4" w:space="0" w:color="FFFFFF"/>
              <w:bottom w:val="single" w:sz="4" w:space="0" w:color="365F91"/>
            </w:tcBorders>
            <w:shd w:val="clear" w:color="auto" w:fill="FFFFFF"/>
            <w:tcMar>
              <w:top w:w="0" w:type="dxa"/>
              <w:left w:w="57" w:type="dxa"/>
              <w:bottom w:w="0" w:type="dxa"/>
              <w:right w:w="57" w:type="dxa"/>
            </w:tcMar>
          </w:tcPr>
          <w:p w14:paraId="4FFE5D76" w14:textId="77777777" w:rsidR="00387C28" w:rsidRPr="00BE78CA" w:rsidRDefault="00387C28" w:rsidP="00E55E06">
            <w:pPr>
              <w:pStyle w:val="TableText"/>
              <w:spacing w:before="50" w:after="50"/>
            </w:pPr>
            <w:r w:rsidRPr="00BE78CA">
              <w:rPr>
                <w:rFonts w:eastAsia="Calibri"/>
              </w:rPr>
              <w:t>3.H</w:t>
            </w:r>
          </w:p>
        </w:tc>
        <w:tc>
          <w:tcPr>
            <w:tcW w:w="3238" w:type="dxa"/>
            <w:tcBorders>
              <w:top w:val="single" w:sz="4" w:space="0" w:color="365F91"/>
              <w:bottom w:val="single" w:sz="4" w:space="0" w:color="365F91"/>
            </w:tcBorders>
            <w:shd w:val="clear" w:color="auto" w:fill="FFFFFF"/>
            <w:tcMar>
              <w:top w:w="0" w:type="dxa"/>
              <w:left w:w="57" w:type="dxa"/>
              <w:bottom w:w="0" w:type="dxa"/>
              <w:right w:w="57" w:type="dxa"/>
            </w:tcMar>
          </w:tcPr>
          <w:p w14:paraId="6C5450BB" w14:textId="77777777" w:rsidR="00387C28" w:rsidRPr="00BE78CA" w:rsidRDefault="00387C28" w:rsidP="00E55E06">
            <w:pPr>
              <w:pStyle w:val="TableText"/>
              <w:spacing w:before="50" w:after="50"/>
            </w:pPr>
            <w:r w:rsidRPr="00BE78CA">
              <w:rPr>
                <w:rFonts w:eastAsia="Calibri"/>
              </w:rPr>
              <w:t>Agriculture – Urea Application</w:t>
            </w:r>
          </w:p>
        </w:tc>
        <w:tc>
          <w:tcPr>
            <w:tcW w:w="528" w:type="dxa"/>
            <w:tcBorders>
              <w:top w:val="single" w:sz="4" w:space="0" w:color="365F91"/>
              <w:bottom w:val="single" w:sz="4" w:space="0" w:color="365F91"/>
            </w:tcBorders>
            <w:shd w:val="clear" w:color="auto" w:fill="FFFFFF"/>
            <w:tcMar>
              <w:top w:w="0" w:type="dxa"/>
              <w:left w:w="57" w:type="dxa"/>
              <w:bottom w:w="0" w:type="dxa"/>
              <w:right w:w="57" w:type="dxa"/>
            </w:tcMar>
          </w:tcPr>
          <w:p w14:paraId="79AA001B" w14:textId="77777777" w:rsidR="00387C28" w:rsidRPr="00BE78CA" w:rsidRDefault="00387C28" w:rsidP="006132E1">
            <w:pPr>
              <w:pStyle w:val="TableText"/>
              <w:spacing w:before="50" w:after="50"/>
              <w:jc w:val="center"/>
            </w:pPr>
            <w:r w:rsidRPr="00BE78CA">
              <w:rPr>
                <w:rFonts w:eastAsia="Calibri"/>
              </w:rPr>
              <w:t>CO</w:t>
            </w:r>
            <w:r w:rsidRPr="00BE78CA">
              <w:rPr>
                <w:rFonts w:eastAsia="Calibri"/>
                <w:vertAlign w:val="subscript"/>
              </w:rPr>
              <w:t>2</w:t>
            </w:r>
          </w:p>
        </w:tc>
        <w:tc>
          <w:tcPr>
            <w:tcW w:w="1409" w:type="dxa"/>
            <w:tcBorders>
              <w:top w:val="single" w:sz="4" w:space="0" w:color="365F91"/>
              <w:bottom w:val="single" w:sz="4" w:space="0" w:color="365F91"/>
            </w:tcBorders>
            <w:shd w:val="clear" w:color="auto" w:fill="FFFFFF"/>
            <w:tcMar>
              <w:top w:w="0" w:type="dxa"/>
              <w:left w:w="57" w:type="dxa"/>
              <w:bottom w:w="0" w:type="dxa"/>
              <w:right w:w="57" w:type="dxa"/>
            </w:tcMar>
          </w:tcPr>
          <w:p w14:paraId="09D2F47D" w14:textId="77777777" w:rsidR="00387C28" w:rsidRPr="00BE78CA" w:rsidRDefault="00387C28" w:rsidP="002B097E">
            <w:pPr>
              <w:pStyle w:val="TableText"/>
              <w:spacing w:before="50" w:after="50"/>
              <w:jc w:val="right"/>
            </w:pPr>
            <w:r w:rsidRPr="00BE78CA">
              <w:rPr>
                <w:rFonts w:eastAsia="Calibri"/>
              </w:rPr>
              <w:t>570.7</w:t>
            </w:r>
          </w:p>
        </w:tc>
        <w:tc>
          <w:tcPr>
            <w:tcW w:w="1290" w:type="dxa"/>
            <w:tcBorders>
              <w:top w:val="single" w:sz="4" w:space="0" w:color="365F91"/>
              <w:bottom w:val="single" w:sz="4" w:space="0" w:color="365F91"/>
            </w:tcBorders>
            <w:shd w:val="clear" w:color="auto" w:fill="FFFFFF"/>
            <w:tcMar>
              <w:top w:w="0" w:type="dxa"/>
              <w:left w:w="57" w:type="dxa"/>
              <w:bottom w:w="0" w:type="dxa"/>
              <w:right w:w="57" w:type="dxa"/>
            </w:tcMar>
          </w:tcPr>
          <w:p w14:paraId="7CFA0971" w14:textId="77777777" w:rsidR="00387C28" w:rsidRPr="00BE78CA" w:rsidRDefault="00387C28" w:rsidP="002B097E">
            <w:pPr>
              <w:pStyle w:val="TableText"/>
              <w:spacing w:before="50" w:after="50"/>
              <w:jc w:val="right"/>
            </w:pPr>
            <w:r w:rsidRPr="00BE78CA">
              <w:rPr>
                <w:rFonts w:eastAsia="Calibri"/>
              </w:rPr>
              <w:t>0.7</w:t>
            </w:r>
          </w:p>
        </w:tc>
        <w:tc>
          <w:tcPr>
            <w:tcW w:w="1233" w:type="dxa"/>
            <w:tcBorders>
              <w:top w:val="single" w:sz="4" w:space="0" w:color="365F91"/>
              <w:bottom w:val="single" w:sz="4" w:space="0" w:color="365F91"/>
            </w:tcBorders>
            <w:shd w:val="clear" w:color="auto" w:fill="FFFFFF"/>
            <w:tcMar>
              <w:top w:w="0" w:type="dxa"/>
              <w:left w:w="57" w:type="dxa"/>
              <w:bottom w:w="0" w:type="dxa"/>
              <w:right w:w="57" w:type="dxa"/>
            </w:tcMar>
          </w:tcPr>
          <w:p w14:paraId="1F49306F" w14:textId="77777777" w:rsidR="00387C28" w:rsidRPr="00BE78CA" w:rsidRDefault="00387C28" w:rsidP="002B097E">
            <w:pPr>
              <w:pStyle w:val="TableText"/>
              <w:spacing w:before="50" w:after="50"/>
              <w:jc w:val="right"/>
            </w:pPr>
            <w:r w:rsidRPr="00BE78CA">
              <w:rPr>
                <w:rFonts w:eastAsia="Calibri"/>
              </w:rPr>
              <w:t>87.7</w:t>
            </w:r>
          </w:p>
        </w:tc>
      </w:tr>
      <w:tr w:rsidR="0077535C" w:rsidRPr="00BE78CA" w14:paraId="0E42B19E" w14:textId="77777777" w:rsidTr="0077535C">
        <w:trPr>
          <w:cantSplit/>
        </w:trPr>
        <w:tc>
          <w:tcPr>
            <w:tcW w:w="796" w:type="dxa"/>
            <w:tcBorders>
              <w:top w:val="single" w:sz="4" w:space="0" w:color="365F91"/>
              <w:left w:val="single" w:sz="4" w:space="0" w:color="FFFFFF"/>
              <w:bottom w:val="single" w:sz="4" w:space="0" w:color="365F91"/>
            </w:tcBorders>
            <w:shd w:val="clear" w:color="auto" w:fill="FFFFFF"/>
            <w:tcMar>
              <w:top w:w="0" w:type="dxa"/>
              <w:left w:w="57" w:type="dxa"/>
              <w:bottom w:w="0" w:type="dxa"/>
              <w:right w:w="57" w:type="dxa"/>
            </w:tcMar>
          </w:tcPr>
          <w:p w14:paraId="3B5A787C" w14:textId="77777777" w:rsidR="00387C28" w:rsidRPr="00BE78CA" w:rsidRDefault="00387C28" w:rsidP="00E55E06">
            <w:pPr>
              <w:pStyle w:val="TableText"/>
              <w:spacing w:before="50" w:after="50"/>
            </w:pPr>
            <w:r w:rsidRPr="00BE78CA">
              <w:rPr>
                <w:rFonts w:eastAsia="Calibri"/>
              </w:rPr>
              <w:t>3.G</w:t>
            </w:r>
          </w:p>
        </w:tc>
        <w:tc>
          <w:tcPr>
            <w:tcW w:w="3238" w:type="dxa"/>
            <w:tcBorders>
              <w:top w:val="single" w:sz="4" w:space="0" w:color="365F91"/>
              <w:bottom w:val="single" w:sz="4" w:space="0" w:color="365F91"/>
            </w:tcBorders>
            <w:shd w:val="clear" w:color="auto" w:fill="FFFFFF"/>
            <w:tcMar>
              <w:top w:w="0" w:type="dxa"/>
              <w:left w:w="57" w:type="dxa"/>
              <w:bottom w:w="0" w:type="dxa"/>
              <w:right w:w="57" w:type="dxa"/>
            </w:tcMar>
          </w:tcPr>
          <w:p w14:paraId="18CD0E88" w14:textId="77777777" w:rsidR="00387C28" w:rsidRPr="00BE78CA" w:rsidRDefault="00387C28" w:rsidP="00E55E06">
            <w:pPr>
              <w:pStyle w:val="TableText"/>
              <w:spacing w:before="50" w:after="50"/>
            </w:pPr>
            <w:r w:rsidRPr="00BE78CA">
              <w:rPr>
                <w:rFonts w:eastAsia="Calibri"/>
              </w:rPr>
              <w:t>Agriculture – Liming</w:t>
            </w:r>
          </w:p>
        </w:tc>
        <w:tc>
          <w:tcPr>
            <w:tcW w:w="528" w:type="dxa"/>
            <w:tcBorders>
              <w:top w:val="single" w:sz="4" w:space="0" w:color="365F91"/>
              <w:bottom w:val="single" w:sz="4" w:space="0" w:color="365F91"/>
            </w:tcBorders>
            <w:shd w:val="clear" w:color="auto" w:fill="FFFFFF"/>
            <w:tcMar>
              <w:top w:w="0" w:type="dxa"/>
              <w:left w:w="57" w:type="dxa"/>
              <w:bottom w:w="0" w:type="dxa"/>
              <w:right w:w="57" w:type="dxa"/>
            </w:tcMar>
          </w:tcPr>
          <w:p w14:paraId="0DB336F3" w14:textId="77777777" w:rsidR="00387C28" w:rsidRPr="00BE78CA" w:rsidRDefault="00387C28" w:rsidP="006132E1">
            <w:pPr>
              <w:pStyle w:val="TableText"/>
              <w:spacing w:before="50" w:after="50"/>
              <w:jc w:val="center"/>
            </w:pPr>
            <w:r w:rsidRPr="00BE78CA">
              <w:rPr>
                <w:rFonts w:eastAsia="Calibri"/>
              </w:rPr>
              <w:t>CO</w:t>
            </w:r>
            <w:r w:rsidRPr="00BE78CA">
              <w:rPr>
                <w:rFonts w:eastAsia="Calibri"/>
                <w:vertAlign w:val="subscript"/>
              </w:rPr>
              <w:t>2</w:t>
            </w:r>
          </w:p>
        </w:tc>
        <w:tc>
          <w:tcPr>
            <w:tcW w:w="1409" w:type="dxa"/>
            <w:tcBorders>
              <w:top w:val="single" w:sz="4" w:space="0" w:color="365F91"/>
              <w:bottom w:val="single" w:sz="4" w:space="0" w:color="365F91"/>
            </w:tcBorders>
            <w:shd w:val="clear" w:color="auto" w:fill="FFFFFF"/>
            <w:tcMar>
              <w:top w:w="0" w:type="dxa"/>
              <w:left w:w="57" w:type="dxa"/>
              <w:bottom w:w="0" w:type="dxa"/>
              <w:right w:w="57" w:type="dxa"/>
            </w:tcMar>
          </w:tcPr>
          <w:p w14:paraId="2F4FBCF4" w14:textId="77777777" w:rsidR="00387C28" w:rsidRPr="00BE78CA" w:rsidRDefault="00387C28" w:rsidP="002B097E">
            <w:pPr>
              <w:pStyle w:val="TableText"/>
              <w:spacing w:before="50" w:after="50"/>
              <w:jc w:val="right"/>
            </w:pPr>
            <w:r w:rsidRPr="00BE78CA">
              <w:rPr>
                <w:rFonts w:eastAsia="Calibri"/>
              </w:rPr>
              <w:t>546.1</w:t>
            </w:r>
          </w:p>
        </w:tc>
        <w:tc>
          <w:tcPr>
            <w:tcW w:w="1290" w:type="dxa"/>
            <w:tcBorders>
              <w:top w:val="single" w:sz="4" w:space="0" w:color="365F91"/>
              <w:bottom w:val="single" w:sz="4" w:space="0" w:color="365F91"/>
            </w:tcBorders>
            <w:shd w:val="clear" w:color="auto" w:fill="FFFFFF"/>
            <w:tcMar>
              <w:top w:w="0" w:type="dxa"/>
              <w:left w:w="57" w:type="dxa"/>
              <w:bottom w:w="0" w:type="dxa"/>
              <w:right w:w="57" w:type="dxa"/>
            </w:tcMar>
          </w:tcPr>
          <w:p w14:paraId="2110AAB8" w14:textId="77777777" w:rsidR="00387C28" w:rsidRPr="00BE78CA" w:rsidRDefault="00387C28" w:rsidP="002B097E">
            <w:pPr>
              <w:pStyle w:val="TableText"/>
              <w:spacing w:before="50" w:after="50"/>
              <w:jc w:val="right"/>
            </w:pPr>
            <w:r w:rsidRPr="00BE78CA">
              <w:rPr>
                <w:rFonts w:eastAsia="Calibri"/>
              </w:rPr>
              <w:t>0.7</w:t>
            </w:r>
          </w:p>
        </w:tc>
        <w:tc>
          <w:tcPr>
            <w:tcW w:w="1233" w:type="dxa"/>
            <w:tcBorders>
              <w:top w:val="single" w:sz="4" w:space="0" w:color="365F91"/>
              <w:bottom w:val="single" w:sz="4" w:space="0" w:color="365F91"/>
            </w:tcBorders>
            <w:shd w:val="clear" w:color="auto" w:fill="FFFFFF"/>
            <w:tcMar>
              <w:top w:w="0" w:type="dxa"/>
              <w:left w:w="57" w:type="dxa"/>
              <w:bottom w:w="0" w:type="dxa"/>
              <w:right w:w="57" w:type="dxa"/>
            </w:tcMar>
          </w:tcPr>
          <w:p w14:paraId="177212AA" w14:textId="77777777" w:rsidR="00387C28" w:rsidRPr="00BE78CA" w:rsidRDefault="00387C28" w:rsidP="002B097E">
            <w:pPr>
              <w:pStyle w:val="TableText"/>
              <w:spacing w:before="50" w:after="50"/>
              <w:jc w:val="right"/>
            </w:pPr>
            <w:r w:rsidRPr="00BE78CA">
              <w:rPr>
                <w:rFonts w:eastAsia="Calibri"/>
              </w:rPr>
              <w:t>88.4</w:t>
            </w:r>
          </w:p>
        </w:tc>
      </w:tr>
      <w:tr w:rsidR="0077535C" w:rsidRPr="00BE78CA" w14:paraId="585D1018" w14:textId="77777777" w:rsidTr="0077535C">
        <w:trPr>
          <w:cantSplit/>
        </w:trPr>
        <w:tc>
          <w:tcPr>
            <w:tcW w:w="796" w:type="dxa"/>
            <w:tcBorders>
              <w:top w:val="single" w:sz="4" w:space="0" w:color="365F91"/>
              <w:left w:val="single" w:sz="4" w:space="0" w:color="FFFFFF"/>
              <w:bottom w:val="single" w:sz="4" w:space="0" w:color="365F91"/>
            </w:tcBorders>
            <w:shd w:val="clear" w:color="auto" w:fill="FFFFFF"/>
            <w:tcMar>
              <w:top w:w="0" w:type="dxa"/>
              <w:left w:w="57" w:type="dxa"/>
              <w:bottom w:w="0" w:type="dxa"/>
              <w:right w:w="57" w:type="dxa"/>
            </w:tcMar>
          </w:tcPr>
          <w:p w14:paraId="2FA4B42B" w14:textId="77777777" w:rsidR="00387C28" w:rsidRPr="00BE78CA" w:rsidRDefault="00387C28" w:rsidP="00E55E06">
            <w:pPr>
              <w:pStyle w:val="TableText"/>
              <w:spacing w:before="50" w:after="50"/>
            </w:pPr>
            <w:r w:rsidRPr="00BE78CA">
              <w:rPr>
                <w:rFonts w:eastAsia="Calibri"/>
              </w:rPr>
              <w:t>3.D.2.2</w:t>
            </w:r>
          </w:p>
        </w:tc>
        <w:tc>
          <w:tcPr>
            <w:tcW w:w="3238" w:type="dxa"/>
            <w:tcBorders>
              <w:top w:val="single" w:sz="4" w:space="0" w:color="365F91"/>
              <w:bottom w:val="single" w:sz="4" w:space="0" w:color="365F91"/>
            </w:tcBorders>
            <w:shd w:val="clear" w:color="auto" w:fill="FFFFFF"/>
            <w:tcMar>
              <w:top w:w="0" w:type="dxa"/>
              <w:left w:w="57" w:type="dxa"/>
              <w:bottom w:w="0" w:type="dxa"/>
              <w:right w:w="57" w:type="dxa"/>
            </w:tcMar>
          </w:tcPr>
          <w:p w14:paraId="5CA0B12F" w14:textId="77777777" w:rsidR="00387C28" w:rsidRPr="00BE78CA" w:rsidRDefault="00387C28" w:rsidP="00E55E06">
            <w:pPr>
              <w:pStyle w:val="TableText"/>
              <w:spacing w:before="50" w:after="50"/>
            </w:pPr>
            <w:r w:rsidRPr="00BE78CA">
              <w:rPr>
                <w:rFonts w:eastAsia="Calibri"/>
              </w:rPr>
              <w:t>Indirect N</w:t>
            </w:r>
            <w:r w:rsidRPr="00BE78CA">
              <w:rPr>
                <w:rFonts w:eastAsia="Calibri"/>
                <w:vertAlign w:val="subscript"/>
              </w:rPr>
              <w:t>2</w:t>
            </w:r>
            <w:r w:rsidRPr="00BE78CA">
              <w:rPr>
                <w:rFonts w:eastAsia="Calibri"/>
              </w:rPr>
              <w:t>O Emissions from Managed Soils – Nitrogen Leaching and Run-off</w:t>
            </w:r>
          </w:p>
        </w:tc>
        <w:tc>
          <w:tcPr>
            <w:tcW w:w="528" w:type="dxa"/>
            <w:tcBorders>
              <w:top w:val="single" w:sz="4" w:space="0" w:color="365F91"/>
              <w:bottom w:val="single" w:sz="4" w:space="0" w:color="365F91"/>
            </w:tcBorders>
            <w:shd w:val="clear" w:color="auto" w:fill="FFFFFF"/>
            <w:tcMar>
              <w:top w:w="0" w:type="dxa"/>
              <w:left w:w="57" w:type="dxa"/>
              <w:bottom w:w="0" w:type="dxa"/>
              <w:right w:w="57" w:type="dxa"/>
            </w:tcMar>
          </w:tcPr>
          <w:p w14:paraId="1BBA3091" w14:textId="77777777" w:rsidR="00387C28" w:rsidRPr="00BE78CA" w:rsidRDefault="00387C28" w:rsidP="006132E1">
            <w:pPr>
              <w:pStyle w:val="TableText"/>
              <w:spacing w:before="50" w:after="50"/>
              <w:jc w:val="center"/>
            </w:pPr>
            <w:r w:rsidRPr="00BE78CA">
              <w:rPr>
                <w:rFonts w:eastAsia="Calibri"/>
              </w:rPr>
              <w:t>N</w:t>
            </w:r>
            <w:r w:rsidRPr="00BE78CA">
              <w:rPr>
                <w:rFonts w:eastAsia="Calibri"/>
                <w:vertAlign w:val="subscript"/>
              </w:rPr>
              <w:t>2</w:t>
            </w:r>
            <w:r w:rsidRPr="00BE78CA">
              <w:rPr>
                <w:rFonts w:eastAsia="Calibri"/>
              </w:rPr>
              <w:t>O</w:t>
            </w:r>
          </w:p>
        </w:tc>
        <w:tc>
          <w:tcPr>
            <w:tcW w:w="1409" w:type="dxa"/>
            <w:tcBorders>
              <w:top w:val="single" w:sz="4" w:space="0" w:color="365F91"/>
              <w:bottom w:val="single" w:sz="4" w:space="0" w:color="365F91"/>
            </w:tcBorders>
            <w:shd w:val="clear" w:color="auto" w:fill="FFFFFF"/>
            <w:tcMar>
              <w:top w:w="0" w:type="dxa"/>
              <w:left w:w="57" w:type="dxa"/>
              <w:bottom w:w="0" w:type="dxa"/>
              <w:right w:w="57" w:type="dxa"/>
            </w:tcMar>
          </w:tcPr>
          <w:p w14:paraId="50E5F202" w14:textId="77777777" w:rsidR="00387C28" w:rsidRPr="00BE78CA" w:rsidRDefault="00387C28" w:rsidP="002B097E">
            <w:pPr>
              <w:pStyle w:val="TableText"/>
              <w:spacing w:before="50" w:after="50"/>
              <w:jc w:val="right"/>
            </w:pPr>
            <w:r w:rsidRPr="00BE78CA">
              <w:rPr>
                <w:rFonts w:eastAsia="Calibri"/>
              </w:rPr>
              <w:t>513.8</w:t>
            </w:r>
          </w:p>
        </w:tc>
        <w:tc>
          <w:tcPr>
            <w:tcW w:w="1290" w:type="dxa"/>
            <w:tcBorders>
              <w:top w:val="single" w:sz="4" w:space="0" w:color="365F91"/>
              <w:bottom w:val="single" w:sz="4" w:space="0" w:color="365F91"/>
            </w:tcBorders>
            <w:shd w:val="clear" w:color="auto" w:fill="FFFFFF"/>
            <w:tcMar>
              <w:top w:w="0" w:type="dxa"/>
              <w:left w:w="57" w:type="dxa"/>
              <w:bottom w:w="0" w:type="dxa"/>
              <w:right w:w="57" w:type="dxa"/>
            </w:tcMar>
          </w:tcPr>
          <w:p w14:paraId="20820D92" w14:textId="77777777" w:rsidR="00387C28" w:rsidRPr="00BE78CA" w:rsidRDefault="00387C28" w:rsidP="002B097E">
            <w:pPr>
              <w:pStyle w:val="TableText"/>
              <w:spacing w:before="50" w:after="50"/>
              <w:jc w:val="right"/>
            </w:pPr>
            <w:r w:rsidRPr="00BE78CA">
              <w:rPr>
                <w:rFonts w:eastAsia="Calibri"/>
              </w:rPr>
              <w:t>0.6</w:t>
            </w:r>
          </w:p>
        </w:tc>
        <w:tc>
          <w:tcPr>
            <w:tcW w:w="1233" w:type="dxa"/>
            <w:tcBorders>
              <w:top w:val="single" w:sz="4" w:space="0" w:color="365F91"/>
              <w:bottom w:val="single" w:sz="4" w:space="0" w:color="365F91"/>
            </w:tcBorders>
            <w:shd w:val="clear" w:color="auto" w:fill="FFFFFF"/>
            <w:tcMar>
              <w:top w:w="0" w:type="dxa"/>
              <w:left w:w="57" w:type="dxa"/>
              <w:bottom w:w="0" w:type="dxa"/>
              <w:right w:w="57" w:type="dxa"/>
            </w:tcMar>
          </w:tcPr>
          <w:p w14:paraId="384F6185" w14:textId="77777777" w:rsidR="00387C28" w:rsidRPr="00BE78CA" w:rsidRDefault="00387C28" w:rsidP="002B097E">
            <w:pPr>
              <w:pStyle w:val="TableText"/>
              <w:spacing w:before="50" w:after="50"/>
              <w:jc w:val="right"/>
            </w:pPr>
            <w:r w:rsidRPr="00BE78CA">
              <w:rPr>
                <w:rFonts w:eastAsia="Calibri"/>
              </w:rPr>
              <w:t>89.0</w:t>
            </w:r>
          </w:p>
        </w:tc>
      </w:tr>
      <w:tr w:rsidR="0077535C" w:rsidRPr="00BE78CA" w14:paraId="1919908A" w14:textId="77777777" w:rsidTr="0077535C">
        <w:trPr>
          <w:cantSplit/>
        </w:trPr>
        <w:tc>
          <w:tcPr>
            <w:tcW w:w="796" w:type="dxa"/>
            <w:tcBorders>
              <w:top w:val="single" w:sz="4" w:space="0" w:color="365F91"/>
              <w:left w:val="single" w:sz="4" w:space="0" w:color="FFFFFF"/>
              <w:bottom w:val="single" w:sz="4" w:space="0" w:color="365F91"/>
            </w:tcBorders>
            <w:shd w:val="clear" w:color="auto" w:fill="FFFFFF"/>
            <w:tcMar>
              <w:top w:w="0" w:type="dxa"/>
              <w:left w:w="57" w:type="dxa"/>
              <w:bottom w:w="0" w:type="dxa"/>
              <w:right w:w="57" w:type="dxa"/>
            </w:tcMar>
          </w:tcPr>
          <w:p w14:paraId="053F4E53" w14:textId="77777777" w:rsidR="00387C28" w:rsidRPr="00BE78CA" w:rsidRDefault="00387C28" w:rsidP="00E55E06">
            <w:pPr>
              <w:pStyle w:val="TableText"/>
              <w:spacing w:before="50" w:after="50"/>
            </w:pPr>
            <w:r w:rsidRPr="00BE78CA">
              <w:rPr>
                <w:rFonts w:eastAsia="Calibri"/>
              </w:rPr>
              <w:t>3.A.4</w:t>
            </w:r>
          </w:p>
        </w:tc>
        <w:tc>
          <w:tcPr>
            <w:tcW w:w="3238" w:type="dxa"/>
            <w:tcBorders>
              <w:top w:val="single" w:sz="4" w:space="0" w:color="365F91"/>
              <w:bottom w:val="single" w:sz="4" w:space="0" w:color="365F91"/>
            </w:tcBorders>
            <w:shd w:val="clear" w:color="auto" w:fill="FFFFFF"/>
            <w:tcMar>
              <w:top w:w="0" w:type="dxa"/>
              <w:left w:w="57" w:type="dxa"/>
              <w:bottom w:w="0" w:type="dxa"/>
              <w:right w:w="57" w:type="dxa"/>
            </w:tcMar>
          </w:tcPr>
          <w:p w14:paraId="68AC8551" w14:textId="77777777" w:rsidR="00387C28" w:rsidRPr="00BE78CA" w:rsidRDefault="00387C28" w:rsidP="00E55E06">
            <w:pPr>
              <w:pStyle w:val="TableText"/>
              <w:spacing w:before="50" w:after="50"/>
            </w:pPr>
            <w:r w:rsidRPr="00BE78CA">
              <w:rPr>
                <w:rFonts w:eastAsia="Calibri"/>
              </w:rPr>
              <w:t>Other Livestock – Deer</w:t>
            </w:r>
          </w:p>
        </w:tc>
        <w:tc>
          <w:tcPr>
            <w:tcW w:w="528" w:type="dxa"/>
            <w:tcBorders>
              <w:top w:val="single" w:sz="4" w:space="0" w:color="365F91"/>
              <w:bottom w:val="single" w:sz="4" w:space="0" w:color="365F91"/>
            </w:tcBorders>
            <w:shd w:val="clear" w:color="auto" w:fill="FFFFFF"/>
            <w:tcMar>
              <w:top w:w="0" w:type="dxa"/>
              <w:left w:w="57" w:type="dxa"/>
              <w:bottom w:w="0" w:type="dxa"/>
              <w:right w:w="57" w:type="dxa"/>
            </w:tcMar>
          </w:tcPr>
          <w:p w14:paraId="3D8352FC" w14:textId="77777777" w:rsidR="00387C28" w:rsidRPr="00BE78CA" w:rsidRDefault="00387C28" w:rsidP="006132E1">
            <w:pPr>
              <w:pStyle w:val="TableText"/>
              <w:spacing w:before="50" w:after="50"/>
              <w:jc w:val="center"/>
            </w:pPr>
            <w:r w:rsidRPr="00BE78CA">
              <w:rPr>
                <w:rFonts w:eastAsia="Calibri"/>
              </w:rPr>
              <w:t>CH</w:t>
            </w:r>
            <w:r w:rsidRPr="00BE78CA">
              <w:rPr>
                <w:rFonts w:eastAsia="Calibri"/>
                <w:vertAlign w:val="subscript"/>
              </w:rPr>
              <w:t>4</w:t>
            </w:r>
          </w:p>
        </w:tc>
        <w:tc>
          <w:tcPr>
            <w:tcW w:w="1409" w:type="dxa"/>
            <w:tcBorders>
              <w:top w:val="single" w:sz="4" w:space="0" w:color="365F91"/>
              <w:bottom w:val="single" w:sz="4" w:space="0" w:color="365F91"/>
            </w:tcBorders>
            <w:shd w:val="clear" w:color="auto" w:fill="FFFFFF"/>
            <w:tcMar>
              <w:top w:w="0" w:type="dxa"/>
              <w:left w:w="57" w:type="dxa"/>
              <w:bottom w:w="0" w:type="dxa"/>
              <w:right w:w="57" w:type="dxa"/>
            </w:tcMar>
          </w:tcPr>
          <w:p w14:paraId="7213703A" w14:textId="77777777" w:rsidR="00387C28" w:rsidRPr="00BE78CA" w:rsidRDefault="00387C28" w:rsidP="002B097E">
            <w:pPr>
              <w:pStyle w:val="TableText"/>
              <w:spacing w:before="50" w:after="50"/>
              <w:jc w:val="right"/>
            </w:pPr>
            <w:r w:rsidRPr="00BE78CA">
              <w:rPr>
                <w:rFonts w:eastAsia="Calibri"/>
              </w:rPr>
              <w:t>492.9</w:t>
            </w:r>
          </w:p>
        </w:tc>
        <w:tc>
          <w:tcPr>
            <w:tcW w:w="1290" w:type="dxa"/>
            <w:tcBorders>
              <w:top w:val="single" w:sz="4" w:space="0" w:color="365F91"/>
              <w:bottom w:val="single" w:sz="4" w:space="0" w:color="365F91"/>
            </w:tcBorders>
            <w:shd w:val="clear" w:color="auto" w:fill="FFFFFF"/>
            <w:tcMar>
              <w:top w:w="0" w:type="dxa"/>
              <w:left w:w="57" w:type="dxa"/>
              <w:bottom w:w="0" w:type="dxa"/>
              <w:right w:w="57" w:type="dxa"/>
            </w:tcMar>
          </w:tcPr>
          <w:p w14:paraId="6EC54360" w14:textId="77777777" w:rsidR="00387C28" w:rsidRPr="00BE78CA" w:rsidRDefault="00387C28" w:rsidP="002B097E">
            <w:pPr>
              <w:pStyle w:val="TableText"/>
              <w:spacing w:before="50" w:after="50"/>
              <w:jc w:val="right"/>
            </w:pPr>
            <w:r w:rsidRPr="00BE78CA">
              <w:rPr>
                <w:rFonts w:eastAsia="Calibri"/>
              </w:rPr>
              <w:t>0.6</w:t>
            </w:r>
          </w:p>
        </w:tc>
        <w:tc>
          <w:tcPr>
            <w:tcW w:w="1233" w:type="dxa"/>
            <w:tcBorders>
              <w:top w:val="single" w:sz="4" w:space="0" w:color="365F91"/>
              <w:bottom w:val="single" w:sz="4" w:space="0" w:color="365F91"/>
            </w:tcBorders>
            <w:shd w:val="clear" w:color="auto" w:fill="FFFFFF"/>
            <w:tcMar>
              <w:top w:w="0" w:type="dxa"/>
              <w:left w:w="57" w:type="dxa"/>
              <w:bottom w:w="0" w:type="dxa"/>
              <w:right w:w="57" w:type="dxa"/>
            </w:tcMar>
          </w:tcPr>
          <w:p w14:paraId="20B69FB4" w14:textId="77777777" w:rsidR="00387C28" w:rsidRPr="00BE78CA" w:rsidRDefault="00387C28" w:rsidP="002B097E">
            <w:pPr>
              <w:pStyle w:val="TableText"/>
              <w:spacing w:before="50" w:after="50"/>
              <w:jc w:val="right"/>
            </w:pPr>
            <w:r w:rsidRPr="00BE78CA">
              <w:rPr>
                <w:rFonts w:eastAsia="Calibri"/>
              </w:rPr>
              <w:t>89.6</w:t>
            </w:r>
          </w:p>
        </w:tc>
      </w:tr>
      <w:tr w:rsidR="0077535C" w:rsidRPr="00BE78CA" w14:paraId="0484C922" w14:textId="77777777" w:rsidTr="0077535C">
        <w:trPr>
          <w:cantSplit/>
        </w:trPr>
        <w:tc>
          <w:tcPr>
            <w:tcW w:w="796" w:type="dxa"/>
            <w:tcBorders>
              <w:top w:val="single" w:sz="4" w:space="0" w:color="365F91"/>
              <w:left w:val="single" w:sz="4" w:space="0" w:color="FFFFFF"/>
              <w:bottom w:val="single" w:sz="4" w:space="0" w:color="365F91"/>
            </w:tcBorders>
            <w:shd w:val="clear" w:color="auto" w:fill="FFFFFF"/>
            <w:tcMar>
              <w:top w:w="0" w:type="dxa"/>
              <w:left w:w="57" w:type="dxa"/>
              <w:bottom w:w="0" w:type="dxa"/>
              <w:right w:w="57" w:type="dxa"/>
            </w:tcMar>
          </w:tcPr>
          <w:p w14:paraId="04CAB0F0" w14:textId="77777777" w:rsidR="00387C28" w:rsidRPr="00BE78CA" w:rsidRDefault="00387C28" w:rsidP="00E55E06">
            <w:pPr>
              <w:pStyle w:val="TableText"/>
              <w:spacing w:before="50" w:after="50"/>
            </w:pPr>
            <w:r w:rsidRPr="00BE78CA">
              <w:rPr>
                <w:rFonts w:eastAsia="Calibri"/>
              </w:rPr>
              <w:t>1.A.4.a</w:t>
            </w:r>
          </w:p>
        </w:tc>
        <w:tc>
          <w:tcPr>
            <w:tcW w:w="3238" w:type="dxa"/>
            <w:tcBorders>
              <w:top w:val="single" w:sz="4" w:space="0" w:color="365F91"/>
              <w:bottom w:val="single" w:sz="4" w:space="0" w:color="365F91"/>
            </w:tcBorders>
            <w:shd w:val="clear" w:color="auto" w:fill="FFFFFF"/>
            <w:tcMar>
              <w:top w:w="0" w:type="dxa"/>
              <w:left w:w="57" w:type="dxa"/>
              <w:bottom w:w="0" w:type="dxa"/>
              <w:right w:w="57" w:type="dxa"/>
            </w:tcMar>
          </w:tcPr>
          <w:p w14:paraId="6EF2A081" w14:textId="77777777" w:rsidR="00387C28" w:rsidRPr="00BE78CA" w:rsidRDefault="00387C28" w:rsidP="00E55E06">
            <w:pPr>
              <w:pStyle w:val="TableText"/>
              <w:spacing w:before="50" w:after="50"/>
            </w:pPr>
            <w:r w:rsidRPr="00BE78CA">
              <w:rPr>
                <w:rFonts w:eastAsia="Calibri"/>
              </w:rPr>
              <w:t>Other Sectors – Commercial/Institutional</w:t>
            </w:r>
          </w:p>
        </w:tc>
        <w:tc>
          <w:tcPr>
            <w:tcW w:w="528" w:type="dxa"/>
            <w:tcBorders>
              <w:top w:val="single" w:sz="4" w:space="0" w:color="365F91"/>
              <w:bottom w:val="single" w:sz="4" w:space="0" w:color="365F91"/>
            </w:tcBorders>
            <w:shd w:val="clear" w:color="auto" w:fill="FFFFFF"/>
            <w:tcMar>
              <w:top w:w="0" w:type="dxa"/>
              <w:left w:w="57" w:type="dxa"/>
              <w:bottom w:w="0" w:type="dxa"/>
              <w:right w:w="57" w:type="dxa"/>
            </w:tcMar>
          </w:tcPr>
          <w:p w14:paraId="6D047357" w14:textId="77777777" w:rsidR="00387C28" w:rsidRPr="00BE78CA" w:rsidRDefault="00387C28" w:rsidP="006132E1">
            <w:pPr>
              <w:pStyle w:val="TableText"/>
              <w:spacing w:before="50" w:after="50"/>
              <w:jc w:val="center"/>
            </w:pPr>
            <w:r w:rsidRPr="00BE78CA">
              <w:rPr>
                <w:rFonts w:eastAsia="Calibri"/>
              </w:rPr>
              <w:t>CO</w:t>
            </w:r>
            <w:r w:rsidRPr="00BE78CA">
              <w:rPr>
                <w:rFonts w:eastAsia="Calibri"/>
                <w:vertAlign w:val="subscript"/>
              </w:rPr>
              <w:t>2</w:t>
            </w:r>
          </w:p>
        </w:tc>
        <w:tc>
          <w:tcPr>
            <w:tcW w:w="1409" w:type="dxa"/>
            <w:tcBorders>
              <w:top w:val="single" w:sz="4" w:space="0" w:color="365F91"/>
              <w:bottom w:val="single" w:sz="4" w:space="0" w:color="365F91"/>
            </w:tcBorders>
            <w:shd w:val="clear" w:color="auto" w:fill="FFFFFF"/>
            <w:tcMar>
              <w:top w:w="0" w:type="dxa"/>
              <w:left w:w="57" w:type="dxa"/>
              <w:bottom w:w="0" w:type="dxa"/>
              <w:right w:w="57" w:type="dxa"/>
            </w:tcMar>
          </w:tcPr>
          <w:p w14:paraId="5EC9C1D2" w14:textId="77777777" w:rsidR="00387C28" w:rsidRPr="00BE78CA" w:rsidRDefault="00387C28" w:rsidP="002B097E">
            <w:pPr>
              <w:pStyle w:val="TableText"/>
              <w:spacing w:before="50" w:after="50"/>
              <w:jc w:val="right"/>
            </w:pPr>
            <w:r w:rsidRPr="00BE78CA">
              <w:rPr>
                <w:rFonts w:eastAsia="Calibri"/>
              </w:rPr>
              <w:t>461.7</w:t>
            </w:r>
          </w:p>
        </w:tc>
        <w:tc>
          <w:tcPr>
            <w:tcW w:w="1290" w:type="dxa"/>
            <w:tcBorders>
              <w:top w:val="single" w:sz="4" w:space="0" w:color="365F91"/>
              <w:bottom w:val="single" w:sz="4" w:space="0" w:color="365F91"/>
            </w:tcBorders>
            <w:shd w:val="clear" w:color="auto" w:fill="FFFFFF"/>
            <w:tcMar>
              <w:top w:w="0" w:type="dxa"/>
              <w:left w:w="57" w:type="dxa"/>
              <w:bottom w:w="0" w:type="dxa"/>
              <w:right w:w="57" w:type="dxa"/>
            </w:tcMar>
          </w:tcPr>
          <w:p w14:paraId="7D1D80CF" w14:textId="77777777" w:rsidR="00387C28" w:rsidRPr="00BE78CA" w:rsidRDefault="00387C28" w:rsidP="002B097E">
            <w:pPr>
              <w:pStyle w:val="TableText"/>
              <w:spacing w:before="50" w:after="50"/>
              <w:jc w:val="right"/>
            </w:pPr>
            <w:r w:rsidRPr="00BE78CA">
              <w:rPr>
                <w:rFonts w:eastAsia="Calibri"/>
              </w:rPr>
              <w:t>0.6</w:t>
            </w:r>
          </w:p>
        </w:tc>
        <w:tc>
          <w:tcPr>
            <w:tcW w:w="1233" w:type="dxa"/>
            <w:tcBorders>
              <w:top w:val="single" w:sz="4" w:space="0" w:color="365F91"/>
              <w:bottom w:val="single" w:sz="4" w:space="0" w:color="365F91"/>
            </w:tcBorders>
            <w:shd w:val="clear" w:color="auto" w:fill="FFFFFF"/>
            <w:tcMar>
              <w:top w:w="0" w:type="dxa"/>
              <w:left w:w="57" w:type="dxa"/>
              <w:bottom w:w="0" w:type="dxa"/>
              <w:right w:w="57" w:type="dxa"/>
            </w:tcMar>
          </w:tcPr>
          <w:p w14:paraId="6FE37823" w14:textId="77777777" w:rsidR="00387C28" w:rsidRPr="00BE78CA" w:rsidRDefault="00387C28" w:rsidP="002B097E">
            <w:pPr>
              <w:pStyle w:val="TableText"/>
              <w:spacing w:before="50" w:after="50"/>
              <w:jc w:val="right"/>
            </w:pPr>
            <w:r w:rsidRPr="00BE78CA">
              <w:rPr>
                <w:rFonts w:eastAsia="Calibri"/>
              </w:rPr>
              <w:t>90.2</w:t>
            </w:r>
          </w:p>
        </w:tc>
      </w:tr>
      <w:tr w:rsidR="0077535C" w:rsidRPr="00BE78CA" w14:paraId="41474C82" w14:textId="77777777" w:rsidTr="0077535C">
        <w:trPr>
          <w:cantSplit/>
        </w:trPr>
        <w:tc>
          <w:tcPr>
            <w:tcW w:w="796" w:type="dxa"/>
            <w:tcBorders>
              <w:top w:val="single" w:sz="4" w:space="0" w:color="365F91"/>
              <w:left w:val="single" w:sz="4" w:space="0" w:color="FFFFFF"/>
              <w:bottom w:val="single" w:sz="4" w:space="0" w:color="365F91"/>
            </w:tcBorders>
            <w:shd w:val="clear" w:color="auto" w:fill="FFFFFF"/>
            <w:tcMar>
              <w:top w:w="0" w:type="dxa"/>
              <w:left w:w="57" w:type="dxa"/>
              <w:bottom w:w="0" w:type="dxa"/>
              <w:right w:w="57" w:type="dxa"/>
            </w:tcMar>
          </w:tcPr>
          <w:p w14:paraId="7524DEE9" w14:textId="77777777" w:rsidR="00387C28" w:rsidRPr="00BE78CA" w:rsidRDefault="00387C28" w:rsidP="00E55E06">
            <w:pPr>
              <w:pStyle w:val="TableText"/>
              <w:spacing w:before="50" w:after="50"/>
            </w:pPr>
            <w:r w:rsidRPr="00BE78CA">
              <w:rPr>
                <w:rFonts w:eastAsia="Calibri"/>
              </w:rPr>
              <w:t>2.A.1</w:t>
            </w:r>
          </w:p>
        </w:tc>
        <w:tc>
          <w:tcPr>
            <w:tcW w:w="3238" w:type="dxa"/>
            <w:tcBorders>
              <w:top w:val="single" w:sz="4" w:space="0" w:color="365F91"/>
              <w:bottom w:val="single" w:sz="4" w:space="0" w:color="365F91"/>
            </w:tcBorders>
            <w:shd w:val="clear" w:color="auto" w:fill="FFFFFF"/>
            <w:tcMar>
              <w:top w:w="0" w:type="dxa"/>
              <w:left w:w="57" w:type="dxa"/>
              <w:bottom w:w="0" w:type="dxa"/>
              <w:right w:w="57" w:type="dxa"/>
            </w:tcMar>
          </w:tcPr>
          <w:p w14:paraId="22888E60" w14:textId="77777777" w:rsidR="00387C28" w:rsidRPr="00BE78CA" w:rsidRDefault="00387C28" w:rsidP="00E55E06">
            <w:pPr>
              <w:pStyle w:val="TableText"/>
              <w:spacing w:before="50" w:after="50"/>
            </w:pPr>
            <w:r w:rsidRPr="00BE78CA">
              <w:rPr>
                <w:rFonts w:eastAsia="Calibri"/>
              </w:rPr>
              <w:t>Mineral Industry – Cement Production</w:t>
            </w:r>
          </w:p>
        </w:tc>
        <w:tc>
          <w:tcPr>
            <w:tcW w:w="528" w:type="dxa"/>
            <w:tcBorders>
              <w:top w:val="single" w:sz="4" w:space="0" w:color="365F91"/>
              <w:bottom w:val="single" w:sz="4" w:space="0" w:color="365F91"/>
            </w:tcBorders>
            <w:shd w:val="clear" w:color="auto" w:fill="FFFFFF"/>
            <w:tcMar>
              <w:top w:w="0" w:type="dxa"/>
              <w:left w:w="57" w:type="dxa"/>
              <w:bottom w:w="0" w:type="dxa"/>
              <w:right w:w="57" w:type="dxa"/>
            </w:tcMar>
          </w:tcPr>
          <w:p w14:paraId="6BCACAEB" w14:textId="77777777" w:rsidR="00387C28" w:rsidRPr="00BE78CA" w:rsidRDefault="00387C28" w:rsidP="006132E1">
            <w:pPr>
              <w:pStyle w:val="TableText"/>
              <w:spacing w:before="50" w:after="50"/>
              <w:jc w:val="center"/>
            </w:pPr>
            <w:r w:rsidRPr="00BE78CA">
              <w:rPr>
                <w:rFonts w:eastAsia="Calibri"/>
              </w:rPr>
              <w:t>CO</w:t>
            </w:r>
            <w:r w:rsidRPr="00BE78CA">
              <w:rPr>
                <w:rFonts w:eastAsia="Calibri"/>
                <w:vertAlign w:val="subscript"/>
              </w:rPr>
              <w:t>2</w:t>
            </w:r>
          </w:p>
        </w:tc>
        <w:tc>
          <w:tcPr>
            <w:tcW w:w="1409" w:type="dxa"/>
            <w:tcBorders>
              <w:top w:val="single" w:sz="4" w:space="0" w:color="365F91"/>
              <w:bottom w:val="single" w:sz="4" w:space="0" w:color="365F91"/>
            </w:tcBorders>
            <w:shd w:val="clear" w:color="auto" w:fill="FFFFFF"/>
            <w:tcMar>
              <w:top w:w="0" w:type="dxa"/>
              <w:left w:w="57" w:type="dxa"/>
              <w:bottom w:w="0" w:type="dxa"/>
              <w:right w:w="57" w:type="dxa"/>
            </w:tcMar>
          </w:tcPr>
          <w:p w14:paraId="5DD7959A" w14:textId="77777777" w:rsidR="00387C28" w:rsidRPr="00BE78CA" w:rsidRDefault="00387C28" w:rsidP="002B097E">
            <w:pPr>
              <w:pStyle w:val="TableText"/>
              <w:spacing w:before="50" w:after="50"/>
              <w:jc w:val="right"/>
            </w:pPr>
            <w:r w:rsidRPr="00BE78CA">
              <w:rPr>
                <w:rFonts w:eastAsia="Calibri"/>
              </w:rPr>
              <w:t>410.9</w:t>
            </w:r>
          </w:p>
        </w:tc>
        <w:tc>
          <w:tcPr>
            <w:tcW w:w="1290" w:type="dxa"/>
            <w:tcBorders>
              <w:top w:val="single" w:sz="4" w:space="0" w:color="365F91"/>
              <w:bottom w:val="single" w:sz="4" w:space="0" w:color="365F91"/>
            </w:tcBorders>
            <w:shd w:val="clear" w:color="auto" w:fill="FFFFFF"/>
            <w:tcMar>
              <w:top w:w="0" w:type="dxa"/>
              <w:left w:w="57" w:type="dxa"/>
              <w:bottom w:w="0" w:type="dxa"/>
              <w:right w:w="57" w:type="dxa"/>
            </w:tcMar>
          </w:tcPr>
          <w:p w14:paraId="32931514" w14:textId="77777777" w:rsidR="00387C28" w:rsidRPr="00BE78CA" w:rsidRDefault="00387C28" w:rsidP="002B097E">
            <w:pPr>
              <w:pStyle w:val="TableText"/>
              <w:spacing w:before="50" w:after="50"/>
              <w:jc w:val="right"/>
            </w:pPr>
            <w:r w:rsidRPr="00BE78CA">
              <w:rPr>
                <w:rFonts w:eastAsia="Calibri"/>
              </w:rPr>
              <w:t>0.5</w:t>
            </w:r>
          </w:p>
        </w:tc>
        <w:tc>
          <w:tcPr>
            <w:tcW w:w="1233" w:type="dxa"/>
            <w:tcBorders>
              <w:top w:val="single" w:sz="4" w:space="0" w:color="365F91"/>
              <w:bottom w:val="single" w:sz="4" w:space="0" w:color="365F91"/>
            </w:tcBorders>
            <w:shd w:val="clear" w:color="auto" w:fill="FFFFFF"/>
            <w:tcMar>
              <w:top w:w="0" w:type="dxa"/>
              <w:left w:w="57" w:type="dxa"/>
              <w:bottom w:w="0" w:type="dxa"/>
              <w:right w:w="57" w:type="dxa"/>
            </w:tcMar>
          </w:tcPr>
          <w:p w14:paraId="4F9C7BD4" w14:textId="77777777" w:rsidR="00387C28" w:rsidRPr="00BE78CA" w:rsidRDefault="00387C28" w:rsidP="002B097E">
            <w:pPr>
              <w:pStyle w:val="TableText"/>
              <w:spacing w:before="50" w:after="50"/>
              <w:jc w:val="right"/>
            </w:pPr>
            <w:r w:rsidRPr="00BE78CA">
              <w:rPr>
                <w:rFonts w:eastAsia="Calibri"/>
              </w:rPr>
              <w:t>90.7</w:t>
            </w:r>
          </w:p>
        </w:tc>
      </w:tr>
      <w:tr w:rsidR="0077535C" w:rsidRPr="00BE78CA" w14:paraId="6F35FCC1" w14:textId="77777777" w:rsidTr="0077535C">
        <w:trPr>
          <w:cantSplit/>
        </w:trPr>
        <w:tc>
          <w:tcPr>
            <w:tcW w:w="796" w:type="dxa"/>
            <w:tcBorders>
              <w:top w:val="single" w:sz="4" w:space="0" w:color="365F91"/>
              <w:left w:val="single" w:sz="4" w:space="0" w:color="FFFFFF"/>
              <w:bottom w:val="single" w:sz="4" w:space="0" w:color="365F91"/>
            </w:tcBorders>
            <w:shd w:val="clear" w:color="auto" w:fill="FFFFFF"/>
            <w:tcMar>
              <w:top w:w="0" w:type="dxa"/>
              <w:left w:w="57" w:type="dxa"/>
              <w:bottom w:w="0" w:type="dxa"/>
              <w:right w:w="57" w:type="dxa"/>
            </w:tcMar>
          </w:tcPr>
          <w:p w14:paraId="674EDE8E" w14:textId="77777777" w:rsidR="00387C28" w:rsidRPr="00BE78CA" w:rsidRDefault="00387C28" w:rsidP="00E55E06">
            <w:pPr>
              <w:pStyle w:val="TableText"/>
              <w:spacing w:before="50" w:after="50"/>
            </w:pPr>
            <w:r w:rsidRPr="00BE78CA">
              <w:rPr>
                <w:rFonts w:eastAsia="Calibri"/>
              </w:rPr>
              <w:t>1.A.2.f</w:t>
            </w:r>
          </w:p>
        </w:tc>
        <w:tc>
          <w:tcPr>
            <w:tcW w:w="3238" w:type="dxa"/>
            <w:tcBorders>
              <w:top w:val="single" w:sz="4" w:space="0" w:color="365F91"/>
              <w:bottom w:val="single" w:sz="4" w:space="0" w:color="365F91"/>
            </w:tcBorders>
            <w:shd w:val="clear" w:color="auto" w:fill="FFFFFF"/>
            <w:tcMar>
              <w:top w:w="0" w:type="dxa"/>
              <w:left w:w="57" w:type="dxa"/>
              <w:bottom w:w="0" w:type="dxa"/>
              <w:right w:w="57" w:type="dxa"/>
            </w:tcMar>
          </w:tcPr>
          <w:p w14:paraId="57BCEACA" w14:textId="77777777" w:rsidR="00387C28" w:rsidRPr="00BE78CA" w:rsidRDefault="00387C28" w:rsidP="00E55E06">
            <w:pPr>
              <w:pStyle w:val="TableText"/>
              <w:spacing w:before="50" w:after="50"/>
            </w:pPr>
            <w:r w:rsidRPr="00BE78CA">
              <w:rPr>
                <w:rFonts w:eastAsia="Calibri"/>
              </w:rPr>
              <w:t>Non-metallic Minerals – Solid Fuels</w:t>
            </w:r>
          </w:p>
        </w:tc>
        <w:tc>
          <w:tcPr>
            <w:tcW w:w="528" w:type="dxa"/>
            <w:tcBorders>
              <w:top w:val="single" w:sz="4" w:space="0" w:color="365F91"/>
              <w:bottom w:val="single" w:sz="4" w:space="0" w:color="365F91"/>
            </w:tcBorders>
            <w:shd w:val="clear" w:color="auto" w:fill="FFFFFF"/>
            <w:tcMar>
              <w:top w:w="0" w:type="dxa"/>
              <w:left w:w="57" w:type="dxa"/>
              <w:bottom w:w="0" w:type="dxa"/>
              <w:right w:w="57" w:type="dxa"/>
            </w:tcMar>
          </w:tcPr>
          <w:p w14:paraId="0588353B" w14:textId="77777777" w:rsidR="00387C28" w:rsidRPr="00BE78CA" w:rsidRDefault="00387C28" w:rsidP="006132E1">
            <w:pPr>
              <w:pStyle w:val="TableText"/>
              <w:spacing w:before="50" w:after="50"/>
              <w:jc w:val="center"/>
            </w:pPr>
            <w:r w:rsidRPr="00BE78CA">
              <w:rPr>
                <w:rFonts w:eastAsia="Calibri"/>
              </w:rPr>
              <w:t>CO</w:t>
            </w:r>
            <w:r w:rsidRPr="00BE78CA">
              <w:rPr>
                <w:rFonts w:eastAsia="Calibri"/>
                <w:vertAlign w:val="subscript"/>
              </w:rPr>
              <w:t>2</w:t>
            </w:r>
          </w:p>
        </w:tc>
        <w:tc>
          <w:tcPr>
            <w:tcW w:w="1409" w:type="dxa"/>
            <w:tcBorders>
              <w:top w:val="single" w:sz="4" w:space="0" w:color="365F91"/>
              <w:bottom w:val="single" w:sz="4" w:space="0" w:color="365F91"/>
            </w:tcBorders>
            <w:shd w:val="clear" w:color="auto" w:fill="FFFFFF"/>
            <w:tcMar>
              <w:top w:w="0" w:type="dxa"/>
              <w:left w:w="57" w:type="dxa"/>
              <w:bottom w:w="0" w:type="dxa"/>
              <w:right w:w="57" w:type="dxa"/>
            </w:tcMar>
          </w:tcPr>
          <w:p w14:paraId="556ED6D9" w14:textId="77777777" w:rsidR="00387C28" w:rsidRPr="00BE78CA" w:rsidRDefault="00387C28" w:rsidP="002B097E">
            <w:pPr>
              <w:pStyle w:val="TableText"/>
              <w:spacing w:before="50" w:after="50"/>
              <w:jc w:val="right"/>
            </w:pPr>
            <w:r w:rsidRPr="00BE78CA">
              <w:rPr>
                <w:rFonts w:eastAsia="Calibri"/>
              </w:rPr>
              <w:t>383.7</w:t>
            </w:r>
          </w:p>
        </w:tc>
        <w:tc>
          <w:tcPr>
            <w:tcW w:w="1290" w:type="dxa"/>
            <w:tcBorders>
              <w:top w:val="single" w:sz="4" w:space="0" w:color="365F91"/>
              <w:bottom w:val="single" w:sz="4" w:space="0" w:color="365F91"/>
            </w:tcBorders>
            <w:shd w:val="clear" w:color="auto" w:fill="FFFFFF"/>
            <w:tcMar>
              <w:top w:w="0" w:type="dxa"/>
              <w:left w:w="57" w:type="dxa"/>
              <w:bottom w:w="0" w:type="dxa"/>
              <w:right w:w="57" w:type="dxa"/>
            </w:tcMar>
          </w:tcPr>
          <w:p w14:paraId="18352870" w14:textId="77777777" w:rsidR="00387C28" w:rsidRPr="00BE78CA" w:rsidRDefault="00387C28" w:rsidP="002B097E">
            <w:pPr>
              <w:pStyle w:val="TableText"/>
              <w:spacing w:before="50" w:after="50"/>
              <w:jc w:val="right"/>
            </w:pPr>
            <w:r w:rsidRPr="00BE78CA">
              <w:rPr>
                <w:rFonts w:eastAsia="Calibri"/>
              </w:rPr>
              <w:t>0.5</w:t>
            </w:r>
          </w:p>
        </w:tc>
        <w:tc>
          <w:tcPr>
            <w:tcW w:w="1233" w:type="dxa"/>
            <w:tcBorders>
              <w:top w:val="single" w:sz="4" w:space="0" w:color="365F91"/>
              <w:bottom w:val="single" w:sz="4" w:space="0" w:color="365F91"/>
            </w:tcBorders>
            <w:shd w:val="clear" w:color="auto" w:fill="FFFFFF"/>
            <w:tcMar>
              <w:top w:w="0" w:type="dxa"/>
              <w:left w:w="57" w:type="dxa"/>
              <w:bottom w:w="0" w:type="dxa"/>
              <w:right w:w="57" w:type="dxa"/>
            </w:tcMar>
          </w:tcPr>
          <w:p w14:paraId="4A5D0FDA" w14:textId="77777777" w:rsidR="00387C28" w:rsidRPr="00BE78CA" w:rsidRDefault="00387C28" w:rsidP="002B097E">
            <w:pPr>
              <w:pStyle w:val="TableText"/>
              <w:spacing w:before="50" w:after="50"/>
              <w:jc w:val="right"/>
            </w:pPr>
            <w:r w:rsidRPr="00BE78CA">
              <w:rPr>
                <w:rFonts w:eastAsia="Calibri"/>
              </w:rPr>
              <w:t>91.1</w:t>
            </w:r>
          </w:p>
        </w:tc>
      </w:tr>
      <w:tr w:rsidR="0077535C" w:rsidRPr="00BE78CA" w14:paraId="57AA1E34" w14:textId="77777777" w:rsidTr="0077535C">
        <w:trPr>
          <w:cantSplit/>
        </w:trPr>
        <w:tc>
          <w:tcPr>
            <w:tcW w:w="796" w:type="dxa"/>
            <w:tcBorders>
              <w:top w:val="single" w:sz="4" w:space="0" w:color="365F91"/>
              <w:left w:val="single" w:sz="4" w:space="0" w:color="FFFFFF"/>
              <w:bottom w:val="single" w:sz="4" w:space="0" w:color="365F91"/>
            </w:tcBorders>
            <w:shd w:val="clear" w:color="auto" w:fill="FFFFFF"/>
            <w:tcMar>
              <w:top w:w="0" w:type="dxa"/>
              <w:left w:w="57" w:type="dxa"/>
              <w:bottom w:w="0" w:type="dxa"/>
              <w:right w:w="57" w:type="dxa"/>
            </w:tcMar>
          </w:tcPr>
          <w:p w14:paraId="052E5ACC" w14:textId="77777777" w:rsidR="00387C28" w:rsidRPr="00BE78CA" w:rsidRDefault="00387C28" w:rsidP="00E55E06">
            <w:pPr>
              <w:pStyle w:val="TableText"/>
              <w:spacing w:before="50" w:after="50"/>
            </w:pPr>
            <w:r w:rsidRPr="00BE78CA">
              <w:rPr>
                <w:rFonts w:eastAsia="Calibri"/>
              </w:rPr>
              <w:t>1.A.4.b</w:t>
            </w:r>
          </w:p>
        </w:tc>
        <w:tc>
          <w:tcPr>
            <w:tcW w:w="3238" w:type="dxa"/>
            <w:tcBorders>
              <w:top w:val="single" w:sz="4" w:space="0" w:color="365F91"/>
              <w:bottom w:val="single" w:sz="4" w:space="0" w:color="365F91"/>
            </w:tcBorders>
            <w:shd w:val="clear" w:color="auto" w:fill="FFFFFF"/>
            <w:tcMar>
              <w:top w:w="0" w:type="dxa"/>
              <w:left w:w="57" w:type="dxa"/>
              <w:bottom w:w="0" w:type="dxa"/>
              <w:right w:w="57" w:type="dxa"/>
            </w:tcMar>
          </w:tcPr>
          <w:p w14:paraId="5E5E0020" w14:textId="77777777" w:rsidR="00387C28" w:rsidRPr="00BE78CA" w:rsidRDefault="00387C28" w:rsidP="00E55E06">
            <w:pPr>
              <w:pStyle w:val="TableText"/>
              <w:spacing w:before="50" w:after="50"/>
            </w:pPr>
            <w:r w:rsidRPr="00BE78CA">
              <w:rPr>
                <w:rFonts w:eastAsia="Calibri"/>
              </w:rPr>
              <w:t>Other Sectors – Residential</w:t>
            </w:r>
          </w:p>
        </w:tc>
        <w:tc>
          <w:tcPr>
            <w:tcW w:w="528" w:type="dxa"/>
            <w:tcBorders>
              <w:top w:val="single" w:sz="4" w:space="0" w:color="365F91"/>
              <w:bottom w:val="single" w:sz="4" w:space="0" w:color="365F91"/>
            </w:tcBorders>
            <w:shd w:val="clear" w:color="auto" w:fill="FFFFFF"/>
            <w:tcMar>
              <w:top w:w="0" w:type="dxa"/>
              <w:left w:w="57" w:type="dxa"/>
              <w:bottom w:w="0" w:type="dxa"/>
              <w:right w:w="57" w:type="dxa"/>
            </w:tcMar>
          </w:tcPr>
          <w:p w14:paraId="5737B86B" w14:textId="77777777" w:rsidR="00387C28" w:rsidRPr="00BE78CA" w:rsidRDefault="00387C28" w:rsidP="006132E1">
            <w:pPr>
              <w:pStyle w:val="TableText"/>
              <w:spacing w:before="50" w:after="50"/>
              <w:jc w:val="center"/>
            </w:pPr>
            <w:r w:rsidRPr="00BE78CA">
              <w:rPr>
                <w:rFonts w:eastAsia="Calibri"/>
              </w:rPr>
              <w:t>CO</w:t>
            </w:r>
            <w:r w:rsidRPr="00BE78CA">
              <w:rPr>
                <w:rFonts w:eastAsia="Calibri"/>
                <w:vertAlign w:val="subscript"/>
              </w:rPr>
              <w:t>2</w:t>
            </w:r>
          </w:p>
        </w:tc>
        <w:tc>
          <w:tcPr>
            <w:tcW w:w="1409" w:type="dxa"/>
            <w:tcBorders>
              <w:top w:val="single" w:sz="4" w:space="0" w:color="365F91"/>
              <w:bottom w:val="single" w:sz="4" w:space="0" w:color="365F91"/>
            </w:tcBorders>
            <w:shd w:val="clear" w:color="auto" w:fill="FFFFFF"/>
            <w:tcMar>
              <w:top w:w="0" w:type="dxa"/>
              <w:left w:w="57" w:type="dxa"/>
              <w:bottom w:w="0" w:type="dxa"/>
              <w:right w:w="57" w:type="dxa"/>
            </w:tcMar>
          </w:tcPr>
          <w:p w14:paraId="0FAAD730" w14:textId="77777777" w:rsidR="00387C28" w:rsidRPr="00BE78CA" w:rsidRDefault="00387C28" w:rsidP="002B097E">
            <w:pPr>
              <w:pStyle w:val="TableText"/>
              <w:spacing w:before="50" w:after="50"/>
              <w:jc w:val="right"/>
            </w:pPr>
            <w:r w:rsidRPr="00BE78CA">
              <w:rPr>
                <w:rFonts w:eastAsia="Calibri"/>
              </w:rPr>
              <w:t>369.6</w:t>
            </w:r>
          </w:p>
        </w:tc>
        <w:tc>
          <w:tcPr>
            <w:tcW w:w="1290" w:type="dxa"/>
            <w:tcBorders>
              <w:top w:val="single" w:sz="4" w:space="0" w:color="365F91"/>
              <w:bottom w:val="single" w:sz="4" w:space="0" w:color="365F91"/>
            </w:tcBorders>
            <w:shd w:val="clear" w:color="auto" w:fill="FFFFFF"/>
            <w:tcMar>
              <w:top w:w="0" w:type="dxa"/>
              <w:left w:w="57" w:type="dxa"/>
              <w:bottom w:w="0" w:type="dxa"/>
              <w:right w:w="57" w:type="dxa"/>
            </w:tcMar>
          </w:tcPr>
          <w:p w14:paraId="280DF8A6" w14:textId="77777777" w:rsidR="00387C28" w:rsidRPr="00BE78CA" w:rsidRDefault="00387C28" w:rsidP="002B097E">
            <w:pPr>
              <w:pStyle w:val="TableText"/>
              <w:spacing w:before="50" w:after="50"/>
              <w:jc w:val="right"/>
            </w:pPr>
            <w:r w:rsidRPr="00BE78CA">
              <w:rPr>
                <w:rFonts w:eastAsia="Calibri"/>
              </w:rPr>
              <w:t>0.4</w:t>
            </w:r>
          </w:p>
        </w:tc>
        <w:tc>
          <w:tcPr>
            <w:tcW w:w="1233" w:type="dxa"/>
            <w:tcBorders>
              <w:top w:val="single" w:sz="4" w:space="0" w:color="365F91"/>
              <w:bottom w:val="single" w:sz="4" w:space="0" w:color="365F91"/>
            </w:tcBorders>
            <w:shd w:val="clear" w:color="auto" w:fill="FFFFFF"/>
            <w:tcMar>
              <w:top w:w="0" w:type="dxa"/>
              <w:left w:w="57" w:type="dxa"/>
              <w:bottom w:w="0" w:type="dxa"/>
              <w:right w:w="57" w:type="dxa"/>
            </w:tcMar>
          </w:tcPr>
          <w:p w14:paraId="3B08B23A" w14:textId="77777777" w:rsidR="00387C28" w:rsidRPr="00BE78CA" w:rsidRDefault="00387C28" w:rsidP="002B097E">
            <w:pPr>
              <w:pStyle w:val="TableText"/>
              <w:spacing w:before="50" w:after="50"/>
              <w:jc w:val="right"/>
            </w:pPr>
            <w:r w:rsidRPr="00BE78CA">
              <w:rPr>
                <w:rFonts w:eastAsia="Calibri"/>
              </w:rPr>
              <w:t>91.6</w:t>
            </w:r>
          </w:p>
        </w:tc>
      </w:tr>
      <w:tr w:rsidR="0077535C" w:rsidRPr="00BE78CA" w14:paraId="7F2CBFF7" w14:textId="77777777" w:rsidTr="0077535C">
        <w:trPr>
          <w:cantSplit/>
        </w:trPr>
        <w:tc>
          <w:tcPr>
            <w:tcW w:w="796" w:type="dxa"/>
            <w:tcBorders>
              <w:top w:val="single" w:sz="4" w:space="0" w:color="365F91"/>
              <w:left w:val="single" w:sz="4" w:space="0" w:color="FFFFFF"/>
              <w:bottom w:val="single" w:sz="4" w:space="0" w:color="365F91"/>
            </w:tcBorders>
            <w:shd w:val="clear" w:color="auto" w:fill="FFFFFF"/>
            <w:tcMar>
              <w:top w:w="0" w:type="dxa"/>
              <w:left w:w="57" w:type="dxa"/>
              <w:bottom w:w="0" w:type="dxa"/>
              <w:right w:w="57" w:type="dxa"/>
            </w:tcMar>
          </w:tcPr>
          <w:p w14:paraId="3455A781" w14:textId="77777777" w:rsidR="00387C28" w:rsidRPr="00BE78CA" w:rsidRDefault="00387C28" w:rsidP="00E55E06">
            <w:pPr>
              <w:pStyle w:val="TableText"/>
              <w:spacing w:before="50" w:after="50"/>
            </w:pPr>
            <w:r w:rsidRPr="00BE78CA">
              <w:rPr>
                <w:rFonts w:eastAsia="Calibri"/>
              </w:rPr>
              <w:t>1.A.1.c</w:t>
            </w:r>
          </w:p>
        </w:tc>
        <w:tc>
          <w:tcPr>
            <w:tcW w:w="3238" w:type="dxa"/>
            <w:tcBorders>
              <w:top w:val="single" w:sz="4" w:space="0" w:color="365F91"/>
              <w:bottom w:val="single" w:sz="4" w:space="0" w:color="365F91"/>
            </w:tcBorders>
            <w:shd w:val="clear" w:color="auto" w:fill="FFFFFF"/>
            <w:tcMar>
              <w:top w:w="0" w:type="dxa"/>
              <w:left w:w="57" w:type="dxa"/>
              <w:bottom w:w="0" w:type="dxa"/>
              <w:right w:w="57" w:type="dxa"/>
            </w:tcMar>
          </w:tcPr>
          <w:p w14:paraId="5507C7F1" w14:textId="77777777" w:rsidR="00387C28" w:rsidRPr="00BE78CA" w:rsidRDefault="00387C28" w:rsidP="00E55E06">
            <w:pPr>
              <w:pStyle w:val="TableText"/>
              <w:spacing w:before="50" w:after="50"/>
            </w:pPr>
            <w:r w:rsidRPr="00BE78CA">
              <w:rPr>
                <w:rFonts w:eastAsia="Calibri"/>
              </w:rPr>
              <w:t>Energy Industries – Manufacture of Solid Fuels and Other Energy Industries</w:t>
            </w:r>
          </w:p>
        </w:tc>
        <w:tc>
          <w:tcPr>
            <w:tcW w:w="528" w:type="dxa"/>
            <w:tcBorders>
              <w:top w:val="single" w:sz="4" w:space="0" w:color="365F91"/>
              <w:bottom w:val="single" w:sz="4" w:space="0" w:color="365F91"/>
            </w:tcBorders>
            <w:shd w:val="clear" w:color="auto" w:fill="FFFFFF"/>
            <w:tcMar>
              <w:top w:w="0" w:type="dxa"/>
              <w:left w:w="57" w:type="dxa"/>
              <w:bottom w:w="0" w:type="dxa"/>
              <w:right w:w="57" w:type="dxa"/>
            </w:tcMar>
          </w:tcPr>
          <w:p w14:paraId="268E5EB7" w14:textId="77777777" w:rsidR="00387C28" w:rsidRPr="00BE78CA" w:rsidRDefault="00387C28" w:rsidP="006132E1">
            <w:pPr>
              <w:pStyle w:val="TableText"/>
              <w:spacing w:before="50" w:after="50"/>
              <w:jc w:val="center"/>
            </w:pPr>
            <w:r w:rsidRPr="00BE78CA">
              <w:rPr>
                <w:rFonts w:eastAsia="Calibri"/>
              </w:rPr>
              <w:t>CO</w:t>
            </w:r>
            <w:r w:rsidRPr="00BE78CA">
              <w:rPr>
                <w:rFonts w:eastAsia="Calibri"/>
                <w:vertAlign w:val="subscript"/>
              </w:rPr>
              <w:t>2</w:t>
            </w:r>
          </w:p>
        </w:tc>
        <w:tc>
          <w:tcPr>
            <w:tcW w:w="1409" w:type="dxa"/>
            <w:tcBorders>
              <w:top w:val="single" w:sz="4" w:space="0" w:color="365F91"/>
              <w:bottom w:val="single" w:sz="4" w:space="0" w:color="365F91"/>
            </w:tcBorders>
            <w:shd w:val="clear" w:color="auto" w:fill="FFFFFF"/>
            <w:tcMar>
              <w:top w:w="0" w:type="dxa"/>
              <w:left w:w="57" w:type="dxa"/>
              <w:bottom w:w="0" w:type="dxa"/>
              <w:right w:w="57" w:type="dxa"/>
            </w:tcMar>
          </w:tcPr>
          <w:p w14:paraId="3ED4571D" w14:textId="77777777" w:rsidR="00387C28" w:rsidRPr="00BE78CA" w:rsidRDefault="00387C28" w:rsidP="002B097E">
            <w:pPr>
              <w:pStyle w:val="TableText"/>
              <w:spacing w:before="50" w:after="50"/>
              <w:jc w:val="right"/>
            </w:pPr>
            <w:r w:rsidRPr="00BE78CA">
              <w:rPr>
                <w:rFonts w:eastAsia="Calibri"/>
              </w:rPr>
              <w:t>354.0</w:t>
            </w:r>
          </w:p>
        </w:tc>
        <w:tc>
          <w:tcPr>
            <w:tcW w:w="1290" w:type="dxa"/>
            <w:tcBorders>
              <w:top w:val="single" w:sz="4" w:space="0" w:color="365F91"/>
              <w:bottom w:val="single" w:sz="4" w:space="0" w:color="365F91"/>
            </w:tcBorders>
            <w:shd w:val="clear" w:color="auto" w:fill="FFFFFF"/>
            <w:tcMar>
              <w:top w:w="0" w:type="dxa"/>
              <w:left w:w="57" w:type="dxa"/>
              <w:bottom w:w="0" w:type="dxa"/>
              <w:right w:w="57" w:type="dxa"/>
            </w:tcMar>
          </w:tcPr>
          <w:p w14:paraId="731EDC0F" w14:textId="77777777" w:rsidR="00387C28" w:rsidRPr="00BE78CA" w:rsidRDefault="00387C28" w:rsidP="002B097E">
            <w:pPr>
              <w:pStyle w:val="TableText"/>
              <w:spacing w:before="50" w:after="50"/>
              <w:jc w:val="right"/>
            </w:pPr>
            <w:r w:rsidRPr="00BE78CA">
              <w:rPr>
                <w:rFonts w:eastAsia="Calibri"/>
              </w:rPr>
              <w:t>0.4</w:t>
            </w:r>
          </w:p>
        </w:tc>
        <w:tc>
          <w:tcPr>
            <w:tcW w:w="1233" w:type="dxa"/>
            <w:tcBorders>
              <w:top w:val="single" w:sz="4" w:space="0" w:color="365F91"/>
              <w:bottom w:val="single" w:sz="4" w:space="0" w:color="365F91"/>
            </w:tcBorders>
            <w:shd w:val="clear" w:color="auto" w:fill="FFFFFF"/>
            <w:tcMar>
              <w:top w:w="0" w:type="dxa"/>
              <w:left w:w="57" w:type="dxa"/>
              <w:bottom w:w="0" w:type="dxa"/>
              <w:right w:w="57" w:type="dxa"/>
            </w:tcMar>
          </w:tcPr>
          <w:p w14:paraId="01ED1434" w14:textId="77777777" w:rsidR="00387C28" w:rsidRPr="00BE78CA" w:rsidRDefault="00387C28" w:rsidP="002B097E">
            <w:pPr>
              <w:pStyle w:val="TableText"/>
              <w:spacing w:before="50" w:after="50"/>
              <w:jc w:val="right"/>
            </w:pPr>
            <w:r w:rsidRPr="00BE78CA">
              <w:rPr>
                <w:rFonts w:eastAsia="Calibri"/>
              </w:rPr>
              <w:t>92.0</w:t>
            </w:r>
          </w:p>
        </w:tc>
      </w:tr>
      <w:tr w:rsidR="0077535C" w:rsidRPr="00BE78CA" w14:paraId="154ADA22" w14:textId="77777777" w:rsidTr="0077535C">
        <w:trPr>
          <w:cantSplit/>
        </w:trPr>
        <w:tc>
          <w:tcPr>
            <w:tcW w:w="796" w:type="dxa"/>
            <w:tcBorders>
              <w:top w:val="single" w:sz="4" w:space="0" w:color="365F91"/>
              <w:left w:val="single" w:sz="4" w:space="0" w:color="FFFFFF"/>
              <w:bottom w:val="single" w:sz="4" w:space="0" w:color="365F91"/>
            </w:tcBorders>
            <w:shd w:val="clear" w:color="auto" w:fill="FFFFFF"/>
            <w:tcMar>
              <w:top w:w="0" w:type="dxa"/>
              <w:left w:w="57" w:type="dxa"/>
              <w:bottom w:w="0" w:type="dxa"/>
              <w:right w:w="57" w:type="dxa"/>
            </w:tcMar>
          </w:tcPr>
          <w:p w14:paraId="72CD65F5" w14:textId="77777777" w:rsidR="00387C28" w:rsidRPr="00BE78CA" w:rsidRDefault="00387C28" w:rsidP="00E55E06">
            <w:pPr>
              <w:pStyle w:val="TableText"/>
              <w:spacing w:before="50" w:after="50"/>
            </w:pPr>
            <w:r w:rsidRPr="00BE78CA">
              <w:rPr>
                <w:rFonts w:eastAsia="Calibri"/>
              </w:rPr>
              <w:t>1.A.3.d</w:t>
            </w:r>
          </w:p>
        </w:tc>
        <w:tc>
          <w:tcPr>
            <w:tcW w:w="3238" w:type="dxa"/>
            <w:tcBorders>
              <w:top w:val="single" w:sz="4" w:space="0" w:color="365F91"/>
              <w:bottom w:val="single" w:sz="4" w:space="0" w:color="365F91"/>
            </w:tcBorders>
            <w:shd w:val="clear" w:color="auto" w:fill="FFFFFF"/>
            <w:tcMar>
              <w:top w:w="0" w:type="dxa"/>
              <w:left w:w="57" w:type="dxa"/>
              <w:bottom w:w="0" w:type="dxa"/>
              <w:right w:w="57" w:type="dxa"/>
            </w:tcMar>
          </w:tcPr>
          <w:p w14:paraId="4CCD6941" w14:textId="77777777" w:rsidR="00387C28" w:rsidRPr="00BE78CA" w:rsidRDefault="00387C28" w:rsidP="00E55E06">
            <w:pPr>
              <w:pStyle w:val="TableText"/>
              <w:spacing w:before="50" w:after="50"/>
            </w:pPr>
            <w:r w:rsidRPr="00BE78CA">
              <w:rPr>
                <w:rFonts w:eastAsia="Calibri"/>
              </w:rPr>
              <w:t>Domestic Navigation – Residual Fuel Oil</w:t>
            </w:r>
          </w:p>
        </w:tc>
        <w:tc>
          <w:tcPr>
            <w:tcW w:w="528" w:type="dxa"/>
            <w:tcBorders>
              <w:top w:val="single" w:sz="4" w:space="0" w:color="365F91"/>
              <w:bottom w:val="single" w:sz="4" w:space="0" w:color="365F91"/>
            </w:tcBorders>
            <w:shd w:val="clear" w:color="auto" w:fill="FFFFFF"/>
            <w:tcMar>
              <w:top w:w="0" w:type="dxa"/>
              <w:left w:w="57" w:type="dxa"/>
              <w:bottom w:w="0" w:type="dxa"/>
              <w:right w:w="57" w:type="dxa"/>
            </w:tcMar>
          </w:tcPr>
          <w:p w14:paraId="7F4BC930" w14:textId="77777777" w:rsidR="00387C28" w:rsidRPr="00BE78CA" w:rsidRDefault="00387C28" w:rsidP="006132E1">
            <w:pPr>
              <w:pStyle w:val="TableText"/>
              <w:spacing w:before="50" w:after="50"/>
              <w:jc w:val="center"/>
            </w:pPr>
            <w:r w:rsidRPr="00BE78CA">
              <w:rPr>
                <w:rFonts w:eastAsia="Calibri"/>
              </w:rPr>
              <w:t>CO</w:t>
            </w:r>
            <w:r w:rsidRPr="00BE78CA">
              <w:rPr>
                <w:rFonts w:eastAsia="Calibri"/>
                <w:vertAlign w:val="subscript"/>
              </w:rPr>
              <w:t>2</w:t>
            </w:r>
          </w:p>
        </w:tc>
        <w:tc>
          <w:tcPr>
            <w:tcW w:w="1409" w:type="dxa"/>
            <w:tcBorders>
              <w:top w:val="single" w:sz="4" w:space="0" w:color="365F91"/>
              <w:bottom w:val="single" w:sz="4" w:space="0" w:color="365F91"/>
            </w:tcBorders>
            <w:shd w:val="clear" w:color="auto" w:fill="FFFFFF"/>
            <w:tcMar>
              <w:top w:w="0" w:type="dxa"/>
              <w:left w:w="57" w:type="dxa"/>
              <w:bottom w:w="0" w:type="dxa"/>
              <w:right w:w="57" w:type="dxa"/>
            </w:tcMar>
          </w:tcPr>
          <w:p w14:paraId="197229D4" w14:textId="77777777" w:rsidR="00387C28" w:rsidRPr="00BE78CA" w:rsidRDefault="00387C28" w:rsidP="002B097E">
            <w:pPr>
              <w:pStyle w:val="TableText"/>
              <w:spacing w:before="50" w:after="50"/>
              <w:jc w:val="right"/>
            </w:pPr>
            <w:r w:rsidRPr="00BE78CA">
              <w:rPr>
                <w:rFonts w:eastAsia="Calibri"/>
              </w:rPr>
              <w:t>329.1</w:t>
            </w:r>
          </w:p>
        </w:tc>
        <w:tc>
          <w:tcPr>
            <w:tcW w:w="1290" w:type="dxa"/>
            <w:tcBorders>
              <w:top w:val="single" w:sz="4" w:space="0" w:color="365F91"/>
              <w:bottom w:val="single" w:sz="4" w:space="0" w:color="365F91"/>
            </w:tcBorders>
            <w:shd w:val="clear" w:color="auto" w:fill="FFFFFF"/>
            <w:tcMar>
              <w:top w:w="0" w:type="dxa"/>
              <w:left w:w="57" w:type="dxa"/>
              <w:bottom w:w="0" w:type="dxa"/>
              <w:right w:w="57" w:type="dxa"/>
            </w:tcMar>
          </w:tcPr>
          <w:p w14:paraId="4BBB795D" w14:textId="77777777" w:rsidR="00387C28" w:rsidRPr="00BE78CA" w:rsidRDefault="00387C28" w:rsidP="002B097E">
            <w:pPr>
              <w:pStyle w:val="TableText"/>
              <w:spacing w:before="50" w:after="50"/>
              <w:jc w:val="right"/>
            </w:pPr>
            <w:r w:rsidRPr="00BE78CA">
              <w:rPr>
                <w:rFonts w:eastAsia="Calibri"/>
              </w:rPr>
              <w:t>0.4</w:t>
            </w:r>
          </w:p>
        </w:tc>
        <w:tc>
          <w:tcPr>
            <w:tcW w:w="1233" w:type="dxa"/>
            <w:tcBorders>
              <w:top w:val="single" w:sz="4" w:space="0" w:color="365F91"/>
              <w:bottom w:val="single" w:sz="4" w:space="0" w:color="365F91"/>
            </w:tcBorders>
            <w:shd w:val="clear" w:color="auto" w:fill="FFFFFF"/>
            <w:tcMar>
              <w:top w:w="0" w:type="dxa"/>
              <w:left w:w="57" w:type="dxa"/>
              <w:bottom w:w="0" w:type="dxa"/>
              <w:right w:w="57" w:type="dxa"/>
            </w:tcMar>
          </w:tcPr>
          <w:p w14:paraId="722BCC55" w14:textId="77777777" w:rsidR="00387C28" w:rsidRPr="00BE78CA" w:rsidRDefault="00387C28" w:rsidP="002B097E">
            <w:pPr>
              <w:pStyle w:val="TableText"/>
              <w:spacing w:before="50" w:after="50"/>
              <w:jc w:val="right"/>
            </w:pPr>
            <w:r w:rsidRPr="00BE78CA">
              <w:rPr>
                <w:rFonts w:eastAsia="Calibri"/>
              </w:rPr>
              <w:t>92.4</w:t>
            </w:r>
          </w:p>
        </w:tc>
      </w:tr>
      <w:tr w:rsidR="0077535C" w:rsidRPr="00BE78CA" w14:paraId="2F81AC35" w14:textId="77777777" w:rsidTr="0077535C">
        <w:trPr>
          <w:cantSplit/>
        </w:trPr>
        <w:tc>
          <w:tcPr>
            <w:tcW w:w="796" w:type="dxa"/>
            <w:tcBorders>
              <w:top w:val="single" w:sz="4" w:space="0" w:color="365F91"/>
              <w:left w:val="single" w:sz="4" w:space="0" w:color="FFFFFF"/>
              <w:bottom w:val="single" w:sz="4" w:space="0" w:color="365F91"/>
            </w:tcBorders>
            <w:shd w:val="clear" w:color="auto" w:fill="FFFFFF"/>
            <w:tcMar>
              <w:top w:w="0" w:type="dxa"/>
              <w:left w:w="57" w:type="dxa"/>
              <w:bottom w:w="0" w:type="dxa"/>
              <w:right w:w="57" w:type="dxa"/>
            </w:tcMar>
          </w:tcPr>
          <w:p w14:paraId="739F0A90" w14:textId="77777777" w:rsidR="00387C28" w:rsidRPr="00BE78CA" w:rsidRDefault="00387C28" w:rsidP="00E55E06">
            <w:pPr>
              <w:pStyle w:val="TableText"/>
              <w:spacing w:before="50" w:after="50"/>
            </w:pPr>
            <w:r w:rsidRPr="00BE78CA">
              <w:rPr>
                <w:rFonts w:eastAsia="Calibri"/>
              </w:rPr>
              <w:t>1.A.2.d</w:t>
            </w:r>
          </w:p>
        </w:tc>
        <w:tc>
          <w:tcPr>
            <w:tcW w:w="3238" w:type="dxa"/>
            <w:tcBorders>
              <w:top w:val="single" w:sz="4" w:space="0" w:color="365F91"/>
              <w:bottom w:val="single" w:sz="4" w:space="0" w:color="365F91"/>
            </w:tcBorders>
            <w:shd w:val="clear" w:color="auto" w:fill="FFFFFF"/>
            <w:tcMar>
              <w:top w:w="0" w:type="dxa"/>
              <w:left w:w="57" w:type="dxa"/>
              <w:bottom w:w="0" w:type="dxa"/>
              <w:right w:w="57" w:type="dxa"/>
            </w:tcMar>
          </w:tcPr>
          <w:p w14:paraId="376529B4" w14:textId="77777777" w:rsidR="00387C28" w:rsidRPr="00BE78CA" w:rsidRDefault="00387C28" w:rsidP="00E55E06">
            <w:pPr>
              <w:pStyle w:val="TableText"/>
              <w:spacing w:before="50" w:after="50"/>
            </w:pPr>
            <w:r w:rsidRPr="00BE78CA">
              <w:rPr>
                <w:rFonts w:eastAsia="Calibri"/>
              </w:rPr>
              <w:t>Pulp, Paper and Print – Gaseous Fuels</w:t>
            </w:r>
          </w:p>
        </w:tc>
        <w:tc>
          <w:tcPr>
            <w:tcW w:w="528" w:type="dxa"/>
            <w:tcBorders>
              <w:top w:val="single" w:sz="4" w:space="0" w:color="365F91"/>
              <w:bottom w:val="single" w:sz="4" w:space="0" w:color="365F91"/>
            </w:tcBorders>
            <w:shd w:val="clear" w:color="auto" w:fill="FFFFFF"/>
            <w:tcMar>
              <w:top w:w="0" w:type="dxa"/>
              <w:left w:w="57" w:type="dxa"/>
              <w:bottom w:w="0" w:type="dxa"/>
              <w:right w:w="57" w:type="dxa"/>
            </w:tcMar>
          </w:tcPr>
          <w:p w14:paraId="3EFDADBD" w14:textId="77777777" w:rsidR="00387C28" w:rsidRPr="00BE78CA" w:rsidRDefault="00387C28" w:rsidP="006132E1">
            <w:pPr>
              <w:pStyle w:val="TableText"/>
              <w:spacing w:before="50" w:after="50"/>
              <w:jc w:val="center"/>
            </w:pPr>
            <w:r w:rsidRPr="00BE78CA">
              <w:rPr>
                <w:rFonts w:eastAsia="Calibri"/>
              </w:rPr>
              <w:t>CO</w:t>
            </w:r>
            <w:r w:rsidRPr="00BE78CA">
              <w:rPr>
                <w:rFonts w:eastAsia="Calibri"/>
                <w:vertAlign w:val="subscript"/>
              </w:rPr>
              <w:t>2</w:t>
            </w:r>
          </w:p>
        </w:tc>
        <w:tc>
          <w:tcPr>
            <w:tcW w:w="1409" w:type="dxa"/>
            <w:tcBorders>
              <w:top w:val="single" w:sz="4" w:space="0" w:color="365F91"/>
              <w:bottom w:val="single" w:sz="4" w:space="0" w:color="365F91"/>
            </w:tcBorders>
            <w:shd w:val="clear" w:color="auto" w:fill="FFFFFF"/>
            <w:tcMar>
              <w:top w:w="0" w:type="dxa"/>
              <w:left w:w="57" w:type="dxa"/>
              <w:bottom w:w="0" w:type="dxa"/>
              <w:right w:w="57" w:type="dxa"/>
            </w:tcMar>
          </w:tcPr>
          <w:p w14:paraId="24FF1337" w14:textId="77777777" w:rsidR="00387C28" w:rsidRPr="00BE78CA" w:rsidRDefault="00387C28" w:rsidP="002B097E">
            <w:pPr>
              <w:pStyle w:val="TableText"/>
              <w:spacing w:before="50" w:after="50"/>
              <w:jc w:val="right"/>
            </w:pPr>
            <w:r w:rsidRPr="00BE78CA">
              <w:rPr>
                <w:rFonts w:eastAsia="Calibri"/>
              </w:rPr>
              <w:t>315.7</w:t>
            </w:r>
          </w:p>
        </w:tc>
        <w:tc>
          <w:tcPr>
            <w:tcW w:w="1290" w:type="dxa"/>
            <w:tcBorders>
              <w:top w:val="single" w:sz="4" w:space="0" w:color="365F91"/>
              <w:bottom w:val="single" w:sz="4" w:space="0" w:color="365F91"/>
            </w:tcBorders>
            <w:shd w:val="clear" w:color="auto" w:fill="FFFFFF"/>
            <w:tcMar>
              <w:top w:w="0" w:type="dxa"/>
              <w:left w:w="57" w:type="dxa"/>
              <w:bottom w:w="0" w:type="dxa"/>
              <w:right w:w="57" w:type="dxa"/>
            </w:tcMar>
          </w:tcPr>
          <w:p w14:paraId="6890D981" w14:textId="77777777" w:rsidR="00387C28" w:rsidRPr="00BE78CA" w:rsidRDefault="00387C28" w:rsidP="002B097E">
            <w:pPr>
              <w:pStyle w:val="TableText"/>
              <w:spacing w:before="50" w:after="50"/>
              <w:jc w:val="right"/>
            </w:pPr>
            <w:r w:rsidRPr="00BE78CA">
              <w:rPr>
                <w:rFonts w:eastAsia="Calibri"/>
              </w:rPr>
              <w:t>0.4</w:t>
            </w:r>
          </w:p>
        </w:tc>
        <w:tc>
          <w:tcPr>
            <w:tcW w:w="1233" w:type="dxa"/>
            <w:tcBorders>
              <w:top w:val="single" w:sz="4" w:space="0" w:color="365F91"/>
              <w:bottom w:val="single" w:sz="4" w:space="0" w:color="365F91"/>
            </w:tcBorders>
            <w:shd w:val="clear" w:color="auto" w:fill="FFFFFF"/>
            <w:tcMar>
              <w:top w:w="0" w:type="dxa"/>
              <w:left w:w="57" w:type="dxa"/>
              <w:bottom w:w="0" w:type="dxa"/>
              <w:right w:w="57" w:type="dxa"/>
            </w:tcMar>
          </w:tcPr>
          <w:p w14:paraId="17F5105E" w14:textId="77777777" w:rsidR="00387C28" w:rsidRPr="00BE78CA" w:rsidRDefault="00387C28" w:rsidP="002B097E">
            <w:pPr>
              <w:pStyle w:val="TableText"/>
              <w:spacing w:before="50" w:after="50"/>
              <w:jc w:val="right"/>
            </w:pPr>
            <w:r w:rsidRPr="00BE78CA">
              <w:rPr>
                <w:rFonts w:eastAsia="Calibri"/>
              </w:rPr>
              <w:t>92.8</w:t>
            </w:r>
          </w:p>
        </w:tc>
      </w:tr>
      <w:tr w:rsidR="0077535C" w:rsidRPr="00BE78CA" w14:paraId="652F6C33" w14:textId="77777777" w:rsidTr="0077535C">
        <w:trPr>
          <w:cantSplit/>
        </w:trPr>
        <w:tc>
          <w:tcPr>
            <w:tcW w:w="796" w:type="dxa"/>
            <w:tcBorders>
              <w:top w:val="single" w:sz="4" w:space="0" w:color="365F91"/>
              <w:left w:val="single" w:sz="4" w:space="0" w:color="FFFFFF"/>
              <w:bottom w:val="single" w:sz="4" w:space="0" w:color="365F91"/>
            </w:tcBorders>
            <w:shd w:val="clear" w:color="auto" w:fill="FFFFFF"/>
            <w:tcMar>
              <w:top w:w="0" w:type="dxa"/>
              <w:left w:w="57" w:type="dxa"/>
              <w:bottom w:w="0" w:type="dxa"/>
              <w:right w:w="57" w:type="dxa"/>
            </w:tcMar>
          </w:tcPr>
          <w:p w14:paraId="1CB840BA" w14:textId="77777777" w:rsidR="00387C28" w:rsidRPr="00BE78CA" w:rsidRDefault="00387C28" w:rsidP="00E55E06">
            <w:pPr>
              <w:pStyle w:val="TableText"/>
              <w:spacing w:before="50" w:after="50"/>
            </w:pPr>
            <w:r w:rsidRPr="00BE78CA">
              <w:rPr>
                <w:rFonts w:eastAsia="Calibri"/>
              </w:rPr>
              <w:t>1.A.2.e</w:t>
            </w:r>
          </w:p>
        </w:tc>
        <w:tc>
          <w:tcPr>
            <w:tcW w:w="3238" w:type="dxa"/>
            <w:tcBorders>
              <w:top w:val="single" w:sz="4" w:space="0" w:color="365F91"/>
              <w:bottom w:val="single" w:sz="4" w:space="0" w:color="365F91"/>
            </w:tcBorders>
            <w:shd w:val="clear" w:color="auto" w:fill="FFFFFF"/>
            <w:tcMar>
              <w:top w:w="0" w:type="dxa"/>
              <w:left w:w="57" w:type="dxa"/>
              <w:bottom w:w="0" w:type="dxa"/>
              <w:right w:w="57" w:type="dxa"/>
            </w:tcMar>
          </w:tcPr>
          <w:p w14:paraId="6397E062" w14:textId="66961225" w:rsidR="00387C28" w:rsidRPr="00BE78CA" w:rsidRDefault="00387C28" w:rsidP="00E55E06">
            <w:pPr>
              <w:pStyle w:val="TableText"/>
              <w:spacing w:before="50" w:after="50"/>
            </w:pPr>
            <w:r w:rsidRPr="00BE78CA">
              <w:rPr>
                <w:rFonts w:eastAsia="Calibri"/>
              </w:rPr>
              <w:t>Food Processing, Beverages and Tobacco –</w:t>
            </w:r>
            <w:r w:rsidR="006132E1" w:rsidRPr="00BE78CA">
              <w:rPr>
                <w:rFonts w:eastAsia="Calibri"/>
              </w:rPr>
              <w:t> </w:t>
            </w:r>
            <w:r w:rsidRPr="00BE78CA">
              <w:rPr>
                <w:rFonts w:eastAsia="Calibri"/>
              </w:rPr>
              <w:t>Liquid Fuels</w:t>
            </w:r>
          </w:p>
        </w:tc>
        <w:tc>
          <w:tcPr>
            <w:tcW w:w="528" w:type="dxa"/>
            <w:tcBorders>
              <w:top w:val="single" w:sz="4" w:space="0" w:color="365F91"/>
              <w:bottom w:val="single" w:sz="4" w:space="0" w:color="365F91"/>
            </w:tcBorders>
            <w:shd w:val="clear" w:color="auto" w:fill="FFFFFF"/>
            <w:tcMar>
              <w:top w:w="0" w:type="dxa"/>
              <w:left w:w="57" w:type="dxa"/>
              <w:bottom w:w="0" w:type="dxa"/>
              <w:right w:w="57" w:type="dxa"/>
            </w:tcMar>
          </w:tcPr>
          <w:p w14:paraId="5487EE03" w14:textId="77777777" w:rsidR="00387C28" w:rsidRPr="00BE78CA" w:rsidRDefault="00387C28" w:rsidP="006132E1">
            <w:pPr>
              <w:pStyle w:val="TableText"/>
              <w:spacing w:before="50" w:after="50"/>
              <w:jc w:val="center"/>
            </w:pPr>
            <w:r w:rsidRPr="00BE78CA">
              <w:rPr>
                <w:rFonts w:eastAsia="Calibri"/>
              </w:rPr>
              <w:t>CO</w:t>
            </w:r>
            <w:r w:rsidRPr="00BE78CA">
              <w:rPr>
                <w:rFonts w:eastAsia="Calibri"/>
                <w:vertAlign w:val="subscript"/>
              </w:rPr>
              <w:t>2</w:t>
            </w:r>
          </w:p>
        </w:tc>
        <w:tc>
          <w:tcPr>
            <w:tcW w:w="1409" w:type="dxa"/>
            <w:tcBorders>
              <w:top w:val="single" w:sz="4" w:space="0" w:color="365F91"/>
              <w:bottom w:val="single" w:sz="4" w:space="0" w:color="365F91"/>
            </w:tcBorders>
            <w:shd w:val="clear" w:color="auto" w:fill="FFFFFF"/>
            <w:tcMar>
              <w:top w:w="0" w:type="dxa"/>
              <w:left w:w="57" w:type="dxa"/>
              <w:bottom w:w="0" w:type="dxa"/>
              <w:right w:w="57" w:type="dxa"/>
            </w:tcMar>
          </w:tcPr>
          <w:p w14:paraId="7DC2BDD5" w14:textId="77777777" w:rsidR="00387C28" w:rsidRPr="00BE78CA" w:rsidRDefault="00387C28" w:rsidP="002B097E">
            <w:pPr>
              <w:pStyle w:val="TableText"/>
              <w:spacing w:before="50" w:after="50"/>
              <w:jc w:val="right"/>
            </w:pPr>
            <w:r w:rsidRPr="00BE78CA">
              <w:rPr>
                <w:rFonts w:eastAsia="Calibri"/>
              </w:rPr>
              <w:t>287.7</w:t>
            </w:r>
          </w:p>
        </w:tc>
        <w:tc>
          <w:tcPr>
            <w:tcW w:w="1290" w:type="dxa"/>
            <w:tcBorders>
              <w:top w:val="single" w:sz="4" w:space="0" w:color="365F91"/>
              <w:bottom w:val="single" w:sz="4" w:space="0" w:color="365F91"/>
            </w:tcBorders>
            <w:shd w:val="clear" w:color="auto" w:fill="FFFFFF"/>
            <w:tcMar>
              <w:top w:w="0" w:type="dxa"/>
              <w:left w:w="57" w:type="dxa"/>
              <w:bottom w:w="0" w:type="dxa"/>
              <w:right w:w="57" w:type="dxa"/>
            </w:tcMar>
          </w:tcPr>
          <w:p w14:paraId="32F97EEE" w14:textId="77777777" w:rsidR="00387C28" w:rsidRPr="00BE78CA" w:rsidRDefault="00387C28" w:rsidP="002B097E">
            <w:pPr>
              <w:pStyle w:val="TableText"/>
              <w:spacing w:before="50" w:after="50"/>
              <w:jc w:val="right"/>
            </w:pPr>
            <w:r w:rsidRPr="00BE78CA">
              <w:rPr>
                <w:rFonts w:eastAsia="Calibri"/>
              </w:rPr>
              <w:t>0.3</w:t>
            </w:r>
          </w:p>
        </w:tc>
        <w:tc>
          <w:tcPr>
            <w:tcW w:w="1233" w:type="dxa"/>
            <w:tcBorders>
              <w:top w:val="single" w:sz="4" w:space="0" w:color="365F91"/>
              <w:bottom w:val="single" w:sz="4" w:space="0" w:color="365F91"/>
            </w:tcBorders>
            <w:shd w:val="clear" w:color="auto" w:fill="FFFFFF"/>
            <w:tcMar>
              <w:top w:w="0" w:type="dxa"/>
              <w:left w:w="57" w:type="dxa"/>
              <w:bottom w:w="0" w:type="dxa"/>
              <w:right w:w="57" w:type="dxa"/>
            </w:tcMar>
          </w:tcPr>
          <w:p w14:paraId="28872F54" w14:textId="77777777" w:rsidR="00387C28" w:rsidRPr="00BE78CA" w:rsidRDefault="00387C28" w:rsidP="002B097E">
            <w:pPr>
              <w:pStyle w:val="TableText"/>
              <w:spacing w:before="50" w:after="50"/>
              <w:jc w:val="right"/>
            </w:pPr>
            <w:r w:rsidRPr="00BE78CA">
              <w:rPr>
                <w:rFonts w:eastAsia="Calibri"/>
              </w:rPr>
              <w:t>93.2</w:t>
            </w:r>
          </w:p>
        </w:tc>
      </w:tr>
      <w:tr w:rsidR="0077535C" w:rsidRPr="00BE78CA" w14:paraId="5383035C" w14:textId="77777777" w:rsidTr="0077535C">
        <w:trPr>
          <w:cantSplit/>
        </w:trPr>
        <w:tc>
          <w:tcPr>
            <w:tcW w:w="796" w:type="dxa"/>
            <w:tcBorders>
              <w:top w:val="single" w:sz="4" w:space="0" w:color="365F91"/>
              <w:left w:val="single" w:sz="4" w:space="0" w:color="FFFFFF"/>
              <w:bottom w:val="single" w:sz="4" w:space="0" w:color="365F91"/>
            </w:tcBorders>
            <w:shd w:val="clear" w:color="auto" w:fill="FFFFFF"/>
            <w:tcMar>
              <w:top w:w="0" w:type="dxa"/>
              <w:left w:w="57" w:type="dxa"/>
              <w:bottom w:w="0" w:type="dxa"/>
              <w:right w:w="57" w:type="dxa"/>
            </w:tcMar>
          </w:tcPr>
          <w:p w14:paraId="6756D3B1" w14:textId="77777777" w:rsidR="00387C28" w:rsidRPr="00BE78CA" w:rsidRDefault="00387C28" w:rsidP="00E55E06">
            <w:pPr>
              <w:pStyle w:val="TableText"/>
              <w:spacing w:before="50" w:after="50"/>
            </w:pPr>
            <w:r w:rsidRPr="00BE78CA">
              <w:rPr>
                <w:rFonts w:eastAsia="Calibri"/>
              </w:rPr>
              <w:t>1.B.2.c.1.ii</w:t>
            </w:r>
          </w:p>
        </w:tc>
        <w:tc>
          <w:tcPr>
            <w:tcW w:w="3238" w:type="dxa"/>
            <w:tcBorders>
              <w:top w:val="single" w:sz="4" w:space="0" w:color="365F91"/>
              <w:bottom w:val="single" w:sz="4" w:space="0" w:color="365F91"/>
            </w:tcBorders>
            <w:shd w:val="clear" w:color="auto" w:fill="FFFFFF"/>
            <w:tcMar>
              <w:top w:w="0" w:type="dxa"/>
              <w:left w:w="57" w:type="dxa"/>
              <w:bottom w:w="0" w:type="dxa"/>
              <w:right w:w="57" w:type="dxa"/>
            </w:tcMar>
          </w:tcPr>
          <w:p w14:paraId="09040E1D" w14:textId="77777777" w:rsidR="00387C28" w:rsidRPr="00BE78CA" w:rsidRDefault="00387C28" w:rsidP="00E55E06">
            <w:pPr>
              <w:pStyle w:val="TableText"/>
              <w:spacing w:before="50" w:after="50"/>
            </w:pPr>
            <w:r w:rsidRPr="00BE78CA">
              <w:rPr>
                <w:rFonts w:eastAsia="Calibri"/>
              </w:rPr>
              <w:t>Venting – Gas</w:t>
            </w:r>
          </w:p>
        </w:tc>
        <w:tc>
          <w:tcPr>
            <w:tcW w:w="528" w:type="dxa"/>
            <w:tcBorders>
              <w:top w:val="single" w:sz="4" w:space="0" w:color="365F91"/>
              <w:bottom w:val="single" w:sz="4" w:space="0" w:color="365F91"/>
            </w:tcBorders>
            <w:shd w:val="clear" w:color="auto" w:fill="FFFFFF"/>
            <w:tcMar>
              <w:top w:w="0" w:type="dxa"/>
              <w:left w:w="57" w:type="dxa"/>
              <w:bottom w:w="0" w:type="dxa"/>
              <w:right w:w="57" w:type="dxa"/>
            </w:tcMar>
          </w:tcPr>
          <w:p w14:paraId="7B9E15B8" w14:textId="77777777" w:rsidR="00387C28" w:rsidRPr="00BE78CA" w:rsidRDefault="00387C28" w:rsidP="006132E1">
            <w:pPr>
              <w:pStyle w:val="TableText"/>
              <w:spacing w:before="50" w:after="50"/>
              <w:jc w:val="center"/>
            </w:pPr>
            <w:r w:rsidRPr="00BE78CA">
              <w:rPr>
                <w:rFonts w:eastAsia="Calibri"/>
              </w:rPr>
              <w:t>CO</w:t>
            </w:r>
            <w:r w:rsidRPr="00BE78CA">
              <w:rPr>
                <w:rFonts w:eastAsia="Calibri"/>
                <w:vertAlign w:val="subscript"/>
              </w:rPr>
              <w:t>2</w:t>
            </w:r>
          </w:p>
        </w:tc>
        <w:tc>
          <w:tcPr>
            <w:tcW w:w="1409" w:type="dxa"/>
            <w:tcBorders>
              <w:top w:val="single" w:sz="4" w:space="0" w:color="365F91"/>
              <w:bottom w:val="single" w:sz="4" w:space="0" w:color="365F91"/>
            </w:tcBorders>
            <w:shd w:val="clear" w:color="auto" w:fill="FFFFFF"/>
            <w:tcMar>
              <w:top w:w="0" w:type="dxa"/>
              <w:left w:w="57" w:type="dxa"/>
              <w:bottom w:w="0" w:type="dxa"/>
              <w:right w:w="57" w:type="dxa"/>
            </w:tcMar>
          </w:tcPr>
          <w:p w14:paraId="7AB433F8" w14:textId="77777777" w:rsidR="00387C28" w:rsidRPr="00BE78CA" w:rsidRDefault="00387C28" w:rsidP="002B097E">
            <w:pPr>
              <w:pStyle w:val="TableText"/>
              <w:spacing w:before="50" w:after="50"/>
              <w:jc w:val="right"/>
            </w:pPr>
            <w:r w:rsidRPr="00BE78CA">
              <w:rPr>
                <w:rFonts w:eastAsia="Calibri"/>
              </w:rPr>
              <w:t>283.0</w:t>
            </w:r>
          </w:p>
        </w:tc>
        <w:tc>
          <w:tcPr>
            <w:tcW w:w="1290" w:type="dxa"/>
            <w:tcBorders>
              <w:top w:val="single" w:sz="4" w:space="0" w:color="365F91"/>
              <w:bottom w:val="single" w:sz="4" w:space="0" w:color="365F91"/>
            </w:tcBorders>
            <w:shd w:val="clear" w:color="auto" w:fill="FFFFFF"/>
            <w:tcMar>
              <w:top w:w="0" w:type="dxa"/>
              <w:left w:w="57" w:type="dxa"/>
              <w:bottom w:w="0" w:type="dxa"/>
              <w:right w:w="57" w:type="dxa"/>
            </w:tcMar>
          </w:tcPr>
          <w:p w14:paraId="6E3AA24F" w14:textId="77777777" w:rsidR="00387C28" w:rsidRPr="00BE78CA" w:rsidRDefault="00387C28" w:rsidP="002B097E">
            <w:pPr>
              <w:pStyle w:val="TableText"/>
              <w:spacing w:before="50" w:after="50"/>
              <w:jc w:val="right"/>
            </w:pPr>
            <w:r w:rsidRPr="00BE78CA">
              <w:rPr>
                <w:rFonts w:eastAsia="Calibri"/>
              </w:rPr>
              <w:t>0.3</w:t>
            </w:r>
          </w:p>
        </w:tc>
        <w:tc>
          <w:tcPr>
            <w:tcW w:w="1233" w:type="dxa"/>
            <w:tcBorders>
              <w:top w:val="single" w:sz="4" w:space="0" w:color="365F91"/>
              <w:bottom w:val="single" w:sz="4" w:space="0" w:color="365F91"/>
            </w:tcBorders>
            <w:shd w:val="clear" w:color="auto" w:fill="FFFFFF"/>
            <w:tcMar>
              <w:top w:w="0" w:type="dxa"/>
              <w:left w:w="57" w:type="dxa"/>
              <w:bottom w:w="0" w:type="dxa"/>
              <w:right w:w="57" w:type="dxa"/>
            </w:tcMar>
          </w:tcPr>
          <w:p w14:paraId="5A719C38" w14:textId="77777777" w:rsidR="00387C28" w:rsidRPr="00BE78CA" w:rsidRDefault="00387C28" w:rsidP="002B097E">
            <w:pPr>
              <w:pStyle w:val="TableText"/>
              <w:spacing w:before="50" w:after="50"/>
              <w:jc w:val="right"/>
            </w:pPr>
            <w:r w:rsidRPr="00BE78CA">
              <w:rPr>
                <w:rFonts w:eastAsia="Calibri"/>
              </w:rPr>
              <w:t>93.5</w:t>
            </w:r>
          </w:p>
        </w:tc>
      </w:tr>
      <w:tr w:rsidR="0077535C" w:rsidRPr="00BE78CA" w14:paraId="3D0A9A3E" w14:textId="77777777" w:rsidTr="0077535C">
        <w:trPr>
          <w:cantSplit/>
        </w:trPr>
        <w:tc>
          <w:tcPr>
            <w:tcW w:w="796" w:type="dxa"/>
            <w:tcBorders>
              <w:top w:val="single" w:sz="4" w:space="0" w:color="365F91"/>
              <w:left w:val="single" w:sz="4" w:space="0" w:color="FFFFFF"/>
              <w:bottom w:val="single" w:sz="4" w:space="0" w:color="365F91"/>
            </w:tcBorders>
            <w:shd w:val="clear" w:color="auto" w:fill="FFFFFF"/>
            <w:tcMar>
              <w:top w:w="0" w:type="dxa"/>
              <w:left w:w="57" w:type="dxa"/>
              <w:bottom w:w="0" w:type="dxa"/>
              <w:right w:w="57" w:type="dxa"/>
            </w:tcMar>
          </w:tcPr>
          <w:p w14:paraId="6424B34A" w14:textId="77777777" w:rsidR="00387C28" w:rsidRPr="00BE78CA" w:rsidRDefault="00387C28" w:rsidP="00E55E06">
            <w:pPr>
              <w:pStyle w:val="TableText"/>
              <w:spacing w:before="50" w:after="50"/>
            </w:pPr>
            <w:r w:rsidRPr="00BE78CA">
              <w:rPr>
                <w:rFonts w:eastAsia="Calibri"/>
              </w:rPr>
              <w:t>3.D.1.4</w:t>
            </w:r>
          </w:p>
        </w:tc>
        <w:tc>
          <w:tcPr>
            <w:tcW w:w="3238" w:type="dxa"/>
            <w:tcBorders>
              <w:top w:val="single" w:sz="4" w:space="0" w:color="365F91"/>
              <w:bottom w:val="single" w:sz="4" w:space="0" w:color="365F91"/>
            </w:tcBorders>
            <w:shd w:val="clear" w:color="auto" w:fill="FFFFFF"/>
            <w:tcMar>
              <w:top w:w="0" w:type="dxa"/>
              <w:left w:w="57" w:type="dxa"/>
              <w:bottom w:w="0" w:type="dxa"/>
              <w:right w:w="57" w:type="dxa"/>
            </w:tcMar>
          </w:tcPr>
          <w:p w14:paraId="6EFF1A09" w14:textId="74FB9F9F" w:rsidR="00387C28" w:rsidRPr="00BE78CA" w:rsidRDefault="00387C28" w:rsidP="00E55E06">
            <w:pPr>
              <w:pStyle w:val="TableText"/>
              <w:spacing w:before="50" w:after="50"/>
            </w:pPr>
            <w:r w:rsidRPr="00BE78CA">
              <w:rPr>
                <w:rFonts w:eastAsia="Calibri"/>
              </w:rPr>
              <w:t>Direct N</w:t>
            </w:r>
            <w:r w:rsidRPr="00BE78CA">
              <w:rPr>
                <w:rFonts w:eastAsia="Calibri"/>
                <w:vertAlign w:val="subscript"/>
              </w:rPr>
              <w:t>2</w:t>
            </w:r>
            <w:r w:rsidRPr="00BE78CA">
              <w:rPr>
                <w:rFonts w:eastAsia="Calibri"/>
              </w:rPr>
              <w:t>O Emissions from Managed Soils –</w:t>
            </w:r>
            <w:r w:rsidR="006132E1" w:rsidRPr="00BE78CA">
              <w:rPr>
                <w:rFonts w:eastAsia="Calibri"/>
              </w:rPr>
              <w:t> </w:t>
            </w:r>
            <w:r w:rsidRPr="00BE78CA">
              <w:rPr>
                <w:rFonts w:eastAsia="Calibri"/>
              </w:rPr>
              <w:t>Crop Residues</w:t>
            </w:r>
          </w:p>
        </w:tc>
        <w:tc>
          <w:tcPr>
            <w:tcW w:w="528" w:type="dxa"/>
            <w:tcBorders>
              <w:top w:val="single" w:sz="4" w:space="0" w:color="365F91"/>
              <w:bottom w:val="single" w:sz="4" w:space="0" w:color="365F91"/>
            </w:tcBorders>
            <w:shd w:val="clear" w:color="auto" w:fill="FFFFFF"/>
            <w:tcMar>
              <w:top w:w="0" w:type="dxa"/>
              <w:left w:w="57" w:type="dxa"/>
              <w:bottom w:w="0" w:type="dxa"/>
              <w:right w:w="57" w:type="dxa"/>
            </w:tcMar>
          </w:tcPr>
          <w:p w14:paraId="4B96CAA6" w14:textId="77777777" w:rsidR="00387C28" w:rsidRPr="00BE78CA" w:rsidRDefault="00387C28" w:rsidP="006132E1">
            <w:pPr>
              <w:pStyle w:val="TableText"/>
              <w:spacing w:before="50" w:after="50"/>
              <w:jc w:val="center"/>
            </w:pPr>
            <w:r w:rsidRPr="00BE78CA">
              <w:rPr>
                <w:rFonts w:eastAsia="Calibri"/>
              </w:rPr>
              <w:t>N</w:t>
            </w:r>
            <w:r w:rsidRPr="00BE78CA">
              <w:rPr>
                <w:rFonts w:eastAsia="Calibri"/>
                <w:vertAlign w:val="subscript"/>
              </w:rPr>
              <w:t>2</w:t>
            </w:r>
            <w:r w:rsidRPr="00BE78CA">
              <w:rPr>
                <w:rFonts w:eastAsia="Calibri"/>
              </w:rPr>
              <w:t>O</w:t>
            </w:r>
          </w:p>
        </w:tc>
        <w:tc>
          <w:tcPr>
            <w:tcW w:w="1409" w:type="dxa"/>
            <w:tcBorders>
              <w:top w:val="single" w:sz="4" w:space="0" w:color="365F91"/>
              <w:bottom w:val="single" w:sz="4" w:space="0" w:color="365F91"/>
            </w:tcBorders>
            <w:shd w:val="clear" w:color="auto" w:fill="FFFFFF"/>
            <w:tcMar>
              <w:top w:w="0" w:type="dxa"/>
              <w:left w:w="57" w:type="dxa"/>
              <w:bottom w:w="0" w:type="dxa"/>
              <w:right w:w="57" w:type="dxa"/>
            </w:tcMar>
          </w:tcPr>
          <w:p w14:paraId="72E9140C" w14:textId="77777777" w:rsidR="00387C28" w:rsidRPr="00BE78CA" w:rsidRDefault="00387C28" w:rsidP="002B097E">
            <w:pPr>
              <w:pStyle w:val="TableText"/>
              <w:spacing w:before="50" w:after="50"/>
              <w:jc w:val="right"/>
            </w:pPr>
            <w:r w:rsidRPr="00BE78CA">
              <w:rPr>
                <w:rFonts w:eastAsia="Calibri"/>
              </w:rPr>
              <w:t>265.4</w:t>
            </w:r>
          </w:p>
        </w:tc>
        <w:tc>
          <w:tcPr>
            <w:tcW w:w="1290" w:type="dxa"/>
            <w:tcBorders>
              <w:top w:val="single" w:sz="4" w:space="0" w:color="365F91"/>
              <w:bottom w:val="single" w:sz="4" w:space="0" w:color="365F91"/>
            </w:tcBorders>
            <w:shd w:val="clear" w:color="auto" w:fill="FFFFFF"/>
            <w:tcMar>
              <w:top w:w="0" w:type="dxa"/>
              <w:left w:w="57" w:type="dxa"/>
              <w:bottom w:w="0" w:type="dxa"/>
              <w:right w:w="57" w:type="dxa"/>
            </w:tcMar>
          </w:tcPr>
          <w:p w14:paraId="72B31714" w14:textId="77777777" w:rsidR="00387C28" w:rsidRPr="00BE78CA" w:rsidRDefault="00387C28" w:rsidP="002B097E">
            <w:pPr>
              <w:pStyle w:val="TableText"/>
              <w:spacing w:before="50" w:after="50"/>
              <w:jc w:val="right"/>
            </w:pPr>
            <w:r w:rsidRPr="00BE78CA">
              <w:rPr>
                <w:rFonts w:eastAsia="Calibri"/>
              </w:rPr>
              <w:t>0.3</w:t>
            </w:r>
          </w:p>
        </w:tc>
        <w:tc>
          <w:tcPr>
            <w:tcW w:w="1233" w:type="dxa"/>
            <w:tcBorders>
              <w:top w:val="single" w:sz="4" w:space="0" w:color="365F91"/>
              <w:bottom w:val="single" w:sz="4" w:space="0" w:color="365F91"/>
            </w:tcBorders>
            <w:shd w:val="clear" w:color="auto" w:fill="FFFFFF"/>
            <w:tcMar>
              <w:top w:w="0" w:type="dxa"/>
              <w:left w:w="57" w:type="dxa"/>
              <w:bottom w:w="0" w:type="dxa"/>
              <w:right w:w="57" w:type="dxa"/>
            </w:tcMar>
          </w:tcPr>
          <w:p w14:paraId="5B894AE2" w14:textId="77777777" w:rsidR="00387C28" w:rsidRPr="00BE78CA" w:rsidRDefault="00387C28" w:rsidP="002B097E">
            <w:pPr>
              <w:pStyle w:val="TableText"/>
              <w:spacing w:before="50" w:after="50"/>
              <w:jc w:val="right"/>
            </w:pPr>
            <w:r w:rsidRPr="00BE78CA">
              <w:rPr>
                <w:rFonts w:eastAsia="Calibri"/>
              </w:rPr>
              <w:t>93.8</w:t>
            </w:r>
          </w:p>
        </w:tc>
      </w:tr>
      <w:tr w:rsidR="0077535C" w:rsidRPr="00BE78CA" w14:paraId="5F0EE0DE" w14:textId="77777777" w:rsidTr="0077535C">
        <w:trPr>
          <w:cantSplit/>
        </w:trPr>
        <w:tc>
          <w:tcPr>
            <w:tcW w:w="796" w:type="dxa"/>
            <w:tcBorders>
              <w:top w:val="single" w:sz="4" w:space="0" w:color="365F91"/>
              <w:left w:val="single" w:sz="4" w:space="0" w:color="FFFFFF"/>
              <w:bottom w:val="single" w:sz="4" w:space="0" w:color="365F91"/>
            </w:tcBorders>
            <w:shd w:val="clear" w:color="auto" w:fill="FFFFFF"/>
            <w:tcMar>
              <w:top w:w="0" w:type="dxa"/>
              <w:left w:w="57" w:type="dxa"/>
              <w:bottom w:w="0" w:type="dxa"/>
              <w:right w:w="57" w:type="dxa"/>
            </w:tcMar>
          </w:tcPr>
          <w:p w14:paraId="5ACC03B4" w14:textId="77777777" w:rsidR="00387C28" w:rsidRPr="00BE78CA" w:rsidRDefault="00387C28" w:rsidP="00E55E06">
            <w:pPr>
              <w:pStyle w:val="TableText"/>
              <w:spacing w:before="50" w:after="50"/>
            </w:pPr>
            <w:r w:rsidRPr="00BE78CA">
              <w:rPr>
                <w:rFonts w:eastAsia="Calibri"/>
              </w:rPr>
              <w:t>5.D</w:t>
            </w:r>
          </w:p>
        </w:tc>
        <w:tc>
          <w:tcPr>
            <w:tcW w:w="3238" w:type="dxa"/>
            <w:tcBorders>
              <w:top w:val="single" w:sz="4" w:space="0" w:color="365F91"/>
              <w:bottom w:val="single" w:sz="4" w:space="0" w:color="365F91"/>
            </w:tcBorders>
            <w:shd w:val="clear" w:color="auto" w:fill="FFFFFF"/>
            <w:tcMar>
              <w:top w:w="0" w:type="dxa"/>
              <w:left w:w="57" w:type="dxa"/>
              <w:bottom w:w="0" w:type="dxa"/>
              <w:right w:w="57" w:type="dxa"/>
            </w:tcMar>
          </w:tcPr>
          <w:p w14:paraId="5FB6FFA8" w14:textId="77777777" w:rsidR="00387C28" w:rsidRPr="00BE78CA" w:rsidRDefault="00387C28" w:rsidP="00E55E06">
            <w:pPr>
              <w:pStyle w:val="TableText"/>
              <w:spacing w:before="50" w:after="50"/>
            </w:pPr>
            <w:r w:rsidRPr="00BE78CA">
              <w:rPr>
                <w:rFonts w:eastAsia="Calibri"/>
              </w:rPr>
              <w:t>Waste – Wastewater Treatment and Discharge</w:t>
            </w:r>
          </w:p>
        </w:tc>
        <w:tc>
          <w:tcPr>
            <w:tcW w:w="528" w:type="dxa"/>
            <w:tcBorders>
              <w:top w:val="single" w:sz="4" w:space="0" w:color="365F91"/>
              <w:bottom w:val="single" w:sz="4" w:space="0" w:color="365F91"/>
            </w:tcBorders>
            <w:shd w:val="clear" w:color="auto" w:fill="FFFFFF"/>
            <w:tcMar>
              <w:top w:w="0" w:type="dxa"/>
              <w:left w:w="57" w:type="dxa"/>
              <w:bottom w:w="0" w:type="dxa"/>
              <w:right w:w="57" w:type="dxa"/>
            </w:tcMar>
          </w:tcPr>
          <w:p w14:paraId="0A7AC61F" w14:textId="77777777" w:rsidR="00387C28" w:rsidRPr="00BE78CA" w:rsidRDefault="00387C28" w:rsidP="006132E1">
            <w:pPr>
              <w:pStyle w:val="TableText"/>
              <w:spacing w:before="50" w:after="50"/>
              <w:jc w:val="center"/>
            </w:pPr>
            <w:r w:rsidRPr="00BE78CA">
              <w:rPr>
                <w:rFonts w:eastAsia="Calibri"/>
              </w:rPr>
              <w:t>CH</w:t>
            </w:r>
            <w:r w:rsidRPr="00BE78CA">
              <w:rPr>
                <w:rFonts w:eastAsia="Calibri"/>
                <w:vertAlign w:val="subscript"/>
              </w:rPr>
              <w:t>4</w:t>
            </w:r>
          </w:p>
        </w:tc>
        <w:tc>
          <w:tcPr>
            <w:tcW w:w="1409" w:type="dxa"/>
            <w:tcBorders>
              <w:top w:val="single" w:sz="4" w:space="0" w:color="365F91"/>
              <w:bottom w:val="single" w:sz="4" w:space="0" w:color="365F91"/>
            </w:tcBorders>
            <w:shd w:val="clear" w:color="auto" w:fill="FFFFFF"/>
            <w:tcMar>
              <w:top w:w="0" w:type="dxa"/>
              <w:left w:w="57" w:type="dxa"/>
              <w:bottom w:w="0" w:type="dxa"/>
              <w:right w:w="57" w:type="dxa"/>
            </w:tcMar>
          </w:tcPr>
          <w:p w14:paraId="230F50EE" w14:textId="77777777" w:rsidR="00387C28" w:rsidRPr="00BE78CA" w:rsidRDefault="00387C28" w:rsidP="002B097E">
            <w:pPr>
              <w:pStyle w:val="TableText"/>
              <w:spacing w:before="50" w:after="50"/>
              <w:jc w:val="right"/>
            </w:pPr>
            <w:r w:rsidRPr="00BE78CA">
              <w:rPr>
                <w:rFonts w:eastAsia="Calibri"/>
              </w:rPr>
              <w:t>253.6</w:t>
            </w:r>
          </w:p>
        </w:tc>
        <w:tc>
          <w:tcPr>
            <w:tcW w:w="1290" w:type="dxa"/>
            <w:tcBorders>
              <w:top w:val="single" w:sz="4" w:space="0" w:color="365F91"/>
              <w:bottom w:val="single" w:sz="4" w:space="0" w:color="365F91"/>
            </w:tcBorders>
            <w:shd w:val="clear" w:color="auto" w:fill="FFFFFF"/>
            <w:tcMar>
              <w:top w:w="0" w:type="dxa"/>
              <w:left w:w="57" w:type="dxa"/>
              <w:bottom w:w="0" w:type="dxa"/>
              <w:right w:w="57" w:type="dxa"/>
            </w:tcMar>
          </w:tcPr>
          <w:p w14:paraId="1DA080BF" w14:textId="77777777" w:rsidR="00387C28" w:rsidRPr="00BE78CA" w:rsidRDefault="00387C28" w:rsidP="002B097E">
            <w:pPr>
              <w:pStyle w:val="TableText"/>
              <w:spacing w:before="50" w:after="50"/>
              <w:jc w:val="right"/>
            </w:pPr>
            <w:r w:rsidRPr="00BE78CA">
              <w:rPr>
                <w:rFonts w:eastAsia="Calibri"/>
              </w:rPr>
              <w:t>0.3</w:t>
            </w:r>
          </w:p>
        </w:tc>
        <w:tc>
          <w:tcPr>
            <w:tcW w:w="1233" w:type="dxa"/>
            <w:tcBorders>
              <w:top w:val="single" w:sz="4" w:space="0" w:color="365F91"/>
              <w:bottom w:val="single" w:sz="4" w:space="0" w:color="365F91"/>
            </w:tcBorders>
            <w:shd w:val="clear" w:color="auto" w:fill="FFFFFF"/>
            <w:tcMar>
              <w:top w:w="0" w:type="dxa"/>
              <w:left w:w="57" w:type="dxa"/>
              <w:bottom w:w="0" w:type="dxa"/>
              <w:right w:w="57" w:type="dxa"/>
            </w:tcMar>
          </w:tcPr>
          <w:p w14:paraId="3177E166" w14:textId="77777777" w:rsidR="00387C28" w:rsidRPr="00BE78CA" w:rsidRDefault="00387C28" w:rsidP="002B097E">
            <w:pPr>
              <w:pStyle w:val="TableText"/>
              <w:spacing w:before="50" w:after="50"/>
              <w:jc w:val="right"/>
            </w:pPr>
            <w:r w:rsidRPr="00BE78CA">
              <w:rPr>
                <w:rFonts w:eastAsia="Calibri"/>
              </w:rPr>
              <w:t>94.1</w:t>
            </w:r>
          </w:p>
        </w:tc>
      </w:tr>
      <w:tr w:rsidR="0077535C" w:rsidRPr="00BE78CA" w14:paraId="2C8EDE10" w14:textId="77777777" w:rsidTr="0077535C">
        <w:trPr>
          <w:cantSplit/>
        </w:trPr>
        <w:tc>
          <w:tcPr>
            <w:tcW w:w="796" w:type="dxa"/>
            <w:tcBorders>
              <w:top w:val="single" w:sz="4" w:space="0" w:color="365F91"/>
              <w:left w:val="single" w:sz="4" w:space="0" w:color="FFFFFF"/>
              <w:bottom w:val="single" w:sz="4" w:space="0" w:color="365F91"/>
            </w:tcBorders>
            <w:shd w:val="clear" w:color="auto" w:fill="FFFFFF"/>
            <w:tcMar>
              <w:top w:w="0" w:type="dxa"/>
              <w:left w:w="57" w:type="dxa"/>
              <w:bottom w:w="0" w:type="dxa"/>
              <w:right w:w="57" w:type="dxa"/>
            </w:tcMar>
          </w:tcPr>
          <w:p w14:paraId="58D5842E" w14:textId="77777777" w:rsidR="00387C28" w:rsidRPr="00BE78CA" w:rsidRDefault="00387C28" w:rsidP="00E55E06">
            <w:pPr>
              <w:pStyle w:val="TableText"/>
              <w:spacing w:before="50" w:after="50"/>
            </w:pPr>
            <w:r w:rsidRPr="00BE78CA">
              <w:rPr>
                <w:rFonts w:eastAsia="Calibri"/>
              </w:rPr>
              <w:t>1.A.4.b</w:t>
            </w:r>
          </w:p>
        </w:tc>
        <w:tc>
          <w:tcPr>
            <w:tcW w:w="3238" w:type="dxa"/>
            <w:tcBorders>
              <w:top w:val="single" w:sz="4" w:space="0" w:color="365F91"/>
              <w:bottom w:val="single" w:sz="4" w:space="0" w:color="365F91"/>
            </w:tcBorders>
            <w:shd w:val="clear" w:color="auto" w:fill="FFFFFF"/>
            <w:tcMar>
              <w:top w:w="0" w:type="dxa"/>
              <w:left w:w="57" w:type="dxa"/>
              <w:bottom w:w="0" w:type="dxa"/>
              <w:right w:w="57" w:type="dxa"/>
            </w:tcMar>
          </w:tcPr>
          <w:p w14:paraId="123CC942" w14:textId="77777777" w:rsidR="00387C28" w:rsidRPr="00BE78CA" w:rsidRDefault="00387C28" w:rsidP="00E55E06">
            <w:pPr>
              <w:pStyle w:val="TableText"/>
              <w:spacing w:before="50" w:after="50"/>
            </w:pPr>
            <w:r w:rsidRPr="00BE78CA">
              <w:rPr>
                <w:rFonts w:eastAsia="Calibri"/>
              </w:rPr>
              <w:t>Other Sectors – Residential</w:t>
            </w:r>
          </w:p>
        </w:tc>
        <w:tc>
          <w:tcPr>
            <w:tcW w:w="528" w:type="dxa"/>
            <w:tcBorders>
              <w:top w:val="single" w:sz="4" w:space="0" w:color="365F91"/>
              <w:bottom w:val="single" w:sz="4" w:space="0" w:color="365F91"/>
            </w:tcBorders>
            <w:shd w:val="clear" w:color="auto" w:fill="FFFFFF"/>
            <w:tcMar>
              <w:top w:w="0" w:type="dxa"/>
              <w:left w:w="57" w:type="dxa"/>
              <w:bottom w:w="0" w:type="dxa"/>
              <w:right w:w="57" w:type="dxa"/>
            </w:tcMar>
          </w:tcPr>
          <w:p w14:paraId="410195B6" w14:textId="77777777" w:rsidR="00387C28" w:rsidRPr="00BE78CA" w:rsidRDefault="00387C28" w:rsidP="006132E1">
            <w:pPr>
              <w:pStyle w:val="TableText"/>
              <w:spacing w:before="50" w:after="50"/>
              <w:jc w:val="center"/>
            </w:pPr>
            <w:r w:rsidRPr="00BE78CA">
              <w:rPr>
                <w:rFonts w:eastAsia="Calibri"/>
              </w:rPr>
              <w:t>CO</w:t>
            </w:r>
            <w:r w:rsidRPr="00BE78CA">
              <w:rPr>
                <w:rFonts w:eastAsia="Calibri"/>
                <w:vertAlign w:val="subscript"/>
              </w:rPr>
              <w:t>2</w:t>
            </w:r>
          </w:p>
        </w:tc>
        <w:tc>
          <w:tcPr>
            <w:tcW w:w="1409" w:type="dxa"/>
            <w:tcBorders>
              <w:top w:val="single" w:sz="4" w:space="0" w:color="365F91"/>
              <w:bottom w:val="single" w:sz="4" w:space="0" w:color="365F91"/>
            </w:tcBorders>
            <w:shd w:val="clear" w:color="auto" w:fill="FFFFFF"/>
            <w:tcMar>
              <w:top w:w="0" w:type="dxa"/>
              <w:left w:w="57" w:type="dxa"/>
              <w:bottom w:w="0" w:type="dxa"/>
              <w:right w:w="57" w:type="dxa"/>
            </w:tcMar>
          </w:tcPr>
          <w:p w14:paraId="74D92B73" w14:textId="77777777" w:rsidR="00387C28" w:rsidRPr="00BE78CA" w:rsidRDefault="00387C28" w:rsidP="002B097E">
            <w:pPr>
              <w:pStyle w:val="TableText"/>
              <w:spacing w:before="50" w:after="50"/>
              <w:jc w:val="right"/>
            </w:pPr>
            <w:r w:rsidRPr="00BE78CA">
              <w:rPr>
                <w:rFonts w:eastAsia="Calibri"/>
              </w:rPr>
              <w:t>234.3</w:t>
            </w:r>
          </w:p>
        </w:tc>
        <w:tc>
          <w:tcPr>
            <w:tcW w:w="1290" w:type="dxa"/>
            <w:tcBorders>
              <w:top w:val="single" w:sz="4" w:space="0" w:color="365F91"/>
              <w:bottom w:val="single" w:sz="4" w:space="0" w:color="365F91"/>
            </w:tcBorders>
            <w:shd w:val="clear" w:color="auto" w:fill="FFFFFF"/>
            <w:tcMar>
              <w:top w:w="0" w:type="dxa"/>
              <w:left w:w="57" w:type="dxa"/>
              <w:bottom w:w="0" w:type="dxa"/>
              <w:right w:w="57" w:type="dxa"/>
            </w:tcMar>
          </w:tcPr>
          <w:p w14:paraId="4A64CDCB" w14:textId="77777777" w:rsidR="00387C28" w:rsidRPr="00BE78CA" w:rsidRDefault="00387C28" w:rsidP="002B097E">
            <w:pPr>
              <w:pStyle w:val="TableText"/>
              <w:spacing w:before="50" w:after="50"/>
              <w:jc w:val="right"/>
            </w:pPr>
            <w:r w:rsidRPr="00BE78CA">
              <w:rPr>
                <w:rFonts w:eastAsia="Calibri"/>
              </w:rPr>
              <w:t>0.3</w:t>
            </w:r>
          </w:p>
        </w:tc>
        <w:tc>
          <w:tcPr>
            <w:tcW w:w="1233" w:type="dxa"/>
            <w:tcBorders>
              <w:top w:val="single" w:sz="4" w:space="0" w:color="365F91"/>
              <w:bottom w:val="single" w:sz="4" w:space="0" w:color="365F91"/>
            </w:tcBorders>
            <w:shd w:val="clear" w:color="auto" w:fill="FFFFFF"/>
            <w:tcMar>
              <w:top w:w="0" w:type="dxa"/>
              <w:left w:w="57" w:type="dxa"/>
              <w:bottom w:w="0" w:type="dxa"/>
              <w:right w:w="57" w:type="dxa"/>
            </w:tcMar>
          </w:tcPr>
          <w:p w14:paraId="1837B7B2" w14:textId="77777777" w:rsidR="00387C28" w:rsidRPr="00BE78CA" w:rsidRDefault="00387C28" w:rsidP="002B097E">
            <w:pPr>
              <w:pStyle w:val="TableText"/>
              <w:spacing w:before="50" w:after="50"/>
              <w:jc w:val="right"/>
            </w:pPr>
            <w:r w:rsidRPr="00BE78CA">
              <w:rPr>
                <w:rFonts w:eastAsia="Calibri"/>
              </w:rPr>
              <w:t>94.4</w:t>
            </w:r>
          </w:p>
        </w:tc>
      </w:tr>
      <w:tr w:rsidR="0077535C" w:rsidRPr="00BE78CA" w14:paraId="5CAB9B5C" w14:textId="77777777" w:rsidTr="0077535C">
        <w:trPr>
          <w:cantSplit/>
        </w:trPr>
        <w:tc>
          <w:tcPr>
            <w:tcW w:w="796" w:type="dxa"/>
            <w:tcBorders>
              <w:top w:val="single" w:sz="4" w:space="0" w:color="365F91"/>
              <w:left w:val="single" w:sz="4" w:space="0" w:color="FFFFFF"/>
              <w:bottom w:val="single" w:sz="4" w:space="0" w:color="365F91"/>
            </w:tcBorders>
            <w:shd w:val="clear" w:color="auto" w:fill="FFFFFF"/>
            <w:tcMar>
              <w:top w:w="0" w:type="dxa"/>
              <w:left w:w="57" w:type="dxa"/>
              <w:bottom w:w="0" w:type="dxa"/>
              <w:right w:w="57" w:type="dxa"/>
            </w:tcMar>
          </w:tcPr>
          <w:p w14:paraId="7FE9E0B4" w14:textId="77777777" w:rsidR="00387C28" w:rsidRPr="00BE78CA" w:rsidRDefault="00387C28" w:rsidP="00E55E06">
            <w:pPr>
              <w:pStyle w:val="TableText"/>
              <w:spacing w:before="50" w:after="50"/>
            </w:pPr>
            <w:r w:rsidRPr="00BE78CA">
              <w:rPr>
                <w:rFonts w:eastAsia="Calibri"/>
              </w:rPr>
              <w:t>1.A.2.g.viii</w:t>
            </w:r>
          </w:p>
        </w:tc>
        <w:tc>
          <w:tcPr>
            <w:tcW w:w="3238" w:type="dxa"/>
            <w:tcBorders>
              <w:top w:val="single" w:sz="4" w:space="0" w:color="365F91"/>
              <w:bottom w:val="single" w:sz="4" w:space="0" w:color="365F91"/>
            </w:tcBorders>
            <w:shd w:val="clear" w:color="auto" w:fill="FFFFFF"/>
            <w:tcMar>
              <w:top w:w="0" w:type="dxa"/>
              <w:left w:w="57" w:type="dxa"/>
              <w:bottom w:w="0" w:type="dxa"/>
              <w:right w:w="57" w:type="dxa"/>
            </w:tcMar>
          </w:tcPr>
          <w:p w14:paraId="4A5E51E0" w14:textId="77777777" w:rsidR="00387C28" w:rsidRPr="00BE78CA" w:rsidRDefault="00387C28" w:rsidP="00E55E06">
            <w:pPr>
              <w:pStyle w:val="TableText"/>
              <w:spacing w:before="50" w:after="50"/>
            </w:pPr>
            <w:r w:rsidRPr="00BE78CA">
              <w:rPr>
                <w:rFonts w:eastAsia="Calibri"/>
              </w:rPr>
              <w:t>Other (please specify) – Other (please specify)</w:t>
            </w:r>
          </w:p>
        </w:tc>
        <w:tc>
          <w:tcPr>
            <w:tcW w:w="528" w:type="dxa"/>
            <w:tcBorders>
              <w:top w:val="single" w:sz="4" w:space="0" w:color="365F91"/>
              <w:bottom w:val="single" w:sz="4" w:space="0" w:color="365F91"/>
            </w:tcBorders>
            <w:shd w:val="clear" w:color="auto" w:fill="FFFFFF"/>
            <w:tcMar>
              <w:top w:w="0" w:type="dxa"/>
              <w:left w:w="57" w:type="dxa"/>
              <w:bottom w:w="0" w:type="dxa"/>
              <w:right w:w="57" w:type="dxa"/>
            </w:tcMar>
          </w:tcPr>
          <w:p w14:paraId="1F77DB37" w14:textId="77777777" w:rsidR="00387C28" w:rsidRPr="00BE78CA" w:rsidRDefault="00387C28" w:rsidP="006132E1">
            <w:pPr>
              <w:pStyle w:val="TableText"/>
              <w:spacing w:before="50" w:after="50"/>
              <w:jc w:val="center"/>
            </w:pPr>
            <w:r w:rsidRPr="00BE78CA">
              <w:rPr>
                <w:rFonts w:eastAsia="Calibri"/>
              </w:rPr>
              <w:t>CO</w:t>
            </w:r>
            <w:r w:rsidRPr="00BE78CA">
              <w:rPr>
                <w:rFonts w:eastAsia="Calibri"/>
                <w:vertAlign w:val="subscript"/>
              </w:rPr>
              <w:t>2</w:t>
            </w:r>
          </w:p>
        </w:tc>
        <w:tc>
          <w:tcPr>
            <w:tcW w:w="1409" w:type="dxa"/>
            <w:tcBorders>
              <w:top w:val="single" w:sz="4" w:space="0" w:color="365F91"/>
              <w:bottom w:val="single" w:sz="4" w:space="0" w:color="365F91"/>
            </w:tcBorders>
            <w:shd w:val="clear" w:color="auto" w:fill="FFFFFF"/>
            <w:tcMar>
              <w:top w:w="0" w:type="dxa"/>
              <w:left w:w="57" w:type="dxa"/>
              <w:bottom w:w="0" w:type="dxa"/>
              <w:right w:w="57" w:type="dxa"/>
            </w:tcMar>
          </w:tcPr>
          <w:p w14:paraId="5421827A" w14:textId="77777777" w:rsidR="00387C28" w:rsidRPr="00BE78CA" w:rsidRDefault="00387C28" w:rsidP="002B097E">
            <w:pPr>
              <w:pStyle w:val="TableText"/>
              <w:spacing w:before="50" w:after="50"/>
              <w:jc w:val="right"/>
            </w:pPr>
            <w:r w:rsidRPr="00BE78CA">
              <w:rPr>
                <w:rFonts w:eastAsia="Calibri"/>
              </w:rPr>
              <w:t>222.4</w:t>
            </w:r>
          </w:p>
        </w:tc>
        <w:tc>
          <w:tcPr>
            <w:tcW w:w="1290" w:type="dxa"/>
            <w:tcBorders>
              <w:top w:val="single" w:sz="4" w:space="0" w:color="365F91"/>
              <w:bottom w:val="single" w:sz="4" w:space="0" w:color="365F91"/>
            </w:tcBorders>
            <w:shd w:val="clear" w:color="auto" w:fill="FFFFFF"/>
            <w:tcMar>
              <w:top w:w="0" w:type="dxa"/>
              <w:left w:w="57" w:type="dxa"/>
              <w:bottom w:w="0" w:type="dxa"/>
              <w:right w:w="57" w:type="dxa"/>
            </w:tcMar>
          </w:tcPr>
          <w:p w14:paraId="249776B0" w14:textId="77777777" w:rsidR="00387C28" w:rsidRPr="00BE78CA" w:rsidRDefault="00387C28" w:rsidP="002B097E">
            <w:pPr>
              <w:pStyle w:val="TableText"/>
              <w:spacing w:before="50" w:after="50"/>
              <w:jc w:val="right"/>
            </w:pPr>
            <w:r w:rsidRPr="00BE78CA">
              <w:rPr>
                <w:rFonts w:eastAsia="Calibri"/>
              </w:rPr>
              <w:t>0.3</w:t>
            </w:r>
          </w:p>
        </w:tc>
        <w:tc>
          <w:tcPr>
            <w:tcW w:w="1233" w:type="dxa"/>
            <w:tcBorders>
              <w:top w:val="single" w:sz="4" w:space="0" w:color="365F91"/>
              <w:bottom w:val="single" w:sz="4" w:space="0" w:color="365F91"/>
            </w:tcBorders>
            <w:shd w:val="clear" w:color="auto" w:fill="FFFFFF"/>
            <w:tcMar>
              <w:top w:w="0" w:type="dxa"/>
              <w:left w:w="57" w:type="dxa"/>
              <w:bottom w:w="0" w:type="dxa"/>
              <w:right w:w="57" w:type="dxa"/>
            </w:tcMar>
          </w:tcPr>
          <w:p w14:paraId="61B0F4C9" w14:textId="77777777" w:rsidR="00387C28" w:rsidRPr="00BE78CA" w:rsidRDefault="00387C28" w:rsidP="002B097E">
            <w:pPr>
              <w:pStyle w:val="TableText"/>
              <w:spacing w:before="50" w:after="50"/>
              <w:jc w:val="right"/>
            </w:pPr>
            <w:r w:rsidRPr="00BE78CA">
              <w:rPr>
                <w:rFonts w:eastAsia="Calibri"/>
              </w:rPr>
              <w:t>94.7</w:t>
            </w:r>
          </w:p>
        </w:tc>
      </w:tr>
      <w:tr w:rsidR="0077535C" w:rsidRPr="00BE78CA" w14:paraId="74A6494B" w14:textId="77777777" w:rsidTr="0077535C">
        <w:trPr>
          <w:cantSplit/>
        </w:trPr>
        <w:tc>
          <w:tcPr>
            <w:tcW w:w="796" w:type="dxa"/>
            <w:tcBorders>
              <w:top w:val="single" w:sz="4" w:space="0" w:color="365F91"/>
              <w:left w:val="single" w:sz="4" w:space="0" w:color="FFFFFF"/>
              <w:bottom w:val="single" w:sz="4" w:space="0" w:color="365F91"/>
            </w:tcBorders>
            <w:shd w:val="clear" w:color="auto" w:fill="FFFFFF"/>
            <w:tcMar>
              <w:top w:w="0" w:type="dxa"/>
              <w:left w:w="57" w:type="dxa"/>
              <w:bottom w:w="0" w:type="dxa"/>
              <w:right w:w="57" w:type="dxa"/>
            </w:tcMar>
          </w:tcPr>
          <w:p w14:paraId="3E73F82E" w14:textId="77777777" w:rsidR="00387C28" w:rsidRPr="00BE78CA" w:rsidRDefault="00387C28" w:rsidP="00E55E06">
            <w:pPr>
              <w:pStyle w:val="TableText"/>
              <w:spacing w:before="50" w:after="50"/>
            </w:pPr>
            <w:r w:rsidRPr="00BE78CA">
              <w:rPr>
                <w:rFonts w:eastAsia="Calibri"/>
              </w:rPr>
              <w:t>1.A.1.b</w:t>
            </w:r>
          </w:p>
        </w:tc>
        <w:tc>
          <w:tcPr>
            <w:tcW w:w="3238" w:type="dxa"/>
            <w:tcBorders>
              <w:top w:val="single" w:sz="4" w:space="0" w:color="365F91"/>
              <w:bottom w:val="single" w:sz="4" w:space="0" w:color="365F91"/>
            </w:tcBorders>
            <w:shd w:val="clear" w:color="auto" w:fill="FFFFFF"/>
            <w:tcMar>
              <w:top w:w="0" w:type="dxa"/>
              <w:left w:w="57" w:type="dxa"/>
              <w:bottom w:w="0" w:type="dxa"/>
              <w:right w:w="57" w:type="dxa"/>
            </w:tcMar>
          </w:tcPr>
          <w:p w14:paraId="0204DBCD" w14:textId="77777777" w:rsidR="00387C28" w:rsidRPr="00BE78CA" w:rsidRDefault="00387C28" w:rsidP="00E55E06">
            <w:pPr>
              <w:pStyle w:val="TableText"/>
              <w:spacing w:before="50" w:after="50"/>
            </w:pPr>
            <w:r w:rsidRPr="00BE78CA">
              <w:rPr>
                <w:rFonts w:eastAsia="Calibri"/>
              </w:rPr>
              <w:t>Petroleum Refining – Gaseous Fuels</w:t>
            </w:r>
          </w:p>
        </w:tc>
        <w:tc>
          <w:tcPr>
            <w:tcW w:w="528" w:type="dxa"/>
            <w:tcBorders>
              <w:top w:val="single" w:sz="4" w:space="0" w:color="365F91"/>
              <w:bottom w:val="single" w:sz="4" w:space="0" w:color="365F91"/>
            </w:tcBorders>
            <w:shd w:val="clear" w:color="auto" w:fill="FFFFFF"/>
            <w:tcMar>
              <w:top w:w="0" w:type="dxa"/>
              <w:left w:w="57" w:type="dxa"/>
              <w:bottom w:w="0" w:type="dxa"/>
              <w:right w:w="57" w:type="dxa"/>
            </w:tcMar>
          </w:tcPr>
          <w:p w14:paraId="0F70E7D8" w14:textId="77777777" w:rsidR="00387C28" w:rsidRPr="00BE78CA" w:rsidRDefault="00387C28" w:rsidP="006132E1">
            <w:pPr>
              <w:pStyle w:val="TableText"/>
              <w:spacing w:before="50" w:after="50"/>
              <w:jc w:val="center"/>
            </w:pPr>
            <w:r w:rsidRPr="00BE78CA">
              <w:rPr>
                <w:rFonts w:eastAsia="Calibri"/>
              </w:rPr>
              <w:t>CO</w:t>
            </w:r>
            <w:r w:rsidRPr="00BE78CA">
              <w:rPr>
                <w:rFonts w:eastAsia="Calibri"/>
                <w:vertAlign w:val="subscript"/>
              </w:rPr>
              <w:t>2</w:t>
            </w:r>
          </w:p>
        </w:tc>
        <w:tc>
          <w:tcPr>
            <w:tcW w:w="1409" w:type="dxa"/>
            <w:tcBorders>
              <w:top w:val="single" w:sz="4" w:space="0" w:color="365F91"/>
              <w:bottom w:val="single" w:sz="4" w:space="0" w:color="365F91"/>
            </w:tcBorders>
            <w:shd w:val="clear" w:color="auto" w:fill="FFFFFF"/>
            <w:tcMar>
              <w:top w:w="0" w:type="dxa"/>
              <w:left w:w="57" w:type="dxa"/>
              <w:bottom w:w="0" w:type="dxa"/>
              <w:right w:w="57" w:type="dxa"/>
            </w:tcMar>
          </w:tcPr>
          <w:p w14:paraId="797B0EED" w14:textId="77777777" w:rsidR="00387C28" w:rsidRPr="00BE78CA" w:rsidRDefault="00387C28" w:rsidP="002B097E">
            <w:pPr>
              <w:pStyle w:val="TableText"/>
              <w:spacing w:before="50" w:after="50"/>
              <w:jc w:val="right"/>
            </w:pPr>
            <w:r w:rsidRPr="00BE78CA">
              <w:rPr>
                <w:rFonts w:eastAsia="Calibri"/>
              </w:rPr>
              <w:t>217.9</w:t>
            </w:r>
          </w:p>
        </w:tc>
        <w:tc>
          <w:tcPr>
            <w:tcW w:w="1290" w:type="dxa"/>
            <w:tcBorders>
              <w:top w:val="single" w:sz="4" w:space="0" w:color="365F91"/>
              <w:bottom w:val="single" w:sz="4" w:space="0" w:color="365F91"/>
            </w:tcBorders>
            <w:shd w:val="clear" w:color="auto" w:fill="FFFFFF"/>
            <w:tcMar>
              <w:top w:w="0" w:type="dxa"/>
              <w:left w:w="57" w:type="dxa"/>
              <w:bottom w:w="0" w:type="dxa"/>
              <w:right w:w="57" w:type="dxa"/>
            </w:tcMar>
          </w:tcPr>
          <w:p w14:paraId="00F8998E" w14:textId="77777777" w:rsidR="00387C28" w:rsidRPr="00BE78CA" w:rsidRDefault="00387C28" w:rsidP="002B097E">
            <w:pPr>
              <w:pStyle w:val="TableText"/>
              <w:spacing w:before="50" w:after="50"/>
              <w:jc w:val="right"/>
            </w:pPr>
            <w:r w:rsidRPr="00BE78CA">
              <w:rPr>
                <w:rFonts w:eastAsia="Calibri"/>
              </w:rPr>
              <w:t>0.3</w:t>
            </w:r>
          </w:p>
        </w:tc>
        <w:tc>
          <w:tcPr>
            <w:tcW w:w="1233" w:type="dxa"/>
            <w:tcBorders>
              <w:top w:val="single" w:sz="4" w:space="0" w:color="365F91"/>
              <w:bottom w:val="single" w:sz="4" w:space="0" w:color="365F91"/>
            </w:tcBorders>
            <w:shd w:val="clear" w:color="auto" w:fill="FFFFFF"/>
            <w:tcMar>
              <w:top w:w="0" w:type="dxa"/>
              <w:left w:w="57" w:type="dxa"/>
              <w:bottom w:w="0" w:type="dxa"/>
              <w:right w:w="57" w:type="dxa"/>
            </w:tcMar>
          </w:tcPr>
          <w:p w14:paraId="5C278F03" w14:textId="77777777" w:rsidR="00387C28" w:rsidRPr="00BE78CA" w:rsidRDefault="00387C28" w:rsidP="002B097E">
            <w:pPr>
              <w:pStyle w:val="TableText"/>
              <w:spacing w:before="50" w:after="50"/>
              <w:jc w:val="right"/>
            </w:pPr>
            <w:r w:rsidRPr="00BE78CA">
              <w:rPr>
                <w:rFonts w:eastAsia="Calibri"/>
              </w:rPr>
              <w:t>94.9</w:t>
            </w:r>
          </w:p>
        </w:tc>
      </w:tr>
      <w:tr w:rsidR="0077535C" w:rsidRPr="00BE78CA" w14:paraId="045C24F4" w14:textId="77777777" w:rsidTr="0077535C">
        <w:trPr>
          <w:cantSplit/>
        </w:trPr>
        <w:tc>
          <w:tcPr>
            <w:tcW w:w="796" w:type="dxa"/>
            <w:tcBorders>
              <w:top w:val="single" w:sz="4" w:space="0" w:color="365F91"/>
              <w:left w:val="single" w:sz="4" w:space="0" w:color="FFFFFF"/>
              <w:bottom w:val="single" w:sz="4" w:space="0" w:color="365F91"/>
            </w:tcBorders>
            <w:shd w:val="clear" w:color="auto" w:fill="FFFFFF"/>
            <w:tcMar>
              <w:top w:w="0" w:type="dxa"/>
              <w:left w:w="57" w:type="dxa"/>
              <w:bottom w:w="0" w:type="dxa"/>
              <w:right w:w="57" w:type="dxa"/>
            </w:tcMar>
          </w:tcPr>
          <w:p w14:paraId="2A56BA6F" w14:textId="77777777" w:rsidR="00387C28" w:rsidRPr="00BE78CA" w:rsidRDefault="00387C28" w:rsidP="00E55E06">
            <w:pPr>
              <w:pStyle w:val="TableText"/>
              <w:spacing w:before="50" w:after="50"/>
            </w:pPr>
            <w:r w:rsidRPr="00BE78CA">
              <w:rPr>
                <w:rFonts w:eastAsia="Calibri"/>
              </w:rPr>
              <w:t>1.B.2.b.5</w:t>
            </w:r>
          </w:p>
        </w:tc>
        <w:tc>
          <w:tcPr>
            <w:tcW w:w="3238" w:type="dxa"/>
            <w:tcBorders>
              <w:top w:val="single" w:sz="4" w:space="0" w:color="365F91"/>
              <w:bottom w:val="single" w:sz="4" w:space="0" w:color="365F91"/>
            </w:tcBorders>
            <w:shd w:val="clear" w:color="auto" w:fill="FFFFFF"/>
            <w:tcMar>
              <w:top w:w="0" w:type="dxa"/>
              <w:left w:w="57" w:type="dxa"/>
              <w:bottom w:w="0" w:type="dxa"/>
              <w:right w:w="57" w:type="dxa"/>
            </w:tcMar>
          </w:tcPr>
          <w:p w14:paraId="5C3AF549" w14:textId="77777777" w:rsidR="00387C28" w:rsidRPr="00BE78CA" w:rsidRDefault="00387C28" w:rsidP="00E55E06">
            <w:pPr>
              <w:pStyle w:val="TableText"/>
              <w:spacing w:before="50" w:after="50"/>
            </w:pPr>
            <w:r w:rsidRPr="00BE78CA">
              <w:rPr>
                <w:rFonts w:eastAsia="Calibri"/>
              </w:rPr>
              <w:t>Natural Gas – Distribution</w:t>
            </w:r>
          </w:p>
        </w:tc>
        <w:tc>
          <w:tcPr>
            <w:tcW w:w="528" w:type="dxa"/>
            <w:tcBorders>
              <w:top w:val="single" w:sz="4" w:space="0" w:color="365F91"/>
              <w:bottom w:val="single" w:sz="4" w:space="0" w:color="365F91"/>
            </w:tcBorders>
            <w:shd w:val="clear" w:color="auto" w:fill="FFFFFF"/>
            <w:tcMar>
              <w:top w:w="0" w:type="dxa"/>
              <w:left w:w="57" w:type="dxa"/>
              <w:bottom w:w="0" w:type="dxa"/>
              <w:right w:w="57" w:type="dxa"/>
            </w:tcMar>
          </w:tcPr>
          <w:p w14:paraId="5CE0DDDD" w14:textId="77777777" w:rsidR="00387C28" w:rsidRPr="00BE78CA" w:rsidRDefault="00387C28" w:rsidP="006132E1">
            <w:pPr>
              <w:pStyle w:val="TableText"/>
              <w:spacing w:before="50" w:after="50"/>
              <w:jc w:val="center"/>
            </w:pPr>
            <w:r w:rsidRPr="00BE78CA">
              <w:rPr>
                <w:rFonts w:eastAsia="Calibri"/>
              </w:rPr>
              <w:t>CH</w:t>
            </w:r>
            <w:r w:rsidRPr="00BE78CA">
              <w:rPr>
                <w:rFonts w:eastAsia="Calibri"/>
                <w:vertAlign w:val="subscript"/>
              </w:rPr>
              <w:t>4</w:t>
            </w:r>
          </w:p>
        </w:tc>
        <w:tc>
          <w:tcPr>
            <w:tcW w:w="1409" w:type="dxa"/>
            <w:tcBorders>
              <w:top w:val="single" w:sz="4" w:space="0" w:color="365F91"/>
              <w:bottom w:val="single" w:sz="4" w:space="0" w:color="365F91"/>
            </w:tcBorders>
            <w:shd w:val="clear" w:color="auto" w:fill="FFFFFF"/>
            <w:tcMar>
              <w:top w:w="0" w:type="dxa"/>
              <w:left w:w="57" w:type="dxa"/>
              <w:bottom w:w="0" w:type="dxa"/>
              <w:right w:w="57" w:type="dxa"/>
            </w:tcMar>
          </w:tcPr>
          <w:p w14:paraId="39AC5A27" w14:textId="77777777" w:rsidR="00387C28" w:rsidRPr="00BE78CA" w:rsidRDefault="00387C28" w:rsidP="002B097E">
            <w:pPr>
              <w:pStyle w:val="TableText"/>
              <w:spacing w:before="50" w:after="50"/>
              <w:jc w:val="right"/>
            </w:pPr>
            <w:r w:rsidRPr="00BE78CA">
              <w:rPr>
                <w:rFonts w:eastAsia="Calibri"/>
              </w:rPr>
              <w:t>210.9</w:t>
            </w:r>
          </w:p>
        </w:tc>
        <w:tc>
          <w:tcPr>
            <w:tcW w:w="1290" w:type="dxa"/>
            <w:tcBorders>
              <w:top w:val="single" w:sz="4" w:space="0" w:color="365F91"/>
              <w:bottom w:val="single" w:sz="4" w:space="0" w:color="365F91"/>
            </w:tcBorders>
            <w:shd w:val="clear" w:color="auto" w:fill="FFFFFF"/>
            <w:tcMar>
              <w:top w:w="0" w:type="dxa"/>
              <w:left w:w="57" w:type="dxa"/>
              <w:bottom w:w="0" w:type="dxa"/>
              <w:right w:w="57" w:type="dxa"/>
            </w:tcMar>
          </w:tcPr>
          <w:p w14:paraId="240B4F1B" w14:textId="77777777" w:rsidR="00387C28" w:rsidRPr="00BE78CA" w:rsidRDefault="00387C28" w:rsidP="002B097E">
            <w:pPr>
              <w:pStyle w:val="TableText"/>
              <w:spacing w:before="50" w:after="50"/>
              <w:jc w:val="right"/>
            </w:pPr>
            <w:r w:rsidRPr="00BE78CA">
              <w:rPr>
                <w:rFonts w:eastAsia="Calibri"/>
              </w:rPr>
              <w:t>0.3</w:t>
            </w:r>
          </w:p>
        </w:tc>
        <w:tc>
          <w:tcPr>
            <w:tcW w:w="1233" w:type="dxa"/>
            <w:tcBorders>
              <w:top w:val="single" w:sz="4" w:space="0" w:color="365F91"/>
              <w:bottom w:val="single" w:sz="4" w:space="0" w:color="365F91"/>
            </w:tcBorders>
            <w:shd w:val="clear" w:color="auto" w:fill="FFFFFF"/>
            <w:tcMar>
              <w:top w:w="0" w:type="dxa"/>
              <w:left w:w="57" w:type="dxa"/>
              <w:bottom w:w="0" w:type="dxa"/>
              <w:right w:w="57" w:type="dxa"/>
            </w:tcMar>
          </w:tcPr>
          <w:p w14:paraId="60E6767B" w14:textId="77777777" w:rsidR="00387C28" w:rsidRPr="00BE78CA" w:rsidRDefault="00387C28" w:rsidP="002B097E">
            <w:pPr>
              <w:pStyle w:val="TableText"/>
              <w:spacing w:before="50" w:after="50"/>
              <w:jc w:val="right"/>
            </w:pPr>
            <w:r w:rsidRPr="00BE78CA">
              <w:rPr>
                <w:rFonts w:eastAsia="Calibri"/>
              </w:rPr>
              <w:t>95.2</w:t>
            </w:r>
          </w:p>
        </w:tc>
      </w:tr>
    </w:tbl>
    <w:p w14:paraId="5E025711" w14:textId="6D96B0EF" w:rsidR="00387C28" w:rsidRPr="00BE78CA" w:rsidRDefault="00387C28" w:rsidP="006132E1">
      <w:pPr>
        <w:pStyle w:val="Table"/>
        <w:spacing w:before="240"/>
        <w:ind w:left="1418" w:hanging="1418"/>
      </w:pPr>
      <w:bookmarkStart w:id="128" w:name="_Toc68786398"/>
      <w:r w:rsidRPr="00BE78CA">
        <w:t xml:space="preserve">Table 1.5.3(a &amp; b) </w:t>
      </w:r>
      <w:r w:rsidR="006132E1" w:rsidRPr="00BE78CA">
        <w:tab/>
      </w:r>
      <w:r w:rsidRPr="00BE78CA">
        <w:t>1990–2019 trend assessment for New Zealand’s key category analysis including LULUCF (a) and excluding LULUCF (b)</w:t>
      </w:r>
      <w:bookmarkEnd w:id="128"/>
    </w:p>
    <w:tbl>
      <w:tblPr>
        <w:tblW w:w="8494" w:type="dxa"/>
        <w:tblLayout w:type="fixed"/>
        <w:tblCellMar>
          <w:left w:w="85" w:type="dxa"/>
          <w:right w:w="85" w:type="dxa"/>
        </w:tblCellMar>
        <w:tblLook w:val="0420" w:firstRow="1" w:lastRow="0" w:firstColumn="0" w:lastColumn="0" w:noHBand="0" w:noVBand="1"/>
      </w:tblPr>
      <w:tblGrid>
        <w:gridCol w:w="846"/>
        <w:gridCol w:w="2197"/>
        <w:gridCol w:w="492"/>
        <w:gridCol w:w="991"/>
        <w:gridCol w:w="991"/>
        <w:gridCol w:w="955"/>
        <w:gridCol w:w="1061"/>
        <w:gridCol w:w="961"/>
      </w:tblGrid>
      <w:tr w:rsidR="00387C28" w:rsidRPr="00BE78CA" w14:paraId="2D4217F6" w14:textId="77777777" w:rsidTr="00983EF0">
        <w:trPr>
          <w:cantSplit/>
          <w:tblHeader/>
        </w:trPr>
        <w:tc>
          <w:tcPr>
            <w:tcW w:w="8494" w:type="dxa"/>
            <w:gridSpan w:val="8"/>
            <w:tcBorders>
              <w:top w:val="single" w:sz="4" w:space="0" w:color="365F91"/>
            </w:tcBorders>
            <w:shd w:val="clear" w:color="auto" w:fill="365F91"/>
            <w:tcMar>
              <w:top w:w="0" w:type="dxa"/>
              <w:left w:w="85" w:type="dxa"/>
              <w:bottom w:w="0" w:type="dxa"/>
              <w:right w:w="85" w:type="dxa"/>
            </w:tcMar>
            <w:vAlign w:val="center"/>
          </w:tcPr>
          <w:p w14:paraId="1AD30A62" w14:textId="77777777" w:rsidR="00387C28" w:rsidRPr="00BE78CA" w:rsidRDefault="00387C28" w:rsidP="00834B58">
            <w:pPr>
              <w:pStyle w:val="TableTextBold"/>
              <w:keepNext/>
              <w:rPr>
                <w:rFonts w:eastAsia="Calibri" w:cs="Calibri"/>
                <w:b w:val="0"/>
                <w:noProof w:val="0"/>
                <w:color w:val="FFFFFF" w:themeColor="background1"/>
                <w:szCs w:val="16"/>
              </w:rPr>
            </w:pPr>
            <w:r w:rsidRPr="00BE78CA">
              <w:rPr>
                <w:noProof w:val="0"/>
                <w:color w:val="FFFFFF" w:themeColor="background1"/>
              </w:rPr>
              <w:t>(a) IPCC Tier 1 category trend assessment – including LULUCF (net emissions)</w:t>
            </w:r>
          </w:p>
        </w:tc>
      </w:tr>
      <w:tr w:rsidR="00834B58" w:rsidRPr="00BE78CA" w14:paraId="4197F73F" w14:textId="77777777" w:rsidTr="00983EF0">
        <w:trPr>
          <w:cantSplit/>
          <w:tblHeader/>
        </w:trPr>
        <w:tc>
          <w:tcPr>
            <w:tcW w:w="846" w:type="dxa"/>
            <w:tcBorders>
              <w:bottom w:val="single" w:sz="4" w:space="0" w:color="365F91"/>
            </w:tcBorders>
            <w:shd w:val="clear" w:color="auto" w:fill="365F91"/>
            <w:tcMar>
              <w:top w:w="0" w:type="dxa"/>
              <w:left w:w="85" w:type="dxa"/>
              <w:bottom w:w="0" w:type="dxa"/>
              <w:right w:w="85" w:type="dxa"/>
            </w:tcMar>
            <w:vAlign w:val="bottom"/>
          </w:tcPr>
          <w:p w14:paraId="5B9E0159" w14:textId="77777777" w:rsidR="00387C28" w:rsidRPr="00BE78CA" w:rsidRDefault="00387C28" w:rsidP="00834B58">
            <w:pPr>
              <w:pStyle w:val="TableTextBold"/>
              <w:keepNext/>
              <w:spacing w:before="0"/>
              <w:rPr>
                <w:noProof w:val="0"/>
                <w:color w:val="FFFFFF" w:themeColor="background1"/>
              </w:rPr>
            </w:pPr>
            <w:r w:rsidRPr="00BE78CA">
              <w:rPr>
                <w:rFonts w:eastAsia="Calibri"/>
                <w:noProof w:val="0"/>
                <w:color w:val="FFFFFF" w:themeColor="background1"/>
              </w:rPr>
              <w:t>CRF category code</w:t>
            </w:r>
          </w:p>
        </w:tc>
        <w:tc>
          <w:tcPr>
            <w:tcW w:w="2197" w:type="dxa"/>
            <w:tcBorders>
              <w:bottom w:val="single" w:sz="4" w:space="0" w:color="365F91"/>
            </w:tcBorders>
            <w:shd w:val="clear" w:color="auto" w:fill="365F91"/>
            <w:tcMar>
              <w:top w:w="0" w:type="dxa"/>
              <w:left w:w="85" w:type="dxa"/>
              <w:bottom w:w="0" w:type="dxa"/>
              <w:right w:w="85" w:type="dxa"/>
            </w:tcMar>
            <w:vAlign w:val="bottom"/>
          </w:tcPr>
          <w:p w14:paraId="57A68A06" w14:textId="77777777" w:rsidR="00387C28" w:rsidRPr="00BE78CA" w:rsidRDefault="00387C28" w:rsidP="00834B58">
            <w:pPr>
              <w:pStyle w:val="TableTextBold"/>
              <w:keepNext/>
              <w:spacing w:before="0"/>
              <w:rPr>
                <w:noProof w:val="0"/>
                <w:color w:val="FFFFFF" w:themeColor="background1"/>
              </w:rPr>
            </w:pPr>
            <w:r w:rsidRPr="00BE78CA">
              <w:rPr>
                <w:rFonts w:eastAsia="Calibri"/>
                <w:noProof w:val="0"/>
                <w:color w:val="FFFFFF" w:themeColor="background1"/>
              </w:rPr>
              <w:t>IPCC category</w:t>
            </w:r>
          </w:p>
        </w:tc>
        <w:tc>
          <w:tcPr>
            <w:tcW w:w="492" w:type="dxa"/>
            <w:tcBorders>
              <w:bottom w:val="single" w:sz="4" w:space="0" w:color="365F91"/>
            </w:tcBorders>
            <w:shd w:val="clear" w:color="auto" w:fill="365F91"/>
            <w:tcMar>
              <w:top w:w="0" w:type="dxa"/>
              <w:left w:w="85" w:type="dxa"/>
              <w:bottom w:w="0" w:type="dxa"/>
              <w:right w:w="85" w:type="dxa"/>
            </w:tcMar>
            <w:vAlign w:val="bottom"/>
          </w:tcPr>
          <w:p w14:paraId="2B09E817" w14:textId="77777777" w:rsidR="00387C28" w:rsidRPr="00BE78CA" w:rsidRDefault="00387C28" w:rsidP="00834B58">
            <w:pPr>
              <w:pStyle w:val="TableTextBold"/>
              <w:keepNext/>
              <w:spacing w:before="0"/>
              <w:rPr>
                <w:noProof w:val="0"/>
                <w:color w:val="FFFFFF" w:themeColor="background1"/>
              </w:rPr>
            </w:pPr>
            <w:r w:rsidRPr="00BE78CA">
              <w:rPr>
                <w:rFonts w:eastAsia="Calibri"/>
                <w:noProof w:val="0"/>
                <w:color w:val="FFFFFF" w:themeColor="background1"/>
              </w:rPr>
              <w:t>Gas</w:t>
            </w:r>
          </w:p>
        </w:tc>
        <w:tc>
          <w:tcPr>
            <w:tcW w:w="991" w:type="dxa"/>
            <w:tcBorders>
              <w:bottom w:val="single" w:sz="4" w:space="0" w:color="365F91"/>
            </w:tcBorders>
            <w:shd w:val="clear" w:color="auto" w:fill="365F91"/>
            <w:tcMar>
              <w:top w:w="0" w:type="dxa"/>
              <w:left w:w="85" w:type="dxa"/>
              <w:bottom w:w="0" w:type="dxa"/>
              <w:right w:w="85" w:type="dxa"/>
            </w:tcMar>
            <w:vAlign w:val="bottom"/>
          </w:tcPr>
          <w:p w14:paraId="36198104" w14:textId="538D9A8C" w:rsidR="00387C28" w:rsidRPr="00BE78CA" w:rsidRDefault="00387C28" w:rsidP="00834B58">
            <w:pPr>
              <w:pStyle w:val="TableTextBold"/>
              <w:keepNext/>
              <w:spacing w:before="0"/>
              <w:jc w:val="right"/>
              <w:rPr>
                <w:noProof w:val="0"/>
                <w:color w:val="FFFFFF" w:themeColor="background1"/>
              </w:rPr>
            </w:pPr>
            <w:r w:rsidRPr="00BE78CA">
              <w:rPr>
                <w:rFonts w:eastAsia="Calibri"/>
                <w:noProof w:val="0"/>
                <w:color w:val="FFFFFF" w:themeColor="background1"/>
              </w:rPr>
              <w:t>1990 estimate (kt</w:t>
            </w:r>
            <w:r w:rsidR="00B326C1" w:rsidRPr="00BE78CA">
              <w:rPr>
                <w:rFonts w:eastAsia="Calibri"/>
                <w:noProof w:val="0"/>
                <w:color w:val="FFFFFF" w:themeColor="background1"/>
              </w:rPr>
              <w:t> </w:t>
            </w:r>
            <w:r w:rsidRPr="00BE78CA">
              <w:rPr>
                <w:rFonts w:eastAsia="Calibri"/>
                <w:noProof w:val="0"/>
                <w:color w:val="FFFFFF" w:themeColor="background1"/>
              </w:rPr>
              <w:t>CO</w:t>
            </w:r>
            <w:r w:rsidRPr="00BE78CA">
              <w:rPr>
                <w:rFonts w:eastAsia="Calibri"/>
                <w:noProof w:val="0"/>
                <w:color w:val="FFFFFF" w:themeColor="background1"/>
                <w:vertAlign w:val="subscript"/>
              </w:rPr>
              <w:t>2</w:t>
            </w:r>
            <w:r w:rsidRPr="00BE78CA">
              <w:rPr>
                <w:rFonts w:eastAsia="Calibri"/>
                <w:noProof w:val="0"/>
                <w:color w:val="FFFFFF" w:themeColor="background1"/>
              </w:rPr>
              <w:t>-equivalent)</w:t>
            </w:r>
          </w:p>
        </w:tc>
        <w:tc>
          <w:tcPr>
            <w:tcW w:w="991" w:type="dxa"/>
            <w:tcBorders>
              <w:bottom w:val="single" w:sz="4" w:space="0" w:color="365F91"/>
            </w:tcBorders>
            <w:shd w:val="clear" w:color="auto" w:fill="365F91"/>
            <w:tcMar>
              <w:top w:w="0" w:type="dxa"/>
              <w:left w:w="85" w:type="dxa"/>
              <w:bottom w:w="0" w:type="dxa"/>
              <w:right w:w="85" w:type="dxa"/>
            </w:tcMar>
            <w:vAlign w:val="bottom"/>
          </w:tcPr>
          <w:p w14:paraId="0B7734F2" w14:textId="0AE2C380" w:rsidR="00387C28" w:rsidRPr="00BE78CA" w:rsidRDefault="00387C28" w:rsidP="00834B58">
            <w:pPr>
              <w:pStyle w:val="TableTextBold"/>
              <w:keepNext/>
              <w:spacing w:before="0"/>
              <w:jc w:val="right"/>
              <w:rPr>
                <w:noProof w:val="0"/>
                <w:color w:val="FFFFFF" w:themeColor="background1"/>
              </w:rPr>
            </w:pPr>
            <w:r w:rsidRPr="00BE78CA">
              <w:rPr>
                <w:rFonts w:eastAsia="Calibri"/>
                <w:noProof w:val="0"/>
                <w:color w:val="FFFFFF" w:themeColor="background1"/>
              </w:rPr>
              <w:t>2019 estimate (kt</w:t>
            </w:r>
            <w:r w:rsidR="00B326C1" w:rsidRPr="00BE78CA">
              <w:rPr>
                <w:rFonts w:eastAsia="Calibri"/>
                <w:noProof w:val="0"/>
                <w:color w:val="FFFFFF" w:themeColor="background1"/>
              </w:rPr>
              <w:t> </w:t>
            </w:r>
            <w:r w:rsidRPr="00BE78CA">
              <w:rPr>
                <w:rFonts w:eastAsia="Calibri"/>
                <w:noProof w:val="0"/>
                <w:color w:val="FFFFFF" w:themeColor="background1"/>
              </w:rPr>
              <w:t>CO</w:t>
            </w:r>
            <w:r w:rsidRPr="00BE78CA">
              <w:rPr>
                <w:rFonts w:eastAsia="Calibri"/>
                <w:noProof w:val="0"/>
                <w:color w:val="FFFFFF" w:themeColor="background1"/>
                <w:vertAlign w:val="subscript"/>
              </w:rPr>
              <w:t>2</w:t>
            </w:r>
            <w:r w:rsidRPr="00BE78CA">
              <w:rPr>
                <w:rFonts w:eastAsia="Calibri"/>
                <w:noProof w:val="0"/>
                <w:color w:val="FFFFFF" w:themeColor="background1"/>
              </w:rPr>
              <w:t>-equivalent)</w:t>
            </w:r>
          </w:p>
        </w:tc>
        <w:tc>
          <w:tcPr>
            <w:tcW w:w="955" w:type="dxa"/>
            <w:tcBorders>
              <w:bottom w:val="single" w:sz="4" w:space="0" w:color="365F91"/>
            </w:tcBorders>
            <w:shd w:val="clear" w:color="auto" w:fill="365F91"/>
            <w:tcMar>
              <w:top w:w="0" w:type="dxa"/>
              <w:left w:w="85" w:type="dxa"/>
              <w:bottom w:w="0" w:type="dxa"/>
              <w:right w:w="85" w:type="dxa"/>
            </w:tcMar>
            <w:vAlign w:val="bottom"/>
          </w:tcPr>
          <w:p w14:paraId="7736EE1E" w14:textId="77777777" w:rsidR="00387C28" w:rsidRPr="00BE78CA" w:rsidRDefault="00387C28" w:rsidP="00834B58">
            <w:pPr>
              <w:pStyle w:val="TableTextBold"/>
              <w:keepNext/>
              <w:spacing w:before="0"/>
              <w:jc w:val="right"/>
              <w:rPr>
                <w:noProof w:val="0"/>
                <w:color w:val="FFFFFF" w:themeColor="background1"/>
              </w:rPr>
            </w:pPr>
            <w:r w:rsidRPr="00BE78CA">
              <w:rPr>
                <w:rFonts w:eastAsia="Calibri"/>
                <w:noProof w:val="0"/>
                <w:color w:val="FFFFFF" w:themeColor="background1"/>
              </w:rPr>
              <w:t>Trend assessment</w:t>
            </w:r>
          </w:p>
        </w:tc>
        <w:tc>
          <w:tcPr>
            <w:tcW w:w="1061" w:type="dxa"/>
            <w:tcBorders>
              <w:bottom w:val="single" w:sz="4" w:space="0" w:color="365F91"/>
            </w:tcBorders>
            <w:shd w:val="clear" w:color="auto" w:fill="365F91"/>
            <w:tcMar>
              <w:top w:w="0" w:type="dxa"/>
              <w:left w:w="85" w:type="dxa"/>
              <w:bottom w:w="0" w:type="dxa"/>
              <w:right w:w="85" w:type="dxa"/>
            </w:tcMar>
            <w:vAlign w:val="bottom"/>
          </w:tcPr>
          <w:p w14:paraId="1159FCAC" w14:textId="77777777" w:rsidR="00387C28" w:rsidRPr="00BE78CA" w:rsidRDefault="00387C28" w:rsidP="00834B58">
            <w:pPr>
              <w:pStyle w:val="TableTextBold"/>
              <w:keepNext/>
              <w:spacing w:before="0"/>
              <w:jc w:val="right"/>
              <w:rPr>
                <w:noProof w:val="0"/>
                <w:color w:val="FFFFFF" w:themeColor="background1"/>
              </w:rPr>
            </w:pPr>
            <w:r w:rsidRPr="00BE78CA">
              <w:rPr>
                <w:rFonts w:eastAsia="Calibri"/>
                <w:noProof w:val="0"/>
                <w:color w:val="FFFFFF" w:themeColor="background1"/>
              </w:rPr>
              <w:t>Absolute contribution to trend (%)</w:t>
            </w:r>
          </w:p>
        </w:tc>
        <w:tc>
          <w:tcPr>
            <w:tcW w:w="961" w:type="dxa"/>
            <w:tcBorders>
              <w:bottom w:val="single" w:sz="4" w:space="0" w:color="365F91"/>
            </w:tcBorders>
            <w:shd w:val="clear" w:color="auto" w:fill="365F91"/>
            <w:tcMar>
              <w:top w:w="0" w:type="dxa"/>
              <w:left w:w="85" w:type="dxa"/>
              <w:bottom w:w="0" w:type="dxa"/>
              <w:right w:w="85" w:type="dxa"/>
            </w:tcMar>
            <w:vAlign w:val="bottom"/>
          </w:tcPr>
          <w:p w14:paraId="443F0B0E" w14:textId="77777777" w:rsidR="00387C28" w:rsidRPr="00BE78CA" w:rsidRDefault="00387C28" w:rsidP="00834B58">
            <w:pPr>
              <w:pStyle w:val="TableTextBold"/>
              <w:keepNext/>
              <w:spacing w:before="0"/>
              <w:jc w:val="right"/>
              <w:rPr>
                <w:noProof w:val="0"/>
                <w:color w:val="FFFFFF" w:themeColor="background1"/>
              </w:rPr>
            </w:pPr>
            <w:r w:rsidRPr="00BE78CA">
              <w:rPr>
                <w:rFonts w:eastAsia="Calibri"/>
                <w:noProof w:val="0"/>
                <w:color w:val="FFFFFF" w:themeColor="background1"/>
              </w:rPr>
              <w:t>Absolute cumulative total (%)</w:t>
            </w:r>
          </w:p>
        </w:tc>
      </w:tr>
      <w:tr w:rsidR="00834B58" w:rsidRPr="00BE78CA" w14:paraId="7AD8E326" w14:textId="77777777" w:rsidTr="00983EF0">
        <w:trPr>
          <w:cantSplit/>
        </w:trPr>
        <w:tc>
          <w:tcPr>
            <w:tcW w:w="846" w:type="dxa"/>
            <w:tcBorders>
              <w:top w:val="single" w:sz="4" w:space="0" w:color="365F91"/>
              <w:left w:val="single" w:sz="4" w:space="0" w:color="FFFFFF"/>
              <w:bottom w:val="single" w:sz="4" w:space="0" w:color="365F91"/>
            </w:tcBorders>
            <w:shd w:val="clear" w:color="auto" w:fill="FFFFFF"/>
            <w:tcMar>
              <w:top w:w="0" w:type="dxa"/>
              <w:left w:w="85" w:type="dxa"/>
              <w:bottom w:w="0" w:type="dxa"/>
              <w:right w:w="85" w:type="dxa"/>
            </w:tcMar>
          </w:tcPr>
          <w:p w14:paraId="7DF4F995" w14:textId="77777777" w:rsidR="00387C28" w:rsidRPr="00BE78CA" w:rsidRDefault="00387C28" w:rsidP="00A37132">
            <w:pPr>
              <w:pStyle w:val="TableText"/>
              <w:keepNext/>
              <w:spacing w:before="50" w:after="50"/>
              <w:rPr>
                <w:rFonts w:cs="Calibri"/>
                <w:szCs w:val="16"/>
              </w:rPr>
            </w:pPr>
            <w:r w:rsidRPr="00BE78CA">
              <w:rPr>
                <w:rFonts w:eastAsia="Calibri" w:cs="Calibri"/>
                <w:szCs w:val="16"/>
              </w:rPr>
              <w:t>4.A.1</w:t>
            </w:r>
          </w:p>
        </w:tc>
        <w:tc>
          <w:tcPr>
            <w:tcW w:w="2197" w:type="dxa"/>
            <w:tcBorders>
              <w:top w:val="single" w:sz="4" w:space="0" w:color="365F91"/>
              <w:bottom w:val="single" w:sz="4" w:space="0" w:color="365F91"/>
            </w:tcBorders>
            <w:shd w:val="clear" w:color="auto" w:fill="FFFFFF"/>
            <w:tcMar>
              <w:top w:w="0" w:type="dxa"/>
              <w:left w:w="85" w:type="dxa"/>
              <w:bottom w:w="0" w:type="dxa"/>
              <w:right w:w="85" w:type="dxa"/>
            </w:tcMar>
          </w:tcPr>
          <w:p w14:paraId="3A17D732" w14:textId="77777777" w:rsidR="00387C28" w:rsidRPr="00BE78CA" w:rsidRDefault="00387C28" w:rsidP="00A37132">
            <w:pPr>
              <w:pStyle w:val="TableText"/>
              <w:keepNext/>
              <w:spacing w:before="50" w:after="50"/>
              <w:rPr>
                <w:rFonts w:cs="Calibri"/>
                <w:szCs w:val="16"/>
              </w:rPr>
            </w:pPr>
            <w:r w:rsidRPr="00BE78CA">
              <w:rPr>
                <w:rFonts w:eastAsia="Calibri" w:cs="Calibri"/>
                <w:szCs w:val="16"/>
              </w:rPr>
              <w:t>Forest Land – Forest Land Remaining Forest Land</w:t>
            </w:r>
          </w:p>
        </w:tc>
        <w:tc>
          <w:tcPr>
            <w:tcW w:w="492" w:type="dxa"/>
            <w:tcBorders>
              <w:top w:val="single" w:sz="4" w:space="0" w:color="365F91"/>
              <w:bottom w:val="single" w:sz="4" w:space="0" w:color="365F91"/>
            </w:tcBorders>
            <w:shd w:val="clear" w:color="auto" w:fill="FFFFFF"/>
            <w:tcMar>
              <w:top w:w="0" w:type="dxa"/>
              <w:left w:w="85" w:type="dxa"/>
              <w:bottom w:w="0" w:type="dxa"/>
              <w:right w:w="85" w:type="dxa"/>
            </w:tcMar>
          </w:tcPr>
          <w:p w14:paraId="3FA75BA0" w14:textId="77777777" w:rsidR="00387C28" w:rsidRPr="00BE78CA" w:rsidRDefault="00387C28" w:rsidP="00A37132">
            <w:pPr>
              <w:pStyle w:val="TableText"/>
              <w:keepNext/>
              <w:spacing w:before="50" w:after="50"/>
              <w:jc w:val="center"/>
              <w:rPr>
                <w:rFonts w:cs="Calibri"/>
                <w:szCs w:val="16"/>
              </w:rPr>
            </w:pPr>
            <w:r w:rsidRPr="00BE78CA">
              <w:rPr>
                <w:rFonts w:eastAsia="Calibri" w:cs="Calibri"/>
                <w:szCs w:val="16"/>
              </w:rPr>
              <w:t>CO</w:t>
            </w:r>
            <w:r w:rsidRPr="00BE78CA">
              <w:rPr>
                <w:rFonts w:eastAsia="Calibri" w:cs="Calibri"/>
                <w:szCs w:val="16"/>
                <w:vertAlign w:val="subscript"/>
              </w:rPr>
              <w:t>2</w:t>
            </w:r>
          </w:p>
        </w:tc>
        <w:tc>
          <w:tcPr>
            <w:tcW w:w="991" w:type="dxa"/>
            <w:tcBorders>
              <w:top w:val="single" w:sz="4" w:space="0" w:color="365F91"/>
              <w:bottom w:val="single" w:sz="4" w:space="0" w:color="365F91"/>
            </w:tcBorders>
            <w:shd w:val="clear" w:color="auto" w:fill="FFFFFF"/>
            <w:tcMar>
              <w:top w:w="0" w:type="dxa"/>
              <w:left w:w="85" w:type="dxa"/>
              <w:bottom w:w="0" w:type="dxa"/>
              <w:right w:w="85" w:type="dxa"/>
            </w:tcMar>
          </w:tcPr>
          <w:p w14:paraId="1272E763" w14:textId="77777777" w:rsidR="00387C28" w:rsidRPr="00BE78CA" w:rsidRDefault="00387C28" w:rsidP="00A37132">
            <w:pPr>
              <w:pStyle w:val="TableText"/>
              <w:keepNext/>
              <w:spacing w:before="50" w:after="50"/>
              <w:jc w:val="right"/>
              <w:rPr>
                <w:rFonts w:cs="Calibri"/>
                <w:szCs w:val="16"/>
              </w:rPr>
            </w:pPr>
            <w:r w:rsidRPr="00BE78CA">
              <w:rPr>
                <w:rFonts w:eastAsia="Calibri" w:cs="Calibri"/>
                <w:szCs w:val="16"/>
              </w:rPr>
              <w:t>–4,808.9</w:t>
            </w:r>
          </w:p>
        </w:tc>
        <w:tc>
          <w:tcPr>
            <w:tcW w:w="991" w:type="dxa"/>
            <w:tcBorders>
              <w:top w:val="single" w:sz="4" w:space="0" w:color="365F91"/>
              <w:bottom w:val="single" w:sz="4" w:space="0" w:color="365F91"/>
            </w:tcBorders>
            <w:shd w:val="clear" w:color="auto" w:fill="FFFFFF"/>
            <w:tcMar>
              <w:top w:w="0" w:type="dxa"/>
              <w:left w:w="85" w:type="dxa"/>
              <w:bottom w:w="0" w:type="dxa"/>
              <w:right w:w="85" w:type="dxa"/>
            </w:tcMar>
          </w:tcPr>
          <w:p w14:paraId="5D2387C5" w14:textId="77777777" w:rsidR="00387C28" w:rsidRPr="00BE78CA" w:rsidRDefault="00387C28" w:rsidP="00A37132">
            <w:pPr>
              <w:pStyle w:val="TableText"/>
              <w:keepNext/>
              <w:spacing w:before="50" w:after="50"/>
              <w:jc w:val="right"/>
              <w:rPr>
                <w:rFonts w:cs="Calibri"/>
                <w:szCs w:val="16"/>
              </w:rPr>
            </w:pPr>
            <w:r w:rsidRPr="00BE78CA">
              <w:rPr>
                <w:rFonts w:eastAsia="Calibri" w:cs="Calibri"/>
                <w:szCs w:val="16"/>
              </w:rPr>
              <w:t>–17,544.5</w:t>
            </w:r>
          </w:p>
        </w:tc>
        <w:tc>
          <w:tcPr>
            <w:tcW w:w="955" w:type="dxa"/>
            <w:tcBorders>
              <w:top w:val="single" w:sz="4" w:space="0" w:color="365F91"/>
              <w:bottom w:val="single" w:sz="4" w:space="0" w:color="365F91"/>
            </w:tcBorders>
            <w:shd w:val="clear" w:color="auto" w:fill="FFFFFF"/>
            <w:tcMar>
              <w:top w:w="0" w:type="dxa"/>
              <w:left w:w="85" w:type="dxa"/>
              <w:bottom w:w="0" w:type="dxa"/>
              <w:right w:w="85" w:type="dxa"/>
            </w:tcMar>
          </w:tcPr>
          <w:p w14:paraId="371C835B" w14:textId="77777777" w:rsidR="00387C28" w:rsidRPr="00BE78CA" w:rsidRDefault="00387C28" w:rsidP="00A37132">
            <w:pPr>
              <w:pStyle w:val="TableText"/>
              <w:keepNext/>
              <w:spacing w:before="50" w:after="50"/>
              <w:jc w:val="right"/>
              <w:rPr>
                <w:rFonts w:cs="Calibri"/>
                <w:szCs w:val="16"/>
              </w:rPr>
            </w:pPr>
            <w:r w:rsidRPr="00BE78CA">
              <w:rPr>
                <w:rFonts w:eastAsia="Calibri" w:cs="Calibri"/>
                <w:szCs w:val="16"/>
              </w:rPr>
              <w:t>0.156</w:t>
            </w:r>
          </w:p>
        </w:tc>
        <w:tc>
          <w:tcPr>
            <w:tcW w:w="1061" w:type="dxa"/>
            <w:tcBorders>
              <w:top w:val="single" w:sz="4" w:space="0" w:color="365F91"/>
              <w:bottom w:val="single" w:sz="4" w:space="0" w:color="365F91"/>
            </w:tcBorders>
            <w:shd w:val="clear" w:color="auto" w:fill="FFFFFF"/>
            <w:tcMar>
              <w:top w:w="0" w:type="dxa"/>
              <w:left w:w="85" w:type="dxa"/>
              <w:bottom w:w="0" w:type="dxa"/>
              <w:right w:w="85" w:type="dxa"/>
            </w:tcMar>
          </w:tcPr>
          <w:p w14:paraId="5BE81E63" w14:textId="77777777" w:rsidR="00387C28" w:rsidRPr="00BE78CA" w:rsidRDefault="00387C28" w:rsidP="00A37132">
            <w:pPr>
              <w:pStyle w:val="TableText"/>
              <w:keepNext/>
              <w:spacing w:before="50" w:after="50"/>
              <w:jc w:val="right"/>
              <w:rPr>
                <w:rFonts w:cs="Calibri"/>
                <w:szCs w:val="16"/>
              </w:rPr>
            </w:pPr>
            <w:r w:rsidRPr="00BE78CA">
              <w:rPr>
                <w:rFonts w:eastAsia="Calibri" w:cs="Calibri"/>
                <w:szCs w:val="16"/>
              </w:rPr>
              <w:t>17.8</w:t>
            </w:r>
          </w:p>
        </w:tc>
        <w:tc>
          <w:tcPr>
            <w:tcW w:w="961" w:type="dxa"/>
            <w:tcBorders>
              <w:top w:val="single" w:sz="4" w:space="0" w:color="365F91"/>
              <w:bottom w:val="single" w:sz="4" w:space="0" w:color="365F91"/>
              <w:right w:val="single" w:sz="4" w:space="0" w:color="FFFFFF"/>
            </w:tcBorders>
            <w:shd w:val="clear" w:color="auto" w:fill="FFFFFF"/>
            <w:tcMar>
              <w:top w:w="0" w:type="dxa"/>
              <w:left w:w="85" w:type="dxa"/>
              <w:bottom w:w="0" w:type="dxa"/>
              <w:right w:w="85" w:type="dxa"/>
            </w:tcMar>
          </w:tcPr>
          <w:p w14:paraId="72E29E1E" w14:textId="77777777" w:rsidR="00387C28" w:rsidRPr="00BE78CA" w:rsidRDefault="00387C28" w:rsidP="00A37132">
            <w:pPr>
              <w:pStyle w:val="TableText"/>
              <w:keepNext/>
              <w:spacing w:before="50" w:after="50"/>
              <w:jc w:val="right"/>
              <w:rPr>
                <w:rFonts w:cs="Calibri"/>
                <w:szCs w:val="16"/>
              </w:rPr>
            </w:pPr>
            <w:r w:rsidRPr="00BE78CA">
              <w:rPr>
                <w:rFonts w:eastAsia="Calibri" w:cs="Calibri"/>
                <w:szCs w:val="16"/>
              </w:rPr>
              <w:t>17.8</w:t>
            </w:r>
          </w:p>
        </w:tc>
      </w:tr>
      <w:tr w:rsidR="00A37132" w:rsidRPr="00BE78CA" w14:paraId="21DD10C2" w14:textId="77777777" w:rsidTr="00834B58">
        <w:trPr>
          <w:cantSplit/>
        </w:trPr>
        <w:tc>
          <w:tcPr>
            <w:tcW w:w="846" w:type="dxa"/>
            <w:tcBorders>
              <w:top w:val="single" w:sz="4" w:space="0" w:color="365F91"/>
              <w:left w:val="single" w:sz="4" w:space="0" w:color="FFFFFF"/>
              <w:bottom w:val="single" w:sz="4" w:space="0" w:color="365F91"/>
            </w:tcBorders>
            <w:shd w:val="clear" w:color="auto" w:fill="FFFFFF"/>
            <w:tcMar>
              <w:top w:w="0" w:type="dxa"/>
              <w:left w:w="85" w:type="dxa"/>
              <w:bottom w:w="0" w:type="dxa"/>
              <w:right w:w="85" w:type="dxa"/>
            </w:tcMar>
          </w:tcPr>
          <w:p w14:paraId="6D8F2B8D" w14:textId="77777777" w:rsidR="00387C28" w:rsidRPr="00BE78CA" w:rsidRDefault="00387C28" w:rsidP="00A37132">
            <w:pPr>
              <w:pStyle w:val="TableText"/>
              <w:keepNext/>
              <w:spacing w:before="50" w:after="50"/>
              <w:rPr>
                <w:rFonts w:cs="Calibri"/>
                <w:szCs w:val="16"/>
              </w:rPr>
            </w:pPr>
            <w:r w:rsidRPr="00BE78CA">
              <w:rPr>
                <w:rFonts w:eastAsia="Calibri" w:cs="Calibri"/>
                <w:szCs w:val="16"/>
              </w:rPr>
              <w:t>3.A.2</w:t>
            </w:r>
          </w:p>
        </w:tc>
        <w:tc>
          <w:tcPr>
            <w:tcW w:w="2197" w:type="dxa"/>
            <w:tcBorders>
              <w:top w:val="single" w:sz="4" w:space="0" w:color="365F91"/>
              <w:bottom w:val="single" w:sz="4" w:space="0" w:color="365F91"/>
            </w:tcBorders>
            <w:shd w:val="clear" w:color="auto" w:fill="FFFFFF"/>
            <w:tcMar>
              <w:top w:w="0" w:type="dxa"/>
              <w:left w:w="85" w:type="dxa"/>
              <w:bottom w:w="0" w:type="dxa"/>
              <w:right w:w="85" w:type="dxa"/>
            </w:tcMar>
          </w:tcPr>
          <w:p w14:paraId="2886BF14" w14:textId="77777777" w:rsidR="00387C28" w:rsidRPr="00BE78CA" w:rsidRDefault="00387C28" w:rsidP="00A37132">
            <w:pPr>
              <w:pStyle w:val="TableText"/>
              <w:keepNext/>
              <w:spacing w:before="50" w:after="50"/>
              <w:rPr>
                <w:rFonts w:cs="Calibri"/>
                <w:szCs w:val="16"/>
              </w:rPr>
            </w:pPr>
            <w:r w:rsidRPr="00BE78CA">
              <w:rPr>
                <w:rFonts w:eastAsia="Calibri" w:cs="Calibri"/>
                <w:szCs w:val="16"/>
              </w:rPr>
              <w:t>Other (please specify) – Sheep</w:t>
            </w:r>
          </w:p>
        </w:tc>
        <w:tc>
          <w:tcPr>
            <w:tcW w:w="492" w:type="dxa"/>
            <w:tcBorders>
              <w:top w:val="single" w:sz="4" w:space="0" w:color="365F91"/>
              <w:bottom w:val="single" w:sz="4" w:space="0" w:color="365F91"/>
            </w:tcBorders>
            <w:shd w:val="clear" w:color="auto" w:fill="FFFFFF"/>
            <w:tcMar>
              <w:top w:w="0" w:type="dxa"/>
              <w:left w:w="85" w:type="dxa"/>
              <w:bottom w:w="0" w:type="dxa"/>
              <w:right w:w="85" w:type="dxa"/>
            </w:tcMar>
          </w:tcPr>
          <w:p w14:paraId="545D29AC" w14:textId="77777777" w:rsidR="00387C28" w:rsidRPr="00BE78CA" w:rsidRDefault="00387C28" w:rsidP="00A37132">
            <w:pPr>
              <w:pStyle w:val="TableText"/>
              <w:keepNext/>
              <w:spacing w:before="50" w:after="50"/>
              <w:jc w:val="center"/>
              <w:rPr>
                <w:rFonts w:cs="Calibri"/>
                <w:szCs w:val="16"/>
              </w:rPr>
            </w:pPr>
            <w:r w:rsidRPr="00BE78CA">
              <w:rPr>
                <w:rFonts w:eastAsia="Calibri" w:cs="Calibri"/>
                <w:szCs w:val="16"/>
              </w:rPr>
              <w:t>CH</w:t>
            </w:r>
            <w:r w:rsidRPr="00BE78CA">
              <w:rPr>
                <w:rFonts w:eastAsia="Calibri" w:cs="Calibri"/>
                <w:szCs w:val="16"/>
                <w:vertAlign w:val="subscript"/>
              </w:rPr>
              <w:t>4</w:t>
            </w:r>
          </w:p>
        </w:tc>
        <w:tc>
          <w:tcPr>
            <w:tcW w:w="991" w:type="dxa"/>
            <w:tcBorders>
              <w:top w:val="single" w:sz="4" w:space="0" w:color="365F91"/>
              <w:bottom w:val="single" w:sz="4" w:space="0" w:color="365F91"/>
            </w:tcBorders>
            <w:shd w:val="clear" w:color="auto" w:fill="FFFFFF"/>
            <w:tcMar>
              <w:top w:w="0" w:type="dxa"/>
              <w:left w:w="85" w:type="dxa"/>
              <w:bottom w:w="0" w:type="dxa"/>
              <w:right w:w="85" w:type="dxa"/>
            </w:tcMar>
          </w:tcPr>
          <w:p w14:paraId="1514894C" w14:textId="77777777" w:rsidR="00387C28" w:rsidRPr="00BE78CA" w:rsidRDefault="00387C28" w:rsidP="00A37132">
            <w:pPr>
              <w:pStyle w:val="TableText"/>
              <w:keepNext/>
              <w:spacing w:before="50" w:after="50"/>
              <w:jc w:val="right"/>
              <w:rPr>
                <w:rFonts w:cs="Calibri"/>
                <w:szCs w:val="16"/>
              </w:rPr>
            </w:pPr>
            <w:r w:rsidRPr="00BE78CA">
              <w:rPr>
                <w:rFonts w:eastAsia="Calibri" w:cs="Calibri"/>
                <w:szCs w:val="16"/>
              </w:rPr>
              <w:t>14,557.9</w:t>
            </w:r>
          </w:p>
        </w:tc>
        <w:tc>
          <w:tcPr>
            <w:tcW w:w="991" w:type="dxa"/>
            <w:tcBorders>
              <w:top w:val="single" w:sz="4" w:space="0" w:color="365F91"/>
              <w:bottom w:val="single" w:sz="4" w:space="0" w:color="365F91"/>
            </w:tcBorders>
            <w:shd w:val="clear" w:color="auto" w:fill="FFFFFF"/>
            <w:tcMar>
              <w:top w:w="0" w:type="dxa"/>
              <w:left w:w="85" w:type="dxa"/>
              <w:bottom w:w="0" w:type="dxa"/>
              <w:right w:w="85" w:type="dxa"/>
            </w:tcMar>
          </w:tcPr>
          <w:p w14:paraId="4FE3EBF8" w14:textId="77777777" w:rsidR="00387C28" w:rsidRPr="00BE78CA" w:rsidRDefault="00387C28" w:rsidP="00A37132">
            <w:pPr>
              <w:pStyle w:val="TableText"/>
              <w:keepNext/>
              <w:spacing w:before="50" w:after="50"/>
              <w:jc w:val="right"/>
              <w:rPr>
                <w:rFonts w:cs="Calibri"/>
                <w:szCs w:val="16"/>
              </w:rPr>
            </w:pPr>
            <w:r w:rsidRPr="00BE78CA">
              <w:rPr>
                <w:rFonts w:eastAsia="Calibri" w:cs="Calibri"/>
                <w:szCs w:val="16"/>
              </w:rPr>
              <w:t>8,527.2</w:t>
            </w:r>
          </w:p>
        </w:tc>
        <w:tc>
          <w:tcPr>
            <w:tcW w:w="955" w:type="dxa"/>
            <w:tcBorders>
              <w:top w:val="single" w:sz="4" w:space="0" w:color="365F91"/>
              <w:bottom w:val="single" w:sz="4" w:space="0" w:color="365F91"/>
            </w:tcBorders>
            <w:shd w:val="clear" w:color="auto" w:fill="FFFFFF"/>
            <w:tcMar>
              <w:top w:w="0" w:type="dxa"/>
              <w:left w:w="85" w:type="dxa"/>
              <w:bottom w:w="0" w:type="dxa"/>
              <w:right w:w="85" w:type="dxa"/>
            </w:tcMar>
          </w:tcPr>
          <w:p w14:paraId="75E06E3E" w14:textId="77777777" w:rsidR="00387C28" w:rsidRPr="00BE78CA" w:rsidRDefault="00387C28" w:rsidP="00A37132">
            <w:pPr>
              <w:pStyle w:val="TableText"/>
              <w:keepNext/>
              <w:spacing w:before="50" w:after="50"/>
              <w:jc w:val="right"/>
              <w:rPr>
                <w:rFonts w:cs="Calibri"/>
                <w:szCs w:val="16"/>
              </w:rPr>
            </w:pPr>
            <w:r w:rsidRPr="00BE78CA">
              <w:rPr>
                <w:rFonts w:eastAsia="Calibri" w:cs="Calibri"/>
                <w:szCs w:val="16"/>
              </w:rPr>
              <w:t>0.119</w:t>
            </w:r>
          </w:p>
        </w:tc>
        <w:tc>
          <w:tcPr>
            <w:tcW w:w="1061" w:type="dxa"/>
            <w:tcBorders>
              <w:top w:val="single" w:sz="4" w:space="0" w:color="365F91"/>
              <w:bottom w:val="single" w:sz="4" w:space="0" w:color="365F91"/>
            </w:tcBorders>
            <w:shd w:val="clear" w:color="auto" w:fill="FFFFFF"/>
            <w:tcMar>
              <w:top w:w="0" w:type="dxa"/>
              <w:left w:w="85" w:type="dxa"/>
              <w:bottom w:w="0" w:type="dxa"/>
              <w:right w:w="85" w:type="dxa"/>
            </w:tcMar>
          </w:tcPr>
          <w:p w14:paraId="3DF248F8" w14:textId="77777777" w:rsidR="00387C28" w:rsidRPr="00BE78CA" w:rsidRDefault="00387C28" w:rsidP="00A37132">
            <w:pPr>
              <w:pStyle w:val="TableText"/>
              <w:keepNext/>
              <w:spacing w:before="50" w:after="50"/>
              <w:jc w:val="right"/>
              <w:rPr>
                <w:rFonts w:cs="Calibri"/>
                <w:szCs w:val="16"/>
              </w:rPr>
            </w:pPr>
            <w:r w:rsidRPr="00BE78CA">
              <w:rPr>
                <w:rFonts w:eastAsia="Calibri" w:cs="Calibri"/>
                <w:szCs w:val="16"/>
              </w:rPr>
              <w:t>13.5</w:t>
            </w:r>
          </w:p>
        </w:tc>
        <w:tc>
          <w:tcPr>
            <w:tcW w:w="961" w:type="dxa"/>
            <w:tcBorders>
              <w:top w:val="single" w:sz="4" w:space="0" w:color="365F91"/>
              <w:bottom w:val="single" w:sz="4" w:space="0" w:color="365F91"/>
              <w:right w:val="single" w:sz="4" w:space="0" w:color="FFFFFF"/>
            </w:tcBorders>
            <w:shd w:val="clear" w:color="auto" w:fill="FFFFFF"/>
            <w:tcMar>
              <w:top w:w="0" w:type="dxa"/>
              <w:left w:w="85" w:type="dxa"/>
              <w:bottom w:w="0" w:type="dxa"/>
              <w:right w:w="85" w:type="dxa"/>
            </w:tcMar>
          </w:tcPr>
          <w:p w14:paraId="12E62318" w14:textId="77777777" w:rsidR="00387C28" w:rsidRPr="00BE78CA" w:rsidRDefault="00387C28" w:rsidP="00A37132">
            <w:pPr>
              <w:pStyle w:val="TableText"/>
              <w:keepNext/>
              <w:spacing w:before="50" w:after="50"/>
              <w:jc w:val="right"/>
              <w:rPr>
                <w:rFonts w:cs="Calibri"/>
                <w:szCs w:val="16"/>
              </w:rPr>
            </w:pPr>
            <w:r w:rsidRPr="00BE78CA">
              <w:rPr>
                <w:rFonts w:eastAsia="Calibri" w:cs="Calibri"/>
                <w:szCs w:val="16"/>
              </w:rPr>
              <w:t>31.3</w:t>
            </w:r>
          </w:p>
        </w:tc>
      </w:tr>
      <w:tr w:rsidR="00A37132" w:rsidRPr="00BE78CA" w14:paraId="4503577E" w14:textId="77777777" w:rsidTr="00834B58">
        <w:trPr>
          <w:cantSplit/>
        </w:trPr>
        <w:tc>
          <w:tcPr>
            <w:tcW w:w="846" w:type="dxa"/>
            <w:tcBorders>
              <w:top w:val="single" w:sz="4" w:space="0" w:color="365F91"/>
              <w:left w:val="single" w:sz="4" w:space="0" w:color="FFFFFF"/>
              <w:bottom w:val="single" w:sz="4" w:space="0" w:color="365F91"/>
            </w:tcBorders>
            <w:shd w:val="clear" w:color="auto" w:fill="FFFFFF"/>
            <w:tcMar>
              <w:top w:w="0" w:type="dxa"/>
              <w:left w:w="85" w:type="dxa"/>
              <w:bottom w:w="0" w:type="dxa"/>
              <w:right w:w="85" w:type="dxa"/>
            </w:tcMar>
          </w:tcPr>
          <w:p w14:paraId="38D8AF6E" w14:textId="77777777" w:rsidR="00387C28" w:rsidRPr="00BE78CA" w:rsidRDefault="00387C28" w:rsidP="00A37132">
            <w:pPr>
              <w:pStyle w:val="TableText"/>
              <w:spacing w:before="50" w:after="50"/>
              <w:rPr>
                <w:rFonts w:cs="Calibri"/>
                <w:szCs w:val="16"/>
              </w:rPr>
            </w:pPr>
            <w:r w:rsidRPr="00BE78CA">
              <w:rPr>
                <w:rFonts w:eastAsia="Calibri" w:cs="Calibri"/>
                <w:szCs w:val="16"/>
              </w:rPr>
              <w:t>4.G</w:t>
            </w:r>
          </w:p>
        </w:tc>
        <w:tc>
          <w:tcPr>
            <w:tcW w:w="2197" w:type="dxa"/>
            <w:tcBorders>
              <w:top w:val="single" w:sz="4" w:space="0" w:color="365F91"/>
              <w:bottom w:val="single" w:sz="4" w:space="0" w:color="365F91"/>
            </w:tcBorders>
            <w:shd w:val="clear" w:color="auto" w:fill="FFFFFF"/>
            <w:tcMar>
              <w:top w:w="0" w:type="dxa"/>
              <w:left w:w="85" w:type="dxa"/>
              <w:bottom w:w="0" w:type="dxa"/>
              <w:right w:w="85" w:type="dxa"/>
            </w:tcMar>
          </w:tcPr>
          <w:p w14:paraId="6BCED757" w14:textId="77777777" w:rsidR="00387C28" w:rsidRPr="00BE78CA" w:rsidRDefault="00387C28" w:rsidP="00A37132">
            <w:pPr>
              <w:pStyle w:val="TableText"/>
              <w:spacing w:before="50" w:after="50"/>
              <w:rPr>
                <w:rFonts w:cs="Calibri"/>
                <w:szCs w:val="16"/>
              </w:rPr>
            </w:pPr>
            <w:r w:rsidRPr="00BE78CA">
              <w:rPr>
                <w:rFonts w:eastAsia="Calibri" w:cs="Calibri"/>
                <w:szCs w:val="16"/>
              </w:rPr>
              <w:t>Land Use, Land-Use Change and Forestry – Harvested Wood Products</w:t>
            </w:r>
          </w:p>
        </w:tc>
        <w:tc>
          <w:tcPr>
            <w:tcW w:w="492" w:type="dxa"/>
            <w:tcBorders>
              <w:top w:val="single" w:sz="4" w:space="0" w:color="365F91"/>
              <w:bottom w:val="single" w:sz="4" w:space="0" w:color="365F91"/>
            </w:tcBorders>
            <w:shd w:val="clear" w:color="auto" w:fill="FFFFFF"/>
            <w:tcMar>
              <w:top w:w="0" w:type="dxa"/>
              <w:left w:w="85" w:type="dxa"/>
              <w:bottom w:w="0" w:type="dxa"/>
              <w:right w:w="85" w:type="dxa"/>
            </w:tcMar>
          </w:tcPr>
          <w:p w14:paraId="79281046" w14:textId="77777777" w:rsidR="00387C28" w:rsidRPr="00BE78CA" w:rsidRDefault="00387C28" w:rsidP="00A37132">
            <w:pPr>
              <w:pStyle w:val="TableText"/>
              <w:spacing w:before="50" w:after="50"/>
              <w:jc w:val="center"/>
              <w:rPr>
                <w:rFonts w:cs="Calibri"/>
                <w:szCs w:val="16"/>
              </w:rPr>
            </w:pPr>
            <w:r w:rsidRPr="00BE78CA">
              <w:rPr>
                <w:rFonts w:eastAsia="Calibri" w:cs="Calibri"/>
                <w:szCs w:val="16"/>
              </w:rPr>
              <w:t>CO</w:t>
            </w:r>
            <w:r w:rsidRPr="00BE78CA">
              <w:rPr>
                <w:rFonts w:eastAsia="Calibri" w:cs="Calibri"/>
                <w:szCs w:val="16"/>
                <w:vertAlign w:val="subscript"/>
              </w:rPr>
              <w:t>2</w:t>
            </w:r>
          </w:p>
        </w:tc>
        <w:tc>
          <w:tcPr>
            <w:tcW w:w="991" w:type="dxa"/>
            <w:tcBorders>
              <w:top w:val="single" w:sz="4" w:space="0" w:color="365F91"/>
              <w:bottom w:val="single" w:sz="4" w:space="0" w:color="365F91"/>
            </w:tcBorders>
            <w:shd w:val="clear" w:color="auto" w:fill="FFFFFF"/>
            <w:tcMar>
              <w:top w:w="0" w:type="dxa"/>
              <w:left w:w="85" w:type="dxa"/>
              <w:bottom w:w="0" w:type="dxa"/>
              <w:right w:w="85" w:type="dxa"/>
            </w:tcMar>
          </w:tcPr>
          <w:p w14:paraId="11054E62"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–2,072.9</w:t>
            </w:r>
          </w:p>
        </w:tc>
        <w:tc>
          <w:tcPr>
            <w:tcW w:w="991" w:type="dxa"/>
            <w:tcBorders>
              <w:top w:val="single" w:sz="4" w:space="0" w:color="365F91"/>
              <w:bottom w:val="single" w:sz="4" w:space="0" w:color="365F91"/>
            </w:tcBorders>
            <w:shd w:val="clear" w:color="auto" w:fill="FFFFFF"/>
            <w:tcMar>
              <w:top w:w="0" w:type="dxa"/>
              <w:left w:w="85" w:type="dxa"/>
              <w:bottom w:w="0" w:type="dxa"/>
              <w:right w:w="85" w:type="dxa"/>
            </w:tcMar>
          </w:tcPr>
          <w:p w14:paraId="139CD04F"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–10,067.3</w:t>
            </w:r>
          </w:p>
        </w:tc>
        <w:tc>
          <w:tcPr>
            <w:tcW w:w="955" w:type="dxa"/>
            <w:tcBorders>
              <w:top w:val="single" w:sz="4" w:space="0" w:color="365F91"/>
              <w:bottom w:val="single" w:sz="4" w:space="0" w:color="365F91"/>
            </w:tcBorders>
            <w:shd w:val="clear" w:color="auto" w:fill="FFFFFF"/>
            <w:tcMar>
              <w:top w:w="0" w:type="dxa"/>
              <w:left w:w="85" w:type="dxa"/>
              <w:bottom w:w="0" w:type="dxa"/>
              <w:right w:w="85" w:type="dxa"/>
            </w:tcMar>
          </w:tcPr>
          <w:p w14:paraId="01F01DDA"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0.094</w:t>
            </w:r>
          </w:p>
        </w:tc>
        <w:tc>
          <w:tcPr>
            <w:tcW w:w="1061" w:type="dxa"/>
            <w:tcBorders>
              <w:top w:val="single" w:sz="4" w:space="0" w:color="365F91"/>
              <w:bottom w:val="single" w:sz="4" w:space="0" w:color="365F91"/>
            </w:tcBorders>
            <w:shd w:val="clear" w:color="auto" w:fill="FFFFFF"/>
            <w:tcMar>
              <w:top w:w="0" w:type="dxa"/>
              <w:left w:w="85" w:type="dxa"/>
              <w:bottom w:w="0" w:type="dxa"/>
              <w:right w:w="85" w:type="dxa"/>
            </w:tcMar>
          </w:tcPr>
          <w:p w14:paraId="73B5DBAE"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10.8</w:t>
            </w:r>
          </w:p>
        </w:tc>
        <w:tc>
          <w:tcPr>
            <w:tcW w:w="961" w:type="dxa"/>
            <w:tcBorders>
              <w:top w:val="single" w:sz="4" w:space="0" w:color="365F91"/>
              <w:bottom w:val="single" w:sz="4" w:space="0" w:color="365F91"/>
              <w:right w:val="single" w:sz="4" w:space="0" w:color="FFFFFF"/>
            </w:tcBorders>
            <w:shd w:val="clear" w:color="auto" w:fill="FFFFFF"/>
            <w:tcMar>
              <w:top w:w="0" w:type="dxa"/>
              <w:left w:w="85" w:type="dxa"/>
              <w:bottom w:w="0" w:type="dxa"/>
              <w:right w:w="85" w:type="dxa"/>
            </w:tcMar>
          </w:tcPr>
          <w:p w14:paraId="22B997DA"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42.1</w:t>
            </w:r>
          </w:p>
        </w:tc>
      </w:tr>
      <w:tr w:rsidR="00A37132" w:rsidRPr="00BE78CA" w14:paraId="18AC5A3F" w14:textId="77777777" w:rsidTr="00834B58">
        <w:trPr>
          <w:cantSplit/>
        </w:trPr>
        <w:tc>
          <w:tcPr>
            <w:tcW w:w="846" w:type="dxa"/>
            <w:tcBorders>
              <w:top w:val="single" w:sz="4" w:space="0" w:color="365F91"/>
              <w:left w:val="single" w:sz="4" w:space="0" w:color="FFFFFF"/>
              <w:bottom w:val="single" w:sz="4" w:space="0" w:color="365F91"/>
            </w:tcBorders>
            <w:shd w:val="clear" w:color="auto" w:fill="FFFFFF"/>
            <w:tcMar>
              <w:top w:w="0" w:type="dxa"/>
              <w:left w:w="85" w:type="dxa"/>
              <w:bottom w:w="0" w:type="dxa"/>
              <w:right w:w="85" w:type="dxa"/>
            </w:tcMar>
          </w:tcPr>
          <w:p w14:paraId="2C4059B0" w14:textId="77777777" w:rsidR="00387C28" w:rsidRPr="00BE78CA" w:rsidRDefault="00387C28" w:rsidP="00A37132">
            <w:pPr>
              <w:pStyle w:val="TableText"/>
              <w:spacing w:before="50" w:after="50"/>
              <w:rPr>
                <w:rFonts w:cs="Calibri"/>
                <w:szCs w:val="16"/>
              </w:rPr>
            </w:pPr>
            <w:r w:rsidRPr="00BE78CA">
              <w:rPr>
                <w:rFonts w:eastAsia="Calibri" w:cs="Calibri"/>
                <w:szCs w:val="16"/>
              </w:rPr>
              <w:t>4.A.2</w:t>
            </w:r>
          </w:p>
        </w:tc>
        <w:tc>
          <w:tcPr>
            <w:tcW w:w="2197" w:type="dxa"/>
            <w:tcBorders>
              <w:top w:val="single" w:sz="4" w:space="0" w:color="365F91"/>
              <w:bottom w:val="single" w:sz="4" w:space="0" w:color="365F91"/>
            </w:tcBorders>
            <w:shd w:val="clear" w:color="auto" w:fill="FFFFFF"/>
            <w:tcMar>
              <w:top w:w="0" w:type="dxa"/>
              <w:left w:w="85" w:type="dxa"/>
              <w:bottom w:w="0" w:type="dxa"/>
              <w:right w:w="85" w:type="dxa"/>
            </w:tcMar>
          </w:tcPr>
          <w:p w14:paraId="3BBD7168" w14:textId="77777777" w:rsidR="00387C28" w:rsidRPr="00BE78CA" w:rsidRDefault="00387C28" w:rsidP="00A37132">
            <w:pPr>
              <w:pStyle w:val="TableText"/>
              <w:spacing w:before="50" w:after="50"/>
              <w:rPr>
                <w:rFonts w:cs="Calibri"/>
                <w:szCs w:val="16"/>
              </w:rPr>
            </w:pPr>
            <w:r w:rsidRPr="00BE78CA">
              <w:rPr>
                <w:rFonts w:eastAsia="Calibri" w:cs="Calibri"/>
                <w:szCs w:val="16"/>
              </w:rPr>
              <w:t>Forest Land – Land Converted to Forest Land</w:t>
            </w:r>
          </w:p>
        </w:tc>
        <w:tc>
          <w:tcPr>
            <w:tcW w:w="492" w:type="dxa"/>
            <w:tcBorders>
              <w:top w:val="single" w:sz="4" w:space="0" w:color="365F91"/>
              <w:bottom w:val="single" w:sz="4" w:space="0" w:color="365F91"/>
            </w:tcBorders>
            <w:shd w:val="clear" w:color="auto" w:fill="FFFFFF"/>
            <w:tcMar>
              <w:top w:w="0" w:type="dxa"/>
              <w:left w:w="85" w:type="dxa"/>
              <w:bottom w:w="0" w:type="dxa"/>
              <w:right w:w="85" w:type="dxa"/>
            </w:tcMar>
          </w:tcPr>
          <w:p w14:paraId="6DB46CA8" w14:textId="77777777" w:rsidR="00387C28" w:rsidRPr="00BE78CA" w:rsidRDefault="00387C28" w:rsidP="00A37132">
            <w:pPr>
              <w:pStyle w:val="TableText"/>
              <w:spacing w:before="50" w:after="50"/>
              <w:jc w:val="center"/>
              <w:rPr>
                <w:rFonts w:cs="Calibri"/>
                <w:szCs w:val="16"/>
              </w:rPr>
            </w:pPr>
            <w:r w:rsidRPr="00BE78CA">
              <w:rPr>
                <w:rFonts w:eastAsia="Calibri" w:cs="Calibri"/>
                <w:szCs w:val="16"/>
              </w:rPr>
              <w:t>CO</w:t>
            </w:r>
            <w:r w:rsidRPr="00BE78CA">
              <w:rPr>
                <w:rFonts w:eastAsia="Calibri" w:cs="Calibri"/>
                <w:szCs w:val="16"/>
                <w:vertAlign w:val="subscript"/>
              </w:rPr>
              <w:t>2</w:t>
            </w:r>
          </w:p>
        </w:tc>
        <w:tc>
          <w:tcPr>
            <w:tcW w:w="991" w:type="dxa"/>
            <w:tcBorders>
              <w:top w:val="single" w:sz="4" w:space="0" w:color="365F91"/>
              <w:bottom w:val="single" w:sz="4" w:space="0" w:color="365F91"/>
            </w:tcBorders>
            <w:shd w:val="clear" w:color="auto" w:fill="FFFFFF"/>
            <w:tcMar>
              <w:top w:w="0" w:type="dxa"/>
              <w:left w:w="85" w:type="dxa"/>
              <w:bottom w:w="0" w:type="dxa"/>
              <w:right w:w="85" w:type="dxa"/>
            </w:tcMar>
          </w:tcPr>
          <w:p w14:paraId="3DB96CFB"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–18,516.4</w:t>
            </w:r>
          </w:p>
        </w:tc>
        <w:tc>
          <w:tcPr>
            <w:tcW w:w="991" w:type="dxa"/>
            <w:tcBorders>
              <w:top w:val="single" w:sz="4" w:space="0" w:color="365F91"/>
              <w:bottom w:val="single" w:sz="4" w:space="0" w:color="365F91"/>
            </w:tcBorders>
            <w:shd w:val="clear" w:color="auto" w:fill="FFFFFF"/>
            <w:tcMar>
              <w:top w:w="0" w:type="dxa"/>
              <w:left w:w="85" w:type="dxa"/>
              <w:bottom w:w="0" w:type="dxa"/>
              <w:right w:w="85" w:type="dxa"/>
            </w:tcMar>
          </w:tcPr>
          <w:p w14:paraId="0D96AE15"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–4,736.0</w:t>
            </w:r>
          </w:p>
        </w:tc>
        <w:tc>
          <w:tcPr>
            <w:tcW w:w="955" w:type="dxa"/>
            <w:tcBorders>
              <w:top w:val="single" w:sz="4" w:space="0" w:color="365F91"/>
              <w:bottom w:val="single" w:sz="4" w:space="0" w:color="365F91"/>
            </w:tcBorders>
            <w:shd w:val="clear" w:color="auto" w:fill="FFFFFF"/>
            <w:tcMar>
              <w:top w:w="0" w:type="dxa"/>
              <w:left w:w="85" w:type="dxa"/>
              <w:bottom w:w="0" w:type="dxa"/>
              <w:right w:w="85" w:type="dxa"/>
            </w:tcMar>
          </w:tcPr>
          <w:p w14:paraId="68A10763"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0.082</w:t>
            </w:r>
          </w:p>
        </w:tc>
        <w:tc>
          <w:tcPr>
            <w:tcW w:w="1061" w:type="dxa"/>
            <w:tcBorders>
              <w:top w:val="single" w:sz="4" w:space="0" w:color="365F91"/>
              <w:bottom w:val="single" w:sz="4" w:space="0" w:color="365F91"/>
            </w:tcBorders>
            <w:shd w:val="clear" w:color="auto" w:fill="FFFFFF"/>
            <w:tcMar>
              <w:top w:w="0" w:type="dxa"/>
              <w:left w:w="85" w:type="dxa"/>
              <w:bottom w:w="0" w:type="dxa"/>
              <w:right w:w="85" w:type="dxa"/>
            </w:tcMar>
          </w:tcPr>
          <w:p w14:paraId="04A53DCE"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9.4</w:t>
            </w:r>
          </w:p>
        </w:tc>
        <w:tc>
          <w:tcPr>
            <w:tcW w:w="961" w:type="dxa"/>
            <w:tcBorders>
              <w:top w:val="single" w:sz="4" w:space="0" w:color="365F91"/>
              <w:bottom w:val="single" w:sz="4" w:space="0" w:color="365F91"/>
              <w:right w:val="single" w:sz="4" w:space="0" w:color="FFFFFF"/>
            </w:tcBorders>
            <w:shd w:val="clear" w:color="auto" w:fill="FFFFFF"/>
            <w:tcMar>
              <w:top w:w="0" w:type="dxa"/>
              <w:left w:w="85" w:type="dxa"/>
              <w:bottom w:w="0" w:type="dxa"/>
              <w:right w:w="85" w:type="dxa"/>
            </w:tcMar>
          </w:tcPr>
          <w:p w14:paraId="5240BD55"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51.5</w:t>
            </w:r>
          </w:p>
        </w:tc>
      </w:tr>
      <w:tr w:rsidR="00A37132" w:rsidRPr="00BE78CA" w14:paraId="25B3F7A1" w14:textId="77777777" w:rsidTr="00834B58">
        <w:trPr>
          <w:cantSplit/>
        </w:trPr>
        <w:tc>
          <w:tcPr>
            <w:tcW w:w="846" w:type="dxa"/>
            <w:tcBorders>
              <w:top w:val="single" w:sz="4" w:space="0" w:color="365F91"/>
              <w:left w:val="single" w:sz="4" w:space="0" w:color="FFFFFF"/>
              <w:bottom w:val="single" w:sz="4" w:space="0" w:color="365F91"/>
            </w:tcBorders>
            <w:shd w:val="clear" w:color="auto" w:fill="FFFFFF"/>
            <w:tcMar>
              <w:top w:w="0" w:type="dxa"/>
              <w:left w:w="85" w:type="dxa"/>
              <w:bottom w:w="0" w:type="dxa"/>
              <w:right w:w="85" w:type="dxa"/>
            </w:tcMar>
          </w:tcPr>
          <w:p w14:paraId="270ED9BC" w14:textId="77777777" w:rsidR="00387C28" w:rsidRPr="00BE78CA" w:rsidRDefault="00387C28" w:rsidP="00A37132">
            <w:pPr>
              <w:pStyle w:val="TableText"/>
              <w:spacing w:before="50" w:after="50"/>
              <w:rPr>
                <w:rFonts w:cs="Calibri"/>
                <w:szCs w:val="16"/>
              </w:rPr>
            </w:pPr>
            <w:r w:rsidRPr="00BE78CA">
              <w:rPr>
                <w:rFonts w:eastAsia="Calibri" w:cs="Calibri"/>
                <w:szCs w:val="16"/>
              </w:rPr>
              <w:lastRenderedPageBreak/>
              <w:t>3.A.1</w:t>
            </w:r>
          </w:p>
        </w:tc>
        <w:tc>
          <w:tcPr>
            <w:tcW w:w="2197" w:type="dxa"/>
            <w:tcBorders>
              <w:top w:val="single" w:sz="4" w:space="0" w:color="365F91"/>
              <w:bottom w:val="single" w:sz="4" w:space="0" w:color="365F91"/>
            </w:tcBorders>
            <w:shd w:val="clear" w:color="auto" w:fill="FFFFFF"/>
            <w:tcMar>
              <w:top w:w="0" w:type="dxa"/>
              <w:left w:w="85" w:type="dxa"/>
              <w:bottom w:w="0" w:type="dxa"/>
              <w:right w:w="85" w:type="dxa"/>
            </w:tcMar>
          </w:tcPr>
          <w:p w14:paraId="7FC3D9A2" w14:textId="77777777" w:rsidR="00387C28" w:rsidRPr="00BE78CA" w:rsidRDefault="00387C28" w:rsidP="00A37132">
            <w:pPr>
              <w:pStyle w:val="TableText"/>
              <w:spacing w:before="50" w:after="50"/>
              <w:rPr>
                <w:rFonts w:cs="Calibri"/>
                <w:szCs w:val="16"/>
              </w:rPr>
            </w:pPr>
            <w:r w:rsidRPr="00BE78CA">
              <w:rPr>
                <w:rFonts w:eastAsia="Calibri" w:cs="Calibri"/>
                <w:szCs w:val="16"/>
              </w:rPr>
              <w:t>Option A – Dairy Cattle</w:t>
            </w:r>
          </w:p>
        </w:tc>
        <w:tc>
          <w:tcPr>
            <w:tcW w:w="492" w:type="dxa"/>
            <w:tcBorders>
              <w:top w:val="single" w:sz="4" w:space="0" w:color="365F91"/>
              <w:bottom w:val="single" w:sz="4" w:space="0" w:color="365F91"/>
            </w:tcBorders>
            <w:shd w:val="clear" w:color="auto" w:fill="FFFFFF"/>
            <w:tcMar>
              <w:top w:w="0" w:type="dxa"/>
              <w:left w:w="85" w:type="dxa"/>
              <w:bottom w:w="0" w:type="dxa"/>
              <w:right w:w="85" w:type="dxa"/>
            </w:tcMar>
          </w:tcPr>
          <w:p w14:paraId="178121FA" w14:textId="77777777" w:rsidR="00387C28" w:rsidRPr="00BE78CA" w:rsidRDefault="00387C28" w:rsidP="00A37132">
            <w:pPr>
              <w:pStyle w:val="TableText"/>
              <w:spacing w:before="50" w:after="50"/>
              <w:jc w:val="center"/>
              <w:rPr>
                <w:rFonts w:cs="Calibri"/>
                <w:szCs w:val="16"/>
              </w:rPr>
            </w:pPr>
            <w:r w:rsidRPr="00BE78CA">
              <w:rPr>
                <w:rFonts w:eastAsia="Calibri" w:cs="Calibri"/>
                <w:szCs w:val="16"/>
              </w:rPr>
              <w:t>CH</w:t>
            </w:r>
            <w:r w:rsidRPr="00BE78CA">
              <w:rPr>
                <w:rFonts w:eastAsia="Calibri" w:cs="Calibri"/>
                <w:szCs w:val="16"/>
                <w:vertAlign w:val="subscript"/>
              </w:rPr>
              <w:t>4</w:t>
            </w:r>
          </w:p>
        </w:tc>
        <w:tc>
          <w:tcPr>
            <w:tcW w:w="991" w:type="dxa"/>
            <w:tcBorders>
              <w:top w:val="single" w:sz="4" w:space="0" w:color="365F91"/>
              <w:bottom w:val="single" w:sz="4" w:space="0" w:color="365F91"/>
            </w:tcBorders>
            <w:shd w:val="clear" w:color="auto" w:fill="FFFFFF"/>
            <w:tcMar>
              <w:top w:w="0" w:type="dxa"/>
              <w:left w:w="85" w:type="dxa"/>
              <w:bottom w:w="0" w:type="dxa"/>
              <w:right w:w="85" w:type="dxa"/>
            </w:tcMar>
          </w:tcPr>
          <w:p w14:paraId="50012CB1"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6,147.3</w:t>
            </w:r>
          </w:p>
        </w:tc>
        <w:tc>
          <w:tcPr>
            <w:tcW w:w="991" w:type="dxa"/>
            <w:tcBorders>
              <w:top w:val="single" w:sz="4" w:space="0" w:color="365F91"/>
              <w:bottom w:val="single" w:sz="4" w:space="0" w:color="365F91"/>
            </w:tcBorders>
            <w:shd w:val="clear" w:color="auto" w:fill="FFFFFF"/>
            <w:tcMar>
              <w:top w:w="0" w:type="dxa"/>
              <w:left w:w="85" w:type="dxa"/>
              <w:bottom w:w="0" w:type="dxa"/>
              <w:right w:w="85" w:type="dxa"/>
            </w:tcMar>
          </w:tcPr>
          <w:p w14:paraId="581C56F8"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14,013.6</w:t>
            </w:r>
          </w:p>
        </w:tc>
        <w:tc>
          <w:tcPr>
            <w:tcW w:w="955" w:type="dxa"/>
            <w:tcBorders>
              <w:top w:val="single" w:sz="4" w:space="0" w:color="365F91"/>
              <w:bottom w:val="single" w:sz="4" w:space="0" w:color="365F91"/>
            </w:tcBorders>
            <w:shd w:val="clear" w:color="auto" w:fill="FFFFFF"/>
            <w:tcMar>
              <w:top w:w="0" w:type="dxa"/>
              <w:left w:w="85" w:type="dxa"/>
              <w:bottom w:w="0" w:type="dxa"/>
              <w:right w:w="85" w:type="dxa"/>
            </w:tcMar>
          </w:tcPr>
          <w:p w14:paraId="52414BAC"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0.063</w:t>
            </w:r>
          </w:p>
        </w:tc>
        <w:tc>
          <w:tcPr>
            <w:tcW w:w="1061" w:type="dxa"/>
            <w:tcBorders>
              <w:top w:val="single" w:sz="4" w:space="0" w:color="365F91"/>
              <w:bottom w:val="single" w:sz="4" w:space="0" w:color="365F91"/>
            </w:tcBorders>
            <w:shd w:val="clear" w:color="auto" w:fill="FFFFFF"/>
            <w:tcMar>
              <w:top w:w="0" w:type="dxa"/>
              <w:left w:w="85" w:type="dxa"/>
              <w:bottom w:w="0" w:type="dxa"/>
              <w:right w:w="85" w:type="dxa"/>
            </w:tcMar>
          </w:tcPr>
          <w:p w14:paraId="2E00EEAF"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7.2</w:t>
            </w:r>
          </w:p>
        </w:tc>
        <w:tc>
          <w:tcPr>
            <w:tcW w:w="961" w:type="dxa"/>
            <w:tcBorders>
              <w:top w:val="single" w:sz="4" w:space="0" w:color="365F91"/>
              <w:bottom w:val="single" w:sz="4" w:space="0" w:color="365F91"/>
              <w:right w:val="single" w:sz="4" w:space="0" w:color="FFFFFF"/>
            </w:tcBorders>
            <w:shd w:val="clear" w:color="auto" w:fill="FFFFFF"/>
            <w:tcMar>
              <w:top w:w="0" w:type="dxa"/>
              <w:left w:w="85" w:type="dxa"/>
              <w:bottom w:w="0" w:type="dxa"/>
              <w:right w:w="85" w:type="dxa"/>
            </w:tcMar>
          </w:tcPr>
          <w:p w14:paraId="74D18A4F"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58.7</w:t>
            </w:r>
          </w:p>
        </w:tc>
      </w:tr>
      <w:tr w:rsidR="00A37132" w:rsidRPr="00BE78CA" w14:paraId="1388B548" w14:textId="77777777" w:rsidTr="00834B58">
        <w:trPr>
          <w:cantSplit/>
        </w:trPr>
        <w:tc>
          <w:tcPr>
            <w:tcW w:w="846" w:type="dxa"/>
            <w:tcBorders>
              <w:top w:val="single" w:sz="4" w:space="0" w:color="365F91"/>
              <w:left w:val="single" w:sz="4" w:space="0" w:color="FFFFFF"/>
              <w:bottom w:val="single" w:sz="4" w:space="0" w:color="365F91"/>
            </w:tcBorders>
            <w:shd w:val="clear" w:color="auto" w:fill="FFFFFF"/>
            <w:tcMar>
              <w:top w:w="0" w:type="dxa"/>
              <w:left w:w="85" w:type="dxa"/>
              <w:bottom w:w="0" w:type="dxa"/>
              <w:right w:w="85" w:type="dxa"/>
            </w:tcMar>
          </w:tcPr>
          <w:p w14:paraId="042FA9F1" w14:textId="77777777" w:rsidR="00387C28" w:rsidRPr="00BE78CA" w:rsidRDefault="00387C28" w:rsidP="00A37132">
            <w:pPr>
              <w:pStyle w:val="TableText"/>
              <w:spacing w:before="50" w:after="50"/>
              <w:rPr>
                <w:rFonts w:cs="Calibri"/>
                <w:szCs w:val="16"/>
              </w:rPr>
            </w:pPr>
            <w:r w:rsidRPr="00BE78CA">
              <w:rPr>
                <w:rFonts w:eastAsia="Calibri" w:cs="Calibri"/>
                <w:szCs w:val="16"/>
              </w:rPr>
              <w:t>1.A.3.b</w:t>
            </w:r>
          </w:p>
        </w:tc>
        <w:tc>
          <w:tcPr>
            <w:tcW w:w="2197" w:type="dxa"/>
            <w:tcBorders>
              <w:top w:val="single" w:sz="4" w:space="0" w:color="365F91"/>
              <w:bottom w:val="single" w:sz="4" w:space="0" w:color="365F91"/>
            </w:tcBorders>
            <w:shd w:val="clear" w:color="auto" w:fill="FFFFFF"/>
            <w:tcMar>
              <w:top w:w="0" w:type="dxa"/>
              <w:left w:w="85" w:type="dxa"/>
              <w:bottom w:w="0" w:type="dxa"/>
              <w:right w:w="85" w:type="dxa"/>
            </w:tcMar>
          </w:tcPr>
          <w:p w14:paraId="33973CD9" w14:textId="77777777" w:rsidR="00387C28" w:rsidRPr="00BE78CA" w:rsidRDefault="00387C28" w:rsidP="00A37132">
            <w:pPr>
              <w:pStyle w:val="TableText"/>
              <w:spacing w:before="50" w:after="50"/>
              <w:rPr>
                <w:rFonts w:cs="Calibri"/>
                <w:szCs w:val="16"/>
              </w:rPr>
            </w:pPr>
            <w:r w:rsidRPr="00BE78CA">
              <w:rPr>
                <w:rFonts w:eastAsia="Calibri" w:cs="Calibri"/>
                <w:szCs w:val="16"/>
              </w:rPr>
              <w:t>Transport – Road Transportation</w:t>
            </w:r>
          </w:p>
        </w:tc>
        <w:tc>
          <w:tcPr>
            <w:tcW w:w="492" w:type="dxa"/>
            <w:tcBorders>
              <w:top w:val="single" w:sz="4" w:space="0" w:color="365F91"/>
              <w:bottom w:val="single" w:sz="4" w:space="0" w:color="365F91"/>
            </w:tcBorders>
            <w:shd w:val="clear" w:color="auto" w:fill="FFFFFF"/>
            <w:tcMar>
              <w:top w:w="0" w:type="dxa"/>
              <w:left w:w="85" w:type="dxa"/>
              <w:bottom w:w="0" w:type="dxa"/>
              <w:right w:w="85" w:type="dxa"/>
            </w:tcMar>
          </w:tcPr>
          <w:p w14:paraId="4C061072" w14:textId="77777777" w:rsidR="00387C28" w:rsidRPr="00BE78CA" w:rsidRDefault="00387C28" w:rsidP="00A37132">
            <w:pPr>
              <w:pStyle w:val="TableText"/>
              <w:spacing w:before="50" w:after="50"/>
              <w:jc w:val="center"/>
              <w:rPr>
                <w:rFonts w:cs="Calibri"/>
                <w:szCs w:val="16"/>
              </w:rPr>
            </w:pPr>
            <w:r w:rsidRPr="00BE78CA">
              <w:rPr>
                <w:rFonts w:eastAsia="Calibri" w:cs="Calibri"/>
                <w:szCs w:val="16"/>
              </w:rPr>
              <w:t>CO</w:t>
            </w:r>
            <w:r w:rsidRPr="00BE78CA">
              <w:rPr>
                <w:rFonts w:eastAsia="Calibri" w:cs="Calibri"/>
                <w:szCs w:val="16"/>
                <w:vertAlign w:val="subscript"/>
              </w:rPr>
              <w:t>2</w:t>
            </w:r>
          </w:p>
        </w:tc>
        <w:tc>
          <w:tcPr>
            <w:tcW w:w="991" w:type="dxa"/>
            <w:tcBorders>
              <w:top w:val="single" w:sz="4" w:space="0" w:color="365F91"/>
              <w:bottom w:val="single" w:sz="4" w:space="0" w:color="365F91"/>
            </w:tcBorders>
            <w:shd w:val="clear" w:color="auto" w:fill="FFFFFF"/>
            <w:tcMar>
              <w:top w:w="0" w:type="dxa"/>
              <w:left w:w="85" w:type="dxa"/>
              <w:bottom w:w="0" w:type="dxa"/>
              <w:right w:w="85" w:type="dxa"/>
            </w:tcMar>
          </w:tcPr>
          <w:p w14:paraId="1FB1C76C"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7,164.6</w:t>
            </w:r>
          </w:p>
        </w:tc>
        <w:tc>
          <w:tcPr>
            <w:tcW w:w="991" w:type="dxa"/>
            <w:tcBorders>
              <w:top w:val="single" w:sz="4" w:space="0" w:color="365F91"/>
              <w:bottom w:val="single" w:sz="4" w:space="0" w:color="365F91"/>
            </w:tcBorders>
            <w:shd w:val="clear" w:color="auto" w:fill="FFFFFF"/>
            <w:tcMar>
              <w:top w:w="0" w:type="dxa"/>
              <w:left w:w="85" w:type="dxa"/>
              <w:bottom w:w="0" w:type="dxa"/>
              <w:right w:w="85" w:type="dxa"/>
            </w:tcMar>
          </w:tcPr>
          <w:p w14:paraId="023C4431"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14,559.4</w:t>
            </w:r>
          </w:p>
        </w:tc>
        <w:tc>
          <w:tcPr>
            <w:tcW w:w="955" w:type="dxa"/>
            <w:tcBorders>
              <w:top w:val="single" w:sz="4" w:space="0" w:color="365F91"/>
              <w:bottom w:val="single" w:sz="4" w:space="0" w:color="365F91"/>
            </w:tcBorders>
            <w:shd w:val="clear" w:color="auto" w:fill="FFFFFF"/>
            <w:tcMar>
              <w:top w:w="0" w:type="dxa"/>
              <w:left w:w="85" w:type="dxa"/>
              <w:bottom w:w="0" w:type="dxa"/>
              <w:right w:w="85" w:type="dxa"/>
            </w:tcMar>
          </w:tcPr>
          <w:p w14:paraId="5D10C9FD"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0.054</w:t>
            </w:r>
          </w:p>
        </w:tc>
        <w:tc>
          <w:tcPr>
            <w:tcW w:w="1061" w:type="dxa"/>
            <w:tcBorders>
              <w:top w:val="single" w:sz="4" w:space="0" w:color="365F91"/>
              <w:bottom w:val="single" w:sz="4" w:space="0" w:color="365F91"/>
            </w:tcBorders>
            <w:shd w:val="clear" w:color="auto" w:fill="FFFFFF"/>
            <w:tcMar>
              <w:top w:w="0" w:type="dxa"/>
              <w:left w:w="85" w:type="dxa"/>
              <w:bottom w:w="0" w:type="dxa"/>
              <w:right w:w="85" w:type="dxa"/>
            </w:tcMar>
          </w:tcPr>
          <w:p w14:paraId="6821E5F9"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6.2</w:t>
            </w:r>
          </w:p>
        </w:tc>
        <w:tc>
          <w:tcPr>
            <w:tcW w:w="961" w:type="dxa"/>
            <w:tcBorders>
              <w:top w:val="single" w:sz="4" w:space="0" w:color="365F91"/>
              <w:bottom w:val="single" w:sz="4" w:space="0" w:color="365F91"/>
              <w:right w:val="single" w:sz="4" w:space="0" w:color="FFFFFF"/>
            </w:tcBorders>
            <w:shd w:val="clear" w:color="auto" w:fill="FFFFFF"/>
            <w:tcMar>
              <w:top w:w="0" w:type="dxa"/>
              <w:left w:w="85" w:type="dxa"/>
              <w:bottom w:w="0" w:type="dxa"/>
              <w:right w:w="85" w:type="dxa"/>
            </w:tcMar>
          </w:tcPr>
          <w:p w14:paraId="778063FC"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64.9</w:t>
            </w:r>
          </w:p>
        </w:tc>
      </w:tr>
      <w:tr w:rsidR="00A37132" w:rsidRPr="00BE78CA" w14:paraId="2D85D1D4" w14:textId="77777777" w:rsidTr="00834B58">
        <w:trPr>
          <w:cantSplit/>
        </w:trPr>
        <w:tc>
          <w:tcPr>
            <w:tcW w:w="846" w:type="dxa"/>
            <w:tcBorders>
              <w:top w:val="single" w:sz="4" w:space="0" w:color="365F91"/>
              <w:left w:val="single" w:sz="4" w:space="0" w:color="FFFFFF"/>
              <w:bottom w:val="single" w:sz="4" w:space="0" w:color="365F91"/>
            </w:tcBorders>
            <w:shd w:val="clear" w:color="auto" w:fill="FFFFFF"/>
            <w:tcMar>
              <w:top w:w="0" w:type="dxa"/>
              <w:left w:w="85" w:type="dxa"/>
              <w:bottom w:w="0" w:type="dxa"/>
              <w:right w:w="85" w:type="dxa"/>
            </w:tcMar>
          </w:tcPr>
          <w:p w14:paraId="7E9F5302" w14:textId="77777777" w:rsidR="00387C28" w:rsidRPr="00BE78CA" w:rsidRDefault="00387C28" w:rsidP="00A37132">
            <w:pPr>
              <w:pStyle w:val="TableText"/>
              <w:spacing w:before="50" w:after="50"/>
              <w:rPr>
                <w:rFonts w:cs="Calibri"/>
                <w:szCs w:val="16"/>
              </w:rPr>
            </w:pPr>
            <w:r w:rsidRPr="00BE78CA">
              <w:rPr>
                <w:rFonts w:eastAsia="Calibri" w:cs="Calibri"/>
                <w:szCs w:val="16"/>
              </w:rPr>
              <w:t>4.C.2</w:t>
            </w:r>
          </w:p>
        </w:tc>
        <w:tc>
          <w:tcPr>
            <w:tcW w:w="2197" w:type="dxa"/>
            <w:tcBorders>
              <w:top w:val="single" w:sz="4" w:space="0" w:color="365F91"/>
              <w:bottom w:val="single" w:sz="4" w:space="0" w:color="365F91"/>
            </w:tcBorders>
            <w:shd w:val="clear" w:color="auto" w:fill="FFFFFF"/>
            <w:tcMar>
              <w:top w:w="0" w:type="dxa"/>
              <w:left w:w="85" w:type="dxa"/>
              <w:bottom w:w="0" w:type="dxa"/>
              <w:right w:w="85" w:type="dxa"/>
            </w:tcMar>
          </w:tcPr>
          <w:p w14:paraId="41407B59" w14:textId="77777777" w:rsidR="00387C28" w:rsidRPr="00BE78CA" w:rsidRDefault="00387C28" w:rsidP="00A37132">
            <w:pPr>
              <w:pStyle w:val="TableText"/>
              <w:spacing w:before="50" w:after="50"/>
              <w:rPr>
                <w:rFonts w:cs="Calibri"/>
                <w:szCs w:val="16"/>
              </w:rPr>
            </w:pPr>
            <w:r w:rsidRPr="00BE78CA">
              <w:rPr>
                <w:rFonts w:eastAsia="Calibri" w:cs="Calibri"/>
                <w:szCs w:val="16"/>
              </w:rPr>
              <w:t>Grassland – Land Converted to Grassland</w:t>
            </w:r>
          </w:p>
        </w:tc>
        <w:tc>
          <w:tcPr>
            <w:tcW w:w="492" w:type="dxa"/>
            <w:tcBorders>
              <w:top w:val="single" w:sz="4" w:space="0" w:color="365F91"/>
              <w:bottom w:val="single" w:sz="4" w:space="0" w:color="365F91"/>
            </w:tcBorders>
            <w:shd w:val="clear" w:color="auto" w:fill="FFFFFF"/>
            <w:tcMar>
              <w:top w:w="0" w:type="dxa"/>
              <w:left w:w="85" w:type="dxa"/>
              <w:bottom w:w="0" w:type="dxa"/>
              <w:right w:w="85" w:type="dxa"/>
            </w:tcMar>
          </w:tcPr>
          <w:p w14:paraId="61C8D67A" w14:textId="77777777" w:rsidR="00387C28" w:rsidRPr="00BE78CA" w:rsidRDefault="00387C28" w:rsidP="00A37132">
            <w:pPr>
              <w:pStyle w:val="TableText"/>
              <w:spacing w:before="50" w:after="50"/>
              <w:jc w:val="center"/>
              <w:rPr>
                <w:rFonts w:cs="Calibri"/>
                <w:szCs w:val="16"/>
              </w:rPr>
            </w:pPr>
            <w:r w:rsidRPr="00BE78CA">
              <w:rPr>
                <w:rFonts w:eastAsia="Calibri" w:cs="Calibri"/>
                <w:szCs w:val="16"/>
              </w:rPr>
              <w:t>CO</w:t>
            </w:r>
            <w:r w:rsidRPr="00BE78CA">
              <w:rPr>
                <w:rFonts w:eastAsia="Calibri" w:cs="Calibri"/>
                <w:szCs w:val="16"/>
                <w:vertAlign w:val="subscript"/>
              </w:rPr>
              <w:t>2</w:t>
            </w:r>
          </w:p>
        </w:tc>
        <w:tc>
          <w:tcPr>
            <w:tcW w:w="991" w:type="dxa"/>
            <w:tcBorders>
              <w:top w:val="single" w:sz="4" w:space="0" w:color="365F91"/>
              <w:bottom w:val="single" w:sz="4" w:space="0" w:color="365F91"/>
            </w:tcBorders>
            <w:shd w:val="clear" w:color="auto" w:fill="FFFFFF"/>
            <w:tcMar>
              <w:top w:w="0" w:type="dxa"/>
              <w:left w:w="85" w:type="dxa"/>
              <w:bottom w:w="0" w:type="dxa"/>
              <w:right w:w="85" w:type="dxa"/>
            </w:tcMar>
          </w:tcPr>
          <w:p w14:paraId="70D8FBA8"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311.5</w:t>
            </w:r>
          </w:p>
        </w:tc>
        <w:tc>
          <w:tcPr>
            <w:tcW w:w="991" w:type="dxa"/>
            <w:tcBorders>
              <w:top w:val="single" w:sz="4" w:space="0" w:color="365F91"/>
              <w:bottom w:val="single" w:sz="4" w:space="0" w:color="365F91"/>
            </w:tcBorders>
            <w:shd w:val="clear" w:color="auto" w:fill="FFFFFF"/>
            <w:tcMar>
              <w:top w:w="0" w:type="dxa"/>
              <w:left w:w="85" w:type="dxa"/>
              <w:bottom w:w="0" w:type="dxa"/>
              <w:right w:w="85" w:type="dxa"/>
            </w:tcMar>
          </w:tcPr>
          <w:p w14:paraId="4F3B471A"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2,953.0</w:t>
            </w:r>
          </w:p>
        </w:tc>
        <w:tc>
          <w:tcPr>
            <w:tcW w:w="955" w:type="dxa"/>
            <w:tcBorders>
              <w:top w:val="single" w:sz="4" w:space="0" w:color="365F91"/>
              <w:bottom w:val="single" w:sz="4" w:space="0" w:color="365F91"/>
            </w:tcBorders>
            <w:shd w:val="clear" w:color="auto" w:fill="FFFFFF"/>
            <w:tcMar>
              <w:top w:w="0" w:type="dxa"/>
              <w:left w:w="85" w:type="dxa"/>
              <w:bottom w:w="0" w:type="dxa"/>
              <w:right w:w="85" w:type="dxa"/>
            </w:tcMar>
          </w:tcPr>
          <w:p w14:paraId="3023A004"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0.028</w:t>
            </w:r>
          </w:p>
        </w:tc>
        <w:tc>
          <w:tcPr>
            <w:tcW w:w="1061" w:type="dxa"/>
            <w:tcBorders>
              <w:top w:val="single" w:sz="4" w:space="0" w:color="365F91"/>
              <w:bottom w:val="single" w:sz="4" w:space="0" w:color="365F91"/>
            </w:tcBorders>
            <w:shd w:val="clear" w:color="auto" w:fill="FFFFFF"/>
            <w:tcMar>
              <w:top w:w="0" w:type="dxa"/>
              <w:left w:w="85" w:type="dxa"/>
              <w:bottom w:w="0" w:type="dxa"/>
              <w:right w:w="85" w:type="dxa"/>
            </w:tcMar>
          </w:tcPr>
          <w:p w14:paraId="61BE7EAF"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3.1</w:t>
            </w:r>
          </w:p>
        </w:tc>
        <w:tc>
          <w:tcPr>
            <w:tcW w:w="961" w:type="dxa"/>
            <w:tcBorders>
              <w:top w:val="single" w:sz="4" w:space="0" w:color="365F91"/>
              <w:bottom w:val="single" w:sz="4" w:space="0" w:color="365F91"/>
              <w:right w:val="single" w:sz="4" w:space="0" w:color="FFFFFF"/>
            </w:tcBorders>
            <w:shd w:val="clear" w:color="auto" w:fill="FFFFFF"/>
            <w:tcMar>
              <w:top w:w="0" w:type="dxa"/>
              <w:left w:w="85" w:type="dxa"/>
              <w:bottom w:w="0" w:type="dxa"/>
              <w:right w:w="85" w:type="dxa"/>
            </w:tcMar>
          </w:tcPr>
          <w:p w14:paraId="640EF97B"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68.0</w:t>
            </w:r>
          </w:p>
        </w:tc>
      </w:tr>
      <w:tr w:rsidR="00A37132" w:rsidRPr="00BE78CA" w14:paraId="3885204B" w14:textId="77777777" w:rsidTr="00834B58">
        <w:trPr>
          <w:cantSplit/>
        </w:trPr>
        <w:tc>
          <w:tcPr>
            <w:tcW w:w="846" w:type="dxa"/>
            <w:tcBorders>
              <w:top w:val="single" w:sz="4" w:space="0" w:color="365F91"/>
              <w:left w:val="single" w:sz="4" w:space="0" w:color="FFFFFF"/>
              <w:bottom w:val="single" w:sz="4" w:space="0" w:color="365F91"/>
            </w:tcBorders>
            <w:shd w:val="clear" w:color="auto" w:fill="FFFFFF"/>
            <w:tcMar>
              <w:top w:w="0" w:type="dxa"/>
              <w:left w:w="85" w:type="dxa"/>
              <w:bottom w:w="0" w:type="dxa"/>
              <w:right w:w="85" w:type="dxa"/>
            </w:tcMar>
          </w:tcPr>
          <w:p w14:paraId="01CF8C4F" w14:textId="77777777" w:rsidR="00387C28" w:rsidRPr="00BE78CA" w:rsidRDefault="00387C28" w:rsidP="00A37132">
            <w:pPr>
              <w:pStyle w:val="TableText"/>
              <w:spacing w:before="50" w:after="50"/>
              <w:rPr>
                <w:rFonts w:cs="Calibri"/>
                <w:szCs w:val="16"/>
              </w:rPr>
            </w:pPr>
            <w:r w:rsidRPr="00BE78CA">
              <w:rPr>
                <w:rFonts w:eastAsia="Calibri" w:cs="Calibri"/>
                <w:szCs w:val="16"/>
              </w:rPr>
              <w:t>3.A.1</w:t>
            </w:r>
          </w:p>
        </w:tc>
        <w:tc>
          <w:tcPr>
            <w:tcW w:w="2197" w:type="dxa"/>
            <w:tcBorders>
              <w:top w:val="single" w:sz="4" w:space="0" w:color="365F91"/>
              <w:bottom w:val="single" w:sz="4" w:space="0" w:color="365F91"/>
            </w:tcBorders>
            <w:shd w:val="clear" w:color="auto" w:fill="FFFFFF"/>
            <w:tcMar>
              <w:top w:w="0" w:type="dxa"/>
              <w:left w:w="85" w:type="dxa"/>
              <w:bottom w:w="0" w:type="dxa"/>
              <w:right w:w="85" w:type="dxa"/>
            </w:tcMar>
          </w:tcPr>
          <w:p w14:paraId="12466175" w14:textId="77777777" w:rsidR="00387C28" w:rsidRPr="00BE78CA" w:rsidRDefault="00387C28" w:rsidP="00A37132">
            <w:pPr>
              <w:pStyle w:val="TableText"/>
              <w:spacing w:before="50" w:after="50"/>
              <w:rPr>
                <w:rFonts w:cs="Calibri"/>
                <w:szCs w:val="16"/>
              </w:rPr>
            </w:pPr>
            <w:r w:rsidRPr="00BE78CA">
              <w:rPr>
                <w:rFonts w:eastAsia="Calibri" w:cs="Calibri"/>
                <w:szCs w:val="16"/>
              </w:rPr>
              <w:t xml:space="preserve">Option A – Non-Dairy </w:t>
            </w:r>
            <w:r w:rsidRPr="00BE78CA">
              <w:rPr>
                <w:rFonts w:eastAsia="Calibri" w:cs="Calibri"/>
                <w:i/>
                <w:iCs/>
                <w:szCs w:val="16"/>
              </w:rPr>
              <w:t xml:space="preserve">(Beef) </w:t>
            </w:r>
            <w:r w:rsidRPr="00BE78CA">
              <w:rPr>
                <w:rFonts w:eastAsia="Calibri" w:cs="Calibri"/>
                <w:szCs w:val="16"/>
              </w:rPr>
              <w:t>Cattle</w:t>
            </w:r>
          </w:p>
        </w:tc>
        <w:tc>
          <w:tcPr>
            <w:tcW w:w="492" w:type="dxa"/>
            <w:tcBorders>
              <w:top w:val="single" w:sz="4" w:space="0" w:color="365F91"/>
              <w:bottom w:val="single" w:sz="4" w:space="0" w:color="365F91"/>
            </w:tcBorders>
            <w:shd w:val="clear" w:color="auto" w:fill="FFFFFF"/>
            <w:tcMar>
              <w:top w:w="0" w:type="dxa"/>
              <w:left w:w="85" w:type="dxa"/>
              <w:bottom w:w="0" w:type="dxa"/>
              <w:right w:w="85" w:type="dxa"/>
            </w:tcMar>
          </w:tcPr>
          <w:p w14:paraId="3115862C" w14:textId="77777777" w:rsidR="00387C28" w:rsidRPr="00BE78CA" w:rsidRDefault="00387C28" w:rsidP="00A37132">
            <w:pPr>
              <w:pStyle w:val="TableText"/>
              <w:spacing w:before="50" w:after="50"/>
              <w:jc w:val="center"/>
              <w:rPr>
                <w:rFonts w:cs="Calibri"/>
                <w:szCs w:val="16"/>
              </w:rPr>
            </w:pPr>
            <w:r w:rsidRPr="00BE78CA">
              <w:rPr>
                <w:rFonts w:eastAsia="Calibri" w:cs="Calibri"/>
                <w:szCs w:val="16"/>
              </w:rPr>
              <w:t>CH</w:t>
            </w:r>
            <w:r w:rsidRPr="00BE78CA">
              <w:rPr>
                <w:rFonts w:eastAsia="Calibri" w:cs="Calibri"/>
                <w:szCs w:val="16"/>
                <w:vertAlign w:val="subscript"/>
              </w:rPr>
              <w:t>4</w:t>
            </w:r>
          </w:p>
        </w:tc>
        <w:tc>
          <w:tcPr>
            <w:tcW w:w="991" w:type="dxa"/>
            <w:tcBorders>
              <w:top w:val="single" w:sz="4" w:space="0" w:color="365F91"/>
              <w:bottom w:val="single" w:sz="4" w:space="0" w:color="365F91"/>
            </w:tcBorders>
            <w:shd w:val="clear" w:color="auto" w:fill="FFFFFF"/>
            <w:tcMar>
              <w:top w:w="0" w:type="dxa"/>
              <w:left w:w="85" w:type="dxa"/>
              <w:bottom w:w="0" w:type="dxa"/>
              <w:right w:w="85" w:type="dxa"/>
            </w:tcMar>
          </w:tcPr>
          <w:p w14:paraId="21C90719"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5,950.0</w:t>
            </w:r>
          </w:p>
        </w:tc>
        <w:tc>
          <w:tcPr>
            <w:tcW w:w="991" w:type="dxa"/>
            <w:tcBorders>
              <w:top w:val="single" w:sz="4" w:space="0" w:color="365F91"/>
              <w:bottom w:val="single" w:sz="4" w:space="0" w:color="365F91"/>
            </w:tcBorders>
            <w:shd w:val="clear" w:color="auto" w:fill="FFFFFF"/>
            <w:tcMar>
              <w:top w:w="0" w:type="dxa"/>
              <w:left w:w="85" w:type="dxa"/>
              <w:bottom w:w="0" w:type="dxa"/>
              <w:right w:w="85" w:type="dxa"/>
            </w:tcMar>
          </w:tcPr>
          <w:p w14:paraId="38221E01"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5,893.7</w:t>
            </w:r>
          </w:p>
        </w:tc>
        <w:tc>
          <w:tcPr>
            <w:tcW w:w="955" w:type="dxa"/>
            <w:tcBorders>
              <w:top w:val="single" w:sz="4" w:space="0" w:color="365F91"/>
              <w:bottom w:val="single" w:sz="4" w:space="0" w:color="365F91"/>
            </w:tcBorders>
            <w:shd w:val="clear" w:color="auto" w:fill="FFFFFF"/>
            <w:tcMar>
              <w:top w:w="0" w:type="dxa"/>
              <w:left w:w="85" w:type="dxa"/>
              <w:bottom w:w="0" w:type="dxa"/>
              <w:right w:w="85" w:type="dxa"/>
            </w:tcMar>
          </w:tcPr>
          <w:p w14:paraId="0FE5D0A0"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0.022</w:t>
            </w:r>
          </w:p>
        </w:tc>
        <w:tc>
          <w:tcPr>
            <w:tcW w:w="1061" w:type="dxa"/>
            <w:tcBorders>
              <w:top w:val="single" w:sz="4" w:space="0" w:color="365F91"/>
              <w:bottom w:val="single" w:sz="4" w:space="0" w:color="365F91"/>
            </w:tcBorders>
            <w:shd w:val="clear" w:color="auto" w:fill="FFFFFF"/>
            <w:tcMar>
              <w:top w:w="0" w:type="dxa"/>
              <w:left w:w="85" w:type="dxa"/>
              <w:bottom w:w="0" w:type="dxa"/>
              <w:right w:w="85" w:type="dxa"/>
            </w:tcMar>
          </w:tcPr>
          <w:p w14:paraId="7E814FCE"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2.5</w:t>
            </w:r>
          </w:p>
        </w:tc>
        <w:tc>
          <w:tcPr>
            <w:tcW w:w="961" w:type="dxa"/>
            <w:tcBorders>
              <w:top w:val="single" w:sz="4" w:space="0" w:color="365F91"/>
              <w:bottom w:val="single" w:sz="4" w:space="0" w:color="365F91"/>
              <w:right w:val="single" w:sz="4" w:space="0" w:color="FFFFFF"/>
            </w:tcBorders>
            <w:shd w:val="clear" w:color="auto" w:fill="FFFFFF"/>
            <w:tcMar>
              <w:top w:w="0" w:type="dxa"/>
              <w:left w:w="85" w:type="dxa"/>
              <w:bottom w:w="0" w:type="dxa"/>
              <w:right w:w="85" w:type="dxa"/>
            </w:tcMar>
          </w:tcPr>
          <w:p w14:paraId="41DF8F31"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70.6</w:t>
            </w:r>
          </w:p>
        </w:tc>
      </w:tr>
      <w:tr w:rsidR="00A37132" w:rsidRPr="00BE78CA" w14:paraId="4722452E" w14:textId="77777777" w:rsidTr="00834B58">
        <w:trPr>
          <w:cantSplit/>
        </w:trPr>
        <w:tc>
          <w:tcPr>
            <w:tcW w:w="846" w:type="dxa"/>
            <w:tcBorders>
              <w:top w:val="single" w:sz="4" w:space="0" w:color="365F91"/>
              <w:left w:val="single" w:sz="4" w:space="0" w:color="FFFFFF"/>
              <w:bottom w:val="single" w:sz="4" w:space="0" w:color="365F91"/>
            </w:tcBorders>
            <w:shd w:val="clear" w:color="auto" w:fill="FFFFFF"/>
            <w:tcMar>
              <w:top w:w="0" w:type="dxa"/>
              <w:left w:w="85" w:type="dxa"/>
              <w:bottom w:w="0" w:type="dxa"/>
              <w:right w:w="85" w:type="dxa"/>
            </w:tcMar>
          </w:tcPr>
          <w:p w14:paraId="6634C0C0" w14:textId="77777777" w:rsidR="00387C28" w:rsidRPr="00BE78CA" w:rsidRDefault="00387C28" w:rsidP="00A37132">
            <w:pPr>
              <w:pStyle w:val="TableText"/>
              <w:spacing w:before="50" w:after="50"/>
              <w:rPr>
                <w:rFonts w:cs="Calibri"/>
                <w:szCs w:val="16"/>
              </w:rPr>
            </w:pPr>
            <w:r w:rsidRPr="00BE78CA">
              <w:rPr>
                <w:rFonts w:eastAsia="Calibri" w:cs="Calibri"/>
                <w:szCs w:val="16"/>
              </w:rPr>
              <w:t>1.A.1.c</w:t>
            </w:r>
          </w:p>
        </w:tc>
        <w:tc>
          <w:tcPr>
            <w:tcW w:w="2197" w:type="dxa"/>
            <w:tcBorders>
              <w:top w:val="single" w:sz="4" w:space="0" w:color="365F91"/>
              <w:bottom w:val="single" w:sz="4" w:space="0" w:color="365F91"/>
            </w:tcBorders>
            <w:shd w:val="clear" w:color="auto" w:fill="FFFFFF"/>
            <w:tcMar>
              <w:top w:w="0" w:type="dxa"/>
              <w:left w:w="85" w:type="dxa"/>
              <w:bottom w:w="0" w:type="dxa"/>
              <w:right w:w="85" w:type="dxa"/>
            </w:tcMar>
          </w:tcPr>
          <w:p w14:paraId="10D367FC" w14:textId="77777777" w:rsidR="00387C28" w:rsidRPr="00BE78CA" w:rsidRDefault="00387C28" w:rsidP="00A37132">
            <w:pPr>
              <w:pStyle w:val="TableText"/>
              <w:spacing w:before="50" w:after="50"/>
              <w:rPr>
                <w:rFonts w:cs="Calibri"/>
                <w:szCs w:val="16"/>
              </w:rPr>
            </w:pPr>
            <w:r w:rsidRPr="00BE78CA">
              <w:rPr>
                <w:rFonts w:eastAsia="Calibri" w:cs="Calibri"/>
                <w:szCs w:val="16"/>
              </w:rPr>
              <w:t>Energy Industries – Manufacture of Solid Fuels and Other Energy Industries</w:t>
            </w:r>
          </w:p>
        </w:tc>
        <w:tc>
          <w:tcPr>
            <w:tcW w:w="492" w:type="dxa"/>
            <w:tcBorders>
              <w:top w:val="single" w:sz="4" w:space="0" w:color="365F91"/>
              <w:bottom w:val="single" w:sz="4" w:space="0" w:color="365F91"/>
            </w:tcBorders>
            <w:shd w:val="clear" w:color="auto" w:fill="FFFFFF"/>
            <w:tcMar>
              <w:top w:w="0" w:type="dxa"/>
              <w:left w:w="85" w:type="dxa"/>
              <w:bottom w:w="0" w:type="dxa"/>
              <w:right w:w="85" w:type="dxa"/>
            </w:tcMar>
          </w:tcPr>
          <w:p w14:paraId="1948E70C" w14:textId="77777777" w:rsidR="00387C28" w:rsidRPr="00BE78CA" w:rsidRDefault="00387C28" w:rsidP="00A37132">
            <w:pPr>
              <w:pStyle w:val="TableText"/>
              <w:spacing w:before="50" w:after="50"/>
              <w:jc w:val="center"/>
              <w:rPr>
                <w:rFonts w:cs="Calibri"/>
                <w:szCs w:val="16"/>
              </w:rPr>
            </w:pPr>
            <w:r w:rsidRPr="00BE78CA">
              <w:rPr>
                <w:rFonts w:eastAsia="Calibri" w:cs="Calibri"/>
                <w:szCs w:val="16"/>
              </w:rPr>
              <w:t>CO</w:t>
            </w:r>
            <w:r w:rsidRPr="00BE78CA">
              <w:rPr>
                <w:rFonts w:eastAsia="Calibri" w:cs="Calibri"/>
                <w:szCs w:val="16"/>
                <w:vertAlign w:val="subscript"/>
              </w:rPr>
              <w:t>2</w:t>
            </w:r>
          </w:p>
        </w:tc>
        <w:tc>
          <w:tcPr>
            <w:tcW w:w="991" w:type="dxa"/>
            <w:tcBorders>
              <w:top w:val="single" w:sz="4" w:space="0" w:color="365F91"/>
              <w:bottom w:val="single" w:sz="4" w:space="0" w:color="365F91"/>
            </w:tcBorders>
            <w:shd w:val="clear" w:color="auto" w:fill="FFFFFF"/>
            <w:tcMar>
              <w:top w:w="0" w:type="dxa"/>
              <w:left w:w="85" w:type="dxa"/>
              <w:bottom w:w="0" w:type="dxa"/>
              <w:right w:w="85" w:type="dxa"/>
            </w:tcMar>
          </w:tcPr>
          <w:p w14:paraId="1CD46930"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1,761.0</w:t>
            </w:r>
          </w:p>
        </w:tc>
        <w:tc>
          <w:tcPr>
            <w:tcW w:w="991" w:type="dxa"/>
            <w:tcBorders>
              <w:top w:val="single" w:sz="4" w:space="0" w:color="365F91"/>
              <w:bottom w:val="single" w:sz="4" w:space="0" w:color="365F91"/>
            </w:tcBorders>
            <w:shd w:val="clear" w:color="auto" w:fill="FFFFFF"/>
            <w:tcMar>
              <w:top w:w="0" w:type="dxa"/>
              <w:left w:w="85" w:type="dxa"/>
              <w:bottom w:w="0" w:type="dxa"/>
              <w:right w:w="85" w:type="dxa"/>
            </w:tcMar>
          </w:tcPr>
          <w:p w14:paraId="1BD42843"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354.0</w:t>
            </w:r>
          </w:p>
        </w:tc>
        <w:tc>
          <w:tcPr>
            <w:tcW w:w="955" w:type="dxa"/>
            <w:tcBorders>
              <w:top w:val="single" w:sz="4" w:space="0" w:color="365F91"/>
              <w:bottom w:val="single" w:sz="4" w:space="0" w:color="365F91"/>
            </w:tcBorders>
            <w:shd w:val="clear" w:color="auto" w:fill="FFFFFF"/>
            <w:tcMar>
              <w:top w:w="0" w:type="dxa"/>
              <w:left w:w="85" w:type="dxa"/>
              <w:bottom w:w="0" w:type="dxa"/>
              <w:right w:w="85" w:type="dxa"/>
            </w:tcMar>
          </w:tcPr>
          <w:p w14:paraId="3519534E"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0.022</w:t>
            </w:r>
          </w:p>
        </w:tc>
        <w:tc>
          <w:tcPr>
            <w:tcW w:w="1061" w:type="dxa"/>
            <w:tcBorders>
              <w:top w:val="single" w:sz="4" w:space="0" w:color="365F91"/>
              <w:bottom w:val="single" w:sz="4" w:space="0" w:color="365F91"/>
            </w:tcBorders>
            <w:shd w:val="clear" w:color="auto" w:fill="FFFFFF"/>
            <w:tcMar>
              <w:top w:w="0" w:type="dxa"/>
              <w:left w:w="85" w:type="dxa"/>
              <w:bottom w:w="0" w:type="dxa"/>
              <w:right w:w="85" w:type="dxa"/>
            </w:tcMar>
          </w:tcPr>
          <w:p w14:paraId="279D9D52"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2.5</w:t>
            </w:r>
          </w:p>
        </w:tc>
        <w:tc>
          <w:tcPr>
            <w:tcW w:w="961" w:type="dxa"/>
            <w:tcBorders>
              <w:top w:val="single" w:sz="4" w:space="0" w:color="365F91"/>
              <w:bottom w:val="single" w:sz="4" w:space="0" w:color="365F91"/>
              <w:right w:val="single" w:sz="4" w:space="0" w:color="FFFFFF"/>
            </w:tcBorders>
            <w:shd w:val="clear" w:color="auto" w:fill="FFFFFF"/>
            <w:tcMar>
              <w:top w:w="0" w:type="dxa"/>
              <w:left w:w="85" w:type="dxa"/>
              <w:bottom w:w="0" w:type="dxa"/>
              <w:right w:w="85" w:type="dxa"/>
            </w:tcMar>
          </w:tcPr>
          <w:p w14:paraId="64A91F4A"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73.0</w:t>
            </w:r>
          </w:p>
        </w:tc>
      </w:tr>
      <w:tr w:rsidR="00A37132" w:rsidRPr="00BE78CA" w14:paraId="0329CF10" w14:textId="77777777" w:rsidTr="00834B58">
        <w:trPr>
          <w:cantSplit/>
        </w:trPr>
        <w:tc>
          <w:tcPr>
            <w:tcW w:w="846" w:type="dxa"/>
            <w:tcBorders>
              <w:top w:val="single" w:sz="4" w:space="0" w:color="365F91"/>
              <w:left w:val="single" w:sz="4" w:space="0" w:color="FFFFFF"/>
              <w:bottom w:val="single" w:sz="4" w:space="0" w:color="365F91"/>
            </w:tcBorders>
            <w:shd w:val="clear" w:color="auto" w:fill="FFFFFF"/>
            <w:tcMar>
              <w:top w:w="0" w:type="dxa"/>
              <w:left w:w="85" w:type="dxa"/>
              <w:bottom w:w="0" w:type="dxa"/>
              <w:right w:w="85" w:type="dxa"/>
            </w:tcMar>
          </w:tcPr>
          <w:p w14:paraId="08C4D3C0" w14:textId="77777777" w:rsidR="00387C28" w:rsidRPr="00BE78CA" w:rsidRDefault="00387C28" w:rsidP="00A37132">
            <w:pPr>
              <w:pStyle w:val="TableText"/>
              <w:spacing w:before="50" w:after="50"/>
              <w:rPr>
                <w:rFonts w:cs="Calibri"/>
                <w:szCs w:val="16"/>
              </w:rPr>
            </w:pPr>
            <w:r w:rsidRPr="00BE78CA">
              <w:rPr>
                <w:rFonts w:eastAsia="Calibri" w:cs="Calibri"/>
                <w:szCs w:val="16"/>
              </w:rPr>
              <w:t>5.A</w:t>
            </w:r>
          </w:p>
        </w:tc>
        <w:tc>
          <w:tcPr>
            <w:tcW w:w="2197" w:type="dxa"/>
            <w:tcBorders>
              <w:top w:val="single" w:sz="4" w:space="0" w:color="365F91"/>
              <w:bottom w:val="single" w:sz="4" w:space="0" w:color="365F91"/>
            </w:tcBorders>
            <w:shd w:val="clear" w:color="auto" w:fill="FFFFFF"/>
            <w:tcMar>
              <w:top w:w="0" w:type="dxa"/>
              <w:left w:w="85" w:type="dxa"/>
              <w:bottom w:w="0" w:type="dxa"/>
              <w:right w:w="85" w:type="dxa"/>
            </w:tcMar>
          </w:tcPr>
          <w:p w14:paraId="01FC1EA8" w14:textId="77777777" w:rsidR="00387C28" w:rsidRPr="00BE78CA" w:rsidRDefault="00387C28" w:rsidP="00A37132">
            <w:pPr>
              <w:pStyle w:val="TableText"/>
              <w:spacing w:before="50" w:after="50"/>
              <w:rPr>
                <w:rFonts w:cs="Calibri"/>
                <w:szCs w:val="16"/>
              </w:rPr>
            </w:pPr>
            <w:r w:rsidRPr="00BE78CA">
              <w:rPr>
                <w:rFonts w:eastAsia="Calibri" w:cs="Calibri"/>
                <w:szCs w:val="16"/>
              </w:rPr>
              <w:t>Waste – Solid Waste Disposal</w:t>
            </w:r>
          </w:p>
        </w:tc>
        <w:tc>
          <w:tcPr>
            <w:tcW w:w="492" w:type="dxa"/>
            <w:tcBorders>
              <w:top w:val="single" w:sz="4" w:space="0" w:color="365F91"/>
              <w:bottom w:val="single" w:sz="4" w:space="0" w:color="365F91"/>
            </w:tcBorders>
            <w:shd w:val="clear" w:color="auto" w:fill="FFFFFF"/>
            <w:tcMar>
              <w:top w:w="0" w:type="dxa"/>
              <w:left w:w="85" w:type="dxa"/>
              <w:bottom w:w="0" w:type="dxa"/>
              <w:right w:w="85" w:type="dxa"/>
            </w:tcMar>
          </w:tcPr>
          <w:p w14:paraId="4030C575" w14:textId="77777777" w:rsidR="00387C28" w:rsidRPr="00BE78CA" w:rsidRDefault="00387C28" w:rsidP="00A37132">
            <w:pPr>
              <w:pStyle w:val="TableText"/>
              <w:spacing w:before="50" w:after="50"/>
              <w:jc w:val="center"/>
              <w:rPr>
                <w:rFonts w:cs="Calibri"/>
                <w:szCs w:val="16"/>
              </w:rPr>
            </w:pPr>
            <w:r w:rsidRPr="00BE78CA">
              <w:rPr>
                <w:rFonts w:eastAsia="Calibri" w:cs="Calibri"/>
                <w:szCs w:val="16"/>
              </w:rPr>
              <w:t>CH</w:t>
            </w:r>
            <w:r w:rsidRPr="00BE78CA">
              <w:rPr>
                <w:rFonts w:eastAsia="Calibri" w:cs="Calibri"/>
                <w:szCs w:val="16"/>
                <w:vertAlign w:val="subscript"/>
              </w:rPr>
              <w:t>4</w:t>
            </w:r>
          </w:p>
        </w:tc>
        <w:tc>
          <w:tcPr>
            <w:tcW w:w="991" w:type="dxa"/>
            <w:tcBorders>
              <w:top w:val="single" w:sz="4" w:space="0" w:color="365F91"/>
              <w:bottom w:val="single" w:sz="4" w:space="0" w:color="365F91"/>
            </w:tcBorders>
            <w:shd w:val="clear" w:color="auto" w:fill="FFFFFF"/>
            <w:tcMar>
              <w:top w:w="0" w:type="dxa"/>
              <w:left w:w="85" w:type="dxa"/>
              <w:bottom w:w="0" w:type="dxa"/>
              <w:right w:w="85" w:type="dxa"/>
            </w:tcMar>
          </w:tcPr>
          <w:p w14:paraId="2A13FCB7"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3,337.8</w:t>
            </w:r>
          </w:p>
        </w:tc>
        <w:tc>
          <w:tcPr>
            <w:tcW w:w="991" w:type="dxa"/>
            <w:tcBorders>
              <w:top w:val="single" w:sz="4" w:space="0" w:color="365F91"/>
              <w:bottom w:val="single" w:sz="4" w:space="0" w:color="365F91"/>
            </w:tcBorders>
            <w:shd w:val="clear" w:color="auto" w:fill="FFFFFF"/>
            <w:tcMar>
              <w:top w:w="0" w:type="dxa"/>
              <w:left w:w="85" w:type="dxa"/>
              <w:bottom w:w="0" w:type="dxa"/>
              <w:right w:w="85" w:type="dxa"/>
            </w:tcMar>
          </w:tcPr>
          <w:p w14:paraId="5BD2AF7A"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2,692.9</w:t>
            </w:r>
          </w:p>
        </w:tc>
        <w:tc>
          <w:tcPr>
            <w:tcW w:w="955" w:type="dxa"/>
            <w:tcBorders>
              <w:top w:val="single" w:sz="4" w:space="0" w:color="365F91"/>
              <w:bottom w:val="single" w:sz="4" w:space="0" w:color="365F91"/>
            </w:tcBorders>
            <w:shd w:val="clear" w:color="auto" w:fill="FFFFFF"/>
            <w:tcMar>
              <w:top w:w="0" w:type="dxa"/>
              <w:left w:w="85" w:type="dxa"/>
              <w:bottom w:w="0" w:type="dxa"/>
              <w:right w:w="85" w:type="dxa"/>
            </w:tcMar>
          </w:tcPr>
          <w:p w14:paraId="3CA2C199"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0.019</w:t>
            </w:r>
          </w:p>
        </w:tc>
        <w:tc>
          <w:tcPr>
            <w:tcW w:w="1061" w:type="dxa"/>
            <w:tcBorders>
              <w:top w:val="single" w:sz="4" w:space="0" w:color="365F91"/>
              <w:bottom w:val="single" w:sz="4" w:space="0" w:color="365F91"/>
            </w:tcBorders>
            <w:shd w:val="clear" w:color="auto" w:fill="FFFFFF"/>
            <w:tcMar>
              <w:top w:w="0" w:type="dxa"/>
              <w:left w:w="85" w:type="dxa"/>
              <w:bottom w:w="0" w:type="dxa"/>
              <w:right w:w="85" w:type="dxa"/>
            </w:tcMar>
          </w:tcPr>
          <w:p w14:paraId="4AE9E219"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2.2</w:t>
            </w:r>
          </w:p>
        </w:tc>
        <w:tc>
          <w:tcPr>
            <w:tcW w:w="961" w:type="dxa"/>
            <w:tcBorders>
              <w:top w:val="single" w:sz="4" w:space="0" w:color="365F91"/>
              <w:bottom w:val="single" w:sz="4" w:space="0" w:color="365F91"/>
              <w:right w:val="single" w:sz="4" w:space="0" w:color="FFFFFF"/>
            </w:tcBorders>
            <w:shd w:val="clear" w:color="auto" w:fill="FFFFFF"/>
            <w:tcMar>
              <w:top w:w="0" w:type="dxa"/>
              <w:left w:w="85" w:type="dxa"/>
              <w:bottom w:w="0" w:type="dxa"/>
              <w:right w:w="85" w:type="dxa"/>
            </w:tcMar>
          </w:tcPr>
          <w:p w14:paraId="0993B8EB"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75.2</w:t>
            </w:r>
          </w:p>
        </w:tc>
      </w:tr>
      <w:tr w:rsidR="00A37132" w:rsidRPr="00BE78CA" w14:paraId="0A96F4AF" w14:textId="77777777" w:rsidTr="00834B58">
        <w:trPr>
          <w:cantSplit/>
        </w:trPr>
        <w:tc>
          <w:tcPr>
            <w:tcW w:w="846" w:type="dxa"/>
            <w:tcBorders>
              <w:top w:val="single" w:sz="4" w:space="0" w:color="365F91"/>
              <w:left w:val="single" w:sz="4" w:space="0" w:color="FFFFFF"/>
              <w:bottom w:val="single" w:sz="4" w:space="0" w:color="365F91"/>
            </w:tcBorders>
            <w:shd w:val="clear" w:color="auto" w:fill="FFFFFF"/>
            <w:tcMar>
              <w:top w:w="0" w:type="dxa"/>
              <w:left w:w="85" w:type="dxa"/>
              <w:bottom w:w="0" w:type="dxa"/>
              <w:right w:w="85" w:type="dxa"/>
            </w:tcMar>
          </w:tcPr>
          <w:p w14:paraId="75F95B6C" w14:textId="77777777" w:rsidR="00387C28" w:rsidRPr="00BE78CA" w:rsidRDefault="00387C28" w:rsidP="00A37132">
            <w:pPr>
              <w:pStyle w:val="TableText"/>
              <w:spacing w:before="50" w:after="50"/>
              <w:rPr>
                <w:rFonts w:cs="Calibri"/>
                <w:szCs w:val="16"/>
              </w:rPr>
            </w:pPr>
            <w:r w:rsidRPr="00BE78CA">
              <w:rPr>
                <w:rFonts w:eastAsia="Calibri" w:cs="Calibri"/>
                <w:szCs w:val="16"/>
              </w:rPr>
              <w:t>2.F.1</w:t>
            </w:r>
          </w:p>
        </w:tc>
        <w:tc>
          <w:tcPr>
            <w:tcW w:w="2197" w:type="dxa"/>
            <w:tcBorders>
              <w:top w:val="single" w:sz="4" w:space="0" w:color="365F91"/>
              <w:bottom w:val="single" w:sz="4" w:space="0" w:color="365F91"/>
            </w:tcBorders>
            <w:shd w:val="clear" w:color="auto" w:fill="FFFFFF"/>
            <w:tcMar>
              <w:top w:w="0" w:type="dxa"/>
              <w:left w:w="85" w:type="dxa"/>
              <w:bottom w:w="0" w:type="dxa"/>
              <w:right w:w="85" w:type="dxa"/>
            </w:tcMar>
          </w:tcPr>
          <w:p w14:paraId="7A352A6E" w14:textId="77777777" w:rsidR="00387C28" w:rsidRPr="00BE78CA" w:rsidRDefault="00387C28" w:rsidP="00A37132">
            <w:pPr>
              <w:pStyle w:val="TableText"/>
              <w:spacing w:before="50" w:after="50"/>
              <w:rPr>
                <w:rFonts w:cs="Calibri"/>
                <w:szCs w:val="16"/>
              </w:rPr>
            </w:pPr>
            <w:r w:rsidRPr="00BE78CA">
              <w:rPr>
                <w:rFonts w:eastAsia="Calibri" w:cs="Calibri"/>
                <w:szCs w:val="16"/>
              </w:rPr>
              <w:t>Product Uses as Substitutes for ODS – Refrigeration and Air Conditioning</w:t>
            </w:r>
          </w:p>
        </w:tc>
        <w:tc>
          <w:tcPr>
            <w:tcW w:w="492" w:type="dxa"/>
            <w:tcBorders>
              <w:top w:val="single" w:sz="4" w:space="0" w:color="365F91"/>
              <w:bottom w:val="single" w:sz="4" w:space="0" w:color="365F91"/>
            </w:tcBorders>
            <w:shd w:val="clear" w:color="auto" w:fill="FFFFFF"/>
            <w:tcMar>
              <w:top w:w="0" w:type="dxa"/>
              <w:left w:w="85" w:type="dxa"/>
              <w:bottom w:w="0" w:type="dxa"/>
              <w:right w:w="85" w:type="dxa"/>
            </w:tcMar>
          </w:tcPr>
          <w:p w14:paraId="64A9B9F7" w14:textId="77777777" w:rsidR="00387C28" w:rsidRPr="00BE78CA" w:rsidRDefault="00387C28" w:rsidP="00A37132">
            <w:pPr>
              <w:pStyle w:val="TableText"/>
              <w:spacing w:before="50" w:after="50"/>
              <w:jc w:val="center"/>
              <w:rPr>
                <w:rFonts w:cs="Calibri"/>
                <w:szCs w:val="16"/>
              </w:rPr>
            </w:pPr>
            <w:r w:rsidRPr="00BE78CA">
              <w:rPr>
                <w:rFonts w:eastAsia="Calibri" w:cs="Calibri"/>
                <w:szCs w:val="16"/>
              </w:rPr>
              <w:t>HFCs</w:t>
            </w:r>
          </w:p>
        </w:tc>
        <w:tc>
          <w:tcPr>
            <w:tcW w:w="991" w:type="dxa"/>
            <w:tcBorders>
              <w:top w:val="single" w:sz="4" w:space="0" w:color="365F91"/>
              <w:bottom w:val="single" w:sz="4" w:space="0" w:color="365F91"/>
            </w:tcBorders>
            <w:shd w:val="clear" w:color="auto" w:fill="FFFFFF"/>
            <w:tcMar>
              <w:top w:w="0" w:type="dxa"/>
              <w:left w:w="85" w:type="dxa"/>
              <w:bottom w:w="0" w:type="dxa"/>
              <w:right w:w="85" w:type="dxa"/>
            </w:tcMar>
          </w:tcPr>
          <w:p w14:paraId="5E502A3F"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0.0</w:t>
            </w:r>
          </w:p>
        </w:tc>
        <w:tc>
          <w:tcPr>
            <w:tcW w:w="991" w:type="dxa"/>
            <w:tcBorders>
              <w:top w:val="single" w:sz="4" w:space="0" w:color="365F91"/>
              <w:bottom w:val="single" w:sz="4" w:space="0" w:color="365F91"/>
            </w:tcBorders>
            <w:shd w:val="clear" w:color="auto" w:fill="FFFFFF"/>
            <w:tcMar>
              <w:top w:w="0" w:type="dxa"/>
              <w:left w:w="85" w:type="dxa"/>
              <w:bottom w:w="0" w:type="dxa"/>
              <w:right w:w="85" w:type="dxa"/>
            </w:tcMar>
          </w:tcPr>
          <w:p w14:paraId="447193D8"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1,637.7</w:t>
            </w:r>
          </w:p>
        </w:tc>
        <w:tc>
          <w:tcPr>
            <w:tcW w:w="955" w:type="dxa"/>
            <w:tcBorders>
              <w:top w:val="single" w:sz="4" w:space="0" w:color="365F91"/>
              <w:bottom w:val="single" w:sz="4" w:space="0" w:color="365F91"/>
            </w:tcBorders>
            <w:shd w:val="clear" w:color="auto" w:fill="FFFFFF"/>
            <w:tcMar>
              <w:top w:w="0" w:type="dxa"/>
              <w:left w:w="85" w:type="dxa"/>
              <w:bottom w:w="0" w:type="dxa"/>
              <w:right w:w="85" w:type="dxa"/>
            </w:tcMar>
          </w:tcPr>
          <w:p w14:paraId="5441A0F5"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0.018</w:t>
            </w:r>
          </w:p>
        </w:tc>
        <w:tc>
          <w:tcPr>
            <w:tcW w:w="1061" w:type="dxa"/>
            <w:tcBorders>
              <w:top w:val="single" w:sz="4" w:space="0" w:color="365F91"/>
              <w:bottom w:val="single" w:sz="4" w:space="0" w:color="365F91"/>
            </w:tcBorders>
            <w:shd w:val="clear" w:color="auto" w:fill="FFFFFF"/>
            <w:tcMar>
              <w:top w:w="0" w:type="dxa"/>
              <w:left w:w="85" w:type="dxa"/>
              <w:bottom w:w="0" w:type="dxa"/>
              <w:right w:w="85" w:type="dxa"/>
            </w:tcMar>
          </w:tcPr>
          <w:p w14:paraId="74C8A886"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2.0</w:t>
            </w:r>
          </w:p>
        </w:tc>
        <w:tc>
          <w:tcPr>
            <w:tcW w:w="961" w:type="dxa"/>
            <w:tcBorders>
              <w:top w:val="single" w:sz="4" w:space="0" w:color="365F91"/>
              <w:bottom w:val="single" w:sz="4" w:space="0" w:color="365F91"/>
              <w:right w:val="single" w:sz="4" w:space="0" w:color="FFFFFF"/>
            </w:tcBorders>
            <w:shd w:val="clear" w:color="auto" w:fill="FFFFFF"/>
            <w:tcMar>
              <w:top w:w="0" w:type="dxa"/>
              <w:left w:w="85" w:type="dxa"/>
              <w:bottom w:w="0" w:type="dxa"/>
              <w:right w:w="85" w:type="dxa"/>
            </w:tcMar>
          </w:tcPr>
          <w:p w14:paraId="50F60E7F"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77.2</w:t>
            </w:r>
          </w:p>
        </w:tc>
      </w:tr>
      <w:tr w:rsidR="00A37132" w:rsidRPr="00BE78CA" w14:paraId="2088B4E8" w14:textId="77777777" w:rsidTr="00834B58">
        <w:trPr>
          <w:cantSplit/>
        </w:trPr>
        <w:tc>
          <w:tcPr>
            <w:tcW w:w="846" w:type="dxa"/>
            <w:tcBorders>
              <w:top w:val="single" w:sz="4" w:space="0" w:color="365F91"/>
              <w:left w:val="single" w:sz="4" w:space="0" w:color="FFFFFF"/>
              <w:bottom w:val="single" w:sz="4" w:space="0" w:color="365F91"/>
            </w:tcBorders>
            <w:shd w:val="clear" w:color="auto" w:fill="FFFFFF"/>
            <w:tcMar>
              <w:top w:w="0" w:type="dxa"/>
              <w:left w:w="85" w:type="dxa"/>
              <w:bottom w:w="0" w:type="dxa"/>
              <w:right w:w="85" w:type="dxa"/>
            </w:tcMar>
          </w:tcPr>
          <w:p w14:paraId="5C35892E" w14:textId="77777777" w:rsidR="00387C28" w:rsidRPr="00BE78CA" w:rsidRDefault="00387C28" w:rsidP="00A37132">
            <w:pPr>
              <w:pStyle w:val="TableText"/>
              <w:spacing w:before="50" w:after="50"/>
              <w:rPr>
                <w:rFonts w:cs="Calibri"/>
                <w:szCs w:val="16"/>
              </w:rPr>
            </w:pPr>
            <w:r w:rsidRPr="00BE78CA">
              <w:rPr>
                <w:rFonts w:eastAsia="Calibri" w:cs="Calibri"/>
                <w:szCs w:val="16"/>
              </w:rPr>
              <w:t>1.A.1.a</w:t>
            </w:r>
          </w:p>
        </w:tc>
        <w:tc>
          <w:tcPr>
            <w:tcW w:w="2197" w:type="dxa"/>
            <w:tcBorders>
              <w:top w:val="single" w:sz="4" w:space="0" w:color="365F91"/>
              <w:bottom w:val="single" w:sz="4" w:space="0" w:color="365F91"/>
            </w:tcBorders>
            <w:shd w:val="clear" w:color="auto" w:fill="FFFFFF"/>
            <w:tcMar>
              <w:top w:w="0" w:type="dxa"/>
              <w:left w:w="85" w:type="dxa"/>
              <w:bottom w:w="0" w:type="dxa"/>
              <w:right w:w="85" w:type="dxa"/>
            </w:tcMar>
          </w:tcPr>
          <w:p w14:paraId="0CDC9EFA" w14:textId="77777777" w:rsidR="00387C28" w:rsidRPr="00BE78CA" w:rsidRDefault="00387C28" w:rsidP="00A37132">
            <w:pPr>
              <w:pStyle w:val="TableText"/>
              <w:spacing w:before="50" w:after="50"/>
              <w:rPr>
                <w:rFonts w:cs="Calibri"/>
                <w:szCs w:val="16"/>
              </w:rPr>
            </w:pPr>
            <w:r w:rsidRPr="00BE78CA">
              <w:rPr>
                <w:rFonts w:eastAsia="Calibri" w:cs="Calibri"/>
                <w:szCs w:val="16"/>
              </w:rPr>
              <w:t>Energy Industries – Public Electricity and Heat Production</w:t>
            </w:r>
          </w:p>
        </w:tc>
        <w:tc>
          <w:tcPr>
            <w:tcW w:w="492" w:type="dxa"/>
            <w:tcBorders>
              <w:top w:val="single" w:sz="4" w:space="0" w:color="365F91"/>
              <w:bottom w:val="single" w:sz="4" w:space="0" w:color="365F91"/>
            </w:tcBorders>
            <w:shd w:val="clear" w:color="auto" w:fill="FFFFFF"/>
            <w:tcMar>
              <w:top w:w="0" w:type="dxa"/>
              <w:left w:w="85" w:type="dxa"/>
              <w:bottom w:w="0" w:type="dxa"/>
              <w:right w:w="85" w:type="dxa"/>
            </w:tcMar>
          </w:tcPr>
          <w:p w14:paraId="06CB9A91" w14:textId="77777777" w:rsidR="00387C28" w:rsidRPr="00BE78CA" w:rsidRDefault="00387C28" w:rsidP="00A37132">
            <w:pPr>
              <w:pStyle w:val="TableText"/>
              <w:spacing w:before="50" w:after="50"/>
              <w:jc w:val="center"/>
              <w:rPr>
                <w:rFonts w:cs="Calibri"/>
                <w:szCs w:val="16"/>
              </w:rPr>
            </w:pPr>
            <w:r w:rsidRPr="00BE78CA">
              <w:rPr>
                <w:rFonts w:eastAsia="Calibri" w:cs="Calibri"/>
                <w:szCs w:val="16"/>
              </w:rPr>
              <w:t>CO</w:t>
            </w:r>
            <w:r w:rsidRPr="00BE78CA">
              <w:rPr>
                <w:rFonts w:eastAsia="Calibri" w:cs="Calibri"/>
                <w:szCs w:val="16"/>
                <w:vertAlign w:val="subscript"/>
              </w:rPr>
              <w:t>2</w:t>
            </w:r>
          </w:p>
        </w:tc>
        <w:tc>
          <w:tcPr>
            <w:tcW w:w="991" w:type="dxa"/>
            <w:tcBorders>
              <w:top w:val="single" w:sz="4" w:space="0" w:color="365F91"/>
              <w:bottom w:val="single" w:sz="4" w:space="0" w:color="365F91"/>
            </w:tcBorders>
            <w:shd w:val="clear" w:color="auto" w:fill="FFFFFF"/>
            <w:tcMar>
              <w:top w:w="0" w:type="dxa"/>
              <w:left w:w="85" w:type="dxa"/>
              <w:bottom w:w="0" w:type="dxa"/>
              <w:right w:w="85" w:type="dxa"/>
            </w:tcMar>
          </w:tcPr>
          <w:p w14:paraId="4BF55390"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3,011.8</w:t>
            </w:r>
          </w:p>
        </w:tc>
        <w:tc>
          <w:tcPr>
            <w:tcW w:w="991" w:type="dxa"/>
            <w:tcBorders>
              <w:top w:val="single" w:sz="4" w:space="0" w:color="365F91"/>
              <w:bottom w:val="single" w:sz="4" w:space="0" w:color="365F91"/>
            </w:tcBorders>
            <w:shd w:val="clear" w:color="auto" w:fill="FFFFFF"/>
            <w:tcMar>
              <w:top w:w="0" w:type="dxa"/>
              <w:left w:w="85" w:type="dxa"/>
              <w:bottom w:w="0" w:type="dxa"/>
              <w:right w:w="85" w:type="dxa"/>
            </w:tcMar>
          </w:tcPr>
          <w:p w14:paraId="1D939F92"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2,533.5</w:t>
            </w:r>
          </w:p>
        </w:tc>
        <w:tc>
          <w:tcPr>
            <w:tcW w:w="955" w:type="dxa"/>
            <w:tcBorders>
              <w:top w:val="single" w:sz="4" w:space="0" w:color="365F91"/>
              <w:bottom w:val="single" w:sz="4" w:space="0" w:color="365F91"/>
            </w:tcBorders>
            <w:shd w:val="clear" w:color="auto" w:fill="FFFFFF"/>
            <w:tcMar>
              <w:top w:w="0" w:type="dxa"/>
              <w:left w:w="85" w:type="dxa"/>
              <w:bottom w:w="0" w:type="dxa"/>
              <w:right w:w="85" w:type="dxa"/>
            </w:tcMar>
          </w:tcPr>
          <w:p w14:paraId="435D58DD"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0.016</w:t>
            </w:r>
          </w:p>
        </w:tc>
        <w:tc>
          <w:tcPr>
            <w:tcW w:w="1061" w:type="dxa"/>
            <w:tcBorders>
              <w:top w:val="single" w:sz="4" w:space="0" w:color="365F91"/>
              <w:bottom w:val="single" w:sz="4" w:space="0" w:color="365F91"/>
            </w:tcBorders>
            <w:shd w:val="clear" w:color="auto" w:fill="FFFFFF"/>
            <w:tcMar>
              <w:top w:w="0" w:type="dxa"/>
              <w:left w:w="85" w:type="dxa"/>
              <w:bottom w:w="0" w:type="dxa"/>
              <w:right w:w="85" w:type="dxa"/>
            </w:tcMar>
          </w:tcPr>
          <w:p w14:paraId="6F26F24B"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1.8</w:t>
            </w:r>
          </w:p>
        </w:tc>
        <w:tc>
          <w:tcPr>
            <w:tcW w:w="961" w:type="dxa"/>
            <w:tcBorders>
              <w:top w:val="single" w:sz="4" w:space="0" w:color="365F91"/>
              <w:bottom w:val="single" w:sz="4" w:space="0" w:color="365F91"/>
              <w:right w:val="single" w:sz="4" w:space="0" w:color="FFFFFF"/>
            </w:tcBorders>
            <w:shd w:val="clear" w:color="auto" w:fill="FFFFFF"/>
            <w:tcMar>
              <w:top w:w="0" w:type="dxa"/>
              <w:left w:w="85" w:type="dxa"/>
              <w:bottom w:w="0" w:type="dxa"/>
              <w:right w:w="85" w:type="dxa"/>
            </w:tcMar>
          </w:tcPr>
          <w:p w14:paraId="442A298C"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79.1</w:t>
            </w:r>
          </w:p>
        </w:tc>
      </w:tr>
      <w:tr w:rsidR="00A37132" w:rsidRPr="00BE78CA" w14:paraId="5267948B" w14:textId="77777777" w:rsidTr="00834B58">
        <w:trPr>
          <w:cantSplit/>
        </w:trPr>
        <w:tc>
          <w:tcPr>
            <w:tcW w:w="846" w:type="dxa"/>
            <w:tcBorders>
              <w:top w:val="single" w:sz="4" w:space="0" w:color="365F91"/>
              <w:left w:val="single" w:sz="4" w:space="0" w:color="FFFFFF"/>
              <w:bottom w:val="single" w:sz="4" w:space="0" w:color="365F91"/>
            </w:tcBorders>
            <w:shd w:val="clear" w:color="auto" w:fill="FFFFFF"/>
            <w:tcMar>
              <w:top w:w="0" w:type="dxa"/>
              <w:left w:w="85" w:type="dxa"/>
              <w:bottom w:w="0" w:type="dxa"/>
              <w:right w:w="85" w:type="dxa"/>
            </w:tcMar>
          </w:tcPr>
          <w:p w14:paraId="3790E1FA" w14:textId="77777777" w:rsidR="00387C28" w:rsidRPr="00BE78CA" w:rsidRDefault="00387C28" w:rsidP="00A37132">
            <w:pPr>
              <w:pStyle w:val="TableText"/>
              <w:spacing w:before="50" w:after="50"/>
              <w:rPr>
                <w:rFonts w:cs="Calibri"/>
                <w:szCs w:val="16"/>
              </w:rPr>
            </w:pPr>
            <w:r w:rsidRPr="00BE78CA">
              <w:rPr>
                <w:rFonts w:eastAsia="Calibri" w:cs="Calibri"/>
                <w:szCs w:val="16"/>
              </w:rPr>
              <w:t>1.A.2.c</w:t>
            </w:r>
          </w:p>
        </w:tc>
        <w:tc>
          <w:tcPr>
            <w:tcW w:w="2197" w:type="dxa"/>
            <w:tcBorders>
              <w:top w:val="single" w:sz="4" w:space="0" w:color="365F91"/>
              <w:bottom w:val="single" w:sz="4" w:space="0" w:color="365F91"/>
            </w:tcBorders>
            <w:shd w:val="clear" w:color="auto" w:fill="FFFFFF"/>
            <w:tcMar>
              <w:top w:w="0" w:type="dxa"/>
              <w:left w:w="85" w:type="dxa"/>
              <w:bottom w:w="0" w:type="dxa"/>
              <w:right w:w="85" w:type="dxa"/>
            </w:tcMar>
          </w:tcPr>
          <w:p w14:paraId="4C3A086A" w14:textId="77777777" w:rsidR="00387C28" w:rsidRPr="00BE78CA" w:rsidRDefault="00387C28" w:rsidP="00A37132">
            <w:pPr>
              <w:pStyle w:val="TableText"/>
              <w:spacing w:before="50" w:after="50"/>
              <w:rPr>
                <w:rFonts w:cs="Calibri"/>
                <w:szCs w:val="16"/>
              </w:rPr>
            </w:pPr>
            <w:r w:rsidRPr="00BE78CA">
              <w:rPr>
                <w:rFonts w:eastAsia="Calibri" w:cs="Calibri"/>
                <w:szCs w:val="16"/>
              </w:rPr>
              <w:t>Chemicals – Gaseous Fuels</w:t>
            </w:r>
          </w:p>
        </w:tc>
        <w:tc>
          <w:tcPr>
            <w:tcW w:w="492" w:type="dxa"/>
            <w:tcBorders>
              <w:top w:val="single" w:sz="4" w:space="0" w:color="365F91"/>
              <w:bottom w:val="single" w:sz="4" w:space="0" w:color="365F91"/>
            </w:tcBorders>
            <w:shd w:val="clear" w:color="auto" w:fill="FFFFFF"/>
            <w:tcMar>
              <w:top w:w="0" w:type="dxa"/>
              <w:left w:w="85" w:type="dxa"/>
              <w:bottom w:w="0" w:type="dxa"/>
              <w:right w:w="85" w:type="dxa"/>
            </w:tcMar>
          </w:tcPr>
          <w:p w14:paraId="6961A71E" w14:textId="77777777" w:rsidR="00387C28" w:rsidRPr="00BE78CA" w:rsidRDefault="00387C28" w:rsidP="00A37132">
            <w:pPr>
              <w:pStyle w:val="TableText"/>
              <w:spacing w:before="50" w:after="50"/>
              <w:jc w:val="center"/>
              <w:rPr>
                <w:rFonts w:cs="Calibri"/>
                <w:szCs w:val="16"/>
              </w:rPr>
            </w:pPr>
            <w:r w:rsidRPr="00BE78CA">
              <w:rPr>
                <w:rFonts w:eastAsia="Calibri" w:cs="Calibri"/>
                <w:szCs w:val="16"/>
              </w:rPr>
              <w:t>CO</w:t>
            </w:r>
            <w:r w:rsidRPr="00BE78CA">
              <w:rPr>
                <w:rFonts w:eastAsia="Calibri" w:cs="Calibri"/>
                <w:szCs w:val="16"/>
                <w:vertAlign w:val="subscript"/>
              </w:rPr>
              <w:t>2</w:t>
            </w:r>
          </w:p>
        </w:tc>
        <w:tc>
          <w:tcPr>
            <w:tcW w:w="991" w:type="dxa"/>
            <w:tcBorders>
              <w:top w:val="single" w:sz="4" w:space="0" w:color="365F91"/>
              <w:bottom w:val="single" w:sz="4" w:space="0" w:color="365F91"/>
            </w:tcBorders>
            <w:shd w:val="clear" w:color="auto" w:fill="FFFFFF"/>
            <w:tcMar>
              <w:top w:w="0" w:type="dxa"/>
              <w:left w:w="85" w:type="dxa"/>
              <w:bottom w:w="0" w:type="dxa"/>
              <w:right w:w="85" w:type="dxa"/>
            </w:tcMar>
          </w:tcPr>
          <w:p w14:paraId="62551738"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528.7</w:t>
            </w:r>
          </w:p>
        </w:tc>
        <w:tc>
          <w:tcPr>
            <w:tcW w:w="991" w:type="dxa"/>
            <w:tcBorders>
              <w:top w:val="single" w:sz="4" w:space="0" w:color="365F91"/>
              <w:bottom w:val="single" w:sz="4" w:space="0" w:color="365F91"/>
            </w:tcBorders>
            <w:shd w:val="clear" w:color="auto" w:fill="FFFFFF"/>
            <w:tcMar>
              <w:top w:w="0" w:type="dxa"/>
              <w:left w:w="85" w:type="dxa"/>
              <w:bottom w:w="0" w:type="dxa"/>
              <w:right w:w="85" w:type="dxa"/>
            </w:tcMar>
          </w:tcPr>
          <w:p w14:paraId="756899B4"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1,859.2</w:t>
            </w:r>
          </w:p>
        </w:tc>
        <w:tc>
          <w:tcPr>
            <w:tcW w:w="955" w:type="dxa"/>
            <w:tcBorders>
              <w:top w:val="single" w:sz="4" w:space="0" w:color="365F91"/>
              <w:bottom w:val="single" w:sz="4" w:space="0" w:color="365F91"/>
            </w:tcBorders>
            <w:shd w:val="clear" w:color="auto" w:fill="FFFFFF"/>
            <w:tcMar>
              <w:top w:w="0" w:type="dxa"/>
              <w:left w:w="85" w:type="dxa"/>
              <w:bottom w:w="0" w:type="dxa"/>
              <w:right w:w="85" w:type="dxa"/>
            </w:tcMar>
          </w:tcPr>
          <w:p w14:paraId="48DD90D7"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0.013</w:t>
            </w:r>
          </w:p>
        </w:tc>
        <w:tc>
          <w:tcPr>
            <w:tcW w:w="1061" w:type="dxa"/>
            <w:tcBorders>
              <w:top w:val="single" w:sz="4" w:space="0" w:color="365F91"/>
              <w:bottom w:val="single" w:sz="4" w:space="0" w:color="365F91"/>
            </w:tcBorders>
            <w:shd w:val="clear" w:color="auto" w:fill="FFFFFF"/>
            <w:tcMar>
              <w:top w:w="0" w:type="dxa"/>
              <w:left w:w="85" w:type="dxa"/>
              <w:bottom w:w="0" w:type="dxa"/>
              <w:right w:w="85" w:type="dxa"/>
            </w:tcMar>
          </w:tcPr>
          <w:p w14:paraId="770A6B15"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1.4</w:t>
            </w:r>
          </w:p>
        </w:tc>
        <w:tc>
          <w:tcPr>
            <w:tcW w:w="961" w:type="dxa"/>
            <w:tcBorders>
              <w:top w:val="single" w:sz="4" w:space="0" w:color="365F91"/>
              <w:bottom w:val="single" w:sz="4" w:space="0" w:color="365F91"/>
              <w:right w:val="single" w:sz="4" w:space="0" w:color="FFFFFF"/>
            </w:tcBorders>
            <w:shd w:val="clear" w:color="auto" w:fill="FFFFFF"/>
            <w:tcMar>
              <w:top w:w="0" w:type="dxa"/>
              <w:left w:w="85" w:type="dxa"/>
              <w:bottom w:w="0" w:type="dxa"/>
              <w:right w:w="85" w:type="dxa"/>
            </w:tcMar>
          </w:tcPr>
          <w:p w14:paraId="65BB02CE"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80.5</w:t>
            </w:r>
          </w:p>
        </w:tc>
      </w:tr>
      <w:tr w:rsidR="00A37132" w:rsidRPr="00BE78CA" w14:paraId="1AFC1209" w14:textId="77777777" w:rsidTr="00834B58">
        <w:trPr>
          <w:cantSplit/>
        </w:trPr>
        <w:tc>
          <w:tcPr>
            <w:tcW w:w="846" w:type="dxa"/>
            <w:tcBorders>
              <w:top w:val="single" w:sz="4" w:space="0" w:color="365F91"/>
              <w:left w:val="single" w:sz="4" w:space="0" w:color="FFFFFF"/>
              <w:bottom w:val="single" w:sz="4" w:space="0" w:color="365F91"/>
            </w:tcBorders>
            <w:shd w:val="clear" w:color="auto" w:fill="FFFFFF"/>
            <w:tcMar>
              <w:top w:w="0" w:type="dxa"/>
              <w:left w:w="85" w:type="dxa"/>
              <w:bottom w:w="0" w:type="dxa"/>
              <w:right w:w="85" w:type="dxa"/>
            </w:tcMar>
          </w:tcPr>
          <w:p w14:paraId="6ABA6E10" w14:textId="77777777" w:rsidR="00387C28" w:rsidRPr="00BE78CA" w:rsidRDefault="00387C28" w:rsidP="00A37132">
            <w:pPr>
              <w:pStyle w:val="TableText"/>
              <w:spacing w:before="50" w:after="50"/>
              <w:rPr>
                <w:rFonts w:cs="Calibri"/>
                <w:szCs w:val="16"/>
              </w:rPr>
            </w:pPr>
            <w:r w:rsidRPr="00BE78CA">
              <w:rPr>
                <w:rFonts w:eastAsia="Calibri" w:cs="Calibri"/>
                <w:szCs w:val="16"/>
              </w:rPr>
              <w:t>2.C.3</w:t>
            </w:r>
          </w:p>
        </w:tc>
        <w:tc>
          <w:tcPr>
            <w:tcW w:w="2197" w:type="dxa"/>
            <w:tcBorders>
              <w:top w:val="single" w:sz="4" w:space="0" w:color="365F91"/>
              <w:bottom w:val="single" w:sz="4" w:space="0" w:color="365F91"/>
            </w:tcBorders>
            <w:shd w:val="clear" w:color="auto" w:fill="FFFFFF"/>
            <w:tcMar>
              <w:top w:w="0" w:type="dxa"/>
              <w:left w:w="85" w:type="dxa"/>
              <w:bottom w:w="0" w:type="dxa"/>
              <w:right w:w="85" w:type="dxa"/>
            </w:tcMar>
          </w:tcPr>
          <w:p w14:paraId="0D1D464A" w14:textId="77777777" w:rsidR="00387C28" w:rsidRPr="00BE78CA" w:rsidRDefault="00387C28" w:rsidP="00A37132">
            <w:pPr>
              <w:pStyle w:val="TableText"/>
              <w:spacing w:before="50" w:after="50"/>
              <w:rPr>
                <w:rFonts w:cs="Calibri"/>
                <w:szCs w:val="16"/>
              </w:rPr>
            </w:pPr>
            <w:r w:rsidRPr="00BE78CA">
              <w:rPr>
                <w:rFonts w:eastAsia="Calibri" w:cs="Calibri"/>
                <w:szCs w:val="16"/>
              </w:rPr>
              <w:t>Metal Industry – Aluminium Production</w:t>
            </w:r>
          </w:p>
        </w:tc>
        <w:tc>
          <w:tcPr>
            <w:tcW w:w="492" w:type="dxa"/>
            <w:tcBorders>
              <w:top w:val="single" w:sz="4" w:space="0" w:color="365F91"/>
              <w:bottom w:val="single" w:sz="4" w:space="0" w:color="365F91"/>
            </w:tcBorders>
            <w:shd w:val="clear" w:color="auto" w:fill="FFFFFF"/>
            <w:tcMar>
              <w:top w:w="0" w:type="dxa"/>
              <w:left w:w="85" w:type="dxa"/>
              <w:bottom w:w="0" w:type="dxa"/>
              <w:right w:w="85" w:type="dxa"/>
            </w:tcMar>
          </w:tcPr>
          <w:p w14:paraId="371E3CA1" w14:textId="77777777" w:rsidR="00387C28" w:rsidRPr="00BE78CA" w:rsidRDefault="00387C28" w:rsidP="00A37132">
            <w:pPr>
              <w:pStyle w:val="TableText"/>
              <w:spacing w:before="50" w:after="50"/>
              <w:jc w:val="center"/>
              <w:rPr>
                <w:rFonts w:cs="Calibri"/>
                <w:szCs w:val="16"/>
              </w:rPr>
            </w:pPr>
            <w:r w:rsidRPr="00BE78CA">
              <w:rPr>
                <w:rFonts w:eastAsia="Calibri" w:cs="Calibri"/>
                <w:szCs w:val="16"/>
              </w:rPr>
              <w:t>PFCs</w:t>
            </w:r>
          </w:p>
        </w:tc>
        <w:tc>
          <w:tcPr>
            <w:tcW w:w="991" w:type="dxa"/>
            <w:tcBorders>
              <w:top w:val="single" w:sz="4" w:space="0" w:color="365F91"/>
              <w:bottom w:val="single" w:sz="4" w:space="0" w:color="365F91"/>
            </w:tcBorders>
            <w:shd w:val="clear" w:color="auto" w:fill="FFFFFF"/>
            <w:tcMar>
              <w:top w:w="0" w:type="dxa"/>
              <w:left w:w="85" w:type="dxa"/>
              <w:bottom w:w="0" w:type="dxa"/>
              <w:right w:w="85" w:type="dxa"/>
            </w:tcMar>
          </w:tcPr>
          <w:p w14:paraId="1E08CBB9"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909.9</w:t>
            </w:r>
          </w:p>
        </w:tc>
        <w:tc>
          <w:tcPr>
            <w:tcW w:w="991" w:type="dxa"/>
            <w:tcBorders>
              <w:top w:val="single" w:sz="4" w:space="0" w:color="365F91"/>
              <w:bottom w:val="single" w:sz="4" w:space="0" w:color="365F91"/>
            </w:tcBorders>
            <w:shd w:val="clear" w:color="auto" w:fill="FFFFFF"/>
            <w:tcMar>
              <w:top w:w="0" w:type="dxa"/>
              <w:left w:w="85" w:type="dxa"/>
              <w:bottom w:w="0" w:type="dxa"/>
              <w:right w:w="85" w:type="dxa"/>
            </w:tcMar>
          </w:tcPr>
          <w:p w14:paraId="527C4CE0"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89.1</w:t>
            </w:r>
          </w:p>
        </w:tc>
        <w:tc>
          <w:tcPr>
            <w:tcW w:w="955" w:type="dxa"/>
            <w:tcBorders>
              <w:top w:val="single" w:sz="4" w:space="0" w:color="365F91"/>
              <w:bottom w:val="single" w:sz="4" w:space="0" w:color="365F91"/>
            </w:tcBorders>
            <w:shd w:val="clear" w:color="auto" w:fill="FFFFFF"/>
            <w:tcMar>
              <w:top w:w="0" w:type="dxa"/>
              <w:left w:w="85" w:type="dxa"/>
              <w:bottom w:w="0" w:type="dxa"/>
              <w:right w:w="85" w:type="dxa"/>
            </w:tcMar>
          </w:tcPr>
          <w:p w14:paraId="059E10F5"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0.012</w:t>
            </w:r>
          </w:p>
        </w:tc>
        <w:tc>
          <w:tcPr>
            <w:tcW w:w="1061" w:type="dxa"/>
            <w:tcBorders>
              <w:top w:val="single" w:sz="4" w:space="0" w:color="365F91"/>
              <w:bottom w:val="single" w:sz="4" w:space="0" w:color="365F91"/>
            </w:tcBorders>
            <w:shd w:val="clear" w:color="auto" w:fill="FFFFFF"/>
            <w:tcMar>
              <w:top w:w="0" w:type="dxa"/>
              <w:left w:w="85" w:type="dxa"/>
              <w:bottom w:w="0" w:type="dxa"/>
              <w:right w:w="85" w:type="dxa"/>
            </w:tcMar>
          </w:tcPr>
          <w:p w14:paraId="1BFD49D8"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1.4</w:t>
            </w:r>
          </w:p>
        </w:tc>
        <w:tc>
          <w:tcPr>
            <w:tcW w:w="961" w:type="dxa"/>
            <w:tcBorders>
              <w:top w:val="single" w:sz="4" w:space="0" w:color="365F91"/>
              <w:bottom w:val="single" w:sz="4" w:space="0" w:color="365F91"/>
              <w:right w:val="single" w:sz="4" w:space="0" w:color="FFFFFF"/>
            </w:tcBorders>
            <w:shd w:val="clear" w:color="auto" w:fill="FFFFFF"/>
            <w:tcMar>
              <w:top w:w="0" w:type="dxa"/>
              <w:left w:w="85" w:type="dxa"/>
              <w:bottom w:w="0" w:type="dxa"/>
              <w:right w:w="85" w:type="dxa"/>
            </w:tcMar>
          </w:tcPr>
          <w:p w14:paraId="5F0697D8"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81.9</w:t>
            </w:r>
          </w:p>
        </w:tc>
      </w:tr>
      <w:tr w:rsidR="00A37132" w:rsidRPr="00BE78CA" w14:paraId="0BB9F60B" w14:textId="77777777" w:rsidTr="00834B58">
        <w:trPr>
          <w:cantSplit/>
        </w:trPr>
        <w:tc>
          <w:tcPr>
            <w:tcW w:w="846" w:type="dxa"/>
            <w:tcBorders>
              <w:top w:val="single" w:sz="4" w:space="0" w:color="365F91"/>
              <w:left w:val="single" w:sz="4" w:space="0" w:color="FFFFFF"/>
              <w:bottom w:val="single" w:sz="4" w:space="0" w:color="365F91"/>
            </w:tcBorders>
            <w:shd w:val="clear" w:color="auto" w:fill="FFFFFF"/>
            <w:tcMar>
              <w:top w:w="0" w:type="dxa"/>
              <w:left w:w="85" w:type="dxa"/>
              <w:bottom w:w="0" w:type="dxa"/>
              <w:right w:w="85" w:type="dxa"/>
            </w:tcMar>
          </w:tcPr>
          <w:p w14:paraId="534CB192" w14:textId="77777777" w:rsidR="00387C28" w:rsidRPr="00BE78CA" w:rsidRDefault="00387C28" w:rsidP="00A37132">
            <w:pPr>
              <w:pStyle w:val="TableText"/>
              <w:spacing w:before="50" w:after="50"/>
              <w:rPr>
                <w:rFonts w:cs="Calibri"/>
                <w:szCs w:val="16"/>
              </w:rPr>
            </w:pPr>
            <w:r w:rsidRPr="00BE78CA">
              <w:rPr>
                <w:rFonts w:eastAsia="Calibri" w:cs="Calibri"/>
                <w:szCs w:val="16"/>
              </w:rPr>
              <w:t>3.D.1.1</w:t>
            </w:r>
          </w:p>
        </w:tc>
        <w:tc>
          <w:tcPr>
            <w:tcW w:w="2197" w:type="dxa"/>
            <w:tcBorders>
              <w:top w:val="single" w:sz="4" w:space="0" w:color="365F91"/>
              <w:bottom w:val="single" w:sz="4" w:space="0" w:color="365F91"/>
            </w:tcBorders>
            <w:shd w:val="clear" w:color="auto" w:fill="FFFFFF"/>
            <w:tcMar>
              <w:top w:w="0" w:type="dxa"/>
              <w:left w:w="85" w:type="dxa"/>
              <w:bottom w:w="0" w:type="dxa"/>
              <w:right w:w="85" w:type="dxa"/>
            </w:tcMar>
          </w:tcPr>
          <w:p w14:paraId="404500C3" w14:textId="77777777" w:rsidR="00387C28" w:rsidRPr="00BE78CA" w:rsidRDefault="00387C28" w:rsidP="00A37132">
            <w:pPr>
              <w:pStyle w:val="TableText"/>
              <w:spacing w:before="50" w:after="50"/>
              <w:rPr>
                <w:rFonts w:cs="Calibri"/>
                <w:szCs w:val="16"/>
              </w:rPr>
            </w:pPr>
            <w:r w:rsidRPr="00BE78CA">
              <w:rPr>
                <w:rFonts w:eastAsia="Calibri" w:cs="Calibri"/>
                <w:szCs w:val="16"/>
              </w:rPr>
              <w:t>Direct N</w:t>
            </w:r>
            <w:r w:rsidRPr="00BE78CA">
              <w:rPr>
                <w:rFonts w:eastAsia="Calibri" w:cs="Calibri"/>
                <w:szCs w:val="16"/>
                <w:vertAlign w:val="subscript"/>
              </w:rPr>
              <w:t>2</w:t>
            </w:r>
            <w:r w:rsidRPr="00BE78CA">
              <w:rPr>
                <w:rFonts w:eastAsia="Calibri" w:cs="Calibri"/>
                <w:szCs w:val="16"/>
              </w:rPr>
              <w:t>O Emissions from Managed Soils – Inorganic N Fertilisers</w:t>
            </w:r>
          </w:p>
        </w:tc>
        <w:tc>
          <w:tcPr>
            <w:tcW w:w="492" w:type="dxa"/>
            <w:tcBorders>
              <w:top w:val="single" w:sz="4" w:space="0" w:color="365F91"/>
              <w:bottom w:val="single" w:sz="4" w:space="0" w:color="365F91"/>
            </w:tcBorders>
            <w:shd w:val="clear" w:color="auto" w:fill="FFFFFF"/>
            <w:tcMar>
              <w:top w:w="0" w:type="dxa"/>
              <w:left w:w="85" w:type="dxa"/>
              <w:bottom w:w="0" w:type="dxa"/>
              <w:right w:w="85" w:type="dxa"/>
            </w:tcMar>
          </w:tcPr>
          <w:p w14:paraId="323B00B2" w14:textId="77777777" w:rsidR="00387C28" w:rsidRPr="00BE78CA" w:rsidRDefault="00387C28" w:rsidP="00A37132">
            <w:pPr>
              <w:pStyle w:val="TableText"/>
              <w:spacing w:before="50" w:after="50"/>
              <w:jc w:val="center"/>
              <w:rPr>
                <w:rFonts w:cs="Calibri"/>
                <w:szCs w:val="16"/>
              </w:rPr>
            </w:pPr>
            <w:r w:rsidRPr="00BE78CA">
              <w:rPr>
                <w:rFonts w:eastAsia="Calibri" w:cs="Calibri"/>
                <w:szCs w:val="16"/>
              </w:rPr>
              <w:t>N</w:t>
            </w:r>
            <w:r w:rsidRPr="00BE78CA">
              <w:rPr>
                <w:rFonts w:eastAsia="Calibri" w:cs="Calibri"/>
                <w:szCs w:val="16"/>
                <w:vertAlign w:val="subscript"/>
              </w:rPr>
              <w:t>2</w:t>
            </w:r>
            <w:r w:rsidRPr="00BE78CA">
              <w:rPr>
                <w:rFonts w:eastAsia="Calibri" w:cs="Calibri"/>
                <w:szCs w:val="16"/>
              </w:rPr>
              <w:t>O</w:t>
            </w:r>
          </w:p>
        </w:tc>
        <w:tc>
          <w:tcPr>
            <w:tcW w:w="991" w:type="dxa"/>
            <w:tcBorders>
              <w:top w:val="single" w:sz="4" w:space="0" w:color="365F91"/>
              <w:bottom w:val="single" w:sz="4" w:space="0" w:color="365F91"/>
            </w:tcBorders>
            <w:shd w:val="clear" w:color="auto" w:fill="FFFFFF"/>
            <w:tcMar>
              <w:top w:w="0" w:type="dxa"/>
              <w:left w:w="85" w:type="dxa"/>
              <w:bottom w:w="0" w:type="dxa"/>
              <w:right w:w="85" w:type="dxa"/>
            </w:tcMar>
          </w:tcPr>
          <w:p w14:paraId="1C968DEC"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230.3</w:t>
            </w:r>
          </w:p>
        </w:tc>
        <w:tc>
          <w:tcPr>
            <w:tcW w:w="991" w:type="dxa"/>
            <w:tcBorders>
              <w:top w:val="single" w:sz="4" w:space="0" w:color="365F91"/>
              <w:bottom w:val="single" w:sz="4" w:space="0" w:color="365F91"/>
            </w:tcBorders>
            <w:shd w:val="clear" w:color="auto" w:fill="FFFFFF"/>
            <w:tcMar>
              <w:top w:w="0" w:type="dxa"/>
              <w:left w:w="85" w:type="dxa"/>
              <w:bottom w:w="0" w:type="dxa"/>
              <w:right w:w="85" w:type="dxa"/>
            </w:tcMar>
          </w:tcPr>
          <w:p w14:paraId="56CF67BB"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1,429.3</w:t>
            </w:r>
          </w:p>
        </w:tc>
        <w:tc>
          <w:tcPr>
            <w:tcW w:w="955" w:type="dxa"/>
            <w:tcBorders>
              <w:top w:val="single" w:sz="4" w:space="0" w:color="365F91"/>
              <w:bottom w:val="single" w:sz="4" w:space="0" w:color="365F91"/>
            </w:tcBorders>
            <w:shd w:val="clear" w:color="auto" w:fill="FFFFFF"/>
            <w:tcMar>
              <w:top w:w="0" w:type="dxa"/>
              <w:left w:w="85" w:type="dxa"/>
              <w:bottom w:w="0" w:type="dxa"/>
              <w:right w:w="85" w:type="dxa"/>
            </w:tcMar>
          </w:tcPr>
          <w:p w14:paraId="6DCB5855"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0.012</w:t>
            </w:r>
          </w:p>
        </w:tc>
        <w:tc>
          <w:tcPr>
            <w:tcW w:w="1061" w:type="dxa"/>
            <w:tcBorders>
              <w:top w:val="single" w:sz="4" w:space="0" w:color="365F91"/>
              <w:bottom w:val="single" w:sz="4" w:space="0" w:color="365F91"/>
            </w:tcBorders>
            <w:shd w:val="clear" w:color="auto" w:fill="FFFFFF"/>
            <w:tcMar>
              <w:top w:w="0" w:type="dxa"/>
              <w:left w:w="85" w:type="dxa"/>
              <w:bottom w:w="0" w:type="dxa"/>
              <w:right w:w="85" w:type="dxa"/>
            </w:tcMar>
          </w:tcPr>
          <w:p w14:paraId="2D08A832"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1.4</w:t>
            </w:r>
          </w:p>
        </w:tc>
        <w:tc>
          <w:tcPr>
            <w:tcW w:w="961" w:type="dxa"/>
            <w:tcBorders>
              <w:top w:val="single" w:sz="4" w:space="0" w:color="365F91"/>
              <w:bottom w:val="single" w:sz="4" w:space="0" w:color="365F91"/>
              <w:right w:val="single" w:sz="4" w:space="0" w:color="FFFFFF"/>
            </w:tcBorders>
            <w:shd w:val="clear" w:color="auto" w:fill="FFFFFF"/>
            <w:tcMar>
              <w:top w:w="0" w:type="dxa"/>
              <w:left w:w="85" w:type="dxa"/>
              <w:bottom w:w="0" w:type="dxa"/>
              <w:right w:w="85" w:type="dxa"/>
            </w:tcMar>
          </w:tcPr>
          <w:p w14:paraId="40294E9F"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83.3</w:t>
            </w:r>
          </w:p>
        </w:tc>
      </w:tr>
      <w:tr w:rsidR="00A37132" w:rsidRPr="00BE78CA" w14:paraId="24CBF4D3" w14:textId="77777777" w:rsidTr="00834B58">
        <w:trPr>
          <w:cantSplit/>
        </w:trPr>
        <w:tc>
          <w:tcPr>
            <w:tcW w:w="846" w:type="dxa"/>
            <w:tcBorders>
              <w:top w:val="single" w:sz="4" w:space="0" w:color="365F91"/>
              <w:left w:val="single" w:sz="4" w:space="0" w:color="FFFFFF"/>
              <w:bottom w:val="single" w:sz="4" w:space="0" w:color="365F91"/>
            </w:tcBorders>
            <w:shd w:val="clear" w:color="auto" w:fill="FFFFFF"/>
            <w:tcMar>
              <w:top w:w="0" w:type="dxa"/>
              <w:left w:w="85" w:type="dxa"/>
              <w:bottom w:w="0" w:type="dxa"/>
              <w:right w:w="85" w:type="dxa"/>
            </w:tcMar>
          </w:tcPr>
          <w:p w14:paraId="7820B406" w14:textId="77777777" w:rsidR="00387C28" w:rsidRPr="00BE78CA" w:rsidRDefault="00387C28" w:rsidP="00A37132">
            <w:pPr>
              <w:pStyle w:val="TableText"/>
              <w:spacing w:before="50" w:after="50"/>
              <w:rPr>
                <w:rFonts w:cs="Calibri"/>
                <w:szCs w:val="16"/>
              </w:rPr>
            </w:pPr>
            <w:r w:rsidRPr="00BE78CA">
              <w:rPr>
                <w:rFonts w:eastAsia="Calibri" w:cs="Calibri"/>
                <w:szCs w:val="16"/>
              </w:rPr>
              <w:t>1.A.1.a</w:t>
            </w:r>
          </w:p>
        </w:tc>
        <w:tc>
          <w:tcPr>
            <w:tcW w:w="2197" w:type="dxa"/>
            <w:tcBorders>
              <w:top w:val="single" w:sz="4" w:space="0" w:color="365F91"/>
              <w:bottom w:val="single" w:sz="4" w:space="0" w:color="365F91"/>
            </w:tcBorders>
            <w:shd w:val="clear" w:color="auto" w:fill="FFFFFF"/>
            <w:tcMar>
              <w:top w:w="0" w:type="dxa"/>
              <w:left w:w="85" w:type="dxa"/>
              <w:bottom w:w="0" w:type="dxa"/>
              <w:right w:w="85" w:type="dxa"/>
            </w:tcMar>
          </w:tcPr>
          <w:p w14:paraId="19A73495" w14:textId="77777777" w:rsidR="00387C28" w:rsidRPr="00BE78CA" w:rsidRDefault="00387C28" w:rsidP="00A37132">
            <w:pPr>
              <w:pStyle w:val="TableText"/>
              <w:spacing w:before="50" w:after="50"/>
              <w:rPr>
                <w:rFonts w:cs="Calibri"/>
                <w:szCs w:val="16"/>
              </w:rPr>
            </w:pPr>
            <w:r w:rsidRPr="00BE78CA">
              <w:rPr>
                <w:rFonts w:eastAsia="Calibri" w:cs="Calibri"/>
                <w:szCs w:val="16"/>
              </w:rPr>
              <w:t>Energy Industries – Public Electricity and Heat Production</w:t>
            </w:r>
          </w:p>
        </w:tc>
        <w:tc>
          <w:tcPr>
            <w:tcW w:w="492" w:type="dxa"/>
            <w:tcBorders>
              <w:top w:val="single" w:sz="4" w:space="0" w:color="365F91"/>
              <w:bottom w:val="single" w:sz="4" w:space="0" w:color="365F91"/>
            </w:tcBorders>
            <w:shd w:val="clear" w:color="auto" w:fill="FFFFFF"/>
            <w:tcMar>
              <w:top w:w="0" w:type="dxa"/>
              <w:left w:w="85" w:type="dxa"/>
              <w:bottom w:w="0" w:type="dxa"/>
              <w:right w:w="85" w:type="dxa"/>
            </w:tcMar>
          </w:tcPr>
          <w:p w14:paraId="3E98E8E8" w14:textId="77777777" w:rsidR="00387C28" w:rsidRPr="00BE78CA" w:rsidRDefault="00387C28" w:rsidP="00A37132">
            <w:pPr>
              <w:pStyle w:val="TableText"/>
              <w:spacing w:before="50" w:after="50"/>
              <w:jc w:val="center"/>
              <w:rPr>
                <w:rFonts w:cs="Calibri"/>
                <w:szCs w:val="16"/>
              </w:rPr>
            </w:pPr>
            <w:r w:rsidRPr="00BE78CA">
              <w:rPr>
                <w:rFonts w:eastAsia="Calibri" w:cs="Calibri"/>
                <w:szCs w:val="16"/>
              </w:rPr>
              <w:t>CO</w:t>
            </w:r>
            <w:r w:rsidRPr="00BE78CA">
              <w:rPr>
                <w:rFonts w:eastAsia="Calibri" w:cs="Calibri"/>
                <w:szCs w:val="16"/>
                <w:vertAlign w:val="subscript"/>
              </w:rPr>
              <w:t>2</w:t>
            </w:r>
          </w:p>
        </w:tc>
        <w:tc>
          <w:tcPr>
            <w:tcW w:w="991" w:type="dxa"/>
            <w:tcBorders>
              <w:top w:val="single" w:sz="4" w:space="0" w:color="365F91"/>
              <w:bottom w:val="single" w:sz="4" w:space="0" w:color="365F91"/>
            </w:tcBorders>
            <w:shd w:val="clear" w:color="auto" w:fill="FFFFFF"/>
            <w:tcMar>
              <w:top w:w="0" w:type="dxa"/>
              <w:left w:w="85" w:type="dxa"/>
              <w:bottom w:w="0" w:type="dxa"/>
              <w:right w:w="85" w:type="dxa"/>
            </w:tcMar>
          </w:tcPr>
          <w:p w14:paraId="0B2BEFA4"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474.8</w:t>
            </w:r>
          </w:p>
        </w:tc>
        <w:tc>
          <w:tcPr>
            <w:tcW w:w="991" w:type="dxa"/>
            <w:tcBorders>
              <w:top w:val="single" w:sz="4" w:space="0" w:color="365F91"/>
              <w:bottom w:val="single" w:sz="4" w:space="0" w:color="365F91"/>
            </w:tcBorders>
            <w:shd w:val="clear" w:color="auto" w:fill="FFFFFF"/>
            <w:tcMar>
              <w:top w:w="0" w:type="dxa"/>
              <w:left w:w="85" w:type="dxa"/>
              <w:bottom w:w="0" w:type="dxa"/>
              <w:right w:w="85" w:type="dxa"/>
            </w:tcMar>
          </w:tcPr>
          <w:p w14:paraId="2F951483"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1,634.8</w:t>
            </w:r>
          </w:p>
        </w:tc>
        <w:tc>
          <w:tcPr>
            <w:tcW w:w="955" w:type="dxa"/>
            <w:tcBorders>
              <w:top w:val="single" w:sz="4" w:space="0" w:color="365F91"/>
              <w:bottom w:val="single" w:sz="4" w:space="0" w:color="365F91"/>
            </w:tcBorders>
            <w:shd w:val="clear" w:color="auto" w:fill="FFFFFF"/>
            <w:tcMar>
              <w:top w:w="0" w:type="dxa"/>
              <w:left w:w="85" w:type="dxa"/>
              <w:bottom w:w="0" w:type="dxa"/>
              <w:right w:w="85" w:type="dxa"/>
            </w:tcMar>
          </w:tcPr>
          <w:p w14:paraId="0540A655"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0.011</w:t>
            </w:r>
          </w:p>
        </w:tc>
        <w:tc>
          <w:tcPr>
            <w:tcW w:w="1061" w:type="dxa"/>
            <w:tcBorders>
              <w:top w:val="single" w:sz="4" w:space="0" w:color="365F91"/>
              <w:bottom w:val="single" w:sz="4" w:space="0" w:color="365F91"/>
            </w:tcBorders>
            <w:shd w:val="clear" w:color="auto" w:fill="FFFFFF"/>
            <w:tcMar>
              <w:top w:w="0" w:type="dxa"/>
              <w:left w:w="85" w:type="dxa"/>
              <w:bottom w:w="0" w:type="dxa"/>
              <w:right w:w="85" w:type="dxa"/>
            </w:tcMar>
          </w:tcPr>
          <w:p w14:paraId="1C39BBF6"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1.2</w:t>
            </w:r>
          </w:p>
        </w:tc>
        <w:tc>
          <w:tcPr>
            <w:tcW w:w="961" w:type="dxa"/>
            <w:tcBorders>
              <w:top w:val="single" w:sz="4" w:space="0" w:color="365F91"/>
              <w:bottom w:val="single" w:sz="4" w:space="0" w:color="365F91"/>
              <w:right w:val="single" w:sz="4" w:space="0" w:color="FFFFFF"/>
            </w:tcBorders>
            <w:shd w:val="clear" w:color="auto" w:fill="FFFFFF"/>
            <w:tcMar>
              <w:top w:w="0" w:type="dxa"/>
              <w:left w:w="85" w:type="dxa"/>
              <w:bottom w:w="0" w:type="dxa"/>
              <w:right w:w="85" w:type="dxa"/>
            </w:tcMar>
          </w:tcPr>
          <w:p w14:paraId="6DEC7EDE"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84.6</w:t>
            </w:r>
          </w:p>
        </w:tc>
      </w:tr>
      <w:tr w:rsidR="00A37132" w:rsidRPr="00BE78CA" w14:paraId="5AFF234C" w14:textId="77777777" w:rsidTr="00834B58">
        <w:trPr>
          <w:cantSplit/>
        </w:trPr>
        <w:tc>
          <w:tcPr>
            <w:tcW w:w="846" w:type="dxa"/>
            <w:tcBorders>
              <w:top w:val="single" w:sz="4" w:space="0" w:color="365F91"/>
              <w:left w:val="single" w:sz="4" w:space="0" w:color="FFFFFF"/>
              <w:bottom w:val="single" w:sz="4" w:space="0" w:color="365F91"/>
            </w:tcBorders>
            <w:shd w:val="clear" w:color="auto" w:fill="FFFFFF"/>
            <w:tcMar>
              <w:top w:w="0" w:type="dxa"/>
              <w:left w:w="85" w:type="dxa"/>
              <w:bottom w:w="0" w:type="dxa"/>
              <w:right w:w="85" w:type="dxa"/>
            </w:tcMar>
          </w:tcPr>
          <w:p w14:paraId="3F7C04F7" w14:textId="77777777" w:rsidR="00387C28" w:rsidRPr="00BE78CA" w:rsidRDefault="00387C28" w:rsidP="00A37132">
            <w:pPr>
              <w:pStyle w:val="TableText"/>
              <w:spacing w:before="50" w:after="50"/>
              <w:rPr>
                <w:rFonts w:cs="Calibri"/>
                <w:szCs w:val="16"/>
              </w:rPr>
            </w:pPr>
            <w:r w:rsidRPr="00BE78CA">
              <w:rPr>
                <w:rFonts w:eastAsia="Calibri" w:cs="Calibri"/>
                <w:szCs w:val="16"/>
              </w:rPr>
              <w:t>1.A.2.g.viii</w:t>
            </w:r>
          </w:p>
        </w:tc>
        <w:tc>
          <w:tcPr>
            <w:tcW w:w="2197" w:type="dxa"/>
            <w:tcBorders>
              <w:top w:val="single" w:sz="4" w:space="0" w:color="365F91"/>
              <w:bottom w:val="single" w:sz="4" w:space="0" w:color="365F91"/>
            </w:tcBorders>
            <w:shd w:val="clear" w:color="auto" w:fill="FFFFFF"/>
            <w:tcMar>
              <w:top w:w="0" w:type="dxa"/>
              <w:left w:w="85" w:type="dxa"/>
              <w:bottom w:w="0" w:type="dxa"/>
              <w:right w:w="85" w:type="dxa"/>
            </w:tcMar>
          </w:tcPr>
          <w:p w14:paraId="13D7480E" w14:textId="77777777" w:rsidR="00387C28" w:rsidRPr="00BE78CA" w:rsidRDefault="00387C28" w:rsidP="00A37132">
            <w:pPr>
              <w:pStyle w:val="TableText"/>
              <w:spacing w:before="50" w:after="50"/>
              <w:rPr>
                <w:rFonts w:cs="Calibri"/>
                <w:szCs w:val="16"/>
              </w:rPr>
            </w:pPr>
            <w:r w:rsidRPr="00BE78CA">
              <w:rPr>
                <w:rFonts w:eastAsia="Calibri" w:cs="Calibri"/>
                <w:szCs w:val="16"/>
              </w:rPr>
              <w:t>Other (please specify) – Other (please specify)</w:t>
            </w:r>
          </w:p>
        </w:tc>
        <w:tc>
          <w:tcPr>
            <w:tcW w:w="492" w:type="dxa"/>
            <w:tcBorders>
              <w:top w:val="single" w:sz="4" w:space="0" w:color="365F91"/>
              <w:bottom w:val="single" w:sz="4" w:space="0" w:color="365F91"/>
            </w:tcBorders>
            <w:shd w:val="clear" w:color="auto" w:fill="FFFFFF"/>
            <w:tcMar>
              <w:top w:w="0" w:type="dxa"/>
              <w:left w:w="85" w:type="dxa"/>
              <w:bottom w:w="0" w:type="dxa"/>
              <w:right w:w="85" w:type="dxa"/>
            </w:tcMar>
          </w:tcPr>
          <w:p w14:paraId="44F41023" w14:textId="77777777" w:rsidR="00387C28" w:rsidRPr="00BE78CA" w:rsidRDefault="00387C28" w:rsidP="00A37132">
            <w:pPr>
              <w:pStyle w:val="TableText"/>
              <w:spacing w:before="50" w:after="50"/>
              <w:jc w:val="center"/>
              <w:rPr>
                <w:rFonts w:cs="Calibri"/>
                <w:szCs w:val="16"/>
              </w:rPr>
            </w:pPr>
            <w:r w:rsidRPr="00BE78CA">
              <w:rPr>
                <w:rFonts w:eastAsia="Calibri" w:cs="Calibri"/>
                <w:szCs w:val="16"/>
              </w:rPr>
              <w:t>CO</w:t>
            </w:r>
            <w:r w:rsidRPr="00BE78CA">
              <w:rPr>
                <w:rFonts w:eastAsia="Calibri" w:cs="Calibri"/>
                <w:szCs w:val="16"/>
                <w:vertAlign w:val="subscript"/>
              </w:rPr>
              <w:t>2</w:t>
            </w:r>
          </w:p>
        </w:tc>
        <w:tc>
          <w:tcPr>
            <w:tcW w:w="991" w:type="dxa"/>
            <w:tcBorders>
              <w:top w:val="single" w:sz="4" w:space="0" w:color="365F91"/>
              <w:bottom w:val="single" w:sz="4" w:space="0" w:color="365F91"/>
            </w:tcBorders>
            <w:shd w:val="clear" w:color="auto" w:fill="FFFFFF"/>
            <w:tcMar>
              <w:top w:w="0" w:type="dxa"/>
              <w:left w:w="85" w:type="dxa"/>
              <w:bottom w:w="0" w:type="dxa"/>
              <w:right w:w="85" w:type="dxa"/>
            </w:tcMar>
          </w:tcPr>
          <w:p w14:paraId="621BDA64"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731.1</w:t>
            </w:r>
          </w:p>
        </w:tc>
        <w:tc>
          <w:tcPr>
            <w:tcW w:w="991" w:type="dxa"/>
            <w:tcBorders>
              <w:top w:val="single" w:sz="4" w:space="0" w:color="365F91"/>
              <w:bottom w:val="single" w:sz="4" w:space="0" w:color="365F91"/>
            </w:tcBorders>
            <w:shd w:val="clear" w:color="auto" w:fill="FFFFFF"/>
            <w:tcMar>
              <w:top w:w="0" w:type="dxa"/>
              <w:left w:w="85" w:type="dxa"/>
              <w:bottom w:w="0" w:type="dxa"/>
              <w:right w:w="85" w:type="dxa"/>
            </w:tcMar>
          </w:tcPr>
          <w:p w14:paraId="619619B3"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9.5</w:t>
            </w:r>
          </w:p>
        </w:tc>
        <w:tc>
          <w:tcPr>
            <w:tcW w:w="955" w:type="dxa"/>
            <w:tcBorders>
              <w:top w:val="single" w:sz="4" w:space="0" w:color="365F91"/>
              <w:bottom w:val="single" w:sz="4" w:space="0" w:color="365F91"/>
            </w:tcBorders>
            <w:shd w:val="clear" w:color="auto" w:fill="FFFFFF"/>
            <w:tcMar>
              <w:top w:w="0" w:type="dxa"/>
              <w:left w:w="85" w:type="dxa"/>
              <w:bottom w:w="0" w:type="dxa"/>
              <w:right w:w="85" w:type="dxa"/>
            </w:tcMar>
          </w:tcPr>
          <w:p w14:paraId="5664CD08"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0.011</w:t>
            </w:r>
          </w:p>
        </w:tc>
        <w:tc>
          <w:tcPr>
            <w:tcW w:w="1061" w:type="dxa"/>
            <w:tcBorders>
              <w:top w:val="single" w:sz="4" w:space="0" w:color="365F91"/>
              <w:bottom w:val="single" w:sz="4" w:space="0" w:color="365F91"/>
            </w:tcBorders>
            <w:shd w:val="clear" w:color="auto" w:fill="FFFFFF"/>
            <w:tcMar>
              <w:top w:w="0" w:type="dxa"/>
              <w:left w:w="85" w:type="dxa"/>
              <w:bottom w:w="0" w:type="dxa"/>
              <w:right w:w="85" w:type="dxa"/>
            </w:tcMar>
          </w:tcPr>
          <w:p w14:paraId="741A800C"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1.2</w:t>
            </w:r>
          </w:p>
        </w:tc>
        <w:tc>
          <w:tcPr>
            <w:tcW w:w="961" w:type="dxa"/>
            <w:tcBorders>
              <w:top w:val="single" w:sz="4" w:space="0" w:color="365F91"/>
              <w:bottom w:val="single" w:sz="4" w:space="0" w:color="365F91"/>
              <w:right w:val="single" w:sz="4" w:space="0" w:color="FFFFFF"/>
            </w:tcBorders>
            <w:shd w:val="clear" w:color="auto" w:fill="FFFFFF"/>
            <w:tcMar>
              <w:top w:w="0" w:type="dxa"/>
              <w:left w:w="85" w:type="dxa"/>
              <w:bottom w:w="0" w:type="dxa"/>
              <w:right w:w="85" w:type="dxa"/>
            </w:tcMar>
          </w:tcPr>
          <w:p w14:paraId="37AF4BE3"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85.7</w:t>
            </w:r>
          </w:p>
        </w:tc>
      </w:tr>
      <w:tr w:rsidR="00A37132" w:rsidRPr="00BE78CA" w14:paraId="659FD9CB" w14:textId="77777777" w:rsidTr="00834B58">
        <w:trPr>
          <w:cantSplit/>
        </w:trPr>
        <w:tc>
          <w:tcPr>
            <w:tcW w:w="846" w:type="dxa"/>
            <w:tcBorders>
              <w:top w:val="single" w:sz="4" w:space="0" w:color="365F91"/>
              <w:left w:val="single" w:sz="4" w:space="0" w:color="FFFFFF"/>
              <w:bottom w:val="single" w:sz="4" w:space="0" w:color="365F91"/>
            </w:tcBorders>
            <w:shd w:val="clear" w:color="auto" w:fill="FFFFFF"/>
            <w:tcMar>
              <w:top w:w="0" w:type="dxa"/>
              <w:left w:w="85" w:type="dxa"/>
              <w:bottom w:w="0" w:type="dxa"/>
              <w:right w:w="85" w:type="dxa"/>
            </w:tcMar>
          </w:tcPr>
          <w:p w14:paraId="08FA00AA" w14:textId="77777777" w:rsidR="00387C28" w:rsidRPr="00BE78CA" w:rsidRDefault="00387C28" w:rsidP="00A37132">
            <w:pPr>
              <w:pStyle w:val="TableText"/>
              <w:spacing w:before="50" w:after="50"/>
              <w:rPr>
                <w:rFonts w:cs="Calibri"/>
                <w:szCs w:val="16"/>
              </w:rPr>
            </w:pPr>
            <w:r w:rsidRPr="00BE78CA">
              <w:rPr>
                <w:rFonts w:eastAsia="Calibri" w:cs="Calibri"/>
                <w:szCs w:val="16"/>
              </w:rPr>
              <w:t>4.C.1</w:t>
            </w:r>
          </w:p>
        </w:tc>
        <w:tc>
          <w:tcPr>
            <w:tcW w:w="2197" w:type="dxa"/>
            <w:tcBorders>
              <w:top w:val="single" w:sz="4" w:space="0" w:color="365F91"/>
              <w:bottom w:val="single" w:sz="4" w:space="0" w:color="365F91"/>
            </w:tcBorders>
            <w:shd w:val="clear" w:color="auto" w:fill="FFFFFF"/>
            <w:tcMar>
              <w:top w:w="0" w:type="dxa"/>
              <w:left w:w="85" w:type="dxa"/>
              <w:bottom w:w="0" w:type="dxa"/>
              <w:right w:w="85" w:type="dxa"/>
            </w:tcMar>
          </w:tcPr>
          <w:p w14:paraId="79F83C5E" w14:textId="77777777" w:rsidR="00387C28" w:rsidRPr="00BE78CA" w:rsidRDefault="00387C28" w:rsidP="00A37132">
            <w:pPr>
              <w:pStyle w:val="TableText"/>
              <w:spacing w:before="50" w:after="50"/>
              <w:rPr>
                <w:rFonts w:cs="Calibri"/>
                <w:szCs w:val="16"/>
              </w:rPr>
            </w:pPr>
            <w:r w:rsidRPr="00BE78CA">
              <w:rPr>
                <w:rFonts w:eastAsia="Calibri" w:cs="Calibri"/>
                <w:szCs w:val="16"/>
              </w:rPr>
              <w:t>Grassland – Grassland Remaining Grassland</w:t>
            </w:r>
          </w:p>
        </w:tc>
        <w:tc>
          <w:tcPr>
            <w:tcW w:w="492" w:type="dxa"/>
            <w:tcBorders>
              <w:top w:val="single" w:sz="4" w:space="0" w:color="365F91"/>
              <w:bottom w:val="single" w:sz="4" w:space="0" w:color="365F91"/>
            </w:tcBorders>
            <w:shd w:val="clear" w:color="auto" w:fill="FFFFFF"/>
            <w:tcMar>
              <w:top w:w="0" w:type="dxa"/>
              <w:left w:w="85" w:type="dxa"/>
              <w:bottom w:w="0" w:type="dxa"/>
              <w:right w:w="85" w:type="dxa"/>
            </w:tcMar>
          </w:tcPr>
          <w:p w14:paraId="4330CE58" w14:textId="77777777" w:rsidR="00387C28" w:rsidRPr="00BE78CA" w:rsidRDefault="00387C28" w:rsidP="00A37132">
            <w:pPr>
              <w:pStyle w:val="TableText"/>
              <w:spacing w:before="50" w:after="50"/>
              <w:jc w:val="center"/>
              <w:rPr>
                <w:rFonts w:cs="Calibri"/>
                <w:szCs w:val="16"/>
              </w:rPr>
            </w:pPr>
            <w:r w:rsidRPr="00BE78CA">
              <w:rPr>
                <w:rFonts w:eastAsia="Calibri" w:cs="Calibri"/>
                <w:szCs w:val="16"/>
              </w:rPr>
              <w:t>CO</w:t>
            </w:r>
            <w:r w:rsidRPr="00BE78CA">
              <w:rPr>
                <w:rFonts w:eastAsia="Calibri" w:cs="Calibri"/>
                <w:szCs w:val="16"/>
                <w:vertAlign w:val="subscript"/>
              </w:rPr>
              <w:t>2</w:t>
            </w:r>
          </w:p>
        </w:tc>
        <w:tc>
          <w:tcPr>
            <w:tcW w:w="991" w:type="dxa"/>
            <w:tcBorders>
              <w:top w:val="single" w:sz="4" w:space="0" w:color="365F91"/>
              <w:bottom w:val="single" w:sz="4" w:space="0" w:color="365F91"/>
            </w:tcBorders>
            <w:shd w:val="clear" w:color="auto" w:fill="FFFFFF"/>
            <w:tcMar>
              <w:top w:w="0" w:type="dxa"/>
              <w:left w:w="85" w:type="dxa"/>
              <w:bottom w:w="0" w:type="dxa"/>
              <w:right w:w="85" w:type="dxa"/>
            </w:tcMar>
          </w:tcPr>
          <w:p w14:paraId="4268EAE6"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219.9</w:t>
            </w:r>
          </w:p>
        </w:tc>
        <w:tc>
          <w:tcPr>
            <w:tcW w:w="991" w:type="dxa"/>
            <w:tcBorders>
              <w:top w:val="single" w:sz="4" w:space="0" w:color="365F91"/>
              <w:bottom w:val="single" w:sz="4" w:space="0" w:color="365F91"/>
            </w:tcBorders>
            <w:shd w:val="clear" w:color="auto" w:fill="FFFFFF"/>
            <w:tcMar>
              <w:top w:w="0" w:type="dxa"/>
              <w:left w:w="85" w:type="dxa"/>
              <w:bottom w:w="0" w:type="dxa"/>
              <w:right w:w="85" w:type="dxa"/>
            </w:tcMar>
          </w:tcPr>
          <w:p w14:paraId="4E0846BB"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1,228.2</w:t>
            </w:r>
          </w:p>
        </w:tc>
        <w:tc>
          <w:tcPr>
            <w:tcW w:w="955" w:type="dxa"/>
            <w:tcBorders>
              <w:top w:val="single" w:sz="4" w:space="0" w:color="365F91"/>
              <w:bottom w:val="single" w:sz="4" w:space="0" w:color="365F91"/>
            </w:tcBorders>
            <w:shd w:val="clear" w:color="auto" w:fill="FFFFFF"/>
            <w:tcMar>
              <w:top w:w="0" w:type="dxa"/>
              <w:left w:w="85" w:type="dxa"/>
              <w:bottom w:w="0" w:type="dxa"/>
              <w:right w:w="85" w:type="dxa"/>
            </w:tcMar>
          </w:tcPr>
          <w:p w14:paraId="2E8E5139"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0.010</w:t>
            </w:r>
          </w:p>
        </w:tc>
        <w:tc>
          <w:tcPr>
            <w:tcW w:w="1061" w:type="dxa"/>
            <w:tcBorders>
              <w:top w:val="single" w:sz="4" w:space="0" w:color="365F91"/>
              <w:bottom w:val="single" w:sz="4" w:space="0" w:color="365F91"/>
            </w:tcBorders>
            <w:shd w:val="clear" w:color="auto" w:fill="FFFFFF"/>
            <w:tcMar>
              <w:top w:w="0" w:type="dxa"/>
              <w:left w:w="85" w:type="dxa"/>
              <w:bottom w:w="0" w:type="dxa"/>
              <w:right w:w="85" w:type="dxa"/>
            </w:tcMar>
          </w:tcPr>
          <w:p w14:paraId="24CEB0A8"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1.2</w:t>
            </w:r>
          </w:p>
        </w:tc>
        <w:tc>
          <w:tcPr>
            <w:tcW w:w="961" w:type="dxa"/>
            <w:tcBorders>
              <w:top w:val="single" w:sz="4" w:space="0" w:color="365F91"/>
              <w:bottom w:val="single" w:sz="4" w:space="0" w:color="365F91"/>
              <w:right w:val="single" w:sz="4" w:space="0" w:color="FFFFFF"/>
            </w:tcBorders>
            <w:shd w:val="clear" w:color="auto" w:fill="FFFFFF"/>
            <w:tcMar>
              <w:top w:w="0" w:type="dxa"/>
              <w:left w:w="85" w:type="dxa"/>
              <w:bottom w:w="0" w:type="dxa"/>
              <w:right w:w="85" w:type="dxa"/>
            </w:tcMar>
          </w:tcPr>
          <w:p w14:paraId="285BD24F"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86.9</w:t>
            </w:r>
          </w:p>
        </w:tc>
      </w:tr>
      <w:tr w:rsidR="00A37132" w:rsidRPr="00BE78CA" w14:paraId="79378E4D" w14:textId="77777777" w:rsidTr="00834B58">
        <w:trPr>
          <w:cantSplit/>
        </w:trPr>
        <w:tc>
          <w:tcPr>
            <w:tcW w:w="846" w:type="dxa"/>
            <w:tcBorders>
              <w:top w:val="single" w:sz="4" w:space="0" w:color="365F91"/>
              <w:left w:val="single" w:sz="4" w:space="0" w:color="FFFFFF"/>
              <w:bottom w:val="single" w:sz="4" w:space="0" w:color="365F91"/>
            </w:tcBorders>
            <w:shd w:val="clear" w:color="auto" w:fill="FFFFFF"/>
            <w:tcMar>
              <w:top w:w="0" w:type="dxa"/>
              <w:left w:w="85" w:type="dxa"/>
              <w:bottom w:w="0" w:type="dxa"/>
              <w:right w:w="85" w:type="dxa"/>
            </w:tcMar>
          </w:tcPr>
          <w:p w14:paraId="40732A52" w14:textId="77777777" w:rsidR="00387C28" w:rsidRPr="00BE78CA" w:rsidRDefault="00387C28" w:rsidP="00A37132">
            <w:pPr>
              <w:pStyle w:val="TableText"/>
              <w:spacing w:before="50" w:after="50"/>
              <w:rPr>
                <w:rFonts w:cs="Calibri"/>
                <w:szCs w:val="16"/>
              </w:rPr>
            </w:pPr>
            <w:r w:rsidRPr="00BE78CA">
              <w:rPr>
                <w:rFonts w:eastAsia="Calibri" w:cs="Calibri"/>
                <w:szCs w:val="16"/>
              </w:rPr>
              <w:t>3.B.1.1</w:t>
            </w:r>
          </w:p>
        </w:tc>
        <w:tc>
          <w:tcPr>
            <w:tcW w:w="2197" w:type="dxa"/>
            <w:tcBorders>
              <w:top w:val="single" w:sz="4" w:space="0" w:color="365F91"/>
              <w:bottom w:val="single" w:sz="4" w:space="0" w:color="365F91"/>
            </w:tcBorders>
            <w:shd w:val="clear" w:color="auto" w:fill="FFFFFF"/>
            <w:tcMar>
              <w:top w:w="0" w:type="dxa"/>
              <w:left w:w="85" w:type="dxa"/>
              <w:bottom w:w="0" w:type="dxa"/>
              <w:right w:w="85" w:type="dxa"/>
            </w:tcMar>
          </w:tcPr>
          <w:p w14:paraId="1D2B6302" w14:textId="77777777" w:rsidR="00387C28" w:rsidRPr="00BE78CA" w:rsidRDefault="00387C28" w:rsidP="00A37132">
            <w:pPr>
              <w:pStyle w:val="TableText"/>
              <w:spacing w:before="50" w:after="50"/>
              <w:rPr>
                <w:rFonts w:cs="Calibri"/>
                <w:szCs w:val="16"/>
              </w:rPr>
            </w:pPr>
            <w:r w:rsidRPr="00BE78CA">
              <w:rPr>
                <w:rFonts w:eastAsia="Calibri" w:cs="Calibri"/>
                <w:szCs w:val="16"/>
              </w:rPr>
              <w:t>Cattle – Option A</w:t>
            </w:r>
          </w:p>
        </w:tc>
        <w:tc>
          <w:tcPr>
            <w:tcW w:w="492" w:type="dxa"/>
            <w:tcBorders>
              <w:top w:val="single" w:sz="4" w:space="0" w:color="365F91"/>
              <w:bottom w:val="single" w:sz="4" w:space="0" w:color="365F91"/>
            </w:tcBorders>
            <w:shd w:val="clear" w:color="auto" w:fill="FFFFFF"/>
            <w:tcMar>
              <w:top w:w="0" w:type="dxa"/>
              <w:left w:w="85" w:type="dxa"/>
              <w:bottom w:w="0" w:type="dxa"/>
              <w:right w:w="85" w:type="dxa"/>
            </w:tcMar>
          </w:tcPr>
          <w:p w14:paraId="248207B0" w14:textId="77777777" w:rsidR="00387C28" w:rsidRPr="00BE78CA" w:rsidRDefault="00387C28" w:rsidP="00A37132">
            <w:pPr>
              <w:pStyle w:val="TableText"/>
              <w:spacing w:before="50" w:after="50"/>
              <w:jc w:val="center"/>
              <w:rPr>
                <w:rFonts w:cs="Calibri"/>
                <w:szCs w:val="16"/>
              </w:rPr>
            </w:pPr>
            <w:r w:rsidRPr="00BE78CA">
              <w:rPr>
                <w:rFonts w:eastAsia="Calibri" w:cs="Calibri"/>
                <w:szCs w:val="16"/>
              </w:rPr>
              <w:t>CH</w:t>
            </w:r>
            <w:r w:rsidRPr="00BE78CA">
              <w:rPr>
                <w:rFonts w:eastAsia="Calibri" w:cs="Calibri"/>
                <w:szCs w:val="16"/>
                <w:vertAlign w:val="subscript"/>
              </w:rPr>
              <w:t>4</w:t>
            </w:r>
          </w:p>
        </w:tc>
        <w:tc>
          <w:tcPr>
            <w:tcW w:w="991" w:type="dxa"/>
            <w:tcBorders>
              <w:top w:val="single" w:sz="4" w:space="0" w:color="365F91"/>
              <w:bottom w:val="single" w:sz="4" w:space="0" w:color="365F91"/>
            </w:tcBorders>
            <w:shd w:val="clear" w:color="auto" w:fill="FFFFFF"/>
            <w:tcMar>
              <w:top w:w="0" w:type="dxa"/>
              <w:left w:w="85" w:type="dxa"/>
              <w:bottom w:w="0" w:type="dxa"/>
              <w:right w:w="85" w:type="dxa"/>
            </w:tcMar>
          </w:tcPr>
          <w:p w14:paraId="2B6DBB1D"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416.6</w:t>
            </w:r>
          </w:p>
        </w:tc>
        <w:tc>
          <w:tcPr>
            <w:tcW w:w="991" w:type="dxa"/>
            <w:tcBorders>
              <w:top w:val="single" w:sz="4" w:space="0" w:color="365F91"/>
              <w:bottom w:val="single" w:sz="4" w:space="0" w:color="365F91"/>
            </w:tcBorders>
            <w:shd w:val="clear" w:color="auto" w:fill="FFFFFF"/>
            <w:tcMar>
              <w:top w:w="0" w:type="dxa"/>
              <w:left w:w="85" w:type="dxa"/>
              <w:bottom w:w="0" w:type="dxa"/>
              <w:right w:w="85" w:type="dxa"/>
            </w:tcMar>
          </w:tcPr>
          <w:p w14:paraId="2BB008A6"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1,384.2</w:t>
            </w:r>
          </w:p>
        </w:tc>
        <w:tc>
          <w:tcPr>
            <w:tcW w:w="955" w:type="dxa"/>
            <w:tcBorders>
              <w:top w:val="single" w:sz="4" w:space="0" w:color="365F91"/>
              <w:bottom w:val="single" w:sz="4" w:space="0" w:color="365F91"/>
            </w:tcBorders>
            <w:shd w:val="clear" w:color="auto" w:fill="FFFFFF"/>
            <w:tcMar>
              <w:top w:w="0" w:type="dxa"/>
              <w:left w:w="85" w:type="dxa"/>
              <w:bottom w:w="0" w:type="dxa"/>
              <w:right w:w="85" w:type="dxa"/>
            </w:tcMar>
          </w:tcPr>
          <w:p w14:paraId="1B489C3A"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0.009</w:t>
            </w:r>
          </w:p>
        </w:tc>
        <w:tc>
          <w:tcPr>
            <w:tcW w:w="1061" w:type="dxa"/>
            <w:tcBorders>
              <w:top w:val="single" w:sz="4" w:space="0" w:color="365F91"/>
              <w:bottom w:val="single" w:sz="4" w:space="0" w:color="365F91"/>
            </w:tcBorders>
            <w:shd w:val="clear" w:color="auto" w:fill="FFFFFF"/>
            <w:tcMar>
              <w:top w:w="0" w:type="dxa"/>
              <w:left w:w="85" w:type="dxa"/>
              <w:bottom w:w="0" w:type="dxa"/>
              <w:right w:w="85" w:type="dxa"/>
            </w:tcMar>
          </w:tcPr>
          <w:p w14:paraId="4B9E2154"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1.0</w:t>
            </w:r>
          </w:p>
        </w:tc>
        <w:tc>
          <w:tcPr>
            <w:tcW w:w="961" w:type="dxa"/>
            <w:tcBorders>
              <w:top w:val="single" w:sz="4" w:space="0" w:color="365F91"/>
              <w:bottom w:val="single" w:sz="4" w:space="0" w:color="365F91"/>
              <w:right w:val="single" w:sz="4" w:space="0" w:color="FFFFFF"/>
            </w:tcBorders>
            <w:shd w:val="clear" w:color="auto" w:fill="FFFFFF"/>
            <w:tcMar>
              <w:top w:w="0" w:type="dxa"/>
              <w:left w:w="85" w:type="dxa"/>
              <w:bottom w:w="0" w:type="dxa"/>
              <w:right w:w="85" w:type="dxa"/>
            </w:tcMar>
          </w:tcPr>
          <w:p w14:paraId="0C717F91"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87.9</w:t>
            </w:r>
          </w:p>
        </w:tc>
      </w:tr>
      <w:tr w:rsidR="00A37132" w:rsidRPr="00BE78CA" w14:paraId="52BC02A7" w14:textId="77777777" w:rsidTr="00834B58">
        <w:trPr>
          <w:cantSplit/>
        </w:trPr>
        <w:tc>
          <w:tcPr>
            <w:tcW w:w="846" w:type="dxa"/>
            <w:tcBorders>
              <w:top w:val="single" w:sz="4" w:space="0" w:color="365F91"/>
              <w:left w:val="single" w:sz="4" w:space="0" w:color="FFFFFF"/>
              <w:bottom w:val="single" w:sz="4" w:space="0" w:color="365F91"/>
            </w:tcBorders>
            <w:shd w:val="clear" w:color="auto" w:fill="FFFFFF"/>
            <w:tcMar>
              <w:top w:w="0" w:type="dxa"/>
              <w:left w:w="85" w:type="dxa"/>
              <w:bottom w:w="0" w:type="dxa"/>
              <w:right w:w="85" w:type="dxa"/>
            </w:tcMar>
          </w:tcPr>
          <w:p w14:paraId="635B1BC1" w14:textId="77777777" w:rsidR="00387C28" w:rsidRPr="00BE78CA" w:rsidRDefault="00387C28" w:rsidP="00A37132">
            <w:pPr>
              <w:pStyle w:val="TableText"/>
              <w:spacing w:before="50" w:after="50"/>
              <w:rPr>
                <w:rFonts w:cs="Calibri"/>
                <w:szCs w:val="16"/>
              </w:rPr>
            </w:pPr>
            <w:r w:rsidRPr="00BE78CA">
              <w:rPr>
                <w:rFonts w:eastAsia="Calibri" w:cs="Calibri"/>
                <w:szCs w:val="16"/>
              </w:rPr>
              <w:t>1.A.2.e</w:t>
            </w:r>
          </w:p>
        </w:tc>
        <w:tc>
          <w:tcPr>
            <w:tcW w:w="2197" w:type="dxa"/>
            <w:tcBorders>
              <w:top w:val="single" w:sz="4" w:space="0" w:color="365F91"/>
              <w:bottom w:val="single" w:sz="4" w:space="0" w:color="365F91"/>
            </w:tcBorders>
            <w:shd w:val="clear" w:color="auto" w:fill="FFFFFF"/>
            <w:tcMar>
              <w:top w:w="0" w:type="dxa"/>
              <w:left w:w="85" w:type="dxa"/>
              <w:bottom w:w="0" w:type="dxa"/>
              <w:right w:w="85" w:type="dxa"/>
            </w:tcMar>
          </w:tcPr>
          <w:p w14:paraId="394497A7" w14:textId="77777777" w:rsidR="00387C28" w:rsidRPr="00BE78CA" w:rsidRDefault="00387C28" w:rsidP="00A37132">
            <w:pPr>
              <w:pStyle w:val="TableText"/>
              <w:spacing w:before="50" w:after="50"/>
              <w:rPr>
                <w:rFonts w:cs="Calibri"/>
                <w:szCs w:val="16"/>
              </w:rPr>
            </w:pPr>
            <w:r w:rsidRPr="00BE78CA">
              <w:rPr>
                <w:rFonts w:eastAsia="Calibri" w:cs="Calibri"/>
                <w:szCs w:val="16"/>
              </w:rPr>
              <w:t>Food Processing, Beverages and Tobacco – Gaseous Fuels</w:t>
            </w:r>
          </w:p>
        </w:tc>
        <w:tc>
          <w:tcPr>
            <w:tcW w:w="492" w:type="dxa"/>
            <w:tcBorders>
              <w:top w:val="single" w:sz="4" w:space="0" w:color="365F91"/>
              <w:bottom w:val="single" w:sz="4" w:space="0" w:color="365F91"/>
            </w:tcBorders>
            <w:shd w:val="clear" w:color="auto" w:fill="FFFFFF"/>
            <w:tcMar>
              <w:top w:w="0" w:type="dxa"/>
              <w:left w:w="85" w:type="dxa"/>
              <w:bottom w:w="0" w:type="dxa"/>
              <w:right w:w="85" w:type="dxa"/>
            </w:tcMar>
          </w:tcPr>
          <w:p w14:paraId="177AA1A9" w14:textId="77777777" w:rsidR="00387C28" w:rsidRPr="00BE78CA" w:rsidRDefault="00387C28" w:rsidP="00A37132">
            <w:pPr>
              <w:pStyle w:val="TableText"/>
              <w:spacing w:before="50" w:after="50"/>
              <w:jc w:val="center"/>
              <w:rPr>
                <w:rFonts w:cs="Calibri"/>
                <w:szCs w:val="16"/>
              </w:rPr>
            </w:pPr>
            <w:r w:rsidRPr="00BE78CA">
              <w:rPr>
                <w:rFonts w:eastAsia="Calibri" w:cs="Calibri"/>
                <w:szCs w:val="16"/>
              </w:rPr>
              <w:t>CO</w:t>
            </w:r>
            <w:r w:rsidRPr="00BE78CA">
              <w:rPr>
                <w:rFonts w:eastAsia="Calibri" w:cs="Calibri"/>
                <w:szCs w:val="16"/>
                <w:vertAlign w:val="subscript"/>
              </w:rPr>
              <w:t>2</w:t>
            </w:r>
          </w:p>
        </w:tc>
        <w:tc>
          <w:tcPr>
            <w:tcW w:w="991" w:type="dxa"/>
            <w:tcBorders>
              <w:top w:val="single" w:sz="4" w:space="0" w:color="365F91"/>
              <w:bottom w:val="single" w:sz="4" w:space="0" w:color="365F91"/>
            </w:tcBorders>
            <w:shd w:val="clear" w:color="auto" w:fill="FFFFFF"/>
            <w:tcMar>
              <w:top w:w="0" w:type="dxa"/>
              <w:left w:w="85" w:type="dxa"/>
              <w:bottom w:w="0" w:type="dxa"/>
              <w:right w:w="85" w:type="dxa"/>
            </w:tcMar>
          </w:tcPr>
          <w:p w14:paraId="56988884"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445.1</w:t>
            </w:r>
          </w:p>
        </w:tc>
        <w:tc>
          <w:tcPr>
            <w:tcW w:w="991" w:type="dxa"/>
            <w:tcBorders>
              <w:top w:val="single" w:sz="4" w:space="0" w:color="365F91"/>
              <w:bottom w:val="single" w:sz="4" w:space="0" w:color="365F91"/>
            </w:tcBorders>
            <w:shd w:val="clear" w:color="auto" w:fill="FFFFFF"/>
            <w:tcMar>
              <w:top w:w="0" w:type="dxa"/>
              <w:left w:w="85" w:type="dxa"/>
              <w:bottom w:w="0" w:type="dxa"/>
              <w:right w:w="85" w:type="dxa"/>
            </w:tcMar>
          </w:tcPr>
          <w:p w14:paraId="34BA0BAB"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1,197.6</w:t>
            </w:r>
          </w:p>
        </w:tc>
        <w:tc>
          <w:tcPr>
            <w:tcW w:w="955" w:type="dxa"/>
            <w:tcBorders>
              <w:top w:val="single" w:sz="4" w:space="0" w:color="365F91"/>
              <w:bottom w:val="single" w:sz="4" w:space="0" w:color="365F91"/>
            </w:tcBorders>
            <w:shd w:val="clear" w:color="auto" w:fill="FFFFFF"/>
            <w:tcMar>
              <w:top w:w="0" w:type="dxa"/>
              <w:left w:w="85" w:type="dxa"/>
              <w:bottom w:w="0" w:type="dxa"/>
              <w:right w:w="85" w:type="dxa"/>
            </w:tcMar>
          </w:tcPr>
          <w:p w14:paraId="605E5F2F"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0.007</w:t>
            </w:r>
          </w:p>
        </w:tc>
        <w:tc>
          <w:tcPr>
            <w:tcW w:w="1061" w:type="dxa"/>
            <w:tcBorders>
              <w:top w:val="single" w:sz="4" w:space="0" w:color="365F91"/>
              <w:bottom w:val="single" w:sz="4" w:space="0" w:color="365F91"/>
            </w:tcBorders>
            <w:shd w:val="clear" w:color="auto" w:fill="FFFFFF"/>
            <w:tcMar>
              <w:top w:w="0" w:type="dxa"/>
              <w:left w:w="85" w:type="dxa"/>
              <w:bottom w:w="0" w:type="dxa"/>
              <w:right w:w="85" w:type="dxa"/>
            </w:tcMar>
          </w:tcPr>
          <w:p w14:paraId="1F767388"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0.7</w:t>
            </w:r>
          </w:p>
        </w:tc>
        <w:tc>
          <w:tcPr>
            <w:tcW w:w="961" w:type="dxa"/>
            <w:tcBorders>
              <w:top w:val="single" w:sz="4" w:space="0" w:color="365F91"/>
              <w:bottom w:val="single" w:sz="4" w:space="0" w:color="365F91"/>
              <w:right w:val="single" w:sz="4" w:space="0" w:color="FFFFFF"/>
            </w:tcBorders>
            <w:shd w:val="clear" w:color="auto" w:fill="FFFFFF"/>
            <w:tcMar>
              <w:top w:w="0" w:type="dxa"/>
              <w:left w:w="85" w:type="dxa"/>
              <w:bottom w:w="0" w:type="dxa"/>
              <w:right w:w="85" w:type="dxa"/>
            </w:tcMar>
          </w:tcPr>
          <w:p w14:paraId="1E3AD9A3"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88.7</w:t>
            </w:r>
          </w:p>
        </w:tc>
      </w:tr>
      <w:tr w:rsidR="00A37132" w:rsidRPr="00BE78CA" w14:paraId="28F6E28D" w14:textId="77777777" w:rsidTr="00834B58">
        <w:trPr>
          <w:cantSplit/>
        </w:trPr>
        <w:tc>
          <w:tcPr>
            <w:tcW w:w="846" w:type="dxa"/>
            <w:tcBorders>
              <w:top w:val="single" w:sz="4" w:space="0" w:color="365F91"/>
              <w:left w:val="single" w:sz="4" w:space="0" w:color="FFFFFF"/>
              <w:bottom w:val="single" w:sz="4" w:space="0" w:color="365F91"/>
            </w:tcBorders>
            <w:shd w:val="clear" w:color="auto" w:fill="FFFFFF"/>
            <w:tcMar>
              <w:top w:w="0" w:type="dxa"/>
              <w:left w:w="85" w:type="dxa"/>
              <w:bottom w:w="0" w:type="dxa"/>
              <w:right w:w="85" w:type="dxa"/>
            </w:tcMar>
          </w:tcPr>
          <w:p w14:paraId="11BEA29A" w14:textId="77777777" w:rsidR="00387C28" w:rsidRPr="00BE78CA" w:rsidRDefault="00387C28" w:rsidP="00A37132">
            <w:pPr>
              <w:pStyle w:val="TableText"/>
              <w:spacing w:before="50" w:after="50"/>
              <w:rPr>
                <w:rFonts w:cs="Calibri"/>
                <w:szCs w:val="16"/>
              </w:rPr>
            </w:pPr>
            <w:r w:rsidRPr="00BE78CA">
              <w:rPr>
                <w:rFonts w:eastAsia="Calibri" w:cs="Calibri"/>
                <w:szCs w:val="16"/>
              </w:rPr>
              <w:t>3.H</w:t>
            </w:r>
          </w:p>
        </w:tc>
        <w:tc>
          <w:tcPr>
            <w:tcW w:w="2197" w:type="dxa"/>
            <w:tcBorders>
              <w:top w:val="single" w:sz="4" w:space="0" w:color="365F91"/>
              <w:bottom w:val="single" w:sz="4" w:space="0" w:color="365F91"/>
            </w:tcBorders>
            <w:shd w:val="clear" w:color="auto" w:fill="FFFFFF"/>
            <w:tcMar>
              <w:top w:w="0" w:type="dxa"/>
              <w:left w:w="85" w:type="dxa"/>
              <w:bottom w:w="0" w:type="dxa"/>
              <w:right w:w="85" w:type="dxa"/>
            </w:tcMar>
          </w:tcPr>
          <w:p w14:paraId="5970B0EE" w14:textId="77777777" w:rsidR="00387C28" w:rsidRPr="00BE78CA" w:rsidRDefault="00387C28" w:rsidP="00A37132">
            <w:pPr>
              <w:pStyle w:val="TableText"/>
              <w:spacing w:before="50" w:after="50"/>
              <w:rPr>
                <w:rFonts w:cs="Calibri"/>
                <w:szCs w:val="16"/>
              </w:rPr>
            </w:pPr>
            <w:r w:rsidRPr="00BE78CA">
              <w:rPr>
                <w:rFonts w:eastAsia="Calibri" w:cs="Calibri"/>
                <w:szCs w:val="16"/>
              </w:rPr>
              <w:t>Agriculture – Urea Application</w:t>
            </w:r>
          </w:p>
        </w:tc>
        <w:tc>
          <w:tcPr>
            <w:tcW w:w="492" w:type="dxa"/>
            <w:tcBorders>
              <w:top w:val="single" w:sz="4" w:space="0" w:color="365F91"/>
              <w:bottom w:val="single" w:sz="4" w:space="0" w:color="365F91"/>
            </w:tcBorders>
            <w:shd w:val="clear" w:color="auto" w:fill="FFFFFF"/>
            <w:tcMar>
              <w:top w:w="0" w:type="dxa"/>
              <w:left w:w="85" w:type="dxa"/>
              <w:bottom w:w="0" w:type="dxa"/>
              <w:right w:w="85" w:type="dxa"/>
            </w:tcMar>
          </w:tcPr>
          <w:p w14:paraId="53408323" w14:textId="77777777" w:rsidR="00387C28" w:rsidRPr="00BE78CA" w:rsidRDefault="00387C28" w:rsidP="00A37132">
            <w:pPr>
              <w:pStyle w:val="TableText"/>
              <w:spacing w:before="50" w:after="50"/>
              <w:jc w:val="center"/>
              <w:rPr>
                <w:rFonts w:cs="Calibri"/>
                <w:szCs w:val="16"/>
              </w:rPr>
            </w:pPr>
            <w:r w:rsidRPr="00BE78CA">
              <w:rPr>
                <w:rFonts w:eastAsia="Calibri" w:cs="Calibri"/>
                <w:szCs w:val="16"/>
              </w:rPr>
              <w:t>CO</w:t>
            </w:r>
            <w:r w:rsidRPr="00BE78CA">
              <w:rPr>
                <w:rFonts w:eastAsia="Calibri" w:cs="Calibri"/>
                <w:szCs w:val="16"/>
                <w:vertAlign w:val="subscript"/>
              </w:rPr>
              <w:t>2</w:t>
            </w:r>
          </w:p>
        </w:tc>
        <w:tc>
          <w:tcPr>
            <w:tcW w:w="991" w:type="dxa"/>
            <w:tcBorders>
              <w:top w:val="single" w:sz="4" w:space="0" w:color="365F91"/>
              <w:bottom w:val="single" w:sz="4" w:space="0" w:color="365F91"/>
            </w:tcBorders>
            <w:shd w:val="clear" w:color="auto" w:fill="FFFFFF"/>
            <w:tcMar>
              <w:top w:w="0" w:type="dxa"/>
              <w:left w:w="85" w:type="dxa"/>
              <w:bottom w:w="0" w:type="dxa"/>
              <w:right w:w="85" w:type="dxa"/>
            </w:tcMar>
          </w:tcPr>
          <w:p w14:paraId="6CF3A609"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39.2</w:t>
            </w:r>
          </w:p>
        </w:tc>
        <w:tc>
          <w:tcPr>
            <w:tcW w:w="991" w:type="dxa"/>
            <w:tcBorders>
              <w:top w:val="single" w:sz="4" w:space="0" w:color="365F91"/>
              <w:bottom w:val="single" w:sz="4" w:space="0" w:color="365F91"/>
            </w:tcBorders>
            <w:shd w:val="clear" w:color="auto" w:fill="FFFFFF"/>
            <w:tcMar>
              <w:top w:w="0" w:type="dxa"/>
              <w:left w:w="85" w:type="dxa"/>
              <w:bottom w:w="0" w:type="dxa"/>
              <w:right w:w="85" w:type="dxa"/>
            </w:tcMar>
          </w:tcPr>
          <w:p w14:paraId="5A359CAE"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570.7</w:t>
            </w:r>
          </w:p>
        </w:tc>
        <w:tc>
          <w:tcPr>
            <w:tcW w:w="955" w:type="dxa"/>
            <w:tcBorders>
              <w:top w:val="single" w:sz="4" w:space="0" w:color="365F91"/>
              <w:bottom w:val="single" w:sz="4" w:space="0" w:color="365F91"/>
            </w:tcBorders>
            <w:shd w:val="clear" w:color="auto" w:fill="FFFFFF"/>
            <w:tcMar>
              <w:top w:w="0" w:type="dxa"/>
              <w:left w:w="85" w:type="dxa"/>
              <w:bottom w:w="0" w:type="dxa"/>
              <w:right w:w="85" w:type="dxa"/>
            </w:tcMar>
          </w:tcPr>
          <w:p w14:paraId="55C8B153"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0.006</w:t>
            </w:r>
          </w:p>
        </w:tc>
        <w:tc>
          <w:tcPr>
            <w:tcW w:w="1061" w:type="dxa"/>
            <w:tcBorders>
              <w:top w:val="single" w:sz="4" w:space="0" w:color="365F91"/>
              <w:bottom w:val="single" w:sz="4" w:space="0" w:color="365F91"/>
            </w:tcBorders>
            <w:shd w:val="clear" w:color="auto" w:fill="FFFFFF"/>
            <w:tcMar>
              <w:top w:w="0" w:type="dxa"/>
              <w:left w:w="85" w:type="dxa"/>
              <w:bottom w:w="0" w:type="dxa"/>
              <w:right w:w="85" w:type="dxa"/>
            </w:tcMar>
          </w:tcPr>
          <w:p w14:paraId="0F47AF7F"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0.6</w:t>
            </w:r>
          </w:p>
        </w:tc>
        <w:tc>
          <w:tcPr>
            <w:tcW w:w="961" w:type="dxa"/>
            <w:tcBorders>
              <w:top w:val="single" w:sz="4" w:space="0" w:color="365F91"/>
              <w:bottom w:val="single" w:sz="4" w:space="0" w:color="365F91"/>
              <w:right w:val="single" w:sz="4" w:space="0" w:color="FFFFFF"/>
            </w:tcBorders>
            <w:shd w:val="clear" w:color="auto" w:fill="FFFFFF"/>
            <w:tcMar>
              <w:top w:w="0" w:type="dxa"/>
              <w:left w:w="85" w:type="dxa"/>
              <w:bottom w:w="0" w:type="dxa"/>
              <w:right w:w="85" w:type="dxa"/>
            </w:tcMar>
          </w:tcPr>
          <w:p w14:paraId="4C2455A8"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89.3</w:t>
            </w:r>
          </w:p>
        </w:tc>
      </w:tr>
      <w:tr w:rsidR="00A37132" w:rsidRPr="00BE78CA" w14:paraId="5B393ECF" w14:textId="77777777" w:rsidTr="00834B58">
        <w:trPr>
          <w:cantSplit/>
        </w:trPr>
        <w:tc>
          <w:tcPr>
            <w:tcW w:w="846" w:type="dxa"/>
            <w:tcBorders>
              <w:top w:val="single" w:sz="4" w:space="0" w:color="365F91"/>
              <w:left w:val="single" w:sz="4" w:space="0" w:color="FFFFFF"/>
              <w:bottom w:val="single" w:sz="4" w:space="0" w:color="365F91"/>
            </w:tcBorders>
            <w:shd w:val="clear" w:color="auto" w:fill="FFFFFF"/>
            <w:tcMar>
              <w:top w:w="0" w:type="dxa"/>
              <w:left w:w="85" w:type="dxa"/>
              <w:bottom w:w="0" w:type="dxa"/>
              <w:right w:w="85" w:type="dxa"/>
            </w:tcMar>
          </w:tcPr>
          <w:p w14:paraId="225E10DE" w14:textId="77777777" w:rsidR="00387C28" w:rsidRPr="00BE78CA" w:rsidRDefault="00387C28" w:rsidP="00A37132">
            <w:pPr>
              <w:pStyle w:val="TableText"/>
              <w:spacing w:before="50" w:after="50"/>
              <w:rPr>
                <w:rFonts w:cs="Calibri"/>
                <w:szCs w:val="16"/>
              </w:rPr>
            </w:pPr>
            <w:r w:rsidRPr="00BE78CA">
              <w:rPr>
                <w:rFonts w:eastAsia="Calibri" w:cs="Calibri"/>
                <w:szCs w:val="16"/>
              </w:rPr>
              <w:t>1.A.2.e</w:t>
            </w:r>
          </w:p>
        </w:tc>
        <w:tc>
          <w:tcPr>
            <w:tcW w:w="2197" w:type="dxa"/>
            <w:tcBorders>
              <w:top w:val="single" w:sz="4" w:space="0" w:color="365F91"/>
              <w:bottom w:val="single" w:sz="4" w:space="0" w:color="365F91"/>
            </w:tcBorders>
            <w:shd w:val="clear" w:color="auto" w:fill="FFFFFF"/>
            <w:tcMar>
              <w:top w:w="0" w:type="dxa"/>
              <w:left w:w="85" w:type="dxa"/>
              <w:bottom w:w="0" w:type="dxa"/>
              <w:right w:w="85" w:type="dxa"/>
            </w:tcMar>
          </w:tcPr>
          <w:p w14:paraId="0DB9DFBB" w14:textId="77777777" w:rsidR="00387C28" w:rsidRPr="00BE78CA" w:rsidRDefault="00387C28" w:rsidP="00A37132">
            <w:pPr>
              <w:pStyle w:val="TableText"/>
              <w:spacing w:before="50" w:after="50"/>
              <w:rPr>
                <w:rFonts w:cs="Calibri"/>
                <w:szCs w:val="16"/>
              </w:rPr>
            </w:pPr>
            <w:r w:rsidRPr="00BE78CA">
              <w:rPr>
                <w:rFonts w:eastAsia="Calibri" w:cs="Calibri"/>
                <w:szCs w:val="16"/>
              </w:rPr>
              <w:t>Food Processing, Beverages and Tobacco – Solid Fuels</w:t>
            </w:r>
          </w:p>
        </w:tc>
        <w:tc>
          <w:tcPr>
            <w:tcW w:w="492" w:type="dxa"/>
            <w:tcBorders>
              <w:top w:val="single" w:sz="4" w:space="0" w:color="365F91"/>
              <w:bottom w:val="single" w:sz="4" w:space="0" w:color="365F91"/>
            </w:tcBorders>
            <w:shd w:val="clear" w:color="auto" w:fill="FFFFFF"/>
            <w:tcMar>
              <w:top w:w="0" w:type="dxa"/>
              <w:left w:w="85" w:type="dxa"/>
              <w:bottom w:w="0" w:type="dxa"/>
              <w:right w:w="85" w:type="dxa"/>
            </w:tcMar>
          </w:tcPr>
          <w:p w14:paraId="2EC8BC90" w14:textId="77777777" w:rsidR="00387C28" w:rsidRPr="00BE78CA" w:rsidRDefault="00387C28" w:rsidP="00A37132">
            <w:pPr>
              <w:pStyle w:val="TableText"/>
              <w:spacing w:before="50" w:after="50"/>
              <w:jc w:val="center"/>
              <w:rPr>
                <w:rFonts w:cs="Calibri"/>
                <w:szCs w:val="16"/>
              </w:rPr>
            </w:pPr>
            <w:r w:rsidRPr="00BE78CA">
              <w:rPr>
                <w:rFonts w:eastAsia="Calibri" w:cs="Calibri"/>
                <w:szCs w:val="16"/>
              </w:rPr>
              <w:t>CO</w:t>
            </w:r>
            <w:r w:rsidRPr="00BE78CA">
              <w:rPr>
                <w:rFonts w:eastAsia="Calibri" w:cs="Calibri"/>
                <w:szCs w:val="16"/>
                <w:vertAlign w:val="subscript"/>
              </w:rPr>
              <w:t>2</w:t>
            </w:r>
          </w:p>
        </w:tc>
        <w:tc>
          <w:tcPr>
            <w:tcW w:w="991" w:type="dxa"/>
            <w:tcBorders>
              <w:top w:val="single" w:sz="4" w:space="0" w:color="365F91"/>
              <w:bottom w:val="single" w:sz="4" w:space="0" w:color="365F91"/>
            </w:tcBorders>
            <w:shd w:val="clear" w:color="auto" w:fill="FFFFFF"/>
            <w:tcMar>
              <w:top w:w="0" w:type="dxa"/>
              <w:left w:w="85" w:type="dxa"/>
              <w:bottom w:w="0" w:type="dxa"/>
              <w:right w:w="85" w:type="dxa"/>
            </w:tcMar>
          </w:tcPr>
          <w:p w14:paraId="65F6998E"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938.6</w:t>
            </w:r>
          </w:p>
        </w:tc>
        <w:tc>
          <w:tcPr>
            <w:tcW w:w="991" w:type="dxa"/>
            <w:tcBorders>
              <w:top w:val="single" w:sz="4" w:space="0" w:color="365F91"/>
              <w:bottom w:val="single" w:sz="4" w:space="0" w:color="365F91"/>
            </w:tcBorders>
            <w:shd w:val="clear" w:color="auto" w:fill="FFFFFF"/>
            <w:tcMar>
              <w:top w:w="0" w:type="dxa"/>
              <w:left w:w="85" w:type="dxa"/>
              <w:bottom w:w="0" w:type="dxa"/>
              <w:right w:w="85" w:type="dxa"/>
            </w:tcMar>
          </w:tcPr>
          <w:p w14:paraId="406DD419"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1,751.6</w:t>
            </w:r>
          </w:p>
        </w:tc>
        <w:tc>
          <w:tcPr>
            <w:tcW w:w="955" w:type="dxa"/>
            <w:tcBorders>
              <w:top w:val="single" w:sz="4" w:space="0" w:color="365F91"/>
              <w:bottom w:val="single" w:sz="4" w:space="0" w:color="365F91"/>
            </w:tcBorders>
            <w:shd w:val="clear" w:color="auto" w:fill="FFFFFF"/>
            <w:tcMar>
              <w:top w:w="0" w:type="dxa"/>
              <w:left w:w="85" w:type="dxa"/>
              <w:bottom w:w="0" w:type="dxa"/>
              <w:right w:w="85" w:type="dxa"/>
            </w:tcMar>
          </w:tcPr>
          <w:p w14:paraId="506E920E"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0.005</w:t>
            </w:r>
          </w:p>
        </w:tc>
        <w:tc>
          <w:tcPr>
            <w:tcW w:w="1061" w:type="dxa"/>
            <w:tcBorders>
              <w:top w:val="single" w:sz="4" w:space="0" w:color="365F91"/>
              <w:bottom w:val="single" w:sz="4" w:space="0" w:color="365F91"/>
            </w:tcBorders>
            <w:shd w:val="clear" w:color="auto" w:fill="FFFFFF"/>
            <w:tcMar>
              <w:top w:w="0" w:type="dxa"/>
              <w:left w:w="85" w:type="dxa"/>
              <w:bottom w:w="0" w:type="dxa"/>
              <w:right w:w="85" w:type="dxa"/>
            </w:tcMar>
          </w:tcPr>
          <w:p w14:paraId="3CE60E29"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0.6</w:t>
            </w:r>
          </w:p>
        </w:tc>
        <w:tc>
          <w:tcPr>
            <w:tcW w:w="961" w:type="dxa"/>
            <w:tcBorders>
              <w:top w:val="single" w:sz="4" w:space="0" w:color="365F91"/>
              <w:bottom w:val="single" w:sz="4" w:space="0" w:color="365F91"/>
              <w:right w:val="single" w:sz="4" w:space="0" w:color="FFFFFF"/>
            </w:tcBorders>
            <w:shd w:val="clear" w:color="auto" w:fill="FFFFFF"/>
            <w:tcMar>
              <w:top w:w="0" w:type="dxa"/>
              <w:left w:w="85" w:type="dxa"/>
              <w:bottom w:w="0" w:type="dxa"/>
              <w:right w:w="85" w:type="dxa"/>
            </w:tcMar>
          </w:tcPr>
          <w:p w14:paraId="60BA0406"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89.9</w:t>
            </w:r>
          </w:p>
        </w:tc>
      </w:tr>
      <w:tr w:rsidR="00A37132" w:rsidRPr="00BE78CA" w14:paraId="3889B794" w14:textId="77777777" w:rsidTr="00834B58">
        <w:trPr>
          <w:cantSplit/>
        </w:trPr>
        <w:tc>
          <w:tcPr>
            <w:tcW w:w="846" w:type="dxa"/>
            <w:tcBorders>
              <w:top w:val="single" w:sz="4" w:space="0" w:color="365F91"/>
              <w:left w:val="single" w:sz="4" w:space="0" w:color="FFFFFF"/>
              <w:bottom w:val="single" w:sz="4" w:space="0" w:color="365F91"/>
            </w:tcBorders>
            <w:shd w:val="clear" w:color="auto" w:fill="FFFFFF"/>
            <w:tcMar>
              <w:top w:w="0" w:type="dxa"/>
              <w:left w:w="85" w:type="dxa"/>
              <w:bottom w:w="0" w:type="dxa"/>
              <w:right w:w="85" w:type="dxa"/>
            </w:tcMar>
          </w:tcPr>
          <w:p w14:paraId="3E2B62DE" w14:textId="77777777" w:rsidR="00387C28" w:rsidRPr="00BE78CA" w:rsidRDefault="00387C28" w:rsidP="00A37132">
            <w:pPr>
              <w:pStyle w:val="TableText"/>
              <w:spacing w:before="50" w:after="50"/>
              <w:rPr>
                <w:rFonts w:cs="Calibri"/>
                <w:szCs w:val="16"/>
              </w:rPr>
            </w:pPr>
            <w:r w:rsidRPr="00BE78CA">
              <w:rPr>
                <w:rFonts w:eastAsia="Calibri" w:cs="Calibri"/>
                <w:szCs w:val="16"/>
              </w:rPr>
              <w:t>1.A.4.b</w:t>
            </w:r>
          </w:p>
        </w:tc>
        <w:tc>
          <w:tcPr>
            <w:tcW w:w="2197" w:type="dxa"/>
            <w:tcBorders>
              <w:top w:val="single" w:sz="4" w:space="0" w:color="365F91"/>
              <w:bottom w:val="single" w:sz="4" w:space="0" w:color="365F91"/>
            </w:tcBorders>
            <w:shd w:val="clear" w:color="auto" w:fill="FFFFFF"/>
            <w:tcMar>
              <w:top w:w="0" w:type="dxa"/>
              <w:left w:w="85" w:type="dxa"/>
              <w:bottom w:w="0" w:type="dxa"/>
              <w:right w:w="85" w:type="dxa"/>
            </w:tcMar>
          </w:tcPr>
          <w:p w14:paraId="217CA60F" w14:textId="77777777" w:rsidR="00387C28" w:rsidRPr="00BE78CA" w:rsidRDefault="00387C28" w:rsidP="00A37132">
            <w:pPr>
              <w:pStyle w:val="TableText"/>
              <w:spacing w:before="50" w:after="50"/>
              <w:rPr>
                <w:rFonts w:cs="Calibri"/>
                <w:szCs w:val="16"/>
              </w:rPr>
            </w:pPr>
            <w:r w:rsidRPr="00BE78CA">
              <w:rPr>
                <w:rFonts w:eastAsia="Calibri" w:cs="Calibri"/>
                <w:szCs w:val="16"/>
              </w:rPr>
              <w:t>Other Sectors – Residential</w:t>
            </w:r>
          </w:p>
        </w:tc>
        <w:tc>
          <w:tcPr>
            <w:tcW w:w="492" w:type="dxa"/>
            <w:tcBorders>
              <w:top w:val="single" w:sz="4" w:space="0" w:color="365F91"/>
              <w:bottom w:val="single" w:sz="4" w:space="0" w:color="365F91"/>
            </w:tcBorders>
            <w:shd w:val="clear" w:color="auto" w:fill="FFFFFF"/>
            <w:tcMar>
              <w:top w:w="0" w:type="dxa"/>
              <w:left w:w="85" w:type="dxa"/>
              <w:bottom w:w="0" w:type="dxa"/>
              <w:right w:w="85" w:type="dxa"/>
            </w:tcMar>
          </w:tcPr>
          <w:p w14:paraId="45FB44E5" w14:textId="77777777" w:rsidR="00387C28" w:rsidRPr="00BE78CA" w:rsidRDefault="00387C28" w:rsidP="00A37132">
            <w:pPr>
              <w:pStyle w:val="TableText"/>
              <w:spacing w:before="50" w:after="50"/>
              <w:jc w:val="center"/>
              <w:rPr>
                <w:rFonts w:cs="Calibri"/>
                <w:szCs w:val="16"/>
              </w:rPr>
            </w:pPr>
            <w:r w:rsidRPr="00BE78CA">
              <w:rPr>
                <w:rFonts w:eastAsia="Calibri" w:cs="Calibri"/>
                <w:szCs w:val="16"/>
              </w:rPr>
              <w:t>CO</w:t>
            </w:r>
            <w:r w:rsidRPr="00BE78CA">
              <w:rPr>
                <w:rFonts w:eastAsia="Calibri" w:cs="Calibri"/>
                <w:szCs w:val="16"/>
                <w:vertAlign w:val="subscript"/>
              </w:rPr>
              <w:t>2</w:t>
            </w:r>
          </w:p>
        </w:tc>
        <w:tc>
          <w:tcPr>
            <w:tcW w:w="991" w:type="dxa"/>
            <w:tcBorders>
              <w:top w:val="single" w:sz="4" w:space="0" w:color="365F91"/>
              <w:bottom w:val="single" w:sz="4" w:space="0" w:color="365F91"/>
            </w:tcBorders>
            <w:shd w:val="clear" w:color="auto" w:fill="FFFFFF"/>
            <w:tcMar>
              <w:top w:w="0" w:type="dxa"/>
              <w:left w:w="85" w:type="dxa"/>
              <w:bottom w:w="0" w:type="dxa"/>
              <w:right w:w="85" w:type="dxa"/>
            </w:tcMar>
          </w:tcPr>
          <w:p w14:paraId="538EEEEA"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344.9</w:t>
            </w:r>
          </w:p>
        </w:tc>
        <w:tc>
          <w:tcPr>
            <w:tcW w:w="991" w:type="dxa"/>
            <w:tcBorders>
              <w:top w:val="single" w:sz="4" w:space="0" w:color="365F91"/>
              <w:bottom w:val="single" w:sz="4" w:space="0" w:color="365F91"/>
            </w:tcBorders>
            <w:shd w:val="clear" w:color="auto" w:fill="FFFFFF"/>
            <w:tcMar>
              <w:top w:w="0" w:type="dxa"/>
              <w:left w:w="85" w:type="dxa"/>
              <w:bottom w:w="0" w:type="dxa"/>
              <w:right w:w="85" w:type="dxa"/>
            </w:tcMar>
          </w:tcPr>
          <w:p w14:paraId="2D706C2A"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24.6</w:t>
            </w:r>
          </w:p>
        </w:tc>
        <w:tc>
          <w:tcPr>
            <w:tcW w:w="955" w:type="dxa"/>
            <w:tcBorders>
              <w:top w:val="single" w:sz="4" w:space="0" w:color="365F91"/>
              <w:bottom w:val="single" w:sz="4" w:space="0" w:color="365F91"/>
            </w:tcBorders>
            <w:shd w:val="clear" w:color="auto" w:fill="FFFFFF"/>
            <w:tcMar>
              <w:top w:w="0" w:type="dxa"/>
              <w:left w:w="85" w:type="dxa"/>
              <w:bottom w:w="0" w:type="dxa"/>
              <w:right w:w="85" w:type="dxa"/>
            </w:tcMar>
          </w:tcPr>
          <w:p w14:paraId="4CF242FA"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0.005</w:t>
            </w:r>
          </w:p>
        </w:tc>
        <w:tc>
          <w:tcPr>
            <w:tcW w:w="1061" w:type="dxa"/>
            <w:tcBorders>
              <w:top w:val="single" w:sz="4" w:space="0" w:color="365F91"/>
              <w:bottom w:val="single" w:sz="4" w:space="0" w:color="365F91"/>
            </w:tcBorders>
            <w:shd w:val="clear" w:color="auto" w:fill="FFFFFF"/>
            <w:tcMar>
              <w:top w:w="0" w:type="dxa"/>
              <w:left w:w="85" w:type="dxa"/>
              <w:bottom w:w="0" w:type="dxa"/>
              <w:right w:w="85" w:type="dxa"/>
            </w:tcMar>
          </w:tcPr>
          <w:p w14:paraId="050041BF"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0.5</w:t>
            </w:r>
          </w:p>
        </w:tc>
        <w:tc>
          <w:tcPr>
            <w:tcW w:w="961" w:type="dxa"/>
            <w:tcBorders>
              <w:top w:val="single" w:sz="4" w:space="0" w:color="365F91"/>
              <w:bottom w:val="single" w:sz="4" w:space="0" w:color="365F91"/>
              <w:right w:val="single" w:sz="4" w:space="0" w:color="FFFFFF"/>
            </w:tcBorders>
            <w:shd w:val="clear" w:color="auto" w:fill="FFFFFF"/>
            <w:tcMar>
              <w:top w:w="0" w:type="dxa"/>
              <w:left w:w="85" w:type="dxa"/>
              <w:bottom w:w="0" w:type="dxa"/>
              <w:right w:w="85" w:type="dxa"/>
            </w:tcMar>
          </w:tcPr>
          <w:p w14:paraId="75E6F674"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90.5</w:t>
            </w:r>
          </w:p>
        </w:tc>
      </w:tr>
      <w:tr w:rsidR="00A37132" w:rsidRPr="00BE78CA" w14:paraId="7EA5B78F" w14:textId="77777777" w:rsidTr="00834B58">
        <w:trPr>
          <w:cantSplit/>
        </w:trPr>
        <w:tc>
          <w:tcPr>
            <w:tcW w:w="846" w:type="dxa"/>
            <w:tcBorders>
              <w:top w:val="single" w:sz="4" w:space="0" w:color="365F91"/>
              <w:left w:val="single" w:sz="4" w:space="0" w:color="FFFFFF"/>
              <w:bottom w:val="single" w:sz="4" w:space="0" w:color="365F91"/>
            </w:tcBorders>
            <w:shd w:val="clear" w:color="auto" w:fill="FFFFFF"/>
            <w:tcMar>
              <w:top w:w="0" w:type="dxa"/>
              <w:left w:w="85" w:type="dxa"/>
              <w:bottom w:w="0" w:type="dxa"/>
              <w:right w:w="85" w:type="dxa"/>
            </w:tcMar>
          </w:tcPr>
          <w:p w14:paraId="165470ED" w14:textId="77777777" w:rsidR="00387C28" w:rsidRPr="00BE78CA" w:rsidRDefault="00387C28" w:rsidP="00A37132">
            <w:pPr>
              <w:pStyle w:val="TableText"/>
              <w:spacing w:before="50" w:after="50"/>
              <w:rPr>
                <w:rFonts w:cs="Calibri"/>
                <w:szCs w:val="16"/>
              </w:rPr>
            </w:pPr>
            <w:r w:rsidRPr="00BE78CA">
              <w:rPr>
                <w:rFonts w:eastAsia="Calibri" w:cs="Calibri"/>
                <w:szCs w:val="16"/>
              </w:rPr>
              <w:t>1.A.2.g.iii</w:t>
            </w:r>
          </w:p>
        </w:tc>
        <w:tc>
          <w:tcPr>
            <w:tcW w:w="2197" w:type="dxa"/>
            <w:tcBorders>
              <w:top w:val="single" w:sz="4" w:space="0" w:color="365F91"/>
              <w:bottom w:val="single" w:sz="4" w:space="0" w:color="365F91"/>
            </w:tcBorders>
            <w:shd w:val="clear" w:color="auto" w:fill="FFFFFF"/>
            <w:tcMar>
              <w:top w:w="0" w:type="dxa"/>
              <w:left w:w="85" w:type="dxa"/>
              <w:bottom w:w="0" w:type="dxa"/>
              <w:right w:w="85" w:type="dxa"/>
            </w:tcMar>
          </w:tcPr>
          <w:p w14:paraId="407CE480" w14:textId="77777777" w:rsidR="00387C28" w:rsidRPr="00BE78CA" w:rsidRDefault="00387C28" w:rsidP="00A37132">
            <w:pPr>
              <w:pStyle w:val="TableText"/>
              <w:spacing w:before="50" w:after="50"/>
              <w:rPr>
                <w:rFonts w:cs="Calibri"/>
                <w:szCs w:val="16"/>
              </w:rPr>
            </w:pPr>
            <w:r w:rsidRPr="00BE78CA">
              <w:rPr>
                <w:rFonts w:eastAsia="Calibri" w:cs="Calibri"/>
                <w:szCs w:val="16"/>
              </w:rPr>
              <w:t>Mining (excluding fuels) and Quarrying – Liquid Fuels</w:t>
            </w:r>
          </w:p>
        </w:tc>
        <w:tc>
          <w:tcPr>
            <w:tcW w:w="492" w:type="dxa"/>
            <w:tcBorders>
              <w:top w:val="single" w:sz="4" w:space="0" w:color="365F91"/>
              <w:bottom w:val="single" w:sz="4" w:space="0" w:color="365F91"/>
            </w:tcBorders>
            <w:shd w:val="clear" w:color="auto" w:fill="FFFFFF"/>
            <w:tcMar>
              <w:top w:w="0" w:type="dxa"/>
              <w:left w:w="85" w:type="dxa"/>
              <w:bottom w:w="0" w:type="dxa"/>
              <w:right w:w="85" w:type="dxa"/>
            </w:tcMar>
          </w:tcPr>
          <w:p w14:paraId="1256E961" w14:textId="77777777" w:rsidR="00387C28" w:rsidRPr="00BE78CA" w:rsidRDefault="00387C28" w:rsidP="00A37132">
            <w:pPr>
              <w:pStyle w:val="TableText"/>
              <w:spacing w:before="50" w:after="50"/>
              <w:jc w:val="center"/>
              <w:rPr>
                <w:rFonts w:cs="Calibri"/>
                <w:szCs w:val="16"/>
              </w:rPr>
            </w:pPr>
            <w:r w:rsidRPr="00BE78CA">
              <w:rPr>
                <w:rFonts w:eastAsia="Calibri" w:cs="Calibri"/>
                <w:szCs w:val="16"/>
              </w:rPr>
              <w:t>CO</w:t>
            </w:r>
            <w:r w:rsidRPr="00BE78CA">
              <w:rPr>
                <w:rFonts w:eastAsia="Calibri" w:cs="Calibri"/>
                <w:szCs w:val="16"/>
                <w:vertAlign w:val="subscript"/>
              </w:rPr>
              <w:t>2</w:t>
            </w:r>
          </w:p>
        </w:tc>
        <w:tc>
          <w:tcPr>
            <w:tcW w:w="991" w:type="dxa"/>
            <w:tcBorders>
              <w:top w:val="single" w:sz="4" w:space="0" w:color="365F91"/>
              <w:bottom w:val="single" w:sz="4" w:space="0" w:color="365F91"/>
            </w:tcBorders>
            <w:shd w:val="clear" w:color="auto" w:fill="FFFFFF"/>
            <w:tcMar>
              <w:top w:w="0" w:type="dxa"/>
              <w:left w:w="85" w:type="dxa"/>
              <w:bottom w:w="0" w:type="dxa"/>
              <w:right w:w="85" w:type="dxa"/>
            </w:tcMar>
          </w:tcPr>
          <w:p w14:paraId="2B43F0C7"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331.5</w:t>
            </w:r>
          </w:p>
        </w:tc>
        <w:tc>
          <w:tcPr>
            <w:tcW w:w="991" w:type="dxa"/>
            <w:tcBorders>
              <w:top w:val="single" w:sz="4" w:space="0" w:color="365F91"/>
              <w:bottom w:val="single" w:sz="4" w:space="0" w:color="365F91"/>
            </w:tcBorders>
            <w:shd w:val="clear" w:color="auto" w:fill="FFFFFF"/>
            <w:tcMar>
              <w:top w:w="0" w:type="dxa"/>
              <w:left w:w="85" w:type="dxa"/>
              <w:bottom w:w="0" w:type="dxa"/>
              <w:right w:w="85" w:type="dxa"/>
            </w:tcMar>
          </w:tcPr>
          <w:p w14:paraId="6878C128"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834.6</w:t>
            </w:r>
          </w:p>
        </w:tc>
        <w:tc>
          <w:tcPr>
            <w:tcW w:w="955" w:type="dxa"/>
            <w:tcBorders>
              <w:top w:val="single" w:sz="4" w:space="0" w:color="365F91"/>
              <w:bottom w:val="single" w:sz="4" w:space="0" w:color="365F91"/>
            </w:tcBorders>
            <w:shd w:val="clear" w:color="auto" w:fill="FFFFFF"/>
            <w:tcMar>
              <w:top w:w="0" w:type="dxa"/>
              <w:left w:w="85" w:type="dxa"/>
              <w:bottom w:w="0" w:type="dxa"/>
              <w:right w:w="85" w:type="dxa"/>
            </w:tcMar>
          </w:tcPr>
          <w:p w14:paraId="7B970494"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0.004</w:t>
            </w:r>
          </w:p>
        </w:tc>
        <w:tc>
          <w:tcPr>
            <w:tcW w:w="1061" w:type="dxa"/>
            <w:tcBorders>
              <w:top w:val="single" w:sz="4" w:space="0" w:color="365F91"/>
              <w:bottom w:val="single" w:sz="4" w:space="0" w:color="365F91"/>
            </w:tcBorders>
            <w:shd w:val="clear" w:color="auto" w:fill="FFFFFF"/>
            <w:tcMar>
              <w:top w:w="0" w:type="dxa"/>
              <w:left w:w="85" w:type="dxa"/>
              <w:bottom w:w="0" w:type="dxa"/>
              <w:right w:w="85" w:type="dxa"/>
            </w:tcMar>
          </w:tcPr>
          <w:p w14:paraId="6B9794EE"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0.5</w:t>
            </w:r>
          </w:p>
        </w:tc>
        <w:tc>
          <w:tcPr>
            <w:tcW w:w="961" w:type="dxa"/>
            <w:tcBorders>
              <w:top w:val="single" w:sz="4" w:space="0" w:color="365F91"/>
              <w:bottom w:val="single" w:sz="4" w:space="0" w:color="365F91"/>
              <w:right w:val="single" w:sz="4" w:space="0" w:color="FFFFFF"/>
            </w:tcBorders>
            <w:shd w:val="clear" w:color="auto" w:fill="FFFFFF"/>
            <w:tcMar>
              <w:top w:w="0" w:type="dxa"/>
              <w:left w:w="85" w:type="dxa"/>
              <w:bottom w:w="0" w:type="dxa"/>
              <w:right w:w="85" w:type="dxa"/>
            </w:tcMar>
          </w:tcPr>
          <w:p w14:paraId="31394F58"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91.0</w:t>
            </w:r>
          </w:p>
        </w:tc>
      </w:tr>
      <w:tr w:rsidR="00A37132" w:rsidRPr="00BE78CA" w14:paraId="5C77EE83" w14:textId="77777777" w:rsidTr="00834B58">
        <w:trPr>
          <w:cantSplit/>
        </w:trPr>
        <w:tc>
          <w:tcPr>
            <w:tcW w:w="846" w:type="dxa"/>
            <w:tcBorders>
              <w:top w:val="single" w:sz="4" w:space="0" w:color="365F91"/>
              <w:left w:val="single" w:sz="4" w:space="0" w:color="FFFFFF"/>
              <w:bottom w:val="single" w:sz="4" w:space="0" w:color="365F91"/>
            </w:tcBorders>
            <w:shd w:val="clear" w:color="auto" w:fill="FFFFFF"/>
            <w:tcMar>
              <w:top w:w="0" w:type="dxa"/>
              <w:left w:w="85" w:type="dxa"/>
              <w:bottom w:w="0" w:type="dxa"/>
              <w:right w:w="85" w:type="dxa"/>
            </w:tcMar>
          </w:tcPr>
          <w:p w14:paraId="367FEBED" w14:textId="77777777" w:rsidR="00387C28" w:rsidRPr="00BE78CA" w:rsidRDefault="00387C28" w:rsidP="00A37132">
            <w:pPr>
              <w:pStyle w:val="TableText"/>
              <w:spacing w:before="50" w:after="50"/>
              <w:rPr>
                <w:rFonts w:cs="Calibri"/>
                <w:szCs w:val="16"/>
              </w:rPr>
            </w:pPr>
            <w:r w:rsidRPr="00BE78CA">
              <w:rPr>
                <w:rFonts w:eastAsia="Calibri" w:cs="Calibri"/>
                <w:szCs w:val="16"/>
              </w:rPr>
              <w:t>1.A.1.b</w:t>
            </w:r>
          </w:p>
        </w:tc>
        <w:tc>
          <w:tcPr>
            <w:tcW w:w="2197" w:type="dxa"/>
            <w:tcBorders>
              <w:top w:val="single" w:sz="4" w:space="0" w:color="365F91"/>
              <w:bottom w:val="single" w:sz="4" w:space="0" w:color="365F91"/>
            </w:tcBorders>
            <w:shd w:val="clear" w:color="auto" w:fill="FFFFFF"/>
            <w:tcMar>
              <w:top w:w="0" w:type="dxa"/>
              <w:left w:w="85" w:type="dxa"/>
              <w:bottom w:w="0" w:type="dxa"/>
              <w:right w:w="85" w:type="dxa"/>
            </w:tcMar>
          </w:tcPr>
          <w:p w14:paraId="648AAA0E" w14:textId="77777777" w:rsidR="00387C28" w:rsidRPr="00BE78CA" w:rsidRDefault="00387C28" w:rsidP="00A37132">
            <w:pPr>
              <w:pStyle w:val="TableText"/>
              <w:spacing w:before="50" w:after="50"/>
              <w:rPr>
                <w:rFonts w:cs="Calibri"/>
                <w:szCs w:val="16"/>
              </w:rPr>
            </w:pPr>
            <w:r w:rsidRPr="00BE78CA">
              <w:rPr>
                <w:rFonts w:eastAsia="Calibri" w:cs="Calibri"/>
                <w:szCs w:val="16"/>
              </w:rPr>
              <w:t>Petroleum Refining – Liquid Fuels</w:t>
            </w:r>
          </w:p>
        </w:tc>
        <w:tc>
          <w:tcPr>
            <w:tcW w:w="492" w:type="dxa"/>
            <w:tcBorders>
              <w:top w:val="single" w:sz="4" w:space="0" w:color="365F91"/>
              <w:bottom w:val="single" w:sz="4" w:space="0" w:color="365F91"/>
            </w:tcBorders>
            <w:shd w:val="clear" w:color="auto" w:fill="FFFFFF"/>
            <w:tcMar>
              <w:top w:w="0" w:type="dxa"/>
              <w:left w:w="85" w:type="dxa"/>
              <w:bottom w:w="0" w:type="dxa"/>
              <w:right w:w="85" w:type="dxa"/>
            </w:tcMar>
          </w:tcPr>
          <w:p w14:paraId="36AAB573" w14:textId="77777777" w:rsidR="00387C28" w:rsidRPr="00BE78CA" w:rsidRDefault="00387C28" w:rsidP="00A37132">
            <w:pPr>
              <w:pStyle w:val="TableText"/>
              <w:spacing w:before="50" w:after="50"/>
              <w:jc w:val="center"/>
              <w:rPr>
                <w:rFonts w:cs="Calibri"/>
                <w:szCs w:val="16"/>
              </w:rPr>
            </w:pPr>
            <w:r w:rsidRPr="00BE78CA">
              <w:rPr>
                <w:rFonts w:eastAsia="Calibri" w:cs="Calibri"/>
                <w:szCs w:val="16"/>
              </w:rPr>
              <w:t>CO</w:t>
            </w:r>
            <w:r w:rsidRPr="00BE78CA">
              <w:rPr>
                <w:rFonts w:eastAsia="Calibri" w:cs="Calibri"/>
                <w:szCs w:val="16"/>
                <w:vertAlign w:val="subscript"/>
              </w:rPr>
              <w:t>2</w:t>
            </w:r>
          </w:p>
        </w:tc>
        <w:tc>
          <w:tcPr>
            <w:tcW w:w="991" w:type="dxa"/>
            <w:tcBorders>
              <w:top w:val="single" w:sz="4" w:space="0" w:color="365F91"/>
              <w:bottom w:val="single" w:sz="4" w:space="0" w:color="365F91"/>
            </w:tcBorders>
            <w:shd w:val="clear" w:color="auto" w:fill="FFFFFF"/>
            <w:tcMar>
              <w:top w:w="0" w:type="dxa"/>
              <w:left w:w="85" w:type="dxa"/>
              <w:bottom w:w="0" w:type="dxa"/>
              <w:right w:w="85" w:type="dxa"/>
            </w:tcMar>
          </w:tcPr>
          <w:p w14:paraId="4DFFD8DD"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778.9</w:t>
            </w:r>
          </w:p>
        </w:tc>
        <w:tc>
          <w:tcPr>
            <w:tcW w:w="991" w:type="dxa"/>
            <w:tcBorders>
              <w:top w:val="single" w:sz="4" w:space="0" w:color="365F91"/>
              <w:bottom w:val="single" w:sz="4" w:space="0" w:color="365F91"/>
            </w:tcBorders>
            <w:shd w:val="clear" w:color="auto" w:fill="FFFFFF"/>
            <w:tcMar>
              <w:top w:w="0" w:type="dxa"/>
              <w:left w:w="85" w:type="dxa"/>
              <w:bottom w:w="0" w:type="dxa"/>
              <w:right w:w="85" w:type="dxa"/>
            </w:tcMar>
          </w:tcPr>
          <w:p w14:paraId="6B2F7930"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663.7</w:t>
            </w:r>
          </w:p>
        </w:tc>
        <w:tc>
          <w:tcPr>
            <w:tcW w:w="955" w:type="dxa"/>
            <w:tcBorders>
              <w:top w:val="single" w:sz="4" w:space="0" w:color="365F91"/>
              <w:bottom w:val="single" w:sz="4" w:space="0" w:color="365F91"/>
            </w:tcBorders>
            <w:shd w:val="clear" w:color="auto" w:fill="FFFFFF"/>
            <w:tcMar>
              <w:top w:w="0" w:type="dxa"/>
              <w:left w:w="85" w:type="dxa"/>
              <w:bottom w:w="0" w:type="dxa"/>
              <w:right w:w="85" w:type="dxa"/>
            </w:tcMar>
          </w:tcPr>
          <w:p w14:paraId="17491DA7"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0.004</w:t>
            </w:r>
          </w:p>
        </w:tc>
        <w:tc>
          <w:tcPr>
            <w:tcW w:w="1061" w:type="dxa"/>
            <w:tcBorders>
              <w:top w:val="single" w:sz="4" w:space="0" w:color="365F91"/>
              <w:bottom w:val="single" w:sz="4" w:space="0" w:color="365F91"/>
            </w:tcBorders>
            <w:shd w:val="clear" w:color="auto" w:fill="FFFFFF"/>
            <w:tcMar>
              <w:top w:w="0" w:type="dxa"/>
              <w:left w:w="85" w:type="dxa"/>
              <w:bottom w:w="0" w:type="dxa"/>
              <w:right w:w="85" w:type="dxa"/>
            </w:tcMar>
          </w:tcPr>
          <w:p w14:paraId="6B0342D7"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0.5</w:t>
            </w:r>
          </w:p>
        </w:tc>
        <w:tc>
          <w:tcPr>
            <w:tcW w:w="961" w:type="dxa"/>
            <w:tcBorders>
              <w:top w:val="single" w:sz="4" w:space="0" w:color="365F91"/>
              <w:bottom w:val="single" w:sz="4" w:space="0" w:color="365F91"/>
              <w:right w:val="single" w:sz="4" w:space="0" w:color="FFFFFF"/>
            </w:tcBorders>
            <w:shd w:val="clear" w:color="auto" w:fill="FFFFFF"/>
            <w:tcMar>
              <w:top w:w="0" w:type="dxa"/>
              <w:left w:w="85" w:type="dxa"/>
              <w:bottom w:w="0" w:type="dxa"/>
              <w:right w:w="85" w:type="dxa"/>
            </w:tcMar>
          </w:tcPr>
          <w:p w14:paraId="772834A1"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91.4</w:t>
            </w:r>
          </w:p>
        </w:tc>
      </w:tr>
      <w:tr w:rsidR="00A37132" w:rsidRPr="00BE78CA" w14:paraId="2CFB89DF" w14:textId="77777777" w:rsidTr="00834B58">
        <w:trPr>
          <w:cantSplit/>
        </w:trPr>
        <w:tc>
          <w:tcPr>
            <w:tcW w:w="846" w:type="dxa"/>
            <w:tcBorders>
              <w:top w:val="single" w:sz="4" w:space="0" w:color="365F91"/>
              <w:left w:val="single" w:sz="4" w:space="0" w:color="FFFFFF"/>
              <w:bottom w:val="single" w:sz="4" w:space="0" w:color="365F91"/>
            </w:tcBorders>
            <w:shd w:val="clear" w:color="auto" w:fill="FFFFFF"/>
            <w:tcMar>
              <w:top w:w="0" w:type="dxa"/>
              <w:left w:w="85" w:type="dxa"/>
              <w:bottom w:w="0" w:type="dxa"/>
              <w:right w:w="85" w:type="dxa"/>
            </w:tcMar>
          </w:tcPr>
          <w:p w14:paraId="0005F255" w14:textId="77777777" w:rsidR="00387C28" w:rsidRPr="00BE78CA" w:rsidRDefault="00387C28" w:rsidP="00A37132">
            <w:pPr>
              <w:pStyle w:val="TableText"/>
              <w:spacing w:before="50" w:after="50"/>
              <w:rPr>
                <w:rFonts w:cs="Calibri"/>
                <w:szCs w:val="16"/>
              </w:rPr>
            </w:pPr>
            <w:r w:rsidRPr="00BE78CA">
              <w:rPr>
                <w:rFonts w:eastAsia="Calibri" w:cs="Calibri"/>
                <w:szCs w:val="16"/>
              </w:rPr>
              <w:t>1.B.1.a.1</w:t>
            </w:r>
          </w:p>
        </w:tc>
        <w:tc>
          <w:tcPr>
            <w:tcW w:w="2197" w:type="dxa"/>
            <w:tcBorders>
              <w:top w:val="single" w:sz="4" w:space="0" w:color="365F91"/>
              <w:bottom w:val="single" w:sz="4" w:space="0" w:color="365F91"/>
            </w:tcBorders>
            <w:shd w:val="clear" w:color="auto" w:fill="FFFFFF"/>
            <w:tcMar>
              <w:top w:w="0" w:type="dxa"/>
              <w:left w:w="85" w:type="dxa"/>
              <w:bottom w:w="0" w:type="dxa"/>
              <w:right w:w="85" w:type="dxa"/>
            </w:tcMar>
          </w:tcPr>
          <w:p w14:paraId="7F2E5914" w14:textId="77777777" w:rsidR="00387C28" w:rsidRPr="00BE78CA" w:rsidRDefault="00387C28" w:rsidP="00A37132">
            <w:pPr>
              <w:pStyle w:val="TableText"/>
              <w:spacing w:before="50" w:after="50"/>
              <w:rPr>
                <w:rFonts w:cs="Calibri"/>
                <w:szCs w:val="16"/>
              </w:rPr>
            </w:pPr>
            <w:r w:rsidRPr="00BE78CA">
              <w:rPr>
                <w:rFonts w:eastAsia="Calibri" w:cs="Calibri"/>
                <w:szCs w:val="16"/>
              </w:rPr>
              <w:t>Coal Mining and Handling – Underground Mines</w:t>
            </w:r>
          </w:p>
        </w:tc>
        <w:tc>
          <w:tcPr>
            <w:tcW w:w="492" w:type="dxa"/>
            <w:tcBorders>
              <w:top w:val="single" w:sz="4" w:space="0" w:color="365F91"/>
              <w:bottom w:val="single" w:sz="4" w:space="0" w:color="365F91"/>
            </w:tcBorders>
            <w:shd w:val="clear" w:color="auto" w:fill="FFFFFF"/>
            <w:tcMar>
              <w:top w:w="0" w:type="dxa"/>
              <w:left w:w="85" w:type="dxa"/>
              <w:bottom w:w="0" w:type="dxa"/>
              <w:right w:w="85" w:type="dxa"/>
            </w:tcMar>
          </w:tcPr>
          <w:p w14:paraId="301C48EF" w14:textId="77777777" w:rsidR="00387C28" w:rsidRPr="00BE78CA" w:rsidRDefault="00387C28" w:rsidP="00A37132">
            <w:pPr>
              <w:pStyle w:val="TableText"/>
              <w:spacing w:before="50" w:after="50"/>
              <w:jc w:val="center"/>
              <w:rPr>
                <w:rFonts w:cs="Calibri"/>
                <w:szCs w:val="16"/>
              </w:rPr>
            </w:pPr>
            <w:r w:rsidRPr="00BE78CA">
              <w:rPr>
                <w:rFonts w:eastAsia="Calibri" w:cs="Calibri"/>
                <w:szCs w:val="16"/>
              </w:rPr>
              <w:t>CH</w:t>
            </w:r>
            <w:r w:rsidRPr="00BE78CA">
              <w:rPr>
                <w:rFonts w:eastAsia="Calibri" w:cs="Calibri"/>
                <w:szCs w:val="16"/>
                <w:vertAlign w:val="subscript"/>
              </w:rPr>
              <w:t>4</w:t>
            </w:r>
          </w:p>
        </w:tc>
        <w:tc>
          <w:tcPr>
            <w:tcW w:w="991" w:type="dxa"/>
            <w:tcBorders>
              <w:top w:val="single" w:sz="4" w:space="0" w:color="365F91"/>
              <w:bottom w:val="single" w:sz="4" w:space="0" w:color="365F91"/>
            </w:tcBorders>
            <w:shd w:val="clear" w:color="auto" w:fill="FFFFFF"/>
            <w:tcMar>
              <w:top w:w="0" w:type="dxa"/>
              <w:left w:w="85" w:type="dxa"/>
              <w:bottom w:w="0" w:type="dxa"/>
              <w:right w:w="85" w:type="dxa"/>
            </w:tcMar>
          </w:tcPr>
          <w:p w14:paraId="4826B30B"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289.6</w:t>
            </w:r>
          </w:p>
        </w:tc>
        <w:tc>
          <w:tcPr>
            <w:tcW w:w="991" w:type="dxa"/>
            <w:tcBorders>
              <w:top w:val="single" w:sz="4" w:space="0" w:color="365F91"/>
              <w:bottom w:val="single" w:sz="4" w:space="0" w:color="365F91"/>
            </w:tcBorders>
            <w:shd w:val="clear" w:color="auto" w:fill="FFFFFF"/>
            <w:tcMar>
              <w:top w:w="0" w:type="dxa"/>
              <w:left w:w="85" w:type="dxa"/>
              <w:bottom w:w="0" w:type="dxa"/>
              <w:right w:w="85" w:type="dxa"/>
            </w:tcMar>
          </w:tcPr>
          <w:p w14:paraId="0FAF8C02"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72.7</w:t>
            </w:r>
          </w:p>
        </w:tc>
        <w:tc>
          <w:tcPr>
            <w:tcW w:w="955" w:type="dxa"/>
            <w:tcBorders>
              <w:top w:val="single" w:sz="4" w:space="0" w:color="365F91"/>
              <w:bottom w:val="single" w:sz="4" w:space="0" w:color="365F91"/>
            </w:tcBorders>
            <w:shd w:val="clear" w:color="auto" w:fill="FFFFFF"/>
            <w:tcMar>
              <w:top w:w="0" w:type="dxa"/>
              <w:left w:w="85" w:type="dxa"/>
              <w:bottom w:w="0" w:type="dxa"/>
              <w:right w:w="85" w:type="dxa"/>
            </w:tcMar>
          </w:tcPr>
          <w:p w14:paraId="5C9AE87D"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0.003</w:t>
            </w:r>
          </w:p>
        </w:tc>
        <w:tc>
          <w:tcPr>
            <w:tcW w:w="1061" w:type="dxa"/>
            <w:tcBorders>
              <w:top w:val="single" w:sz="4" w:space="0" w:color="365F91"/>
              <w:bottom w:val="single" w:sz="4" w:space="0" w:color="365F91"/>
            </w:tcBorders>
            <w:shd w:val="clear" w:color="auto" w:fill="FFFFFF"/>
            <w:tcMar>
              <w:top w:w="0" w:type="dxa"/>
              <w:left w:w="85" w:type="dxa"/>
              <w:bottom w:w="0" w:type="dxa"/>
              <w:right w:w="85" w:type="dxa"/>
            </w:tcMar>
          </w:tcPr>
          <w:p w14:paraId="3DD5F35A"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0.4</w:t>
            </w:r>
          </w:p>
        </w:tc>
        <w:tc>
          <w:tcPr>
            <w:tcW w:w="961" w:type="dxa"/>
            <w:tcBorders>
              <w:top w:val="single" w:sz="4" w:space="0" w:color="365F91"/>
              <w:bottom w:val="single" w:sz="4" w:space="0" w:color="365F91"/>
              <w:right w:val="single" w:sz="4" w:space="0" w:color="FFFFFF"/>
            </w:tcBorders>
            <w:shd w:val="clear" w:color="auto" w:fill="FFFFFF"/>
            <w:tcMar>
              <w:top w:w="0" w:type="dxa"/>
              <w:left w:w="85" w:type="dxa"/>
              <w:bottom w:w="0" w:type="dxa"/>
              <w:right w:w="85" w:type="dxa"/>
            </w:tcMar>
          </w:tcPr>
          <w:p w14:paraId="53E5ABC5"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91.8</w:t>
            </w:r>
          </w:p>
        </w:tc>
      </w:tr>
      <w:tr w:rsidR="00A37132" w:rsidRPr="00BE78CA" w14:paraId="4ACE1933" w14:textId="77777777" w:rsidTr="00834B58">
        <w:trPr>
          <w:cantSplit/>
        </w:trPr>
        <w:tc>
          <w:tcPr>
            <w:tcW w:w="846" w:type="dxa"/>
            <w:tcBorders>
              <w:top w:val="single" w:sz="4" w:space="0" w:color="365F91"/>
              <w:left w:val="single" w:sz="4" w:space="0" w:color="FFFFFF"/>
              <w:bottom w:val="single" w:sz="4" w:space="0" w:color="365F91"/>
            </w:tcBorders>
            <w:shd w:val="clear" w:color="auto" w:fill="FFFFFF"/>
            <w:tcMar>
              <w:top w:w="0" w:type="dxa"/>
              <w:left w:w="85" w:type="dxa"/>
              <w:bottom w:w="0" w:type="dxa"/>
              <w:right w:w="85" w:type="dxa"/>
            </w:tcMar>
          </w:tcPr>
          <w:p w14:paraId="48E4F9AA" w14:textId="77777777" w:rsidR="00387C28" w:rsidRPr="00BE78CA" w:rsidRDefault="00387C28" w:rsidP="00A37132">
            <w:pPr>
              <w:pStyle w:val="TableText"/>
              <w:spacing w:before="50" w:after="50"/>
              <w:rPr>
                <w:rFonts w:cs="Calibri"/>
                <w:szCs w:val="16"/>
              </w:rPr>
            </w:pPr>
            <w:r w:rsidRPr="00BE78CA">
              <w:rPr>
                <w:rFonts w:eastAsia="Calibri" w:cs="Calibri"/>
                <w:szCs w:val="16"/>
              </w:rPr>
              <w:t>1.B.2.d</w:t>
            </w:r>
          </w:p>
        </w:tc>
        <w:tc>
          <w:tcPr>
            <w:tcW w:w="2197" w:type="dxa"/>
            <w:tcBorders>
              <w:top w:val="single" w:sz="4" w:space="0" w:color="365F91"/>
              <w:bottom w:val="single" w:sz="4" w:space="0" w:color="365F91"/>
            </w:tcBorders>
            <w:shd w:val="clear" w:color="auto" w:fill="FFFFFF"/>
            <w:tcMar>
              <w:top w:w="0" w:type="dxa"/>
              <w:left w:w="85" w:type="dxa"/>
              <w:bottom w:w="0" w:type="dxa"/>
              <w:right w:w="85" w:type="dxa"/>
            </w:tcMar>
          </w:tcPr>
          <w:p w14:paraId="134ADDCE" w14:textId="77777777" w:rsidR="00387C28" w:rsidRPr="00BE78CA" w:rsidRDefault="00387C28" w:rsidP="00A37132">
            <w:pPr>
              <w:pStyle w:val="TableText"/>
              <w:spacing w:before="50" w:after="50"/>
              <w:rPr>
                <w:rFonts w:cs="Calibri"/>
                <w:szCs w:val="16"/>
              </w:rPr>
            </w:pPr>
            <w:r w:rsidRPr="00BE78CA">
              <w:rPr>
                <w:rFonts w:eastAsia="Calibri" w:cs="Calibri"/>
                <w:szCs w:val="16"/>
              </w:rPr>
              <w:t>Other (please specify) – Geothermal</w:t>
            </w:r>
          </w:p>
        </w:tc>
        <w:tc>
          <w:tcPr>
            <w:tcW w:w="492" w:type="dxa"/>
            <w:tcBorders>
              <w:top w:val="single" w:sz="4" w:space="0" w:color="365F91"/>
              <w:bottom w:val="single" w:sz="4" w:space="0" w:color="365F91"/>
            </w:tcBorders>
            <w:shd w:val="clear" w:color="auto" w:fill="FFFFFF"/>
            <w:tcMar>
              <w:top w:w="0" w:type="dxa"/>
              <w:left w:w="85" w:type="dxa"/>
              <w:bottom w:w="0" w:type="dxa"/>
              <w:right w:w="85" w:type="dxa"/>
            </w:tcMar>
          </w:tcPr>
          <w:p w14:paraId="3A2BE2A8" w14:textId="77777777" w:rsidR="00387C28" w:rsidRPr="00BE78CA" w:rsidRDefault="00387C28" w:rsidP="00A37132">
            <w:pPr>
              <w:pStyle w:val="TableText"/>
              <w:spacing w:before="50" w:after="50"/>
              <w:jc w:val="center"/>
              <w:rPr>
                <w:rFonts w:cs="Calibri"/>
                <w:szCs w:val="16"/>
              </w:rPr>
            </w:pPr>
            <w:r w:rsidRPr="00BE78CA">
              <w:rPr>
                <w:rFonts w:eastAsia="Calibri" w:cs="Calibri"/>
                <w:szCs w:val="16"/>
              </w:rPr>
              <w:t>CO</w:t>
            </w:r>
            <w:r w:rsidRPr="00BE78CA">
              <w:rPr>
                <w:rFonts w:eastAsia="Calibri" w:cs="Calibri"/>
                <w:szCs w:val="16"/>
                <w:vertAlign w:val="subscript"/>
              </w:rPr>
              <w:t>2</w:t>
            </w:r>
          </w:p>
        </w:tc>
        <w:tc>
          <w:tcPr>
            <w:tcW w:w="991" w:type="dxa"/>
            <w:tcBorders>
              <w:top w:val="single" w:sz="4" w:space="0" w:color="365F91"/>
              <w:bottom w:val="single" w:sz="4" w:space="0" w:color="365F91"/>
            </w:tcBorders>
            <w:shd w:val="clear" w:color="auto" w:fill="FFFFFF"/>
            <w:tcMar>
              <w:top w:w="0" w:type="dxa"/>
              <w:left w:w="85" w:type="dxa"/>
              <w:bottom w:w="0" w:type="dxa"/>
              <w:right w:w="85" w:type="dxa"/>
            </w:tcMar>
          </w:tcPr>
          <w:p w14:paraId="40A31110"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228.6</w:t>
            </w:r>
          </w:p>
        </w:tc>
        <w:tc>
          <w:tcPr>
            <w:tcW w:w="991" w:type="dxa"/>
            <w:tcBorders>
              <w:top w:val="single" w:sz="4" w:space="0" w:color="365F91"/>
              <w:bottom w:val="single" w:sz="4" w:space="0" w:color="365F91"/>
            </w:tcBorders>
            <w:shd w:val="clear" w:color="auto" w:fill="FFFFFF"/>
            <w:tcMar>
              <w:top w:w="0" w:type="dxa"/>
              <w:left w:w="85" w:type="dxa"/>
              <w:bottom w:w="0" w:type="dxa"/>
              <w:right w:w="85" w:type="dxa"/>
            </w:tcMar>
          </w:tcPr>
          <w:p w14:paraId="4AD257F9"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585.1</w:t>
            </w:r>
          </w:p>
        </w:tc>
        <w:tc>
          <w:tcPr>
            <w:tcW w:w="955" w:type="dxa"/>
            <w:tcBorders>
              <w:top w:val="single" w:sz="4" w:space="0" w:color="365F91"/>
              <w:bottom w:val="single" w:sz="4" w:space="0" w:color="365F91"/>
            </w:tcBorders>
            <w:shd w:val="clear" w:color="auto" w:fill="FFFFFF"/>
            <w:tcMar>
              <w:top w:w="0" w:type="dxa"/>
              <w:left w:w="85" w:type="dxa"/>
              <w:bottom w:w="0" w:type="dxa"/>
              <w:right w:w="85" w:type="dxa"/>
            </w:tcMar>
          </w:tcPr>
          <w:p w14:paraId="0285B80A"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0.003</w:t>
            </w:r>
          </w:p>
        </w:tc>
        <w:tc>
          <w:tcPr>
            <w:tcW w:w="1061" w:type="dxa"/>
            <w:tcBorders>
              <w:top w:val="single" w:sz="4" w:space="0" w:color="365F91"/>
              <w:bottom w:val="single" w:sz="4" w:space="0" w:color="365F91"/>
            </w:tcBorders>
            <w:shd w:val="clear" w:color="auto" w:fill="FFFFFF"/>
            <w:tcMar>
              <w:top w:w="0" w:type="dxa"/>
              <w:left w:w="85" w:type="dxa"/>
              <w:bottom w:w="0" w:type="dxa"/>
              <w:right w:w="85" w:type="dxa"/>
            </w:tcMar>
          </w:tcPr>
          <w:p w14:paraId="5EF1FD2C"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0.3</w:t>
            </w:r>
          </w:p>
        </w:tc>
        <w:tc>
          <w:tcPr>
            <w:tcW w:w="961" w:type="dxa"/>
            <w:tcBorders>
              <w:top w:val="single" w:sz="4" w:space="0" w:color="365F91"/>
              <w:bottom w:val="single" w:sz="4" w:space="0" w:color="365F91"/>
              <w:right w:val="single" w:sz="4" w:space="0" w:color="FFFFFF"/>
            </w:tcBorders>
            <w:shd w:val="clear" w:color="auto" w:fill="FFFFFF"/>
            <w:tcMar>
              <w:top w:w="0" w:type="dxa"/>
              <w:left w:w="85" w:type="dxa"/>
              <w:bottom w:w="0" w:type="dxa"/>
              <w:right w:w="85" w:type="dxa"/>
            </w:tcMar>
          </w:tcPr>
          <w:p w14:paraId="048A5AE8"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92.2</w:t>
            </w:r>
          </w:p>
        </w:tc>
      </w:tr>
      <w:tr w:rsidR="00A37132" w:rsidRPr="00BE78CA" w14:paraId="77AA6355" w14:textId="77777777" w:rsidTr="00834B58">
        <w:trPr>
          <w:cantSplit/>
        </w:trPr>
        <w:tc>
          <w:tcPr>
            <w:tcW w:w="846" w:type="dxa"/>
            <w:tcBorders>
              <w:top w:val="single" w:sz="4" w:space="0" w:color="365F91"/>
              <w:left w:val="single" w:sz="4" w:space="0" w:color="FFFFFF"/>
              <w:bottom w:val="single" w:sz="4" w:space="0" w:color="365F91"/>
            </w:tcBorders>
            <w:shd w:val="clear" w:color="auto" w:fill="FFFFFF"/>
            <w:tcMar>
              <w:top w:w="0" w:type="dxa"/>
              <w:left w:w="85" w:type="dxa"/>
              <w:bottom w:w="0" w:type="dxa"/>
              <w:right w:w="85" w:type="dxa"/>
            </w:tcMar>
          </w:tcPr>
          <w:p w14:paraId="5FA985BA" w14:textId="77777777" w:rsidR="00387C28" w:rsidRPr="00BE78CA" w:rsidRDefault="00387C28" w:rsidP="00A37132">
            <w:pPr>
              <w:pStyle w:val="TableText"/>
              <w:spacing w:before="50" w:after="50"/>
              <w:rPr>
                <w:rFonts w:cs="Calibri"/>
                <w:szCs w:val="16"/>
              </w:rPr>
            </w:pPr>
            <w:r w:rsidRPr="00BE78CA">
              <w:rPr>
                <w:rFonts w:eastAsia="Calibri" w:cs="Calibri"/>
                <w:szCs w:val="16"/>
              </w:rPr>
              <w:t>1.A.4.c</w:t>
            </w:r>
          </w:p>
        </w:tc>
        <w:tc>
          <w:tcPr>
            <w:tcW w:w="2197" w:type="dxa"/>
            <w:tcBorders>
              <w:top w:val="single" w:sz="4" w:space="0" w:color="365F91"/>
              <w:bottom w:val="single" w:sz="4" w:space="0" w:color="365F91"/>
            </w:tcBorders>
            <w:shd w:val="clear" w:color="auto" w:fill="FFFFFF"/>
            <w:tcMar>
              <w:top w:w="0" w:type="dxa"/>
              <w:left w:w="85" w:type="dxa"/>
              <w:bottom w:w="0" w:type="dxa"/>
              <w:right w:w="85" w:type="dxa"/>
            </w:tcMar>
          </w:tcPr>
          <w:p w14:paraId="057C265D" w14:textId="77777777" w:rsidR="00387C28" w:rsidRPr="00BE78CA" w:rsidRDefault="00387C28" w:rsidP="00A37132">
            <w:pPr>
              <w:pStyle w:val="TableText"/>
              <w:spacing w:before="50" w:after="50"/>
              <w:rPr>
                <w:rFonts w:cs="Calibri"/>
                <w:szCs w:val="16"/>
              </w:rPr>
            </w:pPr>
            <w:r w:rsidRPr="00BE78CA">
              <w:rPr>
                <w:rFonts w:eastAsia="Calibri" w:cs="Calibri"/>
                <w:szCs w:val="16"/>
              </w:rPr>
              <w:t>Other Sectors – Agriculture/Forestry/Fishing</w:t>
            </w:r>
          </w:p>
        </w:tc>
        <w:tc>
          <w:tcPr>
            <w:tcW w:w="492" w:type="dxa"/>
            <w:tcBorders>
              <w:top w:val="single" w:sz="4" w:space="0" w:color="365F91"/>
              <w:bottom w:val="single" w:sz="4" w:space="0" w:color="365F91"/>
            </w:tcBorders>
            <w:shd w:val="clear" w:color="auto" w:fill="FFFFFF"/>
            <w:tcMar>
              <w:top w:w="0" w:type="dxa"/>
              <w:left w:w="85" w:type="dxa"/>
              <w:bottom w:w="0" w:type="dxa"/>
              <w:right w:w="85" w:type="dxa"/>
            </w:tcMar>
          </w:tcPr>
          <w:p w14:paraId="06D85F95" w14:textId="77777777" w:rsidR="00387C28" w:rsidRPr="00BE78CA" w:rsidRDefault="00387C28" w:rsidP="00A37132">
            <w:pPr>
              <w:pStyle w:val="TableText"/>
              <w:spacing w:before="50" w:after="50"/>
              <w:jc w:val="center"/>
              <w:rPr>
                <w:rFonts w:cs="Calibri"/>
                <w:szCs w:val="16"/>
              </w:rPr>
            </w:pPr>
            <w:r w:rsidRPr="00BE78CA">
              <w:rPr>
                <w:rFonts w:eastAsia="Calibri" w:cs="Calibri"/>
                <w:szCs w:val="16"/>
              </w:rPr>
              <w:t>CO</w:t>
            </w:r>
            <w:r w:rsidRPr="00BE78CA">
              <w:rPr>
                <w:rFonts w:eastAsia="Calibri" w:cs="Calibri"/>
                <w:szCs w:val="16"/>
                <w:vertAlign w:val="subscript"/>
              </w:rPr>
              <w:t>2</w:t>
            </w:r>
          </w:p>
        </w:tc>
        <w:tc>
          <w:tcPr>
            <w:tcW w:w="991" w:type="dxa"/>
            <w:tcBorders>
              <w:top w:val="single" w:sz="4" w:space="0" w:color="365F91"/>
              <w:bottom w:val="single" w:sz="4" w:space="0" w:color="365F91"/>
            </w:tcBorders>
            <w:shd w:val="clear" w:color="auto" w:fill="FFFFFF"/>
            <w:tcMar>
              <w:top w:w="0" w:type="dxa"/>
              <w:left w:w="85" w:type="dxa"/>
              <w:bottom w:w="0" w:type="dxa"/>
              <w:right w:w="85" w:type="dxa"/>
            </w:tcMar>
          </w:tcPr>
          <w:p w14:paraId="35D78789"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1,072.3</w:t>
            </w:r>
          </w:p>
        </w:tc>
        <w:tc>
          <w:tcPr>
            <w:tcW w:w="991" w:type="dxa"/>
            <w:tcBorders>
              <w:top w:val="single" w:sz="4" w:space="0" w:color="365F91"/>
              <w:bottom w:val="single" w:sz="4" w:space="0" w:color="365F91"/>
            </w:tcBorders>
            <w:shd w:val="clear" w:color="auto" w:fill="FFFFFF"/>
            <w:tcMar>
              <w:top w:w="0" w:type="dxa"/>
              <w:left w:w="85" w:type="dxa"/>
              <w:bottom w:w="0" w:type="dxa"/>
              <w:right w:w="85" w:type="dxa"/>
            </w:tcMar>
          </w:tcPr>
          <w:p w14:paraId="28775349"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1,154.3</w:t>
            </w:r>
          </w:p>
        </w:tc>
        <w:tc>
          <w:tcPr>
            <w:tcW w:w="955" w:type="dxa"/>
            <w:tcBorders>
              <w:top w:val="single" w:sz="4" w:space="0" w:color="365F91"/>
              <w:bottom w:val="single" w:sz="4" w:space="0" w:color="365F91"/>
            </w:tcBorders>
            <w:shd w:val="clear" w:color="auto" w:fill="FFFFFF"/>
            <w:tcMar>
              <w:top w:w="0" w:type="dxa"/>
              <w:left w:w="85" w:type="dxa"/>
              <w:bottom w:w="0" w:type="dxa"/>
              <w:right w:w="85" w:type="dxa"/>
            </w:tcMar>
          </w:tcPr>
          <w:p w14:paraId="04C2DA0F"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0.003</w:t>
            </w:r>
          </w:p>
        </w:tc>
        <w:tc>
          <w:tcPr>
            <w:tcW w:w="1061" w:type="dxa"/>
            <w:tcBorders>
              <w:top w:val="single" w:sz="4" w:space="0" w:color="365F91"/>
              <w:bottom w:val="single" w:sz="4" w:space="0" w:color="365F91"/>
            </w:tcBorders>
            <w:shd w:val="clear" w:color="auto" w:fill="FFFFFF"/>
            <w:tcMar>
              <w:top w:w="0" w:type="dxa"/>
              <w:left w:w="85" w:type="dxa"/>
              <w:bottom w:w="0" w:type="dxa"/>
              <w:right w:w="85" w:type="dxa"/>
            </w:tcMar>
          </w:tcPr>
          <w:p w14:paraId="42343050"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0.3</w:t>
            </w:r>
          </w:p>
        </w:tc>
        <w:tc>
          <w:tcPr>
            <w:tcW w:w="961" w:type="dxa"/>
            <w:tcBorders>
              <w:top w:val="single" w:sz="4" w:space="0" w:color="365F91"/>
              <w:bottom w:val="single" w:sz="4" w:space="0" w:color="365F91"/>
              <w:right w:val="single" w:sz="4" w:space="0" w:color="FFFFFF"/>
            </w:tcBorders>
            <w:shd w:val="clear" w:color="auto" w:fill="FFFFFF"/>
            <w:tcMar>
              <w:top w:w="0" w:type="dxa"/>
              <w:left w:w="85" w:type="dxa"/>
              <w:bottom w:w="0" w:type="dxa"/>
              <w:right w:w="85" w:type="dxa"/>
            </w:tcMar>
          </w:tcPr>
          <w:p w14:paraId="672E561C"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92.5</w:t>
            </w:r>
          </w:p>
        </w:tc>
      </w:tr>
      <w:tr w:rsidR="00A37132" w:rsidRPr="00BE78CA" w14:paraId="6BCB38D4" w14:textId="77777777" w:rsidTr="00834B58">
        <w:trPr>
          <w:cantSplit/>
        </w:trPr>
        <w:tc>
          <w:tcPr>
            <w:tcW w:w="846" w:type="dxa"/>
            <w:tcBorders>
              <w:top w:val="single" w:sz="4" w:space="0" w:color="365F91"/>
              <w:left w:val="single" w:sz="4" w:space="0" w:color="FFFFFF"/>
              <w:bottom w:val="single" w:sz="4" w:space="0" w:color="365F91"/>
            </w:tcBorders>
            <w:shd w:val="clear" w:color="auto" w:fill="FFFFFF"/>
            <w:tcMar>
              <w:top w:w="0" w:type="dxa"/>
              <w:left w:w="85" w:type="dxa"/>
              <w:bottom w:w="0" w:type="dxa"/>
              <w:right w:w="85" w:type="dxa"/>
            </w:tcMar>
          </w:tcPr>
          <w:p w14:paraId="5EB1BB0C" w14:textId="77777777" w:rsidR="00387C28" w:rsidRPr="00BE78CA" w:rsidRDefault="00387C28" w:rsidP="00A37132">
            <w:pPr>
              <w:pStyle w:val="TableText"/>
              <w:spacing w:before="50" w:after="50"/>
              <w:rPr>
                <w:rFonts w:cs="Calibri"/>
                <w:szCs w:val="16"/>
              </w:rPr>
            </w:pPr>
            <w:r w:rsidRPr="00BE78CA">
              <w:rPr>
                <w:rFonts w:eastAsia="Calibri" w:cs="Calibri"/>
                <w:szCs w:val="16"/>
              </w:rPr>
              <w:t>3.A.4</w:t>
            </w:r>
          </w:p>
        </w:tc>
        <w:tc>
          <w:tcPr>
            <w:tcW w:w="2197" w:type="dxa"/>
            <w:tcBorders>
              <w:top w:val="single" w:sz="4" w:space="0" w:color="365F91"/>
              <w:bottom w:val="single" w:sz="4" w:space="0" w:color="365F91"/>
            </w:tcBorders>
            <w:shd w:val="clear" w:color="auto" w:fill="FFFFFF"/>
            <w:tcMar>
              <w:top w:w="0" w:type="dxa"/>
              <w:left w:w="85" w:type="dxa"/>
              <w:bottom w:w="0" w:type="dxa"/>
              <w:right w:w="85" w:type="dxa"/>
            </w:tcMar>
          </w:tcPr>
          <w:p w14:paraId="6361AF46" w14:textId="77777777" w:rsidR="00387C28" w:rsidRPr="00BE78CA" w:rsidRDefault="00387C28" w:rsidP="00A37132">
            <w:pPr>
              <w:pStyle w:val="TableText"/>
              <w:spacing w:before="50" w:after="50"/>
              <w:rPr>
                <w:rFonts w:cs="Calibri"/>
                <w:szCs w:val="16"/>
              </w:rPr>
            </w:pPr>
            <w:r w:rsidRPr="00BE78CA">
              <w:rPr>
                <w:rFonts w:eastAsia="Calibri" w:cs="Calibri"/>
                <w:szCs w:val="16"/>
              </w:rPr>
              <w:t>Other Livestock – Goats</w:t>
            </w:r>
          </w:p>
        </w:tc>
        <w:tc>
          <w:tcPr>
            <w:tcW w:w="492" w:type="dxa"/>
            <w:tcBorders>
              <w:top w:val="single" w:sz="4" w:space="0" w:color="365F91"/>
              <w:bottom w:val="single" w:sz="4" w:space="0" w:color="365F91"/>
            </w:tcBorders>
            <w:shd w:val="clear" w:color="auto" w:fill="FFFFFF"/>
            <w:tcMar>
              <w:top w:w="0" w:type="dxa"/>
              <w:left w:w="85" w:type="dxa"/>
              <w:bottom w:w="0" w:type="dxa"/>
              <w:right w:w="85" w:type="dxa"/>
            </w:tcMar>
          </w:tcPr>
          <w:p w14:paraId="358DEA32" w14:textId="77777777" w:rsidR="00387C28" w:rsidRPr="00BE78CA" w:rsidRDefault="00387C28" w:rsidP="00A37132">
            <w:pPr>
              <w:pStyle w:val="TableText"/>
              <w:spacing w:before="50" w:after="50"/>
              <w:jc w:val="center"/>
              <w:rPr>
                <w:rFonts w:cs="Calibri"/>
                <w:szCs w:val="16"/>
              </w:rPr>
            </w:pPr>
            <w:r w:rsidRPr="00BE78CA">
              <w:rPr>
                <w:rFonts w:eastAsia="Calibri" w:cs="Calibri"/>
                <w:szCs w:val="16"/>
              </w:rPr>
              <w:t>CH</w:t>
            </w:r>
            <w:r w:rsidRPr="00BE78CA">
              <w:rPr>
                <w:rFonts w:eastAsia="Calibri" w:cs="Calibri"/>
                <w:szCs w:val="16"/>
                <w:vertAlign w:val="subscript"/>
              </w:rPr>
              <w:t>4</w:t>
            </w:r>
          </w:p>
        </w:tc>
        <w:tc>
          <w:tcPr>
            <w:tcW w:w="991" w:type="dxa"/>
            <w:tcBorders>
              <w:top w:val="single" w:sz="4" w:space="0" w:color="365F91"/>
              <w:bottom w:val="single" w:sz="4" w:space="0" w:color="365F91"/>
            </w:tcBorders>
            <w:shd w:val="clear" w:color="auto" w:fill="FFFFFF"/>
            <w:tcMar>
              <w:top w:w="0" w:type="dxa"/>
              <w:left w:w="85" w:type="dxa"/>
              <w:bottom w:w="0" w:type="dxa"/>
              <w:right w:w="85" w:type="dxa"/>
            </w:tcMar>
          </w:tcPr>
          <w:p w14:paraId="205E4ADF"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196.6</w:t>
            </w:r>
          </w:p>
        </w:tc>
        <w:tc>
          <w:tcPr>
            <w:tcW w:w="991" w:type="dxa"/>
            <w:tcBorders>
              <w:top w:val="single" w:sz="4" w:space="0" w:color="365F91"/>
              <w:bottom w:val="single" w:sz="4" w:space="0" w:color="365F91"/>
            </w:tcBorders>
            <w:shd w:val="clear" w:color="auto" w:fill="FFFFFF"/>
            <w:tcMar>
              <w:top w:w="0" w:type="dxa"/>
              <w:left w:w="85" w:type="dxa"/>
              <w:bottom w:w="0" w:type="dxa"/>
              <w:right w:w="85" w:type="dxa"/>
            </w:tcMar>
          </w:tcPr>
          <w:p w14:paraId="5C6B0428"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21.0</w:t>
            </w:r>
          </w:p>
        </w:tc>
        <w:tc>
          <w:tcPr>
            <w:tcW w:w="955" w:type="dxa"/>
            <w:tcBorders>
              <w:top w:val="single" w:sz="4" w:space="0" w:color="365F91"/>
              <w:bottom w:val="single" w:sz="4" w:space="0" w:color="365F91"/>
            </w:tcBorders>
            <w:shd w:val="clear" w:color="auto" w:fill="FFFFFF"/>
            <w:tcMar>
              <w:top w:w="0" w:type="dxa"/>
              <w:left w:w="85" w:type="dxa"/>
              <w:bottom w:w="0" w:type="dxa"/>
              <w:right w:w="85" w:type="dxa"/>
            </w:tcMar>
          </w:tcPr>
          <w:p w14:paraId="108B66C0"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0.003</w:t>
            </w:r>
          </w:p>
        </w:tc>
        <w:tc>
          <w:tcPr>
            <w:tcW w:w="1061" w:type="dxa"/>
            <w:tcBorders>
              <w:top w:val="single" w:sz="4" w:space="0" w:color="365F91"/>
              <w:bottom w:val="single" w:sz="4" w:space="0" w:color="365F91"/>
            </w:tcBorders>
            <w:shd w:val="clear" w:color="auto" w:fill="FFFFFF"/>
            <w:tcMar>
              <w:top w:w="0" w:type="dxa"/>
              <w:left w:w="85" w:type="dxa"/>
              <w:bottom w:w="0" w:type="dxa"/>
              <w:right w:w="85" w:type="dxa"/>
            </w:tcMar>
          </w:tcPr>
          <w:p w14:paraId="4EF17CA9"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0.3</w:t>
            </w:r>
          </w:p>
        </w:tc>
        <w:tc>
          <w:tcPr>
            <w:tcW w:w="961" w:type="dxa"/>
            <w:tcBorders>
              <w:top w:val="single" w:sz="4" w:space="0" w:color="365F91"/>
              <w:bottom w:val="single" w:sz="4" w:space="0" w:color="365F91"/>
              <w:right w:val="single" w:sz="4" w:space="0" w:color="FFFFFF"/>
            </w:tcBorders>
            <w:shd w:val="clear" w:color="auto" w:fill="FFFFFF"/>
            <w:tcMar>
              <w:top w:w="0" w:type="dxa"/>
              <w:left w:w="85" w:type="dxa"/>
              <w:bottom w:w="0" w:type="dxa"/>
              <w:right w:w="85" w:type="dxa"/>
            </w:tcMar>
          </w:tcPr>
          <w:p w14:paraId="21483FFB"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92.8</w:t>
            </w:r>
          </w:p>
        </w:tc>
      </w:tr>
      <w:tr w:rsidR="00A37132" w:rsidRPr="00BE78CA" w14:paraId="7F687013" w14:textId="77777777" w:rsidTr="00834B58">
        <w:trPr>
          <w:cantSplit/>
        </w:trPr>
        <w:tc>
          <w:tcPr>
            <w:tcW w:w="846" w:type="dxa"/>
            <w:tcBorders>
              <w:top w:val="single" w:sz="4" w:space="0" w:color="365F91"/>
              <w:left w:val="single" w:sz="4" w:space="0" w:color="FFFFFF"/>
              <w:bottom w:val="single" w:sz="4" w:space="0" w:color="365F91"/>
            </w:tcBorders>
            <w:shd w:val="clear" w:color="auto" w:fill="FFFFFF"/>
            <w:tcMar>
              <w:top w:w="0" w:type="dxa"/>
              <w:left w:w="85" w:type="dxa"/>
              <w:bottom w:w="0" w:type="dxa"/>
              <w:right w:w="85" w:type="dxa"/>
            </w:tcMar>
          </w:tcPr>
          <w:p w14:paraId="6E500324" w14:textId="77777777" w:rsidR="00387C28" w:rsidRPr="00BE78CA" w:rsidRDefault="00387C28" w:rsidP="00A37132">
            <w:pPr>
              <w:pStyle w:val="TableText"/>
              <w:spacing w:before="50" w:after="50"/>
              <w:rPr>
                <w:rFonts w:cs="Calibri"/>
                <w:szCs w:val="16"/>
              </w:rPr>
            </w:pPr>
            <w:r w:rsidRPr="00BE78CA">
              <w:rPr>
                <w:rFonts w:eastAsia="Calibri" w:cs="Calibri"/>
                <w:szCs w:val="16"/>
              </w:rPr>
              <w:t>1.A.1.b</w:t>
            </w:r>
          </w:p>
        </w:tc>
        <w:tc>
          <w:tcPr>
            <w:tcW w:w="2197" w:type="dxa"/>
            <w:tcBorders>
              <w:top w:val="single" w:sz="4" w:space="0" w:color="365F91"/>
              <w:bottom w:val="single" w:sz="4" w:space="0" w:color="365F91"/>
            </w:tcBorders>
            <w:shd w:val="clear" w:color="auto" w:fill="FFFFFF"/>
            <w:tcMar>
              <w:top w:w="0" w:type="dxa"/>
              <w:left w:w="85" w:type="dxa"/>
              <w:bottom w:w="0" w:type="dxa"/>
              <w:right w:w="85" w:type="dxa"/>
            </w:tcMar>
          </w:tcPr>
          <w:p w14:paraId="0E956C19" w14:textId="77777777" w:rsidR="00387C28" w:rsidRPr="00BE78CA" w:rsidRDefault="00387C28" w:rsidP="00A37132">
            <w:pPr>
              <w:pStyle w:val="TableText"/>
              <w:spacing w:before="50" w:after="50"/>
              <w:rPr>
                <w:rFonts w:cs="Calibri"/>
                <w:szCs w:val="16"/>
              </w:rPr>
            </w:pPr>
            <w:r w:rsidRPr="00BE78CA">
              <w:rPr>
                <w:rFonts w:eastAsia="Calibri" w:cs="Calibri"/>
                <w:szCs w:val="16"/>
              </w:rPr>
              <w:t>Petroleum Refining – Gaseous Fuels</w:t>
            </w:r>
          </w:p>
        </w:tc>
        <w:tc>
          <w:tcPr>
            <w:tcW w:w="492" w:type="dxa"/>
            <w:tcBorders>
              <w:top w:val="single" w:sz="4" w:space="0" w:color="365F91"/>
              <w:bottom w:val="single" w:sz="4" w:space="0" w:color="365F91"/>
            </w:tcBorders>
            <w:shd w:val="clear" w:color="auto" w:fill="FFFFFF"/>
            <w:tcMar>
              <w:top w:w="0" w:type="dxa"/>
              <w:left w:w="85" w:type="dxa"/>
              <w:bottom w:w="0" w:type="dxa"/>
              <w:right w:w="85" w:type="dxa"/>
            </w:tcMar>
          </w:tcPr>
          <w:p w14:paraId="1560C3D7" w14:textId="77777777" w:rsidR="00387C28" w:rsidRPr="00BE78CA" w:rsidRDefault="00387C28" w:rsidP="00A37132">
            <w:pPr>
              <w:pStyle w:val="TableText"/>
              <w:spacing w:before="50" w:after="50"/>
              <w:jc w:val="center"/>
              <w:rPr>
                <w:rFonts w:cs="Calibri"/>
                <w:szCs w:val="16"/>
              </w:rPr>
            </w:pPr>
            <w:r w:rsidRPr="00BE78CA">
              <w:rPr>
                <w:rFonts w:eastAsia="Calibri" w:cs="Calibri"/>
                <w:szCs w:val="16"/>
              </w:rPr>
              <w:t>CO</w:t>
            </w:r>
            <w:r w:rsidRPr="00BE78CA">
              <w:rPr>
                <w:rFonts w:eastAsia="Calibri" w:cs="Calibri"/>
                <w:szCs w:val="16"/>
                <w:vertAlign w:val="subscript"/>
              </w:rPr>
              <w:t>2</w:t>
            </w:r>
          </w:p>
        </w:tc>
        <w:tc>
          <w:tcPr>
            <w:tcW w:w="991" w:type="dxa"/>
            <w:tcBorders>
              <w:top w:val="single" w:sz="4" w:space="0" w:color="365F91"/>
              <w:bottom w:val="single" w:sz="4" w:space="0" w:color="365F91"/>
            </w:tcBorders>
            <w:shd w:val="clear" w:color="auto" w:fill="FFFFFF"/>
            <w:tcMar>
              <w:top w:w="0" w:type="dxa"/>
              <w:left w:w="85" w:type="dxa"/>
              <w:bottom w:w="0" w:type="dxa"/>
              <w:right w:w="85" w:type="dxa"/>
            </w:tcMar>
          </w:tcPr>
          <w:p w14:paraId="3C45D0E5"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0.0</w:t>
            </w:r>
          </w:p>
        </w:tc>
        <w:tc>
          <w:tcPr>
            <w:tcW w:w="991" w:type="dxa"/>
            <w:tcBorders>
              <w:top w:val="single" w:sz="4" w:space="0" w:color="365F91"/>
              <w:bottom w:val="single" w:sz="4" w:space="0" w:color="365F91"/>
            </w:tcBorders>
            <w:shd w:val="clear" w:color="auto" w:fill="FFFFFF"/>
            <w:tcMar>
              <w:top w:w="0" w:type="dxa"/>
              <w:left w:w="85" w:type="dxa"/>
              <w:bottom w:w="0" w:type="dxa"/>
              <w:right w:w="85" w:type="dxa"/>
            </w:tcMar>
          </w:tcPr>
          <w:p w14:paraId="5D6BA719"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217.9</w:t>
            </w:r>
          </w:p>
        </w:tc>
        <w:tc>
          <w:tcPr>
            <w:tcW w:w="955" w:type="dxa"/>
            <w:tcBorders>
              <w:top w:val="single" w:sz="4" w:space="0" w:color="365F91"/>
              <w:bottom w:val="single" w:sz="4" w:space="0" w:color="365F91"/>
            </w:tcBorders>
            <w:shd w:val="clear" w:color="auto" w:fill="FFFFFF"/>
            <w:tcMar>
              <w:top w:w="0" w:type="dxa"/>
              <w:left w:w="85" w:type="dxa"/>
              <w:bottom w:w="0" w:type="dxa"/>
              <w:right w:w="85" w:type="dxa"/>
            </w:tcMar>
          </w:tcPr>
          <w:p w14:paraId="05F655FC"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0.002</w:t>
            </w:r>
          </w:p>
        </w:tc>
        <w:tc>
          <w:tcPr>
            <w:tcW w:w="1061" w:type="dxa"/>
            <w:tcBorders>
              <w:top w:val="single" w:sz="4" w:space="0" w:color="365F91"/>
              <w:bottom w:val="single" w:sz="4" w:space="0" w:color="365F91"/>
            </w:tcBorders>
            <w:shd w:val="clear" w:color="auto" w:fill="FFFFFF"/>
            <w:tcMar>
              <w:top w:w="0" w:type="dxa"/>
              <w:left w:w="85" w:type="dxa"/>
              <w:bottom w:w="0" w:type="dxa"/>
              <w:right w:w="85" w:type="dxa"/>
            </w:tcMar>
          </w:tcPr>
          <w:p w14:paraId="564D473D"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0.3</w:t>
            </w:r>
          </w:p>
        </w:tc>
        <w:tc>
          <w:tcPr>
            <w:tcW w:w="961" w:type="dxa"/>
            <w:tcBorders>
              <w:top w:val="single" w:sz="4" w:space="0" w:color="365F91"/>
              <w:bottom w:val="single" w:sz="4" w:space="0" w:color="365F91"/>
              <w:right w:val="single" w:sz="4" w:space="0" w:color="FFFFFF"/>
            </w:tcBorders>
            <w:shd w:val="clear" w:color="auto" w:fill="FFFFFF"/>
            <w:tcMar>
              <w:top w:w="0" w:type="dxa"/>
              <w:left w:w="85" w:type="dxa"/>
              <w:bottom w:w="0" w:type="dxa"/>
              <w:right w:w="85" w:type="dxa"/>
            </w:tcMar>
          </w:tcPr>
          <w:p w14:paraId="6DB2CCD1"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93.1</w:t>
            </w:r>
          </w:p>
        </w:tc>
      </w:tr>
      <w:tr w:rsidR="00A37132" w:rsidRPr="00BE78CA" w14:paraId="210AE13E" w14:textId="77777777" w:rsidTr="00834B58">
        <w:trPr>
          <w:cantSplit/>
        </w:trPr>
        <w:tc>
          <w:tcPr>
            <w:tcW w:w="846" w:type="dxa"/>
            <w:tcBorders>
              <w:top w:val="single" w:sz="4" w:space="0" w:color="365F91"/>
              <w:left w:val="single" w:sz="4" w:space="0" w:color="FFFFFF"/>
              <w:bottom w:val="single" w:sz="4" w:space="0" w:color="365F91"/>
            </w:tcBorders>
            <w:shd w:val="clear" w:color="auto" w:fill="FFFFFF"/>
            <w:tcMar>
              <w:top w:w="0" w:type="dxa"/>
              <w:left w:w="85" w:type="dxa"/>
              <w:bottom w:w="0" w:type="dxa"/>
              <w:right w:w="85" w:type="dxa"/>
            </w:tcMar>
          </w:tcPr>
          <w:p w14:paraId="64A0765F" w14:textId="77777777" w:rsidR="00387C28" w:rsidRPr="00BE78CA" w:rsidRDefault="00387C28" w:rsidP="00A37132">
            <w:pPr>
              <w:pStyle w:val="TableText"/>
              <w:spacing w:before="50" w:after="50"/>
              <w:rPr>
                <w:rFonts w:cs="Calibri"/>
                <w:szCs w:val="16"/>
              </w:rPr>
            </w:pPr>
            <w:r w:rsidRPr="00BE78CA">
              <w:rPr>
                <w:rFonts w:eastAsia="Calibri" w:cs="Calibri"/>
                <w:szCs w:val="16"/>
              </w:rPr>
              <w:lastRenderedPageBreak/>
              <w:t>3.D.1.6</w:t>
            </w:r>
          </w:p>
        </w:tc>
        <w:tc>
          <w:tcPr>
            <w:tcW w:w="2197" w:type="dxa"/>
            <w:tcBorders>
              <w:top w:val="single" w:sz="4" w:space="0" w:color="365F91"/>
              <w:bottom w:val="single" w:sz="4" w:space="0" w:color="365F91"/>
            </w:tcBorders>
            <w:shd w:val="clear" w:color="auto" w:fill="FFFFFF"/>
            <w:tcMar>
              <w:top w:w="0" w:type="dxa"/>
              <w:left w:w="85" w:type="dxa"/>
              <w:bottom w:w="0" w:type="dxa"/>
              <w:right w:w="85" w:type="dxa"/>
            </w:tcMar>
          </w:tcPr>
          <w:p w14:paraId="7AEA02E2" w14:textId="77777777" w:rsidR="00387C28" w:rsidRPr="00BE78CA" w:rsidRDefault="00387C28" w:rsidP="00A37132">
            <w:pPr>
              <w:pStyle w:val="TableText"/>
              <w:spacing w:before="50" w:after="50"/>
              <w:rPr>
                <w:rFonts w:cs="Calibri"/>
                <w:szCs w:val="16"/>
              </w:rPr>
            </w:pPr>
            <w:r w:rsidRPr="00BE78CA">
              <w:rPr>
                <w:rFonts w:eastAsia="Calibri" w:cs="Calibri"/>
                <w:szCs w:val="16"/>
              </w:rPr>
              <w:t>Direct N</w:t>
            </w:r>
            <w:r w:rsidRPr="00BE78CA">
              <w:rPr>
                <w:rFonts w:eastAsia="Calibri" w:cs="Calibri"/>
                <w:szCs w:val="16"/>
                <w:vertAlign w:val="subscript"/>
              </w:rPr>
              <w:t>2</w:t>
            </w:r>
            <w:r w:rsidRPr="00BE78CA">
              <w:rPr>
                <w:rFonts w:eastAsia="Calibri" w:cs="Calibri"/>
                <w:szCs w:val="16"/>
              </w:rPr>
              <w:t>O Emissions from Managed Soils – Cultivation of Organic Soils</w:t>
            </w:r>
          </w:p>
        </w:tc>
        <w:tc>
          <w:tcPr>
            <w:tcW w:w="492" w:type="dxa"/>
            <w:tcBorders>
              <w:top w:val="single" w:sz="4" w:space="0" w:color="365F91"/>
              <w:bottom w:val="single" w:sz="4" w:space="0" w:color="365F91"/>
            </w:tcBorders>
            <w:shd w:val="clear" w:color="auto" w:fill="FFFFFF"/>
            <w:tcMar>
              <w:top w:w="0" w:type="dxa"/>
              <w:left w:w="85" w:type="dxa"/>
              <w:bottom w:w="0" w:type="dxa"/>
              <w:right w:w="85" w:type="dxa"/>
            </w:tcMar>
          </w:tcPr>
          <w:p w14:paraId="7E7D9946" w14:textId="77777777" w:rsidR="00387C28" w:rsidRPr="00BE78CA" w:rsidRDefault="00387C28" w:rsidP="00A37132">
            <w:pPr>
              <w:pStyle w:val="TableText"/>
              <w:spacing w:before="50" w:after="50"/>
              <w:jc w:val="center"/>
              <w:rPr>
                <w:rFonts w:cs="Calibri"/>
                <w:szCs w:val="16"/>
              </w:rPr>
            </w:pPr>
            <w:r w:rsidRPr="00BE78CA">
              <w:rPr>
                <w:rFonts w:eastAsia="Calibri" w:cs="Calibri"/>
                <w:szCs w:val="16"/>
              </w:rPr>
              <w:t>N</w:t>
            </w:r>
            <w:r w:rsidRPr="00BE78CA">
              <w:rPr>
                <w:rFonts w:eastAsia="Calibri" w:cs="Calibri"/>
                <w:szCs w:val="16"/>
                <w:vertAlign w:val="subscript"/>
              </w:rPr>
              <w:t>2</w:t>
            </w:r>
            <w:r w:rsidRPr="00BE78CA">
              <w:rPr>
                <w:rFonts w:eastAsia="Calibri" w:cs="Calibri"/>
                <w:szCs w:val="16"/>
              </w:rPr>
              <w:t>O</w:t>
            </w:r>
          </w:p>
        </w:tc>
        <w:tc>
          <w:tcPr>
            <w:tcW w:w="991" w:type="dxa"/>
            <w:tcBorders>
              <w:top w:val="single" w:sz="4" w:space="0" w:color="365F91"/>
              <w:bottom w:val="single" w:sz="4" w:space="0" w:color="365F91"/>
            </w:tcBorders>
            <w:shd w:val="clear" w:color="auto" w:fill="FFFFFF"/>
            <w:tcMar>
              <w:top w:w="0" w:type="dxa"/>
              <w:left w:w="85" w:type="dxa"/>
              <w:bottom w:w="0" w:type="dxa"/>
              <w:right w:w="85" w:type="dxa"/>
            </w:tcMar>
          </w:tcPr>
          <w:p w14:paraId="336E1854"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643.8</w:t>
            </w:r>
          </w:p>
        </w:tc>
        <w:tc>
          <w:tcPr>
            <w:tcW w:w="991" w:type="dxa"/>
            <w:tcBorders>
              <w:top w:val="single" w:sz="4" w:space="0" w:color="365F91"/>
              <w:bottom w:val="single" w:sz="4" w:space="0" w:color="365F91"/>
            </w:tcBorders>
            <w:shd w:val="clear" w:color="auto" w:fill="FFFFFF"/>
            <w:tcMar>
              <w:top w:w="0" w:type="dxa"/>
              <w:left w:w="85" w:type="dxa"/>
              <w:bottom w:w="0" w:type="dxa"/>
              <w:right w:w="85" w:type="dxa"/>
            </w:tcMar>
          </w:tcPr>
          <w:p w14:paraId="21A818C6"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653.0</w:t>
            </w:r>
          </w:p>
        </w:tc>
        <w:tc>
          <w:tcPr>
            <w:tcW w:w="955" w:type="dxa"/>
            <w:tcBorders>
              <w:top w:val="single" w:sz="4" w:space="0" w:color="365F91"/>
              <w:bottom w:val="single" w:sz="4" w:space="0" w:color="365F91"/>
            </w:tcBorders>
            <w:shd w:val="clear" w:color="auto" w:fill="FFFFFF"/>
            <w:tcMar>
              <w:top w:w="0" w:type="dxa"/>
              <w:left w:w="85" w:type="dxa"/>
              <w:bottom w:w="0" w:type="dxa"/>
              <w:right w:w="85" w:type="dxa"/>
            </w:tcMar>
          </w:tcPr>
          <w:p w14:paraId="48CB17A1"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0.002</w:t>
            </w:r>
          </w:p>
        </w:tc>
        <w:tc>
          <w:tcPr>
            <w:tcW w:w="1061" w:type="dxa"/>
            <w:tcBorders>
              <w:top w:val="single" w:sz="4" w:space="0" w:color="365F91"/>
              <w:bottom w:val="single" w:sz="4" w:space="0" w:color="365F91"/>
            </w:tcBorders>
            <w:shd w:val="clear" w:color="auto" w:fill="FFFFFF"/>
            <w:tcMar>
              <w:top w:w="0" w:type="dxa"/>
              <w:left w:w="85" w:type="dxa"/>
              <w:bottom w:w="0" w:type="dxa"/>
              <w:right w:w="85" w:type="dxa"/>
            </w:tcMar>
          </w:tcPr>
          <w:p w14:paraId="32566211"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0.3</w:t>
            </w:r>
          </w:p>
        </w:tc>
        <w:tc>
          <w:tcPr>
            <w:tcW w:w="961" w:type="dxa"/>
            <w:tcBorders>
              <w:top w:val="single" w:sz="4" w:space="0" w:color="365F91"/>
              <w:bottom w:val="single" w:sz="4" w:space="0" w:color="365F91"/>
              <w:right w:val="single" w:sz="4" w:space="0" w:color="FFFFFF"/>
            </w:tcBorders>
            <w:shd w:val="clear" w:color="auto" w:fill="FFFFFF"/>
            <w:tcMar>
              <w:top w:w="0" w:type="dxa"/>
              <w:left w:w="85" w:type="dxa"/>
              <w:bottom w:w="0" w:type="dxa"/>
              <w:right w:w="85" w:type="dxa"/>
            </w:tcMar>
          </w:tcPr>
          <w:p w14:paraId="36FCF334"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93.3</w:t>
            </w:r>
          </w:p>
        </w:tc>
      </w:tr>
      <w:tr w:rsidR="00A37132" w:rsidRPr="00BE78CA" w14:paraId="407FA46D" w14:textId="77777777" w:rsidTr="00834B58">
        <w:trPr>
          <w:cantSplit/>
        </w:trPr>
        <w:tc>
          <w:tcPr>
            <w:tcW w:w="846" w:type="dxa"/>
            <w:tcBorders>
              <w:top w:val="single" w:sz="4" w:space="0" w:color="365F91"/>
              <w:left w:val="single" w:sz="4" w:space="0" w:color="FFFFFF"/>
              <w:bottom w:val="single" w:sz="4" w:space="0" w:color="365F91"/>
            </w:tcBorders>
            <w:shd w:val="clear" w:color="auto" w:fill="FFFFFF"/>
            <w:tcMar>
              <w:top w:w="0" w:type="dxa"/>
              <w:left w:w="85" w:type="dxa"/>
              <w:bottom w:w="0" w:type="dxa"/>
              <w:right w:w="85" w:type="dxa"/>
            </w:tcMar>
          </w:tcPr>
          <w:p w14:paraId="396FC8B6" w14:textId="77777777" w:rsidR="00387C28" w:rsidRPr="00BE78CA" w:rsidRDefault="00387C28" w:rsidP="00A37132">
            <w:pPr>
              <w:pStyle w:val="TableText"/>
              <w:spacing w:before="50" w:after="50"/>
              <w:rPr>
                <w:rFonts w:cs="Calibri"/>
                <w:szCs w:val="16"/>
              </w:rPr>
            </w:pPr>
            <w:r w:rsidRPr="00BE78CA">
              <w:rPr>
                <w:rFonts w:eastAsia="Calibri" w:cs="Calibri"/>
                <w:szCs w:val="16"/>
              </w:rPr>
              <w:t>1.A.3.a</w:t>
            </w:r>
          </w:p>
        </w:tc>
        <w:tc>
          <w:tcPr>
            <w:tcW w:w="2197" w:type="dxa"/>
            <w:tcBorders>
              <w:top w:val="single" w:sz="4" w:space="0" w:color="365F91"/>
              <w:bottom w:val="single" w:sz="4" w:space="0" w:color="365F91"/>
            </w:tcBorders>
            <w:shd w:val="clear" w:color="auto" w:fill="FFFFFF"/>
            <w:tcMar>
              <w:top w:w="0" w:type="dxa"/>
              <w:left w:w="85" w:type="dxa"/>
              <w:bottom w:w="0" w:type="dxa"/>
              <w:right w:w="85" w:type="dxa"/>
            </w:tcMar>
          </w:tcPr>
          <w:p w14:paraId="1073C902" w14:textId="77777777" w:rsidR="00387C28" w:rsidRPr="00BE78CA" w:rsidRDefault="00387C28" w:rsidP="00A37132">
            <w:pPr>
              <w:pStyle w:val="TableText"/>
              <w:spacing w:before="50" w:after="50"/>
              <w:rPr>
                <w:rFonts w:cs="Calibri"/>
                <w:szCs w:val="16"/>
              </w:rPr>
            </w:pPr>
            <w:r w:rsidRPr="00BE78CA">
              <w:rPr>
                <w:rFonts w:eastAsia="Calibri" w:cs="Calibri"/>
                <w:szCs w:val="16"/>
              </w:rPr>
              <w:t>Domestic Aviation – Jet Kerosene</w:t>
            </w:r>
          </w:p>
        </w:tc>
        <w:tc>
          <w:tcPr>
            <w:tcW w:w="492" w:type="dxa"/>
            <w:tcBorders>
              <w:top w:val="single" w:sz="4" w:space="0" w:color="365F91"/>
              <w:bottom w:val="single" w:sz="4" w:space="0" w:color="365F91"/>
            </w:tcBorders>
            <w:shd w:val="clear" w:color="auto" w:fill="FFFFFF"/>
            <w:tcMar>
              <w:top w:w="0" w:type="dxa"/>
              <w:left w:w="85" w:type="dxa"/>
              <w:bottom w:w="0" w:type="dxa"/>
              <w:right w:w="85" w:type="dxa"/>
            </w:tcMar>
          </w:tcPr>
          <w:p w14:paraId="44F311DD" w14:textId="77777777" w:rsidR="00387C28" w:rsidRPr="00BE78CA" w:rsidRDefault="00387C28" w:rsidP="00A37132">
            <w:pPr>
              <w:pStyle w:val="TableText"/>
              <w:spacing w:before="50" w:after="50"/>
              <w:jc w:val="center"/>
              <w:rPr>
                <w:rFonts w:cs="Calibri"/>
                <w:szCs w:val="16"/>
              </w:rPr>
            </w:pPr>
            <w:r w:rsidRPr="00BE78CA">
              <w:rPr>
                <w:rFonts w:eastAsia="Calibri" w:cs="Calibri"/>
                <w:szCs w:val="16"/>
              </w:rPr>
              <w:t>CO</w:t>
            </w:r>
            <w:r w:rsidRPr="00BE78CA">
              <w:rPr>
                <w:rFonts w:eastAsia="Calibri" w:cs="Calibri"/>
                <w:szCs w:val="16"/>
                <w:vertAlign w:val="subscript"/>
              </w:rPr>
              <w:t>2</w:t>
            </w:r>
          </w:p>
        </w:tc>
        <w:tc>
          <w:tcPr>
            <w:tcW w:w="991" w:type="dxa"/>
            <w:tcBorders>
              <w:top w:val="single" w:sz="4" w:space="0" w:color="365F91"/>
              <w:bottom w:val="single" w:sz="4" w:space="0" w:color="365F91"/>
            </w:tcBorders>
            <w:shd w:val="clear" w:color="auto" w:fill="FFFFFF"/>
            <w:tcMar>
              <w:top w:w="0" w:type="dxa"/>
              <w:left w:w="85" w:type="dxa"/>
              <w:bottom w:w="0" w:type="dxa"/>
              <w:right w:w="85" w:type="dxa"/>
            </w:tcMar>
          </w:tcPr>
          <w:p w14:paraId="3C0137B5"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892.6</w:t>
            </w:r>
          </w:p>
        </w:tc>
        <w:tc>
          <w:tcPr>
            <w:tcW w:w="991" w:type="dxa"/>
            <w:tcBorders>
              <w:top w:val="single" w:sz="4" w:space="0" w:color="365F91"/>
              <w:bottom w:val="single" w:sz="4" w:space="0" w:color="365F91"/>
            </w:tcBorders>
            <w:shd w:val="clear" w:color="auto" w:fill="FFFFFF"/>
            <w:tcMar>
              <w:top w:w="0" w:type="dxa"/>
              <w:left w:w="85" w:type="dxa"/>
              <w:bottom w:w="0" w:type="dxa"/>
              <w:right w:w="85" w:type="dxa"/>
            </w:tcMar>
          </w:tcPr>
          <w:p w14:paraId="15C2EE3A"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989.6</w:t>
            </w:r>
          </w:p>
        </w:tc>
        <w:tc>
          <w:tcPr>
            <w:tcW w:w="955" w:type="dxa"/>
            <w:tcBorders>
              <w:top w:val="single" w:sz="4" w:space="0" w:color="365F91"/>
              <w:bottom w:val="single" w:sz="4" w:space="0" w:color="365F91"/>
            </w:tcBorders>
            <w:shd w:val="clear" w:color="auto" w:fill="FFFFFF"/>
            <w:tcMar>
              <w:top w:w="0" w:type="dxa"/>
              <w:left w:w="85" w:type="dxa"/>
              <w:bottom w:w="0" w:type="dxa"/>
              <w:right w:w="85" w:type="dxa"/>
            </w:tcMar>
          </w:tcPr>
          <w:p w14:paraId="7239E7E1"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0.002</w:t>
            </w:r>
          </w:p>
        </w:tc>
        <w:tc>
          <w:tcPr>
            <w:tcW w:w="1061" w:type="dxa"/>
            <w:tcBorders>
              <w:top w:val="single" w:sz="4" w:space="0" w:color="365F91"/>
              <w:bottom w:val="single" w:sz="4" w:space="0" w:color="365F91"/>
            </w:tcBorders>
            <w:shd w:val="clear" w:color="auto" w:fill="FFFFFF"/>
            <w:tcMar>
              <w:top w:w="0" w:type="dxa"/>
              <w:left w:w="85" w:type="dxa"/>
              <w:bottom w:w="0" w:type="dxa"/>
              <w:right w:w="85" w:type="dxa"/>
            </w:tcMar>
          </w:tcPr>
          <w:p w14:paraId="3281A783"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0.3</w:t>
            </w:r>
          </w:p>
        </w:tc>
        <w:tc>
          <w:tcPr>
            <w:tcW w:w="961" w:type="dxa"/>
            <w:tcBorders>
              <w:top w:val="single" w:sz="4" w:space="0" w:color="365F91"/>
              <w:bottom w:val="single" w:sz="4" w:space="0" w:color="365F91"/>
              <w:right w:val="single" w:sz="4" w:space="0" w:color="FFFFFF"/>
            </w:tcBorders>
            <w:shd w:val="clear" w:color="auto" w:fill="FFFFFF"/>
            <w:tcMar>
              <w:top w:w="0" w:type="dxa"/>
              <w:left w:w="85" w:type="dxa"/>
              <w:bottom w:w="0" w:type="dxa"/>
              <w:right w:w="85" w:type="dxa"/>
            </w:tcMar>
          </w:tcPr>
          <w:p w14:paraId="33042156"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93.6</w:t>
            </w:r>
          </w:p>
        </w:tc>
      </w:tr>
      <w:tr w:rsidR="00A37132" w:rsidRPr="00BE78CA" w14:paraId="35108DA1" w14:textId="77777777" w:rsidTr="00834B58">
        <w:trPr>
          <w:cantSplit/>
        </w:trPr>
        <w:tc>
          <w:tcPr>
            <w:tcW w:w="846" w:type="dxa"/>
            <w:tcBorders>
              <w:top w:val="single" w:sz="4" w:space="0" w:color="365F91"/>
              <w:left w:val="single" w:sz="4" w:space="0" w:color="FFFFFF"/>
              <w:bottom w:val="single" w:sz="4" w:space="0" w:color="365F91"/>
            </w:tcBorders>
            <w:shd w:val="clear" w:color="auto" w:fill="FFFFFF"/>
            <w:tcMar>
              <w:top w:w="0" w:type="dxa"/>
              <w:left w:w="85" w:type="dxa"/>
              <w:bottom w:w="0" w:type="dxa"/>
              <w:right w:w="85" w:type="dxa"/>
            </w:tcMar>
          </w:tcPr>
          <w:p w14:paraId="7BD3CEAC" w14:textId="77777777" w:rsidR="00387C28" w:rsidRPr="00BE78CA" w:rsidRDefault="00387C28" w:rsidP="00A37132">
            <w:pPr>
              <w:pStyle w:val="TableText"/>
              <w:spacing w:before="50" w:after="50"/>
              <w:rPr>
                <w:rFonts w:cs="Calibri"/>
                <w:szCs w:val="16"/>
              </w:rPr>
            </w:pPr>
            <w:r w:rsidRPr="00BE78CA">
              <w:rPr>
                <w:rFonts w:eastAsia="Calibri" w:cs="Calibri"/>
                <w:szCs w:val="16"/>
              </w:rPr>
              <w:t>3.D.1.3</w:t>
            </w:r>
          </w:p>
        </w:tc>
        <w:tc>
          <w:tcPr>
            <w:tcW w:w="2197" w:type="dxa"/>
            <w:tcBorders>
              <w:top w:val="single" w:sz="4" w:space="0" w:color="365F91"/>
              <w:bottom w:val="single" w:sz="4" w:space="0" w:color="365F91"/>
            </w:tcBorders>
            <w:shd w:val="clear" w:color="auto" w:fill="FFFFFF"/>
            <w:tcMar>
              <w:top w:w="0" w:type="dxa"/>
              <w:left w:w="85" w:type="dxa"/>
              <w:bottom w:w="0" w:type="dxa"/>
              <w:right w:w="85" w:type="dxa"/>
            </w:tcMar>
          </w:tcPr>
          <w:p w14:paraId="07AC9DF7" w14:textId="77777777" w:rsidR="00387C28" w:rsidRPr="00BE78CA" w:rsidRDefault="00387C28" w:rsidP="00A37132">
            <w:pPr>
              <w:pStyle w:val="TableText"/>
              <w:spacing w:before="50" w:after="50"/>
              <w:rPr>
                <w:rFonts w:cs="Calibri"/>
                <w:szCs w:val="16"/>
              </w:rPr>
            </w:pPr>
            <w:r w:rsidRPr="00BE78CA">
              <w:rPr>
                <w:rFonts w:eastAsia="Calibri" w:cs="Calibri"/>
                <w:szCs w:val="16"/>
              </w:rPr>
              <w:t>Direct N</w:t>
            </w:r>
            <w:r w:rsidRPr="00BE78CA">
              <w:rPr>
                <w:rFonts w:eastAsia="Calibri" w:cs="Calibri"/>
                <w:szCs w:val="16"/>
                <w:vertAlign w:val="subscript"/>
              </w:rPr>
              <w:t>2</w:t>
            </w:r>
            <w:r w:rsidRPr="00BE78CA">
              <w:rPr>
                <w:rFonts w:eastAsia="Calibri" w:cs="Calibri"/>
                <w:szCs w:val="16"/>
              </w:rPr>
              <w:t>O Emissions from Managed Soils – Urine and Dung Deposited by Grazing Animals</w:t>
            </w:r>
          </w:p>
        </w:tc>
        <w:tc>
          <w:tcPr>
            <w:tcW w:w="492" w:type="dxa"/>
            <w:tcBorders>
              <w:top w:val="single" w:sz="4" w:space="0" w:color="365F91"/>
              <w:bottom w:val="single" w:sz="4" w:space="0" w:color="365F91"/>
            </w:tcBorders>
            <w:shd w:val="clear" w:color="auto" w:fill="FFFFFF"/>
            <w:tcMar>
              <w:top w:w="0" w:type="dxa"/>
              <w:left w:w="85" w:type="dxa"/>
              <w:bottom w:w="0" w:type="dxa"/>
              <w:right w:w="85" w:type="dxa"/>
            </w:tcMar>
          </w:tcPr>
          <w:p w14:paraId="0434BB6A" w14:textId="77777777" w:rsidR="00387C28" w:rsidRPr="00BE78CA" w:rsidRDefault="00387C28" w:rsidP="00A37132">
            <w:pPr>
              <w:pStyle w:val="TableText"/>
              <w:spacing w:before="50" w:after="50"/>
              <w:jc w:val="center"/>
              <w:rPr>
                <w:rFonts w:cs="Calibri"/>
                <w:szCs w:val="16"/>
              </w:rPr>
            </w:pPr>
            <w:r w:rsidRPr="00BE78CA">
              <w:rPr>
                <w:rFonts w:eastAsia="Calibri" w:cs="Calibri"/>
                <w:szCs w:val="16"/>
              </w:rPr>
              <w:t>N</w:t>
            </w:r>
            <w:r w:rsidRPr="00BE78CA">
              <w:rPr>
                <w:rFonts w:eastAsia="Calibri" w:cs="Calibri"/>
                <w:szCs w:val="16"/>
                <w:vertAlign w:val="subscript"/>
              </w:rPr>
              <w:t>2</w:t>
            </w:r>
            <w:r w:rsidRPr="00BE78CA">
              <w:rPr>
                <w:rFonts w:eastAsia="Calibri" w:cs="Calibri"/>
                <w:szCs w:val="16"/>
              </w:rPr>
              <w:t>O</w:t>
            </w:r>
          </w:p>
        </w:tc>
        <w:tc>
          <w:tcPr>
            <w:tcW w:w="991" w:type="dxa"/>
            <w:tcBorders>
              <w:top w:val="single" w:sz="4" w:space="0" w:color="365F91"/>
              <w:bottom w:val="single" w:sz="4" w:space="0" w:color="365F91"/>
            </w:tcBorders>
            <w:shd w:val="clear" w:color="auto" w:fill="FFFFFF"/>
            <w:tcMar>
              <w:top w:w="0" w:type="dxa"/>
              <w:left w:w="85" w:type="dxa"/>
              <w:bottom w:w="0" w:type="dxa"/>
              <w:right w:w="85" w:type="dxa"/>
            </w:tcMar>
          </w:tcPr>
          <w:p w14:paraId="76068B33"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3,068.6</w:t>
            </w:r>
          </w:p>
        </w:tc>
        <w:tc>
          <w:tcPr>
            <w:tcW w:w="991" w:type="dxa"/>
            <w:tcBorders>
              <w:top w:val="single" w:sz="4" w:space="0" w:color="365F91"/>
              <w:bottom w:val="single" w:sz="4" w:space="0" w:color="365F91"/>
            </w:tcBorders>
            <w:shd w:val="clear" w:color="auto" w:fill="FFFFFF"/>
            <w:tcMar>
              <w:top w:w="0" w:type="dxa"/>
              <w:left w:w="85" w:type="dxa"/>
              <w:bottom w:w="0" w:type="dxa"/>
              <w:right w:w="85" w:type="dxa"/>
            </w:tcMar>
          </w:tcPr>
          <w:p w14:paraId="74171E7B"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3,899.3</w:t>
            </w:r>
          </w:p>
        </w:tc>
        <w:tc>
          <w:tcPr>
            <w:tcW w:w="955" w:type="dxa"/>
            <w:tcBorders>
              <w:top w:val="single" w:sz="4" w:space="0" w:color="365F91"/>
              <w:bottom w:val="single" w:sz="4" w:space="0" w:color="365F91"/>
            </w:tcBorders>
            <w:shd w:val="clear" w:color="auto" w:fill="FFFFFF"/>
            <w:tcMar>
              <w:top w:w="0" w:type="dxa"/>
              <w:left w:w="85" w:type="dxa"/>
              <w:bottom w:w="0" w:type="dxa"/>
              <w:right w:w="85" w:type="dxa"/>
            </w:tcMar>
          </w:tcPr>
          <w:p w14:paraId="35F957BC"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0.002</w:t>
            </w:r>
          </w:p>
        </w:tc>
        <w:tc>
          <w:tcPr>
            <w:tcW w:w="1061" w:type="dxa"/>
            <w:tcBorders>
              <w:top w:val="single" w:sz="4" w:space="0" w:color="365F91"/>
              <w:bottom w:val="single" w:sz="4" w:space="0" w:color="365F91"/>
            </w:tcBorders>
            <w:shd w:val="clear" w:color="auto" w:fill="FFFFFF"/>
            <w:tcMar>
              <w:top w:w="0" w:type="dxa"/>
              <w:left w:w="85" w:type="dxa"/>
              <w:bottom w:w="0" w:type="dxa"/>
              <w:right w:w="85" w:type="dxa"/>
            </w:tcMar>
          </w:tcPr>
          <w:p w14:paraId="39A7954C"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0.2</w:t>
            </w:r>
          </w:p>
        </w:tc>
        <w:tc>
          <w:tcPr>
            <w:tcW w:w="961" w:type="dxa"/>
            <w:tcBorders>
              <w:top w:val="single" w:sz="4" w:space="0" w:color="365F91"/>
              <w:bottom w:val="single" w:sz="4" w:space="0" w:color="365F91"/>
              <w:right w:val="single" w:sz="4" w:space="0" w:color="FFFFFF"/>
            </w:tcBorders>
            <w:shd w:val="clear" w:color="auto" w:fill="FFFFFF"/>
            <w:tcMar>
              <w:top w:w="0" w:type="dxa"/>
              <w:left w:w="85" w:type="dxa"/>
              <w:bottom w:w="0" w:type="dxa"/>
              <w:right w:w="85" w:type="dxa"/>
            </w:tcMar>
          </w:tcPr>
          <w:p w14:paraId="6D1761D1"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93.8</w:t>
            </w:r>
          </w:p>
        </w:tc>
      </w:tr>
      <w:tr w:rsidR="00A37132" w:rsidRPr="00BE78CA" w14:paraId="0F8BBC15" w14:textId="77777777" w:rsidTr="00834B58">
        <w:trPr>
          <w:cantSplit/>
        </w:trPr>
        <w:tc>
          <w:tcPr>
            <w:tcW w:w="846" w:type="dxa"/>
            <w:tcBorders>
              <w:top w:val="single" w:sz="4" w:space="0" w:color="365F91"/>
              <w:left w:val="single" w:sz="4" w:space="0" w:color="FFFFFF"/>
              <w:bottom w:val="single" w:sz="4" w:space="0" w:color="365F91"/>
            </w:tcBorders>
            <w:shd w:val="clear" w:color="auto" w:fill="FFFFFF"/>
            <w:tcMar>
              <w:top w:w="0" w:type="dxa"/>
              <w:left w:w="85" w:type="dxa"/>
              <w:bottom w:w="0" w:type="dxa"/>
              <w:right w:w="85" w:type="dxa"/>
            </w:tcMar>
          </w:tcPr>
          <w:p w14:paraId="57163952" w14:textId="77777777" w:rsidR="00387C28" w:rsidRPr="00BE78CA" w:rsidRDefault="00387C28" w:rsidP="00A37132">
            <w:pPr>
              <w:pStyle w:val="TableText"/>
              <w:spacing w:before="50" w:after="50"/>
              <w:rPr>
                <w:rFonts w:cs="Calibri"/>
                <w:szCs w:val="16"/>
              </w:rPr>
            </w:pPr>
            <w:r w:rsidRPr="00BE78CA">
              <w:rPr>
                <w:rFonts w:eastAsia="Calibri" w:cs="Calibri"/>
                <w:szCs w:val="16"/>
              </w:rPr>
              <w:t>2.A.1</w:t>
            </w:r>
          </w:p>
        </w:tc>
        <w:tc>
          <w:tcPr>
            <w:tcW w:w="2197" w:type="dxa"/>
            <w:tcBorders>
              <w:top w:val="single" w:sz="4" w:space="0" w:color="365F91"/>
              <w:bottom w:val="single" w:sz="4" w:space="0" w:color="365F91"/>
            </w:tcBorders>
            <w:shd w:val="clear" w:color="auto" w:fill="FFFFFF"/>
            <w:tcMar>
              <w:top w:w="0" w:type="dxa"/>
              <w:left w:w="85" w:type="dxa"/>
              <w:bottom w:w="0" w:type="dxa"/>
              <w:right w:w="85" w:type="dxa"/>
            </w:tcMar>
          </w:tcPr>
          <w:p w14:paraId="0AA1E4D8" w14:textId="77777777" w:rsidR="00387C28" w:rsidRPr="00BE78CA" w:rsidRDefault="00387C28" w:rsidP="00A37132">
            <w:pPr>
              <w:pStyle w:val="TableText"/>
              <w:spacing w:before="50" w:after="50"/>
              <w:rPr>
                <w:rFonts w:cs="Calibri"/>
                <w:szCs w:val="16"/>
              </w:rPr>
            </w:pPr>
            <w:r w:rsidRPr="00BE78CA">
              <w:rPr>
                <w:rFonts w:eastAsia="Calibri" w:cs="Calibri"/>
                <w:szCs w:val="16"/>
              </w:rPr>
              <w:t>Mineral Industry – Cement Production</w:t>
            </w:r>
          </w:p>
        </w:tc>
        <w:tc>
          <w:tcPr>
            <w:tcW w:w="492" w:type="dxa"/>
            <w:tcBorders>
              <w:top w:val="single" w:sz="4" w:space="0" w:color="365F91"/>
              <w:bottom w:val="single" w:sz="4" w:space="0" w:color="365F91"/>
            </w:tcBorders>
            <w:shd w:val="clear" w:color="auto" w:fill="FFFFFF"/>
            <w:tcMar>
              <w:top w:w="0" w:type="dxa"/>
              <w:left w:w="85" w:type="dxa"/>
              <w:bottom w:w="0" w:type="dxa"/>
              <w:right w:w="85" w:type="dxa"/>
            </w:tcMar>
          </w:tcPr>
          <w:p w14:paraId="7FD4F514" w14:textId="77777777" w:rsidR="00387C28" w:rsidRPr="00BE78CA" w:rsidRDefault="00387C28" w:rsidP="00A37132">
            <w:pPr>
              <w:pStyle w:val="TableText"/>
              <w:spacing w:before="50" w:after="50"/>
              <w:jc w:val="center"/>
              <w:rPr>
                <w:rFonts w:cs="Calibri"/>
                <w:szCs w:val="16"/>
              </w:rPr>
            </w:pPr>
            <w:r w:rsidRPr="00BE78CA">
              <w:rPr>
                <w:rFonts w:eastAsia="Calibri" w:cs="Calibri"/>
                <w:szCs w:val="16"/>
              </w:rPr>
              <w:t>CO</w:t>
            </w:r>
            <w:r w:rsidRPr="00BE78CA">
              <w:rPr>
                <w:rFonts w:eastAsia="Calibri" w:cs="Calibri"/>
                <w:szCs w:val="16"/>
                <w:vertAlign w:val="subscript"/>
              </w:rPr>
              <w:t>2</w:t>
            </w:r>
          </w:p>
        </w:tc>
        <w:tc>
          <w:tcPr>
            <w:tcW w:w="991" w:type="dxa"/>
            <w:tcBorders>
              <w:top w:val="single" w:sz="4" w:space="0" w:color="365F91"/>
              <w:bottom w:val="single" w:sz="4" w:space="0" w:color="365F91"/>
            </w:tcBorders>
            <w:shd w:val="clear" w:color="auto" w:fill="FFFFFF"/>
            <w:tcMar>
              <w:top w:w="0" w:type="dxa"/>
              <w:left w:w="85" w:type="dxa"/>
              <w:bottom w:w="0" w:type="dxa"/>
              <w:right w:w="85" w:type="dxa"/>
            </w:tcMar>
          </w:tcPr>
          <w:p w14:paraId="27CAEC77"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448.7</w:t>
            </w:r>
          </w:p>
        </w:tc>
        <w:tc>
          <w:tcPr>
            <w:tcW w:w="991" w:type="dxa"/>
            <w:tcBorders>
              <w:top w:val="single" w:sz="4" w:space="0" w:color="365F91"/>
              <w:bottom w:val="single" w:sz="4" w:space="0" w:color="365F91"/>
            </w:tcBorders>
            <w:shd w:val="clear" w:color="auto" w:fill="FFFFFF"/>
            <w:tcMar>
              <w:top w:w="0" w:type="dxa"/>
              <w:left w:w="85" w:type="dxa"/>
              <w:bottom w:w="0" w:type="dxa"/>
              <w:right w:w="85" w:type="dxa"/>
            </w:tcMar>
          </w:tcPr>
          <w:p w14:paraId="2EDE4FCC"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410.9</w:t>
            </w:r>
          </w:p>
        </w:tc>
        <w:tc>
          <w:tcPr>
            <w:tcW w:w="955" w:type="dxa"/>
            <w:tcBorders>
              <w:top w:val="single" w:sz="4" w:space="0" w:color="365F91"/>
              <w:bottom w:val="single" w:sz="4" w:space="0" w:color="365F91"/>
            </w:tcBorders>
            <w:shd w:val="clear" w:color="auto" w:fill="FFFFFF"/>
            <w:tcMar>
              <w:top w:w="0" w:type="dxa"/>
              <w:left w:w="85" w:type="dxa"/>
              <w:bottom w:w="0" w:type="dxa"/>
              <w:right w:w="85" w:type="dxa"/>
            </w:tcMar>
          </w:tcPr>
          <w:p w14:paraId="21A8124A"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0.002</w:t>
            </w:r>
          </w:p>
        </w:tc>
        <w:tc>
          <w:tcPr>
            <w:tcW w:w="1061" w:type="dxa"/>
            <w:tcBorders>
              <w:top w:val="single" w:sz="4" w:space="0" w:color="365F91"/>
              <w:bottom w:val="single" w:sz="4" w:space="0" w:color="365F91"/>
            </w:tcBorders>
            <w:shd w:val="clear" w:color="auto" w:fill="FFFFFF"/>
            <w:tcMar>
              <w:top w:w="0" w:type="dxa"/>
              <w:left w:w="85" w:type="dxa"/>
              <w:bottom w:w="0" w:type="dxa"/>
              <w:right w:w="85" w:type="dxa"/>
            </w:tcMar>
          </w:tcPr>
          <w:p w14:paraId="47D257CE"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0.2</w:t>
            </w:r>
          </w:p>
        </w:tc>
        <w:tc>
          <w:tcPr>
            <w:tcW w:w="961" w:type="dxa"/>
            <w:tcBorders>
              <w:top w:val="single" w:sz="4" w:space="0" w:color="365F91"/>
              <w:bottom w:val="single" w:sz="4" w:space="0" w:color="365F91"/>
              <w:right w:val="single" w:sz="4" w:space="0" w:color="FFFFFF"/>
            </w:tcBorders>
            <w:shd w:val="clear" w:color="auto" w:fill="FFFFFF"/>
            <w:tcMar>
              <w:top w:w="0" w:type="dxa"/>
              <w:left w:w="85" w:type="dxa"/>
              <w:bottom w:w="0" w:type="dxa"/>
              <w:right w:w="85" w:type="dxa"/>
            </w:tcMar>
          </w:tcPr>
          <w:p w14:paraId="6B7F5924"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94.1</w:t>
            </w:r>
          </w:p>
        </w:tc>
      </w:tr>
      <w:tr w:rsidR="00A37132" w:rsidRPr="00BE78CA" w14:paraId="11C0898F" w14:textId="77777777" w:rsidTr="00834B58">
        <w:trPr>
          <w:cantSplit/>
        </w:trPr>
        <w:tc>
          <w:tcPr>
            <w:tcW w:w="846" w:type="dxa"/>
            <w:tcBorders>
              <w:top w:val="single" w:sz="4" w:space="0" w:color="365F91"/>
              <w:left w:val="single" w:sz="4" w:space="0" w:color="FFFFFF"/>
              <w:bottom w:val="single" w:sz="4" w:space="0" w:color="365F91"/>
            </w:tcBorders>
            <w:shd w:val="clear" w:color="auto" w:fill="FFFFFF"/>
            <w:tcMar>
              <w:top w:w="0" w:type="dxa"/>
              <w:left w:w="85" w:type="dxa"/>
              <w:bottom w:w="0" w:type="dxa"/>
              <w:right w:w="85" w:type="dxa"/>
            </w:tcMar>
          </w:tcPr>
          <w:p w14:paraId="7EBB2ACC" w14:textId="77777777" w:rsidR="00387C28" w:rsidRPr="00BE78CA" w:rsidRDefault="00387C28" w:rsidP="00A37132">
            <w:pPr>
              <w:pStyle w:val="TableText"/>
              <w:spacing w:before="50" w:after="50"/>
              <w:rPr>
                <w:rFonts w:cs="Calibri"/>
                <w:szCs w:val="16"/>
              </w:rPr>
            </w:pPr>
            <w:r w:rsidRPr="00BE78CA">
              <w:rPr>
                <w:rFonts w:eastAsia="Calibri" w:cs="Calibri"/>
                <w:szCs w:val="16"/>
              </w:rPr>
              <w:t>1.A.3.b</w:t>
            </w:r>
          </w:p>
        </w:tc>
        <w:tc>
          <w:tcPr>
            <w:tcW w:w="2197" w:type="dxa"/>
            <w:tcBorders>
              <w:top w:val="single" w:sz="4" w:space="0" w:color="365F91"/>
              <w:bottom w:val="single" w:sz="4" w:space="0" w:color="365F91"/>
            </w:tcBorders>
            <w:shd w:val="clear" w:color="auto" w:fill="FFFFFF"/>
            <w:tcMar>
              <w:top w:w="0" w:type="dxa"/>
              <w:left w:w="85" w:type="dxa"/>
              <w:bottom w:w="0" w:type="dxa"/>
              <w:right w:w="85" w:type="dxa"/>
            </w:tcMar>
          </w:tcPr>
          <w:p w14:paraId="6D65C4A6" w14:textId="77777777" w:rsidR="00387C28" w:rsidRPr="00BE78CA" w:rsidRDefault="00387C28" w:rsidP="00A37132">
            <w:pPr>
              <w:pStyle w:val="TableText"/>
              <w:spacing w:before="50" w:after="50"/>
              <w:rPr>
                <w:rFonts w:cs="Calibri"/>
                <w:szCs w:val="16"/>
              </w:rPr>
            </w:pPr>
            <w:r w:rsidRPr="00BE78CA">
              <w:rPr>
                <w:rFonts w:eastAsia="Calibri" w:cs="Calibri"/>
                <w:szCs w:val="16"/>
              </w:rPr>
              <w:t>Transport – Road Transportation</w:t>
            </w:r>
          </w:p>
        </w:tc>
        <w:tc>
          <w:tcPr>
            <w:tcW w:w="492" w:type="dxa"/>
            <w:tcBorders>
              <w:top w:val="single" w:sz="4" w:space="0" w:color="365F91"/>
              <w:bottom w:val="single" w:sz="4" w:space="0" w:color="365F91"/>
            </w:tcBorders>
            <w:shd w:val="clear" w:color="auto" w:fill="FFFFFF"/>
            <w:tcMar>
              <w:top w:w="0" w:type="dxa"/>
              <w:left w:w="85" w:type="dxa"/>
              <w:bottom w:w="0" w:type="dxa"/>
              <w:right w:w="85" w:type="dxa"/>
            </w:tcMar>
          </w:tcPr>
          <w:p w14:paraId="74360DE9" w14:textId="77777777" w:rsidR="00387C28" w:rsidRPr="00BE78CA" w:rsidRDefault="00387C28" w:rsidP="00A37132">
            <w:pPr>
              <w:pStyle w:val="TableText"/>
              <w:spacing w:before="50" w:after="50"/>
              <w:jc w:val="center"/>
              <w:rPr>
                <w:rFonts w:cs="Calibri"/>
                <w:szCs w:val="16"/>
              </w:rPr>
            </w:pPr>
            <w:r w:rsidRPr="00BE78CA">
              <w:rPr>
                <w:rFonts w:eastAsia="Calibri" w:cs="Calibri"/>
                <w:szCs w:val="16"/>
              </w:rPr>
              <w:t>CO</w:t>
            </w:r>
            <w:r w:rsidRPr="00BE78CA">
              <w:rPr>
                <w:rFonts w:eastAsia="Calibri" w:cs="Calibri"/>
                <w:szCs w:val="16"/>
                <w:vertAlign w:val="subscript"/>
              </w:rPr>
              <w:t>2</w:t>
            </w:r>
          </w:p>
        </w:tc>
        <w:tc>
          <w:tcPr>
            <w:tcW w:w="991" w:type="dxa"/>
            <w:tcBorders>
              <w:top w:val="single" w:sz="4" w:space="0" w:color="365F91"/>
              <w:bottom w:val="single" w:sz="4" w:space="0" w:color="365F91"/>
            </w:tcBorders>
            <w:shd w:val="clear" w:color="auto" w:fill="FFFFFF"/>
            <w:tcMar>
              <w:top w:w="0" w:type="dxa"/>
              <w:left w:w="85" w:type="dxa"/>
              <w:bottom w:w="0" w:type="dxa"/>
              <w:right w:w="85" w:type="dxa"/>
            </w:tcMar>
          </w:tcPr>
          <w:p w14:paraId="58C09C5A"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140.8</w:t>
            </w:r>
          </w:p>
        </w:tc>
        <w:tc>
          <w:tcPr>
            <w:tcW w:w="991" w:type="dxa"/>
            <w:tcBorders>
              <w:top w:val="single" w:sz="4" w:space="0" w:color="365F91"/>
              <w:bottom w:val="single" w:sz="4" w:space="0" w:color="365F91"/>
            </w:tcBorders>
            <w:shd w:val="clear" w:color="auto" w:fill="FFFFFF"/>
            <w:tcMar>
              <w:top w:w="0" w:type="dxa"/>
              <w:left w:w="85" w:type="dxa"/>
              <w:bottom w:w="0" w:type="dxa"/>
              <w:right w:w="85" w:type="dxa"/>
            </w:tcMar>
          </w:tcPr>
          <w:p w14:paraId="703B1A82"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0.0</w:t>
            </w:r>
          </w:p>
        </w:tc>
        <w:tc>
          <w:tcPr>
            <w:tcW w:w="955" w:type="dxa"/>
            <w:tcBorders>
              <w:top w:val="single" w:sz="4" w:space="0" w:color="365F91"/>
              <w:bottom w:val="single" w:sz="4" w:space="0" w:color="365F91"/>
            </w:tcBorders>
            <w:shd w:val="clear" w:color="auto" w:fill="FFFFFF"/>
            <w:tcMar>
              <w:top w:w="0" w:type="dxa"/>
              <w:left w:w="85" w:type="dxa"/>
              <w:bottom w:w="0" w:type="dxa"/>
              <w:right w:w="85" w:type="dxa"/>
            </w:tcMar>
          </w:tcPr>
          <w:p w14:paraId="2674EA0F"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0.002</w:t>
            </w:r>
          </w:p>
        </w:tc>
        <w:tc>
          <w:tcPr>
            <w:tcW w:w="1061" w:type="dxa"/>
            <w:tcBorders>
              <w:top w:val="single" w:sz="4" w:space="0" w:color="365F91"/>
              <w:bottom w:val="single" w:sz="4" w:space="0" w:color="365F91"/>
            </w:tcBorders>
            <w:shd w:val="clear" w:color="auto" w:fill="FFFFFF"/>
            <w:tcMar>
              <w:top w:w="0" w:type="dxa"/>
              <w:left w:w="85" w:type="dxa"/>
              <w:bottom w:w="0" w:type="dxa"/>
              <w:right w:w="85" w:type="dxa"/>
            </w:tcMar>
          </w:tcPr>
          <w:p w14:paraId="6E440C9A"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0.2</w:t>
            </w:r>
          </w:p>
        </w:tc>
        <w:tc>
          <w:tcPr>
            <w:tcW w:w="961" w:type="dxa"/>
            <w:tcBorders>
              <w:top w:val="single" w:sz="4" w:space="0" w:color="365F91"/>
              <w:bottom w:val="single" w:sz="4" w:space="0" w:color="365F91"/>
              <w:right w:val="single" w:sz="4" w:space="0" w:color="FFFFFF"/>
            </w:tcBorders>
            <w:shd w:val="clear" w:color="auto" w:fill="FFFFFF"/>
            <w:tcMar>
              <w:top w:w="0" w:type="dxa"/>
              <w:left w:w="85" w:type="dxa"/>
              <w:bottom w:w="0" w:type="dxa"/>
              <w:right w:w="85" w:type="dxa"/>
            </w:tcMar>
          </w:tcPr>
          <w:p w14:paraId="43A450E7"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94.3</w:t>
            </w:r>
          </w:p>
        </w:tc>
      </w:tr>
      <w:tr w:rsidR="00A37132" w:rsidRPr="00BE78CA" w14:paraId="62A251FA" w14:textId="77777777" w:rsidTr="00834B58">
        <w:trPr>
          <w:cantSplit/>
        </w:trPr>
        <w:tc>
          <w:tcPr>
            <w:tcW w:w="846" w:type="dxa"/>
            <w:tcBorders>
              <w:top w:val="single" w:sz="4" w:space="0" w:color="365F91"/>
              <w:left w:val="single" w:sz="4" w:space="0" w:color="FFFFFF"/>
              <w:bottom w:val="single" w:sz="4" w:space="0" w:color="365F91"/>
            </w:tcBorders>
            <w:shd w:val="clear" w:color="auto" w:fill="FFFFFF"/>
            <w:tcMar>
              <w:top w:w="0" w:type="dxa"/>
              <w:left w:w="85" w:type="dxa"/>
              <w:bottom w:w="0" w:type="dxa"/>
              <w:right w:w="85" w:type="dxa"/>
            </w:tcMar>
          </w:tcPr>
          <w:p w14:paraId="2269EC0C" w14:textId="77777777" w:rsidR="00387C28" w:rsidRPr="00BE78CA" w:rsidRDefault="00387C28" w:rsidP="00A37132">
            <w:pPr>
              <w:pStyle w:val="TableText"/>
              <w:spacing w:before="50" w:after="50"/>
              <w:rPr>
                <w:rFonts w:cs="Calibri"/>
                <w:szCs w:val="16"/>
              </w:rPr>
            </w:pPr>
            <w:r w:rsidRPr="00BE78CA">
              <w:rPr>
                <w:rFonts w:eastAsia="Calibri" w:cs="Calibri"/>
                <w:szCs w:val="16"/>
              </w:rPr>
              <w:t>1.B.2.b.5</w:t>
            </w:r>
          </w:p>
        </w:tc>
        <w:tc>
          <w:tcPr>
            <w:tcW w:w="2197" w:type="dxa"/>
            <w:tcBorders>
              <w:top w:val="single" w:sz="4" w:space="0" w:color="365F91"/>
              <w:bottom w:val="single" w:sz="4" w:space="0" w:color="365F91"/>
            </w:tcBorders>
            <w:shd w:val="clear" w:color="auto" w:fill="FFFFFF"/>
            <w:tcMar>
              <w:top w:w="0" w:type="dxa"/>
              <w:left w:w="85" w:type="dxa"/>
              <w:bottom w:w="0" w:type="dxa"/>
              <w:right w:w="85" w:type="dxa"/>
            </w:tcMar>
          </w:tcPr>
          <w:p w14:paraId="54914B92" w14:textId="77777777" w:rsidR="00387C28" w:rsidRPr="00BE78CA" w:rsidRDefault="00387C28" w:rsidP="00A37132">
            <w:pPr>
              <w:pStyle w:val="TableText"/>
              <w:spacing w:before="50" w:after="50"/>
              <w:rPr>
                <w:rFonts w:cs="Calibri"/>
                <w:szCs w:val="16"/>
              </w:rPr>
            </w:pPr>
            <w:r w:rsidRPr="00BE78CA">
              <w:rPr>
                <w:rFonts w:eastAsia="Calibri" w:cs="Calibri"/>
                <w:szCs w:val="16"/>
              </w:rPr>
              <w:t>Natural Gas – Distribution</w:t>
            </w:r>
          </w:p>
        </w:tc>
        <w:tc>
          <w:tcPr>
            <w:tcW w:w="492" w:type="dxa"/>
            <w:tcBorders>
              <w:top w:val="single" w:sz="4" w:space="0" w:color="365F91"/>
              <w:bottom w:val="single" w:sz="4" w:space="0" w:color="365F91"/>
            </w:tcBorders>
            <w:shd w:val="clear" w:color="auto" w:fill="FFFFFF"/>
            <w:tcMar>
              <w:top w:w="0" w:type="dxa"/>
              <w:left w:w="85" w:type="dxa"/>
              <w:bottom w:w="0" w:type="dxa"/>
              <w:right w:w="85" w:type="dxa"/>
            </w:tcMar>
          </w:tcPr>
          <w:p w14:paraId="650CF741" w14:textId="77777777" w:rsidR="00387C28" w:rsidRPr="00BE78CA" w:rsidRDefault="00387C28" w:rsidP="00A37132">
            <w:pPr>
              <w:pStyle w:val="TableText"/>
              <w:spacing w:before="50" w:after="50"/>
              <w:jc w:val="center"/>
              <w:rPr>
                <w:rFonts w:cs="Calibri"/>
                <w:szCs w:val="16"/>
              </w:rPr>
            </w:pPr>
            <w:r w:rsidRPr="00BE78CA">
              <w:rPr>
                <w:rFonts w:eastAsia="Calibri" w:cs="Calibri"/>
                <w:szCs w:val="16"/>
              </w:rPr>
              <w:t>CH</w:t>
            </w:r>
            <w:r w:rsidRPr="00BE78CA">
              <w:rPr>
                <w:rFonts w:eastAsia="Calibri" w:cs="Calibri"/>
                <w:szCs w:val="16"/>
                <w:vertAlign w:val="subscript"/>
              </w:rPr>
              <w:t>4</w:t>
            </w:r>
          </w:p>
        </w:tc>
        <w:tc>
          <w:tcPr>
            <w:tcW w:w="991" w:type="dxa"/>
            <w:tcBorders>
              <w:top w:val="single" w:sz="4" w:space="0" w:color="365F91"/>
              <w:bottom w:val="single" w:sz="4" w:space="0" w:color="365F91"/>
            </w:tcBorders>
            <w:shd w:val="clear" w:color="auto" w:fill="FFFFFF"/>
            <w:tcMar>
              <w:top w:w="0" w:type="dxa"/>
              <w:left w:w="85" w:type="dxa"/>
              <w:bottom w:w="0" w:type="dxa"/>
              <w:right w:w="85" w:type="dxa"/>
            </w:tcMar>
          </w:tcPr>
          <w:p w14:paraId="3D7662F0"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277.5</w:t>
            </w:r>
          </w:p>
        </w:tc>
        <w:tc>
          <w:tcPr>
            <w:tcW w:w="991" w:type="dxa"/>
            <w:tcBorders>
              <w:top w:val="single" w:sz="4" w:space="0" w:color="365F91"/>
              <w:bottom w:val="single" w:sz="4" w:space="0" w:color="365F91"/>
            </w:tcBorders>
            <w:shd w:val="clear" w:color="auto" w:fill="FFFFFF"/>
            <w:tcMar>
              <w:top w:w="0" w:type="dxa"/>
              <w:left w:w="85" w:type="dxa"/>
              <w:bottom w:w="0" w:type="dxa"/>
              <w:right w:w="85" w:type="dxa"/>
            </w:tcMar>
          </w:tcPr>
          <w:p w14:paraId="01BE615D"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210.9</w:t>
            </w:r>
          </w:p>
        </w:tc>
        <w:tc>
          <w:tcPr>
            <w:tcW w:w="955" w:type="dxa"/>
            <w:tcBorders>
              <w:top w:val="single" w:sz="4" w:space="0" w:color="365F91"/>
              <w:bottom w:val="single" w:sz="4" w:space="0" w:color="365F91"/>
            </w:tcBorders>
            <w:shd w:val="clear" w:color="auto" w:fill="FFFFFF"/>
            <w:tcMar>
              <w:top w:w="0" w:type="dxa"/>
              <w:left w:w="85" w:type="dxa"/>
              <w:bottom w:w="0" w:type="dxa"/>
              <w:right w:w="85" w:type="dxa"/>
            </w:tcMar>
          </w:tcPr>
          <w:p w14:paraId="7FA9EDE5"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0.002</w:t>
            </w:r>
          </w:p>
        </w:tc>
        <w:tc>
          <w:tcPr>
            <w:tcW w:w="1061" w:type="dxa"/>
            <w:tcBorders>
              <w:top w:val="single" w:sz="4" w:space="0" w:color="365F91"/>
              <w:bottom w:val="single" w:sz="4" w:space="0" w:color="365F91"/>
            </w:tcBorders>
            <w:shd w:val="clear" w:color="auto" w:fill="FFFFFF"/>
            <w:tcMar>
              <w:top w:w="0" w:type="dxa"/>
              <w:left w:w="85" w:type="dxa"/>
              <w:bottom w:w="0" w:type="dxa"/>
              <w:right w:w="85" w:type="dxa"/>
            </w:tcMar>
          </w:tcPr>
          <w:p w14:paraId="3518647A"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0.2</w:t>
            </w:r>
          </w:p>
        </w:tc>
        <w:tc>
          <w:tcPr>
            <w:tcW w:w="961" w:type="dxa"/>
            <w:tcBorders>
              <w:top w:val="single" w:sz="4" w:space="0" w:color="365F91"/>
              <w:bottom w:val="single" w:sz="4" w:space="0" w:color="365F91"/>
              <w:right w:val="single" w:sz="4" w:space="0" w:color="FFFFFF"/>
            </w:tcBorders>
            <w:shd w:val="clear" w:color="auto" w:fill="FFFFFF"/>
            <w:tcMar>
              <w:top w:w="0" w:type="dxa"/>
              <w:left w:w="85" w:type="dxa"/>
              <w:bottom w:w="0" w:type="dxa"/>
              <w:right w:w="85" w:type="dxa"/>
            </w:tcMar>
          </w:tcPr>
          <w:p w14:paraId="03D377A9"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94.5</w:t>
            </w:r>
          </w:p>
        </w:tc>
      </w:tr>
      <w:tr w:rsidR="00A37132" w:rsidRPr="00BE78CA" w14:paraId="2EE580A6" w14:textId="77777777" w:rsidTr="00834B58">
        <w:trPr>
          <w:cantSplit/>
        </w:trPr>
        <w:tc>
          <w:tcPr>
            <w:tcW w:w="846" w:type="dxa"/>
            <w:tcBorders>
              <w:top w:val="single" w:sz="4" w:space="0" w:color="365F91"/>
              <w:left w:val="single" w:sz="4" w:space="0" w:color="FFFFFF"/>
              <w:bottom w:val="single" w:sz="4" w:space="0" w:color="365F91"/>
            </w:tcBorders>
            <w:shd w:val="clear" w:color="auto" w:fill="FFFFFF"/>
            <w:tcMar>
              <w:top w:w="0" w:type="dxa"/>
              <w:left w:w="85" w:type="dxa"/>
              <w:bottom w:w="0" w:type="dxa"/>
              <w:right w:w="85" w:type="dxa"/>
            </w:tcMar>
          </w:tcPr>
          <w:p w14:paraId="082FDDE2" w14:textId="77777777" w:rsidR="00387C28" w:rsidRPr="00BE78CA" w:rsidRDefault="00387C28" w:rsidP="00A37132">
            <w:pPr>
              <w:pStyle w:val="TableText"/>
              <w:spacing w:before="50" w:after="50"/>
              <w:rPr>
                <w:rFonts w:cs="Calibri"/>
                <w:szCs w:val="16"/>
              </w:rPr>
            </w:pPr>
            <w:r w:rsidRPr="00BE78CA">
              <w:rPr>
                <w:rFonts w:eastAsia="Calibri" w:cs="Calibri"/>
                <w:szCs w:val="16"/>
              </w:rPr>
              <w:t>1.A.4.c</w:t>
            </w:r>
          </w:p>
        </w:tc>
        <w:tc>
          <w:tcPr>
            <w:tcW w:w="2197" w:type="dxa"/>
            <w:tcBorders>
              <w:top w:val="single" w:sz="4" w:space="0" w:color="365F91"/>
              <w:bottom w:val="single" w:sz="4" w:space="0" w:color="365F91"/>
            </w:tcBorders>
            <w:shd w:val="clear" w:color="auto" w:fill="FFFFFF"/>
            <w:tcMar>
              <w:top w:w="0" w:type="dxa"/>
              <w:left w:w="85" w:type="dxa"/>
              <w:bottom w:w="0" w:type="dxa"/>
              <w:right w:w="85" w:type="dxa"/>
            </w:tcMar>
          </w:tcPr>
          <w:p w14:paraId="2F5FD675" w14:textId="3D16D973" w:rsidR="00387C28" w:rsidRPr="00BE78CA" w:rsidRDefault="00387C28" w:rsidP="00A37132">
            <w:pPr>
              <w:pStyle w:val="TableText"/>
              <w:spacing w:before="50" w:after="50"/>
              <w:rPr>
                <w:rFonts w:cs="Calibri"/>
                <w:szCs w:val="16"/>
              </w:rPr>
            </w:pPr>
            <w:r w:rsidRPr="00BE78CA">
              <w:rPr>
                <w:rFonts w:eastAsia="Calibri" w:cs="Calibri"/>
                <w:szCs w:val="16"/>
              </w:rPr>
              <w:t>Other Sectors – Agriculture/</w:t>
            </w:r>
            <w:r w:rsidR="00834B58" w:rsidRPr="00BE78CA">
              <w:rPr>
                <w:rFonts w:eastAsia="Calibri" w:cs="Calibri"/>
                <w:szCs w:val="16"/>
              </w:rPr>
              <w:t xml:space="preserve"> </w:t>
            </w:r>
            <w:r w:rsidRPr="00BE78CA">
              <w:rPr>
                <w:rFonts w:eastAsia="Calibri" w:cs="Calibri"/>
                <w:szCs w:val="16"/>
              </w:rPr>
              <w:t>Forestry/Fishing</w:t>
            </w:r>
          </w:p>
        </w:tc>
        <w:tc>
          <w:tcPr>
            <w:tcW w:w="492" w:type="dxa"/>
            <w:tcBorders>
              <w:top w:val="single" w:sz="4" w:space="0" w:color="365F91"/>
              <w:bottom w:val="single" w:sz="4" w:space="0" w:color="365F91"/>
            </w:tcBorders>
            <w:shd w:val="clear" w:color="auto" w:fill="FFFFFF"/>
            <w:tcMar>
              <w:top w:w="0" w:type="dxa"/>
              <w:left w:w="85" w:type="dxa"/>
              <w:bottom w:w="0" w:type="dxa"/>
              <w:right w:w="85" w:type="dxa"/>
            </w:tcMar>
          </w:tcPr>
          <w:p w14:paraId="0AB3188E" w14:textId="77777777" w:rsidR="00387C28" w:rsidRPr="00BE78CA" w:rsidRDefault="00387C28" w:rsidP="00A37132">
            <w:pPr>
              <w:pStyle w:val="TableText"/>
              <w:spacing w:before="50" w:after="50"/>
              <w:jc w:val="center"/>
              <w:rPr>
                <w:rFonts w:cs="Calibri"/>
                <w:szCs w:val="16"/>
              </w:rPr>
            </w:pPr>
            <w:r w:rsidRPr="00BE78CA">
              <w:rPr>
                <w:rFonts w:eastAsia="Calibri" w:cs="Calibri"/>
                <w:szCs w:val="16"/>
              </w:rPr>
              <w:t>CO</w:t>
            </w:r>
            <w:r w:rsidRPr="00BE78CA">
              <w:rPr>
                <w:rFonts w:eastAsia="Calibri" w:cs="Calibri"/>
                <w:szCs w:val="16"/>
                <w:vertAlign w:val="subscript"/>
              </w:rPr>
              <w:t>2</w:t>
            </w:r>
          </w:p>
        </w:tc>
        <w:tc>
          <w:tcPr>
            <w:tcW w:w="991" w:type="dxa"/>
            <w:tcBorders>
              <w:top w:val="single" w:sz="4" w:space="0" w:color="365F91"/>
              <w:bottom w:val="single" w:sz="4" w:space="0" w:color="365F91"/>
            </w:tcBorders>
            <w:shd w:val="clear" w:color="auto" w:fill="FFFFFF"/>
            <w:tcMar>
              <w:top w:w="0" w:type="dxa"/>
              <w:left w:w="85" w:type="dxa"/>
              <w:bottom w:w="0" w:type="dxa"/>
              <w:right w:w="85" w:type="dxa"/>
            </w:tcMar>
          </w:tcPr>
          <w:p w14:paraId="13C1AF18"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35.1</w:t>
            </w:r>
          </w:p>
        </w:tc>
        <w:tc>
          <w:tcPr>
            <w:tcW w:w="991" w:type="dxa"/>
            <w:tcBorders>
              <w:top w:val="single" w:sz="4" w:space="0" w:color="365F91"/>
              <w:bottom w:val="single" w:sz="4" w:space="0" w:color="365F91"/>
            </w:tcBorders>
            <w:shd w:val="clear" w:color="auto" w:fill="FFFFFF"/>
            <w:tcMar>
              <w:top w:w="0" w:type="dxa"/>
              <w:left w:w="85" w:type="dxa"/>
              <w:bottom w:w="0" w:type="dxa"/>
              <w:right w:w="85" w:type="dxa"/>
            </w:tcMar>
          </w:tcPr>
          <w:p w14:paraId="0866E558"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202.8</w:t>
            </w:r>
          </w:p>
        </w:tc>
        <w:tc>
          <w:tcPr>
            <w:tcW w:w="955" w:type="dxa"/>
            <w:tcBorders>
              <w:top w:val="single" w:sz="4" w:space="0" w:color="365F91"/>
              <w:bottom w:val="single" w:sz="4" w:space="0" w:color="365F91"/>
            </w:tcBorders>
            <w:shd w:val="clear" w:color="auto" w:fill="FFFFFF"/>
            <w:tcMar>
              <w:top w:w="0" w:type="dxa"/>
              <w:left w:w="85" w:type="dxa"/>
              <w:bottom w:w="0" w:type="dxa"/>
              <w:right w:w="85" w:type="dxa"/>
            </w:tcMar>
          </w:tcPr>
          <w:p w14:paraId="6E79083B"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0.002</w:t>
            </w:r>
          </w:p>
        </w:tc>
        <w:tc>
          <w:tcPr>
            <w:tcW w:w="1061" w:type="dxa"/>
            <w:tcBorders>
              <w:top w:val="single" w:sz="4" w:space="0" w:color="365F91"/>
              <w:bottom w:val="single" w:sz="4" w:space="0" w:color="365F91"/>
            </w:tcBorders>
            <w:shd w:val="clear" w:color="auto" w:fill="FFFFFF"/>
            <w:tcMar>
              <w:top w:w="0" w:type="dxa"/>
              <w:left w:w="85" w:type="dxa"/>
              <w:bottom w:w="0" w:type="dxa"/>
              <w:right w:w="85" w:type="dxa"/>
            </w:tcMar>
          </w:tcPr>
          <w:p w14:paraId="343DA02B"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0.2</w:t>
            </w:r>
          </w:p>
        </w:tc>
        <w:tc>
          <w:tcPr>
            <w:tcW w:w="961" w:type="dxa"/>
            <w:tcBorders>
              <w:top w:val="single" w:sz="4" w:space="0" w:color="365F91"/>
              <w:bottom w:val="single" w:sz="4" w:space="0" w:color="365F91"/>
              <w:right w:val="single" w:sz="4" w:space="0" w:color="FFFFFF"/>
            </w:tcBorders>
            <w:shd w:val="clear" w:color="auto" w:fill="FFFFFF"/>
            <w:tcMar>
              <w:top w:w="0" w:type="dxa"/>
              <w:left w:w="85" w:type="dxa"/>
              <w:bottom w:w="0" w:type="dxa"/>
              <w:right w:w="85" w:type="dxa"/>
            </w:tcMar>
          </w:tcPr>
          <w:p w14:paraId="3B365847"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94.7</w:t>
            </w:r>
          </w:p>
        </w:tc>
      </w:tr>
      <w:tr w:rsidR="00A37132" w:rsidRPr="00BE78CA" w14:paraId="2C7BE12F" w14:textId="77777777" w:rsidTr="00834B58">
        <w:trPr>
          <w:cantSplit/>
        </w:trPr>
        <w:tc>
          <w:tcPr>
            <w:tcW w:w="846" w:type="dxa"/>
            <w:tcBorders>
              <w:top w:val="single" w:sz="4" w:space="0" w:color="365F91"/>
              <w:left w:val="single" w:sz="4" w:space="0" w:color="FFFFFF"/>
              <w:bottom w:val="single" w:sz="4" w:space="0" w:color="365F91"/>
            </w:tcBorders>
            <w:shd w:val="clear" w:color="auto" w:fill="FFFFFF"/>
            <w:tcMar>
              <w:top w:w="0" w:type="dxa"/>
              <w:left w:w="85" w:type="dxa"/>
              <w:bottom w:w="0" w:type="dxa"/>
              <w:right w:w="85" w:type="dxa"/>
            </w:tcMar>
          </w:tcPr>
          <w:p w14:paraId="35852683" w14:textId="77777777" w:rsidR="00387C28" w:rsidRPr="00BE78CA" w:rsidRDefault="00387C28" w:rsidP="00A37132">
            <w:pPr>
              <w:pStyle w:val="TableText"/>
              <w:spacing w:before="50" w:after="50"/>
              <w:rPr>
                <w:rFonts w:cs="Calibri"/>
                <w:szCs w:val="16"/>
              </w:rPr>
            </w:pPr>
            <w:r w:rsidRPr="00BE78CA">
              <w:rPr>
                <w:rFonts w:eastAsia="Calibri" w:cs="Calibri"/>
                <w:szCs w:val="16"/>
              </w:rPr>
              <w:t>1.A.2.g.viii</w:t>
            </w:r>
          </w:p>
        </w:tc>
        <w:tc>
          <w:tcPr>
            <w:tcW w:w="2197" w:type="dxa"/>
            <w:tcBorders>
              <w:top w:val="single" w:sz="4" w:space="0" w:color="365F91"/>
              <w:bottom w:val="single" w:sz="4" w:space="0" w:color="365F91"/>
            </w:tcBorders>
            <w:shd w:val="clear" w:color="auto" w:fill="FFFFFF"/>
            <w:tcMar>
              <w:top w:w="0" w:type="dxa"/>
              <w:left w:w="85" w:type="dxa"/>
              <w:bottom w:w="0" w:type="dxa"/>
              <w:right w:w="85" w:type="dxa"/>
            </w:tcMar>
          </w:tcPr>
          <w:p w14:paraId="502350FF" w14:textId="77777777" w:rsidR="00387C28" w:rsidRPr="00BE78CA" w:rsidRDefault="00387C28" w:rsidP="00A37132">
            <w:pPr>
              <w:pStyle w:val="TableText"/>
              <w:spacing w:before="50" w:after="50"/>
              <w:rPr>
                <w:rFonts w:cs="Calibri"/>
                <w:szCs w:val="16"/>
              </w:rPr>
            </w:pPr>
            <w:r w:rsidRPr="00BE78CA">
              <w:rPr>
                <w:rFonts w:eastAsia="Calibri" w:cs="Calibri"/>
                <w:szCs w:val="16"/>
              </w:rPr>
              <w:t>Other (please specify) – Other (please specify)</w:t>
            </w:r>
          </w:p>
        </w:tc>
        <w:tc>
          <w:tcPr>
            <w:tcW w:w="492" w:type="dxa"/>
            <w:tcBorders>
              <w:top w:val="single" w:sz="4" w:space="0" w:color="365F91"/>
              <w:bottom w:val="single" w:sz="4" w:space="0" w:color="365F91"/>
            </w:tcBorders>
            <w:shd w:val="clear" w:color="auto" w:fill="FFFFFF"/>
            <w:tcMar>
              <w:top w:w="0" w:type="dxa"/>
              <w:left w:w="85" w:type="dxa"/>
              <w:bottom w:w="0" w:type="dxa"/>
              <w:right w:w="85" w:type="dxa"/>
            </w:tcMar>
          </w:tcPr>
          <w:p w14:paraId="75E72591" w14:textId="77777777" w:rsidR="00387C28" w:rsidRPr="00BE78CA" w:rsidRDefault="00387C28" w:rsidP="00A37132">
            <w:pPr>
              <w:pStyle w:val="TableText"/>
              <w:spacing w:before="50" w:after="50"/>
              <w:jc w:val="center"/>
              <w:rPr>
                <w:rFonts w:cs="Calibri"/>
                <w:szCs w:val="16"/>
              </w:rPr>
            </w:pPr>
            <w:r w:rsidRPr="00BE78CA">
              <w:rPr>
                <w:rFonts w:eastAsia="Calibri" w:cs="Calibri"/>
                <w:szCs w:val="16"/>
              </w:rPr>
              <w:t>CO</w:t>
            </w:r>
            <w:r w:rsidRPr="00BE78CA">
              <w:rPr>
                <w:rFonts w:eastAsia="Calibri" w:cs="Calibri"/>
                <w:szCs w:val="16"/>
                <w:vertAlign w:val="subscript"/>
              </w:rPr>
              <w:t>2</w:t>
            </w:r>
          </w:p>
        </w:tc>
        <w:tc>
          <w:tcPr>
            <w:tcW w:w="991" w:type="dxa"/>
            <w:tcBorders>
              <w:top w:val="single" w:sz="4" w:space="0" w:color="365F91"/>
              <w:bottom w:val="single" w:sz="4" w:space="0" w:color="365F91"/>
            </w:tcBorders>
            <w:shd w:val="clear" w:color="auto" w:fill="FFFFFF"/>
            <w:tcMar>
              <w:top w:w="0" w:type="dxa"/>
              <w:left w:w="85" w:type="dxa"/>
              <w:bottom w:w="0" w:type="dxa"/>
              <w:right w:w="85" w:type="dxa"/>
            </w:tcMar>
          </w:tcPr>
          <w:p w14:paraId="3F993133"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51.7</w:t>
            </w:r>
          </w:p>
        </w:tc>
        <w:tc>
          <w:tcPr>
            <w:tcW w:w="991" w:type="dxa"/>
            <w:tcBorders>
              <w:top w:val="single" w:sz="4" w:space="0" w:color="365F91"/>
              <w:bottom w:val="single" w:sz="4" w:space="0" w:color="365F91"/>
            </w:tcBorders>
            <w:shd w:val="clear" w:color="auto" w:fill="FFFFFF"/>
            <w:tcMar>
              <w:top w:w="0" w:type="dxa"/>
              <w:left w:w="85" w:type="dxa"/>
              <w:bottom w:w="0" w:type="dxa"/>
              <w:right w:w="85" w:type="dxa"/>
            </w:tcMar>
          </w:tcPr>
          <w:p w14:paraId="73013F60"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222.4</w:t>
            </w:r>
          </w:p>
        </w:tc>
        <w:tc>
          <w:tcPr>
            <w:tcW w:w="955" w:type="dxa"/>
            <w:tcBorders>
              <w:top w:val="single" w:sz="4" w:space="0" w:color="365F91"/>
              <w:bottom w:val="single" w:sz="4" w:space="0" w:color="365F91"/>
            </w:tcBorders>
            <w:shd w:val="clear" w:color="auto" w:fill="FFFFFF"/>
            <w:tcMar>
              <w:top w:w="0" w:type="dxa"/>
              <w:left w:w="85" w:type="dxa"/>
              <w:bottom w:w="0" w:type="dxa"/>
              <w:right w:w="85" w:type="dxa"/>
            </w:tcMar>
          </w:tcPr>
          <w:p w14:paraId="11E93B84"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0.002</w:t>
            </w:r>
          </w:p>
        </w:tc>
        <w:tc>
          <w:tcPr>
            <w:tcW w:w="1061" w:type="dxa"/>
            <w:tcBorders>
              <w:top w:val="single" w:sz="4" w:space="0" w:color="365F91"/>
              <w:bottom w:val="single" w:sz="4" w:space="0" w:color="365F91"/>
            </w:tcBorders>
            <w:shd w:val="clear" w:color="auto" w:fill="FFFFFF"/>
            <w:tcMar>
              <w:top w:w="0" w:type="dxa"/>
              <w:left w:w="85" w:type="dxa"/>
              <w:bottom w:w="0" w:type="dxa"/>
              <w:right w:w="85" w:type="dxa"/>
            </w:tcMar>
          </w:tcPr>
          <w:p w14:paraId="3B9CF153"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0.2</w:t>
            </w:r>
          </w:p>
        </w:tc>
        <w:tc>
          <w:tcPr>
            <w:tcW w:w="961" w:type="dxa"/>
            <w:tcBorders>
              <w:top w:val="single" w:sz="4" w:space="0" w:color="365F91"/>
              <w:bottom w:val="single" w:sz="4" w:space="0" w:color="365F91"/>
              <w:right w:val="single" w:sz="4" w:space="0" w:color="FFFFFF"/>
            </w:tcBorders>
            <w:shd w:val="clear" w:color="auto" w:fill="FFFFFF"/>
            <w:tcMar>
              <w:top w:w="0" w:type="dxa"/>
              <w:left w:w="85" w:type="dxa"/>
              <w:bottom w:w="0" w:type="dxa"/>
              <w:right w:w="85" w:type="dxa"/>
            </w:tcMar>
          </w:tcPr>
          <w:p w14:paraId="0EE2C3BD"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94.9</w:t>
            </w:r>
          </w:p>
        </w:tc>
      </w:tr>
      <w:tr w:rsidR="00A37132" w:rsidRPr="00BE78CA" w14:paraId="164AA255" w14:textId="77777777" w:rsidTr="00834B58">
        <w:trPr>
          <w:cantSplit/>
        </w:trPr>
        <w:tc>
          <w:tcPr>
            <w:tcW w:w="846" w:type="dxa"/>
            <w:tcBorders>
              <w:top w:val="single" w:sz="4" w:space="0" w:color="365F91"/>
              <w:left w:val="single" w:sz="4" w:space="0" w:color="FFFFFF"/>
              <w:bottom w:val="single" w:sz="4" w:space="0" w:color="365F91"/>
            </w:tcBorders>
            <w:shd w:val="clear" w:color="auto" w:fill="FFFFFF"/>
            <w:tcMar>
              <w:top w:w="0" w:type="dxa"/>
              <w:left w:w="85" w:type="dxa"/>
              <w:bottom w:w="0" w:type="dxa"/>
              <w:right w:w="85" w:type="dxa"/>
            </w:tcMar>
          </w:tcPr>
          <w:p w14:paraId="277A9268" w14:textId="77777777" w:rsidR="00387C28" w:rsidRPr="00BE78CA" w:rsidRDefault="00387C28" w:rsidP="00A37132">
            <w:pPr>
              <w:pStyle w:val="TableText"/>
              <w:spacing w:before="50" w:after="50"/>
              <w:rPr>
                <w:rFonts w:cs="Calibri"/>
                <w:szCs w:val="16"/>
              </w:rPr>
            </w:pPr>
            <w:r w:rsidRPr="00BE78CA">
              <w:rPr>
                <w:rFonts w:eastAsia="Calibri" w:cs="Calibri"/>
                <w:szCs w:val="16"/>
              </w:rPr>
              <w:t>4.B.1</w:t>
            </w:r>
          </w:p>
        </w:tc>
        <w:tc>
          <w:tcPr>
            <w:tcW w:w="2197" w:type="dxa"/>
            <w:tcBorders>
              <w:top w:val="single" w:sz="4" w:space="0" w:color="365F91"/>
              <w:bottom w:val="single" w:sz="4" w:space="0" w:color="365F91"/>
            </w:tcBorders>
            <w:shd w:val="clear" w:color="auto" w:fill="FFFFFF"/>
            <w:tcMar>
              <w:top w:w="0" w:type="dxa"/>
              <w:left w:w="85" w:type="dxa"/>
              <w:bottom w:w="0" w:type="dxa"/>
              <w:right w:w="85" w:type="dxa"/>
            </w:tcMar>
          </w:tcPr>
          <w:p w14:paraId="244F5A74" w14:textId="77777777" w:rsidR="00387C28" w:rsidRPr="00BE78CA" w:rsidRDefault="00387C28" w:rsidP="00A37132">
            <w:pPr>
              <w:pStyle w:val="TableText"/>
              <w:spacing w:before="50" w:after="50"/>
              <w:rPr>
                <w:rFonts w:cs="Calibri"/>
                <w:szCs w:val="16"/>
              </w:rPr>
            </w:pPr>
            <w:r w:rsidRPr="00BE78CA">
              <w:rPr>
                <w:rFonts w:eastAsia="Calibri" w:cs="Calibri"/>
                <w:szCs w:val="16"/>
              </w:rPr>
              <w:t>Cropland – Cropland Remaining Cropland</w:t>
            </w:r>
          </w:p>
        </w:tc>
        <w:tc>
          <w:tcPr>
            <w:tcW w:w="492" w:type="dxa"/>
            <w:tcBorders>
              <w:top w:val="single" w:sz="4" w:space="0" w:color="365F91"/>
              <w:bottom w:val="single" w:sz="4" w:space="0" w:color="365F91"/>
            </w:tcBorders>
            <w:shd w:val="clear" w:color="auto" w:fill="FFFFFF"/>
            <w:tcMar>
              <w:top w:w="0" w:type="dxa"/>
              <w:left w:w="85" w:type="dxa"/>
              <w:bottom w:w="0" w:type="dxa"/>
              <w:right w:w="85" w:type="dxa"/>
            </w:tcMar>
          </w:tcPr>
          <w:p w14:paraId="134DD03C" w14:textId="77777777" w:rsidR="00387C28" w:rsidRPr="00BE78CA" w:rsidRDefault="00387C28" w:rsidP="00A37132">
            <w:pPr>
              <w:pStyle w:val="TableText"/>
              <w:spacing w:before="50" w:after="50"/>
              <w:jc w:val="center"/>
              <w:rPr>
                <w:rFonts w:cs="Calibri"/>
                <w:szCs w:val="16"/>
              </w:rPr>
            </w:pPr>
            <w:r w:rsidRPr="00BE78CA">
              <w:rPr>
                <w:rFonts w:eastAsia="Calibri" w:cs="Calibri"/>
                <w:szCs w:val="16"/>
              </w:rPr>
              <w:t>CO</w:t>
            </w:r>
            <w:r w:rsidRPr="00BE78CA">
              <w:rPr>
                <w:rFonts w:eastAsia="Calibri" w:cs="Calibri"/>
                <w:szCs w:val="16"/>
                <w:vertAlign w:val="subscript"/>
              </w:rPr>
              <w:t>2</w:t>
            </w:r>
          </w:p>
        </w:tc>
        <w:tc>
          <w:tcPr>
            <w:tcW w:w="991" w:type="dxa"/>
            <w:tcBorders>
              <w:top w:val="single" w:sz="4" w:space="0" w:color="365F91"/>
              <w:bottom w:val="single" w:sz="4" w:space="0" w:color="365F91"/>
            </w:tcBorders>
            <w:shd w:val="clear" w:color="auto" w:fill="FFFFFF"/>
            <w:tcMar>
              <w:top w:w="0" w:type="dxa"/>
              <w:left w:w="85" w:type="dxa"/>
              <w:bottom w:w="0" w:type="dxa"/>
              <w:right w:w="85" w:type="dxa"/>
            </w:tcMar>
          </w:tcPr>
          <w:p w14:paraId="2B3A5B33"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351.1</w:t>
            </w:r>
          </w:p>
        </w:tc>
        <w:tc>
          <w:tcPr>
            <w:tcW w:w="991" w:type="dxa"/>
            <w:tcBorders>
              <w:top w:val="single" w:sz="4" w:space="0" w:color="365F91"/>
              <w:bottom w:val="single" w:sz="4" w:space="0" w:color="365F91"/>
            </w:tcBorders>
            <w:shd w:val="clear" w:color="auto" w:fill="FFFFFF"/>
            <w:tcMar>
              <w:top w:w="0" w:type="dxa"/>
              <w:left w:w="85" w:type="dxa"/>
              <w:bottom w:w="0" w:type="dxa"/>
              <w:right w:w="85" w:type="dxa"/>
            </w:tcMar>
          </w:tcPr>
          <w:p w14:paraId="78C97F5A"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315.6</w:t>
            </w:r>
          </w:p>
        </w:tc>
        <w:tc>
          <w:tcPr>
            <w:tcW w:w="955" w:type="dxa"/>
            <w:tcBorders>
              <w:top w:val="single" w:sz="4" w:space="0" w:color="365F91"/>
              <w:bottom w:val="single" w:sz="4" w:space="0" w:color="365F91"/>
            </w:tcBorders>
            <w:shd w:val="clear" w:color="auto" w:fill="FFFFFF"/>
            <w:tcMar>
              <w:top w:w="0" w:type="dxa"/>
              <w:left w:w="85" w:type="dxa"/>
              <w:bottom w:w="0" w:type="dxa"/>
              <w:right w:w="85" w:type="dxa"/>
            </w:tcMar>
          </w:tcPr>
          <w:p w14:paraId="65279901"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0.002</w:t>
            </w:r>
          </w:p>
        </w:tc>
        <w:tc>
          <w:tcPr>
            <w:tcW w:w="1061" w:type="dxa"/>
            <w:tcBorders>
              <w:top w:val="single" w:sz="4" w:space="0" w:color="365F91"/>
              <w:bottom w:val="single" w:sz="4" w:space="0" w:color="365F91"/>
            </w:tcBorders>
            <w:shd w:val="clear" w:color="auto" w:fill="FFFFFF"/>
            <w:tcMar>
              <w:top w:w="0" w:type="dxa"/>
              <w:left w:w="85" w:type="dxa"/>
              <w:bottom w:w="0" w:type="dxa"/>
              <w:right w:w="85" w:type="dxa"/>
            </w:tcMar>
          </w:tcPr>
          <w:p w14:paraId="3B259833"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0.2</w:t>
            </w:r>
          </w:p>
        </w:tc>
        <w:tc>
          <w:tcPr>
            <w:tcW w:w="961" w:type="dxa"/>
            <w:tcBorders>
              <w:top w:val="single" w:sz="4" w:space="0" w:color="365F91"/>
              <w:bottom w:val="single" w:sz="4" w:space="0" w:color="365F91"/>
              <w:right w:val="single" w:sz="4" w:space="0" w:color="FFFFFF"/>
            </w:tcBorders>
            <w:shd w:val="clear" w:color="auto" w:fill="FFFFFF"/>
            <w:tcMar>
              <w:top w:w="0" w:type="dxa"/>
              <w:left w:w="85" w:type="dxa"/>
              <w:bottom w:w="0" w:type="dxa"/>
              <w:right w:w="85" w:type="dxa"/>
            </w:tcMar>
          </w:tcPr>
          <w:p w14:paraId="2C4CB864" w14:textId="77777777" w:rsidR="00387C28" w:rsidRPr="00BE78CA" w:rsidRDefault="00387C28" w:rsidP="00A37132">
            <w:pPr>
              <w:pStyle w:val="TableText"/>
              <w:spacing w:before="50" w:after="50"/>
              <w:jc w:val="right"/>
              <w:rPr>
                <w:rFonts w:cs="Calibri"/>
                <w:szCs w:val="16"/>
              </w:rPr>
            </w:pPr>
            <w:r w:rsidRPr="00BE78CA">
              <w:rPr>
                <w:rFonts w:eastAsia="Calibri" w:cs="Calibri"/>
                <w:szCs w:val="16"/>
              </w:rPr>
              <w:t>95.1</w:t>
            </w:r>
          </w:p>
        </w:tc>
      </w:tr>
    </w:tbl>
    <w:p w14:paraId="48424DBA" w14:textId="1FC5A73A" w:rsidR="00387C28" w:rsidRPr="00BE78CA" w:rsidRDefault="00387C28" w:rsidP="00711200">
      <w:pPr>
        <w:pStyle w:val="BodyText"/>
        <w:spacing w:after="0"/>
      </w:pPr>
    </w:p>
    <w:tbl>
      <w:tblPr>
        <w:tblW w:w="8495" w:type="dxa"/>
        <w:tblLayout w:type="fixed"/>
        <w:tblCellMar>
          <w:left w:w="85" w:type="dxa"/>
          <w:right w:w="85" w:type="dxa"/>
        </w:tblCellMar>
        <w:tblLook w:val="0420" w:firstRow="1" w:lastRow="0" w:firstColumn="0" w:lastColumn="0" w:noHBand="0" w:noVBand="1"/>
      </w:tblPr>
      <w:tblGrid>
        <w:gridCol w:w="846"/>
        <w:gridCol w:w="2410"/>
        <w:gridCol w:w="538"/>
        <w:gridCol w:w="928"/>
        <w:gridCol w:w="928"/>
        <w:gridCol w:w="937"/>
        <w:gridCol w:w="999"/>
        <w:gridCol w:w="909"/>
      </w:tblGrid>
      <w:tr w:rsidR="00387C28" w:rsidRPr="00BE78CA" w14:paraId="260BBA68" w14:textId="77777777" w:rsidTr="00CF3C51">
        <w:trPr>
          <w:cantSplit/>
          <w:tblHeader/>
        </w:trPr>
        <w:tc>
          <w:tcPr>
            <w:tcW w:w="8495" w:type="dxa"/>
            <w:gridSpan w:val="8"/>
            <w:tcBorders>
              <w:top w:val="single" w:sz="4" w:space="0" w:color="365F91"/>
            </w:tcBorders>
            <w:shd w:val="clear" w:color="auto" w:fill="365F91"/>
            <w:tcMar>
              <w:top w:w="0" w:type="dxa"/>
              <w:left w:w="85" w:type="dxa"/>
              <w:bottom w:w="0" w:type="dxa"/>
              <w:right w:w="85" w:type="dxa"/>
            </w:tcMar>
            <w:vAlign w:val="center"/>
          </w:tcPr>
          <w:p w14:paraId="32ACB0E9" w14:textId="77777777" w:rsidR="00387C28" w:rsidRPr="00BE78CA" w:rsidRDefault="00387C28" w:rsidP="00A37132">
            <w:pPr>
              <w:pStyle w:val="TableTextBold"/>
              <w:spacing w:before="50" w:after="50"/>
              <w:rPr>
                <w:rFonts w:eastAsia="Calibri" w:cs="Calibri"/>
                <w:noProof w:val="0"/>
                <w:color w:val="FFFFFF" w:themeColor="background1"/>
                <w:szCs w:val="16"/>
              </w:rPr>
            </w:pPr>
            <w:r w:rsidRPr="00BE78CA">
              <w:rPr>
                <w:rFonts w:cs="Calibri"/>
                <w:noProof w:val="0"/>
                <w:color w:val="FFFFFF" w:themeColor="background1"/>
              </w:rPr>
              <w:t>(b) IPCC Tier 1 category trend assessment – excluding LULUCF (gross emissions)</w:t>
            </w:r>
          </w:p>
        </w:tc>
      </w:tr>
      <w:tr w:rsidR="00387C28" w:rsidRPr="00BE78CA" w14:paraId="488D71B0" w14:textId="77777777" w:rsidTr="00CF3C51">
        <w:trPr>
          <w:cantSplit/>
          <w:tblHeader/>
        </w:trPr>
        <w:tc>
          <w:tcPr>
            <w:tcW w:w="846" w:type="dxa"/>
            <w:tcBorders>
              <w:bottom w:val="single" w:sz="4" w:space="0" w:color="365F91"/>
            </w:tcBorders>
            <w:shd w:val="clear" w:color="auto" w:fill="365F91"/>
            <w:tcMar>
              <w:top w:w="0" w:type="dxa"/>
              <w:left w:w="85" w:type="dxa"/>
              <w:bottom w:w="0" w:type="dxa"/>
              <w:right w:w="85" w:type="dxa"/>
            </w:tcMar>
            <w:vAlign w:val="bottom"/>
          </w:tcPr>
          <w:p w14:paraId="2AFAE081" w14:textId="77777777" w:rsidR="00387C28" w:rsidRPr="00BE78CA" w:rsidRDefault="00387C28" w:rsidP="00A37132">
            <w:pPr>
              <w:pStyle w:val="TableTextBold"/>
              <w:spacing w:before="50" w:after="50"/>
              <w:rPr>
                <w:rFonts w:cs="Calibri"/>
                <w:noProof w:val="0"/>
                <w:color w:val="FFFFFF" w:themeColor="background1"/>
              </w:rPr>
            </w:pPr>
            <w:r w:rsidRPr="00BE78CA">
              <w:rPr>
                <w:rFonts w:eastAsia="Calibri" w:cs="Calibri"/>
                <w:noProof w:val="0"/>
                <w:color w:val="FFFFFF" w:themeColor="background1"/>
              </w:rPr>
              <w:t>CRF category code</w:t>
            </w:r>
          </w:p>
        </w:tc>
        <w:tc>
          <w:tcPr>
            <w:tcW w:w="2410" w:type="dxa"/>
            <w:tcBorders>
              <w:bottom w:val="single" w:sz="4" w:space="0" w:color="365F91"/>
            </w:tcBorders>
            <w:shd w:val="clear" w:color="auto" w:fill="365F91"/>
            <w:tcMar>
              <w:top w:w="0" w:type="dxa"/>
              <w:left w:w="85" w:type="dxa"/>
              <w:bottom w:w="0" w:type="dxa"/>
              <w:right w:w="85" w:type="dxa"/>
            </w:tcMar>
            <w:vAlign w:val="bottom"/>
          </w:tcPr>
          <w:p w14:paraId="75837B98" w14:textId="77777777" w:rsidR="00387C28" w:rsidRPr="00BE78CA" w:rsidRDefault="00387C28" w:rsidP="00A37132">
            <w:pPr>
              <w:pStyle w:val="TableTextBold"/>
              <w:spacing w:before="50" w:after="50"/>
              <w:rPr>
                <w:rFonts w:cs="Calibri"/>
                <w:noProof w:val="0"/>
                <w:color w:val="FFFFFF" w:themeColor="background1"/>
              </w:rPr>
            </w:pPr>
            <w:r w:rsidRPr="00BE78CA">
              <w:rPr>
                <w:rFonts w:eastAsia="Calibri" w:cs="Calibri"/>
                <w:noProof w:val="0"/>
                <w:color w:val="FFFFFF" w:themeColor="background1"/>
              </w:rPr>
              <w:t>IPCC category</w:t>
            </w:r>
          </w:p>
        </w:tc>
        <w:tc>
          <w:tcPr>
            <w:tcW w:w="538" w:type="dxa"/>
            <w:tcBorders>
              <w:bottom w:val="single" w:sz="4" w:space="0" w:color="365F91"/>
            </w:tcBorders>
            <w:shd w:val="clear" w:color="auto" w:fill="365F91"/>
            <w:tcMar>
              <w:top w:w="0" w:type="dxa"/>
              <w:left w:w="85" w:type="dxa"/>
              <w:bottom w:w="0" w:type="dxa"/>
              <w:right w:w="85" w:type="dxa"/>
            </w:tcMar>
            <w:vAlign w:val="bottom"/>
          </w:tcPr>
          <w:p w14:paraId="5029620A" w14:textId="77777777" w:rsidR="00387C28" w:rsidRPr="00BE78CA" w:rsidRDefault="00387C28" w:rsidP="00C30290">
            <w:pPr>
              <w:pStyle w:val="TableTextBold"/>
              <w:spacing w:before="50" w:after="50"/>
              <w:rPr>
                <w:rFonts w:cs="Calibri"/>
                <w:noProof w:val="0"/>
                <w:color w:val="FFFFFF" w:themeColor="background1"/>
              </w:rPr>
            </w:pPr>
            <w:r w:rsidRPr="00BE78CA">
              <w:rPr>
                <w:rFonts w:eastAsia="Calibri" w:cs="Calibri"/>
                <w:noProof w:val="0"/>
                <w:color w:val="FFFFFF" w:themeColor="background1"/>
              </w:rPr>
              <w:t>Gas</w:t>
            </w:r>
          </w:p>
        </w:tc>
        <w:tc>
          <w:tcPr>
            <w:tcW w:w="928" w:type="dxa"/>
            <w:tcBorders>
              <w:bottom w:val="single" w:sz="4" w:space="0" w:color="365F91"/>
            </w:tcBorders>
            <w:shd w:val="clear" w:color="auto" w:fill="365F91"/>
            <w:tcMar>
              <w:top w:w="0" w:type="dxa"/>
              <w:left w:w="85" w:type="dxa"/>
              <w:bottom w:w="0" w:type="dxa"/>
              <w:right w:w="85" w:type="dxa"/>
            </w:tcMar>
            <w:vAlign w:val="bottom"/>
          </w:tcPr>
          <w:p w14:paraId="5EA30228" w14:textId="77777777" w:rsidR="00387C28" w:rsidRPr="00BE78CA" w:rsidRDefault="00387C28" w:rsidP="00A37132">
            <w:pPr>
              <w:pStyle w:val="TableTextBold"/>
              <w:spacing w:before="50" w:after="50"/>
              <w:jc w:val="right"/>
              <w:rPr>
                <w:rFonts w:cs="Calibri"/>
                <w:noProof w:val="0"/>
                <w:color w:val="FFFFFF" w:themeColor="background1"/>
              </w:rPr>
            </w:pPr>
            <w:r w:rsidRPr="00BE78CA">
              <w:rPr>
                <w:rFonts w:eastAsia="Calibri" w:cs="Calibri"/>
                <w:noProof w:val="0"/>
                <w:color w:val="FFFFFF" w:themeColor="background1"/>
              </w:rPr>
              <w:t>1990 estimate (kt CO</w:t>
            </w:r>
            <w:r w:rsidRPr="00BE78CA">
              <w:rPr>
                <w:rFonts w:eastAsia="Calibri" w:cs="Calibri"/>
                <w:noProof w:val="0"/>
                <w:color w:val="FFFFFF" w:themeColor="background1"/>
                <w:vertAlign w:val="subscript"/>
              </w:rPr>
              <w:t>2</w:t>
            </w:r>
            <w:r w:rsidRPr="00BE78CA">
              <w:rPr>
                <w:rFonts w:eastAsia="Calibri" w:cs="Calibri"/>
                <w:noProof w:val="0"/>
                <w:color w:val="FFFFFF" w:themeColor="background1"/>
              </w:rPr>
              <w:t>-equivalent)</w:t>
            </w:r>
          </w:p>
        </w:tc>
        <w:tc>
          <w:tcPr>
            <w:tcW w:w="928" w:type="dxa"/>
            <w:tcBorders>
              <w:bottom w:val="single" w:sz="4" w:space="0" w:color="365F91"/>
            </w:tcBorders>
            <w:shd w:val="clear" w:color="auto" w:fill="365F91"/>
            <w:tcMar>
              <w:top w:w="0" w:type="dxa"/>
              <w:left w:w="85" w:type="dxa"/>
              <w:bottom w:w="0" w:type="dxa"/>
              <w:right w:w="85" w:type="dxa"/>
            </w:tcMar>
            <w:vAlign w:val="bottom"/>
          </w:tcPr>
          <w:p w14:paraId="2E96A148" w14:textId="77777777" w:rsidR="00387C28" w:rsidRPr="00BE78CA" w:rsidRDefault="00387C28" w:rsidP="00A37132">
            <w:pPr>
              <w:pStyle w:val="TableTextBold"/>
              <w:spacing w:before="50" w:after="50"/>
              <w:jc w:val="right"/>
              <w:rPr>
                <w:rFonts w:cs="Calibri"/>
                <w:noProof w:val="0"/>
                <w:color w:val="FFFFFF" w:themeColor="background1"/>
              </w:rPr>
            </w:pPr>
            <w:r w:rsidRPr="00BE78CA">
              <w:rPr>
                <w:rFonts w:eastAsia="Calibri" w:cs="Calibri"/>
                <w:noProof w:val="0"/>
                <w:color w:val="FFFFFF" w:themeColor="background1"/>
              </w:rPr>
              <w:t>2019 estimate (kt CO</w:t>
            </w:r>
            <w:r w:rsidRPr="00BE78CA">
              <w:rPr>
                <w:rFonts w:eastAsia="Calibri" w:cs="Calibri"/>
                <w:noProof w:val="0"/>
                <w:color w:val="FFFFFF" w:themeColor="background1"/>
                <w:vertAlign w:val="subscript"/>
              </w:rPr>
              <w:t>2</w:t>
            </w:r>
            <w:r w:rsidRPr="00BE78CA">
              <w:rPr>
                <w:rFonts w:eastAsia="Calibri" w:cs="Calibri"/>
                <w:noProof w:val="0"/>
                <w:color w:val="FFFFFF" w:themeColor="background1"/>
              </w:rPr>
              <w:t>-equivalent)</w:t>
            </w:r>
          </w:p>
        </w:tc>
        <w:tc>
          <w:tcPr>
            <w:tcW w:w="937" w:type="dxa"/>
            <w:tcBorders>
              <w:bottom w:val="single" w:sz="4" w:space="0" w:color="365F91"/>
            </w:tcBorders>
            <w:shd w:val="clear" w:color="auto" w:fill="365F91"/>
            <w:tcMar>
              <w:top w:w="0" w:type="dxa"/>
              <w:left w:w="85" w:type="dxa"/>
              <w:bottom w:w="0" w:type="dxa"/>
              <w:right w:w="85" w:type="dxa"/>
            </w:tcMar>
            <w:vAlign w:val="bottom"/>
          </w:tcPr>
          <w:p w14:paraId="63B61E72" w14:textId="77777777" w:rsidR="00387C28" w:rsidRPr="00BE78CA" w:rsidRDefault="00387C28" w:rsidP="00A37132">
            <w:pPr>
              <w:pStyle w:val="TableTextBold"/>
              <w:spacing w:before="50" w:after="50"/>
              <w:jc w:val="right"/>
              <w:rPr>
                <w:rFonts w:cs="Calibri"/>
                <w:noProof w:val="0"/>
                <w:color w:val="FFFFFF" w:themeColor="background1"/>
              </w:rPr>
            </w:pPr>
            <w:r w:rsidRPr="00BE78CA">
              <w:rPr>
                <w:rFonts w:eastAsia="Calibri" w:cs="Calibri"/>
                <w:noProof w:val="0"/>
                <w:color w:val="FFFFFF" w:themeColor="background1"/>
              </w:rPr>
              <w:t>Trend assessment</w:t>
            </w:r>
          </w:p>
        </w:tc>
        <w:tc>
          <w:tcPr>
            <w:tcW w:w="999" w:type="dxa"/>
            <w:tcBorders>
              <w:bottom w:val="single" w:sz="4" w:space="0" w:color="365F91"/>
            </w:tcBorders>
            <w:shd w:val="clear" w:color="auto" w:fill="365F91"/>
            <w:tcMar>
              <w:top w:w="0" w:type="dxa"/>
              <w:left w:w="85" w:type="dxa"/>
              <w:bottom w:w="0" w:type="dxa"/>
              <w:right w:w="85" w:type="dxa"/>
            </w:tcMar>
            <w:vAlign w:val="bottom"/>
          </w:tcPr>
          <w:p w14:paraId="5CBAECB4" w14:textId="77777777" w:rsidR="00387C28" w:rsidRPr="00BE78CA" w:rsidRDefault="00387C28" w:rsidP="00A37132">
            <w:pPr>
              <w:pStyle w:val="TableTextBold"/>
              <w:spacing w:before="50" w:after="50"/>
              <w:jc w:val="right"/>
              <w:rPr>
                <w:rFonts w:cs="Calibri"/>
                <w:noProof w:val="0"/>
                <w:color w:val="FFFFFF" w:themeColor="background1"/>
              </w:rPr>
            </w:pPr>
            <w:r w:rsidRPr="00BE78CA">
              <w:rPr>
                <w:rFonts w:eastAsia="Calibri" w:cs="Calibri"/>
                <w:noProof w:val="0"/>
                <w:color w:val="FFFFFF" w:themeColor="background1"/>
              </w:rPr>
              <w:t>Absolute contribution to trend (%)</w:t>
            </w:r>
          </w:p>
        </w:tc>
        <w:tc>
          <w:tcPr>
            <w:tcW w:w="909" w:type="dxa"/>
            <w:tcBorders>
              <w:bottom w:val="single" w:sz="4" w:space="0" w:color="365F91"/>
            </w:tcBorders>
            <w:shd w:val="clear" w:color="auto" w:fill="365F91"/>
            <w:tcMar>
              <w:top w:w="0" w:type="dxa"/>
              <w:left w:w="85" w:type="dxa"/>
              <w:bottom w:w="0" w:type="dxa"/>
              <w:right w:w="85" w:type="dxa"/>
            </w:tcMar>
            <w:vAlign w:val="bottom"/>
          </w:tcPr>
          <w:p w14:paraId="0A17A7CF" w14:textId="77777777" w:rsidR="00387C28" w:rsidRPr="00BE78CA" w:rsidRDefault="00387C28" w:rsidP="00A37132">
            <w:pPr>
              <w:pStyle w:val="TableTextBold"/>
              <w:spacing w:before="50" w:after="50"/>
              <w:jc w:val="right"/>
              <w:rPr>
                <w:rFonts w:cs="Calibri"/>
                <w:noProof w:val="0"/>
                <w:color w:val="FFFFFF" w:themeColor="background1"/>
              </w:rPr>
            </w:pPr>
            <w:r w:rsidRPr="00BE78CA">
              <w:rPr>
                <w:rFonts w:eastAsia="Calibri" w:cs="Calibri"/>
                <w:noProof w:val="0"/>
                <w:color w:val="FFFFFF" w:themeColor="background1"/>
              </w:rPr>
              <w:t>Absolute cumulative total (%)</w:t>
            </w:r>
          </w:p>
        </w:tc>
      </w:tr>
      <w:tr w:rsidR="00387C28" w:rsidRPr="00BE78CA" w14:paraId="05C0C1DA" w14:textId="77777777" w:rsidTr="00AC70F2">
        <w:trPr>
          <w:cantSplit/>
        </w:trPr>
        <w:tc>
          <w:tcPr>
            <w:tcW w:w="846" w:type="dxa"/>
            <w:tcBorders>
              <w:top w:val="single" w:sz="4" w:space="0" w:color="365F91"/>
              <w:left w:val="single" w:sz="4" w:space="0" w:color="FFFFFF"/>
              <w:bottom w:val="single" w:sz="4" w:space="0" w:color="365F91"/>
            </w:tcBorders>
            <w:shd w:val="clear" w:color="auto" w:fill="FFFFFF"/>
            <w:tcMar>
              <w:top w:w="0" w:type="dxa"/>
              <w:left w:w="85" w:type="dxa"/>
              <w:bottom w:w="0" w:type="dxa"/>
              <w:right w:w="85" w:type="dxa"/>
            </w:tcMar>
          </w:tcPr>
          <w:p w14:paraId="754F3D55" w14:textId="77777777" w:rsidR="00387C28" w:rsidRPr="00BE78CA" w:rsidRDefault="00387C28" w:rsidP="00A37132">
            <w:pPr>
              <w:pStyle w:val="TableText"/>
              <w:spacing w:before="50" w:after="50"/>
              <w:rPr>
                <w:rFonts w:cs="Calibri"/>
              </w:rPr>
            </w:pPr>
            <w:r w:rsidRPr="00BE78CA">
              <w:rPr>
                <w:rFonts w:eastAsia="Calibri" w:cs="Calibri"/>
              </w:rPr>
              <w:t>3.A.2</w:t>
            </w:r>
          </w:p>
        </w:tc>
        <w:tc>
          <w:tcPr>
            <w:tcW w:w="2410" w:type="dxa"/>
            <w:tcBorders>
              <w:top w:val="single" w:sz="4" w:space="0" w:color="365F91"/>
              <w:bottom w:val="single" w:sz="4" w:space="0" w:color="365F91"/>
            </w:tcBorders>
            <w:shd w:val="clear" w:color="auto" w:fill="FFFFFF"/>
            <w:tcMar>
              <w:top w:w="0" w:type="dxa"/>
              <w:left w:w="85" w:type="dxa"/>
              <w:bottom w:w="0" w:type="dxa"/>
              <w:right w:w="85" w:type="dxa"/>
            </w:tcMar>
          </w:tcPr>
          <w:p w14:paraId="7BF0E242" w14:textId="77777777" w:rsidR="00387C28" w:rsidRPr="00BE78CA" w:rsidRDefault="00387C28" w:rsidP="00A37132">
            <w:pPr>
              <w:pStyle w:val="TableText"/>
              <w:spacing w:before="50" w:after="50"/>
              <w:rPr>
                <w:rFonts w:cs="Calibri"/>
              </w:rPr>
            </w:pPr>
            <w:r w:rsidRPr="00BE78CA">
              <w:rPr>
                <w:rFonts w:eastAsia="Calibri" w:cs="Calibri"/>
              </w:rPr>
              <w:t>Other (please specify) – Sheep</w:t>
            </w:r>
          </w:p>
        </w:tc>
        <w:tc>
          <w:tcPr>
            <w:tcW w:w="538" w:type="dxa"/>
            <w:tcBorders>
              <w:top w:val="single" w:sz="4" w:space="0" w:color="365F91"/>
              <w:bottom w:val="single" w:sz="4" w:space="0" w:color="365F91"/>
            </w:tcBorders>
            <w:shd w:val="clear" w:color="auto" w:fill="FFFFFF"/>
            <w:tcMar>
              <w:top w:w="0" w:type="dxa"/>
              <w:left w:w="85" w:type="dxa"/>
              <w:bottom w:w="0" w:type="dxa"/>
              <w:right w:w="85" w:type="dxa"/>
            </w:tcMar>
          </w:tcPr>
          <w:p w14:paraId="6324EBE5" w14:textId="77777777" w:rsidR="00387C28" w:rsidRPr="00BE78CA" w:rsidRDefault="00387C28" w:rsidP="00A37132">
            <w:pPr>
              <w:pStyle w:val="TableText"/>
              <w:spacing w:before="50" w:after="50"/>
              <w:rPr>
                <w:rFonts w:cs="Calibri"/>
              </w:rPr>
            </w:pPr>
            <w:r w:rsidRPr="00BE78CA">
              <w:rPr>
                <w:rFonts w:eastAsia="Calibri" w:cs="Calibri"/>
              </w:rPr>
              <w:t>CH</w:t>
            </w:r>
            <w:r w:rsidRPr="00BE78CA">
              <w:rPr>
                <w:rFonts w:eastAsia="Calibri" w:cs="Calibri"/>
                <w:vertAlign w:val="subscript"/>
              </w:rPr>
              <w:t>4</w:t>
            </w:r>
          </w:p>
        </w:tc>
        <w:tc>
          <w:tcPr>
            <w:tcW w:w="928" w:type="dxa"/>
            <w:tcBorders>
              <w:top w:val="single" w:sz="4" w:space="0" w:color="365F91"/>
              <w:bottom w:val="single" w:sz="4" w:space="0" w:color="365F91"/>
            </w:tcBorders>
            <w:shd w:val="clear" w:color="auto" w:fill="FFFFFF"/>
            <w:tcMar>
              <w:top w:w="0" w:type="dxa"/>
              <w:left w:w="85" w:type="dxa"/>
              <w:bottom w:w="0" w:type="dxa"/>
              <w:right w:w="85" w:type="dxa"/>
            </w:tcMar>
          </w:tcPr>
          <w:p w14:paraId="1A7A9C04" w14:textId="77777777" w:rsidR="00387C28" w:rsidRPr="00BE78CA" w:rsidRDefault="00387C28" w:rsidP="00A37132">
            <w:pPr>
              <w:pStyle w:val="TableText"/>
              <w:spacing w:before="50" w:after="50"/>
              <w:jc w:val="right"/>
              <w:rPr>
                <w:rFonts w:cs="Calibri"/>
              </w:rPr>
            </w:pPr>
            <w:r w:rsidRPr="00BE78CA">
              <w:rPr>
                <w:rFonts w:eastAsia="Calibri" w:cs="Calibri"/>
              </w:rPr>
              <w:t>14,557.9</w:t>
            </w:r>
          </w:p>
        </w:tc>
        <w:tc>
          <w:tcPr>
            <w:tcW w:w="928" w:type="dxa"/>
            <w:tcBorders>
              <w:top w:val="single" w:sz="4" w:space="0" w:color="365F91"/>
              <w:bottom w:val="single" w:sz="4" w:space="0" w:color="365F91"/>
            </w:tcBorders>
            <w:shd w:val="clear" w:color="auto" w:fill="FFFFFF"/>
            <w:tcMar>
              <w:top w:w="0" w:type="dxa"/>
              <w:left w:w="85" w:type="dxa"/>
              <w:bottom w:w="0" w:type="dxa"/>
              <w:right w:w="85" w:type="dxa"/>
            </w:tcMar>
          </w:tcPr>
          <w:p w14:paraId="6CC0078A" w14:textId="77777777" w:rsidR="00387C28" w:rsidRPr="00BE78CA" w:rsidRDefault="00387C28" w:rsidP="00A37132">
            <w:pPr>
              <w:pStyle w:val="TableText"/>
              <w:spacing w:before="50" w:after="50"/>
              <w:jc w:val="right"/>
              <w:rPr>
                <w:rFonts w:cs="Calibri"/>
              </w:rPr>
            </w:pPr>
            <w:r w:rsidRPr="00BE78CA">
              <w:rPr>
                <w:rFonts w:eastAsia="Calibri" w:cs="Calibri"/>
              </w:rPr>
              <w:t>8,527.2</w:t>
            </w:r>
          </w:p>
        </w:tc>
        <w:tc>
          <w:tcPr>
            <w:tcW w:w="937" w:type="dxa"/>
            <w:tcBorders>
              <w:top w:val="single" w:sz="4" w:space="0" w:color="365F91"/>
              <w:bottom w:val="single" w:sz="4" w:space="0" w:color="365F91"/>
            </w:tcBorders>
            <w:shd w:val="clear" w:color="auto" w:fill="FFFFFF"/>
            <w:tcMar>
              <w:top w:w="0" w:type="dxa"/>
              <w:left w:w="85" w:type="dxa"/>
              <w:bottom w:w="0" w:type="dxa"/>
              <w:right w:w="85" w:type="dxa"/>
            </w:tcMar>
          </w:tcPr>
          <w:p w14:paraId="1DEE1AEB" w14:textId="77777777" w:rsidR="00387C28" w:rsidRPr="00BE78CA" w:rsidRDefault="00387C28" w:rsidP="00A37132">
            <w:pPr>
              <w:pStyle w:val="TableText"/>
              <w:spacing w:before="50" w:after="50"/>
              <w:jc w:val="right"/>
              <w:rPr>
                <w:rFonts w:cs="Calibri"/>
              </w:rPr>
            </w:pPr>
            <w:r w:rsidRPr="00BE78CA">
              <w:rPr>
                <w:rFonts w:eastAsia="Calibri" w:cs="Calibri"/>
              </w:rPr>
              <w:t>0.152</w:t>
            </w:r>
          </w:p>
        </w:tc>
        <w:tc>
          <w:tcPr>
            <w:tcW w:w="999" w:type="dxa"/>
            <w:tcBorders>
              <w:top w:val="single" w:sz="4" w:space="0" w:color="365F91"/>
              <w:bottom w:val="single" w:sz="4" w:space="0" w:color="365F91"/>
            </w:tcBorders>
            <w:shd w:val="clear" w:color="auto" w:fill="FFFFFF"/>
            <w:tcMar>
              <w:top w:w="0" w:type="dxa"/>
              <w:left w:w="85" w:type="dxa"/>
              <w:bottom w:w="0" w:type="dxa"/>
              <w:right w:w="85" w:type="dxa"/>
            </w:tcMar>
          </w:tcPr>
          <w:p w14:paraId="528B5E7F" w14:textId="77777777" w:rsidR="00387C28" w:rsidRPr="00BE78CA" w:rsidRDefault="00387C28" w:rsidP="00A37132">
            <w:pPr>
              <w:pStyle w:val="TableText"/>
              <w:spacing w:before="50" w:after="50"/>
              <w:jc w:val="right"/>
              <w:rPr>
                <w:rFonts w:cs="Calibri"/>
              </w:rPr>
            </w:pPr>
            <w:r w:rsidRPr="00BE78CA">
              <w:rPr>
                <w:rFonts w:eastAsia="Calibri" w:cs="Calibri"/>
              </w:rPr>
              <w:t>22.3</w:t>
            </w:r>
          </w:p>
        </w:tc>
        <w:tc>
          <w:tcPr>
            <w:tcW w:w="909" w:type="dxa"/>
            <w:tcBorders>
              <w:top w:val="single" w:sz="4" w:space="0" w:color="365F91"/>
              <w:bottom w:val="single" w:sz="4" w:space="0" w:color="365F91"/>
            </w:tcBorders>
            <w:shd w:val="clear" w:color="auto" w:fill="FFFFFF"/>
            <w:tcMar>
              <w:top w:w="0" w:type="dxa"/>
              <w:left w:w="85" w:type="dxa"/>
              <w:bottom w:w="0" w:type="dxa"/>
              <w:right w:w="85" w:type="dxa"/>
            </w:tcMar>
          </w:tcPr>
          <w:p w14:paraId="47B4FFA9" w14:textId="77777777" w:rsidR="00387C28" w:rsidRPr="00BE78CA" w:rsidRDefault="00387C28" w:rsidP="00A37132">
            <w:pPr>
              <w:pStyle w:val="TableText"/>
              <w:spacing w:before="50" w:after="50"/>
              <w:jc w:val="right"/>
              <w:rPr>
                <w:rFonts w:cs="Calibri"/>
              </w:rPr>
            </w:pPr>
            <w:r w:rsidRPr="00BE78CA">
              <w:rPr>
                <w:rFonts w:eastAsia="Calibri" w:cs="Calibri"/>
              </w:rPr>
              <w:t>22.3</w:t>
            </w:r>
          </w:p>
        </w:tc>
      </w:tr>
      <w:tr w:rsidR="00387C28" w:rsidRPr="00BE78CA" w14:paraId="0FA246B2" w14:textId="77777777" w:rsidTr="00AC70F2">
        <w:trPr>
          <w:cantSplit/>
        </w:trPr>
        <w:tc>
          <w:tcPr>
            <w:tcW w:w="846" w:type="dxa"/>
            <w:tcBorders>
              <w:top w:val="single" w:sz="4" w:space="0" w:color="365F91"/>
              <w:left w:val="single" w:sz="4" w:space="0" w:color="FFFFFF"/>
              <w:bottom w:val="single" w:sz="4" w:space="0" w:color="365F91"/>
            </w:tcBorders>
            <w:shd w:val="clear" w:color="auto" w:fill="FFFFFF"/>
            <w:tcMar>
              <w:top w:w="0" w:type="dxa"/>
              <w:left w:w="85" w:type="dxa"/>
              <w:bottom w:w="0" w:type="dxa"/>
              <w:right w:w="85" w:type="dxa"/>
            </w:tcMar>
          </w:tcPr>
          <w:p w14:paraId="4ED9784C" w14:textId="77777777" w:rsidR="00387C28" w:rsidRPr="00BE78CA" w:rsidRDefault="00387C28" w:rsidP="00A37132">
            <w:pPr>
              <w:pStyle w:val="TableText"/>
              <w:spacing w:before="50" w:after="50"/>
              <w:rPr>
                <w:rFonts w:cs="Calibri"/>
              </w:rPr>
            </w:pPr>
            <w:r w:rsidRPr="00BE78CA">
              <w:rPr>
                <w:rFonts w:eastAsia="Calibri" w:cs="Calibri"/>
              </w:rPr>
              <w:t>3.A.1</w:t>
            </w:r>
          </w:p>
        </w:tc>
        <w:tc>
          <w:tcPr>
            <w:tcW w:w="2410" w:type="dxa"/>
            <w:tcBorders>
              <w:top w:val="single" w:sz="4" w:space="0" w:color="365F91"/>
              <w:bottom w:val="single" w:sz="4" w:space="0" w:color="365F91"/>
            </w:tcBorders>
            <w:shd w:val="clear" w:color="auto" w:fill="FFFFFF"/>
            <w:tcMar>
              <w:top w:w="0" w:type="dxa"/>
              <w:left w:w="85" w:type="dxa"/>
              <w:bottom w:w="0" w:type="dxa"/>
              <w:right w:w="85" w:type="dxa"/>
            </w:tcMar>
          </w:tcPr>
          <w:p w14:paraId="07E8ECFB" w14:textId="77777777" w:rsidR="00387C28" w:rsidRPr="00BE78CA" w:rsidRDefault="00387C28" w:rsidP="00A37132">
            <w:pPr>
              <w:pStyle w:val="TableText"/>
              <w:spacing w:before="50" w:after="50"/>
              <w:rPr>
                <w:rFonts w:cs="Calibri"/>
              </w:rPr>
            </w:pPr>
            <w:r w:rsidRPr="00BE78CA">
              <w:rPr>
                <w:rFonts w:eastAsia="Calibri" w:cs="Calibri"/>
              </w:rPr>
              <w:t>Option A – Dairy Cattle</w:t>
            </w:r>
          </w:p>
        </w:tc>
        <w:tc>
          <w:tcPr>
            <w:tcW w:w="538" w:type="dxa"/>
            <w:tcBorders>
              <w:top w:val="single" w:sz="4" w:space="0" w:color="365F91"/>
              <w:bottom w:val="single" w:sz="4" w:space="0" w:color="365F91"/>
            </w:tcBorders>
            <w:shd w:val="clear" w:color="auto" w:fill="FFFFFF"/>
            <w:tcMar>
              <w:top w:w="0" w:type="dxa"/>
              <w:left w:w="85" w:type="dxa"/>
              <w:bottom w:w="0" w:type="dxa"/>
              <w:right w:w="85" w:type="dxa"/>
            </w:tcMar>
          </w:tcPr>
          <w:p w14:paraId="0DD805D8" w14:textId="77777777" w:rsidR="00387C28" w:rsidRPr="00BE78CA" w:rsidRDefault="00387C28" w:rsidP="00A37132">
            <w:pPr>
              <w:pStyle w:val="TableText"/>
              <w:spacing w:before="50" w:after="50"/>
              <w:rPr>
                <w:rFonts w:cs="Calibri"/>
              </w:rPr>
            </w:pPr>
            <w:r w:rsidRPr="00BE78CA">
              <w:rPr>
                <w:rFonts w:eastAsia="Calibri" w:cs="Calibri"/>
              </w:rPr>
              <w:t>CH</w:t>
            </w:r>
            <w:r w:rsidRPr="00BE78CA">
              <w:rPr>
                <w:rFonts w:eastAsia="Calibri" w:cs="Calibri"/>
                <w:vertAlign w:val="subscript"/>
              </w:rPr>
              <w:t>4</w:t>
            </w:r>
          </w:p>
        </w:tc>
        <w:tc>
          <w:tcPr>
            <w:tcW w:w="928" w:type="dxa"/>
            <w:tcBorders>
              <w:top w:val="single" w:sz="4" w:space="0" w:color="365F91"/>
              <w:bottom w:val="single" w:sz="4" w:space="0" w:color="365F91"/>
            </w:tcBorders>
            <w:shd w:val="clear" w:color="auto" w:fill="FFFFFF"/>
            <w:tcMar>
              <w:top w:w="0" w:type="dxa"/>
              <w:left w:w="85" w:type="dxa"/>
              <w:bottom w:w="0" w:type="dxa"/>
              <w:right w:w="85" w:type="dxa"/>
            </w:tcMar>
          </w:tcPr>
          <w:p w14:paraId="3364ECD6" w14:textId="77777777" w:rsidR="00387C28" w:rsidRPr="00BE78CA" w:rsidRDefault="00387C28" w:rsidP="00A37132">
            <w:pPr>
              <w:pStyle w:val="TableText"/>
              <w:spacing w:before="50" w:after="50"/>
              <w:jc w:val="right"/>
              <w:rPr>
                <w:rFonts w:cs="Calibri"/>
              </w:rPr>
            </w:pPr>
            <w:r w:rsidRPr="00BE78CA">
              <w:rPr>
                <w:rFonts w:eastAsia="Calibri" w:cs="Calibri"/>
              </w:rPr>
              <w:t>6,147.3</w:t>
            </w:r>
          </w:p>
        </w:tc>
        <w:tc>
          <w:tcPr>
            <w:tcW w:w="928" w:type="dxa"/>
            <w:tcBorders>
              <w:top w:val="single" w:sz="4" w:space="0" w:color="365F91"/>
              <w:bottom w:val="single" w:sz="4" w:space="0" w:color="365F91"/>
            </w:tcBorders>
            <w:shd w:val="clear" w:color="auto" w:fill="FFFFFF"/>
            <w:tcMar>
              <w:top w:w="0" w:type="dxa"/>
              <w:left w:w="85" w:type="dxa"/>
              <w:bottom w:w="0" w:type="dxa"/>
              <w:right w:w="85" w:type="dxa"/>
            </w:tcMar>
          </w:tcPr>
          <w:p w14:paraId="41DE9E84" w14:textId="77777777" w:rsidR="00387C28" w:rsidRPr="00BE78CA" w:rsidRDefault="00387C28" w:rsidP="00A37132">
            <w:pPr>
              <w:pStyle w:val="TableText"/>
              <w:spacing w:before="50" w:after="50"/>
              <w:jc w:val="right"/>
              <w:rPr>
                <w:rFonts w:cs="Calibri"/>
              </w:rPr>
            </w:pPr>
            <w:r w:rsidRPr="00BE78CA">
              <w:rPr>
                <w:rFonts w:eastAsia="Calibri" w:cs="Calibri"/>
              </w:rPr>
              <w:t>14,013.6</w:t>
            </w:r>
          </w:p>
        </w:tc>
        <w:tc>
          <w:tcPr>
            <w:tcW w:w="937" w:type="dxa"/>
            <w:tcBorders>
              <w:top w:val="single" w:sz="4" w:space="0" w:color="365F91"/>
              <w:bottom w:val="single" w:sz="4" w:space="0" w:color="365F91"/>
            </w:tcBorders>
            <w:shd w:val="clear" w:color="auto" w:fill="FFFFFF"/>
            <w:tcMar>
              <w:top w:w="0" w:type="dxa"/>
              <w:left w:w="85" w:type="dxa"/>
              <w:bottom w:w="0" w:type="dxa"/>
              <w:right w:w="85" w:type="dxa"/>
            </w:tcMar>
          </w:tcPr>
          <w:p w14:paraId="14740074" w14:textId="77777777" w:rsidR="00387C28" w:rsidRPr="00BE78CA" w:rsidRDefault="00387C28" w:rsidP="00A37132">
            <w:pPr>
              <w:pStyle w:val="TableText"/>
              <w:spacing w:before="50" w:after="50"/>
              <w:jc w:val="right"/>
              <w:rPr>
                <w:rFonts w:cs="Calibri"/>
              </w:rPr>
            </w:pPr>
            <w:r w:rsidRPr="00BE78CA">
              <w:rPr>
                <w:rFonts w:eastAsia="Calibri" w:cs="Calibri"/>
              </w:rPr>
              <w:t>0.096</w:t>
            </w:r>
          </w:p>
        </w:tc>
        <w:tc>
          <w:tcPr>
            <w:tcW w:w="999" w:type="dxa"/>
            <w:tcBorders>
              <w:top w:val="single" w:sz="4" w:space="0" w:color="365F91"/>
              <w:bottom w:val="single" w:sz="4" w:space="0" w:color="365F91"/>
            </w:tcBorders>
            <w:shd w:val="clear" w:color="auto" w:fill="FFFFFF"/>
            <w:tcMar>
              <w:top w:w="0" w:type="dxa"/>
              <w:left w:w="85" w:type="dxa"/>
              <w:bottom w:w="0" w:type="dxa"/>
              <w:right w:w="85" w:type="dxa"/>
            </w:tcMar>
          </w:tcPr>
          <w:p w14:paraId="41421518" w14:textId="77777777" w:rsidR="00387C28" w:rsidRPr="00BE78CA" w:rsidRDefault="00387C28" w:rsidP="00A37132">
            <w:pPr>
              <w:pStyle w:val="TableText"/>
              <w:spacing w:before="50" w:after="50"/>
              <w:jc w:val="right"/>
              <w:rPr>
                <w:rFonts w:cs="Calibri"/>
              </w:rPr>
            </w:pPr>
            <w:r w:rsidRPr="00BE78CA">
              <w:rPr>
                <w:rFonts w:eastAsia="Calibri" w:cs="Calibri"/>
              </w:rPr>
              <w:t>14.1</w:t>
            </w:r>
          </w:p>
        </w:tc>
        <w:tc>
          <w:tcPr>
            <w:tcW w:w="909" w:type="dxa"/>
            <w:tcBorders>
              <w:top w:val="single" w:sz="4" w:space="0" w:color="365F91"/>
              <w:bottom w:val="single" w:sz="4" w:space="0" w:color="365F91"/>
            </w:tcBorders>
            <w:shd w:val="clear" w:color="auto" w:fill="FFFFFF"/>
            <w:tcMar>
              <w:top w:w="0" w:type="dxa"/>
              <w:left w:w="85" w:type="dxa"/>
              <w:bottom w:w="0" w:type="dxa"/>
              <w:right w:w="85" w:type="dxa"/>
            </w:tcMar>
          </w:tcPr>
          <w:p w14:paraId="1F3000FA" w14:textId="77777777" w:rsidR="00387C28" w:rsidRPr="00BE78CA" w:rsidRDefault="00387C28" w:rsidP="00A37132">
            <w:pPr>
              <w:pStyle w:val="TableText"/>
              <w:spacing w:before="50" w:after="50"/>
              <w:jc w:val="right"/>
              <w:rPr>
                <w:rFonts w:cs="Calibri"/>
              </w:rPr>
            </w:pPr>
            <w:r w:rsidRPr="00BE78CA">
              <w:rPr>
                <w:rFonts w:eastAsia="Calibri" w:cs="Calibri"/>
              </w:rPr>
              <w:t>36.5</w:t>
            </w:r>
          </w:p>
        </w:tc>
      </w:tr>
      <w:tr w:rsidR="00387C28" w:rsidRPr="00BE78CA" w14:paraId="6486D066" w14:textId="77777777" w:rsidTr="00AC70F2">
        <w:trPr>
          <w:cantSplit/>
        </w:trPr>
        <w:tc>
          <w:tcPr>
            <w:tcW w:w="846" w:type="dxa"/>
            <w:tcBorders>
              <w:top w:val="single" w:sz="4" w:space="0" w:color="365F91"/>
              <w:left w:val="single" w:sz="4" w:space="0" w:color="FFFFFF"/>
              <w:bottom w:val="single" w:sz="4" w:space="0" w:color="365F91"/>
            </w:tcBorders>
            <w:shd w:val="clear" w:color="auto" w:fill="FFFFFF"/>
            <w:tcMar>
              <w:top w:w="0" w:type="dxa"/>
              <w:left w:w="85" w:type="dxa"/>
              <w:bottom w:w="0" w:type="dxa"/>
              <w:right w:w="85" w:type="dxa"/>
            </w:tcMar>
          </w:tcPr>
          <w:p w14:paraId="5F7EE644" w14:textId="77777777" w:rsidR="00387C28" w:rsidRPr="00BE78CA" w:rsidRDefault="00387C28" w:rsidP="00A37132">
            <w:pPr>
              <w:pStyle w:val="TableText"/>
              <w:spacing w:before="50" w:after="50"/>
              <w:rPr>
                <w:rFonts w:cs="Calibri"/>
              </w:rPr>
            </w:pPr>
            <w:r w:rsidRPr="00BE78CA">
              <w:rPr>
                <w:rFonts w:eastAsia="Calibri" w:cs="Calibri"/>
              </w:rPr>
              <w:t>1.A.3.b</w:t>
            </w:r>
          </w:p>
        </w:tc>
        <w:tc>
          <w:tcPr>
            <w:tcW w:w="2410" w:type="dxa"/>
            <w:tcBorders>
              <w:top w:val="single" w:sz="4" w:space="0" w:color="365F91"/>
              <w:bottom w:val="single" w:sz="4" w:space="0" w:color="365F91"/>
            </w:tcBorders>
            <w:shd w:val="clear" w:color="auto" w:fill="FFFFFF"/>
            <w:tcMar>
              <w:top w:w="0" w:type="dxa"/>
              <w:left w:w="85" w:type="dxa"/>
              <w:bottom w:w="0" w:type="dxa"/>
              <w:right w:w="85" w:type="dxa"/>
            </w:tcMar>
          </w:tcPr>
          <w:p w14:paraId="2254A31C" w14:textId="77777777" w:rsidR="00387C28" w:rsidRPr="00BE78CA" w:rsidRDefault="00387C28" w:rsidP="00A37132">
            <w:pPr>
              <w:pStyle w:val="TableText"/>
              <w:spacing w:before="50" w:after="50"/>
              <w:rPr>
                <w:rFonts w:cs="Calibri"/>
              </w:rPr>
            </w:pPr>
            <w:r w:rsidRPr="00BE78CA">
              <w:rPr>
                <w:rFonts w:eastAsia="Calibri" w:cs="Calibri"/>
              </w:rPr>
              <w:t>Transport – Road Transportation</w:t>
            </w:r>
          </w:p>
        </w:tc>
        <w:tc>
          <w:tcPr>
            <w:tcW w:w="538" w:type="dxa"/>
            <w:tcBorders>
              <w:top w:val="single" w:sz="4" w:space="0" w:color="365F91"/>
              <w:bottom w:val="single" w:sz="4" w:space="0" w:color="365F91"/>
            </w:tcBorders>
            <w:shd w:val="clear" w:color="auto" w:fill="FFFFFF"/>
            <w:tcMar>
              <w:top w:w="0" w:type="dxa"/>
              <w:left w:w="85" w:type="dxa"/>
              <w:bottom w:w="0" w:type="dxa"/>
              <w:right w:w="85" w:type="dxa"/>
            </w:tcMar>
          </w:tcPr>
          <w:p w14:paraId="24022BEF" w14:textId="77777777" w:rsidR="00387C28" w:rsidRPr="00BE78CA" w:rsidRDefault="00387C28" w:rsidP="00A37132">
            <w:pPr>
              <w:pStyle w:val="TableText"/>
              <w:spacing w:before="50" w:after="50"/>
              <w:rPr>
                <w:rFonts w:cs="Calibri"/>
              </w:rPr>
            </w:pPr>
            <w:r w:rsidRPr="00BE78CA">
              <w:rPr>
                <w:rFonts w:eastAsia="Calibri" w:cs="Calibri"/>
              </w:rPr>
              <w:t>CO</w:t>
            </w:r>
            <w:r w:rsidRPr="00BE78CA">
              <w:rPr>
                <w:rFonts w:eastAsia="Calibri" w:cs="Calibri"/>
                <w:vertAlign w:val="subscript"/>
              </w:rPr>
              <w:t>2</w:t>
            </w:r>
          </w:p>
        </w:tc>
        <w:tc>
          <w:tcPr>
            <w:tcW w:w="928" w:type="dxa"/>
            <w:tcBorders>
              <w:top w:val="single" w:sz="4" w:space="0" w:color="365F91"/>
              <w:bottom w:val="single" w:sz="4" w:space="0" w:color="365F91"/>
            </w:tcBorders>
            <w:shd w:val="clear" w:color="auto" w:fill="FFFFFF"/>
            <w:tcMar>
              <w:top w:w="0" w:type="dxa"/>
              <w:left w:w="85" w:type="dxa"/>
              <w:bottom w:w="0" w:type="dxa"/>
              <w:right w:w="85" w:type="dxa"/>
            </w:tcMar>
          </w:tcPr>
          <w:p w14:paraId="025C4399" w14:textId="77777777" w:rsidR="00387C28" w:rsidRPr="00BE78CA" w:rsidRDefault="00387C28" w:rsidP="00A37132">
            <w:pPr>
              <w:pStyle w:val="TableText"/>
              <w:spacing w:before="50" w:after="50"/>
              <w:jc w:val="right"/>
              <w:rPr>
                <w:rFonts w:cs="Calibri"/>
              </w:rPr>
            </w:pPr>
            <w:r w:rsidRPr="00BE78CA">
              <w:rPr>
                <w:rFonts w:eastAsia="Calibri" w:cs="Calibri"/>
              </w:rPr>
              <w:t>7,164.6</w:t>
            </w:r>
          </w:p>
        </w:tc>
        <w:tc>
          <w:tcPr>
            <w:tcW w:w="928" w:type="dxa"/>
            <w:tcBorders>
              <w:top w:val="single" w:sz="4" w:space="0" w:color="365F91"/>
              <w:bottom w:val="single" w:sz="4" w:space="0" w:color="365F91"/>
            </w:tcBorders>
            <w:shd w:val="clear" w:color="auto" w:fill="FFFFFF"/>
            <w:tcMar>
              <w:top w:w="0" w:type="dxa"/>
              <w:left w:w="85" w:type="dxa"/>
              <w:bottom w:w="0" w:type="dxa"/>
              <w:right w:w="85" w:type="dxa"/>
            </w:tcMar>
          </w:tcPr>
          <w:p w14:paraId="2899FAE8" w14:textId="77777777" w:rsidR="00387C28" w:rsidRPr="00BE78CA" w:rsidRDefault="00387C28" w:rsidP="00A37132">
            <w:pPr>
              <w:pStyle w:val="TableText"/>
              <w:spacing w:before="50" w:after="50"/>
              <w:jc w:val="right"/>
              <w:rPr>
                <w:rFonts w:cs="Calibri"/>
              </w:rPr>
            </w:pPr>
            <w:r w:rsidRPr="00BE78CA">
              <w:rPr>
                <w:rFonts w:eastAsia="Calibri" w:cs="Calibri"/>
              </w:rPr>
              <w:t>14,559.4</w:t>
            </w:r>
          </w:p>
        </w:tc>
        <w:tc>
          <w:tcPr>
            <w:tcW w:w="937" w:type="dxa"/>
            <w:tcBorders>
              <w:top w:val="single" w:sz="4" w:space="0" w:color="365F91"/>
              <w:bottom w:val="single" w:sz="4" w:space="0" w:color="365F91"/>
            </w:tcBorders>
            <w:shd w:val="clear" w:color="auto" w:fill="FFFFFF"/>
            <w:tcMar>
              <w:top w:w="0" w:type="dxa"/>
              <w:left w:w="85" w:type="dxa"/>
              <w:bottom w:w="0" w:type="dxa"/>
              <w:right w:w="85" w:type="dxa"/>
            </w:tcMar>
          </w:tcPr>
          <w:p w14:paraId="363B6436" w14:textId="77777777" w:rsidR="00387C28" w:rsidRPr="00BE78CA" w:rsidRDefault="00387C28" w:rsidP="00A37132">
            <w:pPr>
              <w:pStyle w:val="TableText"/>
              <w:spacing w:before="50" w:after="50"/>
              <w:jc w:val="right"/>
              <w:rPr>
                <w:rFonts w:cs="Calibri"/>
              </w:rPr>
            </w:pPr>
            <w:r w:rsidRPr="00BE78CA">
              <w:rPr>
                <w:rFonts w:eastAsia="Calibri" w:cs="Calibri"/>
              </w:rPr>
              <w:t>0.085</w:t>
            </w:r>
          </w:p>
        </w:tc>
        <w:tc>
          <w:tcPr>
            <w:tcW w:w="999" w:type="dxa"/>
            <w:tcBorders>
              <w:top w:val="single" w:sz="4" w:space="0" w:color="365F91"/>
              <w:bottom w:val="single" w:sz="4" w:space="0" w:color="365F91"/>
            </w:tcBorders>
            <w:shd w:val="clear" w:color="auto" w:fill="FFFFFF"/>
            <w:tcMar>
              <w:top w:w="0" w:type="dxa"/>
              <w:left w:w="85" w:type="dxa"/>
              <w:bottom w:w="0" w:type="dxa"/>
              <w:right w:w="85" w:type="dxa"/>
            </w:tcMar>
          </w:tcPr>
          <w:p w14:paraId="1F803280" w14:textId="77777777" w:rsidR="00387C28" w:rsidRPr="00BE78CA" w:rsidRDefault="00387C28" w:rsidP="00A37132">
            <w:pPr>
              <w:pStyle w:val="TableText"/>
              <w:spacing w:before="50" w:after="50"/>
              <w:jc w:val="right"/>
              <w:rPr>
                <w:rFonts w:cs="Calibri"/>
              </w:rPr>
            </w:pPr>
            <w:r w:rsidRPr="00BE78CA">
              <w:rPr>
                <w:rFonts w:eastAsia="Calibri" w:cs="Calibri"/>
              </w:rPr>
              <w:t>12.5</w:t>
            </w:r>
          </w:p>
        </w:tc>
        <w:tc>
          <w:tcPr>
            <w:tcW w:w="909" w:type="dxa"/>
            <w:tcBorders>
              <w:top w:val="single" w:sz="4" w:space="0" w:color="365F91"/>
              <w:bottom w:val="single" w:sz="4" w:space="0" w:color="365F91"/>
            </w:tcBorders>
            <w:shd w:val="clear" w:color="auto" w:fill="FFFFFF"/>
            <w:tcMar>
              <w:top w:w="0" w:type="dxa"/>
              <w:left w:w="85" w:type="dxa"/>
              <w:bottom w:w="0" w:type="dxa"/>
              <w:right w:w="85" w:type="dxa"/>
            </w:tcMar>
          </w:tcPr>
          <w:p w14:paraId="141E2BE6" w14:textId="77777777" w:rsidR="00387C28" w:rsidRPr="00BE78CA" w:rsidRDefault="00387C28" w:rsidP="00A37132">
            <w:pPr>
              <w:pStyle w:val="TableText"/>
              <w:spacing w:before="50" w:after="50"/>
              <w:jc w:val="right"/>
              <w:rPr>
                <w:rFonts w:cs="Calibri"/>
              </w:rPr>
            </w:pPr>
            <w:r w:rsidRPr="00BE78CA">
              <w:rPr>
                <w:rFonts w:eastAsia="Calibri" w:cs="Calibri"/>
              </w:rPr>
              <w:t>48.9</w:t>
            </w:r>
          </w:p>
        </w:tc>
      </w:tr>
      <w:tr w:rsidR="00387C28" w:rsidRPr="00BE78CA" w14:paraId="30369EFE" w14:textId="77777777" w:rsidTr="00AC70F2">
        <w:trPr>
          <w:cantSplit/>
        </w:trPr>
        <w:tc>
          <w:tcPr>
            <w:tcW w:w="846" w:type="dxa"/>
            <w:tcBorders>
              <w:top w:val="single" w:sz="4" w:space="0" w:color="365F91"/>
              <w:left w:val="single" w:sz="4" w:space="0" w:color="FFFFFF"/>
              <w:bottom w:val="single" w:sz="4" w:space="0" w:color="365F91"/>
            </w:tcBorders>
            <w:shd w:val="clear" w:color="auto" w:fill="FFFFFF"/>
            <w:tcMar>
              <w:top w:w="0" w:type="dxa"/>
              <w:left w:w="85" w:type="dxa"/>
              <w:bottom w:w="0" w:type="dxa"/>
              <w:right w:w="85" w:type="dxa"/>
            </w:tcMar>
          </w:tcPr>
          <w:p w14:paraId="22F5BB96" w14:textId="77777777" w:rsidR="00387C28" w:rsidRPr="00BE78CA" w:rsidRDefault="00387C28" w:rsidP="00A37132">
            <w:pPr>
              <w:pStyle w:val="TableText"/>
              <w:spacing w:before="50" w:after="50"/>
              <w:rPr>
                <w:rFonts w:cs="Calibri"/>
              </w:rPr>
            </w:pPr>
            <w:r w:rsidRPr="00BE78CA">
              <w:rPr>
                <w:rFonts w:eastAsia="Calibri" w:cs="Calibri"/>
              </w:rPr>
              <w:t>1.A.1.c</w:t>
            </w:r>
          </w:p>
        </w:tc>
        <w:tc>
          <w:tcPr>
            <w:tcW w:w="2410" w:type="dxa"/>
            <w:tcBorders>
              <w:top w:val="single" w:sz="4" w:space="0" w:color="365F91"/>
              <w:bottom w:val="single" w:sz="4" w:space="0" w:color="365F91"/>
            </w:tcBorders>
            <w:shd w:val="clear" w:color="auto" w:fill="FFFFFF"/>
            <w:tcMar>
              <w:top w:w="0" w:type="dxa"/>
              <w:left w:w="85" w:type="dxa"/>
              <w:bottom w:w="0" w:type="dxa"/>
              <w:right w:w="85" w:type="dxa"/>
            </w:tcMar>
          </w:tcPr>
          <w:p w14:paraId="482A3DDC" w14:textId="77777777" w:rsidR="00387C28" w:rsidRPr="00BE78CA" w:rsidRDefault="00387C28" w:rsidP="00A37132">
            <w:pPr>
              <w:pStyle w:val="TableText"/>
              <w:spacing w:before="50" w:after="50"/>
              <w:rPr>
                <w:rFonts w:cs="Calibri"/>
              </w:rPr>
            </w:pPr>
            <w:r w:rsidRPr="00BE78CA">
              <w:rPr>
                <w:rFonts w:eastAsia="Calibri" w:cs="Calibri"/>
              </w:rPr>
              <w:t>Energy Industries – Manufacture of Solid Fuels and Other Energy Industries</w:t>
            </w:r>
          </w:p>
        </w:tc>
        <w:tc>
          <w:tcPr>
            <w:tcW w:w="538" w:type="dxa"/>
            <w:tcBorders>
              <w:top w:val="single" w:sz="4" w:space="0" w:color="365F91"/>
              <w:bottom w:val="single" w:sz="4" w:space="0" w:color="365F91"/>
            </w:tcBorders>
            <w:shd w:val="clear" w:color="auto" w:fill="FFFFFF"/>
            <w:tcMar>
              <w:top w:w="0" w:type="dxa"/>
              <w:left w:w="85" w:type="dxa"/>
              <w:bottom w:w="0" w:type="dxa"/>
              <w:right w:w="85" w:type="dxa"/>
            </w:tcMar>
          </w:tcPr>
          <w:p w14:paraId="17940EFF" w14:textId="77777777" w:rsidR="00387C28" w:rsidRPr="00BE78CA" w:rsidRDefault="00387C28" w:rsidP="00A37132">
            <w:pPr>
              <w:pStyle w:val="TableText"/>
              <w:spacing w:before="50" w:after="50"/>
              <w:rPr>
                <w:rFonts w:cs="Calibri"/>
              </w:rPr>
            </w:pPr>
            <w:r w:rsidRPr="00BE78CA">
              <w:rPr>
                <w:rFonts w:eastAsia="Calibri" w:cs="Calibri"/>
              </w:rPr>
              <w:t>CO</w:t>
            </w:r>
            <w:r w:rsidRPr="00BE78CA">
              <w:rPr>
                <w:rFonts w:eastAsia="Calibri" w:cs="Calibri"/>
                <w:vertAlign w:val="subscript"/>
              </w:rPr>
              <w:t>2</w:t>
            </w:r>
          </w:p>
        </w:tc>
        <w:tc>
          <w:tcPr>
            <w:tcW w:w="928" w:type="dxa"/>
            <w:tcBorders>
              <w:top w:val="single" w:sz="4" w:space="0" w:color="365F91"/>
              <w:bottom w:val="single" w:sz="4" w:space="0" w:color="365F91"/>
            </w:tcBorders>
            <w:shd w:val="clear" w:color="auto" w:fill="FFFFFF"/>
            <w:tcMar>
              <w:top w:w="0" w:type="dxa"/>
              <w:left w:w="85" w:type="dxa"/>
              <w:bottom w:w="0" w:type="dxa"/>
              <w:right w:w="85" w:type="dxa"/>
            </w:tcMar>
          </w:tcPr>
          <w:p w14:paraId="260FF998" w14:textId="77777777" w:rsidR="00387C28" w:rsidRPr="00BE78CA" w:rsidRDefault="00387C28" w:rsidP="00A37132">
            <w:pPr>
              <w:pStyle w:val="TableText"/>
              <w:spacing w:before="50" w:after="50"/>
              <w:jc w:val="right"/>
              <w:rPr>
                <w:rFonts w:cs="Calibri"/>
              </w:rPr>
            </w:pPr>
            <w:r w:rsidRPr="00BE78CA">
              <w:rPr>
                <w:rFonts w:eastAsia="Calibri" w:cs="Calibri"/>
              </w:rPr>
              <w:t>1,761.0</w:t>
            </w:r>
          </w:p>
        </w:tc>
        <w:tc>
          <w:tcPr>
            <w:tcW w:w="928" w:type="dxa"/>
            <w:tcBorders>
              <w:top w:val="single" w:sz="4" w:space="0" w:color="365F91"/>
              <w:bottom w:val="single" w:sz="4" w:space="0" w:color="365F91"/>
            </w:tcBorders>
            <w:shd w:val="clear" w:color="auto" w:fill="FFFFFF"/>
            <w:tcMar>
              <w:top w:w="0" w:type="dxa"/>
              <w:left w:w="85" w:type="dxa"/>
              <w:bottom w:w="0" w:type="dxa"/>
              <w:right w:w="85" w:type="dxa"/>
            </w:tcMar>
          </w:tcPr>
          <w:p w14:paraId="4DE71575" w14:textId="77777777" w:rsidR="00387C28" w:rsidRPr="00BE78CA" w:rsidRDefault="00387C28" w:rsidP="00A37132">
            <w:pPr>
              <w:pStyle w:val="TableText"/>
              <w:spacing w:before="50" w:after="50"/>
              <w:jc w:val="right"/>
              <w:rPr>
                <w:rFonts w:cs="Calibri"/>
              </w:rPr>
            </w:pPr>
            <w:r w:rsidRPr="00BE78CA">
              <w:rPr>
                <w:rFonts w:eastAsia="Calibri" w:cs="Calibri"/>
              </w:rPr>
              <w:t>354.0</w:t>
            </w:r>
          </w:p>
        </w:tc>
        <w:tc>
          <w:tcPr>
            <w:tcW w:w="937" w:type="dxa"/>
            <w:tcBorders>
              <w:top w:val="single" w:sz="4" w:space="0" w:color="365F91"/>
              <w:bottom w:val="single" w:sz="4" w:space="0" w:color="365F91"/>
            </w:tcBorders>
            <w:shd w:val="clear" w:color="auto" w:fill="FFFFFF"/>
            <w:tcMar>
              <w:top w:w="0" w:type="dxa"/>
              <w:left w:w="85" w:type="dxa"/>
              <w:bottom w:w="0" w:type="dxa"/>
              <w:right w:w="85" w:type="dxa"/>
            </w:tcMar>
          </w:tcPr>
          <w:p w14:paraId="352F1028" w14:textId="77777777" w:rsidR="00387C28" w:rsidRPr="00BE78CA" w:rsidRDefault="00387C28" w:rsidP="00A37132">
            <w:pPr>
              <w:pStyle w:val="TableText"/>
              <w:spacing w:before="50" w:after="50"/>
              <w:jc w:val="right"/>
              <w:rPr>
                <w:rFonts w:cs="Calibri"/>
              </w:rPr>
            </w:pPr>
            <w:r w:rsidRPr="00BE78CA">
              <w:rPr>
                <w:rFonts w:eastAsia="Calibri" w:cs="Calibri"/>
              </w:rPr>
              <w:t>0.029</w:t>
            </w:r>
          </w:p>
        </w:tc>
        <w:tc>
          <w:tcPr>
            <w:tcW w:w="999" w:type="dxa"/>
            <w:tcBorders>
              <w:top w:val="single" w:sz="4" w:space="0" w:color="365F91"/>
              <w:bottom w:val="single" w:sz="4" w:space="0" w:color="365F91"/>
            </w:tcBorders>
            <w:shd w:val="clear" w:color="auto" w:fill="FFFFFF"/>
            <w:tcMar>
              <w:top w:w="0" w:type="dxa"/>
              <w:left w:w="85" w:type="dxa"/>
              <w:bottom w:w="0" w:type="dxa"/>
              <w:right w:w="85" w:type="dxa"/>
            </w:tcMar>
          </w:tcPr>
          <w:p w14:paraId="698BA286" w14:textId="77777777" w:rsidR="00387C28" w:rsidRPr="00BE78CA" w:rsidRDefault="00387C28" w:rsidP="00A37132">
            <w:pPr>
              <w:pStyle w:val="TableText"/>
              <w:spacing w:before="50" w:after="50"/>
              <w:jc w:val="right"/>
              <w:rPr>
                <w:rFonts w:cs="Calibri"/>
              </w:rPr>
            </w:pPr>
            <w:r w:rsidRPr="00BE78CA">
              <w:rPr>
                <w:rFonts w:eastAsia="Calibri" w:cs="Calibri"/>
              </w:rPr>
              <w:t>4.2</w:t>
            </w:r>
          </w:p>
        </w:tc>
        <w:tc>
          <w:tcPr>
            <w:tcW w:w="909" w:type="dxa"/>
            <w:tcBorders>
              <w:top w:val="single" w:sz="4" w:space="0" w:color="365F91"/>
              <w:bottom w:val="single" w:sz="4" w:space="0" w:color="365F91"/>
            </w:tcBorders>
            <w:shd w:val="clear" w:color="auto" w:fill="FFFFFF"/>
            <w:tcMar>
              <w:top w:w="0" w:type="dxa"/>
              <w:left w:w="85" w:type="dxa"/>
              <w:bottom w:w="0" w:type="dxa"/>
              <w:right w:w="85" w:type="dxa"/>
            </w:tcMar>
          </w:tcPr>
          <w:p w14:paraId="2CE6E046" w14:textId="77777777" w:rsidR="00387C28" w:rsidRPr="00BE78CA" w:rsidRDefault="00387C28" w:rsidP="00A37132">
            <w:pPr>
              <w:pStyle w:val="TableText"/>
              <w:spacing w:before="50" w:after="50"/>
              <w:jc w:val="right"/>
              <w:rPr>
                <w:rFonts w:cs="Calibri"/>
              </w:rPr>
            </w:pPr>
            <w:r w:rsidRPr="00BE78CA">
              <w:rPr>
                <w:rFonts w:eastAsia="Calibri" w:cs="Calibri"/>
              </w:rPr>
              <w:t>53.2</w:t>
            </w:r>
          </w:p>
        </w:tc>
      </w:tr>
      <w:tr w:rsidR="00387C28" w:rsidRPr="00BE78CA" w14:paraId="042EFF57" w14:textId="77777777" w:rsidTr="00AC70F2">
        <w:trPr>
          <w:cantSplit/>
        </w:trPr>
        <w:tc>
          <w:tcPr>
            <w:tcW w:w="846" w:type="dxa"/>
            <w:tcBorders>
              <w:top w:val="single" w:sz="4" w:space="0" w:color="365F91"/>
              <w:left w:val="single" w:sz="4" w:space="0" w:color="FFFFFF"/>
              <w:bottom w:val="single" w:sz="4" w:space="0" w:color="365F91"/>
            </w:tcBorders>
            <w:shd w:val="clear" w:color="auto" w:fill="FFFFFF"/>
            <w:tcMar>
              <w:top w:w="0" w:type="dxa"/>
              <w:left w:w="85" w:type="dxa"/>
              <w:bottom w:w="0" w:type="dxa"/>
              <w:right w:w="85" w:type="dxa"/>
            </w:tcMar>
          </w:tcPr>
          <w:p w14:paraId="3A7E4DA4" w14:textId="77777777" w:rsidR="00387C28" w:rsidRPr="00BE78CA" w:rsidRDefault="00387C28" w:rsidP="00A37132">
            <w:pPr>
              <w:pStyle w:val="TableText"/>
              <w:spacing w:before="50" w:after="50"/>
              <w:rPr>
                <w:rFonts w:cs="Calibri"/>
              </w:rPr>
            </w:pPr>
            <w:r w:rsidRPr="00BE78CA">
              <w:rPr>
                <w:rFonts w:eastAsia="Calibri" w:cs="Calibri"/>
              </w:rPr>
              <w:t>2.F.1</w:t>
            </w:r>
          </w:p>
        </w:tc>
        <w:tc>
          <w:tcPr>
            <w:tcW w:w="2410" w:type="dxa"/>
            <w:tcBorders>
              <w:top w:val="single" w:sz="4" w:space="0" w:color="365F91"/>
              <w:bottom w:val="single" w:sz="4" w:space="0" w:color="365F91"/>
            </w:tcBorders>
            <w:shd w:val="clear" w:color="auto" w:fill="FFFFFF"/>
            <w:tcMar>
              <w:top w:w="0" w:type="dxa"/>
              <w:left w:w="85" w:type="dxa"/>
              <w:bottom w:w="0" w:type="dxa"/>
              <w:right w:w="85" w:type="dxa"/>
            </w:tcMar>
          </w:tcPr>
          <w:p w14:paraId="1A755E7A" w14:textId="77777777" w:rsidR="00387C28" w:rsidRPr="00BE78CA" w:rsidRDefault="00387C28" w:rsidP="00A37132">
            <w:pPr>
              <w:pStyle w:val="TableText"/>
              <w:spacing w:before="50" w:after="50"/>
              <w:rPr>
                <w:rFonts w:cs="Calibri"/>
              </w:rPr>
            </w:pPr>
            <w:r w:rsidRPr="00BE78CA">
              <w:rPr>
                <w:rFonts w:eastAsia="Calibri" w:cs="Calibri"/>
              </w:rPr>
              <w:t>Product Uses as Substitutes for ODS – Refrigeration and Air Conditioning</w:t>
            </w:r>
          </w:p>
        </w:tc>
        <w:tc>
          <w:tcPr>
            <w:tcW w:w="538" w:type="dxa"/>
            <w:tcBorders>
              <w:top w:val="single" w:sz="4" w:space="0" w:color="365F91"/>
              <w:bottom w:val="single" w:sz="4" w:space="0" w:color="365F91"/>
            </w:tcBorders>
            <w:shd w:val="clear" w:color="auto" w:fill="FFFFFF"/>
            <w:tcMar>
              <w:top w:w="0" w:type="dxa"/>
              <w:left w:w="85" w:type="dxa"/>
              <w:bottom w:w="0" w:type="dxa"/>
              <w:right w:w="85" w:type="dxa"/>
            </w:tcMar>
          </w:tcPr>
          <w:p w14:paraId="23B63641" w14:textId="77777777" w:rsidR="00387C28" w:rsidRPr="00BE78CA" w:rsidRDefault="00387C28" w:rsidP="00A37132">
            <w:pPr>
              <w:pStyle w:val="TableText"/>
              <w:spacing w:before="50" w:after="50"/>
              <w:rPr>
                <w:rFonts w:cs="Calibri"/>
              </w:rPr>
            </w:pPr>
            <w:r w:rsidRPr="00BE78CA">
              <w:rPr>
                <w:rFonts w:eastAsia="Calibri" w:cs="Calibri"/>
              </w:rPr>
              <w:t>HFCs</w:t>
            </w:r>
          </w:p>
        </w:tc>
        <w:tc>
          <w:tcPr>
            <w:tcW w:w="928" w:type="dxa"/>
            <w:tcBorders>
              <w:top w:val="single" w:sz="4" w:space="0" w:color="365F91"/>
              <w:bottom w:val="single" w:sz="4" w:space="0" w:color="365F91"/>
            </w:tcBorders>
            <w:shd w:val="clear" w:color="auto" w:fill="FFFFFF"/>
            <w:tcMar>
              <w:top w:w="0" w:type="dxa"/>
              <w:left w:w="85" w:type="dxa"/>
              <w:bottom w:w="0" w:type="dxa"/>
              <w:right w:w="85" w:type="dxa"/>
            </w:tcMar>
          </w:tcPr>
          <w:p w14:paraId="204C1D7A" w14:textId="77777777" w:rsidR="00387C28" w:rsidRPr="00BE78CA" w:rsidRDefault="00387C28" w:rsidP="00A37132">
            <w:pPr>
              <w:pStyle w:val="TableText"/>
              <w:spacing w:before="50" w:after="50"/>
              <w:jc w:val="right"/>
              <w:rPr>
                <w:rFonts w:cs="Calibri"/>
              </w:rPr>
            </w:pPr>
            <w:r w:rsidRPr="00BE78CA">
              <w:rPr>
                <w:rFonts w:eastAsia="Calibri" w:cs="Calibri"/>
              </w:rPr>
              <w:t>0.0</w:t>
            </w:r>
          </w:p>
        </w:tc>
        <w:tc>
          <w:tcPr>
            <w:tcW w:w="928" w:type="dxa"/>
            <w:tcBorders>
              <w:top w:val="single" w:sz="4" w:space="0" w:color="365F91"/>
              <w:bottom w:val="single" w:sz="4" w:space="0" w:color="365F91"/>
            </w:tcBorders>
            <w:shd w:val="clear" w:color="auto" w:fill="FFFFFF"/>
            <w:tcMar>
              <w:top w:w="0" w:type="dxa"/>
              <w:left w:w="85" w:type="dxa"/>
              <w:bottom w:w="0" w:type="dxa"/>
              <w:right w:w="85" w:type="dxa"/>
            </w:tcMar>
          </w:tcPr>
          <w:p w14:paraId="23139E33" w14:textId="77777777" w:rsidR="00387C28" w:rsidRPr="00BE78CA" w:rsidRDefault="00387C28" w:rsidP="00A37132">
            <w:pPr>
              <w:pStyle w:val="TableText"/>
              <w:spacing w:before="50" w:after="50"/>
              <w:jc w:val="right"/>
              <w:rPr>
                <w:rFonts w:cs="Calibri"/>
              </w:rPr>
            </w:pPr>
            <w:r w:rsidRPr="00BE78CA">
              <w:rPr>
                <w:rFonts w:eastAsia="Calibri" w:cs="Calibri"/>
              </w:rPr>
              <w:t>1,637.7</w:t>
            </w:r>
          </w:p>
        </w:tc>
        <w:tc>
          <w:tcPr>
            <w:tcW w:w="937" w:type="dxa"/>
            <w:tcBorders>
              <w:top w:val="single" w:sz="4" w:space="0" w:color="365F91"/>
              <w:bottom w:val="single" w:sz="4" w:space="0" w:color="365F91"/>
            </w:tcBorders>
            <w:shd w:val="clear" w:color="auto" w:fill="FFFFFF"/>
            <w:tcMar>
              <w:top w:w="0" w:type="dxa"/>
              <w:left w:w="85" w:type="dxa"/>
              <w:bottom w:w="0" w:type="dxa"/>
              <w:right w:w="85" w:type="dxa"/>
            </w:tcMar>
          </w:tcPr>
          <w:p w14:paraId="42A8CBF1" w14:textId="77777777" w:rsidR="00387C28" w:rsidRPr="00BE78CA" w:rsidRDefault="00387C28" w:rsidP="00A37132">
            <w:pPr>
              <w:pStyle w:val="TableText"/>
              <w:spacing w:before="50" w:after="50"/>
              <w:jc w:val="right"/>
              <w:rPr>
                <w:rFonts w:cs="Calibri"/>
              </w:rPr>
            </w:pPr>
            <w:r w:rsidRPr="00BE78CA">
              <w:rPr>
                <w:rFonts w:eastAsia="Calibri" w:cs="Calibri"/>
              </w:rPr>
              <w:t>0.025</w:t>
            </w:r>
          </w:p>
        </w:tc>
        <w:tc>
          <w:tcPr>
            <w:tcW w:w="999" w:type="dxa"/>
            <w:tcBorders>
              <w:top w:val="single" w:sz="4" w:space="0" w:color="365F91"/>
              <w:bottom w:val="single" w:sz="4" w:space="0" w:color="365F91"/>
            </w:tcBorders>
            <w:shd w:val="clear" w:color="auto" w:fill="FFFFFF"/>
            <w:tcMar>
              <w:top w:w="0" w:type="dxa"/>
              <w:left w:w="85" w:type="dxa"/>
              <w:bottom w:w="0" w:type="dxa"/>
              <w:right w:w="85" w:type="dxa"/>
            </w:tcMar>
          </w:tcPr>
          <w:p w14:paraId="60A4A5FB" w14:textId="77777777" w:rsidR="00387C28" w:rsidRPr="00BE78CA" w:rsidRDefault="00387C28" w:rsidP="00A37132">
            <w:pPr>
              <w:pStyle w:val="TableText"/>
              <w:spacing w:before="50" w:after="50"/>
              <w:jc w:val="right"/>
              <w:rPr>
                <w:rFonts w:cs="Calibri"/>
              </w:rPr>
            </w:pPr>
            <w:r w:rsidRPr="00BE78CA">
              <w:rPr>
                <w:rFonts w:eastAsia="Calibri" w:cs="Calibri"/>
              </w:rPr>
              <w:t>3.7</w:t>
            </w:r>
          </w:p>
        </w:tc>
        <w:tc>
          <w:tcPr>
            <w:tcW w:w="909" w:type="dxa"/>
            <w:tcBorders>
              <w:top w:val="single" w:sz="4" w:space="0" w:color="365F91"/>
              <w:bottom w:val="single" w:sz="4" w:space="0" w:color="365F91"/>
            </w:tcBorders>
            <w:shd w:val="clear" w:color="auto" w:fill="FFFFFF"/>
            <w:tcMar>
              <w:top w:w="0" w:type="dxa"/>
              <w:left w:w="85" w:type="dxa"/>
              <w:bottom w:w="0" w:type="dxa"/>
              <w:right w:w="85" w:type="dxa"/>
            </w:tcMar>
          </w:tcPr>
          <w:p w14:paraId="27806853" w14:textId="77777777" w:rsidR="00387C28" w:rsidRPr="00BE78CA" w:rsidRDefault="00387C28" w:rsidP="00A37132">
            <w:pPr>
              <w:pStyle w:val="TableText"/>
              <w:spacing w:before="50" w:after="50"/>
              <w:jc w:val="right"/>
              <w:rPr>
                <w:rFonts w:cs="Calibri"/>
              </w:rPr>
            </w:pPr>
            <w:r w:rsidRPr="00BE78CA">
              <w:rPr>
                <w:rFonts w:eastAsia="Calibri" w:cs="Calibri"/>
              </w:rPr>
              <w:t>56.9</w:t>
            </w:r>
          </w:p>
        </w:tc>
      </w:tr>
      <w:tr w:rsidR="00387C28" w:rsidRPr="00BE78CA" w14:paraId="65CF4E3A" w14:textId="77777777" w:rsidTr="00AC70F2">
        <w:trPr>
          <w:cantSplit/>
        </w:trPr>
        <w:tc>
          <w:tcPr>
            <w:tcW w:w="846" w:type="dxa"/>
            <w:tcBorders>
              <w:top w:val="single" w:sz="4" w:space="0" w:color="365F91"/>
              <w:left w:val="single" w:sz="4" w:space="0" w:color="FFFFFF"/>
              <w:bottom w:val="single" w:sz="4" w:space="0" w:color="365F91"/>
            </w:tcBorders>
            <w:shd w:val="clear" w:color="auto" w:fill="FFFFFF"/>
            <w:tcMar>
              <w:top w:w="0" w:type="dxa"/>
              <w:left w:w="85" w:type="dxa"/>
              <w:bottom w:w="0" w:type="dxa"/>
              <w:right w:w="85" w:type="dxa"/>
            </w:tcMar>
          </w:tcPr>
          <w:p w14:paraId="1A064F26" w14:textId="77777777" w:rsidR="00387C28" w:rsidRPr="00BE78CA" w:rsidRDefault="00387C28" w:rsidP="00A37132">
            <w:pPr>
              <w:pStyle w:val="TableText"/>
              <w:spacing w:before="50" w:after="50"/>
              <w:rPr>
                <w:rFonts w:cs="Calibri"/>
              </w:rPr>
            </w:pPr>
            <w:r w:rsidRPr="00BE78CA">
              <w:rPr>
                <w:rFonts w:eastAsia="Calibri" w:cs="Calibri"/>
              </w:rPr>
              <w:t>3.A.1</w:t>
            </w:r>
          </w:p>
        </w:tc>
        <w:tc>
          <w:tcPr>
            <w:tcW w:w="2410" w:type="dxa"/>
            <w:tcBorders>
              <w:top w:val="single" w:sz="4" w:space="0" w:color="365F91"/>
              <w:bottom w:val="single" w:sz="4" w:space="0" w:color="365F91"/>
            </w:tcBorders>
            <w:shd w:val="clear" w:color="auto" w:fill="FFFFFF"/>
            <w:tcMar>
              <w:top w:w="0" w:type="dxa"/>
              <w:left w:w="85" w:type="dxa"/>
              <w:bottom w:w="0" w:type="dxa"/>
              <w:right w:w="85" w:type="dxa"/>
            </w:tcMar>
          </w:tcPr>
          <w:p w14:paraId="7F173486" w14:textId="77777777" w:rsidR="00387C28" w:rsidRPr="00BE78CA" w:rsidRDefault="00387C28" w:rsidP="00A37132">
            <w:pPr>
              <w:pStyle w:val="TableText"/>
              <w:spacing w:before="50" w:after="50"/>
              <w:rPr>
                <w:rFonts w:cs="Calibri"/>
              </w:rPr>
            </w:pPr>
            <w:r w:rsidRPr="00BE78CA">
              <w:rPr>
                <w:rFonts w:eastAsia="Calibri" w:cs="Calibri"/>
              </w:rPr>
              <w:t xml:space="preserve">Option A – Non-Dairy </w:t>
            </w:r>
            <w:r w:rsidRPr="00BE78CA">
              <w:rPr>
                <w:rFonts w:eastAsia="Calibri" w:cs="Calibri"/>
                <w:i/>
                <w:iCs/>
              </w:rPr>
              <w:t>(Beef)</w:t>
            </w:r>
            <w:r w:rsidRPr="00BE78CA">
              <w:rPr>
                <w:rFonts w:eastAsia="Calibri" w:cs="Calibri"/>
              </w:rPr>
              <w:t xml:space="preserve"> Cattle</w:t>
            </w:r>
          </w:p>
        </w:tc>
        <w:tc>
          <w:tcPr>
            <w:tcW w:w="538" w:type="dxa"/>
            <w:tcBorders>
              <w:top w:val="single" w:sz="4" w:space="0" w:color="365F91"/>
              <w:bottom w:val="single" w:sz="4" w:space="0" w:color="365F91"/>
            </w:tcBorders>
            <w:shd w:val="clear" w:color="auto" w:fill="FFFFFF"/>
            <w:tcMar>
              <w:top w:w="0" w:type="dxa"/>
              <w:left w:w="85" w:type="dxa"/>
              <w:bottom w:w="0" w:type="dxa"/>
              <w:right w:w="85" w:type="dxa"/>
            </w:tcMar>
          </w:tcPr>
          <w:p w14:paraId="38470313" w14:textId="77777777" w:rsidR="00387C28" w:rsidRPr="00BE78CA" w:rsidRDefault="00387C28" w:rsidP="00A37132">
            <w:pPr>
              <w:pStyle w:val="TableText"/>
              <w:spacing w:before="50" w:after="50"/>
              <w:jc w:val="center"/>
              <w:rPr>
                <w:rFonts w:cs="Calibri"/>
              </w:rPr>
            </w:pPr>
            <w:r w:rsidRPr="00BE78CA">
              <w:rPr>
                <w:rFonts w:eastAsia="Calibri" w:cs="Calibri"/>
              </w:rPr>
              <w:t>CH</w:t>
            </w:r>
            <w:r w:rsidRPr="00BE78CA">
              <w:rPr>
                <w:rFonts w:eastAsia="Calibri" w:cs="Calibri"/>
                <w:vertAlign w:val="subscript"/>
              </w:rPr>
              <w:t>4</w:t>
            </w:r>
          </w:p>
        </w:tc>
        <w:tc>
          <w:tcPr>
            <w:tcW w:w="928" w:type="dxa"/>
            <w:tcBorders>
              <w:top w:val="single" w:sz="4" w:space="0" w:color="365F91"/>
              <w:bottom w:val="single" w:sz="4" w:space="0" w:color="365F91"/>
            </w:tcBorders>
            <w:shd w:val="clear" w:color="auto" w:fill="FFFFFF"/>
            <w:tcMar>
              <w:top w:w="0" w:type="dxa"/>
              <w:left w:w="85" w:type="dxa"/>
              <w:bottom w:w="0" w:type="dxa"/>
              <w:right w:w="85" w:type="dxa"/>
            </w:tcMar>
          </w:tcPr>
          <w:p w14:paraId="174DB643" w14:textId="77777777" w:rsidR="00387C28" w:rsidRPr="00BE78CA" w:rsidRDefault="00387C28" w:rsidP="00A37132">
            <w:pPr>
              <w:pStyle w:val="TableText"/>
              <w:spacing w:before="50" w:after="50"/>
              <w:jc w:val="right"/>
              <w:rPr>
                <w:rFonts w:cs="Calibri"/>
              </w:rPr>
            </w:pPr>
            <w:r w:rsidRPr="00BE78CA">
              <w:rPr>
                <w:rFonts w:eastAsia="Calibri" w:cs="Calibri"/>
              </w:rPr>
              <w:t>5,950.0</w:t>
            </w:r>
          </w:p>
        </w:tc>
        <w:tc>
          <w:tcPr>
            <w:tcW w:w="928" w:type="dxa"/>
            <w:tcBorders>
              <w:top w:val="single" w:sz="4" w:space="0" w:color="365F91"/>
              <w:bottom w:val="single" w:sz="4" w:space="0" w:color="365F91"/>
            </w:tcBorders>
            <w:shd w:val="clear" w:color="auto" w:fill="FFFFFF"/>
            <w:tcMar>
              <w:top w:w="0" w:type="dxa"/>
              <w:left w:w="85" w:type="dxa"/>
              <w:bottom w:w="0" w:type="dxa"/>
              <w:right w:w="85" w:type="dxa"/>
            </w:tcMar>
          </w:tcPr>
          <w:p w14:paraId="1B55F153" w14:textId="77777777" w:rsidR="00387C28" w:rsidRPr="00BE78CA" w:rsidRDefault="00387C28" w:rsidP="00A37132">
            <w:pPr>
              <w:pStyle w:val="TableText"/>
              <w:spacing w:before="50" w:after="50"/>
              <w:jc w:val="right"/>
              <w:rPr>
                <w:rFonts w:cs="Calibri"/>
              </w:rPr>
            </w:pPr>
            <w:r w:rsidRPr="00BE78CA">
              <w:rPr>
                <w:rFonts w:eastAsia="Calibri" w:cs="Calibri"/>
              </w:rPr>
              <w:t>5,893.7</w:t>
            </w:r>
          </w:p>
        </w:tc>
        <w:tc>
          <w:tcPr>
            <w:tcW w:w="937" w:type="dxa"/>
            <w:tcBorders>
              <w:top w:val="single" w:sz="4" w:space="0" w:color="365F91"/>
              <w:bottom w:val="single" w:sz="4" w:space="0" w:color="365F91"/>
            </w:tcBorders>
            <w:shd w:val="clear" w:color="auto" w:fill="FFFFFF"/>
            <w:tcMar>
              <w:top w:w="0" w:type="dxa"/>
              <w:left w:w="85" w:type="dxa"/>
              <w:bottom w:w="0" w:type="dxa"/>
              <w:right w:w="85" w:type="dxa"/>
            </w:tcMar>
          </w:tcPr>
          <w:p w14:paraId="4B17AD7B" w14:textId="77777777" w:rsidR="00387C28" w:rsidRPr="00BE78CA" w:rsidRDefault="00387C28" w:rsidP="00A37132">
            <w:pPr>
              <w:pStyle w:val="TableText"/>
              <w:spacing w:before="50" w:after="50"/>
              <w:jc w:val="right"/>
              <w:rPr>
                <w:rFonts w:cs="Calibri"/>
              </w:rPr>
            </w:pPr>
            <w:r w:rsidRPr="00BE78CA">
              <w:rPr>
                <w:rFonts w:eastAsia="Calibri" w:cs="Calibri"/>
              </w:rPr>
              <w:t>0.025</w:t>
            </w:r>
          </w:p>
        </w:tc>
        <w:tc>
          <w:tcPr>
            <w:tcW w:w="999" w:type="dxa"/>
            <w:tcBorders>
              <w:top w:val="single" w:sz="4" w:space="0" w:color="365F91"/>
              <w:bottom w:val="single" w:sz="4" w:space="0" w:color="365F91"/>
            </w:tcBorders>
            <w:shd w:val="clear" w:color="auto" w:fill="FFFFFF"/>
            <w:tcMar>
              <w:top w:w="0" w:type="dxa"/>
              <w:left w:w="85" w:type="dxa"/>
              <w:bottom w:w="0" w:type="dxa"/>
              <w:right w:w="85" w:type="dxa"/>
            </w:tcMar>
          </w:tcPr>
          <w:p w14:paraId="66672797" w14:textId="77777777" w:rsidR="00387C28" w:rsidRPr="00BE78CA" w:rsidRDefault="00387C28" w:rsidP="00A37132">
            <w:pPr>
              <w:pStyle w:val="TableText"/>
              <w:spacing w:before="50" w:after="50"/>
              <w:jc w:val="right"/>
              <w:rPr>
                <w:rFonts w:cs="Calibri"/>
              </w:rPr>
            </w:pPr>
            <w:r w:rsidRPr="00BE78CA">
              <w:rPr>
                <w:rFonts w:eastAsia="Calibri" w:cs="Calibri"/>
              </w:rPr>
              <w:t>3.7</w:t>
            </w:r>
          </w:p>
        </w:tc>
        <w:tc>
          <w:tcPr>
            <w:tcW w:w="909" w:type="dxa"/>
            <w:tcBorders>
              <w:top w:val="single" w:sz="4" w:space="0" w:color="365F91"/>
              <w:bottom w:val="single" w:sz="4" w:space="0" w:color="365F91"/>
            </w:tcBorders>
            <w:shd w:val="clear" w:color="auto" w:fill="FFFFFF"/>
            <w:tcMar>
              <w:top w:w="0" w:type="dxa"/>
              <w:left w:w="85" w:type="dxa"/>
              <w:bottom w:w="0" w:type="dxa"/>
              <w:right w:w="85" w:type="dxa"/>
            </w:tcMar>
          </w:tcPr>
          <w:p w14:paraId="1E66B8E1" w14:textId="77777777" w:rsidR="00387C28" w:rsidRPr="00BE78CA" w:rsidRDefault="00387C28" w:rsidP="00A37132">
            <w:pPr>
              <w:pStyle w:val="TableText"/>
              <w:spacing w:before="50" w:after="50"/>
              <w:jc w:val="right"/>
              <w:rPr>
                <w:rFonts w:cs="Calibri"/>
              </w:rPr>
            </w:pPr>
            <w:r w:rsidRPr="00BE78CA">
              <w:rPr>
                <w:rFonts w:eastAsia="Calibri" w:cs="Calibri"/>
              </w:rPr>
              <w:t>60.6</w:t>
            </w:r>
          </w:p>
        </w:tc>
      </w:tr>
      <w:tr w:rsidR="00387C28" w:rsidRPr="00BE78CA" w14:paraId="1711184A" w14:textId="77777777" w:rsidTr="00AC70F2">
        <w:trPr>
          <w:cantSplit/>
        </w:trPr>
        <w:tc>
          <w:tcPr>
            <w:tcW w:w="846" w:type="dxa"/>
            <w:tcBorders>
              <w:top w:val="single" w:sz="4" w:space="0" w:color="365F91"/>
              <w:left w:val="single" w:sz="4" w:space="0" w:color="FFFFFF"/>
              <w:bottom w:val="single" w:sz="4" w:space="0" w:color="365F91"/>
            </w:tcBorders>
            <w:shd w:val="clear" w:color="auto" w:fill="FFFFFF"/>
            <w:tcMar>
              <w:top w:w="0" w:type="dxa"/>
              <w:left w:w="85" w:type="dxa"/>
              <w:bottom w:w="0" w:type="dxa"/>
              <w:right w:w="85" w:type="dxa"/>
            </w:tcMar>
          </w:tcPr>
          <w:p w14:paraId="5CF8F3A4" w14:textId="77777777" w:rsidR="00387C28" w:rsidRPr="00BE78CA" w:rsidRDefault="00387C28" w:rsidP="00A37132">
            <w:pPr>
              <w:pStyle w:val="TableText"/>
              <w:spacing w:before="50" w:after="50"/>
              <w:rPr>
                <w:rFonts w:cs="Calibri"/>
              </w:rPr>
            </w:pPr>
            <w:r w:rsidRPr="00BE78CA">
              <w:rPr>
                <w:rFonts w:eastAsia="Calibri" w:cs="Calibri"/>
              </w:rPr>
              <w:t>5.A</w:t>
            </w:r>
          </w:p>
        </w:tc>
        <w:tc>
          <w:tcPr>
            <w:tcW w:w="2410" w:type="dxa"/>
            <w:tcBorders>
              <w:top w:val="single" w:sz="4" w:space="0" w:color="365F91"/>
              <w:bottom w:val="single" w:sz="4" w:space="0" w:color="365F91"/>
            </w:tcBorders>
            <w:shd w:val="clear" w:color="auto" w:fill="FFFFFF"/>
            <w:tcMar>
              <w:top w:w="0" w:type="dxa"/>
              <w:left w:w="85" w:type="dxa"/>
              <w:bottom w:w="0" w:type="dxa"/>
              <w:right w:w="85" w:type="dxa"/>
            </w:tcMar>
          </w:tcPr>
          <w:p w14:paraId="55A7BBFC" w14:textId="77777777" w:rsidR="00387C28" w:rsidRPr="00BE78CA" w:rsidRDefault="00387C28" w:rsidP="00A37132">
            <w:pPr>
              <w:pStyle w:val="TableText"/>
              <w:spacing w:before="50" w:after="50"/>
              <w:rPr>
                <w:rFonts w:cs="Calibri"/>
              </w:rPr>
            </w:pPr>
            <w:r w:rsidRPr="00BE78CA">
              <w:rPr>
                <w:rFonts w:eastAsia="Calibri" w:cs="Calibri"/>
              </w:rPr>
              <w:t>Waste – Solid Waste Disposal</w:t>
            </w:r>
          </w:p>
        </w:tc>
        <w:tc>
          <w:tcPr>
            <w:tcW w:w="538" w:type="dxa"/>
            <w:tcBorders>
              <w:top w:val="single" w:sz="4" w:space="0" w:color="365F91"/>
              <w:bottom w:val="single" w:sz="4" w:space="0" w:color="365F91"/>
            </w:tcBorders>
            <w:shd w:val="clear" w:color="auto" w:fill="FFFFFF"/>
            <w:tcMar>
              <w:top w:w="0" w:type="dxa"/>
              <w:left w:w="85" w:type="dxa"/>
              <w:bottom w:w="0" w:type="dxa"/>
              <w:right w:w="85" w:type="dxa"/>
            </w:tcMar>
          </w:tcPr>
          <w:p w14:paraId="1EE3917C" w14:textId="77777777" w:rsidR="00387C28" w:rsidRPr="00BE78CA" w:rsidRDefault="00387C28" w:rsidP="00A37132">
            <w:pPr>
              <w:pStyle w:val="TableText"/>
              <w:spacing w:before="50" w:after="50"/>
              <w:jc w:val="center"/>
              <w:rPr>
                <w:rFonts w:cs="Calibri"/>
              </w:rPr>
            </w:pPr>
            <w:r w:rsidRPr="00BE78CA">
              <w:rPr>
                <w:rFonts w:eastAsia="Calibri" w:cs="Calibri"/>
              </w:rPr>
              <w:t>CH</w:t>
            </w:r>
            <w:r w:rsidRPr="00BE78CA">
              <w:rPr>
                <w:rFonts w:eastAsia="Calibri" w:cs="Calibri"/>
                <w:vertAlign w:val="subscript"/>
              </w:rPr>
              <w:t>4</w:t>
            </w:r>
          </w:p>
        </w:tc>
        <w:tc>
          <w:tcPr>
            <w:tcW w:w="928" w:type="dxa"/>
            <w:tcBorders>
              <w:top w:val="single" w:sz="4" w:space="0" w:color="365F91"/>
              <w:bottom w:val="single" w:sz="4" w:space="0" w:color="365F91"/>
            </w:tcBorders>
            <w:shd w:val="clear" w:color="auto" w:fill="FFFFFF"/>
            <w:tcMar>
              <w:top w:w="0" w:type="dxa"/>
              <w:left w:w="85" w:type="dxa"/>
              <w:bottom w:w="0" w:type="dxa"/>
              <w:right w:w="85" w:type="dxa"/>
            </w:tcMar>
          </w:tcPr>
          <w:p w14:paraId="1B50FAD8" w14:textId="77777777" w:rsidR="00387C28" w:rsidRPr="00BE78CA" w:rsidRDefault="00387C28" w:rsidP="00A37132">
            <w:pPr>
              <w:pStyle w:val="TableText"/>
              <w:spacing w:before="50" w:after="50"/>
              <w:jc w:val="right"/>
              <w:rPr>
                <w:rFonts w:cs="Calibri"/>
              </w:rPr>
            </w:pPr>
            <w:r w:rsidRPr="00BE78CA">
              <w:rPr>
                <w:rFonts w:eastAsia="Calibri" w:cs="Calibri"/>
              </w:rPr>
              <w:t>3,337.8</w:t>
            </w:r>
          </w:p>
        </w:tc>
        <w:tc>
          <w:tcPr>
            <w:tcW w:w="928" w:type="dxa"/>
            <w:tcBorders>
              <w:top w:val="single" w:sz="4" w:space="0" w:color="365F91"/>
              <w:bottom w:val="single" w:sz="4" w:space="0" w:color="365F91"/>
            </w:tcBorders>
            <w:shd w:val="clear" w:color="auto" w:fill="FFFFFF"/>
            <w:tcMar>
              <w:top w:w="0" w:type="dxa"/>
              <w:left w:w="85" w:type="dxa"/>
              <w:bottom w:w="0" w:type="dxa"/>
              <w:right w:w="85" w:type="dxa"/>
            </w:tcMar>
          </w:tcPr>
          <w:p w14:paraId="0CB3FE2C" w14:textId="77777777" w:rsidR="00387C28" w:rsidRPr="00BE78CA" w:rsidRDefault="00387C28" w:rsidP="00A37132">
            <w:pPr>
              <w:pStyle w:val="TableText"/>
              <w:spacing w:before="50" w:after="50"/>
              <w:jc w:val="right"/>
              <w:rPr>
                <w:rFonts w:cs="Calibri"/>
              </w:rPr>
            </w:pPr>
            <w:r w:rsidRPr="00BE78CA">
              <w:rPr>
                <w:rFonts w:eastAsia="Calibri" w:cs="Calibri"/>
              </w:rPr>
              <w:t>2,692.9</w:t>
            </w:r>
          </w:p>
        </w:tc>
        <w:tc>
          <w:tcPr>
            <w:tcW w:w="937" w:type="dxa"/>
            <w:tcBorders>
              <w:top w:val="single" w:sz="4" w:space="0" w:color="365F91"/>
              <w:bottom w:val="single" w:sz="4" w:space="0" w:color="365F91"/>
            </w:tcBorders>
            <w:shd w:val="clear" w:color="auto" w:fill="FFFFFF"/>
            <w:tcMar>
              <w:top w:w="0" w:type="dxa"/>
              <w:left w:w="85" w:type="dxa"/>
              <w:bottom w:w="0" w:type="dxa"/>
              <w:right w:w="85" w:type="dxa"/>
            </w:tcMar>
          </w:tcPr>
          <w:p w14:paraId="702A9F52" w14:textId="77777777" w:rsidR="00387C28" w:rsidRPr="00BE78CA" w:rsidRDefault="00387C28" w:rsidP="00A37132">
            <w:pPr>
              <w:pStyle w:val="TableText"/>
              <w:spacing w:before="50" w:after="50"/>
              <w:jc w:val="right"/>
              <w:rPr>
                <w:rFonts w:cs="Calibri"/>
              </w:rPr>
            </w:pPr>
            <w:r w:rsidRPr="00BE78CA">
              <w:rPr>
                <w:rFonts w:eastAsia="Calibri" w:cs="Calibri"/>
              </w:rPr>
              <w:t>0.023</w:t>
            </w:r>
          </w:p>
        </w:tc>
        <w:tc>
          <w:tcPr>
            <w:tcW w:w="999" w:type="dxa"/>
            <w:tcBorders>
              <w:top w:val="single" w:sz="4" w:space="0" w:color="365F91"/>
              <w:bottom w:val="single" w:sz="4" w:space="0" w:color="365F91"/>
            </w:tcBorders>
            <w:shd w:val="clear" w:color="auto" w:fill="FFFFFF"/>
            <w:tcMar>
              <w:top w:w="0" w:type="dxa"/>
              <w:left w:w="85" w:type="dxa"/>
              <w:bottom w:w="0" w:type="dxa"/>
              <w:right w:w="85" w:type="dxa"/>
            </w:tcMar>
          </w:tcPr>
          <w:p w14:paraId="2E2EF59D" w14:textId="77777777" w:rsidR="00387C28" w:rsidRPr="00BE78CA" w:rsidRDefault="00387C28" w:rsidP="00A37132">
            <w:pPr>
              <w:pStyle w:val="TableText"/>
              <w:spacing w:before="50" w:after="50"/>
              <w:jc w:val="right"/>
              <w:rPr>
                <w:rFonts w:cs="Calibri"/>
              </w:rPr>
            </w:pPr>
            <w:r w:rsidRPr="00BE78CA">
              <w:rPr>
                <w:rFonts w:eastAsia="Calibri" w:cs="Calibri"/>
              </w:rPr>
              <w:t>3.5</w:t>
            </w:r>
          </w:p>
        </w:tc>
        <w:tc>
          <w:tcPr>
            <w:tcW w:w="909" w:type="dxa"/>
            <w:tcBorders>
              <w:top w:val="single" w:sz="4" w:space="0" w:color="365F91"/>
              <w:bottom w:val="single" w:sz="4" w:space="0" w:color="365F91"/>
            </w:tcBorders>
            <w:shd w:val="clear" w:color="auto" w:fill="FFFFFF"/>
            <w:tcMar>
              <w:top w:w="0" w:type="dxa"/>
              <w:left w:w="85" w:type="dxa"/>
              <w:bottom w:w="0" w:type="dxa"/>
              <w:right w:w="85" w:type="dxa"/>
            </w:tcMar>
          </w:tcPr>
          <w:p w14:paraId="5A91665E" w14:textId="77777777" w:rsidR="00387C28" w:rsidRPr="00BE78CA" w:rsidRDefault="00387C28" w:rsidP="00A37132">
            <w:pPr>
              <w:pStyle w:val="TableText"/>
              <w:spacing w:before="50" w:after="50"/>
              <w:jc w:val="right"/>
              <w:rPr>
                <w:rFonts w:cs="Calibri"/>
              </w:rPr>
            </w:pPr>
            <w:r w:rsidRPr="00BE78CA">
              <w:rPr>
                <w:rFonts w:eastAsia="Calibri" w:cs="Calibri"/>
              </w:rPr>
              <w:t>64.0</w:t>
            </w:r>
          </w:p>
        </w:tc>
      </w:tr>
      <w:tr w:rsidR="00387C28" w:rsidRPr="00BE78CA" w14:paraId="6F34EC14" w14:textId="77777777" w:rsidTr="00AC70F2">
        <w:trPr>
          <w:cantSplit/>
        </w:trPr>
        <w:tc>
          <w:tcPr>
            <w:tcW w:w="846" w:type="dxa"/>
            <w:tcBorders>
              <w:top w:val="single" w:sz="4" w:space="0" w:color="365F91"/>
              <w:left w:val="single" w:sz="4" w:space="0" w:color="FFFFFF"/>
              <w:bottom w:val="single" w:sz="4" w:space="0" w:color="365F91"/>
            </w:tcBorders>
            <w:shd w:val="clear" w:color="auto" w:fill="FFFFFF"/>
            <w:tcMar>
              <w:top w:w="0" w:type="dxa"/>
              <w:left w:w="85" w:type="dxa"/>
              <w:bottom w:w="0" w:type="dxa"/>
              <w:right w:w="85" w:type="dxa"/>
            </w:tcMar>
          </w:tcPr>
          <w:p w14:paraId="05DD9731" w14:textId="77777777" w:rsidR="00387C28" w:rsidRPr="00BE78CA" w:rsidRDefault="00387C28" w:rsidP="00A37132">
            <w:pPr>
              <w:pStyle w:val="TableText"/>
              <w:spacing w:before="50" w:after="50"/>
              <w:rPr>
                <w:rFonts w:cs="Calibri"/>
              </w:rPr>
            </w:pPr>
            <w:r w:rsidRPr="00BE78CA">
              <w:rPr>
                <w:rFonts w:eastAsia="Calibri" w:cs="Calibri"/>
              </w:rPr>
              <w:t>1.A.1.a</w:t>
            </w:r>
          </w:p>
        </w:tc>
        <w:tc>
          <w:tcPr>
            <w:tcW w:w="2410" w:type="dxa"/>
            <w:tcBorders>
              <w:top w:val="single" w:sz="4" w:space="0" w:color="365F91"/>
              <w:bottom w:val="single" w:sz="4" w:space="0" w:color="365F91"/>
            </w:tcBorders>
            <w:shd w:val="clear" w:color="auto" w:fill="FFFFFF"/>
            <w:tcMar>
              <w:top w:w="0" w:type="dxa"/>
              <w:left w:w="85" w:type="dxa"/>
              <w:bottom w:w="0" w:type="dxa"/>
              <w:right w:w="85" w:type="dxa"/>
            </w:tcMar>
          </w:tcPr>
          <w:p w14:paraId="20FDF125" w14:textId="77777777" w:rsidR="00387C28" w:rsidRPr="00BE78CA" w:rsidRDefault="00387C28" w:rsidP="00A37132">
            <w:pPr>
              <w:pStyle w:val="TableText"/>
              <w:spacing w:before="50" w:after="50"/>
              <w:rPr>
                <w:rFonts w:cs="Calibri"/>
              </w:rPr>
            </w:pPr>
            <w:r w:rsidRPr="00BE78CA">
              <w:rPr>
                <w:rFonts w:eastAsia="Calibri" w:cs="Calibri"/>
              </w:rPr>
              <w:t>Energy Industries – Public Electricity and Heat Production</w:t>
            </w:r>
          </w:p>
        </w:tc>
        <w:tc>
          <w:tcPr>
            <w:tcW w:w="538" w:type="dxa"/>
            <w:tcBorders>
              <w:top w:val="single" w:sz="4" w:space="0" w:color="365F91"/>
              <w:bottom w:val="single" w:sz="4" w:space="0" w:color="365F91"/>
            </w:tcBorders>
            <w:shd w:val="clear" w:color="auto" w:fill="FFFFFF"/>
            <w:tcMar>
              <w:top w:w="0" w:type="dxa"/>
              <w:left w:w="85" w:type="dxa"/>
              <w:bottom w:w="0" w:type="dxa"/>
              <w:right w:w="85" w:type="dxa"/>
            </w:tcMar>
          </w:tcPr>
          <w:p w14:paraId="4918D0B6" w14:textId="77777777" w:rsidR="00387C28" w:rsidRPr="00BE78CA" w:rsidRDefault="00387C28" w:rsidP="00A37132">
            <w:pPr>
              <w:pStyle w:val="TableText"/>
              <w:spacing w:before="50" w:after="50"/>
              <w:jc w:val="center"/>
              <w:rPr>
                <w:rFonts w:cs="Calibri"/>
              </w:rPr>
            </w:pPr>
            <w:r w:rsidRPr="00BE78CA">
              <w:rPr>
                <w:rFonts w:eastAsia="Calibri" w:cs="Calibri"/>
              </w:rPr>
              <w:t>CO</w:t>
            </w:r>
            <w:r w:rsidRPr="00BE78CA">
              <w:rPr>
                <w:rFonts w:eastAsia="Calibri" w:cs="Calibri"/>
                <w:vertAlign w:val="subscript"/>
              </w:rPr>
              <w:t>2</w:t>
            </w:r>
          </w:p>
        </w:tc>
        <w:tc>
          <w:tcPr>
            <w:tcW w:w="928" w:type="dxa"/>
            <w:tcBorders>
              <w:top w:val="single" w:sz="4" w:space="0" w:color="365F91"/>
              <w:bottom w:val="single" w:sz="4" w:space="0" w:color="365F91"/>
            </w:tcBorders>
            <w:shd w:val="clear" w:color="auto" w:fill="FFFFFF"/>
            <w:tcMar>
              <w:top w:w="0" w:type="dxa"/>
              <w:left w:w="85" w:type="dxa"/>
              <w:bottom w:w="0" w:type="dxa"/>
              <w:right w:w="85" w:type="dxa"/>
            </w:tcMar>
          </w:tcPr>
          <w:p w14:paraId="580BBFC4" w14:textId="77777777" w:rsidR="00387C28" w:rsidRPr="00BE78CA" w:rsidRDefault="00387C28" w:rsidP="00A37132">
            <w:pPr>
              <w:pStyle w:val="TableText"/>
              <w:spacing w:before="50" w:after="50"/>
              <w:jc w:val="right"/>
              <w:rPr>
                <w:rFonts w:cs="Calibri"/>
              </w:rPr>
            </w:pPr>
            <w:r w:rsidRPr="00BE78CA">
              <w:rPr>
                <w:rFonts w:eastAsia="Calibri" w:cs="Calibri"/>
              </w:rPr>
              <w:t>3,011.8</w:t>
            </w:r>
          </w:p>
        </w:tc>
        <w:tc>
          <w:tcPr>
            <w:tcW w:w="928" w:type="dxa"/>
            <w:tcBorders>
              <w:top w:val="single" w:sz="4" w:space="0" w:color="365F91"/>
              <w:bottom w:val="single" w:sz="4" w:space="0" w:color="365F91"/>
            </w:tcBorders>
            <w:shd w:val="clear" w:color="auto" w:fill="FFFFFF"/>
            <w:tcMar>
              <w:top w:w="0" w:type="dxa"/>
              <w:left w:w="85" w:type="dxa"/>
              <w:bottom w:w="0" w:type="dxa"/>
              <w:right w:w="85" w:type="dxa"/>
            </w:tcMar>
          </w:tcPr>
          <w:p w14:paraId="55C8A063" w14:textId="77777777" w:rsidR="00387C28" w:rsidRPr="00BE78CA" w:rsidRDefault="00387C28" w:rsidP="00A37132">
            <w:pPr>
              <w:pStyle w:val="TableText"/>
              <w:spacing w:before="50" w:after="50"/>
              <w:jc w:val="right"/>
              <w:rPr>
                <w:rFonts w:cs="Calibri"/>
              </w:rPr>
            </w:pPr>
            <w:r w:rsidRPr="00BE78CA">
              <w:rPr>
                <w:rFonts w:eastAsia="Calibri" w:cs="Calibri"/>
              </w:rPr>
              <w:t>2,533.5</w:t>
            </w:r>
          </w:p>
        </w:tc>
        <w:tc>
          <w:tcPr>
            <w:tcW w:w="937" w:type="dxa"/>
            <w:tcBorders>
              <w:top w:val="single" w:sz="4" w:space="0" w:color="365F91"/>
              <w:bottom w:val="single" w:sz="4" w:space="0" w:color="365F91"/>
            </w:tcBorders>
            <w:shd w:val="clear" w:color="auto" w:fill="FFFFFF"/>
            <w:tcMar>
              <w:top w:w="0" w:type="dxa"/>
              <w:left w:w="85" w:type="dxa"/>
              <w:bottom w:w="0" w:type="dxa"/>
              <w:right w:w="85" w:type="dxa"/>
            </w:tcMar>
          </w:tcPr>
          <w:p w14:paraId="0CBDDC2C" w14:textId="77777777" w:rsidR="00387C28" w:rsidRPr="00BE78CA" w:rsidRDefault="00387C28" w:rsidP="00A37132">
            <w:pPr>
              <w:pStyle w:val="TableText"/>
              <w:spacing w:before="50" w:after="50"/>
              <w:jc w:val="right"/>
              <w:rPr>
                <w:rFonts w:cs="Calibri"/>
              </w:rPr>
            </w:pPr>
            <w:r w:rsidRPr="00BE78CA">
              <w:rPr>
                <w:rFonts w:eastAsia="Calibri" w:cs="Calibri"/>
              </w:rPr>
              <w:t>0.020</w:t>
            </w:r>
          </w:p>
        </w:tc>
        <w:tc>
          <w:tcPr>
            <w:tcW w:w="999" w:type="dxa"/>
            <w:tcBorders>
              <w:top w:val="single" w:sz="4" w:space="0" w:color="365F91"/>
              <w:bottom w:val="single" w:sz="4" w:space="0" w:color="365F91"/>
            </w:tcBorders>
            <w:shd w:val="clear" w:color="auto" w:fill="FFFFFF"/>
            <w:tcMar>
              <w:top w:w="0" w:type="dxa"/>
              <w:left w:w="85" w:type="dxa"/>
              <w:bottom w:w="0" w:type="dxa"/>
              <w:right w:w="85" w:type="dxa"/>
            </w:tcMar>
          </w:tcPr>
          <w:p w14:paraId="6AB42E2B" w14:textId="77777777" w:rsidR="00387C28" w:rsidRPr="00BE78CA" w:rsidRDefault="00387C28" w:rsidP="00A37132">
            <w:pPr>
              <w:pStyle w:val="TableText"/>
              <w:spacing w:before="50" w:after="50"/>
              <w:jc w:val="right"/>
              <w:rPr>
                <w:rFonts w:cs="Calibri"/>
              </w:rPr>
            </w:pPr>
            <w:r w:rsidRPr="00BE78CA">
              <w:rPr>
                <w:rFonts w:eastAsia="Calibri" w:cs="Calibri"/>
              </w:rPr>
              <w:t>2.9</w:t>
            </w:r>
          </w:p>
        </w:tc>
        <w:tc>
          <w:tcPr>
            <w:tcW w:w="909" w:type="dxa"/>
            <w:tcBorders>
              <w:top w:val="single" w:sz="4" w:space="0" w:color="365F91"/>
              <w:bottom w:val="single" w:sz="4" w:space="0" w:color="365F91"/>
            </w:tcBorders>
            <w:shd w:val="clear" w:color="auto" w:fill="FFFFFF"/>
            <w:tcMar>
              <w:top w:w="0" w:type="dxa"/>
              <w:left w:w="85" w:type="dxa"/>
              <w:bottom w:w="0" w:type="dxa"/>
              <w:right w:w="85" w:type="dxa"/>
            </w:tcMar>
          </w:tcPr>
          <w:p w14:paraId="1D5C0B94" w14:textId="77777777" w:rsidR="00387C28" w:rsidRPr="00BE78CA" w:rsidRDefault="00387C28" w:rsidP="00A37132">
            <w:pPr>
              <w:pStyle w:val="TableText"/>
              <w:spacing w:before="50" w:after="50"/>
              <w:jc w:val="right"/>
              <w:rPr>
                <w:rFonts w:cs="Calibri"/>
              </w:rPr>
            </w:pPr>
            <w:r w:rsidRPr="00BE78CA">
              <w:rPr>
                <w:rFonts w:eastAsia="Calibri" w:cs="Calibri"/>
              </w:rPr>
              <w:t>66.9</w:t>
            </w:r>
          </w:p>
        </w:tc>
      </w:tr>
      <w:tr w:rsidR="00387C28" w:rsidRPr="00BE78CA" w14:paraId="0F2D3FF5" w14:textId="77777777" w:rsidTr="00AC70F2">
        <w:trPr>
          <w:cantSplit/>
        </w:trPr>
        <w:tc>
          <w:tcPr>
            <w:tcW w:w="846" w:type="dxa"/>
            <w:tcBorders>
              <w:top w:val="single" w:sz="4" w:space="0" w:color="365F91"/>
              <w:left w:val="single" w:sz="4" w:space="0" w:color="FFFFFF"/>
              <w:bottom w:val="single" w:sz="4" w:space="0" w:color="365F91"/>
            </w:tcBorders>
            <w:shd w:val="clear" w:color="auto" w:fill="FFFFFF"/>
            <w:tcMar>
              <w:top w:w="0" w:type="dxa"/>
              <w:left w:w="85" w:type="dxa"/>
              <w:bottom w:w="0" w:type="dxa"/>
              <w:right w:w="85" w:type="dxa"/>
            </w:tcMar>
          </w:tcPr>
          <w:p w14:paraId="5C51A7C3" w14:textId="77777777" w:rsidR="00387C28" w:rsidRPr="00BE78CA" w:rsidRDefault="00387C28" w:rsidP="00A37132">
            <w:pPr>
              <w:pStyle w:val="TableText"/>
              <w:spacing w:before="50" w:after="50"/>
              <w:rPr>
                <w:rFonts w:cs="Calibri"/>
              </w:rPr>
            </w:pPr>
            <w:r w:rsidRPr="00BE78CA">
              <w:rPr>
                <w:rFonts w:eastAsia="Calibri" w:cs="Calibri"/>
              </w:rPr>
              <w:t>1.A.2.c</w:t>
            </w:r>
          </w:p>
        </w:tc>
        <w:tc>
          <w:tcPr>
            <w:tcW w:w="2410" w:type="dxa"/>
            <w:tcBorders>
              <w:top w:val="single" w:sz="4" w:space="0" w:color="365F91"/>
              <w:bottom w:val="single" w:sz="4" w:space="0" w:color="365F91"/>
            </w:tcBorders>
            <w:shd w:val="clear" w:color="auto" w:fill="FFFFFF"/>
            <w:tcMar>
              <w:top w:w="0" w:type="dxa"/>
              <w:left w:w="85" w:type="dxa"/>
              <w:bottom w:w="0" w:type="dxa"/>
              <w:right w:w="85" w:type="dxa"/>
            </w:tcMar>
          </w:tcPr>
          <w:p w14:paraId="439DBE47" w14:textId="77777777" w:rsidR="00387C28" w:rsidRPr="00BE78CA" w:rsidRDefault="00387C28" w:rsidP="00A37132">
            <w:pPr>
              <w:pStyle w:val="TableText"/>
              <w:spacing w:before="50" w:after="50"/>
              <w:rPr>
                <w:rFonts w:cs="Calibri"/>
              </w:rPr>
            </w:pPr>
            <w:r w:rsidRPr="00BE78CA">
              <w:rPr>
                <w:rFonts w:eastAsia="Calibri" w:cs="Calibri"/>
              </w:rPr>
              <w:t>Chemicals – Gaseous Fuels</w:t>
            </w:r>
          </w:p>
        </w:tc>
        <w:tc>
          <w:tcPr>
            <w:tcW w:w="538" w:type="dxa"/>
            <w:tcBorders>
              <w:top w:val="single" w:sz="4" w:space="0" w:color="365F91"/>
              <w:bottom w:val="single" w:sz="4" w:space="0" w:color="365F91"/>
            </w:tcBorders>
            <w:shd w:val="clear" w:color="auto" w:fill="FFFFFF"/>
            <w:tcMar>
              <w:top w:w="0" w:type="dxa"/>
              <w:left w:w="85" w:type="dxa"/>
              <w:bottom w:w="0" w:type="dxa"/>
              <w:right w:w="85" w:type="dxa"/>
            </w:tcMar>
          </w:tcPr>
          <w:p w14:paraId="15998CDA" w14:textId="77777777" w:rsidR="00387C28" w:rsidRPr="00BE78CA" w:rsidRDefault="00387C28" w:rsidP="00A37132">
            <w:pPr>
              <w:pStyle w:val="TableText"/>
              <w:spacing w:before="50" w:after="50"/>
              <w:jc w:val="center"/>
              <w:rPr>
                <w:rFonts w:cs="Calibri"/>
              </w:rPr>
            </w:pPr>
            <w:r w:rsidRPr="00BE78CA">
              <w:rPr>
                <w:rFonts w:eastAsia="Calibri" w:cs="Calibri"/>
              </w:rPr>
              <w:t>CO</w:t>
            </w:r>
            <w:r w:rsidRPr="00BE78CA">
              <w:rPr>
                <w:rFonts w:eastAsia="Calibri" w:cs="Calibri"/>
                <w:vertAlign w:val="subscript"/>
              </w:rPr>
              <w:t>2</w:t>
            </w:r>
          </w:p>
        </w:tc>
        <w:tc>
          <w:tcPr>
            <w:tcW w:w="928" w:type="dxa"/>
            <w:tcBorders>
              <w:top w:val="single" w:sz="4" w:space="0" w:color="365F91"/>
              <w:bottom w:val="single" w:sz="4" w:space="0" w:color="365F91"/>
            </w:tcBorders>
            <w:shd w:val="clear" w:color="auto" w:fill="FFFFFF"/>
            <w:tcMar>
              <w:top w:w="0" w:type="dxa"/>
              <w:left w:w="85" w:type="dxa"/>
              <w:bottom w:w="0" w:type="dxa"/>
              <w:right w:w="85" w:type="dxa"/>
            </w:tcMar>
          </w:tcPr>
          <w:p w14:paraId="3EBD3F9E" w14:textId="77777777" w:rsidR="00387C28" w:rsidRPr="00BE78CA" w:rsidRDefault="00387C28" w:rsidP="00A37132">
            <w:pPr>
              <w:pStyle w:val="TableText"/>
              <w:spacing w:before="50" w:after="50"/>
              <w:jc w:val="right"/>
              <w:rPr>
                <w:rFonts w:cs="Calibri"/>
              </w:rPr>
            </w:pPr>
            <w:r w:rsidRPr="00BE78CA">
              <w:rPr>
                <w:rFonts w:eastAsia="Calibri" w:cs="Calibri"/>
              </w:rPr>
              <w:t>528.7</w:t>
            </w:r>
          </w:p>
        </w:tc>
        <w:tc>
          <w:tcPr>
            <w:tcW w:w="928" w:type="dxa"/>
            <w:tcBorders>
              <w:top w:val="single" w:sz="4" w:space="0" w:color="365F91"/>
              <w:bottom w:val="single" w:sz="4" w:space="0" w:color="365F91"/>
            </w:tcBorders>
            <w:shd w:val="clear" w:color="auto" w:fill="FFFFFF"/>
            <w:tcMar>
              <w:top w:w="0" w:type="dxa"/>
              <w:left w:w="85" w:type="dxa"/>
              <w:bottom w:w="0" w:type="dxa"/>
              <w:right w:w="85" w:type="dxa"/>
            </w:tcMar>
          </w:tcPr>
          <w:p w14:paraId="7D3E619E" w14:textId="77777777" w:rsidR="00387C28" w:rsidRPr="00BE78CA" w:rsidRDefault="00387C28" w:rsidP="00A37132">
            <w:pPr>
              <w:pStyle w:val="TableText"/>
              <w:spacing w:before="50" w:after="50"/>
              <w:jc w:val="right"/>
              <w:rPr>
                <w:rFonts w:cs="Calibri"/>
              </w:rPr>
            </w:pPr>
            <w:r w:rsidRPr="00BE78CA">
              <w:rPr>
                <w:rFonts w:eastAsia="Calibri" w:cs="Calibri"/>
              </w:rPr>
              <w:t>1,859.2</w:t>
            </w:r>
          </w:p>
        </w:tc>
        <w:tc>
          <w:tcPr>
            <w:tcW w:w="937" w:type="dxa"/>
            <w:tcBorders>
              <w:top w:val="single" w:sz="4" w:space="0" w:color="365F91"/>
              <w:bottom w:val="single" w:sz="4" w:space="0" w:color="365F91"/>
            </w:tcBorders>
            <w:shd w:val="clear" w:color="auto" w:fill="FFFFFF"/>
            <w:tcMar>
              <w:top w:w="0" w:type="dxa"/>
              <w:left w:w="85" w:type="dxa"/>
              <w:bottom w:w="0" w:type="dxa"/>
              <w:right w:w="85" w:type="dxa"/>
            </w:tcMar>
          </w:tcPr>
          <w:p w14:paraId="5D33E6B4" w14:textId="77777777" w:rsidR="00387C28" w:rsidRPr="00BE78CA" w:rsidRDefault="00387C28" w:rsidP="00A37132">
            <w:pPr>
              <w:pStyle w:val="TableText"/>
              <w:spacing w:before="50" w:after="50"/>
              <w:jc w:val="right"/>
              <w:rPr>
                <w:rFonts w:cs="Calibri"/>
              </w:rPr>
            </w:pPr>
            <w:r w:rsidRPr="00BE78CA">
              <w:rPr>
                <w:rFonts w:eastAsia="Calibri" w:cs="Calibri"/>
              </w:rPr>
              <w:t>0.018</w:t>
            </w:r>
          </w:p>
        </w:tc>
        <w:tc>
          <w:tcPr>
            <w:tcW w:w="999" w:type="dxa"/>
            <w:tcBorders>
              <w:top w:val="single" w:sz="4" w:space="0" w:color="365F91"/>
              <w:bottom w:val="single" w:sz="4" w:space="0" w:color="365F91"/>
            </w:tcBorders>
            <w:shd w:val="clear" w:color="auto" w:fill="FFFFFF"/>
            <w:tcMar>
              <w:top w:w="0" w:type="dxa"/>
              <w:left w:w="85" w:type="dxa"/>
              <w:bottom w:w="0" w:type="dxa"/>
              <w:right w:w="85" w:type="dxa"/>
            </w:tcMar>
          </w:tcPr>
          <w:p w14:paraId="2B266E6B" w14:textId="77777777" w:rsidR="00387C28" w:rsidRPr="00BE78CA" w:rsidRDefault="00387C28" w:rsidP="00A37132">
            <w:pPr>
              <w:pStyle w:val="TableText"/>
              <w:spacing w:before="50" w:after="50"/>
              <w:jc w:val="right"/>
              <w:rPr>
                <w:rFonts w:cs="Calibri"/>
              </w:rPr>
            </w:pPr>
            <w:r w:rsidRPr="00BE78CA">
              <w:rPr>
                <w:rFonts w:eastAsia="Calibri" w:cs="Calibri"/>
              </w:rPr>
              <w:t>2.7</w:t>
            </w:r>
          </w:p>
        </w:tc>
        <w:tc>
          <w:tcPr>
            <w:tcW w:w="909" w:type="dxa"/>
            <w:tcBorders>
              <w:top w:val="single" w:sz="4" w:space="0" w:color="365F91"/>
              <w:bottom w:val="single" w:sz="4" w:space="0" w:color="365F91"/>
            </w:tcBorders>
            <w:shd w:val="clear" w:color="auto" w:fill="FFFFFF"/>
            <w:tcMar>
              <w:top w:w="0" w:type="dxa"/>
              <w:left w:w="85" w:type="dxa"/>
              <w:bottom w:w="0" w:type="dxa"/>
              <w:right w:w="85" w:type="dxa"/>
            </w:tcMar>
          </w:tcPr>
          <w:p w14:paraId="7C66CF57" w14:textId="77777777" w:rsidR="00387C28" w:rsidRPr="00BE78CA" w:rsidRDefault="00387C28" w:rsidP="00A37132">
            <w:pPr>
              <w:pStyle w:val="TableText"/>
              <w:spacing w:before="50" w:after="50"/>
              <w:jc w:val="right"/>
              <w:rPr>
                <w:rFonts w:cs="Calibri"/>
              </w:rPr>
            </w:pPr>
            <w:r w:rsidRPr="00BE78CA">
              <w:rPr>
                <w:rFonts w:eastAsia="Calibri" w:cs="Calibri"/>
              </w:rPr>
              <w:t>69.6</w:t>
            </w:r>
          </w:p>
        </w:tc>
      </w:tr>
      <w:tr w:rsidR="00387C28" w:rsidRPr="00BE78CA" w14:paraId="3CE43F63" w14:textId="77777777" w:rsidTr="00AC70F2">
        <w:trPr>
          <w:cantSplit/>
        </w:trPr>
        <w:tc>
          <w:tcPr>
            <w:tcW w:w="846" w:type="dxa"/>
            <w:tcBorders>
              <w:top w:val="single" w:sz="4" w:space="0" w:color="365F91"/>
              <w:left w:val="single" w:sz="4" w:space="0" w:color="FFFFFF"/>
              <w:bottom w:val="single" w:sz="4" w:space="0" w:color="365F91"/>
            </w:tcBorders>
            <w:shd w:val="clear" w:color="auto" w:fill="FFFFFF"/>
            <w:tcMar>
              <w:top w:w="0" w:type="dxa"/>
              <w:left w:w="85" w:type="dxa"/>
              <w:bottom w:w="0" w:type="dxa"/>
              <w:right w:w="85" w:type="dxa"/>
            </w:tcMar>
          </w:tcPr>
          <w:p w14:paraId="55FB5D83" w14:textId="77777777" w:rsidR="00387C28" w:rsidRPr="00BE78CA" w:rsidRDefault="00387C28" w:rsidP="00A37132">
            <w:pPr>
              <w:pStyle w:val="TableText"/>
              <w:spacing w:before="50" w:after="50"/>
              <w:rPr>
                <w:rFonts w:cs="Calibri"/>
              </w:rPr>
            </w:pPr>
            <w:r w:rsidRPr="00BE78CA">
              <w:rPr>
                <w:rFonts w:eastAsia="Calibri" w:cs="Calibri"/>
              </w:rPr>
              <w:t>3.D.1.1</w:t>
            </w:r>
          </w:p>
        </w:tc>
        <w:tc>
          <w:tcPr>
            <w:tcW w:w="2410" w:type="dxa"/>
            <w:tcBorders>
              <w:top w:val="single" w:sz="4" w:space="0" w:color="365F91"/>
              <w:bottom w:val="single" w:sz="4" w:space="0" w:color="365F91"/>
            </w:tcBorders>
            <w:shd w:val="clear" w:color="auto" w:fill="FFFFFF"/>
            <w:tcMar>
              <w:top w:w="0" w:type="dxa"/>
              <w:left w:w="85" w:type="dxa"/>
              <w:bottom w:w="0" w:type="dxa"/>
              <w:right w:w="85" w:type="dxa"/>
            </w:tcMar>
          </w:tcPr>
          <w:p w14:paraId="273F5DAE" w14:textId="77777777" w:rsidR="00387C28" w:rsidRPr="00BE78CA" w:rsidRDefault="00387C28" w:rsidP="00A37132">
            <w:pPr>
              <w:pStyle w:val="TableText"/>
              <w:spacing w:before="50" w:after="50"/>
              <w:rPr>
                <w:rFonts w:cs="Calibri"/>
              </w:rPr>
            </w:pPr>
            <w:r w:rsidRPr="00BE78CA">
              <w:rPr>
                <w:rFonts w:eastAsia="Calibri" w:cs="Calibri"/>
              </w:rPr>
              <w:t>Direct N</w:t>
            </w:r>
            <w:r w:rsidRPr="00BE78CA">
              <w:rPr>
                <w:rFonts w:eastAsia="Calibri" w:cs="Calibri"/>
                <w:vertAlign w:val="subscript"/>
              </w:rPr>
              <w:t>2</w:t>
            </w:r>
            <w:r w:rsidRPr="00BE78CA">
              <w:rPr>
                <w:rFonts w:eastAsia="Calibri" w:cs="Calibri"/>
              </w:rPr>
              <w:t>O Emissions from Managed Soils – Inorganic N Fertilisers</w:t>
            </w:r>
          </w:p>
        </w:tc>
        <w:tc>
          <w:tcPr>
            <w:tcW w:w="538" w:type="dxa"/>
            <w:tcBorders>
              <w:top w:val="single" w:sz="4" w:space="0" w:color="365F91"/>
              <w:bottom w:val="single" w:sz="4" w:space="0" w:color="365F91"/>
            </w:tcBorders>
            <w:shd w:val="clear" w:color="auto" w:fill="FFFFFF"/>
            <w:tcMar>
              <w:top w:w="0" w:type="dxa"/>
              <w:left w:w="85" w:type="dxa"/>
              <w:bottom w:w="0" w:type="dxa"/>
              <w:right w:w="85" w:type="dxa"/>
            </w:tcMar>
          </w:tcPr>
          <w:p w14:paraId="44F9B60D" w14:textId="77777777" w:rsidR="00387C28" w:rsidRPr="00BE78CA" w:rsidRDefault="00387C28" w:rsidP="00A37132">
            <w:pPr>
              <w:pStyle w:val="TableText"/>
              <w:spacing w:before="50" w:after="50"/>
              <w:jc w:val="center"/>
              <w:rPr>
                <w:rFonts w:cs="Calibri"/>
              </w:rPr>
            </w:pPr>
            <w:r w:rsidRPr="00BE78CA">
              <w:rPr>
                <w:rFonts w:eastAsia="Calibri" w:cs="Calibri"/>
              </w:rPr>
              <w:t>N</w:t>
            </w:r>
            <w:r w:rsidRPr="00BE78CA">
              <w:rPr>
                <w:rFonts w:eastAsia="Calibri" w:cs="Calibri"/>
                <w:vertAlign w:val="subscript"/>
              </w:rPr>
              <w:t>2</w:t>
            </w:r>
            <w:r w:rsidRPr="00BE78CA">
              <w:rPr>
                <w:rFonts w:eastAsia="Calibri" w:cs="Calibri"/>
              </w:rPr>
              <w:t>O</w:t>
            </w:r>
          </w:p>
        </w:tc>
        <w:tc>
          <w:tcPr>
            <w:tcW w:w="928" w:type="dxa"/>
            <w:tcBorders>
              <w:top w:val="single" w:sz="4" w:space="0" w:color="365F91"/>
              <w:bottom w:val="single" w:sz="4" w:space="0" w:color="365F91"/>
            </w:tcBorders>
            <w:shd w:val="clear" w:color="auto" w:fill="FFFFFF"/>
            <w:tcMar>
              <w:top w:w="0" w:type="dxa"/>
              <w:left w:w="85" w:type="dxa"/>
              <w:bottom w:w="0" w:type="dxa"/>
              <w:right w:w="85" w:type="dxa"/>
            </w:tcMar>
          </w:tcPr>
          <w:p w14:paraId="3AC9E265" w14:textId="77777777" w:rsidR="00387C28" w:rsidRPr="00BE78CA" w:rsidRDefault="00387C28" w:rsidP="00A37132">
            <w:pPr>
              <w:pStyle w:val="TableText"/>
              <w:spacing w:before="50" w:after="50"/>
              <w:jc w:val="right"/>
              <w:rPr>
                <w:rFonts w:cs="Calibri"/>
              </w:rPr>
            </w:pPr>
            <w:r w:rsidRPr="00BE78CA">
              <w:rPr>
                <w:rFonts w:eastAsia="Calibri" w:cs="Calibri"/>
              </w:rPr>
              <w:t>230.3</w:t>
            </w:r>
          </w:p>
        </w:tc>
        <w:tc>
          <w:tcPr>
            <w:tcW w:w="928" w:type="dxa"/>
            <w:tcBorders>
              <w:top w:val="single" w:sz="4" w:space="0" w:color="365F91"/>
              <w:bottom w:val="single" w:sz="4" w:space="0" w:color="365F91"/>
            </w:tcBorders>
            <w:shd w:val="clear" w:color="auto" w:fill="FFFFFF"/>
            <w:tcMar>
              <w:top w:w="0" w:type="dxa"/>
              <w:left w:w="85" w:type="dxa"/>
              <w:bottom w:w="0" w:type="dxa"/>
              <w:right w:w="85" w:type="dxa"/>
            </w:tcMar>
          </w:tcPr>
          <w:p w14:paraId="6DFF1614" w14:textId="77777777" w:rsidR="00387C28" w:rsidRPr="00BE78CA" w:rsidRDefault="00387C28" w:rsidP="00A37132">
            <w:pPr>
              <w:pStyle w:val="TableText"/>
              <w:spacing w:before="50" w:after="50"/>
              <w:jc w:val="right"/>
              <w:rPr>
                <w:rFonts w:cs="Calibri"/>
              </w:rPr>
            </w:pPr>
            <w:r w:rsidRPr="00BE78CA">
              <w:rPr>
                <w:rFonts w:eastAsia="Calibri" w:cs="Calibri"/>
              </w:rPr>
              <w:t>1,429.3</w:t>
            </w:r>
          </w:p>
        </w:tc>
        <w:tc>
          <w:tcPr>
            <w:tcW w:w="937" w:type="dxa"/>
            <w:tcBorders>
              <w:top w:val="single" w:sz="4" w:space="0" w:color="365F91"/>
              <w:bottom w:val="single" w:sz="4" w:space="0" w:color="365F91"/>
            </w:tcBorders>
            <w:shd w:val="clear" w:color="auto" w:fill="FFFFFF"/>
            <w:tcMar>
              <w:top w:w="0" w:type="dxa"/>
              <w:left w:w="85" w:type="dxa"/>
              <w:bottom w:w="0" w:type="dxa"/>
              <w:right w:w="85" w:type="dxa"/>
            </w:tcMar>
          </w:tcPr>
          <w:p w14:paraId="6DFEF1DA" w14:textId="77777777" w:rsidR="00387C28" w:rsidRPr="00BE78CA" w:rsidRDefault="00387C28" w:rsidP="00A37132">
            <w:pPr>
              <w:pStyle w:val="TableText"/>
              <w:spacing w:before="50" w:after="50"/>
              <w:jc w:val="right"/>
              <w:rPr>
                <w:rFonts w:cs="Calibri"/>
              </w:rPr>
            </w:pPr>
            <w:r w:rsidRPr="00BE78CA">
              <w:rPr>
                <w:rFonts w:eastAsia="Calibri" w:cs="Calibri"/>
              </w:rPr>
              <w:t>0.017</w:t>
            </w:r>
          </w:p>
        </w:tc>
        <w:tc>
          <w:tcPr>
            <w:tcW w:w="999" w:type="dxa"/>
            <w:tcBorders>
              <w:top w:val="single" w:sz="4" w:space="0" w:color="365F91"/>
              <w:bottom w:val="single" w:sz="4" w:space="0" w:color="365F91"/>
            </w:tcBorders>
            <w:shd w:val="clear" w:color="auto" w:fill="FFFFFF"/>
            <w:tcMar>
              <w:top w:w="0" w:type="dxa"/>
              <w:left w:w="85" w:type="dxa"/>
              <w:bottom w:w="0" w:type="dxa"/>
              <w:right w:w="85" w:type="dxa"/>
            </w:tcMar>
          </w:tcPr>
          <w:p w14:paraId="68912A4F" w14:textId="77777777" w:rsidR="00387C28" w:rsidRPr="00BE78CA" w:rsidRDefault="00387C28" w:rsidP="00A37132">
            <w:pPr>
              <w:pStyle w:val="TableText"/>
              <w:spacing w:before="50" w:after="50"/>
              <w:jc w:val="right"/>
              <w:rPr>
                <w:rFonts w:cs="Calibri"/>
              </w:rPr>
            </w:pPr>
            <w:r w:rsidRPr="00BE78CA">
              <w:rPr>
                <w:rFonts w:eastAsia="Calibri" w:cs="Calibri"/>
              </w:rPr>
              <w:t>2.6</w:t>
            </w:r>
          </w:p>
        </w:tc>
        <w:tc>
          <w:tcPr>
            <w:tcW w:w="909" w:type="dxa"/>
            <w:tcBorders>
              <w:top w:val="single" w:sz="4" w:space="0" w:color="365F91"/>
              <w:bottom w:val="single" w:sz="4" w:space="0" w:color="365F91"/>
            </w:tcBorders>
            <w:shd w:val="clear" w:color="auto" w:fill="FFFFFF"/>
            <w:tcMar>
              <w:top w:w="0" w:type="dxa"/>
              <w:left w:w="85" w:type="dxa"/>
              <w:bottom w:w="0" w:type="dxa"/>
              <w:right w:w="85" w:type="dxa"/>
            </w:tcMar>
          </w:tcPr>
          <w:p w14:paraId="24110B1E" w14:textId="77777777" w:rsidR="00387C28" w:rsidRPr="00BE78CA" w:rsidRDefault="00387C28" w:rsidP="00A37132">
            <w:pPr>
              <w:pStyle w:val="TableText"/>
              <w:spacing w:before="50" w:after="50"/>
              <w:jc w:val="right"/>
              <w:rPr>
                <w:rFonts w:cs="Calibri"/>
              </w:rPr>
            </w:pPr>
            <w:r w:rsidRPr="00BE78CA">
              <w:rPr>
                <w:rFonts w:eastAsia="Calibri" w:cs="Calibri"/>
              </w:rPr>
              <w:t>72.2</w:t>
            </w:r>
          </w:p>
        </w:tc>
      </w:tr>
      <w:tr w:rsidR="00387C28" w:rsidRPr="00BE78CA" w14:paraId="1F89CD74" w14:textId="77777777" w:rsidTr="00AC70F2">
        <w:trPr>
          <w:cantSplit/>
        </w:trPr>
        <w:tc>
          <w:tcPr>
            <w:tcW w:w="846" w:type="dxa"/>
            <w:tcBorders>
              <w:top w:val="single" w:sz="4" w:space="0" w:color="365F91"/>
              <w:left w:val="single" w:sz="4" w:space="0" w:color="FFFFFF"/>
              <w:bottom w:val="single" w:sz="4" w:space="0" w:color="365F91"/>
            </w:tcBorders>
            <w:shd w:val="clear" w:color="auto" w:fill="FFFFFF"/>
            <w:tcMar>
              <w:top w:w="0" w:type="dxa"/>
              <w:left w:w="85" w:type="dxa"/>
              <w:bottom w:w="0" w:type="dxa"/>
              <w:right w:w="85" w:type="dxa"/>
            </w:tcMar>
          </w:tcPr>
          <w:p w14:paraId="1B60895E" w14:textId="77777777" w:rsidR="00387C28" w:rsidRPr="00BE78CA" w:rsidRDefault="00387C28" w:rsidP="00A37132">
            <w:pPr>
              <w:pStyle w:val="TableText"/>
              <w:spacing w:before="50" w:after="50"/>
              <w:rPr>
                <w:rFonts w:cs="Calibri"/>
              </w:rPr>
            </w:pPr>
            <w:r w:rsidRPr="00BE78CA">
              <w:rPr>
                <w:rFonts w:eastAsia="Calibri" w:cs="Calibri"/>
              </w:rPr>
              <w:t>2.C.3</w:t>
            </w:r>
          </w:p>
        </w:tc>
        <w:tc>
          <w:tcPr>
            <w:tcW w:w="2410" w:type="dxa"/>
            <w:tcBorders>
              <w:top w:val="single" w:sz="4" w:space="0" w:color="365F91"/>
              <w:bottom w:val="single" w:sz="4" w:space="0" w:color="365F91"/>
            </w:tcBorders>
            <w:shd w:val="clear" w:color="auto" w:fill="FFFFFF"/>
            <w:tcMar>
              <w:top w:w="0" w:type="dxa"/>
              <w:left w:w="85" w:type="dxa"/>
              <w:bottom w:w="0" w:type="dxa"/>
              <w:right w:w="85" w:type="dxa"/>
            </w:tcMar>
          </w:tcPr>
          <w:p w14:paraId="61828ACD" w14:textId="77777777" w:rsidR="00387C28" w:rsidRPr="00BE78CA" w:rsidRDefault="00387C28" w:rsidP="00A37132">
            <w:pPr>
              <w:pStyle w:val="TableText"/>
              <w:spacing w:before="50" w:after="50"/>
              <w:rPr>
                <w:rFonts w:cs="Calibri"/>
              </w:rPr>
            </w:pPr>
            <w:r w:rsidRPr="00BE78CA">
              <w:rPr>
                <w:rFonts w:eastAsia="Calibri" w:cs="Calibri"/>
              </w:rPr>
              <w:t>Metal Industry – Aluminium Production</w:t>
            </w:r>
          </w:p>
        </w:tc>
        <w:tc>
          <w:tcPr>
            <w:tcW w:w="538" w:type="dxa"/>
            <w:tcBorders>
              <w:top w:val="single" w:sz="4" w:space="0" w:color="365F91"/>
              <w:bottom w:val="single" w:sz="4" w:space="0" w:color="365F91"/>
            </w:tcBorders>
            <w:shd w:val="clear" w:color="auto" w:fill="FFFFFF"/>
            <w:tcMar>
              <w:top w:w="0" w:type="dxa"/>
              <w:left w:w="85" w:type="dxa"/>
              <w:bottom w:w="0" w:type="dxa"/>
              <w:right w:w="85" w:type="dxa"/>
            </w:tcMar>
          </w:tcPr>
          <w:p w14:paraId="6813C864" w14:textId="77777777" w:rsidR="00387C28" w:rsidRPr="00BE78CA" w:rsidRDefault="00387C28" w:rsidP="00A37132">
            <w:pPr>
              <w:pStyle w:val="TableText"/>
              <w:spacing w:before="50" w:after="50"/>
              <w:jc w:val="center"/>
              <w:rPr>
                <w:rFonts w:cs="Calibri"/>
              </w:rPr>
            </w:pPr>
            <w:r w:rsidRPr="00BE78CA">
              <w:rPr>
                <w:rFonts w:eastAsia="Calibri" w:cs="Calibri"/>
              </w:rPr>
              <w:t>PFCs</w:t>
            </w:r>
          </w:p>
        </w:tc>
        <w:tc>
          <w:tcPr>
            <w:tcW w:w="928" w:type="dxa"/>
            <w:tcBorders>
              <w:top w:val="single" w:sz="4" w:space="0" w:color="365F91"/>
              <w:bottom w:val="single" w:sz="4" w:space="0" w:color="365F91"/>
            </w:tcBorders>
            <w:shd w:val="clear" w:color="auto" w:fill="FFFFFF"/>
            <w:tcMar>
              <w:top w:w="0" w:type="dxa"/>
              <w:left w:w="85" w:type="dxa"/>
              <w:bottom w:w="0" w:type="dxa"/>
              <w:right w:w="85" w:type="dxa"/>
            </w:tcMar>
          </w:tcPr>
          <w:p w14:paraId="59FB9013" w14:textId="77777777" w:rsidR="00387C28" w:rsidRPr="00BE78CA" w:rsidRDefault="00387C28" w:rsidP="00A37132">
            <w:pPr>
              <w:pStyle w:val="TableText"/>
              <w:spacing w:before="50" w:after="50"/>
              <w:jc w:val="right"/>
              <w:rPr>
                <w:rFonts w:cs="Calibri"/>
              </w:rPr>
            </w:pPr>
            <w:r w:rsidRPr="00BE78CA">
              <w:rPr>
                <w:rFonts w:eastAsia="Calibri" w:cs="Calibri"/>
              </w:rPr>
              <w:t>909.9</w:t>
            </w:r>
          </w:p>
        </w:tc>
        <w:tc>
          <w:tcPr>
            <w:tcW w:w="928" w:type="dxa"/>
            <w:tcBorders>
              <w:top w:val="single" w:sz="4" w:space="0" w:color="365F91"/>
              <w:bottom w:val="single" w:sz="4" w:space="0" w:color="365F91"/>
            </w:tcBorders>
            <w:shd w:val="clear" w:color="auto" w:fill="FFFFFF"/>
            <w:tcMar>
              <w:top w:w="0" w:type="dxa"/>
              <w:left w:w="85" w:type="dxa"/>
              <w:bottom w:w="0" w:type="dxa"/>
              <w:right w:w="85" w:type="dxa"/>
            </w:tcMar>
          </w:tcPr>
          <w:p w14:paraId="22D30A63" w14:textId="77777777" w:rsidR="00387C28" w:rsidRPr="00BE78CA" w:rsidRDefault="00387C28" w:rsidP="00A37132">
            <w:pPr>
              <w:pStyle w:val="TableText"/>
              <w:spacing w:before="50" w:after="50"/>
              <w:jc w:val="right"/>
              <w:rPr>
                <w:rFonts w:cs="Calibri"/>
              </w:rPr>
            </w:pPr>
            <w:r w:rsidRPr="00BE78CA">
              <w:rPr>
                <w:rFonts w:eastAsia="Calibri" w:cs="Calibri"/>
              </w:rPr>
              <w:t>89.1</w:t>
            </w:r>
          </w:p>
        </w:tc>
        <w:tc>
          <w:tcPr>
            <w:tcW w:w="937" w:type="dxa"/>
            <w:tcBorders>
              <w:top w:val="single" w:sz="4" w:space="0" w:color="365F91"/>
              <w:bottom w:val="single" w:sz="4" w:space="0" w:color="365F91"/>
            </w:tcBorders>
            <w:shd w:val="clear" w:color="auto" w:fill="FFFFFF"/>
            <w:tcMar>
              <w:top w:w="0" w:type="dxa"/>
              <w:left w:w="85" w:type="dxa"/>
              <w:bottom w:w="0" w:type="dxa"/>
              <w:right w:w="85" w:type="dxa"/>
            </w:tcMar>
          </w:tcPr>
          <w:p w14:paraId="15423782" w14:textId="77777777" w:rsidR="00387C28" w:rsidRPr="00BE78CA" w:rsidRDefault="00387C28" w:rsidP="00A37132">
            <w:pPr>
              <w:pStyle w:val="TableText"/>
              <w:spacing w:before="50" w:after="50"/>
              <w:jc w:val="right"/>
              <w:rPr>
                <w:rFonts w:cs="Calibri"/>
              </w:rPr>
            </w:pPr>
            <w:r w:rsidRPr="00BE78CA">
              <w:rPr>
                <w:rFonts w:eastAsia="Calibri" w:cs="Calibri"/>
              </w:rPr>
              <w:t>0.016</w:t>
            </w:r>
          </w:p>
        </w:tc>
        <w:tc>
          <w:tcPr>
            <w:tcW w:w="999" w:type="dxa"/>
            <w:tcBorders>
              <w:top w:val="single" w:sz="4" w:space="0" w:color="365F91"/>
              <w:bottom w:val="single" w:sz="4" w:space="0" w:color="365F91"/>
            </w:tcBorders>
            <w:shd w:val="clear" w:color="auto" w:fill="FFFFFF"/>
            <w:tcMar>
              <w:top w:w="0" w:type="dxa"/>
              <w:left w:w="85" w:type="dxa"/>
              <w:bottom w:w="0" w:type="dxa"/>
              <w:right w:w="85" w:type="dxa"/>
            </w:tcMar>
          </w:tcPr>
          <w:p w14:paraId="28582AE7" w14:textId="77777777" w:rsidR="00387C28" w:rsidRPr="00BE78CA" w:rsidRDefault="00387C28" w:rsidP="00A37132">
            <w:pPr>
              <w:pStyle w:val="TableText"/>
              <w:spacing w:before="50" w:after="50"/>
              <w:jc w:val="right"/>
              <w:rPr>
                <w:rFonts w:cs="Calibri"/>
              </w:rPr>
            </w:pPr>
            <w:r w:rsidRPr="00BE78CA">
              <w:rPr>
                <w:rFonts w:eastAsia="Calibri" w:cs="Calibri"/>
              </w:rPr>
              <w:t>2.4</w:t>
            </w:r>
          </w:p>
        </w:tc>
        <w:tc>
          <w:tcPr>
            <w:tcW w:w="909" w:type="dxa"/>
            <w:tcBorders>
              <w:top w:val="single" w:sz="4" w:space="0" w:color="365F91"/>
              <w:bottom w:val="single" w:sz="4" w:space="0" w:color="365F91"/>
            </w:tcBorders>
            <w:shd w:val="clear" w:color="auto" w:fill="FFFFFF"/>
            <w:tcMar>
              <w:top w:w="0" w:type="dxa"/>
              <w:left w:w="85" w:type="dxa"/>
              <w:bottom w:w="0" w:type="dxa"/>
              <w:right w:w="85" w:type="dxa"/>
            </w:tcMar>
          </w:tcPr>
          <w:p w14:paraId="5972ADFE" w14:textId="77777777" w:rsidR="00387C28" w:rsidRPr="00BE78CA" w:rsidRDefault="00387C28" w:rsidP="00A37132">
            <w:pPr>
              <w:pStyle w:val="TableText"/>
              <w:spacing w:before="50" w:after="50"/>
              <w:jc w:val="right"/>
              <w:rPr>
                <w:rFonts w:cs="Calibri"/>
              </w:rPr>
            </w:pPr>
            <w:r w:rsidRPr="00BE78CA">
              <w:rPr>
                <w:rFonts w:eastAsia="Calibri" w:cs="Calibri"/>
              </w:rPr>
              <w:t>74.6</w:t>
            </w:r>
          </w:p>
        </w:tc>
      </w:tr>
      <w:tr w:rsidR="00387C28" w:rsidRPr="00BE78CA" w14:paraId="61B72272" w14:textId="77777777" w:rsidTr="00AC70F2">
        <w:trPr>
          <w:cantSplit/>
        </w:trPr>
        <w:tc>
          <w:tcPr>
            <w:tcW w:w="846" w:type="dxa"/>
            <w:tcBorders>
              <w:top w:val="single" w:sz="4" w:space="0" w:color="365F91"/>
              <w:left w:val="single" w:sz="4" w:space="0" w:color="FFFFFF"/>
              <w:bottom w:val="single" w:sz="4" w:space="0" w:color="365F91"/>
            </w:tcBorders>
            <w:shd w:val="clear" w:color="auto" w:fill="FFFFFF"/>
            <w:tcMar>
              <w:top w:w="0" w:type="dxa"/>
              <w:left w:w="85" w:type="dxa"/>
              <w:bottom w:w="0" w:type="dxa"/>
              <w:right w:w="85" w:type="dxa"/>
            </w:tcMar>
          </w:tcPr>
          <w:p w14:paraId="049BAF5D" w14:textId="77777777" w:rsidR="00387C28" w:rsidRPr="00BE78CA" w:rsidRDefault="00387C28" w:rsidP="00A37132">
            <w:pPr>
              <w:pStyle w:val="TableText"/>
              <w:spacing w:before="50" w:after="50"/>
              <w:rPr>
                <w:rFonts w:cs="Calibri"/>
              </w:rPr>
            </w:pPr>
            <w:r w:rsidRPr="00BE78CA">
              <w:rPr>
                <w:rFonts w:eastAsia="Calibri" w:cs="Calibri"/>
              </w:rPr>
              <w:t>1.A.1.a</w:t>
            </w:r>
          </w:p>
        </w:tc>
        <w:tc>
          <w:tcPr>
            <w:tcW w:w="2410" w:type="dxa"/>
            <w:tcBorders>
              <w:top w:val="single" w:sz="4" w:space="0" w:color="365F91"/>
              <w:bottom w:val="single" w:sz="4" w:space="0" w:color="365F91"/>
            </w:tcBorders>
            <w:shd w:val="clear" w:color="auto" w:fill="FFFFFF"/>
            <w:tcMar>
              <w:top w:w="0" w:type="dxa"/>
              <w:left w:w="85" w:type="dxa"/>
              <w:bottom w:w="0" w:type="dxa"/>
              <w:right w:w="85" w:type="dxa"/>
            </w:tcMar>
          </w:tcPr>
          <w:p w14:paraId="63A33C8E" w14:textId="77777777" w:rsidR="00387C28" w:rsidRPr="00BE78CA" w:rsidRDefault="00387C28" w:rsidP="00A37132">
            <w:pPr>
              <w:pStyle w:val="TableText"/>
              <w:spacing w:before="50" w:after="50"/>
              <w:rPr>
                <w:rFonts w:cs="Calibri"/>
              </w:rPr>
            </w:pPr>
            <w:r w:rsidRPr="00BE78CA">
              <w:rPr>
                <w:rFonts w:eastAsia="Calibri" w:cs="Calibri"/>
              </w:rPr>
              <w:t>Energy Industries – Public Electricity and Heat Production</w:t>
            </w:r>
          </w:p>
        </w:tc>
        <w:tc>
          <w:tcPr>
            <w:tcW w:w="538" w:type="dxa"/>
            <w:tcBorders>
              <w:top w:val="single" w:sz="4" w:space="0" w:color="365F91"/>
              <w:bottom w:val="single" w:sz="4" w:space="0" w:color="365F91"/>
            </w:tcBorders>
            <w:shd w:val="clear" w:color="auto" w:fill="FFFFFF"/>
            <w:tcMar>
              <w:top w:w="0" w:type="dxa"/>
              <w:left w:w="85" w:type="dxa"/>
              <w:bottom w:w="0" w:type="dxa"/>
              <w:right w:w="85" w:type="dxa"/>
            </w:tcMar>
          </w:tcPr>
          <w:p w14:paraId="0856EF27" w14:textId="77777777" w:rsidR="00387C28" w:rsidRPr="00BE78CA" w:rsidRDefault="00387C28" w:rsidP="00A37132">
            <w:pPr>
              <w:pStyle w:val="TableText"/>
              <w:spacing w:before="50" w:after="50"/>
              <w:jc w:val="center"/>
              <w:rPr>
                <w:rFonts w:cs="Calibri"/>
              </w:rPr>
            </w:pPr>
            <w:r w:rsidRPr="00BE78CA">
              <w:rPr>
                <w:rFonts w:eastAsia="Calibri" w:cs="Calibri"/>
              </w:rPr>
              <w:t>CO</w:t>
            </w:r>
            <w:r w:rsidRPr="00BE78CA">
              <w:rPr>
                <w:rFonts w:eastAsia="Calibri" w:cs="Calibri"/>
                <w:vertAlign w:val="subscript"/>
              </w:rPr>
              <w:t>2</w:t>
            </w:r>
          </w:p>
        </w:tc>
        <w:tc>
          <w:tcPr>
            <w:tcW w:w="928" w:type="dxa"/>
            <w:tcBorders>
              <w:top w:val="single" w:sz="4" w:space="0" w:color="365F91"/>
              <w:bottom w:val="single" w:sz="4" w:space="0" w:color="365F91"/>
            </w:tcBorders>
            <w:shd w:val="clear" w:color="auto" w:fill="FFFFFF"/>
            <w:tcMar>
              <w:top w:w="0" w:type="dxa"/>
              <w:left w:w="85" w:type="dxa"/>
              <w:bottom w:w="0" w:type="dxa"/>
              <w:right w:w="85" w:type="dxa"/>
            </w:tcMar>
          </w:tcPr>
          <w:p w14:paraId="0A215D4C" w14:textId="77777777" w:rsidR="00387C28" w:rsidRPr="00BE78CA" w:rsidRDefault="00387C28" w:rsidP="00A37132">
            <w:pPr>
              <w:pStyle w:val="TableText"/>
              <w:spacing w:before="50" w:after="50"/>
              <w:jc w:val="right"/>
              <w:rPr>
                <w:rFonts w:cs="Calibri"/>
              </w:rPr>
            </w:pPr>
            <w:r w:rsidRPr="00BE78CA">
              <w:rPr>
                <w:rFonts w:eastAsia="Calibri" w:cs="Calibri"/>
              </w:rPr>
              <w:t>474.8</w:t>
            </w:r>
          </w:p>
        </w:tc>
        <w:tc>
          <w:tcPr>
            <w:tcW w:w="928" w:type="dxa"/>
            <w:tcBorders>
              <w:top w:val="single" w:sz="4" w:space="0" w:color="365F91"/>
              <w:bottom w:val="single" w:sz="4" w:space="0" w:color="365F91"/>
            </w:tcBorders>
            <w:shd w:val="clear" w:color="auto" w:fill="FFFFFF"/>
            <w:tcMar>
              <w:top w:w="0" w:type="dxa"/>
              <w:left w:w="85" w:type="dxa"/>
              <w:bottom w:w="0" w:type="dxa"/>
              <w:right w:w="85" w:type="dxa"/>
            </w:tcMar>
          </w:tcPr>
          <w:p w14:paraId="3D04F3F1" w14:textId="77777777" w:rsidR="00387C28" w:rsidRPr="00BE78CA" w:rsidRDefault="00387C28" w:rsidP="00A37132">
            <w:pPr>
              <w:pStyle w:val="TableText"/>
              <w:spacing w:before="50" w:after="50"/>
              <w:jc w:val="right"/>
              <w:rPr>
                <w:rFonts w:cs="Calibri"/>
              </w:rPr>
            </w:pPr>
            <w:r w:rsidRPr="00BE78CA">
              <w:rPr>
                <w:rFonts w:eastAsia="Calibri" w:cs="Calibri"/>
              </w:rPr>
              <w:t>1,634.8</w:t>
            </w:r>
          </w:p>
        </w:tc>
        <w:tc>
          <w:tcPr>
            <w:tcW w:w="937" w:type="dxa"/>
            <w:tcBorders>
              <w:top w:val="single" w:sz="4" w:space="0" w:color="365F91"/>
              <w:bottom w:val="single" w:sz="4" w:space="0" w:color="365F91"/>
            </w:tcBorders>
            <w:shd w:val="clear" w:color="auto" w:fill="FFFFFF"/>
            <w:tcMar>
              <w:top w:w="0" w:type="dxa"/>
              <w:left w:w="85" w:type="dxa"/>
              <w:bottom w:w="0" w:type="dxa"/>
              <w:right w:w="85" w:type="dxa"/>
            </w:tcMar>
          </w:tcPr>
          <w:p w14:paraId="020F3B66" w14:textId="77777777" w:rsidR="00387C28" w:rsidRPr="00BE78CA" w:rsidRDefault="00387C28" w:rsidP="00A37132">
            <w:pPr>
              <w:pStyle w:val="TableText"/>
              <w:spacing w:before="50" w:after="50"/>
              <w:jc w:val="right"/>
              <w:rPr>
                <w:rFonts w:cs="Calibri"/>
              </w:rPr>
            </w:pPr>
            <w:r w:rsidRPr="00BE78CA">
              <w:rPr>
                <w:rFonts w:eastAsia="Calibri" w:cs="Calibri"/>
              </w:rPr>
              <w:t>0.016</w:t>
            </w:r>
          </w:p>
        </w:tc>
        <w:tc>
          <w:tcPr>
            <w:tcW w:w="999" w:type="dxa"/>
            <w:tcBorders>
              <w:top w:val="single" w:sz="4" w:space="0" w:color="365F91"/>
              <w:bottom w:val="single" w:sz="4" w:space="0" w:color="365F91"/>
            </w:tcBorders>
            <w:shd w:val="clear" w:color="auto" w:fill="FFFFFF"/>
            <w:tcMar>
              <w:top w:w="0" w:type="dxa"/>
              <w:left w:w="85" w:type="dxa"/>
              <w:bottom w:w="0" w:type="dxa"/>
              <w:right w:w="85" w:type="dxa"/>
            </w:tcMar>
          </w:tcPr>
          <w:p w14:paraId="1D66592D" w14:textId="77777777" w:rsidR="00387C28" w:rsidRPr="00BE78CA" w:rsidRDefault="00387C28" w:rsidP="00A37132">
            <w:pPr>
              <w:pStyle w:val="TableText"/>
              <w:spacing w:before="50" w:after="50"/>
              <w:jc w:val="right"/>
              <w:rPr>
                <w:rFonts w:cs="Calibri"/>
              </w:rPr>
            </w:pPr>
            <w:r w:rsidRPr="00BE78CA">
              <w:rPr>
                <w:rFonts w:eastAsia="Calibri" w:cs="Calibri"/>
              </w:rPr>
              <w:t>2.3</w:t>
            </w:r>
          </w:p>
        </w:tc>
        <w:tc>
          <w:tcPr>
            <w:tcW w:w="909" w:type="dxa"/>
            <w:tcBorders>
              <w:top w:val="single" w:sz="4" w:space="0" w:color="365F91"/>
              <w:bottom w:val="single" w:sz="4" w:space="0" w:color="365F91"/>
            </w:tcBorders>
            <w:shd w:val="clear" w:color="auto" w:fill="FFFFFF"/>
            <w:tcMar>
              <w:top w:w="0" w:type="dxa"/>
              <w:left w:w="85" w:type="dxa"/>
              <w:bottom w:w="0" w:type="dxa"/>
              <w:right w:w="85" w:type="dxa"/>
            </w:tcMar>
          </w:tcPr>
          <w:p w14:paraId="7A77D1C3" w14:textId="77777777" w:rsidR="00387C28" w:rsidRPr="00BE78CA" w:rsidRDefault="00387C28" w:rsidP="00A37132">
            <w:pPr>
              <w:pStyle w:val="TableText"/>
              <w:spacing w:before="50" w:after="50"/>
              <w:jc w:val="right"/>
              <w:rPr>
                <w:rFonts w:cs="Calibri"/>
              </w:rPr>
            </w:pPr>
            <w:r w:rsidRPr="00BE78CA">
              <w:rPr>
                <w:rFonts w:eastAsia="Calibri" w:cs="Calibri"/>
              </w:rPr>
              <w:t>76.9</w:t>
            </w:r>
          </w:p>
        </w:tc>
      </w:tr>
      <w:tr w:rsidR="00387C28" w:rsidRPr="00BE78CA" w14:paraId="7C8ED2CE" w14:textId="77777777" w:rsidTr="00AC70F2">
        <w:trPr>
          <w:cantSplit/>
        </w:trPr>
        <w:tc>
          <w:tcPr>
            <w:tcW w:w="846" w:type="dxa"/>
            <w:tcBorders>
              <w:top w:val="single" w:sz="4" w:space="0" w:color="365F91"/>
              <w:left w:val="single" w:sz="4" w:space="0" w:color="FFFFFF"/>
              <w:bottom w:val="single" w:sz="4" w:space="0" w:color="365F91"/>
            </w:tcBorders>
            <w:shd w:val="clear" w:color="auto" w:fill="FFFFFF"/>
            <w:tcMar>
              <w:top w:w="0" w:type="dxa"/>
              <w:left w:w="85" w:type="dxa"/>
              <w:bottom w:w="0" w:type="dxa"/>
              <w:right w:w="85" w:type="dxa"/>
            </w:tcMar>
          </w:tcPr>
          <w:p w14:paraId="49B14BF3" w14:textId="77777777" w:rsidR="00387C28" w:rsidRPr="00BE78CA" w:rsidRDefault="00387C28" w:rsidP="00A37132">
            <w:pPr>
              <w:pStyle w:val="TableText"/>
              <w:spacing w:before="50" w:after="50"/>
              <w:rPr>
                <w:rFonts w:cs="Calibri"/>
              </w:rPr>
            </w:pPr>
            <w:r w:rsidRPr="00BE78CA">
              <w:rPr>
                <w:rFonts w:eastAsia="Calibri" w:cs="Calibri"/>
              </w:rPr>
              <w:t>1.A.2.g.viii</w:t>
            </w:r>
          </w:p>
        </w:tc>
        <w:tc>
          <w:tcPr>
            <w:tcW w:w="2410" w:type="dxa"/>
            <w:tcBorders>
              <w:top w:val="single" w:sz="4" w:space="0" w:color="365F91"/>
              <w:bottom w:val="single" w:sz="4" w:space="0" w:color="365F91"/>
            </w:tcBorders>
            <w:shd w:val="clear" w:color="auto" w:fill="FFFFFF"/>
            <w:tcMar>
              <w:top w:w="0" w:type="dxa"/>
              <w:left w:w="85" w:type="dxa"/>
              <w:bottom w:w="0" w:type="dxa"/>
              <w:right w:w="85" w:type="dxa"/>
            </w:tcMar>
          </w:tcPr>
          <w:p w14:paraId="31BB8FA1" w14:textId="77777777" w:rsidR="00387C28" w:rsidRPr="00BE78CA" w:rsidRDefault="00387C28" w:rsidP="00A37132">
            <w:pPr>
              <w:pStyle w:val="TableText"/>
              <w:spacing w:before="50" w:after="50"/>
              <w:rPr>
                <w:rFonts w:cs="Calibri"/>
              </w:rPr>
            </w:pPr>
            <w:r w:rsidRPr="00BE78CA">
              <w:rPr>
                <w:rFonts w:eastAsia="Calibri" w:cs="Calibri"/>
              </w:rPr>
              <w:t>Other (please specify) – Other (please specify)</w:t>
            </w:r>
          </w:p>
        </w:tc>
        <w:tc>
          <w:tcPr>
            <w:tcW w:w="538" w:type="dxa"/>
            <w:tcBorders>
              <w:top w:val="single" w:sz="4" w:space="0" w:color="365F91"/>
              <w:bottom w:val="single" w:sz="4" w:space="0" w:color="365F91"/>
            </w:tcBorders>
            <w:shd w:val="clear" w:color="auto" w:fill="FFFFFF"/>
            <w:tcMar>
              <w:top w:w="0" w:type="dxa"/>
              <w:left w:w="85" w:type="dxa"/>
              <w:bottom w:w="0" w:type="dxa"/>
              <w:right w:w="85" w:type="dxa"/>
            </w:tcMar>
          </w:tcPr>
          <w:p w14:paraId="0381F1FA" w14:textId="77777777" w:rsidR="00387C28" w:rsidRPr="00BE78CA" w:rsidRDefault="00387C28" w:rsidP="00A37132">
            <w:pPr>
              <w:pStyle w:val="TableText"/>
              <w:spacing w:before="50" w:after="50"/>
              <w:jc w:val="center"/>
              <w:rPr>
                <w:rFonts w:cs="Calibri"/>
              </w:rPr>
            </w:pPr>
            <w:r w:rsidRPr="00BE78CA">
              <w:rPr>
                <w:rFonts w:eastAsia="Calibri" w:cs="Calibri"/>
              </w:rPr>
              <w:t>CO</w:t>
            </w:r>
            <w:r w:rsidRPr="00BE78CA">
              <w:rPr>
                <w:rFonts w:eastAsia="Calibri" w:cs="Calibri"/>
                <w:vertAlign w:val="subscript"/>
              </w:rPr>
              <w:t>2</w:t>
            </w:r>
          </w:p>
        </w:tc>
        <w:tc>
          <w:tcPr>
            <w:tcW w:w="928" w:type="dxa"/>
            <w:tcBorders>
              <w:top w:val="single" w:sz="4" w:space="0" w:color="365F91"/>
              <w:bottom w:val="single" w:sz="4" w:space="0" w:color="365F91"/>
            </w:tcBorders>
            <w:shd w:val="clear" w:color="auto" w:fill="FFFFFF"/>
            <w:tcMar>
              <w:top w:w="0" w:type="dxa"/>
              <w:left w:w="85" w:type="dxa"/>
              <w:bottom w:w="0" w:type="dxa"/>
              <w:right w:w="85" w:type="dxa"/>
            </w:tcMar>
          </w:tcPr>
          <w:p w14:paraId="2B2CB92C" w14:textId="77777777" w:rsidR="00387C28" w:rsidRPr="00BE78CA" w:rsidRDefault="00387C28" w:rsidP="00A37132">
            <w:pPr>
              <w:pStyle w:val="TableText"/>
              <w:spacing w:before="50" w:after="50"/>
              <w:jc w:val="right"/>
              <w:rPr>
                <w:rFonts w:cs="Calibri"/>
              </w:rPr>
            </w:pPr>
            <w:r w:rsidRPr="00BE78CA">
              <w:rPr>
                <w:rFonts w:eastAsia="Calibri" w:cs="Calibri"/>
              </w:rPr>
              <w:t>731.1</w:t>
            </w:r>
          </w:p>
        </w:tc>
        <w:tc>
          <w:tcPr>
            <w:tcW w:w="928" w:type="dxa"/>
            <w:tcBorders>
              <w:top w:val="single" w:sz="4" w:space="0" w:color="365F91"/>
              <w:bottom w:val="single" w:sz="4" w:space="0" w:color="365F91"/>
            </w:tcBorders>
            <w:shd w:val="clear" w:color="auto" w:fill="FFFFFF"/>
            <w:tcMar>
              <w:top w:w="0" w:type="dxa"/>
              <w:left w:w="85" w:type="dxa"/>
              <w:bottom w:w="0" w:type="dxa"/>
              <w:right w:w="85" w:type="dxa"/>
            </w:tcMar>
          </w:tcPr>
          <w:p w14:paraId="6DC88D0C" w14:textId="77777777" w:rsidR="00387C28" w:rsidRPr="00BE78CA" w:rsidRDefault="00387C28" w:rsidP="00A37132">
            <w:pPr>
              <w:pStyle w:val="TableText"/>
              <w:spacing w:before="50" w:after="50"/>
              <w:jc w:val="right"/>
              <w:rPr>
                <w:rFonts w:cs="Calibri"/>
              </w:rPr>
            </w:pPr>
            <w:r w:rsidRPr="00BE78CA">
              <w:rPr>
                <w:rFonts w:eastAsia="Calibri" w:cs="Calibri"/>
              </w:rPr>
              <w:t>9.5</w:t>
            </w:r>
          </w:p>
        </w:tc>
        <w:tc>
          <w:tcPr>
            <w:tcW w:w="937" w:type="dxa"/>
            <w:tcBorders>
              <w:top w:val="single" w:sz="4" w:space="0" w:color="365F91"/>
              <w:bottom w:val="single" w:sz="4" w:space="0" w:color="365F91"/>
            </w:tcBorders>
            <w:shd w:val="clear" w:color="auto" w:fill="FFFFFF"/>
            <w:tcMar>
              <w:top w:w="0" w:type="dxa"/>
              <w:left w:w="85" w:type="dxa"/>
              <w:bottom w:w="0" w:type="dxa"/>
              <w:right w:w="85" w:type="dxa"/>
            </w:tcMar>
          </w:tcPr>
          <w:p w14:paraId="41D7EAD0" w14:textId="77777777" w:rsidR="00387C28" w:rsidRPr="00BE78CA" w:rsidRDefault="00387C28" w:rsidP="00A37132">
            <w:pPr>
              <w:pStyle w:val="TableText"/>
              <w:spacing w:before="50" w:after="50"/>
              <w:jc w:val="right"/>
              <w:rPr>
                <w:rFonts w:cs="Calibri"/>
              </w:rPr>
            </w:pPr>
            <w:r w:rsidRPr="00BE78CA">
              <w:rPr>
                <w:rFonts w:eastAsia="Calibri" w:cs="Calibri"/>
              </w:rPr>
              <w:t>0.014</w:t>
            </w:r>
          </w:p>
        </w:tc>
        <w:tc>
          <w:tcPr>
            <w:tcW w:w="999" w:type="dxa"/>
            <w:tcBorders>
              <w:top w:val="single" w:sz="4" w:space="0" w:color="365F91"/>
              <w:bottom w:val="single" w:sz="4" w:space="0" w:color="365F91"/>
            </w:tcBorders>
            <w:shd w:val="clear" w:color="auto" w:fill="FFFFFF"/>
            <w:tcMar>
              <w:top w:w="0" w:type="dxa"/>
              <w:left w:w="85" w:type="dxa"/>
              <w:bottom w:w="0" w:type="dxa"/>
              <w:right w:w="85" w:type="dxa"/>
            </w:tcMar>
          </w:tcPr>
          <w:p w14:paraId="1358054E" w14:textId="77777777" w:rsidR="00387C28" w:rsidRPr="00BE78CA" w:rsidRDefault="00387C28" w:rsidP="00A37132">
            <w:pPr>
              <w:pStyle w:val="TableText"/>
              <w:spacing w:before="50" w:after="50"/>
              <w:jc w:val="right"/>
              <w:rPr>
                <w:rFonts w:cs="Calibri"/>
              </w:rPr>
            </w:pPr>
            <w:r w:rsidRPr="00BE78CA">
              <w:rPr>
                <w:rFonts w:eastAsia="Calibri" w:cs="Calibri"/>
              </w:rPr>
              <w:t>2.1</w:t>
            </w:r>
          </w:p>
        </w:tc>
        <w:tc>
          <w:tcPr>
            <w:tcW w:w="909" w:type="dxa"/>
            <w:tcBorders>
              <w:top w:val="single" w:sz="4" w:space="0" w:color="365F91"/>
              <w:bottom w:val="single" w:sz="4" w:space="0" w:color="365F91"/>
            </w:tcBorders>
            <w:shd w:val="clear" w:color="auto" w:fill="FFFFFF"/>
            <w:tcMar>
              <w:top w:w="0" w:type="dxa"/>
              <w:left w:w="85" w:type="dxa"/>
              <w:bottom w:w="0" w:type="dxa"/>
              <w:right w:w="85" w:type="dxa"/>
            </w:tcMar>
          </w:tcPr>
          <w:p w14:paraId="32D04FB6" w14:textId="77777777" w:rsidR="00387C28" w:rsidRPr="00BE78CA" w:rsidRDefault="00387C28" w:rsidP="00A37132">
            <w:pPr>
              <w:pStyle w:val="TableText"/>
              <w:spacing w:before="50" w:after="50"/>
              <w:jc w:val="right"/>
              <w:rPr>
                <w:rFonts w:cs="Calibri"/>
              </w:rPr>
            </w:pPr>
            <w:r w:rsidRPr="00BE78CA">
              <w:rPr>
                <w:rFonts w:eastAsia="Calibri" w:cs="Calibri"/>
              </w:rPr>
              <w:t>79.0</w:t>
            </w:r>
          </w:p>
        </w:tc>
      </w:tr>
      <w:tr w:rsidR="00387C28" w:rsidRPr="00BE78CA" w14:paraId="5AAC355A" w14:textId="77777777" w:rsidTr="00AC70F2">
        <w:trPr>
          <w:cantSplit/>
        </w:trPr>
        <w:tc>
          <w:tcPr>
            <w:tcW w:w="846" w:type="dxa"/>
            <w:tcBorders>
              <w:top w:val="single" w:sz="4" w:space="0" w:color="365F91"/>
              <w:left w:val="single" w:sz="4" w:space="0" w:color="FFFFFF"/>
              <w:bottom w:val="single" w:sz="4" w:space="0" w:color="365F91"/>
            </w:tcBorders>
            <w:shd w:val="clear" w:color="auto" w:fill="FFFFFF"/>
            <w:tcMar>
              <w:top w:w="0" w:type="dxa"/>
              <w:left w:w="85" w:type="dxa"/>
              <w:bottom w:w="0" w:type="dxa"/>
              <w:right w:w="85" w:type="dxa"/>
            </w:tcMar>
          </w:tcPr>
          <w:p w14:paraId="0E3A12F0" w14:textId="77777777" w:rsidR="00387C28" w:rsidRPr="00BE78CA" w:rsidRDefault="00387C28" w:rsidP="00A37132">
            <w:pPr>
              <w:pStyle w:val="TableText"/>
              <w:spacing w:before="50" w:after="50"/>
              <w:rPr>
                <w:rFonts w:cs="Calibri"/>
              </w:rPr>
            </w:pPr>
            <w:r w:rsidRPr="00BE78CA">
              <w:rPr>
                <w:rFonts w:eastAsia="Calibri" w:cs="Calibri"/>
              </w:rPr>
              <w:t>3.B.1.1</w:t>
            </w:r>
          </w:p>
        </w:tc>
        <w:tc>
          <w:tcPr>
            <w:tcW w:w="2410" w:type="dxa"/>
            <w:tcBorders>
              <w:top w:val="single" w:sz="4" w:space="0" w:color="365F91"/>
              <w:bottom w:val="single" w:sz="4" w:space="0" w:color="365F91"/>
            </w:tcBorders>
            <w:shd w:val="clear" w:color="auto" w:fill="FFFFFF"/>
            <w:tcMar>
              <w:top w:w="0" w:type="dxa"/>
              <w:left w:w="85" w:type="dxa"/>
              <w:bottom w:w="0" w:type="dxa"/>
              <w:right w:w="85" w:type="dxa"/>
            </w:tcMar>
          </w:tcPr>
          <w:p w14:paraId="64F53C74" w14:textId="77777777" w:rsidR="00387C28" w:rsidRPr="00BE78CA" w:rsidRDefault="00387C28" w:rsidP="00A37132">
            <w:pPr>
              <w:pStyle w:val="TableText"/>
              <w:spacing w:before="50" w:after="50"/>
              <w:rPr>
                <w:rFonts w:cs="Calibri"/>
              </w:rPr>
            </w:pPr>
            <w:r w:rsidRPr="00BE78CA">
              <w:rPr>
                <w:rFonts w:eastAsia="Calibri" w:cs="Calibri"/>
              </w:rPr>
              <w:t>Cattle – Option A</w:t>
            </w:r>
          </w:p>
        </w:tc>
        <w:tc>
          <w:tcPr>
            <w:tcW w:w="538" w:type="dxa"/>
            <w:tcBorders>
              <w:top w:val="single" w:sz="4" w:space="0" w:color="365F91"/>
              <w:bottom w:val="single" w:sz="4" w:space="0" w:color="365F91"/>
            </w:tcBorders>
            <w:shd w:val="clear" w:color="auto" w:fill="FFFFFF"/>
            <w:tcMar>
              <w:top w:w="0" w:type="dxa"/>
              <w:left w:w="85" w:type="dxa"/>
              <w:bottom w:w="0" w:type="dxa"/>
              <w:right w:w="85" w:type="dxa"/>
            </w:tcMar>
          </w:tcPr>
          <w:p w14:paraId="2F1D21FB" w14:textId="77777777" w:rsidR="00387C28" w:rsidRPr="00BE78CA" w:rsidRDefault="00387C28" w:rsidP="00A37132">
            <w:pPr>
              <w:pStyle w:val="TableText"/>
              <w:spacing w:before="50" w:after="50"/>
              <w:jc w:val="center"/>
              <w:rPr>
                <w:rFonts w:cs="Calibri"/>
              </w:rPr>
            </w:pPr>
            <w:r w:rsidRPr="00BE78CA">
              <w:rPr>
                <w:rFonts w:eastAsia="Calibri" w:cs="Calibri"/>
              </w:rPr>
              <w:t>CH</w:t>
            </w:r>
            <w:r w:rsidRPr="00BE78CA">
              <w:rPr>
                <w:rFonts w:eastAsia="Calibri" w:cs="Calibri"/>
                <w:vertAlign w:val="subscript"/>
              </w:rPr>
              <w:t>4</w:t>
            </w:r>
          </w:p>
        </w:tc>
        <w:tc>
          <w:tcPr>
            <w:tcW w:w="928" w:type="dxa"/>
            <w:tcBorders>
              <w:top w:val="single" w:sz="4" w:space="0" w:color="365F91"/>
              <w:bottom w:val="single" w:sz="4" w:space="0" w:color="365F91"/>
            </w:tcBorders>
            <w:shd w:val="clear" w:color="auto" w:fill="FFFFFF"/>
            <w:tcMar>
              <w:top w:w="0" w:type="dxa"/>
              <w:left w:w="85" w:type="dxa"/>
              <w:bottom w:w="0" w:type="dxa"/>
              <w:right w:w="85" w:type="dxa"/>
            </w:tcMar>
          </w:tcPr>
          <w:p w14:paraId="0BAD6CFC" w14:textId="77777777" w:rsidR="00387C28" w:rsidRPr="00BE78CA" w:rsidRDefault="00387C28" w:rsidP="00A37132">
            <w:pPr>
              <w:pStyle w:val="TableText"/>
              <w:spacing w:before="50" w:after="50"/>
              <w:jc w:val="right"/>
              <w:rPr>
                <w:rFonts w:cs="Calibri"/>
              </w:rPr>
            </w:pPr>
            <w:r w:rsidRPr="00BE78CA">
              <w:rPr>
                <w:rFonts w:eastAsia="Calibri" w:cs="Calibri"/>
              </w:rPr>
              <w:t>416.6</w:t>
            </w:r>
          </w:p>
        </w:tc>
        <w:tc>
          <w:tcPr>
            <w:tcW w:w="928" w:type="dxa"/>
            <w:tcBorders>
              <w:top w:val="single" w:sz="4" w:space="0" w:color="365F91"/>
              <w:bottom w:val="single" w:sz="4" w:space="0" w:color="365F91"/>
            </w:tcBorders>
            <w:shd w:val="clear" w:color="auto" w:fill="FFFFFF"/>
            <w:tcMar>
              <w:top w:w="0" w:type="dxa"/>
              <w:left w:w="85" w:type="dxa"/>
              <w:bottom w:w="0" w:type="dxa"/>
              <w:right w:w="85" w:type="dxa"/>
            </w:tcMar>
          </w:tcPr>
          <w:p w14:paraId="173AA803" w14:textId="77777777" w:rsidR="00387C28" w:rsidRPr="00BE78CA" w:rsidRDefault="00387C28" w:rsidP="00A37132">
            <w:pPr>
              <w:pStyle w:val="TableText"/>
              <w:spacing w:before="50" w:after="50"/>
              <w:jc w:val="right"/>
              <w:rPr>
                <w:rFonts w:cs="Calibri"/>
              </w:rPr>
            </w:pPr>
            <w:r w:rsidRPr="00BE78CA">
              <w:rPr>
                <w:rFonts w:eastAsia="Calibri" w:cs="Calibri"/>
              </w:rPr>
              <w:t>1,384.2</w:t>
            </w:r>
          </w:p>
        </w:tc>
        <w:tc>
          <w:tcPr>
            <w:tcW w:w="937" w:type="dxa"/>
            <w:tcBorders>
              <w:top w:val="single" w:sz="4" w:space="0" w:color="365F91"/>
              <w:bottom w:val="single" w:sz="4" w:space="0" w:color="365F91"/>
            </w:tcBorders>
            <w:shd w:val="clear" w:color="auto" w:fill="FFFFFF"/>
            <w:tcMar>
              <w:top w:w="0" w:type="dxa"/>
              <w:left w:w="85" w:type="dxa"/>
              <w:bottom w:w="0" w:type="dxa"/>
              <w:right w:w="85" w:type="dxa"/>
            </w:tcMar>
          </w:tcPr>
          <w:p w14:paraId="404C31DD" w14:textId="77777777" w:rsidR="00387C28" w:rsidRPr="00BE78CA" w:rsidRDefault="00387C28" w:rsidP="00A37132">
            <w:pPr>
              <w:pStyle w:val="TableText"/>
              <w:spacing w:before="50" w:after="50"/>
              <w:jc w:val="right"/>
              <w:rPr>
                <w:rFonts w:cs="Calibri"/>
              </w:rPr>
            </w:pPr>
            <w:r w:rsidRPr="00BE78CA">
              <w:rPr>
                <w:rFonts w:eastAsia="Calibri" w:cs="Calibri"/>
              </w:rPr>
              <w:t>0.013</w:t>
            </w:r>
          </w:p>
        </w:tc>
        <w:tc>
          <w:tcPr>
            <w:tcW w:w="999" w:type="dxa"/>
            <w:tcBorders>
              <w:top w:val="single" w:sz="4" w:space="0" w:color="365F91"/>
              <w:bottom w:val="single" w:sz="4" w:space="0" w:color="365F91"/>
            </w:tcBorders>
            <w:shd w:val="clear" w:color="auto" w:fill="FFFFFF"/>
            <w:tcMar>
              <w:top w:w="0" w:type="dxa"/>
              <w:left w:w="85" w:type="dxa"/>
              <w:bottom w:w="0" w:type="dxa"/>
              <w:right w:w="85" w:type="dxa"/>
            </w:tcMar>
          </w:tcPr>
          <w:p w14:paraId="4621BCA8" w14:textId="77777777" w:rsidR="00387C28" w:rsidRPr="00BE78CA" w:rsidRDefault="00387C28" w:rsidP="00A37132">
            <w:pPr>
              <w:pStyle w:val="TableText"/>
              <w:spacing w:before="50" w:after="50"/>
              <w:jc w:val="right"/>
              <w:rPr>
                <w:rFonts w:cs="Calibri"/>
              </w:rPr>
            </w:pPr>
            <w:r w:rsidRPr="00BE78CA">
              <w:rPr>
                <w:rFonts w:eastAsia="Calibri" w:cs="Calibri"/>
              </w:rPr>
              <w:t>1.9</w:t>
            </w:r>
          </w:p>
        </w:tc>
        <w:tc>
          <w:tcPr>
            <w:tcW w:w="909" w:type="dxa"/>
            <w:tcBorders>
              <w:top w:val="single" w:sz="4" w:space="0" w:color="365F91"/>
              <w:bottom w:val="single" w:sz="4" w:space="0" w:color="365F91"/>
            </w:tcBorders>
            <w:shd w:val="clear" w:color="auto" w:fill="FFFFFF"/>
            <w:tcMar>
              <w:top w:w="0" w:type="dxa"/>
              <w:left w:w="85" w:type="dxa"/>
              <w:bottom w:w="0" w:type="dxa"/>
              <w:right w:w="85" w:type="dxa"/>
            </w:tcMar>
          </w:tcPr>
          <w:p w14:paraId="174F5CEA" w14:textId="77777777" w:rsidR="00387C28" w:rsidRPr="00BE78CA" w:rsidRDefault="00387C28" w:rsidP="00A37132">
            <w:pPr>
              <w:pStyle w:val="TableText"/>
              <w:spacing w:before="50" w:after="50"/>
              <w:jc w:val="right"/>
              <w:rPr>
                <w:rFonts w:cs="Calibri"/>
              </w:rPr>
            </w:pPr>
            <w:r w:rsidRPr="00BE78CA">
              <w:rPr>
                <w:rFonts w:eastAsia="Calibri" w:cs="Calibri"/>
              </w:rPr>
              <w:t>80.9</w:t>
            </w:r>
          </w:p>
        </w:tc>
      </w:tr>
      <w:tr w:rsidR="00387C28" w:rsidRPr="00BE78CA" w14:paraId="5A1E8C20" w14:textId="77777777" w:rsidTr="00AC70F2">
        <w:trPr>
          <w:cantSplit/>
        </w:trPr>
        <w:tc>
          <w:tcPr>
            <w:tcW w:w="846" w:type="dxa"/>
            <w:tcBorders>
              <w:top w:val="single" w:sz="4" w:space="0" w:color="365F91"/>
              <w:left w:val="single" w:sz="4" w:space="0" w:color="FFFFFF"/>
              <w:bottom w:val="single" w:sz="4" w:space="0" w:color="365F91"/>
            </w:tcBorders>
            <w:shd w:val="clear" w:color="auto" w:fill="FFFFFF"/>
            <w:tcMar>
              <w:top w:w="0" w:type="dxa"/>
              <w:left w:w="85" w:type="dxa"/>
              <w:bottom w:w="0" w:type="dxa"/>
              <w:right w:w="85" w:type="dxa"/>
            </w:tcMar>
          </w:tcPr>
          <w:p w14:paraId="1B87AE51" w14:textId="77777777" w:rsidR="00387C28" w:rsidRPr="00BE78CA" w:rsidRDefault="00387C28" w:rsidP="00A37132">
            <w:pPr>
              <w:pStyle w:val="TableText"/>
              <w:spacing w:before="50" w:after="50"/>
              <w:rPr>
                <w:rFonts w:cs="Calibri"/>
              </w:rPr>
            </w:pPr>
            <w:r w:rsidRPr="00BE78CA">
              <w:rPr>
                <w:rFonts w:eastAsia="Calibri" w:cs="Calibri"/>
              </w:rPr>
              <w:lastRenderedPageBreak/>
              <w:t>1.A.2.e</w:t>
            </w:r>
          </w:p>
        </w:tc>
        <w:tc>
          <w:tcPr>
            <w:tcW w:w="2410" w:type="dxa"/>
            <w:tcBorders>
              <w:top w:val="single" w:sz="4" w:space="0" w:color="365F91"/>
              <w:bottom w:val="single" w:sz="4" w:space="0" w:color="365F91"/>
            </w:tcBorders>
            <w:shd w:val="clear" w:color="auto" w:fill="FFFFFF"/>
            <w:tcMar>
              <w:top w:w="0" w:type="dxa"/>
              <w:left w:w="85" w:type="dxa"/>
              <w:bottom w:w="0" w:type="dxa"/>
              <w:right w:w="85" w:type="dxa"/>
            </w:tcMar>
          </w:tcPr>
          <w:p w14:paraId="3F370D20" w14:textId="77777777" w:rsidR="00387C28" w:rsidRPr="00BE78CA" w:rsidRDefault="00387C28" w:rsidP="00A37132">
            <w:pPr>
              <w:pStyle w:val="TableText"/>
              <w:spacing w:before="50" w:after="50"/>
              <w:rPr>
                <w:rFonts w:cs="Calibri"/>
              </w:rPr>
            </w:pPr>
            <w:r w:rsidRPr="00BE78CA">
              <w:rPr>
                <w:rFonts w:eastAsia="Calibri" w:cs="Calibri"/>
              </w:rPr>
              <w:t>Food Processing, Beverages and Tobacco – Gaseous Fuels</w:t>
            </w:r>
          </w:p>
        </w:tc>
        <w:tc>
          <w:tcPr>
            <w:tcW w:w="538" w:type="dxa"/>
            <w:tcBorders>
              <w:top w:val="single" w:sz="4" w:space="0" w:color="365F91"/>
              <w:bottom w:val="single" w:sz="4" w:space="0" w:color="365F91"/>
            </w:tcBorders>
            <w:shd w:val="clear" w:color="auto" w:fill="FFFFFF"/>
            <w:tcMar>
              <w:top w:w="0" w:type="dxa"/>
              <w:left w:w="85" w:type="dxa"/>
              <w:bottom w:w="0" w:type="dxa"/>
              <w:right w:w="85" w:type="dxa"/>
            </w:tcMar>
          </w:tcPr>
          <w:p w14:paraId="3DFF6B34" w14:textId="77777777" w:rsidR="00387C28" w:rsidRPr="00BE78CA" w:rsidRDefault="00387C28" w:rsidP="00A37132">
            <w:pPr>
              <w:pStyle w:val="TableText"/>
              <w:spacing w:before="50" w:after="50"/>
              <w:jc w:val="center"/>
              <w:rPr>
                <w:rFonts w:cs="Calibri"/>
              </w:rPr>
            </w:pPr>
            <w:r w:rsidRPr="00BE78CA">
              <w:rPr>
                <w:rFonts w:eastAsia="Calibri" w:cs="Calibri"/>
              </w:rPr>
              <w:t>CO</w:t>
            </w:r>
            <w:r w:rsidRPr="00BE78CA">
              <w:rPr>
                <w:rFonts w:eastAsia="Calibri" w:cs="Calibri"/>
                <w:vertAlign w:val="subscript"/>
              </w:rPr>
              <w:t>2</w:t>
            </w:r>
          </w:p>
        </w:tc>
        <w:tc>
          <w:tcPr>
            <w:tcW w:w="928" w:type="dxa"/>
            <w:tcBorders>
              <w:top w:val="single" w:sz="4" w:space="0" w:color="365F91"/>
              <w:bottom w:val="single" w:sz="4" w:space="0" w:color="365F91"/>
            </w:tcBorders>
            <w:shd w:val="clear" w:color="auto" w:fill="FFFFFF"/>
            <w:tcMar>
              <w:top w:w="0" w:type="dxa"/>
              <w:left w:w="85" w:type="dxa"/>
              <w:bottom w:w="0" w:type="dxa"/>
              <w:right w:w="85" w:type="dxa"/>
            </w:tcMar>
          </w:tcPr>
          <w:p w14:paraId="0AC076EC" w14:textId="77777777" w:rsidR="00387C28" w:rsidRPr="00BE78CA" w:rsidRDefault="00387C28" w:rsidP="00A37132">
            <w:pPr>
              <w:pStyle w:val="TableText"/>
              <w:spacing w:before="50" w:after="50"/>
              <w:jc w:val="right"/>
              <w:rPr>
                <w:rFonts w:cs="Calibri"/>
              </w:rPr>
            </w:pPr>
            <w:r w:rsidRPr="00BE78CA">
              <w:rPr>
                <w:rFonts w:eastAsia="Calibri" w:cs="Calibri"/>
              </w:rPr>
              <w:t>445.1</w:t>
            </w:r>
          </w:p>
        </w:tc>
        <w:tc>
          <w:tcPr>
            <w:tcW w:w="928" w:type="dxa"/>
            <w:tcBorders>
              <w:top w:val="single" w:sz="4" w:space="0" w:color="365F91"/>
              <w:bottom w:val="single" w:sz="4" w:space="0" w:color="365F91"/>
            </w:tcBorders>
            <w:shd w:val="clear" w:color="auto" w:fill="FFFFFF"/>
            <w:tcMar>
              <w:top w:w="0" w:type="dxa"/>
              <w:left w:w="85" w:type="dxa"/>
              <w:bottom w:w="0" w:type="dxa"/>
              <w:right w:w="85" w:type="dxa"/>
            </w:tcMar>
          </w:tcPr>
          <w:p w14:paraId="149EE4B9" w14:textId="77777777" w:rsidR="00387C28" w:rsidRPr="00BE78CA" w:rsidRDefault="00387C28" w:rsidP="00A37132">
            <w:pPr>
              <w:pStyle w:val="TableText"/>
              <w:spacing w:before="50" w:after="50"/>
              <w:jc w:val="right"/>
              <w:rPr>
                <w:rFonts w:cs="Calibri"/>
              </w:rPr>
            </w:pPr>
            <w:r w:rsidRPr="00BE78CA">
              <w:rPr>
                <w:rFonts w:eastAsia="Calibri" w:cs="Calibri"/>
              </w:rPr>
              <w:t>1,197.6</w:t>
            </w:r>
          </w:p>
        </w:tc>
        <w:tc>
          <w:tcPr>
            <w:tcW w:w="937" w:type="dxa"/>
            <w:tcBorders>
              <w:top w:val="single" w:sz="4" w:space="0" w:color="365F91"/>
              <w:bottom w:val="single" w:sz="4" w:space="0" w:color="365F91"/>
            </w:tcBorders>
            <w:shd w:val="clear" w:color="auto" w:fill="FFFFFF"/>
            <w:tcMar>
              <w:top w:w="0" w:type="dxa"/>
              <w:left w:w="85" w:type="dxa"/>
              <w:bottom w:w="0" w:type="dxa"/>
              <w:right w:w="85" w:type="dxa"/>
            </w:tcMar>
          </w:tcPr>
          <w:p w14:paraId="2EB94E65" w14:textId="77777777" w:rsidR="00387C28" w:rsidRPr="00BE78CA" w:rsidRDefault="00387C28" w:rsidP="00A37132">
            <w:pPr>
              <w:pStyle w:val="TableText"/>
              <w:spacing w:before="50" w:after="50"/>
              <w:jc w:val="right"/>
              <w:rPr>
                <w:rFonts w:cs="Calibri"/>
              </w:rPr>
            </w:pPr>
            <w:r w:rsidRPr="00BE78CA">
              <w:rPr>
                <w:rFonts w:eastAsia="Calibri" w:cs="Calibri"/>
              </w:rPr>
              <w:t>0.010</w:t>
            </w:r>
          </w:p>
        </w:tc>
        <w:tc>
          <w:tcPr>
            <w:tcW w:w="999" w:type="dxa"/>
            <w:tcBorders>
              <w:top w:val="single" w:sz="4" w:space="0" w:color="365F91"/>
              <w:bottom w:val="single" w:sz="4" w:space="0" w:color="365F91"/>
            </w:tcBorders>
            <w:shd w:val="clear" w:color="auto" w:fill="FFFFFF"/>
            <w:tcMar>
              <w:top w:w="0" w:type="dxa"/>
              <w:left w:w="85" w:type="dxa"/>
              <w:bottom w:w="0" w:type="dxa"/>
              <w:right w:w="85" w:type="dxa"/>
            </w:tcMar>
          </w:tcPr>
          <w:p w14:paraId="16015395" w14:textId="77777777" w:rsidR="00387C28" w:rsidRPr="00BE78CA" w:rsidRDefault="00387C28" w:rsidP="00A37132">
            <w:pPr>
              <w:pStyle w:val="TableText"/>
              <w:spacing w:before="50" w:after="50"/>
              <w:jc w:val="right"/>
              <w:rPr>
                <w:rFonts w:cs="Calibri"/>
              </w:rPr>
            </w:pPr>
            <w:r w:rsidRPr="00BE78CA">
              <w:rPr>
                <w:rFonts w:eastAsia="Calibri" w:cs="Calibri"/>
              </w:rPr>
              <w:t>1.4</w:t>
            </w:r>
          </w:p>
        </w:tc>
        <w:tc>
          <w:tcPr>
            <w:tcW w:w="909" w:type="dxa"/>
            <w:tcBorders>
              <w:top w:val="single" w:sz="4" w:space="0" w:color="365F91"/>
              <w:bottom w:val="single" w:sz="4" w:space="0" w:color="365F91"/>
            </w:tcBorders>
            <w:shd w:val="clear" w:color="auto" w:fill="FFFFFF"/>
            <w:tcMar>
              <w:top w:w="0" w:type="dxa"/>
              <w:left w:w="85" w:type="dxa"/>
              <w:bottom w:w="0" w:type="dxa"/>
              <w:right w:w="85" w:type="dxa"/>
            </w:tcMar>
          </w:tcPr>
          <w:p w14:paraId="4BF03B44" w14:textId="77777777" w:rsidR="00387C28" w:rsidRPr="00BE78CA" w:rsidRDefault="00387C28" w:rsidP="00A37132">
            <w:pPr>
              <w:pStyle w:val="TableText"/>
              <w:spacing w:before="50" w:after="50"/>
              <w:jc w:val="right"/>
              <w:rPr>
                <w:rFonts w:cs="Calibri"/>
              </w:rPr>
            </w:pPr>
            <w:r w:rsidRPr="00BE78CA">
              <w:rPr>
                <w:rFonts w:eastAsia="Calibri" w:cs="Calibri"/>
              </w:rPr>
              <w:t>82.3</w:t>
            </w:r>
          </w:p>
        </w:tc>
      </w:tr>
      <w:tr w:rsidR="00387C28" w:rsidRPr="00BE78CA" w14:paraId="58514B73" w14:textId="77777777" w:rsidTr="00AC70F2">
        <w:trPr>
          <w:cantSplit/>
        </w:trPr>
        <w:tc>
          <w:tcPr>
            <w:tcW w:w="846" w:type="dxa"/>
            <w:tcBorders>
              <w:top w:val="single" w:sz="4" w:space="0" w:color="365F91"/>
              <w:left w:val="single" w:sz="4" w:space="0" w:color="FFFFFF"/>
              <w:bottom w:val="single" w:sz="4" w:space="0" w:color="365F91"/>
            </w:tcBorders>
            <w:shd w:val="clear" w:color="auto" w:fill="FFFFFF"/>
            <w:tcMar>
              <w:top w:w="0" w:type="dxa"/>
              <w:left w:w="85" w:type="dxa"/>
              <w:bottom w:w="0" w:type="dxa"/>
              <w:right w:w="85" w:type="dxa"/>
            </w:tcMar>
          </w:tcPr>
          <w:p w14:paraId="60F27B18" w14:textId="77777777" w:rsidR="00387C28" w:rsidRPr="00BE78CA" w:rsidRDefault="00387C28" w:rsidP="00A37132">
            <w:pPr>
              <w:pStyle w:val="TableText"/>
              <w:spacing w:before="50" w:after="50"/>
              <w:rPr>
                <w:rFonts w:cs="Calibri"/>
              </w:rPr>
            </w:pPr>
            <w:r w:rsidRPr="00BE78CA">
              <w:rPr>
                <w:rFonts w:eastAsia="Calibri" w:cs="Calibri"/>
              </w:rPr>
              <w:t>1.A.2.e</w:t>
            </w:r>
          </w:p>
        </w:tc>
        <w:tc>
          <w:tcPr>
            <w:tcW w:w="2410" w:type="dxa"/>
            <w:tcBorders>
              <w:top w:val="single" w:sz="4" w:space="0" w:color="365F91"/>
              <w:bottom w:val="single" w:sz="4" w:space="0" w:color="365F91"/>
            </w:tcBorders>
            <w:shd w:val="clear" w:color="auto" w:fill="FFFFFF"/>
            <w:tcMar>
              <w:top w:w="0" w:type="dxa"/>
              <w:left w:w="85" w:type="dxa"/>
              <w:bottom w:w="0" w:type="dxa"/>
              <w:right w:w="85" w:type="dxa"/>
            </w:tcMar>
          </w:tcPr>
          <w:p w14:paraId="51692EE5" w14:textId="77777777" w:rsidR="00387C28" w:rsidRPr="00BE78CA" w:rsidRDefault="00387C28" w:rsidP="00A37132">
            <w:pPr>
              <w:pStyle w:val="TableText"/>
              <w:spacing w:before="50" w:after="50"/>
              <w:rPr>
                <w:rFonts w:cs="Calibri"/>
              </w:rPr>
            </w:pPr>
            <w:r w:rsidRPr="00BE78CA">
              <w:rPr>
                <w:rFonts w:eastAsia="Calibri" w:cs="Calibri"/>
              </w:rPr>
              <w:t>Food Processing, Beverages and Tobacco – Solid Fuels</w:t>
            </w:r>
          </w:p>
        </w:tc>
        <w:tc>
          <w:tcPr>
            <w:tcW w:w="538" w:type="dxa"/>
            <w:tcBorders>
              <w:top w:val="single" w:sz="4" w:space="0" w:color="365F91"/>
              <w:bottom w:val="single" w:sz="4" w:space="0" w:color="365F91"/>
            </w:tcBorders>
            <w:shd w:val="clear" w:color="auto" w:fill="FFFFFF"/>
            <w:tcMar>
              <w:top w:w="0" w:type="dxa"/>
              <w:left w:w="85" w:type="dxa"/>
              <w:bottom w:w="0" w:type="dxa"/>
              <w:right w:w="85" w:type="dxa"/>
            </w:tcMar>
          </w:tcPr>
          <w:p w14:paraId="4B38E59A" w14:textId="77777777" w:rsidR="00387C28" w:rsidRPr="00BE78CA" w:rsidRDefault="00387C28" w:rsidP="00A37132">
            <w:pPr>
              <w:pStyle w:val="TableText"/>
              <w:spacing w:before="50" w:after="50"/>
              <w:jc w:val="center"/>
              <w:rPr>
                <w:rFonts w:cs="Calibri"/>
              </w:rPr>
            </w:pPr>
            <w:r w:rsidRPr="00BE78CA">
              <w:rPr>
                <w:rFonts w:eastAsia="Calibri" w:cs="Calibri"/>
              </w:rPr>
              <w:t>CO</w:t>
            </w:r>
            <w:r w:rsidRPr="00BE78CA">
              <w:rPr>
                <w:rFonts w:eastAsia="Calibri" w:cs="Calibri"/>
                <w:vertAlign w:val="subscript"/>
              </w:rPr>
              <w:t>2</w:t>
            </w:r>
          </w:p>
        </w:tc>
        <w:tc>
          <w:tcPr>
            <w:tcW w:w="928" w:type="dxa"/>
            <w:tcBorders>
              <w:top w:val="single" w:sz="4" w:space="0" w:color="365F91"/>
              <w:bottom w:val="single" w:sz="4" w:space="0" w:color="365F91"/>
            </w:tcBorders>
            <w:shd w:val="clear" w:color="auto" w:fill="FFFFFF"/>
            <w:tcMar>
              <w:top w:w="0" w:type="dxa"/>
              <w:left w:w="85" w:type="dxa"/>
              <w:bottom w:w="0" w:type="dxa"/>
              <w:right w:w="85" w:type="dxa"/>
            </w:tcMar>
          </w:tcPr>
          <w:p w14:paraId="60CD19B0" w14:textId="77777777" w:rsidR="00387C28" w:rsidRPr="00BE78CA" w:rsidRDefault="00387C28" w:rsidP="00A37132">
            <w:pPr>
              <w:pStyle w:val="TableText"/>
              <w:spacing w:before="50" w:after="50"/>
              <w:jc w:val="right"/>
              <w:rPr>
                <w:rFonts w:cs="Calibri"/>
              </w:rPr>
            </w:pPr>
            <w:r w:rsidRPr="00BE78CA">
              <w:rPr>
                <w:rFonts w:eastAsia="Calibri" w:cs="Calibri"/>
              </w:rPr>
              <w:t>938.6</w:t>
            </w:r>
          </w:p>
        </w:tc>
        <w:tc>
          <w:tcPr>
            <w:tcW w:w="928" w:type="dxa"/>
            <w:tcBorders>
              <w:top w:val="single" w:sz="4" w:space="0" w:color="365F91"/>
              <w:bottom w:val="single" w:sz="4" w:space="0" w:color="365F91"/>
            </w:tcBorders>
            <w:shd w:val="clear" w:color="auto" w:fill="FFFFFF"/>
            <w:tcMar>
              <w:top w:w="0" w:type="dxa"/>
              <w:left w:w="85" w:type="dxa"/>
              <w:bottom w:w="0" w:type="dxa"/>
              <w:right w:w="85" w:type="dxa"/>
            </w:tcMar>
          </w:tcPr>
          <w:p w14:paraId="375F5F7D" w14:textId="77777777" w:rsidR="00387C28" w:rsidRPr="00BE78CA" w:rsidRDefault="00387C28" w:rsidP="00A37132">
            <w:pPr>
              <w:pStyle w:val="TableText"/>
              <w:spacing w:before="50" w:after="50"/>
              <w:jc w:val="right"/>
              <w:rPr>
                <w:rFonts w:cs="Calibri"/>
              </w:rPr>
            </w:pPr>
            <w:r w:rsidRPr="00BE78CA">
              <w:rPr>
                <w:rFonts w:eastAsia="Calibri" w:cs="Calibri"/>
              </w:rPr>
              <w:t>1,751.6</w:t>
            </w:r>
          </w:p>
        </w:tc>
        <w:tc>
          <w:tcPr>
            <w:tcW w:w="937" w:type="dxa"/>
            <w:tcBorders>
              <w:top w:val="single" w:sz="4" w:space="0" w:color="365F91"/>
              <w:bottom w:val="single" w:sz="4" w:space="0" w:color="365F91"/>
            </w:tcBorders>
            <w:shd w:val="clear" w:color="auto" w:fill="FFFFFF"/>
            <w:tcMar>
              <w:top w:w="0" w:type="dxa"/>
              <w:left w:w="85" w:type="dxa"/>
              <w:bottom w:w="0" w:type="dxa"/>
              <w:right w:w="85" w:type="dxa"/>
            </w:tcMar>
          </w:tcPr>
          <w:p w14:paraId="60DEFD20" w14:textId="77777777" w:rsidR="00387C28" w:rsidRPr="00BE78CA" w:rsidRDefault="00387C28" w:rsidP="00A37132">
            <w:pPr>
              <w:pStyle w:val="TableText"/>
              <w:spacing w:before="50" w:after="50"/>
              <w:jc w:val="right"/>
              <w:rPr>
                <w:rFonts w:cs="Calibri"/>
              </w:rPr>
            </w:pPr>
            <w:r w:rsidRPr="00BE78CA">
              <w:rPr>
                <w:rFonts w:eastAsia="Calibri" w:cs="Calibri"/>
              </w:rPr>
              <w:t>0.009</w:t>
            </w:r>
          </w:p>
        </w:tc>
        <w:tc>
          <w:tcPr>
            <w:tcW w:w="999" w:type="dxa"/>
            <w:tcBorders>
              <w:top w:val="single" w:sz="4" w:space="0" w:color="365F91"/>
              <w:bottom w:val="single" w:sz="4" w:space="0" w:color="365F91"/>
            </w:tcBorders>
            <w:shd w:val="clear" w:color="auto" w:fill="FFFFFF"/>
            <w:tcMar>
              <w:top w:w="0" w:type="dxa"/>
              <w:left w:w="85" w:type="dxa"/>
              <w:bottom w:w="0" w:type="dxa"/>
              <w:right w:w="85" w:type="dxa"/>
            </w:tcMar>
          </w:tcPr>
          <w:p w14:paraId="65A18FBC" w14:textId="77777777" w:rsidR="00387C28" w:rsidRPr="00BE78CA" w:rsidRDefault="00387C28" w:rsidP="00A37132">
            <w:pPr>
              <w:pStyle w:val="TableText"/>
              <w:spacing w:before="50" w:after="50"/>
              <w:jc w:val="right"/>
              <w:rPr>
                <w:rFonts w:cs="Calibri"/>
              </w:rPr>
            </w:pPr>
            <w:r w:rsidRPr="00BE78CA">
              <w:rPr>
                <w:rFonts w:eastAsia="Calibri" w:cs="Calibri"/>
              </w:rPr>
              <w:t>1.3</w:t>
            </w:r>
          </w:p>
        </w:tc>
        <w:tc>
          <w:tcPr>
            <w:tcW w:w="909" w:type="dxa"/>
            <w:tcBorders>
              <w:top w:val="single" w:sz="4" w:space="0" w:color="365F91"/>
              <w:bottom w:val="single" w:sz="4" w:space="0" w:color="365F91"/>
            </w:tcBorders>
            <w:shd w:val="clear" w:color="auto" w:fill="FFFFFF"/>
            <w:tcMar>
              <w:top w:w="0" w:type="dxa"/>
              <w:left w:w="85" w:type="dxa"/>
              <w:bottom w:w="0" w:type="dxa"/>
              <w:right w:w="85" w:type="dxa"/>
            </w:tcMar>
          </w:tcPr>
          <w:p w14:paraId="02141AB5" w14:textId="77777777" w:rsidR="00387C28" w:rsidRPr="00BE78CA" w:rsidRDefault="00387C28" w:rsidP="00A37132">
            <w:pPr>
              <w:pStyle w:val="TableText"/>
              <w:spacing w:before="50" w:after="50"/>
              <w:jc w:val="right"/>
              <w:rPr>
                <w:rFonts w:cs="Calibri"/>
              </w:rPr>
            </w:pPr>
            <w:r w:rsidRPr="00BE78CA">
              <w:rPr>
                <w:rFonts w:eastAsia="Calibri" w:cs="Calibri"/>
              </w:rPr>
              <w:t>83.6</w:t>
            </w:r>
          </w:p>
        </w:tc>
      </w:tr>
      <w:tr w:rsidR="00387C28" w:rsidRPr="00BE78CA" w14:paraId="4261ACB5" w14:textId="77777777" w:rsidTr="00AC70F2">
        <w:trPr>
          <w:cantSplit/>
        </w:trPr>
        <w:tc>
          <w:tcPr>
            <w:tcW w:w="846" w:type="dxa"/>
            <w:tcBorders>
              <w:top w:val="single" w:sz="4" w:space="0" w:color="365F91"/>
              <w:left w:val="single" w:sz="4" w:space="0" w:color="FFFFFF"/>
              <w:bottom w:val="single" w:sz="4" w:space="0" w:color="365F91"/>
            </w:tcBorders>
            <w:shd w:val="clear" w:color="auto" w:fill="FFFFFF"/>
            <w:tcMar>
              <w:top w:w="0" w:type="dxa"/>
              <w:left w:w="85" w:type="dxa"/>
              <w:bottom w:w="0" w:type="dxa"/>
              <w:right w:w="85" w:type="dxa"/>
            </w:tcMar>
          </w:tcPr>
          <w:p w14:paraId="41C84F60" w14:textId="77777777" w:rsidR="00387C28" w:rsidRPr="00BE78CA" w:rsidRDefault="00387C28" w:rsidP="00A37132">
            <w:pPr>
              <w:pStyle w:val="TableText"/>
              <w:spacing w:before="50" w:after="50"/>
              <w:rPr>
                <w:rFonts w:cs="Calibri"/>
              </w:rPr>
            </w:pPr>
            <w:r w:rsidRPr="00BE78CA">
              <w:rPr>
                <w:rFonts w:eastAsia="Calibri" w:cs="Calibri"/>
              </w:rPr>
              <w:t>3.H</w:t>
            </w:r>
          </w:p>
        </w:tc>
        <w:tc>
          <w:tcPr>
            <w:tcW w:w="2410" w:type="dxa"/>
            <w:tcBorders>
              <w:top w:val="single" w:sz="4" w:space="0" w:color="365F91"/>
              <w:bottom w:val="single" w:sz="4" w:space="0" w:color="365F91"/>
            </w:tcBorders>
            <w:shd w:val="clear" w:color="auto" w:fill="FFFFFF"/>
            <w:tcMar>
              <w:top w:w="0" w:type="dxa"/>
              <w:left w:w="85" w:type="dxa"/>
              <w:bottom w:w="0" w:type="dxa"/>
              <w:right w:w="85" w:type="dxa"/>
            </w:tcMar>
          </w:tcPr>
          <w:p w14:paraId="3C99E320" w14:textId="77777777" w:rsidR="00387C28" w:rsidRPr="00BE78CA" w:rsidRDefault="00387C28" w:rsidP="00A37132">
            <w:pPr>
              <w:pStyle w:val="TableText"/>
              <w:spacing w:before="50" w:after="50"/>
              <w:rPr>
                <w:rFonts w:cs="Calibri"/>
              </w:rPr>
            </w:pPr>
            <w:r w:rsidRPr="00BE78CA">
              <w:rPr>
                <w:rFonts w:eastAsia="Calibri" w:cs="Calibri"/>
              </w:rPr>
              <w:t>Agriculture – Urea Application</w:t>
            </w:r>
          </w:p>
        </w:tc>
        <w:tc>
          <w:tcPr>
            <w:tcW w:w="538" w:type="dxa"/>
            <w:tcBorders>
              <w:top w:val="single" w:sz="4" w:space="0" w:color="365F91"/>
              <w:bottom w:val="single" w:sz="4" w:space="0" w:color="365F91"/>
            </w:tcBorders>
            <w:shd w:val="clear" w:color="auto" w:fill="FFFFFF"/>
            <w:tcMar>
              <w:top w:w="0" w:type="dxa"/>
              <w:left w:w="85" w:type="dxa"/>
              <w:bottom w:w="0" w:type="dxa"/>
              <w:right w:w="85" w:type="dxa"/>
            </w:tcMar>
          </w:tcPr>
          <w:p w14:paraId="76AB26E0" w14:textId="77777777" w:rsidR="00387C28" w:rsidRPr="00BE78CA" w:rsidRDefault="00387C28" w:rsidP="00A37132">
            <w:pPr>
              <w:pStyle w:val="TableText"/>
              <w:spacing w:before="50" w:after="50"/>
              <w:jc w:val="center"/>
              <w:rPr>
                <w:rFonts w:cs="Calibri"/>
              </w:rPr>
            </w:pPr>
            <w:r w:rsidRPr="00BE78CA">
              <w:rPr>
                <w:rFonts w:eastAsia="Calibri" w:cs="Calibri"/>
              </w:rPr>
              <w:t>CO</w:t>
            </w:r>
            <w:r w:rsidRPr="00BE78CA">
              <w:rPr>
                <w:rFonts w:eastAsia="Calibri" w:cs="Calibri"/>
                <w:vertAlign w:val="subscript"/>
              </w:rPr>
              <w:t>2</w:t>
            </w:r>
          </w:p>
        </w:tc>
        <w:tc>
          <w:tcPr>
            <w:tcW w:w="928" w:type="dxa"/>
            <w:tcBorders>
              <w:top w:val="single" w:sz="4" w:space="0" w:color="365F91"/>
              <w:bottom w:val="single" w:sz="4" w:space="0" w:color="365F91"/>
            </w:tcBorders>
            <w:shd w:val="clear" w:color="auto" w:fill="FFFFFF"/>
            <w:tcMar>
              <w:top w:w="0" w:type="dxa"/>
              <w:left w:w="85" w:type="dxa"/>
              <w:bottom w:w="0" w:type="dxa"/>
              <w:right w:w="85" w:type="dxa"/>
            </w:tcMar>
          </w:tcPr>
          <w:p w14:paraId="1EFF60EE" w14:textId="77777777" w:rsidR="00387C28" w:rsidRPr="00BE78CA" w:rsidRDefault="00387C28" w:rsidP="00A37132">
            <w:pPr>
              <w:pStyle w:val="TableText"/>
              <w:spacing w:before="50" w:after="50"/>
              <w:jc w:val="right"/>
              <w:rPr>
                <w:rFonts w:cs="Calibri"/>
              </w:rPr>
            </w:pPr>
            <w:r w:rsidRPr="00BE78CA">
              <w:rPr>
                <w:rFonts w:eastAsia="Calibri" w:cs="Calibri"/>
              </w:rPr>
              <w:t>39.2</w:t>
            </w:r>
          </w:p>
        </w:tc>
        <w:tc>
          <w:tcPr>
            <w:tcW w:w="928" w:type="dxa"/>
            <w:tcBorders>
              <w:top w:val="single" w:sz="4" w:space="0" w:color="365F91"/>
              <w:bottom w:val="single" w:sz="4" w:space="0" w:color="365F91"/>
            </w:tcBorders>
            <w:shd w:val="clear" w:color="auto" w:fill="FFFFFF"/>
            <w:tcMar>
              <w:top w:w="0" w:type="dxa"/>
              <w:left w:w="85" w:type="dxa"/>
              <w:bottom w:w="0" w:type="dxa"/>
              <w:right w:w="85" w:type="dxa"/>
            </w:tcMar>
          </w:tcPr>
          <w:p w14:paraId="4636402F" w14:textId="77777777" w:rsidR="00387C28" w:rsidRPr="00BE78CA" w:rsidRDefault="00387C28" w:rsidP="00A37132">
            <w:pPr>
              <w:pStyle w:val="TableText"/>
              <w:spacing w:before="50" w:after="50"/>
              <w:jc w:val="right"/>
              <w:rPr>
                <w:rFonts w:cs="Calibri"/>
              </w:rPr>
            </w:pPr>
            <w:r w:rsidRPr="00BE78CA">
              <w:rPr>
                <w:rFonts w:eastAsia="Calibri" w:cs="Calibri"/>
              </w:rPr>
              <w:t>570.7</w:t>
            </w:r>
          </w:p>
        </w:tc>
        <w:tc>
          <w:tcPr>
            <w:tcW w:w="937" w:type="dxa"/>
            <w:tcBorders>
              <w:top w:val="single" w:sz="4" w:space="0" w:color="365F91"/>
              <w:bottom w:val="single" w:sz="4" w:space="0" w:color="365F91"/>
            </w:tcBorders>
            <w:shd w:val="clear" w:color="auto" w:fill="FFFFFF"/>
            <w:tcMar>
              <w:top w:w="0" w:type="dxa"/>
              <w:left w:w="85" w:type="dxa"/>
              <w:bottom w:w="0" w:type="dxa"/>
              <w:right w:w="85" w:type="dxa"/>
            </w:tcMar>
          </w:tcPr>
          <w:p w14:paraId="2A492DFB" w14:textId="77777777" w:rsidR="00387C28" w:rsidRPr="00BE78CA" w:rsidRDefault="00387C28" w:rsidP="00A37132">
            <w:pPr>
              <w:pStyle w:val="TableText"/>
              <w:spacing w:before="50" w:after="50"/>
              <w:jc w:val="right"/>
              <w:rPr>
                <w:rFonts w:cs="Calibri"/>
              </w:rPr>
            </w:pPr>
            <w:r w:rsidRPr="00BE78CA">
              <w:rPr>
                <w:rFonts w:eastAsia="Calibri" w:cs="Calibri"/>
              </w:rPr>
              <w:t>0.008</w:t>
            </w:r>
          </w:p>
        </w:tc>
        <w:tc>
          <w:tcPr>
            <w:tcW w:w="999" w:type="dxa"/>
            <w:tcBorders>
              <w:top w:val="single" w:sz="4" w:space="0" w:color="365F91"/>
              <w:bottom w:val="single" w:sz="4" w:space="0" w:color="365F91"/>
            </w:tcBorders>
            <w:shd w:val="clear" w:color="auto" w:fill="FFFFFF"/>
            <w:tcMar>
              <w:top w:w="0" w:type="dxa"/>
              <w:left w:w="85" w:type="dxa"/>
              <w:bottom w:w="0" w:type="dxa"/>
              <w:right w:w="85" w:type="dxa"/>
            </w:tcMar>
          </w:tcPr>
          <w:p w14:paraId="5475C708" w14:textId="77777777" w:rsidR="00387C28" w:rsidRPr="00BE78CA" w:rsidRDefault="00387C28" w:rsidP="00A37132">
            <w:pPr>
              <w:pStyle w:val="TableText"/>
              <w:spacing w:before="50" w:after="50"/>
              <w:jc w:val="right"/>
              <w:rPr>
                <w:rFonts w:cs="Calibri"/>
              </w:rPr>
            </w:pPr>
            <w:r w:rsidRPr="00BE78CA">
              <w:rPr>
                <w:rFonts w:eastAsia="Calibri" w:cs="Calibri"/>
              </w:rPr>
              <w:t>1.2</w:t>
            </w:r>
          </w:p>
        </w:tc>
        <w:tc>
          <w:tcPr>
            <w:tcW w:w="909" w:type="dxa"/>
            <w:tcBorders>
              <w:top w:val="single" w:sz="4" w:space="0" w:color="365F91"/>
              <w:bottom w:val="single" w:sz="4" w:space="0" w:color="365F91"/>
            </w:tcBorders>
            <w:shd w:val="clear" w:color="auto" w:fill="FFFFFF"/>
            <w:tcMar>
              <w:top w:w="0" w:type="dxa"/>
              <w:left w:w="85" w:type="dxa"/>
              <w:bottom w:w="0" w:type="dxa"/>
              <w:right w:w="85" w:type="dxa"/>
            </w:tcMar>
          </w:tcPr>
          <w:p w14:paraId="4561575F" w14:textId="77777777" w:rsidR="00387C28" w:rsidRPr="00BE78CA" w:rsidRDefault="00387C28" w:rsidP="00A37132">
            <w:pPr>
              <w:pStyle w:val="TableText"/>
              <w:spacing w:before="50" w:after="50"/>
              <w:jc w:val="right"/>
              <w:rPr>
                <w:rFonts w:cs="Calibri"/>
              </w:rPr>
            </w:pPr>
            <w:r w:rsidRPr="00BE78CA">
              <w:rPr>
                <w:rFonts w:eastAsia="Calibri" w:cs="Calibri"/>
              </w:rPr>
              <w:t>84.8</w:t>
            </w:r>
          </w:p>
        </w:tc>
      </w:tr>
      <w:tr w:rsidR="00387C28" w:rsidRPr="00BE78CA" w14:paraId="1557A7B9" w14:textId="77777777" w:rsidTr="00AC70F2">
        <w:trPr>
          <w:cantSplit/>
        </w:trPr>
        <w:tc>
          <w:tcPr>
            <w:tcW w:w="846" w:type="dxa"/>
            <w:tcBorders>
              <w:top w:val="single" w:sz="4" w:space="0" w:color="365F91"/>
              <w:left w:val="single" w:sz="4" w:space="0" w:color="FFFFFF"/>
              <w:bottom w:val="single" w:sz="4" w:space="0" w:color="365F91"/>
            </w:tcBorders>
            <w:shd w:val="clear" w:color="auto" w:fill="FFFFFF"/>
            <w:tcMar>
              <w:top w:w="0" w:type="dxa"/>
              <w:left w:w="85" w:type="dxa"/>
              <w:bottom w:w="0" w:type="dxa"/>
              <w:right w:w="85" w:type="dxa"/>
            </w:tcMar>
          </w:tcPr>
          <w:p w14:paraId="382B6363" w14:textId="77777777" w:rsidR="00387C28" w:rsidRPr="00BE78CA" w:rsidRDefault="00387C28" w:rsidP="00A37132">
            <w:pPr>
              <w:pStyle w:val="TableText"/>
              <w:spacing w:before="50" w:after="50"/>
              <w:rPr>
                <w:rFonts w:cs="Calibri"/>
              </w:rPr>
            </w:pPr>
            <w:r w:rsidRPr="00BE78CA">
              <w:rPr>
                <w:rFonts w:eastAsia="Calibri" w:cs="Calibri"/>
              </w:rPr>
              <w:t>1.A.2.g.iii</w:t>
            </w:r>
          </w:p>
        </w:tc>
        <w:tc>
          <w:tcPr>
            <w:tcW w:w="2410" w:type="dxa"/>
            <w:tcBorders>
              <w:top w:val="single" w:sz="4" w:space="0" w:color="365F91"/>
              <w:bottom w:val="single" w:sz="4" w:space="0" w:color="365F91"/>
            </w:tcBorders>
            <w:shd w:val="clear" w:color="auto" w:fill="FFFFFF"/>
            <w:tcMar>
              <w:top w:w="0" w:type="dxa"/>
              <w:left w:w="85" w:type="dxa"/>
              <w:bottom w:w="0" w:type="dxa"/>
              <w:right w:w="85" w:type="dxa"/>
            </w:tcMar>
          </w:tcPr>
          <w:p w14:paraId="73909950" w14:textId="77777777" w:rsidR="00387C28" w:rsidRPr="00BE78CA" w:rsidRDefault="00387C28" w:rsidP="00A37132">
            <w:pPr>
              <w:pStyle w:val="TableText"/>
              <w:spacing w:before="50" w:after="50"/>
              <w:rPr>
                <w:rFonts w:cs="Calibri"/>
              </w:rPr>
            </w:pPr>
            <w:r w:rsidRPr="00BE78CA">
              <w:rPr>
                <w:rFonts w:eastAsia="Calibri" w:cs="Calibri"/>
              </w:rPr>
              <w:t>Mining (excluding fuels) and Quarrying – Liquid Fuels</w:t>
            </w:r>
          </w:p>
        </w:tc>
        <w:tc>
          <w:tcPr>
            <w:tcW w:w="538" w:type="dxa"/>
            <w:tcBorders>
              <w:top w:val="single" w:sz="4" w:space="0" w:color="365F91"/>
              <w:bottom w:val="single" w:sz="4" w:space="0" w:color="365F91"/>
            </w:tcBorders>
            <w:shd w:val="clear" w:color="auto" w:fill="FFFFFF"/>
            <w:tcMar>
              <w:top w:w="0" w:type="dxa"/>
              <w:left w:w="85" w:type="dxa"/>
              <w:bottom w:w="0" w:type="dxa"/>
              <w:right w:w="85" w:type="dxa"/>
            </w:tcMar>
          </w:tcPr>
          <w:p w14:paraId="0D5695CA" w14:textId="77777777" w:rsidR="00387C28" w:rsidRPr="00BE78CA" w:rsidRDefault="00387C28" w:rsidP="00A37132">
            <w:pPr>
              <w:pStyle w:val="TableText"/>
              <w:spacing w:before="50" w:after="50"/>
              <w:jc w:val="center"/>
              <w:rPr>
                <w:rFonts w:cs="Calibri"/>
              </w:rPr>
            </w:pPr>
            <w:r w:rsidRPr="00BE78CA">
              <w:rPr>
                <w:rFonts w:eastAsia="Calibri" w:cs="Calibri"/>
              </w:rPr>
              <w:t>CO</w:t>
            </w:r>
            <w:r w:rsidRPr="00BE78CA">
              <w:rPr>
                <w:rFonts w:eastAsia="Calibri" w:cs="Calibri"/>
                <w:vertAlign w:val="subscript"/>
              </w:rPr>
              <w:t>2</w:t>
            </w:r>
          </w:p>
        </w:tc>
        <w:tc>
          <w:tcPr>
            <w:tcW w:w="928" w:type="dxa"/>
            <w:tcBorders>
              <w:top w:val="single" w:sz="4" w:space="0" w:color="365F91"/>
              <w:bottom w:val="single" w:sz="4" w:space="0" w:color="365F91"/>
            </w:tcBorders>
            <w:shd w:val="clear" w:color="auto" w:fill="FFFFFF"/>
            <w:tcMar>
              <w:top w:w="0" w:type="dxa"/>
              <w:left w:w="85" w:type="dxa"/>
              <w:bottom w:w="0" w:type="dxa"/>
              <w:right w:w="85" w:type="dxa"/>
            </w:tcMar>
          </w:tcPr>
          <w:p w14:paraId="4DBD2672" w14:textId="77777777" w:rsidR="00387C28" w:rsidRPr="00BE78CA" w:rsidRDefault="00387C28" w:rsidP="00A37132">
            <w:pPr>
              <w:pStyle w:val="TableText"/>
              <w:spacing w:before="50" w:after="50"/>
              <w:jc w:val="right"/>
              <w:rPr>
                <w:rFonts w:cs="Calibri"/>
              </w:rPr>
            </w:pPr>
            <w:r w:rsidRPr="00BE78CA">
              <w:rPr>
                <w:rFonts w:eastAsia="Calibri" w:cs="Calibri"/>
              </w:rPr>
              <w:t>331.5</w:t>
            </w:r>
          </w:p>
        </w:tc>
        <w:tc>
          <w:tcPr>
            <w:tcW w:w="928" w:type="dxa"/>
            <w:tcBorders>
              <w:top w:val="single" w:sz="4" w:space="0" w:color="365F91"/>
              <w:bottom w:val="single" w:sz="4" w:space="0" w:color="365F91"/>
            </w:tcBorders>
            <w:shd w:val="clear" w:color="auto" w:fill="FFFFFF"/>
            <w:tcMar>
              <w:top w:w="0" w:type="dxa"/>
              <w:left w:w="85" w:type="dxa"/>
              <w:bottom w:w="0" w:type="dxa"/>
              <w:right w:w="85" w:type="dxa"/>
            </w:tcMar>
          </w:tcPr>
          <w:p w14:paraId="6C78C8DD" w14:textId="77777777" w:rsidR="00387C28" w:rsidRPr="00BE78CA" w:rsidRDefault="00387C28" w:rsidP="00A37132">
            <w:pPr>
              <w:pStyle w:val="TableText"/>
              <w:spacing w:before="50" w:after="50"/>
              <w:jc w:val="right"/>
              <w:rPr>
                <w:rFonts w:cs="Calibri"/>
              </w:rPr>
            </w:pPr>
            <w:r w:rsidRPr="00BE78CA">
              <w:rPr>
                <w:rFonts w:eastAsia="Calibri" w:cs="Calibri"/>
              </w:rPr>
              <w:t>834.6</w:t>
            </w:r>
          </w:p>
        </w:tc>
        <w:tc>
          <w:tcPr>
            <w:tcW w:w="937" w:type="dxa"/>
            <w:tcBorders>
              <w:top w:val="single" w:sz="4" w:space="0" w:color="365F91"/>
              <w:bottom w:val="single" w:sz="4" w:space="0" w:color="365F91"/>
            </w:tcBorders>
            <w:shd w:val="clear" w:color="auto" w:fill="FFFFFF"/>
            <w:tcMar>
              <w:top w:w="0" w:type="dxa"/>
              <w:left w:w="85" w:type="dxa"/>
              <w:bottom w:w="0" w:type="dxa"/>
              <w:right w:w="85" w:type="dxa"/>
            </w:tcMar>
          </w:tcPr>
          <w:p w14:paraId="70BEC43D" w14:textId="77777777" w:rsidR="00387C28" w:rsidRPr="00BE78CA" w:rsidRDefault="00387C28" w:rsidP="00A37132">
            <w:pPr>
              <w:pStyle w:val="TableText"/>
              <w:spacing w:before="50" w:after="50"/>
              <w:jc w:val="right"/>
              <w:rPr>
                <w:rFonts w:cs="Calibri"/>
              </w:rPr>
            </w:pPr>
            <w:r w:rsidRPr="00BE78CA">
              <w:rPr>
                <w:rFonts w:eastAsia="Calibri" w:cs="Calibri"/>
              </w:rPr>
              <w:t>0.006</w:t>
            </w:r>
          </w:p>
        </w:tc>
        <w:tc>
          <w:tcPr>
            <w:tcW w:w="999" w:type="dxa"/>
            <w:tcBorders>
              <w:top w:val="single" w:sz="4" w:space="0" w:color="365F91"/>
              <w:bottom w:val="single" w:sz="4" w:space="0" w:color="365F91"/>
            </w:tcBorders>
            <w:shd w:val="clear" w:color="auto" w:fill="FFFFFF"/>
            <w:tcMar>
              <w:top w:w="0" w:type="dxa"/>
              <w:left w:w="85" w:type="dxa"/>
              <w:bottom w:w="0" w:type="dxa"/>
              <w:right w:w="85" w:type="dxa"/>
            </w:tcMar>
          </w:tcPr>
          <w:p w14:paraId="617B3F09" w14:textId="77777777" w:rsidR="00387C28" w:rsidRPr="00BE78CA" w:rsidRDefault="00387C28" w:rsidP="00A37132">
            <w:pPr>
              <w:pStyle w:val="TableText"/>
              <w:spacing w:before="50" w:after="50"/>
              <w:jc w:val="right"/>
              <w:rPr>
                <w:rFonts w:cs="Calibri"/>
              </w:rPr>
            </w:pPr>
            <w:r w:rsidRPr="00BE78CA">
              <w:rPr>
                <w:rFonts w:eastAsia="Calibri" w:cs="Calibri"/>
              </w:rPr>
              <w:t>0.9</w:t>
            </w:r>
          </w:p>
        </w:tc>
        <w:tc>
          <w:tcPr>
            <w:tcW w:w="909" w:type="dxa"/>
            <w:tcBorders>
              <w:top w:val="single" w:sz="4" w:space="0" w:color="365F91"/>
              <w:bottom w:val="single" w:sz="4" w:space="0" w:color="365F91"/>
            </w:tcBorders>
            <w:shd w:val="clear" w:color="auto" w:fill="FFFFFF"/>
            <w:tcMar>
              <w:top w:w="0" w:type="dxa"/>
              <w:left w:w="85" w:type="dxa"/>
              <w:bottom w:w="0" w:type="dxa"/>
              <w:right w:w="85" w:type="dxa"/>
            </w:tcMar>
          </w:tcPr>
          <w:p w14:paraId="502E253E" w14:textId="77777777" w:rsidR="00387C28" w:rsidRPr="00BE78CA" w:rsidRDefault="00387C28" w:rsidP="00A37132">
            <w:pPr>
              <w:pStyle w:val="TableText"/>
              <w:spacing w:before="50" w:after="50"/>
              <w:jc w:val="right"/>
              <w:rPr>
                <w:rFonts w:cs="Calibri"/>
              </w:rPr>
            </w:pPr>
            <w:r w:rsidRPr="00BE78CA">
              <w:rPr>
                <w:rFonts w:eastAsia="Calibri" w:cs="Calibri"/>
              </w:rPr>
              <w:t>85.7</w:t>
            </w:r>
          </w:p>
        </w:tc>
      </w:tr>
      <w:tr w:rsidR="00387C28" w:rsidRPr="00BE78CA" w14:paraId="11AE0B6F" w14:textId="77777777" w:rsidTr="00AC70F2">
        <w:trPr>
          <w:cantSplit/>
        </w:trPr>
        <w:tc>
          <w:tcPr>
            <w:tcW w:w="846" w:type="dxa"/>
            <w:tcBorders>
              <w:top w:val="single" w:sz="4" w:space="0" w:color="365F91"/>
              <w:left w:val="single" w:sz="4" w:space="0" w:color="FFFFFF"/>
              <w:bottom w:val="single" w:sz="4" w:space="0" w:color="365F91"/>
            </w:tcBorders>
            <w:shd w:val="clear" w:color="auto" w:fill="FFFFFF"/>
            <w:tcMar>
              <w:top w:w="0" w:type="dxa"/>
              <w:left w:w="85" w:type="dxa"/>
              <w:bottom w:w="0" w:type="dxa"/>
              <w:right w:w="85" w:type="dxa"/>
            </w:tcMar>
          </w:tcPr>
          <w:p w14:paraId="5ECA22C5" w14:textId="77777777" w:rsidR="00387C28" w:rsidRPr="00BE78CA" w:rsidRDefault="00387C28" w:rsidP="00A37132">
            <w:pPr>
              <w:pStyle w:val="TableText"/>
              <w:spacing w:before="50" w:after="50"/>
              <w:rPr>
                <w:rFonts w:cs="Calibri"/>
              </w:rPr>
            </w:pPr>
            <w:r w:rsidRPr="00BE78CA">
              <w:rPr>
                <w:rFonts w:eastAsia="Calibri" w:cs="Calibri"/>
              </w:rPr>
              <w:t>1.A.4.b</w:t>
            </w:r>
          </w:p>
        </w:tc>
        <w:tc>
          <w:tcPr>
            <w:tcW w:w="2410" w:type="dxa"/>
            <w:tcBorders>
              <w:top w:val="single" w:sz="4" w:space="0" w:color="365F91"/>
              <w:bottom w:val="single" w:sz="4" w:space="0" w:color="365F91"/>
            </w:tcBorders>
            <w:shd w:val="clear" w:color="auto" w:fill="FFFFFF"/>
            <w:tcMar>
              <w:top w:w="0" w:type="dxa"/>
              <w:left w:w="85" w:type="dxa"/>
              <w:bottom w:w="0" w:type="dxa"/>
              <w:right w:w="85" w:type="dxa"/>
            </w:tcMar>
          </w:tcPr>
          <w:p w14:paraId="0BA4D31C" w14:textId="77777777" w:rsidR="00387C28" w:rsidRPr="00BE78CA" w:rsidRDefault="00387C28" w:rsidP="00A37132">
            <w:pPr>
              <w:pStyle w:val="TableText"/>
              <w:spacing w:before="50" w:after="50"/>
              <w:rPr>
                <w:rFonts w:cs="Calibri"/>
              </w:rPr>
            </w:pPr>
            <w:r w:rsidRPr="00BE78CA">
              <w:rPr>
                <w:rFonts w:eastAsia="Calibri" w:cs="Calibri"/>
              </w:rPr>
              <w:t>Other Sectors – Residential</w:t>
            </w:r>
          </w:p>
        </w:tc>
        <w:tc>
          <w:tcPr>
            <w:tcW w:w="538" w:type="dxa"/>
            <w:tcBorders>
              <w:top w:val="single" w:sz="4" w:space="0" w:color="365F91"/>
              <w:bottom w:val="single" w:sz="4" w:space="0" w:color="365F91"/>
            </w:tcBorders>
            <w:shd w:val="clear" w:color="auto" w:fill="FFFFFF"/>
            <w:tcMar>
              <w:top w:w="0" w:type="dxa"/>
              <w:left w:w="85" w:type="dxa"/>
              <w:bottom w:w="0" w:type="dxa"/>
              <w:right w:w="85" w:type="dxa"/>
            </w:tcMar>
          </w:tcPr>
          <w:p w14:paraId="4D439018" w14:textId="77777777" w:rsidR="00387C28" w:rsidRPr="00BE78CA" w:rsidRDefault="00387C28" w:rsidP="00A37132">
            <w:pPr>
              <w:pStyle w:val="TableText"/>
              <w:spacing w:before="50" w:after="50"/>
              <w:jc w:val="center"/>
              <w:rPr>
                <w:rFonts w:cs="Calibri"/>
              </w:rPr>
            </w:pPr>
            <w:r w:rsidRPr="00BE78CA">
              <w:rPr>
                <w:rFonts w:eastAsia="Calibri" w:cs="Calibri"/>
              </w:rPr>
              <w:t>CO</w:t>
            </w:r>
            <w:r w:rsidRPr="00BE78CA">
              <w:rPr>
                <w:rFonts w:eastAsia="Calibri" w:cs="Calibri"/>
                <w:vertAlign w:val="subscript"/>
              </w:rPr>
              <w:t>2</w:t>
            </w:r>
          </w:p>
        </w:tc>
        <w:tc>
          <w:tcPr>
            <w:tcW w:w="928" w:type="dxa"/>
            <w:tcBorders>
              <w:top w:val="single" w:sz="4" w:space="0" w:color="365F91"/>
              <w:bottom w:val="single" w:sz="4" w:space="0" w:color="365F91"/>
            </w:tcBorders>
            <w:shd w:val="clear" w:color="auto" w:fill="FFFFFF"/>
            <w:tcMar>
              <w:top w:w="0" w:type="dxa"/>
              <w:left w:w="85" w:type="dxa"/>
              <w:bottom w:w="0" w:type="dxa"/>
              <w:right w:w="85" w:type="dxa"/>
            </w:tcMar>
          </w:tcPr>
          <w:p w14:paraId="33FBC807" w14:textId="77777777" w:rsidR="00387C28" w:rsidRPr="00BE78CA" w:rsidRDefault="00387C28" w:rsidP="00A37132">
            <w:pPr>
              <w:pStyle w:val="TableText"/>
              <w:spacing w:before="50" w:after="50"/>
              <w:jc w:val="right"/>
              <w:rPr>
                <w:rFonts w:cs="Calibri"/>
              </w:rPr>
            </w:pPr>
            <w:r w:rsidRPr="00BE78CA">
              <w:rPr>
                <w:rFonts w:eastAsia="Calibri" w:cs="Calibri"/>
              </w:rPr>
              <w:t>344.9</w:t>
            </w:r>
          </w:p>
        </w:tc>
        <w:tc>
          <w:tcPr>
            <w:tcW w:w="928" w:type="dxa"/>
            <w:tcBorders>
              <w:top w:val="single" w:sz="4" w:space="0" w:color="365F91"/>
              <w:bottom w:val="single" w:sz="4" w:space="0" w:color="365F91"/>
            </w:tcBorders>
            <w:shd w:val="clear" w:color="auto" w:fill="FFFFFF"/>
            <w:tcMar>
              <w:top w:w="0" w:type="dxa"/>
              <w:left w:w="85" w:type="dxa"/>
              <w:bottom w:w="0" w:type="dxa"/>
              <w:right w:w="85" w:type="dxa"/>
            </w:tcMar>
          </w:tcPr>
          <w:p w14:paraId="5D35902E" w14:textId="77777777" w:rsidR="00387C28" w:rsidRPr="00BE78CA" w:rsidRDefault="00387C28" w:rsidP="00A37132">
            <w:pPr>
              <w:pStyle w:val="TableText"/>
              <w:spacing w:before="50" w:after="50"/>
              <w:jc w:val="right"/>
              <w:rPr>
                <w:rFonts w:cs="Calibri"/>
              </w:rPr>
            </w:pPr>
            <w:r w:rsidRPr="00BE78CA">
              <w:rPr>
                <w:rFonts w:eastAsia="Calibri" w:cs="Calibri"/>
              </w:rPr>
              <w:t>24.6</w:t>
            </w:r>
          </w:p>
        </w:tc>
        <w:tc>
          <w:tcPr>
            <w:tcW w:w="937" w:type="dxa"/>
            <w:tcBorders>
              <w:top w:val="single" w:sz="4" w:space="0" w:color="365F91"/>
              <w:bottom w:val="single" w:sz="4" w:space="0" w:color="365F91"/>
            </w:tcBorders>
            <w:shd w:val="clear" w:color="auto" w:fill="FFFFFF"/>
            <w:tcMar>
              <w:top w:w="0" w:type="dxa"/>
              <w:left w:w="85" w:type="dxa"/>
              <w:bottom w:w="0" w:type="dxa"/>
              <w:right w:w="85" w:type="dxa"/>
            </w:tcMar>
          </w:tcPr>
          <w:p w14:paraId="6AE9142B" w14:textId="77777777" w:rsidR="00387C28" w:rsidRPr="00BE78CA" w:rsidRDefault="00387C28" w:rsidP="00A37132">
            <w:pPr>
              <w:pStyle w:val="TableText"/>
              <w:spacing w:before="50" w:after="50"/>
              <w:jc w:val="right"/>
              <w:rPr>
                <w:rFonts w:cs="Calibri"/>
              </w:rPr>
            </w:pPr>
            <w:r w:rsidRPr="00BE78CA">
              <w:rPr>
                <w:rFonts w:eastAsia="Calibri" w:cs="Calibri"/>
              </w:rPr>
              <w:t>0.006</w:t>
            </w:r>
          </w:p>
        </w:tc>
        <w:tc>
          <w:tcPr>
            <w:tcW w:w="999" w:type="dxa"/>
            <w:tcBorders>
              <w:top w:val="single" w:sz="4" w:space="0" w:color="365F91"/>
              <w:bottom w:val="single" w:sz="4" w:space="0" w:color="365F91"/>
            </w:tcBorders>
            <w:shd w:val="clear" w:color="auto" w:fill="FFFFFF"/>
            <w:tcMar>
              <w:top w:w="0" w:type="dxa"/>
              <w:left w:w="85" w:type="dxa"/>
              <w:bottom w:w="0" w:type="dxa"/>
              <w:right w:w="85" w:type="dxa"/>
            </w:tcMar>
          </w:tcPr>
          <w:p w14:paraId="0AB79F33" w14:textId="77777777" w:rsidR="00387C28" w:rsidRPr="00BE78CA" w:rsidRDefault="00387C28" w:rsidP="00A37132">
            <w:pPr>
              <w:pStyle w:val="TableText"/>
              <w:spacing w:before="50" w:after="50"/>
              <w:jc w:val="right"/>
              <w:rPr>
                <w:rFonts w:cs="Calibri"/>
              </w:rPr>
            </w:pPr>
            <w:r w:rsidRPr="00BE78CA">
              <w:rPr>
                <w:rFonts w:eastAsia="Calibri" w:cs="Calibri"/>
              </w:rPr>
              <w:t>0.9</w:t>
            </w:r>
          </w:p>
        </w:tc>
        <w:tc>
          <w:tcPr>
            <w:tcW w:w="909" w:type="dxa"/>
            <w:tcBorders>
              <w:top w:val="single" w:sz="4" w:space="0" w:color="365F91"/>
              <w:bottom w:val="single" w:sz="4" w:space="0" w:color="365F91"/>
            </w:tcBorders>
            <w:shd w:val="clear" w:color="auto" w:fill="FFFFFF"/>
            <w:tcMar>
              <w:top w:w="0" w:type="dxa"/>
              <w:left w:w="85" w:type="dxa"/>
              <w:bottom w:w="0" w:type="dxa"/>
              <w:right w:w="85" w:type="dxa"/>
            </w:tcMar>
          </w:tcPr>
          <w:p w14:paraId="41631875" w14:textId="77777777" w:rsidR="00387C28" w:rsidRPr="00BE78CA" w:rsidRDefault="00387C28" w:rsidP="00A37132">
            <w:pPr>
              <w:pStyle w:val="TableText"/>
              <w:spacing w:before="50" w:after="50"/>
              <w:jc w:val="right"/>
              <w:rPr>
                <w:rFonts w:cs="Calibri"/>
              </w:rPr>
            </w:pPr>
            <w:r w:rsidRPr="00BE78CA">
              <w:rPr>
                <w:rFonts w:eastAsia="Calibri" w:cs="Calibri"/>
              </w:rPr>
              <w:t>86.7</w:t>
            </w:r>
          </w:p>
        </w:tc>
      </w:tr>
      <w:tr w:rsidR="00387C28" w:rsidRPr="00BE78CA" w14:paraId="4BB45EFC" w14:textId="77777777" w:rsidTr="00AC70F2">
        <w:trPr>
          <w:cantSplit/>
        </w:trPr>
        <w:tc>
          <w:tcPr>
            <w:tcW w:w="846" w:type="dxa"/>
            <w:tcBorders>
              <w:top w:val="single" w:sz="4" w:space="0" w:color="365F91"/>
              <w:left w:val="single" w:sz="4" w:space="0" w:color="FFFFFF"/>
              <w:bottom w:val="single" w:sz="4" w:space="0" w:color="365F91"/>
            </w:tcBorders>
            <w:shd w:val="clear" w:color="auto" w:fill="FFFFFF"/>
            <w:tcMar>
              <w:top w:w="0" w:type="dxa"/>
              <w:left w:w="85" w:type="dxa"/>
              <w:bottom w:w="0" w:type="dxa"/>
              <w:right w:w="85" w:type="dxa"/>
            </w:tcMar>
          </w:tcPr>
          <w:p w14:paraId="5CF96D60" w14:textId="77777777" w:rsidR="00387C28" w:rsidRPr="00BE78CA" w:rsidRDefault="00387C28" w:rsidP="00A37132">
            <w:pPr>
              <w:pStyle w:val="TableText"/>
              <w:spacing w:before="50" w:after="50"/>
              <w:rPr>
                <w:rFonts w:cs="Calibri"/>
              </w:rPr>
            </w:pPr>
            <w:r w:rsidRPr="00BE78CA">
              <w:rPr>
                <w:rFonts w:eastAsia="Calibri" w:cs="Calibri"/>
              </w:rPr>
              <w:t>1.A.1.b</w:t>
            </w:r>
          </w:p>
        </w:tc>
        <w:tc>
          <w:tcPr>
            <w:tcW w:w="2410" w:type="dxa"/>
            <w:tcBorders>
              <w:top w:val="single" w:sz="4" w:space="0" w:color="365F91"/>
              <w:bottom w:val="single" w:sz="4" w:space="0" w:color="365F91"/>
            </w:tcBorders>
            <w:shd w:val="clear" w:color="auto" w:fill="FFFFFF"/>
            <w:tcMar>
              <w:top w:w="0" w:type="dxa"/>
              <w:left w:w="85" w:type="dxa"/>
              <w:bottom w:w="0" w:type="dxa"/>
              <w:right w:w="85" w:type="dxa"/>
            </w:tcMar>
          </w:tcPr>
          <w:p w14:paraId="67E5E3B9" w14:textId="77777777" w:rsidR="00387C28" w:rsidRPr="00BE78CA" w:rsidRDefault="00387C28" w:rsidP="00A37132">
            <w:pPr>
              <w:pStyle w:val="TableText"/>
              <w:spacing w:before="50" w:after="50"/>
              <w:rPr>
                <w:rFonts w:cs="Calibri"/>
              </w:rPr>
            </w:pPr>
            <w:r w:rsidRPr="00BE78CA">
              <w:rPr>
                <w:rFonts w:eastAsia="Calibri" w:cs="Calibri"/>
              </w:rPr>
              <w:t>Petroleum Refining – Liquid Fuels</w:t>
            </w:r>
          </w:p>
        </w:tc>
        <w:tc>
          <w:tcPr>
            <w:tcW w:w="538" w:type="dxa"/>
            <w:tcBorders>
              <w:top w:val="single" w:sz="4" w:space="0" w:color="365F91"/>
              <w:bottom w:val="single" w:sz="4" w:space="0" w:color="365F91"/>
            </w:tcBorders>
            <w:shd w:val="clear" w:color="auto" w:fill="FFFFFF"/>
            <w:tcMar>
              <w:top w:w="0" w:type="dxa"/>
              <w:left w:w="85" w:type="dxa"/>
              <w:bottom w:w="0" w:type="dxa"/>
              <w:right w:w="85" w:type="dxa"/>
            </w:tcMar>
          </w:tcPr>
          <w:p w14:paraId="795E26F7" w14:textId="77777777" w:rsidR="00387C28" w:rsidRPr="00BE78CA" w:rsidRDefault="00387C28" w:rsidP="00A37132">
            <w:pPr>
              <w:pStyle w:val="TableText"/>
              <w:spacing w:before="50" w:after="50"/>
              <w:jc w:val="center"/>
              <w:rPr>
                <w:rFonts w:cs="Calibri"/>
              </w:rPr>
            </w:pPr>
            <w:r w:rsidRPr="00BE78CA">
              <w:rPr>
                <w:rFonts w:eastAsia="Calibri" w:cs="Calibri"/>
              </w:rPr>
              <w:t>CO</w:t>
            </w:r>
            <w:r w:rsidRPr="00BE78CA">
              <w:rPr>
                <w:rFonts w:eastAsia="Calibri" w:cs="Calibri"/>
                <w:vertAlign w:val="subscript"/>
              </w:rPr>
              <w:t>2</w:t>
            </w:r>
          </w:p>
        </w:tc>
        <w:tc>
          <w:tcPr>
            <w:tcW w:w="928" w:type="dxa"/>
            <w:tcBorders>
              <w:top w:val="single" w:sz="4" w:space="0" w:color="365F91"/>
              <w:bottom w:val="single" w:sz="4" w:space="0" w:color="365F91"/>
            </w:tcBorders>
            <w:shd w:val="clear" w:color="auto" w:fill="FFFFFF"/>
            <w:tcMar>
              <w:top w:w="0" w:type="dxa"/>
              <w:left w:w="85" w:type="dxa"/>
              <w:bottom w:w="0" w:type="dxa"/>
              <w:right w:w="85" w:type="dxa"/>
            </w:tcMar>
          </w:tcPr>
          <w:p w14:paraId="2C09CE1D" w14:textId="77777777" w:rsidR="00387C28" w:rsidRPr="00BE78CA" w:rsidRDefault="00387C28" w:rsidP="00A37132">
            <w:pPr>
              <w:pStyle w:val="TableText"/>
              <w:spacing w:before="50" w:after="50"/>
              <w:jc w:val="right"/>
              <w:rPr>
                <w:rFonts w:cs="Calibri"/>
              </w:rPr>
            </w:pPr>
            <w:r w:rsidRPr="00BE78CA">
              <w:rPr>
                <w:rFonts w:eastAsia="Calibri" w:cs="Calibri"/>
              </w:rPr>
              <w:t>778.9</w:t>
            </w:r>
          </w:p>
        </w:tc>
        <w:tc>
          <w:tcPr>
            <w:tcW w:w="928" w:type="dxa"/>
            <w:tcBorders>
              <w:top w:val="single" w:sz="4" w:space="0" w:color="365F91"/>
              <w:bottom w:val="single" w:sz="4" w:space="0" w:color="365F91"/>
            </w:tcBorders>
            <w:shd w:val="clear" w:color="auto" w:fill="FFFFFF"/>
            <w:tcMar>
              <w:top w:w="0" w:type="dxa"/>
              <w:left w:w="85" w:type="dxa"/>
              <w:bottom w:w="0" w:type="dxa"/>
              <w:right w:w="85" w:type="dxa"/>
            </w:tcMar>
          </w:tcPr>
          <w:p w14:paraId="0F34F618" w14:textId="77777777" w:rsidR="00387C28" w:rsidRPr="00BE78CA" w:rsidRDefault="00387C28" w:rsidP="00A37132">
            <w:pPr>
              <w:pStyle w:val="TableText"/>
              <w:spacing w:before="50" w:after="50"/>
              <w:jc w:val="right"/>
              <w:rPr>
                <w:rFonts w:cs="Calibri"/>
              </w:rPr>
            </w:pPr>
            <w:r w:rsidRPr="00BE78CA">
              <w:rPr>
                <w:rFonts w:eastAsia="Calibri" w:cs="Calibri"/>
              </w:rPr>
              <w:t>663.7</w:t>
            </w:r>
          </w:p>
        </w:tc>
        <w:tc>
          <w:tcPr>
            <w:tcW w:w="937" w:type="dxa"/>
            <w:tcBorders>
              <w:top w:val="single" w:sz="4" w:space="0" w:color="365F91"/>
              <w:bottom w:val="single" w:sz="4" w:space="0" w:color="365F91"/>
            </w:tcBorders>
            <w:shd w:val="clear" w:color="auto" w:fill="FFFFFF"/>
            <w:tcMar>
              <w:top w:w="0" w:type="dxa"/>
              <w:left w:w="85" w:type="dxa"/>
              <w:bottom w:w="0" w:type="dxa"/>
              <w:right w:w="85" w:type="dxa"/>
            </w:tcMar>
          </w:tcPr>
          <w:p w14:paraId="7DD1BC19" w14:textId="77777777" w:rsidR="00387C28" w:rsidRPr="00BE78CA" w:rsidRDefault="00387C28" w:rsidP="00A37132">
            <w:pPr>
              <w:pStyle w:val="TableText"/>
              <w:spacing w:before="50" w:after="50"/>
              <w:jc w:val="right"/>
              <w:rPr>
                <w:rFonts w:cs="Calibri"/>
              </w:rPr>
            </w:pPr>
            <w:r w:rsidRPr="00BE78CA">
              <w:rPr>
                <w:rFonts w:eastAsia="Calibri" w:cs="Calibri"/>
              </w:rPr>
              <w:t>0.005</w:t>
            </w:r>
          </w:p>
        </w:tc>
        <w:tc>
          <w:tcPr>
            <w:tcW w:w="999" w:type="dxa"/>
            <w:tcBorders>
              <w:top w:val="single" w:sz="4" w:space="0" w:color="365F91"/>
              <w:bottom w:val="single" w:sz="4" w:space="0" w:color="365F91"/>
            </w:tcBorders>
            <w:shd w:val="clear" w:color="auto" w:fill="FFFFFF"/>
            <w:tcMar>
              <w:top w:w="0" w:type="dxa"/>
              <w:left w:w="85" w:type="dxa"/>
              <w:bottom w:w="0" w:type="dxa"/>
              <w:right w:w="85" w:type="dxa"/>
            </w:tcMar>
          </w:tcPr>
          <w:p w14:paraId="722A12ED" w14:textId="77777777" w:rsidR="00387C28" w:rsidRPr="00BE78CA" w:rsidRDefault="00387C28" w:rsidP="00A37132">
            <w:pPr>
              <w:pStyle w:val="TableText"/>
              <w:spacing w:before="50" w:after="50"/>
              <w:jc w:val="right"/>
              <w:rPr>
                <w:rFonts w:cs="Calibri"/>
              </w:rPr>
            </w:pPr>
            <w:r w:rsidRPr="00BE78CA">
              <w:rPr>
                <w:rFonts w:eastAsia="Calibri" w:cs="Calibri"/>
              </w:rPr>
              <w:t>0.7</w:t>
            </w:r>
          </w:p>
        </w:tc>
        <w:tc>
          <w:tcPr>
            <w:tcW w:w="909" w:type="dxa"/>
            <w:tcBorders>
              <w:top w:val="single" w:sz="4" w:space="0" w:color="365F91"/>
              <w:bottom w:val="single" w:sz="4" w:space="0" w:color="365F91"/>
            </w:tcBorders>
            <w:shd w:val="clear" w:color="auto" w:fill="FFFFFF"/>
            <w:tcMar>
              <w:top w:w="0" w:type="dxa"/>
              <w:left w:w="85" w:type="dxa"/>
              <w:bottom w:w="0" w:type="dxa"/>
              <w:right w:w="85" w:type="dxa"/>
            </w:tcMar>
          </w:tcPr>
          <w:p w14:paraId="5324F413" w14:textId="77777777" w:rsidR="00387C28" w:rsidRPr="00BE78CA" w:rsidRDefault="00387C28" w:rsidP="00A37132">
            <w:pPr>
              <w:pStyle w:val="TableText"/>
              <w:spacing w:before="50" w:after="50"/>
              <w:jc w:val="right"/>
              <w:rPr>
                <w:rFonts w:cs="Calibri"/>
              </w:rPr>
            </w:pPr>
            <w:r w:rsidRPr="00BE78CA">
              <w:rPr>
                <w:rFonts w:eastAsia="Calibri" w:cs="Calibri"/>
              </w:rPr>
              <w:t>87.4</w:t>
            </w:r>
          </w:p>
        </w:tc>
      </w:tr>
      <w:tr w:rsidR="00387C28" w:rsidRPr="00BE78CA" w14:paraId="37CF1B7D" w14:textId="77777777" w:rsidTr="00AC70F2">
        <w:trPr>
          <w:cantSplit/>
        </w:trPr>
        <w:tc>
          <w:tcPr>
            <w:tcW w:w="846" w:type="dxa"/>
            <w:tcBorders>
              <w:top w:val="single" w:sz="4" w:space="0" w:color="365F91"/>
              <w:left w:val="single" w:sz="4" w:space="0" w:color="FFFFFF"/>
              <w:bottom w:val="single" w:sz="4" w:space="0" w:color="365F91"/>
            </w:tcBorders>
            <w:shd w:val="clear" w:color="auto" w:fill="FFFFFF"/>
            <w:tcMar>
              <w:top w:w="0" w:type="dxa"/>
              <w:left w:w="85" w:type="dxa"/>
              <w:bottom w:w="0" w:type="dxa"/>
              <w:right w:w="85" w:type="dxa"/>
            </w:tcMar>
          </w:tcPr>
          <w:p w14:paraId="61ACBA78" w14:textId="77777777" w:rsidR="00387C28" w:rsidRPr="00BE78CA" w:rsidRDefault="00387C28" w:rsidP="00A37132">
            <w:pPr>
              <w:pStyle w:val="TableText"/>
              <w:spacing w:before="50" w:after="50"/>
              <w:rPr>
                <w:rFonts w:cs="Calibri"/>
              </w:rPr>
            </w:pPr>
            <w:r w:rsidRPr="00BE78CA">
              <w:rPr>
                <w:rFonts w:eastAsia="Calibri" w:cs="Calibri"/>
              </w:rPr>
              <w:t>1.B.2.d</w:t>
            </w:r>
          </w:p>
        </w:tc>
        <w:tc>
          <w:tcPr>
            <w:tcW w:w="2410" w:type="dxa"/>
            <w:tcBorders>
              <w:top w:val="single" w:sz="4" w:space="0" w:color="365F91"/>
              <w:bottom w:val="single" w:sz="4" w:space="0" w:color="365F91"/>
            </w:tcBorders>
            <w:shd w:val="clear" w:color="auto" w:fill="FFFFFF"/>
            <w:tcMar>
              <w:top w:w="0" w:type="dxa"/>
              <w:left w:w="85" w:type="dxa"/>
              <w:bottom w:w="0" w:type="dxa"/>
              <w:right w:w="85" w:type="dxa"/>
            </w:tcMar>
          </w:tcPr>
          <w:p w14:paraId="3A7A6E07" w14:textId="77777777" w:rsidR="00387C28" w:rsidRPr="00BE78CA" w:rsidRDefault="00387C28" w:rsidP="00A37132">
            <w:pPr>
              <w:pStyle w:val="TableText"/>
              <w:spacing w:before="50" w:after="50"/>
              <w:rPr>
                <w:rFonts w:cs="Calibri"/>
              </w:rPr>
            </w:pPr>
            <w:r w:rsidRPr="00BE78CA">
              <w:rPr>
                <w:rFonts w:eastAsia="Calibri" w:cs="Calibri"/>
              </w:rPr>
              <w:t>Other (please specify) – Geothermal</w:t>
            </w:r>
          </w:p>
        </w:tc>
        <w:tc>
          <w:tcPr>
            <w:tcW w:w="538" w:type="dxa"/>
            <w:tcBorders>
              <w:top w:val="single" w:sz="4" w:space="0" w:color="365F91"/>
              <w:bottom w:val="single" w:sz="4" w:space="0" w:color="365F91"/>
            </w:tcBorders>
            <w:shd w:val="clear" w:color="auto" w:fill="FFFFFF"/>
            <w:tcMar>
              <w:top w:w="0" w:type="dxa"/>
              <w:left w:w="85" w:type="dxa"/>
              <w:bottom w:w="0" w:type="dxa"/>
              <w:right w:w="85" w:type="dxa"/>
            </w:tcMar>
          </w:tcPr>
          <w:p w14:paraId="05DBD39F" w14:textId="77777777" w:rsidR="00387C28" w:rsidRPr="00BE78CA" w:rsidRDefault="00387C28" w:rsidP="00A37132">
            <w:pPr>
              <w:pStyle w:val="TableText"/>
              <w:spacing w:before="50" w:after="50"/>
              <w:jc w:val="center"/>
              <w:rPr>
                <w:rFonts w:cs="Calibri"/>
              </w:rPr>
            </w:pPr>
            <w:r w:rsidRPr="00BE78CA">
              <w:rPr>
                <w:rFonts w:eastAsia="Calibri" w:cs="Calibri"/>
              </w:rPr>
              <w:t>CO</w:t>
            </w:r>
            <w:r w:rsidRPr="00BE78CA">
              <w:rPr>
                <w:rFonts w:eastAsia="Calibri" w:cs="Calibri"/>
                <w:vertAlign w:val="subscript"/>
              </w:rPr>
              <w:t>2</w:t>
            </w:r>
          </w:p>
        </w:tc>
        <w:tc>
          <w:tcPr>
            <w:tcW w:w="928" w:type="dxa"/>
            <w:tcBorders>
              <w:top w:val="single" w:sz="4" w:space="0" w:color="365F91"/>
              <w:bottom w:val="single" w:sz="4" w:space="0" w:color="365F91"/>
            </w:tcBorders>
            <w:shd w:val="clear" w:color="auto" w:fill="FFFFFF"/>
            <w:tcMar>
              <w:top w:w="0" w:type="dxa"/>
              <w:left w:w="85" w:type="dxa"/>
              <w:bottom w:w="0" w:type="dxa"/>
              <w:right w:w="85" w:type="dxa"/>
            </w:tcMar>
          </w:tcPr>
          <w:p w14:paraId="5D521C67" w14:textId="77777777" w:rsidR="00387C28" w:rsidRPr="00BE78CA" w:rsidRDefault="00387C28" w:rsidP="00A37132">
            <w:pPr>
              <w:pStyle w:val="TableText"/>
              <w:spacing w:before="50" w:after="50"/>
              <w:jc w:val="right"/>
              <w:rPr>
                <w:rFonts w:cs="Calibri"/>
              </w:rPr>
            </w:pPr>
            <w:r w:rsidRPr="00BE78CA">
              <w:rPr>
                <w:rFonts w:eastAsia="Calibri" w:cs="Calibri"/>
              </w:rPr>
              <w:t>228.6</w:t>
            </w:r>
          </w:p>
        </w:tc>
        <w:tc>
          <w:tcPr>
            <w:tcW w:w="928" w:type="dxa"/>
            <w:tcBorders>
              <w:top w:val="single" w:sz="4" w:space="0" w:color="365F91"/>
              <w:bottom w:val="single" w:sz="4" w:space="0" w:color="365F91"/>
            </w:tcBorders>
            <w:shd w:val="clear" w:color="auto" w:fill="FFFFFF"/>
            <w:tcMar>
              <w:top w:w="0" w:type="dxa"/>
              <w:left w:w="85" w:type="dxa"/>
              <w:bottom w:w="0" w:type="dxa"/>
              <w:right w:w="85" w:type="dxa"/>
            </w:tcMar>
          </w:tcPr>
          <w:p w14:paraId="32188A9D" w14:textId="77777777" w:rsidR="00387C28" w:rsidRPr="00BE78CA" w:rsidRDefault="00387C28" w:rsidP="00A37132">
            <w:pPr>
              <w:pStyle w:val="TableText"/>
              <w:spacing w:before="50" w:after="50"/>
              <w:jc w:val="right"/>
              <w:rPr>
                <w:rFonts w:cs="Calibri"/>
              </w:rPr>
            </w:pPr>
            <w:r w:rsidRPr="00BE78CA">
              <w:rPr>
                <w:rFonts w:eastAsia="Calibri" w:cs="Calibri"/>
              </w:rPr>
              <w:t>585.1</w:t>
            </w:r>
          </w:p>
        </w:tc>
        <w:tc>
          <w:tcPr>
            <w:tcW w:w="937" w:type="dxa"/>
            <w:tcBorders>
              <w:top w:val="single" w:sz="4" w:space="0" w:color="365F91"/>
              <w:bottom w:val="single" w:sz="4" w:space="0" w:color="365F91"/>
            </w:tcBorders>
            <w:shd w:val="clear" w:color="auto" w:fill="FFFFFF"/>
            <w:tcMar>
              <w:top w:w="0" w:type="dxa"/>
              <w:left w:w="85" w:type="dxa"/>
              <w:bottom w:w="0" w:type="dxa"/>
              <w:right w:w="85" w:type="dxa"/>
            </w:tcMar>
          </w:tcPr>
          <w:p w14:paraId="728A71CA" w14:textId="77777777" w:rsidR="00387C28" w:rsidRPr="00BE78CA" w:rsidRDefault="00387C28" w:rsidP="00A37132">
            <w:pPr>
              <w:pStyle w:val="TableText"/>
              <w:spacing w:before="50" w:after="50"/>
              <w:jc w:val="right"/>
              <w:rPr>
                <w:rFonts w:cs="Calibri"/>
              </w:rPr>
            </w:pPr>
            <w:r w:rsidRPr="00BE78CA">
              <w:rPr>
                <w:rFonts w:eastAsia="Calibri" w:cs="Calibri"/>
              </w:rPr>
              <w:t>0.005</w:t>
            </w:r>
          </w:p>
        </w:tc>
        <w:tc>
          <w:tcPr>
            <w:tcW w:w="999" w:type="dxa"/>
            <w:tcBorders>
              <w:top w:val="single" w:sz="4" w:space="0" w:color="365F91"/>
              <w:bottom w:val="single" w:sz="4" w:space="0" w:color="365F91"/>
            </w:tcBorders>
            <w:shd w:val="clear" w:color="auto" w:fill="FFFFFF"/>
            <w:tcMar>
              <w:top w:w="0" w:type="dxa"/>
              <w:left w:w="85" w:type="dxa"/>
              <w:bottom w:w="0" w:type="dxa"/>
              <w:right w:w="85" w:type="dxa"/>
            </w:tcMar>
          </w:tcPr>
          <w:p w14:paraId="443C3A89" w14:textId="77777777" w:rsidR="00387C28" w:rsidRPr="00BE78CA" w:rsidRDefault="00387C28" w:rsidP="00A37132">
            <w:pPr>
              <w:pStyle w:val="TableText"/>
              <w:spacing w:before="50" w:after="50"/>
              <w:jc w:val="right"/>
              <w:rPr>
                <w:rFonts w:cs="Calibri"/>
              </w:rPr>
            </w:pPr>
            <w:r w:rsidRPr="00BE78CA">
              <w:rPr>
                <w:rFonts w:eastAsia="Calibri" w:cs="Calibri"/>
              </w:rPr>
              <w:t>0.7</w:t>
            </w:r>
          </w:p>
        </w:tc>
        <w:tc>
          <w:tcPr>
            <w:tcW w:w="909" w:type="dxa"/>
            <w:tcBorders>
              <w:top w:val="single" w:sz="4" w:space="0" w:color="365F91"/>
              <w:bottom w:val="single" w:sz="4" w:space="0" w:color="365F91"/>
            </w:tcBorders>
            <w:shd w:val="clear" w:color="auto" w:fill="FFFFFF"/>
            <w:tcMar>
              <w:top w:w="0" w:type="dxa"/>
              <w:left w:w="85" w:type="dxa"/>
              <w:bottom w:w="0" w:type="dxa"/>
              <w:right w:w="85" w:type="dxa"/>
            </w:tcMar>
          </w:tcPr>
          <w:p w14:paraId="559E5FD4" w14:textId="77777777" w:rsidR="00387C28" w:rsidRPr="00BE78CA" w:rsidRDefault="00387C28" w:rsidP="00A37132">
            <w:pPr>
              <w:pStyle w:val="TableText"/>
              <w:spacing w:before="50" w:after="50"/>
              <w:jc w:val="right"/>
              <w:rPr>
                <w:rFonts w:cs="Calibri"/>
              </w:rPr>
            </w:pPr>
            <w:r w:rsidRPr="00BE78CA">
              <w:rPr>
                <w:rFonts w:eastAsia="Calibri" w:cs="Calibri"/>
              </w:rPr>
              <w:t>88.1</w:t>
            </w:r>
          </w:p>
        </w:tc>
      </w:tr>
      <w:tr w:rsidR="00387C28" w:rsidRPr="00BE78CA" w14:paraId="6670432E" w14:textId="77777777" w:rsidTr="00AC70F2">
        <w:trPr>
          <w:cantSplit/>
        </w:trPr>
        <w:tc>
          <w:tcPr>
            <w:tcW w:w="846" w:type="dxa"/>
            <w:tcBorders>
              <w:top w:val="single" w:sz="4" w:space="0" w:color="365F91"/>
              <w:left w:val="single" w:sz="4" w:space="0" w:color="FFFFFF"/>
              <w:bottom w:val="single" w:sz="4" w:space="0" w:color="365F91"/>
            </w:tcBorders>
            <w:shd w:val="clear" w:color="auto" w:fill="FFFFFF"/>
            <w:tcMar>
              <w:top w:w="0" w:type="dxa"/>
              <w:left w:w="85" w:type="dxa"/>
              <w:bottom w:w="0" w:type="dxa"/>
              <w:right w:w="85" w:type="dxa"/>
            </w:tcMar>
          </w:tcPr>
          <w:p w14:paraId="1F5E4B3A" w14:textId="77777777" w:rsidR="00387C28" w:rsidRPr="00BE78CA" w:rsidRDefault="00387C28" w:rsidP="00A37132">
            <w:pPr>
              <w:pStyle w:val="TableText"/>
              <w:spacing w:before="50" w:after="50"/>
              <w:rPr>
                <w:rFonts w:cs="Calibri"/>
              </w:rPr>
            </w:pPr>
            <w:r w:rsidRPr="00BE78CA">
              <w:rPr>
                <w:rFonts w:eastAsia="Calibri" w:cs="Calibri"/>
              </w:rPr>
              <w:t>1.B.1.a.1</w:t>
            </w:r>
          </w:p>
        </w:tc>
        <w:tc>
          <w:tcPr>
            <w:tcW w:w="2410" w:type="dxa"/>
            <w:tcBorders>
              <w:top w:val="single" w:sz="4" w:space="0" w:color="365F91"/>
              <w:bottom w:val="single" w:sz="4" w:space="0" w:color="365F91"/>
            </w:tcBorders>
            <w:shd w:val="clear" w:color="auto" w:fill="FFFFFF"/>
            <w:tcMar>
              <w:top w:w="0" w:type="dxa"/>
              <w:left w:w="85" w:type="dxa"/>
              <w:bottom w:w="0" w:type="dxa"/>
              <w:right w:w="85" w:type="dxa"/>
            </w:tcMar>
          </w:tcPr>
          <w:p w14:paraId="7F78A81D" w14:textId="77777777" w:rsidR="00387C28" w:rsidRPr="00BE78CA" w:rsidRDefault="00387C28" w:rsidP="00A37132">
            <w:pPr>
              <w:pStyle w:val="TableText"/>
              <w:spacing w:before="50" w:after="50"/>
              <w:rPr>
                <w:rFonts w:cs="Calibri"/>
              </w:rPr>
            </w:pPr>
            <w:r w:rsidRPr="00BE78CA">
              <w:rPr>
                <w:rFonts w:eastAsia="Calibri" w:cs="Calibri"/>
              </w:rPr>
              <w:t>Coal Mining and Handling – Underground Mines</w:t>
            </w:r>
          </w:p>
        </w:tc>
        <w:tc>
          <w:tcPr>
            <w:tcW w:w="538" w:type="dxa"/>
            <w:tcBorders>
              <w:top w:val="single" w:sz="4" w:space="0" w:color="365F91"/>
              <w:bottom w:val="single" w:sz="4" w:space="0" w:color="365F91"/>
            </w:tcBorders>
            <w:shd w:val="clear" w:color="auto" w:fill="FFFFFF"/>
            <w:tcMar>
              <w:top w:w="0" w:type="dxa"/>
              <w:left w:w="85" w:type="dxa"/>
              <w:bottom w:w="0" w:type="dxa"/>
              <w:right w:w="85" w:type="dxa"/>
            </w:tcMar>
          </w:tcPr>
          <w:p w14:paraId="52D65BA4" w14:textId="77777777" w:rsidR="00387C28" w:rsidRPr="00BE78CA" w:rsidRDefault="00387C28" w:rsidP="00A37132">
            <w:pPr>
              <w:pStyle w:val="TableText"/>
              <w:spacing w:before="50" w:after="50"/>
              <w:jc w:val="center"/>
              <w:rPr>
                <w:rFonts w:cs="Calibri"/>
              </w:rPr>
            </w:pPr>
            <w:r w:rsidRPr="00BE78CA">
              <w:rPr>
                <w:rFonts w:eastAsia="Calibri" w:cs="Calibri"/>
              </w:rPr>
              <w:t>CH</w:t>
            </w:r>
            <w:r w:rsidRPr="00BE78CA">
              <w:rPr>
                <w:rFonts w:eastAsia="Calibri" w:cs="Calibri"/>
                <w:vertAlign w:val="subscript"/>
              </w:rPr>
              <w:t>4</w:t>
            </w:r>
          </w:p>
        </w:tc>
        <w:tc>
          <w:tcPr>
            <w:tcW w:w="928" w:type="dxa"/>
            <w:tcBorders>
              <w:top w:val="single" w:sz="4" w:space="0" w:color="365F91"/>
              <w:bottom w:val="single" w:sz="4" w:space="0" w:color="365F91"/>
            </w:tcBorders>
            <w:shd w:val="clear" w:color="auto" w:fill="FFFFFF"/>
            <w:tcMar>
              <w:top w:w="0" w:type="dxa"/>
              <w:left w:w="85" w:type="dxa"/>
              <w:bottom w:w="0" w:type="dxa"/>
              <w:right w:w="85" w:type="dxa"/>
            </w:tcMar>
          </w:tcPr>
          <w:p w14:paraId="04868D34" w14:textId="77777777" w:rsidR="00387C28" w:rsidRPr="00BE78CA" w:rsidRDefault="00387C28" w:rsidP="00A37132">
            <w:pPr>
              <w:pStyle w:val="TableText"/>
              <w:spacing w:before="50" w:after="50"/>
              <w:jc w:val="right"/>
              <w:rPr>
                <w:rFonts w:cs="Calibri"/>
              </w:rPr>
            </w:pPr>
            <w:r w:rsidRPr="00BE78CA">
              <w:rPr>
                <w:rFonts w:eastAsia="Calibri" w:cs="Calibri"/>
              </w:rPr>
              <w:t>289.6</w:t>
            </w:r>
          </w:p>
        </w:tc>
        <w:tc>
          <w:tcPr>
            <w:tcW w:w="928" w:type="dxa"/>
            <w:tcBorders>
              <w:top w:val="single" w:sz="4" w:space="0" w:color="365F91"/>
              <w:bottom w:val="single" w:sz="4" w:space="0" w:color="365F91"/>
            </w:tcBorders>
            <w:shd w:val="clear" w:color="auto" w:fill="FFFFFF"/>
            <w:tcMar>
              <w:top w:w="0" w:type="dxa"/>
              <w:left w:w="85" w:type="dxa"/>
              <w:bottom w:w="0" w:type="dxa"/>
              <w:right w:w="85" w:type="dxa"/>
            </w:tcMar>
          </w:tcPr>
          <w:p w14:paraId="38E3C993" w14:textId="77777777" w:rsidR="00387C28" w:rsidRPr="00BE78CA" w:rsidRDefault="00387C28" w:rsidP="00A37132">
            <w:pPr>
              <w:pStyle w:val="TableText"/>
              <w:spacing w:before="50" w:after="50"/>
              <w:jc w:val="right"/>
              <w:rPr>
                <w:rFonts w:cs="Calibri"/>
              </w:rPr>
            </w:pPr>
            <w:r w:rsidRPr="00BE78CA">
              <w:rPr>
                <w:rFonts w:eastAsia="Calibri" w:cs="Calibri"/>
              </w:rPr>
              <w:t>72.7</w:t>
            </w:r>
          </w:p>
        </w:tc>
        <w:tc>
          <w:tcPr>
            <w:tcW w:w="937" w:type="dxa"/>
            <w:tcBorders>
              <w:top w:val="single" w:sz="4" w:space="0" w:color="365F91"/>
              <w:bottom w:val="single" w:sz="4" w:space="0" w:color="365F91"/>
            </w:tcBorders>
            <w:shd w:val="clear" w:color="auto" w:fill="FFFFFF"/>
            <w:tcMar>
              <w:top w:w="0" w:type="dxa"/>
              <w:left w:w="85" w:type="dxa"/>
              <w:bottom w:w="0" w:type="dxa"/>
              <w:right w:w="85" w:type="dxa"/>
            </w:tcMar>
          </w:tcPr>
          <w:p w14:paraId="15B8E366" w14:textId="77777777" w:rsidR="00387C28" w:rsidRPr="00BE78CA" w:rsidRDefault="00387C28" w:rsidP="00A37132">
            <w:pPr>
              <w:pStyle w:val="TableText"/>
              <w:spacing w:before="50" w:after="50"/>
              <w:jc w:val="right"/>
              <w:rPr>
                <w:rFonts w:cs="Calibri"/>
              </w:rPr>
            </w:pPr>
            <w:r w:rsidRPr="00BE78CA">
              <w:rPr>
                <w:rFonts w:eastAsia="Calibri" w:cs="Calibri"/>
              </w:rPr>
              <w:t>0.005</w:t>
            </w:r>
          </w:p>
        </w:tc>
        <w:tc>
          <w:tcPr>
            <w:tcW w:w="999" w:type="dxa"/>
            <w:tcBorders>
              <w:top w:val="single" w:sz="4" w:space="0" w:color="365F91"/>
              <w:bottom w:val="single" w:sz="4" w:space="0" w:color="365F91"/>
            </w:tcBorders>
            <w:shd w:val="clear" w:color="auto" w:fill="FFFFFF"/>
            <w:tcMar>
              <w:top w:w="0" w:type="dxa"/>
              <w:left w:w="85" w:type="dxa"/>
              <w:bottom w:w="0" w:type="dxa"/>
              <w:right w:w="85" w:type="dxa"/>
            </w:tcMar>
          </w:tcPr>
          <w:p w14:paraId="70F86F1B" w14:textId="77777777" w:rsidR="00387C28" w:rsidRPr="00BE78CA" w:rsidRDefault="00387C28" w:rsidP="00A37132">
            <w:pPr>
              <w:pStyle w:val="TableText"/>
              <w:spacing w:before="50" w:after="50"/>
              <w:jc w:val="right"/>
              <w:rPr>
                <w:rFonts w:cs="Calibri"/>
              </w:rPr>
            </w:pPr>
            <w:r w:rsidRPr="00BE78CA">
              <w:rPr>
                <w:rFonts w:eastAsia="Calibri" w:cs="Calibri"/>
              </w:rPr>
              <w:t>0.7</w:t>
            </w:r>
          </w:p>
        </w:tc>
        <w:tc>
          <w:tcPr>
            <w:tcW w:w="909" w:type="dxa"/>
            <w:tcBorders>
              <w:top w:val="single" w:sz="4" w:space="0" w:color="365F91"/>
              <w:bottom w:val="single" w:sz="4" w:space="0" w:color="365F91"/>
            </w:tcBorders>
            <w:shd w:val="clear" w:color="auto" w:fill="FFFFFF"/>
            <w:tcMar>
              <w:top w:w="0" w:type="dxa"/>
              <w:left w:w="85" w:type="dxa"/>
              <w:bottom w:w="0" w:type="dxa"/>
              <w:right w:w="85" w:type="dxa"/>
            </w:tcMar>
          </w:tcPr>
          <w:p w14:paraId="05CB61B6" w14:textId="77777777" w:rsidR="00387C28" w:rsidRPr="00BE78CA" w:rsidRDefault="00387C28" w:rsidP="00A37132">
            <w:pPr>
              <w:pStyle w:val="TableText"/>
              <w:spacing w:before="50" w:after="50"/>
              <w:jc w:val="right"/>
              <w:rPr>
                <w:rFonts w:cs="Calibri"/>
              </w:rPr>
            </w:pPr>
            <w:r w:rsidRPr="00BE78CA">
              <w:rPr>
                <w:rFonts w:eastAsia="Calibri" w:cs="Calibri"/>
              </w:rPr>
              <w:t>88.7</w:t>
            </w:r>
          </w:p>
        </w:tc>
      </w:tr>
      <w:tr w:rsidR="00387C28" w:rsidRPr="00BE78CA" w14:paraId="792E2CEA" w14:textId="77777777" w:rsidTr="00AC70F2">
        <w:trPr>
          <w:cantSplit/>
        </w:trPr>
        <w:tc>
          <w:tcPr>
            <w:tcW w:w="846" w:type="dxa"/>
            <w:tcBorders>
              <w:top w:val="single" w:sz="4" w:space="0" w:color="365F91"/>
              <w:left w:val="single" w:sz="4" w:space="0" w:color="FFFFFF"/>
              <w:bottom w:val="single" w:sz="4" w:space="0" w:color="365F91"/>
            </w:tcBorders>
            <w:shd w:val="clear" w:color="auto" w:fill="FFFFFF"/>
            <w:tcMar>
              <w:top w:w="0" w:type="dxa"/>
              <w:left w:w="85" w:type="dxa"/>
              <w:bottom w:w="0" w:type="dxa"/>
              <w:right w:w="85" w:type="dxa"/>
            </w:tcMar>
          </w:tcPr>
          <w:p w14:paraId="7BCE2129" w14:textId="77777777" w:rsidR="00387C28" w:rsidRPr="00BE78CA" w:rsidRDefault="00387C28" w:rsidP="00A37132">
            <w:pPr>
              <w:pStyle w:val="TableText"/>
              <w:spacing w:before="50" w:after="50"/>
              <w:rPr>
                <w:rFonts w:cs="Calibri"/>
              </w:rPr>
            </w:pPr>
            <w:r w:rsidRPr="00BE78CA">
              <w:rPr>
                <w:rFonts w:eastAsia="Calibri" w:cs="Calibri"/>
              </w:rPr>
              <w:t>3.A.4</w:t>
            </w:r>
          </w:p>
        </w:tc>
        <w:tc>
          <w:tcPr>
            <w:tcW w:w="2410" w:type="dxa"/>
            <w:tcBorders>
              <w:top w:val="single" w:sz="4" w:space="0" w:color="365F91"/>
              <w:bottom w:val="single" w:sz="4" w:space="0" w:color="365F91"/>
            </w:tcBorders>
            <w:shd w:val="clear" w:color="auto" w:fill="FFFFFF"/>
            <w:tcMar>
              <w:top w:w="0" w:type="dxa"/>
              <w:left w:w="85" w:type="dxa"/>
              <w:bottom w:w="0" w:type="dxa"/>
              <w:right w:w="85" w:type="dxa"/>
            </w:tcMar>
          </w:tcPr>
          <w:p w14:paraId="2DDB1FDA" w14:textId="77777777" w:rsidR="00387C28" w:rsidRPr="00BE78CA" w:rsidRDefault="00387C28" w:rsidP="00A37132">
            <w:pPr>
              <w:pStyle w:val="TableText"/>
              <w:spacing w:before="50" w:after="50"/>
              <w:rPr>
                <w:rFonts w:cs="Calibri"/>
              </w:rPr>
            </w:pPr>
            <w:r w:rsidRPr="00BE78CA">
              <w:rPr>
                <w:rFonts w:eastAsia="Calibri" w:cs="Calibri"/>
              </w:rPr>
              <w:t>Other Livestock – Goats</w:t>
            </w:r>
          </w:p>
        </w:tc>
        <w:tc>
          <w:tcPr>
            <w:tcW w:w="538" w:type="dxa"/>
            <w:tcBorders>
              <w:top w:val="single" w:sz="4" w:space="0" w:color="365F91"/>
              <w:bottom w:val="single" w:sz="4" w:space="0" w:color="365F91"/>
            </w:tcBorders>
            <w:shd w:val="clear" w:color="auto" w:fill="FFFFFF"/>
            <w:tcMar>
              <w:top w:w="0" w:type="dxa"/>
              <w:left w:w="85" w:type="dxa"/>
              <w:bottom w:w="0" w:type="dxa"/>
              <w:right w:w="85" w:type="dxa"/>
            </w:tcMar>
          </w:tcPr>
          <w:p w14:paraId="4A61AEB5" w14:textId="77777777" w:rsidR="00387C28" w:rsidRPr="00BE78CA" w:rsidRDefault="00387C28" w:rsidP="00A37132">
            <w:pPr>
              <w:pStyle w:val="TableText"/>
              <w:spacing w:before="50" w:after="50"/>
              <w:jc w:val="center"/>
              <w:rPr>
                <w:rFonts w:cs="Calibri"/>
              </w:rPr>
            </w:pPr>
            <w:r w:rsidRPr="00BE78CA">
              <w:rPr>
                <w:rFonts w:eastAsia="Calibri" w:cs="Calibri"/>
              </w:rPr>
              <w:t>CH</w:t>
            </w:r>
            <w:r w:rsidRPr="00BE78CA">
              <w:rPr>
                <w:rFonts w:eastAsia="Calibri" w:cs="Calibri"/>
                <w:vertAlign w:val="subscript"/>
              </w:rPr>
              <w:t>4</w:t>
            </w:r>
          </w:p>
        </w:tc>
        <w:tc>
          <w:tcPr>
            <w:tcW w:w="928" w:type="dxa"/>
            <w:tcBorders>
              <w:top w:val="single" w:sz="4" w:space="0" w:color="365F91"/>
              <w:bottom w:val="single" w:sz="4" w:space="0" w:color="365F91"/>
            </w:tcBorders>
            <w:shd w:val="clear" w:color="auto" w:fill="FFFFFF"/>
            <w:tcMar>
              <w:top w:w="0" w:type="dxa"/>
              <w:left w:w="85" w:type="dxa"/>
              <w:bottom w:w="0" w:type="dxa"/>
              <w:right w:w="85" w:type="dxa"/>
            </w:tcMar>
          </w:tcPr>
          <w:p w14:paraId="20783EA8" w14:textId="77777777" w:rsidR="00387C28" w:rsidRPr="00BE78CA" w:rsidRDefault="00387C28" w:rsidP="00A37132">
            <w:pPr>
              <w:pStyle w:val="TableText"/>
              <w:spacing w:before="50" w:after="50"/>
              <w:jc w:val="right"/>
              <w:rPr>
                <w:rFonts w:cs="Calibri"/>
              </w:rPr>
            </w:pPr>
            <w:r w:rsidRPr="00BE78CA">
              <w:rPr>
                <w:rFonts w:eastAsia="Calibri" w:cs="Calibri"/>
              </w:rPr>
              <w:t>196.6</w:t>
            </w:r>
          </w:p>
        </w:tc>
        <w:tc>
          <w:tcPr>
            <w:tcW w:w="928" w:type="dxa"/>
            <w:tcBorders>
              <w:top w:val="single" w:sz="4" w:space="0" w:color="365F91"/>
              <w:bottom w:val="single" w:sz="4" w:space="0" w:color="365F91"/>
            </w:tcBorders>
            <w:shd w:val="clear" w:color="auto" w:fill="FFFFFF"/>
            <w:tcMar>
              <w:top w:w="0" w:type="dxa"/>
              <w:left w:w="85" w:type="dxa"/>
              <w:bottom w:w="0" w:type="dxa"/>
              <w:right w:w="85" w:type="dxa"/>
            </w:tcMar>
          </w:tcPr>
          <w:p w14:paraId="400871E5" w14:textId="77777777" w:rsidR="00387C28" w:rsidRPr="00BE78CA" w:rsidRDefault="00387C28" w:rsidP="00A37132">
            <w:pPr>
              <w:pStyle w:val="TableText"/>
              <w:spacing w:before="50" w:after="50"/>
              <w:jc w:val="right"/>
              <w:rPr>
                <w:rFonts w:cs="Calibri"/>
              </w:rPr>
            </w:pPr>
            <w:r w:rsidRPr="00BE78CA">
              <w:rPr>
                <w:rFonts w:eastAsia="Calibri" w:cs="Calibri"/>
              </w:rPr>
              <w:t>21.0</w:t>
            </w:r>
          </w:p>
        </w:tc>
        <w:tc>
          <w:tcPr>
            <w:tcW w:w="937" w:type="dxa"/>
            <w:tcBorders>
              <w:top w:val="single" w:sz="4" w:space="0" w:color="365F91"/>
              <w:bottom w:val="single" w:sz="4" w:space="0" w:color="365F91"/>
            </w:tcBorders>
            <w:shd w:val="clear" w:color="auto" w:fill="FFFFFF"/>
            <w:tcMar>
              <w:top w:w="0" w:type="dxa"/>
              <w:left w:w="85" w:type="dxa"/>
              <w:bottom w:w="0" w:type="dxa"/>
              <w:right w:w="85" w:type="dxa"/>
            </w:tcMar>
          </w:tcPr>
          <w:p w14:paraId="1F06473E" w14:textId="77777777" w:rsidR="00387C28" w:rsidRPr="00BE78CA" w:rsidRDefault="00387C28" w:rsidP="00A37132">
            <w:pPr>
              <w:pStyle w:val="TableText"/>
              <w:spacing w:before="50" w:after="50"/>
              <w:jc w:val="right"/>
              <w:rPr>
                <w:rFonts w:cs="Calibri"/>
              </w:rPr>
            </w:pPr>
            <w:r w:rsidRPr="00BE78CA">
              <w:rPr>
                <w:rFonts w:eastAsia="Calibri" w:cs="Calibri"/>
              </w:rPr>
              <w:t>0.003</w:t>
            </w:r>
          </w:p>
        </w:tc>
        <w:tc>
          <w:tcPr>
            <w:tcW w:w="999" w:type="dxa"/>
            <w:tcBorders>
              <w:top w:val="single" w:sz="4" w:space="0" w:color="365F91"/>
              <w:bottom w:val="single" w:sz="4" w:space="0" w:color="365F91"/>
            </w:tcBorders>
            <w:shd w:val="clear" w:color="auto" w:fill="FFFFFF"/>
            <w:tcMar>
              <w:top w:w="0" w:type="dxa"/>
              <w:left w:w="85" w:type="dxa"/>
              <w:bottom w:w="0" w:type="dxa"/>
              <w:right w:w="85" w:type="dxa"/>
            </w:tcMar>
          </w:tcPr>
          <w:p w14:paraId="4EE7E253" w14:textId="77777777" w:rsidR="00387C28" w:rsidRPr="00BE78CA" w:rsidRDefault="00387C28" w:rsidP="00A37132">
            <w:pPr>
              <w:pStyle w:val="TableText"/>
              <w:spacing w:before="50" w:after="50"/>
              <w:jc w:val="right"/>
              <w:rPr>
                <w:rFonts w:cs="Calibri"/>
              </w:rPr>
            </w:pPr>
            <w:r w:rsidRPr="00BE78CA">
              <w:rPr>
                <w:rFonts w:eastAsia="Calibri" w:cs="Calibri"/>
              </w:rPr>
              <w:t>0.5</w:t>
            </w:r>
          </w:p>
        </w:tc>
        <w:tc>
          <w:tcPr>
            <w:tcW w:w="909" w:type="dxa"/>
            <w:tcBorders>
              <w:top w:val="single" w:sz="4" w:space="0" w:color="365F91"/>
              <w:bottom w:val="single" w:sz="4" w:space="0" w:color="365F91"/>
            </w:tcBorders>
            <w:shd w:val="clear" w:color="auto" w:fill="FFFFFF"/>
            <w:tcMar>
              <w:top w:w="0" w:type="dxa"/>
              <w:left w:w="85" w:type="dxa"/>
              <w:bottom w:w="0" w:type="dxa"/>
              <w:right w:w="85" w:type="dxa"/>
            </w:tcMar>
          </w:tcPr>
          <w:p w14:paraId="30E26AF6" w14:textId="77777777" w:rsidR="00387C28" w:rsidRPr="00BE78CA" w:rsidRDefault="00387C28" w:rsidP="00A37132">
            <w:pPr>
              <w:pStyle w:val="TableText"/>
              <w:spacing w:before="50" w:after="50"/>
              <w:jc w:val="right"/>
              <w:rPr>
                <w:rFonts w:cs="Calibri"/>
              </w:rPr>
            </w:pPr>
            <w:r w:rsidRPr="00BE78CA">
              <w:rPr>
                <w:rFonts w:eastAsia="Calibri" w:cs="Calibri"/>
              </w:rPr>
              <w:t>89.3</w:t>
            </w:r>
          </w:p>
        </w:tc>
      </w:tr>
      <w:tr w:rsidR="00387C28" w:rsidRPr="00BE78CA" w14:paraId="116027CB" w14:textId="77777777" w:rsidTr="00AC70F2">
        <w:trPr>
          <w:cantSplit/>
        </w:trPr>
        <w:tc>
          <w:tcPr>
            <w:tcW w:w="846" w:type="dxa"/>
            <w:tcBorders>
              <w:top w:val="single" w:sz="4" w:space="0" w:color="365F91"/>
              <w:left w:val="single" w:sz="4" w:space="0" w:color="FFFFFF"/>
              <w:bottom w:val="single" w:sz="4" w:space="0" w:color="365F91"/>
            </w:tcBorders>
            <w:shd w:val="clear" w:color="auto" w:fill="FFFFFF"/>
            <w:tcMar>
              <w:top w:w="0" w:type="dxa"/>
              <w:left w:w="85" w:type="dxa"/>
              <w:bottom w:w="0" w:type="dxa"/>
              <w:right w:w="85" w:type="dxa"/>
            </w:tcMar>
          </w:tcPr>
          <w:p w14:paraId="7B7E0D22" w14:textId="77777777" w:rsidR="00387C28" w:rsidRPr="00BE78CA" w:rsidRDefault="00387C28" w:rsidP="00A37132">
            <w:pPr>
              <w:pStyle w:val="TableText"/>
              <w:spacing w:before="50" w:after="50"/>
              <w:rPr>
                <w:rFonts w:cs="Calibri"/>
              </w:rPr>
            </w:pPr>
            <w:r w:rsidRPr="00BE78CA">
              <w:rPr>
                <w:rFonts w:eastAsia="Calibri" w:cs="Calibri"/>
              </w:rPr>
              <w:t>1.A.1.b</w:t>
            </w:r>
          </w:p>
        </w:tc>
        <w:tc>
          <w:tcPr>
            <w:tcW w:w="2410" w:type="dxa"/>
            <w:tcBorders>
              <w:top w:val="single" w:sz="4" w:space="0" w:color="365F91"/>
              <w:bottom w:val="single" w:sz="4" w:space="0" w:color="365F91"/>
            </w:tcBorders>
            <w:shd w:val="clear" w:color="auto" w:fill="FFFFFF"/>
            <w:tcMar>
              <w:top w:w="0" w:type="dxa"/>
              <w:left w:w="85" w:type="dxa"/>
              <w:bottom w:w="0" w:type="dxa"/>
              <w:right w:w="85" w:type="dxa"/>
            </w:tcMar>
          </w:tcPr>
          <w:p w14:paraId="2DCAC292" w14:textId="77777777" w:rsidR="00387C28" w:rsidRPr="00BE78CA" w:rsidRDefault="00387C28" w:rsidP="00A37132">
            <w:pPr>
              <w:pStyle w:val="TableText"/>
              <w:spacing w:before="50" w:after="50"/>
              <w:rPr>
                <w:rFonts w:cs="Calibri"/>
              </w:rPr>
            </w:pPr>
            <w:r w:rsidRPr="00BE78CA">
              <w:rPr>
                <w:rFonts w:eastAsia="Calibri" w:cs="Calibri"/>
              </w:rPr>
              <w:t>Petroleum Refining – Gaseous Fuels</w:t>
            </w:r>
          </w:p>
        </w:tc>
        <w:tc>
          <w:tcPr>
            <w:tcW w:w="538" w:type="dxa"/>
            <w:tcBorders>
              <w:top w:val="single" w:sz="4" w:space="0" w:color="365F91"/>
              <w:bottom w:val="single" w:sz="4" w:space="0" w:color="365F91"/>
            </w:tcBorders>
            <w:shd w:val="clear" w:color="auto" w:fill="FFFFFF"/>
            <w:tcMar>
              <w:top w:w="0" w:type="dxa"/>
              <w:left w:w="85" w:type="dxa"/>
              <w:bottom w:w="0" w:type="dxa"/>
              <w:right w:w="85" w:type="dxa"/>
            </w:tcMar>
          </w:tcPr>
          <w:p w14:paraId="56972032" w14:textId="77777777" w:rsidR="00387C28" w:rsidRPr="00BE78CA" w:rsidRDefault="00387C28" w:rsidP="00A37132">
            <w:pPr>
              <w:pStyle w:val="TableText"/>
              <w:spacing w:before="50" w:after="50"/>
              <w:jc w:val="center"/>
              <w:rPr>
                <w:rFonts w:cs="Calibri"/>
              </w:rPr>
            </w:pPr>
            <w:r w:rsidRPr="00BE78CA">
              <w:rPr>
                <w:rFonts w:eastAsia="Calibri" w:cs="Calibri"/>
              </w:rPr>
              <w:t>CO</w:t>
            </w:r>
            <w:r w:rsidRPr="00BE78CA">
              <w:rPr>
                <w:rFonts w:eastAsia="Calibri" w:cs="Calibri"/>
                <w:vertAlign w:val="subscript"/>
              </w:rPr>
              <w:t>2</w:t>
            </w:r>
          </w:p>
        </w:tc>
        <w:tc>
          <w:tcPr>
            <w:tcW w:w="928" w:type="dxa"/>
            <w:tcBorders>
              <w:top w:val="single" w:sz="4" w:space="0" w:color="365F91"/>
              <w:bottom w:val="single" w:sz="4" w:space="0" w:color="365F91"/>
            </w:tcBorders>
            <w:shd w:val="clear" w:color="auto" w:fill="FFFFFF"/>
            <w:tcMar>
              <w:top w:w="0" w:type="dxa"/>
              <w:left w:w="85" w:type="dxa"/>
              <w:bottom w:w="0" w:type="dxa"/>
              <w:right w:w="85" w:type="dxa"/>
            </w:tcMar>
          </w:tcPr>
          <w:p w14:paraId="7EBB111A" w14:textId="77777777" w:rsidR="00387C28" w:rsidRPr="00BE78CA" w:rsidRDefault="00387C28" w:rsidP="00A37132">
            <w:pPr>
              <w:pStyle w:val="TableText"/>
              <w:spacing w:before="50" w:after="50"/>
              <w:jc w:val="right"/>
              <w:rPr>
                <w:rFonts w:cs="Calibri"/>
              </w:rPr>
            </w:pPr>
            <w:r w:rsidRPr="00BE78CA">
              <w:rPr>
                <w:rFonts w:eastAsia="Calibri" w:cs="Calibri"/>
              </w:rPr>
              <w:t>0.0</w:t>
            </w:r>
          </w:p>
        </w:tc>
        <w:tc>
          <w:tcPr>
            <w:tcW w:w="928" w:type="dxa"/>
            <w:tcBorders>
              <w:top w:val="single" w:sz="4" w:space="0" w:color="365F91"/>
              <w:bottom w:val="single" w:sz="4" w:space="0" w:color="365F91"/>
            </w:tcBorders>
            <w:shd w:val="clear" w:color="auto" w:fill="FFFFFF"/>
            <w:tcMar>
              <w:top w:w="0" w:type="dxa"/>
              <w:left w:w="85" w:type="dxa"/>
              <w:bottom w:w="0" w:type="dxa"/>
              <w:right w:w="85" w:type="dxa"/>
            </w:tcMar>
          </w:tcPr>
          <w:p w14:paraId="698C04B5" w14:textId="77777777" w:rsidR="00387C28" w:rsidRPr="00BE78CA" w:rsidRDefault="00387C28" w:rsidP="00A37132">
            <w:pPr>
              <w:pStyle w:val="TableText"/>
              <w:spacing w:before="50" w:after="50"/>
              <w:jc w:val="right"/>
              <w:rPr>
                <w:rFonts w:cs="Calibri"/>
              </w:rPr>
            </w:pPr>
            <w:r w:rsidRPr="00BE78CA">
              <w:rPr>
                <w:rFonts w:eastAsia="Calibri" w:cs="Calibri"/>
              </w:rPr>
              <w:t>217.9</w:t>
            </w:r>
          </w:p>
        </w:tc>
        <w:tc>
          <w:tcPr>
            <w:tcW w:w="937" w:type="dxa"/>
            <w:tcBorders>
              <w:top w:val="single" w:sz="4" w:space="0" w:color="365F91"/>
              <w:bottom w:val="single" w:sz="4" w:space="0" w:color="365F91"/>
            </w:tcBorders>
            <w:shd w:val="clear" w:color="auto" w:fill="FFFFFF"/>
            <w:tcMar>
              <w:top w:w="0" w:type="dxa"/>
              <w:left w:w="85" w:type="dxa"/>
              <w:bottom w:w="0" w:type="dxa"/>
              <w:right w:w="85" w:type="dxa"/>
            </w:tcMar>
          </w:tcPr>
          <w:p w14:paraId="3B9D941B" w14:textId="77777777" w:rsidR="00387C28" w:rsidRPr="00BE78CA" w:rsidRDefault="00387C28" w:rsidP="00A37132">
            <w:pPr>
              <w:pStyle w:val="TableText"/>
              <w:spacing w:before="50" w:after="50"/>
              <w:jc w:val="right"/>
              <w:rPr>
                <w:rFonts w:cs="Calibri"/>
              </w:rPr>
            </w:pPr>
            <w:r w:rsidRPr="00BE78CA">
              <w:rPr>
                <w:rFonts w:eastAsia="Calibri" w:cs="Calibri"/>
              </w:rPr>
              <w:t>0.003</w:t>
            </w:r>
          </w:p>
        </w:tc>
        <w:tc>
          <w:tcPr>
            <w:tcW w:w="999" w:type="dxa"/>
            <w:tcBorders>
              <w:top w:val="single" w:sz="4" w:space="0" w:color="365F91"/>
              <w:bottom w:val="single" w:sz="4" w:space="0" w:color="365F91"/>
            </w:tcBorders>
            <w:shd w:val="clear" w:color="auto" w:fill="FFFFFF"/>
            <w:tcMar>
              <w:top w:w="0" w:type="dxa"/>
              <w:left w:w="85" w:type="dxa"/>
              <w:bottom w:w="0" w:type="dxa"/>
              <w:right w:w="85" w:type="dxa"/>
            </w:tcMar>
          </w:tcPr>
          <w:p w14:paraId="2747AF6B" w14:textId="77777777" w:rsidR="00387C28" w:rsidRPr="00BE78CA" w:rsidRDefault="00387C28" w:rsidP="00A37132">
            <w:pPr>
              <w:pStyle w:val="TableText"/>
              <w:spacing w:before="50" w:after="50"/>
              <w:jc w:val="right"/>
              <w:rPr>
                <w:rFonts w:cs="Calibri"/>
              </w:rPr>
            </w:pPr>
            <w:r w:rsidRPr="00BE78CA">
              <w:rPr>
                <w:rFonts w:eastAsia="Calibri" w:cs="Calibri"/>
              </w:rPr>
              <w:t>0.5</w:t>
            </w:r>
          </w:p>
        </w:tc>
        <w:tc>
          <w:tcPr>
            <w:tcW w:w="909" w:type="dxa"/>
            <w:tcBorders>
              <w:top w:val="single" w:sz="4" w:space="0" w:color="365F91"/>
              <w:bottom w:val="single" w:sz="4" w:space="0" w:color="365F91"/>
            </w:tcBorders>
            <w:shd w:val="clear" w:color="auto" w:fill="FFFFFF"/>
            <w:tcMar>
              <w:top w:w="0" w:type="dxa"/>
              <w:left w:w="85" w:type="dxa"/>
              <w:bottom w:w="0" w:type="dxa"/>
              <w:right w:w="85" w:type="dxa"/>
            </w:tcMar>
          </w:tcPr>
          <w:p w14:paraId="04216D06" w14:textId="77777777" w:rsidR="00387C28" w:rsidRPr="00BE78CA" w:rsidRDefault="00387C28" w:rsidP="00A37132">
            <w:pPr>
              <w:pStyle w:val="TableText"/>
              <w:spacing w:before="50" w:after="50"/>
              <w:jc w:val="right"/>
              <w:rPr>
                <w:rFonts w:cs="Calibri"/>
              </w:rPr>
            </w:pPr>
            <w:r w:rsidRPr="00BE78CA">
              <w:rPr>
                <w:rFonts w:eastAsia="Calibri" w:cs="Calibri"/>
              </w:rPr>
              <w:t>89.7</w:t>
            </w:r>
          </w:p>
        </w:tc>
      </w:tr>
      <w:tr w:rsidR="00387C28" w:rsidRPr="00BE78CA" w14:paraId="0BE416C7" w14:textId="77777777" w:rsidTr="00AC70F2">
        <w:trPr>
          <w:cantSplit/>
        </w:trPr>
        <w:tc>
          <w:tcPr>
            <w:tcW w:w="846" w:type="dxa"/>
            <w:tcBorders>
              <w:top w:val="single" w:sz="4" w:space="0" w:color="365F91"/>
              <w:left w:val="single" w:sz="4" w:space="0" w:color="FFFFFF"/>
              <w:bottom w:val="single" w:sz="4" w:space="0" w:color="365F91"/>
            </w:tcBorders>
            <w:shd w:val="clear" w:color="auto" w:fill="FFFFFF"/>
            <w:tcMar>
              <w:top w:w="0" w:type="dxa"/>
              <w:left w:w="85" w:type="dxa"/>
              <w:bottom w:w="0" w:type="dxa"/>
              <w:right w:w="85" w:type="dxa"/>
            </w:tcMar>
          </w:tcPr>
          <w:p w14:paraId="30E35B75" w14:textId="77777777" w:rsidR="00387C28" w:rsidRPr="00BE78CA" w:rsidRDefault="00387C28" w:rsidP="00A37132">
            <w:pPr>
              <w:pStyle w:val="TableText"/>
              <w:spacing w:before="50" w:after="50"/>
              <w:rPr>
                <w:rFonts w:cs="Calibri"/>
              </w:rPr>
            </w:pPr>
            <w:r w:rsidRPr="00BE78CA">
              <w:rPr>
                <w:rFonts w:eastAsia="Calibri" w:cs="Calibri"/>
              </w:rPr>
              <w:t>1.A.4.c</w:t>
            </w:r>
          </w:p>
        </w:tc>
        <w:tc>
          <w:tcPr>
            <w:tcW w:w="2410" w:type="dxa"/>
            <w:tcBorders>
              <w:top w:val="single" w:sz="4" w:space="0" w:color="365F91"/>
              <w:bottom w:val="single" w:sz="4" w:space="0" w:color="365F91"/>
            </w:tcBorders>
            <w:shd w:val="clear" w:color="auto" w:fill="FFFFFF"/>
            <w:tcMar>
              <w:top w:w="0" w:type="dxa"/>
              <w:left w:w="85" w:type="dxa"/>
              <w:bottom w:w="0" w:type="dxa"/>
              <w:right w:w="85" w:type="dxa"/>
            </w:tcMar>
          </w:tcPr>
          <w:p w14:paraId="1D3860A3" w14:textId="1B033989" w:rsidR="00387C28" w:rsidRPr="00BE78CA" w:rsidRDefault="00387C28" w:rsidP="00A37132">
            <w:pPr>
              <w:pStyle w:val="TableText"/>
              <w:spacing w:before="50" w:after="50"/>
              <w:rPr>
                <w:rFonts w:cs="Calibri"/>
              </w:rPr>
            </w:pPr>
            <w:r w:rsidRPr="00BE78CA">
              <w:rPr>
                <w:rFonts w:eastAsia="Calibri" w:cs="Calibri"/>
              </w:rPr>
              <w:t>Other Sectors – Agriculture/</w:t>
            </w:r>
            <w:r w:rsidR="00BA4A68" w:rsidRPr="00BE78CA">
              <w:rPr>
                <w:rFonts w:eastAsia="Calibri" w:cs="Calibri"/>
              </w:rPr>
              <w:t xml:space="preserve"> </w:t>
            </w:r>
            <w:r w:rsidRPr="00BE78CA">
              <w:rPr>
                <w:rFonts w:eastAsia="Calibri" w:cs="Calibri"/>
              </w:rPr>
              <w:t>Forestry/Fishing</w:t>
            </w:r>
          </w:p>
        </w:tc>
        <w:tc>
          <w:tcPr>
            <w:tcW w:w="538" w:type="dxa"/>
            <w:tcBorders>
              <w:top w:val="single" w:sz="4" w:space="0" w:color="365F91"/>
              <w:bottom w:val="single" w:sz="4" w:space="0" w:color="365F91"/>
            </w:tcBorders>
            <w:shd w:val="clear" w:color="auto" w:fill="FFFFFF"/>
            <w:tcMar>
              <w:top w:w="0" w:type="dxa"/>
              <w:left w:w="85" w:type="dxa"/>
              <w:bottom w:w="0" w:type="dxa"/>
              <w:right w:w="85" w:type="dxa"/>
            </w:tcMar>
          </w:tcPr>
          <w:p w14:paraId="16E00B7C" w14:textId="77777777" w:rsidR="00387C28" w:rsidRPr="00BE78CA" w:rsidRDefault="00387C28" w:rsidP="00A37132">
            <w:pPr>
              <w:pStyle w:val="TableText"/>
              <w:spacing w:before="50" w:after="50"/>
              <w:jc w:val="center"/>
              <w:rPr>
                <w:rFonts w:cs="Calibri"/>
              </w:rPr>
            </w:pPr>
            <w:r w:rsidRPr="00BE78CA">
              <w:rPr>
                <w:rFonts w:eastAsia="Calibri" w:cs="Calibri"/>
              </w:rPr>
              <w:t>CO</w:t>
            </w:r>
            <w:r w:rsidRPr="00BE78CA">
              <w:rPr>
                <w:rFonts w:eastAsia="Calibri" w:cs="Calibri"/>
                <w:vertAlign w:val="subscript"/>
              </w:rPr>
              <w:t>2</w:t>
            </w:r>
          </w:p>
        </w:tc>
        <w:tc>
          <w:tcPr>
            <w:tcW w:w="928" w:type="dxa"/>
            <w:tcBorders>
              <w:top w:val="single" w:sz="4" w:space="0" w:color="365F91"/>
              <w:bottom w:val="single" w:sz="4" w:space="0" w:color="365F91"/>
            </w:tcBorders>
            <w:shd w:val="clear" w:color="auto" w:fill="FFFFFF"/>
            <w:tcMar>
              <w:top w:w="0" w:type="dxa"/>
              <w:left w:w="85" w:type="dxa"/>
              <w:bottom w:w="0" w:type="dxa"/>
              <w:right w:w="85" w:type="dxa"/>
            </w:tcMar>
          </w:tcPr>
          <w:p w14:paraId="2C25455A" w14:textId="77777777" w:rsidR="00387C28" w:rsidRPr="00BE78CA" w:rsidRDefault="00387C28" w:rsidP="00A37132">
            <w:pPr>
              <w:pStyle w:val="TableText"/>
              <w:spacing w:before="50" w:after="50"/>
              <w:jc w:val="right"/>
              <w:rPr>
                <w:rFonts w:cs="Calibri"/>
              </w:rPr>
            </w:pPr>
            <w:r w:rsidRPr="00BE78CA">
              <w:rPr>
                <w:rFonts w:eastAsia="Calibri" w:cs="Calibri"/>
              </w:rPr>
              <w:t>1,072.3</w:t>
            </w:r>
          </w:p>
        </w:tc>
        <w:tc>
          <w:tcPr>
            <w:tcW w:w="928" w:type="dxa"/>
            <w:tcBorders>
              <w:top w:val="single" w:sz="4" w:space="0" w:color="365F91"/>
              <w:bottom w:val="single" w:sz="4" w:space="0" w:color="365F91"/>
            </w:tcBorders>
            <w:shd w:val="clear" w:color="auto" w:fill="FFFFFF"/>
            <w:tcMar>
              <w:top w:w="0" w:type="dxa"/>
              <w:left w:w="85" w:type="dxa"/>
              <w:bottom w:w="0" w:type="dxa"/>
              <w:right w:w="85" w:type="dxa"/>
            </w:tcMar>
          </w:tcPr>
          <w:p w14:paraId="2CE2551A" w14:textId="77777777" w:rsidR="00387C28" w:rsidRPr="00BE78CA" w:rsidRDefault="00387C28" w:rsidP="00A37132">
            <w:pPr>
              <w:pStyle w:val="TableText"/>
              <w:spacing w:before="50" w:after="50"/>
              <w:jc w:val="right"/>
              <w:rPr>
                <w:rFonts w:cs="Calibri"/>
              </w:rPr>
            </w:pPr>
            <w:r w:rsidRPr="00BE78CA">
              <w:rPr>
                <w:rFonts w:eastAsia="Calibri" w:cs="Calibri"/>
              </w:rPr>
              <w:t>1,154.3</w:t>
            </w:r>
          </w:p>
        </w:tc>
        <w:tc>
          <w:tcPr>
            <w:tcW w:w="937" w:type="dxa"/>
            <w:tcBorders>
              <w:top w:val="single" w:sz="4" w:space="0" w:color="365F91"/>
              <w:bottom w:val="single" w:sz="4" w:space="0" w:color="365F91"/>
            </w:tcBorders>
            <w:shd w:val="clear" w:color="auto" w:fill="FFFFFF"/>
            <w:tcMar>
              <w:top w:w="0" w:type="dxa"/>
              <w:left w:w="85" w:type="dxa"/>
              <w:bottom w:w="0" w:type="dxa"/>
              <w:right w:w="85" w:type="dxa"/>
            </w:tcMar>
          </w:tcPr>
          <w:p w14:paraId="01E7A442" w14:textId="77777777" w:rsidR="00387C28" w:rsidRPr="00BE78CA" w:rsidRDefault="00387C28" w:rsidP="00A37132">
            <w:pPr>
              <w:pStyle w:val="TableText"/>
              <w:spacing w:before="50" w:after="50"/>
              <w:jc w:val="right"/>
              <w:rPr>
                <w:rFonts w:cs="Calibri"/>
              </w:rPr>
            </w:pPr>
            <w:r w:rsidRPr="00BE78CA">
              <w:rPr>
                <w:rFonts w:eastAsia="Calibri" w:cs="Calibri"/>
              </w:rPr>
              <w:t>0.003</w:t>
            </w:r>
          </w:p>
        </w:tc>
        <w:tc>
          <w:tcPr>
            <w:tcW w:w="999" w:type="dxa"/>
            <w:tcBorders>
              <w:top w:val="single" w:sz="4" w:space="0" w:color="365F91"/>
              <w:bottom w:val="single" w:sz="4" w:space="0" w:color="365F91"/>
            </w:tcBorders>
            <w:shd w:val="clear" w:color="auto" w:fill="FFFFFF"/>
            <w:tcMar>
              <w:top w:w="0" w:type="dxa"/>
              <w:left w:w="85" w:type="dxa"/>
              <w:bottom w:w="0" w:type="dxa"/>
              <w:right w:w="85" w:type="dxa"/>
            </w:tcMar>
          </w:tcPr>
          <w:p w14:paraId="2E953B57" w14:textId="77777777" w:rsidR="00387C28" w:rsidRPr="00BE78CA" w:rsidRDefault="00387C28" w:rsidP="00A37132">
            <w:pPr>
              <w:pStyle w:val="TableText"/>
              <w:spacing w:before="50" w:after="50"/>
              <w:jc w:val="right"/>
              <w:rPr>
                <w:rFonts w:cs="Calibri"/>
              </w:rPr>
            </w:pPr>
            <w:r w:rsidRPr="00BE78CA">
              <w:rPr>
                <w:rFonts w:eastAsia="Calibri" w:cs="Calibri"/>
              </w:rPr>
              <w:t>0.5</w:t>
            </w:r>
          </w:p>
        </w:tc>
        <w:tc>
          <w:tcPr>
            <w:tcW w:w="909" w:type="dxa"/>
            <w:tcBorders>
              <w:top w:val="single" w:sz="4" w:space="0" w:color="365F91"/>
              <w:bottom w:val="single" w:sz="4" w:space="0" w:color="365F91"/>
            </w:tcBorders>
            <w:shd w:val="clear" w:color="auto" w:fill="FFFFFF"/>
            <w:tcMar>
              <w:top w:w="0" w:type="dxa"/>
              <w:left w:w="85" w:type="dxa"/>
              <w:bottom w:w="0" w:type="dxa"/>
              <w:right w:w="85" w:type="dxa"/>
            </w:tcMar>
          </w:tcPr>
          <w:p w14:paraId="2E123766" w14:textId="77777777" w:rsidR="00387C28" w:rsidRPr="00BE78CA" w:rsidRDefault="00387C28" w:rsidP="00A37132">
            <w:pPr>
              <w:pStyle w:val="TableText"/>
              <w:spacing w:before="50" w:after="50"/>
              <w:jc w:val="right"/>
              <w:rPr>
                <w:rFonts w:cs="Calibri"/>
              </w:rPr>
            </w:pPr>
            <w:r w:rsidRPr="00BE78CA">
              <w:rPr>
                <w:rFonts w:eastAsia="Calibri" w:cs="Calibri"/>
              </w:rPr>
              <w:t>90.2</w:t>
            </w:r>
          </w:p>
        </w:tc>
      </w:tr>
      <w:tr w:rsidR="00387C28" w:rsidRPr="00BE78CA" w14:paraId="2050FE8D" w14:textId="77777777" w:rsidTr="00AC70F2">
        <w:trPr>
          <w:cantSplit/>
        </w:trPr>
        <w:tc>
          <w:tcPr>
            <w:tcW w:w="846" w:type="dxa"/>
            <w:tcBorders>
              <w:top w:val="single" w:sz="4" w:space="0" w:color="365F91"/>
              <w:left w:val="single" w:sz="4" w:space="0" w:color="FFFFFF"/>
              <w:bottom w:val="single" w:sz="4" w:space="0" w:color="365F91"/>
            </w:tcBorders>
            <w:shd w:val="clear" w:color="auto" w:fill="FFFFFF"/>
            <w:tcMar>
              <w:top w:w="0" w:type="dxa"/>
              <w:left w:w="85" w:type="dxa"/>
              <w:bottom w:w="0" w:type="dxa"/>
              <w:right w:w="85" w:type="dxa"/>
            </w:tcMar>
          </w:tcPr>
          <w:p w14:paraId="484A9826" w14:textId="77777777" w:rsidR="00387C28" w:rsidRPr="00BE78CA" w:rsidRDefault="00387C28" w:rsidP="00A37132">
            <w:pPr>
              <w:pStyle w:val="TableText"/>
              <w:spacing w:before="50" w:after="50"/>
              <w:rPr>
                <w:rFonts w:cs="Calibri"/>
              </w:rPr>
            </w:pPr>
            <w:r w:rsidRPr="00BE78CA">
              <w:rPr>
                <w:rFonts w:eastAsia="Calibri" w:cs="Calibri"/>
              </w:rPr>
              <w:t>1.A.3.b</w:t>
            </w:r>
          </w:p>
        </w:tc>
        <w:tc>
          <w:tcPr>
            <w:tcW w:w="2410" w:type="dxa"/>
            <w:tcBorders>
              <w:top w:val="single" w:sz="4" w:space="0" w:color="365F91"/>
              <w:bottom w:val="single" w:sz="4" w:space="0" w:color="365F91"/>
            </w:tcBorders>
            <w:shd w:val="clear" w:color="auto" w:fill="FFFFFF"/>
            <w:tcMar>
              <w:top w:w="0" w:type="dxa"/>
              <w:left w:w="85" w:type="dxa"/>
              <w:bottom w:w="0" w:type="dxa"/>
              <w:right w:w="85" w:type="dxa"/>
            </w:tcMar>
          </w:tcPr>
          <w:p w14:paraId="70BBCB0F" w14:textId="77777777" w:rsidR="00387C28" w:rsidRPr="00BE78CA" w:rsidRDefault="00387C28" w:rsidP="00A37132">
            <w:pPr>
              <w:pStyle w:val="TableText"/>
              <w:spacing w:before="50" w:after="50"/>
              <w:rPr>
                <w:rFonts w:cs="Calibri"/>
              </w:rPr>
            </w:pPr>
            <w:r w:rsidRPr="00BE78CA">
              <w:rPr>
                <w:rFonts w:eastAsia="Calibri" w:cs="Calibri"/>
              </w:rPr>
              <w:t>Transport – Road Transportation</w:t>
            </w:r>
          </w:p>
        </w:tc>
        <w:tc>
          <w:tcPr>
            <w:tcW w:w="538" w:type="dxa"/>
            <w:tcBorders>
              <w:top w:val="single" w:sz="4" w:space="0" w:color="365F91"/>
              <w:bottom w:val="single" w:sz="4" w:space="0" w:color="365F91"/>
            </w:tcBorders>
            <w:shd w:val="clear" w:color="auto" w:fill="FFFFFF"/>
            <w:tcMar>
              <w:top w:w="0" w:type="dxa"/>
              <w:left w:w="85" w:type="dxa"/>
              <w:bottom w:w="0" w:type="dxa"/>
              <w:right w:w="85" w:type="dxa"/>
            </w:tcMar>
          </w:tcPr>
          <w:p w14:paraId="6F69F5CF" w14:textId="77777777" w:rsidR="00387C28" w:rsidRPr="00BE78CA" w:rsidRDefault="00387C28" w:rsidP="00A37132">
            <w:pPr>
              <w:pStyle w:val="TableText"/>
              <w:spacing w:before="50" w:after="50"/>
              <w:jc w:val="center"/>
              <w:rPr>
                <w:rFonts w:cs="Calibri"/>
              </w:rPr>
            </w:pPr>
            <w:r w:rsidRPr="00BE78CA">
              <w:rPr>
                <w:rFonts w:eastAsia="Calibri" w:cs="Calibri"/>
              </w:rPr>
              <w:t>CO</w:t>
            </w:r>
            <w:r w:rsidRPr="00BE78CA">
              <w:rPr>
                <w:rFonts w:eastAsia="Calibri" w:cs="Calibri"/>
                <w:vertAlign w:val="subscript"/>
              </w:rPr>
              <w:t>2</w:t>
            </w:r>
          </w:p>
        </w:tc>
        <w:tc>
          <w:tcPr>
            <w:tcW w:w="928" w:type="dxa"/>
            <w:tcBorders>
              <w:top w:val="single" w:sz="4" w:space="0" w:color="365F91"/>
              <w:bottom w:val="single" w:sz="4" w:space="0" w:color="365F91"/>
            </w:tcBorders>
            <w:shd w:val="clear" w:color="auto" w:fill="FFFFFF"/>
            <w:tcMar>
              <w:top w:w="0" w:type="dxa"/>
              <w:left w:w="85" w:type="dxa"/>
              <w:bottom w:w="0" w:type="dxa"/>
              <w:right w:w="85" w:type="dxa"/>
            </w:tcMar>
          </w:tcPr>
          <w:p w14:paraId="4F07EDAD" w14:textId="77777777" w:rsidR="00387C28" w:rsidRPr="00BE78CA" w:rsidRDefault="00387C28" w:rsidP="00A37132">
            <w:pPr>
              <w:pStyle w:val="TableText"/>
              <w:spacing w:before="50" w:after="50"/>
              <w:jc w:val="right"/>
              <w:rPr>
                <w:rFonts w:cs="Calibri"/>
              </w:rPr>
            </w:pPr>
            <w:r w:rsidRPr="00BE78CA">
              <w:rPr>
                <w:rFonts w:eastAsia="Calibri" w:cs="Calibri"/>
              </w:rPr>
              <w:t>140.8</w:t>
            </w:r>
          </w:p>
        </w:tc>
        <w:tc>
          <w:tcPr>
            <w:tcW w:w="928" w:type="dxa"/>
            <w:tcBorders>
              <w:top w:val="single" w:sz="4" w:space="0" w:color="365F91"/>
              <w:bottom w:val="single" w:sz="4" w:space="0" w:color="365F91"/>
            </w:tcBorders>
            <w:shd w:val="clear" w:color="auto" w:fill="FFFFFF"/>
            <w:tcMar>
              <w:top w:w="0" w:type="dxa"/>
              <w:left w:w="85" w:type="dxa"/>
              <w:bottom w:w="0" w:type="dxa"/>
              <w:right w:w="85" w:type="dxa"/>
            </w:tcMar>
          </w:tcPr>
          <w:p w14:paraId="7E35D9D7" w14:textId="77777777" w:rsidR="00387C28" w:rsidRPr="00BE78CA" w:rsidRDefault="00387C28" w:rsidP="00A37132">
            <w:pPr>
              <w:pStyle w:val="TableText"/>
              <w:spacing w:before="50" w:after="50"/>
              <w:jc w:val="right"/>
              <w:rPr>
                <w:rFonts w:cs="Calibri"/>
              </w:rPr>
            </w:pPr>
            <w:r w:rsidRPr="00BE78CA">
              <w:rPr>
                <w:rFonts w:eastAsia="Calibri" w:cs="Calibri"/>
              </w:rPr>
              <w:t>0.0</w:t>
            </w:r>
          </w:p>
        </w:tc>
        <w:tc>
          <w:tcPr>
            <w:tcW w:w="937" w:type="dxa"/>
            <w:tcBorders>
              <w:top w:val="single" w:sz="4" w:space="0" w:color="365F91"/>
              <w:bottom w:val="single" w:sz="4" w:space="0" w:color="365F91"/>
            </w:tcBorders>
            <w:shd w:val="clear" w:color="auto" w:fill="FFFFFF"/>
            <w:tcMar>
              <w:top w:w="0" w:type="dxa"/>
              <w:left w:w="85" w:type="dxa"/>
              <w:bottom w:w="0" w:type="dxa"/>
              <w:right w:w="85" w:type="dxa"/>
            </w:tcMar>
          </w:tcPr>
          <w:p w14:paraId="72F2FEB2" w14:textId="77777777" w:rsidR="00387C28" w:rsidRPr="00BE78CA" w:rsidRDefault="00387C28" w:rsidP="00A37132">
            <w:pPr>
              <w:pStyle w:val="TableText"/>
              <w:spacing w:before="50" w:after="50"/>
              <w:jc w:val="right"/>
              <w:rPr>
                <w:rFonts w:cs="Calibri"/>
              </w:rPr>
            </w:pPr>
            <w:r w:rsidRPr="00BE78CA">
              <w:rPr>
                <w:rFonts w:eastAsia="Calibri" w:cs="Calibri"/>
              </w:rPr>
              <w:t>0.003</w:t>
            </w:r>
          </w:p>
        </w:tc>
        <w:tc>
          <w:tcPr>
            <w:tcW w:w="999" w:type="dxa"/>
            <w:tcBorders>
              <w:top w:val="single" w:sz="4" w:space="0" w:color="365F91"/>
              <w:bottom w:val="single" w:sz="4" w:space="0" w:color="365F91"/>
            </w:tcBorders>
            <w:shd w:val="clear" w:color="auto" w:fill="FFFFFF"/>
            <w:tcMar>
              <w:top w:w="0" w:type="dxa"/>
              <w:left w:w="85" w:type="dxa"/>
              <w:bottom w:w="0" w:type="dxa"/>
              <w:right w:w="85" w:type="dxa"/>
            </w:tcMar>
          </w:tcPr>
          <w:p w14:paraId="6F21DA96" w14:textId="77777777" w:rsidR="00387C28" w:rsidRPr="00BE78CA" w:rsidRDefault="00387C28" w:rsidP="00A37132">
            <w:pPr>
              <w:pStyle w:val="TableText"/>
              <w:spacing w:before="50" w:after="50"/>
              <w:jc w:val="right"/>
              <w:rPr>
                <w:rFonts w:cs="Calibri"/>
              </w:rPr>
            </w:pPr>
            <w:r w:rsidRPr="00BE78CA">
              <w:rPr>
                <w:rFonts w:eastAsia="Calibri" w:cs="Calibri"/>
              </w:rPr>
              <w:t>0.4</w:t>
            </w:r>
          </w:p>
        </w:tc>
        <w:tc>
          <w:tcPr>
            <w:tcW w:w="909" w:type="dxa"/>
            <w:tcBorders>
              <w:top w:val="single" w:sz="4" w:space="0" w:color="365F91"/>
              <w:bottom w:val="single" w:sz="4" w:space="0" w:color="365F91"/>
            </w:tcBorders>
            <w:shd w:val="clear" w:color="auto" w:fill="FFFFFF"/>
            <w:tcMar>
              <w:top w:w="0" w:type="dxa"/>
              <w:left w:w="85" w:type="dxa"/>
              <w:bottom w:w="0" w:type="dxa"/>
              <w:right w:w="85" w:type="dxa"/>
            </w:tcMar>
          </w:tcPr>
          <w:p w14:paraId="00CBAA4D" w14:textId="77777777" w:rsidR="00387C28" w:rsidRPr="00BE78CA" w:rsidRDefault="00387C28" w:rsidP="00A37132">
            <w:pPr>
              <w:pStyle w:val="TableText"/>
              <w:spacing w:before="50" w:after="50"/>
              <w:jc w:val="right"/>
              <w:rPr>
                <w:rFonts w:cs="Calibri"/>
              </w:rPr>
            </w:pPr>
            <w:r w:rsidRPr="00BE78CA">
              <w:rPr>
                <w:rFonts w:eastAsia="Calibri" w:cs="Calibri"/>
              </w:rPr>
              <w:t>90.6</w:t>
            </w:r>
          </w:p>
        </w:tc>
      </w:tr>
      <w:tr w:rsidR="00387C28" w:rsidRPr="00BE78CA" w14:paraId="09AB51E7" w14:textId="77777777" w:rsidTr="00AC70F2">
        <w:trPr>
          <w:cantSplit/>
        </w:trPr>
        <w:tc>
          <w:tcPr>
            <w:tcW w:w="846" w:type="dxa"/>
            <w:tcBorders>
              <w:top w:val="single" w:sz="4" w:space="0" w:color="365F91"/>
              <w:left w:val="single" w:sz="4" w:space="0" w:color="FFFFFF"/>
              <w:bottom w:val="single" w:sz="4" w:space="0" w:color="365F91"/>
            </w:tcBorders>
            <w:shd w:val="clear" w:color="auto" w:fill="FFFFFF"/>
            <w:tcMar>
              <w:top w:w="0" w:type="dxa"/>
              <w:left w:w="85" w:type="dxa"/>
              <w:bottom w:w="0" w:type="dxa"/>
              <w:right w:w="85" w:type="dxa"/>
            </w:tcMar>
          </w:tcPr>
          <w:p w14:paraId="5E423200" w14:textId="77777777" w:rsidR="00387C28" w:rsidRPr="00BE78CA" w:rsidRDefault="00387C28" w:rsidP="00A37132">
            <w:pPr>
              <w:pStyle w:val="TableText"/>
              <w:spacing w:before="50" w:after="50"/>
              <w:rPr>
                <w:rFonts w:cs="Calibri"/>
              </w:rPr>
            </w:pPr>
            <w:r w:rsidRPr="00BE78CA">
              <w:rPr>
                <w:rFonts w:eastAsia="Calibri" w:cs="Calibri"/>
              </w:rPr>
              <w:t>1.A.4.a</w:t>
            </w:r>
          </w:p>
        </w:tc>
        <w:tc>
          <w:tcPr>
            <w:tcW w:w="2410" w:type="dxa"/>
            <w:tcBorders>
              <w:top w:val="single" w:sz="4" w:space="0" w:color="365F91"/>
              <w:bottom w:val="single" w:sz="4" w:space="0" w:color="365F91"/>
            </w:tcBorders>
            <w:shd w:val="clear" w:color="auto" w:fill="FFFFFF"/>
            <w:tcMar>
              <w:top w:w="0" w:type="dxa"/>
              <w:left w:w="85" w:type="dxa"/>
              <w:bottom w:w="0" w:type="dxa"/>
              <w:right w:w="85" w:type="dxa"/>
            </w:tcMar>
          </w:tcPr>
          <w:p w14:paraId="2C8519FB" w14:textId="450CE6E8" w:rsidR="00387C28" w:rsidRPr="00BE78CA" w:rsidRDefault="00387C28" w:rsidP="00A37132">
            <w:pPr>
              <w:pStyle w:val="TableText"/>
              <w:spacing w:before="50" w:after="50"/>
              <w:rPr>
                <w:rFonts w:cs="Calibri"/>
              </w:rPr>
            </w:pPr>
            <w:r w:rsidRPr="00BE78CA">
              <w:rPr>
                <w:rFonts w:eastAsia="Calibri" w:cs="Calibri"/>
              </w:rPr>
              <w:t>Other Sectors – Commercial/</w:t>
            </w:r>
            <w:r w:rsidR="00BA4A68" w:rsidRPr="00BE78CA">
              <w:rPr>
                <w:rFonts w:eastAsia="Calibri" w:cs="Calibri"/>
              </w:rPr>
              <w:t xml:space="preserve"> </w:t>
            </w:r>
            <w:r w:rsidRPr="00BE78CA">
              <w:rPr>
                <w:rFonts w:eastAsia="Calibri" w:cs="Calibri"/>
              </w:rPr>
              <w:t>Institutional</w:t>
            </w:r>
          </w:p>
        </w:tc>
        <w:tc>
          <w:tcPr>
            <w:tcW w:w="538" w:type="dxa"/>
            <w:tcBorders>
              <w:top w:val="single" w:sz="4" w:space="0" w:color="365F91"/>
              <w:bottom w:val="single" w:sz="4" w:space="0" w:color="365F91"/>
            </w:tcBorders>
            <w:shd w:val="clear" w:color="auto" w:fill="FFFFFF"/>
            <w:tcMar>
              <w:top w:w="0" w:type="dxa"/>
              <w:left w:w="85" w:type="dxa"/>
              <w:bottom w:w="0" w:type="dxa"/>
              <w:right w:w="85" w:type="dxa"/>
            </w:tcMar>
          </w:tcPr>
          <w:p w14:paraId="09428A9A" w14:textId="77777777" w:rsidR="00387C28" w:rsidRPr="00BE78CA" w:rsidRDefault="00387C28" w:rsidP="00A37132">
            <w:pPr>
              <w:pStyle w:val="TableText"/>
              <w:spacing w:before="50" w:after="50"/>
              <w:jc w:val="center"/>
              <w:rPr>
                <w:rFonts w:cs="Calibri"/>
              </w:rPr>
            </w:pPr>
            <w:r w:rsidRPr="00BE78CA">
              <w:rPr>
                <w:rFonts w:eastAsia="Calibri" w:cs="Calibri"/>
              </w:rPr>
              <w:t>CO</w:t>
            </w:r>
            <w:r w:rsidRPr="00BE78CA">
              <w:rPr>
                <w:rFonts w:eastAsia="Calibri" w:cs="Calibri"/>
                <w:vertAlign w:val="subscript"/>
              </w:rPr>
              <w:t>2</w:t>
            </w:r>
          </w:p>
        </w:tc>
        <w:tc>
          <w:tcPr>
            <w:tcW w:w="928" w:type="dxa"/>
            <w:tcBorders>
              <w:top w:val="single" w:sz="4" w:space="0" w:color="365F91"/>
              <w:bottom w:val="single" w:sz="4" w:space="0" w:color="365F91"/>
            </w:tcBorders>
            <w:shd w:val="clear" w:color="auto" w:fill="FFFFFF"/>
            <w:tcMar>
              <w:top w:w="0" w:type="dxa"/>
              <w:left w:w="85" w:type="dxa"/>
              <w:bottom w:w="0" w:type="dxa"/>
              <w:right w:w="85" w:type="dxa"/>
            </w:tcMar>
          </w:tcPr>
          <w:p w14:paraId="58CBF64F" w14:textId="77777777" w:rsidR="00387C28" w:rsidRPr="00BE78CA" w:rsidRDefault="00387C28" w:rsidP="00A37132">
            <w:pPr>
              <w:pStyle w:val="TableText"/>
              <w:spacing w:before="50" w:after="50"/>
              <w:jc w:val="right"/>
              <w:rPr>
                <w:rFonts w:cs="Calibri"/>
              </w:rPr>
            </w:pPr>
            <w:r w:rsidRPr="00BE78CA">
              <w:rPr>
                <w:rFonts w:eastAsia="Calibri" w:cs="Calibri"/>
              </w:rPr>
              <w:t>236.1</w:t>
            </w:r>
          </w:p>
        </w:tc>
        <w:tc>
          <w:tcPr>
            <w:tcW w:w="928" w:type="dxa"/>
            <w:tcBorders>
              <w:top w:val="single" w:sz="4" w:space="0" w:color="365F91"/>
              <w:bottom w:val="single" w:sz="4" w:space="0" w:color="365F91"/>
            </w:tcBorders>
            <w:shd w:val="clear" w:color="auto" w:fill="FFFFFF"/>
            <w:tcMar>
              <w:top w:w="0" w:type="dxa"/>
              <w:left w:w="85" w:type="dxa"/>
              <w:bottom w:w="0" w:type="dxa"/>
              <w:right w:w="85" w:type="dxa"/>
            </w:tcMar>
          </w:tcPr>
          <w:p w14:paraId="23B50FAA" w14:textId="77777777" w:rsidR="00387C28" w:rsidRPr="00BE78CA" w:rsidRDefault="00387C28" w:rsidP="00A37132">
            <w:pPr>
              <w:pStyle w:val="TableText"/>
              <w:spacing w:before="50" w:after="50"/>
              <w:jc w:val="right"/>
              <w:rPr>
                <w:rFonts w:cs="Calibri"/>
              </w:rPr>
            </w:pPr>
            <w:r w:rsidRPr="00BE78CA">
              <w:rPr>
                <w:rFonts w:eastAsia="Calibri" w:cs="Calibri"/>
              </w:rPr>
              <w:t>461.7</w:t>
            </w:r>
          </w:p>
        </w:tc>
        <w:tc>
          <w:tcPr>
            <w:tcW w:w="937" w:type="dxa"/>
            <w:tcBorders>
              <w:top w:val="single" w:sz="4" w:space="0" w:color="365F91"/>
              <w:bottom w:val="single" w:sz="4" w:space="0" w:color="365F91"/>
            </w:tcBorders>
            <w:shd w:val="clear" w:color="auto" w:fill="FFFFFF"/>
            <w:tcMar>
              <w:top w:w="0" w:type="dxa"/>
              <w:left w:w="85" w:type="dxa"/>
              <w:bottom w:w="0" w:type="dxa"/>
              <w:right w:w="85" w:type="dxa"/>
            </w:tcMar>
          </w:tcPr>
          <w:p w14:paraId="7426B3DD" w14:textId="77777777" w:rsidR="00387C28" w:rsidRPr="00BE78CA" w:rsidRDefault="00387C28" w:rsidP="00A37132">
            <w:pPr>
              <w:pStyle w:val="TableText"/>
              <w:spacing w:before="50" w:after="50"/>
              <w:jc w:val="right"/>
              <w:rPr>
                <w:rFonts w:cs="Calibri"/>
              </w:rPr>
            </w:pPr>
            <w:r w:rsidRPr="00BE78CA">
              <w:rPr>
                <w:rFonts w:eastAsia="Calibri" w:cs="Calibri"/>
              </w:rPr>
              <w:t>0.003</w:t>
            </w:r>
          </w:p>
        </w:tc>
        <w:tc>
          <w:tcPr>
            <w:tcW w:w="999" w:type="dxa"/>
            <w:tcBorders>
              <w:top w:val="single" w:sz="4" w:space="0" w:color="365F91"/>
              <w:bottom w:val="single" w:sz="4" w:space="0" w:color="365F91"/>
            </w:tcBorders>
            <w:shd w:val="clear" w:color="auto" w:fill="FFFFFF"/>
            <w:tcMar>
              <w:top w:w="0" w:type="dxa"/>
              <w:left w:w="85" w:type="dxa"/>
              <w:bottom w:w="0" w:type="dxa"/>
              <w:right w:w="85" w:type="dxa"/>
            </w:tcMar>
          </w:tcPr>
          <w:p w14:paraId="0BCF0D97" w14:textId="77777777" w:rsidR="00387C28" w:rsidRPr="00BE78CA" w:rsidRDefault="00387C28" w:rsidP="00A37132">
            <w:pPr>
              <w:pStyle w:val="TableText"/>
              <w:spacing w:before="50" w:after="50"/>
              <w:jc w:val="right"/>
              <w:rPr>
                <w:rFonts w:cs="Calibri"/>
              </w:rPr>
            </w:pPr>
            <w:r w:rsidRPr="00BE78CA">
              <w:rPr>
                <w:rFonts w:eastAsia="Calibri" w:cs="Calibri"/>
              </w:rPr>
              <w:t>0.4</w:t>
            </w:r>
          </w:p>
        </w:tc>
        <w:tc>
          <w:tcPr>
            <w:tcW w:w="909" w:type="dxa"/>
            <w:tcBorders>
              <w:top w:val="single" w:sz="4" w:space="0" w:color="365F91"/>
              <w:bottom w:val="single" w:sz="4" w:space="0" w:color="365F91"/>
            </w:tcBorders>
            <w:shd w:val="clear" w:color="auto" w:fill="FFFFFF"/>
            <w:tcMar>
              <w:top w:w="0" w:type="dxa"/>
              <w:left w:w="85" w:type="dxa"/>
              <w:bottom w:w="0" w:type="dxa"/>
              <w:right w:w="85" w:type="dxa"/>
            </w:tcMar>
          </w:tcPr>
          <w:p w14:paraId="21490757" w14:textId="77777777" w:rsidR="00387C28" w:rsidRPr="00BE78CA" w:rsidRDefault="00387C28" w:rsidP="00A37132">
            <w:pPr>
              <w:pStyle w:val="TableText"/>
              <w:spacing w:before="50" w:after="50"/>
              <w:jc w:val="right"/>
              <w:rPr>
                <w:rFonts w:cs="Calibri"/>
              </w:rPr>
            </w:pPr>
            <w:r w:rsidRPr="00BE78CA">
              <w:rPr>
                <w:rFonts w:eastAsia="Calibri" w:cs="Calibri"/>
              </w:rPr>
              <w:t>91.0</w:t>
            </w:r>
          </w:p>
        </w:tc>
      </w:tr>
      <w:tr w:rsidR="00387C28" w:rsidRPr="00BE78CA" w14:paraId="415207ED" w14:textId="77777777" w:rsidTr="00AC70F2">
        <w:trPr>
          <w:cantSplit/>
        </w:trPr>
        <w:tc>
          <w:tcPr>
            <w:tcW w:w="846" w:type="dxa"/>
            <w:tcBorders>
              <w:top w:val="single" w:sz="4" w:space="0" w:color="365F91"/>
              <w:left w:val="single" w:sz="4" w:space="0" w:color="FFFFFF"/>
              <w:bottom w:val="single" w:sz="4" w:space="0" w:color="365F91"/>
            </w:tcBorders>
            <w:shd w:val="clear" w:color="auto" w:fill="FFFFFF"/>
            <w:tcMar>
              <w:top w:w="0" w:type="dxa"/>
              <w:left w:w="85" w:type="dxa"/>
              <w:bottom w:w="0" w:type="dxa"/>
              <w:right w:w="85" w:type="dxa"/>
            </w:tcMar>
          </w:tcPr>
          <w:p w14:paraId="0C71AE5D" w14:textId="77777777" w:rsidR="00387C28" w:rsidRPr="00BE78CA" w:rsidRDefault="00387C28" w:rsidP="00A37132">
            <w:pPr>
              <w:pStyle w:val="TableText"/>
              <w:spacing w:before="50" w:after="50"/>
              <w:rPr>
                <w:rFonts w:cs="Calibri"/>
              </w:rPr>
            </w:pPr>
            <w:r w:rsidRPr="00BE78CA">
              <w:rPr>
                <w:rFonts w:eastAsia="Calibri" w:cs="Calibri"/>
              </w:rPr>
              <w:t>3.D.1.6</w:t>
            </w:r>
          </w:p>
        </w:tc>
        <w:tc>
          <w:tcPr>
            <w:tcW w:w="2410" w:type="dxa"/>
            <w:tcBorders>
              <w:top w:val="single" w:sz="4" w:space="0" w:color="365F91"/>
              <w:bottom w:val="single" w:sz="4" w:space="0" w:color="365F91"/>
            </w:tcBorders>
            <w:shd w:val="clear" w:color="auto" w:fill="FFFFFF"/>
            <w:tcMar>
              <w:top w:w="0" w:type="dxa"/>
              <w:left w:w="85" w:type="dxa"/>
              <w:bottom w:w="0" w:type="dxa"/>
              <w:right w:w="85" w:type="dxa"/>
            </w:tcMar>
          </w:tcPr>
          <w:p w14:paraId="003AD60B" w14:textId="77777777" w:rsidR="00387C28" w:rsidRPr="00BE78CA" w:rsidRDefault="00387C28" w:rsidP="00A37132">
            <w:pPr>
              <w:pStyle w:val="TableText"/>
              <w:spacing w:before="50" w:after="50"/>
              <w:rPr>
                <w:rFonts w:cs="Calibri"/>
              </w:rPr>
            </w:pPr>
            <w:r w:rsidRPr="00BE78CA">
              <w:rPr>
                <w:rFonts w:eastAsia="Calibri" w:cs="Calibri"/>
              </w:rPr>
              <w:t>Direct N</w:t>
            </w:r>
            <w:r w:rsidRPr="00BE78CA">
              <w:rPr>
                <w:rFonts w:eastAsia="Calibri" w:cs="Calibri"/>
                <w:vertAlign w:val="subscript"/>
              </w:rPr>
              <w:t>2</w:t>
            </w:r>
            <w:r w:rsidRPr="00BE78CA">
              <w:rPr>
                <w:rFonts w:eastAsia="Calibri" w:cs="Calibri"/>
              </w:rPr>
              <w:t>O Emissions from Managed Soils – Cultivation of Organic Soils</w:t>
            </w:r>
          </w:p>
        </w:tc>
        <w:tc>
          <w:tcPr>
            <w:tcW w:w="538" w:type="dxa"/>
            <w:tcBorders>
              <w:top w:val="single" w:sz="4" w:space="0" w:color="365F91"/>
              <w:bottom w:val="single" w:sz="4" w:space="0" w:color="365F91"/>
            </w:tcBorders>
            <w:shd w:val="clear" w:color="auto" w:fill="FFFFFF"/>
            <w:tcMar>
              <w:top w:w="0" w:type="dxa"/>
              <w:left w:w="85" w:type="dxa"/>
              <w:bottom w:w="0" w:type="dxa"/>
              <w:right w:w="85" w:type="dxa"/>
            </w:tcMar>
          </w:tcPr>
          <w:p w14:paraId="6C321692" w14:textId="77777777" w:rsidR="00387C28" w:rsidRPr="00BE78CA" w:rsidRDefault="00387C28" w:rsidP="00A37132">
            <w:pPr>
              <w:pStyle w:val="TableText"/>
              <w:spacing w:before="50" w:after="50"/>
              <w:jc w:val="center"/>
              <w:rPr>
                <w:rFonts w:cs="Calibri"/>
              </w:rPr>
            </w:pPr>
            <w:r w:rsidRPr="00BE78CA">
              <w:rPr>
                <w:rFonts w:eastAsia="Calibri" w:cs="Calibri"/>
              </w:rPr>
              <w:t>N</w:t>
            </w:r>
            <w:r w:rsidRPr="00BE78CA">
              <w:rPr>
                <w:rFonts w:eastAsia="Calibri" w:cs="Calibri"/>
                <w:vertAlign w:val="subscript"/>
              </w:rPr>
              <w:t>2</w:t>
            </w:r>
            <w:r w:rsidRPr="00BE78CA">
              <w:rPr>
                <w:rFonts w:eastAsia="Calibri" w:cs="Calibri"/>
              </w:rPr>
              <w:t>O</w:t>
            </w:r>
          </w:p>
        </w:tc>
        <w:tc>
          <w:tcPr>
            <w:tcW w:w="928" w:type="dxa"/>
            <w:tcBorders>
              <w:top w:val="single" w:sz="4" w:space="0" w:color="365F91"/>
              <w:bottom w:val="single" w:sz="4" w:space="0" w:color="365F91"/>
            </w:tcBorders>
            <w:shd w:val="clear" w:color="auto" w:fill="FFFFFF"/>
            <w:tcMar>
              <w:top w:w="0" w:type="dxa"/>
              <w:left w:w="85" w:type="dxa"/>
              <w:bottom w:w="0" w:type="dxa"/>
              <w:right w:w="85" w:type="dxa"/>
            </w:tcMar>
          </w:tcPr>
          <w:p w14:paraId="5898D02E" w14:textId="77777777" w:rsidR="00387C28" w:rsidRPr="00BE78CA" w:rsidRDefault="00387C28" w:rsidP="00A37132">
            <w:pPr>
              <w:pStyle w:val="TableText"/>
              <w:spacing w:before="50" w:after="50"/>
              <w:jc w:val="right"/>
              <w:rPr>
                <w:rFonts w:cs="Calibri"/>
              </w:rPr>
            </w:pPr>
            <w:r w:rsidRPr="00BE78CA">
              <w:rPr>
                <w:rFonts w:eastAsia="Calibri" w:cs="Calibri"/>
              </w:rPr>
              <w:t>643.8</w:t>
            </w:r>
          </w:p>
        </w:tc>
        <w:tc>
          <w:tcPr>
            <w:tcW w:w="928" w:type="dxa"/>
            <w:tcBorders>
              <w:top w:val="single" w:sz="4" w:space="0" w:color="365F91"/>
              <w:bottom w:val="single" w:sz="4" w:space="0" w:color="365F91"/>
            </w:tcBorders>
            <w:shd w:val="clear" w:color="auto" w:fill="FFFFFF"/>
            <w:tcMar>
              <w:top w:w="0" w:type="dxa"/>
              <w:left w:w="85" w:type="dxa"/>
              <w:bottom w:w="0" w:type="dxa"/>
              <w:right w:w="85" w:type="dxa"/>
            </w:tcMar>
          </w:tcPr>
          <w:p w14:paraId="79776793" w14:textId="77777777" w:rsidR="00387C28" w:rsidRPr="00BE78CA" w:rsidRDefault="00387C28" w:rsidP="00A37132">
            <w:pPr>
              <w:pStyle w:val="TableText"/>
              <w:spacing w:before="50" w:after="50"/>
              <w:jc w:val="right"/>
              <w:rPr>
                <w:rFonts w:cs="Calibri"/>
              </w:rPr>
            </w:pPr>
            <w:r w:rsidRPr="00BE78CA">
              <w:rPr>
                <w:rFonts w:eastAsia="Calibri" w:cs="Calibri"/>
              </w:rPr>
              <w:t>653.0</w:t>
            </w:r>
          </w:p>
        </w:tc>
        <w:tc>
          <w:tcPr>
            <w:tcW w:w="937" w:type="dxa"/>
            <w:tcBorders>
              <w:top w:val="single" w:sz="4" w:space="0" w:color="365F91"/>
              <w:bottom w:val="single" w:sz="4" w:space="0" w:color="365F91"/>
            </w:tcBorders>
            <w:shd w:val="clear" w:color="auto" w:fill="FFFFFF"/>
            <w:tcMar>
              <w:top w:w="0" w:type="dxa"/>
              <w:left w:w="85" w:type="dxa"/>
              <w:bottom w:w="0" w:type="dxa"/>
              <w:right w:w="85" w:type="dxa"/>
            </w:tcMar>
          </w:tcPr>
          <w:p w14:paraId="74CD5DB2" w14:textId="77777777" w:rsidR="00387C28" w:rsidRPr="00BE78CA" w:rsidRDefault="00387C28" w:rsidP="00A37132">
            <w:pPr>
              <w:pStyle w:val="TableText"/>
              <w:spacing w:before="50" w:after="50"/>
              <w:jc w:val="right"/>
              <w:rPr>
                <w:rFonts w:cs="Calibri"/>
              </w:rPr>
            </w:pPr>
            <w:r w:rsidRPr="00BE78CA">
              <w:rPr>
                <w:rFonts w:eastAsia="Calibri" w:cs="Calibri"/>
              </w:rPr>
              <w:t>0.002</w:t>
            </w:r>
          </w:p>
        </w:tc>
        <w:tc>
          <w:tcPr>
            <w:tcW w:w="999" w:type="dxa"/>
            <w:tcBorders>
              <w:top w:val="single" w:sz="4" w:space="0" w:color="365F91"/>
              <w:bottom w:val="single" w:sz="4" w:space="0" w:color="365F91"/>
            </w:tcBorders>
            <w:shd w:val="clear" w:color="auto" w:fill="FFFFFF"/>
            <w:tcMar>
              <w:top w:w="0" w:type="dxa"/>
              <w:left w:w="85" w:type="dxa"/>
              <w:bottom w:w="0" w:type="dxa"/>
              <w:right w:w="85" w:type="dxa"/>
            </w:tcMar>
          </w:tcPr>
          <w:p w14:paraId="05907A11" w14:textId="77777777" w:rsidR="00387C28" w:rsidRPr="00BE78CA" w:rsidRDefault="00387C28" w:rsidP="00A37132">
            <w:pPr>
              <w:pStyle w:val="TableText"/>
              <w:spacing w:before="50" w:after="50"/>
              <w:jc w:val="right"/>
              <w:rPr>
                <w:rFonts w:cs="Calibri"/>
              </w:rPr>
            </w:pPr>
            <w:r w:rsidRPr="00BE78CA">
              <w:rPr>
                <w:rFonts w:eastAsia="Calibri" w:cs="Calibri"/>
              </w:rPr>
              <w:t>0.4</w:t>
            </w:r>
          </w:p>
        </w:tc>
        <w:tc>
          <w:tcPr>
            <w:tcW w:w="909" w:type="dxa"/>
            <w:tcBorders>
              <w:top w:val="single" w:sz="4" w:space="0" w:color="365F91"/>
              <w:bottom w:val="single" w:sz="4" w:space="0" w:color="365F91"/>
            </w:tcBorders>
            <w:shd w:val="clear" w:color="auto" w:fill="FFFFFF"/>
            <w:tcMar>
              <w:top w:w="0" w:type="dxa"/>
              <w:left w:w="85" w:type="dxa"/>
              <w:bottom w:w="0" w:type="dxa"/>
              <w:right w:w="85" w:type="dxa"/>
            </w:tcMar>
          </w:tcPr>
          <w:p w14:paraId="12A79028" w14:textId="77777777" w:rsidR="00387C28" w:rsidRPr="00BE78CA" w:rsidRDefault="00387C28" w:rsidP="00A37132">
            <w:pPr>
              <w:pStyle w:val="TableText"/>
              <w:spacing w:before="50" w:after="50"/>
              <w:jc w:val="right"/>
              <w:rPr>
                <w:rFonts w:cs="Calibri"/>
              </w:rPr>
            </w:pPr>
            <w:r w:rsidRPr="00BE78CA">
              <w:rPr>
                <w:rFonts w:eastAsia="Calibri" w:cs="Calibri"/>
              </w:rPr>
              <w:t>91.3</w:t>
            </w:r>
          </w:p>
        </w:tc>
      </w:tr>
      <w:tr w:rsidR="00387C28" w:rsidRPr="00BE78CA" w14:paraId="3B53FD0F" w14:textId="77777777" w:rsidTr="00AC70F2">
        <w:trPr>
          <w:cantSplit/>
        </w:trPr>
        <w:tc>
          <w:tcPr>
            <w:tcW w:w="846" w:type="dxa"/>
            <w:tcBorders>
              <w:top w:val="single" w:sz="4" w:space="0" w:color="365F91"/>
              <w:left w:val="single" w:sz="4" w:space="0" w:color="FFFFFF"/>
              <w:bottom w:val="single" w:sz="4" w:space="0" w:color="365F91"/>
            </w:tcBorders>
            <w:shd w:val="clear" w:color="auto" w:fill="FFFFFF"/>
            <w:tcMar>
              <w:top w:w="0" w:type="dxa"/>
              <w:left w:w="85" w:type="dxa"/>
              <w:bottom w:w="0" w:type="dxa"/>
              <w:right w:w="85" w:type="dxa"/>
            </w:tcMar>
          </w:tcPr>
          <w:p w14:paraId="0306EE30" w14:textId="77777777" w:rsidR="00387C28" w:rsidRPr="00BE78CA" w:rsidRDefault="00387C28" w:rsidP="00A37132">
            <w:pPr>
              <w:pStyle w:val="TableText"/>
              <w:spacing w:before="50" w:after="50"/>
              <w:rPr>
                <w:rFonts w:cs="Calibri"/>
              </w:rPr>
            </w:pPr>
            <w:r w:rsidRPr="00BE78CA">
              <w:rPr>
                <w:rFonts w:eastAsia="Calibri" w:cs="Calibri"/>
              </w:rPr>
              <w:t>1.A.4.c</w:t>
            </w:r>
          </w:p>
        </w:tc>
        <w:tc>
          <w:tcPr>
            <w:tcW w:w="2410" w:type="dxa"/>
            <w:tcBorders>
              <w:top w:val="single" w:sz="4" w:space="0" w:color="365F91"/>
              <w:bottom w:val="single" w:sz="4" w:space="0" w:color="365F91"/>
            </w:tcBorders>
            <w:shd w:val="clear" w:color="auto" w:fill="FFFFFF"/>
            <w:tcMar>
              <w:top w:w="0" w:type="dxa"/>
              <w:left w:w="85" w:type="dxa"/>
              <w:bottom w:w="0" w:type="dxa"/>
              <w:right w:w="85" w:type="dxa"/>
            </w:tcMar>
          </w:tcPr>
          <w:p w14:paraId="3BEC47CF" w14:textId="4B743B1F" w:rsidR="00387C28" w:rsidRPr="00BE78CA" w:rsidRDefault="00387C28" w:rsidP="00A37132">
            <w:pPr>
              <w:pStyle w:val="TableText"/>
              <w:spacing w:before="50" w:after="50"/>
              <w:rPr>
                <w:rFonts w:cs="Calibri"/>
              </w:rPr>
            </w:pPr>
            <w:r w:rsidRPr="00BE78CA">
              <w:rPr>
                <w:rFonts w:eastAsia="Calibri" w:cs="Calibri"/>
              </w:rPr>
              <w:t>Other Sectors – Agriculture/</w:t>
            </w:r>
            <w:r w:rsidR="00BA4A68" w:rsidRPr="00BE78CA">
              <w:rPr>
                <w:rFonts w:eastAsia="Calibri" w:cs="Calibri"/>
              </w:rPr>
              <w:t xml:space="preserve"> </w:t>
            </w:r>
            <w:r w:rsidRPr="00BE78CA">
              <w:rPr>
                <w:rFonts w:eastAsia="Calibri" w:cs="Calibri"/>
              </w:rPr>
              <w:t>Forestry/Fishing</w:t>
            </w:r>
          </w:p>
        </w:tc>
        <w:tc>
          <w:tcPr>
            <w:tcW w:w="538" w:type="dxa"/>
            <w:tcBorders>
              <w:top w:val="single" w:sz="4" w:space="0" w:color="365F91"/>
              <w:bottom w:val="single" w:sz="4" w:space="0" w:color="365F91"/>
            </w:tcBorders>
            <w:shd w:val="clear" w:color="auto" w:fill="FFFFFF"/>
            <w:tcMar>
              <w:top w:w="0" w:type="dxa"/>
              <w:left w:w="85" w:type="dxa"/>
              <w:bottom w:w="0" w:type="dxa"/>
              <w:right w:w="85" w:type="dxa"/>
            </w:tcMar>
          </w:tcPr>
          <w:p w14:paraId="728B95A8" w14:textId="77777777" w:rsidR="00387C28" w:rsidRPr="00BE78CA" w:rsidRDefault="00387C28" w:rsidP="00A37132">
            <w:pPr>
              <w:pStyle w:val="TableText"/>
              <w:spacing w:before="50" w:after="50"/>
              <w:jc w:val="center"/>
              <w:rPr>
                <w:rFonts w:cs="Calibri"/>
              </w:rPr>
            </w:pPr>
            <w:r w:rsidRPr="00BE78CA">
              <w:rPr>
                <w:rFonts w:eastAsia="Calibri" w:cs="Calibri"/>
              </w:rPr>
              <w:t>CO</w:t>
            </w:r>
            <w:r w:rsidRPr="00BE78CA">
              <w:rPr>
                <w:rFonts w:eastAsia="Calibri" w:cs="Calibri"/>
                <w:vertAlign w:val="subscript"/>
              </w:rPr>
              <w:t>2</w:t>
            </w:r>
          </w:p>
        </w:tc>
        <w:tc>
          <w:tcPr>
            <w:tcW w:w="928" w:type="dxa"/>
            <w:tcBorders>
              <w:top w:val="single" w:sz="4" w:space="0" w:color="365F91"/>
              <w:bottom w:val="single" w:sz="4" w:space="0" w:color="365F91"/>
            </w:tcBorders>
            <w:shd w:val="clear" w:color="auto" w:fill="FFFFFF"/>
            <w:tcMar>
              <w:top w:w="0" w:type="dxa"/>
              <w:left w:w="85" w:type="dxa"/>
              <w:bottom w:w="0" w:type="dxa"/>
              <w:right w:w="85" w:type="dxa"/>
            </w:tcMar>
          </w:tcPr>
          <w:p w14:paraId="6FF94D7B" w14:textId="77777777" w:rsidR="00387C28" w:rsidRPr="00BE78CA" w:rsidRDefault="00387C28" w:rsidP="00A37132">
            <w:pPr>
              <w:pStyle w:val="TableText"/>
              <w:spacing w:before="50" w:after="50"/>
              <w:jc w:val="right"/>
              <w:rPr>
                <w:rFonts w:cs="Calibri"/>
              </w:rPr>
            </w:pPr>
            <w:r w:rsidRPr="00BE78CA">
              <w:rPr>
                <w:rFonts w:eastAsia="Calibri" w:cs="Calibri"/>
              </w:rPr>
              <w:t>35.1</w:t>
            </w:r>
          </w:p>
        </w:tc>
        <w:tc>
          <w:tcPr>
            <w:tcW w:w="928" w:type="dxa"/>
            <w:tcBorders>
              <w:top w:val="single" w:sz="4" w:space="0" w:color="365F91"/>
              <w:bottom w:val="single" w:sz="4" w:space="0" w:color="365F91"/>
            </w:tcBorders>
            <w:shd w:val="clear" w:color="auto" w:fill="FFFFFF"/>
            <w:tcMar>
              <w:top w:w="0" w:type="dxa"/>
              <w:left w:w="85" w:type="dxa"/>
              <w:bottom w:w="0" w:type="dxa"/>
              <w:right w:w="85" w:type="dxa"/>
            </w:tcMar>
          </w:tcPr>
          <w:p w14:paraId="4A1E66D6" w14:textId="77777777" w:rsidR="00387C28" w:rsidRPr="00BE78CA" w:rsidRDefault="00387C28" w:rsidP="00A37132">
            <w:pPr>
              <w:pStyle w:val="TableText"/>
              <w:spacing w:before="50" w:after="50"/>
              <w:jc w:val="right"/>
              <w:rPr>
                <w:rFonts w:cs="Calibri"/>
              </w:rPr>
            </w:pPr>
            <w:r w:rsidRPr="00BE78CA">
              <w:rPr>
                <w:rFonts w:eastAsia="Calibri" w:cs="Calibri"/>
              </w:rPr>
              <w:t>202.8</w:t>
            </w:r>
          </w:p>
        </w:tc>
        <w:tc>
          <w:tcPr>
            <w:tcW w:w="937" w:type="dxa"/>
            <w:tcBorders>
              <w:top w:val="single" w:sz="4" w:space="0" w:color="365F91"/>
              <w:bottom w:val="single" w:sz="4" w:space="0" w:color="365F91"/>
            </w:tcBorders>
            <w:shd w:val="clear" w:color="auto" w:fill="FFFFFF"/>
            <w:tcMar>
              <w:top w:w="0" w:type="dxa"/>
              <w:left w:w="85" w:type="dxa"/>
              <w:bottom w:w="0" w:type="dxa"/>
              <w:right w:w="85" w:type="dxa"/>
            </w:tcMar>
          </w:tcPr>
          <w:p w14:paraId="0B5C0307" w14:textId="77777777" w:rsidR="00387C28" w:rsidRPr="00BE78CA" w:rsidRDefault="00387C28" w:rsidP="00A37132">
            <w:pPr>
              <w:pStyle w:val="TableText"/>
              <w:spacing w:before="50" w:after="50"/>
              <w:jc w:val="right"/>
              <w:rPr>
                <w:rFonts w:cs="Calibri"/>
              </w:rPr>
            </w:pPr>
            <w:r w:rsidRPr="00BE78CA">
              <w:rPr>
                <w:rFonts w:eastAsia="Calibri" w:cs="Calibri"/>
              </w:rPr>
              <w:t>0.002</w:t>
            </w:r>
          </w:p>
        </w:tc>
        <w:tc>
          <w:tcPr>
            <w:tcW w:w="999" w:type="dxa"/>
            <w:tcBorders>
              <w:top w:val="single" w:sz="4" w:space="0" w:color="365F91"/>
              <w:bottom w:val="single" w:sz="4" w:space="0" w:color="365F91"/>
            </w:tcBorders>
            <w:shd w:val="clear" w:color="auto" w:fill="FFFFFF"/>
            <w:tcMar>
              <w:top w:w="0" w:type="dxa"/>
              <w:left w:w="85" w:type="dxa"/>
              <w:bottom w:w="0" w:type="dxa"/>
              <w:right w:w="85" w:type="dxa"/>
            </w:tcMar>
          </w:tcPr>
          <w:p w14:paraId="63ECCA81" w14:textId="77777777" w:rsidR="00387C28" w:rsidRPr="00BE78CA" w:rsidRDefault="00387C28" w:rsidP="00A37132">
            <w:pPr>
              <w:pStyle w:val="TableText"/>
              <w:spacing w:before="50" w:after="50"/>
              <w:jc w:val="right"/>
              <w:rPr>
                <w:rFonts w:cs="Calibri"/>
              </w:rPr>
            </w:pPr>
            <w:r w:rsidRPr="00BE78CA">
              <w:rPr>
                <w:rFonts w:eastAsia="Calibri" w:cs="Calibri"/>
              </w:rPr>
              <w:t>0.4</w:t>
            </w:r>
          </w:p>
        </w:tc>
        <w:tc>
          <w:tcPr>
            <w:tcW w:w="909" w:type="dxa"/>
            <w:tcBorders>
              <w:top w:val="single" w:sz="4" w:space="0" w:color="365F91"/>
              <w:bottom w:val="single" w:sz="4" w:space="0" w:color="365F91"/>
            </w:tcBorders>
            <w:shd w:val="clear" w:color="auto" w:fill="FFFFFF"/>
            <w:tcMar>
              <w:top w:w="0" w:type="dxa"/>
              <w:left w:w="85" w:type="dxa"/>
              <w:bottom w:w="0" w:type="dxa"/>
              <w:right w:w="85" w:type="dxa"/>
            </w:tcMar>
          </w:tcPr>
          <w:p w14:paraId="0E21A217" w14:textId="77777777" w:rsidR="00387C28" w:rsidRPr="00BE78CA" w:rsidRDefault="00387C28" w:rsidP="00A37132">
            <w:pPr>
              <w:pStyle w:val="TableText"/>
              <w:spacing w:before="50" w:after="50"/>
              <w:jc w:val="right"/>
              <w:rPr>
                <w:rFonts w:cs="Calibri"/>
              </w:rPr>
            </w:pPr>
            <w:r w:rsidRPr="00BE78CA">
              <w:rPr>
                <w:rFonts w:eastAsia="Calibri" w:cs="Calibri"/>
              </w:rPr>
              <w:t>91.7</w:t>
            </w:r>
          </w:p>
        </w:tc>
      </w:tr>
      <w:tr w:rsidR="00387C28" w:rsidRPr="00BE78CA" w14:paraId="0BF9AC9D" w14:textId="77777777" w:rsidTr="00AC70F2">
        <w:trPr>
          <w:cantSplit/>
        </w:trPr>
        <w:tc>
          <w:tcPr>
            <w:tcW w:w="846" w:type="dxa"/>
            <w:tcBorders>
              <w:top w:val="single" w:sz="4" w:space="0" w:color="365F91"/>
              <w:left w:val="single" w:sz="4" w:space="0" w:color="FFFFFF"/>
              <w:bottom w:val="single" w:sz="4" w:space="0" w:color="365F91"/>
            </w:tcBorders>
            <w:shd w:val="clear" w:color="auto" w:fill="FFFFFF"/>
            <w:tcMar>
              <w:top w:w="0" w:type="dxa"/>
              <w:left w:w="85" w:type="dxa"/>
              <w:bottom w:w="0" w:type="dxa"/>
              <w:right w:w="85" w:type="dxa"/>
            </w:tcMar>
          </w:tcPr>
          <w:p w14:paraId="202004D7" w14:textId="77777777" w:rsidR="00387C28" w:rsidRPr="00BE78CA" w:rsidRDefault="00387C28" w:rsidP="00A37132">
            <w:pPr>
              <w:pStyle w:val="TableText"/>
              <w:spacing w:before="50" w:after="50"/>
              <w:rPr>
                <w:rFonts w:cs="Calibri"/>
              </w:rPr>
            </w:pPr>
            <w:r w:rsidRPr="00BE78CA">
              <w:rPr>
                <w:rFonts w:eastAsia="Calibri" w:cs="Calibri"/>
              </w:rPr>
              <w:t>1.A.2.g.viii</w:t>
            </w:r>
          </w:p>
        </w:tc>
        <w:tc>
          <w:tcPr>
            <w:tcW w:w="2410" w:type="dxa"/>
            <w:tcBorders>
              <w:top w:val="single" w:sz="4" w:space="0" w:color="365F91"/>
              <w:bottom w:val="single" w:sz="4" w:space="0" w:color="365F91"/>
            </w:tcBorders>
            <w:shd w:val="clear" w:color="auto" w:fill="FFFFFF"/>
            <w:tcMar>
              <w:top w:w="0" w:type="dxa"/>
              <w:left w:w="85" w:type="dxa"/>
              <w:bottom w:w="0" w:type="dxa"/>
              <w:right w:w="85" w:type="dxa"/>
            </w:tcMar>
          </w:tcPr>
          <w:p w14:paraId="07665E29" w14:textId="77777777" w:rsidR="00387C28" w:rsidRPr="00BE78CA" w:rsidRDefault="00387C28" w:rsidP="00A37132">
            <w:pPr>
              <w:pStyle w:val="TableText"/>
              <w:spacing w:before="50" w:after="50"/>
              <w:rPr>
                <w:rFonts w:cs="Calibri"/>
              </w:rPr>
            </w:pPr>
            <w:r w:rsidRPr="00BE78CA">
              <w:rPr>
                <w:rFonts w:eastAsia="Calibri" w:cs="Calibri"/>
              </w:rPr>
              <w:t>Other (please specify) – Other (please specify)</w:t>
            </w:r>
          </w:p>
        </w:tc>
        <w:tc>
          <w:tcPr>
            <w:tcW w:w="538" w:type="dxa"/>
            <w:tcBorders>
              <w:top w:val="single" w:sz="4" w:space="0" w:color="365F91"/>
              <w:bottom w:val="single" w:sz="4" w:space="0" w:color="365F91"/>
            </w:tcBorders>
            <w:shd w:val="clear" w:color="auto" w:fill="FFFFFF"/>
            <w:tcMar>
              <w:top w:w="0" w:type="dxa"/>
              <w:left w:w="85" w:type="dxa"/>
              <w:bottom w:w="0" w:type="dxa"/>
              <w:right w:w="85" w:type="dxa"/>
            </w:tcMar>
          </w:tcPr>
          <w:p w14:paraId="7D370B41" w14:textId="77777777" w:rsidR="00387C28" w:rsidRPr="00BE78CA" w:rsidRDefault="00387C28" w:rsidP="00A37132">
            <w:pPr>
              <w:pStyle w:val="TableText"/>
              <w:spacing w:before="50" w:after="50"/>
              <w:jc w:val="center"/>
              <w:rPr>
                <w:rFonts w:cs="Calibri"/>
              </w:rPr>
            </w:pPr>
            <w:r w:rsidRPr="00BE78CA">
              <w:rPr>
                <w:rFonts w:eastAsia="Calibri" w:cs="Calibri"/>
              </w:rPr>
              <w:t>CO</w:t>
            </w:r>
            <w:r w:rsidRPr="00BE78CA">
              <w:rPr>
                <w:rFonts w:eastAsia="Calibri" w:cs="Calibri"/>
                <w:vertAlign w:val="subscript"/>
              </w:rPr>
              <w:t>2</w:t>
            </w:r>
          </w:p>
        </w:tc>
        <w:tc>
          <w:tcPr>
            <w:tcW w:w="928" w:type="dxa"/>
            <w:tcBorders>
              <w:top w:val="single" w:sz="4" w:space="0" w:color="365F91"/>
              <w:bottom w:val="single" w:sz="4" w:space="0" w:color="365F91"/>
            </w:tcBorders>
            <w:shd w:val="clear" w:color="auto" w:fill="FFFFFF"/>
            <w:tcMar>
              <w:top w:w="0" w:type="dxa"/>
              <w:left w:w="85" w:type="dxa"/>
              <w:bottom w:w="0" w:type="dxa"/>
              <w:right w:w="85" w:type="dxa"/>
            </w:tcMar>
          </w:tcPr>
          <w:p w14:paraId="43B7BDF1" w14:textId="77777777" w:rsidR="00387C28" w:rsidRPr="00BE78CA" w:rsidRDefault="00387C28" w:rsidP="00A37132">
            <w:pPr>
              <w:pStyle w:val="TableText"/>
              <w:spacing w:before="50" w:after="50"/>
              <w:jc w:val="right"/>
              <w:rPr>
                <w:rFonts w:cs="Calibri"/>
              </w:rPr>
            </w:pPr>
            <w:r w:rsidRPr="00BE78CA">
              <w:rPr>
                <w:rFonts w:eastAsia="Calibri" w:cs="Calibri"/>
              </w:rPr>
              <w:t>51.7</w:t>
            </w:r>
          </w:p>
        </w:tc>
        <w:tc>
          <w:tcPr>
            <w:tcW w:w="928" w:type="dxa"/>
            <w:tcBorders>
              <w:top w:val="single" w:sz="4" w:space="0" w:color="365F91"/>
              <w:bottom w:val="single" w:sz="4" w:space="0" w:color="365F91"/>
            </w:tcBorders>
            <w:shd w:val="clear" w:color="auto" w:fill="FFFFFF"/>
            <w:tcMar>
              <w:top w:w="0" w:type="dxa"/>
              <w:left w:w="85" w:type="dxa"/>
              <w:bottom w:w="0" w:type="dxa"/>
              <w:right w:w="85" w:type="dxa"/>
            </w:tcMar>
          </w:tcPr>
          <w:p w14:paraId="7AFE8DCE" w14:textId="77777777" w:rsidR="00387C28" w:rsidRPr="00BE78CA" w:rsidRDefault="00387C28" w:rsidP="00A37132">
            <w:pPr>
              <w:pStyle w:val="TableText"/>
              <w:spacing w:before="50" w:after="50"/>
              <w:jc w:val="right"/>
              <w:rPr>
                <w:rFonts w:cs="Calibri"/>
              </w:rPr>
            </w:pPr>
            <w:r w:rsidRPr="00BE78CA">
              <w:rPr>
                <w:rFonts w:eastAsia="Calibri" w:cs="Calibri"/>
              </w:rPr>
              <w:t>222.4</w:t>
            </w:r>
          </w:p>
        </w:tc>
        <w:tc>
          <w:tcPr>
            <w:tcW w:w="937" w:type="dxa"/>
            <w:tcBorders>
              <w:top w:val="single" w:sz="4" w:space="0" w:color="365F91"/>
              <w:bottom w:val="single" w:sz="4" w:space="0" w:color="365F91"/>
            </w:tcBorders>
            <w:shd w:val="clear" w:color="auto" w:fill="FFFFFF"/>
            <w:tcMar>
              <w:top w:w="0" w:type="dxa"/>
              <w:left w:w="85" w:type="dxa"/>
              <w:bottom w:w="0" w:type="dxa"/>
              <w:right w:w="85" w:type="dxa"/>
            </w:tcMar>
          </w:tcPr>
          <w:p w14:paraId="12930E13" w14:textId="77777777" w:rsidR="00387C28" w:rsidRPr="00BE78CA" w:rsidRDefault="00387C28" w:rsidP="00A37132">
            <w:pPr>
              <w:pStyle w:val="TableText"/>
              <w:spacing w:before="50" w:after="50"/>
              <w:jc w:val="right"/>
              <w:rPr>
                <w:rFonts w:cs="Calibri"/>
              </w:rPr>
            </w:pPr>
            <w:r w:rsidRPr="00BE78CA">
              <w:rPr>
                <w:rFonts w:eastAsia="Calibri" w:cs="Calibri"/>
              </w:rPr>
              <w:t>0.002</w:t>
            </w:r>
          </w:p>
        </w:tc>
        <w:tc>
          <w:tcPr>
            <w:tcW w:w="999" w:type="dxa"/>
            <w:tcBorders>
              <w:top w:val="single" w:sz="4" w:space="0" w:color="365F91"/>
              <w:bottom w:val="single" w:sz="4" w:space="0" w:color="365F91"/>
            </w:tcBorders>
            <w:shd w:val="clear" w:color="auto" w:fill="FFFFFF"/>
            <w:tcMar>
              <w:top w:w="0" w:type="dxa"/>
              <w:left w:w="85" w:type="dxa"/>
              <w:bottom w:w="0" w:type="dxa"/>
              <w:right w:w="85" w:type="dxa"/>
            </w:tcMar>
          </w:tcPr>
          <w:p w14:paraId="2E8FBAA8" w14:textId="77777777" w:rsidR="00387C28" w:rsidRPr="00BE78CA" w:rsidRDefault="00387C28" w:rsidP="00A37132">
            <w:pPr>
              <w:pStyle w:val="TableText"/>
              <w:spacing w:before="50" w:after="50"/>
              <w:jc w:val="right"/>
              <w:rPr>
                <w:rFonts w:cs="Calibri"/>
              </w:rPr>
            </w:pPr>
            <w:r w:rsidRPr="00BE78CA">
              <w:rPr>
                <w:rFonts w:eastAsia="Calibri" w:cs="Calibri"/>
              </w:rPr>
              <w:t>0.4</w:t>
            </w:r>
          </w:p>
        </w:tc>
        <w:tc>
          <w:tcPr>
            <w:tcW w:w="909" w:type="dxa"/>
            <w:tcBorders>
              <w:top w:val="single" w:sz="4" w:space="0" w:color="365F91"/>
              <w:bottom w:val="single" w:sz="4" w:space="0" w:color="365F91"/>
            </w:tcBorders>
            <w:shd w:val="clear" w:color="auto" w:fill="FFFFFF"/>
            <w:tcMar>
              <w:top w:w="0" w:type="dxa"/>
              <w:left w:w="85" w:type="dxa"/>
              <w:bottom w:w="0" w:type="dxa"/>
              <w:right w:w="85" w:type="dxa"/>
            </w:tcMar>
          </w:tcPr>
          <w:p w14:paraId="5AF88B02" w14:textId="77777777" w:rsidR="00387C28" w:rsidRPr="00BE78CA" w:rsidRDefault="00387C28" w:rsidP="00A37132">
            <w:pPr>
              <w:pStyle w:val="TableText"/>
              <w:spacing w:before="50" w:after="50"/>
              <w:jc w:val="right"/>
              <w:rPr>
                <w:rFonts w:cs="Calibri"/>
              </w:rPr>
            </w:pPr>
            <w:r w:rsidRPr="00BE78CA">
              <w:rPr>
                <w:rFonts w:eastAsia="Calibri" w:cs="Calibri"/>
              </w:rPr>
              <w:t>92.1</w:t>
            </w:r>
          </w:p>
        </w:tc>
      </w:tr>
      <w:tr w:rsidR="00387C28" w:rsidRPr="00BE78CA" w14:paraId="7F0818FA" w14:textId="77777777" w:rsidTr="00AC70F2">
        <w:trPr>
          <w:cantSplit/>
        </w:trPr>
        <w:tc>
          <w:tcPr>
            <w:tcW w:w="846" w:type="dxa"/>
            <w:tcBorders>
              <w:top w:val="single" w:sz="4" w:space="0" w:color="365F91"/>
              <w:left w:val="single" w:sz="4" w:space="0" w:color="FFFFFF"/>
              <w:bottom w:val="single" w:sz="4" w:space="0" w:color="365F91"/>
            </w:tcBorders>
            <w:shd w:val="clear" w:color="auto" w:fill="FFFFFF"/>
            <w:tcMar>
              <w:top w:w="0" w:type="dxa"/>
              <w:left w:w="85" w:type="dxa"/>
              <w:bottom w:w="0" w:type="dxa"/>
              <w:right w:w="85" w:type="dxa"/>
            </w:tcMar>
          </w:tcPr>
          <w:p w14:paraId="045FB132" w14:textId="77777777" w:rsidR="00387C28" w:rsidRPr="00BE78CA" w:rsidRDefault="00387C28" w:rsidP="00A37132">
            <w:pPr>
              <w:pStyle w:val="TableText"/>
              <w:spacing w:before="50" w:after="50"/>
              <w:rPr>
                <w:rFonts w:cs="Calibri"/>
              </w:rPr>
            </w:pPr>
            <w:r w:rsidRPr="00BE78CA">
              <w:rPr>
                <w:rFonts w:eastAsia="Calibri" w:cs="Calibri"/>
              </w:rPr>
              <w:t>2.A.1</w:t>
            </w:r>
          </w:p>
        </w:tc>
        <w:tc>
          <w:tcPr>
            <w:tcW w:w="2410" w:type="dxa"/>
            <w:tcBorders>
              <w:top w:val="single" w:sz="4" w:space="0" w:color="365F91"/>
              <w:bottom w:val="single" w:sz="4" w:space="0" w:color="365F91"/>
            </w:tcBorders>
            <w:shd w:val="clear" w:color="auto" w:fill="FFFFFF"/>
            <w:tcMar>
              <w:top w:w="0" w:type="dxa"/>
              <w:left w:w="85" w:type="dxa"/>
              <w:bottom w:w="0" w:type="dxa"/>
              <w:right w:w="85" w:type="dxa"/>
            </w:tcMar>
          </w:tcPr>
          <w:p w14:paraId="661D7A71" w14:textId="77777777" w:rsidR="00387C28" w:rsidRPr="00BE78CA" w:rsidRDefault="00387C28" w:rsidP="00A37132">
            <w:pPr>
              <w:pStyle w:val="TableText"/>
              <w:spacing w:before="50" w:after="50"/>
              <w:rPr>
                <w:rFonts w:cs="Calibri"/>
              </w:rPr>
            </w:pPr>
            <w:r w:rsidRPr="00BE78CA">
              <w:rPr>
                <w:rFonts w:eastAsia="Calibri" w:cs="Calibri"/>
              </w:rPr>
              <w:t>Mineral Industry – Cement Production</w:t>
            </w:r>
          </w:p>
        </w:tc>
        <w:tc>
          <w:tcPr>
            <w:tcW w:w="538" w:type="dxa"/>
            <w:tcBorders>
              <w:top w:val="single" w:sz="4" w:space="0" w:color="365F91"/>
              <w:bottom w:val="single" w:sz="4" w:space="0" w:color="365F91"/>
            </w:tcBorders>
            <w:shd w:val="clear" w:color="auto" w:fill="FFFFFF"/>
            <w:tcMar>
              <w:top w:w="0" w:type="dxa"/>
              <w:left w:w="85" w:type="dxa"/>
              <w:bottom w:w="0" w:type="dxa"/>
              <w:right w:w="85" w:type="dxa"/>
            </w:tcMar>
          </w:tcPr>
          <w:p w14:paraId="13EF327F" w14:textId="77777777" w:rsidR="00387C28" w:rsidRPr="00BE78CA" w:rsidRDefault="00387C28" w:rsidP="00A37132">
            <w:pPr>
              <w:pStyle w:val="TableText"/>
              <w:spacing w:before="50" w:after="50"/>
              <w:jc w:val="center"/>
              <w:rPr>
                <w:rFonts w:cs="Calibri"/>
              </w:rPr>
            </w:pPr>
            <w:r w:rsidRPr="00BE78CA">
              <w:rPr>
                <w:rFonts w:eastAsia="Calibri" w:cs="Calibri"/>
              </w:rPr>
              <w:t>CO</w:t>
            </w:r>
            <w:r w:rsidRPr="00BE78CA">
              <w:rPr>
                <w:rFonts w:eastAsia="Calibri" w:cs="Calibri"/>
                <w:vertAlign w:val="subscript"/>
              </w:rPr>
              <w:t>2</w:t>
            </w:r>
          </w:p>
        </w:tc>
        <w:tc>
          <w:tcPr>
            <w:tcW w:w="928" w:type="dxa"/>
            <w:tcBorders>
              <w:top w:val="single" w:sz="4" w:space="0" w:color="365F91"/>
              <w:bottom w:val="single" w:sz="4" w:space="0" w:color="365F91"/>
            </w:tcBorders>
            <w:shd w:val="clear" w:color="auto" w:fill="FFFFFF"/>
            <w:tcMar>
              <w:top w:w="0" w:type="dxa"/>
              <w:left w:w="85" w:type="dxa"/>
              <w:bottom w:w="0" w:type="dxa"/>
              <w:right w:w="85" w:type="dxa"/>
            </w:tcMar>
          </w:tcPr>
          <w:p w14:paraId="5A70E5C3" w14:textId="77777777" w:rsidR="00387C28" w:rsidRPr="00BE78CA" w:rsidRDefault="00387C28" w:rsidP="00A37132">
            <w:pPr>
              <w:pStyle w:val="TableText"/>
              <w:spacing w:before="50" w:after="50"/>
              <w:jc w:val="right"/>
              <w:rPr>
                <w:rFonts w:cs="Calibri"/>
              </w:rPr>
            </w:pPr>
            <w:r w:rsidRPr="00BE78CA">
              <w:rPr>
                <w:rFonts w:eastAsia="Calibri" w:cs="Calibri"/>
              </w:rPr>
              <w:t>448.7</w:t>
            </w:r>
          </w:p>
        </w:tc>
        <w:tc>
          <w:tcPr>
            <w:tcW w:w="928" w:type="dxa"/>
            <w:tcBorders>
              <w:top w:val="single" w:sz="4" w:space="0" w:color="365F91"/>
              <w:bottom w:val="single" w:sz="4" w:space="0" w:color="365F91"/>
            </w:tcBorders>
            <w:shd w:val="clear" w:color="auto" w:fill="FFFFFF"/>
            <w:tcMar>
              <w:top w:w="0" w:type="dxa"/>
              <w:left w:w="85" w:type="dxa"/>
              <w:bottom w:w="0" w:type="dxa"/>
              <w:right w:w="85" w:type="dxa"/>
            </w:tcMar>
          </w:tcPr>
          <w:p w14:paraId="382B4973" w14:textId="77777777" w:rsidR="00387C28" w:rsidRPr="00BE78CA" w:rsidRDefault="00387C28" w:rsidP="00A37132">
            <w:pPr>
              <w:pStyle w:val="TableText"/>
              <w:spacing w:before="50" w:after="50"/>
              <w:jc w:val="right"/>
              <w:rPr>
                <w:rFonts w:cs="Calibri"/>
              </w:rPr>
            </w:pPr>
            <w:r w:rsidRPr="00BE78CA">
              <w:rPr>
                <w:rFonts w:eastAsia="Calibri" w:cs="Calibri"/>
              </w:rPr>
              <w:t>410.9</w:t>
            </w:r>
          </w:p>
        </w:tc>
        <w:tc>
          <w:tcPr>
            <w:tcW w:w="937" w:type="dxa"/>
            <w:tcBorders>
              <w:top w:val="single" w:sz="4" w:space="0" w:color="365F91"/>
              <w:bottom w:val="single" w:sz="4" w:space="0" w:color="365F91"/>
            </w:tcBorders>
            <w:shd w:val="clear" w:color="auto" w:fill="FFFFFF"/>
            <w:tcMar>
              <w:top w:w="0" w:type="dxa"/>
              <w:left w:w="85" w:type="dxa"/>
              <w:bottom w:w="0" w:type="dxa"/>
              <w:right w:w="85" w:type="dxa"/>
            </w:tcMar>
          </w:tcPr>
          <w:p w14:paraId="6FAD91EC" w14:textId="77777777" w:rsidR="00387C28" w:rsidRPr="00BE78CA" w:rsidRDefault="00387C28" w:rsidP="00A37132">
            <w:pPr>
              <w:pStyle w:val="TableText"/>
              <w:spacing w:before="50" w:after="50"/>
              <w:jc w:val="right"/>
              <w:rPr>
                <w:rFonts w:cs="Calibri"/>
              </w:rPr>
            </w:pPr>
            <w:r w:rsidRPr="00BE78CA">
              <w:rPr>
                <w:rFonts w:eastAsia="Calibri" w:cs="Calibri"/>
              </w:rPr>
              <w:t>0.002</w:t>
            </w:r>
          </w:p>
        </w:tc>
        <w:tc>
          <w:tcPr>
            <w:tcW w:w="999" w:type="dxa"/>
            <w:tcBorders>
              <w:top w:val="single" w:sz="4" w:space="0" w:color="365F91"/>
              <w:bottom w:val="single" w:sz="4" w:space="0" w:color="365F91"/>
            </w:tcBorders>
            <w:shd w:val="clear" w:color="auto" w:fill="FFFFFF"/>
            <w:tcMar>
              <w:top w:w="0" w:type="dxa"/>
              <w:left w:w="85" w:type="dxa"/>
              <w:bottom w:w="0" w:type="dxa"/>
              <w:right w:w="85" w:type="dxa"/>
            </w:tcMar>
          </w:tcPr>
          <w:p w14:paraId="70C40012" w14:textId="77777777" w:rsidR="00387C28" w:rsidRPr="00BE78CA" w:rsidRDefault="00387C28" w:rsidP="00A37132">
            <w:pPr>
              <w:pStyle w:val="TableText"/>
              <w:spacing w:before="50" w:after="50"/>
              <w:jc w:val="right"/>
              <w:rPr>
                <w:rFonts w:cs="Calibri"/>
              </w:rPr>
            </w:pPr>
            <w:r w:rsidRPr="00BE78CA">
              <w:rPr>
                <w:rFonts w:eastAsia="Calibri" w:cs="Calibri"/>
              </w:rPr>
              <w:t>0.4</w:t>
            </w:r>
          </w:p>
        </w:tc>
        <w:tc>
          <w:tcPr>
            <w:tcW w:w="909" w:type="dxa"/>
            <w:tcBorders>
              <w:top w:val="single" w:sz="4" w:space="0" w:color="365F91"/>
              <w:bottom w:val="single" w:sz="4" w:space="0" w:color="365F91"/>
            </w:tcBorders>
            <w:shd w:val="clear" w:color="auto" w:fill="FFFFFF"/>
            <w:tcMar>
              <w:top w:w="0" w:type="dxa"/>
              <w:left w:w="85" w:type="dxa"/>
              <w:bottom w:w="0" w:type="dxa"/>
              <w:right w:w="85" w:type="dxa"/>
            </w:tcMar>
          </w:tcPr>
          <w:p w14:paraId="2A439DC3" w14:textId="77777777" w:rsidR="00387C28" w:rsidRPr="00BE78CA" w:rsidRDefault="00387C28" w:rsidP="00A37132">
            <w:pPr>
              <w:pStyle w:val="TableText"/>
              <w:spacing w:before="50" w:after="50"/>
              <w:jc w:val="right"/>
              <w:rPr>
                <w:rFonts w:cs="Calibri"/>
              </w:rPr>
            </w:pPr>
            <w:r w:rsidRPr="00BE78CA">
              <w:rPr>
                <w:rFonts w:eastAsia="Calibri" w:cs="Calibri"/>
              </w:rPr>
              <w:t>92.4</w:t>
            </w:r>
          </w:p>
        </w:tc>
      </w:tr>
      <w:tr w:rsidR="00387C28" w:rsidRPr="00BE78CA" w14:paraId="3CCB6165" w14:textId="77777777" w:rsidTr="00AC70F2">
        <w:trPr>
          <w:cantSplit/>
        </w:trPr>
        <w:tc>
          <w:tcPr>
            <w:tcW w:w="846" w:type="dxa"/>
            <w:tcBorders>
              <w:top w:val="single" w:sz="4" w:space="0" w:color="365F91"/>
              <w:left w:val="single" w:sz="4" w:space="0" w:color="FFFFFF"/>
              <w:bottom w:val="single" w:sz="4" w:space="0" w:color="365F91"/>
            </w:tcBorders>
            <w:shd w:val="clear" w:color="auto" w:fill="FFFFFF"/>
            <w:tcMar>
              <w:top w:w="0" w:type="dxa"/>
              <w:left w:w="85" w:type="dxa"/>
              <w:bottom w:w="0" w:type="dxa"/>
              <w:right w:w="85" w:type="dxa"/>
            </w:tcMar>
          </w:tcPr>
          <w:p w14:paraId="74B33889" w14:textId="77777777" w:rsidR="00387C28" w:rsidRPr="00BE78CA" w:rsidRDefault="00387C28" w:rsidP="00A37132">
            <w:pPr>
              <w:pStyle w:val="TableText"/>
              <w:spacing w:before="50" w:after="50"/>
              <w:rPr>
                <w:rFonts w:cs="Calibri"/>
              </w:rPr>
            </w:pPr>
            <w:r w:rsidRPr="00BE78CA">
              <w:rPr>
                <w:rFonts w:eastAsia="Calibri" w:cs="Calibri"/>
              </w:rPr>
              <w:t>1.B.2.c.1.ii</w:t>
            </w:r>
          </w:p>
        </w:tc>
        <w:tc>
          <w:tcPr>
            <w:tcW w:w="2410" w:type="dxa"/>
            <w:tcBorders>
              <w:top w:val="single" w:sz="4" w:space="0" w:color="365F91"/>
              <w:bottom w:val="single" w:sz="4" w:space="0" w:color="365F91"/>
            </w:tcBorders>
            <w:shd w:val="clear" w:color="auto" w:fill="FFFFFF"/>
            <w:tcMar>
              <w:top w:w="0" w:type="dxa"/>
              <w:left w:w="85" w:type="dxa"/>
              <w:bottom w:w="0" w:type="dxa"/>
              <w:right w:w="85" w:type="dxa"/>
            </w:tcMar>
          </w:tcPr>
          <w:p w14:paraId="1A8CDA94" w14:textId="77777777" w:rsidR="00387C28" w:rsidRPr="00BE78CA" w:rsidRDefault="00387C28" w:rsidP="00A37132">
            <w:pPr>
              <w:pStyle w:val="TableText"/>
              <w:spacing w:before="50" w:after="50"/>
              <w:rPr>
                <w:rFonts w:cs="Calibri"/>
              </w:rPr>
            </w:pPr>
            <w:r w:rsidRPr="00BE78CA">
              <w:rPr>
                <w:rFonts w:eastAsia="Calibri" w:cs="Calibri"/>
              </w:rPr>
              <w:t>Venting – Gas</w:t>
            </w:r>
          </w:p>
        </w:tc>
        <w:tc>
          <w:tcPr>
            <w:tcW w:w="538" w:type="dxa"/>
            <w:tcBorders>
              <w:top w:val="single" w:sz="4" w:space="0" w:color="365F91"/>
              <w:bottom w:val="single" w:sz="4" w:space="0" w:color="365F91"/>
            </w:tcBorders>
            <w:shd w:val="clear" w:color="auto" w:fill="FFFFFF"/>
            <w:tcMar>
              <w:top w:w="0" w:type="dxa"/>
              <w:left w:w="85" w:type="dxa"/>
              <w:bottom w:w="0" w:type="dxa"/>
              <w:right w:w="85" w:type="dxa"/>
            </w:tcMar>
          </w:tcPr>
          <w:p w14:paraId="28AA2E84" w14:textId="77777777" w:rsidR="00387C28" w:rsidRPr="00BE78CA" w:rsidRDefault="00387C28" w:rsidP="00A37132">
            <w:pPr>
              <w:pStyle w:val="TableText"/>
              <w:spacing w:before="50" w:after="50"/>
              <w:jc w:val="center"/>
              <w:rPr>
                <w:rFonts w:cs="Calibri"/>
              </w:rPr>
            </w:pPr>
            <w:r w:rsidRPr="00BE78CA">
              <w:rPr>
                <w:rFonts w:eastAsia="Calibri" w:cs="Calibri"/>
              </w:rPr>
              <w:t>CO</w:t>
            </w:r>
            <w:r w:rsidRPr="00BE78CA">
              <w:rPr>
                <w:rFonts w:eastAsia="Calibri" w:cs="Calibri"/>
                <w:vertAlign w:val="subscript"/>
              </w:rPr>
              <w:t>2</w:t>
            </w:r>
          </w:p>
        </w:tc>
        <w:tc>
          <w:tcPr>
            <w:tcW w:w="928" w:type="dxa"/>
            <w:tcBorders>
              <w:top w:val="single" w:sz="4" w:space="0" w:color="365F91"/>
              <w:bottom w:val="single" w:sz="4" w:space="0" w:color="365F91"/>
            </w:tcBorders>
            <w:shd w:val="clear" w:color="auto" w:fill="FFFFFF"/>
            <w:tcMar>
              <w:top w:w="0" w:type="dxa"/>
              <w:left w:w="85" w:type="dxa"/>
              <w:bottom w:w="0" w:type="dxa"/>
              <w:right w:w="85" w:type="dxa"/>
            </w:tcMar>
          </w:tcPr>
          <w:p w14:paraId="23C7541F" w14:textId="77777777" w:rsidR="00387C28" w:rsidRPr="00BE78CA" w:rsidRDefault="00387C28" w:rsidP="00A37132">
            <w:pPr>
              <w:pStyle w:val="TableText"/>
              <w:spacing w:before="50" w:after="50"/>
              <w:jc w:val="right"/>
              <w:rPr>
                <w:rFonts w:cs="Calibri"/>
              </w:rPr>
            </w:pPr>
            <w:r w:rsidRPr="00BE78CA">
              <w:rPr>
                <w:rFonts w:eastAsia="Calibri" w:cs="Calibri"/>
              </w:rPr>
              <w:t>109.3</w:t>
            </w:r>
          </w:p>
        </w:tc>
        <w:tc>
          <w:tcPr>
            <w:tcW w:w="928" w:type="dxa"/>
            <w:tcBorders>
              <w:top w:val="single" w:sz="4" w:space="0" w:color="365F91"/>
              <w:bottom w:val="single" w:sz="4" w:space="0" w:color="365F91"/>
            </w:tcBorders>
            <w:shd w:val="clear" w:color="auto" w:fill="FFFFFF"/>
            <w:tcMar>
              <w:top w:w="0" w:type="dxa"/>
              <w:left w:w="85" w:type="dxa"/>
              <w:bottom w:w="0" w:type="dxa"/>
              <w:right w:w="85" w:type="dxa"/>
            </w:tcMar>
          </w:tcPr>
          <w:p w14:paraId="30F2FEC2" w14:textId="77777777" w:rsidR="00387C28" w:rsidRPr="00BE78CA" w:rsidRDefault="00387C28" w:rsidP="00A37132">
            <w:pPr>
              <w:pStyle w:val="TableText"/>
              <w:spacing w:before="50" w:after="50"/>
              <w:jc w:val="right"/>
              <w:rPr>
                <w:rFonts w:cs="Calibri"/>
              </w:rPr>
            </w:pPr>
            <w:r w:rsidRPr="00BE78CA">
              <w:rPr>
                <w:rFonts w:eastAsia="Calibri" w:cs="Calibri"/>
              </w:rPr>
              <w:t>283.0</w:t>
            </w:r>
          </w:p>
        </w:tc>
        <w:tc>
          <w:tcPr>
            <w:tcW w:w="937" w:type="dxa"/>
            <w:tcBorders>
              <w:top w:val="single" w:sz="4" w:space="0" w:color="365F91"/>
              <w:bottom w:val="single" w:sz="4" w:space="0" w:color="365F91"/>
            </w:tcBorders>
            <w:shd w:val="clear" w:color="auto" w:fill="FFFFFF"/>
            <w:tcMar>
              <w:top w:w="0" w:type="dxa"/>
              <w:left w:w="85" w:type="dxa"/>
              <w:bottom w:w="0" w:type="dxa"/>
              <w:right w:w="85" w:type="dxa"/>
            </w:tcMar>
          </w:tcPr>
          <w:p w14:paraId="7524159D" w14:textId="77777777" w:rsidR="00387C28" w:rsidRPr="00BE78CA" w:rsidRDefault="00387C28" w:rsidP="00A37132">
            <w:pPr>
              <w:pStyle w:val="TableText"/>
              <w:spacing w:before="50" w:after="50"/>
              <w:jc w:val="right"/>
              <w:rPr>
                <w:rFonts w:cs="Calibri"/>
              </w:rPr>
            </w:pPr>
            <w:r w:rsidRPr="00BE78CA">
              <w:rPr>
                <w:rFonts w:eastAsia="Calibri" w:cs="Calibri"/>
              </w:rPr>
              <w:t>0.002</w:t>
            </w:r>
          </w:p>
        </w:tc>
        <w:tc>
          <w:tcPr>
            <w:tcW w:w="999" w:type="dxa"/>
            <w:tcBorders>
              <w:top w:val="single" w:sz="4" w:space="0" w:color="365F91"/>
              <w:bottom w:val="single" w:sz="4" w:space="0" w:color="365F91"/>
            </w:tcBorders>
            <w:shd w:val="clear" w:color="auto" w:fill="FFFFFF"/>
            <w:tcMar>
              <w:top w:w="0" w:type="dxa"/>
              <w:left w:w="85" w:type="dxa"/>
              <w:bottom w:w="0" w:type="dxa"/>
              <w:right w:w="85" w:type="dxa"/>
            </w:tcMar>
          </w:tcPr>
          <w:p w14:paraId="045E30A2" w14:textId="77777777" w:rsidR="00387C28" w:rsidRPr="00BE78CA" w:rsidRDefault="00387C28" w:rsidP="00A37132">
            <w:pPr>
              <w:pStyle w:val="TableText"/>
              <w:spacing w:before="50" w:after="50"/>
              <w:jc w:val="right"/>
              <w:rPr>
                <w:rFonts w:cs="Calibri"/>
              </w:rPr>
            </w:pPr>
            <w:r w:rsidRPr="00BE78CA">
              <w:rPr>
                <w:rFonts w:eastAsia="Calibri" w:cs="Calibri"/>
              </w:rPr>
              <w:t>0.3</w:t>
            </w:r>
          </w:p>
        </w:tc>
        <w:tc>
          <w:tcPr>
            <w:tcW w:w="909" w:type="dxa"/>
            <w:tcBorders>
              <w:top w:val="single" w:sz="4" w:space="0" w:color="365F91"/>
              <w:bottom w:val="single" w:sz="4" w:space="0" w:color="365F91"/>
            </w:tcBorders>
            <w:shd w:val="clear" w:color="auto" w:fill="FFFFFF"/>
            <w:tcMar>
              <w:top w:w="0" w:type="dxa"/>
              <w:left w:w="85" w:type="dxa"/>
              <w:bottom w:w="0" w:type="dxa"/>
              <w:right w:w="85" w:type="dxa"/>
            </w:tcMar>
          </w:tcPr>
          <w:p w14:paraId="2C7C6F6D" w14:textId="77777777" w:rsidR="00387C28" w:rsidRPr="00BE78CA" w:rsidRDefault="00387C28" w:rsidP="00A37132">
            <w:pPr>
              <w:pStyle w:val="TableText"/>
              <w:spacing w:before="50" w:after="50"/>
              <w:jc w:val="right"/>
              <w:rPr>
                <w:rFonts w:cs="Calibri"/>
              </w:rPr>
            </w:pPr>
            <w:r w:rsidRPr="00BE78CA">
              <w:rPr>
                <w:rFonts w:eastAsia="Calibri" w:cs="Calibri"/>
              </w:rPr>
              <w:t>92.7</w:t>
            </w:r>
          </w:p>
        </w:tc>
      </w:tr>
      <w:tr w:rsidR="00387C28" w:rsidRPr="00BE78CA" w14:paraId="4C1F27A7" w14:textId="77777777" w:rsidTr="00AC70F2">
        <w:trPr>
          <w:cantSplit/>
        </w:trPr>
        <w:tc>
          <w:tcPr>
            <w:tcW w:w="846" w:type="dxa"/>
            <w:tcBorders>
              <w:top w:val="single" w:sz="4" w:space="0" w:color="365F91"/>
              <w:left w:val="single" w:sz="4" w:space="0" w:color="FFFFFF"/>
              <w:bottom w:val="single" w:sz="4" w:space="0" w:color="365F91"/>
            </w:tcBorders>
            <w:shd w:val="clear" w:color="auto" w:fill="FFFFFF"/>
            <w:tcMar>
              <w:top w:w="0" w:type="dxa"/>
              <w:left w:w="85" w:type="dxa"/>
              <w:bottom w:w="0" w:type="dxa"/>
              <w:right w:w="85" w:type="dxa"/>
            </w:tcMar>
          </w:tcPr>
          <w:p w14:paraId="61642D64" w14:textId="77777777" w:rsidR="00387C28" w:rsidRPr="00BE78CA" w:rsidRDefault="00387C28" w:rsidP="00A37132">
            <w:pPr>
              <w:pStyle w:val="TableText"/>
              <w:spacing w:before="50" w:after="50"/>
              <w:rPr>
                <w:rFonts w:cs="Calibri"/>
              </w:rPr>
            </w:pPr>
            <w:r w:rsidRPr="00BE78CA">
              <w:rPr>
                <w:rFonts w:eastAsia="Calibri" w:cs="Calibri"/>
              </w:rPr>
              <w:t>1.B.2.b.5</w:t>
            </w:r>
          </w:p>
        </w:tc>
        <w:tc>
          <w:tcPr>
            <w:tcW w:w="2410" w:type="dxa"/>
            <w:tcBorders>
              <w:top w:val="single" w:sz="4" w:space="0" w:color="365F91"/>
              <w:bottom w:val="single" w:sz="4" w:space="0" w:color="365F91"/>
            </w:tcBorders>
            <w:shd w:val="clear" w:color="auto" w:fill="FFFFFF"/>
            <w:tcMar>
              <w:top w:w="0" w:type="dxa"/>
              <w:left w:w="85" w:type="dxa"/>
              <w:bottom w:w="0" w:type="dxa"/>
              <w:right w:w="85" w:type="dxa"/>
            </w:tcMar>
          </w:tcPr>
          <w:p w14:paraId="5B2E3D07" w14:textId="77777777" w:rsidR="00387C28" w:rsidRPr="00BE78CA" w:rsidRDefault="00387C28" w:rsidP="00A37132">
            <w:pPr>
              <w:pStyle w:val="TableText"/>
              <w:spacing w:before="50" w:after="50"/>
              <w:rPr>
                <w:rFonts w:cs="Calibri"/>
              </w:rPr>
            </w:pPr>
            <w:r w:rsidRPr="00BE78CA">
              <w:rPr>
                <w:rFonts w:eastAsia="Calibri" w:cs="Calibri"/>
              </w:rPr>
              <w:t>Natural Gas – Distribution</w:t>
            </w:r>
          </w:p>
        </w:tc>
        <w:tc>
          <w:tcPr>
            <w:tcW w:w="538" w:type="dxa"/>
            <w:tcBorders>
              <w:top w:val="single" w:sz="4" w:space="0" w:color="365F91"/>
              <w:bottom w:val="single" w:sz="4" w:space="0" w:color="365F91"/>
            </w:tcBorders>
            <w:shd w:val="clear" w:color="auto" w:fill="FFFFFF"/>
            <w:tcMar>
              <w:top w:w="0" w:type="dxa"/>
              <w:left w:w="85" w:type="dxa"/>
              <w:bottom w:w="0" w:type="dxa"/>
              <w:right w:w="85" w:type="dxa"/>
            </w:tcMar>
          </w:tcPr>
          <w:p w14:paraId="17E81E5F" w14:textId="77777777" w:rsidR="00387C28" w:rsidRPr="00BE78CA" w:rsidRDefault="00387C28" w:rsidP="00A37132">
            <w:pPr>
              <w:pStyle w:val="TableText"/>
              <w:spacing w:before="50" w:after="50"/>
              <w:jc w:val="center"/>
              <w:rPr>
                <w:rFonts w:cs="Calibri"/>
              </w:rPr>
            </w:pPr>
            <w:r w:rsidRPr="00BE78CA">
              <w:rPr>
                <w:rFonts w:eastAsia="Calibri" w:cs="Calibri"/>
              </w:rPr>
              <w:t>CH</w:t>
            </w:r>
            <w:r w:rsidRPr="00BE78CA">
              <w:rPr>
                <w:rFonts w:eastAsia="Calibri" w:cs="Calibri"/>
                <w:vertAlign w:val="subscript"/>
              </w:rPr>
              <w:t>4</w:t>
            </w:r>
          </w:p>
        </w:tc>
        <w:tc>
          <w:tcPr>
            <w:tcW w:w="928" w:type="dxa"/>
            <w:tcBorders>
              <w:top w:val="single" w:sz="4" w:space="0" w:color="365F91"/>
              <w:bottom w:val="single" w:sz="4" w:space="0" w:color="365F91"/>
            </w:tcBorders>
            <w:shd w:val="clear" w:color="auto" w:fill="FFFFFF"/>
            <w:tcMar>
              <w:top w:w="0" w:type="dxa"/>
              <w:left w:w="85" w:type="dxa"/>
              <w:bottom w:w="0" w:type="dxa"/>
              <w:right w:w="85" w:type="dxa"/>
            </w:tcMar>
          </w:tcPr>
          <w:p w14:paraId="3EE1DA69" w14:textId="77777777" w:rsidR="00387C28" w:rsidRPr="00BE78CA" w:rsidRDefault="00387C28" w:rsidP="00A37132">
            <w:pPr>
              <w:pStyle w:val="TableText"/>
              <w:spacing w:before="50" w:after="50"/>
              <w:jc w:val="right"/>
              <w:rPr>
                <w:rFonts w:cs="Calibri"/>
              </w:rPr>
            </w:pPr>
            <w:r w:rsidRPr="00BE78CA">
              <w:rPr>
                <w:rFonts w:eastAsia="Calibri" w:cs="Calibri"/>
              </w:rPr>
              <w:t>277.5</w:t>
            </w:r>
          </w:p>
        </w:tc>
        <w:tc>
          <w:tcPr>
            <w:tcW w:w="928" w:type="dxa"/>
            <w:tcBorders>
              <w:top w:val="single" w:sz="4" w:space="0" w:color="365F91"/>
              <w:bottom w:val="single" w:sz="4" w:space="0" w:color="365F91"/>
            </w:tcBorders>
            <w:shd w:val="clear" w:color="auto" w:fill="FFFFFF"/>
            <w:tcMar>
              <w:top w:w="0" w:type="dxa"/>
              <w:left w:w="85" w:type="dxa"/>
              <w:bottom w:w="0" w:type="dxa"/>
              <w:right w:w="85" w:type="dxa"/>
            </w:tcMar>
          </w:tcPr>
          <w:p w14:paraId="7984B4F3" w14:textId="77777777" w:rsidR="00387C28" w:rsidRPr="00BE78CA" w:rsidRDefault="00387C28" w:rsidP="00A37132">
            <w:pPr>
              <w:pStyle w:val="TableText"/>
              <w:spacing w:before="50" w:after="50"/>
              <w:jc w:val="right"/>
              <w:rPr>
                <w:rFonts w:cs="Calibri"/>
              </w:rPr>
            </w:pPr>
            <w:r w:rsidRPr="00BE78CA">
              <w:rPr>
                <w:rFonts w:eastAsia="Calibri" w:cs="Calibri"/>
              </w:rPr>
              <w:t>210.9</w:t>
            </w:r>
          </w:p>
        </w:tc>
        <w:tc>
          <w:tcPr>
            <w:tcW w:w="937" w:type="dxa"/>
            <w:tcBorders>
              <w:top w:val="single" w:sz="4" w:space="0" w:color="365F91"/>
              <w:bottom w:val="single" w:sz="4" w:space="0" w:color="365F91"/>
            </w:tcBorders>
            <w:shd w:val="clear" w:color="auto" w:fill="FFFFFF"/>
            <w:tcMar>
              <w:top w:w="0" w:type="dxa"/>
              <w:left w:w="85" w:type="dxa"/>
              <w:bottom w:w="0" w:type="dxa"/>
              <w:right w:w="85" w:type="dxa"/>
            </w:tcMar>
          </w:tcPr>
          <w:p w14:paraId="731EC111" w14:textId="77777777" w:rsidR="00387C28" w:rsidRPr="00BE78CA" w:rsidRDefault="00387C28" w:rsidP="00A37132">
            <w:pPr>
              <w:pStyle w:val="TableText"/>
              <w:spacing w:before="50" w:after="50"/>
              <w:jc w:val="right"/>
              <w:rPr>
                <w:rFonts w:cs="Calibri"/>
              </w:rPr>
            </w:pPr>
            <w:r w:rsidRPr="00BE78CA">
              <w:rPr>
                <w:rFonts w:eastAsia="Calibri" w:cs="Calibri"/>
              </w:rPr>
              <w:t>0.002</w:t>
            </w:r>
          </w:p>
        </w:tc>
        <w:tc>
          <w:tcPr>
            <w:tcW w:w="999" w:type="dxa"/>
            <w:tcBorders>
              <w:top w:val="single" w:sz="4" w:space="0" w:color="365F91"/>
              <w:bottom w:val="single" w:sz="4" w:space="0" w:color="365F91"/>
            </w:tcBorders>
            <w:shd w:val="clear" w:color="auto" w:fill="FFFFFF"/>
            <w:tcMar>
              <w:top w:w="0" w:type="dxa"/>
              <w:left w:w="85" w:type="dxa"/>
              <w:bottom w:w="0" w:type="dxa"/>
              <w:right w:w="85" w:type="dxa"/>
            </w:tcMar>
          </w:tcPr>
          <w:p w14:paraId="7DE18D80" w14:textId="77777777" w:rsidR="00387C28" w:rsidRPr="00BE78CA" w:rsidRDefault="00387C28" w:rsidP="00A37132">
            <w:pPr>
              <w:pStyle w:val="TableText"/>
              <w:spacing w:before="50" w:after="50"/>
              <w:jc w:val="right"/>
              <w:rPr>
                <w:rFonts w:cs="Calibri"/>
              </w:rPr>
            </w:pPr>
            <w:r w:rsidRPr="00BE78CA">
              <w:rPr>
                <w:rFonts w:eastAsia="Calibri" w:cs="Calibri"/>
              </w:rPr>
              <w:t>0.3</w:t>
            </w:r>
          </w:p>
        </w:tc>
        <w:tc>
          <w:tcPr>
            <w:tcW w:w="909" w:type="dxa"/>
            <w:tcBorders>
              <w:top w:val="single" w:sz="4" w:space="0" w:color="365F91"/>
              <w:bottom w:val="single" w:sz="4" w:space="0" w:color="365F91"/>
            </w:tcBorders>
            <w:shd w:val="clear" w:color="auto" w:fill="FFFFFF"/>
            <w:tcMar>
              <w:top w:w="0" w:type="dxa"/>
              <w:left w:w="85" w:type="dxa"/>
              <w:bottom w:w="0" w:type="dxa"/>
              <w:right w:w="85" w:type="dxa"/>
            </w:tcMar>
          </w:tcPr>
          <w:p w14:paraId="50FE7018" w14:textId="77777777" w:rsidR="00387C28" w:rsidRPr="00BE78CA" w:rsidRDefault="00387C28" w:rsidP="00A37132">
            <w:pPr>
              <w:pStyle w:val="TableText"/>
              <w:spacing w:before="50" w:after="50"/>
              <w:jc w:val="right"/>
              <w:rPr>
                <w:rFonts w:cs="Calibri"/>
              </w:rPr>
            </w:pPr>
            <w:r w:rsidRPr="00BE78CA">
              <w:rPr>
                <w:rFonts w:eastAsia="Calibri" w:cs="Calibri"/>
              </w:rPr>
              <w:t>93.0</w:t>
            </w:r>
          </w:p>
        </w:tc>
      </w:tr>
      <w:tr w:rsidR="00387C28" w:rsidRPr="00BE78CA" w14:paraId="1A9E784B" w14:textId="77777777" w:rsidTr="00AC70F2">
        <w:trPr>
          <w:cantSplit/>
        </w:trPr>
        <w:tc>
          <w:tcPr>
            <w:tcW w:w="846" w:type="dxa"/>
            <w:tcBorders>
              <w:top w:val="single" w:sz="4" w:space="0" w:color="365F91"/>
              <w:left w:val="single" w:sz="4" w:space="0" w:color="FFFFFF"/>
              <w:bottom w:val="single" w:sz="4" w:space="0" w:color="365F91"/>
            </w:tcBorders>
            <w:shd w:val="clear" w:color="auto" w:fill="FFFFFF"/>
            <w:tcMar>
              <w:top w:w="0" w:type="dxa"/>
              <w:left w:w="85" w:type="dxa"/>
              <w:bottom w:w="0" w:type="dxa"/>
              <w:right w:w="85" w:type="dxa"/>
            </w:tcMar>
          </w:tcPr>
          <w:p w14:paraId="624110D3" w14:textId="77777777" w:rsidR="00387C28" w:rsidRPr="00BE78CA" w:rsidRDefault="00387C28" w:rsidP="00A37132">
            <w:pPr>
              <w:pStyle w:val="TableText"/>
              <w:spacing w:before="50" w:after="50"/>
              <w:rPr>
                <w:rFonts w:cs="Calibri"/>
              </w:rPr>
            </w:pPr>
            <w:r w:rsidRPr="00BE78CA">
              <w:rPr>
                <w:rFonts w:eastAsia="Calibri" w:cs="Calibri"/>
              </w:rPr>
              <w:t>1.A.3.a</w:t>
            </w:r>
          </w:p>
        </w:tc>
        <w:tc>
          <w:tcPr>
            <w:tcW w:w="2410" w:type="dxa"/>
            <w:tcBorders>
              <w:top w:val="single" w:sz="4" w:space="0" w:color="365F91"/>
              <w:bottom w:val="single" w:sz="4" w:space="0" w:color="365F91"/>
            </w:tcBorders>
            <w:shd w:val="clear" w:color="auto" w:fill="FFFFFF"/>
            <w:tcMar>
              <w:top w:w="0" w:type="dxa"/>
              <w:left w:w="85" w:type="dxa"/>
              <w:bottom w:w="0" w:type="dxa"/>
              <w:right w:w="85" w:type="dxa"/>
            </w:tcMar>
          </w:tcPr>
          <w:p w14:paraId="752F62B7" w14:textId="77777777" w:rsidR="00387C28" w:rsidRPr="00BE78CA" w:rsidRDefault="00387C28" w:rsidP="00A37132">
            <w:pPr>
              <w:pStyle w:val="TableText"/>
              <w:spacing w:before="50" w:after="50"/>
              <w:rPr>
                <w:rFonts w:cs="Calibri"/>
              </w:rPr>
            </w:pPr>
            <w:r w:rsidRPr="00BE78CA">
              <w:rPr>
                <w:rFonts w:eastAsia="Calibri" w:cs="Calibri"/>
              </w:rPr>
              <w:t>Domestic Aviation – Jet Kerosene</w:t>
            </w:r>
          </w:p>
        </w:tc>
        <w:tc>
          <w:tcPr>
            <w:tcW w:w="538" w:type="dxa"/>
            <w:tcBorders>
              <w:top w:val="single" w:sz="4" w:space="0" w:color="365F91"/>
              <w:bottom w:val="single" w:sz="4" w:space="0" w:color="365F91"/>
            </w:tcBorders>
            <w:shd w:val="clear" w:color="auto" w:fill="FFFFFF"/>
            <w:tcMar>
              <w:top w:w="0" w:type="dxa"/>
              <w:left w:w="85" w:type="dxa"/>
              <w:bottom w:w="0" w:type="dxa"/>
              <w:right w:w="85" w:type="dxa"/>
            </w:tcMar>
          </w:tcPr>
          <w:p w14:paraId="35EAEE2F" w14:textId="77777777" w:rsidR="00387C28" w:rsidRPr="00BE78CA" w:rsidRDefault="00387C28" w:rsidP="00A37132">
            <w:pPr>
              <w:pStyle w:val="TableText"/>
              <w:spacing w:before="50" w:after="50"/>
              <w:jc w:val="center"/>
              <w:rPr>
                <w:rFonts w:cs="Calibri"/>
              </w:rPr>
            </w:pPr>
            <w:r w:rsidRPr="00BE78CA">
              <w:rPr>
                <w:rFonts w:eastAsia="Calibri" w:cs="Calibri"/>
              </w:rPr>
              <w:t>CO</w:t>
            </w:r>
            <w:r w:rsidRPr="00BE78CA">
              <w:rPr>
                <w:rFonts w:eastAsia="Calibri" w:cs="Calibri"/>
                <w:vertAlign w:val="subscript"/>
              </w:rPr>
              <w:t>2</w:t>
            </w:r>
          </w:p>
        </w:tc>
        <w:tc>
          <w:tcPr>
            <w:tcW w:w="928" w:type="dxa"/>
            <w:tcBorders>
              <w:top w:val="single" w:sz="4" w:space="0" w:color="365F91"/>
              <w:bottom w:val="single" w:sz="4" w:space="0" w:color="365F91"/>
            </w:tcBorders>
            <w:shd w:val="clear" w:color="auto" w:fill="FFFFFF"/>
            <w:tcMar>
              <w:top w:w="0" w:type="dxa"/>
              <w:left w:w="85" w:type="dxa"/>
              <w:bottom w:w="0" w:type="dxa"/>
              <w:right w:w="85" w:type="dxa"/>
            </w:tcMar>
          </w:tcPr>
          <w:p w14:paraId="10C0438A" w14:textId="77777777" w:rsidR="00387C28" w:rsidRPr="00BE78CA" w:rsidRDefault="00387C28" w:rsidP="00A37132">
            <w:pPr>
              <w:pStyle w:val="TableText"/>
              <w:spacing w:before="50" w:after="50"/>
              <w:jc w:val="right"/>
              <w:rPr>
                <w:rFonts w:cs="Calibri"/>
              </w:rPr>
            </w:pPr>
            <w:r w:rsidRPr="00BE78CA">
              <w:rPr>
                <w:rFonts w:eastAsia="Calibri" w:cs="Calibri"/>
              </w:rPr>
              <w:t>892.6</w:t>
            </w:r>
          </w:p>
        </w:tc>
        <w:tc>
          <w:tcPr>
            <w:tcW w:w="928" w:type="dxa"/>
            <w:tcBorders>
              <w:top w:val="single" w:sz="4" w:space="0" w:color="365F91"/>
              <w:bottom w:val="single" w:sz="4" w:space="0" w:color="365F91"/>
            </w:tcBorders>
            <w:shd w:val="clear" w:color="auto" w:fill="FFFFFF"/>
            <w:tcMar>
              <w:top w:w="0" w:type="dxa"/>
              <w:left w:w="85" w:type="dxa"/>
              <w:bottom w:w="0" w:type="dxa"/>
              <w:right w:w="85" w:type="dxa"/>
            </w:tcMar>
          </w:tcPr>
          <w:p w14:paraId="3AEBBD08" w14:textId="77777777" w:rsidR="00387C28" w:rsidRPr="00BE78CA" w:rsidRDefault="00387C28" w:rsidP="00A37132">
            <w:pPr>
              <w:pStyle w:val="TableText"/>
              <w:spacing w:before="50" w:after="50"/>
              <w:jc w:val="right"/>
              <w:rPr>
                <w:rFonts w:cs="Calibri"/>
              </w:rPr>
            </w:pPr>
            <w:r w:rsidRPr="00BE78CA">
              <w:rPr>
                <w:rFonts w:eastAsia="Calibri" w:cs="Calibri"/>
              </w:rPr>
              <w:t>989.6</w:t>
            </w:r>
          </w:p>
        </w:tc>
        <w:tc>
          <w:tcPr>
            <w:tcW w:w="937" w:type="dxa"/>
            <w:tcBorders>
              <w:top w:val="single" w:sz="4" w:space="0" w:color="365F91"/>
              <w:bottom w:val="single" w:sz="4" w:space="0" w:color="365F91"/>
            </w:tcBorders>
            <w:shd w:val="clear" w:color="auto" w:fill="FFFFFF"/>
            <w:tcMar>
              <w:top w:w="0" w:type="dxa"/>
              <w:left w:w="85" w:type="dxa"/>
              <w:bottom w:w="0" w:type="dxa"/>
              <w:right w:w="85" w:type="dxa"/>
            </w:tcMar>
          </w:tcPr>
          <w:p w14:paraId="00BFA2B8" w14:textId="77777777" w:rsidR="00387C28" w:rsidRPr="00BE78CA" w:rsidRDefault="00387C28" w:rsidP="00A37132">
            <w:pPr>
              <w:pStyle w:val="TableText"/>
              <w:spacing w:before="50" w:after="50"/>
              <w:jc w:val="right"/>
              <w:rPr>
                <w:rFonts w:cs="Calibri"/>
              </w:rPr>
            </w:pPr>
            <w:r w:rsidRPr="00BE78CA">
              <w:rPr>
                <w:rFonts w:eastAsia="Calibri" w:cs="Calibri"/>
              </w:rPr>
              <w:t>0.002</w:t>
            </w:r>
          </w:p>
        </w:tc>
        <w:tc>
          <w:tcPr>
            <w:tcW w:w="999" w:type="dxa"/>
            <w:tcBorders>
              <w:top w:val="single" w:sz="4" w:space="0" w:color="365F91"/>
              <w:bottom w:val="single" w:sz="4" w:space="0" w:color="365F91"/>
            </w:tcBorders>
            <w:shd w:val="clear" w:color="auto" w:fill="FFFFFF"/>
            <w:tcMar>
              <w:top w:w="0" w:type="dxa"/>
              <w:left w:w="85" w:type="dxa"/>
              <w:bottom w:w="0" w:type="dxa"/>
              <w:right w:w="85" w:type="dxa"/>
            </w:tcMar>
          </w:tcPr>
          <w:p w14:paraId="52D212E8" w14:textId="77777777" w:rsidR="00387C28" w:rsidRPr="00BE78CA" w:rsidRDefault="00387C28" w:rsidP="00A37132">
            <w:pPr>
              <w:pStyle w:val="TableText"/>
              <w:spacing w:before="50" w:after="50"/>
              <w:jc w:val="right"/>
              <w:rPr>
                <w:rFonts w:cs="Calibri"/>
              </w:rPr>
            </w:pPr>
            <w:r w:rsidRPr="00BE78CA">
              <w:rPr>
                <w:rFonts w:eastAsia="Calibri" w:cs="Calibri"/>
              </w:rPr>
              <w:t>0.3</w:t>
            </w:r>
          </w:p>
        </w:tc>
        <w:tc>
          <w:tcPr>
            <w:tcW w:w="909" w:type="dxa"/>
            <w:tcBorders>
              <w:top w:val="single" w:sz="4" w:space="0" w:color="365F91"/>
              <w:bottom w:val="single" w:sz="4" w:space="0" w:color="365F91"/>
            </w:tcBorders>
            <w:shd w:val="clear" w:color="auto" w:fill="FFFFFF"/>
            <w:tcMar>
              <w:top w:w="0" w:type="dxa"/>
              <w:left w:w="85" w:type="dxa"/>
              <w:bottom w:w="0" w:type="dxa"/>
              <w:right w:w="85" w:type="dxa"/>
            </w:tcMar>
          </w:tcPr>
          <w:p w14:paraId="602C329C" w14:textId="77777777" w:rsidR="00387C28" w:rsidRPr="00BE78CA" w:rsidRDefault="00387C28" w:rsidP="00A37132">
            <w:pPr>
              <w:pStyle w:val="TableText"/>
              <w:spacing w:before="50" w:after="50"/>
              <w:jc w:val="right"/>
              <w:rPr>
                <w:rFonts w:cs="Calibri"/>
              </w:rPr>
            </w:pPr>
            <w:r w:rsidRPr="00BE78CA">
              <w:rPr>
                <w:rFonts w:eastAsia="Calibri" w:cs="Calibri"/>
              </w:rPr>
              <w:t>93.4</w:t>
            </w:r>
          </w:p>
        </w:tc>
      </w:tr>
      <w:tr w:rsidR="00387C28" w:rsidRPr="00BE78CA" w14:paraId="194FF10F" w14:textId="77777777" w:rsidTr="00AC70F2">
        <w:trPr>
          <w:cantSplit/>
        </w:trPr>
        <w:tc>
          <w:tcPr>
            <w:tcW w:w="846" w:type="dxa"/>
            <w:tcBorders>
              <w:top w:val="single" w:sz="4" w:space="0" w:color="365F91"/>
              <w:left w:val="single" w:sz="4" w:space="0" w:color="FFFFFF"/>
              <w:bottom w:val="single" w:sz="4" w:space="0" w:color="365F91"/>
            </w:tcBorders>
            <w:shd w:val="clear" w:color="auto" w:fill="FFFFFF"/>
            <w:tcMar>
              <w:top w:w="0" w:type="dxa"/>
              <w:left w:w="85" w:type="dxa"/>
              <w:bottom w:w="0" w:type="dxa"/>
              <w:right w:w="85" w:type="dxa"/>
            </w:tcMar>
          </w:tcPr>
          <w:p w14:paraId="4C79A51F" w14:textId="77777777" w:rsidR="00387C28" w:rsidRPr="00BE78CA" w:rsidRDefault="00387C28" w:rsidP="00A37132">
            <w:pPr>
              <w:pStyle w:val="TableText"/>
              <w:spacing w:before="50" w:after="50"/>
              <w:rPr>
                <w:rFonts w:cs="Calibri"/>
              </w:rPr>
            </w:pPr>
            <w:r w:rsidRPr="00BE78CA">
              <w:rPr>
                <w:rFonts w:eastAsia="Calibri" w:cs="Calibri"/>
              </w:rPr>
              <w:t>1.A.4.b</w:t>
            </w:r>
          </w:p>
        </w:tc>
        <w:tc>
          <w:tcPr>
            <w:tcW w:w="2410" w:type="dxa"/>
            <w:tcBorders>
              <w:top w:val="single" w:sz="4" w:space="0" w:color="365F91"/>
              <w:bottom w:val="single" w:sz="4" w:space="0" w:color="365F91"/>
            </w:tcBorders>
            <w:shd w:val="clear" w:color="auto" w:fill="FFFFFF"/>
            <w:tcMar>
              <w:top w:w="0" w:type="dxa"/>
              <w:left w:w="85" w:type="dxa"/>
              <w:bottom w:w="0" w:type="dxa"/>
              <w:right w:w="85" w:type="dxa"/>
            </w:tcMar>
          </w:tcPr>
          <w:p w14:paraId="71C061DD" w14:textId="77777777" w:rsidR="00387C28" w:rsidRPr="00BE78CA" w:rsidRDefault="00387C28" w:rsidP="00A37132">
            <w:pPr>
              <w:pStyle w:val="TableText"/>
              <w:spacing w:before="50" w:after="50"/>
              <w:rPr>
                <w:rFonts w:cs="Calibri"/>
              </w:rPr>
            </w:pPr>
            <w:r w:rsidRPr="00BE78CA">
              <w:rPr>
                <w:rFonts w:eastAsia="Calibri" w:cs="Calibri"/>
              </w:rPr>
              <w:t>Other Sectors – Residential</w:t>
            </w:r>
          </w:p>
        </w:tc>
        <w:tc>
          <w:tcPr>
            <w:tcW w:w="538" w:type="dxa"/>
            <w:tcBorders>
              <w:top w:val="single" w:sz="4" w:space="0" w:color="365F91"/>
              <w:bottom w:val="single" w:sz="4" w:space="0" w:color="365F91"/>
            </w:tcBorders>
            <w:shd w:val="clear" w:color="auto" w:fill="FFFFFF"/>
            <w:tcMar>
              <w:top w:w="0" w:type="dxa"/>
              <w:left w:w="85" w:type="dxa"/>
              <w:bottom w:w="0" w:type="dxa"/>
              <w:right w:w="85" w:type="dxa"/>
            </w:tcMar>
          </w:tcPr>
          <w:p w14:paraId="7C773FB0" w14:textId="77777777" w:rsidR="00387C28" w:rsidRPr="00BE78CA" w:rsidRDefault="00387C28" w:rsidP="00A37132">
            <w:pPr>
              <w:pStyle w:val="TableText"/>
              <w:spacing w:before="50" w:after="50"/>
              <w:jc w:val="center"/>
              <w:rPr>
                <w:rFonts w:cs="Calibri"/>
              </w:rPr>
            </w:pPr>
            <w:r w:rsidRPr="00BE78CA">
              <w:rPr>
                <w:rFonts w:eastAsia="Calibri" w:cs="Calibri"/>
              </w:rPr>
              <w:t>CO</w:t>
            </w:r>
            <w:r w:rsidRPr="00BE78CA">
              <w:rPr>
                <w:rFonts w:eastAsia="Calibri" w:cs="Calibri"/>
                <w:vertAlign w:val="subscript"/>
              </w:rPr>
              <w:t>2</w:t>
            </w:r>
          </w:p>
        </w:tc>
        <w:tc>
          <w:tcPr>
            <w:tcW w:w="928" w:type="dxa"/>
            <w:tcBorders>
              <w:top w:val="single" w:sz="4" w:space="0" w:color="365F91"/>
              <w:bottom w:val="single" w:sz="4" w:space="0" w:color="365F91"/>
            </w:tcBorders>
            <w:shd w:val="clear" w:color="auto" w:fill="FFFFFF"/>
            <w:tcMar>
              <w:top w:w="0" w:type="dxa"/>
              <w:left w:w="85" w:type="dxa"/>
              <w:bottom w:w="0" w:type="dxa"/>
              <w:right w:w="85" w:type="dxa"/>
            </w:tcMar>
          </w:tcPr>
          <w:p w14:paraId="05D32C11" w14:textId="77777777" w:rsidR="00387C28" w:rsidRPr="00BE78CA" w:rsidRDefault="00387C28" w:rsidP="00A37132">
            <w:pPr>
              <w:pStyle w:val="TableText"/>
              <w:spacing w:before="50" w:after="50"/>
              <w:jc w:val="right"/>
              <w:rPr>
                <w:rFonts w:cs="Calibri"/>
              </w:rPr>
            </w:pPr>
            <w:r w:rsidRPr="00BE78CA">
              <w:rPr>
                <w:rFonts w:eastAsia="Calibri" w:cs="Calibri"/>
              </w:rPr>
              <w:t>185.6</w:t>
            </w:r>
          </w:p>
        </w:tc>
        <w:tc>
          <w:tcPr>
            <w:tcW w:w="928" w:type="dxa"/>
            <w:tcBorders>
              <w:top w:val="single" w:sz="4" w:space="0" w:color="365F91"/>
              <w:bottom w:val="single" w:sz="4" w:space="0" w:color="365F91"/>
            </w:tcBorders>
            <w:shd w:val="clear" w:color="auto" w:fill="FFFFFF"/>
            <w:tcMar>
              <w:top w:w="0" w:type="dxa"/>
              <w:left w:w="85" w:type="dxa"/>
              <w:bottom w:w="0" w:type="dxa"/>
              <w:right w:w="85" w:type="dxa"/>
            </w:tcMar>
          </w:tcPr>
          <w:p w14:paraId="114E35A9" w14:textId="77777777" w:rsidR="00387C28" w:rsidRPr="00BE78CA" w:rsidRDefault="00387C28" w:rsidP="00A37132">
            <w:pPr>
              <w:pStyle w:val="TableText"/>
              <w:spacing w:before="50" w:after="50"/>
              <w:jc w:val="right"/>
              <w:rPr>
                <w:rFonts w:cs="Calibri"/>
              </w:rPr>
            </w:pPr>
            <w:r w:rsidRPr="00BE78CA">
              <w:rPr>
                <w:rFonts w:eastAsia="Calibri" w:cs="Calibri"/>
              </w:rPr>
              <w:t>369.6</w:t>
            </w:r>
          </w:p>
        </w:tc>
        <w:tc>
          <w:tcPr>
            <w:tcW w:w="937" w:type="dxa"/>
            <w:tcBorders>
              <w:top w:val="single" w:sz="4" w:space="0" w:color="365F91"/>
              <w:bottom w:val="single" w:sz="4" w:space="0" w:color="365F91"/>
            </w:tcBorders>
            <w:shd w:val="clear" w:color="auto" w:fill="FFFFFF"/>
            <w:tcMar>
              <w:top w:w="0" w:type="dxa"/>
              <w:left w:w="85" w:type="dxa"/>
              <w:bottom w:w="0" w:type="dxa"/>
              <w:right w:w="85" w:type="dxa"/>
            </w:tcMar>
          </w:tcPr>
          <w:p w14:paraId="006D51B1" w14:textId="77777777" w:rsidR="00387C28" w:rsidRPr="00BE78CA" w:rsidRDefault="00387C28" w:rsidP="00A37132">
            <w:pPr>
              <w:pStyle w:val="TableText"/>
              <w:spacing w:before="50" w:after="50"/>
              <w:jc w:val="right"/>
              <w:rPr>
                <w:rFonts w:cs="Calibri"/>
              </w:rPr>
            </w:pPr>
            <w:r w:rsidRPr="00BE78CA">
              <w:rPr>
                <w:rFonts w:eastAsia="Calibri" w:cs="Calibri"/>
              </w:rPr>
              <w:t>0.002</w:t>
            </w:r>
          </w:p>
        </w:tc>
        <w:tc>
          <w:tcPr>
            <w:tcW w:w="999" w:type="dxa"/>
            <w:tcBorders>
              <w:top w:val="single" w:sz="4" w:space="0" w:color="365F91"/>
              <w:bottom w:val="single" w:sz="4" w:space="0" w:color="365F91"/>
            </w:tcBorders>
            <w:shd w:val="clear" w:color="auto" w:fill="FFFFFF"/>
            <w:tcMar>
              <w:top w:w="0" w:type="dxa"/>
              <w:left w:w="85" w:type="dxa"/>
              <w:bottom w:w="0" w:type="dxa"/>
              <w:right w:w="85" w:type="dxa"/>
            </w:tcMar>
          </w:tcPr>
          <w:p w14:paraId="7CE396BD" w14:textId="77777777" w:rsidR="00387C28" w:rsidRPr="00BE78CA" w:rsidRDefault="00387C28" w:rsidP="00A37132">
            <w:pPr>
              <w:pStyle w:val="TableText"/>
              <w:spacing w:before="50" w:after="50"/>
              <w:jc w:val="right"/>
              <w:rPr>
                <w:rFonts w:cs="Calibri"/>
              </w:rPr>
            </w:pPr>
            <w:r w:rsidRPr="00BE78CA">
              <w:rPr>
                <w:rFonts w:eastAsia="Calibri" w:cs="Calibri"/>
              </w:rPr>
              <w:t>0.3</w:t>
            </w:r>
          </w:p>
        </w:tc>
        <w:tc>
          <w:tcPr>
            <w:tcW w:w="909" w:type="dxa"/>
            <w:tcBorders>
              <w:top w:val="single" w:sz="4" w:space="0" w:color="365F91"/>
              <w:bottom w:val="single" w:sz="4" w:space="0" w:color="365F91"/>
            </w:tcBorders>
            <w:shd w:val="clear" w:color="auto" w:fill="FFFFFF"/>
            <w:tcMar>
              <w:top w:w="0" w:type="dxa"/>
              <w:left w:w="85" w:type="dxa"/>
              <w:bottom w:w="0" w:type="dxa"/>
              <w:right w:w="85" w:type="dxa"/>
            </w:tcMar>
          </w:tcPr>
          <w:p w14:paraId="421ACDA4" w14:textId="77777777" w:rsidR="00387C28" w:rsidRPr="00BE78CA" w:rsidRDefault="00387C28" w:rsidP="00A37132">
            <w:pPr>
              <w:pStyle w:val="TableText"/>
              <w:spacing w:before="50" w:after="50"/>
              <w:jc w:val="right"/>
              <w:rPr>
                <w:rFonts w:cs="Calibri"/>
              </w:rPr>
            </w:pPr>
            <w:r w:rsidRPr="00BE78CA">
              <w:rPr>
                <w:rFonts w:eastAsia="Calibri" w:cs="Calibri"/>
              </w:rPr>
              <w:t>93.7</w:t>
            </w:r>
          </w:p>
        </w:tc>
      </w:tr>
      <w:tr w:rsidR="00387C28" w:rsidRPr="00BE78CA" w14:paraId="5D39F8AE" w14:textId="77777777" w:rsidTr="00AC70F2">
        <w:trPr>
          <w:cantSplit/>
        </w:trPr>
        <w:tc>
          <w:tcPr>
            <w:tcW w:w="846" w:type="dxa"/>
            <w:tcBorders>
              <w:top w:val="single" w:sz="4" w:space="0" w:color="365F91"/>
              <w:left w:val="single" w:sz="4" w:space="0" w:color="FFFFFF"/>
              <w:bottom w:val="single" w:sz="4" w:space="0" w:color="365F91"/>
            </w:tcBorders>
            <w:shd w:val="clear" w:color="auto" w:fill="FFFFFF"/>
            <w:tcMar>
              <w:top w:w="0" w:type="dxa"/>
              <w:left w:w="85" w:type="dxa"/>
              <w:bottom w:w="0" w:type="dxa"/>
              <w:right w:w="85" w:type="dxa"/>
            </w:tcMar>
          </w:tcPr>
          <w:p w14:paraId="2ADF962E" w14:textId="77777777" w:rsidR="00387C28" w:rsidRPr="00BE78CA" w:rsidRDefault="00387C28" w:rsidP="00A37132">
            <w:pPr>
              <w:pStyle w:val="TableText"/>
              <w:spacing w:before="50" w:after="50"/>
              <w:rPr>
                <w:rFonts w:cs="Calibri"/>
              </w:rPr>
            </w:pPr>
            <w:r w:rsidRPr="00BE78CA">
              <w:rPr>
                <w:rFonts w:eastAsia="Calibri" w:cs="Calibri"/>
              </w:rPr>
              <w:t>1.A.2.d</w:t>
            </w:r>
          </w:p>
        </w:tc>
        <w:tc>
          <w:tcPr>
            <w:tcW w:w="2410" w:type="dxa"/>
            <w:tcBorders>
              <w:top w:val="single" w:sz="4" w:space="0" w:color="365F91"/>
              <w:bottom w:val="single" w:sz="4" w:space="0" w:color="365F91"/>
            </w:tcBorders>
            <w:shd w:val="clear" w:color="auto" w:fill="FFFFFF"/>
            <w:tcMar>
              <w:top w:w="0" w:type="dxa"/>
              <w:left w:w="85" w:type="dxa"/>
              <w:bottom w:w="0" w:type="dxa"/>
              <w:right w:w="85" w:type="dxa"/>
            </w:tcMar>
          </w:tcPr>
          <w:p w14:paraId="5E91325C" w14:textId="77777777" w:rsidR="00387C28" w:rsidRPr="00BE78CA" w:rsidRDefault="00387C28" w:rsidP="00A37132">
            <w:pPr>
              <w:pStyle w:val="TableText"/>
              <w:spacing w:before="50" w:after="50"/>
              <w:rPr>
                <w:rFonts w:cs="Calibri"/>
              </w:rPr>
            </w:pPr>
            <w:r w:rsidRPr="00BE78CA">
              <w:rPr>
                <w:rFonts w:eastAsia="Calibri" w:cs="Calibri"/>
              </w:rPr>
              <w:t>Pulp, Paper and Print – Gaseous Fuels</w:t>
            </w:r>
          </w:p>
        </w:tc>
        <w:tc>
          <w:tcPr>
            <w:tcW w:w="538" w:type="dxa"/>
            <w:tcBorders>
              <w:top w:val="single" w:sz="4" w:space="0" w:color="365F91"/>
              <w:bottom w:val="single" w:sz="4" w:space="0" w:color="365F91"/>
            </w:tcBorders>
            <w:shd w:val="clear" w:color="auto" w:fill="FFFFFF"/>
            <w:tcMar>
              <w:top w:w="0" w:type="dxa"/>
              <w:left w:w="85" w:type="dxa"/>
              <w:bottom w:w="0" w:type="dxa"/>
              <w:right w:w="85" w:type="dxa"/>
            </w:tcMar>
          </w:tcPr>
          <w:p w14:paraId="0345D07D" w14:textId="77777777" w:rsidR="00387C28" w:rsidRPr="00BE78CA" w:rsidRDefault="00387C28" w:rsidP="00A37132">
            <w:pPr>
              <w:pStyle w:val="TableText"/>
              <w:spacing w:before="50" w:after="50"/>
              <w:jc w:val="center"/>
              <w:rPr>
                <w:rFonts w:cs="Calibri"/>
              </w:rPr>
            </w:pPr>
            <w:r w:rsidRPr="00BE78CA">
              <w:rPr>
                <w:rFonts w:eastAsia="Calibri" w:cs="Calibri"/>
              </w:rPr>
              <w:t>CO</w:t>
            </w:r>
            <w:r w:rsidRPr="00BE78CA">
              <w:rPr>
                <w:rFonts w:eastAsia="Calibri" w:cs="Calibri"/>
                <w:vertAlign w:val="subscript"/>
              </w:rPr>
              <w:t>2</w:t>
            </w:r>
          </w:p>
        </w:tc>
        <w:tc>
          <w:tcPr>
            <w:tcW w:w="928" w:type="dxa"/>
            <w:tcBorders>
              <w:top w:val="single" w:sz="4" w:space="0" w:color="365F91"/>
              <w:bottom w:val="single" w:sz="4" w:space="0" w:color="365F91"/>
            </w:tcBorders>
            <w:shd w:val="clear" w:color="auto" w:fill="FFFFFF"/>
            <w:tcMar>
              <w:top w:w="0" w:type="dxa"/>
              <w:left w:w="85" w:type="dxa"/>
              <w:bottom w:w="0" w:type="dxa"/>
              <w:right w:w="85" w:type="dxa"/>
            </w:tcMar>
          </w:tcPr>
          <w:p w14:paraId="285BEF74" w14:textId="77777777" w:rsidR="00387C28" w:rsidRPr="00BE78CA" w:rsidRDefault="00387C28" w:rsidP="00A37132">
            <w:pPr>
              <w:pStyle w:val="TableText"/>
              <w:spacing w:before="50" w:after="50"/>
              <w:jc w:val="right"/>
              <w:rPr>
                <w:rFonts w:cs="Calibri"/>
              </w:rPr>
            </w:pPr>
            <w:r w:rsidRPr="00BE78CA">
              <w:rPr>
                <w:rFonts w:eastAsia="Calibri" w:cs="Calibri"/>
              </w:rPr>
              <w:t>348.9</w:t>
            </w:r>
          </w:p>
        </w:tc>
        <w:tc>
          <w:tcPr>
            <w:tcW w:w="928" w:type="dxa"/>
            <w:tcBorders>
              <w:top w:val="single" w:sz="4" w:space="0" w:color="365F91"/>
              <w:bottom w:val="single" w:sz="4" w:space="0" w:color="365F91"/>
            </w:tcBorders>
            <w:shd w:val="clear" w:color="auto" w:fill="FFFFFF"/>
            <w:tcMar>
              <w:top w:w="0" w:type="dxa"/>
              <w:left w:w="85" w:type="dxa"/>
              <w:bottom w:w="0" w:type="dxa"/>
              <w:right w:w="85" w:type="dxa"/>
            </w:tcMar>
          </w:tcPr>
          <w:p w14:paraId="69FDF6C7" w14:textId="77777777" w:rsidR="00387C28" w:rsidRPr="00BE78CA" w:rsidRDefault="00387C28" w:rsidP="00A37132">
            <w:pPr>
              <w:pStyle w:val="TableText"/>
              <w:spacing w:before="50" w:after="50"/>
              <w:jc w:val="right"/>
              <w:rPr>
                <w:rFonts w:cs="Calibri"/>
              </w:rPr>
            </w:pPr>
            <w:r w:rsidRPr="00BE78CA">
              <w:rPr>
                <w:rFonts w:eastAsia="Calibri" w:cs="Calibri"/>
              </w:rPr>
              <w:t>315.7</w:t>
            </w:r>
          </w:p>
        </w:tc>
        <w:tc>
          <w:tcPr>
            <w:tcW w:w="937" w:type="dxa"/>
            <w:tcBorders>
              <w:top w:val="single" w:sz="4" w:space="0" w:color="365F91"/>
              <w:bottom w:val="single" w:sz="4" w:space="0" w:color="365F91"/>
            </w:tcBorders>
            <w:shd w:val="clear" w:color="auto" w:fill="FFFFFF"/>
            <w:tcMar>
              <w:top w:w="0" w:type="dxa"/>
              <w:left w:w="85" w:type="dxa"/>
              <w:bottom w:w="0" w:type="dxa"/>
              <w:right w:w="85" w:type="dxa"/>
            </w:tcMar>
          </w:tcPr>
          <w:p w14:paraId="4EF125A1" w14:textId="77777777" w:rsidR="00387C28" w:rsidRPr="00BE78CA" w:rsidRDefault="00387C28" w:rsidP="00A37132">
            <w:pPr>
              <w:pStyle w:val="TableText"/>
              <w:spacing w:before="50" w:after="50"/>
              <w:jc w:val="right"/>
              <w:rPr>
                <w:rFonts w:cs="Calibri"/>
              </w:rPr>
            </w:pPr>
            <w:r w:rsidRPr="00BE78CA">
              <w:rPr>
                <w:rFonts w:eastAsia="Calibri" w:cs="Calibri"/>
              </w:rPr>
              <w:t>0.002</w:t>
            </w:r>
          </w:p>
        </w:tc>
        <w:tc>
          <w:tcPr>
            <w:tcW w:w="999" w:type="dxa"/>
            <w:tcBorders>
              <w:top w:val="single" w:sz="4" w:space="0" w:color="365F91"/>
              <w:bottom w:val="single" w:sz="4" w:space="0" w:color="365F91"/>
            </w:tcBorders>
            <w:shd w:val="clear" w:color="auto" w:fill="FFFFFF"/>
            <w:tcMar>
              <w:top w:w="0" w:type="dxa"/>
              <w:left w:w="85" w:type="dxa"/>
              <w:bottom w:w="0" w:type="dxa"/>
              <w:right w:w="85" w:type="dxa"/>
            </w:tcMar>
          </w:tcPr>
          <w:p w14:paraId="143D7C90" w14:textId="77777777" w:rsidR="00387C28" w:rsidRPr="00BE78CA" w:rsidRDefault="00387C28" w:rsidP="00A37132">
            <w:pPr>
              <w:pStyle w:val="TableText"/>
              <w:spacing w:before="50" w:after="50"/>
              <w:jc w:val="right"/>
              <w:rPr>
                <w:rFonts w:cs="Calibri"/>
              </w:rPr>
            </w:pPr>
            <w:r w:rsidRPr="00BE78CA">
              <w:rPr>
                <w:rFonts w:eastAsia="Calibri" w:cs="Calibri"/>
              </w:rPr>
              <w:t>0.3</w:t>
            </w:r>
          </w:p>
        </w:tc>
        <w:tc>
          <w:tcPr>
            <w:tcW w:w="909" w:type="dxa"/>
            <w:tcBorders>
              <w:top w:val="single" w:sz="4" w:space="0" w:color="365F91"/>
              <w:bottom w:val="single" w:sz="4" w:space="0" w:color="365F91"/>
            </w:tcBorders>
            <w:shd w:val="clear" w:color="auto" w:fill="FFFFFF"/>
            <w:tcMar>
              <w:top w:w="0" w:type="dxa"/>
              <w:left w:w="85" w:type="dxa"/>
              <w:bottom w:w="0" w:type="dxa"/>
              <w:right w:w="85" w:type="dxa"/>
            </w:tcMar>
          </w:tcPr>
          <w:p w14:paraId="15E06972" w14:textId="77777777" w:rsidR="00387C28" w:rsidRPr="00BE78CA" w:rsidRDefault="00387C28" w:rsidP="00A37132">
            <w:pPr>
              <w:pStyle w:val="TableText"/>
              <w:spacing w:before="50" w:after="50"/>
              <w:jc w:val="right"/>
              <w:rPr>
                <w:rFonts w:cs="Calibri"/>
              </w:rPr>
            </w:pPr>
            <w:r w:rsidRPr="00BE78CA">
              <w:rPr>
                <w:rFonts w:eastAsia="Calibri" w:cs="Calibri"/>
              </w:rPr>
              <w:t>94.0</w:t>
            </w:r>
          </w:p>
        </w:tc>
      </w:tr>
      <w:tr w:rsidR="00387C28" w:rsidRPr="00BE78CA" w14:paraId="2C15E177" w14:textId="77777777" w:rsidTr="00AC70F2">
        <w:trPr>
          <w:cantSplit/>
        </w:trPr>
        <w:tc>
          <w:tcPr>
            <w:tcW w:w="846" w:type="dxa"/>
            <w:tcBorders>
              <w:top w:val="single" w:sz="4" w:space="0" w:color="365F91"/>
              <w:left w:val="single" w:sz="4" w:space="0" w:color="FFFFFF"/>
              <w:bottom w:val="single" w:sz="4" w:space="0" w:color="365F91"/>
            </w:tcBorders>
            <w:shd w:val="clear" w:color="auto" w:fill="FFFFFF"/>
            <w:tcMar>
              <w:top w:w="0" w:type="dxa"/>
              <w:left w:w="85" w:type="dxa"/>
              <w:bottom w:w="0" w:type="dxa"/>
              <w:right w:w="85" w:type="dxa"/>
            </w:tcMar>
          </w:tcPr>
          <w:p w14:paraId="140602E1" w14:textId="77777777" w:rsidR="00387C28" w:rsidRPr="00BE78CA" w:rsidRDefault="00387C28" w:rsidP="00A37132">
            <w:pPr>
              <w:pStyle w:val="TableText"/>
              <w:spacing w:before="50" w:after="50"/>
              <w:rPr>
                <w:rFonts w:cs="Calibri"/>
              </w:rPr>
            </w:pPr>
            <w:r w:rsidRPr="00BE78CA">
              <w:rPr>
                <w:rFonts w:eastAsia="Calibri" w:cs="Calibri"/>
              </w:rPr>
              <w:t>5.C</w:t>
            </w:r>
          </w:p>
        </w:tc>
        <w:tc>
          <w:tcPr>
            <w:tcW w:w="2410" w:type="dxa"/>
            <w:tcBorders>
              <w:top w:val="single" w:sz="4" w:space="0" w:color="365F91"/>
              <w:bottom w:val="single" w:sz="4" w:space="0" w:color="365F91"/>
            </w:tcBorders>
            <w:shd w:val="clear" w:color="auto" w:fill="FFFFFF"/>
            <w:tcMar>
              <w:top w:w="0" w:type="dxa"/>
              <w:left w:w="85" w:type="dxa"/>
              <w:bottom w:w="0" w:type="dxa"/>
              <w:right w:w="85" w:type="dxa"/>
            </w:tcMar>
          </w:tcPr>
          <w:p w14:paraId="45A93925" w14:textId="77777777" w:rsidR="00387C28" w:rsidRPr="00BE78CA" w:rsidRDefault="00387C28" w:rsidP="00A37132">
            <w:pPr>
              <w:pStyle w:val="TableText"/>
              <w:spacing w:before="50" w:after="50"/>
              <w:rPr>
                <w:rFonts w:cs="Calibri"/>
              </w:rPr>
            </w:pPr>
            <w:r w:rsidRPr="00BE78CA">
              <w:rPr>
                <w:rFonts w:eastAsia="Calibri" w:cs="Calibri"/>
              </w:rPr>
              <w:t>Waste – Incineration and Open Burning of Waste</w:t>
            </w:r>
          </w:p>
        </w:tc>
        <w:tc>
          <w:tcPr>
            <w:tcW w:w="538" w:type="dxa"/>
            <w:tcBorders>
              <w:top w:val="single" w:sz="4" w:space="0" w:color="365F91"/>
              <w:bottom w:val="single" w:sz="4" w:space="0" w:color="365F91"/>
            </w:tcBorders>
            <w:shd w:val="clear" w:color="auto" w:fill="FFFFFF"/>
            <w:tcMar>
              <w:top w:w="0" w:type="dxa"/>
              <w:left w:w="85" w:type="dxa"/>
              <w:bottom w:w="0" w:type="dxa"/>
              <w:right w:w="85" w:type="dxa"/>
            </w:tcMar>
          </w:tcPr>
          <w:p w14:paraId="08021E41" w14:textId="77777777" w:rsidR="00387C28" w:rsidRPr="00BE78CA" w:rsidRDefault="00387C28" w:rsidP="00A37132">
            <w:pPr>
              <w:pStyle w:val="TableText"/>
              <w:spacing w:before="50" w:after="50"/>
              <w:jc w:val="center"/>
              <w:rPr>
                <w:rFonts w:cs="Calibri"/>
              </w:rPr>
            </w:pPr>
            <w:r w:rsidRPr="00BE78CA">
              <w:rPr>
                <w:rFonts w:eastAsia="Calibri" w:cs="Calibri"/>
              </w:rPr>
              <w:t>CO</w:t>
            </w:r>
            <w:r w:rsidRPr="00BE78CA">
              <w:rPr>
                <w:rFonts w:eastAsia="Calibri" w:cs="Calibri"/>
                <w:vertAlign w:val="subscript"/>
              </w:rPr>
              <w:t>2</w:t>
            </w:r>
          </w:p>
        </w:tc>
        <w:tc>
          <w:tcPr>
            <w:tcW w:w="928" w:type="dxa"/>
            <w:tcBorders>
              <w:top w:val="single" w:sz="4" w:space="0" w:color="365F91"/>
              <w:bottom w:val="single" w:sz="4" w:space="0" w:color="365F91"/>
            </w:tcBorders>
            <w:shd w:val="clear" w:color="auto" w:fill="FFFFFF"/>
            <w:tcMar>
              <w:top w:w="0" w:type="dxa"/>
              <w:left w:w="85" w:type="dxa"/>
              <w:bottom w:w="0" w:type="dxa"/>
              <w:right w:w="85" w:type="dxa"/>
            </w:tcMar>
          </w:tcPr>
          <w:p w14:paraId="544F66F9" w14:textId="77777777" w:rsidR="00387C28" w:rsidRPr="00BE78CA" w:rsidRDefault="00387C28" w:rsidP="00A37132">
            <w:pPr>
              <w:pStyle w:val="TableText"/>
              <w:spacing w:before="50" w:after="50"/>
              <w:jc w:val="right"/>
              <w:rPr>
                <w:rFonts w:cs="Calibri"/>
              </w:rPr>
            </w:pPr>
            <w:r w:rsidRPr="00BE78CA">
              <w:rPr>
                <w:rFonts w:eastAsia="Calibri" w:cs="Calibri"/>
              </w:rPr>
              <w:t>158.8</w:t>
            </w:r>
          </w:p>
        </w:tc>
        <w:tc>
          <w:tcPr>
            <w:tcW w:w="928" w:type="dxa"/>
            <w:tcBorders>
              <w:top w:val="single" w:sz="4" w:space="0" w:color="365F91"/>
              <w:bottom w:val="single" w:sz="4" w:space="0" w:color="365F91"/>
            </w:tcBorders>
            <w:shd w:val="clear" w:color="auto" w:fill="FFFFFF"/>
            <w:tcMar>
              <w:top w:w="0" w:type="dxa"/>
              <w:left w:w="85" w:type="dxa"/>
              <w:bottom w:w="0" w:type="dxa"/>
              <w:right w:w="85" w:type="dxa"/>
            </w:tcMar>
          </w:tcPr>
          <w:p w14:paraId="052E439D" w14:textId="77777777" w:rsidR="00387C28" w:rsidRPr="00BE78CA" w:rsidRDefault="00387C28" w:rsidP="00A37132">
            <w:pPr>
              <w:pStyle w:val="TableText"/>
              <w:spacing w:before="50" w:after="50"/>
              <w:jc w:val="right"/>
              <w:rPr>
                <w:rFonts w:cs="Calibri"/>
              </w:rPr>
            </w:pPr>
            <w:r w:rsidRPr="00BE78CA">
              <w:rPr>
                <w:rFonts w:eastAsia="Calibri" w:cs="Calibri"/>
              </w:rPr>
              <w:t>90.2</w:t>
            </w:r>
          </w:p>
        </w:tc>
        <w:tc>
          <w:tcPr>
            <w:tcW w:w="937" w:type="dxa"/>
            <w:tcBorders>
              <w:top w:val="single" w:sz="4" w:space="0" w:color="365F91"/>
              <w:bottom w:val="single" w:sz="4" w:space="0" w:color="365F91"/>
            </w:tcBorders>
            <w:shd w:val="clear" w:color="auto" w:fill="FFFFFF"/>
            <w:tcMar>
              <w:top w:w="0" w:type="dxa"/>
              <w:left w:w="85" w:type="dxa"/>
              <w:bottom w:w="0" w:type="dxa"/>
              <w:right w:w="85" w:type="dxa"/>
            </w:tcMar>
          </w:tcPr>
          <w:p w14:paraId="5AE499C0" w14:textId="77777777" w:rsidR="00387C28" w:rsidRPr="00BE78CA" w:rsidRDefault="00387C28" w:rsidP="00A37132">
            <w:pPr>
              <w:pStyle w:val="TableText"/>
              <w:spacing w:before="50" w:after="50"/>
              <w:jc w:val="right"/>
              <w:rPr>
                <w:rFonts w:cs="Calibri"/>
              </w:rPr>
            </w:pPr>
            <w:r w:rsidRPr="00BE78CA">
              <w:rPr>
                <w:rFonts w:eastAsia="Calibri" w:cs="Calibri"/>
              </w:rPr>
              <w:t>0.002</w:t>
            </w:r>
          </w:p>
        </w:tc>
        <w:tc>
          <w:tcPr>
            <w:tcW w:w="999" w:type="dxa"/>
            <w:tcBorders>
              <w:top w:val="single" w:sz="4" w:space="0" w:color="365F91"/>
              <w:bottom w:val="single" w:sz="4" w:space="0" w:color="365F91"/>
            </w:tcBorders>
            <w:shd w:val="clear" w:color="auto" w:fill="FFFFFF"/>
            <w:tcMar>
              <w:top w:w="0" w:type="dxa"/>
              <w:left w:w="85" w:type="dxa"/>
              <w:bottom w:w="0" w:type="dxa"/>
              <w:right w:w="85" w:type="dxa"/>
            </w:tcMar>
          </w:tcPr>
          <w:p w14:paraId="0EEB520A" w14:textId="77777777" w:rsidR="00387C28" w:rsidRPr="00BE78CA" w:rsidRDefault="00387C28" w:rsidP="00A37132">
            <w:pPr>
              <w:pStyle w:val="TableText"/>
              <w:spacing w:before="50" w:after="50"/>
              <w:jc w:val="right"/>
              <w:rPr>
                <w:rFonts w:cs="Calibri"/>
              </w:rPr>
            </w:pPr>
            <w:r w:rsidRPr="00BE78CA">
              <w:rPr>
                <w:rFonts w:eastAsia="Calibri" w:cs="Calibri"/>
              </w:rPr>
              <w:t>0.3</w:t>
            </w:r>
          </w:p>
        </w:tc>
        <w:tc>
          <w:tcPr>
            <w:tcW w:w="909" w:type="dxa"/>
            <w:tcBorders>
              <w:top w:val="single" w:sz="4" w:space="0" w:color="365F91"/>
              <w:bottom w:val="single" w:sz="4" w:space="0" w:color="365F91"/>
            </w:tcBorders>
            <w:shd w:val="clear" w:color="auto" w:fill="FFFFFF"/>
            <w:tcMar>
              <w:top w:w="0" w:type="dxa"/>
              <w:left w:w="85" w:type="dxa"/>
              <w:bottom w:w="0" w:type="dxa"/>
              <w:right w:w="85" w:type="dxa"/>
            </w:tcMar>
          </w:tcPr>
          <w:p w14:paraId="74B703B3" w14:textId="77777777" w:rsidR="00387C28" w:rsidRPr="00BE78CA" w:rsidRDefault="00387C28" w:rsidP="00A37132">
            <w:pPr>
              <w:pStyle w:val="TableText"/>
              <w:spacing w:before="50" w:after="50"/>
              <w:jc w:val="right"/>
              <w:rPr>
                <w:rFonts w:cs="Calibri"/>
              </w:rPr>
            </w:pPr>
            <w:r w:rsidRPr="00BE78CA">
              <w:rPr>
                <w:rFonts w:eastAsia="Calibri" w:cs="Calibri"/>
              </w:rPr>
              <w:t>94.2</w:t>
            </w:r>
          </w:p>
        </w:tc>
      </w:tr>
      <w:tr w:rsidR="00387C28" w:rsidRPr="00BE78CA" w14:paraId="417FE763" w14:textId="77777777" w:rsidTr="00AC70F2">
        <w:trPr>
          <w:cantSplit/>
        </w:trPr>
        <w:tc>
          <w:tcPr>
            <w:tcW w:w="846" w:type="dxa"/>
            <w:tcBorders>
              <w:top w:val="single" w:sz="4" w:space="0" w:color="365F91"/>
              <w:left w:val="single" w:sz="4" w:space="0" w:color="FFFFFF"/>
              <w:bottom w:val="single" w:sz="4" w:space="0" w:color="365F91"/>
            </w:tcBorders>
            <w:shd w:val="clear" w:color="auto" w:fill="FFFFFF"/>
            <w:tcMar>
              <w:top w:w="0" w:type="dxa"/>
              <w:left w:w="85" w:type="dxa"/>
              <w:bottom w:w="0" w:type="dxa"/>
              <w:right w:w="85" w:type="dxa"/>
            </w:tcMar>
          </w:tcPr>
          <w:p w14:paraId="5E775A63" w14:textId="77777777" w:rsidR="00387C28" w:rsidRPr="00BE78CA" w:rsidRDefault="00387C28" w:rsidP="00A37132">
            <w:pPr>
              <w:pStyle w:val="TableText"/>
              <w:spacing w:before="50" w:after="50"/>
              <w:rPr>
                <w:rFonts w:cs="Calibri"/>
              </w:rPr>
            </w:pPr>
            <w:r w:rsidRPr="00BE78CA">
              <w:rPr>
                <w:rFonts w:eastAsia="Calibri" w:cs="Calibri"/>
              </w:rPr>
              <w:t>1.A.2.f</w:t>
            </w:r>
          </w:p>
        </w:tc>
        <w:tc>
          <w:tcPr>
            <w:tcW w:w="2410" w:type="dxa"/>
            <w:tcBorders>
              <w:top w:val="single" w:sz="4" w:space="0" w:color="365F91"/>
              <w:bottom w:val="single" w:sz="4" w:space="0" w:color="365F91"/>
            </w:tcBorders>
            <w:shd w:val="clear" w:color="auto" w:fill="FFFFFF"/>
            <w:tcMar>
              <w:top w:w="0" w:type="dxa"/>
              <w:left w:w="85" w:type="dxa"/>
              <w:bottom w:w="0" w:type="dxa"/>
              <w:right w:w="85" w:type="dxa"/>
            </w:tcMar>
          </w:tcPr>
          <w:p w14:paraId="23D35EBC" w14:textId="77777777" w:rsidR="00387C28" w:rsidRPr="00BE78CA" w:rsidRDefault="00387C28" w:rsidP="00A37132">
            <w:pPr>
              <w:pStyle w:val="TableText"/>
              <w:spacing w:before="50" w:after="50"/>
              <w:rPr>
                <w:rFonts w:cs="Calibri"/>
              </w:rPr>
            </w:pPr>
            <w:r w:rsidRPr="00BE78CA">
              <w:rPr>
                <w:rFonts w:eastAsia="Calibri" w:cs="Calibri"/>
              </w:rPr>
              <w:t>Non-metallic Minerals – Solid Fuels</w:t>
            </w:r>
          </w:p>
        </w:tc>
        <w:tc>
          <w:tcPr>
            <w:tcW w:w="538" w:type="dxa"/>
            <w:tcBorders>
              <w:top w:val="single" w:sz="4" w:space="0" w:color="365F91"/>
              <w:bottom w:val="single" w:sz="4" w:space="0" w:color="365F91"/>
            </w:tcBorders>
            <w:shd w:val="clear" w:color="auto" w:fill="FFFFFF"/>
            <w:tcMar>
              <w:top w:w="0" w:type="dxa"/>
              <w:left w:w="85" w:type="dxa"/>
              <w:bottom w:w="0" w:type="dxa"/>
              <w:right w:w="85" w:type="dxa"/>
            </w:tcMar>
          </w:tcPr>
          <w:p w14:paraId="7EE612CE" w14:textId="77777777" w:rsidR="00387C28" w:rsidRPr="00BE78CA" w:rsidRDefault="00387C28" w:rsidP="00A37132">
            <w:pPr>
              <w:pStyle w:val="TableText"/>
              <w:spacing w:before="50" w:after="50"/>
              <w:jc w:val="center"/>
              <w:rPr>
                <w:rFonts w:cs="Calibri"/>
              </w:rPr>
            </w:pPr>
            <w:r w:rsidRPr="00BE78CA">
              <w:rPr>
                <w:rFonts w:eastAsia="Calibri" w:cs="Calibri"/>
              </w:rPr>
              <w:t>CO</w:t>
            </w:r>
            <w:r w:rsidRPr="00BE78CA">
              <w:rPr>
                <w:rFonts w:eastAsia="Calibri" w:cs="Calibri"/>
                <w:vertAlign w:val="subscript"/>
              </w:rPr>
              <w:t>2</w:t>
            </w:r>
          </w:p>
        </w:tc>
        <w:tc>
          <w:tcPr>
            <w:tcW w:w="928" w:type="dxa"/>
            <w:tcBorders>
              <w:top w:val="single" w:sz="4" w:space="0" w:color="365F91"/>
              <w:bottom w:val="single" w:sz="4" w:space="0" w:color="365F91"/>
            </w:tcBorders>
            <w:shd w:val="clear" w:color="auto" w:fill="FFFFFF"/>
            <w:tcMar>
              <w:top w:w="0" w:type="dxa"/>
              <w:left w:w="85" w:type="dxa"/>
              <w:bottom w:w="0" w:type="dxa"/>
              <w:right w:w="85" w:type="dxa"/>
            </w:tcMar>
          </w:tcPr>
          <w:p w14:paraId="5B6C7819" w14:textId="77777777" w:rsidR="00387C28" w:rsidRPr="00BE78CA" w:rsidRDefault="00387C28" w:rsidP="00A37132">
            <w:pPr>
              <w:pStyle w:val="TableText"/>
              <w:spacing w:before="50" w:after="50"/>
              <w:jc w:val="right"/>
              <w:rPr>
                <w:rFonts w:cs="Calibri"/>
              </w:rPr>
            </w:pPr>
            <w:r w:rsidRPr="00BE78CA">
              <w:rPr>
                <w:rFonts w:eastAsia="Calibri" w:cs="Calibri"/>
              </w:rPr>
              <w:t>382.9</w:t>
            </w:r>
          </w:p>
        </w:tc>
        <w:tc>
          <w:tcPr>
            <w:tcW w:w="928" w:type="dxa"/>
            <w:tcBorders>
              <w:top w:val="single" w:sz="4" w:space="0" w:color="365F91"/>
              <w:bottom w:val="single" w:sz="4" w:space="0" w:color="365F91"/>
            </w:tcBorders>
            <w:shd w:val="clear" w:color="auto" w:fill="FFFFFF"/>
            <w:tcMar>
              <w:top w:w="0" w:type="dxa"/>
              <w:left w:w="85" w:type="dxa"/>
              <w:bottom w:w="0" w:type="dxa"/>
              <w:right w:w="85" w:type="dxa"/>
            </w:tcMar>
          </w:tcPr>
          <w:p w14:paraId="6B483C4F" w14:textId="77777777" w:rsidR="00387C28" w:rsidRPr="00BE78CA" w:rsidRDefault="00387C28" w:rsidP="00A37132">
            <w:pPr>
              <w:pStyle w:val="TableText"/>
              <w:spacing w:before="50" w:after="50"/>
              <w:jc w:val="right"/>
              <w:rPr>
                <w:rFonts w:cs="Calibri"/>
              </w:rPr>
            </w:pPr>
            <w:r w:rsidRPr="00BE78CA">
              <w:rPr>
                <w:rFonts w:eastAsia="Calibri" w:cs="Calibri"/>
              </w:rPr>
              <w:t>383.7</w:t>
            </w:r>
          </w:p>
        </w:tc>
        <w:tc>
          <w:tcPr>
            <w:tcW w:w="937" w:type="dxa"/>
            <w:tcBorders>
              <w:top w:val="single" w:sz="4" w:space="0" w:color="365F91"/>
              <w:bottom w:val="single" w:sz="4" w:space="0" w:color="365F91"/>
            </w:tcBorders>
            <w:shd w:val="clear" w:color="auto" w:fill="FFFFFF"/>
            <w:tcMar>
              <w:top w:w="0" w:type="dxa"/>
              <w:left w:w="85" w:type="dxa"/>
              <w:bottom w:w="0" w:type="dxa"/>
              <w:right w:w="85" w:type="dxa"/>
            </w:tcMar>
          </w:tcPr>
          <w:p w14:paraId="4D3E8BC0" w14:textId="77777777" w:rsidR="00387C28" w:rsidRPr="00BE78CA" w:rsidRDefault="00387C28" w:rsidP="00A37132">
            <w:pPr>
              <w:pStyle w:val="TableText"/>
              <w:spacing w:before="50" w:after="50"/>
              <w:jc w:val="right"/>
              <w:rPr>
                <w:rFonts w:cs="Calibri"/>
              </w:rPr>
            </w:pPr>
            <w:r w:rsidRPr="00BE78CA">
              <w:rPr>
                <w:rFonts w:eastAsia="Calibri" w:cs="Calibri"/>
              </w:rPr>
              <w:t>0.002</w:t>
            </w:r>
          </w:p>
        </w:tc>
        <w:tc>
          <w:tcPr>
            <w:tcW w:w="999" w:type="dxa"/>
            <w:tcBorders>
              <w:top w:val="single" w:sz="4" w:space="0" w:color="365F91"/>
              <w:bottom w:val="single" w:sz="4" w:space="0" w:color="365F91"/>
            </w:tcBorders>
            <w:shd w:val="clear" w:color="auto" w:fill="FFFFFF"/>
            <w:tcMar>
              <w:top w:w="0" w:type="dxa"/>
              <w:left w:w="85" w:type="dxa"/>
              <w:bottom w:w="0" w:type="dxa"/>
              <w:right w:w="85" w:type="dxa"/>
            </w:tcMar>
          </w:tcPr>
          <w:p w14:paraId="738411B3" w14:textId="77777777" w:rsidR="00387C28" w:rsidRPr="00BE78CA" w:rsidRDefault="00387C28" w:rsidP="00A37132">
            <w:pPr>
              <w:pStyle w:val="TableText"/>
              <w:spacing w:before="50" w:after="50"/>
              <w:jc w:val="right"/>
              <w:rPr>
                <w:rFonts w:cs="Calibri"/>
              </w:rPr>
            </w:pPr>
            <w:r w:rsidRPr="00BE78CA">
              <w:rPr>
                <w:rFonts w:eastAsia="Calibri" w:cs="Calibri"/>
              </w:rPr>
              <w:t>0.2</w:t>
            </w:r>
          </w:p>
        </w:tc>
        <w:tc>
          <w:tcPr>
            <w:tcW w:w="909" w:type="dxa"/>
            <w:tcBorders>
              <w:top w:val="single" w:sz="4" w:space="0" w:color="365F91"/>
              <w:bottom w:val="single" w:sz="4" w:space="0" w:color="365F91"/>
            </w:tcBorders>
            <w:shd w:val="clear" w:color="auto" w:fill="FFFFFF"/>
            <w:tcMar>
              <w:top w:w="0" w:type="dxa"/>
              <w:left w:w="85" w:type="dxa"/>
              <w:bottom w:w="0" w:type="dxa"/>
              <w:right w:w="85" w:type="dxa"/>
            </w:tcMar>
          </w:tcPr>
          <w:p w14:paraId="2CA7EEC6" w14:textId="77777777" w:rsidR="00387C28" w:rsidRPr="00BE78CA" w:rsidRDefault="00387C28" w:rsidP="00A37132">
            <w:pPr>
              <w:pStyle w:val="TableText"/>
              <w:spacing w:before="50" w:after="50"/>
              <w:jc w:val="right"/>
              <w:rPr>
                <w:rFonts w:cs="Calibri"/>
              </w:rPr>
            </w:pPr>
            <w:r w:rsidRPr="00BE78CA">
              <w:rPr>
                <w:rFonts w:eastAsia="Calibri" w:cs="Calibri"/>
              </w:rPr>
              <w:t>94.4</w:t>
            </w:r>
          </w:p>
        </w:tc>
      </w:tr>
      <w:tr w:rsidR="00387C28" w:rsidRPr="00BE78CA" w14:paraId="0FC6FA8F" w14:textId="77777777" w:rsidTr="00AC70F2">
        <w:trPr>
          <w:cantSplit/>
        </w:trPr>
        <w:tc>
          <w:tcPr>
            <w:tcW w:w="846" w:type="dxa"/>
            <w:tcBorders>
              <w:top w:val="single" w:sz="4" w:space="0" w:color="365F91"/>
              <w:left w:val="single" w:sz="4" w:space="0" w:color="FFFFFF"/>
              <w:bottom w:val="single" w:sz="4" w:space="0" w:color="365F91"/>
            </w:tcBorders>
            <w:shd w:val="clear" w:color="auto" w:fill="FFFFFF"/>
            <w:tcMar>
              <w:top w:w="0" w:type="dxa"/>
              <w:left w:w="85" w:type="dxa"/>
              <w:bottom w:w="0" w:type="dxa"/>
              <w:right w:w="85" w:type="dxa"/>
            </w:tcMar>
          </w:tcPr>
          <w:p w14:paraId="62DCA96A" w14:textId="77777777" w:rsidR="00387C28" w:rsidRPr="00BE78CA" w:rsidRDefault="00387C28" w:rsidP="00A37132">
            <w:pPr>
              <w:pStyle w:val="TableText"/>
              <w:spacing w:before="50" w:after="50"/>
              <w:rPr>
                <w:rFonts w:cs="Calibri"/>
              </w:rPr>
            </w:pPr>
            <w:r w:rsidRPr="00BE78CA">
              <w:rPr>
                <w:rFonts w:eastAsia="Calibri" w:cs="Calibri"/>
              </w:rPr>
              <w:t>1.A.4.a</w:t>
            </w:r>
          </w:p>
        </w:tc>
        <w:tc>
          <w:tcPr>
            <w:tcW w:w="2410" w:type="dxa"/>
            <w:tcBorders>
              <w:top w:val="single" w:sz="4" w:space="0" w:color="365F91"/>
              <w:bottom w:val="single" w:sz="4" w:space="0" w:color="365F91"/>
            </w:tcBorders>
            <w:shd w:val="clear" w:color="auto" w:fill="FFFFFF"/>
            <w:tcMar>
              <w:top w:w="0" w:type="dxa"/>
              <w:left w:w="85" w:type="dxa"/>
              <w:bottom w:w="0" w:type="dxa"/>
              <w:right w:w="85" w:type="dxa"/>
            </w:tcMar>
          </w:tcPr>
          <w:p w14:paraId="465C294A" w14:textId="4A13BA3E" w:rsidR="00387C28" w:rsidRPr="00BE78CA" w:rsidRDefault="00387C28" w:rsidP="00A37132">
            <w:pPr>
              <w:pStyle w:val="TableText"/>
              <w:spacing w:before="50" w:after="50"/>
              <w:rPr>
                <w:rFonts w:cs="Calibri"/>
              </w:rPr>
            </w:pPr>
            <w:r w:rsidRPr="00BE78CA">
              <w:rPr>
                <w:rFonts w:eastAsia="Calibri" w:cs="Calibri"/>
              </w:rPr>
              <w:t>Other Sectors – Commercial/</w:t>
            </w:r>
            <w:r w:rsidR="00BA4A68" w:rsidRPr="00BE78CA">
              <w:rPr>
                <w:rFonts w:eastAsia="Calibri" w:cs="Calibri"/>
              </w:rPr>
              <w:t xml:space="preserve"> </w:t>
            </w:r>
            <w:r w:rsidRPr="00BE78CA">
              <w:rPr>
                <w:rFonts w:eastAsia="Calibri" w:cs="Calibri"/>
              </w:rPr>
              <w:t>Institutional</w:t>
            </w:r>
          </w:p>
        </w:tc>
        <w:tc>
          <w:tcPr>
            <w:tcW w:w="538" w:type="dxa"/>
            <w:tcBorders>
              <w:top w:val="single" w:sz="4" w:space="0" w:color="365F91"/>
              <w:bottom w:val="single" w:sz="4" w:space="0" w:color="365F91"/>
            </w:tcBorders>
            <w:shd w:val="clear" w:color="auto" w:fill="FFFFFF"/>
            <w:tcMar>
              <w:top w:w="0" w:type="dxa"/>
              <w:left w:w="85" w:type="dxa"/>
              <w:bottom w:w="0" w:type="dxa"/>
              <w:right w:w="85" w:type="dxa"/>
            </w:tcMar>
          </w:tcPr>
          <w:p w14:paraId="58A8D74B" w14:textId="77777777" w:rsidR="00387C28" w:rsidRPr="00BE78CA" w:rsidRDefault="00387C28" w:rsidP="00A37132">
            <w:pPr>
              <w:pStyle w:val="TableText"/>
              <w:spacing w:before="50" w:after="50"/>
              <w:jc w:val="center"/>
              <w:rPr>
                <w:rFonts w:cs="Calibri"/>
              </w:rPr>
            </w:pPr>
            <w:r w:rsidRPr="00BE78CA">
              <w:rPr>
                <w:rFonts w:eastAsia="Calibri" w:cs="Calibri"/>
              </w:rPr>
              <w:t>CO</w:t>
            </w:r>
            <w:r w:rsidRPr="00BE78CA">
              <w:rPr>
                <w:rFonts w:eastAsia="Calibri" w:cs="Calibri"/>
                <w:vertAlign w:val="subscript"/>
              </w:rPr>
              <w:t>2</w:t>
            </w:r>
          </w:p>
        </w:tc>
        <w:tc>
          <w:tcPr>
            <w:tcW w:w="928" w:type="dxa"/>
            <w:tcBorders>
              <w:top w:val="single" w:sz="4" w:space="0" w:color="365F91"/>
              <w:bottom w:val="single" w:sz="4" w:space="0" w:color="365F91"/>
            </w:tcBorders>
            <w:shd w:val="clear" w:color="auto" w:fill="FFFFFF"/>
            <w:tcMar>
              <w:top w:w="0" w:type="dxa"/>
              <w:left w:w="85" w:type="dxa"/>
              <w:bottom w:w="0" w:type="dxa"/>
              <w:right w:w="85" w:type="dxa"/>
            </w:tcMar>
          </w:tcPr>
          <w:p w14:paraId="60584929" w14:textId="77777777" w:rsidR="00387C28" w:rsidRPr="00BE78CA" w:rsidRDefault="00387C28" w:rsidP="00A37132">
            <w:pPr>
              <w:pStyle w:val="TableText"/>
              <w:spacing w:before="50" w:after="50"/>
              <w:jc w:val="right"/>
              <w:rPr>
                <w:rFonts w:cs="Calibri"/>
              </w:rPr>
            </w:pPr>
            <w:r w:rsidRPr="00BE78CA">
              <w:rPr>
                <w:rFonts w:eastAsia="Calibri" w:cs="Calibri"/>
              </w:rPr>
              <w:t>142.2</w:t>
            </w:r>
          </w:p>
        </w:tc>
        <w:tc>
          <w:tcPr>
            <w:tcW w:w="928" w:type="dxa"/>
            <w:tcBorders>
              <w:top w:val="single" w:sz="4" w:space="0" w:color="365F91"/>
              <w:bottom w:val="single" w:sz="4" w:space="0" w:color="365F91"/>
            </w:tcBorders>
            <w:shd w:val="clear" w:color="auto" w:fill="FFFFFF"/>
            <w:tcMar>
              <w:top w:w="0" w:type="dxa"/>
              <w:left w:w="85" w:type="dxa"/>
              <w:bottom w:w="0" w:type="dxa"/>
              <w:right w:w="85" w:type="dxa"/>
            </w:tcMar>
          </w:tcPr>
          <w:p w14:paraId="35FB9FD5" w14:textId="77777777" w:rsidR="00387C28" w:rsidRPr="00BE78CA" w:rsidRDefault="00387C28" w:rsidP="00A37132">
            <w:pPr>
              <w:pStyle w:val="TableText"/>
              <w:spacing w:before="50" w:after="50"/>
              <w:jc w:val="right"/>
              <w:rPr>
                <w:rFonts w:cs="Calibri"/>
              </w:rPr>
            </w:pPr>
            <w:r w:rsidRPr="00BE78CA">
              <w:rPr>
                <w:rFonts w:eastAsia="Calibri" w:cs="Calibri"/>
              </w:rPr>
              <w:t>80.7</w:t>
            </w:r>
          </w:p>
        </w:tc>
        <w:tc>
          <w:tcPr>
            <w:tcW w:w="937" w:type="dxa"/>
            <w:tcBorders>
              <w:top w:val="single" w:sz="4" w:space="0" w:color="365F91"/>
              <w:bottom w:val="single" w:sz="4" w:space="0" w:color="365F91"/>
            </w:tcBorders>
            <w:shd w:val="clear" w:color="auto" w:fill="FFFFFF"/>
            <w:tcMar>
              <w:top w:w="0" w:type="dxa"/>
              <w:left w:w="85" w:type="dxa"/>
              <w:bottom w:w="0" w:type="dxa"/>
              <w:right w:w="85" w:type="dxa"/>
            </w:tcMar>
          </w:tcPr>
          <w:p w14:paraId="112F847A" w14:textId="77777777" w:rsidR="00387C28" w:rsidRPr="00BE78CA" w:rsidRDefault="00387C28" w:rsidP="00A37132">
            <w:pPr>
              <w:pStyle w:val="TableText"/>
              <w:spacing w:before="50" w:after="50"/>
              <w:jc w:val="right"/>
              <w:rPr>
                <w:rFonts w:cs="Calibri"/>
              </w:rPr>
            </w:pPr>
            <w:r w:rsidRPr="00BE78CA">
              <w:rPr>
                <w:rFonts w:eastAsia="Calibri" w:cs="Calibri"/>
              </w:rPr>
              <w:t>0.002</w:t>
            </w:r>
          </w:p>
        </w:tc>
        <w:tc>
          <w:tcPr>
            <w:tcW w:w="999" w:type="dxa"/>
            <w:tcBorders>
              <w:top w:val="single" w:sz="4" w:space="0" w:color="365F91"/>
              <w:bottom w:val="single" w:sz="4" w:space="0" w:color="365F91"/>
            </w:tcBorders>
            <w:shd w:val="clear" w:color="auto" w:fill="FFFFFF"/>
            <w:tcMar>
              <w:top w:w="0" w:type="dxa"/>
              <w:left w:w="85" w:type="dxa"/>
              <w:bottom w:w="0" w:type="dxa"/>
              <w:right w:w="85" w:type="dxa"/>
            </w:tcMar>
          </w:tcPr>
          <w:p w14:paraId="66F9E47B" w14:textId="77777777" w:rsidR="00387C28" w:rsidRPr="00BE78CA" w:rsidRDefault="00387C28" w:rsidP="00A37132">
            <w:pPr>
              <w:pStyle w:val="TableText"/>
              <w:spacing w:before="50" w:after="50"/>
              <w:jc w:val="right"/>
              <w:rPr>
                <w:rFonts w:cs="Calibri"/>
              </w:rPr>
            </w:pPr>
            <w:r w:rsidRPr="00BE78CA">
              <w:rPr>
                <w:rFonts w:eastAsia="Calibri" w:cs="Calibri"/>
              </w:rPr>
              <w:t>0.2</w:t>
            </w:r>
          </w:p>
        </w:tc>
        <w:tc>
          <w:tcPr>
            <w:tcW w:w="909" w:type="dxa"/>
            <w:tcBorders>
              <w:top w:val="single" w:sz="4" w:space="0" w:color="365F91"/>
              <w:bottom w:val="single" w:sz="4" w:space="0" w:color="365F91"/>
            </w:tcBorders>
            <w:shd w:val="clear" w:color="auto" w:fill="FFFFFF"/>
            <w:tcMar>
              <w:top w:w="0" w:type="dxa"/>
              <w:left w:w="85" w:type="dxa"/>
              <w:bottom w:w="0" w:type="dxa"/>
              <w:right w:w="85" w:type="dxa"/>
            </w:tcMar>
          </w:tcPr>
          <w:p w14:paraId="1BBF2A50" w14:textId="77777777" w:rsidR="00387C28" w:rsidRPr="00BE78CA" w:rsidRDefault="00387C28" w:rsidP="00A37132">
            <w:pPr>
              <w:pStyle w:val="TableText"/>
              <w:spacing w:before="50" w:after="50"/>
              <w:jc w:val="right"/>
              <w:rPr>
                <w:rFonts w:cs="Calibri"/>
              </w:rPr>
            </w:pPr>
            <w:r w:rsidRPr="00BE78CA">
              <w:rPr>
                <w:rFonts w:eastAsia="Calibri" w:cs="Calibri"/>
              </w:rPr>
              <w:t>94.7</w:t>
            </w:r>
          </w:p>
        </w:tc>
      </w:tr>
      <w:tr w:rsidR="00387C28" w:rsidRPr="00BE78CA" w14:paraId="0C9128EE" w14:textId="77777777" w:rsidTr="00AC70F2">
        <w:trPr>
          <w:cantSplit/>
        </w:trPr>
        <w:tc>
          <w:tcPr>
            <w:tcW w:w="846" w:type="dxa"/>
            <w:tcBorders>
              <w:top w:val="single" w:sz="4" w:space="0" w:color="365F91"/>
              <w:left w:val="single" w:sz="4" w:space="0" w:color="FFFFFF"/>
              <w:bottom w:val="single" w:sz="4" w:space="0" w:color="365F91"/>
            </w:tcBorders>
            <w:shd w:val="clear" w:color="auto" w:fill="FFFFFF"/>
            <w:tcMar>
              <w:top w:w="0" w:type="dxa"/>
              <w:left w:w="85" w:type="dxa"/>
              <w:bottom w:w="0" w:type="dxa"/>
              <w:right w:w="85" w:type="dxa"/>
            </w:tcMar>
          </w:tcPr>
          <w:p w14:paraId="5F86FBF7" w14:textId="77777777" w:rsidR="00387C28" w:rsidRPr="00BE78CA" w:rsidRDefault="00387C28" w:rsidP="00A37132">
            <w:pPr>
              <w:pStyle w:val="TableText"/>
              <w:spacing w:before="50" w:after="50"/>
              <w:rPr>
                <w:rFonts w:cs="Calibri"/>
              </w:rPr>
            </w:pPr>
            <w:r w:rsidRPr="00BE78CA">
              <w:rPr>
                <w:rFonts w:eastAsia="Calibri" w:cs="Calibri"/>
              </w:rPr>
              <w:t>3.B.1.2</w:t>
            </w:r>
          </w:p>
        </w:tc>
        <w:tc>
          <w:tcPr>
            <w:tcW w:w="2410" w:type="dxa"/>
            <w:tcBorders>
              <w:top w:val="single" w:sz="4" w:space="0" w:color="365F91"/>
              <w:bottom w:val="single" w:sz="4" w:space="0" w:color="365F91"/>
            </w:tcBorders>
            <w:shd w:val="clear" w:color="auto" w:fill="FFFFFF"/>
            <w:tcMar>
              <w:top w:w="0" w:type="dxa"/>
              <w:left w:w="85" w:type="dxa"/>
              <w:bottom w:w="0" w:type="dxa"/>
              <w:right w:w="85" w:type="dxa"/>
            </w:tcMar>
          </w:tcPr>
          <w:p w14:paraId="587D1F86" w14:textId="77777777" w:rsidR="00387C28" w:rsidRPr="00BE78CA" w:rsidRDefault="00387C28" w:rsidP="00A37132">
            <w:pPr>
              <w:pStyle w:val="TableText"/>
              <w:spacing w:before="50" w:after="50"/>
              <w:rPr>
                <w:rFonts w:cs="Calibri"/>
              </w:rPr>
            </w:pPr>
            <w:r w:rsidRPr="00BE78CA">
              <w:rPr>
                <w:rFonts w:eastAsia="Calibri" w:cs="Calibri"/>
              </w:rPr>
              <w:t>CH</w:t>
            </w:r>
            <w:r w:rsidRPr="00BE78CA">
              <w:rPr>
                <w:rFonts w:eastAsia="Calibri" w:cs="Calibri"/>
                <w:vertAlign w:val="subscript"/>
              </w:rPr>
              <w:t>4</w:t>
            </w:r>
            <w:r w:rsidRPr="00BE78CA">
              <w:rPr>
                <w:rFonts w:eastAsia="Calibri" w:cs="Calibri"/>
              </w:rPr>
              <w:t xml:space="preserve"> Emissions – Sheep</w:t>
            </w:r>
          </w:p>
        </w:tc>
        <w:tc>
          <w:tcPr>
            <w:tcW w:w="538" w:type="dxa"/>
            <w:tcBorders>
              <w:top w:val="single" w:sz="4" w:space="0" w:color="365F91"/>
              <w:bottom w:val="single" w:sz="4" w:space="0" w:color="365F91"/>
            </w:tcBorders>
            <w:shd w:val="clear" w:color="auto" w:fill="FFFFFF"/>
            <w:tcMar>
              <w:top w:w="0" w:type="dxa"/>
              <w:left w:w="85" w:type="dxa"/>
              <w:bottom w:w="0" w:type="dxa"/>
              <w:right w:w="85" w:type="dxa"/>
            </w:tcMar>
          </w:tcPr>
          <w:p w14:paraId="532F4DFE" w14:textId="77777777" w:rsidR="00387C28" w:rsidRPr="00BE78CA" w:rsidRDefault="00387C28" w:rsidP="00A37132">
            <w:pPr>
              <w:pStyle w:val="TableText"/>
              <w:spacing w:before="50" w:after="50"/>
              <w:jc w:val="center"/>
              <w:rPr>
                <w:rFonts w:cs="Calibri"/>
              </w:rPr>
            </w:pPr>
            <w:r w:rsidRPr="00BE78CA">
              <w:rPr>
                <w:rFonts w:eastAsia="Calibri" w:cs="Calibri"/>
              </w:rPr>
              <w:t>CH</w:t>
            </w:r>
            <w:r w:rsidRPr="00BE78CA">
              <w:rPr>
                <w:rFonts w:eastAsia="Calibri" w:cs="Calibri"/>
                <w:vertAlign w:val="subscript"/>
              </w:rPr>
              <w:t>4</w:t>
            </w:r>
          </w:p>
        </w:tc>
        <w:tc>
          <w:tcPr>
            <w:tcW w:w="928" w:type="dxa"/>
            <w:tcBorders>
              <w:top w:val="single" w:sz="4" w:space="0" w:color="365F91"/>
              <w:bottom w:val="single" w:sz="4" w:space="0" w:color="365F91"/>
            </w:tcBorders>
            <w:shd w:val="clear" w:color="auto" w:fill="FFFFFF"/>
            <w:tcMar>
              <w:top w:w="0" w:type="dxa"/>
              <w:left w:w="85" w:type="dxa"/>
              <w:bottom w:w="0" w:type="dxa"/>
              <w:right w:w="85" w:type="dxa"/>
            </w:tcMar>
          </w:tcPr>
          <w:p w14:paraId="58CFDBD8" w14:textId="77777777" w:rsidR="00387C28" w:rsidRPr="00BE78CA" w:rsidRDefault="00387C28" w:rsidP="00A37132">
            <w:pPr>
              <w:pStyle w:val="TableText"/>
              <w:spacing w:before="50" w:after="50"/>
              <w:jc w:val="right"/>
              <w:rPr>
                <w:rFonts w:cs="Calibri"/>
              </w:rPr>
            </w:pPr>
            <w:r w:rsidRPr="00BE78CA">
              <w:rPr>
                <w:rFonts w:eastAsia="Calibri" w:cs="Calibri"/>
              </w:rPr>
              <w:t>148.8</w:t>
            </w:r>
          </w:p>
        </w:tc>
        <w:tc>
          <w:tcPr>
            <w:tcW w:w="928" w:type="dxa"/>
            <w:tcBorders>
              <w:top w:val="single" w:sz="4" w:space="0" w:color="365F91"/>
              <w:bottom w:val="single" w:sz="4" w:space="0" w:color="365F91"/>
            </w:tcBorders>
            <w:shd w:val="clear" w:color="auto" w:fill="FFFFFF"/>
            <w:tcMar>
              <w:top w:w="0" w:type="dxa"/>
              <w:left w:w="85" w:type="dxa"/>
              <w:bottom w:w="0" w:type="dxa"/>
              <w:right w:w="85" w:type="dxa"/>
            </w:tcMar>
          </w:tcPr>
          <w:p w14:paraId="3931CDC1" w14:textId="77777777" w:rsidR="00387C28" w:rsidRPr="00BE78CA" w:rsidRDefault="00387C28" w:rsidP="00A37132">
            <w:pPr>
              <w:pStyle w:val="TableText"/>
              <w:spacing w:before="50" w:after="50"/>
              <w:jc w:val="right"/>
              <w:rPr>
                <w:rFonts w:cs="Calibri"/>
              </w:rPr>
            </w:pPr>
            <w:r w:rsidRPr="00BE78CA">
              <w:rPr>
                <w:rFonts w:eastAsia="Calibri" w:cs="Calibri"/>
              </w:rPr>
              <w:t>95.2</w:t>
            </w:r>
          </w:p>
        </w:tc>
        <w:tc>
          <w:tcPr>
            <w:tcW w:w="937" w:type="dxa"/>
            <w:tcBorders>
              <w:top w:val="single" w:sz="4" w:space="0" w:color="365F91"/>
              <w:bottom w:val="single" w:sz="4" w:space="0" w:color="365F91"/>
            </w:tcBorders>
            <w:shd w:val="clear" w:color="auto" w:fill="FFFFFF"/>
            <w:tcMar>
              <w:top w:w="0" w:type="dxa"/>
              <w:left w:w="85" w:type="dxa"/>
              <w:bottom w:w="0" w:type="dxa"/>
              <w:right w:w="85" w:type="dxa"/>
            </w:tcMar>
          </w:tcPr>
          <w:p w14:paraId="46AF2840" w14:textId="77777777" w:rsidR="00387C28" w:rsidRPr="00BE78CA" w:rsidRDefault="00387C28" w:rsidP="00A37132">
            <w:pPr>
              <w:pStyle w:val="TableText"/>
              <w:spacing w:before="50" w:after="50"/>
              <w:jc w:val="right"/>
              <w:rPr>
                <w:rFonts w:cs="Calibri"/>
              </w:rPr>
            </w:pPr>
            <w:r w:rsidRPr="00BE78CA">
              <w:rPr>
                <w:rFonts w:eastAsia="Calibri" w:cs="Calibri"/>
              </w:rPr>
              <w:t>0.001</w:t>
            </w:r>
          </w:p>
        </w:tc>
        <w:tc>
          <w:tcPr>
            <w:tcW w:w="999" w:type="dxa"/>
            <w:tcBorders>
              <w:top w:val="single" w:sz="4" w:space="0" w:color="365F91"/>
              <w:bottom w:val="single" w:sz="4" w:space="0" w:color="365F91"/>
            </w:tcBorders>
            <w:shd w:val="clear" w:color="auto" w:fill="FFFFFF"/>
            <w:tcMar>
              <w:top w:w="0" w:type="dxa"/>
              <w:left w:w="85" w:type="dxa"/>
              <w:bottom w:w="0" w:type="dxa"/>
              <w:right w:w="85" w:type="dxa"/>
            </w:tcMar>
          </w:tcPr>
          <w:p w14:paraId="48A7EF7F" w14:textId="77777777" w:rsidR="00387C28" w:rsidRPr="00BE78CA" w:rsidRDefault="00387C28" w:rsidP="00A37132">
            <w:pPr>
              <w:pStyle w:val="TableText"/>
              <w:spacing w:before="50" w:after="50"/>
              <w:jc w:val="right"/>
              <w:rPr>
                <w:rFonts w:cs="Calibri"/>
              </w:rPr>
            </w:pPr>
            <w:r w:rsidRPr="00BE78CA">
              <w:rPr>
                <w:rFonts w:eastAsia="Calibri" w:cs="Calibri"/>
              </w:rPr>
              <w:t>0.2</w:t>
            </w:r>
          </w:p>
        </w:tc>
        <w:tc>
          <w:tcPr>
            <w:tcW w:w="909" w:type="dxa"/>
            <w:tcBorders>
              <w:top w:val="single" w:sz="4" w:space="0" w:color="365F91"/>
              <w:bottom w:val="single" w:sz="4" w:space="0" w:color="365F91"/>
            </w:tcBorders>
            <w:shd w:val="clear" w:color="auto" w:fill="FFFFFF"/>
            <w:tcMar>
              <w:top w:w="0" w:type="dxa"/>
              <w:left w:w="85" w:type="dxa"/>
              <w:bottom w:w="0" w:type="dxa"/>
              <w:right w:w="85" w:type="dxa"/>
            </w:tcMar>
          </w:tcPr>
          <w:p w14:paraId="6D9BC994" w14:textId="77777777" w:rsidR="00387C28" w:rsidRPr="00BE78CA" w:rsidRDefault="00387C28" w:rsidP="00A37132">
            <w:pPr>
              <w:pStyle w:val="TableText"/>
              <w:spacing w:before="50" w:after="50"/>
              <w:jc w:val="right"/>
              <w:rPr>
                <w:rFonts w:cs="Calibri"/>
              </w:rPr>
            </w:pPr>
            <w:r w:rsidRPr="00BE78CA">
              <w:rPr>
                <w:rFonts w:eastAsia="Calibri" w:cs="Calibri"/>
              </w:rPr>
              <w:t>94.9</w:t>
            </w:r>
          </w:p>
        </w:tc>
      </w:tr>
      <w:tr w:rsidR="00387C28" w:rsidRPr="00BE78CA" w14:paraId="008BA612" w14:textId="77777777" w:rsidTr="00AC70F2">
        <w:trPr>
          <w:cantSplit/>
        </w:trPr>
        <w:tc>
          <w:tcPr>
            <w:tcW w:w="846" w:type="dxa"/>
            <w:tcBorders>
              <w:top w:val="single" w:sz="4" w:space="0" w:color="365F91"/>
              <w:left w:val="single" w:sz="4" w:space="0" w:color="FFFFFF"/>
              <w:bottom w:val="single" w:sz="4" w:space="0" w:color="365F91"/>
            </w:tcBorders>
            <w:shd w:val="clear" w:color="auto" w:fill="FFFFFF"/>
            <w:tcMar>
              <w:top w:w="0" w:type="dxa"/>
              <w:left w:w="85" w:type="dxa"/>
              <w:bottom w:w="0" w:type="dxa"/>
              <w:right w:w="85" w:type="dxa"/>
            </w:tcMar>
          </w:tcPr>
          <w:p w14:paraId="37DBF72C" w14:textId="77777777" w:rsidR="00387C28" w:rsidRPr="00BE78CA" w:rsidRDefault="00387C28" w:rsidP="00A37132">
            <w:pPr>
              <w:pStyle w:val="TableText"/>
              <w:spacing w:before="50" w:after="50"/>
              <w:rPr>
                <w:rFonts w:cs="Calibri"/>
              </w:rPr>
            </w:pPr>
            <w:r w:rsidRPr="00BE78CA">
              <w:rPr>
                <w:rFonts w:eastAsia="Calibri" w:cs="Calibri"/>
              </w:rPr>
              <w:t>1.A.2.d</w:t>
            </w:r>
          </w:p>
        </w:tc>
        <w:tc>
          <w:tcPr>
            <w:tcW w:w="2410" w:type="dxa"/>
            <w:tcBorders>
              <w:top w:val="single" w:sz="4" w:space="0" w:color="365F91"/>
              <w:bottom w:val="single" w:sz="4" w:space="0" w:color="365F91"/>
            </w:tcBorders>
            <w:shd w:val="clear" w:color="auto" w:fill="FFFFFF"/>
            <w:tcMar>
              <w:top w:w="0" w:type="dxa"/>
              <w:left w:w="85" w:type="dxa"/>
              <w:bottom w:w="0" w:type="dxa"/>
              <w:right w:w="85" w:type="dxa"/>
            </w:tcMar>
          </w:tcPr>
          <w:p w14:paraId="0CA61C1E" w14:textId="77777777" w:rsidR="00387C28" w:rsidRPr="00BE78CA" w:rsidRDefault="00387C28" w:rsidP="00A37132">
            <w:pPr>
              <w:pStyle w:val="TableText"/>
              <w:spacing w:before="50" w:after="50"/>
              <w:rPr>
                <w:rFonts w:cs="Calibri"/>
              </w:rPr>
            </w:pPr>
            <w:r w:rsidRPr="00BE78CA">
              <w:rPr>
                <w:rFonts w:eastAsia="Calibri" w:cs="Calibri"/>
              </w:rPr>
              <w:t>Pulp, Paper and Print – Solid Fuels</w:t>
            </w:r>
          </w:p>
        </w:tc>
        <w:tc>
          <w:tcPr>
            <w:tcW w:w="538" w:type="dxa"/>
            <w:tcBorders>
              <w:top w:val="single" w:sz="4" w:space="0" w:color="365F91"/>
              <w:bottom w:val="single" w:sz="4" w:space="0" w:color="365F91"/>
            </w:tcBorders>
            <w:shd w:val="clear" w:color="auto" w:fill="FFFFFF"/>
            <w:tcMar>
              <w:top w:w="0" w:type="dxa"/>
              <w:left w:w="85" w:type="dxa"/>
              <w:bottom w:w="0" w:type="dxa"/>
              <w:right w:w="85" w:type="dxa"/>
            </w:tcMar>
          </w:tcPr>
          <w:p w14:paraId="5B91692A" w14:textId="77777777" w:rsidR="00387C28" w:rsidRPr="00BE78CA" w:rsidRDefault="00387C28" w:rsidP="00A37132">
            <w:pPr>
              <w:pStyle w:val="TableText"/>
              <w:spacing w:before="50" w:after="50"/>
              <w:jc w:val="center"/>
              <w:rPr>
                <w:rFonts w:cs="Calibri"/>
              </w:rPr>
            </w:pPr>
            <w:r w:rsidRPr="00BE78CA">
              <w:rPr>
                <w:rFonts w:eastAsia="Calibri" w:cs="Calibri"/>
              </w:rPr>
              <w:t>CO</w:t>
            </w:r>
            <w:r w:rsidRPr="00BE78CA">
              <w:rPr>
                <w:rFonts w:eastAsia="Calibri" w:cs="Calibri"/>
                <w:vertAlign w:val="subscript"/>
              </w:rPr>
              <w:t>2</w:t>
            </w:r>
          </w:p>
        </w:tc>
        <w:tc>
          <w:tcPr>
            <w:tcW w:w="928" w:type="dxa"/>
            <w:tcBorders>
              <w:top w:val="single" w:sz="4" w:space="0" w:color="365F91"/>
              <w:bottom w:val="single" w:sz="4" w:space="0" w:color="365F91"/>
            </w:tcBorders>
            <w:shd w:val="clear" w:color="auto" w:fill="FFFFFF"/>
            <w:tcMar>
              <w:top w:w="0" w:type="dxa"/>
              <w:left w:w="85" w:type="dxa"/>
              <w:bottom w:w="0" w:type="dxa"/>
              <w:right w:w="85" w:type="dxa"/>
            </w:tcMar>
          </w:tcPr>
          <w:p w14:paraId="747C47EC" w14:textId="77777777" w:rsidR="00387C28" w:rsidRPr="00BE78CA" w:rsidRDefault="00387C28" w:rsidP="00A37132">
            <w:pPr>
              <w:pStyle w:val="TableText"/>
              <w:spacing w:before="50" w:after="50"/>
              <w:jc w:val="right"/>
              <w:rPr>
                <w:rFonts w:cs="Calibri"/>
              </w:rPr>
            </w:pPr>
            <w:r w:rsidRPr="00BE78CA">
              <w:rPr>
                <w:rFonts w:eastAsia="Calibri" w:cs="Calibri"/>
              </w:rPr>
              <w:t>109.5</w:t>
            </w:r>
          </w:p>
        </w:tc>
        <w:tc>
          <w:tcPr>
            <w:tcW w:w="928" w:type="dxa"/>
            <w:tcBorders>
              <w:top w:val="single" w:sz="4" w:space="0" w:color="365F91"/>
              <w:bottom w:val="single" w:sz="4" w:space="0" w:color="365F91"/>
            </w:tcBorders>
            <w:shd w:val="clear" w:color="auto" w:fill="FFFFFF"/>
            <w:tcMar>
              <w:top w:w="0" w:type="dxa"/>
              <w:left w:w="85" w:type="dxa"/>
              <w:bottom w:w="0" w:type="dxa"/>
              <w:right w:w="85" w:type="dxa"/>
            </w:tcMar>
          </w:tcPr>
          <w:p w14:paraId="5EE01681" w14:textId="77777777" w:rsidR="00387C28" w:rsidRPr="00BE78CA" w:rsidRDefault="00387C28" w:rsidP="00A37132">
            <w:pPr>
              <w:pStyle w:val="TableText"/>
              <w:spacing w:before="50" w:after="50"/>
              <w:jc w:val="right"/>
              <w:rPr>
                <w:rFonts w:cs="Calibri"/>
              </w:rPr>
            </w:pPr>
            <w:r w:rsidRPr="00BE78CA">
              <w:rPr>
                <w:rFonts w:eastAsia="Calibri" w:cs="Calibri"/>
              </w:rPr>
              <w:t>47.2</w:t>
            </w:r>
          </w:p>
        </w:tc>
        <w:tc>
          <w:tcPr>
            <w:tcW w:w="937" w:type="dxa"/>
            <w:tcBorders>
              <w:top w:val="single" w:sz="4" w:space="0" w:color="365F91"/>
              <w:bottom w:val="single" w:sz="4" w:space="0" w:color="365F91"/>
            </w:tcBorders>
            <w:shd w:val="clear" w:color="auto" w:fill="FFFFFF"/>
            <w:tcMar>
              <w:top w:w="0" w:type="dxa"/>
              <w:left w:w="85" w:type="dxa"/>
              <w:bottom w:w="0" w:type="dxa"/>
              <w:right w:w="85" w:type="dxa"/>
            </w:tcMar>
          </w:tcPr>
          <w:p w14:paraId="55CC30BF" w14:textId="77777777" w:rsidR="00387C28" w:rsidRPr="00BE78CA" w:rsidRDefault="00387C28" w:rsidP="00A37132">
            <w:pPr>
              <w:pStyle w:val="TableText"/>
              <w:spacing w:before="50" w:after="50"/>
              <w:jc w:val="right"/>
              <w:rPr>
                <w:rFonts w:cs="Calibri"/>
              </w:rPr>
            </w:pPr>
            <w:r w:rsidRPr="00BE78CA">
              <w:rPr>
                <w:rFonts w:eastAsia="Calibri" w:cs="Calibri"/>
              </w:rPr>
              <w:t>0.001</w:t>
            </w:r>
          </w:p>
        </w:tc>
        <w:tc>
          <w:tcPr>
            <w:tcW w:w="999" w:type="dxa"/>
            <w:tcBorders>
              <w:top w:val="single" w:sz="4" w:space="0" w:color="365F91"/>
              <w:bottom w:val="single" w:sz="4" w:space="0" w:color="365F91"/>
            </w:tcBorders>
            <w:shd w:val="clear" w:color="auto" w:fill="FFFFFF"/>
            <w:tcMar>
              <w:top w:w="0" w:type="dxa"/>
              <w:left w:w="85" w:type="dxa"/>
              <w:bottom w:w="0" w:type="dxa"/>
              <w:right w:w="85" w:type="dxa"/>
            </w:tcMar>
          </w:tcPr>
          <w:p w14:paraId="15770015" w14:textId="77777777" w:rsidR="00387C28" w:rsidRPr="00BE78CA" w:rsidRDefault="00387C28" w:rsidP="00A37132">
            <w:pPr>
              <w:pStyle w:val="TableText"/>
              <w:spacing w:before="50" w:after="50"/>
              <w:jc w:val="right"/>
              <w:rPr>
                <w:rFonts w:cs="Calibri"/>
              </w:rPr>
            </w:pPr>
            <w:r w:rsidRPr="00BE78CA">
              <w:rPr>
                <w:rFonts w:eastAsia="Calibri" w:cs="Calibri"/>
              </w:rPr>
              <w:t>0.2</w:t>
            </w:r>
          </w:p>
        </w:tc>
        <w:tc>
          <w:tcPr>
            <w:tcW w:w="909" w:type="dxa"/>
            <w:tcBorders>
              <w:top w:val="single" w:sz="4" w:space="0" w:color="365F91"/>
              <w:bottom w:val="single" w:sz="4" w:space="0" w:color="365F91"/>
            </w:tcBorders>
            <w:shd w:val="clear" w:color="auto" w:fill="FFFFFF"/>
            <w:tcMar>
              <w:top w:w="0" w:type="dxa"/>
              <w:left w:w="85" w:type="dxa"/>
              <w:bottom w:w="0" w:type="dxa"/>
              <w:right w:w="85" w:type="dxa"/>
            </w:tcMar>
          </w:tcPr>
          <w:p w14:paraId="114AE04D" w14:textId="77777777" w:rsidR="00387C28" w:rsidRPr="00BE78CA" w:rsidRDefault="00387C28" w:rsidP="00A37132">
            <w:pPr>
              <w:pStyle w:val="TableText"/>
              <w:spacing w:before="50" w:after="50"/>
              <w:jc w:val="right"/>
              <w:rPr>
                <w:rFonts w:cs="Calibri"/>
              </w:rPr>
            </w:pPr>
            <w:r w:rsidRPr="00BE78CA">
              <w:rPr>
                <w:rFonts w:eastAsia="Calibri" w:cs="Calibri"/>
              </w:rPr>
              <w:t>95.1</w:t>
            </w:r>
          </w:p>
        </w:tc>
      </w:tr>
    </w:tbl>
    <w:p w14:paraId="086EA795" w14:textId="77777777" w:rsidR="00387C28" w:rsidRPr="00BE78CA" w:rsidRDefault="00387C28" w:rsidP="00387C28">
      <w:pPr>
        <w:pStyle w:val="Noteundertable"/>
      </w:pPr>
      <w:r w:rsidRPr="00BE78CA">
        <w:rPr>
          <w:b/>
        </w:rPr>
        <w:t>Note</w:t>
      </w:r>
      <w:r w:rsidRPr="00BE78CA">
        <w:t xml:space="preserve">: </w:t>
      </w:r>
      <w:r w:rsidRPr="00BE78CA">
        <w:tab/>
        <w:t>Removals from the LULUCF sector are shown as negatives in this table. In line with the methodology for key category analysis, the absolute values for those removals were used for the calculations.</w:t>
      </w:r>
    </w:p>
    <w:p w14:paraId="181FA499" w14:textId="09287C58" w:rsidR="00387C28" w:rsidRPr="00BE78CA" w:rsidRDefault="00387C28" w:rsidP="00387C28">
      <w:pPr>
        <w:pStyle w:val="Heading3"/>
      </w:pPr>
      <w:bookmarkStart w:id="129" w:name="X7d7a18dce4efa5642ae94cc97a4c86135537a8c"/>
      <w:r w:rsidRPr="00BE78CA">
        <w:lastRenderedPageBreak/>
        <w:t xml:space="preserve">1.5.2 </w:t>
      </w:r>
      <w:r w:rsidR="00AD74D3" w:rsidRPr="00BE78CA">
        <w:tab/>
      </w:r>
      <w:r w:rsidRPr="00BE78CA">
        <w:t>LULUCF activities under the Kyoto Protocol</w:t>
      </w:r>
      <w:bookmarkEnd w:id="129"/>
    </w:p>
    <w:p w14:paraId="10FA39AB" w14:textId="77777777" w:rsidR="00387C28" w:rsidRPr="00BE78CA" w:rsidRDefault="00387C28" w:rsidP="00387C28">
      <w:pPr>
        <w:pStyle w:val="BodyText"/>
      </w:pPr>
      <w:r w:rsidRPr="00BE78CA">
        <w:t xml:space="preserve">Key categories under the Kyoto Protocol are identified by looking at the assessment of similar categories within the LULUCF sector as reported under the Convention. In </w:t>
      </w:r>
      <w:r w:rsidRPr="00BE78CA">
        <w:rPr>
          <w:bCs/>
        </w:rPr>
        <w:t>2019</w:t>
      </w:r>
      <w:r w:rsidRPr="00BE78CA">
        <w:t xml:space="preserve">, </w:t>
      </w:r>
      <w:r w:rsidRPr="00BE78CA">
        <w:rPr>
          <w:i/>
        </w:rPr>
        <w:t>Afforestation and reforestation</w:t>
      </w:r>
      <w:r w:rsidRPr="00BE78CA">
        <w:t xml:space="preserve">, </w:t>
      </w:r>
      <w:r w:rsidRPr="00BE78CA">
        <w:rPr>
          <w:i/>
        </w:rPr>
        <w:t>Deforestation</w:t>
      </w:r>
      <w:r w:rsidRPr="00BE78CA">
        <w:t xml:space="preserve"> and </w:t>
      </w:r>
      <w:r w:rsidRPr="00BE78CA">
        <w:rPr>
          <w:i/>
        </w:rPr>
        <w:t>Forest management</w:t>
      </w:r>
      <w:r w:rsidRPr="00BE78CA">
        <w:t xml:space="preserve"> were all identified as key categories in both the level and trend assessment.</w:t>
      </w:r>
    </w:p>
    <w:p w14:paraId="6A831A2A" w14:textId="7136EDA5" w:rsidR="00387C28" w:rsidRPr="00BE78CA" w:rsidRDefault="00387C28" w:rsidP="00387C28">
      <w:pPr>
        <w:pStyle w:val="Heading2"/>
      </w:pPr>
      <w:bookmarkStart w:id="130" w:name="inventory-uncertainty"/>
      <w:bookmarkStart w:id="131" w:name="_Toc68786293"/>
      <w:r w:rsidRPr="00BE78CA">
        <w:t xml:space="preserve">1.6 </w:t>
      </w:r>
      <w:r w:rsidR="00AD74D3" w:rsidRPr="00BE78CA">
        <w:tab/>
      </w:r>
      <w:r w:rsidRPr="00BE78CA">
        <w:t>Inventory uncertainty</w:t>
      </w:r>
      <w:bookmarkEnd w:id="130"/>
      <w:bookmarkEnd w:id="131"/>
    </w:p>
    <w:p w14:paraId="428FB8ED" w14:textId="6347BD30" w:rsidR="00387C28" w:rsidRPr="00BE78CA" w:rsidRDefault="00387C28" w:rsidP="00AD74D3">
      <w:pPr>
        <w:pStyle w:val="Heading3"/>
        <w:spacing w:before="240"/>
      </w:pPr>
      <w:bookmarkStart w:id="132" w:name="reporting-under-the-convention-1"/>
      <w:r w:rsidRPr="00BE78CA">
        <w:t xml:space="preserve">1.6.1 </w:t>
      </w:r>
      <w:r w:rsidR="00AD74D3" w:rsidRPr="00BE78CA">
        <w:tab/>
      </w:r>
      <w:r w:rsidRPr="00BE78CA">
        <w:t>Reporting under the Convention</w:t>
      </w:r>
      <w:bookmarkEnd w:id="132"/>
    </w:p>
    <w:p w14:paraId="1EB64167" w14:textId="5B2533B3" w:rsidR="00387C28" w:rsidRPr="00BE78CA" w:rsidRDefault="00387C28" w:rsidP="00387C28">
      <w:pPr>
        <w:pStyle w:val="BodyText"/>
      </w:pPr>
      <w:r w:rsidRPr="00BE78CA">
        <w:t>Uncertainty estimates are an essential element of a complete inventory. The purpose of uncertainty information is not to dispute the validity of the inventory estimates but to help prioritise efforts to improve the accuracy of inventories and guide decisions on methodological choice (IPCC, 2006b). Inventories prepared in accordance with the 2006 IPCC Guidelines will typically contain a wide range of emission estimates, varying from carefully measured and demonstrably complete data on emissions, to order-of-magnitude estimates for highly variable</w:t>
      </w:r>
      <w:r w:rsidR="00AD74D3" w:rsidRPr="00BE78CA">
        <w:t> </w:t>
      </w:r>
      <w:r w:rsidRPr="00BE78CA">
        <w:t>emissions such as N</w:t>
      </w:r>
      <w:r w:rsidRPr="00BE78CA">
        <w:rPr>
          <w:vertAlign w:val="subscript"/>
        </w:rPr>
        <w:t>2</w:t>
      </w:r>
      <w:r w:rsidRPr="00BE78CA">
        <w:t>O fluxes from soils and waterways (IPCC, 2006b).</w:t>
      </w:r>
    </w:p>
    <w:p w14:paraId="50F7D612" w14:textId="77777777" w:rsidR="00387C28" w:rsidRPr="00BE78CA" w:rsidRDefault="00387C28" w:rsidP="00387C28">
      <w:pPr>
        <w:pStyle w:val="BodyText"/>
      </w:pPr>
      <w:r w:rsidRPr="00BE78CA">
        <w:t>In this inventory submission, New Zealand included a Tier 1 uncertainty analysis of the aggregated figures, as required by the Convention inventory reporting guidelines (UNFCCC, 2013a) and 2006 IPCC Guidelines.</w:t>
      </w:r>
    </w:p>
    <w:p w14:paraId="4EDC5F95" w14:textId="77777777" w:rsidR="00387C28" w:rsidRPr="00BE78CA" w:rsidRDefault="00387C28" w:rsidP="00387C28">
      <w:pPr>
        <w:pStyle w:val="BodyText"/>
      </w:pPr>
      <w:r w:rsidRPr="00BE78CA">
        <w:t>Uncertainties in the categories are combined to provide uncertainty estimates for all emissions for the latest reporting year, the base year, and the uncertainty in the trend over time. Uncertainties for net emissions, where removals under LULUCF categories have been included as an absolute value, are included in annex 2 (table A2.1.1), and gross emissions excluding LULUCF are in annex 2 (table A2.1.2).</w:t>
      </w:r>
    </w:p>
    <w:p w14:paraId="774BB84F" w14:textId="00F3376A" w:rsidR="00387C28" w:rsidRPr="00BE78CA" w:rsidRDefault="00387C28" w:rsidP="00387C28">
      <w:pPr>
        <w:pStyle w:val="BodyText"/>
      </w:pPr>
      <w:r w:rsidRPr="00BE78CA">
        <w:t>In most instances, the uncertainty values are determined by analysis of emission factors or</w:t>
      </w:r>
      <w:r w:rsidR="00AD74D3" w:rsidRPr="00BE78CA">
        <w:t> </w:t>
      </w:r>
      <w:r w:rsidRPr="00BE78CA">
        <w:t>activity data using expert judgement from sectoral or industry experts, or by referring to</w:t>
      </w:r>
      <w:r w:rsidR="00AD74D3" w:rsidRPr="00BE78CA">
        <w:t> </w:t>
      </w:r>
      <w:r w:rsidRPr="00BE78CA">
        <w:t>uncertainty ranges provided in the 2006 IPCC Guidelines. Uncertainties for the source categories were originally determined at the lowest level where information and data were</w:t>
      </w:r>
      <w:r w:rsidR="00AD74D3" w:rsidRPr="00BE78CA">
        <w:t> </w:t>
      </w:r>
      <w:r w:rsidRPr="00BE78CA">
        <w:t>available. The uncertainty estimates within each sector were made by the personnel at</w:t>
      </w:r>
      <w:r w:rsidR="00AD74D3" w:rsidRPr="00BE78CA">
        <w:t> </w:t>
      </w:r>
      <w:r w:rsidRPr="00BE78CA">
        <w:t>the agencies responsible for the sector, which is a part of New Zealand’s national system</w:t>
      </w:r>
      <w:r w:rsidR="00AD74D3" w:rsidRPr="00BE78CA">
        <w:t> </w:t>
      </w:r>
      <w:r w:rsidRPr="00BE78CA">
        <w:t>arrangements.</w:t>
      </w:r>
    </w:p>
    <w:p w14:paraId="2EEA9F18" w14:textId="77777777" w:rsidR="00387C28" w:rsidRPr="00BE78CA" w:rsidRDefault="00387C28" w:rsidP="00387C28">
      <w:pPr>
        <w:pStyle w:val="BodyText"/>
      </w:pPr>
      <w:r w:rsidRPr="00BE78CA">
        <w:t>The low-level uncertainties have then been aggregated to various extents by the sector-compiling agencies as far as the second level category for each of CO</w:t>
      </w:r>
      <w:r w:rsidRPr="00BE78CA">
        <w:rPr>
          <w:vertAlign w:val="subscript"/>
        </w:rPr>
        <w:t>2</w:t>
      </w:r>
      <w:r w:rsidRPr="00BE78CA">
        <w:t>, CH</w:t>
      </w:r>
      <w:r w:rsidRPr="00BE78CA">
        <w:rPr>
          <w:vertAlign w:val="subscript"/>
        </w:rPr>
        <w:t>4</w:t>
      </w:r>
      <w:r w:rsidRPr="00BE78CA">
        <w:t>, N</w:t>
      </w:r>
      <w:r w:rsidRPr="00BE78CA">
        <w:rPr>
          <w:vertAlign w:val="subscript"/>
        </w:rPr>
        <w:t>2</w:t>
      </w:r>
      <w:r w:rsidRPr="00BE78CA">
        <w:t>O and SF</w:t>
      </w:r>
      <w:r w:rsidRPr="00BE78CA">
        <w:rPr>
          <w:vertAlign w:val="subscript"/>
        </w:rPr>
        <w:t>6</w:t>
      </w:r>
      <w:r w:rsidRPr="00BE78CA">
        <w:t xml:space="preserve"> separately, and HFCs and PFCs as groups. These aggregated category level data have been submitted to the National Inventory Compiler for performing overall uncertainty calculations for level and trend uncertainties for gross and net emissions (excluding and including LULUCF).</w:t>
      </w:r>
    </w:p>
    <w:p w14:paraId="79E620E0" w14:textId="77777777" w:rsidR="00387C28" w:rsidRPr="00BE78CA" w:rsidRDefault="00387C28" w:rsidP="00387C28">
      <w:pPr>
        <w:pStyle w:val="BodyText"/>
      </w:pPr>
      <w:r w:rsidRPr="00BE78CA">
        <w:t>In most cases, to aggregate uncertainties from subcategories, sectoral compilers used the approach 1 recommended in the 2006 IPCC Guidelines (equation 3.2, page 3.28).</w:t>
      </w:r>
    </w:p>
    <w:p w14:paraId="0C882452" w14:textId="0F5CA3BC" w:rsidR="00387C28" w:rsidRPr="00BE78CA" w:rsidRDefault="00387C28" w:rsidP="00387C28">
      <w:pPr>
        <w:pStyle w:val="BodyText"/>
      </w:pPr>
      <w:r w:rsidRPr="00BE78CA">
        <w:t>In the IPPU sector (for the ODS category only), the emissions are estimated using a mass balance approach as indicated in chapter 4. This approach uses the data on imports of each gas</w:t>
      </w:r>
      <w:r w:rsidR="00AD74D3" w:rsidRPr="00BE78CA">
        <w:t> </w:t>
      </w:r>
      <w:r w:rsidRPr="00BE78CA">
        <w:t>as the total for all applications for an input. In this calculation, it would not be appropriate to combine the uncertainties for subcategories using the propagation method because they are not independent variables and, therefore, an expert judgement on the bulk value of HFCs</w:t>
      </w:r>
      <w:r w:rsidR="00AD74D3" w:rsidRPr="00BE78CA">
        <w:t> </w:t>
      </w:r>
      <w:r w:rsidRPr="00BE78CA">
        <w:t>was used.</w:t>
      </w:r>
    </w:p>
    <w:p w14:paraId="5DE6037A" w14:textId="4BB016B8" w:rsidR="00387C28" w:rsidRPr="00BE78CA" w:rsidRDefault="00387C28" w:rsidP="00387C28">
      <w:pPr>
        <w:pStyle w:val="BodyText"/>
      </w:pPr>
      <w:r w:rsidRPr="00BE78CA">
        <w:lastRenderedPageBreak/>
        <w:t>The uncertainty for CH</w:t>
      </w:r>
      <w:r w:rsidRPr="00BE78CA">
        <w:rPr>
          <w:vertAlign w:val="subscript"/>
        </w:rPr>
        <w:t>4</w:t>
      </w:r>
      <w:r w:rsidRPr="00BE78CA">
        <w:t xml:space="preserve"> emissions from enteric fermentation was calculated by expressing the</w:t>
      </w:r>
      <w:r w:rsidR="00AD74D3" w:rsidRPr="00BE78CA">
        <w:t> </w:t>
      </w:r>
      <w:r w:rsidRPr="00BE78CA">
        <w:t>coefficient of variation according to the standard error of the CH</w:t>
      </w:r>
      <w:r w:rsidRPr="00BE78CA">
        <w:rPr>
          <w:vertAlign w:val="subscript"/>
        </w:rPr>
        <w:t>4</w:t>
      </w:r>
      <w:r w:rsidRPr="00BE78CA">
        <w:t xml:space="preserve"> yield. A Monte Carlo simulation has been used to determine uncertainty for N</w:t>
      </w:r>
      <w:r w:rsidRPr="00BE78CA">
        <w:rPr>
          <w:vertAlign w:val="subscript"/>
        </w:rPr>
        <w:t>2</w:t>
      </w:r>
      <w:r w:rsidRPr="00BE78CA">
        <w:t>O from agricultural soils. For the 2016 data, the uncertainty in the annual estimate was calculated using the 95 per cent confidence interval determined from the Monte Carlo simulation as a percentage of the mean</w:t>
      </w:r>
      <w:r w:rsidR="00AD74D3" w:rsidRPr="00BE78CA">
        <w:t> </w:t>
      </w:r>
      <w:r w:rsidRPr="00BE78CA">
        <w:t>value.</w:t>
      </w:r>
    </w:p>
    <w:p w14:paraId="5C20472B" w14:textId="7A723021" w:rsidR="00387C28" w:rsidRPr="00BE78CA" w:rsidRDefault="00387C28" w:rsidP="00387C28">
      <w:pPr>
        <w:pStyle w:val="BodyText"/>
      </w:pPr>
      <w:r w:rsidRPr="00BE78CA">
        <w:t>In the LULUCF sector, uncertainties were combined and aggregated using the error propagation procedure outlined in approach 1 for the 2006 IPCC Guidelines (equation 3.1</w:t>
      </w:r>
      <w:r w:rsidR="00A37132" w:rsidRPr="00BE78CA">
        <w:t> </w:t>
      </w:r>
      <w:r w:rsidRPr="00BE78CA">
        <w:t>and</w:t>
      </w:r>
      <w:r w:rsidR="00A37132" w:rsidRPr="00BE78CA">
        <w:t> </w:t>
      </w:r>
      <w:r w:rsidRPr="00BE78CA">
        <w:t>equation 3.2, page 3.28). These uncertainties take into account natural variability, measurement error and model prediction error. Further details on the emission factor and activity data uncertainties for specific land uses and non-carbon emissions are given within the</w:t>
      </w:r>
      <w:r w:rsidR="00AD74D3" w:rsidRPr="00BE78CA">
        <w:t> </w:t>
      </w:r>
      <w:r w:rsidRPr="00BE78CA">
        <w:t>relevant sections of chapter 6. Further detailed analysis of LULUCF uncertainties is presented in annex 3.2.3.</w:t>
      </w:r>
    </w:p>
    <w:p w14:paraId="5D573362" w14:textId="77777777" w:rsidR="00387C28" w:rsidRPr="00BE78CA" w:rsidRDefault="00387C28" w:rsidP="00387C28">
      <w:pPr>
        <w:pStyle w:val="Heading4"/>
      </w:pPr>
      <w:r w:rsidRPr="00BE78CA">
        <w:t>Gross emissions</w:t>
      </w:r>
    </w:p>
    <w:p w14:paraId="755B0C9E" w14:textId="77777777" w:rsidR="00387C28" w:rsidRPr="00BE78CA" w:rsidRDefault="00387C28" w:rsidP="00387C28">
      <w:pPr>
        <w:pStyle w:val="Heading5"/>
      </w:pPr>
      <w:bookmarkStart w:id="133" w:name="uncertainty-in-2019-level-assessment"/>
      <w:r w:rsidRPr="00BE78CA">
        <w:t xml:space="preserve">Uncertainty in </w:t>
      </w:r>
      <w:r w:rsidRPr="00BE78CA">
        <w:rPr>
          <w:bCs w:val="0"/>
        </w:rPr>
        <w:t>2019</w:t>
      </w:r>
      <w:r w:rsidRPr="00BE78CA">
        <w:t xml:space="preserve"> – level assessment</w:t>
      </w:r>
      <w:bookmarkEnd w:id="133"/>
    </w:p>
    <w:p w14:paraId="40FFF752" w14:textId="09B6E10A" w:rsidR="00387C28" w:rsidRPr="00BE78CA" w:rsidRDefault="00387C28" w:rsidP="00387C28">
      <w:pPr>
        <w:pStyle w:val="BodyText"/>
      </w:pPr>
      <w:r w:rsidRPr="00BE78CA">
        <w:t>The uncertainty in gross emissions (excluding emissions and removals from the LULUCF sector) in 2019 is ±8.5 per cent. This is a decrease of 0.5 percentage points from 2018 of the previous submission. Emissions of CH</w:t>
      </w:r>
      <w:r w:rsidRPr="00BE78CA">
        <w:rPr>
          <w:vertAlign w:val="subscript"/>
        </w:rPr>
        <w:t>4</w:t>
      </w:r>
      <w:r w:rsidRPr="00BE78CA">
        <w:t xml:space="preserve"> from </w:t>
      </w:r>
      <w:r w:rsidRPr="00BE78CA">
        <w:rPr>
          <w:i/>
        </w:rPr>
        <w:t>Enteric fermentation</w:t>
      </w:r>
      <w:r w:rsidRPr="00BE78CA">
        <w:t xml:space="preserve"> (±16.0 per cent), N</w:t>
      </w:r>
      <w:r w:rsidRPr="00BE78CA">
        <w:rPr>
          <w:vertAlign w:val="subscript"/>
        </w:rPr>
        <w:t>2</w:t>
      </w:r>
      <w:r w:rsidRPr="00BE78CA">
        <w:t xml:space="preserve">O from </w:t>
      </w:r>
      <w:r w:rsidRPr="00BE78CA">
        <w:rPr>
          <w:i/>
        </w:rPr>
        <w:t>Agricultural soils</w:t>
      </w:r>
      <w:r w:rsidRPr="00BE78CA">
        <w:t xml:space="preserve"> (± 55.3 per cent) and CH</w:t>
      </w:r>
      <w:r w:rsidRPr="00BE78CA">
        <w:rPr>
          <w:vertAlign w:val="subscript"/>
        </w:rPr>
        <w:t>4</w:t>
      </w:r>
      <w:r w:rsidRPr="00BE78CA">
        <w:t xml:space="preserve"> from </w:t>
      </w:r>
      <w:r w:rsidRPr="00BE78CA">
        <w:rPr>
          <w:i/>
        </w:rPr>
        <w:t>Solid waste disposal</w:t>
      </w:r>
      <w:r w:rsidRPr="00BE78CA">
        <w:t xml:space="preserve"> (±100.3 per cent) had the highest levels of emissions uncertainty, contributing 5.6 per cent, 5.2 per cent and 3.3 per cent to the overall uncertainty of gross emissions in 2019. The uncertainty in these categories reflects the</w:t>
      </w:r>
      <w:r w:rsidR="00A37132" w:rsidRPr="00BE78CA">
        <w:t> </w:t>
      </w:r>
      <w:r w:rsidRPr="00BE78CA">
        <w:t>inherent variability when estimating emissions from natural systems.</w:t>
      </w:r>
    </w:p>
    <w:p w14:paraId="36BFCA40" w14:textId="77777777" w:rsidR="00387C28" w:rsidRPr="00BE78CA" w:rsidRDefault="00387C28" w:rsidP="00387C28">
      <w:pPr>
        <w:pStyle w:val="Heading5"/>
      </w:pPr>
      <w:bookmarkStart w:id="134" w:name="uncertainty-in-1990-level-assessment"/>
      <w:r w:rsidRPr="00BE78CA">
        <w:t xml:space="preserve">Uncertainty in </w:t>
      </w:r>
      <w:r w:rsidRPr="00BE78CA">
        <w:rPr>
          <w:bCs w:val="0"/>
        </w:rPr>
        <w:t>1990</w:t>
      </w:r>
      <w:r w:rsidRPr="00BE78CA">
        <w:t xml:space="preserve"> – level assessment</w:t>
      </w:r>
      <w:bookmarkEnd w:id="134"/>
    </w:p>
    <w:p w14:paraId="76BEBB55" w14:textId="6C583D8F" w:rsidR="00387C28" w:rsidRPr="00BE78CA" w:rsidRDefault="00387C28" w:rsidP="00387C28">
      <w:pPr>
        <w:pStyle w:val="BodyText"/>
      </w:pPr>
      <w:r w:rsidRPr="00BE78CA">
        <w:t>In 1990, the uncertainty in gross emissions was ±9.7 per cent. This is a decrease of 0.1</w:t>
      </w:r>
      <w:r w:rsidR="00A37132" w:rsidRPr="00BE78CA">
        <w:t> </w:t>
      </w:r>
      <w:r w:rsidRPr="00BE78CA">
        <w:t>percentage points from the previous submission. Emissions of CH</w:t>
      </w:r>
      <w:r w:rsidRPr="00BE78CA">
        <w:rPr>
          <w:vertAlign w:val="subscript"/>
        </w:rPr>
        <w:t>4</w:t>
      </w:r>
      <w:r w:rsidRPr="00BE78CA">
        <w:t xml:space="preserve"> from </w:t>
      </w:r>
      <w:r w:rsidRPr="00BE78CA">
        <w:rPr>
          <w:i/>
        </w:rPr>
        <w:t>Enteric fermentation</w:t>
      </w:r>
      <w:r w:rsidRPr="00BE78CA">
        <w:t xml:space="preserve"> and </w:t>
      </w:r>
      <w:r w:rsidRPr="00BE78CA">
        <w:rPr>
          <w:i/>
        </w:rPr>
        <w:t>Solid waste disposal</w:t>
      </w:r>
      <w:r w:rsidRPr="00BE78CA">
        <w:t>, and N</w:t>
      </w:r>
      <w:r w:rsidRPr="00BE78CA">
        <w:rPr>
          <w:vertAlign w:val="subscript"/>
        </w:rPr>
        <w:t>2</w:t>
      </w:r>
      <w:r w:rsidRPr="00BE78CA">
        <w:t xml:space="preserve">O from </w:t>
      </w:r>
      <w:r w:rsidRPr="00BE78CA">
        <w:rPr>
          <w:i/>
        </w:rPr>
        <w:t>Agricultural soils</w:t>
      </w:r>
      <w:r w:rsidRPr="00BE78CA">
        <w:t xml:space="preserve"> contributed with 6.7</w:t>
      </w:r>
      <w:r w:rsidR="00A37132" w:rsidRPr="00BE78CA">
        <w:t> </w:t>
      </w:r>
      <w:r w:rsidRPr="00BE78CA">
        <w:t>per</w:t>
      </w:r>
      <w:r w:rsidR="00A37132" w:rsidRPr="00BE78CA">
        <w:t> </w:t>
      </w:r>
      <w:r w:rsidRPr="00BE78CA">
        <w:t>cent, 5.1 per cent and 4.5 per cent respectively to the overall uncertainty of gross emissions in 1990.</w:t>
      </w:r>
    </w:p>
    <w:p w14:paraId="0E25B407" w14:textId="77777777" w:rsidR="00387C28" w:rsidRPr="00BE78CA" w:rsidRDefault="00387C28" w:rsidP="00387C28">
      <w:pPr>
        <w:pStyle w:val="Heading5"/>
      </w:pPr>
      <w:bookmarkStart w:id="135" w:name="uncertainty-in-the-trend"/>
      <w:r w:rsidRPr="00BE78CA">
        <w:t>Uncertainty in the trend</w:t>
      </w:r>
      <w:bookmarkEnd w:id="135"/>
    </w:p>
    <w:p w14:paraId="577825AB" w14:textId="77777777" w:rsidR="00387C28" w:rsidRPr="00BE78CA" w:rsidRDefault="00387C28" w:rsidP="00387C28">
      <w:pPr>
        <w:pStyle w:val="BodyText"/>
      </w:pPr>
      <w:r w:rsidRPr="00BE78CA">
        <w:t>The trend uncertainty in gross emissions (excluding emissions and removals from the LULUCF sector) from 1990 to 2019 is ±6.8 per cent. This is a decrease of 1.6 percentage points from the previous submission. The decrease in trend uncertainty is a result of revisions to emissions estimates in the Waste sector as detailed in chapter 10, section 10.1.5.</w:t>
      </w:r>
    </w:p>
    <w:p w14:paraId="3749E2A5" w14:textId="77777777" w:rsidR="00387C28" w:rsidRPr="00BE78CA" w:rsidRDefault="00387C28" w:rsidP="00387C28">
      <w:pPr>
        <w:pStyle w:val="Heading4"/>
      </w:pPr>
      <w:bookmarkStart w:id="136" w:name="net-emissions"/>
      <w:r w:rsidRPr="00BE78CA">
        <w:t>Net emissions</w:t>
      </w:r>
      <w:bookmarkEnd w:id="136"/>
    </w:p>
    <w:p w14:paraId="28889F65" w14:textId="77777777" w:rsidR="00387C28" w:rsidRPr="00BE78CA" w:rsidRDefault="00387C28" w:rsidP="00387C28">
      <w:pPr>
        <w:pStyle w:val="Heading5"/>
      </w:pPr>
      <w:bookmarkStart w:id="137" w:name="uncertainty-in-2019-level-assessment-1"/>
      <w:r w:rsidRPr="00BE78CA">
        <w:t xml:space="preserve">Uncertainty in </w:t>
      </w:r>
      <w:r w:rsidRPr="00BE78CA">
        <w:rPr>
          <w:bCs w:val="0"/>
        </w:rPr>
        <w:t>2019</w:t>
      </w:r>
      <w:r w:rsidRPr="00BE78CA">
        <w:t xml:space="preserve"> – level assessment</w:t>
      </w:r>
      <w:bookmarkEnd w:id="137"/>
    </w:p>
    <w:p w14:paraId="1C57BC29" w14:textId="46C3EEE6" w:rsidR="00387C28" w:rsidRPr="00BE78CA" w:rsidRDefault="00387C28" w:rsidP="00387C28">
      <w:pPr>
        <w:pStyle w:val="BodyText"/>
      </w:pPr>
      <w:r w:rsidRPr="00BE78CA">
        <w:t>The uncertainty for New Zealand’s inventory, including emissions and removals from the LULUCF sector, in 2019 is ±16.9 per cent, an increase of 4.8 percentage points from 2018 of the previous submission. Emissions of CO</w:t>
      </w:r>
      <w:r w:rsidRPr="00BE78CA">
        <w:rPr>
          <w:vertAlign w:val="subscript"/>
        </w:rPr>
        <w:t>2</w:t>
      </w:r>
      <w:r w:rsidRPr="00BE78CA">
        <w:t xml:space="preserve"> from </w:t>
      </w:r>
      <w:r w:rsidRPr="00BE78CA">
        <w:rPr>
          <w:i/>
        </w:rPr>
        <w:t>Forest land</w:t>
      </w:r>
      <w:r w:rsidRPr="00BE78CA">
        <w:t xml:space="preserve"> (±79.2 per cent), CO</w:t>
      </w:r>
      <w:r w:rsidRPr="00BE78CA">
        <w:rPr>
          <w:vertAlign w:val="subscript"/>
        </w:rPr>
        <w:t>2</w:t>
      </w:r>
      <w:r w:rsidRPr="00BE78CA">
        <w:t xml:space="preserve"> from </w:t>
      </w:r>
      <w:r w:rsidRPr="00BE78CA">
        <w:rPr>
          <w:i/>
        </w:rPr>
        <w:t>Harvested wood products</w:t>
      </w:r>
      <w:r w:rsidRPr="00BE78CA">
        <w:t xml:space="preserve"> (±69.0 per cent) and CH</w:t>
      </w:r>
      <w:r w:rsidRPr="00BE78CA">
        <w:rPr>
          <w:vertAlign w:val="subscript"/>
        </w:rPr>
        <w:t>4</w:t>
      </w:r>
      <w:r w:rsidRPr="00BE78CA">
        <w:t xml:space="preserve"> from </w:t>
      </w:r>
      <w:r w:rsidRPr="00BE78CA">
        <w:rPr>
          <w:i/>
        </w:rPr>
        <w:t>Enteric fermentation</w:t>
      </w:r>
      <w:r w:rsidRPr="00BE78CA">
        <w:t xml:space="preserve"> (±16.0 per cent) had the highest levels of net uncertainty for 2019, at 14.8 per cent, 5.8 per cent and 3.9 per cent of the</w:t>
      </w:r>
      <w:r w:rsidR="00C30290" w:rsidRPr="00BE78CA">
        <w:t> </w:t>
      </w:r>
      <w:r w:rsidRPr="00BE78CA">
        <w:t>overall uncertainty in the net emissions.</w:t>
      </w:r>
    </w:p>
    <w:p w14:paraId="6CDA3BE5" w14:textId="77777777" w:rsidR="00387C28" w:rsidRPr="00BE78CA" w:rsidRDefault="00387C28" w:rsidP="00387C28">
      <w:pPr>
        <w:pStyle w:val="Heading5"/>
      </w:pPr>
      <w:bookmarkStart w:id="138" w:name="uncertainty-in-1990-level-assessment-1"/>
      <w:r w:rsidRPr="00BE78CA">
        <w:lastRenderedPageBreak/>
        <w:t xml:space="preserve">Uncertainty in </w:t>
      </w:r>
      <w:r w:rsidRPr="00BE78CA">
        <w:rPr>
          <w:bCs w:val="0"/>
        </w:rPr>
        <w:t>1990</w:t>
      </w:r>
      <w:r w:rsidRPr="00BE78CA">
        <w:t xml:space="preserve"> – level assessment</w:t>
      </w:r>
      <w:bookmarkEnd w:id="138"/>
    </w:p>
    <w:p w14:paraId="0B38B994" w14:textId="50132DC4" w:rsidR="00387C28" w:rsidRPr="00BE78CA" w:rsidRDefault="00387C28" w:rsidP="00387C28">
      <w:pPr>
        <w:pStyle w:val="BodyText"/>
      </w:pPr>
      <w:r w:rsidRPr="00BE78CA">
        <w:t>In 1990, the uncertainty in net emissions was 21.3 per cent. This is an increase of 5.1 percentage points from the previous submission. Emissions of CO</w:t>
      </w:r>
      <w:r w:rsidRPr="00BE78CA">
        <w:rPr>
          <w:vertAlign w:val="subscript"/>
        </w:rPr>
        <w:t>2</w:t>
      </w:r>
      <w:r w:rsidRPr="00BE78CA">
        <w:t xml:space="preserve"> from </w:t>
      </w:r>
      <w:r w:rsidRPr="00BE78CA">
        <w:rPr>
          <w:i/>
        </w:rPr>
        <w:t>Forest land</w:t>
      </w:r>
      <w:r w:rsidRPr="00BE78CA">
        <w:t xml:space="preserve"> and CH</w:t>
      </w:r>
      <w:r w:rsidRPr="00BE78CA">
        <w:rPr>
          <w:vertAlign w:val="subscript"/>
        </w:rPr>
        <w:t>4</w:t>
      </w:r>
      <w:r w:rsidR="00C30290" w:rsidRPr="00BE78CA">
        <w:t> </w:t>
      </w:r>
      <w:r w:rsidRPr="00BE78CA">
        <w:t xml:space="preserve">from </w:t>
      </w:r>
      <w:r w:rsidRPr="00BE78CA">
        <w:rPr>
          <w:i/>
        </w:rPr>
        <w:t>Enteric fermentation</w:t>
      </w:r>
      <w:r w:rsidRPr="00BE78CA">
        <w:t xml:space="preserve"> and </w:t>
      </w:r>
      <w:r w:rsidRPr="00BE78CA">
        <w:rPr>
          <w:i/>
        </w:rPr>
        <w:t>Solid waste disposal</w:t>
      </w:r>
      <w:r w:rsidRPr="00BE78CA">
        <w:t xml:space="preserve"> contributed with 20.1 per cent, 4.8</w:t>
      </w:r>
      <w:r w:rsidR="00C30290" w:rsidRPr="00BE78CA">
        <w:t> </w:t>
      </w:r>
      <w:r w:rsidRPr="00BE78CA">
        <w:t>per</w:t>
      </w:r>
      <w:r w:rsidR="00C30290" w:rsidRPr="00BE78CA">
        <w:t> </w:t>
      </w:r>
      <w:r w:rsidRPr="00BE78CA">
        <w:t>cent and 3.6 per cent respectively to the overall uncertainty of net emissions in 1990.</w:t>
      </w:r>
    </w:p>
    <w:p w14:paraId="1A342022" w14:textId="77777777" w:rsidR="00387C28" w:rsidRPr="00BE78CA" w:rsidRDefault="00387C28" w:rsidP="00387C28">
      <w:pPr>
        <w:pStyle w:val="Heading5"/>
      </w:pPr>
      <w:bookmarkStart w:id="139" w:name="uncertainty-in-the-trend-1"/>
      <w:r w:rsidRPr="00BE78CA">
        <w:t>Uncertainty in the trend</w:t>
      </w:r>
      <w:bookmarkEnd w:id="139"/>
    </w:p>
    <w:p w14:paraId="5CC1891F" w14:textId="293688A4" w:rsidR="00387C28" w:rsidRPr="00BE78CA" w:rsidRDefault="00387C28" w:rsidP="00387C28">
      <w:pPr>
        <w:pStyle w:val="BodyText"/>
      </w:pPr>
      <w:r w:rsidRPr="00BE78CA">
        <w:t>When emissions and removals from the LULUCF sector are included, the overall uncertainty in</w:t>
      </w:r>
      <w:r w:rsidR="00C30290" w:rsidRPr="00BE78CA">
        <w:t> </w:t>
      </w:r>
      <w:r w:rsidRPr="00BE78CA">
        <w:t>the trend from 1990 to 2019 is ±10.6 per cent. This is a decrease of 1.5 percentage points from the previous submission. Updated emissions estimates in the Waste and LULUCF sectors</w:t>
      </w:r>
      <w:r w:rsidR="00C30290" w:rsidRPr="00BE78CA">
        <w:t> </w:t>
      </w:r>
      <w:r w:rsidRPr="00BE78CA">
        <w:t>are the main reasons for the decrease, as described in chapter 10, sections 10.1.4 and</w:t>
      </w:r>
      <w:r w:rsidR="00C30290" w:rsidRPr="00BE78CA">
        <w:t> </w:t>
      </w:r>
      <w:r w:rsidRPr="00BE78CA">
        <w:t>10.1.5 respectively.</w:t>
      </w:r>
    </w:p>
    <w:p w14:paraId="07B66320" w14:textId="77777777" w:rsidR="00387C28" w:rsidRPr="00BE78CA" w:rsidRDefault="00387C28" w:rsidP="00387C28">
      <w:pPr>
        <w:pStyle w:val="Heading3"/>
      </w:pPr>
      <w:bookmarkStart w:id="140" w:name="Xf52f08f0004dd6ef467ac450a618c3f5ca1c703"/>
      <w:r w:rsidRPr="00BE78CA">
        <w:t>1.6.2 LULUCF activities under the Kyoto Protocol</w:t>
      </w:r>
      <w:bookmarkEnd w:id="140"/>
    </w:p>
    <w:p w14:paraId="7B057593" w14:textId="77777777" w:rsidR="00387C28" w:rsidRPr="00BE78CA" w:rsidRDefault="00387C28" w:rsidP="00387C28">
      <w:pPr>
        <w:pStyle w:val="BodyText"/>
      </w:pPr>
      <w:r w:rsidRPr="00BE78CA">
        <w:t xml:space="preserve">The combined uncertainty for net emissions from </w:t>
      </w:r>
      <w:r w:rsidRPr="00BE78CA">
        <w:rPr>
          <w:i/>
        </w:rPr>
        <w:t>Afforestation and reforestation</w:t>
      </w:r>
      <w:r w:rsidRPr="00BE78CA">
        <w:t xml:space="preserve"> category activities in 2019 is ±16.7 per cent. The uncertainty for net emissions from the </w:t>
      </w:r>
      <w:r w:rsidRPr="00BE78CA">
        <w:rPr>
          <w:i/>
        </w:rPr>
        <w:t>Deforestation</w:t>
      </w:r>
      <w:r w:rsidRPr="00BE78CA">
        <w:t xml:space="preserve"> category in 2019 is ±1.2 per cent.</w:t>
      </w:r>
    </w:p>
    <w:p w14:paraId="1B7C7606" w14:textId="77777777" w:rsidR="00387C28" w:rsidRPr="00BE78CA" w:rsidRDefault="00387C28" w:rsidP="00387C28">
      <w:pPr>
        <w:pStyle w:val="BodyText"/>
      </w:pPr>
      <w:r w:rsidRPr="00BE78CA">
        <w:t xml:space="preserve">The uncertainty for net emissions from the </w:t>
      </w:r>
      <w:r w:rsidRPr="00BE78CA">
        <w:rPr>
          <w:i/>
        </w:rPr>
        <w:t>Forest management</w:t>
      </w:r>
      <w:r w:rsidRPr="00BE78CA">
        <w:t xml:space="preserve"> category in 2019 is ±39.5 per cent. The uncertainty introduced into net emissions from </w:t>
      </w:r>
      <w:r w:rsidRPr="00BE78CA">
        <w:rPr>
          <w:i/>
        </w:rPr>
        <w:t>Forest management</w:t>
      </w:r>
      <w:r w:rsidRPr="00BE78CA">
        <w:t xml:space="preserve"> is high because this category has large emissions from harvesting and large removals from forest growth, leaving relatively small net change. Because the uncertainty is calculated on emissions and removals relative to net change, this results in a large uncertainty figure.</w:t>
      </w:r>
    </w:p>
    <w:p w14:paraId="10C89422" w14:textId="77777777" w:rsidR="00387C28" w:rsidRPr="00BE78CA" w:rsidRDefault="00387C28" w:rsidP="00387C28">
      <w:pPr>
        <w:pStyle w:val="BodyText"/>
      </w:pPr>
      <w:r w:rsidRPr="00BE78CA">
        <w:t>Combining these uncertainties gives a total uncertainty estimate for LULUCF activities under the Kyoto Protocol of ±42.4 per cent.</w:t>
      </w:r>
    </w:p>
    <w:p w14:paraId="79E7888E" w14:textId="58020D23" w:rsidR="00387C28" w:rsidRPr="00BE78CA" w:rsidRDefault="00387C28" w:rsidP="00387C28">
      <w:pPr>
        <w:pStyle w:val="BodyText"/>
      </w:pPr>
      <w:r w:rsidRPr="00BE78CA">
        <w:t>Chapter 11, section 11.4.1, provides further information on the uncertainty analysis for activities under the Kyoto Protocol and how this uncertainty analysis relates to the LULUCF</w:t>
      </w:r>
      <w:r w:rsidR="00A37132" w:rsidRPr="00BE78CA">
        <w:t> </w:t>
      </w:r>
      <w:r w:rsidRPr="00BE78CA">
        <w:t>sector.</w:t>
      </w:r>
    </w:p>
    <w:p w14:paraId="426EB63B" w14:textId="48C60356" w:rsidR="00387C28" w:rsidRPr="00BE78CA" w:rsidRDefault="00387C28" w:rsidP="00387C28">
      <w:pPr>
        <w:pStyle w:val="Heading2"/>
      </w:pPr>
      <w:bookmarkStart w:id="141" w:name="inventory-completeness"/>
      <w:bookmarkStart w:id="142" w:name="_Toc68786294"/>
      <w:r w:rsidRPr="00BE78CA">
        <w:t xml:space="preserve">1.7 </w:t>
      </w:r>
      <w:r w:rsidR="00EC1A51" w:rsidRPr="00BE78CA">
        <w:tab/>
      </w:r>
      <w:r w:rsidRPr="00BE78CA">
        <w:t>Inventory completeness</w:t>
      </w:r>
      <w:bookmarkEnd w:id="141"/>
      <w:bookmarkEnd w:id="142"/>
    </w:p>
    <w:p w14:paraId="2C51DF02" w14:textId="58E17BE0" w:rsidR="00387C28" w:rsidRPr="00BE78CA" w:rsidRDefault="00387C28" w:rsidP="00EC1A51">
      <w:pPr>
        <w:pStyle w:val="Heading3"/>
        <w:spacing w:before="240"/>
      </w:pPr>
      <w:bookmarkStart w:id="143" w:name="reporting-under-the-convention-2"/>
      <w:r w:rsidRPr="00BE78CA">
        <w:t>1.7.1</w:t>
      </w:r>
      <w:r w:rsidR="00EC1A51" w:rsidRPr="00BE78CA">
        <w:tab/>
      </w:r>
      <w:r w:rsidRPr="00BE78CA">
        <w:t>Reporting under the Convention</w:t>
      </w:r>
      <w:bookmarkEnd w:id="143"/>
    </w:p>
    <w:p w14:paraId="5BE526F1" w14:textId="77777777" w:rsidR="00387C28" w:rsidRPr="00BE78CA" w:rsidRDefault="00387C28" w:rsidP="00387C28">
      <w:pPr>
        <w:pStyle w:val="BodyText"/>
      </w:pPr>
      <w:r w:rsidRPr="00BE78CA">
        <w:t>The inventory for the period 1990 to 2019 is complete. In accordance with the 2006 IPCC Guidelines, New Zealand has focused its resources for inventory development in the key categories and non-key categories that are mandatory. Additional information regarding the use of the notation key ‘NE’ in the context of paragraph 37(b) of the UNFCCC reporting guidelines (UNFCCC, 2013b) is presented in annex 6.2.</w:t>
      </w:r>
    </w:p>
    <w:p w14:paraId="0113D5E1" w14:textId="6A980BA6" w:rsidR="00387C28" w:rsidRPr="00BE78CA" w:rsidRDefault="00387C28" w:rsidP="00387C28">
      <w:pPr>
        <w:pStyle w:val="Heading3"/>
      </w:pPr>
      <w:bookmarkStart w:id="144" w:name="Xba1d6b5eaf42aff0eececcb6a26927035442eb1"/>
      <w:r w:rsidRPr="00BE78CA">
        <w:t xml:space="preserve">1.7.2 </w:t>
      </w:r>
      <w:r w:rsidR="00D43217" w:rsidRPr="00BE78CA">
        <w:tab/>
      </w:r>
      <w:r w:rsidRPr="00BE78CA">
        <w:t>LULUCF activities under the Kyoto Protocol</w:t>
      </w:r>
      <w:bookmarkEnd w:id="144"/>
    </w:p>
    <w:p w14:paraId="7100C28C" w14:textId="73ED1DAB" w:rsidR="00387C28" w:rsidRPr="00BE78CA" w:rsidRDefault="00387C28" w:rsidP="00387C28">
      <w:pPr>
        <w:pStyle w:val="BodyText"/>
      </w:pPr>
      <w:r w:rsidRPr="00BE78CA">
        <w:t xml:space="preserve">New Zealand has included all carbon pools in reporting for Article 3.3 activities and Article 3.4 </w:t>
      </w:r>
      <w:r w:rsidRPr="00BE78CA">
        <w:rPr>
          <w:i/>
        </w:rPr>
        <w:t>Forest management</w:t>
      </w:r>
      <w:r w:rsidRPr="00BE78CA">
        <w:t xml:space="preserve"> activities under the Kyoto Protocol. See chapter 11, section 11.1, for more</w:t>
      </w:r>
      <w:r w:rsidR="00D43217" w:rsidRPr="00BE78CA">
        <w:t> </w:t>
      </w:r>
      <w:r w:rsidRPr="00BE78CA">
        <w:t>information.</w:t>
      </w:r>
    </w:p>
    <w:p w14:paraId="45345C56" w14:textId="6603DA1C" w:rsidR="00387C28" w:rsidRPr="00BE78CA" w:rsidRDefault="00387C28" w:rsidP="00387C28">
      <w:pPr>
        <w:pStyle w:val="Heading2"/>
      </w:pPr>
      <w:bookmarkStart w:id="145" w:name="national-registry"/>
      <w:bookmarkStart w:id="146" w:name="_Toc68786295"/>
      <w:r w:rsidRPr="00BE78CA">
        <w:lastRenderedPageBreak/>
        <w:t xml:space="preserve">1.8 </w:t>
      </w:r>
      <w:r w:rsidR="00D43217" w:rsidRPr="00BE78CA">
        <w:tab/>
      </w:r>
      <w:r w:rsidRPr="00BE78CA">
        <w:t>National registry</w:t>
      </w:r>
      <w:bookmarkEnd w:id="145"/>
      <w:bookmarkEnd w:id="146"/>
    </w:p>
    <w:p w14:paraId="04C72EC8" w14:textId="7C6E8342" w:rsidR="00387C28" w:rsidRPr="00BE78CA" w:rsidRDefault="00387C28" w:rsidP="00387C28">
      <w:pPr>
        <w:pStyle w:val="BodyText"/>
      </w:pPr>
      <w:r w:rsidRPr="00BE78CA">
        <w:t>The national registry (the New Zealand Emissions Trading Register or the Register) is New</w:t>
      </w:r>
      <w:r w:rsidR="00D43217" w:rsidRPr="00BE78CA">
        <w:t> </w:t>
      </w:r>
      <w:r w:rsidRPr="00BE78CA">
        <w:t>Zealand’s online facility to manage the accounting, reporting and reconciliation of emissions, unit holdings and transactions as part of the NZ ETS. The EPA is designated as the</w:t>
      </w:r>
      <w:r w:rsidR="00D43217" w:rsidRPr="00BE78CA">
        <w:t> </w:t>
      </w:r>
      <w:r w:rsidRPr="00BE78CA">
        <w:t>agency responsible for the implementation and operation of New Zealand’s national registry under the Kyoto Protocol. The Register is electronic and accessible via the internet (</w:t>
      </w:r>
      <w:hyperlink r:id="rId35">
        <w:r w:rsidRPr="00BE78CA">
          <w:t>www.emissionsregister.govt.nz</w:t>
        </w:r>
      </w:hyperlink>
      <w:r w:rsidRPr="00BE78CA">
        <w:t>).</w:t>
      </w:r>
    </w:p>
    <w:p w14:paraId="685A5278" w14:textId="608170F8" w:rsidR="00387C28" w:rsidRPr="00BE78CA" w:rsidRDefault="00387C28" w:rsidP="00387C28">
      <w:pPr>
        <w:pStyle w:val="BodyText"/>
      </w:pPr>
      <w:r w:rsidRPr="00BE78CA">
        <w:t>In January 2008, New Zealand’s national registry was issued with New Zealand’s assigned amount of 309,564,733 metric tonnes CO</w:t>
      </w:r>
      <w:r w:rsidRPr="00BE78CA">
        <w:rPr>
          <w:vertAlign w:val="subscript"/>
        </w:rPr>
        <w:t>2</w:t>
      </w:r>
      <w:r w:rsidRPr="00BE78CA">
        <w:t>-e for CP1 (covering the five-year period 2008 to</w:t>
      </w:r>
      <w:r w:rsidR="00D43217" w:rsidRPr="00BE78CA">
        <w:t> </w:t>
      </w:r>
      <w:r w:rsidRPr="00BE78CA">
        <w:t>2012).</w:t>
      </w:r>
    </w:p>
    <w:p w14:paraId="6C1ABF0D" w14:textId="5352203C" w:rsidR="00387C28" w:rsidRPr="00BE78CA" w:rsidRDefault="00387C28" w:rsidP="00387C28">
      <w:pPr>
        <w:pStyle w:val="BodyText"/>
      </w:pPr>
      <w:r w:rsidRPr="00BE78CA">
        <w:t>At the end of CP1, New Zealand retired Kyoto Protocol units in its registry equal to its reported</w:t>
      </w:r>
      <w:r w:rsidR="00D43217" w:rsidRPr="00BE78CA">
        <w:t> </w:t>
      </w:r>
      <w:r w:rsidRPr="00BE78CA">
        <w:t>emissions and submitted its true-up report (available on both the MfE and UNFCCC websites) to meet CP1 Kyoto Protocol obligations. While remaining a Party to the Kyoto Protocol, New Zealand does not have a target under the second commitment period (CP2). Instead, New Zealand joins countries that have made international pledges under the Convention. As such, New Zealand has no assigned amount for CP2; however, New Zealand has chosen to maintain a registry connected to the International Transaction Log. This is required because the Register continues to hold Kyoto Protocol units, and these are required to be able to be reconciled via the International Transaction Log. New Zealand has also committed to apply the Kyoto Protocol accounting approach for the period 2013 to 2020 (the</w:t>
      </w:r>
      <w:r w:rsidR="00D43217" w:rsidRPr="00BE78CA">
        <w:t> </w:t>
      </w:r>
      <w:r w:rsidRPr="00BE78CA">
        <w:t>period covered by CP2).</w:t>
      </w:r>
    </w:p>
    <w:p w14:paraId="5920406B" w14:textId="77777777" w:rsidR="00387C28" w:rsidRPr="00BE78CA" w:rsidRDefault="00387C28" w:rsidP="00387C28">
      <w:pPr>
        <w:pStyle w:val="BodyText"/>
      </w:pPr>
      <w:r w:rsidRPr="00BE78CA">
        <w:t>Although most international unit transfers of Kyoto Protocol units are no longer possible from or to the Register, it is still possible for direct issuance of certified emission reduction units from the Clean Development Mechanism and voluntary unit cancellation transactions to occur. Details of these transactions are included in the SEF tables submitted to the UNFCCC as part of New Zealand’s national inventory reporting. Also, changes to international trading may occur after CP2 ends and new arrangements under Article 6 of the Paris Agreement come into effect.</w:t>
      </w:r>
    </w:p>
    <w:p w14:paraId="45543BE3" w14:textId="77777777" w:rsidR="00387C28" w:rsidRPr="00BE78CA" w:rsidRDefault="00387C28" w:rsidP="00387C28">
      <w:pPr>
        <w:pStyle w:val="BodyText"/>
      </w:pPr>
      <w:r w:rsidRPr="00BE78CA">
        <w:t>New Zealand replaced its registry system in August 2016. The Register was tested and reviewed by the UNFCCC secretariat prior to it going live.</w:t>
      </w:r>
    </w:p>
    <w:p w14:paraId="4B8A4656" w14:textId="77777777" w:rsidR="00387C28" w:rsidRPr="00BE78CA" w:rsidRDefault="00387C28" w:rsidP="00387C28">
      <w:pPr>
        <w:pStyle w:val="BodyText"/>
      </w:pPr>
      <w:r w:rsidRPr="00BE78CA">
        <w:t>At the beginning of the 2020 calendar year, New Zealand’s national registry held 308,343,858 CP1 assigned amount units, 110,744,560 CP1 emissions reduction units, 21,685,909 CP1 certified emission reduction units and 100,845,399 CP1 removal units. The number and mix of units held at the end of 2020 were the same as at the beginning of 2020, because no international transactions occurred during this period and these amounts include the units retired to meet CP1 obligations. No CP2 units were held by New Zealand in 2020.</w:t>
      </w:r>
    </w:p>
    <w:p w14:paraId="12B9270A" w14:textId="77777777" w:rsidR="00387C28" w:rsidRPr="00BE78CA" w:rsidRDefault="00387C28" w:rsidP="00387C28">
      <w:pPr>
        <w:pStyle w:val="BodyText"/>
      </w:pPr>
      <w:r w:rsidRPr="00BE78CA">
        <w:t>New Zealand’s national registry did not hold any temporary certified emission reduction units or long-term certified emission reduction units during 2020.</w:t>
      </w:r>
    </w:p>
    <w:p w14:paraId="641B5D48" w14:textId="77777777" w:rsidR="00387C28" w:rsidRPr="00BE78CA" w:rsidRDefault="00387C28" w:rsidP="00387C28">
      <w:pPr>
        <w:pStyle w:val="BodyText"/>
      </w:pPr>
      <w:r w:rsidRPr="00BE78CA">
        <w:t xml:space="preserve">Any changes to the Register are captured in chapter 14 (table 14.3). </w:t>
      </w:r>
    </w:p>
    <w:p w14:paraId="08D68B45" w14:textId="77777777" w:rsidR="00387C28" w:rsidRPr="00BE78CA" w:rsidRDefault="00387C28" w:rsidP="00387C28">
      <w:pPr>
        <w:pStyle w:val="BodyText"/>
      </w:pPr>
      <w:r w:rsidRPr="00BE78CA">
        <w:t>For further information, please refer to chapters 12 and 14 and the SEF tables on New Zealand Emissions Trading Register holdings and transactions that were submitted to the UNFCCC with this inventory.</w:t>
      </w:r>
    </w:p>
    <w:p w14:paraId="29A99010" w14:textId="10AB8BB8" w:rsidR="00387C28" w:rsidRPr="00BE78CA" w:rsidRDefault="00387C28" w:rsidP="00387C28">
      <w:pPr>
        <w:pStyle w:val="Heading2"/>
      </w:pPr>
      <w:bookmarkStart w:id="147" w:name="new-zealands-emissions-trading-scheme"/>
      <w:bookmarkStart w:id="148" w:name="_Toc68786296"/>
      <w:r w:rsidRPr="00BE78CA">
        <w:lastRenderedPageBreak/>
        <w:t xml:space="preserve">1.9 </w:t>
      </w:r>
      <w:r w:rsidR="00D43217" w:rsidRPr="00BE78CA">
        <w:tab/>
      </w:r>
      <w:r w:rsidRPr="00BE78CA">
        <w:t>New Zealand’s Emissions Trading Scheme</w:t>
      </w:r>
      <w:bookmarkEnd w:id="147"/>
      <w:bookmarkEnd w:id="148"/>
    </w:p>
    <w:p w14:paraId="69087FEA" w14:textId="77777777" w:rsidR="00387C28" w:rsidRPr="00BE78CA" w:rsidRDefault="00387C28" w:rsidP="00387C28">
      <w:pPr>
        <w:pStyle w:val="BodyText"/>
      </w:pPr>
      <w:r w:rsidRPr="00BE78CA">
        <w:t>The NZ ETS is one of the Government’s primary tools for reducing greenhouse gas emissions. The following sections explain the background of the NZ ETS and how the data collected for the NZ ETS have been used to verify CO</w:t>
      </w:r>
      <w:r w:rsidRPr="00BE78CA">
        <w:rPr>
          <w:vertAlign w:val="subscript"/>
        </w:rPr>
        <w:t>2</w:t>
      </w:r>
      <w:r w:rsidRPr="00BE78CA">
        <w:t xml:space="preserve"> emissions in the Energy and IPPU sectors.</w:t>
      </w:r>
    </w:p>
    <w:p w14:paraId="06202681" w14:textId="201BD73B" w:rsidR="00387C28" w:rsidRPr="00BE78CA" w:rsidRDefault="00387C28" w:rsidP="00387C28">
      <w:pPr>
        <w:pStyle w:val="Heading3"/>
      </w:pPr>
      <w:bookmarkStart w:id="149" w:name="new-zealand-units"/>
      <w:r w:rsidRPr="00BE78CA">
        <w:t xml:space="preserve">1.9.1 </w:t>
      </w:r>
      <w:r w:rsidR="00D43217" w:rsidRPr="00BE78CA">
        <w:tab/>
      </w:r>
      <w:r w:rsidRPr="00BE78CA">
        <w:t>New Zealand Units</w:t>
      </w:r>
      <w:bookmarkEnd w:id="149"/>
    </w:p>
    <w:p w14:paraId="1A71C4F5" w14:textId="3E9273C3" w:rsidR="00387C28" w:rsidRPr="00BE78CA" w:rsidRDefault="00387C28" w:rsidP="00387C28">
      <w:pPr>
        <w:pStyle w:val="BodyText"/>
      </w:pPr>
      <w:r w:rsidRPr="00BE78CA">
        <w:t>The NZ ETS is based on trading units that represent 1 tonne of CO</w:t>
      </w:r>
      <w:r w:rsidRPr="00BE78CA">
        <w:rPr>
          <w:vertAlign w:val="subscript"/>
        </w:rPr>
        <w:t>2</w:t>
      </w:r>
      <w:r w:rsidRPr="00BE78CA">
        <w:t>-e, called a New Zealand Unit (NZU), which is created and distributed by the New Zealand Government. The scheme was established through the Climate Change Response Act 2002 and came into effect progressively from 2008, with coverage since 2010 of all emissions except agricultural CH</w:t>
      </w:r>
      <w:r w:rsidRPr="00BE78CA">
        <w:rPr>
          <w:vertAlign w:val="subscript"/>
        </w:rPr>
        <w:t>4</w:t>
      </w:r>
      <w:r w:rsidRPr="00BE78CA">
        <w:t xml:space="preserve"> and</w:t>
      </w:r>
      <w:r w:rsidR="00571B6B" w:rsidRPr="00BE78CA">
        <w:t> </w:t>
      </w:r>
      <w:r w:rsidRPr="00BE78CA">
        <w:t>N</w:t>
      </w:r>
      <w:r w:rsidRPr="00BE78CA">
        <w:rPr>
          <w:vertAlign w:val="subscript"/>
        </w:rPr>
        <w:t>2</w:t>
      </w:r>
      <w:r w:rsidRPr="00BE78CA">
        <w:t>O. Sectors under the scheme are required to report on their emissions and surrender units to the Government to cover their emissions. The Government supplies units for emissions removals through forestry and exports of emitting products from New Zealand. The</w:t>
      </w:r>
      <w:r w:rsidR="00571B6B" w:rsidRPr="00BE78CA">
        <w:t> </w:t>
      </w:r>
      <w:r w:rsidRPr="00BE78CA">
        <w:t>emissions price is then determined by the market, based on supply and demand of units, and this price creates a financial incentive for businesses that emit greenhouse gases to invest in technologies and practices that reduce emissions. Legislation in 2020 has made changes to the NZ ETS, but these do not relate to the reporting period up to the end of 2019 and will be reported on in subsequent submissions.</w:t>
      </w:r>
    </w:p>
    <w:p w14:paraId="199DB749" w14:textId="671CAD8D" w:rsidR="00387C28" w:rsidRPr="00BE78CA" w:rsidRDefault="00387C28" w:rsidP="00387C28">
      <w:pPr>
        <w:pStyle w:val="Heading3"/>
      </w:pPr>
      <w:bookmarkStart w:id="150" w:name="verification"/>
      <w:r w:rsidRPr="00BE78CA">
        <w:t xml:space="preserve">1.9.2 </w:t>
      </w:r>
      <w:r w:rsidR="00D43217" w:rsidRPr="00BE78CA">
        <w:tab/>
      </w:r>
      <w:r w:rsidRPr="00BE78CA">
        <w:t>Verification</w:t>
      </w:r>
      <w:bookmarkEnd w:id="150"/>
    </w:p>
    <w:p w14:paraId="528D1B8C" w14:textId="77777777" w:rsidR="00387C28" w:rsidRPr="00BE78CA" w:rsidRDefault="00387C28" w:rsidP="00387C28">
      <w:pPr>
        <w:pStyle w:val="BodyText"/>
      </w:pPr>
      <w:r w:rsidRPr="00BE78CA">
        <w:t>NZ ETS participants are required to record and report the GHG emissions for which they have obligations or the removals for which they can claim NZUs. Participants with obligations are also required to surrender NZUs to cover their emissions annually. How participants estimate their emissions is set out in the regulations prescribed under the Climate Change Response Act 2002. The schedule for sectors entering the NZ ETS is detailed in table 1.9.1.</w:t>
      </w:r>
    </w:p>
    <w:p w14:paraId="0A66B443" w14:textId="438ECA70" w:rsidR="00387C28" w:rsidRPr="00BE78CA" w:rsidRDefault="00387C28" w:rsidP="00387C28">
      <w:pPr>
        <w:pStyle w:val="BodyText"/>
      </w:pPr>
      <w:r w:rsidRPr="00BE78CA">
        <w:t>For this submission, data collected for the NZ ETS were used to verify the inventory estimates for CO</w:t>
      </w:r>
      <w:r w:rsidRPr="00BE78CA">
        <w:rPr>
          <w:vertAlign w:val="subscript"/>
        </w:rPr>
        <w:t>2</w:t>
      </w:r>
      <w:r w:rsidRPr="00BE78CA">
        <w:t xml:space="preserve"> emissions in the Energy and IPPU sectors (see chapters 3 and 4 for further detail of the</w:t>
      </w:r>
      <w:r w:rsidR="00571B6B" w:rsidRPr="00BE78CA">
        <w:t> </w:t>
      </w:r>
      <w:r w:rsidRPr="00BE78CA">
        <w:t>verification). Data from the NZ ETS were used as a primary source in the IPPU sector for the cement and lime industries, and in the Waste sector for verification of activity data on municipal waste disposal. Data reported under the Waste Minimisation Act 2008 have been used as the primary data (see chapter 7 for details).</w:t>
      </w:r>
    </w:p>
    <w:p w14:paraId="211E1F1F" w14:textId="05AE520C" w:rsidR="00387C28" w:rsidRPr="00BE78CA" w:rsidRDefault="00387C28" w:rsidP="00387C28">
      <w:pPr>
        <w:pStyle w:val="BodyText"/>
      </w:pPr>
      <w:r w:rsidRPr="00BE78CA">
        <w:t>The NZ ETS data are also used for LULUCF and Kyoto Protocol reporting. Forest age, area and</w:t>
      </w:r>
      <w:r w:rsidR="00571B6B" w:rsidRPr="00BE78CA">
        <w:t> </w:t>
      </w:r>
      <w:r w:rsidRPr="00BE78CA">
        <w:t>deforestation as reported under the NZ ETS are used for verifying the areas of pre-1990 planted forest, post-1989 forest and deforestation.</w:t>
      </w:r>
    </w:p>
    <w:p w14:paraId="1B9CA542" w14:textId="77777777" w:rsidR="00387C28" w:rsidRPr="00BE78CA" w:rsidRDefault="00387C28" w:rsidP="00571B6B">
      <w:pPr>
        <w:pStyle w:val="Table"/>
      </w:pPr>
      <w:bookmarkStart w:id="151" w:name="_Toc68786399"/>
      <w:r w:rsidRPr="00BE78CA">
        <w:t xml:space="preserve">Table 1.9.1 </w:t>
      </w:r>
      <w:r w:rsidRPr="00BE78CA">
        <w:tab/>
        <w:t>Dates for sector entry into the New Zealand Emissions Trading Scheme</w:t>
      </w:r>
      <w:bookmarkEnd w:id="151"/>
    </w:p>
    <w:tbl>
      <w:tblPr>
        <w:tblW w:w="8494" w:type="dxa"/>
        <w:tblLook w:val="0420" w:firstRow="1" w:lastRow="0" w:firstColumn="0" w:lastColumn="0" w:noHBand="0" w:noVBand="1"/>
      </w:tblPr>
      <w:tblGrid>
        <w:gridCol w:w="2295"/>
        <w:gridCol w:w="2187"/>
        <w:gridCol w:w="2308"/>
        <w:gridCol w:w="1704"/>
      </w:tblGrid>
      <w:tr w:rsidR="00571B6B" w:rsidRPr="00BE78CA" w14:paraId="31E82019" w14:textId="77777777" w:rsidTr="005615D4">
        <w:trPr>
          <w:cantSplit/>
          <w:tblHeader/>
        </w:trPr>
        <w:tc>
          <w:tcPr>
            <w:tcW w:w="0" w:type="auto"/>
            <w:tcBorders>
              <w:top w:val="single" w:sz="4" w:space="0" w:color="365F91"/>
              <w:bottom w:val="single" w:sz="4" w:space="0" w:color="365F91"/>
            </w:tcBorders>
            <w:shd w:val="clear" w:color="auto" w:fill="365F91"/>
            <w:tcMar>
              <w:top w:w="0" w:type="dxa"/>
              <w:left w:w="108" w:type="dxa"/>
              <w:bottom w:w="0" w:type="dxa"/>
              <w:right w:w="108" w:type="dxa"/>
            </w:tcMar>
          </w:tcPr>
          <w:p w14:paraId="637C82E8" w14:textId="77777777" w:rsidR="00387C28" w:rsidRPr="00BE78CA" w:rsidRDefault="00387C28" w:rsidP="00571B6B">
            <w:pPr>
              <w:pStyle w:val="TableTextBold"/>
              <w:rPr>
                <w:noProof w:val="0"/>
                <w:color w:val="FFFFFF" w:themeColor="background1"/>
              </w:rPr>
            </w:pPr>
            <w:r w:rsidRPr="00BE78CA">
              <w:rPr>
                <w:rFonts w:eastAsia="Calibri"/>
                <w:noProof w:val="0"/>
                <w:color w:val="FFFFFF" w:themeColor="background1"/>
              </w:rPr>
              <w:t>Sector</w:t>
            </w:r>
          </w:p>
        </w:tc>
        <w:tc>
          <w:tcPr>
            <w:tcW w:w="0" w:type="auto"/>
            <w:tcBorders>
              <w:top w:val="single" w:sz="4" w:space="0" w:color="365F91"/>
              <w:bottom w:val="single" w:sz="4" w:space="0" w:color="365F91"/>
            </w:tcBorders>
            <w:shd w:val="clear" w:color="auto" w:fill="365F91"/>
            <w:tcMar>
              <w:top w:w="0" w:type="dxa"/>
              <w:left w:w="108" w:type="dxa"/>
              <w:bottom w:w="0" w:type="dxa"/>
              <w:right w:w="108" w:type="dxa"/>
            </w:tcMar>
          </w:tcPr>
          <w:p w14:paraId="3AB6E562" w14:textId="77777777" w:rsidR="00387C28" w:rsidRPr="00BE78CA" w:rsidRDefault="00387C28" w:rsidP="00571B6B">
            <w:pPr>
              <w:pStyle w:val="TableTextBold"/>
              <w:rPr>
                <w:noProof w:val="0"/>
                <w:color w:val="FFFFFF" w:themeColor="background1"/>
              </w:rPr>
            </w:pPr>
            <w:r w:rsidRPr="00BE78CA">
              <w:rPr>
                <w:rFonts w:eastAsia="Calibri"/>
                <w:noProof w:val="0"/>
                <w:color w:val="FFFFFF" w:themeColor="background1"/>
              </w:rPr>
              <w:t>Voluntary reporting</w:t>
            </w:r>
          </w:p>
        </w:tc>
        <w:tc>
          <w:tcPr>
            <w:tcW w:w="0" w:type="auto"/>
            <w:tcBorders>
              <w:top w:val="single" w:sz="4" w:space="0" w:color="365F91"/>
              <w:bottom w:val="single" w:sz="4" w:space="0" w:color="365F91"/>
            </w:tcBorders>
            <w:shd w:val="clear" w:color="auto" w:fill="365F91"/>
            <w:tcMar>
              <w:top w:w="0" w:type="dxa"/>
              <w:left w:w="108" w:type="dxa"/>
              <w:bottom w:w="0" w:type="dxa"/>
              <w:right w:w="108" w:type="dxa"/>
            </w:tcMar>
          </w:tcPr>
          <w:p w14:paraId="158AB80C" w14:textId="77777777" w:rsidR="00387C28" w:rsidRPr="00BE78CA" w:rsidRDefault="00387C28" w:rsidP="00571B6B">
            <w:pPr>
              <w:pStyle w:val="TableTextBold"/>
              <w:rPr>
                <w:noProof w:val="0"/>
                <w:color w:val="FFFFFF" w:themeColor="background1"/>
              </w:rPr>
            </w:pPr>
            <w:r w:rsidRPr="00BE78CA">
              <w:rPr>
                <w:rFonts w:eastAsia="Calibri"/>
                <w:noProof w:val="0"/>
                <w:color w:val="FFFFFF" w:themeColor="background1"/>
              </w:rPr>
              <w:t>Mandatory reporting</w:t>
            </w:r>
          </w:p>
        </w:tc>
        <w:tc>
          <w:tcPr>
            <w:tcW w:w="0" w:type="auto"/>
            <w:tcBorders>
              <w:top w:val="single" w:sz="4" w:space="0" w:color="365F91"/>
              <w:bottom w:val="single" w:sz="4" w:space="0" w:color="365F91"/>
            </w:tcBorders>
            <w:shd w:val="clear" w:color="auto" w:fill="365F91"/>
            <w:tcMar>
              <w:top w:w="0" w:type="dxa"/>
              <w:left w:w="108" w:type="dxa"/>
              <w:bottom w:w="0" w:type="dxa"/>
              <w:right w:w="108" w:type="dxa"/>
            </w:tcMar>
          </w:tcPr>
          <w:p w14:paraId="05C356DD" w14:textId="77777777" w:rsidR="00387C28" w:rsidRPr="00BE78CA" w:rsidRDefault="00387C28" w:rsidP="00571B6B">
            <w:pPr>
              <w:pStyle w:val="TableTextBold"/>
              <w:rPr>
                <w:noProof w:val="0"/>
                <w:color w:val="FFFFFF" w:themeColor="background1"/>
              </w:rPr>
            </w:pPr>
            <w:r w:rsidRPr="00BE78CA">
              <w:rPr>
                <w:rFonts w:eastAsia="Calibri"/>
                <w:noProof w:val="0"/>
                <w:color w:val="FFFFFF" w:themeColor="background1"/>
              </w:rPr>
              <w:t>Obligations</w:t>
            </w:r>
          </w:p>
        </w:tc>
      </w:tr>
      <w:tr w:rsidR="00387C28" w:rsidRPr="00BE78CA" w14:paraId="5D64BA22" w14:textId="77777777" w:rsidTr="00571B6B">
        <w:trPr>
          <w:cantSplit/>
        </w:trPr>
        <w:tc>
          <w:tcPr>
            <w:tcW w:w="0" w:type="auto"/>
            <w:tcBorders>
              <w:top w:val="single" w:sz="4" w:space="0" w:color="365F91"/>
              <w:left w:val="single" w:sz="4" w:space="0" w:color="FFFFFF"/>
              <w:bottom w:val="single" w:sz="8" w:space="0" w:color="365F91"/>
            </w:tcBorders>
            <w:shd w:val="clear" w:color="auto" w:fill="FFFFFF"/>
            <w:tcMar>
              <w:top w:w="0" w:type="dxa"/>
              <w:left w:w="108" w:type="dxa"/>
              <w:bottom w:w="0" w:type="dxa"/>
              <w:right w:w="108" w:type="dxa"/>
            </w:tcMar>
          </w:tcPr>
          <w:p w14:paraId="31242152" w14:textId="77777777" w:rsidR="00387C28" w:rsidRPr="00BE78CA" w:rsidRDefault="00387C28" w:rsidP="00571B6B">
            <w:pPr>
              <w:pStyle w:val="TableText"/>
            </w:pPr>
            <w:r w:rsidRPr="00BE78CA">
              <w:rPr>
                <w:rFonts w:eastAsia="Calibri"/>
              </w:rPr>
              <w:t>Forestry</w:t>
            </w:r>
          </w:p>
        </w:tc>
        <w:tc>
          <w:tcPr>
            <w:tcW w:w="0" w:type="auto"/>
            <w:tcBorders>
              <w:top w:val="single" w:sz="4" w:space="0" w:color="365F91"/>
              <w:bottom w:val="single" w:sz="8" w:space="0" w:color="365F91"/>
            </w:tcBorders>
            <w:shd w:val="clear" w:color="auto" w:fill="FFFFFF"/>
            <w:tcMar>
              <w:top w:w="0" w:type="dxa"/>
              <w:left w:w="108" w:type="dxa"/>
              <w:bottom w:w="0" w:type="dxa"/>
              <w:right w:w="108" w:type="dxa"/>
            </w:tcMar>
          </w:tcPr>
          <w:p w14:paraId="521F1025" w14:textId="77777777" w:rsidR="00387C28" w:rsidRPr="00BE78CA" w:rsidRDefault="00387C28" w:rsidP="00571B6B">
            <w:pPr>
              <w:pStyle w:val="TableText"/>
            </w:pPr>
            <w:r w:rsidRPr="00BE78CA">
              <w:rPr>
                <w:rFonts w:eastAsia="Calibri"/>
              </w:rPr>
              <w:t>–</w:t>
            </w:r>
          </w:p>
        </w:tc>
        <w:tc>
          <w:tcPr>
            <w:tcW w:w="0" w:type="auto"/>
            <w:tcBorders>
              <w:top w:val="single" w:sz="4" w:space="0" w:color="365F91"/>
              <w:bottom w:val="single" w:sz="8" w:space="0" w:color="365F91"/>
            </w:tcBorders>
            <w:shd w:val="clear" w:color="auto" w:fill="FFFFFF"/>
            <w:tcMar>
              <w:top w:w="0" w:type="dxa"/>
              <w:left w:w="108" w:type="dxa"/>
              <w:bottom w:w="0" w:type="dxa"/>
              <w:right w:w="108" w:type="dxa"/>
            </w:tcMar>
          </w:tcPr>
          <w:p w14:paraId="0CBB2E9E" w14:textId="77777777" w:rsidR="00387C28" w:rsidRPr="00BE78CA" w:rsidRDefault="00387C28" w:rsidP="00571B6B">
            <w:pPr>
              <w:pStyle w:val="TableText"/>
            </w:pPr>
            <w:r w:rsidRPr="00BE78CA">
              <w:rPr>
                <w:rFonts w:eastAsia="Calibri"/>
              </w:rPr>
              <w:t>–</w:t>
            </w:r>
          </w:p>
        </w:tc>
        <w:tc>
          <w:tcPr>
            <w:tcW w:w="0" w:type="auto"/>
            <w:tcBorders>
              <w:top w:val="single" w:sz="4" w:space="0" w:color="365F91"/>
              <w:bottom w:val="single" w:sz="8" w:space="0" w:color="365F91"/>
              <w:right w:val="single" w:sz="4" w:space="0" w:color="FFFFFF"/>
            </w:tcBorders>
            <w:shd w:val="clear" w:color="auto" w:fill="FFFFFF"/>
            <w:tcMar>
              <w:top w:w="0" w:type="dxa"/>
              <w:left w:w="108" w:type="dxa"/>
              <w:bottom w:w="0" w:type="dxa"/>
              <w:right w:w="108" w:type="dxa"/>
            </w:tcMar>
          </w:tcPr>
          <w:p w14:paraId="03F80858" w14:textId="77777777" w:rsidR="00387C28" w:rsidRPr="00BE78CA" w:rsidRDefault="00387C28" w:rsidP="00571B6B">
            <w:pPr>
              <w:pStyle w:val="TableText"/>
            </w:pPr>
            <w:r w:rsidRPr="00BE78CA">
              <w:rPr>
                <w:rFonts w:eastAsia="Calibri"/>
              </w:rPr>
              <w:t>1 January 2008</w:t>
            </w:r>
          </w:p>
        </w:tc>
      </w:tr>
      <w:tr w:rsidR="00387C28" w:rsidRPr="00BE78CA" w14:paraId="1AD67A17" w14:textId="77777777" w:rsidTr="00571B6B">
        <w:trPr>
          <w:cantSplit/>
        </w:trPr>
        <w:tc>
          <w:tcPr>
            <w:tcW w:w="0" w:type="auto"/>
            <w:tcBorders>
              <w:top w:val="single" w:sz="8" w:space="0" w:color="365F91"/>
              <w:left w:val="single" w:sz="4" w:space="0" w:color="FFFFFF"/>
              <w:bottom w:val="single" w:sz="8" w:space="0" w:color="365F91"/>
            </w:tcBorders>
            <w:shd w:val="clear" w:color="auto" w:fill="FFFFFF"/>
            <w:tcMar>
              <w:top w:w="0" w:type="dxa"/>
              <w:left w:w="108" w:type="dxa"/>
              <w:bottom w:w="0" w:type="dxa"/>
              <w:right w:w="108" w:type="dxa"/>
            </w:tcMar>
          </w:tcPr>
          <w:p w14:paraId="7C45A3F5" w14:textId="77777777" w:rsidR="00387C28" w:rsidRPr="00BE78CA" w:rsidRDefault="00387C28" w:rsidP="00571B6B">
            <w:pPr>
              <w:pStyle w:val="TableText"/>
            </w:pPr>
            <w:r w:rsidRPr="00BE78CA">
              <w:rPr>
                <w:rFonts w:eastAsia="Calibri"/>
              </w:rPr>
              <w:t>Transport fuels</w:t>
            </w:r>
          </w:p>
        </w:tc>
        <w:tc>
          <w:tcPr>
            <w:tcW w:w="0" w:type="auto"/>
            <w:tcBorders>
              <w:top w:val="single" w:sz="8" w:space="0" w:color="365F91"/>
              <w:bottom w:val="single" w:sz="8" w:space="0" w:color="365F91"/>
            </w:tcBorders>
            <w:shd w:val="clear" w:color="auto" w:fill="FFFFFF"/>
            <w:tcMar>
              <w:top w:w="0" w:type="dxa"/>
              <w:left w:w="108" w:type="dxa"/>
              <w:bottom w:w="0" w:type="dxa"/>
              <w:right w:w="108" w:type="dxa"/>
            </w:tcMar>
          </w:tcPr>
          <w:p w14:paraId="16AFE6A4" w14:textId="77777777" w:rsidR="00387C28" w:rsidRPr="00BE78CA" w:rsidRDefault="00387C28" w:rsidP="00571B6B">
            <w:pPr>
              <w:pStyle w:val="TableText"/>
            </w:pPr>
            <w:r w:rsidRPr="00BE78CA">
              <w:rPr>
                <w:rFonts w:eastAsia="Calibri"/>
              </w:rPr>
              <w:t>–</w:t>
            </w:r>
          </w:p>
        </w:tc>
        <w:tc>
          <w:tcPr>
            <w:tcW w:w="0" w:type="auto"/>
            <w:tcBorders>
              <w:top w:val="single" w:sz="8" w:space="0" w:color="365F91"/>
              <w:bottom w:val="single" w:sz="8" w:space="0" w:color="365F91"/>
            </w:tcBorders>
            <w:shd w:val="clear" w:color="auto" w:fill="FFFFFF"/>
            <w:tcMar>
              <w:top w:w="0" w:type="dxa"/>
              <w:left w:w="108" w:type="dxa"/>
              <w:bottom w:w="0" w:type="dxa"/>
              <w:right w:w="108" w:type="dxa"/>
            </w:tcMar>
          </w:tcPr>
          <w:p w14:paraId="752FE622" w14:textId="77777777" w:rsidR="00387C28" w:rsidRPr="00BE78CA" w:rsidRDefault="00387C28" w:rsidP="00571B6B">
            <w:pPr>
              <w:pStyle w:val="TableText"/>
            </w:pPr>
            <w:r w:rsidRPr="00BE78CA">
              <w:rPr>
                <w:rFonts w:eastAsia="Calibri"/>
              </w:rPr>
              <w:t>1 January 2010</w:t>
            </w:r>
          </w:p>
        </w:tc>
        <w:tc>
          <w:tcPr>
            <w:tcW w:w="0" w:type="auto"/>
            <w:tcBorders>
              <w:top w:val="single" w:sz="8" w:space="0" w:color="365F91"/>
              <w:bottom w:val="single" w:sz="8" w:space="0" w:color="365F91"/>
              <w:right w:val="single" w:sz="4" w:space="0" w:color="FFFFFF"/>
            </w:tcBorders>
            <w:shd w:val="clear" w:color="auto" w:fill="FFFFFF"/>
            <w:tcMar>
              <w:top w:w="0" w:type="dxa"/>
              <w:left w:w="108" w:type="dxa"/>
              <w:bottom w:w="0" w:type="dxa"/>
              <w:right w:w="108" w:type="dxa"/>
            </w:tcMar>
          </w:tcPr>
          <w:p w14:paraId="499CAE45" w14:textId="77777777" w:rsidR="00387C28" w:rsidRPr="00BE78CA" w:rsidRDefault="00387C28" w:rsidP="00571B6B">
            <w:pPr>
              <w:pStyle w:val="TableText"/>
            </w:pPr>
            <w:r w:rsidRPr="00BE78CA">
              <w:rPr>
                <w:rFonts w:eastAsia="Calibri"/>
              </w:rPr>
              <w:t>1 July 2010</w:t>
            </w:r>
          </w:p>
        </w:tc>
      </w:tr>
      <w:tr w:rsidR="00387C28" w:rsidRPr="00BE78CA" w14:paraId="695E81D5" w14:textId="77777777" w:rsidTr="00571B6B">
        <w:trPr>
          <w:cantSplit/>
        </w:trPr>
        <w:tc>
          <w:tcPr>
            <w:tcW w:w="0" w:type="auto"/>
            <w:tcBorders>
              <w:top w:val="single" w:sz="8" w:space="0" w:color="365F91"/>
              <w:left w:val="single" w:sz="4" w:space="0" w:color="FFFFFF"/>
              <w:bottom w:val="single" w:sz="8" w:space="0" w:color="365F91"/>
            </w:tcBorders>
            <w:shd w:val="clear" w:color="auto" w:fill="FFFFFF"/>
            <w:tcMar>
              <w:top w:w="0" w:type="dxa"/>
              <w:left w:w="108" w:type="dxa"/>
              <w:bottom w:w="0" w:type="dxa"/>
              <w:right w:w="108" w:type="dxa"/>
            </w:tcMar>
          </w:tcPr>
          <w:p w14:paraId="311682D9" w14:textId="77777777" w:rsidR="00387C28" w:rsidRPr="00BE78CA" w:rsidRDefault="00387C28" w:rsidP="00571B6B">
            <w:pPr>
              <w:pStyle w:val="TableText"/>
            </w:pPr>
            <w:r w:rsidRPr="00BE78CA">
              <w:rPr>
                <w:rFonts w:eastAsia="Calibri"/>
              </w:rPr>
              <w:t>Electricity production</w:t>
            </w:r>
          </w:p>
        </w:tc>
        <w:tc>
          <w:tcPr>
            <w:tcW w:w="0" w:type="auto"/>
            <w:tcBorders>
              <w:top w:val="single" w:sz="8" w:space="0" w:color="365F91"/>
              <w:bottom w:val="single" w:sz="8" w:space="0" w:color="365F91"/>
            </w:tcBorders>
            <w:shd w:val="clear" w:color="auto" w:fill="FFFFFF"/>
            <w:tcMar>
              <w:top w:w="0" w:type="dxa"/>
              <w:left w:w="108" w:type="dxa"/>
              <w:bottom w:w="0" w:type="dxa"/>
              <w:right w:w="108" w:type="dxa"/>
            </w:tcMar>
          </w:tcPr>
          <w:p w14:paraId="47A6850A" w14:textId="77777777" w:rsidR="00387C28" w:rsidRPr="00BE78CA" w:rsidRDefault="00387C28" w:rsidP="00571B6B">
            <w:pPr>
              <w:pStyle w:val="TableText"/>
            </w:pPr>
            <w:r w:rsidRPr="00BE78CA">
              <w:rPr>
                <w:rFonts w:eastAsia="Calibri"/>
              </w:rPr>
              <w:t>–</w:t>
            </w:r>
          </w:p>
        </w:tc>
        <w:tc>
          <w:tcPr>
            <w:tcW w:w="0" w:type="auto"/>
            <w:tcBorders>
              <w:top w:val="single" w:sz="8" w:space="0" w:color="365F91"/>
              <w:bottom w:val="single" w:sz="8" w:space="0" w:color="365F91"/>
            </w:tcBorders>
            <w:shd w:val="clear" w:color="auto" w:fill="FFFFFF"/>
            <w:tcMar>
              <w:top w:w="0" w:type="dxa"/>
              <w:left w:w="108" w:type="dxa"/>
              <w:bottom w:w="0" w:type="dxa"/>
              <w:right w:w="108" w:type="dxa"/>
            </w:tcMar>
          </w:tcPr>
          <w:p w14:paraId="5A4AB20A" w14:textId="77777777" w:rsidR="00387C28" w:rsidRPr="00BE78CA" w:rsidRDefault="00387C28" w:rsidP="00571B6B">
            <w:pPr>
              <w:pStyle w:val="TableText"/>
            </w:pPr>
            <w:r w:rsidRPr="00BE78CA">
              <w:rPr>
                <w:rFonts w:eastAsia="Calibri"/>
              </w:rPr>
              <w:t>1 January 2010</w:t>
            </w:r>
          </w:p>
        </w:tc>
        <w:tc>
          <w:tcPr>
            <w:tcW w:w="0" w:type="auto"/>
            <w:tcBorders>
              <w:top w:val="single" w:sz="8" w:space="0" w:color="365F91"/>
              <w:bottom w:val="single" w:sz="8" w:space="0" w:color="365F91"/>
              <w:right w:val="single" w:sz="4" w:space="0" w:color="FFFFFF"/>
            </w:tcBorders>
            <w:shd w:val="clear" w:color="auto" w:fill="FFFFFF"/>
            <w:tcMar>
              <w:top w:w="0" w:type="dxa"/>
              <w:left w:w="108" w:type="dxa"/>
              <w:bottom w:w="0" w:type="dxa"/>
              <w:right w:w="108" w:type="dxa"/>
            </w:tcMar>
          </w:tcPr>
          <w:p w14:paraId="7E9D0890" w14:textId="77777777" w:rsidR="00387C28" w:rsidRPr="00BE78CA" w:rsidRDefault="00387C28" w:rsidP="00571B6B">
            <w:pPr>
              <w:pStyle w:val="TableText"/>
            </w:pPr>
            <w:r w:rsidRPr="00BE78CA">
              <w:rPr>
                <w:rFonts w:eastAsia="Calibri"/>
              </w:rPr>
              <w:t>1 July 2010</w:t>
            </w:r>
          </w:p>
        </w:tc>
      </w:tr>
      <w:tr w:rsidR="00387C28" w:rsidRPr="00BE78CA" w14:paraId="149C684E" w14:textId="77777777" w:rsidTr="00571B6B">
        <w:trPr>
          <w:cantSplit/>
        </w:trPr>
        <w:tc>
          <w:tcPr>
            <w:tcW w:w="0" w:type="auto"/>
            <w:tcBorders>
              <w:top w:val="single" w:sz="8" w:space="0" w:color="365F91"/>
              <w:left w:val="single" w:sz="4" w:space="0" w:color="FFFFFF"/>
              <w:bottom w:val="single" w:sz="8" w:space="0" w:color="365F91"/>
            </w:tcBorders>
            <w:shd w:val="clear" w:color="auto" w:fill="FFFFFF"/>
            <w:tcMar>
              <w:top w:w="0" w:type="dxa"/>
              <w:left w:w="108" w:type="dxa"/>
              <w:bottom w:w="0" w:type="dxa"/>
              <w:right w:w="108" w:type="dxa"/>
            </w:tcMar>
          </w:tcPr>
          <w:p w14:paraId="69A7BC97" w14:textId="77777777" w:rsidR="00387C28" w:rsidRPr="00BE78CA" w:rsidRDefault="00387C28" w:rsidP="00571B6B">
            <w:pPr>
              <w:pStyle w:val="TableText"/>
            </w:pPr>
            <w:r w:rsidRPr="00BE78CA">
              <w:rPr>
                <w:rFonts w:eastAsia="Calibri"/>
              </w:rPr>
              <w:t>IPPU</w:t>
            </w:r>
          </w:p>
        </w:tc>
        <w:tc>
          <w:tcPr>
            <w:tcW w:w="0" w:type="auto"/>
            <w:tcBorders>
              <w:top w:val="single" w:sz="8" w:space="0" w:color="365F91"/>
              <w:bottom w:val="single" w:sz="8" w:space="0" w:color="365F91"/>
            </w:tcBorders>
            <w:shd w:val="clear" w:color="auto" w:fill="FFFFFF"/>
            <w:tcMar>
              <w:top w:w="0" w:type="dxa"/>
              <w:left w:w="108" w:type="dxa"/>
              <w:bottom w:w="0" w:type="dxa"/>
              <w:right w:w="108" w:type="dxa"/>
            </w:tcMar>
          </w:tcPr>
          <w:p w14:paraId="62FAE27E" w14:textId="77777777" w:rsidR="00387C28" w:rsidRPr="00BE78CA" w:rsidRDefault="00387C28" w:rsidP="00571B6B">
            <w:pPr>
              <w:pStyle w:val="TableText"/>
            </w:pPr>
            <w:r w:rsidRPr="00BE78CA">
              <w:rPr>
                <w:rFonts w:eastAsia="Calibri"/>
              </w:rPr>
              <w:t>–</w:t>
            </w:r>
          </w:p>
        </w:tc>
        <w:tc>
          <w:tcPr>
            <w:tcW w:w="0" w:type="auto"/>
            <w:tcBorders>
              <w:top w:val="single" w:sz="8" w:space="0" w:color="365F91"/>
              <w:bottom w:val="single" w:sz="8" w:space="0" w:color="365F91"/>
            </w:tcBorders>
            <w:shd w:val="clear" w:color="auto" w:fill="FFFFFF"/>
            <w:tcMar>
              <w:top w:w="0" w:type="dxa"/>
              <w:left w:w="108" w:type="dxa"/>
              <w:bottom w:w="0" w:type="dxa"/>
              <w:right w:w="108" w:type="dxa"/>
            </w:tcMar>
          </w:tcPr>
          <w:p w14:paraId="4DCFDC5B" w14:textId="77777777" w:rsidR="00387C28" w:rsidRPr="00BE78CA" w:rsidRDefault="00387C28" w:rsidP="00571B6B">
            <w:pPr>
              <w:pStyle w:val="TableText"/>
            </w:pPr>
            <w:r w:rsidRPr="00BE78CA">
              <w:rPr>
                <w:rFonts w:eastAsia="Calibri"/>
              </w:rPr>
              <w:t>1 January 2010</w:t>
            </w:r>
          </w:p>
        </w:tc>
        <w:tc>
          <w:tcPr>
            <w:tcW w:w="0" w:type="auto"/>
            <w:tcBorders>
              <w:top w:val="single" w:sz="8" w:space="0" w:color="365F91"/>
              <w:bottom w:val="single" w:sz="8" w:space="0" w:color="365F91"/>
              <w:right w:val="single" w:sz="4" w:space="0" w:color="FFFFFF"/>
            </w:tcBorders>
            <w:shd w:val="clear" w:color="auto" w:fill="FFFFFF"/>
            <w:tcMar>
              <w:top w:w="0" w:type="dxa"/>
              <w:left w:w="108" w:type="dxa"/>
              <w:bottom w:w="0" w:type="dxa"/>
              <w:right w:w="108" w:type="dxa"/>
            </w:tcMar>
          </w:tcPr>
          <w:p w14:paraId="3A456E11" w14:textId="77777777" w:rsidR="00387C28" w:rsidRPr="00BE78CA" w:rsidRDefault="00387C28" w:rsidP="00571B6B">
            <w:pPr>
              <w:pStyle w:val="TableText"/>
            </w:pPr>
            <w:r w:rsidRPr="00BE78CA">
              <w:rPr>
                <w:rFonts w:eastAsia="Calibri"/>
              </w:rPr>
              <w:t>1 July 2010</w:t>
            </w:r>
          </w:p>
        </w:tc>
      </w:tr>
      <w:tr w:rsidR="00387C28" w:rsidRPr="00BE78CA" w14:paraId="35EAF15D" w14:textId="77777777" w:rsidTr="00571B6B">
        <w:trPr>
          <w:cantSplit/>
        </w:trPr>
        <w:tc>
          <w:tcPr>
            <w:tcW w:w="0" w:type="auto"/>
            <w:tcBorders>
              <w:top w:val="single" w:sz="8" w:space="0" w:color="365F91"/>
              <w:left w:val="single" w:sz="4" w:space="0" w:color="FFFFFF"/>
              <w:bottom w:val="single" w:sz="8" w:space="0" w:color="365F91"/>
            </w:tcBorders>
            <w:shd w:val="clear" w:color="auto" w:fill="FFFFFF"/>
            <w:tcMar>
              <w:top w:w="0" w:type="dxa"/>
              <w:left w:w="108" w:type="dxa"/>
              <w:bottom w:w="0" w:type="dxa"/>
              <w:right w:w="108" w:type="dxa"/>
            </w:tcMar>
          </w:tcPr>
          <w:p w14:paraId="4F5A41EA" w14:textId="77777777" w:rsidR="00387C28" w:rsidRPr="00BE78CA" w:rsidRDefault="00387C28" w:rsidP="00571B6B">
            <w:pPr>
              <w:pStyle w:val="TableText"/>
            </w:pPr>
            <w:r w:rsidRPr="00BE78CA">
              <w:rPr>
                <w:rFonts w:eastAsia="Calibri"/>
              </w:rPr>
              <w:t>Synthetic gases</w:t>
            </w:r>
          </w:p>
        </w:tc>
        <w:tc>
          <w:tcPr>
            <w:tcW w:w="0" w:type="auto"/>
            <w:tcBorders>
              <w:top w:val="single" w:sz="8" w:space="0" w:color="365F91"/>
              <w:bottom w:val="single" w:sz="8" w:space="0" w:color="365F91"/>
            </w:tcBorders>
            <w:shd w:val="clear" w:color="auto" w:fill="FFFFFF"/>
            <w:tcMar>
              <w:top w:w="0" w:type="dxa"/>
              <w:left w:w="108" w:type="dxa"/>
              <w:bottom w:w="0" w:type="dxa"/>
              <w:right w:w="108" w:type="dxa"/>
            </w:tcMar>
          </w:tcPr>
          <w:p w14:paraId="549F9615" w14:textId="77777777" w:rsidR="00387C28" w:rsidRPr="00BE78CA" w:rsidRDefault="00387C28" w:rsidP="00571B6B">
            <w:pPr>
              <w:pStyle w:val="TableText"/>
            </w:pPr>
            <w:r w:rsidRPr="00BE78CA">
              <w:rPr>
                <w:rFonts w:eastAsia="Calibri"/>
              </w:rPr>
              <w:t>1 January 2011</w:t>
            </w:r>
          </w:p>
        </w:tc>
        <w:tc>
          <w:tcPr>
            <w:tcW w:w="0" w:type="auto"/>
            <w:tcBorders>
              <w:top w:val="single" w:sz="8" w:space="0" w:color="365F91"/>
              <w:bottom w:val="single" w:sz="8" w:space="0" w:color="365F91"/>
            </w:tcBorders>
            <w:shd w:val="clear" w:color="auto" w:fill="FFFFFF"/>
            <w:tcMar>
              <w:top w:w="0" w:type="dxa"/>
              <w:left w:w="108" w:type="dxa"/>
              <w:bottom w:w="0" w:type="dxa"/>
              <w:right w:w="108" w:type="dxa"/>
            </w:tcMar>
          </w:tcPr>
          <w:p w14:paraId="094D88F0" w14:textId="77777777" w:rsidR="00387C28" w:rsidRPr="00BE78CA" w:rsidRDefault="00387C28" w:rsidP="00571B6B">
            <w:pPr>
              <w:pStyle w:val="TableText"/>
            </w:pPr>
            <w:r w:rsidRPr="00BE78CA">
              <w:rPr>
                <w:rFonts w:eastAsia="Calibri"/>
              </w:rPr>
              <w:t>1 January 2012</w:t>
            </w:r>
          </w:p>
        </w:tc>
        <w:tc>
          <w:tcPr>
            <w:tcW w:w="0" w:type="auto"/>
            <w:tcBorders>
              <w:top w:val="single" w:sz="8" w:space="0" w:color="365F91"/>
              <w:bottom w:val="single" w:sz="8" w:space="0" w:color="365F91"/>
              <w:right w:val="single" w:sz="4" w:space="0" w:color="FFFFFF"/>
            </w:tcBorders>
            <w:shd w:val="clear" w:color="auto" w:fill="FFFFFF"/>
            <w:tcMar>
              <w:top w:w="0" w:type="dxa"/>
              <w:left w:w="108" w:type="dxa"/>
              <w:bottom w:w="0" w:type="dxa"/>
              <w:right w:w="108" w:type="dxa"/>
            </w:tcMar>
          </w:tcPr>
          <w:p w14:paraId="7E8B027A" w14:textId="77777777" w:rsidR="00387C28" w:rsidRPr="00BE78CA" w:rsidRDefault="00387C28" w:rsidP="00571B6B">
            <w:pPr>
              <w:pStyle w:val="TableText"/>
            </w:pPr>
            <w:r w:rsidRPr="00BE78CA">
              <w:rPr>
                <w:rFonts w:eastAsia="Calibri"/>
              </w:rPr>
              <w:t>1 January 2013</w:t>
            </w:r>
          </w:p>
        </w:tc>
      </w:tr>
      <w:tr w:rsidR="00387C28" w:rsidRPr="00BE78CA" w14:paraId="64A38838" w14:textId="77777777" w:rsidTr="00571B6B">
        <w:trPr>
          <w:cantSplit/>
        </w:trPr>
        <w:tc>
          <w:tcPr>
            <w:tcW w:w="0" w:type="auto"/>
            <w:tcBorders>
              <w:top w:val="single" w:sz="8" w:space="0" w:color="365F91"/>
              <w:left w:val="single" w:sz="4" w:space="0" w:color="FFFFFF"/>
              <w:bottom w:val="single" w:sz="8" w:space="0" w:color="365F91"/>
            </w:tcBorders>
            <w:shd w:val="clear" w:color="auto" w:fill="FFFFFF"/>
            <w:tcMar>
              <w:top w:w="0" w:type="dxa"/>
              <w:left w:w="108" w:type="dxa"/>
              <w:bottom w:w="0" w:type="dxa"/>
              <w:right w:w="108" w:type="dxa"/>
            </w:tcMar>
          </w:tcPr>
          <w:p w14:paraId="113A5E1F" w14:textId="77777777" w:rsidR="00387C28" w:rsidRPr="00BE78CA" w:rsidRDefault="00387C28" w:rsidP="00571B6B">
            <w:pPr>
              <w:pStyle w:val="TableText"/>
            </w:pPr>
            <w:r w:rsidRPr="00BE78CA">
              <w:rPr>
                <w:rFonts w:eastAsia="Calibri"/>
              </w:rPr>
              <w:t>Waste</w:t>
            </w:r>
          </w:p>
        </w:tc>
        <w:tc>
          <w:tcPr>
            <w:tcW w:w="0" w:type="auto"/>
            <w:tcBorders>
              <w:top w:val="single" w:sz="8" w:space="0" w:color="365F91"/>
              <w:bottom w:val="single" w:sz="8" w:space="0" w:color="365F91"/>
            </w:tcBorders>
            <w:shd w:val="clear" w:color="auto" w:fill="FFFFFF"/>
            <w:tcMar>
              <w:top w:w="0" w:type="dxa"/>
              <w:left w:w="108" w:type="dxa"/>
              <w:bottom w:w="0" w:type="dxa"/>
              <w:right w:w="108" w:type="dxa"/>
            </w:tcMar>
          </w:tcPr>
          <w:p w14:paraId="07397CDE" w14:textId="77777777" w:rsidR="00387C28" w:rsidRPr="00BE78CA" w:rsidRDefault="00387C28" w:rsidP="00571B6B">
            <w:pPr>
              <w:pStyle w:val="TableText"/>
            </w:pPr>
            <w:r w:rsidRPr="00BE78CA">
              <w:rPr>
                <w:rFonts w:eastAsia="Calibri"/>
              </w:rPr>
              <w:t>1 January 2011</w:t>
            </w:r>
          </w:p>
        </w:tc>
        <w:tc>
          <w:tcPr>
            <w:tcW w:w="0" w:type="auto"/>
            <w:tcBorders>
              <w:top w:val="single" w:sz="8" w:space="0" w:color="365F91"/>
              <w:bottom w:val="single" w:sz="8" w:space="0" w:color="365F91"/>
            </w:tcBorders>
            <w:shd w:val="clear" w:color="auto" w:fill="FFFFFF"/>
            <w:tcMar>
              <w:top w:w="0" w:type="dxa"/>
              <w:left w:w="108" w:type="dxa"/>
              <w:bottom w:w="0" w:type="dxa"/>
              <w:right w:w="108" w:type="dxa"/>
            </w:tcMar>
          </w:tcPr>
          <w:p w14:paraId="43780D91" w14:textId="77777777" w:rsidR="00387C28" w:rsidRPr="00BE78CA" w:rsidRDefault="00387C28" w:rsidP="00571B6B">
            <w:pPr>
              <w:pStyle w:val="TableText"/>
            </w:pPr>
            <w:r w:rsidRPr="00BE78CA">
              <w:rPr>
                <w:rFonts w:eastAsia="Calibri"/>
              </w:rPr>
              <w:t>1 January 2012</w:t>
            </w:r>
          </w:p>
        </w:tc>
        <w:tc>
          <w:tcPr>
            <w:tcW w:w="0" w:type="auto"/>
            <w:tcBorders>
              <w:top w:val="single" w:sz="8" w:space="0" w:color="365F91"/>
              <w:bottom w:val="single" w:sz="8" w:space="0" w:color="365F91"/>
              <w:right w:val="single" w:sz="4" w:space="0" w:color="FFFFFF"/>
            </w:tcBorders>
            <w:shd w:val="clear" w:color="auto" w:fill="FFFFFF"/>
            <w:tcMar>
              <w:top w:w="0" w:type="dxa"/>
              <w:left w:w="108" w:type="dxa"/>
              <w:bottom w:w="0" w:type="dxa"/>
              <w:right w:w="108" w:type="dxa"/>
            </w:tcMar>
          </w:tcPr>
          <w:p w14:paraId="6FAD4100" w14:textId="77777777" w:rsidR="00387C28" w:rsidRPr="00BE78CA" w:rsidRDefault="00387C28" w:rsidP="00571B6B">
            <w:pPr>
              <w:pStyle w:val="TableText"/>
            </w:pPr>
            <w:r w:rsidRPr="00BE78CA">
              <w:rPr>
                <w:rFonts w:eastAsia="Calibri"/>
              </w:rPr>
              <w:t>1 January 2013</w:t>
            </w:r>
          </w:p>
        </w:tc>
      </w:tr>
      <w:tr w:rsidR="00387C28" w:rsidRPr="00BE78CA" w14:paraId="70F32BA4" w14:textId="77777777" w:rsidTr="00571B6B">
        <w:trPr>
          <w:cantSplit/>
        </w:trPr>
        <w:tc>
          <w:tcPr>
            <w:tcW w:w="0" w:type="auto"/>
            <w:tcBorders>
              <w:top w:val="single" w:sz="8" w:space="0" w:color="365F91"/>
              <w:left w:val="single" w:sz="4" w:space="0" w:color="FFFFFF"/>
              <w:bottom w:val="single" w:sz="4" w:space="0" w:color="365F91"/>
            </w:tcBorders>
            <w:shd w:val="clear" w:color="auto" w:fill="FFFFFF"/>
            <w:tcMar>
              <w:top w:w="0" w:type="dxa"/>
              <w:left w:w="108" w:type="dxa"/>
              <w:bottom w:w="0" w:type="dxa"/>
              <w:right w:w="108" w:type="dxa"/>
            </w:tcMar>
          </w:tcPr>
          <w:p w14:paraId="70ADC9D9" w14:textId="77777777" w:rsidR="00387C28" w:rsidRPr="00BE78CA" w:rsidRDefault="00387C28" w:rsidP="00571B6B">
            <w:pPr>
              <w:pStyle w:val="TableText"/>
            </w:pPr>
            <w:r w:rsidRPr="00BE78CA">
              <w:rPr>
                <w:rFonts w:eastAsia="Calibri"/>
              </w:rPr>
              <w:t>Agriculture</w:t>
            </w:r>
          </w:p>
        </w:tc>
        <w:tc>
          <w:tcPr>
            <w:tcW w:w="0" w:type="auto"/>
            <w:tcBorders>
              <w:top w:val="single" w:sz="8" w:space="0" w:color="365F91"/>
              <w:bottom w:val="single" w:sz="4" w:space="0" w:color="365F91"/>
            </w:tcBorders>
            <w:shd w:val="clear" w:color="auto" w:fill="FFFFFF"/>
            <w:tcMar>
              <w:top w:w="0" w:type="dxa"/>
              <w:left w:w="108" w:type="dxa"/>
              <w:bottom w:w="0" w:type="dxa"/>
              <w:right w:w="108" w:type="dxa"/>
            </w:tcMar>
          </w:tcPr>
          <w:p w14:paraId="56256D30" w14:textId="77777777" w:rsidR="00387C28" w:rsidRPr="00BE78CA" w:rsidRDefault="00387C28" w:rsidP="00571B6B">
            <w:pPr>
              <w:pStyle w:val="TableText"/>
            </w:pPr>
            <w:r w:rsidRPr="00BE78CA">
              <w:rPr>
                <w:rFonts w:eastAsia="Calibri"/>
              </w:rPr>
              <w:t>1 January 2011</w:t>
            </w:r>
          </w:p>
        </w:tc>
        <w:tc>
          <w:tcPr>
            <w:tcW w:w="0" w:type="auto"/>
            <w:tcBorders>
              <w:top w:val="single" w:sz="8" w:space="0" w:color="365F91"/>
              <w:bottom w:val="single" w:sz="4" w:space="0" w:color="365F91"/>
            </w:tcBorders>
            <w:shd w:val="clear" w:color="auto" w:fill="FFFFFF"/>
            <w:tcMar>
              <w:top w:w="0" w:type="dxa"/>
              <w:left w:w="108" w:type="dxa"/>
              <w:bottom w:w="0" w:type="dxa"/>
              <w:right w:w="108" w:type="dxa"/>
            </w:tcMar>
          </w:tcPr>
          <w:p w14:paraId="74DA9EE1" w14:textId="77777777" w:rsidR="00387C28" w:rsidRPr="00BE78CA" w:rsidRDefault="00387C28" w:rsidP="00571B6B">
            <w:pPr>
              <w:pStyle w:val="TableText"/>
            </w:pPr>
            <w:r w:rsidRPr="00BE78CA">
              <w:rPr>
                <w:rFonts w:eastAsia="Calibri"/>
              </w:rPr>
              <w:t>1 January 2012</w:t>
            </w:r>
          </w:p>
        </w:tc>
        <w:tc>
          <w:tcPr>
            <w:tcW w:w="0" w:type="auto"/>
            <w:tcBorders>
              <w:top w:val="single" w:sz="8" w:space="0" w:color="365F91"/>
              <w:bottom w:val="single" w:sz="4" w:space="0" w:color="365F91"/>
              <w:right w:val="single" w:sz="4" w:space="0" w:color="FFFFFF"/>
            </w:tcBorders>
            <w:shd w:val="clear" w:color="auto" w:fill="FFFFFF"/>
            <w:tcMar>
              <w:top w:w="0" w:type="dxa"/>
              <w:left w:w="108" w:type="dxa"/>
              <w:bottom w:w="0" w:type="dxa"/>
              <w:right w:w="108" w:type="dxa"/>
            </w:tcMar>
          </w:tcPr>
          <w:p w14:paraId="020E12C8" w14:textId="77777777" w:rsidR="00387C28" w:rsidRPr="00BE78CA" w:rsidRDefault="00387C28" w:rsidP="00571B6B">
            <w:pPr>
              <w:pStyle w:val="TableText"/>
            </w:pPr>
            <w:r w:rsidRPr="00BE78CA">
              <w:rPr>
                <w:rFonts w:eastAsia="Calibri"/>
              </w:rPr>
              <w:t>–</w:t>
            </w:r>
          </w:p>
        </w:tc>
      </w:tr>
    </w:tbl>
    <w:p w14:paraId="3BDE1A22" w14:textId="38C98467" w:rsidR="00387C28" w:rsidRPr="00BE78CA" w:rsidRDefault="00387C28" w:rsidP="001245C4">
      <w:pPr>
        <w:pStyle w:val="Heading2"/>
        <w:spacing w:before="440"/>
      </w:pPr>
      <w:bookmarkStart w:id="152" w:name="improvements-introduced"/>
      <w:bookmarkStart w:id="153" w:name="_Toc68786297"/>
      <w:r w:rsidRPr="00BE78CA">
        <w:lastRenderedPageBreak/>
        <w:t xml:space="preserve">1.10 </w:t>
      </w:r>
      <w:r w:rsidR="001245C4" w:rsidRPr="00BE78CA">
        <w:tab/>
      </w:r>
      <w:r w:rsidRPr="00BE78CA">
        <w:t>Improvements introduced</w:t>
      </w:r>
      <w:bookmarkEnd w:id="152"/>
      <w:bookmarkEnd w:id="153"/>
    </w:p>
    <w:p w14:paraId="529D55F4" w14:textId="17BCD8D1" w:rsidR="00387C28" w:rsidRPr="00BE78CA" w:rsidRDefault="00387C28" w:rsidP="005615D4">
      <w:pPr>
        <w:pStyle w:val="BodyText"/>
      </w:pPr>
      <w:r w:rsidRPr="00BE78CA">
        <w:t>An important part of producing the inventory is improving the accuracy of estimates for emissions and removals. In this inventory, a number of recalculations have been made to the</w:t>
      </w:r>
      <w:r w:rsidR="00D35872" w:rsidRPr="00BE78CA">
        <w:t> </w:t>
      </w:r>
      <w:r w:rsidRPr="00BE78CA">
        <w:t>estimates, due to improvements in:</w:t>
      </w:r>
    </w:p>
    <w:p w14:paraId="78F7560B" w14:textId="77777777" w:rsidR="00387C28" w:rsidRPr="00BE78CA" w:rsidRDefault="00387C28" w:rsidP="005615D4">
      <w:pPr>
        <w:pStyle w:val="Bullet"/>
      </w:pPr>
      <w:r w:rsidRPr="00BE78CA">
        <w:t>activity data</w:t>
      </w:r>
    </w:p>
    <w:p w14:paraId="43ACCD1F" w14:textId="77777777" w:rsidR="00387C28" w:rsidRPr="00BE78CA" w:rsidRDefault="00387C28" w:rsidP="005615D4">
      <w:pPr>
        <w:pStyle w:val="Bullet"/>
      </w:pPr>
      <w:r w:rsidRPr="00BE78CA">
        <w:t>emission factors and/or other parameters</w:t>
      </w:r>
    </w:p>
    <w:p w14:paraId="5745F21B" w14:textId="77777777" w:rsidR="00387C28" w:rsidRPr="00BE78CA" w:rsidRDefault="00387C28" w:rsidP="005615D4">
      <w:pPr>
        <w:pStyle w:val="Bullet"/>
      </w:pPr>
      <w:r w:rsidRPr="00BE78CA">
        <w:t>methodologies</w:t>
      </w:r>
    </w:p>
    <w:p w14:paraId="3165D977" w14:textId="77777777" w:rsidR="00387C28" w:rsidRPr="00BE78CA" w:rsidRDefault="00387C28" w:rsidP="005615D4">
      <w:pPr>
        <w:pStyle w:val="Bullet"/>
      </w:pPr>
      <w:r w:rsidRPr="00BE78CA">
        <w:t>availability of activity data and emission factors for sources that were previously reported as ‘NE’ because of insufficient data.</w:t>
      </w:r>
    </w:p>
    <w:p w14:paraId="2B547409" w14:textId="77777777" w:rsidR="00387C28" w:rsidRPr="00BE78CA" w:rsidRDefault="00387C28" w:rsidP="005615D4">
      <w:pPr>
        <w:pStyle w:val="BodyText"/>
      </w:pPr>
      <w:r w:rsidRPr="00BE78CA">
        <w:t>It is good practice to recalculate the whole time series, from 1990 to the latest reported year in the inventory, to ensure consistency across the time series. This means estimates of emissions in a given submission year may differ from emissions reported in previous submissions. There may be exceptions to recalculating the entire time series and, where this has occurred, explanations are provided.</w:t>
      </w:r>
    </w:p>
    <w:p w14:paraId="61F453E3" w14:textId="77777777" w:rsidR="00387C28" w:rsidRPr="00BE78CA" w:rsidRDefault="00387C28" w:rsidP="005615D4">
      <w:pPr>
        <w:pStyle w:val="BodyText"/>
      </w:pPr>
      <w:r w:rsidRPr="00BE78CA">
        <w:t>Chapter 10 provides a summary of all recalculations made to estimates of emissions and removals.</w:t>
      </w:r>
    </w:p>
    <w:p w14:paraId="75430467" w14:textId="77777777" w:rsidR="00387C28" w:rsidRPr="00BE78CA" w:rsidRDefault="00387C28" w:rsidP="005615D4">
      <w:pPr>
        <w:pStyle w:val="BodyText"/>
      </w:pPr>
      <w:r w:rsidRPr="00BE78CA">
        <w:t>Improvements made to New Zealand’s national registry are included in chapter 14.</w:t>
      </w:r>
    </w:p>
    <w:p w14:paraId="270CD490" w14:textId="77777777" w:rsidR="00387C28" w:rsidRPr="00BE78CA" w:rsidRDefault="00387C28" w:rsidP="00387C28">
      <w:pPr>
        <w:pStyle w:val="Heading4"/>
      </w:pPr>
      <w:bookmarkStart w:id="154" w:name="energy-1"/>
      <w:r w:rsidRPr="00BE78CA">
        <w:t>Energy</w:t>
      </w:r>
      <w:bookmarkEnd w:id="154"/>
    </w:p>
    <w:p w14:paraId="32435694" w14:textId="77777777" w:rsidR="00387C28" w:rsidRPr="00BE78CA" w:rsidRDefault="00387C28" w:rsidP="005615D4">
      <w:pPr>
        <w:pStyle w:val="BodyText"/>
      </w:pPr>
      <w:r w:rsidRPr="00BE78CA">
        <w:t>A number of improvements have been introduced for the 2021 inventory submission. Some were made in response to expert review team recommendations and, for instance, involve the use of more disaggregated data or reallocation of emissions. Details on these improvements are presented in chapter 10. Other improvements in accuracy have resulted from the standard revision of activity data. Energy activity data for the years 1990 to 2018 have been updated according to the latest energy statistics published by MBIE (MBIE, 2020).</w:t>
      </w:r>
    </w:p>
    <w:p w14:paraId="5C5D436E" w14:textId="653C2437" w:rsidR="00387C28" w:rsidRPr="00BE78CA" w:rsidRDefault="00387C28" w:rsidP="005615D4">
      <w:pPr>
        <w:pStyle w:val="BodyText"/>
      </w:pPr>
      <w:r w:rsidRPr="00BE78CA">
        <w:t>Projects to implement further improvements for the reference approach and sectoral approach are ongoing. A project to streamline, simplify and de-bottleneck the GHG reporting data system is nearly halfway complete. Key milestones have already been reached whereby several upstream data systems, including the energy balance tables, have been translated into</w:t>
      </w:r>
      <w:r w:rsidR="00AC594E" w:rsidRPr="00BE78CA">
        <w:t> </w:t>
      </w:r>
      <w:r w:rsidRPr="00BE78CA">
        <w:t>the R programming language. This work at the same time also reviews calculation methodologies and identifies any inconsistencies that may lead to potential improvements and</w:t>
      </w:r>
      <w:r w:rsidR="00AC594E" w:rsidRPr="00BE78CA">
        <w:t> </w:t>
      </w:r>
      <w:r w:rsidRPr="00BE78CA">
        <w:t>revisions. Furthermore, work is well under way in constructing a new comprehensive fuel</w:t>
      </w:r>
      <w:r w:rsidR="00AC594E" w:rsidRPr="00BE78CA">
        <w:t> </w:t>
      </w:r>
      <w:r w:rsidRPr="00BE78CA">
        <w:t>properties data management system. A progress report will be included in the 2022 submission. All source-specific planned improvements are discussed in their corresponding sections in chapter 3.</w:t>
      </w:r>
    </w:p>
    <w:p w14:paraId="00F0C0BC" w14:textId="77777777" w:rsidR="00387C28" w:rsidRPr="00BE78CA" w:rsidRDefault="00387C28" w:rsidP="005615D4">
      <w:pPr>
        <w:pStyle w:val="BodyText"/>
      </w:pPr>
      <w:r w:rsidRPr="00BE78CA">
        <w:t>Changes to activity data in the Energy sector have resulted in a 0.1 per cent (33.8 kt CO</w:t>
      </w:r>
      <w:r w:rsidRPr="00BE78CA">
        <w:rPr>
          <w:vertAlign w:val="subscript"/>
        </w:rPr>
        <w:t>2</w:t>
      </w:r>
      <w:r w:rsidRPr="00BE78CA">
        <w:t>-e) decrease in energy emissions in 1990 and a 1.9 per cent (605.8 kt CO</w:t>
      </w:r>
      <w:r w:rsidRPr="00BE78CA">
        <w:rPr>
          <w:vertAlign w:val="subscript"/>
        </w:rPr>
        <w:t>2</w:t>
      </w:r>
      <w:r w:rsidRPr="00BE78CA">
        <w:t>-e) increase in energy emissions in 2018.</w:t>
      </w:r>
    </w:p>
    <w:p w14:paraId="2F1EA3BF" w14:textId="77777777" w:rsidR="00387C28" w:rsidRPr="00BE78CA" w:rsidRDefault="00387C28" w:rsidP="00387C28">
      <w:pPr>
        <w:pStyle w:val="Heading4"/>
      </w:pPr>
      <w:bookmarkStart w:id="155" w:name="ippu-1"/>
      <w:r w:rsidRPr="00BE78CA">
        <w:t>IPPU</w:t>
      </w:r>
      <w:bookmarkEnd w:id="155"/>
    </w:p>
    <w:p w14:paraId="457C99C0" w14:textId="77777777" w:rsidR="00387C28" w:rsidRPr="00BE78CA" w:rsidRDefault="00387C28" w:rsidP="005615D4">
      <w:pPr>
        <w:pStyle w:val="BodyText"/>
      </w:pPr>
      <w:r w:rsidRPr="00BE78CA">
        <w:t xml:space="preserve">For this submission, the model used to calculate emissions from mobile air conditioning has been improved, to better reflect changes in the vehicle fleet. Activity data have been recalculated in the </w:t>
      </w:r>
      <w:r w:rsidRPr="00BE78CA">
        <w:rPr>
          <w:i/>
        </w:rPr>
        <w:t>Lime production</w:t>
      </w:r>
      <w:r w:rsidRPr="00BE78CA">
        <w:t xml:space="preserve"> category, but with no effect on emissions.</w:t>
      </w:r>
    </w:p>
    <w:p w14:paraId="5823250A" w14:textId="77777777" w:rsidR="00387C28" w:rsidRPr="00BE78CA" w:rsidRDefault="00387C28" w:rsidP="005615D4">
      <w:pPr>
        <w:pStyle w:val="BodyText"/>
      </w:pPr>
      <w:r w:rsidRPr="00BE78CA">
        <w:lastRenderedPageBreak/>
        <w:t>Section 4.1.7 in chapter 4 contains more details about improvements and recalculations for the IPPU sector.</w:t>
      </w:r>
    </w:p>
    <w:p w14:paraId="5750E153" w14:textId="77777777" w:rsidR="00387C28" w:rsidRPr="00BE78CA" w:rsidRDefault="00387C28" w:rsidP="005615D4">
      <w:pPr>
        <w:pStyle w:val="BodyText"/>
      </w:pPr>
      <w:r w:rsidRPr="00BE78CA">
        <w:t>Improvements and recalculations made in the IPPU sector have resulted in no change for 1990 and a 0.6 per cent increase in emissions for 2018 (28.8 kt CO</w:t>
      </w:r>
      <w:r w:rsidRPr="00BE78CA">
        <w:rPr>
          <w:vertAlign w:val="subscript"/>
        </w:rPr>
        <w:t>2</w:t>
      </w:r>
      <w:r w:rsidRPr="00BE78CA">
        <w:t>-e).</w:t>
      </w:r>
    </w:p>
    <w:p w14:paraId="54E10E2F" w14:textId="77777777" w:rsidR="00387C28" w:rsidRPr="00BE78CA" w:rsidRDefault="00387C28" w:rsidP="00387C28">
      <w:pPr>
        <w:pStyle w:val="Heading4"/>
      </w:pPr>
      <w:bookmarkStart w:id="156" w:name="agriculture-1"/>
      <w:r w:rsidRPr="00BE78CA">
        <w:t>Agriculture</w:t>
      </w:r>
      <w:bookmarkEnd w:id="156"/>
    </w:p>
    <w:p w14:paraId="58EA0387" w14:textId="77777777" w:rsidR="00387C28" w:rsidRPr="00BE78CA" w:rsidRDefault="00387C28" w:rsidP="005615D4">
      <w:pPr>
        <w:pStyle w:val="BodyText"/>
      </w:pPr>
      <w:r w:rsidRPr="00BE78CA">
        <w:t>New Zealand has made the following improvements and corrections to the Agriculture sector:</w:t>
      </w:r>
    </w:p>
    <w:p w14:paraId="249645CF" w14:textId="77777777" w:rsidR="00387C28" w:rsidRPr="00BE78CA" w:rsidRDefault="00387C28" w:rsidP="005615D4">
      <w:pPr>
        <w:pStyle w:val="Bullet"/>
      </w:pPr>
      <w:r w:rsidRPr="00BE78CA">
        <w:t>use of a revised set of figures on the metabolisable energy content,</w:t>
      </w:r>
      <w:r w:rsidRPr="00BE78CA">
        <w:rPr>
          <w:rStyle w:val="FootnoteReference"/>
        </w:rPr>
        <w:footnoteReference w:id="18"/>
      </w:r>
      <w:r w:rsidRPr="00BE78CA">
        <w:t xml:space="preserve"> nitrogen content, and digestibility of pasture for the entire time series (1990 to 2019). Further detail on this improvement can be found in chapter 5, section 5.5.5, chapter 10, section 10.1.3 and annex 3</w:t>
      </w:r>
    </w:p>
    <w:p w14:paraId="3400E207" w14:textId="77777777" w:rsidR="00387C28" w:rsidRPr="00BE78CA" w:rsidRDefault="00387C28" w:rsidP="005615D4">
      <w:pPr>
        <w:pStyle w:val="Bullet"/>
      </w:pPr>
      <w:r w:rsidRPr="00BE78CA">
        <w:t xml:space="preserve">use of a new set of figures for the area of managed organic soils, which is consistent with the area of organic soils in </w:t>
      </w:r>
      <w:r w:rsidRPr="00BE78CA">
        <w:rPr>
          <w:i/>
        </w:rPr>
        <w:t>Cropland</w:t>
      </w:r>
      <w:r w:rsidRPr="00BE78CA">
        <w:t xml:space="preserve"> and </w:t>
      </w:r>
      <w:r w:rsidRPr="00BE78CA">
        <w:rPr>
          <w:i/>
        </w:rPr>
        <w:t>Grassland</w:t>
      </w:r>
      <w:r w:rsidRPr="00BE78CA">
        <w:t xml:space="preserve"> reported in chapter 6 (LULUCF). Further detail on this improvement can be found in chapter 5, section 5.5.5, chapter 10, section 10.1.3 and annex 3.</w:t>
      </w:r>
    </w:p>
    <w:p w14:paraId="20EBF97E" w14:textId="77777777" w:rsidR="00387C28" w:rsidRPr="00BE78CA" w:rsidRDefault="00387C28" w:rsidP="005615D4">
      <w:pPr>
        <w:pStyle w:val="BodyText"/>
      </w:pPr>
      <w:r w:rsidRPr="00BE78CA">
        <w:t>The 2021 Agriculture inventory also includes a minor correction to the calculation of nitrogen excretion from sheep. This has now been corrected for the 2021 inventory submission. Further detail on this improvement can be found in chapter 5, section 5.5.5, chapter 10, section 10.1.3 and annex 3.</w:t>
      </w:r>
    </w:p>
    <w:p w14:paraId="17CF0D2D" w14:textId="5F3F573A" w:rsidR="00387C28" w:rsidRPr="00BE78CA" w:rsidRDefault="00387C28" w:rsidP="005615D4">
      <w:pPr>
        <w:pStyle w:val="BodyText"/>
      </w:pPr>
      <w:r w:rsidRPr="00BE78CA">
        <w:t>Improvements and recalculations made to the Agriculture sector in the 2021 inventory submission have resulted in a 5.2 percent (1,658.3 kt CO</w:t>
      </w:r>
      <w:r w:rsidRPr="00BE78CA">
        <w:rPr>
          <w:vertAlign w:val="subscript"/>
        </w:rPr>
        <w:t>2</w:t>
      </w:r>
      <w:r w:rsidRPr="00BE78CA">
        <w:t>-e) increase in estimated agricultural emissions in 1990 and a 4.7 percent (1,773.6 kt CO</w:t>
      </w:r>
      <w:r w:rsidRPr="00BE78CA">
        <w:rPr>
          <w:vertAlign w:val="subscript"/>
        </w:rPr>
        <w:t>2</w:t>
      </w:r>
      <w:r w:rsidRPr="00BE78CA">
        <w:t>-e) increase in agricultural emissions in</w:t>
      </w:r>
      <w:r w:rsidR="00AC594E" w:rsidRPr="00BE78CA">
        <w:t> </w:t>
      </w:r>
      <w:r w:rsidRPr="00BE78CA">
        <w:t xml:space="preserve">2018. </w:t>
      </w:r>
    </w:p>
    <w:p w14:paraId="7D3925E0" w14:textId="77777777" w:rsidR="00387C28" w:rsidRPr="00BE78CA" w:rsidRDefault="00387C28" w:rsidP="00387C28">
      <w:pPr>
        <w:pStyle w:val="Heading4"/>
      </w:pPr>
      <w:bookmarkStart w:id="157" w:name="lulucf"/>
      <w:r w:rsidRPr="00BE78CA">
        <w:t>LULUCF</w:t>
      </w:r>
      <w:bookmarkEnd w:id="157"/>
    </w:p>
    <w:p w14:paraId="146EFADD" w14:textId="649348FD" w:rsidR="00387C28" w:rsidRPr="00BE78CA" w:rsidRDefault="00387C28" w:rsidP="00387C28">
      <w:pPr>
        <w:pStyle w:val="BodyText"/>
      </w:pPr>
      <w:r w:rsidRPr="00BE78CA">
        <w:t>The main differences between this submission and estimates of New Zealand’s LULUCF net</w:t>
      </w:r>
      <w:r w:rsidR="00AC594E" w:rsidRPr="00BE78CA">
        <w:t> </w:t>
      </w:r>
      <w:r w:rsidRPr="00BE78CA">
        <w:t>removals reported in the previous inventory submission result from the following (in decreasing order of magnitude):</w:t>
      </w:r>
    </w:p>
    <w:p w14:paraId="009AA6C3" w14:textId="6E5777CE" w:rsidR="00387C28" w:rsidRPr="00BE78CA" w:rsidRDefault="00387C28" w:rsidP="00AC594E">
      <w:pPr>
        <w:pStyle w:val="Bullet"/>
      </w:pPr>
      <w:r w:rsidRPr="00BE78CA">
        <w:t>the pre-1990 planted forest yield table has been updated to improve accuracy. Previously, only one yield table was applied to all pre-1990 planted forest. However, due to improved genetics and management practices, a single yield table is not representative of the entire pre-1990 planted forest estate through time and multiple rotations. Therefore, in this submission, three period-specific yield tables have been applied. This results in significant changes to net removals through time. The improvement results in a decrease of removals of around 2,000 kt CO</w:t>
      </w:r>
      <w:r w:rsidRPr="00BE78CA">
        <w:rPr>
          <w:vertAlign w:val="subscript"/>
        </w:rPr>
        <w:t>2</w:t>
      </w:r>
      <w:r w:rsidRPr="00BE78CA">
        <w:t>-e in 1990 and an increase of removals of approximately 5,000 kt CO</w:t>
      </w:r>
      <w:r w:rsidRPr="00BE78CA">
        <w:rPr>
          <w:vertAlign w:val="subscript"/>
        </w:rPr>
        <w:t>2</w:t>
      </w:r>
      <w:r w:rsidRPr="00BE78CA">
        <w:t xml:space="preserve">-e in 2018, compared with the previous submission. More information on the use and justification of using multiple yield tables can be found in chapter 6, </w:t>
      </w:r>
      <w:r w:rsidR="007007EB" w:rsidRPr="00BE78CA">
        <w:t xml:space="preserve">Forest land, under </w:t>
      </w:r>
      <w:r w:rsidRPr="00BE78CA">
        <w:t>section 6.4.2</w:t>
      </w:r>
    </w:p>
    <w:p w14:paraId="47FC3C57" w14:textId="75294A73" w:rsidR="00387C28" w:rsidRPr="00BE78CA" w:rsidRDefault="00387C28" w:rsidP="00387C28">
      <w:pPr>
        <w:pStyle w:val="Bullet"/>
      </w:pPr>
      <w:r w:rsidRPr="00BE78CA">
        <w:t>improved mapping of wilding pines has led to the reclassification of approximately 20,000</w:t>
      </w:r>
      <w:r w:rsidR="00AC594E" w:rsidRPr="00BE78CA">
        <w:t> </w:t>
      </w:r>
      <w:r w:rsidRPr="00BE78CA">
        <w:t>hectares of forest previously classified as post-1989 planted forest to post-1989 natural forest</w:t>
      </w:r>
    </w:p>
    <w:p w14:paraId="32A3A39C" w14:textId="77777777" w:rsidR="00387C28" w:rsidRPr="00BE78CA" w:rsidRDefault="00387C28" w:rsidP="005615D4">
      <w:pPr>
        <w:pStyle w:val="Bullet"/>
        <w:keepLines/>
      </w:pPr>
      <w:r w:rsidRPr="00BE78CA">
        <w:lastRenderedPageBreak/>
        <w:t>the harvest age profile of the post-1989 planted forest estate has been improved to more accurately reflect the actual stand ages that are being harvested. This improvement results in a small increase in net removals due to the simultaneous changes to carbon gains and carbon losses from harvesting.</w:t>
      </w:r>
    </w:p>
    <w:p w14:paraId="4AC859FC" w14:textId="77777777" w:rsidR="00387C28" w:rsidRPr="00BE78CA" w:rsidRDefault="00387C28" w:rsidP="00387C28">
      <w:pPr>
        <w:pStyle w:val="BodyText"/>
      </w:pPr>
      <w:r w:rsidRPr="00BE78CA">
        <w:t>Chapter 6, section 6.1.4, and the land use category-specific sections in chapter 6 contain more details about improvements and recalculations for the LULUCF sector.</w:t>
      </w:r>
    </w:p>
    <w:p w14:paraId="0330E8E0" w14:textId="77777777" w:rsidR="00387C28" w:rsidRPr="00BE78CA" w:rsidRDefault="00387C28" w:rsidP="00387C28">
      <w:pPr>
        <w:pStyle w:val="BodyText"/>
      </w:pPr>
      <w:r w:rsidRPr="00BE78CA">
        <w:t>Improvements made to the LULUCF sector have resulted in a 15.1 per cent (4,282.6 kt CO</w:t>
      </w:r>
      <w:r w:rsidRPr="00BE78CA">
        <w:rPr>
          <w:vertAlign w:val="subscript"/>
        </w:rPr>
        <w:t>2</w:t>
      </w:r>
      <w:r w:rsidRPr="00BE78CA">
        <w:t xml:space="preserve"> e) decrease in net LULUCF removals in 1990 and a 14.4 per cent (3,362.3 kt CO</w:t>
      </w:r>
      <w:r w:rsidRPr="00BE78CA">
        <w:rPr>
          <w:vertAlign w:val="subscript"/>
        </w:rPr>
        <w:t>2</w:t>
      </w:r>
      <w:r w:rsidRPr="00BE78CA">
        <w:t>-e) increase in net LULUCF removals in 2018.</w:t>
      </w:r>
    </w:p>
    <w:p w14:paraId="06628211" w14:textId="77777777" w:rsidR="00387C28" w:rsidRPr="00BE78CA" w:rsidRDefault="00387C28" w:rsidP="00387C28">
      <w:pPr>
        <w:pStyle w:val="Heading4"/>
      </w:pPr>
      <w:bookmarkStart w:id="158" w:name="waste-1"/>
      <w:r w:rsidRPr="00BE78CA">
        <w:t>Waste</w:t>
      </w:r>
      <w:bookmarkEnd w:id="158"/>
    </w:p>
    <w:p w14:paraId="0C246B7F" w14:textId="4B216729" w:rsidR="00387C28" w:rsidRPr="00BE78CA" w:rsidRDefault="00387C28" w:rsidP="00387C28">
      <w:pPr>
        <w:pStyle w:val="BodyText"/>
      </w:pPr>
      <w:r w:rsidRPr="00BE78CA">
        <w:t>Improvements and recalculations made to estimates in the Waste sector have resulted in a 2.1</w:t>
      </w:r>
      <w:r w:rsidR="005D74BA" w:rsidRPr="00BE78CA">
        <w:t> </w:t>
      </w:r>
      <w:r w:rsidRPr="00BE78CA">
        <w:t>per cent (86.3 kt CO</w:t>
      </w:r>
      <w:r w:rsidRPr="00BE78CA">
        <w:rPr>
          <w:vertAlign w:val="subscript"/>
        </w:rPr>
        <w:t>2</w:t>
      </w:r>
      <w:r w:rsidRPr="00BE78CA">
        <w:t>-e) decrease in emissions in 1990 and a 17.1 per cent (692.1 kt CO</w:t>
      </w:r>
      <w:r w:rsidRPr="00BE78CA">
        <w:rPr>
          <w:vertAlign w:val="subscript"/>
        </w:rPr>
        <w:t>2</w:t>
      </w:r>
      <w:r w:rsidRPr="00BE78CA">
        <w:t>-e) decrease in emissions in 2018. Several large improvements and recalculations have been made</w:t>
      </w:r>
      <w:r w:rsidR="005D74BA" w:rsidRPr="00BE78CA">
        <w:t> </w:t>
      </w:r>
      <w:r w:rsidRPr="00BE78CA">
        <w:t xml:space="preserve">to the Waste sector in the 2021 submission, along with other smaller changes. The methods for </w:t>
      </w:r>
      <w:r w:rsidRPr="00BE78CA">
        <w:rPr>
          <w:i/>
        </w:rPr>
        <w:t>Managed waste disposal</w:t>
      </w:r>
      <w:r w:rsidRPr="00BE78CA">
        <w:t xml:space="preserve"> sites have been significantly revised, causing emissions to occur earlier in the time series, and largely explain the overall decreasing trend toward the end of the time series in the Waste sector. Further key changes in estimates for </w:t>
      </w:r>
      <w:r w:rsidRPr="00BE78CA">
        <w:rPr>
          <w:i/>
        </w:rPr>
        <w:t>Unmanaged waste disposal</w:t>
      </w:r>
      <w:r w:rsidRPr="00BE78CA">
        <w:t xml:space="preserve"> sites and </w:t>
      </w:r>
      <w:r w:rsidRPr="00BE78CA">
        <w:rPr>
          <w:i/>
        </w:rPr>
        <w:t>Open burning of waste</w:t>
      </w:r>
      <w:r w:rsidRPr="00BE78CA">
        <w:t xml:space="preserve"> have reduced emissions overall, mainly due to</w:t>
      </w:r>
      <w:r w:rsidR="005D74BA" w:rsidRPr="00BE78CA">
        <w:t> </w:t>
      </w:r>
      <w:r w:rsidRPr="00BE78CA">
        <w:t>significantly increasing the proportion of farm waste burned instead of buried. Farm waste</w:t>
      </w:r>
      <w:r w:rsidR="005D74BA" w:rsidRPr="00BE78CA">
        <w:t> </w:t>
      </w:r>
      <w:r w:rsidRPr="00BE78CA">
        <w:t>contains a lot of wood-based material, so burning it produces far fewer emissions than</w:t>
      </w:r>
      <w:r w:rsidR="005D74BA" w:rsidRPr="00BE78CA">
        <w:t> </w:t>
      </w:r>
      <w:r w:rsidRPr="00BE78CA">
        <w:t>burying.</w:t>
      </w:r>
    </w:p>
    <w:p w14:paraId="6C3C9CC6" w14:textId="77CE6F59" w:rsidR="00387C28" w:rsidRPr="00BE78CA" w:rsidRDefault="00387C28" w:rsidP="00387C28">
      <w:pPr>
        <w:pStyle w:val="BodyText"/>
      </w:pPr>
      <w:r w:rsidRPr="00BE78CA">
        <w:t>Further details can be found under methodological issues for each source category in chapter</w:t>
      </w:r>
      <w:r w:rsidR="00213FFB" w:rsidRPr="00BE78CA">
        <w:t> </w:t>
      </w:r>
      <w:r w:rsidRPr="00BE78CA">
        <w:t>7 and also in chapter 10.</w:t>
      </w:r>
    </w:p>
    <w:p w14:paraId="6C574AF8" w14:textId="77777777" w:rsidR="00387C28" w:rsidRPr="00BE78CA" w:rsidRDefault="00387C28" w:rsidP="00387C28">
      <w:pPr>
        <w:pStyle w:val="Heading4"/>
      </w:pPr>
      <w:bookmarkStart w:id="159" w:name="other-sector-tokelau-1"/>
      <w:r w:rsidRPr="00BE78CA">
        <w:t>Other sector (Tokelau)</w:t>
      </w:r>
      <w:bookmarkEnd w:id="159"/>
    </w:p>
    <w:p w14:paraId="6BE40CBE" w14:textId="77777777" w:rsidR="00387C28" w:rsidRPr="00BE78CA" w:rsidRDefault="00387C28" w:rsidP="00387C28">
      <w:pPr>
        <w:pStyle w:val="BodyText"/>
      </w:pPr>
      <w:r w:rsidRPr="00BE78CA">
        <w:t>One minor recalculation has been made in the Tokelau emission estimates since the 2020 submission. The recalculation made for the Tokelau sector has resulted in no change in emissions in 1990 and a 0.6 per cent (0.02 kt CO</w:t>
      </w:r>
      <w:r w:rsidRPr="00BE78CA">
        <w:rPr>
          <w:vertAlign w:val="subscript"/>
        </w:rPr>
        <w:t>2</w:t>
      </w:r>
      <w:r w:rsidRPr="00BE78CA">
        <w:t>-e) increase in emissions in 2018. This is a result of re-interpolating diesel used for electricity generation in 2016 to 2018 using the latest activity data for 2019.</w:t>
      </w:r>
    </w:p>
    <w:p w14:paraId="26C9D095" w14:textId="77777777" w:rsidR="00387C28" w:rsidRPr="00BE78CA" w:rsidRDefault="00387C28" w:rsidP="005D74BA">
      <w:pPr>
        <w:pStyle w:val="BodyText"/>
      </w:pPr>
      <w:bookmarkStart w:id="160" w:name="chapter-1-references"/>
      <w:r w:rsidRPr="00BE78CA">
        <w:br w:type="page"/>
      </w:r>
    </w:p>
    <w:p w14:paraId="2753ABD6" w14:textId="77777777" w:rsidR="00387C28" w:rsidRPr="00BE78CA" w:rsidRDefault="00387C28" w:rsidP="00D75DB2">
      <w:pPr>
        <w:pStyle w:val="Heading2"/>
        <w:spacing w:before="0" w:after="320"/>
      </w:pPr>
      <w:bookmarkStart w:id="161" w:name="_Toc68786298"/>
      <w:r w:rsidRPr="00BE78CA">
        <w:lastRenderedPageBreak/>
        <w:t>Chapter 1: References</w:t>
      </w:r>
      <w:bookmarkEnd w:id="160"/>
      <w:bookmarkEnd w:id="161"/>
    </w:p>
    <w:p w14:paraId="4FF40410" w14:textId="77777777" w:rsidR="00387C28" w:rsidRPr="00BE78CA" w:rsidRDefault="00387C28" w:rsidP="00D75DB2">
      <w:pPr>
        <w:pStyle w:val="References"/>
        <w:spacing w:after="110"/>
      </w:pPr>
      <w:r w:rsidRPr="00BE78CA">
        <w:t>Cardno. Unpublished. Greenhouse Gas Emissions from Industrial Wastewater Treatment. Report commissioned by the Ministry for the Environment in 2015</w:t>
      </w:r>
    </w:p>
    <w:p w14:paraId="5F4CB30D" w14:textId="77777777" w:rsidR="00387C28" w:rsidRPr="00BE78CA" w:rsidRDefault="00387C28" w:rsidP="00D75DB2">
      <w:pPr>
        <w:pStyle w:val="References"/>
        <w:spacing w:after="110"/>
      </w:pPr>
      <w:r w:rsidRPr="00BE78CA">
        <w:t xml:space="preserve">Climate Change Response Act 2002 (as at 1 January 2016) </w:t>
      </w:r>
      <w:hyperlink r:id="rId36">
        <w:r w:rsidRPr="00BE78CA">
          <w:t>www.legislation.govt.nz/act/public/2002/0040/latest/DLM158584.html</w:t>
        </w:r>
      </w:hyperlink>
      <w:r w:rsidRPr="00BE78CA">
        <w:t>.</w:t>
      </w:r>
    </w:p>
    <w:p w14:paraId="1C7DE060" w14:textId="77777777" w:rsidR="00387C28" w:rsidRPr="00BE78CA" w:rsidRDefault="00387C28" w:rsidP="00D75DB2">
      <w:pPr>
        <w:pStyle w:val="References"/>
        <w:spacing w:after="110"/>
      </w:pPr>
      <w:r w:rsidRPr="00BE78CA">
        <w:t>CRL Energy Ltd. Unpublished. Hennessy W, Maxwell D. Inventory of HFC, PFC and SF</w:t>
      </w:r>
      <w:r w:rsidRPr="00BE78CA">
        <w:rPr>
          <w:vertAlign w:val="subscript"/>
        </w:rPr>
        <w:t>6</w:t>
      </w:r>
      <w:r w:rsidRPr="00BE78CA">
        <w:t xml:space="preserve"> Emissions for New Zealand 2004–2005. Report prepared by CRL Energy Ltd to the Ministry for the Environment in 2006.</w:t>
      </w:r>
    </w:p>
    <w:p w14:paraId="241596DF" w14:textId="77777777" w:rsidR="00387C28" w:rsidRPr="00BE78CA" w:rsidRDefault="00387C28" w:rsidP="00D75DB2">
      <w:pPr>
        <w:pStyle w:val="References"/>
        <w:spacing w:after="110"/>
      </w:pPr>
      <w:r w:rsidRPr="00BE78CA">
        <w:t>Eunomia. Unpublished. Improvements to Estimates of Greenhouse Gas Emissions from Landfills. Report commissioned by the Ministry for the Environment in 2020.</w:t>
      </w:r>
    </w:p>
    <w:p w14:paraId="6B49B43D" w14:textId="77777777" w:rsidR="00387C28" w:rsidRPr="00BE78CA" w:rsidRDefault="00387C28" w:rsidP="00D75DB2">
      <w:pPr>
        <w:pStyle w:val="References"/>
        <w:spacing w:after="110"/>
      </w:pPr>
      <w:r w:rsidRPr="00BE78CA">
        <w:t xml:space="preserve">IPCC. 2006a. Eggleston HS, Buendia L, Miwa K, Ngara T, Tanabe K (eds). </w:t>
      </w:r>
      <w:r w:rsidRPr="00BE78CA">
        <w:rPr>
          <w:i/>
        </w:rPr>
        <w:t>2006 IPCC Guidelines for National Greenhouse Gas Inventories. Volume 4. Agriculture, Forestry and Other Land Use.</w:t>
      </w:r>
      <w:r w:rsidRPr="00BE78CA">
        <w:t xml:space="preserve"> IPCC National Greenhouse Gas Inventories Programme. Japan: Published for the IPCC by the Institute for Global Environmental Strategies.</w:t>
      </w:r>
    </w:p>
    <w:p w14:paraId="05947017" w14:textId="77777777" w:rsidR="00387C28" w:rsidRPr="00BE78CA" w:rsidRDefault="00387C28" w:rsidP="00D75DB2">
      <w:pPr>
        <w:pStyle w:val="References"/>
        <w:spacing w:after="110"/>
      </w:pPr>
      <w:r w:rsidRPr="00BE78CA">
        <w:t xml:space="preserve">IPCC. 2006b. Eggleston HS, Buendia L, Miwa K, Ngara T, Tanabe K (eds). </w:t>
      </w:r>
      <w:r w:rsidRPr="00BE78CA">
        <w:rPr>
          <w:i/>
        </w:rPr>
        <w:t>2006 IPCC Guidelines for National Greenhouse Gas Inventories. Volume 1. General Guidance and Reporting.</w:t>
      </w:r>
      <w:r w:rsidRPr="00BE78CA">
        <w:t xml:space="preserve"> IPCC National Greenhouse Gas Inventories Programme. Japan: Published for the IPCC by the Institute for Global Environmental Strategies.</w:t>
      </w:r>
    </w:p>
    <w:p w14:paraId="5D682230" w14:textId="77777777" w:rsidR="00387C28" w:rsidRPr="00BE78CA" w:rsidRDefault="00387C28" w:rsidP="00D75DB2">
      <w:pPr>
        <w:pStyle w:val="References"/>
        <w:spacing w:after="110"/>
      </w:pPr>
      <w:r w:rsidRPr="00BE78CA">
        <w:t xml:space="preserve">IPCC. 2013. Stocker TF, Qin D, Plattner G-K, Tignor M, Allen SK, Boschung J, Nauels A, Xia Y, Bex V and Midgley PM (eds). </w:t>
      </w:r>
      <w:r w:rsidRPr="00BE78CA">
        <w:rPr>
          <w:i/>
        </w:rPr>
        <w:t>Climate Change 2013: The Physical Science Basis. Contribution of Working Group I to the Fifth Assessment Report of the Intergovernmental Panel on Climate Change</w:t>
      </w:r>
      <w:r w:rsidRPr="00BE78CA">
        <w:t>. Cambridge, United Kingdom and New York, United States of America: Cambridge University Press.</w:t>
      </w:r>
    </w:p>
    <w:p w14:paraId="7EF4759B" w14:textId="77777777" w:rsidR="00387C28" w:rsidRPr="00BE78CA" w:rsidRDefault="00387C28" w:rsidP="00D75DB2">
      <w:pPr>
        <w:pStyle w:val="References"/>
        <w:spacing w:after="110"/>
      </w:pPr>
      <w:r w:rsidRPr="00BE78CA">
        <w:t xml:space="preserve">IPCC. 2014. Hiraishi T, Krug T, Tanabe K, Srivastava N, Baasansuren J, Fukuda M, and Troxler TG (eds). </w:t>
      </w:r>
      <w:r w:rsidRPr="00BE78CA">
        <w:rPr>
          <w:i/>
        </w:rPr>
        <w:t>2013 Revised Supplementary Methods and Good Practice Guidance Arising from the Kyoto Protocol</w:t>
      </w:r>
      <w:r w:rsidRPr="00BE78CA">
        <w:t>. Geneva, Switzerland: IPCC.</w:t>
      </w:r>
    </w:p>
    <w:p w14:paraId="0350CA47" w14:textId="77777777" w:rsidR="00387C28" w:rsidRPr="00BE78CA" w:rsidRDefault="00387C28" w:rsidP="00D75DB2">
      <w:pPr>
        <w:pStyle w:val="References"/>
        <w:spacing w:after="110"/>
      </w:pPr>
      <w:r w:rsidRPr="00BE78CA">
        <w:t xml:space="preserve">Ministry for the Environment. 2006. </w:t>
      </w:r>
      <w:r w:rsidRPr="00BE78CA">
        <w:rPr>
          <w:i/>
        </w:rPr>
        <w:t>New Zealand’s Initial Report under the Kyoto Protocol: Facilitating the calculation of New Zealand’s assigned amount and demonstrating New Zealand’s capacity to account for its emissions and assigned amount in accordance with Article 7 paragraph 4 of the Kyoto Protocol</w:t>
      </w:r>
      <w:r w:rsidRPr="00BE78CA">
        <w:t>. Wellington: Ministry for the Environment.</w:t>
      </w:r>
    </w:p>
    <w:p w14:paraId="4D6CA8C9" w14:textId="6B61B23E" w:rsidR="00387C28" w:rsidRPr="00BE78CA" w:rsidRDefault="00387C28" w:rsidP="00D75DB2">
      <w:pPr>
        <w:pStyle w:val="References"/>
        <w:spacing w:after="110"/>
      </w:pPr>
      <w:r w:rsidRPr="00BE78CA">
        <w:t xml:space="preserve">MBIE </w:t>
      </w:r>
      <w:r w:rsidR="00935717" w:rsidRPr="00BE78CA">
        <w:t>(</w:t>
      </w:r>
      <w:r w:rsidRPr="00BE78CA">
        <w:t>Ministry of Business, Innovation and Employment</w:t>
      </w:r>
      <w:r w:rsidR="00935717" w:rsidRPr="00BE78CA">
        <w:t>)</w:t>
      </w:r>
      <w:r w:rsidRPr="00BE78CA">
        <w:t xml:space="preserve">. 2020. </w:t>
      </w:r>
      <w:r w:rsidRPr="00BE78CA">
        <w:rPr>
          <w:i/>
        </w:rPr>
        <w:t>Energy in New Zealand</w:t>
      </w:r>
      <w:r w:rsidRPr="00BE78CA">
        <w:t xml:space="preserve"> 2020. Wellington: Ministry of Business, Innovation and Employment.</w:t>
      </w:r>
    </w:p>
    <w:p w14:paraId="5C93FA31" w14:textId="7AD029C4" w:rsidR="00387C28" w:rsidRPr="00BE78CA" w:rsidRDefault="00387C28" w:rsidP="00D75DB2">
      <w:pPr>
        <w:pStyle w:val="References"/>
        <w:spacing w:after="110"/>
      </w:pPr>
      <w:r w:rsidRPr="00BE78CA">
        <w:t>Paul TSH, Andersen C, Kimberley MO, Dash J, Beets PN. Unpublished(a). Carbon Stock Changes in New</w:t>
      </w:r>
      <w:r w:rsidR="00AA4C7F" w:rsidRPr="00BE78CA">
        <w:t> </w:t>
      </w:r>
      <w:r w:rsidRPr="00BE78CA">
        <w:t>Zealand’s Pre-1990 Planted Forests Based on a Periodic Ground Inventory. Contract report prepared for the Ministry for the Environment by the New Zealand Forest Research Institute Ltd (trading</w:t>
      </w:r>
      <w:r w:rsidR="00935717" w:rsidRPr="00BE78CA">
        <w:t> </w:t>
      </w:r>
      <w:r w:rsidRPr="00BE78CA">
        <w:t>as Scion) in 2016.</w:t>
      </w:r>
    </w:p>
    <w:p w14:paraId="33F20C1C" w14:textId="77777777" w:rsidR="00387C28" w:rsidRPr="00BE78CA" w:rsidRDefault="00387C28" w:rsidP="00D75DB2">
      <w:pPr>
        <w:pStyle w:val="References"/>
        <w:spacing w:after="110"/>
      </w:pPr>
      <w:r w:rsidRPr="00BE78CA">
        <w:t>Paul TSH, Beets PN, Kimberley MO. Unpublished(b). Carbon stocks in New Zealand’s Post-1989 Natural Forest – Analysis of the 2018/2019 forest inventory data. Contract report prepared for the Ministry for the Environment by the New Zealand Forest Research Institute Ltd (trading as Scion) in 2020.</w:t>
      </w:r>
    </w:p>
    <w:p w14:paraId="67C74DA2" w14:textId="77777777" w:rsidR="00387C28" w:rsidRPr="00BE78CA" w:rsidRDefault="00387C28" w:rsidP="00D75DB2">
      <w:pPr>
        <w:pStyle w:val="References"/>
        <w:spacing w:after="110"/>
      </w:pPr>
      <w:r w:rsidRPr="00BE78CA">
        <w:t>Paul TSH, Kimberley MO, Beets PN. 2020. Natural Forests in New Zealand – a large terrestrial carbon pool in a national state of equilibrium. Manuscript submitted for publication.</w:t>
      </w:r>
    </w:p>
    <w:p w14:paraId="63FA3A48" w14:textId="77777777" w:rsidR="00387C28" w:rsidRPr="00BE78CA" w:rsidRDefault="00387C28" w:rsidP="00D75DB2">
      <w:pPr>
        <w:pStyle w:val="References"/>
        <w:spacing w:after="110"/>
      </w:pPr>
      <w:r w:rsidRPr="00BE78CA">
        <w:t>Paul TSH, Kimberley MO, Dodunski C. Unpublished(c). The 2019 NFI plot analysis Yield tables and carbon stocks at measurement. Contract report prepared for the Ministry for the Environment by New Zealand Forest Research Institute Ltd (trading as Scion) in 2020.</w:t>
      </w:r>
    </w:p>
    <w:p w14:paraId="119AD4B8" w14:textId="77777777" w:rsidR="00387C28" w:rsidRPr="00BE78CA" w:rsidRDefault="00387C28" w:rsidP="00D75DB2">
      <w:pPr>
        <w:pStyle w:val="References"/>
        <w:spacing w:after="110"/>
      </w:pPr>
      <w:r w:rsidRPr="00BE78CA">
        <w:t>Paul TSH, Wakelin SJ. Unpublished. Yield tables and approach for estimating historic carbon stocks in pre-1990 planted forests for greenhouse gas inventory reporting. Contract report prepared for the Ministry for the Environment by New Zealand Forest Research Institute Ltd (trading as Scion) in 2020</w:t>
      </w:r>
    </w:p>
    <w:p w14:paraId="7BDF5448" w14:textId="77777777" w:rsidR="00387C28" w:rsidRPr="00BE78CA" w:rsidRDefault="00387C28" w:rsidP="00D75DB2">
      <w:pPr>
        <w:pStyle w:val="References"/>
        <w:spacing w:after="110"/>
      </w:pPr>
      <w:r w:rsidRPr="00BE78CA">
        <w:t xml:space="preserve">UNFCCC. 1992. FCCC/INFORMAL/84 </w:t>
      </w:r>
      <w:r w:rsidRPr="00BE78CA">
        <w:rPr>
          <w:i/>
        </w:rPr>
        <w:t>United Nations Framework Convention on Climate Change</w:t>
      </w:r>
      <w:r w:rsidRPr="00BE78CA">
        <w:t>. unfccc.int/files/essential_background/background_publications_htmlpdf/application/pdf/conveng. pdf</w:t>
      </w:r>
    </w:p>
    <w:p w14:paraId="41B14C43" w14:textId="77777777" w:rsidR="00387C28" w:rsidRPr="00BE78CA" w:rsidRDefault="00387C28" w:rsidP="00387C28">
      <w:pPr>
        <w:pStyle w:val="References"/>
      </w:pPr>
      <w:r w:rsidRPr="00BE78CA">
        <w:t xml:space="preserve">UNFCCC. 2005a. FCCC/KP/CMP/2005/8/Add.3. </w:t>
      </w:r>
      <w:r w:rsidRPr="00BE78CA">
        <w:rPr>
          <w:i/>
        </w:rPr>
        <w:t>Land use, land-use change and forestry</w:t>
      </w:r>
      <w:r w:rsidRPr="00BE78CA">
        <w:t>.</w:t>
      </w:r>
    </w:p>
    <w:p w14:paraId="49C774CA" w14:textId="629CBD8C" w:rsidR="00387C28" w:rsidRPr="00BE78CA" w:rsidRDefault="00387C28" w:rsidP="00387C28">
      <w:pPr>
        <w:pStyle w:val="References"/>
      </w:pPr>
      <w:r w:rsidRPr="00BE78CA">
        <w:lastRenderedPageBreak/>
        <w:t xml:space="preserve">UNFCCC. 2005b. FCCC/KP/CMP/2005/8/Add.2. </w:t>
      </w:r>
      <w:r w:rsidRPr="00BE78CA">
        <w:rPr>
          <w:i/>
        </w:rPr>
        <w:t>Modalities for the accounting of assigned amounts under</w:t>
      </w:r>
      <w:r w:rsidR="00935717" w:rsidRPr="00BE78CA">
        <w:rPr>
          <w:i/>
        </w:rPr>
        <w:t> </w:t>
      </w:r>
      <w:r w:rsidRPr="00BE78CA">
        <w:rPr>
          <w:i/>
        </w:rPr>
        <w:t>Article 7, paragraph 4 of the Kyoto Protocol</w:t>
      </w:r>
      <w:r w:rsidRPr="00BE78CA">
        <w:t>.</w:t>
      </w:r>
    </w:p>
    <w:p w14:paraId="03D84A0B" w14:textId="23944CED" w:rsidR="00387C28" w:rsidRPr="00BE78CA" w:rsidRDefault="00387C28" w:rsidP="00387C28">
      <w:pPr>
        <w:pStyle w:val="References"/>
      </w:pPr>
      <w:r w:rsidRPr="00BE78CA">
        <w:t xml:space="preserve">UNFCCC. 2005c. FCCC/KP/CMP/2005/8/Add.2. </w:t>
      </w:r>
      <w:r w:rsidRPr="00BE78CA">
        <w:rPr>
          <w:i/>
        </w:rPr>
        <w:t>Standard electronic format for reporting Kyoto Protocol</w:t>
      </w:r>
      <w:r w:rsidR="00935717" w:rsidRPr="00BE78CA">
        <w:rPr>
          <w:i/>
        </w:rPr>
        <w:t> </w:t>
      </w:r>
      <w:r w:rsidRPr="00BE78CA">
        <w:rPr>
          <w:i/>
        </w:rPr>
        <w:t>units</w:t>
      </w:r>
      <w:r w:rsidRPr="00BE78CA">
        <w:t>.</w:t>
      </w:r>
    </w:p>
    <w:p w14:paraId="1B9D479D" w14:textId="77777777" w:rsidR="00387C28" w:rsidRPr="00BE78CA" w:rsidRDefault="00387C28" w:rsidP="00387C28">
      <w:pPr>
        <w:pStyle w:val="References"/>
      </w:pPr>
      <w:r w:rsidRPr="00BE78CA">
        <w:t xml:space="preserve">UNFCCC. 2005d. FCCC/KP/CMP/2005/8/Add.2. </w:t>
      </w:r>
      <w:r w:rsidRPr="00BE78CA">
        <w:rPr>
          <w:i/>
        </w:rPr>
        <w:t>Guidelines for the preparation of the information required under Article 7 of the Kyoto Protocol</w:t>
      </w:r>
      <w:r w:rsidRPr="00BE78CA">
        <w:t>.</w:t>
      </w:r>
    </w:p>
    <w:p w14:paraId="7BD10DAD" w14:textId="45566950" w:rsidR="00387C28" w:rsidRPr="00BE78CA" w:rsidRDefault="00387C28" w:rsidP="00387C28">
      <w:pPr>
        <w:pStyle w:val="References"/>
      </w:pPr>
      <w:r w:rsidRPr="00BE78CA">
        <w:t xml:space="preserve">UNFCCC. 2005e. FCCC/KP/CMP/2005/8/Add.3 </w:t>
      </w:r>
      <w:r w:rsidRPr="00BE78CA">
        <w:rPr>
          <w:i/>
        </w:rPr>
        <w:t>Guidelines for national systems under Article 5, paragraph</w:t>
      </w:r>
      <w:r w:rsidR="00935717" w:rsidRPr="00BE78CA">
        <w:rPr>
          <w:i/>
        </w:rPr>
        <w:t> </w:t>
      </w:r>
      <w:r w:rsidRPr="00BE78CA">
        <w:rPr>
          <w:i/>
        </w:rPr>
        <w:t>1 of the Kyoto Protocol</w:t>
      </w:r>
      <w:r w:rsidRPr="00BE78CA">
        <w:t>.</w:t>
      </w:r>
    </w:p>
    <w:p w14:paraId="1E06962B" w14:textId="77777777" w:rsidR="00387C28" w:rsidRPr="00BE78CA" w:rsidRDefault="00387C28" w:rsidP="00387C28">
      <w:pPr>
        <w:pStyle w:val="References"/>
      </w:pPr>
      <w:r w:rsidRPr="00BE78CA">
        <w:t xml:space="preserve">UNFCCC. 2005f. FCCC/KP/CMP/2005/8/Add.3 </w:t>
      </w:r>
      <w:r w:rsidRPr="00BE78CA">
        <w:rPr>
          <w:i/>
        </w:rPr>
        <w:t>Good practice guidance and adjustments under Article 5, paragraph 2 of the Kyoto Protocol</w:t>
      </w:r>
      <w:r w:rsidRPr="00BE78CA">
        <w:t>.</w:t>
      </w:r>
    </w:p>
    <w:p w14:paraId="7DBBADE2" w14:textId="36CF5929" w:rsidR="00387C28" w:rsidRPr="00BE78CA" w:rsidRDefault="00387C28" w:rsidP="00387C28">
      <w:pPr>
        <w:pStyle w:val="References"/>
      </w:pPr>
      <w:r w:rsidRPr="00BE78CA">
        <w:t xml:space="preserve">UNFCCC. 2005g. FCCC/KP/CMP/2005/8/Add.3 </w:t>
      </w:r>
      <w:r w:rsidRPr="00BE78CA">
        <w:rPr>
          <w:i/>
        </w:rPr>
        <w:t>Issues relating to adjustments under Article 5, paragraph</w:t>
      </w:r>
      <w:r w:rsidR="00935717" w:rsidRPr="00BE78CA">
        <w:rPr>
          <w:i/>
        </w:rPr>
        <w:t> </w:t>
      </w:r>
      <w:r w:rsidRPr="00BE78CA">
        <w:rPr>
          <w:i/>
        </w:rPr>
        <w:t>2 of the Kyoto Protocol</w:t>
      </w:r>
      <w:r w:rsidRPr="00BE78CA">
        <w:t>.</w:t>
      </w:r>
    </w:p>
    <w:p w14:paraId="240AB522" w14:textId="77777777" w:rsidR="00387C28" w:rsidRPr="00BE78CA" w:rsidRDefault="00387C28" w:rsidP="00387C28">
      <w:pPr>
        <w:pStyle w:val="References"/>
      </w:pPr>
      <w:r w:rsidRPr="00BE78CA">
        <w:t xml:space="preserve">UNFCCC. 2005h. FCCC/KP/CMP/2005/8/Add.3 </w:t>
      </w:r>
      <w:r w:rsidRPr="00BE78CA">
        <w:rPr>
          <w:i/>
        </w:rPr>
        <w:t>Guidelines for review under Article 8 of the Kyoto Protocol</w:t>
      </w:r>
      <w:r w:rsidRPr="00BE78CA">
        <w:t>.</w:t>
      </w:r>
    </w:p>
    <w:p w14:paraId="49D3A0E8" w14:textId="77777777" w:rsidR="00387C28" w:rsidRPr="00BE78CA" w:rsidRDefault="00387C28" w:rsidP="00387C28">
      <w:pPr>
        <w:pStyle w:val="References"/>
      </w:pPr>
      <w:r w:rsidRPr="00BE78CA">
        <w:t xml:space="preserve">UNFCCC. 2005i. FCCC/KP/CMP/2005/8/Add.3 </w:t>
      </w:r>
      <w:r w:rsidRPr="00BE78CA">
        <w:rPr>
          <w:i/>
        </w:rPr>
        <w:t>Terms of service for lead reviewers</w:t>
      </w:r>
      <w:r w:rsidRPr="00BE78CA">
        <w:t>.</w:t>
      </w:r>
    </w:p>
    <w:p w14:paraId="56D0D007" w14:textId="77777777" w:rsidR="00387C28" w:rsidRPr="00BE78CA" w:rsidRDefault="00387C28" w:rsidP="00387C28">
      <w:pPr>
        <w:pStyle w:val="References"/>
      </w:pPr>
      <w:r w:rsidRPr="00BE78CA">
        <w:t xml:space="preserve">UNFCCC. 2005j. FCCC/KP/CMP/2005/8/Add.3 </w:t>
      </w:r>
      <w:r w:rsidRPr="00BE78CA">
        <w:rPr>
          <w:i/>
        </w:rPr>
        <w:t>Issues relating to the implementation of Article 8 of the Kyoto Protocol – 1 (Training programme for members of expert review teams)</w:t>
      </w:r>
      <w:r w:rsidRPr="00BE78CA">
        <w:t>.</w:t>
      </w:r>
    </w:p>
    <w:p w14:paraId="23C97E07" w14:textId="77777777" w:rsidR="00387C28" w:rsidRPr="00BE78CA" w:rsidRDefault="00387C28" w:rsidP="00387C28">
      <w:pPr>
        <w:pStyle w:val="References"/>
      </w:pPr>
      <w:r w:rsidRPr="00BE78CA">
        <w:t xml:space="preserve">UNFCCC. 2005k. FCCC/KP/CMP/2005/8/Add.3 </w:t>
      </w:r>
      <w:r w:rsidRPr="00BE78CA">
        <w:rPr>
          <w:i/>
        </w:rPr>
        <w:t>Issues relating to the implementation of Article 8 of the Kyoto Protocol – 2 (Confidential information)</w:t>
      </w:r>
      <w:r w:rsidRPr="00BE78CA">
        <w:t>.</w:t>
      </w:r>
    </w:p>
    <w:p w14:paraId="03F49216" w14:textId="77777777" w:rsidR="00387C28" w:rsidRPr="00BE78CA" w:rsidRDefault="00387C28" w:rsidP="00387C28">
      <w:pPr>
        <w:pStyle w:val="References"/>
      </w:pPr>
      <w:r w:rsidRPr="00BE78CA">
        <w:t xml:space="preserve">UNFCCC. 2006. FCCC/SBSTA/2006/9. </w:t>
      </w:r>
      <w:r w:rsidRPr="00BE78CA">
        <w:rPr>
          <w:i/>
        </w:rPr>
        <w:t>Guidelines for the preparation of national communications by Parties included in Annex I to the Convention, Part I: UNFCCC reporting guidelines on annual inventories (following incorporation of the provisions of Decision 13/CP.9)</w:t>
      </w:r>
      <w:r w:rsidRPr="00BE78CA">
        <w:t>.</w:t>
      </w:r>
    </w:p>
    <w:p w14:paraId="58950AAA" w14:textId="77777777" w:rsidR="00387C28" w:rsidRPr="00BE78CA" w:rsidRDefault="00387C28" w:rsidP="00387C28">
      <w:pPr>
        <w:pStyle w:val="References"/>
      </w:pPr>
      <w:r w:rsidRPr="00BE78CA">
        <w:t xml:space="preserve">UNFCCC. 2012. FCCC/KP/CMP/2011/10/Add.1. </w:t>
      </w:r>
      <w:r w:rsidRPr="00BE78CA">
        <w:rPr>
          <w:i/>
        </w:rPr>
        <w:t>Report of the Conference of the Parties serving as the meeting of the Parties to the Kyoto Protocol on its seventh session, held in Durban from 28 November to 11 December 2011; Decision 2/CMP.7, Land use, land-use change and forestry</w:t>
      </w:r>
      <w:r w:rsidRPr="00BE78CA">
        <w:t>.</w:t>
      </w:r>
    </w:p>
    <w:p w14:paraId="68C71032" w14:textId="4442C7A1" w:rsidR="00387C28" w:rsidRPr="00BE78CA" w:rsidRDefault="00387C28" w:rsidP="00387C28">
      <w:pPr>
        <w:pStyle w:val="References"/>
      </w:pPr>
      <w:r w:rsidRPr="00BE78CA">
        <w:t xml:space="preserve">UNFCCC. 2013a. FCCC/ARR/2012/NZL. </w:t>
      </w:r>
      <w:r w:rsidRPr="00BE78CA">
        <w:rPr>
          <w:i/>
        </w:rPr>
        <w:t>Report of the individual review of the annual submission of New</w:t>
      </w:r>
      <w:r w:rsidR="00935717" w:rsidRPr="00BE78CA">
        <w:rPr>
          <w:i/>
        </w:rPr>
        <w:t> </w:t>
      </w:r>
      <w:r w:rsidRPr="00BE78CA">
        <w:rPr>
          <w:i/>
        </w:rPr>
        <w:t>Zealand submitted in 2012. Centralised Review</w:t>
      </w:r>
      <w:r w:rsidRPr="00BE78CA">
        <w:t>.</w:t>
      </w:r>
    </w:p>
    <w:p w14:paraId="37C53258" w14:textId="77777777" w:rsidR="00387C28" w:rsidRPr="00BE78CA" w:rsidRDefault="00387C28" w:rsidP="00387C28">
      <w:pPr>
        <w:pStyle w:val="References"/>
      </w:pPr>
      <w:r w:rsidRPr="00BE78CA">
        <w:t xml:space="preserve">UNFCCC. 2013b. FCCC/CP/2013/10/Add.3. </w:t>
      </w:r>
      <w:r w:rsidRPr="00BE78CA">
        <w:rPr>
          <w:i/>
        </w:rPr>
        <w:t>Report of the Conference of the Parties on its nineteenth session, held in Warsaw from 11 to 23 November 2013, Addendum; Decision 24/CP.19 Revision of the UNFCCC reporting guidelines on annual inventories for Parties included in Annex I to the Convention</w:t>
      </w:r>
      <w:r w:rsidRPr="00BE78CA">
        <w:t>.</w:t>
      </w:r>
    </w:p>
    <w:p w14:paraId="23292E31" w14:textId="77777777" w:rsidR="00387C28" w:rsidRPr="00BE78CA" w:rsidRDefault="00387C28" w:rsidP="00387C28">
      <w:pPr>
        <w:pStyle w:val="References"/>
      </w:pPr>
      <w:r w:rsidRPr="00BE78CA">
        <w:t xml:space="preserve">UNFCCC. 2013c. FCCC/KP/CMP/2012/13/Add.1. </w:t>
      </w:r>
      <w:r w:rsidRPr="00BE78CA">
        <w:rPr>
          <w:i/>
        </w:rPr>
        <w:t>Decision 2/CMP.8 Implications of the implementation of decisions 2/CMP.7 to 5/CMP.7 on the previous decisions on methodological issues related to the Kyoto Protocol, including those relating to Articles 5, 7 and 8 of the Kyoto Protocol, Annex 2</w:t>
      </w:r>
      <w:r w:rsidRPr="00BE78CA">
        <w:t>.</w:t>
      </w:r>
    </w:p>
    <w:p w14:paraId="7DDDC791" w14:textId="77777777" w:rsidR="00387C28" w:rsidRPr="00BE78CA" w:rsidRDefault="00387C28" w:rsidP="00387C28">
      <w:pPr>
        <w:pStyle w:val="References"/>
      </w:pPr>
      <w:r w:rsidRPr="00BE78CA">
        <w:t xml:space="preserve">UNFCCC. 2016a. FCCC/KP/CMP/2015/8/Add.1. </w:t>
      </w:r>
      <w:r w:rsidRPr="00BE78CA">
        <w:rPr>
          <w:i/>
        </w:rPr>
        <w:t>Decision 3/CMP.11 Implications of the implementation of decisions 2/CMP.7 to 4/CMP.7 and 1/CMP.8 on the previous decisions on methodological issues related to the Kyoto Protocol, including those relating to Articles 5, 7 and 8 of the Kyoto Protocol, part I: implications related to accounting and reporting and other related issues</w:t>
      </w:r>
      <w:r w:rsidRPr="00BE78CA">
        <w:t>.</w:t>
      </w:r>
    </w:p>
    <w:p w14:paraId="403E079A" w14:textId="77777777" w:rsidR="00387C28" w:rsidRPr="00BE78CA" w:rsidRDefault="00387C28" w:rsidP="00387C28">
      <w:pPr>
        <w:pStyle w:val="References"/>
      </w:pPr>
      <w:r w:rsidRPr="00BE78CA">
        <w:t xml:space="preserve">UNFCCC. 2016b. FCCC/KP/CMP/2015/8/Add.1. </w:t>
      </w:r>
      <w:r w:rsidRPr="00BE78CA">
        <w:rPr>
          <w:i/>
        </w:rPr>
        <w:t>Decision 4/CMP.11 Implications of the implementation of decisions 2/CMP.7 to 4/CMP.7 and 1/CMP.8 on the previous decisions on methodological issues related to the Kyoto Protocol, including those relating to Articles 5, 7 and 8 of the Kyoto Protocol, part II: implications related to review and adjustments and other related issues</w:t>
      </w:r>
      <w:r w:rsidRPr="00BE78CA">
        <w:t>.</w:t>
      </w:r>
    </w:p>
    <w:p w14:paraId="26B67796" w14:textId="77777777" w:rsidR="00387C28" w:rsidRPr="00BE78CA" w:rsidRDefault="00387C28" w:rsidP="00387C28">
      <w:pPr>
        <w:pStyle w:val="References"/>
      </w:pPr>
      <w:r w:rsidRPr="00BE78CA">
        <w:t xml:space="preserve">United Nations. 1945. </w:t>
      </w:r>
      <w:r w:rsidRPr="00BE78CA">
        <w:rPr>
          <w:i/>
        </w:rPr>
        <w:t>Charter of the United Nations, 1945.</w:t>
      </w:r>
      <w:r w:rsidRPr="00BE78CA">
        <w:t xml:space="preserve"> Retrieved from </w:t>
      </w:r>
      <w:hyperlink r:id="rId37" w:history="1">
        <w:r w:rsidRPr="00BE78CA">
          <w:t>www.un.org/en/sections/un-charter/chapter-xi</w:t>
        </w:r>
      </w:hyperlink>
      <w:r w:rsidRPr="00BE78CA">
        <w:t xml:space="preserve"> (7 February 2019).</w:t>
      </w:r>
    </w:p>
    <w:p w14:paraId="41168AC3" w14:textId="77777777" w:rsidR="00387C28" w:rsidRPr="00BE78CA" w:rsidRDefault="00387C28" w:rsidP="00387C28">
      <w:pPr>
        <w:pStyle w:val="References"/>
      </w:pPr>
      <w:r w:rsidRPr="00BE78CA">
        <w:t>Verum Group Ltd. Unpublished. Hennessy W. Inventory of HFC, SF</w:t>
      </w:r>
      <w:r w:rsidRPr="00BE78CA">
        <w:rPr>
          <w:vertAlign w:val="subscript"/>
        </w:rPr>
        <w:t>6</w:t>
      </w:r>
      <w:r w:rsidRPr="00BE78CA">
        <w:t xml:space="preserve"> and Other Industrial Process Emissions for New Zealand 2019. Report prepared by Verum Group Ltd for the Ministry for the Environment in 2020.</w:t>
      </w:r>
    </w:p>
    <w:p w14:paraId="71D82F54" w14:textId="47A490F9" w:rsidR="007E4367" w:rsidRPr="00BE78CA" w:rsidRDefault="00387C28" w:rsidP="00D75DB2">
      <w:pPr>
        <w:pStyle w:val="References"/>
      </w:pPr>
      <w:r w:rsidRPr="00BE78CA">
        <w:t>Waste Minimisation Act 2008 (as at 1 January 2016) www.legislation.govt.nz/act/public/2008/0089/latest/DLM999802.html.</w:t>
      </w:r>
    </w:p>
    <w:p w14:paraId="638EB119" w14:textId="77777777" w:rsidR="00935717" w:rsidRPr="00BE78CA" w:rsidRDefault="00935717" w:rsidP="000E497C">
      <w:pPr>
        <w:sectPr w:rsidR="00935717" w:rsidRPr="00BE78CA" w:rsidSect="00211C26">
          <w:headerReference w:type="even" r:id="rId38"/>
          <w:headerReference w:type="default" r:id="rId39"/>
          <w:footerReference w:type="even" r:id="rId40"/>
          <w:footerReference w:type="default" r:id="rId41"/>
          <w:headerReference w:type="first" r:id="rId42"/>
          <w:footerReference w:type="first" r:id="rId43"/>
          <w:pgSz w:w="11907" w:h="16840" w:code="9"/>
          <w:pgMar w:top="1418" w:right="1701" w:bottom="1418" w:left="1701" w:header="567" w:footer="567" w:gutter="0"/>
          <w:cols w:space="720"/>
        </w:sectPr>
      </w:pPr>
    </w:p>
    <w:p w14:paraId="3949745F" w14:textId="668DEC94" w:rsidR="004D0912" w:rsidRPr="00BE78CA" w:rsidRDefault="004D0912" w:rsidP="004D0912">
      <w:pPr>
        <w:pStyle w:val="Heading1"/>
      </w:pPr>
      <w:bookmarkStart w:id="162" w:name="Xc4567ae76f74431cc2af840963db2d9756f3548"/>
      <w:bookmarkStart w:id="163" w:name="_Toc68786299"/>
      <w:r w:rsidRPr="00BE78CA">
        <w:lastRenderedPageBreak/>
        <w:t>Chapter 2: Trends in greenhouse gas emissions</w:t>
      </w:r>
      <w:bookmarkEnd w:id="162"/>
      <w:bookmarkEnd w:id="163"/>
    </w:p>
    <w:p w14:paraId="5202442A" w14:textId="77777777" w:rsidR="004D0912" w:rsidRPr="00BE78CA" w:rsidRDefault="004D0912" w:rsidP="004D0912">
      <w:pPr>
        <w:pStyle w:val="Heading2"/>
      </w:pPr>
      <w:bookmarkStart w:id="164" w:name="Xc18360dfc6212928016160615ae2156e796cab2"/>
      <w:bookmarkStart w:id="165" w:name="_Toc68786300"/>
      <w:r w:rsidRPr="00BE78CA">
        <w:t xml:space="preserve">2.1 </w:t>
      </w:r>
      <w:r w:rsidRPr="00BE78CA">
        <w:tab/>
        <w:t>Emission trends for aggregated greenhouse gas emissions</w:t>
      </w:r>
      <w:bookmarkEnd w:id="164"/>
      <w:bookmarkEnd w:id="165"/>
    </w:p>
    <w:p w14:paraId="3BFDEF6D" w14:textId="77777777" w:rsidR="004D0912" w:rsidRPr="00BE78CA" w:rsidRDefault="004D0912" w:rsidP="004D0912">
      <w:pPr>
        <w:pStyle w:val="BodyText"/>
      </w:pPr>
      <w:r w:rsidRPr="00BE78CA">
        <w:t>This chapter describes emission trends by sector and greenhouse gas (GHG).</w:t>
      </w:r>
    </w:p>
    <w:p w14:paraId="17D6FF38" w14:textId="77777777" w:rsidR="004D0912" w:rsidRPr="00BE78CA" w:rsidRDefault="004D0912" w:rsidP="004D0912">
      <w:pPr>
        <w:pStyle w:val="Heading3"/>
      </w:pPr>
      <w:bookmarkStart w:id="166" w:name="X002422d0567cd750bab41c7667376f54b64c7c1"/>
      <w:r w:rsidRPr="00BE78CA">
        <w:t xml:space="preserve">2.1.1 </w:t>
      </w:r>
      <w:r w:rsidRPr="00BE78CA">
        <w:tab/>
        <w:t>National trends in greenhouse gas emissions</w:t>
      </w:r>
      <w:bookmarkEnd w:id="166"/>
    </w:p>
    <w:p w14:paraId="2E09B9EC" w14:textId="77777777" w:rsidR="004D0912" w:rsidRPr="00BE78CA" w:rsidRDefault="004D0912" w:rsidP="004D0912">
      <w:pPr>
        <w:pStyle w:val="Heading4"/>
      </w:pPr>
      <w:r w:rsidRPr="00BE78CA">
        <w:t>Gross emissions</w:t>
      </w:r>
    </w:p>
    <w:p w14:paraId="462E5D83" w14:textId="7045559D" w:rsidR="004D0912" w:rsidRPr="00BE78CA" w:rsidRDefault="004D0912" w:rsidP="004D0912">
      <w:pPr>
        <w:pStyle w:val="BodyText"/>
        <w:rPr>
          <w:bCs/>
        </w:rPr>
      </w:pPr>
      <w:r w:rsidRPr="00BE78CA">
        <w:rPr>
          <w:bCs/>
        </w:rPr>
        <w:t>Gross emissions include those from the Energy, Industrial Processes and Product Use (IPPU), Agriculture, Waste and New Zealand’s ‘Other’ sector (Tokelau), but do not include emissions and removals from the Land Use, Land-Use Change and Forestry (LULUCF) sector (UNFCCC, 2013).</w:t>
      </w:r>
    </w:p>
    <w:p w14:paraId="7BC64F11" w14:textId="77777777" w:rsidR="004D0912" w:rsidRPr="00BE78CA" w:rsidRDefault="004D0912" w:rsidP="004D0912">
      <w:pPr>
        <w:pStyle w:val="Heading5"/>
      </w:pPr>
      <w:r w:rsidRPr="00BE78CA">
        <w:t>1990–2019</w:t>
      </w:r>
    </w:p>
    <w:p w14:paraId="01D42F46" w14:textId="5C3EDADE" w:rsidR="004D0912" w:rsidRPr="00BE78CA" w:rsidRDefault="004D0912" w:rsidP="004D0912">
      <w:pPr>
        <w:pStyle w:val="BodyText"/>
      </w:pPr>
      <w:r w:rsidRPr="00BE78CA">
        <w:t>In 1990, New Zealand’s gross GHG emissions were 65,129.2 kilotonnes carbon dioxide equivalent (kt CO</w:t>
      </w:r>
      <w:r w:rsidRPr="00BE78CA">
        <w:rPr>
          <w:vertAlign w:val="subscript"/>
        </w:rPr>
        <w:t>2</w:t>
      </w:r>
      <w:r w:rsidRPr="00BE78CA">
        <w:t>-e). Between 1990 and 2019, GHG emissions increased by 17,188.6 kt CO</w:t>
      </w:r>
      <w:r w:rsidRPr="00BE78CA">
        <w:rPr>
          <w:vertAlign w:val="subscript"/>
        </w:rPr>
        <w:t>2</w:t>
      </w:r>
      <w:r w:rsidRPr="00BE78CA">
        <w:t>-e (26.4 per cent) to 82,317.9 kt CO</w:t>
      </w:r>
      <w:r w:rsidRPr="00BE78CA">
        <w:rPr>
          <w:vertAlign w:val="subscript"/>
        </w:rPr>
        <w:t>2</w:t>
      </w:r>
      <w:r w:rsidRPr="00BE78CA">
        <w:t>-e in 2019 (see figure 2.1.1). From 1990 to 2019, the average annual growth in gross emissions was 0.8 per cent.</w:t>
      </w:r>
    </w:p>
    <w:p w14:paraId="442639B7" w14:textId="469A39D9" w:rsidR="004D0912" w:rsidRPr="00BE78CA" w:rsidRDefault="004D0912" w:rsidP="004D0912">
      <w:pPr>
        <w:pStyle w:val="BodyText"/>
      </w:pPr>
      <w:r w:rsidRPr="00BE78CA">
        <w:t xml:space="preserve">The emission categories that contributed the most to this increase in gross emissions were: </w:t>
      </w:r>
      <w:r w:rsidRPr="00BE78CA">
        <w:rPr>
          <w:i/>
        </w:rPr>
        <w:t>Enteric fermentation</w:t>
      </w:r>
      <w:r w:rsidRPr="00BE78CA">
        <w:rPr>
          <w:rStyle w:val="FootnoteReference"/>
        </w:rPr>
        <w:footnoteReference w:id="19"/>
      </w:r>
      <w:r w:rsidRPr="00BE78CA">
        <w:t xml:space="preserve"> </w:t>
      </w:r>
      <w:r w:rsidRPr="00BE78CA">
        <w:rPr>
          <w:i/>
        </w:rPr>
        <w:t>from dairy cattle</w:t>
      </w:r>
      <w:r w:rsidRPr="00BE78CA">
        <w:t xml:space="preserve">, </w:t>
      </w:r>
      <w:r w:rsidRPr="00BE78CA">
        <w:rPr>
          <w:i/>
        </w:rPr>
        <w:t>Road transportation</w:t>
      </w:r>
      <w:r w:rsidRPr="00BE78CA">
        <w:t xml:space="preserve">, </w:t>
      </w:r>
      <w:r w:rsidRPr="00BE78CA">
        <w:rPr>
          <w:i/>
        </w:rPr>
        <w:t>Manufacturing industries and</w:t>
      </w:r>
      <w:r w:rsidR="00B36860" w:rsidRPr="00BE78CA">
        <w:rPr>
          <w:i/>
        </w:rPr>
        <w:t> </w:t>
      </w:r>
      <w:r w:rsidRPr="00BE78CA">
        <w:rPr>
          <w:i/>
        </w:rPr>
        <w:t>construction</w:t>
      </w:r>
      <w:r w:rsidRPr="00BE78CA">
        <w:t xml:space="preserve"> (especially the categories </w:t>
      </w:r>
      <w:r w:rsidRPr="00BE78CA">
        <w:rPr>
          <w:i/>
        </w:rPr>
        <w:t>Chemicals</w:t>
      </w:r>
      <w:r w:rsidRPr="00BE78CA">
        <w:t xml:space="preserve"> and </w:t>
      </w:r>
      <w:r w:rsidRPr="00BE78CA">
        <w:rPr>
          <w:i/>
        </w:rPr>
        <w:t>Food processing, beverages and tobacco</w:t>
      </w:r>
      <w:r w:rsidRPr="00BE78CA">
        <w:t xml:space="preserve">), </w:t>
      </w:r>
      <w:r w:rsidRPr="00BE78CA">
        <w:rPr>
          <w:i/>
        </w:rPr>
        <w:t>Agricultural soils</w:t>
      </w:r>
      <w:r w:rsidRPr="00BE78CA">
        <w:t xml:space="preserve"> and </w:t>
      </w:r>
      <w:r w:rsidRPr="00BE78CA">
        <w:rPr>
          <w:i/>
        </w:rPr>
        <w:t>Product uses as substitutes for ODS</w:t>
      </w:r>
      <w:r w:rsidRPr="00BE78CA">
        <w:t>.</w:t>
      </w:r>
      <w:r w:rsidRPr="00BE78CA">
        <w:rPr>
          <w:rStyle w:val="FootnoteReference"/>
        </w:rPr>
        <w:footnoteReference w:id="20"/>
      </w:r>
    </w:p>
    <w:p w14:paraId="0980FE8C" w14:textId="77777777" w:rsidR="004D0912" w:rsidRPr="00BE78CA" w:rsidRDefault="004D0912" w:rsidP="004D0912">
      <w:pPr>
        <w:pStyle w:val="Heading5"/>
      </w:pPr>
      <w:r w:rsidRPr="00BE78CA">
        <w:t>2018–2019</w:t>
      </w:r>
    </w:p>
    <w:p w14:paraId="34B1FBE7" w14:textId="0F91A1B6" w:rsidR="004D0912" w:rsidRPr="00BE78CA" w:rsidRDefault="004D0912" w:rsidP="00B36860">
      <w:pPr>
        <w:pStyle w:val="BodyText"/>
      </w:pPr>
      <w:r w:rsidRPr="00BE78CA">
        <w:t>Between 2018 and 2019, New Zealand’s gross emissions increased by 1,739.6 kt CO</w:t>
      </w:r>
      <w:r w:rsidRPr="00BE78CA">
        <w:rPr>
          <w:vertAlign w:val="subscript"/>
        </w:rPr>
        <w:t>2</w:t>
      </w:r>
      <w:r w:rsidRPr="00BE78CA">
        <w:t>-e (2.2 per cent), which was mainly driven by an increase of emissions from the Energy sector (1,711.1 kt CO</w:t>
      </w:r>
      <w:r w:rsidRPr="00BE78CA">
        <w:rPr>
          <w:vertAlign w:val="subscript"/>
        </w:rPr>
        <w:t>2</w:t>
      </w:r>
      <w:r w:rsidRPr="00BE78CA">
        <w:t>-e or 5.3 per cent). This was mainly the result of an increase in emissions from:</w:t>
      </w:r>
    </w:p>
    <w:p w14:paraId="2B19ABDB" w14:textId="77777777" w:rsidR="004D0912" w:rsidRPr="00BE78CA" w:rsidRDefault="004D0912" w:rsidP="004D0912">
      <w:pPr>
        <w:pStyle w:val="Bullet"/>
      </w:pPr>
      <w:r w:rsidRPr="00BE78CA">
        <w:rPr>
          <w:i/>
        </w:rPr>
        <w:t>Manufacturing industries and construction</w:t>
      </w:r>
      <w:r w:rsidRPr="00BE78CA">
        <w:t xml:space="preserve"> (especially the </w:t>
      </w:r>
      <w:r w:rsidRPr="00BE78CA">
        <w:rPr>
          <w:i/>
        </w:rPr>
        <w:t>Chemicals</w:t>
      </w:r>
      <w:r w:rsidRPr="00BE78CA">
        <w:t xml:space="preserve"> category), largely due to an increase in methanol production,</w:t>
      </w:r>
    </w:p>
    <w:p w14:paraId="12E2A95B" w14:textId="77777777" w:rsidR="004D0912" w:rsidRPr="00BE78CA" w:rsidRDefault="004D0912" w:rsidP="004D0912">
      <w:pPr>
        <w:pStyle w:val="Bullet"/>
      </w:pPr>
      <w:r w:rsidRPr="00BE78CA">
        <w:rPr>
          <w:i/>
        </w:rPr>
        <w:t>Public electricity and heat production</w:t>
      </w:r>
      <w:r w:rsidRPr="00BE78CA">
        <w:t>, primarily driven by an increase in natural gas-fired and coal-fired electricity generation in response to lower levels of hydro generation.</w:t>
      </w:r>
    </w:p>
    <w:p w14:paraId="1C87D5C3" w14:textId="77777777" w:rsidR="004D0912" w:rsidRPr="00BE78CA" w:rsidRDefault="004D0912" w:rsidP="004D0912">
      <w:pPr>
        <w:pStyle w:val="BodyText"/>
      </w:pPr>
      <w:r w:rsidRPr="00BE78CA">
        <w:t>Emissions from the Agriculture, IPPU and Waste sectors showed small annual variations below 2 per cent.</w:t>
      </w:r>
    </w:p>
    <w:p w14:paraId="22205B2E" w14:textId="77777777" w:rsidR="004D0912" w:rsidRPr="00BE78CA" w:rsidRDefault="004D0912" w:rsidP="004D0912">
      <w:pPr>
        <w:pStyle w:val="Heading4"/>
      </w:pPr>
      <w:r w:rsidRPr="00BE78CA">
        <w:lastRenderedPageBreak/>
        <w:t>Net emissions – reporting under the Convention</w:t>
      </w:r>
    </w:p>
    <w:p w14:paraId="4E56B62C" w14:textId="77777777" w:rsidR="004D0912" w:rsidRPr="00BE78CA" w:rsidRDefault="004D0912" w:rsidP="009239E8">
      <w:pPr>
        <w:pStyle w:val="BodyText"/>
        <w:spacing w:after="100"/>
        <w:rPr>
          <w:bCs/>
        </w:rPr>
      </w:pPr>
      <w:r w:rsidRPr="00BE78CA">
        <w:rPr>
          <w:bCs/>
        </w:rPr>
        <w:t>Net emissions include emissions from the Energy, IPPU, Agriculture and Waste sectors, LULUCF reported under the convention, and New Zealand’s ‘Other’ sector (Tokelau).</w:t>
      </w:r>
    </w:p>
    <w:p w14:paraId="6F97943E" w14:textId="725F4BC4" w:rsidR="004D0912" w:rsidRPr="00BE78CA" w:rsidRDefault="004D0912" w:rsidP="009239E8">
      <w:pPr>
        <w:pStyle w:val="BodyText"/>
        <w:spacing w:after="100"/>
        <w:rPr>
          <w:bCs/>
        </w:rPr>
      </w:pPr>
      <w:r w:rsidRPr="00BE78CA">
        <w:rPr>
          <w:bCs/>
        </w:rPr>
        <w:t>In 1990, New Zealand’s net emissions were 41,114.8 kt CO</w:t>
      </w:r>
      <w:r w:rsidRPr="00BE78CA">
        <w:rPr>
          <w:bCs/>
          <w:vertAlign w:val="subscript"/>
        </w:rPr>
        <w:t>2</w:t>
      </w:r>
      <w:r w:rsidRPr="00BE78CA">
        <w:rPr>
          <w:bCs/>
        </w:rPr>
        <w:t>-e. Between 1990 and 2019, net GHG emissions increased by 13,778.0 kt CO</w:t>
      </w:r>
      <w:r w:rsidRPr="00BE78CA">
        <w:rPr>
          <w:bCs/>
          <w:vertAlign w:val="subscript"/>
        </w:rPr>
        <w:t>2</w:t>
      </w:r>
      <w:r w:rsidRPr="00BE78CA">
        <w:rPr>
          <w:bCs/>
        </w:rPr>
        <w:t>-e (33.5 per cent) to 54,892.8 kt CO</w:t>
      </w:r>
      <w:r w:rsidRPr="00BE78CA">
        <w:rPr>
          <w:bCs/>
          <w:vertAlign w:val="subscript"/>
        </w:rPr>
        <w:t>2</w:t>
      </w:r>
      <w:r w:rsidRPr="00BE78CA">
        <w:rPr>
          <w:bCs/>
        </w:rPr>
        <w:t>-e (see</w:t>
      </w:r>
      <w:r w:rsidR="009239E8" w:rsidRPr="00BE78CA">
        <w:rPr>
          <w:bCs/>
        </w:rPr>
        <w:t> </w:t>
      </w:r>
      <w:r w:rsidRPr="00BE78CA">
        <w:rPr>
          <w:bCs/>
        </w:rPr>
        <w:t>figure 2.1.1).</w:t>
      </w:r>
    </w:p>
    <w:p w14:paraId="251EFBB2" w14:textId="77777777" w:rsidR="004D0912" w:rsidRPr="00BE78CA" w:rsidRDefault="004D0912" w:rsidP="004D0912">
      <w:pPr>
        <w:pStyle w:val="BodyText"/>
      </w:pPr>
      <w:r w:rsidRPr="00BE78CA">
        <w:rPr>
          <w:bCs/>
        </w:rPr>
        <w:t xml:space="preserve">The four categories that contributed the most to the increase in net emissions between 1990 and 2019 were </w:t>
      </w:r>
      <w:r w:rsidRPr="00BE78CA">
        <w:rPr>
          <w:bCs/>
          <w:i/>
        </w:rPr>
        <w:t>Land converted to forest land</w:t>
      </w:r>
      <w:r w:rsidRPr="00BE78CA">
        <w:rPr>
          <w:bCs/>
        </w:rPr>
        <w:t xml:space="preserve">, </w:t>
      </w:r>
      <w:r w:rsidRPr="00BE78CA">
        <w:rPr>
          <w:bCs/>
          <w:i/>
        </w:rPr>
        <w:t>Enteric ferment</w:t>
      </w:r>
      <w:r w:rsidRPr="00BE78CA">
        <w:rPr>
          <w:i/>
        </w:rPr>
        <w:t>ation from dairy cattle</w:t>
      </w:r>
      <w:r w:rsidRPr="00BE78CA">
        <w:t xml:space="preserve">, </w:t>
      </w:r>
      <w:r w:rsidRPr="00BE78CA">
        <w:rPr>
          <w:i/>
        </w:rPr>
        <w:t>Road transportation</w:t>
      </w:r>
      <w:r w:rsidRPr="00BE78CA">
        <w:t xml:space="preserve"> and </w:t>
      </w:r>
      <w:r w:rsidRPr="00BE78CA">
        <w:rPr>
          <w:i/>
        </w:rPr>
        <w:t>Manufacturing industries and construction</w:t>
      </w:r>
      <w:r w:rsidRPr="00BE78CA">
        <w:t>.</w:t>
      </w:r>
    </w:p>
    <w:p w14:paraId="30AAA82B" w14:textId="6AD33C08" w:rsidR="004D0912" w:rsidRPr="00BE78CA" w:rsidRDefault="004D0912" w:rsidP="009239E8">
      <w:pPr>
        <w:pStyle w:val="Figure"/>
      </w:pPr>
      <w:bookmarkStart w:id="167" w:name="_Toc68786620"/>
      <w:r w:rsidRPr="00BE78CA">
        <w:t xml:space="preserve">Figure 2.1.1 </w:t>
      </w:r>
      <w:r w:rsidRPr="00BE78CA">
        <w:tab/>
        <w:t>New Zealand’s gross and net emissions (under the Convention) from 1990</w:t>
      </w:r>
      <w:r w:rsidR="005B6417" w:rsidRPr="00BE78CA">
        <w:t> </w:t>
      </w:r>
      <w:r w:rsidRPr="00BE78CA">
        <w:t>to</w:t>
      </w:r>
      <w:r w:rsidR="005B6417" w:rsidRPr="00BE78CA">
        <w:t> </w:t>
      </w:r>
      <w:r w:rsidRPr="00BE78CA">
        <w:t>2019</w:t>
      </w:r>
      <w:bookmarkEnd w:id="167"/>
    </w:p>
    <w:p w14:paraId="1E023E8F" w14:textId="77777777" w:rsidR="004D0912" w:rsidRPr="00BE78CA" w:rsidRDefault="004D0912" w:rsidP="004D0912">
      <w:pPr>
        <w:pStyle w:val="BodyText"/>
      </w:pPr>
      <w:r w:rsidRPr="00BE78CA">
        <w:rPr>
          <w:noProof/>
        </w:rPr>
        <w:drawing>
          <wp:inline distT="0" distB="0" distL="0" distR="0" wp14:anchorId="73978A35" wp14:editId="06312B42">
            <wp:extent cx="5396865" cy="3812875"/>
            <wp:effectExtent l="0" t="0" r="0" b="0"/>
            <wp:docPr id="15" name="Picture"/>
            <wp:cNvGraphicFramePr/>
            <a:graphic xmlns:a="http://schemas.openxmlformats.org/drawingml/2006/main">
              <a:graphicData uri="http://schemas.openxmlformats.org/drawingml/2006/picture">
                <pic:pic xmlns:pic="http://schemas.openxmlformats.org/drawingml/2006/picture">
                  <pic:nvPicPr>
                    <pic:cNvPr id="0" name="Picture" descr="code/graphs/images/es_2_1_crf.png"/>
                    <pic:cNvPicPr>
                      <a:picLocks noChangeAspect="1" noChangeArrowheads="1"/>
                    </pic:cNvPicPr>
                  </pic:nvPicPr>
                  <pic:blipFill rotWithShape="1">
                    <a:blip r:embed="rId20"/>
                    <a:srcRect b="2189"/>
                    <a:stretch/>
                  </pic:blipFill>
                  <pic:spPr bwMode="auto">
                    <a:xfrm>
                      <a:off x="0" y="0"/>
                      <a:ext cx="5400411" cy="3815380"/>
                    </a:xfrm>
                    <a:prstGeom prst="rect">
                      <a:avLst/>
                    </a:prstGeom>
                    <a:noFill/>
                    <a:ln>
                      <a:noFill/>
                    </a:ln>
                    <a:extLst>
                      <a:ext uri="{53640926-AAD7-44D8-BBD7-CCE9431645EC}">
                        <a14:shadowObscured xmlns:a14="http://schemas.microsoft.com/office/drawing/2010/main"/>
                      </a:ext>
                    </a:extLst>
                  </pic:spPr>
                </pic:pic>
              </a:graphicData>
            </a:graphic>
          </wp:inline>
        </w:drawing>
      </w:r>
    </w:p>
    <w:p w14:paraId="5726AB9F" w14:textId="77777777" w:rsidR="004D0912" w:rsidRPr="00BE78CA" w:rsidRDefault="004D0912" w:rsidP="004D0912">
      <w:pPr>
        <w:pStyle w:val="Heading4"/>
      </w:pPr>
      <w:r w:rsidRPr="00BE78CA">
        <w:t>Accounting for New Zealand’s 2020 target</w:t>
      </w:r>
    </w:p>
    <w:p w14:paraId="0192CB08" w14:textId="77B300BD" w:rsidR="004D0912" w:rsidRPr="00BE78CA" w:rsidRDefault="004D0912" w:rsidP="004D0912">
      <w:pPr>
        <w:pStyle w:val="BodyText"/>
      </w:pPr>
      <w:r w:rsidRPr="00BE78CA">
        <w:t>For the period 2013 to 2020, New Zealand has taken a target under the Convention. This target</w:t>
      </w:r>
      <w:r w:rsidR="00AE5A44" w:rsidRPr="00BE78CA">
        <w:t> </w:t>
      </w:r>
      <w:r w:rsidRPr="00BE78CA">
        <w:t>is to reduce emissions to 5 per cent below 1990 levels by 2020. For 2013 to 2020, New</w:t>
      </w:r>
      <w:r w:rsidR="00AE5A44" w:rsidRPr="00BE78CA">
        <w:t> </w:t>
      </w:r>
      <w:r w:rsidRPr="00BE78CA">
        <w:t>Zealand has taken an unconditional target to reduce its GHG emissions under the Convention. New Zealand will apply the Kyoto Protocol framework of rules to its target, to ensure New Zealand’s actions are transparent and have integrity. This means New Zealand will</w:t>
      </w:r>
      <w:r w:rsidR="00AE5A44" w:rsidRPr="00BE78CA">
        <w:t> </w:t>
      </w:r>
      <w:r w:rsidRPr="00BE78CA">
        <w:t xml:space="preserve">count net removals from Article 3.3 – </w:t>
      </w:r>
      <w:r w:rsidRPr="00BE78CA">
        <w:rPr>
          <w:i/>
        </w:rPr>
        <w:t>Afforestation and reforestation</w:t>
      </w:r>
      <w:r w:rsidRPr="00BE78CA">
        <w:t xml:space="preserve"> and </w:t>
      </w:r>
      <w:r w:rsidRPr="00BE78CA">
        <w:rPr>
          <w:i/>
        </w:rPr>
        <w:t>Deforestation</w:t>
      </w:r>
      <w:r w:rsidRPr="00BE78CA">
        <w:t xml:space="preserve"> and Article 3.4 – </w:t>
      </w:r>
      <w:r w:rsidRPr="00BE78CA">
        <w:rPr>
          <w:i/>
        </w:rPr>
        <w:t>Forest management</w:t>
      </w:r>
      <w:r w:rsidRPr="00BE78CA">
        <w:t xml:space="preserve"> of the Kyoto Protocol towards its target.</w:t>
      </w:r>
    </w:p>
    <w:p w14:paraId="7783A454" w14:textId="77777777" w:rsidR="004D0912" w:rsidRPr="00BE78CA" w:rsidRDefault="004D0912" w:rsidP="004D0912">
      <w:pPr>
        <w:pStyle w:val="BodyText"/>
      </w:pPr>
      <w:r w:rsidRPr="00BE78CA">
        <w:t>Following the Kyoto Protocol rules, New Zealand’s emissions budget for the period 2013 to 2020 is 509,774,982 tonnes CO</w:t>
      </w:r>
      <w:r w:rsidRPr="00BE78CA">
        <w:rPr>
          <w:vertAlign w:val="subscript"/>
        </w:rPr>
        <w:t>2</w:t>
      </w:r>
      <w:r w:rsidRPr="00BE78CA">
        <w:t xml:space="preserve">-e. This is based on the gross emissions data for 1990 included in New Zealand’s 2016 inventory submission. For more details, refer to New Zealand’s </w:t>
      </w:r>
      <w:r w:rsidRPr="00BE78CA">
        <w:rPr>
          <w:i/>
        </w:rPr>
        <w:t>Initial Report to Facilitate the Calculation of its Emissions Budget for the Period 2013 to 2020</w:t>
      </w:r>
      <w:r w:rsidRPr="00BE78CA">
        <w:t xml:space="preserve"> (Ministry for the Environment, 2016).</w:t>
      </w:r>
    </w:p>
    <w:p w14:paraId="10443417" w14:textId="77777777" w:rsidR="004D0912" w:rsidRPr="00BE78CA" w:rsidRDefault="004D0912" w:rsidP="004D0912">
      <w:pPr>
        <w:pStyle w:val="BodyText"/>
      </w:pPr>
      <w:r w:rsidRPr="00BE78CA">
        <w:lastRenderedPageBreak/>
        <w:t>The emissions budget is calculated as the total cumulative emissions New Zealand would emit on a straight-line track from a 1990 level in 2010 (equal to gross emissions in 1990 from the Initial Report) to the target in 2020 (i.e., the same amount multiplied by 0.95).</w:t>
      </w:r>
    </w:p>
    <w:p w14:paraId="238F01E4" w14:textId="77777777" w:rsidR="004D0912" w:rsidRPr="00BE78CA" w:rsidRDefault="004D0912" w:rsidP="004D0912">
      <w:pPr>
        <w:pStyle w:val="BodyText"/>
      </w:pPr>
      <w:r w:rsidRPr="00BE78CA">
        <w:t>To measure progress towards New Zealand’s 2020 target, annual gross emission values from New Zealand’s final submission for the period (National Inventory Report submitted in 2022) will be summed for 2013 to 2020. This will represent the quantity of gross emissions for which New Zealand is responsible.</w:t>
      </w:r>
    </w:p>
    <w:p w14:paraId="40484FC2" w14:textId="3EB6B0B9" w:rsidR="004D0912" w:rsidRPr="00BE78CA" w:rsidRDefault="004D0912" w:rsidP="004D0912">
      <w:pPr>
        <w:pStyle w:val="BodyText"/>
      </w:pPr>
      <w:r w:rsidRPr="00BE78CA">
        <w:t>For the period so far (2013 to 2019), New Zealand’s gross emissions sum to 562,807.8 kt CO</w:t>
      </w:r>
      <w:r w:rsidRPr="00BE78CA">
        <w:rPr>
          <w:vertAlign w:val="subscript"/>
        </w:rPr>
        <w:t>2</w:t>
      </w:r>
      <w:r w:rsidRPr="00BE78CA">
        <w:t>-e. The contribution towards New Zealand’s target from LULUCF activities under the Kyoto Protocol is a net removal of 97,344.5 kt CO</w:t>
      </w:r>
      <w:r w:rsidRPr="00BE78CA">
        <w:rPr>
          <w:vertAlign w:val="subscript"/>
        </w:rPr>
        <w:t>2</w:t>
      </w:r>
      <w:r w:rsidRPr="00BE78CA">
        <w:t>-e. This comprises net removals of 123,547.4</w:t>
      </w:r>
      <w:r w:rsidR="00AE5A44" w:rsidRPr="00BE78CA">
        <w:t> </w:t>
      </w:r>
      <w:r w:rsidRPr="00BE78CA">
        <w:t>kt CO</w:t>
      </w:r>
      <w:r w:rsidRPr="00BE78CA">
        <w:rPr>
          <w:vertAlign w:val="subscript"/>
        </w:rPr>
        <w:t>2</w:t>
      </w:r>
      <w:r w:rsidRPr="00BE78CA">
        <w:t xml:space="preserve">-e from </w:t>
      </w:r>
      <w:r w:rsidRPr="00BE78CA">
        <w:rPr>
          <w:i/>
        </w:rPr>
        <w:t>Afforestation and reforestation</w:t>
      </w:r>
      <w:r w:rsidRPr="00BE78CA">
        <w:t xml:space="preserve"> less emissions of 26,202.9 kt CO</w:t>
      </w:r>
      <w:r w:rsidRPr="00BE78CA">
        <w:rPr>
          <w:vertAlign w:val="subscript"/>
        </w:rPr>
        <w:t>2</w:t>
      </w:r>
      <w:r w:rsidRPr="00BE78CA">
        <w:t xml:space="preserve">-e from </w:t>
      </w:r>
      <w:r w:rsidRPr="00BE78CA">
        <w:rPr>
          <w:i/>
        </w:rPr>
        <w:t>Deforestation</w:t>
      </w:r>
      <w:r w:rsidRPr="00BE78CA">
        <w:t xml:space="preserve"> (see section 2.3 for further detail).</w:t>
      </w:r>
      <w:r w:rsidRPr="00BE78CA">
        <w:rPr>
          <w:rStyle w:val="FootnoteReference"/>
        </w:rPr>
        <w:footnoteReference w:id="21"/>
      </w:r>
    </w:p>
    <w:p w14:paraId="3128ADB4" w14:textId="77777777" w:rsidR="004D0912" w:rsidRPr="00BE78CA" w:rsidRDefault="004D0912" w:rsidP="004D0912">
      <w:pPr>
        <w:pStyle w:val="BodyText"/>
      </w:pPr>
      <w:r w:rsidRPr="00BE78CA">
        <w:t>The accounting rules for the LULUCF activities reported under Article 3.3 and Article 3.4 of the Kyoto Protocol are explained in chapter 11.</w:t>
      </w:r>
    </w:p>
    <w:p w14:paraId="009C9F45" w14:textId="77777777" w:rsidR="004D0912" w:rsidRPr="00BE78CA" w:rsidRDefault="004D0912" w:rsidP="004D0912">
      <w:pPr>
        <w:pStyle w:val="BodyText"/>
      </w:pPr>
      <w:r w:rsidRPr="00BE78CA">
        <w:t>New Zealand tracks progress towards its 2020 target by regularly publishing a net position.</w:t>
      </w:r>
      <w:r w:rsidRPr="00BE78CA">
        <w:rPr>
          <w:rStyle w:val="FootnoteReference"/>
        </w:rPr>
        <w:footnoteReference w:id="22"/>
      </w:r>
    </w:p>
    <w:p w14:paraId="1396DB7B" w14:textId="77777777" w:rsidR="004D0912" w:rsidRPr="00BE78CA" w:rsidRDefault="004D0912" w:rsidP="004D0912">
      <w:pPr>
        <w:pStyle w:val="Heading2"/>
      </w:pPr>
      <w:bookmarkStart w:id="168" w:name="emission-trends-by-sector"/>
      <w:bookmarkStart w:id="169" w:name="_Toc68786301"/>
      <w:r w:rsidRPr="00BE78CA">
        <w:t xml:space="preserve">2.2 </w:t>
      </w:r>
      <w:r w:rsidRPr="00BE78CA">
        <w:tab/>
        <w:t>Emission trends by sector</w:t>
      </w:r>
      <w:bookmarkEnd w:id="168"/>
      <w:bookmarkEnd w:id="169"/>
    </w:p>
    <w:p w14:paraId="1D6EC71E" w14:textId="77777777" w:rsidR="004D0912" w:rsidRPr="00BE78CA" w:rsidRDefault="004D0912" w:rsidP="004D0912">
      <w:pPr>
        <w:pStyle w:val="BodyText"/>
      </w:pPr>
      <w:r w:rsidRPr="00BE78CA">
        <w:t>New Zealand reports emissions and removals for the Energy, IPPU, Agriculture, LULUCF and Waste sectors, and New Zealand’s ‘Other’ sector (Tokelau).</w:t>
      </w:r>
    </w:p>
    <w:p w14:paraId="3DD9892D" w14:textId="17C0A7E0" w:rsidR="004D0912" w:rsidRPr="00BE78CA" w:rsidRDefault="004D0912" w:rsidP="004D0912">
      <w:pPr>
        <w:pStyle w:val="Heading3"/>
      </w:pPr>
      <w:bookmarkStart w:id="170" w:name="Xcbb0a5fd8377b68ec5baf4a930d3a7a8d7ef7f8"/>
      <w:r w:rsidRPr="00BE78CA">
        <w:t>2.2.1</w:t>
      </w:r>
      <w:r w:rsidRPr="00BE78CA">
        <w:tab/>
        <w:t>New Zealand’s emissions by sector and by gas in 2019</w:t>
      </w:r>
      <w:bookmarkEnd w:id="170"/>
    </w:p>
    <w:p w14:paraId="5D70592D" w14:textId="3F511903" w:rsidR="004D0912" w:rsidRPr="00BE78CA" w:rsidRDefault="004D0912" w:rsidP="004D0912">
      <w:pPr>
        <w:pStyle w:val="BodyText"/>
      </w:pPr>
      <w:r w:rsidRPr="00BE78CA">
        <w:t>New Zealand’s emissions by sector reflect the composition of the national economy. The Agriculture sector contributed 48.1 per cent of New Zealand’s gross emissions in 2019. New</w:t>
      </w:r>
      <w:r w:rsidR="00AE5A44" w:rsidRPr="00BE78CA">
        <w:t> </w:t>
      </w:r>
      <w:r w:rsidRPr="00BE78CA">
        <w:t>Zealand’s Energy sector contributed 41.6 per cent to the national gross emissions, while</w:t>
      </w:r>
      <w:r w:rsidR="00AE5A44" w:rsidRPr="00BE78CA">
        <w:t> </w:t>
      </w:r>
      <w:r w:rsidRPr="00BE78CA">
        <w:t>the IPPU and Waste sectors contributed 6.2 per cent and 4.0 per cent respectively (figure</w:t>
      </w:r>
      <w:r w:rsidR="00F6085E" w:rsidRPr="00BE78CA">
        <w:t> </w:t>
      </w:r>
      <w:r w:rsidRPr="00BE78CA">
        <w:t>2.2.1). New Zealand’s ‘Other’ sector (Tokelau) contributed 0.005 per cent to the national gross emissions.</w:t>
      </w:r>
    </w:p>
    <w:p w14:paraId="3A1A02FE" w14:textId="77777777" w:rsidR="004D0912" w:rsidRPr="00BE78CA" w:rsidRDefault="004D0912" w:rsidP="004D0912">
      <w:pPr>
        <w:pStyle w:val="BodyText"/>
      </w:pPr>
      <w:r w:rsidRPr="00BE78CA">
        <w:t>The LULUCF sector currently represents a sink with a net removals value of –27,425.1 kt CO</w:t>
      </w:r>
      <w:r w:rsidRPr="00BE78CA">
        <w:rPr>
          <w:vertAlign w:val="subscript"/>
        </w:rPr>
        <w:t>2</w:t>
      </w:r>
      <w:r w:rsidRPr="00BE78CA">
        <w:t>-e. This offset –33.3 per cent of New Zealand’s gross emissions in 2019.</w:t>
      </w:r>
    </w:p>
    <w:p w14:paraId="12F1967B" w14:textId="77777777" w:rsidR="004D0912" w:rsidRPr="00BE78CA" w:rsidRDefault="004D0912" w:rsidP="004D0912">
      <w:pPr>
        <w:pStyle w:val="Figure"/>
      </w:pPr>
      <w:bookmarkStart w:id="171" w:name="_Toc68786621"/>
      <w:r w:rsidRPr="00BE78CA">
        <w:lastRenderedPageBreak/>
        <w:t xml:space="preserve">Figure 2.2.1 </w:t>
      </w:r>
      <w:r w:rsidRPr="00BE78CA">
        <w:tab/>
        <w:t>New Zealand’s emissions by sector in 2019</w:t>
      </w:r>
      <w:bookmarkEnd w:id="171"/>
    </w:p>
    <w:p w14:paraId="592695BE" w14:textId="77777777" w:rsidR="004D0912" w:rsidRPr="00BE78CA" w:rsidRDefault="004D0912" w:rsidP="004D0912">
      <w:pPr>
        <w:pStyle w:val="BodyText"/>
      </w:pPr>
      <w:r w:rsidRPr="00BE78CA">
        <w:rPr>
          <w:noProof/>
        </w:rPr>
        <w:drawing>
          <wp:inline distT="0" distB="0" distL="0" distR="0" wp14:anchorId="23B12008" wp14:editId="7ED253DC">
            <wp:extent cx="5476875" cy="4210050"/>
            <wp:effectExtent l="0" t="0" r="9525" b="0"/>
            <wp:docPr id="14" name="Picture"/>
            <wp:cNvGraphicFramePr/>
            <a:graphic xmlns:a="http://schemas.openxmlformats.org/drawingml/2006/main">
              <a:graphicData uri="http://schemas.openxmlformats.org/drawingml/2006/picture">
                <pic:pic xmlns:pic="http://schemas.openxmlformats.org/drawingml/2006/picture">
                  <pic:nvPicPr>
                    <pic:cNvPr id="0" name="Picture" descr="code/graphs/images/es_4_2_crf.png"/>
                    <pic:cNvPicPr>
                      <a:picLocks noChangeAspect="1" noChangeArrowheads="1"/>
                    </pic:cNvPicPr>
                  </pic:nvPicPr>
                  <pic:blipFill>
                    <a:blip r:embed="rId24"/>
                    <a:stretch>
                      <a:fillRect/>
                    </a:stretch>
                  </pic:blipFill>
                  <pic:spPr bwMode="auto">
                    <a:xfrm>
                      <a:off x="0" y="0"/>
                      <a:ext cx="5476875" cy="4210050"/>
                    </a:xfrm>
                    <a:prstGeom prst="rect">
                      <a:avLst/>
                    </a:prstGeom>
                    <a:noFill/>
                    <a:ln w="9525">
                      <a:noFill/>
                      <a:headEnd/>
                      <a:tailEnd/>
                    </a:ln>
                  </pic:spPr>
                </pic:pic>
              </a:graphicData>
            </a:graphic>
          </wp:inline>
        </w:drawing>
      </w:r>
    </w:p>
    <w:p w14:paraId="384B888B" w14:textId="77777777" w:rsidR="004D0912" w:rsidRPr="00BE78CA" w:rsidRDefault="004D0912" w:rsidP="004D0912">
      <w:pPr>
        <w:pStyle w:val="Noteundertable"/>
      </w:pPr>
      <w:r w:rsidRPr="00BE78CA">
        <w:rPr>
          <w:b/>
        </w:rPr>
        <w:t>Note:</w:t>
      </w:r>
      <w:r w:rsidRPr="00BE78CA">
        <w:rPr>
          <w:b/>
        </w:rPr>
        <w:tab/>
      </w:r>
      <w:r w:rsidRPr="00BE78CA">
        <w:t>The percentages may not add up to 100 per cent due to rounding. The LULUCF sector, which is not a part of gross emissions, is included here as a negative value. The Tokelau sector is not visible due to its small contribution (4.30 kt CO</w:t>
      </w:r>
      <w:r w:rsidRPr="00BE78CA">
        <w:rPr>
          <w:vertAlign w:val="subscript"/>
        </w:rPr>
        <w:t>2</w:t>
      </w:r>
      <w:r w:rsidRPr="00BE78CA">
        <w:t>-e or 0.005 per cent of New Zealand’s gross GHG emissions).</w:t>
      </w:r>
    </w:p>
    <w:p w14:paraId="44C21343" w14:textId="77777777" w:rsidR="004D0912" w:rsidRPr="00BE78CA" w:rsidRDefault="004D0912" w:rsidP="00F6085E">
      <w:pPr>
        <w:pStyle w:val="BodyText"/>
        <w:keepNext/>
      </w:pPr>
      <w:r w:rsidRPr="00BE78CA">
        <w:lastRenderedPageBreak/>
        <w:t>Each of the sectors is dominated by one or two GHGs. Figure 2.2.2 shows New Zealand’s gross emissions by gas.</w:t>
      </w:r>
    </w:p>
    <w:p w14:paraId="6469D837" w14:textId="77777777" w:rsidR="004D0912" w:rsidRPr="00BE78CA" w:rsidRDefault="004D0912" w:rsidP="000A3402">
      <w:pPr>
        <w:pStyle w:val="Figure"/>
        <w:spacing w:after="80"/>
      </w:pPr>
      <w:bookmarkStart w:id="172" w:name="_Toc68786622"/>
      <w:r w:rsidRPr="00BE78CA">
        <w:t xml:space="preserve">Figure 2.2.2 </w:t>
      </w:r>
      <w:r w:rsidRPr="00BE78CA">
        <w:tab/>
        <w:t>New Zealand’s gross emissions by gas in 2019</w:t>
      </w:r>
      <w:bookmarkEnd w:id="172"/>
    </w:p>
    <w:p w14:paraId="4B989EE1" w14:textId="77777777" w:rsidR="004D0912" w:rsidRPr="00BE78CA" w:rsidRDefault="004D0912" w:rsidP="004D0912">
      <w:pPr>
        <w:pStyle w:val="BodyText"/>
      </w:pPr>
      <w:r w:rsidRPr="00BE78CA">
        <w:rPr>
          <w:noProof/>
        </w:rPr>
        <w:drawing>
          <wp:inline distT="0" distB="0" distL="0" distR="0" wp14:anchorId="2E39DE85" wp14:editId="30896D03">
            <wp:extent cx="5397195" cy="3883510"/>
            <wp:effectExtent l="0" t="0" r="0" b="3175"/>
            <wp:docPr id="16" name="Picture"/>
            <wp:cNvGraphicFramePr/>
            <a:graphic xmlns:a="http://schemas.openxmlformats.org/drawingml/2006/main">
              <a:graphicData uri="http://schemas.openxmlformats.org/drawingml/2006/picture">
                <pic:pic xmlns:pic="http://schemas.openxmlformats.org/drawingml/2006/picture">
                  <pic:nvPicPr>
                    <pic:cNvPr id="0" name="Picture" descr="code/graphs/images/es_3_1_crf.png"/>
                    <pic:cNvPicPr>
                      <a:picLocks noChangeAspect="1" noChangeArrowheads="1"/>
                    </pic:cNvPicPr>
                  </pic:nvPicPr>
                  <pic:blipFill rotWithShape="1">
                    <a:blip r:embed="rId21"/>
                    <a:srcRect b="2206"/>
                    <a:stretch/>
                  </pic:blipFill>
                  <pic:spPr bwMode="auto">
                    <a:xfrm>
                      <a:off x="0" y="0"/>
                      <a:ext cx="5399126" cy="3884899"/>
                    </a:xfrm>
                    <a:prstGeom prst="rect">
                      <a:avLst/>
                    </a:prstGeom>
                    <a:noFill/>
                    <a:ln>
                      <a:noFill/>
                    </a:ln>
                    <a:extLst>
                      <a:ext uri="{53640926-AAD7-44D8-BBD7-CCE9431645EC}">
                        <a14:shadowObscured xmlns:a14="http://schemas.microsoft.com/office/drawing/2010/main"/>
                      </a:ext>
                    </a:extLst>
                  </pic:spPr>
                </pic:pic>
              </a:graphicData>
            </a:graphic>
          </wp:inline>
        </w:drawing>
      </w:r>
    </w:p>
    <w:p w14:paraId="391402F8" w14:textId="77777777" w:rsidR="004D0912" w:rsidRPr="00BE78CA" w:rsidRDefault="004D0912" w:rsidP="000A3402">
      <w:pPr>
        <w:pStyle w:val="Noteundertable"/>
        <w:spacing w:before="60"/>
      </w:pPr>
      <w:r w:rsidRPr="00BE78CA">
        <w:rPr>
          <w:b/>
        </w:rPr>
        <w:t>Note:</w:t>
      </w:r>
      <w:r w:rsidRPr="00BE78CA">
        <w:rPr>
          <w:b/>
        </w:rPr>
        <w:tab/>
      </w:r>
      <w:r w:rsidRPr="00BE78CA">
        <w:t xml:space="preserve"> CH</w:t>
      </w:r>
      <w:r w:rsidRPr="00BE78CA">
        <w:rPr>
          <w:vertAlign w:val="subscript"/>
        </w:rPr>
        <w:t>4</w:t>
      </w:r>
      <w:r w:rsidRPr="00BE78CA">
        <w:t xml:space="preserve"> = methane; CO</w:t>
      </w:r>
      <w:r w:rsidRPr="00BE78CA">
        <w:rPr>
          <w:vertAlign w:val="subscript"/>
        </w:rPr>
        <w:t>2</w:t>
      </w:r>
      <w:r w:rsidRPr="00BE78CA">
        <w:t xml:space="preserve"> = carbon dioxide; N</w:t>
      </w:r>
      <w:r w:rsidRPr="00BE78CA">
        <w:rPr>
          <w:vertAlign w:val="subscript"/>
        </w:rPr>
        <w:t>2</w:t>
      </w:r>
      <w:r w:rsidRPr="00BE78CA">
        <w:t>O = nitrous oxide. The percentages may not add up to 100 per cent due to rounding.</w:t>
      </w:r>
    </w:p>
    <w:p w14:paraId="4FC2A6C7" w14:textId="2B5CACFC" w:rsidR="004D0912" w:rsidRPr="00BE78CA" w:rsidRDefault="004D0912" w:rsidP="000A3402">
      <w:pPr>
        <w:pStyle w:val="BodyText"/>
        <w:spacing w:before="100" w:after="100"/>
      </w:pPr>
      <w:r w:rsidRPr="00BE78CA">
        <w:t>Carbon dioxide (CO</w:t>
      </w:r>
      <w:r w:rsidRPr="00BE78CA">
        <w:rPr>
          <w:vertAlign w:val="subscript"/>
        </w:rPr>
        <w:t>2</w:t>
      </w:r>
      <w:r w:rsidRPr="00BE78CA">
        <w:t>) contributes 45.5 per cent to New Zealand’s gross emissions (37,494.5</w:t>
      </w:r>
      <w:r w:rsidR="00F6085E" w:rsidRPr="00BE78CA">
        <w:t> </w:t>
      </w:r>
      <w:r w:rsidRPr="00BE78CA">
        <w:t>kt CO</w:t>
      </w:r>
      <w:r w:rsidRPr="00BE78CA">
        <w:rPr>
          <w:vertAlign w:val="subscript"/>
        </w:rPr>
        <w:t>2</w:t>
      </w:r>
      <w:r w:rsidRPr="00BE78CA">
        <w:t>) (figure 2.2.2). The Energy sector produces the largest amount of CO</w:t>
      </w:r>
      <w:r w:rsidRPr="00BE78CA">
        <w:rPr>
          <w:vertAlign w:val="subscript"/>
        </w:rPr>
        <w:t>2</w:t>
      </w:r>
      <w:r w:rsidRPr="00BE78CA">
        <w:t>, at 33,199.4</w:t>
      </w:r>
      <w:r w:rsidR="00F6085E" w:rsidRPr="00BE78CA">
        <w:t> </w:t>
      </w:r>
      <w:r w:rsidRPr="00BE78CA">
        <w:t>kt (88.5</w:t>
      </w:r>
      <w:r w:rsidR="00F6085E" w:rsidRPr="00BE78CA">
        <w:t> </w:t>
      </w:r>
      <w:r w:rsidRPr="00BE78CA">
        <w:t>per cent of New Zealand’s CO</w:t>
      </w:r>
      <w:r w:rsidRPr="00BE78CA">
        <w:rPr>
          <w:vertAlign w:val="subscript"/>
        </w:rPr>
        <w:t>2</w:t>
      </w:r>
      <w:r w:rsidRPr="00BE78CA">
        <w:t xml:space="preserve"> emissions in 2019). The categories contributing most to</w:t>
      </w:r>
      <w:r w:rsidR="00F6085E" w:rsidRPr="00BE78CA">
        <w:t> </w:t>
      </w:r>
      <w:r w:rsidRPr="00BE78CA">
        <w:t>CO</w:t>
      </w:r>
      <w:r w:rsidRPr="00BE78CA">
        <w:rPr>
          <w:vertAlign w:val="subscript"/>
        </w:rPr>
        <w:t>2</w:t>
      </w:r>
      <w:r w:rsidRPr="00BE78CA">
        <w:t xml:space="preserve"> emissions in the Energy sector are </w:t>
      </w:r>
      <w:r w:rsidRPr="00BE78CA">
        <w:rPr>
          <w:i/>
        </w:rPr>
        <w:t>Transport</w:t>
      </w:r>
      <w:r w:rsidRPr="00BE78CA">
        <w:t xml:space="preserve"> (16,070.2 kt CO</w:t>
      </w:r>
      <w:r w:rsidRPr="00BE78CA">
        <w:rPr>
          <w:vertAlign w:val="subscript"/>
        </w:rPr>
        <w:t>2</w:t>
      </w:r>
      <w:r w:rsidRPr="00BE78CA">
        <w:t>, 42.9 per cent of New</w:t>
      </w:r>
      <w:r w:rsidR="00F6085E" w:rsidRPr="00BE78CA">
        <w:t> </w:t>
      </w:r>
      <w:r w:rsidRPr="00BE78CA">
        <w:t>Zealand’s CO</w:t>
      </w:r>
      <w:r w:rsidRPr="00BE78CA">
        <w:rPr>
          <w:vertAlign w:val="subscript"/>
        </w:rPr>
        <w:t>2</w:t>
      </w:r>
      <w:r w:rsidRPr="00BE78CA">
        <w:t xml:space="preserve"> emissions) and </w:t>
      </w:r>
      <w:r w:rsidRPr="00BE78CA">
        <w:rPr>
          <w:i/>
        </w:rPr>
        <w:t>Manufacturing industries and construction</w:t>
      </w:r>
      <w:r w:rsidRPr="00BE78CA">
        <w:t xml:space="preserve"> (7,513.5 kt CO</w:t>
      </w:r>
      <w:r w:rsidRPr="00BE78CA">
        <w:rPr>
          <w:vertAlign w:val="subscript"/>
        </w:rPr>
        <w:t>2</w:t>
      </w:r>
      <w:r w:rsidRPr="00BE78CA">
        <w:t>, 20.0</w:t>
      </w:r>
      <w:r w:rsidR="00F6085E" w:rsidRPr="00BE78CA">
        <w:t> </w:t>
      </w:r>
      <w:r w:rsidRPr="00BE78CA">
        <w:t>per cent of New Zealand’s CO</w:t>
      </w:r>
      <w:r w:rsidRPr="00BE78CA">
        <w:rPr>
          <w:vertAlign w:val="subscript"/>
        </w:rPr>
        <w:t>2</w:t>
      </w:r>
      <w:r w:rsidRPr="00BE78CA">
        <w:t xml:space="preserve"> emissions). In 2019, the LULUCF sector was a CO</w:t>
      </w:r>
      <w:r w:rsidRPr="00BE78CA">
        <w:rPr>
          <w:vertAlign w:val="subscript"/>
        </w:rPr>
        <w:t>2</w:t>
      </w:r>
      <w:r w:rsidRPr="00BE78CA">
        <w:t xml:space="preserve"> sink, sequestering –27,612.5 kt CO</w:t>
      </w:r>
      <w:r w:rsidRPr="00BE78CA">
        <w:rPr>
          <w:vertAlign w:val="subscript"/>
        </w:rPr>
        <w:t>2</w:t>
      </w:r>
      <w:r w:rsidRPr="00BE78CA">
        <w:t xml:space="preserve"> (73.6 per cent) of New Zealand’s CO</w:t>
      </w:r>
      <w:r w:rsidRPr="00BE78CA">
        <w:rPr>
          <w:vertAlign w:val="subscript"/>
        </w:rPr>
        <w:t>2</w:t>
      </w:r>
      <w:r w:rsidRPr="00BE78CA">
        <w:t xml:space="preserve"> emissions. This resulted in</w:t>
      </w:r>
      <w:r w:rsidR="00F6085E" w:rsidRPr="00BE78CA">
        <w:t> </w:t>
      </w:r>
      <w:r w:rsidRPr="00BE78CA">
        <w:t>net CO</w:t>
      </w:r>
      <w:r w:rsidRPr="00BE78CA">
        <w:rPr>
          <w:vertAlign w:val="subscript"/>
        </w:rPr>
        <w:t>2</w:t>
      </w:r>
      <w:r w:rsidRPr="00BE78CA">
        <w:t xml:space="preserve"> emissions of 9,882.0 kt in 2019.</w:t>
      </w:r>
    </w:p>
    <w:p w14:paraId="79851374" w14:textId="7BA8DBA5" w:rsidR="004D0912" w:rsidRPr="00BE78CA" w:rsidRDefault="004D0912" w:rsidP="000A3402">
      <w:pPr>
        <w:pStyle w:val="BodyText"/>
        <w:spacing w:before="100" w:after="100"/>
      </w:pPr>
      <w:r w:rsidRPr="00BE78CA">
        <w:t>The amount of methane (CH</w:t>
      </w:r>
      <w:r w:rsidRPr="00BE78CA">
        <w:rPr>
          <w:vertAlign w:val="subscript"/>
        </w:rPr>
        <w:t>4</w:t>
      </w:r>
      <w:r w:rsidRPr="00BE78CA">
        <w:t>) emitted in New Zealand in 2019 (measured as CO</w:t>
      </w:r>
      <w:r w:rsidRPr="00BE78CA">
        <w:rPr>
          <w:vertAlign w:val="subscript"/>
        </w:rPr>
        <w:t>2</w:t>
      </w:r>
      <w:r w:rsidRPr="00BE78CA">
        <w:t>-e) is 42.1</w:t>
      </w:r>
      <w:r w:rsidR="00F6085E" w:rsidRPr="00BE78CA">
        <w:t> </w:t>
      </w:r>
      <w:r w:rsidRPr="00BE78CA">
        <w:t>per cent of gross emissions (34,621.3 kt CO</w:t>
      </w:r>
      <w:r w:rsidRPr="00BE78CA">
        <w:rPr>
          <w:vertAlign w:val="subscript"/>
        </w:rPr>
        <w:t>2</w:t>
      </w:r>
      <w:r w:rsidRPr="00BE78CA">
        <w:t>-e). Nitrous oxide (N</w:t>
      </w:r>
      <w:r w:rsidRPr="00BE78CA">
        <w:rPr>
          <w:vertAlign w:val="subscript"/>
        </w:rPr>
        <w:t>2</w:t>
      </w:r>
      <w:r w:rsidRPr="00BE78CA">
        <w:t>O), at 10.2 per cent (8,363.2</w:t>
      </w:r>
      <w:r w:rsidR="00E05622" w:rsidRPr="00BE78CA">
        <w:t> </w:t>
      </w:r>
      <w:r w:rsidRPr="00BE78CA">
        <w:t>kt CO</w:t>
      </w:r>
      <w:r w:rsidRPr="00BE78CA">
        <w:rPr>
          <w:vertAlign w:val="subscript"/>
        </w:rPr>
        <w:t>2</w:t>
      </w:r>
      <w:r w:rsidRPr="00BE78CA">
        <w:t>-e), is the third-largest component of New Zealand’s gross emissions. The Agriculture sector produces the largest amounts of both CH</w:t>
      </w:r>
      <w:r w:rsidRPr="00BE78CA">
        <w:rPr>
          <w:vertAlign w:val="subscript"/>
        </w:rPr>
        <w:t>4</w:t>
      </w:r>
      <w:r w:rsidRPr="00BE78CA">
        <w:t xml:space="preserve"> and N</w:t>
      </w:r>
      <w:r w:rsidRPr="00BE78CA">
        <w:rPr>
          <w:vertAlign w:val="subscript"/>
        </w:rPr>
        <w:t>2</w:t>
      </w:r>
      <w:r w:rsidRPr="00BE78CA">
        <w:t>O. In 2019, the contributions of the</w:t>
      </w:r>
      <w:r w:rsidR="00E05622" w:rsidRPr="00BE78CA">
        <w:t> </w:t>
      </w:r>
      <w:r w:rsidRPr="00BE78CA">
        <w:t>Agriculture sector to national emissions of CH</w:t>
      </w:r>
      <w:r w:rsidRPr="00BE78CA">
        <w:rPr>
          <w:vertAlign w:val="subscript"/>
        </w:rPr>
        <w:t>4</w:t>
      </w:r>
      <w:r w:rsidRPr="00BE78CA">
        <w:t xml:space="preserve"> and N</w:t>
      </w:r>
      <w:r w:rsidRPr="00BE78CA">
        <w:rPr>
          <w:vertAlign w:val="subscript"/>
        </w:rPr>
        <w:t>2</w:t>
      </w:r>
      <w:r w:rsidRPr="00BE78CA">
        <w:t>O were 88.4 per cent and 94.3</w:t>
      </w:r>
      <w:r w:rsidR="00E05622" w:rsidRPr="00BE78CA">
        <w:t> </w:t>
      </w:r>
      <w:r w:rsidRPr="00BE78CA">
        <w:t>per cent respectively. The major source of CH</w:t>
      </w:r>
      <w:r w:rsidRPr="00BE78CA">
        <w:rPr>
          <w:vertAlign w:val="subscript"/>
        </w:rPr>
        <w:t>4</w:t>
      </w:r>
      <w:r w:rsidRPr="00BE78CA">
        <w:t xml:space="preserve"> in the Agriculture sector is </w:t>
      </w:r>
      <w:r w:rsidRPr="00BE78CA">
        <w:rPr>
          <w:i/>
        </w:rPr>
        <w:t>Enteric fermentation</w:t>
      </w:r>
      <w:r w:rsidRPr="00BE78CA">
        <w:t xml:space="preserve"> (28,974.6 kt CO</w:t>
      </w:r>
      <w:r w:rsidRPr="00BE78CA">
        <w:rPr>
          <w:vertAlign w:val="subscript"/>
        </w:rPr>
        <w:t>2</w:t>
      </w:r>
      <w:r w:rsidRPr="00BE78CA">
        <w:t>-e, 83.7 per cent of New Zealand’s gross CH</w:t>
      </w:r>
      <w:r w:rsidRPr="00BE78CA">
        <w:rPr>
          <w:vertAlign w:val="subscript"/>
        </w:rPr>
        <w:t>4</w:t>
      </w:r>
      <w:r w:rsidRPr="00BE78CA">
        <w:t xml:space="preserve"> emissions). Emissions from the </w:t>
      </w:r>
      <w:r w:rsidRPr="00BE78CA">
        <w:rPr>
          <w:i/>
        </w:rPr>
        <w:t>Agricultural soils</w:t>
      </w:r>
      <w:r w:rsidRPr="00BE78CA">
        <w:t xml:space="preserve"> category (from adding nitrogen to soil, for example, manure or fertiliser) are</w:t>
      </w:r>
      <w:r w:rsidR="00E05622" w:rsidRPr="00BE78CA">
        <w:t> </w:t>
      </w:r>
      <w:r w:rsidRPr="00BE78CA">
        <w:t>the largest source of gross N</w:t>
      </w:r>
      <w:r w:rsidRPr="00BE78CA">
        <w:rPr>
          <w:vertAlign w:val="subscript"/>
        </w:rPr>
        <w:t>2</w:t>
      </w:r>
      <w:r w:rsidRPr="00BE78CA">
        <w:t>O emissions (7,763.1 kt CO</w:t>
      </w:r>
      <w:r w:rsidRPr="00BE78CA">
        <w:rPr>
          <w:vertAlign w:val="subscript"/>
        </w:rPr>
        <w:t>2</w:t>
      </w:r>
      <w:r w:rsidRPr="00BE78CA">
        <w:t>-e, 92.8 per cent of national N</w:t>
      </w:r>
      <w:r w:rsidRPr="00BE78CA">
        <w:rPr>
          <w:vertAlign w:val="subscript"/>
        </w:rPr>
        <w:t>2</w:t>
      </w:r>
      <w:r w:rsidRPr="00BE78CA">
        <w:t>O</w:t>
      </w:r>
      <w:r w:rsidR="00E05622" w:rsidRPr="00BE78CA">
        <w:t> </w:t>
      </w:r>
      <w:r w:rsidRPr="00BE78CA">
        <w:t>emissions).</w:t>
      </w:r>
    </w:p>
    <w:p w14:paraId="01485051" w14:textId="77777777" w:rsidR="004D0912" w:rsidRPr="00BE78CA" w:rsidRDefault="004D0912" w:rsidP="004D0912">
      <w:pPr>
        <w:pStyle w:val="BodyText"/>
      </w:pPr>
      <w:r w:rsidRPr="00BE78CA">
        <w:t>Methane is also the largest component of New Zealand’s Waste sector emissions, contributing 3,062.3 kt CO</w:t>
      </w:r>
      <w:r w:rsidRPr="00BE78CA">
        <w:rPr>
          <w:vertAlign w:val="subscript"/>
        </w:rPr>
        <w:t>2</w:t>
      </w:r>
      <w:r w:rsidRPr="00BE78CA">
        <w:t>-e or 8.8 per cent, of gross CH</w:t>
      </w:r>
      <w:r w:rsidRPr="00BE78CA">
        <w:rPr>
          <w:vertAlign w:val="subscript"/>
        </w:rPr>
        <w:t>4</w:t>
      </w:r>
      <w:r w:rsidRPr="00BE78CA">
        <w:t xml:space="preserve"> emissions.</w:t>
      </w:r>
    </w:p>
    <w:p w14:paraId="4E3DDA9D" w14:textId="373B870D" w:rsidR="004D0912" w:rsidRPr="00BE78CA" w:rsidRDefault="004D0912" w:rsidP="004D0912">
      <w:pPr>
        <w:pStyle w:val="BodyText"/>
      </w:pPr>
      <w:r w:rsidRPr="00BE78CA">
        <w:lastRenderedPageBreak/>
        <w:t>Fluorinated gases (hydrofluorocarbons (HFCs), perfluorocarbons (PFCs) and sulphur hexafluoride (SF</w:t>
      </w:r>
      <w:r w:rsidRPr="00BE78CA">
        <w:rPr>
          <w:vertAlign w:val="subscript"/>
        </w:rPr>
        <w:t>6</w:t>
      </w:r>
      <w:r w:rsidRPr="00BE78CA">
        <w:t>))</w:t>
      </w:r>
      <w:r w:rsidRPr="00BE78CA">
        <w:rPr>
          <w:rStyle w:val="FootnoteReference"/>
        </w:rPr>
        <w:footnoteReference w:id="23"/>
      </w:r>
      <w:r w:rsidRPr="00BE78CA">
        <w:t xml:space="preserve"> collectively contribute 2.2 per cent to New Zealand’s gross emissions. The IPPU sector is the only source of fluorinated gases in New Zealand. Taken together, the emissions of HFCs, PFCs and SF</w:t>
      </w:r>
      <w:r w:rsidRPr="00BE78CA">
        <w:rPr>
          <w:vertAlign w:val="subscript"/>
        </w:rPr>
        <w:t>6</w:t>
      </w:r>
      <w:r w:rsidRPr="00BE78CA">
        <w:t xml:space="preserve"> were 1,838.9 kt CO</w:t>
      </w:r>
      <w:r w:rsidRPr="00BE78CA">
        <w:rPr>
          <w:vertAlign w:val="subscript"/>
        </w:rPr>
        <w:t>2</w:t>
      </w:r>
      <w:r w:rsidRPr="00BE78CA">
        <w:t>-e in 2019. No manufacture of any of the fluorinated greenhouse gases occurs in New Zealand. Emissions of fluorinated gases are dominated by HFCs (94.3 per cent of all fluorinated gases). The PFCs and SF</w:t>
      </w:r>
      <w:r w:rsidRPr="00BE78CA">
        <w:rPr>
          <w:vertAlign w:val="subscript"/>
        </w:rPr>
        <w:t>6</w:t>
      </w:r>
      <w:r w:rsidRPr="00BE78CA">
        <w:t xml:space="preserve"> contribute 4.8 per cent and 0.9 per cent to total emissions of fluorinated gases respectively. Almost all</w:t>
      </w:r>
      <w:r w:rsidR="00E05622" w:rsidRPr="00BE78CA">
        <w:t> </w:t>
      </w:r>
      <w:r w:rsidRPr="00BE78CA">
        <w:t>of New Zealand’s PFC emissions (99.99 per cent) result from aluminium production.</w:t>
      </w:r>
    </w:p>
    <w:p w14:paraId="35F892CD" w14:textId="77777777" w:rsidR="004D0912" w:rsidRPr="00BE78CA" w:rsidRDefault="004D0912" w:rsidP="00EC0859">
      <w:pPr>
        <w:pStyle w:val="Heading3"/>
        <w:spacing w:before="240"/>
      </w:pPr>
      <w:bookmarkStart w:id="173" w:name="X93d5990b7b950bfcbea7a7a142a4fd18545b39f"/>
      <w:r w:rsidRPr="00BE78CA">
        <w:t xml:space="preserve">2.2.2 </w:t>
      </w:r>
      <w:r w:rsidRPr="00BE78CA">
        <w:tab/>
        <w:t>Emission trends by sector from 1990 to 2019</w:t>
      </w:r>
      <w:bookmarkEnd w:id="173"/>
    </w:p>
    <w:p w14:paraId="1C2498A5" w14:textId="77777777" w:rsidR="004D0912" w:rsidRPr="00BE78CA" w:rsidRDefault="004D0912" w:rsidP="004D0912">
      <w:pPr>
        <w:pStyle w:val="BodyText"/>
      </w:pPr>
      <w:r w:rsidRPr="00BE78CA">
        <w:t>The Agriculture and Energy sectors dominate New Zealand’s gross emissions. Together, these sectors produced almost 90 per cent of New Zealand’s annual gross GHG emissions from 1990 to 2019. The IPPU and Waste sectors produce relatively small amounts of GHGs, contributing between 4 per cent and 7 per cent to the annual gross emissions for the entire time series. Figure ES 4.1 and figure 2.2.3 show the proportion that each inventory sector contributed to New Zealand’s gross emissions, as well as the proportion of gross emissions offset by the LULUCF sector, which was a net GHG sink between 1990 and 2019.</w:t>
      </w:r>
    </w:p>
    <w:p w14:paraId="4300A112" w14:textId="77777777" w:rsidR="004D0912" w:rsidRPr="00BE78CA" w:rsidRDefault="004D0912" w:rsidP="004D0912">
      <w:pPr>
        <w:pStyle w:val="BodyText"/>
      </w:pPr>
      <w:r w:rsidRPr="00BE78CA">
        <w:t>Figure ES 4.2 and figure 2.2.3 show emissions by sector in 2019. Agriculture was New Zealand’s largest sector contributing (48.1 per cent of the gross emissions). New Zealand’s Energy sector contributed 41.6 per cent to the gross emissions, while the IPPU and Waste sectors contributed 6.2 per cent and 4.0 per cent to the gross emissions respectively.</w:t>
      </w:r>
    </w:p>
    <w:p w14:paraId="0A30130C" w14:textId="03D06858" w:rsidR="004D0912" w:rsidRPr="00BE78CA" w:rsidRDefault="004D0912" w:rsidP="00AA248B">
      <w:pPr>
        <w:pStyle w:val="BodyText"/>
        <w:keepNext/>
      </w:pPr>
      <w:r w:rsidRPr="00BE78CA">
        <w:lastRenderedPageBreak/>
        <w:t>Table 2.2.1 and figure 2.2.4 summarise New Zealand’s emissions by sector between 1990 and</w:t>
      </w:r>
      <w:r w:rsidR="00AA248B" w:rsidRPr="00BE78CA">
        <w:t> </w:t>
      </w:r>
      <w:r w:rsidRPr="00BE78CA">
        <w:t>2019.</w:t>
      </w:r>
    </w:p>
    <w:p w14:paraId="71576F39" w14:textId="6D3FB7E1" w:rsidR="004D0912" w:rsidRPr="00BE78CA" w:rsidRDefault="004D0912" w:rsidP="004D0912">
      <w:pPr>
        <w:pStyle w:val="Figure"/>
      </w:pPr>
      <w:bookmarkStart w:id="174" w:name="_Toc68786623"/>
      <w:r w:rsidRPr="00BE78CA">
        <w:t>Figure 2.2.3</w:t>
      </w:r>
      <w:r w:rsidRPr="00BE78CA">
        <w:tab/>
        <w:t>Percentage contribution by sector to New Zealand’s gross emissions from 1990 to 2019</w:t>
      </w:r>
      <w:bookmarkEnd w:id="174"/>
    </w:p>
    <w:p w14:paraId="4252E2EE" w14:textId="77777777" w:rsidR="004D0912" w:rsidRPr="00BE78CA" w:rsidRDefault="004D0912" w:rsidP="004D0912">
      <w:pPr>
        <w:pStyle w:val="BodyText"/>
      </w:pPr>
      <w:r w:rsidRPr="00BE78CA">
        <w:rPr>
          <w:noProof/>
        </w:rPr>
        <w:drawing>
          <wp:inline distT="0" distB="0" distL="0" distR="0" wp14:anchorId="771287F4" wp14:editId="3C2D32BB">
            <wp:extent cx="5397500" cy="3950208"/>
            <wp:effectExtent l="0" t="0" r="0" b="0"/>
            <wp:docPr id="17" name="Picture"/>
            <wp:cNvGraphicFramePr/>
            <a:graphic xmlns:a="http://schemas.openxmlformats.org/drawingml/2006/main">
              <a:graphicData uri="http://schemas.openxmlformats.org/drawingml/2006/picture">
                <pic:pic xmlns:pic="http://schemas.openxmlformats.org/drawingml/2006/picture">
                  <pic:nvPicPr>
                    <pic:cNvPr id="0" name="Picture" descr="code/graphs/images/es_4_1_crf.png"/>
                    <pic:cNvPicPr>
                      <a:picLocks noChangeAspect="1" noChangeArrowheads="1"/>
                    </pic:cNvPicPr>
                  </pic:nvPicPr>
                  <pic:blipFill rotWithShape="1">
                    <a:blip r:embed="rId23"/>
                    <a:srcRect b="2419"/>
                    <a:stretch/>
                  </pic:blipFill>
                  <pic:spPr bwMode="auto">
                    <a:xfrm>
                      <a:off x="0" y="0"/>
                      <a:ext cx="5397500" cy="3950208"/>
                    </a:xfrm>
                    <a:prstGeom prst="rect">
                      <a:avLst/>
                    </a:prstGeom>
                    <a:noFill/>
                    <a:ln>
                      <a:noFill/>
                    </a:ln>
                    <a:extLst>
                      <a:ext uri="{53640926-AAD7-44D8-BBD7-CCE9431645EC}">
                        <a14:shadowObscured xmlns:a14="http://schemas.microsoft.com/office/drawing/2010/main"/>
                      </a:ext>
                    </a:extLst>
                  </pic:spPr>
                </pic:pic>
              </a:graphicData>
            </a:graphic>
          </wp:inline>
        </w:drawing>
      </w:r>
    </w:p>
    <w:p w14:paraId="00D89CCE" w14:textId="407E309E" w:rsidR="004D0912" w:rsidRPr="00BE78CA" w:rsidRDefault="004D0912" w:rsidP="004D0912">
      <w:pPr>
        <w:pStyle w:val="Noteundertable"/>
      </w:pPr>
      <w:r w:rsidRPr="00BE78CA">
        <w:rPr>
          <w:b/>
        </w:rPr>
        <w:t>Note:</w:t>
      </w:r>
      <w:r w:rsidRPr="00BE78CA">
        <w:t xml:space="preserve"> </w:t>
      </w:r>
      <w:r w:rsidR="00AA248B" w:rsidRPr="00BE78CA">
        <w:tab/>
      </w:r>
      <w:r w:rsidRPr="00BE78CA">
        <w:t>Net removals from the LULUCF sector are as reported under the Convention (chapter 6).</w:t>
      </w:r>
    </w:p>
    <w:p w14:paraId="1104443C" w14:textId="441BFD3B" w:rsidR="004D0912" w:rsidRPr="00BE78CA" w:rsidRDefault="004D0912" w:rsidP="00AA248B">
      <w:pPr>
        <w:pStyle w:val="Table"/>
      </w:pPr>
      <w:bookmarkStart w:id="175" w:name="_Toc68786400"/>
      <w:r w:rsidRPr="00BE78CA">
        <w:t>Table 2.2.1</w:t>
      </w:r>
      <w:r w:rsidRPr="00BE78CA">
        <w:tab/>
        <w:t>New Zealand’s emissions by sector between 1990 and 2019</w:t>
      </w:r>
      <w:bookmarkEnd w:id="175"/>
    </w:p>
    <w:tbl>
      <w:tblPr>
        <w:tblW w:w="8494" w:type="dxa"/>
        <w:tblLayout w:type="fixed"/>
        <w:tblLook w:val="0420" w:firstRow="1" w:lastRow="0" w:firstColumn="0" w:lastColumn="0" w:noHBand="0" w:noVBand="1"/>
      </w:tblPr>
      <w:tblGrid>
        <w:gridCol w:w="2405"/>
        <w:gridCol w:w="992"/>
        <w:gridCol w:w="1134"/>
        <w:gridCol w:w="1985"/>
        <w:gridCol w:w="1978"/>
      </w:tblGrid>
      <w:tr w:rsidR="00AA248B" w:rsidRPr="00BE78CA" w14:paraId="1DECB581" w14:textId="77777777" w:rsidTr="00EC0859">
        <w:trPr>
          <w:cantSplit/>
          <w:tblHeader/>
        </w:trPr>
        <w:tc>
          <w:tcPr>
            <w:tcW w:w="2405" w:type="dxa"/>
            <w:tcBorders>
              <w:top w:val="single" w:sz="4" w:space="0" w:color="365F91"/>
              <w:bottom w:val="single" w:sz="4" w:space="0" w:color="365F91"/>
            </w:tcBorders>
            <w:shd w:val="clear" w:color="auto" w:fill="365F91"/>
            <w:tcMar>
              <w:top w:w="0" w:type="dxa"/>
              <w:left w:w="108" w:type="dxa"/>
              <w:bottom w:w="0" w:type="dxa"/>
              <w:right w:w="108" w:type="dxa"/>
            </w:tcMar>
            <w:vAlign w:val="bottom"/>
          </w:tcPr>
          <w:p w14:paraId="6BBA6A84" w14:textId="77777777" w:rsidR="004D0912" w:rsidRPr="00BE78CA" w:rsidRDefault="004D0912" w:rsidP="00AA248B">
            <w:pPr>
              <w:pStyle w:val="TableTextBold"/>
              <w:rPr>
                <w:noProof w:val="0"/>
                <w:color w:val="FFFFFF" w:themeColor="background1"/>
              </w:rPr>
            </w:pPr>
            <w:r w:rsidRPr="00BE78CA">
              <w:rPr>
                <w:rFonts w:eastAsia="Calibri"/>
                <w:noProof w:val="0"/>
                <w:color w:val="FFFFFF" w:themeColor="background1"/>
              </w:rPr>
              <w:t>Sector</w:t>
            </w:r>
          </w:p>
        </w:tc>
        <w:tc>
          <w:tcPr>
            <w:tcW w:w="992" w:type="dxa"/>
            <w:tcBorders>
              <w:top w:val="single" w:sz="4" w:space="0" w:color="365F91"/>
              <w:bottom w:val="single" w:sz="4" w:space="0" w:color="365F91"/>
            </w:tcBorders>
            <w:shd w:val="clear" w:color="auto" w:fill="365F91"/>
            <w:tcMar>
              <w:top w:w="0" w:type="dxa"/>
              <w:left w:w="108" w:type="dxa"/>
              <w:bottom w:w="0" w:type="dxa"/>
              <w:right w:w="108" w:type="dxa"/>
            </w:tcMar>
            <w:vAlign w:val="bottom"/>
          </w:tcPr>
          <w:p w14:paraId="6995428C" w14:textId="77777777" w:rsidR="004D0912" w:rsidRPr="00BE78CA" w:rsidRDefault="004D0912" w:rsidP="00AA248B">
            <w:pPr>
              <w:pStyle w:val="TableTextBold"/>
              <w:jc w:val="right"/>
              <w:rPr>
                <w:noProof w:val="0"/>
                <w:color w:val="FFFFFF" w:themeColor="background1"/>
              </w:rPr>
            </w:pPr>
            <w:r w:rsidRPr="00BE78CA">
              <w:rPr>
                <w:rFonts w:eastAsia="Calibri"/>
                <w:noProof w:val="0"/>
                <w:color w:val="FFFFFF" w:themeColor="background1"/>
              </w:rPr>
              <w:t>1990</w:t>
            </w:r>
          </w:p>
        </w:tc>
        <w:tc>
          <w:tcPr>
            <w:tcW w:w="1134" w:type="dxa"/>
            <w:tcBorders>
              <w:top w:val="single" w:sz="4" w:space="0" w:color="365F91"/>
              <w:bottom w:val="single" w:sz="4" w:space="0" w:color="365F91"/>
            </w:tcBorders>
            <w:shd w:val="clear" w:color="auto" w:fill="365F91"/>
            <w:tcMar>
              <w:top w:w="0" w:type="dxa"/>
              <w:left w:w="108" w:type="dxa"/>
              <w:bottom w:w="0" w:type="dxa"/>
              <w:right w:w="108" w:type="dxa"/>
            </w:tcMar>
            <w:vAlign w:val="bottom"/>
          </w:tcPr>
          <w:p w14:paraId="1E26EF5F" w14:textId="77777777" w:rsidR="004D0912" w:rsidRPr="00BE78CA" w:rsidRDefault="004D0912" w:rsidP="00AA248B">
            <w:pPr>
              <w:pStyle w:val="TableTextBold"/>
              <w:jc w:val="right"/>
              <w:rPr>
                <w:noProof w:val="0"/>
                <w:color w:val="FFFFFF" w:themeColor="background1"/>
              </w:rPr>
            </w:pPr>
            <w:r w:rsidRPr="00BE78CA">
              <w:rPr>
                <w:rFonts w:eastAsia="Calibri"/>
                <w:noProof w:val="0"/>
                <w:color w:val="FFFFFF" w:themeColor="background1"/>
              </w:rPr>
              <w:t>2019</w:t>
            </w:r>
          </w:p>
        </w:tc>
        <w:tc>
          <w:tcPr>
            <w:tcW w:w="1985" w:type="dxa"/>
            <w:tcBorders>
              <w:top w:val="single" w:sz="4" w:space="0" w:color="365F91"/>
              <w:bottom w:val="single" w:sz="4" w:space="0" w:color="365F91"/>
            </w:tcBorders>
            <w:shd w:val="clear" w:color="auto" w:fill="365F91"/>
            <w:tcMar>
              <w:top w:w="0" w:type="dxa"/>
              <w:left w:w="108" w:type="dxa"/>
              <w:bottom w:w="0" w:type="dxa"/>
              <w:right w:w="108" w:type="dxa"/>
            </w:tcMar>
            <w:vAlign w:val="bottom"/>
          </w:tcPr>
          <w:p w14:paraId="56B9C250" w14:textId="1278D0E7" w:rsidR="004D0912" w:rsidRPr="00BE78CA" w:rsidRDefault="004D0912" w:rsidP="00AA248B">
            <w:pPr>
              <w:pStyle w:val="TableTextBold"/>
              <w:jc w:val="right"/>
              <w:rPr>
                <w:noProof w:val="0"/>
                <w:color w:val="FFFFFF" w:themeColor="background1"/>
              </w:rPr>
            </w:pPr>
            <w:r w:rsidRPr="00BE78CA">
              <w:rPr>
                <w:rFonts w:eastAsia="Calibri"/>
                <w:noProof w:val="0"/>
                <w:color w:val="FFFFFF" w:themeColor="background1"/>
              </w:rPr>
              <w:t xml:space="preserve">Change from 1990 </w:t>
            </w:r>
            <w:r w:rsidR="0003216A" w:rsidRPr="00BE78CA">
              <w:rPr>
                <w:rFonts w:eastAsia="Calibri"/>
                <w:noProof w:val="0"/>
                <w:color w:val="FFFFFF" w:themeColor="background1"/>
              </w:rPr>
              <w:br/>
            </w:r>
            <w:r w:rsidRPr="00BE78CA">
              <w:rPr>
                <w:rFonts w:eastAsia="Calibri"/>
                <w:noProof w:val="0"/>
                <w:color w:val="FFFFFF" w:themeColor="background1"/>
              </w:rPr>
              <w:t>(kt CO</w:t>
            </w:r>
            <w:r w:rsidRPr="00BE78CA">
              <w:rPr>
                <w:rFonts w:eastAsia="Calibri"/>
                <w:noProof w:val="0"/>
                <w:color w:val="FFFFFF" w:themeColor="background1"/>
                <w:vertAlign w:val="subscript"/>
              </w:rPr>
              <w:t>2</w:t>
            </w:r>
            <w:r w:rsidRPr="00BE78CA">
              <w:rPr>
                <w:rFonts w:eastAsia="Calibri"/>
                <w:noProof w:val="0"/>
                <w:color w:val="FFFFFF" w:themeColor="background1"/>
              </w:rPr>
              <w:t>-equivalent)</w:t>
            </w:r>
          </w:p>
        </w:tc>
        <w:tc>
          <w:tcPr>
            <w:tcW w:w="1978" w:type="dxa"/>
            <w:tcBorders>
              <w:top w:val="single" w:sz="4" w:space="0" w:color="365F91"/>
              <w:bottom w:val="single" w:sz="4" w:space="0" w:color="365F91"/>
            </w:tcBorders>
            <w:shd w:val="clear" w:color="auto" w:fill="365F91"/>
            <w:tcMar>
              <w:top w:w="0" w:type="dxa"/>
              <w:left w:w="108" w:type="dxa"/>
              <w:bottom w:w="0" w:type="dxa"/>
              <w:right w:w="108" w:type="dxa"/>
            </w:tcMar>
            <w:vAlign w:val="bottom"/>
          </w:tcPr>
          <w:p w14:paraId="2F6056BF" w14:textId="77777777" w:rsidR="004D0912" w:rsidRPr="00BE78CA" w:rsidRDefault="004D0912" w:rsidP="00AA248B">
            <w:pPr>
              <w:pStyle w:val="TableTextBold"/>
              <w:jc w:val="right"/>
              <w:rPr>
                <w:noProof w:val="0"/>
                <w:color w:val="FFFFFF" w:themeColor="background1"/>
              </w:rPr>
            </w:pPr>
            <w:r w:rsidRPr="00BE78CA">
              <w:rPr>
                <w:rFonts w:eastAsia="Calibri"/>
                <w:noProof w:val="0"/>
                <w:color w:val="FFFFFF" w:themeColor="background1"/>
              </w:rPr>
              <w:t>Change from 1990 (%)</w:t>
            </w:r>
          </w:p>
        </w:tc>
      </w:tr>
      <w:tr w:rsidR="00AA248B" w:rsidRPr="00BE78CA" w14:paraId="4714C95B" w14:textId="77777777" w:rsidTr="0003216A">
        <w:trPr>
          <w:cantSplit/>
        </w:trPr>
        <w:tc>
          <w:tcPr>
            <w:tcW w:w="2405" w:type="dxa"/>
            <w:tcBorders>
              <w:top w:val="single" w:sz="4" w:space="0" w:color="365F91"/>
              <w:left w:val="single" w:sz="4" w:space="0" w:color="FFFFFF"/>
              <w:bottom w:val="single" w:sz="8" w:space="0" w:color="365F91"/>
            </w:tcBorders>
            <w:shd w:val="clear" w:color="auto" w:fill="FFFFFF"/>
            <w:tcMar>
              <w:top w:w="0" w:type="dxa"/>
              <w:left w:w="108" w:type="dxa"/>
              <w:bottom w:w="0" w:type="dxa"/>
              <w:right w:w="108" w:type="dxa"/>
            </w:tcMar>
          </w:tcPr>
          <w:p w14:paraId="1CFBE0B8" w14:textId="77777777" w:rsidR="004D0912" w:rsidRPr="00BE78CA" w:rsidRDefault="004D0912" w:rsidP="00AA248B">
            <w:pPr>
              <w:pStyle w:val="TableText"/>
            </w:pPr>
            <w:r w:rsidRPr="00BE78CA">
              <w:rPr>
                <w:rFonts w:eastAsia="Calibri"/>
              </w:rPr>
              <w:t>Energy</w:t>
            </w:r>
          </w:p>
        </w:tc>
        <w:tc>
          <w:tcPr>
            <w:tcW w:w="992" w:type="dxa"/>
            <w:tcBorders>
              <w:top w:val="single" w:sz="4" w:space="0" w:color="365F91"/>
              <w:bottom w:val="single" w:sz="8" w:space="0" w:color="365F91"/>
            </w:tcBorders>
            <w:shd w:val="clear" w:color="auto" w:fill="FFFFFF"/>
            <w:tcMar>
              <w:top w:w="0" w:type="dxa"/>
              <w:left w:w="108" w:type="dxa"/>
              <w:bottom w:w="0" w:type="dxa"/>
              <w:right w:w="108" w:type="dxa"/>
            </w:tcMar>
          </w:tcPr>
          <w:p w14:paraId="05E8B7EE" w14:textId="77777777" w:rsidR="004D0912" w:rsidRPr="00BE78CA" w:rsidRDefault="004D0912" w:rsidP="00AA248B">
            <w:pPr>
              <w:pStyle w:val="TableText"/>
              <w:jc w:val="right"/>
            </w:pPr>
            <w:r w:rsidRPr="00BE78CA">
              <w:rPr>
                <w:rFonts w:eastAsia="Calibri"/>
              </w:rPr>
              <w:t>23,744.5</w:t>
            </w:r>
          </w:p>
        </w:tc>
        <w:tc>
          <w:tcPr>
            <w:tcW w:w="1134" w:type="dxa"/>
            <w:tcBorders>
              <w:top w:val="single" w:sz="4" w:space="0" w:color="365F91"/>
              <w:bottom w:val="single" w:sz="8" w:space="0" w:color="365F91"/>
            </w:tcBorders>
            <w:shd w:val="clear" w:color="auto" w:fill="FFFFFF"/>
            <w:tcMar>
              <w:top w:w="0" w:type="dxa"/>
              <w:left w:w="108" w:type="dxa"/>
              <w:bottom w:w="0" w:type="dxa"/>
              <w:right w:w="108" w:type="dxa"/>
            </w:tcMar>
          </w:tcPr>
          <w:p w14:paraId="4BE4EB12" w14:textId="77777777" w:rsidR="004D0912" w:rsidRPr="00BE78CA" w:rsidRDefault="004D0912" w:rsidP="00AA248B">
            <w:pPr>
              <w:pStyle w:val="TableText"/>
              <w:jc w:val="right"/>
            </w:pPr>
            <w:r w:rsidRPr="00BE78CA">
              <w:rPr>
                <w:rFonts w:eastAsia="Calibri"/>
              </w:rPr>
              <w:t>34,263.1</w:t>
            </w:r>
          </w:p>
        </w:tc>
        <w:tc>
          <w:tcPr>
            <w:tcW w:w="1985" w:type="dxa"/>
            <w:tcBorders>
              <w:top w:val="single" w:sz="4" w:space="0" w:color="365F91"/>
              <w:bottom w:val="single" w:sz="8" w:space="0" w:color="365F91"/>
            </w:tcBorders>
            <w:shd w:val="clear" w:color="auto" w:fill="FFFFFF"/>
            <w:tcMar>
              <w:top w:w="0" w:type="dxa"/>
              <w:left w:w="108" w:type="dxa"/>
              <w:bottom w:w="0" w:type="dxa"/>
              <w:right w:w="108" w:type="dxa"/>
            </w:tcMar>
          </w:tcPr>
          <w:p w14:paraId="281AE190" w14:textId="77777777" w:rsidR="004D0912" w:rsidRPr="00BE78CA" w:rsidRDefault="004D0912" w:rsidP="00AA248B">
            <w:pPr>
              <w:pStyle w:val="TableText"/>
              <w:jc w:val="right"/>
            </w:pPr>
            <w:r w:rsidRPr="00BE78CA">
              <w:rPr>
                <w:rFonts w:eastAsia="Calibri"/>
              </w:rPr>
              <w:t>10,518.5</w:t>
            </w:r>
          </w:p>
        </w:tc>
        <w:tc>
          <w:tcPr>
            <w:tcW w:w="1978" w:type="dxa"/>
            <w:tcBorders>
              <w:top w:val="single" w:sz="4" w:space="0" w:color="365F91"/>
              <w:bottom w:val="single" w:sz="8" w:space="0" w:color="365F91"/>
              <w:right w:val="single" w:sz="4" w:space="0" w:color="FFFFFF"/>
            </w:tcBorders>
            <w:shd w:val="clear" w:color="auto" w:fill="FFFFFF"/>
            <w:tcMar>
              <w:top w:w="0" w:type="dxa"/>
              <w:left w:w="108" w:type="dxa"/>
              <w:bottom w:w="0" w:type="dxa"/>
              <w:right w:w="108" w:type="dxa"/>
            </w:tcMar>
          </w:tcPr>
          <w:p w14:paraId="2A4C2ADA" w14:textId="77777777" w:rsidR="004D0912" w:rsidRPr="00BE78CA" w:rsidRDefault="004D0912" w:rsidP="00AA248B">
            <w:pPr>
              <w:pStyle w:val="TableText"/>
              <w:jc w:val="right"/>
            </w:pPr>
            <w:r w:rsidRPr="00BE78CA">
              <w:rPr>
                <w:rFonts w:eastAsia="Calibri"/>
              </w:rPr>
              <w:t>44.3%</w:t>
            </w:r>
          </w:p>
        </w:tc>
      </w:tr>
      <w:tr w:rsidR="00AA248B" w:rsidRPr="00BE78CA" w14:paraId="7D348535" w14:textId="77777777" w:rsidTr="0003216A">
        <w:trPr>
          <w:cantSplit/>
        </w:trPr>
        <w:tc>
          <w:tcPr>
            <w:tcW w:w="2405" w:type="dxa"/>
            <w:tcBorders>
              <w:top w:val="single" w:sz="8" w:space="0" w:color="365F91"/>
              <w:left w:val="single" w:sz="4" w:space="0" w:color="FFFFFF"/>
              <w:bottom w:val="single" w:sz="8" w:space="0" w:color="365F91"/>
            </w:tcBorders>
            <w:shd w:val="clear" w:color="auto" w:fill="FFFFFF"/>
            <w:tcMar>
              <w:top w:w="0" w:type="dxa"/>
              <w:left w:w="108" w:type="dxa"/>
              <w:bottom w:w="0" w:type="dxa"/>
              <w:right w:w="108" w:type="dxa"/>
            </w:tcMar>
          </w:tcPr>
          <w:p w14:paraId="037D91F0" w14:textId="77777777" w:rsidR="004D0912" w:rsidRPr="00BE78CA" w:rsidRDefault="004D0912" w:rsidP="00AA248B">
            <w:pPr>
              <w:pStyle w:val="TableText"/>
            </w:pPr>
            <w:r w:rsidRPr="00BE78CA">
              <w:rPr>
                <w:rFonts w:eastAsia="Calibri"/>
              </w:rPr>
              <w:t>IPPU</w:t>
            </w:r>
          </w:p>
        </w:tc>
        <w:tc>
          <w:tcPr>
            <w:tcW w:w="992" w:type="dxa"/>
            <w:tcBorders>
              <w:top w:val="single" w:sz="8" w:space="0" w:color="365F91"/>
              <w:bottom w:val="single" w:sz="8" w:space="0" w:color="365F91"/>
            </w:tcBorders>
            <w:shd w:val="clear" w:color="auto" w:fill="FFFFFF"/>
            <w:tcMar>
              <w:top w:w="0" w:type="dxa"/>
              <w:left w:w="108" w:type="dxa"/>
              <w:bottom w:w="0" w:type="dxa"/>
              <w:right w:w="108" w:type="dxa"/>
            </w:tcMar>
          </w:tcPr>
          <w:p w14:paraId="03544A8E" w14:textId="77777777" w:rsidR="004D0912" w:rsidRPr="00BE78CA" w:rsidRDefault="004D0912" w:rsidP="00AA248B">
            <w:pPr>
              <w:pStyle w:val="TableText"/>
              <w:jc w:val="right"/>
            </w:pPr>
            <w:r w:rsidRPr="00BE78CA">
              <w:rPr>
                <w:rFonts w:eastAsia="Calibri"/>
              </w:rPr>
              <w:t>3,579.9</w:t>
            </w:r>
          </w:p>
        </w:tc>
        <w:tc>
          <w:tcPr>
            <w:tcW w:w="1134" w:type="dxa"/>
            <w:tcBorders>
              <w:top w:val="single" w:sz="8" w:space="0" w:color="365F91"/>
              <w:bottom w:val="single" w:sz="8" w:space="0" w:color="365F91"/>
            </w:tcBorders>
            <w:shd w:val="clear" w:color="auto" w:fill="FFFFFF"/>
            <w:tcMar>
              <w:top w:w="0" w:type="dxa"/>
              <w:left w:w="108" w:type="dxa"/>
              <w:bottom w:w="0" w:type="dxa"/>
              <w:right w:w="108" w:type="dxa"/>
            </w:tcMar>
          </w:tcPr>
          <w:p w14:paraId="53BCDD10" w14:textId="77777777" w:rsidR="004D0912" w:rsidRPr="00BE78CA" w:rsidRDefault="004D0912" w:rsidP="00AA248B">
            <w:pPr>
              <w:pStyle w:val="TableText"/>
              <w:jc w:val="right"/>
            </w:pPr>
            <w:r w:rsidRPr="00BE78CA">
              <w:rPr>
                <w:rFonts w:eastAsia="Calibri"/>
              </w:rPr>
              <w:t>5,115.9</w:t>
            </w:r>
          </w:p>
        </w:tc>
        <w:tc>
          <w:tcPr>
            <w:tcW w:w="1985" w:type="dxa"/>
            <w:tcBorders>
              <w:top w:val="single" w:sz="8" w:space="0" w:color="365F91"/>
              <w:bottom w:val="single" w:sz="8" w:space="0" w:color="365F91"/>
            </w:tcBorders>
            <w:shd w:val="clear" w:color="auto" w:fill="FFFFFF"/>
            <w:tcMar>
              <w:top w:w="0" w:type="dxa"/>
              <w:left w:w="108" w:type="dxa"/>
              <w:bottom w:w="0" w:type="dxa"/>
              <w:right w:w="108" w:type="dxa"/>
            </w:tcMar>
          </w:tcPr>
          <w:p w14:paraId="0F79807D" w14:textId="77777777" w:rsidR="004D0912" w:rsidRPr="00BE78CA" w:rsidRDefault="004D0912" w:rsidP="00AA248B">
            <w:pPr>
              <w:pStyle w:val="TableText"/>
              <w:jc w:val="right"/>
            </w:pPr>
            <w:r w:rsidRPr="00BE78CA">
              <w:rPr>
                <w:rFonts w:eastAsia="Calibri"/>
              </w:rPr>
              <w:t>1,536.0</w:t>
            </w:r>
          </w:p>
        </w:tc>
        <w:tc>
          <w:tcPr>
            <w:tcW w:w="1978" w:type="dxa"/>
            <w:tcBorders>
              <w:top w:val="single" w:sz="8" w:space="0" w:color="365F91"/>
              <w:bottom w:val="single" w:sz="8" w:space="0" w:color="365F91"/>
              <w:right w:val="single" w:sz="4" w:space="0" w:color="FFFFFF"/>
            </w:tcBorders>
            <w:shd w:val="clear" w:color="auto" w:fill="FFFFFF"/>
            <w:tcMar>
              <w:top w:w="0" w:type="dxa"/>
              <w:left w:w="108" w:type="dxa"/>
              <w:bottom w:w="0" w:type="dxa"/>
              <w:right w:w="108" w:type="dxa"/>
            </w:tcMar>
          </w:tcPr>
          <w:p w14:paraId="43430570" w14:textId="77777777" w:rsidR="004D0912" w:rsidRPr="00BE78CA" w:rsidRDefault="004D0912" w:rsidP="00AA248B">
            <w:pPr>
              <w:pStyle w:val="TableText"/>
              <w:jc w:val="right"/>
            </w:pPr>
            <w:r w:rsidRPr="00BE78CA">
              <w:rPr>
                <w:rFonts w:eastAsia="Calibri"/>
              </w:rPr>
              <w:t>42.9%</w:t>
            </w:r>
          </w:p>
        </w:tc>
      </w:tr>
      <w:tr w:rsidR="00AA248B" w:rsidRPr="00BE78CA" w14:paraId="2155D39F" w14:textId="77777777" w:rsidTr="0003216A">
        <w:trPr>
          <w:cantSplit/>
        </w:trPr>
        <w:tc>
          <w:tcPr>
            <w:tcW w:w="2405" w:type="dxa"/>
            <w:tcBorders>
              <w:top w:val="single" w:sz="8" w:space="0" w:color="365F91"/>
              <w:left w:val="single" w:sz="4" w:space="0" w:color="FFFFFF"/>
              <w:bottom w:val="single" w:sz="8" w:space="0" w:color="365F91"/>
            </w:tcBorders>
            <w:shd w:val="clear" w:color="auto" w:fill="FFFFFF"/>
            <w:tcMar>
              <w:top w:w="0" w:type="dxa"/>
              <w:left w:w="108" w:type="dxa"/>
              <w:bottom w:w="0" w:type="dxa"/>
              <w:right w:w="108" w:type="dxa"/>
            </w:tcMar>
          </w:tcPr>
          <w:p w14:paraId="62E73531" w14:textId="77777777" w:rsidR="004D0912" w:rsidRPr="00BE78CA" w:rsidRDefault="004D0912" w:rsidP="00AA248B">
            <w:pPr>
              <w:pStyle w:val="TableText"/>
            </w:pPr>
            <w:r w:rsidRPr="00BE78CA">
              <w:rPr>
                <w:rFonts w:eastAsia="Calibri"/>
              </w:rPr>
              <w:t>Agriculture</w:t>
            </w:r>
          </w:p>
        </w:tc>
        <w:tc>
          <w:tcPr>
            <w:tcW w:w="992" w:type="dxa"/>
            <w:tcBorders>
              <w:top w:val="single" w:sz="8" w:space="0" w:color="365F91"/>
              <w:bottom w:val="single" w:sz="8" w:space="0" w:color="365F91"/>
            </w:tcBorders>
            <w:shd w:val="clear" w:color="auto" w:fill="FFFFFF"/>
            <w:tcMar>
              <w:top w:w="0" w:type="dxa"/>
              <w:left w:w="108" w:type="dxa"/>
              <w:bottom w:w="0" w:type="dxa"/>
              <w:right w:w="108" w:type="dxa"/>
            </w:tcMar>
          </w:tcPr>
          <w:p w14:paraId="5AF08B37" w14:textId="77777777" w:rsidR="004D0912" w:rsidRPr="00BE78CA" w:rsidRDefault="004D0912" w:rsidP="00AA248B">
            <w:pPr>
              <w:pStyle w:val="TableText"/>
              <w:jc w:val="right"/>
            </w:pPr>
            <w:r w:rsidRPr="00BE78CA">
              <w:rPr>
                <w:rFonts w:eastAsia="Calibri"/>
              </w:rPr>
              <w:t>33,840.3</w:t>
            </w:r>
          </w:p>
        </w:tc>
        <w:tc>
          <w:tcPr>
            <w:tcW w:w="1134" w:type="dxa"/>
            <w:tcBorders>
              <w:top w:val="single" w:sz="8" w:space="0" w:color="365F91"/>
              <w:bottom w:val="single" w:sz="8" w:space="0" w:color="365F91"/>
            </w:tcBorders>
            <w:shd w:val="clear" w:color="auto" w:fill="FFFFFF"/>
            <w:tcMar>
              <w:top w:w="0" w:type="dxa"/>
              <w:left w:w="108" w:type="dxa"/>
              <w:bottom w:w="0" w:type="dxa"/>
              <w:right w:w="108" w:type="dxa"/>
            </w:tcMar>
          </w:tcPr>
          <w:p w14:paraId="5919A4D4" w14:textId="77777777" w:rsidR="004D0912" w:rsidRPr="00BE78CA" w:rsidRDefault="004D0912" w:rsidP="00AA248B">
            <w:pPr>
              <w:pStyle w:val="TableText"/>
              <w:jc w:val="right"/>
            </w:pPr>
            <w:r w:rsidRPr="00BE78CA">
              <w:rPr>
                <w:rFonts w:eastAsia="Calibri"/>
              </w:rPr>
              <w:t>39,617.7</w:t>
            </w:r>
          </w:p>
        </w:tc>
        <w:tc>
          <w:tcPr>
            <w:tcW w:w="1985" w:type="dxa"/>
            <w:tcBorders>
              <w:top w:val="single" w:sz="8" w:space="0" w:color="365F91"/>
              <w:bottom w:val="single" w:sz="8" w:space="0" w:color="365F91"/>
            </w:tcBorders>
            <w:shd w:val="clear" w:color="auto" w:fill="FFFFFF"/>
            <w:tcMar>
              <w:top w:w="0" w:type="dxa"/>
              <w:left w:w="108" w:type="dxa"/>
              <w:bottom w:w="0" w:type="dxa"/>
              <w:right w:w="108" w:type="dxa"/>
            </w:tcMar>
          </w:tcPr>
          <w:p w14:paraId="47D54FC7" w14:textId="77777777" w:rsidR="004D0912" w:rsidRPr="00BE78CA" w:rsidRDefault="004D0912" w:rsidP="00AA248B">
            <w:pPr>
              <w:pStyle w:val="TableText"/>
              <w:jc w:val="right"/>
            </w:pPr>
            <w:r w:rsidRPr="00BE78CA">
              <w:rPr>
                <w:rFonts w:eastAsia="Calibri"/>
              </w:rPr>
              <w:t>5,777.4</w:t>
            </w:r>
          </w:p>
        </w:tc>
        <w:tc>
          <w:tcPr>
            <w:tcW w:w="1978" w:type="dxa"/>
            <w:tcBorders>
              <w:top w:val="single" w:sz="8" w:space="0" w:color="365F91"/>
              <w:bottom w:val="single" w:sz="8" w:space="0" w:color="365F91"/>
              <w:right w:val="single" w:sz="4" w:space="0" w:color="FFFFFF"/>
            </w:tcBorders>
            <w:shd w:val="clear" w:color="auto" w:fill="FFFFFF"/>
            <w:tcMar>
              <w:top w:w="0" w:type="dxa"/>
              <w:left w:w="108" w:type="dxa"/>
              <w:bottom w:w="0" w:type="dxa"/>
              <w:right w:w="108" w:type="dxa"/>
            </w:tcMar>
          </w:tcPr>
          <w:p w14:paraId="5D625B4F" w14:textId="77777777" w:rsidR="004D0912" w:rsidRPr="00BE78CA" w:rsidRDefault="004D0912" w:rsidP="00AA248B">
            <w:pPr>
              <w:pStyle w:val="TableText"/>
              <w:jc w:val="right"/>
            </w:pPr>
            <w:r w:rsidRPr="00BE78CA">
              <w:rPr>
                <w:rFonts w:eastAsia="Calibri"/>
              </w:rPr>
              <w:t>17.1%</w:t>
            </w:r>
          </w:p>
        </w:tc>
      </w:tr>
      <w:tr w:rsidR="00AA248B" w:rsidRPr="00BE78CA" w14:paraId="708A5664" w14:textId="77777777" w:rsidTr="0003216A">
        <w:trPr>
          <w:cantSplit/>
        </w:trPr>
        <w:tc>
          <w:tcPr>
            <w:tcW w:w="2405" w:type="dxa"/>
            <w:tcBorders>
              <w:top w:val="single" w:sz="8" w:space="0" w:color="365F91"/>
              <w:left w:val="single" w:sz="4" w:space="0" w:color="FFFFFF"/>
              <w:bottom w:val="single" w:sz="8" w:space="0" w:color="365F91"/>
            </w:tcBorders>
            <w:shd w:val="clear" w:color="auto" w:fill="FFFFFF"/>
            <w:tcMar>
              <w:top w:w="0" w:type="dxa"/>
              <w:left w:w="108" w:type="dxa"/>
              <w:bottom w:w="0" w:type="dxa"/>
              <w:right w:w="108" w:type="dxa"/>
            </w:tcMar>
          </w:tcPr>
          <w:p w14:paraId="74A44024" w14:textId="77777777" w:rsidR="004D0912" w:rsidRPr="00BE78CA" w:rsidRDefault="004D0912" w:rsidP="00AA248B">
            <w:pPr>
              <w:pStyle w:val="TableText"/>
            </w:pPr>
            <w:r w:rsidRPr="00BE78CA">
              <w:rPr>
                <w:rFonts w:eastAsia="Calibri"/>
              </w:rPr>
              <w:t>Tokelau</w:t>
            </w:r>
          </w:p>
        </w:tc>
        <w:tc>
          <w:tcPr>
            <w:tcW w:w="992" w:type="dxa"/>
            <w:tcBorders>
              <w:top w:val="single" w:sz="8" w:space="0" w:color="365F91"/>
              <w:bottom w:val="single" w:sz="8" w:space="0" w:color="365F91"/>
            </w:tcBorders>
            <w:shd w:val="clear" w:color="auto" w:fill="FFFFFF"/>
            <w:tcMar>
              <w:top w:w="0" w:type="dxa"/>
              <w:left w:w="108" w:type="dxa"/>
              <w:bottom w:w="0" w:type="dxa"/>
              <w:right w:w="108" w:type="dxa"/>
            </w:tcMar>
          </w:tcPr>
          <w:p w14:paraId="5C3DACEC" w14:textId="77777777" w:rsidR="004D0912" w:rsidRPr="00BE78CA" w:rsidRDefault="004D0912" w:rsidP="00AA248B">
            <w:pPr>
              <w:pStyle w:val="TableText"/>
              <w:jc w:val="right"/>
            </w:pPr>
            <w:r w:rsidRPr="00BE78CA">
              <w:rPr>
                <w:rFonts w:eastAsia="Calibri"/>
              </w:rPr>
              <w:t>3.2</w:t>
            </w:r>
          </w:p>
        </w:tc>
        <w:tc>
          <w:tcPr>
            <w:tcW w:w="1134" w:type="dxa"/>
            <w:tcBorders>
              <w:top w:val="single" w:sz="8" w:space="0" w:color="365F91"/>
              <w:bottom w:val="single" w:sz="8" w:space="0" w:color="365F91"/>
            </w:tcBorders>
            <w:shd w:val="clear" w:color="auto" w:fill="FFFFFF"/>
            <w:tcMar>
              <w:top w:w="0" w:type="dxa"/>
              <w:left w:w="108" w:type="dxa"/>
              <w:bottom w:w="0" w:type="dxa"/>
              <w:right w:w="108" w:type="dxa"/>
            </w:tcMar>
          </w:tcPr>
          <w:p w14:paraId="451FBFB6" w14:textId="77777777" w:rsidR="004D0912" w:rsidRPr="00BE78CA" w:rsidRDefault="004D0912" w:rsidP="00AA248B">
            <w:pPr>
              <w:pStyle w:val="TableText"/>
              <w:jc w:val="right"/>
            </w:pPr>
            <w:r w:rsidRPr="00BE78CA">
              <w:rPr>
                <w:rFonts w:eastAsia="Calibri"/>
              </w:rPr>
              <w:t>4.3</w:t>
            </w:r>
          </w:p>
        </w:tc>
        <w:tc>
          <w:tcPr>
            <w:tcW w:w="1985" w:type="dxa"/>
            <w:tcBorders>
              <w:top w:val="single" w:sz="8" w:space="0" w:color="365F91"/>
              <w:bottom w:val="single" w:sz="8" w:space="0" w:color="365F91"/>
            </w:tcBorders>
            <w:shd w:val="clear" w:color="auto" w:fill="FFFFFF"/>
            <w:tcMar>
              <w:top w:w="0" w:type="dxa"/>
              <w:left w:w="108" w:type="dxa"/>
              <w:bottom w:w="0" w:type="dxa"/>
              <w:right w:w="108" w:type="dxa"/>
            </w:tcMar>
          </w:tcPr>
          <w:p w14:paraId="6E0A8B1F" w14:textId="77777777" w:rsidR="004D0912" w:rsidRPr="00BE78CA" w:rsidRDefault="004D0912" w:rsidP="00AA248B">
            <w:pPr>
              <w:pStyle w:val="TableText"/>
              <w:jc w:val="right"/>
            </w:pPr>
            <w:r w:rsidRPr="00BE78CA">
              <w:rPr>
                <w:rFonts w:eastAsia="Calibri"/>
              </w:rPr>
              <w:t>1.1</w:t>
            </w:r>
          </w:p>
        </w:tc>
        <w:tc>
          <w:tcPr>
            <w:tcW w:w="1978" w:type="dxa"/>
            <w:tcBorders>
              <w:top w:val="single" w:sz="8" w:space="0" w:color="365F91"/>
              <w:bottom w:val="single" w:sz="8" w:space="0" w:color="365F91"/>
              <w:right w:val="single" w:sz="4" w:space="0" w:color="FFFFFF"/>
            </w:tcBorders>
            <w:shd w:val="clear" w:color="auto" w:fill="FFFFFF"/>
            <w:tcMar>
              <w:top w:w="0" w:type="dxa"/>
              <w:left w:w="108" w:type="dxa"/>
              <w:bottom w:w="0" w:type="dxa"/>
              <w:right w:w="108" w:type="dxa"/>
            </w:tcMar>
          </w:tcPr>
          <w:p w14:paraId="25881495" w14:textId="77777777" w:rsidR="004D0912" w:rsidRPr="00BE78CA" w:rsidRDefault="004D0912" w:rsidP="00AA248B">
            <w:pPr>
              <w:pStyle w:val="TableText"/>
              <w:jc w:val="right"/>
            </w:pPr>
            <w:r w:rsidRPr="00BE78CA">
              <w:rPr>
                <w:rFonts w:eastAsia="Calibri"/>
              </w:rPr>
              <w:t>35.7%</w:t>
            </w:r>
          </w:p>
        </w:tc>
      </w:tr>
      <w:tr w:rsidR="00AA248B" w:rsidRPr="00BE78CA" w14:paraId="1B371F5D" w14:textId="77777777" w:rsidTr="0003216A">
        <w:trPr>
          <w:cantSplit/>
        </w:trPr>
        <w:tc>
          <w:tcPr>
            <w:tcW w:w="2405" w:type="dxa"/>
            <w:tcBorders>
              <w:top w:val="single" w:sz="8" w:space="0" w:color="365F91"/>
              <w:left w:val="single" w:sz="4" w:space="0" w:color="FFFFFF"/>
              <w:bottom w:val="single" w:sz="8" w:space="0" w:color="365F91"/>
            </w:tcBorders>
            <w:shd w:val="clear" w:color="auto" w:fill="FFFFFF"/>
            <w:tcMar>
              <w:top w:w="0" w:type="dxa"/>
              <w:left w:w="108" w:type="dxa"/>
              <w:bottom w:w="0" w:type="dxa"/>
              <w:right w:w="108" w:type="dxa"/>
            </w:tcMar>
          </w:tcPr>
          <w:p w14:paraId="0621385D" w14:textId="77777777" w:rsidR="004D0912" w:rsidRPr="00BE78CA" w:rsidRDefault="004D0912" w:rsidP="00AA248B">
            <w:pPr>
              <w:pStyle w:val="TableText"/>
            </w:pPr>
            <w:r w:rsidRPr="00BE78CA">
              <w:rPr>
                <w:rFonts w:eastAsia="Calibri"/>
              </w:rPr>
              <w:t>Waste</w:t>
            </w:r>
          </w:p>
        </w:tc>
        <w:tc>
          <w:tcPr>
            <w:tcW w:w="992" w:type="dxa"/>
            <w:tcBorders>
              <w:top w:val="single" w:sz="8" w:space="0" w:color="365F91"/>
              <w:bottom w:val="single" w:sz="8" w:space="0" w:color="365F91"/>
            </w:tcBorders>
            <w:shd w:val="clear" w:color="auto" w:fill="FFFFFF"/>
            <w:tcMar>
              <w:top w:w="0" w:type="dxa"/>
              <w:left w:w="108" w:type="dxa"/>
              <w:bottom w:w="0" w:type="dxa"/>
              <w:right w:w="108" w:type="dxa"/>
            </w:tcMar>
          </w:tcPr>
          <w:p w14:paraId="437BE8FA" w14:textId="77777777" w:rsidR="004D0912" w:rsidRPr="00BE78CA" w:rsidRDefault="004D0912" w:rsidP="00AA248B">
            <w:pPr>
              <w:pStyle w:val="TableText"/>
              <w:jc w:val="right"/>
            </w:pPr>
            <w:r w:rsidRPr="00BE78CA">
              <w:rPr>
                <w:rFonts w:eastAsia="Calibri"/>
              </w:rPr>
              <w:t>3,961.3</w:t>
            </w:r>
          </w:p>
        </w:tc>
        <w:tc>
          <w:tcPr>
            <w:tcW w:w="1134" w:type="dxa"/>
            <w:tcBorders>
              <w:top w:val="single" w:sz="8" w:space="0" w:color="365F91"/>
              <w:bottom w:val="single" w:sz="8" w:space="0" w:color="365F91"/>
            </w:tcBorders>
            <w:shd w:val="clear" w:color="auto" w:fill="FFFFFF"/>
            <w:tcMar>
              <w:top w:w="0" w:type="dxa"/>
              <w:left w:w="108" w:type="dxa"/>
              <w:bottom w:w="0" w:type="dxa"/>
              <w:right w:w="108" w:type="dxa"/>
            </w:tcMar>
          </w:tcPr>
          <w:p w14:paraId="03A5AA92" w14:textId="77777777" w:rsidR="004D0912" w:rsidRPr="00BE78CA" w:rsidRDefault="004D0912" w:rsidP="00AA248B">
            <w:pPr>
              <w:pStyle w:val="TableText"/>
              <w:jc w:val="right"/>
            </w:pPr>
            <w:r w:rsidRPr="00BE78CA">
              <w:rPr>
                <w:rFonts w:eastAsia="Calibri"/>
              </w:rPr>
              <w:t>3,316.9</w:t>
            </w:r>
          </w:p>
        </w:tc>
        <w:tc>
          <w:tcPr>
            <w:tcW w:w="1985" w:type="dxa"/>
            <w:tcBorders>
              <w:top w:val="single" w:sz="8" w:space="0" w:color="365F91"/>
              <w:bottom w:val="single" w:sz="8" w:space="0" w:color="365F91"/>
            </w:tcBorders>
            <w:shd w:val="clear" w:color="auto" w:fill="FFFFFF"/>
            <w:tcMar>
              <w:top w:w="0" w:type="dxa"/>
              <w:left w:w="108" w:type="dxa"/>
              <w:bottom w:w="0" w:type="dxa"/>
              <w:right w:w="108" w:type="dxa"/>
            </w:tcMar>
          </w:tcPr>
          <w:p w14:paraId="058D5E29" w14:textId="77777777" w:rsidR="004D0912" w:rsidRPr="00BE78CA" w:rsidRDefault="004D0912" w:rsidP="00AA248B">
            <w:pPr>
              <w:pStyle w:val="TableText"/>
              <w:jc w:val="right"/>
            </w:pPr>
            <w:r w:rsidRPr="00BE78CA">
              <w:rPr>
                <w:rFonts w:eastAsia="Calibri"/>
              </w:rPr>
              <w:t>–644.4</w:t>
            </w:r>
          </w:p>
        </w:tc>
        <w:tc>
          <w:tcPr>
            <w:tcW w:w="1978" w:type="dxa"/>
            <w:tcBorders>
              <w:top w:val="single" w:sz="8" w:space="0" w:color="365F91"/>
              <w:bottom w:val="single" w:sz="8" w:space="0" w:color="365F91"/>
              <w:right w:val="single" w:sz="4" w:space="0" w:color="FFFFFF"/>
            </w:tcBorders>
            <w:shd w:val="clear" w:color="auto" w:fill="FFFFFF"/>
            <w:tcMar>
              <w:top w:w="0" w:type="dxa"/>
              <w:left w:w="108" w:type="dxa"/>
              <w:bottom w:w="0" w:type="dxa"/>
              <w:right w:w="108" w:type="dxa"/>
            </w:tcMar>
          </w:tcPr>
          <w:p w14:paraId="1B620A70" w14:textId="77777777" w:rsidR="004D0912" w:rsidRPr="00BE78CA" w:rsidRDefault="004D0912" w:rsidP="00AA248B">
            <w:pPr>
              <w:pStyle w:val="TableText"/>
              <w:jc w:val="right"/>
            </w:pPr>
            <w:r w:rsidRPr="00BE78CA">
              <w:rPr>
                <w:rFonts w:eastAsia="Calibri"/>
              </w:rPr>
              <w:t>–16.3%</w:t>
            </w:r>
          </w:p>
        </w:tc>
      </w:tr>
      <w:tr w:rsidR="00AA248B" w:rsidRPr="00BE78CA" w14:paraId="71D7FCB0" w14:textId="77777777" w:rsidTr="0003216A">
        <w:trPr>
          <w:cantSplit/>
        </w:trPr>
        <w:tc>
          <w:tcPr>
            <w:tcW w:w="2405" w:type="dxa"/>
            <w:tcBorders>
              <w:top w:val="single" w:sz="8" w:space="0" w:color="365F91"/>
              <w:left w:val="single" w:sz="4" w:space="0" w:color="FFFFFF"/>
              <w:bottom w:val="single" w:sz="8" w:space="0" w:color="365F91"/>
            </w:tcBorders>
            <w:shd w:val="clear" w:color="auto" w:fill="FFFFFF"/>
            <w:tcMar>
              <w:top w:w="0" w:type="dxa"/>
              <w:left w:w="108" w:type="dxa"/>
              <w:bottom w:w="0" w:type="dxa"/>
              <w:right w:w="108" w:type="dxa"/>
            </w:tcMar>
          </w:tcPr>
          <w:p w14:paraId="2CBB00DD" w14:textId="77777777" w:rsidR="004D0912" w:rsidRPr="00BE78CA" w:rsidRDefault="004D0912" w:rsidP="00AA248B">
            <w:pPr>
              <w:pStyle w:val="Tableboldblue"/>
            </w:pPr>
            <w:r w:rsidRPr="00BE78CA">
              <w:rPr>
                <w:rFonts w:eastAsia="Calibri"/>
              </w:rPr>
              <w:t>Gross</w:t>
            </w:r>
          </w:p>
        </w:tc>
        <w:tc>
          <w:tcPr>
            <w:tcW w:w="992" w:type="dxa"/>
            <w:tcBorders>
              <w:top w:val="single" w:sz="8" w:space="0" w:color="365F91"/>
              <w:bottom w:val="single" w:sz="8" w:space="0" w:color="365F91"/>
            </w:tcBorders>
            <w:shd w:val="clear" w:color="auto" w:fill="FFFFFF"/>
            <w:tcMar>
              <w:top w:w="0" w:type="dxa"/>
              <w:left w:w="108" w:type="dxa"/>
              <w:bottom w:w="0" w:type="dxa"/>
              <w:right w:w="108" w:type="dxa"/>
            </w:tcMar>
          </w:tcPr>
          <w:p w14:paraId="1D1CDC1A" w14:textId="77777777" w:rsidR="004D0912" w:rsidRPr="00BE78CA" w:rsidRDefault="004D0912" w:rsidP="00AA248B">
            <w:pPr>
              <w:pStyle w:val="Tableboldblue"/>
              <w:jc w:val="right"/>
            </w:pPr>
            <w:r w:rsidRPr="00BE78CA">
              <w:rPr>
                <w:rFonts w:eastAsia="Calibri"/>
              </w:rPr>
              <w:t>65,129.2</w:t>
            </w:r>
          </w:p>
        </w:tc>
        <w:tc>
          <w:tcPr>
            <w:tcW w:w="1134" w:type="dxa"/>
            <w:tcBorders>
              <w:top w:val="single" w:sz="8" w:space="0" w:color="365F91"/>
              <w:bottom w:val="single" w:sz="8" w:space="0" w:color="365F91"/>
            </w:tcBorders>
            <w:shd w:val="clear" w:color="auto" w:fill="FFFFFF"/>
            <w:tcMar>
              <w:top w:w="0" w:type="dxa"/>
              <w:left w:w="108" w:type="dxa"/>
              <w:bottom w:w="0" w:type="dxa"/>
              <w:right w:w="108" w:type="dxa"/>
            </w:tcMar>
          </w:tcPr>
          <w:p w14:paraId="7734A5A9" w14:textId="77777777" w:rsidR="004D0912" w:rsidRPr="00BE78CA" w:rsidRDefault="004D0912" w:rsidP="00AA248B">
            <w:pPr>
              <w:pStyle w:val="Tableboldblue"/>
              <w:jc w:val="right"/>
            </w:pPr>
            <w:r w:rsidRPr="00BE78CA">
              <w:rPr>
                <w:rFonts w:eastAsia="Calibri"/>
              </w:rPr>
              <w:t>82,317.9</w:t>
            </w:r>
          </w:p>
        </w:tc>
        <w:tc>
          <w:tcPr>
            <w:tcW w:w="1985" w:type="dxa"/>
            <w:tcBorders>
              <w:top w:val="single" w:sz="8" w:space="0" w:color="365F91"/>
              <w:bottom w:val="single" w:sz="8" w:space="0" w:color="365F91"/>
            </w:tcBorders>
            <w:shd w:val="clear" w:color="auto" w:fill="FFFFFF"/>
            <w:tcMar>
              <w:top w:w="0" w:type="dxa"/>
              <w:left w:w="108" w:type="dxa"/>
              <w:bottom w:w="0" w:type="dxa"/>
              <w:right w:w="108" w:type="dxa"/>
            </w:tcMar>
          </w:tcPr>
          <w:p w14:paraId="39C44AE4" w14:textId="77777777" w:rsidR="004D0912" w:rsidRPr="00BE78CA" w:rsidRDefault="004D0912" w:rsidP="00AA248B">
            <w:pPr>
              <w:pStyle w:val="Tableboldblue"/>
              <w:jc w:val="right"/>
            </w:pPr>
            <w:r w:rsidRPr="00BE78CA">
              <w:rPr>
                <w:rFonts w:eastAsia="Calibri"/>
              </w:rPr>
              <w:t>17,188.6</w:t>
            </w:r>
          </w:p>
        </w:tc>
        <w:tc>
          <w:tcPr>
            <w:tcW w:w="1978" w:type="dxa"/>
            <w:tcBorders>
              <w:top w:val="single" w:sz="8" w:space="0" w:color="365F91"/>
              <w:bottom w:val="single" w:sz="8" w:space="0" w:color="365F91"/>
              <w:right w:val="single" w:sz="4" w:space="0" w:color="FFFFFF"/>
            </w:tcBorders>
            <w:shd w:val="clear" w:color="auto" w:fill="FFFFFF"/>
            <w:tcMar>
              <w:top w:w="0" w:type="dxa"/>
              <w:left w:w="108" w:type="dxa"/>
              <w:bottom w:w="0" w:type="dxa"/>
              <w:right w:w="108" w:type="dxa"/>
            </w:tcMar>
          </w:tcPr>
          <w:p w14:paraId="3A79E877" w14:textId="77777777" w:rsidR="004D0912" w:rsidRPr="00BE78CA" w:rsidRDefault="004D0912" w:rsidP="00AA248B">
            <w:pPr>
              <w:pStyle w:val="Tableboldblue"/>
              <w:jc w:val="right"/>
            </w:pPr>
            <w:r w:rsidRPr="00BE78CA">
              <w:rPr>
                <w:rFonts w:eastAsia="Calibri"/>
              </w:rPr>
              <w:t>26.4%</w:t>
            </w:r>
          </w:p>
        </w:tc>
      </w:tr>
      <w:tr w:rsidR="00AA248B" w:rsidRPr="00BE78CA" w14:paraId="0CB7EC1C" w14:textId="77777777" w:rsidTr="0003216A">
        <w:trPr>
          <w:cantSplit/>
        </w:trPr>
        <w:tc>
          <w:tcPr>
            <w:tcW w:w="2405" w:type="dxa"/>
            <w:tcBorders>
              <w:top w:val="single" w:sz="8" w:space="0" w:color="365F91"/>
              <w:left w:val="single" w:sz="4" w:space="0" w:color="FFFFFF"/>
              <w:bottom w:val="single" w:sz="8" w:space="0" w:color="365F91"/>
            </w:tcBorders>
            <w:shd w:val="clear" w:color="auto" w:fill="FFFFFF"/>
            <w:tcMar>
              <w:top w:w="0" w:type="dxa"/>
              <w:left w:w="108" w:type="dxa"/>
              <w:bottom w:w="0" w:type="dxa"/>
              <w:right w:w="108" w:type="dxa"/>
            </w:tcMar>
          </w:tcPr>
          <w:p w14:paraId="0605D584" w14:textId="77777777" w:rsidR="004D0912" w:rsidRPr="00BE78CA" w:rsidRDefault="004D0912" w:rsidP="00AA248B">
            <w:pPr>
              <w:pStyle w:val="TableText"/>
            </w:pPr>
            <w:r w:rsidRPr="00BE78CA">
              <w:rPr>
                <w:rFonts w:eastAsia="Calibri"/>
              </w:rPr>
              <w:t>LULUCF</w:t>
            </w:r>
          </w:p>
        </w:tc>
        <w:tc>
          <w:tcPr>
            <w:tcW w:w="992" w:type="dxa"/>
            <w:tcBorders>
              <w:top w:val="single" w:sz="8" w:space="0" w:color="365F91"/>
              <w:bottom w:val="single" w:sz="8" w:space="0" w:color="365F91"/>
            </w:tcBorders>
            <w:shd w:val="clear" w:color="auto" w:fill="FFFFFF"/>
            <w:tcMar>
              <w:top w:w="0" w:type="dxa"/>
              <w:left w:w="108" w:type="dxa"/>
              <w:bottom w:w="0" w:type="dxa"/>
              <w:right w:w="108" w:type="dxa"/>
            </w:tcMar>
          </w:tcPr>
          <w:p w14:paraId="28DCD9E2" w14:textId="77777777" w:rsidR="004D0912" w:rsidRPr="00BE78CA" w:rsidRDefault="004D0912" w:rsidP="00AA248B">
            <w:pPr>
              <w:pStyle w:val="TableText"/>
              <w:jc w:val="right"/>
            </w:pPr>
            <w:r w:rsidRPr="00BE78CA">
              <w:rPr>
                <w:rFonts w:eastAsia="Calibri"/>
              </w:rPr>
              <w:t>–24,014.5</w:t>
            </w:r>
          </w:p>
        </w:tc>
        <w:tc>
          <w:tcPr>
            <w:tcW w:w="1134" w:type="dxa"/>
            <w:tcBorders>
              <w:top w:val="single" w:sz="8" w:space="0" w:color="365F91"/>
              <w:bottom w:val="single" w:sz="8" w:space="0" w:color="365F91"/>
            </w:tcBorders>
            <w:shd w:val="clear" w:color="auto" w:fill="FFFFFF"/>
            <w:tcMar>
              <w:top w:w="0" w:type="dxa"/>
              <w:left w:w="108" w:type="dxa"/>
              <w:bottom w:w="0" w:type="dxa"/>
              <w:right w:w="108" w:type="dxa"/>
            </w:tcMar>
          </w:tcPr>
          <w:p w14:paraId="3B9F7E08" w14:textId="77777777" w:rsidR="004D0912" w:rsidRPr="00BE78CA" w:rsidRDefault="004D0912" w:rsidP="00AA248B">
            <w:pPr>
              <w:pStyle w:val="TableText"/>
              <w:jc w:val="right"/>
            </w:pPr>
            <w:r w:rsidRPr="00BE78CA">
              <w:rPr>
                <w:rFonts w:eastAsia="Calibri"/>
              </w:rPr>
              <w:t>–27,425.1</w:t>
            </w:r>
          </w:p>
        </w:tc>
        <w:tc>
          <w:tcPr>
            <w:tcW w:w="1985" w:type="dxa"/>
            <w:tcBorders>
              <w:top w:val="single" w:sz="8" w:space="0" w:color="365F91"/>
              <w:bottom w:val="single" w:sz="8" w:space="0" w:color="365F91"/>
            </w:tcBorders>
            <w:shd w:val="clear" w:color="auto" w:fill="FFFFFF"/>
            <w:tcMar>
              <w:top w:w="0" w:type="dxa"/>
              <w:left w:w="108" w:type="dxa"/>
              <w:bottom w:w="0" w:type="dxa"/>
              <w:right w:w="108" w:type="dxa"/>
            </w:tcMar>
          </w:tcPr>
          <w:p w14:paraId="70B2C4F5" w14:textId="77777777" w:rsidR="004D0912" w:rsidRPr="00BE78CA" w:rsidRDefault="004D0912" w:rsidP="00AA248B">
            <w:pPr>
              <w:pStyle w:val="TableText"/>
              <w:jc w:val="right"/>
            </w:pPr>
            <w:r w:rsidRPr="00BE78CA">
              <w:rPr>
                <w:rFonts w:eastAsia="Calibri"/>
              </w:rPr>
              <w:t>–3,410.6</w:t>
            </w:r>
          </w:p>
        </w:tc>
        <w:tc>
          <w:tcPr>
            <w:tcW w:w="1978" w:type="dxa"/>
            <w:tcBorders>
              <w:top w:val="single" w:sz="8" w:space="0" w:color="365F91"/>
              <w:bottom w:val="single" w:sz="8" w:space="0" w:color="365F91"/>
              <w:right w:val="single" w:sz="4" w:space="0" w:color="FFFFFF"/>
            </w:tcBorders>
            <w:shd w:val="clear" w:color="auto" w:fill="FFFFFF"/>
            <w:tcMar>
              <w:top w:w="0" w:type="dxa"/>
              <w:left w:w="108" w:type="dxa"/>
              <w:bottom w:w="0" w:type="dxa"/>
              <w:right w:w="108" w:type="dxa"/>
            </w:tcMar>
          </w:tcPr>
          <w:p w14:paraId="153AD2DC" w14:textId="77777777" w:rsidR="004D0912" w:rsidRPr="00BE78CA" w:rsidRDefault="004D0912" w:rsidP="00AA248B">
            <w:pPr>
              <w:pStyle w:val="TableText"/>
              <w:jc w:val="right"/>
            </w:pPr>
            <w:r w:rsidRPr="00BE78CA">
              <w:rPr>
                <w:rFonts w:eastAsia="Calibri"/>
              </w:rPr>
              <w:t>–14.2%</w:t>
            </w:r>
          </w:p>
        </w:tc>
      </w:tr>
      <w:tr w:rsidR="00AA248B" w:rsidRPr="00BE78CA" w14:paraId="091DCC0F" w14:textId="77777777" w:rsidTr="0003216A">
        <w:trPr>
          <w:cantSplit/>
        </w:trPr>
        <w:tc>
          <w:tcPr>
            <w:tcW w:w="2405" w:type="dxa"/>
            <w:tcBorders>
              <w:top w:val="single" w:sz="8" w:space="0" w:color="365F91"/>
              <w:left w:val="single" w:sz="4" w:space="0" w:color="FFFFFF"/>
              <w:bottom w:val="single" w:sz="4" w:space="0" w:color="365F91"/>
            </w:tcBorders>
            <w:shd w:val="clear" w:color="auto" w:fill="FFFFFF"/>
            <w:tcMar>
              <w:top w:w="0" w:type="dxa"/>
              <w:left w:w="108" w:type="dxa"/>
              <w:bottom w:w="0" w:type="dxa"/>
              <w:right w:w="108" w:type="dxa"/>
            </w:tcMar>
          </w:tcPr>
          <w:p w14:paraId="06E9ABC4" w14:textId="77777777" w:rsidR="004D0912" w:rsidRPr="00BE78CA" w:rsidRDefault="004D0912" w:rsidP="00AA248B">
            <w:pPr>
              <w:pStyle w:val="Tableboldblue"/>
            </w:pPr>
            <w:r w:rsidRPr="00BE78CA">
              <w:rPr>
                <w:rFonts w:eastAsia="Calibri"/>
              </w:rPr>
              <w:t>Net</w:t>
            </w:r>
          </w:p>
        </w:tc>
        <w:tc>
          <w:tcPr>
            <w:tcW w:w="992" w:type="dxa"/>
            <w:tcBorders>
              <w:top w:val="single" w:sz="8" w:space="0" w:color="365F91"/>
              <w:bottom w:val="single" w:sz="4" w:space="0" w:color="365F91"/>
            </w:tcBorders>
            <w:shd w:val="clear" w:color="auto" w:fill="FFFFFF"/>
            <w:tcMar>
              <w:top w:w="0" w:type="dxa"/>
              <w:left w:w="108" w:type="dxa"/>
              <w:bottom w:w="0" w:type="dxa"/>
              <w:right w:w="108" w:type="dxa"/>
            </w:tcMar>
          </w:tcPr>
          <w:p w14:paraId="4D6F3D84" w14:textId="77777777" w:rsidR="004D0912" w:rsidRPr="00BE78CA" w:rsidRDefault="004D0912" w:rsidP="00AA248B">
            <w:pPr>
              <w:pStyle w:val="Tableboldblue"/>
              <w:jc w:val="right"/>
            </w:pPr>
            <w:r w:rsidRPr="00BE78CA">
              <w:rPr>
                <w:rFonts w:eastAsia="Calibri"/>
              </w:rPr>
              <w:t>41,114.8</w:t>
            </w:r>
          </w:p>
        </w:tc>
        <w:tc>
          <w:tcPr>
            <w:tcW w:w="1134" w:type="dxa"/>
            <w:tcBorders>
              <w:top w:val="single" w:sz="8" w:space="0" w:color="365F91"/>
              <w:bottom w:val="single" w:sz="4" w:space="0" w:color="365F91"/>
            </w:tcBorders>
            <w:shd w:val="clear" w:color="auto" w:fill="FFFFFF"/>
            <w:tcMar>
              <w:top w:w="0" w:type="dxa"/>
              <w:left w:w="108" w:type="dxa"/>
              <w:bottom w:w="0" w:type="dxa"/>
              <w:right w:w="108" w:type="dxa"/>
            </w:tcMar>
          </w:tcPr>
          <w:p w14:paraId="3F97DD73" w14:textId="77777777" w:rsidR="004D0912" w:rsidRPr="00BE78CA" w:rsidRDefault="004D0912" w:rsidP="00AA248B">
            <w:pPr>
              <w:pStyle w:val="Tableboldblue"/>
              <w:jc w:val="right"/>
            </w:pPr>
            <w:r w:rsidRPr="00BE78CA">
              <w:rPr>
                <w:rFonts w:eastAsia="Calibri"/>
              </w:rPr>
              <w:t>54,892.8</w:t>
            </w:r>
          </w:p>
        </w:tc>
        <w:tc>
          <w:tcPr>
            <w:tcW w:w="1985" w:type="dxa"/>
            <w:tcBorders>
              <w:top w:val="single" w:sz="8" w:space="0" w:color="365F91"/>
              <w:bottom w:val="single" w:sz="4" w:space="0" w:color="365F91"/>
            </w:tcBorders>
            <w:shd w:val="clear" w:color="auto" w:fill="FFFFFF"/>
            <w:tcMar>
              <w:top w:w="0" w:type="dxa"/>
              <w:left w:w="108" w:type="dxa"/>
              <w:bottom w:w="0" w:type="dxa"/>
              <w:right w:w="108" w:type="dxa"/>
            </w:tcMar>
          </w:tcPr>
          <w:p w14:paraId="40175F37" w14:textId="77777777" w:rsidR="004D0912" w:rsidRPr="00BE78CA" w:rsidRDefault="004D0912" w:rsidP="00AA248B">
            <w:pPr>
              <w:pStyle w:val="Tableboldblue"/>
              <w:jc w:val="right"/>
            </w:pPr>
            <w:r w:rsidRPr="00BE78CA">
              <w:rPr>
                <w:rFonts w:eastAsia="Calibri"/>
              </w:rPr>
              <w:t>13,778.0</w:t>
            </w:r>
          </w:p>
        </w:tc>
        <w:tc>
          <w:tcPr>
            <w:tcW w:w="1978" w:type="dxa"/>
            <w:tcBorders>
              <w:top w:val="single" w:sz="8" w:space="0" w:color="365F91"/>
              <w:bottom w:val="single" w:sz="4" w:space="0" w:color="365F91"/>
              <w:right w:val="single" w:sz="4" w:space="0" w:color="FFFFFF"/>
            </w:tcBorders>
            <w:shd w:val="clear" w:color="auto" w:fill="FFFFFF"/>
            <w:tcMar>
              <w:top w:w="0" w:type="dxa"/>
              <w:left w:w="108" w:type="dxa"/>
              <w:bottom w:w="0" w:type="dxa"/>
              <w:right w:w="108" w:type="dxa"/>
            </w:tcMar>
          </w:tcPr>
          <w:p w14:paraId="5BACA409" w14:textId="77777777" w:rsidR="004D0912" w:rsidRPr="00BE78CA" w:rsidRDefault="004D0912" w:rsidP="00AA248B">
            <w:pPr>
              <w:pStyle w:val="Tableboldblue"/>
              <w:jc w:val="right"/>
            </w:pPr>
            <w:r w:rsidRPr="00BE78CA">
              <w:rPr>
                <w:rFonts w:eastAsia="Calibri"/>
              </w:rPr>
              <w:t>33.5%</w:t>
            </w:r>
          </w:p>
        </w:tc>
      </w:tr>
    </w:tbl>
    <w:p w14:paraId="572A064F" w14:textId="77777777" w:rsidR="004D0912" w:rsidRPr="00BE78CA" w:rsidRDefault="004D0912" w:rsidP="004D0912">
      <w:pPr>
        <w:pStyle w:val="Noteundertable"/>
      </w:pPr>
      <w:r w:rsidRPr="00BE78CA">
        <w:rPr>
          <w:b/>
        </w:rPr>
        <w:t>Note:</w:t>
      </w:r>
      <w:r w:rsidRPr="00BE78CA">
        <w:t xml:space="preserve"> </w:t>
      </w:r>
      <w:r w:rsidRPr="00BE78CA">
        <w:tab/>
        <w:t>Net emissions from the LULUCF sector are as reported under the Convention (chapter 6). Columns may not sum due to rounding. Percentages presented are calculated from unrounded values.</w:t>
      </w:r>
    </w:p>
    <w:p w14:paraId="0240DAA5" w14:textId="77777777" w:rsidR="004D0912" w:rsidRPr="00BE78CA" w:rsidRDefault="004D0912" w:rsidP="004D0912">
      <w:pPr>
        <w:pStyle w:val="Figure"/>
      </w:pPr>
      <w:bookmarkStart w:id="176" w:name="_Toc68786624"/>
      <w:r w:rsidRPr="00BE78CA">
        <w:lastRenderedPageBreak/>
        <w:t xml:space="preserve">Figure 2.2.4 </w:t>
      </w:r>
      <w:r w:rsidRPr="00BE78CA">
        <w:tab/>
        <w:t>Change in New Zealand’s emissions by sector comparing 1990 and 2019</w:t>
      </w:r>
      <w:bookmarkEnd w:id="176"/>
    </w:p>
    <w:p w14:paraId="0D10AC88" w14:textId="77777777" w:rsidR="004D0912" w:rsidRPr="00BE78CA" w:rsidRDefault="004D0912" w:rsidP="004D0912">
      <w:pPr>
        <w:pStyle w:val="BodyText"/>
      </w:pPr>
      <w:r w:rsidRPr="00BE78CA">
        <w:rPr>
          <w:noProof/>
        </w:rPr>
        <w:drawing>
          <wp:inline distT="0" distB="0" distL="0" distR="0" wp14:anchorId="3BEDBD68" wp14:editId="33D8088F">
            <wp:extent cx="5396743" cy="3873261"/>
            <wp:effectExtent l="0" t="0" r="0" b="0"/>
            <wp:docPr id="18" name="Picture"/>
            <wp:cNvGraphicFramePr/>
            <a:graphic xmlns:a="http://schemas.openxmlformats.org/drawingml/2006/main">
              <a:graphicData uri="http://schemas.openxmlformats.org/drawingml/2006/picture">
                <pic:pic xmlns:pic="http://schemas.openxmlformats.org/drawingml/2006/picture">
                  <pic:nvPicPr>
                    <pic:cNvPr id="0" name="Picture" descr="code/graphs/images/es_4_3_crf.png"/>
                    <pic:cNvPicPr>
                      <a:picLocks noChangeAspect="1" noChangeArrowheads="1"/>
                    </pic:cNvPicPr>
                  </pic:nvPicPr>
                  <pic:blipFill rotWithShape="1">
                    <a:blip r:embed="rId25"/>
                    <a:srcRect b="1696"/>
                    <a:stretch/>
                  </pic:blipFill>
                  <pic:spPr bwMode="auto">
                    <a:xfrm>
                      <a:off x="0" y="0"/>
                      <a:ext cx="5401761" cy="3876862"/>
                    </a:xfrm>
                    <a:prstGeom prst="rect">
                      <a:avLst/>
                    </a:prstGeom>
                    <a:noFill/>
                    <a:ln>
                      <a:noFill/>
                    </a:ln>
                    <a:extLst>
                      <a:ext uri="{53640926-AAD7-44D8-BBD7-CCE9431645EC}">
                        <a14:shadowObscured xmlns:a14="http://schemas.microsoft.com/office/drawing/2010/main"/>
                      </a:ext>
                    </a:extLst>
                  </pic:spPr>
                </pic:pic>
              </a:graphicData>
            </a:graphic>
          </wp:inline>
        </w:drawing>
      </w:r>
    </w:p>
    <w:p w14:paraId="53B7A6EA" w14:textId="77777777" w:rsidR="004D0912" w:rsidRPr="00BE78CA" w:rsidRDefault="004D0912" w:rsidP="004D0912">
      <w:pPr>
        <w:pStyle w:val="BodyText"/>
      </w:pPr>
      <w:r w:rsidRPr="00BE78CA">
        <w:t>Figure 2.2.5 presents the absolute change in gross emissions for each sector (LULUCF is excluded from the estimate of gross emissions).</w:t>
      </w:r>
    </w:p>
    <w:p w14:paraId="478B30BF" w14:textId="77777777" w:rsidR="004D0912" w:rsidRPr="00BE78CA" w:rsidRDefault="004D0912" w:rsidP="004D0912">
      <w:pPr>
        <w:pStyle w:val="BodyText"/>
      </w:pPr>
      <w:r w:rsidRPr="00BE78CA">
        <w:t>The figure shows that the absolute changes in New Zealand’s gross emissions were mostly influenced by changes in the Agriculture and Energy sectors. This is to be expected because they are the largest sectors of the New Zealand economy and show higher sensitivity to both changes in global economic conditions, extreme weather conditions and natural disasters.</w:t>
      </w:r>
    </w:p>
    <w:p w14:paraId="41D9E076" w14:textId="77777777" w:rsidR="004D0912" w:rsidRPr="00BE78CA" w:rsidRDefault="004D0912" w:rsidP="004D0912">
      <w:pPr>
        <w:pStyle w:val="BodyText"/>
      </w:pPr>
      <w:r w:rsidRPr="00BE78CA">
        <w:t>For example, during droughts, the level of inflow to hydro lakes is low resulting in lower levels of hydro electricity production. Consequently, electricity produced from fossil fuels makes a higher contribution to the national electricity grid resulting in increased emissions from the Energy sector.</w:t>
      </w:r>
    </w:p>
    <w:p w14:paraId="5E84D6DF" w14:textId="77777777" w:rsidR="004D0912" w:rsidRPr="00BE78CA" w:rsidRDefault="004D0912" w:rsidP="004D0912">
      <w:pPr>
        <w:pStyle w:val="BodyText"/>
      </w:pPr>
      <w:r w:rsidRPr="00BE78CA">
        <w:t>Droughts also affect the size of the livestock and livestock productivity, which usually result in reduced emissions from the Agriculture sector.</w:t>
      </w:r>
    </w:p>
    <w:p w14:paraId="29341835" w14:textId="77777777" w:rsidR="004D0912" w:rsidRPr="00BE78CA" w:rsidRDefault="004D0912" w:rsidP="004D0912">
      <w:pPr>
        <w:pStyle w:val="BodyText"/>
      </w:pPr>
      <w:r w:rsidRPr="00BE78CA">
        <w:t xml:space="preserve">Figure 2.2.5 also shows an increase in emissions from Tokelau, which is mainly due to ongoing increases in emissions from </w:t>
      </w:r>
      <w:r w:rsidRPr="00BE78CA">
        <w:rPr>
          <w:i/>
        </w:rPr>
        <w:t>Domestic navigation</w:t>
      </w:r>
      <w:r w:rsidRPr="00BE78CA">
        <w:t xml:space="preserve"> as a result of an increasing number of sea voyages between the atolls.</w:t>
      </w:r>
    </w:p>
    <w:p w14:paraId="4E917202" w14:textId="695BE8A1" w:rsidR="004D0912" w:rsidRPr="00BE78CA" w:rsidRDefault="004D0912" w:rsidP="004D0912">
      <w:pPr>
        <w:pStyle w:val="Figure"/>
      </w:pPr>
      <w:bookmarkStart w:id="177" w:name="_Toc68786625"/>
      <w:r w:rsidRPr="00BE78CA">
        <w:lastRenderedPageBreak/>
        <w:t>Figure 2.2.5</w:t>
      </w:r>
      <w:r w:rsidRPr="00BE78CA">
        <w:tab/>
        <w:t>Absolute change in New Zealand’s gross emissions by sector from 1990</w:t>
      </w:r>
      <w:r w:rsidR="005B6417" w:rsidRPr="00BE78CA">
        <w:t> </w:t>
      </w:r>
      <w:r w:rsidRPr="00BE78CA">
        <w:t>to</w:t>
      </w:r>
      <w:r w:rsidR="005B6417" w:rsidRPr="00BE78CA">
        <w:t> </w:t>
      </w:r>
      <w:r w:rsidRPr="00BE78CA">
        <w:t>2019</w:t>
      </w:r>
      <w:bookmarkEnd w:id="177"/>
    </w:p>
    <w:p w14:paraId="3CCF9EE1" w14:textId="77777777" w:rsidR="004D0912" w:rsidRPr="00BE78CA" w:rsidRDefault="004D0912" w:rsidP="001A3E1F">
      <w:pPr>
        <w:pStyle w:val="BodyText"/>
        <w:spacing w:before="80"/>
      </w:pPr>
      <w:r w:rsidRPr="00BE78CA">
        <w:rPr>
          <w:noProof/>
        </w:rPr>
        <w:drawing>
          <wp:inline distT="0" distB="0" distL="0" distR="0" wp14:anchorId="4039D38C" wp14:editId="3E9908C1">
            <wp:extent cx="5397500" cy="3942892"/>
            <wp:effectExtent l="0" t="0" r="0" b="635"/>
            <wp:docPr id="19" name="Picture"/>
            <wp:cNvGraphicFramePr/>
            <a:graphic xmlns:a="http://schemas.openxmlformats.org/drawingml/2006/main">
              <a:graphicData uri="http://schemas.openxmlformats.org/drawingml/2006/picture">
                <pic:pic xmlns:pic="http://schemas.openxmlformats.org/drawingml/2006/picture">
                  <pic:nvPicPr>
                    <pic:cNvPr id="0" name="Picture" descr="code/graphs/images/fig_2_2_5_crf.png"/>
                    <pic:cNvPicPr>
                      <a:picLocks noChangeAspect="1" noChangeArrowheads="1"/>
                    </pic:cNvPicPr>
                  </pic:nvPicPr>
                  <pic:blipFill rotWithShape="1">
                    <a:blip r:embed="rId44"/>
                    <a:srcRect b="2599"/>
                    <a:stretch/>
                  </pic:blipFill>
                  <pic:spPr bwMode="auto">
                    <a:xfrm>
                      <a:off x="0" y="0"/>
                      <a:ext cx="5397500" cy="3942892"/>
                    </a:xfrm>
                    <a:prstGeom prst="rect">
                      <a:avLst/>
                    </a:prstGeom>
                    <a:noFill/>
                    <a:ln>
                      <a:noFill/>
                    </a:ln>
                    <a:extLst>
                      <a:ext uri="{53640926-AAD7-44D8-BBD7-CCE9431645EC}">
                        <a14:shadowObscured xmlns:a14="http://schemas.microsoft.com/office/drawing/2010/main"/>
                      </a:ext>
                    </a:extLst>
                  </pic:spPr>
                </pic:pic>
              </a:graphicData>
            </a:graphic>
          </wp:inline>
        </w:drawing>
      </w:r>
    </w:p>
    <w:p w14:paraId="040EE3A6" w14:textId="77777777" w:rsidR="004D0912" w:rsidRPr="00BE78CA" w:rsidRDefault="004D0912" w:rsidP="004D0912">
      <w:pPr>
        <w:pStyle w:val="Noteundertable"/>
      </w:pPr>
      <w:r w:rsidRPr="00BE78CA">
        <w:rPr>
          <w:b/>
        </w:rPr>
        <w:t>Note:</w:t>
      </w:r>
      <w:r w:rsidRPr="00BE78CA">
        <w:rPr>
          <w:b/>
        </w:rPr>
        <w:tab/>
      </w:r>
      <w:r w:rsidRPr="00BE78CA">
        <w:t xml:space="preserve"> Gross emissions exclude emissions from LULUCF.</w:t>
      </w:r>
    </w:p>
    <w:p w14:paraId="4A401CD6" w14:textId="77777777" w:rsidR="004D0912" w:rsidRPr="00BE78CA" w:rsidRDefault="004D0912" w:rsidP="004D0912">
      <w:pPr>
        <w:pStyle w:val="BodyText"/>
      </w:pPr>
      <w:r w:rsidRPr="00BE78CA">
        <w:t>Net removals from the LULUCF sector fluctuate significantly over the time series. The fluctuations in net removals from LULUCF (figure 2.2.6) are influenced by harvesting and deforestation rates (see LULUCF sector section below).</w:t>
      </w:r>
    </w:p>
    <w:p w14:paraId="189F2D2A" w14:textId="0FF1B2AD" w:rsidR="004D0912" w:rsidRPr="00BE78CA" w:rsidRDefault="004D0912" w:rsidP="004D0912">
      <w:pPr>
        <w:pStyle w:val="Figure"/>
      </w:pPr>
      <w:bookmarkStart w:id="178" w:name="_Toc68786626"/>
      <w:r w:rsidRPr="00BE78CA">
        <w:lastRenderedPageBreak/>
        <w:t>Figure 2.2.6</w:t>
      </w:r>
      <w:r w:rsidRPr="00BE78CA">
        <w:tab/>
        <w:t>Absolute change in net emission from the LULUCF sector from 1990 to 2019</w:t>
      </w:r>
      <w:bookmarkEnd w:id="178"/>
    </w:p>
    <w:p w14:paraId="2D945B8E" w14:textId="77777777" w:rsidR="004D0912" w:rsidRPr="00BE78CA" w:rsidRDefault="004D0912" w:rsidP="00313EA5">
      <w:pPr>
        <w:pStyle w:val="BodyText"/>
        <w:spacing w:before="80" w:after="0"/>
      </w:pPr>
      <w:r w:rsidRPr="00BE78CA">
        <w:rPr>
          <w:noProof/>
        </w:rPr>
        <w:drawing>
          <wp:inline distT="0" distB="0" distL="0" distR="0" wp14:anchorId="09255C09" wp14:editId="79488568">
            <wp:extent cx="5397500" cy="4048125"/>
            <wp:effectExtent l="0" t="0" r="0" b="0"/>
            <wp:docPr id="20" name="Picture"/>
            <wp:cNvGraphicFramePr/>
            <a:graphic xmlns:a="http://schemas.openxmlformats.org/drawingml/2006/main">
              <a:graphicData uri="http://schemas.openxmlformats.org/drawingml/2006/picture">
                <pic:pic xmlns:pic="http://schemas.openxmlformats.org/drawingml/2006/picture">
                  <pic:nvPicPr>
                    <pic:cNvPr id="0" name="Picture" descr="code/graphs/images/fig_2_2_6_crf.png"/>
                    <pic:cNvPicPr>
                      <a:picLocks noChangeAspect="1" noChangeArrowheads="1"/>
                    </pic:cNvPicPr>
                  </pic:nvPicPr>
                  <pic:blipFill>
                    <a:blip r:embed="rId45"/>
                    <a:stretch>
                      <a:fillRect/>
                    </a:stretch>
                  </pic:blipFill>
                  <pic:spPr bwMode="auto">
                    <a:xfrm>
                      <a:off x="0" y="0"/>
                      <a:ext cx="5397500" cy="4048125"/>
                    </a:xfrm>
                    <a:prstGeom prst="rect">
                      <a:avLst/>
                    </a:prstGeom>
                    <a:noFill/>
                    <a:ln w="9525">
                      <a:noFill/>
                      <a:headEnd/>
                      <a:tailEnd/>
                    </a:ln>
                  </pic:spPr>
                </pic:pic>
              </a:graphicData>
            </a:graphic>
          </wp:inline>
        </w:drawing>
      </w:r>
    </w:p>
    <w:p w14:paraId="2F893260" w14:textId="77777777" w:rsidR="004D0912" w:rsidRPr="00BE78CA" w:rsidRDefault="004D0912" w:rsidP="00313EA5">
      <w:pPr>
        <w:pStyle w:val="Heading4"/>
        <w:spacing w:before="280"/>
      </w:pPr>
      <w:bookmarkStart w:id="179" w:name="energy-sector"/>
      <w:r w:rsidRPr="00BE78CA">
        <w:t>Energy sector</w:t>
      </w:r>
      <w:bookmarkEnd w:id="179"/>
    </w:p>
    <w:p w14:paraId="3D5E53E8" w14:textId="77777777" w:rsidR="004D0912" w:rsidRPr="00BE78CA" w:rsidRDefault="004D0912" w:rsidP="004D0912">
      <w:pPr>
        <w:pStyle w:val="BodyText"/>
      </w:pPr>
      <w:r w:rsidRPr="00BE78CA">
        <w:t>Emissions from the Energy sector are dominated by CO</w:t>
      </w:r>
      <w:r w:rsidRPr="00BE78CA">
        <w:rPr>
          <w:vertAlign w:val="subscript"/>
        </w:rPr>
        <w:t>2</w:t>
      </w:r>
      <w:r w:rsidRPr="00BE78CA">
        <w:t xml:space="preserve"> (96.9 per cent of all emissions from the sector) and smaller amounts of CH</w:t>
      </w:r>
      <w:r w:rsidRPr="00BE78CA">
        <w:rPr>
          <w:vertAlign w:val="subscript"/>
        </w:rPr>
        <w:t>4</w:t>
      </w:r>
      <w:r w:rsidRPr="00BE78CA">
        <w:t xml:space="preserve"> and N</w:t>
      </w:r>
      <w:r w:rsidRPr="00BE78CA">
        <w:rPr>
          <w:vertAlign w:val="subscript"/>
        </w:rPr>
        <w:t>2</w:t>
      </w:r>
      <w:r w:rsidRPr="00BE78CA">
        <w:t xml:space="preserve">O (2.4 per cent and 0.7 per cent respectively). The major source categories in the sector are </w:t>
      </w:r>
      <w:r w:rsidRPr="00BE78CA">
        <w:rPr>
          <w:i/>
        </w:rPr>
        <w:t>Road transportation</w:t>
      </w:r>
      <w:r w:rsidRPr="00BE78CA">
        <w:t xml:space="preserve"> and </w:t>
      </w:r>
      <w:r w:rsidRPr="00BE78CA">
        <w:rPr>
          <w:i/>
        </w:rPr>
        <w:t>Public electricity and heat production</w:t>
      </w:r>
      <w:r w:rsidRPr="00BE78CA">
        <w:t>.</w:t>
      </w:r>
    </w:p>
    <w:p w14:paraId="66C5CC9C" w14:textId="77777777" w:rsidR="004D0912" w:rsidRPr="00BE78CA" w:rsidRDefault="004D0912" w:rsidP="004D0912">
      <w:pPr>
        <w:pStyle w:val="BodyText"/>
      </w:pPr>
      <w:r w:rsidRPr="00BE78CA">
        <w:t>Emissions in the Energy sector are influenced not only by demand but also climatic conditions. A large proportion of New Zealand’s stationary energy needs are met by renewables, mainly hydro power and wind.</w:t>
      </w:r>
      <w:r w:rsidRPr="00BE78CA">
        <w:rPr>
          <w:rStyle w:val="FootnoteReference"/>
        </w:rPr>
        <w:footnoteReference w:id="24"/>
      </w:r>
    </w:p>
    <w:p w14:paraId="4D477B00" w14:textId="77777777" w:rsidR="004D0912" w:rsidRPr="00BE78CA" w:rsidRDefault="004D0912" w:rsidP="004D0912">
      <w:pPr>
        <w:pStyle w:val="Heading5"/>
      </w:pPr>
      <w:r w:rsidRPr="00BE78CA">
        <w:t>2019</w:t>
      </w:r>
    </w:p>
    <w:p w14:paraId="4A469248" w14:textId="1397E1E7" w:rsidR="004D0912" w:rsidRPr="00BE78CA" w:rsidRDefault="004D0912" w:rsidP="004D0912">
      <w:pPr>
        <w:pStyle w:val="BodyText"/>
        <w:rPr>
          <w:bCs/>
        </w:rPr>
      </w:pPr>
      <w:r w:rsidRPr="00BE78CA">
        <w:t xml:space="preserve">In </w:t>
      </w:r>
      <w:r w:rsidRPr="00BE78CA">
        <w:rPr>
          <w:bCs/>
        </w:rPr>
        <w:t>2019, emissions from the Energy sector contributed 34,263.1 kt CO</w:t>
      </w:r>
      <w:r w:rsidRPr="00BE78CA">
        <w:rPr>
          <w:bCs/>
          <w:vertAlign w:val="subscript"/>
        </w:rPr>
        <w:t>2</w:t>
      </w:r>
      <w:r w:rsidRPr="00BE78CA">
        <w:rPr>
          <w:bCs/>
        </w:rPr>
        <w:t>-e or 41.6 cent of New</w:t>
      </w:r>
      <w:r w:rsidR="001A3E1F" w:rsidRPr="00BE78CA">
        <w:rPr>
          <w:bCs/>
        </w:rPr>
        <w:t> </w:t>
      </w:r>
      <w:r w:rsidRPr="00BE78CA">
        <w:rPr>
          <w:bCs/>
        </w:rPr>
        <w:t>Zealand’s gross GHG emissions (see figure 2.2.1 and Executive summary, figure ES 4.2).</w:t>
      </w:r>
    </w:p>
    <w:p w14:paraId="1066A17C" w14:textId="77777777" w:rsidR="004D0912" w:rsidRPr="00BE78CA" w:rsidRDefault="004D0912" w:rsidP="004D0912">
      <w:pPr>
        <w:pStyle w:val="BodyText"/>
        <w:rPr>
          <w:bCs/>
        </w:rPr>
      </w:pPr>
      <w:r w:rsidRPr="00BE78CA">
        <w:rPr>
          <w:bCs/>
        </w:rPr>
        <w:t xml:space="preserve">The largest sources of emissions in the Energy sector were </w:t>
      </w:r>
      <w:r w:rsidRPr="00BE78CA">
        <w:rPr>
          <w:bCs/>
          <w:i/>
        </w:rPr>
        <w:t>Road transportation</w:t>
      </w:r>
      <w:r w:rsidRPr="00BE78CA">
        <w:rPr>
          <w:bCs/>
        </w:rPr>
        <w:t>, contributing 14,670.1 kt CO</w:t>
      </w:r>
      <w:r w:rsidRPr="00BE78CA">
        <w:rPr>
          <w:bCs/>
          <w:vertAlign w:val="subscript"/>
        </w:rPr>
        <w:t>2</w:t>
      </w:r>
      <w:r w:rsidRPr="00BE78CA">
        <w:rPr>
          <w:bCs/>
        </w:rPr>
        <w:t xml:space="preserve">-e (42.8 per cent), and </w:t>
      </w:r>
      <w:r w:rsidRPr="00BE78CA">
        <w:rPr>
          <w:bCs/>
          <w:i/>
        </w:rPr>
        <w:t>Public electricity and heat production</w:t>
      </w:r>
      <w:r w:rsidRPr="00BE78CA">
        <w:rPr>
          <w:bCs/>
        </w:rPr>
        <w:t xml:space="preserve"> category, contributing 4,181.3 kt CO</w:t>
      </w:r>
      <w:r w:rsidRPr="00BE78CA">
        <w:rPr>
          <w:bCs/>
          <w:vertAlign w:val="subscript"/>
        </w:rPr>
        <w:t>2</w:t>
      </w:r>
      <w:r w:rsidRPr="00BE78CA">
        <w:rPr>
          <w:bCs/>
        </w:rPr>
        <w:t>-e (12.2 per cent) to energy emissions.</w:t>
      </w:r>
    </w:p>
    <w:p w14:paraId="4C4DD6E8" w14:textId="77777777" w:rsidR="004D0912" w:rsidRPr="00BE78CA" w:rsidRDefault="004D0912" w:rsidP="004D0912">
      <w:pPr>
        <w:pStyle w:val="Heading5"/>
      </w:pPr>
      <w:r w:rsidRPr="00BE78CA">
        <w:t>1990–2019</w:t>
      </w:r>
    </w:p>
    <w:p w14:paraId="613A5959" w14:textId="77777777" w:rsidR="004D0912" w:rsidRPr="00BE78CA" w:rsidRDefault="004D0912" w:rsidP="004D0912">
      <w:pPr>
        <w:pStyle w:val="BodyText"/>
      </w:pPr>
      <w:r w:rsidRPr="00BE78CA">
        <w:t>In 2019, emissions from the Energy sector increased by 44.3 per cent (10,518.5 kt CO</w:t>
      </w:r>
      <w:r w:rsidRPr="00BE78CA">
        <w:rPr>
          <w:vertAlign w:val="subscript"/>
        </w:rPr>
        <w:t>2</w:t>
      </w:r>
      <w:r w:rsidRPr="00BE78CA">
        <w:t>-e) from the 1990 level of 23,744.5 kt CO</w:t>
      </w:r>
      <w:r w:rsidRPr="00BE78CA">
        <w:rPr>
          <w:vertAlign w:val="subscript"/>
        </w:rPr>
        <w:t>2</w:t>
      </w:r>
      <w:r w:rsidRPr="00BE78CA">
        <w:t>-e.</w:t>
      </w:r>
    </w:p>
    <w:p w14:paraId="168287B9" w14:textId="6749C0D9" w:rsidR="004D0912" w:rsidRPr="00BE78CA" w:rsidRDefault="004D0912" w:rsidP="004D0912">
      <w:pPr>
        <w:pStyle w:val="BodyText"/>
      </w:pPr>
      <w:r w:rsidRPr="00BE78CA">
        <w:lastRenderedPageBreak/>
        <w:t xml:space="preserve">This growth in emissions is primarily from </w:t>
      </w:r>
      <w:r w:rsidRPr="00BE78CA">
        <w:rPr>
          <w:i/>
        </w:rPr>
        <w:t>Road transportation</w:t>
      </w:r>
      <w:r w:rsidRPr="00BE78CA">
        <w:t>, which increased by 7,194.9 kt CO</w:t>
      </w:r>
      <w:r w:rsidRPr="00BE78CA">
        <w:rPr>
          <w:vertAlign w:val="subscript"/>
        </w:rPr>
        <w:t>2</w:t>
      </w:r>
      <w:r w:rsidRPr="00BE78CA">
        <w:t xml:space="preserve">-e (96.2 per cent), </w:t>
      </w:r>
      <w:r w:rsidRPr="00BE78CA">
        <w:rPr>
          <w:i/>
        </w:rPr>
        <w:t>Chemicals</w:t>
      </w:r>
      <w:r w:rsidRPr="00BE78CA">
        <w:t>, which increased by 1,325.1 kt CO</w:t>
      </w:r>
      <w:r w:rsidRPr="00BE78CA">
        <w:rPr>
          <w:vertAlign w:val="subscript"/>
        </w:rPr>
        <w:t>2</w:t>
      </w:r>
      <w:r w:rsidRPr="00BE78CA">
        <w:t xml:space="preserve">-e (240 per cent), and </w:t>
      </w:r>
      <w:r w:rsidRPr="00BE78CA">
        <w:rPr>
          <w:i/>
        </w:rPr>
        <w:t>Food</w:t>
      </w:r>
      <w:r w:rsidR="001A3E1F" w:rsidRPr="00BE78CA">
        <w:rPr>
          <w:i/>
        </w:rPr>
        <w:t> </w:t>
      </w:r>
      <w:r w:rsidRPr="00BE78CA">
        <w:rPr>
          <w:i/>
        </w:rPr>
        <w:t>processing, beverages and tobacco</w:t>
      </w:r>
      <w:r w:rsidRPr="00BE78CA">
        <w:t>, which increased by 1,589.8 kt CO</w:t>
      </w:r>
      <w:r w:rsidRPr="00BE78CA">
        <w:rPr>
          <w:vertAlign w:val="subscript"/>
        </w:rPr>
        <w:t>2</w:t>
      </w:r>
      <w:r w:rsidRPr="00BE78CA">
        <w:t>-e (95.7 per cent).</w:t>
      </w:r>
    </w:p>
    <w:p w14:paraId="289D7643" w14:textId="77777777" w:rsidR="004D0912" w:rsidRPr="00BE78CA" w:rsidRDefault="004D0912" w:rsidP="004D0912">
      <w:pPr>
        <w:pStyle w:val="BodyText"/>
      </w:pPr>
      <w:r w:rsidRPr="00BE78CA">
        <w:t xml:space="preserve">In 2019, emissions from the </w:t>
      </w:r>
      <w:r w:rsidRPr="00BE78CA">
        <w:rPr>
          <w:i/>
        </w:rPr>
        <w:t>Manufacture of solid fuels and other energy industries</w:t>
      </w:r>
      <w:r w:rsidRPr="00BE78CA">
        <w:t xml:space="preserve"> were lower than the 1990 level, by 1,408.1 kt CO</w:t>
      </w:r>
      <w:r w:rsidRPr="00BE78CA">
        <w:rPr>
          <w:vertAlign w:val="subscript"/>
        </w:rPr>
        <w:t>2</w:t>
      </w:r>
      <w:r w:rsidRPr="00BE78CA">
        <w:t>-e (79.9 per cent). This decrease is primarily due to the cessation of synthetic gasoline production in 1997.</w:t>
      </w:r>
    </w:p>
    <w:p w14:paraId="3BCEA8B4" w14:textId="77777777" w:rsidR="004D0912" w:rsidRPr="00BE78CA" w:rsidRDefault="004D0912" w:rsidP="004D0912">
      <w:pPr>
        <w:pStyle w:val="BodyText"/>
      </w:pPr>
      <w:r w:rsidRPr="00BE78CA">
        <w:t>Figure ES 4.1 (Executive summary), figure 2.2.7, and figure 3.1.1 (chapter 3) show the Energy sector emissions time series from 1990 to 2019. The trend shows emissions increased until around 2005, after which there has been a general lateral movement.</w:t>
      </w:r>
    </w:p>
    <w:p w14:paraId="022ADC5C" w14:textId="13783215" w:rsidR="004D0912" w:rsidRPr="00BE78CA" w:rsidRDefault="004D0912" w:rsidP="004D0912">
      <w:pPr>
        <w:pStyle w:val="Figure"/>
      </w:pPr>
      <w:bookmarkStart w:id="180" w:name="_Toc68786627"/>
      <w:r w:rsidRPr="00BE78CA">
        <w:t>Figure 2.2.7</w:t>
      </w:r>
      <w:r w:rsidRPr="00BE78CA">
        <w:tab/>
        <w:t>New Zealand’s Energy sector emissions from 1990 to 2019</w:t>
      </w:r>
      <w:bookmarkEnd w:id="180"/>
    </w:p>
    <w:p w14:paraId="4154562A" w14:textId="77777777" w:rsidR="004D0912" w:rsidRPr="00BE78CA" w:rsidRDefault="004D0912" w:rsidP="004D0912">
      <w:pPr>
        <w:pStyle w:val="BodyText"/>
      </w:pPr>
      <w:r w:rsidRPr="00BE78CA">
        <w:rPr>
          <w:noProof/>
        </w:rPr>
        <w:drawing>
          <wp:inline distT="0" distB="0" distL="0" distR="0" wp14:anchorId="6E32D333" wp14:editId="2EDD4570">
            <wp:extent cx="5397500" cy="4048125"/>
            <wp:effectExtent l="0" t="0" r="0" b="0"/>
            <wp:docPr id="21" name="Picture"/>
            <wp:cNvGraphicFramePr/>
            <a:graphic xmlns:a="http://schemas.openxmlformats.org/drawingml/2006/main">
              <a:graphicData uri="http://schemas.openxmlformats.org/drawingml/2006/picture">
                <pic:pic xmlns:pic="http://schemas.openxmlformats.org/drawingml/2006/picture">
                  <pic:nvPicPr>
                    <pic:cNvPr id="0" name="Picture" descr="code/graphs/images/fig_2_2_7_crf.png"/>
                    <pic:cNvPicPr>
                      <a:picLocks noChangeAspect="1" noChangeArrowheads="1"/>
                    </pic:cNvPicPr>
                  </pic:nvPicPr>
                  <pic:blipFill>
                    <a:blip r:embed="rId46"/>
                    <a:stretch>
                      <a:fillRect/>
                    </a:stretch>
                  </pic:blipFill>
                  <pic:spPr bwMode="auto">
                    <a:xfrm>
                      <a:off x="0" y="0"/>
                      <a:ext cx="5397500" cy="4048125"/>
                    </a:xfrm>
                    <a:prstGeom prst="rect">
                      <a:avLst/>
                    </a:prstGeom>
                    <a:noFill/>
                    <a:ln w="9525">
                      <a:noFill/>
                      <a:headEnd/>
                      <a:tailEnd/>
                    </a:ln>
                  </pic:spPr>
                </pic:pic>
              </a:graphicData>
            </a:graphic>
          </wp:inline>
        </w:drawing>
      </w:r>
    </w:p>
    <w:p w14:paraId="5B7A718F" w14:textId="77777777" w:rsidR="004D0912" w:rsidRPr="00BE78CA" w:rsidRDefault="004D0912" w:rsidP="001A3E1F">
      <w:pPr>
        <w:pStyle w:val="Heading5"/>
      </w:pPr>
      <w:r w:rsidRPr="00BE78CA">
        <w:t>2018–2019</w:t>
      </w:r>
    </w:p>
    <w:p w14:paraId="036365CD" w14:textId="45ACC98A" w:rsidR="004D0912" w:rsidRPr="00BE78CA" w:rsidRDefault="004D0912" w:rsidP="004D0912">
      <w:pPr>
        <w:pStyle w:val="BodyText"/>
      </w:pPr>
      <w:r w:rsidRPr="00BE78CA">
        <w:t>Between 2018 and 2019, emissions from the Energy sector increased by 1,711.1 kt CO</w:t>
      </w:r>
      <w:r w:rsidRPr="00BE78CA">
        <w:rPr>
          <w:vertAlign w:val="subscript"/>
        </w:rPr>
        <w:t>2</w:t>
      </w:r>
      <w:r w:rsidRPr="00BE78CA">
        <w:t>-e (5.3</w:t>
      </w:r>
      <w:r w:rsidR="00505063" w:rsidRPr="00BE78CA">
        <w:t> </w:t>
      </w:r>
      <w:r w:rsidRPr="00BE78CA">
        <w:t>per cent). This is primarily due to the 756.5 kt CO</w:t>
      </w:r>
      <w:r w:rsidRPr="00BE78CA">
        <w:rPr>
          <w:vertAlign w:val="subscript"/>
        </w:rPr>
        <w:t>2</w:t>
      </w:r>
      <w:r w:rsidRPr="00BE78CA">
        <w:t xml:space="preserve">-e (11.0 per cent) increase in emissions from 1.A.2 </w:t>
      </w:r>
      <w:r w:rsidRPr="00BE78CA">
        <w:rPr>
          <w:i/>
        </w:rPr>
        <w:t>Manufacturing industries and construction</w:t>
      </w:r>
      <w:r w:rsidRPr="00BE78CA">
        <w:t>.</w:t>
      </w:r>
    </w:p>
    <w:p w14:paraId="17451DB3" w14:textId="00784099" w:rsidR="004D0912" w:rsidRPr="00BE78CA" w:rsidRDefault="004D0912" w:rsidP="004D0912">
      <w:pPr>
        <w:pStyle w:val="BodyText"/>
      </w:pPr>
      <w:r w:rsidRPr="00BE78CA">
        <w:t xml:space="preserve">The increase was partially offset by decreases from the categories 1.A.3.a </w:t>
      </w:r>
      <w:r w:rsidRPr="00BE78CA">
        <w:rPr>
          <w:i/>
        </w:rPr>
        <w:t>Domestic aviation</w:t>
      </w:r>
      <w:r w:rsidRPr="00BE78CA">
        <w:t xml:space="preserve"> and 1.A.3.b </w:t>
      </w:r>
      <w:r w:rsidRPr="00BE78CA">
        <w:rPr>
          <w:i/>
        </w:rPr>
        <w:t>Road transportation</w:t>
      </w:r>
      <w:r w:rsidRPr="00BE78CA">
        <w:t>, which decreased by 55.1 kt CO</w:t>
      </w:r>
      <w:r w:rsidRPr="00BE78CA">
        <w:rPr>
          <w:vertAlign w:val="subscript"/>
        </w:rPr>
        <w:t>2</w:t>
      </w:r>
      <w:r w:rsidRPr="00BE78CA">
        <w:t>-e (5.1 per cent) and 29.1</w:t>
      </w:r>
      <w:r w:rsidR="00505063" w:rsidRPr="00BE78CA">
        <w:t> </w:t>
      </w:r>
      <w:r w:rsidRPr="00BE78CA">
        <w:t>kt CO</w:t>
      </w:r>
      <w:r w:rsidRPr="00BE78CA">
        <w:rPr>
          <w:vertAlign w:val="subscript"/>
        </w:rPr>
        <w:t>2</w:t>
      </w:r>
      <w:r w:rsidRPr="00BE78CA">
        <w:t xml:space="preserve">-e (0.2 per cent) respectively. The decrease in domestic aviation for </w:t>
      </w:r>
      <w:r w:rsidRPr="00BE78CA">
        <w:rPr>
          <w:bCs/>
        </w:rPr>
        <w:t>2019</w:t>
      </w:r>
      <w:r w:rsidRPr="00BE78CA">
        <w:t xml:space="preserve"> saw activity fall</w:t>
      </w:r>
      <w:r w:rsidR="00505063" w:rsidRPr="00BE78CA">
        <w:t> </w:t>
      </w:r>
      <w:r w:rsidRPr="00BE78CA">
        <w:t>back to a similar level as 2017 after the peak of 2018. The five per cent drop was in-line with historical variability and for instance was similar to the five per cent drop seen in 2014, but less</w:t>
      </w:r>
      <w:r w:rsidR="00505063" w:rsidRPr="00BE78CA">
        <w:t> </w:t>
      </w:r>
      <w:r w:rsidRPr="00BE78CA">
        <w:t>than the 17 per cent drop of 2012. It is beyond the scope of this report to examine the</w:t>
      </w:r>
      <w:r w:rsidR="00505063" w:rsidRPr="00BE78CA">
        <w:t> </w:t>
      </w:r>
      <w:r w:rsidRPr="00BE78CA">
        <w:t>underlying drivers which are numerous and interlinked via complex economic and behavioural relationships.</w:t>
      </w:r>
    </w:p>
    <w:p w14:paraId="519126A8" w14:textId="77777777" w:rsidR="004D0912" w:rsidRPr="00BE78CA" w:rsidRDefault="004D0912" w:rsidP="004D0912">
      <w:pPr>
        <w:pStyle w:val="BodyText"/>
      </w:pPr>
      <w:r w:rsidRPr="00BE78CA">
        <w:lastRenderedPageBreak/>
        <w:t>A 720.1 kt CO</w:t>
      </w:r>
      <w:r w:rsidRPr="00BE78CA">
        <w:rPr>
          <w:vertAlign w:val="subscript"/>
        </w:rPr>
        <w:t>2</w:t>
      </w:r>
      <w:r w:rsidRPr="00BE78CA">
        <w:t xml:space="preserve">-e (20.8 per cent) increase also occurred in emissions from category 1.A.1.a </w:t>
      </w:r>
      <w:r w:rsidRPr="00BE78CA">
        <w:rPr>
          <w:i/>
        </w:rPr>
        <w:t>Public electricity and heat production</w:t>
      </w:r>
      <w:r w:rsidRPr="00BE78CA">
        <w:t>. This was primarily due to an increase in natural gas-fired and coal-fired generation in response to lower levels of hydro generation.</w:t>
      </w:r>
    </w:p>
    <w:p w14:paraId="4884D193" w14:textId="77777777" w:rsidR="004D0912" w:rsidRPr="00BE78CA" w:rsidRDefault="004D0912" w:rsidP="004D0912">
      <w:pPr>
        <w:pStyle w:val="Heading4"/>
      </w:pPr>
      <w:bookmarkStart w:id="181" w:name="ippu-sector"/>
      <w:r w:rsidRPr="00BE78CA">
        <w:t>IPPU sector</w:t>
      </w:r>
      <w:bookmarkEnd w:id="181"/>
    </w:p>
    <w:p w14:paraId="2A68C660" w14:textId="01EB1EBE" w:rsidR="004D0912" w:rsidRPr="00BE78CA" w:rsidRDefault="004D0912" w:rsidP="004D0912">
      <w:pPr>
        <w:pStyle w:val="BodyText"/>
      </w:pPr>
      <w:r w:rsidRPr="00BE78CA">
        <w:t>The IPPU sector in New Zealand produces CO</w:t>
      </w:r>
      <w:r w:rsidRPr="00BE78CA">
        <w:rPr>
          <w:vertAlign w:val="subscript"/>
        </w:rPr>
        <w:t>2</w:t>
      </w:r>
      <w:r w:rsidRPr="00BE78CA">
        <w:t xml:space="preserve"> emissions (60.3 per cent), fluorinated gases (35.9 per cent) and smaller amounts of CH</w:t>
      </w:r>
      <w:r w:rsidRPr="00BE78CA">
        <w:rPr>
          <w:vertAlign w:val="subscript"/>
        </w:rPr>
        <w:t>4</w:t>
      </w:r>
      <w:r w:rsidRPr="00BE78CA">
        <w:t xml:space="preserve"> and N</w:t>
      </w:r>
      <w:r w:rsidRPr="00BE78CA">
        <w:rPr>
          <w:vertAlign w:val="subscript"/>
        </w:rPr>
        <w:t>2</w:t>
      </w:r>
      <w:r w:rsidRPr="00BE78CA">
        <w:t xml:space="preserve">O. The major categories in the IPPU sector are </w:t>
      </w:r>
      <w:r w:rsidRPr="00BE78CA">
        <w:rPr>
          <w:i/>
        </w:rPr>
        <w:t>Iron and steel production</w:t>
      </w:r>
      <w:r w:rsidRPr="00BE78CA">
        <w:t xml:space="preserve">, </w:t>
      </w:r>
      <w:r w:rsidRPr="00BE78CA">
        <w:rPr>
          <w:i/>
        </w:rPr>
        <w:t>Refrigeration and air conditioning</w:t>
      </w:r>
      <w:r w:rsidRPr="00BE78CA">
        <w:t xml:space="preserve">, </w:t>
      </w:r>
      <w:r w:rsidRPr="00BE78CA">
        <w:rPr>
          <w:i/>
        </w:rPr>
        <w:t>Aluminium production</w:t>
      </w:r>
      <w:r w:rsidRPr="00BE78CA">
        <w:t xml:space="preserve"> and </w:t>
      </w:r>
      <w:r w:rsidRPr="00BE78CA">
        <w:rPr>
          <w:i/>
        </w:rPr>
        <w:t>Cement production</w:t>
      </w:r>
      <w:r w:rsidRPr="00BE78CA">
        <w:t>. Coal and natural gas are also used on a significant scale for energy in the</w:t>
      </w:r>
      <w:r w:rsidR="00505063" w:rsidRPr="00BE78CA">
        <w:t> </w:t>
      </w:r>
      <w:r w:rsidRPr="00BE78CA">
        <w:rPr>
          <w:i/>
        </w:rPr>
        <w:t>Mineral industry</w:t>
      </w:r>
      <w:r w:rsidRPr="00BE78CA">
        <w:t xml:space="preserve">, </w:t>
      </w:r>
      <w:r w:rsidRPr="00BE78CA">
        <w:rPr>
          <w:i/>
        </w:rPr>
        <w:t>Chemical industry</w:t>
      </w:r>
      <w:r w:rsidRPr="00BE78CA">
        <w:t xml:space="preserve"> and </w:t>
      </w:r>
      <w:r w:rsidRPr="00BE78CA">
        <w:rPr>
          <w:i/>
        </w:rPr>
        <w:t>Metal industry</w:t>
      </w:r>
      <w:r w:rsidRPr="00BE78CA">
        <w:t xml:space="preserve"> categories. Carbon dioxide and any</w:t>
      </w:r>
      <w:r w:rsidR="00505063" w:rsidRPr="00BE78CA">
        <w:t> </w:t>
      </w:r>
      <w:r w:rsidRPr="00BE78CA">
        <w:t>other emissions from combustion of fuels in these industries are reported under the Energy sector.</w:t>
      </w:r>
    </w:p>
    <w:p w14:paraId="108F1FC7" w14:textId="77777777" w:rsidR="004D0912" w:rsidRPr="00BE78CA" w:rsidRDefault="004D0912" w:rsidP="004D0912">
      <w:pPr>
        <w:pStyle w:val="Heading5"/>
      </w:pPr>
      <w:r w:rsidRPr="00BE78CA">
        <w:t>2019</w:t>
      </w:r>
    </w:p>
    <w:p w14:paraId="5DC2D308" w14:textId="3F2B313B" w:rsidR="004D0912" w:rsidRPr="00BE78CA" w:rsidRDefault="004D0912" w:rsidP="004D0912">
      <w:pPr>
        <w:pStyle w:val="BodyText"/>
      </w:pPr>
      <w:r w:rsidRPr="00BE78CA">
        <w:t xml:space="preserve">In </w:t>
      </w:r>
      <w:r w:rsidRPr="00BE78CA">
        <w:rPr>
          <w:bCs/>
        </w:rPr>
        <w:t>2019, emissions from the IPPU sector contributed 5,115.9 kt CO</w:t>
      </w:r>
      <w:r w:rsidRPr="00BE78CA">
        <w:rPr>
          <w:bCs/>
          <w:vertAlign w:val="subscript"/>
        </w:rPr>
        <w:t>2</w:t>
      </w:r>
      <w:r w:rsidRPr="00BE78CA">
        <w:rPr>
          <w:bCs/>
        </w:rPr>
        <w:t>-e or 6.2 p</w:t>
      </w:r>
      <w:r w:rsidRPr="00BE78CA">
        <w:t>er cent of New</w:t>
      </w:r>
      <w:r w:rsidR="00505063" w:rsidRPr="00BE78CA">
        <w:t> </w:t>
      </w:r>
      <w:r w:rsidRPr="00BE78CA">
        <w:t xml:space="preserve">Zealand’s gross GHG emissions (see figure </w:t>
      </w:r>
      <w:r w:rsidR="006A2B26" w:rsidRPr="00BE78CA">
        <w:t>2.2.1</w:t>
      </w:r>
      <w:r w:rsidRPr="00BE78CA">
        <w:t>).</w:t>
      </w:r>
    </w:p>
    <w:p w14:paraId="1626CD86" w14:textId="77777777" w:rsidR="004D0912" w:rsidRPr="00BE78CA" w:rsidRDefault="004D0912" w:rsidP="004D0912">
      <w:pPr>
        <w:pStyle w:val="BodyText"/>
      </w:pPr>
      <w:r w:rsidRPr="00BE78CA">
        <w:t xml:space="preserve">The largest category is the </w:t>
      </w:r>
      <w:r w:rsidRPr="00BE78CA">
        <w:rPr>
          <w:i/>
        </w:rPr>
        <w:t>Metal industry</w:t>
      </w:r>
      <w:r w:rsidRPr="00BE78CA">
        <w:t>, with substantial CO</w:t>
      </w:r>
      <w:r w:rsidRPr="00BE78CA">
        <w:rPr>
          <w:vertAlign w:val="subscript"/>
        </w:rPr>
        <w:t>2</w:t>
      </w:r>
      <w:r w:rsidRPr="00BE78CA">
        <w:t xml:space="preserve"> emissions from the </w:t>
      </w:r>
      <w:r w:rsidRPr="00BE78CA">
        <w:rPr>
          <w:i/>
        </w:rPr>
        <w:t>Iron and steel production</w:t>
      </w:r>
      <w:r w:rsidRPr="00BE78CA">
        <w:t xml:space="preserve"> and </w:t>
      </w:r>
      <w:r w:rsidRPr="00BE78CA">
        <w:rPr>
          <w:i/>
        </w:rPr>
        <w:t>Aluminium production</w:t>
      </w:r>
      <w:r w:rsidRPr="00BE78CA">
        <w:t xml:space="preserve"> categories. The </w:t>
      </w:r>
      <w:r w:rsidRPr="00BE78CA">
        <w:rPr>
          <w:i/>
        </w:rPr>
        <w:t>Mineral industry</w:t>
      </w:r>
      <w:r w:rsidRPr="00BE78CA">
        <w:t xml:space="preserve"> and </w:t>
      </w:r>
      <w:r w:rsidRPr="00BE78CA">
        <w:rPr>
          <w:i/>
        </w:rPr>
        <w:t>Chemical industry</w:t>
      </w:r>
      <w:r w:rsidRPr="00BE78CA">
        <w:t xml:space="preserve"> categories also contribute significant CO</w:t>
      </w:r>
      <w:r w:rsidRPr="00BE78CA">
        <w:rPr>
          <w:vertAlign w:val="subscript"/>
        </w:rPr>
        <w:t>2</w:t>
      </w:r>
      <w:r w:rsidRPr="00BE78CA">
        <w:t xml:space="preserve"> emissions, and most of the non-CO</w:t>
      </w:r>
      <w:r w:rsidRPr="00BE78CA">
        <w:rPr>
          <w:vertAlign w:val="subscript"/>
        </w:rPr>
        <w:t>2</w:t>
      </w:r>
      <w:r w:rsidRPr="00BE78CA">
        <w:t xml:space="preserve"> emissions come from the </w:t>
      </w:r>
      <w:r w:rsidRPr="00BE78CA">
        <w:rPr>
          <w:i/>
        </w:rPr>
        <w:t>Product uses as substitutes for ODS</w:t>
      </w:r>
      <w:r w:rsidRPr="00BE78CA">
        <w:t xml:space="preserve"> category.</w:t>
      </w:r>
    </w:p>
    <w:p w14:paraId="69A74B91" w14:textId="6D11656D" w:rsidR="004D0912" w:rsidRPr="00BE78CA" w:rsidRDefault="004D0912" w:rsidP="004D0912">
      <w:pPr>
        <w:pStyle w:val="BodyText"/>
      </w:pPr>
      <w:r w:rsidRPr="00BE78CA">
        <w:t>The IPPU sector also produces smaller amounts of CH</w:t>
      </w:r>
      <w:r w:rsidRPr="00BE78CA">
        <w:rPr>
          <w:vertAlign w:val="subscript"/>
        </w:rPr>
        <w:t>4</w:t>
      </w:r>
      <w:r w:rsidRPr="00BE78CA">
        <w:t xml:space="preserve"> from methanol production and N</w:t>
      </w:r>
      <w:r w:rsidRPr="00BE78CA">
        <w:rPr>
          <w:vertAlign w:val="subscript"/>
        </w:rPr>
        <w:t>2</w:t>
      </w:r>
      <w:r w:rsidRPr="00BE78CA">
        <w:t>O</w:t>
      </w:r>
      <w:r w:rsidR="00505063" w:rsidRPr="00BE78CA">
        <w:t> </w:t>
      </w:r>
      <w:r w:rsidRPr="00BE78CA">
        <w:t xml:space="preserve">used for medical applications in the </w:t>
      </w:r>
      <w:r w:rsidRPr="00BE78CA">
        <w:rPr>
          <w:i/>
        </w:rPr>
        <w:t>Other product manufacture and use</w:t>
      </w:r>
      <w:r w:rsidRPr="00BE78CA">
        <w:t xml:space="preserve"> category.</w:t>
      </w:r>
    </w:p>
    <w:p w14:paraId="520AFB3A" w14:textId="77777777" w:rsidR="004D0912" w:rsidRPr="00BE78CA" w:rsidRDefault="004D0912" w:rsidP="004D0912">
      <w:pPr>
        <w:pStyle w:val="BodyText"/>
      </w:pPr>
      <w:r w:rsidRPr="00BE78CA">
        <w:t xml:space="preserve">Coal and natural gas are also used on a significant scale for energy in these industries, and related emissions are reported under the Energy sector in the category </w:t>
      </w:r>
      <w:r w:rsidRPr="00BE78CA">
        <w:rPr>
          <w:i/>
        </w:rPr>
        <w:t>Manufacturing industries and construction</w:t>
      </w:r>
      <w:r w:rsidRPr="00BE78CA">
        <w:t>.</w:t>
      </w:r>
    </w:p>
    <w:p w14:paraId="0A54BC16" w14:textId="77777777" w:rsidR="004D0912" w:rsidRPr="00BE78CA" w:rsidRDefault="004D0912" w:rsidP="00505063">
      <w:pPr>
        <w:pStyle w:val="Heading5"/>
      </w:pPr>
      <w:r w:rsidRPr="00BE78CA">
        <w:t>1990–2019</w:t>
      </w:r>
    </w:p>
    <w:p w14:paraId="6FC04D90" w14:textId="77777777" w:rsidR="004D0912" w:rsidRPr="00BE78CA" w:rsidRDefault="004D0912" w:rsidP="004D0912">
      <w:pPr>
        <w:pStyle w:val="BodyText"/>
      </w:pPr>
      <w:r w:rsidRPr="00BE78CA">
        <w:t>IPPU sector emissions in 2019 were 1,536.0 kt CO</w:t>
      </w:r>
      <w:r w:rsidRPr="00BE78CA">
        <w:rPr>
          <w:vertAlign w:val="subscript"/>
        </w:rPr>
        <w:t>2</w:t>
      </w:r>
      <w:r w:rsidRPr="00BE78CA">
        <w:t>-e (42.9 per cent) higher than emissions in 1990 (3,579.9 kt CO</w:t>
      </w:r>
      <w:r w:rsidRPr="00BE78CA">
        <w:rPr>
          <w:vertAlign w:val="subscript"/>
        </w:rPr>
        <w:t>2</w:t>
      </w:r>
      <w:r w:rsidRPr="00BE78CA">
        <w:t>-e).</w:t>
      </w:r>
    </w:p>
    <w:p w14:paraId="3F6C88A5" w14:textId="722C4C64" w:rsidR="004D0912" w:rsidRPr="00BE78CA" w:rsidRDefault="004D0912" w:rsidP="004D0912">
      <w:pPr>
        <w:pStyle w:val="BodyText"/>
      </w:pPr>
      <w:r w:rsidRPr="00BE78CA">
        <w:t xml:space="preserve">This increase was mainly driven by increasing emissions from the </w:t>
      </w:r>
      <w:r w:rsidRPr="00BE78CA">
        <w:rPr>
          <w:i/>
        </w:rPr>
        <w:t>Product uses as substitutes for ODS</w:t>
      </w:r>
      <w:r w:rsidRPr="00BE78CA">
        <w:t xml:space="preserve"> category, due to the introduction of HFCs to replace ozone</w:t>
      </w:r>
      <w:r w:rsidR="00C2143E" w:rsidRPr="00BE78CA">
        <w:t xml:space="preserve"> </w:t>
      </w:r>
      <w:r w:rsidRPr="00BE78CA">
        <w:t>depleting substances (ODS)</w:t>
      </w:r>
      <w:r w:rsidR="00C2143E" w:rsidRPr="00BE78CA">
        <w:t> </w:t>
      </w:r>
      <w:r w:rsidRPr="00BE78CA">
        <w:t>in refrigeration and air conditioning and the increased use of household and commercial air conditioning. Carbon dioxide emissions have also increased due to increased production of</w:t>
      </w:r>
      <w:r w:rsidR="00C2143E" w:rsidRPr="00BE78CA">
        <w:t> </w:t>
      </w:r>
      <w:r w:rsidRPr="00BE78CA">
        <w:t xml:space="preserve">metals, lime and cement, but at a slower rate. A substantial reduction has occurred in emissions of PFCs, due to improved management of anode effects in the </w:t>
      </w:r>
      <w:r w:rsidRPr="00BE78CA">
        <w:rPr>
          <w:i/>
        </w:rPr>
        <w:t>Aluminium production category</w:t>
      </w:r>
      <w:r w:rsidRPr="00BE78CA">
        <w:t xml:space="preserve"> and some reduction in emissions of N</w:t>
      </w:r>
      <w:r w:rsidRPr="00BE78CA">
        <w:rPr>
          <w:vertAlign w:val="subscript"/>
        </w:rPr>
        <w:t>2</w:t>
      </w:r>
      <w:r w:rsidRPr="00BE78CA">
        <w:t>O used for medical applications in</w:t>
      </w:r>
      <w:r w:rsidR="00C2143E" w:rsidRPr="00BE78CA">
        <w:t> </w:t>
      </w:r>
      <w:r w:rsidRPr="00BE78CA">
        <w:t xml:space="preserve">the </w:t>
      </w:r>
      <w:r w:rsidRPr="00BE78CA">
        <w:rPr>
          <w:i/>
        </w:rPr>
        <w:t>Other product manufacture and use</w:t>
      </w:r>
      <w:r w:rsidRPr="00BE78CA">
        <w:t xml:space="preserve"> category.</w:t>
      </w:r>
    </w:p>
    <w:p w14:paraId="41C2FB2E" w14:textId="77777777" w:rsidR="004D0912" w:rsidRPr="00BE78CA" w:rsidRDefault="004D0912" w:rsidP="004D0912">
      <w:pPr>
        <w:pStyle w:val="BodyText"/>
      </w:pPr>
      <w:r w:rsidRPr="00BE78CA">
        <w:t>The trends for the IPPU sector are shown in figure 2.2.8.</w:t>
      </w:r>
    </w:p>
    <w:p w14:paraId="702AFA5C" w14:textId="287B7E28" w:rsidR="004D0912" w:rsidRPr="00BE78CA" w:rsidRDefault="004D0912" w:rsidP="004D0912">
      <w:pPr>
        <w:pStyle w:val="Figure"/>
      </w:pPr>
      <w:bookmarkStart w:id="182" w:name="_Toc68786628"/>
      <w:r w:rsidRPr="00BE78CA">
        <w:lastRenderedPageBreak/>
        <w:t>Figure 2.2.8</w:t>
      </w:r>
      <w:r w:rsidRPr="00BE78CA">
        <w:tab/>
        <w:t>New Zealand’s IPPU sector emissions from 1990 to 2019</w:t>
      </w:r>
      <w:bookmarkEnd w:id="182"/>
    </w:p>
    <w:p w14:paraId="3BD395C8" w14:textId="77777777" w:rsidR="004D0912" w:rsidRPr="00BE78CA" w:rsidRDefault="004D0912" w:rsidP="004D0912">
      <w:pPr>
        <w:pStyle w:val="BodyText"/>
      </w:pPr>
      <w:r w:rsidRPr="00BE78CA">
        <w:rPr>
          <w:noProof/>
        </w:rPr>
        <w:drawing>
          <wp:inline distT="0" distB="0" distL="0" distR="0" wp14:anchorId="79BDA18A" wp14:editId="67F30516">
            <wp:extent cx="5311472" cy="3999506"/>
            <wp:effectExtent l="0" t="0" r="3810" b="1270"/>
            <wp:docPr id="22" name="Picture"/>
            <wp:cNvGraphicFramePr/>
            <a:graphic xmlns:a="http://schemas.openxmlformats.org/drawingml/2006/main">
              <a:graphicData uri="http://schemas.openxmlformats.org/drawingml/2006/picture">
                <pic:pic xmlns:pic="http://schemas.openxmlformats.org/drawingml/2006/picture">
                  <pic:nvPicPr>
                    <pic:cNvPr id="0" name="Picture" descr="code/graphs/images/fig_2_2_8_crf.png"/>
                    <pic:cNvPicPr>
                      <a:picLocks noChangeAspect="1" noChangeArrowheads="1"/>
                    </pic:cNvPicPr>
                  </pic:nvPicPr>
                  <pic:blipFill>
                    <a:blip r:embed="rId47"/>
                    <a:stretch>
                      <a:fillRect/>
                    </a:stretch>
                  </pic:blipFill>
                  <pic:spPr bwMode="auto">
                    <a:xfrm>
                      <a:off x="0" y="0"/>
                      <a:ext cx="5312261" cy="4000100"/>
                    </a:xfrm>
                    <a:prstGeom prst="rect">
                      <a:avLst/>
                    </a:prstGeom>
                    <a:noFill/>
                    <a:ln w="9525">
                      <a:noFill/>
                      <a:headEnd/>
                      <a:tailEnd/>
                    </a:ln>
                  </pic:spPr>
                </pic:pic>
              </a:graphicData>
            </a:graphic>
          </wp:inline>
        </w:drawing>
      </w:r>
    </w:p>
    <w:p w14:paraId="3F25E4F6" w14:textId="77777777" w:rsidR="004D0912" w:rsidRPr="00BE78CA" w:rsidRDefault="004D0912" w:rsidP="00C2143E">
      <w:pPr>
        <w:pStyle w:val="Heading5"/>
      </w:pPr>
      <w:r w:rsidRPr="00BE78CA">
        <w:t>2018–2019</w:t>
      </w:r>
    </w:p>
    <w:p w14:paraId="2BCD79E6" w14:textId="33734773" w:rsidR="004D0912" w:rsidRPr="00BE78CA" w:rsidRDefault="004D0912" w:rsidP="004D0912">
      <w:pPr>
        <w:pStyle w:val="BodyText"/>
      </w:pPr>
      <w:r w:rsidRPr="00BE78CA">
        <w:t>Between 2018 and 2019, emissions from the IPPU sector decreased by 71.0 kt CO</w:t>
      </w:r>
      <w:r w:rsidRPr="00BE78CA">
        <w:rPr>
          <w:vertAlign w:val="subscript"/>
        </w:rPr>
        <w:t>2</w:t>
      </w:r>
      <w:r w:rsidRPr="00BE78CA">
        <w:t>-e (1.4</w:t>
      </w:r>
      <w:r w:rsidR="00C2143E" w:rsidRPr="00BE78CA">
        <w:t> </w:t>
      </w:r>
      <w:r w:rsidRPr="00BE78CA">
        <w:t>per</w:t>
      </w:r>
      <w:r w:rsidR="00C2143E" w:rsidRPr="00BE78CA">
        <w:t> </w:t>
      </w:r>
      <w:r w:rsidRPr="00BE78CA">
        <w:t>cent).</w:t>
      </w:r>
    </w:p>
    <w:p w14:paraId="04CA3FCE" w14:textId="77777777" w:rsidR="004D0912" w:rsidRPr="00BE78CA" w:rsidRDefault="004D0912" w:rsidP="004D0912">
      <w:pPr>
        <w:pStyle w:val="BodyText"/>
      </w:pPr>
      <w:r w:rsidRPr="00BE78CA">
        <w:t xml:space="preserve">This change was the net result of a decrease in emissions from the </w:t>
      </w:r>
      <w:r w:rsidRPr="00BE78CA">
        <w:rPr>
          <w:i/>
        </w:rPr>
        <w:t>Product uses as substitutes for ODS</w:t>
      </w:r>
      <w:r w:rsidRPr="00BE78CA">
        <w:t xml:space="preserve"> category (106.6 kt CO</w:t>
      </w:r>
      <w:r w:rsidRPr="00BE78CA">
        <w:rPr>
          <w:vertAlign w:val="subscript"/>
        </w:rPr>
        <w:t>2</w:t>
      </w:r>
      <w:r w:rsidRPr="00BE78CA">
        <w:t>-e or 5.8 per cent). This is the result of year-to-year fluctuations in the volume of HFCs imported. It was offset by small increases in all other significant categories driven by varying production rates.</w:t>
      </w:r>
    </w:p>
    <w:p w14:paraId="5DFE6DBE" w14:textId="77777777" w:rsidR="004D0912" w:rsidRPr="00BE78CA" w:rsidRDefault="004D0912" w:rsidP="004D0912">
      <w:pPr>
        <w:pStyle w:val="Heading4"/>
      </w:pPr>
      <w:bookmarkStart w:id="183" w:name="agriculture-sector"/>
      <w:r w:rsidRPr="00BE78CA">
        <w:t>Agriculture sector</w:t>
      </w:r>
      <w:bookmarkEnd w:id="183"/>
    </w:p>
    <w:p w14:paraId="04C4FCCD" w14:textId="5C05F8FB" w:rsidR="004D0912" w:rsidRPr="00BE78CA" w:rsidRDefault="004D0912" w:rsidP="004D0912">
      <w:pPr>
        <w:pStyle w:val="BodyText"/>
      </w:pPr>
      <w:r w:rsidRPr="00BE78CA">
        <w:t>The Agriculture sector in New Zealand produces three main greenhouse gases, CH</w:t>
      </w:r>
      <w:r w:rsidRPr="00BE78CA">
        <w:rPr>
          <w:vertAlign w:val="subscript"/>
        </w:rPr>
        <w:t>4</w:t>
      </w:r>
      <w:r w:rsidRPr="00BE78CA">
        <w:t>, N</w:t>
      </w:r>
      <w:r w:rsidRPr="00BE78CA">
        <w:rPr>
          <w:vertAlign w:val="subscript"/>
        </w:rPr>
        <w:t>2</w:t>
      </w:r>
      <w:r w:rsidRPr="00BE78CA">
        <w:t>O and CO</w:t>
      </w:r>
      <w:r w:rsidRPr="00BE78CA">
        <w:rPr>
          <w:vertAlign w:val="subscript"/>
        </w:rPr>
        <w:t>2</w:t>
      </w:r>
      <w:r w:rsidRPr="00BE78CA">
        <w:t>, which comprise 77.3 per cent, 19.9 per cent and 2.8 per cent of all Agriculture sector emissions respectively. Trends in Agriculture sector emissions are largely driven by the populations of ruminant livestock (dairy cattle, beef cattle, sheep, and deer).</w:t>
      </w:r>
    </w:p>
    <w:p w14:paraId="1422F1BB" w14:textId="77777777" w:rsidR="004D0912" w:rsidRPr="00BE78CA" w:rsidRDefault="004D0912" w:rsidP="004D0912">
      <w:pPr>
        <w:pStyle w:val="BodyText"/>
      </w:pPr>
      <w:r w:rsidRPr="00BE78CA">
        <w:t xml:space="preserve">The largest contributing categories in the Agriculture sector are </w:t>
      </w:r>
      <w:r w:rsidRPr="00BE78CA">
        <w:rPr>
          <w:i/>
        </w:rPr>
        <w:t>Enteric fermentation</w:t>
      </w:r>
      <w:r w:rsidRPr="00BE78CA">
        <w:t xml:space="preserve"> and </w:t>
      </w:r>
      <w:r w:rsidRPr="00BE78CA">
        <w:rPr>
          <w:i/>
        </w:rPr>
        <w:t>Agricultural soils</w:t>
      </w:r>
      <w:r w:rsidRPr="00BE78CA">
        <w:t>. Emissions from the Agriculture sector reflect the total livestock population, the types of livestock and farming systems, and levels of production.</w:t>
      </w:r>
    </w:p>
    <w:p w14:paraId="1BA061B0" w14:textId="77777777" w:rsidR="004D0912" w:rsidRPr="00BE78CA" w:rsidRDefault="004D0912" w:rsidP="004D0912">
      <w:pPr>
        <w:pStyle w:val="BodyText"/>
      </w:pPr>
      <w:r w:rsidRPr="00BE78CA">
        <w:t>Several drivers affect the emission trends for both CH</w:t>
      </w:r>
      <w:r w:rsidRPr="00BE78CA">
        <w:rPr>
          <w:vertAlign w:val="subscript"/>
        </w:rPr>
        <w:t>4</w:t>
      </w:r>
      <w:r w:rsidRPr="00BE78CA">
        <w:t xml:space="preserve"> and N</w:t>
      </w:r>
      <w:r w:rsidRPr="00BE78CA">
        <w:rPr>
          <w:vertAlign w:val="subscript"/>
        </w:rPr>
        <w:t>2</w:t>
      </w:r>
      <w:r w:rsidRPr="00BE78CA">
        <w:t>O in the sector. These include:</w:t>
      </w:r>
    </w:p>
    <w:p w14:paraId="72D04CBD" w14:textId="2C58B965" w:rsidR="004D0912" w:rsidRPr="00BE78CA" w:rsidRDefault="004D0912" w:rsidP="00C2143E">
      <w:pPr>
        <w:pStyle w:val="Bullet"/>
      </w:pPr>
      <w:r w:rsidRPr="00BE78CA">
        <w:t>changes over time to the population of the main livestock types farmed in New Zealand. Since 1990, the dairy cattle population has increased, while sheep and beef cattle populations have decreased as the profitability of dairy products has risen relative to sheep and beef products (see figures 5.1.3a and 5.1.3b in chapter 5)</w:t>
      </w:r>
    </w:p>
    <w:p w14:paraId="3C1CEA84" w14:textId="77777777" w:rsidR="004D0912" w:rsidRPr="00BE78CA" w:rsidRDefault="004D0912" w:rsidP="004D0912">
      <w:pPr>
        <w:pStyle w:val="Bullet"/>
      </w:pPr>
      <w:r w:rsidRPr="00BE78CA">
        <w:lastRenderedPageBreak/>
        <w:t>increases in livestock productivity (for both milk and meat yield per head of livestock), which have been achieved by New Zealand farmers since 1990. This has resulted in increased feed intake per animal to meet higher production energy demands. Increased feed intake results in increased CH</w:t>
      </w:r>
      <w:r w:rsidRPr="00BE78CA">
        <w:rPr>
          <w:vertAlign w:val="subscript"/>
        </w:rPr>
        <w:t>4</w:t>
      </w:r>
      <w:r w:rsidRPr="00BE78CA">
        <w:t xml:space="preserve"> (from increased enteric fermentation) and N</w:t>
      </w:r>
      <w:r w:rsidRPr="00BE78CA">
        <w:rPr>
          <w:vertAlign w:val="subscript"/>
        </w:rPr>
        <w:t>2</w:t>
      </w:r>
      <w:r w:rsidRPr="00BE78CA">
        <w:t>O emissions (from increased excreta deposited on pasture) per animal</w:t>
      </w:r>
    </w:p>
    <w:p w14:paraId="3C5DAD89" w14:textId="77777777" w:rsidR="004D0912" w:rsidRPr="00BE78CA" w:rsidRDefault="004D0912" w:rsidP="004D0912">
      <w:pPr>
        <w:pStyle w:val="Bullet"/>
      </w:pPr>
      <w:r w:rsidRPr="00BE78CA">
        <w:t>incidence of severe droughts, which have resulted in reduced livestock productivity and livestock populations, which in turn reduced livestock-related emissions. Noteworthy droughts have decreased the trend in emissions, when compared with previous years. Ministry for Primary Industries produces quarterly reports that summarise the effects of these events at a sector level and provide short-term forecasts</w:t>
      </w:r>
      <w:r w:rsidRPr="00BE78CA">
        <w:rPr>
          <w:rStyle w:val="FootnoteReference"/>
        </w:rPr>
        <w:footnoteReference w:id="25"/>
      </w:r>
    </w:p>
    <w:p w14:paraId="70D7239A" w14:textId="77777777" w:rsidR="004D0912" w:rsidRPr="00BE78CA" w:rsidRDefault="004D0912" w:rsidP="004D0912">
      <w:pPr>
        <w:pStyle w:val="Bullet"/>
      </w:pPr>
      <w:r w:rsidRPr="00BE78CA">
        <w:t>commodity price fluctuations that drive farmer investment decisions in livestock numbers and species as well as production inputs. The ‘Situation and outlook for primary industries report’ produced by the Ministry for Primary Industries summarises these decisions at a sector level and provides short-term forecasts</w:t>
      </w:r>
      <w:r w:rsidRPr="00BE78CA">
        <w:rPr>
          <w:rStyle w:val="FootnoteReference"/>
        </w:rPr>
        <w:footnoteReference w:id="26"/>
      </w:r>
    </w:p>
    <w:p w14:paraId="087DCC0D" w14:textId="77777777" w:rsidR="004D0912" w:rsidRPr="00BE78CA" w:rsidRDefault="004D0912" w:rsidP="004D0912">
      <w:pPr>
        <w:pStyle w:val="Bullet"/>
      </w:pPr>
      <w:r w:rsidRPr="00BE78CA">
        <w:t>shifting land use across different types of livestock farming and other agriculture enterprises including forestry. The Agriculture sector uses 45 per cent of New Zealand’s land area, mostly for grazing of pastoral land. Between 1990 and 2019, the area used for sheep, beef and deer grazing has decreased by 34.2 per cent (Beef + Lamb New Zealand Ltd, 2020), while the area used for dairy grazing has increased by 69.1 per cent (LIC and DairyNZ, 2020)</w:t>
      </w:r>
    </w:p>
    <w:p w14:paraId="5D09C100" w14:textId="77777777" w:rsidR="004D0912" w:rsidRPr="00BE78CA" w:rsidRDefault="004D0912" w:rsidP="004D0912">
      <w:pPr>
        <w:pStyle w:val="Bullet"/>
      </w:pPr>
      <w:r w:rsidRPr="00BE78CA">
        <w:t>use of synthetic (not organic) nitrogen (N) fertiliser. The amount of synthetic N fertiliser applied to agricultural land has increased by 662.7 per cent since 1990.</w:t>
      </w:r>
    </w:p>
    <w:p w14:paraId="5A3DF244" w14:textId="77777777" w:rsidR="004D0912" w:rsidRPr="00BE78CA" w:rsidRDefault="004D0912" w:rsidP="004D0912">
      <w:pPr>
        <w:pStyle w:val="Heading5"/>
      </w:pPr>
      <w:r w:rsidRPr="00BE78CA">
        <w:t>2019</w:t>
      </w:r>
    </w:p>
    <w:p w14:paraId="15840FAB" w14:textId="77777777" w:rsidR="004D0912" w:rsidRPr="00BE78CA" w:rsidRDefault="004D0912" w:rsidP="004D0912">
      <w:pPr>
        <w:pStyle w:val="BodyText"/>
      </w:pPr>
      <w:r w:rsidRPr="00BE78CA">
        <w:t>In 2019, emissions from the Agriculture sector contributed 39,617.7 kt CO</w:t>
      </w:r>
      <w:r w:rsidRPr="00BE78CA">
        <w:rPr>
          <w:vertAlign w:val="subscript"/>
        </w:rPr>
        <w:t>2</w:t>
      </w:r>
      <w:r w:rsidRPr="00BE78CA">
        <w:t>-e, representing 48.1 per cent of New Zealand’s gross GHG emissions in 2019 (see figure 2.2.9, Executive summary figure ES 4.2 and chapter 5, figure 5.1.2).</w:t>
      </w:r>
    </w:p>
    <w:p w14:paraId="0659DB5B" w14:textId="77777777" w:rsidR="004D0912" w:rsidRPr="00BE78CA" w:rsidRDefault="004D0912" w:rsidP="004D0912">
      <w:pPr>
        <w:pStyle w:val="BodyText"/>
      </w:pPr>
      <w:r w:rsidRPr="00BE78CA">
        <w:rPr>
          <w:i/>
        </w:rPr>
        <w:t>Enteric fermentation</w:t>
      </w:r>
      <w:r w:rsidRPr="00BE78CA">
        <w:t xml:space="preserve"> was the main source of agriculture emissions, contributing 73.1 per cent (28,974.6 kt CO</w:t>
      </w:r>
      <w:r w:rsidRPr="00BE78CA">
        <w:rPr>
          <w:vertAlign w:val="subscript"/>
        </w:rPr>
        <w:t>2</w:t>
      </w:r>
      <w:r w:rsidRPr="00BE78CA">
        <w:t xml:space="preserve">-e) of the sector’s emissions. </w:t>
      </w:r>
      <w:r w:rsidRPr="00BE78CA">
        <w:rPr>
          <w:i/>
        </w:rPr>
        <w:t>Agricultural soils</w:t>
      </w:r>
      <w:r w:rsidRPr="00BE78CA">
        <w:t xml:space="preserve"> (19.6 per cent) was the second largest source followed by </w:t>
      </w:r>
      <w:r w:rsidRPr="00BE78CA">
        <w:rPr>
          <w:i/>
        </w:rPr>
        <w:t>Manure management</w:t>
      </w:r>
      <w:r w:rsidRPr="00BE78CA">
        <w:t xml:space="preserve"> (4.4 per cent). </w:t>
      </w:r>
      <w:r w:rsidRPr="00BE78CA">
        <w:rPr>
          <w:i/>
        </w:rPr>
        <w:t>Urea application</w:t>
      </w:r>
      <w:r w:rsidRPr="00BE78CA">
        <w:t xml:space="preserve"> and </w:t>
      </w:r>
      <w:r w:rsidRPr="00BE78CA">
        <w:rPr>
          <w:i/>
        </w:rPr>
        <w:t>Liming</w:t>
      </w:r>
      <w:r w:rsidRPr="00BE78CA">
        <w:t xml:space="preserve"> contributed 1.4 per cent each. </w:t>
      </w:r>
      <w:r w:rsidRPr="00BE78CA">
        <w:rPr>
          <w:i/>
        </w:rPr>
        <w:t>Field burning of agricultural residues</w:t>
      </w:r>
      <w:r w:rsidRPr="00BE78CA">
        <w:t xml:space="preserve"> contributed the remaining 0.1 per cent.</w:t>
      </w:r>
    </w:p>
    <w:p w14:paraId="4040E96E" w14:textId="6FFDF807" w:rsidR="004D0912" w:rsidRPr="00BE78CA" w:rsidRDefault="004D0912" w:rsidP="00144A34">
      <w:pPr>
        <w:pStyle w:val="Figure"/>
        <w:spacing w:after="80"/>
      </w:pPr>
      <w:bookmarkStart w:id="184" w:name="_Toc68786629"/>
      <w:r w:rsidRPr="00BE78CA">
        <w:lastRenderedPageBreak/>
        <w:t>Figure 2.2.9</w:t>
      </w:r>
      <w:r w:rsidRPr="00BE78CA">
        <w:tab/>
        <w:t>New Zealand’s Agriculture sector emissions from 1990 to 2019</w:t>
      </w:r>
      <w:bookmarkEnd w:id="184"/>
    </w:p>
    <w:p w14:paraId="154803B8" w14:textId="77777777" w:rsidR="004D0912" w:rsidRPr="00BE78CA" w:rsidRDefault="004D0912" w:rsidP="004D0912">
      <w:pPr>
        <w:pStyle w:val="BodyText"/>
      </w:pPr>
      <w:r w:rsidRPr="00BE78CA">
        <w:rPr>
          <w:noProof/>
        </w:rPr>
        <w:drawing>
          <wp:inline distT="0" distB="0" distL="0" distR="0" wp14:anchorId="2C06E743" wp14:editId="7D8E82E1">
            <wp:extent cx="5224007" cy="3951798"/>
            <wp:effectExtent l="0" t="0" r="0" b="0"/>
            <wp:docPr id="23" name="Picture"/>
            <wp:cNvGraphicFramePr/>
            <a:graphic xmlns:a="http://schemas.openxmlformats.org/drawingml/2006/main">
              <a:graphicData uri="http://schemas.openxmlformats.org/drawingml/2006/picture">
                <pic:pic xmlns:pic="http://schemas.openxmlformats.org/drawingml/2006/picture">
                  <pic:nvPicPr>
                    <pic:cNvPr id="0" name="Picture" descr="code/graphs/images/fig_2_2_9_crf.png"/>
                    <pic:cNvPicPr>
                      <a:picLocks noChangeAspect="1" noChangeArrowheads="1"/>
                    </pic:cNvPicPr>
                  </pic:nvPicPr>
                  <pic:blipFill>
                    <a:blip r:embed="rId48"/>
                    <a:stretch>
                      <a:fillRect/>
                    </a:stretch>
                  </pic:blipFill>
                  <pic:spPr bwMode="auto">
                    <a:xfrm>
                      <a:off x="0" y="0"/>
                      <a:ext cx="5227418" cy="3954379"/>
                    </a:xfrm>
                    <a:prstGeom prst="rect">
                      <a:avLst/>
                    </a:prstGeom>
                    <a:noFill/>
                    <a:ln w="9525">
                      <a:noFill/>
                      <a:headEnd/>
                      <a:tailEnd/>
                    </a:ln>
                  </pic:spPr>
                </pic:pic>
              </a:graphicData>
            </a:graphic>
          </wp:inline>
        </w:drawing>
      </w:r>
    </w:p>
    <w:p w14:paraId="06C36CC2" w14:textId="77777777" w:rsidR="004D0912" w:rsidRPr="00BE78CA" w:rsidRDefault="004D0912" w:rsidP="004D0912">
      <w:pPr>
        <w:pStyle w:val="Heading5"/>
      </w:pPr>
      <w:r w:rsidRPr="00BE78CA">
        <w:t>1990–2019</w:t>
      </w:r>
    </w:p>
    <w:p w14:paraId="123009D3" w14:textId="77777777" w:rsidR="004D0912" w:rsidRPr="00BE78CA" w:rsidRDefault="004D0912" w:rsidP="004D0912">
      <w:pPr>
        <w:pStyle w:val="BodyText"/>
        <w:rPr>
          <w:bCs/>
        </w:rPr>
      </w:pPr>
      <w:r w:rsidRPr="00BE78CA">
        <w:t xml:space="preserve">In </w:t>
      </w:r>
      <w:r w:rsidRPr="00BE78CA">
        <w:rPr>
          <w:bCs/>
        </w:rPr>
        <w:t>2019, New Zealand’s Agriculture sector emissions were 17.1 per cent (5,777.4 kt CO</w:t>
      </w:r>
      <w:r w:rsidRPr="00BE78CA">
        <w:rPr>
          <w:bCs/>
          <w:vertAlign w:val="subscript"/>
        </w:rPr>
        <w:t>2</w:t>
      </w:r>
      <w:r w:rsidRPr="00BE78CA">
        <w:rPr>
          <w:bCs/>
        </w:rPr>
        <w:t>-e) above the 1990 level of 33,840.3 kt CO</w:t>
      </w:r>
      <w:r w:rsidRPr="00BE78CA">
        <w:rPr>
          <w:bCs/>
          <w:vertAlign w:val="subscript"/>
        </w:rPr>
        <w:t>2</w:t>
      </w:r>
      <w:r w:rsidRPr="00BE78CA">
        <w:rPr>
          <w:bCs/>
        </w:rPr>
        <w:t>-e.</w:t>
      </w:r>
    </w:p>
    <w:p w14:paraId="57F591BB" w14:textId="77777777" w:rsidR="004D0912" w:rsidRPr="00BE78CA" w:rsidRDefault="004D0912" w:rsidP="004D0912">
      <w:pPr>
        <w:pStyle w:val="BodyText"/>
        <w:rPr>
          <w:bCs/>
        </w:rPr>
      </w:pPr>
      <w:r w:rsidRPr="00BE78CA">
        <w:rPr>
          <w:bCs/>
        </w:rPr>
        <w:t>The greatest contributions to the increase since 1990 are a 46.9 per cent (2,478.3 kt CO</w:t>
      </w:r>
      <w:r w:rsidRPr="00BE78CA">
        <w:rPr>
          <w:bCs/>
          <w:vertAlign w:val="subscript"/>
        </w:rPr>
        <w:t>2</w:t>
      </w:r>
      <w:r w:rsidRPr="00BE78CA">
        <w:rPr>
          <w:bCs/>
        </w:rPr>
        <w:t>-e) increase in N</w:t>
      </w:r>
      <w:r w:rsidRPr="00BE78CA">
        <w:rPr>
          <w:bCs/>
          <w:vertAlign w:val="subscript"/>
        </w:rPr>
        <w:t>2</w:t>
      </w:r>
      <w:r w:rsidRPr="00BE78CA">
        <w:rPr>
          <w:bCs/>
        </w:rPr>
        <w:t xml:space="preserve">O emissions from </w:t>
      </w:r>
      <w:r w:rsidRPr="00BE78CA">
        <w:rPr>
          <w:bCs/>
          <w:i/>
        </w:rPr>
        <w:t>Agricultural soils</w:t>
      </w:r>
      <w:r w:rsidRPr="00BE78CA">
        <w:rPr>
          <w:bCs/>
        </w:rPr>
        <w:t xml:space="preserve"> and a 5.9 per cent (1,624.2 kt CO</w:t>
      </w:r>
      <w:r w:rsidRPr="00BE78CA">
        <w:rPr>
          <w:bCs/>
          <w:vertAlign w:val="subscript"/>
        </w:rPr>
        <w:t>2</w:t>
      </w:r>
      <w:r w:rsidRPr="00BE78CA">
        <w:rPr>
          <w:bCs/>
        </w:rPr>
        <w:t>-e) increase in CH</w:t>
      </w:r>
      <w:r w:rsidRPr="00BE78CA">
        <w:rPr>
          <w:bCs/>
          <w:vertAlign w:val="subscript"/>
        </w:rPr>
        <w:t>4</w:t>
      </w:r>
      <w:r w:rsidRPr="00BE78CA">
        <w:rPr>
          <w:bCs/>
        </w:rPr>
        <w:t xml:space="preserve"> emissions from </w:t>
      </w:r>
      <w:r w:rsidRPr="00BE78CA">
        <w:rPr>
          <w:bCs/>
          <w:i/>
        </w:rPr>
        <w:t>Enteric fermentation</w:t>
      </w:r>
      <w:r w:rsidRPr="00BE78CA">
        <w:rPr>
          <w:bCs/>
        </w:rPr>
        <w:t>.</w:t>
      </w:r>
    </w:p>
    <w:p w14:paraId="02E4A7FA" w14:textId="65DF5E34" w:rsidR="004D0912" w:rsidRPr="00BE78CA" w:rsidRDefault="004D0912" w:rsidP="004D0912">
      <w:pPr>
        <w:pStyle w:val="BodyText"/>
      </w:pPr>
      <w:r w:rsidRPr="00BE78CA">
        <w:rPr>
          <w:bCs/>
        </w:rPr>
        <w:t>The increase in N</w:t>
      </w:r>
      <w:r w:rsidRPr="00BE78CA">
        <w:rPr>
          <w:bCs/>
          <w:vertAlign w:val="subscript"/>
        </w:rPr>
        <w:t>2</w:t>
      </w:r>
      <w:r w:rsidRPr="00BE78CA">
        <w:rPr>
          <w:bCs/>
        </w:rPr>
        <w:t xml:space="preserve">O emissions from </w:t>
      </w:r>
      <w:r w:rsidRPr="00BE78CA">
        <w:rPr>
          <w:bCs/>
          <w:i/>
        </w:rPr>
        <w:t>Agricultural soils</w:t>
      </w:r>
      <w:r w:rsidRPr="00BE78CA">
        <w:rPr>
          <w:bCs/>
        </w:rPr>
        <w:t xml:space="preserve"> has largely been driven by the increased application of synthetic N fertiliser since 1990. The increase in emissions from </w:t>
      </w:r>
      <w:r w:rsidRPr="00BE78CA">
        <w:rPr>
          <w:bCs/>
          <w:i/>
        </w:rPr>
        <w:t>Enteric fermentation</w:t>
      </w:r>
      <w:r w:rsidRPr="00BE78CA">
        <w:rPr>
          <w:bCs/>
        </w:rPr>
        <w:t xml:space="preserve"> is driven by increases in dairy cattle numbers, which have been partially offset by</w:t>
      </w:r>
      <w:r w:rsidR="00144A34" w:rsidRPr="00BE78CA">
        <w:rPr>
          <w:bCs/>
        </w:rPr>
        <w:t> </w:t>
      </w:r>
      <w:r w:rsidRPr="00BE78CA">
        <w:rPr>
          <w:bCs/>
        </w:rPr>
        <w:t>a decrease in beef cattle and sheep. The change in animal populations since 1990</w:t>
      </w:r>
      <w:r w:rsidRPr="00BE78CA">
        <w:t xml:space="preserve"> reflects the relative financial returns to each animal sector (it has been more profitable to farm dairy cattle than beef cattle or sheep in New Zealand over the reporting period) and changes in New Zealand’s regulatory environment, especially with regard to freshwater quality.</w:t>
      </w:r>
    </w:p>
    <w:p w14:paraId="190CCAA9" w14:textId="77777777" w:rsidR="004D0912" w:rsidRPr="00BE78CA" w:rsidRDefault="004D0912" w:rsidP="004D0912">
      <w:pPr>
        <w:pStyle w:val="Heading5"/>
      </w:pPr>
      <w:r w:rsidRPr="00BE78CA">
        <w:t>2018–2019</w:t>
      </w:r>
    </w:p>
    <w:p w14:paraId="1AC768A7" w14:textId="5E6BB1EA" w:rsidR="004D0912" w:rsidRPr="00BE78CA" w:rsidRDefault="004D0912" w:rsidP="004D0912">
      <w:pPr>
        <w:pStyle w:val="BodyText"/>
      </w:pPr>
      <w:r w:rsidRPr="00BE78CA">
        <w:t xml:space="preserve">Between </w:t>
      </w:r>
      <w:r w:rsidRPr="00BE78CA">
        <w:rPr>
          <w:bCs/>
        </w:rPr>
        <w:t>2018 and 2019, total agricultural emissions increased by 0.4 per cent (147.2</w:t>
      </w:r>
      <w:r w:rsidR="000624E4" w:rsidRPr="00BE78CA">
        <w:rPr>
          <w:bCs/>
        </w:rPr>
        <w:t> </w:t>
      </w:r>
      <w:r w:rsidRPr="00BE78CA">
        <w:rPr>
          <w:bCs/>
        </w:rPr>
        <w:t>kt CO</w:t>
      </w:r>
      <w:r w:rsidRPr="00BE78CA">
        <w:rPr>
          <w:bCs/>
          <w:vertAlign w:val="subscript"/>
        </w:rPr>
        <w:t>2</w:t>
      </w:r>
      <w:r w:rsidR="00144A34" w:rsidRPr="00BE78CA">
        <w:rPr>
          <w:bCs/>
        </w:rPr>
        <w:noBreakHyphen/>
      </w:r>
      <w:r w:rsidRPr="00BE78CA">
        <w:rPr>
          <w:bCs/>
        </w:rPr>
        <w:t xml:space="preserve">e). This was due to an increase in emissions from beef cattle (enteric fermentation, </w:t>
      </w:r>
      <w:r w:rsidRPr="00BE78CA">
        <w:t>manure management and agricultural soils) and liming, and comprises:</w:t>
      </w:r>
    </w:p>
    <w:p w14:paraId="6F067C12" w14:textId="477289CF" w:rsidR="004D0912" w:rsidRPr="00BE78CA" w:rsidRDefault="004D0912" w:rsidP="00144A34">
      <w:pPr>
        <w:pStyle w:val="Bullet"/>
      </w:pPr>
      <w:r w:rsidRPr="00BE78CA">
        <w:rPr>
          <w:i/>
        </w:rPr>
        <w:t xml:space="preserve">Non-dairy </w:t>
      </w:r>
      <w:r w:rsidRPr="00BE78CA">
        <w:rPr>
          <w:iCs/>
        </w:rPr>
        <w:t>(beef)</w:t>
      </w:r>
      <w:r w:rsidRPr="00BE78CA">
        <w:rPr>
          <w:i/>
        </w:rPr>
        <w:t xml:space="preserve"> cattle</w:t>
      </w:r>
      <w:r w:rsidRPr="00BE78CA">
        <w:t xml:space="preserve"> emissions, which increased 5.3 per cent (354.6 kt CO</w:t>
      </w:r>
      <w:r w:rsidRPr="00BE78CA">
        <w:rPr>
          <w:vertAlign w:val="subscript"/>
        </w:rPr>
        <w:t>2</w:t>
      </w:r>
      <w:r w:rsidRPr="00BE78CA">
        <w:t>-e) due to an</w:t>
      </w:r>
      <w:r w:rsidR="00144A34" w:rsidRPr="00BE78CA">
        <w:t> </w:t>
      </w:r>
      <w:r w:rsidRPr="00BE78CA">
        <w:t>increase in the population</w:t>
      </w:r>
    </w:p>
    <w:p w14:paraId="66D2C196" w14:textId="77777777" w:rsidR="004D0912" w:rsidRPr="00BE78CA" w:rsidRDefault="004D0912" w:rsidP="004D0912">
      <w:pPr>
        <w:pStyle w:val="Bullet"/>
      </w:pPr>
      <w:r w:rsidRPr="00BE78CA">
        <w:rPr>
          <w:i/>
        </w:rPr>
        <w:t>Liming</w:t>
      </w:r>
      <w:r w:rsidRPr="00BE78CA">
        <w:t xml:space="preserve"> emissions (CO</w:t>
      </w:r>
      <w:r w:rsidRPr="00BE78CA">
        <w:rPr>
          <w:vertAlign w:val="subscript"/>
        </w:rPr>
        <w:t>2</w:t>
      </w:r>
      <w:r w:rsidRPr="00BE78CA">
        <w:t>), which increased 10.4 per cent (51.3 kt CO</w:t>
      </w:r>
      <w:r w:rsidRPr="00BE78CA">
        <w:rPr>
          <w:vertAlign w:val="subscript"/>
        </w:rPr>
        <w:t>2</w:t>
      </w:r>
      <w:r w:rsidRPr="00BE78CA">
        <w:t>-e).</w:t>
      </w:r>
    </w:p>
    <w:p w14:paraId="3E598BDB" w14:textId="77777777" w:rsidR="004D0912" w:rsidRPr="00BE78CA" w:rsidRDefault="004D0912" w:rsidP="004D0912">
      <w:pPr>
        <w:pStyle w:val="BodyText"/>
      </w:pPr>
      <w:r w:rsidRPr="00BE78CA">
        <w:lastRenderedPageBreak/>
        <w:t>Emissions from other activities fell, but these decreases were not enough to offset the overall increase in agricultural emissions. This decrease comprises:</w:t>
      </w:r>
    </w:p>
    <w:p w14:paraId="0C572DC6" w14:textId="77777777" w:rsidR="004D0912" w:rsidRPr="00BE78CA" w:rsidRDefault="004D0912" w:rsidP="00B0498D">
      <w:pPr>
        <w:pStyle w:val="Bullet"/>
      </w:pPr>
      <w:r w:rsidRPr="00BE78CA">
        <w:rPr>
          <w:i/>
        </w:rPr>
        <w:t>Sheep</w:t>
      </w:r>
      <w:r w:rsidRPr="00BE78CA">
        <w:t xml:space="preserve"> emissions, which decreased by 1.5 per cent (149.5 kt CO</w:t>
      </w:r>
      <w:r w:rsidRPr="00BE78CA">
        <w:rPr>
          <w:vertAlign w:val="subscript"/>
        </w:rPr>
        <w:t>2</w:t>
      </w:r>
      <w:r w:rsidRPr="00BE78CA">
        <w:t>-e) due to a continual drop in animal numbers year-on-year</w:t>
      </w:r>
    </w:p>
    <w:p w14:paraId="0783B6E9" w14:textId="77777777" w:rsidR="004D0912" w:rsidRPr="00BE78CA" w:rsidRDefault="004D0912" w:rsidP="004D0912">
      <w:pPr>
        <w:pStyle w:val="Bullet"/>
      </w:pPr>
      <w:r w:rsidRPr="00BE78CA">
        <w:rPr>
          <w:i/>
        </w:rPr>
        <w:t>Dairy cattle</w:t>
      </w:r>
      <w:r w:rsidRPr="00BE78CA">
        <w:t xml:space="preserve"> emissions, which dropped by 0.4 per cent (73.8 kt CO</w:t>
      </w:r>
      <w:r w:rsidRPr="00BE78CA">
        <w:rPr>
          <w:vertAlign w:val="subscript"/>
        </w:rPr>
        <w:t>2</w:t>
      </w:r>
      <w:r w:rsidRPr="00BE78CA">
        <w:t>-e)</w:t>
      </w:r>
    </w:p>
    <w:p w14:paraId="630CC20A" w14:textId="77777777" w:rsidR="004D0912" w:rsidRPr="00BE78CA" w:rsidRDefault="004D0912" w:rsidP="004D0912">
      <w:pPr>
        <w:pStyle w:val="Bullet"/>
      </w:pPr>
      <w:r w:rsidRPr="00BE78CA">
        <w:rPr>
          <w:i/>
        </w:rPr>
        <w:t>Urea</w:t>
      </w:r>
      <w:r w:rsidRPr="00BE78CA">
        <w:t xml:space="preserve"> emissions, which decreased by 6.2 per cent (37.5 kt CO</w:t>
      </w:r>
      <w:r w:rsidRPr="00BE78CA">
        <w:rPr>
          <w:vertAlign w:val="subscript"/>
        </w:rPr>
        <w:t>2</w:t>
      </w:r>
      <w:r w:rsidRPr="00BE78CA">
        <w:t>-e).</w:t>
      </w:r>
    </w:p>
    <w:p w14:paraId="7B7CD8B7" w14:textId="77777777" w:rsidR="004D0912" w:rsidRPr="00BE78CA" w:rsidRDefault="004D0912" w:rsidP="004D0912">
      <w:pPr>
        <w:pStyle w:val="Heading4"/>
      </w:pPr>
      <w:bookmarkStart w:id="185" w:name="lulucf-sector"/>
      <w:r w:rsidRPr="00BE78CA">
        <w:t>LULUCF sector</w:t>
      </w:r>
      <w:bookmarkEnd w:id="185"/>
    </w:p>
    <w:p w14:paraId="7F92D193" w14:textId="77777777" w:rsidR="004D0912" w:rsidRPr="00BE78CA" w:rsidRDefault="004D0912" w:rsidP="004D0912">
      <w:pPr>
        <w:pStyle w:val="BodyText"/>
      </w:pPr>
      <w:r w:rsidRPr="00BE78CA">
        <w:t>The following information on LULUCF summarises reporting under the Convention. Reporting for Article 3.3 and Article 3.4 LULUCF activities under the Kyoto Protocol are covered in section 2.3 and the Executive summary, section ES.5.</w:t>
      </w:r>
    </w:p>
    <w:p w14:paraId="3E7EE039" w14:textId="77777777" w:rsidR="004D0912" w:rsidRPr="00BE78CA" w:rsidRDefault="004D0912" w:rsidP="004D0912">
      <w:pPr>
        <w:pStyle w:val="Heading5"/>
      </w:pPr>
      <w:r w:rsidRPr="00BE78CA">
        <w:t>2019</w:t>
      </w:r>
    </w:p>
    <w:p w14:paraId="246CD33C" w14:textId="5F774BE5" w:rsidR="004D0912" w:rsidRPr="00BE78CA" w:rsidRDefault="004D0912" w:rsidP="004D0912">
      <w:pPr>
        <w:pStyle w:val="BodyText"/>
      </w:pPr>
      <w:r w:rsidRPr="00BE78CA">
        <w:t>In 2019, total net removals from the LULUCF sector were 27,425.1 kt CO</w:t>
      </w:r>
      <w:r w:rsidRPr="00BE78CA">
        <w:rPr>
          <w:vertAlign w:val="subscript"/>
        </w:rPr>
        <w:t>2</w:t>
      </w:r>
      <w:r w:rsidRPr="00BE78CA">
        <w:t>-e or 33.3 per cent of</w:t>
      </w:r>
      <w:r w:rsidR="000624E4" w:rsidRPr="00BE78CA">
        <w:t> </w:t>
      </w:r>
      <w:r w:rsidRPr="00BE78CA">
        <w:t xml:space="preserve">New Zealand’s gross GHG emissions (see figure </w:t>
      </w:r>
      <w:r w:rsidR="006A2B26" w:rsidRPr="00BE78CA">
        <w:t>2.2.1</w:t>
      </w:r>
      <w:r w:rsidRPr="00BE78CA">
        <w:t>). This comprises net removals of 27,612.5</w:t>
      </w:r>
      <w:r w:rsidR="000624E4" w:rsidRPr="00BE78CA">
        <w:t> </w:t>
      </w:r>
      <w:r w:rsidRPr="00BE78CA">
        <w:t>kt CO</w:t>
      </w:r>
      <w:r w:rsidRPr="00BE78CA">
        <w:rPr>
          <w:vertAlign w:val="subscript"/>
        </w:rPr>
        <w:t>2</w:t>
      </w:r>
      <w:r w:rsidRPr="00BE78CA">
        <w:t>, emissions of 76.6 kt CO</w:t>
      </w:r>
      <w:r w:rsidRPr="00BE78CA">
        <w:rPr>
          <w:vertAlign w:val="subscript"/>
        </w:rPr>
        <w:t>2</w:t>
      </w:r>
      <w:r w:rsidRPr="00BE78CA">
        <w:t>-e of CH</w:t>
      </w:r>
      <w:r w:rsidRPr="00BE78CA">
        <w:rPr>
          <w:vertAlign w:val="subscript"/>
        </w:rPr>
        <w:t>4</w:t>
      </w:r>
      <w:r w:rsidRPr="00BE78CA">
        <w:t xml:space="preserve"> and 110.9 kt CO</w:t>
      </w:r>
      <w:r w:rsidRPr="00BE78CA">
        <w:rPr>
          <w:vertAlign w:val="subscript"/>
        </w:rPr>
        <w:t>2</w:t>
      </w:r>
      <w:r w:rsidRPr="00BE78CA">
        <w:t>-e of N</w:t>
      </w:r>
      <w:r w:rsidRPr="00BE78CA">
        <w:rPr>
          <w:vertAlign w:val="subscript"/>
        </w:rPr>
        <w:t>2</w:t>
      </w:r>
      <w:r w:rsidRPr="00BE78CA">
        <w:t xml:space="preserve">O. The category contributing the most to both removals and emissions is </w:t>
      </w:r>
      <w:r w:rsidRPr="00BE78CA">
        <w:rPr>
          <w:i/>
        </w:rPr>
        <w:t>Forest land remaining forest land</w:t>
      </w:r>
      <w:r w:rsidRPr="00BE78CA">
        <w:t>. This</w:t>
      </w:r>
      <w:r w:rsidR="000624E4" w:rsidRPr="00BE78CA">
        <w:t> </w:t>
      </w:r>
      <w:r w:rsidRPr="00BE78CA">
        <w:t>is because large removals result from the growth of all forests on this land and there were</w:t>
      </w:r>
      <w:r w:rsidR="000624E4" w:rsidRPr="00BE78CA">
        <w:t> </w:t>
      </w:r>
      <w:r w:rsidRPr="00BE78CA">
        <w:t>also large emissions from the sustainable harvest of New Zealand’s plantation forests.</w:t>
      </w:r>
    </w:p>
    <w:p w14:paraId="7DF0672E" w14:textId="77777777" w:rsidR="004D0912" w:rsidRPr="00BE78CA" w:rsidRDefault="004D0912" w:rsidP="004D0912">
      <w:pPr>
        <w:pStyle w:val="Heading5"/>
      </w:pPr>
      <w:r w:rsidRPr="00BE78CA">
        <w:t>1990–2019</w:t>
      </w:r>
    </w:p>
    <w:p w14:paraId="0AB34D5F" w14:textId="452DEBEC" w:rsidR="004D0912" w:rsidRPr="00BE78CA" w:rsidRDefault="004D0912" w:rsidP="004D0912">
      <w:pPr>
        <w:pStyle w:val="BodyText"/>
      </w:pPr>
      <w:r w:rsidRPr="00BE78CA">
        <w:t>Net removals in 2019 have increased by 3,410.6 kt CO</w:t>
      </w:r>
      <w:r w:rsidRPr="00BE78CA">
        <w:rPr>
          <w:vertAlign w:val="subscript"/>
        </w:rPr>
        <w:t>2</w:t>
      </w:r>
      <w:r w:rsidRPr="00BE78CA">
        <w:t>-e (14.2 per cent) from the 1990 level of</w:t>
      </w:r>
      <w:r w:rsidR="00B0498D" w:rsidRPr="00BE78CA">
        <w:t> </w:t>
      </w:r>
      <w:r w:rsidRPr="00BE78CA">
        <w:t>24,014.5 kt CO</w:t>
      </w:r>
      <w:r w:rsidRPr="00BE78CA">
        <w:rPr>
          <w:vertAlign w:val="subscript"/>
        </w:rPr>
        <w:t>2</w:t>
      </w:r>
      <w:r w:rsidRPr="00BE78CA">
        <w:t>-e (see figure 2.2.10 and chapter 6, figure</w:t>
      </w:r>
      <w:r w:rsidR="00B0498D" w:rsidRPr="00BE78CA">
        <w:t> </w:t>
      </w:r>
      <w:r w:rsidRPr="00BE78CA">
        <w:t>6.1.1 and figure 6.2.2). This is largely due to increasing yields in plantation forests from improved genetics and management practices, the rapid expansion of afforestation in the 1990s and an increase in the production of harvested wood products, which have compensated for the emissions from the increase in forest harvesting.</w:t>
      </w:r>
    </w:p>
    <w:p w14:paraId="1BABDA27" w14:textId="2E485F4B" w:rsidR="004D0912" w:rsidRPr="00BE78CA" w:rsidRDefault="004D0912" w:rsidP="004D0912">
      <w:pPr>
        <w:pStyle w:val="BodyText"/>
      </w:pPr>
      <w:r w:rsidRPr="00BE78CA">
        <w:t>The fluctuations in net emissions from the LULUCF sector (see figure 2.2.6) are influenced by</w:t>
      </w:r>
      <w:r w:rsidR="0058207A" w:rsidRPr="00BE78CA">
        <w:t> </w:t>
      </w:r>
      <w:r w:rsidRPr="00BE78CA">
        <w:t>harvesting and deforestation rates. Harvesting rates are driven by a number of factors, particularly forest age and log prices. Deforestation rates are driven largely by the relative profitability of forestry compared with alternative land uses. The increase in net emissions between 2004 and 2007 was largely due to the increase in planted forest deforestation that occurred leading up to 2008, immediately before to the introduction of the New Zealand Emissions Trading Scheme.</w:t>
      </w:r>
      <w:r w:rsidRPr="00BE78CA">
        <w:rPr>
          <w:rStyle w:val="FootnoteReference"/>
        </w:rPr>
        <w:footnoteReference w:id="27"/>
      </w:r>
    </w:p>
    <w:p w14:paraId="2ADCDD31" w14:textId="77777777" w:rsidR="004D0912" w:rsidRPr="00BE78CA" w:rsidRDefault="004D0912" w:rsidP="00EA617E">
      <w:pPr>
        <w:pStyle w:val="Figure"/>
        <w:spacing w:after="80"/>
      </w:pPr>
      <w:bookmarkStart w:id="186" w:name="_Toc68786630"/>
      <w:r w:rsidRPr="00BE78CA">
        <w:lastRenderedPageBreak/>
        <w:t xml:space="preserve">Figure 2.2.10 </w:t>
      </w:r>
      <w:r w:rsidRPr="00BE78CA">
        <w:tab/>
        <w:t>New Zealand’s LULUCF sector net emissions from 1990 to 2019</w:t>
      </w:r>
      <w:bookmarkEnd w:id="186"/>
    </w:p>
    <w:p w14:paraId="761E5E2A" w14:textId="77777777" w:rsidR="004D0912" w:rsidRPr="00BE78CA" w:rsidRDefault="004D0912" w:rsidP="00B4203A">
      <w:pPr>
        <w:pStyle w:val="BodyText"/>
        <w:spacing w:after="80"/>
      </w:pPr>
      <w:r w:rsidRPr="00BE78CA">
        <w:rPr>
          <w:noProof/>
        </w:rPr>
        <w:drawing>
          <wp:inline distT="0" distB="0" distL="0" distR="0" wp14:anchorId="5994FC01" wp14:editId="6970FBD9">
            <wp:extent cx="5326635" cy="3919993"/>
            <wp:effectExtent l="0" t="0" r="7620" b="4445"/>
            <wp:docPr id="11" name="Picture"/>
            <wp:cNvGraphicFramePr/>
            <a:graphic xmlns:a="http://schemas.openxmlformats.org/drawingml/2006/main">
              <a:graphicData uri="http://schemas.openxmlformats.org/drawingml/2006/picture">
                <pic:pic xmlns:pic="http://schemas.openxmlformats.org/drawingml/2006/picture">
                  <pic:nvPicPr>
                    <pic:cNvPr id="0" name="Picture" descr="code/graphs/images/fig_2_2_10_crf.png"/>
                    <pic:cNvPicPr>
                      <a:picLocks noChangeAspect="1" noChangeArrowheads="1"/>
                    </pic:cNvPicPr>
                  </pic:nvPicPr>
                  <pic:blipFill rotWithShape="1">
                    <a:blip r:embed="rId49"/>
                    <a:srcRect b="1387"/>
                    <a:stretch/>
                  </pic:blipFill>
                  <pic:spPr bwMode="auto">
                    <a:xfrm>
                      <a:off x="0" y="0"/>
                      <a:ext cx="5330888" cy="3923123"/>
                    </a:xfrm>
                    <a:prstGeom prst="rect">
                      <a:avLst/>
                    </a:prstGeom>
                    <a:noFill/>
                    <a:ln>
                      <a:noFill/>
                    </a:ln>
                    <a:extLst>
                      <a:ext uri="{53640926-AAD7-44D8-BBD7-CCE9431645EC}">
                        <a14:shadowObscured xmlns:a14="http://schemas.microsoft.com/office/drawing/2010/main"/>
                      </a:ext>
                    </a:extLst>
                  </pic:spPr>
                </pic:pic>
              </a:graphicData>
            </a:graphic>
          </wp:inline>
        </w:drawing>
      </w:r>
    </w:p>
    <w:p w14:paraId="060F6866" w14:textId="77777777" w:rsidR="004D0912" w:rsidRPr="00BE78CA" w:rsidRDefault="004D0912" w:rsidP="0058207A">
      <w:pPr>
        <w:pStyle w:val="Heading5"/>
      </w:pPr>
      <w:r w:rsidRPr="00BE78CA">
        <w:t>2018–2019</w:t>
      </w:r>
    </w:p>
    <w:p w14:paraId="1824BD57" w14:textId="1BD03D70" w:rsidR="004D0912" w:rsidRPr="00BE78CA" w:rsidRDefault="004D0912" w:rsidP="00B4203A">
      <w:pPr>
        <w:pStyle w:val="BodyText"/>
        <w:spacing w:after="100"/>
      </w:pPr>
      <w:r w:rsidRPr="00BE78CA">
        <w:t>Net removals from the LULUCF sector increased between 2018 and 2019 by 668.7 kt CO</w:t>
      </w:r>
      <w:r w:rsidRPr="00BE78CA">
        <w:rPr>
          <w:vertAlign w:val="subscript"/>
        </w:rPr>
        <w:t>2</w:t>
      </w:r>
      <w:r w:rsidRPr="00BE78CA">
        <w:t>-e (2.5</w:t>
      </w:r>
      <w:r w:rsidR="00A21B0C" w:rsidRPr="00BE78CA">
        <w:t> </w:t>
      </w:r>
      <w:r w:rsidRPr="00BE78CA">
        <w:t xml:space="preserve">per cent), with the largest changes occurring in the </w:t>
      </w:r>
      <w:r w:rsidRPr="00BE78CA">
        <w:rPr>
          <w:i/>
        </w:rPr>
        <w:t>Harvested wood products</w:t>
      </w:r>
      <w:r w:rsidRPr="00BE78CA">
        <w:t xml:space="preserve"> (691.7</w:t>
      </w:r>
      <w:r w:rsidR="0079004D" w:rsidRPr="00BE78CA">
        <w:t> </w:t>
      </w:r>
      <w:r w:rsidRPr="00BE78CA">
        <w:t>kt CO</w:t>
      </w:r>
      <w:r w:rsidRPr="00BE78CA">
        <w:rPr>
          <w:vertAlign w:val="subscript"/>
        </w:rPr>
        <w:t>2</w:t>
      </w:r>
      <w:r w:rsidRPr="00BE78CA">
        <w:t xml:space="preserve">-e) and </w:t>
      </w:r>
      <w:r w:rsidRPr="00BE78CA">
        <w:rPr>
          <w:i/>
        </w:rPr>
        <w:t>Grassland</w:t>
      </w:r>
      <w:r w:rsidRPr="00BE78CA">
        <w:t xml:space="preserve"> (317.2 kt CO</w:t>
      </w:r>
      <w:r w:rsidRPr="00BE78CA">
        <w:rPr>
          <w:vertAlign w:val="subscript"/>
        </w:rPr>
        <w:t>2</w:t>
      </w:r>
      <w:r w:rsidRPr="00BE78CA">
        <w:t>-e) categories.</w:t>
      </w:r>
    </w:p>
    <w:p w14:paraId="5480737E" w14:textId="77777777" w:rsidR="004D0912" w:rsidRPr="00BE78CA" w:rsidRDefault="004D0912" w:rsidP="004D0912">
      <w:pPr>
        <w:pStyle w:val="Heading4"/>
      </w:pPr>
      <w:bookmarkStart w:id="187" w:name="waste-sector"/>
      <w:r w:rsidRPr="00BE78CA">
        <w:t>Waste sector</w:t>
      </w:r>
      <w:bookmarkEnd w:id="187"/>
    </w:p>
    <w:p w14:paraId="5EDB8E26" w14:textId="77777777" w:rsidR="004D0912" w:rsidRPr="00BE78CA" w:rsidRDefault="004D0912" w:rsidP="00B4203A">
      <w:pPr>
        <w:pStyle w:val="BodyText"/>
        <w:spacing w:after="100"/>
      </w:pPr>
      <w:r w:rsidRPr="00BE78CA">
        <w:t>The Waste sector in New Zealand produces mainly CH</w:t>
      </w:r>
      <w:r w:rsidRPr="00BE78CA">
        <w:rPr>
          <w:vertAlign w:val="subscript"/>
        </w:rPr>
        <w:t>4</w:t>
      </w:r>
      <w:r w:rsidRPr="00BE78CA">
        <w:t xml:space="preserve"> emissions (92.3 per cent) followed by N</w:t>
      </w:r>
      <w:r w:rsidRPr="00BE78CA">
        <w:rPr>
          <w:vertAlign w:val="subscript"/>
        </w:rPr>
        <w:t>2</w:t>
      </w:r>
      <w:r w:rsidRPr="00BE78CA">
        <w:t>O (5.0 per cent) and CO</w:t>
      </w:r>
      <w:r w:rsidRPr="00BE78CA">
        <w:rPr>
          <w:vertAlign w:val="subscript"/>
        </w:rPr>
        <w:t>2</w:t>
      </w:r>
      <w:r w:rsidRPr="00BE78CA">
        <w:t xml:space="preserve"> emissions (2.7). The Waste sector produces 8.8 per cent of gross CH</w:t>
      </w:r>
      <w:r w:rsidRPr="00BE78CA">
        <w:rPr>
          <w:vertAlign w:val="subscript"/>
        </w:rPr>
        <w:t>4</w:t>
      </w:r>
      <w:r w:rsidRPr="00BE78CA">
        <w:t xml:space="preserve"> emissions in New Zealand. There are also emissions of CO</w:t>
      </w:r>
      <w:r w:rsidRPr="00BE78CA">
        <w:rPr>
          <w:vertAlign w:val="subscript"/>
        </w:rPr>
        <w:t>2</w:t>
      </w:r>
      <w:r w:rsidRPr="00BE78CA">
        <w:t xml:space="preserve"> from the disposal of solid waste, but these are of biogenic origin and are not reported.</w:t>
      </w:r>
    </w:p>
    <w:p w14:paraId="27E93ECB" w14:textId="77777777" w:rsidR="004D0912" w:rsidRPr="00BE78CA" w:rsidRDefault="004D0912" w:rsidP="004D0912">
      <w:pPr>
        <w:pStyle w:val="Heading5"/>
      </w:pPr>
      <w:r w:rsidRPr="00BE78CA">
        <w:t>2019</w:t>
      </w:r>
    </w:p>
    <w:p w14:paraId="3A1AB64E" w14:textId="45F1C29B" w:rsidR="004D0912" w:rsidRPr="00BE78CA" w:rsidRDefault="004D0912" w:rsidP="00B4203A">
      <w:pPr>
        <w:pStyle w:val="BodyText"/>
        <w:spacing w:after="100"/>
      </w:pPr>
      <w:r w:rsidRPr="00BE78CA">
        <w:t xml:space="preserve">In </w:t>
      </w:r>
      <w:r w:rsidRPr="00BE78CA">
        <w:rPr>
          <w:bCs/>
        </w:rPr>
        <w:t>2019, emissions from the Waste sector contributed 3,316.9 kt CO</w:t>
      </w:r>
      <w:r w:rsidRPr="00BE78CA">
        <w:rPr>
          <w:bCs/>
          <w:vertAlign w:val="subscript"/>
        </w:rPr>
        <w:t>2</w:t>
      </w:r>
      <w:r w:rsidRPr="00BE78CA">
        <w:rPr>
          <w:bCs/>
        </w:rPr>
        <w:t>-e or 4.0 per cent of New</w:t>
      </w:r>
      <w:r w:rsidR="00EA617E" w:rsidRPr="00BE78CA">
        <w:rPr>
          <w:bCs/>
        </w:rPr>
        <w:t> </w:t>
      </w:r>
      <w:r w:rsidRPr="00BE78CA">
        <w:rPr>
          <w:bCs/>
        </w:rPr>
        <w:t>Zealand’s gross GHG emissions. The largest source categor</w:t>
      </w:r>
      <w:r w:rsidRPr="00BE78CA">
        <w:t xml:space="preserve">y is </w:t>
      </w:r>
      <w:r w:rsidRPr="00BE78CA">
        <w:rPr>
          <w:i/>
        </w:rPr>
        <w:t>Solid waste disposal</w:t>
      </w:r>
      <w:r w:rsidRPr="00BE78CA">
        <w:t>, as shown in chapter 7, table 7.1.1 (emissions by source category).</w:t>
      </w:r>
    </w:p>
    <w:p w14:paraId="2DD0AFE5" w14:textId="77777777" w:rsidR="004D0912" w:rsidRPr="00BE78CA" w:rsidRDefault="004D0912" w:rsidP="004D0912">
      <w:pPr>
        <w:pStyle w:val="Heading5"/>
      </w:pPr>
      <w:r w:rsidRPr="00BE78CA">
        <w:t>1990–2019</w:t>
      </w:r>
    </w:p>
    <w:p w14:paraId="39F8AAB3" w14:textId="77777777" w:rsidR="004D0912" w:rsidRPr="00BE78CA" w:rsidRDefault="004D0912" w:rsidP="00B4203A">
      <w:pPr>
        <w:pStyle w:val="BodyText"/>
        <w:spacing w:before="80" w:after="100"/>
        <w:rPr>
          <w:bCs/>
        </w:rPr>
      </w:pPr>
      <w:r w:rsidRPr="00BE78CA">
        <w:t xml:space="preserve">In 2019, </w:t>
      </w:r>
      <w:r w:rsidRPr="00BE78CA">
        <w:rPr>
          <w:bCs/>
        </w:rPr>
        <w:t>emissions from the Waste sector decreased by 16.3 per cent (644.4 kt CO</w:t>
      </w:r>
      <w:r w:rsidRPr="00BE78CA">
        <w:rPr>
          <w:bCs/>
          <w:vertAlign w:val="subscript"/>
        </w:rPr>
        <w:t>2</w:t>
      </w:r>
      <w:r w:rsidRPr="00BE78CA">
        <w:rPr>
          <w:bCs/>
        </w:rPr>
        <w:t>-e), from 3,961.3 kt CO</w:t>
      </w:r>
      <w:r w:rsidRPr="00BE78CA">
        <w:rPr>
          <w:bCs/>
          <w:vertAlign w:val="subscript"/>
        </w:rPr>
        <w:t>2</w:t>
      </w:r>
      <w:r w:rsidRPr="00BE78CA">
        <w:rPr>
          <w:bCs/>
        </w:rPr>
        <w:t>-e in 1990.</w:t>
      </w:r>
    </w:p>
    <w:p w14:paraId="13B96BF2" w14:textId="77777777" w:rsidR="004D0912" w:rsidRPr="00BE78CA" w:rsidRDefault="004D0912" w:rsidP="004D0912">
      <w:pPr>
        <w:pStyle w:val="BodyText"/>
      </w:pPr>
      <w:r w:rsidRPr="00BE78CA">
        <w:t>Annual emissions increased between 1990 and 2002, peaking at 4,493.3 kt CO</w:t>
      </w:r>
      <w:r w:rsidRPr="00BE78CA">
        <w:rPr>
          <w:vertAlign w:val="subscript"/>
        </w:rPr>
        <w:t>2</w:t>
      </w:r>
      <w:r w:rsidRPr="00BE78CA">
        <w:t xml:space="preserve">-e in 2002, and have generally decreased since that time. Growth in population and economic activity since 1990 has resulted in increasing volumes of solid waste and wastewater for the whole of the time series. Ongoing improvements in the management of solid waste disposal at municipal </w:t>
      </w:r>
      <w:r w:rsidRPr="00BE78CA">
        <w:lastRenderedPageBreak/>
        <w:t>landfills have meant total Waste sector emissions have been trending down since 2005, in spite of increasing volumes of solid waste and wastewater. The reduction in emissions is particularly the result of increased CH</w:t>
      </w:r>
      <w:r w:rsidRPr="00BE78CA">
        <w:rPr>
          <w:vertAlign w:val="subscript"/>
        </w:rPr>
        <w:t>4</w:t>
      </w:r>
      <w:r w:rsidRPr="00BE78CA">
        <w:t xml:space="preserve"> recovery driven by the National Environmental Standards for Air Quality introduced in 2004 and also by the New Zealand Emissions Trading Scheme since 2013. The trends are shown in figure 2.2.11 and chapter 7, figure 7.1.2 and figure 7.1.3.</w:t>
      </w:r>
    </w:p>
    <w:p w14:paraId="4B6EF15D" w14:textId="77C8D07F" w:rsidR="004D0912" w:rsidRPr="00BE78CA" w:rsidRDefault="004D0912" w:rsidP="00B4203A">
      <w:pPr>
        <w:pStyle w:val="Figure"/>
        <w:spacing w:after="80"/>
      </w:pPr>
      <w:bookmarkStart w:id="188" w:name="_Toc68786631"/>
      <w:r w:rsidRPr="00BE78CA">
        <w:t>Figure 2.2.11</w:t>
      </w:r>
      <w:r w:rsidRPr="00BE78CA">
        <w:tab/>
        <w:t>New Zealand’s Waste sector emissions from 1990 to 2019</w:t>
      </w:r>
      <w:bookmarkEnd w:id="188"/>
    </w:p>
    <w:p w14:paraId="7A2E5D70" w14:textId="77777777" w:rsidR="004D0912" w:rsidRPr="00BE78CA" w:rsidRDefault="004D0912" w:rsidP="004D0912">
      <w:pPr>
        <w:pStyle w:val="BodyText"/>
      </w:pPr>
      <w:r w:rsidRPr="00BE78CA">
        <w:rPr>
          <w:noProof/>
        </w:rPr>
        <w:drawing>
          <wp:inline distT="0" distB="0" distL="0" distR="0" wp14:anchorId="37741A4D" wp14:editId="0B476C5E">
            <wp:extent cx="5295569" cy="3896139"/>
            <wp:effectExtent l="0" t="0" r="635" b="9525"/>
            <wp:docPr id="12" name="Picture"/>
            <wp:cNvGraphicFramePr/>
            <a:graphic xmlns:a="http://schemas.openxmlformats.org/drawingml/2006/main">
              <a:graphicData uri="http://schemas.openxmlformats.org/drawingml/2006/picture">
                <pic:pic xmlns:pic="http://schemas.openxmlformats.org/drawingml/2006/picture">
                  <pic:nvPicPr>
                    <pic:cNvPr id="0" name="Picture" descr="code/graphs/images/fig_2_2_11_crf.png"/>
                    <pic:cNvPicPr>
                      <a:picLocks noChangeAspect="1" noChangeArrowheads="1"/>
                    </pic:cNvPicPr>
                  </pic:nvPicPr>
                  <pic:blipFill rotWithShape="1">
                    <a:blip r:embed="rId50"/>
                    <a:srcRect b="1201"/>
                    <a:stretch/>
                  </pic:blipFill>
                  <pic:spPr bwMode="auto">
                    <a:xfrm>
                      <a:off x="0" y="0"/>
                      <a:ext cx="5297881" cy="3897840"/>
                    </a:xfrm>
                    <a:prstGeom prst="rect">
                      <a:avLst/>
                    </a:prstGeom>
                    <a:noFill/>
                    <a:ln>
                      <a:noFill/>
                    </a:ln>
                    <a:extLst>
                      <a:ext uri="{53640926-AAD7-44D8-BBD7-CCE9431645EC}">
                        <a14:shadowObscured xmlns:a14="http://schemas.microsoft.com/office/drawing/2010/main"/>
                      </a:ext>
                    </a:extLst>
                  </pic:spPr>
                </pic:pic>
              </a:graphicData>
            </a:graphic>
          </wp:inline>
        </w:drawing>
      </w:r>
    </w:p>
    <w:p w14:paraId="5FC39E07" w14:textId="77777777" w:rsidR="004D0912" w:rsidRPr="00BE78CA" w:rsidRDefault="004D0912" w:rsidP="00B4203A">
      <w:pPr>
        <w:pStyle w:val="Heading5"/>
      </w:pPr>
      <w:r w:rsidRPr="00BE78CA">
        <w:t>2018–2019</w:t>
      </w:r>
    </w:p>
    <w:p w14:paraId="6E92549F" w14:textId="56963734" w:rsidR="004D0912" w:rsidRPr="00BE78CA" w:rsidRDefault="004D0912" w:rsidP="004D0912">
      <w:pPr>
        <w:pStyle w:val="BodyText"/>
      </w:pPr>
      <w:r w:rsidRPr="00BE78CA">
        <w:t xml:space="preserve">Between </w:t>
      </w:r>
      <w:r w:rsidRPr="00BE78CA">
        <w:rPr>
          <w:bCs/>
        </w:rPr>
        <w:t>2018 and 2019, emissions from the Waste sector decreased by 48.4 kt CO</w:t>
      </w:r>
      <w:r w:rsidRPr="00BE78CA">
        <w:rPr>
          <w:bCs/>
          <w:vertAlign w:val="subscript"/>
        </w:rPr>
        <w:t>2</w:t>
      </w:r>
      <w:r w:rsidRPr="00BE78CA">
        <w:rPr>
          <w:bCs/>
        </w:rPr>
        <w:t>-e (1.4</w:t>
      </w:r>
      <w:r w:rsidR="00EE71A3" w:rsidRPr="00BE78CA">
        <w:rPr>
          <w:bCs/>
        </w:rPr>
        <w:t> </w:t>
      </w:r>
      <w:r w:rsidRPr="00BE78CA">
        <w:rPr>
          <w:bCs/>
        </w:rPr>
        <w:t>p</w:t>
      </w:r>
      <w:r w:rsidRPr="00BE78CA">
        <w:t>er cent). This decrease is largely the result of decreases in CH</w:t>
      </w:r>
      <w:r w:rsidRPr="00BE78CA">
        <w:rPr>
          <w:vertAlign w:val="subscript"/>
        </w:rPr>
        <w:t>4</w:t>
      </w:r>
      <w:r w:rsidRPr="00BE78CA">
        <w:t xml:space="preserve"> emissions in the </w:t>
      </w:r>
      <w:r w:rsidRPr="00BE78CA">
        <w:rPr>
          <w:i/>
        </w:rPr>
        <w:t>Solid waste disposal</w:t>
      </w:r>
      <w:r w:rsidRPr="00BE78CA">
        <w:t xml:space="preserve"> category, due to changes in the composition of waste disposed to municipal landfills.</w:t>
      </w:r>
    </w:p>
    <w:p w14:paraId="7EC54F0B" w14:textId="77777777" w:rsidR="004D0912" w:rsidRPr="00BE78CA" w:rsidRDefault="004D0912" w:rsidP="004D0912">
      <w:pPr>
        <w:pStyle w:val="Heading4"/>
      </w:pPr>
      <w:r w:rsidRPr="00BE78CA">
        <w:t>Other sector (Tokelau)</w:t>
      </w:r>
    </w:p>
    <w:p w14:paraId="72765FCA" w14:textId="2FD8E2CD" w:rsidR="004D0912" w:rsidRPr="00BE78CA" w:rsidRDefault="004D0912" w:rsidP="004D0912">
      <w:pPr>
        <w:pStyle w:val="BodyText"/>
      </w:pPr>
      <w:r w:rsidRPr="00BE78CA">
        <w:t>Beginning with the 2019 submission, New Zealand’s national inventory includes emissions from Tokelau, which is an overseas dependent territory of New Zealand. Table 2.2.2 shows the</w:t>
      </w:r>
      <w:r w:rsidR="00B4203A" w:rsidRPr="00BE78CA">
        <w:t> </w:t>
      </w:r>
      <w:r w:rsidRPr="00BE78CA">
        <w:t>contribution of emissions from Tokelau. Generally, in New Zealand’s inventory, net and gross emissions are reported as a total of emissions from New Zealand’s mainland territory, plus emissions from Tokelau where applicable. Because emissions from Tokelau are small, and the methodology varies greatly between Tokelau’s and the rest of New Zealand’s inventory, emissions from Tokelau are reported in the Other sector, and methodological issues for Tokelau are detailed in chapter 8 of the National Inventory Report, separately from the sectoral chapters that focus on methods for New Zealand’s mainland territory only. A set of</w:t>
      </w:r>
      <w:r w:rsidR="00B4203A" w:rsidRPr="00BE78CA">
        <w:t> </w:t>
      </w:r>
      <w:r w:rsidRPr="00BE78CA">
        <w:t>tables in annex 7 provides details on time series for emissions and activity data, and information on methods and emission factors for each sector and category contributing to the</w:t>
      </w:r>
      <w:r w:rsidR="00B4203A" w:rsidRPr="00BE78CA">
        <w:t> </w:t>
      </w:r>
      <w:r w:rsidRPr="00BE78CA">
        <w:t>gross emissions from Tokelau.</w:t>
      </w:r>
    </w:p>
    <w:p w14:paraId="4245BFE5" w14:textId="401B2678" w:rsidR="004D0912" w:rsidRPr="00BE78CA" w:rsidRDefault="004D0912" w:rsidP="004D0912">
      <w:pPr>
        <w:pStyle w:val="BodyText"/>
      </w:pPr>
      <w:r w:rsidRPr="00BE78CA">
        <w:lastRenderedPageBreak/>
        <w:t>Due to the small land area, small population and absence of industry, Tokelau has a very low</w:t>
      </w:r>
      <w:r w:rsidR="00B4203A" w:rsidRPr="00BE78CA">
        <w:t> </w:t>
      </w:r>
      <w:r w:rsidRPr="00BE78CA">
        <w:t>impact on the environment and emits very small amounts of GHGs. In relative terms, emissions have increased overall since 1990, due to increasing per capita consumption despite a decrease in population. Tokelau produces mainly CO</w:t>
      </w:r>
      <w:r w:rsidRPr="00BE78CA">
        <w:rPr>
          <w:vertAlign w:val="subscript"/>
        </w:rPr>
        <w:t>2</w:t>
      </w:r>
      <w:r w:rsidRPr="00BE78CA">
        <w:t xml:space="preserve"> emissions (59.1 per cent) and CH</w:t>
      </w:r>
      <w:r w:rsidRPr="00BE78CA">
        <w:rPr>
          <w:vertAlign w:val="subscript"/>
        </w:rPr>
        <w:t>4</w:t>
      </w:r>
      <w:r w:rsidRPr="00BE78CA">
        <w:t xml:space="preserve"> emissions (34.3 per cent) followed by HFCs (5.4 per cent) and N</w:t>
      </w:r>
      <w:r w:rsidRPr="00BE78CA">
        <w:rPr>
          <w:vertAlign w:val="subscript"/>
        </w:rPr>
        <w:t>2</w:t>
      </w:r>
      <w:r w:rsidRPr="00BE78CA">
        <w:t>O emissions (1.2 per cent). Emissions from HFCs are largely coming from the use of domestic fridges and freezers.</w:t>
      </w:r>
    </w:p>
    <w:p w14:paraId="08DF833F" w14:textId="77777777" w:rsidR="004D0912" w:rsidRPr="00BE78CA" w:rsidRDefault="004D0912" w:rsidP="00B4203A">
      <w:pPr>
        <w:pStyle w:val="Table"/>
      </w:pPr>
      <w:bookmarkStart w:id="189" w:name="_Toc68786401"/>
      <w:r w:rsidRPr="00BE78CA">
        <w:t xml:space="preserve">Table 2.2.2 </w:t>
      </w:r>
      <w:r w:rsidRPr="00BE78CA">
        <w:tab/>
        <w:t>Emissions from Tokelau</w:t>
      </w:r>
      <w:bookmarkEnd w:id="189"/>
    </w:p>
    <w:tbl>
      <w:tblPr>
        <w:tblW w:w="8494" w:type="dxa"/>
        <w:tblBorders>
          <w:top w:val="single" w:sz="4" w:space="0" w:color="365F91"/>
          <w:left w:val="single" w:sz="4" w:space="0" w:color="FFFFFF"/>
          <w:bottom w:val="single" w:sz="4" w:space="0" w:color="365F91"/>
          <w:insideH w:val="single" w:sz="4" w:space="0" w:color="365F91"/>
        </w:tblBorders>
        <w:tblLayout w:type="fixed"/>
        <w:tblCellMar>
          <w:left w:w="85" w:type="dxa"/>
          <w:right w:w="85" w:type="dxa"/>
        </w:tblCellMar>
        <w:tblLook w:val="0420" w:firstRow="1" w:lastRow="0" w:firstColumn="0" w:lastColumn="0" w:noHBand="0" w:noVBand="1"/>
      </w:tblPr>
      <w:tblGrid>
        <w:gridCol w:w="1637"/>
        <w:gridCol w:w="585"/>
        <w:gridCol w:w="558"/>
        <w:gridCol w:w="1463"/>
        <w:gridCol w:w="1091"/>
        <w:gridCol w:w="1580"/>
        <w:gridCol w:w="1580"/>
      </w:tblGrid>
      <w:tr w:rsidR="00B4203A" w:rsidRPr="00BE78CA" w14:paraId="4083B238" w14:textId="77777777" w:rsidTr="00CE5D98">
        <w:trPr>
          <w:cantSplit/>
          <w:tblHeader/>
        </w:trPr>
        <w:tc>
          <w:tcPr>
            <w:tcW w:w="1588" w:type="dxa"/>
            <w:tcBorders>
              <w:left w:val="nil"/>
            </w:tcBorders>
            <w:shd w:val="clear" w:color="auto" w:fill="365F91"/>
            <w:tcMar>
              <w:top w:w="0" w:type="dxa"/>
              <w:left w:w="85" w:type="dxa"/>
              <w:bottom w:w="0" w:type="dxa"/>
              <w:right w:w="85" w:type="dxa"/>
            </w:tcMar>
            <w:vAlign w:val="bottom"/>
          </w:tcPr>
          <w:p w14:paraId="01BAAD35" w14:textId="77777777" w:rsidR="004D0912" w:rsidRPr="00BE78CA" w:rsidRDefault="004D0912" w:rsidP="00B4203A">
            <w:pPr>
              <w:pStyle w:val="TableTextBold"/>
              <w:rPr>
                <w:noProof w:val="0"/>
                <w:color w:val="FFFFFF" w:themeColor="background1"/>
              </w:rPr>
            </w:pPr>
            <w:r w:rsidRPr="00BE78CA">
              <w:rPr>
                <w:rFonts w:eastAsia="Calibri"/>
                <w:noProof w:val="0"/>
                <w:color w:val="FFFFFF" w:themeColor="background1"/>
              </w:rPr>
              <w:t>Sector</w:t>
            </w:r>
          </w:p>
        </w:tc>
        <w:tc>
          <w:tcPr>
            <w:tcW w:w="567" w:type="dxa"/>
            <w:shd w:val="clear" w:color="auto" w:fill="365F91"/>
            <w:tcMar>
              <w:top w:w="0" w:type="dxa"/>
              <w:left w:w="85" w:type="dxa"/>
              <w:bottom w:w="0" w:type="dxa"/>
              <w:right w:w="85" w:type="dxa"/>
            </w:tcMar>
            <w:vAlign w:val="bottom"/>
          </w:tcPr>
          <w:p w14:paraId="719368E6" w14:textId="77777777" w:rsidR="004D0912" w:rsidRPr="00BE78CA" w:rsidRDefault="004D0912" w:rsidP="00B4203A">
            <w:pPr>
              <w:pStyle w:val="TableTextBold"/>
              <w:jc w:val="center"/>
              <w:rPr>
                <w:noProof w:val="0"/>
                <w:color w:val="FFFFFF" w:themeColor="background1"/>
              </w:rPr>
            </w:pPr>
            <w:r w:rsidRPr="00BE78CA">
              <w:rPr>
                <w:rFonts w:eastAsia="Calibri"/>
                <w:noProof w:val="0"/>
                <w:color w:val="FFFFFF" w:themeColor="background1"/>
              </w:rPr>
              <w:t>1990</w:t>
            </w:r>
          </w:p>
        </w:tc>
        <w:tc>
          <w:tcPr>
            <w:tcW w:w="541" w:type="dxa"/>
            <w:shd w:val="clear" w:color="auto" w:fill="365F91"/>
            <w:tcMar>
              <w:top w:w="0" w:type="dxa"/>
              <w:left w:w="85" w:type="dxa"/>
              <w:bottom w:w="0" w:type="dxa"/>
              <w:right w:w="85" w:type="dxa"/>
            </w:tcMar>
            <w:vAlign w:val="bottom"/>
          </w:tcPr>
          <w:p w14:paraId="3F2C2490" w14:textId="77777777" w:rsidR="004D0912" w:rsidRPr="00BE78CA" w:rsidRDefault="004D0912" w:rsidP="00B4203A">
            <w:pPr>
              <w:pStyle w:val="TableTextBold"/>
              <w:jc w:val="center"/>
              <w:rPr>
                <w:noProof w:val="0"/>
                <w:color w:val="FFFFFF" w:themeColor="background1"/>
              </w:rPr>
            </w:pPr>
            <w:r w:rsidRPr="00BE78CA">
              <w:rPr>
                <w:rFonts w:eastAsia="Calibri"/>
                <w:noProof w:val="0"/>
                <w:color w:val="FFFFFF" w:themeColor="background1"/>
              </w:rPr>
              <w:t>2019</w:t>
            </w:r>
          </w:p>
        </w:tc>
        <w:tc>
          <w:tcPr>
            <w:tcW w:w="1418" w:type="dxa"/>
            <w:shd w:val="clear" w:color="auto" w:fill="365F91"/>
            <w:tcMar>
              <w:top w:w="0" w:type="dxa"/>
              <w:left w:w="85" w:type="dxa"/>
              <w:bottom w:w="0" w:type="dxa"/>
              <w:right w:w="85" w:type="dxa"/>
            </w:tcMar>
            <w:vAlign w:val="bottom"/>
          </w:tcPr>
          <w:p w14:paraId="1B836D2D" w14:textId="6B6B5544" w:rsidR="004D0912" w:rsidRPr="00BE78CA" w:rsidRDefault="004D0912" w:rsidP="00B4203A">
            <w:pPr>
              <w:pStyle w:val="TableTextBold"/>
              <w:jc w:val="right"/>
              <w:rPr>
                <w:noProof w:val="0"/>
                <w:color w:val="FFFFFF" w:themeColor="background1"/>
              </w:rPr>
            </w:pPr>
            <w:r w:rsidRPr="00BE78CA">
              <w:rPr>
                <w:rFonts w:eastAsia="Calibri"/>
                <w:noProof w:val="0"/>
                <w:color w:val="FFFFFF" w:themeColor="background1"/>
              </w:rPr>
              <w:t xml:space="preserve">Change from 1990 </w:t>
            </w:r>
            <w:r w:rsidR="00B4203A" w:rsidRPr="00BE78CA">
              <w:rPr>
                <w:rFonts w:eastAsia="Calibri"/>
                <w:noProof w:val="0"/>
                <w:color w:val="FFFFFF" w:themeColor="background1"/>
              </w:rPr>
              <w:br/>
            </w:r>
            <w:r w:rsidRPr="00BE78CA">
              <w:rPr>
                <w:rFonts w:eastAsia="Calibri"/>
                <w:noProof w:val="0"/>
                <w:color w:val="FFFFFF" w:themeColor="background1"/>
              </w:rPr>
              <w:t>(kt CO</w:t>
            </w:r>
            <w:r w:rsidRPr="00BE78CA">
              <w:rPr>
                <w:rFonts w:eastAsia="Calibri"/>
                <w:noProof w:val="0"/>
                <w:color w:val="FFFFFF" w:themeColor="background1"/>
                <w:vertAlign w:val="subscript"/>
              </w:rPr>
              <w:t>2</w:t>
            </w:r>
            <w:r w:rsidRPr="00BE78CA">
              <w:rPr>
                <w:rFonts w:eastAsia="Calibri"/>
                <w:noProof w:val="0"/>
                <w:color w:val="FFFFFF" w:themeColor="background1"/>
              </w:rPr>
              <w:t>-equivalent)</w:t>
            </w:r>
          </w:p>
        </w:tc>
        <w:tc>
          <w:tcPr>
            <w:tcW w:w="1057" w:type="dxa"/>
            <w:shd w:val="clear" w:color="auto" w:fill="365F91"/>
            <w:tcMar>
              <w:top w:w="0" w:type="dxa"/>
              <w:left w:w="85" w:type="dxa"/>
              <w:bottom w:w="0" w:type="dxa"/>
              <w:right w:w="85" w:type="dxa"/>
            </w:tcMar>
            <w:vAlign w:val="bottom"/>
          </w:tcPr>
          <w:p w14:paraId="1C00080E" w14:textId="77777777" w:rsidR="004D0912" w:rsidRPr="00BE78CA" w:rsidRDefault="004D0912" w:rsidP="00B4203A">
            <w:pPr>
              <w:pStyle w:val="TableTextBold"/>
              <w:jc w:val="right"/>
              <w:rPr>
                <w:noProof w:val="0"/>
                <w:color w:val="FFFFFF" w:themeColor="background1"/>
              </w:rPr>
            </w:pPr>
            <w:r w:rsidRPr="00BE78CA">
              <w:rPr>
                <w:rFonts w:eastAsia="Calibri"/>
                <w:noProof w:val="0"/>
                <w:color w:val="FFFFFF" w:themeColor="background1"/>
              </w:rPr>
              <w:t>Change from 1990 (%)</w:t>
            </w:r>
          </w:p>
        </w:tc>
        <w:tc>
          <w:tcPr>
            <w:tcW w:w="1531" w:type="dxa"/>
            <w:shd w:val="clear" w:color="auto" w:fill="365F91"/>
            <w:tcMar>
              <w:top w:w="0" w:type="dxa"/>
              <w:left w:w="85" w:type="dxa"/>
              <w:bottom w:w="0" w:type="dxa"/>
              <w:right w:w="85" w:type="dxa"/>
            </w:tcMar>
            <w:vAlign w:val="bottom"/>
          </w:tcPr>
          <w:p w14:paraId="4841B71C" w14:textId="77777777" w:rsidR="004D0912" w:rsidRPr="00BE78CA" w:rsidRDefault="004D0912" w:rsidP="00B4203A">
            <w:pPr>
              <w:pStyle w:val="TableTextBold"/>
              <w:jc w:val="right"/>
              <w:rPr>
                <w:noProof w:val="0"/>
                <w:color w:val="FFFFFF" w:themeColor="background1"/>
              </w:rPr>
            </w:pPr>
            <w:r w:rsidRPr="00BE78CA">
              <w:rPr>
                <w:rFonts w:eastAsia="Calibri"/>
                <w:noProof w:val="0"/>
                <w:color w:val="FFFFFF" w:themeColor="background1"/>
              </w:rPr>
              <w:t>Contribution to gross for Tokelau (%)</w:t>
            </w:r>
          </w:p>
        </w:tc>
        <w:tc>
          <w:tcPr>
            <w:tcW w:w="1531" w:type="dxa"/>
            <w:shd w:val="clear" w:color="auto" w:fill="365F91"/>
            <w:tcMar>
              <w:top w:w="0" w:type="dxa"/>
              <w:left w:w="85" w:type="dxa"/>
              <w:bottom w:w="0" w:type="dxa"/>
              <w:right w:w="85" w:type="dxa"/>
            </w:tcMar>
            <w:vAlign w:val="bottom"/>
          </w:tcPr>
          <w:p w14:paraId="1C1A8597" w14:textId="77777777" w:rsidR="004D0912" w:rsidRPr="00BE78CA" w:rsidRDefault="004D0912" w:rsidP="00B4203A">
            <w:pPr>
              <w:pStyle w:val="TableTextBold"/>
              <w:jc w:val="right"/>
              <w:rPr>
                <w:noProof w:val="0"/>
                <w:color w:val="FFFFFF" w:themeColor="background1"/>
              </w:rPr>
            </w:pPr>
            <w:r w:rsidRPr="00BE78CA">
              <w:rPr>
                <w:rFonts w:eastAsia="Calibri"/>
                <w:noProof w:val="0"/>
                <w:color w:val="FFFFFF" w:themeColor="background1"/>
              </w:rPr>
              <w:t>Contribution to gross NZ (incl Tokelau) (%)</w:t>
            </w:r>
          </w:p>
        </w:tc>
      </w:tr>
      <w:tr w:rsidR="00B4203A" w:rsidRPr="00BE78CA" w14:paraId="384CDC1C" w14:textId="77777777" w:rsidTr="001814DF">
        <w:trPr>
          <w:cantSplit/>
        </w:trPr>
        <w:tc>
          <w:tcPr>
            <w:tcW w:w="1588" w:type="dxa"/>
            <w:shd w:val="clear" w:color="auto" w:fill="FFFFFF"/>
            <w:tcMar>
              <w:top w:w="0" w:type="dxa"/>
              <w:left w:w="85" w:type="dxa"/>
              <w:bottom w:w="0" w:type="dxa"/>
              <w:right w:w="85" w:type="dxa"/>
            </w:tcMar>
          </w:tcPr>
          <w:p w14:paraId="1758E94F" w14:textId="77777777" w:rsidR="004D0912" w:rsidRPr="00BE78CA" w:rsidRDefault="004D0912" w:rsidP="00B4203A">
            <w:pPr>
              <w:pStyle w:val="TableText"/>
            </w:pPr>
            <w:r w:rsidRPr="00BE78CA">
              <w:rPr>
                <w:rFonts w:eastAsia="Calibri"/>
              </w:rPr>
              <w:t>Energy for Tokelau</w:t>
            </w:r>
          </w:p>
        </w:tc>
        <w:tc>
          <w:tcPr>
            <w:tcW w:w="567" w:type="dxa"/>
            <w:shd w:val="clear" w:color="auto" w:fill="FFFFFF"/>
            <w:tcMar>
              <w:top w:w="0" w:type="dxa"/>
              <w:left w:w="85" w:type="dxa"/>
              <w:bottom w:w="0" w:type="dxa"/>
              <w:right w:w="85" w:type="dxa"/>
            </w:tcMar>
          </w:tcPr>
          <w:p w14:paraId="48FB42CE" w14:textId="77777777" w:rsidR="004D0912" w:rsidRPr="00BE78CA" w:rsidRDefault="004D0912" w:rsidP="00B4203A">
            <w:pPr>
              <w:pStyle w:val="TableText"/>
              <w:jc w:val="center"/>
            </w:pPr>
            <w:r w:rsidRPr="00BE78CA">
              <w:rPr>
                <w:rFonts w:eastAsia="Calibri"/>
              </w:rPr>
              <w:t>1.26</w:t>
            </w:r>
          </w:p>
        </w:tc>
        <w:tc>
          <w:tcPr>
            <w:tcW w:w="541" w:type="dxa"/>
            <w:shd w:val="clear" w:color="auto" w:fill="FFFFFF"/>
            <w:tcMar>
              <w:top w:w="0" w:type="dxa"/>
              <w:left w:w="85" w:type="dxa"/>
              <w:bottom w:w="0" w:type="dxa"/>
              <w:right w:w="85" w:type="dxa"/>
            </w:tcMar>
          </w:tcPr>
          <w:p w14:paraId="6A3EC122" w14:textId="77777777" w:rsidR="004D0912" w:rsidRPr="00BE78CA" w:rsidRDefault="004D0912" w:rsidP="00B4203A">
            <w:pPr>
              <w:pStyle w:val="TableText"/>
              <w:jc w:val="center"/>
            </w:pPr>
            <w:r w:rsidRPr="00BE78CA">
              <w:rPr>
                <w:rFonts w:eastAsia="Calibri"/>
              </w:rPr>
              <w:t>2.53</w:t>
            </w:r>
          </w:p>
        </w:tc>
        <w:tc>
          <w:tcPr>
            <w:tcW w:w="1418" w:type="dxa"/>
            <w:shd w:val="clear" w:color="auto" w:fill="FFFFFF"/>
            <w:tcMar>
              <w:top w:w="0" w:type="dxa"/>
              <w:left w:w="85" w:type="dxa"/>
              <w:bottom w:w="0" w:type="dxa"/>
              <w:right w:w="85" w:type="dxa"/>
            </w:tcMar>
          </w:tcPr>
          <w:p w14:paraId="04842F90" w14:textId="77777777" w:rsidR="004D0912" w:rsidRPr="00BE78CA" w:rsidRDefault="004D0912" w:rsidP="00B4203A">
            <w:pPr>
              <w:pStyle w:val="TableText"/>
              <w:jc w:val="right"/>
            </w:pPr>
            <w:r w:rsidRPr="00BE78CA">
              <w:rPr>
                <w:rFonts w:eastAsia="Calibri"/>
              </w:rPr>
              <w:t>1.26</w:t>
            </w:r>
          </w:p>
        </w:tc>
        <w:tc>
          <w:tcPr>
            <w:tcW w:w="1057" w:type="dxa"/>
            <w:shd w:val="clear" w:color="auto" w:fill="FFFFFF"/>
            <w:tcMar>
              <w:top w:w="0" w:type="dxa"/>
              <w:left w:w="85" w:type="dxa"/>
              <w:bottom w:w="0" w:type="dxa"/>
              <w:right w:w="85" w:type="dxa"/>
            </w:tcMar>
          </w:tcPr>
          <w:p w14:paraId="5E21649A" w14:textId="77777777" w:rsidR="004D0912" w:rsidRPr="00BE78CA" w:rsidRDefault="004D0912" w:rsidP="00B4203A">
            <w:pPr>
              <w:pStyle w:val="TableText"/>
              <w:jc w:val="right"/>
            </w:pPr>
            <w:r w:rsidRPr="00BE78CA">
              <w:rPr>
                <w:rFonts w:eastAsia="Calibri"/>
              </w:rPr>
              <w:t>99.91</w:t>
            </w:r>
          </w:p>
        </w:tc>
        <w:tc>
          <w:tcPr>
            <w:tcW w:w="1531" w:type="dxa"/>
            <w:shd w:val="clear" w:color="auto" w:fill="FFFFFF"/>
            <w:tcMar>
              <w:top w:w="0" w:type="dxa"/>
              <w:left w:w="85" w:type="dxa"/>
              <w:bottom w:w="0" w:type="dxa"/>
              <w:right w:w="85" w:type="dxa"/>
            </w:tcMar>
          </w:tcPr>
          <w:p w14:paraId="421D581D" w14:textId="77777777" w:rsidR="004D0912" w:rsidRPr="00BE78CA" w:rsidRDefault="004D0912" w:rsidP="00B4203A">
            <w:pPr>
              <w:pStyle w:val="TableText"/>
              <w:jc w:val="right"/>
            </w:pPr>
            <w:r w:rsidRPr="00BE78CA">
              <w:rPr>
                <w:rFonts w:eastAsia="Calibri"/>
              </w:rPr>
              <w:t>58.79</w:t>
            </w:r>
          </w:p>
        </w:tc>
        <w:tc>
          <w:tcPr>
            <w:tcW w:w="1531" w:type="dxa"/>
            <w:shd w:val="clear" w:color="auto" w:fill="FFFFFF"/>
            <w:tcMar>
              <w:top w:w="0" w:type="dxa"/>
              <w:left w:w="85" w:type="dxa"/>
              <w:bottom w:w="0" w:type="dxa"/>
              <w:right w:w="85" w:type="dxa"/>
            </w:tcMar>
          </w:tcPr>
          <w:p w14:paraId="7ACA2726" w14:textId="77777777" w:rsidR="004D0912" w:rsidRPr="00BE78CA" w:rsidRDefault="004D0912" w:rsidP="00B4203A">
            <w:pPr>
              <w:pStyle w:val="TableText"/>
              <w:jc w:val="right"/>
            </w:pPr>
            <w:r w:rsidRPr="00BE78CA">
              <w:rPr>
                <w:rFonts w:eastAsia="Calibri"/>
              </w:rPr>
              <w:t>0.003</w:t>
            </w:r>
          </w:p>
        </w:tc>
      </w:tr>
      <w:tr w:rsidR="00B4203A" w:rsidRPr="00BE78CA" w14:paraId="7C0EDFD7" w14:textId="77777777" w:rsidTr="001814DF">
        <w:trPr>
          <w:cantSplit/>
        </w:trPr>
        <w:tc>
          <w:tcPr>
            <w:tcW w:w="1588" w:type="dxa"/>
            <w:shd w:val="clear" w:color="auto" w:fill="FFFFFF"/>
            <w:tcMar>
              <w:top w:w="0" w:type="dxa"/>
              <w:left w:w="85" w:type="dxa"/>
              <w:bottom w:w="0" w:type="dxa"/>
              <w:right w:w="85" w:type="dxa"/>
            </w:tcMar>
          </w:tcPr>
          <w:p w14:paraId="77A4E906" w14:textId="77777777" w:rsidR="004D0912" w:rsidRPr="00BE78CA" w:rsidRDefault="004D0912" w:rsidP="00B4203A">
            <w:pPr>
              <w:pStyle w:val="TableText"/>
            </w:pPr>
            <w:r w:rsidRPr="00BE78CA">
              <w:rPr>
                <w:rFonts w:eastAsia="Calibri"/>
              </w:rPr>
              <w:t>IPPU for Tokelau</w:t>
            </w:r>
          </w:p>
        </w:tc>
        <w:tc>
          <w:tcPr>
            <w:tcW w:w="567" w:type="dxa"/>
            <w:shd w:val="clear" w:color="auto" w:fill="FFFFFF"/>
            <w:tcMar>
              <w:top w:w="0" w:type="dxa"/>
              <w:left w:w="85" w:type="dxa"/>
              <w:bottom w:w="0" w:type="dxa"/>
              <w:right w:w="85" w:type="dxa"/>
            </w:tcMar>
          </w:tcPr>
          <w:p w14:paraId="0C8C76A1" w14:textId="77777777" w:rsidR="004D0912" w:rsidRPr="00BE78CA" w:rsidRDefault="004D0912" w:rsidP="00B4203A">
            <w:pPr>
              <w:pStyle w:val="TableText"/>
              <w:jc w:val="center"/>
            </w:pPr>
            <w:r w:rsidRPr="00BE78CA">
              <w:rPr>
                <w:rFonts w:eastAsia="Calibri"/>
              </w:rPr>
              <w:t>0.05</w:t>
            </w:r>
          </w:p>
        </w:tc>
        <w:tc>
          <w:tcPr>
            <w:tcW w:w="541" w:type="dxa"/>
            <w:shd w:val="clear" w:color="auto" w:fill="FFFFFF"/>
            <w:tcMar>
              <w:top w:w="0" w:type="dxa"/>
              <w:left w:w="85" w:type="dxa"/>
              <w:bottom w:w="0" w:type="dxa"/>
              <w:right w:w="85" w:type="dxa"/>
            </w:tcMar>
          </w:tcPr>
          <w:p w14:paraId="03AFC440" w14:textId="77777777" w:rsidR="004D0912" w:rsidRPr="00BE78CA" w:rsidRDefault="004D0912" w:rsidP="00B4203A">
            <w:pPr>
              <w:pStyle w:val="TableText"/>
              <w:jc w:val="center"/>
            </w:pPr>
            <w:r w:rsidRPr="00BE78CA">
              <w:rPr>
                <w:rFonts w:eastAsia="Calibri"/>
              </w:rPr>
              <w:t>0.26</w:t>
            </w:r>
          </w:p>
        </w:tc>
        <w:tc>
          <w:tcPr>
            <w:tcW w:w="1418" w:type="dxa"/>
            <w:shd w:val="clear" w:color="auto" w:fill="FFFFFF"/>
            <w:tcMar>
              <w:top w:w="0" w:type="dxa"/>
              <w:left w:w="85" w:type="dxa"/>
              <w:bottom w:w="0" w:type="dxa"/>
              <w:right w:w="85" w:type="dxa"/>
            </w:tcMar>
          </w:tcPr>
          <w:p w14:paraId="090882DA" w14:textId="77777777" w:rsidR="004D0912" w:rsidRPr="00BE78CA" w:rsidRDefault="004D0912" w:rsidP="00B4203A">
            <w:pPr>
              <w:pStyle w:val="TableText"/>
              <w:jc w:val="right"/>
            </w:pPr>
            <w:r w:rsidRPr="00BE78CA">
              <w:rPr>
                <w:rFonts w:eastAsia="Calibri"/>
              </w:rPr>
              <w:t>0.21</w:t>
            </w:r>
          </w:p>
        </w:tc>
        <w:tc>
          <w:tcPr>
            <w:tcW w:w="1057" w:type="dxa"/>
            <w:shd w:val="clear" w:color="auto" w:fill="FFFFFF"/>
            <w:tcMar>
              <w:top w:w="0" w:type="dxa"/>
              <w:left w:w="85" w:type="dxa"/>
              <w:bottom w:w="0" w:type="dxa"/>
              <w:right w:w="85" w:type="dxa"/>
            </w:tcMar>
          </w:tcPr>
          <w:p w14:paraId="26909022" w14:textId="77777777" w:rsidR="004D0912" w:rsidRPr="00BE78CA" w:rsidRDefault="004D0912" w:rsidP="00B4203A">
            <w:pPr>
              <w:pStyle w:val="TableText"/>
              <w:jc w:val="right"/>
            </w:pPr>
            <w:r w:rsidRPr="00BE78CA">
              <w:rPr>
                <w:rFonts w:eastAsia="Calibri"/>
              </w:rPr>
              <w:t>443.37</w:t>
            </w:r>
          </w:p>
        </w:tc>
        <w:tc>
          <w:tcPr>
            <w:tcW w:w="1531" w:type="dxa"/>
            <w:shd w:val="clear" w:color="auto" w:fill="FFFFFF"/>
            <w:tcMar>
              <w:top w:w="0" w:type="dxa"/>
              <w:left w:w="85" w:type="dxa"/>
              <w:bottom w:w="0" w:type="dxa"/>
              <w:right w:w="85" w:type="dxa"/>
            </w:tcMar>
          </w:tcPr>
          <w:p w14:paraId="12F61EE7" w14:textId="77777777" w:rsidR="004D0912" w:rsidRPr="00BE78CA" w:rsidRDefault="004D0912" w:rsidP="00B4203A">
            <w:pPr>
              <w:pStyle w:val="TableText"/>
              <w:jc w:val="right"/>
            </w:pPr>
            <w:r w:rsidRPr="00BE78CA">
              <w:rPr>
                <w:rFonts w:eastAsia="Calibri"/>
              </w:rPr>
              <w:t>5.95</w:t>
            </w:r>
          </w:p>
        </w:tc>
        <w:tc>
          <w:tcPr>
            <w:tcW w:w="1531" w:type="dxa"/>
            <w:shd w:val="clear" w:color="auto" w:fill="FFFFFF"/>
            <w:tcMar>
              <w:top w:w="0" w:type="dxa"/>
              <w:left w:w="85" w:type="dxa"/>
              <w:bottom w:w="0" w:type="dxa"/>
              <w:right w:w="85" w:type="dxa"/>
            </w:tcMar>
          </w:tcPr>
          <w:p w14:paraId="070C4064" w14:textId="77777777" w:rsidR="004D0912" w:rsidRPr="00BE78CA" w:rsidRDefault="004D0912" w:rsidP="00B4203A">
            <w:pPr>
              <w:pStyle w:val="TableText"/>
              <w:jc w:val="right"/>
            </w:pPr>
            <w:r w:rsidRPr="00BE78CA">
              <w:rPr>
                <w:rFonts w:eastAsia="Calibri"/>
              </w:rPr>
              <w:t>0.000</w:t>
            </w:r>
          </w:p>
        </w:tc>
      </w:tr>
      <w:tr w:rsidR="00B4203A" w:rsidRPr="00BE78CA" w14:paraId="17794267" w14:textId="77777777" w:rsidTr="001814DF">
        <w:trPr>
          <w:cantSplit/>
        </w:trPr>
        <w:tc>
          <w:tcPr>
            <w:tcW w:w="1588" w:type="dxa"/>
            <w:shd w:val="clear" w:color="auto" w:fill="FFFFFF"/>
            <w:tcMar>
              <w:top w:w="0" w:type="dxa"/>
              <w:left w:w="85" w:type="dxa"/>
              <w:bottom w:w="0" w:type="dxa"/>
              <w:right w:w="85" w:type="dxa"/>
            </w:tcMar>
          </w:tcPr>
          <w:p w14:paraId="61AE3F0D" w14:textId="77777777" w:rsidR="004D0912" w:rsidRPr="00BE78CA" w:rsidRDefault="004D0912" w:rsidP="00B4203A">
            <w:pPr>
              <w:pStyle w:val="TableText"/>
            </w:pPr>
            <w:r w:rsidRPr="00BE78CA">
              <w:rPr>
                <w:rFonts w:eastAsia="Calibri"/>
              </w:rPr>
              <w:t>Agriculture for Tokelau</w:t>
            </w:r>
          </w:p>
        </w:tc>
        <w:tc>
          <w:tcPr>
            <w:tcW w:w="567" w:type="dxa"/>
            <w:shd w:val="clear" w:color="auto" w:fill="FFFFFF"/>
            <w:tcMar>
              <w:top w:w="0" w:type="dxa"/>
              <w:left w:w="85" w:type="dxa"/>
              <w:bottom w:w="0" w:type="dxa"/>
              <w:right w:w="85" w:type="dxa"/>
            </w:tcMar>
          </w:tcPr>
          <w:p w14:paraId="74B5D0FA" w14:textId="77777777" w:rsidR="004D0912" w:rsidRPr="00BE78CA" w:rsidRDefault="004D0912" w:rsidP="00B4203A">
            <w:pPr>
              <w:pStyle w:val="TableText"/>
              <w:jc w:val="center"/>
            </w:pPr>
            <w:r w:rsidRPr="00BE78CA">
              <w:rPr>
                <w:rFonts w:eastAsia="Calibri"/>
              </w:rPr>
              <w:t>1.15</w:t>
            </w:r>
          </w:p>
        </w:tc>
        <w:tc>
          <w:tcPr>
            <w:tcW w:w="541" w:type="dxa"/>
            <w:shd w:val="clear" w:color="auto" w:fill="FFFFFF"/>
            <w:tcMar>
              <w:top w:w="0" w:type="dxa"/>
              <w:left w:w="85" w:type="dxa"/>
              <w:bottom w:w="0" w:type="dxa"/>
              <w:right w:w="85" w:type="dxa"/>
            </w:tcMar>
          </w:tcPr>
          <w:p w14:paraId="7E1EFF4D" w14:textId="77777777" w:rsidR="004D0912" w:rsidRPr="00BE78CA" w:rsidRDefault="004D0912" w:rsidP="00B4203A">
            <w:pPr>
              <w:pStyle w:val="TableText"/>
              <w:jc w:val="center"/>
            </w:pPr>
            <w:r w:rsidRPr="00BE78CA">
              <w:rPr>
                <w:rFonts w:eastAsia="Calibri"/>
              </w:rPr>
              <w:t>0.82</w:t>
            </w:r>
          </w:p>
        </w:tc>
        <w:tc>
          <w:tcPr>
            <w:tcW w:w="1418" w:type="dxa"/>
            <w:shd w:val="clear" w:color="auto" w:fill="FFFFFF"/>
            <w:tcMar>
              <w:top w:w="0" w:type="dxa"/>
              <w:left w:w="85" w:type="dxa"/>
              <w:bottom w:w="0" w:type="dxa"/>
              <w:right w:w="85" w:type="dxa"/>
            </w:tcMar>
          </w:tcPr>
          <w:p w14:paraId="0635302D" w14:textId="77777777" w:rsidR="004D0912" w:rsidRPr="00BE78CA" w:rsidRDefault="004D0912" w:rsidP="00B4203A">
            <w:pPr>
              <w:pStyle w:val="TableText"/>
              <w:jc w:val="right"/>
            </w:pPr>
            <w:r w:rsidRPr="00BE78CA">
              <w:rPr>
                <w:rFonts w:eastAsia="Calibri"/>
              </w:rPr>
              <w:t>–0.33</w:t>
            </w:r>
          </w:p>
        </w:tc>
        <w:tc>
          <w:tcPr>
            <w:tcW w:w="1057" w:type="dxa"/>
            <w:shd w:val="clear" w:color="auto" w:fill="FFFFFF"/>
            <w:tcMar>
              <w:top w:w="0" w:type="dxa"/>
              <w:left w:w="85" w:type="dxa"/>
              <w:bottom w:w="0" w:type="dxa"/>
              <w:right w:w="85" w:type="dxa"/>
            </w:tcMar>
          </w:tcPr>
          <w:p w14:paraId="4185E3EC" w14:textId="77777777" w:rsidR="004D0912" w:rsidRPr="00BE78CA" w:rsidRDefault="004D0912" w:rsidP="00B4203A">
            <w:pPr>
              <w:pStyle w:val="TableText"/>
              <w:jc w:val="right"/>
            </w:pPr>
            <w:r w:rsidRPr="00BE78CA">
              <w:rPr>
                <w:rFonts w:eastAsia="Calibri"/>
              </w:rPr>
              <w:t>–28.29</w:t>
            </w:r>
          </w:p>
        </w:tc>
        <w:tc>
          <w:tcPr>
            <w:tcW w:w="1531" w:type="dxa"/>
            <w:shd w:val="clear" w:color="auto" w:fill="FFFFFF"/>
            <w:tcMar>
              <w:top w:w="0" w:type="dxa"/>
              <w:left w:w="85" w:type="dxa"/>
              <w:bottom w:w="0" w:type="dxa"/>
              <w:right w:w="85" w:type="dxa"/>
            </w:tcMar>
          </w:tcPr>
          <w:p w14:paraId="4885A9B4" w14:textId="77777777" w:rsidR="004D0912" w:rsidRPr="00BE78CA" w:rsidRDefault="004D0912" w:rsidP="00B4203A">
            <w:pPr>
              <w:pStyle w:val="TableText"/>
              <w:jc w:val="right"/>
            </w:pPr>
            <w:r w:rsidRPr="00BE78CA">
              <w:rPr>
                <w:rFonts w:eastAsia="Calibri"/>
              </w:rPr>
              <w:t>19.17</w:t>
            </w:r>
          </w:p>
        </w:tc>
        <w:tc>
          <w:tcPr>
            <w:tcW w:w="1531" w:type="dxa"/>
            <w:shd w:val="clear" w:color="auto" w:fill="FFFFFF"/>
            <w:tcMar>
              <w:top w:w="0" w:type="dxa"/>
              <w:left w:w="85" w:type="dxa"/>
              <w:bottom w:w="0" w:type="dxa"/>
              <w:right w:w="85" w:type="dxa"/>
            </w:tcMar>
          </w:tcPr>
          <w:p w14:paraId="4ACC377B" w14:textId="77777777" w:rsidR="004D0912" w:rsidRPr="00BE78CA" w:rsidRDefault="004D0912" w:rsidP="00B4203A">
            <w:pPr>
              <w:pStyle w:val="TableText"/>
              <w:jc w:val="right"/>
            </w:pPr>
            <w:r w:rsidRPr="00BE78CA">
              <w:rPr>
                <w:rFonts w:eastAsia="Calibri"/>
              </w:rPr>
              <w:t>0.001</w:t>
            </w:r>
          </w:p>
        </w:tc>
      </w:tr>
      <w:tr w:rsidR="00B4203A" w:rsidRPr="00BE78CA" w14:paraId="36B23E9F" w14:textId="77777777" w:rsidTr="001814DF">
        <w:trPr>
          <w:cantSplit/>
        </w:trPr>
        <w:tc>
          <w:tcPr>
            <w:tcW w:w="1588" w:type="dxa"/>
            <w:shd w:val="clear" w:color="auto" w:fill="FFFFFF"/>
            <w:tcMar>
              <w:top w:w="0" w:type="dxa"/>
              <w:left w:w="85" w:type="dxa"/>
              <w:bottom w:w="0" w:type="dxa"/>
              <w:right w:w="85" w:type="dxa"/>
            </w:tcMar>
          </w:tcPr>
          <w:p w14:paraId="21F51F4B" w14:textId="77777777" w:rsidR="004D0912" w:rsidRPr="00BE78CA" w:rsidRDefault="004D0912" w:rsidP="00B4203A">
            <w:pPr>
              <w:pStyle w:val="TableText"/>
            </w:pPr>
            <w:r w:rsidRPr="00BE78CA">
              <w:rPr>
                <w:rFonts w:eastAsia="Calibri"/>
              </w:rPr>
              <w:t>Waste for Tokelau</w:t>
            </w:r>
          </w:p>
        </w:tc>
        <w:tc>
          <w:tcPr>
            <w:tcW w:w="567" w:type="dxa"/>
            <w:shd w:val="clear" w:color="auto" w:fill="FFFFFF"/>
            <w:tcMar>
              <w:top w:w="0" w:type="dxa"/>
              <w:left w:w="85" w:type="dxa"/>
              <w:bottom w:w="0" w:type="dxa"/>
              <w:right w:w="85" w:type="dxa"/>
            </w:tcMar>
          </w:tcPr>
          <w:p w14:paraId="53BE4AB9" w14:textId="77777777" w:rsidR="004D0912" w:rsidRPr="00BE78CA" w:rsidRDefault="004D0912" w:rsidP="00B4203A">
            <w:pPr>
              <w:pStyle w:val="TableText"/>
              <w:jc w:val="center"/>
            </w:pPr>
            <w:r w:rsidRPr="00BE78CA">
              <w:rPr>
                <w:rFonts w:eastAsia="Calibri"/>
              </w:rPr>
              <w:t>0.71</w:t>
            </w:r>
          </w:p>
        </w:tc>
        <w:tc>
          <w:tcPr>
            <w:tcW w:w="541" w:type="dxa"/>
            <w:shd w:val="clear" w:color="auto" w:fill="FFFFFF"/>
            <w:tcMar>
              <w:top w:w="0" w:type="dxa"/>
              <w:left w:w="85" w:type="dxa"/>
              <w:bottom w:w="0" w:type="dxa"/>
              <w:right w:w="85" w:type="dxa"/>
            </w:tcMar>
          </w:tcPr>
          <w:p w14:paraId="46458A2D" w14:textId="77777777" w:rsidR="004D0912" w:rsidRPr="00BE78CA" w:rsidRDefault="004D0912" w:rsidP="00B4203A">
            <w:pPr>
              <w:pStyle w:val="TableText"/>
              <w:jc w:val="center"/>
            </w:pPr>
            <w:r w:rsidRPr="00BE78CA">
              <w:rPr>
                <w:rFonts w:eastAsia="Calibri"/>
              </w:rPr>
              <w:t>0.69</w:t>
            </w:r>
          </w:p>
        </w:tc>
        <w:tc>
          <w:tcPr>
            <w:tcW w:w="1418" w:type="dxa"/>
            <w:shd w:val="clear" w:color="auto" w:fill="FFFFFF"/>
            <w:tcMar>
              <w:top w:w="0" w:type="dxa"/>
              <w:left w:w="85" w:type="dxa"/>
              <w:bottom w:w="0" w:type="dxa"/>
              <w:right w:w="85" w:type="dxa"/>
            </w:tcMar>
          </w:tcPr>
          <w:p w14:paraId="74D2BA8F" w14:textId="77777777" w:rsidR="004D0912" w:rsidRPr="00BE78CA" w:rsidRDefault="004D0912" w:rsidP="00B4203A">
            <w:pPr>
              <w:pStyle w:val="TableText"/>
              <w:jc w:val="right"/>
            </w:pPr>
            <w:r w:rsidRPr="00BE78CA">
              <w:rPr>
                <w:rFonts w:eastAsia="Calibri"/>
              </w:rPr>
              <w:t>–0.02</w:t>
            </w:r>
          </w:p>
        </w:tc>
        <w:tc>
          <w:tcPr>
            <w:tcW w:w="1057" w:type="dxa"/>
            <w:shd w:val="clear" w:color="auto" w:fill="FFFFFF"/>
            <w:tcMar>
              <w:top w:w="0" w:type="dxa"/>
              <w:left w:w="85" w:type="dxa"/>
              <w:bottom w:w="0" w:type="dxa"/>
              <w:right w:w="85" w:type="dxa"/>
            </w:tcMar>
          </w:tcPr>
          <w:p w14:paraId="534BF476" w14:textId="77777777" w:rsidR="004D0912" w:rsidRPr="00BE78CA" w:rsidRDefault="004D0912" w:rsidP="00B4203A">
            <w:pPr>
              <w:pStyle w:val="TableText"/>
              <w:jc w:val="right"/>
            </w:pPr>
            <w:r w:rsidRPr="00BE78CA">
              <w:rPr>
                <w:rFonts w:eastAsia="Calibri"/>
              </w:rPr>
              <w:t>–2.31</w:t>
            </w:r>
          </w:p>
        </w:tc>
        <w:tc>
          <w:tcPr>
            <w:tcW w:w="1531" w:type="dxa"/>
            <w:shd w:val="clear" w:color="auto" w:fill="FFFFFF"/>
            <w:tcMar>
              <w:top w:w="0" w:type="dxa"/>
              <w:left w:w="85" w:type="dxa"/>
              <w:bottom w:w="0" w:type="dxa"/>
              <w:right w:w="85" w:type="dxa"/>
            </w:tcMar>
          </w:tcPr>
          <w:p w14:paraId="23EE3E17" w14:textId="77777777" w:rsidR="004D0912" w:rsidRPr="00BE78CA" w:rsidRDefault="004D0912" w:rsidP="00B4203A">
            <w:pPr>
              <w:pStyle w:val="TableText"/>
              <w:jc w:val="right"/>
            </w:pPr>
            <w:r w:rsidRPr="00BE78CA">
              <w:rPr>
                <w:rFonts w:eastAsia="Calibri"/>
              </w:rPr>
              <w:t>16.09</w:t>
            </w:r>
          </w:p>
        </w:tc>
        <w:tc>
          <w:tcPr>
            <w:tcW w:w="1531" w:type="dxa"/>
            <w:shd w:val="clear" w:color="auto" w:fill="FFFFFF"/>
            <w:tcMar>
              <w:top w:w="0" w:type="dxa"/>
              <w:left w:w="85" w:type="dxa"/>
              <w:bottom w:w="0" w:type="dxa"/>
              <w:right w:w="85" w:type="dxa"/>
            </w:tcMar>
          </w:tcPr>
          <w:p w14:paraId="05D0CF6D" w14:textId="77777777" w:rsidR="004D0912" w:rsidRPr="00BE78CA" w:rsidRDefault="004D0912" w:rsidP="00B4203A">
            <w:pPr>
              <w:pStyle w:val="TableText"/>
              <w:jc w:val="right"/>
            </w:pPr>
            <w:r w:rsidRPr="00BE78CA">
              <w:rPr>
                <w:rFonts w:eastAsia="Calibri"/>
              </w:rPr>
              <w:t>0.001</w:t>
            </w:r>
          </w:p>
        </w:tc>
      </w:tr>
      <w:tr w:rsidR="00B4203A" w:rsidRPr="00BE78CA" w14:paraId="71C2FCCF" w14:textId="77777777" w:rsidTr="001814DF">
        <w:trPr>
          <w:cantSplit/>
        </w:trPr>
        <w:tc>
          <w:tcPr>
            <w:tcW w:w="1588" w:type="dxa"/>
            <w:shd w:val="clear" w:color="auto" w:fill="FFFFFF"/>
            <w:tcMar>
              <w:top w:w="0" w:type="dxa"/>
              <w:left w:w="85" w:type="dxa"/>
              <w:bottom w:w="0" w:type="dxa"/>
              <w:right w:w="85" w:type="dxa"/>
            </w:tcMar>
          </w:tcPr>
          <w:p w14:paraId="6F19322D" w14:textId="77777777" w:rsidR="004D0912" w:rsidRPr="00BE78CA" w:rsidRDefault="004D0912" w:rsidP="00B4203A">
            <w:pPr>
              <w:pStyle w:val="Tableboldblue"/>
            </w:pPr>
            <w:r w:rsidRPr="00BE78CA">
              <w:rPr>
                <w:rFonts w:eastAsia="Calibri"/>
              </w:rPr>
              <w:t>Gross emissions for Tokelau</w:t>
            </w:r>
          </w:p>
        </w:tc>
        <w:tc>
          <w:tcPr>
            <w:tcW w:w="567" w:type="dxa"/>
            <w:shd w:val="clear" w:color="auto" w:fill="FFFFFF"/>
            <w:tcMar>
              <w:top w:w="0" w:type="dxa"/>
              <w:left w:w="85" w:type="dxa"/>
              <w:bottom w:w="0" w:type="dxa"/>
              <w:right w:w="85" w:type="dxa"/>
            </w:tcMar>
          </w:tcPr>
          <w:p w14:paraId="34A6CF13" w14:textId="77777777" w:rsidR="004D0912" w:rsidRPr="00BE78CA" w:rsidRDefault="004D0912" w:rsidP="00B4203A">
            <w:pPr>
              <w:pStyle w:val="Tableboldblue"/>
              <w:jc w:val="center"/>
            </w:pPr>
            <w:r w:rsidRPr="00BE78CA">
              <w:rPr>
                <w:rFonts w:eastAsia="Calibri"/>
              </w:rPr>
              <w:t>3.17</w:t>
            </w:r>
          </w:p>
        </w:tc>
        <w:tc>
          <w:tcPr>
            <w:tcW w:w="541" w:type="dxa"/>
            <w:shd w:val="clear" w:color="auto" w:fill="FFFFFF"/>
            <w:tcMar>
              <w:top w:w="0" w:type="dxa"/>
              <w:left w:w="85" w:type="dxa"/>
              <w:bottom w:w="0" w:type="dxa"/>
              <w:right w:w="85" w:type="dxa"/>
            </w:tcMar>
          </w:tcPr>
          <w:p w14:paraId="7E62E6F0" w14:textId="77777777" w:rsidR="004D0912" w:rsidRPr="00BE78CA" w:rsidRDefault="004D0912" w:rsidP="00B4203A">
            <w:pPr>
              <w:pStyle w:val="Tableboldblue"/>
              <w:jc w:val="center"/>
            </w:pPr>
            <w:r w:rsidRPr="00BE78CA">
              <w:rPr>
                <w:rFonts w:eastAsia="Calibri"/>
              </w:rPr>
              <w:t>4.30</w:t>
            </w:r>
          </w:p>
        </w:tc>
        <w:tc>
          <w:tcPr>
            <w:tcW w:w="1418" w:type="dxa"/>
            <w:shd w:val="clear" w:color="auto" w:fill="FFFFFF"/>
            <w:tcMar>
              <w:top w:w="0" w:type="dxa"/>
              <w:left w:w="85" w:type="dxa"/>
              <w:bottom w:w="0" w:type="dxa"/>
              <w:right w:w="85" w:type="dxa"/>
            </w:tcMar>
          </w:tcPr>
          <w:p w14:paraId="334279A1" w14:textId="77777777" w:rsidR="004D0912" w:rsidRPr="00BE78CA" w:rsidRDefault="004D0912" w:rsidP="00B4203A">
            <w:pPr>
              <w:pStyle w:val="Tableboldblue"/>
              <w:jc w:val="right"/>
            </w:pPr>
            <w:r w:rsidRPr="00BE78CA">
              <w:rPr>
                <w:rFonts w:eastAsia="Calibri"/>
              </w:rPr>
              <w:t>1.13</w:t>
            </w:r>
          </w:p>
        </w:tc>
        <w:tc>
          <w:tcPr>
            <w:tcW w:w="1057" w:type="dxa"/>
            <w:shd w:val="clear" w:color="auto" w:fill="FFFFFF"/>
            <w:tcMar>
              <w:top w:w="0" w:type="dxa"/>
              <w:left w:w="85" w:type="dxa"/>
              <w:bottom w:w="0" w:type="dxa"/>
              <w:right w:w="85" w:type="dxa"/>
            </w:tcMar>
          </w:tcPr>
          <w:p w14:paraId="1840D375" w14:textId="77777777" w:rsidR="004D0912" w:rsidRPr="00BE78CA" w:rsidRDefault="004D0912" w:rsidP="00B4203A">
            <w:pPr>
              <w:pStyle w:val="Tableboldblue"/>
              <w:jc w:val="right"/>
            </w:pPr>
            <w:r w:rsidRPr="00BE78CA">
              <w:rPr>
                <w:rFonts w:eastAsia="Calibri"/>
              </w:rPr>
              <w:t>35.67</w:t>
            </w:r>
          </w:p>
        </w:tc>
        <w:tc>
          <w:tcPr>
            <w:tcW w:w="1531" w:type="dxa"/>
            <w:shd w:val="clear" w:color="auto" w:fill="FFFFFF"/>
            <w:tcMar>
              <w:top w:w="0" w:type="dxa"/>
              <w:left w:w="85" w:type="dxa"/>
              <w:bottom w:w="0" w:type="dxa"/>
              <w:right w:w="85" w:type="dxa"/>
            </w:tcMar>
          </w:tcPr>
          <w:p w14:paraId="09FCEB4D" w14:textId="77777777" w:rsidR="004D0912" w:rsidRPr="00BE78CA" w:rsidRDefault="004D0912" w:rsidP="00B4203A">
            <w:pPr>
              <w:pStyle w:val="Tableboldblue"/>
              <w:jc w:val="right"/>
            </w:pPr>
            <w:r w:rsidRPr="00BE78CA">
              <w:rPr>
                <w:rFonts w:eastAsia="Calibri"/>
              </w:rPr>
              <w:t>100.00</w:t>
            </w:r>
          </w:p>
        </w:tc>
        <w:tc>
          <w:tcPr>
            <w:tcW w:w="1531" w:type="dxa"/>
            <w:shd w:val="clear" w:color="auto" w:fill="FFFFFF"/>
            <w:tcMar>
              <w:top w:w="0" w:type="dxa"/>
              <w:left w:w="85" w:type="dxa"/>
              <w:bottom w:w="0" w:type="dxa"/>
              <w:right w:w="85" w:type="dxa"/>
            </w:tcMar>
          </w:tcPr>
          <w:p w14:paraId="46DB9A80" w14:textId="77777777" w:rsidR="004D0912" w:rsidRPr="00BE78CA" w:rsidRDefault="004D0912" w:rsidP="00B4203A">
            <w:pPr>
              <w:pStyle w:val="Tableboldblue"/>
              <w:jc w:val="right"/>
            </w:pPr>
            <w:r w:rsidRPr="00BE78CA">
              <w:rPr>
                <w:rFonts w:eastAsia="Calibri"/>
              </w:rPr>
              <w:t>0.005</w:t>
            </w:r>
          </w:p>
        </w:tc>
      </w:tr>
    </w:tbl>
    <w:p w14:paraId="60698902" w14:textId="77777777" w:rsidR="004D0912" w:rsidRPr="00BE78CA" w:rsidRDefault="004D0912" w:rsidP="00EE71A3">
      <w:pPr>
        <w:pStyle w:val="Noteundertable"/>
        <w:spacing w:after="60"/>
      </w:pPr>
      <w:r w:rsidRPr="00BE78CA">
        <w:rPr>
          <w:b/>
        </w:rPr>
        <w:t>Note:</w:t>
      </w:r>
      <w:r w:rsidRPr="00BE78CA">
        <w:t xml:space="preserve"> </w:t>
      </w:r>
      <w:r w:rsidRPr="00BE78CA">
        <w:tab/>
        <w:t>The 2019 submission includes emissions from Tokelau’s largest contributing sectors, which are the Energy, IPPU, Agriculture and Waste sectors. The LULUCF sector is not estimated as it is expected to contribute a miniscule amount of emissions and removals, because Tokelau has no planted or managed forests. The percentages may not add up to 100 per cent due to rounding.</w:t>
      </w:r>
    </w:p>
    <w:p w14:paraId="4BB9FCA6" w14:textId="77777777" w:rsidR="004D0912" w:rsidRPr="00BE78CA" w:rsidRDefault="004D0912" w:rsidP="004D0912">
      <w:pPr>
        <w:pStyle w:val="Heading5"/>
      </w:pPr>
      <w:r w:rsidRPr="00BE78CA">
        <w:t>2019</w:t>
      </w:r>
    </w:p>
    <w:p w14:paraId="391E4DDD" w14:textId="1264BBD4" w:rsidR="004D0912" w:rsidRPr="00BE78CA" w:rsidRDefault="004D0912" w:rsidP="004D0912">
      <w:pPr>
        <w:pStyle w:val="BodyText"/>
      </w:pPr>
      <w:r w:rsidRPr="00BE78CA">
        <w:t>In 2019, emissions from the Tokelau sector contributed 4.30 kt CO</w:t>
      </w:r>
      <w:r w:rsidRPr="00BE78CA">
        <w:rPr>
          <w:vertAlign w:val="subscript"/>
        </w:rPr>
        <w:t>2</w:t>
      </w:r>
      <w:r w:rsidRPr="00BE78CA">
        <w:t>-e or 0.005 per cent of New</w:t>
      </w:r>
      <w:r w:rsidR="003642B7" w:rsidRPr="00BE78CA">
        <w:t> </w:t>
      </w:r>
      <w:r w:rsidRPr="00BE78CA">
        <w:t xml:space="preserve">Zealand’s gross GHG emissions (see figure </w:t>
      </w:r>
      <w:r w:rsidR="006A2B26" w:rsidRPr="00BE78CA">
        <w:t>2.2.1</w:t>
      </w:r>
      <w:r w:rsidRPr="00BE78CA">
        <w:t>).</w:t>
      </w:r>
    </w:p>
    <w:p w14:paraId="5A9DDDCB" w14:textId="14321D35" w:rsidR="004D0912" w:rsidRPr="00BE78CA" w:rsidRDefault="004D0912" w:rsidP="004D0912">
      <w:pPr>
        <w:pStyle w:val="BodyText"/>
      </w:pPr>
      <w:r w:rsidRPr="00BE78CA">
        <w:t xml:space="preserve">The largest source category is </w:t>
      </w:r>
      <w:r w:rsidRPr="00BE78CA">
        <w:rPr>
          <w:i/>
        </w:rPr>
        <w:t>Domestic navigation</w:t>
      </w:r>
      <w:r w:rsidRPr="00BE78CA">
        <w:t>, which contributed 2.20 kt CO</w:t>
      </w:r>
      <w:r w:rsidRPr="00BE78CA">
        <w:rPr>
          <w:vertAlign w:val="subscript"/>
        </w:rPr>
        <w:t>2</w:t>
      </w:r>
      <w:r w:rsidRPr="00BE78CA">
        <w:t>-e (87.0</w:t>
      </w:r>
      <w:r w:rsidR="003642B7" w:rsidRPr="00BE78CA">
        <w:t> </w:t>
      </w:r>
      <w:r w:rsidRPr="00BE78CA">
        <w:t>per</w:t>
      </w:r>
      <w:r w:rsidR="003642B7" w:rsidRPr="00BE78CA">
        <w:t> </w:t>
      </w:r>
      <w:r w:rsidRPr="00BE78CA">
        <w:t>cent of all energy emissions and 51.2 per cent of gross emissions from Tokelau).</w:t>
      </w:r>
    </w:p>
    <w:p w14:paraId="75528BA9" w14:textId="77777777" w:rsidR="004D0912" w:rsidRPr="00BE78CA" w:rsidRDefault="004D0912" w:rsidP="004D0912">
      <w:pPr>
        <w:pStyle w:val="Heading5"/>
      </w:pPr>
      <w:r w:rsidRPr="00BE78CA">
        <w:t>1990–2019</w:t>
      </w:r>
    </w:p>
    <w:p w14:paraId="7AC4C734" w14:textId="7F71B439" w:rsidR="004D0912" w:rsidRPr="00BE78CA" w:rsidRDefault="004D0912" w:rsidP="004D0912">
      <w:pPr>
        <w:pStyle w:val="BodyText"/>
      </w:pPr>
      <w:r w:rsidRPr="00BE78CA">
        <w:t>In 1</w:t>
      </w:r>
      <w:r w:rsidRPr="00BE78CA">
        <w:rPr>
          <w:bCs/>
        </w:rPr>
        <w:t>990, the total emissions from Tokelau were 3.17 kt CO</w:t>
      </w:r>
      <w:r w:rsidRPr="00BE78CA">
        <w:rPr>
          <w:bCs/>
          <w:vertAlign w:val="subscript"/>
        </w:rPr>
        <w:t>2</w:t>
      </w:r>
      <w:r w:rsidRPr="00BE78CA">
        <w:rPr>
          <w:bCs/>
        </w:rPr>
        <w:t>-e. Between 1990 and 2019, total</w:t>
      </w:r>
      <w:r w:rsidR="003642B7" w:rsidRPr="00BE78CA">
        <w:rPr>
          <w:bCs/>
        </w:rPr>
        <w:t> </w:t>
      </w:r>
      <w:r w:rsidRPr="00BE78CA">
        <w:rPr>
          <w:bCs/>
        </w:rPr>
        <w:t>emissions increased by 35.7 per cent (1.13 kt CO</w:t>
      </w:r>
      <w:r w:rsidRPr="00BE78CA">
        <w:rPr>
          <w:bCs/>
          <w:vertAlign w:val="subscript"/>
        </w:rPr>
        <w:t>2</w:t>
      </w:r>
      <w:r w:rsidRPr="00BE78CA">
        <w:rPr>
          <w:bCs/>
        </w:rPr>
        <w:t>-e), to 4.30 kt C</w:t>
      </w:r>
      <w:r w:rsidRPr="00BE78CA">
        <w:t>O</w:t>
      </w:r>
      <w:r w:rsidRPr="00BE78CA">
        <w:rPr>
          <w:vertAlign w:val="subscript"/>
        </w:rPr>
        <w:t>2</w:t>
      </w:r>
      <w:r w:rsidRPr="00BE78CA">
        <w:t>-e.</w:t>
      </w:r>
    </w:p>
    <w:p w14:paraId="6A1B1CFC" w14:textId="0D6A13D5" w:rsidR="004D0912" w:rsidRPr="00BE78CA" w:rsidRDefault="004D0912" w:rsidP="004D0912">
      <w:pPr>
        <w:pStyle w:val="BodyText"/>
      </w:pPr>
      <w:r w:rsidRPr="00BE78CA">
        <w:t xml:space="preserve">The emission categories that contributed the most to this change were </w:t>
      </w:r>
      <w:r w:rsidRPr="00BE78CA">
        <w:rPr>
          <w:i/>
        </w:rPr>
        <w:t>Domestic navigation</w:t>
      </w:r>
      <w:r w:rsidRPr="00BE78CA">
        <w:t xml:space="preserve"> and </w:t>
      </w:r>
      <w:r w:rsidRPr="00BE78CA">
        <w:rPr>
          <w:i/>
        </w:rPr>
        <w:t>Refrigeration and air conditioning</w:t>
      </w:r>
      <w:r w:rsidRPr="00BE78CA">
        <w:t xml:space="preserve">. The changes in </w:t>
      </w:r>
      <w:r w:rsidRPr="00BE78CA">
        <w:rPr>
          <w:i/>
        </w:rPr>
        <w:t>Domestic navigation</w:t>
      </w:r>
      <w:r w:rsidRPr="00BE78CA">
        <w:t xml:space="preserve"> are a result of Tokelau gaining ownership and use of the ferry </w:t>
      </w:r>
      <w:r w:rsidRPr="00BE78CA">
        <w:rPr>
          <w:i/>
        </w:rPr>
        <w:t>Mataliki</w:t>
      </w:r>
      <w:r w:rsidRPr="00BE78CA">
        <w:t xml:space="preserve"> in 2016, cargo vessel </w:t>
      </w:r>
      <w:r w:rsidRPr="00BE78CA">
        <w:rPr>
          <w:i/>
        </w:rPr>
        <w:t>Kalopaga</w:t>
      </w:r>
      <w:r w:rsidRPr="00BE78CA">
        <w:t xml:space="preserve"> in 2018</w:t>
      </w:r>
      <w:r w:rsidR="003642B7" w:rsidRPr="00BE78CA">
        <w:t> </w:t>
      </w:r>
      <w:r w:rsidRPr="00BE78CA">
        <w:t xml:space="preserve">and inter-atoll vessel </w:t>
      </w:r>
      <w:r w:rsidRPr="00BE78CA">
        <w:rPr>
          <w:i/>
        </w:rPr>
        <w:t>Fetu o te Moana</w:t>
      </w:r>
      <w:r w:rsidRPr="00BE78CA">
        <w:t xml:space="preserve"> in 2019 leading to an increasing number of sea voyages between the atolls, which increased transport emissions. Emissions from Tokelau’s IPPU sector have also increased mainly due to the introduction of air conditioning after 2006. Further changes in Tokelau’s Energy sector emissions are a significant rise then drop (by around 400</w:t>
      </w:r>
      <w:r w:rsidR="003642B7" w:rsidRPr="00BE78CA">
        <w:t> </w:t>
      </w:r>
      <w:r w:rsidRPr="00BE78CA">
        <w:t>per cent and 82.5 per cent respectively) in consumption of imported petroleum products used for electricity production in Tokelau. For electricity generation, two important events occurred: first, the changeover to 24 hour, 7 days a week electricity in 2004 (from 6 pm to 10</w:t>
      </w:r>
      <w:r w:rsidR="003642B7" w:rsidRPr="00BE78CA">
        <w:t> </w:t>
      </w:r>
      <w:r w:rsidRPr="00BE78CA">
        <w:t>pm before that, at an estimated 20 per cent of the 24 hour, 7 days a week value in 2011);</w:t>
      </w:r>
      <w:r w:rsidR="003642B7" w:rsidRPr="00BE78CA">
        <w:t> </w:t>
      </w:r>
      <w:r w:rsidRPr="00BE78CA">
        <w:t>and second the introduction of solar-powered plants in 2012. Emissions from Tokelau’s Agriculture sector decreased slightly as a result of a reduced population of pigs. The trends are shown in figure 2.2.12 and in chapter 8.</w:t>
      </w:r>
    </w:p>
    <w:p w14:paraId="2D33DC92" w14:textId="39877E4A" w:rsidR="004D0912" w:rsidRPr="00BE78CA" w:rsidRDefault="004D0912" w:rsidP="004D0912">
      <w:pPr>
        <w:pStyle w:val="Figure"/>
      </w:pPr>
      <w:bookmarkStart w:id="190" w:name="_Toc68786632"/>
      <w:r w:rsidRPr="00BE78CA">
        <w:lastRenderedPageBreak/>
        <w:t>Figure 2.2.12</w:t>
      </w:r>
      <w:r w:rsidRPr="00BE78CA">
        <w:tab/>
        <w:t>Emissions by sector for Tokelau from 1990 to 2019</w:t>
      </w:r>
      <w:bookmarkEnd w:id="190"/>
    </w:p>
    <w:p w14:paraId="39A18B88" w14:textId="77777777" w:rsidR="004D0912" w:rsidRPr="00BE78CA" w:rsidRDefault="004D0912" w:rsidP="004D0912">
      <w:pPr>
        <w:pStyle w:val="BodyText"/>
      </w:pPr>
      <w:r w:rsidRPr="00BE78CA">
        <w:rPr>
          <w:noProof/>
        </w:rPr>
        <w:drawing>
          <wp:inline distT="0" distB="0" distL="0" distR="0" wp14:anchorId="3839E810" wp14:editId="11B6EC77">
            <wp:extent cx="5296619" cy="3881887"/>
            <wp:effectExtent l="0" t="0" r="0" b="4445"/>
            <wp:docPr id="13" name="Picture"/>
            <wp:cNvGraphicFramePr/>
            <a:graphic xmlns:a="http://schemas.openxmlformats.org/drawingml/2006/main">
              <a:graphicData uri="http://schemas.openxmlformats.org/drawingml/2006/picture">
                <pic:pic xmlns:pic="http://schemas.openxmlformats.org/drawingml/2006/picture">
                  <pic:nvPicPr>
                    <pic:cNvPr id="0" name="Picture" descr="code/graphs/images/fig_2_2_12_crf.png"/>
                    <pic:cNvPicPr>
                      <a:picLocks noChangeAspect="1" noChangeArrowheads="1"/>
                    </pic:cNvPicPr>
                  </pic:nvPicPr>
                  <pic:blipFill rotWithShape="1">
                    <a:blip r:embed="rId51"/>
                    <a:srcRect b="2189"/>
                    <a:stretch/>
                  </pic:blipFill>
                  <pic:spPr bwMode="auto">
                    <a:xfrm>
                      <a:off x="0" y="0"/>
                      <a:ext cx="5297941" cy="3882856"/>
                    </a:xfrm>
                    <a:prstGeom prst="rect">
                      <a:avLst/>
                    </a:prstGeom>
                    <a:noFill/>
                    <a:ln>
                      <a:noFill/>
                    </a:ln>
                    <a:extLst>
                      <a:ext uri="{53640926-AAD7-44D8-BBD7-CCE9431645EC}">
                        <a14:shadowObscured xmlns:a14="http://schemas.microsoft.com/office/drawing/2010/main"/>
                      </a:ext>
                    </a:extLst>
                  </pic:spPr>
                </pic:pic>
              </a:graphicData>
            </a:graphic>
          </wp:inline>
        </w:drawing>
      </w:r>
    </w:p>
    <w:p w14:paraId="0572A69E" w14:textId="77777777" w:rsidR="004D0912" w:rsidRPr="00BE78CA" w:rsidRDefault="004D0912" w:rsidP="004D0912">
      <w:pPr>
        <w:pStyle w:val="Heading5"/>
      </w:pPr>
      <w:r w:rsidRPr="00BE78CA">
        <w:t>2018–2019</w:t>
      </w:r>
    </w:p>
    <w:p w14:paraId="1A6EB672" w14:textId="77777777" w:rsidR="004D0912" w:rsidRPr="00BE78CA" w:rsidRDefault="004D0912" w:rsidP="004D0912">
      <w:pPr>
        <w:pStyle w:val="BodyText"/>
      </w:pPr>
      <w:r w:rsidRPr="00BE78CA">
        <w:t>Total Tokelau emissions in 2019 were 0.66 kt CO</w:t>
      </w:r>
      <w:r w:rsidRPr="00BE78CA">
        <w:rPr>
          <w:vertAlign w:val="subscript"/>
        </w:rPr>
        <w:t>2</w:t>
      </w:r>
      <w:r w:rsidRPr="00BE78CA">
        <w:t>-e (18.2 per cent) higher than emissions in 2018. The higher emissions are largely the result of increases in CO</w:t>
      </w:r>
      <w:r w:rsidRPr="00BE78CA">
        <w:rPr>
          <w:vertAlign w:val="subscript"/>
        </w:rPr>
        <w:t>2</w:t>
      </w:r>
      <w:r w:rsidRPr="00BE78CA">
        <w:t xml:space="preserve"> emissions in the </w:t>
      </w:r>
      <w:r w:rsidRPr="00BE78CA">
        <w:rPr>
          <w:i/>
        </w:rPr>
        <w:t>Domestic navigation</w:t>
      </w:r>
      <w:r w:rsidRPr="00BE78CA">
        <w:t xml:space="preserve"> category, due to increased shipping within Tokelau, as explained above in the section for 1990–2019 emission trends above.</w:t>
      </w:r>
    </w:p>
    <w:p w14:paraId="2459EBFD" w14:textId="06EB9E30" w:rsidR="004D0912" w:rsidRPr="00BE78CA" w:rsidRDefault="004D0912" w:rsidP="004D0912">
      <w:pPr>
        <w:pStyle w:val="Heading2"/>
      </w:pPr>
      <w:bookmarkStart w:id="191" w:name="X59a1fc71b9462fc2acb79eda2fec227c0ba7ff9"/>
      <w:bookmarkStart w:id="192" w:name="_Toc68786302"/>
      <w:r w:rsidRPr="00BE78CA">
        <w:t xml:space="preserve">2.3 </w:t>
      </w:r>
      <w:r w:rsidRPr="00BE78CA">
        <w:tab/>
        <w:t>Activities under Article 3.3 and Article 3.4 of the Kyoto</w:t>
      </w:r>
      <w:r w:rsidR="003642B7" w:rsidRPr="00BE78CA">
        <w:t> </w:t>
      </w:r>
      <w:r w:rsidRPr="00BE78CA">
        <w:t>Protocol</w:t>
      </w:r>
      <w:bookmarkEnd w:id="191"/>
      <w:bookmarkEnd w:id="192"/>
    </w:p>
    <w:p w14:paraId="28BF01B5" w14:textId="77777777" w:rsidR="004D0912" w:rsidRPr="00BE78CA" w:rsidRDefault="004D0912" w:rsidP="004D0912">
      <w:pPr>
        <w:pStyle w:val="BodyText"/>
      </w:pPr>
      <w:r w:rsidRPr="00BE78CA">
        <w:t>As described in section 2.1.1, New Zealand is applying the Kyoto Protocol LULUCF accounting provisions towards its 2020 target under the Convention.</w:t>
      </w:r>
    </w:p>
    <w:p w14:paraId="42B14A74" w14:textId="77777777" w:rsidR="004D0912" w:rsidRPr="00BE78CA" w:rsidRDefault="004D0912" w:rsidP="004D0912">
      <w:pPr>
        <w:pStyle w:val="BodyText"/>
      </w:pPr>
      <w:r w:rsidRPr="00BE78CA">
        <w:t xml:space="preserve">In </w:t>
      </w:r>
      <w:r w:rsidRPr="00BE78CA">
        <w:rPr>
          <w:bCs/>
        </w:rPr>
        <w:t>2019, net e</w:t>
      </w:r>
      <w:r w:rsidRPr="00BE78CA">
        <w:t>missions from land subject to Article 3.3 and Article 3.4 activities under the Kyoto Protocol were –33,570.7 kt CO</w:t>
      </w:r>
      <w:r w:rsidRPr="00BE78CA">
        <w:rPr>
          <w:vertAlign w:val="subscript"/>
        </w:rPr>
        <w:t>2</w:t>
      </w:r>
      <w:r w:rsidRPr="00BE78CA">
        <w:t>-e</w:t>
      </w:r>
      <w:r w:rsidRPr="00BE78CA">
        <w:rPr>
          <w:rStyle w:val="FootnoteReference"/>
        </w:rPr>
        <w:footnoteReference w:id="28"/>
      </w:r>
      <w:r w:rsidRPr="00BE78CA">
        <w:t xml:space="preserve"> (see table 2.3.1). This estimate includes net removals from the growth of all forest types and emissions from:</w:t>
      </w:r>
    </w:p>
    <w:p w14:paraId="26822BD8" w14:textId="77777777" w:rsidR="004D0912" w:rsidRPr="00BE78CA" w:rsidRDefault="004D0912" w:rsidP="003642B7">
      <w:pPr>
        <w:pStyle w:val="Bullet"/>
      </w:pPr>
      <w:r w:rsidRPr="00BE78CA">
        <w:t xml:space="preserve">decay of harvested wood products from </w:t>
      </w:r>
      <w:r w:rsidRPr="00BE78CA">
        <w:rPr>
          <w:i/>
        </w:rPr>
        <w:t>Afforestation and reforestation</w:t>
      </w:r>
      <w:r w:rsidRPr="00BE78CA">
        <w:t xml:space="preserve"> and </w:t>
      </w:r>
      <w:r w:rsidRPr="00BE78CA">
        <w:rPr>
          <w:i/>
        </w:rPr>
        <w:t>Forest management</w:t>
      </w:r>
      <w:r w:rsidRPr="00BE78CA">
        <w:t xml:space="preserve"> land</w:t>
      </w:r>
    </w:p>
    <w:p w14:paraId="6AD8BFEE" w14:textId="77777777" w:rsidR="004D0912" w:rsidRPr="00BE78CA" w:rsidRDefault="004D0912" w:rsidP="003642B7">
      <w:pPr>
        <w:pStyle w:val="Bullet"/>
      </w:pPr>
      <w:r w:rsidRPr="00BE78CA">
        <w:rPr>
          <w:i/>
        </w:rPr>
        <w:t>Deforestation</w:t>
      </w:r>
      <w:r w:rsidRPr="00BE78CA">
        <w:t xml:space="preserve"> of all forest types</w:t>
      </w:r>
    </w:p>
    <w:p w14:paraId="1847EBB9" w14:textId="77777777" w:rsidR="004D0912" w:rsidRPr="00BE78CA" w:rsidRDefault="004D0912" w:rsidP="003642B7">
      <w:pPr>
        <w:pStyle w:val="Bullet"/>
      </w:pPr>
      <w:r w:rsidRPr="00BE78CA">
        <w:lastRenderedPageBreak/>
        <w:t>conversion of land to post-1989 forest</w:t>
      </w:r>
    </w:p>
    <w:p w14:paraId="1A2ADF2B" w14:textId="77777777" w:rsidR="004D0912" w:rsidRPr="00BE78CA" w:rsidRDefault="004D0912" w:rsidP="003642B7">
      <w:pPr>
        <w:pStyle w:val="Bullet"/>
      </w:pPr>
      <w:r w:rsidRPr="00BE78CA">
        <w:t>biomass burning</w:t>
      </w:r>
    </w:p>
    <w:p w14:paraId="79C0289E" w14:textId="71A90EBA" w:rsidR="004D0912" w:rsidRPr="00BE78CA" w:rsidRDefault="004D0912" w:rsidP="003642B7">
      <w:pPr>
        <w:pStyle w:val="Bullet"/>
      </w:pPr>
      <w:r w:rsidRPr="00BE78CA">
        <w:t>soil disturbance associated with land</w:t>
      </w:r>
      <w:r w:rsidR="00A06777" w:rsidRPr="00BE78CA">
        <w:t>-</w:t>
      </w:r>
      <w:r w:rsidRPr="00BE78CA">
        <w:t>use conversion.</w:t>
      </w:r>
    </w:p>
    <w:p w14:paraId="5BE337D9" w14:textId="0828E060" w:rsidR="004D0912" w:rsidRPr="00BE78CA" w:rsidRDefault="004D0912" w:rsidP="004D0912">
      <w:pPr>
        <w:pStyle w:val="BodyText"/>
      </w:pPr>
      <w:r w:rsidRPr="00BE78CA">
        <w:t>New Zealand’s estimates for emissions and removals from activities under Article 3.3 and Article 3.4 of the Kyoto Protocol do not include emissions associated with nitrogen-containing fertiliser use on afforested and reforested land, because these are reported and accounted for</w:t>
      </w:r>
      <w:r w:rsidR="003642B7" w:rsidRPr="00BE78CA">
        <w:t> </w:t>
      </w:r>
      <w:r w:rsidRPr="00BE78CA">
        <w:t>in the Agriculture sector. The notation key IE (included elsewhere) is used for this in the common reporting format tables.</w:t>
      </w:r>
    </w:p>
    <w:p w14:paraId="36E262D0" w14:textId="77777777" w:rsidR="004D0912" w:rsidRPr="00BE78CA" w:rsidRDefault="004D0912" w:rsidP="004D0912">
      <w:pPr>
        <w:pStyle w:val="BodyText"/>
      </w:pPr>
      <w:r w:rsidRPr="00BE78CA">
        <w:t xml:space="preserve">Accounting rules apply to activities under the Kyoto Protocol. Application of one of these rules, called carbon equivalent forests, means that the area of new forest planting is different from the area of </w:t>
      </w:r>
      <w:r w:rsidRPr="00BE78CA">
        <w:rPr>
          <w:i/>
        </w:rPr>
        <w:t>Afforestation</w:t>
      </w:r>
      <w:r w:rsidRPr="00BE78CA">
        <w:t xml:space="preserve"> for some years, and the area of forest clearance and land conversion is different from the area of </w:t>
      </w:r>
      <w:r w:rsidRPr="00BE78CA">
        <w:rPr>
          <w:i/>
        </w:rPr>
        <w:t>Deforestation</w:t>
      </w:r>
      <w:r w:rsidRPr="00BE78CA">
        <w:t>. These accounting rules are explained further in chapter 11.</w:t>
      </w:r>
    </w:p>
    <w:p w14:paraId="25F59D61" w14:textId="77777777" w:rsidR="004D0912" w:rsidRPr="00BE78CA" w:rsidRDefault="004D0912" w:rsidP="004D0912">
      <w:pPr>
        <w:pStyle w:val="Heading5"/>
      </w:pPr>
      <w:r w:rsidRPr="00BE78CA">
        <w:t>Afforestation and reforestation</w:t>
      </w:r>
    </w:p>
    <w:p w14:paraId="5AA36795" w14:textId="07F0DDAC" w:rsidR="004D0912" w:rsidRPr="00BE78CA" w:rsidRDefault="004D0912" w:rsidP="004D0912">
      <w:pPr>
        <w:pStyle w:val="BodyText"/>
      </w:pPr>
      <w:r w:rsidRPr="00BE78CA">
        <w:t>Between 1990 and 2019, it is estimated that 769,702 hectares of new forest (post-1989 forest)</w:t>
      </w:r>
      <w:r w:rsidR="00680FCA" w:rsidRPr="00BE78CA">
        <w:t> </w:t>
      </w:r>
      <w:r w:rsidRPr="00BE78CA">
        <w:t xml:space="preserve">were established as a result of </w:t>
      </w:r>
      <w:r w:rsidRPr="00BE78CA">
        <w:rPr>
          <w:i/>
        </w:rPr>
        <w:t>Afforestation and reforestation</w:t>
      </w:r>
      <w:r w:rsidRPr="00BE78CA">
        <w:t xml:space="preserve"> activities (see chapter 11, table 11.3.1). The net area of post-1989 forest (calculated from the total area of new forest</w:t>
      </w:r>
      <w:r w:rsidR="00680FCA" w:rsidRPr="00BE78CA">
        <w:t> </w:t>
      </w:r>
      <w:r w:rsidRPr="00BE78CA">
        <w:t>planted since 31 December 1989 minus the deforestation of post-1989 forest since 1</w:t>
      </w:r>
      <w:r w:rsidR="00680FCA" w:rsidRPr="00BE78CA">
        <w:t> </w:t>
      </w:r>
      <w:r w:rsidRPr="00BE78CA">
        <w:t>January 1990) as at the end of 2019 was 739,454 hectares. Emissions from this land in 2019</w:t>
      </w:r>
      <w:r w:rsidR="00680FCA" w:rsidRPr="00BE78CA">
        <w:t> </w:t>
      </w:r>
      <w:r w:rsidRPr="00BE78CA">
        <w:t>were –15,812.1 kt CO</w:t>
      </w:r>
      <w:r w:rsidRPr="00BE78CA">
        <w:rPr>
          <w:vertAlign w:val="subscript"/>
        </w:rPr>
        <w:t>2</w:t>
      </w:r>
      <w:r w:rsidRPr="00BE78CA">
        <w:t>-e, compared with –17,197.6 kt CO</w:t>
      </w:r>
      <w:r w:rsidRPr="00BE78CA">
        <w:rPr>
          <w:vertAlign w:val="subscript"/>
        </w:rPr>
        <w:t>2</w:t>
      </w:r>
      <w:r w:rsidRPr="00BE78CA">
        <w:t>-e in 2018. Of the total area</w:t>
      </w:r>
      <w:r w:rsidR="00680FCA" w:rsidRPr="00BE78CA">
        <w:t> </w:t>
      </w:r>
      <w:r w:rsidRPr="00BE78CA">
        <w:t>afforested or reforested between 1990 and 2019, an estimated 30,248 hectares were deforested between 1990 and 2019 (see chapter 11, table 11.3.1). The emissions for this area</w:t>
      </w:r>
      <w:r w:rsidR="00680FCA" w:rsidRPr="00BE78CA">
        <w:t> </w:t>
      </w:r>
      <w:r w:rsidRPr="00BE78CA">
        <w:t xml:space="preserve">are reported under </w:t>
      </w:r>
      <w:r w:rsidRPr="00BE78CA">
        <w:rPr>
          <w:i/>
        </w:rPr>
        <w:t>Deforestation</w:t>
      </w:r>
      <w:r w:rsidRPr="00BE78CA">
        <w:t>.</w:t>
      </w:r>
    </w:p>
    <w:p w14:paraId="49C994B2" w14:textId="77777777" w:rsidR="004D0912" w:rsidRPr="00BE78CA" w:rsidRDefault="004D0912" w:rsidP="004D0912">
      <w:pPr>
        <w:pStyle w:val="Heading5"/>
      </w:pPr>
      <w:r w:rsidRPr="00BE78CA">
        <w:t>Deforestation</w:t>
      </w:r>
    </w:p>
    <w:p w14:paraId="555A5B23" w14:textId="77777777" w:rsidR="004D0912" w:rsidRPr="00BE78CA" w:rsidRDefault="004D0912" w:rsidP="004D0912">
      <w:pPr>
        <w:pStyle w:val="BodyText"/>
      </w:pPr>
      <w:r w:rsidRPr="00BE78CA">
        <w:t>The area deforested between 1 January 1990 and 31 December 2019 was 202,641 hectares.</w:t>
      </w:r>
      <w:r w:rsidRPr="00BE78CA">
        <w:rPr>
          <w:rStyle w:val="FootnoteReference"/>
        </w:rPr>
        <w:footnoteReference w:id="29"/>
      </w:r>
      <w:r w:rsidRPr="00BE78CA">
        <w:t xml:space="preserve"> The provisional estimated area subject to </w:t>
      </w:r>
      <w:r w:rsidRPr="00BE78CA">
        <w:rPr>
          <w:i/>
        </w:rPr>
        <w:t>Deforestation</w:t>
      </w:r>
      <w:r w:rsidRPr="00BE78CA">
        <w:t xml:space="preserve"> in 2019 was 4,745 hectares. In 2019, net emissions from </w:t>
      </w:r>
      <w:r w:rsidRPr="00BE78CA">
        <w:rPr>
          <w:i/>
        </w:rPr>
        <w:t>Deforestation</w:t>
      </w:r>
      <w:r w:rsidRPr="00BE78CA">
        <w:t xml:space="preserve"> were 2,906.6 kt CO</w:t>
      </w:r>
      <w:r w:rsidRPr="00BE78CA">
        <w:rPr>
          <w:vertAlign w:val="subscript"/>
        </w:rPr>
        <w:t>2</w:t>
      </w:r>
      <w:r w:rsidRPr="00BE78CA">
        <w:t>-e, compared with 2,269.9 kt CO</w:t>
      </w:r>
      <w:r w:rsidRPr="00BE78CA">
        <w:rPr>
          <w:vertAlign w:val="subscript"/>
        </w:rPr>
        <w:t>2</w:t>
      </w:r>
      <w:r w:rsidRPr="00BE78CA">
        <w:t>-e in 2018 (a 28.1 per cent increase).</w:t>
      </w:r>
    </w:p>
    <w:p w14:paraId="06672BD4" w14:textId="77777777" w:rsidR="004D0912" w:rsidRPr="00BE78CA" w:rsidRDefault="004D0912" w:rsidP="004D0912">
      <w:pPr>
        <w:pStyle w:val="Heading5"/>
      </w:pPr>
      <w:r w:rsidRPr="00BE78CA">
        <w:t>Forest management</w:t>
      </w:r>
    </w:p>
    <w:p w14:paraId="3F091CE3" w14:textId="77777777" w:rsidR="004D0912" w:rsidRPr="00BE78CA" w:rsidRDefault="004D0912" w:rsidP="004D0912">
      <w:pPr>
        <w:pStyle w:val="BodyText"/>
      </w:pPr>
      <w:r w:rsidRPr="00BE78CA">
        <w:t xml:space="preserve">The total area reported under </w:t>
      </w:r>
      <w:r w:rsidRPr="00BE78CA">
        <w:rPr>
          <w:i/>
        </w:rPr>
        <w:t>Forest management</w:t>
      </w:r>
      <w:r w:rsidRPr="00BE78CA">
        <w:t xml:space="preserve"> at the end of 2019 was 9,201,461 hectares, equivalent to 34.2 per cent of New Zealand’s total land area. This category includes all land that was forest at 1 January 1990 and has not been deforested since 1990. Net removals on this land in 2019 were 20,665.3 kt CO</w:t>
      </w:r>
      <w:r w:rsidRPr="00BE78CA">
        <w:rPr>
          <w:vertAlign w:val="subscript"/>
        </w:rPr>
        <w:t>2</w:t>
      </w:r>
      <w:r w:rsidRPr="00BE78CA">
        <w:t>-e, including net removals of 12,086.8 kt CO</w:t>
      </w:r>
      <w:r w:rsidRPr="00BE78CA">
        <w:rPr>
          <w:vertAlign w:val="subscript"/>
        </w:rPr>
        <w:t>2</w:t>
      </w:r>
      <w:r w:rsidRPr="00BE78CA">
        <w:t xml:space="preserve">-e from the </w:t>
      </w:r>
      <w:r w:rsidRPr="00BE78CA">
        <w:rPr>
          <w:i/>
        </w:rPr>
        <w:t>Harvested wood products</w:t>
      </w:r>
      <w:r w:rsidRPr="00BE78CA">
        <w:t xml:space="preserve"> category.</w:t>
      </w:r>
    </w:p>
    <w:p w14:paraId="5BA60522" w14:textId="77777777" w:rsidR="004D0912" w:rsidRPr="00BE78CA" w:rsidRDefault="004D0912" w:rsidP="004D0912">
      <w:pPr>
        <w:pStyle w:val="Heading5"/>
      </w:pPr>
      <w:bookmarkStart w:id="193" w:name="accounting-quantity"/>
      <w:r w:rsidRPr="00BE78CA">
        <w:t>Accounting quantity</w:t>
      </w:r>
      <w:bookmarkEnd w:id="193"/>
    </w:p>
    <w:p w14:paraId="0B1FCCEF" w14:textId="77777777" w:rsidR="004D0912" w:rsidRPr="00BE78CA" w:rsidRDefault="004D0912" w:rsidP="004D0912">
      <w:pPr>
        <w:pStyle w:val="BodyText"/>
      </w:pPr>
      <w:r w:rsidRPr="00BE78CA">
        <w:t>For the second commitment period of the Kyoto Protocol (2013–20), there are new rules for accounting under the Kyoto Protocol. These include:</w:t>
      </w:r>
    </w:p>
    <w:p w14:paraId="5E05AFA9" w14:textId="77777777" w:rsidR="004D0912" w:rsidRPr="00BE78CA" w:rsidRDefault="004D0912" w:rsidP="00680FCA">
      <w:pPr>
        <w:pStyle w:val="Bullet"/>
      </w:pPr>
      <w:r w:rsidRPr="00BE78CA">
        <w:lastRenderedPageBreak/>
        <w:t>the ability to account for changes in the Harvested wood products category for Afforestation and reforestation and Forest management land</w:t>
      </w:r>
    </w:p>
    <w:p w14:paraId="1B30C123" w14:textId="77777777" w:rsidR="004D0912" w:rsidRPr="00BE78CA" w:rsidRDefault="004D0912" w:rsidP="00680FCA">
      <w:pPr>
        <w:pStyle w:val="Bullet"/>
      </w:pPr>
      <w:r w:rsidRPr="00BE78CA">
        <w:t>the ability to exclude from accounting emissions and removals due to natural disturbance</w:t>
      </w:r>
    </w:p>
    <w:p w14:paraId="386E0DEB" w14:textId="77777777" w:rsidR="004D0912" w:rsidRPr="00BE78CA" w:rsidRDefault="004D0912" w:rsidP="00680FCA">
      <w:pPr>
        <w:pStyle w:val="Bullet"/>
      </w:pPr>
      <w:r w:rsidRPr="00BE78CA">
        <w:t xml:space="preserve">the ability to account for emissions and removals on land that meets the criteria of carbon equivalent forests under </w:t>
      </w:r>
      <w:r w:rsidRPr="00BE78CA">
        <w:rPr>
          <w:i/>
        </w:rPr>
        <w:t>Forest management</w:t>
      </w:r>
      <w:r w:rsidRPr="00BE78CA">
        <w:t xml:space="preserve"> that would otherwise be accounted for under </w:t>
      </w:r>
      <w:r w:rsidRPr="00BE78CA">
        <w:rPr>
          <w:i/>
        </w:rPr>
        <w:t>Afforestation and reforestation</w:t>
      </w:r>
      <w:r w:rsidRPr="00BE78CA">
        <w:t xml:space="preserve"> and </w:t>
      </w:r>
      <w:r w:rsidRPr="00BE78CA">
        <w:rPr>
          <w:i/>
        </w:rPr>
        <w:t>Deforestation</w:t>
      </w:r>
    </w:p>
    <w:p w14:paraId="7118BEAB" w14:textId="77777777" w:rsidR="004D0912" w:rsidRPr="00BE78CA" w:rsidRDefault="004D0912" w:rsidP="00680FCA">
      <w:pPr>
        <w:pStyle w:val="Bullet"/>
      </w:pPr>
      <w:r w:rsidRPr="00BE78CA">
        <w:t xml:space="preserve">the ability to account for </w:t>
      </w:r>
      <w:r w:rsidRPr="00BE78CA">
        <w:rPr>
          <w:i/>
        </w:rPr>
        <w:t>Forest management</w:t>
      </w:r>
      <w:r w:rsidRPr="00BE78CA">
        <w:t xml:space="preserve"> against a forest management reference level</w:t>
      </w:r>
    </w:p>
    <w:p w14:paraId="5D579F34" w14:textId="77777777" w:rsidR="004D0912" w:rsidRPr="00BE78CA" w:rsidRDefault="004D0912" w:rsidP="00680FCA">
      <w:pPr>
        <w:pStyle w:val="Bullet"/>
      </w:pPr>
      <w:r w:rsidRPr="00BE78CA">
        <w:t xml:space="preserve">the ability to set the </w:t>
      </w:r>
      <w:r w:rsidRPr="00BE78CA">
        <w:rPr>
          <w:i/>
        </w:rPr>
        <w:t>Forest management</w:t>
      </w:r>
      <w:r w:rsidRPr="00BE78CA">
        <w:t xml:space="preserve"> cap at 3.5 per cent of a country’s base year emissions excluding LULUCF multiplied by the number of years in the commitment period.</w:t>
      </w:r>
    </w:p>
    <w:p w14:paraId="05837C1D" w14:textId="77777777" w:rsidR="004D0912" w:rsidRPr="00BE78CA" w:rsidRDefault="004D0912" w:rsidP="00680FCA">
      <w:pPr>
        <w:pStyle w:val="BodyText"/>
      </w:pPr>
      <w:r w:rsidRPr="00BE78CA">
        <w:t xml:space="preserve">New Zealand’s accounting quantity has been presented in table 2.3.1 as the sum of emissions and removals from </w:t>
      </w:r>
      <w:r w:rsidRPr="00BE78CA">
        <w:rPr>
          <w:i/>
        </w:rPr>
        <w:t>Afforestation and reforestation</w:t>
      </w:r>
      <w:r w:rsidRPr="00BE78CA">
        <w:t xml:space="preserve"> and </w:t>
      </w:r>
      <w:r w:rsidRPr="00BE78CA">
        <w:rPr>
          <w:i/>
        </w:rPr>
        <w:t>Deforestation</w:t>
      </w:r>
      <w:r w:rsidRPr="00BE78CA">
        <w:t xml:space="preserve">. This is because forest management accounting rules mean emissions for </w:t>
      </w:r>
      <w:r w:rsidRPr="00BE78CA">
        <w:rPr>
          <w:i/>
        </w:rPr>
        <w:t>Forest management</w:t>
      </w:r>
      <w:r w:rsidRPr="00BE78CA">
        <w:t xml:space="preserve"> are expected to equal the reference level over the commitment period if business-as-usual levels of harvesting (based on estimates as at 2009) are maintained.</w:t>
      </w:r>
    </w:p>
    <w:p w14:paraId="203D1F6E" w14:textId="20005269" w:rsidR="004D0912" w:rsidRPr="00BE78CA" w:rsidRDefault="004D0912" w:rsidP="00680FCA">
      <w:pPr>
        <w:pStyle w:val="Table"/>
      </w:pPr>
      <w:bookmarkStart w:id="194" w:name="_Toc68786402"/>
      <w:r w:rsidRPr="00BE78CA">
        <w:t xml:space="preserve">Table 2.3.1 </w:t>
      </w:r>
      <w:r w:rsidRPr="00BE78CA">
        <w:tab/>
        <w:t xml:space="preserve">New Zealand’s net emissions and removals from land subject to activities </w:t>
      </w:r>
      <w:r w:rsidR="00680FCA" w:rsidRPr="00BE78CA">
        <w:br/>
      </w:r>
      <w:r w:rsidRPr="00BE78CA">
        <w:t>under Article 3.3 and Forest management under Article 3.4 of the Kyoto Protocol</w:t>
      </w:r>
      <w:bookmarkEnd w:id="194"/>
    </w:p>
    <w:tbl>
      <w:tblPr>
        <w:tblW w:w="8505" w:type="dxa"/>
        <w:tblCellMar>
          <w:left w:w="85" w:type="dxa"/>
          <w:right w:w="57" w:type="dxa"/>
        </w:tblCellMar>
        <w:tblLook w:val="0420" w:firstRow="1" w:lastRow="0" w:firstColumn="0" w:lastColumn="0" w:noHBand="0" w:noVBand="1"/>
      </w:tblPr>
      <w:tblGrid>
        <w:gridCol w:w="984"/>
        <w:gridCol w:w="1074"/>
        <w:gridCol w:w="1074"/>
        <w:gridCol w:w="1074"/>
        <w:gridCol w:w="1074"/>
        <w:gridCol w:w="1075"/>
        <w:gridCol w:w="1075"/>
        <w:gridCol w:w="1075"/>
      </w:tblGrid>
      <w:tr w:rsidR="00680FCA" w:rsidRPr="00BE78CA" w14:paraId="4598C914" w14:textId="77777777" w:rsidTr="00CE5D98">
        <w:trPr>
          <w:cantSplit/>
          <w:tblHeader/>
        </w:trPr>
        <w:tc>
          <w:tcPr>
            <w:tcW w:w="579" w:type="pct"/>
            <w:tcBorders>
              <w:top w:val="single" w:sz="4" w:space="0" w:color="365F91"/>
              <w:bottom w:val="single" w:sz="4" w:space="0" w:color="365F91"/>
            </w:tcBorders>
            <w:shd w:val="clear" w:color="auto" w:fill="365F91"/>
            <w:tcMar>
              <w:top w:w="0" w:type="dxa"/>
              <w:left w:w="85" w:type="dxa"/>
              <w:bottom w:w="0" w:type="dxa"/>
              <w:right w:w="57" w:type="dxa"/>
            </w:tcMar>
          </w:tcPr>
          <w:p w14:paraId="63EB8FF5" w14:textId="77777777" w:rsidR="004D0912" w:rsidRPr="00BE78CA" w:rsidRDefault="004D0912" w:rsidP="00680FCA">
            <w:pPr>
              <w:pStyle w:val="TableTextBold"/>
              <w:jc w:val="right"/>
              <w:rPr>
                <w:noProof w:val="0"/>
                <w:color w:val="FFFFFF" w:themeColor="background1"/>
              </w:rPr>
            </w:pPr>
            <w:r w:rsidRPr="00BE78CA">
              <w:rPr>
                <w:rFonts w:eastAsia="Calibri"/>
                <w:noProof w:val="0"/>
                <w:color w:val="FFFFFF" w:themeColor="background1"/>
              </w:rPr>
              <w:t xml:space="preserve"> </w:t>
            </w:r>
          </w:p>
        </w:tc>
        <w:tc>
          <w:tcPr>
            <w:tcW w:w="0" w:type="auto"/>
            <w:tcBorders>
              <w:top w:val="single" w:sz="4" w:space="0" w:color="365F91"/>
              <w:bottom w:val="single" w:sz="4" w:space="0" w:color="365F91"/>
            </w:tcBorders>
            <w:shd w:val="clear" w:color="auto" w:fill="365F91"/>
            <w:tcMar>
              <w:top w:w="0" w:type="dxa"/>
              <w:left w:w="85" w:type="dxa"/>
              <w:bottom w:w="0" w:type="dxa"/>
              <w:right w:w="57" w:type="dxa"/>
            </w:tcMar>
          </w:tcPr>
          <w:p w14:paraId="5EFE9167" w14:textId="77777777" w:rsidR="004D0912" w:rsidRPr="00BE78CA" w:rsidRDefault="004D0912" w:rsidP="00680FCA">
            <w:pPr>
              <w:pStyle w:val="TableTextBold"/>
              <w:jc w:val="right"/>
              <w:rPr>
                <w:noProof w:val="0"/>
                <w:color w:val="FFFFFF" w:themeColor="background1"/>
              </w:rPr>
            </w:pPr>
            <w:r w:rsidRPr="00BE78CA">
              <w:rPr>
                <w:rFonts w:eastAsia="Calibri"/>
                <w:noProof w:val="0"/>
                <w:color w:val="FFFFFF" w:themeColor="background1"/>
              </w:rPr>
              <w:t>2013</w:t>
            </w:r>
          </w:p>
        </w:tc>
        <w:tc>
          <w:tcPr>
            <w:tcW w:w="0" w:type="auto"/>
            <w:tcBorders>
              <w:top w:val="single" w:sz="4" w:space="0" w:color="365F91"/>
              <w:bottom w:val="single" w:sz="4" w:space="0" w:color="365F91"/>
            </w:tcBorders>
            <w:shd w:val="clear" w:color="auto" w:fill="365F91"/>
            <w:tcMar>
              <w:top w:w="0" w:type="dxa"/>
              <w:left w:w="85" w:type="dxa"/>
              <w:bottom w:w="0" w:type="dxa"/>
              <w:right w:w="57" w:type="dxa"/>
            </w:tcMar>
          </w:tcPr>
          <w:p w14:paraId="671D0FBB" w14:textId="77777777" w:rsidR="004D0912" w:rsidRPr="00BE78CA" w:rsidRDefault="004D0912" w:rsidP="00680FCA">
            <w:pPr>
              <w:pStyle w:val="TableTextBold"/>
              <w:jc w:val="right"/>
              <w:rPr>
                <w:noProof w:val="0"/>
                <w:color w:val="FFFFFF" w:themeColor="background1"/>
              </w:rPr>
            </w:pPr>
            <w:r w:rsidRPr="00BE78CA">
              <w:rPr>
                <w:rFonts w:eastAsia="Calibri"/>
                <w:noProof w:val="0"/>
                <w:color w:val="FFFFFF" w:themeColor="background1"/>
              </w:rPr>
              <w:t>2014</w:t>
            </w:r>
          </w:p>
        </w:tc>
        <w:tc>
          <w:tcPr>
            <w:tcW w:w="0" w:type="auto"/>
            <w:tcBorders>
              <w:top w:val="single" w:sz="4" w:space="0" w:color="365F91"/>
              <w:bottom w:val="single" w:sz="4" w:space="0" w:color="365F91"/>
            </w:tcBorders>
            <w:shd w:val="clear" w:color="auto" w:fill="365F91"/>
            <w:tcMar>
              <w:top w:w="0" w:type="dxa"/>
              <w:left w:w="85" w:type="dxa"/>
              <w:bottom w:w="0" w:type="dxa"/>
              <w:right w:w="57" w:type="dxa"/>
            </w:tcMar>
          </w:tcPr>
          <w:p w14:paraId="60F167AD" w14:textId="77777777" w:rsidR="004D0912" w:rsidRPr="00BE78CA" w:rsidRDefault="004D0912" w:rsidP="00680FCA">
            <w:pPr>
              <w:pStyle w:val="TableTextBold"/>
              <w:jc w:val="right"/>
              <w:rPr>
                <w:noProof w:val="0"/>
                <w:color w:val="FFFFFF" w:themeColor="background1"/>
              </w:rPr>
            </w:pPr>
            <w:r w:rsidRPr="00BE78CA">
              <w:rPr>
                <w:rFonts w:eastAsia="Calibri"/>
                <w:noProof w:val="0"/>
                <w:color w:val="FFFFFF" w:themeColor="background1"/>
              </w:rPr>
              <w:t>2015</w:t>
            </w:r>
          </w:p>
        </w:tc>
        <w:tc>
          <w:tcPr>
            <w:tcW w:w="0" w:type="auto"/>
            <w:tcBorders>
              <w:top w:val="single" w:sz="4" w:space="0" w:color="365F91"/>
              <w:bottom w:val="single" w:sz="4" w:space="0" w:color="365F91"/>
            </w:tcBorders>
            <w:shd w:val="clear" w:color="auto" w:fill="365F91"/>
            <w:tcMar>
              <w:top w:w="0" w:type="dxa"/>
              <w:left w:w="85" w:type="dxa"/>
              <w:bottom w:w="0" w:type="dxa"/>
              <w:right w:w="57" w:type="dxa"/>
            </w:tcMar>
          </w:tcPr>
          <w:p w14:paraId="28234385" w14:textId="77777777" w:rsidR="004D0912" w:rsidRPr="00BE78CA" w:rsidRDefault="004D0912" w:rsidP="00680FCA">
            <w:pPr>
              <w:pStyle w:val="TableTextBold"/>
              <w:jc w:val="right"/>
              <w:rPr>
                <w:noProof w:val="0"/>
                <w:color w:val="FFFFFF" w:themeColor="background1"/>
              </w:rPr>
            </w:pPr>
            <w:r w:rsidRPr="00BE78CA">
              <w:rPr>
                <w:rFonts w:eastAsia="Calibri"/>
                <w:noProof w:val="0"/>
                <w:color w:val="FFFFFF" w:themeColor="background1"/>
              </w:rPr>
              <w:t>2016</w:t>
            </w:r>
          </w:p>
        </w:tc>
        <w:tc>
          <w:tcPr>
            <w:tcW w:w="0" w:type="auto"/>
            <w:tcBorders>
              <w:top w:val="single" w:sz="4" w:space="0" w:color="365F91"/>
              <w:bottom w:val="single" w:sz="4" w:space="0" w:color="365F91"/>
            </w:tcBorders>
            <w:shd w:val="clear" w:color="auto" w:fill="365F91"/>
            <w:tcMar>
              <w:top w:w="0" w:type="dxa"/>
              <w:left w:w="85" w:type="dxa"/>
              <w:bottom w:w="0" w:type="dxa"/>
              <w:right w:w="57" w:type="dxa"/>
            </w:tcMar>
          </w:tcPr>
          <w:p w14:paraId="6BE21FD4" w14:textId="77777777" w:rsidR="004D0912" w:rsidRPr="00BE78CA" w:rsidRDefault="004D0912" w:rsidP="00680FCA">
            <w:pPr>
              <w:pStyle w:val="TableTextBold"/>
              <w:jc w:val="right"/>
              <w:rPr>
                <w:noProof w:val="0"/>
                <w:color w:val="FFFFFF" w:themeColor="background1"/>
              </w:rPr>
            </w:pPr>
            <w:r w:rsidRPr="00BE78CA">
              <w:rPr>
                <w:rFonts w:eastAsia="Calibri"/>
                <w:noProof w:val="0"/>
                <w:color w:val="FFFFFF" w:themeColor="background1"/>
              </w:rPr>
              <w:t>2017</w:t>
            </w:r>
          </w:p>
        </w:tc>
        <w:tc>
          <w:tcPr>
            <w:tcW w:w="0" w:type="auto"/>
            <w:tcBorders>
              <w:top w:val="single" w:sz="4" w:space="0" w:color="365F91"/>
              <w:bottom w:val="single" w:sz="4" w:space="0" w:color="365F91"/>
            </w:tcBorders>
            <w:shd w:val="clear" w:color="auto" w:fill="365F91"/>
            <w:tcMar>
              <w:top w:w="0" w:type="dxa"/>
              <w:left w:w="85" w:type="dxa"/>
              <w:bottom w:w="0" w:type="dxa"/>
              <w:right w:w="57" w:type="dxa"/>
            </w:tcMar>
          </w:tcPr>
          <w:p w14:paraId="5CEBF20A" w14:textId="77777777" w:rsidR="004D0912" w:rsidRPr="00BE78CA" w:rsidRDefault="004D0912" w:rsidP="00680FCA">
            <w:pPr>
              <w:pStyle w:val="TableTextBold"/>
              <w:jc w:val="right"/>
              <w:rPr>
                <w:noProof w:val="0"/>
                <w:color w:val="FFFFFF" w:themeColor="background1"/>
              </w:rPr>
            </w:pPr>
            <w:r w:rsidRPr="00BE78CA">
              <w:rPr>
                <w:rFonts w:eastAsia="Calibri"/>
                <w:noProof w:val="0"/>
                <w:color w:val="FFFFFF" w:themeColor="background1"/>
              </w:rPr>
              <w:t>2018</w:t>
            </w:r>
          </w:p>
        </w:tc>
        <w:tc>
          <w:tcPr>
            <w:tcW w:w="0" w:type="auto"/>
            <w:tcBorders>
              <w:top w:val="single" w:sz="4" w:space="0" w:color="365F91"/>
              <w:bottom w:val="single" w:sz="4" w:space="0" w:color="365F91"/>
            </w:tcBorders>
            <w:shd w:val="clear" w:color="auto" w:fill="365F91"/>
            <w:tcMar>
              <w:top w:w="0" w:type="dxa"/>
              <w:left w:w="85" w:type="dxa"/>
              <w:bottom w:w="0" w:type="dxa"/>
              <w:right w:w="57" w:type="dxa"/>
            </w:tcMar>
          </w:tcPr>
          <w:p w14:paraId="62B1445F" w14:textId="77777777" w:rsidR="004D0912" w:rsidRPr="00BE78CA" w:rsidRDefault="004D0912" w:rsidP="00680FCA">
            <w:pPr>
              <w:pStyle w:val="TableTextBold"/>
              <w:jc w:val="right"/>
              <w:rPr>
                <w:noProof w:val="0"/>
                <w:color w:val="FFFFFF" w:themeColor="background1"/>
              </w:rPr>
            </w:pPr>
            <w:r w:rsidRPr="00BE78CA">
              <w:rPr>
                <w:rFonts w:eastAsia="Calibri"/>
                <w:noProof w:val="0"/>
                <w:color w:val="FFFFFF" w:themeColor="background1"/>
              </w:rPr>
              <w:t>2019</w:t>
            </w:r>
          </w:p>
        </w:tc>
      </w:tr>
      <w:tr w:rsidR="004D0912" w:rsidRPr="00BE78CA" w14:paraId="30A8D766" w14:textId="77777777" w:rsidTr="00323F5C">
        <w:trPr>
          <w:cantSplit/>
        </w:trPr>
        <w:tc>
          <w:tcPr>
            <w:tcW w:w="5000" w:type="pct"/>
            <w:gridSpan w:val="8"/>
            <w:tcBorders>
              <w:top w:val="single" w:sz="4" w:space="0" w:color="365F91"/>
              <w:left w:val="single" w:sz="4" w:space="0" w:color="FFFFFF"/>
              <w:bottom w:val="single" w:sz="4" w:space="0" w:color="365F91"/>
            </w:tcBorders>
            <w:shd w:val="clear" w:color="auto" w:fill="FFFFFF"/>
            <w:tcMar>
              <w:top w:w="0" w:type="dxa"/>
              <w:left w:w="85" w:type="dxa"/>
              <w:bottom w:w="0" w:type="dxa"/>
              <w:right w:w="57" w:type="dxa"/>
            </w:tcMar>
          </w:tcPr>
          <w:p w14:paraId="1166D292" w14:textId="77777777" w:rsidR="004D0912" w:rsidRPr="00BE78CA" w:rsidRDefault="004D0912" w:rsidP="00680FCA">
            <w:pPr>
              <w:pStyle w:val="TableText"/>
            </w:pPr>
            <w:r w:rsidRPr="00BE78CA">
              <w:rPr>
                <w:rFonts w:eastAsia="Calibri"/>
                <w:color w:val="111111"/>
              </w:rPr>
              <w:t>Afforestation and reforestation</w:t>
            </w:r>
          </w:p>
        </w:tc>
      </w:tr>
      <w:tr w:rsidR="002C3833" w:rsidRPr="00BE78CA" w14:paraId="3CCC79F7" w14:textId="77777777" w:rsidTr="00323F5C">
        <w:trPr>
          <w:cantSplit/>
        </w:trPr>
        <w:tc>
          <w:tcPr>
            <w:tcW w:w="579" w:type="pct"/>
            <w:tcBorders>
              <w:top w:val="single" w:sz="4" w:space="0" w:color="365F91"/>
              <w:bottom w:val="single" w:sz="4" w:space="0" w:color="365F91"/>
            </w:tcBorders>
            <w:shd w:val="clear" w:color="auto" w:fill="FFFFFF"/>
            <w:tcMar>
              <w:top w:w="0" w:type="dxa"/>
              <w:left w:w="85" w:type="dxa"/>
              <w:bottom w:w="0" w:type="dxa"/>
              <w:right w:w="57" w:type="dxa"/>
            </w:tcMar>
          </w:tcPr>
          <w:p w14:paraId="585C2BE9" w14:textId="77777777" w:rsidR="004D0912" w:rsidRPr="00BE78CA" w:rsidRDefault="004D0912" w:rsidP="00680FCA">
            <w:pPr>
              <w:pStyle w:val="TableText"/>
            </w:pPr>
            <w:r w:rsidRPr="00BE78CA">
              <w:rPr>
                <w:rFonts w:eastAsia="Calibri"/>
                <w:color w:val="111111"/>
              </w:rPr>
              <w:t>Net cumulative area since 1990 (ha)</w:t>
            </w:r>
          </w:p>
        </w:tc>
        <w:tc>
          <w:tcPr>
            <w:tcW w:w="0" w:type="auto"/>
            <w:tcBorders>
              <w:top w:val="single" w:sz="4" w:space="0" w:color="365F91"/>
              <w:bottom w:val="single" w:sz="4" w:space="0" w:color="365F91"/>
            </w:tcBorders>
            <w:shd w:val="clear" w:color="auto" w:fill="FFFFFF"/>
            <w:tcMar>
              <w:top w:w="0" w:type="dxa"/>
              <w:left w:w="85" w:type="dxa"/>
              <w:bottom w:w="0" w:type="dxa"/>
              <w:right w:w="57" w:type="dxa"/>
            </w:tcMar>
          </w:tcPr>
          <w:p w14:paraId="630D6AE6" w14:textId="77777777" w:rsidR="004D0912" w:rsidRPr="00BE78CA" w:rsidRDefault="004D0912" w:rsidP="009B5D7E">
            <w:pPr>
              <w:pStyle w:val="TableText"/>
              <w:jc w:val="right"/>
            </w:pPr>
            <w:r w:rsidRPr="00BE78CA">
              <w:rPr>
                <w:rFonts w:eastAsia="Calibri"/>
                <w:color w:val="111111"/>
              </w:rPr>
              <w:t>688,324.63</w:t>
            </w:r>
          </w:p>
        </w:tc>
        <w:tc>
          <w:tcPr>
            <w:tcW w:w="0" w:type="auto"/>
            <w:tcBorders>
              <w:top w:val="single" w:sz="4" w:space="0" w:color="365F91"/>
              <w:bottom w:val="single" w:sz="4" w:space="0" w:color="365F91"/>
            </w:tcBorders>
            <w:shd w:val="clear" w:color="auto" w:fill="FFFFFF"/>
            <w:tcMar>
              <w:top w:w="0" w:type="dxa"/>
              <w:left w:w="85" w:type="dxa"/>
              <w:bottom w:w="0" w:type="dxa"/>
              <w:right w:w="57" w:type="dxa"/>
            </w:tcMar>
          </w:tcPr>
          <w:p w14:paraId="14CAF0EB" w14:textId="77777777" w:rsidR="004D0912" w:rsidRPr="00BE78CA" w:rsidRDefault="004D0912" w:rsidP="009B5D7E">
            <w:pPr>
              <w:pStyle w:val="TableText"/>
              <w:jc w:val="right"/>
            </w:pPr>
            <w:r w:rsidRPr="00BE78CA">
              <w:rPr>
                <w:rFonts w:eastAsia="Calibri"/>
                <w:color w:val="111111"/>
              </w:rPr>
              <w:t>692,604.45</w:t>
            </w:r>
          </w:p>
        </w:tc>
        <w:tc>
          <w:tcPr>
            <w:tcW w:w="0" w:type="auto"/>
            <w:tcBorders>
              <w:top w:val="single" w:sz="4" w:space="0" w:color="365F91"/>
              <w:bottom w:val="single" w:sz="4" w:space="0" w:color="365F91"/>
            </w:tcBorders>
            <w:shd w:val="clear" w:color="auto" w:fill="FFFFFF"/>
            <w:tcMar>
              <w:top w:w="0" w:type="dxa"/>
              <w:left w:w="85" w:type="dxa"/>
              <w:bottom w:w="0" w:type="dxa"/>
              <w:right w:w="57" w:type="dxa"/>
            </w:tcMar>
          </w:tcPr>
          <w:p w14:paraId="48892869" w14:textId="77777777" w:rsidR="004D0912" w:rsidRPr="00BE78CA" w:rsidRDefault="004D0912" w:rsidP="009B5D7E">
            <w:pPr>
              <w:pStyle w:val="TableText"/>
              <w:jc w:val="right"/>
            </w:pPr>
            <w:r w:rsidRPr="00BE78CA">
              <w:rPr>
                <w:rFonts w:eastAsia="Calibri"/>
                <w:color w:val="111111"/>
              </w:rPr>
              <w:t>696,844.43</w:t>
            </w:r>
          </w:p>
        </w:tc>
        <w:tc>
          <w:tcPr>
            <w:tcW w:w="0" w:type="auto"/>
            <w:tcBorders>
              <w:top w:val="single" w:sz="4" w:space="0" w:color="365F91"/>
              <w:bottom w:val="single" w:sz="4" w:space="0" w:color="365F91"/>
            </w:tcBorders>
            <w:shd w:val="clear" w:color="auto" w:fill="FFFFFF"/>
            <w:tcMar>
              <w:top w:w="0" w:type="dxa"/>
              <w:left w:w="85" w:type="dxa"/>
              <w:bottom w:w="0" w:type="dxa"/>
              <w:right w:w="57" w:type="dxa"/>
            </w:tcMar>
          </w:tcPr>
          <w:p w14:paraId="50E01118" w14:textId="77777777" w:rsidR="004D0912" w:rsidRPr="00BE78CA" w:rsidRDefault="004D0912" w:rsidP="009B5D7E">
            <w:pPr>
              <w:pStyle w:val="TableText"/>
              <w:jc w:val="right"/>
            </w:pPr>
            <w:r w:rsidRPr="00BE78CA">
              <w:rPr>
                <w:rFonts w:eastAsia="Calibri"/>
                <w:color w:val="111111"/>
              </w:rPr>
              <w:t>701,269.31</w:t>
            </w:r>
          </w:p>
        </w:tc>
        <w:tc>
          <w:tcPr>
            <w:tcW w:w="0" w:type="auto"/>
            <w:tcBorders>
              <w:top w:val="single" w:sz="4" w:space="0" w:color="365F91"/>
              <w:bottom w:val="single" w:sz="4" w:space="0" w:color="365F91"/>
            </w:tcBorders>
            <w:shd w:val="clear" w:color="auto" w:fill="FFFFFF"/>
            <w:tcMar>
              <w:top w:w="0" w:type="dxa"/>
              <w:left w:w="85" w:type="dxa"/>
              <w:bottom w:w="0" w:type="dxa"/>
              <w:right w:w="57" w:type="dxa"/>
            </w:tcMar>
          </w:tcPr>
          <w:p w14:paraId="3EFCB477" w14:textId="77777777" w:rsidR="004D0912" w:rsidRPr="00BE78CA" w:rsidRDefault="004D0912" w:rsidP="009B5D7E">
            <w:pPr>
              <w:pStyle w:val="TableText"/>
              <w:jc w:val="right"/>
            </w:pPr>
            <w:r w:rsidRPr="00BE78CA">
              <w:rPr>
                <w:rFonts w:eastAsia="Calibri"/>
                <w:color w:val="111111"/>
              </w:rPr>
              <w:t>708,740.66</w:t>
            </w:r>
          </w:p>
        </w:tc>
        <w:tc>
          <w:tcPr>
            <w:tcW w:w="0" w:type="auto"/>
            <w:tcBorders>
              <w:top w:val="single" w:sz="4" w:space="0" w:color="365F91"/>
              <w:bottom w:val="single" w:sz="4" w:space="0" w:color="365F91"/>
            </w:tcBorders>
            <w:shd w:val="clear" w:color="auto" w:fill="FFFFFF"/>
            <w:tcMar>
              <w:top w:w="0" w:type="dxa"/>
              <w:left w:w="85" w:type="dxa"/>
              <w:bottom w:w="0" w:type="dxa"/>
              <w:right w:w="57" w:type="dxa"/>
            </w:tcMar>
          </w:tcPr>
          <w:p w14:paraId="7FA3FE89" w14:textId="77777777" w:rsidR="004D0912" w:rsidRPr="00BE78CA" w:rsidRDefault="004D0912" w:rsidP="009B5D7E">
            <w:pPr>
              <w:pStyle w:val="TableText"/>
              <w:jc w:val="right"/>
            </w:pPr>
            <w:r w:rsidRPr="00BE78CA">
              <w:rPr>
                <w:rFonts w:eastAsia="Calibri"/>
                <w:color w:val="111111"/>
              </w:rPr>
              <w:t>716,330.65</w:t>
            </w:r>
          </w:p>
        </w:tc>
        <w:tc>
          <w:tcPr>
            <w:tcW w:w="0" w:type="auto"/>
            <w:tcBorders>
              <w:top w:val="single" w:sz="4" w:space="0" w:color="365F91"/>
              <w:bottom w:val="single" w:sz="4" w:space="0" w:color="365F91"/>
              <w:right w:val="single" w:sz="4" w:space="0" w:color="FFFFFF"/>
            </w:tcBorders>
            <w:shd w:val="clear" w:color="auto" w:fill="FFFFFF"/>
            <w:tcMar>
              <w:top w:w="0" w:type="dxa"/>
              <w:left w:w="85" w:type="dxa"/>
              <w:bottom w:w="0" w:type="dxa"/>
              <w:right w:w="57" w:type="dxa"/>
            </w:tcMar>
          </w:tcPr>
          <w:p w14:paraId="5168CEA5" w14:textId="77777777" w:rsidR="004D0912" w:rsidRPr="00BE78CA" w:rsidRDefault="004D0912" w:rsidP="009B5D7E">
            <w:pPr>
              <w:pStyle w:val="TableText"/>
              <w:jc w:val="right"/>
            </w:pPr>
            <w:r w:rsidRPr="00BE78CA">
              <w:rPr>
                <w:rFonts w:eastAsia="Calibri"/>
                <w:color w:val="111111"/>
              </w:rPr>
              <w:t>739,454.03</w:t>
            </w:r>
          </w:p>
        </w:tc>
      </w:tr>
      <w:tr w:rsidR="002C3833" w:rsidRPr="00BE78CA" w14:paraId="6E61E26C" w14:textId="77777777" w:rsidTr="00323F5C">
        <w:trPr>
          <w:cantSplit/>
        </w:trPr>
        <w:tc>
          <w:tcPr>
            <w:tcW w:w="579" w:type="pct"/>
            <w:tcBorders>
              <w:top w:val="single" w:sz="4" w:space="0" w:color="365F91"/>
              <w:bottom w:val="single" w:sz="4" w:space="0" w:color="365F91"/>
            </w:tcBorders>
            <w:shd w:val="clear" w:color="auto" w:fill="FFFFFF"/>
            <w:tcMar>
              <w:top w:w="0" w:type="dxa"/>
              <w:left w:w="85" w:type="dxa"/>
              <w:bottom w:w="0" w:type="dxa"/>
              <w:right w:w="57" w:type="dxa"/>
            </w:tcMar>
          </w:tcPr>
          <w:p w14:paraId="0B6FD366" w14:textId="77777777" w:rsidR="004D0912" w:rsidRPr="00BE78CA" w:rsidRDefault="004D0912" w:rsidP="00680FCA">
            <w:pPr>
              <w:pStyle w:val="TableText"/>
            </w:pPr>
            <w:r w:rsidRPr="00BE78CA">
              <w:rPr>
                <w:rFonts w:eastAsia="Calibri"/>
                <w:color w:val="111111"/>
              </w:rPr>
              <w:t>Area in calendar year (ha)</w:t>
            </w:r>
          </w:p>
        </w:tc>
        <w:tc>
          <w:tcPr>
            <w:tcW w:w="0" w:type="auto"/>
            <w:tcBorders>
              <w:top w:val="single" w:sz="4" w:space="0" w:color="365F91"/>
              <w:bottom w:val="single" w:sz="4" w:space="0" w:color="365F91"/>
            </w:tcBorders>
            <w:shd w:val="clear" w:color="auto" w:fill="FFFFFF"/>
            <w:tcMar>
              <w:top w:w="0" w:type="dxa"/>
              <w:left w:w="85" w:type="dxa"/>
              <w:bottom w:w="0" w:type="dxa"/>
              <w:right w:w="57" w:type="dxa"/>
            </w:tcMar>
          </w:tcPr>
          <w:p w14:paraId="5C0D9B49" w14:textId="77777777" w:rsidR="004D0912" w:rsidRPr="00BE78CA" w:rsidRDefault="004D0912" w:rsidP="009B5D7E">
            <w:pPr>
              <w:pStyle w:val="TableText"/>
              <w:jc w:val="right"/>
            </w:pPr>
            <w:r w:rsidRPr="00BE78CA">
              <w:rPr>
                <w:rFonts w:eastAsia="Calibri"/>
                <w:color w:val="111111"/>
              </w:rPr>
              <w:t>7,285.71</w:t>
            </w:r>
          </w:p>
        </w:tc>
        <w:tc>
          <w:tcPr>
            <w:tcW w:w="0" w:type="auto"/>
            <w:tcBorders>
              <w:top w:val="single" w:sz="4" w:space="0" w:color="365F91"/>
              <w:bottom w:val="single" w:sz="4" w:space="0" w:color="365F91"/>
            </w:tcBorders>
            <w:shd w:val="clear" w:color="auto" w:fill="FFFFFF"/>
            <w:tcMar>
              <w:top w:w="0" w:type="dxa"/>
              <w:left w:w="85" w:type="dxa"/>
              <w:bottom w:w="0" w:type="dxa"/>
              <w:right w:w="57" w:type="dxa"/>
            </w:tcMar>
          </w:tcPr>
          <w:p w14:paraId="110B384F" w14:textId="77777777" w:rsidR="004D0912" w:rsidRPr="00BE78CA" w:rsidRDefault="004D0912" w:rsidP="009B5D7E">
            <w:pPr>
              <w:pStyle w:val="TableText"/>
              <w:jc w:val="right"/>
            </w:pPr>
            <w:r w:rsidRPr="00BE78CA">
              <w:rPr>
                <w:rFonts w:eastAsia="Calibri"/>
                <w:color w:val="111111"/>
              </w:rPr>
              <w:t>5,937.06</w:t>
            </w:r>
          </w:p>
        </w:tc>
        <w:tc>
          <w:tcPr>
            <w:tcW w:w="0" w:type="auto"/>
            <w:tcBorders>
              <w:top w:val="single" w:sz="4" w:space="0" w:color="365F91"/>
              <w:bottom w:val="single" w:sz="4" w:space="0" w:color="365F91"/>
            </w:tcBorders>
            <w:shd w:val="clear" w:color="auto" w:fill="FFFFFF"/>
            <w:tcMar>
              <w:top w:w="0" w:type="dxa"/>
              <w:left w:w="85" w:type="dxa"/>
              <w:bottom w:w="0" w:type="dxa"/>
              <w:right w:w="57" w:type="dxa"/>
            </w:tcMar>
          </w:tcPr>
          <w:p w14:paraId="767BDAAE" w14:textId="77777777" w:rsidR="004D0912" w:rsidRPr="00BE78CA" w:rsidRDefault="004D0912" w:rsidP="009B5D7E">
            <w:pPr>
              <w:pStyle w:val="TableText"/>
              <w:jc w:val="right"/>
            </w:pPr>
            <w:r w:rsidRPr="00BE78CA">
              <w:rPr>
                <w:rFonts w:eastAsia="Calibri"/>
                <w:color w:val="111111"/>
              </w:rPr>
              <w:t>5,937.06</w:t>
            </w:r>
          </w:p>
        </w:tc>
        <w:tc>
          <w:tcPr>
            <w:tcW w:w="0" w:type="auto"/>
            <w:tcBorders>
              <w:top w:val="single" w:sz="4" w:space="0" w:color="365F91"/>
              <w:bottom w:val="single" w:sz="4" w:space="0" w:color="365F91"/>
            </w:tcBorders>
            <w:shd w:val="clear" w:color="auto" w:fill="FFFFFF"/>
            <w:tcMar>
              <w:top w:w="0" w:type="dxa"/>
              <w:left w:w="85" w:type="dxa"/>
              <w:bottom w:w="0" w:type="dxa"/>
              <w:right w:w="57" w:type="dxa"/>
            </w:tcMar>
          </w:tcPr>
          <w:p w14:paraId="088136F5" w14:textId="77777777" w:rsidR="004D0912" w:rsidRPr="00BE78CA" w:rsidRDefault="004D0912" w:rsidP="009B5D7E">
            <w:pPr>
              <w:pStyle w:val="TableText"/>
              <w:jc w:val="right"/>
            </w:pPr>
            <w:r w:rsidRPr="00BE78CA">
              <w:rPr>
                <w:rFonts w:eastAsia="Calibri"/>
                <w:color w:val="111111"/>
              </w:rPr>
              <w:t>5,784.37</w:t>
            </w:r>
          </w:p>
        </w:tc>
        <w:tc>
          <w:tcPr>
            <w:tcW w:w="0" w:type="auto"/>
            <w:tcBorders>
              <w:top w:val="single" w:sz="4" w:space="0" w:color="365F91"/>
              <w:bottom w:val="single" w:sz="4" w:space="0" w:color="365F91"/>
            </w:tcBorders>
            <w:shd w:val="clear" w:color="auto" w:fill="FFFFFF"/>
            <w:tcMar>
              <w:top w:w="0" w:type="dxa"/>
              <w:left w:w="85" w:type="dxa"/>
              <w:bottom w:w="0" w:type="dxa"/>
              <w:right w:w="57" w:type="dxa"/>
            </w:tcMar>
          </w:tcPr>
          <w:p w14:paraId="6025FE4A" w14:textId="77777777" w:rsidR="004D0912" w:rsidRPr="00BE78CA" w:rsidRDefault="004D0912" w:rsidP="009B5D7E">
            <w:pPr>
              <w:pStyle w:val="TableText"/>
              <w:jc w:val="right"/>
            </w:pPr>
            <w:r w:rsidRPr="00BE78CA">
              <w:rPr>
                <w:rFonts w:eastAsia="Calibri"/>
                <w:color w:val="111111"/>
              </w:rPr>
              <w:t>8,125.99</w:t>
            </w:r>
          </w:p>
        </w:tc>
        <w:tc>
          <w:tcPr>
            <w:tcW w:w="0" w:type="auto"/>
            <w:tcBorders>
              <w:top w:val="single" w:sz="4" w:space="0" w:color="365F91"/>
              <w:bottom w:val="single" w:sz="4" w:space="0" w:color="365F91"/>
            </w:tcBorders>
            <w:shd w:val="clear" w:color="auto" w:fill="FFFFFF"/>
            <w:tcMar>
              <w:top w:w="0" w:type="dxa"/>
              <w:left w:w="85" w:type="dxa"/>
              <w:bottom w:w="0" w:type="dxa"/>
              <w:right w:w="57" w:type="dxa"/>
            </w:tcMar>
          </w:tcPr>
          <w:p w14:paraId="2C9939F2" w14:textId="77777777" w:rsidR="004D0912" w:rsidRPr="00BE78CA" w:rsidRDefault="004D0912" w:rsidP="009B5D7E">
            <w:pPr>
              <w:pStyle w:val="TableText"/>
              <w:jc w:val="right"/>
            </w:pPr>
            <w:r w:rsidRPr="00BE78CA">
              <w:rPr>
                <w:rFonts w:eastAsia="Calibri"/>
                <w:color w:val="111111"/>
              </w:rPr>
              <w:t>8,322.81</w:t>
            </w:r>
          </w:p>
        </w:tc>
        <w:tc>
          <w:tcPr>
            <w:tcW w:w="0" w:type="auto"/>
            <w:tcBorders>
              <w:top w:val="single" w:sz="4" w:space="0" w:color="365F91"/>
              <w:bottom w:val="single" w:sz="4" w:space="0" w:color="365F91"/>
              <w:right w:val="single" w:sz="4" w:space="0" w:color="FFFFFF"/>
            </w:tcBorders>
            <w:shd w:val="clear" w:color="auto" w:fill="FFFFFF"/>
            <w:tcMar>
              <w:top w:w="0" w:type="dxa"/>
              <w:left w:w="85" w:type="dxa"/>
              <w:bottom w:w="0" w:type="dxa"/>
              <w:right w:w="57" w:type="dxa"/>
            </w:tcMar>
          </w:tcPr>
          <w:p w14:paraId="0D50C352" w14:textId="77777777" w:rsidR="004D0912" w:rsidRPr="00BE78CA" w:rsidRDefault="004D0912" w:rsidP="009B5D7E">
            <w:pPr>
              <w:pStyle w:val="TableText"/>
              <w:jc w:val="right"/>
            </w:pPr>
            <w:r w:rsidRPr="00BE78CA">
              <w:rPr>
                <w:rFonts w:eastAsia="Calibri"/>
                <w:color w:val="111111"/>
              </w:rPr>
              <w:t>24,067.37</w:t>
            </w:r>
          </w:p>
        </w:tc>
      </w:tr>
      <w:tr w:rsidR="002C3833" w:rsidRPr="00BE78CA" w14:paraId="6E1A2439" w14:textId="77777777" w:rsidTr="00323F5C">
        <w:trPr>
          <w:cantSplit/>
        </w:trPr>
        <w:tc>
          <w:tcPr>
            <w:tcW w:w="579" w:type="pct"/>
            <w:tcBorders>
              <w:top w:val="single" w:sz="4" w:space="0" w:color="365F91"/>
              <w:bottom w:val="single" w:sz="4" w:space="0" w:color="365F91"/>
            </w:tcBorders>
            <w:shd w:val="clear" w:color="auto" w:fill="FFFFFF"/>
            <w:tcMar>
              <w:top w:w="0" w:type="dxa"/>
              <w:left w:w="85" w:type="dxa"/>
              <w:bottom w:w="0" w:type="dxa"/>
              <w:right w:w="57" w:type="dxa"/>
            </w:tcMar>
          </w:tcPr>
          <w:p w14:paraId="3C384DEF" w14:textId="27141A86" w:rsidR="004D0912" w:rsidRPr="00BE78CA" w:rsidRDefault="004D0912" w:rsidP="00680FCA">
            <w:pPr>
              <w:pStyle w:val="TableText"/>
            </w:pPr>
            <w:r w:rsidRPr="00BE78CA">
              <w:rPr>
                <w:rFonts w:eastAsia="Calibri"/>
                <w:color w:val="111111"/>
              </w:rPr>
              <w:t>Net emissions in calendar year (kt CO</w:t>
            </w:r>
            <w:r w:rsidRPr="00BE78CA">
              <w:rPr>
                <w:rFonts w:eastAsia="Calibri"/>
                <w:color w:val="111111"/>
                <w:vertAlign w:val="subscript"/>
              </w:rPr>
              <w:t>2</w:t>
            </w:r>
            <w:r w:rsidR="002C3833" w:rsidRPr="00BE78CA">
              <w:rPr>
                <w:rFonts w:eastAsia="Calibri"/>
                <w:color w:val="111111"/>
              </w:rPr>
              <w:noBreakHyphen/>
            </w:r>
            <w:r w:rsidRPr="00BE78CA">
              <w:rPr>
                <w:rFonts w:eastAsia="Calibri"/>
                <w:color w:val="111111"/>
              </w:rPr>
              <w:t>e)</w:t>
            </w:r>
          </w:p>
        </w:tc>
        <w:tc>
          <w:tcPr>
            <w:tcW w:w="0" w:type="auto"/>
            <w:tcBorders>
              <w:top w:val="single" w:sz="4" w:space="0" w:color="365F91"/>
              <w:bottom w:val="single" w:sz="4" w:space="0" w:color="365F91"/>
            </w:tcBorders>
            <w:shd w:val="clear" w:color="auto" w:fill="FFFFFF"/>
            <w:tcMar>
              <w:top w:w="0" w:type="dxa"/>
              <w:left w:w="85" w:type="dxa"/>
              <w:bottom w:w="0" w:type="dxa"/>
              <w:right w:w="57" w:type="dxa"/>
            </w:tcMar>
          </w:tcPr>
          <w:p w14:paraId="571297AC" w14:textId="77777777" w:rsidR="004D0912" w:rsidRPr="00BE78CA" w:rsidRDefault="004D0912" w:rsidP="009B5D7E">
            <w:pPr>
              <w:pStyle w:val="TableText"/>
              <w:jc w:val="right"/>
            </w:pPr>
            <w:r w:rsidRPr="00BE78CA">
              <w:rPr>
                <w:rFonts w:eastAsia="Calibri"/>
                <w:color w:val="111111"/>
              </w:rPr>
              <w:t>–17,929.84</w:t>
            </w:r>
          </w:p>
        </w:tc>
        <w:tc>
          <w:tcPr>
            <w:tcW w:w="0" w:type="auto"/>
            <w:tcBorders>
              <w:top w:val="single" w:sz="4" w:space="0" w:color="365F91"/>
              <w:bottom w:val="single" w:sz="4" w:space="0" w:color="365F91"/>
            </w:tcBorders>
            <w:shd w:val="clear" w:color="auto" w:fill="FFFFFF"/>
            <w:tcMar>
              <w:top w:w="0" w:type="dxa"/>
              <w:left w:w="85" w:type="dxa"/>
              <w:bottom w:w="0" w:type="dxa"/>
              <w:right w:w="57" w:type="dxa"/>
            </w:tcMar>
          </w:tcPr>
          <w:p w14:paraId="7F51971E" w14:textId="77777777" w:rsidR="004D0912" w:rsidRPr="00BE78CA" w:rsidRDefault="004D0912" w:rsidP="009B5D7E">
            <w:pPr>
              <w:pStyle w:val="TableText"/>
              <w:jc w:val="right"/>
            </w:pPr>
            <w:r w:rsidRPr="00BE78CA">
              <w:rPr>
                <w:rFonts w:eastAsia="Calibri"/>
                <w:color w:val="111111"/>
              </w:rPr>
              <w:t>–18,154.06</w:t>
            </w:r>
          </w:p>
        </w:tc>
        <w:tc>
          <w:tcPr>
            <w:tcW w:w="0" w:type="auto"/>
            <w:tcBorders>
              <w:top w:val="single" w:sz="4" w:space="0" w:color="365F91"/>
              <w:bottom w:val="single" w:sz="4" w:space="0" w:color="365F91"/>
            </w:tcBorders>
            <w:shd w:val="clear" w:color="auto" w:fill="FFFFFF"/>
            <w:tcMar>
              <w:top w:w="0" w:type="dxa"/>
              <w:left w:w="85" w:type="dxa"/>
              <w:bottom w:w="0" w:type="dxa"/>
              <w:right w:w="57" w:type="dxa"/>
            </w:tcMar>
          </w:tcPr>
          <w:p w14:paraId="781F60D7" w14:textId="77777777" w:rsidR="004D0912" w:rsidRPr="00BE78CA" w:rsidRDefault="004D0912" w:rsidP="009B5D7E">
            <w:pPr>
              <w:pStyle w:val="TableText"/>
              <w:jc w:val="right"/>
            </w:pPr>
            <w:r w:rsidRPr="00BE78CA">
              <w:rPr>
                <w:rFonts w:eastAsia="Calibri"/>
                <w:color w:val="111111"/>
              </w:rPr>
              <w:t>–18,346.87</w:t>
            </w:r>
          </w:p>
        </w:tc>
        <w:tc>
          <w:tcPr>
            <w:tcW w:w="0" w:type="auto"/>
            <w:tcBorders>
              <w:top w:val="single" w:sz="4" w:space="0" w:color="365F91"/>
              <w:bottom w:val="single" w:sz="4" w:space="0" w:color="365F91"/>
            </w:tcBorders>
            <w:shd w:val="clear" w:color="auto" w:fill="FFFFFF"/>
            <w:tcMar>
              <w:top w:w="0" w:type="dxa"/>
              <w:left w:w="85" w:type="dxa"/>
              <w:bottom w:w="0" w:type="dxa"/>
              <w:right w:w="57" w:type="dxa"/>
            </w:tcMar>
          </w:tcPr>
          <w:p w14:paraId="66D31D8D" w14:textId="77777777" w:rsidR="004D0912" w:rsidRPr="00BE78CA" w:rsidRDefault="004D0912" w:rsidP="009B5D7E">
            <w:pPr>
              <w:pStyle w:val="TableText"/>
              <w:jc w:val="right"/>
            </w:pPr>
            <w:r w:rsidRPr="00BE78CA">
              <w:rPr>
                <w:rFonts w:eastAsia="Calibri"/>
                <w:color w:val="111111"/>
              </w:rPr>
              <w:t>–17,976.49</w:t>
            </w:r>
          </w:p>
        </w:tc>
        <w:tc>
          <w:tcPr>
            <w:tcW w:w="0" w:type="auto"/>
            <w:tcBorders>
              <w:top w:val="single" w:sz="4" w:space="0" w:color="365F91"/>
              <w:bottom w:val="single" w:sz="4" w:space="0" w:color="365F91"/>
            </w:tcBorders>
            <w:shd w:val="clear" w:color="auto" w:fill="FFFFFF"/>
            <w:tcMar>
              <w:top w:w="0" w:type="dxa"/>
              <w:left w:w="85" w:type="dxa"/>
              <w:bottom w:w="0" w:type="dxa"/>
              <w:right w:w="57" w:type="dxa"/>
            </w:tcMar>
          </w:tcPr>
          <w:p w14:paraId="4C219765" w14:textId="77777777" w:rsidR="004D0912" w:rsidRPr="00BE78CA" w:rsidRDefault="004D0912" w:rsidP="009B5D7E">
            <w:pPr>
              <w:pStyle w:val="TableText"/>
              <w:jc w:val="right"/>
            </w:pPr>
            <w:r w:rsidRPr="00BE78CA">
              <w:rPr>
                <w:rFonts w:eastAsia="Calibri"/>
                <w:color w:val="111111"/>
              </w:rPr>
              <w:t>–18,130.50</w:t>
            </w:r>
          </w:p>
        </w:tc>
        <w:tc>
          <w:tcPr>
            <w:tcW w:w="0" w:type="auto"/>
            <w:tcBorders>
              <w:top w:val="single" w:sz="4" w:space="0" w:color="365F91"/>
              <w:bottom w:val="single" w:sz="4" w:space="0" w:color="365F91"/>
            </w:tcBorders>
            <w:shd w:val="clear" w:color="auto" w:fill="FFFFFF"/>
            <w:tcMar>
              <w:top w:w="0" w:type="dxa"/>
              <w:left w:w="85" w:type="dxa"/>
              <w:bottom w:w="0" w:type="dxa"/>
              <w:right w:w="57" w:type="dxa"/>
            </w:tcMar>
          </w:tcPr>
          <w:p w14:paraId="3FB9CA1E" w14:textId="77777777" w:rsidR="004D0912" w:rsidRPr="00BE78CA" w:rsidRDefault="004D0912" w:rsidP="009B5D7E">
            <w:pPr>
              <w:pStyle w:val="TableText"/>
              <w:jc w:val="right"/>
            </w:pPr>
            <w:r w:rsidRPr="00BE78CA">
              <w:rPr>
                <w:rFonts w:eastAsia="Calibri"/>
                <w:color w:val="111111"/>
              </w:rPr>
              <w:t>–17,197.56</w:t>
            </w:r>
          </w:p>
        </w:tc>
        <w:tc>
          <w:tcPr>
            <w:tcW w:w="0" w:type="auto"/>
            <w:tcBorders>
              <w:top w:val="single" w:sz="4" w:space="0" w:color="365F91"/>
              <w:bottom w:val="single" w:sz="4" w:space="0" w:color="365F91"/>
              <w:right w:val="single" w:sz="4" w:space="0" w:color="FFFFFF"/>
            </w:tcBorders>
            <w:shd w:val="clear" w:color="auto" w:fill="FFFFFF"/>
            <w:tcMar>
              <w:top w:w="0" w:type="dxa"/>
              <w:left w:w="85" w:type="dxa"/>
              <w:bottom w:w="0" w:type="dxa"/>
              <w:right w:w="57" w:type="dxa"/>
            </w:tcMar>
          </w:tcPr>
          <w:p w14:paraId="558BC53A" w14:textId="77777777" w:rsidR="004D0912" w:rsidRPr="00BE78CA" w:rsidRDefault="004D0912" w:rsidP="009B5D7E">
            <w:pPr>
              <w:pStyle w:val="TableText"/>
              <w:jc w:val="right"/>
            </w:pPr>
            <w:r w:rsidRPr="00BE78CA">
              <w:rPr>
                <w:rFonts w:eastAsia="Calibri"/>
                <w:color w:val="111111"/>
              </w:rPr>
              <w:t>–15,812.07</w:t>
            </w:r>
          </w:p>
        </w:tc>
      </w:tr>
      <w:tr w:rsidR="004D0912" w:rsidRPr="00BE78CA" w14:paraId="3F4E65C1" w14:textId="77777777" w:rsidTr="00323F5C">
        <w:trPr>
          <w:cantSplit/>
        </w:trPr>
        <w:tc>
          <w:tcPr>
            <w:tcW w:w="5000" w:type="pct"/>
            <w:gridSpan w:val="8"/>
            <w:tcBorders>
              <w:top w:val="single" w:sz="4" w:space="0" w:color="365F91"/>
              <w:bottom w:val="single" w:sz="4" w:space="0" w:color="365F91"/>
            </w:tcBorders>
            <w:shd w:val="clear" w:color="auto" w:fill="FFFFFF"/>
            <w:tcMar>
              <w:top w:w="0" w:type="dxa"/>
              <w:left w:w="85" w:type="dxa"/>
              <w:bottom w:w="0" w:type="dxa"/>
              <w:right w:w="57" w:type="dxa"/>
            </w:tcMar>
          </w:tcPr>
          <w:p w14:paraId="7BEC9CF5" w14:textId="77777777" w:rsidR="004D0912" w:rsidRPr="00BE78CA" w:rsidRDefault="004D0912" w:rsidP="00680FCA">
            <w:pPr>
              <w:pStyle w:val="TableText"/>
            </w:pPr>
            <w:r w:rsidRPr="00BE78CA">
              <w:rPr>
                <w:rFonts w:eastAsia="Calibri"/>
                <w:color w:val="111111"/>
              </w:rPr>
              <w:t>Deforestation</w:t>
            </w:r>
          </w:p>
        </w:tc>
      </w:tr>
      <w:tr w:rsidR="002C3833" w:rsidRPr="00BE78CA" w14:paraId="0325DA21" w14:textId="77777777" w:rsidTr="00323F5C">
        <w:trPr>
          <w:cantSplit/>
        </w:trPr>
        <w:tc>
          <w:tcPr>
            <w:tcW w:w="579" w:type="pct"/>
            <w:tcBorders>
              <w:top w:val="single" w:sz="4" w:space="0" w:color="365F91"/>
              <w:bottom w:val="single" w:sz="4" w:space="0" w:color="365F91"/>
            </w:tcBorders>
            <w:shd w:val="clear" w:color="auto" w:fill="FFFFFF"/>
            <w:tcMar>
              <w:top w:w="0" w:type="dxa"/>
              <w:left w:w="85" w:type="dxa"/>
              <w:bottom w:w="0" w:type="dxa"/>
              <w:right w:w="57" w:type="dxa"/>
            </w:tcMar>
          </w:tcPr>
          <w:p w14:paraId="3DA2759B" w14:textId="77777777" w:rsidR="004D0912" w:rsidRPr="00BE78CA" w:rsidRDefault="004D0912" w:rsidP="00680FCA">
            <w:pPr>
              <w:pStyle w:val="TableText"/>
            </w:pPr>
            <w:r w:rsidRPr="00BE78CA">
              <w:rPr>
                <w:rFonts w:eastAsia="Calibri"/>
                <w:color w:val="111111"/>
              </w:rPr>
              <w:t>Net cumulative area since 1990 (ha)</w:t>
            </w:r>
          </w:p>
        </w:tc>
        <w:tc>
          <w:tcPr>
            <w:tcW w:w="0" w:type="auto"/>
            <w:tcBorders>
              <w:top w:val="single" w:sz="4" w:space="0" w:color="365F91"/>
              <w:bottom w:val="single" w:sz="4" w:space="0" w:color="365F91"/>
            </w:tcBorders>
            <w:shd w:val="clear" w:color="auto" w:fill="FFFFFF"/>
            <w:tcMar>
              <w:top w:w="0" w:type="dxa"/>
              <w:left w:w="85" w:type="dxa"/>
              <w:bottom w:w="0" w:type="dxa"/>
              <w:right w:w="57" w:type="dxa"/>
            </w:tcMar>
          </w:tcPr>
          <w:p w14:paraId="1C8682A5" w14:textId="77777777" w:rsidR="004D0912" w:rsidRPr="00BE78CA" w:rsidRDefault="004D0912" w:rsidP="009B5D7E">
            <w:pPr>
              <w:pStyle w:val="TableText"/>
              <w:jc w:val="right"/>
            </w:pPr>
            <w:r w:rsidRPr="00BE78CA">
              <w:rPr>
                <w:rFonts w:eastAsia="Calibri"/>
                <w:color w:val="111111"/>
              </w:rPr>
              <w:t>172,304.05</w:t>
            </w:r>
          </w:p>
        </w:tc>
        <w:tc>
          <w:tcPr>
            <w:tcW w:w="0" w:type="auto"/>
            <w:tcBorders>
              <w:top w:val="single" w:sz="4" w:space="0" w:color="365F91"/>
              <w:bottom w:val="single" w:sz="4" w:space="0" w:color="365F91"/>
            </w:tcBorders>
            <w:shd w:val="clear" w:color="auto" w:fill="FFFFFF"/>
            <w:tcMar>
              <w:top w:w="0" w:type="dxa"/>
              <w:left w:w="85" w:type="dxa"/>
              <w:bottom w:w="0" w:type="dxa"/>
              <w:right w:w="57" w:type="dxa"/>
            </w:tcMar>
          </w:tcPr>
          <w:p w14:paraId="6F4EA46B" w14:textId="77777777" w:rsidR="004D0912" w:rsidRPr="00BE78CA" w:rsidRDefault="004D0912" w:rsidP="009B5D7E">
            <w:pPr>
              <w:pStyle w:val="TableText"/>
              <w:jc w:val="right"/>
            </w:pPr>
            <w:r w:rsidRPr="00BE78CA">
              <w:rPr>
                <w:rFonts w:eastAsia="Calibri"/>
                <w:color w:val="111111"/>
              </w:rPr>
              <w:t>180,996.32</w:t>
            </w:r>
          </w:p>
        </w:tc>
        <w:tc>
          <w:tcPr>
            <w:tcW w:w="0" w:type="auto"/>
            <w:tcBorders>
              <w:top w:val="single" w:sz="4" w:space="0" w:color="365F91"/>
              <w:bottom w:val="single" w:sz="4" w:space="0" w:color="365F91"/>
            </w:tcBorders>
            <w:shd w:val="clear" w:color="auto" w:fill="FFFFFF"/>
            <w:tcMar>
              <w:top w:w="0" w:type="dxa"/>
              <w:left w:w="85" w:type="dxa"/>
              <w:bottom w:w="0" w:type="dxa"/>
              <w:right w:w="57" w:type="dxa"/>
            </w:tcMar>
          </w:tcPr>
          <w:p w14:paraId="37068AB8" w14:textId="77777777" w:rsidR="004D0912" w:rsidRPr="00BE78CA" w:rsidRDefault="004D0912" w:rsidP="009B5D7E">
            <w:pPr>
              <w:pStyle w:val="TableText"/>
              <w:jc w:val="right"/>
            </w:pPr>
            <w:r w:rsidRPr="00BE78CA">
              <w:rPr>
                <w:rFonts w:eastAsia="Calibri"/>
                <w:color w:val="111111"/>
              </w:rPr>
              <w:t>186,989.61</w:t>
            </w:r>
          </w:p>
        </w:tc>
        <w:tc>
          <w:tcPr>
            <w:tcW w:w="0" w:type="auto"/>
            <w:tcBorders>
              <w:top w:val="single" w:sz="4" w:space="0" w:color="365F91"/>
              <w:bottom w:val="single" w:sz="4" w:space="0" w:color="365F91"/>
            </w:tcBorders>
            <w:shd w:val="clear" w:color="auto" w:fill="FFFFFF"/>
            <w:tcMar>
              <w:top w:w="0" w:type="dxa"/>
              <w:left w:w="85" w:type="dxa"/>
              <w:bottom w:w="0" w:type="dxa"/>
              <w:right w:w="57" w:type="dxa"/>
            </w:tcMar>
          </w:tcPr>
          <w:p w14:paraId="11047369" w14:textId="77777777" w:rsidR="004D0912" w:rsidRPr="00BE78CA" w:rsidRDefault="004D0912" w:rsidP="009B5D7E">
            <w:pPr>
              <w:pStyle w:val="TableText"/>
              <w:jc w:val="right"/>
            </w:pPr>
            <w:r w:rsidRPr="00BE78CA">
              <w:rPr>
                <w:rFonts w:eastAsia="Calibri"/>
                <w:color w:val="111111"/>
              </w:rPr>
              <w:t>190,524.39</w:t>
            </w:r>
          </w:p>
        </w:tc>
        <w:tc>
          <w:tcPr>
            <w:tcW w:w="0" w:type="auto"/>
            <w:tcBorders>
              <w:top w:val="single" w:sz="4" w:space="0" w:color="365F91"/>
              <w:bottom w:val="single" w:sz="4" w:space="0" w:color="365F91"/>
            </w:tcBorders>
            <w:shd w:val="clear" w:color="auto" w:fill="FFFFFF"/>
            <w:tcMar>
              <w:top w:w="0" w:type="dxa"/>
              <w:left w:w="85" w:type="dxa"/>
              <w:bottom w:w="0" w:type="dxa"/>
              <w:right w:w="57" w:type="dxa"/>
            </w:tcMar>
          </w:tcPr>
          <w:p w14:paraId="72CC5051" w14:textId="77777777" w:rsidR="004D0912" w:rsidRPr="00BE78CA" w:rsidRDefault="004D0912" w:rsidP="009B5D7E">
            <w:pPr>
              <w:pStyle w:val="TableText"/>
              <w:jc w:val="right"/>
            </w:pPr>
            <w:r w:rsidRPr="00BE78CA">
              <w:rPr>
                <w:rFonts w:eastAsia="Calibri"/>
                <w:color w:val="111111"/>
              </w:rPr>
              <w:t>194,044.82</w:t>
            </w:r>
          </w:p>
        </w:tc>
        <w:tc>
          <w:tcPr>
            <w:tcW w:w="0" w:type="auto"/>
            <w:tcBorders>
              <w:top w:val="single" w:sz="4" w:space="0" w:color="365F91"/>
              <w:bottom w:val="single" w:sz="4" w:space="0" w:color="365F91"/>
            </w:tcBorders>
            <w:shd w:val="clear" w:color="auto" w:fill="FFFFFF"/>
            <w:tcMar>
              <w:top w:w="0" w:type="dxa"/>
              <w:left w:w="85" w:type="dxa"/>
              <w:bottom w:w="0" w:type="dxa"/>
              <w:right w:w="57" w:type="dxa"/>
            </w:tcMar>
          </w:tcPr>
          <w:p w14:paraId="23323714" w14:textId="77777777" w:rsidR="004D0912" w:rsidRPr="00BE78CA" w:rsidRDefault="004D0912" w:rsidP="009B5D7E">
            <w:pPr>
              <w:pStyle w:val="TableText"/>
              <w:jc w:val="right"/>
            </w:pPr>
            <w:r w:rsidRPr="00BE78CA">
              <w:rPr>
                <w:rFonts w:eastAsia="Calibri"/>
                <w:color w:val="111111"/>
              </w:rPr>
              <w:t>197,896.23</w:t>
            </w:r>
          </w:p>
        </w:tc>
        <w:tc>
          <w:tcPr>
            <w:tcW w:w="0" w:type="auto"/>
            <w:tcBorders>
              <w:top w:val="single" w:sz="4" w:space="0" w:color="365F91"/>
              <w:bottom w:val="single" w:sz="4" w:space="0" w:color="365F91"/>
              <w:right w:val="single" w:sz="4" w:space="0" w:color="FFFFFF"/>
            </w:tcBorders>
            <w:shd w:val="clear" w:color="auto" w:fill="FFFFFF"/>
            <w:tcMar>
              <w:top w:w="0" w:type="dxa"/>
              <w:left w:w="85" w:type="dxa"/>
              <w:bottom w:w="0" w:type="dxa"/>
              <w:right w:w="57" w:type="dxa"/>
            </w:tcMar>
          </w:tcPr>
          <w:p w14:paraId="5877B349" w14:textId="77777777" w:rsidR="004D0912" w:rsidRPr="00BE78CA" w:rsidRDefault="004D0912" w:rsidP="009B5D7E">
            <w:pPr>
              <w:pStyle w:val="TableText"/>
              <w:jc w:val="right"/>
            </w:pPr>
            <w:r w:rsidRPr="00BE78CA">
              <w:rPr>
                <w:rFonts w:eastAsia="Calibri"/>
                <w:color w:val="111111"/>
              </w:rPr>
              <w:t>202,641.37</w:t>
            </w:r>
          </w:p>
        </w:tc>
      </w:tr>
      <w:tr w:rsidR="002C3833" w:rsidRPr="00BE78CA" w14:paraId="2FCD71DD" w14:textId="77777777" w:rsidTr="00323F5C">
        <w:trPr>
          <w:cantSplit/>
        </w:trPr>
        <w:tc>
          <w:tcPr>
            <w:tcW w:w="579" w:type="pct"/>
            <w:tcBorders>
              <w:top w:val="single" w:sz="4" w:space="0" w:color="365F91"/>
              <w:bottom w:val="single" w:sz="4" w:space="0" w:color="365F91"/>
            </w:tcBorders>
            <w:shd w:val="clear" w:color="auto" w:fill="FFFFFF"/>
            <w:tcMar>
              <w:top w:w="0" w:type="dxa"/>
              <w:left w:w="85" w:type="dxa"/>
              <w:bottom w:w="0" w:type="dxa"/>
              <w:right w:w="57" w:type="dxa"/>
            </w:tcMar>
          </w:tcPr>
          <w:p w14:paraId="5E2DD8F6" w14:textId="77777777" w:rsidR="004D0912" w:rsidRPr="00BE78CA" w:rsidRDefault="004D0912" w:rsidP="00680FCA">
            <w:pPr>
              <w:pStyle w:val="TableText"/>
            </w:pPr>
            <w:r w:rsidRPr="00BE78CA">
              <w:rPr>
                <w:rFonts w:eastAsia="Calibri"/>
                <w:color w:val="111111"/>
              </w:rPr>
              <w:t>Area in calendar year (ha)</w:t>
            </w:r>
          </w:p>
        </w:tc>
        <w:tc>
          <w:tcPr>
            <w:tcW w:w="0" w:type="auto"/>
            <w:tcBorders>
              <w:top w:val="single" w:sz="4" w:space="0" w:color="365F91"/>
              <w:bottom w:val="single" w:sz="4" w:space="0" w:color="365F91"/>
            </w:tcBorders>
            <w:shd w:val="clear" w:color="auto" w:fill="FFFFFF"/>
            <w:tcMar>
              <w:top w:w="0" w:type="dxa"/>
              <w:left w:w="85" w:type="dxa"/>
              <w:bottom w:w="0" w:type="dxa"/>
              <w:right w:w="57" w:type="dxa"/>
            </w:tcMar>
          </w:tcPr>
          <w:p w14:paraId="1FE93F52" w14:textId="77777777" w:rsidR="004D0912" w:rsidRPr="00BE78CA" w:rsidRDefault="004D0912" w:rsidP="009B5D7E">
            <w:pPr>
              <w:pStyle w:val="TableText"/>
              <w:jc w:val="right"/>
            </w:pPr>
            <w:r w:rsidRPr="00BE78CA">
              <w:rPr>
                <w:rFonts w:eastAsia="Calibri"/>
                <w:color w:val="111111"/>
              </w:rPr>
              <w:t>13,865.63</w:t>
            </w:r>
          </w:p>
        </w:tc>
        <w:tc>
          <w:tcPr>
            <w:tcW w:w="0" w:type="auto"/>
            <w:tcBorders>
              <w:top w:val="single" w:sz="4" w:space="0" w:color="365F91"/>
              <w:bottom w:val="single" w:sz="4" w:space="0" w:color="365F91"/>
            </w:tcBorders>
            <w:shd w:val="clear" w:color="auto" w:fill="FFFFFF"/>
            <w:tcMar>
              <w:top w:w="0" w:type="dxa"/>
              <w:left w:w="85" w:type="dxa"/>
              <w:bottom w:w="0" w:type="dxa"/>
              <w:right w:w="57" w:type="dxa"/>
            </w:tcMar>
          </w:tcPr>
          <w:p w14:paraId="522EF11F" w14:textId="77777777" w:rsidR="004D0912" w:rsidRPr="00BE78CA" w:rsidRDefault="004D0912" w:rsidP="009B5D7E">
            <w:pPr>
              <w:pStyle w:val="TableText"/>
              <w:jc w:val="right"/>
            </w:pPr>
            <w:r w:rsidRPr="00BE78CA">
              <w:rPr>
                <w:rFonts w:eastAsia="Calibri"/>
                <w:color w:val="111111"/>
              </w:rPr>
              <w:t>8,692.27</w:t>
            </w:r>
          </w:p>
        </w:tc>
        <w:tc>
          <w:tcPr>
            <w:tcW w:w="0" w:type="auto"/>
            <w:tcBorders>
              <w:top w:val="single" w:sz="4" w:space="0" w:color="365F91"/>
              <w:bottom w:val="single" w:sz="4" w:space="0" w:color="365F91"/>
            </w:tcBorders>
            <w:shd w:val="clear" w:color="auto" w:fill="FFFFFF"/>
            <w:tcMar>
              <w:top w:w="0" w:type="dxa"/>
              <w:left w:w="85" w:type="dxa"/>
              <w:bottom w:w="0" w:type="dxa"/>
              <w:right w:w="57" w:type="dxa"/>
            </w:tcMar>
          </w:tcPr>
          <w:p w14:paraId="6DE52546" w14:textId="77777777" w:rsidR="004D0912" w:rsidRPr="00BE78CA" w:rsidRDefault="004D0912" w:rsidP="009B5D7E">
            <w:pPr>
              <w:pStyle w:val="TableText"/>
              <w:jc w:val="right"/>
            </w:pPr>
            <w:r w:rsidRPr="00BE78CA">
              <w:rPr>
                <w:rFonts w:eastAsia="Calibri"/>
                <w:color w:val="111111"/>
              </w:rPr>
              <w:t>5,993.29</w:t>
            </w:r>
          </w:p>
        </w:tc>
        <w:tc>
          <w:tcPr>
            <w:tcW w:w="0" w:type="auto"/>
            <w:tcBorders>
              <w:top w:val="single" w:sz="4" w:space="0" w:color="365F91"/>
              <w:bottom w:val="single" w:sz="4" w:space="0" w:color="365F91"/>
            </w:tcBorders>
            <w:shd w:val="clear" w:color="auto" w:fill="FFFFFF"/>
            <w:tcMar>
              <w:top w:w="0" w:type="dxa"/>
              <w:left w:w="85" w:type="dxa"/>
              <w:bottom w:w="0" w:type="dxa"/>
              <w:right w:w="57" w:type="dxa"/>
            </w:tcMar>
          </w:tcPr>
          <w:p w14:paraId="0AD3E7AB" w14:textId="77777777" w:rsidR="004D0912" w:rsidRPr="00BE78CA" w:rsidRDefault="004D0912" w:rsidP="009B5D7E">
            <w:pPr>
              <w:pStyle w:val="TableText"/>
              <w:jc w:val="right"/>
            </w:pPr>
            <w:r w:rsidRPr="00BE78CA">
              <w:rPr>
                <w:rFonts w:eastAsia="Calibri"/>
                <w:color w:val="111111"/>
              </w:rPr>
              <w:t>3,534.78</w:t>
            </w:r>
          </w:p>
        </w:tc>
        <w:tc>
          <w:tcPr>
            <w:tcW w:w="0" w:type="auto"/>
            <w:tcBorders>
              <w:top w:val="single" w:sz="4" w:space="0" w:color="365F91"/>
              <w:bottom w:val="single" w:sz="4" w:space="0" w:color="365F91"/>
            </w:tcBorders>
            <w:shd w:val="clear" w:color="auto" w:fill="FFFFFF"/>
            <w:tcMar>
              <w:top w:w="0" w:type="dxa"/>
              <w:left w:w="85" w:type="dxa"/>
              <w:bottom w:w="0" w:type="dxa"/>
              <w:right w:w="57" w:type="dxa"/>
            </w:tcMar>
          </w:tcPr>
          <w:p w14:paraId="7E6B3AB2" w14:textId="77777777" w:rsidR="004D0912" w:rsidRPr="00BE78CA" w:rsidRDefault="004D0912" w:rsidP="009B5D7E">
            <w:pPr>
              <w:pStyle w:val="TableText"/>
              <w:jc w:val="right"/>
            </w:pPr>
            <w:r w:rsidRPr="00BE78CA">
              <w:rPr>
                <w:rFonts w:eastAsia="Calibri"/>
                <w:color w:val="111111"/>
              </w:rPr>
              <w:t>3,520.44</w:t>
            </w:r>
          </w:p>
        </w:tc>
        <w:tc>
          <w:tcPr>
            <w:tcW w:w="0" w:type="auto"/>
            <w:tcBorders>
              <w:top w:val="single" w:sz="4" w:space="0" w:color="365F91"/>
              <w:bottom w:val="single" w:sz="4" w:space="0" w:color="365F91"/>
            </w:tcBorders>
            <w:shd w:val="clear" w:color="auto" w:fill="FFFFFF"/>
            <w:tcMar>
              <w:top w:w="0" w:type="dxa"/>
              <w:left w:w="85" w:type="dxa"/>
              <w:bottom w:w="0" w:type="dxa"/>
              <w:right w:w="57" w:type="dxa"/>
            </w:tcMar>
          </w:tcPr>
          <w:p w14:paraId="72B7CBFA" w14:textId="77777777" w:rsidR="004D0912" w:rsidRPr="00BE78CA" w:rsidRDefault="004D0912" w:rsidP="009B5D7E">
            <w:pPr>
              <w:pStyle w:val="TableText"/>
              <w:jc w:val="right"/>
            </w:pPr>
            <w:r w:rsidRPr="00BE78CA">
              <w:rPr>
                <w:rFonts w:eastAsia="Calibri"/>
                <w:color w:val="111111"/>
              </w:rPr>
              <w:t>3,851.41</w:t>
            </w:r>
          </w:p>
        </w:tc>
        <w:tc>
          <w:tcPr>
            <w:tcW w:w="0" w:type="auto"/>
            <w:tcBorders>
              <w:top w:val="single" w:sz="4" w:space="0" w:color="365F91"/>
              <w:bottom w:val="single" w:sz="4" w:space="0" w:color="365F91"/>
              <w:right w:val="single" w:sz="4" w:space="0" w:color="FFFFFF"/>
            </w:tcBorders>
            <w:shd w:val="clear" w:color="auto" w:fill="FFFFFF"/>
            <w:tcMar>
              <w:top w:w="0" w:type="dxa"/>
              <w:left w:w="85" w:type="dxa"/>
              <w:bottom w:w="0" w:type="dxa"/>
              <w:right w:w="57" w:type="dxa"/>
            </w:tcMar>
          </w:tcPr>
          <w:p w14:paraId="101925D7" w14:textId="77777777" w:rsidR="004D0912" w:rsidRPr="00BE78CA" w:rsidRDefault="004D0912" w:rsidP="009B5D7E">
            <w:pPr>
              <w:pStyle w:val="TableText"/>
              <w:jc w:val="right"/>
            </w:pPr>
            <w:r w:rsidRPr="00BE78CA">
              <w:rPr>
                <w:rFonts w:eastAsia="Calibri"/>
                <w:color w:val="111111"/>
              </w:rPr>
              <w:t>4,745.14</w:t>
            </w:r>
          </w:p>
        </w:tc>
      </w:tr>
      <w:tr w:rsidR="002C3833" w:rsidRPr="00BE78CA" w14:paraId="400252B2" w14:textId="77777777" w:rsidTr="00323F5C">
        <w:trPr>
          <w:cantSplit/>
        </w:trPr>
        <w:tc>
          <w:tcPr>
            <w:tcW w:w="579" w:type="pct"/>
            <w:tcBorders>
              <w:top w:val="single" w:sz="4" w:space="0" w:color="365F91"/>
              <w:bottom w:val="single" w:sz="4" w:space="0" w:color="365F91"/>
            </w:tcBorders>
            <w:shd w:val="clear" w:color="auto" w:fill="FFFFFF"/>
            <w:tcMar>
              <w:top w:w="0" w:type="dxa"/>
              <w:left w:w="85" w:type="dxa"/>
              <w:bottom w:w="0" w:type="dxa"/>
              <w:right w:w="57" w:type="dxa"/>
            </w:tcMar>
          </w:tcPr>
          <w:p w14:paraId="7795ED12" w14:textId="797EEBB1" w:rsidR="004D0912" w:rsidRPr="00BE78CA" w:rsidRDefault="004D0912" w:rsidP="00680FCA">
            <w:pPr>
              <w:pStyle w:val="TableText"/>
            </w:pPr>
            <w:r w:rsidRPr="00BE78CA">
              <w:rPr>
                <w:rFonts w:eastAsia="Calibri"/>
                <w:color w:val="111111"/>
              </w:rPr>
              <w:t>Net emissions in calendar year (kt</w:t>
            </w:r>
            <w:r w:rsidR="00A961BD" w:rsidRPr="00BE78CA">
              <w:rPr>
                <w:rFonts w:eastAsia="Calibri"/>
                <w:color w:val="111111"/>
              </w:rPr>
              <w:t> </w:t>
            </w:r>
            <w:r w:rsidRPr="00BE78CA">
              <w:rPr>
                <w:rFonts w:eastAsia="Calibri"/>
                <w:color w:val="111111"/>
              </w:rPr>
              <w:t>CO</w:t>
            </w:r>
            <w:r w:rsidRPr="00BE78CA">
              <w:rPr>
                <w:rFonts w:eastAsia="Calibri"/>
                <w:color w:val="111111"/>
                <w:vertAlign w:val="subscript"/>
              </w:rPr>
              <w:t>2</w:t>
            </w:r>
            <w:r w:rsidR="00CE5D98" w:rsidRPr="00BE78CA">
              <w:rPr>
                <w:rFonts w:eastAsia="Calibri"/>
                <w:color w:val="111111"/>
              </w:rPr>
              <w:noBreakHyphen/>
            </w:r>
            <w:r w:rsidRPr="00BE78CA">
              <w:rPr>
                <w:rFonts w:eastAsia="Calibri"/>
                <w:color w:val="111111"/>
              </w:rPr>
              <w:t>e)</w:t>
            </w:r>
          </w:p>
        </w:tc>
        <w:tc>
          <w:tcPr>
            <w:tcW w:w="0" w:type="auto"/>
            <w:tcBorders>
              <w:top w:val="single" w:sz="4" w:space="0" w:color="365F91"/>
              <w:bottom w:val="single" w:sz="4" w:space="0" w:color="365F91"/>
            </w:tcBorders>
            <w:shd w:val="clear" w:color="auto" w:fill="FFFFFF"/>
            <w:tcMar>
              <w:top w:w="0" w:type="dxa"/>
              <w:left w:w="85" w:type="dxa"/>
              <w:bottom w:w="0" w:type="dxa"/>
              <w:right w:w="57" w:type="dxa"/>
            </w:tcMar>
          </w:tcPr>
          <w:p w14:paraId="4DB4B7CF" w14:textId="77777777" w:rsidR="004D0912" w:rsidRPr="00BE78CA" w:rsidRDefault="004D0912" w:rsidP="009B5D7E">
            <w:pPr>
              <w:pStyle w:val="TableText"/>
              <w:jc w:val="right"/>
            </w:pPr>
            <w:r w:rsidRPr="00BE78CA">
              <w:rPr>
                <w:rFonts w:eastAsia="Calibri"/>
                <w:color w:val="111111"/>
              </w:rPr>
              <w:t>8,484.97</w:t>
            </w:r>
          </w:p>
        </w:tc>
        <w:tc>
          <w:tcPr>
            <w:tcW w:w="0" w:type="auto"/>
            <w:tcBorders>
              <w:top w:val="single" w:sz="4" w:space="0" w:color="365F91"/>
              <w:bottom w:val="single" w:sz="4" w:space="0" w:color="365F91"/>
            </w:tcBorders>
            <w:shd w:val="clear" w:color="auto" w:fill="FFFFFF"/>
            <w:tcMar>
              <w:top w:w="0" w:type="dxa"/>
              <w:left w:w="85" w:type="dxa"/>
              <w:bottom w:w="0" w:type="dxa"/>
              <w:right w:w="57" w:type="dxa"/>
            </w:tcMar>
          </w:tcPr>
          <w:p w14:paraId="28FC6C2C" w14:textId="77777777" w:rsidR="004D0912" w:rsidRPr="00BE78CA" w:rsidRDefault="004D0912" w:rsidP="009B5D7E">
            <w:pPr>
              <w:pStyle w:val="TableText"/>
              <w:jc w:val="right"/>
            </w:pPr>
            <w:r w:rsidRPr="00BE78CA">
              <w:rPr>
                <w:rFonts w:eastAsia="Calibri"/>
                <w:color w:val="111111"/>
              </w:rPr>
              <w:t>5,382.06</w:t>
            </w:r>
          </w:p>
        </w:tc>
        <w:tc>
          <w:tcPr>
            <w:tcW w:w="0" w:type="auto"/>
            <w:tcBorders>
              <w:top w:val="single" w:sz="4" w:space="0" w:color="365F91"/>
              <w:bottom w:val="single" w:sz="4" w:space="0" w:color="365F91"/>
            </w:tcBorders>
            <w:shd w:val="clear" w:color="auto" w:fill="FFFFFF"/>
            <w:tcMar>
              <w:top w:w="0" w:type="dxa"/>
              <w:left w:w="85" w:type="dxa"/>
              <w:bottom w:w="0" w:type="dxa"/>
              <w:right w:w="57" w:type="dxa"/>
            </w:tcMar>
          </w:tcPr>
          <w:p w14:paraId="76CEA401" w14:textId="77777777" w:rsidR="004D0912" w:rsidRPr="00BE78CA" w:rsidRDefault="004D0912" w:rsidP="009B5D7E">
            <w:pPr>
              <w:pStyle w:val="TableText"/>
              <w:jc w:val="right"/>
            </w:pPr>
            <w:r w:rsidRPr="00BE78CA">
              <w:rPr>
                <w:rFonts w:eastAsia="Calibri"/>
                <w:color w:val="111111"/>
              </w:rPr>
              <w:t>3,470.69</w:t>
            </w:r>
          </w:p>
        </w:tc>
        <w:tc>
          <w:tcPr>
            <w:tcW w:w="0" w:type="auto"/>
            <w:tcBorders>
              <w:top w:val="single" w:sz="4" w:space="0" w:color="365F91"/>
              <w:bottom w:val="single" w:sz="4" w:space="0" w:color="365F91"/>
            </w:tcBorders>
            <w:shd w:val="clear" w:color="auto" w:fill="FFFFFF"/>
            <w:tcMar>
              <w:top w:w="0" w:type="dxa"/>
              <w:left w:w="85" w:type="dxa"/>
              <w:bottom w:w="0" w:type="dxa"/>
              <w:right w:w="57" w:type="dxa"/>
            </w:tcMar>
          </w:tcPr>
          <w:p w14:paraId="7076BA43" w14:textId="77777777" w:rsidR="004D0912" w:rsidRPr="00BE78CA" w:rsidRDefault="004D0912" w:rsidP="009B5D7E">
            <w:pPr>
              <w:pStyle w:val="TableText"/>
              <w:jc w:val="right"/>
            </w:pPr>
            <w:r w:rsidRPr="00BE78CA">
              <w:rPr>
                <w:rFonts w:eastAsia="Calibri"/>
                <w:color w:val="111111"/>
              </w:rPr>
              <w:t>1,818.79</w:t>
            </w:r>
          </w:p>
        </w:tc>
        <w:tc>
          <w:tcPr>
            <w:tcW w:w="0" w:type="auto"/>
            <w:tcBorders>
              <w:top w:val="single" w:sz="4" w:space="0" w:color="365F91"/>
              <w:bottom w:val="single" w:sz="4" w:space="0" w:color="365F91"/>
            </w:tcBorders>
            <w:shd w:val="clear" w:color="auto" w:fill="FFFFFF"/>
            <w:tcMar>
              <w:top w:w="0" w:type="dxa"/>
              <w:left w:w="85" w:type="dxa"/>
              <w:bottom w:w="0" w:type="dxa"/>
              <w:right w:w="57" w:type="dxa"/>
            </w:tcMar>
          </w:tcPr>
          <w:p w14:paraId="15D49EF1" w14:textId="77777777" w:rsidR="004D0912" w:rsidRPr="00BE78CA" w:rsidRDefault="004D0912" w:rsidP="009B5D7E">
            <w:pPr>
              <w:pStyle w:val="TableText"/>
              <w:jc w:val="right"/>
            </w:pPr>
            <w:r w:rsidRPr="00BE78CA">
              <w:rPr>
                <w:rFonts w:eastAsia="Calibri"/>
                <w:color w:val="111111"/>
              </w:rPr>
              <w:t>1,869.83</w:t>
            </w:r>
          </w:p>
        </w:tc>
        <w:tc>
          <w:tcPr>
            <w:tcW w:w="0" w:type="auto"/>
            <w:tcBorders>
              <w:top w:val="single" w:sz="4" w:space="0" w:color="365F91"/>
              <w:bottom w:val="single" w:sz="4" w:space="0" w:color="365F91"/>
            </w:tcBorders>
            <w:shd w:val="clear" w:color="auto" w:fill="FFFFFF"/>
            <w:tcMar>
              <w:top w:w="0" w:type="dxa"/>
              <w:left w:w="85" w:type="dxa"/>
              <w:bottom w:w="0" w:type="dxa"/>
              <w:right w:w="57" w:type="dxa"/>
            </w:tcMar>
          </w:tcPr>
          <w:p w14:paraId="18E24E1B" w14:textId="77777777" w:rsidR="004D0912" w:rsidRPr="00BE78CA" w:rsidRDefault="004D0912" w:rsidP="009B5D7E">
            <w:pPr>
              <w:pStyle w:val="TableText"/>
              <w:jc w:val="right"/>
            </w:pPr>
            <w:r w:rsidRPr="00BE78CA">
              <w:rPr>
                <w:rFonts w:eastAsia="Calibri"/>
                <w:color w:val="111111"/>
              </w:rPr>
              <w:t>2,269.88</w:t>
            </w:r>
          </w:p>
        </w:tc>
        <w:tc>
          <w:tcPr>
            <w:tcW w:w="0" w:type="auto"/>
            <w:tcBorders>
              <w:top w:val="single" w:sz="4" w:space="0" w:color="365F91"/>
              <w:bottom w:val="single" w:sz="4" w:space="0" w:color="365F91"/>
              <w:right w:val="single" w:sz="4" w:space="0" w:color="FFFFFF"/>
            </w:tcBorders>
            <w:shd w:val="clear" w:color="auto" w:fill="FFFFFF"/>
            <w:tcMar>
              <w:top w:w="0" w:type="dxa"/>
              <w:left w:w="85" w:type="dxa"/>
              <w:bottom w:w="0" w:type="dxa"/>
              <w:right w:w="57" w:type="dxa"/>
            </w:tcMar>
          </w:tcPr>
          <w:p w14:paraId="3CDB3162" w14:textId="77777777" w:rsidR="004D0912" w:rsidRPr="00BE78CA" w:rsidRDefault="004D0912" w:rsidP="009B5D7E">
            <w:pPr>
              <w:pStyle w:val="TableText"/>
              <w:jc w:val="right"/>
            </w:pPr>
            <w:r w:rsidRPr="00BE78CA">
              <w:rPr>
                <w:rFonts w:eastAsia="Calibri"/>
                <w:color w:val="111111"/>
              </w:rPr>
              <w:t>2,906.63</w:t>
            </w:r>
          </w:p>
        </w:tc>
      </w:tr>
      <w:tr w:rsidR="004D0912" w:rsidRPr="00BE78CA" w14:paraId="7B0A2A0F" w14:textId="77777777" w:rsidTr="00323F5C">
        <w:trPr>
          <w:cantSplit/>
        </w:trPr>
        <w:tc>
          <w:tcPr>
            <w:tcW w:w="5000" w:type="pct"/>
            <w:gridSpan w:val="8"/>
            <w:tcBorders>
              <w:top w:val="single" w:sz="4" w:space="0" w:color="365F91"/>
              <w:bottom w:val="single" w:sz="4" w:space="0" w:color="365F91"/>
            </w:tcBorders>
            <w:shd w:val="clear" w:color="auto" w:fill="FFFFFF"/>
            <w:tcMar>
              <w:top w:w="0" w:type="dxa"/>
              <w:left w:w="85" w:type="dxa"/>
              <w:bottom w:w="0" w:type="dxa"/>
              <w:right w:w="57" w:type="dxa"/>
            </w:tcMar>
          </w:tcPr>
          <w:p w14:paraId="342B4531" w14:textId="77777777" w:rsidR="004D0912" w:rsidRPr="00BE78CA" w:rsidRDefault="004D0912" w:rsidP="00680FCA">
            <w:pPr>
              <w:pStyle w:val="TableText"/>
            </w:pPr>
            <w:r w:rsidRPr="00BE78CA">
              <w:rPr>
                <w:rFonts w:eastAsia="Calibri"/>
                <w:color w:val="111111"/>
              </w:rPr>
              <w:t>Forest management</w:t>
            </w:r>
          </w:p>
        </w:tc>
      </w:tr>
      <w:tr w:rsidR="002C3833" w:rsidRPr="00BE78CA" w14:paraId="5DB214F6" w14:textId="77777777" w:rsidTr="00323F5C">
        <w:trPr>
          <w:cantSplit/>
        </w:trPr>
        <w:tc>
          <w:tcPr>
            <w:tcW w:w="579" w:type="pct"/>
            <w:tcBorders>
              <w:top w:val="single" w:sz="4" w:space="0" w:color="365F91"/>
              <w:bottom w:val="single" w:sz="4" w:space="0" w:color="365F91"/>
            </w:tcBorders>
            <w:shd w:val="clear" w:color="auto" w:fill="FFFFFF"/>
            <w:tcMar>
              <w:top w:w="0" w:type="dxa"/>
              <w:left w:w="85" w:type="dxa"/>
              <w:bottom w:w="0" w:type="dxa"/>
              <w:right w:w="57" w:type="dxa"/>
            </w:tcMar>
          </w:tcPr>
          <w:p w14:paraId="4FFC89AB" w14:textId="77777777" w:rsidR="004D0912" w:rsidRPr="00BE78CA" w:rsidRDefault="004D0912" w:rsidP="00680FCA">
            <w:pPr>
              <w:pStyle w:val="TableText"/>
            </w:pPr>
            <w:r w:rsidRPr="00BE78CA">
              <w:rPr>
                <w:rFonts w:eastAsia="Calibri"/>
                <w:color w:val="111111"/>
              </w:rPr>
              <w:t>Net cumulative area since 1990 (ha)</w:t>
            </w:r>
          </w:p>
        </w:tc>
        <w:tc>
          <w:tcPr>
            <w:tcW w:w="0" w:type="auto"/>
            <w:tcBorders>
              <w:top w:val="single" w:sz="4" w:space="0" w:color="365F91"/>
              <w:bottom w:val="single" w:sz="4" w:space="0" w:color="365F91"/>
            </w:tcBorders>
            <w:shd w:val="clear" w:color="auto" w:fill="FFFFFF"/>
            <w:tcMar>
              <w:top w:w="0" w:type="dxa"/>
              <w:left w:w="85" w:type="dxa"/>
              <w:bottom w:w="0" w:type="dxa"/>
              <w:right w:w="57" w:type="dxa"/>
            </w:tcMar>
          </w:tcPr>
          <w:p w14:paraId="263A47A7" w14:textId="77777777" w:rsidR="004D0912" w:rsidRPr="00BE78CA" w:rsidRDefault="004D0912" w:rsidP="009B5D7E">
            <w:pPr>
              <w:pStyle w:val="TableText"/>
              <w:jc w:val="right"/>
            </w:pPr>
            <w:r w:rsidRPr="00BE78CA">
              <w:rPr>
                <w:rFonts w:eastAsia="Calibri"/>
                <w:color w:val="111111"/>
              </w:rPr>
              <w:t>9,220,080.63</w:t>
            </w:r>
          </w:p>
        </w:tc>
        <w:tc>
          <w:tcPr>
            <w:tcW w:w="0" w:type="auto"/>
            <w:tcBorders>
              <w:top w:val="single" w:sz="4" w:space="0" w:color="365F91"/>
              <w:bottom w:val="single" w:sz="4" w:space="0" w:color="365F91"/>
            </w:tcBorders>
            <w:shd w:val="clear" w:color="auto" w:fill="FFFFFF"/>
            <w:tcMar>
              <w:top w:w="0" w:type="dxa"/>
              <w:left w:w="85" w:type="dxa"/>
              <w:bottom w:w="0" w:type="dxa"/>
              <w:right w:w="57" w:type="dxa"/>
            </w:tcMar>
          </w:tcPr>
          <w:p w14:paraId="24DBA60A" w14:textId="77777777" w:rsidR="004D0912" w:rsidRPr="00BE78CA" w:rsidRDefault="004D0912" w:rsidP="009B5D7E">
            <w:pPr>
              <w:pStyle w:val="TableText"/>
              <w:jc w:val="right"/>
            </w:pPr>
            <w:r w:rsidRPr="00BE78CA">
              <w:rPr>
                <w:rFonts w:eastAsia="Calibri"/>
                <w:color w:val="111111"/>
              </w:rPr>
              <w:t>9,213,045.60</w:t>
            </w:r>
          </w:p>
        </w:tc>
        <w:tc>
          <w:tcPr>
            <w:tcW w:w="0" w:type="auto"/>
            <w:tcBorders>
              <w:top w:val="single" w:sz="4" w:space="0" w:color="365F91"/>
              <w:bottom w:val="single" w:sz="4" w:space="0" w:color="365F91"/>
            </w:tcBorders>
            <w:shd w:val="clear" w:color="auto" w:fill="FFFFFF"/>
            <w:tcMar>
              <w:top w:w="0" w:type="dxa"/>
              <w:left w:w="85" w:type="dxa"/>
              <w:bottom w:w="0" w:type="dxa"/>
              <w:right w:w="57" w:type="dxa"/>
            </w:tcMar>
          </w:tcPr>
          <w:p w14:paraId="197D9558" w14:textId="77777777" w:rsidR="004D0912" w:rsidRPr="00BE78CA" w:rsidRDefault="004D0912" w:rsidP="009B5D7E">
            <w:pPr>
              <w:pStyle w:val="TableText"/>
              <w:jc w:val="right"/>
            </w:pPr>
            <w:r w:rsidRPr="00BE78CA">
              <w:rPr>
                <w:rFonts w:eastAsia="Calibri"/>
                <w:color w:val="111111"/>
              </w:rPr>
              <w:t>9,208,749.39</w:t>
            </w:r>
          </w:p>
        </w:tc>
        <w:tc>
          <w:tcPr>
            <w:tcW w:w="0" w:type="auto"/>
            <w:tcBorders>
              <w:top w:val="single" w:sz="4" w:space="0" w:color="365F91"/>
              <w:bottom w:val="single" w:sz="4" w:space="0" w:color="365F91"/>
            </w:tcBorders>
            <w:shd w:val="clear" w:color="auto" w:fill="FFFFFF"/>
            <w:tcMar>
              <w:top w:w="0" w:type="dxa"/>
              <w:left w:w="85" w:type="dxa"/>
              <w:bottom w:w="0" w:type="dxa"/>
              <w:right w:w="57" w:type="dxa"/>
            </w:tcMar>
          </w:tcPr>
          <w:p w14:paraId="01D6FDEE" w14:textId="77777777" w:rsidR="004D0912" w:rsidRPr="00BE78CA" w:rsidRDefault="004D0912" w:rsidP="009B5D7E">
            <w:pPr>
              <w:pStyle w:val="TableText"/>
              <w:jc w:val="right"/>
            </w:pPr>
            <w:r w:rsidRPr="00BE78CA">
              <w:rPr>
                <w:rFonts w:eastAsia="Calibri"/>
                <w:color w:val="111111"/>
              </w:rPr>
              <w:t>9,207,186.44</w:t>
            </w:r>
          </w:p>
        </w:tc>
        <w:tc>
          <w:tcPr>
            <w:tcW w:w="0" w:type="auto"/>
            <w:tcBorders>
              <w:top w:val="single" w:sz="4" w:space="0" w:color="365F91"/>
              <w:bottom w:val="single" w:sz="4" w:space="0" w:color="365F91"/>
            </w:tcBorders>
            <w:shd w:val="clear" w:color="auto" w:fill="FFFFFF"/>
            <w:tcMar>
              <w:top w:w="0" w:type="dxa"/>
              <w:left w:w="85" w:type="dxa"/>
              <w:bottom w:w="0" w:type="dxa"/>
              <w:right w:w="57" w:type="dxa"/>
            </w:tcMar>
          </w:tcPr>
          <w:p w14:paraId="2FD84657" w14:textId="77777777" w:rsidR="004D0912" w:rsidRPr="00BE78CA" w:rsidRDefault="004D0912" w:rsidP="009B5D7E">
            <w:pPr>
              <w:pStyle w:val="TableText"/>
              <w:jc w:val="right"/>
            </w:pPr>
            <w:r w:rsidRPr="00BE78CA">
              <w:rPr>
                <w:rFonts w:eastAsia="Calibri"/>
                <w:color w:val="111111"/>
              </w:rPr>
              <w:t>9,206,006.32</w:t>
            </w:r>
          </w:p>
        </w:tc>
        <w:tc>
          <w:tcPr>
            <w:tcW w:w="0" w:type="auto"/>
            <w:tcBorders>
              <w:top w:val="single" w:sz="4" w:space="0" w:color="365F91"/>
              <w:bottom w:val="single" w:sz="4" w:space="0" w:color="365F91"/>
            </w:tcBorders>
            <w:shd w:val="clear" w:color="auto" w:fill="FFFFFF"/>
            <w:tcMar>
              <w:top w:w="0" w:type="dxa"/>
              <w:left w:w="85" w:type="dxa"/>
              <w:bottom w:w="0" w:type="dxa"/>
              <w:right w:w="57" w:type="dxa"/>
            </w:tcMar>
          </w:tcPr>
          <w:p w14:paraId="170F37E6" w14:textId="77777777" w:rsidR="004D0912" w:rsidRPr="00BE78CA" w:rsidRDefault="004D0912" w:rsidP="009B5D7E">
            <w:pPr>
              <w:pStyle w:val="TableText"/>
              <w:jc w:val="right"/>
            </w:pPr>
            <w:r w:rsidRPr="00BE78CA">
              <w:rPr>
                <w:rFonts w:eastAsia="Calibri"/>
                <w:color w:val="111111"/>
              </w:rPr>
              <w:t>9,204,682.76</w:t>
            </w:r>
          </w:p>
        </w:tc>
        <w:tc>
          <w:tcPr>
            <w:tcW w:w="0" w:type="auto"/>
            <w:tcBorders>
              <w:top w:val="single" w:sz="4" w:space="0" w:color="365F91"/>
              <w:bottom w:val="single" w:sz="4" w:space="0" w:color="365F91"/>
              <w:right w:val="single" w:sz="4" w:space="0" w:color="FFFFFF"/>
            </w:tcBorders>
            <w:shd w:val="clear" w:color="auto" w:fill="FFFFFF"/>
            <w:tcMar>
              <w:top w:w="0" w:type="dxa"/>
              <w:left w:w="85" w:type="dxa"/>
              <w:bottom w:w="0" w:type="dxa"/>
              <w:right w:w="57" w:type="dxa"/>
            </w:tcMar>
          </w:tcPr>
          <w:p w14:paraId="3DE03731" w14:textId="77777777" w:rsidR="004D0912" w:rsidRPr="00BE78CA" w:rsidRDefault="004D0912" w:rsidP="009B5D7E">
            <w:pPr>
              <w:pStyle w:val="TableText"/>
              <w:jc w:val="right"/>
            </w:pPr>
            <w:r w:rsidRPr="00BE78CA">
              <w:rPr>
                <w:rFonts w:eastAsia="Calibri"/>
                <w:color w:val="111111"/>
              </w:rPr>
              <w:t>9,201,461.34</w:t>
            </w:r>
          </w:p>
        </w:tc>
      </w:tr>
      <w:tr w:rsidR="002C3833" w:rsidRPr="00BE78CA" w14:paraId="5F5B1A99" w14:textId="77777777" w:rsidTr="00323F5C">
        <w:trPr>
          <w:cantSplit/>
        </w:trPr>
        <w:tc>
          <w:tcPr>
            <w:tcW w:w="579" w:type="pct"/>
            <w:tcBorders>
              <w:top w:val="single" w:sz="4" w:space="0" w:color="365F91"/>
              <w:bottom w:val="single" w:sz="4" w:space="0" w:color="365F91"/>
            </w:tcBorders>
            <w:shd w:val="clear" w:color="auto" w:fill="FFFFFF"/>
            <w:tcMar>
              <w:top w:w="0" w:type="dxa"/>
              <w:left w:w="85" w:type="dxa"/>
              <w:bottom w:w="0" w:type="dxa"/>
              <w:right w:w="57" w:type="dxa"/>
            </w:tcMar>
          </w:tcPr>
          <w:p w14:paraId="13DB0A1F" w14:textId="41830CBC" w:rsidR="004D0912" w:rsidRPr="00BE78CA" w:rsidRDefault="004D0912" w:rsidP="00680FCA">
            <w:pPr>
              <w:pStyle w:val="TableText"/>
            </w:pPr>
            <w:r w:rsidRPr="00BE78CA">
              <w:rPr>
                <w:rFonts w:eastAsia="Calibri"/>
                <w:color w:val="111111"/>
              </w:rPr>
              <w:lastRenderedPageBreak/>
              <w:t>Net emissions in calendar year (kt</w:t>
            </w:r>
            <w:r w:rsidR="00A961BD" w:rsidRPr="00BE78CA">
              <w:rPr>
                <w:rFonts w:eastAsia="Calibri"/>
                <w:color w:val="111111"/>
              </w:rPr>
              <w:t> </w:t>
            </w:r>
            <w:r w:rsidRPr="00BE78CA">
              <w:rPr>
                <w:rFonts w:eastAsia="Calibri"/>
                <w:color w:val="111111"/>
              </w:rPr>
              <w:t>CO</w:t>
            </w:r>
            <w:r w:rsidRPr="00BE78CA">
              <w:rPr>
                <w:rFonts w:eastAsia="Calibri"/>
                <w:color w:val="111111"/>
                <w:vertAlign w:val="subscript"/>
              </w:rPr>
              <w:t>2</w:t>
            </w:r>
            <w:r w:rsidR="002C3833" w:rsidRPr="00BE78CA">
              <w:rPr>
                <w:rFonts w:eastAsia="Calibri"/>
                <w:color w:val="111111"/>
              </w:rPr>
              <w:noBreakHyphen/>
            </w:r>
            <w:r w:rsidRPr="00BE78CA">
              <w:rPr>
                <w:rFonts w:eastAsia="Calibri"/>
                <w:color w:val="111111"/>
              </w:rPr>
              <w:t>e)</w:t>
            </w:r>
          </w:p>
        </w:tc>
        <w:tc>
          <w:tcPr>
            <w:tcW w:w="0" w:type="auto"/>
            <w:tcBorders>
              <w:top w:val="single" w:sz="4" w:space="0" w:color="365F91"/>
              <w:bottom w:val="single" w:sz="4" w:space="0" w:color="365F91"/>
            </w:tcBorders>
            <w:shd w:val="clear" w:color="auto" w:fill="FFFFFF"/>
            <w:tcMar>
              <w:top w:w="0" w:type="dxa"/>
              <w:left w:w="85" w:type="dxa"/>
              <w:bottom w:w="0" w:type="dxa"/>
              <w:right w:w="57" w:type="dxa"/>
            </w:tcMar>
          </w:tcPr>
          <w:p w14:paraId="551FF830" w14:textId="77777777" w:rsidR="004D0912" w:rsidRPr="00BE78CA" w:rsidRDefault="004D0912" w:rsidP="009B5D7E">
            <w:pPr>
              <w:pStyle w:val="TableText"/>
              <w:jc w:val="right"/>
            </w:pPr>
            <w:r w:rsidRPr="00BE78CA">
              <w:rPr>
                <w:rFonts w:eastAsia="Calibri"/>
                <w:color w:val="111111"/>
              </w:rPr>
              <w:t>–21,534.98</w:t>
            </w:r>
          </w:p>
        </w:tc>
        <w:tc>
          <w:tcPr>
            <w:tcW w:w="0" w:type="auto"/>
            <w:tcBorders>
              <w:top w:val="single" w:sz="4" w:space="0" w:color="365F91"/>
              <w:bottom w:val="single" w:sz="4" w:space="0" w:color="365F91"/>
            </w:tcBorders>
            <w:shd w:val="clear" w:color="auto" w:fill="FFFFFF"/>
            <w:tcMar>
              <w:top w:w="0" w:type="dxa"/>
              <w:left w:w="85" w:type="dxa"/>
              <w:bottom w:w="0" w:type="dxa"/>
              <w:right w:w="57" w:type="dxa"/>
            </w:tcMar>
          </w:tcPr>
          <w:p w14:paraId="46813ABB" w14:textId="77777777" w:rsidR="004D0912" w:rsidRPr="00BE78CA" w:rsidRDefault="004D0912" w:rsidP="009B5D7E">
            <w:pPr>
              <w:pStyle w:val="TableText"/>
              <w:jc w:val="right"/>
            </w:pPr>
            <w:r w:rsidRPr="00BE78CA">
              <w:rPr>
                <w:rFonts w:eastAsia="Calibri"/>
                <w:color w:val="111111"/>
              </w:rPr>
              <w:t>–20,286.41</w:t>
            </w:r>
          </w:p>
        </w:tc>
        <w:tc>
          <w:tcPr>
            <w:tcW w:w="0" w:type="auto"/>
            <w:tcBorders>
              <w:top w:val="single" w:sz="4" w:space="0" w:color="365F91"/>
              <w:bottom w:val="single" w:sz="4" w:space="0" w:color="365F91"/>
            </w:tcBorders>
            <w:shd w:val="clear" w:color="auto" w:fill="FFFFFF"/>
            <w:tcMar>
              <w:top w:w="0" w:type="dxa"/>
              <w:left w:w="85" w:type="dxa"/>
              <w:bottom w:w="0" w:type="dxa"/>
              <w:right w:w="57" w:type="dxa"/>
            </w:tcMar>
          </w:tcPr>
          <w:p w14:paraId="66B6E3FC" w14:textId="77777777" w:rsidR="004D0912" w:rsidRPr="00BE78CA" w:rsidRDefault="004D0912" w:rsidP="009B5D7E">
            <w:pPr>
              <w:pStyle w:val="TableText"/>
              <w:jc w:val="right"/>
            </w:pPr>
            <w:r w:rsidRPr="00BE78CA">
              <w:rPr>
                <w:rFonts w:eastAsia="Calibri"/>
                <w:color w:val="111111"/>
              </w:rPr>
              <w:t>–19,189.12</w:t>
            </w:r>
          </w:p>
        </w:tc>
        <w:tc>
          <w:tcPr>
            <w:tcW w:w="0" w:type="auto"/>
            <w:tcBorders>
              <w:top w:val="single" w:sz="4" w:space="0" w:color="365F91"/>
              <w:bottom w:val="single" w:sz="4" w:space="0" w:color="365F91"/>
            </w:tcBorders>
            <w:shd w:val="clear" w:color="auto" w:fill="FFFFFF"/>
            <w:tcMar>
              <w:top w:w="0" w:type="dxa"/>
              <w:left w:w="85" w:type="dxa"/>
              <w:bottom w:w="0" w:type="dxa"/>
              <w:right w:w="57" w:type="dxa"/>
            </w:tcMar>
          </w:tcPr>
          <w:p w14:paraId="11552267" w14:textId="77777777" w:rsidR="004D0912" w:rsidRPr="00BE78CA" w:rsidRDefault="004D0912" w:rsidP="009B5D7E">
            <w:pPr>
              <w:pStyle w:val="TableText"/>
              <w:jc w:val="right"/>
            </w:pPr>
            <w:r w:rsidRPr="00BE78CA">
              <w:rPr>
                <w:rFonts w:eastAsia="Calibri"/>
                <w:color w:val="111111"/>
              </w:rPr>
              <w:t>–16,394.02</w:t>
            </w:r>
          </w:p>
        </w:tc>
        <w:tc>
          <w:tcPr>
            <w:tcW w:w="0" w:type="auto"/>
            <w:tcBorders>
              <w:top w:val="single" w:sz="4" w:space="0" w:color="365F91"/>
              <w:bottom w:val="single" w:sz="4" w:space="0" w:color="365F91"/>
            </w:tcBorders>
            <w:shd w:val="clear" w:color="auto" w:fill="FFFFFF"/>
            <w:tcMar>
              <w:top w:w="0" w:type="dxa"/>
              <w:left w:w="85" w:type="dxa"/>
              <w:bottom w:w="0" w:type="dxa"/>
              <w:right w:w="57" w:type="dxa"/>
            </w:tcMar>
          </w:tcPr>
          <w:p w14:paraId="0A157375" w14:textId="77777777" w:rsidR="004D0912" w:rsidRPr="00BE78CA" w:rsidRDefault="004D0912" w:rsidP="009B5D7E">
            <w:pPr>
              <w:pStyle w:val="TableText"/>
              <w:jc w:val="right"/>
            </w:pPr>
            <w:r w:rsidRPr="00BE78CA">
              <w:rPr>
                <w:rFonts w:eastAsia="Calibri"/>
                <w:color w:val="111111"/>
              </w:rPr>
              <w:t>–16,866.95</w:t>
            </w:r>
          </w:p>
        </w:tc>
        <w:tc>
          <w:tcPr>
            <w:tcW w:w="0" w:type="auto"/>
            <w:tcBorders>
              <w:top w:val="single" w:sz="4" w:space="0" w:color="365F91"/>
              <w:bottom w:val="single" w:sz="4" w:space="0" w:color="365F91"/>
            </w:tcBorders>
            <w:shd w:val="clear" w:color="auto" w:fill="FFFFFF"/>
            <w:tcMar>
              <w:top w:w="0" w:type="dxa"/>
              <w:left w:w="85" w:type="dxa"/>
              <w:bottom w:w="0" w:type="dxa"/>
              <w:right w:w="57" w:type="dxa"/>
            </w:tcMar>
          </w:tcPr>
          <w:p w14:paraId="73FAFF28" w14:textId="77777777" w:rsidR="004D0912" w:rsidRPr="00BE78CA" w:rsidRDefault="004D0912" w:rsidP="009B5D7E">
            <w:pPr>
              <w:pStyle w:val="TableText"/>
              <w:jc w:val="right"/>
            </w:pPr>
            <w:r w:rsidRPr="00BE78CA">
              <w:rPr>
                <w:rFonts w:eastAsia="Calibri"/>
                <w:color w:val="111111"/>
              </w:rPr>
              <w:t>–18,509.34</w:t>
            </w:r>
          </w:p>
        </w:tc>
        <w:tc>
          <w:tcPr>
            <w:tcW w:w="0" w:type="auto"/>
            <w:tcBorders>
              <w:top w:val="single" w:sz="4" w:space="0" w:color="365F91"/>
              <w:bottom w:val="single" w:sz="4" w:space="0" w:color="365F91"/>
              <w:right w:val="single" w:sz="4" w:space="0" w:color="FFFFFF"/>
            </w:tcBorders>
            <w:shd w:val="clear" w:color="auto" w:fill="FFFFFF"/>
            <w:tcMar>
              <w:top w:w="0" w:type="dxa"/>
              <w:left w:w="85" w:type="dxa"/>
              <w:bottom w:w="0" w:type="dxa"/>
              <w:right w:w="57" w:type="dxa"/>
            </w:tcMar>
          </w:tcPr>
          <w:p w14:paraId="7F1B8F73" w14:textId="77777777" w:rsidR="004D0912" w:rsidRPr="00BE78CA" w:rsidRDefault="004D0912" w:rsidP="009B5D7E">
            <w:pPr>
              <w:pStyle w:val="TableText"/>
              <w:jc w:val="right"/>
            </w:pPr>
            <w:r w:rsidRPr="00BE78CA">
              <w:rPr>
                <w:rFonts w:eastAsia="Calibri"/>
                <w:color w:val="111111"/>
              </w:rPr>
              <w:t>–20,665.27</w:t>
            </w:r>
          </w:p>
        </w:tc>
      </w:tr>
      <w:tr w:rsidR="004D0912" w:rsidRPr="00BE78CA" w14:paraId="4F931C8F" w14:textId="77777777" w:rsidTr="00323F5C">
        <w:trPr>
          <w:cantSplit/>
        </w:trPr>
        <w:tc>
          <w:tcPr>
            <w:tcW w:w="5000" w:type="pct"/>
            <w:gridSpan w:val="8"/>
            <w:tcBorders>
              <w:top w:val="single" w:sz="4" w:space="0" w:color="365F91"/>
              <w:bottom w:val="single" w:sz="4" w:space="0" w:color="365F91"/>
            </w:tcBorders>
            <w:shd w:val="clear" w:color="auto" w:fill="FFFFFF"/>
            <w:tcMar>
              <w:top w:w="0" w:type="dxa"/>
              <w:left w:w="85" w:type="dxa"/>
              <w:bottom w:w="0" w:type="dxa"/>
              <w:right w:w="57" w:type="dxa"/>
            </w:tcMar>
          </w:tcPr>
          <w:p w14:paraId="4518481B" w14:textId="77777777" w:rsidR="004D0912" w:rsidRPr="00BE78CA" w:rsidRDefault="004D0912" w:rsidP="002C3833">
            <w:pPr>
              <w:pStyle w:val="TableTextBold"/>
              <w:keepNext/>
              <w:rPr>
                <w:noProof w:val="0"/>
              </w:rPr>
            </w:pPr>
            <w:r w:rsidRPr="00BE78CA">
              <w:rPr>
                <w:rFonts w:eastAsia="Calibri"/>
                <w:noProof w:val="0"/>
              </w:rPr>
              <w:t>Total</w:t>
            </w:r>
          </w:p>
        </w:tc>
      </w:tr>
      <w:tr w:rsidR="002C3833" w:rsidRPr="00BE78CA" w14:paraId="6999CA9B" w14:textId="77777777" w:rsidTr="00323F5C">
        <w:trPr>
          <w:cantSplit/>
        </w:trPr>
        <w:tc>
          <w:tcPr>
            <w:tcW w:w="579" w:type="pct"/>
            <w:tcBorders>
              <w:top w:val="single" w:sz="4" w:space="0" w:color="365F91"/>
              <w:bottom w:val="single" w:sz="4" w:space="0" w:color="365F91"/>
            </w:tcBorders>
            <w:shd w:val="clear" w:color="auto" w:fill="FFFFFF"/>
            <w:tcMar>
              <w:top w:w="0" w:type="dxa"/>
              <w:left w:w="85" w:type="dxa"/>
              <w:bottom w:w="0" w:type="dxa"/>
              <w:right w:w="57" w:type="dxa"/>
            </w:tcMar>
          </w:tcPr>
          <w:p w14:paraId="59BB713D" w14:textId="77777777" w:rsidR="004D0912" w:rsidRPr="00BE78CA" w:rsidRDefault="004D0912" w:rsidP="00680FCA">
            <w:pPr>
              <w:pStyle w:val="TableText"/>
            </w:pPr>
            <w:r w:rsidRPr="00BE78CA">
              <w:rPr>
                <w:rFonts w:eastAsia="Calibri"/>
                <w:color w:val="111111"/>
              </w:rPr>
              <w:t>Total area included (ha)</w:t>
            </w:r>
          </w:p>
        </w:tc>
        <w:tc>
          <w:tcPr>
            <w:tcW w:w="0" w:type="auto"/>
            <w:tcBorders>
              <w:top w:val="single" w:sz="4" w:space="0" w:color="365F91"/>
              <w:bottom w:val="single" w:sz="4" w:space="0" w:color="365F91"/>
            </w:tcBorders>
            <w:shd w:val="clear" w:color="auto" w:fill="FFFFFF"/>
            <w:tcMar>
              <w:top w:w="0" w:type="dxa"/>
              <w:left w:w="85" w:type="dxa"/>
              <w:bottom w:w="0" w:type="dxa"/>
              <w:right w:w="57" w:type="dxa"/>
            </w:tcMar>
          </w:tcPr>
          <w:p w14:paraId="06F42275" w14:textId="77777777" w:rsidR="004D0912" w:rsidRPr="00BE78CA" w:rsidRDefault="004D0912" w:rsidP="009B5D7E">
            <w:pPr>
              <w:pStyle w:val="TableText"/>
              <w:jc w:val="right"/>
            </w:pPr>
            <w:r w:rsidRPr="00BE78CA">
              <w:rPr>
                <w:rFonts w:eastAsia="Calibri"/>
                <w:color w:val="111111"/>
              </w:rPr>
              <w:t>10,080,709.31</w:t>
            </w:r>
          </w:p>
        </w:tc>
        <w:tc>
          <w:tcPr>
            <w:tcW w:w="0" w:type="auto"/>
            <w:tcBorders>
              <w:top w:val="single" w:sz="4" w:space="0" w:color="365F91"/>
              <w:bottom w:val="single" w:sz="4" w:space="0" w:color="365F91"/>
            </w:tcBorders>
            <w:shd w:val="clear" w:color="auto" w:fill="FFFFFF"/>
            <w:tcMar>
              <w:top w:w="0" w:type="dxa"/>
              <w:left w:w="85" w:type="dxa"/>
              <w:bottom w:w="0" w:type="dxa"/>
              <w:right w:w="57" w:type="dxa"/>
            </w:tcMar>
          </w:tcPr>
          <w:p w14:paraId="5EDA8831" w14:textId="77777777" w:rsidR="004D0912" w:rsidRPr="00BE78CA" w:rsidRDefault="004D0912" w:rsidP="009B5D7E">
            <w:pPr>
              <w:pStyle w:val="TableText"/>
              <w:jc w:val="right"/>
            </w:pPr>
            <w:r w:rsidRPr="00BE78CA">
              <w:rPr>
                <w:rFonts w:eastAsia="Calibri"/>
                <w:color w:val="111111"/>
              </w:rPr>
              <w:t>10,086,646.37</w:t>
            </w:r>
          </w:p>
        </w:tc>
        <w:tc>
          <w:tcPr>
            <w:tcW w:w="0" w:type="auto"/>
            <w:tcBorders>
              <w:top w:val="single" w:sz="4" w:space="0" w:color="365F91"/>
              <w:bottom w:val="single" w:sz="4" w:space="0" w:color="365F91"/>
            </w:tcBorders>
            <w:shd w:val="clear" w:color="auto" w:fill="FFFFFF"/>
            <w:tcMar>
              <w:top w:w="0" w:type="dxa"/>
              <w:left w:w="85" w:type="dxa"/>
              <w:bottom w:w="0" w:type="dxa"/>
              <w:right w:w="57" w:type="dxa"/>
            </w:tcMar>
          </w:tcPr>
          <w:p w14:paraId="00A7A7A8" w14:textId="77777777" w:rsidR="004D0912" w:rsidRPr="00BE78CA" w:rsidRDefault="004D0912" w:rsidP="009B5D7E">
            <w:pPr>
              <w:pStyle w:val="TableText"/>
              <w:jc w:val="right"/>
            </w:pPr>
            <w:r w:rsidRPr="00BE78CA">
              <w:rPr>
                <w:rFonts w:eastAsia="Calibri"/>
                <w:color w:val="111111"/>
              </w:rPr>
              <w:t>10,092,583.43</w:t>
            </w:r>
          </w:p>
        </w:tc>
        <w:tc>
          <w:tcPr>
            <w:tcW w:w="0" w:type="auto"/>
            <w:tcBorders>
              <w:top w:val="single" w:sz="4" w:space="0" w:color="365F91"/>
              <w:bottom w:val="single" w:sz="4" w:space="0" w:color="365F91"/>
            </w:tcBorders>
            <w:shd w:val="clear" w:color="auto" w:fill="FFFFFF"/>
            <w:tcMar>
              <w:top w:w="0" w:type="dxa"/>
              <w:left w:w="85" w:type="dxa"/>
              <w:bottom w:w="0" w:type="dxa"/>
              <w:right w:w="57" w:type="dxa"/>
            </w:tcMar>
          </w:tcPr>
          <w:p w14:paraId="3AD78211" w14:textId="77777777" w:rsidR="004D0912" w:rsidRPr="00BE78CA" w:rsidRDefault="004D0912" w:rsidP="009B5D7E">
            <w:pPr>
              <w:pStyle w:val="TableText"/>
              <w:jc w:val="right"/>
            </w:pPr>
            <w:r w:rsidRPr="00BE78CA">
              <w:rPr>
                <w:rFonts w:eastAsia="Calibri"/>
                <w:color w:val="111111"/>
              </w:rPr>
              <w:t>10,098,980.14</w:t>
            </w:r>
          </w:p>
        </w:tc>
        <w:tc>
          <w:tcPr>
            <w:tcW w:w="0" w:type="auto"/>
            <w:tcBorders>
              <w:top w:val="single" w:sz="4" w:space="0" w:color="365F91"/>
              <w:bottom w:val="single" w:sz="4" w:space="0" w:color="365F91"/>
            </w:tcBorders>
            <w:shd w:val="clear" w:color="auto" w:fill="FFFFFF"/>
            <w:tcMar>
              <w:top w:w="0" w:type="dxa"/>
              <w:left w:w="85" w:type="dxa"/>
              <w:bottom w:w="0" w:type="dxa"/>
              <w:right w:w="57" w:type="dxa"/>
            </w:tcMar>
          </w:tcPr>
          <w:p w14:paraId="78A59C31" w14:textId="77777777" w:rsidR="004D0912" w:rsidRPr="00BE78CA" w:rsidRDefault="004D0912" w:rsidP="009B5D7E">
            <w:pPr>
              <w:pStyle w:val="TableText"/>
              <w:jc w:val="right"/>
            </w:pPr>
            <w:r w:rsidRPr="00BE78CA">
              <w:rPr>
                <w:rFonts w:eastAsia="Calibri"/>
                <w:color w:val="111111"/>
              </w:rPr>
              <w:t>10,108,791.81</w:t>
            </w:r>
          </w:p>
        </w:tc>
        <w:tc>
          <w:tcPr>
            <w:tcW w:w="0" w:type="auto"/>
            <w:tcBorders>
              <w:top w:val="single" w:sz="4" w:space="0" w:color="365F91"/>
              <w:bottom w:val="single" w:sz="4" w:space="0" w:color="365F91"/>
            </w:tcBorders>
            <w:shd w:val="clear" w:color="auto" w:fill="FFFFFF"/>
            <w:tcMar>
              <w:top w:w="0" w:type="dxa"/>
              <w:left w:w="85" w:type="dxa"/>
              <w:bottom w:w="0" w:type="dxa"/>
              <w:right w:w="57" w:type="dxa"/>
            </w:tcMar>
          </w:tcPr>
          <w:p w14:paraId="0465FD30" w14:textId="77777777" w:rsidR="004D0912" w:rsidRPr="00BE78CA" w:rsidRDefault="004D0912" w:rsidP="009B5D7E">
            <w:pPr>
              <w:pStyle w:val="TableText"/>
              <w:jc w:val="right"/>
            </w:pPr>
            <w:r w:rsidRPr="00BE78CA">
              <w:rPr>
                <w:rFonts w:eastAsia="Calibri"/>
                <w:color w:val="111111"/>
              </w:rPr>
              <w:t>10,118,909.64</w:t>
            </w:r>
          </w:p>
        </w:tc>
        <w:tc>
          <w:tcPr>
            <w:tcW w:w="0" w:type="auto"/>
            <w:tcBorders>
              <w:top w:val="single" w:sz="4" w:space="0" w:color="365F91"/>
              <w:bottom w:val="single" w:sz="4" w:space="0" w:color="365F91"/>
              <w:right w:val="single" w:sz="4" w:space="0" w:color="FFFFFF"/>
            </w:tcBorders>
            <w:shd w:val="clear" w:color="auto" w:fill="FFFFFF"/>
            <w:tcMar>
              <w:top w:w="0" w:type="dxa"/>
              <w:left w:w="85" w:type="dxa"/>
              <w:bottom w:w="0" w:type="dxa"/>
              <w:right w:w="57" w:type="dxa"/>
            </w:tcMar>
          </w:tcPr>
          <w:p w14:paraId="57AED7CD" w14:textId="77777777" w:rsidR="004D0912" w:rsidRPr="00BE78CA" w:rsidRDefault="004D0912" w:rsidP="009B5D7E">
            <w:pPr>
              <w:pStyle w:val="TableText"/>
              <w:jc w:val="right"/>
            </w:pPr>
            <w:r w:rsidRPr="00BE78CA">
              <w:rPr>
                <w:rFonts w:eastAsia="Calibri"/>
                <w:color w:val="111111"/>
              </w:rPr>
              <w:t>10,143,556.74</w:t>
            </w:r>
          </w:p>
        </w:tc>
      </w:tr>
      <w:tr w:rsidR="002C3833" w:rsidRPr="00BE78CA" w14:paraId="79A5E5C3" w14:textId="77777777" w:rsidTr="00323F5C">
        <w:trPr>
          <w:cantSplit/>
        </w:trPr>
        <w:tc>
          <w:tcPr>
            <w:tcW w:w="579" w:type="pct"/>
            <w:tcBorders>
              <w:top w:val="single" w:sz="4" w:space="0" w:color="365F91"/>
              <w:bottom w:val="single" w:sz="4" w:space="0" w:color="365F91"/>
            </w:tcBorders>
            <w:shd w:val="clear" w:color="auto" w:fill="FFFFFF"/>
            <w:tcMar>
              <w:top w:w="0" w:type="dxa"/>
              <w:left w:w="85" w:type="dxa"/>
              <w:bottom w:w="0" w:type="dxa"/>
              <w:right w:w="57" w:type="dxa"/>
            </w:tcMar>
          </w:tcPr>
          <w:p w14:paraId="4BFE952B" w14:textId="43433A82" w:rsidR="004D0912" w:rsidRPr="00BE78CA" w:rsidRDefault="004D0912" w:rsidP="00680FCA">
            <w:pPr>
              <w:pStyle w:val="TableText"/>
            </w:pPr>
            <w:r w:rsidRPr="00BE78CA">
              <w:rPr>
                <w:rFonts w:eastAsia="Calibri"/>
                <w:color w:val="111111"/>
              </w:rPr>
              <w:t>Net emissions in calendar year (kt CO</w:t>
            </w:r>
            <w:r w:rsidRPr="00BE78CA">
              <w:rPr>
                <w:rFonts w:eastAsia="Calibri"/>
                <w:color w:val="111111"/>
                <w:vertAlign w:val="subscript"/>
              </w:rPr>
              <w:t>2</w:t>
            </w:r>
            <w:r w:rsidR="00CE5D98" w:rsidRPr="00BE78CA">
              <w:rPr>
                <w:rFonts w:eastAsia="Calibri"/>
                <w:color w:val="111111"/>
              </w:rPr>
              <w:noBreakHyphen/>
            </w:r>
            <w:r w:rsidRPr="00BE78CA">
              <w:rPr>
                <w:rFonts w:eastAsia="Calibri"/>
                <w:color w:val="111111"/>
              </w:rPr>
              <w:t>e)</w:t>
            </w:r>
          </w:p>
        </w:tc>
        <w:tc>
          <w:tcPr>
            <w:tcW w:w="0" w:type="auto"/>
            <w:tcBorders>
              <w:top w:val="single" w:sz="4" w:space="0" w:color="365F91"/>
              <w:bottom w:val="single" w:sz="4" w:space="0" w:color="365F91"/>
            </w:tcBorders>
            <w:shd w:val="clear" w:color="auto" w:fill="FFFFFF"/>
            <w:tcMar>
              <w:top w:w="0" w:type="dxa"/>
              <w:left w:w="85" w:type="dxa"/>
              <w:bottom w:w="0" w:type="dxa"/>
              <w:right w:w="57" w:type="dxa"/>
            </w:tcMar>
          </w:tcPr>
          <w:p w14:paraId="00AD6BF1" w14:textId="77777777" w:rsidR="004D0912" w:rsidRPr="00BE78CA" w:rsidRDefault="004D0912" w:rsidP="009B5D7E">
            <w:pPr>
              <w:pStyle w:val="TableText"/>
              <w:jc w:val="right"/>
            </w:pPr>
            <w:r w:rsidRPr="00BE78CA">
              <w:rPr>
                <w:rFonts w:eastAsia="Calibri"/>
                <w:color w:val="111111"/>
              </w:rPr>
              <w:t>–30,979.86</w:t>
            </w:r>
          </w:p>
        </w:tc>
        <w:tc>
          <w:tcPr>
            <w:tcW w:w="0" w:type="auto"/>
            <w:tcBorders>
              <w:top w:val="single" w:sz="4" w:space="0" w:color="365F91"/>
              <w:bottom w:val="single" w:sz="4" w:space="0" w:color="365F91"/>
            </w:tcBorders>
            <w:shd w:val="clear" w:color="auto" w:fill="FFFFFF"/>
            <w:tcMar>
              <w:top w:w="0" w:type="dxa"/>
              <w:left w:w="85" w:type="dxa"/>
              <w:bottom w:w="0" w:type="dxa"/>
              <w:right w:w="57" w:type="dxa"/>
            </w:tcMar>
          </w:tcPr>
          <w:p w14:paraId="18129D72" w14:textId="77777777" w:rsidR="004D0912" w:rsidRPr="00BE78CA" w:rsidRDefault="004D0912" w:rsidP="009B5D7E">
            <w:pPr>
              <w:pStyle w:val="TableText"/>
              <w:jc w:val="right"/>
            </w:pPr>
            <w:r w:rsidRPr="00BE78CA">
              <w:rPr>
                <w:rFonts w:eastAsia="Calibri"/>
                <w:color w:val="111111"/>
              </w:rPr>
              <w:t>–33,058.41</w:t>
            </w:r>
          </w:p>
        </w:tc>
        <w:tc>
          <w:tcPr>
            <w:tcW w:w="0" w:type="auto"/>
            <w:tcBorders>
              <w:top w:val="single" w:sz="4" w:space="0" w:color="365F91"/>
              <w:bottom w:val="single" w:sz="4" w:space="0" w:color="365F91"/>
            </w:tcBorders>
            <w:shd w:val="clear" w:color="auto" w:fill="FFFFFF"/>
            <w:tcMar>
              <w:top w:w="0" w:type="dxa"/>
              <w:left w:w="85" w:type="dxa"/>
              <w:bottom w:w="0" w:type="dxa"/>
              <w:right w:w="57" w:type="dxa"/>
            </w:tcMar>
          </w:tcPr>
          <w:p w14:paraId="1D2EEE4B" w14:textId="77777777" w:rsidR="004D0912" w:rsidRPr="00BE78CA" w:rsidRDefault="004D0912" w:rsidP="009B5D7E">
            <w:pPr>
              <w:pStyle w:val="TableText"/>
              <w:jc w:val="right"/>
            </w:pPr>
            <w:r w:rsidRPr="00BE78CA">
              <w:rPr>
                <w:rFonts w:eastAsia="Calibri"/>
                <w:color w:val="111111"/>
              </w:rPr>
              <w:t>–34,065.29</w:t>
            </w:r>
          </w:p>
        </w:tc>
        <w:tc>
          <w:tcPr>
            <w:tcW w:w="0" w:type="auto"/>
            <w:tcBorders>
              <w:top w:val="single" w:sz="4" w:space="0" w:color="365F91"/>
              <w:bottom w:val="single" w:sz="4" w:space="0" w:color="365F91"/>
            </w:tcBorders>
            <w:shd w:val="clear" w:color="auto" w:fill="FFFFFF"/>
            <w:tcMar>
              <w:top w:w="0" w:type="dxa"/>
              <w:left w:w="85" w:type="dxa"/>
              <w:bottom w:w="0" w:type="dxa"/>
              <w:right w:w="57" w:type="dxa"/>
            </w:tcMar>
          </w:tcPr>
          <w:p w14:paraId="2C7863FD" w14:textId="77777777" w:rsidR="004D0912" w:rsidRPr="00BE78CA" w:rsidRDefault="004D0912" w:rsidP="009B5D7E">
            <w:pPr>
              <w:pStyle w:val="TableText"/>
              <w:jc w:val="right"/>
            </w:pPr>
            <w:r w:rsidRPr="00BE78CA">
              <w:rPr>
                <w:rFonts w:eastAsia="Calibri"/>
                <w:color w:val="111111"/>
              </w:rPr>
              <w:t>–32,551.71</w:t>
            </w:r>
          </w:p>
        </w:tc>
        <w:tc>
          <w:tcPr>
            <w:tcW w:w="0" w:type="auto"/>
            <w:tcBorders>
              <w:top w:val="single" w:sz="4" w:space="0" w:color="365F91"/>
              <w:bottom w:val="single" w:sz="4" w:space="0" w:color="365F91"/>
            </w:tcBorders>
            <w:shd w:val="clear" w:color="auto" w:fill="FFFFFF"/>
            <w:tcMar>
              <w:top w:w="0" w:type="dxa"/>
              <w:left w:w="85" w:type="dxa"/>
              <w:bottom w:w="0" w:type="dxa"/>
              <w:right w:w="57" w:type="dxa"/>
            </w:tcMar>
          </w:tcPr>
          <w:p w14:paraId="21A0AD9A" w14:textId="77777777" w:rsidR="004D0912" w:rsidRPr="00BE78CA" w:rsidRDefault="004D0912" w:rsidP="009B5D7E">
            <w:pPr>
              <w:pStyle w:val="TableText"/>
              <w:jc w:val="right"/>
            </w:pPr>
            <w:r w:rsidRPr="00BE78CA">
              <w:rPr>
                <w:rFonts w:eastAsia="Calibri"/>
                <w:color w:val="111111"/>
              </w:rPr>
              <w:t>–33,127.61</w:t>
            </w:r>
          </w:p>
        </w:tc>
        <w:tc>
          <w:tcPr>
            <w:tcW w:w="0" w:type="auto"/>
            <w:tcBorders>
              <w:top w:val="single" w:sz="4" w:space="0" w:color="365F91"/>
              <w:bottom w:val="single" w:sz="4" w:space="0" w:color="365F91"/>
            </w:tcBorders>
            <w:shd w:val="clear" w:color="auto" w:fill="FFFFFF"/>
            <w:tcMar>
              <w:top w:w="0" w:type="dxa"/>
              <w:left w:w="85" w:type="dxa"/>
              <w:bottom w:w="0" w:type="dxa"/>
              <w:right w:w="57" w:type="dxa"/>
            </w:tcMar>
          </w:tcPr>
          <w:p w14:paraId="2C30B01F" w14:textId="77777777" w:rsidR="004D0912" w:rsidRPr="00BE78CA" w:rsidRDefault="004D0912" w:rsidP="009B5D7E">
            <w:pPr>
              <w:pStyle w:val="TableText"/>
              <w:jc w:val="right"/>
            </w:pPr>
            <w:r w:rsidRPr="00BE78CA">
              <w:rPr>
                <w:rFonts w:eastAsia="Calibri"/>
                <w:color w:val="111111"/>
              </w:rPr>
              <w:t>–33,437.01</w:t>
            </w:r>
          </w:p>
        </w:tc>
        <w:tc>
          <w:tcPr>
            <w:tcW w:w="0" w:type="auto"/>
            <w:tcBorders>
              <w:top w:val="single" w:sz="4" w:space="0" w:color="365F91"/>
              <w:bottom w:val="single" w:sz="4" w:space="0" w:color="365F91"/>
              <w:right w:val="single" w:sz="4" w:space="0" w:color="FFFFFF"/>
            </w:tcBorders>
            <w:shd w:val="clear" w:color="auto" w:fill="FFFFFF"/>
            <w:tcMar>
              <w:top w:w="0" w:type="dxa"/>
              <w:left w:w="85" w:type="dxa"/>
              <w:bottom w:w="0" w:type="dxa"/>
              <w:right w:w="57" w:type="dxa"/>
            </w:tcMar>
          </w:tcPr>
          <w:p w14:paraId="62E155D0" w14:textId="77777777" w:rsidR="004D0912" w:rsidRPr="00BE78CA" w:rsidRDefault="004D0912" w:rsidP="009B5D7E">
            <w:pPr>
              <w:pStyle w:val="TableText"/>
              <w:jc w:val="right"/>
            </w:pPr>
            <w:r w:rsidRPr="00BE78CA">
              <w:rPr>
                <w:rFonts w:eastAsia="Calibri"/>
                <w:color w:val="111111"/>
              </w:rPr>
              <w:t>–33,570.72</w:t>
            </w:r>
          </w:p>
        </w:tc>
      </w:tr>
      <w:tr w:rsidR="002C3833" w:rsidRPr="00BE78CA" w14:paraId="4E10E5FB" w14:textId="77777777" w:rsidTr="00323F5C">
        <w:trPr>
          <w:cantSplit/>
        </w:trPr>
        <w:tc>
          <w:tcPr>
            <w:tcW w:w="579" w:type="pct"/>
            <w:tcBorders>
              <w:top w:val="single" w:sz="4" w:space="0" w:color="365F91"/>
              <w:bottom w:val="single" w:sz="4" w:space="0" w:color="365F91"/>
            </w:tcBorders>
            <w:shd w:val="clear" w:color="auto" w:fill="FFFFFF"/>
            <w:tcMar>
              <w:top w:w="0" w:type="dxa"/>
              <w:left w:w="85" w:type="dxa"/>
              <w:bottom w:w="0" w:type="dxa"/>
              <w:right w:w="57" w:type="dxa"/>
            </w:tcMar>
          </w:tcPr>
          <w:p w14:paraId="6C6C6039" w14:textId="7FA3968B" w:rsidR="004D0912" w:rsidRPr="00BE78CA" w:rsidRDefault="004D0912" w:rsidP="00680FCA">
            <w:pPr>
              <w:pStyle w:val="TableText"/>
            </w:pPr>
            <w:r w:rsidRPr="00BE78CA">
              <w:rPr>
                <w:rFonts w:eastAsia="Calibri"/>
                <w:color w:val="365F91"/>
              </w:rPr>
              <w:t>Accounting quantity (kt</w:t>
            </w:r>
            <w:r w:rsidR="00A961BD" w:rsidRPr="00BE78CA">
              <w:rPr>
                <w:rFonts w:eastAsia="Calibri"/>
                <w:color w:val="365F91"/>
              </w:rPr>
              <w:t> </w:t>
            </w:r>
            <w:r w:rsidRPr="00BE78CA">
              <w:rPr>
                <w:rFonts w:eastAsia="Calibri"/>
                <w:color w:val="365F91"/>
              </w:rPr>
              <w:t>CO</w:t>
            </w:r>
            <w:r w:rsidRPr="00BE78CA">
              <w:rPr>
                <w:rFonts w:eastAsia="Calibri"/>
                <w:color w:val="365F91"/>
                <w:vertAlign w:val="subscript"/>
              </w:rPr>
              <w:t>2</w:t>
            </w:r>
            <w:r w:rsidRPr="00BE78CA">
              <w:rPr>
                <w:rFonts w:eastAsia="Calibri"/>
                <w:color w:val="365F91"/>
              </w:rPr>
              <w:t>-e)</w:t>
            </w:r>
          </w:p>
        </w:tc>
        <w:tc>
          <w:tcPr>
            <w:tcW w:w="0" w:type="auto"/>
            <w:tcBorders>
              <w:top w:val="single" w:sz="4" w:space="0" w:color="365F91"/>
              <w:bottom w:val="single" w:sz="4" w:space="0" w:color="365F91"/>
            </w:tcBorders>
            <w:shd w:val="clear" w:color="auto" w:fill="FFFFFF"/>
            <w:tcMar>
              <w:top w:w="0" w:type="dxa"/>
              <w:left w:w="85" w:type="dxa"/>
              <w:bottom w:w="0" w:type="dxa"/>
              <w:right w:w="57" w:type="dxa"/>
            </w:tcMar>
          </w:tcPr>
          <w:p w14:paraId="14B46A9D" w14:textId="77777777" w:rsidR="004D0912" w:rsidRPr="00BE78CA" w:rsidRDefault="004D0912" w:rsidP="009B5D7E">
            <w:pPr>
              <w:pStyle w:val="TableText"/>
              <w:jc w:val="right"/>
            </w:pPr>
            <w:r w:rsidRPr="00BE78CA">
              <w:rPr>
                <w:rFonts w:eastAsia="Calibri"/>
                <w:color w:val="365F9A"/>
              </w:rPr>
              <w:t>–</w:t>
            </w:r>
            <w:r w:rsidRPr="00BE78CA">
              <w:rPr>
                <w:rFonts w:eastAsia="Calibri"/>
                <w:color w:val="365F91"/>
              </w:rPr>
              <w:t>9,444.87</w:t>
            </w:r>
          </w:p>
        </w:tc>
        <w:tc>
          <w:tcPr>
            <w:tcW w:w="0" w:type="auto"/>
            <w:tcBorders>
              <w:top w:val="single" w:sz="4" w:space="0" w:color="365F91"/>
              <w:bottom w:val="single" w:sz="4" w:space="0" w:color="365F91"/>
            </w:tcBorders>
            <w:shd w:val="clear" w:color="auto" w:fill="FFFFFF"/>
            <w:tcMar>
              <w:top w:w="0" w:type="dxa"/>
              <w:left w:w="85" w:type="dxa"/>
              <w:bottom w:w="0" w:type="dxa"/>
              <w:right w:w="57" w:type="dxa"/>
            </w:tcMar>
          </w:tcPr>
          <w:p w14:paraId="686ABEE8" w14:textId="77777777" w:rsidR="004D0912" w:rsidRPr="00BE78CA" w:rsidRDefault="004D0912" w:rsidP="009B5D7E">
            <w:pPr>
              <w:pStyle w:val="TableText"/>
              <w:jc w:val="right"/>
            </w:pPr>
            <w:r w:rsidRPr="00BE78CA">
              <w:rPr>
                <w:rFonts w:eastAsia="Calibri"/>
                <w:color w:val="365F9A"/>
              </w:rPr>
              <w:t>–</w:t>
            </w:r>
            <w:r w:rsidRPr="00BE78CA">
              <w:rPr>
                <w:rFonts w:eastAsia="Calibri"/>
                <w:color w:val="365F91"/>
              </w:rPr>
              <w:t>12,771.99</w:t>
            </w:r>
          </w:p>
        </w:tc>
        <w:tc>
          <w:tcPr>
            <w:tcW w:w="0" w:type="auto"/>
            <w:tcBorders>
              <w:top w:val="single" w:sz="4" w:space="0" w:color="365F91"/>
              <w:bottom w:val="single" w:sz="4" w:space="0" w:color="365F91"/>
            </w:tcBorders>
            <w:shd w:val="clear" w:color="auto" w:fill="FFFFFF"/>
            <w:tcMar>
              <w:top w:w="0" w:type="dxa"/>
              <w:left w:w="85" w:type="dxa"/>
              <w:bottom w:w="0" w:type="dxa"/>
              <w:right w:w="57" w:type="dxa"/>
            </w:tcMar>
          </w:tcPr>
          <w:p w14:paraId="622ABB1F" w14:textId="77777777" w:rsidR="004D0912" w:rsidRPr="00BE78CA" w:rsidRDefault="004D0912" w:rsidP="009B5D7E">
            <w:pPr>
              <w:pStyle w:val="TableText"/>
              <w:jc w:val="right"/>
            </w:pPr>
            <w:r w:rsidRPr="00BE78CA">
              <w:rPr>
                <w:rFonts w:eastAsia="Calibri"/>
                <w:color w:val="365F9A"/>
              </w:rPr>
              <w:t>–</w:t>
            </w:r>
            <w:r w:rsidRPr="00BE78CA">
              <w:rPr>
                <w:rFonts w:eastAsia="Calibri"/>
                <w:color w:val="365F91"/>
              </w:rPr>
              <w:t>14,876.18</w:t>
            </w:r>
          </w:p>
        </w:tc>
        <w:tc>
          <w:tcPr>
            <w:tcW w:w="0" w:type="auto"/>
            <w:tcBorders>
              <w:top w:val="single" w:sz="4" w:space="0" w:color="365F91"/>
              <w:bottom w:val="single" w:sz="4" w:space="0" w:color="365F91"/>
            </w:tcBorders>
            <w:shd w:val="clear" w:color="auto" w:fill="FFFFFF"/>
            <w:tcMar>
              <w:top w:w="0" w:type="dxa"/>
              <w:left w:w="85" w:type="dxa"/>
              <w:bottom w:w="0" w:type="dxa"/>
              <w:right w:w="57" w:type="dxa"/>
            </w:tcMar>
          </w:tcPr>
          <w:p w14:paraId="1C59833C" w14:textId="77777777" w:rsidR="004D0912" w:rsidRPr="00BE78CA" w:rsidRDefault="004D0912" w:rsidP="009B5D7E">
            <w:pPr>
              <w:pStyle w:val="TableText"/>
              <w:jc w:val="right"/>
            </w:pPr>
            <w:r w:rsidRPr="00BE78CA">
              <w:rPr>
                <w:rFonts w:eastAsia="Calibri"/>
                <w:color w:val="365F9A"/>
              </w:rPr>
              <w:t>–</w:t>
            </w:r>
            <w:r w:rsidRPr="00BE78CA">
              <w:rPr>
                <w:rFonts w:eastAsia="Calibri"/>
                <w:color w:val="365F91"/>
              </w:rPr>
              <w:t>16,157.69</w:t>
            </w:r>
          </w:p>
        </w:tc>
        <w:tc>
          <w:tcPr>
            <w:tcW w:w="0" w:type="auto"/>
            <w:tcBorders>
              <w:top w:val="single" w:sz="4" w:space="0" w:color="365F91"/>
              <w:bottom w:val="single" w:sz="4" w:space="0" w:color="365F91"/>
            </w:tcBorders>
            <w:shd w:val="clear" w:color="auto" w:fill="FFFFFF"/>
            <w:tcMar>
              <w:top w:w="0" w:type="dxa"/>
              <w:left w:w="85" w:type="dxa"/>
              <w:bottom w:w="0" w:type="dxa"/>
              <w:right w:w="57" w:type="dxa"/>
            </w:tcMar>
          </w:tcPr>
          <w:p w14:paraId="310C48A6" w14:textId="77777777" w:rsidR="004D0912" w:rsidRPr="00BE78CA" w:rsidRDefault="004D0912" w:rsidP="009B5D7E">
            <w:pPr>
              <w:pStyle w:val="TableText"/>
              <w:jc w:val="right"/>
            </w:pPr>
            <w:r w:rsidRPr="00BE78CA">
              <w:rPr>
                <w:rFonts w:eastAsia="Calibri"/>
                <w:color w:val="365F9A"/>
              </w:rPr>
              <w:t>–</w:t>
            </w:r>
            <w:r w:rsidRPr="00BE78CA">
              <w:rPr>
                <w:rFonts w:eastAsia="Calibri"/>
                <w:color w:val="365F91"/>
              </w:rPr>
              <w:t>16,260.67</w:t>
            </w:r>
          </w:p>
        </w:tc>
        <w:tc>
          <w:tcPr>
            <w:tcW w:w="0" w:type="auto"/>
            <w:tcBorders>
              <w:top w:val="single" w:sz="4" w:space="0" w:color="365F91"/>
              <w:bottom w:val="single" w:sz="4" w:space="0" w:color="365F91"/>
            </w:tcBorders>
            <w:shd w:val="clear" w:color="auto" w:fill="FFFFFF"/>
            <w:tcMar>
              <w:top w:w="0" w:type="dxa"/>
              <w:left w:w="85" w:type="dxa"/>
              <w:bottom w:w="0" w:type="dxa"/>
              <w:right w:w="57" w:type="dxa"/>
            </w:tcMar>
          </w:tcPr>
          <w:p w14:paraId="3F4BD675" w14:textId="77777777" w:rsidR="004D0912" w:rsidRPr="00BE78CA" w:rsidRDefault="004D0912" w:rsidP="009B5D7E">
            <w:pPr>
              <w:pStyle w:val="TableText"/>
              <w:jc w:val="right"/>
            </w:pPr>
            <w:r w:rsidRPr="00BE78CA">
              <w:rPr>
                <w:rFonts w:eastAsia="Calibri"/>
                <w:color w:val="365F9A"/>
              </w:rPr>
              <w:t>–</w:t>
            </w:r>
            <w:r w:rsidRPr="00BE78CA">
              <w:rPr>
                <w:rFonts w:eastAsia="Calibri"/>
                <w:color w:val="365F91"/>
              </w:rPr>
              <w:t>14,927.68</w:t>
            </w:r>
          </w:p>
        </w:tc>
        <w:tc>
          <w:tcPr>
            <w:tcW w:w="0" w:type="auto"/>
            <w:tcBorders>
              <w:top w:val="single" w:sz="4" w:space="0" w:color="365F91"/>
              <w:bottom w:val="single" w:sz="4" w:space="0" w:color="365F91"/>
              <w:right w:val="single" w:sz="4" w:space="0" w:color="FFFFFF"/>
            </w:tcBorders>
            <w:shd w:val="clear" w:color="auto" w:fill="FFFFFF"/>
            <w:tcMar>
              <w:top w:w="0" w:type="dxa"/>
              <w:left w:w="85" w:type="dxa"/>
              <w:bottom w:w="0" w:type="dxa"/>
              <w:right w:w="57" w:type="dxa"/>
            </w:tcMar>
          </w:tcPr>
          <w:p w14:paraId="5B6F0B49" w14:textId="77777777" w:rsidR="004D0912" w:rsidRPr="00BE78CA" w:rsidRDefault="004D0912" w:rsidP="009B5D7E">
            <w:pPr>
              <w:pStyle w:val="TableText"/>
              <w:jc w:val="right"/>
            </w:pPr>
            <w:r w:rsidRPr="00BE78CA">
              <w:rPr>
                <w:rFonts w:eastAsia="Calibri"/>
                <w:color w:val="365F9A"/>
              </w:rPr>
              <w:t>–</w:t>
            </w:r>
            <w:r w:rsidRPr="00BE78CA">
              <w:rPr>
                <w:rFonts w:eastAsia="Calibri"/>
                <w:color w:val="365F91"/>
              </w:rPr>
              <w:t>12,905.44</w:t>
            </w:r>
          </w:p>
        </w:tc>
      </w:tr>
    </w:tbl>
    <w:p w14:paraId="7953AEB0" w14:textId="2BF73A87" w:rsidR="004D0912" w:rsidRPr="00BE78CA" w:rsidRDefault="004D0912" w:rsidP="004D0912">
      <w:pPr>
        <w:pStyle w:val="Noteundertable"/>
      </w:pPr>
      <w:r w:rsidRPr="00BE78CA">
        <w:rPr>
          <w:b/>
        </w:rPr>
        <w:t>Note:</w:t>
      </w:r>
      <w:r w:rsidRPr="00BE78CA">
        <w:t xml:space="preserve"> </w:t>
      </w:r>
      <w:r w:rsidRPr="00BE78CA">
        <w:tab/>
        <w:t>ha = hectares. All figures for 2017, 2018 and 2019 are provisional). Where net emissions result in removals, they are expressed as a negative value as per section 2.2.3 of the IPCC Guidelines (IPCC, 2006). The accounting quantity excludes net emissions from forest management because these will be accounted for at</w:t>
      </w:r>
      <w:r w:rsidR="00CE5D98" w:rsidRPr="00BE78CA">
        <w:t> </w:t>
      </w:r>
      <w:r w:rsidRPr="00BE78CA">
        <w:t>the end of the commitment period against a forest management reference level and a cap will apply to limit credits; further information on these is included in chapter 11. Columns may not total due to rounding. Afforestation and deforestation differ from that in chapter 6 due to carbon equivalent forests being reported separately.</w:t>
      </w:r>
    </w:p>
    <w:p w14:paraId="23E146C2" w14:textId="77777777" w:rsidR="00CE5D98" w:rsidRPr="00BE78CA" w:rsidRDefault="00CE5D98" w:rsidP="00CE5D98">
      <w:pPr>
        <w:pStyle w:val="BodyText"/>
      </w:pPr>
      <w:r w:rsidRPr="00BE78CA">
        <w:br w:type="page"/>
      </w:r>
    </w:p>
    <w:p w14:paraId="1A619458" w14:textId="300DFE4B" w:rsidR="004D0912" w:rsidRPr="00BE78CA" w:rsidRDefault="004D0912" w:rsidP="00CE5D98">
      <w:pPr>
        <w:pStyle w:val="Heading2"/>
        <w:spacing w:before="0" w:after="360"/>
      </w:pPr>
      <w:bookmarkStart w:id="195" w:name="_Toc68786303"/>
      <w:r w:rsidRPr="00BE78CA">
        <w:lastRenderedPageBreak/>
        <w:t>Chapter 2: References</w:t>
      </w:r>
      <w:bookmarkEnd w:id="195"/>
    </w:p>
    <w:p w14:paraId="7A90F5A2" w14:textId="77777777" w:rsidR="004D0912" w:rsidRPr="00BE78CA" w:rsidRDefault="004D0912" w:rsidP="004D0912">
      <w:pPr>
        <w:pStyle w:val="References"/>
      </w:pPr>
      <w:r w:rsidRPr="00BE78CA">
        <w:t xml:space="preserve">Beef + Lamb New Zealand Ltd. 2020. </w:t>
      </w:r>
      <w:r w:rsidRPr="00BE78CA">
        <w:rPr>
          <w:i/>
        </w:rPr>
        <w:t>Mid-Season Update 2019–20</w:t>
      </w:r>
      <w:r w:rsidRPr="00BE78CA">
        <w:t>. Wellington: Beef + Lamb New Zealand Ltd.</w:t>
      </w:r>
    </w:p>
    <w:p w14:paraId="262C2F54" w14:textId="77777777" w:rsidR="004D0912" w:rsidRPr="00BE78CA" w:rsidRDefault="004D0912" w:rsidP="004D0912">
      <w:pPr>
        <w:pStyle w:val="References"/>
      </w:pPr>
      <w:r w:rsidRPr="00BE78CA">
        <w:t xml:space="preserve">IPCC. 2006. Eggleston HS, Buendia L, Miwa K, Ngara T, Tanabe K (eds). </w:t>
      </w:r>
      <w:r w:rsidRPr="00BE78CA">
        <w:rPr>
          <w:i/>
        </w:rPr>
        <w:t>2006 IPCC Guidelines for National Greenhouse Gas Inventories. Volume 5. Waste</w:t>
      </w:r>
      <w:r w:rsidRPr="00BE78CA">
        <w:t>. IPCC National Greenhouse Gas Inventories Programme. Japan: Institute for Global Environmental Strategies for IPCC.</w:t>
      </w:r>
    </w:p>
    <w:p w14:paraId="08207D84" w14:textId="7754C989" w:rsidR="004D0912" w:rsidRPr="00BE78CA" w:rsidRDefault="004D0912" w:rsidP="004D0912">
      <w:pPr>
        <w:pStyle w:val="References"/>
      </w:pPr>
      <w:r w:rsidRPr="00BE78CA">
        <w:t xml:space="preserve">LIC (Livestock Improvement Corporation Limited) and DairyNZ. 2020. </w:t>
      </w:r>
      <w:r w:rsidRPr="00BE78CA">
        <w:rPr>
          <w:i/>
        </w:rPr>
        <w:t xml:space="preserve">New Zealand Dairy Statistics </w:t>
      </w:r>
      <w:r w:rsidR="00775144" w:rsidRPr="00BE78CA">
        <w:rPr>
          <w:i/>
        </w:rPr>
        <w:br/>
      </w:r>
      <w:r w:rsidRPr="00BE78CA">
        <w:rPr>
          <w:i/>
        </w:rPr>
        <w:t>2019–2020</w:t>
      </w:r>
      <w:r w:rsidRPr="00BE78CA">
        <w:t xml:space="preserve">. Hamilton: DairyNZ. Retrieved from </w:t>
      </w:r>
      <w:hyperlink r:id="rId52" w:history="1">
        <w:r w:rsidR="00D86F1A" w:rsidRPr="00BE78CA">
          <w:rPr>
            <w:rStyle w:val="Hyperlink"/>
          </w:rPr>
          <w:t>www.dairynz.co.nz/media/5794073/nz-dairy-statistics-2019-20-dnz.pdf</w:t>
        </w:r>
      </w:hyperlink>
      <w:r w:rsidR="008440A6" w:rsidRPr="00BE78CA">
        <w:t xml:space="preserve"> </w:t>
      </w:r>
      <w:r w:rsidRPr="00BE78CA">
        <w:t>(14 December 2020).</w:t>
      </w:r>
    </w:p>
    <w:p w14:paraId="617BD5D1" w14:textId="77777777" w:rsidR="004D0912" w:rsidRPr="00BE78CA" w:rsidRDefault="004D0912" w:rsidP="004D0912">
      <w:pPr>
        <w:pStyle w:val="References"/>
      </w:pPr>
      <w:r w:rsidRPr="00BE78CA">
        <w:t xml:space="preserve">Ministry for the Environment. 2016. </w:t>
      </w:r>
      <w:r w:rsidRPr="00BE78CA">
        <w:rPr>
          <w:i/>
        </w:rPr>
        <w:t>New Zealand’s Initial Report to Facilitate the Calculation of its Emissions Budget for the Period 2013 to 2020</w:t>
      </w:r>
      <w:r w:rsidRPr="00BE78CA">
        <w:t>. Wellington: Ministry for the Environment.</w:t>
      </w:r>
    </w:p>
    <w:p w14:paraId="6C2F748F" w14:textId="77777777" w:rsidR="004D0912" w:rsidRPr="00BE78CA" w:rsidRDefault="004D0912" w:rsidP="004D0912">
      <w:pPr>
        <w:pStyle w:val="References"/>
      </w:pPr>
      <w:r w:rsidRPr="00BE78CA">
        <w:t xml:space="preserve">UNFCCC. 2013. FCCC/CP/2013/10/Add.3. </w:t>
      </w:r>
      <w:r w:rsidRPr="00BE78CA">
        <w:rPr>
          <w:i/>
        </w:rPr>
        <w:t>Report of the Conference of the Parties on its nineteenth session, held in Warsaw from 11 to 23 November 2013, Addendum; Decision 24/CP.19 Revision of the UNFCCC reporting guidelines on annual inventories for Parties included in Annex I to the Convention</w:t>
      </w:r>
      <w:r w:rsidRPr="00BE78CA">
        <w:t>.</w:t>
      </w:r>
    </w:p>
    <w:p w14:paraId="05A83CFF" w14:textId="0AC48901" w:rsidR="00935717" w:rsidRPr="00BE78CA" w:rsidRDefault="00935717" w:rsidP="000E497C"/>
    <w:p w14:paraId="34C72FFC" w14:textId="77777777" w:rsidR="00775144" w:rsidRPr="00BE78CA" w:rsidRDefault="00775144" w:rsidP="000E497C">
      <w:pPr>
        <w:sectPr w:rsidR="00775144" w:rsidRPr="00BE78CA" w:rsidSect="00775144">
          <w:headerReference w:type="even" r:id="rId53"/>
          <w:headerReference w:type="default" r:id="rId54"/>
          <w:footerReference w:type="even" r:id="rId55"/>
          <w:footerReference w:type="default" r:id="rId56"/>
          <w:headerReference w:type="first" r:id="rId57"/>
          <w:footerReference w:type="first" r:id="rId58"/>
          <w:pgSz w:w="11907" w:h="16840" w:code="9"/>
          <w:pgMar w:top="1418" w:right="1701" w:bottom="1418" w:left="1701" w:header="567" w:footer="567" w:gutter="0"/>
          <w:cols w:space="720"/>
        </w:sectPr>
      </w:pPr>
    </w:p>
    <w:p w14:paraId="157D41B3" w14:textId="77777777" w:rsidR="00706DD1" w:rsidRPr="00BE78CA" w:rsidRDefault="00706DD1" w:rsidP="00706DD1">
      <w:pPr>
        <w:pStyle w:val="Heading1"/>
        <w:rPr>
          <w:rFonts w:cs="Calibri"/>
          <w:lang w:eastAsia="en-GB"/>
        </w:rPr>
      </w:pPr>
      <w:bookmarkStart w:id="196" w:name="_Toc36224384"/>
      <w:bookmarkStart w:id="197" w:name="_Toc68786304"/>
      <w:r w:rsidRPr="00BE78CA">
        <w:rPr>
          <w:rFonts w:cs="Calibri"/>
          <w:lang w:eastAsia="en-GB"/>
        </w:rPr>
        <w:lastRenderedPageBreak/>
        <w:t>Chapter 3: Energy</w:t>
      </w:r>
      <w:bookmarkEnd w:id="196"/>
      <w:bookmarkEnd w:id="197"/>
    </w:p>
    <w:p w14:paraId="014E3544" w14:textId="77777777" w:rsidR="00706DD1" w:rsidRPr="00BE78CA" w:rsidRDefault="00706DD1" w:rsidP="00706DD1">
      <w:pPr>
        <w:pStyle w:val="Heading2"/>
        <w:spacing w:before="240"/>
        <w:rPr>
          <w:rFonts w:cs="Calibri"/>
        </w:rPr>
      </w:pPr>
      <w:bookmarkStart w:id="198" w:name="_Toc321398808"/>
      <w:bookmarkStart w:id="199" w:name="_Toc384581634"/>
      <w:bookmarkStart w:id="200" w:name="_Toc448321506"/>
      <w:bookmarkStart w:id="201" w:name="_Toc481751368"/>
      <w:bookmarkStart w:id="202" w:name="_Toc36224385"/>
      <w:bookmarkStart w:id="203" w:name="_Toc68786305"/>
      <w:r w:rsidRPr="00BE78CA">
        <w:rPr>
          <w:rFonts w:cs="Calibri"/>
        </w:rPr>
        <w:t>3.1</w:t>
      </w:r>
      <w:r w:rsidRPr="00BE78CA">
        <w:rPr>
          <w:rFonts w:cs="Calibri"/>
        </w:rPr>
        <w:tab/>
        <w:t>Sector overview</w:t>
      </w:r>
      <w:bookmarkEnd w:id="198"/>
      <w:bookmarkEnd w:id="199"/>
      <w:bookmarkEnd w:id="200"/>
      <w:bookmarkEnd w:id="201"/>
      <w:bookmarkEnd w:id="202"/>
      <w:bookmarkEnd w:id="203"/>
    </w:p>
    <w:p w14:paraId="305E1EE3" w14:textId="77777777" w:rsidR="00706DD1" w:rsidRPr="00BE78CA" w:rsidRDefault="00706DD1" w:rsidP="00706DD1">
      <w:pPr>
        <w:pStyle w:val="Heading3"/>
        <w:spacing w:before="160"/>
        <w:rPr>
          <w:rFonts w:cs="Calibri"/>
        </w:rPr>
      </w:pPr>
      <w:r w:rsidRPr="00BE78CA">
        <w:rPr>
          <w:rFonts w:cs="Calibri"/>
        </w:rPr>
        <w:t>3.1.1</w:t>
      </w:r>
      <w:r w:rsidRPr="00BE78CA">
        <w:rPr>
          <w:rFonts w:cs="Calibri"/>
        </w:rPr>
        <w:tab/>
        <w:t>Introduction</w:t>
      </w:r>
    </w:p>
    <w:p w14:paraId="25D3B240" w14:textId="77777777" w:rsidR="00706DD1" w:rsidRPr="00BE78CA" w:rsidRDefault="00706DD1" w:rsidP="005C588A">
      <w:pPr>
        <w:pStyle w:val="BodyText"/>
      </w:pPr>
      <w:r w:rsidRPr="00BE78CA">
        <w:t xml:space="preserve">In New Zealand, the Energy sector covers both: </w:t>
      </w:r>
    </w:p>
    <w:p w14:paraId="456A00AD" w14:textId="77777777" w:rsidR="00706DD1" w:rsidRPr="00BE78CA" w:rsidRDefault="00706DD1" w:rsidP="005C588A">
      <w:pPr>
        <w:pStyle w:val="Bullet"/>
      </w:pPr>
      <w:r w:rsidRPr="00BE78CA">
        <w:t xml:space="preserve">combustion emissions resulting from fuel being burned to produce useful energy </w:t>
      </w:r>
    </w:p>
    <w:p w14:paraId="0EA8D09E" w14:textId="77777777" w:rsidR="00706DD1" w:rsidRPr="00BE78CA" w:rsidRDefault="00706DD1" w:rsidP="00706DD1">
      <w:pPr>
        <w:pStyle w:val="Bullet"/>
        <w:rPr>
          <w:rFonts w:cs="Calibri"/>
        </w:rPr>
      </w:pPr>
      <w:r w:rsidRPr="00BE78CA">
        <w:rPr>
          <w:rFonts w:cs="Calibri"/>
        </w:rPr>
        <w:t>fugitive emissions, for example: </w:t>
      </w:r>
    </w:p>
    <w:p w14:paraId="7D57FE6F" w14:textId="77777777" w:rsidR="00706DD1" w:rsidRPr="00BE78CA" w:rsidRDefault="00706DD1" w:rsidP="005C588A">
      <w:pPr>
        <w:pStyle w:val="Sub-bullet"/>
      </w:pPr>
      <w:r w:rsidRPr="00BE78CA">
        <w:t xml:space="preserve">production, transmission and storage of fuels </w:t>
      </w:r>
    </w:p>
    <w:p w14:paraId="33C8DBA4" w14:textId="77777777" w:rsidR="00706DD1" w:rsidRPr="00BE78CA" w:rsidRDefault="00706DD1" w:rsidP="005C588A">
      <w:pPr>
        <w:pStyle w:val="Sub-bullet"/>
      </w:pPr>
      <w:r w:rsidRPr="00BE78CA">
        <w:t xml:space="preserve">non-productive combustion </w:t>
      </w:r>
    </w:p>
    <w:p w14:paraId="3B9EEB09" w14:textId="77777777" w:rsidR="00706DD1" w:rsidRPr="00BE78CA" w:rsidRDefault="00706DD1" w:rsidP="005C588A">
      <w:pPr>
        <w:pStyle w:val="Sub-bullet"/>
      </w:pPr>
      <w:r w:rsidRPr="00BE78CA">
        <w:t>venting of carbon dioxide (CO</w:t>
      </w:r>
      <w:r w:rsidRPr="00BE78CA">
        <w:rPr>
          <w:vertAlign w:val="subscript"/>
        </w:rPr>
        <w:t>2</w:t>
      </w:r>
      <w:r w:rsidRPr="00BE78CA">
        <w:t>) at natural gas treatment plants</w:t>
      </w:r>
    </w:p>
    <w:p w14:paraId="5AAB848C" w14:textId="77777777" w:rsidR="00706DD1" w:rsidRPr="00BE78CA" w:rsidRDefault="00706DD1" w:rsidP="005C588A">
      <w:pPr>
        <w:pStyle w:val="Sub-bullet"/>
      </w:pPr>
      <w:r w:rsidRPr="00BE78CA">
        <w:t xml:space="preserve">emissions from geothermal fields. </w:t>
      </w:r>
    </w:p>
    <w:p w14:paraId="0108C542" w14:textId="5453ED61" w:rsidR="00706DD1" w:rsidRPr="00BE78CA" w:rsidRDefault="00706DD1" w:rsidP="005C588A">
      <w:pPr>
        <w:pStyle w:val="BodyText"/>
      </w:pPr>
      <w:r w:rsidRPr="00BE78CA">
        <w:t xml:space="preserve">Historically, combustion emissions from </w:t>
      </w:r>
      <w:r w:rsidRPr="00BE78CA">
        <w:rPr>
          <w:i/>
        </w:rPr>
        <w:t>Road transportation</w:t>
      </w:r>
      <w:r w:rsidRPr="00BE78CA">
        <w:t xml:space="preserve"> and </w:t>
      </w:r>
      <w:r w:rsidRPr="00BE78CA">
        <w:rPr>
          <w:i/>
        </w:rPr>
        <w:t>Public electricity and heat production</w:t>
      </w:r>
      <w:r w:rsidRPr="00BE78CA">
        <w:t xml:space="preserve"> constituted the largest share of domestic emissions from the Energy sector in New</w:t>
      </w:r>
      <w:r w:rsidR="005C588A" w:rsidRPr="00BE78CA">
        <w:t> </w:t>
      </w:r>
      <w:r w:rsidRPr="00BE78CA">
        <w:t>Zealand. New Zealand has one of the highest rates of car ownership among members of</w:t>
      </w:r>
      <w:r w:rsidR="001B2677" w:rsidRPr="00BE78CA">
        <w:t> </w:t>
      </w:r>
      <w:r w:rsidRPr="00BE78CA">
        <w:t>the Organisation for Economic Co-operation and Development (OECD) and a relatively old vehicle fleet (average age of light passenger fleet was around 14 years in 2017). Most freight is</w:t>
      </w:r>
      <w:r w:rsidR="001B2677" w:rsidRPr="00BE78CA">
        <w:t> </w:t>
      </w:r>
      <w:r w:rsidRPr="00BE78CA">
        <w:t xml:space="preserve">transported by trucks, with smaller quantities transported by rail and coastal shipping. </w:t>
      </w:r>
    </w:p>
    <w:p w14:paraId="488412A6" w14:textId="77777777" w:rsidR="00706DD1" w:rsidRPr="00BE78CA" w:rsidRDefault="00706DD1" w:rsidP="005C588A">
      <w:pPr>
        <w:pStyle w:val="BodyText"/>
      </w:pPr>
      <w:r w:rsidRPr="00BE78CA">
        <w:t>Due to its sparse population and rural-based economy, New Zealand’s domestic transport emissions per capita are high, when compared with many other Annex I countries.</w:t>
      </w:r>
    </w:p>
    <w:p w14:paraId="0DCC4173" w14:textId="205AB7FA" w:rsidR="00706DD1" w:rsidRPr="00BE78CA" w:rsidRDefault="00706DD1" w:rsidP="005C588A">
      <w:pPr>
        <w:pStyle w:val="BodyText"/>
      </w:pPr>
      <w:r w:rsidRPr="00BE78CA">
        <w:t>Electricity generation from the combustion of coal, oil and gas supports New Zealand’s highly renewable electricity system. In 2019, fossil fuel thermal plants provided 17.5 per cent of New Zealand’s total electricity supply, which is very low by international standards. This is due</w:t>
      </w:r>
      <w:r w:rsidR="00D66ACE" w:rsidRPr="00BE78CA">
        <w:t> </w:t>
      </w:r>
      <w:r w:rsidRPr="00BE78CA">
        <w:t>to the high proportion of demand met by hydroelectric power generation, as well as other</w:t>
      </w:r>
      <w:r w:rsidR="00D66ACE" w:rsidRPr="00BE78CA">
        <w:t> </w:t>
      </w:r>
      <w:r w:rsidRPr="00BE78CA">
        <w:t>renewable power sources such as geothermal and wind. While this provides a strong power generation base in years with good hydro inflows, electricity emissions remain sensitive to rainfall in the key catchment areas. New Zealand has low levels of hydro lake storage, compared with other countries where hydro features prominently in their electricity supply.</w:t>
      </w:r>
    </w:p>
    <w:p w14:paraId="6FF7A13B" w14:textId="77777777" w:rsidR="00706DD1" w:rsidRPr="00BE78CA" w:rsidRDefault="00706DD1" w:rsidP="005C588A">
      <w:pPr>
        <w:pStyle w:val="BodyText"/>
      </w:pPr>
      <w:r w:rsidRPr="00BE78CA">
        <w:t>Fugitive emissions present a relatively minor portion of New Zealand’s energy emissions profile. The main sources of New Zealand’s fugitive emissions include coal mining operations, production and processing of natural gas (largely venting and flaring) and geothermal operations (largely for electricity generation).</w:t>
      </w:r>
    </w:p>
    <w:p w14:paraId="09F14714" w14:textId="77777777" w:rsidR="00706DD1" w:rsidRPr="00BE78CA" w:rsidRDefault="00706DD1" w:rsidP="005C588A">
      <w:pPr>
        <w:pStyle w:val="BodyText"/>
        <w:rPr>
          <w:sz w:val="19"/>
          <w:szCs w:val="19"/>
        </w:rPr>
      </w:pPr>
      <w:r w:rsidRPr="00BE78CA">
        <w:t>New Zealand reports emissions from Tokelau, which is a dependent territory of New Zealand. Emissions from Tokelau for all activities are reported in chapter 8 and annex 7 of the National Inventory Report, and within the ‘Other’ sector in the common reporting format (CRF) tables. This is due to the significantly different methods applied and prohibitive complexity of integrating emissions within the main sectors. Therefore, all emissions reported under this sector are from New Zealand excluding Tokelau. Please refer to chapter 8 of the National Inventory Report for details of methods applied and the emissions for Tokelau.</w:t>
      </w:r>
    </w:p>
    <w:p w14:paraId="08407A73" w14:textId="77777777" w:rsidR="00706DD1" w:rsidRPr="00BE78CA" w:rsidRDefault="00706DD1" w:rsidP="00706DD1">
      <w:pPr>
        <w:pStyle w:val="Heading5"/>
      </w:pPr>
      <w:r w:rsidRPr="00BE78CA">
        <w:rPr>
          <w:rStyle w:val="Emphasis"/>
        </w:rPr>
        <w:lastRenderedPageBreak/>
        <w:t>2019</w:t>
      </w:r>
    </w:p>
    <w:p w14:paraId="2CA63963" w14:textId="0DC0A051" w:rsidR="00706DD1" w:rsidRPr="00BE78CA" w:rsidRDefault="00706DD1" w:rsidP="0066164F">
      <w:pPr>
        <w:pStyle w:val="BodyText"/>
      </w:pPr>
      <w:r w:rsidRPr="00BE78CA">
        <w:t>In </w:t>
      </w:r>
      <w:r w:rsidRPr="00BE78CA">
        <w:rPr>
          <w:rStyle w:val="Strong"/>
          <w:rFonts w:asciiTheme="minorHAnsi" w:hAnsiTheme="minorHAnsi" w:cstheme="minorHAnsi"/>
          <w:b w:val="0"/>
          <w:bCs w:val="0"/>
        </w:rPr>
        <w:t>2019</w:t>
      </w:r>
      <w:r w:rsidRPr="00BE78CA">
        <w:t>, emissions from the Energy sector contributed 34,263.1 </w:t>
      </w:r>
      <w:r w:rsidRPr="00BE78CA">
        <w:rPr>
          <w:rFonts w:cs="Calibri"/>
        </w:rPr>
        <w:t>kilotonnes carbon dioxide equivalent</w:t>
      </w:r>
      <w:r w:rsidRPr="00BE78CA">
        <w:t xml:space="preserve"> (kt CO</w:t>
      </w:r>
      <w:r w:rsidRPr="00BE78CA">
        <w:rPr>
          <w:vertAlign w:val="subscript"/>
        </w:rPr>
        <w:t>2</w:t>
      </w:r>
      <w:r w:rsidRPr="00BE78CA">
        <w:t>-e) or </w:t>
      </w:r>
      <w:r w:rsidRPr="00BE78CA">
        <w:rPr>
          <w:rStyle w:val="Strong"/>
          <w:rFonts w:asciiTheme="minorHAnsi" w:hAnsiTheme="minorHAnsi" w:cstheme="minorHAnsi"/>
          <w:b w:val="0"/>
          <w:bCs w:val="0"/>
        </w:rPr>
        <w:t>41.6</w:t>
      </w:r>
      <w:r w:rsidRPr="00BE78CA">
        <w:t> per cent of New Zealand’s gross greenhouse gas emissions (see</w:t>
      </w:r>
      <w:r w:rsidR="00443A29" w:rsidRPr="00BE78CA">
        <w:t> </w:t>
      </w:r>
      <w:r w:rsidRPr="00BE78CA">
        <w:t>(figure 2.2.1).</w:t>
      </w:r>
    </w:p>
    <w:p w14:paraId="7FF459DC" w14:textId="7D123BC7" w:rsidR="00706DD1" w:rsidRPr="00BE78CA" w:rsidRDefault="00706DD1" w:rsidP="0066164F">
      <w:pPr>
        <w:pStyle w:val="BodyText"/>
      </w:pPr>
      <w:r w:rsidRPr="00BE78CA">
        <w:t>The largest sources of emissions in the Energy sector were the </w:t>
      </w:r>
      <w:r w:rsidRPr="00BE78CA">
        <w:rPr>
          <w:rStyle w:val="Emphasis"/>
          <w:rFonts w:asciiTheme="minorHAnsi" w:hAnsiTheme="minorHAnsi" w:cstheme="minorHAnsi"/>
        </w:rPr>
        <w:t>Road transportation</w:t>
      </w:r>
      <w:r w:rsidR="00443A29" w:rsidRPr="00BE78CA">
        <w:t xml:space="preserve"> </w:t>
      </w:r>
      <w:r w:rsidRPr="00BE78CA">
        <w:t>category,</w:t>
      </w:r>
      <w:r w:rsidR="00443A29" w:rsidRPr="00BE78CA">
        <w:t> </w:t>
      </w:r>
      <w:r w:rsidRPr="00BE78CA">
        <w:t>contributing 14,670.1 CO</w:t>
      </w:r>
      <w:r w:rsidRPr="00BE78CA">
        <w:rPr>
          <w:vertAlign w:val="subscript"/>
        </w:rPr>
        <w:t>2</w:t>
      </w:r>
      <w:r w:rsidRPr="00BE78CA">
        <w:t>-e (42.8 per cent), and the </w:t>
      </w:r>
      <w:r w:rsidRPr="00BE78CA">
        <w:rPr>
          <w:rStyle w:val="Emphasis"/>
          <w:rFonts w:asciiTheme="minorHAnsi" w:hAnsiTheme="minorHAnsi" w:cstheme="minorHAnsi"/>
        </w:rPr>
        <w:t>Public electricity and heat production</w:t>
      </w:r>
      <w:r w:rsidRPr="00BE78CA">
        <w:t> category, contributing 4,181.3 kt CO</w:t>
      </w:r>
      <w:r w:rsidRPr="00BE78CA">
        <w:rPr>
          <w:vertAlign w:val="subscript"/>
        </w:rPr>
        <w:t>2</w:t>
      </w:r>
      <w:r w:rsidRPr="00BE78CA">
        <w:t>-e (12.2 per cent) to energy emissions.</w:t>
      </w:r>
    </w:p>
    <w:p w14:paraId="5C285763" w14:textId="77777777" w:rsidR="00706DD1" w:rsidRPr="00BE78CA" w:rsidRDefault="00706DD1" w:rsidP="00706DD1">
      <w:pPr>
        <w:pStyle w:val="Heading5"/>
        <w:rPr>
          <w:rFonts w:cs="Calibri"/>
          <w:lang w:eastAsia="en-GB"/>
        </w:rPr>
      </w:pPr>
      <w:r w:rsidRPr="00BE78CA">
        <w:rPr>
          <w:rFonts w:cs="Calibri"/>
          <w:lang w:eastAsia="en-GB"/>
        </w:rPr>
        <w:t>1990–</w:t>
      </w:r>
      <w:r w:rsidRPr="00BE78CA">
        <w:rPr>
          <w:rFonts w:cs="Calibri"/>
        </w:rPr>
        <w:t>2019</w:t>
      </w:r>
    </w:p>
    <w:p w14:paraId="12AD6495" w14:textId="77777777" w:rsidR="00706DD1" w:rsidRPr="00BE78CA" w:rsidRDefault="00706DD1" w:rsidP="0066164F">
      <w:pPr>
        <w:pStyle w:val="BodyText"/>
      </w:pPr>
      <w:r w:rsidRPr="00BE78CA">
        <w:t>In </w:t>
      </w:r>
      <w:r w:rsidRPr="00BE78CA">
        <w:rPr>
          <w:bCs/>
        </w:rPr>
        <w:t>2019</w:t>
      </w:r>
      <w:r w:rsidRPr="00BE78CA">
        <w:t>, emissions from the Energy sector had </w:t>
      </w:r>
      <w:r w:rsidRPr="00BE78CA">
        <w:rPr>
          <w:bCs/>
        </w:rPr>
        <w:t>increased</w:t>
      </w:r>
      <w:r w:rsidRPr="00BE78CA">
        <w:t> by </w:t>
      </w:r>
      <w:r w:rsidRPr="00BE78CA">
        <w:rPr>
          <w:bCs/>
        </w:rPr>
        <w:t>44.3</w:t>
      </w:r>
      <w:r w:rsidRPr="00BE78CA">
        <w:t> per cent (</w:t>
      </w:r>
      <w:r w:rsidRPr="00BE78CA">
        <w:rPr>
          <w:bCs/>
        </w:rPr>
        <w:t>10,518.5</w:t>
      </w:r>
      <w:r w:rsidRPr="00BE78CA">
        <w:t> kt CO</w:t>
      </w:r>
      <w:r w:rsidRPr="00BE78CA">
        <w:rPr>
          <w:vertAlign w:val="subscript"/>
        </w:rPr>
        <w:t>2</w:t>
      </w:r>
      <w:r w:rsidRPr="00BE78CA">
        <w:t>-e), from the </w:t>
      </w:r>
      <w:r w:rsidRPr="00BE78CA">
        <w:rPr>
          <w:bCs/>
        </w:rPr>
        <w:t>1990</w:t>
      </w:r>
      <w:r w:rsidRPr="00BE78CA">
        <w:t> level of </w:t>
      </w:r>
      <w:r w:rsidRPr="00BE78CA">
        <w:rPr>
          <w:bCs/>
        </w:rPr>
        <w:t>23,744.5</w:t>
      </w:r>
      <w:r w:rsidRPr="00BE78CA">
        <w:t> kt CO</w:t>
      </w:r>
      <w:r w:rsidRPr="00BE78CA">
        <w:rPr>
          <w:vertAlign w:val="subscript"/>
        </w:rPr>
        <w:t>2</w:t>
      </w:r>
      <w:r w:rsidRPr="00BE78CA">
        <w:t>-e.</w:t>
      </w:r>
    </w:p>
    <w:p w14:paraId="20F86606" w14:textId="1F93E811" w:rsidR="00706DD1" w:rsidRPr="00BE78CA" w:rsidRDefault="00706DD1" w:rsidP="0066164F">
      <w:pPr>
        <w:pStyle w:val="BodyText"/>
      </w:pPr>
      <w:r w:rsidRPr="00BE78CA">
        <w:t>This growth in emissions is primarily from </w:t>
      </w:r>
      <w:r w:rsidRPr="00BE78CA">
        <w:rPr>
          <w:i/>
          <w:iCs/>
        </w:rPr>
        <w:t>Road transportation</w:t>
      </w:r>
      <w:r w:rsidRPr="00BE78CA">
        <w:t>, which increased by 7,194.9 kt CO</w:t>
      </w:r>
      <w:r w:rsidRPr="00BE78CA">
        <w:rPr>
          <w:vertAlign w:val="subscript"/>
        </w:rPr>
        <w:t>2</w:t>
      </w:r>
      <w:r w:rsidRPr="00BE78CA">
        <w:t>-e (96.2 per cent), </w:t>
      </w:r>
      <w:r w:rsidRPr="00BE78CA">
        <w:rPr>
          <w:i/>
          <w:iCs/>
        </w:rPr>
        <w:t>Chemicals</w:t>
      </w:r>
      <w:r w:rsidRPr="00BE78CA">
        <w:t>, which increased by 1,325.1 kt CO</w:t>
      </w:r>
      <w:r w:rsidRPr="00BE78CA">
        <w:rPr>
          <w:vertAlign w:val="subscript"/>
        </w:rPr>
        <w:t>2</w:t>
      </w:r>
      <w:r w:rsidRPr="00BE78CA">
        <w:t>-e (240 per cent), and</w:t>
      </w:r>
      <w:r w:rsidR="00443A29" w:rsidRPr="00BE78CA">
        <w:t xml:space="preserve"> </w:t>
      </w:r>
      <w:r w:rsidRPr="00BE78CA">
        <w:rPr>
          <w:i/>
          <w:iCs/>
        </w:rPr>
        <w:t>Food</w:t>
      </w:r>
      <w:r w:rsidR="00443A29" w:rsidRPr="00BE78CA">
        <w:rPr>
          <w:i/>
          <w:iCs/>
        </w:rPr>
        <w:t> </w:t>
      </w:r>
      <w:r w:rsidRPr="00BE78CA">
        <w:rPr>
          <w:i/>
          <w:iCs/>
        </w:rPr>
        <w:t>processing, beverages and tobacco</w:t>
      </w:r>
      <w:r w:rsidRPr="00BE78CA">
        <w:t>, which increased by 1,589.8 kt CO</w:t>
      </w:r>
      <w:r w:rsidRPr="00BE78CA">
        <w:rPr>
          <w:vertAlign w:val="subscript"/>
        </w:rPr>
        <w:t>2</w:t>
      </w:r>
      <w:r w:rsidRPr="00BE78CA">
        <w:t>-e (95.7 per cent).</w:t>
      </w:r>
    </w:p>
    <w:p w14:paraId="746EA900" w14:textId="77777777" w:rsidR="00706DD1" w:rsidRPr="00BE78CA" w:rsidRDefault="00706DD1" w:rsidP="0066164F">
      <w:pPr>
        <w:pStyle w:val="BodyText"/>
      </w:pPr>
      <w:r w:rsidRPr="00BE78CA">
        <w:t>In </w:t>
      </w:r>
      <w:r w:rsidRPr="00BE78CA">
        <w:rPr>
          <w:bCs/>
        </w:rPr>
        <w:t>2019</w:t>
      </w:r>
      <w:r w:rsidRPr="00BE78CA">
        <w:t>, emissions from </w:t>
      </w:r>
      <w:r w:rsidRPr="00BE78CA">
        <w:rPr>
          <w:i/>
          <w:iCs/>
        </w:rPr>
        <w:t xml:space="preserve">Manufacture of solid fuels and other energy industries </w:t>
      </w:r>
      <w:r w:rsidRPr="00BE78CA">
        <w:t xml:space="preserve">were lower than the </w:t>
      </w:r>
      <w:r w:rsidRPr="00BE78CA">
        <w:rPr>
          <w:bCs/>
        </w:rPr>
        <w:t>1990</w:t>
      </w:r>
      <w:r w:rsidRPr="00BE78CA">
        <w:t xml:space="preserve"> level by 1,408.1 CO</w:t>
      </w:r>
      <w:r w:rsidRPr="00BE78CA">
        <w:rPr>
          <w:vertAlign w:val="subscript"/>
        </w:rPr>
        <w:t>2</w:t>
      </w:r>
      <w:r w:rsidRPr="00BE78CA">
        <w:t>-e (79.9 per cent). This decrease is primarily due to the cessation of synthetic gasoline production in 1997.</w:t>
      </w:r>
    </w:p>
    <w:p w14:paraId="54566760" w14:textId="4151A0FB" w:rsidR="00706DD1" w:rsidRPr="00BE78CA" w:rsidRDefault="00706DD1" w:rsidP="0066164F">
      <w:pPr>
        <w:pStyle w:val="BodyText"/>
      </w:pPr>
      <w:r w:rsidRPr="00BE78CA">
        <w:t>Figure ES 4.1, figure 2.2.7 and figure 3.1.1 show the Energy sector emissions time series</w:t>
      </w:r>
      <w:r w:rsidR="00443A29" w:rsidRPr="00BE78CA">
        <w:t xml:space="preserve"> </w:t>
      </w:r>
      <w:r w:rsidRPr="00BE78CA">
        <w:t>from</w:t>
      </w:r>
      <w:r w:rsidR="00443A29" w:rsidRPr="00BE78CA">
        <w:t xml:space="preserve"> </w:t>
      </w:r>
      <w:r w:rsidRPr="00BE78CA">
        <w:rPr>
          <w:bCs/>
        </w:rPr>
        <w:t>1990</w:t>
      </w:r>
      <w:r w:rsidRPr="00BE78CA">
        <w:t> to </w:t>
      </w:r>
      <w:r w:rsidRPr="00BE78CA">
        <w:rPr>
          <w:bCs/>
        </w:rPr>
        <w:t>2019</w:t>
      </w:r>
      <w:r w:rsidRPr="00BE78CA">
        <w:t xml:space="preserve">. The trend shows emissions increased until around 2005, after which there has been a general lateral movement. </w:t>
      </w:r>
    </w:p>
    <w:p w14:paraId="11C8A9D1" w14:textId="3F19D4F5" w:rsidR="00706DD1" w:rsidRPr="00BE78CA" w:rsidRDefault="00706DD1" w:rsidP="00706DD1">
      <w:pPr>
        <w:pStyle w:val="Figure"/>
        <w:rPr>
          <w:rFonts w:cs="Calibri"/>
        </w:rPr>
      </w:pPr>
      <w:bookmarkStart w:id="204" w:name="_Toc443060810"/>
      <w:bookmarkStart w:id="205" w:name="_Toc447275667"/>
      <w:bookmarkStart w:id="206" w:name="_Toc481751984"/>
      <w:bookmarkStart w:id="207" w:name="_Toc36292768"/>
      <w:bookmarkStart w:id="208" w:name="_Toc68786633"/>
      <w:r w:rsidRPr="00BE78CA">
        <w:rPr>
          <w:rFonts w:cs="Calibri"/>
        </w:rPr>
        <w:t>Figure 3.1.</w:t>
      </w:r>
      <w:r w:rsidRPr="00BE78CA">
        <w:rPr>
          <w:rFonts w:cs="Calibri"/>
        </w:rPr>
        <w:fldChar w:fldCharType="begin"/>
      </w:r>
      <w:r w:rsidRPr="00BE78CA">
        <w:rPr>
          <w:rFonts w:cs="Calibri"/>
        </w:rPr>
        <w:instrText xml:space="preserve"> SEQ Figure \* ARABIC \s 2 </w:instrText>
      </w:r>
      <w:r w:rsidRPr="00BE78CA">
        <w:rPr>
          <w:rFonts w:cs="Calibri"/>
        </w:rPr>
        <w:fldChar w:fldCharType="separate"/>
      </w:r>
      <w:r w:rsidR="00B94D2F">
        <w:rPr>
          <w:rFonts w:cs="Calibri"/>
          <w:noProof/>
        </w:rPr>
        <w:t>1</w:t>
      </w:r>
      <w:r w:rsidRPr="00BE78CA">
        <w:rPr>
          <w:rFonts w:cs="Calibri"/>
        </w:rPr>
        <w:fldChar w:fldCharType="end"/>
      </w:r>
      <w:r w:rsidRPr="00BE78CA">
        <w:rPr>
          <w:rFonts w:cs="Calibri"/>
        </w:rPr>
        <w:tab/>
        <w:t>New Zealand’s Energy sector emissions</w:t>
      </w:r>
      <w:bookmarkEnd w:id="204"/>
      <w:bookmarkEnd w:id="205"/>
      <w:bookmarkEnd w:id="206"/>
      <w:r w:rsidRPr="00BE78CA">
        <w:rPr>
          <w:rFonts w:cs="Calibri"/>
        </w:rPr>
        <w:t xml:space="preserve"> (1990–2019)</w:t>
      </w:r>
      <w:bookmarkEnd w:id="207"/>
      <w:bookmarkEnd w:id="208"/>
    </w:p>
    <w:p w14:paraId="5A276588" w14:textId="77777777" w:rsidR="00706DD1" w:rsidRPr="00BE78CA" w:rsidRDefault="00706DD1" w:rsidP="00706DD1">
      <w:pPr>
        <w:pStyle w:val="BodyText"/>
        <w:spacing w:before="0" w:after="0"/>
        <w:rPr>
          <w:rFonts w:cs="Calibri"/>
        </w:rPr>
      </w:pPr>
      <w:r w:rsidRPr="00BE78CA">
        <w:rPr>
          <w:rFonts w:cs="Calibri"/>
          <w:noProof/>
        </w:rPr>
        <w:drawing>
          <wp:inline distT="0" distB="0" distL="0" distR="0" wp14:anchorId="7A95ABBA" wp14:editId="6BD39F38">
            <wp:extent cx="5400041" cy="2622431"/>
            <wp:effectExtent l="0" t="0" r="0" b="698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_3_1_1_energy_emissions.png"/>
                    <pic:cNvPicPr/>
                  </pic:nvPicPr>
                  <pic:blipFill rotWithShape="1">
                    <a:blip r:embed="rId59" cstate="print">
                      <a:extLst>
                        <a:ext uri="{28A0092B-C50C-407E-A947-70E740481C1C}">
                          <a14:useLocalDpi xmlns:a14="http://schemas.microsoft.com/office/drawing/2010/main" val="0"/>
                        </a:ext>
                      </a:extLst>
                    </a:blip>
                    <a:srcRect b="2873"/>
                    <a:stretch/>
                  </pic:blipFill>
                  <pic:spPr bwMode="auto">
                    <a:xfrm>
                      <a:off x="0" y="0"/>
                      <a:ext cx="5400675" cy="2622739"/>
                    </a:xfrm>
                    <a:prstGeom prst="rect">
                      <a:avLst/>
                    </a:prstGeom>
                    <a:ln>
                      <a:noFill/>
                    </a:ln>
                    <a:extLst>
                      <a:ext uri="{53640926-AAD7-44D8-BBD7-CCE9431645EC}">
                        <a14:shadowObscured xmlns:a14="http://schemas.microsoft.com/office/drawing/2010/main"/>
                      </a:ext>
                    </a:extLst>
                  </pic:spPr>
                </pic:pic>
              </a:graphicData>
            </a:graphic>
          </wp:inline>
        </w:drawing>
      </w:r>
    </w:p>
    <w:p w14:paraId="346EEB7F" w14:textId="77777777" w:rsidR="00706DD1" w:rsidRPr="00BE78CA" w:rsidRDefault="00706DD1" w:rsidP="00706DD1">
      <w:pPr>
        <w:pStyle w:val="Heading5"/>
        <w:spacing w:before="360"/>
        <w:rPr>
          <w:rFonts w:cs="Calibri"/>
        </w:rPr>
      </w:pPr>
      <w:r w:rsidRPr="00BE78CA">
        <w:rPr>
          <w:rFonts w:cs="Calibri"/>
        </w:rPr>
        <w:t>2018–2019</w:t>
      </w:r>
    </w:p>
    <w:p w14:paraId="1E4D3FDB" w14:textId="77777777" w:rsidR="00706DD1" w:rsidRPr="00BE78CA" w:rsidRDefault="00706DD1" w:rsidP="00706DD1">
      <w:pPr>
        <w:pStyle w:val="BodyText"/>
        <w:rPr>
          <w:rFonts w:cs="Calibri"/>
          <w:color w:val="000000"/>
        </w:rPr>
      </w:pPr>
      <w:r w:rsidRPr="00BE78CA">
        <w:t>Between </w:t>
      </w:r>
      <w:r w:rsidRPr="00BE78CA">
        <w:rPr>
          <w:bCs/>
        </w:rPr>
        <w:t>2018</w:t>
      </w:r>
      <w:r w:rsidRPr="00BE78CA">
        <w:t> and </w:t>
      </w:r>
      <w:r w:rsidRPr="00BE78CA">
        <w:rPr>
          <w:bCs/>
        </w:rPr>
        <w:t>2019</w:t>
      </w:r>
      <w:r w:rsidRPr="00BE78CA">
        <w:t>, emissions from the Energy sector </w:t>
      </w:r>
      <w:r w:rsidRPr="00BE78CA">
        <w:rPr>
          <w:bCs/>
        </w:rPr>
        <w:t>increased</w:t>
      </w:r>
      <w:r w:rsidRPr="00BE78CA">
        <w:t> by 1,711.1 kt CO</w:t>
      </w:r>
      <w:r w:rsidRPr="00BE78CA">
        <w:rPr>
          <w:vertAlign w:val="subscript"/>
        </w:rPr>
        <w:t>2</w:t>
      </w:r>
      <w:r w:rsidRPr="00BE78CA">
        <w:t>-e (</w:t>
      </w:r>
      <w:r w:rsidRPr="00BE78CA">
        <w:rPr>
          <w:bCs/>
        </w:rPr>
        <w:t>5.3</w:t>
      </w:r>
      <w:r w:rsidRPr="00BE78CA">
        <w:t> per cent). This is primarily due to the 756.5 kt CO</w:t>
      </w:r>
      <w:r w:rsidRPr="00BE78CA">
        <w:rPr>
          <w:vertAlign w:val="subscript"/>
        </w:rPr>
        <w:t>2</w:t>
      </w:r>
      <w:r w:rsidRPr="00BE78CA">
        <w:t>-e (11.0 per cent) increase in emissions from high level category </w:t>
      </w:r>
      <w:r w:rsidRPr="00BE78CA">
        <w:rPr>
          <w:iCs/>
        </w:rPr>
        <w:t>1.A.2</w:t>
      </w:r>
      <w:r w:rsidRPr="00BE78CA">
        <w:rPr>
          <w:i/>
        </w:rPr>
        <w:t xml:space="preserve"> Manufacturing industries and construction</w:t>
      </w:r>
      <w:r w:rsidRPr="00BE78CA">
        <w:rPr>
          <w:rFonts w:cs="Calibri"/>
          <w:color w:val="000000"/>
        </w:rPr>
        <w:t>.</w:t>
      </w:r>
    </w:p>
    <w:p w14:paraId="14976A6F" w14:textId="39DE3060" w:rsidR="00706DD1" w:rsidRPr="00BE78CA" w:rsidRDefault="00706DD1" w:rsidP="00706DD1">
      <w:pPr>
        <w:pStyle w:val="BodyText"/>
        <w:rPr>
          <w:rFonts w:cs="Calibri"/>
          <w:color w:val="000000"/>
        </w:rPr>
      </w:pPr>
      <w:r w:rsidRPr="00BE78CA">
        <w:t>The increase was </w:t>
      </w:r>
      <w:r w:rsidRPr="00BE78CA">
        <w:rPr>
          <w:iCs/>
        </w:rPr>
        <w:t>partially offset by decreases from the categories </w:t>
      </w:r>
      <w:r w:rsidRPr="00BE78CA">
        <w:rPr>
          <w:rFonts w:cs="Calibri"/>
          <w:color w:val="000000"/>
        </w:rPr>
        <w:t>1.A.3.a</w:t>
      </w:r>
      <w:r w:rsidRPr="00BE78CA">
        <w:rPr>
          <w:rFonts w:cs="Calibri"/>
          <w:i/>
          <w:iCs/>
          <w:color w:val="000000"/>
        </w:rPr>
        <w:t xml:space="preserve"> Domestic aviation</w:t>
      </w:r>
      <w:r w:rsidRPr="00BE78CA" w:rsidDel="000D4FE8">
        <w:t xml:space="preserve"> </w:t>
      </w:r>
      <w:r w:rsidRPr="00BE78CA">
        <w:t>and 1.A.3.b</w:t>
      </w:r>
      <w:r w:rsidRPr="00BE78CA">
        <w:rPr>
          <w:i/>
          <w:iCs/>
        </w:rPr>
        <w:t xml:space="preserve"> Road transportation</w:t>
      </w:r>
      <w:r w:rsidRPr="00BE78CA">
        <w:t>, which decreased by 55.1 kt CO</w:t>
      </w:r>
      <w:r w:rsidRPr="00BE78CA">
        <w:rPr>
          <w:vertAlign w:val="subscript"/>
        </w:rPr>
        <w:t>2</w:t>
      </w:r>
      <w:r w:rsidRPr="00BE78CA">
        <w:t>-e (5.1 per cent) and 29.1</w:t>
      </w:r>
      <w:r w:rsidR="00E615F8" w:rsidRPr="00BE78CA">
        <w:t> </w:t>
      </w:r>
      <w:r w:rsidRPr="00BE78CA">
        <w:t>kt CO</w:t>
      </w:r>
      <w:r w:rsidRPr="00BE78CA">
        <w:rPr>
          <w:vertAlign w:val="subscript"/>
        </w:rPr>
        <w:t>2</w:t>
      </w:r>
      <w:r w:rsidRPr="00BE78CA">
        <w:t xml:space="preserve">-e (0.2 per cent) respectively. The decrease in domestic aviation for 2019 saw activity fall </w:t>
      </w:r>
      <w:r w:rsidRPr="00BE78CA">
        <w:lastRenderedPageBreak/>
        <w:t>back to a similar level as 2017 after the peak of 2018. The five per cent drop was in-line with</w:t>
      </w:r>
      <w:r w:rsidR="00E615F8" w:rsidRPr="00BE78CA">
        <w:t> </w:t>
      </w:r>
      <w:r w:rsidRPr="00BE78CA">
        <w:t>historical variability and for instance was similar to the five per cent drop seen in 2014, but less</w:t>
      </w:r>
      <w:r w:rsidR="00E615F8" w:rsidRPr="00BE78CA">
        <w:t> </w:t>
      </w:r>
      <w:r w:rsidRPr="00BE78CA">
        <w:t>than the 17 per cent drop of 2012. It is beyond the scope of this report to examine the</w:t>
      </w:r>
      <w:r w:rsidR="00E615F8" w:rsidRPr="00BE78CA">
        <w:t> </w:t>
      </w:r>
      <w:r w:rsidRPr="00BE78CA">
        <w:t>underlying drivers which are numerous and interlinked via complex economic and behavioural relationships.</w:t>
      </w:r>
    </w:p>
    <w:p w14:paraId="0FDAEECE" w14:textId="77777777" w:rsidR="00706DD1" w:rsidRPr="00BE78CA" w:rsidRDefault="00706DD1" w:rsidP="00706DD1">
      <w:pPr>
        <w:pStyle w:val="BodyText"/>
        <w:rPr>
          <w:rFonts w:asciiTheme="minorHAnsi" w:hAnsiTheme="minorHAnsi" w:cstheme="minorHAnsi"/>
        </w:rPr>
      </w:pPr>
      <w:r w:rsidRPr="00BE78CA">
        <w:rPr>
          <w:rFonts w:asciiTheme="minorHAnsi" w:hAnsiTheme="minorHAnsi" w:cstheme="minorHAnsi"/>
        </w:rPr>
        <w:t>A</w:t>
      </w:r>
      <w:r w:rsidRPr="00BE78CA">
        <w:rPr>
          <w:rFonts w:cstheme="minorHAnsi"/>
        </w:rPr>
        <w:t xml:space="preserve"> </w:t>
      </w:r>
      <w:r w:rsidRPr="00BE78CA">
        <w:rPr>
          <w:rFonts w:asciiTheme="minorHAnsi" w:hAnsiTheme="minorHAnsi" w:cstheme="minorHAnsi"/>
        </w:rPr>
        <w:t>720.1 kt CO</w:t>
      </w:r>
      <w:r w:rsidRPr="00BE78CA">
        <w:rPr>
          <w:rFonts w:asciiTheme="minorHAnsi" w:hAnsiTheme="minorHAnsi" w:cstheme="minorHAnsi"/>
          <w:vertAlign w:val="subscript"/>
        </w:rPr>
        <w:t>2</w:t>
      </w:r>
      <w:r w:rsidRPr="00BE78CA">
        <w:rPr>
          <w:rFonts w:asciiTheme="minorHAnsi" w:hAnsiTheme="minorHAnsi" w:cstheme="minorHAnsi"/>
        </w:rPr>
        <w:t xml:space="preserve">-e (20.8 per cent) </w:t>
      </w:r>
      <w:r w:rsidRPr="00BE78CA">
        <w:rPr>
          <w:rFonts w:cstheme="minorHAnsi"/>
        </w:rPr>
        <w:t>in</w:t>
      </w:r>
      <w:r w:rsidRPr="00BE78CA">
        <w:rPr>
          <w:rFonts w:asciiTheme="minorHAnsi" w:hAnsiTheme="minorHAnsi" w:cstheme="minorHAnsi"/>
        </w:rPr>
        <w:t>crease also occurred in emissions from category </w:t>
      </w:r>
      <w:r w:rsidRPr="00BE78CA">
        <w:rPr>
          <w:rFonts w:cs="Calibri"/>
          <w:color w:val="000000"/>
        </w:rPr>
        <w:t>1.A.1.a</w:t>
      </w:r>
      <w:r w:rsidRPr="00BE78CA">
        <w:rPr>
          <w:rFonts w:cs="Calibri"/>
          <w:i/>
          <w:iCs/>
          <w:color w:val="000000"/>
        </w:rPr>
        <w:t xml:space="preserve"> Public electricity and heat production</w:t>
      </w:r>
      <w:r w:rsidRPr="00BE78CA">
        <w:rPr>
          <w:rFonts w:asciiTheme="minorHAnsi" w:hAnsiTheme="minorHAnsi" w:cstheme="minorHAnsi"/>
        </w:rPr>
        <w:t>. This was primarily due to an increase in natural gas-fired and coal-fired generation in response to lower levels of hydro generation.</w:t>
      </w:r>
    </w:p>
    <w:p w14:paraId="5D081D71" w14:textId="77777777" w:rsidR="00706DD1" w:rsidRPr="00BE78CA" w:rsidRDefault="00706DD1" w:rsidP="00706DD1">
      <w:pPr>
        <w:pStyle w:val="Heading3"/>
        <w:rPr>
          <w:rFonts w:cs="Calibri"/>
        </w:rPr>
      </w:pPr>
      <w:r w:rsidRPr="00BE78CA">
        <w:rPr>
          <w:rFonts w:cs="Calibri"/>
        </w:rPr>
        <w:t>3.1.2</w:t>
      </w:r>
      <w:r w:rsidRPr="00BE78CA">
        <w:rPr>
          <w:rFonts w:cs="Calibri"/>
        </w:rPr>
        <w:tab/>
        <w:t>Key categories for Energy sector emissions</w:t>
      </w:r>
    </w:p>
    <w:p w14:paraId="1B5E5244" w14:textId="77777777" w:rsidR="00706DD1" w:rsidRPr="00BE78CA" w:rsidRDefault="00706DD1" w:rsidP="00706DD1">
      <w:pPr>
        <w:pStyle w:val="BodyText"/>
        <w:rPr>
          <w:rFonts w:cs="Calibri"/>
        </w:rPr>
      </w:pPr>
      <w:r w:rsidRPr="00BE78CA">
        <w:rPr>
          <w:rFonts w:cs="Calibri"/>
        </w:rPr>
        <w:t>Details of New Zealand’s key category analysis are in chapter 1, section 1.5. The key categories in the Energy sector are listed in table 3.1.1.</w:t>
      </w:r>
    </w:p>
    <w:p w14:paraId="0C86C8DB" w14:textId="77777777" w:rsidR="00706DD1" w:rsidRPr="00BE78CA" w:rsidRDefault="00706DD1" w:rsidP="00706DD1">
      <w:pPr>
        <w:pStyle w:val="Table"/>
        <w:rPr>
          <w:rFonts w:cs="Calibri"/>
        </w:rPr>
      </w:pPr>
      <w:bookmarkStart w:id="209" w:name="_Toc451176060"/>
      <w:bookmarkStart w:id="210" w:name="_Toc481751486"/>
      <w:bookmarkStart w:id="211" w:name="_Toc507496588"/>
      <w:bookmarkStart w:id="212" w:name="_Toc36224522"/>
      <w:bookmarkStart w:id="213" w:name="_Toc68786403"/>
      <w:bookmarkStart w:id="214" w:name="_Toc384582165"/>
      <w:bookmarkStart w:id="215" w:name="_Toc443060844"/>
      <w:r w:rsidRPr="00BE78CA">
        <w:rPr>
          <w:rFonts w:cs="Calibri"/>
        </w:rPr>
        <w:t xml:space="preserve">Table 3.1.1 </w:t>
      </w:r>
      <w:r w:rsidRPr="00BE78CA">
        <w:rPr>
          <w:rFonts w:cs="Calibri"/>
        </w:rPr>
        <w:tab/>
        <w:t>Key categories in the Energy sector</w:t>
      </w:r>
      <w:bookmarkEnd w:id="209"/>
      <w:bookmarkEnd w:id="210"/>
      <w:bookmarkEnd w:id="211"/>
      <w:bookmarkEnd w:id="212"/>
      <w:bookmarkEnd w:id="213"/>
    </w:p>
    <w:tbl>
      <w:tblPr>
        <w:tblW w:w="8505" w:type="dxa"/>
        <w:tblBorders>
          <w:top w:val="single" w:sz="4" w:space="0" w:color="365F91"/>
          <w:bottom w:val="single" w:sz="4" w:space="0" w:color="365F91"/>
          <w:insideH w:val="single" w:sz="4" w:space="0" w:color="365F91"/>
          <w:insideV w:val="single" w:sz="4" w:space="0" w:color="365F91"/>
        </w:tblBorders>
        <w:tblLayout w:type="fixed"/>
        <w:tblLook w:val="04A0" w:firstRow="1" w:lastRow="0" w:firstColumn="1" w:lastColumn="0" w:noHBand="0" w:noVBand="1"/>
      </w:tblPr>
      <w:tblGrid>
        <w:gridCol w:w="1093"/>
        <w:gridCol w:w="5589"/>
        <w:gridCol w:w="669"/>
        <w:gridCol w:w="1154"/>
      </w:tblGrid>
      <w:tr w:rsidR="00604B70" w:rsidRPr="00BE78CA" w14:paraId="1D6E0849" w14:textId="77777777" w:rsidTr="00E615F8">
        <w:trPr>
          <w:tblHeader/>
        </w:trPr>
        <w:tc>
          <w:tcPr>
            <w:tcW w:w="1093" w:type="dxa"/>
            <w:shd w:val="clear" w:color="auto" w:fill="365F91"/>
            <w:noWrap/>
            <w:vAlign w:val="bottom"/>
            <w:hideMark/>
          </w:tcPr>
          <w:p w14:paraId="29D43E58" w14:textId="77777777" w:rsidR="00706DD1" w:rsidRPr="00BE78CA" w:rsidRDefault="00706DD1" w:rsidP="00C26084">
            <w:pPr>
              <w:pStyle w:val="TableTextBold"/>
              <w:keepNext/>
              <w:spacing w:before="40"/>
              <w:rPr>
                <w:rFonts w:cs="Calibri"/>
                <w:noProof w:val="0"/>
                <w:color w:val="FFFFFF" w:themeColor="background1"/>
              </w:rPr>
            </w:pPr>
            <w:r w:rsidRPr="00BE78CA">
              <w:rPr>
                <w:rFonts w:cs="Calibri"/>
                <w:noProof w:val="0"/>
                <w:color w:val="FFFFFF" w:themeColor="background1"/>
              </w:rPr>
              <w:t>CRF category code</w:t>
            </w:r>
          </w:p>
        </w:tc>
        <w:tc>
          <w:tcPr>
            <w:tcW w:w="5589" w:type="dxa"/>
            <w:shd w:val="clear" w:color="auto" w:fill="365F91"/>
            <w:noWrap/>
            <w:vAlign w:val="bottom"/>
            <w:hideMark/>
          </w:tcPr>
          <w:p w14:paraId="4E688611" w14:textId="77777777" w:rsidR="00706DD1" w:rsidRPr="00BE78CA" w:rsidRDefault="00706DD1" w:rsidP="00C26084">
            <w:pPr>
              <w:pStyle w:val="TableTextBold"/>
              <w:keepNext/>
              <w:spacing w:before="40"/>
              <w:rPr>
                <w:rFonts w:cs="Calibri"/>
                <w:noProof w:val="0"/>
                <w:color w:val="FFFFFF" w:themeColor="background1"/>
              </w:rPr>
            </w:pPr>
            <w:r w:rsidRPr="00BE78CA">
              <w:rPr>
                <w:rFonts w:cs="Calibri"/>
                <w:noProof w:val="0"/>
                <w:color w:val="FFFFFF" w:themeColor="background1"/>
              </w:rPr>
              <w:t>IPCC categories</w:t>
            </w:r>
          </w:p>
        </w:tc>
        <w:tc>
          <w:tcPr>
            <w:tcW w:w="669" w:type="dxa"/>
            <w:shd w:val="clear" w:color="auto" w:fill="365F91"/>
            <w:noWrap/>
            <w:vAlign w:val="bottom"/>
            <w:hideMark/>
          </w:tcPr>
          <w:p w14:paraId="1AEC1AB0" w14:textId="77777777" w:rsidR="00706DD1" w:rsidRPr="00BE78CA" w:rsidRDefault="00706DD1" w:rsidP="00C26084">
            <w:pPr>
              <w:pStyle w:val="TableTextBold"/>
              <w:keepNext/>
              <w:spacing w:before="40"/>
              <w:jc w:val="center"/>
              <w:rPr>
                <w:rFonts w:cs="Calibri"/>
                <w:noProof w:val="0"/>
                <w:color w:val="FFFFFF" w:themeColor="background1"/>
              </w:rPr>
            </w:pPr>
            <w:r w:rsidRPr="00BE78CA">
              <w:rPr>
                <w:rFonts w:cs="Calibri"/>
                <w:noProof w:val="0"/>
                <w:color w:val="FFFFFF" w:themeColor="background1"/>
              </w:rPr>
              <w:t>Gas</w:t>
            </w:r>
          </w:p>
        </w:tc>
        <w:tc>
          <w:tcPr>
            <w:tcW w:w="1154" w:type="dxa"/>
            <w:shd w:val="clear" w:color="auto" w:fill="365F91"/>
            <w:noWrap/>
            <w:vAlign w:val="bottom"/>
            <w:hideMark/>
          </w:tcPr>
          <w:p w14:paraId="6EC8839D" w14:textId="77777777" w:rsidR="00706DD1" w:rsidRPr="00BE78CA" w:rsidRDefault="00706DD1" w:rsidP="00C26084">
            <w:pPr>
              <w:pStyle w:val="TableTextBold"/>
              <w:keepNext/>
              <w:spacing w:before="40"/>
              <w:rPr>
                <w:rFonts w:cs="Calibri"/>
                <w:noProof w:val="0"/>
                <w:color w:val="FFFFFF" w:themeColor="background1"/>
              </w:rPr>
            </w:pPr>
            <w:r w:rsidRPr="00BE78CA">
              <w:rPr>
                <w:rFonts w:cs="Calibri"/>
                <w:noProof w:val="0"/>
                <w:color w:val="FFFFFF" w:themeColor="background1"/>
              </w:rPr>
              <w:t>Criteria for identification</w:t>
            </w:r>
          </w:p>
        </w:tc>
      </w:tr>
      <w:tr w:rsidR="00706DD1" w:rsidRPr="00BE78CA" w14:paraId="352FDAA1" w14:textId="77777777" w:rsidTr="00E615F8">
        <w:tc>
          <w:tcPr>
            <w:tcW w:w="1093" w:type="dxa"/>
            <w:shd w:val="clear" w:color="auto" w:fill="auto"/>
            <w:noWrap/>
            <w:hideMark/>
          </w:tcPr>
          <w:p w14:paraId="2140A1E0" w14:textId="77777777" w:rsidR="00706DD1" w:rsidRPr="00BE78CA" w:rsidRDefault="00706DD1" w:rsidP="00C26084">
            <w:pPr>
              <w:pStyle w:val="TableText"/>
              <w:keepNext/>
              <w:spacing w:before="40"/>
              <w:rPr>
                <w:rFonts w:cs="Calibri"/>
              </w:rPr>
            </w:pPr>
            <w:r w:rsidRPr="00BE78CA">
              <w:t>1.A.1.a</w:t>
            </w:r>
          </w:p>
        </w:tc>
        <w:tc>
          <w:tcPr>
            <w:tcW w:w="5589" w:type="dxa"/>
            <w:shd w:val="clear" w:color="auto" w:fill="auto"/>
            <w:noWrap/>
            <w:hideMark/>
          </w:tcPr>
          <w:p w14:paraId="478EE18C" w14:textId="77777777" w:rsidR="00706DD1" w:rsidRPr="00BE78CA" w:rsidRDefault="00706DD1" w:rsidP="00C26084">
            <w:pPr>
              <w:pStyle w:val="TableText"/>
              <w:spacing w:before="40"/>
              <w:rPr>
                <w:rFonts w:cs="Calibri"/>
              </w:rPr>
            </w:pPr>
            <w:r w:rsidRPr="00BE78CA">
              <w:t>Energy Industries – Public Electricity and Heat Production Gaseous Fuels</w:t>
            </w:r>
          </w:p>
        </w:tc>
        <w:tc>
          <w:tcPr>
            <w:tcW w:w="669" w:type="dxa"/>
            <w:shd w:val="clear" w:color="auto" w:fill="auto"/>
            <w:noWrap/>
            <w:hideMark/>
          </w:tcPr>
          <w:p w14:paraId="4F6F8329" w14:textId="77777777" w:rsidR="00706DD1" w:rsidRPr="00BE78CA" w:rsidRDefault="00706DD1" w:rsidP="00C26084">
            <w:pPr>
              <w:pStyle w:val="TableText"/>
              <w:spacing w:before="40"/>
              <w:jc w:val="center"/>
              <w:rPr>
                <w:rFonts w:cs="Calibri"/>
              </w:rPr>
            </w:pPr>
            <w:r w:rsidRPr="00BE78CA">
              <w:t>CO</w:t>
            </w:r>
            <w:r w:rsidRPr="00BE78CA">
              <w:rPr>
                <w:vertAlign w:val="subscript"/>
              </w:rPr>
              <w:t>2</w:t>
            </w:r>
          </w:p>
        </w:tc>
        <w:tc>
          <w:tcPr>
            <w:tcW w:w="1154" w:type="dxa"/>
            <w:shd w:val="clear" w:color="auto" w:fill="auto"/>
            <w:noWrap/>
            <w:hideMark/>
          </w:tcPr>
          <w:p w14:paraId="0407AACB" w14:textId="77777777" w:rsidR="00706DD1" w:rsidRPr="00BE78CA" w:rsidRDefault="00706DD1" w:rsidP="00C26084">
            <w:pPr>
              <w:pStyle w:val="TableText"/>
              <w:spacing w:before="40"/>
              <w:rPr>
                <w:rFonts w:cs="Calibri"/>
              </w:rPr>
            </w:pPr>
            <w:r w:rsidRPr="00BE78CA">
              <w:t>L1, T1</w:t>
            </w:r>
          </w:p>
        </w:tc>
      </w:tr>
      <w:tr w:rsidR="00706DD1" w:rsidRPr="00BE78CA" w14:paraId="6EAC5314" w14:textId="77777777" w:rsidTr="00E615F8">
        <w:tc>
          <w:tcPr>
            <w:tcW w:w="1093" w:type="dxa"/>
            <w:shd w:val="clear" w:color="auto" w:fill="auto"/>
            <w:noWrap/>
            <w:hideMark/>
          </w:tcPr>
          <w:p w14:paraId="07E324C3" w14:textId="77777777" w:rsidR="00706DD1" w:rsidRPr="00BE78CA" w:rsidRDefault="00706DD1" w:rsidP="00C26084">
            <w:pPr>
              <w:pStyle w:val="TableText"/>
              <w:keepNext/>
              <w:spacing w:before="40"/>
              <w:rPr>
                <w:rFonts w:cs="Calibri"/>
              </w:rPr>
            </w:pPr>
            <w:r w:rsidRPr="00BE78CA">
              <w:t>1.A.1.a</w:t>
            </w:r>
          </w:p>
        </w:tc>
        <w:tc>
          <w:tcPr>
            <w:tcW w:w="5589" w:type="dxa"/>
            <w:shd w:val="clear" w:color="auto" w:fill="auto"/>
            <w:noWrap/>
            <w:hideMark/>
          </w:tcPr>
          <w:p w14:paraId="30061140" w14:textId="77777777" w:rsidR="00706DD1" w:rsidRPr="00BE78CA" w:rsidRDefault="00706DD1" w:rsidP="00C26084">
            <w:pPr>
              <w:pStyle w:val="TableText"/>
              <w:spacing w:before="40"/>
              <w:rPr>
                <w:rFonts w:cs="Calibri"/>
              </w:rPr>
            </w:pPr>
            <w:r w:rsidRPr="00BE78CA">
              <w:t>Energy Industries – Public Electricity and Heat Production Solid Fuels</w:t>
            </w:r>
          </w:p>
        </w:tc>
        <w:tc>
          <w:tcPr>
            <w:tcW w:w="669" w:type="dxa"/>
            <w:shd w:val="clear" w:color="auto" w:fill="auto"/>
            <w:noWrap/>
            <w:hideMark/>
          </w:tcPr>
          <w:p w14:paraId="73D097DE" w14:textId="77777777" w:rsidR="00706DD1" w:rsidRPr="00BE78CA" w:rsidRDefault="00706DD1" w:rsidP="00C26084">
            <w:pPr>
              <w:pStyle w:val="TableText"/>
              <w:spacing w:before="40"/>
              <w:jc w:val="center"/>
              <w:rPr>
                <w:rFonts w:cs="Calibri"/>
              </w:rPr>
            </w:pPr>
            <w:r w:rsidRPr="00BE78CA">
              <w:t>CO</w:t>
            </w:r>
            <w:r w:rsidRPr="00BE78CA">
              <w:rPr>
                <w:vertAlign w:val="subscript"/>
              </w:rPr>
              <w:t>2</w:t>
            </w:r>
          </w:p>
        </w:tc>
        <w:tc>
          <w:tcPr>
            <w:tcW w:w="1154" w:type="dxa"/>
            <w:shd w:val="clear" w:color="auto" w:fill="auto"/>
            <w:noWrap/>
            <w:hideMark/>
          </w:tcPr>
          <w:p w14:paraId="245F14C3" w14:textId="77777777" w:rsidR="00706DD1" w:rsidRPr="00BE78CA" w:rsidRDefault="00706DD1" w:rsidP="00C26084">
            <w:pPr>
              <w:pStyle w:val="TableText"/>
              <w:spacing w:before="40"/>
              <w:rPr>
                <w:rFonts w:cs="Calibri"/>
              </w:rPr>
            </w:pPr>
            <w:r w:rsidRPr="00BE78CA">
              <w:t>L1, T1</w:t>
            </w:r>
          </w:p>
        </w:tc>
      </w:tr>
      <w:tr w:rsidR="00706DD1" w:rsidRPr="00BE78CA" w14:paraId="6E4010FC" w14:textId="77777777" w:rsidTr="00E615F8">
        <w:tc>
          <w:tcPr>
            <w:tcW w:w="1093" w:type="dxa"/>
            <w:shd w:val="clear" w:color="auto" w:fill="auto"/>
            <w:noWrap/>
            <w:hideMark/>
          </w:tcPr>
          <w:p w14:paraId="63FC2917" w14:textId="77777777" w:rsidR="00706DD1" w:rsidRPr="00BE78CA" w:rsidRDefault="00706DD1" w:rsidP="00C26084">
            <w:pPr>
              <w:pStyle w:val="TableText"/>
              <w:spacing w:before="40"/>
              <w:rPr>
                <w:rFonts w:cs="Calibri"/>
              </w:rPr>
            </w:pPr>
            <w:r w:rsidRPr="00BE78CA">
              <w:t>1.A.1.b</w:t>
            </w:r>
          </w:p>
        </w:tc>
        <w:tc>
          <w:tcPr>
            <w:tcW w:w="5589" w:type="dxa"/>
            <w:shd w:val="clear" w:color="auto" w:fill="auto"/>
            <w:noWrap/>
            <w:hideMark/>
          </w:tcPr>
          <w:p w14:paraId="5BC136E3" w14:textId="77777777" w:rsidR="00706DD1" w:rsidRPr="00BE78CA" w:rsidRDefault="00706DD1" w:rsidP="00C26084">
            <w:pPr>
              <w:pStyle w:val="TableText"/>
              <w:spacing w:before="40"/>
              <w:rPr>
                <w:rFonts w:cs="Calibri"/>
              </w:rPr>
            </w:pPr>
            <w:r w:rsidRPr="00BE78CA">
              <w:t>Energy Industries – Petroleum Refining Liquid Fuels</w:t>
            </w:r>
          </w:p>
        </w:tc>
        <w:tc>
          <w:tcPr>
            <w:tcW w:w="669" w:type="dxa"/>
            <w:shd w:val="clear" w:color="auto" w:fill="auto"/>
            <w:noWrap/>
            <w:hideMark/>
          </w:tcPr>
          <w:p w14:paraId="1E639302" w14:textId="77777777" w:rsidR="00706DD1" w:rsidRPr="00BE78CA" w:rsidRDefault="00706DD1" w:rsidP="00C26084">
            <w:pPr>
              <w:pStyle w:val="TableText"/>
              <w:spacing w:before="40"/>
              <w:jc w:val="center"/>
              <w:rPr>
                <w:rFonts w:cs="Calibri"/>
              </w:rPr>
            </w:pPr>
            <w:r w:rsidRPr="00BE78CA">
              <w:t>CO</w:t>
            </w:r>
            <w:r w:rsidRPr="00BE78CA">
              <w:rPr>
                <w:vertAlign w:val="subscript"/>
              </w:rPr>
              <w:t>2</w:t>
            </w:r>
          </w:p>
        </w:tc>
        <w:tc>
          <w:tcPr>
            <w:tcW w:w="1154" w:type="dxa"/>
            <w:shd w:val="clear" w:color="auto" w:fill="auto"/>
            <w:noWrap/>
            <w:hideMark/>
          </w:tcPr>
          <w:p w14:paraId="6D0B86D2" w14:textId="77777777" w:rsidR="00706DD1" w:rsidRPr="00BE78CA" w:rsidRDefault="00706DD1" w:rsidP="00C26084">
            <w:pPr>
              <w:pStyle w:val="TableText"/>
              <w:spacing w:before="40"/>
              <w:rPr>
                <w:rFonts w:cs="Calibri"/>
              </w:rPr>
            </w:pPr>
            <w:r w:rsidRPr="00BE78CA">
              <w:t>L1, T1</w:t>
            </w:r>
          </w:p>
        </w:tc>
      </w:tr>
      <w:tr w:rsidR="00706DD1" w:rsidRPr="00BE78CA" w14:paraId="0B4F6DB6" w14:textId="77777777" w:rsidTr="00E615F8">
        <w:tc>
          <w:tcPr>
            <w:tcW w:w="1093" w:type="dxa"/>
            <w:shd w:val="clear" w:color="auto" w:fill="auto"/>
            <w:noWrap/>
            <w:hideMark/>
          </w:tcPr>
          <w:p w14:paraId="2AD88690" w14:textId="77777777" w:rsidR="00706DD1" w:rsidRPr="00BE78CA" w:rsidRDefault="00706DD1" w:rsidP="00C26084">
            <w:pPr>
              <w:pStyle w:val="TableText"/>
              <w:spacing w:before="40"/>
              <w:rPr>
                <w:rFonts w:cs="Calibri"/>
              </w:rPr>
            </w:pPr>
            <w:r w:rsidRPr="00BE78CA">
              <w:t>1.A.1.b</w:t>
            </w:r>
          </w:p>
        </w:tc>
        <w:tc>
          <w:tcPr>
            <w:tcW w:w="5589" w:type="dxa"/>
            <w:shd w:val="clear" w:color="auto" w:fill="auto"/>
            <w:noWrap/>
            <w:hideMark/>
          </w:tcPr>
          <w:p w14:paraId="4FAF1542" w14:textId="77777777" w:rsidR="00706DD1" w:rsidRPr="00BE78CA" w:rsidRDefault="00706DD1" w:rsidP="00C26084">
            <w:pPr>
              <w:pStyle w:val="TableText"/>
              <w:spacing w:before="40"/>
              <w:rPr>
                <w:rFonts w:cs="Calibri"/>
              </w:rPr>
            </w:pPr>
            <w:r w:rsidRPr="00BE78CA">
              <w:t>Energy Industries – Petroleum Refining Gaseous Fuels</w:t>
            </w:r>
          </w:p>
        </w:tc>
        <w:tc>
          <w:tcPr>
            <w:tcW w:w="669" w:type="dxa"/>
            <w:shd w:val="clear" w:color="auto" w:fill="auto"/>
            <w:noWrap/>
            <w:hideMark/>
          </w:tcPr>
          <w:p w14:paraId="0ACF61BE" w14:textId="77777777" w:rsidR="00706DD1" w:rsidRPr="00BE78CA" w:rsidRDefault="00706DD1" w:rsidP="00C26084">
            <w:pPr>
              <w:pStyle w:val="TableText"/>
              <w:spacing w:before="40"/>
              <w:jc w:val="center"/>
              <w:rPr>
                <w:rFonts w:cs="Calibri"/>
              </w:rPr>
            </w:pPr>
            <w:r w:rsidRPr="00BE78CA">
              <w:t>CO</w:t>
            </w:r>
            <w:r w:rsidRPr="00BE78CA">
              <w:rPr>
                <w:vertAlign w:val="subscript"/>
              </w:rPr>
              <w:t>2</w:t>
            </w:r>
          </w:p>
        </w:tc>
        <w:tc>
          <w:tcPr>
            <w:tcW w:w="1154" w:type="dxa"/>
            <w:shd w:val="clear" w:color="auto" w:fill="auto"/>
            <w:noWrap/>
            <w:hideMark/>
          </w:tcPr>
          <w:p w14:paraId="50E5648E" w14:textId="77777777" w:rsidR="00706DD1" w:rsidRPr="00BE78CA" w:rsidRDefault="00706DD1" w:rsidP="00C26084">
            <w:pPr>
              <w:pStyle w:val="TableText"/>
              <w:spacing w:before="40"/>
              <w:rPr>
                <w:rFonts w:cs="Calibri"/>
              </w:rPr>
            </w:pPr>
            <w:r w:rsidRPr="00BE78CA">
              <w:t>L1, T1</w:t>
            </w:r>
          </w:p>
        </w:tc>
      </w:tr>
      <w:tr w:rsidR="00706DD1" w:rsidRPr="00BE78CA" w14:paraId="0DD097C5" w14:textId="77777777" w:rsidTr="00E615F8">
        <w:tc>
          <w:tcPr>
            <w:tcW w:w="1093" w:type="dxa"/>
            <w:shd w:val="clear" w:color="auto" w:fill="auto"/>
            <w:noWrap/>
            <w:hideMark/>
          </w:tcPr>
          <w:p w14:paraId="01309598" w14:textId="77777777" w:rsidR="00706DD1" w:rsidRPr="00BE78CA" w:rsidRDefault="00706DD1" w:rsidP="00C26084">
            <w:pPr>
              <w:pStyle w:val="TableText"/>
              <w:spacing w:before="40"/>
              <w:rPr>
                <w:rFonts w:cs="Calibri"/>
              </w:rPr>
            </w:pPr>
            <w:r w:rsidRPr="00BE78CA">
              <w:t>1.A.1.c</w:t>
            </w:r>
          </w:p>
        </w:tc>
        <w:tc>
          <w:tcPr>
            <w:tcW w:w="5589" w:type="dxa"/>
            <w:shd w:val="clear" w:color="auto" w:fill="auto"/>
            <w:noWrap/>
            <w:hideMark/>
          </w:tcPr>
          <w:p w14:paraId="3FE79DB8" w14:textId="77777777" w:rsidR="00706DD1" w:rsidRPr="00BE78CA" w:rsidRDefault="00706DD1" w:rsidP="00C26084">
            <w:pPr>
              <w:pStyle w:val="TableText"/>
              <w:spacing w:before="40"/>
              <w:rPr>
                <w:rFonts w:cs="Calibri"/>
              </w:rPr>
            </w:pPr>
            <w:r w:rsidRPr="00BE78CA">
              <w:t>Energy Industries – Manufacture of Solid Fuels and Other Energy Industries Gaseous Fuels</w:t>
            </w:r>
          </w:p>
        </w:tc>
        <w:tc>
          <w:tcPr>
            <w:tcW w:w="669" w:type="dxa"/>
            <w:shd w:val="clear" w:color="auto" w:fill="auto"/>
            <w:noWrap/>
            <w:hideMark/>
          </w:tcPr>
          <w:p w14:paraId="339A69D9" w14:textId="77777777" w:rsidR="00706DD1" w:rsidRPr="00BE78CA" w:rsidRDefault="00706DD1" w:rsidP="00C26084">
            <w:pPr>
              <w:pStyle w:val="TableText"/>
              <w:spacing w:before="40"/>
              <w:jc w:val="center"/>
              <w:rPr>
                <w:rFonts w:cs="Calibri"/>
              </w:rPr>
            </w:pPr>
            <w:r w:rsidRPr="00BE78CA">
              <w:t>CO</w:t>
            </w:r>
            <w:r w:rsidRPr="00BE78CA">
              <w:rPr>
                <w:vertAlign w:val="subscript"/>
              </w:rPr>
              <w:t>2</w:t>
            </w:r>
          </w:p>
        </w:tc>
        <w:tc>
          <w:tcPr>
            <w:tcW w:w="1154" w:type="dxa"/>
            <w:shd w:val="clear" w:color="auto" w:fill="auto"/>
            <w:noWrap/>
            <w:hideMark/>
          </w:tcPr>
          <w:p w14:paraId="45DB6C25" w14:textId="77777777" w:rsidR="00706DD1" w:rsidRPr="00BE78CA" w:rsidRDefault="00706DD1" w:rsidP="00C26084">
            <w:pPr>
              <w:pStyle w:val="TableText"/>
              <w:spacing w:before="40"/>
              <w:rPr>
                <w:rFonts w:cs="Calibri"/>
              </w:rPr>
            </w:pPr>
            <w:r w:rsidRPr="00BE78CA">
              <w:t>L1, T1</w:t>
            </w:r>
          </w:p>
        </w:tc>
      </w:tr>
      <w:tr w:rsidR="00706DD1" w:rsidRPr="00BE78CA" w14:paraId="5A26F38B" w14:textId="77777777" w:rsidTr="00E615F8">
        <w:tc>
          <w:tcPr>
            <w:tcW w:w="1093" w:type="dxa"/>
            <w:shd w:val="clear" w:color="auto" w:fill="auto"/>
            <w:noWrap/>
            <w:hideMark/>
          </w:tcPr>
          <w:p w14:paraId="165B0941" w14:textId="77777777" w:rsidR="00706DD1" w:rsidRPr="00BE78CA" w:rsidRDefault="00706DD1" w:rsidP="00C26084">
            <w:pPr>
              <w:pStyle w:val="TableText"/>
              <w:spacing w:before="40"/>
              <w:rPr>
                <w:rFonts w:cs="Calibri"/>
              </w:rPr>
            </w:pPr>
            <w:r w:rsidRPr="00BE78CA">
              <w:t>1.A.2.c</w:t>
            </w:r>
          </w:p>
        </w:tc>
        <w:tc>
          <w:tcPr>
            <w:tcW w:w="5589" w:type="dxa"/>
            <w:shd w:val="clear" w:color="auto" w:fill="auto"/>
            <w:noWrap/>
            <w:hideMark/>
          </w:tcPr>
          <w:p w14:paraId="3D7ECE4B" w14:textId="77777777" w:rsidR="00706DD1" w:rsidRPr="00BE78CA" w:rsidRDefault="00706DD1" w:rsidP="00C26084">
            <w:pPr>
              <w:pStyle w:val="TableText"/>
              <w:spacing w:before="40"/>
              <w:rPr>
                <w:rFonts w:cs="Calibri"/>
              </w:rPr>
            </w:pPr>
            <w:r w:rsidRPr="00BE78CA">
              <w:t>Manufacturing Industries and Construction – Chemicals Gaseous Fuels</w:t>
            </w:r>
          </w:p>
        </w:tc>
        <w:tc>
          <w:tcPr>
            <w:tcW w:w="669" w:type="dxa"/>
            <w:shd w:val="clear" w:color="auto" w:fill="auto"/>
            <w:noWrap/>
            <w:hideMark/>
          </w:tcPr>
          <w:p w14:paraId="44BCD841" w14:textId="77777777" w:rsidR="00706DD1" w:rsidRPr="00BE78CA" w:rsidRDefault="00706DD1" w:rsidP="00C26084">
            <w:pPr>
              <w:pStyle w:val="TableText"/>
              <w:spacing w:before="40"/>
              <w:jc w:val="center"/>
              <w:rPr>
                <w:rFonts w:cs="Calibri"/>
              </w:rPr>
            </w:pPr>
            <w:r w:rsidRPr="00BE78CA">
              <w:t>CO</w:t>
            </w:r>
            <w:r w:rsidRPr="00BE78CA">
              <w:rPr>
                <w:vertAlign w:val="subscript"/>
              </w:rPr>
              <w:t>2</w:t>
            </w:r>
          </w:p>
        </w:tc>
        <w:tc>
          <w:tcPr>
            <w:tcW w:w="1154" w:type="dxa"/>
            <w:shd w:val="clear" w:color="auto" w:fill="auto"/>
            <w:noWrap/>
            <w:hideMark/>
          </w:tcPr>
          <w:p w14:paraId="1BC11A9F" w14:textId="77777777" w:rsidR="00706DD1" w:rsidRPr="00BE78CA" w:rsidRDefault="00706DD1" w:rsidP="00C26084">
            <w:pPr>
              <w:pStyle w:val="TableText"/>
              <w:spacing w:before="40"/>
              <w:rPr>
                <w:rFonts w:cs="Calibri"/>
              </w:rPr>
            </w:pPr>
            <w:r w:rsidRPr="00BE78CA">
              <w:t>L1, T1</w:t>
            </w:r>
          </w:p>
        </w:tc>
      </w:tr>
      <w:tr w:rsidR="00706DD1" w:rsidRPr="00BE78CA" w14:paraId="5893A196" w14:textId="77777777" w:rsidTr="00E615F8">
        <w:tc>
          <w:tcPr>
            <w:tcW w:w="1093" w:type="dxa"/>
            <w:shd w:val="clear" w:color="auto" w:fill="auto"/>
            <w:noWrap/>
            <w:hideMark/>
          </w:tcPr>
          <w:p w14:paraId="2359F4AA" w14:textId="77777777" w:rsidR="00706DD1" w:rsidRPr="00BE78CA" w:rsidRDefault="00706DD1" w:rsidP="00C26084">
            <w:pPr>
              <w:pStyle w:val="TableText"/>
              <w:spacing w:before="40"/>
              <w:rPr>
                <w:rFonts w:cs="Calibri"/>
              </w:rPr>
            </w:pPr>
            <w:r w:rsidRPr="00BE78CA">
              <w:t>1.A.2.d</w:t>
            </w:r>
          </w:p>
        </w:tc>
        <w:tc>
          <w:tcPr>
            <w:tcW w:w="5589" w:type="dxa"/>
            <w:shd w:val="clear" w:color="auto" w:fill="auto"/>
            <w:noWrap/>
            <w:hideMark/>
          </w:tcPr>
          <w:p w14:paraId="4D0BD714" w14:textId="77777777" w:rsidR="00706DD1" w:rsidRPr="00BE78CA" w:rsidRDefault="00706DD1" w:rsidP="00C26084">
            <w:pPr>
              <w:pStyle w:val="TableText"/>
              <w:spacing w:before="40"/>
              <w:rPr>
                <w:rFonts w:cs="Calibri"/>
              </w:rPr>
            </w:pPr>
            <w:r w:rsidRPr="00BE78CA">
              <w:t>Manufacturing Industries and Construction – Pulp, Paper and Print Gaseous Fuels</w:t>
            </w:r>
          </w:p>
        </w:tc>
        <w:tc>
          <w:tcPr>
            <w:tcW w:w="669" w:type="dxa"/>
            <w:shd w:val="clear" w:color="auto" w:fill="auto"/>
            <w:noWrap/>
            <w:hideMark/>
          </w:tcPr>
          <w:p w14:paraId="5A46F261" w14:textId="77777777" w:rsidR="00706DD1" w:rsidRPr="00BE78CA" w:rsidRDefault="00706DD1" w:rsidP="00C26084">
            <w:pPr>
              <w:pStyle w:val="TableText"/>
              <w:spacing w:before="40"/>
              <w:jc w:val="center"/>
              <w:rPr>
                <w:rFonts w:cs="Calibri"/>
              </w:rPr>
            </w:pPr>
            <w:r w:rsidRPr="00BE78CA">
              <w:t>CO</w:t>
            </w:r>
            <w:r w:rsidRPr="00BE78CA">
              <w:rPr>
                <w:vertAlign w:val="subscript"/>
              </w:rPr>
              <w:t>2</w:t>
            </w:r>
          </w:p>
        </w:tc>
        <w:tc>
          <w:tcPr>
            <w:tcW w:w="1154" w:type="dxa"/>
            <w:shd w:val="clear" w:color="auto" w:fill="auto"/>
            <w:noWrap/>
            <w:hideMark/>
          </w:tcPr>
          <w:p w14:paraId="6ECD6474" w14:textId="77777777" w:rsidR="00706DD1" w:rsidRPr="00BE78CA" w:rsidRDefault="00706DD1" w:rsidP="00C26084">
            <w:pPr>
              <w:pStyle w:val="TableText"/>
              <w:spacing w:before="40"/>
              <w:rPr>
                <w:rFonts w:cs="Calibri"/>
              </w:rPr>
            </w:pPr>
            <w:r w:rsidRPr="00BE78CA">
              <w:t>L1, T1</w:t>
            </w:r>
          </w:p>
        </w:tc>
      </w:tr>
      <w:tr w:rsidR="00706DD1" w:rsidRPr="00BE78CA" w14:paraId="566FAE20" w14:textId="77777777" w:rsidTr="00E615F8">
        <w:tc>
          <w:tcPr>
            <w:tcW w:w="1093" w:type="dxa"/>
            <w:shd w:val="clear" w:color="auto" w:fill="auto"/>
            <w:noWrap/>
          </w:tcPr>
          <w:p w14:paraId="32AAE39D" w14:textId="77777777" w:rsidR="00706DD1" w:rsidRPr="00BE78CA" w:rsidRDefault="00706DD1" w:rsidP="00C26084">
            <w:pPr>
              <w:pStyle w:val="TableText"/>
              <w:spacing w:before="40"/>
              <w:rPr>
                <w:rFonts w:cs="Calibri"/>
              </w:rPr>
            </w:pPr>
            <w:r w:rsidRPr="00BE78CA">
              <w:t>1.A.2.d</w:t>
            </w:r>
          </w:p>
        </w:tc>
        <w:tc>
          <w:tcPr>
            <w:tcW w:w="5589" w:type="dxa"/>
            <w:shd w:val="clear" w:color="auto" w:fill="auto"/>
            <w:noWrap/>
          </w:tcPr>
          <w:p w14:paraId="60EADBFE" w14:textId="77777777" w:rsidR="00706DD1" w:rsidRPr="00BE78CA" w:rsidRDefault="00706DD1" w:rsidP="00C26084">
            <w:pPr>
              <w:pStyle w:val="TableText"/>
              <w:spacing w:before="40"/>
              <w:rPr>
                <w:rFonts w:cs="Calibri"/>
              </w:rPr>
            </w:pPr>
            <w:r w:rsidRPr="00BE78CA">
              <w:t>Manufacturing Industries and Construction – Pulp, Paper and Print Solid Fuels</w:t>
            </w:r>
          </w:p>
        </w:tc>
        <w:tc>
          <w:tcPr>
            <w:tcW w:w="669" w:type="dxa"/>
            <w:shd w:val="clear" w:color="auto" w:fill="auto"/>
            <w:noWrap/>
          </w:tcPr>
          <w:p w14:paraId="2D0696EF" w14:textId="77777777" w:rsidR="00706DD1" w:rsidRPr="00BE78CA" w:rsidRDefault="00706DD1" w:rsidP="00C26084">
            <w:pPr>
              <w:pStyle w:val="TableText"/>
              <w:spacing w:before="40"/>
              <w:jc w:val="center"/>
              <w:rPr>
                <w:rFonts w:cs="Calibri"/>
              </w:rPr>
            </w:pPr>
            <w:r w:rsidRPr="00BE78CA">
              <w:t>CO</w:t>
            </w:r>
            <w:r w:rsidRPr="00BE78CA">
              <w:rPr>
                <w:vertAlign w:val="subscript"/>
              </w:rPr>
              <w:t>2</w:t>
            </w:r>
          </w:p>
        </w:tc>
        <w:tc>
          <w:tcPr>
            <w:tcW w:w="1154" w:type="dxa"/>
            <w:shd w:val="clear" w:color="auto" w:fill="auto"/>
            <w:noWrap/>
          </w:tcPr>
          <w:p w14:paraId="70D92BBC" w14:textId="77777777" w:rsidR="00706DD1" w:rsidRPr="00BE78CA" w:rsidRDefault="00706DD1" w:rsidP="00C26084">
            <w:pPr>
              <w:pStyle w:val="TableText"/>
              <w:spacing w:before="40"/>
              <w:rPr>
                <w:rFonts w:cs="Calibri"/>
              </w:rPr>
            </w:pPr>
            <w:r w:rsidRPr="00BE78CA">
              <w:t>T1</w:t>
            </w:r>
          </w:p>
        </w:tc>
      </w:tr>
      <w:tr w:rsidR="00706DD1" w:rsidRPr="00BE78CA" w14:paraId="7757BE8C" w14:textId="77777777" w:rsidTr="00E615F8">
        <w:tc>
          <w:tcPr>
            <w:tcW w:w="1093" w:type="dxa"/>
            <w:shd w:val="clear" w:color="auto" w:fill="auto"/>
            <w:noWrap/>
          </w:tcPr>
          <w:p w14:paraId="1577F1F2" w14:textId="77777777" w:rsidR="00706DD1" w:rsidRPr="00BE78CA" w:rsidRDefault="00706DD1" w:rsidP="00C26084">
            <w:pPr>
              <w:pStyle w:val="TableText"/>
              <w:spacing w:before="40"/>
              <w:rPr>
                <w:rFonts w:cs="Calibri"/>
              </w:rPr>
            </w:pPr>
            <w:r w:rsidRPr="00BE78CA">
              <w:t>1.A.2.e</w:t>
            </w:r>
          </w:p>
        </w:tc>
        <w:tc>
          <w:tcPr>
            <w:tcW w:w="5589" w:type="dxa"/>
            <w:shd w:val="clear" w:color="auto" w:fill="auto"/>
            <w:noWrap/>
          </w:tcPr>
          <w:p w14:paraId="35898F1B" w14:textId="77777777" w:rsidR="00706DD1" w:rsidRPr="00BE78CA" w:rsidRDefault="00706DD1" w:rsidP="00C26084">
            <w:pPr>
              <w:pStyle w:val="TableText"/>
              <w:spacing w:before="40"/>
              <w:rPr>
                <w:rFonts w:cs="Calibri"/>
              </w:rPr>
            </w:pPr>
            <w:r w:rsidRPr="00BE78CA">
              <w:t>Manufacturing Industries and Construction – Food Processing, Beverages and Tobacco Solid Fuels</w:t>
            </w:r>
          </w:p>
        </w:tc>
        <w:tc>
          <w:tcPr>
            <w:tcW w:w="669" w:type="dxa"/>
            <w:shd w:val="clear" w:color="auto" w:fill="auto"/>
            <w:noWrap/>
          </w:tcPr>
          <w:p w14:paraId="7943CF81" w14:textId="77777777" w:rsidR="00706DD1" w:rsidRPr="00BE78CA" w:rsidRDefault="00706DD1" w:rsidP="00C26084">
            <w:pPr>
              <w:pStyle w:val="TableText"/>
              <w:spacing w:before="40"/>
              <w:jc w:val="center"/>
              <w:rPr>
                <w:rFonts w:cs="Calibri"/>
              </w:rPr>
            </w:pPr>
            <w:r w:rsidRPr="00BE78CA">
              <w:t>CO</w:t>
            </w:r>
            <w:r w:rsidRPr="00BE78CA">
              <w:rPr>
                <w:vertAlign w:val="subscript"/>
              </w:rPr>
              <w:t>2</w:t>
            </w:r>
          </w:p>
        </w:tc>
        <w:tc>
          <w:tcPr>
            <w:tcW w:w="1154" w:type="dxa"/>
            <w:shd w:val="clear" w:color="auto" w:fill="auto"/>
            <w:noWrap/>
          </w:tcPr>
          <w:p w14:paraId="397C79C1" w14:textId="77777777" w:rsidR="00706DD1" w:rsidRPr="00BE78CA" w:rsidRDefault="00706DD1" w:rsidP="00C26084">
            <w:pPr>
              <w:pStyle w:val="TableText"/>
              <w:spacing w:before="40"/>
              <w:rPr>
                <w:rFonts w:cs="Calibri"/>
              </w:rPr>
            </w:pPr>
            <w:r w:rsidRPr="00BE78CA">
              <w:t>L1, T1</w:t>
            </w:r>
          </w:p>
        </w:tc>
      </w:tr>
      <w:tr w:rsidR="00706DD1" w:rsidRPr="00BE78CA" w14:paraId="54C2CEB3" w14:textId="77777777" w:rsidTr="00E615F8">
        <w:tc>
          <w:tcPr>
            <w:tcW w:w="1093" w:type="dxa"/>
            <w:shd w:val="clear" w:color="auto" w:fill="auto"/>
            <w:noWrap/>
          </w:tcPr>
          <w:p w14:paraId="7C35EE1A" w14:textId="77777777" w:rsidR="00706DD1" w:rsidRPr="00BE78CA" w:rsidRDefault="00706DD1" w:rsidP="00C26084">
            <w:pPr>
              <w:pStyle w:val="TableText"/>
              <w:spacing w:before="40"/>
              <w:rPr>
                <w:rFonts w:cs="Calibri"/>
              </w:rPr>
            </w:pPr>
            <w:r w:rsidRPr="00BE78CA">
              <w:t>1.A.2.e</w:t>
            </w:r>
          </w:p>
        </w:tc>
        <w:tc>
          <w:tcPr>
            <w:tcW w:w="5589" w:type="dxa"/>
            <w:shd w:val="clear" w:color="auto" w:fill="auto"/>
            <w:noWrap/>
          </w:tcPr>
          <w:p w14:paraId="3BFC555B" w14:textId="77777777" w:rsidR="00706DD1" w:rsidRPr="00BE78CA" w:rsidRDefault="00706DD1" w:rsidP="00C26084">
            <w:pPr>
              <w:pStyle w:val="TableText"/>
              <w:spacing w:before="40"/>
              <w:rPr>
                <w:rFonts w:cs="Calibri"/>
              </w:rPr>
            </w:pPr>
            <w:r w:rsidRPr="00BE78CA">
              <w:t>Manufacturing Industries and Construction – Food Processing, Beverages and Tobacco Gaseous Fuels</w:t>
            </w:r>
          </w:p>
        </w:tc>
        <w:tc>
          <w:tcPr>
            <w:tcW w:w="669" w:type="dxa"/>
            <w:shd w:val="clear" w:color="auto" w:fill="auto"/>
            <w:noWrap/>
          </w:tcPr>
          <w:p w14:paraId="5A634BEA" w14:textId="77777777" w:rsidR="00706DD1" w:rsidRPr="00BE78CA" w:rsidRDefault="00706DD1" w:rsidP="00C26084">
            <w:pPr>
              <w:pStyle w:val="TableText"/>
              <w:spacing w:before="40"/>
              <w:jc w:val="center"/>
              <w:rPr>
                <w:rFonts w:cs="Calibri"/>
              </w:rPr>
            </w:pPr>
            <w:r w:rsidRPr="00BE78CA">
              <w:t>CO</w:t>
            </w:r>
            <w:r w:rsidRPr="00BE78CA">
              <w:rPr>
                <w:vertAlign w:val="subscript"/>
              </w:rPr>
              <w:t>2</w:t>
            </w:r>
          </w:p>
        </w:tc>
        <w:tc>
          <w:tcPr>
            <w:tcW w:w="1154" w:type="dxa"/>
            <w:shd w:val="clear" w:color="auto" w:fill="auto"/>
            <w:noWrap/>
          </w:tcPr>
          <w:p w14:paraId="2E643144" w14:textId="77777777" w:rsidR="00706DD1" w:rsidRPr="00BE78CA" w:rsidRDefault="00706DD1" w:rsidP="00C26084">
            <w:pPr>
              <w:pStyle w:val="TableText"/>
              <w:spacing w:before="40"/>
              <w:rPr>
                <w:rFonts w:cs="Calibri"/>
              </w:rPr>
            </w:pPr>
            <w:r w:rsidRPr="00BE78CA">
              <w:t>L1, T1</w:t>
            </w:r>
          </w:p>
        </w:tc>
      </w:tr>
      <w:tr w:rsidR="00706DD1" w:rsidRPr="00BE78CA" w14:paraId="58647D78" w14:textId="77777777" w:rsidTr="00E615F8">
        <w:tc>
          <w:tcPr>
            <w:tcW w:w="1093" w:type="dxa"/>
            <w:shd w:val="clear" w:color="auto" w:fill="auto"/>
            <w:noWrap/>
          </w:tcPr>
          <w:p w14:paraId="5080906D" w14:textId="77777777" w:rsidR="00706DD1" w:rsidRPr="00BE78CA" w:rsidRDefault="00706DD1" w:rsidP="00C26084">
            <w:pPr>
              <w:pStyle w:val="TableText"/>
              <w:spacing w:before="40"/>
              <w:rPr>
                <w:rFonts w:cs="Calibri"/>
              </w:rPr>
            </w:pPr>
            <w:r w:rsidRPr="00BE78CA">
              <w:t>1.A.2.e</w:t>
            </w:r>
          </w:p>
        </w:tc>
        <w:tc>
          <w:tcPr>
            <w:tcW w:w="5589" w:type="dxa"/>
            <w:shd w:val="clear" w:color="auto" w:fill="auto"/>
            <w:noWrap/>
          </w:tcPr>
          <w:p w14:paraId="6F3198E9" w14:textId="77777777" w:rsidR="00706DD1" w:rsidRPr="00BE78CA" w:rsidRDefault="00706DD1" w:rsidP="00C26084">
            <w:pPr>
              <w:pStyle w:val="TableText"/>
              <w:spacing w:before="40"/>
              <w:rPr>
                <w:rFonts w:cs="Calibri"/>
              </w:rPr>
            </w:pPr>
            <w:r w:rsidRPr="00BE78CA">
              <w:t>Manufacturing Industries and Construction – Food Processing, Beverages and Tobacco Liquid Fuels</w:t>
            </w:r>
          </w:p>
        </w:tc>
        <w:tc>
          <w:tcPr>
            <w:tcW w:w="669" w:type="dxa"/>
            <w:shd w:val="clear" w:color="auto" w:fill="auto"/>
            <w:noWrap/>
          </w:tcPr>
          <w:p w14:paraId="5CC41163" w14:textId="77777777" w:rsidR="00706DD1" w:rsidRPr="00BE78CA" w:rsidRDefault="00706DD1" w:rsidP="00C26084">
            <w:pPr>
              <w:pStyle w:val="TableText"/>
              <w:spacing w:before="40"/>
              <w:jc w:val="center"/>
              <w:rPr>
                <w:rFonts w:cs="Calibri"/>
              </w:rPr>
            </w:pPr>
            <w:r w:rsidRPr="00BE78CA">
              <w:t>CO</w:t>
            </w:r>
            <w:r w:rsidRPr="00BE78CA">
              <w:rPr>
                <w:vertAlign w:val="subscript"/>
              </w:rPr>
              <w:t>2</w:t>
            </w:r>
          </w:p>
        </w:tc>
        <w:tc>
          <w:tcPr>
            <w:tcW w:w="1154" w:type="dxa"/>
            <w:shd w:val="clear" w:color="auto" w:fill="auto"/>
            <w:noWrap/>
          </w:tcPr>
          <w:p w14:paraId="68DBEEC9" w14:textId="77777777" w:rsidR="00706DD1" w:rsidRPr="00BE78CA" w:rsidRDefault="00706DD1" w:rsidP="00C26084">
            <w:pPr>
              <w:pStyle w:val="TableText"/>
              <w:spacing w:before="40"/>
              <w:rPr>
                <w:rFonts w:cs="Calibri"/>
              </w:rPr>
            </w:pPr>
            <w:r w:rsidRPr="00BE78CA">
              <w:t>L1</w:t>
            </w:r>
          </w:p>
        </w:tc>
      </w:tr>
      <w:tr w:rsidR="00706DD1" w:rsidRPr="00BE78CA" w14:paraId="4F2D1D6F" w14:textId="77777777" w:rsidTr="00E615F8">
        <w:tc>
          <w:tcPr>
            <w:tcW w:w="1093" w:type="dxa"/>
            <w:shd w:val="clear" w:color="auto" w:fill="auto"/>
            <w:noWrap/>
          </w:tcPr>
          <w:p w14:paraId="222E4661" w14:textId="77777777" w:rsidR="00706DD1" w:rsidRPr="00BE78CA" w:rsidRDefault="00706DD1" w:rsidP="00C26084">
            <w:pPr>
              <w:pStyle w:val="TableText"/>
              <w:spacing w:before="40"/>
              <w:rPr>
                <w:rFonts w:cs="Calibri"/>
              </w:rPr>
            </w:pPr>
            <w:r w:rsidRPr="00BE78CA">
              <w:t>1.A.2.f</w:t>
            </w:r>
          </w:p>
        </w:tc>
        <w:tc>
          <w:tcPr>
            <w:tcW w:w="5589" w:type="dxa"/>
            <w:shd w:val="clear" w:color="auto" w:fill="auto"/>
            <w:noWrap/>
          </w:tcPr>
          <w:p w14:paraId="644EAC49" w14:textId="77777777" w:rsidR="00706DD1" w:rsidRPr="00BE78CA" w:rsidRDefault="00706DD1" w:rsidP="00C26084">
            <w:pPr>
              <w:pStyle w:val="TableText"/>
              <w:spacing w:before="40"/>
              <w:rPr>
                <w:rFonts w:cs="Calibri"/>
              </w:rPr>
            </w:pPr>
            <w:r w:rsidRPr="00BE78CA">
              <w:t>Manufacturing Industries and Construction – Non-metallic Minerals Solid Fuels</w:t>
            </w:r>
          </w:p>
        </w:tc>
        <w:tc>
          <w:tcPr>
            <w:tcW w:w="669" w:type="dxa"/>
            <w:shd w:val="clear" w:color="auto" w:fill="auto"/>
            <w:noWrap/>
          </w:tcPr>
          <w:p w14:paraId="39345D70" w14:textId="77777777" w:rsidR="00706DD1" w:rsidRPr="00BE78CA" w:rsidRDefault="00706DD1" w:rsidP="00C26084">
            <w:pPr>
              <w:pStyle w:val="TableText"/>
              <w:spacing w:before="40"/>
              <w:jc w:val="center"/>
              <w:rPr>
                <w:rFonts w:cs="Calibri"/>
              </w:rPr>
            </w:pPr>
            <w:r w:rsidRPr="00BE78CA">
              <w:t>CO</w:t>
            </w:r>
            <w:r w:rsidRPr="00BE78CA">
              <w:rPr>
                <w:vertAlign w:val="subscript"/>
              </w:rPr>
              <w:t>2</w:t>
            </w:r>
          </w:p>
        </w:tc>
        <w:tc>
          <w:tcPr>
            <w:tcW w:w="1154" w:type="dxa"/>
            <w:shd w:val="clear" w:color="auto" w:fill="auto"/>
            <w:noWrap/>
          </w:tcPr>
          <w:p w14:paraId="28F16143" w14:textId="77777777" w:rsidR="00706DD1" w:rsidRPr="00BE78CA" w:rsidRDefault="00706DD1" w:rsidP="00C26084">
            <w:pPr>
              <w:pStyle w:val="TableText"/>
              <w:spacing w:before="40"/>
              <w:rPr>
                <w:rFonts w:cs="Calibri"/>
              </w:rPr>
            </w:pPr>
            <w:r w:rsidRPr="00BE78CA">
              <w:t>L1, T1</w:t>
            </w:r>
          </w:p>
        </w:tc>
      </w:tr>
      <w:tr w:rsidR="00706DD1" w:rsidRPr="00BE78CA" w14:paraId="65D22315" w14:textId="77777777" w:rsidTr="00E615F8">
        <w:tc>
          <w:tcPr>
            <w:tcW w:w="1093" w:type="dxa"/>
            <w:shd w:val="clear" w:color="auto" w:fill="auto"/>
            <w:noWrap/>
          </w:tcPr>
          <w:p w14:paraId="10CEF9DA" w14:textId="77777777" w:rsidR="00706DD1" w:rsidRPr="00BE78CA" w:rsidRDefault="00706DD1" w:rsidP="00C26084">
            <w:pPr>
              <w:pStyle w:val="TableText"/>
              <w:spacing w:before="40"/>
              <w:rPr>
                <w:rFonts w:cs="Calibri"/>
              </w:rPr>
            </w:pPr>
            <w:r w:rsidRPr="00BE78CA">
              <w:t>1.A.2.g.iii</w:t>
            </w:r>
          </w:p>
        </w:tc>
        <w:tc>
          <w:tcPr>
            <w:tcW w:w="5589" w:type="dxa"/>
            <w:shd w:val="clear" w:color="auto" w:fill="auto"/>
            <w:noWrap/>
          </w:tcPr>
          <w:p w14:paraId="6F53E175" w14:textId="77777777" w:rsidR="00706DD1" w:rsidRPr="00BE78CA" w:rsidRDefault="00706DD1" w:rsidP="00C26084">
            <w:pPr>
              <w:pStyle w:val="TableText"/>
              <w:spacing w:before="40"/>
              <w:rPr>
                <w:rFonts w:cs="Calibri"/>
              </w:rPr>
            </w:pPr>
            <w:r w:rsidRPr="00BE78CA">
              <w:t>Other (please specify) – Mining (excluding fuels) and quarrying Liquid Fuels</w:t>
            </w:r>
          </w:p>
        </w:tc>
        <w:tc>
          <w:tcPr>
            <w:tcW w:w="669" w:type="dxa"/>
            <w:shd w:val="clear" w:color="auto" w:fill="auto"/>
            <w:noWrap/>
          </w:tcPr>
          <w:p w14:paraId="7FFD275B" w14:textId="77777777" w:rsidR="00706DD1" w:rsidRPr="00BE78CA" w:rsidRDefault="00706DD1" w:rsidP="00C26084">
            <w:pPr>
              <w:pStyle w:val="TableText"/>
              <w:spacing w:before="40"/>
              <w:jc w:val="center"/>
              <w:rPr>
                <w:rFonts w:cs="Calibri"/>
              </w:rPr>
            </w:pPr>
            <w:r w:rsidRPr="00BE78CA">
              <w:t>CO</w:t>
            </w:r>
            <w:r w:rsidRPr="00BE78CA">
              <w:rPr>
                <w:vertAlign w:val="subscript"/>
              </w:rPr>
              <w:t>2</w:t>
            </w:r>
          </w:p>
        </w:tc>
        <w:tc>
          <w:tcPr>
            <w:tcW w:w="1154" w:type="dxa"/>
            <w:shd w:val="clear" w:color="auto" w:fill="auto"/>
            <w:noWrap/>
          </w:tcPr>
          <w:p w14:paraId="2DDBD6F4" w14:textId="77777777" w:rsidR="00706DD1" w:rsidRPr="00BE78CA" w:rsidRDefault="00706DD1" w:rsidP="00C26084">
            <w:pPr>
              <w:pStyle w:val="TableText"/>
              <w:spacing w:before="40"/>
              <w:rPr>
                <w:rFonts w:cs="Calibri"/>
              </w:rPr>
            </w:pPr>
            <w:r w:rsidRPr="00BE78CA">
              <w:t>L1, T1</w:t>
            </w:r>
          </w:p>
        </w:tc>
      </w:tr>
      <w:tr w:rsidR="00706DD1" w:rsidRPr="00BE78CA" w14:paraId="587CF19C" w14:textId="77777777" w:rsidTr="00E615F8">
        <w:tc>
          <w:tcPr>
            <w:tcW w:w="1093" w:type="dxa"/>
            <w:shd w:val="clear" w:color="auto" w:fill="auto"/>
            <w:noWrap/>
          </w:tcPr>
          <w:p w14:paraId="4998D1AB" w14:textId="77777777" w:rsidR="00706DD1" w:rsidRPr="00BE78CA" w:rsidRDefault="00706DD1" w:rsidP="00C26084">
            <w:pPr>
              <w:pStyle w:val="TableText"/>
              <w:spacing w:before="40"/>
              <w:rPr>
                <w:rFonts w:cs="Calibri"/>
              </w:rPr>
            </w:pPr>
            <w:r w:rsidRPr="00BE78CA">
              <w:t>1.A.2.g.viii</w:t>
            </w:r>
          </w:p>
        </w:tc>
        <w:tc>
          <w:tcPr>
            <w:tcW w:w="5589" w:type="dxa"/>
            <w:shd w:val="clear" w:color="auto" w:fill="auto"/>
            <w:noWrap/>
          </w:tcPr>
          <w:p w14:paraId="06B05C53" w14:textId="77777777" w:rsidR="00706DD1" w:rsidRPr="00BE78CA" w:rsidRDefault="00706DD1" w:rsidP="00C26084">
            <w:pPr>
              <w:pStyle w:val="TableText"/>
              <w:spacing w:before="40"/>
              <w:rPr>
                <w:rFonts w:cs="Calibri"/>
              </w:rPr>
            </w:pPr>
            <w:r w:rsidRPr="00BE78CA">
              <w:t>Other (please specify) – Other (please specify) Liquid Fuels</w:t>
            </w:r>
          </w:p>
        </w:tc>
        <w:tc>
          <w:tcPr>
            <w:tcW w:w="669" w:type="dxa"/>
            <w:shd w:val="clear" w:color="auto" w:fill="auto"/>
            <w:noWrap/>
          </w:tcPr>
          <w:p w14:paraId="36D28F67" w14:textId="77777777" w:rsidR="00706DD1" w:rsidRPr="00BE78CA" w:rsidRDefault="00706DD1" w:rsidP="00C26084">
            <w:pPr>
              <w:pStyle w:val="TableText"/>
              <w:spacing w:before="40"/>
              <w:jc w:val="center"/>
              <w:rPr>
                <w:rFonts w:cs="Calibri"/>
              </w:rPr>
            </w:pPr>
            <w:r w:rsidRPr="00BE78CA">
              <w:t>CO</w:t>
            </w:r>
            <w:r w:rsidRPr="00BE78CA">
              <w:rPr>
                <w:vertAlign w:val="subscript"/>
              </w:rPr>
              <w:t>2</w:t>
            </w:r>
          </w:p>
        </w:tc>
        <w:tc>
          <w:tcPr>
            <w:tcW w:w="1154" w:type="dxa"/>
            <w:shd w:val="clear" w:color="auto" w:fill="auto"/>
            <w:noWrap/>
          </w:tcPr>
          <w:p w14:paraId="46D4458C" w14:textId="77777777" w:rsidR="00706DD1" w:rsidRPr="00BE78CA" w:rsidRDefault="00706DD1" w:rsidP="00C26084">
            <w:pPr>
              <w:pStyle w:val="TableText"/>
              <w:spacing w:before="40"/>
              <w:rPr>
                <w:rFonts w:cs="Calibri"/>
              </w:rPr>
            </w:pPr>
            <w:r w:rsidRPr="00BE78CA">
              <w:t>L1, T1</w:t>
            </w:r>
          </w:p>
        </w:tc>
      </w:tr>
      <w:tr w:rsidR="00706DD1" w:rsidRPr="00BE78CA" w14:paraId="0BD99DD9" w14:textId="77777777" w:rsidTr="00E615F8">
        <w:tc>
          <w:tcPr>
            <w:tcW w:w="1093" w:type="dxa"/>
            <w:shd w:val="clear" w:color="auto" w:fill="auto"/>
            <w:noWrap/>
          </w:tcPr>
          <w:p w14:paraId="4C4DE123" w14:textId="77777777" w:rsidR="00706DD1" w:rsidRPr="00BE78CA" w:rsidRDefault="00706DD1" w:rsidP="00C26084">
            <w:pPr>
              <w:pStyle w:val="TableText"/>
              <w:spacing w:before="40"/>
              <w:rPr>
                <w:rFonts w:cs="Calibri"/>
              </w:rPr>
            </w:pPr>
            <w:r w:rsidRPr="00BE78CA">
              <w:t>1.A.2.g.viii</w:t>
            </w:r>
          </w:p>
        </w:tc>
        <w:tc>
          <w:tcPr>
            <w:tcW w:w="5589" w:type="dxa"/>
            <w:shd w:val="clear" w:color="auto" w:fill="auto"/>
            <w:noWrap/>
          </w:tcPr>
          <w:p w14:paraId="62C2D208" w14:textId="77777777" w:rsidR="00706DD1" w:rsidRPr="00BE78CA" w:rsidRDefault="00706DD1" w:rsidP="00C26084">
            <w:pPr>
              <w:pStyle w:val="TableText"/>
              <w:spacing w:before="40"/>
              <w:rPr>
                <w:rFonts w:cs="Calibri"/>
              </w:rPr>
            </w:pPr>
            <w:r w:rsidRPr="00BE78CA">
              <w:t>Other (please specify) – Other (please specify) Solid Fuels</w:t>
            </w:r>
          </w:p>
        </w:tc>
        <w:tc>
          <w:tcPr>
            <w:tcW w:w="669" w:type="dxa"/>
            <w:shd w:val="clear" w:color="auto" w:fill="auto"/>
            <w:noWrap/>
          </w:tcPr>
          <w:p w14:paraId="67006056" w14:textId="77777777" w:rsidR="00706DD1" w:rsidRPr="00BE78CA" w:rsidRDefault="00706DD1" w:rsidP="00C26084">
            <w:pPr>
              <w:pStyle w:val="TableText"/>
              <w:spacing w:before="40"/>
              <w:jc w:val="center"/>
              <w:rPr>
                <w:rFonts w:cs="Calibri"/>
              </w:rPr>
            </w:pPr>
            <w:r w:rsidRPr="00BE78CA">
              <w:t>CO</w:t>
            </w:r>
            <w:r w:rsidRPr="00BE78CA">
              <w:rPr>
                <w:vertAlign w:val="subscript"/>
              </w:rPr>
              <w:t>2</w:t>
            </w:r>
          </w:p>
        </w:tc>
        <w:tc>
          <w:tcPr>
            <w:tcW w:w="1154" w:type="dxa"/>
            <w:shd w:val="clear" w:color="auto" w:fill="auto"/>
            <w:noWrap/>
          </w:tcPr>
          <w:p w14:paraId="147C9E82" w14:textId="77777777" w:rsidR="00706DD1" w:rsidRPr="00BE78CA" w:rsidRDefault="00706DD1" w:rsidP="00C26084">
            <w:pPr>
              <w:pStyle w:val="TableText"/>
              <w:spacing w:before="40"/>
              <w:rPr>
                <w:rFonts w:cs="Calibri"/>
              </w:rPr>
            </w:pPr>
            <w:r w:rsidRPr="00BE78CA">
              <w:t>T1</w:t>
            </w:r>
          </w:p>
        </w:tc>
      </w:tr>
      <w:tr w:rsidR="00706DD1" w:rsidRPr="00BE78CA" w14:paraId="6612B23B" w14:textId="77777777" w:rsidTr="00E615F8">
        <w:tc>
          <w:tcPr>
            <w:tcW w:w="1093" w:type="dxa"/>
            <w:shd w:val="clear" w:color="auto" w:fill="auto"/>
            <w:noWrap/>
          </w:tcPr>
          <w:p w14:paraId="36893F49" w14:textId="77777777" w:rsidR="00706DD1" w:rsidRPr="00BE78CA" w:rsidRDefault="00706DD1" w:rsidP="00C26084">
            <w:pPr>
              <w:pStyle w:val="TableText"/>
              <w:spacing w:before="40"/>
              <w:rPr>
                <w:rFonts w:cs="Calibri"/>
              </w:rPr>
            </w:pPr>
            <w:r w:rsidRPr="00BE78CA">
              <w:t>1.A.3.a</w:t>
            </w:r>
          </w:p>
        </w:tc>
        <w:tc>
          <w:tcPr>
            <w:tcW w:w="5589" w:type="dxa"/>
            <w:shd w:val="clear" w:color="auto" w:fill="auto"/>
            <w:noWrap/>
          </w:tcPr>
          <w:p w14:paraId="4A4DA8DD" w14:textId="77777777" w:rsidR="00706DD1" w:rsidRPr="00BE78CA" w:rsidRDefault="00706DD1" w:rsidP="00C26084">
            <w:pPr>
              <w:pStyle w:val="TableText"/>
              <w:spacing w:before="40"/>
              <w:rPr>
                <w:rFonts w:cs="Calibri"/>
              </w:rPr>
            </w:pPr>
            <w:r w:rsidRPr="00BE78CA">
              <w:t>Domestic Aviation – Jet Kerosene</w:t>
            </w:r>
          </w:p>
        </w:tc>
        <w:tc>
          <w:tcPr>
            <w:tcW w:w="669" w:type="dxa"/>
            <w:shd w:val="clear" w:color="auto" w:fill="auto"/>
            <w:noWrap/>
          </w:tcPr>
          <w:p w14:paraId="2053FBDB" w14:textId="77777777" w:rsidR="00706DD1" w:rsidRPr="00BE78CA" w:rsidRDefault="00706DD1" w:rsidP="00C26084">
            <w:pPr>
              <w:pStyle w:val="TableText"/>
              <w:spacing w:before="40"/>
              <w:jc w:val="center"/>
              <w:rPr>
                <w:rFonts w:cs="Calibri"/>
              </w:rPr>
            </w:pPr>
            <w:r w:rsidRPr="00BE78CA">
              <w:t>CO</w:t>
            </w:r>
            <w:r w:rsidRPr="00BE78CA">
              <w:rPr>
                <w:vertAlign w:val="subscript"/>
              </w:rPr>
              <w:t>2</w:t>
            </w:r>
          </w:p>
        </w:tc>
        <w:tc>
          <w:tcPr>
            <w:tcW w:w="1154" w:type="dxa"/>
            <w:shd w:val="clear" w:color="auto" w:fill="auto"/>
            <w:noWrap/>
          </w:tcPr>
          <w:p w14:paraId="50F1C4AB" w14:textId="77777777" w:rsidR="00706DD1" w:rsidRPr="00BE78CA" w:rsidRDefault="00706DD1" w:rsidP="00C26084">
            <w:pPr>
              <w:pStyle w:val="TableText"/>
              <w:spacing w:before="40"/>
              <w:rPr>
                <w:rFonts w:cs="Calibri"/>
              </w:rPr>
            </w:pPr>
            <w:r w:rsidRPr="00BE78CA">
              <w:t>L1, T1</w:t>
            </w:r>
          </w:p>
        </w:tc>
      </w:tr>
      <w:tr w:rsidR="00706DD1" w:rsidRPr="00BE78CA" w14:paraId="42F04311" w14:textId="77777777" w:rsidTr="00E615F8">
        <w:tc>
          <w:tcPr>
            <w:tcW w:w="1093" w:type="dxa"/>
            <w:shd w:val="clear" w:color="auto" w:fill="auto"/>
            <w:noWrap/>
          </w:tcPr>
          <w:p w14:paraId="764C60AA" w14:textId="77777777" w:rsidR="00706DD1" w:rsidRPr="00BE78CA" w:rsidRDefault="00706DD1" w:rsidP="00C26084">
            <w:pPr>
              <w:pStyle w:val="TableText"/>
              <w:spacing w:before="40"/>
              <w:rPr>
                <w:rFonts w:cs="Calibri"/>
              </w:rPr>
            </w:pPr>
            <w:r w:rsidRPr="00BE78CA">
              <w:t>1.A.3.b</w:t>
            </w:r>
          </w:p>
        </w:tc>
        <w:tc>
          <w:tcPr>
            <w:tcW w:w="5589" w:type="dxa"/>
            <w:shd w:val="clear" w:color="auto" w:fill="auto"/>
            <w:noWrap/>
          </w:tcPr>
          <w:p w14:paraId="6B2554CA" w14:textId="77777777" w:rsidR="00706DD1" w:rsidRPr="00BE78CA" w:rsidRDefault="00706DD1" w:rsidP="00C26084">
            <w:pPr>
              <w:pStyle w:val="TableText"/>
              <w:spacing w:before="40"/>
              <w:rPr>
                <w:rFonts w:cs="Calibri"/>
              </w:rPr>
            </w:pPr>
            <w:r w:rsidRPr="00BE78CA">
              <w:t>Transport – Road Transportation Liquid Fuels</w:t>
            </w:r>
          </w:p>
        </w:tc>
        <w:tc>
          <w:tcPr>
            <w:tcW w:w="669" w:type="dxa"/>
            <w:shd w:val="clear" w:color="auto" w:fill="auto"/>
            <w:noWrap/>
          </w:tcPr>
          <w:p w14:paraId="1232AD1E" w14:textId="77777777" w:rsidR="00706DD1" w:rsidRPr="00BE78CA" w:rsidRDefault="00706DD1" w:rsidP="00C26084">
            <w:pPr>
              <w:pStyle w:val="TableText"/>
              <w:spacing w:before="40"/>
              <w:jc w:val="center"/>
              <w:rPr>
                <w:rFonts w:cs="Calibri"/>
              </w:rPr>
            </w:pPr>
            <w:r w:rsidRPr="00BE78CA">
              <w:t>CO</w:t>
            </w:r>
            <w:r w:rsidRPr="00BE78CA">
              <w:rPr>
                <w:vertAlign w:val="subscript"/>
              </w:rPr>
              <w:t>2</w:t>
            </w:r>
          </w:p>
        </w:tc>
        <w:tc>
          <w:tcPr>
            <w:tcW w:w="1154" w:type="dxa"/>
            <w:shd w:val="clear" w:color="auto" w:fill="auto"/>
            <w:noWrap/>
          </w:tcPr>
          <w:p w14:paraId="3D280262" w14:textId="77777777" w:rsidR="00706DD1" w:rsidRPr="00BE78CA" w:rsidRDefault="00706DD1" w:rsidP="00C26084">
            <w:pPr>
              <w:pStyle w:val="TableText"/>
              <w:spacing w:before="40"/>
              <w:rPr>
                <w:rFonts w:cs="Calibri"/>
              </w:rPr>
            </w:pPr>
            <w:r w:rsidRPr="00BE78CA">
              <w:t>L1, T1</w:t>
            </w:r>
          </w:p>
        </w:tc>
      </w:tr>
      <w:tr w:rsidR="00706DD1" w:rsidRPr="00BE78CA" w14:paraId="65201215" w14:textId="77777777" w:rsidTr="00E615F8">
        <w:tc>
          <w:tcPr>
            <w:tcW w:w="1093" w:type="dxa"/>
            <w:shd w:val="clear" w:color="auto" w:fill="auto"/>
            <w:noWrap/>
          </w:tcPr>
          <w:p w14:paraId="1649B85F" w14:textId="77777777" w:rsidR="00706DD1" w:rsidRPr="00BE78CA" w:rsidRDefault="00706DD1" w:rsidP="00C26084">
            <w:pPr>
              <w:pStyle w:val="TableText"/>
              <w:spacing w:before="40"/>
              <w:rPr>
                <w:rFonts w:cs="Calibri"/>
              </w:rPr>
            </w:pPr>
            <w:r w:rsidRPr="00BE78CA">
              <w:t>1.A.3.b</w:t>
            </w:r>
          </w:p>
        </w:tc>
        <w:tc>
          <w:tcPr>
            <w:tcW w:w="5589" w:type="dxa"/>
            <w:shd w:val="clear" w:color="auto" w:fill="auto"/>
            <w:noWrap/>
          </w:tcPr>
          <w:p w14:paraId="2532DC25" w14:textId="77777777" w:rsidR="00706DD1" w:rsidRPr="00BE78CA" w:rsidRDefault="00706DD1" w:rsidP="00C26084">
            <w:pPr>
              <w:pStyle w:val="TableText"/>
              <w:spacing w:before="40"/>
              <w:rPr>
                <w:rFonts w:cs="Calibri"/>
              </w:rPr>
            </w:pPr>
            <w:r w:rsidRPr="00BE78CA">
              <w:t>Transport – Road Transportation Gaseous Fuels</w:t>
            </w:r>
          </w:p>
        </w:tc>
        <w:tc>
          <w:tcPr>
            <w:tcW w:w="669" w:type="dxa"/>
            <w:shd w:val="clear" w:color="auto" w:fill="auto"/>
            <w:noWrap/>
          </w:tcPr>
          <w:p w14:paraId="2B3443CC" w14:textId="77777777" w:rsidR="00706DD1" w:rsidRPr="00BE78CA" w:rsidRDefault="00706DD1" w:rsidP="00C26084">
            <w:pPr>
              <w:pStyle w:val="TableText"/>
              <w:spacing w:before="40"/>
              <w:jc w:val="center"/>
              <w:rPr>
                <w:rFonts w:cs="Calibri"/>
              </w:rPr>
            </w:pPr>
            <w:r w:rsidRPr="00BE78CA">
              <w:t>CO</w:t>
            </w:r>
            <w:r w:rsidRPr="00BE78CA">
              <w:rPr>
                <w:vertAlign w:val="subscript"/>
              </w:rPr>
              <w:t>2</w:t>
            </w:r>
          </w:p>
        </w:tc>
        <w:tc>
          <w:tcPr>
            <w:tcW w:w="1154" w:type="dxa"/>
            <w:shd w:val="clear" w:color="auto" w:fill="auto"/>
            <w:noWrap/>
          </w:tcPr>
          <w:p w14:paraId="0F19A01C" w14:textId="77777777" w:rsidR="00706DD1" w:rsidRPr="00BE78CA" w:rsidRDefault="00706DD1" w:rsidP="00C26084">
            <w:pPr>
              <w:pStyle w:val="TableText"/>
              <w:spacing w:before="40"/>
              <w:rPr>
                <w:rFonts w:cs="Calibri"/>
              </w:rPr>
            </w:pPr>
            <w:r w:rsidRPr="00BE78CA">
              <w:t>T1</w:t>
            </w:r>
          </w:p>
        </w:tc>
      </w:tr>
      <w:tr w:rsidR="00706DD1" w:rsidRPr="00BE78CA" w14:paraId="6F4A7A27" w14:textId="77777777" w:rsidTr="00E615F8">
        <w:tc>
          <w:tcPr>
            <w:tcW w:w="1093" w:type="dxa"/>
            <w:shd w:val="clear" w:color="auto" w:fill="auto"/>
            <w:noWrap/>
          </w:tcPr>
          <w:p w14:paraId="1A62AD83" w14:textId="77777777" w:rsidR="00706DD1" w:rsidRPr="00BE78CA" w:rsidRDefault="00706DD1" w:rsidP="00C26084">
            <w:pPr>
              <w:pStyle w:val="TableText"/>
              <w:spacing w:before="40"/>
              <w:rPr>
                <w:rFonts w:cs="Calibri"/>
              </w:rPr>
            </w:pPr>
            <w:r w:rsidRPr="00BE78CA">
              <w:t>1.A.3.d</w:t>
            </w:r>
          </w:p>
        </w:tc>
        <w:tc>
          <w:tcPr>
            <w:tcW w:w="5589" w:type="dxa"/>
            <w:shd w:val="clear" w:color="auto" w:fill="auto"/>
            <w:noWrap/>
          </w:tcPr>
          <w:p w14:paraId="56A7340F" w14:textId="77777777" w:rsidR="00706DD1" w:rsidRPr="00BE78CA" w:rsidRDefault="00706DD1" w:rsidP="00C26084">
            <w:pPr>
              <w:pStyle w:val="TableText"/>
              <w:spacing w:before="40"/>
              <w:rPr>
                <w:rFonts w:cs="Calibri"/>
              </w:rPr>
            </w:pPr>
            <w:r w:rsidRPr="00BE78CA">
              <w:t>Domestic Navigation – Residual Fuel Oil</w:t>
            </w:r>
          </w:p>
        </w:tc>
        <w:tc>
          <w:tcPr>
            <w:tcW w:w="669" w:type="dxa"/>
            <w:shd w:val="clear" w:color="auto" w:fill="auto"/>
            <w:noWrap/>
          </w:tcPr>
          <w:p w14:paraId="67850980" w14:textId="77777777" w:rsidR="00706DD1" w:rsidRPr="00BE78CA" w:rsidRDefault="00706DD1" w:rsidP="00C26084">
            <w:pPr>
              <w:pStyle w:val="TableText"/>
              <w:spacing w:before="40"/>
              <w:jc w:val="center"/>
              <w:rPr>
                <w:rFonts w:cs="Calibri"/>
              </w:rPr>
            </w:pPr>
            <w:r w:rsidRPr="00BE78CA">
              <w:t>CO</w:t>
            </w:r>
            <w:r w:rsidRPr="00BE78CA">
              <w:rPr>
                <w:vertAlign w:val="subscript"/>
              </w:rPr>
              <w:t>2</w:t>
            </w:r>
          </w:p>
        </w:tc>
        <w:tc>
          <w:tcPr>
            <w:tcW w:w="1154" w:type="dxa"/>
            <w:shd w:val="clear" w:color="auto" w:fill="auto"/>
            <w:noWrap/>
          </w:tcPr>
          <w:p w14:paraId="75CA5C79" w14:textId="77777777" w:rsidR="00706DD1" w:rsidRPr="00BE78CA" w:rsidRDefault="00706DD1" w:rsidP="00C26084">
            <w:pPr>
              <w:pStyle w:val="TableText"/>
              <w:spacing w:before="40"/>
              <w:rPr>
                <w:rFonts w:cs="Calibri"/>
              </w:rPr>
            </w:pPr>
            <w:r w:rsidRPr="00BE78CA">
              <w:t>L1</w:t>
            </w:r>
          </w:p>
        </w:tc>
      </w:tr>
      <w:tr w:rsidR="00706DD1" w:rsidRPr="00BE78CA" w14:paraId="2F4A3525" w14:textId="77777777" w:rsidTr="00E615F8">
        <w:tc>
          <w:tcPr>
            <w:tcW w:w="1093" w:type="dxa"/>
            <w:shd w:val="clear" w:color="auto" w:fill="auto"/>
            <w:noWrap/>
          </w:tcPr>
          <w:p w14:paraId="173D0F19" w14:textId="77777777" w:rsidR="00706DD1" w:rsidRPr="00BE78CA" w:rsidRDefault="00706DD1" w:rsidP="00C26084">
            <w:pPr>
              <w:pStyle w:val="TableText"/>
              <w:spacing w:before="40"/>
              <w:rPr>
                <w:rFonts w:cs="Calibri"/>
              </w:rPr>
            </w:pPr>
            <w:r w:rsidRPr="00BE78CA">
              <w:t>1.A.4.a</w:t>
            </w:r>
          </w:p>
        </w:tc>
        <w:tc>
          <w:tcPr>
            <w:tcW w:w="5589" w:type="dxa"/>
            <w:shd w:val="clear" w:color="auto" w:fill="auto"/>
            <w:noWrap/>
          </w:tcPr>
          <w:p w14:paraId="1C78FF56" w14:textId="77777777" w:rsidR="00706DD1" w:rsidRPr="00BE78CA" w:rsidRDefault="00706DD1" w:rsidP="00C26084">
            <w:pPr>
              <w:pStyle w:val="TableText"/>
              <w:spacing w:before="40"/>
              <w:rPr>
                <w:rFonts w:cs="Calibri"/>
              </w:rPr>
            </w:pPr>
            <w:r w:rsidRPr="00BE78CA">
              <w:t>Other Sectors – Commercial/Institutional Liquid Fuels</w:t>
            </w:r>
          </w:p>
        </w:tc>
        <w:tc>
          <w:tcPr>
            <w:tcW w:w="669" w:type="dxa"/>
            <w:shd w:val="clear" w:color="auto" w:fill="auto"/>
            <w:noWrap/>
          </w:tcPr>
          <w:p w14:paraId="68E84421" w14:textId="77777777" w:rsidR="00706DD1" w:rsidRPr="00BE78CA" w:rsidRDefault="00706DD1" w:rsidP="00C26084">
            <w:pPr>
              <w:pStyle w:val="TableText"/>
              <w:spacing w:before="40"/>
              <w:jc w:val="center"/>
              <w:rPr>
                <w:rFonts w:cs="Calibri"/>
              </w:rPr>
            </w:pPr>
            <w:r w:rsidRPr="00BE78CA">
              <w:t>CO</w:t>
            </w:r>
            <w:r w:rsidRPr="00BE78CA">
              <w:rPr>
                <w:vertAlign w:val="subscript"/>
              </w:rPr>
              <w:t>2</w:t>
            </w:r>
          </w:p>
        </w:tc>
        <w:tc>
          <w:tcPr>
            <w:tcW w:w="1154" w:type="dxa"/>
            <w:shd w:val="clear" w:color="auto" w:fill="auto"/>
            <w:noWrap/>
          </w:tcPr>
          <w:p w14:paraId="318AA78A" w14:textId="77777777" w:rsidR="00706DD1" w:rsidRPr="00BE78CA" w:rsidRDefault="00706DD1" w:rsidP="00C26084">
            <w:pPr>
              <w:pStyle w:val="TableText"/>
              <w:spacing w:before="40"/>
              <w:rPr>
                <w:rFonts w:cs="Calibri"/>
              </w:rPr>
            </w:pPr>
            <w:r w:rsidRPr="00BE78CA">
              <w:t>L1</w:t>
            </w:r>
          </w:p>
        </w:tc>
      </w:tr>
      <w:tr w:rsidR="00706DD1" w:rsidRPr="00BE78CA" w14:paraId="344F95D0" w14:textId="77777777" w:rsidTr="00E615F8">
        <w:tc>
          <w:tcPr>
            <w:tcW w:w="1093" w:type="dxa"/>
            <w:shd w:val="clear" w:color="auto" w:fill="auto"/>
            <w:noWrap/>
          </w:tcPr>
          <w:p w14:paraId="4CE5A861" w14:textId="77777777" w:rsidR="00706DD1" w:rsidRPr="00BE78CA" w:rsidRDefault="00706DD1" w:rsidP="00C26084">
            <w:pPr>
              <w:pStyle w:val="TableText"/>
              <w:spacing w:before="40"/>
              <w:rPr>
                <w:rFonts w:cs="Calibri"/>
              </w:rPr>
            </w:pPr>
            <w:r w:rsidRPr="00BE78CA">
              <w:t>1.A.4.a</w:t>
            </w:r>
          </w:p>
        </w:tc>
        <w:tc>
          <w:tcPr>
            <w:tcW w:w="5589" w:type="dxa"/>
            <w:shd w:val="clear" w:color="auto" w:fill="auto"/>
            <w:noWrap/>
          </w:tcPr>
          <w:p w14:paraId="21796636" w14:textId="77777777" w:rsidR="00706DD1" w:rsidRPr="00BE78CA" w:rsidRDefault="00706DD1" w:rsidP="00C26084">
            <w:pPr>
              <w:pStyle w:val="TableText"/>
              <w:spacing w:before="40"/>
              <w:rPr>
                <w:rFonts w:cs="Calibri"/>
              </w:rPr>
            </w:pPr>
            <w:r w:rsidRPr="00BE78CA">
              <w:t>Other Sectors – Commercial/Institutional Gaseous Fuels</w:t>
            </w:r>
          </w:p>
        </w:tc>
        <w:tc>
          <w:tcPr>
            <w:tcW w:w="669" w:type="dxa"/>
            <w:shd w:val="clear" w:color="auto" w:fill="auto"/>
            <w:noWrap/>
          </w:tcPr>
          <w:p w14:paraId="4952D858" w14:textId="77777777" w:rsidR="00706DD1" w:rsidRPr="00BE78CA" w:rsidRDefault="00706DD1" w:rsidP="00C26084">
            <w:pPr>
              <w:pStyle w:val="TableText"/>
              <w:spacing w:before="40"/>
              <w:jc w:val="center"/>
              <w:rPr>
                <w:rFonts w:cs="Calibri"/>
              </w:rPr>
            </w:pPr>
            <w:r w:rsidRPr="00BE78CA">
              <w:t>CO</w:t>
            </w:r>
            <w:r w:rsidRPr="00BE78CA">
              <w:rPr>
                <w:vertAlign w:val="subscript"/>
              </w:rPr>
              <w:t>2</w:t>
            </w:r>
          </w:p>
        </w:tc>
        <w:tc>
          <w:tcPr>
            <w:tcW w:w="1154" w:type="dxa"/>
            <w:shd w:val="clear" w:color="auto" w:fill="auto"/>
            <w:noWrap/>
          </w:tcPr>
          <w:p w14:paraId="0A4280B0" w14:textId="77777777" w:rsidR="00706DD1" w:rsidRPr="00BE78CA" w:rsidRDefault="00706DD1" w:rsidP="00C26084">
            <w:pPr>
              <w:pStyle w:val="TableText"/>
              <w:spacing w:before="40"/>
              <w:rPr>
                <w:rFonts w:cs="Calibri"/>
              </w:rPr>
            </w:pPr>
            <w:r w:rsidRPr="00BE78CA">
              <w:t>L1, T1</w:t>
            </w:r>
          </w:p>
        </w:tc>
      </w:tr>
      <w:tr w:rsidR="00706DD1" w:rsidRPr="00BE78CA" w14:paraId="5266ECE7" w14:textId="77777777" w:rsidTr="00E615F8">
        <w:tc>
          <w:tcPr>
            <w:tcW w:w="1093" w:type="dxa"/>
            <w:shd w:val="clear" w:color="auto" w:fill="auto"/>
            <w:noWrap/>
          </w:tcPr>
          <w:p w14:paraId="6C33170A" w14:textId="77777777" w:rsidR="00706DD1" w:rsidRPr="00BE78CA" w:rsidRDefault="00706DD1" w:rsidP="00C26084">
            <w:pPr>
              <w:pStyle w:val="TableText"/>
              <w:spacing w:before="40"/>
              <w:rPr>
                <w:rFonts w:cs="Calibri"/>
              </w:rPr>
            </w:pPr>
            <w:r w:rsidRPr="00BE78CA">
              <w:t>1.A.4.a</w:t>
            </w:r>
          </w:p>
        </w:tc>
        <w:tc>
          <w:tcPr>
            <w:tcW w:w="5589" w:type="dxa"/>
            <w:shd w:val="clear" w:color="auto" w:fill="auto"/>
            <w:noWrap/>
          </w:tcPr>
          <w:p w14:paraId="7F07C999" w14:textId="77777777" w:rsidR="00706DD1" w:rsidRPr="00BE78CA" w:rsidRDefault="00706DD1" w:rsidP="00C26084">
            <w:pPr>
              <w:pStyle w:val="TableText"/>
              <w:spacing w:before="40"/>
              <w:rPr>
                <w:rFonts w:cs="Calibri"/>
              </w:rPr>
            </w:pPr>
            <w:r w:rsidRPr="00BE78CA">
              <w:t>Other Sectors – Commercial/Institutional Solid Fuels</w:t>
            </w:r>
          </w:p>
        </w:tc>
        <w:tc>
          <w:tcPr>
            <w:tcW w:w="669" w:type="dxa"/>
            <w:shd w:val="clear" w:color="auto" w:fill="auto"/>
            <w:noWrap/>
          </w:tcPr>
          <w:p w14:paraId="68CDF33B" w14:textId="77777777" w:rsidR="00706DD1" w:rsidRPr="00BE78CA" w:rsidRDefault="00706DD1" w:rsidP="00C26084">
            <w:pPr>
              <w:pStyle w:val="TableText"/>
              <w:spacing w:before="40"/>
              <w:jc w:val="center"/>
              <w:rPr>
                <w:rFonts w:cs="Calibri"/>
              </w:rPr>
            </w:pPr>
            <w:r w:rsidRPr="00BE78CA">
              <w:t>CO</w:t>
            </w:r>
            <w:r w:rsidRPr="00BE78CA">
              <w:rPr>
                <w:vertAlign w:val="subscript"/>
              </w:rPr>
              <w:t>2</w:t>
            </w:r>
          </w:p>
        </w:tc>
        <w:tc>
          <w:tcPr>
            <w:tcW w:w="1154" w:type="dxa"/>
            <w:shd w:val="clear" w:color="auto" w:fill="auto"/>
            <w:noWrap/>
          </w:tcPr>
          <w:p w14:paraId="3FF919FE" w14:textId="77777777" w:rsidR="00706DD1" w:rsidRPr="00BE78CA" w:rsidRDefault="00706DD1" w:rsidP="00C26084">
            <w:pPr>
              <w:pStyle w:val="TableText"/>
              <w:spacing w:before="40"/>
              <w:rPr>
                <w:rFonts w:cs="Calibri"/>
              </w:rPr>
            </w:pPr>
            <w:r w:rsidRPr="00BE78CA">
              <w:t>T1</w:t>
            </w:r>
          </w:p>
        </w:tc>
      </w:tr>
      <w:tr w:rsidR="00706DD1" w:rsidRPr="00BE78CA" w14:paraId="53B3EC96" w14:textId="77777777" w:rsidTr="00E615F8">
        <w:tc>
          <w:tcPr>
            <w:tcW w:w="1093" w:type="dxa"/>
            <w:shd w:val="clear" w:color="auto" w:fill="auto"/>
            <w:noWrap/>
          </w:tcPr>
          <w:p w14:paraId="519B4CA2" w14:textId="77777777" w:rsidR="00706DD1" w:rsidRPr="00BE78CA" w:rsidRDefault="00706DD1" w:rsidP="00C26084">
            <w:pPr>
              <w:pStyle w:val="TableText"/>
              <w:spacing w:before="40"/>
              <w:rPr>
                <w:rFonts w:cs="Calibri"/>
              </w:rPr>
            </w:pPr>
            <w:r w:rsidRPr="00BE78CA">
              <w:t>1.A.4.b</w:t>
            </w:r>
          </w:p>
        </w:tc>
        <w:tc>
          <w:tcPr>
            <w:tcW w:w="5589" w:type="dxa"/>
            <w:shd w:val="clear" w:color="auto" w:fill="auto"/>
            <w:noWrap/>
          </w:tcPr>
          <w:p w14:paraId="4DD7C036" w14:textId="77777777" w:rsidR="00706DD1" w:rsidRPr="00BE78CA" w:rsidRDefault="00706DD1" w:rsidP="00C26084">
            <w:pPr>
              <w:pStyle w:val="TableText"/>
              <w:spacing w:before="40"/>
              <w:rPr>
                <w:rFonts w:cs="Calibri"/>
              </w:rPr>
            </w:pPr>
            <w:r w:rsidRPr="00BE78CA">
              <w:t>Other Sectors – Residential Gaseous Fuels</w:t>
            </w:r>
          </w:p>
        </w:tc>
        <w:tc>
          <w:tcPr>
            <w:tcW w:w="669" w:type="dxa"/>
            <w:shd w:val="clear" w:color="auto" w:fill="auto"/>
            <w:noWrap/>
          </w:tcPr>
          <w:p w14:paraId="68F5BDE4" w14:textId="77777777" w:rsidR="00706DD1" w:rsidRPr="00BE78CA" w:rsidRDefault="00706DD1" w:rsidP="00C26084">
            <w:pPr>
              <w:pStyle w:val="TableText"/>
              <w:spacing w:before="40"/>
              <w:jc w:val="center"/>
              <w:rPr>
                <w:rFonts w:cs="Calibri"/>
              </w:rPr>
            </w:pPr>
            <w:r w:rsidRPr="00BE78CA">
              <w:t>CO</w:t>
            </w:r>
            <w:r w:rsidRPr="00BE78CA">
              <w:rPr>
                <w:vertAlign w:val="subscript"/>
              </w:rPr>
              <w:t>2</w:t>
            </w:r>
          </w:p>
        </w:tc>
        <w:tc>
          <w:tcPr>
            <w:tcW w:w="1154" w:type="dxa"/>
            <w:shd w:val="clear" w:color="auto" w:fill="auto"/>
            <w:noWrap/>
          </w:tcPr>
          <w:p w14:paraId="3682D1B5" w14:textId="77777777" w:rsidR="00706DD1" w:rsidRPr="00BE78CA" w:rsidRDefault="00706DD1" w:rsidP="00C26084">
            <w:pPr>
              <w:pStyle w:val="TableText"/>
              <w:spacing w:before="40"/>
              <w:rPr>
                <w:rFonts w:cs="Calibri"/>
              </w:rPr>
            </w:pPr>
            <w:r w:rsidRPr="00BE78CA">
              <w:t>L1, T1</w:t>
            </w:r>
          </w:p>
        </w:tc>
      </w:tr>
      <w:tr w:rsidR="00706DD1" w:rsidRPr="00BE78CA" w14:paraId="6B84F83C" w14:textId="77777777" w:rsidTr="00E615F8">
        <w:tc>
          <w:tcPr>
            <w:tcW w:w="1093" w:type="dxa"/>
            <w:shd w:val="clear" w:color="auto" w:fill="auto"/>
            <w:noWrap/>
          </w:tcPr>
          <w:p w14:paraId="38881C8C" w14:textId="77777777" w:rsidR="00706DD1" w:rsidRPr="00BE78CA" w:rsidRDefault="00706DD1" w:rsidP="00C26084">
            <w:pPr>
              <w:pStyle w:val="TableText"/>
              <w:spacing w:before="40"/>
              <w:rPr>
                <w:rFonts w:cs="Calibri"/>
              </w:rPr>
            </w:pPr>
            <w:r w:rsidRPr="00BE78CA">
              <w:t>1.A.4.b</w:t>
            </w:r>
          </w:p>
        </w:tc>
        <w:tc>
          <w:tcPr>
            <w:tcW w:w="5589" w:type="dxa"/>
            <w:shd w:val="clear" w:color="auto" w:fill="auto"/>
            <w:noWrap/>
          </w:tcPr>
          <w:p w14:paraId="58BBE978" w14:textId="77777777" w:rsidR="00706DD1" w:rsidRPr="00BE78CA" w:rsidRDefault="00706DD1" w:rsidP="00C26084">
            <w:pPr>
              <w:pStyle w:val="TableText"/>
              <w:spacing w:before="40"/>
              <w:rPr>
                <w:rFonts w:cs="Calibri"/>
              </w:rPr>
            </w:pPr>
            <w:r w:rsidRPr="00BE78CA">
              <w:t>Other Sectors – Residential Liquid Fuels</w:t>
            </w:r>
          </w:p>
        </w:tc>
        <w:tc>
          <w:tcPr>
            <w:tcW w:w="669" w:type="dxa"/>
            <w:shd w:val="clear" w:color="auto" w:fill="auto"/>
            <w:noWrap/>
          </w:tcPr>
          <w:p w14:paraId="3BF88CCA" w14:textId="77777777" w:rsidR="00706DD1" w:rsidRPr="00BE78CA" w:rsidRDefault="00706DD1" w:rsidP="00C26084">
            <w:pPr>
              <w:pStyle w:val="TableText"/>
              <w:spacing w:before="40"/>
              <w:jc w:val="center"/>
              <w:rPr>
                <w:rFonts w:cs="Calibri"/>
              </w:rPr>
            </w:pPr>
            <w:r w:rsidRPr="00BE78CA">
              <w:t>CO</w:t>
            </w:r>
            <w:r w:rsidRPr="00BE78CA">
              <w:rPr>
                <w:vertAlign w:val="subscript"/>
              </w:rPr>
              <w:t>2</w:t>
            </w:r>
          </w:p>
        </w:tc>
        <w:tc>
          <w:tcPr>
            <w:tcW w:w="1154" w:type="dxa"/>
            <w:shd w:val="clear" w:color="auto" w:fill="auto"/>
            <w:noWrap/>
          </w:tcPr>
          <w:p w14:paraId="493E0650" w14:textId="77777777" w:rsidR="00706DD1" w:rsidRPr="00BE78CA" w:rsidRDefault="00706DD1" w:rsidP="00C26084">
            <w:pPr>
              <w:pStyle w:val="TableText"/>
              <w:spacing w:before="40"/>
              <w:rPr>
                <w:rFonts w:cs="Calibri"/>
              </w:rPr>
            </w:pPr>
            <w:r w:rsidRPr="00BE78CA">
              <w:t>L1</w:t>
            </w:r>
          </w:p>
        </w:tc>
      </w:tr>
      <w:tr w:rsidR="00706DD1" w:rsidRPr="00BE78CA" w14:paraId="4AE747E0" w14:textId="77777777" w:rsidTr="00E615F8">
        <w:tc>
          <w:tcPr>
            <w:tcW w:w="1093" w:type="dxa"/>
            <w:shd w:val="clear" w:color="auto" w:fill="auto"/>
            <w:noWrap/>
          </w:tcPr>
          <w:p w14:paraId="67341972" w14:textId="77777777" w:rsidR="00706DD1" w:rsidRPr="00BE78CA" w:rsidRDefault="00706DD1" w:rsidP="00C26084">
            <w:pPr>
              <w:pStyle w:val="TableText"/>
              <w:spacing w:before="40"/>
              <w:rPr>
                <w:rFonts w:cs="Calibri"/>
              </w:rPr>
            </w:pPr>
            <w:r w:rsidRPr="00BE78CA">
              <w:t>1.A.4.b</w:t>
            </w:r>
          </w:p>
        </w:tc>
        <w:tc>
          <w:tcPr>
            <w:tcW w:w="5589" w:type="dxa"/>
            <w:shd w:val="clear" w:color="auto" w:fill="auto"/>
            <w:noWrap/>
          </w:tcPr>
          <w:p w14:paraId="54C109CC" w14:textId="77777777" w:rsidR="00706DD1" w:rsidRPr="00BE78CA" w:rsidRDefault="00706DD1" w:rsidP="00C26084">
            <w:pPr>
              <w:pStyle w:val="TableText"/>
              <w:spacing w:before="40"/>
              <w:rPr>
                <w:rFonts w:cs="Calibri"/>
              </w:rPr>
            </w:pPr>
            <w:r w:rsidRPr="00BE78CA">
              <w:t>Other Sectors – Residential Solid Fuels</w:t>
            </w:r>
          </w:p>
        </w:tc>
        <w:tc>
          <w:tcPr>
            <w:tcW w:w="669" w:type="dxa"/>
            <w:shd w:val="clear" w:color="auto" w:fill="auto"/>
            <w:noWrap/>
          </w:tcPr>
          <w:p w14:paraId="0CA1B9B8" w14:textId="77777777" w:rsidR="00706DD1" w:rsidRPr="00BE78CA" w:rsidRDefault="00706DD1" w:rsidP="00C26084">
            <w:pPr>
              <w:pStyle w:val="TableText"/>
              <w:spacing w:before="40"/>
              <w:jc w:val="center"/>
              <w:rPr>
                <w:rFonts w:cs="Calibri"/>
              </w:rPr>
            </w:pPr>
            <w:r w:rsidRPr="00BE78CA">
              <w:t>CO</w:t>
            </w:r>
            <w:r w:rsidRPr="00BE78CA">
              <w:rPr>
                <w:vertAlign w:val="subscript"/>
              </w:rPr>
              <w:t>2</w:t>
            </w:r>
          </w:p>
        </w:tc>
        <w:tc>
          <w:tcPr>
            <w:tcW w:w="1154" w:type="dxa"/>
            <w:shd w:val="clear" w:color="auto" w:fill="auto"/>
            <w:noWrap/>
          </w:tcPr>
          <w:p w14:paraId="335E7CD2" w14:textId="77777777" w:rsidR="00706DD1" w:rsidRPr="00BE78CA" w:rsidRDefault="00706DD1" w:rsidP="00C26084">
            <w:pPr>
              <w:pStyle w:val="TableText"/>
              <w:spacing w:before="40"/>
              <w:rPr>
                <w:rFonts w:cs="Calibri"/>
              </w:rPr>
            </w:pPr>
            <w:r w:rsidRPr="00BE78CA">
              <w:t>T1</w:t>
            </w:r>
          </w:p>
        </w:tc>
      </w:tr>
      <w:tr w:rsidR="00706DD1" w:rsidRPr="00BE78CA" w14:paraId="7B78B657" w14:textId="77777777" w:rsidTr="00E615F8">
        <w:tc>
          <w:tcPr>
            <w:tcW w:w="1093" w:type="dxa"/>
            <w:shd w:val="clear" w:color="auto" w:fill="auto"/>
            <w:noWrap/>
          </w:tcPr>
          <w:p w14:paraId="25BD3012" w14:textId="77777777" w:rsidR="00706DD1" w:rsidRPr="00BE78CA" w:rsidRDefault="00706DD1" w:rsidP="00C26084">
            <w:pPr>
              <w:pStyle w:val="TableText"/>
              <w:spacing w:before="40"/>
              <w:rPr>
                <w:rFonts w:cs="Calibri"/>
              </w:rPr>
            </w:pPr>
            <w:r w:rsidRPr="00BE78CA">
              <w:t>1.A.4.c</w:t>
            </w:r>
          </w:p>
        </w:tc>
        <w:tc>
          <w:tcPr>
            <w:tcW w:w="5589" w:type="dxa"/>
            <w:shd w:val="clear" w:color="auto" w:fill="auto"/>
            <w:noWrap/>
          </w:tcPr>
          <w:p w14:paraId="65E9F841" w14:textId="77777777" w:rsidR="00706DD1" w:rsidRPr="00BE78CA" w:rsidRDefault="00706DD1" w:rsidP="00C26084">
            <w:pPr>
              <w:pStyle w:val="TableText"/>
              <w:spacing w:before="40"/>
              <w:rPr>
                <w:rFonts w:cs="Calibri"/>
              </w:rPr>
            </w:pPr>
            <w:r w:rsidRPr="00BE78CA">
              <w:t>Other Sectors – Agriculture/Forestry/Fishing Liquid Fuels</w:t>
            </w:r>
          </w:p>
        </w:tc>
        <w:tc>
          <w:tcPr>
            <w:tcW w:w="669" w:type="dxa"/>
            <w:shd w:val="clear" w:color="auto" w:fill="auto"/>
            <w:noWrap/>
          </w:tcPr>
          <w:p w14:paraId="5BE5CE06" w14:textId="77777777" w:rsidR="00706DD1" w:rsidRPr="00BE78CA" w:rsidRDefault="00706DD1" w:rsidP="00C26084">
            <w:pPr>
              <w:pStyle w:val="TableText"/>
              <w:spacing w:before="40"/>
              <w:jc w:val="center"/>
              <w:rPr>
                <w:rFonts w:cs="Calibri"/>
              </w:rPr>
            </w:pPr>
            <w:r w:rsidRPr="00BE78CA">
              <w:t>CO</w:t>
            </w:r>
            <w:r w:rsidRPr="00BE78CA">
              <w:rPr>
                <w:vertAlign w:val="subscript"/>
              </w:rPr>
              <w:t>2</w:t>
            </w:r>
          </w:p>
        </w:tc>
        <w:tc>
          <w:tcPr>
            <w:tcW w:w="1154" w:type="dxa"/>
            <w:shd w:val="clear" w:color="auto" w:fill="auto"/>
            <w:noWrap/>
          </w:tcPr>
          <w:p w14:paraId="1A1D920D" w14:textId="77777777" w:rsidR="00706DD1" w:rsidRPr="00BE78CA" w:rsidRDefault="00706DD1" w:rsidP="00C26084">
            <w:pPr>
              <w:pStyle w:val="TableText"/>
              <w:spacing w:before="40"/>
              <w:rPr>
                <w:rFonts w:cs="Calibri"/>
              </w:rPr>
            </w:pPr>
            <w:r w:rsidRPr="00BE78CA">
              <w:t>L1, T1</w:t>
            </w:r>
          </w:p>
        </w:tc>
      </w:tr>
      <w:tr w:rsidR="00706DD1" w:rsidRPr="00BE78CA" w14:paraId="33E7F68C" w14:textId="77777777" w:rsidTr="00E615F8">
        <w:tc>
          <w:tcPr>
            <w:tcW w:w="1093" w:type="dxa"/>
            <w:shd w:val="clear" w:color="auto" w:fill="auto"/>
            <w:noWrap/>
          </w:tcPr>
          <w:p w14:paraId="60F81B98" w14:textId="77777777" w:rsidR="00706DD1" w:rsidRPr="00BE78CA" w:rsidRDefault="00706DD1" w:rsidP="00C26084">
            <w:pPr>
              <w:pStyle w:val="TableText"/>
              <w:spacing w:before="40"/>
              <w:rPr>
                <w:rFonts w:cs="Calibri"/>
              </w:rPr>
            </w:pPr>
            <w:r w:rsidRPr="00BE78CA">
              <w:t>1.A.4.c</w:t>
            </w:r>
          </w:p>
        </w:tc>
        <w:tc>
          <w:tcPr>
            <w:tcW w:w="5589" w:type="dxa"/>
            <w:shd w:val="clear" w:color="auto" w:fill="auto"/>
            <w:noWrap/>
          </w:tcPr>
          <w:p w14:paraId="294776F4" w14:textId="77777777" w:rsidR="00706DD1" w:rsidRPr="00BE78CA" w:rsidRDefault="00706DD1" w:rsidP="00C26084">
            <w:pPr>
              <w:pStyle w:val="TableText"/>
              <w:spacing w:before="40"/>
              <w:rPr>
                <w:rFonts w:cs="Calibri"/>
              </w:rPr>
            </w:pPr>
            <w:r w:rsidRPr="00BE78CA">
              <w:t>Other Sectors – Agriculture/Forestry/Fishing Solid Fuels</w:t>
            </w:r>
          </w:p>
        </w:tc>
        <w:tc>
          <w:tcPr>
            <w:tcW w:w="669" w:type="dxa"/>
            <w:shd w:val="clear" w:color="auto" w:fill="auto"/>
            <w:noWrap/>
          </w:tcPr>
          <w:p w14:paraId="35AB3539" w14:textId="77777777" w:rsidR="00706DD1" w:rsidRPr="00BE78CA" w:rsidRDefault="00706DD1" w:rsidP="00C26084">
            <w:pPr>
              <w:pStyle w:val="TableText"/>
              <w:spacing w:before="40"/>
              <w:jc w:val="center"/>
              <w:rPr>
                <w:rFonts w:cs="Calibri"/>
              </w:rPr>
            </w:pPr>
            <w:r w:rsidRPr="00BE78CA">
              <w:t>CO</w:t>
            </w:r>
            <w:r w:rsidRPr="00BE78CA">
              <w:rPr>
                <w:vertAlign w:val="subscript"/>
              </w:rPr>
              <w:t>2</w:t>
            </w:r>
          </w:p>
        </w:tc>
        <w:tc>
          <w:tcPr>
            <w:tcW w:w="1154" w:type="dxa"/>
            <w:shd w:val="clear" w:color="auto" w:fill="auto"/>
            <w:noWrap/>
          </w:tcPr>
          <w:p w14:paraId="0425A999" w14:textId="77777777" w:rsidR="00706DD1" w:rsidRPr="00BE78CA" w:rsidRDefault="00706DD1" w:rsidP="00C26084">
            <w:pPr>
              <w:pStyle w:val="TableText"/>
              <w:spacing w:before="40"/>
              <w:rPr>
                <w:rFonts w:cs="Calibri"/>
              </w:rPr>
            </w:pPr>
            <w:r w:rsidRPr="00BE78CA">
              <w:t>T1</w:t>
            </w:r>
          </w:p>
        </w:tc>
      </w:tr>
      <w:tr w:rsidR="00706DD1" w:rsidRPr="00BE78CA" w14:paraId="321E7B42" w14:textId="77777777" w:rsidTr="00E615F8">
        <w:tc>
          <w:tcPr>
            <w:tcW w:w="1093" w:type="dxa"/>
            <w:shd w:val="clear" w:color="auto" w:fill="auto"/>
            <w:noWrap/>
          </w:tcPr>
          <w:p w14:paraId="64EA39E4" w14:textId="77777777" w:rsidR="00706DD1" w:rsidRPr="00BE78CA" w:rsidRDefault="00706DD1" w:rsidP="00C26084">
            <w:pPr>
              <w:pStyle w:val="TableText"/>
              <w:spacing w:before="40"/>
              <w:rPr>
                <w:rFonts w:cs="Calibri"/>
              </w:rPr>
            </w:pPr>
            <w:r w:rsidRPr="00BE78CA">
              <w:lastRenderedPageBreak/>
              <w:t>1.B.1.a.1</w:t>
            </w:r>
          </w:p>
        </w:tc>
        <w:tc>
          <w:tcPr>
            <w:tcW w:w="5589" w:type="dxa"/>
            <w:shd w:val="clear" w:color="auto" w:fill="auto"/>
            <w:noWrap/>
          </w:tcPr>
          <w:p w14:paraId="08BBC24A" w14:textId="77777777" w:rsidR="00706DD1" w:rsidRPr="00BE78CA" w:rsidRDefault="00706DD1" w:rsidP="00C26084">
            <w:pPr>
              <w:pStyle w:val="TableText"/>
              <w:spacing w:before="40"/>
              <w:rPr>
                <w:rFonts w:cs="Calibri"/>
              </w:rPr>
            </w:pPr>
            <w:r w:rsidRPr="00BE78CA">
              <w:t>Coal Mining and Handling – Underground Mines</w:t>
            </w:r>
          </w:p>
        </w:tc>
        <w:tc>
          <w:tcPr>
            <w:tcW w:w="669" w:type="dxa"/>
            <w:shd w:val="clear" w:color="auto" w:fill="auto"/>
            <w:noWrap/>
          </w:tcPr>
          <w:p w14:paraId="261937EC" w14:textId="77777777" w:rsidR="00706DD1" w:rsidRPr="00BE78CA" w:rsidRDefault="00706DD1" w:rsidP="00C26084">
            <w:pPr>
              <w:pStyle w:val="TableText"/>
              <w:spacing w:before="40"/>
              <w:jc w:val="center"/>
              <w:rPr>
                <w:rFonts w:cs="Calibri"/>
              </w:rPr>
            </w:pPr>
            <w:r w:rsidRPr="00BE78CA">
              <w:t>CH</w:t>
            </w:r>
            <w:r w:rsidRPr="00BE78CA">
              <w:rPr>
                <w:vertAlign w:val="subscript"/>
              </w:rPr>
              <w:t>4</w:t>
            </w:r>
          </w:p>
        </w:tc>
        <w:tc>
          <w:tcPr>
            <w:tcW w:w="1154" w:type="dxa"/>
            <w:shd w:val="clear" w:color="auto" w:fill="auto"/>
            <w:noWrap/>
          </w:tcPr>
          <w:p w14:paraId="30832490" w14:textId="77777777" w:rsidR="00706DD1" w:rsidRPr="00BE78CA" w:rsidRDefault="00706DD1" w:rsidP="00C26084">
            <w:pPr>
              <w:pStyle w:val="TableText"/>
              <w:spacing w:before="40"/>
              <w:rPr>
                <w:rFonts w:cs="Calibri"/>
              </w:rPr>
            </w:pPr>
            <w:r w:rsidRPr="00BE78CA">
              <w:t>T1</w:t>
            </w:r>
          </w:p>
        </w:tc>
      </w:tr>
      <w:tr w:rsidR="00706DD1" w:rsidRPr="00BE78CA" w14:paraId="03F10BB9" w14:textId="77777777" w:rsidTr="00E615F8">
        <w:tc>
          <w:tcPr>
            <w:tcW w:w="1093" w:type="dxa"/>
            <w:shd w:val="clear" w:color="auto" w:fill="auto"/>
            <w:noWrap/>
          </w:tcPr>
          <w:p w14:paraId="566B6FBD" w14:textId="77777777" w:rsidR="00706DD1" w:rsidRPr="00BE78CA" w:rsidRDefault="00706DD1" w:rsidP="00C26084">
            <w:pPr>
              <w:pStyle w:val="TableText"/>
              <w:spacing w:before="40"/>
              <w:rPr>
                <w:rFonts w:cs="Calibri"/>
              </w:rPr>
            </w:pPr>
            <w:r w:rsidRPr="00BE78CA">
              <w:t>1.B.2.b.5</w:t>
            </w:r>
          </w:p>
        </w:tc>
        <w:tc>
          <w:tcPr>
            <w:tcW w:w="5589" w:type="dxa"/>
            <w:shd w:val="clear" w:color="auto" w:fill="auto"/>
            <w:noWrap/>
          </w:tcPr>
          <w:p w14:paraId="72AA7A8D" w14:textId="77777777" w:rsidR="00706DD1" w:rsidRPr="00BE78CA" w:rsidRDefault="00706DD1" w:rsidP="00C26084">
            <w:pPr>
              <w:pStyle w:val="TableText"/>
              <w:spacing w:before="40"/>
              <w:rPr>
                <w:rFonts w:cs="Calibri"/>
              </w:rPr>
            </w:pPr>
            <w:r w:rsidRPr="00BE78CA">
              <w:t>Natural Gas – Distribution</w:t>
            </w:r>
          </w:p>
        </w:tc>
        <w:tc>
          <w:tcPr>
            <w:tcW w:w="669" w:type="dxa"/>
            <w:shd w:val="clear" w:color="auto" w:fill="auto"/>
            <w:noWrap/>
          </w:tcPr>
          <w:p w14:paraId="112C6BB6" w14:textId="77777777" w:rsidR="00706DD1" w:rsidRPr="00BE78CA" w:rsidRDefault="00706DD1" w:rsidP="00C26084">
            <w:pPr>
              <w:pStyle w:val="TableText"/>
              <w:spacing w:before="40"/>
              <w:jc w:val="center"/>
              <w:rPr>
                <w:rFonts w:cs="Calibri"/>
              </w:rPr>
            </w:pPr>
            <w:r w:rsidRPr="00BE78CA">
              <w:t>CH</w:t>
            </w:r>
            <w:r w:rsidRPr="00BE78CA">
              <w:rPr>
                <w:vertAlign w:val="subscript"/>
              </w:rPr>
              <w:t>4</w:t>
            </w:r>
          </w:p>
        </w:tc>
        <w:tc>
          <w:tcPr>
            <w:tcW w:w="1154" w:type="dxa"/>
            <w:shd w:val="clear" w:color="auto" w:fill="auto"/>
            <w:noWrap/>
          </w:tcPr>
          <w:p w14:paraId="702CDB96" w14:textId="77777777" w:rsidR="00706DD1" w:rsidRPr="00BE78CA" w:rsidRDefault="00706DD1" w:rsidP="00C26084">
            <w:pPr>
              <w:pStyle w:val="TableText"/>
              <w:spacing w:before="40"/>
              <w:rPr>
                <w:rFonts w:cs="Calibri"/>
              </w:rPr>
            </w:pPr>
            <w:r w:rsidRPr="00BE78CA">
              <w:t>L1, T1</w:t>
            </w:r>
          </w:p>
        </w:tc>
      </w:tr>
      <w:tr w:rsidR="00706DD1" w:rsidRPr="00BE78CA" w14:paraId="7FA76401" w14:textId="77777777" w:rsidTr="00E615F8">
        <w:tc>
          <w:tcPr>
            <w:tcW w:w="1093" w:type="dxa"/>
            <w:shd w:val="clear" w:color="auto" w:fill="auto"/>
            <w:noWrap/>
          </w:tcPr>
          <w:p w14:paraId="515B5FFE" w14:textId="77777777" w:rsidR="00706DD1" w:rsidRPr="00BE78CA" w:rsidRDefault="00706DD1" w:rsidP="00C26084">
            <w:pPr>
              <w:pStyle w:val="TableText"/>
              <w:spacing w:before="40"/>
              <w:rPr>
                <w:rFonts w:cs="Calibri"/>
              </w:rPr>
            </w:pPr>
            <w:r w:rsidRPr="00BE78CA">
              <w:t>1.B.2.c.1.ii</w:t>
            </w:r>
          </w:p>
        </w:tc>
        <w:tc>
          <w:tcPr>
            <w:tcW w:w="5589" w:type="dxa"/>
            <w:shd w:val="clear" w:color="auto" w:fill="auto"/>
            <w:noWrap/>
          </w:tcPr>
          <w:p w14:paraId="397E7E6C" w14:textId="77777777" w:rsidR="00706DD1" w:rsidRPr="00BE78CA" w:rsidRDefault="00706DD1" w:rsidP="00C26084">
            <w:pPr>
              <w:pStyle w:val="TableText"/>
              <w:spacing w:before="40"/>
              <w:rPr>
                <w:rFonts w:cs="Calibri"/>
              </w:rPr>
            </w:pPr>
            <w:r w:rsidRPr="00BE78CA">
              <w:t>Venting – Gas</w:t>
            </w:r>
          </w:p>
        </w:tc>
        <w:tc>
          <w:tcPr>
            <w:tcW w:w="669" w:type="dxa"/>
            <w:shd w:val="clear" w:color="auto" w:fill="auto"/>
            <w:noWrap/>
          </w:tcPr>
          <w:p w14:paraId="44C4C555" w14:textId="77777777" w:rsidR="00706DD1" w:rsidRPr="00BE78CA" w:rsidRDefault="00706DD1" w:rsidP="00C26084">
            <w:pPr>
              <w:pStyle w:val="TableText"/>
              <w:spacing w:before="40"/>
              <w:jc w:val="center"/>
              <w:rPr>
                <w:rFonts w:cs="Calibri"/>
              </w:rPr>
            </w:pPr>
            <w:r w:rsidRPr="00BE78CA">
              <w:t>CO</w:t>
            </w:r>
            <w:r w:rsidRPr="00BE78CA">
              <w:rPr>
                <w:vertAlign w:val="subscript"/>
              </w:rPr>
              <w:t>2</w:t>
            </w:r>
          </w:p>
        </w:tc>
        <w:tc>
          <w:tcPr>
            <w:tcW w:w="1154" w:type="dxa"/>
            <w:shd w:val="clear" w:color="auto" w:fill="auto"/>
            <w:noWrap/>
          </w:tcPr>
          <w:p w14:paraId="4BD32E63" w14:textId="77777777" w:rsidR="00706DD1" w:rsidRPr="00BE78CA" w:rsidRDefault="00706DD1" w:rsidP="00C26084">
            <w:pPr>
              <w:pStyle w:val="TableText"/>
              <w:spacing w:before="40"/>
              <w:rPr>
                <w:rFonts w:cs="Calibri"/>
              </w:rPr>
            </w:pPr>
            <w:r w:rsidRPr="00BE78CA">
              <w:t>L1, T1</w:t>
            </w:r>
          </w:p>
        </w:tc>
      </w:tr>
      <w:tr w:rsidR="00706DD1" w:rsidRPr="00BE78CA" w14:paraId="371ED75E" w14:textId="77777777" w:rsidTr="00E615F8">
        <w:tc>
          <w:tcPr>
            <w:tcW w:w="1093" w:type="dxa"/>
            <w:shd w:val="clear" w:color="auto" w:fill="auto"/>
            <w:noWrap/>
          </w:tcPr>
          <w:p w14:paraId="53B4649C" w14:textId="77777777" w:rsidR="00706DD1" w:rsidRPr="00BE78CA" w:rsidRDefault="00706DD1" w:rsidP="00C26084">
            <w:pPr>
              <w:pStyle w:val="TableText"/>
              <w:spacing w:before="40"/>
            </w:pPr>
            <w:r w:rsidRPr="00BE78CA">
              <w:t>1.B.2.d</w:t>
            </w:r>
          </w:p>
        </w:tc>
        <w:tc>
          <w:tcPr>
            <w:tcW w:w="5589" w:type="dxa"/>
            <w:shd w:val="clear" w:color="auto" w:fill="auto"/>
            <w:noWrap/>
          </w:tcPr>
          <w:p w14:paraId="4A84A464" w14:textId="77777777" w:rsidR="00706DD1" w:rsidRPr="00BE78CA" w:rsidRDefault="00706DD1" w:rsidP="00C26084">
            <w:pPr>
              <w:pStyle w:val="TableText"/>
              <w:spacing w:before="40"/>
            </w:pPr>
            <w:r w:rsidRPr="00BE78CA">
              <w:t>Other (please specify) – Geothermal</w:t>
            </w:r>
          </w:p>
        </w:tc>
        <w:tc>
          <w:tcPr>
            <w:tcW w:w="669" w:type="dxa"/>
            <w:shd w:val="clear" w:color="auto" w:fill="auto"/>
            <w:noWrap/>
          </w:tcPr>
          <w:p w14:paraId="5DA3637F" w14:textId="77777777" w:rsidR="00706DD1" w:rsidRPr="00BE78CA" w:rsidRDefault="00706DD1" w:rsidP="00C26084">
            <w:pPr>
              <w:pStyle w:val="TableText"/>
              <w:spacing w:before="40"/>
              <w:jc w:val="center"/>
            </w:pPr>
            <w:r w:rsidRPr="00BE78CA">
              <w:t>CO</w:t>
            </w:r>
            <w:r w:rsidRPr="00BE78CA">
              <w:rPr>
                <w:vertAlign w:val="subscript"/>
              </w:rPr>
              <w:t>2</w:t>
            </w:r>
          </w:p>
        </w:tc>
        <w:tc>
          <w:tcPr>
            <w:tcW w:w="1154" w:type="dxa"/>
            <w:shd w:val="clear" w:color="auto" w:fill="auto"/>
            <w:noWrap/>
          </w:tcPr>
          <w:p w14:paraId="602CF0CD" w14:textId="77777777" w:rsidR="00706DD1" w:rsidRPr="00BE78CA" w:rsidRDefault="00706DD1" w:rsidP="00C26084">
            <w:pPr>
              <w:pStyle w:val="TableText"/>
              <w:spacing w:before="40"/>
            </w:pPr>
            <w:r w:rsidRPr="00BE78CA">
              <w:t>L1, T1</w:t>
            </w:r>
          </w:p>
        </w:tc>
      </w:tr>
    </w:tbl>
    <w:p w14:paraId="35390465" w14:textId="77777777" w:rsidR="00706DD1" w:rsidRPr="00BE78CA" w:rsidRDefault="00706DD1" w:rsidP="00706DD1">
      <w:pPr>
        <w:pStyle w:val="Noteundertable"/>
        <w:rPr>
          <w:rFonts w:cs="Calibri"/>
        </w:rPr>
      </w:pPr>
      <w:r w:rsidRPr="00BE78CA">
        <w:rPr>
          <w:rFonts w:cs="Calibri"/>
          <w:b/>
        </w:rPr>
        <w:t>Note</w:t>
      </w:r>
      <w:r w:rsidRPr="00BE78CA">
        <w:rPr>
          <w:rFonts w:cs="Calibri"/>
        </w:rPr>
        <w:t xml:space="preserve">: </w:t>
      </w:r>
      <w:r w:rsidRPr="00BE78CA">
        <w:rPr>
          <w:rFonts w:cs="Calibri"/>
        </w:rPr>
        <w:tab/>
        <w:t>L1 means a key category is identified under the level analysis – approach 1 and T1 is trend analysis</w:t>
      </w:r>
      <w:r w:rsidRPr="00BE78CA">
        <w:rPr>
          <w:rFonts w:cs="Calibri"/>
        </w:rPr>
        <w:br/>
        <w:t xml:space="preserve"> – approach 1. See chapter 1 for more information.</w:t>
      </w:r>
      <w:bookmarkEnd w:id="214"/>
      <w:bookmarkEnd w:id="215"/>
    </w:p>
    <w:p w14:paraId="676A68F6" w14:textId="77777777" w:rsidR="00706DD1" w:rsidRPr="00BE78CA" w:rsidRDefault="00706DD1" w:rsidP="00706DD1">
      <w:pPr>
        <w:pStyle w:val="Heading2"/>
        <w:rPr>
          <w:rFonts w:cs="Calibri"/>
        </w:rPr>
      </w:pPr>
      <w:bookmarkStart w:id="216" w:name="_Toc384581635"/>
      <w:bookmarkStart w:id="217" w:name="_Toc448321507"/>
      <w:bookmarkStart w:id="218" w:name="_Toc481751369"/>
      <w:bookmarkStart w:id="219" w:name="_Toc36224386"/>
      <w:bookmarkStart w:id="220" w:name="_Toc68786306"/>
      <w:r w:rsidRPr="00BE78CA">
        <w:rPr>
          <w:rFonts w:cs="Calibri"/>
        </w:rPr>
        <w:t>3.2</w:t>
      </w:r>
      <w:r w:rsidRPr="00BE78CA">
        <w:rPr>
          <w:rFonts w:cs="Calibri"/>
        </w:rPr>
        <w:tab/>
        <w:t>Background information</w:t>
      </w:r>
      <w:bookmarkEnd w:id="216"/>
      <w:bookmarkEnd w:id="217"/>
      <w:bookmarkEnd w:id="218"/>
      <w:bookmarkEnd w:id="219"/>
      <w:bookmarkEnd w:id="220"/>
    </w:p>
    <w:p w14:paraId="78499023" w14:textId="77777777" w:rsidR="00706DD1" w:rsidRPr="00BE78CA" w:rsidRDefault="00706DD1" w:rsidP="00706DD1">
      <w:pPr>
        <w:pStyle w:val="Heading3"/>
        <w:spacing w:before="160"/>
        <w:rPr>
          <w:rFonts w:cs="Calibri"/>
        </w:rPr>
      </w:pPr>
      <w:r w:rsidRPr="00BE78CA">
        <w:rPr>
          <w:rFonts w:cs="Calibri"/>
        </w:rPr>
        <w:t>3.2.1</w:t>
      </w:r>
      <w:r w:rsidRPr="00BE78CA">
        <w:rPr>
          <w:rFonts w:cs="Calibri"/>
        </w:rPr>
        <w:tab/>
        <w:t>New Zealand sectoral methodology</w:t>
      </w:r>
    </w:p>
    <w:p w14:paraId="392B88B3" w14:textId="77777777" w:rsidR="00706DD1" w:rsidRPr="00BE78CA" w:rsidRDefault="00706DD1" w:rsidP="00706DD1">
      <w:pPr>
        <w:pStyle w:val="BodyText"/>
        <w:rPr>
          <w:rFonts w:cs="Calibri"/>
          <w:lang w:eastAsia="en-GB"/>
        </w:rPr>
      </w:pPr>
      <w:r w:rsidRPr="00BE78CA">
        <w:rPr>
          <w:rFonts w:cs="Calibri"/>
          <w:lang w:eastAsia="en-GB"/>
        </w:rPr>
        <w:t xml:space="preserve">Greenhouse gas emissions from the Energy sector are calculated using a detailed sectoral approach. This bottom-up approach is demand based; it involves processing energy data collected on a regular basis through various surveys. For verification, New Zealand also applies the </w:t>
      </w:r>
      <w:r w:rsidRPr="00BE78CA">
        <w:rPr>
          <w:rFonts w:cs="Calibri"/>
        </w:rPr>
        <w:t>Intergovernmental Panel on Climate Change</w:t>
      </w:r>
      <w:r w:rsidRPr="00BE78CA">
        <w:rPr>
          <w:rFonts w:cs="Calibri"/>
          <w:lang w:eastAsia="en-GB"/>
        </w:rPr>
        <w:t xml:space="preserve"> (IPCC) reference approach to estimate </w:t>
      </w:r>
      <w:r w:rsidRPr="00BE78CA">
        <w:rPr>
          <w:rFonts w:cs="Calibri"/>
        </w:rPr>
        <w:t>CO</w:t>
      </w:r>
      <w:r w:rsidRPr="00BE78CA">
        <w:rPr>
          <w:rFonts w:cs="Calibri"/>
          <w:vertAlign w:val="subscript"/>
        </w:rPr>
        <w:t>2</w:t>
      </w:r>
      <w:r w:rsidRPr="00BE78CA">
        <w:rPr>
          <w:rFonts w:cs="Calibri"/>
          <w:lang w:eastAsia="en-GB"/>
        </w:rPr>
        <w:t xml:space="preserve"> emissions from fuel combustion for the time series 1990 to </w:t>
      </w:r>
      <w:r w:rsidRPr="00BE78CA">
        <w:rPr>
          <w:rFonts w:cs="Calibri"/>
        </w:rPr>
        <w:t xml:space="preserve">2019 </w:t>
      </w:r>
      <w:r w:rsidRPr="00BE78CA">
        <w:rPr>
          <w:rFonts w:cs="Calibri"/>
          <w:lang w:eastAsia="en-GB"/>
        </w:rPr>
        <w:t xml:space="preserve">(see annex 4). </w:t>
      </w:r>
    </w:p>
    <w:p w14:paraId="562809C7" w14:textId="77777777" w:rsidR="00706DD1" w:rsidRPr="00BE78CA" w:rsidRDefault="00706DD1" w:rsidP="00706DD1">
      <w:pPr>
        <w:pStyle w:val="BodyText"/>
        <w:rPr>
          <w:rFonts w:cs="Calibri"/>
          <w:lang w:eastAsia="en-GB"/>
        </w:rPr>
      </w:pPr>
      <w:r w:rsidRPr="00BE78CA">
        <w:rPr>
          <w:rFonts w:cs="Calibri"/>
          <w:lang w:eastAsia="en-GB"/>
        </w:rPr>
        <w:t xml:space="preserve">The activity data used for the sectoral approach are referred to as ‘observed’ energy-use figures. These are based on surveys and questionnaires administered by the Ministry of Business, Innovation and Employment (MBIE). The differences between ‘calculated’ and ‘observed’ figures are reported as statistical differences in the energy balance tables released along with </w:t>
      </w:r>
      <w:r w:rsidRPr="00BE78CA">
        <w:rPr>
          <w:rFonts w:cs="Calibri"/>
          <w:i/>
          <w:iCs/>
          <w:lang w:eastAsia="en-GB"/>
        </w:rPr>
        <w:t xml:space="preserve">Energy in New Zealand </w:t>
      </w:r>
      <w:r w:rsidRPr="00BE78CA">
        <w:rPr>
          <w:rFonts w:cs="Calibri"/>
          <w:lang w:eastAsia="en-GB"/>
        </w:rPr>
        <w:t xml:space="preserve">(MBIE, 2020). Note that, due to the intervening time between the publication of </w:t>
      </w:r>
      <w:r w:rsidRPr="00BE78CA">
        <w:rPr>
          <w:rFonts w:cs="Calibri"/>
          <w:i/>
          <w:lang w:eastAsia="en-GB"/>
        </w:rPr>
        <w:t>Energy in New Zealand</w:t>
      </w:r>
      <w:r w:rsidRPr="00BE78CA">
        <w:rPr>
          <w:rFonts w:cs="Calibri"/>
          <w:lang w:eastAsia="en-GB"/>
        </w:rPr>
        <w:t xml:space="preserve"> and the preparation of this submission, some data revisions may have occurred.</w:t>
      </w:r>
    </w:p>
    <w:p w14:paraId="590BED76" w14:textId="77777777" w:rsidR="00706DD1" w:rsidRPr="00BE78CA" w:rsidRDefault="00706DD1" w:rsidP="00706DD1">
      <w:pPr>
        <w:pStyle w:val="Heading3"/>
        <w:spacing w:before="280"/>
        <w:rPr>
          <w:rFonts w:cs="Calibri"/>
        </w:rPr>
      </w:pPr>
      <w:bookmarkStart w:id="221" w:name="_Ref379915380"/>
      <w:r w:rsidRPr="00BE78CA">
        <w:rPr>
          <w:rFonts w:cs="Calibri"/>
        </w:rPr>
        <w:t>3.2.2</w:t>
      </w:r>
      <w:r w:rsidRPr="00BE78CA">
        <w:rPr>
          <w:rFonts w:cs="Calibri"/>
        </w:rPr>
        <w:tab/>
        <w:t>International bunker fuels</w:t>
      </w:r>
      <w:bookmarkEnd w:id="221"/>
    </w:p>
    <w:p w14:paraId="39A19D5C" w14:textId="77777777" w:rsidR="00706DD1" w:rsidRPr="00BE78CA" w:rsidRDefault="00706DD1" w:rsidP="00706DD1">
      <w:pPr>
        <w:pStyle w:val="BodyText"/>
        <w:rPr>
          <w:rFonts w:cs="Calibri"/>
          <w:lang w:eastAsia="en-GB"/>
        </w:rPr>
      </w:pPr>
      <w:r w:rsidRPr="00BE78CA">
        <w:rPr>
          <w:rFonts w:cs="Calibri"/>
          <w:lang w:eastAsia="en-GB"/>
        </w:rPr>
        <w:t>The data on fuel use by international transportation are collected and published online by MBIE (2020). This data release uses information from oil company survey returns (</w:t>
      </w:r>
      <w:r w:rsidRPr="00BE78CA">
        <w:rPr>
          <w:rFonts w:cs="Calibri"/>
          <w:i/>
          <w:iCs/>
          <w:lang w:eastAsia="en-GB"/>
        </w:rPr>
        <w:t xml:space="preserve">Delivery of Petroleum Fuels by Industry </w:t>
      </w:r>
      <w:r w:rsidRPr="00BE78CA">
        <w:rPr>
          <w:rFonts w:cs="Calibri"/>
          <w:iCs/>
          <w:lang w:eastAsia="en-GB"/>
        </w:rPr>
        <w:t>(</w:t>
      </w:r>
      <w:r w:rsidRPr="00BE78CA">
        <w:rPr>
          <w:rFonts w:cs="Calibri"/>
          <w:lang w:eastAsia="en-GB"/>
        </w:rPr>
        <w:t xml:space="preserve">DPFI) and </w:t>
      </w:r>
      <w:r w:rsidRPr="00BE78CA">
        <w:rPr>
          <w:rFonts w:cs="Calibri"/>
          <w:i/>
        </w:rPr>
        <w:t>Monthly Oil Supply</w:t>
      </w:r>
      <w:r w:rsidRPr="00BE78CA">
        <w:rPr>
          <w:rFonts w:cs="Calibri"/>
        </w:rPr>
        <w:t xml:space="preserve"> (</w:t>
      </w:r>
      <w:r w:rsidRPr="00BE78CA">
        <w:rPr>
          <w:rFonts w:cs="Calibri"/>
          <w:lang w:eastAsia="en-GB"/>
        </w:rPr>
        <w:t>MOS) as explained below) provided to MBIE.</w:t>
      </w:r>
    </w:p>
    <w:p w14:paraId="081EB5EE" w14:textId="77777777" w:rsidR="00706DD1" w:rsidRPr="00BE78CA" w:rsidRDefault="00706DD1" w:rsidP="00706DD1">
      <w:pPr>
        <w:pStyle w:val="BodyText"/>
        <w:rPr>
          <w:rFonts w:cs="Calibri"/>
          <w:lang w:eastAsia="en-GB"/>
        </w:rPr>
      </w:pPr>
      <w:r w:rsidRPr="00BE78CA">
        <w:rPr>
          <w:rFonts w:cs="Calibri"/>
          <w:lang w:eastAsia="en-GB"/>
        </w:rPr>
        <w:t xml:space="preserve">Data on fuel use by domestic transport are sourced from the quarterly </w:t>
      </w:r>
      <w:r w:rsidRPr="00BE78CA">
        <w:rPr>
          <w:rFonts w:cs="Calibri"/>
          <w:iCs/>
          <w:lang w:eastAsia="en-GB"/>
        </w:rPr>
        <w:t>DPFI survey</w:t>
      </w:r>
      <w:r w:rsidRPr="00BE78CA">
        <w:rPr>
          <w:rFonts w:cs="Calibri"/>
          <w:i/>
          <w:iCs/>
          <w:lang w:eastAsia="en-GB"/>
        </w:rPr>
        <w:t xml:space="preserve"> </w:t>
      </w:r>
      <w:r w:rsidRPr="00BE78CA">
        <w:rPr>
          <w:rFonts w:cs="Calibri"/>
          <w:lang w:eastAsia="en-GB"/>
        </w:rPr>
        <w:t>conducted by MBIE.</w:t>
      </w:r>
    </w:p>
    <w:p w14:paraId="1D362755" w14:textId="77777777" w:rsidR="00706DD1" w:rsidRPr="00BE78CA" w:rsidRDefault="00706DD1" w:rsidP="00706DD1">
      <w:pPr>
        <w:pStyle w:val="BodyText"/>
        <w:rPr>
          <w:rFonts w:cs="Calibri"/>
          <w:spacing w:val="-2"/>
          <w:lang w:eastAsia="en-GB"/>
        </w:rPr>
      </w:pPr>
      <w:r w:rsidRPr="00BE78CA">
        <w:rPr>
          <w:rFonts w:cs="Calibri"/>
        </w:rPr>
        <w:t xml:space="preserve">Some of the international bunkers data in CRF table 1.A.b are from the MOS survey, whereas the international bunkers data in CRF table 1.D are from the DPFI survey. The DPFI survey is a quarterly sectoral breakdown of observed demand (i.e., actual sales figures for different industries, one of which is international bunkers). The MOS survey is collected monthly and is a liquid fuels supply balance provided by companies selling fuels, of which one category is ‘international bunkers’. Companies that respond to the DPFI survey are asked to reconcile their figures with their figures in the MOS survey. Discrepancies between the surveys are usually very small, and the companies explain differences between the two data sets as the MOS survey following a top-down approach and the DPFI following a bottom-up approach. Furthermore, the MOS and DPFI surveys are usually completed by different sections from within the fuel companies. Also, note that the </w:t>
      </w:r>
      <w:r w:rsidRPr="00BE78CA">
        <w:rPr>
          <w:rFonts w:cs="Calibri"/>
          <w:i/>
        </w:rPr>
        <w:t>Other fuels</w:t>
      </w:r>
      <w:r w:rsidRPr="00BE78CA">
        <w:rPr>
          <w:rFonts w:cs="Calibri"/>
        </w:rPr>
        <w:t xml:space="preserve"> category is not covered in the DPFI so data must come from the MOS.</w:t>
      </w:r>
    </w:p>
    <w:p w14:paraId="418FA060" w14:textId="77777777" w:rsidR="00706DD1" w:rsidRPr="00BE78CA" w:rsidRDefault="00706DD1" w:rsidP="00706DD1">
      <w:pPr>
        <w:pStyle w:val="BodyText"/>
        <w:rPr>
          <w:rFonts w:cs="Calibri"/>
          <w:lang w:eastAsia="en-GB"/>
        </w:rPr>
      </w:pPr>
      <w:r w:rsidRPr="00BE78CA">
        <w:rPr>
          <w:rFonts w:cs="Calibri"/>
        </w:rPr>
        <w:lastRenderedPageBreak/>
        <w:t>International bunker fuel is not subject to goods and services tax (GST) in New Zealand, whereas fuel sold for fishing vessels, coastal shipping and so on is subject to GST. The liquid fuel retailers are able to accurately eliminate international bunker sales because GST is not charged on these sales.</w:t>
      </w:r>
    </w:p>
    <w:p w14:paraId="3E085B11" w14:textId="77777777" w:rsidR="00706DD1" w:rsidRPr="00BE78CA" w:rsidRDefault="00706DD1" w:rsidP="00706DD1">
      <w:pPr>
        <w:pStyle w:val="Heading3"/>
        <w:spacing w:before="280"/>
        <w:rPr>
          <w:rFonts w:cs="Calibri"/>
        </w:rPr>
      </w:pPr>
      <w:r w:rsidRPr="00BE78CA">
        <w:rPr>
          <w:rFonts w:cs="Calibri"/>
        </w:rPr>
        <w:t>3.2.3</w:t>
      </w:r>
      <w:r w:rsidRPr="00BE78CA">
        <w:rPr>
          <w:rFonts w:cs="Calibri"/>
        </w:rPr>
        <w:tab/>
        <w:t>Feedstock and other non-energy use of fuels</w:t>
      </w:r>
    </w:p>
    <w:p w14:paraId="619A6CFF" w14:textId="77777777" w:rsidR="00706DD1" w:rsidRPr="00BE78CA" w:rsidRDefault="00706DD1" w:rsidP="00706DD1">
      <w:pPr>
        <w:pStyle w:val="BodyText"/>
        <w:rPr>
          <w:rFonts w:cs="Calibri"/>
          <w:lang w:eastAsia="en-GB"/>
        </w:rPr>
      </w:pPr>
      <w:r w:rsidRPr="00BE78CA">
        <w:rPr>
          <w:rFonts w:cs="Calibri"/>
          <w:lang w:eastAsia="en-GB"/>
        </w:rPr>
        <w:t>For some industrial companies, the fuels supplied are used both as fuels for combustion and as feedstocks. In these instances, process-related emissions are calculated by taking the fraction of carbon stored or sequestered in the final product (based on industry production and chemical composition of the product) and subtracting this from the fuel supplied as feedstock. This difference is assumed to be the amount of carbon emitted as CO</w:t>
      </w:r>
      <w:r w:rsidRPr="00BE78CA">
        <w:rPr>
          <w:rFonts w:cs="Calibri"/>
          <w:vertAlign w:val="subscript"/>
          <w:lang w:eastAsia="en-GB"/>
        </w:rPr>
        <w:t>2</w:t>
      </w:r>
      <w:r w:rsidRPr="00BE78CA">
        <w:t xml:space="preserve"> </w:t>
      </w:r>
      <w:r w:rsidRPr="00BE78CA">
        <w:rPr>
          <w:rFonts w:cs="Calibri"/>
          <w:lang w:eastAsia="en-GB"/>
        </w:rPr>
        <w:t>and is reported both in the Industrial Processes and Product Use (IPPU) sector and in CRF table 1.AD. Other fuel materials, such as bitumen, also contribute to emissions that are reported under the IPPU sector and (where appropriate) in table 1.AD.</w:t>
      </w:r>
    </w:p>
    <w:p w14:paraId="7C5459F6" w14:textId="77777777" w:rsidR="00706DD1" w:rsidRPr="00BE78CA" w:rsidRDefault="00706DD1" w:rsidP="00706DD1">
      <w:pPr>
        <w:pStyle w:val="BodyText"/>
        <w:rPr>
          <w:rFonts w:cs="Calibri"/>
        </w:rPr>
      </w:pPr>
      <w:r w:rsidRPr="00BE78CA">
        <w:rPr>
          <w:rFonts w:cs="Calibri"/>
        </w:rPr>
        <w:t>In New Zealand, these non-energy fuels are as follows.</w:t>
      </w:r>
    </w:p>
    <w:p w14:paraId="4B0C1EB7" w14:textId="77777777" w:rsidR="00706DD1" w:rsidRPr="00BE78CA" w:rsidRDefault="00706DD1" w:rsidP="0050329C">
      <w:pPr>
        <w:pStyle w:val="Bullet"/>
      </w:pPr>
      <w:r w:rsidRPr="00BE78CA">
        <w:t>The carbon in the natural gas used as feedstock to produce methanol is all considered to be stored in the product and therefore has no associated CO</w:t>
      </w:r>
      <w:r w:rsidRPr="00BE78CA">
        <w:rPr>
          <w:vertAlign w:val="subscript"/>
        </w:rPr>
        <w:t>2</w:t>
      </w:r>
      <w:r w:rsidRPr="00BE78CA">
        <w:t xml:space="preserve"> emissions. The balance of the carbon is oxidised and results in CO</w:t>
      </w:r>
      <w:r w:rsidRPr="00BE78CA">
        <w:rPr>
          <w:vertAlign w:val="subscript"/>
        </w:rPr>
        <w:t>2</w:t>
      </w:r>
      <w:r w:rsidRPr="00BE78CA">
        <w:t xml:space="preserve">. Emissions from fuel used for combustion are reported in 1.A.2.c. </w:t>
      </w:r>
    </w:p>
    <w:p w14:paraId="2B031F22" w14:textId="77777777" w:rsidR="00706DD1" w:rsidRPr="00BE78CA" w:rsidRDefault="00706DD1" w:rsidP="00706DD1">
      <w:pPr>
        <w:pStyle w:val="Bullet"/>
        <w:rPr>
          <w:rFonts w:cs="Calibri"/>
        </w:rPr>
      </w:pPr>
      <w:r w:rsidRPr="00BE78CA">
        <w:rPr>
          <w:rFonts w:cs="Calibri"/>
        </w:rPr>
        <w:t>All ammonia produced in New Zealand is processed into urea. Carbon dioxide emissions from the use of natural gas in ammonia production (feedstock) are reported under the IPPU sector and are included in CRF table 1.AD. Emissions from fuel used for combustion are reported in 1.A.2.c.</w:t>
      </w:r>
    </w:p>
    <w:p w14:paraId="31CE2E39" w14:textId="77777777" w:rsidR="00706DD1" w:rsidRPr="00BE78CA" w:rsidRDefault="00706DD1" w:rsidP="00706DD1">
      <w:pPr>
        <w:pStyle w:val="Bullet"/>
        <w:rPr>
          <w:rFonts w:cs="Calibri"/>
        </w:rPr>
      </w:pPr>
      <w:r w:rsidRPr="00BE78CA">
        <w:rPr>
          <w:rFonts w:cs="Calibri"/>
        </w:rPr>
        <w:t>Bitumen produced in New Zealand is not used as a fuel but rather by the companies Fulton Hogan and Downer EDI as a road construction material (non-energy use). Bitumen therefore has no associated direct emissions. Indirect emissions are reported under the IPPU sector.</w:t>
      </w:r>
    </w:p>
    <w:p w14:paraId="4DD01680" w14:textId="77777777" w:rsidR="00706DD1" w:rsidRPr="00BE78CA" w:rsidRDefault="00706DD1" w:rsidP="00706DD1">
      <w:pPr>
        <w:pStyle w:val="Bullet"/>
        <w:rPr>
          <w:rFonts w:cs="Calibri"/>
        </w:rPr>
      </w:pPr>
      <w:r w:rsidRPr="00BE78CA">
        <w:rPr>
          <w:rFonts w:cs="Calibri"/>
        </w:rPr>
        <w:t xml:space="preserve">Coal used in steel production at New Zealand Steel Limited is used as a reductant, which is part of an industrial process. Therefore, all emissions from this coal are reported under the IPPU sector rather than the Energy sector. </w:t>
      </w:r>
    </w:p>
    <w:p w14:paraId="42FC0584" w14:textId="77777777" w:rsidR="00706DD1" w:rsidRPr="00BE78CA" w:rsidRDefault="00706DD1" w:rsidP="00706DD1">
      <w:pPr>
        <w:pStyle w:val="BodyText"/>
        <w:rPr>
          <w:rFonts w:cs="Calibri"/>
          <w:lang w:eastAsia="en-GB"/>
        </w:rPr>
      </w:pPr>
      <w:r w:rsidRPr="00BE78CA">
        <w:rPr>
          <w:rFonts w:cs="Calibri"/>
          <w:lang w:eastAsia="en-GB"/>
        </w:rPr>
        <w:t>For the four industries using natural gas as feedstock, the fraction of carbon stored is given in table 3.2.1. Emissions for individual products are withheld because of confidentiality concerns.</w:t>
      </w:r>
    </w:p>
    <w:p w14:paraId="596C6AB3" w14:textId="77777777" w:rsidR="00706DD1" w:rsidRPr="00BE78CA" w:rsidRDefault="00706DD1" w:rsidP="00706DD1">
      <w:pPr>
        <w:pStyle w:val="Table"/>
        <w:rPr>
          <w:rFonts w:cs="Calibri"/>
        </w:rPr>
      </w:pPr>
      <w:bookmarkStart w:id="222" w:name="_Toc507496589"/>
      <w:bookmarkStart w:id="223" w:name="_Toc36224523"/>
      <w:bookmarkStart w:id="224" w:name="_Toc68786404"/>
      <w:r w:rsidRPr="00BE78CA">
        <w:rPr>
          <w:rFonts w:cs="Calibri"/>
        </w:rPr>
        <w:t xml:space="preserve">Table 3.2.1 </w:t>
      </w:r>
      <w:r w:rsidRPr="00BE78CA">
        <w:rPr>
          <w:rFonts w:cs="Calibri"/>
        </w:rPr>
        <w:tab/>
        <w:t>Use of natural gas as a feedstock in New Zealand</w:t>
      </w:r>
      <w:bookmarkEnd w:id="222"/>
      <w:bookmarkEnd w:id="223"/>
      <w:bookmarkEnd w:id="224"/>
    </w:p>
    <w:tbl>
      <w:tblPr>
        <w:tblW w:w="8505" w:type="dxa"/>
        <w:tblBorders>
          <w:top w:val="single" w:sz="4" w:space="0" w:color="365F91"/>
          <w:bottom w:val="single" w:sz="4" w:space="0" w:color="365F91"/>
          <w:insideH w:val="single" w:sz="4" w:space="0" w:color="365F91"/>
          <w:insideV w:val="single" w:sz="4" w:space="0" w:color="365F91"/>
        </w:tblBorders>
        <w:tblLayout w:type="fixed"/>
        <w:tblLook w:val="04A0" w:firstRow="1" w:lastRow="0" w:firstColumn="1" w:lastColumn="0" w:noHBand="0" w:noVBand="1"/>
      </w:tblPr>
      <w:tblGrid>
        <w:gridCol w:w="1240"/>
        <w:gridCol w:w="2421"/>
        <w:gridCol w:w="2253"/>
        <w:gridCol w:w="2591"/>
      </w:tblGrid>
      <w:tr w:rsidR="00706DD1" w:rsidRPr="00BE78CA" w14:paraId="50E5150B" w14:textId="77777777" w:rsidTr="0050329C">
        <w:trPr>
          <w:tblHeader/>
        </w:trPr>
        <w:tc>
          <w:tcPr>
            <w:tcW w:w="1129" w:type="dxa"/>
            <w:shd w:val="clear" w:color="auto" w:fill="365F91"/>
            <w:noWrap/>
            <w:hideMark/>
          </w:tcPr>
          <w:p w14:paraId="2F463563" w14:textId="77777777" w:rsidR="00706DD1" w:rsidRPr="00BE78CA" w:rsidRDefault="00706DD1" w:rsidP="00C26084">
            <w:pPr>
              <w:pStyle w:val="TableTextBold"/>
              <w:keepNext/>
              <w:rPr>
                <w:rFonts w:cs="Calibri"/>
                <w:noProof w:val="0"/>
                <w:color w:val="FFFFFF"/>
              </w:rPr>
            </w:pPr>
            <w:r w:rsidRPr="00BE78CA">
              <w:rPr>
                <w:rFonts w:cs="Calibri"/>
                <w:noProof w:val="0"/>
                <w:color w:val="FFFFFF"/>
              </w:rPr>
              <w:t>Product</w:t>
            </w:r>
          </w:p>
        </w:tc>
        <w:tc>
          <w:tcPr>
            <w:tcW w:w="2203" w:type="dxa"/>
            <w:shd w:val="clear" w:color="auto" w:fill="365F91"/>
            <w:noWrap/>
            <w:hideMark/>
          </w:tcPr>
          <w:p w14:paraId="337AE112" w14:textId="77777777" w:rsidR="00706DD1" w:rsidRPr="00BE78CA" w:rsidRDefault="00706DD1" w:rsidP="00C26084">
            <w:pPr>
              <w:pStyle w:val="TableTextBold"/>
              <w:keepNext/>
              <w:rPr>
                <w:rFonts w:cs="Calibri"/>
                <w:noProof w:val="0"/>
                <w:color w:val="FFFFFF"/>
              </w:rPr>
            </w:pPr>
            <w:r w:rsidRPr="00BE78CA">
              <w:rPr>
                <w:rFonts w:cs="Calibri"/>
                <w:noProof w:val="0"/>
                <w:color w:val="FFFFFF"/>
              </w:rPr>
              <w:t>Percentage of carbon stored</w:t>
            </w:r>
          </w:p>
        </w:tc>
        <w:tc>
          <w:tcPr>
            <w:tcW w:w="2050" w:type="dxa"/>
            <w:shd w:val="clear" w:color="auto" w:fill="365F91"/>
            <w:noWrap/>
            <w:hideMark/>
          </w:tcPr>
          <w:p w14:paraId="0C193BAB" w14:textId="77777777" w:rsidR="00706DD1" w:rsidRPr="00BE78CA" w:rsidRDefault="00706DD1" w:rsidP="00C26084">
            <w:pPr>
              <w:pStyle w:val="TableTextBold"/>
              <w:keepNext/>
              <w:rPr>
                <w:rFonts w:cs="Calibri"/>
                <w:noProof w:val="0"/>
                <w:color w:val="FFFFFF"/>
              </w:rPr>
            </w:pPr>
            <w:r w:rsidRPr="00BE78CA">
              <w:rPr>
                <w:rFonts w:cs="Calibri"/>
                <w:noProof w:val="0"/>
                <w:color w:val="FFFFFF"/>
              </w:rPr>
              <w:t>Energy use reported under</w:t>
            </w:r>
          </w:p>
        </w:tc>
        <w:tc>
          <w:tcPr>
            <w:tcW w:w="2358" w:type="dxa"/>
            <w:shd w:val="clear" w:color="auto" w:fill="365F91"/>
            <w:noWrap/>
            <w:hideMark/>
          </w:tcPr>
          <w:p w14:paraId="3F12D794" w14:textId="77777777" w:rsidR="00706DD1" w:rsidRPr="00BE78CA" w:rsidRDefault="00706DD1" w:rsidP="00C26084">
            <w:pPr>
              <w:pStyle w:val="TableTextBold"/>
              <w:keepNext/>
              <w:rPr>
                <w:rFonts w:cs="Calibri"/>
                <w:noProof w:val="0"/>
                <w:color w:val="FFFFFF"/>
              </w:rPr>
            </w:pPr>
            <w:r w:rsidRPr="00BE78CA">
              <w:rPr>
                <w:rFonts w:cs="Calibri"/>
                <w:noProof w:val="0"/>
                <w:color w:val="FFFFFF"/>
              </w:rPr>
              <w:t>Non-energy use reported under</w:t>
            </w:r>
          </w:p>
        </w:tc>
      </w:tr>
      <w:tr w:rsidR="00706DD1" w:rsidRPr="00BE78CA" w14:paraId="36F38470" w14:textId="77777777" w:rsidTr="0050329C">
        <w:tc>
          <w:tcPr>
            <w:tcW w:w="1129" w:type="dxa"/>
            <w:shd w:val="clear" w:color="auto" w:fill="auto"/>
            <w:noWrap/>
            <w:hideMark/>
          </w:tcPr>
          <w:p w14:paraId="7F651D63" w14:textId="77777777" w:rsidR="00706DD1" w:rsidRPr="00BE78CA" w:rsidRDefault="00706DD1" w:rsidP="00C26084">
            <w:pPr>
              <w:pStyle w:val="TableText"/>
            </w:pPr>
            <w:r w:rsidRPr="00BE78CA">
              <w:t>Methanol</w:t>
            </w:r>
          </w:p>
        </w:tc>
        <w:tc>
          <w:tcPr>
            <w:tcW w:w="2203" w:type="dxa"/>
            <w:shd w:val="clear" w:color="auto" w:fill="auto"/>
            <w:noWrap/>
            <w:hideMark/>
          </w:tcPr>
          <w:p w14:paraId="6525495C" w14:textId="77777777" w:rsidR="00706DD1" w:rsidRPr="00BE78CA" w:rsidRDefault="00706DD1" w:rsidP="00C26084">
            <w:pPr>
              <w:pStyle w:val="TableText"/>
            </w:pPr>
            <w:r w:rsidRPr="00BE78CA">
              <w:t>100</w:t>
            </w:r>
          </w:p>
        </w:tc>
        <w:tc>
          <w:tcPr>
            <w:tcW w:w="2050" w:type="dxa"/>
            <w:shd w:val="clear" w:color="auto" w:fill="auto"/>
            <w:noWrap/>
            <w:hideMark/>
          </w:tcPr>
          <w:p w14:paraId="627C4BED" w14:textId="77777777" w:rsidR="00706DD1" w:rsidRPr="00BE78CA" w:rsidRDefault="00706DD1" w:rsidP="00C26084">
            <w:pPr>
              <w:pStyle w:val="TableText"/>
            </w:pPr>
            <w:r w:rsidRPr="00BE78CA">
              <w:t>1.A.2.c</w:t>
            </w:r>
          </w:p>
        </w:tc>
        <w:tc>
          <w:tcPr>
            <w:tcW w:w="2358" w:type="dxa"/>
            <w:shd w:val="clear" w:color="auto" w:fill="auto"/>
            <w:noWrap/>
            <w:hideMark/>
          </w:tcPr>
          <w:p w14:paraId="5579A674" w14:textId="77777777" w:rsidR="00706DD1" w:rsidRPr="00BE78CA" w:rsidRDefault="00706DD1" w:rsidP="00C26084">
            <w:pPr>
              <w:pStyle w:val="TableText"/>
            </w:pPr>
            <w:r w:rsidRPr="00BE78CA">
              <w:t>NA</w:t>
            </w:r>
          </w:p>
        </w:tc>
      </w:tr>
      <w:tr w:rsidR="00706DD1" w:rsidRPr="00BE78CA" w14:paraId="2C31AF4D" w14:textId="77777777" w:rsidTr="0050329C">
        <w:tc>
          <w:tcPr>
            <w:tcW w:w="1129" w:type="dxa"/>
            <w:shd w:val="clear" w:color="auto" w:fill="auto"/>
            <w:noWrap/>
          </w:tcPr>
          <w:p w14:paraId="372C7D6D" w14:textId="77777777" w:rsidR="00706DD1" w:rsidRPr="00BE78CA" w:rsidRDefault="00706DD1" w:rsidP="00C26084">
            <w:pPr>
              <w:pStyle w:val="TableText"/>
              <w:rPr>
                <w:szCs w:val="16"/>
              </w:rPr>
            </w:pPr>
            <w:r w:rsidRPr="00BE78CA">
              <w:rPr>
                <w:szCs w:val="16"/>
              </w:rPr>
              <w:t>Urea</w:t>
            </w:r>
          </w:p>
        </w:tc>
        <w:tc>
          <w:tcPr>
            <w:tcW w:w="2203" w:type="dxa"/>
            <w:shd w:val="clear" w:color="auto" w:fill="auto"/>
            <w:noWrap/>
          </w:tcPr>
          <w:p w14:paraId="40D4960A" w14:textId="77777777" w:rsidR="00706DD1" w:rsidRPr="00BE78CA" w:rsidRDefault="00706DD1" w:rsidP="00C26084">
            <w:pPr>
              <w:pStyle w:val="TableText"/>
              <w:rPr>
                <w:szCs w:val="16"/>
              </w:rPr>
            </w:pPr>
            <w:r w:rsidRPr="00BE78CA">
              <w:rPr>
                <w:szCs w:val="16"/>
              </w:rPr>
              <w:t>80–93</w:t>
            </w:r>
            <w:r w:rsidRPr="00BE78CA">
              <w:rPr>
                <w:rStyle w:val="FootnoteReference"/>
                <w:sz w:val="16"/>
                <w:szCs w:val="16"/>
              </w:rPr>
              <w:footnoteReference w:id="30"/>
            </w:r>
          </w:p>
        </w:tc>
        <w:tc>
          <w:tcPr>
            <w:tcW w:w="2050" w:type="dxa"/>
            <w:shd w:val="clear" w:color="auto" w:fill="auto"/>
            <w:noWrap/>
          </w:tcPr>
          <w:p w14:paraId="368CD680" w14:textId="77777777" w:rsidR="00706DD1" w:rsidRPr="00BE78CA" w:rsidRDefault="00706DD1" w:rsidP="00C26084">
            <w:pPr>
              <w:pStyle w:val="TableText"/>
              <w:rPr>
                <w:szCs w:val="16"/>
              </w:rPr>
            </w:pPr>
            <w:r w:rsidRPr="00BE78CA">
              <w:rPr>
                <w:szCs w:val="16"/>
              </w:rPr>
              <w:t>1.A.2.c</w:t>
            </w:r>
          </w:p>
        </w:tc>
        <w:tc>
          <w:tcPr>
            <w:tcW w:w="2358" w:type="dxa"/>
            <w:shd w:val="clear" w:color="auto" w:fill="auto"/>
            <w:noWrap/>
          </w:tcPr>
          <w:p w14:paraId="540DB04F" w14:textId="77777777" w:rsidR="00706DD1" w:rsidRPr="00BE78CA" w:rsidRDefault="00706DD1" w:rsidP="00C26084">
            <w:pPr>
              <w:pStyle w:val="TableText"/>
              <w:rPr>
                <w:szCs w:val="16"/>
              </w:rPr>
            </w:pPr>
            <w:r w:rsidRPr="00BE78CA">
              <w:rPr>
                <w:szCs w:val="16"/>
              </w:rPr>
              <w:t>2.B.1</w:t>
            </w:r>
          </w:p>
        </w:tc>
      </w:tr>
      <w:tr w:rsidR="00706DD1" w:rsidRPr="00BE78CA" w14:paraId="17B074CC" w14:textId="77777777" w:rsidTr="0050329C">
        <w:tc>
          <w:tcPr>
            <w:tcW w:w="1129" w:type="dxa"/>
            <w:shd w:val="clear" w:color="auto" w:fill="auto"/>
            <w:noWrap/>
          </w:tcPr>
          <w:p w14:paraId="091EE655" w14:textId="77777777" w:rsidR="00706DD1" w:rsidRPr="00BE78CA" w:rsidRDefault="00706DD1" w:rsidP="00C26084">
            <w:pPr>
              <w:pStyle w:val="TableText"/>
            </w:pPr>
            <w:r w:rsidRPr="00BE78CA">
              <w:t>Hydrogen</w:t>
            </w:r>
          </w:p>
        </w:tc>
        <w:tc>
          <w:tcPr>
            <w:tcW w:w="2203" w:type="dxa"/>
            <w:shd w:val="clear" w:color="auto" w:fill="auto"/>
            <w:noWrap/>
          </w:tcPr>
          <w:p w14:paraId="0176F7B1" w14:textId="77777777" w:rsidR="00706DD1" w:rsidRPr="00BE78CA" w:rsidRDefault="00706DD1" w:rsidP="00C26084">
            <w:pPr>
              <w:pStyle w:val="TableText"/>
            </w:pPr>
            <w:r w:rsidRPr="00BE78CA">
              <w:t>0</w:t>
            </w:r>
          </w:p>
        </w:tc>
        <w:tc>
          <w:tcPr>
            <w:tcW w:w="2050" w:type="dxa"/>
            <w:shd w:val="clear" w:color="auto" w:fill="auto"/>
            <w:noWrap/>
          </w:tcPr>
          <w:p w14:paraId="4C08E63D" w14:textId="77777777" w:rsidR="00706DD1" w:rsidRPr="00BE78CA" w:rsidRDefault="00706DD1" w:rsidP="00C26084">
            <w:pPr>
              <w:pStyle w:val="TableText"/>
            </w:pPr>
            <w:r w:rsidRPr="00BE78CA">
              <w:t>1.A.2.c</w:t>
            </w:r>
          </w:p>
        </w:tc>
        <w:tc>
          <w:tcPr>
            <w:tcW w:w="2358" w:type="dxa"/>
            <w:shd w:val="clear" w:color="auto" w:fill="auto"/>
            <w:noWrap/>
          </w:tcPr>
          <w:p w14:paraId="0C75A10F" w14:textId="77777777" w:rsidR="00706DD1" w:rsidRPr="00BE78CA" w:rsidRDefault="00706DD1" w:rsidP="00C26084">
            <w:pPr>
              <w:pStyle w:val="TableText"/>
            </w:pPr>
            <w:r w:rsidRPr="00BE78CA">
              <w:t>2.B.10</w:t>
            </w:r>
          </w:p>
        </w:tc>
      </w:tr>
      <w:tr w:rsidR="00706DD1" w:rsidRPr="00BE78CA" w14:paraId="7FF29C54" w14:textId="77777777" w:rsidTr="0050329C">
        <w:tc>
          <w:tcPr>
            <w:tcW w:w="1129" w:type="dxa"/>
            <w:shd w:val="clear" w:color="auto" w:fill="auto"/>
            <w:noWrap/>
          </w:tcPr>
          <w:p w14:paraId="677D805C" w14:textId="77777777" w:rsidR="00706DD1" w:rsidRPr="00BE78CA" w:rsidRDefault="00706DD1" w:rsidP="00C26084">
            <w:pPr>
              <w:pStyle w:val="TableText"/>
            </w:pPr>
            <w:r w:rsidRPr="00BE78CA">
              <w:t>Steel</w:t>
            </w:r>
          </w:p>
        </w:tc>
        <w:tc>
          <w:tcPr>
            <w:tcW w:w="2203" w:type="dxa"/>
            <w:shd w:val="clear" w:color="auto" w:fill="auto"/>
            <w:noWrap/>
          </w:tcPr>
          <w:p w14:paraId="54B249D9" w14:textId="77777777" w:rsidR="00706DD1" w:rsidRPr="00BE78CA" w:rsidRDefault="00706DD1" w:rsidP="00C26084">
            <w:pPr>
              <w:pStyle w:val="TableText"/>
            </w:pPr>
            <w:r w:rsidRPr="00BE78CA">
              <w:t>0</w:t>
            </w:r>
          </w:p>
        </w:tc>
        <w:tc>
          <w:tcPr>
            <w:tcW w:w="2050" w:type="dxa"/>
            <w:shd w:val="clear" w:color="auto" w:fill="auto"/>
            <w:noWrap/>
          </w:tcPr>
          <w:p w14:paraId="56C7F068" w14:textId="77777777" w:rsidR="00706DD1" w:rsidRPr="00BE78CA" w:rsidRDefault="00706DD1" w:rsidP="00C26084">
            <w:pPr>
              <w:pStyle w:val="TableText"/>
            </w:pPr>
            <w:r w:rsidRPr="00BE78CA">
              <w:t>1.A.2.a</w:t>
            </w:r>
          </w:p>
        </w:tc>
        <w:tc>
          <w:tcPr>
            <w:tcW w:w="2358" w:type="dxa"/>
            <w:shd w:val="clear" w:color="auto" w:fill="auto"/>
            <w:noWrap/>
          </w:tcPr>
          <w:p w14:paraId="4F5EB92C" w14:textId="77777777" w:rsidR="00706DD1" w:rsidRPr="00BE78CA" w:rsidRDefault="00706DD1" w:rsidP="00C26084">
            <w:pPr>
              <w:pStyle w:val="TableText"/>
            </w:pPr>
            <w:r w:rsidRPr="00BE78CA">
              <w:t>2.C.1</w:t>
            </w:r>
          </w:p>
        </w:tc>
      </w:tr>
    </w:tbl>
    <w:p w14:paraId="1964506F" w14:textId="77777777" w:rsidR="00706DD1" w:rsidRPr="00BE78CA" w:rsidRDefault="00706DD1" w:rsidP="004C6BC8">
      <w:pPr>
        <w:pStyle w:val="BodyText"/>
        <w:keepLines/>
        <w:spacing w:before="240"/>
        <w:rPr>
          <w:rFonts w:cs="Calibri"/>
          <w:lang w:eastAsia="en-GB"/>
        </w:rPr>
      </w:pPr>
      <w:r w:rsidRPr="00BE78CA">
        <w:rPr>
          <w:rFonts w:cs="Calibri"/>
          <w:lang w:eastAsia="en-GB"/>
        </w:rPr>
        <w:lastRenderedPageBreak/>
        <w:t xml:space="preserve">The available data on natural gas supplied for methanol production do not allow feedstock to be clearly distinguished from gas for combustion. The quantity of feedstock gas is therefore calculated using a carbon balance based on the quantity of methanol produced. Natural gas used for energy generation is then calculated as total gas consumed minus feedstock gas. These figures may differ slightly from those reported online by MBIE, which are based on natural gas energy use and non-energy use as reported by the plant operator. </w:t>
      </w:r>
    </w:p>
    <w:p w14:paraId="386E6700" w14:textId="62A98BD1" w:rsidR="00706DD1" w:rsidRPr="00BE78CA" w:rsidRDefault="00706DD1" w:rsidP="00706DD1">
      <w:pPr>
        <w:pStyle w:val="BodyText"/>
        <w:rPr>
          <w:rFonts w:cs="Calibri"/>
          <w:lang w:eastAsia="en-GB"/>
        </w:rPr>
      </w:pPr>
      <w:r w:rsidRPr="00BE78CA">
        <w:rPr>
          <w:rFonts w:cs="Calibri"/>
          <w:lang w:eastAsia="en-GB"/>
        </w:rPr>
        <w:t>Regarding urea, the split of feedstock gas and fuel gas is provided by the company. Although most of the carbon in feedstock gas used for urea production is stored in the product, this carbon is later emitted when the urea is used on farms as fertiliser. These emissions are reported under the Agriculture sector under urea application (all ammonia produced in New</w:t>
      </w:r>
      <w:r w:rsidR="00C657F3" w:rsidRPr="00BE78CA">
        <w:rPr>
          <w:rFonts w:cs="Calibri"/>
          <w:lang w:eastAsia="en-GB"/>
        </w:rPr>
        <w:t> </w:t>
      </w:r>
      <w:r w:rsidRPr="00BE78CA">
        <w:rPr>
          <w:rFonts w:cs="Calibri"/>
          <w:lang w:eastAsia="en-GB"/>
        </w:rPr>
        <w:t>Zealand is processed into urea).</w:t>
      </w:r>
    </w:p>
    <w:p w14:paraId="7E723912" w14:textId="606BF1D7" w:rsidR="00706DD1" w:rsidRPr="00BE78CA" w:rsidRDefault="00706DD1" w:rsidP="00706DD1">
      <w:pPr>
        <w:pStyle w:val="BodyText"/>
        <w:rPr>
          <w:rFonts w:cs="Calibri"/>
          <w:lang w:eastAsia="en-GB"/>
        </w:rPr>
      </w:pPr>
      <w:r w:rsidRPr="00BE78CA">
        <w:rPr>
          <w:rFonts w:cs="Calibri"/>
          <w:lang w:eastAsia="en-GB"/>
        </w:rPr>
        <w:t xml:space="preserve">Emissions from synthetic gasoline production are reported in the </w:t>
      </w:r>
      <w:r w:rsidRPr="00BE78CA">
        <w:rPr>
          <w:rFonts w:cs="Calibri"/>
          <w:i/>
          <w:lang w:eastAsia="en-GB"/>
        </w:rPr>
        <w:t>Manufacture of solid fuels and other energy industries</w:t>
      </w:r>
      <w:r w:rsidRPr="00BE78CA">
        <w:rPr>
          <w:rFonts w:cs="Calibri"/>
          <w:lang w:eastAsia="en-GB"/>
        </w:rPr>
        <w:t xml:space="preserve"> category. Synthetic gasoline production in New Zealand ceased in</w:t>
      </w:r>
      <w:r w:rsidR="00C657F3" w:rsidRPr="00BE78CA">
        <w:rPr>
          <w:rFonts w:cs="Calibri"/>
          <w:lang w:eastAsia="en-GB"/>
        </w:rPr>
        <w:t> </w:t>
      </w:r>
      <w:r w:rsidRPr="00BE78CA">
        <w:rPr>
          <w:rFonts w:cs="Calibri"/>
          <w:lang w:eastAsia="en-GB"/>
        </w:rPr>
        <w:t>1997.</w:t>
      </w:r>
    </w:p>
    <w:p w14:paraId="7F047214" w14:textId="77777777" w:rsidR="00706DD1" w:rsidRPr="00BE78CA" w:rsidRDefault="00706DD1" w:rsidP="00706DD1">
      <w:pPr>
        <w:pStyle w:val="BodyText"/>
        <w:rPr>
          <w:rFonts w:cs="Calibri"/>
          <w:lang w:eastAsia="en-GB"/>
        </w:rPr>
      </w:pPr>
      <w:r w:rsidRPr="00BE78CA">
        <w:rPr>
          <w:rFonts w:cs="Calibri"/>
          <w:lang w:eastAsia="en-GB"/>
        </w:rPr>
        <w:t>The split of natural gas consumed for energy use versus non-energy use across the time series is shown in figure 3.2.1, and a table giving the energy versus non-energy use data for natural gas is included in annex 4, section A.4.4. The trend in natural gas use in the chemicals category can be explained partly by events in the methanol production industry in New Zealand. Methanex New Zealand operates methanol production plants in the country and is a major gas user. Methanex significantly reduced its production in 2004 following deficient gas supply in 2003. In 2004 it started to run at reduced capacity, but increased its capacity in 2008 and then further in 2012. Production at full capacity resumed in December 2013. Details of natural gas use for the various non-energy uses are covered under the IPPU sector (chapter 4).</w:t>
      </w:r>
    </w:p>
    <w:p w14:paraId="689963EC" w14:textId="1E780583" w:rsidR="00706DD1" w:rsidRPr="00BE78CA" w:rsidRDefault="00706DD1" w:rsidP="00706DD1">
      <w:pPr>
        <w:pStyle w:val="Figure"/>
        <w:rPr>
          <w:rFonts w:cs="Calibri"/>
        </w:rPr>
      </w:pPr>
      <w:bookmarkStart w:id="225" w:name="_Toc481751985"/>
      <w:bookmarkStart w:id="226" w:name="_Toc36292769"/>
      <w:bookmarkStart w:id="227" w:name="_Toc68786634"/>
      <w:r w:rsidRPr="00BE78CA">
        <w:rPr>
          <w:rFonts w:cs="Calibri"/>
        </w:rPr>
        <w:t>Figure 3.2.</w:t>
      </w:r>
      <w:r w:rsidRPr="00BE78CA">
        <w:rPr>
          <w:rFonts w:cs="Calibri"/>
        </w:rPr>
        <w:fldChar w:fldCharType="begin"/>
      </w:r>
      <w:r w:rsidRPr="00BE78CA">
        <w:rPr>
          <w:rFonts w:cs="Calibri"/>
        </w:rPr>
        <w:instrText xml:space="preserve"> SEQ Figure \* ARABIC \s 2 </w:instrText>
      </w:r>
      <w:r w:rsidRPr="00BE78CA">
        <w:rPr>
          <w:rFonts w:cs="Calibri"/>
        </w:rPr>
        <w:fldChar w:fldCharType="separate"/>
      </w:r>
      <w:r w:rsidR="00B94D2F">
        <w:rPr>
          <w:rFonts w:cs="Calibri"/>
          <w:noProof/>
        </w:rPr>
        <w:t>1</w:t>
      </w:r>
      <w:r w:rsidRPr="00BE78CA">
        <w:rPr>
          <w:rFonts w:cs="Calibri"/>
        </w:rPr>
        <w:fldChar w:fldCharType="end"/>
      </w:r>
      <w:r w:rsidRPr="00BE78CA">
        <w:rPr>
          <w:rFonts w:cs="Calibri"/>
        </w:rPr>
        <w:tab/>
        <w:t>Natural gas consumption by end use type</w:t>
      </w:r>
      <w:bookmarkEnd w:id="225"/>
      <w:r w:rsidRPr="00BE78CA">
        <w:rPr>
          <w:rFonts w:cs="Calibri"/>
        </w:rPr>
        <w:t xml:space="preserve"> (1990–2019)</w:t>
      </w:r>
      <w:bookmarkEnd w:id="226"/>
      <w:bookmarkEnd w:id="227"/>
      <w:r w:rsidRPr="00BE78CA">
        <w:rPr>
          <w:rFonts w:cs="Calibri"/>
        </w:rPr>
        <w:t xml:space="preserve"> </w:t>
      </w:r>
    </w:p>
    <w:p w14:paraId="5F9B3BE9" w14:textId="77777777" w:rsidR="00706DD1" w:rsidRPr="00BE78CA" w:rsidRDefault="00706DD1" w:rsidP="0065307D">
      <w:pPr>
        <w:pStyle w:val="BodyText"/>
        <w:spacing w:after="80"/>
        <w:rPr>
          <w:lang w:eastAsia="en-GB"/>
        </w:rPr>
      </w:pPr>
      <w:r w:rsidRPr="00BE78CA">
        <w:rPr>
          <w:noProof/>
        </w:rPr>
        <w:drawing>
          <wp:inline distT="0" distB="0" distL="0" distR="0" wp14:anchorId="5A78CAC9" wp14:editId="57904FAA">
            <wp:extent cx="5400041" cy="2579298"/>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_3_2_1_natural_gas_consumption.png"/>
                    <pic:cNvPicPr/>
                  </pic:nvPicPr>
                  <pic:blipFill rotWithShape="1">
                    <a:blip r:embed="rId60" cstate="print">
                      <a:extLst>
                        <a:ext uri="{28A0092B-C50C-407E-A947-70E740481C1C}">
                          <a14:useLocalDpi xmlns:a14="http://schemas.microsoft.com/office/drawing/2010/main" val="0"/>
                        </a:ext>
                      </a:extLst>
                    </a:blip>
                    <a:srcRect b="4471"/>
                    <a:stretch/>
                  </pic:blipFill>
                  <pic:spPr bwMode="auto">
                    <a:xfrm>
                      <a:off x="0" y="0"/>
                      <a:ext cx="5400675" cy="2579601"/>
                    </a:xfrm>
                    <a:prstGeom prst="rect">
                      <a:avLst/>
                    </a:prstGeom>
                    <a:ln>
                      <a:noFill/>
                    </a:ln>
                    <a:extLst>
                      <a:ext uri="{53640926-AAD7-44D8-BBD7-CCE9431645EC}">
                        <a14:shadowObscured xmlns:a14="http://schemas.microsoft.com/office/drawing/2010/main"/>
                      </a:ext>
                    </a:extLst>
                  </pic:spPr>
                </pic:pic>
              </a:graphicData>
            </a:graphic>
          </wp:inline>
        </w:drawing>
      </w:r>
    </w:p>
    <w:p w14:paraId="6156380D" w14:textId="77777777" w:rsidR="00706DD1" w:rsidRPr="00BE78CA" w:rsidRDefault="00706DD1" w:rsidP="00706DD1">
      <w:pPr>
        <w:pStyle w:val="Heading3"/>
        <w:rPr>
          <w:rFonts w:cs="Calibri"/>
        </w:rPr>
      </w:pPr>
      <w:r w:rsidRPr="00BE78CA">
        <w:rPr>
          <w:rFonts w:cs="Calibri"/>
        </w:rPr>
        <w:t>3.2.4</w:t>
      </w:r>
      <w:r w:rsidRPr="00BE78CA">
        <w:rPr>
          <w:rFonts w:cs="Calibri"/>
        </w:rPr>
        <w:tab/>
        <w:t>Carbon dioxide capture from flue gases and subsequent carbon dioxide</w:t>
      </w:r>
      <w:r w:rsidRPr="00BE78CA">
        <w:rPr>
          <w:rFonts w:cs="Calibri"/>
          <w:sz w:val="18"/>
          <w:szCs w:val="18"/>
        </w:rPr>
        <w:t xml:space="preserve"> </w:t>
      </w:r>
      <w:r w:rsidRPr="00BE78CA">
        <w:rPr>
          <w:rFonts w:cs="Calibri"/>
        </w:rPr>
        <w:t>storage</w:t>
      </w:r>
    </w:p>
    <w:p w14:paraId="43B145D4" w14:textId="77777777" w:rsidR="00706DD1" w:rsidRPr="00BE78CA" w:rsidRDefault="00706DD1" w:rsidP="00706DD1">
      <w:pPr>
        <w:pStyle w:val="BodyText"/>
        <w:spacing w:before="100" w:after="100"/>
        <w:rPr>
          <w:rFonts w:cs="Calibri"/>
        </w:rPr>
      </w:pPr>
      <w:r w:rsidRPr="00BE78CA">
        <w:rPr>
          <w:rFonts w:cs="Calibri"/>
          <w:lang w:eastAsia="en-GB"/>
        </w:rPr>
        <w:t>There was no CO</w:t>
      </w:r>
      <w:r w:rsidRPr="00BE78CA">
        <w:rPr>
          <w:rFonts w:cs="Calibri"/>
          <w:vertAlign w:val="subscript"/>
          <w:lang w:eastAsia="en-GB"/>
        </w:rPr>
        <w:t>2</w:t>
      </w:r>
      <w:r w:rsidRPr="00BE78CA">
        <w:rPr>
          <w:rFonts w:cs="Calibri"/>
          <w:sz w:val="14"/>
          <w:szCs w:val="14"/>
          <w:lang w:eastAsia="en-GB"/>
        </w:rPr>
        <w:t xml:space="preserve"> </w:t>
      </w:r>
      <w:r w:rsidRPr="00BE78CA">
        <w:rPr>
          <w:rFonts w:cs="Calibri"/>
          <w:lang w:eastAsia="en-GB"/>
        </w:rPr>
        <w:t>capture from flue gases and subsequent CO</w:t>
      </w:r>
      <w:r w:rsidRPr="00BE78CA">
        <w:rPr>
          <w:rFonts w:cs="Calibri"/>
          <w:vertAlign w:val="subscript"/>
          <w:lang w:eastAsia="en-GB"/>
        </w:rPr>
        <w:t>2</w:t>
      </w:r>
      <w:r w:rsidRPr="00BE78CA">
        <w:rPr>
          <w:rFonts w:cs="Calibri"/>
          <w:sz w:val="14"/>
          <w:szCs w:val="14"/>
          <w:lang w:eastAsia="en-GB"/>
        </w:rPr>
        <w:t xml:space="preserve"> </w:t>
      </w:r>
      <w:r w:rsidRPr="00BE78CA">
        <w:rPr>
          <w:rFonts w:cs="Calibri"/>
          <w:lang w:eastAsia="en-GB"/>
        </w:rPr>
        <w:t xml:space="preserve">storage occurring in New Zealand between 1990 and </w:t>
      </w:r>
      <w:r w:rsidRPr="00BE78CA">
        <w:rPr>
          <w:rFonts w:cs="Calibri"/>
        </w:rPr>
        <w:t>2019</w:t>
      </w:r>
      <w:r w:rsidRPr="00BE78CA">
        <w:rPr>
          <w:rFonts w:cs="Calibri"/>
          <w:lang w:eastAsia="en-GB"/>
        </w:rPr>
        <w:t>.</w:t>
      </w:r>
    </w:p>
    <w:p w14:paraId="02D0C091" w14:textId="77777777" w:rsidR="00706DD1" w:rsidRPr="00BE78CA" w:rsidRDefault="00706DD1" w:rsidP="00706DD1">
      <w:pPr>
        <w:pStyle w:val="Heading3"/>
        <w:spacing w:before="280"/>
        <w:rPr>
          <w:rFonts w:cs="Calibri"/>
        </w:rPr>
      </w:pPr>
      <w:r w:rsidRPr="00BE78CA">
        <w:rPr>
          <w:rFonts w:cs="Calibri"/>
        </w:rPr>
        <w:lastRenderedPageBreak/>
        <w:t>3.2.5</w:t>
      </w:r>
      <w:r w:rsidRPr="00BE78CA">
        <w:rPr>
          <w:rFonts w:cs="Calibri"/>
        </w:rPr>
        <w:tab/>
        <w:t>Country-specific issues</w:t>
      </w:r>
    </w:p>
    <w:p w14:paraId="1D783965" w14:textId="77777777" w:rsidR="00706DD1" w:rsidRPr="00BE78CA" w:rsidRDefault="00706DD1" w:rsidP="00706DD1">
      <w:pPr>
        <w:pStyle w:val="BodyText"/>
        <w:spacing w:before="100" w:after="100"/>
        <w:rPr>
          <w:rFonts w:cs="Calibri"/>
        </w:rPr>
      </w:pPr>
      <w:r w:rsidRPr="00BE78CA">
        <w:rPr>
          <w:rFonts w:cs="Calibri"/>
          <w:lang w:eastAsia="en-GB"/>
        </w:rPr>
        <w:t>Reporting for the Energy sector presents an issue related to the 2006</w:t>
      </w:r>
      <w:r w:rsidRPr="00BE78CA">
        <w:rPr>
          <w:rFonts w:cs="Calibri"/>
          <w:i/>
          <w:iCs/>
          <w:lang w:eastAsia="en-GB"/>
        </w:rPr>
        <w:t xml:space="preserve"> </w:t>
      </w:r>
      <w:r w:rsidRPr="00BE78CA">
        <w:rPr>
          <w:rFonts w:cs="Calibri"/>
          <w:lang w:eastAsia="en-GB"/>
        </w:rPr>
        <w:t>IPCC Guidelines (IPCC, 2006). The issue is described below.</w:t>
      </w:r>
    </w:p>
    <w:p w14:paraId="283E8C72" w14:textId="77777777" w:rsidR="00706DD1" w:rsidRPr="00BE78CA" w:rsidRDefault="00706DD1" w:rsidP="00706DD1">
      <w:pPr>
        <w:pStyle w:val="Heading4"/>
      </w:pPr>
      <w:r w:rsidRPr="00BE78CA">
        <w:rPr>
          <w:lang w:eastAsia="en-GB"/>
        </w:rPr>
        <w:t>Sectoral approach – Methanol production</w:t>
      </w:r>
    </w:p>
    <w:p w14:paraId="029EB71A" w14:textId="77777777" w:rsidR="00706DD1" w:rsidRPr="00BE78CA" w:rsidRDefault="00706DD1" w:rsidP="00706DD1">
      <w:pPr>
        <w:pStyle w:val="BodyText"/>
        <w:spacing w:before="100" w:after="100"/>
        <w:rPr>
          <w:rFonts w:cs="Calibri"/>
          <w:lang w:eastAsia="en-GB"/>
        </w:rPr>
      </w:pPr>
      <w:r w:rsidRPr="00BE78CA">
        <w:rPr>
          <w:rFonts w:cs="Calibri"/>
        </w:rPr>
        <w:t xml:space="preserve">The sector activity data do not include non-energy use of fuels. As a result, subtraction of emissions is not needed to account for the sequestration of carbon in methanol. The emissions from the fuel portion are reported in the CRF category 1.A.2.c </w:t>
      </w:r>
      <w:r w:rsidRPr="00BE78CA">
        <w:rPr>
          <w:rFonts w:cs="Calibri"/>
          <w:i/>
        </w:rPr>
        <w:t>Chemicals</w:t>
      </w:r>
      <w:r w:rsidRPr="00BE78CA">
        <w:rPr>
          <w:rFonts w:cs="Calibri"/>
        </w:rPr>
        <w:t xml:space="preserve"> in the Energy sector, and the emissions from the feedstock portion are described in chapter 4 (IPPU sector), section 4.3.2. </w:t>
      </w:r>
    </w:p>
    <w:p w14:paraId="1DE31114" w14:textId="77777777" w:rsidR="00706DD1" w:rsidRPr="00BE78CA" w:rsidRDefault="00706DD1" w:rsidP="00706DD1">
      <w:pPr>
        <w:pStyle w:val="Heading3"/>
        <w:spacing w:before="280"/>
        <w:rPr>
          <w:rFonts w:cs="Calibri"/>
        </w:rPr>
      </w:pPr>
      <w:r w:rsidRPr="00BE78CA">
        <w:rPr>
          <w:rFonts w:cs="Calibri"/>
        </w:rPr>
        <w:t>3.2.6</w:t>
      </w:r>
      <w:r w:rsidRPr="00BE78CA">
        <w:rPr>
          <w:rFonts w:cs="Calibri"/>
        </w:rPr>
        <w:tab/>
        <w:t>New Zealand energy balance</w:t>
      </w:r>
    </w:p>
    <w:p w14:paraId="2B12DB53" w14:textId="77777777" w:rsidR="00706DD1" w:rsidRPr="00BE78CA" w:rsidRDefault="00706DD1" w:rsidP="00706DD1">
      <w:pPr>
        <w:pStyle w:val="BodyText"/>
        <w:spacing w:before="100" w:after="100"/>
      </w:pPr>
      <w:r w:rsidRPr="00BE78CA">
        <w:rPr>
          <w:rFonts w:cs="Calibri"/>
        </w:rPr>
        <w:t xml:space="preserve">New Zealand’s energy balance, along with comprehensive information and analysis of energy supply and demand, is published annually in </w:t>
      </w:r>
      <w:r w:rsidRPr="00BE78CA">
        <w:rPr>
          <w:rFonts w:cs="Calibri"/>
          <w:i/>
        </w:rPr>
        <w:t>Energy in New Zealand</w:t>
      </w:r>
      <w:r w:rsidRPr="00BE78CA">
        <w:rPr>
          <w:rFonts w:cs="Calibri"/>
        </w:rPr>
        <w:t xml:space="preserve"> (MBIE, 2020). It covers energy statistics, including supply and demand by fuel types, energy balance tables, pricing information and international comparisons. An electronic copy of this report is available online at: </w:t>
      </w:r>
      <w:hyperlink r:id="rId61" w:history="1">
        <w:r w:rsidRPr="00BE78CA">
          <w:rPr>
            <w:rStyle w:val="Hyperlink"/>
          </w:rPr>
          <w:t>www.mbie.govt.nz/building-and-energy/energy-and-natural-resources/energy-statistics-and-modelling/energy-publications-and-technical-papers/energy-in-new-zealand</w:t>
        </w:r>
      </w:hyperlink>
      <w:r w:rsidRPr="00BE78CA">
        <w:t>.</w:t>
      </w:r>
    </w:p>
    <w:p w14:paraId="0D74CC55" w14:textId="77777777" w:rsidR="00706DD1" w:rsidRPr="00BE78CA" w:rsidRDefault="00706DD1" w:rsidP="00706DD1">
      <w:pPr>
        <w:pStyle w:val="BodyText"/>
        <w:spacing w:before="100" w:after="100"/>
        <w:rPr>
          <w:rFonts w:cs="Calibri"/>
          <w:iCs/>
          <w:lang w:eastAsia="en-GB"/>
        </w:rPr>
      </w:pPr>
      <w:r w:rsidRPr="00BE78CA">
        <w:rPr>
          <w:rFonts w:cs="Calibri"/>
          <w:iCs/>
          <w:lang w:eastAsia="en-GB"/>
        </w:rPr>
        <w:t>For the most part, categories and fuels from the energy balance correspond directly with the categories and fuels in CRF table 1.A(b). There are a few special cases, as follows, where the structure of the CRF table does not align with New Zealand’s energy balance.</w:t>
      </w:r>
    </w:p>
    <w:p w14:paraId="54CF8FCD" w14:textId="77777777" w:rsidR="00706DD1" w:rsidRPr="00BE78CA" w:rsidRDefault="00706DD1" w:rsidP="00102D07">
      <w:pPr>
        <w:pStyle w:val="Bullet"/>
        <w:rPr>
          <w:lang w:eastAsia="en-GB"/>
        </w:rPr>
      </w:pPr>
      <w:r w:rsidRPr="00BE78CA">
        <w:rPr>
          <w:lang w:eastAsia="en-GB"/>
        </w:rPr>
        <w:t>In the New Zealand energy balance table, crude oil and refinery feedstocks are combined, whereas in CRF table 1.A(b) these are separate line items.</w:t>
      </w:r>
    </w:p>
    <w:p w14:paraId="39CC8AC8" w14:textId="77777777" w:rsidR="00706DD1" w:rsidRPr="00BE78CA" w:rsidRDefault="00706DD1" w:rsidP="00102D07">
      <w:pPr>
        <w:pStyle w:val="Bullet"/>
        <w:rPr>
          <w:lang w:eastAsia="en-GB"/>
        </w:rPr>
      </w:pPr>
      <w:r w:rsidRPr="00BE78CA">
        <w:rPr>
          <w:lang w:eastAsia="en-GB"/>
        </w:rPr>
        <w:t>In New Zealand,</w:t>
      </w:r>
      <w:r w:rsidRPr="00BE78CA">
        <w:t xml:space="preserve"> </w:t>
      </w:r>
      <w:r w:rsidRPr="00BE78CA">
        <w:rPr>
          <w:lang w:eastAsia="en-GB"/>
        </w:rPr>
        <w:t>liquefied petroleum gas (LPG) is considered a primary fuel and indigenous production is included in the national energy balance as such. The CRF table does not allow entry of LPG production, so it is included in natural gas production and then allocated to liquefied petroleum gas via stock change.</w:t>
      </w:r>
    </w:p>
    <w:p w14:paraId="76F4F64A" w14:textId="77777777" w:rsidR="00706DD1" w:rsidRPr="00BE78CA" w:rsidRDefault="00706DD1" w:rsidP="00102D07">
      <w:pPr>
        <w:pStyle w:val="Bullet"/>
        <w:rPr>
          <w:lang w:eastAsia="en-GB"/>
        </w:rPr>
      </w:pPr>
      <w:r w:rsidRPr="00BE78CA">
        <w:rPr>
          <w:lang w:eastAsia="en-GB"/>
        </w:rPr>
        <w:t>New Zealand’s energy balance includes the production of synthetic gasoline from natural gas under energy transformation. The CRF table does not allow entry of synthetic gasoline transformation, so it is included in natural gas production and then allocated to gasoline via stock change.</w:t>
      </w:r>
    </w:p>
    <w:p w14:paraId="2E997AB5" w14:textId="77777777" w:rsidR="00706DD1" w:rsidRPr="00BE78CA" w:rsidRDefault="00706DD1" w:rsidP="00706DD1">
      <w:pPr>
        <w:pStyle w:val="BodyText"/>
        <w:spacing w:before="100" w:after="100"/>
        <w:rPr>
          <w:rFonts w:cs="Calibri"/>
          <w:iCs/>
          <w:lang w:eastAsia="en-GB"/>
        </w:rPr>
      </w:pPr>
      <w:r w:rsidRPr="00BE78CA">
        <w:rPr>
          <w:rFonts w:cs="Calibri"/>
          <w:iCs/>
          <w:lang w:eastAsia="en-GB"/>
        </w:rPr>
        <w:t>These allocations allow a more meaningful comparison with the sectoral approach data for liquid and gaseous fuels.</w:t>
      </w:r>
    </w:p>
    <w:p w14:paraId="5105351D" w14:textId="77777777" w:rsidR="00706DD1" w:rsidRPr="00BE78CA" w:rsidRDefault="00706DD1" w:rsidP="00706DD1">
      <w:pPr>
        <w:pStyle w:val="Heading2"/>
        <w:rPr>
          <w:rFonts w:cs="Calibri"/>
        </w:rPr>
      </w:pPr>
      <w:bookmarkStart w:id="228" w:name="_Toc321398810"/>
      <w:bookmarkStart w:id="229" w:name="_Toc384581636"/>
      <w:bookmarkStart w:id="230" w:name="_Toc448321508"/>
      <w:bookmarkStart w:id="231" w:name="_Toc481751370"/>
      <w:bookmarkStart w:id="232" w:name="_Toc36224387"/>
      <w:bookmarkStart w:id="233" w:name="_Toc68786307"/>
      <w:r w:rsidRPr="00BE78CA">
        <w:rPr>
          <w:rFonts w:cs="Calibri"/>
        </w:rPr>
        <w:t>3.3</w:t>
      </w:r>
      <w:r w:rsidRPr="00BE78CA">
        <w:rPr>
          <w:rFonts w:cs="Calibri"/>
        </w:rPr>
        <w:tab/>
        <w:t>Fuel combustion (CRF 1.A)</w:t>
      </w:r>
      <w:bookmarkEnd w:id="228"/>
      <w:bookmarkEnd w:id="229"/>
      <w:bookmarkEnd w:id="230"/>
      <w:bookmarkEnd w:id="231"/>
      <w:bookmarkEnd w:id="232"/>
      <w:bookmarkEnd w:id="233"/>
    </w:p>
    <w:p w14:paraId="4FD37EB0" w14:textId="77777777" w:rsidR="00706DD1" w:rsidRPr="00BE78CA" w:rsidRDefault="00706DD1" w:rsidP="00706DD1">
      <w:pPr>
        <w:pStyle w:val="Heading3"/>
        <w:spacing w:before="160"/>
        <w:rPr>
          <w:rFonts w:cs="Calibri"/>
        </w:rPr>
      </w:pPr>
      <w:bookmarkStart w:id="234" w:name="_Ref442177031"/>
      <w:r w:rsidRPr="00BE78CA">
        <w:rPr>
          <w:rFonts w:cs="Calibri"/>
        </w:rPr>
        <w:t>3.3.1</w:t>
      </w:r>
      <w:r w:rsidRPr="00BE78CA">
        <w:rPr>
          <w:rFonts w:cs="Calibri"/>
        </w:rPr>
        <w:tab/>
        <w:t>Sector-wide information</w:t>
      </w:r>
      <w:bookmarkEnd w:id="234"/>
    </w:p>
    <w:p w14:paraId="7FB00804" w14:textId="77777777" w:rsidR="00706DD1" w:rsidRPr="00BE78CA" w:rsidRDefault="00706DD1" w:rsidP="00706DD1">
      <w:pPr>
        <w:pStyle w:val="Heading4"/>
        <w:spacing w:before="160"/>
      </w:pPr>
      <w:r w:rsidRPr="00BE78CA">
        <w:rPr>
          <w:lang w:eastAsia="en-GB"/>
        </w:rPr>
        <w:t>Description</w:t>
      </w:r>
    </w:p>
    <w:p w14:paraId="1F3078BE" w14:textId="6F258266" w:rsidR="00706DD1" w:rsidRPr="00BE78CA" w:rsidRDefault="00706DD1" w:rsidP="00706DD1">
      <w:pPr>
        <w:pStyle w:val="BodyText"/>
        <w:rPr>
          <w:rFonts w:cs="Calibri"/>
          <w:lang w:eastAsia="en-GB"/>
        </w:rPr>
      </w:pPr>
      <w:r w:rsidRPr="00BE78CA">
        <w:rPr>
          <w:rFonts w:cs="Calibri"/>
          <w:lang w:eastAsia="en-GB"/>
        </w:rPr>
        <w:t xml:space="preserve">The </w:t>
      </w:r>
      <w:r w:rsidRPr="00BE78CA">
        <w:rPr>
          <w:rFonts w:cs="Calibri"/>
          <w:i/>
          <w:lang w:eastAsia="en-GB"/>
        </w:rPr>
        <w:t>Fuel combustion</w:t>
      </w:r>
      <w:r w:rsidRPr="00BE78CA">
        <w:rPr>
          <w:rFonts w:cs="Calibri"/>
          <w:lang w:eastAsia="en-GB"/>
        </w:rPr>
        <w:t xml:space="preserve"> category reports all fuel combustion activities from 1.A.1 </w:t>
      </w:r>
      <w:r w:rsidRPr="00BE78CA">
        <w:rPr>
          <w:rFonts w:cs="Calibri"/>
          <w:i/>
          <w:lang w:eastAsia="en-GB"/>
        </w:rPr>
        <w:t>Energy industries</w:t>
      </w:r>
      <w:r w:rsidRPr="00BE78CA">
        <w:rPr>
          <w:rFonts w:cs="Calibri"/>
          <w:lang w:eastAsia="en-GB"/>
        </w:rPr>
        <w:t xml:space="preserve">, 1.A.2 </w:t>
      </w:r>
      <w:r w:rsidRPr="00BE78CA">
        <w:rPr>
          <w:rFonts w:cs="Calibri"/>
          <w:i/>
          <w:lang w:eastAsia="en-GB"/>
        </w:rPr>
        <w:t>Manufacturing industries and construction</w:t>
      </w:r>
      <w:r w:rsidRPr="00BE78CA">
        <w:rPr>
          <w:rFonts w:cs="Calibri"/>
          <w:lang w:eastAsia="en-GB"/>
        </w:rPr>
        <w:t xml:space="preserve">, 1.A.3 </w:t>
      </w:r>
      <w:r w:rsidRPr="00BE78CA">
        <w:rPr>
          <w:rFonts w:cs="Calibri"/>
          <w:i/>
          <w:lang w:eastAsia="en-GB"/>
        </w:rPr>
        <w:t>Transport</w:t>
      </w:r>
      <w:r w:rsidRPr="00BE78CA">
        <w:rPr>
          <w:rFonts w:cs="Calibri"/>
          <w:lang w:eastAsia="en-GB"/>
        </w:rPr>
        <w:t xml:space="preserve"> and 1.A.4 </w:t>
      </w:r>
      <w:r w:rsidRPr="00BE78CA">
        <w:rPr>
          <w:rFonts w:cs="Calibri"/>
          <w:i/>
          <w:lang w:eastAsia="en-GB"/>
        </w:rPr>
        <w:t>Other</w:t>
      </w:r>
      <w:r w:rsidR="008C4B07" w:rsidRPr="00BE78CA">
        <w:rPr>
          <w:rFonts w:cs="Calibri"/>
          <w:i/>
          <w:lang w:eastAsia="en-GB"/>
        </w:rPr>
        <w:t> </w:t>
      </w:r>
      <w:r w:rsidRPr="00BE78CA">
        <w:rPr>
          <w:rFonts w:cs="Calibri"/>
          <w:i/>
          <w:lang w:eastAsia="en-GB"/>
        </w:rPr>
        <w:t>sectors</w:t>
      </w:r>
      <w:r w:rsidRPr="00BE78CA">
        <w:rPr>
          <w:rFonts w:cs="Calibri"/>
          <w:lang w:eastAsia="en-GB"/>
        </w:rPr>
        <w:t xml:space="preserve"> categories (see figure 3.3.1). These categories use common activity data sources and</w:t>
      </w:r>
      <w:r w:rsidR="00142FB4" w:rsidRPr="00BE78CA">
        <w:rPr>
          <w:rFonts w:cs="Calibri"/>
          <w:lang w:eastAsia="en-GB"/>
        </w:rPr>
        <w:t> </w:t>
      </w:r>
      <w:r w:rsidRPr="00BE78CA">
        <w:rPr>
          <w:rFonts w:cs="Calibri"/>
          <w:lang w:eastAsia="en-GB"/>
        </w:rPr>
        <w:t>emission factors. The CRF tables require energy emissions to be reported by category. Apportioning energy activity data across categories is not as accurate as apportioning activity data by fuel type because of difficulties in allocating liquid fuel to the appropriate categories.</w:t>
      </w:r>
    </w:p>
    <w:p w14:paraId="2194CB18" w14:textId="77777777" w:rsidR="00706DD1" w:rsidRPr="00BE78CA" w:rsidRDefault="00706DD1" w:rsidP="00706DD1">
      <w:pPr>
        <w:pStyle w:val="BodyText"/>
        <w:rPr>
          <w:rFonts w:cs="Calibri"/>
          <w:lang w:eastAsia="en-GB"/>
        </w:rPr>
      </w:pPr>
      <w:r w:rsidRPr="00BE78CA">
        <w:rPr>
          <w:rFonts w:cs="Calibri"/>
          <w:lang w:eastAsia="en-GB"/>
        </w:rPr>
        <w:lastRenderedPageBreak/>
        <w:t>Information about methodologies, emission factors, uncertainty, and quality control and assurance for each of the categories is discussed below.</w:t>
      </w:r>
    </w:p>
    <w:p w14:paraId="644028CA" w14:textId="6A090886" w:rsidR="00706DD1" w:rsidRPr="00BE78CA" w:rsidRDefault="00706DD1" w:rsidP="00335B51">
      <w:pPr>
        <w:pStyle w:val="Figure"/>
        <w:rPr>
          <w:rFonts w:cs="Calibri"/>
        </w:rPr>
      </w:pPr>
      <w:bookmarkStart w:id="235" w:name="_Toc321399324"/>
      <w:bookmarkStart w:id="236" w:name="_Toc384582850"/>
      <w:bookmarkStart w:id="237" w:name="_Toc443060811"/>
      <w:bookmarkStart w:id="238" w:name="_Toc447275668"/>
      <w:bookmarkStart w:id="239" w:name="_Toc481751986"/>
      <w:bookmarkStart w:id="240" w:name="_Toc36292770"/>
      <w:bookmarkStart w:id="241" w:name="_Toc68786635"/>
      <w:r w:rsidRPr="00BE78CA">
        <w:rPr>
          <w:rFonts w:cs="Calibri"/>
        </w:rPr>
        <w:t>Figure 3.3.</w:t>
      </w:r>
      <w:r w:rsidRPr="00BE78CA">
        <w:rPr>
          <w:rFonts w:cs="Calibri"/>
        </w:rPr>
        <w:fldChar w:fldCharType="begin"/>
      </w:r>
      <w:r w:rsidRPr="00BE78CA">
        <w:rPr>
          <w:rFonts w:cs="Calibri"/>
        </w:rPr>
        <w:instrText xml:space="preserve"> SEQ Figure \* ARABIC \s 2 </w:instrText>
      </w:r>
      <w:r w:rsidRPr="00BE78CA">
        <w:rPr>
          <w:rFonts w:cs="Calibri"/>
        </w:rPr>
        <w:fldChar w:fldCharType="separate"/>
      </w:r>
      <w:r w:rsidR="00B94D2F">
        <w:rPr>
          <w:rFonts w:cs="Calibri"/>
          <w:noProof/>
        </w:rPr>
        <w:t>1</w:t>
      </w:r>
      <w:r w:rsidRPr="00BE78CA">
        <w:rPr>
          <w:rFonts w:cs="Calibri"/>
        </w:rPr>
        <w:fldChar w:fldCharType="end"/>
      </w:r>
      <w:r w:rsidRPr="00BE78CA">
        <w:rPr>
          <w:rFonts w:cs="Calibri"/>
        </w:rPr>
        <w:tab/>
        <w:t>Change in New Zealand’s emissions from the fuel combustion categories (1990–</w:t>
      </w:r>
      <w:bookmarkEnd w:id="235"/>
      <w:r w:rsidRPr="00BE78CA">
        <w:rPr>
          <w:rFonts w:cs="Calibri"/>
        </w:rPr>
        <w:t>2019)</w:t>
      </w:r>
      <w:bookmarkEnd w:id="236"/>
      <w:bookmarkEnd w:id="237"/>
      <w:bookmarkEnd w:id="238"/>
      <w:bookmarkEnd w:id="239"/>
      <w:bookmarkEnd w:id="240"/>
      <w:bookmarkEnd w:id="241"/>
    </w:p>
    <w:p w14:paraId="0C69BBC1" w14:textId="77777777" w:rsidR="00706DD1" w:rsidRPr="00BE78CA" w:rsidRDefault="00706DD1" w:rsidP="00102D07">
      <w:pPr>
        <w:pStyle w:val="BodyText"/>
        <w:spacing w:before="100" w:after="0"/>
      </w:pPr>
      <w:r w:rsidRPr="00BE78CA">
        <w:rPr>
          <w:noProof/>
        </w:rPr>
        <w:drawing>
          <wp:inline distT="0" distB="0" distL="0" distR="0" wp14:anchorId="49A8F807" wp14:editId="66BE1630">
            <wp:extent cx="5399639" cy="2518721"/>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_3_3_1_change_in_emissions.png"/>
                    <pic:cNvPicPr/>
                  </pic:nvPicPr>
                  <pic:blipFill rotWithShape="1">
                    <a:blip r:embed="rId62" cstate="print">
                      <a:extLst>
                        <a:ext uri="{28A0092B-C50C-407E-A947-70E740481C1C}">
                          <a14:useLocalDpi xmlns:a14="http://schemas.microsoft.com/office/drawing/2010/main" val="0"/>
                        </a:ext>
                      </a:extLst>
                    </a:blip>
                    <a:srcRect t="1917" b="4791"/>
                    <a:stretch/>
                  </pic:blipFill>
                  <pic:spPr bwMode="auto">
                    <a:xfrm>
                      <a:off x="0" y="0"/>
                      <a:ext cx="5400675" cy="2519204"/>
                    </a:xfrm>
                    <a:prstGeom prst="rect">
                      <a:avLst/>
                    </a:prstGeom>
                    <a:ln>
                      <a:noFill/>
                    </a:ln>
                    <a:extLst>
                      <a:ext uri="{53640926-AAD7-44D8-BBD7-CCE9431645EC}">
                        <a14:shadowObscured xmlns:a14="http://schemas.microsoft.com/office/drawing/2010/main"/>
                      </a:ext>
                    </a:extLst>
                  </pic:spPr>
                </pic:pic>
              </a:graphicData>
            </a:graphic>
          </wp:inline>
        </w:drawing>
      </w:r>
    </w:p>
    <w:p w14:paraId="4F54A3F1" w14:textId="77777777" w:rsidR="00706DD1" w:rsidRPr="00BE78CA" w:rsidRDefault="00706DD1" w:rsidP="0065307D">
      <w:pPr>
        <w:pStyle w:val="Heading4"/>
      </w:pPr>
      <w:r w:rsidRPr="00BE78CA">
        <w:rPr>
          <w:lang w:eastAsia="en-GB"/>
        </w:rPr>
        <w:t>Methodological issues</w:t>
      </w:r>
    </w:p>
    <w:p w14:paraId="7D2243AB" w14:textId="77777777" w:rsidR="00706DD1" w:rsidRPr="00BE78CA" w:rsidRDefault="00706DD1" w:rsidP="00335B51">
      <w:pPr>
        <w:pStyle w:val="BodyText"/>
        <w:spacing w:before="100" w:after="100"/>
        <w:rPr>
          <w:rFonts w:cs="Calibri"/>
          <w:lang w:eastAsia="en-GB"/>
        </w:rPr>
      </w:pPr>
      <w:r w:rsidRPr="00BE78CA">
        <w:rPr>
          <w:rFonts w:cs="Calibri"/>
          <w:lang w:eastAsia="en-GB"/>
        </w:rPr>
        <w:t>Energy emissions are compiled using MBIE’s energy statistics, along with relevant New Zealand-specific emission factors. Unless otherwise noted in the relevant section, CO</w:t>
      </w:r>
      <w:r w:rsidRPr="00BE78CA">
        <w:rPr>
          <w:rFonts w:cs="Calibri"/>
          <w:vertAlign w:val="subscript"/>
          <w:lang w:eastAsia="en-GB"/>
        </w:rPr>
        <w:t>2</w:t>
      </w:r>
      <w:r w:rsidRPr="00BE78CA">
        <w:rPr>
          <w:rFonts w:cs="Calibri"/>
          <w:lang w:eastAsia="en-GB"/>
        </w:rPr>
        <w:t> emissions are calculated by multiplying a country-specific emission factor for the given fuel by the relevant activity data using an IPCC 2006 Tier 2 method. Non-CO</w:t>
      </w:r>
      <w:r w:rsidRPr="00BE78CA">
        <w:rPr>
          <w:rFonts w:cs="Calibri"/>
          <w:vertAlign w:val="subscript"/>
          <w:lang w:eastAsia="en-GB"/>
        </w:rPr>
        <w:t>2 </w:t>
      </w:r>
      <w:r w:rsidRPr="00BE78CA">
        <w:rPr>
          <w:rFonts w:cs="Calibri"/>
          <w:lang w:eastAsia="en-GB"/>
        </w:rPr>
        <w:t>emissions are calculated using IPCC 2006 default emission factors, unless otherwise noted.</w:t>
      </w:r>
    </w:p>
    <w:p w14:paraId="268ADF46" w14:textId="77777777" w:rsidR="00706DD1" w:rsidRPr="00BE78CA" w:rsidRDefault="00706DD1" w:rsidP="00706DD1">
      <w:pPr>
        <w:pStyle w:val="Heading4"/>
      </w:pPr>
      <w:r w:rsidRPr="00BE78CA">
        <w:rPr>
          <w:lang w:eastAsia="en-GB"/>
        </w:rPr>
        <w:t xml:space="preserve">Activity data </w:t>
      </w:r>
    </w:p>
    <w:p w14:paraId="38A4467D" w14:textId="77777777" w:rsidR="00706DD1" w:rsidRPr="00BE78CA" w:rsidRDefault="00706DD1" w:rsidP="00706DD1">
      <w:pPr>
        <w:pStyle w:val="Heading5"/>
        <w:spacing w:before="120"/>
        <w:rPr>
          <w:rFonts w:cs="Calibri"/>
        </w:rPr>
      </w:pPr>
      <w:r w:rsidRPr="00BE78CA">
        <w:rPr>
          <w:rFonts w:cs="Calibri"/>
          <w:lang w:eastAsia="en-GB"/>
        </w:rPr>
        <w:t>Liquid fuels</w:t>
      </w:r>
    </w:p>
    <w:p w14:paraId="1130FCE2" w14:textId="38AE175A" w:rsidR="00706DD1" w:rsidRPr="00BE78CA" w:rsidRDefault="00706DD1" w:rsidP="00706DD1">
      <w:pPr>
        <w:pStyle w:val="BodyText"/>
        <w:rPr>
          <w:rFonts w:cs="Calibri"/>
          <w:lang w:eastAsia="en-GB"/>
        </w:rPr>
      </w:pPr>
      <w:r w:rsidRPr="00BE78CA">
        <w:rPr>
          <w:rFonts w:cs="Calibri"/>
          <w:lang w:eastAsia="en-GB"/>
        </w:rPr>
        <w:t xml:space="preserve">The primary source of liquid fuel consumption data is the </w:t>
      </w:r>
      <w:r w:rsidRPr="00BE78CA">
        <w:rPr>
          <w:rFonts w:cs="Calibri"/>
          <w:iCs/>
          <w:lang w:eastAsia="en-GB"/>
        </w:rPr>
        <w:t>DPFI.</w:t>
      </w:r>
      <w:r w:rsidRPr="00BE78CA">
        <w:rPr>
          <w:rFonts w:cs="Calibri"/>
          <w:lang w:eastAsia="en-GB"/>
        </w:rPr>
        <w:t xml:space="preserve"> MBIE</w:t>
      </w:r>
      <w:r w:rsidRPr="00BE78CA" w:rsidDel="007D581E">
        <w:rPr>
          <w:rFonts w:cs="Calibri"/>
          <w:lang w:eastAsia="en-GB"/>
        </w:rPr>
        <w:t xml:space="preserve"> </w:t>
      </w:r>
      <w:r w:rsidRPr="00BE78CA">
        <w:rPr>
          <w:rFonts w:cs="Calibri"/>
          <w:lang w:eastAsia="en-GB"/>
        </w:rPr>
        <w:t>began conducting the DPFI in 2009. Before this, the survey was conducted by Stats NZ. The quarterly survey includes liquid fuel sales data collected from the four oil companies importing and selling fuel. The purpose of the survey is to provide data on the amount of fuel delivered by all oil companies to</w:t>
      </w:r>
      <w:r w:rsidR="00335B51" w:rsidRPr="00BE78CA">
        <w:rPr>
          <w:rFonts w:cs="Calibri"/>
          <w:lang w:eastAsia="en-GB"/>
        </w:rPr>
        <w:t> </w:t>
      </w:r>
      <w:r w:rsidRPr="00BE78CA">
        <w:rPr>
          <w:rFonts w:cs="Calibri"/>
          <w:lang w:eastAsia="en-GB"/>
        </w:rPr>
        <w:t xml:space="preserve">end users and other distribution outlets. Each oil company in New Zealand supplies MBIE with the volume of petroleum fuels delivered to resellers and the industrial, commercial and residential sectors. </w:t>
      </w:r>
    </w:p>
    <w:p w14:paraId="1F622AEB" w14:textId="77777777" w:rsidR="00706DD1" w:rsidRPr="00BE78CA" w:rsidRDefault="00706DD1" w:rsidP="00706DD1">
      <w:pPr>
        <w:pStyle w:val="BodyText"/>
        <w:rPr>
          <w:rFonts w:cs="Calibri"/>
          <w:lang w:eastAsia="en-GB"/>
        </w:rPr>
      </w:pPr>
      <w:r w:rsidRPr="00BE78CA">
        <w:rPr>
          <w:rFonts w:cs="Calibri"/>
          <w:lang w:eastAsia="en-GB"/>
        </w:rPr>
        <w:t>Petroleum fuels data are currently collected in volume units (thousand litres). Before 2009, data were collected in metric tonnes. Year-specific calorific values are used for all liquid fuels, reflecting changes in liquid fuel properties over time. Annual fuel property data are provided by New Zealand’s sole refinery.</w:t>
      </w:r>
    </w:p>
    <w:p w14:paraId="1415316C" w14:textId="77777777" w:rsidR="00706DD1" w:rsidRPr="00BE78CA" w:rsidRDefault="00706DD1" w:rsidP="00706DD1">
      <w:pPr>
        <w:pStyle w:val="BodyText"/>
        <w:rPr>
          <w:rFonts w:cs="Calibri"/>
          <w:lang w:eastAsia="en-GB"/>
        </w:rPr>
      </w:pPr>
      <w:r w:rsidRPr="00BE78CA">
        <w:rPr>
          <w:rFonts w:cs="Calibri"/>
          <w:lang w:eastAsia="en-GB"/>
        </w:rPr>
        <w:t>Emissions from fuel sold for use in international transport (e.g., international bunker fuels) are reported separately as a memo item, as required (IPCC, 2006).</w:t>
      </w:r>
    </w:p>
    <w:p w14:paraId="0C15AA9E" w14:textId="77777777" w:rsidR="00706DD1" w:rsidRPr="00BE78CA" w:rsidRDefault="00706DD1" w:rsidP="00706DD1">
      <w:pPr>
        <w:pStyle w:val="BodyText"/>
        <w:rPr>
          <w:rFonts w:cs="Calibri"/>
        </w:rPr>
      </w:pPr>
      <w:r w:rsidRPr="00BE78CA">
        <w:rPr>
          <w:rFonts w:cs="Calibri"/>
        </w:rPr>
        <w:t>An MBIE-commissioned survey in 2008 on liquid fuel use (MBIE</w:t>
      </w:r>
      <w:r w:rsidRPr="00BE78CA">
        <w:rPr>
          <w:rFonts w:cs="Calibri"/>
          <w:lang w:eastAsia="en-GB"/>
        </w:rPr>
        <w:t>, 2008</w:t>
      </w:r>
      <w:r w:rsidRPr="00BE78CA">
        <w:rPr>
          <w:rFonts w:cs="Calibri"/>
        </w:rPr>
        <w:t>) found that there were, at the time, 19 independent fuel distribution companies operating in New Zealand that resell fuel bought wholesale from the oil companies. Furthermore, it found that this on</w:t>
      </w:r>
      <w:r w:rsidRPr="00BE78CA">
        <w:rPr>
          <w:rFonts w:cs="Calibri"/>
        </w:rPr>
        <w:noBreakHyphen/>
        <w:t xml:space="preserve">selling resulted in over-allocation of liquid fuel activity data to the </w:t>
      </w:r>
      <w:r w:rsidRPr="00BE78CA">
        <w:rPr>
          <w:rFonts w:cs="Calibri"/>
          <w:i/>
        </w:rPr>
        <w:t>Transport</w:t>
      </w:r>
      <w:r w:rsidRPr="00BE78CA">
        <w:rPr>
          <w:rFonts w:cs="Calibri"/>
        </w:rPr>
        <w:t xml:space="preserve"> category, because most fuel purchased from the distribution companies was used by the </w:t>
      </w:r>
      <w:r w:rsidRPr="00BE78CA">
        <w:rPr>
          <w:rFonts w:cs="Calibri"/>
          <w:i/>
        </w:rPr>
        <w:t>Agriculture/forestry/fishing</w:t>
      </w:r>
      <w:r w:rsidRPr="00BE78CA">
        <w:rPr>
          <w:rFonts w:cs="Calibri"/>
        </w:rPr>
        <w:t xml:space="preserve"> </w:t>
      </w:r>
      <w:r w:rsidRPr="00BE78CA">
        <w:rPr>
          <w:rFonts w:cs="Calibri"/>
        </w:rPr>
        <w:lastRenderedPageBreak/>
        <w:t>category. The study recommended starting an annual survey of deliveries of gasoline and diesel to each sector by independent distributors. These data were then used to correctly allocate sales of liquid fuels by small resellers to the appropriate sector.</w:t>
      </w:r>
    </w:p>
    <w:p w14:paraId="363F3396" w14:textId="77777777" w:rsidR="00706DD1" w:rsidRPr="00BE78CA" w:rsidRDefault="00706DD1" w:rsidP="00706DD1">
      <w:pPr>
        <w:pStyle w:val="BodyText"/>
        <w:rPr>
          <w:rFonts w:cs="Calibri"/>
        </w:rPr>
      </w:pPr>
      <w:r w:rsidRPr="00BE78CA">
        <w:rPr>
          <w:rFonts w:cs="Calibri"/>
        </w:rPr>
        <w:t xml:space="preserve">The </w:t>
      </w:r>
      <w:r w:rsidRPr="00BE78CA">
        <w:rPr>
          <w:rFonts w:cs="Calibri"/>
          <w:i/>
        </w:rPr>
        <w:t>Annual Liquid Fuel Survey</w:t>
      </w:r>
      <w:r w:rsidRPr="00BE78CA">
        <w:rPr>
          <w:rFonts w:cs="Calibri"/>
        </w:rPr>
        <w:t xml:space="preserve"> was started in 2009 (for the 2008 calendar year) and found that the independent fuel distribution companies delivered 18 per cent of New Zealand’s total diesel consumption and 3 per cent of New Zealand’s total gasoline consumption. Using these data, each company’s deliveries between 1990 and 2006 were estimated, because no information was available for these years. The report </w:t>
      </w:r>
      <w:r w:rsidRPr="00BE78CA">
        <w:rPr>
          <w:rFonts w:cs="Calibri"/>
          <w:i/>
        </w:rPr>
        <w:t>Delivering the Diesel – Liquid Fuel Deliveries in New Zealand 1990–2008</w:t>
      </w:r>
      <w:r w:rsidRPr="00BE78CA">
        <w:rPr>
          <w:rFonts w:cs="Calibri"/>
        </w:rPr>
        <w:t xml:space="preserve"> (MBIE, 2010) outlines in further detail the methodology employed to perform this calculation.</w:t>
      </w:r>
    </w:p>
    <w:p w14:paraId="31AAC035" w14:textId="77777777" w:rsidR="00706DD1" w:rsidRPr="00BE78CA" w:rsidRDefault="00706DD1" w:rsidP="00706DD1">
      <w:pPr>
        <w:pStyle w:val="Heading5"/>
        <w:spacing w:before="160"/>
        <w:rPr>
          <w:rFonts w:cs="Calibri"/>
        </w:rPr>
      </w:pPr>
      <w:r w:rsidRPr="00BE78CA">
        <w:rPr>
          <w:rFonts w:cs="Calibri"/>
          <w:lang w:eastAsia="en-GB"/>
        </w:rPr>
        <w:t>Solid fuels</w:t>
      </w:r>
    </w:p>
    <w:p w14:paraId="7E9C8C5D" w14:textId="49A8E3EF" w:rsidR="00706DD1" w:rsidRPr="00BE78CA" w:rsidRDefault="00706DD1" w:rsidP="001E2AE3">
      <w:pPr>
        <w:pStyle w:val="BodyText"/>
        <w:spacing w:before="100" w:after="100"/>
        <w:rPr>
          <w:rFonts w:cs="Calibri"/>
          <w:lang w:eastAsia="en-GB"/>
        </w:rPr>
      </w:pPr>
      <w:r w:rsidRPr="00BE78CA">
        <w:rPr>
          <w:rFonts w:cs="Calibri"/>
          <w:lang w:eastAsia="en-GB"/>
        </w:rPr>
        <w:t xml:space="preserve">Since 2009, MBIE has conducted the </w:t>
      </w:r>
      <w:r w:rsidRPr="00BE78CA">
        <w:rPr>
          <w:rFonts w:cs="Calibri"/>
          <w:i/>
          <w:iCs/>
          <w:lang w:eastAsia="en-GB"/>
        </w:rPr>
        <w:t>New Zealand Quarterly Statistical Return of Coal Production and Sales</w:t>
      </w:r>
      <w:r w:rsidRPr="00BE78CA">
        <w:rPr>
          <w:rFonts w:cs="Calibri"/>
          <w:lang w:eastAsia="en-GB"/>
        </w:rPr>
        <w:t xml:space="preserve">, previously conducted by </w:t>
      </w:r>
      <w:r w:rsidRPr="00BE78CA">
        <w:rPr>
          <w:rFonts w:cs="Calibri"/>
        </w:rPr>
        <w:t>Stats NZ</w:t>
      </w:r>
      <w:r w:rsidRPr="00BE78CA">
        <w:rPr>
          <w:rFonts w:cs="Calibri"/>
          <w:lang w:eastAsia="en-GB"/>
        </w:rPr>
        <w:t>. The survey covers coal produced and</w:t>
      </w:r>
      <w:r w:rsidR="00D10E6B" w:rsidRPr="00BE78CA">
        <w:rPr>
          <w:rFonts w:cs="Calibri"/>
          <w:lang w:eastAsia="en-GB"/>
        </w:rPr>
        <w:t> </w:t>
      </w:r>
      <w:r w:rsidRPr="00BE78CA">
        <w:rPr>
          <w:rFonts w:cs="Calibri"/>
          <w:lang w:eastAsia="en-GB"/>
        </w:rPr>
        <w:t>sold by coal producers in New Zealand. The three grades of coal surveyed are bituminous, sub</w:t>
      </w:r>
      <w:r w:rsidRPr="00BE78CA">
        <w:rPr>
          <w:rFonts w:cs="Calibri"/>
          <w:lang w:eastAsia="en-GB"/>
        </w:rPr>
        <w:noBreakHyphen/>
        <w:t>bituminous and lignite.</w:t>
      </w:r>
    </w:p>
    <w:p w14:paraId="56C1C731" w14:textId="6ED316DD" w:rsidR="00706DD1" w:rsidRPr="00BE78CA" w:rsidRDefault="00706DD1" w:rsidP="001E2AE3">
      <w:pPr>
        <w:pStyle w:val="BodyText"/>
        <w:spacing w:before="100" w:after="100"/>
        <w:rPr>
          <w:rFonts w:cs="Calibri"/>
          <w:lang w:eastAsia="en-GB"/>
        </w:rPr>
      </w:pPr>
      <w:r w:rsidRPr="00BE78CA">
        <w:rPr>
          <w:rFonts w:cs="Calibri"/>
          <w:lang w:eastAsia="en-GB"/>
        </w:rPr>
        <w:t xml:space="preserve">The </w:t>
      </w:r>
      <w:r w:rsidRPr="00BE78CA">
        <w:rPr>
          <w:rFonts w:cs="Calibri"/>
          <w:i/>
          <w:iCs/>
          <w:lang w:eastAsia="en-GB"/>
        </w:rPr>
        <w:t xml:space="preserve">Quarterly Statistical Return of Coal Production and Sales </w:t>
      </w:r>
      <w:r w:rsidRPr="00BE78CA">
        <w:rPr>
          <w:rFonts w:cs="Calibri"/>
          <w:lang w:eastAsia="en-GB"/>
        </w:rPr>
        <w:t>splits coal sold into over 20 industries, using the Australian and New Zealand Standard Industrial Classification 2006</w:t>
      </w:r>
      <w:r w:rsidR="00D7586F" w:rsidRPr="00BE78CA">
        <w:rPr>
          <w:rFonts w:cs="Calibri"/>
          <w:lang w:eastAsia="en-GB"/>
        </w:rPr>
        <w:t> </w:t>
      </w:r>
      <w:r w:rsidRPr="00BE78CA">
        <w:rPr>
          <w:rFonts w:cs="Calibri"/>
          <w:lang w:eastAsia="en-GB"/>
        </w:rPr>
        <w:t xml:space="preserve">(Australian Bureau of Statistics and Statistics New Zealand, 2006). Before 2009, when </w:t>
      </w:r>
      <w:r w:rsidRPr="00BE78CA">
        <w:rPr>
          <w:rFonts w:cs="Calibri"/>
        </w:rPr>
        <w:t>Stats NZ</w:t>
      </w:r>
      <w:r w:rsidR="00D10E6B" w:rsidRPr="00BE78CA">
        <w:rPr>
          <w:rFonts w:cs="Calibri"/>
          <w:lang w:eastAsia="en-GB"/>
        </w:rPr>
        <w:t xml:space="preserve"> </w:t>
      </w:r>
      <w:r w:rsidRPr="00BE78CA">
        <w:rPr>
          <w:rFonts w:cs="Calibri"/>
          <w:lang w:eastAsia="en-GB"/>
        </w:rPr>
        <w:t xml:space="preserve">ran the survey, coal sales were surveyed for only seven higher level sectors. </w:t>
      </w:r>
    </w:p>
    <w:p w14:paraId="630382EF" w14:textId="77777777" w:rsidR="00706DD1" w:rsidRPr="00BE78CA" w:rsidRDefault="00706DD1" w:rsidP="001E2AE3">
      <w:pPr>
        <w:pStyle w:val="BodyText"/>
        <w:spacing w:before="100" w:after="100"/>
        <w:rPr>
          <w:rFonts w:cs="Calibri"/>
          <w:lang w:eastAsia="en-GB"/>
        </w:rPr>
      </w:pPr>
      <w:r w:rsidRPr="00BE78CA">
        <w:rPr>
          <w:rFonts w:cs="Calibri"/>
          <w:lang w:eastAsia="en-GB"/>
        </w:rPr>
        <w:t>All solid fuel used for iron and steel manufacture is reported under the IPPU sector, to avoid double counting.</w:t>
      </w:r>
    </w:p>
    <w:p w14:paraId="18C2E664" w14:textId="77777777" w:rsidR="00706DD1" w:rsidRPr="00BE78CA" w:rsidRDefault="00706DD1" w:rsidP="00706DD1">
      <w:pPr>
        <w:pStyle w:val="Heading5"/>
        <w:spacing w:before="160"/>
        <w:rPr>
          <w:rFonts w:cs="Calibri"/>
          <w:lang w:eastAsia="en-GB"/>
        </w:rPr>
      </w:pPr>
      <w:r w:rsidRPr="00BE78CA">
        <w:rPr>
          <w:rFonts w:cs="Calibri"/>
          <w:lang w:eastAsia="en-GB"/>
        </w:rPr>
        <w:t>Gaseous fuels</w:t>
      </w:r>
    </w:p>
    <w:p w14:paraId="080D3C75" w14:textId="77777777" w:rsidR="00706DD1" w:rsidRPr="00BE78CA" w:rsidRDefault="00706DD1" w:rsidP="001E2AE3">
      <w:pPr>
        <w:pStyle w:val="BodyText"/>
        <w:spacing w:before="100" w:after="100"/>
        <w:rPr>
          <w:rFonts w:cs="Calibri"/>
          <w:lang w:eastAsia="en-GB"/>
        </w:rPr>
      </w:pPr>
      <w:r w:rsidRPr="00BE78CA">
        <w:rPr>
          <w:rFonts w:cs="Calibri"/>
          <w:lang w:eastAsia="en-GB"/>
        </w:rPr>
        <w:t xml:space="preserve">MBIE receives activity data on gaseous fuels from a variety of sources. Individual natural gas field operators provide information on the amount of gas extracted, vented, flared and for own use at each gas field. Information on processed gas, including the Kapuni gas field, and information on gas transmission and distribution throughout New Zealand, is provided by the operator of the Kapuni Gas Treatment Plant and gas distribution networks. </w:t>
      </w:r>
    </w:p>
    <w:p w14:paraId="7ED51BD5" w14:textId="77777777" w:rsidR="00706DD1" w:rsidRPr="00BE78CA" w:rsidRDefault="00706DD1" w:rsidP="001E2AE3">
      <w:pPr>
        <w:pStyle w:val="BodyText"/>
        <w:spacing w:before="100" w:after="100"/>
        <w:rPr>
          <w:rFonts w:cs="Calibri"/>
          <w:lang w:eastAsia="en-GB"/>
        </w:rPr>
      </w:pPr>
      <w:r w:rsidRPr="00BE78CA">
        <w:rPr>
          <w:rFonts w:cs="Calibri"/>
          <w:lang w:eastAsia="en-GB"/>
        </w:rPr>
        <w:t>Large users of gas, including electricity generation companies, provide their activity data directly to MBIE. Finally, MBIE surveys retailers and wholesalers on a quarterly basis to obtain activity data from industrial, commercial and residential natural gas users.</w:t>
      </w:r>
    </w:p>
    <w:p w14:paraId="5099B795" w14:textId="77777777" w:rsidR="00706DD1" w:rsidRPr="00BE78CA" w:rsidRDefault="00706DD1" w:rsidP="001E2AE3">
      <w:pPr>
        <w:pStyle w:val="BodyText"/>
        <w:spacing w:before="100" w:after="100"/>
        <w:rPr>
          <w:rFonts w:cs="Calibri"/>
          <w:lang w:eastAsia="en-GB"/>
        </w:rPr>
      </w:pPr>
      <w:r w:rsidRPr="00BE78CA">
        <w:rPr>
          <w:rFonts w:cs="Calibri"/>
          <w:lang w:eastAsia="en-GB"/>
        </w:rPr>
        <w:t xml:space="preserve">In response to expert review team (ERT) recommendations, all fuel combustion for electricity auto-production was disaggregated into the appropriate sector, rather than reported in 1.A.2.g </w:t>
      </w:r>
      <w:r w:rsidRPr="00BE78CA">
        <w:rPr>
          <w:rFonts w:cs="Calibri"/>
          <w:i/>
          <w:lang w:eastAsia="en-GB"/>
        </w:rPr>
        <w:t>Manufacturing industries and construction – other</w:t>
      </w:r>
      <w:r w:rsidRPr="00BE78CA">
        <w:rPr>
          <w:rFonts w:cs="Calibri"/>
          <w:lang w:eastAsia="en-GB"/>
        </w:rPr>
        <w:t>. This improvement was implemented in the 2013 submission and resulted in a reduction in unallocated industrial emissions and increases in various manufacturing and construction categories. For further information, see section 3.3.7.</w:t>
      </w:r>
    </w:p>
    <w:p w14:paraId="3424BD0D" w14:textId="77777777" w:rsidR="00706DD1" w:rsidRPr="00BE78CA" w:rsidRDefault="00706DD1" w:rsidP="00706DD1">
      <w:pPr>
        <w:pStyle w:val="Heading5"/>
        <w:spacing w:before="160"/>
        <w:rPr>
          <w:rFonts w:cs="Calibri"/>
          <w:lang w:eastAsia="en-GB"/>
        </w:rPr>
      </w:pPr>
      <w:r w:rsidRPr="00BE78CA">
        <w:rPr>
          <w:rFonts w:cs="Calibri"/>
          <w:lang w:eastAsia="en-GB"/>
        </w:rPr>
        <w:t>Biomass</w:t>
      </w:r>
    </w:p>
    <w:p w14:paraId="0075611C" w14:textId="77777777" w:rsidR="00706DD1" w:rsidRPr="00BE78CA" w:rsidRDefault="00706DD1" w:rsidP="00706DD1">
      <w:pPr>
        <w:pStyle w:val="BodyText"/>
        <w:spacing w:after="100"/>
        <w:rPr>
          <w:rFonts w:cs="Calibri"/>
          <w:lang w:eastAsia="en-GB"/>
        </w:rPr>
      </w:pPr>
      <w:r w:rsidRPr="00BE78CA">
        <w:rPr>
          <w:rFonts w:cs="Calibri"/>
          <w:lang w:eastAsia="en-GB"/>
        </w:rPr>
        <w:t>Activity data for the use of biomass come from several different sources. Electricity and co</w:t>
      </w:r>
      <w:r w:rsidRPr="00BE78CA">
        <w:rPr>
          <w:rFonts w:cs="Calibri"/>
          <w:lang w:eastAsia="en-GB"/>
        </w:rPr>
        <w:noBreakHyphen/>
        <w:t xml:space="preserve">generation data are received by MBIE from electricity generators. </w:t>
      </w:r>
    </w:p>
    <w:p w14:paraId="321B2A4B" w14:textId="77777777" w:rsidR="00706DD1" w:rsidRPr="00BE78CA" w:rsidRDefault="00706DD1" w:rsidP="00706DD1">
      <w:pPr>
        <w:pStyle w:val="Bullet"/>
        <w:spacing w:after="100"/>
        <w:rPr>
          <w:rFonts w:cs="Calibri"/>
        </w:rPr>
      </w:pPr>
      <w:r w:rsidRPr="00BE78CA">
        <w:rPr>
          <w:rFonts w:cs="Calibri"/>
        </w:rPr>
        <w:t>New Zealand reports emissions from landfill gas, sewage waste gas, sludge gas (derived from cattle effluent at the Tirau dairy processing facility) and commercial biogas use. Before 2013, New Zealand only reported emissions from landfill gas, sewage waste gas and commercial biogas use.</w:t>
      </w:r>
    </w:p>
    <w:p w14:paraId="57323EC9" w14:textId="77777777" w:rsidR="00706DD1" w:rsidRPr="00BE78CA" w:rsidRDefault="00706DD1" w:rsidP="00706DD1">
      <w:pPr>
        <w:pStyle w:val="Bullet"/>
        <w:spacing w:after="100"/>
        <w:rPr>
          <w:rFonts w:cs="Calibri"/>
        </w:rPr>
      </w:pPr>
      <w:r w:rsidRPr="00BE78CA">
        <w:rPr>
          <w:rFonts w:cs="Calibri"/>
        </w:rPr>
        <w:lastRenderedPageBreak/>
        <w:t>New Zealand’s gas biomass emissions are estimates based on electricity generation data (some of which are also estimated). No direct data are available on gas biomass emissions from landfills or sewage treatment facilities. See below for details of the estimation methodology of landfill gas and sewage waste gas.</w:t>
      </w:r>
    </w:p>
    <w:p w14:paraId="3D9F8B8F" w14:textId="77777777" w:rsidR="00706DD1" w:rsidRPr="00BE78CA" w:rsidRDefault="00706DD1" w:rsidP="00706DD1">
      <w:pPr>
        <w:pStyle w:val="Bullet"/>
        <w:spacing w:after="100"/>
        <w:rPr>
          <w:rFonts w:cs="Calibri"/>
        </w:rPr>
      </w:pPr>
      <w:r w:rsidRPr="00BE78CA">
        <w:rPr>
          <w:rFonts w:cs="Calibri"/>
        </w:rPr>
        <w:t>Gas biomass is also thought to be used by some local government councils; however, MBIE has no information on this use. At some point, information was collected, but the small quantities and materially insignificant emissions mean that MBIE has not focused on collecting these data for many years. A standing estimate (unchanged) has been included since 2006, but the source of this number is unknown. Emissions continue to be reported in this category to ensure no under-reporting occurs, given there is anecdotally some use outside of electricity generation and industry.</w:t>
      </w:r>
    </w:p>
    <w:p w14:paraId="2CB9C9B6" w14:textId="77777777" w:rsidR="00706DD1" w:rsidRPr="00BE78CA" w:rsidRDefault="00706DD1" w:rsidP="00706DD1">
      <w:pPr>
        <w:pStyle w:val="Bullet"/>
        <w:spacing w:after="100"/>
        <w:rPr>
          <w:rFonts w:cs="Calibri"/>
        </w:rPr>
      </w:pPr>
      <w:r w:rsidRPr="00BE78CA">
        <w:rPr>
          <w:rFonts w:cs="Calibri"/>
        </w:rPr>
        <w:t>No information is collected on flared gas biomass.</w:t>
      </w:r>
    </w:p>
    <w:p w14:paraId="6E7C2002" w14:textId="77777777" w:rsidR="00706DD1" w:rsidRPr="00BE78CA" w:rsidRDefault="00706DD1" w:rsidP="00706DD1">
      <w:pPr>
        <w:pStyle w:val="Bullet"/>
        <w:rPr>
          <w:rFonts w:cs="Calibri"/>
        </w:rPr>
      </w:pPr>
      <w:r w:rsidRPr="00BE78CA">
        <w:rPr>
          <w:rFonts w:cs="Calibri"/>
        </w:rPr>
        <w:t>The only gas biomass direct-use data that have been collected are for the Tirau dairy processing facility (and only one data point, which has been used for all years where it is believed the plant has emitted).</w:t>
      </w:r>
    </w:p>
    <w:p w14:paraId="2AE4E536" w14:textId="77777777" w:rsidR="00706DD1" w:rsidRPr="00BE78CA" w:rsidRDefault="00706DD1" w:rsidP="00706DD1">
      <w:pPr>
        <w:pStyle w:val="Heading5"/>
        <w:spacing w:before="160"/>
        <w:rPr>
          <w:rFonts w:cs="Calibri"/>
        </w:rPr>
      </w:pPr>
      <w:r w:rsidRPr="00BE78CA">
        <w:rPr>
          <w:rFonts w:cs="Calibri"/>
        </w:rPr>
        <w:t>Gas biomass emissions estimates are based on electricity generation data</w:t>
      </w:r>
    </w:p>
    <w:p w14:paraId="2A3A2574" w14:textId="1D28A315" w:rsidR="00706DD1" w:rsidRPr="00BE78CA" w:rsidRDefault="00706DD1" w:rsidP="00706DD1">
      <w:pPr>
        <w:pStyle w:val="Bullet"/>
        <w:spacing w:before="120"/>
        <w:rPr>
          <w:rFonts w:cs="Calibri"/>
        </w:rPr>
      </w:pPr>
      <w:r w:rsidRPr="00BE78CA">
        <w:rPr>
          <w:rFonts w:cs="Calibri"/>
        </w:rPr>
        <w:t xml:space="preserve">Electricity generation data are collected for 15 individual plants. </w:t>
      </w:r>
      <w:r w:rsidR="0021371A" w:rsidRPr="00BE78CA">
        <w:rPr>
          <w:rFonts w:cs="Calibri"/>
        </w:rPr>
        <w:t>On</w:t>
      </w:r>
      <w:r w:rsidRPr="00BE78CA">
        <w:rPr>
          <w:rFonts w:cs="Calibri"/>
        </w:rPr>
        <w:t xml:space="preserve"> 31 December 2012, New Zealand gas biomass generation was known to include the following: </w:t>
      </w:r>
    </w:p>
    <w:p w14:paraId="13BBAF01" w14:textId="77777777" w:rsidR="00706DD1" w:rsidRPr="00BE78CA" w:rsidRDefault="00706DD1" w:rsidP="00706DD1">
      <w:pPr>
        <w:pStyle w:val="Sub-bullet"/>
        <w:rPr>
          <w:rFonts w:cs="Calibri"/>
        </w:rPr>
      </w:pPr>
      <w:r w:rsidRPr="00BE78CA">
        <w:rPr>
          <w:rFonts w:cs="Calibri"/>
        </w:rPr>
        <w:t>11 landfill facilities, totalling 29.4 megawatts (MW). These facilities are electricity only (some landfill gas was used to heat a swimming pool in Christchurch before the Christchurch earthquake of February 2011, but that facility suffered major earthquake damage and has been removed. A new trigeneration facility has since been built)</w:t>
      </w:r>
    </w:p>
    <w:p w14:paraId="2235875E" w14:textId="77777777" w:rsidR="00706DD1" w:rsidRPr="00BE78CA" w:rsidRDefault="00706DD1" w:rsidP="00706DD1">
      <w:pPr>
        <w:pStyle w:val="Sub-bullet"/>
        <w:rPr>
          <w:rFonts w:cs="Calibri"/>
        </w:rPr>
      </w:pPr>
      <w:r w:rsidRPr="00BE78CA">
        <w:rPr>
          <w:rFonts w:cs="Calibri"/>
        </w:rPr>
        <w:t>four wastewater treatment facilities, totalling 11.3 MW. These are all co</w:t>
      </w:r>
      <w:r w:rsidRPr="00BE78CA">
        <w:rPr>
          <w:rFonts w:cs="Calibri"/>
        </w:rPr>
        <w:noBreakHyphen/>
        <w:t>generation facilities that provide heat and electricity for the processing of sewage.</w:t>
      </w:r>
    </w:p>
    <w:p w14:paraId="7A96D7FE" w14:textId="77777777" w:rsidR="00706DD1" w:rsidRPr="00BE78CA" w:rsidRDefault="00706DD1" w:rsidP="001E2AE3">
      <w:pPr>
        <w:pStyle w:val="Sub-bullet"/>
      </w:pPr>
      <w:r w:rsidRPr="00BE78CA">
        <w:t>Note: Accurate information is not available on the exact type of generation plant used at these individual facilities, although it is known to be a combination of gas turbines, internal combustion engines and some steam turbine facilities.</w:t>
      </w:r>
    </w:p>
    <w:p w14:paraId="07E929FB" w14:textId="77777777" w:rsidR="00706DD1" w:rsidRPr="00BE78CA" w:rsidRDefault="00706DD1" w:rsidP="00706DD1">
      <w:pPr>
        <w:pStyle w:val="Bullet"/>
        <w:spacing w:after="100"/>
        <w:rPr>
          <w:rFonts w:cs="Calibri"/>
        </w:rPr>
      </w:pPr>
      <w:r w:rsidRPr="00BE78CA">
        <w:rPr>
          <w:rFonts w:cs="Calibri"/>
        </w:rPr>
        <w:t>Generation data are collected for each year ending 31 March, with generation assumed to be distributed equally across quarters to estimate December year-end generation.</w:t>
      </w:r>
    </w:p>
    <w:p w14:paraId="16FC3BA8" w14:textId="77777777" w:rsidR="00706DD1" w:rsidRPr="00BE78CA" w:rsidRDefault="00706DD1" w:rsidP="00066E5A">
      <w:pPr>
        <w:pStyle w:val="Sub-bullet"/>
      </w:pPr>
      <w:r w:rsidRPr="00BE78CA">
        <w:t>Generation data are usually collected from all 15 plants. However, in some years, estimates are made based on the previous year’s generation.</w:t>
      </w:r>
    </w:p>
    <w:p w14:paraId="65895BB8" w14:textId="77777777" w:rsidR="00706DD1" w:rsidRPr="00BE78CA" w:rsidRDefault="00706DD1" w:rsidP="00706DD1">
      <w:pPr>
        <w:pStyle w:val="Bullet"/>
        <w:spacing w:after="100"/>
        <w:rPr>
          <w:rFonts w:cs="Calibri"/>
        </w:rPr>
      </w:pPr>
      <w:r w:rsidRPr="00BE78CA">
        <w:rPr>
          <w:rFonts w:cs="Calibri"/>
        </w:rPr>
        <w:t xml:space="preserve">Fuel input information for generation is not collected for small generators (those less than 10 MW), to minimise the burden on respondents and ensure MBIE receives some information rather than nothing. Estimates of fuel input are made on the assumption of 30 per cent efficiency based on gross generation. </w:t>
      </w:r>
    </w:p>
    <w:p w14:paraId="61908AD1" w14:textId="77777777" w:rsidR="00706DD1" w:rsidRPr="00BE78CA" w:rsidRDefault="00706DD1" w:rsidP="00706DD1">
      <w:pPr>
        <w:pStyle w:val="Sub-bullet"/>
        <w:spacing w:after="100"/>
        <w:rPr>
          <w:rFonts w:cs="Calibri"/>
        </w:rPr>
      </w:pPr>
      <w:r w:rsidRPr="00BE78CA">
        <w:rPr>
          <w:rFonts w:cs="Calibri"/>
        </w:rPr>
        <w:t>All generation data collected are assumed to be net generation – that is, parasitic load has already been excluded. They are then scaled up using default net to gross generation factors sourced from the International Energy Agency. For all thermal generation, the net to gross factor is assumed to be 1.07 (i.e., an additional 7 per cent of electricity is generated but used within the plant itself). Fuel input estimates are then calculated based on the gross generation using a default electrical efficiency factor of 30 per cent. This estimated quantity of biogas is used as total biogas for energy purposes. Biogas use estimates for landfill gas and sewage waste gas are calculated and reported in petajoules (PJ).</w:t>
      </w:r>
    </w:p>
    <w:p w14:paraId="012A6020" w14:textId="77777777" w:rsidR="00706DD1" w:rsidRPr="00BE78CA" w:rsidRDefault="00706DD1" w:rsidP="00706DD1">
      <w:pPr>
        <w:pStyle w:val="Sub-bullet"/>
        <w:spacing w:after="100"/>
        <w:rPr>
          <w:rFonts w:cs="Calibri"/>
        </w:rPr>
      </w:pPr>
      <w:r w:rsidRPr="00BE78CA">
        <w:rPr>
          <w:rFonts w:cs="Calibri"/>
        </w:rPr>
        <w:lastRenderedPageBreak/>
        <w:t>Energy quantities of gas biomass are then converted into greenhouse gas emissions using default IPCC emission factors. These factors are as follows:</w:t>
      </w:r>
    </w:p>
    <w:p w14:paraId="51B66A30" w14:textId="77777777" w:rsidR="00706DD1" w:rsidRPr="00BE78CA" w:rsidRDefault="00706DD1" w:rsidP="00FA2314">
      <w:pPr>
        <w:pStyle w:val="Bullet"/>
        <w:numPr>
          <w:ilvl w:val="0"/>
          <w:numId w:val="24"/>
        </w:numPr>
        <w:spacing w:after="100"/>
        <w:ind w:left="1191"/>
        <w:rPr>
          <w:rFonts w:cs="Calibri"/>
        </w:rPr>
      </w:pPr>
      <w:r w:rsidRPr="00BE78CA">
        <w:rPr>
          <w:rFonts w:cs="Calibri"/>
        </w:rPr>
        <w:t>CO</w:t>
      </w:r>
      <w:r w:rsidRPr="00BE78CA">
        <w:rPr>
          <w:rFonts w:cs="Calibri"/>
          <w:vertAlign w:val="subscript"/>
        </w:rPr>
        <w:t>2</w:t>
      </w:r>
      <w:r w:rsidRPr="00BE78CA">
        <w:rPr>
          <w:rFonts w:cs="Calibri"/>
        </w:rPr>
        <w:t xml:space="preserve"> – 13.4</w:t>
      </w:r>
      <w:r w:rsidRPr="00BE78CA">
        <w:rPr>
          <w:rFonts w:cs="Calibri"/>
          <w:sz w:val="16"/>
        </w:rPr>
        <w:t xml:space="preserve"> </w:t>
      </w:r>
      <w:r w:rsidRPr="00BE78CA">
        <w:rPr>
          <w:rFonts w:cs="Calibri"/>
        </w:rPr>
        <w:t>kt carbon/PJ or 49.17</w:t>
      </w:r>
      <w:r w:rsidRPr="00BE78CA">
        <w:rPr>
          <w:rFonts w:cs="Calibri"/>
          <w:sz w:val="16"/>
        </w:rPr>
        <w:t xml:space="preserve"> </w:t>
      </w:r>
      <w:r w:rsidRPr="00BE78CA">
        <w:rPr>
          <w:rFonts w:cs="Calibri"/>
        </w:rPr>
        <w:t>kt CO</w:t>
      </w:r>
      <w:r w:rsidRPr="00BE78CA">
        <w:rPr>
          <w:rFonts w:cs="Calibri"/>
          <w:vertAlign w:val="subscript"/>
        </w:rPr>
        <w:t>2</w:t>
      </w:r>
      <w:r w:rsidRPr="00BE78CA">
        <w:rPr>
          <w:rFonts w:cs="Calibri"/>
        </w:rPr>
        <w:t>/PJ. This is derived from the IPCC default net emission factor (it is assumed that the net emission factor is 10 per cent lower than the gross emission factor)</w:t>
      </w:r>
    </w:p>
    <w:p w14:paraId="5E14A6FA" w14:textId="77777777" w:rsidR="00706DD1" w:rsidRPr="00BE78CA" w:rsidRDefault="00706DD1" w:rsidP="00FA2314">
      <w:pPr>
        <w:pStyle w:val="Bullet"/>
        <w:numPr>
          <w:ilvl w:val="0"/>
          <w:numId w:val="24"/>
        </w:numPr>
        <w:spacing w:after="100"/>
        <w:ind w:left="1191"/>
        <w:rPr>
          <w:rFonts w:cs="Calibri"/>
        </w:rPr>
      </w:pPr>
      <w:r w:rsidRPr="00BE78CA">
        <w:rPr>
          <w:rFonts w:cs="Calibri"/>
        </w:rPr>
        <w:t>methane (CH</w:t>
      </w:r>
      <w:r w:rsidRPr="00BE78CA">
        <w:rPr>
          <w:rFonts w:cs="Calibri"/>
          <w:vertAlign w:val="subscript"/>
        </w:rPr>
        <w:t>4</w:t>
      </w:r>
      <w:r w:rsidRPr="00BE78CA">
        <w:rPr>
          <w:rFonts w:cs="Calibri"/>
        </w:rPr>
        <w:t>) – 0.9 t/PJ</w:t>
      </w:r>
    </w:p>
    <w:p w14:paraId="5956AD92" w14:textId="77777777" w:rsidR="00706DD1" w:rsidRPr="00BE78CA" w:rsidRDefault="00706DD1" w:rsidP="00FA2314">
      <w:pPr>
        <w:pStyle w:val="Bullet"/>
        <w:numPr>
          <w:ilvl w:val="0"/>
          <w:numId w:val="24"/>
        </w:numPr>
        <w:spacing w:after="100"/>
        <w:ind w:left="1191"/>
        <w:rPr>
          <w:rFonts w:cs="Calibri"/>
        </w:rPr>
      </w:pPr>
      <w:r w:rsidRPr="00BE78CA">
        <w:rPr>
          <w:rFonts w:cs="Calibri"/>
        </w:rPr>
        <w:t>nitrous oxide (N</w:t>
      </w:r>
      <w:r w:rsidRPr="00BE78CA">
        <w:rPr>
          <w:rFonts w:cs="Calibri"/>
          <w:vertAlign w:val="subscript"/>
        </w:rPr>
        <w:t>2</w:t>
      </w:r>
      <w:r w:rsidRPr="00BE78CA">
        <w:rPr>
          <w:rFonts w:cs="Calibri"/>
        </w:rPr>
        <w:t>O) – 0.09 t/PJ.</w:t>
      </w:r>
    </w:p>
    <w:p w14:paraId="6D4D9154" w14:textId="6D9B3D53" w:rsidR="00706DD1" w:rsidRPr="00BE78CA" w:rsidRDefault="00706DD1" w:rsidP="00706DD1">
      <w:pPr>
        <w:pStyle w:val="Bullet"/>
        <w:spacing w:after="100"/>
        <w:rPr>
          <w:rFonts w:cs="Calibri"/>
        </w:rPr>
      </w:pPr>
      <w:r w:rsidRPr="00BE78CA">
        <w:rPr>
          <w:rFonts w:cs="Calibri"/>
        </w:rPr>
        <w:t>Emissions from gas biomass comprise a very small part of New Zealand’s emissions inventory. Given this situation, MBIE believes the current process is sufficient for estimating emissions from gas biomass. Efforts to improve emissions quality would be</w:t>
      </w:r>
      <w:r w:rsidR="00066E5A" w:rsidRPr="00BE78CA">
        <w:rPr>
          <w:rFonts w:cs="Calibri"/>
        </w:rPr>
        <w:t> </w:t>
      </w:r>
      <w:r w:rsidRPr="00BE78CA">
        <w:rPr>
          <w:rFonts w:cs="Calibri"/>
        </w:rPr>
        <w:t>better focused on other areas.</w:t>
      </w:r>
    </w:p>
    <w:p w14:paraId="53CD34CE" w14:textId="77777777" w:rsidR="00706DD1" w:rsidRPr="00BE78CA" w:rsidRDefault="00706DD1" w:rsidP="00706DD1">
      <w:pPr>
        <w:pStyle w:val="BodyText"/>
        <w:spacing w:before="100" w:after="100"/>
        <w:rPr>
          <w:rFonts w:cs="Calibri"/>
          <w:lang w:eastAsia="en-GB"/>
        </w:rPr>
      </w:pPr>
      <w:r w:rsidRPr="00BE78CA">
        <w:rPr>
          <w:rFonts w:cs="Calibri"/>
          <w:lang w:eastAsia="en-GB"/>
        </w:rPr>
        <w:t xml:space="preserve">Residential and industrial solid biomass activity data are taken from the annual </w:t>
      </w:r>
      <w:r w:rsidRPr="00BE78CA">
        <w:rPr>
          <w:rFonts w:cs="Calibri"/>
          <w:i/>
          <w:lang w:eastAsia="en-GB"/>
        </w:rPr>
        <w:t>Energy in New Zealand</w:t>
      </w:r>
      <w:r w:rsidRPr="00BE78CA">
        <w:rPr>
          <w:rFonts w:cs="Calibri"/>
          <w:lang w:eastAsia="en-GB"/>
        </w:rPr>
        <w:t xml:space="preserve"> publication (MBIE, 2020). The residential values are estimated by MBIE based on information on the proportion of households with wood burning heaters (from census data) and data from the Building Research Association of New Zealand (BRANZ, 2002) on the average amount of energy used by households that use wood for heating. The industrial biomass estimation is based on the report </w:t>
      </w:r>
      <w:r w:rsidRPr="00BE78CA">
        <w:rPr>
          <w:rFonts w:cs="Calibri"/>
          <w:i/>
          <w:lang w:eastAsia="en-GB"/>
        </w:rPr>
        <w:t xml:space="preserve">Heat Plant in New Zealand </w:t>
      </w:r>
      <w:r w:rsidRPr="00BE78CA">
        <w:rPr>
          <w:rFonts w:cs="Calibri"/>
          <w:lang w:eastAsia="en-GB"/>
        </w:rPr>
        <w:t>(Bioenergy Association of New Zealand, 2011).</w:t>
      </w:r>
    </w:p>
    <w:p w14:paraId="026FB541" w14:textId="77777777" w:rsidR="00706DD1" w:rsidRPr="00BE78CA" w:rsidRDefault="00706DD1" w:rsidP="00706DD1">
      <w:pPr>
        <w:pStyle w:val="BodyText"/>
        <w:spacing w:before="100" w:after="100"/>
        <w:rPr>
          <w:rFonts w:cs="Calibri"/>
          <w:lang w:eastAsia="en-GB"/>
        </w:rPr>
      </w:pPr>
      <w:r w:rsidRPr="00BE78CA">
        <w:rPr>
          <w:rFonts w:cs="Calibri"/>
          <w:lang w:eastAsia="en-GB"/>
        </w:rPr>
        <w:t xml:space="preserve">Liquid biofuel activity data are based on information collected under the </w:t>
      </w:r>
      <w:r w:rsidRPr="00BE78CA">
        <w:rPr>
          <w:rFonts w:cs="Calibri"/>
          <w:iCs/>
          <w:lang w:eastAsia="en-GB"/>
        </w:rPr>
        <w:t>Petroleum or Engine Fuel Monitoring Levy,</w:t>
      </w:r>
      <w:r w:rsidRPr="00BE78CA">
        <w:rPr>
          <w:rFonts w:cs="Calibri"/>
          <w:lang w:eastAsia="en-GB"/>
        </w:rPr>
        <w:t xml:space="preserve"> as reported in MBIE quarterly online data releases. </w:t>
      </w:r>
    </w:p>
    <w:p w14:paraId="1289401B" w14:textId="77777777" w:rsidR="00706DD1" w:rsidRPr="00BE78CA" w:rsidRDefault="00706DD1" w:rsidP="00706DD1">
      <w:pPr>
        <w:pStyle w:val="Heading5"/>
        <w:spacing w:before="200"/>
        <w:rPr>
          <w:rFonts w:cs="Calibri"/>
        </w:rPr>
      </w:pPr>
      <w:r w:rsidRPr="00BE78CA">
        <w:rPr>
          <w:rFonts w:cs="Calibri"/>
          <w:lang w:eastAsia="en-GB"/>
        </w:rPr>
        <w:t>Electricity auto-production</w:t>
      </w:r>
    </w:p>
    <w:p w14:paraId="366CF5D9" w14:textId="77777777" w:rsidR="00706DD1" w:rsidRPr="00BE78CA" w:rsidRDefault="00706DD1" w:rsidP="00706DD1">
      <w:pPr>
        <w:pStyle w:val="BodyText"/>
        <w:spacing w:before="100"/>
        <w:rPr>
          <w:rFonts w:cs="Calibri"/>
          <w:lang w:eastAsia="en-GB"/>
        </w:rPr>
      </w:pPr>
      <w:r w:rsidRPr="00BE78CA">
        <w:rPr>
          <w:rFonts w:cs="Calibri"/>
          <w:lang w:eastAsia="en-GB"/>
        </w:rPr>
        <w:t xml:space="preserve">All combustion activity for electricity auto-production is allocated into the appropriate manufacturing sub-sector. </w:t>
      </w:r>
    </w:p>
    <w:p w14:paraId="0D204C7E" w14:textId="77777777" w:rsidR="00706DD1" w:rsidRPr="00BE78CA" w:rsidRDefault="00706DD1" w:rsidP="00706DD1">
      <w:pPr>
        <w:pStyle w:val="Heading4"/>
      </w:pPr>
      <w:r w:rsidRPr="00BE78CA">
        <w:rPr>
          <w:lang w:eastAsia="en-GB"/>
        </w:rPr>
        <w:t>Emission factors</w:t>
      </w:r>
    </w:p>
    <w:p w14:paraId="2B233C44" w14:textId="5930ABDC" w:rsidR="00706DD1" w:rsidRPr="00BE78CA" w:rsidRDefault="00706DD1" w:rsidP="00C61D34">
      <w:pPr>
        <w:pStyle w:val="BodyText"/>
        <w:spacing w:before="100"/>
        <w:rPr>
          <w:rFonts w:cs="Calibri"/>
          <w:lang w:eastAsia="en-GB"/>
        </w:rPr>
      </w:pPr>
      <w:r w:rsidRPr="00BE78CA">
        <w:rPr>
          <w:rFonts w:cs="Calibri"/>
          <w:lang w:eastAsia="en-GB"/>
        </w:rPr>
        <w:t>New Zealand emission factors are based on gross calorific values. A list of emission factors for CO</w:t>
      </w:r>
      <w:r w:rsidRPr="00BE78CA">
        <w:rPr>
          <w:rFonts w:cs="Calibri"/>
          <w:vertAlign w:val="subscript"/>
          <w:lang w:eastAsia="en-GB"/>
        </w:rPr>
        <w:t>2</w:t>
      </w:r>
      <w:r w:rsidRPr="00BE78CA">
        <w:rPr>
          <w:rFonts w:cs="Calibri"/>
          <w:lang w:eastAsia="en-GB"/>
        </w:rPr>
        <w:t xml:space="preserve">, </w:t>
      </w:r>
      <w:r w:rsidRPr="00BE78CA">
        <w:rPr>
          <w:rFonts w:cs="Calibri"/>
        </w:rPr>
        <w:t>CH</w:t>
      </w:r>
      <w:r w:rsidRPr="00BE78CA">
        <w:rPr>
          <w:rFonts w:cs="Calibri"/>
          <w:vertAlign w:val="subscript"/>
        </w:rPr>
        <w:t>4</w:t>
      </w:r>
      <w:r w:rsidRPr="00BE78CA">
        <w:rPr>
          <w:rFonts w:cs="Calibri"/>
          <w:lang w:eastAsia="en-GB"/>
        </w:rPr>
        <w:t xml:space="preserve"> and </w:t>
      </w:r>
      <w:r w:rsidRPr="00BE78CA">
        <w:rPr>
          <w:rFonts w:cs="Calibri"/>
        </w:rPr>
        <w:t>N</w:t>
      </w:r>
      <w:r w:rsidRPr="00BE78CA">
        <w:rPr>
          <w:rFonts w:cs="Calibri"/>
          <w:vertAlign w:val="subscript"/>
        </w:rPr>
        <w:t>2</w:t>
      </w:r>
      <w:r w:rsidRPr="00BE78CA">
        <w:rPr>
          <w:rFonts w:cs="Calibri"/>
        </w:rPr>
        <w:t>O</w:t>
      </w:r>
      <w:r w:rsidRPr="00BE78CA">
        <w:rPr>
          <w:rFonts w:cs="Calibri"/>
          <w:lang w:eastAsia="en-GB"/>
        </w:rPr>
        <w:t xml:space="preserve"> for all fuel types is provided in annex 4, tables A4.1 to A4.4. The characteristics of liquid, solid and gaseous fuels and biomass used in New Zealand are described under each of the fuel sections below. Where a New Zealand-specific value is not</w:t>
      </w:r>
      <w:r w:rsidR="00066E5A" w:rsidRPr="00BE78CA">
        <w:rPr>
          <w:rFonts w:cs="Calibri"/>
          <w:lang w:eastAsia="en-GB"/>
        </w:rPr>
        <w:t> </w:t>
      </w:r>
      <w:r w:rsidRPr="00BE78CA">
        <w:rPr>
          <w:rFonts w:cs="Calibri"/>
          <w:lang w:eastAsia="en-GB"/>
        </w:rPr>
        <w:t>available, New Zealand uses either the IPCC value that best reflects New Zealand conditions or the mid-point value from the IPCC range. All emission factors from the IPCC are</w:t>
      </w:r>
      <w:r w:rsidR="00066E5A" w:rsidRPr="00BE78CA">
        <w:rPr>
          <w:rFonts w:cs="Calibri"/>
          <w:lang w:eastAsia="en-GB"/>
        </w:rPr>
        <w:t> </w:t>
      </w:r>
      <w:r w:rsidRPr="00BE78CA">
        <w:rPr>
          <w:rFonts w:cs="Calibri"/>
          <w:lang w:eastAsia="en-GB"/>
        </w:rPr>
        <w:t>converted from net calorific value to gross calorific value. New Zealand adopts the OECD</w:t>
      </w:r>
      <w:r w:rsidR="00066E5A" w:rsidRPr="00BE78CA">
        <w:rPr>
          <w:rFonts w:cs="Calibri"/>
          <w:lang w:eastAsia="en-GB"/>
        </w:rPr>
        <w:t> </w:t>
      </w:r>
      <w:r w:rsidRPr="00BE78CA">
        <w:rPr>
          <w:rFonts w:cs="Calibri"/>
          <w:lang w:eastAsia="en-GB"/>
        </w:rPr>
        <w:t>and International Energy Agency assumptions to make these conversions.</w:t>
      </w:r>
    </w:p>
    <w:p w14:paraId="01CBC2EA" w14:textId="77777777" w:rsidR="00706DD1" w:rsidRPr="00BE78CA" w:rsidRDefault="00706DD1" w:rsidP="00706DD1">
      <w:pPr>
        <w:pStyle w:val="Bullet"/>
        <w:tabs>
          <w:tab w:val="left" w:pos="2835"/>
        </w:tabs>
        <w:rPr>
          <w:rFonts w:cs="Calibri"/>
        </w:rPr>
      </w:pPr>
      <w:r w:rsidRPr="00BE78CA">
        <w:rPr>
          <w:rFonts w:cs="Calibri"/>
        </w:rPr>
        <w:t xml:space="preserve">Gaseous fuels: </w:t>
      </w:r>
      <w:r w:rsidRPr="00BE78CA">
        <w:rPr>
          <w:rFonts w:cs="Calibri"/>
        </w:rPr>
        <w:tab/>
        <w:t>Gross Emission Factor = 0.90 x Net Emission Factor</w:t>
      </w:r>
    </w:p>
    <w:p w14:paraId="0101460E" w14:textId="77777777" w:rsidR="00706DD1" w:rsidRPr="00BE78CA" w:rsidRDefault="00706DD1" w:rsidP="00706DD1">
      <w:pPr>
        <w:pStyle w:val="Bullet"/>
        <w:tabs>
          <w:tab w:val="left" w:pos="2835"/>
        </w:tabs>
        <w:rPr>
          <w:rFonts w:cs="Calibri"/>
        </w:rPr>
      </w:pPr>
      <w:r w:rsidRPr="00BE78CA">
        <w:rPr>
          <w:rFonts w:cs="Calibri"/>
        </w:rPr>
        <w:t>Liquid and solid fuels:</w:t>
      </w:r>
      <w:r w:rsidRPr="00BE78CA">
        <w:rPr>
          <w:rFonts w:cs="Calibri"/>
        </w:rPr>
        <w:tab/>
        <w:t>Gross Emission Factor = 0.95 x Net Emission Factor</w:t>
      </w:r>
    </w:p>
    <w:p w14:paraId="28E93FA9" w14:textId="77777777" w:rsidR="00706DD1" w:rsidRPr="00BE78CA" w:rsidRDefault="00706DD1" w:rsidP="00706DD1">
      <w:pPr>
        <w:pStyle w:val="Bullet"/>
        <w:tabs>
          <w:tab w:val="left" w:pos="2835"/>
        </w:tabs>
        <w:rPr>
          <w:rFonts w:cs="Calibri"/>
        </w:rPr>
      </w:pPr>
      <w:r w:rsidRPr="00BE78CA">
        <w:rPr>
          <w:rFonts w:cs="Calibri"/>
        </w:rPr>
        <w:t>Wood:</w:t>
      </w:r>
      <w:r w:rsidRPr="00BE78CA">
        <w:rPr>
          <w:rFonts w:cs="Calibri"/>
        </w:rPr>
        <w:tab/>
        <w:t>Gross Emission Factor = 0.80 x Net Emission Factor</w:t>
      </w:r>
    </w:p>
    <w:p w14:paraId="173C0631" w14:textId="77777777" w:rsidR="00706DD1" w:rsidRPr="00BE78CA" w:rsidRDefault="00706DD1" w:rsidP="00706DD1">
      <w:pPr>
        <w:pStyle w:val="Heading5"/>
        <w:rPr>
          <w:rFonts w:cs="Calibri"/>
        </w:rPr>
      </w:pPr>
      <w:r w:rsidRPr="00BE78CA">
        <w:rPr>
          <w:rFonts w:cs="Calibri"/>
          <w:lang w:eastAsia="en-GB"/>
        </w:rPr>
        <w:t>Liquid fuels</w:t>
      </w:r>
    </w:p>
    <w:p w14:paraId="74C6374A" w14:textId="77777777" w:rsidR="00706DD1" w:rsidRPr="00BE78CA" w:rsidRDefault="00706DD1" w:rsidP="00706DD1">
      <w:pPr>
        <w:pStyle w:val="BodyText"/>
        <w:spacing w:before="100" w:after="100"/>
        <w:rPr>
          <w:rFonts w:cs="Calibri"/>
          <w:lang w:eastAsia="en-GB"/>
        </w:rPr>
      </w:pPr>
      <w:r w:rsidRPr="00BE78CA">
        <w:rPr>
          <w:rFonts w:cs="Calibri"/>
          <w:lang w:eastAsia="en-GB"/>
        </w:rPr>
        <w:t>Where possible, CO</w:t>
      </w:r>
      <w:r w:rsidRPr="00BE78CA">
        <w:rPr>
          <w:rFonts w:cs="Calibri"/>
          <w:vertAlign w:val="subscript"/>
          <w:lang w:eastAsia="en-GB"/>
        </w:rPr>
        <w:t>2</w:t>
      </w:r>
      <w:r w:rsidRPr="00BE78CA">
        <w:rPr>
          <w:rFonts w:cs="Calibri"/>
          <w:lang w:eastAsia="en-GB"/>
        </w:rPr>
        <w:t xml:space="preserve"> emission factors for liquid fuels are calculated on an annual basis. Carbon dioxide emission factors are calculated from Refining New Zealand data on the carbon content and calorific values of the fuels that they produce. For non-CO</w:t>
      </w:r>
      <w:r w:rsidRPr="00BE78CA">
        <w:rPr>
          <w:rFonts w:cs="Calibri"/>
          <w:vertAlign w:val="subscript"/>
          <w:lang w:eastAsia="en-GB"/>
        </w:rPr>
        <w:t>2</w:t>
      </w:r>
      <w:r w:rsidRPr="00BE78CA">
        <w:rPr>
          <w:rFonts w:cs="Calibri"/>
          <w:lang w:eastAsia="en-GB"/>
        </w:rPr>
        <w:t xml:space="preserve"> emissions, IPCC default values are used unless otherwise specified in the relevant section. Annex 4, section A4.1, includes further information on liquid fuel emission factors, including a time series of gross calorific values.</w:t>
      </w:r>
    </w:p>
    <w:p w14:paraId="7343FDE4" w14:textId="77777777" w:rsidR="00706DD1" w:rsidRPr="00BE78CA" w:rsidRDefault="00706DD1" w:rsidP="00706DD1">
      <w:pPr>
        <w:pStyle w:val="Heading5"/>
        <w:rPr>
          <w:rFonts w:cs="Calibri"/>
          <w:lang w:eastAsia="en-GB"/>
        </w:rPr>
      </w:pPr>
      <w:r w:rsidRPr="00BE78CA">
        <w:rPr>
          <w:rFonts w:cs="Calibri"/>
          <w:lang w:eastAsia="en-GB"/>
        </w:rPr>
        <w:lastRenderedPageBreak/>
        <w:t>Solid fuels</w:t>
      </w:r>
    </w:p>
    <w:p w14:paraId="126FFA8F" w14:textId="77777777" w:rsidR="00706DD1" w:rsidRPr="00BE78CA" w:rsidRDefault="00706DD1" w:rsidP="00706DD1">
      <w:pPr>
        <w:pStyle w:val="BodyText"/>
        <w:spacing w:before="100" w:after="100"/>
        <w:rPr>
          <w:rFonts w:cs="Calibri"/>
          <w:lang w:eastAsia="en-GB"/>
        </w:rPr>
      </w:pPr>
      <w:r w:rsidRPr="00BE78CA">
        <w:rPr>
          <w:rFonts w:cs="Calibri"/>
          <w:lang w:eastAsia="en-GB"/>
        </w:rPr>
        <w:t xml:space="preserve">Emission factors for solid fuels were updated for the 2016 submission across the time series from 1990 to 2008, in response to a 2013 ERT recommendation (FCCC/ARR/2013/NZL, paragraph 32) (UNFCCC, 2014). A comprehensive list of carbon content by coal mine is not currently available. A review of New Zealand’s coal emission factors in preparation for the </w:t>
      </w:r>
      <w:r w:rsidRPr="00BE78CA">
        <w:rPr>
          <w:rFonts w:cs="Calibri"/>
        </w:rPr>
        <w:t>New Zealand Emissions Trading Scheme</w:t>
      </w:r>
      <w:r w:rsidRPr="00BE78CA">
        <w:rPr>
          <w:rFonts w:cs="Calibri"/>
          <w:lang w:eastAsia="en-GB"/>
        </w:rPr>
        <w:t xml:space="preserve"> (NZ ETS) (CRL Energy Ltd, 2009) recommended re</w:t>
      </w:r>
      <w:r w:rsidRPr="00BE78CA">
        <w:rPr>
          <w:rFonts w:cs="Calibri"/>
          <w:lang w:eastAsia="en-GB"/>
        </w:rPr>
        <w:noBreakHyphen/>
        <w:t xml:space="preserve">weighting the current default emission factors to 2007 production rather than continuing with those in the </w:t>
      </w:r>
      <w:r w:rsidRPr="00BE78CA">
        <w:rPr>
          <w:rFonts w:cs="Calibri"/>
          <w:i/>
          <w:lang w:eastAsia="en-GB"/>
        </w:rPr>
        <w:t xml:space="preserve">New Zealand Energy Information Handbook </w:t>
      </w:r>
      <w:r w:rsidRPr="00BE78CA">
        <w:rPr>
          <w:rFonts w:cs="Calibri"/>
          <w:lang w:eastAsia="en-GB"/>
        </w:rPr>
        <w:t xml:space="preserve">(Baines, 1993). However, following the recommendation of the ERT review (FCCC/ARR/2013/NZL, paragraph 32) (UNFCCC, 2014) of New Zealand’s 2013 submission, the emission factors between 1990 and 2008 have been interpolated. </w:t>
      </w:r>
    </w:p>
    <w:p w14:paraId="6CEBF49F" w14:textId="77777777" w:rsidR="00706DD1" w:rsidRPr="00BE78CA" w:rsidRDefault="00706DD1" w:rsidP="00706DD1">
      <w:pPr>
        <w:pStyle w:val="BodyText"/>
        <w:spacing w:before="100" w:after="100"/>
        <w:rPr>
          <w:rFonts w:cs="Calibri"/>
          <w:lang w:eastAsia="en-GB"/>
        </w:rPr>
      </w:pPr>
      <w:r w:rsidRPr="00BE78CA">
        <w:rPr>
          <w:rFonts w:cs="Calibri"/>
          <w:lang w:eastAsia="en-GB"/>
        </w:rPr>
        <w:t>Also, the emission factor used to calculate emissions from coal use in the public electricity and heat production sector has been weighted to reflect the combustion of imported coal. A time series of the effect of this weighting is included in annex 4 (table A4.2).</w:t>
      </w:r>
    </w:p>
    <w:p w14:paraId="33146C34" w14:textId="77777777" w:rsidR="00706DD1" w:rsidRPr="00BE78CA" w:rsidRDefault="00706DD1" w:rsidP="00706DD1">
      <w:pPr>
        <w:pStyle w:val="Heading5"/>
        <w:rPr>
          <w:rFonts w:cs="Calibri"/>
          <w:lang w:eastAsia="en-GB"/>
        </w:rPr>
      </w:pPr>
      <w:r w:rsidRPr="00BE78CA">
        <w:rPr>
          <w:rFonts w:cs="Calibri"/>
          <w:lang w:eastAsia="en-GB"/>
        </w:rPr>
        <w:t>Gaseous fuels</w:t>
      </w:r>
    </w:p>
    <w:p w14:paraId="3187C4DC" w14:textId="77777777" w:rsidR="00706DD1" w:rsidRPr="00BE78CA" w:rsidRDefault="00706DD1" w:rsidP="00283144">
      <w:pPr>
        <w:pStyle w:val="BodyText"/>
        <w:spacing w:after="100"/>
        <w:rPr>
          <w:rFonts w:cs="Calibri"/>
          <w:lang w:eastAsia="en-GB"/>
        </w:rPr>
      </w:pPr>
      <w:r w:rsidRPr="00BE78CA">
        <w:rPr>
          <w:rFonts w:cs="Calibri"/>
          <w:lang w:eastAsia="en-GB"/>
        </w:rPr>
        <w:t>New Zealand’s gaseous fuel emission factors are above the IPCC 2006 default range, because New Zealand natural gas fields tend to have higher CO</w:t>
      </w:r>
      <w:r w:rsidRPr="00BE78CA">
        <w:rPr>
          <w:rFonts w:cs="Calibri"/>
          <w:vertAlign w:val="subscript"/>
          <w:lang w:eastAsia="en-GB"/>
        </w:rPr>
        <w:t>2</w:t>
      </w:r>
      <w:r w:rsidRPr="00BE78CA">
        <w:rPr>
          <w:rFonts w:cs="Calibri"/>
          <w:lang w:eastAsia="en-GB"/>
        </w:rPr>
        <w:t xml:space="preserve"> content than most international gas fields. This is verified by regular gas composition analysis. Emission factors for 2019 from all fields, along with the production weighted average, are included in annex 4.</w:t>
      </w:r>
    </w:p>
    <w:p w14:paraId="4097E7B7" w14:textId="77777777" w:rsidR="00706DD1" w:rsidRPr="00BE78CA" w:rsidRDefault="00706DD1" w:rsidP="00283144">
      <w:pPr>
        <w:pStyle w:val="BodyText"/>
        <w:spacing w:after="100"/>
        <w:rPr>
          <w:rFonts w:cs="Calibri"/>
          <w:lang w:eastAsia="en-GB"/>
        </w:rPr>
      </w:pPr>
      <w:r w:rsidRPr="00BE78CA">
        <w:rPr>
          <w:rFonts w:cs="Calibri"/>
          <w:lang w:eastAsia="en-GB"/>
        </w:rPr>
        <w:t>The annual gaseous fuel emission factor is the calculated weighted average for all of the natural gas production fields. The emission factor takes into account gas compositional data from all gas fields. This method provides increased accuracy because the decline in production from both the Maui and Kapuni gas fields has been replaced by other new gas fields (for example, Pohokura) coming on-stream. This emission factor fluctuates slightly from year to year, mainly due to the relative production volume at different gas fields in a given year.</w:t>
      </w:r>
    </w:p>
    <w:p w14:paraId="1EA12F60" w14:textId="4152F7F3" w:rsidR="00706DD1" w:rsidRPr="00BE78CA" w:rsidRDefault="00706DD1" w:rsidP="00283144">
      <w:pPr>
        <w:pStyle w:val="BodyText"/>
        <w:spacing w:after="100"/>
        <w:rPr>
          <w:rFonts w:cs="Calibri"/>
          <w:lang w:eastAsia="en-GB"/>
        </w:rPr>
      </w:pPr>
      <w:r w:rsidRPr="00BE78CA">
        <w:rPr>
          <w:rFonts w:cs="Calibri"/>
          <w:lang w:eastAsia="en-GB"/>
        </w:rPr>
        <w:t>The Kapuni gas field has particularly high CO</w:t>
      </w:r>
      <w:r w:rsidRPr="00BE78CA">
        <w:rPr>
          <w:rFonts w:cs="Calibri"/>
          <w:vertAlign w:val="subscript"/>
          <w:lang w:eastAsia="en-GB"/>
        </w:rPr>
        <w:t xml:space="preserve">2 </w:t>
      </w:r>
      <w:r w:rsidRPr="00BE78CA">
        <w:rPr>
          <w:rFonts w:cs="Calibri"/>
          <w:lang w:eastAsia="en-GB"/>
        </w:rPr>
        <w:t>content. Historically, this field has been valued by</w:t>
      </w:r>
      <w:r w:rsidR="00283144" w:rsidRPr="00BE78CA">
        <w:rPr>
          <w:rFonts w:cs="Calibri"/>
          <w:lang w:eastAsia="en-GB"/>
        </w:rPr>
        <w:t> </w:t>
      </w:r>
      <w:r w:rsidRPr="00BE78CA">
        <w:rPr>
          <w:rFonts w:cs="Calibri"/>
          <w:lang w:eastAsia="en-GB"/>
        </w:rPr>
        <w:t>the petrochemicals industry as a feedstock. However, most of the gas from this field is now</w:t>
      </w:r>
      <w:r w:rsidR="00283144" w:rsidRPr="00BE78CA">
        <w:rPr>
          <w:rFonts w:cs="Calibri"/>
          <w:lang w:eastAsia="en-GB"/>
        </w:rPr>
        <w:t> </w:t>
      </w:r>
      <w:r w:rsidRPr="00BE78CA">
        <w:rPr>
          <w:rFonts w:cs="Calibri"/>
          <w:lang w:eastAsia="en-GB"/>
        </w:rPr>
        <w:t>treated, and the excess CO</w:t>
      </w:r>
      <w:r w:rsidRPr="00BE78CA">
        <w:rPr>
          <w:rFonts w:cs="Calibri"/>
          <w:vertAlign w:val="subscript"/>
          <w:lang w:eastAsia="en-GB"/>
        </w:rPr>
        <w:t>2</w:t>
      </w:r>
      <w:r w:rsidRPr="00BE78CA">
        <w:rPr>
          <w:rFonts w:cs="Calibri"/>
          <w:lang w:eastAsia="en-GB"/>
        </w:rPr>
        <w:t xml:space="preserve"> is removed at the Kapuni Gas Treatment Plant. Consequently, separate emission factors were used to calculate emissions from Kapuni treated and untreated gas, due to the difference in carbon content (see annex 4, table A4.1). Carbon dioxide removed from raw Kapuni gas then vented is reported under 1.B.2.c.</w:t>
      </w:r>
    </w:p>
    <w:p w14:paraId="28A32BD3" w14:textId="77777777" w:rsidR="00706DD1" w:rsidRPr="00BE78CA" w:rsidRDefault="00706DD1" w:rsidP="00706DD1">
      <w:pPr>
        <w:pStyle w:val="Heading5"/>
        <w:rPr>
          <w:rFonts w:cs="Calibri"/>
          <w:lang w:eastAsia="en-GB"/>
        </w:rPr>
      </w:pPr>
      <w:r w:rsidRPr="00BE78CA">
        <w:rPr>
          <w:rFonts w:cs="Calibri"/>
          <w:lang w:eastAsia="en-GB"/>
        </w:rPr>
        <w:t>Biomass</w:t>
      </w:r>
    </w:p>
    <w:p w14:paraId="16D50F1A" w14:textId="77777777" w:rsidR="00706DD1" w:rsidRPr="00BE78CA" w:rsidRDefault="00706DD1" w:rsidP="00283144">
      <w:pPr>
        <w:pStyle w:val="BodyText"/>
        <w:spacing w:after="100"/>
        <w:rPr>
          <w:rFonts w:cs="Calibri"/>
          <w:lang w:eastAsia="en-GB"/>
        </w:rPr>
      </w:pPr>
      <w:r w:rsidRPr="00BE78CA">
        <w:rPr>
          <w:rFonts w:cs="Calibri"/>
          <w:lang w:eastAsia="en-GB"/>
        </w:rPr>
        <w:t xml:space="preserve">The emission factors for wood combustion are calculated from the IPCC 2006 default emission factors. This assumes that the net calorific value is 20 per cent lower than the gross calorific value (IPCC, 2006). Carbon dioxide emissions from wood used for energy production are reported as a memo item and are not included in the estimate of New Zealand’s total greenhouse gas emissions (IPCC, 2006). Carbon dioxide emission factors for liquid biofuels are sourced from the </w:t>
      </w:r>
      <w:r w:rsidRPr="00BE78CA">
        <w:rPr>
          <w:rFonts w:cs="Calibri"/>
          <w:i/>
          <w:iCs/>
          <w:lang w:eastAsia="en-GB"/>
        </w:rPr>
        <w:t xml:space="preserve">New Zealand Energy Information Handbook </w:t>
      </w:r>
      <w:r w:rsidRPr="00BE78CA">
        <w:rPr>
          <w:rFonts w:cs="Calibri"/>
          <w:lang w:eastAsia="en-GB"/>
        </w:rPr>
        <w:t xml:space="preserve">(Baines, 1993), while </w:t>
      </w:r>
      <w:r w:rsidRPr="00BE78CA">
        <w:rPr>
          <w:rFonts w:cs="Calibri"/>
        </w:rPr>
        <w:t>CH</w:t>
      </w:r>
      <w:r w:rsidRPr="00BE78CA">
        <w:rPr>
          <w:rFonts w:cs="Calibri"/>
          <w:vertAlign w:val="subscript"/>
        </w:rPr>
        <w:t>4</w:t>
      </w:r>
      <w:r w:rsidRPr="00BE78CA">
        <w:rPr>
          <w:rFonts w:cs="Calibri"/>
          <w:lang w:eastAsia="en-GB"/>
        </w:rPr>
        <w:t xml:space="preserve"> and </w:t>
      </w:r>
      <w:r w:rsidRPr="00BE78CA">
        <w:rPr>
          <w:rFonts w:cs="Calibri"/>
        </w:rPr>
        <w:t>N</w:t>
      </w:r>
      <w:r w:rsidRPr="00BE78CA">
        <w:rPr>
          <w:rFonts w:cs="Calibri"/>
          <w:vertAlign w:val="subscript"/>
        </w:rPr>
        <w:t>2</w:t>
      </w:r>
      <w:r w:rsidRPr="00BE78CA">
        <w:rPr>
          <w:rFonts w:cs="Calibri"/>
        </w:rPr>
        <w:t>O</w:t>
      </w:r>
      <w:r w:rsidRPr="00BE78CA">
        <w:rPr>
          <w:rFonts w:cs="Calibri"/>
          <w:lang w:eastAsia="en-GB"/>
        </w:rPr>
        <w:t xml:space="preserve"> emission factors are IPCC 2006 default emission factors.</w:t>
      </w:r>
    </w:p>
    <w:p w14:paraId="06B11CEF" w14:textId="77777777" w:rsidR="00706DD1" w:rsidRPr="00BE78CA" w:rsidRDefault="00706DD1" w:rsidP="00706DD1">
      <w:pPr>
        <w:pStyle w:val="Heading3"/>
        <w:rPr>
          <w:rFonts w:cs="Calibri"/>
          <w:lang w:eastAsia="en-GB"/>
        </w:rPr>
      </w:pPr>
      <w:r w:rsidRPr="00BE78CA">
        <w:rPr>
          <w:rFonts w:cs="Calibri"/>
          <w:lang w:eastAsia="en-GB"/>
        </w:rPr>
        <w:t xml:space="preserve">3.3.2 </w:t>
      </w:r>
      <w:r w:rsidRPr="00BE78CA">
        <w:rPr>
          <w:rFonts w:cs="Calibri"/>
          <w:lang w:eastAsia="en-GB"/>
        </w:rPr>
        <w:tab/>
        <w:t>Sector-wide improvements</w:t>
      </w:r>
    </w:p>
    <w:p w14:paraId="53AFB10C" w14:textId="1E5D4148" w:rsidR="00706DD1" w:rsidRPr="00BE78CA" w:rsidRDefault="00706DD1" w:rsidP="00283144">
      <w:pPr>
        <w:pStyle w:val="BodyText"/>
        <w:spacing w:after="100"/>
        <w:rPr>
          <w:rFonts w:cs="Calibri"/>
          <w:lang w:eastAsia="en-GB"/>
        </w:rPr>
      </w:pPr>
      <w:r w:rsidRPr="00BE78CA">
        <w:rPr>
          <w:rFonts w:cs="Calibri"/>
          <w:lang w:eastAsia="en-GB"/>
        </w:rPr>
        <w:t>After significant work to upgrade the oil and gas data system, data for naphtha, lubricants and</w:t>
      </w:r>
      <w:r w:rsidR="00283144" w:rsidRPr="00BE78CA">
        <w:rPr>
          <w:rFonts w:cs="Calibri"/>
          <w:lang w:eastAsia="en-GB"/>
        </w:rPr>
        <w:t> </w:t>
      </w:r>
      <w:r w:rsidRPr="00BE78CA">
        <w:rPr>
          <w:rFonts w:cs="Calibri"/>
          <w:lang w:eastAsia="en-GB"/>
        </w:rPr>
        <w:t>petroleum coke have been disaggregated and are now reported separately in the reference approach.</w:t>
      </w:r>
    </w:p>
    <w:p w14:paraId="16280A5B" w14:textId="77777777" w:rsidR="00706DD1" w:rsidRPr="00BE78CA" w:rsidRDefault="00706DD1" w:rsidP="00283144">
      <w:pPr>
        <w:pStyle w:val="BodyText"/>
        <w:spacing w:after="100"/>
        <w:rPr>
          <w:rFonts w:cs="Calibri"/>
          <w:lang w:eastAsia="en-GB"/>
        </w:rPr>
      </w:pPr>
      <w:r w:rsidRPr="00BE78CA">
        <w:rPr>
          <w:rFonts w:cs="Calibri"/>
          <w:lang w:eastAsia="en-GB"/>
        </w:rPr>
        <w:lastRenderedPageBreak/>
        <w:t>The system for tracking and calculating emissions within the Energy sector was migrated to the R programming language. This migration allowed for improved checking and correction of existing calculations and records, especially for historical data.</w:t>
      </w:r>
    </w:p>
    <w:p w14:paraId="1921F53D" w14:textId="77777777" w:rsidR="00706DD1" w:rsidRPr="00BE78CA" w:rsidRDefault="00706DD1" w:rsidP="00706DD1">
      <w:pPr>
        <w:pStyle w:val="BodyText"/>
        <w:rPr>
          <w:rFonts w:cs="Calibri"/>
          <w:lang w:eastAsia="en-GB"/>
        </w:rPr>
      </w:pPr>
      <w:r w:rsidRPr="00BE78CA">
        <w:rPr>
          <w:rFonts w:cs="Calibri"/>
        </w:rPr>
        <w:t>All source-specific improvements are discussed in their corresponding sections.</w:t>
      </w:r>
    </w:p>
    <w:p w14:paraId="46C9F722" w14:textId="77777777" w:rsidR="00706DD1" w:rsidRPr="00BE78CA" w:rsidRDefault="00706DD1" w:rsidP="00706DD1">
      <w:pPr>
        <w:pStyle w:val="Heading3"/>
        <w:rPr>
          <w:rFonts w:cs="Calibri"/>
        </w:rPr>
      </w:pPr>
      <w:r w:rsidRPr="00BE78CA">
        <w:rPr>
          <w:rFonts w:cs="Calibri"/>
        </w:rPr>
        <w:t>3.3.3</w:t>
      </w:r>
      <w:r w:rsidRPr="00BE78CA">
        <w:rPr>
          <w:rFonts w:cs="Calibri"/>
        </w:rPr>
        <w:tab/>
        <w:t>Sector-wide planned improvements</w:t>
      </w:r>
    </w:p>
    <w:p w14:paraId="4D1AA240" w14:textId="77777777" w:rsidR="00706DD1" w:rsidRPr="00BE78CA" w:rsidRDefault="00706DD1" w:rsidP="00706DD1">
      <w:pPr>
        <w:pStyle w:val="BodyText"/>
        <w:rPr>
          <w:rFonts w:cs="Calibri"/>
        </w:rPr>
      </w:pPr>
      <w:r w:rsidRPr="00BE78CA">
        <w:rPr>
          <w:rFonts w:cs="Calibri"/>
        </w:rPr>
        <w:t xml:space="preserve">A project to streamline, simplify and de-bottleneck the greenhouse gas reporting data system is nearly halfway complete. Key milestones have already been reached whereby several upstream data systems, including the energy balance tables, have been translated into the R programming language. This work at the same time also reviews calculation methodologies and identifies any inconsistencies that may lead to potential improvements and revisions. Furthermore, work is well under way in constructing a new comprehensive fuel properties data management system. </w:t>
      </w:r>
    </w:p>
    <w:p w14:paraId="11CF555B" w14:textId="77777777" w:rsidR="00706DD1" w:rsidRPr="00BE78CA" w:rsidRDefault="00706DD1" w:rsidP="00706DD1">
      <w:pPr>
        <w:pStyle w:val="BodyText"/>
        <w:rPr>
          <w:rFonts w:cs="Calibri"/>
        </w:rPr>
      </w:pPr>
      <w:r w:rsidRPr="00BE78CA">
        <w:rPr>
          <w:rFonts w:cs="Calibri"/>
        </w:rPr>
        <w:t xml:space="preserve">All source-specific planned improvements are discussed in their corresponding sections. </w:t>
      </w:r>
    </w:p>
    <w:p w14:paraId="5A0A514F" w14:textId="77777777" w:rsidR="00706DD1" w:rsidRPr="00BE78CA" w:rsidRDefault="00706DD1" w:rsidP="00706DD1">
      <w:pPr>
        <w:pStyle w:val="Heading3"/>
        <w:rPr>
          <w:rFonts w:cs="Calibri"/>
        </w:rPr>
      </w:pPr>
      <w:r w:rsidRPr="00BE78CA">
        <w:rPr>
          <w:rFonts w:cs="Calibri"/>
        </w:rPr>
        <w:t>3.3.4</w:t>
      </w:r>
      <w:r w:rsidRPr="00BE78CA">
        <w:rPr>
          <w:rFonts w:cs="Calibri"/>
        </w:rPr>
        <w:tab/>
        <w:t>Sector-wide quality assurance and quality control (QA/QC)</w:t>
      </w:r>
    </w:p>
    <w:p w14:paraId="58DE27F4" w14:textId="77777777" w:rsidR="00706DD1" w:rsidRPr="00BE78CA" w:rsidRDefault="00706DD1" w:rsidP="00706DD1">
      <w:pPr>
        <w:pStyle w:val="BodyText"/>
        <w:rPr>
          <w:rFonts w:cs="Calibri"/>
        </w:rPr>
      </w:pPr>
      <w:r w:rsidRPr="00BE78CA">
        <w:rPr>
          <w:rFonts w:cs="Calibri"/>
          <w:lang w:eastAsia="en-GB"/>
        </w:rPr>
        <w:t xml:space="preserve">In the preparation of this inventory, the </w:t>
      </w:r>
      <w:r w:rsidRPr="00BE78CA">
        <w:rPr>
          <w:rFonts w:cs="Calibri"/>
          <w:i/>
          <w:lang w:eastAsia="en-GB"/>
        </w:rPr>
        <w:t>Fugitive</w:t>
      </w:r>
      <w:r w:rsidRPr="00BE78CA">
        <w:rPr>
          <w:rFonts w:cs="Calibri"/>
          <w:lang w:eastAsia="en-GB"/>
        </w:rPr>
        <w:t xml:space="preserve"> category underwent Tier 1 quality-assurance and quality-control checks as recommended in the 2006 IPCC Guidelines. These include regular control sums throughout systems to verify system integrity, time-series consistency checks on activity data and consistency checks on implied emission factors at the industry–plant level, where possible. </w:t>
      </w:r>
      <w:r w:rsidRPr="00BE78CA">
        <w:rPr>
          <w:rFonts w:cs="Calibri"/>
        </w:rPr>
        <w:t>Figure 3.3.2</w:t>
      </w:r>
      <w:r w:rsidRPr="00BE78CA">
        <w:rPr>
          <w:rFonts w:cs="Calibri"/>
          <w:lang w:eastAsia="en-GB"/>
        </w:rPr>
        <w:t xml:space="preserve"> describes the quality control process map for the Energy sector.</w:t>
      </w:r>
    </w:p>
    <w:p w14:paraId="5DAF96D4" w14:textId="3523B07E" w:rsidR="00706DD1" w:rsidRPr="00BE78CA" w:rsidRDefault="00706DD1" w:rsidP="00706DD1">
      <w:pPr>
        <w:pStyle w:val="Figure"/>
        <w:rPr>
          <w:rFonts w:cs="Calibri"/>
        </w:rPr>
      </w:pPr>
      <w:bookmarkStart w:id="242" w:name="_Ref442370883"/>
      <w:bookmarkStart w:id="243" w:name="_Toc384582852"/>
      <w:bookmarkStart w:id="244" w:name="_Ref442370874"/>
      <w:bookmarkStart w:id="245" w:name="_Toc443060812"/>
      <w:bookmarkStart w:id="246" w:name="_Toc447275669"/>
      <w:bookmarkStart w:id="247" w:name="_Toc481751987"/>
      <w:bookmarkStart w:id="248" w:name="_Toc36292771"/>
      <w:bookmarkStart w:id="249" w:name="_Toc68786636"/>
      <w:r w:rsidRPr="00BE78CA">
        <w:rPr>
          <w:rFonts w:cs="Calibri"/>
        </w:rPr>
        <w:lastRenderedPageBreak/>
        <w:t>Figure 3.3.</w:t>
      </w:r>
      <w:r w:rsidRPr="00BE78CA">
        <w:rPr>
          <w:rFonts w:cs="Calibri"/>
        </w:rPr>
        <w:fldChar w:fldCharType="begin"/>
      </w:r>
      <w:r w:rsidRPr="00BE78CA">
        <w:rPr>
          <w:rFonts w:cs="Calibri"/>
        </w:rPr>
        <w:instrText xml:space="preserve"> SEQ Figure \* ARABIC \s 2 </w:instrText>
      </w:r>
      <w:r w:rsidRPr="00BE78CA">
        <w:rPr>
          <w:rFonts w:cs="Calibri"/>
        </w:rPr>
        <w:fldChar w:fldCharType="separate"/>
      </w:r>
      <w:r w:rsidR="00B94D2F">
        <w:rPr>
          <w:rFonts w:cs="Calibri"/>
          <w:noProof/>
        </w:rPr>
        <w:t>2</w:t>
      </w:r>
      <w:r w:rsidRPr="00BE78CA">
        <w:rPr>
          <w:rFonts w:cs="Calibri"/>
        </w:rPr>
        <w:fldChar w:fldCharType="end"/>
      </w:r>
      <w:bookmarkEnd w:id="242"/>
      <w:r w:rsidRPr="00BE78CA">
        <w:rPr>
          <w:rFonts w:cs="Calibri"/>
        </w:rPr>
        <w:t xml:space="preserve"> </w:t>
      </w:r>
      <w:r w:rsidRPr="00BE78CA">
        <w:rPr>
          <w:rFonts w:cs="Calibri"/>
        </w:rPr>
        <w:tab/>
        <w:t>Energy sector quality control process map</w:t>
      </w:r>
      <w:bookmarkEnd w:id="243"/>
      <w:bookmarkEnd w:id="244"/>
      <w:bookmarkEnd w:id="245"/>
      <w:bookmarkEnd w:id="246"/>
      <w:bookmarkEnd w:id="247"/>
      <w:bookmarkEnd w:id="248"/>
      <w:bookmarkEnd w:id="249"/>
    </w:p>
    <w:p w14:paraId="343A1F07" w14:textId="05093609" w:rsidR="00706DD1" w:rsidRPr="00BE78CA" w:rsidRDefault="00927B42" w:rsidP="00706DD1">
      <w:pPr>
        <w:spacing w:after="120"/>
        <w:rPr>
          <w:rFonts w:cs="Calibri"/>
        </w:rPr>
      </w:pPr>
      <w:r w:rsidRPr="00BE78CA">
        <w:rPr>
          <w:rFonts w:cs="Calibri"/>
        </w:rPr>
        <w:object w:dxaOrig="11532" w:dyaOrig="14473" w14:anchorId="35FC93B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0.45pt;height:516.25pt" o:ole="">
            <v:imagedata r:id="rId63" o:title="" croptop="3449f" cropbottom="509f"/>
          </v:shape>
          <o:OLEObject Type="Embed" ProgID="Visio.Drawing.11" ShapeID="_x0000_i1025" DrawAspect="Content" ObjectID="_1679402756" r:id="rId64"/>
        </w:object>
      </w:r>
    </w:p>
    <w:p w14:paraId="34C52B7B" w14:textId="77777777" w:rsidR="00706DD1" w:rsidRPr="00BE78CA" w:rsidRDefault="00706DD1" w:rsidP="00706DD1">
      <w:pPr>
        <w:pStyle w:val="BodyText"/>
        <w:spacing w:before="240"/>
        <w:rPr>
          <w:rFonts w:cs="Calibri"/>
        </w:rPr>
      </w:pPr>
      <w:r w:rsidRPr="00BE78CA">
        <w:rPr>
          <w:rFonts w:cs="Calibri"/>
          <w:lang w:eastAsia="en-GB"/>
        </w:rPr>
        <w:t xml:space="preserve">As discussed in section 3.1, the reference approach provides a good, high-level quality check for activity data. A significant deviation (greater than 5 per cent) indicates a likely issue. </w:t>
      </w:r>
    </w:p>
    <w:p w14:paraId="0B21E2A8" w14:textId="77777777" w:rsidR="00706DD1" w:rsidRPr="00BE78CA" w:rsidRDefault="00706DD1" w:rsidP="00706DD1">
      <w:pPr>
        <w:pStyle w:val="BodyText"/>
        <w:rPr>
          <w:rFonts w:cs="Calibri"/>
          <w:lang w:eastAsia="en-GB"/>
        </w:rPr>
      </w:pPr>
      <w:r w:rsidRPr="00BE78CA">
        <w:rPr>
          <w:rFonts w:cs="Calibri"/>
          <w:lang w:eastAsia="en-GB"/>
        </w:rPr>
        <w:t>Implied CO</w:t>
      </w:r>
      <w:r w:rsidRPr="00BE78CA">
        <w:rPr>
          <w:rFonts w:cs="Calibri"/>
          <w:vertAlign w:val="subscript"/>
          <w:lang w:eastAsia="en-GB"/>
        </w:rPr>
        <w:t>2</w:t>
      </w:r>
      <w:r w:rsidRPr="00BE78CA">
        <w:rPr>
          <w:rFonts w:cs="Calibri"/>
          <w:lang w:eastAsia="en-GB"/>
        </w:rPr>
        <w:t xml:space="preserve"> emission factors for combustion of liquid, solid and gaseous fuels from this inventory were compared with those in the IPCC Emission Factor Database, 2012, and converted to gross values for comparability with the New Zealand energy system. </w:t>
      </w:r>
    </w:p>
    <w:p w14:paraId="2E00F9C2" w14:textId="77777777" w:rsidR="00706DD1" w:rsidRPr="00BE78CA" w:rsidRDefault="00706DD1" w:rsidP="000F0E24">
      <w:pPr>
        <w:pStyle w:val="BodyText"/>
        <w:keepLines/>
        <w:rPr>
          <w:rFonts w:cs="Calibri"/>
          <w:lang w:eastAsia="en-GB"/>
        </w:rPr>
      </w:pPr>
      <w:r w:rsidRPr="00BE78CA">
        <w:rPr>
          <w:rFonts w:cs="Calibri"/>
        </w:rPr>
        <w:lastRenderedPageBreak/>
        <w:t>Figure 3.3.3</w:t>
      </w:r>
      <w:r w:rsidRPr="00BE78CA">
        <w:rPr>
          <w:rFonts w:cs="Calibri"/>
          <w:lang w:eastAsia="en-GB"/>
        </w:rPr>
        <w:t xml:space="preserve">, </w:t>
      </w:r>
      <w:r w:rsidRPr="00BE78CA">
        <w:rPr>
          <w:rFonts w:cs="Calibri"/>
        </w:rPr>
        <w:t>figure 3.3.4</w:t>
      </w:r>
      <w:r w:rsidRPr="00BE78CA">
        <w:rPr>
          <w:rFonts w:cs="Calibri"/>
          <w:lang w:eastAsia="en-GB"/>
        </w:rPr>
        <w:t xml:space="preserve"> and </w:t>
      </w:r>
      <w:r w:rsidRPr="00BE78CA">
        <w:rPr>
          <w:rFonts w:cs="Calibri"/>
        </w:rPr>
        <w:t>figure 3.3.5</w:t>
      </w:r>
      <w:r w:rsidRPr="00BE78CA">
        <w:rPr>
          <w:rFonts w:cs="Calibri"/>
          <w:lang w:eastAsia="en-GB"/>
        </w:rPr>
        <w:t xml:space="preserve"> weight the upper, lower and middle IPCC 2006 emission factor ranges according to observed fuel consumption in New Zealand for the given year. For example, the top of the IPCC range for liquid fuels was calculated using the top of the IPCC 2006 emission factor range for each liquid fuel and observed New Zealand activity data for each liquid fuel. </w:t>
      </w:r>
    </w:p>
    <w:p w14:paraId="767A6030" w14:textId="77777777" w:rsidR="00706DD1" w:rsidRPr="00BE78CA" w:rsidRDefault="00706DD1" w:rsidP="00706DD1">
      <w:pPr>
        <w:pStyle w:val="BodyText"/>
        <w:rPr>
          <w:rFonts w:cs="Calibri"/>
          <w:lang w:eastAsia="en-GB"/>
        </w:rPr>
      </w:pPr>
      <w:r w:rsidRPr="00BE78CA">
        <w:rPr>
          <w:rFonts w:cs="Calibri"/>
          <w:lang w:eastAsia="en-GB"/>
        </w:rPr>
        <w:t xml:space="preserve">The sum of all these emissions was then divided by the total observed liquid fuel combustion to obtain an implied emission factor weighted by New Zealand liquid fuel use. This was repeated for all fuel groups and years for the high, low and mid-points of the IPCC 2006 ranges. </w:t>
      </w:r>
    </w:p>
    <w:p w14:paraId="4FC91409" w14:textId="77777777" w:rsidR="00706DD1" w:rsidRPr="00BE78CA" w:rsidRDefault="00706DD1" w:rsidP="00706DD1">
      <w:pPr>
        <w:pStyle w:val="BodyText"/>
        <w:rPr>
          <w:rFonts w:cs="Calibri"/>
          <w:lang w:eastAsia="en-GB"/>
        </w:rPr>
      </w:pPr>
      <w:r w:rsidRPr="00BE78CA">
        <w:rPr>
          <w:rFonts w:cs="Calibri"/>
          <w:lang w:eastAsia="en-GB"/>
        </w:rPr>
        <w:t>With the exception of gaseous fuels (as discussed in section 3.3.1), each fuel type falls within the IPCC default range.</w:t>
      </w:r>
    </w:p>
    <w:p w14:paraId="70128E2F" w14:textId="1CDE741B" w:rsidR="00706DD1" w:rsidRPr="00BE78CA" w:rsidRDefault="00706DD1" w:rsidP="00D82765">
      <w:pPr>
        <w:pStyle w:val="Figure"/>
        <w:spacing w:after="80"/>
        <w:rPr>
          <w:rFonts w:cs="Calibri"/>
        </w:rPr>
      </w:pPr>
      <w:bookmarkStart w:id="250" w:name="_Ref442369949"/>
      <w:bookmarkStart w:id="251" w:name="_Toc321399325"/>
      <w:bookmarkStart w:id="252" w:name="_Toc384582853"/>
      <w:bookmarkStart w:id="253" w:name="_Toc443060813"/>
      <w:bookmarkStart w:id="254" w:name="_Toc447275670"/>
      <w:bookmarkStart w:id="255" w:name="_Toc481751988"/>
      <w:bookmarkStart w:id="256" w:name="_Toc36292772"/>
      <w:bookmarkStart w:id="257" w:name="_Toc68786637"/>
      <w:r w:rsidRPr="00BE78CA">
        <w:rPr>
          <w:rFonts w:cs="Calibri"/>
        </w:rPr>
        <w:t>Figure 3.3.</w:t>
      </w:r>
      <w:r w:rsidRPr="00BE78CA">
        <w:rPr>
          <w:rFonts w:cs="Calibri"/>
        </w:rPr>
        <w:fldChar w:fldCharType="begin"/>
      </w:r>
      <w:r w:rsidRPr="00BE78CA">
        <w:rPr>
          <w:rFonts w:cs="Calibri"/>
        </w:rPr>
        <w:instrText xml:space="preserve"> SEQ Figure \* ARABIC \s 2 </w:instrText>
      </w:r>
      <w:r w:rsidRPr="00BE78CA">
        <w:rPr>
          <w:rFonts w:cs="Calibri"/>
        </w:rPr>
        <w:fldChar w:fldCharType="separate"/>
      </w:r>
      <w:r w:rsidR="00B94D2F">
        <w:rPr>
          <w:rFonts w:cs="Calibri"/>
          <w:noProof/>
        </w:rPr>
        <w:t>3</w:t>
      </w:r>
      <w:r w:rsidRPr="00BE78CA">
        <w:rPr>
          <w:rFonts w:cs="Calibri"/>
        </w:rPr>
        <w:fldChar w:fldCharType="end"/>
      </w:r>
      <w:bookmarkEnd w:id="250"/>
      <w:r w:rsidRPr="00BE78CA">
        <w:rPr>
          <w:rFonts w:cs="Calibri"/>
        </w:rPr>
        <w:t xml:space="preserve"> </w:t>
      </w:r>
      <w:r w:rsidRPr="00BE78CA">
        <w:rPr>
          <w:rFonts w:cs="Calibri"/>
        </w:rPr>
        <w:tab/>
        <w:t>Carbon dioxide implied emission factor (IEF) – Liquid fuel combustion</w:t>
      </w:r>
      <w:bookmarkEnd w:id="251"/>
      <w:bookmarkEnd w:id="252"/>
      <w:bookmarkEnd w:id="253"/>
      <w:bookmarkEnd w:id="254"/>
      <w:bookmarkEnd w:id="255"/>
      <w:r w:rsidRPr="00BE78CA">
        <w:rPr>
          <w:rFonts w:cs="Calibri"/>
        </w:rPr>
        <w:t xml:space="preserve"> (1990–2019)</w:t>
      </w:r>
      <w:bookmarkEnd w:id="256"/>
      <w:bookmarkEnd w:id="257"/>
    </w:p>
    <w:p w14:paraId="12E59704" w14:textId="77777777" w:rsidR="00706DD1" w:rsidRPr="00BE78CA" w:rsidRDefault="00706DD1" w:rsidP="00D82765">
      <w:pPr>
        <w:pStyle w:val="BodyText"/>
        <w:rPr>
          <w:rFonts w:cs="Calibri"/>
        </w:rPr>
      </w:pPr>
      <w:r w:rsidRPr="00BE78CA">
        <w:rPr>
          <w:rFonts w:cs="Calibri"/>
          <w:noProof/>
        </w:rPr>
        <w:drawing>
          <wp:inline distT="0" distB="0" distL="0" distR="0" wp14:anchorId="1EA109A9" wp14:editId="22FC5ADC">
            <wp:extent cx="5400675" cy="2700655"/>
            <wp:effectExtent l="0" t="0" r="9525" b="44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_3_3_3_liquid_fuels.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400675" cy="2700655"/>
                    </a:xfrm>
                    <a:prstGeom prst="rect">
                      <a:avLst/>
                    </a:prstGeom>
                  </pic:spPr>
                </pic:pic>
              </a:graphicData>
            </a:graphic>
          </wp:inline>
        </w:drawing>
      </w:r>
    </w:p>
    <w:p w14:paraId="6781AD57" w14:textId="78570054" w:rsidR="00706DD1" w:rsidRPr="00BE78CA" w:rsidRDefault="00706DD1" w:rsidP="00D82765">
      <w:pPr>
        <w:pStyle w:val="Figure"/>
        <w:spacing w:after="80"/>
        <w:rPr>
          <w:rFonts w:cs="Calibri"/>
        </w:rPr>
      </w:pPr>
      <w:bookmarkStart w:id="258" w:name="_Ref442369961"/>
      <w:bookmarkStart w:id="259" w:name="_Toc321399326"/>
      <w:bookmarkStart w:id="260" w:name="_Toc384582854"/>
      <w:bookmarkStart w:id="261" w:name="_Toc443060814"/>
      <w:bookmarkStart w:id="262" w:name="_Toc447275671"/>
      <w:bookmarkStart w:id="263" w:name="_Toc481751989"/>
      <w:bookmarkStart w:id="264" w:name="_Toc36292773"/>
      <w:bookmarkStart w:id="265" w:name="_Toc68786638"/>
      <w:r w:rsidRPr="00BE78CA">
        <w:rPr>
          <w:rFonts w:cs="Calibri"/>
        </w:rPr>
        <w:t>Figure 3.3.</w:t>
      </w:r>
      <w:r w:rsidRPr="00BE78CA">
        <w:rPr>
          <w:rFonts w:cs="Calibri"/>
        </w:rPr>
        <w:fldChar w:fldCharType="begin"/>
      </w:r>
      <w:r w:rsidRPr="00BE78CA">
        <w:rPr>
          <w:rFonts w:cs="Calibri"/>
        </w:rPr>
        <w:instrText xml:space="preserve"> SEQ Figure \* ARABIC \s 2 </w:instrText>
      </w:r>
      <w:r w:rsidRPr="00BE78CA">
        <w:rPr>
          <w:rFonts w:cs="Calibri"/>
        </w:rPr>
        <w:fldChar w:fldCharType="separate"/>
      </w:r>
      <w:r w:rsidR="00B94D2F">
        <w:rPr>
          <w:rFonts w:cs="Calibri"/>
          <w:noProof/>
        </w:rPr>
        <w:t>4</w:t>
      </w:r>
      <w:r w:rsidRPr="00BE78CA">
        <w:rPr>
          <w:rFonts w:cs="Calibri"/>
        </w:rPr>
        <w:fldChar w:fldCharType="end"/>
      </w:r>
      <w:bookmarkEnd w:id="258"/>
      <w:r w:rsidRPr="00BE78CA">
        <w:rPr>
          <w:rFonts w:cs="Calibri"/>
        </w:rPr>
        <w:t xml:space="preserve"> </w:t>
      </w:r>
      <w:r w:rsidRPr="00BE78CA">
        <w:rPr>
          <w:rFonts w:cs="Calibri"/>
        </w:rPr>
        <w:tab/>
        <w:t>Carbon dioxide implied emission factor (IEF) – Solid fuel combustion</w:t>
      </w:r>
      <w:bookmarkEnd w:id="259"/>
      <w:bookmarkEnd w:id="260"/>
      <w:bookmarkEnd w:id="261"/>
      <w:bookmarkEnd w:id="262"/>
      <w:bookmarkEnd w:id="263"/>
      <w:r w:rsidRPr="00BE78CA">
        <w:rPr>
          <w:rFonts w:cs="Calibri"/>
        </w:rPr>
        <w:t xml:space="preserve"> (1990–2019)</w:t>
      </w:r>
      <w:bookmarkEnd w:id="264"/>
      <w:bookmarkEnd w:id="265"/>
    </w:p>
    <w:p w14:paraId="74E3C1FC" w14:textId="77777777" w:rsidR="00706DD1" w:rsidRPr="00BE78CA" w:rsidRDefault="00706DD1" w:rsidP="00706DD1">
      <w:pPr>
        <w:pStyle w:val="BodyText"/>
        <w:spacing w:after="0"/>
        <w:rPr>
          <w:rFonts w:cs="Calibri"/>
          <w:lang w:eastAsia="en-GB"/>
        </w:rPr>
      </w:pPr>
      <w:r w:rsidRPr="00BE78CA">
        <w:rPr>
          <w:rFonts w:cs="Calibri"/>
          <w:noProof/>
        </w:rPr>
        <w:drawing>
          <wp:inline distT="0" distB="0" distL="0" distR="0" wp14:anchorId="463661D1" wp14:editId="2F537C19">
            <wp:extent cx="5400675" cy="2700655"/>
            <wp:effectExtent l="0" t="0" r="9525" b="444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_3_3_4_solid_fuels.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400675" cy="2700655"/>
                    </a:xfrm>
                    <a:prstGeom prst="rect">
                      <a:avLst/>
                    </a:prstGeom>
                  </pic:spPr>
                </pic:pic>
              </a:graphicData>
            </a:graphic>
          </wp:inline>
        </w:drawing>
      </w:r>
    </w:p>
    <w:p w14:paraId="6095E984" w14:textId="38D02141" w:rsidR="00706DD1" w:rsidRPr="00BE78CA" w:rsidRDefault="00706DD1" w:rsidP="00D82765">
      <w:pPr>
        <w:pStyle w:val="Figure"/>
        <w:spacing w:after="80"/>
        <w:rPr>
          <w:rFonts w:cs="Calibri"/>
          <w:lang w:eastAsia="en-GB"/>
        </w:rPr>
      </w:pPr>
      <w:bookmarkStart w:id="266" w:name="_Ref442369964"/>
      <w:bookmarkStart w:id="267" w:name="_Toc321399327"/>
      <w:bookmarkStart w:id="268" w:name="_Toc384582855"/>
      <w:bookmarkStart w:id="269" w:name="_Toc443060815"/>
      <w:bookmarkStart w:id="270" w:name="_Toc447275672"/>
      <w:bookmarkStart w:id="271" w:name="_Toc481751990"/>
      <w:bookmarkStart w:id="272" w:name="_Toc36292774"/>
      <w:bookmarkStart w:id="273" w:name="_Toc68786639"/>
      <w:r w:rsidRPr="00BE78CA">
        <w:rPr>
          <w:rFonts w:cs="Calibri"/>
        </w:rPr>
        <w:lastRenderedPageBreak/>
        <w:t>Figure 3.3.</w:t>
      </w:r>
      <w:r w:rsidRPr="00BE78CA">
        <w:rPr>
          <w:rFonts w:cs="Calibri"/>
        </w:rPr>
        <w:fldChar w:fldCharType="begin"/>
      </w:r>
      <w:r w:rsidRPr="00BE78CA">
        <w:rPr>
          <w:rFonts w:cs="Calibri"/>
        </w:rPr>
        <w:instrText xml:space="preserve"> SEQ Figure \* ARABIC \s 2 </w:instrText>
      </w:r>
      <w:r w:rsidRPr="00BE78CA">
        <w:rPr>
          <w:rFonts w:cs="Calibri"/>
        </w:rPr>
        <w:fldChar w:fldCharType="separate"/>
      </w:r>
      <w:r w:rsidR="00B94D2F">
        <w:rPr>
          <w:rFonts w:cs="Calibri"/>
          <w:noProof/>
        </w:rPr>
        <w:t>5</w:t>
      </w:r>
      <w:r w:rsidRPr="00BE78CA">
        <w:rPr>
          <w:rFonts w:cs="Calibri"/>
        </w:rPr>
        <w:fldChar w:fldCharType="end"/>
      </w:r>
      <w:bookmarkEnd w:id="266"/>
      <w:r w:rsidRPr="00BE78CA">
        <w:rPr>
          <w:rFonts w:cs="Calibri"/>
          <w:lang w:eastAsia="en-GB"/>
        </w:rPr>
        <w:tab/>
        <w:t xml:space="preserve">Carbon dioxide implied emission factor </w:t>
      </w:r>
      <w:r w:rsidRPr="00BE78CA">
        <w:rPr>
          <w:rFonts w:cs="Calibri"/>
        </w:rPr>
        <w:t>(IEF)</w:t>
      </w:r>
      <w:r w:rsidRPr="00BE78CA">
        <w:rPr>
          <w:rFonts w:cs="Calibri"/>
          <w:lang w:eastAsia="en-GB"/>
        </w:rPr>
        <w:t xml:space="preserve"> – Gaseous fuel combustion</w:t>
      </w:r>
      <w:bookmarkEnd w:id="267"/>
      <w:bookmarkEnd w:id="268"/>
      <w:bookmarkEnd w:id="269"/>
      <w:bookmarkEnd w:id="270"/>
      <w:bookmarkEnd w:id="271"/>
      <w:r w:rsidRPr="00BE78CA">
        <w:rPr>
          <w:rFonts w:cs="Calibri"/>
          <w:lang w:eastAsia="en-GB"/>
        </w:rPr>
        <w:t xml:space="preserve"> </w:t>
      </w:r>
      <w:r w:rsidRPr="00BE78CA">
        <w:rPr>
          <w:rFonts w:cs="Calibri"/>
        </w:rPr>
        <w:t>(1990–2019)</w:t>
      </w:r>
      <w:bookmarkEnd w:id="272"/>
      <w:bookmarkEnd w:id="273"/>
    </w:p>
    <w:p w14:paraId="722C484A" w14:textId="77777777" w:rsidR="00706DD1" w:rsidRPr="00BE78CA" w:rsidRDefault="00706DD1" w:rsidP="00706DD1">
      <w:pPr>
        <w:pStyle w:val="BodyText"/>
        <w:spacing w:before="60" w:after="0"/>
        <w:rPr>
          <w:rFonts w:cs="Calibri"/>
          <w:lang w:eastAsia="en-GB"/>
        </w:rPr>
      </w:pPr>
      <w:r w:rsidRPr="00BE78CA">
        <w:rPr>
          <w:rFonts w:cs="Calibri"/>
          <w:noProof/>
        </w:rPr>
        <w:drawing>
          <wp:inline distT="0" distB="0" distL="0" distR="0" wp14:anchorId="30CC9783" wp14:editId="4CC8E6ED">
            <wp:extent cx="5400041" cy="2579298"/>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_3_3_5_gaseous_fuels.png"/>
                    <pic:cNvPicPr/>
                  </pic:nvPicPr>
                  <pic:blipFill rotWithShape="1">
                    <a:blip r:embed="rId67" cstate="print">
                      <a:extLst>
                        <a:ext uri="{28A0092B-C50C-407E-A947-70E740481C1C}">
                          <a14:useLocalDpi xmlns:a14="http://schemas.microsoft.com/office/drawing/2010/main" val="0"/>
                        </a:ext>
                      </a:extLst>
                    </a:blip>
                    <a:srcRect b="4471"/>
                    <a:stretch/>
                  </pic:blipFill>
                  <pic:spPr bwMode="auto">
                    <a:xfrm>
                      <a:off x="0" y="0"/>
                      <a:ext cx="5400675" cy="2579601"/>
                    </a:xfrm>
                    <a:prstGeom prst="rect">
                      <a:avLst/>
                    </a:prstGeom>
                    <a:ln>
                      <a:noFill/>
                    </a:ln>
                    <a:extLst>
                      <a:ext uri="{53640926-AAD7-44D8-BBD7-CCE9431645EC}">
                        <a14:shadowObscured xmlns:a14="http://schemas.microsoft.com/office/drawing/2010/main"/>
                      </a:ext>
                    </a:extLst>
                  </pic:spPr>
                </pic:pic>
              </a:graphicData>
            </a:graphic>
          </wp:inline>
        </w:drawing>
      </w:r>
    </w:p>
    <w:p w14:paraId="27DE28D5" w14:textId="77777777" w:rsidR="00706DD1" w:rsidRPr="00BE78CA" w:rsidRDefault="00706DD1" w:rsidP="00706DD1">
      <w:pPr>
        <w:pStyle w:val="Noteundertable"/>
        <w:rPr>
          <w:rFonts w:cs="Calibri"/>
        </w:rPr>
      </w:pPr>
      <w:r w:rsidRPr="00BE78CA">
        <w:rPr>
          <w:rFonts w:cs="Calibri"/>
          <w:b/>
        </w:rPr>
        <w:t>Note:</w:t>
      </w:r>
      <w:r w:rsidRPr="00BE78CA">
        <w:rPr>
          <w:rFonts w:cs="Calibri"/>
        </w:rPr>
        <w:t xml:space="preserve"> </w:t>
      </w:r>
      <w:r w:rsidRPr="00BE78CA">
        <w:rPr>
          <w:rFonts w:cs="Calibri"/>
        </w:rPr>
        <w:tab/>
        <w:t>As discussed in section 3.3.1 under ‘Emission factors’, carbon dioxide emission factors for New Zealand natural gas fields are established through gas composition analysis and are known to be high by international standards.</w:t>
      </w:r>
    </w:p>
    <w:p w14:paraId="10D1473A" w14:textId="77777777" w:rsidR="00706DD1" w:rsidRPr="00BE78CA" w:rsidRDefault="00706DD1" w:rsidP="00706DD1">
      <w:pPr>
        <w:pStyle w:val="Heading3"/>
        <w:rPr>
          <w:rFonts w:cs="Calibri"/>
        </w:rPr>
      </w:pPr>
      <w:r w:rsidRPr="00BE78CA">
        <w:rPr>
          <w:rFonts w:cs="Calibri"/>
        </w:rPr>
        <w:t>3.3.5</w:t>
      </w:r>
      <w:r w:rsidRPr="00BE78CA">
        <w:rPr>
          <w:rFonts w:cs="Calibri"/>
        </w:rPr>
        <w:tab/>
        <w:t>Uncertainties and time-series consistency</w:t>
      </w:r>
    </w:p>
    <w:p w14:paraId="47A6395D" w14:textId="072A3322" w:rsidR="00706DD1" w:rsidRPr="00BE78CA" w:rsidRDefault="00706DD1" w:rsidP="00706DD1">
      <w:pPr>
        <w:pStyle w:val="BodyText"/>
        <w:rPr>
          <w:rFonts w:cs="Calibri"/>
          <w:lang w:eastAsia="en-GB"/>
        </w:rPr>
      </w:pPr>
      <w:r w:rsidRPr="00BE78CA">
        <w:rPr>
          <w:rFonts w:cs="Calibri"/>
          <w:lang w:eastAsia="en-GB"/>
        </w:rPr>
        <w:t>Uncertainty in greenhouse gas emissions from fuel combustion varies, depending on the type</w:t>
      </w:r>
      <w:r w:rsidR="003C1F2B" w:rsidRPr="00BE78CA">
        <w:rPr>
          <w:rFonts w:cs="Calibri"/>
          <w:lang w:eastAsia="en-GB"/>
        </w:rPr>
        <w:t> </w:t>
      </w:r>
      <w:r w:rsidRPr="00BE78CA">
        <w:rPr>
          <w:rFonts w:cs="Calibri"/>
          <w:lang w:eastAsia="en-GB"/>
        </w:rPr>
        <w:t>of greenhouse gas. The uncertainty in CO</w:t>
      </w:r>
      <w:r w:rsidRPr="00BE78CA">
        <w:rPr>
          <w:rFonts w:cs="Calibri"/>
          <w:vertAlign w:val="subscript"/>
          <w:lang w:eastAsia="en-GB"/>
        </w:rPr>
        <w:t>2</w:t>
      </w:r>
      <w:r w:rsidRPr="00BE78CA">
        <w:rPr>
          <w:rFonts w:cs="Calibri"/>
          <w:sz w:val="14"/>
          <w:szCs w:val="14"/>
          <w:lang w:eastAsia="en-GB"/>
        </w:rPr>
        <w:t xml:space="preserve"> </w:t>
      </w:r>
      <w:r w:rsidRPr="00BE78CA">
        <w:rPr>
          <w:rFonts w:cs="Calibri"/>
          <w:lang w:eastAsia="en-GB"/>
        </w:rPr>
        <w:t>emissions is relatively low. This is important because CO</w:t>
      </w:r>
      <w:r w:rsidRPr="00BE78CA">
        <w:rPr>
          <w:rFonts w:cs="Calibri"/>
          <w:vertAlign w:val="subscript"/>
          <w:lang w:eastAsia="en-GB"/>
        </w:rPr>
        <w:t>2</w:t>
      </w:r>
      <w:r w:rsidRPr="00BE78CA">
        <w:rPr>
          <w:rFonts w:cs="Calibri"/>
          <w:lang w:eastAsia="en-GB"/>
        </w:rPr>
        <w:t xml:space="preserve"> emissions comprise around 96 per cent to 97 per cent of </w:t>
      </w:r>
      <w:r w:rsidRPr="00BE78CA">
        <w:rPr>
          <w:rFonts w:cs="Calibri"/>
        </w:rPr>
        <w:t>CO</w:t>
      </w:r>
      <w:r w:rsidRPr="00BE78CA">
        <w:rPr>
          <w:rFonts w:cs="Calibri"/>
          <w:vertAlign w:val="subscript"/>
        </w:rPr>
        <w:t>2</w:t>
      </w:r>
      <w:r w:rsidRPr="00BE78CA">
        <w:rPr>
          <w:rFonts w:cs="Calibri"/>
        </w:rPr>
        <w:t>-e</w:t>
      </w:r>
      <w:r w:rsidRPr="00BE78CA">
        <w:rPr>
          <w:rFonts w:cs="Calibri"/>
          <w:lang w:eastAsia="en-GB"/>
        </w:rPr>
        <w:t xml:space="preserve"> emissions from</w:t>
      </w:r>
      <w:r w:rsidR="003C1F2B" w:rsidRPr="00BE78CA">
        <w:rPr>
          <w:rFonts w:cs="Calibri"/>
          <w:lang w:eastAsia="en-GB"/>
        </w:rPr>
        <w:t> </w:t>
      </w:r>
      <w:r w:rsidRPr="00BE78CA">
        <w:rPr>
          <w:rFonts w:cs="Calibri"/>
          <w:lang w:eastAsia="en-GB"/>
        </w:rPr>
        <w:t>fuel combustion in New Zealand. By comparison, emissions of the non-</w:t>
      </w:r>
      <w:r w:rsidRPr="00BE78CA">
        <w:rPr>
          <w:rFonts w:cs="Calibri"/>
        </w:rPr>
        <w:t>CO</w:t>
      </w:r>
      <w:r w:rsidRPr="00BE78CA">
        <w:rPr>
          <w:rFonts w:cs="Calibri"/>
          <w:vertAlign w:val="subscript"/>
        </w:rPr>
        <w:t>2</w:t>
      </w:r>
      <w:r w:rsidRPr="00BE78CA">
        <w:rPr>
          <w:rFonts w:cs="Calibri"/>
          <w:sz w:val="14"/>
          <w:szCs w:val="14"/>
          <w:lang w:eastAsia="en-GB"/>
        </w:rPr>
        <w:t xml:space="preserve"> </w:t>
      </w:r>
      <w:r w:rsidRPr="00BE78CA">
        <w:rPr>
          <w:rFonts w:cs="Calibri"/>
          <w:lang w:eastAsia="en-GB"/>
        </w:rPr>
        <w:t>gases are much less</w:t>
      </w:r>
      <w:r w:rsidR="003C1F2B" w:rsidRPr="00BE78CA">
        <w:rPr>
          <w:rFonts w:cs="Calibri"/>
          <w:lang w:eastAsia="en-GB"/>
        </w:rPr>
        <w:t> </w:t>
      </w:r>
      <w:r w:rsidRPr="00BE78CA">
        <w:rPr>
          <w:rFonts w:cs="Calibri"/>
          <w:lang w:eastAsia="en-GB"/>
        </w:rPr>
        <w:t xml:space="preserve">certain because emissions vary with combustion conditions. Uncertainties for </w:t>
      </w:r>
      <w:r w:rsidRPr="00BE78CA">
        <w:rPr>
          <w:rFonts w:cs="Calibri"/>
        </w:rPr>
        <w:t>CO</w:t>
      </w:r>
      <w:r w:rsidRPr="00BE78CA">
        <w:rPr>
          <w:rFonts w:cs="Calibri"/>
          <w:vertAlign w:val="subscript"/>
        </w:rPr>
        <w:t>2</w:t>
      </w:r>
      <w:r w:rsidRPr="00BE78CA">
        <w:rPr>
          <w:rFonts w:cs="Calibri"/>
          <w:lang w:eastAsia="en-GB"/>
        </w:rPr>
        <w:t xml:space="preserve">, </w:t>
      </w:r>
      <w:r w:rsidRPr="00BE78CA">
        <w:rPr>
          <w:rFonts w:cs="Calibri"/>
        </w:rPr>
        <w:t>CH</w:t>
      </w:r>
      <w:r w:rsidRPr="00BE78CA">
        <w:rPr>
          <w:rFonts w:cs="Calibri"/>
          <w:vertAlign w:val="subscript"/>
        </w:rPr>
        <w:t>4</w:t>
      </w:r>
      <w:r w:rsidRPr="00BE78CA">
        <w:rPr>
          <w:rFonts w:cs="Calibri"/>
          <w:lang w:eastAsia="en-GB"/>
        </w:rPr>
        <w:t xml:space="preserve"> and</w:t>
      </w:r>
      <w:r w:rsidR="003C1F2B" w:rsidRPr="00BE78CA">
        <w:rPr>
          <w:rFonts w:cs="Calibri"/>
          <w:lang w:eastAsia="en-GB"/>
        </w:rPr>
        <w:t> </w:t>
      </w:r>
      <w:r w:rsidRPr="00BE78CA">
        <w:rPr>
          <w:rFonts w:cs="Calibri"/>
        </w:rPr>
        <w:t>N</w:t>
      </w:r>
      <w:r w:rsidRPr="00BE78CA">
        <w:rPr>
          <w:rFonts w:cs="Calibri"/>
          <w:vertAlign w:val="subscript"/>
        </w:rPr>
        <w:t>2</w:t>
      </w:r>
      <w:r w:rsidRPr="00BE78CA">
        <w:rPr>
          <w:rFonts w:cs="Calibri"/>
        </w:rPr>
        <w:t>O</w:t>
      </w:r>
      <w:r w:rsidRPr="00BE78CA">
        <w:rPr>
          <w:rFonts w:cs="Calibri"/>
          <w:lang w:eastAsia="en-GB"/>
        </w:rPr>
        <w:t xml:space="preserve"> activity data and emission factors are supplied in table 3.3.1. Many of the non</w:t>
      </w:r>
      <w:r w:rsidR="003C1F2B" w:rsidRPr="00BE78CA">
        <w:rPr>
          <w:rFonts w:cs="Calibri"/>
          <w:lang w:eastAsia="en-GB"/>
        </w:rPr>
        <w:noBreakHyphen/>
      </w:r>
      <w:r w:rsidRPr="00BE78CA">
        <w:rPr>
          <w:rFonts w:cs="Calibri"/>
        </w:rPr>
        <w:t>CO</w:t>
      </w:r>
      <w:r w:rsidRPr="00BE78CA">
        <w:rPr>
          <w:rFonts w:cs="Calibri"/>
          <w:vertAlign w:val="subscript"/>
        </w:rPr>
        <w:t>2</w:t>
      </w:r>
      <w:r w:rsidRPr="00BE78CA">
        <w:rPr>
          <w:rFonts w:cs="Calibri"/>
          <w:sz w:val="14"/>
          <w:szCs w:val="14"/>
          <w:lang w:eastAsia="en-GB"/>
        </w:rPr>
        <w:t xml:space="preserve"> </w:t>
      </w:r>
      <w:r w:rsidRPr="00BE78CA">
        <w:rPr>
          <w:rFonts w:cs="Calibri"/>
          <w:lang w:eastAsia="en-GB"/>
        </w:rPr>
        <w:t>emission factors used by New Zealand are the IPCC default values. Further detailed information around uncertainties for each fuel type can be found in annex 4, sections A4.1, A4.2 and A4.3.</w:t>
      </w:r>
    </w:p>
    <w:p w14:paraId="4EF36E97" w14:textId="77777777" w:rsidR="00706DD1" w:rsidRPr="00BE78CA" w:rsidRDefault="00706DD1" w:rsidP="00706DD1">
      <w:pPr>
        <w:pStyle w:val="Table"/>
        <w:rPr>
          <w:rFonts w:cs="Calibri"/>
        </w:rPr>
      </w:pPr>
      <w:bookmarkStart w:id="274" w:name="_Toc384582169"/>
      <w:bookmarkStart w:id="275" w:name="_Toc443060845"/>
      <w:bookmarkStart w:id="276" w:name="_Toc451176061"/>
      <w:bookmarkStart w:id="277" w:name="_Toc481751487"/>
      <w:bookmarkStart w:id="278" w:name="_Toc507496590"/>
      <w:bookmarkStart w:id="279" w:name="_Toc36224524"/>
      <w:bookmarkStart w:id="280" w:name="_Toc68786405"/>
      <w:r w:rsidRPr="00BE78CA">
        <w:rPr>
          <w:rFonts w:cs="Calibri"/>
        </w:rPr>
        <w:t>Table 3.3.1</w:t>
      </w:r>
      <w:r w:rsidRPr="00BE78CA">
        <w:rPr>
          <w:rFonts w:cs="Calibri"/>
        </w:rPr>
        <w:tab/>
        <w:t>Uncertainty for New Zealand’s Energy sector emission estimates</w:t>
      </w:r>
      <w:bookmarkEnd w:id="274"/>
      <w:bookmarkEnd w:id="275"/>
      <w:bookmarkEnd w:id="276"/>
      <w:bookmarkEnd w:id="277"/>
      <w:bookmarkEnd w:id="278"/>
      <w:bookmarkEnd w:id="279"/>
      <w:r w:rsidRPr="00BE78CA">
        <w:rPr>
          <w:rFonts w:cs="Calibri"/>
        </w:rPr>
        <w:t xml:space="preserve"> for 2019</w:t>
      </w:r>
      <w:bookmarkEnd w:id="280"/>
    </w:p>
    <w:tbl>
      <w:tblPr>
        <w:tblW w:w="8505" w:type="dxa"/>
        <w:tblBorders>
          <w:top w:val="single" w:sz="4" w:space="0" w:color="1F497D"/>
          <w:bottom w:val="single" w:sz="4" w:space="0" w:color="1F497D"/>
          <w:insideH w:val="single" w:sz="4" w:space="0" w:color="1F497D"/>
          <w:insideV w:val="single" w:sz="4" w:space="0" w:color="1F497D"/>
        </w:tblBorders>
        <w:tblLook w:val="0420" w:firstRow="1" w:lastRow="0" w:firstColumn="0" w:lastColumn="0" w:noHBand="0" w:noVBand="1"/>
      </w:tblPr>
      <w:tblGrid>
        <w:gridCol w:w="544"/>
        <w:gridCol w:w="4584"/>
        <w:gridCol w:w="1657"/>
        <w:gridCol w:w="1720"/>
      </w:tblGrid>
      <w:tr w:rsidR="00706DD1" w:rsidRPr="00BE78CA" w14:paraId="5F50420B" w14:textId="77777777" w:rsidTr="00D82765">
        <w:trPr>
          <w:tblHeader/>
        </w:trPr>
        <w:tc>
          <w:tcPr>
            <w:tcW w:w="320" w:type="pct"/>
            <w:tcBorders>
              <w:right w:val="single" w:sz="4" w:space="0" w:color="365F91"/>
            </w:tcBorders>
            <w:shd w:val="clear" w:color="auto" w:fill="365F91"/>
            <w:noWrap/>
            <w:vAlign w:val="bottom"/>
            <w:hideMark/>
          </w:tcPr>
          <w:p w14:paraId="6BE66D78" w14:textId="77777777" w:rsidR="00706DD1" w:rsidRPr="00BE78CA" w:rsidRDefault="00706DD1" w:rsidP="00C26084">
            <w:pPr>
              <w:pStyle w:val="TableTextBold"/>
              <w:rPr>
                <w:rFonts w:cs="Calibri"/>
                <w:noProof w:val="0"/>
                <w:color w:val="FFFFFF"/>
              </w:rPr>
            </w:pPr>
          </w:p>
        </w:tc>
        <w:tc>
          <w:tcPr>
            <w:tcW w:w="2695" w:type="pct"/>
            <w:tcBorders>
              <w:top w:val="single" w:sz="4" w:space="0" w:color="365F91"/>
              <w:left w:val="single" w:sz="4" w:space="0" w:color="365F91"/>
              <w:bottom w:val="single" w:sz="4" w:space="0" w:color="365F91"/>
              <w:right w:val="single" w:sz="4" w:space="0" w:color="365F91"/>
            </w:tcBorders>
            <w:shd w:val="clear" w:color="auto" w:fill="365F91"/>
            <w:noWrap/>
            <w:vAlign w:val="bottom"/>
            <w:hideMark/>
          </w:tcPr>
          <w:p w14:paraId="020293E7" w14:textId="77777777" w:rsidR="00706DD1" w:rsidRPr="00BE78CA" w:rsidRDefault="00706DD1" w:rsidP="00C26084">
            <w:pPr>
              <w:pStyle w:val="TableTextBold"/>
              <w:rPr>
                <w:rFonts w:cs="Calibri"/>
                <w:noProof w:val="0"/>
                <w:color w:val="FFFFFF"/>
              </w:rPr>
            </w:pPr>
            <w:r w:rsidRPr="00BE78CA">
              <w:rPr>
                <w:rFonts w:cs="Calibri"/>
                <w:noProof w:val="0"/>
                <w:color w:val="FFFFFF"/>
              </w:rPr>
              <w:t xml:space="preserve">Category </w:t>
            </w:r>
          </w:p>
        </w:tc>
        <w:tc>
          <w:tcPr>
            <w:tcW w:w="974" w:type="pct"/>
            <w:tcBorders>
              <w:top w:val="single" w:sz="4" w:space="0" w:color="365F91"/>
              <w:left w:val="single" w:sz="4" w:space="0" w:color="365F91"/>
              <w:bottom w:val="single" w:sz="4" w:space="0" w:color="365F91"/>
              <w:right w:val="single" w:sz="4" w:space="0" w:color="365F91"/>
            </w:tcBorders>
            <w:shd w:val="clear" w:color="auto" w:fill="365F91"/>
            <w:vAlign w:val="bottom"/>
            <w:hideMark/>
          </w:tcPr>
          <w:p w14:paraId="37F0A969" w14:textId="77777777" w:rsidR="00706DD1" w:rsidRPr="00BE78CA" w:rsidRDefault="00706DD1" w:rsidP="00C26084">
            <w:pPr>
              <w:pStyle w:val="TableTextBold"/>
              <w:jc w:val="center"/>
              <w:rPr>
                <w:rFonts w:cs="Calibri"/>
                <w:noProof w:val="0"/>
                <w:color w:val="FFFFFF"/>
              </w:rPr>
            </w:pPr>
            <w:r w:rsidRPr="00BE78CA">
              <w:rPr>
                <w:rFonts w:cs="Calibri"/>
                <w:noProof w:val="0"/>
                <w:color w:val="FFFFFF"/>
              </w:rPr>
              <w:t>Activity data uncertainty (%)</w:t>
            </w:r>
          </w:p>
        </w:tc>
        <w:tc>
          <w:tcPr>
            <w:tcW w:w="1011" w:type="pct"/>
            <w:tcBorders>
              <w:left w:val="single" w:sz="4" w:space="0" w:color="365F91"/>
            </w:tcBorders>
            <w:shd w:val="clear" w:color="auto" w:fill="365F91"/>
            <w:vAlign w:val="bottom"/>
            <w:hideMark/>
          </w:tcPr>
          <w:p w14:paraId="269FE63C" w14:textId="77777777" w:rsidR="00706DD1" w:rsidRPr="00BE78CA" w:rsidRDefault="00706DD1" w:rsidP="00C26084">
            <w:pPr>
              <w:pStyle w:val="TableTextBold"/>
              <w:jc w:val="center"/>
              <w:rPr>
                <w:rFonts w:cs="Calibri"/>
                <w:noProof w:val="0"/>
                <w:color w:val="FFFFFF"/>
              </w:rPr>
            </w:pPr>
            <w:r w:rsidRPr="00BE78CA">
              <w:rPr>
                <w:rFonts w:cs="Calibri"/>
                <w:noProof w:val="0"/>
                <w:color w:val="FFFFFF"/>
              </w:rPr>
              <w:t>Emission factor uncertainty (%)</w:t>
            </w:r>
          </w:p>
        </w:tc>
      </w:tr>
      <w:tr w:rsidR="00706DD1" w:rsidRPr="00BE78CA" w14:paraId="477C7C38" w14:textId="77777777" w:rsidTr="00D82765">
        <w:tc>
          <w:tcPr>
            <w:tcW w:w="320" w:type="pct"/>
            <w:tcBorders>
              <w:right w:val="single" w:sz="4" w:space="0" w:color="365F91"/>
            </w:tcBorders>
            <w:shd w:val="clear" w:color="auto" w:fill="auto"/>
            <w:noWrap/>
            <w:hideMark/>
          </w:tcPr>
          <w:p w14:paraId="25028D52" w14:textId="77777777" w:rsidR="00706DD1" w:rsidRPr="00BE78CA" w:rsidRDefault="00706DD1" w:rsidP="00C26084">
            <w:pPr>
              <w:pStyle w:val="TableText"/>
              <w:spacing w:before="50" w:after="50"/>
              <w:rPr>
                <w:rFonts w:cs="Calibri"/>
              </w:rPr>
            </w:pPr>
            <w:r w:rsidRPr="00BE78CA">
              <w:rPr>
                <w:rFonts w:cs="Calibri"/>
              </w:rPr>
              <w:t>CO</w:t>
            </w:r>
            <w:r w:rsidRPr="00BE78CA">
              <w:rPr>
                <w:rFonts w:cs="Calibri"/>
                <w:vertAlign w:val="subscript"/>
              </w:rPr>
              <w:t>2</w:t>
            </w:r>
          </w:p>
        </w:tc>
        <w:tc>
          <w:tcPr>
            <w:tcW w:w="2695" w:type="pct"/>
            <w:tcBorders>
              <w:top w:val="single" w:sz="4" w:space="0" w:color="365F91"/>
              <w:left w:val="single" w:sz="4" w:space="0" w:color="365F91"/>
              <w:bottom w:val="single" w:sz="4" w:space="0" w:color="365F91"/>
              <w:right w:val="single" w:sz="4" w:space="0" w:color="365F91"/>
            </w:tcBorders>
            <w:shd w:val="clear" w:color="auto" w:fill="auto"/>
            <w:noWrap/>
            <w:hideMark/>
          </w:tcPr>
          <w:p w14:paraId="6DF436C9" w14:textId="77777777" w:rsidR="00706DD1" w:rsidRPr="00BE78CA" w:rsidRDefault="00706DD1" w:rsidP="00C26084">
            <w:pPr>
              <w:pStyle w:val="TableText"/>
              <w:spacing w:before="50" w:after="50"/>
              <w:rPr>
                <w:rFonts w:cs="Calibri"/>
              </w:rPr>
            </w:pPr>
            <w:r w:rsidRPr="00BE78CA">
              <w:rPr>
                <w:rFonts w:cs="Calibri"/>
              </w:rPr>
              <w:t>Liquid fuels</w:t>
            </w:r>
          </w:p>
        </w:tc>
        <w:tc>
          <w:tcPr>
            <w:tcW w:w="974" w:type="pct"/>
            <w:tcBorders>
              <w:top w:val="single" w:sz="4" w:space="0" w:color="365F91"/>
              <w:left w:val="single" w:sz="4" w:space="0" w:color="365F91"/>
              <w:bottom w:val="single" w:sz="4" w:space="0" w:color="365F91"/>
              <w:right w:val="single" w:sz="4" w:space="0" w:color="365F91"/>
            </w:tcBorders>
            <w:shd w:val="clear" w:color="auto" w:fill="auto"/>
            <w:noWrap/>
            <w:hideMark/>
          </w:tcPr>
          <w:p w14:paraId="4CE6BF78" w14:textId="77777777" w:rsidR="00706DD1" w:rsidRPr="00BE78CA" w:rsidRDefault="00706DD1" w:rsidP="00C26084">
            <w:pPr>
              <w:pStyle w:val="TableText"/>
              <w:spacing w:before="50" w:after="50"/>
              <w:jc w:val="center"/>
              <w:rPr>
                <w:rFonts w:cs="Calibri"/>
              </w:rPr>
            </w:pPr>
            <w:r w:rsidRPr="00BE78CA">
              <w:rPr>
                <w:rFonts w:cs="Calibri"/>
              </w:rPr>
              <w:t>1.5</w:t>
            </w:r>
          </w:p>
        </w:tc>
        <w:tc>
          <w:tcPr>
            <w:tcW w:w="1011" w:type="pct"/>
            <w:tcBorders>
              <w:left w:val="single" w:sz="4" w:space="0" w:color="365F91"/>
            </w:tcBorders>
            <w:shd w:val="clear" w:color="auto" w:fill="auto"/>
            <w:noWrap/>
            <w:hideMark/>
          </w:tcPr>
          <w:p w14:paraId="4B4C4193" w14:textId="77777777" w:rsidR="00706DD1" w:rsidRPr="00BE78CA" w:rsidRDefault="00706DD1" w:rsidP="00C26084">
            <w:pPr>
              <w:pStyle w:val="TableText"/>
              <w:spacing w:before="50" w:after="50"/>
              <w:jc w:val="center"/>
              <w:rPr>
                <w:rFonts w:cs="Calibri"/>
              </w:rPr>
            </w:pPr>
            <w:r w:rsidRPr="00BE78CA">
              <w:rPr>
                <w:rFonts w:cs="Calibri"/>
              </w:rPr>
              <w:t>±0.5</w:t>
            </w:r>
          </w:p>
        </w:tc>
      </w:tr>
      <w:tr w:rsidR="00706DD1" w:rsidRPr="00BE78CA" w14:paraId="61AD4DED" w14:textId="77777777" w:rsidTr="00D82765">
        <w:tc>
          <w:tcPr>
            <w:tcW w:w="320" w:type="pct"/>
            <w:tcBorders>
              <w:right w:val="single" w:sz="4" w:space="0" w:color="365F91"/>
            </w:tcBorders>
            <w:shd w:val="clear" w:color="auto" w:fill="auto"/>
            <w:noWrap/>
            <w:hideMark/>
          </w:tcPr>
          <w:p w14:paraId="0DB645B1" w14:textId="77777777" w:rsidR="00706DD1" w:rsidRPr="00BE78CA" w:rsidRDefault="00706DD1" w:rsidP="00C26084">
            <w:pPr>
              <w:pStyle w:val="TableText"/>
              <w:spacing w:before="50" w:after="50"/>
              <w:rPr>
                <w:rFonts w:cs="Calibri"/>
              </w:rPr>
            </w:pPr>
            <w:r w:rsidRPr="00BE78CA">
              <w:rPr>
                <w:rFonts w:cs="Calibri"/>
              </w:rPr>
              <w:t> </w:t>
            </w:r>
          </w:p>
        </w:tc>
        <w:tc>
          <w:tcPr>
            <w:tcW w:w="2695" w:type="pct"/>
            <w:tcBorders>
              <w:top w:val="single" w:sz="4" w:space="0" w:color="365F91"/>
              <w:left w:val="single" w:sz="4" w:space="0" w:color="365F91"/>
              <w:bottom w:val="single" w:sz="4" w:space="0" w:color="365F91"/>
              <w:right w:val="single" w:sz="4" w:space="0" w:color="365F91"/>
            </w:tcBorders>
            <w:shd w:val="clear" w:color="auto" w:fill="auto"/>
            <w:noWrap/>
            <w:hideMark/>
          </w:tcPr>
          <w:p w14:paraId="249C4682" w14:textId="77777777" w:rsidR="00706DD1" w:rsidRPr="00BE78CA" w:rsidRDefault="00706DD1" w:rsidP="00C26084">
            <w:pPr>
              <w:pStyle w:val="TableText"/>
              <w:spacing w:before="50" w:after="50"/>
              <w:rPr>
                <w:rFonts w:cs="Calibri"/>
              </w:rPr>
            </w:pPr>
            <w:r w:rsidRPr="00BE78CA">
              <w:rPr>
                <w:rFonts w:cs="Calibri"/>
              </w:rPr>
              <w:t>Solid fuels</w:t>
            </w:r>
          </w:p>
        </w:tc>
        <w:tc>
          <w:tcPr>
            <w:tcW w:w="974" w:type="pct"/>
            <w:tcBorders>
              <w:top w:val="single" w:sz="4" w:space="0" w:color="365F91"/>
              <w:left w:val="single" w:sz="4" w:space="0" w:color="365F91"/>
              <w:bottom w:val="single" w:sz="4" w:space="0" w:color="365F91"/>
              <w:right w:val="single" w:sz="4" w:space="0" w:color="365F91"/>
            </w:tcBorders>
            <w:shd w:val="clear" w:color="auto" w:fill="auto"/>
            <w:noWrap/>
            <w:hideMark/>
          </w:tcPr>
          <w:p w14:paraId="1A49AD57" w14:textId="77777777" w:rsidR="00706DD1" w:rsidRPr="00BE78CA" w:rsidRDefault="00706DD1" w:rsidP="00C26084">
            <w:pPr>
              <w:pStyle w:val="TableText"/>
              <w:spacing w:before="50" w:after="50"/>
              <w:jc w:val="center"/>
              <w:rPr>
                <w:rFonts w:cs="Calibri"/>
              </w:rPr>
            </w:pPr>
            <w:r w:rsidRPr="00BE78CA">
              <w:rPr>
                <w:rFonts w:cs="Calibri"/>
              </w:rPr>
              <w:t>4.6</w:t>
            </w:r>
          </w:p>
        </w:tc>
        <w:tc>
          <w:tcPr>
            <w:tcW w:w="1011" w:type="pct"/>
            <w:tcBorders>
              <w:left w:val="single" w:sz="4" w:space="0" w:color="365F91"/>
            </w:tcBorders>
            <w:shd w:val="clear" w:color="auto" w:fill="auto"/>
            <w:noWrap/>
            <w:hideMark/>
          </w:tcPr>
          <w:p w14:paraId="178B9A5B" w14:textId="77777777" w:rsidR="00706DD1" w:rsidRPr="00BE78CA" w:rsidRDefault="00706DD1" w:rsidP="00C26084">
            <w:pPr>
              <w:pStyle w:val="TableText"/>
              <w:spacing w:before="50" w:after="50"/>
              <w:jc w:val="center"/>
              <w:rPr>
                <w:rFonts w:cs="Calibri"/>
              </w:rPr>
            </w:pPr>
            <w:r w:rsidRPr="00BE78CA">
              <w:rPr>
                <w:rFonts w:cs="Calibri"/>
              </w:rPr>
              <w:t>±2.2</w:t>
            </w:r>
          </w:p>
        </w:tc>
      </w:tr>
      <w:tr w:rsidR="00706DD1" w:rsidRPr="00BE78CA" w14:paraId="7EED8919" w14:textId="77777777" w:rsidTr="00D82765">
        <w:tc>
          <w:tcPr>
            <w:tcW w:w="320" w:type="pct"/>
            <w:tcBorders>
              <w:right w:val="single" w:sz="4" w:space="0" w:color="365F91"/>
            </w:tcBorders>
            <w:shd w:val="clear" w:color="auto" w:fill="auto"/>
            <w:noWrap/>
            <w:hideMark/>
          </w:tcPr>
          <w:p w14:paraId="50937821" w14:textId="77777777" w:rsidR="00706DD1" w:rsidRPr="00BE78CA" w:rsidRDefault="00706DD1" w:rsidP="00C26084">
            <w:pPr>
              <w:pStyle w:val="TableText"/>
              <w:spacing w:before="50" w:after="50"/>
              <w:rPr>
                <w:rFonts w:cs="Calibri"/>
              </w:rPr>
            </w:pPr>
            <w:r w:rsidRPr="00BE78CA">
              <w:rPr>
                <w:rFonts w:cs="Calibri"/>
              </w:rPr>
              <w:t> </w:t>
            </w:r>
          </w:p>
        </w:tc>
        <w:tc>
          <w:tcPr>
            <w:tcW w:w="2695" w:type="pct"/>
            <w:tcBorders>
              <w:top w:val="single" w:sz="4" w:space="0" w:color="365F91"/>
              <w:left w:val="single" w:sz="4" w:space="0" w:color="365F91"/>
              <w:bottom w:val="single" w:sz="4" w:space="0" w:color="365F91"/>
              <w:right w:val="single" w:sz="4" w:space="0" w:color="365F91"/>
            </w:tcBorders>
            <w:shd w:val="clear" w:color="auto" w:fill="auto"/>
            <w:noWrap/>
            <w:hideMark/>
          </w:tcPr>
          <w:p w14:paraId="44746D91" w14:textId="77777777" w:rsidR="00706DD1" w:rsidRPr="00BE78CA" w:rsidRDefault="00706DD1" w:rsidP="00C26084">
            <w:pPr>
              <w:pStyle w:val="TableText"/>
              <w:spacing w:before="50" w:after="50"/>
              <w:rPr>
                <w:rFonts w:cs="Calibri"/>
              </w:rPr>
            </w:pPr>
            <w:r w:rsidRPr="00BE78CA">
              <w:rPr>
                <w:rFonts w:cs="Calibri"/>
              </w:rPr>
              <w:t>Gaseous fuels</w:t>
            </w:r>
          </w:p>
        </w:tc>
        <w:tc>
          <w:tcPr>
            <w:tcW w:w="974" w:type="pct"/>
            <w:tcBorders>
              <w:top w:val="single" w:sz="4" w:space="0" w:color="365F91"/>
              <w:left w:val="single" w:sz="4" w:space="0" w:color="365F91"/>
              <w:bottom w:val="single" w:sz="4" w:space="0" w:color="365F91"/>
              <w:right w:val="single" w:sz="4" w:space="0" w:color="365F91"/>
            </w:tcBorders>
            <w:shd w:val="clear" w:color="auto" w:fill="auto"/>
            <w:noWrap/>
            <w:hideMark/>
          </w:tcPr>
          <w:p w14:paraId="419C3CE0" w14:textId="77777777" w:rsidR="00706DD1" w:rsidRPr="00BE78CA" w:rsidRDefault="00706DD1" w:rsidP="00C26084">
            <w:pPr>
              <w:pStyle w:val="TableText"/>
              <w:spacing w:before="50" w:after="50"/>
              <w:jc w:val="center"/>
              <w:rPr>
                <w:rFonts w:cs="Calibri"/>
              </w:rPr>
            </w:pPr>
            <w:r w:rsidRPr="00BE78CA">
              <w:rPr>
                <w:rFonts w:cs="Calibri"/>
              </w:rPr>
              <w:t>9.3</w:t>
            </w:r>
          </w:p>
        </w:tc>
        <w:tc>
          <w:tcPr>
            <w:tcW w:w="1011" w:type="pct"/>
            <w:tcBorders>
              <w:left w:val="single" w:sz="4" w:space="0" w:color="365F91"/>
            </w:tcBorders>
            <w:shd w:val="clear" w:color="auto" w:fill="auto"/>
            <w:noWrap/>
            <w:hideMark/>
          </w:tcPr>
          <w:p w14:paraId="21D8381E" w14:textId="77777777" w:rsidR="00706DD1" w:rsidRPr="00BE78CA" w:rsidRDefault="00706DD1" w:rsidP="00C26084">
            <w:pPr>
              <w:pStyle w:val="TableText"/>
              <w:spacing w:before="50" w:after="50"/>
              <w:jc w:val="center"/>
              <w:rPr>
                <w:rFonts w:cs="Calibri"/>
              </w:rPr>
            </w:pPr>
            <w:r w:rsidRPr="00BE78CA">
              <w:rPr>
                <w:rFonts w:cs="Calibri"/>
              </w:rPr>
              <w:t>±2.4</w:t>
            </w:r>
          </w:p>
        </w:tc>
      </w:tr>
      <w:tr w:rsidR="00706DD1" w:rsidRPr="00BE78CA" w14:paraId="60EBD890" w14:textId="77777777" w:rsidTr="00D82765">
        <w:tc>
          <w:tcPr>
            <w:tcW w:w="320" w:type="pct"/>
            <w:tcBorders>
              <w:right w:val="single" w:sz="4" w:space="0" w:color="365F91"/>
            </w:tcBorders>
            <w:shd w:val="clear" w:color="auto" w:fill="auto"/>
            <w:noWrap/>
            <w:hideMark/>
          </w:tcPr>
          <w:p w14:paraId="79B178BE" w14:textId="77777777" w:rsidR="00706DD1" w:rsidRPr="00BE78CA" w:rsidRDefault="00706DD1" w:rsidP="00C26084">
            <w:pPr>
              <w:pStyle w:val="TableText"/>
              <w:spacing w:before="50" w:after="50"/>
              <w:rPr>
                <w:rFonts w:cs="Calibri"/>
              </w:rPr>
            </w:pPr>
            <w:r w:rsidRPr="00BE78CA">
              <w:rPr>
                <w:rFonts w:cs="Calibri"/>
              </w:rPr>
              <w:t> </w:t>
            </w:r>
          </w:p>
        </w:tc>
        <w:tc>
          <w:tcPr>
            <w:tcW w:w="2695" w:type="pct"/>
            <w:tcBorders>
              <w:top w:val="single" w:sz="4" w:space="0" w:color="365F91"/>
              <w:left w:val="single" w:sz="4" w:space="0" w:color="365F91"/>
              <w:bottom w:val="single" w:sz="4" w:space="0" w:color="365F91"/>
              <w:right w:val="single" w:sz="4" w:space="0" w:color="365F91"/>
            </w:tcBorders>
            <w:shd w:val="clear" w:color="auto" w:fill="auto"/>
            <w:noWrap/>
            <w:hideMark/>
          </w:tcPr>
          <w:p w14:paraId="28720A2F" w14:textId="77777777" w:rsidR="00706DD1" w:rsidRPr="00BE78CA" w:rsidRDefault="00706DD1" w:rsidP="00C26084">
            <w:pPr>
              <w:pStyle w:val="TableText"/>
              <w:spacing w:before="50" w:after="50"/>
              <w:rPr>
                <w:rFonts w:cs="Calibri"/>
              </w:rPr>
            </w:pPr>
            <w:r w:rsidRPr="00BE78CA">
              <w:rPr>
                <w:rFonts w:cs="Calibri"/>
              </w:rPr>
              <w:t>Fugitive – geothermal</w:t>
            </w:r>
          </w:p>
        </w:tc>
        <w:tc>
          <w:tcPr>
            <w:tcW w:w="974" w:type="pct"/>
            <w:tcBorders>
              <w:top w:val="single" w:sz="4" w:space="0" w:color="365F91"/>
              <w:left w:val="single" w:sz="4" w:space="0" w:color="365F91"/>
              <w:bottom w:val="single" w:sz="4" w:space="0" w:color="365F91"/>
              <w:right w:val="single" w:sz="4" w:space="0" w:color="365F91"/>
            </w:tcBorders>
            <w:shd w:val="clear" w:color="auto" w:fill="auto"/>
            <w:noWrap/>
            <w:hideMark/>
          </w:tcPr>
          <w:p w14:paraId="39FD7BF9" w14:textId="77777777" w:rsidR="00706DD1" w:rsidRPr="00BE78CA" w:rsidRDefault="00706DD1" w:rsidP="00C26084">
            <w:pPr>
              <w:pStyle w:val="TableText"/>
              <w:spacing w:before="50" w:after="50"/>
              <w:jc w:val="center"/>
              <w:rPr>
                <w:rFonts w:cs="Calibri"/>
              </w:rPr>
            </w:pPr>
            <w:r w:rsidRPr="00BE78CA">
              <w:rPr>
                <w:rFonts w:cs="Calibri"/>
              </w:rPr>
              <w:t>5.0</w:t>
            </w:r>
          </w:p>
        </w:tc>
        <w:tc>
          <w:tcPr>
            <w:tcW w:w="1011" w:type="pct"/>
            <w:tcBorders>
              <w:left w:val="single" w:sz="4" w:space="0" w:color="365F91"/>
            </w:tcBorders>
            <w:shd w:val="clear" w:color="auto" w:fill="auto"/>
            <w:noWrap/>
            <w:hideMark/>
          </w:tcPr>
          <w:p w14:paraId="4C89E390" w14:textId="77777777" w:rsidR="00706DD1" w:rsidRPr="00BE78CA" w:rsidRDefault="00706DD1" w:rsidP="00C26084">
            <w:pPr>
              <w:pStyle w:val="TableText"/>
              <w:spacing w:before="50" w:after="50"/>
              <w:jc w:val="center"/>
              <w:rPr>
                <w:rFonts w:cs="Calibri"/>
              </w:rPr>
            </w:pPr>
            <w:r w:rsidRPr="00BE78CA">
              <w:rPr>
                <w:rFonts w:cs="Calibri"/>
              </w:rPr>
              <w:t>±5.0</w:t>
            </w:r>
          </w:p>
        </w:tc>
      </w:tr>
      <w:tr w:rsidR="00706DD1" w:rsidRPr="00BE78CA" w14:paraId="786DD5D3" w14:textId="77777777" w:rsidTr="00D82765">
        <w:tc>
          <w:tcPr>
            <w:tcW w:w="320" w:type="pct"/>
            <w:tcBorders>
              <w:right w:val="single" w:sz="4" w:space="0" w:color="365F91"/>
            </w:tcBorders>
            <w:shd w:val="clear" w:color="auto" w:fill="auto"/>
            <w:noWrap/>
            <w:hideMark/>
          </w:tcPr>
          <w:p w14:paraId="52DFF091" w14:textId="77777777" w:rsidR="00706DD1" w:rsidRPr="00BE78CA" w:rsidRDefault="00706DD1" w:rsidP="00C26084">
            <w:pPr>
              <w:pStyle w:val="TableText"/>
              <w:spacing w:before="50" w:after="50"/>
              <w:rPr>
                <w:rFonts w:cs="Calibri"/>
              </w:rPr>
            </w:pPr>
            <w:r w:rsidRPr="00BE78CA">
              <w:rPr>
                <w:rFonts w:cs="Calibri"/>
              </w:rPr>
              <w:t> </w:t>
            </w:r>
          </w:p>
        </w:tc>
        <w:tc>
          <w:tcPr>
            <w:tcW w:w="2695" w:type="pct"/>
            <w:tcBorders>
              <w:top w:val="single" w:sz="4" w:space="0" w:color="365F91"/>
              <w:left w:val="single" w:sz="4" w:space="0" w:color="365F91"/>
              <w:bottom w:val="single" w:sz="4" w:space="0" w:color="365F91"/>
              <w:right w:val="single" w:sz="4" w:space="0" w:color="365F91"/>
            </w:tcBorders>
            <w:shd w:val="clear" w:color="auto" w:fill="auto"/>
            <w:noWrap/>
            <w:hideMark/>
          </w:tcPr>
          <w:p w14:paraId="741CC5DC" w14:textId="77777777" w:rsidR="00706DD1" w:rsidRPr="00BE78CA" w:rsidRDefault="00706DD1" w:rsidP="00C26084">
            <w:pPr>
              <w:pStyle w:val="TableText"/>
              <w:spacing w:before="50" w:after="50"/>
              <w:rPr>
                <w:rFonts w:cs="Calibri"/>
              </w:rPr>
            </w:pPr>
            <w:r w:rsidRPr="00BE78CA">
              <w:rPr>
                <w:rFonts w:cs="Calibri"/>
              </w:rPr>
              <w:t>Fugitive – venting/flaring</w:t>
            </w:r>
          </w:p>
        </w:tc>
        <w:tc>
          <w:tcPr>
            <w:tcW w:w="974" w:type="pct"/>
            <w:tcBorders>
              <w:top w:val="single" w:sz="4" w:space="0" w:color="365F91"/>
              <w:left w:val="single" w:sz="4" w:space="0" w:color="365F91"/>
              <w:bottom w:val="single" w:sz="4" w:space="0" w:color="365F91"/>
              <w:right w:val="single" w:sz="4" w:space="0" w:color="365F91"/>
            </w:tcBorders>
            <w:shd w:val="clear" w:color="auto" w:fill="auto"/>
            <w:noWrap/>
            <w:hideMark/>
          </w:tcPr>
          <w:p w14:paraId="0EDF8B4D" w14:textId="77777777" w:rsidR="00706DD1" w:rsidRPr="00BE78CA" w:rsidRDefault="00706DD1" w:rsidP="00C26084">
            <w:pPr>
              <w:pStyle w:val="TableText"/>
              <w:spacing w:before="50" w:after="50"/>
              <w:jc w:val="center"/>
              <w:rPr>
                <w:rFonts w:cs="Calibri"/>
              </w:rPr>
            </w:pPr>
            <w:r w:rsidRPr="00BE78CA">
              <w:rPr>
                <w:rFonts w:cs="Calibri"/>
              </w:rPr>
              <w:t>9.3</w:t>
            </w:r>
          </w:p>
        </w:tc>
        <w:tc>
          <w:tcPr>
            <w:tcW w:w="1011" w:type="pct"/>
            <w:tcBorders>
              <w:left w:val="single" w:sz="4" w:space="0" w:color="365F91"/>
            </w:tcBorders>
            <w:shd w:val="clear" w:color="auto" w:fill="auto"/>
            <w:noWrap/>
            <w:hideMark/>
          </w:tcPr>
          <w:p w14:paraId="30EFBE8C" w14:textId="77777777" w:rsidR="00706DD1" w:rsidRPr="00BE78CA" w:rsidRDefault="00706DD1" w:rsidP="00C26084">
            <w:pPr>
              <w:pStyle w:val="TableText"/>
              <w:spacing w:before="50" w:after="50"/>
              <w:jc w:val="center"/>
              <w:rPr>
                <w:rFonts w:cs="Calibri"/>
              </w:rPr>
            </w:pPr>
            <w:r w:rsidRPr="00BE78CA">
              <w:rPr>
                <w:rFonts w:cs="Calibri"/>
              </w:rPr>
              <w:t>±2.4</w:t>
            </w:r>
          </w:p>
        </w:tc>
      </w:tr>
      <w:tr w:rsidR="00706DD1" w:rsidRPr="00BE78CA" w14:paraId="41AA3401" w14:textId="77777777" w:rsidTr="00D82765">
        <w:tc>
          <w:tcPr>
            <w:tcW w:w="320" w:type="pct"/>
            <w:tcBorders>
              <w:right w:val="single" w:sz="4" w:space="0" w:color="365F91"/>
            </w:tcBorders>
            <w:shd w:val="clear" w:color="auto" w:fill="auto"/>
            <w:noWrap/>
            <w:hideMark/>
          </w:tcPr>
          <w:p w14:paraId="28B0FF1B" w14:textId="77777777" w:rsidR="00706DD1" w:rsidRPr="00BE78CA" w:rsidRDefault="00706DD1" w:rsidP="00C26084">
            <w:pPr>
              <w:pStyle w:val="TableText"/>
              <w:spacing w:before="50" w:after="50"/>
              <w:rPr>
                <w:rFonts w:cs="Calibri"/>
              </w:rPr>
            </w:pPr>
            <w:r w:rsidRPr="00BE78CA">
              <w:rPr>
                <w:rFonts w:cs="Calibri"/>
              </w:rPr>
              <w:t> </w:t>
            </w:r>
          </w:p>
        </w:tc>
        <w:tc>
          <w:tcPr>
            <w:tcW w:w="2695" w:type="pct"/>
            <w:tcBorders>
              <w:top w:val="single" w:sz="4" w:space="0" w:color="365F91"/>
              <w:left w:val="single" w:sz="4" w:space="0" w:color="365F91"/>
              <w:bottom w:val="single" w:sz="4" w:space="0" w:color="365F91"/>
              <w:right w:val="single" w:sz="4" w:space="0" w:color="365F91"/>
            </w:tcBorders>
            <w:shd w:val="clear" w:color="auto" w:fill="auto"/>
            <w:noWrap/>
            <w:hideMark/>
          </w:tcPr>
          <w:p w14:paraId="2937879A" w14:textId="77777777" w:rsidR="00706DD1" w:rsidRPr="00BE78CA" w:rsidRDefault="00706DD1" w:rsidP="00C26084">
            <w:pPr>
              <w:pStyle w:val="TableText"/>
              <w:spacing w:before="50" w:after="50"/>
              <w:rPr>
                <w:rFonts w:cs="Calibri"/>
              </w:rPr>
            </w:pPr>
            <w:r w:rsidRPr="00BE78CA">
              <w:rPr>
                <w:rFonts w:cs="Calibri"/>
              </w:rPr>
              <w:t>Fugitive – oil and gas production and transport</w:t>
            </w:r>
          </w:p>
        </w:tc>
        <w:tc>
          <w:tcPr>
            <w:tcW w:w="974" w:type="pct"/>
            <w:tcBorders>
              <w:top w:val="single" w:sz="4" w:space="0" w:color="365F91"/>
              <w:left w:val="single" w:sz="4" w:space="0" w:color="365F91"/>
              <w:bottom w:val="single" w:sz="4" w:space="0" w:color="365F91"/>
              <w:right w:val="single" w:sz="4" w:space="0" w:color="365F91"/>
            </w:tcBorders>
            <w:shd w:val="clear" w:color="auto" w:fill="auto"/>
            <w:noWrap/>
            <w:hideMark/>
          </w:tcPr>
          <w:p w14:paraId="5259DBC9" w14:textId="77777777" w:rsidR="00706DD1" w:rsidRPr="00BE78CA" w:rsidRDefault="00706DD1" w:rsidP="00C26084">
            <w:pPr>
              <w:pStyle w:val="TableText"/>
              <w:spacing w:before="50" w:after="50"/>
              <w:jc w:val="center"/>
              <w:rPr>
                <w:rFonts w:cs="Calibri"/>
              </w:rPr>
            </w:pPr>
            <w:r w:rsidRPr="00BE78CA">
              <w:rPr>
                <w:rFonts w:cs="Calibri"/>
              </w:rPr>
              <w:t>5.0</w:t>
            </w:r>
          </w:p>
        </w:tc>
        <w:tc>
          <w:tcPr>
            <w:tcW w:w="1011" w:type="pct"/>
            <w:tcBorders>
              <w:left w:val="single" w:sz="4" w:space="0" w:color="365F91"/>
            </w:tcBorders>
            <w:shd w:val="clear" w:color="auto" w:fill="auto"/>
            <w:noWrap/>
            <w:hideMark/>
          </w:tcPr>
          <w:p w14:paraId="5C519ABD" w14:textId="77777777" w:rsidR="00706DD1" w:rsidRPr="00BE78CA" w:rsidRDefault="00706DD1" w:rsidP="00C26084">
            <w:pPr>
              <w:pStyle w:val="TableText"/>
              <w:spacing w:before="50" w:after="50"/>
              <w:jc w:val="center"/>
              <w:rPr>
                <w:rFonts w:cs="Calibri"/>
              </w:rPr>
            </w:pPr>
            <w:r w:rsidRPr="00BE78CA">
              <w:rPr>
                <w:rFonts w:cs="Calibri"/>
              </w:rPr>
              <w:t>±100.0</w:t>
            </w:r>
          </w:p>
        </w:tc>
      </w:tr>
      <w:tr w:rsidR="00706DD1" w:rsidRPr="00BE78CA" w14:paraId="7BE533A6" w14:textId="77777777" w:rsidTr="00D82765">
        <w:tc>
          <w:tcPr>
            <w:tcW w:w="320" w:type="pct"/>
            <w:tcBorders>
              <w:right w:val="single" w:sz="4" w:space="0" w:color="365F91"/>
            </w:tcBorders>
            <w:shd w:val="clear" w:color="auto" w:fill="auto"/>
            <w:noWrap/>
            <w:hideMark/>
          </w:tcPr>
          <w:p w14:paraId="3999E10E" w14:textId="77777777" w:rsidR="00706DD1" w:rsidRPr="00BE78CA" w:rsidRDefault="00706DD1" w:rsidP="00C26084">
            <w:pPr>
              <w:pStyle w:val="TableText"/>
              <w:spacing w:before="50" w:after="50"/>
              <w:rPr>
                <w:rFonts w:cs="Calibri"/>
              </w:rPr>
            </w:pPr>
            <w:r w:rsidRPr="00BE78CA">
              <w:rPr>
                <w:rFonts w:cs="Calibri"/>
              </w:rPr>
              <w:t> </w:t>
            </w:r>
          </w:p>
        </w:tc>
        <w:tc>
          <w:tcPr>
            <w:tcW w:w="2695" w:type="pct"/>
            <w:tcBorders>
              <w:top w:val="single" w:sz="4" w:space="0" w:color="365F91"/>
              <w:left w:val="single" w:sz="4" w:space="0" w:color="365F91"/>
              <w:bottom w:val="single" w:sz="4" w:space="0" w:color="365F91"/>
              <w:right w:val="single" w:sz="4" w:space="0" w:color="365F91"/>
            </w:tcBorders>
            <w:shd w:val="clear" w:color="auto" w:fill="auto"/>
            <w:noWrap/>
            <w:hideMark/>
          </w:tcPr>
          <w:p w14:paraId="5F5BB5FE" w14:textId="77777777" w:rsidR="00706DD1" w:rsidRPr="00BE78CA" w:rsidRDefault="00706DD1" w:rsidP="00C26084">
            <w:pPr>
              <w:pStyle w:val="TableText"/>
              <w:spacing w:before="50" w:after="50"/>
              <w:rPr>
                <w:rFonts w:cs="Calibri"/>
              </w:rPr>
            </w:pPr>
            <w:r w:rsidRPr="00BE78CA">
              <w:rPr>
                <w:rFonts w:cs="Calibri"/>
              </w:rPr>
              <w:t>Fugitive – transmission and distribution</w:t>
            </w:r>
          </w:p>
        </w:tc>
        <w:tc>
          <w:tcPr>
            <w:tcW w:w="974" w:type="pct"/>
            <w:tcBorders>
              <w:top w:val="single" w:sz="4" w:space="0" w:color="365F91"/>
              <w:left w:val="single" w:sz="4" w:space="0" w:color="365F91"/>
              <w:bottom w:val="single" w:sz="4" w:space="0" w:color="365F91"/>
              <w:right w:val="single" w:sz="4" w:space="0" w:color="365F91"/>
            </w:tcBorders>
            <w:shd w:val="clear" w:color="auto" w:fill="auto"/>
            <w:noWrap/>
            <w:hideMark/>
          </w:tcPr>
          <w:p w14:paraId="5C61BE4B" w14:textId="77777777" w:rsidR="00706DD1" w:rsidRPr="00BE78CA" w:rsidRDefault="00706DD1" w:rsidP="00C26084">
            <w:pPr>
              <w:pStyle w:val="TableText"/>
              <w:spacing w:before="50" w:after="50"/>
              <w:jc w:val="center"/>
              <w:rPr>
                <w:rFonts w:cs="Calibri"/>
              </w:rPr>
            </w:pPr>
            <w:r w:rsidRPr="00BE78CA">
              <w:rPr>
                <w:rFonts w:cs="Calibri"/>
              </w:rPr>
              <w:t>9.3</w:t>
            </w:r>
          </w:p>
        </w:tc>
        <w:tc>
          <w:tcPr>
            <w:tcW w:w="1011" w:type="pct"/>
            <w:tcBorders>
              <w:left w:val="single" w:sz="4" w:space="0" w:color="365F91"/>
            </w:tcBorders>
            <w:shd w:val="clear" w:color="auto" w:fill="auto"/>
            <w:noWrap/>
            <w:hideMark/>
          </w:tcPr>
          <w:p w14:paraId="2CCE281A" w14:textId="77777777" w:rsidR="00706DD1" w:rsidRPr="00BE78CA" w:rsidRDefault="00706DD1" w:rsidP="00C26084">
            <w:pPr>
              <w:pStyle w:val="TableText"/>
              <w:spacing w:before="50" w:after="50"/>
              <w:jc w:val="center"/>
              <w:rPr>
                <w:rFonts w:cs="Calibri"/>
              </w:rPr>
            </w:pPr>
            <w:r w:rsidRPr="00BE78CA">
              <w:rPr>
                <w:rFonts w:cs="Calibri"/>
              </w:rPr>
              <w:t>±100.0</w:t>
            </w:r>
          </w:p>
        </w:tc>
      </w:tr>
      <w:tr w:rsidR="00706DD1" w:rsidRPr="00BE78CA" w14:paraId="54EE1619" w14:textId="77777777" w:rsidTr="00D82765">
        <w:tc>
          <w:tcPr>
            <w:tcW w:w="320" w:type="pct"/>
            <w:tcBorders>
              <w:right w:val="single" w:sz="4" w:space="0" w:color="365F91"/>
            </w:tcBorders>
            <w:shd w:val="clear" w:color="auto" w:fill="auto"/>
            <w:noWrap/>
            <w:hideMark/>
          </w:tcPr>
          <w:p w14:paraId="22FB6F14" w14:textId="77777777" w:rsidR="00706DD1" w:rsidRPr="00BE78CA" w:rsidRDefault="00706DD1" w:rsidP="00C26084">
            <w:pPr>
              <w:pStyle w:val="TableText"/>
              <w:spacing w:before="50" w:after="50"/>
              <w:rPr>
                <w:rFonts w:cs="Calibri"/>
              </w:rPr>
            </w:pPr>
            <w:r w:rsidRPr="00BE78CA">
              <w:rPr>
                <w:rFonts w:cs="Calibri"/>
              </w:rPr>
              <w:t>CH</w:t>
            </w:r>
            <w:r w:rsidRPr="00BE78CA">
              <w:rPr>
                <w:rFonts w:cs="Calibri"/>
                <w:vertAlign w:val="subscript"/>
              </w:rPr>
              <w:t>4</w:t>
            </w:r>
          </w:p>
        </w:tc>
        <w:tc>
          <w:tcPr>
            <w:tcW w:w="2695" w:type="pct"/>
            <w:tcBorders>
              <w:top w:val="single" w:sz="4" w:space="0" w:color="365F91"/>
              <w:left w:val="single" w:sz="4" w:space="0" w:color="365F91"/>
              <w:bottom w:val="single" w:sz="4" w:space="0" w:color="365F91"/>
              <w:right w:val="single" w:sz="4" w:space="0" w:color="365F91"/>
            </w:tcBorders>
            <w:shd w:val="clear" w:color="auto" w:fill="auto"/>
            <w:noWrap/>
            <w:hideMark/>
          </w:tcPr>
          <w:p w14:paraId="22E10AD7" w14:textId="77777777" w:rsidR="00706DD1" w:rsidRPr="00BE78CA" w:rsidRDefault="00706DD1" w:rsidP="00C26084">
            <w:pPr>
              <w:pStyle w:val="TableText"/>
              <w:spacing w:before="50" w:after="50"/>
              <w:rPr>
                <w:rFonts w:cs="Calibri"/>
              </w:rPr>
            </w:pPr>
            <w:r w:rsidRPr="00BE78CA">
              <w:rPr>
                <w:rFonts w:cs="Calibri"/>
              </w:rPr>
              <w:t>Liquid fuels</w:t>
            </w:r>
          </w:p>
        </w:tc>
        <w:tc>
          <w:tcPr>
            <w:tcW w:w="974" w:type="pct"/>
            <w:tcBorders>
              <w:top w:val="single" w:sz="4" w:space="0" w:color="365F91"/>
              <w:left w:val="single" w:sz="4" w:space="0" w:color="365F91"/>
              <w:bottom w:val="single" w:sz="4" w:space="0" w:color="365F91"/>
              <w:right w:val="single" w:sz="4" w:space="0" w:color="365F91"/>
            </w:tcBorders>
            <w:shd w:val="clear" w:color="auto" w:fill="auto"/>
            <w:noWrap/>
            <w:hideMark/>
          </w:tcPr>
          <w:p w14:paraId="2E6992E7" w14:textId="77777777" w:rsidR="00706DD1" w:rsidRPr="00BE78CA" w:rsidRDefault="00706DD1" w:rsidP="00C26084">
            <w:pPr>
              <w:pStyle w:val="TableText"/>
              <w:spacing w:before="50" w:after="50"/>
              <w:jc w:val="center"/>
              <w:rPr>
                <w:rFonts w:cs="Calibri"/>
              </w:rPr>
            </w:pPr>
            <w:r w:rsidRPr="00BE78CA">
              <w:rPr>
                <w:rFonts w:cs="Calibri"/>
              </w:rPr>
              <w:t>1.5</w:t>
            </w:r>
          </w:p>
        </w:tc>
        <w:tc>
          <w:tcPr>
            <w:tcW w:w="1011" w:type="pct"/>
            <w:tcBorders>
              <w:left w:val="single" w:sz="4" w:space="0" w:color="365F91"/>
            </w:tcBorders>
            <w:shd w:val="clear" w:color="auto" w:fill="auto"/>
            <w:noWrap/>
            <w:hideMark/>
          </w:tcPr>
          <w:p w14:paraId="2335759F" w14:textId="77777777" w:rsidR="00706DD1" w:rsidRPr="00BE78CA" w:rsidRDefault="00706DD1" w:rsidP="00C26084">
            <w:pPr>
              <w:pStyle w:val="TableText"/>
              <w:spacing w:before="50" w:after="50"/>
              <w:jc w:val="center"/>
              <w:rPr>
                <w:rFonts w:cs="Calibri"/>
              </w:rPr>
            </w:pPr>
            <w:r w:rsidRPr="00BE78CA">
              <w:rPr>
                <w:rFonts w:cs="Calibri"/>
              </w:rPr>
              <w:t>±50.0</w:t>
            </w:r>
          </w:p>
        </w:tc>
      </w:tr>
      <w:tr w:rsidR="00706DD1" w:rsidRPr="00BE78CA" w14:paraId="3422BB2B" w14:textId="77777777" w:rsidTr="00D82765">
        <w:tc>
          <w:tcPr>
            <w:tcW w:w="320" w:type="pct"/>
            <w:tcBorders>
              <w:right w:val="single" w:sz="4" w:space="0" w:color="365F91"/>
            </w:tcBorders>
            <w:shd w:val="clear" w:color="auto" w:fill="auto"/>
            <w:noWrap/>
            <w:hideMark/>
          </w:tcPr>
          <w:p w14:paraId="4CD2A5E8" w14:textId="77777777" w:rsidR="00706DD1" w:rsidRPr="00BE78CA" w:rsidRDefault="00706DD1" w:rsidP="00C26084">
            <w:pPr>
              <w:pStyle w:val="TableText"/>
              <w:spacing w:before="50" w:after="50"/>
              <w:rPr>
                <w:rFonts w:cs="Calibri"/>
              </w:rPr>
            </w:pPr>
            <w:r w:rsidRPr="00BE78CA">
              <w:rPr>
                <w:rFonts w:cs="Calibri"/>
              </w:rPr>
              <w:t> </w:t>
            </w:r>
          </w:p>
        </w:tc>
        <w:tc>
          <w:tcPr>
            <w:tcW w:w="2695" w:type="pct"/>
            <w:tcBorders>
              <w:top w:val="single" w:sz="4" w:space="0" w:color="365F91"/>
              <w:left w:val="single" w:sz="4" w:space="0" w:color="365F91"/>
              <w:bottom w:val="single" w:sz="4" w:space="0" w:color="365F91"/>
              <w:right w:val="single" w:sz="4" w:space="0" w:color="365F91"/>
            </w:tcBorders>
            <w:shd w:val="clear" w:color="auto" w:fill="auto"/>
            <w:noWrap/>
            <w:hideMark/>
          </w:tcPr>
          <w:p w14:paraId="4833938A" w14:textId="77777777" w:rsidR="00706DD1" w:rsidRPr="00BE78CA" w:rsidRDefault="00706DD1" w:rsidP="00C26084">
            <w:pPr>
              <w:pStyle w:val="TableText"/>
              <w:spacing w:before="50" w:after="50"/>
              <w:rPr>
                <w:rFonts w:cs="Calibri"/>
              </w:rPr>
            </w:pPr>
            <w:r w:rsidRPr="00BE78CA">
              <w:rPr>
                <w:rFonts w:cs="Calibri"/>
              </w:rPr>
              <w:t>Solid fuels</w:t>
            </w:r>
          </w:p>
        </w:tc>
        <w:tc>
          <w:tcPr>
            <w:tcW w:w="974" w:type="pct"/>
            <w:tcBorders>
              <w:top w:val="single" w:sz="4" w:space="0" w:color="365F91"/>
              <w:left w:val="single" w:sz="4" w:space="0" w:color="365F91"/>
              <w:bottom w:val="single" w:sz="4" w:space="0" w:color="365F91"/>
              <w:right w:val="single" w:sz="4" w:space="0" w:color="365F91"/>
            </w:tcBorders>
            <w:shd w:val="clear" w:color="auto" w:fill="auto"/>
            <w:noWrap/>
            <w:hideMark/>
          </w:tcPr>
          <w:p w14:paraId="7DB0024D" w14:textId="77777777" w:rsidR="00706DD1" w:rsidRPr="00BE78CA" w:rsidRDefault="00706DD1" w:rsidP="00C26084">
            <w:pPr>
              <w:pStyle w:val="TableText"/>
              <w:spacing w:before="50" w:after="50"/>
              <w:jc w:val="center"/>
              <w:rPr>
                <w:rFonts w:cs="Calibri"/>
              </w:rPr>
            </w:pPr>
            <w:r w:rsidRPr="00BE78CA">
              <w:rPr>
                <w:rFonts w:cs="Calibri"/>
              </w:rPr>
              <w:t>4.6</w:t>
            </w:r>
          </w:p>
        </w:tc>
        <w:tc>
          <w:tcPr>
            <w:tcW w:w="1011" w:type="pct"/>
            <w:tcBorders>
              <w:left w:val="single" w:sz="4" w:space="0" w:color="365F91"/>
            </w:tcBorders>
            <w:shd w:val="clear" w:color="auto" w:fill="auto"/>
            <w:noWrap/>
            <w:hideMark/>
          </w:tcPr>
          <w:p w14:paraId="645536C3" w14:textId="77777777" w:rsidR="00706DD1" w:rsidRPr="00BE78CA" w:rsidRDefault="00706DD1" w:rsidP="00C26084">
            <w:pPr>
              <w:pStyle w:val="TableText"/>
              <w:spacing w:before="50" w:after="50"/>
              <w:jc w:val="center"/>
              <w:rPr>
                <w:rFonts w:cs="Calibri"/>
              </w:rPr>
            </w:pPr>
            <w:r w:rsidRPr="00BE78CA">
              <w:rPr>
                <w:rFonts w:cs="Calibri"/>
              </w:rPr>
              <w:t>±50.0</w:t>
            </w:r>
          </w:p>
        </w:tc>
      </w:tr>
      <w:tr w:rsidR="00706DD1" w:rsidRPr="00BE78CA" w14:paraId="7769E4FD" w14:textId="77777777" w:rsidTr="00D82765">
        <w:tc>
          <w:tcPr>
            <w:tcW w:w="320" w:type="pct"/>
            <w:tcBorders>
              <w:right w:val="single" w:sz="4" w:space="0" w:color="365F91"/>
            </w:tcBorders>
            <w:shd w:val="clear" w:color="auto" w:fill="auto"/>
            <w:noWrap/>
            <w:hideMark/>
          </w:tcPr>
          <w:p w14:paraId="337342C7" w14:textId="77777777" w:rsidR="00706DD1" w:rsidRPr="00BE78CA" w:rsidRDefault="00706DD1" w:rsidP="00C26084">
            <w:pPr>
              <w:pStyle w:val="TableText"/>
              <w:spacing w:before="50" w:after="50"/>
              <w:rPr>
                <w:rFonts w:cs="Calibri"/>
              </w:rPr>
            </w:pPr>
            <w:r w:rsidRPr="00BE78CA">
              <w:rPr>
                <w:rFonts w:cs="Calibri"/>
              </w:rPr>
              <w:t> </w:t>
            </w:r>
          </w:p>
        </w:tc>
        <w:tc>
          <w:tcPr>
            <w:tcW w:w="2695" w:type="pct"/>
            <w:tcBorders>
              <w:top w:val="single" w:sz="4" w:space="0" w:color="365F91"/>
              <w:left w:val="single" w:sz="4" w:space="0" w:color="365F91"/>
              <w:bottom w:val="single" w:sz="4" w:space="0" w:color="365F91"/>
              <w:right w:val="single" w:sz="4" w:space="0" w:color="365F91"/>
            </w:tcBorders>
            <w:shd w:val="clear" w:color="auto" w:fill="auto"/>
            <w:noWrap/>
            <w:hideMark/>
          </w:tcPr>
          <w:p w14:paraId="67D5A42F" w14:textId="77777777" w:rsidR="00706DD1" w:rsidRPr="00BE78CA" w:rsidRDefault="00706DD1" w:rsidP="00C26084">
            <w:pPr>
              <w:pStyle w:val="TableText"/>
              <w:spacing w:before="50" w:after="50"/>
              <w:rPr>
                <w:rFonts w:cs="Calibri"/>
              </w:rPr>
            </w:pPr>
            <w:r w:rsidRPr="00BE78CA">
              <w:rPr>
                <w:rFonts w:cs="Calibri"/>
              </w:rPr>
              <w:t>Gaseous fuels</w:t>
            </w:r>
          </w:p>
        </w:tc>
        <w:tc>
          <w:tcPr>
            <w:tcW w:w="974" w:type="pct"/>
            <w:tcBorders>
              <w:top w:val="single" w:sz="4" w:space="0" w:color="365F91"/>
              <w:left w:val="single" w:sz="4" w:space="0" w:color="365F91"/>
              <w:bottom w:val="single" w:sz="4" w:space="0" w:color="365F91"/>
              <w:right w:val="single" w:sz="4" w:space="0" w:color="365F91"/>
            </w:tcBorders>
            <w:shd w:val="clear" w:color="auto" w:fill="auto"/>
            <w:noWrap/>
            <w:hideMark/>
          </w:tcPr>
          <w:p w14:paraId="0A087B64" w14:textId="77777777" w:rsidR="00706DD1" w:rsidRPr="00BE78CA" w:rsidRDefault="00706DD1" w:rsidP="00C26084">
            <w:pPr>
              <w:pStyle w:val="TableText"/>
              <w:spacing w:before="50" w:after="50"/>
              <w:jc w:val="center"/>
              <w:rPr>
                <w:rFonts w:cs="Calibri"/>
              </w:rPr>
            </w:pPr>
            <w:r w:rsidRPr="00BE78CA">
              <w:rPr>
                <w:rFonts w:cs="Calibri"/>
              </w:rPr>
              <w:t>9.3</w:t>
            </w:r>
          </w:p>
        </w:tc>
        <w:tc>
          <w:tcPr>
            <w:tcW w:w="1011" w:type="pct"/>
            <w:tcBorders>
              <w:left w:val="single" w:sz="4" w:space="0" w:color="365F91"/>
            </w:tcBorders>
            <w:shd w:val="clear" w:color="auto" w:fill="auto"/>
            <w:noWrap/>
            <w:hideMark/>
          </w:tcPr>
          <w:p w14:paraId="0272566A" w14:textId="77777777" w:rsidR="00706DD1" w:rsidRPr="00BE78CA" w:rsidRDefault="00706DD1" w:rsidP="00C26084">
            <w:pPr>
              <w:pStyle w:val="TableText"/>
              <w:spacing w:before="50" w:after="50"/>
              <w:jc w:val="center"/>
              <w:rPr>
                <w:rFonts w:cs="Calibri"/>
              </w:rPr>
            </w:pPr>
            <w:r w:rsidRPr="00BE78CA">
              <w:rPr>
                <w:rFonts w:cs="Calibri"/>
              </w:rPr>
              <w:t>±50.0</w:t>
            </w:r>
          </w:p>
        </w:tc>
      </w:tr>
      <w:tr w:rsidR="00706DD1" w:rsidRPr="00BE78CA" w14:paraId="5A7BC750" w14:textId="77777777" w:rsidTr="00D82765">
        <w:tc>
          <w:tcPr>
            <w:tcW w:w="320" w:type="pct"/>
            <w:tcBorders>
              <w:right w:val="single" w:sz="4" w:space="0" w:color="365F91"/>
            </w:tcBorders>
            <w:shd w:val="clear" w:color="auto" w:fill="auto"/>
            <w:noWrap/>
            <w:hideMark/>
          </w:tcPr>
          <w:p w14:paraId="3482BEDD" w14:textId="77777777" w:rsidR="00706DD1" w:rsidRPr="00BE78CA" w:rsidRDefault="00706DD1" w:rsidP="00C26084">
            <w:pPr>
              <w:pStyle w:val="TableText"/>
              <w:spacing w:before="50" w:after="50"/>
              <w:rPr>
                <w:rFonts w:cs="Calibri"/>
              </w:rPr>
            </w:pPr>
            <w:r w:rsidRPr="00BE78CA">
              <w:rPr>
                <w:rFonts w:cs="Calibri"/>
              </w:rPr>
              <w:t> </w:t>
            </w:r>
          </w:p>
        </w:tc>
        <w:tc>
          <w:tcPr>
            <w:tcW w:w="2695" w:type="pct"/>
            <w:tcBorders>
              <w:top w:val="single" w:sz="4" w:space="0" w:color="365F91"/>
              <w:left w:val="single" w:sz="4" w:space="0" w:color="365F91"/>
              <w:bottom w:val="single" w:sz="4" w:space="0" w:color="365F91"/>
              <w:right w:val="single" w:sz="4" w:space="0" w:color="365F91"/>
            </w:tcBorders>
            <w:shd w:val="clear" w:color="auto" w:fill="auto"/>
            <w:noWrap/>
            <w:hideMark/>
          </w:tcPr>
          <w:p w14:paraId="16E105EB" w14:textId="77777777" w:rsidR="00706DD1" w:rsidRPr="00BE78CA" w:rsidRDefault="00706DD1" w:rsidP="00C26084">
            <w:pPr>
              <w:pStyle w:val="TableText"/>
              <w:spacing w:before="50" w:after="50"/>
              <w:rPr>
                <w:rFonts w:cs="Calibri"/>
              </w:rPr>
            </w:pPr>
            <w:r w:rsidRPr="00BE78CA">
              <w:rPr>
                <w:rFonts w:cs="Calibri"/>
              </w:rPr>
              <w:t>Biomass</w:t>
            </w:r>
          </w:p>
        </w:tc>
        <w:tc>
          <w:tcPr>
            <w:tcW w:w="974" w:type="pct"/>
            <w:tcBorders>
              <w:top w:val="single" w:sz="4" w:space="0" w:color="365F91"/>
              <w:left w:val="single" w:sz="4" w:space="0" w:color="365F91"/>
              <w:bottom w:val="single" w:sz="4" w:space="0" w:color="365F91"/>
              <w:right w:val="single" w:sz="4" w:space="0" w:color="365F91"/>
            </w:tcBorders>
            <w:shd w:val="clear" w:color="auto" w:fill="auto"/>
            <w:noWrap/>
            <w:hideMark/>
          </w:tcPr>
          <w:p w14:paraId="51ACD5D9" w14:textId="77777777" w:rsidR="00706DD1" w:rsidRPr="00BE78CA" w:rsidRDefault="00706DD1" w:rsidP="00C26084">
            <w:pPr>
              <w:pStyle w:val="TableText"/>
              <w:spacing w:before="50" w:after="50"/>
              <w:jc w:val="center"/>
              <w:rPr>
                <w:rFonts w:cs="Calibri"/>
              </w:rPr>
            </w:pPr>
            <w:r w:rsidRPr="00BE78CA">
              <w:rPr>
                <w:rFonts w:cs="Calibri"/>
              </w:rPr>
              <w:t>50.0</w:t>
            </w:r>
          </w:p>
        </w:tc>
        <w:tc>
          <w:tcPr>
            <w:tcW w:w="1011" w:type="pct"/>
            <w:tcBorders>
              <w:left w:val="single" w:sz="4" w:space="0" w:color="365F91"/>
            </w:tcBorders>
            <w:shd w:val="clear" w:color="auto" w:fill="auto"/>
            <w:noWrap/>
            <w:hideMark/>
          </w:tcPr>
          <w:p w14:paraId="6E94B8A0" w14:textId="77777777" w:rsidR="00706DD1" w:rsidRPr="00BE78CA" w:rsidRDefault="00706DD1" w:rsidP="00C26084">
            <w:pPr>
              <w:pStyle w:val="TableText"/>
              <w:spacing w:before="50" w:after="50"/>
              <w:jc w:val="center"/>
              <w:rPr>
                <w:rFonts w:cs="Calibri"/>
              </w:rPr>
            </w:pPr>
            <w:r w:rsidRPr="00BE78CA">
              <w:rPr>
                <w:rFonts w:cs="Calibri"/>
              </w:rPr>
              <w:t>±50.0</w:t>
            </w:r>
          </w:p>
        </w:tc>
      </w:tr>
      <w:tr w:rsidR="00706DD1" w:rsidRPr="00BE78CA" w14:paraId="46D2F186" w14:textId="77777777" w:rsidTr="00D82765">
        <w:tc>
          <w:tcPr>
            <w:tcW w:w="320" w:type="pct"/>
            <w:tcBorders>
              <w:right w:val="single" w:sz="4" w:space="0" w:color="365F91"/>
            </w:tcBorders>
            <w:shd w:val="clear" w:color="auto" w:fill="auto"/>
            <w:noWrap/>
            <w:hideMark/>
          </w:tcPr>
          <w:p w14:paraId="599A2532" w14:textId="77777777" w:rsidR="00706DD1" w:rsidRPr="00BE78CA" w:rsidRDefault="00706DD1" w:rsidP="00C26084">
            <w:pPr>
              <w:pStyle w:val="TableText"/>
              <w:spacing w:before="50" w:after="50"/>
              <w:rPr>
                <w:rFonts w:cs="Calibri"/>
              </w:rPr>
            </w:pPr>
            <w:r w:rsidRPr="00BE78CA">
              <w:rPr>
                <w:rFonts w:cs="Calibri"/>
              </w:rPr>
              <w:t> </w:t>
            </w:r>
          </w:p>
        </w:tc>
        <w:tc>
          <w:tcPr>
            <w:tcW w:w="2695" w:type="pct"/>
            <w:tcBorders>
              <w:top w:val="single" w:sz="4" w:space="0" w:color="365F91"/>
              <w:left w:val="single" w:sz="4" w:space="0" w:color="365F91"/>
              <w:bottom w:val="single" w:sz="4" w:space="0" w:color="365F91"/>
              <w:right w:val="single" w:sz="4" w:space="0" w:color="365F91"/>
            </w:tcBorders>
            <w:shd w:val="clear" w:color="auto" w:fill="auto"/>
            <w:noWrap/>
            <w:hideMark/>
          </w:tcPr>
          <w:p w14:paraId="0991E6E7" w14:textId="77777777" w:rsidR="00706DD1" w:rsidRPr="00BE78CA" w:rsidRDefault="00706DD1" w:rsidP="00C26084">
            <w:pPr>
              <w:pStyle w:val="TableText"/>
              <w:spacing w:before="50" w:after="50"/>
              <w:rPr>
                <w:rFonts w:cs="Calibri"/>
              </w:rPr>
            </w:pPr>
            <w:r w:rsidRPr="00BE78CA">
              <w:rPr>
                <w:rFonts w:cs="Calibri"/>
              </w:rPr>
              <w:t>Fugitive – geothermal</w:t>
            </w:r>
          </w:p>
        </w:tc>
        <w:tc>
          <w:tcPr>
            <w:tcW w:w="974" w:type="pct"/>
            <w:tcBorders>
              <w:top w:val="single" w:sz="4" w:space="0" w:color="365F91"/>
              <w:left w:val="single" w:sz="4" w:space="0" w:color="365F91"/>
              <w:bottom w:val="single" w:sz="4" w:space="0" w:color="365F91"/>
              <w:right w:val="single" w:sz="4" w:space="0" w:color="365F91"/>
            </w:tcBorders>
            <w:shd w:val="clear" w:color="auto" w:fill="auto"/>
            <w:noWrap/>
            <w:hideMark/>
          </w:tcPr>
          <w:p w14:paraId="3D53E96F" w14:textId="77777777" w:rsidR="00706DD1" w:rsidRPr="00BE78CA" w:rsidRDefault="00706DD1" w:rsidP="00C26084">
            <w:pPr>
              <w:pStyle w:val="TableText"/>
              <w:spacing w:before="50" w:after="50"/>
              <w:jc w:val="center"/>
              <w:rPr>
                <w:rFonts w:cs="Calibri"/>
              </w:rPr>
            </w:pPr>
            <w:r w:rsidRPr="00BE78CA">
              <w:rPr>
                <w:rFonts w:cs="Calibri"/>
              </w:rPr>
              <w:t>5.0</w:t>
            </w:r>
          </w:p>
        </w:tc>
        <w:tc>
          <w:tcPr>
            <w:tcW w:w="1011" w:type="pct"/>
            <w:tcBorders>
              <w:left w:val="single" w:sz="4" w:space="0" w:color="365F91"/>
            </w:tcBorders>
            <w:shd w:val="clear" w:color="auto" w:fill="auto"/>
            <w:noWrap/>
            <w:hideMark/>
          </w:tcPr>
          <w:p w14:paraId="572F2608" w14:textId="77777777" w:rsidR="00706DD1" w:rsidRPr="00BE78CA" w:rsidRDefault="00706DD1" w:rsidP="00C26084">
            <w:pPr>
              <w:pStyle w:val="TableText"/>
              <w:spacing w:before="50" w:after="50"/>
              <w:jc w:val="center"/>
              <w:rPr>
                <w:rFonts w:cs="Calibri"/>
              </w:rPr>
            </w:pPr>
            <w:r w:rsidRPr="00BE78CA">
              <w:rPr>
                <w:rFonts w:cs="Calibri"/>
              </w:rPr>
              <w:t>±5.0</w:t>
            </w:r>
          </w:p>
        </w:tc>
      </w:tr>
      <w:tr w:rsidR="00706DD1" w:rsidRPr="00BE78CA" w14:paraId="6D763D2C" w14:textId="77777777" w:rsidTr="00D82765">
        <w:tc>
          <w:tcPr>
            <w:tcW w:w="320" w:type="pct"/>
            <w:tcBorders>
              <w:right w:val="single" w:sz="4" w:space="0" w:color="365F91"/>
            </w:tcBorders>
            <w:shd w:val="clear" w:color="auto" w:fill="auto"/>
            <w:noWrap/>
            <w:hideMark/>
          </w:tcPr>
          <w:p w14:paraId="25887BBF" w14:textId="77777777" w:rsidR="00706DD1" w:rsidRPr="00BE78CA" w:rsidRDefault="00706DD1" w:rsidP="00C26084">
            <w:pPr>
              <w:pStyle w:val="TableText"/>
              <w:spacing w:before="50" w:after="50"/>
              <w:rPr>
                <w:rFonts w:cs="Calibri"/>
              </w:rPr>
            </w:pPr>
            <w:r w:rsidRPr="00BE78CA">
              <w:rPr>
                <w:rFonts w:cs="Calibri"/>
              </w:rPr>
              <w:t> </w:t>
            </w:r>
          </w:p>
        </w:tc>
        <w:tc>
          <w:tcPr>
            <w:tcW w:w="2695" w:type="pct"/>
            <w:tcBorders>
              <w:top w:val="single" w:sz="4" w:space="0" w:color="365F91"/>
              <w:left w:val="single" w:sz="4" w:space="0" w:color="365F91"/>
              <w:bottom w:val="single" w:sz="4" w:space="0" w:color="365F91"/>
              <w:right w:val="single" w:sz="4" w:space="0" w:color="365F91"/>
            </w:tcBorders>
            <w:shd w:val="clear" w:color="auto" w:fill="auto"/>
            <w:noWrap/>
            <w:hideMark/>
          </w:tcPr>
          <w:p w14:paraId="00000E9B" w14:textId="77777777" w:rsidR="00706DD1" w:rsidRPr="00BE78CA" w:rsidRDefault="00706DD1" w:rsidP="00C26084">
            <w:pPr>
              <w:pStyle w:val="TableText"/>
              <w:spacing w:before="50" w:after="50"/>
              <w:rPr>
                <w:rFonts w:cs="Calibri"/>
              </w:rPr>
            </w:pPr>
            <w:r w:rsidRPr="00BE78CA">
              <w:rPr>
                <w:rFonts w:cs="Calibri"/>
              </w:rPr>
              <w:t>Fugitive – venting/flaring</w:t>
            </w:r>
          </w:p>
        </w:tc>
        <w:tc>
          <w:tcPr>
            <w:tcW w:w="974" w:type="pct"/>
            <w:tcBorders>
              <w:top w:val="single" w:sz="4" w:space="0" w:color="365F91"/>
              <w:left w:val="single" w:sz="4" w:space="0" w:color="365F91"/>
              <w:bottom w:val="single" w:sz="4" w:space="0" w:color="365F91"/>
              <w:right w:val="single" w:sz="4" w:space="0" w:color="365F91"/>
            </w:tcBorders>
            <w:shd w:val="clear" w:color="auto" w:fill="auto"/>
            <w:noWrap/>
            <w:hideMark/>
          </w:tcPr>
          <w:p w14:paraId="1D3CF6F9" w14:textId="77777777" w:rsidR="00706DD1" w:rsidRPr="00BE78CA" w:rsidRDefault="00706DD1" w:rsidP="00C26084">
            <w:pPr>
              <w:pStyle w:val="TableText"/>
              <w:spacing w:before="50" w:after="50"/>
              <w:jc w:val="center"/>
              <w:rPr>
                <w:rFonts w:cs="Calibri"/>
              </w:rPr>
            </w:pPr>
            <w:r w:rsidRPr="00BE78CA">
              <w:rPr>
                <w:rFonts w:cs="Calibri"/>
              </w:rPr>
              <w:t>9.3</w:t>
            </w:r>
          </w:p>
        </w:tc>
        <w:tc>
          <w:tcPr>
            <w:tcW w:w="1011" w:type="pct"/>
            <w:tcBorders>
              <w:left w:val="single" w:sz="4" w:space="0" w:color="365F91"/>
            </w:tcBorders>
            <w:shd w:val="clear" w:color="auto" w:fill="auto"/>
            <w:noWrap/>
            <w:hideMark/>
          </w:tcPr>
          <w:p w14:paraId="46DB7DCF" w14:textId="77777777" w:rsidR="00706DD1" w:rsidRPr="00BE78CA" w:rsidRDefault="00706DD1" w:rsidP="00C26084">
            <w:pPr>
              <w:pStyle w:val="TableText"/>
              <w:spacing w:before="50" w:after="50"/>
              <w:jc w:val="center"/>
              <w:rPr>
                <w:rFonts w:cs="Calibri"/>
              </w:rPr>
            </w:pPr>
            <w:r w:rsidRPr="00BE78CA">
              <w:rPr>
                <w:rFonts w:cs="Calibri"/>
              </w:rPr>
              <w:t>±50.0</w:t>
            </w:r>
          </w:p>
        </w:tc>
      </w:tr>
      <w:tr w:rsidR="00706DD1" w:rsidRPr="00BE78CA" w14:paraId="0136D2ED" w14:textId="77777777" w:rsidTr="00D82765">
        <w:tc>
          <w:tcPr>
            <w:tcW w:w="320" w:type="pct"/>
            <w:tcBorders>
              <w:right w:val="single" w:sz="4" w:space="0" w:color="365F91"/>
            </w:tcBorders>
            <w:shd w:val="clear" w:color="auto" w:fill="auto"/>
            <w:noWrap/>
            <w:hideMark/>
          </w:tcPr>
          <w:p w14:paraId="6C15AC0E" w14:textId="77777777" w:rsidR="00706DD1" w:rsidRPr="00BE78CA" w:rsidRDefault="00706DD1" w:rsidP="00C26084">
            <w:pPr>
              <w:pStyle w:val="TableText"/>
              <w:spacing w:before="50" w:after="50"/>
              <w:rPr>
                <w:rFonts w:cs="Calibri"/>
              </w:rPr>
            </w:pPr>
            <w:r w:rsidRPr="00BE78CA">
              <w:rPr>
                <w:rFonts w:cs="Calibri"/>
              </w:rPr>
              <w:t> </w:t>
            </w:r>
          </w:p>
        </w:tc>
        <w:tc>
          <w:tcPr>
            <w:tcW w:w="2695" w:type="pct"/>
            <w:tcBorders>
              <w:top w:val="single" w:sz="4" w:space="0" w:color="365F91"/>
              <w:left w:val="single" w:sz="4" w:space="0" w:color="365F91"/>
              <w:bottom w:val="single" w:sz="4" w:space="0" w:color="365F91"/>
              <w:right w:val="single" w:sz="4" w:space="0" w:color="365F91"/>
            </w:tcBorders>
            <w:shd w:val="clear" w:color="auto" w:fill="auto"/>
            <w:noWrap/>
            <w:hideMark/>
          </w:tcPr>
          <w:p w14:paraId="167684A8" w14:textId="77777777" w:rsidR="00706DD1" w:rsidRPr="00BE78CA" w:rsidRDefault="00706DD1" w:rsidP="00C26084">
            <w:pPr>
              <w:pStyle w:val="TableText"/>
              <w:spacing w:before="50" w:after="50"/>
              <w:rPr>
                <w:rFonts w:cs="Calibri"/>
              </w:rPr>
            </w:pPr>
            <w:r w:rsidRPr="00BE78CA">
              <w:rPr>
                <w:rFonts w:cs="Calibri"/>
              </w:rPr>
              <w:t>Fugitive – coal mining and handling</w:t>
            </w:r>
          </w:p>
        </w:tc>
        <w:tc>
          <w:tcPr>
            <w:tcW w:w="974" w:type="pct"/>
            <w:tcBorders>
              <w:top w:val="single" w:sz="4" w:space="0" w:color="365F91"/>
              <w:left w:val="single" w:sz="4" w:space="0" w:color="365F91"/>
              <w:bottom w:val="single" w:sz="4" w:space="0" w:color="365F91"/>
              <w:right w:val="single" w:sz="4" w:space="0" w:color="365F91"/>
            </w:tcBorders>
            <w:shd w:val="clear" w:color="auto" w:fill="auto"/>
            <w:noWrap/>
            <w:hideMark/>
          </w:tcPr>
          <w:p w14:paraId="5BCBE657" w14:textId="77777777" w:rsidR="00706DD1" w:rsidRPr="00BE78CA" w:rsidRDefault="00706DD1" w:rsidP="00C26084">
            <w:pPr>
              <w:pStyle w:val="TableText"/>
              <w:spacing w:before="50" w:after="50"/>
              <w:jc w:val="center"/>
              <w:rPr>
                <w:rFonts w:cs="Calibri"/>
              </w:rPr>
            </w:pPr>
            <w:r w:rsidRPr="00BE78CA">
              <w:rPr>
                <w:rFonts w:cs="Calibri"/>
              </w:rPr>
              <w:t>4.6</w:t>
            </w:r>
          </w:p>
        </w:tc>
        <w:tc>
          <w:tcPr>
            <w:tcW w:w="1011" w:type="pct"/>
            <w:tcBorders>
              <w:left w:val="single" w:sz="4" w:space="0" w:color="365F91"/>
            </w:tcBorders>
            <w:shd w:val="clear" w:color="auto" w:fill="auto"/>
            <w:noWrap/>
            <w:hideMark/>
          </w:tcPr>
          <w:p w14:paraId="3850721F" w14:textId="77777777" w:rsidR="00706DD1" w:rsidRPr="00BE78CA" w:rsidRDefault="00706DD1" w:rsidP="00C26084">
            <w:pPr>
              <w:pStyle w:val="TableText"/>
              <w:spacing w:before="50" w:after="50"/>
              <w:jc w:val="center"/>
              <w:rPr>
                <w:rFonts w:cs="Calibri"/>
              </w:rPr>
            </w:pPr>
            <w:r w:rsidRPr="00BE78CA">
              <w:rPr>
                <w:rFonts w:cs="Calibri"/>
              </w:rPr>
              <w:t>±50.0</w:t>
            </w:r>
          </w:p>
        </w:tc>
      </w:tr>
      <w:tr w:rsidR="00706DD1" w:rsidRPr="00BE78CA" w14:paraId="43068C0D" w14:textId="77777777" w:rsidTr="00D82765">
        <w:tc>
          <w:tcPr>
            <w:tcW w:w="320" w:type="pct"/>
            <w:tcBorders>
              <w:right w:val="single" w:sz="4" w:space="0" w:color="365F91"/>
            </w:tcBorders>
            <w:shd w:val="clear" w:color="auto" w:fill="auto"/>
            <w:noWrap/>
            <w:hideMark/>
          </w:tcPr>
          <w:p w14:paraId="2F468266" w14:textId="77777777" w:rsidR="00706DD1" w:rsidRPr="00BE78CA" w:rsidRDefault="00706DD1" w:rsidP="00C26084">
            <w:pPr>
              <w:pStyle w:val="TableText"/>
              <w:spacing w:before="50" w:after="50"/>
              <w:rPr>
                <w:rFonts w:cs="Calibri"/>
              </w:rPr>
            </w:pPr>
            <w:r w:rsidRPr="00BE78CA">
              <w:rPr>
                <w:rFonts w:cs="Calibri"/>
              </w:rPr>
              <w:lastRenderedPageBreak/>
              <w:t> </w:t>
            </w:r>
          </w:p>
        </w:tc>
        <w:tc>
          <w:tcPr>
            <w:tcW w:w="2695" w:type="pct"/>
            <w:tcBorders>
              <w:top w:val="single" w:sz="4" w:space="0" w:color="365F91"/>
              <w:left w:val="single" w:sz="4" w:space="0" w:color="365F91"/>
              <w:bottom w:val="single" w:sz="4" w:space="0" w:color="365F91"/>
              <w:right w:val="single" w:sz="4" w:space="0" w:color="365F91"/>
            </w:tcBorders>
            <w:shd w:val="clear" w:color="auto" w:fill="auto"/>
            <w:noWrap/>
            <w:hideMark/>
          </w:tcPr>
          <w:p w14:paraId="3F0554A7" w14:textId="77777777" w:rsidR="00706DD1" w:rsidRPr="00BE78CA" w:rsidRDefault="00706DD1" w:rsidP="00C26084">
            <w:pPr>
              <w:pStyle w:val="TableText"/>
              <w:spacing w:before="50" w:after="50"/>
              <w:rPr>
                <w:rFonts w:cs="Calibri"/>
              </w:rPr>
            </w:pPr>
            <w:r w:rsidRPr="00BE78CA">
              <w:rPr>
                <w:rFonts w:cs="Calibri"/>
              </w:rPr>
              <w:t>Fugitive – transmission and distribution</w:t>
            </w:r>
          </w:p>
        </w:tc>
        <w:tc>
          <w:tcPr>
            <w:tcW w:w="974" w:type="pct"/>
            <w:tcBorders>
              <w:top w:val="single" w:sz="4" w:space="0" w:color="365F91"/>
              <w:left w:val="single" w:sz="4" w:space="0" w:color="365F91"/>
              <w:bottom w:val="single" w:sz="4" w:space="0" w:color="365F91"/>
              <w:right w:val="single" w:sz="4" w:space="0" w:color="365F91"/>
            </w:tcBorders>
            <w:shd w:val="clear" w:color="auto" w:fill="auto"/>
            <w:noWrap/>
            <w:hideMark/>
          </w:tcPr>
          <w:p w14:paraId="4A8D6897" w14:textId="77777777" w:rsidR="00706DD1" w:rsidRPr="00BE78CA" w:rsidRDefault="00706DD1" w:rsidP="00C26084">
            <w:pPr>
              <w:pStyle w:val="TableText"/>
              <w:spacing w:before="50" w:after="50"/>
              <w:jc w:val="center"/>
              <w:rPr>
                <w:rFonts w:cs="Calibri"/>
              </w:rPr>
            </w:pPr>
            <w:r w:rsidRPr="00BE78CA">
              <w:rPr>
                <w:rFonts w:cs="Calibri"/>
              </w:rPr>
              <w:t>9.3</w:t>
            </w:r>
          </w:p>
        </w:tc>
        <w:tc>
          <w:tcPr>
            <w:tcW w:w="1011" w:type="pct"/>
            <w:tcBorders>
              <w:left w:val="single" w:sz="4" w:space="0" w:color="365F91"/>
            </w:tcBorders>
            <w:shd w:val="clear" w:color="auto" w:fill="auto"/>
            <w:noWrap/>
            <w:hideMark/>
          </w:tcPr>
          <w:p w14:paraId="2DF249D0" w14:textId="77777777" w:rsidR="00706DD1" w:rsidRPr="00BE78CA" w:rsidRDefault="00706DD1" w:rsidP="00C26084">
            <w:pPr>
              <w:pStyle w:val="TableText"/>
              <w:spacing w:before="50" w:after="50"/>
              <w:jc w:val="center"/>
              <w:rPr>
                <w:rFonts w:cs="Calibri"/>
              </w:rPr>
            </w:pPr>
            <w:r w:rsidRPr="00BE78CA">
              <w:rPr>
                <w:rFonts w:cs="Calibri"/>
              </w:rPr>
              <w:t>±100.0</w:t>
            </w:r>
          </w:p>
        </w:tc>
      </w:tr>
      <w:tr w:rsidR="00706DD1" w:rsidRPr="00BE78CA" w14:paraId="181FE458" w14:textId="77777777" w:rsidTr="00D82765">
        <w:tc>
          <w:tcPr>
            <w:tcW w:w="320" w:type="pct"/>
            <w:tcBorders>
              <w:right w:val="single" w:sz="4" w:space="0" w:color="365F91"/>
            </w:tcBorders>
            <w:shd w:val="clear" w:color="auto" w:fill="auto"/>
            <w:noWrap/>
            <w:hideMark/>
          </w:tcPr>
          <w:p w14:paraId="6D37A03E" w14:textId="77777777" w:rsidR="00706DD1" w:rsidRPr="00BE78CA" w:rsidRDefault="00706DD1" w:rsidP="00C26084">
            <w:pPr>
              <w:pStyle w:val="TableText"/>
              <w:spacing w:before="50" w:after="50"/>
              <w:rPr>
                <w:rFonts w:cs="Calibri"/>
              </w:rPr>
            </w:pPr>
            <w:r w:rsidRPr="00BE78CA">
              <w:rPr>
                <w:rFonts w:cs="Calibri"/>
              </w:rPr>
              <w:t> </w:t>
            </w:r>
          </w:p>
        </w:tc>
        <w:tc>
          <w:tcPr>
            <w:tcW w:w="2695" w:type="pct"/>
            <w:tcBorders>
              <w:top w:val="single" w:sz="4" w:space="0" w:color="365F91"/>
              <w:left w:val="single" w:sz="4" w:space="0" w:color="365F91"/>
              <w:bottom w:val="single" w:sz="4" w:space="0" w:color="365F91"/>
              <w:right w:val="single" w:sz="4" w:space="0" w:color="365F91"/>
            </w:tcBorders>
            <w:shd w:val="clear" w:color="auto" w:fill="auto"/>
            <w:noWrap/>
            <w:hideMark/>
          </w:tcPr>
          <w:p w14:paraId="0A0B5C58" w14:textId="77777777" w:rsidR="00706DD1" w:rsidRPr="00BE78CA" w:rsidRDefault="00706DD1" w:rsidP="00C26084">
            <w:pPr>
              <w:pStyle w:val="TableText"/>
              <w:spacing w:before="50" w:after="50"/>
              <w:rPr>
                <w:rFonts w:cs="Calibri"/>
              </w:rPr>
            </w:pPr>
            <w:r w:rsidRPr="00BE78CA">
              <w:rPr>
                <w:rFonts w:cs="Calibri"/>
              </w:rPr>
              <w:t>Fugitive – oil and gas exploration and production</w:t>
            </w:r>
          </w:p>
        </w:tc>
        <w:tc>
          <w:tcPr>
            <w:tcW w:w="974" w:type="pct"/>
            <w:tcBorders>
              <w:top w:val="single" w:sz="4" w:space="0" w:color="365F91"/>
              <w:left w:val="single" w:sz="4" w:space="0" w:color="365F91"/>
              <w:bottom w:val="single" w:sz="4" w:space="0" w:color="365F91"/>
              <w:right w:val="single" w:sz="4" w:space="0" w:color="365F91"/>
            </w:tcBorders>
            <w:shd w:val="clear" w:color="auto" w:fill="auto"/>
            <w:noWrap/>
            <w:hideMark/>
          </w:tcPr>
          <w:p w14:paraId="70E24C25" w14:textId="77777777" w:rsidR="00706DD1" w:rsidRPr="00BE78CA" w:rsidRDefault="00706DD1" w:rsidP="00C26084">
            <w:pPr>
              <w:pStyle w:val="TableText"/>
              <w:spacing w:before="50" w:after="50"/>
              <w:jc w:val="center"/>
              <w:rPr>
                <w:rFonts w:cs="Calibri"/>
              </w:rPr>
            </w:pPr>
            <w:r w:rsidRPr="00BE78CA">
              <w:rPr>
                <w:rFonts w:cs="Calibri"/>
              </w:rPr>
              <w:t>9.3</w:t>
            </w:r>
          </w:p>
        </w:tc>
        <w:tc>
          <w:tcPr>
            <w:tcW w:w="1011" w:type="pct"/>
            <w:tcBorders>
              <w:left w:val="single" w:sz="4" w:space="0" w:color="365F91"/>
            </w:tcBorders>
            <w:shd w:val="clear" w:color="auto" w:fill="auto"/>
            <w:noWrap/>
            <w:hideMark/>
          </w:tcPr>
          <w:p w14:paraId="34901FC7" w14:textId="77777777" w:rsidR="00706DD1" w:rsidRPr="00BE78CA" w:rsidRDefault="00706DD1" w:rsidP="00C26084">
            <w:pPr>
              <w:pStyle w:val="TableText"/>
              <w:spacing w:before="50" w:after="50"/>
              <w:jc w:val="center"/>
              <w:rPr>
                <w:rFonts w:cs="Calibri"/>
              </w:rPr>
            </w:pPr>
            <w:r w:rsidRPr="00BE78CA">
              <w:rPr>
                <w:rFonts w:cs="Calibri"/>
              </w:rPr>
              <w:t>±100.0</w:t>
            </w:r>
          </w:p>
        </w:tc>
      </w:tr>
      <w:tr w:rsidR="00706DD1" w:rsidRPr="00BE78CA" w14:paraId="181FACF5" w14:textId="77777777" w:rsidTr="00D82765">
        <w:tc>
          <w:tcPr>
            <w:tcW w:w="320" w:type="pct"/>
            <w:tcBorders>
              <w:right w:val="single" w:sz="4" w:space="0" w:color="365F91"/>
            </w:tcBorders>
            <w:shd w:val="clear" w:color="auto" w:fill="auto"/>
            <w:noWrap/>
            <w:hideMark/>
          </w:tcPr>
          <w:p w14:paraId="1A87CFA6" w14:textId="77777777" w:rsidR="00706DD1" w:rsidRPr="00BE78CA" w:rsidRDefault="00706DD1" w:rsidP="00C26084">
            <w:pPr>
              <w:pStyle w:val="TableText"/>
              <w:spacing w:before="50" w:after="50"/>
              <w:rPr>
                <w:rFonts w:cs="Calibri"/>
              </w:rPr>
            </w:pPr>
            <w:r w:rsidRPr="00BE78CA">
              <w:rPr>
                <w:rFonts w:cs="Calibri"/>
              </w:rPr>
              <w:t> </w:t>
            </w:r>
          </w:p>
        </w:tc>
        <w:tc>
          <w:tcPr>
            <w:tcW w:w="2695" w:type="pct"/>
            <w:tcBorders>
              <w:top w:val="single" w:sz="4" w:space="0" w:color="365F91"/>
              <w:left w:val="single" w:sz="4" w:space="0" w:color="365F91"/>
              <w:bottom w:val="single" w:sz="4" w:space="0" w:color="365F91"/>
              <w:right w:val="single" w:sz="4" w:space="0" w:color="365F91"/>
            </w:tcBorders>
            <w:shd w:val="clear" w:color="auto" w:fill="auto"/>
            <w:noWrap/>
            <w:hideMark/>
          </w:tcPr>
          <w:p w14:paraId="6735D850" w14:textId="77777777" w:rsidR="00706DD1" w:rsidRPr="00BE78CA" w:rsidRDefault="00706DD1" w:rsidP="00C26084">
            <w:pPr>
              <w:pStyle w:val="TableText"/>
              <w:spacing w:before="50" w:after="50"/>
              <w:rPr>
                <w:rFonts w:cs="Calibri"/>
              </w:rPr>
            </w:pPr>
            <w:r w:rsidRPr="00BE78CA">
              <w:rPr>
                <w:rFonts w:cs="Calibri"/>
              </w:rPr>
              <w:t>Fugitive – oil transportation</w:t>
            </w:r>
          </w:p>
        </w:tc>
        <w:tc>
          <w:tcPr>
            <w:tcW w:w="974" w:type="pct"/>
            <w:tcBorders>
              <w:top w:val="single" w:sz="4" w:space="0" w:color="365F91"/>
              <w:left w:val="single" w:sz="4" w:space="0" w:color="365F91"/>
              <w:bottom w:val="single" w:sz="4" w:space="0" w:color="365F91"/>
              <w:right w:val="single" w:sz="4" w:space="0" w:color="365F91"/>
            </w:tcBorders>
            <w:shd w:val="clear" w:color="auto" w:fill="auto"/>
            <w:noWrap/>
            <w:hideMark/>
          </w:tcPr>
          <w:p w14:paraId="17B85A12" w14:textId="77777777" w:rsidR="00706DD1" w:rsidRPr="00BE78CA" w:rsidRDefault="00706DD1" w:rsidP="00C26084">
            <w:pPr>
              <w:pStyle w:val="TableText"/>
              <w:spacing w:before="50" w:after="50"/>
              <w:jc w:val="center"/>
              <w:rPr>
                <w:rFonts w:cs="Calibri"/>
              </w:rPr>
            </w:pPr>
            <w:r w:rsidRPr="00BE78CA">
              <w:rPr>
                <w:rFonts w:cs="Calibri"/>
              </w:rPr>
              <w:t>5.0</w:t>
            </w:r>
          </w:p>
        </w:tc>
        <w:tc>
          <w:tcPr>
            <w:tcW w:w="1011" w:type="pct"/>
            <w:tcBorders>
              <w:left w:val="single" w:sz="4" w:space="0" w:color="365F91"/>
            </w:tcBorders>
            <w:shd w:val="clear" w:color="auto" w:fill="auto"/>
            <w:noWrap/>
            <w:hideMark/>
          </w:tcPr>
          <w:p w14:paraId="16641253" w14:textId="77777777" w:rsidR="00706DD1" w:rsidRPr="00BE78CA" w:rsidRDefault="00706DD1" w:rsidP="00C26084">
            <w:pPr>
              <w:pStyle w:val="TableText"/>
              <w:spacing w:before="50" w:after="50"/>
              <w:jc w:val="center"/>
              <w:rPr>
                <w:rFonts w:cs="Calibri"/>
              </w:rPr>
            </w:pPr>
            <w:r w:rsidRPr="00BE78CA">
              <w:rPr>
                <w:rFonts w:cs="Calibri"/>
              </w:rPr>
              <w:t>±50.0</w:t>
            </w:r>
          </w:p>
        </w:tc>
      </w:tr>
      <w:tr w:rsidR="00706DD1" w:rsidRPr="00BE78CA" w14:paraId="4F0A74C4" w14:textId="77777777" w:rsidTr="00D82765">
        <w:tc>
          <w:tcPr>
            <w:tcW w:w="320" w:type="pct"/>
            <w:tcBorders>
              <w:right w:val="single" w:sz="4" w:space="0" w:color="365F91"/>
            </w:tcBorders>
            <w:shd w:val="clear" w:color="auto" w:fill="auto"/>
            <w:noWrap/>
            <w:hideMark/>
          </w:tcPr>
          <w:p w14:paraId="123AEC54" w14:textId="77777777" w:rsidR="00706DD1" w:rsidRPr="00BE78CA" w:rsidRDefault="00706DD1" w:rsidP="00C26084">
            <w:pPr>
              <w:pStyle w:val="TableText"/>
              <w:spacing w:before="50" w:after="50"/>
              <w:rPr>
                <w:rFonts w:cs="Calibri"/>
              </w:rPr>
            </w:pPr>
            <w:r w:rsidRPr="00BE78CA">
              <w:rPr>
                <w:rFonts w:cs="Calibri"/>
              </w:rPr>
              <w:t>N</w:t>
            </w:r>
            <w:r w:rsidRPr="00BE78CA">
              <w:rPr>
                <w:rFonts w:cs="Calibri"/>
                <w:vertAlign w:val="subscript"/>
              </w:rPr>
              <w:t>2</w:t>
            </w:r>
            <w:r w:rsidRPr="00BE78CA">
              <w:rPr>
                <w:rFonts w:cs="Calibri"/>
              </w:rPr>
              <w:t>O</w:t>
            </w:r>
          </w:p>
        </w:tc>
        <w:tc>
          <w:tcPr>
            <w:tcW w:w="2695" w:type="pct"/>
            <w:tcBorders>
              <w:top w:val="single" w:sz="4" w:space="0" w:color="365F91"/>
              <w:left w:val="single" w:sz="4" w:space="0" w:color="365F91"/>
              <w:bottom w:val="single" w:sz="4" w:space="0" w:color="365F91"/>
              <w:right w:val="single" w:sz="4" w:space="0" w:color="365F91"/>
            </w:tcBorders>
            <w:shd w:val="clear" w:color="auto" w:fill="auto"/>
            <w:noWrap/>
            <w:hideMark/>
          </w:tcPr>
          <w:p w14:paraId="79890444" w14:textId="77777777" w:rsidR="00706DD1" w:rsidRPr="00BE78CA" w:rsidRDefault="00706DD1" w:rsidP="00C26084">
            <w:pPr>
              <w:pStyle w:val="TableText"/>
              <w:spacing w:before="50" w:after="50"/>
              <w:rPr>
                <w:rFonts w:cs="Calibri"/>
              </w:rPr>
            </w:pPr>
            <w:r w:rsidRPr="00BE78CA">
              <w:rPr>
                <w:rFonts w:cs="Calibri"/>
              </w:rPr>
              <w:t>Liquid fuels</w:t>
            </w:r>
          </w:p>
        </w:tc>
        <w:tc>
          <w:tcPr>
            <w:tcW w:w="974" w:type="pct"/>
            <w:tcBorders>
              <w:top w:val="single" w:sz="4" w:space="0" w:color="365F91"/>
              <w:left w:val="single" w:sz="4" w:space="0" w:color="365F91"/>
              <w:bottom w:val="single" w:sz="4" w:space="0" w:color="365F91"/>
              <w:right w:val="single" w:sz="4" w:space="0" w:color="365F91"/>
            </w:tcBorders>
            <w:shd w:val="clear" w:color="auto" w:fill="auto"/>
            <w:noWrap/>
            <w:hideMark/>
          </w:tcPr>
          <w:p w14:paraId="187595EC" w14:textId="77777777" w:rsidR="00706DD1" w:rsidRPr="00BE78CA" w:rsidRDefault="00706DD1" w:rsidP="00C26084">
            <w:pPr>
              <w:pStyle w:val="TableText"/>
              <w:spacing w:before="50" w:after="50"/>
              <w:jc w:val="center"/>
              <w:rPr>
                <w:rFonts w:cs="Calibri"/>
              </w:rPr>
            </w:pPr>
            <w:r w:rsidRPr="00BE78CA">
              <w:rPr>
                <w:rFonts w:cs="Calibri"/>
              </w:rPr>
              <w:t>1.5</w:t>
            </w:r>
          </w:p>
        </w:tc>
        <w:tc>
          <w:tcPr>
            <w:tcW w:w="1011" w:type="pct"/>
            <w:tcBorders>
              <w:left w:val="single" w:sz="4" w:space="0" w:color="365F91"/>
            </w:tcBorders>
            <w:shd w:val="clear" w:color="auto" w:fill="auto"/>
            <w:noWrap/>
            <w:hideMark/>
          </w:tcPr>
          <w:p w14:paraId="720543E4" w14:textId="77777777" w:rsidR="00706DD1" w:rsidRPr="00BE78CA" w:rsidRDefault="00706DD1" w:rsidP="00C26084">
            <w:pPr>
              <w:pStyle w:val="TableText"/>
              <w:spacing w:before="50" w:after="50"/>
              <w:jc w:val="center"/>
              <w:rPr>
                <w:rFonts w:cs="Calibri"/>
              </w:rPr>
            </w:pPr>
            <w:r w:rsidRPr="00BE78CA">
              <w:rPr>
                <w:rFonts w:cs="Calibri"/>
              </w:rPr>
              <w:t>±50.0</w:t>
            </w:r>
          </w:p>
        </w:tc>
      </w:tr>
      <w:tr w:rsidR="00706DD1" w:rsidRPr="00BE78CA" w14:paraId="2991A2B6" w14:textId="77777777" w:rsidTr="00D82765">
        <w:tc>
          <w:tcPr>
            <w:tcW w:w="320" w:type="pct"/>
            <w:tcBorders>
              <w:right w:val="single" w:sz="4" w:space="0" w:color="365F91"/>
            </w:tcBorders>
            <w:shd w:val="clear" w:color="auto" w:fill="auto"/>
            <w:noWrap/>
            <w:hideMark/>
          </w:tcPr>
          <w:p w14:paraId="5F2E759E" w14:textId="77777777" w:rsidR="00706DD1" w:rsidRPr="00BE78CA" w:rsidRDefault="00706DD1" w:rsidP="00C26084">
            <w:pPr>
              <w:pStyle w:val="TableText"/>
              <w:spacing w:before="50" w:after="50"/>
              <w:rPr>
                <w:rFonts w:cs="Calibri"/>
              </w:rPr>
            </w:pPr>
            <w:r w:rsidRPr="00BE78CA">
              <w:rPr>
                <w:rFonts w:cs="Calibri"/>
              </w:rPr>
              <w:t> </w:t>
            </w:r>
          </w:p>
        </w:tc>
        <w:tc>
          <w:tcPr>
            <w:tcW w:w="2695" w:type="pct"/>
            <w:tcBorders>
              <w:top w:val="single" w:sz="4" w:space="0" w:color="365F91"/>
              <w:left w:val="single" w:sz="4" w:space="0" w:color="365F91"/>
              <w:bottom w:val="single" w:sz="4" w:space="0" w:color="365F91"/>
              <w:right w:val="single" w:sz="4" w:space="0" w:color="365F91"/>
            </w:tcBorders>
            <w:shd w:val="clear" w:color="auto" w:fill="auto"/>
            <w:noWrap/>
            <w:hideMark/>
          </w:tcPr>
          <w:p w14:paraId="14631641" w14:textId="77777777" w:rsidR="00706DD1" w:rsidRPr="00BE78CA" w:rsidRDefault="00706DD1" w:rsidP="00C26084">
            <w:pPr>
              <w:pStyle w:val="TableText"/>
              <w:spacing w:before="50" w:after="50"/>
              <w:rPr>
                <w:rFonts w:cs="Calibri"/>
              </w:rPr>
            </w:pPr>
            <w:r w:rsidRPr="00BE78CA">
              <w:rPr>
                <w:rFonts w:cs="Calibri"/>
              </w:rPr>
              <w:t>Solid fuels</w:t>
            </w:r>
          </w:p>
        </w:tc>
        <w:tc>
          <w:tcPr>
            <w:tcW w:w="974" w:type="pct"/>
            <w:tcBorders>
              <w:top w:val="single" w:sz="4" w:space="0" w:color="365F91"/>
              <w:left w:val="single" w:sz="4" w:space="0" w:color="365F91"/>
              <w:bottom w:val="single" w:sz="4" w:space="0" w:color="365F91"/>
              <w:right w:val="single" w:sz="4" w:space="0" w:color="365F91"/>
            </w:tcBorders>
            <w:shd w:val="clear" w:color="auto" w:fill="auto"/>
            <w:noWrap/>
            <w:hideMark/>
          </w:tcPr>
          <w:p w14:paraId="385965A6" w14:textId="77777777" w:rsidR="00706DD1" w:rsidRPr="00BE78CA" w:rsidRDefault="00706DD1" w:rsidP="00C26084">
            <w:pPr>
              <w:pStyle w:val="TableText"/>
              <w:spacing w:before="50" w:after="50"/>
              <w:jc w:val="center"/>
              <w:rPr>
                <w:rFonts w:cs="Calibri"/>
              </w:rPr>
            </w:pPr>
            <w:r w:rsidRPr="00BE78CA">
              <w:rPr>
                <w:rFonts w:cs="Calibri"/>
              </w:rPr>
              <w:t>4.6</w:t>
            </w:r>
          </w:p>
        </w:tc>
        <w:tc>
          <w:tcPr>
            <w:tcW w:w="1011" w:type="pct"/>
            <w:tcBorders>
              <w:left w:val="single" w:sz="4" w:space="0" w:color="365F91"/>
            </w:tcBorders>
            <w:shd w:val="clear" w:color="auto" w:fill="auto"/>
            <w:noWrap/>
            <w:hideMark/>
          </w:tcPr>
          <w:p w14:paraId="589D6752" w14:textId="77777777" w:rsidR="00706DD1" w:rsidRPr="00BE78CA" w:rsidRDefault="00706DD1" w:rsidP="00C26084">
            <w:pPr>
              <w:pStyle w:val="TableText"/>
              <w:spacing w:before="50" w:after="50"/>
              <w:jc w:val="center"/>
              <w:rPr>
                <w:rFonts w:cs="Calibri"/>
              </w:rPr>
            </w:pPr>
            <w:r w:rsidRPr="00BE78CA">
              <w:rPr>
                <w:rFonts w:cs="Calibri"/>
              </w:rPr>
              <w:t>±50.0</w:t>
            </w:r>
          </w:p>
        </w:tc>
      </w:tr>
      <w:tr w:rsidR="00706DD1" w:rsidRPr="00BE78CA" w14:paraId="5B57470E" w14:textId="77777777" w:rsidTr="00D82765">
        <w:tc>
          <w:tcPr>
            <w:tcW w:w="320" w:type="pct"/>
            <w:tcBorders>
              <w:right w:val="single" w:sz="4" w:space="0" w:color="365F91"/>
            </w:tcBorders>
            <w:shd w:val="clear" w:color="auto" w:fill="auto"/>
            <w:noWrap/>
            <w:hideMark/>
          </w:tcPr>
          <w:p w14:paraId="531BE580" w14:textId="77777777" w:rsidR="00706DD1" w:rsidRPr="00BE78CA" w:rsidRDefault="00706DD1" w:rsidP="00C26084">
            <w:pPr>
              <w:pStyle w:val="TableText"/>
              <w:spacing w:before="50" w:after="50"/>
              <w:rPr>
                <w:rFonts w:cs="Calibri"/>
              </w:rPr>
            </w:pPr>
            <w:r w:rsidRPr="00BE78CA">
              <w:rPr>
                <w:rFonts w:cs="Calibri"/>
              </w:rPr>
              <w:t> </w:t>
            </w:r>
          </w:p>
        </w:tc>
        <w:tc>
          <w:tcPr>
            <w:tcW w:w="2695" w:type="pct"/>
            <w:tcBorders>
              <w:top w:val="single" w:sz="4" w:space="0" w:color="365F91"/>
              <w:left w:val="single" w:sz="4" w:space="0" w:color="365F91"/>
              <w:bottom w:val="single" w:sz="4" w:space="0" w:color="365F91"/>
              <w:right w:val="single" w:sz="4" w:space="0" w:color="365F91"/>
            </w:tcBorders>
            <w:shd w:val="clear" w:color="auto" w:fill="auto"/>
            <w:noWrap/>
            <w:hideMark/>
          </w:tcPr>
          <w:p w14:paraId="704040FB" w14:textId="77777777" w:rsidR="00706DD1" w:rsidRPr="00BE78CA" w:rsidRDefault="00706DD1" w:rsidP="00C26084">
            <w:pPr>
              <w:pStyle w:val="TableText"/>
              <w:spacing w:before="50" w:after="50"/>
              <w:rPr>
                <w:rFonts w:cs="Calibri"/>
              </w:rPr>
            </w:pPr>
            <w:r w:rsidRPr="00BE78CA">
              <w:rPr>
                <w:rFonts w:cs="Calibri"/>
              </w:rPr>
              <w:t>Gaseous fuels</w:t>
            </w:r>
          </w:p>
        </w:tc>
        <w:tc>
          <w:tcPr>
            <w:tcW w:w="974" w:type="pct"/>
            <w:tcBorders>
              <w:top w:val="single" w:sz="4" w:space="0" w:color="365F91"/>
              <w:left w:val="single" w:sz="4" w:space="0" w:color="365F91"/>
              <w:bottom w:val="single" w:sz="4" w:space="0" w:color="365F91"/>
              <w:right w:val="single" w:sz="4" w:space="0" w:color="365F91"/>
            </w:tcBorders>
            <w:shd w:val="clear" w:color="auto" w:fill="auto"/>
            <w:noWrap/>
            <w:hideMark/>
          </w:tcPr>
          <w:p w14:paraId="6C09C315" w14:textId="77777777" w:rsidR="00706DD1" w:rsidRPr="00BE78CA" w:rsidRDefault="00706DD1" w:rsidP="00C26084">
            <w:pPr>
              <w:pStyle w:val="TableText"/>
              <w:spacing w:before="50" w:after="50"/>
              <w:jc w:val="center"/>
              <w:rPr>
                <w:rFonts w:cs="Calibri"/>
              </w:rPr>
            </w:pPr>
            <w:r w:rsidRPr="00BE78CA">
              <w:rPr>
                <w:rFonts w:cs="Calibri"/>
              </w:rPr>
              <w:t>9.3</w:t>
            </w:r>
          </w:p>
        </w:tc>
        <w:tc>
          <w:tcPr>
            <w:tcW w:w="1011" w:type="pct"/>
            <w:tcBorders>
              <w:left w:val="single" w:sz="4" w:space="0" w:color="365F91"/>
            </w:tcBorders>
            <w:shd w:val="clear" w:color="auto" w:fill="auto"/>
            <w:noWrap/>
            <w:hideMark/>
          </w:tcPr>
          <w:p w14:paraId="4D8DFE08" w14:textId="77777777" w:rsidR="00706DD1" w:rsidRPr="00BE78CA" w:rsidRDefault="00706DD1" w:rsidP="00C26084">
            <w:pPr>
              <w:pStyle w:val="TableText"/>
              <w:spacing w:before="50" w:after="50"/>
              <w:jc w:val="center"/>
              <w:rPr>
                <w:rFonts w:cs="Calibri"/>
              </w:rPr>
            </w:pPr>
            <w:r w:rsidRPr="00BE78CA">
              <w:rPr>
                <w:rFonts w:cs="Calibri"/>
              </w:rPr>
              <w:t>±50.0</w:t>
            </w:r>
          </w:p>
        </w:tc>
      </w:tr>
      <w:tr w:rsidR="00706DD1" w:rsidRPr="00BE78CA" w14:paraId="2C790E80" w14:textId="77777777" w:rsidTr="00D82765">
        <w:tc>
          <w:tcPr>
            <w:tcW w:w="320" w:type="pct"/>
            <w:tcBorders>
              <w:right w:val="single" w:sz="4" w:space="0" w:color="365F91"/>
            </w:tcBorders>
            <w:shd w:val="clear" w:color="auto" w:fill="auto"/>
            <w:noWrap/>
          </w:tcPr>
          <w:p w14:paraId="3E4DCF3C" w14:textId="77777777" w:rsidR="00706DD1" w:rsidRPr="00BE78CA" w:rsidRDefault="00706DD1" w:rsidP="00C26084">
            <w:pPr>
              <w:pStyle w:val="TableText"/>
              <w:spacing w:before="50" w:after="50"/>
              <w:rPr>
                <w:rFonts w:cs="Calibri"/>
              </w:rPr>
            </w:pPr>
          </w:p>
        </w:tc>
        <w:tc>
          <w:tcPr>
            <w:tcW w:w="2695" w:type="pct"/>
            <w:tcBorders>
              <w:top w:val="single" w:sz="4" w:space="0" w:color="365F91"/>
              <w:left w:val="single" w:sz="4" w:space="0" w:color="365F91"/>
              <w:bottom w:val="single" w:sz="4" w:space="0" w:color="365F91"/>
              <w:right w:val="single" w:sz="4" w:space="0" w:color="365F91"/>
            </w:tcBorders>
            <w:shd w:val="clear" w:color="auto" w:fill="auto"/>
            <w:noWrap/>
          </w:tcPr>
          <w:p w14:paraId="4A1400E5" w14:textId="77777777" w:rsidR="00706DD1" w:rsidRPr="00BE78CA" w:rsidRDefault="00706DD1" w:rsidP="00C26084">
            <w:pPr>
              <w:pStyle w:val="TableText"/>
              <w:spacing w:before="50" w:after="50"/>
              <w:rPr>
                <w:rFonts w:cs="Calibri"/>
                <w:b/>
              </w:rPr>
            </w:pPr>
            <w:r w:rsidRPr="00BE78CA">
              <w:rPr>
                <w:rFonts w:cs="Calibri"/>
              </w:rPr>
              <w:t>Biomass</w:t>
            </w:r>
          </w:p>
        </w:tc>
        <w:tc>
          <w:tcPr>
            <w:tcW w:w="974" w:type="pct"/>
            <w:tcBorders>
              <w:top w:val="single" w:sz="4" w:space="0" w:color="365F91"/>
              <w:left w:val="single" w:sz="4" w:space="0" w:color="365F91"/>
              <w:bottom w:val="single" w:sz="4" w:space="0" w:color="365F91"/>
              <w:right w:val="single" w:sz="4" w:space="0" w:color="365F91"/>
            </w:tcBorders>
            <w:shd w:val="clear" w:color="auto" w:fill="auto"/>
            <w:noWrap/>
          </w:tcPr>
          <w:p w14:paraId="7C7331B2" w14:textId="77777777" w:rsidR="00706DD1" w:rsidRPr="00BE78CA" w:rsidRDefault="00706DD1" w:rsidP="00C26084">
            <w:pPr>
              <w:pStyle w:val="TableText"/>
              <w:spacing w:before="50" w:after="50"/>
              <w:jc w:val="center"/>
              <w:rPr>
                <w:rFonts w:cs="Calibri"/>
              </w:rPr>
            </w:pPr>
            <w:r w:rsidRPr="00BE78CA">
              <w:rPr>
                <w:rFonts w:cs="Calibri"/>
              </w:rPr>
              <w:t>50.0</w:t>
            </w:r>
          </w:p>
        </w:tc>
        <w:tc>
          <w:tcPr>
            <w:tcW w:w="1011" w:type="pct"/>
            <w:tcBorders>
              <w:left w:val="single" w:sz="4" w:space="0" w:color="365F91"/>
            </w:tcBorders>
            <w:shd w:val="clear" w:color="auto" w:fill="auto"/>
            <w:noWrap/>
          </w:tcPr>
          <w:p w14:paraId="6A467811" w14:textId="77777777" w:rsidR="00706DD1" w:rsidRPr="00BE78CA" w:rsidRDefault="00706DD1" w:rsidP="00C26084">
            <w:pPr>
              <w:pStyle w:val="TableText"/>
              <w:spacing w:before="50" w:after="50"/>
              <w:jc w:val="center"/>
              <w:rPr>
                <w:rFonts w:cs="Calibri"/>
              </w:rPr>
            </w:pPr>
            <w:r w:rsidRPr="00BE78CA">
              <w:rPr>
                <w:rFonts w:cs="Calibri"/>
              </w:rPr>
              <w:t>±50.0</w:t>
            </w:r>
          </w:p>
        </w:tc>
      </w:tr>
      <w:tr w:rsidR="00706DD1" w:rsidRPr="00BE78CA" w14:paraId="46838E20" w14:textId="77777777" w:rsidTr="00D82765">
        <w:tc>
          <w:tcPr>
            <w:tcW w:w="320" w:type="pct"/>
            <w:tcBorders>
              <w:right w:val="single" w:sz="4" w:space="0" w:color="365F91"/>
            </w:tcBorders>
            <w:shd w:val="clear" w:color="auto" w:fill="auto"/>
            <w:noWrap/>
          </w:tcPr>
          <w:p w14:paraId="3B2E14AD" w14:textId="77777777" w:rsidR="00706DD1" w:rsidRPr="00BE78CA" w:rsidRDefault="00706DD1" w:rsidP="00C26084">
            <w:pPr>
              <w:pStyle w:val="TableText"/>
              <w:spacing w:before="50" w:after="50"/>
              <w:rPr>
                <w:rFonts w:cs="Calibri"/>
              </w:rPr>
            </w:pPr>
          </w:p>
        </w:tc>
        <w:tc>
          <w:tcPr>
            <w:tcW w:w="2695" w:type="pct"/>
            <w:tcBorders>
              <w:top w:val="single" w:sz="4" w:space="0" w:color="365F91"/>
              <w:left w:val="single" w:sz="4" w:space="0" w:color="365F91"/>
              <w:bottom w:val="single" w:sz="4" w:space="0" w:color="365F91"/>
              <w:right w:val="single" w:sz="4" w:space="0" w:color="365F91"/>
            </w:tcBorders>
            <w:shd w:val="clear" w:color="auto" w:fill="auto"/>
            <w:noWrap/>
          </w:tcPr>
          <w:p w14:paraId="71DBF1F5" w14:textId="77777777" w:rsidR="00706DD1" w:rsidRPr="00BE78CA" w:rsidRDefault="00706DD1" w:rsidP="00C26084">
            <w:pPr>
              <w:pStyle w:val="TableText"/>
              <w:spacing w:before="50" w:after="50"/>
              <w:rPr>
                <w:rFonts w:cs="Calibri"/>
              </w:rPr>
            </w:pPr>
            <w:r w:rsidRPr="00BE78CA">
              <w:rPr>
                <w:rFonts w:cs="Calibri"/>
              </w:rPr>
              <w:t>Fugitive – venting/flaring</w:t>
            </w:r>
          </w:p>
        </w:tc>
        <w:tc>
          <w:tcPr>
            <w:tcW w:w="974" w:type="pct"/>
            <w:tcBorders>
              <w:top w:val="single" w:sz="4" w:space="0" w:color="365F91"/>
              <w:left w:val="single" w:sz="4" w:space="0" w:color="365F91"/>
              <w:bottom w:val="single" w:sz="4" w:space="0" w:color="365F91"/>
              <w:right w:val="single" w:sz="4" w:space="0" w:color="365F91"/>
            </w:tcBorders>
            <w:shd w:val="clear" w:color="auto" w:fill="auto"/>
            <w:noWrap/>
          </w:tcPr>
          <w:p w14:paraId="1DDE3E4A" w14:textId="77777777" w:rsidR="00706DD1" w:rsidRPr="00BE78CA" w:rsidRDefault="00706DD1" w:rsidP="00C26084">
            <w:pPr>
              <w:pStyle w:val="TableText"/>
              <w:spacing w:before="50" w:after="50"/>
              <w:jc w:val="center"/>
              <w:rPr>
                <w:rFonts w:cs="Calibri"/>
              </w:rPr>
            </w:pPr>
            <w:r w:rsidRPr="00BE78CA">
              <w:rPr>
                <w:rFonts w:cs="Calibri"/>
              </w:rPr>
              <w:t>5.0</w:t>
            </w:r>
          </w:p>
        </w:tc>
        <w:tc>
          <w:tcPr>
            <w:tcW w:w="1011" w:type="pct"/>
            <w:tcBorders>
              <w:left w:val="single" w:sz="4" w:space="0" w:color="365F91"/>
            </w:tcBorders>
            <w:shd w:val="clear" w:color="auto" w:fill="auto"/>
            <w:noWrap/>
          </w:tcPr>
          <w:p w14:paraId="72086124" w14:textId="77777777" w:rsidR="00706DD1" w:rsidRPr="00BE78CA" w:rsidRDefault="00706DD1" w:rsidP="00C26084">
            <w:pPr>
              <w:pStyle w:val="TableText"/>
              <w:spacing w:before="50" w:after="50"/>
              <w:jc w:val="center"/>
              <w:rPr>
                <w:rFonts w:cs="Calibri"/>
              </w:rPr>
            </w:pPr>
            <w:r w:rsidRPr="00BE78CA">
              <w:rPr>
                <w:rFonts w:cs="Calibri"/>
              </w:rPr>
              <w:t>±100.0</w:t>
            </w:r>
          </w:p>
        </w:tc>
      </w:tr>
    </w:tbl>
    <w:p w14:paraId="3FF038C4" w14:textId="77777777" w:rsidR="00706DD1" w:rsidRPr="00BE78CA" w:rsidRDefault="00706DD1" w:rsidP="00706DD1">
      <w:pPr>
        <w:pStyle w:val="BodyText"/>
        <w:spacing w:before="240"/>
        <w:rPr>
          <w:rFonts w:cs="Calibri"/>
        </w:rPr>
      </w:pPr>
      <w:r w:rsidRPr="00BE78CA">
        <w:rPr>
          <w:rFonts w:cs="Calibri"/>
          <w:lang w:eastAsia="en-GB"/>
        </w:rPr>
        <w:t>New Zealand uses the percentage difference between annual calculated consumer energy from supply-side surveys and annual observed consumer energy from demand-side surveys to estimate activity data uncertainty. As a result, activity data uncertainty can vary significantly from year to year.</w:t>
      </w:r>
    </w:p>
    <w:p w14:paraId="7DBE9A8E" w14:textId="77777777" w:rsidR="00706DD1" w:rsidRPr="00BE78CA" w:rsidRDefault="00706DD1" w:rsidP="00706DD1">
      <w:pPr>
        <w:pStyle w:val="Heading3"/>
        <w:spacing w:before="240"/>
        <w:rPr>
          <w:rFonts w:cs="Calibri"/>
        </w:rPr>
      </w:pPr>
      <w:r w:rsidRPr="00BE78CA">
        <w:rPr>
          <w:rFonts w:cs="Calibri"/>
        </w:rPr>
        <w:t>3.3.6</w:t>
      </w:r>
      <w:r w:rsidRPr="00BE78CA">
        <w:rPr>
          <w:rFonts w:cs="Calibri"/>
        </w:rPr>
        <w:tab/>
        <w:t>Fuel combustion: Energy industries (CRF 1.A.1)</w:t>
      </w:r>
    </w:p>
    <w:p w14:paraId="143C343F" w14:textId="77777777" w:rsidR="00706DD1" w:rsidRPr="00BE78CA" w:rsidRDefault="00706DD1" w:rsidP="00706DD1">
      <w:pPr>
        <w:pStyle w:val="Heading4"/>
      </w:pPr>
      <w:r w:rsidRPr="00BE78CA">
        <w:rPr>
          <w:lang w:eastAsia="en-GB"/>
        </w:rPr>
        <w:t>Description</w:t>
      </w:r>
    </w:p>
    <w:p w14:paraId="64AD15B3" w14:textId="77777777" w:rsidR="00706DD1" w:rsidRPr="00BE78CA" w:rsidRDefault="00706DD1" w:rsidP="00706DD1">
      <w:pPr>
        <w:pStyle w:val="BodyText"/>
        <w:rPr>
          <w:rFonts w:cs="Calibri"/>
          <w:lang w:eastAsia="en-GB"/>
        </w:rPr>
      </w:pPr>
      <w:r w:rsidRPr="00BE78CA">
        <w:rPr>
          <w:rFonts w:cs="Calibri"/>
          <w:lang w:eastAsia="en-GB"/>
        </w:rPr>
        <w:t xml:space="preserve">This category includes combustion for public electricity and heat production, petroleum refining and the manufacture of solid fuels and other energy industries. The latter category includes estimates for natural gas in oil and gas extraction and from natural gas in synthetic gasoline production. The excess </w:t>
      </w:r>
      <w:r w:rsidRPr="00BE78CA">
        <w:rPr>
          <w:rFonts w:cs="Calibri"/>
        </w:rPr>
        <w:t>CO</w:t>
      </w:r>
      <w:r w:rsidRPr="00BE78CA">
        <w:rPr>
          <w:rFonts w:cs="Calibri"/>
          <w:vertAlign w:val="subscript"/>
        </w:rPr>
        <w:t>2</w:t>
      </w:r>
      <w:r w:rsidRPr="00BE78CA">
        <w:rPr>
          <w:rFonts w:cs="Calibri"/>
          <w:sz w:val="14"/>
          <w:szCs w:val="14"/>
          <w:lang w:eastAsia="en-GB"/>
        </w:rPr>
        <w:t xml:space="preserve"> </w:t>
      </w:r>
      <w:r w:rsidRPr="00BE78CA">
        <w:rPr>
          <w:rFonts w:cs="Calibri"/>
          <w:lang w:eastAsia="en-GB"/>
        </w:rPr>
        <w:t xml:space="preserve">removed from Kapuni gas at the Kapuni Gas Treatment Plant has also been reported in the </w:t>
      </w:r>
      <w:r w:rsidRPr="00BE78CA">
        <w:rPr>
          <w:rFonts w:cs="Calibri"/>
          <w:i/>
          <w:lang w:eastAsia="en-GB"/>
        </w:rPr>
        <w:t>Manufacture of solid fuels and other energy industries</w:t>
      </w:r>
      <w:r w:rsidRPr="00BE78CA">
        <w:rPr>
          <w:rFonts w:cs="Calibri"/>
          <w:lang w:eastAsia="en-GB"/>
        </w:rPr>
        <w:t xml:space="preserve"> category because of confidentiality concerns.</w:t>
      </w:r>
    </w:p>
    <w:p w14:paraId="5F26526F" w14:textId="0D087E2A" w:rsidR="00706DD1" w:rsidRPr="00BE78CA" w:rsidRDefault="00706DD1" w:rsidP="00706DD1">
      <w:pPr>
        <w:pStyle w:val="BodyText"/>
        <w:rPr>
          <w:rFonts w:cs="Calibri"/>
          <w:lang w:eastAsia="en-GB"/>
        </w:rPr>
      </w:pPr>
      <w:r w:rsidRPr="00BE78CA">
        <w:rPr>
          <w:rFonts w:cs="Calibri"/>
          <w:lang w:eastAsia="en-GB"/>
        </w:rPr>
        <w:t xml:space="preserve">In </w:t>
      </w:r>
      <w:r w:rsidRPr="00BE78CA">
        <w:rPr>
          <w:rFonts w:cs="Calibri"/>
        </w:rPr>
        <w:t>2019</w:t>
      </w:r>
      <w:r w:rsidRPr="00BE78CA">
        <w:rPr>
          <w:rFonts w:cs="Calibri"/>
          <w:lang w:eastAsia="en-GB"/>
        </w:rPr>
        <w:t xml:space="preserve">, emissions in category 1.A.1 </w:t>
      </w:r>
      <w:r w:rsidRPr="00BE78CA">
        <w:rPr>
          <w:rFonts w:cs="Calibri"/>
          <w:i/>
          <w:lang w:eastAsia="en-GB"/>
        </w:rPr>
        <w:t>Energy industries</w:t>
      </w:r>
      <w:r w:rsidRPr="00BE78CA">
        <w:rPr>
          <w:rFonts w:cs="Calibri"/>
          <w:lang w:eastAsia="en-GB"/>
        </w:rPr>
        <w:t xml:space="preserve"> totalled 5,418.3</w:t>
      </w:r>
      <w:r w:rsidRPr="00BE78CA">
        <w:rPr>
          <w:rFonts w:cs="Calibri"/>
        </w:rPr>
        <w:t xml:space="preserve"> </w:t>
      </w:r>
      <w:r w:rsidRPr="00BE78CA">
        <w:rPr>
          <w:rFonts w:cs="Calibri"/>
          <w:lang w:eastAsia="en-GB"/>
        </w:rPr>
        <w:t>kt CO</w:t>
      </w:r>
      <w:r w:rsidRPr="00BE78CA">
        <w:rPr>
          <w:rFonts w:cs="Calibri"/>
          <w:vertAlign w:val="subscript"/>
          <w:lang w:eastAsia="en-GB"/>
        </w:rPr>
        <w:t>2</w:t>
      </w:r>
      <w:r w:rsidRPr="00BE78CA">
        <w:rPr>
          <w:rFonts w:cs="Calibri"/>
          <w:lang w:eastAsia="en-GB"/>
        </w:rPr>
        <w:t>-e (</w:t>
      </w:r>
      <w:r w:rsidRPr="00BE78CA">
        <w:rPr>
          <w:rFonts w:cs="Calibri"/>
        </w:rPr>
        <w:t>15.8 per cent</w:t>
      </w:r>
      <w:r w:rsidRPr="00BE78CA">
        <w:rPr>
          <w:rFonts w:cs="Calibri"/>
          <w:lang w:eastAsia="en-GB"/>
        </w:rPr>
        <w:t xml:space="preserve"> of the Energy sector emissions). Emissions from energy industries in 2019 were</w:t>
      </w:r>
      <w:r w:rsidRPr="00BE78CA">
        <w:rPr>
          <w:rFonts w:cs="Calibri"/>
        </w:rPr>
        <w:t xml:space="preserve"> 626.4 </w:t>
      </w:r>
      <w:r w:rsidRPr="00BE78CA">
        <w:rPr>
          <w:rFonts w:cs="Calibri"/>
          <w:lang w:eastAsia="en-GB"/>
        </w:rPr>
        <w:t>kt CO</w:t>
      </w:r>
      <w:r w:rsidRPr="00BE78CA">
        <w:rPr>
          <w:rFonts w:cs="Calibri"/>
          <w:vertAlign w:val="subscript"/>
          <w:lang w:eastAsia="en-GB"/>
        </w:rPr>
        <w:t>2</w:t>
      </w:r>
      <w:r w:rsidRPr="00BE78CA">
        <w:rPr>
          <w:rFonts w:cs="Calibri"/>
          <w:lang w:eastAsia="en-GB"/>
        </w:rPr>
        <w:noBreakHyphen/>
        <w:t>e (10.4</w:t>
      </w:r>
      <w:r w:rsidRPr="00BE78CA">
        <w:rPr>
          <w:rFonts w:cs="Calibri"/>
        </w:rPr>
        <w:t xml:space="preserve"> per cent</w:t>
      </w:r>
      <w:r w:rsidRPr="00BE78CA">
        <w:rPr>
          <w:rFonts w:cs="Calibri"/>
          <w:lang w:eastAsia="en-GB"/>
        </w:rPr>
        <w:t xml:space="preserve">) lower than the 1990 level of </w:t>
      </w:r>
      <w:r w:rsidRPr="00BE78CA">
        <w:rPr>
          <w:rFonts w:cs="Calibri"/>
        </w:rPr>
        <w:t xml:space="preserve">6,044.8 </w:t>
      </w:r>
      <w:r w:rsidRPr="00BE78CA">
        <w:rPr>
          <w:rFonts w:cs="Calibri"/>
          <w:lang w:eastAsia="en-GB"/>
        </w:rPr>
        <w:t>kt CO</w:t>
      </w:r>
      <w:r w:rsidRPr="00BE78CA">
        <w:rPr>
          <w:rFonts w:cs="Calibri"/>
          <w:vertAlign w:val="subscript"/>
          <w:lang w:eastAsia="en-GB"/>
        </w:rPr>
        <w:t>2</w:t>
      </w:r>
      <w:r w:rsidRPr="00BE78CA">
        <w:rPr>
          <w:rFonts w:cs="Calibri"/>
          <w:lang w:eastAsia="en-GB"/>
        </w:rPr>
        <w:t xml:space="preserve">-e. Category 1.A.1.a </w:t>
      </w:r>
      <w:r w:rsidRPr="00BE78CA">
        <w:rPr>
          <w:rFonts w:cs="Calibri"/>
          <w:i/>
          <w:lang w:eastAsia="en-GB"/>
        </w:rPr>
        <w:t>Public electricity and heat production</w:t>
      </w:r>
      <w:r w:rsidRPr="00BE78CA">
        <w:rPr>
          <w:rFonts w:cs="Calibri"/>
          <w:lang w:eastAsia="en-GB"/>
        </w:rPr>
        <w:t xml:space="preserve"> accounted for 4,181.3</w:t>
      </w:r>
      <w:r w:rsidR="00142FB4" w:rsidRPr="00BE78CA">
        <w:rPr>
          <w:rFonts w:cs="Calibri"/>
          <w:lang w:eastAsia="en-GB"/>
        </w:rPr>
        <w:t> </w:t>
      </w:r>
      <w:r w:rsidRPr="00BE78CA">
        <w:rPr>
          <w:rFonts w:cs="Calibri"/>
          <w:lang w:eastAsia="en-GB"/>
        </w:rPr>
        <w:t>kt CO</w:t>
      </w:r>
      <w:r w:rsidRPr="00BE78CA">
        <w:rPr>
          <w:rFonts w:cs="Calibri"/>
          <w:vertAlign w:val="subscript"/>
          <w:lang w:eastAsia="en-GB"/>
        </w:rPr>
        <w:t>2</w:t>
      </w:r>
      <w:r w:rsidRPr="00BE78CA">
        <w:rPr>
          <w:rFonts w:cs="Calibri"/>
          <w:lang w:eastAsia="en-GB"/>
        </w:rPr>
        <w:t xml:space="preserve">-e of emissions from the </w:t>
      </w:r>
      <w:r w:rsidRPr="00BE78CA">
        <w:rPr>
          <w:rFonts w:cs="Calibri"/>
          <w:i/>
          <w:lang w:eastAsia="en-GB"/>
        </w:rPr>
        <w:t>Energy industries</w:t>
      </w:r>
      <w:r w:rsidRPr="00BE78CA">
        <w:rPr>
          <w:rFonts w:cs="Calibri"/>
          <w:lang w:eastAsia="en-GB"/>
        </w:rPr>
        <w:t xml:space="preserve"> category in </w:t>
      </w:r>
      <w:r w:rsidRPr="00BE78CA">
        <w:rPr>
          <w:rFonts w:cs="Calibri"/>
        </w:rPr>
        <w:t>2019</w:t>
      </w:r>
      <w:r w:rsidRPr="00BE78CA">
        <w:rPr>
          <w:rFonts w:cs="Calibri"/>
          <w:lang w:eastAsia="en-GB"/>
        </w:rPr>
        <w:t>. This is 679.0</w:t>
      </w:r>
      <w:r w:rsidRPr="00BE78CA">
        <w:rPr>
          <w:rFonts w:cs="Calibri"/>
        </w:rPr>
        <w:t> </w:t>
      </w:r>
      <w:r w:rsidRPr="00BE78CA">
        <w:rPr>
          <w:rFonts w:cs="Calibri"/>
          <w:lang w:eastAsia="en-GB"/>
        </w:rPr>
        <w:t>kt CO</w:t>
      </w:r>
      <w:r w:rsidRPr="00BE78CA">
        <w:rPr>
          <w:rFonts w:cs="Calibri"/>
          <w:vertAlign w:val="subscript"/>
          <w:lang w:eastAsia="en-GB"/>
        </w:rPr>
        <w:t>2</w:t>
      </w:r>
      <w:r w:rsidRPr="00BE78CA">
        <w:rPr>
          <w:rFonts w:cs="Calibri"/>
          <w:lang w:eastAsia="en-GB"/>
        </w:rPr>
        <w:noBreakHyphen/>
        <w:t>e (19.4</w:t>
      </w:r>
      <w:r w:rsidRPr="00BE78CA">
        <w:rPr>
          <w:rFonts w:cs="Calibri"/>
        </w:rPr>
        <w:t> per cent</w:t>
      </w:r>
      <w:r w:rsidRPr="00BE78CA">
        <w:rPr>
          <w:rFonts w:cs="Calibri"/>
          <w:lang w:eastAsia="en-GB"/>
        </w:rPr>
        <w:t xml:space="preserve">) higher than the 1990 level of </w:t>
      </w:r>
      <w:r w:rsidRPr="00BE78CA">
        <w:rPr>
          <w:rFonts w:cs="Calibri"/>
        </w:rPr>
        <w:t>3,502.3</w:t>
      </w:r>
      <w:r w:rsidR="00F6288F" w:rsidRPr="00BE78CA">
        <w:rPr>
          <w:rFonts w:cs="Calibri"/>
        </w:rPr>
        <w:t> </w:t>
      </w:r>
      <w:r w:rsidRPr="00BE78CA">
        <w:rPr>
          <w:rFonts w:cs="Calibri"/>
          <w:lang w:eastAsia="en-GB"/>
        </w:rPr>
        <w:t>kt</w:t>
      </w:r>
      <w:r w:rsidR="00F6288F" w:rsidRPr="00BE78CA">
        <w:rPr>
          <w:rFonts w:cs="Calibri"/>
          <w:lang w:eastAsia="en-GB"/>
        </w:rPr>
        <w:t> </w:t>
      </w:r>
      <w:r w:rsidRPr="00BE78CA">
        <w:rPr>
          <w:rFonts w:cs="Calibri"/>
          <w:lang w:eastAsia="en-GB"/>
        </w:rPr>
        <w:t>CO</w:t>
      </w:r>
      <w:r w:rsidRPr="00BE78CA">
        <w:rPr>
          <w:rFonts w:cs="Calibri"/>
          <w:vertAlign w:val="subscript"/>
          <w:lang w:eastAsia="en-GB"/>
        </w:rPr>
        <w:t>2</w:t>
      </w:r>
      <w:r w:rsidRPr="00BE78CA">
        <w:rPr>
          <w:rFonts w:cs="Calibri"/>
          <w:lang w:eastAsia="en-GB"/>
        </w:rPr>
        <w:t>-e.</w:t>
      </w:r>
    </w:p>
    <w:p w14:paraId="5C35676E" w14:textId="77777777" w:rsidR="00706DD1" w:rsidRPr="00BE78CA" w:rsidRDefault="00706DD1" w:rsidP="00706DD1">
      <w:pPr>
        <w:pStyle w:val="Heading4"/>
      </w:pPr>
      <w:r w:rsidRPr="00BE78CA">
        <w:rPr>
          <w:lang w:eastAsia="en-GB"/>
        </w:rPr>
        <w:t xml:space="preserve">Changes in emissions between </w:t>
      </w:r>
      <w:r w:rsidRPr="00BE78CA">
        <w:t xml:space="preserve">2018 </w:t>
      </w:r>
      <w:r w:rsidRPr="00BE78CA">
        <w:rPr>
          <w:lang w:eastAsia="en-GB"/>
        </w:rPr>
        <w:t xml:space="preserve">and </w:t>
      </w:r>
      <w:r w:rsidRPr="00BE78CA">
        <w:t>2019</w:t>
      </w:r>
    </w:p>
    <w:p w14:paraId="07CDD183" w14:textId="77777777" w:rsidR="00706DD1" w:rsidRPr="00BE78CA" w:rsidRDefault="00706DD1" w:rsidP="00706DD1">
      <w:pPr>
        <w:pStyle w:val="BodyText"/>
        <w:rPr>
          <w:rFonts w:cs="Calibri"/>
          <w:lang w:eastAsia="en-GB"/>
        </w:rPr>
      </w:pPr>
      <w:r w:rsidRPr="00BE78CA">
        <w:rPr>
          <w:rFonts w:cs="Calibri"/>
          <w:lang w:eastAsia="en-GB"/>
        </w:rPr>
        <w:t xml:space="preserve">Between </w:t>
      </w:r>
      <w:r w:rsidRPr="00BE78CA">
        <w:rPr>
          <w:rFonts w:cs="Calibri"/>
        </w:rPr>
        <w:t xml:space="preserve">2018 </w:t>
      </w:r>
      <w:r w:rsidRPr="00BE78CA">
        <w:rPr>
          <w:rFonts w:cs="Calibri"/>
          <w:lang w:eastAsia="en-GB"/>
        </w:rPr>
        <w:t xml:space="preserve">and </w:t>
      </w:r>
      <w:r w:rsidRPr="00BE78CA">
        <w:rPr>
          <w:rFonts w:cs="Calibri"/>
        </w:rPr>
        <w:t>2019</w:t>
      </w:r>
      <w:r w:rsidRPr="00BE78CA">
        <w:rPr>
          <w:rFonts w:cs="Calibri"/>
          <w:lang w:eastAsia="en-GB"/>
        </w:rPr>
        <w:t>, a</w:t>
      </w:r>
      <w:r w:rsidRPr="00BE78CA">
        <w:rPr>
          <w:rFonts w:cs="Calibri"/>
        </w:rPr>
        <w:t xml:space="preserve">n increase of 720.1 </w:t>
      </w:r>
      <w:r w:rsidRPr="00BE78CA">
        <w:rPr>
          <w:rFonts w:cs="Calibri"/>
          <w:lang w:eastAsia="en-GB"/>
        </w:rPr>
        <w:t>kt CO</w:t>
      </w:r>
      <w:r w:rsidRPr="00BE78CA">
        <w:rPr>
          <w:rFonts w:cs="Calibri"/>
          <w:vertAlign w:val="subscript"/>
          <w:lang w:eastAsia="en-GB"/>
        </w:rPr>
        <w:t>2</w:t>
      </w:r>
      <w:r w:rsidRPr="00BE78CA">
        <w:rPr>
          <w:rFonts w:cs="Calibri"/>
          <w:lang w:eastAsia="en-GB"/>
        </w:rPr>
        <w:t>-e (20.8</w:t>
      </w:r>
      <w:r w:rsidRPr="00BE78CA">
        <w:rPr>
          <w:rFonts w:cs="Calibri"/>
        </w:rPr>
        <w:t xml:space="preserve"> per cent</w:t>
      </w:r>
      <w:r w:rsidRPr="00BE78CA">
        <w:rPr>
          <w:rFonts w:cs="Calibri"/>
          <w:lang w:eastAsia="en-GB"/>
        </w:rPr>
        <w:t xml:space="preserve">) occurred in emissions from 1.A.1.a </w:t>
      </w:r>
      <w:r w:rsidRPr="00BE78CA">
        <w:rPr>
          <w:rFonts w:cs="Calibri"/>
          <w:i/>
          <w:lang w:eastAsia="en-GB"/>
        </w:rPr>
        <w:t>Public electricity and heat production</w:t>
      </w:r>
      <w:r w:rsidRPr="00BE78CA">
        <w:rPr>
          <w:rFonts w:cs="Calibri"/>
          <w:lang w:eastAsia="en-GB"/>
        </w:rPr>
        <w:t>. This was largely because the</w:t>
      </w:r>
      <w:r w:rsidRPr="00BE78CA">
        <w:rPr>
          <w:rFonts w:cs="Calibri"/>
        </w:rPr>
        <w:t xml:space="preserve"> share of electricity generated from renewable energy sources was 82 per cent in 2019, down from 84 per cent in 2018. This resulted in increased gas and coal-fired generation over the year, which together </w:t>
      </w:r>
      <w:r w:rsidRPr="00BE78CA">
        <w:rPr>
          <w:rFonts w:cs="Calibri"/>
          <w:lang w:eastAsia="en-GB"/>
        </w:rPr>
        <w:t xml:space="preserve">increased 11.3 per cent from </w:t>
      </w:r>
      <w:r w:rsidRPr="00BE78CA">
        <w:rPr>
          <w:rFonts w:cs="Calibri"/>
        </w:rPr>
        <w:t>2018</w:t>
      </w:r>
      <w:r w:rsidRPr="00BE78CA">
        <w:rPr>
          <w:rFonts w:cs="Calibri"/>
          <w:lang w:eastAsia="en-GB"/>
        </w:rPr>
        <w:t>.</w:t>
      </w:r>
    </w:p>
    <w:p w14:paraId="7DEB4D4D" w14:textId="77777777" w:rsidR="00706DD1" w:rsidRPr="00BE78CA" w:rsidRDefault="00706DD1" w:rsidP="00706DD1">
      <w:pPr>
        <w:pStyle w:val="BodyText"/>
        <w:rPr>
          <w:rFonts w:cs="Calibri"/>
        </w:rPr>
      </w:pPr>
      <w:r w:rsidRPr="00BE78CA">
        <w:rPr>
          <w:rFonts w:cs="Calibri"/>
        </w:rPr>
        <w:t xml:space="preserve">Key categories identified in the 2019 level and trend assessment for the </w:t>
      </w:r>
      <w:r w:rsidRPr="00BE78CA">
        <w:rPr>
          <w:rFonts w:cs="Calibri"/>
          <w:i/>
        </w:rPr>
        <w:t>Energy industries</w:t>
      </w:r>
      <w:r w:rsidRPr="00BE78CA">
        <w:rPr>
          <w:rFonts w:cs="Calibri"/>
        </w:rPr>
        <w:t xml:space="preserve"> category are given in table 3.3.2.</w:t>
      </w:r>
    </w:p>
    <w:p w14:paraId="47018473" w14:textId="77777777" w:rsidR="00706DD1" w:rsidRPr="00BE78CA" w:rsidRDefault="00706DD1" w:rsidP="00706DD1">
      <w:pPr>
        <w:pStyle w:val="Table"/>
      </w:pPr>
      <w:bookmarkStart w:id="281" w:name="_Toc68786406"/>
      <w:r w:rsidRPr="00BE78CA">
        <w:t>Table 3.3.2</w:t>
      </w:r>
      <w:r w:rsidRPr="00BE78CA">
        <w:tab/>
        <w:t>Key categories for 1.A.1 Energy industries</w:t>
      </w:r>
      <w:bookmarkEnd w:id="281"/>
    </w:p>
    <w:tbl>
      <w:tblPr>
        <w:tblW w:w="8505" w:type="dxa"/>
        <w:tblBorders>
          <w:top w:val="single" w:sz="4" w:space="0" w:color="1F497D"/>
          <w:bottom w:val="single" w:sz="4" w:space="0" w:color="1F497D"/>
          <w:insideH w:val="single" w:sz="4" w:space="0" w:color="1F497D"/>
          <w:insideV w:val="single" w:sz="4" w:space="0" w:color="1F497D"/>
        </w:tblBorders>
        <w:tblLayout w:type="fixed"/>
        <w:tblLook w:val="0420" w:firstRow="1" w:lastRow="0" w:firstColumn="0" w:lastColumn="0" w:noHBand="0" w:noVBand="1"/>
      </w:tblPr>
      <w:tblGrid>
        <w:gridCol w:w="4788"/>
        <w:gridCol w:w="1267"/>
        <w:gridCol w:w="1266"/>
        <w:gridCol w:w="1184"/>
      </w:tblGrid>
      <w:tr w:rsidR="00706DD1" w:rsidRPr="00BE78CA" w14:paraId="1A77E314" w14:textId="77777777" w:rsidTr="00C46FC4">
        <w:trPr>
          <w:tblHeader/>
        </w:trPr>
        <w:tc>
          <w:tcPr>
            <w:tcW w:w="2815" w:type="pct"/>
            <w:tcBorders>
              <w:right w:val="single" w:sz="4" w:space="0" w:color="365F91"/>
            </w:tcBorders>
            <w:shd w:val="clear" w:color="auto" w:fill="365F91"/>
            <w:noWrap/>
            <w:vAlign w:val="bottom"/>
            <w:hideMark/>
          </w:tcPr>
          <w:p w14:paraId="204304D3" w14:textId="77777777" w:rsidR="00706DD1" w:rsidRPr="00BE78CA" w:rsidRDefault="00706DD1" w:rsidP="00C26084">
            <w:pPr>
              <w:pStyle w:val="TableTextBold"/>
              <w:rPr>
                <w:rFonts w:cs="Calibri"/>
                <w:noProof w:val="0"/>
                <w:color w:val="FFFFFF"/>
              </w:rPr>
            </w:pPr>
          </w:p>
        </w:tc>
        <w:tc>
          <w:tcPr>
            <w:tcW w:w="745" w:type="pct"/>
            <w:tcBorders>
              <w:top w:val="single" w:sz="4" w:space="0" w:color="365F91"/>
              <w:left w:val="single" w:sz="4" w:space="0" w:color="365F91"/>
              <w:bottom w:val="single" w:sz="4" w:space="0" w:color="365F91"/>
              <w:right w:val="single" w:sz="4" w:space="0" w:color="365F91"/>
            </w:tcBorders>
            <w:shd w:val="clear" w:color="auto" w:fill="365F91"/>
            <w:noWrap/>
            <w:vAlign w:val="bottom"/>
            <w:hideMark/>
          </w:tcPr>
          <w:p w14:paraId="461CCC59" w14:textId="77777777" w:rsidR="00706DD1" w:rsidRPr="00BE78CA" w:rsidRDefault="00706DD1" w:rsidP="00C26084">
            <w:pPr>
              <w:pStyle w:val="TableTextBold"/>
              <w:rPr>
                <w:rFonts w:cs="Calibri"/>
                <w:noProof w:val="0"/>
                <w:color w:val="FFFFFF"/>
              </w:rPr>
            </w:pPr>
            <w:r w:rsidRPr="00BE78CA">
              <w:rPr>
                <w:rFonts w:cs="Calibri"/>
                <w:noProof w:val="0"/>
                <w:color w:val="FFFFFF"/>
              </w:rPr>
              <w:t>Liquid fuels</w:t>
            </w:r>
          </w:p>
        </w:tc>
        <w:tc>
          <w:tcPr>
            <w:tcW w:w="744" w:type="pct"/>
            <w:tcBorders>
              <w:top w:val="single" w:sz="4" w:space="0" w:color="365F91"/>
              <w:left w:val="single" w:sz="4" w:space="0" w:color="365F91"/>
              <w:bottom w:val="single" w:sz="4" w:space="0" w:color="365F91"/>
              <w:right w:val="single" w:sz="4" w:space="0" w:color="365F91"/>
            </w:tcBorders>
            <w:shd w:val="clear" w:color="auto" w:fill="365F91"/>
            <w:vAlign w:val="bottom"/>
            <w:hideMark/>
          </w:tcPr>
          <w:p w14:paraId="59D846ED" w14:textId="77777777" w:rsidR="00706DD1" w:rsidRPr="00BE78CA" w:rsidRDefault="00706DD1" w:rsidP="00C26084">
            <w:pPr>
              <w:pStyle w:val="TableTextBold"/>
              <w:rPr>
                <w:rFonts w:cs="Calibri"/>
                <w:noProof w:val="0"/>
                <w:color w:val="FFFFFF"/>
              </w:rPr>
            </w:pPr>
            <w:r w:rsidRPr="00BE78CA">
              <w:rPr>
                <w:rFonts w:cs="Calibri"/>
                <w:noProof w:val="0"/>
                <w:color w:val="FFFFFF"/>
              </w:rPr>
              <w:t>Solid fuels</w:t>
            </w:r>
          </w:p>
        </w:tc>
        <w:tc>
          <w:tcPr>
            <w:tcW w:w="696" w:type="pct"/>
            <w:tcBorders>
              <w:left w:val="single" w:sz="4" w:space="0" w:color="365F91"/>
            </w:tcBorders>
            <w:shd w:val="clear" w:color="auto" w:fill="365F91"/>
            <w:vAlign w:val="bottom"/>
            <w:hideMark/>
          </w:tcPr>
          <w:p w14:paraId="5925CEB5" w14:textId="77777777" w:rsidR="00706DD1" w:rsidRPr="00BE78CA" w:rsidRDefault="00706DD1" w:rsidP="00C26084">
            <w:pPr>
              <w:pStyle w:val="TableTextBold"/>
              <w:rPr>
                <w:rFonts w:cs="Calibri"/>
                <w:noProof w:val="0"/>
                <w:color w:val="FFFFFF"/>
              </w:rPr>
            </w:pPr>
            <w:r w:rsidRPr="00BE78CA">
              <w:rPr>
                <w:rFonts w:cs="Calibri"/>
                <w:noProof w:val="0"/>
                <w:color w:val="FFFFFF"/>
              </w:rPr>
              <w:t>Gaseous fuels</w:t>
            </w:r>
          </w:p>
        </w:tc>
      </w:tr>
      <w:tr w:rsidR="00706DD1" w:rsidRPr="00BE78CA" w14:paraId="13E6B867" w14:textId="77777777" w:rsidTr="00C46FC4">
        <w:tc>
          <w:tcPr>
            <w:tcW w:w="2815" w:type="pct"/>
            <w:tcBorders>
              <w:right w:val="single" w:sz="4" w:space="0" w:color="365F91"/>
            </w:tcBorders>
            <w:shd w:val="clear" w:color="auto" w:fill="auto"/>
            <w:noWrap/>
            <w:hideMark/>
          </w:tcPr>
          <w:p w14:paraId="044F2A45" w14:textId="77777777" w:rsidR="00706DD1" w:rsidRPr="00BE78CA" w:rsidRDefault="00706DD1" w:rsidP="00C26084">
            <w:pPr>
              <w:pStyle w:val="TableText"/>
              <w:spacing w:before="50" w:after="50"/>
              <w:rPr>
                <w:rFonts w:cs="Calibri"/>
              </w:rPr>
            </w:pPr>
            <w:r w:rsidRPr="00BE78CA">
              <w:rPr>
                <w:rFonts w:cs="Calibri"/>
              </w:rPr>
              <w:t>Public electricity and heat production – CO</w:t>
            </w:r>
            <w:r w:rsidRPr="00BE78CA">
              <w:rPr>
                <w:rFonts w:cs="Calibri"/>
                <w:vertAlign w:val="subscript"/>
              </w:rPr>
              <w:t>2</w:t>
            </w:r>
          </w:p>
        </w:tc>
        <w:tc>
          <w:tcPr>
            <w:tcW w:w="745" w:type="pct"/>
            <w:tcBorders>
              <w:top w:val="single" w:sz="4" w:space="0" w:color="365F91"/>
              <w:left w:val="single" w:sz="4" w:space="0" w:color="365F91"/>
              <w:bottom w:val="single" w:sz="4" w:space="0" w:color="365F91"/>
              <w:right w:val="single" w:sz="4" w:space="0" w:color="365F91"/>
            </w:tcBorders>
            <w:shd w:val="clear" w:color="auto" w:fill="auto"/>
            <w:noWrap/>
            <w:hideMark/>
          </w:tcPr>
          <w:p w14:paraId="6C154ECA" w14:textId="77777777" w:rsidR="00706DD1" w:rsidRPr="00BE78CA" w:rsidRDefault="00706DD1" w:rsidP="00C26084">
            <w:pPr>
              <w:pStyle w:val="TableText"/>
              <w:spacing w:before="50" w:after="50"/>
              <w:rPr>
                <w:rFonts w:cs="Calibri"/>
              </w:rPr>
            </w:pPr>
          </w:p>
        </w:tc>
        <w:tc>
          <w:tcPr>
            <w:tcW w:w="744" w:type="pct"/>
            <w:tcBorders>
              <w:top w:val="single" w:sz="4" w:space="0" w:color="365F91"/>
              <w:left w:val="single" w:sz="4" w:space="0" w:color="365F91"/>
              <w:bottom w:val="single" w:sz="4" w:space="0" w:color="365F91"/>
              <w:right w:val="single" w:sz="4" w:space="0" w:color="365F91"/>
            </w:tcBorders>
            <w:shd w:val="clear" w:color="auto" w:fill="auto"/>
            <w:noWrap/>
            <w:hideMark/>
          </w:tcPr>
          <w:p w14:paraId="087C7E4B" w14:textId="77777777" w:rsidR="00706DD1" w:rsidRPr="00BE78CA" w:rsidRDefault="00706DD1" w:rsidP="00C26084">
            <w:pPr>
              <w:pStyle w:val="TableText"/>
              <w:spacing w:before="50" w:after="50"/>
              <w:rPr>
                <w:rFonts w:cs="Calibri"/>
              </w:rPr>
            </w:pPr>
            <w:r w:rsidRPr="00BE78CA">
              <w:rPr>
                <w:rFonts w:cs="Calibri"/>
              </w:rPr>
              <w:t>Level, trend</w:t>
            </w:r>
          </w:p>
        </w:tc>
        <w:tc>
          <w:tcPr>
            <w:tcW w:w="696" w:type="pct"/>
            <w:tcBorders>
              <w:left w:val="single" w:sz="4" w:space="0" w:color="365F91"/>
            </w:tcBorders>
            <w:shd w:val="clear" w:color="auto" w:fill="auto"/>
            <w:noWrap/>
            <w:hideMark/>
          </w:tcPr>
          <w:p w14:paraId="2B05ADBB" w14:textId="77777777" w:rsidR="00706DD1" w:rsidRPr="00BE78CA" w:rsidRDefault="00706DD1" w:rsidP="00C26084">
            <w:pPr>
              <w:pStyle w:val="TableText"/>
              <w:spacing w:before="50" w:after="50"/>
              <w:rPr>
                <w:rFonts w:cs="Calibri"/>
              </w:rPr>
            </w:pPr>
            <w:r w:rsidRPr="00BE78CA">
              <w:rPr>
                <w:rFonts w:cs="Calibri"/>
              </w:rPr>
              <w:t>Level, trend</w:t>
            </w:r>
          </w:p>
        </w:tc>
      </w:tr>
      <w:tr w:rsidR="00706DD1" w:rsidRPr="00BE78CA" w14:paraId="2C3B1DEE" w14:textId="77777777" w:rsidTr="00C46FC4">
        <w:tc>
          <w:tcPr>
            <w:tcW w:w="2815" w:type="pct"/>
            <w:tcBorders>
              <w:right w:val="single" w:sz="4" w:space="0" w:color="365F91"/>
            </w:tcBorders>
            <w:shd w:val="clear" w:color="auto" w:fill="auto"/>
            <w:noWrap/>
            <w:hideMark/>
          </w:tcPr>
          <w:p w14:paraId="153CF640" w14:textId="77777777" w:rsidR="00706DD1" w:rsidRPr="00BE78CA" w:rsidRDefault="00706DD1" w:rsidP="00C26084">
            <w:pPr>
              <w:pStyle w:val="TableText"/>
              <w:spacing w:before="50" w:after="50"/>
              <w:rPr>
                <w:rFonts w:cs="Calibri"/>
              </w:rPr>
            </w:pPr>
            <w:r w:rsidRPr="00BE78CA">
              <w:rPr>
                <w:rFonts w:cs="Calibri"/>
              </w:rPr>
              <w:t>Petroleum refining – CO</w:t>
            </w:r>
            <w:r w:rsidRPr="00BE78CA">
              <w:rPr>
                <w:rFonts w:cs="Calibri"/>
                <w:vertAlign w:val="subscript"/>
              </w:rPr>
              <w:t>2</w:t>
            </w:r>
          </w:p>
        </w:tc>
        <w:tc>
          <w:tcPr>
            <w:tcW w:w="745" w:type="pct"/>
            <w:tcBorders>
              <w:top w:val="single" w:sz="4" w:space="0" w:color="365F91"/>
              <w:left w:val="single" w:sz="4" w:space="0" w:color="365F91"/>
              <w:bottom w:val="single" w:sz="4" w:space="0" w:color="365F91"/>
              <w:right w:val="single" w:sz="4" w:space="0" w:color="365F91"/>
            </w:tcBorders>
            <w:shd w:val="clear" w:color="auto" w:fill="auto"/>
            <w:noWrap/>
            <w:hideMark/>
          </w:tcPr>
          <w:p w14:paraId="5EBFBCE1" w14:textId="77777777" w:rsidR="00706DD1" w:rsidRPr="00BE78CA" w:rsidRDefault="00706DD1" w:rsidP="00C26084">
            <w:pPr>
              <w:pStyle w:val="TableText"/>
              <w:spacing w:before="50" w:after="50"/>
              <w:rPr>
                <w:rFonts w:cs="Calibri"/>
              </w:rPr>
            </w:pPr>
            <w:r w:rsidRPr="00BE78CA">
              <w:rPr>
                <w:rFonts w:cs="Calibri"/>
              </w:rPr>
              <w:t>Level, trend</w:t>
            </w:r>
          </w:p>
        </w:tc>
        <w:tc>
          <w:tcPr>
            <w:tcW w:w="744" w:type="pct"/>
            <w:tcBorders>
              <w:top w:val="single" w:sz="4" w:space="0" w:color="365F91"/>
              <w:left w:val="single" w:sz="4" w:space="0" w:color="365F91"/>
              <w:bottom w:val="single" w:sz="4" w:space="0" w:color="365F91"/>
              <w:right w:val="single" w:sz="4" w:space="0" w:color="365F91"/>
            </w:tcBorders>
            <w:shd w:val="clear" w:color="auto" w:fill="auto"/>
            <w:noWrap/>
          </w:tcPr>
          <w:p w14:paraId="7CBDF673" w14:textId="77777777" w:rsidR="00706DD1" w:rsidRPr="00BE78CA" w:rsidRDefault="00706DD1" w:rsidP="00C26084">
            <w:pPr>
              <w:pStyle w:val="TableText"/>
              <w:spacing w:before="50" w:after="50"/>
              <w:jc w:val="center"/>
              <w:rPr>
                <w:rFonts w:cs="Calibri"/>
              </w:rPr>
            </w:pPr>
          </w:p>
        </w:tc>
        <w:tc>
          <w:tcPr>
            <w:tcW w:w="696" w:type="pct"/>
            <w:tcBorders>
              <w:left w:val="single" w:sz="4" w:space="0" w:color="365F91"/>
            </w:tcBorders>
            <w:shd w:val="clear" w:color="auto" w:fill="auto"/>
            <w:noWrap/>
            <w:hideMark/>
          </w:tcPr>
          <w:p w14:paraId="1EA49D81" w14:textId="77777777" w:rsidR="00706DD1" w:rsidRPr="00BE78CA" w:rsidRDefault="00706DD1" w:rsidP="00C26084">
            <w:pPr>
              <w:pStyle w:val="TableText"/>
              <w:spacing w:before="50" w:after="50"/>
              <w:rPr>
                <w:rFonts w:cs="Calibri"/>
              </w:rPr>
            </w:pPr>
            <w:r w:rsidRPr="00BE78CA">
              <w:rPr>
                <w:rFonts w:cs="Calibri"/>
              </w:rPr>
              <w:t>Level, trend</w:t>
            </w:r>
          </w:p>
        </w:tc>
      </w:tr>
      <w:tr w:rsidR="00706DD1" w:rsidRPr="00BE78CA" w14:paraId="024B38B9" w14:textId="77777777" w:rsidTr="00C46FC4">
        <w:tc>
          <w:tcPr>
            <w:tcW w:w="2815" w:type="pct"/>
            <w:tcBorders>
              <w:right w:val="single" w:sz="4" w:space="0" w:color="365F91"/>
            </w:tcBorders>
            <w:shd w:val="clear" w:color="auto" w:fill="auto"/>
            <w:noWrap/>
          </w:tcPr>
          <w:p w14:paraId="72F7F28C" w14:textId="77777777" w:rsidR="00706DD1" w:rsidRPr="00BE78CA" w:rsidRDefault="00706DD1" w:rsidP="00C26084">
            <w:pPr>
              <w:pStyle w:val="TableText"/>
              <w:spacing w:before="50" w:after="50"/>
              <w:rPr>
                <w:rFonts w:cs="Calibri"/>
              </w:rPr>
            </w:pPr>
            <w:r w:rsidRPr="00BE78CA">
              <w:rPr>
                <w:rFonts w:cs="Calibri"/>
              </w:rPr>
              <w:t>Manufacture of solid fuels and other energy industries – CO</w:t>
            </w:r>
            <w:r w:rsidRPr="00BE78CA">
              <w:rPr>
                <w:rFonts w:cs="Calibri"/>
                <w:vertAlign w:val="subscript"/>
              </w:rPr>
              <w:t>2</w:t>
            </w:r>
          </w:p>
        </w:tc>
        <w:tc>
          <w:tcPr>
            <w:tcW w:w="745" w:type="pct"/>
            <w:tcBorders>
              <w:top w:val="single" w:sz="4" w:space="0" w:color="365F91"/>
              <w:left w:val="single" w:sz="4" w:space="0" w:color="365F91"/>
              <w:bottom w:val="single" w:sz="4" w:space="0" w:color="365F91"/>
              <w:right w:val="single" w:sz="4" w:space="0" w:color="365F91"/>
            </w:tcBorders>
            <w:shd w:val="clear" w:color="auto" w:fill="auto"/>
            <w:noWrap/>
          </w:tcPr>
          <w:p w14:paraId="2D20E2D1" w14:textId="77777777" w:rsidR="00706DD1" w:rsidRPr="00BE78CA" w:rsidRDefault="00706DD1" w:rsidP="00C26084">
            <w:pPr>
              <w:pStyle w:val="TableText"/>
              <w:spacing w:before="50" w:after="50"/>
              <w:rPr>
                <w:rFonts w:cs="Calibri"/>
              </w:rPr>
            </w:pPr>
          </w:p>
        </w:tc>
        <w:tc>
          <w:tcPr>
            <w:tcW w:w="744" w:type="pct"/>
            <w:tcBorders>
              <w:top w:val="single" w:sz="4" w:space="0" w:color="365F91"/>
              <w:left w:val="single" w:sz="4" w:space="0" w:color="365F91"/>
              <w:bottom w:val="single" w:sz="4" w:space="0" w:color="365F91"/>
              <w:right w:val="single" w:sz="4" w:space="0" w:color="365F91"/>
            </w:tcBorders>
            <w:shd w:val="clear" w:color="auto" w:fill="auto"/>
            <w:noWrap/>
          </w:tcPr>
          <w:p w14:paraId="61AA2C70" w14:textId="77777777" w:rsidR="00706DD1" w:rsidRPr="00BE78CA" w:rsidRDefault="00706DD1" w:rsidP="00C26084">
            <w:pPr>
              <w:pStyle w:val="TableText"/>
              <w:spacing w:before="50" w:after="50"/>
              <w:jc w:val="center"/>
              <w:rPr>
                <w:rFonts w:cs="Calibri"/>
              </w:rPr>
            </w:pPr>
          </w:p>
        </w:tc>
        <w:tc>
          <w:tcPr>
            <w:tcW w:w="696" w:type="pct"/>
            <w:tcBorders>
              <w:left w:val="single" w:sz="4" w:space="0" w:color="365F91"/>
            </w:tcBorders>
            <w:shd w:val="clear" w:color="auto" w:fill="auto"/>
            <w:noWrap/>
          </w:tcPr>
          <w:p w14:paraId="5877AD96" w14:textId="77777777" w:rsidR="00706DD1" w:rsidRPr="00BE78CA" w:rsidRDefault="00706DD1" w:rsidP="00C26084">
            <w:pPr>
              <w:pStyle w:val="TableText"/>
              <w:spacing w:before="50" w:after="50"/>
              <w:rPr>
                <w:rFonts w:cs="Calibri"/>
              </w:rPr>
            </w:pPr>
            <w:r w:rsidRPr="00BE78CA">
              <w:rPr>
                <w:rFonts w:cs="Calibri"/>
              </w:rPr>
              <w:t>Level, trend</w:t>
            </w:r>
          </w:p>
        </w:tc>
      </w:tr>
    </w:tbl>
    <w:p w14:paraId="1ACBD3E5" w14:textId="05F0C90C" w:rsidR="00706DD1" w:rsidRPr="00BE78CA" w:rsidRDefault="00706DD1" w:rsidP="00706DD1">
      <w:pPr>
        <w:pStyle w:val="BodyText"/>
        <w:rPr>
          <w:rFonts w:ascii="Arial" w:hAnsi="Arial" w:cs="Arial"/>
        </w:rPr>
      </w:pPr>
      <w:r w:rsidRPr="00BE78CA">
        <w:lastRenderedPageBreak/>
        <w:t>New Zealand’s electricity generation is dominated by hydroelectric generation. For the 2019</w:t>
      </w:r>
      <w:r w:rsidR="00C46FC4" w:rsidRPr="00BE78CA">
        <w:t> </w:t>
      </w:r>
      <w:r w:rsidRPr="00BE78CA">
        <w:t>calendar year, hydro generation provided 58.2 per cent of New Zealand’s electricity generation. A further 17.4 per cent came from geothermal, 5.1 per cent from wind, 1.3 per cent from biomass and 0.3 per cent from solar. The remaining 17.5 per cent was provided by</w:t>
      </w:r>
      <w:r w:rsidR="00C46FC4" w:rsidRPr="00BE78CA">
        <w:t> </w:t>
      </w:r>
      <w:r w:rsidRPr="00BE78CA">
        <w:t>fossil fuel thermal generation plants using gas, coal and oil (MBIE, 2020).</w:t>
      </w:r>
    </w:p>
    <w:p w14:paraId="188CC4FF" w14:textId="06650E6D" w:rsidR="00706DD1" w:rsidRPr="00BE78CA" w:rsidRDefault="00706DD1" w:rsidP="00C46FC4">
      <w:pPr>
        <w:pStyle w:val="BodyText"/>
        <w:rPr>
          <w:lang w:eastAsia="en-GB"/>
        </w:rPr>
      </w:pPr>
      <w:r w:rsidRPr="00BE78CA">
        <w:rPr>
          <w:lang w:eastAsia="en-GB"/>
        </w:rPr>
        <w:t>Greenhouse</w:t>
      </w:r>
      <w:r w:rsidRPr="00BE78CA">
        <w:t xml:space="preserve"> </w:t>
      </w:r>
      <w:r w:rsidRPr="00BE78CA">
        <w:rPr>
          <w:lang w:eastAsia="en-GB"/>
        </w:rPr>
        <w:t xml:space="preserve">gas emissions </w:t>
      </w:r>
      <w:r w:rsidRPr="00BE78CA">
        <w:t>from</w:t>
      </w:r>
      <w:r w:rsidRPr="00BE78CA">
        <w:rPr>
          <w:lang w:eastAsia="en-GB"/>
        </w:rPr>
        <w:t xml:space="preserve"> the </w:t>
      </w:r>
      <w:r w:rsidRPr="00BE78CA">
        <w:rPr>
          <w:i/>
          <w:lang w:eastAsia="en-GB"/>
        </w:rPr>
        <w:t>Public electricity and heat production</w:t>
      </w:r>
      <w:r w:rsidRPr="00BE78CA">
        <w:rPr>
          <w:lang w:eastAsia="en-GB"/>
        </w:rPr>
        <w:t xml:space="preserve"> category show large year-to-year fluctuations between 1990 and </w:t>
      </w:r>
      <w:r w:rsidRPr="00BE78CA">
        <w:t>2019</w:t>
      </w:r>
      <w:r w:rsidRPr="00BE78CA">
        <w:rPr>
          <w:lang w:eastAsia="en-GB"/>
        </w:rPr>
        <w:t xml:space="preserve">. These fluctuations can also be seen over the time series for New Zealand’s gross emissions. The fluctuations are influenced by the close inverse relationship between thermal and renewable generation (see </w:t>
      </w:r>
      <w:r w:rsidRPr="00BE78CA">
        <w:t>figure 3.3.6</w:t>
      </w:r>
      <w:r w:rsidRPr="00BE78CA">
        <w:rPr>
          <w:lang w:eastAsia="en-GB"/>
        </w:rPr>
        <w:t>). In a dry year, when low rainfall affects most of New Zealand’s hydro lake levels, any shortfall</w:t>
      </w:r>
      <w:r w:rsidR="006B65F2">
        <w:rPr>
          <w:lang w:eastAsia="en-GB"/>
        </w:rPr>
        <w:t> </w:t>
      </w:r>
      <w:r w:rsidRPr="00BE78CA">
        <w:rPr>
          <w:lang w:eastAsia="en-GB"/>
        </w:rPr>
        <w:t>in hydroelectric generation is made up by increased thermal electricity generation. New Zealand’s hydro resources have limited storage capacity; total reservoir storage is only around 10 per cent of New Zealand’s annual demand. Hence, regular rainfall throughout the year is needed to sustain a high level of hydro generation. Electricity generation in a ‘normal’ hydro year does not require significant use of natural gas and coal, while a ‘dry’ hydro year requires higher use of natural gas and coal.</w:t>
      </w:r>
    </w:p>
    <w:p w14:paraId="6B6E3C15" w14:textId="6B0BADEE" w:rsidR="00706DD1" w:rsidRPr="00BE78CA" w:rsidRDefault="00706DD1" w:rsidP="00706DD1">
      <w:pPr>
        <w:pStyle w:val="Figure"/>
        <w:rPr>
          <w:rFonts w:cs="Calibri"/>
          <w:lang w:eastAsia="en-GB"/>
        </w:rPr>
      </w:pPr>
      <w:bookmarkStart w:id="282" w:name="_Ref442370451"/>
      <w:bookmarkStart w:id="283" w:name="_Toc321399328"/>
      <w:bookmarkStart w:id="284" w:name="_Toc384582856"/>
      <w:bookmarkStart w:id="285" w:name="_Toc443060816"/>
      <w:bookmarkStart w:id="286" w:name="_Toc447275673"/>
      <w:bookmarkStart w:id="287" w:name="_Toc481751991"/>
      <w:bookmarkStart w:id="288" w:name="_Toc36292775"/>
      <w:bookmarkStart w:id="289" w:name="_Toc68786640"/>
      <w:r w:rsidRPr="00BE78CA">
        <w:rPr>
          <w:rFonts w:cs="Calibri"/>
        </w:rPr>
        <w:t>Figure 3.3.</w:t>
      </w:r>
      <w:r w:rsidRPr="00BE78CA">
        <w:rPr>
          <w:rFonts w:cs="Calibri"/>
        </w:rPr>
        <w:fldChar w:fldCharType="begin"/>
      </w:r>
      <w:r w:rsidRPr="00BE78CA">
        <w:rPr>
          <w:rFonts w:cs="Calibri"/>
        </w:rPr>
        <w:instrText xml:space="preserve"> SEQ Figure \* ARABIC \s 2 </w:instrText>
      </w:r>
      <w:r w:rsidRPr="00BE78CA">
        <w:rPr>
          <w:rFonts w:cs="Calibri"/>
        </w:rPr>
        <w:fldChar w:fldCharType="separate"/>
      </w:r>
      <w:r w:rsidR="00B94D2F">
        <w:rPr>
          <w:rFonts w:cs="Calibri"/>
          <w:noProof/>
        </w:rPr>
        <w:t>6</w:t>
      </w:r>
      <w:r w:rsidRPr="00BE78CA">
        <w:rPr>
          <w:rFonts w:cs="Calibri"/>
        </w:rPr>
        <w:fldChar w:fldCharType="end"/>
      </w:r>
      <w:bookmarkEnd w:id="282"/>
      <w:r w:rsidRPr="00BE78CA">
        <w:rPr>
          <w:rFonts w:cs="Calibri"/>
          <w:lang w:eastAsia="en-GB"/>
        </w:rPr>
        <w:tab/>
        <w:t xml:space="preserve">New Zealand’s </w:t>
      </w:r>
      <w:r w:rsidRPr="00BE78CA">
        <w:rPr>
          <w:rFonts w:cs="Calibri"/>
        </w:rPr>
        <w:t>electricity</w:t>
      </w:r>
      <w:r w:rsidRPr="00BE78CA">
        <w:rPr>
          <w:rFonts w:cs="Calibri"/>
          <w:lang w:eastAsia="en-GB"/>
        </w:rPr>
        <w:t xml:space="preserve"> generation by source</w:t>
      </w:r>
      <w:bookmarkEnd w:id="283"/>
      <w:bookmarkEnd w:id="284"/>
      <w:bookmarkEnd w:id="285"/>
      <w:bookmarkEnd w:id="286"/>
      <w:bookmarkEnd w:id="287"/>
      <w:bookmarkEnd w:id="288"/>
      <w:r w:rsidRPr="00BE78CA">
        <w:rPr>
          <w:rFonts w:cs="Calibri"/>
          <w:lang w:eastAsia="en-GB"/>
        </w:rPr>
        <w:t xml:space="preserve"> (1990–2019)</w:t>
      </w:r>
      <w:bookmarkEnd w:id="289"/>
    </w:p>
    <w:p w14:paraId="7F03DC79" w14:textId="77777777" w:rsidR="00706DD1" w:rsidRPr="00BE78CA" w:rsidRDefault="00706DD1" w:rsidP="00C46FC4">
      <w:pPr>
        <w:pStyle w:val="BodyText"/>
      </w:pPr>
      <w:r w:rsidRPr="00BE78CA">
        <w:rPr>
          <w:noProof/>
        </w:rPr>
        <w:drawing>
          <wp:inline distT="0" distB="0" distL="0" distR="0" wp14:anchorId="491C3BBE" wp14:editId="396E48FC">
            <wp:extent cx="5400675" cy="2553419"/>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_3_3_6_electricity_generation_by_source.png"/>
                    <pic:cNvPicPr/>
                  </pic:nvPicPr>
                  <pic:blipFill rotWithShape="1">
                    <a:blip r:embed="rId68" cstate="print">
                      <a:extLst>
                        <a:ext uri="{28A0092B-C50C-407E-A947-70E740481C1C}">
                          <a14:useLocalDpi xmlns:a14="http://schemas.microsoft.com/office/drawing/2010/main" val="0"/>
                        </a:ext>
                      </a:extLst>
                    </a:blip>
                    <a:srcRect b="5452"/>
                    <a:stretch/>
                  </pic:blipFill>
                  <pic:spPr bwMode="auto">
                    <a:xfrm>
                      <a:off x="0" y="0"/>
                      <a:ext cx="5400675" cy="2553419"/>
                    </a:xfrm>
                    <a:prstGeom prst="rect">
                      <a:avLst/>
                    </a:prstGeom>
                    <a:ln>
                      <a:noFill/>
                    </a:ln>
                    <a:extLst>
                      <a:ext uri="{53640926-AAD7-44D8-BBD7-CCE9431645EC}">
                        <a14:shadowObscured xmlns:a14="http://schemas.microsoft.com/office/drawing/2010/main"/>
                      </a:ext>
                    </a:extLst>
                  </pic:spPr>
                </pic:pic>
              </a:graphicData>
            </a:graphic>
          </wp:inline>
        </w:drawing>
      </w:r>
    </w:p>
    <w:p w14:paraId="522E0F0F" w14:textId="77777777" w:rsidR="00706DD1" w:rsidRPr="00BE78CA" w:rsidRDefault="00706DD1" w:rsidP="00706DD1">
      <w:pPr>
        <w:pStyle w:val="Heading4"/>
      </w:pPr>
      <w:r w:rsidRPr="00BE78CA">
        <w:rPr>
          <w:lang w:eastAsia="en-GB"/>
        </w:rPr>
        <w:t>Methodological issues</w:t>
      </w:r>
    </w:p>
    <w:p w14:paraId="4C048B17" w14:textId="77777777" w:rsidR="00706DD1" w:rsidRPr="00BE78CA" w:rsidRDefault="00706DD1" w:rsidP="00706DD1">
      <w:pPr>
        <w:pStyle w:val="Heading5"/>
        <w:spacing w:before="120"/>
        <w:rPr>
          <w:rFonts w:cs="Calibri"/>
        </w:rPr>
      </w:pPr>
      <w:r w:rsidRPr="00BE78CA">
        <w:rPr>
          <w:rFonts w:cs="Calibri"/>
          <w:lang w:eastAsia="en-GB"/>
        </w:rPr>
        <w:t>1.A.1.c Manufacture of solid fuels and other energy industries</w:t>
      </w:r>
    </w:p>
    <w:p w14:paraId="6558C69F" w14:textId="77777777" w:rsidR="00706DD1" w:rsidRPr="00BE78CA" w:rsidRDefault="00706DD1" w:rsidP="00706DD1">
      <w:pPr>
        <w:pStyle w:val="BodyText"/>
        <w:rPr>
          <w:rFonts w:cs="Calibri"/>
          <w:lang w:eastAsia="en-GB"/>
        </w:rPr>
      </w:pPr>
      <w:r w:rsidRPr="00BE78CA">
        <w:rPr>
          <w:rFonts w:cs="Calibri"/>
          <w:lang w:eastAsia="en-GB"/>
        </w:rPr>
        <w:t>Methanex New Zealand produced synthetic gasoline until 1997. A Tier 2 methodology was used to estimate CO</w:t>
      </w:r>
      <w:r w:rsidRPr="00BE78CA">
        <w:rPr>
          <w:rFonts w:cs="Calibri"/>
          <w:vertAlign w:val="subscript"/>
          <w:lang w:eastAsia="en-GB"/>
        </w:rPr>
        <w:t>2</w:t>
      </w:r>
      <w:r w:rsidRPr="00BE78CA">
        <w:rPr>
          <w:rFonts w:cs="Calibri"/>
          <w:lang w:eastAsia="en-GB"/>
        </w:rPr>
        <w:t xml:space="preserve"> emissions based on the annual weighted average gas emission factor. </w:t>
      </w:r>
    </w:p>
    <w:p w14:paraId="19C8B6BA" w14:textId="77777777" w:rsidR="00706DD1" w:rsidRPr="00BE78CA" w:rsidRDefault="00706DD1" w:rsidP="00706DD1">
      <w:pPr>
        <w:pStyle w:val="Heading4"/>
        <w:rPr>
          <w:lang w:eastAsia="en-GB"/>
        </w:rPr>
      </w:pPr>
      <w:r w:rsidRPr="00BE78CA">
        <w:rPr>
          <w:lang w:eastAsia="en-GB"/>
        </w:rPr>
        <w:t>Activity data</w:t>
      </w:r>
    </w:p>
    <w:p w14:paraId="4416C5CD" w14:textId="77777777" w:rsidR="00706DD1" w:rsidRPr="00BE78CA" w:rsidRDefault="00706DD1" w:rsidP="00706DD1">
      <w:pPr>
        <w:pStyle w:val="Heading5"/>
        <w:spacing w:before="120"/>
        <w:rPr>
          <w:rFonts w:cs="Calibri"/>
        </w:rPr>
      </w:pPr>
      <w:r w:rsidRPr="00BE78CA">
        <w:rPr>
          <w:rFonts w:cs="Calibri"/>
          <w:lang w:eastAsia="en-GB"/>
        </w:rPr>
        <w:t>1.A.1.a Public electricity and heat production</w:t>
      </w:r>
    </w:p>
    <w:p w14:paraId="38AF2735" w14:textId="77777777" w:rsidR="00706DD1" w:rsidRPr="00BE78CA" w:rsidRDefault="00706DD1" w:rsidP="00706DD1">
      <w:pPr>
        <w:pStyle w:val="BodyText"/>
        <w:rPr>
          <w:rFonts w:cs="Calibri"/>
          <w:lang w:eastAsia="en-GB"/>
        </w:rPr>
      </w:pPr>
      <w:r w:rsidRPr="00BE78CA">
        <w:rPr>
          <w:rFonts w:cs="Calibri"/>
          <w:lang w:eastAsia="en-GB"/>
        </w:rPr>
        <w:t>All thermal electricity generators provide figures to MBIE for the amount of coal, natural gas and oil used for electricity generation. Greenhouse gas emissions from geothermal electricity generation are reported under 1.B.2.d.</w:t>
      </w:r>
    </w:p>
    <w:p w14:paraId="327FFF03" w14:textId="77777777" w:rsidR="00706DD1" w:rsidRPr="00BE78CA" w:rsidRDefault="00706DD1" w:rsidP="00706DD1">
      <w:pPr>
        <w:pStyle w:val="BodyText"/>
        <w:rPr>
          <w:rFonts w:cs="Calibri"/>
          <w:lang w:eastAsia="en-GB"/>
        </w:rPr>
      </w:pPr>
      <w:r w:rsidRPr="00BE78CA">
        <w:rPr>
          <w:rFonts w:cs="Calibri"/>
          <w:lang w:eastAsia="en-GB"/>
        </w:rPr>
        <w:t xml:space="preserve">Around 5 per cent of New Zealand’s electricity is supplied by co-generation (also known as combined heat and power) (MBIE, </w:t>
      </w:r>
      <w:r w:rsidRPr="00BE78CA">
        <w:rPr>
          <w:rFonts w:cs="Calibri"/>
        </w:rPr>
        <w:t>2020</w:t>
      </w:r>
      <w:r w:rsidRPr="00BE78CA">
        <w:rPr>
          <w:rFonts w:cs="Calibri"/>
          <w:lang w:eastAsia="en-GB"/>
        </w:rPr>
        <w:t xml:space="preserve">). Most of the major co-generation plants are attached to large industrial facilities that consume most of the generated electricity and heat. </w:t>
      </w:r>
    </w:p>
    <w:p w14:paraId="7366D8FF" w14:textId="3AB376D4" w:rsidR="00706DD1" w:rsidRPr="00BE78CA" w:rsidRDefault="00706DD1" w:rsidP="00706DD1">
      <w:pPr>
        <w:pStyle w:val="BodyText"/>
        <w:rPr>
          <w:rFonts w:cs="Calibri"/>
          <w:lang w:eastAsia="en-GB"/>
        </w:rPr>
      </w:pPr>
      <w:r w:rsidRPr="00BE78CA">
        <w:rPr>
          <w:rFonts w:cs="Calibri"/>
          <w:lang w:eastAsia="en-GB"/>
        </w:rPr>
        <w:lastRenderedPageBreak/>
        <w:t xml:space="preserve">Six co-generation plants that fit the IPCC 2006 definition of public electricity and heat production produce electricity as their primary purpose. The emissions from these plants are included in the </w:t>
      </w:r>
      <w:r w:rsidRPr="00BE78CA">
        <w:rPr>
          <w:rFonts w:cs="Calibri"/>
          <w:i/>
          <w:lang w:eastAsia="en-GB"/>
        </w:rPr>
        <w:t>Public electricity and heat production</w:t>
      </w:r>
      <w:r w:rsidRPr="00BE78CA">
        <w:rPr>
          <w:rFonts w:cs="Calibri"/>
          <w:lang w:eastAsia="en-GB"/>
        </w:rPr>
        <w:t xml:space="preserve"> category, while emissions from other</w:t>
      </w:r>
      <w:r w:rsidR="00C46FC4" w:rsidRPr="00BE78CA">
        <w:rPr>
          <w:rFonts w:cs="Calibri"/>
          <w:lang w:eastAsia="en-GB"/>
        </w:rPr>
        <w:t> </w:t>
      </w:r>
      <w:r w:rsidRPr="00BE78CA">
        <w:rPr>
          <w:rFonts w:cs="Calibri"/>
          <w:lang w:eastAsia="en-GB"/>
        </w:rPr>
        <w:t xml:space="preserve">co-generation plants are included in the </w:t>
      </w:r>
      <w:r w:rsidRPr="00BE78CA">
        <w:rPr>
          <w:rFonts w:cs="Calibri"/>
          <w:i/>
          <w:lang w:eastAsia="en-GB"/>
        </w:rPr>
        <w:t>Manufacturing industries and construction</w:t>
      </w:r>
      <w:r w:rsidRPr="00BE78CA">
        <w:rPr>
          <w:rFonts w:cs="Calibri"/>
          <w:lang w:eastAsia="en-GB"/>
        </w:rPr>
        <w:t xml:space="preserve"> category (section 3.3.7). </w:t>
      </w:r>
    </w:p>
    <w:p w14:paraId="4B9FB6B5" w14:textId="77777777" w:rsidR="00706DD1" w:rsidRPr="00BE78CA" w:rsidRDefault="00706DD1" w:rsidP="00706DD1">
      <w:pPr>
        <w:pStyle w:val="BodyText"/>
        <w:rPr>
          <w:rFonts w:cs="Calibri"/>
          <w:lang w:eastAsia="en-GB"/>
        </w:rPr>
      </w:pPr>
      <w:r w:rsidRPr="00BE78CA">
        <w:rPr>
          <w:rFonts w:cs="Calibri"/>
          <w:lang w:eastAsia="en-GB"/>
        </w:rPr>
        <w:t>To establish a consistent approach to on-site generation, MBIE developed a decision tree to guide the allocation of associated fuel consumption and identify whether the plant is a main activity electricity generator or an autoproducer (see figure</w:t>
      </w:r>
      <w:r w:rsidRPr="00BE78CA">
        <w:rPr>
          <w:rFonts w:cs="Calibri"/>
        </w:rPr>
        <w:t xml:space="preserve"> 3.3.7</w:t>
      </w:r>
      <w:r w:rsidRPr="00BE78CA">
        <w:rPr>
          <w:rFonts w:cs="Calibri"/>
          <w:lang w:eastAsia="en-GB"/>
        </w:rPr>
        <w:t>).</w:t>
      </w:r>
    </w:p>
    <w:p w14:paraId="49311233" w14:textId="01068F7E" w:rsidR="00706DD1" w:rsidRPr="00BE78CA" w:rsidRDefault="00706DD1" w:rsidP="00706DD1">
      <w:pPr>
        <w:pStyle w:val="Figure"/>
        <w:rPr>
          <w:rFonts w:cs="Calibri"/>
        </w:rPr>
      </w:pPr>
      <w:bookmarkStart w:id="290" w:name="_Ref442370479"/>
      <w:bookmarkStart w:id="291" w:name="_Toc321399329"/>
      <w:bookmarkStart w:id="292" w:name="_Toc384582857"/>
      <w:bookmarkStart w:id="293" w:name="_Toc443060817"/>
      <w:bookmarkStart w:id="294" w:name="_Toc447275674"/>
      <w:bookmarkStart w:id="295" w:name="_Toc481751992"/>
      <w:bookmarkStart w:id="296" w:name="_Toc36292776"/>
      <w:bookmarkStart w:id="297" w:name="_Toc68786641"/>
      <w:r w:rsidRPr="00BE78CA">
        <w:rPr>
          <w:rFonts w:cs="Calibri"/>
        </w:rPr>
        <w:t>Figure 3.3.</w:t>
      </w:r>
      <w:r w:rsidRPr="00BE78CA">
        <w:rPr>
          <w:rFonts w:cs="Calibri"/>
        </w:rPr>
        <w:fldChar w:fldCharType="begin"/>
      </w:r>
      <w:r w:rsidRPr="00BE78CA">
        <w:rPr>
          <w:rFonts w:cs="Calibri"/>
        </w:rPr>
        <w:instrText xml:space="preserve"> SEQ Figure \* ARABIC \s 2 </w:instrText>
      </w:r>
      <w:r w:rsidRPr="00BE78CA">
        <w:rPr>
          <w:rFonts w:cs="Calibri"/>
        </w:rPr>
        <w:fldChar w:fldCharType="separate"/>
      </w:r>
      <w:r w:rsidR="00B94D2F">
        <w:rPr>
          <w:rFonts w:cs="Calibri"/>
          <w:noProof/>
        </w:rPr>
        <w:t>7</w:t>
      </w:r>
      <w:r w:rsidRPr="00BE78CA">
        <w:rPr>
          <w:rFonts w:cs="Calibri"/>
        </w:rPr>
        <w:fldChar w:fldCharType="end"/>
      </w:r>
      <w:bookmarkEnd w:id="290"/>
      <w:r w:rsidRPr="00BE78CA">
        <w:rPr>
          <w:rFonts w:cs="Calibri"/>
          <w:lang w:eastAsia="en-GB"/>
        </w:rPr>
        <w:tab/>
        <w:t xml:space="preserve">Decision tree </w:t>
      </w:r>
      <w:bookmarkEnd w:id="291"/>
      <w:r w:rsidRPr="00BE78CA">
        <w:rPr>
          <w:rFonts w:cs="Calibri"/>
          <w:lang w:eastAsia="en-GB"/>
        </w:rPr>
        <w:t>to identify a main activity electricity generator or an autoproducer</w:t>
      </w:r>
      <w:bookmarkEnd w:id="292"/>
      <w:bookmarkEnd w:id="293"/>
      <w:bookmarkEnd w:id="294"/>
      <w:bookmarkEnd w:id="295"/>
      <w:bookmarkEnd w:id="296"/>
      <w:bookmarkEnd w:id="297"/>
    </w:p>
    <w:p w14:paraId="7A93FD33" w14:textId="77777777" w:rsidR="00706DD1" w:rsidRPr="00BE78CA" w:rsidRDefault="00706DD1" w:rsidP="00706DD1">
      <w:pPr>
        <w:pStyle w:val="BodyText"/>
        <w:spacing w:before="0"/>
        <w:rPr>
          <w:rFonts w:cs="Calibri"/>
        </w:rPr>
      </w:pPr>
      <w:r w:rsidRPr="00BE78CA">
        <w:rPr>
          <w:rFonts w:cs="Calibri"/>
        </w:rPr>
        <w:object w:dxaOrig="6684" w:dyaOrig="4591" w14:anchorId="35BC5815">
          <v:shape id="_x0000_i1026" type="#_x0000_t75" style="width:285.95pt;height:193.6pt" o:ole="">
            <v:imagedata r:id="rId69" o:title=""/>
          </v:shape>
          <o:OLEObject Type="Embed" ProgID="Visio.Drawing.11" ShapeID="_x0000_i1026" DrawAspect="Content" ObjectID="_1679402757" r:id="rId70"/>
        </w:object>
      </w:r>
    </w:p>
    <w:p w14:paraId="1A658318" w14:textId="77777777" w:rsidR="00706DD1" w:rsidRPr="00BE78CA" w:rsidRDefault="00706DD1" w:rsidP="00706DD1">
      <w:pPr>
        <w:pStyle w:val="Heading5"/>
        <w:spacing w:before="360"/>
        <w:rPr>
          <w:rFonts w:cs="Calibri"/>
        </w:rPr>
      </w:pPr>
      <w:r w:rsidRPr="00BE78CA">
        <w:rPr>
          <w:rFonts w:cs="Calibri"/>
          <w:lang w:eastAsia="en-GB"/>
        </w:rPr>
        <w:t xml:space="preserve">1.A.1.b </w:t>
      </w:r>
      <w:r w:rsidRPr="00BE78CA">
        <w:rPr>
          <w:rFonts w:cs="Calibri"/>
        </w:rPr>
        <w:t>Petroleum</w:t>
      </w:r>
      <w:r w:rsidRPr="00BE78CA">
        <w:rPr>
          <w:rFonts w:cs="Calibri"/>
          <w:lang w:eastAsia="en-GB"/>
        </w:rPr>
        <w:t xml:space="preserve"> refining</w:t>
      </w:r>
    </w:p>
    <w:p w14:paraId="4362E30B" w14:textId="77777777" w:rsidR="00706DD1" w:rsidRPr="00BE78CA" w:rsidRDefault="00706DD1" w:rsidP="00706DD1">
      <w:pPr>
        <w:pStyle w:val="BodyText"/>
        <w:keepLines/>
        <w:rPr>
          <w:rFonts w:cs="Calibri"/>
          <w:lang w:eastAsia="en-GB"/>
        </w:rPr>
      </w:pPr>
      <w:r w:rsidRPr="00BE78CA">
        <w:rPr>
          <w:rFonts w:cs="Calibri"/>
          <w:lang w:eastAsia="en-GB"/>
        </w:rPr>
        <w:t xml:space="preserve">Refining New Zealand provides annual activity data and emission factors for each type of fuel being consumed at the site. The fuel-type specific emission factors were adopted under the Government’s Projects to Reduce Emissions in 2003 (Ministry for the Environment, 2009). </w:t>
      </w:r>
    </w:p>
    <w:p w14:paraId="43AD0718" w14:textId="77777777" w:rsidR="00706DD1" w:rsidRPr="00BE78CA" w:rsidRDefault="00706DD1" w:rsidP="00706DD1">
      <w:pPr>
        <w:pStyle w:val="BodyText"/>
        <w:rPr>
          <w:rFonts w:cs="Calibri"/>
          <w:lang w:eastAsia="en-GB"/>
        </w:rPr>
      </w:pPr>
      <w:r w:rsidRPr="00BE78CA">
        <w:rPr>
          <w:rFonts w:cs="Calibri"/>
          <w:lang w:eastAsia="en-GB"/>
        </w:rPr>
        <w:t xml:space="preserve">Refinery gas is obtained during the distillation of crude oil and production of oil products. As a result, emissions from its combustion are implicitly included under liquid fuels in the reference approach. </w:t>
      </w:r>
    </w:p>
    <w:p w14:paraId="5FF60559" w14:textId="77777777" w:rsidR="00706DD1" w:rsidRPr="00BE78CA" w:rsidRDefault="00706DD1" w:rsidP="00706DD1">
      <w:pPr>
        <w:pStyle w:val="Heading5"/>
        <w:rPr>
          <w:rFonts w:cs="Calibri"/>
          <w:lang w:eastAsia="en-GB"/>
        </w:rPr>
      </w:pPr>
      <w:r w:rsidRPr="00BE78CA">
        <w:rPr>
          <w:rFonts w:cs="Calibri"/>
          <w:iCs w:val="0"/>
          <w:lang w:eastAsia="en-GB"/>
        </w:rPr>
        <w:t>1.A.1.c.ii</w:t>
      </w:r>
      <w:r w:rsidRPr="00BE78CA">
        <w:rPr>
          <w:rFonts w:cs="Calibri"/>
          <w:i w:val="0"/>
          <w:iCs w:val="0"/>
          <w:lang w:eastAsia="en-GB"/>
        </w:rPr>
        <w:t xml:space="preserve"> </w:t>
      </w:r>
      <w:r w:rsidRPr="00BE78CA">
        <w:rPr>
          <w:rFonts w:cs="Calibri"/>
          <w:lang w:eastAsia="en-GB"/>
        </w:rPr>
        <w:t>Manufacture of solid fuels and other energy industries – Other energy industries</w:t>
      </w:r>
    </w:p>
    <w:p w14:paraId="7C381B2B" w14:textId="77777777" w:rsidR="00706DD1" w:rsidRPr="00BE78CA" w:rsidRDefault="00706DD1" w:rsidP="00706DD1">
      <w:pPr>
        <w:pStyle w:val="BodyText"/>
        <w:rPr>
          <w:rFonts w:cs="Calibri"/>
          <w:lang w:eastAsia="en-GB"/>
        </w:rPr>
      </w:pPr>
      <w:r w:rsidRPr="00BE78CA">
        <w:rPr>
          <w:rFonts w:cs="Calibri"/>
          <w:lang w:eastAsia="en-GB"/>
        </w:rPr>
        <w:t xml:space="preserve">Activity data for the useful combustion (own use) of natural gas during oil and gas extraction are provided to MBIE by each individual gas and/or oil field operator. Some crude oil is also combusted (own use) during oil and gas extraction. The quantity is reported directly by the oil and/or gas field operator to MBIE. </w:t>
      </w:r>
    </w:p>
    <w:p w14:paraId="0F7739C9" w14:textId="77777777" w:rsidR="00706DD1" w:rsidRPr="00BE78CA" w:rsidRDefault="00706DD1" w:rsidP="00706DD1">
      <w:pPr>
        <w:pStyle w:val="BodyText"/>
        <w:rPr>
          <w:rFonts w:cs="Calibri"/>
          <w:lang w:eastAsia="en-GB"/>
        </w:rPr>
      </w:pPr>
      <w:r w:rsidRPr="00BE78CA">
        <w:rPr>
          <w:rFonts w:cs="Calibri"/>
          <w:lang w:eastAsia="en-GB"/>
        </w:rPr>
        <w:t>Emissions from natural gas combustion (own use) for the purpose of natural gas transmission are reported directly by the transmission network operator to MBIE. Emissions from natural gas combustion (own use) for the purpose of natural gas processing are reported directly by the plant operator to MBIE.</w:t>
      </w:r>
    </w:p>
    <w:p w14:paraId="6BF07C8E" w14:textId="77777777" w:rsidR="00706DD1" w:rsidRPr="00BE78CA" w:rsidRDefault="00706DD1" w:rsidP="00706DD1">
      <w:pPr>
        <w:pStyle w:val="BodyText"/>
        <w:rPr>
          <w:rFonts w:cs="Calibri"/>
          <w:lang w:eastAsia="en-GB"/>
        </w:rPr>
      </w:pPr>
      <w:r w:rsidRPr="00BE78CA">
        <w:rPr>
          <w:rFonts w:cs="Calibri"/>
          <w:lang w:eastAsia="en-GB"/>
        </w:rPr>
        <w:t>Losses and own use of coal by coal mining entities are reported as a single item, so data on on</w:t>
      </w:r>
      <w:r w:rsidRPr="00BE78CA">
        <w:rPr>
          <w:rFonts w:cs="Calibri"/>
          <w:lang w:eastAsia="en-GB"/>
        </w:rPr>
        <w:noBreakHyphen/>
        <w:t xml:space="preserve">site coal use are not available. Coal mines often provide a bathhouse for miners to bathe and unwind after a hard shift at the coalface. In the past, hot water was supplied by a </w:t>
      </w:r>
      <w:r w:rsidRPr="00BE78CA">
        <w:rPr>
          <w:rFonts w:cs="Calibri"/>
          <w:lang w:eastAsia="en-GB"/>
        </w:rPr>
        <w:lastRenderedPageBreak/>
        <w:t>coal</w:t>
      </w:r>
      <w:r w:rsidRPr="00BE78CA">
        <w:rPr>
          <w:rFonts w:cs="Calibri"/>
          <w:lang w:eastAsia="en-GB"/>
        </w:rPr>
        <w:noBreakHyphen/>
        <w:t>fired boiler; however, the last of these at the Stockton mine closed in the mid-1980s. The expert opinion of coal industry specialists is that on-site coal use does not occur because any water boilers on site are now fuelled by natural gas or electricity.</w:t>
      </w:r>
    </w:p>
    <w:p w14:paraId="03E737B2" w14:textId="77777777" w:rsidR="00706DD1" w:rsidRPr="00BE78CA" w:rsidRDefault="00706DD1" w:rsidP="00706DD1">
      <w:pPr>
        <w:pStyle w:val="Heading4"/>
        <w:spacing w:before="200"/>
      </w:pPr>
      <w:r w:rsidRPr="00BE78CA">
        <w:rPr>
          <w:lang w:eastAsia="en-GB"/>
        </w:rPr>
        <w:t>Emission factors</w:t>
      </w:r>
    </w:p>
    <w:p w14:paraId="58504E8D" w14:textId="77777777" w:rsidR="00706DD1" w:rsidRPr="00BE78CA" w:rsidRDefault="00706DD1" w:rsidP="00706DD1">
      <w:pPr>
        <w:pStyle w:val="Heading5"/>
        <w:spacing w:before="120"/>
        <w:rPr>
          <w:rFonts w:cs="Calibri"/>
        </w:rPr>
      </w:pPr>
      <w:r w:rsidRPr="00BE78CA">
        <w:rPr>
          <w:rFonts w:cs="Calibri"/>
          <w:lang w:eastAsia="en-GB"/>
        </w:rPr>
        <w:t>Gaseous fuels</w:t>
      </w:r>
    </w:p>
    <w:p w14:paraId="1BE25B7B" w14:textId="77777777" w:rsidR="00706DD1" w:rsidRPr="00BE78CA" w:rsidRDefault="00706DD1" w:rsidP="00706DD1">
      <w:pPr>
        <w:pStyle w:val="BodyText"/>
        <w:rPr>
          <w:rFonts w:cs="Calibri"/>
          <w:sz w:val="16"/>
          <w:szCs w:val="16"/>
          <w:lang w:eastAsia="en-GB"/>
        </w:rPr>
      </w:pPr>
      <w:r w:rsidRPr="00BE78CA">
        <w:rPr>
          <w:rFonts w:cs="Calibri"/>
          <w:lang w:eastAsia="en-GB"/>
        </w:rPr>
        <w:t>As mentioned in section 3.3.1, New Zealand’s CO</w:t>
      </w:r>
      <w:r w:rsidRPr="00BE78CA">
        <w:rPr>
          <w:rFonts w:cs="Calibri"/>
          <w:vertAlign w:val="subscript"/>
          <w:lang w:eastAsia="en-GB"/>
        </w:rPr>
        <w:t>2</w:t>
      </w:r>
      <w:r w:rsidRPr="00BE78CA">
        <w:rPr>
          <w:rFonts w:cs="Calibri"/>
          <w:lang w:eastAsia="en-GB"/>
        </w:rPr>
        <w:t xml:space="preserve"> emission factor for natural gas fluctuates from year to year, reflecting the relative amount of gas produced from the various gas fields in a given year. New Zealand gas fields also have higher CO</w:t>
      </w:r>
      <w:r w:rsidRPr="00BE78CA">
        <w:rPr>
          <w:rFonts w:cs="Calibri"/>
          <w:vertAlign w:val="subscript"/>
          <w:lang w:eastAsia="en-GB"/>
        </w:rPr>
        <w:t>2</w:t>
      </w:r>
      <w:r w:rsidRPr="00BE78CA">
        <w:rPr>
          <w:rFonts w:cs="Calibri"/>
          <w:lang w:eastAsia="en-GB"/>
        </w:rPr>
        <w:t xml:space="preserve"> content than most international gas fields. This is particularly evident in the </w:t>
      </w:r>
      <w:r w:rsidRPr="00BE78CA">
        <w:rPr>
          <w:rFonts w:cs="Calibri"/>
          <w:i/>
          <w:lang w:eastAsia="en-GB"/>
        </w:rPr>
        <w:t>Public electricity and heat production</w:t>
      </w:r>
      <w:r w:rsidRPr="00BE78CA">
        <w:rPr>
          <w:rFonts w:cs="Calibri"/>
          <w:lang w:eastAsia="en-GB"/>
        </w:rPr>
        <w:t xml:space="preserve"> category.</w:t>
      </w:r>
      <w:r w:rsidRPr="00BE78CA">
        <w:rPr>
          <w:rFonts w:cs="Calibri"/>
          <w:sz w:val="16"/>
          <w:szCs w:val="16"/>
          <w:lang w:eastAsia="en-GB"/>
        </w:rPr>
        <w:t xml:space="preserve"> </w:t>
      </w:r>
    </w:p>
    <w:p w14:paraId="55DC3282" w14:textId="77777777" w:rsidR="00706DD1" w:rsidRPr="00BE78CA" w:rsidRDefault="00706DD1" w:rsidP="00706DD1">
      <w:pPr>
        <w:pStyle w:val="Heading4"/>
        <w:spacing w:before="200"/>
      </w:pPr>
      <w:r w:rsidRPr="00BE78CA">
        <w:rPr>
          <w:lang w:eastAsia="en-GB"/>
        </w:rPr>
        <w:t>Uncertainties and time-series consistency</w:t>
      </w:r>
    </w:p>
    <w:p w14:paraId="7B8A813C" w14:textId="77777777" w:rsidR="00706DD1" w:rsidRPr="00BE78CA" w:rsidRDefault="00706DD1" w:rsidP="00706DD1">
      <w:pPr>
        <w:pStyle w:val="BodyText"/>
        <w:rPr>
          <w:rFonts w:cs="Calibri"/>
          <w:lang w:eastAsia="en-GB"/>
        </w:rPr>
      </w:pPr>
      <w:r w:rsidRPr="00BE78CA">
        <w:rPr>
          <w:rFonts w:cs="Calibri"/>
          <w:lang w:eastAsia="en-GB"/>
        </w:rPr>
        <w:t xml:space="preserve">Uncertainties in emissions and activity data estimates for this category are relevant to the entire </w:t>
      </w:r>
      <w:r w:rsidRPr="00BE78CA">
        <w:rPr>
          <w:rFonts w:cs="Calibri"/>
          <w:i/>
          <w:lang w:eastAsia="en-GB"/>
        </w:rPr>
        <w:t>Fuel combustion</w:t>
      </w:r>
      <w:r w:rsidRPr="00BE78CA">
        <w:rPr>
          <w:rFonts w:cs="Calibri"/>
          <w:lang w:eastAsia="en-GB"/>
        </w:rPr>
        <w:t xml:space="preserve"> category (see table 3.3.1).</w:t>
      </w:r>
    </w:p>
    <w:p w14:paraId="0B8CDD1A" w14:textId="77777777" w:rsidR="00706DD1" w:rsidRPr="00BE78CA" w:rsidRDefault="00706DD1" w:rsidP="00706DD1">
      <w:pPr>
        <w:pStyle w:val="Heading4"/>
        <w:spacing w:before="200"/>
        <w:rPr>
          <w:lang w:eastAsia="en-GB"/>
        </w:rPr>
      </w:pPr>
      <w:r w:rsidRPr="00BE78CA">
        <w:rPr>
          <w:lang w:eastAsia="en-GB"/>
        </w:rPr>
        <w:t>Source-specific QA/QC and verification</w:t>
      </w:r>
    </w:p>
    <w:p w14:paraId="360ADD20" w14:textId="77777777" w:rsidR="00706DD1" w:rsidRPr="00BE78CA" w:rsidRDefault="00706DD1" w:rsidP="00706DD1">
      <w:pPr>
        <w:pStyle w:val="BodyText"/>
        <w:rPr>
          <w:rFonts w:cs="Calibri"/>
          <w:lang w:eastAsia="en-GB"/>
        </w:rPr>
      </w:pPr>
      <w:r w:rsidRPr="00BE78CA">
        <w:rPr>
          <w:rFonts w:cs="Calibri"/>
          <w:lang w:eastAsia="en-GB"/>
        </w:rPr>
        <w:t xml:space="preserve">In the preparation of this inventory, the </w:t>
      </w:r>
      <w:r w:rsidRPr="00BE78CA">
        <w:rPr>
          <w:rFonts w:cs="Calibri"/>
          <w:i/>
          <w:lang w:eastAsia="en-GB"/>
        </w:rPr>
        <w:t>Energy industries</w:t>
      </w:r>
      <w:r w:rsidRPr="00BE78CA">
        <w:rPr>
          <w:rFonts w:cs="Calibri"/>
          <w:lang w:eastAsia="en-GB"/>
        </w:rPr>
        <w:t xml:space="preserve"> category underwent Tier 1 quality-assurance and quality-control checks as recommended in the 2006 IPCC Guidelines. These include regular control sums throughout systems, to verify system integrity, and consistency checks on implied emission factors.</w:t>
      </w:r>
    </w:p>
    <w:p w14:paraId="59D1F4AF" w14:textId="77777777" w:rsidR="00706DD1" w:rsidRPr="00BE78CA" w:rsidRDefault="00706DD1" w:rsidP="00706DD1">
      <w:pPr>
        <w:pStyle w:val="Heading4"/>
        <w:spacing w:before="200"/>
        <w:rPr>
          <w:lang w:eastAsia="en-GB"/>
        </w:rPr>
      </w:pPr>
      <w:r w:rsidRPr="00BE78CA">
        <w:rPr>
          <w:lang w:eastAsia="en-GB"/>
        </w:rPr>
        <w:t>Source-specific recalculations</w:t>
      </w:r>
    </w:p>
    <w:p w14:paraId="66A4B22B" w14:textId="77777777" w:rsidR="00706DD1" w:rsidRPr="00BE78CA" w:rsidRDefault="00706DD1" w:rsidP="00706DD1">
      <w:pPr>
        <w:pStyle w:val="BodyText"/>
        <w:rPr>
          <w:rFonts w:cs="Calibri"/>
          <w:lang w:eastAsia="en-GB"/>
        </w:rPr>
      </w:pPr>
      <w:r w:rsidRPr="00BE78CA">
        <w:rPr>
          <w:rFonts w:cs="Calibri"/>
          <w:lang w:eastAsia="en-GB"/>
        </w:rPr>
        <w:t>Updated activity data have been provided by some plant operators for the quantity of natural gas consumed for electricity generation. This has resulted in some recalculations for recent years.</w:t>
      </w:r>
    </w:p>
    <w:p w14:paraId="5753F83B" w14:textId="77777777" w:rsidR="00706DD1" w:rsidRPr="00BE78CA" w:rsidRDefault="00706DD1" w:rsidP="00706DD1">
      <w:pPr>
        <w:pStyle w:val="Heading3"/>
        <w:rPr>
          <w:rFonts w:cs="Calibri"/>
        </w:rPr>
      </w:pPr>
      <w:bookmarkStart w:id="298" w:name="_Ref442360713"/>
      <w:r w:rsidRPr="00BE78CA">
        <w:rPr>
          <w:rFonts w:cs="Calibri"/>
        </w:rPr>
        <w:t>3.3.7</w:t>
      </w:r>
      <w:r w:rsidRPr="00BE78CA">
        <w:rPr>
          <w:rFonts w:cs="Calibri"/>
        </w:rPr>
        <w:tab/>
        <w:t>Fuel combustion: Manufacturing industries and construction (CRF 1.A.2)</w:t>
      </w:r>
      <w:bookmarkEnd w:id="298"/>
    </w:p>
    <w:p w14:paraId="4B66DCC1" w14:textId="77777777" w:rsidR="00706DD1" w:rsidRPr="00BE78CA" w:rsidRDefault="00706DD1" w:rsidP="00706DD1">
      <w:pPr>
        <w:pStyle w:val="Heading4"/>
        <w:spacing w:before="160"/>
      </w:pPr>
      <w:r w:rsidRPr="00BE78CA">
        <w:rPr>
          <w:lang w:eastAsia="en-GB"/>
        </w:rPr>
        <w:t>Description</w:t>
      </w:r>
    </w:p>
    <w:p w14:paraId="442FB27A" w14:textId="77777777" w:rsidR="00706DD1" w:rsidRPr="00BE78CA" w:rsidRDefault="00706DD1" w:rsidP="00706DD1">
      <w:pPr>
        <w:pStyle w:val="BodyText"/>
        <w:rPr>
          <w:rFonts w:cs="Calibri"/>
          <w:lang w:eastAsia="en-GB"/>
        </w:rPr>
      </w:pPr>
      <w:r w:rsidRPr="00BE78CA">
        <w:rPr>
          <w:rFonts w:cs="Calibri"/>
          <w:lang w:eastAsia="en-GB"/>
        </w:rPr>
        <w:t>This category comprises emissions from fossil fuels combusted in iron and steel, other non</w:t>
      </w:r>
      <w:r w:rsidRPr="00BE78CA">
        <w:rPr>
          <w:rFonts w:cs="Calibri"/>
          <w:lang w:eastAsia="en-GB"/>
        </w:rPr>
        <w:noBreakHyphen/>
        <w:t>ferrous metals, chemicals, pulp, paper and print, food processing, beverages and tobacco, and other uses. Emissions from co-generation plants that do not meet the definition of co</w:t>
      </w:r>
      <w:r w:rsidRPr="00BE78CA">
        <w:rPr>
          <w:rFonts w:cs="Calibri"/>
          <w:lang w:eastAsia="en-GB"/>
        </w:rPr>
        <w:noBreakHyphen/>
        <w:t>generation as provided in the 2006 IPCC Guidelines are included in this category.</w:t>
      </w:r>
    </w:p>
    <w:p w14:paraId="74DECE67" w14:textId="19DCD585" w:rsidR="00706DD1" w:rsidRPr="00BE78CA" w:rsidRDefault="00706DD1" w:rsidP="00706DD1">
      <w:pPr>
        <w:pStyle w:val="BodyText"/>
        <w:rPr>
          <w:rFonts w:cs="Calibri"/>
          <w:lang w:eastAsia="en-GB"/>
        </w:rPr>
      </w:pPr>
      <w:r w:rsidRPr="00BE78CA">
        <w:rPr>
          <w:rFonts w:cs="Calibri"/>
          <w:lang w:eastAsia="en-GB"/>
        </w:rPr>
        <w:t xml:space="preserve">In </w:t>
      </w:r>
      <w:r w:rsidRPr="00BE78CA">
        <w:rPr>
          <w:rFonts w:cs="Calibri"/>
        </w:rPr>
        <w:t>2019</w:t>
      </w:r>
      <w:r w:rsidRPr="00BE78CA">
        <w:rPr>
          <w:rFonts w:cs="Calibri"/>
          <w:lang w:eastAsia="en-GB"/>
        </w:rPr>
        <w:t xml:space="preserve">, emissions from the 1.A.2 </w:t>
      </w:r>
      <w:r w:rsidRPr="00BE78CA">
        <w:rPr>
          <w:rFonts w:cs="Calibri"/>
          <w:i/>
          <w:lang w:eastAsia="en-GB"/>
        </w:rPr>
        <w:t>Manufacturing industries and construction</w:t>
      </w:r>
      <w:r w:rsidRPr="00BE78CA">
        <w:rPr>
          <w:rFonts w:cs="Calibri"/>
          <w:lang w:eastAsia="en-GB"/>
        </w:rPr>
        <w:t xml:space="preserve"> category accounted for 7,623.2</w:t>
      </w:r>
      <w:r w:rsidRPr="00BE78CA">
        <w:rPr>
          <w:rFonts w:cs="Calibri"/>
        </w:rPr>
        <w:t xml:space="preserve"> </w:t>
      </w:r>
      <w:r w:rsidRPr="00BE78CA">
        <w:rPr>
          <w:rFonts w:cs="Calibri"/>
          <w:lang w:eastAsia="en-GB"/>
        </w:rPr>
        <w:t>kt CO</w:t>
      </w:r>
      <w:r w:rsidRPr="00BE78CA">
        <w:rPr>
          <w:rFonts w:cs="Calibri"/>
          <w:vertAlign w:val="subscript"/>
          <w:lang w:eastAsia="en-GB"/>
        </w:rPr>
        <w:t>2</w:t>
      </w:r>
      <w:r w:rsidRPr="00BE78CA">
        <w:rPr>
          <w:rFonts w:cs="Calibri"/>
          <w:lang w:eastAsia="en-GB"/>
        </w:rPr>
        <w:t>-e (</w:t>
      </w:r>
      <w:r w:rsidRPr="00BE78CA">
        <w:rPr>
          <w:rFonts w:cs="Calibri"/>
        </w:rPr>
        <w:t>22.2 per cent</w:t>
      </w:r>
      <w:r w:rsidRPr="00BE78CA">
        <w:rPr>
          <w:rFonts w:cs="Calibri"/>
          <w:lang w:eastAsia="en-GB"/>
        </w:rPr>
        <w:t>) of emissions from the Energy sector. Emissions</w:t>
      </w:r>
      <w:r w:rsidR="00142FB4" w:rsidRPr="00BE78CA">
        <w:rPr>
          <w:rFonts w:cs="Calibri"/>
          <w:lang w:eastAsia="en-GB"/>
        </w:rPr>
        <w:t> </w:t>
      </w:r>
      <w:r w:rsidRPr="00BE78CA">
        <w:rPr>
          <w:rFonts w:cs="Calibri"/>
          <w:lang w:eastAsia="en-GB"/>
        </w:rPr>
        <w:t>from this category are 2,848.9</w:t>
      </w:r>
      <w:r w:rsidRPr="00BE78CA">
        <w:rPr>
          <w:rFonts w:cs="Calibri"/>
        </w:rPr>
        <w:t xml:space="preserve"> </w:t>
      </w:r>
      <w:r w:rsidRPr="00BE78CA">
        <w:rPr>
          <w:rFonts w:cs="Calibri"/>
          <w:lang w:eastAsia="en-GB"/>
        </w:rPr>
        <w:t>kt CO</w:t>
      </w:r>
      <w:r w:rsidRPr="00BE78CA">
        <w:rPr>
          <w:rFonts w:cs="Calibri"/>
          <w:vertAlign w:val="subscript"/>
          <w:lang w:eastAsia="en-GB"/>
        </w:rPr>
        <w:t>2</w:t>
      </w:r>
      <w:r w:rsidRPr="00BE78CA">
        <w:rPr>
          <w:rFonts w:cs="Calibri"/>
          <w:lang w:eastAsia="en-GB"/>
        </w:rPr>
        <w:t>-e (</w:t>
      </w:r>
      <w:r w:rsidRPr="00BE78CA">
        <w:rPr>
          <w:rFonts w:cs="Calibri"/>
        </w:rPr>
        <w:t>59.7 per cent</w:t>
      </w:r>
      <w:r w:rsidRPr="00BE78CA">
        <w:rPr>
          <w:rFonts w:cs="Calibri"/>
          <w:lang w:eastAsia="en-GB"/>
        </w:rPr>
        <w:t>) higher than the 1990 level</w:t>
      </w:r>
      <w:r w:rsidR="00B6730D" w:rsidRPr="00BE78CA">
        <w:rPr>
          <w:rFonts w:cs="Calibri"/>
          <w:lang w:eastAsia="en-GB"/>
        </w:rPr>
        <w:t xml:space="preserve"> </w:t>
      </w:r>
      <w:r w:rsidRPr="00BE78CA">
        <w:rPr>
          <w:rFonts w:cs="Calibri"/>
          <w:lang w:eastAsia="en-GB"/>
        </w:rPr>
        <w:t>of</w:t>
      </w:r>
      <w:r w:rsidR="00B6730D" w:rsidRPr="00BE78CA">
        <w:rPr>
          <w:rFonts w:cs="Calibri"/>
          <w:lang w:eastAsia="en-GB"/>
        </w:rPr>
        <w:t> </w:t>
      </w:r>
      <w:r w:rsidRPr="00BE78CA">
        <w:rPr>
          <w:rFonts w:cs="Calibri"/>
        </w:rPr>
        <w:t>4,774.3 </w:t>
      </w:r>
      <w:r w:rsidRPr="00BE78CA">
        <w:rPr>
          <w:rFonts w:cs="Calibri"/>
          <w:lang w:eastAsia="en-GB"/>
        </w:rPr>
        <w:t>kt CO</w:t>
      </w:r>
      <w:r w:rsidRPr="00BE78CA">
        <w:rPr>
          <w:rFonts w:cs="Calibri"/>
          <w:vertAlign w:val="subscript"/>
          <w:lang w:eastAsia="en-GB"/>
        </w:rPr>
        <w:t>2</w:t>
      </w:r>
      <w:r w:rsidRPr="00BE78CA">
        <w:rPr>
          <w:rFonts w:cs="Calibri"/>
          <w:lang w:eastAsia="en-GB"/>
        </w:rPr>
        <w:t xml:space="preserve">-e. A decline in methanol production in 2003–04 caused a significant reduction in emissions from this category. Methanol production is the largest source of emissions in category 1.A.2.c </w:t>
      </w:r>
      <w:r w:rsidRPr="00BE78CA">
        <w:rPr>
          <w:rFonts w:cs="Calibri"/>
          <w:i/>
          <w:lang w:eastAsia="en-GB"/>
        </w:rPr>
        <w:t>Chemicals</w:t>
      </w:r>
      <w:r w:rsidRPr="00BE78CA">
        <w:rPr>
          <w:rFonts w:cs="Calibri"/>
          <w:lang w:eastAsia="en-GB"/>
        </w:rPr>
        <w:t>. Methanex New Zealand restarted previously mothballed plants in 2012/13 and operated all three of its plants during 2019.</w:t>
      </w:r>
    </w:p>
    <w:p w14:paraId="22A14EB0" w14:textId="77777777" w:rsidR="00706DD1" w:rsidRPr="00BE78CA" w:rsidRDefault="00706DD1" w:rsidP="00706DD1">
      <w:pPr>
        <w:pStyle w:val="Heading4"/>
        <w:spacing w:before="200"/>
        <w:rPr>
          <w:lang w:eastAsia="en-GB"/>
        </w:rPr>
      </w:pPr>
      <w:r w:rsidRPr="00BE78CA">
        <w:rPr>
          <w:lang w:eastAsia="en-GB"/>
        </w:rPr>
        <w:t xml:space="preserve">Changes in emissions between </w:t>
      </w:r>
      <w:r w:rsidRPr="00BE78CA">
        <w:t xml:space="preserve">2018 </w:t>
      </w:r>
      <w:r w:rsidRPr="00BE78CA">
        <w:rPr>
          <w:lang w:eastAsia="en-GB"/>
        </w:rPr>
        <w:t xml:space="preserve">and </w:t>
      </w:r>
      <w:r w:rsidRPr="00BE78CA">
        <w:t>2019</w:t>
      </w:r>
    </w:p>
    <w:p w14:paraId="215486CA" w14:textId="1C1136E5" w:rsidR="00706DD1" w:rsidRPr="00BE78CA" w:rsidRDefault="00706DD1" w:rsidP="00706DD1">
      <w:pPr>
        <w:pStyle w:val="BodyText"/>
        <w:rPr>
          <w:lang w:eastAsia="en-GB"/>
        </w:rPr>
      </w:pPr>
      <w:r w:rsidRPr="00BE78CA">
        <w:rPr>
          <w:lang w:eastAsia="en-GB"/>
        </w:rPr>
        <w:t xml:space="preserve">Between </w:t>
      </w:r>
      <w:r w:rsidRPr="00BE78CA">
        <w:t>201</w:t>
      </w:r>
      <w:r w:rsidRPr="00BE78CA">
        <w:rPr>
          <w:lang w:eastAsia="en-GB"/>
        </w:rPr>
        <w:t xml:space="preserve">8 and </w:t>
      </w:r>
      <w:r w:rsidRPr="00BE78CA">
        <w:t>2019</w:t>
      </w:r>
      <w:r w:rsidRPr="00BE78CA">
        <w:rPr>
          <w:lang w:eastAsia="en-GB"/>
        </w:rPr>
        <w:t xml:space="preserve">, </w:t>
      </w:r>
      <w:r w:rsidRPr="00BE78CA">
        <w:t>emissions</w:t>
      </w:r>
      <w:r w:rsidRPr="00BE78CA">
        <w:rPr>
          <w:lang w:eastAsia="en-GB"/>
        </w:rPr>
        <w:t xml:space="preserve"> from the </w:t>
      </w:r>
      <w:r w:rsidRPr="00BE78CA">
        <w:rPr>
          <w:i/>
          <w:lang w:eastAsia="en-GB"/>
        </w:rPr>
        <w:t>Manufacturing industries and construction</w:t>
      </w:r>
      <w:r w:rsidRPr="00BE78CA">
        <w:rPr>
          <w:lang w:eastAsia="en-GB"/>
        </w:rPr>
        <w:t xml:space="preserve"> category increased by </w:t>
      </w:r>
      <w:r w:rsidRPr="00BE78CA">
        <w:t xml:space="preserve">756.5 </w:t>
      </w:r>
      <w:r w:rsidRPr="00BE78CA">
        <w:rPr>
          <w:lang w:eastAsia="en-GB"/>
        </w:rPr>
        <w:t>kt CO</w:t>
      </w:r>
      <w:r w:rsidRPr="00BE78CA">
        <w:rPr>
          <w:vertAlign w:val="subscript"/>
          <w:lang w:eastAsia="en-GB"/>
        </w:rPr>
        <w:t>2</w:t>
      </w:r>
      <w:r w:rsidRPr="00BE78CA">
        <w:rPr>
          <w:lang w:eastAsia="en-GB"/>
        </w:rPr>
        <w:t>-e (</w:t>
      </w:r>
      <w:r w:rsidRPr="00BE78CA">
        <w:t>11.0 per cent</w:t>
      </w:r>
      <w:r w:rsidRPr="00BE78CA">
        <w:rPr>
          <w:lang w:eastAsia="en-GB"/>
        </w:rPr>
        <w:t xml:space="preserve">). This was driven chiefly by an increase in emissions from the </w:t>
      </w:r>
      <w:r w:rsidRPr="00BE78CA">
        <w:rPr>
          <w:i/>
          <w:lang w:eastAsia="en-GB"/>
        </w:rPr>
        <w:t>Chemicals</w:t>
      </w:r>
      <w:r w:rsidRPr="00BE78CA">
        <w:rPr>
          <w:lang w:eastAsia="en-GB"/>
        </w:rPr>
        <w:t xml:space="preserve"> category, up 362.6</w:t>
      </w:r>
      <w:r w:rsidRPr="00BE78CA">
        <w:t xml:space="preserve"> </w:t>
      </w:r>
      <w:r w:rsidRPr="00BE78CA">
        <w:rPr>
          <w:lang w:eastAsia="en-GB"/>
        </w:rPr>
        <w:t>kt CO</w:t>
      </w:r>
      <w:r w:rsidRPr="00BE78CA">
        <w:rPr>
          <w:vertAlign w:val="subscript"/>
          <w:lang w:eastAsia="en-GB"/>
        </w:rPr>
        <w:t>2</w:t>
      </w:r>
      <w:r w:rsidRPr="00BE78CA">
        <w:rPr>
          <w:lang w:eastAsia="en-GB"/>
        </w:rPr>
        <w:t>-e (</w:t>
      </w:r>
      <w:r w:rsidRPr="00BE78CA">
        <w:t>23.9 per cent</w:t>
      </w:r>
      <w:r w:rsidRPr="00BE78CA">
        <w:rPr>
          <w:lang w:eastAsia="en-GB"/>
        </w:rPr>
        <w:t xml:space="preserve">) from 2018. </w:t>
      </w:r>
      <w:r w:rsidRPr="00BE78CA">
        <w:rPr>
          <w:lang w:eastAsia="en-GB"/>
        </w:rPr>
        <w:lastRenderedPageBreak/>
        <w:t>A</w:t>
      </w:r>
      <w:r w:rsidR="002D445C" w:rsidRPr="00BE78CA">
        <w:rPr>
          <w:lang w:eastAsia="en-GB"/>
        </w:rPr>
        <w:t> </w:t>
      </w:r>
      <w:r w:rsidRPr="00BE78CA">
        <w:rPr>
          <w:lang w:eastAsia="en-GB"/>
        </w:rPr>
        <w:t>significant driver behind the increase was the reopening of the Pohokura natural gas field in</w:t>
      </w:r>
      <w:r w:rsidR="002D445C" w:rsidRPr="00BE78CA">
        <w:rPr>
          <w:lang w:eastAsia="en-GB"/>
        </w:rPr>
        <w:t> </w:t>
      </w:r>
      <w:r w:rsidRPr="00BE78CA">
        <w:rPr>
          <w:lang w:eastAsia="en-GB"/>
        </w:rPr>
        <w:t xml:space="preserve">2019. After significant maintenance outages in the previous year, 2019 production has almost recovered to previous levels – see </w:t>
      </w:r>
      <w:r w:rsidRPr="00BE78CA">
        <w:rPr>
          <w:i/>
          <w:lang w:eastAsia="en-GB"/>
        </w:rPr>
        <w:t>Energy in New Zealand</w:t>
      </w:r>
      <w:r w:rsidRPr="00BE78CA">
        <w:rPr>
          <w:lang w:eastAsia="en-GB"/>
        </w:rPr>
        <w:t xml:space="preserve"> (MBIE, 2020, page 53), for</w:t>
      </w:r>
      <w:r w:rsidR="002D445C" w:rsidRPr="00BE78CA">
        <w:rPr>
          <w:lang w:eastAsia="en-GB"/>
        </w:rPr>
        <w:t> </w:t>
      </w:r>
      <w:r w:rsidRPr="00BE78CA">
        <w:rPr>
          <w:lang w:eastAsia="en-GB"/>
        </w:rPr>
        <w:t>further information.</w:t>
      </w:r>
    </w:p>
    <w:p w14:paraId="42C3A67C" w14:textId="77777777" w:rsidR="00706DD1" w:rsidRPr="00BE78CA" w:rsidRDefault="00706DD1" w:rsidP="00706DD1">
      <w:pPr>
        <w:pStyle w:val="BodyText"/>
        <w:rPr>
          <w:rFonts w:cs="Calibri"/>
        </w:rPr>
      </w:pPr>
      <w:r w:rsidRPr="00BE78CA">
        <w:rPr>
          <w:rFonts w:cs="Calibri"/>
        </w:rPr>
        <w:t xml:space="preserve">Key categories identified in the 2019 level and trend assessment for the </w:t>
      </w:r>
      <w:r w:rsidRPr="00BE78CA">
        <w:rPr>
          <w:rFonts w:cs="Calibri"/>
          <w:i/>
        </w:rPr>
        <w:t>Manufacturing industries and construction</w:t>
      </w:r>
      <w:r w:rsidRPr="00BE78CA">
        <w:rPr>
          <w:rFonts w:cs="Calibri"/>
        </w:rPr>
        <w:t xml:space="preserve"> category are given in table 3.3.3.</w:t>
      </w:r>
    </w:p>
    <w:p w14:paraId="66D6B83D" w14:textId="77777777" w:rsidR="00706DD1" w:rsidRPr="00BE78CA" w:rsidRDefault="00706DD1" w:rsidP="00706DD1">
      <w:pPr>
        <w:pStyle w:val="Table"/>
      </w:pPr>
      <w:bookmarkStart w:id="299" w:name="_Toc68786407"/>
      <w:r w:rsidRPr="00BE78CA">
        <w:t>Table 3.3.3</w:t>
      </w:r>
      <w:r w:rsidRPr="00BE78CA">
        <w:tab/>
        <w:t>Key categories for 1.A.2 Manufacturing industries and construction</w:t>
      </w:r>
      <w:bookmarkEnd w:id="299"/>
    </w:p>
    <w:tbl>
      <w:tblPr>
        <w:tblW w:w="8505" w:type="dxa"/>
        <w:tblBorders>
          <w:top w:val="single" w:sz="4" w:space="0" w:color="1F497D"/>
          <w:bottom w:val="single" w:sz="4" w:space="0" w:color="1F497D"/>
          <w:insideH w:val="single" w:sz="4" w:space="0" w:color="1F497D"/>
          <w:insideV w:val="single" w:sz="4" w:space="0" w:color="1F497D"/>
        </w:tblBorders>
        <w:tblLayout w:type="fixed"/>
        <w:tblLook w:val="0420" w:firstRow="1" w:lastRow="0" w:firstColumn="0" w:lastColumn="0" w:noHBand="0" w:noVBand="1"/>
      </w:tblPr>
      <w:tblGrid>
        <w:gridCol w:w="3769"/>
        <w:gridCol w:w="1660"/>
        <w:gridCol w:w="1509"/>
        <w:gridCol w:w="1567"/>
      </w:tblGrid>
      <w:tr w:rsidR="00706DD1" w:rsidRPr="00BE78CA" w14:paraId="416552F5" w14:textId="77777777" w:rsidTr="002D445C">
        <w:trPr>
          <w:tblHeader/>
        </w:trPr>
        <w:tc>
          <w:tcPr>
            <w:tcW w:w="2216" w:type="pct"/>
            <w:tcBorders>
              <w:right w:val="single" w:sz="4" w:space="0" w:color="365F91"/>
            </w:tcBorders>
            <w:shd w:val="clear" w:color="auto" w:fill="365F91"/>
            <w:noWrap/>
            <w:vAlign w:val="bottom"/>
            <w:hideMark/>
          </w:tcPr>
          <w:p w14:paraId="5666EA27" w14:textId="77777777" w:rsidR="00706DD1" w:rsidRPr="00BE78CA" w:rsidRDefault="00706DD1" w:rsidP="00C26084">
            <w:pPr>
              <w:pStyle w:val="TableTextBold"/>
              <w:rPr>
                <w:rFonts w:cs="Calibri"/>
                <w:noProof w:val="0"/>
                <w:color w:val="FFFFFF"/>
              </w:rPr>
            </w:pPr>
            <w:r w:rsidRPr="00BE78CA">
              <w:rPr>
                <w:rFonts w:cs="Calibri"/>
                <w:noProof w:val="0"/>
                <w:color w:val="FFFFFF"/>
              </w:rPr>
              <w:t xml:space="preserve">Category </w:t>
            </w:r>
          </w:p>
        </w:tc>
        <w:tc>
          <w:tcPr>
            <w:tcW w:w="976" w:type="pct"/>
            <w:tcBorders>
              <w:top w:val="single" w:sz="4" w:space="0" w:color="365F91"/>
              <w:left w:val="single" w:sz="4" w:space="0" w:color="365F91"/>
              <w:bottom w:val="single" w:sz="4" w:space="0" w:color="365F91"/>
              <w:right w:val="single" w:sz="4" w:space="0" w:color="365F91"/>
            </w:tcBorders>
            <w:shd w:val="clear" w:color="auto" w:fill="365F91"/>
            <w:noWrap/>
            <w:vAlign w:val="bottom"/>
            <w:hideMark/>
          </w:tcPr>
          <w:p w14:paraId="4531CCE2" w14:textId="77777777" w:rsidR="00706DD1" w:rsidRPr="00BE78CA" w:rsidRDefault="00706DD1" w:rsidP="00C26084">
            <w:pPr>
              <w:pStyle w:val="TableTextBold"/>
              <w:rPr>
                <w:rFonts w:cs="Calibri"/>
                <w:noProof w:val="0"/>
                <w:color w:val="FFFFFF"/>
              </w:rPr>
            </w:pPr>
            <w:r w:rsidRPr="00BE78CA">
              <w:rPr>
                <w:rFonts w:cs="Calibri"/>
                <w:noProof w:val="0"/>
                <w:color w:val="FFFFFF"/>
              </w:rPr>
              <w:t>Liquid fuels</w:t>
            </w:r>
          </w:p>
        </w:tc>
        <w:tc>
          <w:tcPr>
            <w:tcW w:w="887" w:type="pct"/>
            <w:tcBorders>
              <w:top w:val="single" w:sz="4" w:space="0" w:color="365F91"/>
              <w:left w:val="single" w:sz="4" w:space="0" w:color="365F91"/>
              <w:bottom w:val="single" w:sz="4" w:space="0" w:color="365F91"/>
              <w:right w:val="single" w:sz="4" w:space="0" w:color="365F91"/>
            </w:tcBorders>
            <w:shd w:val="clear" w:color="auto" w:fill="365F91"/>
            <w:vAlign w:val="bottom"/>
            <w:hideMark/>
          </w:tcPr>
          <w:p w14:paraId="228DD777" w14:textId="77777777" w:rsidR="00706DD1" w:rsidRPr="00BE78CA" w:rsidRDefault="00706DD1" w:rsidP="00C26084">
            <w:pPr>
              <w:pStyle w:val="TableTextBold"/>
              <w:rPr>
                <w:rFonts w:cs="Calibri"/>
                <w:noProof w:val="0"/>
                <w:color w:val="FFFFFF"/>
              </w:rPr>
            </w:pPr>
            <w:r w:rsidRPr="00BE78CA">
              <w:rPr>
                <w:rFonts w:cs="Calibri"/>
                <w:noProof w:val="0"/>
                <w:color w:val="FFFFFF"/>
              </w:rPr>
              <w:t>Solid fuels</w:t>
            </w:r>
          </w:p>
        </w:tc>
        <w:tc>
          <w:tcPr>
            <w:tcW w:w="921" w:type="pct"/>
            <w:tcBorders>
              <w:left w:val="single" w:sz="4" w:space="0" w:color="365F91"/>
            </w:tcBorders>
            <w:shd w:val="clear" w:color="auto" w:fill="365F91"/>
            <w:vAlign w:val="bottom"/>
            <w:hideMark/>
          </w:tcPr>
          <w:p w14:paraId="368FB025" w14:textId="77777777" w:rsidR="00706DD1" w:rsidRPr="00BE78CA" w:rsidRDefault="00706DD1" w:rsidP="00C26084">
            <w:pPr>
              <w:pStyle w:val="TableTextBold"/>
              <w:rPr>
                <w:rFonts w:cs="Calibri"/>
                <w:noProof w:val="0"/>
                <w:color w:val="FFFFFF"/>
              </w:rPr>
            </w:pPr>
            <w:r w:rsidRPr="00BE78CA">
              <w:rPr>
                <w:rFonts w:cs="Calibri"/>
                <w:noProof w:val="0"/>
                <w:color w:val="FFFFFF"/>
              </w:rPr>
              <w:t>Gaseous fuels</w:t>
            </w:r>
          </w:p>
        </w:tc>
      </w:tr>
      <w:tr w:rsidR="00706DD1" w:rsidRPr="00BE78CA" w14:paraId="4D5AAE90" w14:textId="77777777" w:rsidTr="002D445C">
        <w:tc>
          <w:tcPr>
            <w:tcW w:w="2216" w:type="pct"/>
            <w:tcBorders>
              <w:right w:val="single" w:sz="4" w:space="0" w:color="365F91"/>
            </w:tcBorders>
            <w:shd w:val="clear" w:color="auto" w:fill="auto"/>
            <w:noWrap/>
            <w:hideMark/>
          </w:tcPr>
          <w:p w14:paraId="672C60D6" w14:textId="77777777" w:rsidR="00706DD1" w:rsidRPr="00BE78CA" w:rsidRDefault="00706DD1" w:rsidP="00C26084">
            <w:pPr>
              <w:pStyle w:val="TableText"/>
              <w:spacing w:before="50" w:after="50"/>
              <w:rPr>
                <w:rFonts w:cs="Calibri"/>
              </w:rPr>
            </w:pPr>
            <w:r w:rsidRPr="00BE78CA">
              <w:rPr>
                <w:rFonts w:cs="Calibri"/>
              </w:rPr>
              <w:t>Chemicals – CO</w:t>
            </w:r>
            <w:r w:rsidRPr="00BE78CA">
              <w:rPr>
                <w:rFonts w:cs="Calibri"/>
                <w:vertAlign w:val="subscript"/>
              </w:rPr>
              <w:t>2</w:t>
            </w:r>
          </w:p>
        </w:tc>
        <w:tc>
          <w:tcPr>
            <w:tcW w:w="976" w:type="pct"/>
            <w:tcBorders>
              <w:top w:val="single" w:sz="4" w:space="0" w:color="365F91"/>
              <w:left w:val="single" w:sz="4" w:space="0" w:color="365F91"/>
              <w:bottom w:val="single" w:sz="4" w:space="0" w:color="365F91"/>
              <w:right w:val="single" w:sz="4" w:space="0" w:color="365F91"/>
            </w:tcBorders>
            <w:shd w:val="clear" w:color="auto" w:fill="auto"/>
            <w:noWrap/>
            <w:hideMark/>
          </w:tcPr>
          <w:p w14:paraId="2C8BD7CC" w14:textId="77777777" w:rsidR="00706DD1" w:rsidRPr="00BE78CA" w:rsidRDefault="00706DD1" w:rsidP="00C26084">
            <w:pPr>
              <w:pStyle w:val="TableText"/>
              <w:spacing w:before="50" w:after="50"/>
              <w:rPr>
                <w:rFonts w:cs="Calibri"/>
              </w:rPr>
            </w:pPr>
          </w:p>
        </w:tc>
        <w:tc>
          <w:tcPr>
            <w:tcW w:w="887" w:type="pct"/>
            <w:tcBorders>
              <w:top w:val="single" w:sz="4" w:space="0" w:color="365F91"/>
              <w:left w:val="single" w:sz="4" w:space="0" w:color="365F91"/>
              <w:bottom w:val="single" w:sz="4" w:space="0" w:color="365F91"/>
              <w:right w:val="single" w:sz="4" w:space="0" w:color="365F91"/>
            </w:tcBorders>
            <w:shd w:val="clear" w:color="auto" w:fill="auto"/>
            <w:noWrap/>
            <w:hideMark/>
          </w:tcPr>
          <w:p w14:paraId="0BE26FB9" w14:textId="77777777" w:rsidR="00706DD1" w:rsidRPr="00BE78CA" w:rsidRDefault="00706DD1" w:rsidP="00C26084">
            <w:pPr>
              <w:pStyle w:val="TableText"/>
              <w:spacing w:before="50" w:after="50"/>
              <w:rPr>
                <w:rFonts w:cs="Calibri"/>
              </w:rPr>
            </w:pPr>
          </w:p>
        </w:tc>
        <w:tc>
          <w:tcPr>
            <w:tcW w:w="921" w:type="pct"/>
            <w:tcBorders>
              <w:left w:val="single" w:sz="4" w:space="0" w:color="365F91"/>
            </w:tcBorders>
            <w:shd w:val="clear" w:color="auto" w:fill="auto"/>
            <w:noWrap/>
            <w:hideMark/>
          </w:tcPr>
          <w:p w14:paraId="08E4D20B" w14:textId="77777777" w:rsidR="00706DD1" w:rsidRPr="00BE78CA" w:rsidRDefault="00706DD1" w:rsidP="00C26084">
            <w:pPr>
              <w:pStyle w:val="TableText"/>
              <w:spacing w:before="50" w:after="50"/>
              <w:rPr>
                <w:rFonts w:cs="Calibri"/>
              </w:rPr>
            </w:pPr>
            <w:r w:rsidRPr="00BE78CA">
              <w:rPr>
                <w:rFonts w:cs="Calibri"/>
              </w:rPr>
              <w:t>Level, trend</w:t>
            </w:r>
          </w:p>
        </w:tc>
      </w:tr>
      <w:tr w:rsidR="00706DD1" w:rsidRPr="00BE78CA" w14:paraId="3AAED641" w14:textId="77777777" w:rsidTr="002D445C">
        <w:tc>
          <w:tcPr>
            <w:tcW w:w="2216" w:type="pct"/>
            <w:tcBorders>
              <w:right w:val="single" w:sz="4" w:space="0" w:color="365F91"/>
            </w:tcBorders>
            <w:shd w:val="clear" w:color="auto" w:fill="auto"/>
            <w:noWrap/>
            <w:hideMark/>
          </w:tcPr>
          <w:p w14:paraId="2AE7977E" w14:textId="77777777" w:rsidR="00706DD1" w:rsidRPr="00BE78CA" w:rsidRDefault="00706DD1" w:rsidP="00C26084">
            <w:pPr>
              <w:pStyle w:val="TableText"/>
              <w:spacing w:before="50" w:after="50"/>
              <w:rPr>
                <w:rFonts w:cs="Calibri"/>
              </w:rPr>
            </w:pPr>
            <w:r w:rsidRPr="00BE78CA">
              <w:rPr>
                <w:rFonts w:cs="Calibri"/>
              </w:rPr>
              <w:t>Pulp, paper and print – CO</w:t>
            </w:r>
            <w:r w:rsidRPr="00BE78CA">
              <w:rPr>
                <w:rFonts w:cs="Calibri"/>
                <w:vertAlign w:val="subscript"/>
              </w:rPr>
              <w:t>2</w:t>
            </w:r>
          </w:p>
        </w:tc>
        <w:tc>
          <w:tcPr>
            <w:tcW w:w="976" w:type="pct"/>
            <w:tcBorders>
              <w:top w:val="single" w:sz="4" w:space="0" w:color="365F91"/>
              <w:left w:val="single" w:sz="4" w:space="0" w:color="365F91"/>
              <w:bottom w:val="single" w:sz="4" w:space="0" w:color="365F91"/>
              <w:right w:val="single" w:sz="4" w:space="0" w:color="365F91"/>
            </w:tcBorders>
            <w:shd w:val="clear" w:color="auto" w:fill="auto"/>
            <w:noWrap/>
            <w:hideMark/>
          </w:tcPr>
          <w:p w14:paraId="11AB73B3" w14:textId="77777777" w:rsidR="00706DD1" w:rsidRPr="00BE78CA" w:rsidRDefault="00706DD1" w:rsidP="00C26084">
            <w:pPr>
              <w:pStyle w:val="TableText"/>
              <w:spacing w:before="50" w:after="50"/>
              <w:rPr>
                <w:rFonts w:cs="Calibri"/>
              </w:rPr>
            </w:pPr>
          </w:p>
        </w:tc>
        <w:tc>
          <w:tcPr>
            <w:tcW w:w="887" w:type="pct"/>
            <w:tcBorders>
              <w:top w:val="single" w:sz="4" w:space="0" w:color="365F91"/>
              <w:left w:val="single" w:sz="4" w:space="0" w:color="365F91"/>
              <w:bottom w:val="single" w:sz="4" w:space="0" w:color="365F91"/>
              <w:right w:val="single" w:sz="4" w:space="0" w:color="365F91"/>
            </w:tcBorders>
            <w:shd w:val="clear" w:color="auto" w:fill="auto"/>
            <w:noWrap/>
          </w:tcPr>
          <w:p w14:paraId="798252F8" w14:textId="77777777" w:rsidR="00706DD1" w:rsidRPr="00BE78CA" w:rsidRDefault="00706DD1" w:rsidP="00C26084">
            <w:pPr>
              <w:pStyle w:val="TableText"/>
              <w:spacing w:before="50" w:after="50"/>
              <w:jc w:val="center"/>
              <w:rPr>
                <w:rFonts w:cs="Calibri"/>
              </w:rPr>
            </w:pPr>
            <w:r w:rsidRPr="00BE78CA">
              <w:rPr>
                <w:rFonts w:cs="Calibri"/>
              </w:rPr>
              <w:t>Trend</w:t>
            </w:r>
          </w:p>
        </w:tc>
        <w:tc>
          <w:tcPr>
            <w:tcW w:w="921" w:type="pct"/>
            <w:tcBorders>
              <w:left w:val="single" w:sz="4" w:space="0" w:color="365F91"/>
            </w:tcBorders>
            <w:shd w:val="clear" w:color="auto" w:fill="auto"/>
            <w:noWrap/>
            <w:hideMark/>
          </w:tcPr>
          <w:p w14:paraId="17B5F619" w14:textId="77777777" w:rsidR="00706DD1" w:rsidRPr="00BE78CA" w:rsidRDefault="00706DD1" w:rsidP="00C26084">
            <w:pPr>
              <w:pStyle w:val="TableText"/>
              <w:spacing w:before="50" w:after="50"/>
              <w:rPr>
                <w:rFonts w:cs="Calibri"/>
              </w:rPr>
            </w:pPr>
            <w:r w:rsidRPr="00BE78CA">
              <w:rPr>
                <w:rFonts w:cs="Calibri"/>
              </w:rPr>
              <w:t>Level, trend</w:t>
            </w:r>
          </w:p>
        </w:tc>
      </w:tr>
      <w:tr w:rsidR="00706DD1" w:rsidRPr="00BE78CA" w14:paraId="20E9EA48" w14:textId="77777777" w:rsidTr="002D445C">
        <w:tc>
          <w:tcPr>
            <w:tcW w:w="2216" w:type="pct"/>
            <w:tcBorders>
              <w:right w:val="single" w:sz="4" w:space="0" w:color="365F91"/>
            </w:tcBorders>
            <w:shd w:val="clear" w:color="auto" w:fill="auto"/>
            <w:noWrap/>
          </w:tcPr>
          <w:p w14:paraId="605E45CA" w14:textId="77777777" w:rsidR="00706DD1" w:rsidRPr="00BE78CA" w:rsidRDefault="00706DD1" w:rsidP="00C26084">
            <w:pPr>
              <w:pStyle w:val="TableText"/>
              <w:spacing w:before="50" w:after="50"/>
              <w:rPr>
                <w:rFonts w:cs="Calibri"/>
              </w:rPr>
            </w:pPr>
            <w:r w:rsidRPr="00BE78CA">
              <w:rPr>
                <w:rFonts w:cs="Calibri"/>
              </w:rPr>
              <w:t>Food processing, beverages and tobacco – CO</w:t>
            </w:r>
            <w:r w:rsidRPr="00BE78CA">
              <w:rPr>
                <w:rFonts w:cs="Calibri"/>
                <w:vertAlign w:val="subscript"/>
              </w:rPr>
              <w:t>2</w:t>
            </w:r>
          </w:p>
        </w:tc>
        <w:tc>
          <w:tcPr>
            <w:tcW w:w="976" w:type="pct"/>
            <w:tcBorders>
              <w:top w:val="single" w:sz="4" w:space="0" w:color="365F91"/>
              <w:left w:val="single" w:sz="4" w:space="0" w:color="365F91"/>
              <w:bottom w:val="single" w:sz="4" w:space="0" w:color="365F91"/>
              <w:right w:val="single" w:sz="4" w:space="0" w:color="365F91"/>
            </w:tcBorders>
            <w:shd w:val="clear" w:color="auto" w:fill="auto"/>
            <w:noWrap/>
          </w:tcPr>
          <w:p w14:paraId="1BA84FD8" w14:textId="77777777" w:rsidR="00706DD1" w:rsidRPr="00BE78CA" w:rsidRDefault="00706DD1" w:rsidP="00C26084">
            <w:pPr>
              <w:pStyle w:val="TableText"/>
              <w:spacing w:before="50" w:after="50"/>
              <w:rPr>
                <w:rFonts w:cs="Calibri"/>
              </w:rPr>
            </w:pPr>
            <w:r w:rsidRPr="00BE78CA">
              <w:rPr>
                <w:rFonts w:cs="Calibri"/>
              </w:rPr>
              <w:t>Level</w:t>
            </w:r>
          </w:p>
        </w:tc>
        <w:tc>
          <w:tcPr>
            <w:tcW w:w="887" w:type="pct"/>
            <w:tcBorders>
              <w:top w:val="single" w:sz="4" w:space="0" w:color="365F91"/>
              <w:left w:val="single" w:sz="4" w:space="0" w:color="365F91"/>
              <w:bottom w:val="single" w:sz="4" w:space="0" w:color="365F91"/>
              <w:right w:val="single" w:sz="4" w:space="0" w:color="365F91"/>
            </w:tcBorders>
            <w:shd w:val="clear" w:color="auto" w:fill="auto"/>
            <w:noWrap/>
          </w:tcPr>
          <w:p w14:paraId="230BD5CE" w14:textId="77777777" w:rsidR="00706DD1" w:rsidRPr="00BE78CA" w:rsidRDefault="00706DD1" w:rsidP="00C26084">
            <w:pPr>
              <w:pStyle w:val="TableText"/>
              <w:spacing w:before="50" w:after="50"/>
              <w:jc w:val="center"/>
              <w:rPr>
                <w:rFonts w:cs="Calibri"/>
              </w:rPr>
            </w:pPr>
            <w:r w:rsidRPr="00BE78CA">
              <w:rPr>
                <w:rFonts w:cs="Calibri"/>
              </w:rPr>
              <w:t>Level, trend</w:t>
            </w:r>
          </w:p>
        </w:tc>
        <w:tc>
          <w:tcPr>
            <w:tcW w:w="921" w:type="pct"/>
            <w:tcBorders>
              <w:left w:val="single" w:sz="4" w:space="0" w:color="365F91"/>
            </w:tcBorders>
            <w:shd w:val="clear" w:color="auto" w:fill="auto"/>
            <w:noWrap/>
          </w:tcPr>
          <w:p w14:paraId="18160C7E" w14:textId="77777777" w:rsidR="00706DD1" w:rsidRPr="00BE78CA" w:rsidRDefault="00706DD1" w:rsidP="00C26084">
            <w:pPr>
              <w:pStyle w:val="TableText"/>
              <w:spacing w:before="50" w:after="50"/>
              <w:rPr>
                <w:rFonts w:cs="Calibri"/>
              </w:rPr>
            </w:pPr>
            <w:r w:rsidRPr="00BE78CA">
              <w:rPr>
                <w:rFonts w:cs="Calibri"/>
              </w:rPr>
              <w:t>Level, trend</w:t>
            </w:r>
          </w:p>
        </w:tc>
      </w:tr>
      <w:tr w:rsidR="00706DD1" w:rsidRPr="00BE78CA" w14:paraId="0F74FEF5" w14:textId="77777777" w:rsidTr="002D445C">
        <w:tc>
          <w:tcPr>
            <w:tcW w:w="2216" w:type="pct"/>
            <w:tcBorders>
              <w:right w:val="single" w:sz="4" w:space="0" w:color="365F91"/>
            </w:tcBorders>
            <w:shd w:val="clear" w:color="auto" w:fill="auto"/>
            <w:noWrap/>
          </w:tcPr>
          <w:p w14:paraId="48CDA1F3" w14:textId="77777777" w:rsidR="00706DD1" w:rsidRPr="00BE78CA" w:rsidRDefault="00706DD1" w:rsidP="00C26084">
            <w:pPr>
              <w:pStyle w:val="TableText"/>
              <w:spacing w:before="50" w:after="50"/>
              <w:rPr>
                <w:rFonts w:cs="Calibri"/>
              </w:rPr>
            </w:pPr>
            <w:r w:rsidRPr="00BE78CA">
              <w:rPr>
                <w:rFonts w:cs="Calibri"/>
              </w:rPr>
              <w:t>Other – mining and quarrying – CO</w:t>
            </w:r>
            <w:r w:rsidRPr="00BE78CA">
              <w:rPr>
                <w:rFonts w:cs="Calibri"/>
                <w:vertAlign w:val="subscript"/>
              </w:rPr>
              <w:t>2</w:t>
            </w:r>
          </w:p>
        </w:tc>
        <w:tc>
          <w:tcPr>
            <w:tcW w:w="976" w:type="pct"/>
            <w:tcBorders>
              <w:top w:val="single" w:sz="4" w:space="0" w:color="365F91"/>
              <w:left w:val="single" w:sz="4" w:space="0" w:color="365F91"/>
              <w:bottom w:val="single" w:sz="4" w:space="0" w:color="365F91"/>
              <w:right w:val="single" w:sz="4" w:space="0" w:color="365F91"/>
            </w:tcBorders>
            <w:shd w:val="clear" w:color="auto" w:fill="auto"/>
            <w:noWrap/>
          </w:tcPr>
          <w:p w14:paraId="13CAC04C" w14:textId="77777777" w:rsidR="00706DD1" w:rsidRPr="00BE78CA" w:rsidRDefault="00706DD1" w:rsidP="00C26084">
            <w:pPr>
              <w:pStyle w:val="TableText"/>
              <w:spacing w:before="50" w:after="50"/>
              <w:rPr>
                <w:rFonts w:cs="Calibri"/>
              </w:rPr>
            </w:pPr>
            <w:r w:rsidRPr="00BE78CA">
              <w:rPr>
                <w:rFonts w:cs="Calibri"/>
              </w:rPr>
              <w:t>Level, trend</w:t>
            </w:r>
          </w:p>
        </w:tc>
        <w:tc>
          <w:tcPr>
            <w:tcW w:w="887" w:type="pct"/>
            <w:tcBorders>
              <w:top w:val="single" w:sz="4" w:space="0" w:color="365F91"/>
              <w:left w:val="single" w:sz="4" w:space="0" w:color="365F91"/>
              <w:bottom w:val="single" w:sz="4" w:space="0" w:color="365F91"/>
              <w:right w:val="single" w:sz="4" w:space="0" w:color="365F91"/>
            </w:tcBorders>
            <w:shd w:val="clear" w:color="auto" w:fill="auto"/>
            <w:noWrap/>
          </w:tcPr>
          <w:p w14:paraId="643FCEFE" w14:textId="77777777" w:rsidR="00706DD1" w:rsidRPr="00BE78CA" w:rsidRDefault="00706DD1" w:rsidP="00C26084">
            <w:pPr>
              <w:pStyle w:val="TableText"/>
              <w:spacing w:before="50" w:after="50"/>
              <w:jc w:val="center"/>
              <w:rPr>
                <w:rFonts w:cs="Calibri"/>
              </w:rPr>
            </w:pPr>
          </w:p>
        </w:tc>
        <w:tc>
          <w:tcPr>
            <w:tcW w:w="921" w:type="pct"/>
            <w:tcBorders>
              <w:left w:val="single" w:sz="4" w:space="0" w:color="365F91"/>
            </w:tcBorders>
            <w:shd w:val="clear" w:color="auto" w:fill="auto"/>
            <w:noWrap/>
          </w:tcPr>
          <w:p w14:paraId="7EF4C6A1" w14:textId="77777777" w:rsidR="00706DD1" w:rsidRPr="00BE78CA" w:rsidRDefault="00706DD1" w:rsidP="00C26084">
            <w:pPr>
              <w:pStyle w:val="TableText"/>
              <w:spacing w:before="50" w:after="50"/>
              <w:rPr>
                <w:rFonts w:cs="Calibri"/>
              </w:rPr>
            </w:pPr>
          </w:p>
        </w:tc>
      </w:tr>
      <w:tr w:rsidR="00706DD1" w:rsidRPr="00BE78CA" w14:paraId="33907FE3" w14:textId="77777777" w:rsidTr="002D445C">
        <w:tc>
          <w:tcPr>
            <w:tcW w:w="2216" w:type="pct"/>
            <w:tcBorders>
              <w:right w:val="single" w:sz="4" w:space="0" w:color="365F91"/>
            </w:tcBorders>
            <w:shd w:val="clear" w:color="auto" w:fill="auto"/>
            <w:noWrap/>
          </w:tcPr>
          <w:p w14:paraId="1665C935" w14:textId="77777777" w:rsidR="00706DD1" w:rsidRPr="00BE78CA" w:rsidRDefault="00706DD1" w:rsidP="00C26084">
            <w:pPr>
              <w:pStyle w:val="TableText"/>
              <w:spacing w:before="50" w:after="50"/>
              <w:rPr>
                <w:rFonts w:cs="Calibri"/>
              </w:rPr>
            </w:pPr>
            <w:r w:rsidRPr="00BE78CA">
              <w:rPr>
                <w:rFonts w:cs="Calibri"/>
              </w:rPr>
              <w:t>Other – non-metallic minerals – CO</w:t>
            </w:r>
            <w:r w:rsidRPr="00BE78CA">
              <w:rPr>
                <w:rFonts w:cs="Calibri"/>
                <w:vertAlign w:val="subscript"/>
              </w:rPr>
              <w:t>2</w:t>
            </w:r>
          </w:p>
        </w:tc>
        <w:tc>
          <w:tcPr>
            <w:tcW w:w="976" w:type="pct"/>
            <w:tcBorders>
              <w:top w:val="single" w:sz="4" w:space="0" w:color="365F91"/>
              <w:left w:val="single" w:sz="4" w:space="0" w:color="365F91"/>
              <w:bottom w:val="single" w:sz="4" w:space="0" w:color="365F91"/>
              <w:right w:val="single" w:sz="4" w:space="0" w:color="365F91"/>
            </w:tcBorders>
            <w:shd w:val="clear" w:color="auto" w:fill="auto"/>
            <w:noWrap/>
          </w:tcPr>
          <w:p w14:paraId="59E4C5AD" w14:textId="77777777" w:rsidR="00706DD1" w:rsidRPr="00BE78CA" w:rsidRDefault="00706DD1" w:rsidP="00C26084">
            <w:pPr>
              <w:pStyle w:val="TableText"/>
              <w:spacing w:before="50" w:after="50"/>
              <w:rPr>
                <w:rFonts w:cs="Calibri"/>
              </w:rPr>
            </w:pPr>
          </w:p>
        </w:tc>
        <w:tc>
          <w:tcPr>
            <w:tcW w:w="887" w:type="pct"/>
            <w:tcBorders>
              <w:top w:val="single" w:sz="4" w:space="0" w:color="365F91"/>
              <w:left w:val="single" w:sz="4" w:space="0" w:color="365F91"/>
              <w:bottom w:val="single" w:sz="4" w:space="0" w:color="365F91"/>
              <w:right w:val="single" w:sz="4" w:space="0" w:color="365F91"/>
            </w:tcBorders>
            <w:shd w:val="clear" w:color="auto" w:fill="auto"/>
            <w:noWrap/>
          </w:tcPr>
          <w:p w14:paraId="38806C5E" w14:textId="77777777" w:rsidR="00706DD1" w:rsidRPr="00BE78CA" w:rsidRDefault="00706DD1" w:rsidP="00C26084">
            <w:pPr>
              <w:pStyle w:val="TableText"/>
              <w:spacing w:before="50" w:after="50"/>
              <w:jc w:val="center"/>
              <w:rPr>
                <w:rFonts w:cs="Calibri"/>
              </w:rPr>
            </w:pPr>
            <w:r w:rsidRPr="00BE78CA">
              <w:rPr>
                <w:rFonts w:cs="Calibri"/>
              </w:rPr>
              <w:t>Level, trend</w:t>
            </w:r>
          </w:p>
        </w:tc>
        <w:tc>
          <w:tcPr>
            <w:tcW w:w="921" w:type="pct"/>
            <w:tcBorders>
              <w:left w:val="single" w:sz="4" w:space="0" w:color="365F91"/>
            </w:tcBorders>
            <w:shd w:val="clear" w:color="auto" w:fill="auto"/>
            <w:noWrap/>
          </w:tcPr>
          <w:p w14:paraId="31CA28EB" w14:textId="77777777" w:rsidR="00706DD1" w:rsidRPr="00BE78CA" w:rsidRDefault="00706DD1" w:rsidP="00C26084">
            <w:pPr>
              <w:pStyle w:val="TableText"/>
              <w:spacing w:before="50" w:after="50"/>
              <w:rPr>
                <w:rFonts w:cs="Calibri"/>
              </w:rPr>
            </w:pPr>
          </w:p>
        </w:tc>
      </w:tr>
      <w:tr w:rsidR="00706DD1" w:rsidRPr="00BE78CA" w14:paraId="0C6D1DA0" w14:textId="77777777" w:rsidTr="002D445C">
        <w:tc>
          <w:tcPr>
            <w:tcW w:w="2216" w:type="pct"/>
            <w:tcBorders>
              <w:right w:val="single" w:sz="4" w:space="0" w:color="365F91"/>
            </w:tcBorders>
            <w:shd w:val="clear" w:color="auto" w:fill="auto"/>
            <w:noWrap/>
          </w:tcPr>
          <w:p w14:paraId="4986EA00" w14:textId="77777777" w:rsidR="00706DD1" w:rsidRPr="00BE78CA" w:rsidRDefault="00706DD1" w:rsidP="00C26084">
            <w:pPr>
              <w:pStyle w:val="TableText"/>
              <w:spacing w:before="50" w:after="50"/>
              <w:rPr>
                <w:rFonts w:cs="Calibri"/>
              </w:rPr>
            </w:pPr>
            <w:r w:rsidRPr="00BE78CA">
              <w:rPr>
                <w:rFonts w:cs="Calibri"/>
              </w:rPr>
              <w:t>Other – other non-specified – CO</w:t>
            </w:r>
            <w:r w:rsidRPr="00BE78CA">
              <w:rPr>
                <w:rFonts w:cs="Calibri"/>
                <w:vertAlign w:val="subscript"/>
              </w:rPr>
              <w:t>2</w:t>
            </w:r>
          </w:p>
        </w:tc>
        <w:tc>
          <w:tcPr>
            <w:tcW w:w="976" w:type="pct"/>
            <w:tcBorders>
              <w:top w:val="single" w:sz="4" w:space="0" w:color="365F91"/>
              <w:left w:val="single" w:sz="4" w:space="0" w:color="365F91"/>
              <w:bottom w:val="single" w:sz="4" w:space="0" w:color="365F91"/>
              <w:right w:val="single" w:sz="4" w:space="0" w:color="365F91"/>
            </w:tcBorders>
            <w:shd w:val="clear" w:color="auto" w:fill="auto"/>
            <w:noWrap/>
          </w:tcPr>
          <w:p w14:paraId="57CBE73A" w14:textId="77777777" w:rsidR="00706DD1" w:rsidRPr="00BE78CA" w:rsidRDefault="00706DD1" w:rsidP="00C26084">
            <w:pPr>
              <w:pStyle w:val="TableText"/>
              <w:spacing w:before="50" w:after="50"/>
              <w:rPr>
                <w:rFonts w:cs="Calibri"/>
              </w:rPr>
            </w:pPr>
            <w:r w:rsidRPr="00BE78CA">
              <w:rPr>
                <w:rFonts w:cs="Calibri"/>
              </w:rPr>
              <w:t>Level, trend</w:t>
            </w:r>
          </w:p>
        </w:tc>
        <w:tc>
          <w:tcPr>
            <w:tcW w:w="887" w:type="pct"/>
            <w:tcBorders>
              <w:top w:val="single" w:sz="4" w:space="0" w:color="365F91"/>
              <w:left w:val="single" w:sz="4" w:space="0" w:color="365F91"/>
              <w:bottom w:val="single" w:sz="4" w:space="0" w:color="365F91"/>
              <w:right w:val="single" w:sz="4" w:space="0" w:color="365F91"/>
            </w:tcBorders>
            <w:shd w:val="clear" w:color="auto" w:fill="auto"/>
            <w:noWrap/>
          </w:tcPr>
          <w:p w14:paraId="4472851F" w14:textId="77777777" w:rsidR="00706DD1" w:rsidRPr="00BE78CA" w:rsidRDefault="00706DD1" w:rsidP="00C26084">
            <w:pPr>
              <w:pStyle w:val="TableText"/>
              <w:spacing w:before="50" w:after="50"/>
              <w:jc w:val="center"/>
              <w:rPr>
                <w:rFonts w:cs="Calibri"/>
              </w:rPr>
            </w:pPr>
            <w:r w:rsidRPr="00BE78CA">
              <w:rPr>
                <w:rFonts w:cs="Calibri"/>
              </w:rPr>
              <w:t>Trend</w:t>
            </w:r>
          </w:p>
        </w:tc>
        <w:tc>
          <w:tcPr>
            <w:tcW w:w="921" w:type="pct"/>
            <w:tcBorders>
              <w:left w:val="single" w:sz="4" w:space="0" w:color="365F91"/>
            </w:tcBorders>
            <w:shd w:val="clear" w:color="auto" w:fill="auto"/>
            <w:noWrap/>
          </w:tcPr>
          <w:p w14:paraId="7869C30F" w14:textId="77777777" w:rsidR="00706DD1" w:rsidRPr="00BE78CA" w:rsidRDefault="00706DD1" w:rsidP="00C26084">
            <w:pPr>
              <w:pStyle w:val="TableText"/>
              <w:spacing w:before="50" w:after="50"/>
              <w:rPr>
                <w:rFonts w:cs="Calibri"/>
              </w:rPr>
            </w:pPr>
          </w:p>
        </w:tc>
      </w:tr>
    </w:tbl>
    <w:p w14:paraId="51162A50" w14:textId="77777777" w:rsidR="00706DD1" w:rsidRPr="00BE78CA" w:rsidRDefault="00706DD1" w:rsidP="00706DD1">
      <w:pPr>
        <w:pStyle w:val="Heading4"/>
        <w:spacing w:before="360"/>
      </w:pPr>
      <w:r w:rsidRPr="00BE78CA">
        <w:rPr>
          <w:lang w:eastAsia="en-GB"/>
        </w:rPr>
        <w:t>Methodological issues</w:t>
      </w:r>
    </w:p>
    <w:p w14:paraId="5A6218D3" w14:textId="77777777" w:rsidR="00706DD1" w:rsidRPr="00BE78CA" w:rsidRDefault="00706DD1" w:rsidP="00706DD1">
      <w:pPr>
        <w:pStyle w:val="BodyText"/>
        <w:rPr>
          <w:rFonts w:cs="Calibri"/>
          <w:lang w:eastAsia="en-GB"/>
        </w:rPr>
      </w:pPr>
      <w:r w:rsidRPr="00BE78CA">
        <w:rPr>
          <w:rFonts w:cs="Calibri"/>
          <w:lang w:eastAsia="en-GB"/>
        </w:rPr>
        <w:t xml:space="preserve">To ensure no double counting of emissions occurs, in some instances, emissions from the use of solid fuels and gaseous fuels are excluded from this category because they are accounted for under the IPPU sector. New Zealand Steel Limited uses coal as a reducing agent in the steel-making process. In accordance with 2006 IPCC Guidelines, the emissions from this are included in the IPPU sector rather than the Energy sector. In a number of instances, natural gas is excluded from the </w:t>
      </w:r>
      <w:r w:rsidRPr="00BE78CA">
        <w:rPr>
          <w:rFonts w:cs="Calibri"/>
          <w:i/>
          <w:lang w:eastAsia="en-GB"/>
        </w:rPr>
        <w:t>Manufacturing industries and construction</w:t>
      </w:r>
      <w:r w:rsidRPr="00BE78CA">
        <w:rPr>
          <w:rFonts w:cs="Calibri"/>
          <w:lang w:eastAsia="en-GB"/>
        </w:rPr>
        <w:t xml:space="preserve"> category because it is accounted for under the IPPU sector. This includes urea production, hydrogen production and some of the natural gas used by New Zealand Steel (New Zealand Steel separately reports its emissions from natural gas as part of the combustion process and natural gas as part of the chemical process).</w:t>
      </w:r>
    </w:p>
    <w:p w14:paraId="005F47B9" w14:textId="77777777" w:rsidR="00706DD1" w:rsidRPr="00BE78CA" w:rsidRDefault="00706DD1" w:rsidP="00706DD1">
      <w:pPr>
        <w:pStyle w:val="Heading4"/>
        <w:rPr>
          <w:lang w:eastAsia="en-GB"/>
        </w:rPr>
      </w:pPr>
      <w:r w:rsidRPr="00BE78CA">
        <w:rPr>
          <w:lang w:eastAsia="en-GB"/>
        </w:rPr>
        <w:t>Activity data</w:t>
      </w:r>
    </w:p>
    <w:p w14:paraId="624F3B5A" w14:textId="77777777" w:rsidR="00706DD1" w:rsidRPr="00BE78CA" w:rsidRDefault="00706DD1" w:rsidP="00706DD1">
      <w:pPr>
        <w:pStyle w:val="BodyText"/>
        <w:spacing w:before="100"/>
        <w:rPr>
          <w:rFonts w:cs="Calibri"/>
        </w:rPr>
      </w:pPr>
      <w:r w:rsidRPr="00BE78CA">
        <w:rPr>
          <w:rFonts w:cs="Calibri"/>
          <w:spacing w:val="-2"/>
        </w:rPr>
        <w:t xml:space="preserve">Energy balance tables released with </w:t>
      </w:r>
      <w:r w:rsidRPr="00BE78CA">
        <w:rPr>
          <w:rFonts w:cs="Calibri"/>
          <w:i/>
          <w:spacing w:val="-2"/>
        </w:rPr>
        <w:t>Energy in</w:t>
      </w:r>
      <w:r w:rsidRPr="00BE78CA">
        <w:rPr>
          <w:rFonts w:cs="Calibri"/>
          <w:spacing w:val="-2"/>
        </w:rPr>
        <w:t xml:space="preserve"> </w:t>
      </w:r>
      <w:r w:rsidRPr="00BE78CA">
        <w:rPr>
          <w:rFonts w:cs="Calibri"/>
          <w:i/>
          <w:spacing w:val="-2"/>
        </w:rPr>
        <w:t xml:space="preserve">New Zealand </w:t>
      </w:r>
      <w:r w:rsidRPr="00BE78CA">
        <w:rPr>
          <w:rFonts w:cs="Calibri"/>
          <w:spacing w:val="-2"/>
        </w:rPr>
        <w:t>(MBIE, 2020) split out industrial uses of energy using the Australian and New Zealand Standard Industrial Classification (ANZSIC) 2006. This was possible because of the collection of more detailed information from the various surveys used to compile the energy balance tables since 2009</w:t>
      </w:r>
      <w:r w:rsidRPr="00BE78CA">
        <w:rPr>
          <w:rFonts w:cs="Calibri"/>
        </w:rPr>
        <w:t>.</w:t>
      </w:r>
    </w:p>
    <w:p w14:paraId="14A4DFEA" w14:textId="77777777" w:rsidR="00706DD1" w:rsidRPr="00BE78CA" w:rsidRDefault="00706DD1" w:rsidP="00706DD1">
      <w:pPr>
        <w:pStyle w:val="BodyText"/>
        <w:spacing w:before="100"/>
        <w:rPr>
          <w:rFonts w:cs="Calibri"/>
          <w:spacing w:val="-2"/>
        </w:rPr>
      </w:pPr>
      <w:r w:rsidRPr="00BE78CA">
        <w:rPr>
          <w:rFonts w:cs="Calibri"/>
          <w:spacing w:val="-2"/>
        </w:rPr>
        <w:t xml:space="preserve">This has allowed a further disaggregation of the </w:t>
      </w:r>
      <w:r w:rsidRPr="00BE78CA">
        <w:rPr>
          <w:rFonts w:cs="Calibri"/>
          <w:i/>
          <w:spacing w:val="-2"/>
        </w:rPr>
        <w:t>Manufacturing industries and construction</w:t>
      </w:r>
      <w:r w:rsidRPr="00BE78CA">
        <w:rPr>
          <w:rFonts w:cs="Calibri"/>
          <w:spacing w:val="-2"/>
        </w:rPr>
        <w:t xml:space="preserve"> category and, therefore, greater transparency. Where actual survey data are not available at the required level, estimates of the energy use across these categories have been made to ensure time-series consistency. These are described in further detail below.</w:t>
      </w:r>
    </w:p>
    <w:p w14:paraId="142ECB4F" w14:textId="77777777" w:rsidR="00706DD1" w:rsidRPr="00BE78CA" w:rsidRDefault="00706DD1" w:rsidP="00706DD1">
      <w:pPr>
        <w:pStyle w:val="Heading5"/>
        <w:spacing w:before="200"/>
        <w:rPr>
          <w:rFonts w:cs="Calibri"/>
        </w:rPr>
      </w:pPr>
      <w:r w:rsidRPr="00BE78CA">
        <w:rPr>
          <w:rFonts w:cs="Calibri"/>
        </w:rPr>
        <w:t>Solid fuels</w:t>
      </w:r>
    </w:p>
    <w:p w14:paraId="623A4B1F" w14:textId="77777777" w:rsidR="00706DD1" w:rsidRPr="00BE78CA" w:rsidRDefault="00706DD1" w:rsidP="00706DD1">
      <w:pPr>
        <w:pStyle w:val="BodyText"/>
        <w:spacing w:after="100"/>
        <w:rPr>
          <w:rFonts w:cs="Calibri"/>
        </w:rPr>
      </w:pPr>
      <w:r w:rsidRPr="00BE78CA">
        <w:rPr>
          <w:rFonts w:cs="Calibri"/>
        </w:rPr>
        <w:t xml:space="preserve">In 2010, the disaggregation of the </w:t>
      </w:r>
      <w:r w:rsidRPr="00BE78CA">
        <w:rPr>
          <w:rFonts w:cs="Calibri"/>
          <w:i/>
        </w:rPr>
        <w:t>Manufacturing industries and construction</w:t>
      </w:r>
      <w:r w:rsidRPr="00BE78CA">
        <w:rPr>
          <w:rFonts w:cs="Calibri"/>
        </w:rPr>
        <w:t xml:space="preserve"> category for coal was implemented within the energy greenhouse gas data system. This was the first time the category was disaggregated and it was applied from 2009. These percentage splits, based on 2009 data, were applied to activity data for the annual inventory submission across the whole time series (back to 1990). However, during 2014, the coal data system at MBIE was revised to internally disaggregate manufacturing industries based on a 2011 survey of major coal users. Therefore, applying the disaggregation procedure previously used within the greenhouse gas data system is no longer necessary. </w:t>
      </w:r>
    </w:p>
    <w:p w14:paraId="7160D1A8" w14:textId="77777777" w:rsidR="00706DD1" w:rsidRPr="00BE78CA" w:rsidRDefault="00706DD1" w:rsidP="00706DD1">
      <w:pPr>
        <w:pStyle w:val="BodyText"/>
        <w:spacing w:after="100"/>
        <w:rPr>
          <w:rFonts w:cs="Calibri"/>
        </w:rPr>
      </w:pPr>
      <w:r w:rsidRPr="00BE78CA">
        <w:rPr>
          <w:rFonts w:cs="Calibri"/>
        </w:rPr>
        <w:lastRenderedPageBreak/>
        <w:t xml:space="preserve">From 2009 onwards, the coal sales survey conducted by MBIE provides data at a more disaggregated level. </w:t>
      </w:r>
    </w:p>
    <w:p w14:paraId="2A57FB5D" w14:textId="77777777" w:rsidR="00706DD1" w:rsidRPr="00BE78CA" w:rsidRDefault="00706DD1" w:rsidP="00706DD1">
      <w:pPr>
        <w:pStyle w:val="Heading5"/>
        <w:spacing w:before="160"/>
        <w:rPr>
          <w:rFonts w:cs="Calibri"/>
        </w:rPr>
      </w:pPr>
      <w:r w:rsidRPr="00BE78CA">
        <w:rPr>
          <w:rFonts w:cs="Calibri"/>
        </w:rPr>
        <w:t>Solid biomass</w:t>
      </w:r>
    </w:p>
    <w:p w14:paraId="0C52F6D4" w14:textId="77777777" w:rsidR="00706DD1" w:rsidRPr="00BE78CA" w:rsidRDefault="00706DD1" w:rsidP="00706DD1">
      <w:pPr>
        <w:pStyle w:val="BodyText"/>
        <w:spacing w:before="80"/>
        <w:rPr>
          <w:rFonts w:cs="Calibri"/>
        </w:rPr>
      </w:pPr>
      <w:r w:rsidRPr="00BE78CA">
        <w:rPr>
          <w:rFonts w:cs="Calibri"/>
        </w:rPr>
        <w:t xml:space="preserve">The Bioenergy Association of New Zealand conducted a 2006 Heat Plant Survey of </w:t>
      </w:r>
      <w:r w:rsidRPr="00BE78CA">
        <w:rPr>
          <w:rFonts w:cs="Calibri"/>
          <w:lang w:eastAsia="en-GB"/>
        </w:rPr>
        <w:t>New Zealand (</w:t>
      </w:r>
      <w:r w:rsidRPr="00BE78CA">
        <w:rPr>
          <w:rFonts w:cs="Calibri"/>
        </w:rPr>
        <w:t>Bioenergy Association of New Zealand, 2011)</w:t>
      </w:r>
      <w:r w:rsidRPr="00BE78CA">
        <w:rPr>
          <w:rFonts w:cs="Calibri"/>
          <w:lang w:eastAsia="en-GB"/>
        </w:rPr>
        <w:t xml:space="preserve"> to gain information on heat plant (boiler) capacity and use in New Zealand. One area this survey examined was solid biomass use in New Zealand industrial companies (see table 3.3.4). The survey shows that most solid biomass in New Zealand is used by the wood processing industry. The industrial splits from the survey were used to separate out solid biomass activity data for the inventory. These splits were applied across the whole time series (back to 1990) for activity data and </w:t>
      </w:r>
      <w:r w:rsidRPr="00BE78CA">
        <w:rPr>
          <w:rFonts w:cs="Calibri"/>
        </w:rPr>
        <w:t>CO</w:t>
      </w:r>
      <w:r w:rsidRPr="00BE78CA">
        <w:rPr>
          <w:rFonts w:cs="Calibri"/>
          <w:vertAlign w:val="subscript"/>
        </w:rPr>
        <w:t>2</w:t>
      </w:r>
      <w:r w:rsidRPr="00BE78CA">
        <w:rPr>
          <w:rFonts w:cs="Calibri"/>
        </w:rPr>
        <w:t>, CH</w:t>
      </w:r>
      <w:r w:rsidRPr="00BE78CA">
        <w:rPr>
          <w:rFonts w:cs="Calibri"/>
          <w:vertAlign w:val="subscript"/>
        </w:rPr>
        <w:t>4</w:t>
      </w:r>
      <w:r w:rsidRPr="00BE78CA">
        <w:rPr>
          <w:rFonts w:cs="Calibri"/>
        </w:rPr>
        <w:t> and N</w:t>
      </w:r>
      <w:r w:rsidRPr="00BE78CA">
        <w:rPr>
          <w:rFonts w:cs="Calibri"/>
          <w:vertAlign w:val="subscript"/>
        </w:rPr>
        <w:t>2</w:t>
      </w:r>
      <w:r w:rsidRPr="00BE78CA">
        <w:rPr>
          <w:rFonts w:cs="Calibri"/>
        </w:rPr>
        <w:t>O emissions.</w:t>
      </w:r>
    </w:p>
    <w:p w14:paraId="65D3E6E6" w14:textId="77777777" w:rsidR="00706DD1" w:rsidRPr="00BE78CA" w:rsidRDefault="00706DD1" w:rsidP="00706DD1">
      <w:pPr>
        <w:pStyle w:val="Table"/>
        <w:rPr>
          <w:rFonts w:cs="Calibri"/>
        </w:rPr>
      </w:pPr>
      <w:bookmarkStart w:id="300" w:name="_Toc321399159"/>
      <w:bookmarkStart w:id="301" w:name="_Toc384582171"/>
      <w:bookmarkStart w:id="302" w:name="_Toc443060846"/>
      <w:bookmarkStart w:id="303" w:name="_Toc451176062"/>
      <w:bookmarkStart w:id="304" w:name="_Toc481751488"/>
      <w:bookmarkStart w:id="305" w:name="_Toc507496591"/>
      <w:bookmarkStart w:id="306" w:name="_Toc36224525"/>
      <w:bookmarkStart w:id="307" w:name="_Toc68786408"/>
      <w:r w:rsidRPr="00BE78CA">
        <w:rPr>
          <w:rFonts w:cs="Calibri"/>
        </w:rPr>
        <w:t xml:space="preserve">Table 3.3.4 </w:t>
      </w:r>
      <w:r w:rsidRPr="00BE78CA">
        <w:rPr>
          <w:rFonts w:cs="Calibri"/>
        </w:rPr>
        <w:tab/>
        <w:t>Solid biomass splits for 2006 that were used to disaggregate the Manufacturing industries</w:t>
      </w:r>
      <w:r w:rsidRPr="00BE78CA">
        <w:rPr>
          <w:rFonts w:cs="Calibri"/>
        </w:rPr>
        <w:br/>
        <w:t xml:space="preserve">and construction category between 1990 and </w:t>
      </w:r>
      <w:bookmarkEnd w:id="300"/>
      <w:bookmarkEnd w:id="301"/>
      <w:bookmarkEnd w:id="302"/>
      <w:bookmarkEnd w:id="303"/>
      <w:bookmarkEnd w:id="304"/>
      <w:bookmarkEnd w:id="305"/>
      <w:r w:rsidRPr="00BE78CA">
        <w:rPr>
          <w:rFonts w:cs="Calibri"/>
        </w:rPr>
        <w:t>2019</w:t>
      </w:r>
      <w:bookmarkEnd w:id="306"/>
      <w:bookmarkEnd w:id="307"/>
    </w:p>
    <w:tbl>
      <w:tblPr>
        <w:tblW w:w="8505" w:type="dxa"/>
        <w:tblBorders>
          <w:top w:val="single" w:sz="4" w:space="0" w:color="365F91"/>
          <w:bottom w:val="single" w:sz="4" w:space="0" w:color="365F91"/>
          <w:insideH w:val="single" w:sz="4" w:space="0" w:color="365F91"/>
          <w:insideV w:val="single" w:sz="4" w:space="0" w:color="365F91"/>
        </w:tblBorders>
        <w:tblLook w:val="04A0" w:firstRow="1" w:lastRow="0" w:firstColumn="1" w:lastColumn="0" w:noHBand="0" w:noVBand="1"/>
      </w:tblPr>
      <w:tblGrid>
        <w:gridCol w:w="1850"/>
        <w:gridCol w:w="4825"/>
        <w:gridCol w:w="1830"/>
      </w:tblGrid>
      <w:tr w:rsidR="00706DD1" w:rsidRPr="00BE78CA" w14:paraId="07EB5B62" w14:textId="77777777" w:rsidTr="002D445C">
        <w:trPr>
          <w:tblHeader/>
        </w:trPr>
        <w:tc>
          <w:tcPr>
            <w:tcW w:w="1752" w:type="dxa"/>
            <w:shd w:val="clear" w:color="auto" w:fill="365F91"/>
            <w:vAlign w:val="bottom"/>
          </w:tcPr>
          <w:p w14:paraId="0D4DF520" w14:textId="77777777" w:rsidR="00706DD1" w:rsidRPr="00BE78CA" w:rsidRDefault="00706DD1" w:rsidP="00C26084">
            <w:pPr>
              <w:pStyle w:val="TableTextBold"/>
              <w:keepNext/>
              <w:spacing w:before="40" w:after="40"/>
              <w:rPr>
                <w:rFonts w:cs="Calibri"/>
                <w:bCs/>
                <w:noProof w:val="0"/>
                <w:color w:val="FFFFFF"/>
              </w:rPr>
            </w:pPr>
            <w:r w:rsidRPr="00BE78CA">
              <w:rPr>
                <w:rFonts w:cs="Calibri"/>
                <w:bCs/>
                <w:noProof w:val="0"/>
                <w:color w:val="FFFFFF"/>
              </w:rPr>
              <w:t>CRF category code</w:t>
            </w:r>
          </w:p>
        </w:tc>
        <w:tc>
          <w:tcPr>
            <w:tcW w:w="4567" w:type="dxa"/>
            <w:shd w:val="clear" w:color="auto" w:fill="365F91"/>
            <w:vAlign w:val="bottom"/>
          </w:tcPr>
          <w:p w14:paraId="02C191DD" w14:textId="77777777" w:rsidR="00706DD1" w:rsidRPr="00BE78CA" w:rsidRDefault="00706DD1" w:rsidP="00C26084">
            <w:pPr>
              <w:pStyle w:val="TableTextBold"/>
              <w:spacing w:before="40" w:after="40"/>
              <w:rPr>
                <w:rFonts w:cs="Calibri"/>
                <w:bCs/>
                <w:noProof w:val="0"/>
                <w:color w:val="FFFFFF"/>
              </w:rPr>
            </w:pPr>
            <w:r w:rsidRPr="00BE78CA">
              <w:rPr>
                <w:rFonts w:cs="Calibri"/>
                <w:bCs/>
                <w:noProof w:val="0"/>
                <w:color w:val="FFFFFF"/>
              </w:rPr>
              <w:t>Manufacturing industries and construction category</w:t>
            </w:r>
          </w:p>
        </w:tc>
        <w:tc>
          <w:tcPr>
            <w:tcW w:w="1732" w:type="dxa"/>
            <w:shd w:val="clear" w:color="auto" w:fill="365F91"/>
            <w:vAlign w:val="bottom"/>
          </w:tcPr>
          <w:p w14:paraId="57057877" w14:textId="77777777" w:rsidR="00706DD1" w:rsidRPr="00BE78CA" w:rsidRDefault="00706DD1" w:rsidP="00C26084">
            <w:pPr>
              <w:pStyle w:val="TableTextBold"/>
              <w:spacing w:before="40" w:after="40"/>
              <w:jc w:val="center"/>
              <w:rPr>
                <w:rFonts w:cs="Calibri"/>
                <w:noProof w:val="0"/>
                <w:color w:val="FFFFFF"/>
              </w:rPr>
            </w:pPr>
            <w:r w:rsidRPr="00BE78CA">
              <w:rPr>
                <w:rFonts w:cs="Calibri"/>
                <w:noProof w:val="0"/>
                <w:color w:val="FFFFFF"/>
              </w:rPr>
              <w:t>Per cent</w:t>
            </w:r>
          </w:p>
        </w:tc>
      </w:tr>
      <w:tr w:rsidR="00706DD1" w:rsidRPr="00BE78CA" w14:paraId="550C9D83" w14:textId="77777777" w:rsidTr="002D445C">
        <w:tc>
          <w:tcPr>
            <w:tcW w:w="1752" w:type="dxa"/>
            <w:shd w:val="clear" w:color="auto" w:fill="auto"/>
            <w:vAlign w:val="center"/>
          </w:tcPr>
          <w:p w14:paraId="6B1D632A" w14:textId="77777777" w:rsidR="00706DD1" w:rsidRPr="00BE78CA" w:rsidRDefault="00706DD1" w:rsidP="00C26084">
            <w:pPr>
              <w:pStyle w:val="TableText"/>
              <w:keepNext/>
              <w:spacing w:before="40" w:after="40"/>
              <w:rPr>
                <w:rFonts w:cs="Calibri"/>
                <w:bCs/>
              </w:rPr>
            </w:pPr>
            <w:r w:rsidRPr="00BE78CA">
              <w:rPr>
                <w:rFonts w:cs="Calibri"/>
                <w:bCs/>
              </w:rPr>
              <w:t>1.A.2.a</w:t>
            </w:r>
          </w:p>
        </w:tc>
        <w:tc>
          <w:tcPr>
            <w:tcW w:w="4567" w:type="dxa"/>
            <w:shd w:val="clear" w:color="auto" w:fill="auto"/>
            <w:vAlign w:val="center"/>
          </w:tcPr>
          <w:p w14:paraId="617234AC" w14:textId="77777777" w:rsidR="00706DD1" w:rsidRPr="00BE78CA" w:rsidRDefault="00706DD1" w:rsidP="00C26084">
            <w:pPr>
              <w:pStyle w:val="TableText"/>
              <w:spacing w:before="40" w:after="40"/>
              <w:rPr>
                <w:rFonts w:cs="Calibri"/>
                <w:lang w:eastAsia="en-GB"/>
              </w:rPr>
            </w:pPr>
            <w:r w:rsidRPr="00BE78CA">
              <w:rPr>
                <w:rFonts w:cs="Calibri"/>
              </w:rPr>
              <w:t>Iron and steel</w:t>
            </w:r>
          </w:p>
        </w:tc>
        <w:tc>
          <w:tcPr>
            <w:tcW w:w="1732" w:type="dxa"/>
            <w:shd w:val="clear" w:color="auto" w:fill="auto"/>
            <w:vAlign w:val="center"/>
          </w:tcPr>
          <w:p w14:paraId="755B9268" w14:textId="77777777" w:rsidR="00706DD1" w:rsidRPr="00BE78CA" w:rsidRDefault="00706DD1" w:rsidP="00C26084">
            <w:pPr>
              <w:pStyle w:val="TableText"/>
              <w:spacing w:before="40" w:after="40"/>
              <w:ind w:right="660"/>
              <w:jc w:val="right"/>
              <w:rPr>
                <w:rFonts w:cs="Calibri"/>
                <w:color w:val="000000"/>
              </w:rPr>
            </w:pPr>
            <w:r w:rsidRPr="00BE78CA">
              <w:rPr>
                <w:rFonts w:cs="Calibri"/>
                <w:color w:val="000000"/>
              </w:rPr>
              <w:t>NO</w:t>
            </w:r>
          </w:p>
        </w:tc>
      </w:tr>
      <w:tr w:rsidR="00706DD1" w:rsidRPr="00BE78CA" w14:paraId="6D5E2CA9" w14:textId="77777777" w:rsidTr="002D445C">
        <w:tc>
          <w:tcPr>
            <w:tcW w:w="1752" w:type="dxa"/>
            <w:shd w:val="clear" w:color="auto" w:fill="auto"/>
            <w:vAlign w:val="center"/>
          </w:tcPr>
          <w:p w14:paraId="60037CA2" w14:textId="77777777" w:rsidR="00706DD1" w:rsidRPr="00BE78CA" w:rsidRDefault="00706DD1" w:rsidP="00C26084">
            <w:pPr>
              <w:pStyle w:val="TableText"/>
              <w:keepNext/>
              <w:spacing w:before="40" w:after="40"/>
              <w:rPr>
                <w:rFonts w:cs="Calibri"/>
                <w:bCs/>
              </w:rPr>
            </w:pPr>
            <w:r w:rsidRPr="00BE78CA">
              <w:rPr>
                <w:rFonts w:cs="Calibri"/>
                <w:bCs/>
              </w:rPr>
              <w:t>1.A.2.b</w:t>
            </w:r>
          </w:p>
        </w:tc>
        <w:tc>
          <w:tcPr>
            <w:tcW w:w="4567" w:type="dxa"/>
            <w:shd w:val="clear" w:color="auto" w:fill="auto"/>
            <w:vAlign w:val="center"/>
          </w:tcPr>
          <w:p w14:paraId="00D14F16" w14:textId="77777777" w:rsidR="00706DD1" w:rsidRPr="00BE78CA" w:rsidRDefault="00706DD1" w:rsidP="00C26084">
            <w:pPr>
              <w:pStyle w:val="TableText"/>
              <w:spacing w:before="40" w:after="40"/>
              <w:rPr>
                <w:rFonts w:cs="Calibri"/>
              </w:rPr>
            </w:pPr>
            <w:r w:rsidRPr="00BE78CA">
              <w:rPr>
                <w:rFonts w:cs="Calibri"/>
              </w:rPr>
              <w:t>Non-ferrous metals</w:t>
            </w:r>
          </w:p>
        </w:tc>
        <w:tc>
          <w:tcPr>
            <w:tcW w:w="1732" w:type="dxa"/>
            <w:shd w:val="clear" w:color="auto" w:fill="auto"/>
            <w:vAlign w:val="center"/>
          </w:tcPr>
          <w:p w14:paraId="78D3B89C" w14:textId="77777777" w:rsidR="00706DD1" w:rsidRPr="00BE78CA" w:rsidRDefault="00706DD1" w:rsidP="00C26084">
            <w:pPr>
              <w:pStyle w:val="TableText"/>
              <w:spacing w:before="40" w:after="40"/>
              <w:ind w:right="660"/>
              <w:jc w:val="right"/>
              <w:rPr>
                <w:rFonts w:cs="Calibri"/>
                <w:color w:val="000000"/>
              </w:rPr>
            </w:pPr>
            <w:r w:rsidRPr="00BE78CA">
              <w:rPr>
                <w:rFonts w:cs="Calibri"/>
                <w:color w:val="000000"/>
              </w:rPr>
              <w:t>NO</w:t>
            </w:r>
          </w:p>
        </w:tc>
      </w:tr>
      <w:tr w:rsidR="00706DD1" w:rsidRPr="00BE78CA" w14:paraId="10E8658C" w14:textId="77777777" w:rsidTr="002D445C">
        <w:tc>
          <w:tcPr>
            <w:tcW w:w="1752" w:type="dxa"/>
            <w:shd w:val="clear" w:color="auto" w:fill="auto"/>
            <w:vAlign w:val="center"/>
          </w:tcPr>
          <w:p w14:paraId="50E43BAA" w14:textId="77777777" w:rsidR="00706DD1" w:rsidRPr="00BE78CA" w:rsidRDefault="00706DD1" w:rsidP="00C26084">
            <w:pPr>
              <w:pStyle w:val="TableText"/>
              <w:spacing w:before="40" w:after="40"/>
              <w:rPr>
                <w:rFonts w:cs="Calibri"/>
                <w:bCs/>
              </w:rPr>
            </w:pPr>
            <w:r w:rsidRPr="00BE78CA">
              <w:rPr>
                <w:rFonts w:cs="Calibri"/>
                <w:bCs/>
              </w:rPr>
              <w:t>1.A.2.c</w:t>
            </w:r>
          </w:p>
        </w:tc>
        <w:tc>
          <w:tcPr>
            <w:tcW w:w="4567" w:type="dxa"/>
            <w:shd w:val="clear" w:color="auto" w:fill="auto"/>
            <w:vAlign w:val="center"/>
          </w:tcPr>
          <w:p w14:paraId="5ED1D4BA" w14:textId="77777777" w:rsidR="00706DD1" w:rsidRPr="00BE78CA" w:rsidRDefault="00706DD1" w:rsidP="00C26084">
            <w:pPr>
              <w:pStyle w:val="TableText"/>
              <w:spacing w:before="40" w:after="40"/>
              <w:rPr>
                <w:rFonts w:cs="Calibri"/>
                <w:lang w:eastAsia="en-GB"/>
              </w:rPr>
            </w:pPr>
            <w:r w:rsidRPr="00BE78CA">
              <w:rPr>
                <w:rFonts w:cs="Calibri"/>
              </w:rPr>
              <w:t>Chemicals</w:t>
            </w:r>
          </w:p>
        </w:tc>
        <w:tc>
          <w:tcPr>
            <w:tcW w:w="1732" w:type="dxa"/>
            <w:shd w:val="clear" w:color="auto" w:fill="auto"/>
            <w:vAlign w:val="center"/>
          </w:tcPr>
          <w:p w14:paraId="32DAD9F5" w14:textId="77777777" w:rsidR="00706DD1" w:rsidRPr="00BE78CA" w:rsidRDefault="00706DD1" w:rsidP="00C26084">
            <w:pPr>
              <w:pStyle w:val="TableText"/>
              <w:spacing w:before="40" w:after="40"/>
              <w:ind w:right="660"/>
              <w:jc w:val="right"/>
              <w:rPr>
                <w:rFonts w:cs="Calibri"/>
                <w:color w:val="000000"/>
              </w:rPr>
            </w:pPr>
            <w:r w:rsidRPr="00BE78CA">
              <w:rPr>
                <w:rFonts w:cs="Calibri"/>
                <w:color w:val="000000"/>
              </w:rPr>
              <w:t>NO</w:t>
            </w:r>
          </w:p>
        </w:tc>
      </w:tr>
      <w:tr w:rsidR="00706DD1" w:rsidRPr="00BE78CA" w14:paraId="3B85FE91" w14:textId="77777777" w:rsidTr="002D445C">
        <w:tc>
          <w:tcPr>
            <w:tcW w:w="1752" w:type="dxa"/>
            <w:shd w:val="clear" w:color="auto" w:fill="auto"/>
            <w:vAlign w:val="center"/>
          </w:tcPr>
          <w:p w14:paraId="3E8C61A9" w14:textId="77777777" w:rsidR="00706DD1" w:rsidRPr="00BE78CA" w:rsidRDefault="00706DD1" w:rsidP="00C26084">
            <w:pPr>
              <w:pStyle w:val="TableText"/>
              <w:spacing w:before="40" w:after="40"/>
              <w:rPr>
                <w:rFonts w:cs="Calibri"/>
                <w:bCs/>
              </w:rPr>
            </w:pPr>
            <w:r w:rsidRPr="00BE78CA">
              <w:rPr>
                <w:rFonts w:cs="Calibri"/>
                <w:bCs/>
              </w:rPr>
              <w:t>1.A.2.d</w:t>
            </w:r>
          </w:p>
        </w:tc>
        <w:tc>
          <w:tcPr>
            <w:tcW w:w="4567" w:type="dxa"/>
            <w:shd w:val="clear" w:color="auto" w:fill="auto"/>
            <w:vAlign w:val="center"/>
          </w:tcPr>
          <w:p w14:paraId="2A8B53E8" w14:textId="77777777" w:rsidR="00706DD1" w:rsidRPr="00BE78CA" w:rsidRDefault="00706DD1" w:rsidP="00C26084">
            <w:pPr>
              <w:pStyle w:val="TableText"/>
              <w:spacing w:before="40" w:after="40"/>
              <w:rPr>
                <w:rFonts w:cs="Calibri"/>
                <w:lang w:eastAsia="en-GB"/>
              </w:rPr>
            </w:pPr>
            <w:r w:rsidRPr="00BE78CA">
              <w:rPr>
                <w:rFonts w:cs="Calibri"/>
              </w:rPr>
              <w:t>Pulp, paper and print</w:t>
            </w:r>
          </w:p>
        </w:tc>
        <w:tc>
          <w:tcPr>
            <w:tcW w:w="1732" w:type="dxa"/>
            <w:shd w:val="clear" w:color="auto" w:fill="auto"/>
            <w:vAlign w:val="center"/>
          </w:tcPr>
          <w:p w14:paraId="3E1EB802" w14:textId="77777777" w:rsidR="00706DD1" w:rsidRPr="00BE78CA" w:rsidRDefault="00706DD1" w:rsidP="00C26084">
            <w:pPr>
              <w:pStyle w:val="TableText"/>
              <w:spacing w:before="40" w:after="40"/>
              <w:ind w:right="660"/>
              <w:jc w:val="right"/>
              <w:rPr>
                <w:rFonts w:cs="Calibri"/>
                <w:color w:val="000000"/>
              </w:rPr>
            </w:pPr>
            <w:r w:rsidRPr="00BE78CA">
              <w:rPr>
                <w:rFonts w:cs="Calibri"/>
                <w:color w:val="000000"/>
              </w:rPr>
              <w:t>99.94</w:t>
            </w:r>
          </w:p>
        </w:tc>
      </w:tr>
      <w:tr w:rsidR="00706DD1" w:rsidRPr="00BE78CA" w14:paraId="54C57A13" w14:textId="77777777" w:rsidTr="002D445C">
        <w:tc>
          <w:tcPr>
            <w:tcW w:w="1752" w:type="dxa"/>
            <w:shd w:val="clear" w:color="auto" w:fill="auto"/>
            <w:vAlign w:val="center"/>
          </w:tcPr>
          <w:p w14:paraId="1E83D25A" w14:textId="77777777" w:rsidR="00706DD1" w:rsidRPr="00BE78CA" w:rsidRDefault="00706DD1" w:rsidP="00C26084">
            <w:pPr>
              <w:pStyle w:val="TableText"/>
              <w:spacing w:before="40" w:after="40"/>
              <w:rPr>
                <w:rFonts w:cs="Calibri"/>
                <w:bCs/>
              </w:rPr>
            </w:pPr>
            <w:r w:rsidRPr="00BE78CA">
              <w:rPr>
                <w:rFonts w:cs="Calibri"/>
                <w:bCs/>
              </w:rPr>
              <w:t>1.A.2.e</w:t>
            </w:r>
          </w:p>
        </w:tc>
        <w:tc>
          <w:tcPr>
            <w:tcW w:w="4567" w:type="dxa"/>
            <w:shd w:val="clear" w:color="auto" w:fill="auto"/>
            <w:vAlign w:val="center"/>
          </w:tcPr>
          <w:p w14:paraId="422979B9" w14:textId="77777777" w:rsidR="00706DD1" w:rsidRPr="00BE78CA" w:rsidRDefault="00706DD1" w:rsidP="00C26084">
            <w:pPr>
              <w:pStyle w:val="TableText"/>
              <w:spacing w:before="40" w:after="40"/>
              <w:rPr>
                <w:rFonts w:cs="Calibri"/>
                <w:lang w:eastAsia="en-GB"/>
              </w:rPr>
            </w:pPr>
            <w:r w:rsidRPr="00BE78CA">
              <w:rPr>
                <w:rFonts w:cs="Calibri"/>
              </w:rPr>
              <w:t>Food processing, beverages and tobacco</w:t>
            </w:r>
          </w:p>
        </w:tc>
        <w:tc>
          <w:tcPr>
            <w:tcW w:w="1732" w:type="dxa"/>
            <w:shd w:val="clear" w:color="auto" w:fill="auto"/>
            <w:vAlign w:val="center"/>
          </w:tcPr>
          <w:p w14:paraId="4C2F7C6F" w14:textId="77777777" w:rsidR="00706DD1" w:rsidRPr="00BE78CA" w:rsidRDefault="00706DD1" w:rsidP="00C26084">
            <w:pPr>
              <w:pStyle w:val="TableText"/>
              <w:spacing w:before="40" w:after="40"/>
              <w:ind w:right="660"/>
              <w:jc w:val="right"/>
              <w:rPr>
                <w:rFonts w:cs="Calibri"/>
                <w:color w:val="000000"/>
              </w:rPr>
            </w:pPr>
            <w:r w:rsidRPr="00BE78CA">
              <w:rPr>
                <w:rFonts w:cs="Calibri"/>
                <w:color w:val="000000"/>
              </w:rPr>
              <w:t>0.05</w:t>
            </w:r>
          </w:p>
        </w:tc>
      </w:tr>
      <w:tr w:rsidR="00706DD1" w:rsidRPr="00BE78CA" w14:paraId="7B83359D" w14:textId="77777777" w:rsidTr="002D445C">
        <w:tc>
          <w:tcPr>
            <w:tcW w:w="1752" w:type="dxa"/>
            <w:shd w:val="clear" w:color="auto" w:fill="auto"/>
            <w:vAlign w:val="center"/>
          </w:tcPr>
          <w:p w14:paraId="36E91D3E" w14:textId="77777777" w:rsidR="00706DD1" w:rsidRPr="00BE78CA" w:rsidRDefault="00706DD1" w:rsidP="00C26084">
            <w:pPr>
              <w:pStyle w:val="TableText"/>
              <w:spacing w:before="40" w:after="40"/>
              <w:rPr>
                <w:rFonts w:cs="Calibri"/>
                <w:bCs/>
              </w:rPr>
            </w:pPr>
            <w:r w:rsidRPr="00BE78CA">
              <w:rPr>
                <w:rFonts w:cs="Calibri"/>
                <w:bCs/>
              </w:rPr>
              <w:t>1.A.2.g</w:t>
            </w:r>
          </w:p>
        </w:tc>
        <w:tc>
          <w:tcPr>
            <w:tcW w:w="4567" w:type="dxa"/>
            <w:shd w:val="clear" w:color="auto" w:fill="auto"/>
            <w:vAlign w:val="center"/>
          </w:tcPr>
          <w:p w14:paraId="2813B468" w14:textId="77777777" w:rsidR="00706DD1" w:rsidRPr="00BE78CA" w:rsidRDefault="00706DD1" w:rsidP="00C26084">
            <w:pPr>
              <w:pStyle w:val="TableText"/>
              <w:spacing w:before="40" w:after="40"/>
              <w:rPr>
                <w:rFonts w:cs="Calibri"/>
                <w:lang w:eastAsia="en-GB"/>
              </w:rPr>
            </w:pPr>
            <w:r w:rsidRPr="00BE78CA">
              <w:rPr>
                <w:rFonts w:cs="Calibri"/>
              </w:rPr>
              <w:t>Other – mining and construction</w:t>
            </w:r>
          </w:p>
        </w:tc>
        <w:tc>
          <w:tcPr>
            <w:tcW w:w="1732" w:type="dxa"/>
            <w:shd w:val="clear" w:color="auto" w:fill="auto"/>
            <w:vAlign w:val="center"/>
          </w:tcPr>
          <w:p w14:paraId="16FCCE4E" w14:textId="77777777" w:rsidR="00706DD1" w:rsidRPr="00BE78CA" w:rsidRDefault="00706DD1" w:rsidP="00C26084">
            <w:pPr>
              <w:pStyle w:val="TableText"/>
              <w:spacing w:before="40" w:after="40"/>
              <w:ind w:right="660"/>
              <w:jc w:val="right"/>
              <w:rPr>
                <w:rFonts w:cs="Calibri"/>
                <w:color w:val="000000"/>
              </w:rPr>
            </w:pPr>
            <w:r w:rsidRPr="00BE78CA">
              <w:rPr>
                <w:rFonts w:cs="Calibri"/>
                <w:color w:val="000000"/>
              </w:rPr>
              <w:t>NO</w:t>
            </w:r>
          </w:p>
        </w:tc>
      </w:tr>
      <w:tr w:rsidR="00706DD1" w:rsidRPr="00BE78CA" w14:paraId="4E19C87F" w14:textId="77777777" w:rsidTr="002D445C">
        <w:tc>
          <w:tcPr>
            <w:tcW w:w="1752" w:type="dxa"/>
            <w:shd w:val="clear" w:color="auto" w:fill="auto"/>
            <w:vAlign w:val="center"/>
          </w:tcPr>
          <w:p w14:paraId="73ACB979" w14:textId="77777777" w:rsidR="00706DD1" w:rsidRPr="00BE78CA" w:rsidRDefault="00706DD1" w:rsidP="00C26084">
            <w:pPr>
              <w:pStyle w:val="TableText"/>
              <w:spacing w:before="40" w:after="40"/>
              <w:rPr>
                <w:rFonts w:cs="Calibri"/>
                <w:bCs/>
              </w:rPr>
            </w:pPr>
            <w:r w:rsidRPr="00BE78CA">
              <w:rPr>
                <w:rFonts w:cs="Calibri"/>
                <w:bCs/>
              </w:rPr>
              <w:t>1.A.2.g</w:t>
            </w:r>
          </w:p>
        </w:tc>
        <w:tc>
          <w:tcPr>
            <w:tcW w:w="4567" w:type="dxa"/>
            <w:shd w:val="clear" w:color="auto" w:fill="auto"/>
            <w:vAlign w:val="center"/>
          </w:tcPr>
          <w:p w14:paraId="44545776" w14:textId="77777777" w:rsidR="00706DD1" w:rsidRPr="00BE78CA" w:rsidRDefault="00706DD1" w:rsidP="00C26084">
            <w:pPr>
              <w:pStyle w:val="TableText"/>
              <w:spacing w:before="40" w:after="40"/>
              <w:rPr>
                <w:rFonts w:cs="Calibri"/>
                <w:lang w:eastAsia="en-GB"/>
              </w:rPr>
            </w:pPr>
            <w:r w:rsidRPr="00BE78CA">
              <w:rPr>
                <w:rFonts w:cs="Calibri"/>
              </w:rPr>
              <w:t>Other – textiles</w:t>
            </w:r>
          </w:p>
        </w:tc>
        <w:tc>
          <w:tcPr>
            <w:tcW w:w="1732" w:type="dxa"/>
            <w:shd w:val="clear" w:color="auto" w:fill="auto"/>
            <w:vAlign w:val="center"/>
          </w:tcPr>
          <w:p w14:paraId="72AC111F" w14:textId="77777777" w:rsidR="00706DD1" w:rsidRPr="00BE78CA" w:rsidRDefault="00706DD1" w:rsidP="00C26084">
            <w:pPr>
              <w:pStyle w:val="TableText"/>
              <w:spacing w:before="40" w:after="40"/>
              <w:ind w:right="660"/>
              <w:jc w:val="right"/>
              <w:rPr>
                <w:rFonts w:cs="Calibri"/>
                <w:color w:val="000000"/>
              </w:rPr>
            </w:pPr>
            <w:r w:rsidRPr="00BE78CA">
              <w:rPr>
                <w:rFonts w:cs="Calibri"/>
                <w:color w:val="000000"/>
              </w:rPr>
              <w:t>NO</w:t>
            </w:r>
          </w:p>
        </w:tc>
      </w:tr>
      <w:tr w:rsidR="00706DD1" w:rsidRPr="00BE78CA" w14:paraId="0E7FBF2F" w14:textId="77777777" w:rsidTr="002D445C">
        <w:tc>
          <w:tcPr>
            <w:tcW w:w="1752" w:type="dxa"/>
            <w:shd w:val="clear" w:color="auto" w:fill="auto"/>
            <w:vAlign w:val="center"/>
          </w:tcPr>
          <w:p w14:paraId="4E2DA241" w14:textId="77777777" w:rsidR="00706DD1" w:rsidRPr="00BE78CA" w:rsidRDefault="00706DD1" w:rsidP="00C26084">
            <w:pPr>
              <w:pStyle w:val="TableText"/>
              <w:spacing w:before="40" w:after="40"/>
              <w:rPr>
                <w:rFonts w:cs="Calibri"/>
                <w:bCs/>
              </w:rPr>
            </w:pPr>
            <w:r w:rsidRPr="00BE78CA">
              <w:rPr>
                <w:rFonts w:cs="Calibri"/>
                <w:bCs/>
              </w:rPr>
              <w:t>1.A.2.f</w:t>
            </w:r>
          </w:p>
        </w:tc>
        <w:tc>
          <w:tcPr>
            <w:tcW w:w="4567" w:type="dxa"/>
            <w:shd w:val="clear" w:color="auto" w:fill="auto"/>
            <w:vAlign w:val="center"/>
          </w:tcPr>
          <w:p w14:paraId="47B66397" w14:textId="77777777" w:rsidR="00706DD1" w:rsidRPr="00BE78CA" w:rsidRDefault="00706DD1" w:rsidP="00C26084">
            <w:pPr>
              <w:pStyle w:val="TableText"/>
              <w:spacing w:before="40" w:after="40"/>
              <w:rPr>
                <w:rFonts w:cs="Calibri"/>
                <w:lang w:eastAsia="en-GB"/>
              </w:rPr>
            </w:pPr>
            <w:r w:rsidRPr="00BE78CA">
              <w:rPr>
                <w:rFonts w:cs="Calibri"/>
              </w:rPr>
              <w:t>Other – non-metallic minerals</w:t>
            </w:r>
          </w:p>
        </w:tc>
        <w:tc>
          <w:tcPr>
            <w:tcW w:w="1732" w:type="dxa"/>
            <w:shd w:val="clear" w:color="auto" w:fill="auto"/>
            <w:vAlign w:val="center"/>
          </w:tcPr>
          <w:p w14:paraId="3B1778BD" w14:textId="77777777" w:rsidR="00706DD1" w:rsidRPr="00BE78CA" w:rsidRDefault="00706DD1" w:rsidP="00C26084">
            <w:pPr>
              <w:pStyle w:val="TableText"/>
              <w:spacing w:before="40" w:after="40"/>
              <w:ind w:right="660"/>
              <w:jc w:val="right"/>
              <w:rPr>
                <w:rFonts w:cs="Calibri"/>
                <w:color w:val="000000"/>
              </w:rPr>
            </w:pPr>
            <w:r w:rsidRPr="00BE78CA">
              <w:rPr>
                <w:rFonts w:cs="Calibri"/>
                <w:color w:val="000000"/>
              </w:rPr>
              <w:t>NO</w:t>
            </w:r>
          </w:p>
        </w:tc>
      </w:tr>
      <w:tr w:rsidR="00706DD1" w:rsidRPr="00BE78CA" w14:paraId="58177FFF" w14:textId="77777777" w:rsidTr="002D445C">
        <w:tc>
          <w:tcPr>
            <w:tcW w:w="1752" w:type="dxa"/>
            <w:shd w:val="clear" w:color="auto" w:fill="auto"/>
            <w:vAlign w:val="center"/>
          </w:tcPr>
          <w:p w14:paraId="55D61D5A" w14:textId="77777777" w:rsidR="00706DD1" w:rsidRPr="00BE78CA" w:rsidRDefault="00706DD1" w:rsidP="00C26084">
            <w:pPr>
              <w:pStyle w:val="TableText"/>
              <w:spacing w:before="40" w:after="40"/>
              <w:rPr>
                <w:rFonts w:cs="Calibri"/>
                <w:bCs/>
              </w:rPr>
            </w:pPr>
            <w:r w:rsidRPr="00BE78CA">
              <w:rPr>
                <w:rFonts w:cs="Calibri"/>
                <w:bCs/>
              </w:rPr>
              <w:t>1.A.2.f</w:t>
            </w:r>
          </w:p>
        </w:tc>
        <w:tc>
          <w:tcPr>
            <w:tcW w:w="4567" w:type="dxa"/>
            <w:shd w:val="clear" w:color="auto" w:fill="auto"/>
            <w:vAlign w:val="center"/>
          </w:tcPr>
          <w:p w14:paraId="1230F724" w14:textId="77777777" w:rsidR="00706DD1" w:rsidRPr="00BE78CA" w:rsidRDefault="00706DD1" w:rsidP="00C26084">
            <w:pPr>
              <w:pStyle w:val="TableText"/>
              <w:spacing w:before="40" w:after="40"/>
              <w:rPr>
                <w:rFonts w:cs="Calibri"/>
                <w:lang w:eastAsia="en-GB"/>
              </w:rPr>
            </w:pPr>
            <w:r w:rsidRPr="00BE78CA">
              <w:rPr>
                <w:rFonts w:cs="Calibri"/>
              </w:rPr>
              <w:t xml:space="preserve">Other – manufacturing of machinery </w:t>
            </w:r>
          </w:p>
        </w:tc>
        <w:tc>
          <w:tcPr>
            <w:tcW w:w="1732" w:type="dxa"/>
            <w:shd w:val="clear" w:color="auto" w:fill="auto"/>
            <w:vAlign w:val="center"/>
          </w:tcPr>
          <w:p w14:paraId="7B85D3B3" w14:textId="77777777" w:rsidR="00706DD1" w:rsidRPr="00BE78CA" w:rsidRDefault="00706DD1" w:rsidP="00C26084">
            <w:pPr>
              <w:pStyle w:val="TableText"/>
              <w:spacing w:before="40" w:after="40"/>
              <w:ind w:right="660"/>
              <w:jc w:val="right"/>
              <w:rPr>
                <w:rFonts w:cs="Calibri"/>
                <w:color w:val="000000"/>
              </w:rPr>
            </w:pPr>
            <w:r w:rsidRPr="00BE78CA">
              <w:rPr>
                <w:rFonts w:cs="Calibri"/>
                <w:color w:val="000000"/>
              </w:rPr>
              <w:t>NO</w:t>
            </w:r>
          </w:p>
        </w:tc>
      </w:tr>
      <w:tr w:rsidR="00706DD1" w:rsidRPr="00BE78CA" w14:paraId="68ED9D47" w14:textId="77777777" w:rsidTr="002D445C">
        <w:tc>
          <w:tcPr>
            <w:tcW w:w="1752" w:type="dxa"/>
            <w:shd w:val="clear" w:color="auto" w:fill="auto"/>
            <w:vAlign w:val="center"/>
          </w:tcPr>
          <w:p w14:paraId="18965126" w14:textId="77777777" w:rsidR="00706DD1" w:rsidRPr="00BE78CA" w:rsidRDefault="00706DD1" w:rsidP="00C26084">
            <w:pPr>
              <w:pStyle w:val="TableText"/>
              <w:spacing w:before="40" w:after="40"/>
              <w:rPr>
                <w:rFonts w:cs="Calibri"/>
                <w:bCs/>
              </w:rPr>
            </w:pPr>
            <w:r w:rsidRPr="00BE78CA">
              <w:rPr>
                <w:rFonts w:cs="Calibri"/>
                <w:bCs/>
              </w:rPr>
              <w:t>1.A.2.g</w:t>
            </w:r>
          </w:p>
        </w:tc>
        <w:tc>
          <w:tcPr>
            <w:tcW w:w="4567" w:type="dxa"/>
            <w:shd w:val="clear" w:color="auto" w:fill="auto"/>
            <w:vAlign w:val="center"/>
          </w:tcPr>
          <w:p w14:paraId="59B3EDC7" w14:textId="77777777" w:rsidR="00706DD1" w:rsidRPr="00BE78CA" w:rsidRDefault="00706DD1" w:rsidP="00C26084">
            <w:pPr>
              <w:pStyle w:val="TableText"/>
              <w:spacing w:before="40" w:after="40"/>
              <w:rPr>
                <w:rFonts w:cs="Calibri"/>
                <w:lang w:eastAsia="en-GB"/>
              </w:rPr>
            </w:pPr>
            <w:r w:rsidRPr="00BE78CA">
              <w:rPr>
                <w:rFonts w:cs="Calibri"/>
              </w:rPr>
              <w:t>Other – non-specified</w:t>
            </w:r>
          </w:p>
        </w:tc>
        <w:tc>
          <w:tcPr>
            <w:tcW w:w="1732" w:type="dxa"/>
            <w:shd w:val="clear" w:color="auto" w:fill="auto"/>
            <w:vAlign w:val="center"/>
          </w:tcPr>
          <w:p w14:paraId="66B5D65D" w14:textId="77777777" w:rsidR="00706DD1" w:rsidRPr="00BE78CA" w:rsidRDefault="00706DD1" w:rsidP="00C26084">
            <w:pPr>
              <w:pStyle w:val="TableText"/>
              <w:spacing w:before="40" w:after="40"/>
              <w:ind w:right="660"/>
              <w:jc w:val="right"/>
              <w:rPr>
                <w:rFonts w:cs="Calibri"/>
                <w:color w:val="000000"/>
              </w:rPr>
            </w:pPr>
            <w:r w:rsidRPr="00BE78CA">
              <w:rPr>
                <w:rFonts w:cs="Calibri"/>
                <w:color w:val="000000"/>
              </w:rPr>
              <w:t>0.01</w:t>
            </w:r>
          </w:p>
        </w:tc>
      </w:tr>
    </w:tbl>
    <w:p w14:paraId="7EB7916B" w14:textId="77777777" w:rsidR="00706DD1" w:rsidRPr="00BE78CA" w:rsidRDefault="00706DD1" w:rsidP="00706DD1">
      <w:pPr>
        <w:pStyle w:val="Noteundertable"/>
        <w:rPr>
          <w:rFonts w:cs="Calibri"/>
        </w:rPr>
      </w:pPr>
      <w:r w:rsidRPr="00BE78CA">
        <w:rPr>
          <w:rFonts w:cs="Calibri"/>
          <w:b/>
        </w:rPr>
        <w:t>Note:</w:t>
      </w:r>
      <w:r w:rsidRPr="00BE78CA">
        <w:rPr>
          <w:rFonts w:cs="Calibri"/>
        </w:rPr>
        <w:t xml:space="preserve"> </w:t>
      </w:r>
      <w:r w:rsidRPr="00BE78CA">
        <w:rPr>
          <w:rFonts w:cs="Calibri"/>
        </w:rPr>
        <w:tab/>
        <w:t>NO = not occurring. Survey data indicate that solid biomass combustion does not occur in the sectors.</w:t>
      </w:r>
    </w:p>
    <w:p w14:paraId="6352B3E6" w14:textId="77777777" w:rsidR="00706DD1" w:rsidRPr="00BE78CA" w:rsidRDefault="00706DD1" w:rsidP="00706DD1">
      <w:pPr>
        <w:pStyle w:val="Heading5"/>
        <w:spacing w:before="200"/>
        <w:rPr>
          <w:rFonts w:cs="Calibri"/>
        </w:rPr>
      </w:pPr>
      <w:r w:rsidRPr="00BE78CA">
        <w:rPr>
          <w:rFonts w:cs="Calibri"/>
        </w:rPr>
        <w:t>Gas biomass</w:t>
      </w:r>
    </w:p>
    <w:p w14:paraId="76CC6C79" w14:textId="77777777" w:rsidR="00706DD1" w:rsidRPr="00BE78CA" w:rsidRDefault="00706DD1" w:rsidP="00706DD1">
      <w:pPr>
        <w:pStyle w:val="BodyText"/>
        <w:spacing w:before="80"/>
        <w:rPr>
          <w:rFonts w:cs="Calibri"/>
        </w:rPr>
      </w:pPr>
      <w:r w:rsidRPr="00BE78CA">
        <w:rPr>
          <w:rFonts w:cs="Calibri"/>
        </w:rPr>
        <w:t>Sludge gas is produced at the Tirau dairy processing facility. Cattle effluent is used to produce sludge gas that is used to raise heat for the milk processing facility, which is open from September through to December each year. See section 3.3.1 (Biomass) for further information.</w:t>
      </w:r>
    </w:p>
    <w:p w14:paraId="1B6A49B5" w14:textId="77777777" w:rsidR="00706DD1" w:rsidRPr="00BE78CA" w:rsidRDefault="00706DD1" w:rsidP="00706DD1">
      <w:pPr>
        <w:pStyle w:val="BodyText"/>
        <w:spacing w:before="100"/>
        <w:rPr>
          <w:rFonts w:cs="Calibri"/>
        </w:rPr>
      </w:pPr>
      <w:r w:rsidRPr="00BE78CA">
        <w:rPr>
          <w:rFonts w:cs="Calibri"/>
        </w:rPr>
        <w:t>Sludge gas is not metered or analysed at the site, but estimates of flow rate and CH</w:t>
      </w:r>
      <w:r w:rsidRPr="00BE78CA">
        <w:rPr>
          <w:rFonts w:cs="Calibri"/>
          <w:vertAlign w:val="subscript"/>
        </w:rPr>
        <w:t>4</w:t>
      </w:r>
      <w:r w:rsidRPr="00BE78CA">
        <w:rPr>
          <w:rFonts w:cs="Calibri"/>
        </w:rPr>
        <w:t xml:space="preserve"> content were obtained from the facility manager for the 2011 reporting year. MBIE then used these data to calculate an estimate of the total energy content, which was then confirmed by the facility manager. </w:t>
      </w:r>
    </w:p>
    <w:p w14:paraId="579A6005" w14:textId="77777777" w:rsidR="00706DD1" w:rsidRPr="00BE78CA" w:rsidRDefault="00706DD1" w:rsidP="00706DD1">
      <w:pPr>
        <w:pStyle w:val="BodyText"/>
        <w:spacing w:before="100"/>
        <w:rPr>
          <w:rFonts w:cs="Calibri"/>
        </w:rPr>
      </w:pPr>
      <w:r w:rsidRPr="00BE78CA">
        <w:rPr>
          <w:rFonts w:cs="Calibri"/>
        </w:rPr>
        <w:t>The facility has operated in the same fashion since its construction in the late 1980s. Therefore this estimate was assumed to be valid across the time series.</w:t>
      </w:r>
    </w:p>
    <w:p w14:paraId="586293A8" w14:textId="77777777" w:rsidR="00706DD1" w:rsidRPr="00BE78CA" w:rsidRDefault="00706DD1" w:rsidP="00706DD1">
      <w:pPr>
        <w:pStyle w:val="Heading5"/>
        <w:spacing w:before="160"/>
        <w:rPr>
          <w:rFonts w:cs="Calibri"/>
        </w:rPr>
      </w:pPr>
      <w:r w:rsidRPr="00BE78CA">
        <w:rPr>
          <w:rFonts w:cs="Calibri"/>
        </w:rPr>
        <w:t>Liquid fuels (diesel, gasoline and fuel oil)</w:t>
      </w:r>
    </w:p>
    <w:p w14:paraId="58C766D3" w14:textId="77777777" w:rsidR="00706DD1" w:rsidRPr="00BE78CA" w:rsidRDefault="00706DD1" w:rsidP="00706DD1">
      <w:pPr>
        <w:pStyle w:val="BodyText"/>
        <w:spacing w:before="80"/>
        <w:rPr>
          <w:rFonts w:cs="Calibri"/>
        </w:rPr>
      </w:pPr>
      <w:r w:rsidRPr="00BE78CA">
        <w:rPr>
          <w:rFonts w:cs="Calibri"/>
        </w:rPr>
        <w:t xml:space="preserve">As mentioned in section 3.3.1 (Liquid fuels), New Zealand uses the </w:t>
      </w:r>
      <w:r w:rsidRPr="00BE78CA">
        <w:rPr>
          <w:rFonts w:cs="Calibri"/>
          <w:i/>
        </w:rPr>
        <w:t>Annual Liquid Fuel Survey </w:t>
      </w:r>
      <w:r w:rsidRPr="00BE78CA">
        <w:rPr>
          <w:rFonts w:cs="Calibri"/>
        </w:rPr>
        <w:t xml:space="preserve">to capture sales by independent distributors. With this information, some liquid fuel demand that would otherwise be allocated to national transport is reallocated to the correct sector’s demand. In terms of the Energy sector emission estimates, emissions attributed to category 1.A.3 </w:t>
      </w:r>
      <w:r w:rsidRPr="00BE78CA">
        <w:rPr>
          <w:rFonts w:cs="Calibri"/>
          <w:i/>
        </w:rPr>
        <w:t>Transport</w:t>
      </w:r>
      <w:r w:rsidRPr="00BE78CA">
        <w:rPr>
          <w:rFonts w:cs="Calibri"/>
        </w:rPr>
        <w:t xml:space="preserve"> decrease by around 20 per cent as a result of this reallocation, and emissions attributed to other categories, such as 1.A.4.c </w:t>
      </w:r>
      <w:r w:rsidRPr="00BE78CA">
        <w:rPr>
          <w:rFonts w:cs="Calibri"/>
          <w:i/>
        </w:rPr>
        <w:t>Agriculture/forestry/fishing</w:t>
      </w:r>
      <w:r w:rsidRPr="00BE78CA">
        <w:rPr>
          <w:rFonts w:cs="Calibri"/>
        </w:rPr>
        <w:t>, increase significantly.</w:t>
      </w:r>
    </w:p>
    <w:p w14:paraId="74C0A1D6" w14:textId="77777777" w:rsidR="00706DD1" w:rsidRPr="00BE78CA" w:rsidRDefault="00706DD1" w:rsidP="00706DD1">
      <w:pPr>
        <w:pStyle w:val="BodyText"/>
        <w:rPr>
          <w:rFonts w:cs="Calibri"/>
        </w:rPr>
      </w:pPr>
      <w:r w:rsidRPr="00BE78CA">
        <w:rPr>
          <w:rFonts w:cs="Calibri"/>
        </w:rPr>
        <w:lastRenderedPageBreak/>
        <w:t xml:space="preserve">Following ERT recommendations (2007 in-country review), New Zealand began to disaggregate liquid fuel combustion in the 1.A.2 </w:t>
      </w:r>
      <w:r w:rsidRPr="00BE78CA">
        <w:rPr>
          <w:rFonts w:cs="Calibri"/>
          <w:i/>
        </w:rPr>
        <w:t>Manufacturing industries and construction</w:t>
      </w:r>
      <w:r w:rsidRPr="00BE78CA">
        <w:rPr>
          <w:rFonts w:cs="Calibri"/>
        </w:rPr>
        <w:t xml:space="preserve"> category for the 2011 inventory. Diesel and gasoline consumption were disaggregated for the 2012 submission, and the method was subsequently extended to include fuel oil.</w:t>
      </w:r>
    </w:p>
    <w:p w14:paraId="1D0D923E" w14:textId="77777777" w:rsidR="00706DD1" w:rsidRPr="00BE78CA" w:rsidRDefault="00706DD1" w:rsidP="00706DD1">
      <w:pPr>
        <w:pStyle w:val="BodyText"/>
        <w:rPr>
          <w:rFonts w:cs="Calibri"/>
        </w:rPr>
      </w:pPr>
      <w:r w:rsidRPr="00BE78CA">
        <w:rPr>
          <w:rFonts w:cs="Calibri"/>
        </w:rPr>
        <w:t xml:space="preserve">While data are not collected at this level of detail in energy surveys for liquid fuels, New Zealand has produced estimates based on Stats NZ survey data. Stats NZ conducted an industrial and trade energy use survey (Stats NZ, 2018), which assessed energy consumption and end use across manufacturing industries for the 2016 calendar year. </w:t>
      </w:r>
    </w:p>
    <w:p w14:paraId="2CB025F9" w14:textId="77777777" w:rsidR="00706DD1" w:rsidRPr="00BE78CA" w:rsidRDefault="00706DD1" w:rsidP="00706DD1">
      <w:pPr>
        <w:pStyle w:val="BodyText"/>
        <w:rPr>
          <w:rFonts w:cs="Calibri"/>
        </w:rPr>
      </w:pPr>
      <w:r w:rsidRPr="00BE78CA">
        <w:rPr>
          <w:rFonts w:cs="Calibri"/>
        </w:rPr>
        <w:t xml:space="preserve">Proportions of liquid energy end use were then determined across the manufacturing industries. These proportions, along with category gross domestic product (GDP) data from Stats NZ for the period, were used to calculate implied energy intensities (PJ per unit of GDP) for each category for diesel, gasoline and fuel oil (see table 3.3.5). These intensities were then applied to Stats NZ GDP data across the time series and scaled to match the fuel sales reported for all manufacturing industries and construction, to estimate activity data for each category. </w:t>
      </w:r>
    </w:p>
    <w:p w14:paraId="7CAD85F0" w14:textId="77777777" w:rsidR="00706DD1" w:rsidRPr="00BE78CA" w:rsidRDefault="00706DD1" w:rsidP="00706DD1">
      <w:pPr>
        <w:pStyle w:val="Table"/>
        <w:rPr>
          <w:rFonts w:cs="Calibri"/>
        </w:rPr>
      </w:pPr>
      <w:bookmarkStart w:id="308" w:name="_Toc68786409"/>
      <w:r w:rsidRPr="00BE78CA">
        <w:rPr>
          <w:rFonts w:cs="Calibri"/>
        </w:rPr>
        <w:t xml:space="preserve">Table 3.3.5 </w:t>
      </w:r>
      <w:r w:rsidRPr="00BE78CA">
        <w:rPr>
          <w:rFonts w:cs="Calibri"/>
        </w:rPr>
        <w:tab/>
        <w:t>Energy intensity values used to disaggregate liquid fuel use for manufacturing (gigajoules </w:t>
      </w:r>
      <w:r w:rsidRPr="00BE78CA">
        <w:t>per </w:t>
      </w:r>
      <w:r w:rsidRPr="00BE78CA">
        <w:rPr>
          <w:rFonts w:cs="Calibri"/>
        </w:rPr>
        <w:t>gross domestic product index)</w:t>
      </w:r>
      <w:bookmarkEnd w:id="308"/>
    </w:p>
    <w:tbl>
      <w:tblPr>
        <w:tblW w:w="8505" w:type="dxa"/>
        <w:tblBorders>
          <w:top w:val="single" w:sz="4" w:space="0" w:color="365F91"/>
          <w:bottom w:val="single" w:sz="4" w:space="0" w:color="365F91"/>
          <w:insideH w:val="single" w:sz="4" w:space="0" w:color="365F91"/>
          <w:insideV w:val="single" w:sz="4" w:space="0" w:color="365F91"/>
        </w:tblBorders>
        <w:tblLook w:val="04A0" w:firstRow="1" w:lastRow="0" w:firstColumn="1" w:lastColumn="0" w:noHBand="0" w:noVBand="1"/>
      </w:tblPr>
      <w:tblGrid>
        <w:gridCol w:w="3131"/>
        <w:gridCol w:w="1629"/>
        <w:gridCol w:w="1791"/>
        <w:gridCol w:w="1954"/>
      </w:tblGrid>
      <w:tr w:rsidR="002D445C" w:rsidRPr="00BE78CA" w14:paraId="0B3C5E3C" w14:textId="77777777" w:rsidTr="002D445C">
        <w:trPr>
          <w:tblHeader/>
        </w:trPr>
        <w:tc>
          <w:tcPr>
            <w:tcW w:w="2727" w:type="dxa"/>
            <w:shd w:val="clear" w:color="auto" w:fill="365F91"/>
          </w:tcPr>
          <w:p w14:paraId="27F84924" w14:textId="77777777" w:rsidR="00706DD1" w:rsidRPr="00BE78CA" w:rsidRDefault="00706DD1" w:rsidP="002D445C">
            <w:pPr>
              <w:pStyle w:val="TableTextBold"/>
              <w:rPr>
                <w:noProof w:val="0"/>
                <w:color w:val="FFFFFF" w:themeColor="background1"/>
              </w:rPr>
            </w:pPr>
            <w:r w:rsidRPr="00BE78CA">
              <w:rPr>
                <w:noProof w:val="0"/>
                <w:color w:val="FFFFFF" w:themeColor="background1"/>
              </w:rPr>
              <w:t>Category</w:t>
            </w:r>
          </w:p>
        </w:tc>
        <w:tc>
          <w:tcPr>
            <w:tcW w:w="1418" w:type="dxa"/>
            <w:shd w:val="clear" w:color="auto" w:fill="365F91"/>
          </w:tcPr>
          <w:p w14:paraId="7B1AB4C7" w14:textId="77777777" w:rsidR="00706DD1" w:rsidRPr="00BE78CA" w:rsidRDefault="00706DD1" w:rsidP="002D445C">
            <w:pPr>
              <w:pStyle w:val="TableTextBold"/>
              <w:jc w:val="center"/>
              <w:rPr>
                <w:noProof w:val="0"/>
                <w:color w:val="FFFFFF" w:themeColor="background1"/>
              </w:rPr>
            </w:pPr>
            <w:r w:rsidRPr="00BE78CA">
              <w:rPr>
                <w:noProof w:val="0"/>
                <w:color w:val="FFFFFF" w:themeColor="background1"/>
              </w:rPr>
              <w:t>Petrol</w:t>
            </w:r>
          </w:p>
        </w:tc>
        <w:tc>
          <w:tcPr>
            <w:tcW w:w="1559" w:type="dxa"/>
            <w:shd w:val="clear" w:color="auto" w:fill="365F91"/>
          </w:tcPr>
          <w:p w14:paraId="4A963A2B" w14:textId="194430B4" w:rsidR="00706DD1" w:rsidRPr="00BE78CA" w:rsidRDefault="00706DD1" w:rsidP="002D445C">
            <w:pPr>
              <w:pStyle w:val="TableTextBold"/>
              <w:jc w:val="center"/>
              <w:rPr>
                <w:noProof w:val="0"/>
                <w:color w:val="FFFFFF" w:themeColor="background1"/>
              </w:rPr>
            </w:pPr>
            <w:r w:rsidRPr="00BE78CA">
              <w:rPr>
                <w:noProof w:val="0"/>
                <w:color w:val="FFFFFF" w:themeColor="background1"/>
              </w:rPr>
              <w:t>Diesel</w:t>
            </w:r>
          </w:p>
        </w:tc>
        <w:tc>
          <w:tcPr>
            <w:tcW w:w="1701" w:type="dxa"/>
            <w:shd w:val="clear" w:color="auto" w:fill="365F91"/>
          </w:tcPr>
          <w:p w14:paraId="0042517A" w14:textId="5DF8F5B4" w:rsidR="00706DD1" w:rsidRPr="00BE78CA" w:rsidRDefault="00706DD1" w:rsidP="002D445C">
            <w:pPr>
              <w:pStyle w:val="TableTextBold"/>
              <w:jc w:val="center"/>
              <w:rPr>
                <w:noProof w:val="0"/>
                <w:color w:val="FFFFFF" w:themeColor="background1"/>
              </w:rPr>
            </w:pPr>
            <w:r w:rsidRPr="00BE78CA">
              <w:rPr>
                <w:noProof w:val="0"/>
                <w:color w:val="FFFFFF" w:themeColor="background1"/>
              </w:rPr>
              <w:t>Fuel Oil</w:t>
            </w:r>
          </w:p>
        </w:tc>
      </w:tr>
      <w:tr w:rsidR="00706DD1" w:rsidRPr="00BE78CA" w14:paraId="7E2F5A3B" w14:textId="77777777" w:rsidTr="002D445C">
        <w:tc>
          <w:tcPr>
            <w:tcW w:w="2727" w:type="dxa"/>
            <w:shd w:val="clear" w:color="auto" w:fill="auto"/>
          </w:tcPr>
          <w:p w14:paraId="25F7DE05" w14:textId="77777777" w:rsidR="00706DD1" w:rsidRPr="00BE78CA" w:rsidRDefault="00706DD1" w:rsidP="00FA6180">
            <w:pPr>
              <w:pStyle w:val="TableText"/>
            </w:pPr>
            <w:r w:rsidRPr="00BE78CA">
              <w:t>Mining</w:t>
            </w:r>
          </w:p>
        </w:tc>
        <w:tc>
          <w:tcPr>
            <w:tcW w:w="1418" w:type="dxa"/>
            <w:shd w:val="clear" w:color="auto" w:fill="auto"/>
          </w:tcPr>
          <w:p w14:paraId="310D2CD7" w14:textId="1DE33A0B" w:rsidR="00706DD1" w:rsidRPr="00BE78CA" w:rsidRDefault="00706DD1" w:rsidP="00714EC7">
            <w:pPr>
              <w:pStyle w:val="TableText"/>
              <w:tabs>
                <w:tab w:val="decimal" w:pos="27"/>
              </w:tabs>
              <w:jc w:val="center"/>
            </w:pPr>
            <w:r w:rsidRPr="00BE78CA">
              <w:t>2.4</w:t>
            </w:r>
          </w:p>
        </w:tc>
        <w:tc>
          <w:tcPr>
            <w:tcW w:w="1559" w:type="dxa"/>
          </w:tcPr>
          <w:p w14:paraId="617E0630" w14:textId="14353F8C" w:rsidR="00706DD1" w:rsidRPr="00BE78CA" w:rsidRDefault="00706DD1" w:rsidP="00714EC7">
            <w:pPr>
              <w:pStyle w:val="TableText"/>
              <w:tabs>
                <w:tab w:val="decimal" w:pos="244"/>
              </w:tabs>
              <w:jc w:val="center"/>
            </w:pPr>
            <w:r w:rsidRPr="00BE78CA">
              <w:t>1,117.9</w:t>
            </w:r>
          </w:p>
        </w:tc>
        <w:tc>
          <w:tcPr>
            <w:tcW w:w="1701" w:type="dxa"/>
            <w:shd w:val="clear" w:color="auto" w:fill="auto"/>
          </w:tcPr>
          <w:p w14:paraId="3AC04BF9" w14:textId="27AE9D0F" w:rsidR="00706DD1" w:rsidRPr="00BE78CA" w:rsidRDefault="00706DD1" w:rsidP="00714EC7">
            <w:pPr>
              <w:pStyle w:val="TableText"/>
              <w:tabs>
                <w:tab w:val="decimal" w:pos="147"/>
              </w:tabs>
              <w:jc w:val="center"/>
            </w:pPr>
            <w:r w:rsidRPr="00BE78CA">
              <w:t>19.6</w:t>
            </w:r>
          </w:p>
        </w:tc>
      </w:tr>
      <w:tr w:rsidR="00706DD1" w:rsidRPr="00BE78CA" w14:paraId="77847243" w14:textId="77777777" w:rsidTr="002D445C">
        <w:tc>
          <w:tcPr>
            <w:tcW w:w="2727" w:type="dxa"/>
            <w:shd w:val="clear" w:color="auto" w:fill="auto"/>
          </w:tcPr>
          <w:p w14:paraId="79A59446" w14:textId="77777777" w:rsidR="00706DD1" w:rsidRPr="00BE78CA" w:rsidRDefault="00706DD1" w:rsidP="00FA6180">
            <w:pPr>
              <w:pStyle w:val="TableText"/>
            </w:pPr>
            <w:r w:rsidRPr="00BE78CA">
              <w:t xml:space="preserve">Building and Construction </w:t>
            </w:r>
          </w:p>
        </w:tc>
        <w:tc>
          <w:tcPr>
            <w:tcW w:w="1418" w:type="dxa"/>
            <w:shd w:val="clear" w:color="auto" w:fill="auto"/>
          </w:tcPr>
          <w:p w14:paraId="60363199" w14:textId="5EB18C11" w:rsidR="00706DD1" w:rsidRPr="00BE78CA" w:rsidRDefault="00706DD1" w:rsidP="00714EC7">
            <w:pPr>
              <w:pStyle w:val="TableText"/>
              <w:tabs>
                <w:tab w:val="decimal" w:pos="27"/>
              </w:tabs>
              <w:jc w:val="center"/>
            </w:pPr>
            <w:r w:rsidRPr="00BE78CA">
              <w:t>30.5</w:t>
            </w:r>
          </w:p>
        </w:tc>
        <w:tc>
          <w:tcPr>
            <w:tcW w:w="1559" w:type="dxa"/>
          </w:tcPr>
          <w:p w14:paraId="1A199147" w14:textId="1D4405D5" w:rsidR="00706DD1" w:rsidRPr="00BE78CA" w:rsidRDefault="00706DD1" w:rsidP="00714EC7">
            <w:pPr>
              <w:pStyle w:val="TableText"/>
              <w:tabs>
                <w:tab w:val="decimal" w:pos="244"/>
              </w:tabs>
              <w:jc w:val="center"/>
            </w:pPr>
            <w:r w:rsidRPr="00BE78CA">
              <w:t>334.8</w:t>
            </w:r>
          </w:p>
        </w:tc>
        <w:tc>
          <w:tcPr>
            <w:tcW w:w="1701" w:type="dxa"/>
            <w:shd w:val="clear" w:color="auto" w:fill="auto"/>
          </w:tcPr>
          <w:p w14:paraId="61E70A56" w14:textId="06E476C0" w:rsidR="00706DD1" w:rsidRPr="00BE78CA" w:rsidRDefault="00706DD1" w:rsidP="00714EC7">
            <w:pPr>
              <w:pStyle w:val="TableText"/>
              <w:tabs>
                <w:tab w:val="decimal" w:pos="147"/>
              </w:tabs>
              <w:jc w:val="center"/>
            </w:pPr>
            <w:r w:rsidRPr="00BE78CA">
              <w:t>2.7</w:t>
            </w:r>
          </w:p>
        </w:tc>
      </w:tr>
      <w:tr w:rsidR="00706DD1" w:rsidRPr="00BE78CA" w14:paraId="1ADCEFE7" w14:textId="77777777" w:rsidTr="002D445C">
        <w:tc>
          <w:tcPr>
            <w:tcW w:w="2727" w:type="dxa"/>
            <w:shd w:val="clear" w:color="auto" w:fill="auto"/>
          </w:tcPr>
          <w:p w14:paraId="2F205932" w14:textId="77777777" w:rsidR="00706DD1" w:rsidRPr="00BE78CA" w:rsidRDefault="00706DD1" w:rsidP="00FA6180">
            <w:pPr>
              <w:pStyle w:val="TableText"/>
            </w:pPr>
            <w:r w:rsidRPr="00BE78CA">
              <w:t>Food Processing</w:t>
            </w:r>
          </w:p>
        </w:tc>
        <w:tc>
          <w:tcPr>
            <w:tcW w:w="1418" w:type="dxa"/>
            <w:shd w:val="clear" w:color="auto" w:fill="auto"/>
          </w:tcPr>
          <w:p w14:paraId="070A9987" w14:textId="42024211" w:rsidR="00706DD1" w:rsidRPr="00BE78CA" w:rsidRDefault="00706DD1" w:rsidP="00714EC7">
            <w:pPr>
              <w:pStyle w:val="TableText"/>
              <w:tabs>
                <w:tab w:val="decimal" w:pos="27"/>
              </w:tabs>
              <w:jc w:val="center"/>
            </w:pPr>
            <w:r w:rsidRPr="00BE78CA">
              <w:t>1.4</w:t>
            </w:r>
          </w:p>
        </w:tc>
        <w:tc>
          <w:tcPr>
            <w:tcW w:w="1559" w:type="dxa"/>
          </w:tcPr>
          <w:p w14:paraId="3CB072A9" w14:textId="75494B1F" w:rsidR="00706DD1" w:rsidRPr="00BE78CA" w:rsidRDefault="00706DD1" w:rsidP="00714EC7">
            <w:pPr>
              <w:pStyle w:val="TableText"/>
              <w:tabs>
                <w:tab w:val="decimal" w:pos="244"/>
              </w:tabs>
              <w:jc w:val="center"/>
            </w:pPr>
            <w:r w:rsidRPr="00BE78CA">
              <w:t>475.6</w:t>
            </w:r>
          </w:p>
        </w:tc>
        <w:tc>
          <w:tcPr>
            <w:tcW w:w="1701" w:type="dxa"/>
            <w:shd w:val="clear" w:color="auto" w:fill="auto"/>
          </w:tcPr>
          <w:p w14:paraId="582B9416" w14:textId="36E4FB7F" w:rsidR="00706DD1" w:rsidRPr="00BE78CA" w:rsidRDefault="00706DD1" w:rsidP="00714EC7">
            <w:pPr>
              <w:pStyle w:val="TableText"/>
              <w:tabs>
                <w:tab w:val="decimal" w:pos="147"/>
              </w:tabs>
              <w:jc w:val="center"/>
            </w:pPr>
            <w:r w:rsidRPr="00BE78CA">
              <w:t>243.5</w:t>
            </w:r>
          </w:p>
        </w:tc>
      </w:tr>
      <w:tr w:rsidR="00706DD1" w:rsidRPr="00BE78CA" w14:paraId="63BA069E" w14:textId="77777777" w:rsidTr="002D445C">
        <w:tc>
          <w:tcPr>
            <w:tcW w:w="2727" w:type="dxa"/>
            <w:shd w:val="clear" w:color="auto" w:fill="auto"/>
          </w:tcPr>
          <w:p w14:paraId="28EC3794" w14:textId="77777777" w:rsidR="00706DD1" w:rsidRPr="00BE78CA" w:rsidRDefault="00706DD1" w:rsidP="00FA6180">
            <w:pPr>
              <w:pStyle w:val="TableText"/>
            </w:pPr>
            <w:r w:rsidRPr="00BE78CA">
              <w:t>Textiles</w:t>
            </w:r>
          </w:p>
        </w:tc>
        <w:tc>
          <w:tcPr>
            <w:tcW w:w="1418" w:type="dxa"/>
            <w:shd w:val="clear" w:color="auto" w:fill="auto"/>
          </w:tcPr>
          <w:p w14:paraId="091CE742" w14:textId="1AF7D302" w:rsidR="00706DD1" w:rsidRPr="00BE78CA" w:rsidRDefault="00706DD1" w:rsidP="00714EC7">
            <w:pPr>
              <w:pStyle w:val="TableText"/>
              <w:tabs>
                <w:tab w:val="decimal" w:pos="27"/>
              </w:tabs>
              <w:jc w:val="center"/>
            </w:pPr>
            <w:r w:rsidRPr="00BE78CA">
              <w:t>0.9</w:t>
            </w:r>
          </w:p>
        </w:tc>
        <w:tc>
          <w:tcPr>
            <w:tcW w:w="1559" w:type="dxa"/>
          </w:tcPr>
          <w:p w14:paraId="34E0952F" w14:textId="6D37A6EA" w:rsidR="00706DD1" w:rsidRPr="00BE78CA" w:rsidRDefault="00706DD1" w:rsidP="00714EC7">
            <w:pPr>
              <w:pStyle w:val="TableText"/>
              <w:tabs>
                <w:tab w:val="decimal" w:pos="244"/>
              </w:tabs>
              <w:jc w:val="center"/>
            </w:pPr>
            <w:r w:rsidRPr="00BE78CA">
              <w:t>12.8</w:t>
            </w:r>
          </w:p>
        </w:tc>
        <w:tc>
          <w:tcPr>
            <w:tcW w:w="1701" w:type="dxa"/>
            <w:shd w:val="clear" w:color="auto" w:fill="auto"/>
          </w:tcPr>
          <w:p w14:paraId="26C80D7C" w14:textId="4B28B0C7" w:rsidR="00706DD1" w:rsidRPr="00BE78CA" w:rsidRDefault="00706DD1" w:rsidP="00714EC7">
            <w:pPr>
              <w:pStyle w:val="TableText"/>
              <w:tabs>
                <w:tab w:val="decimal" w:pos="147"/>
              </w:tabs>
              <w:jc w:val="center"/>
            </w:pPr>
            <w:r w:rsidRPr="00BE78CA">
              <w:t>158.6</w:t>
            </w:r>
          </w:p>
        </w:tc>
      </w:tr>
      <w:tr w:rsidR="00706DD1" w:rsidRPr="00BE78CA" w14:paraId="02320C96" w14:textId="77777777" w:rsidTr="002D445C">
        <w:tc>
          <w:tcPr>
            <w:tcW w:w="2727" w:type="dxa"/>
            <w:shd w:val="clear" w:color="auto" w:fill="auto"/>
          </w:tcPr>
          <w:p w14:paraId="729CBA8E" w14:textId="77777777" w:rsidR="00706DD1" w:rsidRPr="00BE78CA" w:rsidRDefault="00706DD1" w:rsidP="00FA6180">
            <w:pPr>
              <w:pStyle w:val="TableText"/>
            </w:pPr>
            <w:r w:rsidRPr="00BE78CA">
              <w:t>Wood, Pulp, Paper and Printing</w:t>
            </w:r>
          </w:p>
        </w:tc>
        <w:tc>
          <w:tcPr>
            <w:tcW w:w="1418" w:type="dxa"/>
            <w:shd w:val="clear" w:color="auto" w:fill="auto"/>
          </w:tcPr>
          <w:p w14:paraId="01ADCDA7" w14:textId="2F131276" w:rsidR="00706DD1" w:rsidRPr="00BE78CA" w:rsidRDefault="00706DD1" w:rsidP="00714EC7">
            <w:pPr>
              <w:pStyle w:val="TableText"/>
              <w:tabs>
                <w:tab w:val="decimal" w:pos="27"/>
              </w:tabs>
              <w:jc w:val="center"/>
            </w:pPr>
            <w:r w:rsidRPr="00BE78CA">
              <w:t>1.1</w:t>
            </w:r>
          </w:p>
        </w:tc>
        <w:tc>
          <w:tcPr>
            <w:tcW w:w="1559" w:type="dxa"/>
          </w:tcPr>
          <w:p w14:paraId="03B74116" w14:textId="7287DFE5" w:rsidR="00706DD1" w:rsidRPr="00BE78CA" w:rsidRDefault="00706DD1" w:rsidP="00714EC7">
            <w:pPr>
              <w:pStyle w:val="TableText"/>
              <w:tabs>
                <w:tab w:val="decimal" w:pos="244"/>
              </w:tabs>
              <w:jc w:val="center"/>
            </w:pPr>
            <w:r w:rsidRPr="00BE78CA">
              <w:t>199.5</w:t>
            </w:r>
          </w:p>
        </w:tc>
        <w:tc>
          <w:tcPr>
            <w:tcW w:w="1701" w:type="dxa"/>
            <w:shd w:val="clear" w:color="auto" w:fill="auto"/>
          </w:tcPr>
          <w:p w14:paraId="28488C10" w14:textId="1A81A808" w:rsidR="00706DD1" w:rsidRPr="00BE78CA" w:rsidRDefault="00706DD1" w:rsidP="00714EC7">
            <w:pPr>
              <w:pStyle w:val="TableText"/>
              <w:tabs>
                <w:tab w:val="decimal" w:pos="147"/>
              </w:tabs>
              <w:jc w:val="center"/>
            </w:pPr>
            <w:r w:rsidRPr="00BE78CA">
              <w:t>43.7</w:t>
            </w:r>
          </w:p>
        </w:tc>
      </w:tr>
      <w:tr w:rsidR="00706DD1" w:rsidRPr="00BE78CA" w14:paraId="4B5AC476" w14:textId="77777777" w:rsidTr="002D445C">
        <w:tc>
          <w:tcPr>
            <w:tcW w:w="2727" w:type="dxa"/>
            <w:shd w:val="clear" w:color="auto" w:fill="auto"/>
          </w:tcPr>
          <w:p w14:paraId="5519855C" w14:textId="77777777" w:rsidR="00706DD1" w:rsidRPr="00BE78CA" w:rsidRDefault="00706DD1" w:rsidP="00FA6180">
            <w:pPr>
              <w:pStyle w:val="TableText"/>
            </w:pPr>
            <w:r w:rsidRPr="00BE78CA">
              <w:t>Chemicals</w:t>
            </w:r>
          </w:p>
        </w:tc>
        <w:tc>
          <w:tcPr>
            <w:tcW w:w="1418" w:type="dxa"/>
            <w:shd w:val="clear" w:color="auto" w:fill="auto"/>
          </w:tcPr>
          <w:p w14:paraId="4F1DF8B9" w14:textId="6428E8D8" w:rsidR="00706DD1" w:rsidRPr="00BE78CA" w:rsidRDefault="00706DD1" w:rsidP="00714EC7">
            <w:pPr>
              <w:pStyle w:val="TableText"/>
              <w:tabs>
                <w:tab w:val="decimal" w:pos="27"/>
              </w:tabs>
              <w:jc w:val="center"/>
            </w:pPr>
            <w:r w:rsidRPr="00BE78CA">
              <w:t>0.2</w:t>
            </w:r>
          </w:p>
        </w:tc>
        <w:tc>
          <w:tcPr>
            <w:tcW w:w="1559" w:type="dxa"/>
          </w:tcPr>
          <w:p w14:paraId="4BDB9F48" w14:textId="22AECC2E" w:rsidR="00706DD1" w:rsidRPr="00BE78CA" w:rsidRDefault="00706DD1" w:rsidP="00714EC7">
            <w:pPr>
              <w:pStyle w:val="TableText"/>
              <w:tabs>
                <w:tab w:val="decimal" w:pos="244"/>
              </w:tabs>
              <w:jc w:val="center"/>
            </w:pPr>
            <w:r w:rsidRPr="00BE78CA">
              <w:t>36.3</w:t>
            </w:r>
          </w:p>
        </w:tc>
        <w:tc>
          <w:tcPr>
            <w:tcW w:w="1701" w:type="dxa"/>
            <w:shd w:val="clear" w:color="auto" w:fill="auto"/>
          </w:tcPr>
          <w:p w14:paraId="437A7156" w14:textId="58E3C158" w:rsidR="00706DD1" w:rsidRPr="00BE78CA" w:rsidRDefault="00706DD1" w:rsidP="00714EC7">
            <w:pPr>
              <w:pStyle w:val="TableText"/>
              <w:tabs>
                <w:tab w:val="decimal" w:pos="147"/>
              </w:tabs>
              <w:jc w:val="center"/>
            </w:pPr>
            <w:r w:rsidRPr="00BE78CA">
              <w:t>2.0</w:t>
            </w:r>
          </w:p>
        </w:tc>
      </w:tr>
      <w:tr w:rsidR="00706DD1" w:rsidRPr="00BE78CA" w14:paraId="22ADB03F" w14:textId="77777777" w:rsidTr="002D445C">
        <w:tc>
          <w:tcPr>
            <w:tcW w:w="2727" w:type="dxa"/>
            <w:shd w:val="clear" w:color="auto" w:fill="auto"/>
          </w:tcPr>
          <w:p w14:paraId="742FC2FF" w14:textId="77777777" w:rsidR="00706DD1" w:rsidRPr="00BE78CA" w:rsidRDefault="00706DD1" w:rsidP="00FA6180">
            <w:pPr>
              <w:pStyle w:val="TableText"/>
            </w:pPr>
            <w:r w:rsidRPr="00BE78CA">
              <w:t>Non-metallic Minerals</w:t>
            </w:r>
          </w:p>
        </w:tc>
        <w:tc>
          <w:tcPr>
            <w:tcW w:w="1418" w:type="dxa"/>
            <w:shd w:val="clear" w:color="auto" w:fill="auto"/>
          </w:tcPr>
          <w:p w14:paraId="6758B28F" w14:textId="43D8BBBF" w:rsidR="00706DD1" w:rsidRPr="00BE78CA" w:rsidRDefault="00706DD1" w:rsidP="00714EC7">
            <w:pPr>
              <w:pStyle w:val="TableText"/>
              <w:tabs>
                <w:tab w:val="decimal" w:pos="27"/>
              </w:tabs>
              <w:jc w:val="center"/>
            </w:pPr>
            <w:r w:rsidRPr="00BE78CA">
              <w:t>0.7</w:t>
            </w:r>
          </w:p>
        </w:tc>
        <w:tc>
          <w:tcPr>
            <w:tcW w:w="1559" w:type="dxa"/>
          </w:tcPr>
          <w:p w14:paraId="50C716F4" w14:textId="6C59561F" w:rsidR="00706DD1" w:rsidRPr="00BE78CA" w:rsidRDefault="00706DD1" w:rsidP="00714EC7">
            <w:pPr>
              <w:pStyle w:val="TableText"/>
              <w:tabs>
                <w:tab w:val="decimal" w:pos="244"/>
              </w:tabs>
              <w:jc w:val="center"/>
            </w:pPr>
            <w:r w:rsidRPr="00BE78CA">
              <w:t>587.4</w:t>
            </w:r>
          </w:p>
        </w:tc>
        <w:tc>
          <w:tcPr>
            <w:tcW w:w="1701" w:type="dxa"/>
            <w:shd w:val="clear" w:color="auto" w:fill="auto"/>
          </w:tcPr>
          <w:p w14:paraId="00C863EA" w14:textId="3C77C2B5" w:rsidR="00706DD1" w:rsidRPr="00BE78CA" w:rsidRDefault="00706DD1" w:rsidP="00714EC7">
            <w:pPr>
              <w:pStyle w:val="TableText"/>
              <w:tabs>
                <w:tab w:val="decimal" w:pos="147"/>
              </w:tabs>
              <w:jc w:val="center"/>
            </w:pPr>
            <w:r w:rsidRPr="00BE78CA">
              <w:t>263.9</w:t>
            </w:r>
          </w:p>
        </w:tc>
      </w:tr>
      <w:tr w:rsidR="00706DD1" w:rsidRPr="00BE78CA" w14:paraId="6BEA18CB" w14:textId="77777777" w:rsidTr="002D445C">
        <w:tc>
          <w:tcPr>
            <w:tcW w:w="2727" w:type="dxa"/>
            <w:shd w:val="clear" w:color="auto" w:fill="auto"/>
          </w:tcPr>
          <w:p w14:paraId="7C4F291E" w14:textId="77777777" w:rsidR="00706DD1" w:rsidRPr="00BE78CA" w:rsidRDefault="00706DD1" w:rsidP="00FA6180">
            <w:pPr>
              <w:pStyle w:val="TableText"/>
            </w:pPr>
            <w:r w:rsidRPr="00BE78CA">
              <w:t>Basic Metals</w:t>
            </w:r>
          </w:p>
        </w:tc>
        <w:tc>
          <w:tcPr>
            <w:tcW w:w="1418" w:type="dxa"/>
            <w:shd w:val="clear" w:color="auto" w:fill="auto"/>
          </w:tcPr>
          <w:p w14:paraId="03E94D24" w14:textId="0806153C" w:rsidR="00706DD1" w:rsidRPr="00BE78CA" w:rsidRDefault="00706DD1" w:rsidP="00714EC7">
            <w:pPr>
              <w:pStyle w:val="TableText"/>
              <w:tabs>
                <w:tab w:val="decimal" w:pos="27"/>
              </w:tabs>
              <w:jc w:val="center"/>
            </w:pPr>
            <w:r w:rsidRPr="00BE78CA">
              <w:t>1.2</w:t>
            </w:r>
          </w:p>
        </w:tc>
        <w:tc>
          <w:tcPr>
            <w:tcW w:w="1559" w:type="dxa"/>
          </w:tcPr>
          <w:p w14:paraId="284102DF" w14:textId="1DDF8C1D" w:rsidR="00706DD1" w:rsidRPr="00BE78CA" w:rsidRDefault="00706DD1" w:rsidP="00714EC7">
            <w:pPr>
              <w:pStyle w:val="TableText"/>
              <w:tabs>
                <w:tab w:val="decimal" w:pos="244"/>
              </w:tabs>
              <w:jc w:val="center"/>
            </w:pPr>
            <w:r w:rsidRPr="00BE78CA">
              <w:t>88.1</w:t>
            </w:r>
          </w:p>
        </w:tc>
        <w:tc>
          <w:tcPr>
            <w:tcW w:w="1701" w:type="dxa"/>
            <w:shd w:val="clear" w:color="auto" w:fill="auto"/>
          </w:tcPr>
          <w:p w14:paraId="6117DF9B" w14:textId="6F655907" w:rsidR="00706DD1" w:rsidRPr="00BE78CA" w:rsidRDefault="00706DD1" w:rsidP="00714EC7">
            <w:pPr>
              <w:pStyle w:val="TableText"/>
              <w:tabs>
                <w:tab w:val="decimal" w:pos="147"/>
              </w:tabs>
              <w:jc w:val="center"/>
            </w:pPr>
            <w:r w:rsidRPr="00BE78CA">
              <w:t>0.4</w:t>
            </w:r>
          </w:p>
        </w:tc>
      </w:tr>
      <w:tr w:rsidR="00706DD1" w:rsidRPr="00BE78CA" w14:paraId="48B10B33" w14:textId="77777777" w:rsidTr="002D445C">
        <w:tc>
          <w:tcPr>
            <w:tcW w:w="2727" w:type="dxa"/>
            <w:shd w:val="clear" w:color="auto" w:fill="auto"/>
          </w:tcPr>
          <w:p w14:paraId="0EC61BA2" w14:textId="77777777" w:rsidR="00706DD1" w:rsidRPr="00BE78CA" w:rsidRDefault="00706DD1" w:rsidP="00FA6180">
            <w:pPr>
              <w:pStyle w:val="TableText"/>
            </w:pPr>
            <w:r w:rsidRPr="00BE78CA">
              <w:t>Mechanical/Electrical Equipment</w:t>
            </w:r>
          </w:p>
        </w:tc>
        <w:tc>
          <w:tcPr>
            <w:tcW w:w="1418" w:type="dxa"/>
            <w:shd w:val="clear" w:color="auto" w:fill="auto"/>
          </w:tcPr>
          <w:p w14:paraId="611EE14D" w14:textId="35706CD7" w:rsidR="00706DD1" w:rsidRPr="00BE78CA" w:rsidRDefault="00706DD1" w:rsidP="00714EC7">
            <w:pPr>
              <w:pStyle w:val="TableText"/>
              <w:tabs>
                <w:tab w:val="decimal" w:pos="27"/>
              </w:tabs>
              <w:jc w:val="center"/>
            </w:pPr>
            <w:r w:rsidRPr="00BE78CA">
              <w:t>2.6</w:t>
            </w:r>
          </w:p>
        </w:tc>
        <w:tc>
          <w:tcPr>
            <w:tcW w:w="1559" w:type="dxa"/>
          </w:tcPr>
          <w:p w14:paraId="78B643CD" w14:textId="34A3E840" w:rsidR="00706DD1" w:rsidRPr="00BE78CA" w:rsidRDefault="00706DD1" w:rsidP="00714EC7">
            <w:pPr>
              <w:pStyle w:val="TableText"/>
              <w:tabs>
                <w:tab w:val="decimal" w:pos="244"/>
              </w:tabs>
              <w:jc w:val="center"/>
            </w:pPr>
            <w:r w:rsidRPr="00BE78CA">
              <w:t>23.6</w:t>
            </w:r>
          </w:p>
        </w:tc>
        <w:tc>
          <w:tcPr>
            <w:tcW w:w="1701" w:type="dxa"/>
            <w:shd w:val="clear" w:color="auto" w:fill="auto"/>
          </w:tcPr>
          <w:p w14:paraId="035400D8" w14:textId="34612B43" w:rsidR="00706DD1" w:rsidRPr="00BE78CA" w:rsidRDefault="00706DD1" w:rsidP="00714EC7">
            <w:pPr>
              <w:pStyle w:val="TableText"/>
              <w:tabs>
                <w:tab w:val="decimal" w:pos="147"/>
              </w:tabs>
              <w:jc w:val="center"/>
            </w:pPr>
            <w:r w:rsidRPr="00BE78CA">
              <w:t>0.9</w:t>
            </w:r>
          </w:p>
        </w:tc>
      </w:tr>
      <w:tr w:rsidR="00706DD1" w:rsidRPr="00BE78CA" w14:paraId="5786D295" w14:textId="77777777" w:rsidTr="002D445C">
        <w:tc>
          <w:tcPr>
            <w:tcW w:w="2727" w:type="dxa"/>
            <w:shd w:val="clear" w:color="auto" w:fill="auto"/>
          </w:tcPr>
          <w:p w14:paraId="4B078E3A" w14:textId="77777777" w:rsidR="00706DD1" w:rsidRPr="00BE78CA" w:rsidRDefault="00706DD1" w:rsidP="00FA6180">
            <w:pPr>
              <w:pStyle w:val="TableText"/>
            </w:pPr>
            <w:r w:rsidRPr="00BE78CA">
              <w:t>Industry Unallocated</w:t>
            </w:r>
          </w:p>
        </w:tc>
        <w:tc>
          <w:tcPr>
            <w:tcW w:w="1418" w:type="dxa"/>
            <w:shd w:val="clear" w:color="auto" w:fill="auto"/>
          </w:tcPr>
          <w:p w14:paraId="7BE82AB9" w14:textId="4B0CA475" w:rsidR="00706DD1" w:rsidRPr="00BE78CA" w:rsidRDefault="00706DD1" w:rsidP="00714EC7">
            <w:pPr>
              <w:pStyle w:val="TableText"/>
              <w:tabs>
                <w:tab w:val="decimal" w:pos="27"/>
              </w:tabs>
              <w:jc w:val="center"/>
            </w:pPr>
            <w:r w:rsidRPr="00BE78CA">
              <w:t>0.7</w:t>
            </w:r>
          </w:p>
        </w:tc>
        <w:tc>
          <w:tcPr>
            <w:tcW w:w="1559" w:type="dxa"/>
          </w:tcPr>
          <w:p w14:paraId="14BBEB61" w14:textId="1900597E" w:rsidR="00706DD1" w:rsidRPr="00BE78CA" w:rsidRDefault="00706DD1" w:rsidP="00714EC7">
            <w:pPr>
              <w:pStyle w:val="TableText"/>
              <w:tabs>
                <w:tab w:val="decimal" w:pos="244"/>
              </w:tabs>
              <w:jc w:val="center"/>
            </w:pPr>
            <w:r w:rsidRPr="00BE78CA">
              <w:t>2.7</w:t>
            </w:r>
          </w:p>
        </w:tc>
        <w:tc>
          <w:tcPr>
            <w:tcW w:w="1701" w:type="dxa"/>
            <w:shd w:val="clear" w:color="auto" w:fill="auto"/>
          </w:tcPr>
          <w:p w14:paraId="08419892" w14:textId="71603722" w:rsidR="00706DD1" w:rsidRPr="00BE78CA" w:rsidRDefault="00706DD1" w:rsidP="00714EC7">
            <w:pPr>
              <w:pStyle w:val="TableText"/>
              <w:tabs>
                <w:tab w:val="decimal" w:pos="147"/>
              </w:tabs>
              <w:jc w:val="center"/>
            </w:pPr>
            <w:r w:rsidRPr="00BE78CA">
              <w:t>0.5</w:t>
            </w:r>
          </w:p>
        </w:tc>
      </w:tr>
    </w:tbl>
    <w:p w14:paraId="226C15A9" w14:textId="77777777" w:rsidR="00706DD1" w:rsidRPr="00BE78CA" w:rsidRDefault="00706DD1" w:rsidP="002D445C">
      <w:pPr>
        <w:pStyle w:val="BodyText"/>
        <w:spacing w:before="240"/>
        <w:rPr>
          <w:rFonts w:cs="Calibri"/>
        </w:rPr>
      </w:pPr>
      <w:r w:rsidRPr="00BE78CA">
        <w:rPr>
          <w:rFonts w:cs="Calibri"/>
        </w:rPr>
        <w:t>By disaggregating into categories, more accurate estimates of stationary versus mobile combustion for diesel were also able to be made, resulting in small changes to the emissions from manufacturing industries and construction.</w:t>
      </w:r>
    </w:p>
    <w:p w14:paraId="2787BA9B" w14:textId="386225CD" w:rsidR="00706DD1" w:rsidRPr="00BE78CA" w:rsidRDefault="00706DD1" w:rsidP="00706DD1">
      <w:pPr>
        <w:pStyle w:val="BodyText"/>
        <w:rPr>
          <w:rFonts w:cs="Calibri"/>
        </w:rPr>
      </w:pPr>
      <w:r w:rsidRPr="00BE78CA">
        <w:rPr>
          <w:rFonts w:cs="Calibri"/>
        </w:rPr>
        <w:t xml:space="preserve">Disaggregating the </w:t>
      </w:r>
      <w:r w:rsidRPr="00BE78CA">
        <w:rPr>
          <w:rFonts w:cs="Calibri"/>
          <w:i/>
        </w:rPr>
        <w:t>Manufacturing industries and construction</w:t>
      </w:r>
      <w:r w:rsidRPr="00BE78CA">
        <w:rPr>
          <w:rFonts w:cs="Calibri"/>
        </w:rPr>
        <w:t xml:space="preserve"> category for solid fuels, solid biomass, gasoline and diesel has led to a significant decrease in the </w:t>
      </w:r>
      <w:r w:rsidRPr="00BE78CA">
        <w:rPr>
          <w:rFonts w:cs="Calibri"/>
          <w:i/>
        </w:rPr>
        <w:t>Other – not specified</w:t>
      </w:r>
      <w:r w:rsidRPr="00BE78CA">
        <w:rPr>
          <w:rFonts w:cs="Calibri"/>
        </w:rPr>
        <w:t xml:space="preserve"> category (1.A.2.g) under </w:t>
      </w:r>
      <w:r w:rsidRPr="00BE78CA">
        <w:rPr>
          <w:rFonts w:cs="Calibri"/>
          <w:i/>
        </w:rPr>
        <w:t>Manufacturing industries and construction</w:t>
      </w:r>
      <w:r w:rsidRPr="00BE78CA">
        <w:rPr>
          <w:rFonts w:cs="Calibri"/>
        </w:rPr>
        <w:t>. The proportions are shown in </w:t>
      </w:r>
      <w:r w:rsidRPr="00BE78CA">
        <w:rPr>
          <w:rFonts w:cs="Calibri"/>
        </w:rPr>
        <w:fldChar w:fldCharType="begin"/>
      </w:r>
      <w:r w:rsidRPr="00BE78CA">
        <w:rPr>
          <w:rFonts w:cs="Calibri"/>
        </w:rPr>
        <w:instrText xml:space="preserve"> REF _Ref445300349 \* lower \h  \* MERGEFORMAT </w:instrText>
      </w:r>
      <w:r w:rsidRPr="00BE78CA">
        <w:rPr>
          <w:rFonts w:cs="Calibri"/>
        </w:rPr>
      </w:r>
      <w:r w:rsidRPr="00BE78CA">
        <w:rPr>
          <w:rFonts w:cs="Calibri"/>
        </w:rPr>
        <w:fldChar w:fldCharType="separate"/>
      </w:r>
      <w:r w:rsidR="00B94D2F" w:rsidRPr="00B94D2F">
        <w:rPr>
          <w:rFonts w:cs="Calibri"/>
        </w:rPr>
        <w:t>figure 3.3.8</w:t>
      </w:r>
      <w:r w:rsidRPr="00BE78CA">
        <w:rPr>
          <w:rFonts w:cs="Calibri"/>
        </w:rPr>
        <w:fldChar w:fldCharType="end"/>
      </w:r>
      <w:r w:rsidRPr="00BE78CA">
        <w:rPr>
          <w:rFonts w:cs="Calibri"/>
        </w:rPr>
        <w:t xml:space="preserve">, </w:t>
      </w:r>
      <w:r w:rsidRPr="00BE78CA">
        <w:rPr>
          <w:rFonts w:cs="Calibri"/>
        </w:rPr>
        <w:fldChar w:fldCharType="begin"/>
      </w:r>
      <w:r w:rsidRPr="00BE78CA">
        <w:rPr>
          <w:rFonts w:cs="Calibri"/>
        </w:rPr>
        <w:instrText xml:space="preserve"> REF _Ref445300362 \* lower \h  \* MERGEFORMAT </w:instrText>
      </w:r>
      <w:r w:rsidRPr="00BE78CA">
        <w:rPr>
          <w:rFonts w:cs="Calibri"/>
        </w:rPr>
      </w:r>
      <w:r w:rsidRPr="00BE78CA">
        <w:rPr>
          <w:rFonts w:cs="Calibri"/>
        </w:rPr>
        <w:fldChar w:fldCharType="separate"/>
      </w:r>
      <w:r w:rsidR="00B94D2F" w:rsidRPr="00B94D2F">
        <w:rPr>
          <w:rFonts w:cs="Calibri"/>
        </w:rPr>
        <w:t>figure 3.3.9</w:t>
      </w:r>
      <w:r w:rsidRPr="00BE78CA">
        <w:rPr>
          <w:rFonts w:cs="Calibri"/>
        </w:rPr>
        <w:fldChar w:fldCharType="end"/>
      </w:r>
      <w:r w:rsidRPr="00BE78CA">
        <w:rPr>
          <w:rFonts w:cs="Calibri"/>
        </w:rPr>
        <w:t xml:space="preserve"> and </w:t>
      </w:r>
      <w:r w:rsidRPr="00BE78CA">
        <w:rPr>
          <w:rFonts w:cs="Calibri"/>
        </w:rPr>
        <w:fldChar w:fldCharType="begin"/>
      </w:r>
      <w:r w:rsidRPr="00BE78CA">
        <w:rPr>
          <w:rFonts w:cs="Calibri"/>
        </w:rPr>
        <w:instrText xml:space="preserve"> REF  _Ref445300369 \* Lower \h  \* MERGEFORMAT </w:instrText>
      </w:r>
      <w:r w:rsidRPr="00BE78CA">
        <w:rPr>
          <w:rFonts w:cs="Calibri"/>
        </w:rPr>
      </w:r>
      <w:r w:rsidRPr="00BE78CA">
        <w:rPr>
          <w:rFonts w:cs="Calibri"/>
        </w:rPr>
        <w:fldChar w:fldCharType="separate"/>
      </w:r>
      <w:r w:rsidR="00B94D2F" w:rsidRPr="00B94D2F">
        <w:rPr>
          <w:rFonts w:cs="Calibri"/>
        </w:rPr>
        <w:t>figure 3.3.10</w:t>
      </w:r>
      <w:r w:rsidRPr="00BE78CA">
        <w:rPr>
          <w:rFonts w:cs="Calibri"/>
        </w:rPr>
        <w:fldChar w:fldCharType="end"/>
      </w:r>
      <w:r w:rsidRPr="00BE78CA">
        <w:rPr>
          <w:rFonts w:cs="Calibri"/>
        </w:rPr>
        <w:t>.</w:t>
      </w:r>
    </w:p>
    <w:p w14:paraId="516B66A1" w14:textId="3E87F445" w:rsidR="00706DD1" w:rsidRPr="00BE78CA" w:rsidRDefault="00706DD1" w:rsidP="002D445C">
      <w:pPr>
        <w:pStyle w:val="Figure"/>
        <w:rPr>
          <w:rFonts w:cs="Calibri"/>
        </w:rPr>
      </w:pPr>
      <w:bookmarkStart w:id="309" w:name="_Ref445300349"/>
      <w:bookmarkStart w:id="310" w:name="_Toc36292777"/>
      <w:bookmarkStart w:id="311" w:name="_Toc321399330"/>
      <w:bookmarkStart w:id="312" w:name="_Toc384582858"/>
      <w:bookmarkStart w:id="313" w:name="_Toc443060818"/>
      <w:bookmarkStart w:id="314" w:name="_Toc447275675"/>
      <w:bookmarkStart w:id="315" w:name="_Toc481751993"/>
      <w:bookmarkStart w:id="316" w:name="_Toc68786642"/>
      <w:r w:rsidRPr="00BE78CA">
        <w:lastRenderedPageBreak/>
        <w:t>Figure 3.3.</w:t>
      </w:r>
      <w:r w:rsidR="00087879">
        <w:fldChar w:fldCharType="begin"/>
      </w:r>
      <w:r w:rsidR="00087879">
        <w:instrText xml:space="preserve"> SEQ Figure \* ARABIC \s 2 </w:instrText>
      </w:r>
      <w:r w:rsidR="00087879">
        <w:fldChar w:fldCharType="separate"/>
      </w:r>
      <w:r w:rsidR="00B94D2F">
        <w:rPr>
          <w:noProof/>
        </w:rPr>
        <w:t>8</w:t>
      </w:r>
      <w:r w:rsidR="00087879">
        <w:rPr>
          <w:noProof/>
        </w:rPr>
        <w:fldChar w:fldCharType="end"/>
      </w:r>
      <w:bookmarkEnd w:id="309"/>
      <w:r w:rsidRPr="00BE78CA">
        <w:t xml:space="preserve"> </w:t>
      </w:r>
      <w:r w:rsidRPr="00BE78CA">
        <w:tab/>
        <w:t>Proportions used for Manufacturing industries and construction category</w:t>
      </w:r>
      <w:r w:rsidR="000B79DF" w:rsidRPr="00BE78CA">
        <w:t xml:space="preserve"> </w:t>
      </w:r>
      <w:r w:rsidRPr="00BE78CA">
        <w:t>–</w:t>
      </w:r>
      <w:r w:rsidR="000B79DF" w:rsidRPr="00BE78CA">
        <w:t> </w:t>
      </w:r>
      <w:r w:rsidRPr="00BE78CA">
        <w:t>Gasoline (1990–2019)</w:t>
      </w:r>
      <w:bookmarkEnd w:id="310"/>
      <w:bookmarkEnd w:id="311"/>
      <w:bookmarkEnd w:id="312"/>
      <w:bookmarkEnd w:id="313"/>
      <w:bookmarkEnd w:id="314"/>
      <w:bookmarkEnd w:id="315"/>
      <w:bookmarkEnd w:id="316"/>
    </w:p>
    <w:p w14:paraId="204D0DA6" w14:textId="77777777" w:rsidR="00706DD1" w:rsidRPr="00BE78CA" w:rsidRDefault="00706DD1" w:rsidP="005B612C">
      <w:pPr>
        <w:pStyle w:val="BodyText"/>
      </w:pPr>
      <w:r w:rsidRPr="00BE78CA">
        <w:rPr>
          <w:noProof/>
        </w:rPr>
        <w:drawing>
          <wp:inline distT="0" distB="0" distL="0" distR="0" wp14:anchorId="5ECB5051" wp14:editId="41BDDDE0">
            <wp:extent cx="5400040" cy="2570672"/>
            <wp:effectExtent l="0" t="0" r="0" b="1270"/>
            <wp:docPr id="31" name="Picture 31" descr="M:\Energy Information\Projects\Greenhouse Gases\National Inventory\2021 UNFCCC GHG Submission\NIR-graphs\output\fig_3_3_8_manufacturing_splits_petr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Energy Information\Projects\Greenhouse Gases\National Inventory\2021 UNFCCC GHG Submission\NIR-graphs\output\fig_3_3_8_manufacturing_splits_petrol.pn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b="4791"/>
                    <a:stretch/>
                  </pic:blipFill>
                  <pic:spPr bwMode="auto">
                    <a:xfrm>
                      <a:off x="0" y="0"/>
                      <a:ext cx="5400040" cy="2570672"/>
                    </a:xfrm>
                    <a:prstGeom prst="rect">
                      <a:avLst/>
                    </a:prstGeom>
                    <a:noFill/>
                    <a:ln>
                      <a:noFill/>
                    </a:ln>
                    <a:extLst>
                      <a:ext uri="{53640926-AAD7-44D8-BBD7-CCE9431645EC}">
                        <a14:shadowObscured xmlns:a14="http://schemas.microsoft.com/office/drawing/2010/main"/>
                      </a:ext>
                    </a:extLst>
                  </pic:spPr>
                </pic:pic>
              </a:graphicData>
            </a:graphic>
          </wp:inline>
        </w:drawing>
      </w:r>
    </w:p>
    <w:p w14:paraId="47116701" w14:textId="5B57DE75" w:rsidR="00706DD1" w:rsidRPr="00BE78CA" w:rsidRDefault="00706DD1" w:rsidP="005B612C">
      <w:pPr>
        <w:pStyle w:val="Figure"/>
      </w:pPr>
      <w:bookmarkStart w:id="317" w:name="_Ref445300362"/>
      <w:bookmarkStart w:id="318" w:name="_Toc321399331"/>
      <w:bookmarkStart w:id="319" w:name="_Toc384582859"/>
      <w:bookmarkStart w:id="320" w:name="_Toc443060819"/>
      <w:bookmarkStart w:id="321" w:name="_Toc447275676"/>
      <w:bookmarkStart w:id="322" w:name="_Toc481751994"/>
      <w:bookmarkStart w:id="323" w:name="_Toc36292778"/>
      <w:bookmarkStart w:id="324" w:name="_Toc68786643"/>
      <w:r w:rsidRPr="00BE78CA">
        <w:t>Figure 3.3.</w:t>
      </w:r>
      <w:r w:rsidR="00087879">
        <w:fldChar w:fldCharType="begin"/>
      </w:r>
      <w:r w:rsidR="00087879">
        <w:instrText xml:space="preserve"> SEQ Figure \* ARABIC \s 2 </w:instrText>
      </w:r>
      <w:r w:rsidR="00087879">
        <w:fldChar w:fldCharType="separate"/>
      </w:r>
      <w:r w:rsidR="00B94D2F">
        <w:rPr>
          <w:noProof/>
        </w:rPr>
        <w:t>9</w:t>
      </w:r>
      <w:r w:rsidR="00087879">
        <w:rPr>
          <w:noProof/>
        </w:rPr>
        <w:fldChar w:fldCharType="end"/>
      </w:r>
      <w:bookmarkEnd w:id="317"/>
      <w:r w:rsidRPr="00BE78CA">
        <w:t xml:space="preserve"> </w:t>
      </w:r>
      <w:r w:rsidRPr="00BE78CA">
        <w:tab/>
      </w:r>
      <w:bookmarkStart w:id="325" w:name="_Hlk66695051"/>
      <w:r w:rsidRPr="00BE78CA">
        <w:t>Proportions used for Manufacturing industries and construction category</w:t>
      </w:r>
      <w:r w:rsidR="000B79DF" w:rsidRPr="00BE78CA">
        <w:t xml:space="preserve"> </w:t>
      </w:r>
      <w:r w:rsidRPr="00BE78CA">
        <w:t>–</w:t>
      </w:r>
      <w:r w:rsidR="000B79DF" w:rsidRPr="00BE78CA">
        <w:t> </w:t>
      </w:r>
      <w:r w:rsidRPr="00BE78CA">
        <w:t xml:space="preserve">Diesel </w:t>
      </w:r>
      <w:bookmarkEnd w:id="318"/>
      <w:bookmarkEnd w:id="319"/>
      <w:bookmarkEnd w:id="320"/>
      <w:bookmarkEnd w:id="321"/>
      <w:bookmarkEnd w:id="322"/>
      <w:r w:rsidRPr="00BE78CA">
        <w:t>(1990–2019)</w:t>
      </w:r>
      <w:bookmarkEnd w:id="323"/>
      <w:bookmarkEnd w:id="324"/>
      <w:bookmarkEnd w:id="325"/>
    </w:p>
    <w:p w14:paraId="01A97911" w14:textId="77777777" w:rsidR="00706DD1" w:rsidRPr="00BE78CA" w:rsidRDefault="00706DD1" w:rsidP="00706DD1">
      <w:pPr>
        <w:pStyle w:val="BodyText"/>
        <w:rPr>
          <w:rFonts w:cs="Calibri"/>
        </w:rPr>
      </w:pPr>
      <w:r w:rsidRPr="00BE78CA">
        <w:rPr>
          <w:rFonts w:cs="Calibri"/>
          <w:noProof/>
        </w:rPr>
        <w:drawing>
          <wp:inline distT="0" distB="0" distL="0" distR="0" wp14:anchorId="64E887A5" wp14:editId="3C0DF75B">
            <wp:extent cx="5400040" cy="2562045"/>
            <wp:effectExtent l="0" t="0" r="0" b="0"/>
            <wp:docPr id="32" name="Picture 32" descr="M:\Energy Information\Projects\Greenhouse Gases\National Inventory\2021 UNFCCC GHG Submission\NIR-graphs\output\fig_3_3_9_manufacturing_splits_dies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Energy Information\Projects\Greenhouse Gases\National Inventory\2021 UNFCCC GHG Submission\NIR-graphs\output\fig_3_3_9_manufacturing_splits_diesel.pn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b="5110"/>
                    <a:stretch/>
                  </pic:blipFill>
                  <pic:spPr bwMode="auto">
                    <a:xfrm>
                      <a:off x="0" y="0"/>
                      <a:ext cx="5400040" cy="2562045"/>
                    </a:xfrm>
                    <a:prstGeom prst="rect">
                      <a:avLst/>
                    </a:prstGeom>
                    <a:noFill/>
                    <a:ln>
                      <a:noFill/>
                    </a:ln>
                    <a:extLst>
                      <a:ext uri="{53640926-AAD7-44D8-BBD7-CCE9431645EC}">
                        <a14:shadowObscured xmlns:a14="http://schemas.microsoft.com/office/drawing/2010/main"/>
                      </a:ext>
                    </a:extLst>
                  </pic:spPr>
                </pic:pic>
              </a:graphicData>
            </a:graphic>
          </wp:inline>
        </w:drawing>
      </w:r>
    </w:p>
    <w:p w14:paraId="68ADA279" w14:textId="4FEE2989" w:rsidR="00706DD1" w:rsidRPr="00BE78CA" w:rsidRDefault="00706DD1" w:rsidP="005B612C">
      <w:pPr>
        <w:pStyle w:val="Figure"/>
      </w:pPr>
      <w:bookmarkStart w:id="326" w:name="_Ref445300369"/>
      <w:bookmarkStart w:id="327" w:name="_Toc384582860"/>
      <w:bookmarkStart w:id="328" w:name="_Toc443060820"/>
      <w:bookmarkStart w:id="329" w:name="_Toc447275677"/>
      <w:bookmarkStart w:id="330" w:name="_Toc481751995"/>
      <w:bookmarkStart w:id="331" w:name="_Toc36292779"/>
      <w:bookmarkStart w:id="332" w:name="_Toc68786644"/>
      <w:r w:rsidRPr="00BE78CA">
        <w:t>Figure 3.3.</w:t>
      </w:r>
      <w:r w:rsidR="00087879">
        <w:fldChar w:fldCharType="begin"/>
      </w:r>
      <w:r w:rsidR="00087879">
        <w:instrText xml:space="preserve"> SEQ Figure \* ARABIC \s 2 </w:instrText>
      </w:r>
      <w:r w:rsidR="00087879">
        <w:fldChar w:fldCharType="separate"/>
      </w:r>
      <w:r w:rsidR="00B94D2F">
        <w:rPr>
          <w:noProof/>
        </w:rPr>
        <w:t>10</w:t>
      </w:r>
      <w:r w:rsidR="00087879">
        <w:rPr>
          <w:noProof/>
        </w:rPr>
        <w:fldChar w:fldCharType="end"/>
      </w:r>
      <w:bookmarkEnd w:id="326"/>
      <w:r w:rsidRPr="00BE78CA">
        <w:t xml:space="preserve"> </w:t>
      </w:r>
      <w:r w:rsidRPr="00BE78CA">
        <w:tab/>
        <w:t>Proportions used for Manufacturing industries and construction category</w:t>
      </w:r>
      <w:r w:rsidR="000B79DF" w:rsidRPr="00BE78CA">
        <w:t xml:space="preserve"> </w:t>
      </w:r>
      <w:r w:rsidRPr="00BE78CA">
        <w:t>–</w:t>
      </w:r>
      <w:r w:rsidR="000B79DF" w:rsidRPr="00BE78CA">
        <w:t> </w:t>
      </w:r>
      <w:r w:rsidRPr="00BE78CA">
        <w:t xml:space="preserve">Fuel oil </w:t>
      </w:r>
      <w:bookmarkEnd w:id="327"/>
      <w:bookmarkEnd w:id="328"/>
      <w:bookmarkEnd w:id="329"/>
      <w:bookmarkEnd w:id="330"/>
      <w:r w:rsidRPr="00BE78CA">
        <w:t>(1990–2019)</w:t>
      </w:r>
      <w:bookmarkEnd w:id="331"/>
      <w:bookmarkEnd w:id="332"/>
    </w:p>
    <w:p w14:paraId="683EF497" w14:textId="77777777" w:rsidR="00706DD1" w:rsidRPr="00BE78CA" w:rsidRDefault="00706DD1" w:rsidP="00706DD1">
      <w:pPr>
        <w:pStyle w:val="BodyText"/>
        <w:spacing w:before="60"/>
        <w:rPr>
          <w:rFonts w:cs="Calibri"/>
        </w:rPr>
      </w:pPr>
      <w:r w:rsidRPr="00BE78CA">
        <w:rPr>
          <w:rFonts w:cs="Calibri"/>
          <w:noProof/>
        </w:rPr>
        <w:drawing>
          <wp:inline distT="0" distB="0" distL="0" distR="0" wp14:anchorId="2AFCEF09" wp14:editId="66789350">
            <wp:extent cx="5400040" cy="2553418"/>
            <wp:effectExtent l="0" t="0" r="0" b="0"/>
            <wp:docPr id="33" name="Picture 33" descr="M:\Energy Information\Projects\Greenhouse Gases\National Inventory\2021 UNFCCC GHG Submission\NIR-graphs\output\fig_3_3_10_manufacturing_splits_fuel_o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Energy Information\Projects\Greenhouse Gases\National Inventory\2021 UNFCCC GHG Submission\NIR-graphs\output\fig_3_3_10_manufacturing_splits_fuel_oil.pn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b="5430"/>
                    <a:stretch/>
                  </pic:blipFill>
                  <pic:spPr bwMode="auto">
                    <a:xfrm>
                      <a:off x="0" y="0"/>
                      <a:ext cx="5400040" cy="2553418"/>
                    </a:xfrm>
                    <a:prstGeom prst="rect">
                      <a:avLst/>
                    </a:prstGeom>
                    <a:noFill/>
                    <a:ln>
                      <a:noFill/>
                    </a:ln>
                    <a:extLst>
                      <a:ext uri="{53640926-AAD7-44D8-BBD7-CCE9431645EC}">
                        <a14:shadowObscured xmlns:a14="http://schemas.microsoft.com/office/drawing/2010/main"/>
                      </a:ext>
                    </a:extLst>
                  </pic:spPr>
                </pic:pic>
              </a:graphicData>
            </a:graphic>
          </wp:inline>
        </w:drawing>
      </w:r>
    </w:p>
    <w:p w14:paraId="523A2FA1" w14:textId="77777777" w:rsidR="00706DD1" w:rsidRPr="00BE78CA" w:rsidRDefault="00706DD1" w:rsidP="00706DD1">
      <w:pPr>
        <w:pStyle w:val="Heading5"/>
        <w:rPr>
          <w:rFonts w:cs="Calibri"/>
        </w:rPr>
      </w:pPr>
      <w:r w:rsidRPr="00BE78CA">
        <w:rPr>
          <w:rFonts w:cs="Calibri"/>
        </w:rPr>
        <w:lastRenderedPageBreak/>
        <w:t>Gaseous fuels</w:t>
      </w:r>
    </w:p>
    <w:p w14:paraId="1D42071C" w14:textId="77777777" w:rsidR="00706DD1" w:rsidRPr="00BE78CA" w:rsidRDefault="00706DD1" w:rsidP="00FF29B8">
      <w:pPr>
        <w:pStyle w:val="BodyText"/>
        <w:spacing w:before="80" w:after="100"/>
        <w:rPr>
          <w:rFonts w:cs="Calibri"/>
        </w:rPr>
      </w:pPr>
      <w:r w:rsidRPr="00BE78CA">
        <w:rPr>
          <w:rFonts w:cs="Calibri"/>
        </w:rPr>
        <w:t>Annual natural gas consumption statistics are published by MBIE. A review of the allocation of natural gas consumption data was undertaken in 2011 by MBIE. The purpose of this review was to address time-series discontinuities in the sectoral breakdown for some sectors prior to 2006. Several inconsistencies in sector reporting were found, along with a considerable amount of missing data for sectoral breakdowns. Inconsistencies from 2003 to 2005 were due to changing surveys over time. Inconsistencies or missing data prior to 2003 were re</w:t>
      </w:r>
      <w:r w:rsidRPr="00BE78CA">
        <w:rPr>
          <w:rFonts w:cs="Calibri"/>
        </w:rPr>
        <w:noBreakHyphen/>
        <w:t>worked and re-estimated. These missing data comprised around 40 per cent of total natural gas use (which was not altered at a total level but only reallocated by sector).</w:t>
      </w:r>
    </w:p>
    <w:p w14:paraId="09178BED" w14:textId="77777777" w:rsidR="00706DD1" w:rsidRPr="00BE78CA" w:rsidRDefault="00706DD1" w:rsidP="00FF29B8">
      <w:pPr>
        <w:pStyle w:val="BodyText"/>
        <w:spacing w:after="100"/>
      </w:pPr>
      <w:r w:rsidRPr="00BE78CA">
        <w:t>Where necessary, new estimates of gas consumption were made, depending on data availability. The chosen data source in order of preference was as follows.</w:t>
      </w:r>
    </w:p>
    <w:p w14:paraId="675FB2E6" w14:textId="77777777" w:rsidR="00706DD1" w:rsidRPr="00BE78CA" w:rsidRDefault="00706DD1" w:rsidP="00FF29B8">
      <w:pPr>
        <w:pStyle w:val="Bullet"/>
        <w:spacing w:after="100"/>
      </w:pPr>
      <w:r w:rsidRPr="00BE78CA">
        <w:t xml:space="preserve">Data from major consumers of natural gas were used if available because they are more reliable, accurate and easily classified by sector. </w:t>
      </w:r>
    </w:p>
    <w:p w14:paraId="5D5F1D69" w14:textId="77777777" w:rsidR="00706DD1" w:rsidRPr="00BE78CA" w:rsidRDefault="00706DD1" w:rsidP="00FF29B8">
      <w:pPr>
        <w:pStyle w:val="Bullet"/>
        <w:spacing w:after="100"/>
        <w:rPr>
          <w:rFonts w:cs="Calibri"/>
        </w:rPr>
      </w:pPr>
      <w:r w:rsidRPr="00BE78CA">
        <w:rPr>
          <w:rFonts w:cs="Calibri"/>
        </w:rPr>
        <w:t xml:space="preserve">Where these data were not available, natural gas retailers’ reported sales by sector were used. </w:t>
      </w:r>
    </w:p>
    <w:p w14:paraId="24F828A7" w14:textId="77777777" w:rsidR="00706DD1" w:rsidRPr="00BE78CA" w:rsidRDefault="00706DD1" w:rsidP="00706DD1">
      <w:pPr>
        <w:pStyle w:val="Bullet"/>
        <w:rPr>
          <w:rFonts w:cs="Calibri"/>
        </w:rPr>
      </w:pPr>
      <w:r w:rsidRPr="00BE78CA">
        <w:rPr>
          <w:rFonts w:cs="Calibri"/>
        </w:rPr>
        <w:t xml:space="preserve">If these data were also not available, then estimates based on regressions using GDP data were used. GDP output and production data were used along with assumptions about energy intensity and consumption of categories (to as detailed a level as possible). </w:t>
      </w:r>
    </w:p>
    <w:p w14:paraId="5F3C4A89" w14:textId="77777777" w:rsidR="00706DD1" w:rsidRPr="00BE78CA" w:rsidRDefault="00706DD1" w:rsidP="00706DD1">
      <w:pPr>
        <w:pStyle w:val="BodyText"/>
        <w:spacing w:before="100" w:after="100"/>
        <w:rPr>
          <w:rFonts w:cs="Calibri"/>
        </w:rPr>
      </w:pPr>
      <w:r w:rsidRPr="00BE78CA">
        <w:rPr>
          <w:rFonts w:cs="Calibri"/>
        </w:rPr>
        <w:t xml:space="preserve">Several categories are represented by only one or two major natural gas consumers – for some of these cases data from major consumers were directly used. Where there are industries with many major natural gas consumers, gas retailers’ reported sales by sector were used, though these can, at times, exhibit data-quality issues. </w:t>
      </w:r>
    </w:p>
    <w:p w14:paraId="270448A1" w14:textId="77777777" w:rsidR="00706DD1" w:rsidRPr="00BE78CA" w:rsidRDefault="00706DD1" w:rsidP="00706DD1">
      <w:pPr>
        <w:pStyle w:val="BodyText"/>
        <w:spacing w:before="100" w:after="100"/>
        <w:rPr>
          <w:rFonts w:cs="Calibri"/>
        </w:rPr>
      </w:pPr>
      <w:r w:rsidRPr="00BE78CA">
        <w:rPr>
          <w:rFonts w:cs="Calibri"/>
        </w:rPr>
        <w:t>A review was also undertaken in 2014 by MBIE covering data going back to 1999. Several sales previously identified as wholesale sales (i.e., gas bought to be on-sold) were in fact sold to consumers, but at ‘wholesale’ (lower) prices. Work was done to correct the classifications of these sales, based on customer name, to their relevant sectors.</w:t>
      </w:r>
    </w:p>
    <w:p w14:paraId="6A6320AD" w14:textId="77777777" w:rsidR="00706DD1" w:rsidRPr="00BE78CA" w:rsidRDefault="00706DD1" w:rsidP="00706DD1">
      <w:pPr>
        <w:pStyle w:val="Heading5"/>
        <w:rPr>
          <w:rFonts w:cs="Calibri"/>
          <w:lang w:eastAsia="en-GB"/>
        </w:rPr>
      </w:pPr>
      <w:r w:rsidRPr="00BE78CA">
        <w:rPr>
          <w:rFonts w:cs="Calibri"/>
          <w:lang w:eastAsia="en-GB"/>
        </w:rPr>
        <w:t>1.A.2.a Iron and steel</w:t>
      </w:r>
    </w:p>
    <w:p w14:paraId="77E98508" w14:textId="77777777" w:rsidR="00706DD1" w:rsidRPr="00BE78CA" w:rsidRDefault="00706DD1" w:rsidP="00706DD1">
      <w:pPr>
        <w:pStyle w:val="BodyText"/>
        <w:spacing w:before="100" w:after="100"/>
        <w:rPr>
          <w:rFonts w:cs="Calibri"/>
          <w:lang w:eastAsia="en-GB"/>
        </w:rPr>
      </w:pPr>
      <w:r w:rsidRPr="00BE78CA">
        <w:rPr>
          <w:rFonts w:cs="Calibri"/>
          <w:lang w:eastAsia="en-GB"/>
        </w:rPr>
        <w:t xml:space="preserve">Activity data for coal used in iron and steel production are reported to MBIE by New Zealand Steel Limited. A considerable amount of coal is used in the production of iron. Most of the coal is used in the direct reduction process to remove oxygen from iron-sand. However, all emissions from the use of coal are included in the IPPU sector because the primary purpose of the coal is to produce iron (IPCC, 2006). A small amount of </w:t>
      </w:r>
      <w:r w:rsidRPr="00BE78CA">
        <w:rPr>
          <w:rFonts w:cs="Calibri"/>
        </w:rPr>
        <w:t xml:space="preserve">natural </w:t>
      </w:r>
      <w:r w:rsidRPr="00BE78CA">
        <w:rPr>
          <w:rFonts w:cs="Calibri"/>
          <w:lang w:eastAsia="en-GB"/>
        </w:rPr>
        <w:t xml:space="preserve">gas is used in the production of iron and steel to provide energy for the process and is reported under the Energy sector in 1.A.2.a </w:t>
      </w:r>
      <w:r w:rsidRPr="00BE78CA">
        <w:rPr>
          <w:rFonts w:cs="Calibri"/>
          <w:i/>
          <w:lang w:eastAsia="en-GB"/>
        </w:rPr>
        <w:t>Iron and steel</w:t>
      </w:r>
      <w:r w:rsidRPr="00BE78CA">
        <w:rPr>
          <w:rFonts w:cs="Calibri"/>
          <w:lang w:eastAsia="en-GB"/>
        </w:rPr>
        <w:t>.</w:t>
      </w:r>
    </w:p>
    <w:p w14:paraId="54A16B3B" w14:textId="77777777" w:rsidR="00706DD1" w:rsidRPr="00BE78CA" w:rsidRDefault="00706DD1" w:rsidP="00706DD1">
      <w:pPr>
        <w:pStyle w:val="Heading5"/>
        <w:rPr>
          <w:rFonts w:cs="Calibri"/>
          <w:lang w:eastAsia="en-GB"/>
        </w:rPr>
      </w:pPr>
      <w:r w:rsidRPr="00BE78CA">
        <w:rPr>
          <w:rFonts w:cs="Calibri"/>
          <w:lang w:eastAsia="en-GB"/>
        </w:rPr>
        <w:t>1.A.2.c Chemicals</w:t>
      </w:r>
    </w:p>
    <w:p w14:paraId="4F9BA2DB" w14:textId="77777777" w:rsidR="00706DD1" w:rsidRPr="00BE78CA" w:rsidRDefault="00706DD1" w:rsidP="00FF29B8">
      <w:pPr>
        <w:pStyle w:val="BodyText"/>
        <w:spacing w:before="100" w:after="100"/>
        <w:rPr>
          <w:rFonts w:cs="Calibri"/>
          <w:lang w:eastAsia="en-GB"/>
        </w:rPr>
      </w:pPr>
      <w:r w:rsidRPr="00BE78CA">
        <w:rPr>
          <w:rFonts w:cs="Calibri"/>
          <w:lang w:eastAsia="en-GB"/>
        </w:rPr>
        <w:t xml:space="preserve">The </w:t>
      </w:r>
      <w:r w:rsidRPr="00BE78CA">
        <w:rPr>
          <w:rFonts w:cs="Calibri"/>
          <w:i/>
          <w:lang w:eastAsia="en-GB"/>
        </w:rPr>
        <w:t>Chemicals</w:t>
      </w:r>
      <w:r w:rsidRPr="00BE78CA">
        <w:rPr>
          <w:rFonts w:cs="Calibri"/>
          <w:lang w:eastAsia="en-GB"/>
        </w:rPr>
        <w:t xml:space="preserve"> category includes estimates from the following sub-industries:</w:t>
      </w:r>
    </w:p>
    <w:p w14:paraId="20C37F08" w14:textId="77777777" w:rsidR="00706DD1" w:rsidRPr="00BE78CA" w:rsidRDefault="00706DD1" w:rsidP="00FF29B8">
      <w:pPr>
        <w:pStyle w:val="Bullet"/>
        <w:spacing w:after="100"/>
      </w:pPr>
      <w:r w:rsidRPr="00BE78CA">
        <w:t>industrial gases and synthetic resin</w:t>
      </w:r>
    </w:p>
    <w:p w14:paraId="06ED16B9" w14:textId="77777777" w:rsidR="00706DD1" w:rsidRPr="00BE78CA" w:rsidRDefault="00706DD1" w:rsidP="00FF29B8">
      <w:pPr>
        <w:pStyle w:val="Bullet"/>
        <w:spacing w:after="100"/>
      </w:pPr>
      <w:r w:rsidRPr="00BE78CA">
        <w:t>organic industrial chemicals</w:t>
      </w:r>
    </w:p>
    <w:p w14:paraId="508D6F41" w14:textId="77777777" w:rsidR="00706DD1" w:rsidRPr="00BE78CA" w:rsidRDefault="00706DD1" w:rsidP="00FF29B8">
      <w:pPr>
        <w:pStyle w:val="Bullet"/>
      </w:pPr>
      <w:r w:rsidRPr="00BE78CA">
        <w:t>inorganic industrial chemicals, other chemical production, rubber and plastic products.</w:t>
      </w:r>
    </w:p>
    <w:p w14:paraId="5CF1E55B" w14:textId="77777777" w:rsidR="00706DD1" w:rsidRPr="00BE78CA" w:rsidRDefault="00706DD1" w:rsidP="00706DD1">
      <w:pPr>
        <w:pStyle w:val="BodyText"/>
        <w:spacing w:before="100"/>
        <w:rPr>
          <w:rFonts w:cs="Calibri"/>
        </w:rPr>
      </w:pPr>
      <w:r w:rsidRPr="00BE78CA">
        <w:rPr>
          <w:rFonts w:cs="Calibri"/>
        </w:rPr>
        <w:t xml:space="preserve">The quantity of natural gas used for the production of methanol and ammonia (and, subsequently, urea) has been split into feedstock gas (which is included in 2.B.8.a and 2.B.1 respectively) and energy-use gas (which is included in 1.A.2.c </w:t>
      </w:r>
      <w:r w:rsidRPr="00BE78CA">
        <w:rPr>
          <w:rFonts w:cs="Calibri"/>
          <w:i/>
        </w:rPr>
        <w:t>Chemicals</w:t>
      </w:r>
      <w:r w:rsidRPr="00BE78CA">
        <w:rPr>
          <w:rFonts w:cs="Calibri"/>
        </w:rPr>
        <w:t>). Further details are included in chapter 4 (IPPU sector).</w:t>
      </w:r>
    </w:p>
    <w:p w14:paraId="46F8BE9B" w14:textId="77777777" w:rsidR="00706DD1" w:rsidRPr="00BE78CA" w:rsidRDefault="00706DD1" w:rsidP="00FF29B8">
      <w:pPr>
        <w:pStyle w:val="BodyText"/>
      </w:pPr>
      <w:r w:rsidRPr="00BE78CA">
        <w:rPr>
          <w:lang w:eastAsia="en-GB"/>
        </w:rPr>
        <w:lastRenderedPageBreak/>
        <w:t xml:space="preserve">The activity data for methanol production are supplied directly by Methanex New Zealand. Until 2004, methanol was produced at two plants by Methanex New Zealand. In November 2004, production at the </w:t>
      </w:r>
      <w:r w:rsidRPr="00BE78CA">
        <w:t>Motunui plant was halted and the plant re-opened in late 2008. Methanex New Zealand exports most of this methanol.</w:t>
      </w:r>
    </w:p>
    <w:p w14:paraId="4FB52563" w14:textId="77777777" w:rsidR="00706DD1" w:rsidRPr="00BE78CA" w:rsidRDefault="00706DD1" w:rsidP="00FF29B8">
      <w:pPr>
        <w:pStyle w:val="BodyText"/>
      </w:pPr>
      <w:r w:rsidRPr="00BE78CA">
        <w:t xml:space="preserve">Methanex is the sole methanol producer in New Zealand and considers its natural gas consumption to be commercially sensitive information. New Zealand takes a Tier 2 (IPCC, 2006) approach to estimating emissions from methanol production that uses natural gas consumption at the plant along with country- and field-specific emission factors to calculate potential emissions before deducting the carbon sequestered in the end product. </w:t>
      </w:r>
    </w:p>
    <w:p w14:paraId="73682213" w14:textId="77777777" w:rsidR="00706DD1" w:rsidRPr="00BE78CA" w:rsidRDefault="00706DD1" w:rsidP="00FF29B8">
      <w:pPr>
        <w:pStyle w:val="BodyText"/>
      </w:pPr>
      <w:r w:rsidRPr="00BE78CA">
        <w:t>The major non-fuel-related emissions from the methanol process are CH</w:t>
      </w:r>
      <w:r w:rsidRPr="00BE78CA">
        <w:rPr>
          <w:vertAlign w:val="subscript"/>
        </w:rPr>
        <w:t>4</w:t>
      </w:r>
      <w:r w:rsidRPr="00BE78CA">
        <w:t xml:space="preserve"> (reported under the IPPU sector) and non-methane volatile organic compounds.</w:t>
      </w:r>
    </w:p>
    <w:p w14:paraId="7CF02E4E" w14:textId="77777777" w:rsidR="00706DD1" w:rsidRPr="00BE78CA" w:rsidRDefault="00706DD1" w:rsidP="00FF29B8">
      <w:pPr>
        <w:pStyle w:val="BodyText"/>
      </w:pPr>
      <w:r w:rsidRPr="00BE78CA">
        <w:t>Superphosphate is the fertiliser most commonly used in New Zealand to ensure that soil has a sufficiently high phosphorous content. It is manufactured from the reaction between sulphuric acid and phosphate rock.</w:t>
      </w:r>
      <w:r w:rsidRPr="00BE78CA">
        <w:rPr>
          <w:rStyle w:val="FootnoteReference"/>
          <w:rFonts w:cs="Calibri"/>
        </w:rPr>
        <w:footnoteReference w:id="31"/>
      </w:r>
      <w:r w:rsidRPr="00BE78CA">
        <w:t xml:space="preserve"> During the process, the heat generated by the exothermic reaction between molten sulphur and oxygen is recovered in a waste-heat boiler to produce steam that is then used for process heating and also to drive a steam turbine that produces electricity. The electricity is used on site and </w:t>
      </w:r>
      <w:r w:rsidRPr="00BE78CA">
        <w:rPr>
          <w:bCs/>
        </w:rPr>
        <w:t>ideally</w:t>
      </w:r>
      <w:r w:rsidRPr="00BE78CA">
        <w:t xml:space="preserve"> any excess is exported to the local power supplier.</w:t>
      </w:r>
    </w:p>
    <w:p w14:paraId="252D6CD6" w14:textId="77777777" w:rsidR="00706DD1" w:rsidRPr="00BE78CA" w:rsidRDefault="00706DD1" w:rsidP="00706DD1">
      <w:pPr>
        <w:pStyle w:val="Heading5"/>
        <w:rPr>
          <w:rFonts w:cs="Calibri"/>
          <w:lang w:eastAsia="en-GB"/>
        </w:rPr>
      </w:pPr>
      <w:r w:rsidRPr="00BE78CA">
        <w:rPr>
          <w:rFonts w:cs="Calibri"/>
          <w:lang w:eastAsia="en-GB"/>
        </w:rPr>
        <w:t>On-site electricity generation</w:t>
      </w:r>
    </w:p>
    <w:p w14:paraId="5AB50304" w14:textId="77777777" w:rsidR="00706DD1" w:rsidRPr="00BE78CA" w:rsidRDefault="00706DD1" w:rsidP="00FF29B8">
      <w:pPr>
        <w:pStyle w:val="BodyText"/>
        <w:rPr>
          <w:lang w:eastAsia="en-GB"/>
        </w:rPr>
      </w:pPr>
      <w:r w:rsidRPr="00BE78CA">
        <w:rPr>
          <w:lang w:eastAsia="en-GB"/>
        </w:rPr>
        <w:t xml:space="preserve">As mentioned in section </w:t>
      </w:r>
      <w:r w:rsidRPr="00BE78CA">
        <w:t>3.3.1</w:t>
      </w:r>
      <w:r w:rsidRPr="00BE78CA">
        <w:rPr>
          <w:lang w:eastAsia="en-GB"/>
        </w:rPr>
        <w:t xml:space="preserve">, on-site </w:t>
      </w:r>
      <w:r w:rsidRPr="00BE78CA">
        <w:t>electricity</w:t>
      </w:r>
      <w:r w:rsidRPr="00BE78CA">
        <w:rPr>
          <w:lang w:eastAsia="en-GB"/>
        </w:rPr>
        <w:t xml:space="preserve"> generation is allocated to either the </w:t>
      </w:r>
      <w:r w:rsidRPr="00BE78CA">
        <w:rPr>
          <w:i/>
          <w:lang w:eastAsia="en-GB"/>
        </w:rPr>
        <w:t>Public electricity and heat production</w:t>
      </w:r>
      <w:r w:rsidRPr="00BE78CA">
        <w:rPr>
          <w:lang w:eastAsia="en-GB"/>
        </w:rPr>
        <w:t xml:space="preserve"> category or the sector in which the associated plant operates, using the decision tree shown in figure</w:t>
      </w:r>
      <w:r w:rsidRPr="00BE78CA">
        <w:t xml:space="preserve"> 3.3.7</w:t>
      </w:r>
      <w:r w:rsidRPr="00BE78CA">
        <w:rPr>
          <w:lang w:eastAsia="en-GB"/>
        </w:rPr>
        <w:t xml:space="preserve">. </w:t>
      </w:r>
    </w:p>
    <w:p w14:paraId="6D418FE9" w14:textId="77777777" w:rsidR="00706DD1" w:rsidRPr="00BE78CA" w:rsidRDefault="00706DD1" w:rsidP="00706DD1">
      <w:pPr>
        <w:pStyle w:val="Heading4"/>
        <w:rPr>
          <w:lang w:eastAsia="en-GB"/>
        </w:rPr>
      </w:pPr>
      <w:r w:rsidRPr="00BE78CA">
        <w:t>Uncertainties</w:t>
      </w:r>
      <w:r w:rsidRPr="00BE78CA">
        <w:rPr>
          <w:lang w:eastAsia="en-GB"/>
        </w:rPr>
        <w:t xml:space="preserve"> and time-series consistency</w:t>
      </w:r>
    </w:p>
    <w:p w14:paraId="073AC739" w14:textId="77777777" w:rsidR="00706DD1" w:rsidRPr="00BE78CA" w:rsidRDefault="00706DD1" w:rsidP="00FF29B8">
      <w:pPr>
        <w:pStyle w:val="BodyText"/>
        <w:rPr>
          <w:lang w:eastAsia="en-GB"/>
        </w:rPr>
      </w:pPr>
      <w:r w:rsidRPr="00BE78CA">
        <w:rPr>
          <w:lang w:eastAsia="en-GB"/>
        </w:rPr>
        <w:t>Uncertainties in emission and activity data estimates are those relevant to the entire Energy sector (annex 4, sections A4.1, A4.2 and A4.3).</w:t>
      </w:r>
    </w:p>
    <w:p w14:paraId="74F986A2" w14:textId="77777777" w:rsidR="00706DD1" w:rsidRPr="00BE78CA" w:rsidRDefault="00706DD1" w:rsidP="00706DD1">
      <w:pPr>
        <w:pStyle w:val="Heading4"/>
        <w:rPr>
          <w:lang w:eastAsia="en-GB"/>
        </w:rPr>
      </w:pPr>
      <w:r w:rsidRPr="00BE78CA">
        <w:rPr>
          <w:lang w:eastAsia="en-GB"/>
        </w:rPr>
        <w:t>Source-specific QA/QC and verification</w:t>
      </w:r>
    </w:p>
    <w:p w14:paraId="23AEE625" w14:textId="77777777" w:rsidR="00706DD1" w:rsidRPr="00BE78CA" w:rsidRDefault="00706DD1" w:rsidP="00FF29B8">
      <w:pPr>
        <w:pStyle w:val="BodyText"/>
        <w:rPr>
          <w:lang w:eastAsia="en-GB"/>
        </w:rPr>
      </w:pPr>
      <w:r w:rsidRPr="00BE78CA">
        <w:rPr>
          <w:lang w:eastAsia="en-GB"/>
        </w:rPr>
        <w:t xml:space="preserve">In the preparation of this inventory, the </w:t>
      </w:r>
      <w:r w:rsidRPr="00BE78CA">
        <w:rPr>
          <w:i/>
          <w:lang w:eastAsia="en-GB"/>
        </w:rPr>
        <w:t>Manufacturing industries and construction</w:t>
      </w:r>
      <w:r w:rsidRPr="00BE78CA">
        <w:rPr>
          <w:lang w:eastAsia="en-GB"/>
        </w:rPr>
        <w:t xml:space="preserve"> category underwent Tier 1 quality-assurance and quality-control checks, as recommended in the 2006 IPCC Guidelines. These include regular control sums </w:t>
      </w:r>
      <w:r w:rsidRPr="00BE78CA">
        <w:t>throughout</w:t>
      </w:r>
      <w:r w:rsidRPr="00BE78CA">
        <w:rPr>
          <w:lang w:eastAsia="en-GB"/>
        </w:rPr>
        <w:t xml:space="preserve"> systems, to verify system integrity, and time-series consistency checks.</w:t>
      </w:r>
    </w:p>
    <w:p w14:paraId="07BFE57F" w14:textId="77777777" w:rsidR="00706DD1" w:rsidRPr="00BE78CA" w:rsidRDefault="00706DD1" w:rsidP="00706DD1">
      <w:pPr>
        <w:pStyle w:val="Heading4"/>
        <w:rPr>
          <w:lang w:eastAsia="en-GB"/>
        </w:rPr>
      </w:pPr>
      <w:r w:rsidRPr="00BE78CA">
        <w:rPr>
          <w:lang w:eastAsia="en-GB"/>
        </w:rPr>
        <w:t>Source-specific recalculations</w:t>
      </w:r>
    </w:p>
    <w:p w14:paraId="67D3FA9F" w14:textId="77777777" w:rsidR="00706DD1" w:rsidRPr="00BE78CA" w:rsidRDefault="00706DD1" w:rsidP="00FF29B8">
      <w:pPr>
        <w:pStyle w:val="BodyText"/>
        <w:rPr>
          <w:lang w:eastAsia="en-GB"/>
        </w:rPr>
      </w:pPr>
      <w:r w:rsidRPr="00BE78CA">
        <w:rPr>
          <w:lang w:eastAsia="en-GB"/>
        </w:rPr>
        <w:t>Some historical energy demand data may have been revised due to revisions in data provided by companies. This has resulted in minor revisions in activity data and corresponding emissions for some years.</w:t>
      </w:r>
    </w:p>
    <w:p w14:paraId="4A429C86" w14:textId="77777777" w:rsidR="00706DD1" w:rsidRPr="00BE78CA" w:rsidRDefault="00706DD1" w:rsidP="00706DD1">
      <w:pPr>
        <w:pStyle w:val="Heading3"/>
        <w:spacing w:before="280"/>
        <w:rPr>
          <w:rFonts w:cs="Calibri"/>
        </w:rPr>
      </w:pPr>
      <w:r w:rsidRPr="00BE78CA">
        <w:rPr>
          <w:rFonts w:cs="Calibri"/>
        </w:rPr>
        <w:lastRenderedPageBreak/>
        <w:t>3.3.8</w:t>
      </w:r>
      <w:r w:rsidRPr="00BE78CA">
        <w:rPr>
          <w:rFonts w:cs="Calibri"/>
        </w:rPr>
        <w:tab/>
        <w:t>Fuel combustion: Transport (CRF 1.A.3)</w:t>
      </w:r>
    </w:p>
    <w:p w14:paraId="787B96B2" w14:textId="77777777" w:rsidR="00706DD1" w:rsidRPr="00BE78CA" w:rsidRDefault="00706DD1" w:rsidP="00706DD1">
      <w:pPr>
        <w:pStyle w:val="Heading4"/>
        <w:spacing w:before="160"/>
      </w:pPr>
      <w:r w:rsidRPr="00BE78CA">
        <w:rPr>
          <w:lang w:eastAsia="en-GB"/>
        </w:rPr>
        <w:t>Description</w:t>
      </w:r>
    </w:p>
    <w:p w14:paraId="38511896" w14:textId="77777777" w:rsidR="00706DD1" w:rsidRPr="00BE78CA" w:rsidRDefault="00706DD1" w:rsidP="00FF29B8">
      <w:pPr>
        <w:pStyle w:val="BodyText"/>
        <w:keepLines/>
        <w:rPr>
          <w:lang w:eastAsia="en-GB"/>
        </w:rPr>
      </w:pPr>
      <w:r w:rsidRPr="00BE78CA">
        <w:rPr>
          <w:lang w:eastAsia="en-GB"/>
        </w:rPr>
        <w:t xml:space="preserve">This category includes emissions from fuels </w:t>
      </w:r>
      <w:r w:rsidRPr="00BE78CA">
        <w:t>combusted</w:t>
      </w:r>
      <w:r w:rsidRPr="00BE78CA">
        <w:rPr>
          <w:lang w:eastAsia="en-GB"/>
        </w:rPr>
        <w:t xml:space="preserve"> during domestic transportation, such as civil aviation, road, rail and domestic marine transport. Emissions from international marine and aviation bunkers are reported as memo items and are not included in New Zealand’s total emissions.</w:t>
      </w:r>
    </w:p>
    <w:p w14:paraId="1A28F7F4" w14:textId="77777777" w:rsidR="00706DD1" w:rsidRPr="00BE78CA" w:rsidRDefault="00706DD1" w:rsidP="00706DD1">
      <w:pPr>
        <w:pStyle w:val="BodyText"/>
        <w:rPr>
          <w:rFonts w:cs="Calibri"/>
          <w:lang w:eastAsia="en-GB"/>
        </w:rPr>
      </w:pPr>
      <w:r w:rsidRPr="00BE78CA">
        <w:rPr>
          <w:rFonts w:cs="Calibri"/>
          <w:lang w:eastAsia="en-GB"/>
        </w:rPr>
        <w:t xml:space="preserve">In </w:t>
      </w:r>
      <w:r w:rsidRPr="00BE78CA">
        <w:rPr>
          <w:rFonts w:cs="Calibri"/>
        </w:rPr>
        <w:t>2019</w:t>
      </w:r>
      <w:r w:rsidRPr="00BE78CA">
        <w:rPr>
          <w:rFonts w:cs="Calibri"/>
          <w:lang w:eastAsia="en-GB"/>
        </w:rPr>
        <w:t xml:space="preserve">, category 1.A.3 </w:t>
      </w:r>
      <w:r w:rsidRPr="00BE78CA">
        <w:rPr>
          <w:rFonts w:cs="Calibri"/>
          <w:i/>
          <w:lang w:eastAsia="en-GB"/>
        </w:rPr>
        <w:t>Transport</w:t>
      </w:r>
      <w:r w:rsidRPr="00BE78CA">
        <w:rPr>
          <w:rFonts w:cs="Calibri"/>
          <w:lang w:eastAsia="en-GB"/>
        </w:rPr>
        <w:t xml:space="preserve"> was responsible for 16,207.6</w:t>
      </w:r>
      <w:r w:rsidRPr="00BE78CA">
        <w:rPr>
          <w:rFonts w:cs="Calibri"/>
        </w:rPr>
        <w:t xml:space="preserve"> </w:t>
      </w:r>
      <w:r w:rsidRPr="00BE78CA">
        <w:rPr>
          <w:rFonts w:cs="Calibri"/>
          <w:lang w:eastAsia="en-GB"/>
        </w:rPr>
        <w:t>kt CO</w:t>
      </w:r>
      <w:r w:rsidRPr="00BE78CA">
        <w:rPr>
          <w:rFonts w:cs="Calibri"/>
          <w:vertAlign w:val="subscript"/>
          <w:lang w:eastAsia="en-GB"/>
        </w:rPr>
        <w:t>2</w:t>
      </w:r>
      <w:r w:rsidRPr="00BE78CA">
        <w:rPr>
          <w:rFonts w:cs="Calibri"/>
          <w:lang w:eastAsia="en-GB"/>
        </w:rPr>
        <w:t xml:space="preserve">-e (47.3 </w:t>
      </w:r>
      <w:r w:rsidRPr="00BE78CA">
        <w:rPr>
          <w:rFonts w:cs="Calibri"/>
        </w:rPr>
        <w:t>per cent</w:t>
      </w:r>
      <w:r w:rsidRPr="00BE78CA">
        <w:rPr>
          <w:rFonts w:cs="Calibri"/>
          <w:lang w:eastAsia="en-GB"/>
        </w:rPr>
        <w:t xml:space="preserve"> of emissions from the Energy sector), or 19.7 per cent of gross national emissions. Emissions in 2019 were 7,435.4</w:t>
      </w:r>
      <w:r w:rsidRPr="00BE78CA">
        <w:rPr>
          <w:rFonts w:cs="Calibri"/>
        </w:rPr>
        <w:t xml:space="preserve"> </w:t>
      </w:r>
      <w:r w:rsidRPr="00BE78CA">
        <w:rPr>
          <w:rFonts w:cs="Calibri"/>
          <w:lang w:eastAsia="en-GB"/>
        </w:rPr>
        <w:t>kt CO</w:t>
      </w:r>
      <w:r w:rsidRPr="00BE78CA">
        <w:rPr>
          <w:rFonts w:cs="Calibri"/>
          <w:vertAlign w:val="subscript"/>
          <w:lang w:eastAsia="en-GB"/>
        </w:rPr>
        <w:t>2</w:t>
      </w:r>
      <w:r w:rsidRPr="00BE78CA">
        <w:rPr>
          <w:rFonts w:cs="Calibri"/>
          <w:lang w:eastAsia="en-GB"/>
        </w:rPr>
        <w:t>-e (84.8</w:t>
      </w:r>
      <w:r w:rsidRPr="00BE78CA">
        <w:rPr>
          <w:rFonts w:cs="Calibri"/>
        </w:rPr>
        <w:t xml:space="preserve"> per cent</w:t>
      </w:r>
      <w:r w:rsidRPr="00BE78CA">
        <w:rPr>
          <w:rFonts w:cs="Calibri"/>
          <w:lang w:eastAsia="en-GB"/>
        </w:rPr>
        <w:t xml:space="preserve">) higher than the </w:t>
      </w:r>
      <w:r w:rsidRPr="00BE78CA">
        <w:rPr>
          <w:rFonts w:cs="Calibri"/>
        </w:rPr>
        <w:t xml:space="preserve">8,772.2 </w:t>
      </w:r>
      <w:r w:rsidRPr="00BE78CA">
        <w:rPr>
          <w:rFonts w:cs="Calibri"/>
          <w:lang w:eastAsia="en-GB"/>
        </w:rPr>
        <w:t>kt CO</w:t>
      </w:r>
      <w:r w:rsidRPr="00BE78CA">
        <w:rPr>
          <w:rFonts w:cs="Calibri"/>
          <w:vertAlign w:val="subscript"/>
          <w:lang w:eastAsia="en-GB"/>
        </w:rPr>
        <w:t>2</w:t>
      </w:r>
      <w:r w:rsidRPr="00BE78CA">
        <w:rPr>
          <w:rFonts w:cs="Calibri"/>
          <w:lang w:eastAsia="en-GB"/>
        </w:rPr>
        <w:t xml:space="preserve">-e emitted from the transport sector in 1990. The transport emissions profile in </w:t>
      </w:r>
      <w:r w:rsidRPr="00BE78CA">
        <w:rPr>
          <w:rFonts w:cs="Calibri"/>
        </w:rPr>
        <w:t>2019</w:t>
      </w:r>
      <w:r w:rsidRPr="00BE78CA">
        <w:rPr>
          <w:rFonts w:cs="Calibri"/>
          <w:lang w:eastAsia="en-GB"/>
        </w:rPr>
        <w:t xml:space="preserve"> was dominated by emissions from category 1.A.3.b </w:t>
      </w:r>
      <w:r w:rsidRPr="00BE78CA">
        <w:rPr>
          <w:rFonts w:cs="Calibri"/>
          <w:i/>
          <w:lang w:eastAsia="en-GB"/>
        </w:rPr>
        <w:t>Road transportation</w:t>
      </w:r>
      <w:r w:rsidRPr="00BE78CA">
        <w:rPr>
          <w:rFonts w:cs="Calibri"/>
          <w:lang w:eastAsia="en-GB"/>
        </w:rPr>
        <w:t xml:space="preserve">. In </w:t>
      </w:r>
      <w:r w:rsidRPr="00BE78CA">
        <w:rPr>
          <w:rFonts w:cs="Calibri"/>
        </w:rPr>
        <w:t>2019</w:t>
      </w:r>
      <w:r w:rsidRPr="00BE78CA">
        <w:rPr>
          <w:rFonts w:cs="Calibri"/>
          <w:lang w:eastAsia="en-GB"/>
        </w:rPr>
        <w:t>, road transport accounted for 14,670.1</w:t>
      </w:r>
      <w:r w:rsidRPr="00BE78CA">
        <w:rPr>
          <w:rFonts w:cs="Calibri"/>
        </w:rPr>
        <w:t> </w:t>
      </w:r>
      <w:r w:rsidRPr="00BE78CA">
        <w:rPr>
          <w:rFonts w:cs="Calibri"/>
          <w:lang w:eastAsia="en-GB"/>
        </w:rPr>
        <w:t>kt CO</w:t>
      </w:r>
      <w:r w:rsidRPr="00BE78CA">
        <w:rPr>
          <w:rFonts w:cs="Calibri"/>
          <w:vertAlign w:val="subscript"/>
          <w:lang w:eastAsia="en-GB"/>
        </w:rPr>
        <w:t>2</w:t>
      </w:r>
      <w:r w:rsidRPr="00BE78CA">
        <w:rPr>
          <w:rFonts w:cs="Calibri"/>
          <w:lang w:eastAsia="en-GB"/>
        </w:rPr>
        <w:t>-e (</w:t>
      </w:r>
      <w:r w:rsidRPr="00BE78CA">
        <w:rPr>
          <w:rFonts w:cs="Calibri"/>
        </w:rPr>
        <w:t>90.5 per cent</w:t>
      </w:r>
      <w:r w:rsidRPr="00BE78CA">
        <w:rPr>
          <w:rFonts w:cs="Calibri"/>
          <w:lang w:eastAsia="en-GB"/>
        </w:rPr>
        <w:t xml:space="preserve">) of total transport emissions. This is </w:t>
      </w:r>
      <w:r w:rsidRPr="00BE78CA">
        <w:rPr>
          <w:rFonts w:cs="Calibri"/>
        </w:rPr>
        <w:t xml:space="preserve">7,194.9 </w:t>
      </w:r>
      <w:r w:rsidRPr="00BE78CA">
        <w:rPr>
          <w:rFonts w:cs="Calibri"/>
          <w:lang w:eastAsia="en-GB"/>
        </w:rPr>
        <w:t>kt CO</w:t>
      </w:r>
      <w:r w:rsidRPr="00BE78CA">
        <w:rPr>
          <w:rFonts w:cs="Calibri"/>
          <w:vertAlign w:val="subscript"/>
          <w:lang w:eastAsia="en-GB"/>
        </w:rPr>
        <w:t>2</w:t>
      </w:r>
      <w:r w:rsidRPr="00BE78CA">
        <w:rPr>
          <w:rFonts w:cs="Calibri"/>
          <w:lang w:eastAsia="en-GB"/>
        </w:rPr>
        <w:t>-e (</w:t>
      </w:r>
      <w:r w:rsidRPr="00BE78CA">
        <w:rPr>
          <w:rFonts w:cs="Calibri"/>
        </w:rPr>
        <w:t>96.2 per cent</w:t>
      </w:r>
      <w:r w:rsidRPr="00BE78CA">
        <w:rPr>
          <w:rFonts w:cs="Calibri"/>
          <w:lang w:eastAsia="en-GB"/>
        </w:rPr>
        <w:t xml:space="preserve">) higher than the 1990 level of </w:t>
      </w:r>
      <w:r w:rsidRPr="00BE78CA">
        <w:rPr>
          <w:rFonts w:cs="Calibri"/>
        </w:rPr>
        <w:t xml:space="preserve">7,475.2 </w:t>
      </w:r>
      <w:r w:rsidRPr="00BE78CA">
        <w:rPr>
          <w:rFonts w:cs="Calibri"/>
          <w:lang w:eastAsia="en-GB"/>
        </w:rPr>
        <w:t>kt CO</w:t>
      </w:r>
      <w:r w:rsidRPr="00BE78CA">
        <w:rPr>
          <w:rFonts w:cs="Calibri"/>
          <w:vertAlign w:val="subscript"/>
          <w:lang w:eastAsia="en-GB"/>
        </w:rPr>
        <w:t>2</w:t>
      </w:r>
      <w:r w:rsidRPr="00BE78CA">
        <w:rPr>
          <w:rFonts w:cs="Calibri"/>
          <w:lang w:eastAsia="en-GB"/>
        </w:rPr>
        <w:t xml:space="preserve">-e. </w:t>
      </w:r>
    </w:p>
    <w:p w14:paraId="30BD0DBB" w14:textId="77777777" w:rsidR="00706DD1" w:rsidRPr="00BE78CA" w:rsidRDefault="00706DD1" w:rsidP="00706DD1">
      <w:pPr>
        <w:pStyle w:val="Heading4"/>
        <w:spacing w:before="160"/>
        <w:rPr>
          <w:lang w:eastAsia="en-GB"/>
        </w:rPr>
      </w:pPr>
      <w:r w:rsidRPr="00BE78CA">
        <w:rPr>
          <w:lang w:eastAsia="en-GB"/>
        </w:rPr>
        <w:t xml:space="preserve">Changes in emissions between </w:t>
      </w:r>
      <w:r w:rsidRPr="00BE78CA">
        <w:t>2018</w:t>
      </w:r>
      <w:r w:rsidRPr="00BE78CA">
        <w:rPr>
          <w:lang w:eastAsia="en-GB"/>
        </w:rPr>
        <w:t xml:space="preserve"> and </w:t>
      </w:r>
      <w:r w:rsidRPr="00BE78CA">
        <w:t>2019</w:t>
      </w:r>
    </w:p>
    <w:p w14:paraId="5FC47A5A" w14:textId="77777777" w:rsidR="00706DD1" w:rsidRPr="00BE78CA" w:rsidRDefault="00706DD1" w:rsidP="00706DD1">
      <w:pPr>
        <w:pStyle w:val="BodyText"/>
        <w:rPr>
          <w:rFonts w:cs="Calibri"/>
          <w:lang w:eastAsia="en-GB"/>
        </w:rPr>
      </w:pPr>
      <w:r w:rsidRPr="00BE78CA">
        <w:rPr>
          <w:rFonts w:cs="Calibri"/>
          <w:lang w:eastAsia="en-GB"/>
        </w:rPr>
        <w:t xml:space="preserve">Between </w:t>
      </w:r>
      <w:r w:rsidRPr="00BE78CA">
        <w:rPr>
          <w:rFonts w:cs="Calibri"/>
        </w:rPr>
        <w:t>2018</w:t>
      </w:r>
      <w:r w:rsidRPr="00BE78CA">
        <w:rPr>
          <w:rFonts w:cs="Calibri"/>
          <w:lang w:eastAsia="en-GB"/>
        </w:rPr>
        <w:t xml:space="preserve"> and </w:t>
      </w:r>
      <w:r w:rsidRPr="00BE78CA">
        <w:rPr>
          <w:rFonts w:cs="Calibri"/>
        </w:rPr>
        <w:t>2019</w:t>
      </w:r>
      <w:r w:rsidRPr="00BE78CA">
        <w:rPr>
          <w:rFonts w:cs="Calibri"/>
          <w:lang w:eastAsia="en-GB"/>
        </w:rPr>
        <w:t>, emissions from transport decreased by 8.29</w:t>
      </w:r>
      <w:r w:rsidRPr="00BE78CA">
        <w:rPr>
          <w:rFonts w:cs="Calibri"/>
        </w:rPr>
        <w:t xml:space="preserve"> </w:t>
      </w:r>
      <w:r w:rsidRPr="00BE78CA">
        <w:rPr>
          <w:rFonts w:cs="Calibri"/>
          <w:lang w:eastAsia="en-GB"/>
        </w:rPr>
        <w:t>kt CO</w:t>
      </w:r>
      <w:r w:rsidRPr="00BE78CA">
        <w:rPr>
          <w:rFonts w:cs="Calibri"/>
          <w:vertAlign w:val="subscript"/>
          <w:lang w:eastAsia="en-GB"/>
        </w:rPr>
        <w:t>2</w:t>
      </w:r>
      <w:r w:rsidRPr="00BE78CA">
        <w:rPr>
          <w:rFonts w:cs="Calibri"/>
          <w:lang w:eastAsia="en-GB"/>
        </w:rPr>
        <w:t>-e (</w:t>
      </w:r>
      <w:r w:rsidRPr="00BE78CA">
        <w:rPr>
          <w:rFonts w:cs="Calibri"/>
        </w:rPr>
        <w:t>0.1 per cent</w:t>
      </w:r>
      <w:r w:rsidRPr="00BE78CA">
        <w:rPr>
          <w:rFonts w:cs="Calibri"/>
          <w:lang w:eastAsia="en-GB"/>
        </w:rPr>
        <w:t xml:space="preserve">). </w:t>
      </w:r>
    </w:p>
    <w:p w14:paraId="0F96AA1C" w14:textId="77777777" w:rsidR="00706DD1" w:rsidRPr="00BE78CA" w:rsidRDefault="00706DD1" w:rsidP="00706DD1">
      <w:pPr>
        <w:pStyle w:val="BodyText"/>
        <w:rPr>
          <w:rFonts w:cs="Calibri"/>
        </w:rPr>
      </w:pPr>
      <w:r w:rsidRPr="00BE78CA">
        <w:rPr>
          <w:rFonts w:cs="Calibri"/>
        </w:rPr>
        <w:t xml:space="preserve">Key categories identified in the 2019 level and trend assessment for the </w:t>
      </w:r>
      <w:r w:rsidRPr="00BE78CA">
        <w:rPr>
          <w:rFonts w:cs="Calibri"/>
          <w:i/>
          <w:lang w:eastAsia="en-GB"/>
        </w:rPr>
        <w:t>Transport</w:t>
      </w:r>
      <w:r w:rsidRPr="00BE78CA">
        <w:rPr>
          <w:rFonts w:cs="Calibri"/>
        </w:rPr>
        <w:t xml:space="preserve"> category are given in table 3.3.6.</w:t>
      </w:r>
    </w:p>
    <w:p w14:paraId="2208BEBA" w14:textId="77777777" w:rsidR="00706DD1" w:rsidRPr="00BE78CA" w:rsidRDefault="00706DD1" w:rsidP="00706DD1">
      <w:pPr>
        <w:pStyle w:val="Table"/>
      </w:pPr>
      <w:bookmarkStart w:id="333" w:name="_Toc68786410"/>
      <w:r w:rsidRPr="00BE78CA">
        <w:t>Table 3.3.6</w:t>
      </w:r>
      <w:r w:rsidRPr="00BE78CA">
        <w:tab/>
        <w:t>Key categories for 1.A.3 Transport</w:t>
      </w:r>
      <w:bookmarkEnd w:id="333"/>
    </w:p>
    <w:tbl>
      <w:tblPr>
        <w:tblW w:w="8505" w:type="dxa"/>
        <w:tblBorders>
          <w:top w:val="single" w:sz="4" w:space="0" w:color="1F497D"/>
          <w:bottom w:val="single" w:sz="4" w:space="0" w:color="1F497D"/>
          <w:insideH w:val="single" w:sz="4" w:space="0" w:color="1F497D"/>
          <w:insideV w:val="single" w:sz="4" w:space="0" w:color="1F497D"/>
        </w:tblBorders>
        <w:tblLayout w:type="fixed"/>
        <w:tblLook w:val="0420" w:firstRow="1" w:lastRow="0" w:firstColumn="0" w:lastColumn="0" w:noHBand="0" w:noVBand="1"/>
      </w:tblPr>
      <w:tblGrid>
        <w:gridCol w:w="3769"/>
        <w:gridCol w:w="1660"/>
        <w:gridCol w:w="1509"/>
        <w:gridCol w:w="1567"/>
      </w:tblGrid>
      <w:tr w:rsidR="00706DD1" w:rsidRPr="00BE78CA" w14:paraId="6E5990DE" w14:textId="77777777" w:rsidTr="00FF29B8">
        <w:trPr>
          <w:cantSplit/>
          <w:tblHeader/>
        </w:trPr>
        <w:tc>
          <w:tcPr>
            <w:tcW w:w="2216" w:type="pct"/>
            <w:tcBorders>
              <w:right w:val="single" w:sz="4" w:space="0" w:color="365F91"/>
            </w:tcBorders>
            <w:shd w:val="clear" w:color="auto" w:fill="365F91"/>
            <w:noWrap/>
            <w:vAlign w:val="bottom"/>
            <w:hideMark/>
          </w:tcPr>
          <w:p w14:paraId="4489B525" w14:textId="77777777" w:rsidR="00706DD1" w:rsidRPr="00BE78CA" w:rsidRDefault="00706DD1" w:rsidP="00C26084">
            <w:pPr>
              <w:pStyle w:val="TableTextBold"/>
              <w:rPr>
                <w:rFonts w:cs="Calibri"/>
                <w:noProof w:val="0"/>
                <w:color w:val="FFFFFF"/>
              </w:rPr>
            </w:pPr>
          </w:p>
        </w:tc>
        <w:tc>
          <w:tcPr>
            <w:tcW w:w="976" w:type="pct"/>
            <w:tcBorders>
              <w:top w:val="single" w:sz="4" w:space="0" w:color="365F91"/>
              <w:left w:val="single" w:sz="4" w:space="0" w:color="365F91"/>
              <w:bottom w:val="single" w:sz="4" w:space="0" w:color="365F91"/>
              <w:right w:val="single" w:sz="4" w:space="0" w:color="365F91"/>
            </w:tcBorders>
            <w:shd w:val="clear" w:color="auto" w:fill="365F91"/>
            <w:noWrap/>
            <w:vAlign w:val="bottom"/>
            <w:hideMark/>
          </w:tcPr>
          <w:p w14:paraId="71F72288" w14:textId="77777777" w:rsidR="00706DD1" w:rsidRPr="00BE78CA" w:rsidRDefault="00706DD1" w:rsidP="00C26084">
            <w:pPr>
              <w:pStyle w:val="TableTextBold"/>
              <w:rPr>
                <w:rFonts w:cs="Calibri"/>
                <w:noProof w:val="0"/>
                <w:color w:val="FFFFFF"/>
              </w:rPr>
            </w:pPr>
            <w:r w:rsidRPr="00BE78CA">
              <w:rPr>
                <w:rFonts w:cs="Calibri"/>
                <w:noProof w:val="0"/>
                <w:color w:val="FFFFFF"/>
              </w:rPr>
              <w:t>Liquid fuels</w:t>
            </w:r>
          </w:p>
        </w:tc>
        <w:tc>
          <w:tcPr>
            <w:tcW w:w="887" w:type="pct"/>
            <w:tcBorders>
              <w:top w:val="single" w:sz="4" w:space="0" w:color="365F91"/>
              <w:left w:val="single" w:sz="4" w:space="0" w:color="365F91"/>
              <w:bottom w:val="single" w:sz="4" w:space="0" w:color="365F91"/>
              <w:right w:val="single" w:sz="4" w:space="0" w:color="365F91"/>
            </w:tcBorders>
            <w:shd w:val="clear" w:color="auto" w:fill="365F91"/>
            <w:vAlign w:val="bottom"/>
            <w:hideMark/>
          </w:tcPr>
          <w:p w14:paraId="30F4B04C" w14:textId="77777777" w:rsidR="00706DD1" w:rsidRPr="00BE78CA" w:rsidRDefault="00706DD1" w:rsidP="00C26084">
            <w:pPr>
              <w:pStyle w:val="TableTextBold"/>
              <w:rPr>
                <w:rFonts w:cs="Calibri"/>
                <w:noProof w:val="0"/>
                <w:color w:val="FFFFFF"/>
              </w:rPr>
            </w:pPr>
            <w:r w:rsidRPr="00BE78CA">
              <w:rPr>
                <w:rFonts w:cs="Calibri"/>
                <w:noProof w:val="0"/>
                <w:color w:val="FFFFFF"/>
              </w:rPr>
              <w:t>Solid fuels</w:t>
            </w:r>
          </w:p>
        </w:tc>
        <w:tc>
          <w:tcPr>
            <w:tcW w:w="921" w:type="pct"/>
            <w:tcBorders>
              <w:left w:val="single" w:sz="4" w:space="0" w:color="365F91"/>
            </w:tcBorders>
            <w:shd w:val="clear" w:color="auto" w:fill="365F91"/>
            <w:vAlign w:val="bottom"/>
            <w:hideMark/>
          </w:tcPr>
          <w:p w14:paraId="361C14DF" w14:textId="77777777" w:rsidR="00706DD1" w:rsidRPr="00BE78CA" w:rsidRDefault="00706DD1" w:rsidP="00C26084">
            <w:pPr>
              <w:pStyle w:val="TableTextBold"/>
              <w:rPr>
                <w:rFonts w:cs="Calibri"/>
                <w:noProof w:val="0"/>
                <w:color w:val="FFFFFF"/>
              </w:rPr>
            </w:pPr>
            <w:r w:rsidRPr="00BE78CA">
              <w:rPr>
                <w:rFonts w:cs="Calibri"/>
                <w:noProof w:val="0"/>
                <w:color w:val="FFFFFF"/>
              </w:rPr>
              <w:t>Gaseous fuels</w:t>
            </w:r>
          </w:p>
        </w:tc>
      </w:tr>
      <w:tr w:rsidR="00706DD1" w:rsidRPr="00BE78CA" w14:paraId="593C6FE8" w14:textId="77777777" w:rsidTr="00FF29B8">
        <w:trPr>
          <w:cantSplit/>
        </w:trPr>
        <w:tc>
          <w:tcPr>
            <w:tcW w:w="2216" w:type="pct"/>
            <w:tcBorders>
              <w:right w:val="single" w:sz="4" w:space="0" w:color="365F91"/>
            </w:tcBorders>
            <w:shd w:val="clear" w:color="auto" w:fill="auto"/>
            <w:noWrap/>
            <w:hideMark/>
          </w:tcPr>
          <w:p w14:paraId="7D177707" w14:textId="77777777" w:rsidR="00706DD1" w:rsidRPr="00BE78CA" w:rsidRDefault="00706DD1" w:rsidP="00C26084">
            <w:pPr>
              <w:pStyle w:val="TableText"/>
              <w:spacing w:before="50" w:after="50"/>
              <w:rPr>
                <w:rFonts w:cs="Calibri"/>
              </w:rPr>
            </w:pPr>
            <w:r w:rsidRPr="00BE78CA">
              <w:rPr>
                <w:rFonts w:cs="Calibri"/>
              </w:rPr>
              <w:t>Domestic Aviation – CO</w:t>
            </w:r>
            <w:r w:rsidRPr="00BE78CA">
              <w:rPr>
                <w:rFonts w:cs="Calibri"/>
                <w:vertAlign w:val="subscript"/>
              </w:rPr>
              <w:t>2</w:t>
            </w:r>
          </w:p>
        </w:tc>
        <w:tc>
          <w:tcPr>
            <w:tcW w:w="976" w:type="pct"/>
            <w:tcBorders>
              <w:top w:val="single" w:sz="4" w:space="0" w:color="365F91"/>
              <w:left w:val="single" w:sz="4" w:space="0" w:color="365F91"/>
              <w:bottom w:val="single" w:sz="4" w:space="0" w:color="365F91"/>
              <w:right w:val="single" w:sz="4" w:space="0" w:color="365F91"/>
            </w:tcBorders>
            <w:shd w:val="clear" w:color="auto" w:fill="auto"/>
            <w:noWrap/>
            <w:hideMark/>
          </w:tcPr>
          <w:p w14:paraId="083E346B" w14:textId="77777777" w:rsidR="00706DD1" w:rsidRPr="00BE78CA" w:rsidRDefault="00706DD1" w:rsidP="00C26084">
            <w:pPr>
              <w:pStyle w:val="TableText"/>
              <w:spacing w:before="50" w:after="50"/>
              <w:rPr>
                <w:rFonts w:cs="Calibri"/>
              </w:rPr>
            </w:pPr>
            <w:r w:rsidRPr="00BE78CA">
              <w:rPr>
                <w:rFonts w:cs="Calibri"/>
              </w:rPr>
              <w:t>Level, trend</w:t>
            </w:r>
          </w:p>
        </w:tc>
        <w:tc>
          <w:tcPr>
            <w:tcW w:w="887" w:type="pct"/>
            <w:tcBorders>
              <w:top w:val="single" w:sz="4" w:space="0" w:color="365F91"/>
              <w:left w:val="single" w:sz="4" w:space="0" w:color="365F91"/>
              <w:bottom w:val="single" w:sz="4" w:space="0" w:color="365F91"/>
              <w:right w:val="single" w:sz="4" w:space="0" w:color="365F91"/>
            </w:tcBorders>
            <w:shd w:val="clear" w:color="auto" w:fill="auto"/>
            <w:noWrap/>
            <w:hideMark/>
          </w:tcPr>
          <w:p w14:paraId="556D9D80" w14:textId="77777777" w:rsidR="00706DD1" w:rsidRPr="00BE78CA" w:rsidRDefault="00706DD1" w:rsidP="00C26084">
            <w:pPr>
              <w:pStyle w:val="TableText"/>
              <w:spacing w:before="50" w:after="50"/>
              <w:rPr>
                <w:rFonts w:cs="Calibri"/>
              </w:rPr>
            </w:pPr>
          </w:p>
        </w:tc>
        <w:tc>
          <w:tcPr>
            <w:tcW w:w="921" w:type="pct"/>
            <w:tcBorders>
              <w:left w:val="single" w:sz="4" w:space="0" w:color="365F91"/>
            </w:tcBorders>
            <w:shd w:val="clear" w:color="auto" w:fill="auto"/>
            <w:noWrap/>
            <w:hideMark/>
          </w:tcPr>
          <w:p w14:paraId="69400CEB" w14:textId="77777777" w:rsidR="00706DD1" w:rsidRPr="00BE78CA" w:rsidRDefault="00706DD1" w:rsidP="00C26084">
            <w:pPr>
              <w:pStyle w:val="TableText"/>
              <w:spacing w:before="50" w:after="50"/>
              <w:rPr>
                <w:rFonts w:cs="Calibri"/>
              </w:rPr>
            </w:pPr>
          </w:p>
        </w:tc>
      </w:tr>
      <w:tr w:rsidR="00706DD1" w:rsidRPr="00BE78CA" w14:paraId="67DC8A84" w14:textId="77777777" w:rsidTr="00FF29B8">
        <w:trPr>
          <w:cantSplit/>
        </w:trPr>
        <w:tc>
          <w:tcPr>
            <w:tcW w:w="2216" w:type="pct"/>
            <w:tcBorders>
              <w:right w:val="single" w:sz="4" w:space="0" w:color="365F91"/>
            </w:tcBorders>
            <w:shd w:val="clear" w:color="auto" w:fill="auto"/>
            <w:noWrap/>
            <w:hideMark/>
          </w:tcPr>
          <w:p w14:paraId="7E9DFDA1" w14:textId="77777777" w:rsidR="00706DD1" w:rsidRPr="00BE78CA" w:rsidRDefault="00706DD1" w:rsidP="00C26084">
            <w:pPr>
              <w:pStyle w:val="TableText"/>
              <w:spacing w:before="50" w:after="50"/>
              <w:rPr>
                <w:rFonts w:cs="Calibri"/>
              </w:rPr>
            </w:pPr>
            <w:r w:rsidRPr="00BE78CA">
              <w:rPr>
                <w:rFonts w:cs="Calibri"/>
              </w:rPr>
              <w:t>Road Transportation – CO</w:t>
            </w:r>
            <w:r w:rsidRPr="00BE78CA">
              <w:rPr>
                <w:rFonts w:cs="Calibri"/>
                <w:vertAlign w:val="subscript"/>
              </w:rPr>
              <w:t>2</w:t>
            </w:r>
          </w:p>
        </w:tc>
        <w:tc>
          <w:tcPr>
            <w:tcW w:w="976" w:type="pct"/>
            <w:tcBorders>
              <w:top w:val="single" w:sz="4" w:space="0" w:color="365F91"/>
              <w:left w:val="single" w:sz="4" w:space="0" w:color="365F91"/>
              <w:bottom w:val="single" w:sz="4" w:space="0" w:color="365F91"/>
              <w:right w:val="single" w:sz="4" w:space="0" w:color="365F91"/>
            </w:tcBorders>
            <w:shd w:val="clear" w:color="auto" w:fill="auto"/>
            <w:noWrap/>
            <w:hideMark/>
          </w:tcPr>
          <w:p w14:paraId="0E180E57" w14:textId="77777777" w:rsidR="00706DD1" w:rsidRPr="00BE78CA" w:rsidRDefault="00706DD1" w:rsidP="00C26084">
            <w:pPr>
              <w:pStyle w:val="TableText"/>
              <w:spacing w:before="50" w:after="50"/>
              <w:rPr>
                <w:rFonts w:cs="Calibri"/>
              </w:rPr>
            </w:pPr>
            <w:r w:rsidRPr="00BE78CA">
              <w:rPr>
                <w:rFonts w:cs="Calibri"/>
              </w:rPr>
              <w:t>Level, trend</w:t>
            </w:r>
          </w:p>
        </w:tc>
        <w:tc>
          <w:tcPr>
            <w:tcW w:w="887" w:type="pct"/>
            <w:tcBorders>
              <w:top w:val="single" w:sz="4" w:space="0" w:color="365F91"/>
              <w:left w:val="single" w:sz="4" w:space="0" w:color="365F91"/>
              <w:bottom w:val="single" w:sz="4" w:space="0" w:color="365F91"/>
              <w:right w:val="single" w:sz="4" w:space="0" w:color="365F91"/>
            </w:tcBorders>
            <w:shd w:val="clear" w:color="auto" w:fill="auto"/>
            <w:noWrap/>
          </w:tcPr>
          <w:p w14:paraId="4BEAD507" w14:textId="77777777" w:rsidR="00706DD1" w:rsidRPr="00BE78CA" w:rsidRDefault="00706DD1" w:rsidP="00C26084">
            <w:pPr>
              <w:pStyle w:val="TableText"/>
              <w:spacing w:before="50" w:after="50"/>
              <w:jc w:val="center"/>
              <w:rPr>
                <w:rFonts w:cs="Calibri"/>
              </w:rPr>
            </w:pPr>
          </w:p>
        </w:tc>
        <w:tc>
          <w:tcPr>
            <w:tcW w:w="921" w:type="pct"/>
            <w:tcBorders>
              <w:left w:val="single" w:sz="4" w:space="0" w:color="365F91"/>
            </w:tcBorders>
            <w:shd w:val="clear" w:color="auto" w:fill="auto"/>
            <w:noWrap/>
            <w:hideMark/>
          </w:tcPr>
          <w:p w14:paraId="0AFB5AF1" w14:textId="77777777" w:rsidR="00706DD1" w:rsidRPr="00BE78CA" w:rsidRDefault="00706DD1" w:rsidP="00C26084">
            <w:pPr>
              <w:pStyle w:val="TableText"/>
              <w:spacing w:before="50" w:after="50"/>
              <w:rPr>
                <w:rFonts w:cs="Calibri"/>
              </w:rPr>
            </w:pPr>
            <w:r w:rsidRPr="00BE78CA">
              <w:rPr>
                <w:rFonts w:cs="Calibri"/>
              </w:rPr>
              <w:t>Trend</w:t>
            </w:r>
          </w:p>
        </w:tc>
      </w:tr>
      <w:tr w:rsidR="00706DD1" w:rsidRPr="00BE78CA" w14:paraId="126E8922" w14:textId="77777777" w:rsidTr="00FF29B8">
        <w:trPr>
          <w:cantSplit/>
        </w:trPr>
        <w:tc>
          <w:tcPr>
            <w:tcW w:w="2216" w:type="pct"/>
            <w:tcBorders>
              <w:right w:val="single" w:sz="4" w:space="0" w:color="365F91"/>
            </w:tcBorders>
            <w:shd w:val="clear" w:color="auto" w:fill="auto"/>
            <w:noWrap/>
          </w:tcPr>
          <w:p w14:paraId="12BAE849" w14:textId="77777777" w:rsidR="00706DD1" w:rsidRPr="00BE78CA" w:rsidRDefault="00706DD1" w:rsidP="00C26084">
            <w:pPr>
              <w:pStyle w:val="TableText"/>
              <w:spacing w:before="50" w:after="50"/>
              <w:rPr>
                <w:rFonts w:cs="Calibri"/>
              </w:rPr>
            </w:pPr>
            <w:r w:rsidRPr="00BE78CA">
              <w:rPr>
                <w:rFonts w:cs="Calibri"/>
              </w:rPr>
              <w:t>Domestic Navigation – CO</w:t>
            </w:r>
            <w:r w:rsidRPr="00BE78CA">
              <w:rPr>
                <w:rFonts w:cs="Calibri"/>
                <w:vertAlign w:val="subscript"/>
              </w:rPr>
              <w:t>2</w:t>
            </w:r>
          </w:p>
        </w:tc>
        <w:tc>
          <w:tcPr>
            <w:tcW w:w="976" w:type="pct"/>
            <w:tcBorders>
              <w:top w:val="single" w:sz="4" w:space="0" w:color="365F91"/>
              <w:left w:val="single" w:sz="4" w:space="0" w:color="365F91"/>
              <w:bottom w:val="single" w:sz="4" w:space="0" w:color="365F91"/>
              <w:right w:val="single" w:sz="4" w:space="0" w:color="365F91"/>
            </w:tcBorders>
            <w:shd w:val="clear" w:color="auto" w:fill="auto"/>
            <w:noWrap/>
          </w:tcPr>
          <w:p w14:paraId="276DF570" w14:textId="77777777" w:rsidR="00706DD1" w:rsidRPr="00BE78CA" w:rsidRDefault="00706DD1" w:rsidP="00C26084">
            <w:pPr>
              <w:pStyle w:val="TableText"/>
              <w:spacing w:before="50" w:after="50"/>
              <w:rPr>
                <w:rFonts w:cs="Calibri"/>
              </w:rPr>
            </w:pPr>
            <w:r w:rsidRPr="00BE78CA">
              <w:rPr>
                <w:rFonts w:cs="Calibri"/>
              </w:rPr>
              <w:t>Level</w:t>
            </w:r>
          </w:p>
        </w:tc>
        <w:tc>
          <w:tcPr>
            <w:tcW w:w="887" w:type="pct"/>
            <w:tcBorders>
              <w:top w:val="single" w:sz="4" w:space="0" w:color="365F91"/>
              <w:left w:val="single" w:sz="4" w:space="0" w:color="365F91"/>
              <w:bottom w:val="single" w:sz="4" w:space="0" w:color="365F91"/>
              <w:right w:val="single" w:sz="4" w:space="0" w:color="365F91"/>
            </w:tcBorders>
            <w:shd w:val="clear" w:color="auto" w:fill="auto"/>
            <w:noWrap/>
          </w:tcPr>
          <w:p w14:paraId="406D9704" w14:textId="77777777" w:rsidR="00706DD1" w:rsidRPr="00BE78CA" w:rsidRDefault="00706DD1" w:rsidP="00C26084">
            <w:pPr>
              <w:pStyle w:val="TableText"/>
              <w:spacing w:before="50" w:after="50"/>
              <w:jc w:val="center"/>
              <w:rPr>
                <w:rFonts w:cs="Calibri"/>
              </w:rPr>
            </w:pPr>
          </w:p>
        </w:tc>
        <w:tc>
          <w:tcPr>
            <w:tcW w:w="921" w:type="pct"/>
            <w:tcBorders>
              <w:left w:val="single" w:sz="4" w:space="0" w:color="365F91"/>
            </w:tcBorders>
            <w:shd w:val="clear" w:color="auto" w:fill="auto"/>
            <w:noWrap/>
          </w:tcPr>
          <w:p w14:paraId="47473950" w14:textId="77777777" w:rsidR="00706DD1" w:rsidRPr="00BE78CA" w:rsidRDefault="00706DD1" w:rsidP="00C26084">
            <w:pPr>
              <w:pStyle w:val="TableText"/>
              <w:spacing w:before="50" w:after="50"/>
              <w:rPr>
                <w:rFonts w:cs="Calibri"/>
              </w:rPr>
            </w:pPr>
          </w:p>
        </w:tc>
      </w:tr>
    </w:tbl>
    <w:p w14:paraId="358F9360" w14:textId="77777777" w:rsidR="00706DD1" w:rsidRPr="00BE78CA" w:rsidRDefault="00706DD1" w:rsidP="00706DD1">
      <w:pPr>
        <w:pStyle w:val="Heading4"/>
        <w:rPr>
          <w:lang w:eastAsia="en-GB"/>
        </w:rPr>
      </w:pPr>
      <w:r w:rsidRPr="00BE78CA">
        <w:rPr>
          <w:lang w:eastAsia="en-GB"/>
        </w:rPr>
        <w:t>Methodological issues</w:t>
      </w:r>
    </w:p>
    <w:p w14:paraId="6015A24A" w14:textId="77777777" w:rsidR="00706DD1" w:rsidRPr="00BE78CA" w:rsidRDefault="00706DD1" w:rsidP="00706DD1">
      <w:pPr>
        <w:pStyle w:val="Heading5"/>
        <w:spacing w:before="120"/>
        <w:rPr>
          <w:rFonts w:cs="Calibri"/>
        </w:rPr>
      </w:pPr>
      <w:r w:rsidRPr="00BE78CA">
        <w:rPr>
          <w:rFonts w:cs="Calibri"/>
          <w:lang w:eastAsia="en-GB"/>
        </w:rPr>
        <w:t xml:space="preserve">1.A.3.a </w:t>
      </w:r>
      <w:r w:rsidRPr="00BE78CA">
        <w:rPr>
          <w:rFonts w:cs="Calibri"/>
        </w:rPr>
        <w:t>Civil</w:t>
      </w:r>
      <w:r w:rsidRPr="00BE78CA">
        <w:rPr>
          <w:rFonts w:cs="Calibri"/>
          <w:lang w:eastAsia="en-GB"/>
        </w:rPr>
        <w:t xml:space="preserve"> aviation</w:t>
      </w:r>
    </w:p>
    <w:p w14:paraId="38FFD79C" w14:textId="679F1210" w:rsidR="00706DD1" w:rsidRPr="00BE78CA" w:rsidRDefault="00706DD1" w:rsidP="00706DD1">
      <w:pPr>
        <w:pStyle w:val="BodyText"/>
        <w:spacing w:before="100" w:after="100"/>
        <w:rPr>
          <w:rFonts w:cs="Calibri"/>
          <w:lang w:eastAsia="en-GB"/>
        </w:rPr>
      </w:pPr>
      <w:r w:rsidRPr="00BE78CA">
        <w:rPr>
          <w:rFonts w:cs="Calibri"/>
          <w:lang w:eastAsia="en-GB"/>
        </w:rPr>
        <w:t>A Tier 1 approach (IPCC, 2006) that does not use landing and take-off cycles has been taken to</w:t>
      </w:r>
      <w:r w:rsidR="004F5D08" w:rsidRPr="00BE78CA">
        <w:rPr>
          <w:rFonts w:cs="Calibri"/>
          <w:lang w:eastAsia="en-GB"/>
        </w:rPr>
        <w:t> </w:t>
      </w:r>
      <w:r w:rsidRPr="00BE78CA">
        <w:rPr>
          <w:rFonts w:cs="Calibri"/>
          <w:lang w:eastAsia="en-GB"/>
        </w:rPr>
        <w:t xml:space="preserve">estimate emissions from the </w:t>
      </w:r>
      <w:r w:rsidRPr="00BE78CA">
        <w:rPr>
          <w:rFonts w:cs="Calibri"/>
          <w:i/>
          <w:lang w:eastAsia="en-GB"/>
        </w:rPr>
        <w:t>Civil aviation</w:t>
      </w:r>
      <w:r w:rsidRPr="00BE78CA">
        <w:rPr>
          <w:rFonts w:cs="Calibri"/>
          <w:lang w:eastAsia="en-GB"/>
        </w:rPr>
        <w:t xml:space="preserve"> category. Given the uncertainty surrounding </w:t>
      </w:r>
      <w:r w:rsidRPr="00BE78CA">
        <w:rPr>
          <w:rFonts w:cs="Calibri"/>
        </w:rPr>
        <w:t>CH</w:t>
      </w:r>
      <w:r w:rsidRPr="00BE78CA">
        <w:rPr>
          <w:rFonts w:cs="Calibri"/>
          <w:vertAlign w:val="subscript"/>
        </w:rPr>
        <w:t>4</w:t>
      </w:r>
      <w:r w:rsidR="004F5D08" w:rsidRPr="00BE78CA">
        <w:rPr>
          <w:rFonts w:cs="Calibri"/>
          <w:lang w:eastAsia="en-GB"/>
        </w:rPr>
        <w:t> </w:t>
      </w:r>
      <w:r w:rsidRPr="00BE78CA">
        <w:rPr>
          <w:rFonts w:cs="Calibri"/>
          <w:lang w:eastAsia="en-GB"/>
        </w:rPr>
        <w:t xml:space="preserve">and </w:t>
      </w:r>
      <w:r w:rsidRPr="00BE78CA">
        <w:rPr>
          <w:rFonts w:cs="Calibri"/>
        </w:rPr>
        <w:t>N</w:t>
      </w:r>
      <w:r w:rsidRPr="00BE78CA">
        <w:rPr>
          <w:rFonts w:cs="Calibri"/>
          <w:vertAlign w:val="subscript"/>
        </w:rPr>
        <w:t>2</w:t>
      </w:r>
      <w:r w:rsidRPr="00BE78CA">
        <w:rPr>
          <w:rFonts w:cs="Calibri"/>
        </w:rPr>
        <w:t>O</w:t>
      </w:r>
      <w:r w:rsidRPr="00BE78CA">
        <w:rPr>
          <w:rFonts w:cs="Calibri"/>
          <w:lang w:eastAsia="en-GB"/>
        </w:rPr>
        <w:t xml:space="preserve"> emission factors for landing and take-off cycles, a Tier 2 approach to estimating non-CO</w:t>
      </w:r>
      <w:r w:rsidRPr="00BE78CA">
        <w:rPr>
          <w:rFonts w:cs="Calibri"/>
          <w:vertAlign w:val="subscript"/>
          <w:lang w:eastAsia="en-GB"/>
        </w:rPr>
        <w:t>2</w:t>
      </w:r>
      <w:r w:rsidRPr="00BE78CA">
        <w:rPr>
          <w:rFonts w:cs="Calibri"/>
          <w:lang w:eastAsia="en-GB"/>
        </w:rPr>
        <w:t xml:space="preserve"> emissions would not necessarily reduce uncertainty (IPCC, 2006).</w:t>
      </w:r>
    </w:p>
    <w:p w14:paraId="49FF56A2" w14:textId="77777777" w:rsidR="00706DD1" w:rsidRPr="00BE78CA" w:rsidRDefault="00706DD1" w:rsidP="00706DD1">
      <w:pPr>
        <w:pStyle w:val="Heading5"/>
        <w:rPr>
          <w:rFonts w:cs="Calibri"/>
          <w:lang w:eastAsia="en-GB"/>
        </w:rPr>
      </w:pPr>
      <w:r w:rsidRPr="00BE78CA">
        <w:rPr>
          <w:rFonts w:cs="Calibri"/>
          <w:szCs w:val="22"/>
        </w:rPr>
        <w:t xml:space="preserve">1.A.3.b </w:t>
      </w:r>
      <w:r w:rsidRPr="00BE78CA">
        <w:rPr>
          <w:rFonts w:cs="Calibri"/>
          <w:lang w:eastAsia="en-GB"/>
        </w:rPr>
        <w:t xml:space="preserve">Road </w:t>
      </w:r>
      <w:r w:rsidRPr="00BE78CA">
        <w:rPr>
          <w:rFonts w:cs="Calibri"/>
        </w:rPr>
        <w:t>transportation</w:t>
      </w:r>
    </w:p>
    <w:p w14:paraId="63AB7252" w14:textId="77777777" w:rsidR="00706DD1" w:rsidRPr="00BE78CA" w:rsidRDefault="00706DD1" w:rsidP="00706DD1">
      <w:pPr>
        <w:pStyle w:val="BodyText"/>
        <w:spacing w:after="100"/>
        <w:rPr>
          <w:rFonts w:cs="Calibri"/>
          <w:lang w:eastAsia="en-GB"/>
        </w:rPr>
      </w:pPr>
      <w:r w:rsidRPr="00BE78CA">
        <w:rPr>
          <w:rFonts w:cs="Calibri"/>
          <w:lang w:eastAsia="en-GB"/>
        </w:rPr>
        <w:t xml:space="preserve">The IPCC 2006 Tier 2 approach was used to calculate </w:t>
      </w:r>
      <w:r w:rsidRPr="00BE78CA">
        <w:rPr>
          <w:rFonts w:cs="Calibri"/>
        </w:rPr>
        <w:t>CO</w:t>
      </w:r>
      <w:r w:rsidRPr="00BE78CA">
        <w:rPr>
          <w:rFonts w:cs="Calibri"/>
          <w:vertAlign w:val="subscript"/>
        </w:rPr>
        <w:t>2</w:t>
      </w:r>
      <w:r w:rsidRPr="00BE78CA">
        <w:rPr>
          <w:rFonts w:cs="Calibri"/>
          <w:sz w:val="14"/>
          <w:szCs w:val="14"/>
          <w:lang w:eastAsia="en-GB"/>
        </w:rPr>
        <w:t xml:space="preserve"> </w:t>
      </w:r>
      <w:r w:rsidRPr="00BE78CA">
        <w:rPr>
          <w:rFonts w:cs="Calibri"/>
          <w:lang w:eastAsia="en-GB"/>
        </w:rPr>
        <w:t xml:space="preserve">emissions from </w:t>
      </w:r>
      <w:r w:rsidRPr="00BE78CA">
        <w:rPr>
          <w:rFonts w:cs="Calibri"/>
          <w:i/>
          <w:lang w:eastAsia="en-GB"/>
        </w:rPr>
        <w:t>Road transportation</w:t>
      </w:r>
      <w:r w:rsidRPr="00BE78CA">
        <w:rPr>
          <w:rFonts w:cs="Calibri"/>
          <w:lang w:eastAsia="en-GB"/>
        </w:rPr>
        <w:t xml:space="preserve"> using New Zealand-specific emission factors. The emission factors were calculated using data provided by New Zealand’s sole oil refinery for oil products and the weighted average emission factor of New Zealand </w:t>
      </w:r>
      <w:r w:rsidRPr="00BE78CA">
        <w:rPr>
          <w:rFonts w:cs="Calibri"/>
        </w:rPr>
        <w:t xml:space="preserve">natural </w:t>
      </w:r>
      <w:r w:rsidRPr="00BE78CA">
        <w:rPr>
          <w:rFonts w:cs="Calibri"/>
          <w:lang w:eastAsia="en-GB"/>
        </w:rPr>
        <w:t xml:space="preserve">gas fields for compressed natural gas (CNG). </w:t>
      </w:r>
    </w:p>
    <w:p w14:paraId="434D9C17" w14:textId="39D0F16D" w:rsidR="00706DD1" w:rsidRPr="00BE78CA" w:rsidRDefault="00706DD1" w:rsidP="00706DD1">
      <w:pPr>
        <w:pStyle w:val="BodyText"/>
        <w:spacing w:after="100"/>
        <w:rPr>
          <w:rFonts w:cs="Calibri"/>
          <w:lang w:eastAsia="en-GB"/>
        </w:rPr>
      </w:pPr>
      <w:r w:rsidRPr="00BE78CA">
        <w:rPr>
          <w:rFonts w:cs="Calibri"/>
          <w:lang w:eastAsia="en-GB"/>
        </w:rPr>
        <w:t xml:space="preserve">Since the 2012 submission, New Zealand has used a Tier 3 (IPCC, 2006) methodology to estimate </w:t>
      </w:r>
      <w:r w:rsidRPr="00BE78CA">
        <w:rPr>
          <w:rFonts w:cs="Calibri"/>
        </w:rPr>
        <w:t>CH</w:t>
      </w:r>
      <w:r w:rsidRPr="00BE78CA">
        <w:rPr>
          <w:rFonts w:cs="Calibri"/>
          <w:vertAlign w:val="subscript"/>
        </w:rPr>
        <w:t>4</w:t>
      </w:r>
      <w:r w:rsidRPr="00BE78CA">
        <w:rPr>
          <w:rFonts w:cs="Calibri"/>
          <w:lang w:eastAsia="en-GB"/>
        </w:rPr>
        <w:t xml:space="preserve"> and </w:t>
      </w:r>
      <w:r w:rsidRPr="00BE78CA">
        <w:rPr>
          <w:rFonts w:cs="Calibri"/>
        </w:rPr>
        <w:t>N</w:t>
      </w:r>
      <w:r w:rsidRPr="00BE78CA">
        <w:rPr>
          <w:rFonts w:cs="Calibri"/>
          <w:vertAlign w:val="subscript"/>
        </w:rPr>
        <w:t>2</w:t>
      </w:r>
      <w:r w:rsidRPr="00BE78CA">
        <w:rPr>
          <w:rFonts w:cs="Calibri"/>
        </w:rPr>
        <w:t>O</w:t>
      </w:r>
      <w:r w:rsidRPr="00BE78CA">
        <w:rPr>
          <w:rFonts w:cs="Calibri"/>
          <w:lang w:eastAsia="en-GB"/>
        </w:rPr>
        <w:t xml:space="preserve"> emissions from road transport. Data collected by New Zealand’s Ministry of Transport provide comprehensive information on vehicle-kilometres-travelled by vehicle class and fuel type from 2001 to 20</w:t>
      </w:r>
      <w:r w:rsidRPr="00BE78CA">
        <w:rPr>
          <w:rFonts w:cs="Calibri"/>
        </w:rPr>
        <w:t>16</w:t>
      </w:r>
      <w:r w:rsidRPr="00BE78CA">
        <w:rPr>
          <w:rFonts w:cs="Calibri"/>
          <w:lang w:eastAsia="en-GB"/>
        </w:rPr>
        <w:t>. Before 2001, insufficient data were available,</w:t>
      </w:r>
      <w:r w:rsidR="00276E6A" w:rsidRPr="00BE78CA">
        <w:rPr>
          <w:rFonts w:cs="Calibri"/>
          <w:lang w:eastAsia="en-GB"/>
        </w:rPr>
        <w:t> </w:t>
      </w:r>
      <w:r w:rsidRPr="00BE78CA">
        <w:rPr>
          <w:rFonts w:cs="Calibri"/>
          <w:lang w:eastAsia="en-GB"/>
        </w:rPr>
        <w:t>so good practice guidance was used in choosing the splicing method to ensure time</w:t>
      </w:r>
      <w:r w:rsidR="00276E6A" w:rsidRPr="00BE78CA">
        <w:rPr>
          <w:rFonts w:cs="Calibri"/>
          <w:lang w:eastAsia="en-GB"/>
        </w:rPr>
        <w:noBreakHyphen/>
      </w:r>
      <w:r w:rsidRPr="00BE78CA">
        <w:rPr>
          <w:rFonts w:cs="Calibri"/>
          <w:lang w:eastAsia="en-GB"/>
        </w:rPr>
        <w:t>series consistency.</w:t>
      </w:r>
    </w:p>
    <w:p w14:paraId="1369F234" w14:textId="77777777" w:rsidR="00706DD1" w:rsidRPr="00BE78CA" w:rsidRDefault="00706DD1" w:rsidP="00FF29B8">
      <w:pPr>
        <w:pStyle w:val="BodyText"/>
        <w:keepNext/>
        <w:rPr>
          <w:rFonts w:cs="Calibri"/>
        </w:rPr>
      </w:pPr>
      <w:r w:rsidRPr="00BE78CA">
        <w:rPr>
          <w:rFonts w:cs="Calibri"/>
        </w:rPr>
        <w:lastRenderedPageBreak/>
        <w:t>The current New Zealand vehicle fleet is split evenly between vehicles:</w:t>
      </w:r>
    </w:p>
    <w:p w14:paraId="627D722E" w14:textId="77777777" w:rsidR="00706DD1" w:rsidRPr="00BE78CA" w:rsidRDefault="00706DD1" w:rsidP="00706DD1">
      <w:pPr>
        <w:pStyle w:val="Bullet"/>
        <w:rPr>
          <w:rFonts w:cs="Calibri"/>
        </w:rPr>
      </w:pPr>
      <w:r w:rsidRPr="00BE78CA">
        <w:rPr>
          <w:rFonts w:cs="Calibri"/>
        </w:rPr>
        <w:t>manufactured in New Zealand</w:t>
      </w:r>
      <w:r w:rsidRPr="00BE78CA">
        <w:rPr>
          <w:rFonts w:cs="Calibri"/>
          <w:vertAlign w:val="superscript"/>
        </w:rPr>
        <w:footnoteReference w:id="32"/>
      </w:r>
      <w:r w:rsidRPr="00BE78CA">
        <w:rPr>
          <w:rFonts w:cs="Calibri"/>
        </w:rPr>
        <w:t xml:space="preserve"> or imported for sale as new vehicles</w:t>
      </w:r>
    </w:p>
    <w:p w14:paraId="01923EE2" w14:textId="77777777" w:rsidR="00706DD1" w:rsidRPr="00BE78CA" w:rsidRDefault="00706DD1" w:rsidP="00706DD1">
      <w:pPr>
        <w:pStyle w:val="Bullet"/>
        <w:rPr>
          <w:rFonts w:cs="Calibri"/>
        </w:rPr>
      </w:pPr>
      <w:r w:rsidRPr="00BE78CA">
        <w:rPr>
          <w:rFonts w:cs="Calibri"/>
        </w:rPr>
        <w:t>produced and used in Japan and then imported into New Zealand.</w:t>
      </w:r>
    </w:p>
    <w:p w14:paraId="6283145B" w14:textId="77777777" w:rsidR="00706DD1" w:rsidRPr="00BE78CA" w:rsidRDefault="00706DD1" w:rsidP="00FF29B8">
      <w:pPr>
        <w:pStyle w:val="BodyText"/>
      </w:pPr>
      <w:r w:rsidRPr="00BE78CA">
        <w:t>This split has been relatively constant for the past nine years.</w:t>
      </w:r>
    </w:p>
    <w:p w14:paraId="59B0C000" w14:textId="77777777" w:rsidR="00706DD1" w:rsidRPr="00BE78CA" w:rsidRDefault="00706DD1" w:rsidP="00FF29B8">
      <w:pPr>
        <w:pStyle w:val="BodyText"/>
      </w:pPr>
      <w:r w:rsidRPr="00BE78CA">
        <w:t>For this reason, when estimating emissions from road transport, the New Zealand vehicle fleet (and associated CH</w:t>
      </w:r>
      <w:r w:rsidRPr="00BE78CA">
        <w:rPr>
          <w:vertAlign w:val="subscript"/>
        </w:rPr>
        <w:t>4</w:t>
      </w:r>
      <w:r w:rsidRPr="00BE78CA">
        <w:t xml:space="preserve"> and N</w:t>
      </w:r>
      <w:r w:rsidRPr="00BE78CA">
        <w:rPr>
          <w:vertAlign w:val="subscript"/>
        </w:rPr>
        <w:t>2</w:t>
      </w:r>
      <w:r w:rsidRPr="00BE78CA">
        <w:t xml:space="preserve">O emissions) is split into the ‘new vehicle fleet’ and ‘used vehicle fleet’ (based on a vehicle’s year of manufacture rather than when they are first added to the New Zealand fleet). </w:t>
      </w:r>
    </w:p>
    <w:p w14:paraId="6CC2963D" w14:textId="77777777" w:rsidR="00706DD1" w:rsidRPr="00BE78CA" w:rsidRDefault="00706DD1" w:rsidP="00FF29B8">
      <w:pPr>
        <w:pStyle w:val="BodyText"/>
      </w:pPr>
      <w:r w:rsidRPr="00BE78CA">
        <w:t>New vehicles were allocated an appropriate vehicle class from the COPERT 4 model (European Environment Agency, 2007), and used Japanese vehicles were allocated emission factors as per categories from the Japanese Ministry of the Environment. These emission factors are broken down by:</w:t>
      </w:r>
    </w:p>
    <w:p w14:paraId="000AA4FD" w14:textId="77777777" w:rsidR="00706DD1" w:rsidRPr="00BE78CA" w:rsidRDefault="00706DD1" w:rsidP="00706DD1">
      <w:pPr>
        <w:pStyle w:val="Bullet"/>
        <w:rPr>
          <w:rFonts w:cs="Calibri"/>
        </w:rPr>
      </w:pPr>
      <w:r w:rsidRPr="00BE78CA">
        <w:rPr>
          <w:rFonts w:cs="Calibri"/>
        </w:rPr>
        <w:t>vehicle type</w:t>
      </w:r>
    </w:p>
    <w:p w14:paraId="33683715" w14:textId="77777777" w:rsidR="00706DD1" w:rsidRPr="00BE78CA" w:rsidRDefault="00706DD1" w:rsidP="00706DD1">
      <w:pPr>
        <w:pStyle w:val="Bullet"/>
        <w:rPr>
          <w:rFonts w:cs="Calibri"/>
        </w:rPr>
      </w:pPr>
      <w:r w:rsidRPr="00BE78CA">
        <w:rPr>
          <w:rFonts w:cs="Calibri"/>
        </w:rPr>
        <w:t xml:space="preserve">fuel type </w:t>
      </w:r>
    </w:p>
    <w:p w14:paraId="4015EACF" w14:textId="77777777" w:rsidR="00706DD1" w:rsidRPr="00BE78CA" w:rsidRDefault="00706DD1" w:rsidP="00706DD1">
      <w:pPr>
        <w:pStyle w:val="Bullet"/>
        <w:rPr>
          <w:rFonts w:cs="Calibri"/>
        </w:rPr>
      </w:pPr>
      <w:r w:rsidRPr="00BE78CA">
        <w:rPr>
          <w:rFonts w:cs="Calibri"/>
        </w:rPr>
        <w:t xml:space="preserve">vehicle weight class </w:t>
      </w:r>
    </w:p>
    <w:p w14:paraId="23DDE7EF" w14:textId="77777777" w:rsidR="00706DD1" w:rsidRPr="00BE78CA" w:rsidRDefault="00706DD1" w:rsidP="00706DD1">
      <w:pPr>
        <w:pStyle w:val="Bullet"/>
        <w:rPr>
          <w:rFonts w:cs="Calibri"/>
        </w:rPr>
      </w:pPr>
      <w:r w:rsidRPr="00BE78CA">
        <w:rPr>
          <w:rFonts w:cs="Calibri"/>
        </w:rPr>
        <w:t>year of manufacture.</w:t>
      </w:r>
    </w:p>
    <w:p w14:paraId="13178269" w14:textId="77777777" w:rsidR="00706DD1" w:rsidRPr="00BE78CA" w:rsidRDefault="00706DD1" w:rsidP="00706DD1">
      <w:pPr>
        <w:pStyle w:val="BodyText"/>
        <w:rPr>
          <w:rFonts w:cs="Calibri"/>
        </w:rPr>
      </w:pPr>
      <w:r w:rsidRPr="00BE78CA">
        <w:rPr>
          <w:rFonts w:cs="Calibri"/>
        </w:rPr>
        <w:t xml:space="preserve">Due to the presence of expensive catalysts, many used vehicles imported into New Zealand had their catalytic converters removed before being exported from Japan. The Ministry of Transport undertook several testing studies to determine the proportion of catalytic converters that are removed in Japan before export. </w:t>
      </w:r>
    </w:p>
    <w:p w14:paraId="07F2ADAC" w14:textId="77777777" w:rsidR="00706DD1" w:rsidRPr="00BE78CA" w:rsidRDefault="00706DD1" w:rsidP="00706DD1">
      <w:pPr>
        <w:pStyle w:val="BodyText"/>
        <w:rPr>
          <w:rFonts w:cs="Calibri"/>
        </w:rPr>
      </w:pPr>
      <w:r w:rsidRPr="00BE78CA">
        <w:rPr>
          <w:rFonts w:cs="Calibri"/>
        </w:rPr>
        <w:t>Information on non-CO</w:t>
      </w:r>
      <w:r w:rsidRPr="00BE78CA">
        <w:rPr>
          <w:rFonts w:cs="Calibri"/>
          <w:vertAlign w:val="subscript"/>
        </w:rPr>
        <w:t>2</w:t>
      </w:r>
      <w:r w:rsidRPr="00BE78CA">
        <w:rPr>
          <w:rFonts w:cs="Calibri"/>
        </w:rPr>
        <w:t xml:space="preserve"> emission factors can be found in annex 4, table A4.7.</w:t>
      </w:r>
    </w:p>
    <w:p w14:paraId="03FD4374" w14:textId="77777777" w:rsidR="00706DD1" w:rsidRPr="00BE78CA" w:rsidRDefault="00706DD1" w:rsidP="00706DD1">
      <w:pPr>
        <w:pStyle w:val="BodyText"/>
        <w:rPr>
          <w:rFonts w:cs="Calibri"/>
        </w:rPr>
      </w:pPr>
      <w:r w:rsidRPr="00BE78CA">
        <w:rPr>
          <w:rFonts w:cs="Calibri"/>
        </w:rPr>
        <w:t xml:space="preserve">Vehicle-kilometres-travelled were sourced from national six-monthly warrant of fitness inspections. These were further split into travel type (urban, rural, highway, motorway) using New Zealand’s Road Assessment and Maintenance Management system. </w:t>
      </w:r>
    </w:p>
    <w:p w14:paraId="261173D0" w14:textId="77777777" w:rsidR="00706DD1" w:rsidRPr="00BE78CA" w:rsidRDefault="00706DD1" w:rsidP="00706DD1">
      <w:pPr>
        <w:pStyle w:val="BodyText"/>
        <w:rPr>
          <w:rFonts w:cs="Calibri"/>
        </w:rPr>
      </w:pPr>
      <w:r w:rsidRPr="00BE78CA">
        <w:rPr>
          <w:rFonts w:cs="Calibri"/>
        </w:rPr>
        <w:t xml:space="preserve">The </w:t>
      </w:r>
      <w:r w:rsidRPr="00BE78CA">
        <w:rPr>
          <w:rFonts w:cs="Calibri"/>
          <w:i/>
        </w:rPr>
        <w:t>New Zealand Travel Survey</w:t>
      </w:r>
      <w:r w:rsidRPr="00BE78CA">
        <w:rPr>
          <w:rFonts w:cs="Calibri"/>
        </w:rPr>
        <w:t xml:space="preserve"> (Ministry of Transport, 2010) is used to further split the ‘urban’ travel type into cold and hot starts. This survey provides detailed trip-by-trip information on travel type. These data were used to establish the percentage of light-vehicle urban travel that was cold and hot starts.</w:t>
      </w:r>
    </w:p>
    <w:p w14:paraId="0694AEA9" w14:textId="77777777" w:rsidR="00706DD1" w:rsidRPr="00BE78CA" w:rsidRDefault="00706DD1" w:rsidP="00706DD1">
      <w:pPr>
        <w:pStyle w:val="BodyText"/>
        <w:rPr>
          <w:rFonts w:cs="Calibri"/>
        </w:rPr>
      </w:pPr>
      <w:r w:rsidRPr="00BE78CA">
        <w:rPr>
          <w:rFonts w:cs="Calibri"/>
          <w:lang w:eastAsia="en-GB"/>
        </w:rPr>
        <w:t xml:space="preserve">MBIE </w:t>
      </w:r>
      <w:r w:rsidRPr="00BE78CA">
        <w:rPr>
          <w:rFonts w:cs="Calibri"/>
        </w:rPr>
        <w:t>and the Ministry for the Environment met with the Australian inventory reporting team in July 2011 to conduct a review of proposed methodologies for calculating emissions of CH</w:t>
      </w:r>
      <w:r w:rsidRPr="00BE78CA">
        <w:rPr>
          <w:rFonts w:cs="Calibri"/>
          <w:vertAlign w:val="subscript"/>
        </w:rPr>
        <w:t>4</w:t>
      </w:r>
      <w:r w:rsidRPr="00BE78CA">
        <w:rPr>
          <w:rFonts w:cs="Calibri"/>
        </w:rPr>
        <w:t xml:space="preserve"> and N</w:t>
      </w:r>
      <w:r w:rsidRPr="00BE78CA">
        <w:rPr>
          <w:rFonts w:cs="Calibri"/>
          <w:vertAlign w:val="subscript"/>
        </w:rPr>
        <w:t>2</w:t>
      </w:r>
      <w:r w:rsidRPr="00BE78CA">
        <w:rPr>
          <w:rFonts w:cs="Calibri"/>
        </w:rPr>
        <w:t xml:space="preserve">O associated with road transport. New Zealand’s Tier 3 approach for road transport was presented, resulting in a recommendation from the Australian team that the new methodology be adopted for the 2012 submission, and that New Zealand use the IPCC-recommended approach to selecting splicing techniques to choose an appropriate splicing method. In this, New Zealand applied splicing techniques following the 2006 IPCC Guidelines on the method selection approach. </w:t>
      </w:r>
    </w:p>
    <w:p w14:paraId="10FD306F" w14:textId="77777777" w:rsidR="00706DD1" w:rsidRPr="00BE78CA" w:rsidRDefault="00706DD1" w:rsidP="00706DD1">
      <w:pPr>
        <w:pStyle w:val="Heading5"/>
        <w:rPr>
          <w:rFonts w:cs="Calibri"/>
        </w:rPr>
      </w:pPr>
      <w:r w:rsidRPr="00BE78CA">
        <w:rPr>
          <w:rFonts w:cs="Calibri"/>
        </w:rPr>
        <w:lastRenderedPageBreak/>
        <w:t>Time-series consistency</w:t>
      </w:r>
    </w:p>
    <w:p w14:paraId="5C37DE26" w14:textId="77777777" w:rsidR="00706DD1" w:rsidRPr="00BE78CA" w:rsidRDefault="00706DD1" w:rsidP="00706DD1">
      <w:pPr>
        <w:pStyle w:val="BodyText"/>
        <w:rPr>
          <w:rFonts w:cs="Calibri"/>
          <w:lang w:eastAsia="en-GB"/>
        </w:rPr>
      </w:pPr>
      <w:bookmarkStart w:id="334" w:name="_Toc321399334"/>
      <w:r w:rsidRPr="00BE78CA">
        <w:rPr>
          <w:rFonts w:cs="Calibri"/>
          <w:lang w:eastAsia="en-GB"/>
        </w:rPr>
        <w:t xml:space="preserve">The data available for applying the Tier 3 methodology between 1990 and 2000 were insufficient, so combining the methods to form a complete time series (splicing) was necessary. To establish the most appropriate splicing method, emissions were calculated using the Tier 1 methodology for the period 2001 to 2016. These emissions were compared against those calculated using the Tier 3 methodology, to determine the relationship between the two series (see </w:t>
      </w:r>
      <w:r w:rsidRPr="00BE78CA">
        <w:rPr>
          <w:rFonts w:cs="Calibri"/>
        </w:rPr>
        <w:t>figure 3.3.11</w:t>
      </w:r>
      <w:r w:rsidRPr="00BE78CA">
        <w:rPr>
          <w:rFonts w:cs="Calibri"/>
          <w:lang w:eastAsia="en-GB"/>
        </w:rPr>
        <w:t xml:space="preserve">). The guidance for the method selection process is provided in table 5.1 (volume 2) of the 2006 IPCC Guidelines. </w:t>
      </w:r>
    </w:p>
    <w:p w14:paraId="6652511D" w14:textId="54DC1503" w:rsidR="00706DD1" w:rsidRPr="00BE78CA" w:rsidRDefault="00706DD1" w:rsidP="00706DD1">
      <w:pPr>
        <w:pStyle w:val="Figure"/>
        <w:rPr>
          <w:rFonts w:cs="Calibri"/>
        </w:rPr>
      </w:pPr>
      <w:bookmarkStart w:id="335" w:name="_Ref442370701"/>
      <w:bookmarkStart w:id="336" w:name="_Toc384582863"/>
      <w:bookmarkStart w:id="337" w:name="_Toc443060823"/>
      <w:bookmarkStart w:id="338" w:name="_Toc447275680"/>
      <w:bookmarkStart w:id="339" w:name="_Toc481751998"/>
      <w:bookmarkStart w:id="340" w:name="_Toc36292780"/>
      <w:bookmarkStart w:id="341" w:name="_Toc68786645"/>
      <w:r w:rsidRPr="00BE78CA">
        <w:rPr>
          <w:rFonts w:cs="Calibri"/>
        </w:rPr>
        <w:t>Figure 3.3.</w:t>
      </w:r>
      <w:r w:rsidRPr="00BE78CA">
        <w:rPr>
          <w:rFonts w:cs="Calibri"/>
        </w:rPr>
        <w:fldChar w:fldCharType="begin"/>
      </w:r>
      <w:r w:rsidRPr="00BE78CA">
        <w:rPr>
          <w:rFonts w:cs="Calibri"/>
        </w:rPr>
        <w:instrText xml:space="preserve"> SEQ Figure \* ARABIC \s 2 </w:instrText>
      </w:r>
      <w:r w:rsidRPr="00BE78CA">
        <w:rPr>
          <w:rFonts w:cs="Calibri"/>
        </w:rPr>
        <w:fldChar w:fldCharType="separate"/>
      </w:r>
      <w:r w:rsidR="00B94D2F">
        <w:rPr>
          <w:rFonts w:cs="Calibri"/>
          <w:noProof/>
        </w:rPr>
        <w:t>11</w:t>
      </w:r>
      <w:r w:rsidRPr="00BE78CA">
        <w:rPr>
          <w:rFonts w:cs="Calibri"/>
        </w:rPr>
        <w:fldChar w:fldCharType="end"/>
      </w:r>
      <w:bookmarkEnd w:id="335"/>
      <w:r w:rsidRPr="00BE78CA">
        <w:rPr>
          <w:rFonts w:cs="Calibri"/>
          <w:lang w:eastAsia="en-GB"/>
        </w:rPr>
        <w:t xml:space="preserve"> </w:t>
      </w:r>
      <w:r w:rsidRPr="00BE78CA">
        <w:rPr>
          <w:rFonts w:cs="Calibri"/>
          <w:lang w:eastAsia="en-GB"/>
        </w:rPr>
        <w:tab/>
        <w:t>Splicing method decision tree for gasoline emissions</w:t>
      </w:r>
      <w:bookmarkEnd w:id="334"/>
      <w:bookmarkEnd w:id="336"/>
      <w:bookmarkEnd w:id="337"/>
      <w:bookmarkEnd w:id="338"/>
      <w:bookmarkEnd w:id="339"/>
      <w:bookmarkEnd w:id="340"/>
      <w:bookmarkEnd w:id="341"/>
    </w:p>
    <w:p w14:paraId="7EFEA24B" w14:textId="77777777" w:rsidR="00706DD1" w:rsidRPr="00BE78CA" w:rsidRDefault="00706DD1" w:rsidP="00706DD1">
      <w:pPr>
        <w:pStyle w:val="BodyText"/>
        <w:spacing w:before="0" w:after="240"/>
        <w:rPr>
          <w:rFonts w:cs="Calibri"/>
        </w:rPr>
      </w:pPr>
      <w:r w:rsidRPr="00BE78CA">
        <w:rPr>
          <w:rFonts w:cs="Calibri"/>
        </w:rPr>
        <w:object w:dxaOrig="18690" w:dyaOrig="15625" w14:anchorId="158BEDBB">
          <v:shape id="_x0000_i1027" type="#_x0000_t75" style="width:419.75pt;height:405.5pt" o:ole="">
            <v:imagedata r:id="rId74" o:title=""/>
          </v:shape>
          <o:OLEObject Type="Embed" ProgID="Visio.Drawing.11" ShapeID="_x0000_i1027" DrawAspect="Content" ObjectID="_1679402758" r:id="rId75"/>
        </w:object>
      </w:r>
    </w:p>
    <w:p w14:paraId="09A51282" w14:textId="77777777" w:rsidR="00706DD1" w:rsidRPr="00BE78CA" w:rsidRDefault="00706DD1" w:rsidP="00706DD1">
      <w:pPr>
        <w:pStyle w:val="BodyText"/>
        <w:rPr>
          <w:rFonts w:cs="Calibri"/>
        </w:rPr>
      </w:pPr>
      <w:r w:rsidRPr="00BE78CA">
        <w:rPr>
          <w:rFonts w:cs="Calibri"/>
          <w:lang w:eastAsia="en-GB"/>
        </w:rPr>
        <w:t>For all fuels, interpolation was considered inappropriate due to the size of the block of unavailable data and the lack of data from before the missing bloc</w:t>
      </w:r>
      <w:r w:rsidRPr="00BE78CA">
        <w:rPr>
          <w:rFonts w:cs="Calibri"/>
        </w:rPr>
        <w:t xml:space="preserve">k (1990–2000). </w:t>
      </w:r>
    </w:p>
    <w:p w14:paraId="1CC3B110" w14:textId="77777777" w:rsidR="00706DD1" w:rsidRPr="00BE78CA" w:rsidRDefault="00706DD1" w:rsidP="00706DD1">
      <w:pPr>
        <w:pStyle w:val="BodyText"/>
        <w:rPr>
          <w:rFonts w:cs="Calibri"/>
        </w:rPr>
      </w:pPr>
      <w:r w:rsidRPr="00BE78CA">
        <w:rPr>
          <w:rFonts w:cs="Calibri"/>
        </w:rPr>
        <w:t xml:space="preserve">For emission estimates from </w:t>
      </w:r>
      <w:r w:rsidRPr="00BE78CA">
        <w:rPr>
          <w:rFonts w:cs="Calibri"/>
          <w:lang w:eastAsia="en-GB"/>
        </w:rPr>
        <w:t xml:space="preserve">LPG, the relationship between Tier 1 and Tier 3 appears nearly constant for both </w:t>
      </w:r>
      <w:r w:rsidRPr="00BE78CA">
        <w:rPr>
          <w:rFonts w:cs="Calibri"/>
        </w:rPr>
        <w:t>N</w:t>
      </w:r>
      <w:r w:rsidRPr="00BE78CA">
        <w:rPr>
          <w:rFonts w:cs="Calibri"/>
          <w:vertAlign w:val="subscript"/>
        </w:rPr>
        <w:t>2</w:t>
      </w:r>
      <w:r w:rsidRPr="00BE78CA">
        <w:rPr>
          <w:rFonts w:cs="Calibri"/>
        </w:rPr>
        <w:t>O</w:t>
      </w:r>
      <w:r w:rsidRPr="00BE78CA">
        <w:rPr>
          <w:rFonts w:cs="Calibri"/>
          <w:lang w:eastAsia="en-GB"/>
        </w:rPr>
        <w:t xml:space="preserve"> and </w:t>
      </w:r>
      <w:r w:rsidRPr="00BE78CA">
        <w:rPr>
          <w:rFonts w:cs="Calibri"/>
        </w:rPr>
        <w:t>CH</w:t>
      </w:r>
      <w:r w:rsidRPr="00BE78CA">
        <w:rPr>
          <w:rFonts w:cs="Calibri"/>
          <w:vertAlign w:val="subscript"/>
        </w:rPr>
        <w:t>4</w:t>
      </w:r>
      <w:r w:rsidRPr="00BE78CA">
        <w:rPr>
          <w:rFonts w:cs="Calibri"/>
          <w:lang w:eastAsia="en-GB"/>
        </w:rPr>
        <w:t xml:space="preserve"> from 2001 until 2002. As a result, the overlap method was used (IPCC, 2006), with:</w:t>
      </w:r>
    </w:p>
    <w:p w14:paraId="1A6C7042" w14:textId="77777777" w:rsidR="00706DD1" w:rsidRPr="00BE78CA" w:rsidRDefault="00087879" w:rsidP="00706DD1">
      <w:pPr>
        <w:pStyle w:val="BodyText"/>
        <w:spacing w:before="0"/>
        <w:jc w:val="center"/>
        <w:rPr>
          <w:rFonts w:cs="Calibri"/>
          <w:lang w:eastAsia="en-GB"/>
        </w:rPr>
      </w:pPr>
      <m:oMathPara>
        <m:oMath>
          <m:sSub>
            <m:sSubPr>
              <m:ctrlPr>
                <w:rPr>
                  <w:rFonts w:ascii="Cambria Math" w:hAnsi="Cambria Math" w:cs="Calibri"/>
                  <w:i/>
                  <w:iCs/>
                  <w:sz w:val="24"/>
                  <w:lang w:eastAsia="en-GB"/>
                </w:rPr>
              </m:ctrlPr>
            </m:sSubPr>
            <m:e>
              <m:r>
                <w:rPr>
                  <w:rFonts w:ascii="Cambria Math" w:hAnsi="Cambria Math" w:cs="Calibri"/>
                  <w:sz w:val="24"/>
                  <w:lang w:eastAsia="en-GB"/>
                </w:rPr>
                <m:t>y</m:t>
              </m:r>
            </m:e>
            <m:sub>
              <m:r>
                <w:rPr>
                  <w:rFonts w:ascii="Cambria Math" w:hAnsi="Cambria Math" w:cs="Calibri"/>
                  <w:sz w:val="24"/>
                  <w:lang w:eastAsia="en-GB"/>
                </w:rPr>
                <m:t>t</m:t>
              </m:r>
            </m:sub>
          </m:sSub>
          <m:r>
            <w:rPr>
              <w:rFonts w:ascii="Cambria Math" w:hAnsi="Cambria Math" w:cs="Calibri"/>
              <w:sz w:val="24"/>
              <w:lang w:eastAsia="en-GB"/>
            </w:rPr>
            <m:t>=</m:t>
          </m:r>
          <m:sSub>
            <m:sSubPr>
              <m:ctrlPr>
                <w:rPr>
                  <w:rFonts w:ascii="Cambria Math" w:hAnsi="Cambria Math" w:cs="Calibri"/>
                  <w:i/>
                  <w:iCs/>
                  <w:sz w:val="24"/>
                  <w:lang w:eastAsia="en-GB"/>
                </w:rPr>
              </m:ctrlPr>
            </m:sSubPr>
            <m:e>
              <m:r>
                <w:rPr>
                  <w:rFonts w:ascii="Cambria Math" w:hAnsi="Cambria Math" w:cs="Calibri"/>
                  <w:sz w:val="24"/>
                  <w:lang w:eastAsia="en-GB"/>
                </w:rPr>
                <m:t>x</m:t>
              </m:r>
            </m:e>
            <m:sub>
              <m:r>
                <w:rPr>
                  <w:rFonts w:ascii="Cambria Math" w:hAnsi="Cambria Math" w:cs="Calibri"/>
                  <w:sz w:val="24"/>
                  <w:lang w:eastAsia="en-GB"/>
                </w:rPr>
                <m:t>t</m:t>
              </m:r>
            </m:sub>
          </m:sSub>
          <m:d>
            <m:dPr>
              <m:ctrlPr>
                <w:rPr>
                  <w:rFonts w:ascii="Cambria Math" w:hAnsi="Cambria Math" w:cs="Calibri"/>
                  <w:i/>
                  <w:iCs/>
                  <w:sz w:val="24"/>
                  <w:lang w:eastAsia="en-GB"/>
                </w:rPr>
              </m:ctrlPr>
            </m:dPr>
            <m:e>
              <m:nary>
                <m:naryPr>
                  <m:chr m:val="∑"/>
                  <m:limLoc m:val="undOvr"/>
                  <m:ctrlPr>
                    <w:rPr>
                      <w:rFonts w:ascii="Cambria Math" w:hAnsi="Cambria Math" w:cs="Calibri"/>
                      <w:i/>
                      <w:iCs/>
                      <w:sz w:val="24"/>
                      <w:lang w:eastAsia="en-GB"/>
                    </w:rPr>
                  </m:ctrlPr>
                </m:naryPr>
                <m:sub>
                  <m:r>
                    <w:rPr>
                      <w:rFonts w:ascii="Cambria Math" w:hAnsi="Cambria Math" w:cs="Calibri"/>
                      <w:sz w:val="24"/>
                      <w:lang w:eastAsia="en-GB"/>
                    </w:rPr>
                    <m:t>i=m</m:t>
                  </m:r>
                </m:sub>
                <m:sup>
                  <m:r>
                    <w:rPr>
                      <w:rFonts w:ascii="Cambria Math" w:hAnsi="Cambria Math" w:cs="Calibri"/>
                      <w:sz w:val="24"/>
                      <w:lang w:eastAsia="en-GB"/>
                    </w:rPr>
                    <m:t>n</m:t>
                  </m:r>
                </m:sup>
                <m:e>
                  <m:sSub>
                    <m:sSubPr>
                      <m:ctrlPr>
                        <w:rPr>
                          <w:rFonts w:ascii="Cambria Math" w:hAnsi="Cambria Math" w:cs="Calibri"/>
                          <w:i/>
                          <w:iCs/>
                          <w:sz w:val="24"/>
                          <w:lang w:eastAsia="en-GB"/>
                        </w:rPr>
                      </m:ctrlPr>
                    </m:sSubPr>
                    <m:e>
                      <m:r>
                        <w:rPr>
                          <w:rFonts w:ascii="Cambria Math" w:hAnsi="Cambria Math" w:cs="Calibri"/>
                          <w:sz w:val="24"/>
                          <w:lang w:eastAsia="en-GB"/>
                        </w:rPr>
                        <m:t>y</m:t>
                      </m:r>
                    </m:e>
                    <m:sub>
                      <m:r>
                        <w:rPr>
                          <w:rFonts w:ascii="Cambria Math" w:hAnsi="Cambria Math" w:cs="Calibri"/>
                          <w:sz w:val="24"/>
                          <w:lang w:eastAsia="en-GB"/>
                        </w:rPr>
                        <m:t>i</m:t>
                      </m:r>
                    </m:sub>
                  </m:sSub>
                </m:e>
              </m:nary>
              <m:r>
                <w:rPr>
                  <w:rFonts w:ascii="Cambria Math" w:hAnsi="Cambria Math" w:cs="Calibri"/>
                  <w:sz w:val="24"/>
                  <w:lang w:eastAsia="en-GB"/>
                </w:rPr>
                <m:t>/</m:t>
              </m:r>
              <m:nary>
                <m:naryPr>
                  <m:chr m:val="∑"/>
                  <m:limLoc m:val="undOvr"/>
                  <m:ctrlPr>
                    <w:rPr>
                      <w:rFonts w:ascii="Cambria Math" w:hAnsi="Cambria Math" w:cs="Calibri"/>
                      <w:i/>
                      <w:iCs/>
                      <w:sz w:val="24"/>
                      <w:lang w:eastAsia="en-GB"/>
                    </w:rPr>
                  </m:ctrlPr>
                </m:naryPr>
                <m:sub>
                  <m:r>
                    <w:rPr>
                      <w:rFonts w:ascii="Cambria Math" w:hAnsi="Cambria Math" w:cs="Calibri"/>
                      <w:sz w:val="24"/>
                      <w:lang w:eastAsia="en-GB"/>
                    </w:rPr>
                    <m:t>i=m</m:t>
                  </m:r>
                </m:sub>
                <m:sup>
                  <m:r>
                    <w:rPr>
                      <w:rFonts w:ascii="Cambria Math" w:hAnsi="Cambria Math" w:cs="Calibri"/>
                      <w:sz w:val="24"/>
                      <w:lang w:eastAsia="en-GB"/>
                    </w:rPr>
                    <m:t>n</m:t>
                  </m:r>
                </m:sup>
                <m:e>
                  <m:sSub>
                    <m:sSubPr>
                      <m:ctrlPr>
                        <w:rPr>
                          <w:rFonts w:ascii="Cambria Math" w:hAnsi="Cambria Math" w:cs="Calibri"/>
                          <w:i/>
                          <w:iCs/>
                          <w:sz w:val="24"/>
                          <w:lang w:eastAsia="en-GB"/>
                        </w:rPr>
                      </m:ctrlPr>
                    </m:sSubPr>
                    <m:e>
                      <m:r>
                        <w:rPr>
                          <w:rFonts w:ascii="Cambria Math" w:hAnsi="Cambria Math" w:cs="Calibri"/>
                          <w:sz w:val="24"/>
                          <w:lang w:eastAsia="en-GB"/>
                        </w:rPr>
                        <m:t>x</m:t>
                      </m:r>
                    </m:e>
                    <m:sub>
                      <m:r>
                        <w:rPr>
                          <w:rFonts w:ascii="Cambria Math" w:hAnsi="Cambria Math" w:cs="Calibri"/>
                          <w:sz w:val="24"/>
                          <w:lang w:eastAsia="en-GB"/>
                        </w:rPr>
                        <m:t>i</m:t>
                      </m:r>
                    </m:sub>
                  </m:sSub>
                </m:e>
              </m:nary>
            </m:e>
          </m:d>
        </m:oMath>
      </m:oMathPara>
    </w:p>
    <w:p w14:paraId="4D1B455B" w14:textId="77777777" w:rsidR="00706DD1" w:rsidRPr="00BE78CA" w:rsidRDefault="00706DD1" w:rsidP="00706DD1">
      <w:pPr>
        <w:pStyle w:val="BodyText"/>
        <w:spacing w:after="0"/>
        <w:ind w:left="964" w:hanging="964"/>
        <w:rPr>
          <w:rFonts w:cs="Calibri"/>
        </w:rPr>
      </w:pPr>
      <w:r w:rsidRPr="00BE78CA">
        <w:rPr>
          <w:rFonts w:cs="Calibri"/>
          <w:lang w:eastAsia="en-GB"/>
        </w:rPr>
        <w:lastRenderedPageBreak/>
        <w:t xml:space="preserve">Where: </w:t>
      </w:r>
      <w:r w:rsidRPr="00BE78CA">
        <w:rPr>
          <w:rFonts w:cs="Calibri"/>
          <w:lang w:eastAsia="en-GB"/>
        </w:rPr>
        <w:tab/>
      </w:r>
      <w:r w:rsidRPr="00BE78CA">
        <w:rPr>
          <w:rFonts w:cs="Calibri"/>
          <w:i/>
        </w:rPr>
        <w:t>y</w:t>
      </w:r>
      <w:r w:rsidRPr="00BE78CA">
        <w:rPr>
          <w:rFonts w:cs="Calibri"/>
          <w:vertAlign w:val="subscript"/>
        </w:rPr>
        <w:t>t</w:t>
      </w:r>
      <w:r w:rsidRPr="00BE78CA">
        <w:rPr>
          <w:rFonts w:cs="Calibri"/>
        </w:rPr>
        <w:t xml:space="preserve"> is the recalculated emission estimate computed using the overlap method</w:t>
      </w:r>
    </w:p>
    <w:p w14:paraId="2A40826F" w14:textId="77777777" w:rsidR="00706DD1" w:rsidRPr="00BE78CA" w:rsidRDefault="00706DD1" w:rsidP="00FF29B8">
      <w:pPr>
        <w:pStyle w:val="BodyText"/>
        <w:spacing w:after="0"/>
        <w:ind w:left="993" w:hanging="993"/>
      </w:pPr>
      <w:r w:rsidRPr="00BE78CA">
        <w:tab/>
      </w:r>
      <w:r w:rsidRPr="00BE78CA">
        <w:rPr>
          <w:i/>
        </w:rPr>
        <w:t>x</w:t>
      </w:r>
      <w:r w:rsidRPr="00BE78CA">
        <w:rPr>
          <w:vertAlign w:val="subscript"/>
        </w:rPr>
        <w:t>t</w:t>
      </w:r>
      <w:r w:rsidRPr="00BE78CA">
        <w:t xml:space="preserve"> is the estimate developed using the previous method</w:t>
      </w:r>
    </w:p>
    <w:p w14:paraId="07D8B604" w14:textId="77777777" w:rsidR="00706DD1" w:rsidRPr="00BE78CA" w:rsidRDefault="00706DD1" w:rsidP="00706DD1">
      <w:pPr>
        <w:pStyle w:val="BodyText"/>
        <w:ind w:left="993" w:hanging="993"/>
      </w:pPr>
      <w:r w:rsidRPr="00BE78CA">
        <w:tab/>
      </w:r>
      <w:r w:rsidRPr="00BE78CA">
        <w:rPr>
          <w:i/>
        </w:rPr>
        <w:t>y</w:t>
      </w:r>
      <w:r w:rsidRPr="00BE78CA">
        <w:rPr>
          <w:i/>
          <w:vertAlign w:val="subscript"/>
        </w:rPr>
        <w:t>i</w:t>
      </w:r>
      <w:r w:rsidRPr="00BE78CA">
        <w:t xml:space="preserve"> and </w:t>
      </w:r>
      <w:r w:rsidRPr="00BE78CA">
        <w:rPr>
          <w:i/>
        </w:rPr>
        <w:t>x</w:t>
      </w:r>
      <w:r w:rsidRPr="00BE78CA">
        <w:rPr>
          <w:i/>
          <w:vertAlign w:val="subscript"/>
        </w:rPr>
        <w:t>i</w:t>
      </w:r>
      <w:r w:rsidRPr="00BE78CA">
        <w:t xml:space="preserve"> are the estimates prepared using the new and previously used methods during the period of overlap, as denoted by years </w:t>
      </w:r>
      <w:r w:rsidRPr="00BE78CA">
        <w:rPr>
          <w:i/>
        </w:rPr>
        <w:t>m</w:t>
      </w:r>
      <w:r w:rsidRPr="00BE78CA">
        <w:t xml:space="preserve"> through </w:t>
      </w:r>
      <w:r w:rsidRPr="00BE78CA">
        <w:rPr>
          <w:i/>
        </w:rPr>
        <w:t>n</w:t>
      </w:r>
      <w:r w:rsidRPr="00BE78CA">
        <w:t>.</w:t>
      </w:r>
    </w:p>
    <w:p w14:paraId="1FCB7B31" w14:textId="77777777" w:rsidR="00706DD1" w:rsidRPr="00BE78CA" w:rsidRDefault="00706DD1" w:rsidP="00706DD1">
      <w:pPr>
        <w:pStyle w:val="BodyText"/>
        <w:spacing w:after="0"/>
        <w:rPr>
          <w:rFonts w:cs="Calibri"/>
          <w:lang w:eastAsia="en-GB"/>
        </w:rPr>
      </w:pPr>
      <w:r w:rsidRPr="00BE78CA">
        <w:rPr>
          <w:rFonts w:cs="Calibri"/>
          <w:lang w:eastAsia="en-GB"/>
        </w:rPr>
        <w:t>However, for gasoline and diesel vehicles, the ratio Tier 3:Tier 1 appears to change approximately linearly with time. While surrogates for Ministry of Transport data were available (fuel consumption), their use resulted in a step-change that is unlikely to be representative of road transport emissions for the period. While the trend in emissions was not consistent over time, the trend of the Tier 3:Tier 1 ratio emission estimates showed a strong linear relationship with time. As a result, a hybrid method of overlap and trend extrapolation was chosen with:</w:t>
      </w:r>
    </w:p>
    <w:p w14:paraId="5C41C211" w14:textId="77777777" w:rsidR="00706DD1" w:rsidRPr="00BE78CA" w:rsidRDefault="00087879" w:rsidP="00706DD1">
      <w:pPr>
        <w:pStyle w:val="BodyText"/>
      </w:pPr>
      <m:oMathPara>
        <m:oMath>
          <m:sSub>
            <m:sSubPr>
              <m:ctrlPr>
                <w:rPr>
                  <w:rFonts w:ascii="Cambria Math" w:hAnsi="Cambria Math"/>
                  <w:iCs/>
                  <w:lang w:eastAsia="en-GB"/>
                </w:rPr>
              </m:ctrlPr>
            </m:sSubPr>
            <m:e>
              <m:r>
                <w:rPr>
                  <w:rFonts w:ascii="Cambria Math" w:hAnsi="Cambria Math"/>
                  <w:lang w:eastAsia="en-GB"/>
                </w:rPr>
                <m:t>y</m:t>
              </m:r>
            </m:e>
            <m:sub>
              <m:r>
                <w:rPr>
                  <w:rFonts w:ascii="Cambria Math" w:hAnsi="Cambria Math"/>
                  <w:lang w:eastAsia="en-GB"/>
                </w:rPr>
                <m:t>t</m:t>
              </m:r>
            </m:sub>
          </m:sSub>
          <m:r>
            <m:rPr>
              <m:sty m:val="p"/>
            </m:rPr>
            <w:rPr>
              <w:rFonts w:ascii="Cambria Math" w:hAnsi="Cambria Math"/>
              <w:lang w:eastAsia="en-GB"/>
            </w:rPr>
            <m:t>=(</m:t>
          </m:r>
          <m:r>
            <w:rPr>
              <w:rFonts w:ascii="Cambria Math" w:hAnsi="Cambria Math"/>
              <w:lang w:eastAsia="en-GB"/>
            </w:rPr>
            <m:t>at</m:t>
          </m:r>
          <m:r>
            <m:rPr>
              <m:sty m:val="p"/>
            </m:rPr>
            <w:rPr>
              <w:rFonts w:ascii="Cambria Math" w:hAnsi="Cambria Math"/>
              <w:lang w:eastAsia="en-GB"/>
            </w:rPr>
            <m:t>+</m:t>
          </m:r>
          <m:r>
            <w:rPr>
              <w:rFonts w:ascii="Cambria Math" w:hAnsi="Cambria Math"/>
              <w:lang w:eastAsia="en-GB"/>
            </w:rPr>
            <m:t>b</m:t>
          </m:r>
          <m:r>
            <m:rPr>
              <m:sty m:val="p"/>
            </m:rPr>
            <w:rPr>
              <w:rFonts w:ascii="Cambria Math" w:hAnsi="Cambria Math"/>
              <w:lang w:eastAsia="en-GB"/>
            </w:rPr>
            <m:t>)</m:t>
          </m:r>
          <m:sSub>
            <m:sSubPr>
              <m:ctrlPr>
                <w:rPr>
                  <w:rFonts w:ascii="Cambria Math" w:hAnsi="Cambria Math"/>
                  <w:iCs/>
                  <w:lang w:eastAsia="en-GB"/>
                </w:rPr>
              </m:ctrlPr>
            </m:sSubPr>
            <m:e>
              <m:r>
                <w:rPr>
                  <w:rFonts w:ascii="Cambria Math" w:hAnsi="Cambria Math"/>
                  <w:lang w:eastAsia="en-GB"/>
                </w:rPr>
                <m:t>x</m:t>
              </m:r>
            </m:e>
            <m:sub>
              <m:r>
                <w:rPr>
                  <w:rFonts w:ascii="Cambria Math" w:hAnsi="Cambria Math"/>
                  <w:lang w:eastAsia="en-GB"/>
                </w:rPr>
                <m:t>t</m:t>
              </m:r>
            </m:sub>
          </m:sSub>
        </m:oMath>
      </m:oMathPara>
    </w:p>
    <w:p w14:paraId="61BEFA03" w14:textId="77777777" w:rsidR="00706DD1" w:rsidRPr="00BE78CA" w:rsidRDefault="00706DD1" w:rsidP="00FF29B8">
      <w:pPr>
        <w:pStyle w:val="BodyText"/>
        <w:spacing w:after="0"/>
        <w:ind w:left="993" w:hanging="993"/>
      </w:pPr>
      <w:r w:rsidRPr="00BE78CA">
        <w:rPr>
          <w:lang w:eastAsia="en-GB"/>
        </w:rPr>
        <w:t xml:space="preserve">Where: </w:t>
      </w:r>
      <w:r w:rsidRPr="00BE78CA">
        <w:rPr>
          <w:lang w:eastAsia="en-GB"/>
        </w:rPr>
        <w:tab/>
      </w:r>
      <w:r w:rsidRPr="00BE78CA">
        <w:rPr>
          <w:i/>
        </w:rPr>
        <w:t>t</w:t>
      </w:r>
      <w:r w:rsidRPr="00BE78CA">
        <w:t xml:space="preserve"> is the year for which a new estimate is required</w:t>
      </w:r>
    </w:p>
    <w:p w14:paraId="768A3E3F" w14:textId="77777777" w:rsidR="00706DD1" w:rsidRPr="00BE78CA" w:rsidRDefault="00706DD1" w:rsidP="00FF29B8">
      <w:pPr>
        <w:pStyle w:val="BodyText"/>
        <w:spacing w:after="0"/>
        <w:ind w:left="993" w:hanging="993"/>
      </w:pPr>
      <w:r w:rsidRPr="00BE78CA">
        <w:rPr>
          <w:i/>
        </w:rPr>
        <w:tab/>
        <w:t>a</w:t>
      </w:r>
      <w:r w:rsidRPr="00BE78CA">
        <w:t xml:space="preserve"> is the slope of the line achieved by regressing Tier 3:Tier 1 for the overlap period</w:t>
      </w:r>
    </w:p>
    <w:p w14:paraId="3082EC13" w14:textId="77777777" w:rsidR="00706DD1" w:rsidRPr="00BE78CA" w:rsidRDefault="00706DD1" w:rsidP="00FF29B8">
      <w:pPr>
        <w:pStyle w:val="BodyText"/>
        <w:spacing w:after="0"/>
        <w:ind w:left="993" w:hanging="993"/>
      </w:pPr>
      <w:r w:rsidRPr="00BE78CA">
        <w:rPr>
          <w:i/>
        </w:rPr>
        <w:tab/>
        <w:t>b</w:t>
      </w:r>
      <w:r w:rsidRPr="00BE78CA">
        <w:t xml:space="preserve"> is the intercept of the line achieved by regressing Tier 3:Tier 1 for the overlap period</w:t>
      </w:r>
    </w:p>
    <w:p w14:paraId="29A7720A" w14:textId="77777777" w:rsidR="00706DD1" w:rsidRPr="00BE78CA" w:rsidRDefault="00706DD1" w:rsidP="00706DD1">
      <w:pPr>
        <w:pStyle w:val="BodyText"/>
        <w:ind w:left="993" w:hanging="993"/>
      </w:pPr>
      <w:r w:rsidRPr="00BE78CA">
        <w:tab/>
      </w:r>
      <w:r w:rsidRPr="00BE78CA">
        <w:rPr>
          <w:i/>
        </w:rPr>
        <w:t>x</w:t>
      </w:r>
      <w:r w:rsidRPr="00BE78CA">
        <w:rPr>
          <w:i/>
          <w:vertAlign w:val="subscript"/>
        </w:rPr>
        <w:t>t</w:t>
      </w:r>
      <w:r w:rsidRPr="00BE78CA">
        <w:t xml:space="preserve"> is the estimate for year </w:t>
      </w:r>
      <w:r w:rsidRPr="00BE78CA">
        <w:rPr>
          <w:i/>
        </w:rPr>
        <w:t>t</w:t>
      </w:r>
      <w:r w:rsidRPr="00BE78CA">
        <w:t xml:space="preserve"> using the previous methodology.</w:t>
      </w:r>
    </w:p>
    <w:p w14:paraId="17CEBB02" w14:textId="77777777" w:rsidR="00706DD1" w:rsidRPr="00BE78CA" w:rsidRDefault="00706DD1" w:rsidP="00706DD1">
      <w:pPr>
        <w:pStyle w:val="BodyText"/>
        <w:rPr>
          <w:rFonts w:cs="Calibri"/>
          <w:lang w:eastAsia="en-GB"/>
        </w:rPr>
      </w:pPr>
      <w:r w:rsidRPr="00BE78CA">
        <w:rPr>
          <w:rFonts w:cs="Calibri"/>
          <w:lang w:eastAsia="en-GB"/>
        </w:rPr>
        <w:t>The relationship between Tier 3 and Tier 1 emissions is linear from 2001 to 2005 (inclusive) for both CH</w:t>
      </w:r>
      <w:r w:rsidRPr="00BE78CA">
        <w:rPr>
          <w:rFonts w:cs="Calibri"/>
          <w:vertAlign w:val="subscript"/>
          <w:lang w:eastAsia="en-GB"/>
        </w:rPr>
        <w:t>4</w:t>
      </w:r>
      <w:r w:rsidRPr="00BE78CA">
        <w:rPr>
          <w:rFonts w:cs="Calibri"/>
          <w:lang w:eastAsia="en-GB"/>
        </w:rPr>
        <w:t xml:space="preserve"> and N</w:t>
      </w:r>
      <w:r w:rsidRPr="00BE78CA">
        <w:rPr>
          <w:rFonts w:cs="Calibri"/>
          <w:vertAlign w:val="subscript"/>
          <w:lang w:eastAsia="en-GB"/>
        </w:rPr>
        <w:t>2</w:t>
      </w:r>
      <w:r w:rsidRPr="00BE78CA">
        <w:rPr>
          <w:rFonts w:cs="Calibri"/>
          <w:lang w:eastAsia="en-GB"/>
        </w:rPr>
        <w:t>O. This relationship was extrapolated back to the beginning of the time series to derive a factor by which to multiply the Tier 1 estimate for a given year.</w:t>
      </w:r>
    </w:p>
    <w:p w14:paraId="70E8F93D" w14:textId="77777777" w:rsidR="00706DD1" w:rsidRPr="00BE78CA" w:rsidRDefault="00706DD1" w:rsidP="00706DD1">
      <w:pPr>
        <w:pStyle w:val="Heading6"/>
        <w:spacing w:before="120"/>
        <w:rPr>
          <w:rFonts w:cs="Calibri"/>
        </w:rPr>
      </w:pPr>
      <w:r w:rsidRPr="00BE78CA">
        <w:rPr>
          <w:rFonts w:cs="Calibri"/>
          <w:lang w:eastAsia="en-GB"/>
        </w:rPr>
        <w:t xml:space="preserve">Dual-fuel </w:t>
      </w:r>
      <w:r w:rsidRPr="00BE78CA">
        <w:rPr>
          <w:rFonts w:cs="Calibri"/>
        </w:rPr>
        <w:t>vehicles</w:t>
      </w:r>
    </w:p>
    <w:p w14:paraId="34AE9E3C" w14:textId="7CCBF908" w:rsidR="00706DD1" w:rsidRPr="00BE78CA" w:rsidRDefault="00706DD1" w:rsidP="00706DD1">
      <w:pPr>
        <w:pStyle w:val="BodyText"/>
        <w:rPr>
          <w:rFonts w:cs="Calibri"/>
          <w:lang w:eastAsia="en-GB"/>
        </w:rPr>
      </w:pPr>
      <w:r w:rsidRPr="00BE78CA">
        <w:rPr>
          <w:rFonts w:cs="Calibri"/>
        </w:rPr>
        <w:t>Production and use of dual fuels (CNG–gasoline and LPG–gasoline) in transport was part of a government strategy to reduce New Zealand’s dependence on imported oil. The use of dual fuels in vehicles was significantly larger up until government subsidies were removed in 1987. Since then, together with falling oil prices, CNG and LPG were slowly squeezed out of the market. However, up until October 2017, a Hamilton bus company persisted in using CNG in its</w:t>
      </w:r>
      <w:r w:rsidR="00E26D25" w:rsidRPr="00BE78CA">
        <w:rPr>
          <w:rFonts w:cs="Calibri"/>
        </w:rPr>
        <w:t> </w:t>
      </w:r>
      <w:r w:rsidRPr="00BE78CA">
        <w:rPr>
          <w:rFonts w:cs="Calibri"/>
        </w:rPr>
        <w:t>buses. There has been no recorded CNG or LPG use for transport since.</w:t>
      </w:r>
    </w:p>
    <w:p w14:paraId="29F92E0D" w14:textId="3F5B69FB" w:rsidR="00706DD1" w:rsidRPr="00BE78CA" w:rsidRDefault="00706DD1" w:rsidP="00706DD1">
      <w:pPr>
        <w:pStyle w:val="BodyText"/>
        <w:rPr>
          <w:rFonts w:cs="Calibri"/>
          <w:lang w:eastAsia="en-GB"/>
        </w:rPr>
      </w:pPr>
      <w:r w:rsidRPr="00BE78CA">
        <w:rPr>
          <w:rFonts w:cs="Calibri"/>
          <w:lang w:eastAsia="en-GB"/>
        </w:rPr>
        <w:t xml:space="preserve">Vehicle-kilometres-travelled data collected by the Ministry of Transport allocate vehicles using dual fuels (LPG–gasoline and CNG–gasoline) to the </w:t>
      </w:r>
      <w:r w:rsidRPr="00BE78CA">
        <w:rPr>
          <w:rFonts w:cs="Calibri"/>
          <w:i/>
          <w:lang w:eastAsia="en-GB"/>
        </w:rPr>
        <w:t>Gasoline</w:t>
      </w:r>
      <w:r w:rsidRPr="00BE78CA">
        <w:rPr>
          <w:rFonts w:cs="Calibri"/>
          <w:lang w:eastAsia="en-GB"/>
        </w:rPr>
        <w:t xml:space="preserve"> category. Historically, non-CO</w:t>
      </w:r>
      <w:r w:rsidRPr="00BE78CA">
        <w:rPr>
          <w:rFonts w:cs="Calibri"/>
          <w:vertAlign w:val="subscript"/>
          <w:lang w:eastAsia="en-GB"/>
        </w:rPr>
        <w:t>2</w:t>
      </w:r>
      <w:r w:rsidRPr="00BE78CA">
        <w:rPr>
          <w:rFonts w:cs="Calibri"/>
          <w:lang w:eastAsia="en-GB"/>
        </w:rPr>
        <w:t xml:space="preserve"> emission factors have been lower for LPG than those for gasoline. Analysis undertaken to remove activity data from gasoline to be allocated to LPG resulted in a slight decrease in overall emissions. As a result, the reallocation was not made due to a desire to be conservative when applying methods that would lead to net emission reductions. For the purposes of time</w:t>
      </w:r>
      <w:r w:rsidR="00276E6A" w:rsidRPr="00BE78CA">
        <w:rPr>
          <w:rFonts w:cs="Calibri"/>
          <w:lang w:eastAsia="en-GB"/>
        </w:rPr>
        <w:noBreakHyphen/>
      </w:r>
      <w:r w:rsidRPr="00BE78CA">
        <w:rPr>
          <w:rFonts w:cs="Calibri"/>
          <w:lang w:eastAsia="en-GB"/>
        </w:rPr>
        <w:t xml:space="preserve">series consistency, the new methodology was considered incomparable with the previous methodology due to fundamental differences in the type of activity that the two methods represent. The </w:t>
      </w:r>
      <w:r w:rsidRPr="00BE78CA">
        <w:rPr>
          <w:rFonts w:cs="Calibri"/>
        </w:rPr>
        <w:t>CH</w:t>
      </w:r>
      <w:r w:rsidRPr="00BE78CA">
        <w:rPr>
          <w:rFonts w:cs="Calibri"/>
          <w:vertAlign w:val="subscript"/>
        </w:rPr>
        <w:t>4</w:t>
      </w:r>
      <w:r w:rsidRPr="00BE78CA">
        <w:rPr>
          <w:rFonts w:cs="Calibri"/>
          <w:lang w:eastAsia="en-GB"/>
        </w:rPr>
        <w:t xml:space="preserve"> emission factors (tonnes CH</w:t>
      </w:r>
      <w:r w:rsidRPr="00BE78CA">
        <w:rPr>
          <w:rFonts w:cs="Calibri"/>
          <w:vertAlign w:val="subscript"/>
          <w:lang w:eastAsia="en-GB"/>
        </w:rPr>
        <w:t>4</w:t>
      </w:r>
      <w:r w:rsidRPr="00BE78CA">
        <w:rPr>
          <w:rFonts w:cs="Calibri"/>
          <w:lang w:eastAsia="en-GB"/>
        </w:rPr>
        <w:t>/PJ) from a purpose-built natural gas (CNG) bus are known to be significantly lower than those from a light passenger vehicle built to run on gasoline then converted to use natural gas.</w:t>
      </w:r>
    </w:p>
    <w:p w14:paraId="576882C9" w14:textId="77777777" w:rsidR="00706DD1" w:rsidRPr="00BE78CA" w:rsidRDefault="00706DD1" w:rsidP="00706DD1">
      <w:pPr>
        <w:pStyle w:val="BodyText"/>
        <w:rPr>
          <w:rFonts w:cs="Calibri"/>
          <w:lang w:eastAsia="en-GB"/>
        </w:rPr>
      </w:pPr>
      <w:r w:rsidRPr="00BE78CA">
        <w:rPr>
          <w:rFonts w:cs="Calibri"/>
          <w:lang w:eastAsia="en-GB"/>
        </w:rPr>
        <w:t>To ensure that emissions were not underestimated, an estimate of the energy used in CNG buses was made. The remaining natural gas was then assumed to be combusted in converted light passenger vehicles, and an IPCC default emission factor was used to estimate the associated emissions.</w:t>
      </w:r>
    </w:p>
    <w:p w14:paraId="5F6E3F98" w14:textId="77777777" w:rsidR="00706DD1" w:rsidRPr="00BE78CA" w:rsidRDefault="00706DD1" w:rsidP="00706DD1">
      <w:pPr>
        <w:pStyle w:val="Heading6"/>
        <w:spacing w:before="160"/>
        <w:rPr>
          <w:rFonts w:cs="Calibri"/>
          <w:color w:val="365F91"/>
        </w:rPr>
      </w:pPr>
      <w:r w:rsidRPr="00BE78CA">
        <w:rPr>
          <w:rFonts w:cs="Calibri"/>
          <w:color w:val="365F91"/>
          <w:lang w:eastAsia="en-GB"/>
        </w:rPr>
        <w:lastRenderedPageBreak/>
        <w:t>Blended biofuels</w:t>
      </w:r>
    </w:p>
    <w:p w14:paraId="238A9D9C" w14:textId="77777777" w:rsidR="00706DD1" w:rsidRPr="00BE78CA" w:rsidRDefault="00706DD1" w:rsidP="00706DD1">
      <w:pPr>
        <w:pStyle w:val="BodyText"/>
        <w:rPr>
          <w:rFonts w:cs="Calibri"/>
          <w:lang w:eastAsia="en-GB"/>
        </w:rPr>
      </w:pPr>
      <w:r w:rsidRPr="00BE78CA">
        <w:rPr>
          <w:rFonts w:cs="Calibri"/>
          <w:lang w:eastAsia="en-GB"/>
        </w:rPr>
        <w:t xml:space="preserve">Small volumes of bio-gasoline and biodiesel are sold blended with mineral oil products and combusted in the </w:t>
      </w:r>
      <w:r w:rsidRPr="00BE78CA">
        <w:rPr>
          <w:rFonts w:cs="Calibri"/>
          <w:i/>
          <w:lang w:eastAsia="en-GB"/>
        </w:rPr>
        <w:t>Road transportation</w:t>
      </w:r>
      <w:r w:rsidRPr="00BE78CA">
        <w:rPr>
          <w:rFonts w:cs="Calibri"/>
          <w:lang w:eastAsia="en-GB"/>
        </w:rPr>
        <w:t xml:space="preserve"> category (data exists from 2007 onwards). To ensure that liquid biofuel combustion is considered in the inventory, the energy split was calculated (i.e., gasoline as a share of combined gasoline and bio-gasoline or mineral diesel as a share of mineral diesel and biodiesel). The new estimate was then multiplied by this factor to account for gasoline and diesel not combusted. The emissions from the combustion of biofuels were then estimated using a Tier 1 methodology, as in previous inventories. </w:t>
      </w:r>
    </w:p>
    <w:p w14:paraId="17CD3906" w14:textId="77777777" w:rsidR="00706DD1" w:rsidRPr="00BE78CA" w:rsidRDefault="00706DD1" w:rsidP="00706DD1">
      <w:pPr>
        <w:pStyle w:val="Heading5"/>
        <w:rPr>
          <w:rFonts w:cs="Calibri"/>
        </w:rPr>
      </w:pPr>
      <w:r w:rsidRPr="00BE78CA">
        <w:rPr>
          <w:rFonts w:cs="Calibri"/>
          <w:lang w:eastAsia="en-GB"/>
        </w:rPr>
        <w:t>1.A.3.c Railways</w:t>
      </w:r>
    </w:p>
    <w:p w14:paraId="37115C5E" w14:textId="77777777" w:rsidR="00706DD1" w:rsidRPr="00BE78CA" w:rsidRDefault="00706DD1" w:rsidP="00706DD1">
      <w:pPr>
        <w:pStyle w:val="BodyText"/>
        <w:rPr>
          <w:rFonts w:cs="Calibri"/>
          <w:lang w:eastAsia="en-GB"/>
        </w:rPr>
      </w:pPr>
      <w:r w:rsidRPr="00BE78CA">
        <w:rPr>
          <w:rFonts w:cs="Calibri"/>
          <w:lang w:eastAsia="en-GB"/>
        </w:rPr>
        <w:t>Non-CO</w:t>
      </w:r>
      <w:r w:rsidRPr="00BE78CA">
        <w:rPr>
          <w:rFonts w:cs="Calibri"/>
          <w:vertAlign w:val="subscript"/>
          <w:lang w:eastAsia="en-GB"/>
        </w:rPr>
        <w:t>2</w:t>
      </w:r>
      <w:r w:rsidRPr="00BE78CA">
        <w:rPr>
          <w:rFonts w:cs="Calibri"/>
          <w:lang w:eastAsia="en-GB"/>
        </w:rPr>
        <w:t xml:space="preserve"> emissions from the </w:t>
      </w:r>
      <w:r w:rsidRPr="00BE78CA">
        <w:rPr>
          <w:rFonts w:cs="Calibri"/>
          <w:i/>
          <w:lang w:eastAsia="en-GB"/>
        </w:rPr>
        <w:t>Railways</w:t>
      </w:r>
      <w:r w:rsidRPr="00BE78CA">
        <w:rPr>
          <w:rFonts w:cs="Calibri"/>
          <w:lang w:eastAsia="en-GB"/>
        </w:rPr>
        <w:t xml:space="preserve"> category (including both liquid and solid fuels) were estimated using a Tier 1 approach (IPCC, 2006).</w:t>
      </w:r>
    </w:p>
    <w:p w14:paraId="30115D0A" w14:textId="77777777" w:rsidR="00706DD1" w:rsidRPr="00BE78CA" w:rsidRDefault="00706DD1" w:rsidP="00706DD1">
      <w:pPr>
        <w:pStyle w:val="Heading5"/>
        <w:rPr>
          <w:rFonts w:cs="Calibri"/>
          <w:lang w:eastAsia="en-GB"/>
        </w:rPr>
      </w:pPr>
      <w:r w:rsidRPr="00BE78CA">
        <w:rPr>
          <w:rFonts w:cs="Calibri"/>
          <w:lang w:eastAsia="en-GB"/>
        </w:rPr>
        <w:t>1.A.3.d Navigation (domestic marine transport)</w:t>
      </w:r>
    </w:p>
    <w:p w14:paraId="252B08C6" w14:textId="77777777" w:rsidR="00706DD1" w:rsidRPr="00BE78CA" w:rsidRDefault="00706DD1" w:rsidP="00706DD1">
      <w:pPr>
        <w:pStyle w:val="BodyText"/>
        <w:rPr>
          <w:rFonts w:cs="Calibri"/>
          <w:lang w:eastAsia="en-GB"/>
        </w:rPr>
      </w:pPr>
      <w:r w:rsidRPr="00BE78CA">
        <w:rPr>
          <w:rFonts w:cs="Calibri"/>
          <w:lang w:eastAsia="en-GB"/>
        </w:rPr>
        <w:t>Non-CO</w:t>
      </w:r>
      <w:r w:rsidRPr="00BE78CA">
        <w:rPr>
          <w:rFonts w:cs="Calibri"/>
          <w:vertAlign w:val="subscript"/>
          <w:lang w:eastAsia="en-GB"/>
        </w:rPr>
        <w:t>2</w:t>
      </w:r>
      <w:r w:rsidRPr="00BE78CA">
        <w:rPr>
          <w:rFonts w:cs="Calibri"/>
          <w:lang w:eastAsia="en-GB"/>
        </w:rPr>
        <w:t xml:space="preserve"> emissions from the </w:t>
      </w:r>
      <w:r w:rsidRPr="00BE78CA">
        <w:rPr>
          <w:rFonts w:cs="Calibri"/>
          <w:i/>
          <w:lang w:eastAsia="en-GB"/>
        </w:rPr>
        <w:t>Navigation</w:t>
      </w:r>
      <w:r w:rsidRPr="00BE78CA">
        <w:rPr>
          <w:rFonts w:cs="Calibri"/>
          <w:lang w:eastAsia="en-GB"/>
        </w:rPr>
        <w:t xml:space="preserve"> category in New Zealand were estimated using a Tier 1 approach (IPCC, 2006).</w:t>
      </w:r>
    </w:p>
    <w:p w14:paraId="7EFC59FC" w14:textId="77777777" w:rsidR="00706DD1" w:rsidRPr="00BE78CA" w:rsidRDefault="00706DD1" w:rsidP="00706DD1">
      <w:pPr>
        <w:pStyle w:val="Heading5"/>
        <w:rPr>
          <w:rFonts w:cs="Calibri"/>
          <w:lang w:eastAsia="en-GB"/>
        </w:rPr>
      </w:pPr>
      <w:r w:rsidRPr="00BE78CA">
        <w:rPr>
          <w:rFonts w:cs="Calibri"/>
          <w:lang w:eastAsia="en-GB"/>
        </w:rPr>
        <w:t>1.A.3.e Other transportation</w:t>
      </w:r>
    </w:p>
    <w:p w14:paraId="32151262" w14:textId="77777777" w:rsidR="00706DD1" w:rsidRPr="00BE78CA" w:rsidRDefault="00706DD1" w:rsidP="00706DD1">
      <w:pPr>
        <w:pStyle w:val="BodyText"/>
        <w:rPr>
          <w:rFonts w:cs="Calibri"/>
          <w:lang w:eastAsia="en-GB"/>
        </w:rPr>
      </w:pPr>
      <w:r w:rsidRPr="00BE78CA">
        <w:rPr>
          <w:rFonts w:cs="Calibri"/>
          <w:lang w:eastAsia="en-GB"/>
        </w:rPr>
        <w:t xml:space="preserve">Combustion related to pipeline transport has been recategorised from 1.A.1.c to 1.A.3.e.i </w:t>
      </w:r>
      <w:r w:rsidRPr="00BE78CA">
        <w:rPr>
          <w:rFonts w:cs="Calibri"/>
          <w:i/>
          <w:lang w:eastAsia="en-GB"/>
        </w:rPr>
        <w:t>Pipeline transport</w:t>
      </w:r>
      <w:r w:rsidRPr="00BE78CA">
        <w:rPr>
          <w:rFonts w:cs="Calibri"/>
          <w:iCs/>
          <w:lang w:eastAsia="en-GB"/>
        </w:rPr>
        <w:t>,</w:t>
      </w:r>
      <w:r w:rsidRPr="00BE78CA">
        <w:rPr>
          <w:rFonts w:cs="Calibri"/>
          <w:lang w:eastAsia="en-GB"/>
        </w:rPr>
        <w:t xml:space="preserve"> in response to feedback received from the ERT during the 2018 centralised review.</w:t>
      </w:r>
    </w:p>
    <w:p w14:paraId="6D6EFA90" w14:textId="77777777" w:rsidR="00706DD1" w:rsidRPr="00BE78CA" w:rsidRDefault="00706DD1" w:rsidP="00706DD1">
      <w:pPr>
        <w:pStyle w:val="BodyText"/>
        <w:rPr>
          <w:rFonts w:cs="Calibri"/>
        </w:rPr>
      </w:pPr>
      <w:r w:rsidRPr="00BE78CA">
        <w:rPr>
          <w:rFonts w:cs="Calibri"/>
        </w:rPr>
        <w:t xml:space="preserve">A recent development in New Zealand is the emergence of a nascent aerospace industry. In New Zealand, space-related activities (launches into outer space, launch facilities, high-altitude vehicles and payloads) are overseen by the New Zealand Space Agency, based within MBIE, as regulated in legislation by the Outer Space and High-altitude Activities Act 2017. Currently, one private company is actively launching rockets from a launch complex on the Māhia Peninsula (on the east coast of New Zealand’s North Island) to put small satellites in orbit around Earth. The rockets use liquid oxygen and RP-1 as propellants. RP-1 is a form of highly refined kerosene. The specific categorisation within energy statistics is yet to be determined, although this type of kerosene is likely classified as jet kerosene under ANZSIC code </w:t>
      </w:r>
      <w:r w:rsidRPr="00BE78CA">
        <w:rPr>
          <w:rFonts w:cs="Calibri"/>
          <w:i/>
        </w:rPr>
        <w:t>I49 Air and Space Transport</w:t>
      </w:r>
      <w:r w:rsidRPr="00BE78CA">
        <w:rPr>
          <w:rFonts w:cs="Calibri"/>
        </w:rPr>
        <w:t xml:space="preserve">, and so would be included within </w:t>
      </w:r>
      <w:r w:rsidRPr="00BE78CA">
        <w:rPr>
          <w:rFonts w:cs="Calibri"/>
          <w:iCs/>
        </w:rPr>
        <w:t>1.A.3.a</w:t>
      </w:r>
      <w:r w:rsidRPr="00BE78CA">
        <w:rPr>
          <w:rFonts w:cs="Calibri"/>
          <w:i/>
        </w:rPr>
        <w:t xml:space="preserve"> Civil aviation</w:t>
      </w:r>
      <w:r w:rsidRPr="00BE78CA">
        <w:rPr>
          <w:rFonts w:cs="Calibri"/>
        </w:rPr>
        <w:t xml:space="preserve">. While the combustion characteristics of rocket engines are likely to differ somewhat from other jet-fuelled activities, no specific emission factors are provided in the 2006 IPCC Guidelines. </w:t>
      </w:r>
    </w:p>
    <w:p w14:paraId="558F52A8" w14:textId="77777777" w:rsidR="00706DD1" w:rsidRPr="00BE78CA" w:rsidRDefault="00706DD1" w:rsidP="00706DD1">
      <w:pPr>
        <w:pStyle w:val="BodyText"/>
        <w:rPr>
          <w:rFonts w:cs="Calibri"/>
        </w:rPr>
      </w:pPr>
      <w:r w:rsidRPr="00BE78CA">
        <w:rPr>
          <w:rFonts w:cs="Calibri"/>
        </w:rPr>
        <w:t xml:space="preserve">The 2006 IPCC Guidelines cover emissions from civil aviation but do not specifically refer to aeronautics or aerospace. Ballistic vehicles, such as rockets, are usually considered to be included under aeronautics but not aviation. Presumably aerospace activities should be considered as a type of off-road transport because the 2006 IPCC </w:t>
      </w:r>
      <w:r w:rsidRPr="00BE78CA">
        <w:rPr>
          <w:rFonts w:cs="Calibri"/>
          <w:iCs/>
        </w:rPr>
        <w:t>Guidelines</w:t>
      </w:r>
      <w:r w:rsidRPr="00BE78CA">
        <w:rPr>
          <w:rFonts w:cs="Calibri"/>
        </w:rPr>
        <w:t xml:space="preserve"> (in table 3.1.1) state that emissions from all remaining transport activities should be reported under </w:t>
      </w:r>
      <w:r w:rsidRPr="00BE78CA">
        <w:rPr>
          <w:rFonts w:cs="Calibri"/>
          <w:iCs/>
        </w:rPr>
        <w:t>1.A.3.e</w:t>
      </w:r>
      <w:r w:rsidRPr="00BE78CA">
        <w:rPr>
          <w:rFonts w:cs="Calibri"/>
          <w:i/>
        </w:rPr>
        <w:t xml:space="preserve"> Other transportation</w:t>
      </w:r>
      <w:r w:rsidRPr="00BE78CA">
        <w:rPr>
          <w:rFonts w:cs="Calibri"/>
          <w:iCs/>
        </w:rPr>
        <w:t>,</w:t>
      </w:r>
      <w:r w:rsidRPr="00BE78CA">
        <w:rPr>
          <w:rFonts w:cs="Calibri"/>
          <w:i/>
        </w:rPr>
        <w:t xml:space="preserve"> </w:t>
      </w:r>
      <w:r w:rsidRPr="00BE78CA">
        <w:rPr>
          <w:rFonts w:cs="Calibri"/>
        </w:rPr>
        <w:t xml:space="preserve">and that </w:t>
      </w:r>
      <w:r w:rsidRPr="00BE78CA">
        <w:rPr>
          <w:rFonts w:cs="Calibri"/>
          <w:iCs/>
        </w:rPr>
        <w:t xml:space="preserve">1.A.3.e.ii </w:t>
      </w:r>
      <w:r w:rsidRPr="00BE78CA">
        <w:rPr>
          <w:rFonts w:cs="Calibri"/>
          <w:i/>
        </w:rPr>
        <w:t>Off-road</w:t>
      </w:r>
      <w:r w:rsidRPr="00BE78CA">
        <w:rPr>
          <w:rFonts w:cs="Calibri"/>
        </w:rPr>
        <w:t xml:space="preserve"> should include emissions from </w:t>
      </w:r>
      <w:r w:rsidRPr="00BE78CA">
        <w:rPr>
          <w:rFonts w:cs="Calibri"/>
          <w:i/>
        </w:rPr>
        <w:t>Other transportation</w:t>
      </w:r>
      <w:r w:rsidRPr="00BE78CA">
        <w:rPr>
          <w:rFonts w:cs="Calibri"/>
        </w:rPr>
        <w:t xml:space="preserve"> excluding </w:t>
      </w:r>
      <w:r w:rsidRPr="00BE78CA">
        <w:rPr>
          <w:rFonts w:cs="Calibri"/>
          <w:i/>
        </w:rPr>
        <w:t>Pipeline transport</w:t>
      </w:r>
      <w:r w:rsidRPr="00BE78CA">
        <w:rPr>
          <w:rFonts w:cs="Calibri"/>
        </w:rPr>
        <w:t xml:space="preserve">. However, as mentioned above, the aerospace fuel activity data are currently included in </w:t>
      </w:r>
      <w:r w:rsidRPr="00BE78CA">
        <w:rPr>
          <w:rFonts w:cs="Calibri"/>
          <w:iCs/>
        </w:rPr>
        <w:t xml:space="preserve">1.A.3.a </w:t>
      </w:r>
      <w:r w:rsidRPr="00BE78CA">
        <w:rPr>
          <w:rFonts w:cs="Calibri"/>
          <w:i/>
        </w:rPr>
        <w:t>Civil aviation</w:t>
      </w:r>
      <w:r w:rsidRPr="00BE78CA">
        <w:rPr>
          <w:rFonts w:cs="Calibri"/>
          <w:iCs/>
        </w:rPr>
        <w:t xml:space="preserve">. </w:t>
      </w:r>
      <w:r w:rsidRPr="00BE78CA">
        <w:rPr>
          <w:rFonts w:cs="Calibri"/>
        </w:rPr>
        <w:t>Further justification for not disaggregating the category is commercial data confidentiality concerns due to the small number of companies operating in the sector.</w:t>
      </w:r>
    </w:p>
    <w:p w14:paraId="7662EA0B" w14:textId="77777777" w:rsidR="00706DD1" w:rsidRPr="00BE78CA" w:rsidRDefault="00706DD1" w:rsidP="00706DD1">
      <w:pPr>
        <w:pStyle w:val="BodyText"/>
        <w:rPr>
          <w:rFonts w:cs="Calibri"/>
        </w:rPr>
      </w:pPr>
      <w:r w:rsidRPr="00BE78CA">
        <w:rPr>
          <w:rFonts w:cs="Calibri"/>
        </w:rPr>
        <w:t xml:space="preserve">An important methodological issue concerning water-borne navigation and civil aviation is to make a distinction between domestic and international transport. The 2006 IPCC </w:t>
      </w:r>
      <w:r w:rsidRPr="00BE78CA">
        <w:rPr>
          <w:rFonts w:cs="Calibri"/>
          <w:iCs/>
        </w:rPr>
        <w:t>Guidelines</w:t>
      </w:r>
      <w:r w:rsidRPr="00BE78CA">
        <w:rPr>
          <w:rFonts w:cs="Calibri"/>
        </w:rPr>
        <w:t xml:space="preserve"> clearly state that the international–domestic split should be determined on the basis of port </w:t>
      </w:r>
      <w:r w:rsidRPr="00BE78CA">
        <w:rPr>
          <w:rFonts w:cs="Calibri"/>
        </w:rPr>
        <w:lastRenderedPageBreak/>
        <w:t xml:space="preserve">of departure and port of arrival. By extension, that same principle should apply to aerospace transport. However, it is not clear in the 2006 IPCC </w:t>
      </w:r>
      <w:r w:rsidRPr="00BE78CA">
        <w:rPr>
          <w:rFonts w:cs="Calibri"/>
          <w:iCs/>
        </w:rPr>
        <w:t>Guidelines</w:t>
      </w:r>
      <w:r w:rsidRPr="00BE78CA">
        <w:rPr>
          <w:rFonts w:cs="Calibri"/>
        </w:rPr>
        <w:t xml:space="preserve"> whether a journey of a craft that departs from one country but does not arrive in any other country should be defined as domestic or international transport. It is also unclear whether emissions occurring outside Earth’s atmosphere should be included in either category. Furthermore, the classification of ground-based rocket testing as a form of either stationary or mobile combustion poses a methodological issue and activity data disaggregation challenge. </w:t>
      </w:r>
    </w:p>
    <w:p w14:paraId="4BB9A13B" w14:textId="77777777" w:rsidR="00706DD1" w:rsidRPr="00BE78CA" w:rsidRDefault="00706DD1" w:rsidP="00706DD1">
      <w:pPr>
        <w:pStyle w:val="Heading4"/>
        <w:rPr>
          <w:lang w:eastAsia="en-GB"/>
        </w:rPr>
      </w:pPr>
      <w:r w:rsidRPr="00BE78CA">
        <w:t>Activity</w:t>
      </w:r>
      <w:r w:rsidRPr="00BE78CA">
        <w:rPr>
          <w:lang w:eastAsia="en-GB"/>
        </w:rPr>
        <w:t xml:space="preserve"> data</w:t>
      </w:r>
    </w:p>
    <w:p w14:paraId="2B6B2A61" w14:textId="77777777" w:rsidR="00706DD1" w:rsidRPr="00BE78CA" w:rsidRDefault="00706DD1" w:rsidP="00706DD1">
      <w:pPr>
        <w:pStyle w:val="Heading5"/>
        <w:spacing w:before="120"/>
        <w:rPr>
          <w:rFonts w:cs="Calibri"/>
          <w:lang w:eastAsia="en-GB"/>
        </w:rPr>
      </w:pPr>
      <w:r w:rsidRPr="00BE78CA">
        <w:rPr>
          <w:rFonts w:cs="Calibri"/>
          <w:lang w:eastAsia="en-GB"/>
        </w:rPr>
        <w:t>1.A.3.a Civil aviation</w:t>
      </w:r>
    </w:p>
    <w:p w14:paraId="49458BD4" w14:textId="77777777" w:rsidR="00706DD1" w:rsidRPr="00BE78CA" w:rsidRDefault="00706DD1" w:rsidP="00706DD1">
      <w:pPr>
        <w:pStyle w:val="BodyText"/>
        <w:rPr>
          <w:rFonts w:cs="Calibri"/>
        </w:rPr>
      </w:pPr>
      <w:r w:rsidRPr="00BE78CA">
        <w:rPr>
          <w:rFonts w:cs="Calibri"/>
          <w:lang w:eastAsia="en-GB"/>
        </w:rPr>
        <w:t xml:space="preserve">MBIE </w:t>
      </w:r>
      <w:r w:rsidRPr="00BE78CA">
        <w:rPr>
          <w:rFonts w:cs="Calibri"/>
        </w:rPr>
        <w:t xml:space="preserve">currently collects data on aviation fuels used for international and domestic aviation through the </w:t>
      </w:r>
      <w:r w:rsidRPr="00BE78CA">
        <w:rPr>
          <w:rFonts w:cs="Calibri"/>
          <w:iCs/>
          <w:spacing w:val="-2"/>
          <w:lang w:eastAsia="en-GB"/>
        </w:rPr>
        <w:t>DPFI</w:t>
      </w:r>
      <w:r w:rsidRPr="00BE78CA">
        <w:rPr>
          <w:rFonts w:cs="Calibri"/>
        </w:rPr>
        <w:t xml:space="preserve">. The respondents to this survey are New Zealand’s four main oil companies, namely: BP, Z Energy, ExxonMobil and Gull (Gull participates only in </w:t>
      </w:r>
      <w:r w:rsidRPr="00BE78CA">
        <w:rPr>
          <w:rFonts w:cs="Calibri"/>
          <w:lang w:eastAsia="en-GB"/>
        </w:rPr>
        <w:t>gasoline</w:t>
      </w:r>
      <w:r w:rsidRPr="00BE78CA">
        <w:rPr>
          <w:rFonts w:cs="Calibri"/>
        </w:rPr>
        <w:t xml:space="preserve"> and diesel sales). </w:t>
      </w:r>
    </w:p>
    <w:p w14:paraId="0C120D86" w14:textId="77777777" w:rsidR="00706DD1" w:rsidRPr="00BE78CA" w:rsidRDefault="00706DD1" w:rsidP="00706DD1">
      <w:pPr>
        <w:pStyle w:val="BodyText"/>
        <w:rPr>
          <w:rFonts w:cs="Calibri"/>
        </w:rPr>
      </w:pPr>
      <w:r w:rsidRPr="00BE78CA">
        <w:rPr>
          <w:rFonts w:cs="Calibri"/>
          <w:lang w:eastAsia="en-GB"/>
        </w:rPr>
        <w:t xml:space="preserve">The distinction between domestic and international flights is based on refuelling at the domestic and international terminals of New Zealand airports. </w:t>
      </w:r>
      <w:r w:rsidRPr="00BE78CA">
        <w:rPr>
          <w:rFonts w:cs="Calibri"/>
        </w:rPr>
        <w:t>The allocation of aviation fuels between domestic and international segments has previously been raised by the ERT. A previous centralised review stated (UNFCCC, 2009):</w:t>
      </w:r>
    </w:p>
    <w:p w14:paraId="2B9D886D" w14:textId="77777777" w:rsidR="00706DD1" w:rsidRPr="00BE78CA" w:rsidRDefault="00706DD1" w:rsidP="00706DD1">
      <w:pPr>
        <w:pStyle w:val="Quote"/>
        <w:spacing w:before="60"/>
        <w:rPr>
          <w:rFonts w:cs="Calibri"/>
        </w:rPr>
      </w:pPr>
      <w:r w:rsidRPr="00BE78CA">
        <w:rPr>
          <w:rFonts w:cs="Calibri"/>
        </w:rPr>
        <w:t>The National Inventory Report (NIR) reports that the allocation of fuel consumption between domestic and international air transport is based on refuelling at the domestic and international terminals of New Zealand’s airports. Currently splitting the domestic and international components of fuels used for international flights with a domestic segment was not considered; however, the number of international flights with a domestic segment is considered to be negligible. The Expert Review Team (ERT) notes that in 2006, New Zealand began consultations with the airlines to clarify the situation and improve the relevant Activity Data (AD), and is currently working on a methodology that will allow for better international and domestic fuel use allocation. New Zealand is encouraged to adopt the new approach and report the outcome in its 2010 submissions.</w:t>
      </w:r>
    </w:p>
    <w:p w14:paraId="558780A8" w14:textId="77777777" w:rsidR="00706DD1" w:rsidRPr="00BE78CA" w:rsidRDefault="00706DD1" w:rsidP="00706DD1">
      <w:pPr>
        <w:pStyle w:val="BodyText"/>
        <w:rPr>
          <w:rFonts w:cs="Calibri"/>
        </w:rPr>
      </w:pPr>
      <w:r w:rsidRPr="00BE78CA">
        <w:rPr>
          <w:rFonts w:cs="Calibri"/>
        </w:rPr>
        <w:t xml:space="preserve">In the </w:t>
      </w:r>
      <w:r w:rsidRPr="00BE78CA">
        <w:rPr>
          <w:rFonts w:cs="Calibri"/>
          <w:iCs/>
          <w:spacing w:val="-2"/>
          <w:lang w:eastAsia="en-GB"/>
        </w:rPr>
        <w:t>DPFI</w:t>
      </w:r>
      <w:r w:rsidRPr="00BE78CA">
        <w:rPr>
          <w:rFonts w:cs="Calibri"/>
        </w:rPr>
        <w:t xml:space="preserve">, the oil companies report quantities of different fuels (jet A1, aviation gasoline and kerosene, among others) used for the purposes of international and domestic transport. The companies allocate the fuel to international or domestic transport based on whether or not they charge GST on the fuel sold – GST is not charged when the destination of a flight is outside of New Zealand. </w:t>
      </w:r>
    </w:p>
    <w:p w14:paraId="4A5F9CAD" w14:textId="77777777" w:rsidR="00706DD1" w:rsidRPr="00BE78CA" w:rsidRDefault="00706DD1" w:rsidP="00706DD1">
      <w:pPr>
        <w:pStyle w:val="BodyText"/>
        <w:rPr>
          <w:rFonts w:cs="Calibri"/>
        </w:rPr>
      </w:pPr>
      <w:r w:rsidRPr="00BE78CA">
        <w:rPr>
          <w:rFonts w:cs="Calibri"/>
        </w:rPr>
        <w:t>Some international flights from New Zealand contain a domestic leg, for example, Christchurch–Auckland–Tokyo. Industry practice is to refuel at both points with sufficient fuel to reach the next destination so that the domestic leg will be coded appropriately. By this logic, fuel used for the domestic leg will attract GST and therefore be coded as domestic, and the international leg, which does not attract GST, will be coded as international.</w:t>
      </w:r>
    </w:p>
    <w:p w14:paraId="510A650D" w14:textId="77777777" w:rsidR="00706DD1" w:rsidRPr="00BE78CA" w:rsidRDefault="00706DD1" w:rsidP="00706DD1">
      <w:pPr>
        <w:pStyle w:val="BodyText"/>
        <w:rPr>
          <w:rFonts w:cs="Calibri"/>
        </w:rPr>
      </w:pPr>
      <w:r w:rsidRPr="00BE78CA">
        <w:rPr>
          <w:rFonts w:cs="Calibri"/>
        </w:rPr>
        <w:t xml:space="preserve">Although this is a supply-side approach, MBIE believes the split of international and domestic transport to be accurate because BP, Z Energy and ExxonMobil supply 100 per cent of the aviation fuels market in New Zealand. Based on the above findings and consultation, MBIE believes the current data-collection methodology is sufficiently robust to ensure all the domestic aviation fuels are reported accordingly and to avoid missing or misallocation of domestic fuel use. </w:t>
      </w:r>
    </w:p>
    <w:p w14:paraId="16D37326" w14:textId="77777777" w:rsidR="00706DD1" w:rsidRPr="00BE78CA" w:rsidRDefault="00706DD1" w:rsidP="00706DD1">
      <w:pPr>
        <w:pStyle w:val="Heading5"/>
        <w:rPr>
          <w:rFonts w:cs="Calibri"/>
          <w:lang w:eastAsia="en-GB"/>
        </w:rPr>
      </w:pPr>
      <w:r w:rsidRPr="00BE78CA">
        <w:rPr>
          <w:rFonts w:cs="Calibri"/>
          <w:lang w:eastAsia="en-GB"/>
        </w:rPr>
        <w:lastRenderedPageBreak/>
        <w:t>1.A.3.b Road transportation</w:t>
      </w:r>
    </w:p>
    <w:p w14:paraId="48F540F6" w14:textId="77777777" w:rsidR="00706DD1" w:rsidRPr="00BE78CA" w:rsidRDefault="00706DD1" w:rsidP="00706DD1">
      <w:pPr>
        <w:pStyle w:val="BodyText"/>
        <w:rPr>
          <w:rFonts w:cs="Calibri"/>
          <w:lang w:eastAsia="en-GB"/>
        </w:rPr>
      </w:pPr>
      <w:r w:rsidRPr="00BE78CA">
        <w:rPr>
          <w:rFonts w:cs="Calibri"/>
          <w:lang w:eastAsia="en-GB"/>
        </w:rPr>
        <w:t xml:space="preserve">Activity data for the </w:t>
      </w:r>
      <w:r w:rsidRPr="00BE78CA">
        <w:rPr>
          <w:rFonts w:cs="Calibri"/>
          <w:i/>
          <w:lang w:eastAsia="en-GB"/>
        </w:rPr>
        <w:t>Road transportation</w:t>
      </w:r>
      <w:r w:rsidRPr="00BE78CA">
        <w:rPr>
          <w:rFonts w:cs="Calibri"/>
          <w:lang w:eastAsia="en-GB"/>
        </w:rPr>
        <w:t xml:space="preserve"> category are provided by the Ministry of Transport’s six-monthly fleet data and MBIE’s national energy statistics. For more information on the use of vehicle fleet data for estimating non-CO</w:t>
      </w:r>
      <w:r w:rsidRPr="00BE78CA">
        <w:rPr>
          <w:rFonts w:cs="Calibri"/>
          <w:vertAlign w:val="subscript"/>
          <w:lang w:eastAsia="en-GB"/>
        </w:rPr>
        <w:t xml:space="preserve">2 </w:t>
      </w:r>
      <w:r w:rsidRPr="00BE78CA">
        <w:rPr>
          <w:rFonts w:cs="Calibri"/>
          <w:lang w:eastAsia="en-GB"/>
        </w:rPr>
        <w:t>emissions, see methodological issues above.</w:t>
      </w:r>
    </w:p>
    <w:p w14:paraId="03C9F423" w14:textId="77777777" w:rsidR="00706DD1" w:rsidRPr="00BE78CA" w:rsidRDefault="00706DD1" w:rsidP="00706DD1">
      <w:pPr>
        <w:pStyle w:val="BodyText"/>
        <w:rPr>
          <w:rFonts w:cs="Calibri"/>
          <w:lang w:eastAsia="en-GB"/>
        </w:rPr>
      </w:pPr>
      <w:r w:rsidRPr="00BE78CA">
        <w:rPr>
          <w:rFonts w:cs="Calibri"/>
          <w:lang w:eastAsia="en-GB"/>
        </w:rPr>
        <w:t xml:space="preserve">Activity data on the consumption of fuel by the </w:t>
      </w:r>
      <w:r w:rsidRPr="00BE78CA">
        <w:rPr>
          <w:rFonts w:cs="Calibri"/>
          <w:i/>
          <w:lang w:eastAsia="en-GB"/>
        </w:rPr>
        <w:t>Transport</w:t>
      </w:r>
      <w:r w:rsidRPr="00BE78CA">
        <w:rPr>
          <w:rFonts w:cs="Calibri"/>
          <w:lang w:eastAsia="en-GB"/>
        </w:rPr>
        <w:t xml:space="preserve"> category were sourced from the </w:t>
      </w:r>
      <w:r w:rsidRPr="00BE78CA">
        <w:rPr>
          <w:rFonts w:cs="Calibri"/>
          <w:iCs/>
          <w:spacing w:val="-2"/>
          <w:lang w:eastAsia="en-GB"/>
        </w:rPr>
        <w:t>DPFI</w:t>
      </w:r>
      <w:r w:rsidRPr="00BE78CA">
        <w:rPr>
          <w:rFonts w:cs="Calibri"/>
          <w:iCs/>
          <w:lang w:eastAsia="en-GB"/>
        </w:rPr>
        <w:t xml:space="preserve"> </w:t>
      </w:r>
      <w:r w:rsidRPr="00BE78CA">
        <w:rPr>
          <w:rFonts w:cs="Calibri"/>
          <w:lang w:eastAsia="en-GB"/>
        </w:rPr>
        <w:t xml:space="preserve">conducted by MBIE. LPG and CNG consumption figures are reported </w:t>
      </w:r>
      <w:r w:rsidRPr="00BE78CA">
        <w:rPr>
          <w:rFonts w:cs="Calibri"/>
          <w:iCs/>
          <w:lang w:eastAsia="en-GB"/>
        </w:rPr>
        <w:t>online by</w:t>
      </w:r>
      <w:r w:rsidRPr="00BE78CA">
        <w:rPr>
          <w:rFonts w:cs="Calibri"/>
        </w:rPr>
        <w:t> </w:t>
      </w:r>
      <w:r w:rsidRPr="00BE78CA">
        <w:rPr>
          <w:rFonts w:cs="Calibri"/>
          <w:lang w:eastAsia="en-GB"/>
        </w:rPr>
        <w:t>MBIE.</w:t>
      </w:r>
    </w:p>
    <w:p w14:paraId="75A7A33A" w14:textId="77777777" w:rsidR="00706DD1" w:rsidRPr="00BE78CA" w:rsidRDefault="00706DD1" w:rsidP="00706DD1">
      <w:pPr>
        <w:pStyle w:val="BodyText"/>
        <w:rPr>
          <w:rFonts w:cs="Calibri"/>
          <w:spacing w:val="-2"/>
        </w:rPr>
      </w:pPr>
      <w:r w:rsidRPr="00BE78CA">
        <w:rPr>
          <w:rFonts w:cs="Calibri"/>
          <w:spacing w:val="-2"/>
        </w:rPr>
        <w:t xml:space="preserve">As mentioned in section 3.3.1, this inventory continues to use the results of the </w:t>
      </w:r>
      <w:r w:rsidRPr="00BE78CA">
        <w:rPr>
          <w:rFonts w:cs="Calibri"/>
          <w:i/>
          <w:spacing w:val="-2"/>
        </w:rPr>
        <w:t>Annual Liquid Fuel Survey</w:t>
      </w:r>
      <w:r w:rsidRPr="00BE78CA">
        <w:rPr>
          <w:rFonts w:cs="Calibri"/>
          <w:spacing w:val="-2"/>
        </w:rPr>
        <w:t xml:space="preserve"> that began in 2009. The purpose of this survey is to capture the allocation of fuel resold by small independent resellers. In recent years, these independent resellers have accounted for around 30 per cent of national diesel sales and around 8 per cent of national gasoline sales. </w:t>
      </w:r>
    </w:p>
    <w:p w14:paraId="3B2DD0F8" w14:textId="77777777" w:rsidR="00706DD1" w:rsidRPr="00BE78CA" w:rsidRDefault="00706DD1" w:rsidP="00706DD1">
      <w:pPr>
        <w:pStyle w:val="BodyText"/>
        <w:rPr>
          <w:rFonts w:cs="Calibri"/>
        </w:rPr>
      </w:pPr>
      <w:r w:rsidRPr="00BE78CA">
        <w:rPr>
          <w:rFonts w:cs="Calibri"/>
        </w:rPr>
        <w:t xml:space="preserve">As a result of resale data captured by the </w:t>
      </w:r>
      <w:r w:rsidRPr="00BE78CA">
        <w:rPr>
          <w:rFonts w:cs="Calibri"/>
          <w:i/>
        </w:rPr>
        <w:t>Annual Liquid Fuel Survey</w:t>
      </w:r>
      <w:r w:rsidRPr="00BE78CA">
        <w:rPr>
          <w:rFonts w:cs="Calibri"/>
        </w:rPr>
        <w:t xml:space="preserve">, emissions that would otherwise be reported in category 1.A.3.b </w:t>
      </w:r>
      <w:r w:rsidRPr="00BE78CA">
        <w:rPr>
          <w:rFonts w:cs="Calibri"/>
          <w:i/>
        </w:rPr>
        <w:t>Road transportation</w:t>
      </w:r>
      <w:r w:rsidRPr="00BE78CA">
        <w:rPr>
          <w:rFonts w:cs="Calibri"/>
        </w:rPr>
        <w:t xml:space="preserve"> are allocated to the correct category.</w:t>
      </w:r>
    </w:p>
    <w:p w14:paraId="67B69F52" w14:textId="77777777" w:rsidR="00706DD1" w:rsidRPr="00BE78CA" w:rsidRDefault="00706DD1" w:rsidP="00706DD1">
      <w:pPr>
        <w:pStyle w:val="BodyText"/>
        <w:rPr>
          <w:rFonts w:cs="Calibri"/>
        </w:rPr>
      </w:pPr>
      <w:r w:rsidRPr="00BE78CA">
        <w:rPr>
          <w:rFonts w:cs="Calibri"/>
        </w:rPr>
        <w:t>For time-series consistency, these reallocations were also made from 1990 to 2008, before the collection of data on the resale of liquid fuel by independent distributors.</w:t>
      </w:r>
    </w:p>
    <w:p w14:paraId="640AF5D6" w14:textId="77777777" w:rsidR="00706DD1" w:rsidRPr="00BE78CA" w:rsidRDefault="00706DD1" w:rsidP="00706DD1">
      <w:pPr>
        <w:pStyle w:val="BodyText"/>
        <w:rPr>
          <w:rFonts w:cs="Calibri"/>
        </w:rPr>
      </w:pPr>
      <w:r w:rsidRPr="00BE78CA">
        <w:rPr>
          <w:rFonts w:cs="Calibri"/>
        </w:rPr>
        <w:t xml:space="preserve">The diesel activity data for the </w:t>
      </w:r>
      <w:r w:rsidRPr="00BE78CA">
        <w:rPr>
          <w:rFonts w:cs="Calibri"/>
          <w:i/>
        </w:rPr>
        <w:t>Road transport</w:t>
      </w:r>
      <w:r w:rsidRPr="00BE78CA">
        <w:rPr>
          <w:rFonts w:cs="Calibri"/>
        </w:rPr>
        <w:t xml:space="preserve"> category are assumed to be the diesel reported for domestic transport, less that reported by KiwiRail in 1.A.3.c </w:t>
      </w:r>
      <w:r w:rsidRPr="00BE78CA">
        <w:rPr>
          <w:rFonts w:cs="Calibri"/>
          <w:i/>
        </w:rPr>
        <w:t>Railways</w:t>
      </w:r>
      <w:r w:rsidRPr="00BE78CA">
        <w:rPr>
          <w:rFonts w:cs="Calibri"/>
        </w:rPr>
        <w:t xml:space="preserve"> and 1.A.3.d </w:t>
      </w:r>
      <w:r w:rsidRPr="00BE78CA">
        <w:rPr>
          <w:rFonts w:cs="Calibri"/>
          <w:i/>
        </w:rPr>
        <w:t>Domestic navigation</w:t>
      </w:r>
      <w:r w:rsidRPr="00BE78CA">
        <w:rPr>
          <w:rFonts w:cs="Calibri"/>
        </w:rPr>
        <w:t xml:space="preserve">, discussed below. </w:t>
      </w:r>
    </w:p>
    <w:p w14:paraId="138605E9" w14:textId="0C51A41D" w:rsidR="00706DD1" w:rsidRPr="00BE78CA" w:rsidRDefault="00706DD1" w:rsidP="00706DD1">
      <w:pPr>
        <w:pStyle w:val="BodyText"/>
        <w:rPr>
          <w:rFonts w:cs="Calibri"/>
        </w:rPr>
      </w:pPr>
      <w:r w:rsidRPr="00BE78CA">
        <w:rPr>
          <w:rFonts w:cs="Calibri"/>
        </w:rPr>
        <w:t>The fuel sold data have been validated by estimating fuel consumption based on vehicle kilometres using a vehicle fleet model. Over the past decade, the fuel quantity from the fuel</w:t>
      </w:r>
      <w:r w:rsidR="00276E6A" w:rsidRPr="00BE78CA">
        <w:rPr>
          <w:rFonts w:cs="Calibri"/>
        </w:rPr>
        <w:t> </w:t>
      </w:r>
      <w:r w:rsidRPr="00BE78CA">
        <w:rPr>
          <w:rFonts w:cs="Calibri"/>
        </w:rPr>
        <w:t>use data has been larger than that estimated using kilometres travelled. Several factors can contribute to differences between the two methods, for example, fuel sold by retailers that is then used for off-road purposes, and the real-world fuel efficiencies of vehicles differing from assumptions used in the vehicle fleet model. Across the time series (2001–15), the average difference is 1.5 per cent for petrol and 4.8 per cent for diesel, which shows that the methods align very closely. This level of agreement compares favourably with the fuel data of other countries.</w:t>
      </w:r>
    </w:p>
    <w:p w14:paraId="179D7617" w14:textId="77777777" w:rsidR="00706DD1" w:rsidRPr="00BE78CA" w:rsidRDefault="00706DD1" w:rsidP="00706DD1">
      <w:pPr>
        <w:pStyle w:val="BodyText"/>
        <w:rPr>
          <w:rFonts w:cs="Calibri"/>
        </w:rPr>
      </w:pPr>
      <w:r w:rsidRPr="00BE78CA">
        <w:t>MBIE receives import–export and excise data on liquid biofuels from the New Zealand Customs Service and sales data from major fuel companies. In December 2012 the Biofuel Sales Obligation was abolished and in June 2012 the Biodiesels Grant Scheme was removed. The trend in biodiesel use in road transport can be explained by the removal of these two schemes. Following their removal, activity fell significantly and has remained relatively stagnant since.</w:t>
      </w:r>
    </w:p>
    <w:p w14:paraId="0EC81DE9" w14:textId="77777777" w:rsidR="00706DD1" w:rsidRPr="00BE78CA" w:rsidRDefault="00706DD1" w:rsidP="00706DD1">
      <w:pPr>
        <w:pStyle w:val="Heading5"/>
        <w:rPr>
          <w:rFonts w:cs="Calibri"/>
          <w:lang w:eastAsia="en-GB"/>
        </w:rPr>
      </w:pPr>
      <w:r w:rsidRPr="00BE78CA">
        <w:rPr>
          <w:rFonts w:cs="Calibri"/>
          <w:lang w:eastAsia="en-GB"/>
        </w:rPr>
        <w:t>1.A.3.c Railways</w:t>
      </w:r>
    </w:p>
    <w:p w14:paraId="2E30270C" w14:textId="77777777" w:rsidR="00706DD1" w:rsidRPr="00BE78CA" w:rsidRDefault="00706DD1" w:rsidP="00706DD1">
      <w:pPr>
        <w:pStyle w:val="BodyText"/>
        <w:rPr>
          <w:rFonts w:cs="Calibri"/>
          <w:lang w:eastAsia="en-GB"/>
        </w:rPr>
      </w:pPr>
      <w:r w:rsidRPr="00BE78CA">
        <w:rPr>
          <w:rFonts w:cs="Calibri"/>
          <w:lang w:eastAsia="en-GB"/>
        </w:rPr>
        <w:t xml:space="preserve">Activity data for fuel used in this category are obtained directly from KiwiRail, the operator of national rail services in New Zealand. This also includes diesel sold to the metropolitan service operated by Veolia in Auckland. </w:t>
      </w:r>
    </w:p>
    <w:p w14:paraId="0856C211" w14:textId="77777777" w:rsidR="00706DD1" w:rsidRPr="00BE78CA" w:rsidRDefault="00706DD1" w:rsidP="00706DD1">
      <w:pPr>
        <w:pStyle w:val="Heading5"/>
        <w:rPr>
          <w:rFonts w:cs="Calibri"/>
        </w:rPr>
      </w:pPr>
      <w:r w:rsidRPr="00BE78CA">
        <w:rPr>
          <w:rFonts w:cs="Calibri"/>
          <w:lang w:eastAsia="en-GB"/>
        </w:rPr>
        <w:t xml:space="preserve">1.A.3.d Domestic navigation </w:t>
      </w:r>
    </w:p>
    <w:p w14:paraId="035FBD54" w14:textId="77777777" w:rsidR="00706DD1" w:rsidRPr="00BE78CA" w:rsidRDefault="00706DD1" w:rsidP="00706DD1">
      <w:pPr>
        <w:pStyle w:val="BodyText"/>
        <w:rPr>
          <w:rFonts w:cs="Calibri"/>
          <w:lang w:eastAsia="en-GB"/>
        </w:rPr>
      </w:pPr>
      <w:r w:rsidRPr="00BE78CA">
        <w:rPr>
          <w:rFonts w:cs="Calibri"/>
          <w:lang w:eastAsia="en-GB"/>
        </w:rPr>
        <w:t xml:space="preserve">Fuel oil activity data on fuel use by domestic transport are sourced from the quarterly </w:t>
      </w:r>
      <w:r w:rsidRPr="00BE78CA">
        <w:rPr>
          <w:rFonts w:cs="Calibri"/>
          <w:iCs/>
          <w:spacing w:val="-2"/>
          <w:lang w:eastAsia="en-GB"/>
        </w:rPr>
        <w:t>DPFI</w:t>
      </w:r>
      <w:r w:rsidRPr="00BE78CA">
        <w:rPr>
          <w:rFonts w:cs="Calibri"/>
          <w:i/>
          <w:iCs/>
          <w:lang w:eastAsia="en-GB"/>
        </w:rPr>
        <w:t xml:space="preserve"> </w:t>
      </w:r>
      <w:r w:rsidRPr="00BE78CA">
        <w:rPr>
          <w:rFonts w:cs="Calibri"/>
          <w:lang w:eastAsia="en-GB"/>
        </w:rPr>
        <w:t xml:space="preserve">conducted by MBIE. The DPFI provides monthly marine diesel supply figures that are added to diesel consumption data provided by KiwiRail (the operator of inter-island ferries) to obtain </w:t>
      </w:r>
      <w:r w:rsidRPr="00BE78CA">
        <w:rPr>
          <w:rFonts w:cs="Calibri"/>
          <w:lang w:eastAsia="en-GB"/>
        </w:rPr>
        <w:lastRenderedPageBreak/>
        <w:t xml:space="preserve">total diesel consumption in the </w:t>
      </w:r>
      <w:r w:rsidRPr="00BE78CA">
        <w:rPr>
          <w:rFonts w:cs="Calibri"/>
          <w:i/>
          <w:lang w:eastAsia="en-GB"/>
        </w:rPr>
        <w:t>Domestic navigation</w:t>
      </w:r>
      <w:r w:rsidRPr="00BE78CA">
        <w:rPr>
          <w:rFonts w:cs="Calibri"/>
          <w:lang w:eastAsia="en-GB"/>
        </w:rPr>
        <w:t xml:space="preserve"> category. New Zealand-specific emission factors have been used to estimate </w:t>
      </w:r>
      <w:r w:rsidRPr="00BE78CA">
        <w:rPr>
          <w:rFonts w:cs="Calibri"/>
        </w:rPr>
        <w:t>CO</w:t>
      </w:r>
      <w:r w:rsidRPr="00BE78CA">
        <w:rPr>
          <w:rFonts w:cs="Calibri"/>
          <w:vertAlign w:val="subscript"/>
        </w:rPr>
        <w:t>2</w:t>
      </w:r>
      <w:r w:rsidRPr="00BE78CA">
        <w:rPr>
          <w:rFonts w:cs="Calibri"/>
          <w:sz w:val="14"/>
          <w:szCs w:val="14"/>
          <w:lang w:eastAsia="en-GB"/>
        </w:rPr>
        <w:t xml:space="preserve"> </w:t>
      </w:r>
      <w:r w:rsidRPr="00BE78CA">
        <w:rPr>
          <w:rFonts w:cs="Calibri"/>
          <w:lang w:eastAsia="en-GB"/>
        </w:rPr>
        <w:t xml:space="preserve">emissions and, because of insufficient data, the IPCC 2006 default emission factors have been used to estimate </w:t>
      </w:r>
      <w:r w:rsidRPr="00BE78CA">
        <w:rPr>
          <w:rFonts w:cs="Calibri"/>
        </w:rPr>
        <w:t>CH</w:t>
      </w:r>
      <w:r w:rsidRPr="00BE78CA">
        <w:rPr>
          <w:rFonts w:cs="Calibri"/>
          <w:vertAlign w:val="subscript"/>
        </w:rPr>
        <w:t>4</w:t>
      </w:r>
      <w:r w:rsidRPr="00BE78CA">
        <w:rPr>
          <w:rFonts w:cs="Calibri"/>
          <w:sz w:val="14"/>
          <w:szCs w:val="14"/>
          <w:lang w:eastAsia="en-GB"/>
        </w:rPr>
        <w:t xml:space="preserve"> </w:t>
      </w:r>
      <w:r w:rsidRPr="00BE78CA">
        <w:rPr>
          <w:rFonts w:cs="Calibri"/>
          <w:lang w:eastAsia="en-GB"/>
        </w:rPr>
        <w:t xml:space="preserve">and </w:t>
      </w:r>
      <w:r w:rsidRPr="00BE78CA">
        <w:rPr>
          <w:rFonts w:cs="Calibri"/>
        </w:rPr>
        <w:t>N</w:t>
      </w:r>
      <w:r w:rsidRPr="00BE78CA">
        <w:rPr>
          <w:rFonts w:cs="Calibri"/>
          <w:vertAlign w:val="subscript"/>
        </w:rPr>
        <w:t>2</w:t>
      </w:r>
      <w:r w:rsidRPr="00BE78CA">
        <w:rPr>
          <w:rFonts w:cs="Calibri"/>
        </w:rPr>
        <w:t>O</w:t>
      </w:r>
      <w:r w:rsidRPr="00BE78CA">
        <w:rPr>
          <w:rFonts w:cs="Calibri"/>
          <w:lang w:eastAsia="en-GB"/>
        </w:rPr>
        <w:t xml:space="preserve"> emissions.</w:t>
      </w:r>
    </w:p>
    <w:p w14:paraId="0AEEE702" w14:textId="77777777" w:rsidR="00706DD1" w:rsidRPr="00BE78CA" w:rsidRDefault="00706DD1" w:rsidP="00706DD1">
      <w:pPr>
        <w:pStyle w:val="BodyText"/>
        <w:rPr>
          <w:rFonts w:cs="Calibri"/>
        </w:rPr>
      </w:pPr>
      <w:r w:rsidRPr="00BE78CA">
        <w:rPr>
          <w:rFonts w:cs="Calibri"/>
          <w:lang w:eastAsia="en-GB"/>
        </w:rPr>
        <w:t xml:space="preserve">Fuel sales to domestic navigation and international marine bunkers are reported separately in national energy data surveys. </w:t>
      </w:r>
      <w:r w:rsidRPr="00BE78CA">
        <w:rPr>
          <w:rFonts w:cs="Calibri"/>
        </w:rPr>
        <w:t>The companies allocate the fuel to international or domestic transport based on whether or not they charge GST on the fuel sold – GST is not charged when the destination of a voyage is outside of New Zealand.</w:t>
      </w:r>
    </w:p>
    <w:p w14:paraId="0A20E0A4" w14:textId="77777777" w:rsidR="00706DD1" w:rsidRPr="00BE78CA" w:rsidRDefault="00706DD1" w:rsidP="00706DD1">
      <w:pPr>
        <w:pStyle w:val="BodyText"/>
        <w:rPr>
          <w:rFonts w:cs="Calibri"/>
          <w:lang w:eastAsia="en-GB"/>
        </w:rPr>
      </w:pPr>
      <w:r w:rsidRPr="00BE78CA">
        <w:rPr>
          <w:rFonts w:cs="Calibri"/>
        </w:rPr>
        <w:t>Historically, the Marsden Point oil refinery produced marine diesel oil (MDO). Production of MDO at the refinery stopped in late 2006. Data collected from the operators of the Interislander Ferry service (KiwiRail) have not included MDO use since 2006. The end to the collection of these data coincided with this operator ceasing a ‘fast ferry’ service between the North Island and South Island – this ferry ran on MDO – whereas the remainder of its fleet runs on fuel oil. No significant quantity of diesel is used for commercial domestic navigation in New Zealand. Smaller quantities of diesel may be used in private and/or recreational vessels, but this is difficult to estimate. The DPFI would capture these sales as road transport.</w:t>
      </w:r>
    </w:p>
    <w:p w14:paraId="2A56ADCD" w14:textId="77777777" w:rsidR="00706DD1" w:rsidRPr="00BE78CA" w:rsidRDefault="00706DD1" w:rsidP="00706DD1">
      <w:pPr>
        <w:pStyle w:val="Heading4"/>
      </w:pPr>
      <w:r w:rsidRPr="00BE78CA">
        <w:rPr>
          <w:lang w:eastAsia="en-GB"/>
        </w:rPr>
        <w:t>Uncertainties and time-series consistency</w:t>
      </w:r>
    </w:p>
    <w:p w14:paraId="5A564A1E" w14:textId="77777777" w:rsidR="00706DD1" w:rsidRPr="00BE78CA" w:rsidRDefault="00706DD1" w:rsidP="00706DD1">
      <w:pPr>
        <w:pStyle w:val="BodyText"/>
        <w:rPr>
          <w:rFonts w:cs="Calibri"/>
          <w:lang w:eastAsia="en-GB"/>
        </w:rPr>
      </w:pPr>
      <w:r w:rsidRPr="00BE78CA">
        <w:rPr>
          <w:rFonts w:cs="Calibri"/>
          <w:lang w:eastAsia="en-GB"/>
        </w:rPr>
        <w:t xml:space="preserve">Uncertainties in emission estimates from the </w:t>
      </w:r>
      <w:r w:rsidRPr="00BE78CA">
        <w:rPr>
          <w:rFonts w:cs="Calibri"/>
          <w:i/>
          <w:lang w:eastAsia="en-GB"/>
        </w:rPr>
        <w:t>Transport</w:t>
      </w:r>
      <w:r w:rsidRPr="00BE78CA">
        <w:rPr>
          <w:rFonts w:cs="Calibri"/>
          <w:lang w:eastAsia="en-GB"/>
        </w:rPr>
        <w:t xml:space="preserve"> category are relevant to the entire </w:t>
      </w:r>
      <w:r w:rsidRPr="00BE78CA">
        <w:rPr>
          <w:rFonts w:cs="Calibri"/>
          <w:i/>
          <w:lang w:eastAsia="en-GB"/>
        </w:rPr>
        <w:t>Fuel combustion</w:t>
      </w:r>
      <w:r w:rsidRPr="00BE78CA">
        <w:rPr>
          <w:rFonts w:cs="Calibri"/>
          <w:lang w:eastAsia="en-GB"/>
        </w:rPr>
        <w:t xml:space="preserve"> sector (see table 3.3.1).</w:t>
      </w:r>
    </w:p>
    <w:p w14:paraId="3B664707" w14:textId="77777777" w:rsidR="00706DD1" w:rsidRPr="00BE78CA" w:rsidRDefault="00706DD1" w:rsidP="00706DD1">
      <w:pPr>
        <w:pStyle w:val="Heading4"/>
        <w:rPr>
          <w:lang w:eastAsia="en-GB"/>
        </w:rPr>
      </w:pPr>
      <w:r w:rsidRPr="00BE78CA">
        <w:rPr>
          <w:lang w:eastAsia="en-GB"/>
        </w:rPr>
        <w:t>Source-specific QA/QC and verification</w:t>
      </w:r>
    </w:p>
    <w:p w14:paraId="5DBFA11F" w14:textId="77777777" w:rsidR="00706DD1" w:rsidRPr="00BE78CA" w:rsidRDefault="00706DD1" w:rsidP="00706DD1">
      <w:pPr>
        <w:pStyle w:val="BodyText"/>
        <w:rPr>
          <w:rFonts w:cs="Calibri"/>
        </w:rPr>
      </w:pPr>
      <w:r w:rsidRPr="00BE78CA">
        <w:rPr>
          <w:rFonts w:cs="Calibri"/>
          <w:lang w:eastAsia="en-GB"/>
        </w:rPr>
        <w:t xml:space="preserve">In the preparation of this inventory, the </w:t>
      </w:r>
      <w:r w:rsidRPr="00BE78CA">
        <w:rPr>
          <w:rFonts w:cs="Calibri"/>
          <w:i/>
          <w:lang w:eastAsia="en-GB"/>
        </w:rPr>
        <w:t>Transport</w:t>
      </w:r>
      <w:r w:rsidRPr="00BE78CA">
        <w:rPr>
          <w:rFonts w:cs="Calibri"/>
          <w:lang w:eastAsia="en-GB"/>
        </w:rPr>
        <w:t xml:space="preserve"> category underwent Tier 1 quality-assurance and quality-control checks as recommended in the 2006 IPCC Guidelines. These include regular control sums throughout systems, to verify system integrity, and time-series consistency checks.</w:t>
      </w:r>
    </w:p>
    <w:p w14:paraId="1B950A57" w14:textId="77777777" w:rsidR="00706DD1" w:rsidRPr="00BE78CA" w:rsidRDefault="00706DD1" w:rsidP="00706DD1">
      <w:pPr>
        <w:pStyle w:val="BodyText"/>
        <w:rPr>
          <w:rFonts w:cs="Calibri"/>
          <w:lang w:eastAsia="en-GB"/>
        </w:rPr>
      </w:pPr>
      <w:r w:rsidRPr="00BE78CA">
        <w:rPr>
          <w:rFonts w:cs="Calibri"/>
          <w:lang w:eastAsia="en-GB"/>
        </w:rPr>
        <w:t xml:space="preserve">Comparisons of international implied emission factors across the time series (1990–2012), and those resulting from the new Tier 3 methodology for </w:t>
      </w:r>
      <w:r w:rsidRPr="00BE78CA">
        <w:rPr>
          <w:rFonts w:cs="Calibri"/>
        </w:rPr>
        <w:t>CH</w:t>
      </w:r>
      <w:r w:rsidRPr="00BE78CA">
        <w:rPr>
          <w:rFonts w:cs="Calibri"/>
          <w:vertAlign w:val="subscript"/>
        </w:rPr>
        <w:t>4</w:t>
      </w:r>
      <w:r w:rsidRPr="00BE78CA">
        <w:rPr>
          <w:rFonts w:cs="Calibri"/>
          <w:lang w:eastAsia="en-GB"/>
        </w:rPr>
        <w:t xml:space="preserve"> and </w:t>
      </w:r>
      <w:r w:rsidRPr="00BE78CA">
        <w:rPr>
          <w:rFonts w:cs="Calibri"/>
        </w:rPr>
        <w:t>N</w:t>
      </w:r>
      <w:r w:rsidRPr="00BE78CA">
        <w:rPr>
          <w:rFonts w:cs="Calibri"/>
          <w:vertAlign w:val="subscript"/>
        </w:rPr>
        <w:t>2</w:t>
      </w:r>
      <w:r w:rsidRPr="00BE78CA">
        <w:rPr>
          <w:rFonts w:cs="Calibri"/>
        </w:rPr>
        <w:t>O</w:t>
      </w:r>
      <w:r w:rsidRPr="00BE78CA">
        <w:rPr>
          <w:rFonts w:cs="Calibri"/>
          <w:lang w:eastAsia="en-GB"/>
        </w:rPr>
        <w:t xml:space="preserve"> emissions from road transport, were made using data from the United Nations Framework Convention on Climate Change website. </w:t>
      </w:r>
    </w:p>
    <w:p w14:paraId="3FBA6A8C" w14:textId="77777777" w:rsidR="00706DD1" w:rsidRPr="00BE78CA" w:rsidRDefault="00706DD1" w:rsidP="00706DD1">
      <w:pPr>
        <w:pStyle w:val="Heading4"/>
        <w:rPr>
          <w:lang w:eastAsia="en-GB"/>
        </w:rPr>
      </w:pPr>
      <w:r w:rsidRPr="00BE78CA">
        <w:rPr>
          <w:lang w:eastAsia="en-GB"/>
        </w:rPr>
        <w:t>Source-specific recalculations</w:t>
      </w:r>
    </w:p>
    <w:p w14:paraId="6D964683" w14:textId="77777777" w:rsidR="00706DD1" w:rsidRPr="00BE78CA" w:rsidRDefault="00706DD1" w:rsidP="00706DD1">
      <w:pPr>
        <w:pStyle w:val="BodyText"/>
        <w:rPr>
          <w:rFonts w:cs="Calibri"/>
          <w:lang w:eastAsia="en-GB"/>
        </w:rPr>
      </w:pPr>
      <w:r w:rsidRPr="00BE78CA">
        <w:rPr>
          <w:rFonts w:cs="Calibri"/>
          <w:lang w:eastAsia="en-GB"/>
        </w:rPr>
        <w:t xml:space="preserve">Minor revisions to historical data have been made within the oil data system at MBIE. The method used to model emissions for the </w:t>
      </w:r>
      <w:r w:rsidRPr="00BE78CA">
        <w:rPr>
          <w:rFonts w:cs="Calibri"/>
          <w:i/>
          <w:lang w:eastAsia="en-GB"/>
        </w:rPr>
        <w:t xml:space="preserve">Road transportation </w:t>
      </w:r>
      <w:r w:rsidRPr="00BE78CA">
        <w:rPr>
          <w:rFonts w:cs="Calibri"/>
          <w:lang w:eastAsia="en-GB"/>
        </w:rPr>
        <w:t>category in the period</w:t>
      </w:r>
      <w:r w:rsidRPr="00BE78CA">
        <w:rPr>
          <w:rFonts w:cs="Calibri"/>
          <w:lang w:eastAsia="en-GB"/>
        </w:rPr>
        <w:br/>
        <w:t>1990 to 2000 has been updated to improve consistency between fuels and vehicle types.</w:t>
      </w:r>
    </w:p>
    <w:p w14:paraId="391BFEA2" w14:textId="77777777" w:rsidR="00706DD1" w:rsidRPr="00BE78CA" w:rsidRDefault="00706DD1" w:rsidP="00706DD1">
      <w:pPr>
        <w:pStyle w:val="Heading4"/>
        <w:rPr>
          <w:lang w:eastAsia="en-GB"/>
        </w:rPr>
      </w:pPr>
      <w:r w:rsidRPr="00BE78CA">
        <w:rPr>
          <w:lang w:eastAsia="en-GB"/>
        </w:rPr>
        <w:t>Source-specific improvements</w:t>
      </w:r>
    </w:p>
    <w:p w14:paraId="02046E30" w14:textId="07AC6F21" w:rsidR="00706DD1" w:rsidRPr="00BE78CA" w:rsidRDefault="00706DD1" w:rsidP="00706DD1">
      <w:pPr>
        <w:pStyle w:val="BodyText"/>
        <w:rPr>
          <w:rFonts w:cs="Calibri"/>
          <w:lang w:eastAsia="en-GB"/>
        </w:rPr>
      </w:pPr>
      <w:r w:rsidRPr="00BE78CA">
        <w:rPr>
          <w:rFonts w:cs="Calibri"/>
          <w:lang w:eastAsia="en-GB"/>
        </w:rPr>
        <w:t xml:space="preserve">For this submission, biodiesel has been disaggregated into the biogenic fraction and the fossil fraction. The biodiesel biogenic fraction continues to be classified as </w:t>
      </w:r>
      <w:r w:rsidRPr="00BE78CA">
        <w:rPr>
          <w:rFonts w:cs="Calibri"/>
          <w:i/>
          <w:lang w:eastAsia="en-GB"/>
        </w:rPr>
        <w:t>Biomass</w:t>
      </w:r>
      <w:r w:rsidRPr="00BE78CA">
        <w:rPr>
          <w:rFonts w:cs="Calibri"/>
          <w:lang w:eastAsia="en-GB"/>
        </w:rPr>
        <w:t xml:space="preserve">, while the biodiesel fossil fraction is classified as </w:t>
      </w:r>
      <w:r w:rsidRPr="00BE78CA">
        <w:rPr>
          <w:rFonts w:cs="Calibri"/>
          <w:i/>
          <w:lang w:eastAsia="en-GB"/>
        </w:rPr>
        <w:t>Other fossil fuels</w:t>
      </w:r>
      <w:r w:rsidRPr="00BE78CA">
        <w:rPr>
          <w:rFonts w:cs="Calibri"/>
          <w:lang w:eastAsia="en-GB"/>
        </w:rPr>
        <w:t>. Biodiesel produced and consumed in New Zealand is generally fatty acid methyl ester (FAME). To produce FAME, vegetable oil or animal fat is trans-esterified with methanol, which is assumed to be of fossil origin. Consequently, every single molecule of FAME contains one fossil carbon atom. While the exact</w:t>
      </w:r>
      <w:r w:rsidR="003B759C" w:rsidRPr="00BE78CA">
        <w:rPr>
          <w:rFonts w:cs="Calibri"/>
          <w:lang w:eastAsia="en-GB"/>
        </w:rPr>
        <w:t> </w:t>
      </w:r>
      <w:r w:rsidRPr="00BE78CA">
        <w:rPr>
          <w:rFonts w:cs="Calibri"/>
          <w:lang w:eastAsia="en-GB"/>
        </w:rPr>
        <w:t>fraction of fossil carbon in FAME depends on the nature of the feedstock oil, a value of 5.4 per cent is assumed based on measurements of a range of biodiesels from Reddy et al. (2008). As a result, part of the CO</w:t>
      </w:r>
      <w:r w:rsidRPr="00BE78CA">
        <w:rPr>
          <w:rFonts w:cs="Calibri"/>
          <w:vertAlign w:val="subscript"/>
          <w:lang w:eastAsia="en-GB"/>
        </w:rPr>
        <w:t>2</w:t>
      </w:r>
      <w:r w:rsidRPr="00BE78CA">
        <w:rPr>
          <w:rFonts w:cs="Calibri"/>
          <w:lang w:eastAsia="en-GB"/>
        </w:rPr>
        <w:t xml:space="preserve"> emissions previously reported as biomass memo items are now included in the national total emissions.</w:t>
      </w:r>
    </w:p>
    <w:p w14:paraId="7F03D909" w14:textId="77777777" w:rsidR="00706DD1" w:rsidRPr="00BE78CA" w:rsidRDefault="00706DD1" w:rsidP="009833BB">
      <w:pPr>
        <w:pStyle w:val="BodyText"/>
        <w:spacing w:before="100" w:after="100"/>
        <w:rPr>
          <w:rFonts w:cs="Calibri"/>
          <w:lang w:eastAsia="en-GB"/>
        </w:rPr>
      </w:pPr>
      <w:r w:rsidRPr="00BE78CA">
        <w:rPr>
          <w:rFonts w:cs="Calibri"/>
          <w:lang w:eastAsia="en-GB"/>
        </w:rPr>
        <w:lastRenderedPageBreak/>
        <w:t>For the 2019 submission, the Ministry of Transport has implemented several improvements for its estimates of non-CO</w:t>
      </w:r>
      <w:r w:rsidRPr="00BE78CA">
        <w:rPr>
          <w:rFonts w:cs="Calibri"/>
          <w:vertAlign w:val="subscript"/>
          <w:lang w:eastAsia="en-GB"/>
        </w:rPr>
        <w:t>2</w:t>
      </w:r>
      <w:r w:rsidRPr="00BE78CA">
        <w:rPr>
          <w:rFonts w:cs="Calibri"/>
          <w:lang w:eastAsia="en-GB"/>
        </w:rPr>
        <w:t xml:space="preserve"> emissions from road transport. First, new emission factors for Euro 5 and 6 vehicles have been used, where previously these vehicles were treated as Euro 4/IV. Second, t</w:t>
      </w:r>
      <w:r w:rsidRPr="00BE78CA">
        <w:rPr>
          <w:rFonts w:cs="Calibri"/>
        </w:rPr>
        <w:t xml:space="preserve">he European Monitoring and Evaluation Programme/European Environment Agency emission inventory guidebook was updated in late 2016 (European Environment Agency, 2016). Some of the emission factors for Euro 4 and earlier vehicles were also updated in the latest version of the guidebook. Moreover, detailed emission factors were provided for heavy duty trucks in different gross vehicle mass bands. </w:t>
      </w:r>
    </w:p>
    <w:p w14:paraId="51AA37EA" w14:textId="77777777" w:rsidR="00706DD1" w:rsidRPr="00BE78CA" w:rsidRDefault="00706DD1" w:rsidP="009833BB">
      <w:pPr>
        <w:pStyle w:val="Heading4"/>
        <w:spacing w:before="200"/>
      </w:pPr>
      <w:r w:rsidRPr="00BE78CA">
        <w:rPr>
          <w:lang w:eastAsia="en-GB"/>
        </w:rPr>
        <w:t>Source-specific planned improvements</w:t>
      </w:r>
    </w:p>
    <w:p w14:paraId="0A2FF057" w14:textId="77777777" w:rsidR="00706DD1" w:rsidRPr="00BE78CA" w:rsidRDefault="00706DD1" w:rsidP="009833BB">
      <w:pPr>
        <w:pStyle w:val="BodyText"/>
        <w:spacing w:before="100" w:after="100"/>
        <w:rPr>
          <w:rFonts w:cs="Calibri"/>
        </w:rPr>
      </w:pPr>
      <w:r w:rsidRPr="00BE78CA">
        <w:rPr>
          <w:rFonts w:cs="Calibri"/>
          <w:lang w:eastAsia="en-GB"/>
        </w:rPr>
        <w:t>MBIE is discussing with the Ministry of Transport the possibility of incorporating the results of a new aviation emissions model in the inventory estimates (for CH</w:t>
      </w:r>
      <w:r w:rsidRPr="00BE78CA">
        <w:rPr>
          <w:rFonts w:cs="Calibri"/>
          <w:vertAlign w:val="subscript"/>
          <w:lang w:eastAsia="en-GB"/>
        </w:rPr>
        <w:t>4</w:t>
      </w:r>
      <w:r w:rsidRPr="00BE78CA">
        <w:rPr>
          <w:rFonts w:cs="Calibri"/>
          <w:lang w:eastAsia="en-GB"/>
        </w:rPr>
        <w:t xml:space="preserve"> and N</w:t>
      </w:r>
      <w:r w:rsidRPr="00BE78CA">
        <w:rPr>
          <w:rFonts w:cs="Calibri"/>
          <w:vertAlign w:val="subscript"/>
          <w:lang w:eastAsia="en-GB"/>
        </w:rPr>
        <w:t>2</w:t>
      </w:r>
      <w:r w:rsidRPr="00BE78CA">
        <w:rPr>
          <w:rFonts w:cs="Calibri"/>
          <w:lang w:eastAsia="en-GB"/>
        </w:rPr>
        <w:t xml:space="preserve">O emissions). This will require time and resources to progress if it is deemed to be a worthwhile improvement. An update will be reported in the next annual submission. </w:t>
      </w:r>
    </w:p>
    <w:p w14:paraId="6C23F565" w14:textId="77777777" w:rsidR="00706DD1" w:rsidRPr="00BE78CA" w:rsidRDefault="00706DD1" w:rsidP="009833BB">
      <w:pPr>
        <w:pStyle w:val="Heading3"/>
        <w:spacing w:before="280"/>
        <w:rPr>
          <w:rFonts w:cs="Calibri"/>
        </w:rPr>
      </w:pPr>
      <w:r w:rsidRPr="00BE78CA">
        <w:rPr>
          <w:rFonts w:cs="Calibri"/>
        </w:rPr>
        <w:t>3.3.9</w:t>
      </w:r>
      <w:r w:rsidRPr="00BE78CA">
        <w:rPr>
          <w:rFonts w:cs="Calibri"/>
        </w:rPr>
        <w:tab/>
        <w:t>Fuel combustion: Other sectors (CRF 1.A.4)</w:t>
      </w:r>
    </w:p>
    <w:p w14:paraId="3A8A21F2" w14:textId="77777777" w:rsidR="00706DD1" w:rsidRPr="00BE78CA" w:rsidRDefault="00706DD1" w:rsidP="00706DD1">
      <w:pPr>
        <w:pStyle w:val="Heading4"/>
        <w:spacing w:before="160"/>
      </w:pPr>
      <w:r w:rsidRPr="00BE78CA">
        <w:rPr>
          <w:lang w:eastAsia="en-GB"/>
        </w:rPr>
        <w:t>Description</w:t>
      </w:r>
    </w:p>
    <w:p w14:paraId="60451D4D" w14:textId="77777777" w:rsidR="00706DD1" w:rsidRPr="00BE78CA" w:rsidRDefault="00706DD1" w:rsidP="00706DD1">
      <w:pPr>
        <w:pStyle w:val="BodyText"/>
        <w:rPr>
          <w:rFonts w:cs="Calibri"/>
          <w:lang w:eastAsia="en-GB"/>
        </w:rPr>
      </w:pPr>
      <w:r w:rsidRPr="00BE78CA">
        <w:rPr>
          <w:rFonts w:cs="Calibri"/>
          <w:lang w:eastAsia="en-GB"/>
        </w:rPr>
        <w:t xml:space="preserve">The category 1.A.4 </w:t>
      </w:r>
      <w:r w:rsidRPr="00BE78CA">
        <w:rPr>
          <w:rFonts w:cs="Calibri"/>
          <w:i/>
          <w:lang w:eastAsia="en-GB"/>
        </w:rPr>
        <w:t>Other sectors</w:t>
      </w:r>
      <w:r w:rsidRPr="00BE78CA">
        <w:rPr>
          <w:rFonts w:cs="Calibri"/>
          <w:lang w:eastAsia="en-GB"/>
        </w:rPr>
        <w:t xml:space="preserve"> comprises emissions from fuels combusted in the </w:t>
      </w:r>
      <w:r w:rsidRPr="00BE78CA">
        <w:rPr>
          <w:rFonts w:cs="Calibri"/>
          <w:i/>
          <w:lang w:eastAsia="en-GB"/>
        </w:rPr>
        <w:t>Commercial/institutional</w:t>
      </w:r>
      <w:r w:rsidRPr="00BE78CA">
        <w:rPr>
          <w:rFonts w:cs="Calibri"/>
          <w:lang w:eastAsia="en-GB"/>
        </w:rPr>
        <w:t xml:space="preserve">, </w:t>
      </w:r>
      <w:r w:rsidRPr="00BE78CA">
        <w:rPr>
          <w:rFonts w:cs="Calibri"/>
          <w:i/>
          <w:lang w:eastAsia="en-GB"/>
        </w:rPr>
        <w:t>Residential</w:t>
      </w:r>
      <w:r w:rsidRPr="00BE78CA">
        <w:rPr>
          <w:rFonts w:cs="Calibri"/>
          <w:lang w:eastAsia="en-GB"/>
        </w:rPr>
        <w:t xml:space="preserve"> and </w:t>
      </w:r>
      <w:r w:rsidRPr="00BE78CA">
        <w:rPr>
          <w:rFonts w:cs="Calibri"/>
          <w:i/>
          <w:lang w:eastAsia="en-GB"/>
        </w:rPr>
        <w:t>Agriculture/forestry/fishing</w:t>
      </w:r>
      <w:r w:rsidRPr="00BE78CA">
        <w:rPr>
          <w:rFonts w:cs="Calibri"/>
          <w:lang w:eastAsia="en-GB"/>
        </w:rPr>
        <w:t xml:space="preserve"> categories.</w:t>
      </w:r>
    </w:p>
    <w:p w14:paraId="5681EB63" w14:textId="77777777" w:rsidR="00706DD1" w:rsidRPr="00BE78CA" w:rsidRDefault="00706DD1" w:rsidP="00706DD1">
      <w:pPr>
        <w:pStyle w:val="BodyText"/>
        <w:rPr>
          <w:rFonts w:cs="Calibri"/>
        </w:rPr>
      </w:pPr>
      <w:r w:rsidRPr="00BE78CA">
        <w:rPr>
          <w:rFonts w:cs="Calibri"/>
          <w:lang w:eastAsia="en-GB"/>
        </w:rPr>
        <w:t xml:space="preserve">In </w:t>
      </w:r>
      <w:r w:rsidRPr="00BE78CA">
        <w:rPr>
          <w:rFonts w:cs="Calibri"/>
        </w:rPr>
        <w:t>2019</w:t>
      </w:r>
      <w:r w:rsidRPr="00BE78CA">
        <w:rPr>
          <w:rFonts w:cs="Calibri"/>
          <w:lang w:eastAsia="en-GB"/>
        </w:rPr>
        <w:t xml:space="preserve">, the </w:t>
      </w:r>
      <w:r w:rsidRPr="00BE78CA">
        <w:rPr>
          <w:rFonts w:cs="Calibri"/>
          <w:i/>
          <w:lang w:eastAsia="en-GB"/>
        </w:rPr>
        <w:t>Fuel combustion – other sectors</w:t>
      </w:r>
      <w:r w:rsidRPr="00BE78CA">
        <w:rPr>
          <w:rFonts w:cs="Calibri"/>
          <w:lang w:eastAsia="en-GB"/>
        </w:rPr>
        <w:t xml:space="preserve"> category accounted for 3,289.5</w:t>
      </w:r>
      <w:r w:rsidRPr="00BE78CA">
        <w:rPr>
          <w:rFonts w:cs="Calibri"/>
        </w:rPr>
        <w:t xml:space="preserve"> </w:t>
      </w:r>
      <w:r w:rsidRPr="00BE78CA">
        <w:rPr>
          <w:rFonts w:cs="Calibri"/>
          <w:lang w:eastAsia="en-GB"/>
        </w:rPr>
        <w:t>kt CO</w:t>
      </w:r>
      <w:r w:rsidRPr="00BE78CA">
        <w:rPr>
          <w:rFonts w:cs="Calibri"/>
          <w:vertAlign w:val="subscript"/>
          <w:lang w:eastAsia="en-GB"/>
        </w:rPr>
        <w:t>2</w:t>
      </w:r>
      <w:r w:rsidRPr="00BE78CA">
        <w:rPr>
          <w:rFonts w:cs="Calibri"/>
          <w:lang w:eastAsia="en-GB"/>
        </w:rPr>
        <w:t>-e (</w:t>
      </w:r>
      <w:r w:rsidRPr="00BE78CA">
        <w:rPr>
          <w:rFonts w:cs="Calibri"/>
        </w:rPr>
        <w:t>9.6 per cent</w:t>
      </w:r>
      <w:r w:rsidRPr="00BE78CA">
        <w:rPr>
          <w:rFonts w:cs="Calibri"/>
          <w:lang w:eastAsia="en-GB"/>
        </w:rPr>
        <w:t xml:space="preserve"> of the emissions from the Energy sector). This is 377.5 kt CO</w:t>
      </w:r>
      <w:r w:rsidRPr="00BE78CA">
        <w:rPr>
          <w:rFonts w:cs="Calibri"/>
          <w:vertAlign w:val="subscript"/>
          <w:lang w:eastAsia="en-GB"/>
        </w:rPr>
        <w:t>2</w:t>
      </w:r>
      <w:r w:rsidRPr="00BE78CA">
        <w:rPr>
          <w:rFonts w:cs="Calibri"/>
          <w:lang w:eastAsia="en-GB"/>
        </w:rPr>
        <w:t>-e (</w:t>
      </w:r>
      <w:r w:rsidRPr="00BE78CA">
        <w:rPr>
          <w:rFonts w:cs="Calibri"/>
        </w:rPr>
        <w:t>13.0 per cent</w:t>
      </w:r>
      <w:r w:rsidRPr="00BE78CA">
        <w:rPr>
          <w:rFonts w:cs="Calibri"/>
          <w:lang w:eastAsia="en-GB"/>
        </w:rPr>
        <w:t xml:space="preserve">) higher than the 1990 value of </w:t>
      </w:r>
      <w:r w:rsidRPr="00BE78CA">
        <w:rPr>
          <w:rFonts w:cs="Calibri"/>
        </w:rPr>
        <w:t xml:space="preserve">2,912.1 </w:t>
      </w:r>
      <w:r w:rsidRPr="00BE78CA">
        <w:rPr>
          <w:rFonts w:cs="Calibri"/>
          <w:lang w:eastAsia="en-GB"/>
        </w:rPr>
        <w:t>kt CO</w:t>
      </w:r>
      <w:r w:rsidRPr="00BE78CA">
        <w:rPr>
          <w:rFonts w:cs="Calibri"/>
          <w:vertAlign w:val="subscript"/>
          <w:lang w:eastAsia="en-GB"/>
        </w:rPr>
        <w:t>2</w:t>
      </w:r>
      <w:r w:rsidRPr="00BE78CA">
        <w:rPr>
          <w:rFonts w:cs="Calibri"/>
          <w:lang w:eastAsia="en-GB"/>
        </w:rPr>
        <w:t>-e.</w:t>
      </w:r>
    </w:p>
    <w:p w14:paraId="51301BB1" w14:textId="77777777" w:rsidR="00706DD1" w:rsidRPr="00BE78CA" w:rsidRDefault="00706DD1" w:rsidP="009833BB">
      <w:pPr>
        <w:pStyle w:val="Heading4"/>
        <w:spacing w:before="200"/>
        <w:rPr>
          <w:lang w:eastAsia="en-GB"/>
        </w:rPr>
      </w:pPr>
      <w:r w:rsidRPr="00BE78CA">
        <w:rPr>
          <w:lang w:eastAsia="en-GB"/>
        </w:rPr>
        <w:t xml:space="preserve">Changes in emissions between </w:t>
      </w:r>
      <w:r w:rsidRPr="00BE78CA">
        <w:t>2018</w:t>
      </w:r>
      <w:r w:rsidRPr="00BE78CA">
        <w:rPr>
          <w:lang w:eastAsia="en-GB"/>
        </w:rPr>
        <w:t xml:space="preserve"> and </w:t>
      </w:r>
      <w:r w:rsidRPr="00BE78CA">
        <w:t>2019</w:t>
      </w:r>
    </w:p>
    <w:p w14:paraId="3DA33044" w14:textId="77777777" w:rsidR="00706DD1" w:rsidRPr="00BE78CA" w:rsidRDefault="00706DD1" w:rsidP="009833BB">
      <w:pPr>
        <w:pStyle w:val="BodyText"/>
        <w:spacing w:before="100" w:after="100"/>
        <w:rPr>
          <w:rFonts w:cs="Calibri"/>
          <w:lang w:eastAsia="en-GB"/>
        </w:rPr>
      </w:pPr>
      <w:r w:rsidRPr="00BE78CA">
        <w:rPr>
          <w:rFonts w:cs="Calibri"/>
          <w:lang w:eastAsia="en-GB"/>
        </w:rPr>
        <w:t xml:space="preserve">Between </w:t>
      </w:r>
      <w:r w:rsidRPr="00BE78CA">
        <w:rPr>
          <w:rFonts w:cs="Calibri"/>
        </w:rPr>
        <w:t xml:space="preserve">2018 </w:t>
      </w:r>
      <w:r w:rsidRPr="00BE78CA">
        <w:rPr>
          <w:rFonts w:cs="Calibri"/>
          <w:lang w:eastAsia="en-GB"/>
        </w:rPr>
        <w:t xml:space="preserve">and </w:t>
      </w:r>
      <w:r w:rsidRPr="00BE78CA">
        <w:rPr>
          <w:rFonts w:cs="Calibri"/>
        </w:rPr>
        <w:t>2019</w:t>
      </w:r>
      <w:r w:rsidRPr="00BE78CA">
        <w:rPr>
          <w:rFonts w:cs="Calibri"/>
          <w:lang w:eastAsia="en-GB"/>
        </w:rPr>
        <w:t xml:space="preserve">, emissions from 1.A.4 </w:t>
      </w:r>
      <w:r w:rsidRPr="00BE78CA">
        <w:rPr>
          <w:rFonts w:cs="Calibri"/>
          <w:i/>
          <w:lang w:eastAsia="en-GB"/>
        </w:rPr>
        <w:t>Other sectors</w:t>
      </w:r>
      <w:r w:rsidRPr="00BE78CA">
        <w:rPr>
          <w:rFonts w:cs="Calibri"/>
          <w:lang w:eastAsia="en-GB"/>
        </w:rPr>
        <w:t xml:space="preserve"> </w:t>
      </w:r>
      <w:r w:rsidRPr="00BE78CA">
        <w:rPr>
          <w:rFonts w:cs="Calibri"/>
        </w:rPr>
        <w:t>increased by 219.9 </w:t>
      </w:r>
      <w:r w:rsidRPr="00BE78CA">
        <w:rPr>
          <w:rFonts w:cs="Calibri"/>
          <w:lang w:eastAsia="en-GB"/>
        </w:rPr>
        <w:t>kt CO</w:t>
      </w:r>
      <w:r w:rsidRPr="00BE78CA">
        <w:rPr>
          <w:rFonts w:cs="Calibri"/>
          <w:vertAlign w:val="subscript"/>
          <w:lang w:eastAsia="en-GB"/>
        </w:rPr>
        <w:t>2</w:t>
      </w:r>
      <w:r w:rsidRPr="00BE78CA">
        <w:rPr>
          <w:rFonts w:cs="Calibri"/>
          <w:lang w:eastAsia="en-GB"/>
        </w:rPr>
        <w:noBreakHyphen/>
        <w:t>e (7.2</w:t>
      </w:r>
      <w:r w:rsidRPr="00BE78CA">
        <w:rPr>
          <w:rFonts w:cs="Calibri"/>
        </w:rPr>
        <w:t> per cent</w:t>
      </w:r>
      <w:r w:rsidRPr="00BE78CA">
        <w:rPr>
          <w:rFonts w:cs="Calibri"/>
          <w:lang w:eastAsia="en-GB"/>
        </w:rPr>
        <w:t xml:space="preserve">). </w:t>
      </w:r>
    </w:p>
    <w:p w14:paraId="387F67D0" w14:textId="77777777" w:rsidR="00706DD1" w:rsidRPr="00BE78CA" w:rsidRDefault="00706DD1" w:rsidP="009833BB">
      <w:pPr>
        <w:pStyle w:val="BodyText"/>
        <w:spacing w:before="100" w:after="100"/>
        <w:rPr>
          <w:rFonts w:cs="Calibri"/>
        </w:rPr>
      </w:pPr>
      <w:r w:rsidRPr="00BE78CA">
        <w:rPr>
          <w:rFonts w:cs="Calibri"/>
        </w:rPr>
        <w:t xml:space="preserve">Key categories identified in the 2019 level and trend assessment for the </w:t>
      </w:r>
      <w:r w:rsidRPr="00BE78CA">
        <w:rPr>
          <w:rFonts w:cs="Calibri"/>
          <w:i/>
        </w:rPr>
        <w:t>Other sectors</w:t>
      </w:r>
      <w:r w:rsidRPr="00BE78CA">
        <w:rPr>
          <w:rFonts w:cs="Calibri"/>
        </w:rPr>
        <w:t xml:space="preserve"> category are given in table 3.3.7.</w:t>
      </w:r>
    </w:p>
    <w:p w14:paraId="0ABE5881" w14:textId="77777777" w:rsidR="00706DD1" w:rsidRPr="00BE78CA" w:rsidRDefault="00706DD1" w:rsidP="00706DD1">
      <w:pPr>
        <w:pStyle w:val="Table"/>
      </w:pPr>
      <w:bookmarkStart w:id="342" w:name="_Toc68786411"/>
      <w:r w:rsidRPr="00BE78CA">
        <w:t>Table 3.3.7</w:t>
      </w:r>
      <w:r w:rsidRPr="00BE78CA">
        <w:tab/>
        <w:t xml:space="preserve">Key categories for 1.A.4 </w:t>
      </w:r>
      <w:r w:rsidRPr="00BE78CA">
        <w:rPr>
          <w:lang w:eastAsia="en-GB"/>
        </w:rPr>
        <w:t>Other sectors</w:t>
      </w:r>
      <w:bookmarkEnd w:id="342"/>
    </w:p>
    <w:tbl>
      <w:tblPr>
        <w:tblW w:w="8505" w:type="dxa"/>
        <w:tblBorders>
          <w:top w:val="single" w:sz="4" w:space="0" w:color="1F497D"/>
          <w:bottom w:val="single" w:sz="4" w:space="0" w:color="1F497D"/>
          <w:insideH w:val="single" w:sz="4" w:space="0" w:color="1F497D"/>
          <w:insideV w:val="single" w:sz="4" w:space="0" w:color="1F497D"/>
        </w:tblBorders>
        <w:tblLayout w:type="fixed"/>
        <w:tblLook w:val="0420" w:firstRow="1" w:lastRow="0" w:firstColumn="0" w:lastColumn="0" w:noHBand="0" w:noVBand="1"/>
      </w:tblPr>
      <w:tblGrid>
        <w:gridCol w:w="3769"/>
        <w:gridCol w:w="1660"/>
        <w:gridCol w:w="1509"/>
        <w:gridCol w:w="1567"/>
      </w:tblGrid>
      <w:tr w:rsidR="00706DD1" w:rsidRPr="00BE78CA" w14:paraId="7FCA4934" w14:textId="77777777" w:rsidTr="003B759C">
        <w:trPr>
          <w:tblHeader/>
        </w:trPr>
        <w:tc>
          <w:tcPr>
            <w:tcW w:w="2216" w:type="pct"/>
            <w:tcBorders>
              <w:right w:val="single" w:sz="4" w:space="0" w:color="365F91"/>
            </w:tcBorders>
            <w:shd w:val="clear" w:color="auto" w:fill="365F91"/>
            <w:noWrap/>
            <w:vAlign w:val="bottom"/>
            <w:hideMark/>
          </w:tcPr>
          <w:p w14:paraId="4355FA58" w14:textId="77777777" w:rsidR="00706DD1" w:rsidRPr="00BE78CA" w:rsidRDefault="00706DD1" w:rsidP="00C26084">
            <w:pPr>
              <w:pStyle w:val="TableTextBold"/>
              <w:rPr>
                <w:rFonts w:cs="Calibri"/>
                <w:noProof w:val="0"/>
                <w:color w:val="FFFFFF"/>
              </w:rPr>
            </w:pPr>
          </w:p>
        </w:tc>
        <w:tc>
          <w:tcPr>
            <w:tcW w:w="976" w:type="pct"/>
            <w:tcBorders>
              <w:top w:val="single" w:sz="4" w:space="0" w:color="365F91"/>
              <w:left w:val="single" w:sz="4" w:space="0" w:color="365F91"/>
              <w:bottom w:val="single" w:sz="4" w:space="0" w:color="365F91"/>
              <w:right w:val="single" w:sz="4" w:space="0" w:color="365F91"/>
            </w:tcBorders>
            <w:shd w:val="clear" w:color="auto" w:fill="365F91"/>
            <w:noWrap/>
            <w:vAlign w:val="bottom"/>
            <w:hideMark/>
          </w:tcPr>
          <w:p w14:paraId="5471E59F" w14:textId="77777777" w:rsidR="00706DD1" w:rsidRPr="00BE78CA" w:rsidRDefault="00706DD1" w:rsidP="00C26084">
            <w:pPr>
              <w:pStyle w:val="TableTextBold"/>
              <w:rPr>
                <w:rFonts w:cs="Calibri"/>
                <w:noProof w:val="0"/>
                <w:color w:val="FFFFFF"/>
              </w:rPr>
            </w:pPr>
            <w:r w:rsidRPr="00BE78CA">
              <w:rPr>
                <w:rFonts w:cs="Calibri"/>
                <w:noProof w:val="0"/>
                <w:color w:val="FFFFFF"/>
              </w:rPr>
              <w:t>Liquid fuels</w:t>
            </w:r>
          </w:p>
        </w:tc>
        <w:tc>
          <w:tcPr>
            <w:tcW w:w="887" w:type="pct"/>
            <w:tcBorders>
              <w:top w:val="single" w:sz="4" w:space="0" w:color="365F91"/>
              <w:left w:val="single" w:sz="4" w:space="0" w:color="365F91"/>
              <w:bottom w:val="single" w:sz="4" w:space="0" w:color="365F91"/>
              <w:right w:val="single" w:sz="4" w:space="0" w:color="365F91"/>
            </w:tcBorders>
            <w:shd w:val="clear" w:color="auto" w:fill="365F91"/>
            <w:vAlign w:val="bottom"/>
            <w:hideMark/>
          </w:tcPr>
          <w:p w14:paraId="3082F4EE" w14:textId="77777777" w:rsidR="00706DD1" w:rsidRPr="00BE78CA" w:rsidRDefault="00706DD1" w:rsidP="00C26084">
            <w:pPr>
              <w:pStyle w:val="TableTextBold"/>
              <w:rPr>
                <w:rFonts w:cs="Calibri"/>
                <w:noProof w:val="0"/>
                <w:color w:val="FFFFFF"/>
              </w:rPr>
            </w:pPr>
            <w:r w:rsidRPr="00BE78CA">
              <w:rPr>
                <w:rFonts w:cs="Calibri"/>
                <w:noProof w:val="0"/>
                <w:color w:val="FFFFFF"/>
              </w:rPr>
              <w:t>Solid fuels</w:t>
            </w:r>
          </w:p>
        </w:tc>
        <w:tc>
          <w:tcPr>
            <w:tcW w:w="921" w:type="pct"/>
            <w:tcBorders>
              <w:left w:val="single" w:sz="4" w:space="0" w:color="365F91"/>
            </w:tcBorders>
            <w:shd w:val="clear" w:color="auto" w:fill="365F91"/>
            <w:vAlign w:val="bottom"/>
            <w:hideMark/>
          </w:tcPr>
          <w:p w14:paraId="2AFB2514" w14:textId="77777777" w:rsidR="00706DD1" w:rsidRPr="00BE78CA" w:rsidRDefault="00706DD1" w:rsidP="00C26084">
            <w:pPr>
              <w:pStyle w:val="TableTextBold"/>
              <w:rPr>
                <w:rFonts w:cs="Calibri"/>
                <w:noProof w:val="0"/>
                <w:color w:val="FFFFFF"/>
              </w:rPr>
            </w:pPr>
            <w:r w:rsidRPr="00BE78CA">
              <w:rPr>
                <w:rFonts w:cs="Calibri"/>
                <w:noProof w:val="0"/>
                <w:color w:val="FFFFFF"/>
              </w:rPr>
              <w:t>Gaseous fuels</w:t>
            </w:r>
          </w:p>
        </w:tc>
      </w:tr>
      <w:tr w:rsidR="00706DD1" w:rsidRPr="00BE78CA" w14:paraId="1535E188" w14:textId="77777777" w:rsidTr="003B759C">
        <w:tc>
          <w:tcPr>
            <w:tcW w:w="2216" w:type="pct"/>
            <w:tcBorders>
              <w:right w:val="single" w:sz="4" w:space="0" w:color="365F91"/>
            </w:tcBorders>
            <w:shd w:val="clear" w:color="auto" w:fill="auto"/>
            <w:noWrap/>
            <w:hideMark/>
          </w:tcPr>
          <w:p w14:paraId="0E674109" w14:textId="77777777" w:rsidR="00706DD1" w:rsidRPr="00BE78CA" w:rsidRDefault="00706DD1" w:rsidP="00C26084">
            <w:pPr>
              <w:pStyle w:val="TableText"/>
              <w:spacing w:before="50" w:after="50"/>
              <w:rPr>
                <w:rFonts w:cs="Calibri"/>
              </w:rPr>
            </w:pPr>
            <w:r w:rsidRPr="00BE78CA">
              <w:rPr>
                <w:rFonts w:cs="Calibri"/>
              </w:rPr>
              <w:t>Commercial/institutional – CO</w:t>
            </w:r>
            <w:r w:rsidRPr="00BE78CA">
              <w:rPr>
                <w:rFonts w:cs="Calibri"/>
                <w:vertAlign w:val="subscript"/>
              </w:rPr>
              <w:t>2</w:t>
            </w:r>
          </w:p>
        </w:tc>
        <w:tc>
          <w:tcPr>
            <w:tcW w:w="976" w:type="pct"/>
            <w:tcBorders>
              <w:top w:val="single" w:sz="4" w:space="0" w:color="365F91"/>
              <w:left w:val="single" w:sz="4" w:space="0" w:color="365F91"/>
              <w:bottom w:val="single" w:sz="4" w:space="0" w:color="365F91"/>
              <w:right w:val="single" w:sz="4" w:space="0" w:color="365F91"/>
            </w:tcBorders>
            <w:shd w:val="clear" w:color="auto" w:fill="auto"/>
            <w:noWrap/>
            <w:hideMark/>
          </w:tcPr>
          <w:p w14:paraId="2A36B489" w14:textId="77777777" w:rsidR="00706DD1" w:rsidRPr="00BE78CA" w:rsidRDefault="00706DD1" w:rsidP="00C26084">
            <w:pPr>
              <w:pStyle w:val="TableText"/>
              <w:spacing w:before="50" w:after="50"/>
              <w:rPr>
                <w:rFonts w:cs="Calibri"/>
              </w:rPr>
            </w:pPr>
            <w:r w:rsidRPr="00BE78CA">
              <w:rPr>
                <w:rFonts w:cs="Calibri"/>
              </w:rPr>
              <w:t>Level</w:t>
            </w:r>
          </w:p>
        </w:tc>
        <w:tc>
          <w:tcPr>
            <w:tcW w:w="887" w:type="pct"/>
            <w:tcBorders>
              <w:top w:val="single" w:sz="4" w:space="0" w:color="365F91"/>
              <w:left w:val="single" w:sz="4" w:space="0" w:color="365F91"/>
              <w:bottom w:val="single" w:sz="4" w:space="0" w:color="365F91"/>
              <w:right w:val="single" w:sz="4" w:space="0" w:color="365F91"/>
            </w:tcBorders>
            <w:shd w:val="clear" w:color="auto" w:fill="auto"/>
            <w:noWrap/>
            <w:hideMark/>
          </w:tcPr>
          <w:p w14:paraId="0FB8C370" w14:textId="77777777" w:rsidR="00706DD1" w:rsidRPr="00BE78CA" w:rsidRDefault="00706DD1" w:rsidP="00C26084">
            <w:pPr>
              <w:pStyle w:val="TableText"/>
              <w:spacing w:before="50" w:after="50"/>
              <w:rPr>
                <w:rFonts w:cs="Calibri"/>
              </w:rPr>
            </w:pPr>
            <w:r w:rsidRPr="00BE78CA">
              <w:rPr>
                <w:rFonts w:cs="Calibri"/>
              </w:rPr>
              <w:t>Trend</w:t>
            </w:r>
          </w:p>
        </w:tc>
        <w:tc>
          <w:tcPr>
            <w:tcW w:w="921" w:type="pct"/>
            <w:tcBorders>
              <w:left w:val="single" w:sz="4" w:space="0" w:color="365F91"/>
            </w:tcBorders>
            <w:shd w:val="clear" w:color="auto" w:fill="auto"/>
            <w:noWrap/>
            <w:hideMark/>
          </w:tcPr>
          <w:p w14:paraId="3E2E6718" w14:textId="77777777" w:rsidR="00706DD1" w:rsidRPr="00BE78CA" w:rsidRDefault="00706DD1" w:rsidP="00C26084">
            <w:pPr>
              <w:pStyle w:val="TableText"/>
              <w:spacing w:before="50" w:after="50"/>
              <w:rPr>
                <w:rFonts w:cs="Calibri"/>
              </w:rPr>
            </w:pPr>
            <w:r w:rsidRPr="00BE78CA">
              <w:rPr>
                <w:rFonts w:cs="Calibri"/>
              </w:rPr>
              <w:t>Level, trend</w:t>
            </w:r>
          </w:p>
        </w:tc>
      </w:tr>
      <w:tr w:rsidR="00706DD1" w:rsidRPr="00BE78CA" w14:paraId="724CF06E" w14:textId="77777777" w:rsidTr="003B759C">
        <w:tc>
          <w:tcPr>
            <w:tcW w:w="2216" w:type="pct"/>
            <w:tcBorders>
              <w:right w:val="single" w:sz="4" w:space="0" w:color="365F91"/>
            </w:tcBorders>
            <w:shd w:val="clear" w:color="auto" w:fill="auto"/>
            <w:noWrap/>
            <w:hideMark/>
          </w:tcPr>
          <w:p w14:paraId="4F19E1C4" w14:textId="77777777" w:rsidR="00706DD1" w:rsidRPr="00BE78CA" w:rsidRDefault="00706DD1" w:rsidP="00C26084">
            <w:pPr>
              <w:pStyle w:val="TableText"/>
              <w:spacing w:before="50" w:after="50"/>
              <w:rPr>
                <w:rFonts w:cs="Calibri"/>
              </w:rPr>
            </w:pPr>
            <w:r w:rsidRPr="00BE78CA">
              <w:rPr>
                <w:rFonts w:cs="Calibri"/>
              </w:rPr>
              <w:t>Residential – CO</w:t>
            </w:r>
            <w:r w:rsidRPr="00BE78CA">
              <w:rPr>
                <w:rFonts w:cs="Calibri"/>
                <w:vertAlign w:val="subscript"/>
              </w:rPr>
              <w:t>2</w:t>
            </w:r>
          </w:p>
        </w:tc>
        <w:tc>
          <w:tcPr>
            <w:tcW w:w="976" w:type="pct"/>
            <w:tcBorders>
              <w:top w:val="single" w:sz="4" w:space="0" w:color="365F91"/>
              <w:left w:val="single" w:sz="4" w:space="0" w:color="365F91"/>
              <w:bottom w:val="single" w:sz="4" w:space="0" w:color="365F91"/>
              <w:right w:val="single" w:sz="4" w:space="0" w:color="365F91"/>
            </w:tcBorders>
            <w:shd w:val="clear" w:color="auto" w:fill="auto"/>
            <w:noWrap/>
            <w:hideMark/>
          </w:tcPr>
          <w:p w14:paraId="2EF7015C" w14:textId="77777777" w:rsidR="00706DD1" w:rsidRPr="00BE78CA" w:rsidRDefault="00706DD1" w:rsidP="00C26084">
            <w:pPr>
              <w:pStyle w:val="TableText"/>
              <w:spacing w:before="50" w:after="50"/>
              <w:rPr>
                <w:rFonts w:cs="Calibri"/>
              </w:rPr>
            </w:pPr>
            <w:r w:rsidRPr="00BE78CA">
              <w:rPr>
                <w:rFonts w:cs="Calibri"/>
              </w:rPr>
              <w:t>Level</w:t>
            </w:r>
          </w:p>
        </w:tc>
        <w:tc>
          <w:tcPr>
            <w:tcW w:w="887" w:type="pct"/>
            <w:tcBorders>
              <w:top w:val="single" w:sz="4" w:space="0" w:color="365F91"/>
              <w:left w:val="single" w:sz="4" w:space="0" w:color="365F91"/>
              <w:bottom w:val="single" w:sz="4" w:space="0" w:color="365F91"/>
              <w:right w:val="single" w:sz="4" w:space="0" w:color="365F91"/>
            </w:tcBorders>
            <w:shd w:val="clear" w:color="auto" w:fill="auto"/>
            <w:noWrap/>
          </w:tcPr>
          <w:p w14:paraId="54FBE224" w14:textId="77777777" w:rsidR="00706DD1" w:rsidRPr="00BE78CA" w:rsidRDefault="00706DD1" w:rsidP="00C26084">
            <w:pPr>
              <w:pStyle w:val="TableText"/>
              <w:spacing w:before="50" w:after="50"/>
              <w:rPr>
                <w:rFonts w:cs="Calibri"/>
              </w:rPr>
            </w:pPr>
            <w:r w:rsidRPr="00BE78CA">
              <w:rPr>
                <w:rFonts w:cs="Calibri"/>
              </w:rPr>
              <w:t>Trend</w:t>
            </w:r>
          </w:p>
        </w:tc>
        <w:tc>
          <w:tcPr>
            <w:tcW w:w="921" w:type="pct"/>
            <w:tcBorders>
              <w:left w:val="single" w:sz="4" w:space="0" w:color="365F91"/>
            </w:tcBorders>
            <w:shd w:val="clear" w:color="auto" w:fill="auto"/>
            <w:noWrap/>
            <w:hideMark/>
          </w:tcPr>
          <w:p w14:paraId="5E1F5000" w14:textId="77777777" w:rsidR="00706DD1" w:rsidRPr="00BE78CA" w:rsidRDefault="00706DD1" w:rsidP="00C26084">
            <w:pPr>
              <w:pStyle w:val="TableText"/>
              <w:spacing w:before="50" w:after="50"/>
              <w:rPr>
                <w:rFonts w:cs="Calibri"/>
              </w:rPr>
            </w:pPr>
            <w:r w:rsidRPr="00BE78CA">
              <w:rPr>
                <w:rFonts w:cs="Calibri"/>
              </w:rPr>
              <w:t>Level, trend</w:t>
            </w:r>
          </w:p>
        </w:tc>
      </w:tr>
      <w:tr w:rsidR="00706DD1" w:rsidRPr="00BE78CA" w14:paraId="1B31B4F7" w14:textId="77777777" w:rsidTr="003B759C">
        <w:tc>
          <w:tcPr>
            <w:tcW w:w="2216" w:type="pct"/>
            <w:tcBorders>
              <w:right w:val="single" w:sz="4" w:space="0" w:color="365F91"/>
            </w:tcBorders>
            <w:shd w:val="clear" w:color="auto" w:fill="auto"/>
            <w:noWrap/>
          </w:tcPr>
          <w:p w14:paraId="0CB0A366" w14:textId="77777777" w:rsidR="00706DD1" w:rsidRPr="00BE78CA" w:rsidRDefault="00706DD1" w:rsidP="00C26084">
            <w:pPr>
              <w:pStyle w:val="TableText"/>
              <w:spacing w:before="50" w:after="50"/>
              <w:rPr>
                <w:rFonts w:cs="Calibri"/>
              </w:rPr>
            </w:pPr>
            <w:r w:rsidRPr="00BE78CA">
              <w:rPr>
                <w:rFonts w:cs="Calibri"/>
              </w:rPr>
              <w:t>Agriculture/forestry/fishing – CO</w:t>
            </w:r>
            <w:r w:rsidRPr="00BE78CA">
              <w:rPr>
                <w:rFonts w:cs="Calibri"/>
                <w:vertAlign w:val="subscript"/>
              </w:rPr>
              <w:t>2</w:t>
            </w:r>
          </w:p>
        </w:tc>
        <w:tc>
          <w:tcPr>
            <w:tcW w:w="976" w:type="pct"/>
            <w:tcBorders>
              <w:top w:val="single" w:sz="4" w:space="0" w:color="365F91"/>
              <w:left w:val="single" w:sz="4" w:space="0" w:color="365F91"/>
              <w:bottom w:val="single" w:sz="4" w:space="0" w:color="365F91"/>
              <w:right w:val="single" w:sz="4" w:space="0" w:color="365F91"/>
            </w:tcBorders>
            <w:shd w:val="clear" w:color="auto" w:fill="auto"/>
            <w:noWrap/>
          </w:tcPr>
          <w:p w14:paraId="6F794835" w14:textId="77777777" w:rsidR="00706DD1" w:rsidRPr="00BE78CA" w:rsidRDefault="00706DD1" w:rsidP="00C26084">
            <w:pPr>
              <w:pStyle w:val="TableText"/>
              <w:spacing w:before="50" w:after="50"/>
              <w:rPr>
                <w:rFonts w:cs="Calibri"/>
              </w:rPr>
            </w:pPr>
            <w:r w:rsidRPr="00BE78CA">
              <w:rPr>
                <w:rFonts w:cs="Calibri"/>
              </w:rPr>
              <w:t>Level, trend</w:t>
            </w:r>
          </w:p>
        </w:tc>
        <w:tc>
          <w:tcPr>
            <w:tcW w:w="887" w:type="pct"/>
            <w:tcBorders>
              <w:top w:val="single" w:sz="4" w:space="0" w:color="365F91"/>
              <w:left w:val="single" w:sz="4" w:space="0" w:color="365F91"/>
              <w:bottom w:val="single" w:sz="4" w:space="0" w:color="365F91"/>
              <w:right w:val="single" w:sz="4" w:space="0" w:color="365F91"/>
            </w:tcBorders>
            <w:shd w:val="clear" w:color="auto" w:fill="auto"/>
            <w:noWrap/>
          </w:tcPr>
          <w:p w14:paraId="1AD41663" w14:textId="77777777" w:rsidR="00706DD1" w:rsidRPr="00BE78CA" w:rsidRDefault="00706DD1" w:rsidP="00C26084">
            <w:pPr>
              <w:pStyle w:val="TableText"/>
              <w:spacing w:before="50" w:after="50"/>
              <w:rPr>
                <w:rFonts w:cs="Calibri"/>
              </w:rPr>
            </w:pPr>
            <w:r w:rsidRPr="00BE78CA">
              <w:rPr>
                <w:rFonts w:cs="Calibri"/>
              </w:rPr>
              <w:t>Trend</w:t>
            </w:r>
          </w:p>
        </w:tc>
        <w:tc>
          <w:tcPr>
            <w:tcW w:w="921" w:type="pct"/>
            <w:tcBorders>
              <w:left w:val="single" w:sz="4" w:space="0" w:color="365F91"/>
            </w:tcBorders>
            <w:shd w:val="clear" w:color="auto" w:fill="auto"/>
            <w:noWrap/>
          </w:tcPr>
          <w:p w14:paraId="556B94A1" w14:textId="77777777" w:rsidR="00706DD1" w:rsidRPr="00BE78CA" w:rsidRDefault="00706DD1" w:rsidP="00C26084">
            <w:pPr>
              <w:pStyle w:val="TableText"/>
              <w:spacing w:before="50" w:after="50"/>
              <w:rPr>
                <w:rFonts w:cs="Calibri"/>
              </w:rPr>
            </w:pPr>
          </w:p>
        </w:tc>
      </w:tr>
    </w:tbl>
    <w:p w14:paraId="5CF81E5A" w14:textId="77777777" w:rsidR="00706DD1" w:rsidRPr="00BE78CA" w:rsidRDefault="00706DD1" w:rsidP="00706DD1">
      <w:pPr>
        <w:pStyle w:val="Heading4"/>
        <w:spacing w:before="360"/>
      </w:pPr>
      <w:r w:rsidRPr="00BE78CA">
        <w:rPr>
          <w:lang w:eastAsia="en-GB"/>
        </w:rPr>
        <w:t>Methodological issues</w:t>
      </w:r>
    </w:p>
    <w:p w14:paraId="35B14C7F" w14:textId="77777777" w:rsidR="00706DD1" w:rsidRPr="00BE78CA" w:rsidRDefault="00706DD1" w:rsidP="009833BB">
      <w:pPr>
        <w:pStyle w:val="BodyText"/>
        <w:spacing w:before="100" w:after="100"/>
        <w:rPr>
          <w:rFonts w:cs="Calibri"/>
          <w:lang w:eastAsia="en-GB"/>
        </w:rPr>
      </w:pPr>
      <w:r w:rsidRPr="00BE78CA">
        <w:rPr>
          <w:rFonts w:cs="Calibri"/>
          <w:lang w:eastAsia="en-GB"/>
        </w:rPr>
        <w:t>There are no notable methodological issues in this category.</w:t>
      </w:r>
    </w:p>
    <w:p w14:paraId="6DD069E4" w14:textId="77777777" w:rsidR="00706DD1" w:rsidRPr="00BE78CA" w:rsidRDefault="00706DD1" w:rsidP="009833BB">
      <w:pPr>
        <w:pStyle w:val="Heading4"/>
        <w:spacing w:before="200"/>
        <w:rPr>
          <w:lang w:eastAsia="en-GB"/>
        </w:rPr>
      </w:pPr>
      <w:r w:rsidRPr="00BE78CA">
        <w:rPr>
          <w:lang w:eastAsia="en-GB"/>
        </w:rPr>
        <w:t>Activity data</w:t>
      </w:r>
    </w:p>
    <w:p w14:paraId="6F7B5426" w14:textId="77777777" w:rsidR="00706DD1" w:rsidRPr="00BE78CA" w:rsidRDefault="00706DD1" w:rsidP="00706DD1">
      <w:pPr>
        <w:pStyle w:val="Heading5"/>
        <w:spacing w:before="120"/>
        <w:rPr>
          <w:rFonts w:cs="Calibri"/>
        </w:rPr>
      </w:pPr>
      <w:r w:rsidRPr="00BE78CA">
        <w:rPr>
          <w:rFonts w:cs="Calibri"/>
        </w:rPr>
        <w:t>Liquid fuels</w:t>
      </w:r>
    </w:p>
    <w:p w14:paraId="69582D9D" w14:textId="77777777" w:rsidR="00706DD1" w:rsidRPr="00BE78CA" w:rsidRDefault="00706DD1" w:rsidP="009833BB">
      <w:pPr>
        <w:pStyle w:val="BodyText"/>
        <w:spacing w:before="100" w:after="100"/>
        <w:rPr>
          <w:rFonts w:cs="Calibri"/>
        </w:rPr>
      </w:pPr>
      <w:r w:rsidRPr="00BE78CA">
        <w:rPr>
          <w:rFonts w:cs="Calibri"/>
        </w:rPr>
        <w:t xml:space="preserve">As mentioned in section 3.3.1, this inventory continues to use the results of the </w:t>
      </w:r>
      <w:r w:rsidRPr="00BE78CA">
        <w:rPr>
          <w:rFonts w:cs="Calibri"/>
          <w:i/>
        </w:rPr>
        <w:t>Annual Liquid Fuel Survey</w:t>
      </w:r>
      <w:r w:rsidRPr="00BE78CA">
        <w:rPr>
          <w:rFonts w:cs="Calibri"/>
        </w:rPr>
        <w:t xml:space="preserve"> that began in 2009. The purpose of this survey is to capture the allocation of fuel resold by small independent resellers. In recent years, these independent resellers accounted for around 30 per cent of national diesel deliveries and around 8 per cent of national gasoline deliveries. </w:t>
      </w:r>
    </w:p>
    <w:p w14:paraId="76DACAF4" w14:textId="77777777" w:rsidR="00706DD1" w:rsidRPr="00BE78CA" w:rsidRDefault="00706DD1" w:rsidP="00706DD1">
      <w:pPr>
        <w:pStyle w:val="BodyText"/>
        <w:rPr>
          <w:rFonts w:cs="Calibri"/>
        </w:rPr>
      </w:pPr>
      <w:r w:rsidRPr="00BE78CA">
        <w:rPr>
          <w:rFonts w:cs="Calibri"/>
        </w:rPr>
        <w:lastRenderedPageBreak/>
        <w:t xml:space="preserve">As the result of resale data captured by the </w:t>
      </w:r>
      <w:r w:rsidRPr="00BE78CA">
        <w:rPr>
          <w:rFonts w:cs="Calibri"/>
          <w:i/>
        </w:rPr>
        <w:t>Annual Liquid Fuel Survey</w:t>
      </w:r>
      <w:r w:rsidRPr="00BE78CA">
        <w:rPr>
          <w:rFonts w:cs="Calibri"/>
        </w:rPr>
        <w:t xml:space="preserve">, emissions that would otherwise be reported in category 1.A.3.b </w:t>
      </w:r>
      <w:r w:rsidRPr="00BE78CA">
        <w:rPr>
          <w:rFonts w:cs="Calibri"/>
          <w:i/>
        </w:rPr>
        <w:t>Road transportation</w:t>
      </w:r>
      <w:r w:rsidRPr="00BE78CA">
        <w:rPr>
          <w:rFonts w:cs="Calibri"/>
        </w:rPr>
        <w:t xml:space="preserve"> are allocated to the correct category.</w:t>
      </w:r>
    </w:p>
    <w:p w14:paraId="42A8FA90" w14:textId="77777777" w:rsidR="00706DD1" w:rsidRPr="00BE78CA" w:rsidRDefault="00706DD1" w:rsidP="00706DD1">
      <w:pPr>
        <w:pStyle w:val="BodyText"/>
        <w:rPr>
          <w:rFonts w:cs="Calibri"/>
        </w:rPr>
      </w:pPr>
      <w:r w:rsidRPr="00BE78CA">
        <w:rPr>
          <w:rFonts w:cs="Calibri"/>
        </w:rPr>
        <w:t>For time-series consistency, these reallocations are also made from 1990 to 2008, before the collection of data on the resale of liquid fuel by small, independent distributors began.</w:t>
      </w:r>
    </w:p>
    <w:p w14:paraId="67A12CF8" w14:textId="236331DF" w:rsidR="00706DD1" w:rsidRPr="00BE78CA" w:rsidRDefault="00706DD1" w:rsidP="00706DD1">
      <w:pPr>
        <w:pStyle w:val="BodyText"/>
        <w:rPr>
          <w:rFonts w:cs="Calibri"/>
        </w:rPr>
      </w:pPr>
      <w:r w:rsidRPr="00BE78CA">
        <w:rPr>
          <w:rFonts w:cs="Calibri"/>
        </w:rPr>
        <w:t>As mentioned in section 3.3.7 (Activity data, Liquid fuels), historical national energy sales surveys captured fuel use by mining operations under ‘other primary industry’. For</w:t>
      </w:r>
      <w:r w:rsidR="007D1CB4" w:rsidRPr="00BE78CA">
        <w:rPr>
          <w:rFonts w:cs="Calibri"/>
        </w:rPr>
        <w:t xml:space="preserve"> </w:t>
      </w:r>
      <w:r w:rsidRPr="00BE78CA">
        <w:rPr>
          <w:rFonts w:cs="Calibri"/>
        </w:rPr>
        <w:t xml:space="preserve">consistency with the 2006 IPCC Guidelines, this inventory uses data provided by Stats NZ’s </w:t>
      </w:r>
      <w:r w:rsidRPr="00BE78CA">
        <w:rPr>
          <w:rFonts w:cs="Calibri"/>
          <w:i/>
        </w:rPr>
        <w:t>Energy Use Survey</w:t>
      </w:r>
      <w:r w:rsidRPr="00BE78CA">
        <w:rPr>
          <w:rFonts w:cs="Calibri"/>
        </w:rPr>
        <w:t xml:space="preserve"> (</w:t>
      </w:r>
      <w:r w:rsidRPr="00BE78CA">
        <w:rPr>
          <w:rFonts w:cs="Calibri"/>
          <w:lang w:eastAsia="en-GB"/>
        </w:rPr>
        <w:t xml:space="preserve">Stats NZ, 2018) </w:t>
      </w:r>
      <w:r w:rsidRPr="00BE78CA">
        <w:rPr>
          <w:rFonts w:cs="Calibri"/>
        </w:rPr>
        <w:t>to estimate the split of historical ‘other primary industry’ activity for fuel oil between forestry and logging, and mining (see table 3.3.8). There is insufficient historical data to extrapolate a historical trend for this split: instead, activity splits are interpolated between the two surveys and assumed to be constant for the period 1990 to 2008.</w:t>
      </w:r>
    </w:p>
    <w:p w14:paraId="2D470AF3" w14:textId="77777777" w:rsidR="00706DD1" w:rsidRPr="00BE78CA" w:rsidRDefault="00706DD1" w:rsidP="00706DD1">
      <w:pPr>
        <w:pStyle w:val="Table"/>
      </w:pPr>
      <w:bookmarkStart w:id="343" w:name="_Toc321399160"/>
      <w:bookmarkStart w:id="344" w:name="_Toc384582867"/>
      <w:bookmarkStart w:id="345" w:name="_Toc443060847"/>
      <w:bookmarkStart w:id="346" w:name="_Toc451176063"/>
      <w:bookmarkStart w:id="347" w:name="_Toc481751489"/>
      <w:bookmarkStart w:id="348" w:name="_Toc507496592"/>
      <w:bookmarkStart w:id="349" w:name="_Toc36224526"/>
      <w:bookmarkStart w:id="350" w:name="_Toc68786412"/>
      <w:r w:rsidRPr="00BE78CA">
        <w:t xml:space="preserve">Table 3.3.8 </w:t>
      </w:r>
      <w:r w:rsidRPr="00BE78CA">
        <w:tab/>
        <w:t>Split of fuel oil activity for ‘other primary industry’</w:t>
      </w:r>
      <w:bookmarkEnd w:id="343"/>
      <w:bookmarkEnd w:id="344"/>
      <w:bookmarkEnd w:id="345"/>
      <w:bookmarkEnd w:id="346"/>
      <w:bookmarkEnd w:id="347"/>
      <w:bookmarkEnd w:id="348"/>
      <w:bookmarkEnd w:id="349"/>
      <w:bookmarkEnd w:id="350"/>
      <w:r w:rsidRPr="00BE78CA">
        <w:rPr>
          <w:color w:val="FFFFFF"/>
        </w:rPr>
        <w:t xml:space="preserve"> </w:t>
      </w:r>
    </w:p>
    <w:tbl>
      <w:tblPr>
        <w:tblW w:w="8505" w:type="dxa"/>
        <w:tblBorders>
          <w:top w:val="single" w:sz="4" w:space="0" w:color="365F91"/>
          <w:bottom w:val="single" w:sz="4" w:space="0" w:color="365F91"/>
          <w:insideH w:val="single" w:sz="4" w:space="0" w:color="365F91"/>
        </w:tblBorders>
        <w:tblLayout w:type="fixed"/>
        <w:tblLook w:val="04A0" w:firstRow="1" w:lastRow="0" w:firstColumn="1" w:lastColumn="0" w:noHBand="0" w:noVBand="1"/>
      </w:tblPr>
      <w:tblGrid>
        <w:gridCol w:w="2296"/>
        <w:gridCol w:w="3086"/>
        <w:gridCol w:w="3123"/>
      </w:tblGrid>
      <w:tr w:rsidR="00706DD1" w:rsidRPr="00BE78CA" w14:paraId="5400150F" w14:textId="77777777" w:rsidTr="007D1CB4">
        <w:trPr>
          <w:cantSplit/>
        </w:trPr>
        <w:tc>
          <w:tcPr>
            <w:tcW w:w="1350" w:type="pct"/>
            <w:shd w:val="clear" w:color="auto" w:fill="365F91"/>
            <w:vAlign w:val="bottom"/>
          </w:tcPr>
          <w:p w14:paraId="197BD27D" w14:textId="77777777" w:rsidR="00706DD1" w:rsidRPr="00BE78CA" w:rsidRDefault="00706DD1" w:rsidP="00C26084">
            <w:pPr>
              <w:pStyle w:val="TableTextBold"/>
              <w:keepNext/>
              <w:rPr>
                <w:rFonts w:cs="Calibri"/>
                <w:noProof w:val="0"/>
                <w:color w:val="FFFFFF"/>
              </w:rPr>
            </w:pPr>
            <w:r w:rsidRPr="00BE78CA">
              <w:rPr>
                <w:rFonts w:cs="Calibri"/>
                <w:noProof w:val="0"/>
                <w:color w:val="FFFFFF"/>
              </w:rPr>
              <w:t>Activity</w:t>
            </w:r>
          </w:p>
        </w:tc>
        <w:tc>
          <w:tcPr>
            <w:tcW w:w="1814" w:type="pct"/>
            <w:shd w:val="clear" w:color="auto" w:fill="365F91"/>
            <w:vAlign w:val="bottom"/>
          </w:tcPr>
          <w:p w14:paraId="3E46C074" w14:textId="77777777" w:rsidR="00706DD1" w:rsidRPr="00BE78CA" w:rsidRDefault="00706DD1" w:rsidP="00C26084">
            <w:pPr>
              <w:pStyle w:val="TableTextBold"/>
              <w:keepNext/>
              <w:jc w:val="center"/>
              <w:rPr>
                <w:rFonts w:cs="Calibri"/>
                <w:noProof w:val="0"/>
                <w:color w:val="FFFFFF"/>
              </w:rPr>
            </w:pPr>
            <w:r w:rsidRPr="00BE78CA">
              <w:rPr>
                <w:rFonts w:cs="Calibri"/>
                <w:noProof w:val="0"/>
                <w:color w:val="FFFFFF"/>
              </w:rPr>
              <w:t>Energy Use Survey 2008 (%)</w:t>
            </w:r>
          </w:p>
        </w:tc>
        <w:tc>
          <w:tcPr>
            <w:tcW w:w="1836" w:type="pct"/>
            <w:shd w:val="clear" w:color="auto" w:fill="365F91"/>
            <w:vAlign w:val="bottom"/>
          </w:tcPr>
          <w:p w14:paraId="3B520113" w14:textId="77777777" w:rsidR="00706DD1" w:rsidRPr="00BE78CA" w:rsidRDefault="00706DD1" w:rsidP="00C26084">
            <w:pPr>
              <w:pStyle w:val="TableTextBold"/>
              <w:keepNext/>
              <w:jc w:val="center"/>
              <w:rPr>
                <w:rFonts w:cs="Calibri"/>
                <w:noProof w:val="0"/>
                <w:color w:val="FFFFFF"/>
              </w:rPr>
            </w:pPr>
            <w:r w:rsidRPr="00BE78CA">
              <w:rPr>
                <w:rFonts w:cs="Calibri"/>
                <w:noProof w:val="0"/>
                <w:color w:val="FFFFFF"/>
              </w:rPr>
              <w:t>Energy Use Survey 2016 (%)</w:t>
            </w:r>
          </w:p>
        </w:tc>
      </w:tr>
      <w:tr w:rsidR="00706DD1" w:rsidRPr="00BE78CA" w14:paraId="38125604" w14:textId="77777777" w:rsidTr="007D1CB4">
        <w:trPr>
          <w:cantSplit/>
          <w:trHeight w:val="250"/>
        </w:trPr>
        <w:tc>
          <w:tcPr>
            <w:tcW w:w="1350" w:type="pct"/>
          </w:tcPr>
          <w:p w14:paraId="2234D484" w14:textId="77777777" w:rsidR="00706DD1" w:rsidRPr="00BE78CA" w:rsidRDefault="00706DD1" w:rsidP="00C26084">
            <w:pPr>
              <w:pStyle w:val="TableText"/>
              <w:rPr>
                <w:rFonts w:cs="Calibri"/>
              </w:rPr>
            </w:pPr>
            <w:r w:rsidRPr="00BE78CA">
              <w:rPr>
                <w:rFonts w:cs="Calibri"/>
              </w:rPr>
              <w:t>Forestry and logging</w:t>
            </w:r>
          </w:p>
        </w:tc>
        <w:tc>
          <w:tcPr>
            <w:tcW w:w="1814" w:type="pct"/>
            <w:vAlign w:val="center"/>
          </w:tcPr>
          <w:p w14:paraId="5FC98D4A" w14:textId="77777777" w:rsidR="00706DD1" w:rsidRPr="00BE78CA" w:rsidRDefault="00706DD1" w:rsidP="00C26084">
            <w:pPr>
              <w:pStyle w:val="TableText"/>
              <w:jc w:val="center"/>
              <w:rPr>
                <w:rFonts w:cs="Calibri"/>
              </w:rPr>
            </w:pPr>
            <w:r w:rsidRPr="00BE78CA">
              <w:rPr>
                <w:rFonts w:cs="Calibri"/>
              </w:rPr>
              <w:t>51.3</w:t>
            </w:r>
          </w:p>
        </w:tc>
        <w:tc>
          <w:tcPr>
            <w:tcW w:w="1836" w:type="pct"/>
            <w:vAlign w:val="center"/>
          </w:tcPr>
          <w:p w14:paraId="523E38B5" w14:textId="77777777" w:rsidR="00706DD1" w:rsidRPr="00BE78CA" w:rsidRDefault="00706DD1" w:rsidP="00C26084">
            <w:pPr>
              <w:pStyle w:val="TableText"/>
              <w:jc w:val="center"/>
              <w:rPr>
                <w:rFonts w:cs="Calibri"/>
              </w:rPr>
            </w:pPr>
            <w:r w:rsidRPr="00BE78CA">
              <w:rPr>
                <w:rFonts w:cs="Calibri"/>
              </w:rPr>
              <w:t>9.1</w:t>
            </w:r>
          </w:p>
        </w:tc>
      </w:tr>
      <w:tr w:rsidR="00706DD1" w:rsidRPr="00BE78CA" w14:paraId="0C2EB691" w14:textId="77777777" w:rsidTr="007D1CB4">
        <w:trPr>
          <w:cantSplit/>
        </w:trPr>
        <w:tc>
          <w:tcPr>
            <w:tcW w:w="1350" w:type="pct"/>
          </w:tcPr>
          <w:p w14:paraId="327A9E43" w14:textId="77777777" w:rsidR="00706DD1" w:rsidRPr="00BE78CA" w:rsidRDefault="00706DD1" w:rsidP="00C26084">
            <w:pPr>
              <w:pStyle w:val="TableText"/>
              <w:rPr>
                <w:rFonts w:cs="Calibri"/>
              </w:rPr>
            </w:pPr>
            <w:r w:rsidRPr="00BE78CA">
              <w:rPr>
                <w:rFonts w:cs="Calibri"/>
              </w:rPr>
              <w:t>Mining</w:t>
            </w:r>
          </w:p>
        </w:tc>
        <w:tc>
          <w:tcPr>
            <w:tcW w:w="1814" w:type="pct"/>
            <w:vAlign w:val="center"/>
          </w:tcPr>
          <w:p w14:paraId="25163CC5" w14:textId="77777777" w:rsidR="00706DD1" w:rsidRPr="00BE78CA" w:rsidRDefault="00706DD1" w:rsidP="00C26084">
            <w:pPr>
              <w:pStyle w:val="TableText"/>
              <w:jc w:val="center"/>
              <w:rPr>
                <w:rFonts w:cs="Calibri"/>
              </w:rPr>
            </w:pPr>
            <w:r w:rsidRPr="00BE78CA">
              <w:rPr>
                <w:rFonts w:cs="Calibri"/>
              </w:rPr>
              <w:t>48.7</w:t>
            </w:r>
          </w:p>
        </w:tc>
        <w:tc>
          <w:tcPr>
            <w:tcW w:w="1836" w:type="pct"/>
            <w:vAlign w:val="center"/>
          </w:tcPr>
          <w:p w14:paraId="61260F88" w14:textId="77777777" w:rsidR="00706DD1" w:rsidRPr="00BE78CA" w:rsidRDefault="00706DD1" w:rsidP="00C26084">
            <w:pPr>
              <w:pStyle w:val="TableText"/>
              <w:jc w:val="center"/>
              <w:rPr>
                <w:rFonts w:cs="Calibri"/>
              </w:rPr>
            </w:pPr>
            <w:r w:rsidRPr="00BE78CA">
              <w:rPr>
                <w:rFonts w:cs="Calibri"/>
              </w:rPr>
              <w:t>90.9</w:t>
            </w:r>
          </w:p>
        </w:tc>
      </w:tr>
    </w:tbl>
    <w:p w14:paraId="771E8A33" w14:textId="77777777" w:rsidR="00706DD1" w:rsidRPr="00BE78CA" w:rsidRDefault="00706DD1" w:rsidP="007D1CB4">
      <w:pPr>
        <w:pStyle w:val="Heading5"/>
        <w:spacing w:before="360"/>
        <w:rPr>
          <w:rFonts w:cs="Calibri"/>
        </w:rPr>
      </w:pPr>
      <w:r w:rsidRPr="00BE78CA">
        <w:rPr>
          <w:rFonts w:cs="Calibri"/>
        </w:rPr>
        <w:t>Solid fuels</w:t>
      </w:r>
    </w:p>
    <w:p w14:paraId="69A8C933" w14:textId="77777777" w:rsidR="00706DD1" w:rsidRPr="00BE78CA" w:rsidRDefault="00706DD1" w:rsidP="00706DD1">
      <w:pPr>
        <w:pStyle w:val="BodyText"/>
        <w:spacing w:before="100" w:after="100"/>
        <w:rPr>
          <w:rFonts w:cs="Calibri"/>
        </w:rPr>
      </w:pPr>
      <w:r w:rsidRPr="00BE78CA">
        <w:rPr>
          <w:rFonts w:cs="Calibri"/>
        </w:rPr>
        <w:t xml:space="preserve">In 2010, it was discovered that some coal reported as sold to the commercial sector was in fact being on-sold to resellers rather than directly to end-users. As a result, some activity previously reported in the </w:t>
      </w:r>
      <w:r w:rsidRPr="00BE78CA">
        <w:rPr>
          <w:rFonts w:cs="Calibri"/>
          <w:i/>
        </w:rPr>
        <w:t xml:space="preserve">Commercial </w:t>
      </w:r>
      <w:r w:rsidRPr="00BE78CA">
        <w:rPr>
          <w:rFonts w:cs="Calibri"/>
        </w:rPr>
        <w:t>category has been reallocated to the Agriculture sector. This on-selling is assumed to continue across the time series 1990 to 2019.</w:t>
      </w:r>
    </w:p>
    <w:p w14:paraId="0B3BA157" w14:textId="77777777" w:rsidR="00706DD1" w:rsidRPr="00BE78CA" w:rsidRDefault="00706DD1" w:rsidP="00706DD1">
      <w:pPr>
        <w:pStyle w:val="BodyText"/>
        <w:spacing w:before="100" w:after="100"/>
        <w:rPr>
          <w:rFonts w:cs="Calibri"/>
        </w:rPr>
      </w:pPr>
      <w:r w:rsidRPr="00BE78CA">
        <w:rPr>
          <w:rFonts w:cs="Calibri"/>
        </w:rPr>
        <w:t>A number of synthetic solid fuels are used as lightweight cooking fuels by hikers and the military. Examples include hexamethylenetetramine, metaldehyde and trioxane, which are derived from chemical feedstocks such as aldehydes and ammonia, and hence contain fossil carbon. These fuels are not covered by the national energy balance, and the emissions associated with their combustion have not been estimated.</w:t>
      </w:r>
    </w:p>
    <w:p w14:paraId="09A94B18" w14:textId="77777777" w:rsidR="00706DD1" w:rsidRPr="00BE78CA" w:rsidRDefault="00706DD1" w:rsidP="00706DD1">
      <w:pPr>
        <w:pStyle w:val="BodyText"/>
        <w:spacing w:before="100" w:after="100"/>
        <w:rPr>
          <w:rFonts w:cs="Calibri"/>
        </w:rPr>
      </w:pPr>
      <w:r w:rsidRPr="00BE78CA">
        <w:rPr>
          <w:rFonts w:cs="Calibri"/>
        </w:rPr>
        <w:t>Mixtures of solid fuels are combined with a wide range of metal, organic and non-organic compounds in the formulation of low explosive pyrotechnic devices that are used for entertainment purposes (fireworks). In New Zealand, most towns and cities hold public fireworks displays for the folkloric festival known as Guy Fawkes Night (5 November) and increasingly on other days to celebrate religious and cultural festivals, such as Diwali, Matariki and Lunar New Year, as well as at major sporting events. Consumer fireworks are also available for sale to the general public during the four-day period between 2 and 5 November; however, there is no restriction on the days of use. Fireworks are imported from overseas, generally China. The solid fuel in fireworks is combusted as a propellant for aerial fireworks and used to provide heat, light and sparks. Common fossil</w:t>
      </w:r>
      <w:r w:rsidRPr="00BE78CA">
        <w:rPr>
          <w:rFonts w:cs="Calibri"/>
        </w:rPr>
        <w:softHyphen/>
        <w:t>–carbon based fuels include carbon black and gilsonite. In addition to CO</w:t>
      </w:r>
      <w:r w:rsidRPr="00BE78CA">
        <w:rPr>
          <w:rFonts w:cs="Calibri"/>
          <w:vertAlign w:val="subscript"/>
        </w:rPr>
        <w:t>2</w:t>
      </w:r>
      <w:r w:rsidRPr="00BE78CA">
        <w:rPr>
          <w:rFonts w:cs="Calibri"/>
        </w:rPr>
        <w:t>, greenhouse gas emissions also potentially include CH</w:t>
      </w:r>
      <w:r w:rsidRPr="00BE78CA">
        <w:rPr>
          <w:rFonts w:cs="Calibri"/>
          <w:vertAlign w:val="subscript"/>
        </w:rPr>
        <w:t>4</w:t>
      </w:r>
      <w:r w:rsidRPr="00BE78CA">
        <w:rPr>
          <w:rFonts w:cs="Calibri"/>
        </w:rPr>
        <w:t xml:space="preserve"> and N</w:t>
      </w:r>
      <w:r w:rsidRPr="00BE78CA">
        <w:rPr>
          <w:rFonts w:cs="Calibri"/>
          <w:vertAlign w:val="subscript"/>
        </w:rPr>
        <w:t>2</w:t>
      </w:r>
      <w:r w:rsidRPr="00BE78CA">
        <w:rPr>
          <w:rFonts w:cs="Calibri"/>
        </w:rPr>
        <w:t>O, although emission factors for these gases have not been sighted in the literature. Due to the wide range of chemical formulations, the precise quantity of solid fuel in fireworks is not known. In the absence of specific fuel data, any estimate of emissions will be highly uncertain. Nevertheless, a number of international reports have attempted to estimate CO</w:t>
      </w:r>
      <w:r w:rsidRPr="00BE78CA">
        <w:rPr>
          <w:rFonts w:cs="Calibri"/>
          <w:vertAlign w:val="subscript"/>
        </w:rPr>
        <w:t>2</w:t>
      </w:r>
      <w:r w:rsidRPr="00BE78CA">
        <w:rPr>
          <w:rFonts w:cs="Calibri"/>
        </w:rPr>
        <w:t xml:space="preserve"> emissions and have suggested the level could be significant. An estimate of emissions for New Zealand has not yet been undertaken, though we plan to source activity data and will provide an update in our next submission.</w:t>
      </w:r>
    </w:p>
    <w:p w14:paraId="3EB28BF2" w14:textId="77777777" w:rsidR="00706DD1" w:rsidRPr="00BE78CA" w:rsidRDefault="00706DD1" w:rsidP="00706DD1">
      <w:pPr>
        <w:pStyle w:val="Heading5"/>
        <w:spacing w:before="120"/>
        <w:rPr>
          <w:rFonts w:cs="Calibri"/>
        </w:rPr>
      </w:pPr>
      <w:r w:rsidRPr="00BE78CA">
        <w:rPr>
          <w:rFonts w:cs="Calibri"/>
        </w:rPr>
        <w:lastRenderedPageBreak/>
        <w:t>Solid biomass</w:t>
      </w:r>
    </w:p>
    <w:p w14:paraId="62AF8D8A" w14:textId="77777777" w:rsidR="00706DD1" w:rsidRPr="00BE78CA" w:rsidRDefault="00706DD1" w:rsidP="00706DD1">
      <w:pPr>
        <w:pStyle w:val="BodyText"/>
        <w:spacing w:before="100" w:after="100"/>
        <w:rPr>
          <w:rFonts w:cs="Calibri"/>
        </w:rPr>
      </w:pPr>
      <w:r w:rsidRPr="00BE78CA">
        <w:rPr>
          <w:rFonts w:cs="Calibri"/>
        </w:rPr>
        <w:t xml:space="preserve">Residential combustion of biomass is estimated using household number estimates from Stats NZ, along with five-yearly census figures estimating the percentage of households using biomass for heating. Interpolation is used to estimate shares for intermediate years. The census data indicate that the popularity of woodburners is decreasing slowly over time. The energy content of biomass burned in each household was estimated by the study </w:t>
      </w:r>
      <w:r w:rsidRPr="00BE78CA">
        <w:rPr>
          <w:rFonts w:cs="Calibri"/>
          <w:i/>
        </w:rPr>
        <w:t>Energy Use in New Zealand Households</w:t>
      </w:r>
      <w:r w:rsidRPr="00BE78CA">
        <w:rPr>
          <w:rFonts w:cs="Calibri"/>
        </w:rPr>
        <w:t xml:space="preserve"> (BRANZ, 2002).</w:t>
      </w:r>
    </w:p>
    <w:p w14:paraId="03D5E40B" w14:textId="69820821" w:rsidR="00706DD1" w:rsidRPr="00BE78CA" w:rsidRDefault="00706DD1" w:rsidP="00706DD1">
      <w:pPr>
        <w:pStyle w:val="BodyText"/>
        <w:spacing w:before="100" w:after="100"/>
        <w:rPr>
          <w:rFonts w:cs="Calibri"/>
        </w:rPr>
      </w:pPr>
      <w:r w:rsidRPr="00BE78CA">
        <w:rPr>
          <w:rFonts w:cs="Calibri"/>
        </w:rPr>
        <w:t>The controlled outdoor combustion of biomass is a common pastime activity across New Zealand backyards, beaches and other public spaces as part of a celebration or to provide heat</w:t>
      </w:r>
      <w:r w:rsidR="007D1CB4" w:rsidRPr="00BE78CA">
        <w:rPr>
          <w:rFonts w:cs="Calibri"/>
        </w:rPr>
        <w:t> </w:t>
      </w:r>
      <w:r w:rsidRPr="00BE78CA">
        <w:rPr>
          <w:rFonts w:cs="Calibri"/>
        </w:rPr>
        <w:t>for warmth or cooking. Examples include bonfires, campfires, pizza ovens, braziers, fire pits and chimeneas. Traditional methods of cooking food using heated rocks buried in a pit oven include hāngī, umu and lovo. These activities are distinct from open-burning of unwanted biomass that is not used for energy purposes, which would be reported under the Waste sector. While activity data are not available, expert opinion indicates that the likely level of activity is relatively minor compared with the indoor residential combustion of biomass; therefore, emissions associated with these outdoor activities have not been estimated.</w:t>
      </w:r>
    </w:p>
    <w:p w14:paraId="3F9A259B" w14:textId="77777777" w:rsidR="00706DD1" w:rsidRPr="00BE78CA" w:rsidRDefault="00706DD1" w:rsidP="00706DD1">
      <w:pPr>
        <w:pStyle w:val="Heading5"/>
        <w:spacing w:before="120"/>
        <w:rPr>
          <w:rFonts w:cs="Calibri"/>
        </w:rPr>
      </w:pPr>
      <w:r w:rsidRPr="00BE78CA">
        <w:rPr>
          <w:rFonts w:cs="Calibri"/>
        </w:rPr>
        <w:t>Gaseous fuels</w:t>
      </w:r>
    </w:p>
    <w:p w14:paraId="17A17A36" w14:textId="77777777" w:rsidR="00706DD1" w:rsidRPr="00BE78CA" w:rsidRDefault="00706DD1" w:rsidP="00706DD1">
      <w:pPr>
        <w:pStyle w:val="BodyText"/>
        <w:spacing w:before="100" w:after="100"/>
        <w:rPr>
          <w:rFonts w:cs="Calibri"/>
        </w:rPr>
      </w:pPr>
      <w:r w:rsidRPr="00BE78CA">
        <w:rPr>
          <w:rFonts w:cs="Calibri"/>
        </w:rPr>
        <w:t>Annual natural gas consumption statistics are published by MBIE. Reviews of all natural gas consumption data were undertaken in 2011 and 2014 by MBIE. For further information, see section 3.3.7 (Activity data, Gaseous fuels).</w:t>
      </w:r>
    </w:p>
    <w:p w14:paraId="28DA275C" w14:textId="77777777" w:rsidR="00706DD1" w:rsidRPr="00BE78CA" w:rsidRDefault="00706DD1" w:rsidP="00706DD1">
      <w:pPr>
        <w:pStyle w:val="Heading4"/>
      </w:pPr>
      <w:r w:rsidRPr="00BE78CA">
        <w:rPr>
          <w:lang w:eastAsia="en-GB"/>
        </w:rPr>
        <w:t>Uncertainties and time-series consistency</w:t>
      </w:r>
    </w:p>
    <w:p w14:paraId="5424C1AC" w14:textId="77777777" w:rsidR="00706DD1" w:rsidRPr="00BE78CA" w:rsidRDefault="00706DD1" w:rsidP="00706DD1">
      <w:pPr>
        <w:pStyle w:val="BodyText"/>
        <w:rPr>
          <w:rFonts w:cs="Calibri"/>
          <w:lang w:eastAsia="en-GB"/>
        </w:rPr>
      </w:pPr>
      <w:r w:rsidRPr="00BE78CA">
        <w:rPr>
          <w:rFonts w:cs="Calibri"/>
          <w:lang w:eastAsia="en-GB"/>
        </w:rPr>
        <w:t>Uncertainties in emission estimates for data from other sectors are relevant to the entire Energy sector (see table 3.3.1).</w:t>
      </w:r>
    </w:p>
    <w:p w14:paraId="2126C7BE" w14:textId="77777777" w:rsidR="00706DD1" w:rsidRPr="00BE78CA" w:rsidRDefault="00706DD1" w:rsidP="00706DD1">
      <w:pPr>
        <w:pStyle w:val="Heading4"/>
      </w:pPr>
      <w:r w:rsidRPr="00BE78CA">
        <w:rPr>
          <w:lang w:eastAsia="en-GB"/>
        </w:rPr>
        <w:t>Source-specific QA/QC and verification</w:t>
      </w:r>
    </w:p>
    <w:p w14:paraId="67C978D9" w14:textId="77777777" w:rsidR="00706DD1" w:rsidRPr="00BE78CA" w:rsidRDefault="00706DD1" w:rsidP="00706DD1">
      <w:pPr>
        <w:pStyle w:val="BodyText"/>
        <w:rPr>
          <w:rFonts w:cs="Calibri"/>
          <w:lang w:eastAsia="en-GB"/>
        </w:rPr>
      </w:pPr>
      <w:r w:rsidRPr="00BE78CA">
        <w:rPr>
          <w:rFonts w:cs="Calibri"/>
          <w:lang w:eastAsia="en-GB"/>
        </w:rPr>
        <w:t xml:space="preserve">In the preparation of this inventory, the </w:t>
      </w:r>
      <w:r w:rsidRPr="00BE78CA">
        <w:rPr>
          <w:rFonts w:cs="Calibri"/>
          <w:i/>
          <w:lang w:eastAsia="en-GB"/>
        </w:rPr>
        <w:t>Other sectors</w:t>
      </w:r>
      <w:r w:rsidRPr="00BE78CA">
        <w:rPr>
          <w:rFonts w:cs="Calibri"/>
          <w:lang w:eastAsia="en-GB"/>
        </w:rPr>
        <w:t xml:space="preserve"> category underwent Tier 1 quality-assurance and quality-control checks as recommended in the 2006 IPCC Guidelines. These include regular control sums throughout systems, to verify system integrity, and consistency checks of implied emission factors.</w:t>
      </w:r>
    </w:p>
    <w:p w14:paraId="372DF8D8" w14:textId="77777777" w:rsidR="00706DD1" w:rsidRPr="00BE78CA" w:rsidRDefault="00706DD1" w:rsidP="00706DD1">
      <w:pPr>
        <w:pStyle w:val="Heading4"/>
        <w:rPr>
          <w:lang w:eastAsia="en-GB"/>
        </w:rPr>
      </w:pPr>
      <w:r w:rsidRPr="00BE78CA">
        <w:rPr>
          <w:lang w:eastAsia="en-GB"/>
        </w:rPr>
        <w:t>Source-specific recalculations</w:t>
      </w:r>
    </w:p>
    <w:p w14:paraId="79B05267" w14:textId="77777777" w:rsidR="00706DD1" w:rsidRPr="00BE78CA" w:rsidRDefault="00706DD1" w:rsidP="00706DD1">
      <w:pPr>
        <w:pStyle w:val="BodyText"/>
        <w:rPr>
          <w:rFonts w:cs="Calibri"/>
          <w:lang w:eastAsia="en-GB"/>
        </w:rPr>
      </w:pPr>
      <w:r w:rsidRPr="00BE78CA">
        <w:rPr>
          <w:rFonts w:cs="Calibri"/>
          <w:lang w:eastAsia="en-GB"/>
        </w:rPr>
        <w:t>Some minor recalculations may have occurred across the time series due to revisions of activity data provided by the energy data team at MBIE.</w:t>
      </w:r>
    </w:p>
    <w:p w14:paraId="7C5634BF" w14:textId="77777777" w:rsidR="00706DD1" w:rsidRPr="00BE78CA" w:rsidRDefault="00706DD1" w:rsidP="00706DD1">
      <w:pPr>
        <w:pStyle w:val="Heading4"/>
        <w:rPr>
          <w:lang w:eastAsia="en-GB"/>
        </w:rPr>
      </w:pPr>
      <w:r w:rsidRPr="00BE78CA">
        <w:rPr>
          <w:lang w:eastAsia="en-GB"/>
        </w:rPr>
        <w:t>Source-specific improvements</w:t>
      </w:r>
    </w:p>
    <w:p w14:paraId="123282FE" w14:textId="77777777" w:rsidR="00706DD1" w:rsidRPr="00BE78CA" w:rsidRDefault="00706DD1" w:rsidP="00706DD1">
      <w:pPr>
        <w:pStyle w:val="BodyText"/>
        <w:rPr>
          <w:rFonts w:cs="Calibri"/>
          <w:lang w:eastAsia="en-GB"/>
        </w:rPr>
      </w:pPr>
      <w:r w:rsidRPr="00BE78CA">
        <w:rPr>
          <w:rFonts w:cs="Calibri"/>
          <w:lang w:eastAsia="en-GB"/>
        </w:rPr>
        <w:t xml:space="preserve">Activity and emissions data for the </w:t>
      </w:r>
      <w:r w:rsidRPr="00BE78CA">
        <w:rPr>
          <w:rFonts w:cs="Calibri"/>
          <w:i/>
          <w:lang w:eastAsia="en-GB"/>
        </w:rPr>
        <w:t xml:space="preserve">Agriculture/forestry/fishing </w:t>
      </w:r>
      <w:r w:rsidRPr="00BE78CA">
        <w:rPr>
          <w:rFonts w:cs="Calibri"/>
          <w:lang w:eastAsia="en-GB"/>
        </w:rPr>
        <w:t>category are now reported separately by activity type (stationary combustion, mobile use, and fishing).</w:t>
      </w:r>
    </w:p>
    <w:p w14:paraId="36D80AA3" w14:textId="77777777" w:rsidR="00706DD1" w:rsidRPr="00BE78CA" w:rsidRDefault="00706DD1" w:rsidP="00706DD1">
      <w:pPr>
        <w:pStyle w:val="Heading4"/>
        <w:rPr>
          <w:lang w:eastAsia="en-GB"/>
        </w:rPr>
      </w:pPr>
      <w:r w:rsidRPr="00BE78CA">
        <w:rPr>
          <w:lang w:eastAsia="en-GB"/>
        </w:rPr>
        <w:t>Source-specific planned improvements</w:t>
      </w:r>
    </w:p>
    <w:p w14:paraId="191CEA2E" w14:textId="77777777" w:rsidR="00706DD1" w:rsidRPr="00BE78CA" w:rsidRDefault="00706DD1" w:rsidP="00706DD1">
      <w:pPr>
        <w:pStyle w:val="BodyText"/>
        <w:rPr>
          <w:rFonts w:cs="Calibri"/>
          <w:b/>
          <w:bCs/>
          <w:szCs w:val="24"/>
          <w:lang w:eastAsia="en-GB"/>
        </w:rPr>
      </w:pPr>
      <w:r w:rsidRPr="00BE78CA">
        <w:rPr>
          <w:rFonts w:cs="Calibri"/>
          <w:lang w:eastAsia="en-GB"/>
        </w:rPr>
        <w:t xml:space="preserve">There are no planned improvements for this category. </w:t>
      </w:r>
    </w:p>
    <w:p w14:paraId="0550ADD2" w14:textId="77777777" w:rsidR="00706DD1" w:rsidRPr="00BE78CA" w:rsidRDefault="00706DD1" w:rsidP="00706DD1">
      <w:pPr>
        <w:pStyle w:val="Heading2"/>
        <w:rPr>
          <w:rFonts w:cs="Calibri"/>
        </w:rPr>
      </w:pPr>
      <w:bookmarkStart w:id="351" w:name="_Toc321398811"/>
      <w:bookmarkStart w:id="352" w:name="_Toc384581637"/>
      <w:bookmarkStart w:id="353" w:name="_Toc448321509"/>
      <w:bookmarkStart w:id="354" w:name="_Toc481751371"/>
      <w:bookmarkStart w:id="355" w:name="_Toc36224388"/>
      <w:bookmarkStart w:id="356" w:name="_Toc68786308"/>
      <w:r w:rsidRPr="00BE78CA">
        <w:rPr>
          <w:rFonts w:cs="Calibri"/>
        </w:rPr>
        <w:lastRenderedPageBreak/>
        <w:t>3.4</w:t>
      </w:r>
      <w:r w:rsidRPr="00BE78CA">
        <w:rPr>
          <w:rFonts w:cs="Calibri"/>
        </w:rPr>
        <w:tab/>
        <w:t>Fugitive emissions from fuels (CRF 1.B)</w:t>
      </w:r>
      <w:bookmarkEnd w:id="351"/>
      <w:bookmarkEnd w:id="352"/>
      <w:bookmarkEnd w:id="353"/>
      <w:bookmarkEnd w:id="354"/>
      <w:bookmarkEnd w:id="355"/>
      <w:bookmarkEnd w:id="356"/>
    </w:p>
    <w:p w14:paraId="0329133B" w14:textId="77777777" w:rsidR="00706DD1" w:rsidRPr="00BE78CA" w:rsidRDefault="00706DD1" w:rsidP="00706DD1">
      <w:pPr>
        <w:pStyle w:val="BodyText"/>
        <w:rPr>
          <w:rFonts w:cs="Calibri"/>
          <w:lang w:eastAsia="en-GB"/>
        </w:rPr>
      </w:pPr>
      <w:r w:rsidRPr="00BE78CA">
        <w:rPr>
          <w:rFonts w:cs="Calibri"/>
          <w:lang w:eastAsia="en-GB"/>
        </w:rPr>
        <w:t xml:space="preserve">Fugitive emissions arise from the production, processing, transmission, storage and use of fossil fuels, and from non-productive combustion. This category comprises two subcategories: </w:t>
      </w:r>
      <w:r w:rsidRPr="00BE78CA">
        <w:rPr>
          <w:rFonts w:cs="Calibri"/>
          <w:i/>
          <w:lang w:eastAsia="en-GB"/>
        </w:rPr>
        <w:t>Solid fuels</w:t>
      </w:r>
      <w:r w:rsidRPr="00BE78CA">
        <w:rPr>
          <w:rFonts w:cs="Calibri"/>
          <w:lang w:eastAsia="en-GB"/>
        </w:rPr>
        <w:t xml:space="preserve"> and </w:t>
      </w:r>
      <w:r w:rsidRPr="00BE78CA">
        <w:rPr>
          <w:rFonts w:cs="Calibri"/>
          <w:i/>
          <w:lang w:eastAsia="en-GB"/>
        </w:rPr>
        <w:t>Oil and natural gas</w:t>
      </w:r>
      <w:r w:rsidRPr="00BE78CA">
        <w:rPr>
          <w:rFonts w:cs="Calibri"/>
          <w:lang w:eastAsia="en-GB"/>
        </w:rPr>
        <w:t>.</w:t>
      </w:r>
    </w:p>
    <w:p w14:paraId="59D36BEA" w14:textId="1260DA5C" w:rsidR="00706DD1" w:rsidRPr="00BE78CA" w:rsidRDefault="00706DD1" w:rsidP="00706DD1">
      <w:pPr>
        <w:pStyle w:val="BodyText"/>
        <w:rPr>
          <w:rFonts w:cs="Calibri"/>
          <w:lang w:eastAsia="en-GB"/>
        </w:rPr>
      </w:pPr>
      <w:r w:rsidRPr="00BE78CA">
        <w:rPr>
          <w:rFonts w:cs="Calibri"/>
          <w:lang w:eastAsia="en-GB"/>
        </w:rPr>
        <w:t xml:space="preserve">In </w:t>
      </w:r>
      <w:r w:rsidRPr="00BE78CA">
        <w:rPr>
          <w:rFonts w:cs="Calibri"/>
        </w:rPr>
        <w:t>2019</w:t>
      </w:r>
      <w:r w:rsidRPr="00BE78CA">
        <w:rPr>
          <w:rFonts w:cs="Calibri"/>
          <w:lang w:eastAsia="en-GB"/>
        </w:rPr>
        <w:t xml:space="preserve">, fugitive emissions from fuels accounted for </w:t>
      </w:r>
      <w:r w:rsidRPr="00BE78CA">
        <w:rPr>
          <w:rFonts w:cs="Calibri"/>
        </w:rPr>
        <w:t xml:space="preserve">1,724.4 </w:t>
      </w:r>
      <w:r w:rsidRPr="00BE78CA">
        <w:rPr>
          <w:rFonts w:cs="Calibri"/>
          <w:lang w:eastAsia="en-GB"/>
        </w:rPr>
        <w:t>kt CO</w:t>
      </w:r>
      <w:r w:rsidRPr="00BE78CA">
        <w:rPr>
          <w:rFonts w:cs="Calibri"/>
          <w:vertAlign w:val="subscript"/>
          <w:lang w:eastAsia="en-GB"/>
        </w:rPr>
        <w:t>2</w:t>
      </w:r>
      <w:r w:rsidRPr="00BE78CA">
        <w:rPr>
          <w:rFonts w:cs="Calibri"/>
          <w:lang w:eastAsia="en-GB"/>
        </w:rPr>
        <w:t>-e (</w:t>
      </w:r>
      <w:r w:rsidRPr="00BE78CA">
        <w:rPr>
          <w:rFonts w:cs="Calibri"/>
        </w:rPr>
        <w:t>5.0 per cent</w:t>
      </w:r>
      <w:r w:rsidRPr="00BE78CA">
        <w:rPr>
          <w:rFonts w:cs="Calibri"/>
          <w:lang w:eastAsia="en-GB"/>
        </w:rPr>
        <w:t xml:space="preserve">) of emissions from the Energy sector. This is </w:t>
      </w:r>
      <w:r w:rsidRPr="00BE78CA">
        <w:rPr>
          <w:rFonts w:cs="Calibri"/>
        </w:rPr>
        <w:t xml:space="preserve">483.3 </w:t>
      </w:r>
      <w:r w:rsidRPr="00BE78CA">
        <w:rPr>
          <w:rFonts w:cs="Calibri"/>
          <w:lang w:eastAsia="en-GB"/>
        </w:rPr>
        <w:t>kt CO</w:t>
      </w:r>
      <w:r w:rsidRPr="00BE78CA">
        <w:rPr>
          <w:rFonts w:cs="Calibri"/>
          <w:vertAlign w:val="subscript"/>
          <w:lang w:eastAsia="en-GB"/>
        </w:rPr>
        <w:t>2</w:t>
      </w:r>
      <w:r w:rsidRPr="00BE78CA">
        <w:rPr>
          <w:rFonts w:cs="Calibri"/>
          <w:lang w:eastAsia="en-GB"/>
        </w:rPr>
        <w:t>-e (</w:t>
      </w:r>
      <w:r w:rsidRPr="00BE78CA">
        <w:rPr>
          <w:rFonts w:cs="Calibri"/>
        </w:rPr>
        <w:t>38.9 per cent</w:t>
      </w:r>
      <w:r w:rsidRPr="00BE78CA">
        <w:rPr>
          <w:rFonts w:cs="Calibri"/>
          <w:lang w:eastAsia="en-GB"/>
        </w:rPr>
        <w:t>) higher than the 1990</w:t>
      </w:r>
      <w:r w:rsidR="00D97BF3" w:rsidRPr="00BE78CA">
        <w:rPr>
          <w:rFonts w:cs="Calibri"/>
          <w:lang w:eastAsia="en-GB"/>
        </w:rPr>
        <w:t> </w:t>
      </w:r>
      <w:r w:rsidRPr="00BE78CA">
        <w:rPr>
          <w:rFonts w:cs="Calibri"/>
          <w:lang w:eastAsia="en-GB"/>
        </w:rPr>
        <w:t xml:space="preserve">level of </w:t>
      </w:r>
      <w:r w:rsidRPr="00BE78CA">
        <w:rPr>
          <w:rFonts w:cs="Calibri"/>
        </w:rPr>
        <w:t xml:space="preserve">1,241.2 </w:t>
      </w:r>
      <w:r w:rsidRPr="00BE78CA">
        <w:rPr>
          <w:rFonts w:cs="Calibri"/>
          <w:lang w:eastAsia="en-GB"/>
        </w:rPr>
        <w:t>kt CO</w:t>
      </w:r>
      <w:r w:rsidRPr="00BE78CA">
        <w:rPr>
          <w:rFonts w:cs="Calibri"/>
          <w:vertAlign w:val="subscript"/>
          <w:lang w:eastAsia="en-GB"/>
        </w:rPr>
        <w:t>2</w:t>
      </w:r>
      <w:r w:rsidRPr="00BE78CA">
        <w:rPr>
          <w:rFonts w:cs="Calibri"/>
          <w:lang w:eastAsia="en-GB"/>
        </w:rPr>
        <w:t>-e.</w:t>
      </w:r>
    </w:p>
    <w:p w14:paraId="1EDFD3AB" w14:textId="77777777" w:rsidR="00706DD1" w:rsidRPr="00BE78CA" w:rsidRDefault="00706DD1" w:rsidP="00706DD1">
      <w:pPr>
        <w:pStyle w:val="Heading4"/>
        <w:rPr>
          <w:lang w:eastAsia="en-GB"/>
        </w:rPr>
      </w:pPr>
      <w:r w:rsidRPr="00BE78CA">
        <w:rPr>
          <w:lang w:eastAsia="en-GB"/>
        </w:rPr>
        <w:t xml:space="preserve">Changes in emissions </w:t>
      </w:r>
      <w:r w:rsidRPr="00BE78CA">
        <w:t>between</w:t>
      </w:r>
      <w:r w:rsidRPr="00BE78CA">
        <w:rPr>
          <w:lang w:eastAsia="en-GB"/>
        </w:rPr>
        <w:t xml:space="preserve"> </w:t>
      </w:r>
      <w:r w:rsidRPr="00BE78CA">
        <w:t xml:space="preserve">2018 </w:t>
      </w:r>
      <w:r w:rsidRPr="00BE78CA">
        <w:rPr>
          <w:lang w:eastAsia="en-GB"/>
        </w:rPr>
        <w:t xml:space="preserve">and </w:t>
      </w:r>
      <w:r w:rsidRPr="00BE78CA">
        <w:t>2019</w:t>
      </w:r>
    </w:p>
    <w:p w14:paraId="0BC80192" w14:textId="77777777" w:rsidR="00706DD1" w:rsidRPr="00BE78CA" w:rsidRDefault="00706DD1" w:rsidP="00706DD1">
      <w:pPr>
        <w:pStyle w:val="BodyText"/>
        <w:rPr>
          <w:rFonts w:cs="Calibri"/>
        </w:rPr>
      </w:pPr>
      <w:r w:rsidRPr="00BE78CA">
        <w:rPr>
          <w:rFonts w:cs="Calibri"/>
          <w:lang w:eastAsia="en-GB"/>
        </w:rPr>
        <w:t xml:space="preserve">Between </w:t>
      </w:r>
      <w:r w:rsidRPr="00BE78CA">
        <w:rPr>
          <w:rFonts w:cs="Calibri"/>
        </w:rPr>
        <w:t>2018</w:t>
      </w:r>
      <w:r w:rsidRPr="00BE78CA">
        <w:rPr>
          <w:rFonts w:cs="Calibri"/>
          <w:lang w:eastAsia="en-GB"/>
        </w:rPr>
        <w:t xml:space="preserve"> and </w:t>
      </w:r>
      <w:r w:rsidRPr="00BE78CA">
        <w:rPr>
          <w:rFonts w:cs="Calibri"/>
        </w:rPr>
        <w:t>2019</w:t>
      </w:r>
      <w:r w:rsidRPr="00BE78CA">
        <w:rPr>
          <w:rFonts w:cs="Calibri"/>
          <w:lang w:eastAsia="en-GB"/>
        </w:rPr>
        <w:t>, fugitive emissions from fuels</w:t>
      </w:r>
      <w:r w:rsidRPr="00BE78CA">
        <w:rPr>
          <w:rFonts w:cs="Calibri"/>
        </w:rPr>
        <w:t xml:space="preserve"> decreased by 38.4 </w:t>
      </w:r>
      <w:r w:rsidRPr="00BE78CA">
        <w:rPr>
          <w:rFonts w:cs="Calibri"/>
          <w:lang w:eastAsia="en-GB"/>
        </w:rPr>
        <w:t>kt CO</w:t>
      </w:r>
      <w:r w:rsidRPr="00BE78CA">
        <w:rPr>
          <w:rFonts w:cs="Calibri"/>
          <w:szCs w:val="14"/>
          <w:vertAlign w:val="subscript"/>
          <w:lang w:eastAsia="en-GB"/>
        </w:rPr>
        <w:t>2</w:t>
      </w:r>
      <w:r w:rsidRPr="00BE78CA">
        <w:rPr>
          <w:rFonts w:cs="Calibri"/>
          <w:lang w:eastAsia="en-GB"/>
        </w:rPr>
        <w:t>-e (</w:t>
      </w:r>
      <w:r w:rsidRPr="00BE78CA">
        <w:rPr>
          <w:rFonts w:cs="Calibri"/>
        </w:rPr>
        <w:t>2.2 per cent</w:t>
      </w:r>
      <w:r w:rsidRPr="00BE78CA">
        <w:rPr>
          <w:rFonts w:cs="Calibri"/>
          <w:lang w:eastAsia="en-GB"/>
        </w:rPr>
        <w:t xml:space="preserve">). This was primarily the result of decreased activity in category 1.B.2.c.1 </w:t>
      </w:r>
      <w:r w:rsidRPr="00BE78CA">
        <w:rPr>
          <w:rFonts w:cs="Calibri"/>
          <w:i/>
          <w:lang w:eastAsia="en-GB"/>
        </w:rPr>
        <w:t>Venting</w:t>
      </w:r>
      <w:r w:rsidRPr="00BE78CA">
        <w:rPr>
          <w:rFonts w:cs="Calibri"/>
          <w:i/>
        </w:rPr>
        <w:t>.</w:t>
      </w:r>
    </w:p>
    <w:p w14:paraId="12F0E53B" w14:textId="77777777" w:rsidR="00706DD1" w:rsidRPr="00BE78CA" w:rsidRDefault="00706DD1" w:rsidP="00706DD1">
      <w:pPr>
        <w:pStyle w:val="BodyText"/>
        <w:rPr>
          <w:rFonts w:cs="Calibri"/>
        </w:rPr>
      </w:pPr>
      <w:r w:rsidRPr="00BE78CA">
        <w:rPr>
          <w:rFonts w:cs="Calibri"/>
        </w:rPr>
        <w:t xml:space="preserve">Key categories identified in the 2019 level and trend assessment for the </w:t>
      </w:r>
      <w:r w:rsidRPr="00BE78CA">
        <w:rPr>
          <w:rFonts w:cs="Calibri"/>
          <w:i/>
          <w:lang w:eastAsia="en-GB"/>
        </w:rPr>
        <w:t>Fugitive emissions</w:t>
      </w:r>
      <w:r w:rsidRPr="00BE78CA">
        <w:rPr>
          <w:rFonts w:cs="Calibri"/>
        </w:rPr>
        <w:t xml:space="preserve"> category are given in table 3.4.1.</w:t>
      </w:r>
    </w:p>
    <w:p w14:paraId="3E96BBD6" w14:textId="77777777" w:rsidR="00706DD1" w:rsidRPr="00BE78CA" w:rsidRDefault="00706DD1" w:rsidP="00706DD1">
      <w:pPr>
        <w:pStyle w:val="Table"/>
      </w:pPr>
      <w:bookmarkStart w:id="357" w:name="_Toc68786413"/>
      <w:r w:rsidRPr="00BE78CA">
        <w:t>Table 3.4.1</w:t>
      </w:r>
      <w:r w:rsidRPr="00BE78CA">
        <w:tab/>
        <w:t>Key categories for 1.B Fugitive emissions</w:t>
      </w:r>
      <w:bookmarkEnd w:id="357"/>
    </w:p>
    <w:tbl>
      <w:tblPr>
        <w:tblW w:w="8505" w:type="dxa"/>
        <w:tblBorders>
          <w:top w:val="single" w:sz="4" w:space="0" w:color="1F497D"/>
          <w:bottom w:val="single" w:sz="4" w:space="0" w:color="1F497D"/>
          <w:insideH w:val="single" w:sz="4" w:space="0" w:color="1F497D"/>
          <w:insideV w:val="single" w:sz="4" w:space="0" w:color="1F497D"/>
        </w:tblBorders>
        <w:tblLayout w:type="fixed"/>
        <w:tblLook w:val="0420" w:firstRow="1" w:lastRow="0" w:firstColumn="0" w:lastColumn="0" w:noHBand="0" w:noVBand="1"/>
      </w:tblPr>
      <w:tblGrid>
        <w:gridCol w:w="4620"/>
        <w:gridCol w:w="2036"/>
        <w:gridCol w:w="1849"/>
      </w:tblGrid>
      <w:tr w:rsidR="00706DD1" w:rsidRPr="00BE78CA" w14:paraId="21FD9F8E" w14:textId="77777777" w:rsidTr="00D97BF3">
        <w:trPr>
          <w:cantSplit/>
          <w:tblHeader/>
        </w:trPr>
        <w:tc>
          <w:tcPr>
            <w:tcW w:w="2716" w:type="pct"/>
            <w:tcBorders>
              <w:right w:val="single" w:sz="4" w:space="0" w:color="365F91"/>
            </w:tcBorders>
            <w:shd w:val="clear" w:color="auto" w:fill="365F91"/>
            <w:noWrap/>
            <w:vAlign w:val="bottom"/>
            <w:hideMark/>
          </w:tcPr>
          <w:p w14:paraId="37B0CB72" w14:textId="77777777" w:rsidR="00706DD1" w:rsidRPr="00BE78CA" w:rsidRDefault="00706DD1" w:rsidP="00C26084">
            <w:pPr>
              <w:pStyle w:val="TableTextBold"/>
              <w:keepNext/>
              <w:rPr>
                <w:rFonts w:cs="Calibri"/>
                <w:noProof w:val="0"/>
                <w:color w:val="FFFFFF"/>
              </w:rPr>
            </w:pPr>
            <w:r w:rsidRPr="00BE78CA">
              <w:rPr>
                <w:rFonts w:cs="Calibri"/>
                <w:noProof w:val="0"/>
                <w:color w:val="FFFFFF"/>
              </w:rPr>
              <w:t>Category</w:t>
            </w:r>
          </w:p>
        </w:tc>
        <w:tc>
          <w:tcPr>
            <w:tcW w:w="1197" w:type="pct"/>
            <w:tcBorders>
              <w:top w:val="single" w:sz="4" w:space="0" w:color="365F91"/>
              <w:left w:val="single" w:sz="4" w:space="0" w:color="365F91"/>
              <w:bottom w:val="single" w:sz="4" w:space="0" w:color="365F91"/>
              <w:right w:val="single" w:sz="4" w:space="0" w:color="365F91"/>
            </w:tcBorders>
            <w:shd w:val="clear" w:color="auto" w:fill="365F91"/>
            <w:noWrap/>
            <w:vAlign w:val="bottom"/>
            <w:hideMark/>
          </w:tcPr>
          <w:p w14:paraId="1479B1ED" w14:textId="77777777" w:rsidR="00706DD1" w:rsidRPr="00BE78CA" w:rsidRDefault="00706DD1" w:rsidP="00C26084">
            <w:pPr>
              <w:pStyle w:val="TableTextBold"/>
              <w:keepNext/>
              <w:rPr>
                <w:rFonts w:cs="Calibri"/>
                <w:noProof w:val="0"/>
                <w:color w:val="FFFFFF"/>
              </w:rPr>
            </w:pPr>
            <w:r w:rsidRPr="00BE78CA">
              <w:rPr>
                <w:rFonts w:cs="Calibri"/>
                <w:noProof w:val="0"/>
                <w:color w:val="FFFFFF"/>
              </w:rPr>
              <w:t>CO</w:t>
            </w:r>
            <w:r w:rsidRPr="00BE78CA">
              <w:rPr>
                <w:rFonts w:cs="Calibri"/>
                <w:noProof w:val="0"/>
                <w:color w:val="FFFFFF"/>
                <w:vertAlign w:val="subscript"/>
              </w:rPr>
              <w:t>2</w:t>
            </w:r>
          </w:p>
        </w:tc>
        <w:tc>
          <w:tcPr>
            <w:tcW w:w="1087" w:type="pct"/>
            <w:tcBorders>
              <w:top w:val="single" w:sz="4" w:space="0" w:color="365F91"/>
              <w:left w:val="single" w:sz="4" w:space="0" w:color="365F91"/>
              <w:bottom w:val="single" w:sz="4" w:space="0" w:color="365F91"/>
              <w:right w:val="nil"/>
            </w:tcBorders>
            <w:shd w:val="clear" w:color="auto" w:fill="365F91"/>
            <w:vAlign w:val="bottom"/>
            <w:hideMark/>
          </w:tcPr>
          <w:p w14:paraId="1BAB9EF3" w14:textId="77777777" w:rsidR="00706DD1" w:rsidRPr="00BE78CA" w:rsidRDefault="00706DD1" w:rsidP="00C26084">
            <w:pPr>
              <w:pStyle w:val="TableTextBold"/>
              <w:keepNext/>
              <w:rPr>
                <w:rFonts w:cs="Calibri"/>
                <w:noProof w:val="0"/>
                <w:color w:val="FFFFFF"/>
              </w:rPr>
            </w:pPr>
            <w:r w:rsidRPr="00BE78CA">
              <w:rPr>
                <w:rFonts w:cs="Calibri"/>
                <w:noProof w:val="0"/>
                <w:color w:val="FFFFFF"/>
              </w:rPr>
              <w:t>CH</w:t>
            </w:r>
            <w:r w:rsidRPr="00BE78CA">
              <w:rPr>
                <w:rFonts w:cs="Calibri"/>
                <w:noProof w:val="0"/>
                <w:color w:val="FFFFFF"/>
                <w:vertAlign w:val="subscript"/>
              </w:rPr>
              <w:t>4</w:t>
            </w:r>
          </w:p>
        </w:tc>
      </w:tr>
      <w:tr w:rsidR="00706DD1" w:rsidRPr="00BE78CA" w14:paraId="6C07A429" w14:textId="77777777" w:rsidTr="00D97BF3">
        <w:trPr>
          <w:cantSplit/>
        </w:trPr>
        <w:tc>
          <w:tcPr>
            <w:tcW w:w="2716" w:type="pct"/>
            <w:tcBorders>
              <w:right w:val="single" w:sz="4" w:space="0" w:color="365F91"/>
            </w:tcBorders>
            <w:shd w:val="clear" w:color="auto" w:fill="auto"/>
            <w:noWrap/>
            <w:hideMark/>
          </w:tcPr>
          <w:p w14:paraId="19DEC4CF" w14:textId="77777777" w:rsidR="00706DD1" w:rsidRPr="00BE78CA" w:rsidRDefault="00706DD1" w:rsidP="00C26084">
            <w:pPr>
              <w:pStyle w:val="TableText"/>
              <w:spacing w:before="50" w:after="50"/>
              <w:rPr>
                <w:rFonts w:cs="Calibri"/>
              </w:rPr>
            </w:pPr>
            <w:r w:rsidRPr="00BE78CA">
              <w:rPr>
                <w:rFonts w:cs="Calibri"/>
              </w:rPr>
              <w:t>Coal mining and handling – underground</w:t>
            </w:r>
          </w:p>
        </w:tc>
        <w:tc>
          <w:tcPr>
            <w:tcW w:w="1197" w:type="pct"/>
            <w:tcBorders>
              <w:top w:val="single" w:sz="4" w:space="0" w:color="365F91"/>
              <w:left w:val="single" w:sz="4" w:space="0" w:color="365F91"/>
              <w:bottom w:val="single" w:sz="4" w:space="0" w:color="365F91"/>
              <w:right w:val="single" w:sz="4" w:space="0" w:color="365F91"/>
            </w:tcBorders>
            <w:shd w:val="clear" w:color="auto" w:fill="auto"/>
            <w:noWrap/>
            <w:hideMark/>
          </w:tcPr>
          <w:p w14:paraId="1230F1D9" w14:textId="77777777" w:rsidR="00706DD1" w:rsidRPr="00BE78CA" w:rsidRDefault="00706DD1" w:rsidP="00C26084">
            <w:pPr>
              <w:pStyle w:val="TableText"/>
              <w:spacing w:before="50" w:after="50"/>
              <w:rPr>
                <w:rFonts w:cs="Calibri"/>
              </w:rPr>
            </w:pPr>
          </w:p>
        </w:tc>
        <w:tc>
          <w:tcPr>
            <w:tcW w:w="1087" w:type="pct"/>
            <w:tcBorders>
              <w:top w:val="single" w:sz="4" w:space="0" w:color="365F91"/>
              <w:left w:val="single" w:sz="4" w:space="0" w:color="365F91"/>
              <w:bottom w:val="single" w:sz="4" w:space="0" w:color="365F91"/>
              <w:right w:val="nil"/>
            </w:tcBorders>
            <w:shd w:val="clear" w:color="auto" w:fill="auto"/>
            <w:noWrap/>
            <w:hideMark/>
          </w:tcPr>
          <w:p w14:paraId="7ABAD198" w14:textId="77777777" w:rsidR="00706DD1" w:rsidRPr="00BE78CA" w:rsidRDefault="00706DD1" w:rsidP="00C26084">
            <w:pPr>
              <w:pStyle w:val="TableText"/>
              <w:spacing w:before="50" w:after="50"/>
              <w:rPr>
                <w:rFonts w:cs="Calibri"/>
              </w:rPr>
            </w:pPr>
            <w:r w:rsidRPr="00BE78CA">
              <w:rPr>
                <w:rFonts w:cs="Calibri"/>
              </w:rPr>
              <w:t>Trend</w:t>
            </w:r>
          </w:p>
        </w:tc>
      </w:tr>
      <w:tr w:rsidR="00706DD1" w:rsidRPr="00BE78CA" w14:paraId="264169F7" w14:textId="77777777" w:rsidTr="00D97BF3">
        <w:trPr>
          <w:cantSplit/>
        </w:trPr>
        <w:tc>
          <w:tcPr>
            <w:tcW w:w="2716" w:type="pct"/>
            <w:tcBorders>
              <w:right w:val="single" w:sz="4" w:space="0" w:color="365F91"/>
            </w:tcBorders>
            <w:shd w:val="clear" w:color="auto" w:fill="auto"/>
            <w:noWrap/>
            <w:hideMark/>
          </w:tcPr>
          <w:p w14:paraId="7C31A11E" w14:textId="77777777" w:rsidR="00706DD1" w:rsidRPr="00BE78CA" w:rsidRDefault="00706DD1" w:rsidP="00C26084">
            <w:pPr>
              <w:pStyle w:val="TableText"/>
              <w:spacing w:before="50" w:after="50"/>
              <w:rPr>
                <w:rFonts w:cs="Calibri"/>
              </w:rPr>
            </w:pPr>
            <w:r w:rsidRPr="00BE78CA">
              <w:rPr>
                <w:rFonts w:cs="Calibri"/>
              </w:rPr>
              <w:t>Natural gas – distribution</w:t>
            </w:r>
          </w:p>
        </w:tc>
        <w:tc>
          <w:tcPr>
            <w:tcW w:w="1197" w:type="pct"/>
            <w:tcBorders>
              <w:top w:val="single" w:sz="4" w:space="0" w:color="365F91"/>
              <w:left w:val="single" w:sz="4" w:space="0" w:color="365F91"/>
              <w:bottom w:val="single" w:sz="4" w:space="0" w:color="365F91"/>
              <w:right w:val="single" w:sz="4" w:space="0" w:color="365F91"/>
            </w:tcBorders>
            <w:shd w:val="clear" w:color="auto" w:fill="auto"/>
            <w:noWrap/>
            <w:hideMark/>
          </w:tcPr>
          <w:p w14:paraId="16FEEF37" w14:textId="77777777" w:rsidR="00706DD1" w:rsidRPr="00BE78CA" w:rsidRDefault="00706DD1" w:rsidP="00C26084">
            <w:pPr>
              <w:pStyle w:val="TableText"/>
              <w:spacing w:before="50" w:after="50"/>
              <w:rPr>
                <w:rFonts w:cs="Calibri"/>
              </w:rPr>
            </w:pPr>
          </w:p>
        </w:tc>
        <w:tc>
          <w:tcPr>
            <w:tcW w:w="1087" w:type="pct"/>
            <w:tcBorders>
              <w:top w:val="single" w:sz="4" w:space="0" w:color="365F91"/>
              <w:left w:val="single" w:sz="4" w:space="0" w:color="365F91"/>
              <w:bottom w:val="single" w:sz="4" w:space="0" w:color="365F91"/>
              <w:right w:val="nil"/>
            </w:tcBorders>
            <w:shd w:val="clear" w:color="auto" w:fill="auto"/>
            <w:noWrap/>
          </w:tcPr>
          <w:p w14:paraId="4D2BD970" w14:textId="77777777" w:rsidR="00706DD1" w:rsidRPr="00BE78CA" w:rsidRDefault="00706DD1" w:rsidP="00C26084">
            <w:pPr>
              <w:pStyle w:val="TableText"/>
              <w:spacing w:before="50" w:after="50"/>
              <w:rPr>
                <w:rFonts w:cs="Calibri"/>
              </w:rPr>
            </w:pPr>
            <w:r w:rsidRPr="00BE78CA">
              <w:rPr>
                <w:rFonts w:cs="Calibri"/>
              </w:rPr>
              <w:t>Level, trend</w:t>
            </w:r>
          </w:p>
        </w:tc>
      </w:tr>
      <w:tr w:rsidR="00706DD1" w:rsidRPr="00BE78CA" w14:paraId="5F85EF1F" w14:textId="77777777" w:rsidTr="00D97BF3">
        <w:trPr>
          <w:cantSplit/>
        </w:trPr>
        <w:tc>
          <w:tcPr>
            <w:tcW w:w="2716" w:type="pct"/>
            <w:tcBorders>
              <w:right w:val="single" w:sz="4" w:space="0" w:color="365F91"/>
            </w:tcBorders>
            <w:shd w:val="clear" w:color="auto" w:fill="auto"/>
            <w:noWrap/>
          </w:tcPr>
          <w:p w14:paraId="368AFF20" w14:textId="77777777" w:rsidR="00706DD1" w:rsidRPr="00BE78CA" w:rsidRDefault="00706DD1" w:rsidP="00C26084">
            <w:pPr>
              <w:pStyle w:val="TableText"/>
              <w:spacing w:before="50" w:after="50"/>
              <w:rPr>
                <w:rFonts w:cs="Calibri"/>
              </w:rPr>
            </w:pPr>
            <w:r w:rsidRPr="00BE78CA">
              <w:rPr>
                <w:rFonts w:cs="Calibri"/>
              </w:rPr>
              <w:t>Venting – gas</w:t>
            </w:r>
          </w:p>
        </w:tc>
        <w:tc>
          <w:tcPr>
            <w:tcW w:w="1197" w:type="pct"/>
            <w:tcBorders>
              <w:top w:val="single" w:sz="4" w:space="0" w:color="365F91"/>
              <w:left w:val="single" w:sz="4" w:space="0" w:color="365F91"/>
              <w:bottom w:val="single" w:sz="4" w:space="0" w:color="365F91"/>
              <w:right w:val="single" w:sz="4" w:space="0" w:color="365F91"/>
            </w:tcBorders>
            <w:shd w:val="clear" w:color="auto" w:fill="auto"/>
            <w:noWrap/>
          </w:tcPr>
          <w:p w14:paraId="0D6A32AA" w14:textId="77777777" w:rsidR="00706DD1" w:rsidRPr="00BE78CA" w:rsidRDefault="00706DD1" w:rsidP="00C26084">
            <w:pPr>
              <w:pStyle w:val="TableText"/>
              <w:spacing w:before="50" w:after="50"/>
              <w:rPr>
                <w:rFonts w:cs="Calibri"/>
              </w:rPr>
            </w:pPr>
            <w:r w:rsidRPr="00BE78CA">
              <w:rPr>
                <w:rFonts w:cs="Calibri"/>
              </w:rPr>
              <w:t>Level, trend</w:t>
            </w:r>
          </w:p>
        </w:tc>
        <w:tc>
          <w:tcPr>
            <w:tcW w:w="1087" w:type="pct"/>
            <w:tcBorders>
              <w:top w:val="single" w:sz="4" w:space="0" w:color="365F91"/>
              <w:left w:val="single" w:sz="4" w:space="0" w:color="365F91"/>
              <w:bottom w:val="single" w:sz="4" w:space="0" w:color="365F91"/>
              <w:right w:val="nil"/>
            </w:tcBorders>
            <w:shd w:val="clear" w:color="auto" w:fill="auto"/>
            <w:noWrap/>
          </w:tcPr>
          <w:p w14:paraId="3E265489" w14:textId="77777777" w:rsidR="00706DD1" w:rsidRPr="00BE78CA" w:rsidRDefault="00706DD1" w:rsidP="00C26084">
            <w:pPr>
              <w:pStyle w:val="TableText"/>
              <w:spacing w:before="50" w:after="50"/>
              <w:rPr>
                <w:rFonts w:cs="Calibri"/>
              </w:rPr>
            </w:pPr>
          </w:p>
        </w:tc>
      </w:tr>
      <w:tr w:rsidR="00706DD1" w:rsidRPr="00BE78CA" w14:paraId="67515EEB" w14:textId="77777777" w:rsidTr="00D97BF3">
        <w:trPr>
          <w:cantSplit/>
        </w:trPr>
        <w:tc>
          <w:tcPr>
            <w:tcW w:w="2716" w:type="pct"/>
            <w:tcBorders>
              <w:right w:val="single" w:sz="4" w:space="0" w:color="365F91"/>
            </w:tcBorders>
            <w:shd w:val="clear" w:color="auto" w:fill="auto"/>
            <w:noWrap/>
          </w:tcPr>
          <w:p w14:paraId="303372EC" w14:textId="77777777" w:rsidR="00706DD1" w:rsidRPr="00BE78CA" w:rsidRDefault="00706DD1" w:rsidP="00C26084">
            <w:pPr>
              <w:pStyle w:val="TableText"/>
              <w:spacing w:before="50" w:after="50"/>
              <w:rPr>
                <w:rFonts w:cs="Calibri"/>
              </w:rPr>
            </w:pPr>
            <w:r w:rsidRPr="00BE78CA">
              <w:rPr>
                <w:rFonts w:cs="Calibri"/>
              </w:rPr>
              <w:t>Other – geothermal</w:t>
            </w:r>
          </w:p>
        </w:tc>
        <w:tc>
          <w:tcPr>
            <w:tcW w:w="1197" w:type="pct"/>
            <w:tcBorders>
              <w:top w:val="single" w:sz="4" w:space="0" w:color="365F91"/>
              <w:left w:val="single" w:sz="4" w:space="0" w:color="365F91"/>
              <w:bottom w:val="single" w:sz="4" w:space="0" w:color="365F91"/>
              <w:right w:val="single" w:sz="4" w:space="0" w:color="365F91"/>
            </w:tcBorders>
            <w:shd w:val="clear" w:color="auto" w:fill="auto"/>
            <w:noWrap/>
          </w:tcPr>
          <w:p w14:paraId="40CC8879" w14:textId="77777777" w:rsidR="00706DD1" w:rsidRPr="00BE78CA" w:rsidRDefault="00706DD1" w:rsidP="00C26084">
            <w:pPr>
              <w:pStyle w:val="TableText"/>
              <w:spacing w:before="50" w:after="50"/>
              <w:rPr>
                <w:rFonts w:cs="Calibri"/>
              </w:rPr>
            </w:pPr>
            <w:r w:rsidRPr="00BE78CA">
              <w:rPr>
                <w:rFonts w:cs="Calibri"/>
              </w:rPr>
              <w:t>Level, trend</w:t>
            </w:r>
          </w:p>
        </w:tc>
        <w:tc>
          <w:tcPr>
            <w:tcW w:w="1087" w:type="pct"/>
            <w:tcBorders>
              <w:top w:val="single" w:sz="4" w:space="0" w:color="365F91"/>
              <w:left w:val="single" w:sz="4" w:space="0" w:color="365F91"/>
              <w:bottom w:val="single" w:sz="4" w:space="0" w:color="365F91"/>
              <w:right w:val="nil"/>
            </w:tcBorders>
            <w:shd w:val="clear" w:color="auto" w:fill="auto"/>
            <w:noWrap/>
          </w:tcPr>
          <w:p w14:paraId="019C6167" w14:textId="77777777" w:rsidR="00706DD1" w:rsidRPr="00BE78CA" w:rsidRDefault="00706DD1" w:rsidP="00C26084">
            <w:pPr>
              <w:pStyle w:val="TableText"/>
              <w:spacing w:before="50" w:after="50"/>
              <w:rPr>
                <w:rFonts w:cs="Calibri"/>
              </w:rPr>
            </w:pPr>
          </w:p>
        </w:tc>
      </w:tr>
    </w:tbl>
    <w:p w14:paraId="37B3478C" w14:textId="77777777" w:rsidR="00706DD1" w:rsidRPr="00BE78CA" w:rsidRDefault="00706DD1" w:rsidP="00706DD1">
      <w:pPr>
        <w:pStyle w:val="Heading3"/>
        <w:spacing w:before="480"/>
        <w:rPr>
          <w:rFonts w:cs="Calibri"/>
        </w:rPr>
      </w:pPr>
      <w:r w:rsidRPr="00BE78CA">
        <w:rPr>
          <w:rFonts w:cs="Calibri"/>
        </w:rPr>
        <w:t>3.4.1</w:t>
      </w:r>
      <w:r w:rsidRPr="00BE78CA">
        <w:rPr>
          <w:rFonts w:cs="Calibri"/>
        </w:rPr>
        <w:tab/>
        <w:t>Fugitive emissions from fuels: Solid fuels (CRF 1.B.1)</w:t>
      </w:r>
    </w:p>
    <w:p w14:paraId="73CC938F" w14:textId="77777777" w:rsidR="00706DD1" w:rsidRPr="00BE78CA" w:rsidRDefault="00706DD1" w:rsidP="00706DD1">
      <w:pPr>
        <w:pStyle w:val="Heading4"/>
        <w:spacing w:before="160"/>
      </w:pPr>
      <w:r w:rsidRPr="00BE78CA">
        <w:rPr>
          <w:lang w:eastAsia="en-GB"/>
        </w:rPr>
        <w:t>Description</w:t>
      </w:r>
    </w:p>
    <w:p w14:paraId="0A45BCA7" w14:textId="77777777" w:rsidR="00706DD1" w:rsidRPr="00BE78CA" w:rsidRDefault="00706DD1" w:rsidP="00706DD1">
      <w:pPr>
        <w:pStyle w:val="BodyText"/>
        <w:spacing w:before="100"/>
        <w:rPr>
          <w:rFonts w:cs="Calibri"/>
          <w:lang w:eastAsia="en-GB"/>
        </w:rPr>
      </w:pPr>
      <w:r w:rsidRPr="00BE78CA">
        <w:rPr>
          <w:rFonts w:cs="Calibri"/>
          <w:lang w:eastAsia="en-GB"/>
        </w:rPr>
        <w:t xml:space="preserve">In </w:t>
      </w:r>
      <w:r w:rsidRPr="00BE78CA">
        <w:rPr>
          <w:rFonts w:cs="Calibri"/>
        </w:rPr>
        <w:t>2019</w:t>
      </w:r>
      <w:r w:rsidRPr="00BE78CA">
        <w:rPr>
          <w:rFonts w:cs="Calibri"/>
          <w:lang w:eastAsia="en-GB"/>
        </w:rPr>
        <w:t xml:space="preserve">, fugitive emissions from the </w:t>
      </w:r>
      <w:r w:rsidRPr="00BE78CA">
        <w:rPr>
          <w:rFonts w:cs="Calibri"/>
          <w:i/>
          <w:lang w:eastAsia="en-GB"/>
        </w:rPr>
        <w:t>Solid fuels</w:t>
      </w:r>
      <w:r w:rsidRPr="00BE78CA">
        <w:rPr>
          <w:rFonts w:cs="Calibri"/>
          <w:lang w:eastAsia="en-GB"/>
        </w:rPr>
        <w:t xml:space="preserve"> category accounted for </w:t>
      </w:r>
      <w:r w:rsidRPr="00BE78CA">
        <w:rPr>
          <w:rFonts w:cs="Calibri"/>
        </w:rPr>
        <w:t xml:space="preserve">135.3 </w:t>
      </w:r>
      <w:r w:rsidRPr="00BE78CA">
        <w:rPr>
          <w:rFonts w:cs="Calibri"/>
          <w:lang w:eastAsia="en-GB"/>
        </w:rPr>
        <w:t>kt CO</w:t>
      </w:r>
      <w:r w:rsidRPr="00BE78CA">
        <w:rPr>
          <w:rFonts w:cs="Calibri"/>
          <w:vertAlign w:val="subscript"/>
          <w:lang w:eastAsia="en-GB"/>
        </w:rPr>
        <w:t>2</w:t>
      </w:r>
      <w:r w:rsidRPr="00BE78CA">
        <w:rPr>
          <w:rFonts w:cs="Calibri"/>
          <w:lang w:eastAsia="en-GB"/>
        </w:rPr>
        <w:t>-e (</w:t>
      </w:r>
      <w:r w:rsidRPr="00BE78CA">
        <w:rPr>
          <w:rFonts w:cs="Calibri"/>
        </w:rPr>
        <w:t>7.8 per cent</w:t>
      </w:r>
      <w:r w:rsidRPr="00BE78CA">
        <w:rPr>
          <w:rFonts w:cs="Calibri"/>
          <w:lang w:eastAsia="en-GB"/>
        </w:rPr>
        <w:t xml:space="preserve">) of emissions from the </w:t>
      </w:r>
      <w:r w:rsidRPr="00BE78CA">
        <w:rPr>
          <w:rFonts w:cs="Calibri"/>
          <w:i/>
          <w:lang w:eastAsia="en-GB"/>
        </w:rPr>
        <w:t>Fugitive emissions</w:t>
      </w:r>
      <w:r w:rsidRPr="00BE78CA">
        <w:rPr>
          <w:rFonts w:cs="Calibri"/>
          <w:lang w:eastAsia="en-GB"/>
        </w:rPr>
        <w:t xml:space="preserve"> category. This is 192.9 kt CO</w:t>
      </w:r>
      <w:r w:rsidRPr="00BE78CA">
        <w:rPr>
          <w:rFonts w:cs="Calibri"/>
          <w:vertAlign w:val="subscript"/>
          <w:lang w:eastAsia="en-GB"/>
        </w:rPr>
        <w:t>2</w:t>
      </w:r>
      <w:r w:rsidRPr="00BE78CA">
        <w:rPr>
          <w:rFonts w:cs="Calibri"/>
          <w:lang w:eastAsia="en-GB"/>
        </w:rPr>
        <w:t>-e (</w:t>
      </w:r>
      <w:r w:rsidRPr="00BE78CA">
        <w:rPr>
          <w:rFonts w:cs="Calibri"/>
        </w:rPr>
        <w:t>58.8 per cent</w:t>
      </w:r>
      <w:r w:rsidRPr="00BE78CA">
        <w:rPr>
          <w:rFonts w:cs="Calibri"/>
          <w:lang w:eastAsia="en-GB"/>
        </w:rPr>
        <w:t xml:space="preserve">) lower than the </w:t>
      </w:r>
      <w:r w:rsidRPr="00BE78CA">
        <w:rPr>
          <w:rFonts w:cs="Calibri"/>
        </w:rPr>
        <w:t xml:space="preserve">328.2 </w:t>
      </w:r>
      <w:r w:rsidRPr="00BE78CA">
        <w:rPr>
          <w:rFonts w:cs="Calibri"/>
          <w:lang w:eastAsia="en-GB"/>
        </w:rPr>
        <w:t>kt CO</w:t>
      </w:r>
      <w:r w:rsidRPr="00BE78CA">
        <w:rPr>
          <w:rFonts w:cs="Calibri"/>
          <w:vertAlign w:val="subscript"/>
          <w:lang w:eastAsia="en-GB"/>
        </w:rPr>
        <w:t>2</w:t>
      </w:r>
      <w:r w:rsidRPr="00BE78CA">
        <w:rPr>
          <w:rFonts w:cs="Calibri"/>
          <w:lang w:eastAsia="en-GB"/>
        </w:rPr>
        <w:t>-e reported for 1990.</w:t>
      </w:r>
    </w:p>
    <w:p w14:paraId="30631521" w14:textId="7A07DEA2" w:rsidR="00706DD1" w:rsidRPr="00BE78CA" w:rsidRDefault="00706DD1" w:rsidP="00706DD1">
      <w:pPr>
        <w:pStyle w:val="BodyText"/>
        <w:spacing w:before="100"/>
        <w:rPr>
          <w:rFonts w:cs="Calibri"/>
          <w:lang w:eastAsia="en-GB"/>
        </w:rPr>
      </w:pPr>
      <w:r w:rsidRPr="00BE78CA">
        <w:rPr>
          <w:rFonts w:cs="Calibri"/>
          <w:lang w:eastAsia="en-GB"/>
        </w:rPr>
        <w:t xml:space="preserve">Between </w:t>
      </w:r>
      <w:r w:rsidRPr="00BE78CA">
        <w:rPr>
          <w:rFonts w:cs="Calibri"/>
        </w:rPr>
        <w:t xml:space="preserve">2018 </w:t>
      </w:r>
      <w:r w:rsidRPr="00BE78CA">
        <w:rPr>
          <w:rFonts w:cs="Calibri"/>
          <w:lang w:eastAsia="en-GB"/>
        </w:rPr>
        <w:t xml:space="preserve">and </w:t>
      </w:r>
      <w:r w:rsidRPr="00BE78CA">
        <w:rPr>
          <w:rFonts w:cs="Calibri"/>
        </w:rPr>
        <w:t>2019</w:t>
      </w:r>
      <w:r w:rsidRPr="00BE78CA">
        <w:rPr>
          <w:rFonts w:cs="Calibri"/>
          <w:lang w:eastAsia="en-GB"/>
        </w:rPr>
        <w:t xml:space="preserve">, fugitive emissions from the </w:t>
      </w:r>
      <w:r w:rsidRPr="00BE78CA">
        <w:rPr>
          <w:rFonts w:cs="Calibri"/>
          <w:i/>
          <w:lang w:eastAsia="en-GB"/>
        </w:rPr>
        <w:t>Solid fuels</w:t>
      </w:r>
      <w:r w:rsidRPr="00BE78CA">
        <w:rPr>
          <w:rFonts w:cs="Calibri"/>
          <w:lang w:eastAsia="en-GB"/>
        </w:rPr>
        <w:t xml:space="preserve"> category </w:t>
      </w:r>
      <w:r w:rsidRPr="00BE78CA">
        <w:rPr>
          <w:rFonts w:cs="Calibri"/>
        </w:rPr>
        <w:t>increased by 8.1 </w:t>
      </w:r>
      <w:r w:rsidRPr="00BE78CA">
        <w:rPr>
          <w:rFonts w:cs="Calibri"/>
          <w:lang w:eastAsia="en-GB"/>
        </w:rPr>
        <w:t>kt CO</w:t>
      </w:r>
      <w:r w:rsidRPr="00BE78CA">
        <w:rPr>
          <w:rFonts w:cs="Calibri"/>
          <w:vertAlign w:val="subscript"/>
          <w:lang w:eastAsia="en-GB"/>
        </w:rPr>
        <w:t>2</w:t>
      </w:r>
      <w:r w:rsidRPr="00BE78CA">
        <w:rPr>
          <w:rFonts w:cs="Calibri"/>
          <w:lang w:eastAsia="en-GB"/>
        </w:rPr>
        <w:t xml:space="preserve">-e (6.4 </w:t>
      </w:r>
      <w:r w:rsidRPr="00BE78CA">
        <w:rPr>
          <w:rFonts w:cs="Calibri"/>
        </w:rPr>
        <w:t>per cent</w:t>
      </w:r>
      <w:r w:rsidRPr="00BE78CA">
        <w:rPr>
          <w:rFonts w:cs="Calibri"/>
          <w:lang w:eastAsia="en-GB"/>
        </w:rPr>
        <w:t>). This occurred as a result of increased production from underground</w:t>
      </w:r>
      <w:r w:rsidR="00D97BF3" w:rsidRPr="00BE78CA">
        <w:rPr>
          <w:rFonts w:cs="Calibri"/>
          <w:lang w:eastAsia="en-GB"/>
        </w:rPr>
        <w:t> </w:t>
      </w:r>
      <w:r w:rsidRPr="00BE78CA">
        <w:rPr>
          <w:rFonts w:cs="Calibri"/>
          <w:lang w:eastAsia="en-GB"/>
        </w:rPr>
        <w:t>mines.</w:t>
      </w:r>
    </w:p>
    <w:p w14:paraId="642E713F" w14:textId="14B152F1" w:rsidR="00706DD1" w:rsidRPr="00BE78CA" w:rsidRDefault="00706DD1" w:rsidP="00706DD1">
      <w:pPr>
        <w:pStyle w:val="BodyText"/>
        <w:spacing w:before="100"/>
        <w:rPr>
          <w:rFonts w:cs="Calibri"/>
          <w:lang w:eastAsia="en-GB"/>
        </w:rPr>
      </w:pPr>
      <w:r w:rsidRPr="00BE78CA">
        <w:rPr>
          <w:rFonts w:cs="Calibri"/>
          <w:lang w:eastAsia="en-GB"/>
        </w:rPr>
        <w:t xml:space="preserve">New Zealand’s fugitive emissions from the </w:t>
      </w:r>
      <w:r w:rsidRPr="00BE78CA">
        <w:rPr>
          <w:rFonts w:cs="Calibri"/>
          <w:i/>
          <w:lang w:eastAsia="en-GB"/>
        </w:rPr>
        <w:t>Solid fuels</w:t>
      </w:r>
      <w:r w:rsidRPr="00BE78CA">
        <w:rPr>
          <w:rFonts w:cs="Calibri"/>
          <w:lang w:eastAsia="en-GB"/>
        </w:rPr>
        <w:t xml:space="preserve"> category are a by-product of coal mining operations. Methane is created during coal formation. The amount of </w:t>
      </w:r>
      <w:r w:rsidRPr="00BE78CA">
        <w:rPr>
          <w:rFonts w:cs="Calibri"/>
        </w:rPr>
        <w:t>CH</w:t>
      </w:r>
      <w:r w:rsidRPr="00BE78CA">
        <w:rPr>
          <w:rFonts w:cs="Calibri"/>
          <w:vertAlign w:val="subscript"/>
        </w:rPr>
        <w:t>4</w:t>
      </w:r>
      <w:r w:rsidRPr="00BE78CA">
        <w:rPr>
          <w:rFonts w:cs="Calibri"/>
          <w:lang w:eastAsia="en-GB"/>
        </w:rPr>
        <w:t xml:space="preserve"> released during coal mining is dependent on the coal grade and the depth of the coal seam. This includes the emissions from post-underground mining activities such as coal processing, transportation and use. In </w:t>
      </w:r>
      <w:r w:rsidRPr="00BE78CA">
        <w:rPr>
          <w:rFonts w:cs="Calibri"/>
        </w:rPr>
        <w:t>2019</w:t>
      </w:r>
      <w:r w:rsidRPr="00BE78CA">
        <w:rPr>
          <w:rFonts w:cs="Calibri"/>
          <w:lang w:eastAsia="en-GB"/>
        </w:rPr>
        <w:t>, New Zealand coal production was 3 million tonnes, similar to production levels over 2016 to 2018. F</w:t>
      </w:r>
      <w:r w:rsidRPr="00BE78CA">
        <w:rPr>
          <w:rFonts w:cs="Calibri"/>
        </w:rPr>
        <w:t>ewer than 20 active coal mines are operating New Zealand; as of</w:t>
      </w:r>
      <w:r w:rsidR="00D97BF3" w:rsidRPr="00BE78CA">
        <w:rPr>
          <w:rFonts w:cs="Calibri"/>
        </w:rPr>
        <w:t> </w:t>
      </w:r>
      <w:r w:rsidRPr="00BE78CA">
        <w:rPr>
          <w:rFonts w:cs="Calibri"/>
        </w:rPr>
        <w:t>2020, none are underground. The two largest open-cast operations, at Stockton and Rotowaro, account for the majority of national production. For further information and data</w:t>
      </w:r>
      <w:r w:rsidR="00D97BF3" w:rsidRPr="00BE78CA">
        <w:rPr>
          <w:rFonts w:cs="Calibri"/>
        </w:rPr>
        <w:t> </w:t>
      </w:r>
      <w:r w:rsidRPr="00BE78CA">
        <w:rPr>
          <w:rFonts w:cs="Calibri"/>
        </w:rPr>
        <w:t xml:space="preserve">on the coal mining industry, refer to </w:t>
      </w:r>
      <w:r w:rsidRPr="00BE78CA">
        <w:rPr>
          <w:rFonts w:cs="Calibri"/>
          <w:i/>
        </w:rPr>
        <w:t>Energy in New Zealand</w:t>
      </w:r>
      <w:r w:rsidRPr="00BE78CA">
        <w:rPr>
          <w:rFonts w:cs="Calibri"/>
        </w:rPr>
        <w:t xml:space="preserve"> (MBIE, 2020).</w:t>
      </w:r>
    </w:p>
    <w:p w14:paraId="64BB6B0E" w14:textId="12DDBE58" w:rsidR="00706DD1" w:rsidRPr="00BE78CA" w:rsidRDefault="00706DD1" w:rsidP="00706DD1">
      <w:pPr>
        <w:pStyle w:val="BodyText"/>
        <w:spacing w:before="100"/>
        <w:rPr>
          <w:rFonts w:cs="Calibri"/>
          <w:lang w:eastAsia="en-GB"/>
        </w:rPr>
      </w:pPr>
      <w:r w:rsidRPr="00BE78CA">
        <w:rPr>
          <w:rFonts w:cs="Calibri"/>
          <w:lang w:eastAsia="en-GB"/>
        </w:rPr>
        <w:t xml:space="preserve">At the end of </w:t>
      </w:r>
      <w:r w:rsidRPr="00BE78CA">
        <w:rPr>
          <w:rFonts w:cs="Calibri"/>
        </w:rPr>
        <w:t>2019</w:t>
      </w:r>
      <w:r w:rsidRPr="00BE78CA">
        <w:rPr>
          <w:rFonts w:cs="Calibri"/>
          <w:lang w:eastAsia="en-GB"/>
        </w:rPr>
        <w:t xml:space="preserve">, no known flaring or capture of </w:t>
      </w:r>
      <w:r w:rsidRPr="00BE78CA">
        <w:rPr>
          <w:rFonts w:cs="Calibri"/>
        </w:rPr>
        <w:t>CH</w:t>
      </w:r>
      <w:r w:rsidRPr="00BE78CA">
        <w:rPr>
          <w:rFonts w:cs="Calibri"/>
          <w:vertAlign w:val="subscript"/>
        </w:rPr>
        <w:t>4</w:t>
      </w:r>
      <w:r w:rsidRPr="00BE78CA">
        <w:rPr>
          <w:rFonts w:cs="Calibri"/>
        </w:rPr>
        <w:t xml:space="preserve"> was occurring </w:t>
      </w:r>
      <w:r w:rsidRPr="00BE78CA">
        <w:rPr>
          <w:rFonts w:cs="Calibri"/>
          <w:lang w:eastAsia="en-GB"/>
        </w:rPr>
        <w:t>at coal mines in New</w:t>
      </w:r>
      <w:r w:rsidR="00D97BF3" w:rsidRPr="00BE78CA">
        <w:rPr>
          <w:rFonts w:cs="Calibri"/>
          <w:lang w:eastAsia="en-GB"/>
        </w:rPr>
        <w:t> </w:t>
      </w:r>
      <w:r w:rsidRPr="00BE78CA">
        <w:rPr>
          <w:rFonts w:cs="Calibri"/>
          <w:lang w:eastAsia="en-GB"/>
        </w:rPr>
        <w:t>Zealand. Pilot schemes of both coal seam gas and underground coal gasification began</w:t>
      </w:r>
      <w:r w:rsidR="00D97BF3" w:rsidRPr="00BE78CA">
        <w:rPr>
          <w:rFonts w:cs="Calibri"/>
          <w:lang w:eastAsia="en-GB"/>
        </w:rPr>
        <w:t> </w:t>
      </w:r>
      <w:r w:rsidRPr="00BE78CA">
        <w:rPr>
          <w:rFonts w:cs="Calibri"/>
          <w:lang w:eastAsia="en-GB"/>
        </w:rPr>
        <w:t>in</w:t>
      </w:r>
      <w:r w:rsidR="00D97BF3" w:rsidRPr="00BE78CA">
        <w:rPr>
          <w:rFonts w:cs="Calibri"/>
          <w:lang w:eastAsia="en-GB"/>
        </w:rPr>
        <w:t> </w:t>
      </w:r>
      <w:r w:rsidRPr="00BE78CA">
        <w:rPr>
          <w:rFonts w:cs="Calibri"/>
          <w:lang w:eastAsia="en-GB"/>
        </w:rPr>
        <w:t>2012, but these projects have not progressed.</w:t>
      </w:r>
    </w:p>
    <w:p w14:paraId="0506EAE1" w14:textId="77777777" w:rsidR="00706DD1" w:rsidRPr="00BE78CA" w:rsidRDefault="00706DD1" w:rsidP="00706DD1">
      <w:pPr>
        <w:pStyle w:val="Heading4"/>
        <w:rPr>
          <w:lang w:eastAsia="en-GB"/>
        </w:rPr>
      </w:pPr>
      <w:r w:rsidRPr="00BE78CA">
        <w:rPr>
          <w:lang w:eastAsia="en-GB"/>
        </w:rPr>
        <w:lastRenderedPageBreak/>
        <w:t>Methodological issues</w:t>
      </w:r>
    </w:p>
    <w:p w14:paraId="756D77B3" w14:textId="70C1BAAE" w:rsidR="00706DD1" w:rsidRPr="00BE78CA" w:rsidRDefault="00706DD1" w:rsidP="009077FD">
      <w:pPr>
        <w:pStyle w:val="BodyText"/>
        <w:spacing w:after="100"/>
        <w:rPr>
          <w:rFonts w:cs="Calibri"/>
          <w:lang w:eastAsia="ko-KR"/>
        </w:rPr>
      </w:pPr>
      <w:r w:rsidRPr="00BE78CA">
        <w:rPr>
          <w:rFonts w:cs="Calibri"/>
          <w:lang w:eastAsia="en-GB"/>
        </w:rPr>
        <w:t>The New Zealand-specific emission factor for underground mining of sub-bituminous coal</w:t>
      </w:r>
      <w:r w:rsidR="00F03949" w:rsidRPr="00BE78CA">
        <w:rPr>
          <w:rFonts w:cs="Calibri"/>
          <w:lang w:eastAsia="en-GB"/>
        </w:rPr>
        <w:t> </w:t>
      </w:r>
      <w:r w:rsidRPr="00BE78CA">
        <w:rPr>
          <w:rFonts w:cs="Calibri"/>
          <w:lang w:eastAsia="en-GB"/>
        </w:rPr>
        <w:t xml:space="preserve">is used to calculate </w:t>
      </w:r>
      <w:r w:rsidRPr="00BE78CA">
        <w:rPr>
          <w:rFonts w:cs="Calibri"/>
        </w:rPr>
        <w:t>CH</w:t>
      </w:r>
      <w:r w:rsidRPr="00BE78CA">
        <w:rPr>
          <w:rFonts w:cs="Calibri"/>
          <w:vertAlign w:val="subscript"/>
        </w:rPr>
        <w:t>4</w:t>
      </w:r>
      <w:r w:rsidRPr="00BE78CA">
        <w:rPr>
          <w:rFonts w:cs="Calibri"/>
          <w:sz w:val="14"/>
          <w:szCs w:val="14"/>
          <w:lang w:eastAsia="en-GB"/>
        </w:rPr>
        <w:t xml:space="preserve"> </w:t>
      </w:r>
      <w:r w:rsidRPr="00BE78CA">
        <w:rPr>
          <w:rFonts w:cs="Calibri"/>
          <w:lang w:eastAsia="en-GB"/>
        </w:rPr>
        <w:t>emissions (Beamish and Vance, 1992). T</w:t>
      </w:r>
      <w:r w:rsidRPr="00BE78CA">
        <w:rPr>
          <w:rFonts w:cs="Calibri"/>
          <w:lang w:eastAsia="ko-KR"/>
        </w:rPr>
        <w:t>he sub-bituminous emission factor (EF) derived from Beamish and Vance is considered to be reliable because the</w:t>
      </w:r>
      <w:r w:rsidR="00F03949" w:rsidRPr="00BE78CA">
        <w:rPr>
          <w:rFonts w:cs="Calibri"/>
          <w:lang w:eastAsia="ko-KR"/>
        </w:rPr>
        <w:t> </w:t>
      </w:r>
      <w:r w:rsidRPr="00BE78CA">
        <w:rPr>
          <w:rFonts w:cs="Calibri"/>
          <w:lang w:eastAsia="ko-KR"/>
        </w:rPr>
        <w:t>EF</w:t>
      </w:r>
      <w:r w:rsidR="00F03949" w:rsidRPr="00BE78CA">
        <w:rPr>
          <w:rFonts w:cs="Calibri"/>
          <w:lang w:eastAsia="ko-KR"/>
        </w:rPr>
        <w:t> </w:t>
      </w:r>
      <w:r w:rsidRPr="00BE78CA">
        <w:rPr>
          <w:rFonts w:cs="Calibri"/>
          <w:lang w:eastAsia="ko-KR"/>
        </w:rPr>
        <w:t>(12.1 t/kt) is:</w:t>
      </w:r>
    </w:p>
    <w:p w14:paraId="0396168D" w14:textId="77777777" w:rsidR="00706DD1" w:rsidRPr="00BE78CA" w:rsidRDefault="00706DD1" w:rsidP="009077FD">
      <w:pPr>
        <w:pStyle w:val="Sub-lista"/>
        <w:spacing w:after="100"/>
      </w:pPr>
      <w:r w:rsidRPr="00BE78CA">
        <w:t>well within the 2006 IPCC default range of 6.7–16.75 t/kt</w:t>
      </w:r>
    </w:p>
    <w:p w14:paraId="2FEBD0E7" w14:textId="77777777" w:rsidR="00706DD1" w:rsidRPr="00BE78CA" w:rsidRDefault="00706DD1" w:rsidP="009077FD">
      <w:pPr>
        <w:pStyle w:val="Sub-lista"/>
        <w:spacing w:after="100"/>
      </w:pPr>
      <w:r w:rsidRPr="00BE78CA">
        <w:t>largely based on data for the most significant sub-bituminous coal mine in New Zealand (Huntly East mine), which has continued production since 1988 and has remained the most significant producing mine.</w:t>
      </w:r>
    </w:p>
    <w:p w14:paraId="04B9F1CF" w14:textId="17CD396F" w:rsidR="00706DD1" w:rsidRPr="00BE78CA" w:rsidRDefault="00706DD1" w:rsidP="009077FD">
      <w:pPr>
        <w:pStyle w:val="BodyText"/>
        <w:spacing w:after="100"/>
        <w:rPr>
          <w:rFonts w:cs="Calibri"/>
          <w:lang w:eastAsia="ko-KR"/>
        </w:rPr>
      </w:pPr>
      <w:r w:rsidRPr="00BE78CA">
        <w:rPr>
          <w:rFonts w:cs="Calibri"/>
          <w:lang w:eastAsia="ko-KR"/>
        </w:rPr>
        <w:t>The EF for underground mining of bituminous coal is taken from the 2006 IPCC Guidelines. It is</w:t>
      </w:r>
      <w:r w:rsidR="00F03949" w:rsidRPr="00BE78CA">
        <w:rPr>
          <w:rFonts w:cs="Calibri"/>
          <w:lang w:eastAsia="ko-KR"/>
        </w:rPr>
        <w:t> </w:t>
      </w:r>
      <w:r w:rsidRPr="00BE78CA">
        <w:rPr>
          <w:rFonts w:cs="Calibri"/>
          <w:lang w:eastAsia="ko-KR"/>
        </w:rPr>
        <w:t>noted that any bituminous EF derived from Beamish and Vance (1992) would not be reliable, and should not be used, for the following reasons.</w:t>
      </w:r>
    </w:p>
    <w:p w14:paraId="6C7E350A" w14:textId="77777777" w:rsidR="00706DD1" w:rsidRPr="00BE78CA" w:rsidRDefault="00706DD1" w:rsidP="00FA2314">
      <w:pPr>
        <w:pStyle w:val="Sub-lista"/>
        <w:numPr>
          <w:ilvl w:val="0"/>
          <w:numId w:val="28"/>
        </w:numPr>
        <w:spacing w:after="100"/>
      </w:pPr>
      <w:r w:rsidRPr="00BE78CA">
        <w:t>The derived EF (35.28 t CH</w:t>
      </w:r>
      <w:r w:rsidRPr="00BE78CA">
        <w:rPr>
          <w:vertAlign w:val="subscript"/>
        </w:rPr>
        <w:t>4</w:t>
      </w:r>
      <w:r w:rsidRPr="00BE78CA">
        <w:t>/kt) is more than double the high default 2006 IPCC value. Using such an EF that is so far out of line with the default values would require a strong justification.</w:t>
      </w:r>
    </w:p>
    <w:p w14:paraId="40C5AC3B" w14:textId="77777777" w:rsidR="00706DD1" w:rsidRPr="00BE78CA" w:rsidRDefault="00706DD1" w:rsidP="009077FD">
      <w:pPr>
        <w:pStyle w:val="Sub-lista"/>
        <w:spacing w:after="100"/>
      </w:pPr>
      <w:r w:rsidRPr="00BE78CA">
        <w:t>New Zealand already has the highest implied EF for underground mining among Annex I Parties. Dramatically increasing the EF further still would not be in the interests of comparability.</w:t>
      </w:r>
    </w:p>
    <w:p w14:paraId="7A6D26FA" w14:textId="77777777" w:rsidR="00706DD1" w:rsidRPr="00BE78CA" w:rsidRDefault="00706DD1" w:rsidP="009077FD">
      <w:pPr>
        <w:pStyle w:val="Sub-lista"/>
        <w:spacing w:after="100"/>
      </w:pPr>
      <w:r w:rsidRPr="00BE78CA">
        <w:t>The bituminous data are based on production (in 1988) of only 125 kt and so represent a very small sample size (compared with the sub-bituminous mines, where the data are based on production of 655 kt). The small sample size significantly increases the uncertainty.</w:t>
      </w:r>
    </w:p>
    <w:p w14:paraId="487D32F7" w14:textId="77777777" w:rsidR="00706DD1" w:rsidRPr="00BE78CA" w:rsidRDefault="00706DD1" w:rsidP="00706DD1">
      <w:pPr>
        <w:pStyle w:val="Sub-lista"/>
      </w:pPr>
      <w:r w:rsidRPr="00BE78CA">
        <w:t>Beamish and Vance’s study is based on data from 1988, for just eight bituminous coal mines. These data are out of date, because all of these mines are no longer producing, and bituminous coal production comes from entirely different underground mines, to which the suggested EFs may not be applicable.</w:t>
      </w:r>
    </w:p>
    <w:p w14:paraId="0619082C" w14:textId="77777777" w:rsidR="00706DD1" w:rsidRPr="00BE78CA" w:rsidRDefault="00706DD1" w:rsidP="00706DD1">
      <w:pPr>
        <w:pStyle w:val="BodyText"/>
        <w:rPr>
          <w:rFonts w:cs="Calibri"/>
          <w:lang w:eastAsia="en-GB"/>
        </w:rPr>
      </w:pPr>
      <w:r w:rsidRPr="00BE78CA">
        <w:rPr>
          <w:rFonts w:cs="Calibri"/>
          <w:lang w:eastAsia="en-GB"/>
        </w:rPr>
        <w:t>Emission factors for the other subcategories, for example, surface mining, are sourced from the 2006 IPCC Guidelines.</w:t>
      </w:r>
    </w:p>
    <w:p w14:paraId="095B3CAE" w14:textId="77777777" w:rsidR="00706DD1" w:rsidRPr="00BE78CA" w:rsidRDefault="00706DD1" w:rsidP="00706DD1">
      <w:pPr>
        <w:pStyle w:val="Heading5"/>
        <w:rPr>
          <w:rFonts w:cs="Calibri"/>
          <w:lang w:eastAsia="en-GB"/>
        </w:rPr>
      </w:pPr>
      <w:r w:rsidRPr="00BE78CA">
        <w:rPr>
          <w:rFonts w:cs="Calibri"/>
          <w:lang w:eastAsia="en-GB"/>
        </w:rPr>
        <w:t>Activity data</w:t>
      </w:r>
    </w:p>
    <w:p w14:paraId="0C3397A3" w14:textId="77777777" w:rsidR="00706DD1" w:rsidRPr="00BE78CA" w:rsidRDefault="00706DD1" w:rsidP="00706DD1">
      <w:pPr>
        <w:pStyle w:val="BodyText"/>
        <w:rPr>
          <w:rFonts w:cs="Calibri"/>
          <w:lang w:eastAsia="en-GB"/>
        </w:rPr>
      </w:pPr>
      <w:r w:rsidRPr="00BE78CA">
        <w:rPr>
          <w:rFonts w:cs="Calibri"/>
          <w:lang w:eastAsia="en-GB"/>
        </w:rPr>
        <w:t>Activity data for this category are collected from MBIE’s coal production survey. This survey gathers quarterly data on coal production by mine type (underground and/or surface) and rank (coking, bituminous, sub-bituminous, lignite).</w:t>
      </w:r>
    </w:p>
    <w:p w14:paraId="324CF313" w14:textId="77777777" w:rsidR="00706DD1" w:rsidRPr="00BE78CA" w:rsidRDefault="00706DD1" w:rsidP="00706DD1">
      <w:pPr>
        <w:pStyle w:val="Heading5"/>
        <w:rPr>
          <w:rFonts w:cs="Calibri"/>
          <w:lang w:eastAsia="en-GB"/>
        </w:rPr>
      </w:pPr>
      <w:r w:rsidRPr="00BE78CA">
        <w:rPr>
          <w:rFonts w:cs="Calibri"/>
          <w:lang w:eastAsia="en-GB"/>
        </w:rPr>
        <w:t>Abandoned underground mines (1.B.1.a.1.iii)</w:t>
      </w:r>
    </w:p>
    <w:p w14:paraId="4D15F5D8" w14:textId="77777777" w:rsidR="00706DD1" w:rsidRPr="00BE78CA" w:rsidRDefault="00706DD1" w:rsidP="009077FD">
      <w:pPr>
        <w:pStyle w:val="BodyText"/>
        <w:spacing w:before="100" w:after="100"/>
      </w:pPr>
      <w:r w:rsidRPr="00BE78CA">
        <w:rPr>
          <w:rFonts w:cs="Calibri"/>
          <w:lang w:eastAsia="en-GB"/>
        </w:rPr>
        <w:t xml:space="preserve">MBIE has been conducting an investigation (including seeking expert advice) to ascertain whether or not activity in this category is occurring. According to the 2006 IPCC Guidelines, mines of only a few acres in size should be disregarded, and, additionally, non-gassy mines and flooded mines are presumed to have negligible emissions. Most New Zealand mines are small by European standards and can be disregarded. The first stage of the project was completed in 2016 and concluded that the activity is not occurring (NO) in the North Island: details are given in table 3.4.2. The second stage of the project, focusing on collating and digitising mine data for the South Island, commenced in December 2019 and is ongoing. Progress has been made in identifying old mines from historical mine records, and for some of those we have coordinates that will allow an assessment of whether they are flooded or not and the years they were operated. However, the data still requires significant manual processing before it </w:t>
      </w:r>
      <w:r w:rsidRPr="00BE78CA">
        <w:rPr>
          <w:rFonts w:cs="Calibri"/>
          <w:lang w:eastAsia="en-GB"/>
        </w:rPr>
        <w:lastRenderedPageBreak/>
        <w:t xml:space="preserve">will be usable for a meaningful assessment of fugitive emissions. Further progress will be reported in the 2022 submission. A mine plans database has been made available online </w:t>
      </w:r>
      <w:r w:rsidRPr="00BE78CA">
        <w:t>(</w:t>
      </w:r>
      <w:hyperlink r:id="rId76" w:history="1">
        <w:r w:rsidRPr="00BE78CA">
          <w:t>www.nzpam.govt.nz/maps-geoscience/nz-mine-plans</w:t>
        </w:r>
      </w:hyperlink>
      <w:r w:rsidRPr="00BE78CA">
        <w:t>), although this is still a work in progress.</w:t>
      </w:r>
    </w:p>
    <w:p w14:paraId="5E85466B" w14:textId="77777777" w:rsidR="00706DD1" w:rsidRPr="00BE78CA" w:rsidRDefault="00706DD1" w:rsidP="009077FD">
      <w:pPr>
        <w:pStyle w:val="BodyText"/>
        <w:spacing w:before="100" w:after="100"/>
        <w:rPr>
          <w:rFonts w:cs="Calibri"/>
          <w:lang w:eastAsia="en-GB"/>
        </w:rPr>
      </w:pPr>
      <w:r w:rsidRPr="00BE78CA">
        <w:rPr>
          <w:rFonts w:cs="Calibri"/>
          <w:lang w:eastAsia="en-GB"/>
        </w:rPr>
        <w:t>Activity data in the form of CH</w:t>
      </w:r>
      <w:r w:rsidRPr="00BE78CA">
        <w:rPr>
          <w:rFonts w:cs="Calibri"/>
          <w:vertAlign w:val="subscript"/>
          <w:lang w:eastAsia="en-GB"/>
        </w:rPr>
        <w:t>4</w:t>
      </w:r>
      <w:r w:rsidRPr="00BE78CA">
        <w:rPr>
          <w:rFonts w:cs="Calibri"/>
          <w:lang w:eastAsia="en-GB"/>
        </w:rPr>
        <w:t xml:space="preserve"> output derived from mine ventilation measurements have been obtained from mine operators for those mines where data exist. Those mines have now closed and are flooded. Source-specific details are not provided so as to maintain confidentiality. Recovery and/or flaring of CH</w:t>
      </w:r>
      <w:r w:rsidRPr="00BE78CA">
        <w:rPr>
          <w:rFonts w:cs="Calibri"/>
          <w:vertAlign w:val="subscript"/>
          <w:lang w:eastAsia="en-GB"/>
        </w:rPr>
        <w:t>4</w:t>
      </w:r>
      <w:r w:rsidRPr="00BE78CA">
        <w:rPr>
          <w:rFonts w:cs="Calibri"/>
          <w:lang w:eastAsia="en-GB"/>
        </w:rPr>
        <w:t xml:space="preserve"> from abandoned mines does not occur.</w:t>
      </w:r>
    </w:p>
    <w:p w14:paraId="39EB66BD" w14:textId="77777777" w:rsidR="00706DD1" w:rsidRPr="00BE78CA" w:rsidRDefault="00706DD1" w:rsidP="00706DD1">
      <w:pPr>
        <w:pStyle w:val="Table"/>
        <w:rPr>
          <w:rFonts w:cs="Calibri"/>
          <w:iCs/>
          <w:lang w:eastAsia="en-GB"/>
        </w:rPr>
      </w:pPr>
      <w:bookmarkStart w:id="358" w:name="_Toc443060848"/>
      <w:bookmarkStart w:id="359" w:name="_Toc451176064"/>
      <w:bookmarkStart w:id="360" w:name="_Toc481751490"/>
      <w:bookmarkStart w:id="361" w:name="_Toc507496593"/>
      <w:bookmarkStart w:id="362" w:name="_Toc36224527"/>
      <w:bookmarkStart w:id="363" w:name="_Toc68786414"/>
      <w:r w:rsidRPr="00BE78CA">
        <w:rPr>
          <w:rFonts w:cs="Calibri"/>
        </w:rPr>
        <w:t xml:space="preserve">Table 3.4.2 </w:t>
      </w:r>
      <w:r w:rsidRPr="00BE78CA">
        <w:rPr>
          <w:rFonts w:cs="Calibri"/>
        </w:rPr>
        <w:tab/>
        <w:t>Details of abandoned underground mines in the North Island</w:t>
      </w:r>
      <w:bookmarkEnd w:id="358"/>
      <w:bookmarkEnd w:id="359"/>
      <w:bookmarkEnd w:id="360"/>
      <w:bookmarkEnd w:id="361"/>
      <w:bookmarkEnd w:id="362"/>
      <w:bookmarkEnd w:id="363"/>
      <w:r w:rsidRPr="00BE78CA">
        <w:rPr>
          <w:rFonts w:cs="Calibri"/>
          <w:iCs/>
          <w:lang w:eastAsia="en-GB"/>
        </w:rPr>
        <w:t xml:space="preserve"> </w:t>
      </w:r>
    </w:p>
    <w:tbl>
      <w:tblPr>
        <w:tblW w:w="8505" w:type="dxa"/>
        <w:tblBorders>
          <w:top w:val="single" w:sz="4" w:space="0" w:color="365F91"/>
          <w:bottom w:val="single" w:sz="4" w:space="0" w:color="365F91"/>
          <w:insideH w:val="single" w:sz="4" w:space="0" w:color="365F91"/>
        </w:tblBorders>
        <w:tblLayout w:type="fixed"/>
        <w:tblCellMar>
          <w:right w:w="85" w:type="dxa"/>
        </w:tblCellMar>
        <w:tblLook w:val="04A0" w:firstRow="1" w:lastRow="0" w:firstColumn="1" w:lastColumn="0" w:noHBand="0" w:noVBand="1"/>
      </w:tblPr>
      <w:tblGrid>
        <w:gridCol w:w="1557"/>
        <w:gridCol w:w="1645"/>
        <w:gridCol w:w="5303"/>
      </w:tblGrid>
      <w:tr w:rsidR="00706DD1" w:rsidRPr="00BE78CA" w14:paraId="3561C3EB" w14:textId="77777777" w:rsidTr="009077FD">
        <w:trPr>
          <w:cantSplit/>
        </w:trPr>
        <w:tc>
          <w:tcPr>
            <w:tcW w:w="1474" w:type="dxa"/>
            <w:shd w:val="clear" w:color="auto" w:fill="365F91"/>
            <w:vAlign w:val="bottom"/>
          </w:tcPr>
          <w:p w14:paraId="16D141C5" w14:textId="77777777" w:rsidR="00706DD1" w:rsidRPr="00BE78CA" w:rsidRDefault="00706DD1" w:rsidP="00C26084">
            <w:pPr>
              <w:pStyle w:val="TableTextBold"/>
              <w:keepNext/>
              <w:spacing w:before="40" w:after="40"/>
              <w:rPr>
                <w:rFonts w:cs="Calibri"/>
                <w:noProof w:val="0"/>
                <w:color w:val="FFFFFF"/>
              </w:rPr>
            </w:pPr>
            <w:r w:rsidRPr="00BE78CA">
              <w:rPr>
                <w:rFonts w:cs="Calibri"/>
                <w:noProof w:val="0"/>
                <w:color w:val="FFFFFF"/>
              </w:rPr>
              <w:t>Region/coalfield</w:t>
            </w:r>
          </w:p>
        </w:tc>
        <w:tc>
          <w:tcPr>
            <w:tcW w:w="1557" w:type="dxa"/>
            <w:shd w:val="clear" w:color="auto" w:fill="365F91"/>
            <w:vAlign w:val="bottom"/>
          </w:tcPr>
          <w:p w14:paraId="74D4E5A0" w14:textId="77777777" w:rsidR="00706DD1" w:rsidRPr="00BE78CA" w:rsidRDefault="00706DD1" w:rsidP="00C26084">
            <w:pPr>
              <w:pStyle w:val="TableTextBold"/>
              <w:spacing w:before="40" w:after="40"/>
              <w:rPr>
                <w:rFonts w:cs="Calibri"/>
                <w:noProof w:val="0"/>
                <w:color w:val="FFFFFF"/>
              </w:rPr>
            </w:pPr>
            <w:r w:rsidRPr="00BE78CA">
              <w:rPr>
                <w:rFonts w:cs="Calibri"/>
                <w:noProof w:val="0"/>
                <w:color w:val="FFFFFF"/>
              </w:rPr>
              <w:t>Significant mine</w:t>
            </w:r>
          </w:p>
        </w:tc>
        <w:tc>
          <w:tcPr>
            <w:tcW w:w="5019" w:type="dxa"/>
            <w:shd w:val="clear" w:color="auto" w:fill="365F91"/>
            <w:vAlign w:val="bottom"/>
          </w:tcPr>
          <w:p w14:paraId="267A1AC5" w14:textId="77777777" w:rsidR="00706DD1" w:rsidRPr="00BE78CA" w:rsidRDefault="00706DD1" w:rsidP="00C26084">
            <w:pPr>
              <w:pStyle w:val="TableTextBold"/>
              <w:spacing w:before="40" w:after="40"/>
              <w:rPr>
                <w:rFonts w:cs="Calibri"/>
                <w:noProof w:val="0"/>
                <w:color w:val="FFFFFF"/>
              </w:rPr>
            </w:pPr>
            <w:r w:rsidRPr="00BE78CA">
              <w:rPr>
                <w:rFonts w:cs="Calibri"/>
                <w:noProof w:val="0"/>
                <w:color w:val="FFFFFF"/>
              </w:rPr>
              <w:t>Status</w:t>
            </w:r>
          </w:p>
        </w:tc>
      </w:tr>
      <w:tr w:rsidR="00706DD1" w:rsidRPr="00BE78CA" w14:paraId="0859C531" w14:textId="77777777" w:rsidTr="009077FD">
        <w:trPr>
          <w:cantSplit/>
          <w:trHeight w:val="250"/>
        </w:trPr>
        <w:tc>
          <w:tcPr>
            <w:tcW w:w="1474" w:type="dxa"/>
            <w:tcBorders>
              <w:bottom w:val="single" w:sz="4" w:space="0" w:color="365F91"/>
            </w:tcBorders>
          </w:tcPr>
          <w:p w14:paraId="02A5EBBC" w14:textId="77777777" w:rsidR="00706DD1" w:rsidRPr="00BE78CA" w:rsidRDefault="00706DD1" w:rsidP="00C26084">
            <w:pPr>
              <w:pStyle w:val="TableText"/>
              <w:keepNext/>
              <w:spacing w:before="40" w:after="40"/>
              <w:rPr>
                <w:rFonts w:cs="Calibri"/>
              </w:rPr>
            </w:pPr>
            <w:r w:rsidRPr="00BE78CA">
              <w:rPr>
                <w:rFonts w:cs="Calibri"/>
              </w:rPr>
              <w:t>Northland</w:t>
            </w:r>
          </w:p>
        </w:tc>
        <w:tc>
          <w:tcPr>
            <w:tcW w:w="1557" w:type="dxa"/>
          </w:tcPr>
          <w:p w14:paraId="32514B36" w14:textId="77777777" w:rsidR="00706DD1" w:rsidRPr="00BE78CA" w:rsidRDefault="00706DD1" w:rsidP="00C26084">
            <w:pPr>
              <w:pStyle w:val="TableText"/>
              <w:spacing w:before="40" w:after="40"/>
              <w:rPr>
                <w:rFonts w:cs="Calibri"/>
              </w:rPr>
            </w:pPr>
            <w:r w:rsidRPr="00BE78CA">
              <w:rPr>
                <w:rFonts w:cs="Calibri"/>
              </w:rPr>
              <w:t>Kamo</w:t>
            </w:r>
          </w:p>
        </w:tc>
        <w:tc>
          <w:tcPr>
            <w:tcW w:w="5019" w:type="dxa"/>
          </w:tcPr>
          <w:p w14:paraId="73BF2E22" w14:textId="77777777" w:rsidR="00706DD1" w:rsidRPr="00BE78CA" w:rsidRDefault="00706DD1" w:rsidP="00C26084">
            <w:pPr>
              <w:pStyle w:val="TableText"/>
              <w:spacing w:before="40" w:after="40"/>
              <w:rPr>
                <w:rFonts w:cs="Calibri"/>
              </w:rPr>
            </w:pPr>
            <w:r w:rsidRPr="00BE78CA">
              <w:rPr>
                <w:rFonts w:cs="Calibri"/>
              </w:rPr>
              <w:t>Only one significant mine; flooded</w:t>
            </w:r>
          </w:p>
        </w:tc>
      </w:tr>
      <w:tr w:rsidR="00706DD1" w:rsidRPr="00BE78CA" w14:paraId="469649A6" w14:textId="77777777" w:rsidTr="009077FD">
        <w:trPr>
          <w:cantSplit/>
        </w:trPr>
        <w:tc>
          <w:tcPr>
            <w:tcW w:w="1474" w:type="dxa"/>
            <w:tcBorders>
              <w:bottom w:val="nil"/>
            </w:tcBorders>
          </w:tcPr>
          <w:p w14:paraId="76EE9F92" w14:textId="77777777" w:rsidR="00706DD1" w:rsidRPr="00BE78CA" w:rsidRDefault="00706DD1" w:rsidP="00C26084">
            <w:pPr>
              <w:pStyle w:val="TableText"/>
              <w:spacing w:before="40" w:after="40"/>
              <w:rPr>
                <w:rFonts w:cs="Calibri"/>
              </w:rPr>
            </w:pPr>
            <w:r w:rsidRPr="00BE78CA">
              <w:rPr>
                <w:rFonts w:cs="Calibri"/>
              </w:rPr>
              <w:t>Waikato</w:t>
            </w:r>
          </w:p>
        </w:tc>
        <w:tc>
          <w:tcPr>
            <w:tcW w:w="1557" w:type="dxa"/>
          </w:tcPr>
          <w:p w14:paraId="3B6C9BC6" w14:textId="77777777" w:rsidR="00706DD1" w:rsidRPr="00BE78CA" w:rsidRDefault="00706DD1" w:rsidP="00C26084">
            <w:pPr>
              <w:pStyle w:val="TableText"/>
              <w:spacing w:before="40" w:after="40"/>
              <w:rPr>
                <w:rFonts w:cs="Calibri"/>
              </w:rPr>
            </w:pPr>
            <w:r w:rsidRPr="00BE78CA">
              <w:rPr>
                <w:rFonts w:cs="Calibri"/>
              </w:rPr>
              <w:t>Rotowaro mines</w:t>
            </w:r>
          </w:p>
        </w:tc>
        <w:tc>
          <w:tcPr>
            <w:tcW w:w="5019" w:type="dxa"/>
          </w:tcPr>
          <w:p w14:paraId="50A0DEF5" w14:textId="77777777" w:rsidR="00706DD1" w:rsidRPr="00BE78CA" w:rsidRDefault="00706DD1" w:rsidP="00C26084">
            <w:pPr>
              <w:pStyle w:val="TableText"/>
              <w:spacing w:before="40" w:after="40"/>
              <w:rPr>
                <w:rFonts w:cs="Calibri"/>
              </w:rPr>
            </w:pPr>
            <w:r w:rsidRPr="00BE78CA">
              <w:rPr>
                <w:rFonts w:cs="Calibri"/>
              </w:rPr>
              <w:t>Underground mines either flooded or subsequently opencast mined</w:t>
            </w:r>
          </w:p>
        </w:tc>
      </w:tr>
      <w:tr w:rsidR="00706DD1" w:rsidRPr="00BE78CA" w14:paraId="37BB26A9" w14:textId="77777777" w:rsidTr="009077FD">
        <w:trPr>
          <w:cantSplit/>
        </w:trPr>
        <w:tc>
          <w:tcPr>
            <w:tcW w:w="1474" w:type="dxa"/>
            <w:tcBorders>
              <w:top w:val="nil"/>
              <w:bottom w:val="nil"/>
            </w:tcBorders>
          </w:tcPr>
          <w:p w14:paraId="0E944DAF" w14:textId="77777777" w:rsidR="00706DD1" w:rsidRPr="00BE78CA" w:rsidRDefault="00706DD1" w:rsidP="00C26084">
            <w:pPr>
              <w:pStyle w:val="TableText"/>
              <w:spacing w:before="40" w:after="40"/>
              <w:rPr>
                <w:rFonts w:cs="Calibri"/>
              </w:rPr>
            </w:pPr>
          </w:p>
        </w:tc>
        <w:tc>
          <w:tcPr>
            <w:tcW w:w="1557" w:type="dxa"/>
          </w:tcPr>
          <w:p w14:paraId="6A74E706" w14:textId="77777777" w:rsidR="00706DD1" w:rsidRPr="00BE78CA" w:rsidRDefault="00706DD1" w:rsidP="00C26084">
            <w:pPr>
              <w:pStyle w:val="TableText"/>
              <w:spacing w:before="40" w:after="40"/>
              <w:rPr>
                <w:rFonts w:cs="Calibri"/>
              </w:rPr>
            </w:pPr>
            <w:r w:rsidRPr="00BE78CA">
              <w:rPr>
                <w:rFonts w:cs="Calibri"/>
              </w:rPr>
              <w:t>Huntly West</w:t>
            </w:r>
          </w:p>
        </w:tc>
        <w:tc>
          <w:tcPr>
            <w:tcW w:w="5019" w:type="dxa"/>
          </w:tcPr>
          <w:p w14:paraId="21CFB0B7" w14:textId="77777777" w:rsidR="00706DD1" w:rsidRPr="00BE78CA" w:rsidRDefault="00706DD1" w:rsidP="00C26084">
            <w:pPr>
              <w:pStyle w:val="TableText"/>
              <w:spacing w:before="40" w:after="40"/>
              <w:rPr>
                <w:rFonts w:cs="Calibri"/>
              </w:rPr>
            </w:pPr>
            <w:r w:rsidRPr="00BE78CA">
              <w:rPr>
                <w:rFonts w:cs="Calibri"/>
              </w:rPr>
              <w:t>Flooded</w:t>
            </w:r>
          </w:p>
        </w:tc>
      </w:tr>
      <w:tr w:rsidR="00706DD1" w:rsidRPr="00BE78CA" w14:paraId="2CF6D186" w14:textId="77777777" w:rsidTr="009077FD">
        <w:trPr>
          <w:cantSplit/>
        </w:trPr>
        <w:tc>
          <w:tcPr>
            <w:tcW w:w="1474" w:type="dxa"/>
            <w:tcBorders>
              <w:top w:val="nil"/>
            </w:tcBorders>
          </w:tcPr>
          <w:p w14:paraId="21C6F47E" w14:textId="77777777" w:rsidR="00706DD1" w:rsidRPr="00BE78CA" w:rsidRDefault="00706DD1" w:rsidP="00C26084">
            <w:pPr>
              <w:pStyle w:val="TableText"/>
              <w:spacing w:before="40" w:after="40"/>
              <w:rPr>
                <w:rFonts w:cs="Calibri"/>
              </w:rPr>
            </w:pPr>
          </w:p>
        </w:tc>
        <w:tc>
          <w:tcPr>
            <w:tcW w:w="1557" w:type="dxa"/>
          </w:tcPr>
          <w:p w14:paraId="689E4A1B" w14:textId="77777777" w:rsidR="00706DD1" w:rsidRPr="00BE78CA" w:rsidRDefault="00706DD1" w:rsidP="00C26084">
            <w:pPr>
              <w:pStyle w:val="TableText"/>
              <w:spacing w:before="40" w:after="40"/>
              <w:rPr>
                <w:rFonts w:cs="Calibri"/>
              </w:rPr>
            </w:pPr>
            <w:r w:rsidRPr="00BE78CA">
              <w:rPr>
                <w:rFonts w:cs="Calibri"/>
              </w:rPr>
              <w:t>Taupiri/Ralphs</w:t>
            </w:r>
          </w:p>
        </w:tc>
        <w:tc>
          <w:tcPr>
            <w:tcW w:w="5019" w:type="dxa"/>
          </w:tcPr>
          <w:p w14:paraId="1B8DE0D3" w14:textId="77777777" w:rsidR="00706DD1" w:rsidRPr="00BE78CA" w:rsidRDefault="00706DD1" w:rsidP="00C26084">
            <w:pPr>
              <w:pStyle w:val="TableText"/>
              <w:spacing w:before="40" w:after="40"/>
              <w:rPr>
                <w:rFonts w:cs="Calibri"/>
              </w:rPr>
            </w:pPr>
            <w:r w:rsidRPr="00BE78CA">
              <w:rPr>
                <w:rFonts w:cs="Calibri"/>
              </w:rPr>
              <w:t>Mines under Huntly township; flooded</w:t>
            </w:r>
          </w:p>
        </w:tc>
      </w:tr>
      <w:tr w:rsidR="00706DD1" w:rsidRPr="00BE78CA" w14:paraId="5D47823F" w14:textId="77777777" w:rsidTr="009077FD">
        <w:trPr>
          <w:cantSplit/>
        </w:trPr>
        <w:tc>
          <w:tcPr>
            <w:tcW w:w="1474" w:type="dxa"/>
          </w:tcPr>
          <w:p w14:paraId="13D0D77A" w14:textId="77777777" w:rsidR="00706DD1" w:rsidRPr="00BE78CA" w:rsidRDefault="00706DD1" w:rsidP="00C26084">
            <w:pPr>
              <w:pStyle w:val="TableText"/>
              <w:spacing w:before="40" w:after="40"/>
              <w:rPr>
                <w:rFonts w:cs="Calibri"/>
              </w:rPr>
            </w:pPr>
            <w:r w:rsidRPr="00BE78CA">
              <w:rPr>
                <w:rFonts w:cs="Calibri"/>
              </w:rPr>
              <w:t>Taranaki</w:t>
            </w:r>
          </w:p>
        </w:tc>
        <w:tc>
          <w:tcPr>
            <w:tcW w:w="1557" w:type="dxa"/>
          </w:tcPr>
          <w:p w14:paraId="4DE715F9" w14:textId="77777777" w:rsidR="00706DD1" w:rsidRPr="00BE78CA" w:rsidRDefault="00706DD1" w:rsidP="00C26084">
            <w:pPr>
              <w:pStyle w:val="TableText"/>
              <w:spacing w:before="40" w:after="40"/>
              <w:rPr>
                <w:rFonts w:cs="Calibri"/>
              </w:rPr>
            </w:pPr>
            <w:r w:rsidRPr="00BE78CA">
              <w:rPr>
                <w:rFonts w:cs="Calibri"/>
              </w:rPr>
              <w:t>Tatu</w:t>
            </w:r>
          </w:p>
        </w:tc>
        <w:tc>
          <w:tcPr>
            <w:tcW w:w="5019" w:type="dxa"/>
          </w:tcPr>
          <w:p w14:paraId="3542C334" w14:textId="77777777" w:rsidR="00706DD1" w:rsidRPr="00BE78CA" w:rsidRDefault="00706DD1" w:rsidP="00C26084">
            <w:pPr>
              <w:pStyle w:val="TableText"/>
              <w:spacing w:before="40" w:after="40"/>
              <w:rPr>
                <w:rFonts w:cs="Calibri"/>
              </w:rPr>
            </w:pPr>
            <w:r w:rsidRPr="00BE78CA">
              <w:rPr>
                <w:rFonts w:cs="Calibri"/>
              </w:rPr>
              <w:t>Only one significant mine; flooded</w:t>
            </w:r>
          </w:p>
        </w:tc>
      </w:tr>
    </w:tbl>
    <w:p w14:paraId="1B5C9B5B" w14:textId="77777777" w:rsidR="00706DD1" w:rsidRPr="00BE78CA" w:rsidRDefault="00706DD1" w:rsidP="00706DD1">
      <w:pPr>
        <w:pStyle w:val="Heading4"/>
        <w:spacing w:before="360"/>
        <w:rPr>
          <w:lang w:eastAsia="en-GB"/>
        </w:rPr>
      </w:pPr>
      <w:r w:rsidRPr="00BE78CA">
        <w:rPr>
          <w:lang w:eastAsia="en-GB"/>
        </w:rPr>
        <w:t>Uncertainties and time-series consistency</w:t>
      </w:r>
    </w:p>
    <w:p w14:paraId="4AC0BE2F" w14:textId="77777777" w:rsidR="00706DD1" w:rsidRPr="00BE78CA" w:rsidRDefault="00706DD1" w:rsidP="00706DD1">
      <w:pPr>
        <w:pStyle w:val="BodyText"/>
        <w:rPr>
          <w:rFonts w:cs="Calibri"/>
          <w:spacing w:val="-2"/>
          <w:lang w:eastAsia="en-GB"/>
        </w:rPr>
      </w:pPr>
      <w:r w:rsidRPr="00BE78CA">
        <w:rPr>
          <w:rFonts w:cs="Calibri"/>
          <w:spacing w:val="-2"/>
          <w:lang w:eastAsia="en-GB"/>
        </w:rPr>
        <w:t>Uncertainties in fugitive emissions are relevant to the entire Energy sector (see table 3.3.1).</w:t>
      </w:r>
    </w:p>
    <w:p w14:paraId="5F4CFFE4" w14:textId="77777777" w:rsidR="00706DD1" w:rsidRPr="00BE78CA" w:rsidRDefault="00706DD1" w:rsidP="00706DD1">
      <w:pPr>
        <w:pStyle w:val="Heading4"/>
        <w:rPr>
          <w:lang w:eastAsia="en-GB"/>
        </w:rPr>
      </w:pPr>
      <w:r w:rsidRPr="00BE78CA">
        <w:rPr>
          <w:lang w:eastAsia="en-GB"/>
        </w:rPr>
        <w:t>Source-specific QA/QC and verification</w:t>
      </w:r>
    </w:p>
    <w:p w14:paraId="2801C078" w14:textId="77777777" w:rsidR="00706DD1" w:rsidRPr="00BE78CA" w:rsidRDefault="00706DD1" w:rsidP="009077FD">
      <w:pPr>
        <w:pStyle w:val="BodyText"/>
        <w:spacing w:before="100" w:after="100"/>
        <w:rPr>
          <w:rFonts w:cs="Calibri"/>
          <w:lang w:eastAsia="en-GB"/>
        </w:rPr>
      </w:pPr>
      <w:r w:rsidRPr="00BE78CA">
        <w:rPr>
          <w:rFonts w:cs="Calibri"/>
          <w:lang w:eastAsia="en-GB"/>
        </w:rPr>
        <w:t xml:space="preserve">In the preparation of this inventory, the </w:t>
      </w:r>
      <w:r w:rsidRPr="00BE78CA">
        <w:rPr>
          <w:rFonts w:cs="Calibri"/>
          <w:i/>
          <w:lang w:eastAsia="en-GB"/>
        </w:rPr>
        <w:t>Fugitive emissions</w:t>
      </w:r>
      <w:r w:rsidRPr="00BE78CA">
        <w:rPr>
          <w:rFonts w:cs="Calibri"/>
          <w:lang w:eastAsia="en-GB"/>
        </w:rPr>
        <w:t xml:space="preserve"> category underwent Tier 1 quality-assurance and quality-control checks, as recommended in the 2006 IPCC Guidelines. These include regular control sums throughout systems, to verify system integrity, and consistency checks of implied emission factors.</w:t>
      </w:r>
    </w:p>
    <w:p w14:paraId="664191FC" w14:textId="77777777" w:rsidR="00706DD1" w:rsidRPr="00BE78CA" w:rsidRDefault="00706DD1" w:rsidP="00706DD1">
      <w:pPr>
        <w:pStyle w:val="Heading4"/>
        <w:rPr>
          <w:lang w:eastAsia="en-GB"/>
        </w:rPr>
      </w:pPr>
      <w:r w:rsidRPr="00BE78CA">
        <w:rPr>
          <w:lang w:eastAsia="en-GB"/>
        </w:rPr>
        <w:t>Source-specific recalculations</w:t>
      </w:r>
    </w:p>
    <w:p w14:paraId="7C8A5AF1" w14:textId="77777777" w:rsidR="00706DD1" w:rsidRPr="00BE78CA" w:rsidRDefault="00706DD1" w:rsidP="009077FD">
      <w:pPr>
        <w:pStyle w:val="BodyText"/>
        <w:spacing w:before="100" w:after="100"/>
        <w:rPr>
          <w:rFonts w:cs="Calibri"/>
          <w:lang w:eastAsia="en-GB"/>
        </w:rPr>
      </w:pPr>
      <w:r w:rsidRPr="00BE78CA">
        <w:rPr>
          <w:rFonts w:cs="Calibri"/>
          <w:lang w:eastAsia="en-GB"/>
        </w:rPr>
        <w:t>Historical coal production data have been updated due to revisions in data provided by companies. This has resulted in minor revisions in activity data and corresponding emissions for some years.</w:t>
      </w:r>
    </w:p>
    <w:p w14:paraId="62CFCD0E" w14:textId="77777777" w:rsidR="00706DD1" w:rsidRPr="00BE78CA" w:rsidRDefault="00706DD1" w:rsidP="00706DD1">
      <w:pPr>
        <w:pStyle w:val="Heading4"/>
        <w:rPr>
          <w:lang w:eastAsia="en-GB"/>
        </w:rPr>
      </w:pPr>
      <w:r w:rsidRPr="00BE78CA">
        <w:rPr>
          <w:lang w:eastAsia="en-GB"/>
        </w:rPr>
        <w:t>Source-specific planned improvements</w:t>
      </w:r>
    </w:p>
    <w:p w14:paraId="58FA7584" w14:textId="77777777" w:rsidR="00706DD1" w:rsidRPr="00BE78CA" w:rsidRDefault="00706DD1" w:rsidP="009077FD">
      <w:pPr>
        <w:pStyle w:val="BodyText"/>
        <w:spacing w:before="100"/>
        <w:rPr>
          <w:rFonts w:cs="Calibri"/>
          <w:b/>
          <w:bCs/>
          <w:szCs w:val="24"/>
          <w:lang w:eastAsia="en-GB"/>
        </w:rPr>
      </w:pPr>
      <w:r w:rsidRPr="00BE78CA">
        <w:rPr>
          <w:rFonts w:cs="Calibri"/>
          <w:lang w:eastAsia="en-GB"/>
        </w:rPr>
        <w:t xml:space="preserve">As described above, the project to enable the more accurate estimation of emissions associated with abandoned coal mines is under way, and results will be included in the next annual submission. </w:t>
      </w:r>
    </w:p>
    <w:p w14:paraId="1B7B2438" w14:textId="77777777" w:rsidR="00706DD1" w:rsidRPr="00BE78CA" w:rsidRDefault="00706DD1" w:rsidP="00706DD1">
      <w:pPr>
        <w:pStyle w:val="Heading3"/>
        <w:rPr>
          <w:rFonts w:cs="Calibri"/>
        </w:rPr>
      </w:pPr>
      <w:r w:rsidRPr="00BE78CA">
        <w:rPr>
          <w:rFonts w:cs="Calibri"/>
        </w:rPr>
        <w:t>3.4.2</w:t>
      </w:r>
      <w:r w:rsidRPr="00BE78CA">
        <w:rPr>
          <w:rFonts w:cs="Calibri"/>
        </w:rPr>
        <w:tab/>
        <w:t>Fugitive emissions from fuels: Oil and natural gas and other emissions from energy production (CRF 1.B.2)</w:t>
      </w:r>
    </w:p>
    <w:p w14:paraId="5E2934F6" w14:textId="77777777" w:rsidR="00706DD1" w:rsidRPr="00BE78CA" w:rsidRDefault="00706DD1" w:rsidP="00706DD1">
      <w:pPr>
        <w:pStyle w:val="Heading4"/>
        <w:spacing w:before="160"/>
      </w:pPr>
      <w:r w:rsidRPr="00BE78CA">
        <w:rPr>
          <w:lang w:eastAsia="en-GB"/>
        </w:rPr>
        <w:t>Description</w:t>
      </w:r>
    </w:p>
    <w:p w14:paraId="6DE1992E" w14:textId="77777777" w:rsidR="00706DD1" w:rsidRPr="00BE78CA" w:rsidRDefault="00706DD1" w:rsidP="00706DD1">
      <w:pPr>
        <w:pStyle w:val="BodyText"/>
        <w:rPr>
          <w:rFonts w:cs="Calibri"/>
        </w:rPr>
      </w:pPr>
      <w:r w:rsidRPr="00BE78CA">
        <w:rPr>
          <w:rFonts w:cs="Calibri"/>
          <w:lang w:eastAsia="en-GB"/>
        </w:rPr>
        <w:t xml:space="preserve">In </w:t>
      </w:r>
      <w:r w:rsidRPr="00BE78CA">
        <w:rPr>
          <w:rFonts w:cs="Calibri"/>
        </w:rPr>
        <w:t>2019</w:t>
      </w:r>
      <w:r w:rsidRPr="00BE78CA">
        <w:rPr>
          <w:rFonts w:cs="Calibri"/>
          <w:lang w:eastAsia="en-GB"/>
        </w:rPr>
        <w:t xml:space="preserve">, fugitive emissions from the </w:t>
      </w:r>
      <w:r w:rsidRPr="00BE78CA">
        <w:rPr>
          <w:rFonts w:cs="Calibri"/>
          <w:i/>
          <w:lang w:eastAsia="en-GB"/>
        </w:rPr>
        <w:t>Oil and natural gas</w:t>
      </w:r>
      <w:r w:rsidRPr="00BE78CA">
        <w:rPr>
          <w:rFonts w:cs="Calibri"/>
          <w:lang w:eastAsia="en-GB"/>
        </w:rPr>
        <w:t xml:space="preserve"> category contributed 1,589.1</w:t>
      </w:r>
      <w:r w:rsidRPr="00BE78CA">
        <w:rPr>
          <w:rFonts w:cs="Calibri"/>
        </w:rPr>
        <w:t> </w:t>
      </w:r>
      <w:r w:rsidRPr="00BE78CA">
        <w:rPr>
          <w:rFonts w:cs="Calibri"/>
          <w:lang w:eastAsia="en-GB"/>
        </w:rPr>
        <w:t>kt CO</w:t>
      </w:r>
      <w:r w:rsidRPr="00BE78CA">
        <w:rPr>
          <w:rFonts w:cs="Calibri"/>
          <w:vertAlign w:val="subscript"/>
          <w:lang w:eastAsia="en-GB"/>
        </w:rPr>
        <w:t>2</w:t>
      </w:r>
      <w:r w:rsidRPr="00BE78CA">
        <w:rPr>
          <w:rFonts w:cs="Calibri"/>
          <w:lang w:eastAsia="en-GB"/>
        </w:rPr>
        <w:t xml:space="preserve">-e (92.2 </w:t>
      </w:r>
      <w:r w:rsidRPr="00BE78CA">
        <w:rPr>
          <w:rFonts w:cs="Calibri"/>
        </w:rPr>
        <w:t>per cent</w:t>
      </w:r>
      <w:r w:rsidRPr="00BE78CA">
        <w:rPr>
          <w:rFonts w:cs="Calibri"/>
          <w:lang w:eastAsia="en-GB"/>
        </w:rPr>
        <w:t xml:space="preserve">) to emissions from the </w:t>
      </w:r>
      <w:r w:rsidRPr="00BE78CA">
        <w:rPr>
          <w:rFonts w:cs="Calibri"/>
          <w:i/>
          <w:lang w:eastAsia="en-GB"/>
        </w:rPr>
        <w:t>Fugitive emissions</w:t>
      </w:r>
      <w:r w:rsidRPr="00BE78CA">
        <w:rPr>
          <w:rFonts w:cs="Calibri"/>
          <w:lang w:eastAsia="en-GB"/>
        </w:rPr>
        <w:t xml:space="preserve"> category. This is 676.1</w:t>
      </w:r>
      <w:r w:rsidRPr="00BE78CA">
        <w:rPr>
          <w:rFonts w:cs="Calibri"/>
        </w:rPr>
        <w:t xml:space="preserve"> </w:t>
      </w:r>
      <w:r w:rsidRPr="00BE78CA">
        <w:rPr>
          <w:rFonts w:cs="Calibri"/>
          <w:lang w:eastAsia="en-GB"/>
        </w:rPr>
        <w:t>kt CO</w:t>
      </w:r>
      <w:r w:rsidRPr="00BE78CA">
        <w:rPr>
          <w:rFonts w:cs="Calibri"/>
          <w:vertAlign w:val="subscript"/>
          <w:lang w:eastAsia="en-GB"/>
        </w:rPr>
        <w:t>2</w:t>
      </w:r>
      <w:r w:rsidRPr="00BE78CA">
        <w:rPr>
          <w:rFonts w:cs="Calibri"/>
          <w:lang w:eastAsia="en-GB"/>
        </w:rPr>
        <w:t>-e (74.1</w:t>
      </w:r>
      <w:r w:rsidRPr="00BE78CA">
        <w:rPr>
          <w:rFonts w:cs="Calibri"/>
        </w:rPr>
        <w:t> per cent</w:t>
      </w:r>
      <w:r w:rsidRPr="00BE78CA">
        <w:rPr>
          <w:rFonts w:cs="Calibri"/>
          <w:lang w:eastAsia="en-GB"/>
        </w:rPr>
        <w:t xml:space="preserve">) higher than the 1990 level of </w:t>
      </w:r>
      <w:r w:rsidRPr="00BE78CA">
        <w:rPr>
          <w:rFonts w:cs="Calibri"/>
        </w:rPr>
        <w:t xml:space="preserve">912.9 </w:t>
      </w:r>
      <w:r w:rsidRPr="00BE78CA">
        <w:rPr>
          <w:rFonts w:cs="Calibri"/>
          <w:lang w:eastAsia="en-GB"/>
        </w:rPr>
        <w:t>kt CO</w:t>
      </w:r>
      <w:r w:rsidRPr="00BE78CA">
        <w:rPr>
          <w:rFonts w:cs="Calibri"/>
          <w:vertAlign w:val="subscript"/>
          <w:lang w:eastAsia="en-GB"/>
        </w:rPr>
        <w:t>2</w:t>
      </w:r>
      <w:r w:rsidRPr="00BE78CA">
        <w:rPr>
          <w:rFonts w:cs="Calibri"/>
          <w:lang w:eastAsia="en-GB"/>
        </w:rPr>
        <w:t xml:space="preserve">-e. </w:t>
      </w:r>
    </w:p>
    <w:p w14:paraId="02BE756C" w14:textId="77777777" w:rsidR="00706DD1" w:rsidRPr="00BE78CA" w:rsidRDefault="00706DD1" w:rsidP="00706DD1">
      <w:pPr>
        <w:pStyle w:val="BodyText"/>
        <w:rPr>
          <w:rFonts w:cs="Calibri"/>
          <w:lang w:eastAsia="en-GB"/>
        </w:rPr>
      </w:pPr>
      <w:r w:rsidRPr="00BE78CA">
        <w:rPr>
          <w:rFonts w:cs="Calibri"/>
          <w:lang w:eastAsia="en-GB"/>
        </w:rPr>
        <w:t xml:space="preserve">A source of emissions from the production and processing of natural gas is the Kapuni Gas Treatment Plant. The plant removes </w:t>
      </w:r>
      <w:r w:rsidRPr="00BE78CA">
        <w:rPr>
          <w:rFonts w:cs="Calibri"/>
        </w:rPr>
        <w:t>CO</w:t>
      </w:r>
      <w:r w:rsidRPr="00BE78CA">
        <w:rPr>
          <w:rFonts w:cs="Calibri"/>
          <w:vertAlign w:val="subscript"/>
        </w:rPr>
        <w:t>2</w:t>
      </w:r>
      <w:r w:rsidRPr="00BE78CA">
        <w:rPr>
          <w:rFonts w:cs="Calibri"/>
          <w:sz w:val="14"/>
          <w:szCs w:val="14"/>
          <w:lang w:eastAsia="en-GB"/>
        </w:rPr>
        <w:t xml:space="preserve"> </w:t>
      </w:r>
      <w:r w:rsidRPr="00BE78CA">
        <w:rPr>
          <w:rFonts w:cs="Calibri"/>
          <w:lang w:eastAsia="en-GB"/>
        </w:rPr>
        <w:t xml:space="preserve">from a portion of the Kapuni gas (a high </w:t>
      </w:r>
      <w:r w:rsidRPr="00BE78CA">
        <w:rPr>
          <w:rFonts w:cs="Calibri"/>
        </w:rPr>
        <w:t>CO</w:t>
      </w:r>
      <w:r w:rsidRPr="00BE78CA">
        <w:rPr>
          <w:rFonts w:cs="Calibri"/>
          <w:vertAlign w:val="subscript"/>
        </w:rPr>
        <w:t>2</w:t>
      </w:r>
      <w:r w:rsidRPr="00BE78CA">
        <w:t xml:space="preserve"> </w:t>
      </w:r>
      <w:r w:rsidRPr="00BE78CA">
        <w:rPr>
          <w:rFonts w:cs="Calibri"/>
          <w:lang w:eastAsia="en-GB"/>
        </w:rPr>
        <w:t>gas when untreated) before it enters the national transmission network. This is reported in CRF table 1.B.2.c.2.</w:t>
      </w:r>
    </w:p>
    <w:p w14:paraId="5FAB5F83" w14:textId="2A5D86C9" w:rsidR="00706DD1" w:rsidRPr="00BE78CA" w:rsidRDefault="00706DD1" w:rsidP="00706DD1">
      <w:pPr>
        <w:pStyle w:val="BodyText"/>
        <w:rPr>
          <w:rFonts w:cs="Calibri"/>
          <w:lang w:eastAsia="en-GB"/>
        </w:rPr>
      </w:pPr>
      <w:r w:rsidRPr="00BE78CA">
        <w:rPr>
          <w:rFonts w:cs="Calibri"/>
          <w:lang w:eastAsia="en-GB"/>
        </w:rPr>
        <w:lastRenderedPageBreak/>
        <w:t xml:space="preserve">The large increase in </w:t>
      </w:r>
      <w:r w:rsidRPr="00BE78CA">
        <w:rPr>
          <w:rFonts w:cs="Calibri"/>
        </w:rPr>
        <w:t>CO</w:t>
      </w:r>
      <w:r w:rsidRPr="00BE78CA">
        <w:rPr>
          <w:rFonts w:cs="Calibri"/>
          <w:vertAlign w:val="subscript"/>
        </w:rPr>
        <w:t>2</w:t>
      </w:r>
      <w:r w:rsidRPr="00BE78CA">
        <w:rPr>
          <w:rFonts w:cs="Calibri"/>
          <w:sz w:val="14"/>
          <w:szCs w:val="14"/>
          <w:lang w:eastAsia="en-GB"/>
        </w:rPr>
        <w:t xml:space="preserve"> </w:t>
      </w:r>
      <w:r w:rsidRPr="00BE78CA">
        <w:rPr>
          <w:rFonts w:cs="Calibri"/>
          <w:lang w:eastAsia="en-GB"/>
        </w:rPr>
        <w:t>emissions from the Kapuni</w:t>
      </w:r>
      <w:r w:rsidRPr="00BE78CA" w:rsidDel="00F31629">
        <w:rPr>
          <w:rFonts w:cs="Calibri"/>
          <w:lang w:eastAsia="en-GB"/>
        </w:rPr>
        <w:t xml:space="preserve"> </w:t>
      </w:r>
      <w:r w:rsidRPr="00BE78CA">
        <w:rPr>
          <w:rFonts w:cs="Calibri"/>
          <w:lang w:eastAsia="en-GB"/>
        </w:rPr>
        <w:t>plant between 2003 and 2004 and between 2004 and 2005 is related to the drop in methanol production. Carbon dioxide previously sequestered during this separation process is now released as fugitive emissions</w:t>
      </w:r>
      <w:r w:rsidR="009077FD" w:rsidRPr="00BE78CA">
        <w:rPr>
          <w:rFonts w:cs="Calibri"/>
          <w:lang w:eastAsia="en-GB"/>
        </w:rPr>
        <w:t> </w:t>
      </w:r>
      <w:r w:rsidRPr="00BE78CA">
        <w:rPr>
          <w:rFonts w:cs="Calibri"/>
          <w:lang w:eastAsia="en-GB"/>
        </w:rPr>
        <w:t>from venting at the plant.</w:t>
      </w:r>
    </w:p>
    <w:p w14:paraId="4C7C1608" w14:textId="7DBE5C3E" w:rsidR="00706DD1" w:rsidRPr="00BE78CA" w:rsidRDefault="00706DD1" w:rsidP="00706DD1">
      <w:pPr>
        <w:pStyle w:val="BodyText"/>
        <w:rPr>
          <w:rFonts w:cs="Calibri"/>
          <w:lang w:eastAsia="en-GB"/>
        </w:rPr>
      </w:pPr>
      <w:r w:rsidRPr="00BE78CA">
        <w:rPr>
          <w:rFonts w:cs="Calibri"/>
          <w:lang w:eastAsia="en-GB"/>
        </w:rPr>
        <w:t>While emissions from the Kapuni</w:t>
      </w:r>
      <w:r w:rsidRPr="00BE78CA" w:rsidDel="00F31629">
        <w:rPr>
          <w:rFonts w:cs="Calibri"/>
          <w:lang w:eastAsia="en-GB"/>
        </w:rPr>
        <w:t xml:space="preserve"> </w:t>
      </w:r>
      <w:r w:rsidRPr="00BE78CA">
        <w:rPr>
          <w:rFonts w:cs="Calibri"/>
          <w:lang w:eastAsia="en-GB"/>
        </w:rPr>
        <w:t>plant may include traces of CH</w:t>
      </w:r>
      <w:r w:rsidRPr="00BE78CA">
        <w:rPr>
          <w:rFonts w:cs="Calibri"/>
          <w:vertAlign w:val="subscript"/>
          <w:lang w:eastAsia="en-GB"/>
        </w:rPr>
        <w:t>4</w:t>
      </w:r>
      <w:r w:rsidRPr="00BE78CA">
        <w:rPr>
          <w:rFonts w:cs="Calibri"/>
          <w:lang w:eastAsia="en-GB"/>
        </w:rPr>
        <w:t>, the level of these emissions</w:t>
      </w:r>
      <w:r w:rsidR="009077FD" w:rsidRPr="00BE78CA">
        <w:rPr>
          <w:rFonts w:cs="Calibri"/>
          <w:lang w:eastAsia="en-GB"/>
        </w:rPr>
        <w:t> </w:t>
      </w:r>
      <w:r w:rsidRPr="00BE78CA">
        <w:rPr>
          <w:rFonts w:cs="Calibri"/>
          <w:lang w:eastAsia="en-GB"/>
        </w:rPr>
        <w:t>has been determined to be insignificant in comparison with national emissions: a</w:t>
      </w:r>
      <w:r w:rsidR="009077FD" w:rsidRPr="00BE78CA">
        <w:rPr>
          <w:rFonts w:cs="Calibri"/>
          <w:lang w:eastAsia="en-GB"/>
        </w:rPr>
        <w:t> </w:t>
      </w:r>
      <w:r w:rsidRPr="00BE78CA">
        <w:rPr>
          <w:rFonts w:cs="Calibri"/>
          <w:lang w:eastAsia="en-GB"/>
        </w:rPr>
        <w:t>conservative estimate (using default emission factors from the 2006 IPCC guidelines) gives nearly 1.5 kt</w:t>
      </w:r>
      <w:r w:rsidR="009077FD" w:rsidRPr="00BE78CA">
        <w:rPr>
          <w:rFonts w:cs="Calibri"/>
          <w:lang w:eastAsia="en-GB"/>
        </w:rPr>
        <w:t> </w:t>
      </w:r>
      <w:r w:rsidRPr="00BE78CA">
        <w:rPr>
          <w:rFonts w:cs="Calibri"/>
          <w:lang w:eastAsia="en-GB"/>
        </w:rPr>
        <w:t>CO</w:t>
      </w:r>
      <w:r w:rsidRPr="00BE78CA">
        <w:rPr>
          <w:rFonts w:cs="Calibri"/>
          <w:vertAlign w:val="subscript"/>
          <w:lang w:eastAsia="en-GB"/>
        </w:rPr>
        <w:t>2</w:t>
      </w:r>
      <w:r w:rsidR="009077FD" w:rsidRPr="00BE78CA">
        <w:rPr>
          <w:rFonts w:cs="Calibri"/>
          <w:lang w:eastAsia="en-GB"/>
        </w:rPr>
        <w:noBreakHyphen/>
      </w:r>
      <w:r w:rsidRPr="00BE78CA">
        <w:rPr>
          <w:rFonts w:cs="Calibri"/>
          <w:lang w:eastAsia="en-GB"/>
        </w:rPr>
        <w:t>e per year.</w:t>
      </w:r>
    </w:p>
    <w:p w14:paraId="4F6621E6" w14:textId="77777777" w:rsidR="00706DD1" w:rsidRPr="00BE78CA" w:rsidRDefault="00706DD1" w:rsidP="00706DD1">
      <w:pPr>
        <w:pStyle w:val="BodyText"/>
        <w:rPr>
          <w:rFonts w:cs="Calibri"/>
          <w:lang w:eastAsia="en-GB"/>
        </w:rPr>
      </w:pPr>
      <w:r w:rsidRPr="00BE78CA">
        <w:rPr>
          <w:rFonts w:cs="Calibri"/>
          <w:lang w:eastAsia="en-GB"/>
        </w:rPr>
        <w:t xml:space="preserve">Carbon dioxide is also produced when natural gas is flared at the wellheads of other fields. The combustion efficiency of flaring is 95 per cent to 99 per cent, leaving some fugitive </w:t>
      </w:r>
      <w:r w:rsidRPr="00BE78CA">
        <w:rPr>
          <w:rFonts w:cs="Calibri"/>
        </w:rPr>
        <w:t>CH</w:t>
      </w:r>
      <w:r w:rsidRPr="00BE78CA">
        <w:rPr>
          <w:rFonts w:cs="Calibri"/>
          <w:vertAlign w:val="subscript"/>
        </w:rPr>
        <w:t>4</w:t>
      </w:r>
      <w:r w:rsidRPr="00BE78CA">
        <w:rPr>
          <w:rFonts w:cs="Calibri"/>
          <w:lang w:eastAsia="en-GB"/>
        </w:rPr>
        <w:t xml:space="preserve"> emissions as a result of incomplete combustion. </w:t>
      </w:r>
    </w:p>
    <w:p w14:paraId="1C2F4B19" w14:textId="77777777" w:rsidR="00706DD1" w:rsidRPr="00BE78CA" w:rsidRDefault="00706DD1" w:rsidP="00706DD1">
      <w:pPr>
        <w:pStyle w:val="BodyText"/>
        <w:rPr>
          <w:rFonts w:cs="Calibri"/>
          <w:lang w:eastAsia="en-GB"/>
        </w:rPr>
      </w:pPr>
      <w:r w:rsidRPr="00BE78CA">
        <w:rPr>
          <w:rFonts w:cs="Calibri"/>
          <w:lang w:eastAsia="en-GB"/>
        </w:rPr>
        <w:t xml:space="preserve">Fugitive emissions also occur in transmission and distribution within the </w:t>
      </w:r>
      <w:r w:rsidRPr="00BE78CA">
        <w:rPr>
          <w:rFonts w:cs="Calibri"/>
        </w:rPr>
        <w:t xml:space="preserve">natural </w:t>
      </w:r>
      <w:r w:rsidRPr="00BE78CA">
        <w:rPr>
          <w:rFonts w:cs="Calibri"/>
          <w:lang w:eastAsia="en-GB"/>
        </w:rPr>
        <w:t>gas transmission pipeline system. However, these emissions are relatively minor in comparison with those from venting and flaring.</w:t>
      </w:r>
    </w:p>
    <w:p w14:paraId="5D60D00D" w14:textId="77777777" w:rsidR="00706DD1" w:rsidRPr="00BE78CA" w:rsidRDefault="00706DD1" w:rsidP="00706DD1">
      <w:pPr>
        <w:pStyle w:val="BodyText"/>
        <w:rPr>
          <w:rFonts w:cs="Calibri"/>
          <w:lang w:eastAsia="en-GB"/>
        </w:rPr>
      </w:pPr>
      <w:r w:rsidRPr="00BE78CA">
        <w:rPr>
          <w:rFonts w:cs="Calibri"/>
          <w:lang w:eastAsia="en-GB"/>
        </w:rPr>
        <w:t xml:space="preserve">The </w:t>
      </w:r>
      <w:r w:rsidRPr="00BE78CA">
        <w:rPr>
          <w:rFonts w:cs="Calibri"/>
          <w:i/>
          <w:lang w:eastAsia="en-GB"/>
        </w:rPr>
        <w:t>Oil and natural gas</w:t>
      </w:r>
      <w:r w:rsidRPr="00BE78CA">
        <w:rPr>
          <w:rFonts w:cs="Calibri"/>
          <w:lang w:eastAsia="en-GB"/>
        </w:rPr>
        <w:t xml:space="preserve"> category also includes estimates for emissions from geothermal operations. While some of the energy from geothermal fields is transformed into electricity, emissions from geothermal electricity generation are reported in the </w:t>
      </w:r>
      <w:r w:rsidRPr="00BE78CA">
        <w:rPr>
          <w:rFonts w:cs="Calibri"/>
          <w:i/>
          <w:lang w:eastAsia="en-GB"/>
        </w:rPr>
        <w:t>Fugitive emissions</w:t>
      </w:r>
      <w:r w:rsidRPr="00BE78CA">
        <w:rPr>
          <w:rFonts w:cs="Calibri"/>
          <w:lang w:eastAsia="en-GB"/>
        </w:rPr>
        <w:t xml:space="preserve"> category because they are not the result of fuel combustion, unlike the emissions reported in the </w:t>
      </w:r>
      <w:r w:rsidRPr="00BE78CA">
        <w:rPr>
          <w:rFonts w:cs="Calibri"/>
          <w:i/>
          <w:lang w:eastAsia="en-GB"/>
        </w:rPr>
        <w:t>Energy industries</w:t>
      </w:r>
      <w:r w:rsidRPr="00BE78CA">
        <w:rPr>
          <w:rFonts w:cs="Calibri"/>
          <w:lang w:eastAsia="en-GB"/>
        </w:rPr>
        <w:t xml:space="preserve"> category. Geothermal facilities supplying geothermal fluid for generating electricity or industrial heat are subject to the Climate Change (Stationary Energy and Industrial Processes) Regulations 2009, and are required to participate in the NZ ETS. Geothermal sites, where there is no use of geothermal steam for energy production, have been excluded from the inventory. Operations falling outside the scope of the regulations are not included in the inventory due to a lack of data, methodology and emission factors. Besides this, such sites – rather than using high temperature geothermal steam – use low temperature hot water, which does not carry high levels of dissolved gases, and any emissions are not significant. Naturally occurring sites do not contribute any anthropogenic emissions.</w:t>
      </w:r>
    </w:p>
    <w:p w14:paraId="661A77FC" w14:textId="77777777" w:rsidR="00706DD1" w:rsidRPr="00BE78CA" w:rsidRDefault="00706DD1" w:rsidP="00706DD1">
      <w:pPr>
        <w:pStyle w:val="BodyText"/>
        <w:rPr>
          <w:rFonts w:cs="Calibri"/>
          <w:lang w:eastAsia="en-GB"/>
        </w:rPr>
      </w:pPr>
      <w:r w:rsidRPr="00BE78CA">
        <w:rPr>
          <w:rFonts w:cs="Calibri"/>
          <w:lang w:eastAsia="en-GB"/>
        </w:rPr>
        <w:t xml:space="preserve">In </w:t>
      </w:r>
      <w:r w:rsidRPr="00BE78CA">
        <w:rPr>
          <w:rFonts w:cs="Calibri"/>
        </w:rPr>
        <w:t>2019</w:t>
      </w:r>
      <w:r w:rsidRPr="00BE78CA">
        <w:rPr>
          <w:rFonts w:cs="Calibri"/>
          <w:lang w:eastAsia="en-GB"/>
        </w:rPr>
        <w:t xml:space="preserve">, emissions from geothermal operations were </w:t>
      </w:r>
      <w:r w:rsidRPr="00BE78CA">
        <w:rPr>
          <w:rFonts w:cs="Calibri"/>
        </w:rPr>
        <w:t xml:space="preserve">741.9 </w:t>
      </w:r>
      <w:r w:rsidRPr="00BE78CA">
        <w:rPr>
          <w:rFonts w:cs="Calibri"/>
          <w:lang w:eastAsia="en-GB"/>
        </w:rPr>
        <w:t>kt CO</w:t>
      </w:r>
      <w:r w:rsidRPr="00BE78CA">
        <w:rPr>
          <w:rFonts w:cs="Calibri"/>
          <w:vertAlign w:val="subscript"/>
          <w:lang w:eastAsia="en-GB"/>
        </w:rPr>
        <w:t>2</w:t>
      </w:r>
      <w:r w:rsidRPr="00BE78CA">
        <w:rPr>
          <w:rFonts w:cs="Calibri"/>
          <w:lang w:eastAsia="en-GB"/>
        </w:rPr>
        <w:t xml:space="preserve">-e, which is </w:t>
      </w:r>
      <w:r w:rsidRPr="00BE78CA">
        <w:rPr>
          <w:rFonts w:cs="Calibri"/>
        </w:rPr>
        <w:t>458.6 </w:t>
      </w:r>
      <w:r w:rsidRPr="00BE78CA">
        <w:rPr>
          <w:rFonts w:cs="Calibri"/>
          <w:lang w:eastAsia="en-GB"/>
        </w:rPr>
        <w:t>kt CO</w:t>
      </w:r>
      <w:r w:rsidRPr="00BE78CA">
        <w:rPr>
          <w:rFonts w:cs="Calibri"/>
          <w:vertAlign w:val="subscript"/>
          <w:lang w:eastAsia="en-GB"/>
        </w:rPr>
        <w:t>2</w:t>
      </w:r>
      <w:r w:rsidRPr="00BE78CA">
        <w:rPr>
          <w:rFonts w:cs="Calibri"/>
          <w:lang w:eastAsia="en-GB"/>
        </w:rPr>
        <w:t>-e (161.8</w:t>
      </w:r>
      <w:r w:rsidRPr="00BE78CA">
        <w:rPr>
          <w:rFonts w:cs="Calibri"/>
        </w:rPr>
        <w:t xml:space="preserve"> per cent</w:t>
      </w:r>
      <w:r w:rsidRPr="00BE78CA">
        <w:rPr>
          <w:rFonts w:cs="Calibri"/>
          <w:lang w:eastAsia="en-GB"/>
        </w:rPr>
        <w:t xml:space="preserve">) higher than the 1990 level of </w:t>
      </w:r>
      <w:r w:rsidRPr="00BE78CA">
        <w:rPr>
          <w:rFonts w:cs="Calibri"/>
        </w:rPr>
        <w:t xml:space="preserve">283.4 </w:t>
      </w:r>
      <w:r w:rsidRPr="00BE78CA">
        <w:rPr>
          <w:rFonts w:cs="Calibri"/>
          <w:lang w:eastAsia="en-GB"/>
        </w:rPr>
        <w:t>kt CO</w:t>
      </w:r>
      <w:r w:rsidRPr="00BE78CA">
        <w:rPr>
          <w:rFonts w:cs="Calibri"/>
          <w:vertAlign w:val="subscript"/>
          <w:lang w:eastAsia="en-GB"/>
        </w:rPr>
        <w:t>2</w:t>
      </w:r>
      <w:r w:rsidRPr="00BE78CA">
        <w:rPr>
          <w:rFonts w:cs="Calibri"/>
          <w:lang w:eastAsia="en-GB"/>
        </w:rPr>
        <w:t>-e.</w:t>
      </w:r>
    </w:p>
    <w:p w14:paraId="2079E2A7" w14:textId="77777777" w:rsidR="00706DD1" w:rsidRPr="00BE78CA" w:rsidRDefault="00706DD1" w:rsidP="00706DD1">
      <w:pPr>
        <w:pStyle w:val="BodyText"/>
        <w:rPr>
          <w:rFonts w:cs="Calibri"/>
        </w:rPr>
      </w:pPr>
      <w:r w:rsidRPr="00BE78CA">
        <w:rPr>
          <w:rFonts w:cs="Calibri"/>
        </w:rPr>
        <w:t xml:space="preserve">Between 2018 and 2019, emissions from geothermal sources increased by 3.5 per cent. </w:t>
      </w:r>
    </w:p>
    <w:p w14:paraId="7EF8EDEA" w14:textId="77777777" w:rsidR="00706DD1" w:rsidRPr="00BE78CA" w:rsidRDefault="00706DD1" w:rsidP="00706DD1">
      <w:pPr>
        <w:pStyle w:val="Heading4"/>
      </w:pPr>
      <w:r w:rsidRPr="00BE78CA">
        <w:rPr>
          <w:lang w:eastAsia="en-GB"/>
        </w:rPr>
        <w:t>Methodological issues</w:t>
      </w:r>
    </w:p>
    <w:p w14:paraId="2ECC34A0" w14:textId="77777777" w:rsidR="00706DD1" w:rsidRPr="00BE78CA" w:rsidRDefault="00706DD1" w:rsidP="00706DD1">
      <w:pPr>
        <w:pStyle w:val="BodyText"/>
        <w:rPr>
          <w:rFonts w:cs="Calibri"/>
          <w:lang w:eastAsia="en-GB"/>
        </w:rPr>
      </w:pPr>
      <w:r w:rsidRPr="00BE78CA">
        <w:rPr>
          <w:rFonts w:cs="Calibri"/>
          <w:lang w:eastAsia="en-GB"/>
        </w:rPr>
        <w:t>Unless noted otherwise, CO</w:t>
      </w:r>
      <w:r w:rsidRPr="00BE78CA">
        <w:rPr>
          <w:rFonts w:cs="Calibri"/>
          <w:vertAlign w:val="subscript"/>
          <w:lang w:eastAsia="en-GB"/>
        </w:rPr>
        <w:t>2</w:t>
      </w:r>
      <w:r w:rsidRPr="00BE78CA">
        <w:rPr>
          <w:rFonts w:cs="Calibri"/>
          <w:lang w:eastAsia="en-GB"/>
        </w:rPr>
        <w:t xml:space="preserve"> and CH</w:t>
      </w:r>
      <w:r w:rsidRPr="00BE78CA">
        <w:rPr>
          <w:rFonts w:cs="Calibri"/>
          <w:vertAlign w:val="subscript"/>
          <w:lang w:eastAsia="en-GB"/>
        </w:rPr>
        <w:t>4</w:t>
      </w:r>
      <w:r w:rsidRPr="00BE78CA">
        <w:rPr>
          <w:rFonts w:cs="Calibri"/>
          <w:lang w:eastAsia="en-GB"/>
        </w:rPr>
        <w:t xml:space="preserve"> emissions from sources within this category have been calculated using the IPCC Tier 2 approach, and N</w:t>
      </w:r>
      <w:r w:rsidRPr="00BE78CA">
        <w:rPr>
          <w:rFonts w:cs="Calibri"/>
          <w:vertAlign w:val="subscript"/>
          <w:lang w:eastAsia="en-GB"/>
        </w:rPr>
        <w:t>2</w:t>
      </w:r>
      <w:r w:rsidRPr="00BE78CA">
        <w:rPr>
          <w:rFonts w:cs="Calibri"/>
          <w:lang w:eastAsia="en-GB"/>
        </w:rPr>
        <w:t>O emissions were calculated using the default Tier 1 approach (IPCC, 2006).</w:t>
      </w:r>
    </w:p>
    <w:p w14:paraId="6B0BB976" w14:textId="77777777" w:rsidR="00706DD1" w:rsidRPr="00BE78CA" w:rsidRDefault="00706DD1" w:rsidP="00706DD1">
      <w:pPr>
        <w:pStyle w:val="Heading5"/>
        <w:rPr>
          <w:rFonts w:cs="Calibri"/>
          <w:lang w:eastAsia="en-GB"/>
        </w:rPr>
      </w:pPr>
      <w:r w:rsidRPr="00BE78CA">
        <w:rPr>
          <w:rFonts w:cs="Calibri"/>
          <w:lang w:eastAsia="en-GB"/>
        </w:rPr>
        <w:t>Ozone precursors and sulphur dioxide from oil refining</w:t>
      </w:r>
    </w:p>
    <w:p w14:paraId="3BD6CDD1" w14:textId="77777777" w:rsidR="00706DD1" w:rsidRPr="00BE78CA" w:rsidRDefault="00706DD1" w:rsidP="00706DD1">
      <w:pPr>
        <w:pStyle w:val="BodyText"/>
        <w:spacing w:after="80"/>
        <w:rPr>
          <w:rFonts w:cs="Calibri"/>
          <w:lang w:eastAsia="en-GB"/>
        </w:rPr>
      </w:pPr>
      <w:r w:rsidRPr="00BE78CA">
        <w:rPr>
          <w:rFonts w:cs="Calibri"/>
          <w:lang w:eastAsia="en-GB"/>
        </w:rPr>
        <w:t>New Zealand has only one oil refinery that has a hydro cracker rather than a catalytic cracker. Therefore, no emissions come from fluid catalytic cracking but they do come from sulphur recovery plants and storage and handling.</w:t>
      </w:r>
    </w:p>
    <w:p w14:paraId="3AA29EC5" w14:textId="77777777" w:rsidR="00706DD1" w:rsidRPr="00BE78CA" w:rsidRDefault="00706DD1" w:rsidP="00706DD1">
      <w:pPr>
        <w:pStyle w:val="Heading5"/>
        <w:rPr>
          <w:rFonts w:cs="Calibri"/>
        </w:rPr>
      </w:pPr>
      <w:r w:rsidRPr="00BE78CA">
        <w:rPr>
          <w:rFonts w:cs="Calibri"/>
        </w:rPr>
        <w:lastRenderedPageBreak/>
        <w:t>1.B.2.c Venting and flaring</w:t>
      </w:r>
    </w:p>
    <w:p w14:paraId="0BB1CF39" w14:textId="77777777" w:rsidR="00706DD1" w:rsidRPr="00BE78CA" w:rsidRDefault="00706DD1" w:rsidP="00706DD1">
      <w:pPr>
        <w:pStyle w:val="BodyText"/>
        <w:spacing w:after="80"/>
        <w:rPr>
          <w:rFonts w:cs="Calibri"/>
        </w:rPr>
      </w:pPr>
      <w:r w:rsidRPr="00BE78CA">
        <w:rPr>
          <w:rFonts w:cs="Calibri"/>
        </w:rPr>
        <w:t>Oil and natural gas fields in New Zealand produce a mixture consisting of variable ratios of natural gas, crude oil, condensate and natural gas liquids. Hence, emissions for this category are reported under ‘combined’. The activity data are directly reported by field operators.</w:t>
      </w:r>
    </w:p>
    <w:p w14:paraId="3F678783" w14:textId="77777777" w:rsidR="00706DD1" w:rsidRPr="00BE78CA" w:rsidRDefault="00706DD1" w:rsidP="00706DD1">
      <w:pPr>
        <w:pStyle w:val="BodyText"/>
        <w:spacing w:after="80"/>
        <w:rPr>
          <w:rFonts w:cs="Calibri"/>
        </w:rPr>
      </w:pPr>
      <w:r w:rsidRPr="00BE78CA">
        <w:rPr>
          <w:rFonts w:cs="Calibri"/>
        </w:rPr>
        <w:t>Venting of CO</w:t>
      </w:r>
      <w:r w:rsidRPr="00BE78CA">
        <w:rPr>
          <w:rFonts w:cs="Calibri"/>
          <w:vertAlign w:val="subscript"/>
        </w:rPr>
        <w:t>2</w:t>
      </w:r>
      <w:r w:rsidRPr="00BE78CA">
        <w:rPr>
          <w:rFonts w:cs="Calibri"/>
        </w:rPr>
        <w:t xml:space="preserve"> resulting from hydrogen production at oil refineries is included in the IPPU sector so as to protect the confidentiality of individual companies (see chapter 4, for further information).</w:t>
      </w:r>
    </w:p>
    <w:p w14:paraId="01C68336" w14:textId="77777777" w:rsidR="00706DD1" w:rsidRPr="00BE78CA" w:rsidRDefault="00706DD1" w:rsidP="00706DD1">
      <w:pPr>
        <w:pStyle w:val="Heading5"/>
        <w:rPr>
          <w:rFonts w:cs="Calibri"/>
        </w:rPr>
      </w:pPr>
      <w:r w:rsidRPr="00BE78CA">
        <w:rPr>
          <w:rFonts w:cs="Calibri"/>
        </w:rPr>
        <w:t xml:space="preserve">1.B.2.d </w:t>
      </w:r>
      <w:r w:rsidRPr="00BE78CA">
        <w:rPr>
          <w:rFonts w:cs="Calibri"/>
          <w:lang w:eastAsia="en-GB"/>
        </w:rPr>
        <w:t>Geothermal</w:t>
      </w:r>
    </w:p>
    <w:p w14:paraId="37A46132" w14:textId="77777777" w:rsidR="00706DD1" w:rsidRPr="00BE78CA" w:rsidRDefault="00706DD1" w:rsidP="00706DD1">
      <w:pPr>
        <w:pStyle w:val="BodyText"/>
        <w:rPr>
          <w:rFonts w:cs="Calibri"/>
        </w:rPr>
      </w:pPr>
      <w:r w:rsidRPr="00BE78CA">
        <w:rPr>
          <w:rFonts w:cs="Calibri"/>
        </w:rPr>
        <w:t>When geothermal fluid is discharged, some CO</w:t>
      </w:r>
      <w:r w:rsidRPr="00BE78CA">
        <w:rPr>
          <w:rFonts w:cs="Calibri"/>
          <w:vertAlign w:val="subscript"/>
        </w:rPr>
        <w:t>2</w:t>
      </w:r>
      <w:r w:rsidRPr="00BE78CA">
        <w:rPr>
          <w:rFonts w:cs="Calibri"/>
        </w:rPr>
        <w:t xml:space="preserve"> and small amounts of CH</w:t>
      </w:r>
      <w:r w:rsidRPr="00BE78CA">
        <w:rPr>
          <w:rFonts w:cs="Calibri"/>
          <w:vertAlign w:val="subscript"/>
        </w:rPr>
        <w:t>4</w:t>
      </w:r>
      <w:r w:rsidRPr="00BE78CA">
        <w:rPr>
          <w:rFonts w:cs="Calibri"/>
        </w:rPr>
        <w:t xml:space="preserve"> are also released. The emissions released during electricity generation using geothermal fluid are reported in this inventory. Figure 3.4.1 shows a schematic diagram of a typical New Zealand geothermal flash power station. </w:t>
      </w:r>
    </w:p>
    <w:p w14:paraId="383185F2" w14:textId="77777777" w:rsidR="00706DD1" w:rsidRPr="00BE78CA" w:rsidRDefault="00706DD1" w:rsidP="00706DD1">
      <w:pPr>
        <w:pStyle w:val="BodyText"/>
        <w:rPr>
          <w:rFonts w:cs="Calibri"/>
        </w:rPr>
      </w:pPr>
      <w:r w:rsidRPr="00BE78CA">
        <w:rPr>
          <w:rFonts w:cs="Calibri"/>
        </w:rPr>
        <w:t>Estimates of CO</w:t>
      </w:r>
      <w:r w:rsidRPr="00BE78CA">
        <w:rPr>
          <w:rFonts w:cs="Calibri"/>
          <w:vertAlign w:val="subscript"/>
        </w:rPr>
        <w:t>2</w:t>
      </w:r>
      <w:r w:rsidRPr="00BE78CA">
        <w:rPr>
          <w:rFonts w:cs="Calibri"/>
        </w:rPr>
        <w:t xml:space="preserve"> and CH</w:t>
      </w:r>
      <w:r w:rsidRPr="00BE78CA">
        <w:rPr>
          <w:rFonts w:cs="Calibri"/>
          <w:vertAlign w:val="subscript"/>
        </w:rPr>
        <w:t>4</w:t>
      </w:r>
      <w:r w:rsidRPr="00BE78CA">
        <w:rPr>
          <w:rFonts w:cs="Calibri"/>
        </w:rPr>
        <w:t xml:space="preserve"> emissions for the </w:t>
      </w:r>
      <w:r w:rsidRPr="00BE78CA">
        <w:rPr>
          <w:rFonts w:cs="Calibri"/>
          <w:i/>
        </w:rPr>
        <w:t>Geothermal</w:t>
      </w:r>
      <w:r w:rsidRPr="00BE78CA">
        <w:rPr>
          <w:rFonts w:cs="Calibri"/>
        </w:rPr>
        <w:t xml:space="preserve"> category are obtained directly from the geothermal power companies. There are around 15 geothermal power stations in New Zealand – most of these are owned (or partly owned) by two major power companies. Two examples of methodologies used to estimate emissions by these companies are explained below.</w:t>
      </w:r>
    </w:p>
    <w:p w14:paraId="5EEC6A08" w14:textId="06BB30FB" w:rsidR="00706DD1" w:rsidRPr="00BE78CA" w:rsidRDefault="00706DD1" w:rsidP="00706DD1">
      <w:pPr>
        <w:pStyle w:val="Figure"/>
        <w:spacing w:after="60"/>
        <w:rPr>
          <w:rFonts w:cs="Calibri"/>
        </w:rPr>
      </w:pPr>
      <w:bookmarkStart w:id="364" w:name="_Ref442370730"/>
      <w:bookmarkStart w:id="365" w:name="_Toc321399339"/>
      <w:bookmarkStart w:id="366" w:name="_Toc384582868"/>
      <w:bookmarkStart w:id="367" w:name="_Toc443060827"/>
      <w:bookmarkStart w:id="368" w:name="_Toc447275684"/>
      <w:bookmarkStart w:id="369" w:name="_Toc481752001"/>
      <w:bookmarkStart w:id="370" w:name="_Toc36292781"/>
      <w:bookmarkStart w:id="371" w:name="_Toc68786646"/>
      <w:r w:rsidRPr="00BE78CA">
        <w:rPr>
          <w:rFonts w:cs="Calibri"/>
        </w:rPr>
        <w:t>Figure 3.4.</w:t>
      </w:r>
      <w:r w:rsidRPr="00BE78CA">
        <w:rPr>
          <w:rFonts w:cs="Calibri"/>
        </w:rPr>
        <w:fldChar w:fldCharType="begin"/>
      </w:r>
      <w:r w:rsidRPr="00BE78CA">
        <w:rPr>
          <w:rFonts w:cs="Calibri"/>
        </w:rPr>
        <w:instrText xml:space="preserve"> SEQ Figure \* ARABIC \s 2 </w:instrText>
      </w:r>
      <w:r w:rsidRPr="00BE78CA">
        <w:rPr>
          <w:rFonts w:cs="Calibri"/>
        </w:rPr>
        <w:fldChar w:fldCharType="separate"/>
      </w:r>
      <w:r w:rsidR="00B94D2F">
        <w:rPr>
          <w:rFonts w:cs="Calibri"/>
          <w:noProof/>
        </w:rPr>
        <w:t>1</w:t>
      </w:r>
      <w:r w:rsidRPr="00BE78CA">
        <w:rPr>
          <w:rFonts w:cs="Calibri"/>
        </w:rPr>
        <w:fldChar w:fldCharType="end"/>
      </w:r>
      <w:bookmarkEnd w:id="364"/>
      <w:r w:rsidRPr="00BE78CA">
        <w:rPr>
          <w:rFonts w:cs="Calibri"/>
        </w:rPr>
        <w:t xml:space="preserve"> </w:t>
      </w:r>
      <w:r w:rsidRPr="00BE78CA">
        <w:rPr>
          <w:rFonts w:cs="Calibri"/>
        </w:rPr>
        <w:tab/>
        <w:t>Schematic diagram of the use of geothermal fluid for electricity generation – as at Wairakei and</w:t>
      </w:r>
      <w:r w:rsidR="009077FD" w:rsidRPr="00BE78CA">
        <w:rPr>
          <w:rFonts w:cs="Calibri"/>
        </w:rPr>
        <w:t> </w:t>
      </w:r>
      <w:r w:rsidRPr="00BE78CA">
        <w:rPr>
          <w:rFonts w:cs="Calibri"/>
        </w:rPr>
        <w:t>Ohaaki geothermal stations (New Zealand Institute of Chemistry, 1998)</w:t>
      </w:r>
      <w:bookmarkEnd w:id="365"/>
      <w:bookmarkEnd w:id="366"/>
      <w:bookmarkEnd w:id="367"/>
      <w:bookmarkEnd w:id="368"/>
      <w:bookmarkEnd w:id="369"/>
      <w:bookmarkEnd w:id="370"/>
      <w:bookmarkEnd w:id="371"/>
    </w:p>
    <w:p w14:paraId="2EAC9BEF" w14:textId="77777777" w:rsidR="00706DD1" w:rsidRPr="00BE78CA" w:rsidRDefault="00706DD1" w:rsidP="00706DD1">
      <w:pPr>
        <w:pStyle w:val="BodyText"/>
        <w:jc w:val="center"/>
        <w:rPr>
          <w:rFonts w:cs="Calibri"/>
        </w:rPr>
      </w:pPr>
      <w:r w:rsidRPr="00BE78CA">
        <w:rPr>
          <w:rFonts w:cs="Calibri"/>
        </w:rPr>
        <w:object w:dxaOrig="8557" w:dyaOrig="8011" w14:anchorId="342BD914">
          <v:shape id="_x0000_i1028" type="#_x0000_t75" style="width:333.5pt;height:309.75pt" o:ole="">
            <v:imagedata r:id="rId77" o:title=""/>
          </v:shape>
          <o:OLEObject Type="Embed" ProgID="Visio.Drawing.11" ShapeID="_x0000_i1028" DrawAspect="Content" ObjectID="_1679402759" r:id="rId78"/>
        </w:object>
      </w:r>
    </w:p>
    <w:p w14:paraId="2EE6F04C" w14:textId="77777777" w:rsidR="00706DD1" w:rsidRPr="00BE78CA" w:rsidRDefault="00706DD1" w:rsidP="00706DD1">
      <w:pPr>
        <w:pStyle w:val="BodyText"/>
        <w:rPr>
          <w:rFonts w:cs="Calibri"/>
        </w:rPr>
      </w:pPr>
      <w:r w:rsidRPr="00BE78CA">
        <w:rPr>
          <w:rFonts w:cs="Calibri"/>
        </w:rPr>
        <w:t>Emissions from geothermal activities have stepped up incrementally over time. These increases are driven by an increase in geothermal emissions related to electricity generation, particularly with the additions of the 100 MW Kawerau geothermal plant since late 2008, Nga Awa Purua and Te Huka since 2010, Ngatamariki since 2013 and Te Mihi since 2014.</w:t>
      </w:r>
    </w:p>
    <w:p w14:paraId="6C9D7098" w14:textId="77777777" w:rsidR="00706DD1" w:rsidRPr="00BE78CA" w:rsidRDefault="00706DD1" w:rsidP="00706DD1">
      <w:pPr>
        <w:pStyle w:val="BodyText"/>
        <w:rPr>
          <w:rFonts w:cs="Calibri"/>
          <w:lang w:eastAsia="en-GB"/>
        </w:rPr>
      </w:pPr>
      <w:r w:rsidRPr="00BE78CA">
        <w:rPr>
          <w:rFonts w:cs="Calibri"/>
          <w:lang w:eastAsia="en-GB"/>
        </w:rPr>
        <w:lastRenderedPageBreak/>
        <w:t xml:space="preserve">The schedules to the Climate Change Response Act 2002 create obligations for people carrying out certain activities to report greenhouse gas emissions as part of the NZ ETS. The Climate Change (Stationary Energy and Industrial Processes) Regulations 2009 and Climate Change (Liquid Fossil Fuels) Amendment Regulations 2009 set out the data collection requirements and methods for participants in those sectors to calculate their emissions, including prescribed default emission factors (DEFs). </w:t>
      </w:r>
    </w:p>
    <w:p w14:paraId="6EF56104" w14:textId="77777777" w:rsidR="00706DD1" w:rsidRPr="00BE78CA" w:rsidRDefault="00706DD1" w:rsidP="00706DD1">
      <w:pPr>
        <w:pStyle w:val="BodyText"/>
        <w:spacing w:after="100"/>
        <w:rPr>
          <w:rFonts w:cs="Calibri"/>
          <w:lang w:eastAsia="en-GB"/>
        </w:rPr>
      </w:pPr>
      <w:r w:rsidRPr="00BE78CA">
        <w:rPr>
          <w:rFonts w:cs="Calibri"/>
          <w:lang w:eastAsia="en-GB"/>
        </w:rPr>
        <w:t>The Climate Change (Unique Emissions Factors) Regulations 2009 outline requirements for participants in certain sectors to calculate a unique emissions factor (UEF) and apply for approval to use it in place of a DEF to calculate and report on emissions. Sectors that are eligible to apply for a UEF are a class of:</w:t>
      </w:r>
    </w:p>
    <w:p w14:paraId="5697C293" w14:textId="77777777" w:rsidR="00706DD1" w:rsidRPr="00BE78CA" w:rsidRDefault="00706DD1" w:rsidP="00706DD1">
      <w:pPr>
        <w:pStyle w:val="Bullet"/>
        <w:rPr>
          <w:rFonts w:cs="Calibri"/>
        </w:rPr>
      </w:pPr>
      <w:r w:rsidRPr="00BE78CA">
        <w:rPr>
          <w:rFonts w:cs="Calibri"/>
        </w:rPr>
        <w:t>liquid fossil fuel</w:t>
      </w:r>
    </w:p>
    <w:p w14:paraId="17105F71" w14:textId="77777777" w:rsidR="00706DD1" w:rsidRPr="00BE78CA" w:rsidRDefault="00706DD1" w:rsidP="00706DD1">
      <w:pPr>
        <w:pStyle w:val="Bullet"/>
        <w:rPr>
          <w:rFonts w:cs="Calibri"/>
        </w:rPr>
      </w:pPr>
      <w:r w:rsidRPr="00BE78CA">
        <w:rPr>
          <w:rFonts w:cs="Calibri"/>
        </w:rPr>
        <w:t>coal</w:t>
      </w:r>
    </w:p>
    <w:p w14:paraId="6A2A23F3" w14:textId="77777777" w:rsidR="00706DD1" w:rsidRPr="00BE78CA" w:rsidRDefault="00706DD1" w:rsidP="00706DD1">
      <w:pPr>
        <w:pStyle w:val="Bullet"/>
        <w:rPr>
          <w:rFonts w:cs="Calibri"/>
        </w:rPr>
      </w:pPr>
      <w:r w:rsidRPr="00BE78CA">
        <w:rPr>
          <w:rFonts w:cs="Calibri"/>
        </w:rPr>
        <w:t>natural gas – CH</w:t>
      </w:r>
      <w:r w:rsidRPr="00BE78CA">
        <w:rPr>
          <w:rFonts w:cs="Calibri"/>
          <w:vertAlign w:val="subscript"/>
        </w:rPr>
        <w:t>4</w:t>
      </w:r>
      <w:r w:rsidRPr="00BE78CA">
        <w:rPr>
          <w:rFonts w:cs="Calibri"/>
        </w:rPr>
        <w:t xml:space="preserve"> and N</w:t>
      </w:r>
      <w:r w:rsidRPr="00BE78CA">
        <w:rPr>
          <w:rFonts w:cs="Calibri"/>
          <w:vertAlign w:val="subscript"/>
        </w:rPr>
        <w:t>2</w:t>
      </w:r>
      <w:r w:rsidRPr="00BE78CA">
        <w:rPr>
          <w:rFonts w:cs="Calibri"/>
        </w:rPr>
        <w:t>O</w:t>
      </w:r>
    </w:p>
    <w:p w14:paraId="6DB2206E" w14:textId="77777777" w:rsidR="00706DD1" w:rsidRPr="00BE78CA" w:rsidRDefault="00706DD1" w:rsidP="00706DD1">
      <w:pPr>
        <w:pStyle w:val="Bullet"/>
        <w:rPr>
          <w:rFonts w:cs="Calibri"/>
        </w:rPr>
      </w:pPr>
      <w:r w:rsidRPr="00BE78CA">
        <w:rPr>
          <w:rFonts w:cs="Calibri"/>
        </w:rPr>
        <w:t>geothermal fluid</w:t>
      </w:r>
    </w:p>
    <w:p w14:paraId="6592FF2A" w14:textId="77777777" w:rsidR="00706DD1" w:rsidRPr="00BE78CA" w:rsidRDefault="00706DD1" w:rsidP="00706DD1">
      <w:pPr>
        <w:pStyle w:val="Bullet"/>
        <w:rPr>
          <w:rFonts w:cs="Calibri"/>
        </w:rPr>
      </w:pPr>
      <w:r w:rsidRPr="00BE78CA">
        <w:rPr>
          <w:rFonts w:cs="Calibri"/>
        </w:rPr>
        <w:t>used oil, waste oil, used tyres or waste.</w:t>
      </w:r>
    </w:p>
    <w:p w14:paraId="5353DAFA" w14:textId="77777777" w:rsidR="00706DD1" w:rsidRPr="00BE78CA" w:rsidRDefault="00706DD1" w:rsidP="00706DD1">
      <w:pPr>
        <w:pStyle w:val="BodyText"/>
        <w:rPr>
          <w:rFonts w:cs="Calibri"/>
          <w:lang w:eastAsia="en-GB"/>
        </w:rPr>
      </w:pPr>
      <w:r w:rsidRPr="00BE78CA">
        <w:rPr>
          <w:rFonts w:cs="Calibri"/>
          <w:lang w:eastAsia="en-GB"/>
        </w:rPr>
        <w:t xml:space="preserve">The 2010 year was the first calendar year in which operators could apply for UEFs. MBIE received five applications relating to the use of UEFs of geothermal fluid for that calendar year. These five approved UEFs were then adopted for the inventory after careful assessment of the materiality impact and time-series consistency. </w:t>
      </w:r>
    </w:p>
    <w:p w14:paraId="5304982A" w14:textId="77777777" w:rsidR="00706DD1" w:rsidRPr="00BE78CA" w:rsidRDefault="00706DD1" w:rsidP="00706DD1">
      <w:pPr>
        <w:pStyle w:val="BodyText"/>
        <w:rPr>
          <w:rFonts w:cs="Calibri"/>
          <w:lang w:eastAsia="en-GB"/>
        </w:rPr>
      </w:pPr>
      <w:r w:rsidRPr="00BE78CA">
        <w:rPr>
          <w:rFonts w:cs="Calibri"/>
          <w:lang w:eastAsia="en-GB"/>
        </w:rPr>
        <w:t>Because 2010 was the introduction year, MBIE made a judgement that the UEF would apply only to years for which sufficient data are available, that is, from 2010 onward. This submission continues with this approach. From 1990 to 2009, emissions are calculated using field-specific DEFs. Emissions from 2010 onwards are calculated using UEFs where available and field-specific DEFs otherwise.</w:t>
      </w:r>
    </w:p>
    <w:p w14:paraId="724E59F2" w14:textId="77777777" w:rsidR="00706DD1" w:rsidRPr="00BE78CA" w:rsidRDefault="00706DD1" w:rsidP="00706DD1">
      <w:pPr>
        <w:pStyle w:val="BodyText"/>
        <w:spacing w:after="240"/>
        <w:rPr>
          <w:rFonts w:cs="Calibri"/>
          <w:lang w:eastAsia="en-GB"/>
        </w:rPr>
      </w:pPr>
      <w:r w:rsidRPr="00BE78CA">
        <w:rPr>
          <w:rFonts w:cs="Calibri"/>
          <w:lang w:eastAsia="en-GB"/>
        </w:rPr>
        <w:t>When several years of UEF data are available for comparison, the 1990 to 2009 emission factors for each affected field will be reviewed.</w:t>
      </w:r>
    </w:p>
    <w:tbl>
      <w:tblPr>
        <w:tblW w:w="85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4" w:type="dxa"/>
          <w:left w:w="284" w:type="dxa"/>
          <w:bottom w:w="284" w:type="dxa"/>
          <w:right w:w="284" w:type="dxa"/>
        </w:tblCellMar>
        <w:tblLook w:val="04A0" w:firstRow="1" w:lastRow="0" w:firstColumn="1" w:lastColumn="0" w:noHBand="0" w:noVBand="1"/>
      </w:tblPr>
      <w:tblGrid>
        <w:gridCol w:w="8505"/>
      </w:tblGrid>
      <w:tr w:rsidR="00706DD1" w:rsidRPr="00BE78CA" w14:paraId="57AA8C4A" w14:textId="77777777" w:rsidTr="00474C8D">
        <w:tc>
          <w:tcPr>
            <w:tcW w:w="7938" w:type="dxa"/>
            <w:shd w:val="clear" w:color="auto" w:fill="auto"/>
          </w:tcPr>
          <w:p w14:paraId="42DD9F30" w14:textId="77777777" w:rsidR="00706DD1" w:rsidRPr="00BE78CA" w:rsidRDefault="00706DD1" w:rsidP="00C26084">
            <w:pPr>
              <w:pStyle w:val="Heading6"/>
              <w:keepNext w:val="0"/>
              <w:spacing w:before="0"/>
              <w:rPr>
                <w:rFonts w:eastAsia="Calibri" w:cs="Calibri"/>
                <w:szCs w:val="20"/>
              </w:rPr>
            </w:pPr>
            <w:r w:rsidRPr="00BE78CA">
              <w:rPr>
                <w:rFonts w:eastAsia="Calibri" w:cs="Calibri"/>
                <w:szCs w:val="20"/>
              </w:rPr>
              <w:t>Geothermal methodology for Company A</w:t>
            </w:r>
          </w:p>
          <w:p w14:paraId="4B30BB18" w14:textId="77777777" w:rsidR="00706DD1" w:rsidRPr="00BE78CA" w:rsidRDefault="00706DD1" w:rsidP="00C26084">
            <w:pPr>
              <w:pStyle w:val="BodyText"/>
              <w:rPr>
                <w:rFonts w:eastAsia="Calibri" w:cs="Calibri"/>
                <w:sz w:val="20"/>
              </w:rPr>
            </w:pPr>
            <w:r w:rsidRPr="00BE78CA">
              <w:rPr>
                <w:rFonts w:eastAsia="Calibri" w:cs="Calibri"/>
                <w:sz w:val="20"/>
              </w:rPr>
              <w:t xml:space="preserve">At Company A, quarterly gas sampling analysis is conducted to measure the amount of </w:t>
            </w:r>
            <w:r w:rsidRPr="00BE78CA">
              <w:rPr>
                <w:rFonts w:cs="Calibri"/>
                <w:sz w:val="20"/>
              </w:rPr>
              <w:t>CO</w:t>
            </w:r>
            <w:r w:rsidRPr="00BE78CA">
              <w:rPr>
                <w:rFonts w:cs="Calibri"/>
                <w:sz w:val="20"/>
                <w:vertAlign w:val="subscript"/>
              </w:rPr>
              <w:t>2</w:t>
            </w:r>
            <w:r w:rsidRPr="00BE78CA">
              <w:rPr>
                <w:rFonts w:eastAsia="Calibri" w:cs="Calibri"/>
                <w:sz w:val="20"/>
              </w:rPr>
              <w:t xml:space="preserve"> and </w:t>
            </w:r>
            <w:r w:rsidRPr="00BE78CA">
              <w:rPr>
                <w:rFonts w:cs="Calibri"/>
                <w:sz w:val="20"/>
              </w:rPr>
              <w:t>CH</w:t>
            </w:r>
            <w:r w:rsidRPr="00BE78CA">
              <w:rPr>
                <w:rFonts w:cs="Calibri"/>
                <w:sz w:val="20"/>
                <w:vertAlign w:val="subscript"/>
              </w:rPr>
              <w:t>4</w:t>
            </w:r>
            <w:r w:rsidRPr="00BE78CA">
              <w:rPr>
                <w:rFonts w:eastAsia="Calibri" w:cs="Calibri"/>
                <w:sz w:val="20"/>
              </w:rPr>
              <w:t xml:space="preserve"> in the steam. Gas samples are collected at the inlet to the electricity generation station and at the extraction process when gas is dissolved in the condensate (wastewater).</w:t>
            </w:r>
          </w:p>
          <w:p w14:paraId="27866C93" w14:textId="77777777" w:rsidR="00706DD1" w:rsidRPr="00BE78CA" w:rsidRDefault="00706DD1" w:rsidP="00C26084">
            <w:pPr>
              <w:pStyle w:val="BodyText"/>
              <w:rPr>
                <w:rFonts w:eastAsia="Calibri" w:cs="Calibri"/>
                <w:sz w:val="20"/>
              </w:rPr>
            </w:pPr>
            <w:r w:rsidRPr="00BE78CA">
              <w:rPr>
                <w:rFonts w:eastAsia="Calibri" w:cs="Calibri"/>
                <w:sz w:val="20"/>
              </w:rPr>
              <w:t xml:space="preserve">The concentration of </w:t>
            </w:r>
            <w:r w:rsidRPr="00BE78CA">
              <w:rPr>
                <w:rFonts w:cs="Calibri"/>
                <w:sz w:val="20"/>
              </w:rPr>
              <w:t>CO</w:t>
            </w:r>
            <w:r w:rsidRPr="00BE78CA">
              <w:rPr>
                <w:rFonts w:cs="Calibri"/>
                <w:sz w:val="20"/>
                <w:vertAlign w:val="subscript"/>
              </w:rPr>
              <w:t>2</w:t>
            </w:r>
            <w:r w:rsidRPr="00BE78CA">
              <w:rPr>
                <w:rFonts w:eastAsia="Calibri" w:cs="Calibri"/>
                <w:sz w:val="20"/>
              </w:rPr>
              <w:t xml:space="preserve"> (e.g., 0.612 per cent) and </w:t>
            </w:r>
            <w:r w:rsidRPr="00BE78CA">
              <w:rPr>
                <w:rFonts w:cs="Calibri"/>
                <w:sz w:val="20"/>
              </w:rPr>
              <w:t>CH</w:t>
            </w:r>
            <w:r w:rsidRPr="00BE78CA">
              <w:rPr>
                <w:rFonts w:cs="Calibri"/>
                <w:sz w:val="20"/>
                <w:vertAlign w:val="subscript"/>
              </w:rPr>
              <w:t>4</w:t>
            </w:r>
            <w:r w:rsidRPr="00BE78CA">
              <w:rPr>
                <w:rFonts w:eastAsia="Calibri" w:cs="Calibri"/>
                <w:sz w:val="20"/>
              </w:rPr>
              <w:t xml:space="preserve"> (e.g., 0.0029 per cent) by weight of discharged steam is then calculated by carrying out a mass balance.</w:t>
            </w:r>
          </w:p>
          <w:p w14:paraId="6B00099C" w14:textId="77777777" w:rsidR="00706DD1" w:rsidRPr="00BE78CA" w:rsidRDefault="00706DD1" w:rsidP="004F60EA">
            <w:pPr>
              <w:spacing w:before="60"/>
              <w:jc w:val="center"/>
              <w:rPr>
                <w:rFonts w:eastAsia="Calibri" w:cs="Calibri"/>
                <w:i/>
                <w:sz w:val="20"/>
              </w:rPr>
            </w:pPr>
            <w:r w:rsidRPr="00BE78CA">
              <w:rPr>
                <w:rFonts w:eastAsia="Calibri" w:cs="Calibri"/>
                <w:i/>
                <w:sz w:val="20"/>
              </w:rPr>
              <w:t xml:space="preserve">‘Gas discharged to atmosphere’ = ‘Gas to electricity generation station’ </w:t>
            </w:r>
            <w:r w:rsidRPr="00BE78CA">
              <w:rPr>
                <w:rFonts w:cs="Calibri"/>
                <w:sz w:val="20"/>
              </w:rPr>
              <w:t>–</w:t>
            </w:r>
            <w:r w:rsidRPr="00BE78CA">
              <w:rPr>
                <w:rFonts w:eastAsia="Calibri" w:cs="Calibri"/>
                <w:i/>
                <w:sz w:val="20"/>
              </w:rPr>
              <w:t xml:space="preserve"> ‘Gas dissolved in condensate’</w:t>
            </w:r>
          </w:p>
          <w:p w14:paraId="7B7D8713" w14:textId="77777777" w:rsidR="00706DD1" w:rsidRPr="00BE78CA" w:rsidRDefault="00706DD1" w:rsidP="00C26084">
            <w:pPr>
              <w:pStyle w:val="BodyText"/>
              <w:rPr>
                <w:rFonts w:eastAsia="Calibri" w:cs="Calibri"/>
                <w:sz w:val="20"/>
              </w:rPr>
            </w:pPr>
            <w:r w:rsidRPr="00BE78CA">
              <w:rPr>
                <w:rFonts w:eastAsia="Calibri" w:cs="Calibri"/>
                <w:sz w:val="20"/>
              </w:rPr>
              <w:t xml:space="preserve">Company A also collects information on the average steam flow (tonnes of steam per hour) to the electricity generation station. This average steam flow is based on an annual average (e.g., 582.3 tonnes of steam per hour). </w:t>
            </w:r>
          </w:p>
          <w:p w14:paraId="19B3E934" w14:textId="46C5604B" w:rsidR="00706DD1" w:rsidRPr="00BE78CA" w:rsidRDefault="00706DD1" w:rsidP="00C26084">
            <w:pPr>
              <w:pStyle w:val="BodyText"/>
              <w:spacing w:before="80" w:after="80"/>
              <w:rPr>
                <w:rFonts w:eastAsia="Calibri" w:cs="Calibri"/>
                <w:sz w:val="20"/>
              </w:rPr>
            </w:pPr>
            <w:r w:rsidRPr="00BE78CA">
              <w:rPr>
                <w:rFonts w:eastAsia="Calibri" w:cs="Calibri"/>
                <w:sz w:val="20"/>
              </w:rPr>
              <w:t xml:space="preserve">Therefore, working out </w:t>
            </w:r>
            <w:r w:rsidRPr="00BE78CA">
              <w:rPr>
                <w:rFonts w:cs="Calibri"/>
                <w:sz w:val="20"/>
              </w:rPr>
              <w:t>CO</w:t>
            </w:r>
            <w:r w:rsidRPr="00BE78CA">
              <w:rPr>
                <w:rFonts w:cs="Calibri"/>
                <w:sz w:val="20"/>
                <w:vertAlign w:val="subscript"/>
              </w:rPr>
              <w:t>2</w:t>
            </w:r>
            <w:r w:rsidRPr="00BE78CA">
              <w:rPr>
                <w:rFonts w:eastAsia="Calibri" w:cs="Calibri"/>
                <w:sz w:val="20"/>
              </w:rPr>
              <w:t xml:space="preserve"> emissions discharged to the atmosphere involves the following calculations.</w:t>
            </w:r>
          </w:p>
          <w:p w14:paraId="260628C3" w14:textId="77777777" w:rsidR="00706DD1" w:rsidRPr="00BE78CA" w:rsidRDefault="00706DD1" w:rsidP="004F60EA">
            <w:pPr>
              <w:pStyle w:val="BodyText"/>
              <w:keepNext/>
              <w:spacing w:before="80" w:after="80"/>
              <w:rPr>
                <w:rFonts w:eastAsia="Calibri" w:cs="Calibri"/>
                <w:sz w:val="20"/>
              </w:rPr>
            </w:pPr>
            <w:r w:rsidRPr="00BE78CA">
              <w:rPr>
                <w:rFonts w:eastAsia="Calibri" w:cs="Calibri"/>
                <w:sz w:val="20"/>
              </w:rPr>
              <w:lastRenderedPageBreak/>
              <w:t xml:space="preserve">Average discharge per hour is calculated as: </w:t>
            </w:r>
          </w:p>
          <w:p w14:paraId="55569582" w14:textId="77777777" w:rsidR="00706DD1" w:rsidRPr="00BE78CA" w:rsidRDefault="00706DD1" w:rsidP="00C26084">
            <w:pPr>
              <w:jc w:val="center"/>
              <w:rPr>
                <w:rFonts w:eastAsia="Calibri" w:cs="Calibri"/>
                <w:sz w:val="20"/>
              </w:rPr>
            </w:pPr>
            <w:r w:rsidRPr="00BE78CA">
              <w:rPr>
                <w:rFonts w:eastAsia="Calibri" w:cs="Calibri"/>
                <w:position w:val="-28"/>
                <w:sz w:val="20"/>
              </w:rPr>
              <w:object w:dxaOrig="6380" w:dyaOrig="660" w14:anchorId="1133AC4F">
                <v:shape id="_x0000_i1029" type="#_x0000_t75" style="width:337.6pt;height:37.35pt" o:ole="">
                  <v:imagedata r:id="rId79" o:title="" cropright="9261f"/>
                </v:shape>
                <o:OLEObject Type="Embed" ProgID="Equation.3" ShapeID="_x0000_i1029" DrawAspect="Content" ObjectID="_1679402760" r:id="rId80"/>
              </w:object>
            </w:r>
          </w:p>
          <w:p w14:paraId="75B27FCE" w14:textId="77777777" w:rsidR="00706DD1" w:rsidRPr="00BE78CA" w:rsidRDefault="00706DD1" w:rsidP="00C26084">
            <w:pPr>
              <w:spacing w:before="120" w:after="120"/>
              <w:rPr>
                <w:rFonts w:eastAsia="Calibri" w:cs="Calibri"/>
                <w:sz w:val="20"/>
              </w:rPr>
            </w:pPr>
            <w:r w:rsidRPr="00BE78CA">
              <w:rPr>
                <w:rFonts w:eastAsia="Calibri" w:cs="Calibri"/>
                <w:sz w:val="20"/>
              </w:rPr>
              <w:t>And the total discharge per year is:</w:t>
            </w:r>
          </w:p>
          <w:p w14:paraId="5BDDEB09" w14:textId="77777777" w:rsidR="00706DD1" w:rsidRPr="00BE78CA" w:rsidRDefault="00706DD1" w:rsidP="00C26084">
            <w:pPr>
              <w:jc w:val="center"/>
              <w:rPr>
                <w:rFonts w:eastAsia="Calibri" w:cs="Calibri"/>
                <w:sz w:val="20"/>
              </w:rPr>
            </w:pPr>
            <w:r w:rsidRPr="00BE78CA">
              <w:rPr>
                <w:rFonts w:eastAsia="Calibri" w:cs="Calibri"/>
                <w:position w:val="-28"/>
                <w:sz w:val="20"/>
              </w:rPr>
              <w:object w:dxaOrig="6420" w:dyaOrig="680" w14:anchorId="06661697">
                <v:shape id="_x0000_i1030" type="#_x0000_t75" style="width:143.3pt;height:38.7pt" o:ole="">
                  <v:imagedata r:id="rId81" o:title="" cropleft="41456f"/>
                </v:shape>
                <o:OLEObject Type="Embed" ProgID="Equation.3" ShapeID="_x0000_i1030" DrawAspect="Content" ObjectID="_1679402761" r:id="rId82"/>
              </w:object>
            </w:r>
            <w:r w:rsidRPr="00BE78CA">
              <w:rPr>
                <w:rFonts w:eastAsia="Calibri" w:cs="Calibri"/>
                <w:sz w:val="20"/>
              </w:rPr>
              <w:t xml:space="preserve">= 31,230 tonnes of </w:t>
            </w:r>
            <w:r w:rsidRPr="00BE78CA">
              <w:rPr>
                <w:rFonts w:cs="Calibri"/>
                <w:sz w:val="20"/>
              </w:rPr>
              <w:t>CO</w:t>
            </w:r>
            <w:r w:rsidRPr="00BE78CA">
              <w:rPr>
                <w:rFonts w:cs="Calibri"/>
                <w:sz w:val="20"/>
                <w:vertAlign w:val="subscript"/>
              </w:rPr>
              <w:t>2</w:t>
            </w:r>
            <w:r w:rsidRPr="00BE78CA">
              <w:rPr>
                <w:rFonts w:eastAsia="Calibri" w:cs="Calibri"/>
                <w:sz w:val="20"/>
              </w:rPr>
              <w:t>.</w:t>
            </w:r>
          </w:p>
          <w:p w14:paraId="6B8E9301" w14:textId="77777777" w:rsidR="00706DD1" w:rsidRPr="00BE78CA" w:rsidRDefault="00706DD1" w:rsidP="00C26084">
            <w:pPr>
              <w:spacing w:before="120"/>
              <w:rPr>
                <w:rFonts w:eastAsia="Calibri" w:cs="Calibri"/>
                <w:sz w:val="20"/>
                <w:highlight w:val="yellow"/>
              </w:rPr>
            </w:pPr>
            <w:r w:rsidRPr="00BE78CA">
              <w:rPr>
                <w:rFonts w:eastAsia="Calibri" w:cs="Calibri"/>
                <w:sz w:val="20"/>
              </w:rPr>
              <w:t xml:space="preserve">Using the same methodology above will yield 149 tonnes of </w:t>
            </w:r>
            <w:r w:rsidRPr="00BE78CA">
              <w:rPr>
                <w:rFonts w:cs="Calibri"/>
                <w:sz w:val="20"/>
              </w:rPr>
              <w:t>CH</w:t>
            </w:r>
            <w:r w:rsidRPr="00BE78CA">
              <w:rPr>
                <w:rFonts w:cs="Calibri"/>
                <w:sz w:val="20"/>
                <w:vertAlign w:val="subscript"/>
              </w:rPr>
              <w:t>4</w:t>
            </w:r>
            <w:r w:rsidRPr="00BE78CA">
              <w:rPr>
                <w:rFonts w:eastAsia="Calibri" w:cs="Calibri"/>
                <w:sz w:val="20"/>
              </w:rPr>
              <w:t xml:space="preserve">. The overall emission for Company A is therefore 34,359 tonnes of </w:t>
            </w:r>
            <w:r w:rsidRPr="00BE78CA">
              <w:rPr>
                <w:rFonts w:cs="Calibri"/>
                <w:sz w:val="20"/>
              </w:rPr>
              <w:t>CO</w:t>
            </w:r>
            <w:r w:rsidRPr="00BE78CA">
              <w:rPr>
                <w:rFonts w:cs="Calibri"/>
                <w:sz w:val="20"/>
                <w:vertAlign w:val="subscript"/>
              </w:rPr>
              <w:t>2</w:t>
            </w:r>
            <w:r w:rsidRPr="00BE78CA">
              <w:rPr>
                <w:rFonts w:eastAsia="Calibri" w:cs="Calibri"/>
                <w:sz w:val="20"/>
              </w:rPr>
              <w:t xml:space="preserve">-e emissions. </w:t>
            </w:r>
          </w:p>
        </w:tc>
      </w:tr>
    </w:tbl>
    <w:p w14:paraId="44D4E7B2" w14:textId="77777777" w:rsidR="00706DD1" w:rsidRPr="00BE78CA" w:rsidRDefault="00706DD1" w:rsidP="00706DD1">
      <w:pPr>
        <w:pStyle w:val="BodyText"/>
        <w:spacing w:before="40" w:after="60"/>
        <w:rPr>
          <w:rFonts w:cs="Calibri"/>
        </w:rPr>
      </w:pPr>
    </w:p>
    <w:tbl>
      <w:tblPr>
        <w:tblW w:w="85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4" w:type="dxa"/>
          <w:left w:w="284" w:type="dxa"/>
          <w:bottom w:w="284" w:type="dxa"/>
          <w:right w:w="284" w:type="dxa"/>
        </w:tblCellMar>
        <w:tblLook w:val="04A0" w:firstRow="1" w:lastRow="0" w:firstColumn="1" w:lastColumn="0" w:noHBand="0" w:noVBand="1"/>
      </w:tblPr>
      <w:tblGrid>
        <w:gridCol w:w="8505"/>
      </w:tblGrid>
      <w:tr w:rsidR="00706DD1" w:rsidRPr="00BE78CA" w14:paraId="7A118C35" w14:textId="77777777" w:rsidTr="00147E45">
        <w:tc>
          <w:tcPr>
            <w:tcW w:w="7938" w:type="dxa"/>
            <w:shd w:val="clear" w:color="auto" w:fill="auto"/>
          </w:tcPr>
          <w:p w14:paraId="36C97853" w14:textId="77777777" w:rsidR="00706DD1" w:rsidRPr="00BE78CA" w:rsidRDefault="00706DD1" w:rsidP="00C26084">
            <w:pPr>
              <w:pStyle w:val="Heading6"/>
              <w:keepNext w:val="0"/>
              <w:spacing w:before="0"/>
              <w:rPr>
                <w:rFonts w:eastAsia="Calibri" w:cs="Calibri"/>
              </w:rPr>
            </w:pPr>
            <w:r w:rsidRPr="00BE78CA">
              <w:rPr>
                <w:rFonts w:eastAsia="Calibri" w:cs="Calibri"/>
              </w:rPr>
              <w:t>Geothermal methodology for Company B</w:t>
            </w:r>
          </w:p>
          <w:p w14:paraId="6A19C7C4" w14:textId="77777777" w:rsidR="00706DD1" w:rsidRPr="00BE78CA" w:rsidRDefault="00706DD1" w:rsidP="00C26084">
            <w:pPr>
              <w:pStyle w:val="BodyText"/>
              <w:spacing w:after="0"/>
              <w:rPr>
                <w:rFonts w:eastAsia="Calibri" w:cs="Calibri"/>
                <w:sz w:val="20"/>
              </w:rPr>
            </w:pPr>
            <w:r w:rsidRPr="00BE78CA">
              <w:rPr>
                <w:rFonts w:eastAsia="Calibri" w:cs="Calibri"/>
                <w:sz w:val="20"/>
              </w:rPr>
              <w:t xml:space="preserve">At Company B, spot measurements of both </w:t>
            </w:r>
            <w:r w:rsidRPr="00BE78CA">
              <w:rPr>
                <w:rFonts w:cs="Calibri"/>
                <w:sz w:val="20"/>
              </w:rPr>
              <w:t>CO</w:t>
            </w:r>
            <w:r w:rsidRPr="00BE78CA">
              <w:rPr>
                <w:rFonts w:cs="Calibri"/>
                <w:sz w:val="20"/>
                <w:vertAlign w:val="subscript"/>
              </w:rPr>
              <w:t>2</w:t>
            </w:r>
            <w:r w:rsidRPr="00BE78CA">
              <w:rPr>
                <w:rFonts w:eastAsia="Calibri" w:cs="Calibri"/>
                <w:sz w:val="20"/>
              </w:rPr>
              <w:t xml:space="preserve"> and </w:t>
            </w:r>
            <w:r w:rsidRPr="00BE78CA">
              <w:rPr>
                <w:rFonts w:cs="Calibri"/>
                <w:sz w:val="20"/>
              </w:rPr>
              <w:t>CH</w:t>
            </w:r>
            <w:r w:rsidRPr="00BE78CA">
              <w:rPr>
                <w:rFonts w:cs="Calibri"/>
                <w:sz w:val="20"/>
                <w:vertAlign w:val="subscript"/>
              </w:rPr>
              <w:t>4</w:t>
            </w:r>
            <w:r w:rsidRPr="00BE78CA">
              <w:rPr>
                <w:rFonts w:eastAsia="Calibri" w:cs="Calibri"/>
                <w:sz w:val="20"/>
              </w:rPr>
              <w:t xml:space="preserve"> concentrations are taken at the inlet steam when the power stations are operating normally. The net megawatt hours of electricity generated that day are then used to calculate the emission factor. This implied emission factor is then multiplied by the annual amount of electricity generated to work out the annual emissions for each power station.</w:t>
            </w:r>
          </w:p>
        </w:tc>
      </w:tr>
    </w:tbl>
    <w:p w14:paraId="0E3CBD93" w14:textId="77777777" w:rsidR="00706DD1" w:rsidRPr="00BE78CA" w:rsidRDefault="00706DD1" w:rsidP="00C8021D">
      <w:pPr>
        <w:pStyle w:val="Heading4"/>
        <w:spacing w:before="360"/>
      </w:pPr>
      <w:r w:rsidRPr="00BE78CA">
        <w:rPr>
          <w:lang w:eastAsia="en-GB"/>
        </w:rPr>
        <w:t>Activity data</w:t>
      </w:r>
    </w:p>
    <w:p w14:paraId="4B416EAB" w14:textId="77777777" w:rsidR="00706DD1" w:rsidRPr="00BE78CA" w:rsidRDefault="00706DD1" w:rsidP="00706DD1">
      <w:pPr>
        <w:pStyle w:val="Heading5"/>
        <w:spacing w:before="160"/>
        <w:rPr>
          <w:rFonts w:cs="Calibri"/>
          <w:lang w:eastAsia="en-GB"/>
        </w:rPr>
      </w:pPr>
      <w:r w:rsidRPr="00BE78CA">
        <w:rPr>
          <w:rFonts w:cs="Calibri"/>
          <w:lang w:eastAsia="en-GB"/>
        </w:rPr>
        <w:t>1.B.2.a.1 Exploration</w:t>
      </w:r>
    </w:p>
    <w:p w14:paraId="283F6DCA" w14:textId="77777777" w:rsidR="00706DD1" w:rsidRPr="00BE78CA" w:rsidRDefault="00706DD1" w:rsidP="00C8021D">
      <w:pPr>
        <w:pStyle w:val="BodyText"/>
        <w:spacing w:before="100" w:after="100"/>
        <w:rPr>
          <w:rFonts w:cs="Calibri"/>
          <w:lang w:eastAsia="en-GB"/>
        </w:rPr>
      </w:pPr>
      <w:r w:rsidRPr="00BE78CA">
        <w:rPr>
          <w:rFonts w:cs="Calibri"/>
          <w:lang w:eastAsia="en-GB"/>
        </w:rPr>
        <w:t>Activity data are the number of wells drilled in each year as reported by New Zealand Petroleum and Minerals (MBIE, 2020). Data were only available for the years from 2001 onwards, so estimates were made by extrapolation for the years preceding 2001.</w:t>
      </w:r>
    </w:p>
    <w:p w14:paraId="2463A5CB" w14:textId="77777777" w:rsidR="00706DD1" w:rsidRPr="00BE78CA" w:rsidRDefault="00706DD1" w:rsidP="00706DD1">
      <w:pPr>
        <w:pStyle w:val="Heading5"/>
        <w:rPr>
          <w:rFonts w:cs="Calibri"/>
          <w:lang w:eastAsia="en-GB"/>
        </w:rPr>
      </w:pPr>
      <w:r w:rsidRPr="00BE78CA">
        <w:rPr>
          <w:rFonts w:cs="Calibri"/>
          <w:lang w:eastAsia="en-GB"/>
        </w:rPr>
        <w:t>1.B.2.a.3 Transport</w:t>
      </w:r>
    </w:p>
    <w:p w14:paraId="1DDC1432" w14:textId="77777777" w:rsidR="00706DD1" w:rsidRPr="00BE78CA" w:rsidRDefault="00706DD1" w:rsidP="00C8021D">
      <w:pPr>
        <w:pStyle w:val="BodyText"/>
        <w:spacing w:before="100" w:after="100"/>
        <w:rPr>
          <w:rFonts w:cs="Calibri"/>
        </w:rPr>
      </w:pPr>
      <w:r w:rsidRPr="00BE78CA">
        <w:rPr>
          <w:rFonts w:cs="Calibri"/>
          <w:lang w:eastAsia="en-GB"/>
        </w:rPr>
        <w:t xml:space="preserve">The activity data are New Zealand’s total production of crude oil (MBIE, 2020). </w:t>
      </w:r>
    </w:p>
    <w:p w14:paraId="1EFF8587" w14:textId="77777777" w:rsidR="00706DD1" w:rsidRPr="00BE78CA" w:rsidRDefault="00706DD1" w:rsidP="00706DD1">
      <w:pPr>
        <w:pStyle w:val="Heading5"/>
        <w:rPr>
          <w:rFonts w:cs="Calibri"/>
          <w:lang w:eastAsia="en-GB"/>
        </w:rPr>
      </w:pPr>
      <w:r w:rsidRPr="00BE78CA">
        <w:rPr>
          <w:rFonts w:cs="Calibri"/>
          <w:lang w:eastAsia="en-GB"/>
        </w:rPr>
        <w:t>1.B.2.a.4 Refining</w:t>
      </w:r>
    </w:p>
    <w:p w14:paraId="4BB24AD5" w14:textId="77777777" w:rsidR="00706DD1" w:rsidRPr="00BE78CA" w:rsidRDefault="00706DD1" w:rsidP="00706DD1">
      <w:pPr>
        <w:pStyle w:val="BodyText"/>
        <w:rPr>
          <w:rFonts w:cs="Calibri"/>
          <w:lang w:eastAsia="en-GB"/>
        </w:rPr>
      </w:pPr>
      <w:r w:rsidRPr="00BE78CA">
        <w:rPr>
          <w:rFonts w:cs="Calibri"/>
          <w:lang w:eastAsia="en-GB"/>
        </w:rPr>
        <w:t xml:space="preserve">Activity data are total intake at New Zealand’s sole oil refinery (MBIE, 2020). </w:t>
      </w:r>
    </w:p>
    <w:p w14:paraId="11EDAF77" w14:textId="77777777" w:rsidR="00706DD1" w:rsidRPr="00BE78CA" w:rsidRDefault="00706DD1" w:rsidP="00706DD1">
      <w:pPr>
        <w:pStyle w:val="Heading5"/>
        <w:rPr>
          <w:rFonts w:cs="Calibri"/>
          <w:lang w:eastAsia="en-GB"/>
        </w:rPr>
      </w:pPr>
      <w:r w:rsidRPr="00BE78CA">
        <w:rPr>
          <w:rFonts w:cs="Calibri"/>
          <w:lang w:eastAsia="en-GB"/>
        </w:rPr>
        <w:t>1.B.2.a.5 Distribution of oil products</w:t>
      </w:r>
    </w:p>
    <w:p w14:paraId="667112CA" w14:textId="77777777" w:rsidR="00706DD1" w:rsidRPr="00BE78CA" w:rsidRDefault="00706DD1" w:rsidP="00706DD1">
      <w:pPr>
        <w:pStyle w:val="BodyText"/>
        <w:rPr>
          <w:rFonts w:cs="Calibri"/>
          <w:lang w:eastAsia="en-GB"/>
        </w:rPr>
      </w:pPr>
      <w:r w:rsidRPr="00BE78CA">
        <w:rPr>
          <w:rFonts w:cs="Calibri"/>
          <w:lang w:eastAsia="en-GB"/>
        </w:rPr>
        <w:t>Activity data are New Zealand’s total consumption of gasoline (MBIE, 2020).</w:t>
      </w:r>
    </w:p>
    <w:p w14:paraId="1AEAAFD1" w14:textId="77777777" w:rsidR="00706DD1" w:rsidRPr="00BE78CA" w:rsidRDefault="00706DD1" w:rsidP="00706DD1">
      <w:pPr>
        <w:pStyle w:val="Heading5"/>
        <w:rPr>
          <w:rFonts w:cs="Calibri"/>
          <w:lang w:eastAsia="en-GB"/>
        </w:rPr>
      </w:pPr>
      <w:r w:rsidRPr="00BE78CA">
        <w:rPr>
          <w:rFonts w:cs="Calibri"/>
          <w:lang w:eastAsia="en-GB"/>
        </w:rPr>
        <w:t>1.B.2.b.3 Processing</w:t>
      </w:r>
    </w:p>
    <w:p w14:paraId="3867B600" w14:textId="77777777" w:rsidR="00706DD1" w:rsidRPr="00BE78CA" w:rsidRDefault="00706DD1" w:rsidP="00706DD1">
      <w:pPr>
        <w:pStyle w:val="BodyText"/>
        <w:rPr>
          <w:rFonts w:cs="Calibri"/>
          <w:lang w:eastAsia="en-GB"/>
        </w:rPr>
      </w:pPr>
      <w:r w:rsidRPr="00BE78CA">
        <w:rPr>
          <w:rFonts w:cs="Calibri"/>
          <w:lang w:eastAsia="en-GB"/>
        </w:rPr>
        <w:t>Venting of CO</w:t>
      </w:r>
      <w:r w:rsidRPr="00BE78CA">
        <w:rPr>
          <w:rFonts w:cs="Calibri"/>
          <w:vertAlign w:val="subscript"/>
          <w:lang w:eastAsia="en-GB"/>
        </w:rPr>
        <w:t>2</w:t>
      </w:r>
      <w:r w:rsidRPr="00BE78CA">
        <w:rPr>
          <w:rFonts w:cs="Calibri"/>
          <w:lang w:eastAsia="en-GB"/>
        </w:rPr>
        <w:t xml:space="preserve"> is reported under 1.B.2.c.2, in accordance with a previous ERT recommendation. No activity data are available.</w:t>
      </w:r>
    </w:p>
    <w:p w14:paraId="7DBDE601" w14:textId="77777777" w:rsidR="00706DD1" w:rsidRPr="00BE78CA" w:rsidRDefault="00706DD1" w:rsidP="00706DD1">
      <w:pPr>
        <w:pStyle w:val="Heading5"/>
        <w:rPr>
          <w:rFonts w:cs="Calibri"/>
          <w:lang w:eastAsia="en-GB"/>
        </w:rPr>
      </w:pPr>
      <w:r w:rsidRPr="00BE78CA">
        <w:rPr>
          <w:rFonts w:cs="Calibri"/>
          <w:lang w:eastAsia="en-GB"/>
        </w:rPr>
        <w:t>1.B.2.b.4 Transmission and 1.B.2.b.5 Distribution</w:t>
      </w:r>
    </w:p>
    <w:p w14:paraId="792DA38E" w14:textId="729E18F9" w:rsidR="00706DD1" w:rsidRPr="00BE78CA" w:rsidRDefault="00706DD1" w:rsidP="00706DD1">
      <w:pPr>
        <w:pStyle w:val="BodyText"/>
        <w:rPr>
          <w:rFonts w:cs="Calibri"/>
          <w:lang w:eastAsia="en-GB"/>
        </w:rPr>
      </w:pPr>
      <w:r w:rsidRPr="00BE78CA">
        <w:rPr>
          <w:rFonts w:cs="Calibri"/>
          <w:lang w:eastAsia="en-GB"/>
        </w:rPr>
        <w:t xml:space="preserve">Carbon dioxide and </w:t>
      </w:r>
      <w:r w:rsidRPr="00BE78CA">
        <w:rPr>
          <w:rFonts w:cs="Calibri"/>
        </w:rPr>
        <w:t>CH</w:t>
      </w:r>
      <w:r w:rsidRPr="00BE78CA">
        <w:rPr>
          <w:rFonts w:cs="Calibri"/>
          <w:vertAlign w:val="subscript"/>
        </w:rPr>
        <w:t>4</w:t>
      </w:r>
      <w:r w:rsidRPr="00BE78CA">
        <w:rPr>
          <w:rFonts w:cs="Calibri"/>
          <w:sz w:val="14"/>
          <w:szCs w:val="14"/>
          <w:lang w:eastAsia="en-GB"/>
        </w:rPr>
        <w:t xml:space="preserve"> </w:t>
      </w:r>
      <w:r w:rsidRPr="00BE78CA">
        <w:rPr>
          <w:rFonts w:cs="Calibri"/>
          <w:lang w:eastAsia="en-GB"/>
        </w:rPr>
        <w:t>emissions from gas leakage mainly occur from low-pressure distribution pipelines rather than from high-pressure transmission pipelines. Emissions from</w:t>
      </w:r>
      <w:r w:rsidR="00C8021D" w:rsidRPr="00BE78CA">
        <w:rPr>
          <w:rFonts w:cs="Calibri"/>
          <w:lang w:eastAsia="en-GB"/>
        </w:rPr>
        <w:t> </w:t>
      </w:r>
      <w:r w:rsidRPr="00BE78CA">
        <w:rPr>
          <w:rFonts w:cs="Calibri"/>
          <w:lang w:eastAsia="en-GB"/>
        </w:rPr>
        <w:t xml:space="preserve">transmission and distribution are reported separately. </w:t>
      </w:r>
    </w:p>
    <w:p w14:paraId="66E86DB4" w14:textId="77777777" w:rsidR="00706DD1" w:rsidRPr="00BE78CA" w:rsidRDefault="00706DD1" w:rsidP="00706DD1">
      <w:pPr>
        <w:pStyle w:val="BodyText"/>
        <w:rPr>
          <w:rFonts w:cs="Calibri"/>
        </w:rPr>
      </w:pPr>
      <w:r w:rsidRPr="00BE78CA">
        <w:rPr>
          <w:rFonts w:cs="Calibri"/>
          <w:lang w:eastAsia="en-GB"/>
        </w:rPr>
        <w:lastRenderedPageBreak/>
        <w:t>Emissions from the high-pressure transmission system were provided by the system operator. N</w:t>
      </w:r>
      <w:r w:rsidRPr="00BE78CA">
        <w:rPr>
          <w:rFonts w:cs="Calibri"/>
        </w:rPr>
        <w:t>atural gas transmission losses included both direct leakage of CH</w:t>
      </w:r>
      <w:r w:rsidRPr="00BE78CA">
        <w:rPr>
          <w:rFonts w:cs="Calibri"/>
          <w:vertAlign w:val="subscript"/>
        </w:rPr>
        <w:t>4</w:t>
      </w:r>
      <w:r w:rsidRPr="00BE78CA">
        <w:rPr>
          <w:rFonts w:cs="Calibri"/>
        </w:rPr>
        <w:t xml:space="preserve"> and CO</w:t>
      </w:r>
      <w:r w:rsidRPr="00BE78CA">
        <w:rPr>
          <w:rFonts w:cs="Calibri"/>
          <w:vertAlign w:val="subscript"/>
        </w:rPr>
        <w:t>2</w:t>
      </w:r>
      <w:r w:rsidRPr="00BE78CA">
        <w:rPr>
          <w:rFonts w:cs="Calibri"/>
        </w:rPr>
        <w:t xml:space="preserve"> and gas lost and/or used when starting lines compressors. Data are provided for gigajoules (GJ) of CH</w:t>
      </w:r>
      <w:r w:rsidRPr="00BE78CA">
        <w:rPr>
          <w:rFonts w:cs="Calibri"/>
          <w:vertAlign w:val="subscript"/>
        </w:rPr>
        <w:t>4</w:t>
      </w:r>
      <w:r w:rsidRPr="00BE78CA">
        <w:rPr>
          <w:rFonts w:cs="Calibri"/>
        </w:rPr>
        <w:t xml:space="preserve"> and tonnes of CO</w:t>
      </w:r>
      <w:r w:rsidRPr="00BE78CA">
        <w:rPr>
          <w:rFonts w:cs="Calibri"/>
          <w:vertAlign w:val="subscript"/>
        </w:rPr>
        <w:t>2</w:t>
      </w:r>
      <w:r w:rsidRPr="00BE78CA">
        <w:rPr>
          <w:rFonts w:cs="Calibri"/>
        </w:rPr>
        <w:t>. Gigajoules of CH</w:t>
      </w:r>
      <w:r w:rsidRPr="00BE78CA">
        <w:rPr>
          <w:rFonts w:cs="Calibri"/>
          <w:vertAlign w:val="subscript"/>
        </w:rPr>
        <w:t>4</w:t>
      </w:r>
      <w:r w:rsidRPr="00BE78CA">
        <w:rPr>
          <w:rFonts w:cs="Calibri"/>
        </w:rPr>
        <w:t xml:space="preserve"> are converted to tonnes of CH</w:t>
      </w:r>
      <w:r w:rsidRPr="00BE78CA">
        <w:rPr>
          <w:rFonts w:cs="Calibri"/>
          <w:vertAlign w:val="subscript"/>
        </w:rPr>
        <w:t>4</w:t>
      </w:r>
      <w:r w:rsidRPr="00BE78CA">
        <w:rPr>
          <w:rFonts w:cs="Calibri"/>
        </w:rPr>
        <w:t xml:space="preserve"> using the conversion factor of 55.6 GJ/t. New Zealand has a high-pressure transmission network nearly 3,500 kilometres in length. It joins most North Island cities (natural gas is available only in New Zealand’s North Island). No time series of the total length of the transmission lines is available; however, expert opinion is that it would have been nearly constant since 1990.</w:t>
      </w:r>
    </w:p>
    <w:p w14:paraId="7DC57A9D" w14:textId="77777777" w:rsidR="00706DD1" w:rsidRPr="00BE78CA" w:rsidRDefault="00706DD1" w:rsidP="00706DD1">
      <w:pPr>
        <w:pStyle w:val="BodyText"/>
        <w:rPr>
          <w:rFonts w:cs="Calibri"/>
        </w:rPr>
      </w:pPr>
      <w:r w:rsidRPr="00BE78CA">
        <w:rPr>
          <w:rFonts w:cs="Calibri"/>
        </w:rPr>
        <w:t>New Zealand bases distribution loss emissions on information about gas entering the distribution network, which is administrative data collected at the ‘gas gate’ by the gas industry regulator (the Gas Industry Company). It does not follow the alternative approach of using survey information collected from gas retailers on the amount of gas sold and metered at the individual customer (household, small business) level.</w:t>
      </w:r>
    </w:p>
    <w:p w14:paraId="1BFDCC47" w14:textId="77777777" w:rsidR="00706DD1" w:rsidRPr="00BE78CA" w:rsidRDefault="00706DD1" w:rsidP="00706DD1">
      <w:pPr>
        <w:pStyle w:val="BodyText"/>
        <w:rPr>
          <w:rFonts w:cs="Calibri"/>
          <w:lang w:eastAsia="en-GB"/>
        </w:rPr>
      </w:pPr>
      <w:r w:rsidRPr="00BE78CA">
        <w:rPr>
          <w:rFonts w:cs="Calibri"/>
          <w:lang w:eastAsia="en-GB"/>
        </w:rPr>
        <w:t>Of the gas entering the low-pressure distribution system, 1.75 per cent (</w:t>
      </w:r>
      <w:r w:rsidRPr="00BE78CA">
        <w:rPr>
          <w:rFonts w:cs="Calibri"/>
        </w:rPr>
        <w:t>which is based on consultation between the Government and the Gas Association of New Zealand, an industry group</w:t>
      </w:r>
      <w:r w:rsidRPr="00BE78CA">
        <w:rPr>
          <w:rFonts w:cs="Calibri"/>
          <w:lang w:eastAsia="en-GB"/>
        </w:rPr>
        <w:t xml:space="preserve">) is assumed to be lost through leakage. Consequently, the amount of natural gas leaked from the low-pressure distribution system is assumed to be 1.75 per cent of the gas entering the distribution system, and </w:t>
      </w:r>
      <w:r w:rsidRPr="00BE78CA">
        <w:rPr>
          <w:rFonts w:cs="Calibri"/>
        </w:rPr>
        <w:t>CO</w:t>
      </w:r>
      <w:r w:rsidRPr="00BE78CA">
        <w:rPr>
          <w:rFonts w:cs="Calibri"/>
          <w:vertAlign w:val="subscript"/>
        </w:rPr>
        <w:t>2</w:t>
      </w:r>
      <w:r w:rsidRPr="00BE78CA">
        <w:rPr>
          <w:rFonts w:cs="Calibri"/>
          <w:sz w:val="14"/>
          <w:szCs w:val="14"/>
          <w:lang w:eastAsia="en-GB"/>
        </w:rPr>
        <w:t xml:space="preserve"> </w:t>
      </w:r>
      <w:r w:rsidRPr="00BE78CA">
        <w:rPr>
          <w:rFonts w:cs="Calibri"/>
          <w:lang w:eastAsia="en-GB"/>
        </w:rPr>
        <w:t xml:space="preserve">and </w:t>
      </w:r>
      <w:r w:rsidRPr="00BE78CA">
        <w:rPr>
          <w:rFonts w:cs="Calibri"/>
        </w:rPr>
        <w:t>CH</w:t>
      </w:r>
      <w:r w:rsidRPr="00BE78CA">
        <w:rPr>
          <w:rFonts w:cs="Calibri"/>
          <w:vertAlign w:val="subscript"/>
        </w:rPr>
        <w:t>4</w:t>
      </w:r>
      <w:r w:rsidRPr="00BE78CA">
        <w:rPr>
          <w:rFonts w:cs="Calibri"/>
          <w:sz w:val="14"/>
          <w:szCs w:val="14"/>
          <w:lang w:eastAsia="en-GB"/>
        </w:rPr>
        <w:t xml:space="preserve"> </w:t>
      </w:r>
      <w:r w:rsidRPr="00BE78CA">
        <w:rPr>
          <w:rFonts w:cs="Calibri"/>
          <w:lang w:eastAsia="en-GB"/>
        </w:rPr>
        <w:t>emissions are calculated based on the natural gas composition data provided by the system operator.</w:t>
      </w:r>
    </w:p>
    <w:p w14:paraId="7292815A" w14:textId="77777777" w:rsidR="00706DD1" w:rsidRPr="00BE78CA" w:rsidRDefault="00706DD1" w:rsidP="00706DD1">
      <w:pPr>
        <w:pStyle w:val="Heading5"/>
        <w:rPr>
          <w:rFonts w:cs="Calibri"/>
          <w:lang w:eastAsia="en-GB"/>
        </w:rPr>
      </w:pPr>
      <w:r w:rsidRPr="00BE78CA">
        <w:rPr>
          <w:rFonts w:cs="Calibri"/>
          <w:lang w:eastAsia="en-GB"/>
        </w:rPr>
        <w:t xml:space="preserve">1.B.2.b.4 Natural gas storage </w:t>
      </w:r>
    </w:p>
    <w:p w14:paraId="7979576C" w14:textId="77777777" w:rsidR="00706DD1" w:rsidRPr="00BE78CA" w:rsidRDefault="00706DD1" w:rsidP="00706DD1">
      <w:pPr>
        <w:pStyle w:val="BodyText"/>
        <w:rPr>
          <w:rFonts w:cs="Calibri"/>
        </w:rPr>
      </w:pPr>
      <w:r w:rsidRPr="00BE78CA">
        <w:rPr>
          <w:rFonts w:cs="Calibri"/>
        </w:rPr>
        <w:t xml:space="preserve">Natural gas storage occurs at the Ahuroa gas storage facility. Ahuroa is a depleted gas field that can hold 5 PJ to 10 PJ of natural gas at any one point. A significant portion of this gas is used to run Contact Energy’s Stratford gas peaking plant, which consists of two 100 MW open cycle gas turbine units. </w:t>
      </w:r>
    </w:p>
    <w:p w14:paraId="3F1BC2A5" w14:textId="77777777" w:rsidR="00706DD1" w:rsidRPr="00BE78CA" w:rsidRDefault="00706DD1" w:rsidP="00706DD1">
      <w:pPr>
        <w:pStyle w:val="Heading5"/>
        <w:rPr>
          <w:rFonts w:cs="Calibri"/>
          <w:lang w:eastAsia="en-GB"/>
        </w:rPr>
      </w:pPr>
      <w:r w:rsidRPr="00BE78CA">
        <w:rPr>
          <w:rFonts w:cs="Calibri"/>
          <w:lang w:eastAsia="en-GB"/>
        </w:rPr>
        <w:t>1.B.2.c Venting and fla</w:t>
      </w:r>
      <w:r w:rsidRPr="00BE78CA">
        <w:rPr>
          <w:rFonts w:cs="Calibri"/>
        </w:rPr>
        <w:t>r</w:t>
      </w:r>
      <w:r w:rsidRPr="00BE78CA">
        <w:rPr>
          <w:rFonts w:cs="Calibri"/>
          <w:lang w:eastAsia="en-GB"/>
        </w:rPr>
        <w:t>ing</w:t>
      </w:r>
    </w:p>
    <w:p w14:paraId="270709E3" w14:textId="77777777" w:rsidR="00706DD1" w:rsidRPr="00BE78CA" w:rsidRDefault="00706DD1" w:rsidP="00706DD1">
      <w:pPr>
        <w:pStyle w:val="BodyText"/>
        <w:rPr>
          <w:rFonts w:cs="Calibri"/>
          <w:lang w:eastAsia="en-GB"/>
        </w:rPr>
      </w:pPr>
      <w:r w:rsidRPr="00BE78CA">
        <w:rPr>
          <w:rFonts w:cs="Calibri"/>
          <w:lang w:eastAsia="en-GB"/>
        </w:rPr>
        <w:t xml:space="preserve">Data on </w:t>
      </w:r>
      <w:r w:rsidRPr="00BE78CA">
        <w:rPr>
          <w:rFonts w:cs="Calibri"/>
        </w:rPr>
        <w:t xml:space="preserve">natural </w:t>
      </w:r>
      <w:r w:rsidRPr="00BE78CA">
        <w:rPr>
          <w:rFonts w:cs="Calibri"/>
          <w:lang w:eastAsia="en-GB"/>
        </w:rPr>
        <w:t xml:space="preserve">gas flaring and losses and own use are reported directly by gas field operators. </w:t>
      </w:r>
    </w:p>
    <w:p w14:paraId="54130A0D" w14:textId="77777777" w:rsidR="00706DD1" w:rsidRPr="00BE78CA" w:rsidRDefault="00706DD1" w:rsidP="00706DD1">
      <w:pPr>
        <w:pStyle w:val="BodyText"/>
        <w:rPr>
          <w:rFonts w:cs="Calibri"/>
          <w:lang w:eastAsia="en-GB"/>
        </w:rPr>
      </w:pPr>
      <w:r w:rsidRPr="00BE78CA">
        <w:rPr>
          <w:rFonts w:cs="Calibri"/>
          <w:lang w:eastAsia="en-GB"/>
        </w:rPr>
        <w:t xml:space="preserve">The operator of the Kapuni Gas Treatment Plant supplies estimates of </w:t>
      </w:r>
      <w:r w:rsidRPr="00BE78CA">
        <w:rPr>
          <w:rFonts w:cs="Calibri"/>
        </w:rPr>
        <w:t>CO</w:t>
      </w:r>
      <w:r w:rsidRPr="00BE78CA">
        <w:rPr>
          <w:rFonts w:cs="Calibri"/>
          <w:vertAlign w:val="subscript"/>
        </w:rPr>
        <w:t>2</w:t>
      </w:r>
      <w:r w:rsidRPr="00BE78CA">
        <w:rPr>
          <w:rFonts w:cs="Calibri"/>
          <w:lang w:eastAsia="en-GB"/>
        </w:rPr>
        <w:t xml:space="preserve"> vented during the processing of natural gas.</w:t>
      </w:r>
    </w:p>
    <w:p w14:paraId="79758496" w14:textId="77777777" w:rsidR="00706DD1" w:rsidRPr="00BE78CA" w:rsidRDefault="00706DD1" w:rsidP="00706DD1">
      <w:pPr>
        <w:pStyle w:val="BodyText"/>
        <w:rPr>
          <w:rFonts w:cs="Calibri"/>
          <w:lang w:eastAsia="en-GB"/>
        </w:rPr>
      </w:pPr>
      <w:r w:rsidRPr="00BE78CA">
        <w:rPr>
          <w:lang w:eastAsia="en-GB"/>
        </w:rPr>
        <w:t>In response to an ERT recommendation, flaring of refinery gas has been reallocated from 1.B.2.a to 1.B.2.c</w:t>
      </w:r>
      <w:r w:rsidRPr="00BE78CA">
        <w:rPr>
          <w:rFonts w:cs="Calibri"/>
          <w:lang w:eastAsia="en-GB"/>
        </w:rPr>
        <w:t>.</w:t>
      </w:r>
    </w:p>
    <w:p w14:paraId="2C6C75F7" w14:textId="77777777" w:rsidR="00706DD1" w:rsidRPr="00BE78CA" w:rsidRDefault="00706DD1" w:rsidP="00706DD1">
      <w:pPr>
        <w:pStyle w:val="Heading4"/>
        <w:rPr>
          <w:lang w:eastAsia="en-GB"/>
        </w:rPr>
      </w:pPr>
      <w:r w:rsidRPr="00BE78CA">
        <w:rPr>
          <w:lang w:eastAsia="en-GB"/>
        </w:rPr>
        <w:t>Emission factors</w:t>
      </w:r>
    </w:p>
    <w:p w14:paraId="57F647CA" w14:textId="77777777" w:rsidR="00706DD1" w:rsidRPr="00BE78CA" w:rsidRDefault="00706DD1" w:rsidP="00706DD1">
      <w:pPr>
        <w:pStyle w:val="BodyText"/>
        <w:rPr>
          <w:rFonts w:cs="Calibri"/>
          <w:lang w:eastAsia="en-GB"/>
        </w:rPr>
      </w:pPr>
      <w:r w:rsidRPr="00BE78CA">
        <w:rPr>
          <w:rFonts w:cs="Calibri"/>
          <w:lang w:eastAsia="en-GB"/>
        </w:rPr>
        <w:t>Unless noted otherwise, default IPCC emission factors have been used.</w:t>
      </w:r>
    </w:p>
    <w:p w14:paraId="1E2D0007" w14:textId="77777777" w:rsidR="00706DD1" w:rsidRPr="00BE78CA" w:rsidRDefault="00706DD1" w:rsidP="00706DD1">
      <w:pPr>
        <w:pStyle w:val="Heading4"/>
        <w:rPr>
          <w:lang w:eastAsia="en-GB"/>
        </w:rPr>
      </w:pPr>
      <w:r w:rsidRPr="00BE78CA">
        <w:rPr>
          <w:lang w:eastAsia="en-GB"/>
        </w:rPr>
        <w:t>Uncertainties and time-series consistency</w:t>
      </w:r>
    </w:p>
    <w:p w14:paraId="3F66D8BF" w14:textId="77777777" w:rsidR="00706DD1" w:rsidRPr="00BE78CA" w:rsidRDefault="00706DD1" w:rsidP="00706DD1">
      <w:pPr>
        <w:pStyle w:val="BodyText"/>
        <w:rPr>
          <w:rFonts w:cs="Calibri"/>
          <w:lang w:eastAsia="en-GB"/>
        </w:rPr>
      </w:pPr>
      <w:r w:rsidRPr="00BE78CA">
        <w:rPr>
          <w:rFonts w:cs="Calibri"/>
          <w:lang w:eastAsia="en-GB"/>
        </w:rPr>
        <w:t>The time series of data from the various geothermal fields varies in completeness – some historical data are not available. The individual geothermal fields each produce varying levels of output and emissions so the overall implied emission factors display a certain amount of natural variation.</w:t>
      </w:r>
    </w:p>
    <w:p w14:paraId="6795E6CF" w14:textId="77777777" w:rsidR="00706DD1" w:rsidRPr="00BE78CA" w:rsidRDefault="00706DD1" w:rsidP="00706DD1">
      <w:pPr>
        <w:pStyle w:val="Heading4"/>
        <w:rPr>
          <w:lang w:eastAsia="en-GB"/>
        </w:rPr>
      </w:pPr>
      <w:r w:rsidRPr="00BE78CA">
        <w:rPr>
          <w:lang w:eastAsia="en-GB"/>
        </w:rPr>
        <w:lastRenderedPageBreak/>
        <w:t>Source-specific QA/QC and verification</w:t>
      </w:r>
    </w:p>
    <w:p w14:paraId="7CC481B7" w14:textId="77777777" w:rsidR="00706DD1" w:rsidRPr="00BE78CA" w:rsidRDefault="00706DD1" w:rsidP="00706DD1">
      <w:pPr>
        <w:pStyle w:val="BodyText"/>
        <w:rPr>
          <w:rFonts w:cs="Calibri"/>
          <w:lang w:eastAsia="en-GB"/>
        </w:rPr>
      </w:pPr>
      <w:r w:rsidRPr="00BE78CA">
        <w:rPr>
          <w:rFonts w:cs="Calibri"/>
          <w:lang w:eastAsia="en-GB"/>
        </w:rPr>
        <w:t xml:space="preserve">In the preparation of this inventory, the </w:t>
      </w:r>
      <w:r w:rsidRPr="00BE78CA">
        <w:rPr>
          <w:rFonts w:cs="Calibri"/>
          <w:i/>
          <w:lang w:eastAsia="en-GB"/>
        </w:rPr>
        <w:t>Fugitive emissions</w:t>
      </w:r>
      <w:r w:rsidRPr="00BE78CA">
        <w:rPr>
          <w:rFonts w:cs="Calibri"/>
          <w:lang w:eastAsia="en-GB"/>
        </w:rPr>
        <w:t xml:space="preserve"> category underwent Tier 1 quality</w:t>
      </w:r>
      <w:r w:rsidRPr="00BE78CA">
        <w:rPr>
          <w:rFonts w:cs="Calibri"/>
          <w:lang w:eastAsia="en-GB"/>
        </w:rPr>
        <w:noBreakHyphen/>
        <w:t>assurance and quality-control checks as recommended in the 2006 IPCC Guidelines. These include regular control sums throughout systems, to verify system integrity, and consistency checks of implied emission factors.</w:t>
      </w:r>
    </w:p>
    <w:p w14:paraId="19B1469D" w14:textId="77777777" w:rsidR="00706DD1" w:rsidRPr="00BE78CA" w:rsidRDefault="00706DD1" w:rsidP="00706DD1">
      <w:pPr>
        <w:pStyle w:val="Heading4"/>
        <w:rPr>
          <w:lang w:eastAsia="en-GB"/>
        </w:rPr>
      </w:pPr>
      <w:r w:rsidRPr="00BE78CA">
        <w:rPr>
          <w:lang w:eastAsia="en-GB"/>
        </w:rPr>
        <w:t>Source-specific planned improvements</w:t>
      </w:r>
    </w:p>
    <w:p w14:paraId="40EEB5B3" w14:textId="77777777" w:rsidR="00706DD1" w:rsidRPr="00BE78CA" w:rsidRDefault="00706DD1" w:rsidP="00706DD1">
      <w:pPr>
        <w:pStyle w:val="BodyText"/>
        <w:rPr>
          <w:rFonts w:cs="Calibri"/>
          <w:lang w:eastAsia="en-GB"/>
        </w:rPr>
      </w:pPr>
      <w:r w:rsidRPr="00BE78CA">
        <w:rPr>
          <w:rFonts w:cs="Calibri"/>
          <w:lang w:eastAsia="en-GB"/>
        </w:rPr>
        <w:t>As the data set of verified UEFs for individual geothermal fields and coal mines obtained from the NZ ETS grows, New Zealand will consider methods of incorporating these data to improve the accuracy of estimates.</w:t>
      </w:r>
    </w:p>
    <w:p w14:paraId="20BD6481" w14:textId="77777777" w:rsidR="00706DD1" w:rsidRPr="00BE78CA" w:rsidRDefault="00706DD1" w:rsidP="00706DD1">
      <w:pPr>
        <w:pStyle w:val="Heading2"/>
        <w:spacing w:before="0" w:after="240"/>
        <w:rPr>
          <w:rFonts w:cs="Calibri"/>
        </w:rPr>
      </w:pPr>
      <w:r w:rsidRPr="00BE78CA">
        <w:rPr>
          <w:rFonts w:cs="Calibri"/>
        </w:rPr>
        <w:br w:type="page"/>
      </w:r>
      <w:bookmarkStart w:id="372" w:name="_Toc384581638"/>
      <w:bookmarkStart w:id="373" w:name="_Toc448321510"/>
      <w:bookmarkStart w:id="374" w:name="_Toc481751372"/>
      <w:bookmarkStart w:id="375" w:name="_Toc36224389"/>
      <w:bookmarkStart w:id="376" w:name="_Toc68786309"/>
      <w:r w:rsidRPr="00BE78CA">
        <w:rPr>
          <w:rFonts w:cs="Calibri"/>
        </w:rPr>
        <w:lastRenderedPageBreak/>
        <w:t>Chapter 3: References</w:t>
      </w:r>
      <w:bookmarkEnd w:id="372"/>
      <w:bookmarkEnd w:id="373"/>
      <w:bookmarkEnd w:id="374"/>
      <w:bookmarkEnd w:id="375"/>
      <w:bookmarkEnd w:id="376"/>
    </w:p>
    <w:p w14:paraId="1CC55F7D" w14:textId="77777777" w:rsidR="00706DD1" w:rsidRPr="00BE78CA" w:rsidRDefault="00706DD1" w:rsidP="00706DD1">
      <w:pPr>
        <w:pStyle w:val="References"/>
        <w:rPr>
          <w:rFonts w:cs="Calibri"/>
          <w:lang w:eastAsia="en-GB"/>
        </w:rPr>
      </w:pPr>
      <w:r w:rsidRPr="00BE78CA">
        <w:rPr>
          <w:rFonts w:cs="Calibri"/>
          <w:lang w:eastAsia="en-GB"/>
        </w:rPr>
        <w:t xml:space="preserve">Australian Bureau of Statistics and Statistics New Zealand. 2006. </w:t>
      </w:r>
      <w:r w:rsidRPr="00BE78CA">
        <w:rPr>
          <w:rFonts w:cs="Calibri"/>
          <w:i/>
          <w:iCs/>
          <w:lang w:eastAsia="en-GB"/>
        </w:rPr>
        <w:t xml:space="preserve">Australian and New Zealand Standard Industrial Classification Revision 1.0. </w:t>
      </w:r>
      <w:r w:rsidRPr="00BE78CA">
        <w:rPr>
          <w:rFonts w:cs="Calibri"/>
          <w:lang w:eastAsia="en-GB"/>
        </w:rPr>
        <w:t>Canberra: Australian Bureau of Statistics.</w:t>
      </w:r>
    </w:p>
    <w:p w14:paraId="5AED01D8" w14:textId="77777777" w:rsidR="00706DD1" w:rsidRPr="00BE78CA" w:rsidRDefault="00706DD1" w:rsidP="00706DD1">
      <w:pPr>
        <w:pStyle w:val="References"/>
        <w:rPr>
          <w:rFonts w:cs="Calibri"/>
          <w:lang w:eastAsia="en-GB"/>
        </w:rPr>
      </w:pPr>
      <w:r w:rsidRPr="00BE78CA">
        <w:rPr>
          <w:rFonts w:cs="Calibri"/>
          <w:lang w:eastAsia="en-GB"/>
        </w:rPr>
        <w:t xml:space="preserve">Baines JT. 1993. </w:t>
      </w:r>
      <w:r w:rsidRPr="00BE78CA">
        <w:rPr>
          <w:rFonts w:cs="Calibri"/>
          <w:i/>
          <w:iCs/>
          <w:lang w:eastAsia="en-GB"/>
        </w:rPr>
        <w:t>New Zealand Energy Information Handbook</w:t>
      </w:r>
      <w:r w:rsidRPr="00BE78CA">
        <w:rPr>
          <w:rFonts w:cs="Calibri"/>
          <w:lang w:eastAsia="en-GB"/>
        </w:rPr>
        <w:t>. Christchurch: Taylor Baines and Associates.</w:t>
      </w:r>
    </w:p>
    <w:p w14:paraId="516CA797" w14:textId="77777777" w:rsidR="00706DD1" w:rsidRPr="00BE78CA" w:rsidRDefault="00706DD1" w:rsidP="00706DD1">
      <w:pPr>
        <w:pStyle w:val="References"/>
        <w:rPr>
          <w:rFonts w:cs="Calibri"/>
          <w:lang w:eastAsia="en-GB"/>
        </w:rPr>
      </w:pPr>
      <w:r w:rsidRPr="00BE78CA">
        <w:rPr>
          <w:rFonts w:cs="Calibri"/>
          <w:lang w:eastAsia="en-GB"/>
        </w:rPr>
        <w:t xml:space="preserve">Beamish BB, Vance WE. 1992. Greenhouse Gas Contributions from Coal Mining in Australia and New Zealand. </w:t>
      </w:r>
      <w:r w:rsidRPr="00BE78CA">
        <w:rPr>
          <w:rFonts w:cs="Calibri"/>
          <w:i/>
          <w:iCs/>
          <w:lang w:eastAsia="en-GB"/>
        </w:rPr>
        <w:t xml:space="preserve">Journal of the Royal Society of New Zealand </w:t>
      </w:r>
      <w:r w:rsidRPr="00BE78CA">
        <w:rPr>
          <w:rFonts w:cs="Calibri"/>
          <w:lang w:eastAsia="en-GB"/>
        </w:rPr>
        <w:t>22(2).</w:t>
      </w:r>
    </w:p>
    <w:p w14:paraId="506629D1" w14:textId="5EB95147" w:rsidR="00706DD1" w:rsidRPr="00BE78CA" w:rsidRDefault="00706DD1" w:rsidP="00706DD1">
      <w:pPr>
        <w:pStyle w:val="References"/>
        <w:rPr>
          <w:rFonts w:cs="Calibri"/>
          <w:lang w:eastAsia="en-GB"/>
        </w:rPr>
      </w:pPr>
      <w:r w:rsidRPr="00BE78CA">
        <w:rPr>
          <w:rFonts w:cs="Calibri"/>
          <w:lang w:eastAsia="en-GB"/>
        </w:rPr>
        <w:t xml:space="preserve">Bioenergy Association of New Zealand. 2011. </w:t>
      </w:r>
      <w:r w:rsidRPr="00BE78CA">
        <w:rPr>
          <w:rFonts w:cs="Calibri"/>
          <w:i/>
          <w:lang w:eastAsia="en-GB"/>
        </w:rPr>
        <w:t>Heat Plant in New Zealand</w:t>
      </w:r>
      <w:r w:rsidRPr="00BE78CA">
        <w:rPr>
          <w:rFonts w:cs="Calibri"/>
          <w:lang w:eastAsia="en-GB"/>
        </w:rPr>
        <w:t xml:space="preserve">. Retrieved </w:t>
      </w:r>
      <w:r w:rsidRPr="00BE78CA">
        <w:t>from </w:t>
      </w:r>
      <w:hyperlink r:id="rId83" w:history="1">
        <w:r w:rsidRPr="00BE78CA">
          <w:rPr>
            <w:rStyle w:val="Hyperlink"/>
          </w:rPr>
          <w:t>www.bioenergy.org.nz/documents/resource/heat-plant-database-report-august-2011.pdf</w:t>
        </w:r>
      </w:hyperlink>
      <w:r w:rsidRPr="00BE78CA">
        <w:rPr>
          <w:rFonts w:cs="Calibri"/>
        </w:rPr>
        <w:t xml:space="preserve"> (March 2018).</w:t>
      </w:r>
      <w:r w:rsidR="00951502" w:rsidRPr="00BE78CA">
        <w:rPr>
          <w:rFonts w:cs="Calibri"/>
        </w:rPr>
        <w:t xml:space="preserve"> </w:t>
      </w:r>
    </w:p>
    <w:p w14:paraId="7A5F0838" w14:textId="77777777" w:rsidR="00706DD1" w:rsidRPr="00BE78CA" w:rsidRDefault="00706DD1" w:rsidP="00706DD1">
      <w:pPr>
        <w:pStyle w:val="References"/>
        <w:rPr>
          <w:rFonts w:cs="Calibri"/>
          <w:lang w:eastAsia="en-GB"/>
        </w:rPr>
      </w:pPr>
      <w:r w:rsidRPr="00BE78CA">
        <w:rPr>
          <w:rFonts w:cs="Calibri"/>
          <w:lang w:eastAsia="en-GB"/>
        </w:rPr>
        <w:t xml:space="preserve">BRANZ. 2002. </w:t>
      </w:r>
      <w:r w:rsidRPr="00BE78CA">
        <w:rPr>
          <w:rFonts w:cs="Calibri"/>
          <w:i/>
          <w:iCs/>
          <w:lang w:eastAsia="en-GB"/>
        </w:rPr>
        <w:t>Energy Use in New Zealand Households</w:t>
      </w:r>
      <w:r w:rsidRPr="00BE78CA">
        <w:rPr>
          <w:rFonts w:cs="Calibri"/>
          <w:lang w:eastAsia="en-GB"/>
        </w:rPr>
        <w:t>. Porirua, Wellington: Building Research Association of New Zealand.</w:t>
      </w:r>
    </w:p>
    <w:p w14:paraId="2ACB4F9F" w14:textId="77777777" w:rsidR="00706DD1" w:rsidRPr="00BE78CA" w:rsidRDefault="00706DD1" w:rsidP="00706DD1">
      <w:pPr>
        <w:pStyle w:val="References"/>
        <w:rPr>
          <w:rFonts w:cs="Calibri"/>
          <w:lang w:eastAsia="en-GB"/>
        </w:rPr>
      </w:pPr>
      <w:r w:rsidRPr="00BE78CA">
        <w:rPr>
          <w:rFonts w:cs="Calibri"/>
          <w:lang w:eastAsia="en-GB"/>
        </w:rPr>
        <w:t xml:space="preserve">CRL Energy Ltd. 2009. </w:t>
      </w:r>
      <w:r w:rsidRPr="00BE78CA">
        <w:rPr>
          <w:rFonts w:cs="Calibri"/>
          <w:i/>
          <w:iCs/>
          <w:lang w:eastAsia="en-GB"/>
        </w:rPr>
        <w:t xml:space="preserve">Reviewing Default Emission Factors in Draft Stationary Energy and Industrial </w:t>
      </w:r>
      <w:r w:rsidRPr="00BE78CA">
        <w:t xml:space="preserve">Processes. Contract report prepared for the Ministry for the Environment. Wellington: Ministry for the Environment. Retrieved from </w:t>
      </w:r>
      <w:hyperlink r:id="rId84" w:history="1">
        <w:r w:rsidRPr="00BE78CA">
          <w:rPr>
            <w:rStyle w:val="Hyperlink"/>
          </w:rPr>
          <w:t>www.climatechange.govt.nz/consultation/energy/review-default-emissions-factors.pdf</w:t>
        </w:r>
      </w:hyperlink>
      <w:r w:rsidRPr="00BE78CA">
        <w:rPr>
          <w:rFonts w:cs="Calibri"/>
        </w:rPr>
        <w:t xml:space="preserve"> (Ma</w:t>
      </w:r>
      <w:r w:rsidRPr="00BE78CA">
        <w:rPr>
          <w:rFonts w:cs="Calibri"/>
          <w:lang w:eastAsia="en-GB"/>
        </w:rPr>
        <w:t>rch 2018).</w:t>
      </w:r>
    </w:p>
    <w:p w14:paraId="54BA433A" w14:textId="750B266B" w:rsidR="00706DD1" w:rsidRPr="00BE78CA" w:rsidRDefault="00706DD1" w:rsidP="00706DD1">
      <w:pPr>
        <w:pStyle w:val="References"/>
      </w:pPr>
      <w:r w:rsidRPr="00BE78CA">
        <w:rPr>
          <w:rFonts w:cs="Calibri"/>
        </w:rPr>
        <w:t xml:space="preserve">Climate Change (Liquid Fossil Fuels) Amendment Regulations 2009 (as at 29 December 2015) </w:t>
      </w:r>
      <w:hyperlink r:id="rId85" w:history="1">
        <w:r w:rsidRPr="00BE78CA">
          <w:rPr>
            <w:rStyle w:val="Hyperlink"/>
          </w:rPr>
          <w:t>www.legislation.govt.nz/regulation/public/2008/0356/latest/DLM1635638.html</w:t>
        </w:r>
      </w:hyperlink>
      <w:r w:rsidRPr="00BE78CA">
        <w:t>.</w:t>
      </w:r>
    </w:p>
    <w:p w14:paraId="08B1F851" w14:textId="77777777" w:rsidR="00706DD1" w:rsidRPr="00BE78CA" w:rsidRDefault="00706DD1" w:rsidP="00706DD1">
      <w:pPr>
        <w:pStyle w:val="References"/>
        <w:rPr>
          <w:rFonts w:cs="Calibri"/>
        </w:rPr>
      </w:pPr>
      <w:r w:rsidRPr="00BE78CA">
        <w:rPr>
          <w:rFonts w:cs="Calibri"/>
        </w:rPr>
        <w:t xml:space="preserve">Climate Change (Stationary Energy and Industrial Processes) Regulations 2009 (as at 1 January 2018) </w:t>
      </w:r>
      <w:hyperlink r:id="rId86" w:history="1">
        <w:r w:rsidRPr="00BE78CA">
          <w:rPr>
            <w:rStyle w:val="Hyperlink"/>
          </w:rPr>
          <w:t>www.legislation.govt.nz/regulation/public/2009/0285/latest/DLM2394207.html</w:t>
        </w:r>
      </w:hyperlink>
      <w:r w:rsidRPr="00BE78CA">
        <w:rPr>
          <w:rFonts w:cs="Calibri"/>
        </w:rPr>
        <w:t>.</w:t>
      </w:r>
    </w:p>
    <w:p w14:paraId="2E8FF2A6" w14:textId="7BB41D2A" w:rsidR="00706DD1" w:rsidRPr="00BE78CA" w:rsidRDefault="00706DD1" w:rsidP="00706DD1">
      <w:pPr>
        <w:pStyle w:val="References"/>
      </w:pPr>
      <w:r w:rsidRPr="00BE78CA">
        <w:rPr>
          <w:rFonts w:cs="Calibri"/>
        </w:rPr>
        <w:t xml:space="preserve">Climate Change (Unique Emissions Factors) Regulations 2009 (as at 1 January 2018) </w:t>
      </w:r>
      <w:hyperlink r:id="rId87" w:history="1">
        <w:r w:rsidR="005552E1" w:rsidRPr="00BE78CA">
          <w:rPr>
            <w:rStyle w:val="Hyperlink"/>
          </w:rPr>
          <w:t>www.legislation.govt.nz/regulation/public/2009/0286/latest/DLM2378401.html</w:t>
        </w:r>
      </w:hyperlink>
      <w:r w:rsidRPr="00BE78CA">
        <w:t>.</w:t>
      </w:r>
    </w:p>
    <w:p w14:paraId="635C9F1F" w14:textId="77777777" w:rsidR="00706DD1" w:rsidRPr="00BE78CA" w:rsidRDefault="00706DD1" w:rsidP="00706DD1">
      <w:pPr>
        <w:pStyle w:val="References"/>
        <w:rPr>
          <w:rFonts w:cs="Calibri"/>
          <w:lang w:eastAsia="en-GB"/>
        </w:rPr>
      </w:pPr>
      <w:r w:rsidRPr="00BE78CA">
        <w:rPr>
          <w:rFonts w:cs="Calibri"/>
          <w:lang w:eastAsia="en-GB"/>
        </w:rPr>
        <w:t xml:space="preserve">European Environment Agency. 2007. </w:t>
      </w:r>
      <w:r w:rsidRPr="00BE78CA">
        <w:rPr>
          <w:rFonts w:cs="Calibri"/>
          <w:i/>
          <w:iCs/>
          <w:lang w:eastAsia="en-GB"/>
        </w:rPr>
        <w:t>EMEP/CORINAIR Emission Inventory Guidebook – 2007</w:t>
      </w:r>
      <w:r w:rsidRPr="00BE78CA">
        <w:rPr>
          <w:rFonts w:cs="Calibri"/>
          <w:iCs/>
          <w:lang w:eastAsia="en-GB"/>
        </w:rPr>
        <w:t>. Copenhagen:</w:t>
      </w:r>
      <w:r w:rsidRPr="00BE78CA">
        <w:rPr>
          <w:rFonts w:cs="Calibri"/>
          <w:lang w:eastAsia="en-GB"/>
        </w:rPr>
        <w:t xml:space="preserve"> European Environment Agency.</w:t>
      </w:r>
    </w:p>
    <w:p w14:paraId="735159C6" w14:textId="77777777" w:rsidR="00706DD1" w:rsidRPr="00BE78CA" w:rsidRDefault="00706DD1" w:rsidP="00706DD1">
      <w:pPr>
        <w:pStyle w:val="References"/>
        <w:rPr>
          <w:rFonts w:cs="Calibri"/>
          <w:lang w:eastAsia="en-GB"/>
        </w:rPr>
      </w:pPr>
      <w:r w:rsidRPr="00BE78CA">
        <w:rPr>
          <w:rFonts w:cs="Calibri"/>
          <w:lang w:eastAsia="en-GB"/>
        </w:rPr>
        <w:t xml:space="preserve">European Environment Agency. 2016. </w:t>
      </w:r>
      <w:r w:rsidRPr="00BE78CA">
        <w:rPr>
          <w:rFonts w:cs="Calibri"/>
          <w:i/>
          <w:lang w:eastAsia="en-GB"/>
        </w:rPr>
        <w:t>EMEP/EEA Air Pollutant Emission Inventory Guidebook 2016: Technical guidance to prepare national emission inventories</w:t>
      </w:r>
      <w:r w:rsidRPr="00BE78CA">
        <w:rPr>
          <w:rFonts w:cs="Calibri"/>
          <w:lang w:eastAsia="en-GB"/>
        </w:rPr>
        <w:t xml:space="preserve">. </w:t>
      </w:r>
      <w:r w:rsidRPr="00BE78CA">
        <w:rPr>
          <w:rFonts w:cs="Calibri"/>
          <w:iCs/>
          <w:lang w:eastAsia="en-GB"/>
        </w:rPr>
        <w:t>Copenhagen</w:t>
      </w:r>
      <w:r w:rsidRPr="00BE78CA">
        <w:rPr>
          <w:rFonts w:cs="Calibri"/>
          <w:lang w:eastAsia="en-GB"/>
        </w:rPr>
        <w:t>: European Environment Agency.</w:t>
      </w:r>
    </w:p>
    <w:p w14:paraId="12EE0841" w14:textId="77777777" w:rsidR="00706DD1" w:rsidRPr="00BE78CA" w:rsidRDefault="00706DD1" w:rsidP="00706DD1">
      <w:pPr>
        <w:pStyle w:val="References"/>
        <w:rPr>
          <w:rFonts w:cs="Calibri"/>
        </w:rPr>
      </w:pPr>
      <w:r w:rsidRPr="00BE78CA">
        <w:rPr>
          <w:rFonts w:cs="Calibri"/>
        </w:rPr>
        <w:t xml:space="preserve">IPCC. 2006. Eggleston HS, Buendia L, Miwa K, Ngara T, Tanabe K (eds). </w:t>
      </w:r>
      <w:r w:rsidRPr="00BE78CA">
        <w:rPr>
          <w:rFonts w:cs="Calibri"/>
          <w:i/>
        </w:rPr>
        <w:t>2006 IPCC Guidelines for National Greenhouse Gas Inventories. Volume 2. Energy</w:t>
      </w:r>
      <w:r w:rsidRPr="00BE78CA">
        <w:rPr>
          <w:rFonts w:cs="Calibri"/>
        </w:rPr>
        <w:t>. IPCC National Greenhouse Gas Inventories Programme. Japan: Institute for Global Environmental Strategies for IPCC.</w:t>
      </w:r>
    </w:p>
    <w:p w14:paraId="50BF5AE3" w14:textId="77777777" w:rsidR="00706DD1" w:rsidRPr="00BE78CA" w:rsidRDefault="00706DD1" w:rsidP="00706DD1">
      <w:pPr>
        <w:pStyle w:val="References"/>
        <w:rPr>
          <w:rFonts w:cs="Calibri"/>
        </w:rPr>
      </w:pPr>
      <w:r w:rsidRPr="00BE78CA">
        <w:rPr>
          <w:rFonts w:cs="Calibri"/>
        </w:rPr>
        <w:t xml:space="preserve">MBIE. 2008. </w:t>
      </w:r>
      <w:r w:rsidRPr="00BE78CA">
        <w:rPr>
          <w:rFonts w:cs="Calibri"/>
          <w:i/>
          <w:iCs/>
        </w:rPr>
        <w:t>Liquid Fuel Use in New Zealand</w:t>
      </w:r>
      <w:r w:rsidRPr="00BE78CA">
        <w:rPr>
          <w:rFonts w:cs="Calibri"/>
        </w:rPr>
        <w:t xml:space="preserve">. </w:t>
      </w:r>
      <w:r w:rsidRPr="00BE78CA">
        <w:rPr>
          <w:rFonts w:cs="Calibri"/>
          <w:lang w:eastAsia="en-GB"/>
        </w:rPr>
        <w:t xml:space="preserve">Wellington: </w:t>
      </w:r>
      <w:r w:rsidRPr="00BE78CA">
        <w:rPr>
          <w:rFonts w:cs="Calibri"/>
        </w:rPr>
        <w:t>Ministry of Business, Innovation and Employment</w:t>
      </w:r>
      <w:r w:rsidRPr="00BE78CA">
        <w:rPr>
          <w:rFonts w:cs="Calibri"/>
          <w:lang w:eastAsia="en-GB"/>
        </w:rPr>
        <w:t xml:space="preserve">. </w:t>
      </w:r>
      <w:r w:rsidRPr="00BE78CA">
        <w:rPr>
          <w:rFonts w:cs="Calibri"/>
        </w:rPr>
        <w:t xml:space="preserve">Retrieved from </w:t>
      </w:r>
      <w:hyperlink r:id="rId88" w:history="1">
        <w:r w:rsidRPr="00BE78CA">
          <w:rPr>
            <w:rStyle w:val="Hyperlink"/>
          </w:rPr>
          <w:t>www.med.govt.nz/sectors-industries/energy/energy-modelling/technical-papers/liquid-fuels-use-in-new-zealand</w:t>
        </w:r>
      </w:hyperlink>
      <w:r w:rsidRPr="00BE78CA">
        <w:rPr>
          <w:rFonts w:cs="Calibri"/>
        </w:rPr>
        <w:t xml:space="preserve"> (March 2013).</w:t>
      </w:r>
    </w:p>
    <w:p w14:paraId="580E95EC" w14:textId="77777777" w:rsidR="00706DD1" w:rsidRPr="00BE78CA" w:rsidRDefault="00706DD1" w:rsidP="00706DD1">
      <w:pPr>
        <w:pStyle w:val="References"/>
        <w:rPr>
          <w:rFonts w:cs="Calibri"/>
        </w:rPr>
      </w:pPr>
      <w:r w:rsidRPr="00BE78CA">
        <w:rPr>
          <w:rFonts w:cs="Calibri"/>
        </w:rPr>
        <w:t xml:space="preserve">MBIE. 2010. </w:t>
      </w:r>
      <w:r w:rsidRPr="00BE78CA">
        <w:rPr>
          <w:rFonts w:cs="Calibri"/>
          <w:i/>
        </w:rPr>
        <w:t>Delivering the Diesel – Liquid Fuel Deliveries in New Zealand 1990–2008</w:t>
      </w:r>
      <w:r w:rsidRPr="00BE78CA">
        <w:rPr>
          <w:rFonts w:cs="Calibri"/>
        </w:rPr>
        <w:t xml:space="preserve">. </w:t>
      </w:r>
      <w:r w:rsidRPr="00BE78CA">
        <w:rPr>
          <w:rFonts w:cs="Calibri"/>
          <w:lang w:eastAsia="en-GB"/>
        </w:rPr>
        <w:t xml:space="preserve">Wellington: </w:t>
      </w:r>
      <w:r w:rsidRPr="00BE78CA">
        <w:t xml:space="preserve">Ministry of Business, Innovation and Employment. Retrieved from </w:t>
      </w:r>
      <w:hyperlink r:id="rId89" w:history="1">
        <w:r w:rsidRPr="00BE78CA">
          <w:rPr>
            <w:rStyle w:val="Hyperlink"/>
          </w:rPr>
          <w:t>www.med.govt.nz/sectors-industries/energy/energy-modelling/technical-papers/delivering-the-diesel-liquid-fuel-deliveries-in-new-zealand-1990-2008</w:t>
        </w:r>
      </w:hyperlink>
      <w:r w:rsidRPr="00BE78CA">
        <w:rPr>
          <w:rFonts w:cs="Calibri"/>
        </w:rPr>
        <w:t xml:space="preserve"> (March 2013).</w:t>
      </w:r>
    </w:p>
    <w:p w14:paraId="429A684F" w14:textId="45DDF6D0" w:rsidR="00706DD1" w:rsidRPr="00BE78CA" w:rsidRDefault="00706DD1" w:rsidP="00706DD1">
      <w:pPr>
        <w:pStyle w:val="References"/>
      </w:pPr>
      <w:r w:rsidRPr="00BE78CA">
        <w:rPr>
          <w:rFonts w:cs="Calibri"/>
          <w:lang w:eastAsia="en-GB"/>
        </w:rPr>
        <w:t>M</w:t>
      </w:r>
      <w:r w:rsidRPr="00BE78CA">
        <w:rPr>
          <w:rFonts w:cs="Calibri"/>
        </w:rPr>
        <w:t>BIE</w:t>
      </w:r>
      <w:r w:rsidRPr="00BE78CA">
        <w:rPr>
          <w:rFonts w:cs="Calibri"/>
          <w:lang w:eastAsia="en-GB"/>
        </w:rPr>
        <w:t xml:space="preserve">. 2020. </w:t>
      </w:r>
      <w:r w:rsidRPr="00BE78CA">
        <w:rPr>
          <w:rFonts w:cs="Calibri"/>
          <w:i/>
          <w:iCs/>
          <w:lang w:eastAsia="en-GB"/>
        </w:rPr>
        <w:t>Energy in New Zealand</w:t>
      </w:r>
      <w:r w:rsidRPr="00BE78CA">
        <w:rPr>
          <w:rFonts w:cs="Calibri"/>
          <w:lang w:eastAsia="en-GB"/>
        </w:rPr>
        <w:t xml:space="preserve">. Wellington: </w:t>
      </w:r>
      <w:r w:rsidRPr="00BE78CA">
        <w:rPr>
          <w:rFonts w:cs="Calibri"/>
        </w:rPr>
        <w:t>Ministry of Business, Innovation and Employment</w:t>
      </w:r>
      <w:r w:rsidRPr="00BE78CA">
        <w:rPr>
          <w:rFonts w:cs="Calibri"/>
          <w:lang w:eastAsia="en-GB"/>
        </w:rPr>
        <w:t xml:space="preserve">. </w:t>
      </w:r>
      <w:r w:rsidRPr="00BE78CA">
        <w:rPr>
          <w:rFonts w:cs="Calibri"/>
        </w:rPr>
        <w:t xml:space="preserve">Retrieved </w:t>
      </w:r>
      <w:r w:rsidRPr="00BE78CA">
        <w:t xml:space="preserve">from </w:t>
      </w:r>
      <w:hyperlink r:id="rId90" w:history="1">
        <w:r w:rsidR="00BC5002" w:rsidRPr="00BE78CA">
          <w:rPr>
            <w:rStyle w:val="Hyperlink"/>
          </w:rPr>
          <w:t>www.mbie.govt.nz/building-and-energy/energy-and-natural-resources/energy-statistics-and-modelling/energy-publications-and-technical-papers/energy-in-new-zealand</w:t>
        </w:r>
      </w:hyperlink>
      <w:r w:rsidRPr="00BE78CA">
        <w:t xml:space="preserve"> (September 2020).</w:t>
      </w:r>
    </w:p>
    <w:p w14:paraId="38A075EB" w14:textId="77777777" w:rsidR="00706DD1" w:rsidRPr="00BE78CA" w:rsidRDefault="00706DD1" w:rsidP="00706DD1">
      <w:pPr>
        <w:pStyle w:val="References"/>
        <w:rPr>
          <w:rFonts w:cs="Calibri"/>
        </w:rPr>
      </w:pPr>
      <w:r w:rsidRPr="00BE78CA">
        <w:rPr>
          <w:rFonts w:cs="Calibri"/>
          <w:lang w:eastAsia="en-GB"/>
        </w:rPr>
        <w:t xml:space="preserve">Ministry for the Environment. 2009. </w:t>
      </w:r>
      <w:r w:rsidRPr="00BE78CA">
        <w:rPr>
          <w:rFonts w:cs="Calibri"/>
          <w:i/>
          <w:iCs/>
          <w:lang w:eastAsia="en-GB"/>
        </w:rPr>
        <w:t>Projects to Reduce Emissions (PRE)</w:t>
      </w:r>
      <w:r w:rsidRPr="00BE78CA">
        <w:rPr>
          <w:rFonts w:cs="Calibri"/>
          <w:iCs/>
          <w:lang w:eastAsia="en-GB"/>
        </w:rPr>
        <w:t xml:space="preserve">. </w:t>
      </w:r>
      <w:r w:rsidRPr="00BE78CA">
        <w:rPr>
          <w:rFonts w:cs="Calibri"/>
          <w:lang w:eastAsia="en-GB"/>
        </w:rPr>
        <w:t xml:space="preserve">Wellington: </w:t>
      </w:r>
      <w:r w:rsidRPr="00BE78CA">
        <w:rPr>
          <w:rFonts w:cs="Calibri"/>
        </w:rPr>
        <w:t>Ministry for the Environment</w:t>
      </w:r>
      <w:r w:rsidRPr="00BE78CA">
        <w:rPr>
          <w:rFonts w:cs="Calibri"/>
          <w:lang w:eastAsia="en-GB"/>
        </w:rPr>
        <w:t xml:space="preserve">. </w:t>
      </w:r>
      <w:r w:rsidRPr="00BE78CA">
        <w:rPr>
          <w:rFonts w:cs="Calibri"/>
          <w:iCs/>
          <w:lang w:eastAsia="en-GB"/>
        </w:rPr>
        <w:t>Retrieved from</w:t>
      </w:r>
      <w:r w:rsidRPr="00BE78CA">
        <w:rPr>
          <w:rFonts w:cs="Calibri"/>
          <w:i/>
          <w:iCs/>
          <w:lang w:eastAsia="en-GB"/>
        </w:rPr>
        <w:t xml:space="preserve"> </w:t>
      </w:r>
      <w:hyperlink r:id="rId91" w:history="1">
        <w:r w:rsidRPr="00BE78CA">
          <w:rPr>
            <w:rStyle w:val="Hyperlink"/>
          </w:rPr>
          <w:t>www.mfe.govt.nz/issues/climate/policies-initiatives/projects</w:t>
        </w:r>
      </w:hyperlink>
      <w:r w:rsidRPr="00BE78CA">
        <w:rPr>
          <w:rFonts w:cs="Calibri"/>
        </w:rPr>
        <w:t xml:space="preserve"> (March 2012)</w:t>
      </w:r>
      <w:r w:rsidRPr="00BE78CA">
        <w:rPr>
          <w:rFonts w:cs="Calibri"/>
          <w:lang w:eastAsia="en-GB"/>
        </w:rPr>
        <w:t xml:space="preserve">. </w:t>
      </w:r>
    </w:p>
    <w:p w14:paraId="7ED87C54" w14:textId="77777777" w:rsidR="00706DD1" w:rsidRPr="00BE78CA" w:rsidRDefault="00706DD1" w:rsidP="00706DD1">
      <w:pPr>
        <w:pStyle w:val="References"/>
        <w:rPr>
          <w:rFonts w:cs="Calibri"/>
        </w:rPr>
      </w:pPr>
      <w:r w:rsidRPr="00BE78CA">
        <w:rPr>
          <w:rFonts w:cs="Calibri"/>
        </w:rPr>
        <w:t xml:space="preserve">Ministry of Transport. 2010. </w:t>
      </w:r>
      <w:r w:rsidRPr="00BE78CA">
        <w:rPr>
          <w:rFonts w:cs="Calibri"/>
          <w:i/>
        </w:rPr>
        <w:t xml:space="preserve">New Zealand Travel Survey. </w:t>
      </w:r>
      <w:r w:rsidRPr="00BE78CA">
        <w:rPr>
          <w:rFonts w:cs="Calibri"/>
          <w:lang w:eastAsia="en-GB"/>
        </w:rPr>
        <w:t xml:space="preserve">Wellington: </w:t>
      </w:r>
      <w:r w:rsidRPr="00BE78CA">
        <w:rPr>
          <w:rFonts w:cs="Calibri"/>
        </w:rPr>
        <w:t xml:space="preserve">Ministry of Transport. Retrieved from </w:t>
      </w:r>
      <w:hyperlink r:id="rId92" w:history="1">
        <w:r w:rsidRPr="00BE78CA">
          <w:rPr>
            <w:rStyle w:val="Hyperlink"/>
          </w:rPr>
          <w:t>www.transport.govt.nz/research/Pages/TravelSurvey.aspx</w:t>
        </w:r>
      </w:hyperlink>
      <w:r w:rsidRPr="00BE78CA">
        <w:rPr>
          <w:rFonts w:cs="Calibri"/>
        </w:rPr>
        <w:t xml:space="preserve"> (March 2012).</w:t>
      </w:r>
    </w:p>
    <w:p w14:paraId="5226990D" w14:textId="77777777" w:rsidR="00706DD1" w:rsidRPr="00BE78CA" w:rsidRDefault="00706DD1" w:rsidP="00706DD1">
      <w:pPr>
        <w:pStyle w:val="References"/>
        <w:rPr>
          <w:rFonts w:cs="Calibri"/>
        </w:rPr>
      </w:pPr>
      <w:r w:rsidRPr="00BE78CA">
        <w:rPr>
          <w:rFonts w:cs="Calibri"/>
        </w:rPr>
        <w:t xml:space="preserve">New Zealand Institute of Chemistry. 1998. </w:t>
      </w:r>
      <w:r w:rsidRPr="00BE78CA">
        <w:rPr>
          <w:rFonts w:cs="Calibri"/>
          <w:i/>
        </w:rPr>
        <w:t>Chemical Processes in New Zealand Auckland</w:t>
      </w:r>
      <w:r w:rsidRPr="00BE78CA">
        <w:rPr>
          <w:rFonts w:cs="Calibri"/>
        </w:rPr>
        <w:t>. Christchurch: New Zealand Institute of Chemistry.</w:t>
      </w:r>
    </w:p>
    <w:p w14:paraId="2DCA6F5A" w14:textId="77777777" w:rsidR="00706DD1" w:rsidRPr="00BE78CA" w:rsidRDefault="00706DD1" w:rsidP="00706DD1">
      <w:pPr>
        <w:pStyle w:val="References"/>
      </w:pPr>
      <w:r w:rsidRPr="00BE78CA">
        <w:rPr>
          <w:rFonts w:cs="Calibri"/>
        </w:rPr>
        <w:lastRenderedPageBreak/>
        <w:t xml:space="preserve">Outer Space and High-altitude Activities Act 2017 (as at 19 February 2020) </w:t>
      </w:r>
      <w:hyperlink r:id="rId93" w:history="1">
        <w:r w:rsidRPr="00BE78CA">
          <w:rPr>
            <w:rStyle w:val="Hyperlink"/>
          </w:rPr>
          <w:t>www.legislation.govt.nz/act/public/2017/0029/latest/whole.html</w:t>
        </w:r>
      </w:hyperlink>
      <w:r w:rsidRPr="00BE78CA">
        <w:t>.</w:t>
      </w:r>
    </w:p>
    <w:p w14:paraId="4A1E8B30" w14:textId="77777777" w:rsidR="00706DD1" w:rsidRPr="00BE78CA" w:rsidRDefault="00706DD1" w:rsidP="00706DD1">
      <w:pPr>
        <w:pStyle w:val="References"/>
        <w:rPr>
          <w:rFonts w:cs="Calibri"/>
        </w:rPr>
      </w:pPr>
      <w:r w:rsidRPr="00BE78CA">
        <w:rPr>
          <w:rFonts w:cs="Calibri"/>
        </w:rPr>
        <w:t xml:space="preserve">Reddy CM, DeMello JA, Carmichael CA, Peacock EE, Xu L, Arey JS. 2008. Determination of biodiesel blending percentages using natural abundance radiocarbon analysis: Testing the accuracy of retail biodiesel blends. </w:t>
      </w:r>
      <w:r w:rsidRPr="00BE78CA">
        <w:rPr>
          <w:rFonts w:cs="Calibri"/>
          <w:i/>
        </w:rPr>
        <w:t>Environmental Science Technology</w:t>
      </w:r>
      <w:r w:rsidRPr="00BE78CA">
        <w:rPr>
          <w:rFonts w:cs="Calibri"/>
        </w:rPr>
        <w:t xml:space="preserve"> 42(7): 2476–2482.</w:t>
      </w:r>
    </w:p>
    <w:p w14:paraId="10CE92D2" w14:textId="77777777" w:rsidR="00706DD1" w:rsidRPr="00BE78CA" w:rsidRDefault="00706DD1" w:rsidP="00706DD1">
      <w:pPr>
        <w:pStyle w:val="References"/>
        <w:rPr>
          <w:rFonts w:cs="Calibri"/>
          <w:lang w:eastAsia="en-GB"/>
        </w:rPr>
      </w:pPr>
      <w:r w:rsidRPr="00BE78CA">
        <w:rPr>
          <w:rFonts w:cs="Calibri"/>
          <w:lang w:eastAsia="en-GB"/>
        </w:rPr>
        <w:t xml:space="preserve">Stats NZ. 2018. </w:t>
      </w:r>
      <w:r w:rsidRPr="00BE78CA">
        <w:rPr>
          <w:rFonts w:cs="Calibri"/>
          <w:i/>
          <w:lang w:eastAsia="en-GB"/>
        </w:rPr>
        <w:t>Energy Use Survey</w:t>
      </w:r>
      <w:r w:rsidRPr="00BE78CA">
        <w:rPr>
          <w:rFonts w:cs="Calibri"/>
          <w:lang w:eastAsia="en-GB"/>
        </w:rPr>
        <w:t xml:space="preserve">. </w:t>
      </w:r>
      <w:r w:rsidRPr="00BE78CA">
        <w:rPr>
          <w:rFonts w:cs="Calibri"/>
        </w:rPr>
        <w:t xml:space="preserve">Wellington: Stats NZ. </w:t>
      </w:r>
      <w:r w:rsidRPr="00BE78CA">
        <w:rPr>
          <w:rFonts w:cs="Calibri"/>
          <w:lang w:eastAsia="en-GB"/>
        </w:rPr>
        <w:t xml:space="preserve">Retrieved from </w:t>
      </w:r>
      <w:r w:rsidRPr="00BE78CA">
        <w:rPr>
          <w:rStyle w:val="Hyperlink"/>
        </w:rPr>
        <w:t>www.stats.govt.nz/information-releases/new-zealand-energy-use-2018</w:t>
      </w:r>
      <w:r w:rsidRPr="00BE78CA">
        <w:rPr>
          <w:rFonts w:cs="Calibri"/>
          <w:lang w:eastAsia="en-GB"/>
        </w:rPr>
        <w:t xml:space="preserve"> (February 2020).</w:t>
      </w:r>
    </w:p>
    <w:p w14:paraId="5FE348B8" w14:textId="77777777" w:rsidR="00706DD1" w:rsidRPr="00BE78CA" w:rsidRDefault="00706DD1" w:rsidP="00706DD1">
      <w:pPr>
        <w:pStyle w:val="References"/>
        <w:rPr>
          <w:rFonts w:cs="Calibri"/>
        </w:rPr>
      </w:pPr>
      <w:r w:rsidRPr="00BE78CA">
        <w:rPr>
          <w:rFonts w:cs="Calibri"/>
        </w:rPr>
        <w:t xml:space="preserve">UNFCCC. 2009. FCCC/ARR/2008/NZL. </w:t>
      </w:r>
      <w:r w:rsidRPr="00BE78CA">
        <w:rPr>
          <w:rFonts w:cs="Calibri"/>
          <w:i/>
        </w:rPr>
        <w:t>Report of the Individual Review of the Greenhouse Gas Inventories of New Zealand Submitted in 2007 and 2008</w:t>
      </w:r>
      <w:r w:rsidRPr="00BE78CA">
        <w:rPr>
          <w:rFonts w:cs="Calibri"/>
        </w:rPr>
        <w:t>. Centralised Review.</w:t>
      </w:r>
    </w:p>
    <w:p w14:paraId="2D69B128" w14:textId="77777777" w:rsidR="00706DD1" w:rsidRPr="00BE78CA" w:rsidRDefault="00706DD1" w:rsidP="00706DD1">
      <w:pPr>
        <w:pStyle w:val="References"/>
        <w:rPr>
          <w:rFonts w:cs="Calibri"/>
        </w:rPr>
      </w:pPr>
      <w:r w:rsidRPr="00BE78CA">
        <w:rPr>
          <w:rFonts w:cs="Calibri"/>
        </w:rPr>
        <w:t xml:space="preserve">UNFCCC. 2014. FCCC/ARR/2013/NZL. </w:t>
      </w:r>
      <w:r w:rsidRPr="00BE78CA">
        <w:rPr>
          <w:rFonts w:cs="Calibri"/>
          <w:i/>
          <w:iCs/>
        </w:rPr>
        <w:t>Report of the individual review of the annual submission of New Zealand submitted in 2013</w:t>
      </w:r>
      <w:r w:rsidRPr="00BE78CA">
        <w:rPr>
          <w:rFonts w:cs="Calibri"/>
        </w:rPr>
        <w:t>. Centralised Review.</w:t>
      </w:r>
    </w:p>
    <w:p w14:paraId="4ABE1E1A" w14:textId="77777777" w:rsidR="00706DD1" w:rsidRPr="00BE78CA" w:rsidRDefault="00706DD1" w:rsidP="00706DD1">
      <w:pPr>
        <w:rPr>
          <w:rFonts w:cs="Calibri"/>
        </w:rPr>
      </w:pPr>
    </w:p>
    <w:p w14:paraId="60B5A599" w14:textId="77777777" w:rsidR="00FE7594" w:rsidRPr="00BE78CA" w:rsidRDefault="00FE7594" w:rsidP="000E497C">
      <w:pPr>
        <w:sectPr w:rsidR="00FE7594" w:rsidRPr="00BE78CA" w:rsidSect="00C26084">
          <w:footerReference w:type="even" r:id="rId94"/>
          <w:pgSz w:w="11906" w:h="16838"/>
          <w:pgMar w:top="1418" w:right="1701" w:bottom="1418" w:left="1701" w:header="709" w:footer="709" w:gutter="0"/>
          <w:cols w:space="708"/>
          <w:docGrid w:linePitch="360"/>
        </w:sectPr>
      </w:pPr>
    </w:p>
    <w:p w14:paraId="5C06127D" w14:textId="77777777" w:rsidR="000B0092" w:rsidRPr="00BE78CA" w:rsidRDefault="000B0092" w:rsidP="000B0092">
      <w:pPr>
        <w:pStyle w:val="Heading1"/>
      </w:pPr>
      <w:bookmarkStart w:id="377" w:name="_Toc36224390"/>
      <w:bookmarkStart w:id="378" w:name="_Toc68786310"/>
      <w:r w:rsidRPr="00BE78CA">
        <w:lastRenderedPageBreak/>
        <w:t>Chapter 4: Industrial Processes and Product Use (IPPU)</w:t>
      </w:r>
      <w:bookmarkEnd w:id="377"/>
      <w:bookmarkEnd w:id="378"/>
    </w:p>
    <w:p w14:paraId="70002F48" w14:textId="77777777" w:rsidR="000B0092" w:rsidRPr="00BE78CA" w:rsidRDefault="000B0092" w:rsidP="000B0092">
      <w:pPr>
        <w:pStyle w:val="Heading2"/>
        <w:spacing w:before="240"/>
      </w:pPr>
      <w:bookmarkStart w:id="379" w:name="_Toc448321512"/>
      <w:bookmarkStart w:id="380" w:name="_Toc5269351"/>
      <w:bookmarkStart w:id="381" w:name="_Toc36224391"/>
      <w:bookmarkStart w:id="382" w:name="_Toc68786311"/>
      <w:r w:rsidRPr="00BE78CA">
        <w:t xml:space="preserve">4.1 </w:t>
      </w:r>
      <w:r w:rsidRPr="00BE78CA">
        <w:tab/>
        <w:t>Sector overview</w:t>
      </w:r>
      <w:bookmarkEnd w:id="379"/>
      <w:bookmarkEnd w:id="380"/>
      <w:bookmarkEnd w:id="381"/>
      <w:bookmarkEnd w:id="382"/>
    </w:p>
    <w:p w14:paraId="5222D03F" w14:textId="77777777" w:rsidR="000B0092" w:rsidRPr="00BE78CA" w:rsidRDefault="000B0092" w:rsidP="000B0092">
      <w:pPr>
        <w:pStyle w:val="Heading3"/>
        <w:spacing w:before="160"/>
      </w:pPr>
      <w:r w:rsidRPr="00BE78CA">
        <w:t xml:space="preserve">4.1.1 </w:t>
      </w:r>
      <w:r w:rsidRPr="00BE78CA">
        <w:tab/>
        <w:t>IPPU sector in New Zealand</w:t>
      </w:r>
    </w:p>
    <w:p w14:paraId="1C9BDABA" w14:textId="7FF083AB" w:rsidR="000B0092" w:rsidRPr="00BE78CA" w:rsidRDefault="000B0092" w:rsidP="000B0092">
      <w:pPr>
        <w:pStyle w:val="BodyText"/>
      </w:pPr>
      <w:r w:rsidRPr="00BE78CA">
        <w:t>New Zealand has a relatively small number of industrial processing plants emitting non-energy related greenhouse gases. Carbon dioxide (CO</w:t>
      </w:r>
      <w:r w:rsidRPr="00BE78CA">
        <w:rPr>
          <w:vertAlign w:val="subscript"/>
        </w:rPr>
        <w:t>2</w:t>
      </w:r>
      <w:r w:rsidRPr="00BE78CA">
        <w:t>), methane (CH</w:t>
      </w:r>
      <w:r w:rsidRPr="00BE78CA">
        <w:rPr>
          <w:vertAlign w:val="subscript"/>
        </w:rPr>
        <w:t>4</w:t>
      </w:r>
      <w:r w:rsidRPr="00BE78CA">
        <w:t>) and nitrous oxide (N</w:t>
      </w:r>
      <w:r w:rsidRPr="00BE78CA">
        <w:rPr>
          <w:vertAlign w:val="subscript"/>
        </w:rPr>
        <w:t>2</w:t>
      </w:r>
      <w:r w:rsidRPr="00BE78CA">
        <w:t>O) emissions from eight distinct industrial processes in New Zealand are reported under the IPPU</w:t>
      </w:r>
      <w:r w:rsidR="00742DC9" w:rsidRPr="00BE78CA">
        <w:t> </w:t>
      </w:r>
      <w:r w:rsidRPr="00BE78CA">
        <w:t xml:space="preserve">sector. These are: </w:t>
      </w:r>
    </w:p>
    <w:p w14:paraId="2222E33F" w14:textId="77777777" w:rsidR="000B0092" w:rsidRPr="00BE78CA" w:rsidRDefault="000B0092" w:rsidP="00742DC9">
      <w:pPr>
        <w:pStyle w:val="Bullet"/>
      </w:pPr>
      <w:r w:rsidRPr="00BE78CA">
        <w:t xml:space="preserve">calcination of limestone in cement production </w:t>
      </w:r>
    </w:p>
    <w:p w14:paraId="2F749AEA" w14:textId="77777777" w:rsidR="000B0092" w:rsidRPr="00BE78CA" w:rsidRDefault="000B0092" w:rsidP="000B0092">
      <w:pPr>
        <w:pStyle w:val="Bullet"/>
      </w:pPr>
      <w:r w:rsidRPr="00BE78CA">
        <w:t xml:space="preserve">calcination of limestone in burnt and slaked lime production </w:t>
      </w:r>
    </w:p>
    <w:p w14:paraId="2767D13C" w14:textId="77777777" w:rsidR="000B0092" w:rsidRPr="00BE78CA" w:rsidRDefault="000B0092" w:rsidP="000B0092">
      <w:pPr>
        <w:pStyle w:val="Bullet"/>
      </w:pPr>
      <w:r w:rsidRPr="00BE78CA">
        <w:t xml:space="preserve">production of ammonia, which is further processed into urea </w:t>
      </w:r>
    </w:p>
    <w:p w14:paraId="54D2B68C" w14:textId="77777777" w:rsidR="000B0092" w:rsidRPr="00BE78CA" w:rsidRDefault="000B0092" w:rsidP="000B0092">
      <w:pPr>
        <w:pStyle w:val="Bullet"/>
      </w:pPr>
      <w:r w:rsidRPr="00BE78CA">
        <w:t xml:space="preserve">production of methanol </w:t>
      </w:r>
    </w:p>
    <w:p w14:paraId="32B20B33" w14:textId="77777777" w:rsidR="000B0092" w:rsidRPr="00BE78CA" w:rsidRDefault="000B0092" w:rsidP="000B0092">
      <w:pPr>
        <w:pStyle w:val="Bullet"/>
      </w:pPr>
      <w:r w:rsidRPr="00BE78CA">
        <w:t xml:space="preserve">production of hydrogen in oil refining and for making hydrogen peroxide </w:t>
      </w:r>
    </w:p>
    <w:p w14:paraId="73648468" w14:textId="77777777" w:rsidR="000B0092" w:rsidRPr="00BE78CA" w:rsidRDefault="000B0092" w:rsidP="000B0092">
      <w:pPr>
        <w:pStyle w:val="Bullet"/>
      </w:pPr>
      <w:r w:rsidRPr="00BE78CA">
        <w:t xml:space="preserve">production of steel, from iron sand and from scrap steel </w:t>
      </w:r>
    </w:p>
    <w:p w14:paraId="723884A9" w14:textId="77777777" w:rsidR="000B0092" w:rsidRPr="00BE78CA" w:rsidRDefault="000B0092" w:rsidP="000B0092">
      <w:pPr>
        <w:pStyle w:val="Bullet"/>
      </w:pPr>
      <w:r w:rsidRPr="00BE78CA">
        <w:t xml:space="preserve">oxidation of anodes in aluminium smelting </w:t>
      </w:r>
    </w:p>
    <w:p w14:paraId="7D464366" w14:textId="77777777" w:rsidR="000B0092" w:rsidRPr="00BE78CA" w:rsidRDefault="000B0092" w:rsidP="000B0092">
      <w:pPr>
        <w:pStyle w:val="Bullet"/>
      </w:pPr>
      <w:r w:rsidRPr="00BE78CA">
        <w:t xml:space="preserve">use of soda ash and limestone in glass making. </w:t>
      </w:r>
    </w:p>
    <w:p w14:paraId="0B949193" w14:textId="77777777" w:rsidR="000B0092" w:rsidRPr="00BE78CA" w:rsidRDefault="000B0092" w:rsidP="000B0092">
      <w:pPr>
        <w:pStyle w:val="BodyText"/>
      </w:pPr>
      <w:r w:rsidRPr="00BE78CA">
        <w:t>Hydrofluorocarbons (HFCs) and perfluorocarbons (PFCs) are used in a large number of products including refrigeration and air conditioning equipment. Some recovered HFCs are exported for destruction. Perfluorocarbons are also emitted as a result of anode effects in aluminium smelting. Sulphur hexafluoride (SF</w:t>
      </w:r>
      <w:r w:rsidRPr="00BE78CA">
        <w:rPr>
          <w:vertAlign w:val="subscript"/>
        </w:rPr>
        <w:t>6</w:t>
      </w:r>
      <w:r w:rsidRPr="00BE78CA">
        <w:t>) is used in the electricity distribution sector and for small-scale medical and scientific applications. Historically, a very small amount of SF</w:t>
      </w:r>
      <w:r w:rsidRPr="00BE78CA">
        <w:rPr>
          <w:vertAlign w:val="subscript"/>
        </w:rPr>
        <w:t>6</w:t>
      </w:r>
      <w:r w:rsidRPr="00BE78CA">
        <w:t xml:space="preserve"> has been used for magnesium casting. No fluorinated chemicals are produced in New Zealand; they are all imported. </w:t>
      </w:r>
    </w:p>
    <w:p w14:paraId="5DA16F12" w14:textId="77777777" w:rsidR="000B0092" w:rsidRPr="00BE78CA" w:rsidRDefault="000B0092" w:rsidP="000B0092">
      <w:pPr>
        <w:pStyle w:val="BodyText"/>
      </w:pPr>
      <w:r w:rsidRPr="00BE78CA">
        <w:t>Small amounts of CO</w:t>
      </w:r>
      <w:r w:rsidRPr="00BE78CA">
        <w:rPr>
          <w:vertAlign w:val="subscript"/>
        </w:rPr>
        <w:t>2</w:t>
      </w:r>
      <w:r w:rsidRPr="00BE78CA">
        <w:t xml:space="preserve"> are reported from the use of lubricants and paraffin wax, imported calcium carbide, carbonates in kaolin clay used for ceramics production, and secondary lead production (recycling of lead-acid batteries). No other emission sources for direct greenhouse gases are applicable to New Zealand and no other activity data are available. Some indirect greenhouse gas emissions are reported from fertiliser, formaldehyde and other industries. </w:t>
      </w:r>
    </w:p>
    <w:p w14:paraId="152EE7FF" w14:textId="77777777" w:rsidR="000B0092" w:rsidRPr="00BE78CA" w:rsidRDefault="000B0092" w:rsidP="000B0092">
      <w:pPr>
        <w:pStyle w:val="BodyText"/>
      </w:pPr>
      <w:r w:rsidRPr="00BE78CA">
        <w:t>New Zealand reports emissions from Tokelau, which is a dependent territory of New Zealand. Emissions from Tokelau for all activities are reported in annex 7 of the National Inventory Report and within the ‘Other’ sector in the common reporting format (CRF) tables. This is due to the significantly different methods applied and the prohibitive complexity of integrating emissions within the main sectors. Therefore, all emissions reported in this sector are from New Zealand excluding Tokelau. Please refer to chapter 8 and annex 7 for details of methods applied and the emissions for Tokelau.</w:t>
      </w:r>
    </w:p>
    <w:p w14:paraId="4386EF0A" w14:textId="77777777" w:rsidR="000B0092" w:rsidRPr="00BE78CA" w:rsidRDefault="000B0092" w:rsidP="000B0092">
      <w:pPr>
        <w:pStyle w:val="Heading3"/>
      </w:pPr>
      <w:r w:rsidRPr="00BE78CA">
        <w:lastRenderedPageBreak/>
        <w:t xml:space="preserve">4.1.2 </w:t>
      </w:r>
      <w:r w:rsidRPr="00BE78CA">
        <w:tab/>
        <w:t>Emissions summary</w:t>
      </w:r>
    </w:p>
    <w:p w14:paraId="2A8D1E76" w14:textId="77777777" w:rsidR="000B0092" w:rsidRPr="00BE78CA" w:rsidRDefault="000B0092" w:rsidP="000B0092">
      <w:pPr>
        <w:pStyle w:val="BodyText"/>
      </w:pPr>
      <w:r w:rsidRPr="00BE78CA">
        <w:t>The IPPU sector in New Zealand produces CO</w:t>
      </w:r>
      <w:r w:rsidRPr="00BE78CA">
        <w:rPr>
          <w:vertAlign w:val="subscript"/>
        </w:rPr>
        <w:t>2</w:t>
      </w:r>
      <w:r w:rsidRPr="00BE78CA">
        <w:t xml:space="preserve"> emissions (60.3 per cent), fluorinated gases (35.9 per cent) and smaller amounts of CH</w:t>
      </w:r>
      <w:r w:rsidRPr="00BE78CA">
        <w:rPr>
          <w:vertAlign w:val="subscript"/>
        </w:rPr>
        <w:t>4</w:t>
      </w:r>
      <w:r w:rsidRPr="00BE78CA">
        <w:t xml:space="preserve"> and N</w:t>
      </w:r>
      <w:r w:rsidRPr="00BE78CA">
        <w:rPr>
          <w:vertAlign w:val="subscript"/>
        </w:rPr>
        <w:t>2</w:t>
      </w:r>
      <w:r w:rsidRPr="00BE78CA">
        <w:t xml:space="preserve">O. The major categories in the IPPU sector are </w:t>
      </w:r>
      <w:r w:rsidRPr="00BE78CA">
        <w:rPr>
          <w:i/>
        </w:rPr>
        <w:t>Iron and steel production</w:t>
      </w:r>
      <w:r w:rsidRPr="00BE78CA">
        <w:t xml:space="preserve">, </w:t>
      </w:r>
      <w:r w:rsidRPr="00BE78CA">
        <w:rPr>
          <w:i/>
        </w:rPr>
        <w:t>Refrigeration and air conditioning</w:t>
      </w:r>
      <w:r w:rsidRPr="00BE78CA">
        <w:t xml:space="preserve">, </w:t>
      </w:r>
      <w:r w:rsidRPr="00BE78CA">
        <w:rPr>
          <w:i/>
        </w:rPr>
        <w:t>Aluminium production</w:t>
      </w:r>
      <w:r w:rsidRPr="00BE78CA">
        <w:t xml:space="preserve"> and </w:t>
      </w:r>
      <w:r w:rsidRPr="00BE78CA">
        <w:rPr>
          <w:i/>
        </w:rPr>
        <w:t>Cement production</w:t>
      </w:r>
      <w:r w:rsidRPr="00BE78CA">
        <w:t>. Coal and natural gas are also used on a significant scale for energy in the </w:t>
      </w:r>
      <w:r w:rsidRPr="00BE78CA">
        <w:rPr>
          <w:i/>
        </w:rPr>
        <w:t>Mineral industry</w:t>
      </w:r>
      <w:r w:rsidRPr="00BE78CA">
        <w:t xml:space="preserve">, </w:t>
      </w:r>
      <w:r w:rsidRPr="00BE78CA">
        <w:rPr>
          <w:i/>
        </w:rPr>
        <w:t>Chemical industry</w:t>
      </w:r>
      <w:r w:rsidRPr="00BE78CA">
        <w:t xml:space="preserve"> and </w:t>
      </w:r>
      <w:r w:rsidRPr="00BE78CA">
        <w:rPr>
          <w:i/>
        </w:rPr>
        <w:t>Metal industry</w:t>
      </w:r>
      <w:r w:rsidRPr="00BE78CA">
        <w:t xml:space="preserve"> categories. Carbon dioxide and any other emissions from combustion of fuels in these industries are reported under the Energy sector. </w:t>
      </w:r>
    </w:p>
    <w:p w14:paraId="02D667D1" w14:textId="77777777" w:rsidR="000B0092" w:rsidRPr="00BE78CA" w:rsidRDefault="000B0092" w:rsidP="000B0092">
      <w:pPr>
        <w:pStyle w:val="Heading5"/>
      </w:pPr>
      <w:r w:rsidRPr="00BE78CA">
        <w:t>2019</w:t>
      </w:r>
    </w:p>
    <w:p w14:paraId="76597352" w14:textId="77777777" w:rsidR="000B0092" w:rsidRPr="00BE78CA" w:rsidRDefault="000B0092" w:rsidP="000B0092">
      <w:pPr>
        <w:pStyle w:val="BodyText"/>
      </w:pPr>
      <w:r w:rsidRPr="00BE78CA">
        <w:t>In 2019, emissions in the IPPU sector contributed 5,115.9 kilotonnes carbon dioxide equivalent (kt CO</w:t>
      </w:r>
      <w:r w:rsidRPr="00BE78CA">
        <w:rPr>
          <w:vertAlign w:val="subscript"/>
        </w:rPr>
        <w:t>2</w:t>
      </w:r>
      <w:r w:rsidRPr="00BE78CA">
        <w:t xml:space="preserve">-e), or 6.2 per cent, of New Zealand’s gross greenhouse gas emissions. </w:t>
      </w:r>
    </w:p>
    <w:p w14:paraId="60AA0C0C" w14:textId="4E477485" w:rsidR="000B0092" w:rsidRPr="00BE78CA" w:rsidRDefault="000B0092" w:rsidP="000B0092">
      <w:pPr>
        <w:pStyle w:val="BodyText"/>
      </w:pPr>
      <w:r w:rsidRPr="00BE78CA">
        <w:t xml:space="preserve">The largest category is the </w:t>
      </w:r>
      <w:r w:rsidRPr="00BE78CA">
        <w:rPr>
          <w:i/>
        </w:rPr>
        <w:t>Metal industry</w:t>
      </w:r>
      <w:r w:rsidRPr="00BE78CA">
        <w:t xml:space="preserve"> category, with substantial CO</w:t>
      </w:r>
      <w:r w:rsidRPr="00BE78CA">
        <w:rPr>
          <w:vertAlign w:val="subscript"/>
        </w:rPr>
        <w:t>2</w:t>
      </w:r>
      <w:r w:rsidRPr="00BE78CA">
        <w:t xml:space="preserve"> emissions from the</w:t>
      </w:r>
      <w:r w:rsidR="00742DC9" w:rsidRPr="00BE78CA">
        <w:t> </w:t>
      </w:r>
      <w:r w:rsidRPr="00BE78CA">
        <w:rPr>
          <w:i/>
        </w:rPr>
        <w:t>Iron and steel production</w:t>
      </w:r>
      <w:r w:rsidRPr="00BE78CA">
        <w:t xml:space="preserve"> and </w:t>
      </w:r>
      <w:r w:rsidRPr="00BE78CA">
        <w:rPr>
          <w:i/>
        </w:rPr>
        <w:t>Aluminium production</w:t>
      </w:r>
      <w:r w:rsidRPr="00BE78CA">
        <w:t xml:space="preserve"> categories, as well as PFCs from the </w:t>
      </w:r>
      <w:r w:rsidRPr="00BE78CA">
        <w:rPr>
          <w:i/>
        </w:rPr>
        <w:t>Aluminium production</w:t>
      </w:r>
      <w:r w:rsidRPr="00BE78CA">
        <w:t xml:space="preserve"> category in earlier years. The </w:t>
      </w:r>
      <w:r w:rsidRPr="00BE78CA">
        <w:rPr>
          <w:i/>
        </w:rPr>
        <w:t xml:space="preserve">Mineral industry </w:t>
      </w:r>
      <w:r w:rsidRPr="00BE78CA">
        <w:t xml:space="preserve">and </w:t>
      </w:r>
      <w:r w:rsidRPr="00BE78CA">
        <w:rPr>
          <w:i/>
        </w:rPr>
        <w:t>Chemical industry</w:t>
      </w:r>
      <w:r w:rsidRPr="00BE78CA">
        <w:t xml:space="preserve"> categories also contribute significant CO</w:t>
      </w:r>
      <w:r w:rsidRPr="00BE78CA">
        <w:rPr>
          <w:vertAlign w:val="subscript"/>
        </w:rPr>
        <w:t>2</w:t>
      </w:r>
      <w:r w:rsidRPr="00BE78CA">
        <w:t xml:space="preserve"> emissions, and most of the non-CO</w:t>
      </w:r>
      <w:r w:rsidRPr="00BE78CA">
        <w:rPr>
          <w:vertAlign w:val="subscript"/>
        </w:rPr>
        <w:t>2</w:t>
      </w:r>
      <w:r w:rsidRPr="00BE78CA">
        <w:t xml:space="preserve"> emissions come from the </w:t>
      </w:r>
      <w:r w:rsidRPr="00BE78CA">
        <w:rPr>
          <w:i/>
        </w:rPr>
        <w:t>Product uses as substitutes for ODS</w:t>
      </w:r>
      <w:r w:rsidRPr="00BE78CA">
        <w:t xml:space="preserve"> category. </w:t>
      </w:r>
    </w:p>
    <w:p w14:paraId="769D117B" w14:textId="77777777" w:rsidR="000B0092" w:rsidRPr="00BE78CA" w:rsidRDefault="000B0092" w:rsidP="000B0092">
      <w:pPr>
        <w:pStyle w:val="BodyText"/>
      </w:pPr>
      <w:r w:rsidRPr="00BE78CA">
        <w:t>The IPPU sector also produces smaller amounts of CH</w:t>
      </w:r>
      <w:r w:rsidRPr="00BE78CA">
        <w:rPr>
          <w:vertAlign w:val="subscript"/>
        </w:rPr>
        <w:t>4</w:t>
      </w:r>
      <w:r w:rsidRPr="00BE78CA">
        <w:t xml:space="preserve"> from methanol production and N</w:t>
      </w:r>
      <w:r w:rsidRPr="00BE78CA">
        <w:rPr>
          <w:vertAlign w:val="subscript"/>
        </w:rPr>
        <w:t>2</w:t>
      </w:r>
      <w:r w:rsidRPr="00BE78CA">
        <w:t xml:space="preserve">O used for medical applications in the </w:t>
      </w:r>
      <w:r w:rsidRPr="00BE78CA">
        <w:rPr>
          <w:i/>
        </w:rPr>
        <w:t>Other product manufacture and use</w:t>
      </w:r>
      <w:r w:rsidRPr="00BE78CA">
        <w:t xml:space="preserve"> category.</w:t>
      </w:r>
    </w:p>
    <w:p w14:paraId="02B495D2" w14:textId="77777777" w:rsidR="000B0092" w:rsidRPr="00BE78CA" w:rsidRDefault="000B0092" w:rsidP="000B0092">
      <w:pPr>
        <w:pStyle w:val="BodyText"/>
      </w:pPr>
      <w:r w:rsidRPr="00BE78CA">
        <w:t xml:space="preserve">Coal and natural gas are also used on a significant scale for energy in these industries, and related emissions are reported under the Energy sector in the category </w:t>
      </w:r>
      <w:r w:rsidRPr="00BE78CA">
        <w:rPr>
          <w:i/>
        </w:rPr>
        <w:t>Manufacturing industries and construction</w:t>
      </w:r>
      <w:r w:rsidRPr="00BE78CA">
        <w:t>.</w:t>
      </w:r>
    </w:p>
    <w:p w14:paraId="64E44FC3" w14:textId="77777777" w:rsidR="000B0092" w:rsidRPr="00BE78CA" w:rsidRDefault="000B0092" w:rsidP="000B0092">
      <w:pPr>
        <w:pStyle w:val="BodyText"/>
      </w:pPr>
      <w:r w:rsidRPr="00BE78CA">
        <w:t>The emissions by category are shown in table 4.1.1.</w:t>
      </w:r>
    </w:p>
    <w:p w14:paraId="25D4C7B5" w14:textId="77777777" w:rsidR="000B0092" w:rsidRPr="00BE78CA" w:rsidRDefault="000B0092" w:rsidP="000B0092">
      <w:pPr>
        <w:pStyle w:val="Heading5"/>
      </w:pPr>
      <w:r w:rsidRPr="00BE78CA">
        <w:t>1990–2019</w:t>
      </w:r>
    </w:p>
    <w:p w14:paraId="6EFE2964" w14:textId="77777777" w:rsidR="000B0092" w:rsidRPr="00BE78CA" w:rsidRDefault="000B0092" w:rsidP="000B0092">
      <w:pPr>
        <w:pStyle w:val="BodyText"/>
      </w:pPr>
      <w:r w:rsidRPr="00BE78CA">
        <w:t>IPPU sector emissions in 2019 were 1,536.0 kt CO</w:t>
      </w:r>
      <w:r w:rsidRPr="00BE78CA">
        <w:rPr>
          <w:vertAlign w:val="subscript"/>
        </w:rPr>
        <w:t>2</w:t>
      </w:r>
      <w:r w:rsidRPr="00BE78CA">
        <w:t>-e (42.9 per cent) higher than emissions in 1990 (3,579.9 kt CO</w:t>
      </w:r>
      <w:r w:rsidRPr="00BE78CA">
        <w:rPr>
          <w:vertAlign w:val="subscript"/>
        </w:rPr>
        <w:t>2</w:t>
      </w:r>
      <w:r w:rsidRPr="00BE78CA">
        <w:t xml:space="preserve">-e). This increase was mainly driven by increasing emissions from the </w:t>
      </w:r>
      <w:r w:rsidRPr="00BE78CA">
        <w:rPr>
          <w:i/>
        </w:rPr>
        <w:t xml:space="preserve">Product uses as substitutes for ODS </w:t>
      </w:r>
      <w:r w:rsidRPr="00BE78CA">
        <w:t xml:space="preserve">category, due to the introduction of HFCs to replace ozone depleting substances (ODS) in refrigeration and air conditioning and the increased use of household and commercial air conditioning. Carbon dioxide emissions have also increased due to increased production of metals, lime and cement, but at a slower rate. There has been a substantial reduction in emissions of PFCs due to improved management of anode effects in the </w:t>
      </w:r>
      <w:r w:rsidRPr="00BE78CA">
        <w:rPr>
          <w:i/>
        </w:rPr>
        <w:t>Aluminium production</w:t>
      </w:r>
      <w:r w:rsidRPr="00BE78CA">
        <w:t xml:space="preserve"> category and some reduction in emissions of N</w:t>
      </w:r>
      <w:r w:rsidRPr="00BE78CA">
        <w:rPr>
          <w:vertAlign w:val="subscript"/>
        </w:rPr>
        <w:t>2</w:t>
      </w:r>
      <w:r w:rsidRPr="00BE78CA">
        <w:t xml:space="preserve">O used for medical applications in the </w:t>
      </w:r>
      <w:r w:rsidRPr="00BE78CA">
        <w:rPr>
          <w:i/>
        </w:rPr>
        <w:t>Other product manufacture and use</w:t>
      </w:r>
      <w:r w:rsidRPr="00BE78CA">
        <w:t xml:space="preserve"> category. The trends are shown in figures 4.1.1 and 4.1.2. </w:t>
      </w:r>
    </w:p>
    <w:p w14:paraId="2786DBD6" w14:textId="77777777" w:rsidR="000B0092" w:rsidRPr="00BE78CA" w:rsidRDefault="000B0092" w:rsidP="000B0092">
      <w:pPr>
        <w:pStyle w:val="Heading5"/>
      </w:pPr>
      <w:r w:rsidRPr="00BE78CA">
        <w:t>2018–2019</w:t>
      </w:r>
    </w:p>
    <w:p w14:paraId="7BAC79FA" w14:textId="77777777" w:rsidR="000B0092" w:rsidRPr="00BE78CA" w:rsidRDefault="000B0092" w:rsidP="000B0092">
      <w:pPr>
        <w:pStyle w:val="BodyText"/>
      </w:pPr>
      <w:r w:rsidRPr="00BE78CA">
        <w:t>Between 2018 and 2019, emissions from the IPPU sector decreased by 71.0 kt CO</w:t>
      </w:r>
      <w:r w:rsidRPr="00BE78CA">
        <w:rPr>
          <w:vertAlign w:val="subscript"/>
        </w:rPr>
        <w:t>2</w:t>
      </w:r>
      <w:r w:rsidRPr="00BE78CA">
        <w:t>-e (1.4 per cent).</w:t>
      </w:r>
    </w:p>
    <w:p w14:paraId="22D078D6" w14:textId="4BA5462E" w:rsidR="000B0092" w:rsidRPr="00BE78CA" w:rsidRDefault="000B0092" w:rsidP="000B0092">
      <w:pPr>
        <w:pStyle w:val="BodyText"/>
      </w:pPr>
      <w:r w:rsidRPr="00BE78CA">
        <w:t xml:space="preserve">This change was the net result of a decrease in emissions from the </w:t>
      </w:r>
      <w:r w:rsidRPr="00BE78CA">
        <w:rPr>
          <w:i/>
        </w:rPr>
        <w:t>Product uses as substitutes</w:t>
      </w:r>
      <w:r w:rsidR="00E20983" w:rsidRPr="00BE78CA">
        <w:rPr>
          <w:i/>
        </w:rPr>
        <w:t xml:space="preserve"> </w:t>
      </w:r>
      <w:r w:rsidRPr="00BE78CA">
        <w:rPr>
          <w:i/>
        </w:rPr>
        <w:t>for ODS</w:t>
      </w:r>
      <w:r w:rsidRPr="00BE78CA" w:rsidDel="00AC41FF">
        <w:rPr>
          <w:i/>
        </w:rPr>
        <w:t xml:space="preserve"> </w:t>
      </w:r>
      <w:r w:rsidRPr="00BE78CA">
        <w:t>category (106.6 kt CO</w:t>
      </w:r>
      <w:r w:rsidRPr="00BE78CA">
        <w:rPr>
          <w:vertAlign w:val="subscript"/>
        </w:rPr>
        <w:t>2</w:t>
      </w:r>
      <w:r w:rsidRPr="00BE78CA">
        <w:t xml:space="preserve">-e or 5.8 per cent). This is the result of year-to-year fluctuations in the volume of HFCs imported. It was offset by small increases in all other significant categories driven by varying production rates. </w:t>
      </w:r>
    </w:p>
    <w:p w14:paraId="32B87DE3" w14:textId="77777777" w:rsidR="000B0092" w:rsidRPr="00BE78CA" w:rsidRDefault="000B0092" w:rsidP="000B0092">
      <w:pPr>
        <w:pStyle w:val="Table"/>
        <w:ind w:left="1134" w:hanging="1134"/>
      </w:pPr>
      <w:bookmarkStart w:id="383" w:name="_Toc414531402"/>
      <w:bookmarkStart w:id="384" w:name="_Toc451176065"/>
      <w:bookmarkStart w:id="385" w:name="_Toc5269455"/>
      <w:bookmarkStart w:id="386" w:name="_Toc36224528"/>
      <w:bookmarkStart w:id="387" w:name="_Toc68786415"/>
      <w:r w:rsidRPr="00BE78CA">
        <w:lastRenderedPageBreak/>
        <w:t xml:space="preserve">Table 4.1.1 </w:t>
      </w:r>
      <w:r w:rsidRPr="00BE78CA">
        <w:tab/>
        <w:t>New Zealand’s greenhouse gas emissions for the IPPU sector by category</w:t>
      </w:r>
      <w:bookmarkEnd w:id="383"/>
      <w:r w:rsidRPr="00BE78CA">
        <w:t xml:space="preserve"> in 1990 and </w:t>
      </w:r>
      <w:bookmarkEnd w:id="384"/>
      <w:bookmarkEnd w:id="385"/>
      <w:r w:rsidRPr="00BE78CA">
        <w:t>2019</w:t>
      </w:r>
      <w:bookmarkEnd w:id="386"/>
      <w:bookmarkEnd w:id="387"/>
    </w:p>
    <w:tbl>
      <w:tblPr>
        <w:tblW w:w="8505" w:type="dxa"/>
        <w:tblBorders>
          <w:top w:val="single" w:sz="4" w:space="0" w:color="365F91"/>
          <w:bottom w:val="single" w:sz="4" w:space="0" w:color="365F91"/>
          <w:insideH w:val="single" w:sz="4" w:space="0" w:color="365F91"/>
        </w:tblBorders>
        <w:tblLayout w:type="fixed"/>
        <w:tblLook w:val="04A0" w:firstRow="1" w:lastRow="0" w:firstColumn="1" w:lastColumn="0" w:noHBand="0" w:noVBand="1"/>
      </w:tblPr>
      <w:tblGrid>
        <w:gridCol w:w="2990"/>
        <w:gridCol w:w="844"/>
        <w:gridCol w:w="847"/>
        <w:gridCol w:w="985"/>
        <w:gridCol w:w="1126"/>
        <w:gridCol w:w="845"/>
        <w:gridCol w:w="868"/>
      </w:tblGrid>
      <w:tr w:rsidR="000B0092" w:rsidRPr="00BE78CA" w14:paraId="1903C5EF" w14:textId="77777777" w:rsidTr="00BA778A">
        <w:tc>
          <w:tcPr>
            <w:tcW w:w="1758" w:type="pct"/>
            <w:tcBorders>
              <w:top w:val="single" w:sz="4" w:space="0" w:color="365F91"/>
              <w:left w:val="nil"/>
              <w:bottom w:val="single" w:sz="4" w:space="0" w:color="365F91"/>
              <w:right w:val="nil"/>
            </w:tcBorders>
            <w:shd w:val="clear" w:color="auto" w:fill="365F91"/>
            <w:vAlign w:val="bottom"/>
          </w:tcPr>
          <w:p w14:paraId="6AC246A1" w14:textId="77777777" w:rsidR="000B0092" w:rsidRPr="00BE78CA" w:rsidRDefault="000B0092" w:rsidP="00C26084">
            <w:pPr>
              <w:pStyle w:val="TableTextBold"/>
              <w:spacing w:after="0"/>
              <w:jc w:val="center"/>
              <w:rPr>
                <w:noProof w:val="0"/>
                <w:color w:val="FFFFFF"/>
              </w:rPr>
            </w:pPr>
          </w:p>
        </w:tc>
        <w:tc>
          <w:tcPr>
            <w:tcW w:w="994" w:type="pct"/>
            <w:gridSpan w:val="2"/>
            <w:tcBorders>
              <w:top w:val="single" w:sz="4" w:space="0" w:color="365F91"/>
              <w:left w:val="nil"/>
              <w:bottom w:val="single" w:sz="4" w:space="0" w:color="365F91"/>
              <w:right w:val="nil"/>
            </w:tcBorders>
            <w:shd w:val="clear" w:color="auto" w:fill="365F91"/>
            <w:vAlign w:val="bottom"/>
            <w:hideMark/>
          </w:tcPr>
          <w:p w14:paraId="3A1C6E2C" w14:textId="77777777" w:rsidR="000B0092" w:rsidRPr="00BE78CA" w:rsidRDefault="000B0092" w:rsidP="00C26084">
            <w:pPr>
              <w:pStyle w:val="TableTextBold"/>
              <w:spacing w:after="0"/>
              <w:jc w:val="center"/>
              <w:rPr>
                <w:noProof w:val="0"/>
                <w:color w:val="FFFFFF"/>
              </w:rPr>
            </w:pPr>
            <w:r w:rsidRPr="00BE78CA">
              <w:rPr>
                <w:noProof w:val="0"/>
                <w:color w:val="FFFFFF"/>
              </w:rPr>
              <w:t xml:space="preserve">Emissions </w:t>
            </w:r>
            <w:r w:rsidRPr="00BE78CA">
              <w:rPr>
                <w:noProof w:val="0"/>
                <w:color w:val="FFFFFF"/>
              </w:rPr>
              <w:br/>
              <w:t>(kt CO</w:t>
            </w:r>
            <w:r w:rsidRPr="00BE78CA">
              <w:rPr>
                <w:noProof w:val="0"/>
                <w:color w:val="FFFFFF"/>
                <w:vertAlign w:val="subscript"/>
              </w:rPr>
              <w:t>2</w:t>
            </w:r>
            <w:r w:rsidRPr="00BE78CA">
              <w:rPr>
                <w:noProof w:val="0"/>
                <w:color w:val="FFFFFF"/>
              </w:rPr>
              <w:t>-e)</w:t>
            </w:r>
          </w:p>
        </w:tc>
        <w:tc>
          <w:tcPr>
            <w:tcW w:w="579" w:type="pct"/>
            <w:tcBorders>
              <w:top w:val="single" w:sz="4" w:space="0" w:color="365F91"/>
              <w:left w:val="nil"/>
              <w:bottom w:val="single" w:sz="4" w:space="0" w:color="365F91"/>
              <w:right w:val="nil"/>
            </w:tcBorders>
            <w:shd w:val="clear" w:color="auto" w:fill="365F91"/>
            <w:vAlign w:val="bottom"/>
            <w:hideMark/>
          </w:tcPr>
          <w:p w14:paraId="6FBB6619" w14:textId="77777777" w:rsidR="000B0092" w:rsidRPr="00BE78CA" w:rsidRDefault="000B0092" w:rsidP="00C26084">
            <w:pPr>
              <w:pStyle w:val="TableTextBold"/>
              <w:spacing w:after="0"/>
              <w:jc w:val="right"/>
              <w:rPr>
                <w:noProof w:val="0"/>
                <w:color w:val="FFFFFF"/>
              </w:rPr>
            </w:pPr>
            <w:r w:rsidRPr="00BE78CA">
              <w:rPr>
                <w:noProof w:val="0"/>
                <w:color w:val="FFFFFF"/>
              </w:rPr>
              <w:t>Difference (kt CO</w:t>
            </w:r>
            <w:r w:rsidRPr="00BE78CA">
              <w:rPr>
                <w:noProof w:val="0"/>
                <w:color w:val="FFFFFF"/>
                <w:vertAlign w:val="subscript"/>
              </w:rPr>
              <w:t>2</w:t>
            </w:r>
            <w:r w:rsidRPr="00BE78CA">
              <w:rPr>
                <w:noProof w:val="0"/>
                <w:color w:val="FFFFFF"/>
              </w:rPr>
              <w:noBreakHyphen/>
              <w:t>e)</w:t>
            </w:r>
          </w:p>
        </w:tc>
        <w:tc>
          <w:tcPr>
            <w:tcW w:w="662" w:type="pct"/>
            <w:tcBorders>
              <w:top w:val="single" w:sz="4" w:space="0" w:color="365F91"/>
              <w:left w:val="nil"/>
              <w:bottom w:val="single" w:sz="4" w:space="0" w:color="365F91"/>
              <w:right w:val="nil"/>
            </w:tcBorders>
            <w:shd w:val="clear" w:color="auto" w:fill="365F91"/>
            <w:vAlign w:val="bottom"/>
            <w:hideMark/>
          </w:tcPr>
          <w:p w14:paraId="0348BE4D" w14:textId="77777777" w:rsidR="000B0092" w:rsidRPr="00BE78CA" w:rsidRDefault="000B0092" w:rsidP="00C26084">
            <w:pPr>
              <w:pStyle w:val="TableTextBold"/>
              <w:spacing w:after="0"/>
              <w:jc w:val="center"/>
              <w:rPr>
                <w:noProof w:val="0"/>
                <w:color w:val="FFFFFF"/>
              </w:rPr>
            </w:pPr>
            <w:r w:rsidRPr="00BE78CA">
              <w:rPr>
                <w:noProof w:val="0"/>
                <w:color w:val="FFFFFF"/>
              </w:rPr>
              <w:t>Change (%)</w:t>
            </w:r>
          </w:p>
        </w:tc>
        <w:tc>
          <w:tcPr>
            <w:tcW w:w="1007" w:type="pct"/>
            <w:gridSpan w:val="2"/>
            <w:tcBorders>
              <w:top w:val="single" w:sz="4" w:space="0" w:color="365F91"/>
              <w:left w:val="nil"/>
              <w:bottom w:val="single" w:sz="4" w:space="0" w:color="365F91"/>
              <w:right w:val="nil"/>
            </w:tcBorders>
            <w:shd w:val="clear" w:color="auto" w:fill="365F91"/>
            <w:vAlign w:val="bottom"/>
            <w:hideMark/>
          </w:tcPr>
          <w:p w14:paraId="18B95522" w14:textId="77777777" w:rsidR="000B0092" w:rsidRPr="00BE78CA" w:rsidRDefault="000B0092" w:rsidP="00C26084">
            <w:pPr>
              <w:pStyle w:val="TableTextBold"/>
              <w:spacing w:after="0"/>
              <w:jc w:val="center"/>
              <w:rPr>
                <w:noProof w:val="0"/>
                <w:color w:val="FFFFFF"/>
              </w:rPr>
            </w:pPr>
            <w:r w:rsidRPr="00BE78CA">
              <w:rPr>
                <w:noProof w:val="0"/>
                <w:color w:val="FFFFFF"/>
              </w:rPr>
              <w:t>Share (%)</w:t>
            </w:r>
          </w:p>
        </w:tc>
      </w:tr>
      <w:tr w:rsidR="000B0092" w:rsidRPr="00BE78CA" w14:paraId="6A3E6B6A" w14:textId="77777777" w:rsidTr="00BA778A">
        <w:tc>
          <w:tcPr>
            <w:tcW w:w="1758" w:type="pct"/>
            <w:tcBorders>
              <w:top w:val="single" w:sz="4" w:space="0" w:color="365F91"/>
              <w:left w:val="nil"/>
              <w:bottom w:val="single" w:sz="4" w:space="0" w:color="365F91"/>
              <w:right w:val="nil"/>
            </w:tcBorders>
            <w:shd w:val="clear" w:color="auto" w:fill="365F91"/>
            <w:vAlign w:val="bottom"/>
            <w:hideMark/>
          </w:tcPr>
          <w:p w14:paraId="40CD1E5E" w14:textId="77777777" w:rsidR="000B0092" w:rsidRPr="00BE78CA" w:rsidRDefault="000B0092" w:rsidP="00C26084">
            <w:pPr>
              <w:pStyle w:val="TableTextBold"/>
              <w:rPr>
                <w:noProof w:val="0"/>
                <w:color w:val="FFFFFF"/>
              </w:rPr>
            </w:pPr>
            <w:r w:rsidRPr="00BE78CA">
              <w:rPr>
                <w:noProof w:val="0"/>
                <w:color w:val="FFFFFF"/>
              </w:rPr>
              <w:t>Source category</w:t>
            </w:r>
          </w:p>
        </w:tc>
        <w:tc>
          <w:tcPr>
            <w:tcW w:w="496" w:type="pct"/>
            <w:tcBorders>
              <w:top w:val="single" w:sz="4" w:space="0" w:color="365F91"/>
              <w:left w:val="nil"/>
              <w:bottom w:val="single" w:sz="4" w:space="0" w:color="365F91"/>
              <w:right w:val="nil"/>
            </w:tcBorders>
            <w:shd w:val="clear" w:color="auto" w:fill="365F91"/>
            <w:vAlign w:val="bottom"/>
            <w:hideMark/>
          </w:tcPr>
          <w:p w14:paraId="1812CD00" w14:textId="77777777" w:rsidR="000B0092" w:rsidRPr="00BE78CA" w:rsidRDefault="000B0092" w:rsidP="00C26084">
            <w:pPr>
              <w:pStyle w:val="TableTextBold"/>
              <w:jc w:val="right"/>
              <w:rPr>
                <w:noProof w:val="0"/>
                <w:color w:val="FFFFFF"/>
              </w:rPr>
            </w:pPr>
            <w:r w:rsidRPr="00BE78CA">
              <w:rPr>
                <w:noProof w:val="0"/>
                <w:color w:val="FFFFFF"/>
              </w:rPr>
              <w:t>1990</w:t>
            </w:r>
          </w:p>
        </w:tc>
        <w:tc>
          <w:tcPr>
            <w:tcW w:w="498" w:type="pct"/>
            <w:tcBorders>
              <w:top w:val="single" w:sz="4" w:space="0" w:color="365F91"/>
              <w:left w:val="nil"/>
              <w:bottom w:val="single" w:sz="4" w:space="0" w:color="365F91"/>
              <w:right w:val="nil"/>
            </w:tcBorders>
            <w:shd w:val="clear" w:color="auto" w:fill="365F91"/>
            <w:vAlign w:val="bottom"/>
            <w:hideMark/>
          </w:tcPr>
          <w:p w14:paraId="244F2C1A" w14:textId="77777777" w:rsidR="000B0092" w:rsidRPr="00BE78CA" w:rsidRDefault="000B0092" w:rsidP="00C26084">
            <w:pPr>
              <w:pStyle w:val="TableTextBold"/>
              <w:jc w:val="right"/>
              <w:rPr>
                <w:noProof w:val="0"/>
                <w:color w:val="FFFFFF"/>
              </w:rPr>
            </w:pPr>
            <w:r w:rsidRPr="00BE78CA">
              <w:rPr>
                <w:noProof w:val="0"/>
                <w:color w:val="FFFFFF"/>
              </w:rPr>
              <w:t>2019</w:t>
            </w:r>
          </w:p>
        </w:tc>
        <w:tc>
          <w:tcPr>
            <w:tcW w:w="579" w:type="pct"/>
            <w:tcBorders>
              <w:top w:val="single" w:sz="4" w:space="0" w:color="365F91"/>
              <w:left w:val="nil"/>
              <w:bottom w:val="single" w:sz="4" w:space="0" w:color="365F91"/>
              <w:right w:val="nil"/>
            </w:tcBorders>
            <w:shd w:val="clear" w:color="auto" w:fill="365F91"/>
            <w:vAlign w:val="bottom"/>
            <w:hideMark/>
          </w:tcPr>
          <w:p w14:paraId="0C5BB6A4" w14:textId="77777777" w:rsidR="000B0092" w:rsidRPr="00BE78CA" w:rsidRDefault="000B0092" w:rsidP="00C26084">
            <w:pPr>
              <w:pStyle w:val="TableTextBold"/>
              <w:jc w:val="right"/>
              <w:rPr>
                <w:noProof w:val="0"/>
                <w:color w:val="FFFFFF"/>
              </w:rPr>
            </w:pPr>
            <w:r w:rsidRPr="00BE78CA">
              <w:rPr>
                <w:noProof w:val="0"/>
                <w:color w:val="FFFFFF"/>
              </w:rPr>
              <w:t>1990–2019</w:t>
            </w:r>
          </w:p>
        </w:tc>
        <w:tc>
          <w:tcPr>
            <w:tcW w:w="662" w:type="pct"/>
            <w:tcBorders>
              <w:top w:val="single" w:sz="4" w:space="0" w:color="365F91"/>
              <w:left w:val="nil"/>
              <w:bottom w:val="single" w:sz="4" w:space="0" w:color="365F91"/>
              <w:right w:val="nil"/>
            </w:tcBorders>
            <w:shd w:val="clear" w:color="auto" w:fill="365F91"/>
            <w:vAlign w:val="bottom"/>
            <w:hideMark/>
          </w:tcPr>
          <w:p w14:paraId="357A7936" w14:textId="77777777" w:rsidR="000B0092" w:rsidRPr="00BE78CA" w:rsidRDefault="000B0092" w:rsidP="00C26084">
            <w:pPr>
              <w:pStyle w:val="TableTextBold"/>
              <w:jc w:val="right"/>
              <w:rPr>
                <w:noProof w:val="0"/>
                <w:color w:val="FFFFFF"/>
              </w:rPr>
            </w:pPr>
            <w:r w:rsidRPr="00BE78CA">
              <w:rPr>
                <w:noProof w:val="0"/>
                <w:color w:val="FFFFFF"/>
              </w:rPr>
              <w:t>1990–2019</w:t>
            </w:r>
          </w:p>
        </w:tc>
        <w:tc>
          <w:tcPr>
            <w:tcW w:w="497" w:type="pct"/>
            <w:tcBorders>
              <w:top w:val="single" w:sz="4" w:space="0" w:color="365F91"/>
              <w:left w:val="nil"/>
              <w:bottom w:val="single" w:sz="4" w:space="0" w:color="365F91"/>
              <w:right w:val="nil"/>
            </w:tcBorders>
            <w:shd w:val="clear" w:color="auto" w:fill="365F91"/>
            <w:vAlign w:val="bottom"/>
            <w:hideMark/>
          </w:tcPr>
          <w:p w14:paraId="3688D8F8" w14:textId="77777777" w:rsidR="000B0092" w:rsidRPr="00BE78CA" w:rsidRDefault="000B0092" w:rsidP="00C26084">
            <w:pPr>
              <w:pStyle w:val="TableTextBold"/>
              <w:jc w:val="right"/>
              <w:rPr>
                <w:noProof w:val="0"/>
                <w:color w:val="FFFFFF"/>
              </w:rPr>
            </w:pPr>
            <w:r w:rsidRPr="00BE78CA">
              <w:rPr>
                <w:noProof w:val="0"/>
                <w:color w:val="FFFFFF"/>
              </w:rPr>
              <w:t>1990</w:t>
            </w:r>
          </w:p>
        </w:tc>
        <w:tc>
          <w:tcPr>
            <w:tcW w:w="510" w:type="pct"/>
            <w:tcBorders>
              <w:top w:val="single" w:sz="4" w:space="0" w:color="365F91"/>
              <w:left w:val="nil"/>
              <w:bottom w:val="single" w:sz="4" w:space="0" w:color="365F91"/>
              <w:right w:val="nil"/>
            </w:tcBorders>
            <w:shd w:val="clear" w:color="auto" w:fill="365F91"/>
            <w:vAlign w:val="bottom"/>
            <w:hideMark/>
          </w:tcPr>
          <w:p w14:paraId="3AF87F74" w14:textId="77777777" w:rsidR="000B0092" w:rsidRPr="00BE78CA" w:rsidRDefault="000B0092" w:rsidP="00C26084">
            <w:pPr>
              <w:pStyle w:val="TableTextBold"/>
              <w:jc w:val="right"/>
              <w:rPr>
                <w:noProof w:val="0"/>
                <w:color w:val="FFFFFF"/>
              </w:rPr>
            </w:pPr>
            <w:r w:rsidRPr="00BE78CA">
              <w:rPr>
                <w:noProof w:val="0"/>
                <w:color w:val="FFFFFF"/>
              </w:rPr>
              <w:t>2019</w:t>
            </w:r>
          </w:p>
        </w:tc>
      </w:tr>
      <w:tr w:rsidR="000B0092" w:rsidRPr="00BE78CA" w14:paraId="5E4E8DA0" w14:textId="77777777" w:rsidTr="00BA778A">
        <w:trPr>
          <w:trHeight w:val="250"/>
        </w:trPr>
        <w:tc>
          <w:tcPr>
            <w:tcW w:w="1758" w:type="pct"/>
            <w:tcBorders>
              <w:top w:val="single" w:sz="4" w:space="0" w:color="365F91"/>
              <w:left w:val="nil"/>
              <w:bottom w:val="single" w:sz="4" w:space="0" w:color="365F91"/>
              <w:right w:val="nil"/>
            </w:tcBorders>
            <w:hideMark/>
          </w:tcPr>
          <w:p w14:paraId="77ABBF62" w14:textId="77777777" w:rsidR="000B0092" w:rsidRPr="00BE78CA" w:rsidRDefault="000B0092" w:rsidP="00C26084">
            <w:pPr>
              <w:pStyle w:val="TableText"/>
              <w:spacing w:before="50" w:after="50"/>
            </w:pPr>
            <w:r w:rsidRPr="00BE78CA">
              <w:t>Mineral industry (2.A)</w:t>
            </w:r>
          </w:p>
        </w:tc>
        <w:tc>
          <w:tcPr>
            <w:tcW w:w="496" w:type="pct"/>
            <w:tcBorders>
              <w:top w:val="single" w:sz="4" w:space="0" w:color="365F91"/>
              <w:left w:val="nil"/>
              <w:bottom w:val="single" w:sz="4" w:space="0" w:color="365F91"/>
              <w:right w:val="nil"/>
            </w:tcBorders>
            <w:hideMark/>
          </w:tcPr>
          <w:p w14:paraId="12DA18CD" w14:textId="77777777" w:rsidR="000B0092" w:rsidRPr="00BE78CA" w:rsidRDefault="000B0092" w:rsidP="00C26084">
            <w:pPr>
              <w:pStyle w:val="TableText"/>
              <w:spacing w:before="50" w:after="50"/>
              <w:jc w:val="right"/>
            </w:pPr>
            <w:r w:rsidRPr="00BE78CA">
              <w:t>561.9</w:t>
            </w:r>
          </w:p>
        </w:tc>
        <w:tc>
          <w:tcPr>
            <w:tcW w:w="498" w:type="pct"/>
            <w:tcBorders>
              <w:top w:val="single" w:sz="4" w:space="0" w:color="365F91"/>
              <w:left w:val="nil"/>
              <w:bottom w:val="single" w:sz="4" w:space="0" w:color="365F91"/>
              <w:right w:val="nil"/>
            </w:tcBorders>
            <w:hideMark/>
          </w:tcPr>
          <w:p w14:paraId="53F6303C" w14:textId="77777777" w:rsidR="000B0092" w:rsidRPr="00BE78CA" w:rsidRDefault="000B0092" w:rsidP="00C26084">
            <w:pPr>
              <w:pStyle w:val="TableText"/>
              <w:spacing w:before="50" w:after="50"/>
              <w:jc w:val="right"/>
            </w:pPr>
            <w:r w:rsidRPr="00BE78CA">
              <w:t>618.1</w:t>
            </w:r>
          </w:p>
        </w:tc>
        <w:tc>
          <w:tcPr>
            <w:tcW w:w="579" w:type="pct"/>
            <w:tcBorders>
              <w:top w:val="single" w:sz="4" w:space="0" w:color="365F91"/>
              <w:left w:val="nil"/>
              <w:bottom w:val="single" w:sz="4" w:space="0" w:color="365F91"/>
              <w:right w:val="nil"/>
            </w:tcBorders>
            <w:hideMark/>
          </w:tcPr>
          <w:p w14:paraId="26A55DBE" w14:textId="77777777" w:rsidR="000B0092" w:rsidRPr="00BE78CA" w:rsidRDefault="000B0092" w:rsidP="00C26084">
            <w:pPr>
              <w:pStyle w:val="TableText"/>
              <w:spacing w:before="50" w:after="50"/>
              <w:jc w:val="right"/>
            </w:pPr>
            <w:r w:rsidRPr="00BE78CA">
              <w:t>56.2</w:t>
            </w:r>
          </w:p>
        </w:tc>
        <w:tc>
          <w:tcPr>
            <w:tcW w:w="662" w:type="pct"/>
            <w:tcBorders>
              <w:top w:val="single" w:sz="4" w:space="0" w:color="365F91"/>
              <w:left w:val="nil"/>
              <w:bottom w:val="single" w:sz="4" w:space="0" w:color="365F91"/>
              <w:right w:val="nil"/>
            </w:tcBorders>
            <w:hideMark/>
          </w:tcPr>
          <w:p w14:paraId="310A03BD" w14:textId="77777777" w:rsidR="000B0092" w:rsidRPr="00BE78CA" w:rsidRDefault="000B0092" w:rsidP="00C26084">
            <w:pPr>
              <w:pStyle w:val="TableText"/>
              <w:spacing w:before="50" w:after="50"/>
              <w:jc w:val="right"/>
            </w:pPr>
            <w:r w:rsidRPr="00BE78CA">
              <w:t>10.0</w:t>
            </w:r>
          </w:p>
        </w:tc>
        <w:tc>
          <w:tcPr>
            <w:tcW w:w="497" w:type="pct"/>
            <w:tcBorders>
              <w:top w:val="single" w:sz="4" w:space="0" w:color="365F91"/>
              <w:left w:val="nil"/>
              <w:bottom w:val="single" w:sz="4" w:space="0" w:color="365F91"/>
              <w:right w:val="nil"/>
            </w:tcBorders>
            <w:hideMark/>
          </w:tcPr>
          <w:p w14:paraId="683E2899" w14:textId="77777777" w:rsidR="000B0092" w:rsidRPr="00BE78CA" w:rsidRDefault="000B0092" w:rsidP="00C26084">
            <w:pPr>
              <w:pStyle w:val="TableText"/>
              <w:spacing w:before="50" w:after="50"/>
              <w:jc w:val="right"/>
            </w:pPr>
            <w:r w:rsidRPr="00BE78CA">
              <w:t>15.7</w:t>
            </w:r>
          </w:p>
        </w:tc>
        <w:tc>
          <w:tcPr>
            <w:tcW w:w="510" w:type="pct"/>
            <w:tcBorders>
              <w:top w:val="single" w:sz="4" w:space="0" w:color="365F91"/>
              <w:left w:val="nil"/>
              <w:bottom w:val="single" w:sz="4" w:space="0" w:color="365F91"/>
              <w:right w:val="nil"/>
            </w:tcBorders>
            <w:hideMark/>
          </w:tcPr>
          <w:p w14:paraId="33A8659A" w14:textId="77777777" w:rsidR="000B0092" w:rsidRPr="00BE78CA" w:rsidRDefault="000B0092" w:rsidP="00C26084">
            <w:pPr>
              <w:pStyle w:val="TableText"/>
              <w:spacing w:before="50" w:after="50"/>
              <w:jc w:val="right"/>
            </w:pPr>
            <w:r w:rsidRPr="00BE78CA">
              <w:t>12.1</w:t>
            </w:r>
          </w:p>
        </w:tc>
      </w:tr>
      <w:tr w:rsidR="000B0092" w:rsidRPr="00BE78CA" w14:paraId="59D64989" w14:textId="77777777" w:rsidTr="00BA778A">
        <w:tc>
          <w:tcPr>
            <w:tcW w:w="1758" w:type="pct"/>
            <w:tcBorders>
              <w:top w:val="single" w:sz="4" w:space="0" w:color="365F91"/>
              <w:left w:val="nil"/>
              <w:bottom w:val="single" w:sz="4" w:space="0" w:color="365F91"/>
              <w:right w:val="nil"/>
            </w:tcBorders>
            <w:hideMark/>
          </w:tcPr>
          <w:p w14:paraId="069C1450" w14:textId="77777777" w:rsidR="000B0092" w:rsidRPr="00BE78CA" w:rsidRDefault="000B0092" w:rsidP="00C26084">
            <w:pPr>
              <w:pStyle w:val="TableText"/>
              <w:spacing w:before="50" w:after="50"/>
            </w:pPr>
            <w:r w:rsidRPr="00BE78CA">
              <w:t>Chemical industry (2.B)</w:t>
            </w:r>
          </w:p>
        </w:tc>
        <w:tc>
          <w:tcPr>
            <w:tcW w:w="496" w:type="pct"/>
            <w:tcBorders>
              <w:top w:val="single" w:sz="4" w:space="0" w:color="365F91"/>
              <w:left w:val="nil"/>
              <w:bottom w:val="single" w:sz="4" w:space="0" w:color="365F91"/>
              <w:right w:val="nil"/>
            </w:tcBorders>
            <w:hideMark/>
          </w:tcPr>
          <w:p w14:paraId="2CC3E4BB" w14:textId="77777777" w:rsidR="000B0092" w:rsidRPr="00BE78CA" w:rsidRDefault="000B0092" w:rsidP="00C26084">
            <w:pPr>
              <w:pStyle w:val="TableText"/>
              <w:spacing w:before="50" w:after="50"/>
              <w:jc w:val="right"/>
            </w:pPr>
            <w:r w:rsidRPr="00BE78CA">
              <w:t>203.0</w:t>
            </w:r>
          </w:p>
        </w:tc>
        <w:tc>
          <w:tcPr>
            <w:tcW w:w="498" w:type="pct"/>
            <w:tcBorders>
              <w:top w:val="single" w:sz="4" w:space="0" w:color="365F91"/>
              <w:left w:val="nil"/>
              <w:bottom w:val="single" w:sz="4" w:space="0" w:color="365F91"/>
              <w:right w:val="nil"/>
            </w:tcBorders>
            <w:hideMark/>
          </w:tcPr>
          <w:p w14:paraId="722A9F17" w14:textId="77777777" w:rsidR="000B0092" w:rsidRPr="00BE78CA" w:rsidRDefault="000B0092" w:rsidP="00C26084">
            <w:pPr>
              <w:pStyle w:val="TableText"/>
              <w:spacing w:before="50" w:after="50"/>
              <w:jc w:val="right"/>
            </w:pPr>
            <w:r w:rsidRPr="00BE78CA">
              <w:t>290.5</w:t>
            </w:r>
          </w:p>
        </w:tc>
        <w:tc>
          <w:tcPr>
            <w:tcW w:w="579" w:type="pct"/>
            <w:tcBorders>
              <w:top w:val="single" w:sz="4" w:space="0" w:color="365F91"/>
              <w:left w:val="nil"/>
              <w:bottom w:val="single" w:sz="4" w:space="0" w:color="365F91"/>
              <w:right w:val="nil"/>
            </w:tcBorders>
            <w:hideMark/>
          </w:tcPr>
          <w:p w14:paraId="6826284B" w14:textId="77777777" w:rsidR="000B0092" w:rsidRPr="00BE78CA" w:rsidRDefault="000B0092" w:rsidP="00C26084">
            <w:pPr>
              <w:pStyle w:val="TableText"/>
              <w:spacing w:before="50" w:after="50"/>
              <w:jc w:val="right"/>
            </w:pPr>
            <w:r w:rsidRPr="00BE78CA">
              <w:t>87.5</w:t>
            </w:r>
          </w:p>
        </w:tc>
        <w:tc>
          <w:tcPr>
            <w:tcW w:w="662" w:type="pct"/>
            <w:tcBorders>
              <w:top w:val="single" w:sz="4" w:space="0" w:color="365F91"/>
              <w:left w:val="nil"/>
              <w:bottom w:val="single" w:sz="4" w:space="0" w:color="365F91"/>
              <w:right w:val="nil"/>
            </w:tcBorders>
            <w:hideMark/>
          </w:tcPr>
          <w:p w14:paraId="1AE4B7AA" w14:textId="77777777" w:rsidR="000B0092" w:rsidRPr="00BE78CA" w:rsidRDefault="000B0092" w:rsidP="00C26084">
            <w:pPr>
              <w:pStyle w:val="TableText"/>
              <w:spacing w:before="50" w:after="50"/>
              <w:jc w:val="right"/>
            </w:pPr>
            <w:r w:rsidRPr="00BE78CA">
              <w:t>43.1</w:t>
            </w:r>
          </w:p>
        </w:tc>
        <w:tc>
          <w:tcPr>
            <w:tcW w:w="497" w:type="pct"/>
            <w:tcBorders>
              <w:top w:val="single" w:sz="4" w:space="0" w:color="365F91"/>
              <w:left w:val="nil"/>
              <w:bottom w:val="single" w:sz="4" w:space="0" w:color="365F91"/>
              <w:right w:val="nil"/>
            </w:tcBorders>
            <w:hideMark/>
          </w:tcPr>
          <w:p w14:paraId="5366B63F" w14:textId="77777777" w:rsidR="000B0092" w:rsidRPr="00BE78CA" w:rsidRDefault="000B0092" w:rsidP="00C26084">
            <w:pPr>
              <w:pStyle w:val="TableText"/>
              <w:spacing w:before="50" w:after="50"/>
              <w:jc w:val="right"/>
            </w:pPr>
            <w:r w:rsidRPr="00BE78CA">
              <w:t>5.7</w:t>
            </w:r>
          </w:p>
        </w:tc>
        <w:tc>
          <w:tcPr>
            <w:tcW w:w="510" w:type="pct"/>
            <w:tcBorders>
              <w:top w:val="single" w:sz="4" w:space="0" w:color="365F91"/>
              <w:left w:val="nil"/>
              <w:bottom w:val="single" w:sz="4" w:space="0" w:color="365F91"/>
              <w:right w:val="nil"/>
            </w:tcBorders>
            <w:hideMark/>
          </w:tcPr>
          <w:p w14:paraId="266A5F49" w14:textId="77777777" w:rsidR="000B0092" w:rsidRPr="00BE78CA" w:rsidRDefault="000B0092" w:rsidP="00C26084">
            <w:pPr>
              <w:pStyle w:val="TableText"/>
              <w:spacing w:before="50" w:after="50"/>
              <w:jc w:val="right"/>
            </w:pPr>
            <w:r w:rsidRPr="00BE78CA">
              <w:t>5.7</w:t>
            </w:r>
          </w:p>
        </w:tc>
      </w:tr>
      <w:tr w:rsidR="000B0092" w:rsidRPr="00BE78CA" w14:paraId="6D970355" w14:textId="77777777" w:rsidTr="00BA778A">
        <w:tc>
          <w:tcPr>
            <w:tcW w:w="1758" w:type="pct"/>
            <w:tcBorders>
              <w:top w:val="single" w:sz="4" w:space="0" w:color="365F91"/>
              <w:left w:val="nil"/>
              <w:bottom w:val="single" w:sz="4" w:space="0" w:color="365F91"/>
              <w:right w:val="nil"/>
            </w:tcBorders>
            <w:hideMark/>
          </w:tcPr>
          <w:p w14:paraId="0CCFFAB1" w14:textId="77777777" w:rsidR="000B0092" w:rsidRPr="00BE78CA" w:rsidRDefault="000B0092" w:rsidP="00C26084">
            <w:pPr>
              <w:pStyle w:val="TableText"/>
              <w:spacing w:before="50" w:after="50"/>
            </w:pPr>
            <w:r w:rsidRPr="00BE78CA">
              <w:t>Metal industry (2.C)</w:t>
            </w:r>
          </w:p>
        </w:tc>
        <w:tc>
          <w:tcPr>
            <w:tcW w:w="496" w:type="pct"/>
            <w:tcBorders>
              <w:top w:val="single" w:sz="4" w:space="0" w:color="365F91"/>
              <w:left w:val="nil"/>
              <w:bottom w:val="single" w:sz="4" w:space="0" w:color="365F91"/>
              <w:right w:val="nil"/>
            </w:tcBorders>
            <w:hideMark/>
          </w:tcPr>
          <w:p w14:paraId="21D11DB0" w14:textId="77777777" w:rsidR="000B0092" w:rsidRPr="00BE78CA" w:rsidRDefault="000B0092" w:rsidP="00C26084">
            <w:pPr>
              <w:pStyle w:val="TableText"/>
              <w:spacing w:before="50" w:after="50"/>
              <w:jc w:val="right"/>
            </w:pPr>
            <w:r w:rsidRPr="00BE78CA">
              <w:t>2,670.2</w:t>
            </w:r>
          </w:p>
        </w:tc>
        <w:tc>
          <w:tcPr>
            <w:tcW w:w="498" w:type="pct"/>
            <w:tcBorders>
              <w:top w:val="single" w:sz="4" w:space="0" w:color="365F91"/>
              <w:left w:val="nil"/>
              <w:bottom w:val="single" w:sz="4" w:space="0" w:color="365F91"/>
              <w:right w:val="nil"/>
            </w:tcBorders>
            <w:hideMark/>
          </w:tcPr>
          <w:p w14:paraId="6E6CA40E" w14:textId="77777777" w:rsidR="000B0092" w:rsidRPr="00BE78CA" w:rsidRDefault="000B0092" w:rsidP="00C26084">
            <w:pPr>
              <w:pStyle w:val="TableText"/>
              <w:spacing w:before="50" w:after="50"/>
              <w:jc w:val="right"/>
            </w:pPr>
            <w:r w:rsidRPr="00BE78CA">
              <w:t>2,325.2</w:t>
            </w:r>
          </w:p>
        </w:tc>
        <w:tc>
          <w:tcPr>
            <w:tcW w:w="579" w:type="pct"/>
            <w:tcBorders>
              <w:top w:val="single" w:sz="4" w:space="0" w:color="365F91"/>
              <w:left w:val="nil"/>
              <w:bottom w:val="single" w:sz="4" w:space="0" w:color="365F91"/>
              <w:right w:val="nil"/>
            </w:tcBorders>
            <w:hideMark/>
          </w:tcPr>
          <w:p w14:paraId="58DE92FD" w14:textId="77777777" w:rsidR="000B0092" w:rsidRPr="00BE78CA" w:rsidRDefault="000B0092" w:rsidP="00C26084">
            <w:pPr>
              <w:pStyle w:val="TableText"/>
              <w:spacing w:before="50" w:after="50"/>
              <w:jc w:val="right"/>
            </w:pPr>
            <w:r w:rsidRPr="00BE78CA">
              <w:t>–345.0</w:t>
            </w:r>
          </w:p>
        </w:tc>
        <w:tc>
          <w:tcPr>
            <w:tcW w:w="662" w:type="pct"/>
            <w:tcBorders>
              <w:top w:val="single" w:sz="4" w:space="0" w:color="365F91"/>
              <w:left w:val="nil"/>
              <w:bottom w:val="single" w:sz="4" w:space="0" w:color="365F91"/>
              <w:right w:val="nil"/>
            </w:tcBorders>
            <w:hideMark/>
          </w:tcPr>
          <w:p w14:paraId="6DB9CEF2" w14:textId="77777777" w:rsidR="000B0092" w:rsidRPr="00BE78CA" w:rsidRDefault="000B0092" w:rsidP="00C26084">
            <w:pPr>
              <w:pStyle w:val="TableText"/>
              <w:spacing w:before="50" w:after="50"/>
              <w:jc w:val="right"/>
            </w:pPr>
            <w:r w:rsidRPr="00BE78CA">
              <w:t>–12.9</w:t>
            </w:r>
          </w:p>
        </w:tc>
        <w:tc>
          <w:tcPr>
            <w:tcW w:w="497" w:type="pct"/>
            <w:tcBorders>
              <w:top w:val="single" w:sz="4" w:space="0" w:color="365F91"/>
              <w:left w:val="nil"/>
              <w:bottom w:val="single" w:sz="4" w:space="0" w:color="365F91"/>
              <w:right w:val="nil"/>
            </w:tcBorders>
            <w:hideMark/>
          </w:tcPr>
          <w:p w14:paraId="0C450E5B" w14:textId="77777777" w:rsidR="000B0092" w:rsidRPr="00BE78CA" w:rsidRDefault="000B0092" w:rsidP="00C26084">
            <w:pPr>
              <w:pStyle w:val="TableText"/>
              <w:spacing w:before="50" w:after="50"/>
              <w:jc w:val="right"/>
            </w:pPr>
            <w:r w:rsidRPr="00BE78CA">
              <w:t>74.6</w:t>
            </w:r>
          </w:p>
        </w:tc>
        <w:tc>
          <w:tcPr>
            <w:tcW w:w="510" w:type="pct"/>
            <w:tcBorders>
              <w:top w:val="single" w:sz="4" w:space="0" w:color="365F91"/>
              <w:left w:val="nil"/>
              <w:bottom w:val="single" w:sz="4" w:space="0" w:color="365F91"/>
              <w:right w:val="nil"/>
            </w:tcBorders>
            <w:hideMark/>
          </w:tcPr>
          <w:p w14:paraId="50447706" w14:textId="77777777" w:rsidR="000B0092" w:rsidRPr="00BE78CA" w:rsidRDefault="000B0092" w:rsidP="00C26084">
            <w:pPr>
              <w:pStyle w:val="TableText"/>
              <w:spacing w:before="50" w:after="50"/>
              <w:jc w:val="right"/>
            </w:pPr>
            <w:r w:rsidRPr="00BE78CA">
              <w:t>45.5</w:t>
            </w:r>
          </w:p>
        </w:tc>
      </w:tr>
      <w:tr w:rsidR="000B0092" w:rsidRPr="00BE78CA" w14:paraId="2DEB3A92" w14:textId="77777777" w:rsidTr="00BA778A">
        <w:tc>
          <w:tcPr>
            <w:tcW w:w="1758" w:type="pct"/>
            <w:tcBorders>
              <w:top w:val="single" w:sz="4" w:space="0" w:color="365F91"/>
              <w:left w:val="nil"/>
              <w:bottom w:val="single" w:sz="4" w:space="0" w:color="365F91"/>
              <w:right w:val="nil"/>
            </w:tcBorders>
            <w:hideMark/>
          </w:tcPr>
          <w:p w14:paraId="5567D222" w14:textId="77777777" w:rsidR="000B0092" w:rsidRPr="00BE78CA" w:rsidRDefault="000B0092" w:rsidP="00C26084">
            <w:pPr>
              <w:pStyle w:val="TableText"/>
              <w:spacing w:before="50" w:after="50"/>
            </w:pPr>
            <w:r w:rsidRPr="00BE78CA">
              <w:t>Non-energy products from fuels and solvent use (2.D)</w:t>
            </w:r>
          </w:p>
        </w:tc>
        <w:tc>
          <w:tcPr>
            <w:tcW w:w="496" w:type="pct"/>
            <w:tcBorders>
              <w:top w:val="single" w:sz="4" w:space="0" w:color="365F91"/>
              <w:left w:val="nil"/>
              <w:bottom w:val="single" w:sz="4" w:space="0" w:color="365F91"/>
              <w:right w:val="nil"/>
            </w:tcBorders>
            <w:hideMark/>
          </w:tcPr>
          <w:p w14:paraId="0AF53EBE" w14:textId="77777777" w:rsidR="000B0092" w:rsidRPr="00BE78CA" w:rsidRDefault="000B0092" w:rsidP="00C26084">
            <w:pPr>
              <w:pStyle w:val="TableText"/>
              <w:spacing w:before="50" w:after="50"/>
              <w:jc w:val="right"/>
            </w:pPr>
            <w:r w:rsidRPr="00BE78CA">
              <w:t>25.2</w:t>
            </w:r>
          </w:p>
        </w:tc>
        <w:tc>
          <w:tcPr>
            <w:tcW w:w="498" w:type="pct"/>
            <w:tcBorders>
              <w:top w:val="single" w:sz="4" w:space="0" w:color="365F91"/>
              <w:left w:val="nil"/>
              <w:bottom w:val="single" w:sz="4" w:space="0" w:color="365F91"/>
              <w:right w:val="nil"/>
            </w:tcBorders>
            <w:hideMark/>
          </w:tcPr>
          <w:p w14:paraId="7D74B112" w14:textId="77777777" w:rsidR="000B0092" w:rsidRPr="00BE78CA" w:rsidRDefault="000B0092" w:rsidP="00C26084">
            <w:pPr>
              <w:pStyle w:val="TableText"/>
              <w:spacing w:before="50" w:after="50"/>
              <w:jc w:val="right"/>
            </w:pPr>
            <w:r w:rsidRPr="00BE78CA">
              <w:t>48.0</w:t>
            </w:r>
          </w:p>
        </w:tc>
        <w:tc>
          <w:tcPr>
            <w:tcW w:w="579" w:type="pct"/>
            <w:tcBorders>
              <w:top w:val="single" w:sz="4" w:space="0" w:color="365F91"/>
              <w:left w:val="nil"/>
              <w:bottom w:val="single" w:sz="4" w:space="0" w:color="365F91"/>
              <w:right w:val="nil"/>
            </w:tcBorders>
            <w:hideMark/>
          </w:tcPr>
          <w:p w14:paraId="00BA0CA2" w14:textId="77777777" w:rsidR="000B0092" w:rsidRPr="00BE78CA" w:rsidRDefault="000B0092" w:rsidP="00C26084">
            <w:pPr>
              <w:pStyle w:val="TableText"/>
              <w:spacing w:before="50" w:after="50"/>
              <w:jc w:val="right"/>
            </w:pPr>
            <w:r w:rsidRPr="00BE78CA">
              <w:t>22.9</w:t>
            </w:r>
          </w:p>
        </w:tc>
        <w:tc>
          <w:tcPr>
            <w:tcW w:w="662" w:type="pct"/>
            <w:tcBorders>
              <w:top w:val="single" w:sz="4" w:space="0" w:color="365F91"/>
              <w:left w:val="nil"/>
              <w:bottom w:val="single" w:sz="4" w:space="0" w:color="365F91"/>
              <w:right w:val="nil"/>
            </w:tcBorders>
            <w:hideMark/>
          </w:tcPr>
          <w:p w14:paraId="7C835786" w14:textId="77777777" w:rsidR="000B0092" w:rsidRPr="00BE78CA" w:rsidRDefault="000B0092" w:rsidP="00C26084">
            <w:pPr>
              <w:pStyle w:val="TableText"/>
              <w:spacing w:before="50" w:after="50"/>
              <w:jc w:val="right"/>
            </w:pPr>
            <w:r w:rsidRPr="00BE78CA">
              <w:t>90.8</w:t>
            </w:r>
          </w:p>
        </w:tc>
        <w:tc>
          <w:tcPr>
            <w:tcW w:w="497" w:type="pct"/>
            <w:tcBorders>
              <w:top w:val="single" w:sz="4" w:space="0" w:color="365F91"/>
              <w:left w:val="nil"/>
              <w:bottom w:val="single" w:sz="4" w:space="0" w:color="365F91"/>
              <w:right w:val="nil"/>
            </w:tcBorders>
            <w:hideMark/>
          </w:tcPr>
          <w:p w14:paraId="55C1A41E" w14:textId="77777777" w:rsidR="000B0092" w:rsidRPr="00BE78CA" w:rsidRDefault="000B0092" w:rsidP="00C26084">
            <w:pPr>
              <w:pStyle w:val="TableText"/>
              <w:spacing w:before="50" w:after="50"/>
              <w:jc w:val="right"/>
            </w:pPr>
            <w:r w:rsidRPr="00BE78CA">
              <w:t>0.7</w:t>
            </w:r>
          </w:p>
        </w:tc>
        <w:tc>
          <w:tcPr>
            <w:tcW w:w="510" w:type="pct"/>
            <w:tcBorders>
              <w:top w:val="single" w:sz="4" w:space="0" w:color="365F91"/>
              <w:left w:val="nil"/>
              <w:bottom w:val="single" w:sz="4" w:space="0" w:color="365F91"/>
              <w:right w:val="nil"/>
            </w:tcBorders>
            <w:hideMark/>
          </w:tcPr>
          <w:p w14:paraId="00C2029F" w14:textId="77777777" w:rsidR="000B0092" w:rsidRPr="00BE78CA" w:rsidRDefault="000B0092" w:rsidP="00C26084">
            <w:pPr>
              <w:pStyle w:val="TableText"/>
              <w:spacing w:before="50" w:after="50"/>
              <w:jc w:val="right"/>
            </w:pPr>
            <w:r w:rsidRPr="00BE78CA">
              <w:t>0.9</w:t>
            </w:r>
          </w:p>
        </w:tc>
      </w:tr>
      <w:tr w:rsidR="000B0092" w:rsidRPr="00BE78CA" w14:paraId="33E4979A" w14:textId="77777777" w:rsidTr="00BA778A">
        <w:tc>
          <w:tcPr>
            <w:tcW w:w="1758" w:type="pct"/>
            <w:tcBorders>
              <w:top w:val="single" w:sz="4" w:space="0" w:color="365F91"/>
              <w:left w:val="nil"/>
              <w:bottom w:val="single" w:sz="4" w:space="0" w:color="365F91"/>
              <w:right w:val="nil"/>
            </w:tcBorders>
            <w:hideMark/>
          </w:tcPr>
          <w:p w14:paraId="3432BE58" w14:textId="77777777" w:rsidR="000B0092" w:rsidRPr="00BE78CA" w:rsidRDefault="000B0092" w:rsidP="00C26084">
            <w:pPr>
              <w:pStyle w:val="TableText"/>
              <w:spacing w:before="50" w:after="50"/>
            </w:pPr>
            <w:r w:rsidRPr="00BE78CA">
              <w:t>Product uses as substitutes for ODS (2.F)</w:t>
            </w:r>
          </w:p>
        </w:tc>
        <w:tc>
          <w:tcPr>
            <w:tcW w:w="496" w:type="pct"/>
            <w:tcBorders>
              <w:top w:val="single" w:sz="4" w:space="0" w:color="365F91"/>
              <w:left w:val="nil"/>
              <w:bottom w:val="single" w:sz="4" w:space="0" w:color="365F91"/>
              <w:right w:val="nil"/>
            </w:tcBorders>
            <w:hideMark/>
          </w:tcPr>
          <w:p w14:paraId="19BD0A01" w14:textId="77777777" w:rsidR="000B0092" w:rsidRPr="00BE78CA" w:rsidRDefault="000B0092" w:rsidP="00C26084">
            <w:pPr>
              <w:pStyle w:val="TableText"/>
              <w:spacing w:before="50" w:after="50"/>
              <w:jc w:val="right"/>
            </w:pPr>
            <w:r w:rsidRPr="00BE78CA">
              <w:t>–</w:t>
            </w:r>
          </w:p>
        </w:tc>
        <w:tc>
          <w:tcPr>
            <w:tcW w:w="498" w:type="pct"/>
            <w:tcBorders>
              <w:top w:val="single" w:sz="4" w:space="0" w:color="365F91"/>
              <w:left w:val="nil"/>
              <w:bottom w:val="single" w:sz="4" w:space="0" w:color="365F91"/>
              <w:right w:val="nil"/>
            </w:tcBorders>
            <w:hideMark/>
          </w:tcPr>
          <w:p w14:paraId="043583E6" w14:textId="77777777" w:rsidR="000B0092" w:rsidRPr="00BE78CA" w:rsidRDefault="000B0092" w:rsidP="00C26084">
            <w:pPr>
              <w:pStyle w:val="TableText"/>
              <w:spacing w:before="50" w:after="50"/>
              <w:jc w:val="right"/>
            </w:pPr>
            <w:r w:rsidRPr="00BE78CA">
              <w:t>1,733.8</w:t>
            </w:r>
          </w:p>
        </w:tc>
        <w:tc>
          <w:tcPr>
            <w:tcW w:w="579" w:type="pct"/>
            <w:tcBorders>
              <w:top w:val="single" w:sz="4" w:space="0" w:color="365F91"/>
              <w:left w:val="nil"/>
              <w:bottom w:val="single" w:sz="4" w:space="0" w:color="365F91"/>
              <w:right w:val="nil"/>
            </w:tcBorders>
            <w:hideMark/>
          </w:tcPr>
          <w:p w14:paraId="1411BAE1" w14:textId="77777777" w:rsidR="000B0092" w:rsidRPr="00BE78CA" w:rsidRDefault="000B0092" w:rsidP="00C26084">
            <w:pPr>
              <w:pStyle w:val="TableText"/>
              <w:spacing w:before="50" w:after="50"/>
              <w:jc w:val="right"/>
            </w:pPr>
            <w:r w:rsidRPr="00BE78CA">
              <w:t>1,733.8</w:t>
            </w:r>
          </w:p>
        </w:tc>
        <w:tc>
          <w:tcPr>
            <w:tcW w:w="662" w:type="pct"/>
            <w:tcBorders>
              <w:top w:val="single" w:sz="4" w:space="0" w:color="365F91"/>
              <w:left w:val="nil"/>
              <w:bottom w:val="single" w:sz="4" w:space="0" w:color="365F91"/>
              <w:right w:val="nil"/>
            </w:tcBorders>
            <w:hideMark/>
          </w:tcPr>
          <w:p w14:paraId="073AFAEF" w14:textId="77777777" w:rsidR="000B0092" w:rsidRPr="00BE78CA" w:rsidRDefault="000B0092" w:rsidP="00C26084">
            <w:pPr>
              <w:pStyle w:val="TableText"/>
              <w:spacing w:before="50" w:after="50"/>
              <w:jc w:val="right"/>
            </w:pPr>
            <w:r w:rsidRPr="00BE78CA">
              <w:t>–</w:t>
            </w:r>
          </w:p>
        </w:tc>
        <w:tc>
          <w:tcPr>
            <w:tcW w:w="497" w:type="pct"/>
            <w:tcBorders>
              <w:top w:val="single" w:sz="4" w:space="0" w:color="365F91"/>
              <w:left w:val="nil"/>
              <w:bottom w:val="single" w:sz="4" w:space="0" w:color="365F91"/>
              <w:right w:val="nil"/>
            </w:tcBorders>
            <w:hideMark/>
          </w:tcPr>
          <w:p w14:paraId="7CB94C98" w14:textId="77777777" w:rsidR="000B0092" w:rsidRPr="00BE78CA" w:rsidRDefault="000B0092" w:rsidP="00C26084">
            <w:pPr>
              <w:pStyle w:val="TableText"/>
              <w:spacing w:before="50" w:after="50"/>
              <w:jc w:val="right"/>
            </w:pPr>
            <w:r w:rsidRPr="00BE78CA">
              <w:t>–</w:t>
            </w:r>
          </w:p>
        </w:tc>
        <w:tc>
          <w:tcPr>
            <w:tcW w:w="510" w:type="pct"/>
            <w:tcBorders>
              <w:top w:val="single" w:sz="4" w:space="0" w:color="365F91"/>
              <w:left w:val="nil"/>
              <w:bottom w:val="single" w:sz="4" w:space="0" w:color="365F91"/>
              <w:right w:val="nil"/>
            </w:tcBorders>
            <w:hideMark/>
          </w:tcPr>
          <w:p w14:paraId="6BBC5A64" w14:textId="77777777" w:rsidR="000B0092" w:rsidRPr="00BE78CA" w:rsidRDefault="000B0092" w:rsidP="00C26084">
            <w:pPr>
              <w:pStyle w:val="TableText"/>
              <w:spacing w:before="50" w:after="50"/>
              <w:jc w:val="right"/>
            </w:pPr>
            <w:r w:rsidRPr="00BE78CA">
              <w:t>33.9</w:t>
            </w:r>
          </w:p>
        </w:tc>
      </w:tr>
      <w:tr w:rsidR="000B0092" w:rsidRPr="00BE78CA" w14:paraId="389CD1C4" w14:textId="77777777" w:rsidTr="00BA778A">
        <w:tc>
          <w:tcPr>
            <w:tcW w:w="1758" w:type="pct"/>
            <w:tcBorders>
              <w:top w:val="single" w:sz="4" w:space="0" w:color="365F91"/>
              <w:left w:val="nil"/>
              <w:bottom w:val="single" w:sz="4" w:space="0" w:color="365F91"/>
              <w:right w:val="nil"/>
            </w:tcBorders>
            <w:hideMark/>
          </w:tcPr>
          <w:p w14:paraId="6398D0BA" w14:textId="77777777" w:rsidR="000B0092" w:rsidRPr="00BE78CA" w:rsidRDefault="000B0092" w:rsidP="00C26084">
            <w:pPr>
              <w:pStyle w:val="TableText"/>
              <w:spacing w:before="50" w:after="50"/>
            </w:pPr>
            <w:r w:rsidRPr="00BE78CA">
              <w:t>Other product manufacture and use (2.G)</w:t>
            </w:r>
          </w:p>
        </w:tc>
        <w:tc>
          <w:tcPr>
            <w:tcW w:w="496" w:type="pct"/>
            <w:tcBorders>
              <w:top w:val="single" w:sz="4" w:space="0" w:color="365F91"/>
              <w:left w:val="nil"/>
              <w:bottom w:val="single" w:sz="4" w:space="0" w:color="365F91"/>
              <w:right w:val="nil"/>
            </w:tcBorders>
            <w:hideMark/>
          </w:tcPr>
          <w:p w14:paraId="788C4AFB" w14:textId="77777777" w:rsidR="000B0092" w:rsidRPr="00BE78CA" w:rsidRDefault="000B0092" w:rsidP="00C26084">
            <w:pPr>
              <w:pStyle w:val="TableText"/>
              <w:spacing w:before="50" w:after="50"/>
              <w:jc w:val="right"/>
            </w:pPr>
            <w:r w:rsidRPr="00BE78CA">
              <w:t>119.7</w:t>
            </w:r>
          </w:p>
        </w:tc>
        <w:tc>
          <w:tcPr>
            <w:tcW w:w="498" w:type="pct"/>
            <w:tcBorders>
              <w:top w:val="single" w:sz="4" w:space="0" w:color="365F91"/>
              <w:left w:val="nil"/>
              <w:bottom w:val="single" w:sz="4" w:space="0" w:color="365F91"/>
              <w:right w:val="nil"/>
            </w:tcBorders>
            <w:hideMark/>
          </w:tcPr>
          <w:p w14:paraId="3925701A" w14:textId="77777777" w:rsidR="000B0092" w:rsidRPr="00BE78CA" w:rsidRDefault="000B0092" w:rsidP="00C26084">
            <w:pPr>
              <w:pStyle w:val="TableText"/>
              <w:spacing w:before="50" w:after="50"/>
              <w:jc w:val="right"/>
            </w:pPr>
            <w:r w:rsidRPr="00BE78CA">
              <w:t>100.2</w:t>
            </w:r>
          </w:p>
        </w:tc>
        <w:tc>
          <w:tcPr>
            <w:tcW w:w="579" w:type="pct"/>
            <w:tcBorders>
              <w:top w:val="single" w:sz="4" w:space="0" w:color="365F91"/>
              <w:left w:val="nil"/>
              <w:bottom w:val="single" w:sz="4" w:space="0" w:color="365F91"/>
              <w:right w:val="nil"/>
            </w:tcBorders>
            <w:hideMark/>
          </w:tcPr>
          <w:p w14:paraId="6C4A6517" w14:textId="77777777" w:rsidR="000B0092" w:rsidRPr="00BE78CA" w:rsidRDefault="000B0092" w:rsidP="00C26084">
            <w:pPr>
              <w:pStyle w:val="TableText"/>
              <w:spacing w:before="50" w:after="50"/>
              <w:jc w:val="right"/>
            </w:pPr>
            <w:r w:rsidRPr="00BE78CA">
              <w:t>–19.5</w:t>
            </w:r>
          </w:p>
        </w:tc>
        <w:tc>
          <w:tcPr>
            <w:tcW w:w="662" w:type="pct"/>
            <w:tcBorders>
              <w:top w:val="single" w:sz="4" w:space="0" w:color="365F91"/>
              <w:left w:val="nil"/>
              <w:bottom w:val="single" w:sz="4" w:space="0" w:color="365F91"/>
              <w:right w:val="nil"/>
            </w:tcBorders>
            <w:hideMark/>
          </w:tcPr>
          <w:p w14:paraId="7D1526C7" w14:textId="77777777" w:rsidR="000B0092" w:rsidRPr="00BE78CA" w:rsidRDefault="000B0092" w:rsidP="00C26084">
            <w:pPr>
              <w:pStyle w:val="TableText"/>
              <w:spacing w:before="50" w:after="50"/>
              <w:jc w:val="right"/>
            </w:pPr>
            <w:r w:rsidRPr="00BE78CA">
              <w:t>–16.3</w:t>
            </w:r>
          </w:p>
        </w:tc>
        <w:tc>
          <w:tcPr>
            <w:tcW w:w="497" w:type="pct"/>
            <w:tcBorders>
              <w:top w:val="single" w:sz="4" w:space="0" w:color="365F91"/>
              <w:left w:val="nil"/>
              <w:bottom w:val="single" w:sz="4" w:space="0" w:color="365F91"/>
              <w:right w:val="nil"/>
            </w:tcBorders>
            <w:hideMark/>
          </w:tcPr>
          <w:p w14:paraId="2F7D9136" w14:textId="77777777" w:rsidR="000B0092" w:rsidRPr="00BE78CA" w:rsidRDefault="000B0092" w:rsidP="00C26084">
            <w:pPr>
              <w:pStyle w:val="TableText"/>
              <w:spacing w:before="50" w:after="50"/>
              <w:jc w:val="right"/>
            </w:pPr>
            <w:r w:rsidRPr="00BE78CA">
              <w:t>3.3</w:t>
            </w:r>
          </w:p>
        </w:tc>
        <w:tc>
          <w:tcPr>
            <w:tcW w:w="510" w:type="pct"/>
            <w:tcBorders>
              <w:top w:val="single" w:sz="4" w:space="0" w:color="365F91"/>
              <w:left w:val="nil"/>
              <w:bottom w:val="single" w:sz="4" w:space="0" w:color="365F91"/>
              <w:right w:val="nil"/>
            </w:tcBorders>
            <w:hideMark/>
          </w:tcPr>
          <w:p w14:paraId="7F389443" w14:textId="77777777" w:rsidR="000B0092" w:rsidRPr="00BE78CA" w:rsidRDefault="000B0092" w:rsidP="00C26084">
            <w:pPr>
              <w:pStyle w:val="TableText"/>
              <w:spacing w:before="50" w:after="50"/>
              <w:jc w:val="right"/>
            </w:pPr>
            <w:r w:rsidRPr="00BE78CA">
              <w:t>2.0</w:t>
            </w:r>
          </w:p>
        </w:tc>
      </w:tr>
      <w:tr w:rsidR="000B0092" w:rsidRPr="00BE78CA" w14:paraId="38C76AE2" w14:textId="77777777" w:rsidTr="00BA778A">
        <w:tc>
          <w:tcPr>
            <w:tcW w:w="1758" w:type="pct"/>
            <w:tcBorders>
              <w:top w:val="single" w:sz="4" w:space="0" w:color="365F91"/>
              <w:left w:val="nil"/>
              <w:bottom w:val="single" w:sz="4" w:space="0" w:color="365F91"/>
              <w:right w:val="nil"/>
            </w:tcBorders>
            <w:hideMark/>
          </w:tcPr>
          <w:p w14:paraId="732816C1" w14:textId="77777777" w:rsidR="000B0092" w:rsidRPr="00BE78CA" w:rsidRDefault="000B0092" w:rsidP="00C26084">
            <w:pPr>
              <w:pStyle w:val="Tableboldblue"/>
              <w:spacing w:before="50" w:after="50"/>
            </w:pPr>
            <w:r w:rsidRPr="00BE78CA">
              <w:t>Total</w:t>
            </w:r>
          </w:p>
        </w:tc>
        <w:tc>
          <w:tcPr>
            <w:tcW w:w="496" w:type="pct"/>
            <w:tcBorders>
              <w:top w:val="single" w:sz="4" w:space="0" w:color="365F91"/>
              <w:left w:val="nil"/>
              <w:bottom w:val="single" w:sz="4" w:space="0" w:color="365F91"/>
              <w:right w:val="nil"/>
            </w:tcBorders>
            <w:hideMark/>
          </w:tcPr>
          <w:p w14:paraId="63FDE00C" w14:textId="77777777" w:rsidR="000B0092" w:rsidRPr="00BE78CA" w:rsidRDefault="000B0092" w:rsidP="00C26084">
            <w:pPr>
              <w:pStyle w:val="Tableboldblue"/>
              <w:spacing w:before="50" w:after="50"/>
              <w:jc w:val="right"/>
            </w:pPr>
            <w:r w:rsidRPr="00BE78CA">
              <w:t>3,579.9</w:t>
            </w:r>
          </w:p>
        </w:tc>
        <w:tc>
          <w:tcPr>
            <w:tcW w:w="498" w:type="pct"/>
            <w:tcBorders>
              <w:top w:val="single" w:sz="4" w:space="0" w:color="365F91"/>
              <w:left w:val="nil"/>
              <w:bottom w:val="single" w:sz="4" w:space="0" w:color="365F91"/>
              <w:right w:val="nil"/>
            </w:tcBorders>
            <w:hideMark/>
          </w:tcPr>
          <w:p w14:paraId="1D8928F8" w14:textId="77777777" w:rsidR="000B0092" w:rsidRPr="00BE78CA" w:rsidRDefault="000B0092" w:rsidP="00C26084">
            <w:pPr>
              <w:pStyle w:val="Tableboldblue"/>
              <w:spacing w:before="50" w:after="50"/>
              <w:jc w:val="right"/>
            </w:pPr>
            <w:r w:rsidRPr="00BE78CA">
              <w:t>5,115.9</w:t>
            </w:r>
          </w:p>
        </w:tc>
        <w:tc>
          <w:tcPr>
            <w:tcW w:w="579" w:type="pct"/>
            <w:tcBorders>
              <w:top w:val="single" w:sz="4" w:space="0" w:color="365F91"/>
              <w:left w:val="nil"/>
              <w:bottom w:val="single" w:sz="4" w:space="0" w:color="365F91"/>
              <w:right w:val="nil"/>
            </w:tcBorders>
            <w:hideMark/>
          </w:tcPr>
          <w:p w14:paraId="31F56831" w14:textId="77777777" w:rsidR="000B0092" w:rsidRPr="00BE78CA" w:rsidRDefault="000B0092" w:rsidP="00C26084">
            <w:pPr>
              <w:pStyle w:val="Tableboldblue"/>
              <w:spacing w:before="50" w:after="50"/>
              <w:jc w:val="right"/>
            </w:pPr>
            <w:r w:rsidRPr="00BE78CA">
              <w:t>1,536.0</w:t>
            </w:r>
          </w:p>
        </w:tc>
        <w:tc>
          <w:tcPr>
            <w:tcW w:w="662" w:type="pct"/>
            <w:tcBorders>
              <w:top w:val="single" w:sz="4" w:space="0" w:color="365F91"/>
              <w:left w:val="nil"/>
              <w:bottom w:val="single" w:sz="4" w:space="0" w:color="365F91"/>
              <w:right w:val="nil"/>
            </w:tcBorders>
            <w:hideMark/>
          </w:tcPr>
          <w:p w14:paraId="2EAAFF30" w14:textId="77777777" w:rsidR="000B0092" w:rsidRPr="00BE78CA" w:rsidRDefault="000B0092" w:rsidP="00C26084">
            <w:pPr>
              <w:pStyle w:val="Tableboldblue"/>
              <w:spacing w:before="50" w:after="50"/>
              <w:jc w:val="right"/>
            </w:pPr>
            <w:r w:rsidRPr="00BE78CA">
              <w:t>42.9</w:t>
            </w:r>
          </w:p>
        </w:tc>
        <w:tc>
          <w:tcPr>
            <w:tcW w:w="497" w:type="pct"/>
            <w:tcBorders>
              <w:top w:val="single" w:sz="4" w:space="0" w:color="365F91"/>
              <w:left w:val="nil"/>
              <w:bottom w:val="single" w:sz="4" w:space="0" w:color="365F91"/>
              <w:right w:val="nil"/>
            </w:tcBorders>
            <w:hideMark/>
          </w:tcPr>
          <w:p w14:paraId="710C90AD" w14:textId="77777777" w:rsidR="000B0092" w:rsidRPr="00BE78CA" w:rsidRDefault="000B0092" w:rsidP="00C26084">
            <w:pPr>
              <w:pStyle w:val="Tableboldblue"/>
              <w:spacing w:before="50" w:after="50"/>
              <w:jc w:val="right"/>
            </w:pPr>
            <w:r w:rsidRPr="00BE78CA">
              <w:t>–</w:t>
            </w:r>
          </w:p>
        </w:tc>
        <w:tc>
          <w:tcPr>
            <w:tcW w:w="510" w:type="pct"/>
            <w:tcBorders>
              <w:top w:val="single" w:sz="4" w:space="0" w:color="365F91"/>
              <w:left w:val="nil"/>
              <w:bottom w:val="single" w:sz="4" w:space="0" w:color="365F91"/>
              <w:right w:val="nil"/>
            </w:tcBorders>
            <w:hideMark/>
          </w:tcPr>
          <w:p w14:paraId="0A173E8D" w14:textId="77777777" w:rsidR="000B0092" w:rsidRPr="00BE78CA" w:rsidRDefault="000B0092" w:rsidP="00C26084">
            <w:pPr>
              <w:pStyle w:val="Tableboldblue"/>
              <w:spacing w:before="50" w:after="50"/>
              <w:jc w:val="right"/>
            </w:pPr>
            <w:r w:rsidRPr="00BE78CA">
              <w:t>–</w:t>
            </w:r>
          </w:p>
        </w:tc>
      </w:tr>
    </w:tbl>
    <w:p w14:paraId="555C3AC4" w14:textId="77777777" w:rsidR="000B0092" w:rsidRPr="00BE78CA" w:rsidRDefault="000B0092" w:rsidP="000B0092">
      <w:pPr>
        <w:pStyle w:val="Noteundertable"/>
      </w:pPr>
      <w:r w:rsidRPr="00BE78CA">
        <w:rPr>
          <w:b/>
        </w:rPr>
        <w:t>Note:</w:t>
      </w:r>
      <w:r w:rsidRPr="00BE78CA">
        <w:tab/>
        <w:t>Columns may not sum due to rounding.</w:t>
      </w:r>
    </w:p>
    <w:p w14:paraId="4E4742CD" w14:textId="77777777" w:rsidR="000B0092" w:rsidRPr="00BE78CA" w:rsidRDefault="000B0092" w:rsidP="000B0092">
      <w:pPr>
        <w:pStyle w:val="Figure"/>
        <w:spacing w:after="0"/>
      </w:pPr>
      <w:bookmarkStart w:id="388" w:name="_Toc447275685"/>
      <w:bookmarkStart w:id="389" w:name="_Toc414531599"/>
      <w:bookmarkStart w:id="390" w:name="_Toc378853331"/>
      <w:bookmarkStart w:id="391" w:name="_Toc5269679"/>
      <w:bookmarkStart w:id="392" w:name="_Toc36292782"/>
      <w:bookmarkStart w:id="393" w:name="_Toc68786647"/>
      <w:r w:rsidRPr="00BE78CA">
        <w:t>Figure 4.1.1</w:t>
      </w:r>
      <w:r w:rsidRPr="00BE78CA">
        <w:tab/>
        <w:t>New Zealand’s annual emissions from the IPPU sector from 1990 to </w:t>
      </w:r>
      <w:bookmarkEnd w:id="388"/>
      <w:bookmarkEnd w:id="389"/>
      <w:bookmarkEnd w:id="390"/>
      <w:r w:rsidRPr="00BE78CA">
        <w:t>2019</w:t>
      </w:r>
      <w:bookmarkEnd w:id="391"/>
      <w:bookmarkEnd w:id="392"/>
      <w:bookmarkEnd w:id="393"/>
    </w:p>
    <w:p w14:paraId="1EDA84E5" w14:textId="77777777" w:rsidR="000B0092" w:rsidRPr="00BE78CA" w:rsidRDefault="000B0092" w:rsidP="000B0092">
      <w:pPr>
        <w:pStyle w:val="BodyText"/>
        <w:spacing w:before="60"/>
      </w:pPr>
      <w:bookmarkStart w:id="394" w:name="_Toc447275686"/>
      <w:bookmarkStart w:id="395" w:name="_Toc414531600"/>
      <w:bookmarkStart w:id="396" w:name="_Toc378853332"/>
      <w:r w:rsidRPr="00BE78CA">
        <w:rPr>
          <w:noProof/>
        </w:rPr>
        <w:drawing>
          <wp:inline distT="0" distB="0" distL="0" distR="0" wp14:anchorId="6F1E4D90" wp14:editId="789277B5">
            <wp:extent cx="4952908" cy="2713939"/>
            <wp:effectExtent l="0" t="0" r="63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5">
                      <a:extLst>
                        <a:ext uri="{28A0092B-C50C-407E-A947-70E740481C1C}">
                          <a14:useLocalDpi xmlns:a14="http://schemas.microsoft.com/office/drawing/2010/main" val="0"/>
                        </a:ext>
                      </a:extLst>
                    </a:blip>
                    <a:srcRect b="5066"/>
                    <a:stretch/>
                  </pic:blipFill>
                  <pic:spPr bwMode="auto">
                    <a:xfrm>
                      <a:off x="0" y="0"/>
                      <a:ext cx="4960017" cy="2717834"/>
                    </a:xfrm>
                    <a:prstGeom prst="rect">
                      <a:avLst/>
                    </a:prstGeom>
                    <a:noFill/>
                    <a:ln>
                      <a:noFill/>
                    </a:ln>
                    <a:extLst>
                      <a:ext uri="{53640926-AAD7-44D8-BBD7-CCE9431645EC}">
                        <a14:shadowObscured xmlns:a14="http://schemas.microsoft.com/office/drawing/2010/main"/>
                      </a:ext>
                    </a:extLst>
                  </pic:spPr>
                </pic:pic>
              </a:graphicData>
            </a:graphic>
          </wp:inline>
        </w:drawing>
      </w:r>
    </w:p>
    <w:p w14:paraId="4029178A" w14:textId="77777777" w:rsidR="000B0092" w:rsidRPr="00BE78CA" w:rsidRDefault="000B0092" w:rsidP="000B0092">
      <w:pPr>
        <w:pStyle w:val="Figure"/>
        <w:spacing w:after="0"/>
      </w:pPr>
      <w:bookmarkStart w:id="397" w:name="_Toc5269680"/>
      <w:bookmarkStart w:id="398" w:name="_Toc36292783"/>
      <w:bookmarkStart w:id="399" w:name="_Toc68786648"/>
      <w:r w:rsidRPr="00BE78CA">
        <w:t>Figure 4.1.2</w:t>
      </w:r>
      <w:r w:rsidRPr="00BE78CA">
        <w:tab/>
        <w:t xml:space="preserve">Change in New Zealand’s emissions from the IPPU sector from 1990 to </w:t>
      </w:r>
      <w:bookmarkEnd w:id="394"/>
      <w:bookmarkEnd w:id="395"/>
      <w:bookmarkEnd w:id="396"/>
      <w:r w:rsidRPr="00BE78CA">
        <w:t>2019</w:t>
      </w:r>
      <w:bookmarkEnd w:id="397"/>
      <w:bookmarkEnd w:id="398"/>
      <w:bookmarkEnd w:id="399"/>
    </w:p>
    <w:p w14:paraId="0378D484" w14:textId="77777777" w:rsidR="000B0092" w:rsidRPr="00BE78CA" w:rsidRDefault="000B0092" w:rsidP="000B0092">
      <w:pPr>
        <w:pStyle w:val="BodyText"/>
        <w:spacing w:before="60" w:after="0"/>
      </w:pPr>
      <w:r w:rsidRPr="00BE78CA">
        <w:rPr>
          <w:noProof/>
        </w:rPr>
        <w:drawing>
          <wp:inline distT="0" distB="0" distL="0" distR="0" wp14:anchorId="26075843" wp14:editId="02D1BF69">
            <wp:extent cx="4837942" cy="2794711"/>
            <wp:effectExtent l="0" t="0" r="1270" b="571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96">
                      <a:extLst>
                        <a:ext uri="{28A0092B-C50C-407E-A947-70E740481C1C}">
                          <a14:useLocalDpi xmlns:a14="http://schemas.microsoft.com/office/drawing/2010/main" val="0"/>
                        </a:ext>
                      </a:extLst>
                    </a:blip>
                    <a:srcRect t="10328"/>
                    <a:stretch/>
                  </pic:blipFill>
                  <pic:spPr bwMode="auto">
                    <a:xfrm>
                      <a:off x="0" y="0"/>
                      <a:ext cx="4841914" cy="2797006"/>
                    </a:xfrm>
                    <a:prstGeom prst="rect">
                      <a:avLst/>
                    </a:prstGeom>
                    <a:noFill/>
                    <a:ln>
                      <a:noFill/>
                    </a:ln>
                    <a:extLst>
                      <a:ext uri="{53640926-AAD7-44D8-BBD7-CCE9431645EC}">
                        <a14:shadowObscured xmlns:a14="http://schemas.microsoft.com/office/drawing/2010/main"/>
                      </a:ext>
                    </a:extLst>
                  </pic:spPr>
                </pic:pic>
              </a:graphicData>
            </a:graphic>
          </wp:inline>
        </w:drawing>
      </w:r>
    </w:p>
    <w:p w14:paraId="4D7D7517" w14:textId="77777777" w:rsidR="000B0092" w:rsidRPr="00BE78CA" w:rsidRDefault="000B0092" w:rsidP="000B0092">
      <w:pPr>
        <w:pStyle w:val="Noteundertable"/>
        <w:spacing w:before="60" w:after="0"/>
        <w:rPr>
          <w:rFonts w:cs="Arial"/>
        </w:rPr>
      </w:pPr>
      <w:r w:rsidRPr="00BE78CA">
        <w:rPr>
          <w:rFonts w:cs="Arial"/>
          <w:b/>
        </w:rPr>
        <w:t>Note:</w:t>
      </w:r>
      <w:r w:rsidRPr="00BE78CA">
        <w:rPr>
          <w:rFonts w:cs="Arial"/>
        </w:rPr>
        <w:tab/>
      </w:r>
      <w:r w:rsidRPr="00BE78CA">
        <w:t xml:space="preserve">Emissions from the </w:t>
      </w:r>
      <w:r w:rsidRPr="00BE78CA">
        <w:rPr>
          <w:i/>
        </w:rPr>
        <w:t>Electronics industry</w:t>
      </w:r>
      <w:r w:rsidRPr="00BE78CA">
        <w:t xml:space="preserve"> are not occurring (NO).</w:t>
      </w:r>
    </w:p>
    <w:p w14:paraId="6101C27A" w14:textId="77777777" w:rsidR="000B0092" w:rsidRPr="00BE78CA" w:rsidRDefault="000B0092" w:rsidP="000B0092">
      <w:pPr>
        <w:pStyle w:val="Heading3"/>
      </w:pPr>
      <w:r w:rsidRPr="00BE78CA">
        <w:lastRenderedPageBreak/>
        <w:t>4.1.3</w:t>
      </w:r>
      <w:r w:rsidRPr="00BE78CA">
        <w:tab/>
        <w:t>Key categories for IPPU sector emissions</w:t>
      </w:r>
    </w:p>
    <w:p w14:paraId="1B8EBB55" w14:textId="77777777" w:rsidR="000B0092" w:rsidRPr="00BE78CA" w:rsidRDefault="000B0092" w:rsidP="000B0092">
      <w:pPr>
        <w:pStyle w:val="BodyText"/>
      </w:pPr>
      <w:r w:rsidRPr="00BE78CA">
        <w:t xml:space="preserve">Details of New Zealand’s key category analysis are in chapter 1, section 1.5. The key categories in the IPPU sector are listed in table 4.1.2. </w:t>
      </w:r>
    </w:p>
    <w:p w14:paraId="4DB56CC4" w14:textId="77777777" w:rsidR="000B0092" w:rsidRPr="00BE78CA" w:rsidRDefault="000B0092" w:rsidP="000B0092">
      <w:pPr>
        <w:pStyle w:val="Table"/>
      </w:pPr>
      <w:bookmarkStart w:id="400" w:name="_Toc451176066"/>
      <w:bookmarkStart w:id="401" w:name="_Toc5269456"/>
      <w:bookmarkStart w:id="402" w:name="_Toc36224529"/>
      <w:bookmarkStart w:id="403" w:name="_Toc68786416"/>
      <w:r w:rsidRPr="00BE78CA">
        <w:t xml:space="preserve">Table 4.1.2 </w:t>
      </w:r>
      <w:r w:rsidRPr="00BE78CA">
        <w:tab/>
        <w:t>Key categories in the IPPU sector</w:t>
      </w:r>
      <w:bookmarkEnd w:id="400"/>
      <w:bookmarkEnd w:id="401"/>
      <w:bookmarkEnd w:id="402"/>
      <w:bookmarkEnd w:id="403"/>
      <w:r w:rsidRPr="00BE78CA">
        <w:t xml:space="preserve"> </w:t>
      </w:r>
    </w:p>
    <w:tbl>
      <w:tblPr>
        <w:tblW w:w="8505" w:type="dxa"/>
        <w:tblBorders>
          <w:top w:val="single" w:sz="4" w:space="0" w:color="365F91"/>
          <w:bottom w:val="single" w:sz="4" w:space="0" w:color="365F91"/>
          <w:insideH w:val="single" w:sz="4" w:space="0" w:color="365F91"/>
        </w:tblBorders>
        <w:tblLook w:val="04A0" w:firstRow="1" w:lastRow="0" w:firstColumn="1" w:lastColumn="0" w:noHBand="0" w:noVBand="1"/>
      </w:tblPr>
      <w:tblGrid>
        <w:gridCol w:w="1360"/>
        <w:gridCol w:w="4979"/>
        <w:gridCol w:w="844"/>
        <w:gridCol w:w="1322"/>
      </w:tblGrid>
      <w:tr w:rsidR="000B0092" w:rsidRPr="00BE78CA" w14:paraId="0AA6D882" w14:textId="77777777" w:rsidTr="006B4E6C">
        <w:trPr>
          <w:trHeight w:val="462"/>
          <w:tblHeader/>
        </w:trPr>
        <w:tc>
          <w:tcPr>
            <w:tcW w:w="1361" w:type="dxa"/>
            <w:tcBorders>
              <w:top w:val="single" w:sz="4" w:space="0" w:color="365F91"/>
              <w:left w:val="nil"/>
              <w:bottom w:val="single" w:sz="4" w:space="0" w:color="365F91"/>
              <w:right w:val="nil"/>
            </w:tcBorders>
            <w:shd w:val="clear" w:color="auto" w:fill="365F91"/>
            <w:vAlign w:val="bottom"/>
            <w:hideMark/>
          </w:tcPr>
          <w:p w14:paraId="441A8095" w14:textId="77777777" w:rsidR="000B0092" w:rsidRPr="00BE78CA" w:rsidRDefault="000B0092" w:rsidP="00C26084">
            <w:pPr>
              <w:pStyle w:val="TableTextBold"/>
              <w:spacing w:before="40" w:after="40"/>
              <w:rPr>
                <w:noProof w:val="0"/>
                <w:color w:val="FFFFFF"/>
              </w:rPr>
            </w:pPr>
            <w:r w:rsidRPr="00BE78CA">
              <w:rPr>
                <w:noProof w:val="0"/>
                <w:color w:val="FFFFFF"/>
              </w:rPr>
              <w:t>CRF category code</w:t>
            </w:r>
          </w:p>
        </w:tc>
        <w:tc>
          <w:tcPr>
            <w:tcW w:w="4990" w:type="dxa"/>
            <w:tcBorders>
              <w:top w:val="single" w:sz="4" w:space="0" w:color="365F91"/>
              <w:left w:val="nil"/>
              <w:bottom w:val="single" w:sz="4" w:space="0" w:color="365F91"/>
              <w:right w:val="nil"/>
            </w:tcBorders>
            <w:shd w:val="clear" w:color="auto" w:fill="365F91"/>
            <w:vAlign w:val="bottom"/>
            <w:hideMark/>
          </w:tcPr>
          <w:p w14:paraId="47C3A4C0" w14:textId="77777777" w:rsidR="000B0092" w:rsidRPr="00BE78CA" w:rsidRDefault="000B0092" w:rsidP="00C26084">
            <w:pPr>
              <w:pStyle w:val="TableTextBold"/>
              <w:spacing w:before="40" w:after="40"/>
              <w:rPr>
                <w:noProof w:val="0"/>
                <w:color w:val="FFFFFF"/>
              </w:rPr>
            </w:pPr>
            <w:r w:rsidRPr="00BE78CA">
              <w:rPr>
                <w:noProof w:val="0"/>
                <w:color w:val="FFFFFF"/>
              </w:rPr>
              <w:t>IPCC categories</w:t>
            </w:r>
          </w:p>
        </w:tc>
        <w:tc>
          <w:tcPr>
            <w:tcW w:w="845" w:type="dxa"/>
            <w:tcBorders>
              <w:top w:val="single" w:sz="4" w:space="0" w:color="365F91"/>
              <w:left w:val="nil"/>
              <w:bottom w:val="single" w:sz="4" w:space="0" w:color="365F91"/>
              <w:right w:val="nil"/>
            </w:tcBorders>
            <w:shd w:val="clear" w:color="auto" w:fill="365F91"/>
            <w:vAlign w:val="bottom"/>
            <w:hideMark/>
          </w:tcPr>
          <w:p w14:paraId="379444AC" w14:textId="77777777" w:rsidR="000B0092" w:rsidRPr="00BE78CA" w:rsidRDefault="000B0092" w:rsidP="00C26084">
            <w:pPr>
              <w:pStyle w:val="TableTextBold"/>
              <w:spacing w:before="40" w:after="40"/>
              <w:jc w:val="center"/>
              <w:rPr>
                <w:noProof w:val="0"/>
                <w:color w:val="FFFFFF"/>
              </w:rPr>
            </w:pPr>
            <w:r w:rsidRPr="00BE78CA">
              <w:rPr>
                <w:noProof w:val="0"/>
                <w:color w:val="FFFFFF"/>
              </w:rPr>
              <w:t>Gas</w:t>
            </w:r>
          </w:p>
        </w:tc>
        <w:tc>
          <w:tcPr>
            <w:tcW w:w="1323" w:type="dxa"/>
            <w:tcBorders>
              <w:top w:val="single" w:sz="4" w:space="0" w:color="365F91"/>
              <w:left w:val="nil"/>
              <w:bottom w:val="single" w:sz="4" w:space="0" w:color="365F91"/>
              <w:right w:val="nil"/>
            </w:tcBorders>
            <w:shd w:val="clear" w:color="auto" w:fill="365F91"/>
            <w:vAlign w:val="bottom"/>
            <w:hideMark/>
          </w:tcPr>
          <w:p w14:paraId="4E1B5C0A" w14:textId="77777777" w:rsidR="000B0092" w:rsidRPr="00BE78CA" w:rsidRDefault="000B0092" w:rsidP="00C26084">
            <w:pPr>
              <w:pStyle w:val="TableTextBold"/>
              <w:spacing w:before="40" w:after="40"/>
              <w:rPr>
                <w:noProof w:val="0"/>
                <w:color w:val="FFFFFF"/>
              </w:rPr>
            </w:pPr>
            <w:r w:rsidRPr="00BE78CA">
              <w:rPr>
                <w:noProof w:val="0"/>
                <w:color w:val="FFFFFF"/>
              </w:rPr>
              <w:t>Criteria for identification</w:t>
            </w:r>
          </w:p>
        </w:tc>
      </w:tr>
      <w:tr w:rsidR="000B0092" w:rsidRPr="00BE78CA" w14:paraId="797FC400" w14:textId="77777777" w:rsidTr="006B4E6C">
        <w:trPr>
          <w:trHeight w:val="250"/>
        </w:trPr>
        <w:tc>
          <w:tcPr>
            <w:tcW w:w="1361" w:type="dxa"/>
            <w:tcBorders>
              <w:top w:val="single" w:sz="4" w:space="0" w:color="365F91"/>
              <w:left w:val="nil"/>
              <w:bottom w:val="single" w:sz="4" w:space="0" w:color="365F91"/>
              <w:right w:val="nil"/>
            </w:tcBorders>
            <w:shd w:val="clear" w:color="auto" w:fill="FFFFFF"/>
            <w:hideMark/>
          </w:tcPr>
          <w:p w14:paraId="3DCCA3C8" w14:textId="77777777" w:rsidR="000B0092" w:rsidRPr="00BE78CA" w:rsidRDefault="000B0092" w:rsidP="00C26084">
            <w:pPr>
              <w:pStyle w:val="TableText"/>
              <w:spacing w:before="50" w:after="50"/>
            </w:pPr>
            <w:r w:rsidRPr="00BE78CA">
              <w:t>2.A.1</w:t>
            </w:r>
          </w:p>
        </w:tc>
        <w:tc>
          <w:tcPr>
            <w:tcW w:w="4990" w:type="dxa"/>
            <w:tcBorders>
              <w:top w:val="single" w:sz="4" w:space="0" w:color="365F91"/>
              <w:left w:val="nil"/>
              <w:bottom w:val="single" w:sz="4" w:space="0" w:color="365F91"/>
              <w:right w:val="nil"/>
            </w:tcBorders>
            <w:shd w:val="clear" w:color="auto" w:fill="FFFFFF"/>
            <w:vAlign w:val="center"/>
            <w:hideMark/>
          </w:tcPr>
          <w:p w14:paraId="6EB3FE1B" w14:textId="77777777" w:rsidR="000B0092" w:rsidRPr="00BE78CA" w:rsidRDefault="000B0092" w:rsidP="00C26084">
            <w:pPr>
              <w:pStyle w:val="TableText"/>
              <w:spacing w:before="50" w:after="50"/>
              <w:rPr>
                <w:color w:val="000000"/>
                <w:szCs w:val="16"/>
              </w:rPr>
            </w:pPr>
            <w:r w:rsidRPr="00BE78CA">
              <w:rPr>
                <w:color w:val="000000"/>
                <w:szCs w:val="16"/>
              </w:rPr>
              <w:t>Mineral Industry – Cement Production</w:t>
            </w:r>
          </w:p>
        </w:tc>
        <w:tc>
          <w:tcPr>
            <w:tcW w:w="845" w:type="dxa"/>
            <w:tcBorders>
              <w:top w:val="single" w:sz="4" w:space="0" w:color="365F91"/>
              <w:left w:val="nil"/>
              <w:bottom w:val="single" w:sz="4" w:space="0" w:color="365F91"/>
              <w:right w:val="nil"/>
            </w:tcBorders>
            <w:shd w:val="clear" w:color="auto" w:fill="FFFFFF"/>
            <w:vAlign w:val="center"/>
            <w:hideMark/>
          </w:tcPr>
          <w:p w14:paraId="0A283278" w14:textId="77777777" w:rsidR="000B0092" w:rsidRPr="00BE78CA" w:rsidRDefault="000B0092" w:rsidP="00C26084">
            <w:pPr>
              <w:pStyle w:val="TableText"/>
              <w:spacing w:before="50" w:after="50"/>
              <w:jc w:val="center"/>
              <w:rPr>
                <w:color w:val="000000"/>
                <w:szCs w:val="16"/>
              </w:rPr>
            </w:pPr>
            <w:r w:rsidRPr="00BE78CA">
              <w:rPr>
                <w:color w:val="000000"/>
                <w:szCs w:val="16"/>
              </w:rPr>
              <w:t>CO</w:t>
            </w:r>
            <w:r w:rsidRPr="00BE78CA">
              <w:rPr>
                <w:color w:val="000000"/>
                <w:szCs w:val="16"/>
                <w:vertAlign w:val="subscript"/>
              </w:rPr>
              <w:t>2</w:t>
            </w:r>
          </w:p>
        </w:tc>
        <w:tc>
          <w:tcPr>
            <w:tcW w:w="1323" w:type="dxa"/>
            <w:tcBorders>
              <w:top w:val="single" w:sz="4" w:space="0" w:color="365F91"/>
              <w:left w:val="nil"/>
              <w:bottom w:val="single" w:sz="4" w:space="0" w:color="365F91"/>
              <w:right w:val="nil"/>
            </w:tcBorders>
            <w:shd w:val="clear" w:color="auto" w:fill="FFFFFF"/>
            <w:vAlign w:val="center"/>
            <w:hideMark/>
          </w:tcPr>
          <w:p w14:paraId="4324E55C" w14:textId="77777777" w:rsidR="000B0092" w:rsidRPr="00BE78CA" w:rsidRDefault="000B0092" w:rsidP="00C26084">
            <w:pPr>
              <w:pStyle w:val="TableText"/>
              <w:spacing w:before="50" w:after="50"/>
              <w:rPr>
                <w:color w:val="000000"/>
                <w:szCs w:val="16"/>
              </w:rPr>
            </w:pPr>
            <w:r w:rsidRPr="00BE78CA">
              <w:rPr>
                <w:color w:val="000000"/>
                <w:szCs w:val="16"/>
              </w:rPr>
              <w:t>L1, T1</w:t>
            </w:r>
          </w:p>
        </w:tc>
      </w:tr>
      <w:tr w:rsidR="000B0092" w:rsidRPr="00BE78CA" w14:paraId="25BC448A" w14:textId="77777777" w:rsidTr="006B4E6C">
        <w:trPr>
          <w:trHeight w:val="305"/>
        </w:trPr>
        <w:tc>
          <w:tcPr>
            <w:tcW w:w="1361" w:type="dxa"/>
            <w:tcBorders>
              <w:top w:val="single" w:sz="4" w:space="0" w:color="365F91"/>
              <w:left w:val="nil"/>
              <w:bottom w:val="single" w:sz="4" w:space="0" w:color="365F91"/>
              <w:right w:val="nil"/>
            </w:tcBorders>
            <w:shd w:val="clear" w:color="auto" w:fill="FFFFFF"/>
            <w:hideMark/>
          </w:tcPr>
          <w:p w14:paraId="358F1C14" w14:textId="77777777" w:rsidR="000B0092" w:rsidRPr="00BE78CA" w:rsidRDefault="000B0092" w:rsidP="00C26084">
            <w:pPr>
              <w:pStyle w:val="TableText"/>
              <w:spacing w:before="50" w:after="50"/>
            </w:pPr>
            <w:r w:rsidRPr="00BE78CA">
              <w:t>2.C.1</w:t>
            </w:r>
          </w:p>
        </w:tc>
        <w:tc>
          <w:tcPr>
            <w:tcW w:w="4990" w:type="dxa"/>
            <w:tcBorders>
              <w:top w:val="single" w:sz="4" w:space="0" w:color="365F91"/>
              <w:left w:val="nil"/>
              <w:bottom w:val="single" w:sz="4" w:space="0" w:color="365F91"/>
              <w:right w:val="nil"/>
            </w:tcBorders>
            <w:shd w:val="clear" w:color="auto" w:fill="FFFFFF"/>
            <w:vAlign w:val="center"/>
            <w:hideMark/>
          </w:tcPr>
          <w:p w14:paraId="4E34EA48" w14:textId="77777777" w:rsidR="000B0092" w:rsidRPr="00BE78CA" w:rsidRDefault="000B0092" w:rsidP="00C26084">
            <w:pPr>
              <w:pStyle w:val="TableText"/>
              <w:spacing w:before="50" w:after="50"/>
              <w:rPr>
                <w:color w:val="000000"/>
                <w:szCs w:val="16"/>
              </w:rPr>
            </w:pPr>
            <w:r w:rsidRPr="00BE78CA">
              <w:rPr>
                <w:color w:val="000000"/>
                <w:szCs w:val="16"/>
              </w:rPr>
              <w:t>Metal Industry – Iron and Steel Production</w:t>
            </w:r>
          </w:p>
        </w:tc>
        <w:tc>
          <w:tcPr>
            <w:tcW w:w="845" w:type="dxa"/>
            <w:tcBorders>
              <w:top w:val="single" w:sz="4" w:space="0" w:color="365F91"/>
              <w:left w:val="nil"/>
              <w:bottom w:val="single" w:sz="4" w:space="0" w:color="365F91"/>
              <w:right w:val="nil"/>
            </w:tcBorders>
            <w:shd w:val="clear" w:color="auto" w:fill="FFFFFF"/>
            <w:vAlign w:val="center"/>
            <w:hideMark/>
          </w:tcPr>
          <w:p w14:paraId="5F0C9CC7" w14:textId="77777777" w:rsidR="000B0092" w:rsidRPr="00BE78CA" w:rsidRDefault="000B0092" w:rsidP="00C26084">
            <w:pPr>
              <w:pStyle w:val="TableText"/>
              <w:spacing w:before="50" w:after="50"/>
              <w:jc w:val="center"/>
              <w:rPr>
                <w:color w:val="000000"/>
                <w:szCs w:val="16"/>
              </w:rPr>
            </w:pPr>
            <w:r w:rsidRPr="00BE78CA">
              <w:rPr>
                <w:color w:val="000000"/>
                <w:szCs w:val="16"/>
              </w:rPr>
              <w:t>CO</w:t>
            </w:r>
            <w:r w:rsidRPr="00BE78CA">
              <w:rPr>
                <w:color w:val="000000"/>
                <w:szCs w:val="16"/>
                <w:vertAlign w:val="subscript"/>
              </w:rPr>
              <w:t>2</w:t>
            </w:r>
          </w:p>
        </w:tc>
        <w:tc>
          <w:tcPr>
            <w:tcW w:w="1323" w:type="dxa"/>
            <w:tcBorders>
              <w:top w:val="single" w:sz="4" w:space="0" w:color="365F91"/>
              <w:left w:val="nil"/>
              <w:bottom w:val="single" w:sz="4" w:space="0" w:color="365F91"/>
              <w:right w:val="nil"/>
            </w:tcBorders>
            <w:shd w:val="clear" w:color="auto" w:fill="FFFFFF"/>
            <w:vAlign w:val="center"/>
            <w:hideMark/>
          </w:tcPr>
          <w:p w14:paraId="01E76938" w14:textId="77777777" w:rsidR="000B0092" w:rsidRPr="00BE78CA" w:rsidRDefault="000B0092" w:rsidP="00C26084">
            <w:pPr>
              <w:pStyle w:val="TableText"/>
              <w:spacing w:before="50" w:after="50"/>
              <w:rPr>
                <w:color w:val="000000"/>
                <w:szCs w:val="16"/>
              </w:rPr>
            </w:pPr>
            <w:r w:rsidRPr="00BE78CA">
              <w:rPr>
                <w:color w:val="000000"/>
                <w:szCs w:val="16"/>
              </w:rPr>
              <w:t>L1</w:t>
            </w:r>
          </w:p>
        </w:tc>
      </w:tr>
      <w:tr w:rsidR="000B0092" w:rsidRPr="00BE78CA" w14:paraId="47AF951B" w14:textId="77777777" w:rsidTr="006B4E6C">
        <w:trPr>
          <w:trHeight w:val="305"/>
        </w:trPr>
        <w:tc>
          <w:tcPr>
            <w:tcW w:w="1361" w:type="dxa"/>
            <w:tcBorders>
              <w:top w:val="single" w:sz="4" w:space="0" w:color="365F91"/>
              <w:left w:val="nil"/>
              <w:bottom w:val="single" w:sz="4" w:space="0" w:color="365F91"/>
              <w:right w:val="nil"/>
            </w:tcBorders>
            <w:shd w:val="clear" w:color="auto" w:fill="FFFFFF"/>
            <w:hideMark/>
          </w:tcPr>
          <w:p w14:paraId="429E28A5" w14:textId="77777777" w:rsidR="000B0092" w:rsidRPr="00BE78CA" w:rsidRDefault="000B0092" w:rsidP="00C26084">
            <w:pPr>
              <w:pStyle w:val="TableText"/>
              <w:spacing w:before="50" w:after="50"/>
            </w:pPr>
            <w:r w:rsidRPr="00BE78CA">
              <w:t>2.C.3</w:t>
            </w:r>
          </w:p>
        </w:tc>
        <w:tc>
          <w:tcPr>
            <w:tcW w:w="4990" w:type="dxa"/>
            <w:tcBorders>
              <w:top w:val="single" w:sz="4" w:space="0" w:color="365F91"/>
              <w:left w:val="nil"/>
              <w:bottom w:val="single" w:sz="4" w:space="0" w:color="365F91"/>
              <w:right w:val="nil"/>
            </w:tcBorders>
            <w:shd w:val="clear" w:color="auto" w:fill="FFFFFF"/>
            <w:vAlign w:val="center"/>
            <w:hideMark/>
          </w:tcPr>
          <w:p w14:paraId="488A097F" w14:textId="77777777" w:rsidR="000B0092" w:rsidRPr="00BE78CA" w:rsidRDefault="000B0092" w:rsidP="00C26084">
            <w:pPr>
              <w:pStyle w:val="TableText"/>
              <w:spacing w:before="50" w:after="50"/>
              <w:rPr>
                <w:color w:val="000000"/>
                <w:szCs w:val="16"/>
              </w:rPr>
            </w:pPr>
            <w:r w:rsidRPr="00BE78CA">
              <w:rPr>
                <w:color w:val="000000"/>
                <w:szCs w:val="16"/>
              </w:rPr>
              <w:t>Metal Industry – Aluminium Production</w:t>
            </w:r>
          </w:p>
        </w:tc>
        <w:tc>
          <w:tcPr>
            <w:tcW w:w="845" w:type="dxa"/>
            <w:tcBorders>
              <w:top w:val="single" w:sz="4" w:space="0" w:color="365F91"/>
              <w:left w:val="nil"/>
              <w:bottom w:val="single" w:sz="4" w:space="0" w:color="365F91"/>
              <w:right w:val="nil"/>
            </w:tcBorders>
            <w:shd w:val="clear" w:color="auto" w:fill="FFFFFF"/>
            <w:vAlign w:val="center"/>
            <w:hideMark/>
          </w:tcPr>
          <w:p w14:paraId="729B38E1" w14:textId="77777777" w:rsidR="000B0092" w:rsidRPr="00BE78CA" w:rsidRDefault="000B0092" w:rsidP="00C26084">
            <w:pPr>
              <w:pStyle w:val="TableText"/>
              <w:spacing w:before="50" w:after="50"/>
              <w:jc w:val="center"/>
              <w:rPr>
                <w:color w:val="000000"/>
                <w:szCs w:val="16"/>
              </w:rPr>
            </w:pPr>
            <w:r w:rsidRPr="00BE78CA">
              <w:rPr>
                <w:color w:val="000000"/>
                <w:szCs w:val="16"/>
              </w:rPr>
              <w:t>CO</w:t>
            </w:r>
            <w:r w:rsidRPr="00BE78CA">
              <w:rPr>
                <w:color w:val="000000"/>
                <w:szCs w:val="16"/>
                <w:vertAlign w:val="subscript"/>
              </w:rPr>
              <w:t>2</w:t>
            </w:r>
          </w:p>
        </w:tc>
        <w:tc>
          <w:tcPr>
            <w:tcW w:w="1323" w:type="dxa"/>
            <w:tcBorders>
              <w:top w:val="single" w:sz="4" w:space="0" w:color="365F91"/>
              <w:left w:val="nil"/>
              <w:bottom w:val="single" w:sz="4" w:space="0" w:color="365F91"/>
              <w:right w:val="nil"/>
            </w:tcBorders>
            <w:shd w:val="clear" w:color="auto" w:fill="FFFFFF"/>
            <w:vAlign w:val="center"/>
            <w:hideMark/>
          </w:tcPr>
          <w:p w14:paraId="47E21795" w14:textId="77777777" w:rsidR="000B0092" w:rsidRPr="00BE78CA" w:rsidRDefault="000B0092" w:rsidP="00C26084">
            <w:pPr>
              <w:pStyle w:val="TableText"/>
              <w:spacing w:before="50" w:after="50"/>
              <w:rPr>
                <w:color w:val="000000"/>
                <w:szCs w:val="16"/>
              </w:rPr>
            </w:pPr>
            <w:r w:rsidRPr="00BE78CA">
              <w:rPr>
                <w:color w:val="000000"/>
                <w:szCs w:val="16"/>
              </w:rPr>
              <w:t>L1</w:t>
            </w:r>
          </w:p>
        </w:tc>
      </w:tr>
      <w:tr w:rsidR="000B0092" w:rsidRPr="00BE78CA" w14:paraId="04BA3985" w14:textId="77777777" w:rsidTr="006B4E6C">
        <w:trPr>
          <w:trHeight w:val="305"/>
        </w:trPr>
        <w:tc>
          <w:tcPr>
            <w:tcW w:w="1361" w:type="dxa"/>
            <w:tcBorders>
              <w:top w:val="single" w:sz="4" w:space="0" w:color="365F91"/>
              <w:left w:val="nil"/>
              <w:bottom w:val="single" w:sz="4" w:space="0" w:color="365F91"/>
              <w:right w:val="nil"/>
            </w:tcBorders>
            <w:shd w:val="clear" w:color="auto" w:fill="FFFFFF"/>
            <w:hideMark/>
          </w:tcPr>
          <w:p w14:paraId="35F80ED1" w14:textId="77777777" w:rsidR="000B0092" w:rsidRPr="00BE78CA" w:rsidRDefault="000B0092" w:rsidP="00C26084">
            <w:pPr>
              <w:pStyle w:val="TableText"/>
              <w:spacing w:before="50" w:after="50"/>
            </w:pPr>
            <w:r w:rsidRPr="00BE78CA">
              <w:t>2.C.3</w:t>
            </w:r>
          </w:p>
        </w:tc>
        <w:tc>
          <w:tcPr>
            <w:tcW w:w="4990" w:type="dxa"/>
            <w:tcBorders>
              <w:top w:val="single" w:sz="4" w:space="0" w:color="365F91"/>
              <w:left w:val="nil"/>
              <w:bottom w:val="single" w:sz="4" w:space="0" w:color="365F91"/>
              <w:right w:val="nil"/>
            </w:tcBorders>
            <w:shd w:val="clear" w:color="auto" w:fill="FFFFFF"/>
            <w:vAlign w:val="center"/>
            <w:hideMark/>
          </w:tcPr>
          <w:p w14:paraId="085D31E2" w14:textId="77777777" w:rsidR="000B0092" w:rsidRPr="00BE78CA" w:rsidRDefault="000B0092" w:rsidP="00C26084">
            <w:pPr>
              <w:pStyle w:val="TableText"/>
              <w:spacing w:before="50" w:after="50"/>
              <w:rPr>
                <w:color w:val="000000"/>
                <w:szCs w:val="16"/>
              </w:rPr>
            </w:pPr>
            <w:r w:rsidRPr="00BE78CA">
              <w:rPr>
                <w:color w:val="000000"/>
                <w:szCs w:val="16"/>
              </w:rPr>
              <w:t>Metal Industry – Aluminium Production</w:t>
            </w:r>
          </w:p>
        </w:tc>
        <w:tc>
          <w:tcPr>
            <w:tcW w:w="845" w:type="dxa"/>
            <w:tcBorders>
              <w:top w:val="single" w:sz="4" w:space="0" w:color="365F91"/>
              <w:left w:val="nil"/>
              <w:bottom w:val="single" w:sz="4" w:space="0" w:color="365F91"/>
              <w:right w:val="nil"/>
            </w:tcBorders>
            <w:shd w:val="clear" w:color="auto" w:fill="FFFFFF"/>
            <w:vAlign w:val="center"/>
            <w:hideMark/>
          </w:tcPr>
          <w:p w14:paraId="7A4F694A" w14:textId="77777777" w:rsidR="000B0092" w:rsidRPr="00BE78CA" w:rsidRDefault="000B0092" w:rsidP="00C26084">
            <w:pPr>
              <w:pStyle w:val="TableText"/>
              <w:spacing w:before="50" w:after="50"/>
              <w:jc w:val="center"/>
              <w:rPr>
                <w:color w:val="000000"/>
                <w:szCs w:val="16"/>
              </w:rPr>
            </w:pPr>
            <w:r w:rsidRPr="00BE78CA">
              <w:rPr>
                <w:color w:val="000000"/>
                <w:szCs w:val="16"/>
              </w:rPr>
              <w:t>PFCs</w:t>
            </w:r>
          </w:p>
        </w:tc>
        <w:tc>
          <w:tcPr>
            <w:tcW w:w="1323" w:type="dxa"/>
            <w:tcBorders>
              <w:top w:val="single" w:sz="4" w:space="0" w:color="365F91"/>
              <w:left w:val="nil"/>
              <w:bottom w:val="single" w:sz="4" w:space="0" w:color="365F91"/>
              <w:right w:val="nil"/>
            </w:tcBorders>
            <w:shd w:val="clear" w:color="auto" w:fill="FFFFFF"/>
            <w:vAlign w:val="center"/>
            <w:hideMark/>
          </w:tcPr>
          <w:p w14:paraId="538732F1" w14:textId="77777777" w:rsidR="000B0092" w:rsidRPr="00BE78CA" w:rsidRDefault="000B0092" w:rsidP="00C26084">
            <w:pPr>
              <w:pStyle w:val="TableText"/>
              <w:spacing w:before="50" w:after="50"/>
              <w:rPr>
                <w:color w:val="000000"/>
                <w:szCs w:val="16"/>
              </w:rPr>
            </w:pPr>
            <w:r w:rsidRPr="00BE78CA">
              <w:rPr>
                <w:color w:val="000000"/>
                <w:szCs w:val="16"/>
              </w:rPr>
              <w:t>T1</w:t>
            </w:r>
          </w:p>
        </w:tc>
      </w:tr>
      <w:tr w:rsidR="000B0092" w:rsidRPr="00BE78CA" w14:paraId="0310E05A" w14:textId="77777777" w:rsidTr="006B4E6C">
        <w:trPr>
          <w:trHeight w:val="305"/>
        </w:trPr>
        <w:tc>
          <w:tcPr>
            <w:tcW w:w="1361" w:type="dxa"/>
            <w:tcBorders>
              <w:top w:val="single" w:sz="4" w:space="0" w:color="365F91"/>
              <w:left w:val="nil"/>
              <w:bottom w:val="single" w:sz="4" w:space="0" w:color="365F91"/>
              <w:right w:val="nil"/>
            </w:tcBorders>
            <w:shd w:val="clear" w:color="auto" w:fill="FFFFFF"/>
            <w:hideMark/>
          </w:tcPr>
          <w:p w14:paraId="773D615B" w14:textId="77777777" w:rsidR="000B0092" w:rsidRPr="00BE78CA" w:rsidRDefault="000B0092" w:rsidP="00C26084">
            <w:pPr>
              <w:pStyle w:val="TableText"/>
              <w:spacing w:before="50" w:after="50"/>
            </w:pPr>
            <w:r w:rsidRPr="00BE78CA">
              <w:t>2.F.1</w:t>
            </w:r>
          </w:p>
        </w:tc>
        <w:tc>
          <w:tcPr>
            <w:tcW w:w="4990" w:type="dxa"/>
            <w:tcBorders>
              <w:top w:val="single" w:sz="4" w:space="0" w:color="365F91"/>
              <w:left w:val="nil"/>
              <w:bottom w:val="single" w:sz="4" w:space="0" w:color="365F91"/>
              <w:right w:val="nil"/>
            </w:tcBorders>
            <w:shd w:val="clear" w:color="auto" w:fill="FFFFFF"/>
            <w:vAlign w:val="center"/>
            <w:hideMark/>
          </w:tcPr>
          <w:p w14:paraId="08CCC930" w14:textId="77777777" w:rsidR="000B0092" w:rsidRPr="00BE78CA" w:rsidRDefault="000B0092" w:rsidP="00C26084">
            <w:pPr>
              <w:pStyle w:val="TableText"/>
              <w:spacing w:before="50" w:after="50"/>
              <w:rPr>
                <w:color w:val="000000"/>
                <w:szCs w:val="16"/>
              </w:rPr>
            </w:pPr>
            <w:r w:rsidRPr="00BE78CA">
              <w:rPr>
                <w:color w:val="000000"/>
                <w:szCs w:val="16"/>
              </w:rPr>
              <w:t>Product Uses as Substitutes for ODS – Refrigeration and Air Conditioning</w:t>
            </w:r>
          </w:p>
        </w:tc>
        <w:tc>
          <w:tcPr>
            <w:tcW w:w="845" w:type="dxa"/>
            <w:tcBorders>
              <w:top w:val="single" w:sz="4" w:space="0" w:color="365F91"/>
              <w:left w:val="nil"/>
              <w:bottom w:val="single" w:sz="4" w:space="0" w:color="365F91"/>
              <w:right w:val="nil"/>
            </w:tcBorders>
            <w:shd w:val="clear" w:color="auto" w:fill="FFFFFF"/>
            <w:vAlign w:val="center"/>
            <w:hideMark/>
          </w:tcPr>
          <w:p w14:paraId="334EE3EC" w14:textId="77777777" w:rsidR="000B0092" w:rsidRPr="00BE78CA" w:rsidRDefault="000B0092" w:rsidP="00C26084">
            <w:pPr>
              <w:pStyle w:val="TableText"/>
              <w:spacing w:before="50" w:after="50"/>
              <w:jc w:val="center"/>
              <w:rPr>
                <w:color w:val="000000"/>
                <w:szCs w:val="16"/>
              </w:rPr>
            </w:pPr>
            <w:r w:rsidRPr="00BE78CA">
              <w:rPr>
                <w:color w:val="000000"/>
                <w:szCs w:val="16"/>
              </w:rPr>
              <w:t>HFCs</w:t>
            </w:r>
          </w:p>
        </w:tc>
        <w:tc>
          <w:tcPr>
            <w:tcW w:w="1323" w:type="dxa"/>
            <w:tcBorders>
              <w:top w:val="single" w:sz="4" w:space="0" w:color="365F91"/>
              <w:left w:val="nil"/>
              <w:bottom w:val="single" w:sz="4" w:space="0" w:color="365F91"/>
              <w:right w:val="nil"/>
            </w:tcBorders>
            <w:shd w:val="clear" w:color="auto" w:fill="FFFFFF"/>
            <w:vAlign w:val="center"/>
            <w:hideMark/>
          </w:tcPr>
          <w:p w14:paraId="748A9206" w14:textId="77777777" w:rsidR="000B0092" w:rsidRPr="00BE78CA" w:rsidRDefault="000B0092" w:rsidP="00C26084">
            <w:pPr>
              <w:pStyle w:val="TableText"/>
              <w:spacing w:before="50" w:after="50"/>
              <w:rPr>
                <w:color w:val="000000"/>
                <w:szCs w:val="16"/>
              </w:rPr>
            </w:pPr>
            <w:r w:rsidRPr="00BE78CA">
              <w:rPr>
                <w:color w:val="000000"/>
                <w:szCs w:val="16"/>
              </w:rPr>
              <w:t>L1, T1</w:t>
            </w:r>
          </w:p>
        </w:tc>
      </w:tr>
    </w:tbl>
    <w:p w14:paraId="397B8D06" w14:textId="77777777" w:rsidR="000B0092" w:rsidRPr="00BE78CA" w:rsidRDefault="000B0092" w:rsidP="000B0092">
      <w:pPr>
        <w:pStyle w:val="Noteundertable"/>
      </w:pPr>
      <w:r w:rsidRPr="00BE78CA">
        <w:rPr>
          <w:rFonts w:cs="Arial"/>
          <w:b/>
        </w:rPr>
        <w:t>Note:</w:t>
      </w:r>
      <w:r w:rsidRPr="00BE78CA">
        <w:rPr>
          <w:rFonts w:cs="Arial"/>
        </w:rPr>
        <w:tab/>
      </w:r>
      <w:r w:rsidRPr="00BE78CA">
        <w:t xml:space="preserve">L1 means a key category is identified under the level analysis – approach 1 and T1 is trend analysis </w:t>
      </w:r>
      <w:r w:rsidRPr="00BE78CA">
        <w:br/>
        <w:t>– approach 1. Refer to chapter 1 for more information.</w:t>
      </w:r>
    </w:p>
    <w:p w14:paraId="53DDFF17" w14:textId="77777777" w:rsidR="000B0092" w:rsidRPr="00BE78CA" w:rsidRDefault="000B0092" w:rsidP="000B0092">
      <w:pPr>
        <w:pStyle w:val="Heading3"/>
      </w:pPr>
      <w:r w:rsidRPr="00BE78CA">
        <w:t>4.1.4</w:t>
      </w:r>
      <w:r w:rsidRPr="00BE78CA">
        <w:tab/>
        <w:t>Methodological issues for the IPPU sector</w:t>
      </w:r>
    </w:p>
    <w:p w14:paraId="068FF305" w14:textId="77777777" w:rsidR="000B0092" w:rsidRPr="00BE78CA" w:rsidRDefault="000B0092" w:rsidP="00BA778A">
      <w:pPr>
        <w:pStyle w:val="BodyText"/>
        <w:rPr>
          <w:rFonts w:eastAsia="+mn-ea"/>
        </w:rPr>
      </w:pPr>
      <w:r w:rsidRPr="00BE78CA">
        <w:rPr>
          <w:rFonts w:eastAsia="+mn-ea"/>
        </w:rPr>
        <w:t xml:space="preserve">Activity data in the IPPU sector have been derived from a variety of sources. In the </w:t>
      </w:r>
      <w:r w:rsidRPr="00BE78CA">
        <w:rPr>
          <w:rFonts w:eastAsia="+mn-ea"/>
          <w:i/>
        </w:rPr>
        <w:t>Mineral industry</w:t>
      </w:r>
      <w:r w:rsidRPr="00BE78CA">
        <w:rPr>
          <w:rFonts w:eastAsia="+mn-ea"/>
        </w:rPr>
        <w:t xml:space="preserve"> category, the primary data source is emissions data reported under the New Zealand Emissions Trading Scheme (NZ ETS). For the </w:t>
      </w:r>
      <w:r w:rsidRPr="00BE78CA">
        <w:rPr>
          <w:rFonts w:eastAsia="+mn-ea"/>
          <w:i/>
        </w:rPr>
        <w:t>Chemical industry</w:t>
      </w:r>
      <w:r w:rsidRPr="00BE78CA">
        <w:rPr>
          <w:rFonts w:eastAsia="+mn-ea"/>
        </w:rPr>
        <w:t xml:space="preserve"> and </w:t>
      </w:r>
      <w:r w:rsidRPr="00BE78CA">
        <w:rPr>
          <w:rFonts w:eastAsia="+mn-ea"/>
          <w:i/>
        </w:rPr>
        <w:t>Metal industry</w:t>
      </w:r>
      <w:r w:rsidRPr="00BE78CA">
        <w:rPr>
          <w:rFonts w:eastAsia="+mn-ea"/>
        </w:rPr>
        <w:t xml:space="preserve"> categories, data (including activity data) are provided to the Ministry of Business, Innovation and Employment (MBIE) in response to an annual survey. </w:t>
      </w:r>
    </w:p>
    <w:p w14:paraId="5B6ABC3D" w14:textId="77777777" w:rsidR="000B0092" w:rsidRPr="00BE78CA" w:rsidRDefault="000B0092" w:rsidP="00BA778A">
      <w:pPr>
        <w:pStyle w:val="BodyText"/>
        <w:rPr>
          <w:rFonts w:eastAsia="+mn-ea"/>
        </w:rPr>
      </w:pPr>
      <w:r w:rsidRPr="00BE78CA">
        <w:rPr>
          <w:rFonts w:eastAsia="+mn-ea"/>
        </w:rPr>
        <w:t xml:space="preserve">For some large-scale activities in the </w:t>
      </w:r>
      <w:r w:rsidRPr="00BE78CA">
        <w:rPr>
          <w:rFonts w:eastAsia="+mn-ea"/>
          <w:i/>
        </w:rPr>
        <w:t>Mineral industry</w:t>
      </w:r>
      <w:r w:rsidRPr="00BE78CA">
        <w:rPr>
          <w:rFonts w:eastAsia="+mn-ea"/>
        </w:rPr>
        <w:t xml:space="preserve">, </w:t>
      </w:r>
      <w:r w:rsidRPr="00BE78CA">
        <w:rPr>
          <w:rFonts w:eastAsia="+mn-ea"/>
          <w:i/>
        </w:rPr>
        <w:t>Chemical industry</w:t>
      </w:r>
      <w:r w:rsidRPr="00BE78CA">
        <w:rPr>
          <w:rFonts w:eastAsia="+mn-ea"/>
        </w:rPr>
        <w:t xml:space="preserve"> and </w:t>
      </w:r>
      <w:r w:rsidRPr="00BE78CA">
        <w:rPr>
          <w:rFonts w:eastAsia="+mn-ea"/>
          <w:i/>
        </w:rPr>
        <w:t>Metal industry</w:t>
      </w:r>
      <w:r w:rsidRPr="00BE78CA">
        <w:rPr>
          <w:rFonts w:eastAsia="+mn-ea"/>
        </w:rPr>
        <w:t xml:space="preserve"> categories, which are carried out by only one or two companies in New Zealand, activity data are reported as confidential in the CRF tables. </w:t>
      </w:r>
    </w:p>
    <w:p w14:paraId="28C45D8F" w14:textId="77777777" w:rsidR="000B0092" w:rsidRPr="00BE78CA" w:rsidRDefault="000B0092" w:rsidP="00BA778A">
      <w:pPr>
        <w:pStyle w:val="BodyText"/>
        <w:rPr>
          <w:rFonts w:eastAsia="+mn-ea"/>
        </w:rPr>
      </w:pPr>
      <w:r w:rsidRPr="00BE78CA">
        <w:rPr>
          <w:rFonts w:eastAsia="+mn-ea"/>
        </w:rPr>
        <w:t xml:space="preserve">Emissions data for glass production (2.A.3) are reported in 2.A.4 to aggregate the data with other sources and preserve confidentiality. Also, data on emissions from hydrogen making at the Marsden Point oil refinery are reported in the </w:t>
      </w:r>
      <w:r w:rsidRPr="00BE78CA">
        <w:rPr>
          <w:rFonts w:eastAsia="+mn-ea"/>
          <w:i/>
        </w:rPr>
        <w:t>Chemical industry</w:t>
      </w:r>
      <w:r w:rsidRPr="00BE78CA">
        <w:rPr>
          <w:rFonts w:eastAsia="+mn-ea"/>
        </w:rPr>
        <w:t xml:space="preserve"> category. This allows data from New Zealand’s only industrial hydrogen-making process, which is smaller in scale than refining, to be aggregated and kept confidential.</w:t>
      </w:r>
    </w:p>
    <w:p w14:paraId="1045F1EC" w14:textId="77777777" w:rsidR="000B0092" w:rsidRPr="00BE78CA" w:rsidRDefault="000B0092" w:rsidP="00BA778A">
      <w:pPr>
        <w:pStyle w:val="BodyText"/>
        <w:rPr>
          <w:rFonts w:eastAsia="+mn-ea"/>
        </w:rPr>
      </w:pPr>
      <w:r w:rsidRPr="00BE78CA">
        <w:rPr>
          <w:rFonts w:eastAsia="+mn-ea"/>
        </w:rPr>
        <w:t xml:space="preserve">For the </w:t>
      </w:r>
      <w:r w:rsidRPr="00BE78CA">
        <w:rPr>
          <w:rFonts w:eastAsia="+mn-ea"/>
          <w:i/>
        </w:rPr>
        <w:t>Product uses as substitutes for ODS</w:t>
      </w:r>
      <w:r w:rsidRPr="00BE78CA">
        <w:rPr>
          <w:rFonts w:eastAsia="+mn-ea"/>
        </w:rPr>
        <w:t xml:space="preserve"> category, updated activity data have been obtained by a detailed annual survey covering the electrical, refrigeration and other industry participants (Verum Group, unpublished) as well as importers of HFCs and other substances in this category. </w:t>
      </w:r>
    </w:p>
    <w:p w14:paraId="665E9C56" w14:textId="77777777" w:rsidR="000B0092" w:rsidRPr="00BE78CA" w:rsidRDefault="000B0092" w:rsidP="00BA778A">
      <w:pPr>
        <w:pStyle w:val="BodyText"/>
      </w:pPr>
      <w:r w:rsidRPr="00BE78CA">
        <w:t>New Zealand uses a combination of Tier 1 and Tier 2 methodologies for the IPPU sector. Tier 2 methods are used for all key categories, with the exception of CH</w:t>
      </w:r>
      <w:r w:rsidRPr="00BE78CA">
        <w:rPr>
          <w:vertAlign w:val="subscript"/>
        </w:rPr>
        <w:t>4</w:t>
      </w:r>
      <w:r w:rsidRPr="00BE78CA">
        <w:t xml:space="preserve"> emissions from methanol production (CRF 2.B.8) for which no Tier 2 method is available. </w:t>
      </w:r>
    </w:p>
    <w:p w14:paraId="56A07285" w14:textId="77777777" w:rsidR="000B0092" w:rsidRPr="00BE78CA" w:rsidRDefault="000B0092" w:rsidP="00BA778A">
      <w:pPr>
        <w:pStyle w:val="BodyText"/>
        <w:rPr>
          <w:rFonts w:eastAsia="+mn-ea"/>
        </w:rPr>
      </w:pPr>
      <w:r w:rsidRPr="00BE78CA">
        <w:rPr>
          <w:rFonts w:eastAsia="+mn-ea"/>
        </w:rPr>
        <w:t xml:space="preserve">For small amounts of indirect greenhouse gas emissions reported in the </w:t>
      </w:r>
      <w:r w:rsidRPr="00BE78CA">
        <w:rPr>
          <w:rFonts w:eastAsia="+mn-ea"/>
          <w:i/>
        </w:rPr>
        <w:t>Chemical industry</w:t>
      </w:r>
      <w:r w:rsidRPr="00BE78CA">
        <w:rPr>
          <w:rFonts w:eastAsia="+mn-ea"/>
        </w:rPr>
        <w:t xml:space="preserve"> category and the </w:t>
      </w:r>
      <w:r w:rsidRPr="00BE78CA">
        <w:rPr>
          <w:rFonts w:eastAsia="+mn-ea"/>
          <w:i/>
        </w:rPr>
        <w:t>Other product manufacture and use</w:t>
      </w:r>
      <w:r w:rsidRPr="00BE78CA">
        <w:rPr>
          <w:rFonts w:eastAsia="+mn-ea"/>
        </w:rPr>
        <w:t xml:space="preserve"> category, data were obtained by a detailed industry survey and analysis in 2006 (CRL Energy, unpublished(a)). Emissions and activity data have been extrapolated for the years since that time. </w:t>
      </w:r>
    </w:p>
    <w:p w14:paraId="64564C01" w14:textId="77777777" w:rsidR="000B0092" w:rsidRPr="00BE78CA" w:rsidRDefault="000B0092" w:rsidP="00BA778A">
      <w:pPr>
        <w:pStyle w:val="BodyText"/>
      </w:pPr>
      <w:r w:rsidRPr="00BE78CA">
        <w:t xml:space="preserve">Country-specific emission factors have been used where available, including for emissions of indirect greenhouse gases. </w:t>
      </w:r>
    </w:p>
    <w:p w14:paraId="5DAEAD96" w14:textId="77777777" w:rsidR="000B0092" w:rsidRPr="00BE78CA" w:rsidRDefault="000B0092" w:rsidP="000B0092">
      <w:pPr>
        <w:pStyle w:val="Heading3"/>
        <w:spacing w:before="280"/>
      </w:pPr>
      <w:r w:rsidRPr="00BE78CA">
        <w:lastRenderedPageBreak/>
        <w:t>4.1.5</w:t>
      </w:r>
      <w:r w:rsidRPr="00BE78CA">
        <w:tab/>
        <w:t>Uncertainties</w:t>
      </w:r>
    </w:p>
    <w:p w14:paraId="11462A90" w14:textId="77777777" w:rsidR="000B0092" w:rsidRPr="00BE78CA" w:rsidRDefault="000B0092" w:rsidP="00BA778A">
      <w:pPr>
        <w:pStyle w:val="BodyText"/>
      </w:pPr>
      <w:r w:rsidRPr="00BE78CA">
        <w:t>The uncertainties are discussed under each category. Intergovernmental Panel on Climate Change (IPCC) default uncertainties have been used in nearly all cases.</w:t>
      </w:r>
    </w:p>
    <w:p w14:paraId="4BDB8C56" w14:textId="77777777" w:rsidR="000B0092" w:rsidRPr="00BE78CA" w:rsidRDefault="000B0092" w:rsidP="00BA778A">
      <w:pPr>
        <w:pStyle w:val="BodyText"/>
      </w:pPr>
      <w:r w:rsidRPr="00BE78CA">
        <w:t xml:space="preserve">Country-specific estimates of uncertainty have been made in the </w:t>
      </w:r>
      <w:r w:rsidRPr="00BE78CA">
        <w:rPr>
          <w:rFonts w:eastAsia="+mn-ea"/>
          <w:i/>
        </w:rPr>
        <w:t>Product uses as substitutes for ODS</w:t>
      </w:r>
      <w:r w:rsidRPr="00BE78CA">
        <w:rPr>
          <w:rFonts w:eastAsia="+mn-ea"/>
        </w:rPr>
        <w:t xml:space="preserve"> category, reflecting the variable quality of data provided by a large number of survey respondents, and have been updated as needed for this submission</w:t>
      </w:r>
      <w:r w:rsidRPr="00BE78CA">
        <w:t xml:space="preserve">. </w:t>
      </w:r>
    </w:p>
    <w:p w14:paraId="40A397A8" w14:textId="77777777" w:rsidR="000B0092" w:rsidRPr="00BE78CA" w:rsidRDefault="000B0092" w:rsidP="000B0092">
      <w:pPr>
        <w:pStyle w:val="Heading3"/>
        <w:spacing w:before="280"/>
      </w:pPr>
      <w:r w:rsidRPr="00BE78CA">
        <w:t>4.1.6</w:t>
      </w:r>
      <w:r w:rsidRPr="00BE78CA">
        <w:tab/>
        <w:t>Verification</w:t>
      </w:r>
    </w:p>
    <w:p w14:paraId="5EFDEEC2" w14:textId="77777777" w:rsidR="000B0092" w:rsidRPr="00BE78CA" w:rsidRDefault="000B0092" w:rsidP="00BA778A">
      <w:pPr>
        <w:pStyle w:val="BodyText"/>
      </w:pPr>
      <w:r w:rsidRPr="00BE78CA">
        <w:t>The inventory agency (the Ministry for the Environment) verified information on CO</w:t>
      </w:r>
      <w:r w:rsidRPr="00BE78CA">
        <w:rPr>
          <w:vertAlign w:val="subscript"/>
        </w:rPr>
        <w:t>2</w:t>
      </w:r>
      <w:r w:rsidRPr="00BE78CA">
        <w:t xml:space="preserve"> emissions reported in the </w:t>
      </w:r>
      <w:r w:rsidRPr="00BE78CA">
        <w:rPr>
          <w:i/>
        </w:rPr>
        <w:t>Iron and steel production</w:t>
      </w:r>
      <w:r w:rsidRPr="00BE78CA">
        <w:t xml:space="preserve"> category against information provided by these industries as participants in the NZ ETS. </w:t>
      </w:r>
    </w:p>
    <w:p w14:paraId="4EBD6370" w14:textId="77777777" w:rsidR="000B0092" w:rsidRPr="00BE78CA" w:rsidRDefault="000B0092" w:rsidP="00BA778A">
      <w:pPr>
        <w:pStyle w:val="BodyText"/>
      </w:pPr>
      <w:r w:rsidRPr="00BE78CA">
        <w:t xml:space="preserve">For PFCs in the </w:t>
      </w:r>
      <w:r w:rsidRPr="00BE78CA">
        <w:rPr>
          <w:i/>
        </w:rPr>
        <w:t>Aluminium production</w:t>
      </w:r>
      <w:r w:rsidRPr="00BE78CA">
        <w:t xml:space="preserve"> category and for CO</w:t>
      </w:r>
      <w:r w:rsidRPr="00BE78CA">
        <w:rPr>
          <w:vertAlign w:val="subscript"/>
        </w:rPr>
        <w:t>2</w:t>
      </w:r>
      <w:r w:rsidRPr="00BE78CA">
        <w:t xml:space="preserve"> in the </w:t>
      </w:r>
      <w:r w:rsidRPr="00BE78CA">
        <w:rPr>
          <w:i/>
        </w:rPr>
        <w:t>Mineral industry</w:t>
      </w:r>
      <w:r w:rsidRPr="00BE78CA">
        <w:t xml:space="preserve"> category, the NZ ETS is used as the primary data source. Verification is done over time as ETS returns are verified by the agency that administers the NZ ETS, but no specific verification has been possible for this submission. </w:t>
      </w:r>
    </w:p>
    <w:p w14:paraId="529CAD28" w14:textId="77777777" w:rsidR="000B0092" w:rsidRPr="00BE78CA" w:rsidRDefault="000B0092" w:rsidP="00BA778A">
      <w:pPr>
        <w:pStyle w:val="BodyText"/>
      </w:pPr>
      <w:r w:rsidRPr="00BE78CA">
        <w:t xml:space="preserve">All data supplied in response to annual surveys (for the </w:t>
      </w:r>
      <w:r w:rsidRPr="00BE78CA">
        <w:rPr>
          <w:i/>
        </w:rPr>
        <w:t>Chemical industry</w:t>
      </w:r>
      <w:r w:rsidRPr="00BE78CA">
        <w:t xml:space="preserve">, </w:t>
      </w:r>
      <w:r w:rsidRPr="00BE78CA">
        <w:rPr>
          <w:i/>
        </w:rPr>
        <w:t>Metal industry</w:t>
      </w:r>
      <w:r w:rsidRPr="00BE78CA">
        <w:t xml:space="preserve"> and </w:t>
      </w:r>
      <w:r w:rsidRPr="00BE78CA">
        <w:rPr>
          <w:i/>
        </w:rPr>
        <w:t>Product uses as substitutes for ODS</w:t>
      </w:r>
      <w:r w:rsidRPr="00BE78CA">
        <w:t xml:space="preserve"> categories) were verified against national totals where possible and anomalous data followed up and checked. </w:t>
      </w:r>
    </w:p>
    <w:p w14:paraId="5FABBFD4" w14:textId="77777777" w:rsidR="000B0092" w:rsidRPr="00BE78CA" w:rsidRDefault="000B0092" w:rsidP="000B0092">
      <w:pPr>
        <w:pStyle w:val="Heading3"/>
      </w:pPr>
      <w:r w:rsidRPr="00BE78CA">
        <w:t>4.1.7</w:t>
      </w:r>
      <w:r w:rsidRPr="00BE78CA">
        <w:tab/>
        <w:t>Recalculations and improvements</w:t>
      </w:r>
    </w:p>
    <w:p w14:paraId="5AEB2239" w14:textId="77777777" w:rsidR="000B0092" w:rsidRPr="00BE78CA" w:rsidRDefault="000B0092" w:rsidP="00BA778A">
      <w:pPr>
        <w:pStyle w:val="BodyText"/>
      </w:pPr>
      <w:r w:rsidRPr="00BE78CA">
        <w:t xml:space="preserve">For this submission, the model used to calculate emissions from mobile air conditioning has been improved to better reflect changes in the vehicle fleet. Activity data have been recalculated in the </w:t>
      </w:r>
      <w:r w:rsidRPr="00BE78CA">
        <w:rPr>
          <w:i/>
        </w:rPr>
        <w:t>Lime production</w:t>
      </w:r>
      <w:r w:rsidRPr="00BE78CA">
        <w:t xml:space="preserve"> category, but with no effect on emissions. </w:t>
      </w:r>
    </w:p>
    <w:p w14:paraId="098CC85E" w14:textId="77777777" w:rsidR="000B0092" w:rsidRPr="00BE78CA" w:rsidRDefault="000B0092" w:rsidP="000B0092">
      <w:pPr>
        <w:pStyle w:val="Heading4"/>
      </w:pPr>
      <w:r w:rsidRPr="00BE78CA">
        <w:t>Expert review team comments</w:t>
      </w:r>
    </w:p>
    <w:p w14:paraId="78EF6196" w14:textId="77777777" w:rsidR="000B0092" w:rsidRPr="00BE78CA" w:rsidRDefault="000B0092" w:rsidP="00BA778A">
      <w:pPr>
        <w:pStyle w:val="BodyText"/>
      </w:pPr>
      <w:r w:rsidRPr="00BE78CA">
        <w:t xml:space="preserve">Expert review teams (ERTs) have recommended that New Zealand continue efforts to address the transparency of activity data in the </w:t>
      </w:r>
      <w:r w:rsidRPr="00BE78CA">
        <w:rPr>
          <w:i/>
        </w:rPr>
        <w:t>Mineral industry</w:t>
      </w:r>
      <w:r w:rsidRPr="00BE78CA">
        <w:t xml:space="preserve">, </w:t>
      </w:r>
      <w:r w:rsidRPr="00BE78CA">
        <w:rPr>
          <w:i/>
        </w:rPr>
        <w:t>Chemical industry</w:t>
      </w:r>
      <w:r w:rsidRPr="00BE78CA">
        <w:t xml:space="preserve"> and </w:t>
      </w:r>
      <w:r w:rsidRPr="00BE78CA">
        <w:rPr>
          <w:i/>
        </w:rPr>
        <w:t>Metal industry</w:t>
      </w:r>
      <w:r w:rsidRPr="00BE78CA">
        <w:t xml:space="preserve"> categories. This relates to activity data that are reported as confidential. Commercial confidentiality remains an issue for this and future submissions. </w:t>
      </w:r>
    </w:p>
    <w:p w14:paraId="127FB47A" w14:textId="77777777" w:rsidR="000B0092" w:rsidRPr="00BE78CA" w:rsidRDefault="000B0092" w:rsidP="00BA778A">
      <w:pPr>
        <w:pStyle w:val="BodyText"/>
      </w:pPr>
      <w:r w:rsidRPr="00BE78CA">
        <w:t xml:space="preserve">The ERT recommended that New Zealand improves the documentation of reporting in the </w:t>
      </w:r>
      <w:r w:rsidRPr="00BE78CA">
        <w:rPr>
          <w:i/>
        </w:rPr>
        <w:t>Product uses as substitutes for ODS</w:t>
      </w:r>
      <w:r w:rsidRPr="00BE78CA">
        <w:t xml:space="preserve"> and </w:t>
      </w:r>
      <w:r w:rsidRPr="00BE78CA">
        <w:rPr>
          <w:i/>
        </w:rPr>
        <w:t>Other product manufacture and use</w:t>
      </w:r>
      <w:r w:rsidRPr="00BE78CA">
        <w:t xml:space="preserve"> categories. The descriptions in these categories in the inventory continue to be updated in each submission, and the source material can be made available for review teams. </w:t>
      </w:r>
    </w:p>
    <w:p w14:paraId="483B5EE6" w14:textId="77777777" w:rsidR="000B0092" w:rsidRPr="00BE78CA" w:rsidRDefault="000B0092" w:rsidP="000B0092">
      <w:pPr>
        <w:pStyle w:val="Heading3"/>
      </w:pPr>
      <w:r w:rsidRPr="00BE78CA">
        <w:t>4.1.8</w:t>
      </w:r>
      <w:r w:rsidRPr="00BE78CA">
        <w:tab/>
        <w:t>Quality assurance and quality control (QA/QC) processes</w:t>
      </w:r>
    </w:p>
    <w:p w14:paraId="28B46856" w14:textId="77777777" w:rsidR="000B0092" w:rsidRPr="00BE78CA" w:rsidRDefault="000B0092" w:rsidP="00BA778A">
      <w:pPr>
        <w:pStyle w:val="BodyText"/>
      </w:pPr>
      <w:bookmarkStart w:id="404" w:name="_Toc447275687"/>
      <w:bookmarkStart w:id="405" w:name="_Toc414531601"/>
      <w:r w:rsidRPr="00BE78CA">
        <w:t xml:space="preserve">Tier 1 quality checks were carried out on all data collected for this sector, with minor exceptions where data do not require updating. Figure 4.1.3 describes the quality control process map for the IPPU sector. Verification against independent data sources was possible only in specific cases, such as comparison of NZ ETS returns against data submitted in response to surveys. </w:t>
      </w:r>
    </w:p>
    <w:p w14:paraId="2C13695C" w14:textId="77777777" w:rsidR="000B0092" w:rsidRPr="00BE78CA" w:rsidRDefault="000B0092" w:rsidP="000B0092">
      <w:pPr>
        <w:pStyle w:val="Figure"/>
      </w:pPr>
      <w:bookmarkStart w:id="406" w:name="_Toc5269681"/>
      <w:bookmarkStart w:id="407" w:name="_Toc36292784"/>
      <w:bookmarkStart w:id="408" w:name="_Toc68786649"/>
      <w:r w:rsidRPr="00BE78CA">
        <w:lastRenderedPageBreak/>
        <w:t xml:space="preserve">Figure 4.1.3 </w:t>
      </w:r>
      <w:r w:rsidRPr="00BE78CA">
        <w:tab/>
        <w:t>Example: Tier 1 quality checks for the IPPU sector</w:t>
      </w:r>
      <w:bookmarkEnd w:id="404"/>
      <w:bookmarkEnd w:id="405"/>
      <w:bookmarkEnd w:id="406"/>
      <w:bookmarkEnd w:id="407"/>
      <w:bookmarkEnd w:id="408"/>
    </w:p>
    <w:p w14:paraId="7FBDB826" w14:textId="77777777" w:rsidR="000B0092" w:rsidRPr="00BE78CA" w:rsidRDefault="000B0092" w:rsidP="000B0092">
      <w:pPr>
        <w:pStyle w:val="BodyText"/>
      </w:pPr>
      <w:r w:rsidRPr="00BE78CA">
        <w:object w:dxaOrig="12481" w:dyaOrig="8232" w14:anchorId="4E3B8264">
          <v:shape id="_x0000_i1031" type="#_x0000_t75" style="width:400.75pt;height:252.7pt" o:ole="">
            <v:imagedata r:id="rId97" o:title="" cropbottom="2926f"/>
          </v:shape>
          <o:OLEObject Type="Embed" ProgID="Visio.Drawing.15" ShapeID="_x0000_i1031" DrawAspect="Content" ObjectID="_1679402762" r:id="rId98"/>
        </w:object>
      </w:r>
      <w:r w:rsidRPr="00BE78CA" w:rsidDel="002C031B">
        <w:t xml:space="preserve"> </w:t>
      </w:r>
      <w:bookmarkStart w:id="409" w:name="_Toc448321513"/>
      <w:bookmarkStart w:id="410" w:name="_Toc414531293"/>
      <w:bookmarkStart w:id="411" w:name="_Toc5269352"/>
      <w:bookmarkStart w:id="412" w:name="_Toc36224392"/>
    </w:p>
    <w:p w14:paraId="2C4E7FD1" w14:textId="77777777" w:rsidR="000B0092" w:rsidRPr="00BE78CA" w:rsidRDefault="000B0092" w:rsidP="000B0092">
      <w:pPr>
        <w:pStyle w:val="Heading2"/>
      </w:pPr>
      <w:bookmarkStart w:id="413" w:name="_Toc68786312"/>
      <w:r w:rsidRPr="00BE78CA">
        <w:t>4.2</w:t>
      </w:r>
      <w:r w:rsidRPr="00BE78CA">
        <w:tab/>
        <w:t>Mineral industry (2.A)</w:t>
      </w:r>
      <w:bookmarkEnd w:id="409"/>
      <w:bookmarkEnd w:id="410"/>
      <w:bookmarkEnd w:id="411"/>
      <w:bookmarkEnd w:id="412"/>
      <w:bookmarkEnd w:id="413"/>
    </w:p>
    <w:p w14:paraId="5A8A520F" w14:textId="77777777" w:rsidR="000B0092" w:rsidRPr="00BE78CA" w:rsidRDefault="000B0092" w:rsidP="000B0092">
      <w:pPr>
        <w:pStyle w:val="Heading3"/>
        <w:spacing w:before="160"/>
      </w:pPr>
      <w:r w:rsidRPr="00BE78CA">
        <w:t>4.2.1</w:t>
      </w:r>
      <w:r w:rsidRPr="00BE78CA">
        <w:tab/>
        <w:t>Description</w:t>
      </w:r>
    </w:p>
    <w:p w14:paraId="077B0130" w14:textId="77777777" w:rsidR="000B0092" w:rsidRPr="00BE78CA" w:rsidRDefault="000B0092" w:rsidP="00BA778A">
      <w:pPr>
        <w:pStyle w:val="BodyText"/>
      </w:pPr>
      <w:r w:rsidRPr="00BE78CA">
        <w:t xml:space="preserve">Emissions from the </w:t>
      </w:r>
      <w:r w:rsidRPr="00BE78CA">
        <w:rPr>
          <w:i/>
        </w:rPr>
        <w:t>Mineral industry</w:t>
      </w:r>
      <w:r w:rsidRPr="00BE78CA">
        <w:t xml:space="preserve"> category include CO</w:t>
      </w:r>
      <w:r w:rsidRPr="00BE78CA">
        <w:rPr>
          <w:vertAlign w:val="subscript"/>
        </w:rPr>
        <w:t>2</w:t>
      </w:r>
      <w:r w:rsidRPr="00BE78CA">
        <w:t xml:space="preserve"> from the calcination of limestone for cement and lime, and from the use of soda ash and limestone in the production of glass, aluminium, and iron and steel. Only CO</w:t>
      </w:r>
      <w:r w:rsidRPr="00BE78CA">
        <w:rPr>
          <w:vertAlign w:val="subscript"/>
        </w:rPr>
        <w:t>2</w:t>
      </w:r>
      <w:r w:rsidRPr="00BE78CA">
        <w:t xml:space="preserve"> from calcination is reported here. Any emissions from the combustion of fuel to provide heat for these activities are reported </w:t>
      </w:r>
      <w:r w:rsidRPr="00BE78CA">
        <w:rPr>
          <w:rFonts w:eastAsia="+mn-ea"/>
        </w:rPr>
        <w:t>under</w:t>
      </w:r>
      <w:r w:rsidRPr="00BE78CA">
        <w:t xml:space="preserve"> the Energy sector. </w:t>
      </w:r>
    </w:p>
    <w:p w14:paraId="14E94BF5" w14:textId="77777777" w:rsidR="000B0092" w:rsidRPr="00BE78CA" w:rsidRDefault="000B0092" w:rsidP="00BA778A">
      <w:pPr>
        <w:pStyle w:val="BodyText"/>
      </w:pPr>
      <w:r w:rsidRPr="00BE78CA">
        <w:t>Only one cement production facility is now operating in New Zealand, a dry-process plant operated by Golden Bay Cement Ltd near Whangarei. Holcim New Zealand Ltd operated a wet</w:t>
      </w:r>
      <w:r w:rsidRPr="00BE78CA">
        <w:noBreakHyphen/>
        <w:t xml:space="preserve">process cement plant at Cape Foulwind, on the West Coast of the South Island, but this plant was closed at the end of June 2016 and Holcim is now marketing cement made from imported clinker. Another, smaller cement company (Lee Cement Ltd) operated only from 1995 to 1998. These facilities produce clinker from the calcination of limestone and process it into Portland cement or general purpose cement. </w:t>
      </w:r>
    </w:p>
    <w:p w14:paraId="5513AE59" w14:textId="77777777" w:rsidR="000B0092" w:rsidRPr="00BE78CA" w:rsidRDefault="000B0092" w:rsidP="00BA778A">
      <w:pPr>
        <w:pStyle w:val="BodyText"/>
      </w:pPr>
      <w:r w:rsidRPr="00BE78CA">
        <w:t xml:space="preserve">Three companies (McDonald’s Lime Ltd, Websters Hydrated Lime Company and Perry Resources Ltd) have a history of making burnt and slaked lime at five different facilities in New Zealand. The industry has been consolidated over time and two companies (Graymont New Zealand and Websters Hydrated Lime Company) now produce all of New Zealand’s burnt and slaked lime. </w:t>
      </w:r>
    </w:p>
    <w:p w14:paraId="6F147CF2" w14:textId="77777777" w:rsidR="000B0092" w:rsidRPr="00BE78CA" w:rsidRDefault="000B0092" w:rsidP="00BA778A">
      <w:pPr>
        <w:pStyle w:val="BodyText"/>
      </w:pPr>
      <w:r w:rsidRPr="00BE78CA">
        <w:t>Small amounts of indirect emissions (sulphur dioxide (SO</w:t>
      </w:r>
      <w:r w:rsidRPr="00BE78CA">
        <w:rPr>
          <w:vertAlign w:val="subscript"/>
        </w:rPr>
        <w:t>2</w:t>
      </w:r>
      <w:r w:rsidRPr="00BE78CA">
        <w:t xml:space="preserve">) only) from the </w:t>
      </w:r>
      <w:r w:rsidRPr="00BE78CA">
        <w:rPr>
          <w:i/>
        </w:rPr>
        <w:t>Cement production</w:t>
      </w:r>
      <w:r w:rsidRPr="00BE78CA">
        <w:t xml:space="preserve"> category are also reported. Some emissions of SO</w:t>
      </w:r>
      <w:r w:rsidRPr="00BE78CA">
        <w:rPr>
          <w:vertAlign w:val="subscript"/>
        </w:rPr>
        <w:t>2</w:t>
      </w:r>
      <w:r w:rsidRPr="00BE78CA">
        <w:t xml:space="preserve"> from the </w:t>
      </w:r>
      <w:r w:rsidRPr="00BE78CA">
        <w:rPr>
          <w:i/>
        </w:rPr>
        <w:t>Lime production</w:t>
      </w:r>
      <w:r w:rsidRPr="00BE78CA">
        <w:t xml:space="preserve"> category were estimated in 2006 (CRL Energy, </w:t>
      </w:r>
      <w:r w:rsidRPr="00BE78CA">
        <w:rPr>
          <w:rFonts w:eastAsia="+mn-ea"/>
        </w:rPr>
        <w:t>unpublished(a)</w:t>
      </w:r>
      <w:r w:rsidRPr="00BE78CA">
        <w:t>), but there is currently no provision in the CRF to report this. Some additional SO</w:t>
      </w:r>
      <w:r w:rsidRPr="00BE78CA">
        <w:rPr>
          <w:vertAlign w:val="subscript"/>
        </w:rPr>
        <w:t>2</w:t>
      </w:r>
      <w:r w:rsidRPr="00BE78CA">
        <w:t xml:space="preserve"> is derived from sulphur in coal or waste oil used as fuel in cement and lime kilns, and this is reported </w:t>
      </w:r>
      <w:r w:rsidRPr="00BE78CA">
        <w:rPr>
          <w:rFonts w:eastAsia="+mn-ea"/>
        </w:rPr>
        <w:t>under</w:t>
      </w:r>
      <w:r w:rsidRPr="00BE78CA">
        <w:t xml:space="preserve"> the Energy sector. </w:t>
      </w:r>
    </w:p>
    <w:p w14:paraId="000A5058" w14:textId="77777777" w:rsidR="000B0092" w:rsidRPr="00BE78CA" w:rsidRDefault="000B0092" w:rsidP="00BA778A">
      <w:pPr>
        <w:pStyle w:val="BodyText"/>
      </w:pPr>
      <w:r w:rsidRPr="00BE78CA">
        <w:lastRenderedPageBreak/>
        <w:t xml:space="preserve">Two companies are making glass in New Zealand, with emissions from the use of soda ash and limestone in the process. O-I New Zealand makes container glass and Tasman Insulation New Zealand Ltd makes smaller amounts of glass for building insulation products. </w:t>
      </w:r>
    </w:p>
    <w:p w14:paraId="26B90056" w14:textId="77777777" w:rsidR="000B0092" w:rsidRPr="00BE78CA" w:rsidRDefault="000B0092" w:rsidP="00BA778A">
      <w:pPr>
        <w:pStyle w:val="BodyText"/>
      </w:pPr>
      <w:r w:rsidRPr="00BE78CA">
        <w:t xml:space="preserve">Limestone and soda ash are also used in the steel and aluminium industries and would normally be reported in the </w:t>
      </w:r>
      <w:r w:rsidRPr="00BE78CA">
        <w:rPr>
          <w:i/>
        </w:rPr>
        <w:t>Metal industry</w:t>
      </w:r>
      <w:r w:rsidRPr="00BE78CA">
        <w:t xml:space="preserve"> category. Emissions from this use of mineral inputs are reported in the </w:t>
      </w:r>
      <w:r w:rsidRPr="00BE78CA">
        <w:rPr>
          <w:i/>
        </w:rPr>
        <w:t xml:space="preserve">Mineral industry </w:t>
      </w:r>
      <w:r w:rsidRPr="00BE78CA">
        <w:t xml:space="preserve">category (see section 4.2.2) to protect the confidentiality of data provided by the two glass companies. </w:t>
      </w:r>
    </w:p>
    <w:p w14:paraId="224E97D8" w14:textId="77777777" w:rsidR="000B0092" w:rsidRPr="00BE78CA" w:rsidRDefault="000B0092" w:rsidP="00BA778A">
      <w:pPr>
        <w:pStyle w:val="BodyText"/>
      </w:pPr>
      <w:r w:rsidRPr="00BE78CA">
        <w:t>A very small amount of CO</w:t>
      </w:r>
      <w:r w:rsidRPr="00BE78CA">
        <w:rPr>
          <w:vertAlign w:val="subscript"/>
        </w:rPr>
        <w:t>2</w:t>
      </w:r>
      <w:r w:rsidRPr="00BE78CA">
        <w:t xml:space="preserve"> is reported from the use of kaolin clays in ceramics production. </w:t>
      </w:r>
    </w:p>
    <w:p w14:paraId="3C240E37" w14:textId="77777777" w:rsidR="000B0092" w:rsidRPr="00BE78CA" w:rsidRDefault="000B0092" w:rsidP="00BA778A">
      <w:pPr>
        <w:pStyle w:val="BodyText"/>
      </w:pPr>
      <w:r w:rsidRPr="00BE78CA">
        <w:t>The only key category is CO</w:t>
      </w:r>
      <w:r w:rsidRPr="00BE78CA">
        <w:rPr>
          <w:vertAlign w:val="subscript"/>
        </w:rPr>
        <w:t>2</w:t>
      </w:r>
      <w:r w:rsidRPr="00BE78CA">
        <w:t xml:space="preserve"> emissions from the </w:t>
      </w:r>
      <w:r w:rsidRPr="00BE78CA">
        <w:rPr>
          <w:i/>
        </w:rPr>
        <w:t>Cement production</w:t>
      </w:r>
      <w:r w:rsidRPr="00BE78CA">
        <w:t xml:space="preserve"> category (level and trend assessment). </w:t>
      </w:r>
    </w:p>
    <w:p w14:paraId="4E42182A" w14:textId="77777777" w:rsidR="000B0092" w:rsidRPr="00BE78CA" w:rsidRDefault="000B0092" w:rsidP="00BA778A">
      <w:pPr>
        <w:pStyle w:val="BodyText"/>
      </w:pPr>
      <w:r w:rsidRPr="00BE78CA">
        <w:t xml:space="preserve">In 2019, the </w:t>
      </w:r>
      <w:r w:rsidRPr="00BE78CA">
        <w:rPr>
          <w:i/>
        </w:rPr>
        <w:t>Mineral industry</w:t>
      </w:r>
      <w:r w:rsidRPr="00BE78CA">
        <w:t xml:space="preserve"> category accounted for 618.1 kt CO</w:t>
      </w:r>
      <w:r w:rsidRPr="00BE78CA">
        <w:rPr>
          <w:vertAlign w:val="subscript"/>
        </w:rPr>
        <w:t>2</w:t>
      </w:r>
      <w:r w:rsidRPr="00BE78CA">
        <w:t>-e (12.1 per cent) of emissions from the IPPU sector. This is 56.2 kt (10.0 per cent) above the 1990 emissions, driven by increasing production of cement, lime and glass containers. However, emissions in 2015 were 876.3 kt CO</w:t>
      </w:r>
      <w:r w:rsidRPr="00BE78CA">
        <w:rPr>
          <w:vertAlign w:val="subscript"/>
        </w:rPr>
        <w:t>2</w:t>
      </w:r>
      <w:r w:rsidRPr="00BE78CA">
        <w:t xml:space="preserve">-e. Emissions have decreased since 2015 due to the closure of the Holcim cement plant. </w:t>
      </w:r>
    </w:p>
    <w:p w14:paraId="58A5E856" w14:textId="77777777" w:rsidR="000B0092" w:rsidRPr="00BE78CA" w:rsidRDefault="000B0092" w:rsidP="00BA778A">
      <w:pPr>
        <w:pStyle w:val="BodyText"/>
      </w:pPr>
      <w:r w:rsidRPr="00BE78CA">
        <w:t xml:space="preserve">Changes in the national standards for cement, in 1995 and 2010, allowed increasing amounts of other minerals to be added to clinker in formulating cement. Various cement products sold in New Zealand contain limestone and fly ash as mineral additions. This allowed a reduction in emissions per tonne of cement produced (Cement and Concrete Association of New Zealand, 1995). These improvements have been continued over time. </w:t>
      </w:r>
    </w:p>
    <w:p w14:paraId="6FCF065A" w14:textId="77777777" w:rsidR="000B0092" w:rsidRPr="00BE78CA" w:rsidRDefault="000B0092" w:rsidP="000B0092">
      <w:pPr>
        <w:pStyle w:val="Heading3"/>
      </w:pPr>
      <w:r w:rsidRPr="00BE78CA">
        <w:t xml:space="preserve">4.2.2 </w:t>
      </w:r>
      <w:r w:rsidRPr="00BE78CA">
        <w:tab/>
        <w:t>Methodological issues</w:t>
      </w:r>
    </w:p>
    <w:p w14:paraId="7433A619" w14:textId="77777777" w:rsidR="000B0092" w:rsidRPr="00BE78CA" w:rsidRDefault="000B0092" w:rsidP="000B0092">
      <w:pPr>
        <w:pStyle w:val="Heading4"/>
        <w:spacing w:before="160"/>
        <w:rPr>
          <w:bCs/>
          <w:iCs/>
        </w:rPr>
      </w:pPr>
      <w:r w:rsidRPr="00BE78CA">
        <w:t>Choice of activity data</w:t>
      </w:r>
    </w:p>
    <w:p w14:paraId="7C781393" w14:textId="77777777" w:rsidR="000B0092" w:rsidRPr="00BE78CA" w:rsidRDefault="000B0092" w:rsidP="000B0092">
      <w:pPr>
        <w:pStyle w:val="Heading5"/>
        <w:spacing w:before="160"/>
      </w:pPr>
      <w:r w:rsidRPr="00BE78CA">
        <w:t>Use of NZ ETS data</w:t>
      </w:r>
    </w:p>
    <w:p w14:paraId="2593F068" w14:textId="77777777" w:rsidR="000B0092" w:rsidRPr="00BE78CA" w:rsidRDefault="000B0092" w:rsidP="000B0092">
      <w:pPr>
        <w:pStyle w:val="BodyText"/>
      </w:pPr>
      <w:r w:rsidRPr="00BE78CA">
        <w:t>Firms that use limestone or soda ash in the production of clinker, cement, burnt or slaked lime, or glass have had emission reporting obligations under the NZ ETS since 2010. The emission returns submitted by participants in the NZ ETS are the primary source of data for CO</w:t>
      </w:r>
      <w:r w:rsidRPr="00BE78CA">
        <w:rPr>
          <w:vertAlign w:val="subscript"/>
        </w:rPr>
        <w:t>2</w:t>
      </w:r>
      <w:r w:rsidRPr="00BE78CA">
        <w:t xml:space="preserve"> emissions from these categories. </w:t>
      </w:r>
    </w:p>
    <w:p w14:paraId="377A7EF4" w14:textId="77777777" w:rsidR="000B0092" w:rsidRPr="00BE78CA" w:rsidRDefault="000B0092" w:rsidP="000B0092">
      <w:pPr>
        <w:pStyle w:val="BodyText"/>
      </w:pPr>
      <w:r w:rsidRPr="00BE78CA">
        <w:t xml:space="preserve">The Environmental Protection Authority (EPA) administers and audits the emission returns submitted by participants. Data submitted by NZ ETS participants are protected by stringent provisions relating to commercial confidentiality. However, under section 149 of the Climate Change Response Act 2002, the inventory agency may request information from the EPA for the purpose of compiling New Zealand’s annual national inventory report. </w:t>
      </w:r>
    </w:p>
    <w:p w14:paraId="716520D1" w14:textId="77777777" w:rsidR="000B0092" w:rsidRPr="00BE78CA" w:rsidRDefault="000B0092" w:rsidP="000B0092">
      <w:pPr>
        <w:pStyle w:val="BodyText"/>
      </w:pPr>
      <w:r w:rsidRPr="00BE78CA">
        <w:t xml:space="preserve">Those NZ ETS participants who apply for an allocation of emission units in any year also report the amount of product that they make in the calendar year. This encompasses production of clinker, container glass and burnt lime, including any burnt lime that is subsequently made into slaked lime (calcium hydroxide). </w:t>
      </w:r>
    </w:p>
    <w:p w14:paraId="4FA8EB62" w14:textId="77777777" w:rsidR="000B0092" w:rsidRPr="00BE78CA" w:rsidRDefault="000B0092" w:rsidP="00F7611C">
      <w:pPr>
        <w:pStyle w:val="Heading5"/>
      </w:pPr>
      <w:r w:rsidRPr="00BE78CA">
        <w:t>Cement production (2.A.1)</w:t>
      </w:r>
    </w:p>
    <w:p w14:paraId="1E5AF960" w14:textId="77777777" w:rsidR="000B0092" w:rsidRPr="00BE78CA" w:rsidRDefault="000B0092" w:rsidP="000B0092">
      <w:pPr>
        <w:pStyle w:val="BodyText"/>
      </w:pPr>
      <w:r w:rsidRPr="00BE78CA">
        <w:t xml:space="preserve">In 2019, the </w:t>
      </w:r>
      <w:r w:rsidRPr="00BE78CA">
        <w:rPr>
          <w:i/>
        </w:rPr>
        <w:t>Cement production</w:t>
      </w:r>
      <w:r w:rsidRPr="00BE78CA">
        <w:t xml:space="preserve"> category accounted for 410.9 kt CO</w:t>
      </w:r>
      <w:r w:rsidRPr="00BE78CA">
        <w:rPr>
          <w:vertAlign w:val="subscript"/>
        </w:rPr>
        <w:t>2</w:t>
      </w:r>
      <w:r w:rsidRPr="00BE78CA">
        <w:t xml:space="preserve">-e (66.5 per cent) of emissions from the </w:t>
      </w:r>
      <w:r w:rsidRPr="00BE78CA">
        <w:rPr>
          <w:i/>
        </w:rPr>
        <w:t>Mineral industry</w:t>
      </w:r>
      <w:r w:rsidRPr="00BE78CA">
        <w:t xml:space="preserve"> category. The activity data used are the amounts of clinker produced by the cement plants. Calculation of emissions from clinker production is </w:t>
      </w:r>
      <w:r w:rsidRPr="00BE78CA">
        <w:lastRenderedPageBreak/>
        <w:t xml:space="preserve">done on a plant-specific basis by the companies in preparing their ETS returns. Because historically there have been only two companies making cement in New Zealand, and now there is only one, the activity data for the </w:t>
      </w:r>
      <w:r w:rsidRPr="00BE78CA">
        <w:rPr>
          <w:i/>
        </w:rPr>
        <w:t>Cement production</w:t>
      </w:r>
      <w:r w:rsidRPr="00BE78CA">
        <w:t xml:space="preserve"> category are not reported and have been shown as confidential in the CRF tables. For the years up to 2009, activity and emissions data were supplied by the cement companies to MBIE. From 2010, the companies’ ETS returns have been used as the data source.</w:t>
      </w:r>
    </w:p>
    <w:p w14:paraId="231DAB7F" w14:textId="77777777" w:rsidR="000B0092" w:rsidRPr="00BE78CA" w:rsidRDefault="000B0092" w:rsidP="00F7611C">
      <w:pPr>
        <w:pStyle w:val="Heading5"/>
      </w:pPr>
      <w:r w:rsidRPr="00BE78CA">
        <w:t>Lime production (2.A.2)</w:t>
      </w:r>
    </w:p>
    <w:p w14:paraId="4448F5E3" w14:textId="77777777" w:rsidR="000B0092" w:rsidRPr="00BE78CA" w:rsidRDefault="000B0092" w:rsidP="000B0092">
      <w:pPr>
        <w:pStyle w:val="BodyText"/>
      </w:pPr>
      <w:r w:rsidRPr="00BE78CA">
        <w:t xml:space="preserve">In 2019, the </w:t>
      </w:r>
      <w:r w:rsidRPr="00BE78CA">
        <w:rPr>
          <w:i/>
        </w:rPr>
        <w:t>Lime production</w:t>
      </w:r>
      <w:r w:rsidRPr="00BE78CA">
        <w:t xml:space="preserve"> category accounted for 108.0 kt CO</w:t>
      </w:r>
      <w:r w:rsidRPr="00BE78CA">
        <w:rPr>
          <w:vertAlign w:val="subscript"/>
        </w:rPr>
        <w:t>2</w:t>
      </w:r>
      <w:r w:rsidRPr="00BE78CA">
        <w:t xml:space="preserve">-e (17.5 per cent) of emissions from the </w:t>
      </w:r>
      <w:r w:rsidRPr="00BE78CA">
        <w:rPr>
          <w:i/>
        </w:rPr>
        <w:t>Mineral industry</w:t>
      </w:r>
      <w:r w:rsidRPr="00BE78CA">
        <w:t xml:space="preserve"> category. The activity data used are the amounts of burnt lime or calcium oxide (CaO) produced, regardless of whether it is subsequently made into calcium hydroxide (Ca(OH)</w:t>
      </w:r>
      <w:r w:rsidRPr="00BE78CA">
        <w:rPr>
          <w:vertAlign w:val="subscript"/>
        </w:rPr>
        <w:t>2</w:t>
      </w:r>
      <w:r w:rsidRPr="00BE78CA">
        <w:t xml:space="preserve">). </w:t>
      </w:r>
    </w:p>
    <w:p w14:paraId="3E0DDBA2" w14:textId="77777777" w:rsidR="000B0092" w:rsidRPr="00BE78CA" w:rsidRDefault="000B0092" w:rsidP="000B0092">
      <w:pPr>
        <w:pStyle w:val="BodyText"/>
      </w:pPr>
      <w:r w:rsidRPr="00BE78CA">
        <w:t>Activity data and emissions data were supplied annually by the lime companies to MBIE until 2009. This included the amount of burnt lime produced each year. From 2010, lime companies have reported CO</w:t>
      </w:r>
      <w:r w:rsidRPr="00BE78CA">
        <w:rPr>
          <w:vertAlign w:val="subscript"/>
        </w:rPr>
        <w:t>2</w:t>
      </w:r>
      <w:r w:rsidRPr="00BE78CA">
        <w:t xml:space="preserve"> emissions and the amounts of pure CaO in the lime that they produce in their reporting to the NZ ETS regulator. </w:t>
      </w:r>
    </w:p>
    <w:p w14:paraId="34AFAB59" w14:textId="77777777" w:rsidR="000B0092" w:rsidRPr="00BE78CA" w:rsidRDefault="000B0092" w:rsidP="00F7611C">
      <w:pPr>
        <w:pStyle w:val="Heading5"/>
      </w:pPr>
      <w:r w:rsidRPr="00BE78CA">
        <w:t xml:space="preserve">Glass production (2.A.3) </w:t>
      </w:r>
    </w:p>
    <w:p w14:paraId="524D3279" w14:textId="77777777" w:rsidR="000B0092" w:rsidRPr="00BE78CA" w:rsidRDefault="000B0092" w:rsidP="000B0092">
      <w:pPr>
        <w:pStyle w:val="BodyText"/>
      </w:pPr>
      <w:r w:rsidRPr="00BE78CA">
        <w:t xml:space="preserve">Activity and emissions data for the </w:t>
      </w:r>
      <w:r w:rsidRPr="00BE78CA">
        <w:rPr>
          <w:i/>
        </w:rPr>
        <w:t>Glass production</w:t>
      </w:r>
      <w:r w:rsidRPr="00BE78CA">
        <w:t xml:space="preserve"> category are provided on a confidential basis by the two companies that produce glass in New Zealand and are not reported in the CRF tables (2.A.3). Emissions from the use of soda ash and limestone in glass making are reported in the </w:t>
      </w:r>
      <w:r w:rsidRPr="00BE78CA">
        <w:rPr>
          <w:i/>
        </w:rPr>
        <w:t>Other process uses of carbonates</w:t>
      </w:r>
      <w:r w:rsidRPr="00BE78CA">
        <w:t xml:space="preserve"> (CRF 2.A.4) category and are aggregated with other relatively small amounts of CO</w:t>
      </w:r>
      <w:r w:rsidRPr="00BE78CA">
        <w:rPr>
          <w:vertAlign w:val="subscript"/>
        </w:rPr>
        <w:t>2</w:t>
      </w:r>
      <w:r w:rsidRPr="00BE78CA">
        <w:t xml:space="preserve"> emissions that derive from the calcination of limestone and soda ash. </w:t>
      </w:r>
    </w:p>
    <w:p w14:paraId="76962E2F" w14:textId="77777777" w:rsidR="000B0092" w:rsidRPr="00BE78CA" w:rsidRDefault="000B0092" w:rsidP="000B0092">
      <w:pPr>
        <w:pStyle w:val="Heading5"/>
      </w:pPr>
      <w:r w:rsidRPr="00BE78CA">
        <w:t>Other process uses of carbonates (2.A.4)</w:t>
      </w:r>
    </w:p>
    <w:p w14:paraId="7A76C64B" w14:textId="77777777" w:rsidR="000B0092" w:rsidRPr="00BE78CA" w:rsidRDefault="000B0092" w:rsidP="000B0092">
      <w:pPr>
        <w:pStyle w:val="BodyText"/>
        <w:spacing w:after="80"/>
      </w:pPr>
      <w:r w:rsidRPr="00BE78CA">
        <w:t>To preserve the confid</w:t>
      </w:r>
      <w:r w:rsidRPr="00BE78CA">
        <w:rPr>
          <w:rStyle w:val="BodyTextChar"/>
        </w:rPr>
        <w:t>e</w:t>
      </w:r>
      <w:r w:rsidRPr="00BE78CA">
        <w:t xml:space="preserve">ntiality of data provided by the two glass companies (above), the data reported in the </w:t>
      </w:r>
      <w:r w:rsidRPr="00BE78CA">
        <w:rPr>
          <w:i/>
        </w:rPr>
        <w:t>Glass production</w:t>
      </w:r>
      <w:r w:rsidRPr="00BE78CA">
        <w:t xml:space="preserve"> category have been aggregated as follows and reported in the </w:t>
      </w:r>
      <w:r w:rsidRPr="00BE78CA">
        <w:rPr>
          <w:i/>
        </w:rPr>
        <w:t>Other process uses of carbonates</w:t>
      </w:r>
      <w:r w:rsidRPr="00BE78CA">
        <w:t xml:space="preserve"> category: </w:t>
      </w:r>
    </w:p>
    <w:p w14:paraId="39A229F3" w14:textId="77777777" w:rsidR="000B0092" w:rsidRPr="00BE78CA" w:rsidRDefault="000B0092" w:rsidP="000B0092">
      <w:pPr>
        <w:pStyle w:val="Bullet"/>
      </w:pPr>
      <w:r w:rsidRPr="00BE78CA">
        <w:t>emissions from a relatively small amount of soda ash used by New Zealand Aluminium Smelters Ltd at the Tiwai Point smelter are reported in CRF 2.A.4.b (</w:t>
      </w:r>
      <w:r w:rsidRPr="00BE78CA">
        <w:rPr>
          <w:i/>
        </w:rPr>
        <w:t>Other uses of soda ash</w:t>
      </w:r>
      <w:r w:rsidRPr="00BE78CA">
        <w:t>) and aggregated with the CO</w:t>
      </w:r>
      <w:r w:rsidRPr="00BE78CA">
        <w:rPr>
          <w:vertAlign w:val="subscript"/>
        </w:rPr>
        <w:t>2</w:t>
      </w:r>
      <w:r w:rsidRPr="00BE78CA">
        <w:t xml:space="preserve"> emissions from soda ash used in glass making </w:t>
      </w:r>
    </w:p>
    <w:p w14:paraId="1D302F1D" w14:textId="77777777" w:rsidR="000B0092" w:rsidRPr="00BE78CA" w:rsidRDefault="000B0092" w:rsidP="00FA2314">
      <w:pPr>
        <w:pStyle w:val="Bullet"/>
        <w:numPr>
          <w:ilvl w:val="0"/>
          <w:numId w:val="25"/>
        </w:numPr>
      </w:pPr>
      <w:r w:rsidRPr="00BE78CA">
        <w:t>emissions from a relatively small amount of limestone used by New Zealand Steel Limited are reported in CRF 2.A.4.d (</w:t>
      </w:r>
      <w:r w:rsidRPr="00BE78CA">
        <w:rPr>
          <w:i/>
        </w:rPr>
        <w:t>Other</w:t>
      </w:r>
      <w:r w:rsidRPr="00BE78CA">
        <w:t xml:space="preserve">) and aggregated with emissions from limestone used in glass making. </w:t>
      </w:r>
    </w:p>
    <w:p w14:paraId="5C8C2B39" w14:textId="77777777" w:rsidR="000B0092" w:rsidRPr="00BE78CA" w:rsidRDefault="000B0092" w:rsidP="000B0092">
      <w:pPr>
        <w:pStyle w:val="BodyText"/>
        <w:spacing w:before="100" w:after="100"/>
      </w:pPr>
      <w:r w:rsidRPr="00BE78CA">
        <w:t>The amounts of soda ash and limestone used are reported as activity data in these two tables. Also, because the limestone emissions cannot be fully disaggregated in early data provided by New Zealand Steel, an extremely small amount of CO</w:t>
      </w:r>
      <w:r w:rsidRPr="00BE78CA">
        <w:rPr>
          <w:vertAlign w:val="subscript"/>
        </w:rPr>
        <w:t>2</w:t>
      </w:r>
      <w:r w:rsidRPr="00BE78CA">
        <w:t xml:space="preserve"> from coke and electrode use at the steel plant is also included (see section 4.4.2). </w:t>
      </w:r>
    </w:p>
    <w:p w14:paraId="086312AF" w14:textId="77777777" w:rsidR="000B0092" w:rsidRPr="00BE78CA" w:rsidRDefault="000B0092" w:rsidP="000B0092">
      <w:pPr>
        <w:pStyle w:val="BodyText"/>
        <w:spacing w:before="100" w:after="100"/>
      </w:pPr>
      <w:r w:rsidRPr="00BE78CA">
        <w:t xml:space="preserve">Data on glass making for the years up to 2006 were provided by the companies and updated for the years 2007 to 2009 by survey requests from MBIE. Data on limestone and soda ash use were based on the companies’ records where available. In the case of one glass-making facility, some historical emissions data had to be estimated based only on glass production rates, because actual limestone and soda ash use was not recorded before 2006. </w:t>
      </w:r>
    </w:p>
    <w:p w14:paraId="5BD08968" w14:textId="77777777" w:rsidR="000B0092" w:rsidRPr="00BE78CA" w:rsidRDefault="000B0092" w:rsidP="000B0092">
      <w:pPr>
        <w:pStyle w:val="BodyText"/>
        <w:spacing w:before="100" w:after="100"/>
      </w:pPr>
      <w:r w:rsidRPr="00BE78CA">
        <w:t xml:space="preserve">For 2010 to 2019, the glass companies’ NZ ETS returns are used. </w:t>
      </w:r>
    </w:p>
    <w:p w14:paraId="6A343FB5" w14:textId="77777777" w:rsidR="000B0092" w:rsidRPr="00BE78CA" w:rsidRDefault="000B0092" w:rsidP="000B0092">
      <w:pPr>
        <w:pStyle w:val="BodyText"/>
      </w:pPr>
      <w:r w:rsidRPr="00BE78CA">
        <w:lastRenderedPageBreak/>
        <w:t>A very small amount of CO</w:t>
      </w:r>
      <w:r w:rsidRPr="00BE78CA">
        <w:rPr>
          <w:vertAlign w:val="subscript"/>
        </w:rPr>
        <w:t>2</w:t>
      </w:r>
      <w:r w:rsidRPr="00BE78CA">
        <w:t xml:space="preserve"> is reported from the use of kaolin clays in ceramics production (2.A.4.a). The activity data used are the approximate amount of kaolin clay produced for this purpose (Christie et al., 1999). In the absence of better data, the rate of production is assumed constant for the whole time series. Emissions from ground limestone used in liming agricultural soils are reported under the Agriculture sector. </w:t>
      </w:r>
    </w:p>
    <w:p w14:paraId="717CF64A" w14:textId="77777777" w:rsidR="000B0092" w:rsidRPr="00BE78CA" w:rsidRDefault="000B0092" w:rsidP="000B0092">
      <w:pPr>
        <w:pStyle w:val="Heading4"/>
      </w:pPr>
      <w:r w:rsidRPr="00BE78CA">
        <w:t>Choice of methods</w:t>
      </w:r>
    </w:p>
    <w:p w14:paraId="62017888" w14:textId="77777777" w:rsidR="000B0092" w:rsidRPr="00BE78CA" w:rsidRDefault="000B0092" w:rsidP="000B0092">
      <w:pPr>
        <w:pStyle w:val="BodyText"/>
      </w:pPr>
      <w:r w:rsidRPr="00BE78CA">
        <w:t xml:space="preserve">For the years up to 2009, cement emissions were calculated using the methodology specified in the </w:t>
      </w:r>
      <w:r w:rsidRPr="00BE78CA">
        <w:rPr>
          <w:i/>
        </w:rPr>
        <w:t>Cement CO</w:t>
      </w:r>
      <w:r w:rsidRPr="00BE78CA">
        <w:rPr>
          <w:i/>
          <w:vertAlign w:val="subscript"/>
        </w:rPr>
        <w:t>2</w:t>
      </w:r>
      <w:r w:rsidRPr="00BE78CA">
        <w:rPr>
          <w:i/>
        </w:rPr>
        <w:t xml:space="preserve"> Protocol</w:t>
      </w:r>
      <w:r w:rsidRPr="00BE78CA">
        <w:t xml:space="preserve"> (World Business Council for Sustainable Development, 2005), which uses plant-specific emission factors based on the CaO and magnesium oxide (MgO) content of clinker produced. This also includes an adjustment for emissions due to cement kiln dust. This calculation is consistent with the IPCC Tier 2 method (IPCC, 2006a). </w:t>
      </w:r>
    </w:p>
    <w:p w14:paraId="6D79D8CA" w14:textId="77777777" w:rsidR="000B0092" w:rsidRPr="00BE78CA" w:rsidRDefault="000B0092" w:rsidP="000B0092">
      <w:pPr>
        <w:pStyle w:val="BodyText"/>
      </w:pPr>
      <w:r w:rsidRPr="00BE78CA">
        <w:t>Emissions for lime up to 2009 were calculated using the IPCC Tier 1 method and the default emission factor of 0.75 tonnes CO</w:t>
      </w:r>
      <w:r w:rsidRPr="00BE78CA">
        <w:rPr>
          <w:vertAlign w:val="subscript"/>
        </w:rPr>
        <w:t>2</w:t>
      </w:r>
      <w:r w:rsidRPr="00BE78CA">
        <w:t xml:space="preserve"> per tonne of burnt lime produced. For glass making, the IPCC Tier 1 method and default emission factors were also used for the years up to 2009. </w:t>
      </w:r>
    </w:p>
    <w:p w14:paraId="767E9FFC" w14:textId="77777777" w:rsidR="000B0092" w:rsidRPr="00BE78CA" w:rsidRDefault="000B0092" w:rsidP="000B0092">
      <w:pPr>
        <w:pStyle w:val="BodyText"/>
      </w:pPr>
      <w:r w:rsidRPr="00BE78CA">
        <w:t xml:space="preserve">For NZ ETS reporting in the </w:t>
      </w:r>
      <w:r w:rsidRPr="00BE78CA">
        <w:rPr>
          <w:i/>
        </w:rPr>
        <w:t>Mineral industry</w:t>
      </w:r>
      <w:r w:rsidRPr="00BE78CA">
        <w:t xml:space="preserve"> category (from 2010), the methodologies used are specified in the Climate Change (Stationary Energy and Industrial Processes) Regulations 2009. These methods require firms making clinker or burnt lime to report CO</w:t>
      </w:r>
      <w:r w:rsidRPr="00BE78CA">
        <w:rPr>
          <w:vertAlign w:val="subscript"/>
        </w:rPr>
        <w:t>2</w:t>
      </w:r>
      <w:r w:rsidRPr="00BE78CA">
        <w:t xml:space="preserve"> emissions calculated from the amount of pure product made from calcination. In calculating their emissions, NZ ETS participants who make clinker or lime are required to determine and report the amounts of pure CaO and MgO in the clinker or burnt lime produced, and in kiln dust if relevant. The emissions are calculated from this chemical composition. The calculation of total emissions can be summarised as: </w:t>
      </w:r>
    </w:p>
    <w:p w14:paraId="72CC883F" w14:textId="77777777" w:rsidR="000B0092" w:rsidRPr="00BE78CA" w:rsidRDefault="000B0092" w:rsidP="000B0092">
      <w:pPr>
        <w:pStyle w:val="BodyText"/>
        <w:spacing w:before="80"/>
        <w:jc w:val="center"/>
        <w:rPr>
          <w:rFonts w:ascii="Cambria Math" w:hAnsi="Cambria Math"/>
          <w:i/>
          <w:sz w:val="24"/>
        </w:rPr>
      </w:pPr>
      <w:r w:rsidRPr="00BE78CA">
        <w:rPr>
          <w:rFonts w:ascii="Cambria Math" w:hAnsi="Cambria Math"/>
          <w:i/>
          <w:sz w:val="24"/>
        </w:rPr>
        <w:t>TE = 0.7848 × A + 1.0919 × B + 0.7848 × C</w:t>
      </w:r>
    </w:p>
    <w:p w14:paraId="2B93C2E9" w14:textId="77777777" w:rsidR="000B0092" w:rsidRPr="00BE78CA" w:rsidRDefault="000B0092" w:rsidP="00695066">
      <w:pPr>
        <w:pStyle w:val="BodyText"/>
        <w:keepNext/>
        <w:spacing w:after="20"/>
        <w:ind w:left="992" w:hanging="992"/>
      </w:pPr>
      <w:r w:rsidRPr="00BE78CA">
        <w:t xml:space="preserve">Where: </w:t>
      </w:r>
      <w:r w:rsidRPr="00BE78CA">
        <w:tab/>
        <w:t>A is the amount of CaO produced</w:t>
      </w:r>
    </w:p>
    <w:p w14:paraId="5EA93F62" w14:textId="77777777" w:rsidR="000B0092" w:rsidRPr="00BE78CA" w:rsidRDefault="000B0092" w:rsidP="00695066">
      <w:pPr>
        <w:pStyle w:val="BodyText"/>
        <w:spacing w:before="60" w:after="20"/>
        <w:ind w:left="992" w:firstLine="1"/>
      </w:pPr>
      <w:r w:rsidRPr="00BE78CA">
        <w:t>B is the amount of MgO produced</w:t>
      </w:r>
    </w:p>
    <w:p w14:paraId="1DF16B2B" w14:textId="77777777" w:rsidR="000B0092" w:rsidRPr="00BE78CA" w:rsidRDefault="000B0092" w:rsidP="000B0092">
      <w:pPr>
        <w:pStyle w:val="BodyText"/>
        <w:spacing w:before="80"/>
        <w:ind w:left="992" w:firstLine="1"/>
      </w:pPr>
      <w:r w:rsidRPr="00BE78CA">
        <w:t>C is the amount of kiln dust produced.</w:t>
      </w:r>
    </w:p>
    <w:p w14:paraId="51A91EEC" w14:textId="77777777" w:rsidR="000B0092" w:rsidRPr="00BE78CA" w:rsidRDefault="000B0092" w:rsidP="000B0092">
      <w:pPr>
        <w:pStyle w:val="BodyText"/>
      </w:pPr>
      <w:r w:rsidRPr="00BE78CA">
        <w:t xml:space="preserve">Similarly, based on the Climate Change (Stationary Energy and Industrial Processes) Regulations 2009, NZ ETS participants who make glass report the amounts of pure limestone, dolomite and soda ash that they use in the process. This is consistent with the Tier 3 methods in volume 3, Industrial Processes and Product Use, of the IPCC Guidelines (IPCC, 2006a) but is described as country specific in the CRF because of a minor discrepancy: NZ ETS participants are not required to report separately very small amounts of kiln dust or MgO. </w:t>
      </w:r>
    </w:p>
    <w:p w14:paraId="60141674" w14:textId="77777777" w:rsidR="000B0092" w:rsidRPr="00BE78CA" w:rsidRDefault="000B0092" w:rsidP="000B0092">
      <w:pPr>
        <w:pStyle w:val="BodyText"/>
      </w:pPr>
      <w:r w:rsidRPr="00BE78CA">
        <w:t xml:space="preserve">NZ ETS participants in this category are not required to report annually on the specific methods that they have used to determine the amounts of pure CaO, MgO and other compounds that they report in their NZ ETS returns. They are required to keep this information available and it is verified periodically by the NZ ETS regulator. </w:t>
      </w:r>
    </w:p>
    <w:p w14:paraId="7DAE4E5B" w14:textId="77777777" w:rsidR="000B0092" w:rsidRPr="00BE78CA" w:rsidRDefault="000B0092" w:rsidP="000B0092">
      <w:pPr>
        <w:pStyle w:val="BodyText"/>
      </w:pPr>
      <w:r w:rsidRPr="00BE78CA">
        <w:t>All other emissions use Tier 1 methods. This includes the small amount of SO</w:t>
      </w:r>
      <w:r w:rsidRPr="00BE78CA">
        <w:rPr>
          <w:vertAlign w:val="subscript"/>
        </w:rPr>
        <w:t>2</w:t>
      </w:r>
      <w:r w:rsidRPr="00BE78CA">
        <w:t xml:space="preserve"> emissions reported for cement production. Emissions of SO</w:t>
      </w:r>
      <w:r w:rsidRPr="00BE78CA">
        <w:rPr>
          <w:vertAlign w:val="subscript"/>
        </w:rPr>
        <w:t>2</w:t>
      </w:r>
      <w:r w:rsidRPr="00BE78CA">
        <w:t xml:space="preserve"> from lime production were also estimated in 2006 (CRL Energy, </w:t>
      </w:r>
      <w:r w:rsidRPr="00BE78CA">
        <w:rPr>
          <w:rFonts w:eastAsia="+mn-ea"/>
        </w:rPr>
        <w:t>unpublished(a)</w:t>
      </w:r>
      <w:r w:rsidRPr="00BE78CA">
        <w:t>). These used a country-specific emission factor of 0.5 kilograms SO</w:t>
      </w:r>
      <w:r w:rsidRPr="00BE78CA">
        <w:rPr>
          <w:vertAlign w:val="subscript"/>
        </w:rPr>
        <w:t>2</w:t>
      </w:r>
      <w:r w:rsidRPr="00BE78CA">
        <w:t xml:space="preserve"> per tonne of burnt lime produced, derived from plant measurements carried out in earlier years. There is no provision in the CRF to report these emissions, however. </w:t>
      </w:r>
    </w:p>
    <w:p w14:paraId="230100AE" w14:textId="77777777" w:rsidR="000B0092" w:rsidRPr="00BE78CA" w:rsidRDefault="000B0092" w:rsidP="000B0092">
      <w:pPr>
        <w:pStyle w:val="Heading4"/>
        <w:rPr>
          <w:bCs/>
          <w:iCs/>
        </w:rPr>
      </w:pPr>
      <w:r w:rsidRPr="00BE78CA">
        <w:lastRenderedPageBreak/>
        <w:t>Choice of emission factors</w:t>
      </w:r>
    </w:p>
    <w:p w14:paraId="7883E45B" w14:textId="77777777" w:rsidR="000B0092" w:rsidRPr="00BE78CA" w:rsidRDefault="000B0092" w:rsidP="000B0092">
      <w:pPr>
        <w:pStyle w:val="BodyText"/>
      </w:pPr>
      <w:r w:rsidRPr="00BE78CA">
        <w:t xml:space="preserve">All calculations made for NZ ETS reporting and used in the </w:t>
      </w:r>
      <w:r w:rsidRPr="00BE78CA">
        <w:rPr>
          <w:i/>
        </w:rPr>
        <w:t>Mineral industry</w:t>
      </w:r>
      <w:r w:rsidRPr="00BE78CA">
        <w:t xml:space="preserve"> category are based on plant-specific analysis. </w:t>
      </w:r>
    </w:p>
    <w:p w14:paraId="76DC6C65" w14:textId="77777777" w:rsidR="000B0092" w:rsidRPr="00BE78CA" w:rsidRDefault="000B0092" w:rsidP="000B0092">
      <w:pPr>
        <w:pStyle w:val="BodyText"/>
      </w:pPr>
      <w:r w:rsidRPr="00BE78CA">
        <w:t>The small amounts of SO</w:t>
      </w:r>
      <w:r w:rsidRPr="00BE78CA">
        <w:rPr>
          <w:vertAlign w:val="subscript"/>
        </w:rPr>
        <w:t>2</w:t>
      </w:r>
      <w:r w:rsidRPr="00BE78CA">
        <w:t xml:space="preserve"> emitted in the </w:t>
      </w:r>
      <w:r w:rsidRPr="00BE78CA">
        <w:rPr>
          <w:i/>
        </w:rPr>
        <w:t>Cement production</w:t>
      </w:r>
      <w:r w:rsidRPr="00BE78CA">
        <w:t xml:space="preserve"> category are estimated using plant-specific emission factors taken from mass balance data derived for the two cement plants in 2002 and 2005 (CRL Energy, </w:t>
      </w:r>
      <w:r w:rsidRPr="00BE78CA">
        <w:rPr>
          <w:rFonts w:eastAsia="+mn-ea"/>
        </w:rPr>
        <w:t>unpublished(a)</w:t>
      </w:r>
      <w:r w:rsidRPr="00BE78CA">
        <w:t xml:space="preserve">). </w:t>
      </w:r>
    </w:p>
    <w:p w14:paraId="013749EB" w14:textId="77777777" w:rsidR="000B0092" w:rsidRPr="00BE78CA" w:rsidRDefault="000B0092" w:rsidP="000B0092">
      <w:pPr>
        <w:pStyle w:val="BodyText"/>
      </w:pPr>
      <w:r w:rsidRPr="00BE78CA">
        <w:t>For the very small emissions of CO</w:t>
      </w:r>
      <w:r w:rsidRPr="00BE78CA">
        <w:rPr>
          <w:vertAlign w:val="subscript"/>
        </w:rPr>
        <w:t>2</w:t>
      </w:r>
      <w:r w:rsidRPr="00BE78CA">
        <w:t xml:space="preserve"> from the </w:t>
      </w:r>
      <w:r w:rsidRPr="00BE78CA">
        <w:rPr>
          <w:i/>
        </w:rPr>
        <w:t>Ceramics</w:t>
      </w:r>
      <w:r w:rsidRPr="00BE78CA">
        <w:t xml:space="preserve"> (2.A.4.a) category, a country-specific emission factor of 0.1 per cent of carbonates (as equivalent calcium carbonate) in local kaolin clay is used. </w:t>
      </w:r>
    </w:p>
    <w:p w14:paraId="411B6D26" w14:textId="77777777" w:rsidR="000B0092" w:rsidRPr="00BE78CA" w:rsidRDefault="000B0092" w:rsidP="000B0092">
      <w:pPr>
        <w:pStyle w:val="BodyText"/>
      </w:pPr>
      <w:r w:rsidRPr="00BE78CA">
        <w:t xml:space="preserve">Other emission factors used are IPCC defaults. </w:t>
      </w:r>
    </w:p>
    <w:p w14:paraId="54372E29" w14:textId="77777777" w:rsidR="000B0092" w:rsidRPr="00BE78CA" w:rsidRDefault="000B0092" w:rsidP="000B0092">
      <w:pPr>
        <w:pStyle w:val="Heading3"/>
      </w:pPr>
      <w:r w:rsidRPr="00BE78CA">
        <w:t xml:space="preserve">4.2.3 </w:t>
      </w:r>
      <w:r w:rsidRPr="00BE78CA">
        <w:tab/>
        <w:t>Uncertainties and time-series consistency</w:t>
      </w:r>
    </w:p>
    <w:p w14:paraId="63F2BAA7" w14:textId="77777777" w:rsidR="000B0092" w:rsidRPr="00BE78CA" w:rsidRDefault="000B0092" w:rsidP="000B0092">
      <w:pPr>
        <w:pStyle w:val="Heading4"/>
        <w:rPr>
          <w:bCs/>
          <w:iCs/>
        </w:rPr>
      </w:pPr>
      <w:r w:rsidRPr="00BE78CA">
        <w:t>Uncertainties</w:t>
      </w:r>
    </w:p>
    <w:p w14:paraId="71EF77C0" w14:textId="77777777" w:rsidR="000B0092" w:rsidRPr="00BE78CA" w:rsidRDefault="000B0092" w:rsidP="000B0092">
      <w:pPr>
        <w:pStyle w:val="BodyText"/>
      </w:pPr>
      <w:r w:rsidRPr="00BE78CA">
        <w:t>IPCC default uncertainties have been used for all CO</w:t>
      </w:r>
      <w:r w:rsidRPr="00BE78CA">
        <w:rPr>
          <w:vertAlign w:val="subscript"/>
        </w:rPr>
        <w:t>2</w:t>
      </w:r>
      <w:r w:rsidRPr="00BE78CA">
        <w:t xml:space="preserve"> emissions from the </w:t>
      </w:r>
      <w:r w:rsidRPr="00BE78CA">
        <w:rPr>
          <w:i/>
        </w:rPr>
        <w:t>Mineral industry</w:t>
      </w:r>
      <w:r w:rsidRPr="00BE78CA">
        <w:t xml:space="preserve"> category (see table 4.2.1), except ceramics for which there is substantial uncertainty in the activity data and in the composition of clay. Cement kiln dust is not relevant for 2019 because the cement plant now operating reports no significant kiln dust produced. For SO</w:t>
      </w:r>
      <w:r w:rsidRPr="00BE78CA">
        <w:rPr>
          <w:vertAlign w:val="subscript"/>
        </w:rPr>
        <w:t>2</w:t>
      </w:r>
      <w:r w:rsidRPr="00BE78CA">
        <w:t xml:space="preserve"> emissions in the </w:t>
      </w:r>
      <w:r w:rsidRPr="00BE78CA">
        <w:rPr>
          <w:i/>
        </w:rPr>
        <w:t>Cement production</w:t>
      </w:r>
      <w:r w:rsidRPr="00BE78CA">
        <w:t xml:space="preserve"> category, an uncertainty of ±40 per cent was estimated based on the variance between surveys when these emissions were determined (CRL Energy, </w:t>
      </w:r>
      <w:r w:rsidRPr="00BE78CA">
        <w:rPr>
          <w:rFonts w:eastAsia="+mn-ea"/>
        </w:rPr>
        <w:t>unpublished(a)</w:t>
      </w:r>
      <w:r w:rsidRPr="00BE78CA">
        <w:t xml:space="preserve">). </w:t>
      </w:r>
    </w:p>
    <w:p w14:paraId="0AD1EDD9" w14:textId="77777777" w:rsidR="000B0092" w:rsidRPr="00BE78CA" w:rsidRDefault="000B0092" w:rsidP="000B0092">
      <w:pPr>
        <w:pStyle w:val="Table"/>
      </w:pPr>
      <w:bookmarkStart w:id="414" w:name="_Toc451176067"/>
      <w:bookmarkStart w:id="415" w:name="_Toc414531404"/>
      <w:bookmarkStart w:id="416" w:name="_Toc5269457"/>
      <w:bookmarkStart w:id="417" w:name="_Toc36224530"/>
      <w:bookmarkStart w:id="418" w:name="_Toc68786417"/>
      <w:r w:rsidRPr="00BE78CA">
        <w:t>Table 4.2.1</w:t>
      </w:r>
      <w:r w:rsidRPr="00BE78CA">
        <w:tab/>
        <w:t>Uncertainty in emissions from mineral products</w:t>
      </w:r>
      <w:bookmarkEnd w:id="414"/>
      <w:bookmarkEnd w:id="415"/>
      <w:bookmarkEnd w:id="416"/>
      <w:bookmarkEnd w:id="417"/>
      <w:bookmarkEnd w:id="418"/>
    </w:p>
    <w:tbl>
      <w:tblPr>
        <w:tblW w:w="8505" w:type="dxa"/>
        <w:tblBorders>
          <w:top w:val="single" w:sz="6" w:space="0" w:color="365F91"/>
          <w:bottom w:val="single" w:sz="6" w:space="0" w:color="365F91"/>
          <w:insideH w:val="single" w:sz="6" w:space="0" w:color="365F91"/>
        </w:tblBorders>
        <w:tblLook w:val="04A0" w:firstRow="1" w:lastRow="0" w:firstColumn="1" w:lastColumn="0" w:noHBand="0" w:noVBand="1"/>
      </w:tblPr>
      <w:tblGrid>
        <w:gridCol w:w="2675"/>
        <w:gridCol w:w="2817"/>
        <w:gridCol w:w="3013"/>
      </w:tblGrid>
      <w:tr w:rsidR="000B0092" w:rsidRPr="00BE78CA" w14:paraId="5272BACF" w14:textId="77777777" w:rsidTr="00836FE6">
        <w:trPr>
          <w:tblHeader/>
        </w:trPr>
        <w:tc>
          <w:tcPr>
            <w:tcW w:w="2694" w:type="dxa"/>
            <w:tcBorders>
              <w:top w:val="single" w:sz="4" w:space="0" w:color="365F91"/>
              <w:left w:val="nil"/>
              <w:bottom w:val="single" w:sz="4" w:space="0" w:color="365F91"/>
              <w:right w:val="nil"/>
            </w:tcBorders>
            <w:shd w:val="clear" w:color="auto" w:fill="365F91"/>
            <w:hideMark/>
          </w:tcPr>
          <w:p w14:paraId="329E634B" w14:textId="77777777" w:rsidR="000B0092" w:rsidRPr="00BE78CA" w:rsidRDefault="000B0092" w:rsidP="00836FE6">
            <w:pPr>
              <w:pStyle w:val="TableTextBold"/>
              <w:keepNext/>
              <w:rPr>
                <w:noProof w:val="0"/>
                <w:color w:val="FFFFFF"/>
              </w:rPr>
            </w:pPr>
            <w:r w:rsidRPr="00BE78CA">
              <w:rPr>
                <w:noProof w:val="0"/>
                <w:color w:val="FFFFFF"/>
              </w:rPr>
              <w:t>Mineral product</w:t>
            </w:r>
          </w:p>
        </w:tc>
        <w:tc>
          <w:tcPr>
            <w:tcW w:w="2835" w:type="dxa"/>
            <w:tcBorders>
              <w:top w:val="single" w:sz="4" w:space="0" w:color="365F91"/>
              <w:left w:val="nil"/>
              <w:bottom w:val="single" w:sz="4" w:space="0" w:color="365F91"/>
              <w:right w:val="nil"/>
            </w:tcBorders>
            <w:shd w:val="clear" w:color="auto" w:fill="365F91"/>
            <w:hideMark/>
          </w:tcPr>
          <w:p w14:paraId="0153F656" w14:textId="77777777" w:rsidR="000B0092" w:rsidRPr="00BE78CA" w:rsidRDefault="000B0092" w:rsidP="00836FE6">
            <w:pPr>
              <w:pStyle w:val="TableTextBold"/>
              <w:rPr>
                <w:noProof w:val="0"/>
                <w:color w:val="FFFFFF"/>
              </w:rPr>
            </w:pPr>
            <w:r w:rsidRPr="00BE78CA">
              <w:rPr>
                <w:noProof w:val="0"/>
                <w:color w:val="FFFFFF"/>
              </w:rPr>
              <w:t>Uncertainty in activity data (%)</w:t>
            </w:r>
          </w:p>
        </w:tc>
        <w:tc>
          <w:tcPr>
            <w:tcW w:w="3033" w:type="dxa"/>
            <w:tcBorders>
              <w:top w:val="single" w:sz="4" w:space="0" w:color="365F91"/>
              <w:left w:val="nil"/>
              <w:bottom w:val="single" w:sz="4" w:space="0" w:color="365F91"/>
              <w:right w:val="nil"/>
            </w:tcBorders>
            <w:shd w:val="clear" w:color="auto" w:fill="365F91"/>
            <w:hideMark/>
          </w:tcPr>
          <w:p w14:paraId="0D1DFCAA" w14:textId="77777777" w:rsidR="000B0092" w:rsidRPr="00BE78CA" w:rsidRDefault="000B0092" w:rsidP="00836FE6">
            <w:pPr>
              <w:pStyle w:val="TableTextBold"/>
              <w:rPr>
                <w:noProof w:val="0"/>
                <w:color w:val="FFFFFF"/>
              </w:rPr>
            </w:pPr>
            <w:r w:rsidRPr="00BE78CA">
              <w:rPr>
                <w:noProof w:val="0"/>
                <w:color w:val="FFFFFF"/>
              </w:rPr>
              <w:t>Uncertainty in emission factors (%)</w:t>
            </w:r>
          </w:p>
        </w:tc>
      </w:tr>
      <w:tr w:rsidR="000B0092" w:rsidRPr="00BE78CA" w14:paraId="7A9BA37F" w14:textId="77777777" w:rsidTr="00836FE6">
        <w:tc>
          <w:tcPr>
            <w:tcW w:w="2694" w:type="dxa"/>
            <w:tcBorders>
              <w:top w:val="single" w:sz="4" w:space="0" w:color="365F91"/>
              <w:left w:val="nil"/>
              <w:bottom w:val="single" w:sz="6" w:space="0" w:color="365F91"/>
              <w:right w:val="nil"/>
            </w:tcBorders>
            <w:shd w:val="clear" w:color="auto" w:fill="FFFFFF"/>
            <w:hideMark/>
          </w:tcPr>
          <w:p w14:paraId="16756D42" w14:textId="77777777" w:rsidR="000B0092" w:rsidRPr="00BE78CA" w:rsidRDefault="000B0092" w:rsidP="00836FE6">
            <w:pPr>
              <w:pStyle w:val="TableText"/>
              <w:keepNext/>
            </w:pPr>
            <w:r w:rsidRPr="00BE78CA">
              <w:t>Cement (CO</w:t>
            </w:r>
            <w:r w:rsidRPr="00BE78CA">
              <w:rPr>
                <w:vertAlign w:val="subscript"/>
              </w:rPr>
              <w:t>2</w:t>
            </w:r>
            <w:r w:rsidRPr="00BE78CA">
              <w:t>)</w:t>
            </w:r>
          </w:p>
        </w:tc>
        <w:tc>
          <w:tcPr>
            <w:tcW w:w="2835" w:type="dxa"/>
            <w:tcBorders>
              <w:top w:val="single" w:sz="4" w:space="0" w:color="365F91"/>
              <w:left w:val="nil"/>
              <w:bottom w:val="single" w:sz="6" w:space="0" w:color="365F91"/>
              <w:right w:val="nil"/>
            </w:tcBorders>
            <w:shd w:val="clear" w:color="auto" w:fill="FFFFFF"/>
            <w:hideMark/>
          </w:tcPr>
          <w:p w14:paraId="31ED34E0" w14:textId="77777777" w:rsidR="000B0092" w:rsidRPr="00BE78CA" w:rsidRDefault="000B0092" w:rsidP="00836FE6">
            <w:pPr>
              <w:pStyle w:val="TableText"/>
            </w:pPr>
            <w:r w:rsidRPr="00BE78CA">
              <w:t>±1</w:t>
            </w:r>
          </w:p>
        </w:tc>
        <w:tc>
          <w:tcPr>
            <w:tcW w:w="3033" w:type="dxa"/>
            <w:tcBorders>
              <w:top w:val="single" w:sz="4" w:space="0" w:color="365F91"/>
              <w:left w:val="nil"/>
              <w:bottom w:val="single" w:sz="6" w:space="0" w:color="365F91"/>
              <w:right w:val="nil"/>
            </w:tcBorders>
            <w:shd w:val="clear" w:color="auto" w:fill="FFFFFF"/>
            <w:hideMark/>
          </w:tcPr>
          <w:p w14:paraId="74123C2E" w14:textId="77777777" w:rsidR="000B0092" w:rsidRPr="00BE78CA" w:rsidRDefault="000B0092" w:rsidP="00836FE6">
            <w:pPr>
              <w:pStyle w:val="TableText"/>
            </w:pPr>
            <w:r w:rsidRPr="00BE78CA">
              <w:t>±1</w:t>
            </w:r>
          </w:p>
        </w:tc>
      </w:tr>
      <w:tr w:rsidR="000B0092" w:rsidRPr="00BE78CA" w14:paraId="2BADB694" w14:textId="77777777" w:rsidTr="00836FE6">
        <w:tc>
          <w:tcPr>
            <w:tcW w:w="2694" w:type="dxa"/>
            <w:tcBorders>
              <w:top w:val="single" w:sz="6" w:space="0" w:color="365F91"/>
              <w:left w:val="nil"/>
              <w:bottom w:val="single" w:sz="6" w:space="0" w:color="365F91"/>
              <w:right w:val="nil"/>
            </w:tcBorders>
            <w:shd w:val="clear" w:color="auto" w:fill="FFFFFF"/>
            <w:hideMark/>
          </w:tcPr>
          <w:p w14:paraId="3FDC49D4" w14:textId="77777777" w:rsidR="000B0092" w:rsidRPr="00BE78CA" w:rsidRDefault="000B0092" w:rsidP="00836FE6">
            <w:pPr>
              <w:pStyle w:val="TableText"/>
            </w:pPr>
            <w:r w:rsidRPr="00BE78CA">
              <w:t>Cement kiln dust (CO</w:t>
            </w:r>
            <w:r w:rsidRPr="00BE78CA">
              <w:rPr>
                <w:vertAlign w:val="subscript"/>
              </w:rPr>
              <w:t>2</w:t>
            </w:r>
            <w:r w:rsidRPr="00BE78CA">
              <w:t>)</w:t>
            </w:r>
          </w:p>
        </w:tc>
        <w:tc>
          <w:tcPr>
            <w:tcW w:w="2835" w:type="dxa"/>
            <w:tcBorders>
              <w:top w:val="single" w:sz="6" w:space="0" w:color="365F91"/>
              <w:left w:val="nil"/>
              <w:bottom w:val="single" w:sz="6" w:space="0" w:color="365F91"/>
              <w:right w:val="nil"/>
            </w:tcBorders>
            <w:shd w:val="clear" w:color="auto" w:fill="FFFFFF"/>
            <w:hideMark/>
          </w:tcPr>
          <w:p w14:paraId="01092C40" w14:textId="77777777" w:rsidR="000B0092" w:rsidRPr="00BE78CA" w:rsidRDefault="000B0092" w:rsidP="00836FE6">
            <w:pPr>
              <w:pStyle w:val="TableText"/>
            </w:pPr>
            <w:r w:rsidRPr="00BE78CA">
              <w:t>±1</w:t>
            </w:r>
          </w:p>
        </w:tc>
        <w:tc>
          <w:tcPr>
            <w:tcW w:w="3033" w:type="dxa"/>
            <w:tcBorders>
              <w:top w:val="single" w:sz="6" w:space="0" w:color="365F91"/>
              <w:left w:val="nil"/>
              <w:bottom w:val="single" w:sz="6" w:space="0" w:color="365F91"/>
              <w:right w:val="nil"/>
            </w:tcBorders>
            <w:shd w:val="clear" w:color="auto" w:fill="FFFFFF"/>
            <w:hideMark/>
          </w:tcPr>
          <w:p w14:paraId="57F34BBF" w14:textId="77777777" w:rsidR="000B0092" w:rsidRPr="00BE78CA" w:rsidRDefault="000B0092" w:rsidP="00836FE6">
            <w:pPr>
              <w:pStyle w:val="TableText"/>
            </w:pPr>
            <w:r w:rsidRPr="00BE78CA">
              <w:t>±5</w:t>
            </w:r>
          </w:p>
        </w:tc>
      </w:tr>
      <w:tr w:rsidR="000B0092" w:rsidRPr="00BE78CA" w14:paraId="29507908" w14:textId="77777777" w:rsidTr="00836FE6">
        <w:tc>
          <w:tcPr>
            <w:tcW w:w="2694" w:type="dxa"/>
            <w:tcBorders>
              <w:top w:val="single" w:sz="6" w:space="0" w:color="365F91"/>
              <w:left w:val="nil"/>
              <w:bottom w:val="single" w:sz="6" w:space="0" w:color="365F91"/>
              <w:right w:val="nil"/>
            </w:tcBorders>
            <w:shd w:val="clear" w:color="auto" w:fill="FFFFFF"/>
            <w:hideMark/>
          </w:tcPr>
          <w:p w14:paraId="4242290D" w14:textId="77777777" w:rsidR="000B0092" w:rsidRPr="00BE78CA" w:rsidRDefault="000B0092" w:rsidP="00836FE6">
            <w:pPr>
              <w:pStyle w:val="TableText"/>
            </w:pPr>
            <w:r w:rsidRPr="00BE78CA">
              <w:t>Cement (SO</w:t>
            </w:r>
            <w:r w:rsidRPr="00BE78CA">
              <w:rPr>
                <w:vertAlign w:val="subscript"/>
              </w:rPr>
              <w:t>2</w:t>
            </w:r>
            <w:r w:rsidRPr="00BE78CA">
              <w:t>)</w:t>
            </w:r>
          </w:p>
        </w:tc>
        <w:tc>
          <w:tcPr>
            <w:tcW w:w="2835" w:type="dxa"/>
            <w:tcBorders>
              <w:top w:val="single" w:sz="6" w:space="0" w:color="365F91"/>
              <w:left w:val="nil"/>
              <w:bottom w:val="single" w:sz="6" w:space="0" w:color="365F91"/>
              <w:right w:val="nil"/>
            </w:tcBorders>
            <w:shd w:val="clear" w:color="auto" w:fill="FFFFFF"/>
            <w:hideMark/>
          </w:tcPr>
          <w:p w14:paraId="7F2DB707" w14:textId="77777777" w:rsidR="000B0092" w:rsidRPr="00BE78CA" w:rsidRDefault="000B0092" w:rsidP="00836FE6">
            <w:pPr>
              <w:pStyle w:val="TableText"/>
            </w:pPr>
            <w:r w:rsidRPr="00BE78CA">
              <w:t>±1</w:t>
            </w:r>
          </w:p>
        </w:tc>
        <w:tc>
          <w:tcPr>
            <w:tcW w:w="3033" w:type="dxa"/>
            <w:tcBorders>
              <w:top w:val="single" w:sz="6" w:space="0" w:color="365F91"/>
              <w:left w:val="nil"/>
              <w:bottom w:val="single" w:sz="6" w:space="0" w:color="365F91"/>
              <w:right w:val="nil"/>
            </w:tcBorders>
            <w:shd w:val="clear" w:color="auto" w:fill="FFFFFF"/>
            <w:hideMark/>
          </w:tcPr>
          <w:p w14:paraId="17D3898C" w14:textId="77777777" w:rsidR="000B0092" w:rsidRPr="00BE78CA" w:rsidRDefault="000B0092" w:rsidP="00836FE6">
            <w:pPr>
              <w:pStyle w:val="TableText"/>
            </w:pPr>
            <w:r w:rsidRPr="00BE78CA">
              <w:t>±40</w:t>
            </w:r>
          </w:p>
        </w:tc>
      </w:tr>
      <w:tr w:rsidR="000B0092" w:rsidRPr="00BE78CA" w14:paraId="56EA01F4" w14:textId="77777777" w:rsidTr="00836FE6">
        <w:tc>
          <w:tcPr>
            <w:tcW w:w="2694" w:type="dxa"/>
            <w:tcBorders>
              <w:top w:val="single" w:sz="6" w:space="0" w:color="365F91"/>
              <w:left w:val="nil"/>
              <w:bottom w:val="single" w:sz="6" w:space="0" w:color="365F91"/>
              <w:right w:val="nil"/>
            </w:tcBorders>
            <w:shd w:val="clear" w:color="auto" w:fill="FFFFFF"/>
            <w:hideMark/>
          </w:tcPr>
          <w:p w14:paraId="0F3FF217" w14:textId="77777777" w:rsidR="000B0092" w:rsidRPr="00BE78CA" w:rsidRDefault="000B0092" w:rsidP="00836FE6">
            <w:pPr>
              <w:pStyle w:val="TableText"/>
            </w:pPr>
            <w:r w:rsidRPr="00BE78CA">
              <w:t>Lime (CO</w:t>
            </w:r>
            <w:r w:rsidRPr="00BE78CA">
              <w:rPr>
                <w:vertAlign w:val="subscript"/>
              </w:rPr>
              <w:t>2</w:t>
            </w:r>
            <w:r w:rsidRPr="00BE78CA">
              <w:t>)</w:t>
            </w:r>
          </w:p>
        </w:tc>
        <w:tc>
          <w:tcPr>
            <w:tcW w:w="2835" w:type="dxa"/>
            <w:tcBorders>
              <w:top w:val="single" w:sz="6" w:space="0" w:color="365F91"/>
              <w:left w:val="nil"/>
              <w:bottom w:val="single" w:sz="6" w:space="0" w:color="365F91"/>
              <w:right w:val="nil"/>
            </w:tcBorders>
            <w:shd w:val="clear" w:color="auto" w:fill="FFFFFF"/>
            <w:hideMark/>
          </w:tcPr>
          <w:p w14:paraId="23370917" w14:textId="77777777" w:rsidR="000B0092" w:rsidRPr="00BE78CA" w:rsidRDefault="000B0092" w:rsidP="00836FE6">
            <w:pPr>
              <w:pStyle w:val="TableText"/>
            </w:pPr>
            <w:r w:rsidRPr="00BE78CA">
              <w:t>±2</w:t>
            </w:r>
          </w:p>
        </w:tc>
        <w:tc>
          <w:tcPr>
            <w:tcW w:w="3033" w:type="dxa"/>
            <w:tcBorders>
              <w:top w:val="single" w:sz="6" w:space="0" w:color="365F91"/>
              <w:left w:val="nil"/>
              <w:bottom w:val="single" w:sz="6" w:space="0" w:color="365F91"/>
              <w:right w:val="nil"/>
            </w:tcBorders>
            <w:shd w:val="clear" w:color="auto" w:fill="FFFFFF"/>
            <w:hideMark/>
          </w:tcPr>
          <w:p w14:paraId="11647BB1" w14:textId="77777777" w:rsidR="000B0092" w:rsidRPr="00BE78CA" w:rsidRDefault="000B0092" w:rsidP="00836FE6">
            <w:pPr>
              <w:pStyle w:val="TableText"/>
            </w:pPr>
            <w:r w:rsidRPr="00BE78CA">
              <w:t>±2</w:t>
            </w:r>
          </w:p>
        </w:tc>
      </w:tr>
      <w:tr w:rsidR="000B0092" w:rsidRPr="00BE78CA" w14:paraId="096E1626" w14:textId="77777777" w:rsidTr="00836FE6">
        <w:tc>
          <w:tcPr>
            <w:tcW w:w="2694" w:type="dxa"/>
            <w:tcBorders>
              <w:top w:val="single" w:sz="6" w:space="0" w:color="365F91"/>
              <w:left w:val="nil"/>
              <w:bottom w:val="single" w:sz="6" w:space="0" w:color="365F91"/>
              <w:right w:val="nil"/>
            </w:tcBorders>
            <w:shd w:val="clear" w:color="auto" w:fill="FFFFFF"/>
            <w:hideMark/>
          </w:tcPr>
          <w:p w14:paraId="6A59C082" w14:textId="77777777" w:rsidR="000B0092" w:rsidRPr="00BE78CA" w:rsidRDefault="000B0092" w:rsidP="00836FE6">
            <w:pPr>
              <w:pStyle w:val="TableText"/>
            </w:pPr>
            <w:r w:rsidRPr="00BE78CA">
              <w:t>Glass (SO</w:t>
            </w:r>
            <w:r w:rsidRPr="00BE78CA">
              <w:rPr>
                <w:vertAlign w:val="subscript"/>
              </w:rPr>
              <w:t>2</w:t>
            </w:r>
            <w:r w:rsidRPr="00BE78CA">
              <w:t>)</w:t>
            </w:r>
          </w:p>
        </w:tc>
        <w:tc>
          <w:tcPr>
            <w:tcW w:w="2835" w:type="dxa"/>
            <w:tcBorders>
              <w:top w:val="single" w:sz="6" w:space="0" w:color="365F91"/>
              <w:left w:val="nil"/>
              <w:bottom w:val="single" w:sz="6" w:space="0" w:color="365F91"/>
              <w:right w:val="nil"/>
            </w:tcBorders>
            <w:shd w:val="clear" w:color="auto" w:fill="FFFFFF"/>
            <w:hideMark/>
          </w:tcPr>
          <w:p w14:paraId="103B3763" w14:textId="77777777" w:rsidR="000B0092" w:rsidRPr="00BE78CA" w:rsidRDefault="000B0092" w:rsidP="00836FE6">
            <w:pPr>
              <w:pStyle w:val="TableText"/>
            </w:pPr>
            <w:r w:rsidRPr="00BE78CA">
              <w:t>±5</w:t>
            </w:r>
          </w:p>
        </w:tc>
        <w:tc>
          <w:tcPr>
            <w:tcW w:w="3033" w:type="dxa"/>
            <w:tcBorders>
              <w:top w:val="single" w:sz="6" w:space="0" w:color="365F91"/>
              <w:left w:val="nil"/>
              <w:bottom w:val="single" w:sz="6" w:space="0" w:color="365F91"/>
              <w:right w:val="nil"/>
            </w:tcBorders>
            <w:shd w:val="clear" w:color="auto" w:fill="FFFFFF"/>
            <w:hideMark/>
          </w:tcPr>
          <w:p w14:paraId="4AC8839E" w14:textId="77777777" w:rsidR="000B0092" w:rsidRPr="00BE78CA" w:rsidRDefault="000B0092" w:rsidP="00836FE6">
            <w:pPr>
              <w:pStyle w:val="TableText"/>
            </w:pPr>
            <w:r w:rsidRPr="00BE78CA">
              <w:t>±10</w:t>
            </w:r>
          </w:p>
        </w:tc>
      </w:tr>
      <w:tr w:rsidR="000B0092" w:rsidRPr="00BE78CA" w14:paraId="73AAADA5" w14:textId="77777777" w:rsidTr="00836FE6">
        <w:tc>
          <w:tcPr>
            <w:tcW w:w="2694" w:type="dxa"/>
            <w:tcBorders>
              <w:top w:val="single" w:sz="6" w:space="0" w:color="365F91"/>
              <w:left w:val="nil"/>
              <w:bottom w:val="single" w:sz="6" w:space="0" w:color="365F91"/>
              <w:right w:val="nil"/>
            </w:tcBorders>
            <w:shd w:val="clear" w:color="auto" w:fill="FFFFFF"/>
            <w:hideMark/>
          </w:tcPr>
          <w:p w14:paraId="5F5469CC" w14:textId="77777777" w:rsidR="000B0092" w:rsidRPr="00BE78CA" w:rsidRDefault="000B0092" w:rsidP="00836FE6">
            <w:pPr>
              <w:pStyle w:val="TableText"/>
            </w:pPr>
            <w:r w:rsidRPr="00BE78CA">
              <w:t>Glass (NMVOC)</w:t>
            </w:r>
          </w:p>
        </w:tc>
        <w:tc>
          <w:tcPr>
            <w:tcW w:w="2835" w:type="dxa"/>
            <w:tcBorders>
              <w:top w:val="single" w:sz="6" w:space="0" w:color="365F91"/>
              <w:left w:val="nil"/>
              <w:bottom w:val="single" w:sz="6" w:space="0" w:color="365F91"/>
              <w:right w:val="nil"/>
            </w:tcBorders>
            <w:shd w:val="clear" w:color="auto" w:fill="FFFFFF"/>
            <w:hideMark/>
          </w:tcPr>
          <w:p w14:paraId="446BA794" w14:textId="77777777" w:rsidR="000B0092" w:rsidRPr="00BE78CA" w:rsidRDefault="000B0092" w:rsidP="00836FE6">
            <w:pPr>
              <w:pStyle w:val="TableText"/>
            </w:pPr>
            <w:r w:rsidRPr="00BE78CA">
              <w:t>±5</w:t>
            </w:r>
          </w:p>
        </w:tc>
        <w:tc>
          <w:tcPr>
            <w:tcW w:w="3033" w:type="dxa"/>
            <w:tcBorders>
              <w:top w:val="single" w:sz="6" w:space="0" w:color="365F91"/>
              <w:left w:val="nil"/>
              <w:bottom w:val="single" w:sz="6" w:space="0" w:color="365F91"/>
              <w:right w:val="nil"/>
            </w:tcBorders>
            <w:shd w:val="clear" w:color="auto" w:fill="FFFFFF"/>
            <w:hideMark/>
          </w:tcPr>
          <w:p w14:paraId="7108A4E4" w14:textId="77777777" w:rsidR="000B0092" w:rsidRPr="00BE78CA" w:rsidRDefault="000B0092" w:rsidP="00836FE6">
            <w:pPr>
              <w:pStyle w:val="TableText"/>
            </w:pPr>
            <w:r w:rsidRPr="00BE78CA">
              <w:t>±50</w:t>
            </w:r>
          </w:p>
        </w:tc>
      </w:tr>
      <w:tr w:rsidR="000B0092" w:rsidRPr="00BE78CA" w14:paraId="5668E8A9" w14:textId="77777777" w:rsidTr="00836FE6">
        <w:tc>
          <w:tcPr>
            <w:tcW w:w="2694" w:type="dxa"/>
            <w:tcBorders>
              <w:top w:val="single" w:sz="6" w:space="0" w:color="365F91"/>
              <w:left w:val="nil"/>
              <w:bottom w:val="single" w:sz="6" w:space="0" w:color="365F91"/>
              <w:right w:val="nil"/>
            </w:tcBorders>
            <w:shd w:val="clear" w:color="auto" w:fill="FFFFFF"/>
          </w:tcPr>
          <w:p w14:paraId="75D485A7" w14:textId="77777777" w:rsidR="000B0092" w:rsidRPr="00BE78CA" w:rsidRDefault="000B0092" w:rsidP="00836FE6">
            <w:pPr>
              <w:pStyle w:val="TableText"/>
            </w:pPr>
            <w:r w:rsidRPr="00BE78CA">
              <w:t>Ceramics (CO</w:t>
            </w:r>
            <w:r w:rsidRPr="00BE78CA">
              <w:rPr>
                <w:vertAlign w:val="subscript"/>
              </w:rPr>
              <w:t>2</w:t>
            </w:r>
            <w:r w:rsidRPr="00BE78CA">
              <w:t>)</w:t>
            </w:r>
          </w:p>
        </w:tc>
        <w:tc>
          <w:tcPr>
            <w:tcW w:w="2835" w:type="dxa"/>
            <w:tcBorders>
              <w:top w:val="single" w:sz="6" w:space="0" w:color="365F91"/>
              <w:left w:val="nil"/>
              <w:bottom w:val="single" w:sz="6" w:space="0" w:color="365F91"/>
              <w:right w:val="nil"/>
            </w:tcBorders>
            <w:shd w:val="clear" w:color="auto" w:fill="FFFFFF"/>
          </w:tcPr>
          <w:p w14:paraId="75185B77" w14:textId="77777777" w:rsidR="000B0092" w:rsidRPr="00BE78CA" w:rsidRDefault="000B0092" w:rsidP="00836FE6">
            <w:pPr>
              <w:pStyle w:val="TableText"/>
            </w:pPr>
            <w:r w:rsidRPr="00BE78CA">
              <w:t>±50</w:t>
            </w:r>
          </w:p>
        </w:tc>
        <w:tc>
          <w:tcPr>
            <w:tcW w:w="3033" w:type="dxa"/>
            <w:tcBorders>
              <w:top w:val="single" w:sz="6" w:space="0" w:color="365F91"/>
              <w:left w:val="nil"/>
              <w:bottom w:val="single" w:sz="6" w:space="0" w:color="365F91"/>
              <w:right w:val="nil"/>
            </w:tcBorders>
            <w:shd w:val="clear" w:color="auto" w:fill="FFFFFF"/>
          </w:tcPr>
          <w:p w14:paraId="4279D18D" w14:textId="77777777" w:rsidR="000B0092" w:rsidRPr="00BE78CA" w:rsidRDefault="000B0092" w:rsidP="00836FE6">
            <w:pPr>
              <w:pStyle w:val="TableText"/>
            </w:pPr>
            <w:r w:rsidRPr="00BE78CA">
              <w:t>±20</w:t>
            </w:r>
          </w:p>
        </w:tc>
      </w:tr>
      <w:tr w:rsidR="000B0092" w:rsidRPr="00BE78CA" w14:paraId="205EEEB7" w14:textId="77777777" w:rsidTr="00836FE6">
        <w:tc>
          <w:tcPr>
            <w:tcW w:w="2694" w:type="dxa"/>
            <w:tcBorders>
              <w:top w:val="single" w:sz="6" w:space="0" w:color="365F91"/>
              <w:left w:val="nil"/>
              <w:bottom w:val="single" w:sz="6" w:space="0" w:color="365F91"/>
              <w:right w:val="nil"/>
            </w:tcBorders>
            <w:shd w:val="clear" w:color="auto" w:fill="FFFFFF"/>
          </w:tcPr>
          <w:p w14:paraId="11B27E74" w14:textId="77777777" w:rsidR="000B0092" w:rsidRPr="00BE78CA" w:rsidRDefault="000B0092" w:rsidP="00836FE6">
            <w:pPr>
              <w:pStyle w:val="TableText"/>
            </w:pPr>
            <w:r w:rsidRPr="00BE78CA">
              <w:t>Other uses of soda ash (CO</w:t>
            </w:r>
            <w:r w:rsidRPr="00BE78CA">
              <w:rPr>
                <w:vertAlign w:val="subscript"/>
              </w:rPr>
              <w:t>2</w:t>
            </w:r>
            <w:r w:rsidRPr="00BE78CA">
              <w:t>)</w:t>
            </w:r>
          </w:p>
        </w:tc>
        <w:tc>
          <w:tcPr>
            <w:tcW w:w="2835" w:type="dxa"/>
            <w:tcBorders>
              <w:top w:val="single" w:sz="6" w:space="0" w:color="365F91"/>
              <w:left w:val="nil"/>
              <w:bottom w:val="single" w:sz="6" w:space="0" w:color="365F91"/>
              <w:right w:val="nil"/>
            </w:tcBorders>
            <w:shd w:val="clear" w:color="auto" w:fill="FFFFFF"/>
          </w:tcPr>
          <w:p w14:paraId="07A9E091" w14:textId="77777777" w:rsidR="000B0092" w:rsidRPr="00BE78CA" w:rsidRDefault="000B0092" w:rsidP="00836FE6">
            <w:pPr>
              <w:pStyle w:val="TableText"/>
            </w:pPr>
            <w:r w:rsidRPr="00BE78CA">
              <w:t>±3</w:t>
            </w:r>
          </w:p>
        </w:tc>
        <w:tc>
          <w:tcPr>
            <w:tcW w:w="3033" w:type="dxa"/>
            <w:tcBorders>
              <w:top w:val="single" w:sz="6" w:space="0" w:color="365F91"/>
              <w:left w:val="nil"/>
              <w:bottom w:val="single" w:sz="6" w:space="0" w:color="365F91"/>
              <w:right w:val="nil"/>
            </w:tcBorders>
            <w:shd w:val="clear" w:color="auto" w:fill="FFFFFF"/>
          </w:tcPr>
          <w:p w14:paraId="1B18C58A" w14:textId="77777777" w:rsidR="000B0092" w:rsidRPr="00BE78CA" w:rsidRDefault="000B0092" w:rsidP="00836FE6">
            <w:pPr>
              <w:pStyle w:val="TableText"/>
            </w:pPr>
            <w:r w:rsidRPr="00BE78CA">
              <w:t>±2</w:t>
            </w:r>
          </w:p>
        </w:tc>
      </w:tr>
      <w:tr w:rsidR="000B0092" w:rsidRPr="00BE78CA" w14:paraId="2A4C44BE" w14:textId="77777777" w:rsidTr="00836FE6">
        <w:tc>
          <w:tcPr>
            <w:tcW w:w="2694" w:type="dxa"/>
            <w:tcBorders>
              <w:top w:val="single" w:sz="6" w:space="0" w:color="365F91"/>
              <w:left w:val="nil"/>
              <w:bottom w:val="single" w:sz="6" w:space="0" w:color="365F91"/>
              <w:right w:val="nil"/>
            </w:tcBorders>
            <w:shd w:val="clear" w:color="auto" w:fill="FFFFFF"/>
          </w:tcPr>
          <w:p w14:paraId="74F8A311" w14:textId="77777777" w:rsidR="000B0092" w:rsidRPr="00BE78CA" w:rsidRDefault="000B0092" w:rsidP="00836FE6">
            <w:pPr>
              <w:pStyle w:val="TableText"/>
            </w:pPr>
            <w:r w:rsidRPr="00BE78CA">
              <w:t>Other uses of limestone (CO</w:t>
            </w:r>
            <w:r w:rsidRPr="00BE78CA">
              <w:rPr>
                <w:vertAlign w:val="subscript"/>
              </w:rPr>
              <w:t>2</w:t>
            </w:r>
            <w:r w:rsidRPr="00BE78CA">
              <w:t>)</w:t>
            </w:r>
          </w:p>
        </w:tc>
        <w:tc>
          <w:tcPr>
            <w:tcW w:w="2835" w:type="dxa"/>
            <w:tcBorders>
              <w:top w:val="single" w:sz="6" w:space="0" w:color="365F91"/>
              <w:left w:val="nil"/>
              <w:bottom w:val="single" w:sz="6" w:space="0" w:color="365F91"/>
              <w:right w:val="nil"/>
            </w:tcBorders>
            <w:shd w:val="clear" w:color="auto" w:fill="FFFFFF"/>
          </w:tcPr>
          <w:p w14:paraId="0194B30C" w14:textId="77777777" w:rsidR="000B0092" w:rsidRPr="00BE78CA" w:rsidRDefault="000B0092" w:rsidP="00836FE6">
            <w:pPr>
              <w:pStyle w:val="TableText"/>
            </w:pPr>
            <w:r w:rsidRPr="00BE78CA">
              <w:t>±3</w:t>
            </w:r>
          </w:p>
        </w:tc>
        <w:tc>
          <w:tcPr>
            <w:tcW w:w="3033" w:type="dxa"/>
            <w:tcBorders>
              <w:top w:val="single" w:sz="6" w:space="0" w:color="365F91"/>
              <w:left w:val="nil"/>
              <w:bottom w:val="single" w:sz="6" w:space="0" w:color="365F91"/>
              <w:right w:val="nil"/>
            </w:tcBorders>
            <w:shd w:val="clear" w:color="auto" w:fill="FFFFFF"/>
          </w:tcPr>
          <w:p w14:paraId="40A58E2E" w14:textId="77777777" w:rsidR="000B0092" w:rsidRPr="00BE78CA" w:rsidRDefault="000B0092" w:rsidP="00836FE6">
            <w:pPr>
              <w:pStyle w:val="TableText"/>
            </w:pPr>
            <w:r w:rsidRPr="00BE78CA">
              <w:t>±2</w:t>
            </w:r>
          </w:p>
        </w:tc>
      </w:tr>
    </w:tbl>
    <w:p w14:paraId="4AF5FDA5" w14:textId="77777777" w:rsidR="000B0092" w:rsidRPr="00BE78CA" w:rsidRDefault="000B0092" w:rsidP="000B0092">
      <w:pPr>
        <w:pStyle w:val="Heading4"/>
        <w:spacing w:before="360"/>
        <w:rPr>
          <w:bCs/>
          <w:iCs/>
        </w:rPr>
      </w:pPr>
      <w:r w:rsidRPr="00BE78CA">
        <w:t>Time-series consistency</w:t>
      </w:r>
    </w:p>
    <w:p w14:paraId="5A108DDD" w14:textId="77777777" w:rsidR="000B0092" w:rsidRPr="00BE78CA" w:rsidRDefault="000B0092" w:rsidP="000B0092">
      <w:pPr>
        <w:pStyle w:val="BodyText"/>
      </w:pPr>
      <w:r w:rsidRPr="00BE78CA">
        <w:t xml:space="preserve">In previous Inventory submissions, the reported activity data for lime production have not been fully consistent through the time series because of the change to using NZ ETS data for cement and lime, and the use of different calculation methods for these emissions. For the years up to 2013, a default emission factor was used, based on the amount of burnt lime produced. For 2014 to 2019, NZ ETS returns are the primary data source. The companies carry out analysis and report the net amount of pure CaO and MgO as well as gross amounts of product made to the NZ ETS regulator. </w:t>
      </w:r>
    </w:p>
    <w:p w14:paraId="481F38D7" w14:textId="77777777" w:rsidR="000B0092" w:rsidRPr="00BE78CA" w:rsidRDefault="000B0092" w:rsidP="000B0092">
      <w:pPr>
        <w:pStyle w:val="Heading3"/>
      </w:pPr>
      <w:r w:rsidRPr="00BE78CA">
        <w:lastRenderedPageBreak/>
        <w:t>4.2.4</w:t>
      </w:r>
      <w:r w:rsidRPr="00BE78CA">
        <w:tab/>
        <w:t>Source-specific QA/QC and verification</w:t>
      </w:r>
    </w:p>
    <w:p w14:paraId="70D47CF9" w14:textId="77777777" w:rsidR="000B0092" w:rsidRPr="00BE78CA" w:rsidRDefault="000B0092" w:rsidP="000B0092">
      <w:pPr>
        <w:pStyle w:val="BodyText"/>
      </w:pPr>
      <w:r w:rsidRPr="00BE78CA">
        <w:t>For this submission, data for all CO</w:t>
      </w:r>
      <w:r w:rsidRPr="00BE78CA">
        <w:rPr>
          <w:vertAlign w:val="subscript"/>
        </w:rPr>
        <w:t>2</w:t>
      </w:r>
      <w:r w:rsidRPr="00BE78CA">
        <w:t xml:space="preserve"> emissions in the </w:t>
      </w:r>
      <w:r w:rsidRPr="00BE78CA">
        <w:rPr>
          <w:i/>
        </w:rPr>
        <w:t>Mineral industry</w:t>
      </w:r>
      <w:r w:rsidRPr="00BE78CA">
        <w:t xml:space="preserve"> category underwent Tier 1 quality checks in the preparation of this inventory. The only key category is CO</w:t>
      </w:r>
      <w:r w:rsidRPr="00BE78CA">
        <w:rPr>
          <w:vertAlign w:val="subscript"/>
        </w:rPr>
        <w:t>2</w:t>
      </w:r>
      <w:r w:rsidRPr="00BE78CA">
        <w:t xml:space="preserve"> emissions from </w:t>
      </w:r>
      <w:r w:rsidRPr="00BE78CA">
        <w:rPr>
          <w:i/>
        </w:rPr>
        <w:t>Cement production</w:t>
      </w:r>
      <w:r w:rsidRPr="00BE78CA">
        <w:t xml:space="preserve">. </w:t>
      </w:r>
    </w:p>
    <w:p w14:paraId="22CB59BD" w14:textId="77777777" w:rsidR="000B0092" w:rsidRPr="00BE78CA" w:rsidRDefault="000B0092" w:rsidP="000B0092">
      <w:pPr>
        <w:pStyle w:val="BodyText"/>
      </w:pPr>
      <w:r w:rsidRPr="00BE78CA">
        <w:t xml:space="preserve">Verification of activity data from independent sources is not currently possible. The EPA carries out verification of NZ ETS participants’ submitted data on a rotating basis and, as these verifications occur, the inventory agency will make use of the resulting information to verify the emissions data where possible. </w:t>
      </w:r>
    </w:p>
    <w:p w14:paraId="6E3E761C" w14:textId="77777777" w:rsidR="000B0092" w:rsidRPr="00BE78CA" w:rsidRDefault="000B0092" w:rsidP="000B0092">
      <w:pPr>
        <w:pStyle w:val="Heading3"/>
      </w:pPr>
      <w:r w:rsidRPr="00BE78CA">
        <w:t>4.2.5</w:t>
      </w:r>
      <w:r w:rsidRPr="00BE78CA">
        <w:tab/>
        <w:t>Source-specific recalculations</w:t>
      </w:r>
    </w:p>
    <w:p w14:paraId="6D45F0D4" w14:textId="77777777" w:rsidR="000B0092" w:rsidRPr="00BE78CA" w:rsidRDefault="000B0092" w:rsidP="000B0092">
      <w:pPr>
        <w:pStyle w:val="BodyText"/>
      </w:pPr>
      <w:r w:rsidRPr="00BE78CA">
        <w:t>An error in the reported data on limestone use emissions in CRF 2A.4.d in 2018 has been corrected for this submission. This increases the reported 2018 emissions by 5.4 kt CO</w:t>
      </w:r>
      <w:r w:rsidRPr="00BE78CA">
        <w:rPr>
          <w:vertAlign w:val="subscript"/>
        </w:rPr>
        <w:t>2</w:t>
      </w:r>
      <w:r w:rsidRPr="00BE78CA">
        <w:t xml:space="preserve">-e. </w:t>
      </w:r>
    </w:p>
    <w:p w14:paraId="2F34DB25" w14:textId="77777777" w:rsidR="000B0092" w:rsidRPr="00BE78CA" w:rsidRDefault="000B0092" w:rsidP="000B0092">
      <w:pPr>
        <w:pStyle w:val="BodyText"/>
      </w:pPr>
      <w:r w:rsidRPr="00BE78CA">
        <w:t xml:space="preserve">For lime production, the activity data reported have been revised following a recommendation by the ERT to make the time series more consistent between NZ ETS data and the earlier reporting approach. The pure chemical content of the lime produced (CaO and MgO, net of impurities, which are typically 2 to 3 per cent) is now reported for the entire time series. </w:t>
      </w:r>
    </w:p>
    <w:p w14:paraId="19C7E419" w14:textId="77777777" w:rsidR="000B0092" w:rsidRPr="00BE78CA" w:rsidRDefault="000B0092" w:rsidP="000B0092">
      <w:pPr>
        <w:pStyle w:val="Heading3"/>
      </w:pPr>
      <w:r w:rsidRPr="00BE78CA">
        <w:t>4.2.6</w:t>
      </w:r>
      <w:r w:rsidRPr="00BE78CA">
        <w:tab/>
        <w:t>Source-specific planned improvements</w:t>
      </w:r>
    </w:p>
    <w:p w14:paraId="24865BC4" w14:textId="77777777" w:rsidR="000B0092" w:rsidRPr="00BE78CA" w:rsidRDefault="000B0092" w:rsidP="000B0092">
      <w:pPr>
        <w:pStyle w:val="BodyText"/>
      </w:pPr>
      <w:r w:rsidRPr="00BE78CA">
        <w:t xml:space="preserve">The inventory agency has worked with the companies in the </w:t>
      </w:r>
      <w:r w:rsidRPr="00BE78CA">
        <w:rPr>
          <w:i/>
        </w:rPr>
        <w:t>Mineral industry</w:t>
      </w:r>
      <w:r w:rsidRPr="00BE78CA">
        <w:t xml:space="preserve"> category to improve transparency and confidence in the data provided. However, concerns about the confidentiality of data provided by the cement and glass companies, including data submitted as part of their compliance with NZ ETS obligations, remain a barrier to further improvements in transparency. </w:t>
      </w:r>
    </w:p>
    <w:p w14:paraId="517B2905" w14:textId="77777777" w:rsidR="000B0092" w:rsidRPr="00BE78CA" w:rsidRDefault="000B0092" w:rsidP="000B0092">
      <w:pPr>
        <w:pStyle w:val="Heading2"/>
      </w:pPr>
      <w:bookmarkStart w:id="419" w:name="_Toc448321514"/>
      <w:bookmarkStart w:id="420" w:name="_Toc5269353"/>
      <w:bookmarkStart w:id="421" w:name="_Toc36224393"/>
      <w:bookmarkStart w:id="422" w:name="_Toc68786313"/>
      <w:r w:rsidRPr="00BE78CA">
        <w:t>4.3</w:t>
      </w:r>
      <w:r w:rsidRPr="00BE78CA">
        <w:tab/>
        <w:t>Chemical industry (2.B)</w:t>
      </w:r>
      <w:bookmarkEnd w:id="419"/>
      <w:bookmarkEnd w:id="420"/>
      <w:bookmarkEnd w:id="421"/>
      <w:bookmarkEnd w:id="422"/>
    </w:p>
    <w:p w14:paraId="7CE19535" w14:textId="77777777" w:rsidR="000B0092" w:rsidRPr="00BE78CA" w:rsidRDefault="000B0092" w:rsidP="000B0092">
      <w:pPr>
        <w:pStyle w:val="Heading3"/>
        <w:spacing w:before="120"/>
      </w:pPr>
      <w:r w:rsidRPr="00BE78CA">
        <w:t>4.3.1</w:t>
      </w:r>
      <w:r w:rsidRPr="00BE78CA">
        <w:tab/>
        <w:t>Description</w:t>
      </w:r>
    </w:p>
    <w:p w14:paraId="7525FDC6" w14:textId="77777777" w:rsidR="000B0092" w:rsidRPr="00BE78CA" w:rsidRDefault="000B0092" w:rsidP="000B0092">
      <w:pPr>
        <w:pStyle w:val="BodyText"/>
      </w:pPr>
      <w:r w:rsidRPr="00BE78CA">
        <w:t>The significant chemical processes occurring in New Zealand are the production of urea, methanol, superphosphate fertiliser, hydrogen peroxide, formaldehyde and ethanol. In addition, a substantial amount of hydrogen is made at the Marsden Point oil refinery, and CO</w:t>
      </w:r>
      <w:r w:rsidRPr="00BE78CA">
        <w:rPr>
          <w:vertAlign w:val="subscript"/>
        </w:rPr>
        <w:t>2</w:t>
      </w:r>
      <w:r w:rsidRPr="00BE78CA">
        <w:t xml:space="preserve"> emissions from this process are reported in the </w:t>
      </w:r>
      <w:r w:rsidRPr="00BE78CA">
        <w:rPr>
          <w:i/>
        </w:rPr>
        <w:t>Chemical industry</w:t>
      </w:r>
      <w:r w:rsidRPr="00BE78CA">
        <w:t xml:space="preserve"> category. No other relevant chemical products (such as nitric acid, adipic acid or ethylene) are produced in New Zealand. </w:t>
      </w:r>
    </w:p>
    <w:p w14:paraId="4D8587F2" w14:textId="77777777" w:rsidR="000B0092" w:rsidRPr="00BE78CA" w:rsidRDefault="000B0092" w:rsidP="000B0092">
      <w:pPr>
        <w:pStyle w:val="BodyText"/>
      </w:pPr>
      <w:r w:rsidRPr="00BE78CA">
        <w:t>Ammonia is made at one site in Taranaki by the catalytic steam reforming of natural gas. The ammonia produced is further processed into urea. Emissions of CO</w:t>
      </w:r>
      <w:r w:rsidRPr="00BE78CA">
        <w:rPr>
          <w:vertAlign w:val="subscript"/>
        </w:rPr>
        <w:t>2</w:t>
      </w:r>
      <w:r w:rsidRPr="00BE78CA">
        <w:t xml:space="preserve"> arise from the fraction of process CO</w:t>
      </w:r>
      <w:r w:rsidRPr="00BE78CA">
        <w:rPr>
          <w:vertAlign w:val="subscript"/>
        </w:rPr>
        <w:t>2</w:t>
      </w:r>
      <w:r w:rsidRPr="00BE78CA">
        <w:t xml:space="preserve"> that is not recovered for urea production. Nearly all of the urea product is used as a fertiliser in New Zealand. The emissions associated with agricultural use of urea (both manufactured in New Zealand and imported) are reported under the Agriculture sector (CRF 3.H). A small amount of urea is also used for catalytic reduction of diesel exhaust emissions. The emissions of CO</w:t>
      </w:r>
      <w:r w:rsidRPr="00BE78CA">
        <w:rPr>
          <w:vertAlign w:val="subscript"/>
        </w:rPr>
        <w:t>2</w:t>
      </w:r>
      <w:r w:rsidRPr="00BE78CA">
        <w:t xml:space="preserve"> from this use of urea are reported in the </w:t>
      </w:r>
      <w:r w:rsidRPr="00BE78CA">
        <w:rPr>
          <w:i/>
        </w:rPr>
        <w:t xml:space="preserve">Non-energy products from fuels and solvent use </w:t>
      </w:r>
      <w:r w:rsidRPr="00BE78CA">
        <w:t xml:space="preserve">category (CRF 2.D.3). </w:t>
      </w:r>
    </w:p>
    <w:p w14:paraId="16BD21DD" w14:textId="77777777" w:rsidR="000B0092" w:rsidRPr="00BE78CA" w:rsidRDefault="000B0092" w:rsidP="000B0092">
      <w:pPr>
        <w:pStyle w:val="BodyText"/>
      </w:pPr>
      <w:r w:rsidRPr="00BE78CA">
        <w:t xml:space="preserve">Methane emissions are reported from the production of methanol, which is made from natural gas feedstock at two sites in Taranaki. From 1990 to 1997, a large proportion of the methanol made in New Zealand was processed into synthetic gasoline for transport use. All emissions </w:t>
      </w:r>
      <w:r w:rsidRPr="00BE78CA">
        <w:lastRenderedPageBreak/>
        <w:t xml:space="preserve">associated with the production of gasoline, including the synthetic gasoline produced from 1990 to 1997, are reported under the Energy sector (chapter 3, sections 3.2 and 3.3). From 1998 on, all methanol made in New Zealand has been chemical methanol for export, and therefore all process emissions from the methanol plants have been reported under the IPPU sector. </w:t>
      </w:r>
    </w:p>
    <w:p w14:paraId="70C8D1AE" w14:textId="77777777" w:rsidR="000B0092" w:rsidRPr="00BE78CA" w:rsidRDefault="000B0092" w:rsidP="000B0092">
      <w:pPr>
        <w:pStyle w:val="BodyText"/>
      </w:pPr>
      <w:r w:rsidRPr="00BE78CA">
        <w:t>A small amount of CO</w:t>
      </w:r>
      <w:r w:rsidRPr="00BE78CA">
        <w:rPr>
          <w:vertAlign w:val="subscript"/>
        </w:rPr>
        <w:t>2</w:t>
      </w:r>
      <w:r w:rsidRPr="00BE78CA">
        <w:t xml:space="preserve"> is reported from the use of imported calcium carbide, which is used to produce acetylene for welding. No carbides are manufactured in New Zealand. </w:t>
      </w:r>
    </w:p>
    <w:p w14:paraId="6320FB77" w14:textId="77777777" w:rsidR="000B0092" w:rsidRPr="00BE78CA" w:rsidRDefault="000B0092" w:rsidP="000B0092">
      <w:pPr>
        <w:pStyle w:val="BodyText"/>
      </w:pPr>
      <w:r w:rsidRPr="00BE78CA">
        <w:t>Some indirect emissions (oxides of nitrogen (NO</w:t>
      </w:r>
      <w:r w:rsidRPr="00BE78CA">
        <w:rPr>
          <w:vertAlign w:val="subscript"/>
        </w:rPr>
        <w:t>x</w:t>
      </w:r>
      <w:r w:rsidRPr="00BE78CA">
        <w:t>), carbon monoxide (CO), non-methane volatile organic compounds (NMVOCs) and SO</w:t>
      </w:r>
      <w:r w:rsidRPr="00BE78CA">
        <w:rPr>
          <w:vertAlign w:val="subscript"/>
        </w:rPr>
        <w:t>2</w:t>
      </w:r>
      <w:r w:rsidRPr="00BE78CA">
        <w:t xml:space="preserve">) are reported from methanol, formaldehyde, ethanol, and superphosphate fertiliser production. </w:t>
      </w:r>
    </w:p>
    <w:p w14:paraId="035BFCCB" w14:textId="77777777" w:rsidR="000B0092" w:rsidRPr="00BE78CA" w:rsidRDefault="000B0092" w:rsidP="000B0092">
      <w:pPr>
        <w:pStyle w:val="BodyText"/>
      </w:pPr>
      <w:r w:rsidRPr="00BE78CA">
        <w:t xml:space="preserve">Emissions from the </w:t>
      </w:r>
      <w:r w:rsidRPr="00BE78CA">
        <w:rPr>
          <w:i/>
        </w:rPr>
        <w:t>Chemical industry</w:t>
      </w:r>
      <w:r w:rsidRPr="00BE78CA">
        <w:t xml:space="preserve"> category in 2019 were 290.5 kt CO</w:t>
      </w:r>
      <w:r w:rsidRPr="00BE78CA">
        <w:rPr>
          <w:vertAlign w:val="subscript"/>
        </w:rPr>
        <w:t>2</w:t>
      </w:r>
      <w:r w:rsidRPr="00BE78CA">
        <w:t>-e (5.7 per cent) of emissions from the IPPU sector. This is 87.5 kt CO</w:t>
      </w:r>
      <w:r w:rsidRPr="00BE78CA">
        <w:rPr>
          <w:vertAlign w:val="subscript"/>
        </w:rPr>
        <w:t>2</w:t>
      </w:r>
      <w:r w:rsidRPr="00BE78CA">
        <w:t>-e (43.1 per cent) above the 1990 level. The increase has been driven by increasing production of ammonia and methanol, and increasing demand for transport fuels, which has increased the demand for hydrogen as an intermediate in oil refining. However, emissions in 2015 were 389.0 kt CO</w:t>
      </w:r>
      <w:r w:rsidRPr="00BE78CA">
        <w:rPr>
          <w:vertAlign w:val="subscript"/>
        </w:rPr>
        <w:t>2</w:t>
      </w:r>
      <w:r w:rsidRPr="00BE78CA">
        <w:t xml:space="preserve">-e. Emissions have decreased since 2016 due to lower rates of production for hydrogen and urea. </w:t>
      </w:r>
    </w:p>
    <w:p w14:paraId="7AFDB52F" w14:textId="77777777" w:rsidR="000B0092" w:rsidRPr="00BE78CA" w:rsidRDefault="000B0092" w:rsidP="000B0092">
      <w:pPr>
        <w:pStyle w:val="BodyText"/>
      </w:pPr>
      <w:r w:rsidRPr="00BE78CA">
        <w:t xml:space="preserve">There are no key categories in the </w:t>
      </w:r>
      <w:r w:rsidRPr="00BE78CA">
        <w:rPr>
          <w:i/>
        </w:rPr>
        <w:t>Chemical industry</w:t>
      </w:r>
      <w:r w:rsidRPr="00BE78CA">
        <w:t xml:space="preserve"> category. </w:t>
      </w:r>
    </w:p>
    <w:p w14:paraId="721CCA2D" w14:textId="77777777" w:rsidR="000B0092" w:rsidRPr="00BE78CA" w:rsidRDefault="000B0092" w:rsidP="000B0092">
      <w:pPr>
        <w:pStyle w:val="Heading3"/>
        <w:spacing w:before="280"/>
      </w:pPr>
      <w:r w:rsidRPr="00BE78CA">
        <w:t xml:space="preserve">4.3.2 </w:t>
      </w:r>
      <w:r w:rsidRPr="00BE78CA">
        <w:tab/>
        <w:t>Methodological issues</w:t>
      </w:r>
    </w:p>
    <w:p w14:paraId="55851529" w14:textId="77777777" w:rsidR="000B0092" w:rsidRPr="00BE78CA" w:rsidRDefault="000B0092" w:rsidP="000B0092">
      <w:pPr>
        <w:pStyle w:val="Heading4"/>
        <w:spacing w:before="160"/>
        <w:rPr>
          <w:bCs/>
          <w:iCs/>
        </w:rPr>
      </w:pPr>
      <w:r w:rsidRPr="00BE78CA">
        <w:t>Choice of activity data</w:t>
      </w:r>
    </w:p>
    <w:p w14:paraId="6D89A6A0" w14:textId="77777777" w:rsidR="000B0092" w:rsidRPr="00BE78CA" w:rsidRDefault="000B0092" w:rsidP="000B0092">
      <w:pPr>
        <w:pStyle w:val="Heading5"/>
        <w:spacing w:before="160"/>
      </w:pPr>
      <w:r w:rsidRPr="00BE78CA">
        <w:t>Ammonia and urea (2.B.1)</w:t>
      </w:r>
    </w:p>
    <w:p w14:paraId="54CA3512" w14:textId="77777777" w:rsidR="000B0092" w:rsidRPr="00BE78CA" w:rsidRDefault="000B0092" w:rsidP="000B0092">
      <w:pPr>
        <w:pStyle w:val="BodyText"/>
        <w:spacing w:before="100"/>
      </w:pPr>
      <w:r w:rsidRPr="00BE78CA">
        <w:t>Data on the production of urea are supplied to MBIE by Ballance Agri-Nutrients Limited, which operates the ammonia–urea production plant. The activity data reported are the production of ammonia, which is back-estimated from the amount of urea produced on the basis of a site</w:t>
      </w:r>
      <w:r w:rsidRPr="00BE78CA">
        <w:noBreakHyphen/>
        <w:t xml:space="preserve">specific conversion factor that reflects the actual rate of conversion of ammonia to urea achieved in this plant. </w:t>
      </w:r>
    </w:p>
    <w:p w14:paraId="6C62D192" w14:textId="77777777" w:rsidR="000B0092" w:rsidRPr="00BE78CA" w:rsidRDefault="000B0092" w:rsidP="000B0092">
      <w:pPr>
        <w:pStyle w:val="Heading5"/>
        <w:spacing w:before="200"/>
      </w:pPr>
      <w:r w:rsidRPr="00BE78CA">
        <w:t>Calcium carbide (2.B.5.b)</w:t>
      </w:r>
    </w:p>
    <w:p w14:paraId="260ECCAB" w14:textId="77777777" w:rsidR="000B0092" w:rsidRPr="00BE78CA" w:rsidRDefault="000B0092" w:rsidP="000B0092">
      <w:pPr>
        <w:pStyle w:val="BodyText"/>
      </w:pPr>
      <w:r w:rsidRPr="00BE78CA">
        <w:t xml:space="preserve">A small amount of calcium carbide is imported to New Zealand and used to produce acetylene gas for welding. The approximate amount of calcium carbide imported is used as activity data. </w:t>
      </w:r>
    </w:p>
    <w:p w14:paraId="20CE9510" w14:textId="77777777" w:rsidR="000B0092" w:rsidRPr="00BE78CA" w:rsidRDefault="000B0092" w:rsidP="000B0092">
      <w:pPr>
        <w:pStyle w:val="Heading5"/>
        <w:spacing w:before="200"/>
      </w:pPr>
      <w:r w:rsidRPr="00BE78CA">
        <w:t>Methanol (2.B.8.a)</w:t>
      </w:r>
    </w:p>
    <w:p w14:paraId="30395198" w14:textId="77777777" w:rsidR="000B0092" w:rsidRPr="00BE78CA" w:rsidRDefault="000B0092" w:rsidP="000B0092">
      <w:pPr>
        <w:pStyle w:val="BodyText"/>
      </w:pPr>
      <w:r w:rsidRPr="00BE78CA">
        <w:t xml:space="preserve">Data on methanol production (chemical methanol produced for export) are supplied to MBIE by Methanex, which operates the two methanol plants. </w:t>
      </w:r>
    </w:p>
    <w:p w14:paraId="21FBF256" w14:textId="77777777" w:rsidR="000B0092" w:rsidRPr="00BE78CA" w:rsidRDefault="000B0092" w:rsidP="000B0092">
      <w:pPr>
        <w:pStyle w:val="Heading5"/>
        <w:spacing w:before="200"/>
      </w:pPr>
      <w:r w:rsidRPr="00BE78CA">
        <w:t>Hydrogen (2.B.10)</w:t>
      </w:r>
    </w:p>
    <w:p w14:paraId="598C96F8" w14:textId="77777777" w:rsidR="000B0092" w:rsidRPr="00BE78CA" w:rsidRDefault="000B0092" w:rsidP="000B0092">
      <w:pPr>
        <w:pStyle w:val="BodyText"/>
      </w:pPr>
      <w:r w:rsidRPr="00BE78CA">
        <w:t>Most of the hydrogen produced in New Zealand is made by Refining New Zealand Ltd at the Marsden Point oil refinery. Another company, Evonik Limited, produces a small amount of hydrogen, which is converted to hydrogen peroxide. In both cases, the hydrogen is produced from CH</w:t>
      </w:r>
      <w:r w:rsidRPr="00BE78CA">
        <w:rPr>
          <w:vertAlign w:val="subscript"/>
        </w:rPr>
        <w:t>4</w:t>
      </w:r>
      <w:r w:rsidRPr="00BE78CA">
        <w:t xml:space="preserve"> (from refinery gas and natural gas) and steam. Carbon dioxide is a by-product of the reaction and is vented to the atmosphere. </w:t>
      </w:r>
    </w:p>
    <w:p w14:paraId="01889E1C" w14:textId="77777777" w:rsidR="000B0092" w:rsidRPr="00BE78CA" w:rsidRDefault="000B0092" w:rsidP="000B0092">
      <w:pPr>
        <w:pStyle w:val="BodyText"/>
      </w:pPr>
      <w:r w:rsidRPr="00BE78CA">
        <w:t xml:space="preserve">The activity data reported are the amounts of hydrogen produced, as reported to MBIE by the plant operators. </w:t>
      </w:r>
    </w:p>
    <w:p w14:paraId="71264EDE" w14:textId="77777777" w:rsidR="000B0092" w:rsidRPr="00BE78CA" w:rsidRDefault="000B0092" w:rsidP="000B0092">
      <w:pPr>
        <w:pStyle w:val="Heading5"/>
        <w:spacing w:before="160"/>
      </w:pPr>
      <w:r w:rsidRPr="00BE78CA">
        <w:lastRenderedPageBreak/>
        <w:t xml:space="preserve">Fertiliser, formaldehyde and ethanol (2.B.10) </w:t>
      </w:r>
    </w:p>
    <w:p w14:paraId="65AC8B6A" w14:textId="77777777" w:rsidR="000B0092" w:rsidRPr="00BE78CA" w:rsidRDefault="000B0092" w:rsidP="000B0092">
      <w:pPr>
        <w:pStyle w:val="BodyText"/>
        <w:spacing w:before="100" w:after="100"/>
      </w:pPr>
      <w:r w:rsidRPr="00BE78CA">
        <w:t>Some indirect emissions (SO</w:t>
      </w:r>
      <w:r w:rsidRPr="00BE78CA">
        <w:rPr>
          <w:vertAlign w:val="subscript"/>
        </w:rPr>
        <w:t>2</w:t>
      </w:r>
      <w:r w:rsidRPr="00BE78CA">
        <w:t xml:space="preserve"> and NMVOCs) are also reported from the production of ethanol for purposes other than food and drink, superphosphate fertiliser, and formaldehyde. </w:t>
      </w:r>
    </w:p>
    <w:p w14:paraId="276D5520" w14:textId="77777777" w:rsidR="000B0092" w:rsidRPr="00BE78CA" w:rsidRDefault="000B0092" w:rsidP="000B0092">
      <w:pPr>
        <w:pStyle w:val="Heading4"/>
        <w:rPr>
          <w:bCs/>
          <w:iCs/>
        </w:rPr>
      </w:pPr>
      <w:r w:rsidRPr="00BE78CA">
        <w:t>Choice of methods</w:t>
      </w:r>
    </w:p>
    <w:p w14:paraId="28676A84" w14:textId="77777777" w:rsidR="000B0092" w:rsidRPr="00BE78CA" w:rsidRDefault="000B0092" w:rsidP="000B0092">
      <w:pPr>
        <w:pStyle w:val="Heading5"/>
        <w:spacing w:before="120"/>
      </w:pPr>
      <w:r w:rsidRPr="00BE78CA">
        <w:t>Ammonia and urea (2.B.1)</w:t>
      </w:r>
    </w:p>
    <w:p w14:paraId="226E2525" w14:textId="77777777" w:rsidR="000B0092" w:rsidRPr="00BE78CA" w:rsidRDefault="000B0092" w:rsidP="000B0092">
      <w:pPr>
        <w:pStyle w:val="BodyText"/>
        <w:spacing w:before="100" w:after="100"/>
      </w:pPr>
      <w:r w:rsidRPr="00BE78CA">
        <w:t>The CO</w:t>
      </w:r>
      <w:r w:rsidRPr="00BE78CA">
        <w:rPr>
          <w:vertAlign w:val="subscript"/>
        </w:rPr>
        <w:t>2</w:t>
      </w:r>
      <w:r w:rsidRPr="00BE78CA">
        <w:t xml:space="preserve"> emissions are estimated from a Tier 2 carbon balance, based on the feedstock gas used. The emissions are derived from all carbon in the feedstock gas used, less carbon recovered for urea production and remaining in the urea product (IPCC, 2006a). Note that only gas used as feedstock is included in this calculation. Gas used for combustion is reported under the Energy sector in the </w:t>
      </w:r>
      <w:r w:rsidRPr="00BE78CA">
        <w:rPr>
          <w:i/>
        </w:rPr>
        <w:t>Manufacturing industries and construction</w:t>
      </w:r>
      <w:r w:rsidRPr="00BE78CA">
        <w:t xml:space="preserve"> category (CRF 1.A.2). </w:t>
      </w:r>
    </w:p>
    <w:p w14:paraId="7693B216" w14:textId="77777777" w:rsidR="000B0092" w:rsidRPr="00BE78CA" w:rsidRDefault="000B0092" w:rsidP="000B0092">
      <w:pPr>
        <w:pStyle w:val="Heading5"/>
        <w:spacing w:before="160"/>
      </w:pPr>
      <w:r w:rsidRPr="00BE78CA">
        <w:t>Calcium carbide (2.B.5.b)</w:t>
      </w:r>
    </w:p>
    <w:p w14:paraId="1B23F84C" w14:textId="77777777" w:rsidR="000B0092" w:rsidRPr="00BE78CA" w:rsidRDefault="000B0092" w:rsidP="000B0092">
      <w:pPr>
        <w:pStyle w:val="BodyText"/>
      </w:pPr>
      <w:r w:rsidRPr="00BE78CA">
        <w:t xml:space="preserve">The Tier 1 method is used. </w:t>
      </w:r>
    </w:p>
    <w:p w14:paraId="4DF92A4A" w14:textId="77777777" w:rsidR="000B0092" w:rsidRPr="00BE78CA" w:rsidRDefault="000B0092" w:rsidP="000B0092">
      <w:pPr>
        <w:pStyle w:val="Heading5"/>
        <w:spacing w:before="160"/>
      </w:pPr>
      <w:r w:rsidRPr="00BE78CA">
        <w:t>Methanol (2.B.8 and 2.B.8.a)</w:t>
      </w:r>
    </w:p>
    <w:p w14:paraId="6AD838F0" w14:textId="77777777" w:rsidR="000B0092" w:rsidRPr="00BE78CA" w:rsidRDefault="000B0092" w:rsidP="000B0092">
      <w:pPr>
        <w:pStyle w:val="BodyText"/>
        <w:spacing w:before="100" w:after="100"/>
      </w:pPr>
      <w:r w:rsidRPr="00BE78CA">
        <w:t>Data on the natural gas used for methanol production are also supplied to MBIE by the plant operators. However, the available data on gas supplied to the methanol plants do not allow for any separate feedstock to be clearly distinguished from gas used for combustion. Also, close to 100 per cent of the carbon in feedstock gas is converted to methanol. Therefore, no significant CO</w:t>
      </w:r>
      <w:r w:rsidRPr="00BE78CA">
        <w:rPr>
          <w:vertAlign w:val="subscript"/>
        </w:rPr>
        <w:t>2</w:t>
      </w:r>
      <w:r w:rsidRPr="00BE78CA">
        <w:t xml:space="preserve"> emissions can be clearly related to the process. The IPCC Guidelines do not provide a method for estimation of any CO</w:t>
      </w:r>
      <w:r w:rsidRPr="00BE78CA">
        <w:rPr>
          <w:vertAlign w:val="subscript"/>
        </w:rPr>
        <w:t>2</w:t>
      </w:r>
      <w:r w:rsidRPr="00BE78CA">
        <w:t xml:space="preserve"> emissions from this process (IPCC, 2006a). Any small amount of process CO</w:t>
      </w:r>
      <w:r w:rsidRPr="00BE78CA">
        <w:rPr>
          <w:vertAlign w:val="subscript"/>
        </w:rPr>
        <w:t>2</w:t>
      </w:r>
      <w:r w:rsidRPr="00BE78CA">
        <w:t xml:space="preserve"> emissions from the methanol production process is included under the Energy sector (1.A.2), along with the much larger amount of combustion-related emissions from the methanol plants. </w:t>
      </w:r>
    </w:p>
    <w:p w14:paraId="040D4A26" w14:textId="77777777" w:rsidR="000B0092" w:rsidRPr="00BE78CA" w:rsidRDefault="000B0092" w:rsidP="000B0092">
      <w:pPr>
        <w:pStyle w:val="BodyText"/>
        <w:spacing w:before="100" w:after="100"/>
      </w:pPr>
      <w:r w:rsidRPr="00BE78CA">
        <w:t>Fugitive CH</w:t>
      </w:r>
      <w:r w:rsidRPr="00BE78CA">
        <w:rPr>
          <w:vertAlign w:val="subscript"/>
        </w:rPr>
        <w:t>4</w:t>
      </w:r>
      <w:r w:rsidRPr="00BE78CA">
        <w:t xml:space="preserve"> from the methanol manufacturing process is estimated using the Tier 1 method. Emissions of NO</w:t>
      </w:r>
      <w:r w:rsidRPr="00BE78CA">
        <w:rPr>
          <w:vertAlign w:val="subscript"/>
        </w:rPr>
        <w:t>x</w:t>
      </w:r>
      <w:r w:rsidRPr="00BE78CA">
        <w:t xml:space="preserve">, CO and NMVOC are also reported. </w:t>
      </w:r>
    </w:p>
    <w:p w14:paraId="0CE24A22" w14:textId="77777777" w:rsidR="000B0092" w:rsidRPr="00BE78CA" w:rsidRDefault="000B0092" w:rsidP="000B0092">
      <w:pPr>
        <w:pStyle w:val="Heading5"/>
        <w:spacing w:before="160"/>
      </w:pPr>
      <w:r w:rsidRPr="00BE78CA">
        <w:t>Hydrogen (2.B.10)</w:t>
      </w:r>
    </w:p>
    <w:p w14:paraId="6042A1E9" w14:textId="77777777" w:rsidR="000B0092" w:rsidRPr="00BE78CA" w:rsidRDefault="000B0092" w:rsidP="000B0092">
      <w:pPr>
        <w:pStyle w:val="BodyText"/>
        <w:spacing w:before="100" w:after="100"/>
      </w:pPr>
      <w:r w:rsidRPr="00BE78CA">
        <w:t>Emissions of CO</w:t>
      </w:r>
      <w:r w:rsidRPr="00BE78CA">
        <w:rPr>
          <w:vertAlign w:val="subscript"/>
        </w:rPr>
        <w:t>2</w:t>
      </w:r>
      <w:r w:rsidRPr="00BE78CA">
        <w:t xml:space="preserve"> from hydrogen production are calculated using the Tier 2 methodology, based on feedstock composition (IPCC, 2006a). The required data are supplied directly to MBIE by the two production companies. </w:t>
      </w:r>
    </w:p>
    <w:p w14:paraId="774A643F" w14:textId="77777777" w:rsidR="000B0092" w:rsidRPr="00BE78CA" w:rsidRDefault="000B0092" w:rsidP="000B0092">
      <w:pPr>
        <w:pStyle w:val="Heading4"/>
      </w:pPr>
      <w:r w:rsidRPr="00BE78CA">
        <w:t>Choice of emission factors</w:t>
      </w:r>
    </w:p>
    <w:p w14:paraId="7BF4C7B5" w14:textId="77777777" w:rsidR="000B0092" w:rsidRPr="00BE78CA" w:rsidRDefault="000B0092" w:rsidP="000B0092">
      <w:pPr>
        <w:pStyle w:val="Heading5"/>
        <w:spacing w:before="120"/>
      </w:pPr>
      <w:r w:rsidRPr="00BE78CA">
        <w:t>Carbon dioxide and methane</w:t>
      </w:r>
    </w:p>
    <w:p w14:paraId="789E70A6" w14:textId="77777777" w:rsidR="000B0092" w:rsidRPr="00BE78CA" w:rsidRDefault="000B0092" w:rsidP="000B0092">
      <w:pPr>
        <w:pStyle w:val="BodyText"/>
        <w:spacing w:before="80" w:after="100"/>
      </w:pPr>
      <w:r w:rsidRPr="00BE78CA">
        <w:t>For ammonia production, the carbon content of each type of natural gas (up to three types taken from different natural gas fields, and mixed pipeline gas) used as feedstock determines country-specific CO</w:t>
      </w:r>
      <w:r w:rsidRPr="00BE78CA">
        <w:rPr>
          <w:vertAlign w:val="subscript"/>
        </w:rPr>
        <w:t>2</w:t>
      </w:r>
      <w:r w:rsidRPr="00BE78CA">
        <w:t xml:space="preserve"> emission factors. </w:t>
      </w:r>
    </w:p>
    <w:p w14:paraId="715480EB" w14:textId="193105EB" w:rsidR="000B0092" w:rsidRPr="00BE78CA" w:rsidRDefault="000B0092" w:rsidP="000B0092">
      <w:pPr>
        <w:pStyle w:val="BodyText"/>
        <w:spacing w:before="100" w:after="100"/>
        <w:rPr>
          <w:spacing w:val="-2"/>
        </w:rPr>
      </w:pPr>
      <w:r w:rsidRPr="00BE78CA">
        <w:rPr>
          <w:spacing w:val="-2"/>
        </w:rPr>
        <w:t>In some years, these emission factors are higher than Tier 1 default emission factors, due to the</w:t>
      </w:r>
      <w:r w:rsidR="00836FE6" w:rsidRPr="00BE78CA">
        <w:rPr>
          <w:spacing w:val="-2"/>
        </w:rPr>
        <w:t> </w:t>
      </w:r>
      <w:r w:rsidRPr="00BE78CA">
        <w:rPr>
          <w:spacing w:val="-2"/>
        </w:rPr>
        <w:t>use of untreated high-CO</w:t>
      </w:r>
      <w:r w:rsidRPr="00BE78CA">
        <w:rPr>
          <w:spacing w:val="-2"/>
          <w:vertAlign w:val="subscript"/>
        </w:rPr>
        <w:t>2</w:t>
      </w:r>
      <w:r w:rsidRPr="00BE78CA">
        <w:rPr>
          <w:spacing w:val="-2"/>
        </w:rPr>
        <w:t xml:space="preserve"> gas from the Kapuni field as part of the feedstock at this plant. This gas has a carbon content factor (CCF</w:t>
      </w:r>
      <w:r w:rsidRPr="00BE78CA">
        <w:rPr>
          <w:spacing w:val="-2"/>
          <w:vertAlign w:val="subscript"/>
        </w:rPr>
        <w:t>i</w:t>
      </w:r>
      <w:r w:rsidRPr="00BE78CA">
        <w:rPr>
          <w:spacing w:val="-2"/>
        </w:rPr>
        <w:t>) of approximately 22.5 kilograms per gigajoule in comparison with the default of 15.3 kilograms per gigajoule. Kapuni gas, however, has not been</w:t>
      </w:r>
      <w:r w:rsidR="00836FE6" w:rsidRPr="00BE78CA">
        <w:rPr>
          <w:spacing w:val="-2"/>
        </w:rPr>
        <w:t> </w:t>
      </w:r>
      <w:r w:rsidRPr="00BE78CA">
        <w:rPr>
          <w:spacing w:val="-2"/>
        </w:rPr>
        <w:t xml:space="preserve">used in the years 2015 to 2019. </w:t>
      </w:r>
    </w:p>
    <w:p w14:paraId="51E2B7DF" w14:textId="722598D1" w:rsidR="000B0092" w:rsidRPr="00BE78CA" w:rsidRDefault="000B0092" w:rsidP="000B0092">
      <w:pPr>
        <w:pStyle w:val="BodyText"/>
      </w:pPr>
      <w:r w:rsidRPr="00BE78CA">
        <w:t>For hydrogen production, site-specific (for refinery gas) and field-specific (for natural gas)</w:t>
      </w:r>
      <w:r w:rsidR="00836FE6" w:rsidRPr="00BE78CA">
        <w:t> </w:t>
      </w:r>
      <w:r w:rsidRPr="00BE78CA">
        <w:t>emission factors are used to determine the CO</w:t>
      </w:r>
      <w:r w:rsidRPr="00BE78CA">
        <w:rPr>
          <w:vertAlign w:val="subscript"/>
        </w:rPr>
        <w:t>2</w:t>
      </w:r>
      <w:r w:rsidRPr="00BE78CA">
        <w:t xml:space="preserve"> emissions from the feedstock gas streams used. </w:t>
      </w:r>
    </w:p>
    <w:p w14:paraId="01B4D3A3" w14:textId="77777777" w:rsidR="000B0092" w:rsidRPr="00BE78CA" w:rsidRDefault="000B0092" w:rsidP="000B0092">
      <w:pPr>
        <w:pStyle w:val="BodyText"/>
      </w:pPr>
      <w:r w:rsidRPr="00BE78CA">
        <w:lastRenderedPageBreak/>
        <w:t>IPCC default emission factors are used to estimate emissions of CH</w:t>
      </w:r>
      <w:r w:rsidRPr="00BE78CA">
        <w:rPr>
          <w:vertAlign w:val="subscript"/>
        </w:rPr>
        <w:t>4</w:t>
      </w:r>
      <w:r w:rsidRPr="00BE78CA">
        <w:t xml:space="preserve"> from methanol manufacture and CO</w:t>
      </w:r>
      <w:r w:rsidRPr="00BE78CA">
        <w:rPr>
          <w:vertAlign w:val="subscript"/>
        </w:rPr>
        <w:t>2</w:t>
      </w:r>
      <w:r w:rsidRPr="00BE78CA">
        <w:t xml:space="preserve"> from calcium carbide use (IPCC, 2006a). No other information on these emission sources is available. </w:t>
      </w:r>
    </w:p>
    <w:p w14:paraId="1127BDBA" w14:textId="77777777" w:rsidR="000B0092" w:rsidRPr="00BE78CA" w:rsidRDefault="000B0092" w:rsidP="000B0092">
      <w:pPr>
        <w:pStyle w:val="Heading5"/>
        <w:spacing w:before="200"/>
      </w:pPr>
      <w:r w:rsidRPr="00BE78CA">
        <w:t>Indirect emissions</w:t>
      </w:r>
    </w:p>
    <w:p w14:paraId="3CA6542D" w14:textId="77777777" w:rsidR="000B0092" w:rsidRPr="00BE78CA" w:rsidRDefault="000B0092" w:rsidP="000B0092">
      <w:pPr>
        <w:pStyle w:val="BodyText"/>
        <w:spacing w:before="100" w:after="100"/>
      </w:pPr>
      <w:r w:rsidRPr="00BE78CA">
        <w:t>Indirect emissions of NO</w:t>
      </w:r>
      <w:r w:rsidRPr="00BE78CA">
        <w:rPr>
          <w:vertAlign w:val="subscript"/>
        </w:rPr>
        <w:t>x</w:t>
      </w:r>
      <w:r w:rsidRPr="00BE78CA">
        <w:t xml:space="preserve">, CO and NMVOC from methanol production are reported (2.B.8) with emission factors estimated by Methanex (CRL Energy, </w:t>
      </w:r>
      <w:r w:rsidRPr="00BE78CA">
        <w:rPr>
          <w:rFonts w:eastAsia="+mn-ea"/>
        </w:rPr>
        <w:t>unpublished(a)</w:t>
      </w:r>
      <w:r w:rsidRPr="00BE78CA">
        <w:t>). The emission factors for NO</w:t>
      </w:r>
      <w:r w:rsidRPr="00BE78CA">
        <w:rPr>
          <w:vertAlign w:val="subscript"/>
        </w:rPr>
        <w:t>x</w:t>
      </w:r>
      <w:r w:rsidRPr="00BE78CA">
        <w:t xml:space="preserve"> and CO were derived from site measurements, and the emission factor for NMVOC is based on American Petroleum Institute methods for estimating vapour emissions from storage tanks. </w:t>
      </w:r>
    </w:p>
    <w:p w14:paraId="53F81764" w14:textId="77777777" w:rsidR="000B0092" w:rsidRPr="00BE78CA" w:rsidRDefault="000B0092" w:rsidP="000B0092">
      <w:pPr>
        <w:pStyle w:val="BodyText"/>
        <w:spacing w:before="100" w:after="100"/>
      </w:pPr>
      <w:r w:rsidRPr="00BE78CA">
        <w:t xml:space="preserve">Some indirect greenhouse gas emissions are also reported for superphosphate fertiliser, formaldehyde and ethanol production (2.B.10). The emission factors used are country-specific (CRL Energy </w:t>
      </w:r>
      <w:r w:rsidRPr="00BE78CA">
        <w:rPr>
          <w:rFonts w:eastAsia="+mn-ea"/>
        </w:rPr>
        <w:t>unpublished(a)</w:t>
      </w:r>
      <w:r w:rsidRPr="00BE78CA">
        <w:t xml:space="preserve">) and are as shown in table 4.3.1. </w:t>
      </w:r>
    </w:p>
    <w:p w14:paraId="6FA63762" w14:textId="77777777" w:rsidR="000B0092" w:rsidRPr="00BE78CA" w:rsidRDefault="000B0092" w:rsidP="000B0092">
      <w:pPr>
        <w:pStyle w:val="Table"/>
      </w:pPr>
      <w:bookmarkStart w:id="423" w:name="_Toc451176068"/>
      <w:bookmarkStart w:id="424" w:name="_Toc5269458"/>
      <w:bookmarkStart w:id="425" w:name="_Toc36224531"/>
      <w:bookmarkStart w:id="426" w:name="_Toc68786418"/>
      <w:r w:rsidRPr="00BE78CA">
        <w:t>Table 4.3.1</w:t>
      </w:r>
      <w:r w:rsidRPr="00BE78CA">
        <w:tab/>
        <w:t>Country-specific emission factors for indirect emissions</w:t>
      </w:r>
      <w:bookmarkEnd w:id="423"/>
      <w:bookmarkEnd w:id="424"/>
      <w:bookmarkEnd w:id="425"/>
      <w:bookmarkEnd w:id="426"/>
    </w:p>
    <w:tbl>
      <w:tblPr>
        <w:tblW w:w="8505" w:type="dxa"/>
        <w:tblBorders>
          <w:top w:val="single" w:sz="6" w:space="0" w:color="365F91"/>
          <w:bottom w:val="single" w:sz="6" w:space="0" w:color="365F91"/>
          <w:insideH w:val="single" w:sz="6" w:space="0" w:color="365F91"/>
        </w:tblBorders>
        <w:tblLook w:val="04A0" w:firstRow="1" w:lastRow="0" w:firstColumn="1" w:lastColumn="0" w:noHBand="0" w:noVBand="1"/>
      </w:tblPr>
      <w:tblGrid>
        <w:gridCol w:w="2959"/>
        <w:gridCol w:w="2224"/>
        <w:gridCol w:w="3322"/>
      </w:tblGrid>
      <w:tr w:rsidR="000B0092" w:rsidRPr="00BE78CA" w14:paraId="7C16FD51" w14:textId="77777777" w:rsidTr="00836FE6">
        <w:tc>
          <w:tcPr>
            <w:tcW w:w="2977" w:type="dxa"/>
            <w:tcBorders>
              <w:top w:val="single" w:sz="4" w:space="0" w:color="365F91"/>
              <w:left w:val="nil"/>
              <w:bottom w:val="single" w:sz="4" w:space="0" w:color="365F91"/>
              <w:right w:val="nil"/>
            </w:tcBorders>
            <w:shd w:val="clear" w:color="auto" w:fill="365F91"/>
            <w:hideMark/>
          </w:tcPr>
          <w:p w14:paraId="56A7A58F" w14:textId="77777777" w:rsidR="000B0092" w:rsidRPr="00BE78CA" w:rsidRDefault="000B0092" w:rsidP="00C26084">
            <w:pPr>
              <w:pStyle w:val="TableTextBold"/>
              <w:spacing w:before="50" w:after="50"/>
              <w:rPr>
                <w:noProof w:val="0"/>
                <w:color w:val="FFFFFF"/>
              </w:rPr>
            </w:pPr>
            <w:r w:rsidRPr="00BE78CA">
              <w:rPr>
                <w:noProof w:val="0"/>
                <w:color w:val="FFFFFF"/>
              </w:rPr>
              <w:t>Activity</w:t>
            </w:r>
          </w:p>
        </w:tc>
        <w:tc>
          <w:tcPr>
            <w:tcW w:w="2239" w:type="dxa"/>
            <w:tcBorders>
              <w:top w:val="single" w:sz="4" w:space="0" w:color="365F91"/>
              <w:left w:val="nil"/>
              <w:bottom w:val="single" w:sz="4" w:space="0" w:color="365F91"/>
              <w:right w:val="nil"/>
            </w:tcBorders>
            <w:shd w:val="clear" w:color="auto" w:fill="365F91"/>
            <w:hideMark/>
          </w:tcPr>
          <w:p w14:paraId="78873BA2" w14:textId="77777777" w:rsidR="000B0092" w:rsidRPr="00BE78CA" w:rsidRDefault="000B0092" w:rsidP="00C26084">
            <w:pPr>
              <w:pStyle w:val="TableTextBold"/>
              <w:spacing w:before="50" w:after="50"/>
              <w:rPr>
                <w:noProof w:val="0"/>
                <w:color w:val="FFFFFF"/>
              </w:rPr>
            </w:pPr>
            <w:r w:rsidRPr="00BE78CA">
              <w:rPr>
                <w:noProof w:val="0"/>
                <w:color w:val="FFFFFF"/>
              </w:rPr>
              <w:t>Emissions of</w:t>
            </w:r>
          </w:p>
        </w:tc>
        <w:tc>
          <w:tcPr>
            <w:tcW w:w="3346" w:type="dxa"/>
            <w:tcBorders>
              <w:top w:val="single" w:sz="4" w:space="0" w:color="365F91"/>
              <w:left w:val="nil"/>
              <w:bottom w:val="single" w:sz="4" w:space="0" w:color="365F91"/>
              <w:right w:val="nil"/>
            </w:tcBorders>
            <w:shd w:val="clear" w:color="auto" w:fill="365F91"/>
            <w:hideMark/>
          </w:tcPr>
          <w:p w14:paraId="7707AA23" w14:textId="77777777" w:rsidR="000B0092" w:rsidRPr="00BE78CA" w:rsidRDefault="000B0092" w:rsidP="00C26084">
            <w:pPr>
              <w:pStyle w:val="TableTextBold"/>
              <w:spacing w:before="50" w:after="50"/>
              <w:rPr>
                <w:noProof w:val="0"/>
                <w:color w:val="FFFFFF"/>
              </w:rPr>
            </w:pPr>
            <w:r w:rsidRPr="00BE78CA">
              <w:rPr>
                <w:noProof w:val="0"/>
                <w:color w:val="FFFFFF"/>
              </w:rPr>
              <w:t>Emission factor</w:t>
            </w:r>
          </w:p>
        </w:tc>
      </w:tr>
      <w:tr w:rsidR="000B0092" w:rsidRPr="00BE78CA" w14:paraId="7EC4F3EE" w14:textId="77777777" w:rsidTr="00836FE6">
        <w:tc>
          <w:tcPr>
            <w:tcW w:w="2977" w:type="dxa"/>
            <w:tcBorders>
              <w:top w:val="single" w:sz="4" w:space="0" w:color="365F91"/>
              <w:left w:val="nil"/>
              <w:bottom w:val="single" w:sz="6" w:space="0" w:color="365F91"/>
              <w:right w:val="nil"/>
            </w:tcBorders>
            <w:shd w:val="clear" w:color="auto" w:fill="FFFFFF"/>
            <w:hideMark/>
          </w:tcPr>
          <w:p w14:paraId="19010F54" w14:textId="77777777" w:rsidR="000B0092" w:rsidRPr="00BE78CA" w:rsidRDefault="000B0092" w:rsidP="00C26084">
            <w:pPr>
              <w:pStyle w:val="TableText"/>
              <w:spacing w:before="50" w:after="50"/>
            </w:pPr>
            <w:r w:rsidRPr="00BE78CA">
              <w:t>Superphosphate fertiliser production</w:t>
            </w:r>
          </w:p>
        </w:tc>
        <w:tc>
          <w:tcPr>
            <w:tcW w:w="2239" w:type="dxa"/>
            <w:tcBorders>
              <w:top w:val="single" w:sz="4" w:space="0" w:color="365F91"/>
              <w:left w:val="nil"/>
              <w:bottom w:val="single" w:sz="6" w:space="0" w:color="365F91"/>
              <w:right w:val="nil"/>
            </w:tcBorders>
            <w:shd w:val="clear" w:color="auto" w:fill="FFFFFF"/>
            <w:hideMark/>
          </w:tcPr>
          <w:p w14:paraId="58B5C994" w14:textId="77777777" w:rsidR="000B0092" w:rsidRPr="00BE78CA" w:rsidRDefault="000B0092" w:rsidP="00C26084">
            <w:pPr>
              <w:pStyle w:val="TableText"/>
              <w:spacing w:before="50" w:after="50"/>
            </w:pPr>
            <w:r w:rsidRPr="00BE78CA">
              <w:t>SO</w:t>
            </w:r>
            <w:r w:rsidRPr="00BE78CA">
              <w:rPr>
                <w:vertAlign w:val="subscript"/>
              </w:rPr>
              <w:t>2</w:t>
            </w:r>
          </w:p>
        </w:tc>
        <w:tc>
          <w:tcPr>
            <w:tcW w:w="3346" w:type="dxa"/>
            <w:tcBorders>
              <w:top w:val="single" w:sz="4" w:space="0" w:color="365F91"/>
              <w:left w:val="nil"/>
              <w:bottom w:val="single" w:sz="6" w:space="0" w:color="365F91"/>
              <w:right w:val="nil"/>
            </w:tcBorders>
            <w:shd w:val="clear" w:color="auto" w:fill="FFFFFF"/>
            <w:hideMark/>
          </w:tcPr>
          <w:p w14:paraId="51031838" w14:textId="77777777" w:rsidR="000B0092" w:rsidRPr="00BE78CA" w:rsidRDefault="000B0092" w:rsidP="00C26084">
            <w:pPr>
              <w:pStyle w:val="TableText"/>
              <w:spacing w:before="50" w:after="50"/>
            </w:pPr>
            <w:r w:rsidRPr="00BE78CA">
              <w:t>1.5 kg per tonne of H</w:t>
            </w:r>
            <w:r w:rsidRPr="00BE78CA">
              <w:rPr>
                <w:vertAlign w:val="subscript"/>
              </w:rPr>
              <w:t>2</w:t>
            </w:r>
            <w:r w:rsidRPr="00BE78CA">
              <w:t>SO</w:t>
            </w:r>
            <w:r w:rsidRPr="00BE78CA">
              <w:rPr>
                <w:vertAlign w:val="subscript"/>
              </w:rPr>
              <w:t>4</w:t>
            </w:r>
          </w:p>
        </w:tc>
      </w:tr>
      <w:tr w:rsidR="000B0092" w:rsidRPr="00BE78CA" w14:paraId="5CB4F726" w14:textId="77777777" w:rsidTr="00836FE6">
        <w:tc>
          <w:tcPr>
            <w:tcW w:w="2977" w:type="dxa"/>
            <w:tcBorders>
              <w:top w:val="single" w:sz="6" w:space="0" w:color="365F91"/>
              <w:left w:val="nil"/>
              <w:bottom w:val="single" w:sz="6" w:space="0" w:color="365F91"/>
              <w:right w:val="nil"/>
            </w:tcBorders>
            <w:shd w:val="clear" w:color="auto" w:fill="FFFFFF"/>
            <w:hideMark/>
          </w:tcPr>
          <w:p w14:paraId="64CEFEA0" w14:textId="77777777" w:rsidR="000B0092" w:rsidRPr="00BE78CA" w:rsidRDefault="000B0092" w:rsidP="00C26084">
            <w:pPr>
              <w:pStyle w:val="TableText"/>
              <w:spacing w:before="50" w:after="50"/>
            </w:pPr>
            <w:r w:rsidRPr="00BE78CA">
              <w:t xml:space="preserve">Formaldehyde production </w:t>
            </w:r>
          </w:p>
        </w:tc>
        <w:tc>
          <w:tcPr>
            <w:tcW w:w="2239" w:type="dxa"/>
            <w:tcBorders>
              <w:top w:val="single" w:sz="6" w:space="0" w:color="365F91"/>
              <w:left w:val="nil"/>
              <w:bottom w:val="single" w:sz="6" w:space="0" w:color="365F91"/>
              <w:right w:val="nil"/>
            </w:tcBorders>
            <w:shd w:val="clear" w:color="auto" w:fill="FFFFFF"/>
            <w:hideMark/>
          </w:tcPr>
          <w:p w14:paraId="740B220E" w14:textId="77777777" w:rsidR="000B0092" w:rsidRPr="00BE78CA" w:rsidRDefault="000B0092" w:rsidP="00C26084">
            <w:pPr>
              <w:pStyle w:val="TableText"/>
              <w:spacing w:before="50" w:after="50"/>
            </w:pPr>
            <w:r w:rsidRPr="00BE78CA">
              <w:t>NMVOCs</w:t>
            </w:r>
          </w:p>
        </w:tc>
        <w:tc>
          <w:tcPr>
            <w:tcW w:w="3346" w:type="dxa"/>
            <w:tcBorders>
              <w:top w:val="single" w:sz="6" w:space="0" w:color="365F91"/>
              <w:left w:val="nil"/>
              <w:bottom w:val="single" w:sz="6" w:space="0" w:color="365F91"/>
              <w:right w:val="nil"/>
            </w:tcBorders>
            <w:shd w:val="clear" w:color="auto" w:fill="FFFFFF"/>
            <w:hideMark/>
          </w:tcPr>
          <w:p w14:paraId="6A265C6F" w14:textId="77777777" w:rsidR="000B0092" w:rsidRPr="00BE78CA" w:rsidRDefault="000B0092" w:rsidP="00C26084">
            <w:pPr>
              <w:pStyle w:val="TableText"/>
              <w:spacing w:before="50" w:after="50"/>
            </w:pPr>
            <w:r w:rsidRPr="00BE78CA">
              <w:t>1.5 kg per tonne of formaldehyde</w:t>
            </w:r>
          </w:p>
        </w:tc>
      </w:tr>
      <w:tr w:rsidR="000B0092" w:rsidRPr="00BE78CA" w14:paraId="515700C9" w14:textId="77777777" w:rsidTr="00836FE6">
        <w:tc>
          <w:tcPr>
            <w:tcW w:w="2977" w:type="dxa"/>
            <w:tcBorders>
              <w:top w:val="single" w:sz="6" w:space="0" w:color="365F91"/>
              <w:left w:val="nil"/>
              <w:bottom w:val="single" w:sz="6" w:space="0" w:color="365F91"/>
              <w:right w:val="nil"/>
            </w:tcBorders>
            <w:shd w:val="clear" w:color="auto" w:fill="FFFFFF"/>
            <w:hideMark/>
          </w:tcPr>
          <w:p w14:paraId="257A4B11" w14:textId="77777777" w:rsidR="000B0092" w:rsidRPr="00BE78CA" w:rsidRDefault="000B0092" w:rsidP="00C26084">
            <w:pPr>
              <w:pStyle w:val="TableText"/>
              <w:spacing w:before="50" w:after="50"/>
            </w:pPr>
            <w:r w:rsidRPr="00BE78CA">
              <w:t>Ethanol production</w:t>
            </w:r>
          </w:p>
        </w:tc>
        <w:tc>
          <w:tcPr>
            <w:tcW w:w="2239" w:type="dxa"/>
            <w:tcBorders>
              <w:top w:val="single" w:sz="6" w:space="0" w:color="365F91"/>
              <w:left w:val="nil"/>
              <w:bottom w:val="single" w:sz="6" w:space="0" w:color="365F91"/>
              <w:right w:val="nil"/>
            </w:tcBorders>
            <w:shd w:val="clear" w:color="auto" w:fill="FFFFFF"/>
            <w:hideMark/>
          </w:tcPr>
          <w:p w14:paraId="5F9E91FB" w14:textId="77777777" w:rsidR="000B0092" w:rsidRPr="00BE78CA" w:rsidRDefault="000B0092" w:rsidP="00C26084">
            <w:pPr>
              <w:pStyle w:val="TableText"/>
              <w:spacing w:before="50" w:after="50"/>
            </w:pPr>
            <w:r w:rsidRPr="00BE78CA">
              <w:t>NMVOCs</w:t>
            </w:r>
          </w:p>
        </w:tc>
        <w:tc>
          <w:tcPr>
            <w:tcW w:w="3346" w:type="dxa"/>
            <w:tcBorders>
              <w:top w:val="single" w:sz="6" w:space="0" w:color="365F91"/>
              <w:left w:val="nil"/>
              <w:bottom w:val="single" w:sz="6" w:space="0" w:color="365F91"/>
              <w:right w:val="nil"/>
            </w:tcBorders>
            <w:shd w:val="clear" w:color="auto" w:fill="FFFFFF"/>
            <w:hideMark/>
          </w:tcPr>
          <w:p w14:paraId="61533CF9" w14:textId="77777777" w:rsidR="000B0092" w:rsidRPr="00BE78CA" w:rsidRDefault="000B0092" w:rsidP="00C26084">
            <w:pPr>
              <w:pStyle w:val="TableText"/>
              <w:spacing w:before="50" w:after="50"/>
            </w:pPr>
            <w:r w:rsidRPr="00BE78CA">
              <w:t>6 g NMVOC per litre of ethanol</w:t>
            </w:r>
          </w:p>
        </w:tc>
      </w:tr>
    </w:tbl>
    <w:p w14:paraId="11C6012E" w14:textId="77777777" w:rsidR="000B0092" w:rsidRPr="00BE78CA" w:rsidRDefault="000B0092" w:rsidP="000B0092">
      <w:pPr>
        <w:pStyle w:val="Heading3"/>
      </w:pPr>
      <w:r w:rsidRPr="00BE78CA">
        <w:t xml:space="preserve">4.3.3 </w:t>
      </w:r>
      <w:r w:rsidRPr="00BE78CA">
        <w:tab/>
        <w:t>Uncertainties and time-series consistency</w:t>
      </w:r>
    </w:p>
    <w:p w14:paraId="7427F33C" w14:textId="77777777" w:rsidR="000B0092" w:rsidRPr="00BE78CA" w:rsidRDefault="000B0092" w:rsidP="00E666B6">
      <w:pPr>
        <w:pStyle w:val="Heading4"/>
        <w:spacing w:before="180"/>
        <w:rPr>
          <w:bCs/>
          <w:iCs/>
        </w:rPr>
      </w:pPr>
      <w:r w:rsidRPr="00BE78CA">
        <w:t>Uncertainties</w:t>
      </w:r>
    </w:p>
    <w:p w14:paraId="3BAB4779" w14:textId="77777777" w:rsidR="000B0092" w:rsidRPr="00BE78CA" w:rsidRDefault="000B0092" w:rsidP="000B0092">
      <w:pPr>
        <w:pStyle w:val="BodyText"/>
      </w:pPr>
      <w:r w:rsidRPr="00BE78CA">
        <w:t>The IPCC default uncertainties have been used for CO</w:t>
      </w:r>
      <w:r w:rsidRPr="00BE78CA">
        <w:rPr>
          <w:vertAlign w:val="subscript"/>
        </w:rPr>
        <w:t>2</w:t>
      </w:r>
      <w:r w:rsidRPr="00BE78CA">
        <w:t xml:space="preserve"> and most non-CO</w:t>
      </w:r>
      <w:r w:rsidRPr="00BE78CA">
        <w:rPr>
          <w:vertAlign w:val="subscript"/>
        </w:rPr>
        <w:t>2</w:t>
      </w:r>
      <w:r w:rsidRPr="00BE78CA">
        <w:t xml:space="preserve"> emissions from this category, as shown in table 4.3.2. </w:t>
      </w:r>
    </w:p>
    <w:p w14:paraId="34E1BE68" w14:textId="77777777" w:rsidR="000B0092" w:rsidRPr="00BE78CA" w:rsidRDefault="000B0092" w:rsidP="000B0092">
      <w:pPr>
        <w:pStyle w:val="Table"/>
      </w:pPr>
      <w:bookmarkStart w:id="427" w:name="_Toc451176069"/>
      <w:bookmarkStart w:id="428" w:name="_Toc5269459"/>
      <w:bookmarkStart w:id="429" w:name="_Toc36224532"/>
      <w:bookmarkStart w:id="430" w:name="_Toc68786419"/>
      <w:r w:rsidRPr="00BE78CA">
        <w:t>Table 4.3.2</w:t>
      </w:r>
      <w:r w:rsidRPr="00BE78CA">
        <w:tab/>
        <w:t xml:space="preserve">Uncertainty in emissions from the </w:t>
      </w:r>
      <w:r w:rsidRPr="00BE78CA">
        <w:rPr>
          <w:i/>
        </w:rPr>
        <w:t>Chemical industry</w:t>
      </w:r>
      <w:r w:rsidRPr="00BE78CA">
        <w:t xml:space="preserve"> category</w:t>
      </w:r>
      <w:bookmarkEnd w:id="427"/>
      <w:bookmarkEnd w:id="428"/>
      <w:bookmarkEnd w:id="429"/>
      <w:bookmarkEnd w:id="430"/>
    </w:p>
    <w:tbl>
      <w:tblPr>
        <w:tblW w:w="8505" w:type="dxa"/>
        <w:tblBorders>
          <w:top w:val="single" w:sz="6" w:space="0" w:color="365F91"/>
          <w:bottom w:val="single" w:sz="6" w:space="0" w:color="365F91"/>
          <w:insideH w:val="single" w:sz="6" w:space="0" w:color="365F91"/>
        </w:tblBorders>
        <w:tblLook w:val="04A0" w:firstRow="1" w:lastRow="0" w:firstColumn="1" w:lastColumn="0" w:noHBand="0" w:noVBand="1"/>
      </w:tblPr>
      <w:tblGrid>
        <w:gridCol w:w="2475"/>
        <w:gridCol w:w="2929"/>
        <w:gridCol w:w="3101"/>
      </w:tblGrid>
      <w:tr w:rsidR="000B0092" w:rsidRPr="00BE78CA" w14:paraId="1CC575EB" w14:textId="77777777" w:rsidTr="00836FE6">
        <w:tc>
          <w:tcPr>
            <w:tcW w:w="2036" w:type="dxa"/>
            <w:tcBorders>
              <w:top w:val="single" w:sz="4" w:space="0" w:color="365F91"/>
              <w:left w:val="nil"/>
              <w:bottom w:val="single" w:sz="4" w:space="0" w:color="365F91"/>
              <w:right w:val="nil"/>
            </w:tcBorders>
            <w:shd w:val="clear" w:color="auto" w:fill="365F91"/>
            <w:hideMark/>
          </w:tcPr>
          <w:p w14:paraId="53526044" w14:textId="77777777" w:rsidR="000B0092" w:rsidRPr="00BE78CA" w:rsidRDefault="000B0092" w:rsidP="00C26084">
            <w:pPr>
              <w:pStyle w:val="TableTextBold"/>
              <w:spacing w:before="50" w:after="50"/>
              <w:rPr>
                <w:noProof w:val="0"/>
                <w:color w:val="FFFFFF"/>
              </w:rPr>
            </w:pPr>
            <w:r w:rsidRPr="00BE78CA">
              <w:rPr>
                <w:noProof w:val="0"/>
                <w:color w:val="FFFFFF"/>
              </w:rPr>
              <w:t>Product</w:t>
            </w:r>
          </w:p>
        </w:tc>
        <w:tc>
          <w:tcPr>
            <w:tcW w:w="2410" w:type="dxa"/>
            <w:tcBorders>
              <w:top w:val="single" w:sz="4" w:space="0" w:color="365F91"/>
              <w:left w:val="nil"/>
              <w:bottom w:val="single" w:sz="4" w:space="0" w:color="365F91"/>
              <w:right w:val="nil"/>
            </w:tcBorders>
            <w:shd w:val="clear" w:color="auto" w:fill="365F91"/>
            <w:hideMark/>
          </w:tcPr>
          <w:p w14:paraId="1A43EB4B" w14:textId="77777777" w:rsidR="000B0092" w:rsidRPr="00BE78CA" w:rsidRDefault="000B0092" w:rsidP="00C26084">
            <w:pPr>
              <w:pStyle w:val="TableTextBold"/>
              <w:spacing w:before="50" w:after="50"/>
              <w:rPr>
                <w:noProof w:val="0"/>
                <w:color w:val="FFFFFF"/>
              </w:rPr>
            </w:pPr>
            <w:r w:rsidRPr="00BE78CA">
              <w:rPr>
                <w:noProof w:val="0"/>
                <w:color w:val="FFFFFF"/>
              </w:rPr>
              <w:t>Uncertainty in activity data (%)</w:t>
            </w:r>
          </w:p>
        </w:tc>
        <w:tc>
          <w:tcPr>
            <w:tcW w:w="2551" w:type="dxa"/>
            <w:tcBorders>
              <w:top w:val="single" w:sz="4" w:space="0" w:color="365F91"/>
              <w:left w:val="nil"/>
              <w:bottom w:val="single" w:sz="4" w:space="0" w:color="365F91"/>
              <w:right w:val="nil"/>
            </w:tcBorders>
            <w:shd w:val="clear" w:color="auto" w:fill="365F91"/>
            <w:hideMark/>
          </w:tcPr>
          <w:p w14:paraId="3AA666E0" w14:textId="77777777" w:rsidR="000B0092" w:rsidRPr="00BE78CA" w:rsidRDefault="000B0092" w:rsidP="00C26084">
            <w:pPr>
              <w:pStyle w:val="TableTextBold"/>
              <w:spacing w:before="50" w:after="50"/>
              <w:rPr>
                <w:noProof w:val="0"/>
                <w:color w:val="FFFFFF"/>
              </w:rPr>
            </w:pPr>
            <w:r w:rsidRPr="00BE78CA">
              <w:rPr>
                <w:noProof w:val="0"/>
                <w:color w:val="FFFFFF"/>
              </w:rPr>
              <w:t>Uncertainty in emission factors (%)</w:t>
            </w:r>
          </w:p>
        </w:tc>
      </w:tr>
      <w:tr w:rsidR="000B0092" w:rsidRPr="00BE78CA" w14:paraId="580C615D" w14:textId="77777777" w:rsidTr="00836FE6">
        <w:tc>
          <w:tcPr>
            <w:tcW w:w="2036" w:type="dxa"/>
            <w:tcBorders>
              <w:top w:val="single" w:sz="4" w:space="0" w:color="365F91"/>
              <w:left w:val="nil"/>
              <w:bottom w:val="single" w:sz="6" w:space="0" w:color="365F91"/>
              <w:right w:val="nil"/>
            </w:tcBorders>
            <w:shd w:val="clear" w:color="auto" w:fill="FFFFFF"/>
            <w:hideMark/>
          </w:tcPr>
          <w:p w14:paraId="5E498A57" w14:textId="77777777" w:rsidR="000B0092" w:rsidRPr="00BE78CA" w:rsidRDefault="000B0092" w:rsidP="00C26084">
            <w:pPr>
              <w:pStyle w:val="TableText"/>
              <w:spacing w:before="50" w:after="50"/>
            </w:pPr>
            <w:r w:rsidRPr="00BE78CA">
              <w:t>Ammonia</w:t>
            </w:r>
          </w:p>
        </w:tc>
        <w:tc>
          <w:tcPr>
            <w:tcW w:w="2410" w:type="dxa"/>
            <w:tcBorders>
              <w:top w:val="single" w:sz="4" w:space="0" w:color="365F91"/>
              <w:left w:val="nil"/>
              <w:bottom w:val="single" w:sz="6" w:space="0" w:color="365F91"/>
              <w:right w:val="nil"/>
            </w:tcBorders>
            <w:shd w:val="clear" w:color="auto" w:fill="FFFFFF"/>
            <w:hideMark/>
          </w:tcPr>
          <w:p w14:paraId="464D20DE" w14:textId="77777777" w:rsidR="000B0092" w:rsidRPr="00BE78CA" w:rsidRDefault="000B0092" w:rsidP="00C26084">
            <w:pPr>
              <w:pStyle w:val="TableText"/>
              <w:spacing w:before="50" w:after="50"/>
            </w:pPr>
            <w:r w:rsidRPr="00BE78CA">
              <w:t>±2</w:t>
            </w:r>
          </w:p>
        </w:tc>
        <w:tc>
          <w:tcPr>
            <w:tcW w:w="2551" w:type="dxa"/>
            <w:tcBorders>
              <w:top w:val="single" w:sz="4" w:space="0" w:color="365F91"/>
              <w:left w:val="nil"/>
              <w:bottom w:val="single" w:sz="6" w:space="0" w:color="365F91"/>
              <w:right w:val="nil"/>
            </w:tcBorders>
            <w:shd w:val="clear" w:color="auto" w:fill="FFFFFF"/>
            <w:hideMark/>
          </w:tcPr>
          <w:p w14:paraId="17F2C8C1" w14:textId="77777777" w:rsidR="000B0092" w:rsidRPr="00BE78CA" w:rsidRDefault="000B0092" w:rsidP="00C26084">
            <w:pPr>
              <w:pStyle w:val="TableText"/>
              <w:spacing w:before="50" w:after="50"/>
            </w:pPr>
            <w:r w:rsidRPr="00BE78CA">
              <w:t>±6 (CO</w:t>
            </w:r>
            <w:r w:rsidRPr="00BE78CA">
              <w:rPr>
                <w:vertAlign w:val="subscript"/>
              </w:rPr>
              <w:t>2</w:t>
            </w:r>
            <w:r w:rsidRPr="00BE78CA">
              <w:t>)</w:t>
            </w:r>
          </w:p>
        </w:tc>
      </w:tr>
      <w:tr w:rsidR="000B0092" w:rsidRPr="00BE78CA" w14:paraId="41ACC8C8" w14:textId="77777777" w:rsidTr="00836FE6">
        <w:tc>
          <w:tcPr>
            <w:tcW w:w="2036" w:type="dxa"/>
            <w:tcBorders>
              <w:top w:val="single" w:sz="6" w:space="0" w:color="365F91"/>
              <w:left w:val="nil"/>
              <w:bottom w:val="single" w:sz="6" w:space="0" w:color="365F91"/>
              <w:right w:val="nil"/>
            </w:tcBorders>
            <w:shd w:val="clear" w:color="auto" w:fill="FFFFFF"/>
            <w:hideMark/>
          </w:tcPr>
          <w:p w14:paraId="6E001109" w14:textId="77777777" w:rsidR="000B0092" w:rsidRPr="00BE78CA" w:rsidRDefault="000B0092" w:rsidP="00C26084">
            <w:pPr>
              <w:pStyle w:val="TableText"/>
              <w:spacing w:before="50" w:after="50"/>
            </w:pPr>
            <w:r w:rsidRPr="00BE78CA">
              <w:t>Calcium carbide</w:t>
            </w:r>
          </w:p>
        </w:tc>
        <w:tc>
          <w:tcPr>
            <w:tcW w:w="2410" w:type="dxa"/>
            <w:tcBorders>
              <w:top w:val="single" w:sz="6" w:space="0" w:color="365F91"/>
              <w:left w:val="nil"/>
              <w:bottom w:val="single" w:sz="6" w:space="0" w:color="365F91"/>
              <w:right w:val="nil"/>
            </w:tcBorders>
            <w:shd w:val="clear" w:color="auto" w:fill="FFFFFF"/>
            <w:hideMark/>
          </w:tcPr>
          <w:p w14:paraId="139A87D3" w14:textId="77777777" w:rsidR="000B0092" w:rsidRPr="00BE78CA" w:rsidRDefault="000B0092" w:rsidP="00C26084">
            <w:pPr>
              <w:pStyle w:val="TableText"/>
              <w:spacing w:before="50" w:after="50"/>
            </w:pPr>
            <w:r w:rsidRPr="00BE78CA">
              <w:t>±50</w:t>
            </w:r>
          </w:p>
        </w:tc>
        <w:tc>
          <w:tcPr>
            <w:tcW w:w="2551" w:type="dxa"/>
            <w:tcBorders>
              <w:top w:val="single" w:sz="6" w:space="0" w:color="365F91"/>
              <w:left w:val="nil"/>
              <w:bottom w:val="single" w:sz="6" w:space="0" w:color="365F91"/>
              <w:right w:val="nil"/>
            </w:tcBorders>
            <w:shd w:val="clear" w:color="auto" w:fill="FFFFFF"/>
            <w:hideMark/>
          </w:tcPr>
          <w:p w14:paraId="2A595F61" w14:textId="77777777" w:rsidR="000B0092" w:rsidRPr="00BE78CA" w:rsidRDefault="000B0092" w:rsidP="00C26084">
            <w:pPr>
              <w:pStyle w:val="TableText"/>
              <w:spacing w:before="50" w:after="50"/>
            </w:pPr>
            <w:r w:rsidRPr="00BE78CA">
              <w:t>±50</w:t>
            </w:r>
          </w:p>
        </w:tc>
      </w:tr>
      <w:tr w:rsidR="000B0092" w:rsidRPr="00BE78CA" w14:paraId="5BE53FBF" w14:textId="77777777" w:rsidTr="00836FE6">
        <w:tc>
          <w:tcPr>
            <w:tcW w:w="2036" w:type="dxa"/>
            <w:tcBorders>
              <w:top w:val="single" w:sz="6" w:space="0" w:color="365F91"/>
              <w:left w:val="nil"/>
              <w:bottom w:val="single" w:sz="6" w:space="0" w:color="365F91"/>
              <w:right w:val="nil"/>
            </w:tcBorders>
            <w:shd w:val="clear" w:color="auto" w:fill="FFFFFF"/>
            <w:hideMark/>
          </w:tcPr>
          <w:p w14:paraId="1C9F7182" w14:textId="77777777" w:rsidR="000B0092" w:rsidRPr="00BE78CA" w:rsidRDefault="000B0092" w:rsidP="00C26084">
            <w:pPr>
              <w:pStyle w:val="TableText"/>
              <w:spacing w:before="50" w:after="50"/>
            </w:pPr>
            <w:r w:rsidRPr="00BE78CA">
              <w:t>Formaldehyde</w:t>
            </w:r>
          </w:p>
        </w:tc>
        <w:tc>
          <w:tcPr>
            <w:tcW w:w="2410" w:type="dxa"/>
            <w:tcBorders>
              <w:top w:val="single" w:sz="6" w:space="0" w:color="365F91"/>
              <w:left w:val="nil"/>
              <w:bottom w:val="single" w:sz="6" w:space="0" w:color="365F91"/>
              <w:right w:val="nil"/>
            </w:tcBorders>
            <w:shd w:val="clear" w:color="auto" w:fill="FFFFFF"/>
            <w:hideMark/>
          </w:tcPr>
          <w:p w14:paraId="2BD23B54" w14:textId="77777777" w:rsidR="000B0092" w:rsidRPr="00BE78CA" w:rsidRDefault="000B0092" w:rsidP="00C26084">
            <w:pPr>
              <w:pStyle w:val="TableText"/>
              <w:spacing w:before="50" w:after="50"/>
            </w:pPr>
            <w:r w:rsidRPr="00BE78CA">
              <w:t>±2</w:t>
            </w:r>
          </w:p>
        </w:tc>
        <w:tc>
          <w:tcPr>
            <w:tcW w:w="2551" w:type="dxa"/>
            <w:tcBorders>
              <w:top w:val="single" w:sz="6" w:space="0" w:color="365F91"/>
              <w:left w:val="nil"/>
              <w:bottom w:val="single" w:sz="6" w:space="0" w:color="365F91"/>
              <w:right w:val="nil"/>
            </w:tcBorders>
            <w:shd w:val="clear" w:color="auto" w:fill="FFFFFF"/>
            <w:hideMark/>
          </w:tcPr>
          <w:p w14:paraId="3B3ADAB6" w14:textId="77777777" w:rsidR="000B0092" w:rsidRPr="00BE78CA" w:rsidRDefault="000B0092" w:rsidP="00C26084">
            <w:pPr>
              <w:pStyle w:val="TableText"/>
              <w:spacing w:before="50" w:after="50"/>
            </w:pPr>
            <w:r w:rsidRPr="00BE78CA">
              <w:t>±50 (NMVOCs)</w:t>
            </w:r>
          </w:p>
        </w:tc>
      </w:tr>
      <w:tr w:rsidR="000B0092" w:rsidRPr="00BE78CA" w14:paraId="50F95C0D" w14:textId="77777777" w:rsidTr="00836FE6">
        <w:tc>
          <w:tcPr>
            <w:tcW w:w="2036" w:type="dxa"/>
            <w:tcBorders>
              <w:top w:val="single" w:sz="6" w:space="0" w:color="365F91"/>
              <w:left w:val="nil"/>
              <w:bottom w:val="single" w:sz="6" w:space="0" w:color="365F91"/>
              <w:right w:val="nil"/>
            </w:tcBorders>
            <w:shd w:val="clear" w:color="auto" w:fill="FFFFFF"/>
            <w:hideMark/>
          </w:tcPr>
          <w:p w14:paraId="04CB751B" w14:textId="77777777" w:rsidR="000B0092" w:rsidRPr="00BE78CA" w:rsidRDefault="000B0092" w:rsidP="00C26084">
            <w:pPr>
              <w:pStyle w:val="TableText"/>
              <w:spacing w:before="50" w:after="50"/>
            </w:pPr>
            <w:r w:rsidRPr="00BE78CA">
              <w:t>Hydrogen</w:t>
            </w:r>
          </w:p>
        </w:tc>
        <w:tc>
          <w:tcPr>
            <w:tcW w:w="2410" w:type="dxa"/>
            <w:tcBorders>
              <w:top w:val="single" w:sz="6" w:space="0" w:color="365F91"/>
              <w:left w:val="nil"/>
              <w:bottom w:val="single" w:sz="6" w:space="0" w:color="365F91"/>
              <w:right w:val="nil"/>
            </w:tcBorders>
            <w:shd w:val="clear" w:color="auto" w:fill="FFFFFF"/>
            <w:hideMark/>
          </w:tcPr>
          <w:p w14:paraId="0C5843CF" w14:textId="77777777" w:rsidR="000B0092" w:rsidRPr="00BE78CA" w:rsidRDefault="000B0092" w:rsidP="00C26084">
            <w:pPr>
              <w:pStyle w:val="TableText"/>
              <w:spacing w:before="50" w:after="50"/>
            </w:pPr>
            <w:r w:rsidRPr="00BE78CA">
              <w:t>±2</w:t>
            </w:r>
          </w:p>
        </w:tc>
        <w:tc>
          <w:tcPr>
            <w:tcW w:w="2551" w:type="dxa"/>
            <w:tcBorders>
              <w:top w:val="single" w:sz="6" w:space="0" w:color="365F91"/>
              <w:left w:val="nil"/>
              <w:bottom w:val="single" w:sz="6" w:space="0" w:color="365F91"/>
              <w:right w:val="nil"/>
            </w:tcBorders>
            <w:shd w:val="clear" w:color="auto" w:fill="FFFFFF"/>
            <w:hideMark/>
          </w:tcPr>
          <w:p w14:paraId="312E1C1D" w14:textId="77777777" w:rsidR="000B0092" w:rsidRPr="00BE78CA" w:rsidRDefault="000B0092" w:rsidP="00C26084">
            <w:pPr>
              <w:pStyle w:val="TableText"/>
              <w:spacing w:before="50" w:after="50"/>
            </w:pPr>
            <w:r w:rsidRPr="00BE78CA">
              <w:t>±6</w:t>
            </w:r>
          </w:p>
        </w:tc>
      </w:tr>
      <w:tr w:rsidR="000B0092" w:rsidRPr="00BE78CA" w14:paraId="3F68E6B6" w14:textId="77777777" w:rsidTr="00836FE6">
        <w:tc>
          <w:tcPr>
            <w:tcW w:w="2036" w:type="dxa"/>
            <w:tcBorders>
              <w:top w:val="single" w:sz="6" w:space="0" w:color="365F91"/>
              <w:left w:val="nil"/>
              <w:bottom w:val="single" w:sz="6" w:space="0" w:color="365F91"/>
              <w:right w:val="nil"/>
            </w:tcBorders>
            <w:shd w:val="clear" w:color="auto" w:fill="FFFFFF"/>
            <w:hideMark/>
          </w:tcPr>
          <w:p w14:paraId="094D3E8F" w14:textId="77777777" w:rsidR="000B0092" w:rsidRPr="00BE78CA" w:rsidRDefault="000B0092" w:rsidP="00C26084">
            <w:pPr>
              <w:pStyle w:val="TableText"/>
              <w:spacing w:before="50" w:after="50"/>
            </w:pPr>
            <w:r w:rsidRPr="00BE78CA">
              <w:t>Methanol</w:t>
            </w:r>
          </w:p>
        </w:tc>
        <w:tc>
          <w:tcPr>
            <w:tcW w:w="2410" w:type="dxa"/>
            <w:tcBorders>
              <w:top w:val="single" w:sz="6" w:space="0" w:color="365F91"/>
              <w:left w:val="nil"/>
              <w:bottom w:val="single" w:sz="6" w:space="0" w:color="365F91"/>
              <w:right w:val="nil"/>
            </w:tcBorders>
            <w:shd w:val="clear" w:color="auto" w:fill="FFFFFF"/>
            <w:hideMark/>
          </w:tcPr>
          <w:p w14:paraId="7365B3A3" w14:textId="77777777" w:rsidR="000B0092" w:rsidRPr="00BE78CA" w:rsidRDefault="000B0092" w:rsidP="00C26084">
            <w:pPr>
              <w:pStyle w:val="TableText"/>
              <w:spacing w:before="50" w:after="50"/>
            </w:pPr>
            <w:r w:rsidRPr="00BE78CA">
              <w:t>±2</w:t>
            </w:r>
          </w:p>
        </w:tc>
        <w:tc>
          <w:tcPr>
            <w:tcW w:w="2551" w:type="dxa"/>
            <w:tcBorders>
              <w:top w:val="single" w:sz="6" w:space="0" w:color="365F91"/>
              <w:left w:val="nil"/>
              <w:bottom w:val="single" w:sz="6" w:space="0" w:color="365F91"/>
              <w:right w:val="nil"/>
            </w:tcBorders>
            <w:shd w:val="clear" w:color="auto" w:fill="FFFFFF"/>
            <w:hideMark/>
          </w:tcPr>
          <w:p w14:paraId="1FA95D31" w14:textId="77777777" w:rsidR="000B0092" w:rsidRPr="00BE78CA" w:rsidRDefault="000B0092" w:rsidP="00C26084">
            <w:pPr>
              <w:pStyle w:val="TableText"/>
              <w:spacing w:before="50" w:after="50"/>
            </w:pPr>
            <w:r w:rsidRPr="00BE78CA">
              <w:t>±50 (NO</w:t>
            </w:r>
            <w:r w:rsidRPr="00BE78CA">
              <w:rPr>
                <w:vertAlign w:val="subscript"/>
              </w:rPr>
              <w:t>x</w:t>
            </w:r>
            <w:r w:rsidRPr="00BE78CA">
              <w:t xml:space="preserve"> and CO)</w:t>
            </w:r>
            <w:r w:rsidRPr="00BE78CA">
              <w:br/>
              <w:t>±30 (NMVOCs)</w:t>
            </w:r>
            <w:r w:rsidRPr="00BE78CA">
              <w:br/>
              <w:t>±80 (CH</w:t>
            </w:r>
            <w:r w:rsidRPr="00BE78CA">
              <w:rPr>
                <w:vertAlign w:val="subscript"/>
              </w:rPr>
              <w:t>4</w:t>
            </w:r>
            <w:r w:rsidRPr="00BE78CA">
              <w:t>)</w:t>
            </w:r>
          </w:p>
        </w:tc>
      </w:tr>
      <w:tr w:rsidR="000B0092" w:rsidRPr="00BE78CA" w14:paraId="45412270" w14:textId="77777777" w:rsidTr="00836FE6">
        <w:tc>
          <w:tcPr>
            <w:tcW w:w="2036" w:type="dxa"/>
            <w:tcBorders>
              <w:top w:val="single" w:sz="6" w:space="0" w:color="365F91"/>
              <w:left w:val="nil"/>
              <w:bottom w:val="single" w:sz="6" w:space="0" w:color="365F91"/>
              <w:right w:val="nil"/>
            </w:tcBorders>
            <w:shd w:val="clear" w:color="auto" w:fill="FFFFFF"/>
            <w:hideMark/>
          </w:tcPr>
          <w:p w14:paraId="366799A7" w14:textId="77777777" w:rsidR="000B0092" w:rsidRPr="00BE78CA" w:rsidRDefault="000B0092" w:rsidP="00C26084">
            <w:pPr>
              <w:pStyle w:val="TableText"/>
              <w:spacing w:before="50" w:after="50"/>
            </w:pPr>
            <w:r w:rsidRPr="00BE78CA">
              <w:t>Superphosphate</w:t>
            </w:r>
          </w:p>
        </w:tc>
        <w:tc>
          <w:tcPr>
            <w:tcW w:w="2410" w:type="dxa"/>
            <w:tcBorders>
              <w:top w:val="single" w:sz="6" w:space="0" w:color="365F91"/>
              <w:left w:val="nil"/>
              <w:bottom w:val="single" w:sz="6" w:space="0" w:color="365F91"/>
              <w:right w:val="nil"/>
            </w:tcBorders>
            <w:shd w:val="clear" w:color="auto" w:fill="FFFFFF"/>
            <w:hideMark/>
          </w:tcPr>
          <w:p w14:paraId="3F7E64B9" w14:textId="77777777" w:rsidR="000B0092" w:rsidRPr="00BE78CA" w:rsidRDefault="000B0092" w:rsidP="00C26084">
            <w:pPr>
              <w:pStyle w:val="TableText"/>
              <w:spacing w:before="50" w:after="50"/>
            </w:pPr>
            <w:r w:rsidRPr="00BE78CA">
              <w:t>±10</w:t>
            </w:r>
          </w:p>
        </w:tc>
        <w:tc>
          <w:tcPr>
            <w:tcW w:w="2551" w:type="dxa"/>
            <w:tcBorders>
              <w:top w:val="single" w:sz="6" w:space="0" w:color="365F91"/>
              <w:left w:val="nil"/>
              <w:bottom w:val="single" w:sz="6" w:space="0" w:color="365F91"/>
              <w:right w:val="nil"/>
            </w:tcBorders>
            <w:shd w:val="clear" w:color="auto" w:fill="FFFFFF"/>
            <w:hideMark/>
          </w:tcPr>
          <w:p w14:paraId="6EEAEADD" w14:textId="77777777" w:rsidR="000B0092" w:rsidRPr="00BE78CA" w:rsidRDefault="000B0092" w:rsidP="00C26084">
            <w:pPr>
              <w:pStyle w:val="TableText"/>
              <w:spacing w:before="50" w:after="50"/>
            </w:pPr>
            <w:r w:rsidRPr="00BE78CA">
              <w:t>±25–60 (varies by site)</w:t>
            </w:r>
          </w:p>
        </w:tc>
      </w:tr>
      <w:tr w:rsidR="000B0092" w:rsidRPr="00BE78CA" w14:paraId="14544F8C" w14:textId="77777777" w:rsidTr="00836FE6">
        <w:tc>
          <w:tcPr>
            <w:tcW w:w="2036" w:type="dxa"/>
            <w:tcBorders>
              <w:top w:val="single" w:sz="6" w:space="0" w:color="365F91"/>
              <w:left w:val="nil"/>
              <w:bottom w:val="single" w:sz="6" w:space="0" w:color="365F91"/>
              <w:right w:val="nil"/>
            </w:tcBorders>
            <w:shd w:val="clear" w:color="auto" w:fill="FFFFFF"/>
            <w:hideMark/>
          </w:tcPr>
          <w:p w14:paraId="6ED2E9CB" w14:textId="77777777" w:rsidR="000B0092" w:rsidRPr="00BE78CA" w:rsidRDefault="000B0092" w:rsidP="00C26084">
            <w:pPr>
              <w:pStyle w:val="TableText"/>
              <w:spacing w:before="50" w:after="50"/>
            </w:pPr>
            <w:r w:rsidRPr="00BE78CA">
              <w:t>Sulphuric acid</w:t>
            </w:r>
          </w:p>
        </w:tc>
        <w:tc>
          <w:tcPr>
            <w:tcW w:w="2410" w:type="dxa"/>
            <w:tcBorders>
              <w:top w:val="single" w:sz="6" w:space="0" w:color="365F91"/>
              <w:left w:val="nil"/>
              <w:bottom w:val="single" w:sz="6" w:space="0" w:color="365F91"/>
              <w:right w:val="nil"/>
            </w:tcBorders>
            <w:shd w:val="clear" w:color="auto" w:fill="FFFFFF"/>
            <w:hideMark/>
          </w:tcPr>
          <w:p w14:paraId="2C5FF90C" w14:textId="77777777" w:rsidR="000B0092" w:rsidRPr="00BE78CA" w:rsidRDefault="000B0092" w:rsidP="00C26084">
            <w:pPr>
              <w:pStyle w:val="TableText"/>
              <w:spacing w:before="50" w:after="50"/>
            </w:pPr>
            <w:r w:rsidRPr="00BE78CA">
              <w:t>±10</w:t>
            </w:r>
          </w:p>
        </w:tc>
        <w:tc>
          <w:tcPr>
            <w:tcW w:w="2551" w:type="dxa"/>
            <w:tcBorders>
              <w:top w:val="single" w:sz="6" w:space="0" w:color="365F91"/>
              <w:left w:val="nil"/>
              <w:bottom w:val="single" w:sz="6" w:space="0" w:color="365F91"/>
              <w:right w:val="nil"/>
            </w:tcBorders>
            <w:shd w:val="clear" w:color="auto" w:fill="FFFFFF"/>
            <w:hideMark/>
          </w:tcPr>
          <w:p w14:paraId="78E21533" w14:textId="77777777" w:rsidR="000B0092" w:rsidRPr="00BE78CA" w:rsidRDefault="000B0092" w:rsidP="00C26084">
            <w:pPr>
              <w:pStyle w:val="TableText"/>
              <w:spacing w:before="50" w:after="50"/>
            </w:pPr>
            <w:r w:rsidRPr="00BE78CA">
              <w:t>±15</w:t>
            </w:r>
          </w:p>
        </w:tc>
      </w:tr>
    </w:tbl>
    <w:p w14:paraId="017C77D1" w14:textId="77777777" w:rsidR="000B0092" w:rsidRPr="00BE78CA" w:rsidRDefault="000B0092" w:rsidP="00E666B6">
      <w:pPr>
        <w:pStyle w:val="Heading4"/>
        <w:spacing w:before="360"/>
      </w:pPr>
      <w:r w:rsidRPr="00BE78CA">
        <w:t>Time-series consistency</w:t>
      </w:r>
    </w:p>
    <w:p w14:paraId="1F0D4B1E" w14:textId="77777777" w:rsidR="000B0092" w:rsidRPr="00BE78CA" w:rsidRDefault="000B0092" w:rsidP="000B0092">
      <w:pPr>
        <w:pStyle w:val="BodyText"/>
        <w:spacing w:before="80"/>
      </w:pPr>
      <w:r w:rsidRPr="00BE78CA">
        <w:t>The implied emission factor for CO</w:t>
      </w:r>
      <w:r w:rsidRPr="00BE78CA">
        <w:rPr>
          <w:vertAlign w:val="subscript"/>
        </w:rPr>
        <w:t>2</w:t>
      </w:r>
      <w:r w:rsidRPr="00BE78CA">
        <w:t xml:space="preserve"> in ammonia production has reduced by about 5.0 per cent through the time series, reflecting higher plant utilisation and some improvements in plant efficiency. Because ammonia is made at a single site in New Zealand, the implied emission factor may also vary from year to year as a result of maintenance shutdowns and other events that affect plant performance. </w:t>
      </w:r>
    </w:p>
    <w:p w14:paraId="5C078E99" w14:textId="77777777" w:rsidR="000B0092" w:rsidRPr="00BE78CA" w:rsidRDefault="000B0092" w:rsidP="000B0092">
      <w:pPr>
        <w:pStyle w:val="BodyText"/>
        <w:spacing w:before="100" w:after="100"/>
      </w:pPr>
      <w:r w:rsidRPr="00BE78CA">
        <w:t xml:space="preserve">The implied emission factor for hydrogen production (2.B.10) also varies from year to year due mainly to changes in refinery gas composition. Other implied emission factors in this category only reflect the default emission factors used. </w:t>
      </w:r>
    </w:p>
    <w:p w14:paraId="28F65A9D" w14:textId="77777777" w:rsidR="000B0092" w:rsidRPr="00BE78CA" w:rsidRDefault="000B0092" w:rsidP="000B0092">
      <w:pPr>
        <w:pStyle w:val="Heading3"/>
        <w:spacing w:before="240"/>
      </w:pPr>
      <w:r w:rsidRPr="00BE78CA">
        <w:lastRenderedPageBreak/>
        <w:t>4.3.4</w:t>
      </w:r>
      <w:r w:rsidRPr="00BE78CA">
        <w:tab/>
        <w:t>Source-specific QA/QC and verification</w:t>
      </w:r>
    </w:p>
    <w:p w14:paraId="0DFEFEB9" w14:textId="77777777" w:rsidR="000B0092" w:rsidRPr="00BE78CA" w:rsidRDefault="000B0092" w:rsidP="000B0092">
      <w:pPr>
        <w:pStyle w:val="BodyText"/>
      </w:pPr>
      <w:r w:rsidRPr="00BE78CA">
        <w:t xml:space="preserve">There are no key categories in the </w:t>
      </w:r>
      <w:r w:rsidRPr="00BE78CA">
        <w:rPr>
          <w:i/>
        </w:rPr>
        <w:t xml:space="preserve">Chemical industry </w:t>
      </w:r>
      <w:r w:rsidRPr="00BE78CA">
        <w:t>category.</w:t>
      </w:r>
    </w:p>
    <w:p w14:paraId="0A7EAFD7" w14:textId="77777777" w:rsidR="000B0092" w:rsidRPr="00BE78CA" w:rsidRDefault="000B0092" w:rsidP="000B0092">
      <w:pPr>
        <w:pStyle w:val="Heading3"/>
        <w:spacing w:before="240"/>
      </w:pPr>
      <w:r w:rsidRPr="00BE78CA">
        <w:t>4.3.5</w:t>
      </w:r>
      <w:r w:rsidRPr="00BE78CA">
        <w:tab/>
        <w:t>Source-specific recalculations</w:t>
      </w:r>
    </w:p>
    <w:p w14:paraId="392C7A29" w14:textId="77777777" w:rsidR="000B0092" w:rsidRPr="00BE78CA" w:rsidRDefault="000B0092" w:rsidP="000B0092">
      <w:pPr>
        <w:pStyle w:val="BodyText"/>
      </w:pPr>
      <w:r w:rsidRPr="00BE78CA">
        <w:t xml:space="preserve">There are no recalculations for this category. </w:t>
      </w:r>
    </w:p>
    <w:p w14:paraId="7A57536E" w14:textId="77777777" w:rsidR="000B0092" w:rsidRPr="00BE78CA" w:rsidRDefault="000B0092" w:rsidP="000B0092">
      <w:pPr>
        <w:pStyle w:val="Heading3"/>
        <w:spacing w:before="240"/>
      </w:pPr>
      <w:r w:rsidRPr="00BE78CA">
        <w:t>4.3.6</w:t>
      </w:r>
      <w:r w:rsidRPr="00BE78CA">
        <w:tab/>
        <w:t>Source-specific planned improvements</w:t>
      </w:r>
    </w:p>
    <w:p w14:paraId="03288951" w14:textId="77777777" w:rsidR="000B0092" w:rsidRPr="00BE78CA" w:rsidRDefault="000B0092" w:rsidP="000B0092">
      <w:pPr>
        <w:pStyle w:val="BodyText"/>
      </w:pPr>
      <w:r w:rsidRPr="00BE78CA">
        <w:t>There are no planned improvements for this category.</w:t>
      </w:r>
    </w:p>
    <w:p w14:paraId="4528A0B2" w14:textId="77777777" w:rsidR="000B0092" w:rsidRPr="00BE78CA" w:rsidRDefault="000B0092" w:rsidP="000B0092">
      <w:pPr>
        <w:pStyle w:val="Heading2"/>
      </w:pPr>
      <w:bookmarkStart w:id="431" w:name="_Toc448321515"/>
      <w:bookmarkStart w:id="432" w:name="_Toc5269354"/>
      <w:bookmarkStart w:id="433" w:name="_Toc36224394"/>
      <w:bookmarkStart w:id="434" w:name="_Toc68786314"/>
      <w:r w:rsidRPr="00BE78CA">
        <w:t>4.4</w:t>
      </w:r>
      <w:r w:rsidRPr="00BE78CA">
        <w:tab/>
        <w:t>Metal industry (2.C)</w:t>
      </w:r>
      <w:bookmarkEnd w:id="431"/>
      <w:bookmarkEnd w:id="432"/>
      <w:bookmarkEnd w:id="433"/>
      <w:bookmarkEnd w:id="434"/>
    </w:p>
    <w:p w14:paraId="42A9B651" w14:textId="77777777" w:rsidR="000B0092" w:rsidRPr="00BE78CA" w:rsidRDefault="000B0092" w:rsidP="000B0092">
      <w:pPr>
        <w:pStyle w:val="Heading3"/>
        <w:spacing w:before="120"/>
      </w:pPr>
      <w:r w:rsidRPr="00BE78CA">
        <w:t>4.4.1</w:t>
      </w:r>
      <w:r w:rsidRPr="00BE78CA">
        <w:tab/>
        <w:t>Description</w:t>
      </w:r>
    </w:p>
    <w:p w14:paraId="03C41041" w14:textId="77777777" w:rsidR="000B0092" w:rsidRPr="00BE78CA" w:rsidRDefault="000B0092" w:rsidP="000B0092">
      <w:pPr>
        <w:pStyle w:val="BodyText"/>
      </w:pPr>
      <w:r w:rsidRPr="00BE78CA">
        <w:t xml:space="preserve">The main emissions in the </w:t>
      </w:r>
      <w:r w:rsidRPr="00BE78CA">
        <w:rPr>
          <w:i/>
        </w:rPr>
        <w:t>Metal industry</w:t>
      </w:r>
      <w:r w:rsidRPr="00BE78CA">
        <w:t xml:space="preserve"> category in New Zealand are from iron and steel production (from iron sand and historically from recycled scrap steel) and from aluminium production. New Zealand has no production of coke, sinter or ferroalloys. </w:t>
      </w:r>
    </w:p>
    <w:p w14:paraId="13B04464" w14:textId="4CE97535" w:rsidR="000B0092" w:rsidRPr="00BE78CA" w:rsidRDefault="000B0092" w:rsidP="000B0092">
      <w:pPr>
        <w:pStyle w:val="BodyText"/>
      </w:pPr>
      <w:r w:rsidRPr="00BE78CA">
        <w:t>New Zealand has two steel-making sites. New Zealand Steel Limited produces iron using an ‘alternative iron-making process’, from titanomagnetite iron sand (Ure, 2000). This iron</w:t>
      </w:r>
      <w:r w:rsidRPr="00BE78CA">
        <w:noBreakHyphen/>
        <w:t>making process involves the direct reduction of iron oxide contained in the sand, with</w:t>
      </w:r>
      <w:r w:rsidR="00836FE6" w:rsidRPr="00BE78CA">
        <w:t> </w:t>
      </w:r>
      <w:r w:rsidRPr="00BE78CA">
        <w:t xml:space="preserve">sub-bituminous coal (which forms a reactive char) as the reductant. There is no coke production and no use of blast furnaces. The iron produced is then processed into steel. </w:t>
      </w:r>
    </w:p>
    <w:p w14:paraId="6C3C5B56" w14:textId="77777777" w:rsidR="000B0092" w:rsidRPr="00BE78CA" w:rsidRDefault="000B0092" w:rsidP="000B0092">
      <w:pPr>
        <w:pStyle w:val="BodyText"/>
      </w:pPr>
      <w:r w:rsidRPr="00BE78CA">
        <w:t xml:space="preserve">Until 2015, Pacific Steel Limited operated an electric arc furnace at a separate site to process recycled scrap steel. The owners of New Zealand Steel Limited bought the Pacific Steel Limited production assets in 2015, and all of New Zealand’s steel-making capacity is now integrated at the New Zealand Steel site. Steel billet production at the Pacific Steel plant, using recycled scrap, stopped in October 2015. As a result, all production in New Zealand is now based on newly produced iron – there is no domestic production using recycled steel scrap. </w:t>
      </w:r>
    </w:p>
    <w:p w14:paraId="6288D61F" w14:textId="77777777" w:rsidR="000B0092" w:rsidRPr="00BE78CA" w:rsidRDefault="000B0092" w:rsidP="000B0092">
      <w:pPr>
        <w:pStyle w:val="BodyText"/>
      </w:pPr>
      <w:r w:rsidRPr="00BE78CA">
        <w:t xml:space="preserve">There is one aluminium smelter in New Zealand, operated by New Zealand Aluminium Smelters Limited (NZAS). The plant produces aluminium by smelting imported bauxite using centre-work prebake technology. Carbon dioxide and PFC emissions from aluminium production are reported. </w:t>
      </w:r>
    </w:p>
    <w:p w14:paraId="368B420C" w14:textId="77777777" w:rsidR="000B0092" w:rsidRPr="00BE78CA" w:rsidRDefault="000B0092" w:rsidP="000B0092">
      <w:pPr>
        <w:pStyle w:val="BodyText"/>
      </w:pPr>
      <w:r w:rsidRPr="00BE78CA">
        <w:t>Very small amounts of emissions are also reported from secondary lead production (from the recycling of lead-acid batteries) from 1990 to 2015 and from use of SF</w:t>
      </w:r>
      <w:r w:rsidRPr="00BE78CA">
        <w:rPr>
          <w:vertAlign w:val="subscript"/>
        </w:rPr>
        <w:t>6</w:t>
      </w:r>
      <w:r w:rsidRPr="00BE78CA">
        <w:t xml:space="preserve"> in a magnesium foundry from 1990 to 1999. </w:t>
      </w:r>
    </w:p>
    <w:p w14:paraId="17719796" w14:textId="77777777" w:rsidR="000B0092" w:rsidRPr="00BE78CA" w:rsidRDefault="000B0092" w:rsidP="000B0092">
      <w:pPr>
        <w:pStyle w:val="BodyText"/>
      </w:pPr>
      <w:r w:rsidRPr="00BE78CA">
        <w:t xml:space="preserve">Key categories in the </w:t>
      </w:r>
      <w:r w:rsidRPr="00BE78CA">
        <w:rPr>
          <w:i/>
        </w:rPr>
        <w:t>Metal industry</w:t>
      </w:r>
      <w:r w:rsidRPr="00BE78CA">
        <w:t xml:space="preserve"> category are CO</w:t>
      </w:r>
      <w:r w:rsidRPr="00BE78CA">
        <w:rPr>
          <w:vertAlign w:val="subscript"/>
        </w:rPr>
        <w:t>2</w:t>
      </w:r>
      <w:r w:rsidRPr="00BE78CA">
        <w:t xml:space="preserve"> emissions from </w:t>
      </w:r>
      <w:r w:rsidRPr="00BE78CA">
        <w:rPr>
          <w:i/>
        </w:rPr>
        <w:t xml:space="preserve">Iron and steel production </w:t>
      </w:r>
      <w:r w:rsidRPr="00BE78CA">
        <w:t xml:space="preserve">and from </w:t>
      </w:r>
      <w:r w:rsidRPr="00BE78CA">
        <w:rPr>
          <w:i/>
        </w:rPr>
        <w:t>Aluminium production</w:t>
      </w:r>
      <w:r w:rsidRPr="00BE78CA">
        <w:t xml:space="preserve">, and PFCs from </w:t>
      </w:r>
      <w:r w:rsidRPr="00BE78CA">
        <w:rPr>
          <w:i/>
        </w:rPr>
        <w:t>Aluminium production</w:t>
      </w:r>
      <w:r w:rsidRPr="00BE78CA">
        <w:t xml:space="preserve">. </w:t>
      </w:r>
    </w:p>
    <w:p w14:paraId="7BD10511" w14:textId="77777777" w:rsidR="000B0092" w:rsidRPr="00BE78CA" w:rsidRDefault="000B0092" w:rsidP="000B0092">
      <w:pPr>
        <w:pStyle w:val="BodyText"/>
      </w:pPr>
      <w:r w:rsidRPr="00BE78CA">
        <w:t xml:space="preserve">Emissions from the </w:t>
      </w:r>
      <w:r w:rsidRPr="00BE78CA">
        <w:rPr>
          <w:i/>
        </w:rPr>
        <w:t>Metal industry</w:t>
      </w:r>
      <w:r w:rsidRPr="00BE78CA">
        <w:t xml:space="preserve"> category in 2019 were 2,325.2 kt CO</w:t>
      </w:r>
      <w:r w:rsidRPr="00BE78CA">
        <w:rPr>
          <w:vertAlign w:val="subscript"/>
        </w:rPr>
        <w:t>2</w:t>
      </w:r>
      <w:r w:rsidRPr="00BE78CA">
        <w:t>-e (45.5 per cent) of emissions from the IPPU sector. This is 345.0 kt CO</w:t>
      </w:r>
      <w:r w:rsidRPr="00BE78CA">
        <w:rPr>
          <w:vertAlign w:val="subscript"/>
        </w:rPr>
        <w:t>2</w:t>
      </w:r>
      <w:r w:rsidRPr="00BE78CA">
        <w:t>-e (12.9 per cent) below the 1990 level. The decrease was driven by a reduction in emissions of PFCs in aluminium smelting, which has been partly offset by increasing CO</w:t>
      </w:r>
      <w:r w:rsidRPr="00BE78CA">
        <w:rPr>
          <w:vertAlign w:val="subscript"/>
        </w:rPr>
        <w:t>2</w:t>
      </w:r>
      <w:r w:rsidRPr="00BE78CA">
        <w:t xml:space="preserve"> emissions due to increasing production of steel and aluminium. A small decrease in emissions occurred in 2016 due to the closure of the Pacific Steel plant and the cessation of lead battery recycling. </w:t>
      </w:r>
    </w:p>
    <w:p w14:paraId="1CBC6A7E" w14:textId="77777777" w:rsidR="000B0092" w:rsidRPr="00BE78CA" w:rsidRDefault="000B0092" w:rsidP="000B0092">
      <w:pPr>
        <w:pStyle w:val="Heading3"/>
      </w:pPr>
      <w:r w:rsidRPr="00BE78CA">
        <w:lastRenderedPageBreak/>
        <w:t xml:space="preserve">4.4.2 </w:t>
      </w:r>
      <w:r w:rsidRPr="00BE78CA">
        <w:tab/>
        <w:t>Methodological issues</w:t>
      </w:r>
    </w:p>
    <w:p w14:paraId="034E2D6F" w14:textId="77777777" w:rsidR="000B0092" w:rsidRPr="00BE78CA" w:rsidRDefault="000B0092" w:rsidP="000B0092">
      <w:pPr>
        <w:pStyle w:val="Heading4"/>
        <w:spacing w:before="160"/>
        <w:rPr>
          <w:bCs/>
          <w:iCs/>
        </w:rPr>
      </w:pPr>
      <w:r w:rsidRPr="00BE78CA">
        <w:t>Choice of activity data</w:t>
      </w:r>
    </w:p>
    <w:p w14:paraId="69319DA4" w14:textId="77777777" w:rsidR="000B0092" w:rsidRPr="00BE78CA" w:rsidRDefault="000B0092" w:rsidP="000B0092">
      <w:pPr>
        <w:pStyle w:val="Heading5"/>
        <w:spacing w:before="120"/>
      </w:pPr>
      <w:r w:rsidRPr="00BE78CA">
        <w:t>Iron and steel production (2.C.1 and 2.C.1.a)</w:t>
      </w:r>
    </w:p>
    <w:p w14:paraId="2F797DC4" w14:textId="77777777" w:rsidR="000B0092" w:rsidRPr="00BE78CA" w:rsidRDefault="000B0092" w:rsidP="000B0092">
      <w:pPr>
        <w:pStyle w:val="BodyText"/>
      </w:pPr>
      <w:r w:rsidRPr="00BE78CA">
        <w:t xml:space="preserve">In 2019, the </w:t>
      </w:r>
      <w:r w:rsidRPr="00BE78CA">
        <w:rPr>
          <w:i/>
        </w:rPr>
        <w:t>Iron and steel production</w:t>
      </w:r>
      <w:r w:rsidRPr="00BE78CA">
        <w:t xml:space="preserve"> category accounted for 1,661.6 kt CO</w:t>
      </w:r>
      <w:r w:rsidRPr="00BE78CA">
        <w:rPr>
          <w:vertAlign w:val="subscript"/>
        </w:rPr>
        <w:t>2</w:t>
      </w:r>
      <w:r w:rsidRPr="00BE78CA">
        <w:t xml:space="preserve">-e (71.5 per cent) of emissions from the </w:t>
      </w:r>
      <w:r w:rsidRPr="00BE78CA">
        <w:rPr>
          <w:i/>
        </w:rPr>
        <w:t>Metal industry</w:t>
      </w:r>
      <w:r w:rsidRPr="00BE78CA">
        <w:t xml:space="preserve"> category. The activity data (tonnes of steel produced) provided to MBIE came from two steel producers up to 2015 and now come from one; they are regarded as commercially confidential and are reported as confidential in the CRF. </w:t>
      </w:r>
    </w:p>
    <w:p w14:paraId="62DA82DF" w14:textId="77777777" w:rsidR="000B0092" w:rsidRPr="00BE78CA" w:rsidRDefault="000B0092" w:rsidP="000B0092">
      <w:pPr>
        <w:pStyle w:val="BodyText"/>
      </w:pPr>
      <w:r w:rsidRPr="00BE78CA">
        <w:t>Most of the CO</w:t>
      </w:r>
      <w:r w:rsidRPr="00BE78CA">
        <w:rPr>
          <w:vertAlign w:val="subscript"/>
        </w:rPr>
        <w:t>2</w:t>
      </w:r>
      <w:r w:rsidRPr="00BE78CA">
        <w:t xml:space="preserve"> emissions from the </w:t>
      </w:r>
      <w:r w:rsidRPr="00BE78CA">
        <w:rPr>
          <w:i/>
        </w:rPr>
        <w:t>Iron and steel production</w:t>
      </w:r>
      <w:r w:rsidRPr="00BE78CA">
        <w:t xml:space="preserve"> category are produced through the production of iron from titanomagnetite iron sand. Nearly all of the emissions in this process come from the use of sub-bituminous coal as a reducing agent. There is no carbon in the iron sand used by New Zealand Steel Limited (see table 4.4.1). </w:t>
      </w:r>
    </w:p>
    <w:p w14:paraId="73DB8777" w14:textId="77777777" w:rsidR="000B0092" w:rsidRPr="00BE78CA" w:rsidRDefault="000B0092" w:rsidP="000B0092">
      <w:pPr>
        <w:pStyle w:val="Table"/>
        <w:spacing w:after="160"/>
      </w:pPr>
      <w:bookmarkStart w:id="435" w:name="_Toc451176070"/>
      <w:bookmarkStart w:id="436" w:name="_Toc352504954"/>
      <w:bookmarkStart w:id="437" w:name="_Toc5269460"/>
      <w:bookmarkStart w:id="438" w:name="_Toc36224533"/>
      <w:bookmarkStart w:id="439" w:name="_Toc68786420"/>
      <w:r w:rsidRPr="00BE78CA">
        <w:t>Table 4.4.1</w:t>
      </w:r>
      <w:r w:rsidRPr="00BE78CA">
        <w:tab/>
        <w:t>Typical analysis from New Zealand Steel Limited of the primary concentrate</w:t>
      </w:r>
      <w:r w:rsidRPr="00BE78CA">
        <w:br/>
        <w:t>(provided by New Zealand Steel Limited)</w:t>
      </w:r>
      <w:bookmarkEnd w:id="435"/>
      <w:bookmarkEnd w:id="436"/>
      <w:bookmarkEnd w:id="437"/>
      <w:bookmarkEnd w:id="438"/>
      <w:bookmarkEnd w:id="439"/>
    </w:p>
    <w:tbl>
      <w:tblPr>
        <w:tblW w:w="0" w:type="auto"/>
        <w:jc w:val="center"/>
        <w:tblBorders>
          <w:bottom w:val="single" w:sz="4" w:space="0" w:color="auto"/>
        </w:tblBorders>
        <w:tblLayout w:type="fixed"/>
        <w:tblLook w:val="04A0" w:firstRow="1" w:lastRow="0" w:firstColumn="1" w:lastColumn="0" w:noHBand="0" w:noVBand="1"/>
      </w:tblPr>
      <w:tblGrid>
        <w:gridCol w:w="1242"/>
        <w:gridCol w:w="1448"/>
      </w:tblGrid>
      <w:tr w:rsidR="000B0092" w:rsidRPr="00BE78CA" w14:paraId="5589ED0C" w14:textId="77777777" w:rsidTr="00C26084">
        <w:trPr>
          <w:tblHeader/>
          <w:jc w:val="center"/>
        </w:trPr>
        <w:tc>
          <w:tcPr>
            <w:tcW w:w="1242" w:type="dxa"/>
            <w:tcBorders>
              <w:top w:val="single" w:sz="4" w:space="0" w:color="365F91"/>
              <w:left w:val="nil"/>
              <w:bottom w:val="single" w:sz="4" w:space="0" w:color="365F91"/>
              <w:right w:val="nil"/>
            </w:tcBorders>
            <w:shd w:val="clear" w:color="auto" w:fill="365F91"/>
            <w:hideMark/>
          </w:tcPr>
          <w:p w14:paraId="47E8D3FF" w14:textId="77777777" w:rsidR="000B0092" w:rsidRPr="00BE78CA" w:rsidRDefault="000B0092" w:rsidP="00C26084">
            <w:pPr>
              <w:pStyle w:val="TableTextBold"/>
              <w:spacing w:before="40" w:after="40"/>
              <w:jc w:val="center"/>
              <w:rPr>
                <w:noProof w:val="0"/>
                <w:color w:val="FFFFFF"/>
              </w:rPr>
            </w:pPr>
            <w:r w:rsidRPr="00BE78CA">
              <w:rPr>
                <w:noProof w:val="0"/>
                <w:color w:val="FFFFFF"/>
              </w:rPr>
              <w:t>Element</w:t>
            </w:r>
          </w:p>
        </w:tc>
        <w:tc>
          <w:tcPr>
            <w:tcW w:w="1448" w:type="dxa"/>
            <w:tcBorders>
              <w:top w:val="single" w:sz="4" w:space="0" w:color="365F91"/>
              <w:left w:val="nil"/>
              <w:bottom w:val="single" w:sz="4" w:space="0" w:color="365F91"/>
              <w:right w:val="nil"/>
            </w:tcBorders>
            <w:shd w:val="clear" w:color="auto" w:fill="365F91"/>
            <w:hideMark/>
          </w:tcPr>
          <w:p w14:paraId="4A19A98A" w14:textId="77777777" w:rsidR="000B0092" w:rsidRPr="00BE78CA" w:rsidRDefault="000B0092" w:rsidP="00C26084">
            <w:pPr>
              <w:pStyle w:val="TableTextBold"/>
              <w:spacing w:before="40" w:after="40"/>
              <w:jc w:val="center"/>
              <w:rPr>
                <w:noProof w:val="0"/>
                <w:color w:val="FFFFFF"/>
              </w:rPr>
            </w:pPr>
            <w:r w:rsidRPr="00BE78CA">
              <w:rPr>
                <w:noProof w:val="0"/>
                <w:color w:val="FFFFFF"/>
              </w:rPr>
              <w:t>Result (%)</w:t>
            </w:r>
          </w:p>
        </w:tc>
      </w:tr>
      <w:tr w:rsidR="000B0092" w:rsidRPr="00BE78CA" w14:paraId="4388B4AB" w14:textId="77777777" w:rsidTr="00C26084">
        <w:trPr>
          <w:jc w:val="center"/>
        </w:trPr>
        <w:tc>
          <w:tcPr>
            <w:tcW w:w="1242" w:type="dxa"/>
            <w:tcBorders>
              <w:top w:val="single" w:sz="4" w:space="0" w:color="365F91"/>
              <w:left w:val="nil"/>
              <w:bottom w:val="single" w:sz="4" w:space="0" w:color="365F91"/>
              <w:right w:val="single" w:sz="4" w:space="0" w:color="365F91"/>
            </w:tcBorders>
            <w:vAlign w:val="center"/>
            <w:hideMark/>
          </w:tcPr>
          <w:p w14:paraId="2757BE00" w14:textId="77777777" w:rsidR="000B0092" w:rsidRPr="00BE78CA" w:rsidRDefault="000B0092" w:rsidP="00C26084">
            <w:pPr>
              <w:pStyle w:val="TableText"/>
              <w:spacing w:before="40" w:after="40"/>
              <w:jc w:val="center"/>
              <w:rPr>
                <w:i/>
                <w:vertAlign w:val="subscript"/>
              </w:rPr>
            </w:pPr>
            <w:r w:rsidRPr="00BE78CA">
              <w:t>Fe</w:t>
            </w:r>
            <w:r w:rsidRPr="00BE78CA">
              <w:rPr>
                <w:vertAlign w:val="subscript"/>
              </w:rPr>
              <w:t>3</w:t>
            </w:r>
            <w:r w:rsidRPr="00BE78CA">
              <w:t>O</w:t>
            </w:r>
            <w:r w:rsidRPr="00BE78CA">
              <w:rPr>
                <w:vertAlign w:val="subscript"/>
              </w:rPr>
              <w:t>4</w:t>
            </w:r>
          </w:p>
        </w:tc>
        <w:tc>
          <w:tcPr>
            <w:tcW w:w="1448" w:type="dxa"/>
            <w:tcBorders>
              <w:top w:val="single" w:sz="4" w:space="0" w:color="365F91"/>
              <w:left w:val="single" w:sz="4" w:space="0" w:color="365F91"/>
              <w:bottom w:val="single" w:sz="4" w:space="0" w:color="365F91"/>
              <w:right w:val="nil"/>
            </w:tcBorders>
            <w:vAlign w:val="center"/>
            <w:hideMark/>
          </w:tcPr>
          <w:p w14:paraId="6C20DB44" w14:textId="77777777" w:rsidR="000B0092" w:rsidRPr="00BE78CA" w:rsidRDefault="000B0092" w:rsidP="00C26084">
            <w:pPr>
              <w:pStyle w:val="TableText"/>
              <w:spacing w:before="40" w:after="40"/>
              <w:ind w:right="454"/>
              <w:jc w:val="right"/>
              <w:rPr>
                <w:i/>
              </w:rPr>
            </w:pPr>
            <w:r w:rsidRPr="00BE78CA">
              <w:t>81.4</w:t>
            </w:r>
          </w:p>
        </w:tc>
      </w:tr>
      <w:tr w:rsidR="000B0092" w:rsidRPr="00BE78CA" w14:paraId="098DA69C" w14:textId="77777777" w:rsidTr="00C26084">
        <w:trPr>
          <w:jc w:val="center"/>
        </w:trPr>
        <w:tc>
          <w:tcPr>
            <w:tcW w:w="1242" w:type="dxa"/>
            <w:tcBorders>
              <w:top w:val="single" w:sz="4" w:space="0" w:color="365F91"/>
              <w:left w:val="nil"/>
              <w:bottom w:val="single" w:sz="4" w:space="0" w:color="365F91"/>
              <w:right w:val="single" w:sz="4" w:space="0" w:color="365F91"/>
            </w:tcBorders>
            <w:vAlign w:val="center"/>
            <w:hideMark/>
          </w:tcPr>
          <w:p w14:paraId="6E87CC6D" w14:textId="77777777" w:rsidR="000B0092" w:rsidRPr="00BE78CA" w:rsidRDefault="000B0092" w:rsidP="00C26084">
            <w:pPr>
              <w:pStyle w:val="TableText"/>
              <w:spacing w:before="40" w:after="40"/>
              <w:jc w:val="center"/>
              <w:rPr>
                <w:i/>
                <w:vertAlign w:val="subscript"/>
              </w:rPr>
            </w:pPr>
            <w:r w:rsidRPr="00BE78CA">
              <w:t>TiO</w:t>
            </w:r>
            <w:r w:rsidRPr="00BE78CA">
              <w:rPr>
                <w:vertAlign w:val="subscript"/>
              </w:rPr>
              <w:t>2</w:t>
            </w:r>
          </w:p>
        </w:tc>
        <w:tc>
          <w:tcPr>
            <w:tcW w:w="1448" w:type="dxa"/>
            <w:tcBorders>
              <w:top w:val="single" w:sz="4" w:space="0" w:color="365F91"/>
              <w:left w:val="single" w:sz="4" w:space="0" w:color="365F91"/>
              <w:bottom w:val="single" w:sz="4" w:space="0" w:color="365F91"/>
              <w:right w:val="nil"/>
            </w:tcBorders>
            <w:vAlign w:val="center"/>
            <w:hideMark/>
          </w:tcPr>
          <w:p w14:paraId="6ABA564D" w14:textId="77777777" w:rsidR="000B0092" w:rsidRPr="00BE78CA" w:rsidRDefault="000B0092" w:rsidP="00C26084">
            <w:pPr>
              <w:pStyle w:val="TableText"/>
              <w:spacing w:before="40" w:after="40"/>
              <w:ind w:right="454"/>
              <w:jc w:val="right"/>
              <w:rPr>
                <w:i/>
              </w:rPr>
            </w:pPr>
            <w:r w:rsidRPr="00BE78CA">
              <w:t>7.9</w:t>
            </w:r>
          </w:p>
        </w:tc>
      </w:tr>
      <w:tr w:rsidR="000B0092" w:rsidRPr="00BE78CA" w14:paraId="1DDFF1A4" w14:textId="77777777" w:rsidTr="00C26084">
        <w:trPr>
          <w:jc w:val="center"/>
        </w:trPr>
        <w:tc>
          <w:tcPr>
            <w:tcW w:w="1242" w:type="dxa"/>
            <w:tcBorders>
              <w:top w:val="single" w:sz="4" w:space="0" w:color="365F91"/>
              <w:left w:val="nil"/>
              <w:bottom w:val="single" w:sz="4" w:space="0" w:color="365F91"/>
              <w:right w:val="single" w:sz="4" w:space="0" w:color="365F91"/>
            </w:tcBorders>
            <w:vAlign w:val="center"/>
            <w:hideMark/>
          </w:tcPr>
          <w:p w14:paraId="1A3D71F6" w14:textId="77777777" w:rsidR="000B0092" w:rsidRPr="00BE78CA" w:rsidRDefault="000B0092" w:rsidP="00C26084">
            <w:pPr>
              <w:pStyle w:val="TableText"/>
              <w:spacing w:before="40" w:after="40"/>
              <w:jc w:val="center"/>
              <w:rPr>
                <w:i/>
                <w:vertAlign w:val="subscript"/>
              </w:rPr>
            </w:pPr>
            <w:r w:rsidRPr="00BE78CA">
              <w:t>Al</w:t>
            </w:r>
            <w:r w:rsidRPr="00BE78CA">
              <w:rPr>
                <w:vertAlign w:val="subscript"/>
              </w:rPr>
              <w:t>2</w:t>
            </w:r>
            <w:r w:rsidRPr="00BE78CA">
              <w:t>O</w:t>
            </w:r>
            <w:r w:rsidRPr="00BE78CA">
              <w:rPr>
                <w:vertAlign w:val="subscript"/>
              </w:rPr>
              <w:t>3</w:t>
            </w:r>
          </w:p>
        </w:tc>
        <w:tc>
          <w:tcPr>
            <w:tcW w:w="1448" w:type="dxa"/>
            <w:tcBorders>
              <w:top w:val="single" w:sz="4" w:space="0" w:color="365F91"/>
              <w:left w:val="single" w:sz="4" w:space="0" w:color="365F91"/>
              <w:bottom w:val="single" w:sz="4" w:space="0" w:color="365F91"/>
              <w:right w:val="nil"/>
            </w:tcBorders>
            <w:vAlign w:val="center"/>
            <w:hideMark/>
          </w:tcPr>
          <w:p w14:paraId="4249A230" w14:textId="77777777" w:rsidR="000B0092" w:rsidRPr="00BE78CA" w:rsidRDefault="000B0092" w:rsidP="00C26084">
            <w:pPr>
              <w:pStyle w:val="TableText"/>
              <w:spacing w:before="40" w:after="40"/>
              <w:ind w:right="454"/>
              <w:jc w:val="right"/>
              <w:rPr>
                <w:i/>
              </w:rPr>
            </w:pPr>
            <w:r w:rsidRPr="00BE78CA">
              <w:t>3.7</w:t>
            </w:r>
          </w:p>
        </w:tc>
      </w:tr>
      <w:tr w:rsidR="000B0092" w:rsidRPr="00BE78CA" w14:paraId="4460DF72" w14:textId="77777777" w:rsidTr="00C26084">
        <w:trPr>
          <w:jc w:val="center"/>
        </w:trPr>
        <w:tc>
          <w:tcPr>
            <w:tcW w:w="1242" w:type="dxa"/>
            <w:tcBorders>
              <w:top w:val="single" w:sz="4" w:space="0" w:color="365F91"/>
              <w:left w:val="nil"/>
              <w:bottom w:val="single" w:sz="4" w:space="0" w:color="365F91"/>
              <w:right w:val="single" w:sz="4" w:space="0" w:color="365F91"/>
            </w:tcBorders>
            <w:vAlign w:val="center"/>
            <w:hideMark/>
          </w:tcPr>
          <w:p w14:paraId="3345F121" w14:textId="77777777" w:rsidR="000B0092" w:rsidRPr="00BE78CA" w:rsidRDefault="000B0092" w:rsidP="00C26084">
            <w:pPr>
              <w:pStyle w:val="TableText"/>
              <w:spacing w:before="40" w:after="40"/>
              <w:jc w:val="center"/>
              <w:rPr>
                <w:i/>
              </w:rPr>
            </w:pPr>
            <w:r w:rsidRPr="00BE78CA">
              <w:t>MgO</w:t>
            </w:r>
          </w:p>
        </w:tc>
        <w:tc>
          <w:tcPr>
            <w:tcW w:w="1448" w:type="dxa"/>
            <w:tcBorders>
              <w:top w:val="single" w:sz="4" w:space="0" w:color="365F91"/>
              <w:left w:val="single" w:sz="4" w:space="0" w:color="365F91"/>
              <w:bottom w:val="single" w:sz="4" w:space="0" w:color="365F91"/>
              <w:right w:val="nil"/>
            </w:tcBorders>
            <w:vAlign w:val="center"/>
            <w:hideMark/>
          </w:tcPr>
          <w:p w14:paraId="1D403C95" w14:textId="77777777" w:rsidR="000B0092" w:rsidRPr="00BE78CA" w:rsidRDefault="000B0092" w:rsidP="00C26084">
            <w:pPr>
              <w:pStyle w:val="TableText"/>
              <w:spacing w:before="40" w:after="40"/>
              <w:ind w:right="454"/>
              <w:jc w:val="right"/>
              <w:rPr>
                <w:i/>
              </w:rPr>
            </w:pPr>
            <w:r w:rsidRPr="00BE78CA">
              <w:t>2.9</w:t>
            </w:r>
          </w:p>
        </w:tc>
      </w:tr>
      <w:tr w:rsidR="000B0092" w:rsidRPr="00BE78CA" w14:paraId="073CF5AB" w14:textId="77777777" w:rsidTr="00C26084">
        <w:trPr>
          <w:jc w:val="center"/>
        </w:trPr>
        <w:tc>
          <w:tcPr>
            <w:tcW w:w="1242" w:type="dxa"/>
            <w:tcBorders>
              <w:top w:val="single" w:sz="4" w:space="0" w:color="365F91"/>
              <w:left w:val="nil"/>
              <w:bottom w:val="single" w:sz="4" w:space="0" w:color="365F91"/>
              <w:right w:val="single" w:sz="4" w:space="0" w:color="365F91"/>
            </w:tcBorders>
            <w:vAlign w:val="center"/>
            <w:hideMark/>
          </w:tcPr>
          <w:p w14:paraId="5368DE8C" w14:textId="77777777" w:rsidR="000B0092" w:rsidRPr="00BE78CA" w:rsidRDefault="000B0092" w:rsidP="00C26084">
            <w:pPr>
              <w:pStyle w:val="TableText"/>
              <w:spacing w:before="40" w:after="40"/>
              <w:jc w:val="center"/>
              <w:rPr>
                <w:i/>
                <w:vertAlign w:val="subscript"/>
              </w:rPr>
            </w:pPr>
            <w:r w:rsidRPr="00BE78CA">
              <w:t>SiO</w:t>
            </w:r>
            <w:r w:rsidRPr="00BE78CA">
              <w:rPr>
                <w:vertAlign w:val="subscript"/>
              </w:rPr>
              <w:t>2</w:t>
            </w:r>
          </w:p>
        </w:tc>
        <w:tc>
          <w:tcPr>
            <w:tcW w:w="1448" w:type="dxa"/>
            <w:tcBorders>
              <w:top w:val="single" w:sz="4" w:space="0" w:color="365F91"/>
              <w:left w:val="single" w:sz="4" w:space="0" w:color="365F91"/>
              <w:bottom w:val="single" w:sz="4" w:space="0" w:color="365F91"/>
              <w:right w:val="nil"/>
            </w:tcBorders>
            <w:vAlign w:val="center"/>
            <w:hideMark/>
          </w:tcPr>
          <w:p w14:paraId="792E7B4B" w14:textId="77777777" w:rsidR="000B0092" w:rsidRPr="00BE78CA" w:rsidRDefault="000B0092" w:rsidP="00C26084">
            <w:pPr>
              <w:pStyle w:val="TableText"/>
              <w:spacing w:before="40" w:after="40"/>
              <w:ind w:right="454"/>
              <w:jc w:val="right"/>
              <w:rPr>
                <w:i/>
              </w:rPr>
            </w:pPr>
            <w:r w:rsidRPr="00BE78CA">
              <w:t>2.3</w:t>
            </w:r>
          </w:p>
        </w:tc>
      </w:tr>
      <w:tr w:rsidR="000B0092" w:rsidRPr="00BE78CA" w14:paraId="4C180E91" w14:textId="77777777" w:rsidTr="00C26084">
        <w:trPr>
          <w:jc w:val="center"/>
        </w:trPr>
        <w:tc>
          <w:tcPr>
            <w:tcW w:w="1242" w:type="dxa"/>
            <w:tcBorders>
              <w:top w:val="single" w:sz="4" w:space="0" w:color="365F91"/>
              <w:left w:val="nil"/>
              <w:bottom w:val="single" w:sz="4" w:space="0" w:color="365F91"/>
              <w:right w:val="single" w:sz="4" w:space="0" w:color="365F91"/>
            </w:tcBorders>
            <w:vAlign w:val="center"/>
            <w:hideMark/>
          </w:tcPr>
          <w:p w14:paraId="48A959B1" w14:textId="77777777" w:rsidR="000B0092" w:rsidRPr="00BE78CA" w:rsidRDefault="000B0092" w:rsidP="00C26084">
            <w:pPr>
              <w:pStyle w:val="TableText"/>
              <w:spacing w:before="40" w:after="40"/>
              <w:jc w:val="center"/>
              <w:rPr>
                <w:i/>
              </w:rPr>
            </w:pPr>
            <w:r w:rsidRPr="00BE78CA">
              <w:t>MnO</w:t>
            </w:r>
          </w:p>
        </w:tc>
        <w:tc>
          <w:tcPr>
            <w:tcW w:w="1448" w:type="dxa"/>
            <w:tcBorders>
              <w:top w:val="single" w:sz="4" w:space="0" w:color="365F91"/>
              <w:left w:val="single" w:sz="4" w:space="0" w:color="365F91"/>
              <w:bottom w:val="single" w:sz="4" w:space="0" w:color="365F91"/>
              <w:right w:val="nil"/>
            </w:tcBorders>
            <w:vAlign w:val="center"/>
            <w:hideMark/>
          </w:tcPr>
          <w:p w14:paraId="23E2BA76" w14:textId="77777777" w:rsidR="000B0092" w:rsidRPr="00BE78CA" w:rsidRDefault="000B0092" w:rsidP="00C26084">
            <w:pPr>
              <w:pStyle w:val="TableText"/>
              <w:spacing w:before="40" w:after="40"/>
              <w:ind w:right="454"/>
              <w:jc w:val="right"/>
              <w:rPr>
                <w:i/>
              </w:rPr>
            </w:pPr>
            <w:r w:rsidRPr="00BE78CA">
              <w:t>0.6</w:t>
            </w:r>
          </w:p>
        </w:tc>
      </w:tr>
      <w:tr w:rsidR="000B0092" w:rsidRPr="00BE78CA" w14:paraId="1067684A" w14:textId="77777777" w:rsidTr="00C26084">
        <w:trPr>
          <w:jc w:val="center"/>
        </w:trPr>
        <w:tc>
          <w:tcPr>
            <w:tcW w:w="1242" w:type="dxa"/>
            <w:tcBorders>
              <w:top w:val="single" w:sz="4" w:space="0" w:color="365F91"/>
              <w:left w:val="nil"/>
              <w:bottom w:val="single" w:sz="4" w:space="0" w:color="365F91"/>
              <w:right w:val="single" w:sz="4" w:space="0" w:color="365F91"/>
            </w:tcBorders>
            <w:vAlign w:val="center"/>
            <w:hideMark/>
          </w:tcPr>
          <w:p w14:paraId="51F3B860" w14:textId="77777777" w:rsidR="000B0092" w:rsidRPr="00BE78CA" w:rsidRDefault="000B0092" w:rsidP="00C26084">
            <w:pPr>
              <w:pStyle w:val="TableText"/>
              <w:spacing w:before="40" w:after="40"/>
              <w:jc w:val="center"/>
              <w:rPr>
                <w:i/>
              </w:rPr>
            </w:pPr>
            <w:r w:rsidRPr="00BE78CA">
              <w:t>CaO</w:t>
            </w:r>
          </w:p>
        </w:tc>
        <w:tc>
          <w:tcPr>
            <w:tcW w:w="1448" w:type="dxa"/>
            <w:tcBorders>
              <w:top w:val="single" w:sz="4" w:space="0" w:color="365F91"/>
              <w:left w:val="single" w:sz="4" w:space="0" w:color="365F91"/>
              <w:bottom w:val="single" w:sz="4" w:space="0" w:color="365F91"/>
              <w:right w:val="nil"/>
            </w:tcBorders>
            <w:vAlign w:val="center"/>
            <w:hideMark/>
          </w:tcPr>
          <w:p w14:paraId="0DF523B4" w14:textId="77777777" w:rsidR="000B0092" w:rsidRPr="00BE78CA" w:rsidRDefault="000B0092" w:rsidP="00C26084">
            <w:pPr>
              <w:pStyle w:val="TableText"/>
              <w:spacing w:before="40" w:after="40"/>
              <w:ind w:right="454"/>
              <w:jc w:val="right"/>
              <w:rPr>
                <w:i/>
              </w:rPr>
            </w:pPr>
            <w:r w:rsidRPr="00BE78CA">
              <w:t>0.5</w:t>
            </w:r>
          </w:p>
        </w:tc>
      </w:tr>
      <w:tr w:rsidR="000B0092" w:rsidRPr="00BE78CA" w14:paraId="68C81AE6" w14:textId="77777777" w:rsidTr="00C26084">
        <w:trPr>
          <w:jc w:val="center"/>
        </w:trPr>
        <w:tc>
          <w:tcPr>
            <w:tcW w:w="1242" w:type="dxa"/>
            <w:tcBorders>
              <w:top w:val="single" w:sz="4" w:space="0" w:color="365F91"/>
              <w:left w:val="nil"/>
              <w:bottom w:val="single" w:sz="4" w:space="0" w:color="365F91"/>
              <w:right w:val="single" w:sz="4" w:space="0" w:color="365F91"/>
            </w:tcBorders>
            <w:vAlign w:val="center"/>
            <w:hideMark/>
          </w:tcPr>
          <w:p w14:paraId="6A18A5B0" w14:textId="77777777" w:rsidR="000B0092" w:rsidRPr="00BE78CA" w:rsidRDefault="000B0092" w:rsidP="00C26084">
            <w:pPr>
              <w:pStyle w:val="TableText"/>
              <w:spacing w:before="40" w:after="40"/>
              <w:jc w:val="center"/>
              <w:rPr>
                <w:i/>
                <w:vertAlign w:val="subscript"/>
              </w:rPr>
            </w:pPr>
            <w:r w:rsidRPr="00BE78CA">
              <w:t>V</w:t>
            </w:r>
            <w:r w:rsidRPr="00BE78CA">
              <w:rPr>
                <w:vertAlign w:val="subscript"/>
              </w:rPr>
              <w:t>2</w:t>
            </w:r>
            <w:r w:rsidRPr="00BE78CA">
              <w:t>O</w:t>
            </w:r>
            <w:r w:rsidRPr="00BE78CA">
              <w:rPr>
                <w:vertAlign w:val="subscript"/>
              </w:rPr>
              <w:t>3</w:t>
            </w:r>
          </w:p>
        </w:tc>
        <w:tc>
          <w:tcPr>
            <w:tcW w:w="1448" w:type="dxa"/>
            <w:tcBorders>
              <w:top w:val="single" w:sz="4" w:space="0" w:color="365F91"/>
              <w:left w:val="single" w:sz="4" w:space="0" w:color="365F91"/>
              <w:bottom w:val="single" w:sz="4" w:space="0" w:color="365F91"/>
              <w:right w:val="nil"/>
            </w:tcBorders>
            <w:vAlign w:val="center"/>
            <w:hideMark/>
          </w:tcPr>
          <w:p w14:paraId="4E9943BA" w14:textId="77777777" w:rsidR="000B0092" w:rsidRPr="00BE78CA" w:rsidRDefault="000B0092" w:rsidP="00C26084">
            <w:pPr>
              <w:pStyle w:val="TableText"/>
              <w:spacing w:before="40" w:after="40"/>
              <w:ind w:right="454"/>
              <w:jc w:val="right"/>
              <w:rPr>
                <w:i/>
              </w:rPr>
            </w:pPr>
            <w:r w:rsidRPr="00BE78CA">
              <w:t>0.5</w:t>
            </w:r>
          </w:p>
        </w:tc>
      </w:tr>
      <w:tr w:rsidR="000B0092" w:rsidRPr="00BE78CA" w14:paraId="6F2E7209" w14:textId="77777777" w:rsidTr="00C26084">
        <w:trPr>
          <w:jc w:val="center"/>
        </w:trPr>
        <w:tc>
          <w:tcPr>
            <w:tcW w:w="1242" w:type="dxa"/>
            <w:tcBorders>
              <w:top w:val="single" w:sz="4" w:space="0" w:color="365F91"/>
              <w:left w:val="nil"/>
              <w:bottom w:val="single" w:sz="4" w:space="0" w:color="365F91"/>
              <w:right w:val="single" w:sz="4" w:space="0" w:color="365F91"/>
            </w:tcBorders>
            <w:vAlign w:val="center"/>
            <w:hideMark/>
          </w:tcPr>
          <w:p w14:paraId="5FBCCBB6" w14:textId="77777777" w:rsidR="000B0092" w:rsidRPr="00BE78CA" w:rsidRDefault="000B0092" w:rsidP="00C26084">
            <w:pPr>
              <w:pStyle w:val="TableText"/>
              <w:spacing w:before="40" w:after="40"/>
              <w:jc w:val="center"/>
              <w:rPr>
                <w:i/>
              </w:rPr>
            </w:pPr>
            <w:r w:rsidRPr="00BE78CA">
              <w:t>Zn</w:t>
            </w:r>
          </w:p>
        </w:tc>
        <w:tc>
          <w:tcPr>
            <w:tcW w:w="1448" w:type="dxa"/>
            <w:tcBorders>
              <w:top w:val="single" w:sz="4" w:space="0" w:color="365F91"/>
              <w:left w:val="single" w:sz="4" w:space="0" w:color="365F91"/>
              <w:bottom w:val="single" w:sz="4" w:space="0" w:color="365F91"/>
              <w:right w:val="nil"/>
            </w:tcBorders>
            <w:vAlign w:val="center"/>
            <w:hideMark/>
          </w:tcPr>
          <w:p w14:paraId="68DFDD02" w14:textId="77777777" w:rsidR="000B0092" w:rsidRPr="00BE78CA" w:rsidRDefault="000B0092" w:rsidP="00C26084">
            <w:pPr>
              <w:pStyle w:val="TableText"/>
              <w:spacing w:before="40" w:after="40"/>
              <w:ind w:right="454"/>
              <w:jc w:val="right"/>
              <w:rPr>
                <w:i/>
              </w:rPr>
            </w:pPr>
            <w:r w:rsidRPr="00BE78CA">
              <w:t>0.1</w:t>
            </w:r>
          </w:p>
        </w:tc>
      </w:tr>
      <w:tr w:rsidR="000B0092" w:rsidRPr="00BE78CA" w14:paraId="769AE7FE" w14:textId="77777777" w:rsidTr="00C26084">
        <w:trPr>
          <w:jc w:val="center"/>
        </w:trPr>
        <w:tc>
          <w:tcPr>
            <w:tcW w:w="1242" w:type="dxa"/>
            <w:tcBorders>
              <w:top w:val="single" w:sz="4" w:space="0" w:color="365F91"/>
              <w:left w:val="nil"/>
              <w:bottom w:val="single" w:sz="4" w:space="0" w:color="365F91"/>
              <w:right w:val="single" w:sz="4" w:space="0" w:color="365F91"/>
            </w:tcBorders>
            <w:vAlign w:val="center"/>
            <w:hideMark/>
          </w:tcPr>
          <w:p w14:paraId="63D9BB14" w14:textId="77777777" w:rsidR="000B0092" w:rsidRPr="00BE78CA" w:rsidRDefault="000B0092" w:rsidP="00C26084">
            <w:pPr>
              <w:pStyle w:val="TableText"/>
              <w:spacing w:before="40" w:after="40"/>
              <w:jc w:val="center"/>
              <w:rPr>
                <w:i/>
              </w:rPr>
            </w:pPr>
            <w:r w:rsidRPr="00BE78CA">
              <w:t>Na</w:t>
            </w:r>
            <w:r w:rsidRPr="00BE78CA">
              <w:rPr>
                <w:vertAlign w:val="subscript"/>
              </w:rPr>
              <w:t>2</w:t>
            </w:r>
            <w:r w:rsidRPr="00BE78CA">
              <w:t>O</w:t>
            </w:r>
          </w:p>
        </w:tc>
        <w:tc>
          <w:tcPr>
            <w:tcW w:w="1448" w:type="dxa"/>
            <w:tcBorders>
              <w:top w:val="single" w:sz="4" w:space="0" w:color="365F91"/>
              <w:left w:val="single" w:sz="4" w:space="0" w:color="365F91"/>
              <w:bottom w:val="single" w:sz="4" w:space="0" w:color="365F91"/>
              <w:right w:val="nil"/>
            </w:tcBorders>
            <w:vAlign w:val="center"/>
            <w:hideMark/>
          </w:tcPr>
          <w:p w14:paraId="32EAD930" w14:textId="77777777" w:rsidR="000B0092" w:rsidRPr="00BE78CA" w:rsidRDefault="000B0092" w:rsidP="00C26084">
            <w:pPr>
              <w:pStyle w:val="TableText"/>
              <w:spacing w:before="40" w:after="40"/>
              <w:ind w:right="454"/>
              <w:jc w:val="right"/>
              <w:rPr>
                <w:i/>
              </w:rPr>
            </w:pPr>
            <w:r w:rsidRPr="00BE78CA">
              <w:t>0.1</w:t>
            </w:r>
          </w:p>
        </w:tc>
      </w:tr>
      <w:tr w:rsidR="000B0092" w:rsidRPr="00BE78CA" w14:paraId="28A739BF" w14:textId="77777777" w:rsidTr="00C26084">
        <w:trPr>
          <w:jc w:val="center"/>
        </w:trPr>
        <w:tc>
          <w:tcPr>
            <w:tcW w:w="1242" w:type="dxa"/>
            <w:tcBorders>
              <w:top w:val="single" w:sz="4" w:space="0" w:color="365F91"/>
              <w:left w:val="nil"/>
              <w:bottom w:val="single" w:sz="4" w:space="0" w:color="365F91"/>
              <w:right w:val="single" w:sz="4" w:space="0" w:color="365F91"/>
            </w:tcBorders>
            <w:vAlign w:val="center"/>
            <w:hideMark/>
          </w:tcPr>
          <w:p w14:paraId="2FC2E825" w14:textId="77777777" w:rsidR="000B0092" w:rsidRPr="00BE78CA" w:rsidRDefault="000B0092" w:rsidP="00C26084">
            <w:pPr>
              <w:pStyle w:val="TableText"/>
              <w:spacing w:before="40" w:after="40"/>
              <w:jc w:val="center"/>
              <w:rPr>
                <w:i/>
              </w:rPr>
            </w:pPr>
            <w:r w:rsidRPr="00BE78CA">
              <w:t>Cr</w:t>
            </w:r>
          </w:p>
        </w:tc>
        <w:tc>
          <w:tcPr>
            <w:tcW w:w="1448" w:type="dxa"/>
            <w:tcBorders>
              <w:top w:val="single" w:sz="4" w:space="0" w:color="365F91"/>
              <w:left w:val="single" w:sz="4" w:space="0" w:color="365F91"/>
              <w:bottom w:val="single" w:sz="4" w:space="0" w:color="365F91"/>
              <w:right w:val="nil"/>
            </w:tcBorders>
            <w:vAlign w:val="center"/>
            <w:hideMark/>
          </w:tcPr>
          <w:p w14:paraId="6350AA6E" w14:textId="77777777" w:rsidR="000B0092" w:rsidRPr="00BE78CA" w:rsidRDefault="000B0092" w:rsidP="00C26084">
            <w:pPr>
              <w:pStyle w:val="TableText"/>
              <w:spacing w:before="40" w:after="40"/>
              <w:ind w:right="454"/>
              <w:jc w:val="right"/>
              <w:rPr>
                <w:i/>
              </w:rPr>
            </w:pPr>
            <w:r w:rsidRPr="00BE78CA">
              <w:t>0.0</w:t>
            </w:r>
          </w:p>
        </w:tc>
      </w:tr>
      <w:tr w:rsidR="000B0092" w:rsidRPr="00BE78CA" w14:paraId="3C09C675" w14:textId="77777777" w:rsidTr="00C26084">
        <w:trPr>
          <w:jc w:val="center"/>
        </w:trPr>
        <w:tc>
          <w:tcPr>
            <w:tcW w:w="1242" w:type="dxa"/>
            <w:tcBorders>
              <w:top w:val="single" w:sz="4" w:space="0" w:color="365F91"/>
              <w:left w:val="nil"/>
              <w:bottom w:val="single" w:sz="4" w:space="0" w:color="365F91"/>
              <w:right w:val="single" w:sz="4" w:space="0" w:color="365F91"/>
            </w:tcBorders>
            <w:vAlign w:val="center"/>
            <w:hideMark/>
          </w:tcPr>
          <w:p w14:paraId="325F0A90" w14:textId="77777777" w:rsidR="000B0092" w:rsidRPr="00BE78CA" w:rsidRDefault="000B0092" w:rsidP="00C26084">
            <w:pPr>
              <w:pStyle w:val="TableText"/>
              <w:spacing w:before="40" w:after="40"/>
              <w:jc w:val="center"/>
              <w:rPr>
                <w:i/>
              </w:rPr>
            </w:pPr>
            <w:r w:rsidRPr="00BE78CA">
              <w:t>P</w:t>
            </w:r>
          </w:p>
        </w:tc>
        <w:tc>
          <w:tcPr>
            <w:tcW w:w="1448" w:type="dxa"/>
            <w:tcBorders>
              <w:top w:val="single" w:sz="4" w:space="0" w:color="365F91"/>
              <w:left w:val="single" w:sz="4" w:space="0" w:color="365F91"/>
              <w:bottom w:val="single" w:sz="4" w:space="0" w:color="365F91"/>
              <w:right w:val="nil"/>
            </w:tcBorders>
            <w:vAlign w:val="center"/>
            <w:hideMark/>
          </w:tcPr>
          <w:p w14:paraId="0324F64E" w14:textId="77777777" w:rsidR="000B0092" w:rsidRPr="00BE78CA" w:rsidRDefault="000B0092" w:rsidP="00C26084">
            <w:pPr>
              <w:pStyle w:val="TableText"/>
              <w:spacing w:before="40" w:after="40"/>
              <w:ind w:right="454"/>
              <w:jc w:val="right"/>
              <w:rPr>
                <w:i/>
              </w:rPr>
            </w:pPr>
            <w:r w:rsidRPr="00BE78CA">
              <w:t>0.0</w:t>
            </w:r>
          </w:p>
        </w:tc>
      </w:tr>
      <w:tr w:rsidR="000B0092" w:rsidRPr="00BE78CA" w14:paraId="70266987" w14:textId="77777777" w:rsidTr="00C26084">
        <w:trPr>
          <w:jc w:val="center"/>
        </w:trPr>
        <w:tc>
          <w:tcPr>
            <w:tcW w:w="1242" w:type="dxa"/>
            <w:tcBorders>
              <w:top w:val="single" w:sz="4" w:space="0" w:color="365F91"/>
              <w:left w:val="nil"/>
              <w:bottom w:val="single" w:sz="4" w:space="0" w:color="365F91"/>
              <w:right w:val="single" w:sz="4" w:space="0" w:color="365F91"/>
            </w:tcBorders>
            <w:vAlign w:val="center"/>
            <w:hideMark/>
          </w:tcPr>
          <w:p w14:paraId="5E0F5238" w14:textId="77777777" w:rsidR="000B0092" w:rsidRPr="00BE78CA" w:rsidRDefault="000B0092" w:rsidP="00C26084">
            <w:pPr>
              <w:pStyle w:val="TableText"/>
              <w:spacing w:before="40" w:after="40"/>
              <w:jc w:val="center"/>
              <w:rPr>
                <w:i/>
              </w:rPr>
            </w:pPr>
            <w:r w:rsidRPr="00BE78CA">
              <w:t>K</w:t>
            </w:r>
            <w:r w:rsidRPr="00BE78CA">
              <w:rPr>
                <w:vertAlign w:val="subscript"/>
              </w:rPr>
              <w:t>2</w:t>
            </w:r>
            <w:r w:rsidRPr="00BE78CA">
              <w:t>O</w:t>
            </w:r>
          </w:p>
        </w:tc>
        <w:tc>
          <w:tcPr>
            <w:tcW w:w="1448" w:type="dxa"/>
            <w:tcBorders>
              <w:top w:val="single" w:sz="4" w:space="0" w:color="365F91"/>
              <w:left w:val="single" w:sz="4" w:space="0" w:color="365F91"/>
              <w:bottom w:val="single" w:sz="4" w:space="0" w:color="365F91"/>
              <w:right w:val="nil"/>
            </w:tcBorders>
            <w:vAlign w:val="center"/>
            <w:hideMark/>
          </w:tcPr>
          <w:p w14:paraId="0CD2056A" w14:textId="77777777" w:rsidR="000B0092" w:rsidRPr="00BE78CA" w:rsidRDefault="000B0092" w:rsidP="00C26084">
            <w:pPr>
              <w:pStyle w:val="TableText"/>
              <w:spacing w:before="40" w:after="40"/>
              <w:ind w:right="454"/>
              <w:jc w:val="right"/>
              <w:rPr>
                <w:i/>
              </w:rPr>
            </w:pPr>
            <w:r w:rsidRPr="00BE78CA">
              <w:t>0.0</w:t>
            </w:r>
          </w:p>
        </w:tc>
      </w:tr>
      <w:tr w:rsidR="000B0092" w:rsidRPr="00BE78CA" w14:paraId="2938C56B" w14:textId="77777777" w:rsidTr="00C26084">
        <w:trPr>
          <w:jc w:val="center"/>
        </w:trPr>
        <w:tc>
          <w:tcPr>
            <w:tcW w:w="1242" w:type="dxa"/>
            <w:tcBorders>
              <w:top w:val="single" w:sz="4" w:space="0" w:color="365F91"/>
              <w:left w:val="nil"/>
              <w:bottom w:val="single" w:sz="4" w:space="0" w:color="365F91"/>
              <w:right w:val="single" w:sz="4" w:space="0" w:color="365F91"/>
            </w:tcBorders>
            <w:vAlign w:val="center"/>
            <w:hideMark/>
          </w:tcPr>
          <w:p w14:paraId="0CAB5ED3" w14:textId="77777777" w:rsidR="000B0092" w:rsidRPr="00BE78CA" w:rsidRDefault="000B0092" w:rsidP="00C26084">
            <w:pPr>
              <w:pStyle w:val="TableText"/>
              <w:spacing w:before="40" w:after="40"/>
              <w:jc w:val="center"/>
              <w:rPr>
                <w:i/>
              </w:rPr>
            </w:pPr>
            <w:r w:rsidRPr="00BE78CA">
              <w:t>Cu</w:t>
            </w:r>
          </w:p>
        </w:tc>
        <w:tc>
          <w:tcPr>
            <w:tcW w:w="1448" w:type="dxa"/>
            <w:tcBorders>
              <w:top w:val="single" w:sz="4" w:space="0" w:color="365F91"/>
              <w:left w:val="single" w:sz="4" w:space="0" w:color="365F91"/>
              <w:bottom w:val="single" w:sz="4" w:space="0" w:color="365F91"/>
              <w:right w:val="nil"/>
            </w:tcBorders>
            <w:vAlign w:val="center"/>
            <w:hideMark/>
          </w:tcPr>
          <w:p w14:paraId="25618505" w14:textId="77777777" w:rsidR="000B0092" w:rsidRPr="00BE78CA" w:rsidRDefault="000B0092" w:rsidP="00C26084">
            <w:pPr>
              <w:pStyle w:val="TableText"/>
              <w:spacing w:before="40" w:after="40"/>
              <w:ind w:right="454"/>
              <w:jc w:val="right"/>
              <w:rPr>
                <w:i/>
              </w:rPr>
            </w:pPr>
            <w:r w:rsidRPr="00BE78CA">
              <w:t>0.0</w:t>
            </w:r>
          </w:p>
        </w:tc>
      </w:tr>
      <w:tr w:rsidR="000B0092" w:rsidRPr="00BE78CA" w14:paraId="7CED5C1B" w14:textId="77777777" w:rsidTr="00C26084">
        <w:trPr>
          <w:jc w:val="center"/>
        </w:trPr>
        <w:tc>
          <w:tcPr>
            <w:tcW w:w="1242" w:type="dxa"/>
            <w:tcBorders>
              <w:top w:val="single" w:sz="4" w:space="0" w:color="365F91"/>
              <w:left w:val="nil"/>
              <w:bottom w:val="single" w:sz="4" w:space="0" w:color="365F91"/>
              <w:right w:val="single" w:sz="4" w:space="0" w:color="365F91"/>
            </w:tcBorders>
            <w:vAlign w:val="center"/>
            <w:hideMark/>
          </w:tcPr>
          <w:p w14:paraId="01FA60FB" w14:textId="77777777" w:rsidR="000B0092" w:rsidRPr="00BE78CA" w:rsidRDefault="000B0092" w:rsidP="00C26084">
            <w:pPr>
              <w:pStyle w:val="TableText"/>
              <w:spacing w:before="40" w:after="40"/>
              <w:jc w:val="center"/>
              <w:rPr>
                <w:i/>
              </w:rPr>
            </w:pPr>
            <w:r w:rsidRPr="00BE78CA">
              <w:t>Total</w:t>
            </w:r>
          </w:p>
        </w:tc>
        <w:tc>
          <w:tcPr>
            <w:tcW w:w="1448" w:type="dxa"/>
            <w:tcBorders>
              <w:top w:val="single" w:sz="4" w:space="0" w:color="365F91"/>
              <w:left w:val="single" w:sz="4" w:space="0" w:color="365F91"/>
              <w:bottom w:val="single" w:sz="4" w:space="0" w:color="365F91"/>
              <w:right w:val="nil"/>
            </w:tcBorders>
            <w:vAlign w:val="center"/>
            <w:hideMark/>
          </w:tcPr>
          <w:p w14:paraId="7D673F1E" w14:textId="77777777" w:rsidR="000B0092" w:rsidRPr="00BE78CA" w:rsidRDefault="000B0092" w:rsidP="00C26084">
            <w:pPr>
              <w:pStyle w:val="TableText"/>
              <w:spacing w:before="40" w:after="40"/>
              <w:ind w:right="454"/>
              <w:jc w:val="right"/>
              <w:rPr>
                <w:i/>
              </w:rPr>
            </w:pPr>
            <w:r w:rsidRPr="00BE78CA">
              <w:t>100.0</w:t>
            </w:r>
          </w:p>
        </w:tc>
      </w:tr>
    </w:tbl>
    <w:p w14:paraId="38F37278" w14:textId="77777777" w:rsidR="000B0092" w:rsidRPr="00BE78CA" w:rsidRDefault="000B0092" w:rsidP="000B0092">
      <w:pPr>
        <w:pStyle w:val="BodyText"/>
        <w:keepNext/>
        <w:spacing w:before="360"/>
      </w:pPr>
      <w:r w:rsidRPr="00BE78CA">
        <w:lastRenderedPageBreak/>
        <w:t>Figure 4.4.1 shows a simplified illustration of steel production in New Zealand.</w:t>
      </w:r>
    </w:p>
    <w:p w14:paraId="6E7B2667" w14:textId="77777777" w:rsidR="000B0092" w:rsidRPr="00BE78CA" w:rsidRDefault="000B0092" w:rsidP="000B0092">
      <w:pPr>
        <w:pStyle w:val="Figure"/>
        <w:spacing w:after="0"/>
      </w:pPr>
      <w:bookmarkStart w:id="440" w:name="_Toc5269682"/>
      <w:bookmarkStart w:id="441" w:name="_Toc36292785"/>
      <w:bookmarkStart w:id="442" w:name="_Toc68786650"/>
      <w:r w:rsidRPr="00BE78CA">
        <w:t xml:space="preserve">Figure 4.4.1 </w:t>
      </w:r>
      <w:r w:rsidRPr="00BE78CA">
        <w:tab/>
        <w:t>Simplified schematic of iron and steel production in New Zealand</w:t>
      </w:r>
      <w:bookmarkEnd w:id="440"/>
      <w:bookmarkEnd w:id="441"/>
      <w:bookmarkEnd w:id="442"/>
    </w:p>
    <w:p w14:paraId="057D4232" w14:textId="77777777" w:rsidR="000B0092" w:rsidRPr="00BE78CA" w:rsidRDefault="000B0092" w:rsidP="000B0092">
      <w:pPr>
        <w:pStyle w:val="BodyText"/>
      </w:pPr>
      <w:r w:rsidRPr="00BE78CA">
        <w:rPr>
          <w:noProof/>
        </w:rPr>
        <w:drawing>
          <wp:inline distT="0" distB="0" distL="0" distR="0" wp14:anchorId="43A8D40B" wp14:editId="3EDB8CFB">
            <wp:extent cx="5286375" cy="32004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9">
                      <a:extLst>
                        <a:ext uri="{28A0092B-C50C-407E-A947-70E740481C1C}">
                          <a14:useLocalDpi xmlns:a14="http://schemas.microsoft.com/office/drawing/2010/main" val="0"/>
                        </a:ext>
                      </a:extLst>
                    </a:blip>
                    <a:srcRect l="21162" t="26622" r="26767" b="14345"/>
                    <a:stretch>
                      <a:fillRect/>
                    </a:stretch>
                  </pic:blipFill>
                  <pic:spPr bwMode="auto">
                    <a:xfrm>
                      <a:off x="0" y="0"/>
                      <a:ext cx="5286375" cy="3200400"/>
                    </a:xfrm>
                    <a:prstGeom prst="rect">
                      <a:avLst/>
                    </a:prstGeom>
                    <a:noFill/>
                    <a:ln>
                      <a:noFill/>
                    </a:ln>
                  </pic:spPr>
                </pic:pic>
              </a:graphicData>
            </a:graphic>
          </wp:inline>
        </w:drawing>
      </w:r>
    </w:p>
    <w:p w14:paraId="3161268C" w14:textId="77777777" w:rsidR="000B0092" w:rsidRPr="00BE78CA" w:rsidRDefault="000B0092" w:rsidP="000B0092">
      <w:pPr>
        <w:pStyle w:val="BodyText"/>
      </w:pPr>
      <w:r w:rsidRPr="00BE78CA">
        <w:t>Nearly all of the carbon entering the process is from coal used as a reductant in the iron-making process, and nearly all of this is emitted as CO</w:t>
      </w:r>
      <w:r w:rsidRPr="00BE78CA">
        <w:rPr>
          <w:vertAlign w:val="subscript"/>
        </w:rPr>
        <w:t>2</w:t>
      </w:r>
      <w:r w:rsidRPr="00BE78CA">
        <w:t xml:space="preserve"> in two waste gas streams: </w:t>
      </w:r>
    </w:p>
    <w:p w14:paraId="77108D0B" w14:textId="77777777" w:rsidR="000B0092" w:rsidRPr="00BE78CA" w:rsidRDefault="000B0092" w:rsidP="000B0092">
      <w:pPr>
        <w:pStyle w:val="Bullet"/>
      </w:pPr>
      <w:r w:rsidRPr="00BE78CA">
        <w:t>gas generated in multihearth furnaces used to heat and dry concentrated iron sand and coal – this gas contains excess volatiles from the coal</w:t>
      </w:r>
    </w:p>
    <w:p w14:paraId="50FFC413" w14:textId="2333BE03" w:rsidR="000B0092" w:rsidRPr="00BE78CA" w:rsidRDefault="000B0092" w:rsidP="000B0092">
      <w:pPr>
        <w:pStyle w:val="Bullet"/>
      </w:pPr>
      <w:r w:rsidRPr="00BE78CA">
        <w:t xml:space="preserve">gas generated in rotary reduction kilns used to convert oxide in the iron sand to iron </w:t>
      </w:r>
      <w:r w:rsidR="00F427FF" w:rsidRPr="00BE78CA">
        <w:br/>
      </w:r>
      <w:r w:rsidRPr="00BE78CA">
        <w:t xml:space="preserve">– this gas is rich in CO. </w:t>
      </w:r>
    </w:p>
    <w:p w14:paraId="7F11E816" w14:textId="77777777" w:rsidR="000B0092" w:rsidRPr="00BE78CA" w:rsidRDefault="000B0092" w:rsidP="000B0092">
      <w:pPr>
        <w:pStyle w:val="BodyText"/>
        <w:spacing w:before="100" w:after="100"/>
      </w:pPr>
      <w:r w:rsidRPr="00BE78CA">
        <w:t xml:space="preserve">All of this waste gas is combusted in ‘afterburners’ and used for electricity production. It would not be acceptable for gas containing coal volatiles or CO to be emitted without this combustion stage. There is no other flaring or disposal mode for the waste gases. </w:t>
      </w:r>
    </w:p>
    <w:p w14:paraId="6D01965D" w14:textId="77777777" w:rsidR="000B0092" w:rsidRPr="00BE78CA" w:rsidRDefault="000B0092" w:rsidP="000B0092">
      <w:pPr>
        <w:pStyle w:val="BodyText"/>
        <w:spacing w:before="100" w:after="100"/>
      </w:pPr>
      <w:r w:rsidRPr="00BE78CA">
        <w:t>Much smaller amounts of CO</w:t>
      </w:r>
      <w:r w:rsidRPr="00BE78CA">
        <w:rPr>
          <w:vertAlign w:val="subscript"/>
        </w:rPr>
        <w:t>2</w:t>
      </w:r>
      <w:r w:rsidRPr="00BE78CA">
        <w:t xml:space="preserve"> are derived from limestone added to the multihearth furnaces, and from additives and natural gas used in melters and steel making. </w:t>
      </w:r>
    </w:p>
    <w:p w14:paraId="70F27015" w14:textId="77777777" w:rsidR="000B0092" w:rsidRPr="00BE78CA" w:rsidRDefault="000B0092" w:rsidP="000B0092">
      <w:pPr>
        <w:pStyle w:val="Heading5"/>
      </w:pPr>
      <w:r w:rsidRPr="00BE78CA">
        <w:t>Aluminium production (2.C.3)</w:t>
      </w:r>
    </w:p>
    <w:p w14:paraId="1FC2D10A" w14:textId="77777777" w:rsidR="000B0092" w:rsidRPr="00BE78CA" w:rsidRDefault="000B0092" w:rsidP="000B0092">
      <w:pPr>
        <w:pStyle w:val="BodyText"/>
      </w:pPr>
      <w:r w:rsidRPr="00BE78CA">
        <w:t>Carbon dioxide is emitted during the oxidation of carbon anodes. The two PFCs perfluoromethane (CF</w:t>
      </w:r>
      <w:r w:rsidRPr="00BE78CA">
        <w:rPr>
          <w:vertAlign w:val="subscript"/>
        </w:rPr>
        <w:t>4</w:t>
      </w:r>
      <w:r w:rsidRPr="00BE78CA">
        <w:t>) and perfluoroethane (C</w:t>
      </w:r>
      <w:r w:rsidRPr="00BE78CA">
        <w:rPr>
          <w:vertAlign w:val="subscript"/>
        </w:rPr>
        <w:t>2</w:t>
      </w:r>
      <w:r w:rsidRPr="00BE78CA">
        <w:t>F</w:t>
      </w:r>
      <w:r w:rsidRPr="00BE78CA">
        <w:rPr>
          <w:vertAlign w:val="subscript"/>
        </w:rPr>
        <w:t>6</w:t>
      </w:r>
      <w:r w:rsidRPr="00BE78CA">
        <w:t xml:space="preserve">) are emitted from the reduction cells used for smelting during anode effects. An anode effect occurs when the aluminium oxide concentration in the cell is low. The emissions from combustion of various fuels used in aluminium production (heavy fuel oil, liquefied petroleum gas, petrol and diesel) are reported under the Energy sector. </w:t>
      </w:r>
    </w:p>
    <w:p w14:paraId="0FDA2668" w14:textId="77777777" w:rsidR="000B0092" w:rsidRPr="00BE78CA" w:rsidRDefault="000B0092" w:rsidP="000B0092">
      <w:pPr>
        <w:pStyle w:val="BodyText"/>
      </w:pPr>
      <w:r w:rsidRPr="00BE78CA">
        <w:t xml:space="preserve">In 2019, the </w:t>
      </w:r>
      <w:r w:rsidRPr="00BE78CA">
        <w:rPr>
          <w:i/>
        </w:rPr>
        <w:t>Aluminium production</w:t>
      </w:r>
      <w:r w:rsidRPr="00BE78CA">
        <w:t xml:space="preserve"> category accounted for 674.9 kt CO</w:t>
      </w:r>
      <w:r w:rsidRPr="00BE78CA">
        <w:rPr>
          <w:vertAlign w:val="subscript"/>
        </w:rPr>
        <w:t>2</w:t>
      </w:r>
      <w:r w:rsidRPr="00BE78CA">
        <w:t xml:space="preserve">-e (29.0 per cent) of emissions from the </w:t>
      </w:r>
      <w:r w:rsidRPr="00BE78CA">
        <w:rPr>
          <w:i/>
        </w:rPr>
        <w:t>Metal industry</w:t>
      </w:r>
      <w:r w:rsidRPr="00BE78CA">
        <w:t xml:space="preserve"> category. Activity data (production of hot metal aluminium from the smelter) and estimates of CO</w:t>
      </w:r>
      <w:r w:rsidRPr="00BE78CA">
        <w:rPr>
          <w:vertAlign w:val="subscript"/>
        </w:rPr>
        <w:t xml:space="preserve">2 </w:t>
      </w:r>
      <w:r w:rsidRPr="00BE78CA">
        <w:t>and PFC emissions were supplied by NZAS to MBIE until 2010. From 2011 to 2018, the CO</w:t>
      </w:r>
      <w:r w:rsidRPr="00BE78CA">
        <w:rPr>
          <w:vertAlign w:val="subscript"/>
        </w:rPr>
        <w:t>2</w:t>
      </w:r>
      <w:r w:rsidRPr="00BE78CA">
        <w:t xml:space="preserve"> and PFC emissions data and activity data were sourced from the company’s NZ ETS reporting. </w:t>
      </w:r>
    </w:p>
    <w:p w14:paraId="3F0018FB" w14:textId="77777777" w:rsidR="000B0092" w:rsidRPr="00BE78CA" w:rsidRDefault="000B0092" w:rsidP="000B0092">
      <w:pPr>
        <w:pStyle w:val="Heading5"/>
      </w:pPr>
      <w:r w:rsidRPr="00BE78CA">
        <w:lastRenderedPageBreak/>
        <w:t>Magnesium and other metal production</w:t>
      </w:r>
    </w:p>
    <w:p w14:paraId="01CB2DAE" w14:textId="77777777" w:rsidR="000B0092" w:rsidRPr="00BE78CA" w:rsidRDefault="000B0092" w:rsidP="000B0092">
      <w:pPr>
        <w:pStyle w:val="BodyText"/>
        <w:spacing w:before="100" w:after="100"/>
      </w:pPr>
      <w:r w:rsidRPr="00BE78CA">
        <w:t>From 1990 to 1999 a very small amount of SF</w:t>
      </w:r>
      <w:r w:rsidRPr="00BE78CA">
        <w:rPr>
          <w:vertAlign w:val="subscript"/>
        </w:rPr>
        <w:t>6</w:t>
      </w:r>
      <w:r w:rsidRPr="00BE78CA">
        <w:t xml:space="preserve"> was used as a cover gas in a magnesium foundry. Emissions are estimated based on an approximate estimate of the amount of SF</w:t>
      </w:r>
      <w:r w:rsidRPr="00BE78CA">
        <w:rPr>
          <w:vertAlign w:val="subscript"/>
        </w:rPr>
        <w:t>6</w:t>
      </w:r>
      <w:r w:rsidRPr="00BE78CA">
        <w:t xml:space="preserve"> that was used (2.C.4). No other activity data are available (CRL Energy, </w:t>
      </w:r>
      <w:r w:rsidRPr="00BE78CA">
        <w:rPr>
          <w:rFonts w:eastAsia="+mn-ea"/>
        </w:rPr>
        <w:t>unpublished(b)</w:t>
      </w:r>
      <w:r w:rsidRPr="00BE78CA">
        <w:t xml:space="preserve">). </w:t>
      </w:r>
    </w:p>
    <w:p w14:paraId="6AA40D2D" w14:textId="77777777" w:rsidR="000B0092" w:rsidRPr="00BE78CA" w:rsidRDefault="000B0092" w:rsidP="000B0092">
      <w:pPr>
        <w:pStyle w:val="BodyText"/>
        <w:spacing w:before="100" w:after="100"/>
      </w:pPr>
      <w:r w:rsidRPr="00BE78CA">
        <w:t>A very small amount of CO</w:t>
      </w:r>
      <w:r w:rsidRPr="00BE78CA">
        <w:rPr>
          <w:vertAlign w:val="subscript"/>
        </w:rPr>
        <w:t>2</w:t>
      </w:r>
      <w:r w:rsidRPr="00BE78CA">
        <w:t xml:space="preserve"> emissions was also reported from secondary lead production between 1990 and 2015, with the approximate recycled lead output as the activity data. This production has now stopped. The only other metal production that occurs in New Zealand is gold and silver mining. No emissions are reported from these activities. </w:t>
      </w:r>
    </w:p>
    <w:p w14:paraId="329A748E" w14:textId="77777777" w:rsidR="000B0092" w:rsidRPr="00BE78CA" w:rsidRDefault="000B0092" w:rsidP="000B0092">
      <w:pPr>
        <w:pStyle w:val="Heading4"/>
      </w:pPr>
      <w:r w:rsidRPr="00BE78CA">
        <w:t>Choice of methods</w:t>
      </w:r>
    </w:p>
    <w:p w14:paraId="6A764A11" w14:textId="77777777" w:rsidR="000B0092" w:rsidRPr="00BE78CA" w:rsidRDefault="000B0092" w:rsidP="000B0092">
      <w:pPr>
        <w:pStyle w:val="Heading5"/>
        <w:spacing w:before="120"/>
      </w:pPr>
      <w:r w:rsidRPr="00BE78CA">
        <w:t>Iron and steel production (2.C.1 and 2.C.1.a)</w:t>
      </w:r>
    </w:p>
    <w:p w14:paraId="57047040" w14:textId="77777777" w:rsidR="000B0092" w:rsidRPr="00BE78CA" w:rsidRDefault="000B0092" w:rsidP="000B0092">
      <w:pPr>
        <w:pStyle w:val="BodyText"/>
        <w:spacing w:before="100" w:after="100"/>
      </w:pPr>
      <w:r w:rsidRPr="00BE78CA">
        <w:t>The IPCC Tier 2 approach is used for calculating CO</w:t>
      </w:r>
      <w:r w:rsidRPr="00BE78CA">
        <w:rPr>
          <w:vertAlign w:val="subscript"/>
        </w:rPr>
        <w:t>2</w:t>
      </w:r>
      <w:r w:rsidRPr="00BE78CA">
        <w:t xml:space="preserve"> emissions from the iron and steel plant operated by New Zealand Steel Limited. Emissions from pig iron and steel production are not estimated separately because all of the iron made is processed into steel. This is a mass balance approach in which all carbon in inputs is assumed to be emitted, except the small amount sequestered in the steel produced. </w:t>
      </w:r>
    </w:p>
    <w:p w14:paraId="60532DAD" w14:textId="77777777" w:rsidR="000B0092" w:rsidRPr="00BE78CA" w:rsidRDefault="000B0092" w:rsidP="000B0092">
      <w:pPr>
        <w:pStyle w:val="BodyText"/>
        <w:spacing w:before="100" w:after="100"/>
      </w:pPr>
      <w:r w:rsidRPr="00BE78CA">
        <w:t>Most of the input carbon comes from the coal used as a reductant. There are also some CO</w:t>
      </w:r>
      <w:r w:rsidRPr="00BE78CA">
        <w:rPr>
          <w:vertAlign w:val="subscript"/>
        </w:rPr>
        <w:t>2</w:t>
      </w:r>
      <w:r w:rsidRPr="00BE78CA">
        <w:t xml:space="preserve"> emissions from the use of limestone in iron and steel production. These emissions are reported in the </w:t>
      </w:r>
      <w:r w:rsidRPr="00BE78CA">
        <w:rPr>
          <w:i/>
        </w:rPr>
        <w:t>Mineral industry</w:t>
      </w:r>
      <w:r w:rsidRPr="00BE78CA">
        <w:t xml:space="preserve"> category (2.A.4.d), to preserve the confidentiality of data on limestone use supplied by companies in the </w:t>
      </w:r>
      <w:r w:rsidRPr="00BE78CA">
        <w:rPr>
          <w:i/>
        </w:rPr>
        <w:t>Glass production</w:t>
      </w:r>
      <w:r w:rsidRPr="00BE78CA">
        <w:t xml:space="preserve"> category. A very small amount of CO</w:t>
      </w:r>
      <w:r w:rsidRPr="00BE78CA">
        <w:rPr>
          <w:vertAlign w:val="subscript"/>
        </w:rPr>
        <w:t>2</w:t>
      </w:r>
      <w:r w:rsidRPr="00BE78CA">
        <w:t xml:space="preserve"> from other carbon-containing inputs (coke and electrodes) is also included. </w:t>
      </w:r>
    </w:p>
    <w:p w14:paraId="720C2B4C" w14:textId="77777777" w:rsidR="000B0092" w:rsidRPr="00BE78CA" w:rsidRDefault="000B0092" w:rsidP="000B0092">
      <w:pPr>
        <w:pStyle w:val="BodyText"/>
        <w:spacing w:before="100" w:after="100"/>
      </w:pPr>
      <w:r w:rsidRPr="00BE78CA">
        <w:t xml:space="preserve">Emissions from the production of steel by Pacific Steel have also been estimated using the Tier 2 mass balance approach. The average carbon content (0.2 per cent by mass) in the finished product is subtracted from the total carbon in inputs to obtain the amount of carbon emitted. Due to limited process data collected and retained by Pacific Steel in the past, emissions for the years 1990 to 1999 were calculated using the average of the implied emission factors for 2000 to 2008 based on production volume. </w:t>
      </w:r>
    </w:p>
    <w:p w14:paraId="57E60090" w14:textId="77777777" w:rsidR="000B0092" w:rsidRPr="00BE78CA" w:rsidRDefault="000B0092" w:rsidP="000B0092">
      <w:pPr>
        <w:pStyle w:val="Heading5"/>
        <w:spacing w:before="180"/>
      </w:pPr>
      <w:r w:rsidRPr="00BE78CA">
        <w:t>Aluminium production (2.C.3)</w:t>
      </w:r>
    </w:p>
    <w:p w14:paraId="2DB07B31" w14:textId="77777777" w:rsidR="000B0092" w:rsidRPr="00BE78CA" w:rsidRDefault="000B0092" w:rsidP="000B0092">
      <w:pPr>
        <w:pStyle w:val="BodyText"/>
        <w:spacing w:before="100"/>
      </w:pPr>
      <w:r w:rsidRPr="00BE78CA">
        <w:t>NZAS calculates the process CO</w:t>
      </w:r>
      <w:r w:rsidRPr="00BE78CA">
        <w:rPr>
          <w:vertAlign w:val="subscript"/>
        </w:rPr>
        <w:t>2</w:t>
      </w:r>
      <w:r w:rsidRPr="00BE78CA">
        <w:t xml:space="preserve"> emissions using the International Aluminium Institute’s Tier 3 method (International Aluminium Institute, 2006, equations 1–3), which is compliant with the IPCC 2006a Tier 2 method. The same method is used in NZ ETS reporting for aluminium smelting. This method breaks the prebake anode process into three stages: baked anode consumption, pitch volatiles consumption and packing coke consumption. </w:t>
      </w:r>
    </w:p>
    <w:p w14:paraId="6672C956" w14:textId="77777777" w:rsidR="000B0092" w:rsidRPr="00BE78CA" w:rsidRDefault="000B0092" w:rsidP="000B0092">
      <w:pPr>
        <w:pStyle w:val="BodyText"/>
        <w:spacing w:after="100"/>
      </w:pPr>
      <w:r w:rsidRPr="00BE78CA">
        <w:t>Also, NZAS adds soda ash to the reduction cells to maintain the electrolyte chemical composition. This results in CO</w:t>
      </w:r>
      <w:r w:rsidRPr="00BE78CA">
        <w:rPr>
          <w:vertAlign w:val="subscript"/>
        </w:rPr>
        <w:t>2</w:t>
      </w:r>
      <w:r w:rsidRPr="00BE78CA">
        <w:t xml:space="preserve"> emissions as a by-product. These emissions are reported in the </w:t>
      </w:r>
      <w:r w:rsidRPr="00BE78CA">
        <w:rPr>
          <w:i/>
        </w:rPr>
        <w:t>Mineral industry</w:t>
      </w:r>
      <w:r w:rsidRPr="00BE78CA">
        <w:t xml:space="preserve"> category (2.A.4.b) to preserve the confidentiality of data on soda ash use supplied by companies in the </w:t>
      </w:r>
      <w:r w:rsidRPr="00BE78CA">
        <w:rPr>
          <w:i/>
        </w:rPr>
        <w:t>Glass production</w:t>
      </w:r>
      <w:r w:rsidRPr="00BE78CA">
        <w:t xml:space="preserve"> category. </w:t>
      </w:r>
    </w:p>
    <w:p w14:paraId="5CA2CD78" w14:textId="77777777" w:rsidR="000B0092" w:rsidRPr="00BE78CA" w:rsidRDefault="000B0092" w:rsidP="000B0092">
      <w:pPr>
        <w:pStyle w:val="BodyText"/>
        <w:spacing w:after="100"/>
      </w:pPr>
      <w:r w:rsidRPr="00BE78CA">
        <w:t>Data on the duration of anode effects at the smelter are available for 1993 and later years. Perfluorocarbon (CF</w:t>
      </w:r>
      <w:r w:rsidRPr="00BE78CA">
        <w:rPr>
          <w:vertAlign w:val="subscript"/>
        </w:rPr>
        <w:t>4</w:t>
      </w:r>
      <w:r w:rsidRPr="00BE78CA">
        <w:t xml:space="preserve"> and C</w:t>
      </w:r>
      <w:r w:rsidRPr="00BE78CA">
        <w:rPr>
          <w:vertAlign w:val="subscript"/>
        </w:rPr>
        <w:t>2</w:t>
      </w:r>
      <w:r w:rsidRPr="00BE78CA">
        <w:t>F</w:t>
      </w:r>
      <w:r w:rsidRPr="00BE78CA">
        <w:rPr>
          <w:vertAlign w:val="subscript"/>
        </w:rPr>
        <w:t>6</w:t>
      </w:r>
      <w:r w:rsidRPr="00BE78CA">
        <w:t xml:space="preserve">) emissions from aluminium production are estimated using: </w:t>
      </w:r>
    </w:p>
    <w:p w14:paraId="6CB15DA4" w14:textId="77777777" w:rsidR="000B0092" w:rsidRPr="00BE78CA" w:rsidRDefault="000B0092" w:rsidP="00FA2314">
      <w:pPr>
        <w:pStyle w:val="Bullet"/>
        <w:numPr>
          <w:ilvl w:val="0"/>
          <w:numId w:val="25"/>
        </w:numPr>
        <w:spacing w:after="100"/>
      </w:pPr>
      <w:r w:rsidRPr="00BE78CA">
        <w:t xml:space="preserve">the IPCC Tier 1 method for the years 1990 and 1991. The data needed to apply a Tier 2 method are not available </w:t>
      </w:r>
    </w:p>
    <w:p w14:paraId="6B624FBE" w14:textId="77777777" w:rsidR="000B0092" w:rsidRPr="00BE78CA" w:rsidRDefault="000B0092" w:rsidP="00FA2314">
      <w:pPr>
        <w:pStyle w:val="Bullet"/>
        <w:numPr>
          <w:ilvl w:val="0"/>
          <w:numId w:val="25"/>
        </w:numPr>
        <w:spacing w:after="100"/>
      </w:pPr>
      <w:r w:rsidRPr="00BE78CA">
        <w:t xml:space="preserve">interpolation for 1992; at this time, there was still no recording of anode effect duration </w:t>
      </w:r>
    </w:p>
    <w:p w14:paraId="359A0CE8" w14:textId="77777777" w:rsidR="000B0092" w:rsidRPr="00BE78CA" w:rsidRDefault="000B0092" w:rsidP="00FA2314">
      <w:pPr>
        <w:pStyle w:val="Bullet"/>
        <w:numPr>
          <w:ilvl w:val="0"/>
          <w:numId w:val="25"/>
        </w:numPr>
        <w:spacing w:after="100"/>
      </w:pPr>
      <w:r w:rsidRPr="00BE78CA">
        <w:t xml:space="preserve">the IPCC Tier 2 method (using slope coefficients) from 1993 to 2019. This methodology is applied in the reporting requirements the company now uses in its NZ ETS returns. </w:t>
      </w:r>
    </w:p>
    <w:p w14:paraId="71EDF4DF" w14:textId="77777777" w:rsidR="000B0092" w:rsidRPr="00BE78CA" w:rsidRDefault="000B0092" w:rsidP="000B0092">
      <w:pPr>
        <w:pStyle w:val="BodyText"/>
        <w:rPr>
          <w:spacing w:val="-2"/>
        </w:rPr>
      </w:pPr>
      <w:r w:rsidRPr="00BE78CA">
        <w:rPr>
          <w:spacing w:val="-2"/>
        </w:rPr>
        <w:lastRenderedPageBreak/>
        <w:t xml:space="preserve">There are no current plans for direct measurement of PFC emissions at the smelter, so it is not likely that site-specific slope coefficients (required for the use of Tier 3) will be available for some time. </w:t>
      </w:r>
    </w:p>
    <w:p w14:paraId="50D811FC" w14:textId="77777777" w:rsidR="000B0092" w:rsidRPr="00BE78CA" w:rsidRDefault="000B0092" w:rsidP="000B0092">
      <w:pPr>
        <w:pStyle w:val="Heading5"/>
        <w:spacing w:before="180"/>
      </w:pPr>
      <w:r w:rsidRPr="00BE78CA">
        <w:t>Magnesium production (2.C.4)</w:t>
      </w:r>
    </w:p>
    <w:p w14:paraId="0C36DDDF" w14:textId="77777777" w:rsidR="000B0092" w:rsidRPr="00BE78CA" w:rsidRDefault="000B0092" w:rsidP="000B0092">
      <w:pPr>
        <w:pStyle w:val="BodyText"/>
      </w:pPr>
      <w:r w:rsidRPr="00BE78CA">
        <w:t>Emissions are estimated based on an approximate estimate of the amount of SF</w:t>
      </w:r>
      <w:r w:rsidRPr="00BE78CA">
        <w:rPr>
          <w:vertAlign w:val="subscript"/>
        </w:rPr>
        <w:t>6</w:t>
      </w:r>
      <w:r w:rsidRPr="00BE78CA">
        <w:t xml:space="preserve"> that was used as cover gas and on the basis that all SF</w:t>
      </w:r>
      <w:r w:rsidRPr="00BE78CA">
        <w:rPr>
          <w:vertAlign w:val="subscript"/>
        </w:rPr>
        <w:t>6</w:t>
      </w:r>
      <w:r w:rsidRPr="00BE78CA">
        <w:t xml:space="preserve"> used is emitted. The method is Tier 1. </w:t>
      </w:r>
    </w:p>
    <w:p w14:paraId="2FEA6803" w14:textId="77777777" w:rsidR="000B0092" w:rsidRPr="00BE78CA" w:rsidRDefault="000B0092" w:rsidP="000B0092">
      <w:pPr>
        <w:pStyle w:val="Heading5"/>
        <w:spacing w:before="180"/>
      </w:pPr>
      <w:r w:rsidRPr="00BE78CA">
        <w:t>Lead production (2.C.5)</w:t>
      </w:r>
    </w:p>
    <w:p w14:paraId="4EA5172D" w14:textId="77777777" w:rsidR="000B0092" w:rsidRPr="00BE78CA" w:rsidRDefault="000B0092" w:rsidP="000B0092">
      <w:pPr>
        <w:pStyle w:val="BodyText"/>
      </w:pPr>
      <w:r w:rsidRPr="00BE78CA">
        <w:t xml:space="preserve">The Tier 1 methodology is used. </w:t>
      </w:r>
    </w:p>
    <w:p w14:paraId="2E76FC41" w14:textId="77777777" w:rsidR="000B0092" w:rsidRPr="00BE78CA" w:rsidRDefault="000B0092" w:rsidP="000B0092">
      <w:pPr>
        <w:pStyle w:val="Heading4"/>
      </w:pPr>
      <w:r w:rsidRPr="00BE78CA">
        <w:t>Choice of emission factors</w:t>
      </w:r>
    </w:p>
    <w:p w14:paraId="25B81A76" w14:textId="77777777" w:rsidR="000B0092" w:rsidRPr="00BE78CA" w:rsidRDefault="000B0092" w:rsidP="000B0092">
      <w:pPr>
        <w:pStyle w:val="Heading5"/>
        <w:spacing w:before="120"/>
      </w:pPr>
      <w:r w:rsidRPr="00BE78CA">
        <w:t>Carbon dioxide</w:t>
      </w:r>
    </w:p>
    <w:p w14:paraId="22DBFA55" w14:textId="77777777" w:rsidR="000B0092" w:rsidRPr="00BE78CA" w:rsidRDefault="000B0092" w:rsidP="000B0092">
      <w:pPr>
        <w:pStyle w:val="BodyText"/>
      </w:pPr>
      <w:r w:rsidRPr="00BE78CA">
        <w:t>Plant-specific emission factors are applied for the sub-bituminous coal used as a reducing agent in iron and steel production. For the early years, the coal emission factor was 0.0937 tonnes of CO</w:t>
      </w:r>
      <w:r w:rsidRPr="00BE78CA">
        <w:rPr>
          <w:vertAlign w:val="subscript"/>
        </w:rPr>
        <w:t>2</w:t>
      </w:r>
      <w:r w:rsidRPr="00BE78CA">
        <w:t xml:space="preserve"> per gigajoule. Plant-specific emission factors are also used for other carbon-containing inputs in both the </w:t>
      </w:r>
      <w:r w:rsidRPr="00BE78CA">
        <w:rPr>
          <w:i/>
        </w:rPr>
        <w:t>Iron and steel production</w:t>
      </w:r>
      <w:r w:rsidRPr="00BE78CA">
        <w:t xml:space="preserve"> and </w:t>
      </w:r>
      <w:r w:rsidRPr="00BE78CA">
        <w:rPr>
          <w:i/>
        </w:rPr>
        <w:t>Aluminium production</w:t>
      </w:r>
      <w:r w:rsidRPr="00BE78CA">
        <w:t xml:space="preserve"> categories. </w:t>
      </w:r>
    </w:p>
    <w:p w14:paraId="6C1F6412" w14:textId="77777777" w:rsidR="000B0092" w:rsidRPr="00BE78CA" w:rsidRDefault="000B0092" w:rsidP="000B0092">
      <w:pPr>
        <w:pStyle w:val="BodyText"/>
      </w:pPr>
      <w:r w:rsidRPr="00BE78CA">
        <w:t>For secondary lead production, the IPCC default emission factor (0.2 tonnes of CO</w:t>
      </w:r>
      <w:r w:rsidRPr="00BE78CA">
        <w:rPr>
          <w:vertAlign w:val="subscript"/>
        </w:rPr>
        <w:t>2</w:t>
      </w:r>
      <w:r w:rsidRPr="00BE78CA">
        <w:t xml:space="preserve"> per tonne of lead recycled) is used. </w:t>
      </w:r>
    </w:p>
    <w:p w14:paraId="0B4EF48A" w14:textId="77777777" w:rsidR="000B0092" w:rsidRPr="00BE78CA" w:rsidRDefault="000B0092" w:rsidP="000B0092">
      <w:pPr>
        <w:pStyle w:val="Heading5"/>
        <w:spacing w:before="180"/>
      </w:pPr>
      <w:r w:rsidRPr="00BE78CA">
        <w:t>Perfluorocarbons and SF</w:t>
      </w:r>
      <w:r w:rsidRPr="00BE78CA">
        <w:rPr>
          <w:vertAlign w:val="subscript"/>
        </w:rPr>
        <w:t>6</w:t>
      </w:r>
      <w:r w:rsidRPr="00BE78CA">
        <w:t xml:space="preserve"> </w:t>
      </w:r>
    </w:p>
    <w:p w14:paraId="6F07F81E" w14:textId="77777777" w:rsidR="000B0092" w:rsidRPr="00BE78CA" w:rsidRDefault="000B0092" w:rsidP="000B0092">
      <w:pPr>
        <w:pStyle w:val="BodyText"/>
      </w:pPr>
      <w:r w:rsidRPr="00BE78CA">
        <w:t>Default emission factors (slope coefficients) are used for emissions of CF</w:t>
      </w:r>
      <w:r w:rsidRPr="00BE78CA">
        <w:rPr>
          <w:vertAlign w:val="subscript"/>
        </w:rPr>
        <w:t>4</w:t>
      </w:r>
      <w:r w:rsidRPr="00BE78CA">
        <w:t xml:space="preserve"> and C</w:t>
      </w:r>
      <w:r w:rsidRPr="00BE78CA">
        <w:rPr>
          <w:vertAlign w:val="subscript"/>
        </w:rPr>
        <w:t>2</w:t>
      </w:r>
      <w:r w:rsidRPr="00BE78CA">
        <w:t>F</w:t>
      </w:r>
      <w:r w:rsidRPr="00BE78CA">
        <w:rPr>
          <w:vertAlign w:val="subscript"/>
        </w:rPr>
        <w:t>6</w:t>
      </w:r>
      <w:r w:rsidRPr="00BE78CA">
        <w:t xml:space="preserve"> from aluminium production. For the emissions in 1990 to 1992, when data on the duration of anode effects are not available and a Tier 1 method is used, the default emission factors of 0.4 kilograms CF</w:t>
      </w:r>
      <w:r w:rsidRPr="00BE78CA">
        <w:rPr>
          <w:vertAlign w:val="subscript"/>
        </w:rPr>
        <w:t>4</w:t>
      </w:r>
      <w:r w:rsidRPr="00BE78CA">
        <w:t xml:space="preserve"> and 0.04 kilograms C</w:t>
      </w:r>
      <w:r w:rsidRPr="00BE78CA">
        <w:rPr>
          <w:vertAlign w:val="subscript"/>
        </w:rPr>
        <w:t>2</w:t>
      </w:r>
      <w:r w:rsidRPr="00BE78CA">
        <w:t>F</w:t>
      </w:r>
      <w:r w:rsidRPr="00BE78CA">
        <w:rPr>
          <w:vertAlign w:val="subscript"/>
        </w:rPr>
        <w:t>6</w:t>
      </w:r>
      <w:r w:rsidRPr="00BE78CA">
        <w:t xml:space="preserve"> per tonne of aluminium are used. </w:t>
      </w:r>
    </w:p>
    <w:p w14:paraId="1FC69AA0" w14:textId="77777777" w:rsidR="000B0092" w:rsidRPr="00BE78CA" w:rsidRDefault="000B0092" w:rsidP="000B0092">
      <w:pPr>
        <w:pStyle w:val="BodyText"/>
      </w:pPr>
      <w:r w:rsidRPr="00BE78CA">
        <w:t>Emissions of SF</w:t>
      </w:r>
      <w:r w:rsidRPr="00BE78CA">
        <w:rPr>
          <w:vertAlign w:val="subscript"/>
        </w:rPr>
        <w:t>6</w:t>
      </w:r>
      <w:r w:rsidRPr="00BE78CA">
        <w:t xml:space="preserve"> used in magnesium casting are considered to be immediate. </w:t>
      </w:r>
    </w:p>
    <w:p w14:paraId="2126AC31" w14:textId="77777777" w:rsidR="000B0092" w:rsidRPr="00BE78CA" w:rsidRDefault="000B0092" w:rsidP="000B0092">
      <w:pPr>
        <w:pStyle w:val="Heading5"/>
        <w:spacing w:before="180"/>
      </w:pPr>
      <w:r w:rsidRPr="00BE78CA">
        <w:t>Indirect emissions</w:t>
      </w:r>
    </w:p>
    <w:p w14:paraId="63A892E3" w14:textId="77777777" w:rsidR="000B0092" w:rsidRPr="00BE78CA" w:rsidRDefault="000B0092" w:rsidP="000B0092">
      <w:pPr>
        <w:pStyle w:val="BodyText"/>
      </w:pPr>
      <w:r w:rsidRPr="00BE78CA">
        <w:t>Emissions of indirect greenhouse gases (CO, SO</w:t>
      </w:r>
      <w:r w:rsidRPr="00BE78CA">
        <w:rPr>
          <w:vertAlign w:val="subscript"/>
        </w:rPr>
        <w:t>2</w:t>
      </w:r>
      <w:r w:rsidRPr="00BE78CA">
        <w:t xml:space="preserve"> and NO</w:t>
      </w:r>
      <w:r w:rsidRPr="00BE78CA">
        <w:rPr>
          <w:vertAlign w:val="subscript"/>
        </w:rPr>
        <w:t>x</w:t>
      </w:r>
      <w:r w:rsidRPr="00BE78CA">
        <w:t xml:space="preserve">) are reported for the </w:t>
      </w:r>
      <w:r w:rsidRPr="00BE78CA">
        <w:rPr>
          <w:i/>
        </w:rPr>
        <w:t>Iron and steel</w:t>
      </w:r>
      <w:r w:rsidRPr="00BE78CA">
        <w:t> </w:t>
      </w:r>
      <w:r w:rsidRPr="00BE78CA">
        <w:rPr>
          <w:i/>
        </w:rPr>
        <w:t>production</w:t>
      </w:r>
      <w:r w:rsidRPr="00BE78CA">
        <w:t xml:space="preserve"> and </w:t>
      </w:r>
      <w:r w:rsidRPr="00BE78CA">
        <w:rPr>
          <w:i/>
        </w:rPr>
        <w:t>Aluminium production</w:t>
      </w:r>
      <w:r w:rsidRPr="00BE78CA">
        <w:t xml:space="preserve"> categories. These are based on a mass balance calculation (for SO</w:t>
      </w:r>
      <w:r w:rsidRPr="00BE78CA">
        <w:rPr>
          <w:vertAlign w:val="subscript"/>
        </w:rPr>
        <w:t>2</w:t>
      </w:r>
      <w:r w:rsidRPr="00BE78CA">
        <w:t xml:space="preserve">) and a mix of plant-specific emission factors and IPCC defaults for other gases (CRL Energy, </w:t>
      </w:r>
      <w:r w:rsidRPr="00BE78CA">
        <w:rPr>
          <w:rFonts w:eastAsia="+mn-ea"/>
        </w:rPr>
        <w:t>unpublished(a)</w:t>
      </w:r>
      <w:r w:rsidRPr="00BE78CA">
        <w:t xml:space="preserve">). </w:t>
      </w:r>
    </w:p>
    <w:p w14:paraId="55180C6B" w14:textId="77777777" w:rsidR="000B0092" w:rsidRPr="00BE78CA" w:rsidRDefault="000B0092" w:rsidP="000B0092">
      <w:pPr>
        <w:pStyle w:val="Heading3"/>
      </w:pPr>
      <w:r w:rsidRPr="00BE78CA">
        <w:t xml:space="preserve">4.4.3 </w:t>
      </w:r>
      <w:r w:rsidRPr="00BE78CA">
        <w:tab/>
        <w:t>Uncertainties and time-series consistency</w:t>
      </w:r>
    </w:p>
    <w:p w14:paraId="16A14BAD" w14:textId="77777777" w:rsidR="000B0092" w:rsidRPr="00BE78CA" w:rsidRDefault="000B0092" w:rsidP="000B0092">
      <w:pPr>
        <w:pStyle w:val="Heading4"/>
        <w:spacing w:before="160"/>
        <w:rPr>
          <w:bCs/>
          <w:iCs/>
        </w:rPr>
      </w:pPr>
      <w:r w:rsidRPr="00BE78CA">
        <w:t>Uncertainties</w:t>
      </w:r>
    </w:p>
    <w:p w14:paraId="44E0E76A" w14:textId="77777777" w:rsidR="000B0092" w:rsidRPr="00BE78CA" w:rsidRDefault="000B0092" w:rsidP="000B0092">
      <w:pPr>
        <w:pStyle w:val="BodyText"/>
      </w:pPr>
      <w:r w:rsidRPr="00BE78CA">
        <w:t>IPCC default uncertainties have been used for activity data (see table 4.4.2). For the CO</w:t>
      </w:r>
      <w:r w:rsidRPr="00BE78CA">
        <w:rPr>
          <w:vertAlign w:val="subscript"/>
        </w:rPr>
        <w:t>2</w:t>
      </w:r>
      <w:r w:rsidRPr="00BE78CA">
        <w:t xml:space="preserve"> emission factors in the </w:t>
      </w:r>
      <w:r w:rsidRPr="00BE78CA">
        <w:rPr>
          <w:i/>
        </w:rPr>
        <w:t>Iron and steel production</w:t>
      </w:r>
      <w:r w:rsidRPr="00BE78CA">
        <w:t xml:space="preserve"> category, an uncertainty of ±7 per cent was assessed to reflect some uncertainty in the carbon content of the product. An uncertainty of ±30 per cent was assessed for PFCs reflecting the use of Tier 1 methods for the first three years. The uncertainties for indirect gases were assessed on a site-specific basis at the time the data were collected (CRL Energy, </w:t>
      </w:r>
      <w:r w:rsidRPr="00BE78CA">
        <w:rPr>
          <w:rFonts w:eastAsia="+mn-ea"/>
        </w:rPr>
        <w:t>unpublished(a)</w:t>
      </w:r>
      <w:r w:rsidRPr="00BE78CA">
        <w:t xml:space="preserve">). </w:t>
      </w:r>
    </w:p>
    <w:p w14:paraId="031AB6DC" w14:textId="77777777" w:rsidR="000B0092" w:rsidRPr="00BE78CA" w:rsidRDefault="000B0092" w:rsidP="000B0092">
      <w:pPr>
        <w:pStyle w:val="Table"/>
      </w:pPr>
      <w:bookmarkStart w:id="443" w:name="_Toc451176071"/>
      <w:bookmarkStart w:id="444" w:name="_Toc5269461"/>
      <w:bookmarkStart w:id="445" w:name="_Toc36224534"/>
      <w:bookmarkStart w:id="446" w:name="_Toc68786421"/>
      <w:r w:rsidRPr="00BE78CA">
        <w:lastRenderedPageBreak/>
        <w:t>Table 4.4.2</w:t>
      </w:r>
      <w:r w:rsidRPr="00BE78CA">
        <w:tab/>
        <w:t>Uncertainty in emissions from the metal industry</w:t>
      </w:r>
      <w:bookmarkEnd w:id="443"/>
      <w:bookmarkEnd w:id="444"/>
      <w:bookmarkEnd w:id="445"/>
      <w:bookmarkEnd w:id="446"/>
    </w:p>
    <w:tbl>
      <w:tblPr>
        <w:tblW w:w="8505" w:type="dxa"/>
        <w:tblBorders>
          <w:top w:val="single" w:sz="6" w:space="0" w:color="365F91"/>
          <w:bottom w:val="single" w:sz="6" w:space="0" w:color="365F91"/>
          <w:insideH w:val="single" w:sz="6" w:space="0" w:color="365F91"/>
        </w:tblBorders>
        <w:tblLook w:val="04A0" w:firstRow="1" w:lastRow="0" w:firstColumn="1" w:lastColumn="0" w:noHBand="0" w:noVBand="1"/>
      </w:tblPr>
      <w:tblGrid>
        <w:gridCol w:w="2420"/>
        <w:gridCol w:w="2956"/>
        <w:gridCol w:w="3129"/>
      </w:tblGrid>
      <w:tr w:rsidR="000B0092" w:rsidRPr="00BE78CA" w14:paraId="318C5B0A" w14:textId="77777777" w:rsidTr="00E059CA">
        <w:tc>
          <w:tcPr>
            <w:tcW w:w="2435" w:type="dxa"/>
            <w:tcBorders>
              <w:top w:val="single" w:sz="4" w:space="0" w:color="365F91"/>
              <w:left w:val="nil"/>
              <w:bottom w:val="single" w:sz="4" w:space="0" w:color="365F91"/>
              <w:right w:val="nil"/>
            </w:tcBorders>
            <w:shd w:val="clear" w:color="auto" w:fill="365F91"/>
            <w:hideMark/>
          </w:tcPr>
          <w:p w14:paraId="32E5D83C" w14:textId="77777777" w:rsidR="000B0092" w:rsidRPr="00BE78CA" w:rsidRDefault="000B0092" w:rsidP="00C26084">
            <w:pPr>
              <w:pStyle w:val="TableTextBold"/>
              <w:keepNext/>
              <w:spacing w:before="50" w:after="50"/>
              <w:rPr>
                <w:noProof w:val="0"/>
                <w:color w:val="FFFFFF"/>
              </w:rPr>
            </w:pPr>
            <w:r w:rsidRPr="00BE78CA">
              <w:rPr>
                <w:noProof w:val="0"/>
                <w:color w:val="FFFFFF"/>
              </w:rPr>
              <w:t>Category</w:t>
            </w:r>
          </w:p>
        </w:tc>
        <w:tc>
          <w:tcPr>
            <w:tcW w:w="2976" w:type="dxa"/>
            <w:tcBorders>
              <w:top w:val="single" w:sz="4" w:space="0" w:color="365F91"/>
              <w:left w:val="nil"/>
              <w:bottom w:val="single" w:sz="4" w:space="0" w:color="365F91"/>
              <w:right w:val="nil"/>
            </w:tcBorders>
            <w:shd w:val="clear" w:color="auto" w:fill="365F91"/>
            <w:hideMark/>
          </w:tcPr>
          <w:p w14:paraId="36A54620" w14:textId="77777777" w:rsidR="000B0092" w:rsidRPr="00BE78CA" w:rsidRDefault="000B0092" w:rsidP="00C26084">
            <w:pPr>
              <w:pStyle w:val="TableTextBold"/>
              <w:keepNext/>
              <w:spacing w:before="50" w:after="50"/>
              <w:jc w:val="center"/>
              <w:rPr>
                <w:noProof w:val="0"/>
                <w:color w:val="FFFFFF"/>
              </w:rPr>
            </w:pPr>
            <w:r w:rsidRPr="00BE78CA">
              <w:rPr>
                <w:noProof w:val="0"/>
                <w:color w:val="FFFFFF"/>
              </w:rPr>
              <w:t>Uncertainty in activity data (%)</w:t>
            </w:r>
          </w:p>
        </w:tc>
        <w:tc>
          <w:tcPr>
            <w:tcW w:w="3151" w:type="dxa"/>
            <w:tcBorders>
              <w:top w:val="single" w:sz="4" w:space="0" w:color="365F91"/>
              <w:left w:val="nil"/>
              <w:bottom w:val="single" w:sz="4" w:space="0" w:color="365F91"/>
              <w:right w:val="nil"/>
            </w:tcBorders>
            <w:shd w:val="clear" w:color="auto" w:fill="365F91"/>
            <w:hideMark/>
          </w:tcPr>
          <w:p w14:paraId="7D7FF950" w14:textId="77777777" w:rsidR="000B0092" w:rsidRPr="00BE78CA" w:rsidRDefault="000B0092" w:rsidP="00C26084">
            <w:pPr>
              <w:pStyle w:val="TableTextBold"/>
              <w:keepNext/>
              <w:spacing w:before="50" w:after="50"/>
              <w:jc w:val="center"/>
              <w:rPr>
                <w:noProof w:val="0"/>
                <w:color w:val="FFFFFF"/>
              </w:rPr>
            </w:pPr>
            <w:r w:rsidRPr="00BE78CA">
              <w:rPr>
                <w:noProof w:val="0"/>
                <w:color w:val="FFFFFF"/>
              </w:rPr>
              <w:t>Uncertainty in emission factors (%)</w:t>
            </w:r>
          </w:p>
        </w:tc>
      </w:tr>
      <w:tr w:rsidR="000B0092" w:rsidRPr="00BE78CA" w14:paraId="5CFE781A" w14:textId="77777777" w:rsidTr="00E059CA">
        <w:tc>
          <w:tcPr>
            <w:tcW w:w="2435" w:type="dxa"/>
            <w:tcBorders>
              <w:top w:val="single" w:sz="4" w:space="0" w:color="365F91"/>
              <w:left w:val="nil"/>
              <w:bottom w:val="single" w:sz="6" w:space="0" w:color="365F91"/>
              <w:right w:val="nil"/>
            </w:tcBorders>
            <w:shd w:val="clear" w:color="auto" w:fill="FFFFFF"/>
            <w:hideMark/>
          </w:tcPr>
          <w:p w14:paraId="708D548A" w14:textId="77777777" w:rsidR="000B0092" w:rsidRPr="00BE78CA" w:rsidRDefault="000B0092" w:rsidP="00C26084">
            <w:pPr>
              <w:pStyle w:val="TableText"/>
              <w:keepNext/>
              <w:spacing w:before="50" w:after="50"/>
            </w:pPr>
            <w:r w:rsidRPr="00BE78CA">
              <w:t>Iron and steel (CO</w:t>
            </w:r>
            <w:r w:rsidRPr="00BE78CA">
              <w:rPr>
                <w:vertAlign w:val="subscript"/>
              </w:rPr>
              <w:t>2</w:t>
            </w:r>
            <w:r w:rsidRPr="00BE78CA">
              <w:t>)</w:t>
            </w:r>
          </w:p>
        </w:tc>
        <w:tc>
          <w:tcPr>
            <w:tcW w:w="2976" w:type="dxa"/>
            <w:tcBorders>
              <w:top w:val="single" w:sz="4" w:space="0" w:color="365F91"/>
              <w:left w:val="nil"/>
              <w:bottom w:val="single" w:sz="6" w:space="0" w:color="365F91"/>
              <w:right w:val="nil"/>
            </w:tcBorders>
            <w:shd w:val="clear" w:color="auto" w:fill="FFFFFF"/>
            <w:hideMark/>
          </w:tcPr>
          <w:p w14:paraId="78F11E07" w14:textId="77777777" w:rsidR="000B0092" w:rsidRPr="00BE78CA" w:rsidRDefault="000B0092" w:rsidP="00C7747F">
            <w:pPr>
              <w:pStyle w:val="TableText"/>
              <w:spacing w:before="50" w:after="50"/>
              <w:jc w:val="center"/>
            </w:pPr>
            <w:r w:rsidRPr="00BE78CA">
              <w:t>±5</w:t>
            </w:r>
          </w:p>
        </w:tc>
        <w:tc>
          <w:tcPr>
            <w:tcW w:w="3151" w:type="dxa"/>
            <w:tcBorders>
              <w:top w:val="single" w:sz="4" w:space="0" w:color="365F91"/>
              <w:left w:val="nil"/>
              <w:bottom w:val="single" w:sz="6" w:space="0" w:color="365F91"/>
              <w:right w:val="nil"/>
            </w:tcBorders>
            <w:shd w:val="clear" w:color="auto" w:fill="FFFFFF"/>
            <w:hideMark/>
          </w:tcPr>
          <w:p w14:paraId="5519E1F6" w14:textId="77777777" w:rsidR="000B0092" w:rsidRPr="00BE78CA" w:rsidRDefault="000B0092" w:rsidP="00C7747F">
            <w:pPr>
              <w:pStyle w:val="TableText"/>
              <w:spacing w:before="50" w:after="50"/>
              <w:jc w:val="center"/>
            </w:pPr>
            <w:r w:rsidRPr="00BE78CA">
              <w:t>±7</w:t>
            </w:r>
          </w:p>
        </w:tc>
      </w:tr>
      <w:tr w:rsidR="000B0092" w:rsidRPr="00BE78CA" w14:paraId="5E9E4027" w14:textId="77777777" w:rsidTr="00E059CA">
        <w:tc>
          <w:tcPr>
            <w:tcW w:w="2435" w:type="dxa"/>
            <w:tcBorders>
              <w:top w:val="single" w:sz="6" w:space="0" w:color="365F91"/>
              <w:left w:val="nil"/>
              <w:bottom w:val="single" w:sz="6" w:space="0" w:color="365F91"/>
              <w:right w:val="nil"/>
            </w:tcBorders>
            <w:shd w:val="clear" w:color="auto" w:fill="FFFFFF"/>
            <w:hideMark/>
          </w:tcPr>
          <w:p w14:paraId="29526034" w14:textId="77777777" w:rsidR="000B0092" w:rsidRPr="00BE78CA" w:rsidRDefault="000B0092" w:rsidP="00C26084">
            <w:pPr>
              <w:pStyle w:val="TableText"/>
              <w:keepNext/>
              <w:spacing w:before="50" w:after="50"/>
            </w:pPr>
            <w:r w:rsidRPr="00BE78CA">
              <w:t>Iron and steel (CO)</w:t>
            </w:r>
          </w:p>
        </w:tc>
        <w:tc>
          <w:tcPr>
            <w:tcW w:w="2976" w:type="dxa"/>
            <w:tcBorders>
              <w:top w:val="single" w:sz="6" w:space="0" w:color="365F91"/>
              <w:left w:val="nil"/>
              <w:bottom w:val="single" w:sz="6" w:space="0" w:color="365F91"/>
              <w:right w:val="nil"/>
            </w:tcBorders>
            <w:shd w:val="clear" w:color="auto" w:fill="FFFFFF"/>
            <w:hideMark/>
          </w:tcPr>
          <w:p w14:paraId="58416DCD" w14:textId="77777777" w:rsidR="000B0092" w:rsidRPr="00BE78CA" w:rsidRDefault="000B0092" w:rsidP="00C7747F">
            <w:pPr>
              <w:pStyle w:val="TableText"/>
              <w:spacing w:before="50" w:after="50"/>
              <w:jc w:val="center"/>
            </w:pPr>
            <w:r w:rsidRPr="00BE78CA">
              <w:t>±5</w:t>
            </w:r>
          </w:p>
        </w:tc>
        <w:tc>
          <w:tcPr>
            <w:tcW w:w="3151" w:type="dxa"/>
            <w:tcBorders>
              <w:top w:val="single" w:sz="6" w:space="0" w:color="365F91"/>
              <w:left w:val="nil"/>
              <w:bottom w:val="single" w:sz="6" w:space="0" w:color="365F91"/>
              <w:right w:val="nil"/>
            </w:tcBorders>
            <w:shd w:val="clear" w:color="auto" w:fill="FFFFFF"/>
            <w:hideMark/>
          </w:tcPr>
          <w:p w14:paraId="611E332D" w14:textId="77777777" w:rsidR="000B0092" w:rsidRPr="00BE78CA" w:rsidRDefault="000B0092" w:rsidP="00C7747F">
            <w:pPr>
              <w:pStyle w:val="TableText"/>
              <w:spacing w:before="50" w:after="50"/>
              <w:jc w:val="center"/>
            </w:pPr>
            <w:r w:rsidRPr="00BE78CA">
              <w:t>±30</w:t>
            </w:r>
          </w:p>
        </w:tc>
      </w:tr>
      <w:tr w:rsidR="000B0092" w:rsidRPr="00BE78CA" w14:paraId="606D1F1D" w14:textId="77777777" w:rsidTr="00E059CA">
        <w:tc>
          <w:tcPr>
            <w:tcW w:w="2435" w:type="dxa"/>
            <w:tcBorders>
              <w:top w:val="single" w:sz="6" w:space="0" w:color="365F91"/>
              <w:left w:val="nil"/>
              <w:bottom w:val="single" w:sz="6" w:space="0" w:color="365F91"/>
              <w:right w:val="nil"/>
            </w:tcBorders>
            <w:shd w:val="clear" w:color="auto" w:fill="FFFFFF"/>
            <w:hideMark/>
          </w:tcPr>
          <w:p w14:paraId="78100D34" w14:textId="77777777" w:rsidR="000B0092" w:rsidRPr="00BE78CA" w:rsidRDefault="000B0092" w:rsidP="00C26084">
            <w:pPr>
              <w:pStyle w:val="TableText"/>
              <w:spacing w:before="50" w:after="50"/>
            </w:pPr>
            <w:r w:rsidRPr="00BE78CA">
              <w:t>Iron and steel (NO</w:t>
            </w:r>
            <w:r w:rsidRPr="00BE78CA">
              <w:rPr>
                <w:vertAlign w:val="subscript"/>
              </w:rPr>
              <w:t>x</w:t>
            </w:r>
            <w:r w:rsidRPr="00BE78CA">
              <w:t>)</w:t>
            </w:r>
          </w:p>
        </w:tc>
        <w:tc>
          <w:tcPr>
            <w:tcW w:w="2976" w:type="dxa"/>
            <w:tcBorders>
              <w:top w:val="single" w:sz="6" w:space="0" w:color="365F91"/>
              <w:left w:val="nil"/>
              <w:bottom w:val="single" w:sz="6" w:space="0" w:color="365F91"/>
              <w:right w:val="nil"/>
            </w:tcBorders>
            <w:shd w:val="clear" w:color="auto" w:fill="FFFFFF"/>
            <w:hideMark/>
          </w:tcPr>
          <w:p w14:paraId="1AD77975" w14:textId="77777777" w:rsidR="000B0092" w:rsidRPr="00BE78CA" w:rsidRDefault="000B0092" w:rsidP="00C7747F">
            <w:pPr>
              <w:pStyle w:val="TableText"/>
              <w:spacing w:before="50" w:after="50"/>
              <w:jc w:val="center"/>
            </w:pPr>
            <w:r w:rsidRPr="00BE78CA">
              <w:t>±5</w:t>
            </w:r>
          </w:p>
        </w:tc>
        <w:tc>
          <w:tcPr>
            <w:tcW w:w="3151" w:type="dxa"/>
            <w:tcBorders>
              <w:top w:val="single" w:sz="6" w:space="0" w:color="365F91"/>
              <w:left w:val="nil"/>
              <w:bottom w:val="single" w:sz="6" w:space="0" w:color="365F91"/>
              <w:right w:val="nil"/>
            </w:tcBorders>
            <w:shd w:val="clear" w:color="auto" w:fill="FFFFFF"/>
            <w:hideMark/>
          </w:tcPr>
          <w:p w14:paraId="575B30D4" w14:textId="77777777" w:rsidR="000B0092" w:rsidRPr="00BE78CA" w:rsidRDefault="000B0092" w:rsidP="00C7747F">
            <w:pPr>
              <w:pStyle w:val="TableText"/>
              <w:spacing w:before="50" w:after="50"/>
              <w:jc w:val="center"/>
            </w:pPr>
            <w:r w:rsidRPr="00BE78CA">
              <w:t>±70</w:t>
            </w:r>
          </w:p>
        </w:tc>
      </w:tr>
      <w:tr w:rsidR="000B0092" w:rsidRPr="00BE78CA" w14:paraId="298E1B91" w14:textId="77777777" w:rsidTr="00E059CA">
        <w:tc>
          <w:tcPr>
            <w:tcW w:w="2435" w:type="dxa"/>
            <w:tcBorders>
              <w:top w:val="single" w:sz="6" w:space="0" w:color="365F91"/>
              <w:left w:val="nil"/>
              <w:bottom w:val="single" w:sz="6" w:space="0" w:color="365F91"/>
              <w:right w:val="nil"/>
            </w:tcBorders>
            <w:shd w:val="clear" w:color="auto" w:fill="FFFFFF"/>
            <w:hideMark/>
          </w:tcPr>
          <w:p w14:paraId="554F7D2A" w14:textId="77777777" w:rsidR="000B0092" w:rsidRPr="00BE78CA" w:rsidRDefault="000B0092" w:rsidP="00C26084">
            <w:pPr>
              <w:pStyle w:val="TableText"/>
              <w:spacing w:before="50" w:after="50"/>
            </w:pPr>
            <w:r w:rsidRPr="00BE78CA">
              <w:t>Aluminium (CO</w:t>
            </w:r>
            <w:r w:rsidRPr="00BE78CA">
              <w:rPr>
                <w:vertAlign w:val="subscript"/>
              </w:rPr>
              <w:t>2</w:t>
            </w:r>
            <w:r w:rsidRPr="00BE78CA">
              <w:t>)</w:t>
            </w:r>
          </w:p>
        </w:tc>
        <w:tc>
          <w:tcPr>
            <w:tcW w:w="2976" w:type="dxa"/>
            <w:tcBorders>
              <w:top w:val="single" w:sz="6" w:space="0" w:color="365F91"/>
              <w:left w:val="nil"/>
              <w:bottom w:val="single" w:sz="6" w:space="0" w:color="365F91"/>
              <w:right w:val="nil"/>
            </w:tcBorders>
            <w:shd w:val="clear" w:color="auto" w:fill="FFFFFF"/>
            <w:hideMark/>
          </w:tcPr>
          <w:p w14:paraId="6581A818" w14:textId="77777777" w:rsidR="000B0092" w:rsidRPr="00BE78CA" w:rsidRDefault="000B0092" w:rsidP="00C7747F">
            <w:pPr>
              <w:pStyle w:val="TableText"/>
              <w:spacing w:before="50" w:after="50"/>
              <w:jc w:val="center"/>
            </w:pPr>
            <w:r w:rsidRPr="00BE78CA">
              <w:t>±5</w:t>
            </w:r>
          </w:p>
        </w:tc>
        <w:tc>
          <w:tcPr>
            <w:tcW w:w="3151" w:type="dxa"/>
            <w:tcBorders>
              <w:top w:val="single" w:sz="6" w:space="0" w:color="365F91"/>
              <w:left w:val="nil"/>
              <w:bottom w:val="single" w:sz="6" w:space="0" w:color="365F91"/>
              <w:right w:val="nil"/>
            </w:tcBorders>
            <w:shd w:val="clear" w:color="auto" w:fill="FFFFFF"/>
            <w:hideMark/>
          </w:tcPr>
          <w:p w14:paraId="3A1A99E1" w14:textId="77777777" w:rsidR="000B0092" w:rsidRPr="00BE78CA" w:rsidRDefault="000B0092" w:rsidP="00C7747F">
            <w:pPr>
              <w:pStyle w:val="TableText"/>
              <w:spacing w:before="50" w:after="50"/>
              <w:jc w:val="center"/>
            </w:pPr>
            <w:r w:rsidRPr="00BE78CA">
              <w:t>±2</w:t>
            </w:r>
          </w:p>
        </w:tc>
      </w:tr>
      <w:tr w:rsidR="000B0092" w:rsidRPr="00BE78CA" w14:paraId="6D0BAE48" w14:textId="77777777" w:rsidTr="00E059CA">
        <w:tc>
          <w:tcPr>
            <w:tcW w:w="2435" w:type="dxa"/>
            <w:tcBorders>
              <w:top w:val="single" w:sz="6" w:space="0" w:color="365F91"/>
              <w:left w:val="nil"/>
              <w:bottom w:val="single" w:sz="6" w:space="0" w:color="365F91"/>
              <w:right w:val="nil"/>
            </w:tcBorders>
            <w:shd w:val="clear" w:color="auto" w:fill="FFFFFF"/>
            <w:hideMark/>
          </w:tcPr>
          <w:p w14:paraId="4BC44073" w14:textId="77777777" w:rsidR="000B0092" w:rsidRPr="00BE78CA" w:rsidRDefault="000B0092" w:rsidP="00C26084">
            <w:pPr>
              <w:pStyle w:val="TableText"/>
              <w:spacing w:before="50" w:after="50"/>
            </w:pPr>
            <w:r w:rsidRPr="00BE78CA">
              <w:t>Aluminium (PFCs)</w:t>
            </w:r>
          </w:p>
        </w:tc>
        <w:tc>
          <w:tcPr>
            <w:tcW w:w="2976" w:type="dxa"/>
            <w:tcBorders>
              <w:top w:val="single" w:sz="6" w:space="0" w:color="365F91"/>
              <w:left w:val="nil"/>
              <w:bottom w:val="single" w:sz="6" w:space="0" w:color="365F91"/>
              <w:right w:val="nil"/>
            </w:tcBorders>
            <w:shd w:val="clear" w:color="auto" w:fill="FFFFFF"/>
            <w:hideMark/>
          </w:tcPr>
          <w:p w14:paraId="42E94D26" w14:textId="77777777" w:rsidR="000B0092" w:rsidRPr="00BE78CA" w:rsidRDefault="000B0092" w:rsidP="00C7747F">
            <w:pPr>
              <w:pStyle w:val="TableText"/>
              <w:spacing w:before="50" w:after="50"/>
              <w:jc w:val="center"/>
            </w:pPr>
            <w:r w:rsidRPr="00BE78CA">
              <w:t>±5</w:t>
            </w:r>
          </w:p>
        </w:tc>
        <w:tc>
          <w:tcPr>
            <w:tcW w:w="3151" w:type="dxa"/>
            <w:tcBorders>
              <w:top w:val="single" w:sz="6" w:space="0" w:color="365F91"/>
              <w:left w:val="nil"/>
              <w:bottom w:val="single" w:sz="6" w:space="0" w:color="365F91"/>
              <w:right w:val="nil"/>
            </w:tcBorders>
            <w:shd w:val="clear" w:color="auto" w:fill="FFFFFF"/>
            <w:hideMark/>
          </w:tcPr>
          <w:p w14:paraId="0B418EB0" w14:textId="77777777" w:rsidR="000B0092" w:rsidRPr="00BE78CA" w:rsidRDefault="000B0092" w:rsidP="00C7747F">
            <w:pPr>
              <w:pStyle w:val="TableText"/>
              <w:spacing w:before="50" w:after="50"/>
              <w:jc w:val="center"/>
            </w:pPr>
            <w:r w:rsidRPr="00BE78CA">
              <w:t>±30</w:t>
            </w:r>
          </w:p>
        </w:tc>
      </w:tr>
      <w:tr w:rsidR="000B0092" w:rsidRPr="00BE78CA" w14:paraId="47633CFC" w14:textId="77777777" w:rsidTr="00E059CA">
        <w:tc>
          <w:tcPr>
            <w:tcW w:w="2435" w:type="dxa"/>
            <w:tcBorders>
              <w:top w:val="single" w:sz="6" w:space="0" w:color="365F91"/>
              <w:left w:val="nil"/>
              <w:bottom w:val="single" w:sz="6" w:space="0" w:color="365F91"/>
              <w:right w:val="nil"/>
            </w:tcBorders>
            <w:shd w:val="clear" w:color="auto" w:fill="FFFFFF"/>
            <w:hideMark/>
          </w:tcPr>
          <w:p w14:paraId="7429F0C5" w14:textId="77777777" w:rsidR="000B0092" w:rsidRPr="00BE78CA" w:rsidRDefault="000B0092" w:rsidP="00C26084">
            <w:pPr>
              <w:pStyle w:val="TableText"/>
              <w:spacing w:before="50" w:after="50"/>
            </w:pPr>
            <w:r w:rsidRPr="00BE78CA">
              <w:t>Aluminium (SO</w:t>
            </w:r>
            <w:r w:rsidRPr="00BE78CA">
              <w:rPr>
                <w:vertAlign w:val="subscript"/>
              </w:rPr>
              <w:t>2</w:t>
            </w:r>
            <w:r w:rsidRPr="00BE78CA">
              <w:t>)</w:t>
            </w:r>
          </w:p>
        </w:tc>
        <w:tc>
          <w:tcPr>
            <w:tcW w:w="2976" w:type="dxa"/>
            <w:tcBorders>
              <w:top w:val="single" w:sz="6" w:space="0" w:color="365F91"/>
              <w:left w:val="nil"/>
              <w:bottom w:val="single" w:sz="6" w:space="0" w:color="365F91"/>
              <w:right w:val="nil"/>
            </w:tcBorders>
            <w:shd w:val="clear" w:color="auto" w:fill="FFFFFF"/>
            <w:hideMark/>
          </w:tcPr>
          <w:p w14:paraId="0806B612" w14:textId="77777777" w:rsidR="000B0092" w:rsidRPr="00BE78CA" w:rsidRDefault="000B0092" w:rsidP="00C7747F">
            <w:pPr>
              <w:pStyle w:val="TableText"/>
              <w:spacing w:before="50" w:after="50"/>
              <w:jc w:val="center"/>
            </w:pPr>
            <w:r w:rsidRPr="00BE78CA">
              <w:t>±5</w:t>
            </w:r>
          </w:p>
        </w:tc>
        <w:tc>
          <w:tcPr>
            <w:tcW w:w="3151" w:type="dxa"/>
            <w:tcBorders>
              <w:top w:val="single" w:sz="6" w:space="0" w:color="365F91"/>
              <w:left w:val="nil"/>
              <w:bottom w:val="single" w:sz="6" w:space="0" w:color="365F91"/>
              <w:right w:val="nil"/>
            </w:tcBorders>
            <w:shd w:val="clear" w:color="auto" w:fill="FFFFFF"/>
            <w:hideMark/>
          </w:tcPr>
          <w:p w14:paraId="048397CD" w14:textId="77777777" w:rsidR="000B0092" w:rsidRPr="00BE78CA" w:rsidRDefault="000B0092" w:rsidP="00C7747F">
            <w:pPr>
              <w:pStyle w:val="TableText"/>
              <w:spacing w:before="50" w:after="50"/>
              <w:jc w:val="center"/>
            </w:pPr>
            <w:r w:rsidRPr="00BE78CA">
              <w:t>±5</w:t>
            </w:r>
          </w:p>
        </w:tc>
      </w:tr>
      <w:tr w:rsidR="000B0092" w:rsidRPr="00BE78CA" w14:paraId="083D1C03" w14:textId="77777777" w:rsidTr="00E059CA">
        <w:tc>
          <w:tcPr>
            <w:tcW w:w="2435" w:type="dxa"/>
            <w:tcBorders>
              <w:top w:val="single" w:sz="6" w:space="0" w:color="365F91"/>
              <w:left w:val="nil"/>
              <w:bottom w:val="single" w:sz="6" w:space="0" w:color="365F91"/>
              <w:right w:val="nil"/>
            </w:tcBorders>
            <w:shd w:val="clear" w:color="auto" w:fill="FFFFFF"/>
            <w:hideMark/>
          </w:tcPr>
          <w:p w14:paraId="45275B26" w14:textId="77777777" w:rsidR="000B0092" w:rsidRPr="00BE78CA" w:rsidRDefault="000B0092" w:rsidP="00C26084">
            <w:pPr>
              <w:pStyle w:val="TableText"/>
              <w:spacing w:before="50" w:after="50"/>
            </w:pPr>
            <w:r w:rsidRPr="00BE78CA">
              <w:t>Aluminium (CO)</w:t>
            </w:r>
          </w:p>
        </w:tc>
        <w:tc>
          <w:tcPr>
            <w:tcW w:w="2976" w:type="dxa"/>
            <w:tcBorders>
              <w:top w:val="single" w:sz="6" w:space="0" w:color="365F91"/>
              <w:left w:val="nil"/>
              <w:bottom w:val="single" w:sz="6" w:space="0" w:color="365F91"/>
              <w:right w:val="nil"/>
            </w:tcBorders>
            <w:shd w:val="clear" w:color="auto" w:fill="FFFFFF"/>
            <w:hideMark/>
          </w:tcPr>
          <w:p w14:paraId="11E0A536" w14:textId="77777777" w:rsidR="000B0092" w:rsidRPr="00BE78CA" w:rsidRDefault="000B0092" w:rsidP="00C7747F">
            <w:pPr>
              <w:pStyle w:val="TableText"/>
              <w:spacing w:before="50" w:after="50"/>
              <w:jc w:val="center"/>
            </w:pPr>
            <w:r w:rsidRPr="00BE78CA">
              <w:t>±5</w:t>
            </w:r>
          </w:p>
        </w:tc>
        <w:tc>
          <w:tcPr>
            <w:tcW w:w="3151" w:type="dxa"/>
            <w:tcBorders>
              <w:top w:val="single" w:sz="6" w:space="0" w:color="365F91"/>
              <w:left w:val="nil"/>
              <w:bottom w:val="single" w:sz="6" w:space="0" w:color="365F91"/>
              <w:right w:val="nil"/>
            </w:tcBorders>
            <w:shd w:val="clear" w:color="auto" w:fill="FFFFFF"/>
            <w:hideMark/>
          </w:tcPr>
          <w:p w14:paraId="722ECB60" w14:textId="77777777" w:rsidR="000B0092" w:rsidRPr="00BE78CA" w:rsidRDefault="000B0092" w:rsidP="00C7747F">
            <w:pPr>
              <w:pStyle w:val="TableText"/>
              <w:spacing w:before="50" w:after="50"/>
              <w:jc w:val="center"/>
            </w:pPr>
            <w:r w:rsidRPr="00BE78CA">
              <w:t>±40</w:t>
            </w:r>
          </w:p>
        </w:tc>
      </w:tr>
      <w:tr w:rsidR="000B0092" w:rsidRPr="00BE78CA" w14:paraId="0D27A88C" w14:textId="77777777" w:rsidTr="00E059CA">
        <w:tc>
          <w:tcPr>
            <w:tcW w:w="2435" w:type="dxa"/>
            <w:tcBorders>
              <w:top w:val="single" w:sz="6" w:space="0" w:color="365F91"/>
              <w:left w:val="nil"/>
              <w:bottom w:val="single" w:sz="6" w:space="0" w:color="365F91"/>
              <w:right w:val="nil"/>
            </w:tcBorders>
            <w:shd w:val="clear" w:color="auto" w:fill="FFFFFF"/>
            <w:hideMark/>
          </w:tcPr>
          <w:p w14:paraId="2B685590" w14:textId="77777777" w:rsidR="000B0092" w:rsidRPr="00BE78CA" w:rsidRDefault="000B0092" w:rsidP="00C26084">
            <w:pPr>
              <w:pStyle w:val="TableText"/>
              <w:spacing w:before="50" w:after="50"/>
            </w:pPr>
            <w:r w:rsidRPr="00BE78CA">
              <w:t>Aluminium (NO</w:t>
            </w:r>
            <w:r w:rsidRPr="00BE78CA">
              <w:rPr>
                <w:vertAlign w:val="subscript"/>
              </w:rPr>
              <w:t>x</w:t>
            </w:r>
            <w:r w:rsidRPr="00BE78CA">
              <w:t>)</w:t>
            </w:r>
          </w:p>
        </w:tc>
        <w:tc>
          <w:tcPr>
            <w:tcW w:w="2976" w:type="dxa"/>
            <w:tcBorders>
              <w:top w:val="single" w:sz="6" w:space="0" w:color="365F91"/>
              <w:left w:val="nil"/>
              <w:bottom w:val="single" w:sz="6" w:space="0" w:color="365F91"/>
              <w:right w:val="nil"/>
            </w:tcBorders>
            <w:shd w:val="clear" w:color="auto" w:fill="FFFFFF"/>
            <w:hideMark/>
          </w:tcPr>
          <w:p w14:paraId="5CA7512C" w14:textId="77777777" w:rsidR="000B0092" w:rsidRPr="00BE78CA" w:rsidRDefault="000B0092" w:rsidP="00C7747F">
            <w:pPr>
              <w:pStyle w:val="TableText"/>
              <w:spacing w:before="50" w:after="50"/>
              <w:jc w:val="center"/>
            </w:pPr>
            <w:r w:rsidRPr="00BE78CA">
              <w:t>±5</w:t>
            </w:r>
          </w:p>
        </w:tc>
        <w:tc>
          <w:tcPr>
            <w:tcW w:w="3151" w:type="dxa"/>
            <w:tcBorders>
              <w:top w:val="single" w:sz="6" w:space="0" w:color="365F91"/>
              <w:left w:val="nil"/>
              <w:bottom w:val="single" w:sz="6" w:space="0" w:color="365F91"/>
              <w:right w:val="nil"/>
            </w:tcBorders>
            <w:shd w:val="clear" w:color="auto" w:fill="FFFFFF"/>
            <w:hideMark/>
          </w:tcPr>
          <w:p w14:paraId="19E1F95A" w14:textId="77777777" w:rsidR="000B0092" w:rsidRPr="00BE78CA" w:rsidRDefault="000B0092" w:rsidP="00C7747F">
            <w:pPr>
              <w:pStyle w:val="TableText"/>
              <w:spacing w:before="50" w:after="50"/>
              <w:jc w:val="center"/>
            </w:pPr>
            <w:r w:rsidRPr="00BE78CA">
              <w:t>±50</w:t>
            </w:r>
          </w:p>
        </w:tc>
      </w:tr>
      <w:tr w:rsidR="000B0092" w:rsidRPr="00BE78CA" w14:paraId="56ECB739" w14:textId="77777777" w:rsidTr="00E059CA">
        <w:tc>
          <w:tcPr>
            <w:tcW w:w="2435" w:type="dxa"/>
            <w:tcBorders>
              <w:top w:val="single" w:sz="6" w:space="0" w:color="365F91"/>
              <w:left w:val="nil"/>
              <w:bottom w:val="single" w:sz="6" w:space="0" w:color="365F91"/>
              <w:right w:val="nil"/>
            </w:tcBorders>
            <w:shd w:val="clear" w:color="auto" w:fill="FFFFFF"/>
            <w:hideMark/>
          </w:tcPr>
          <w:p w14:paraId="4579B4D6" w14:textId="77777777" w:rsidR="000B0092" w:rsidRPr="00BE78CA" w:rsidRDefault="000B0092" w:rsidP="00C26084">
            <w:pPr>
              <w:pStyle w:val="TableText"/>
              <w:spacing w:before="50" w:after="50"/>
            </w:pPr>
            <w:r w:rsidRPr="00BE78CA">
              <w:t>Magnesium (SF</w:t>
            </w:r>
            <w:r w:rsidRPr="00BE78CA">
              <w:rPr>
                <w:vertAlign w:val="subscript"/>
              </w:rPr>
              <w:t>6</w:t>
            </w:r>
            <w:r w:rsidRPr="00BE78CA">
              <w:t>)</w:t>
            </w:r>
          </w:p>
        </w:tc>
        <w:tc>
          <w:tcPr>
            <w:tcW w:w="2976" w:type="dxa"/>
            <w:tcBorders>
              <w:top w:val="single" w:sz="6" w:space="0" w:color="365F91"/>
              <w:left w:val="nil"/>
              <w:bottom w:val="single" w:sz="6" w:space="0" w:color="365F91"/>
              <w:right w:val="nil"/>
            </w:tcBorders>
            <w:shd w:val="clear" w:color="auto" w:fill="FFFFFF"/>
            <w:hideMark/>
          </w:tcPr>
          <w:p w14:paraId="691B5580" w14:textId="77777777" w:rsidR="000B0092" w:rsidRPr="00BE78CA" w:rsidRDefault="000B0092" w:rsidP="00C7747F">
            <w:pPr>
              <w:pStyle w:val="TableText"/>
              <w:spacing w:before="50" w:after="50"/>
              <w:jc w:val="center"/>
            </w:pPr>
            <w:r w:rsidRPr="00BE78CA">
              <w:t>±100</w:t>
            </w:r>
          </w:p>
        </w:tc>
        <w:tc>
          <w:tcPr>
            <w:tcW w:w="3151" w:type="dxa"/>
            <w:tcBorders>
              <w:top w:val="single" w:sz="6" w:space="0" w:color="365F91"/>
              <w:left w:val="nil"/>
              <w:bottom w:val="single" w:sz="6" w:space="0" w:color="365F91"/>
              <w:right w:val="nil"/>
            </w:tcBorders>
            <w:shd w:val="clear" w:color="auto" w:fill="FFFFFF"/>
            <w:hideMark/>
          </w:tcPr>
          <w:p w14:paraId="58ABEE95" w14:textId="77777777" w:rsidR="000B0092" w:rsidRPr="00BE78CA" w:rsidRDefault="000B0092" w:rsidP="00C7747F">
            <w:pPr>
              <w:pStyle w:val="TableText"/>
              <w:spacing w:before="50" w:after="50"/>
              <w:jc w:val="center"/>
            </w:pPr>
            <w:r w:rsidRPr="00BE78CA">
              <w:t>–</w:t>
            </w:r>
          </w:p>
        </w:tc>
      </w:tr>
      <w:tr w:rsidR="000B0092" w:rsidRPr="00BE78CA" w14:paraId="2FF72A00" w14:textId="77777777" w:rsidTr="00E059CA">
        <w:tc>
          <w:tcPr>
            <w:tcW w:w="2435" w:type="dxa"/>
            <w:tcBorders>
              <w:top w:val="single" w:sz="6" w:space="0" w:color="365F91"/>
              <w:left w:val="nil"/>
              <w:bottom w:val="single" w:sz="6" w:space="0" w:color="365F91"/>
              <w:right w:val="nil"/>
            </w:tcBorders>
            <w:shd w:val="clear" w:color="auto" w:fill="FFFFFF"/>
            <w:hideMark/>
          </w:tcPr>
          <w:p w14:paraId="523DF187" w14:textId="77777777" w:rsidR="000B0092" w:rsidRPr="00BE78CA" w:rsidRDefault="000B0092" w:rsidP="00C26084">
            <w:pPr>
              <w:pStyle w:val="TableText"/>
              <w:spacing w:before="50" w:after="50"/>
            </w:pPr>
            <w:r w:rsidRPr="00BE78CA">
              <w:t>Lead (CO</w:t>
            </w:r>
            <w:r w:rsidRPr="00BE78CA">
              <w:rPr>
                <w:vertAlign w:val="subscript"/>
              </w:rPr>
              <w:t>2</w:t>
            </w:r>
            <w:r w:rsidRPr="00BE78CA">
              <w:t>)</w:t>
            </w:r>
          </w:p>
        </w:tc>
        <w:tc>
          <w:tcPr>
            <w:tcW w:w="2976" w:type="dxa"/>
            <w:tcBorders>
              <w:top w:val="single" w:sz="6" w:space="0" w:color="365F91"/>
              <w:left w:val="nil"/>
              <w:bottom w:val="single" w:sz="6" w:space="0" w:color="365F91"/>
              <w:right w:val="nil"/>
            </w:tcBorders>
            <w:shd w:val="clear" w:color="auto" w:fill="FFFFFF"/>
            <w:hideMark/>
          </w:tcPr>
          <w:p w14:paraId="2D67B07F" w14:textId="77777777" w:rsidR="000B0092" w:rsidRPr="00BE78CA" w:rsidRDefault="000B0092" w:rsidP="00C7747F">
            <w:pPr>
              <w:pStyle w:val="TableText"/>
              <w:spacing w:before="50" w:after="50"/>
              <w:jc w:val="center"/>
            </w:pPr>
            <w:r w:rsidRPr="00BE78CA">
              <w:t>±50</w:t>
            </w:r>
          </w:p>
        </w:tc>
        <w:tc>
          <w:tcPr>
            <w:tcW w:w="3151" w:type="dxa"/>
            <w:tcBorders>
              <w:top w:val="single" w:sz="6" w:space="0" w:color="365F91"/>
              <w:left w:val="nil"/>
              <w:bottom w:val="single" w:sz="6" w:space="0" w:color="365F91"/>
              <w:right w:val="nil"/>
            </w:tcBorders>
            <w:shd w:val="clear" w:color="auto" w:fill="FFFFFF"/>
            <w:hideMark/>
          </w:tcPr>
          <w:p w14:paraId="7DEAB38D" w14:textId="77777777" w:rsidR="000B0092" w:rsidRPr="00BE78CA" w:rsidRDefault="000B0092" w:rsidP="00C7747F">
            <w:pPr>
              <w:pStyle w:val="TableText"/>
              <w:spacing w:before="50" w:after="50"/>
              <w:jc w:val="center"/>
            </w:pPr>
            <w:r w:rsidRPr="00BE78CA">
              <w:t>±50</w:t>
            </w:r>
          </w:p>
        </w:tc>
      </w:tr>
    </w:tbl>
    <w:p w14:paraId="38130C8E" w14:textId="77777777" w:rsidR="000B0092" w:rsidRPr="00BE78CA" w:rsidRDefault="000B0092" w:rsidP="000B0092">
      <w:pPr>
        <w:pStyle w:val="Heading4"/>
        <w:spacing w:before="280"/>
        <w:rPr>
          <w:bCs/>
          <w:iCs/>
        </w:rPr>
      </w:pPr>
      <w:r w:rsidRPr="00BE78CA">
        <w:t>Time-series consistency</w:t>
      </w:r>
    </w:p>
    <w:p w14:paraId="4DD57329" w14:textId="77777777" w:rsidR="000B0092" w:rsidRPr="00BE78CA" w:rsidRDefault="000B0092" w:rsidP="000B0092">
      <w:pPr>
        <w:pStyle w:val="BodyText"/>
        <w:spacing w:before="100" w:after="100"/>
      </w:pPr>
      <w:r w:rsidRPr="00BE78CA">
        <w:t>The implied emission factors for PFC emissions from aluminium production fluctuated over the time series between 1990 and 1998. The introduction of monitoring at the aluminium smelter in 1993 contributed to process and management improvements that reduced the frequency and duration of anode effects. This improvement process continued. Since 1998, emissions have been lower and relatively stable, due to the much better control of anode effects (see table 4.4.3).</w:t>
      </w:r>
    </w:p>
    <w:p w14:paraId="10AFC1FE" w14:textId="77777777" w:rsidR="000B0092" w:rsidRPr="00BE78CA" w:rsidRDefault="000B0092" w:rsidP="000B0092">
      <w:pPr>
        <w:pStyle w:val="Table"/>
      </w:pPr>
      <w:bookmarkStart w:id="447" w:name="_Toc451176072"/>
      <w:bookmarkStart w:id="448" w:name="_Toc5269462"/>
      <w:bookmarkStart w:id="449" w:name="_Toc36224535"/>
      <w:bookmarkStart w:id="450" w:name="_Toc68786422"/>
      <w:r w:rsidRPr="00BE78CA">
        <w:t>Table 4.4.3</w:t>
      </w:r>
      <w:r w:rsidRPr="00BE78CA">
        <w:tab/>
        <w:t>Explanation of variations in New Zealand’s aluminium emissions</w:t>
      </w:r>
      <w:bookmarkEnd w:id="447"/>
      <w:bookmarkEnd w:id="448"/>
      <w:bookmarkEnd w:id="449"/>
      <w:bookmarkEnd w:id="450"/>
      <w:r w:rsidRPr="00BE78CA">
        <w:t xml:space="preserve"> </w:t>
      </w:r>
    </w:p>
    <w:tbl>
      <w:tblPr>
        <w:tblW w:w="8505" w:type="dxa"/>
        <w:tblLayout w:type="fixed"/>
        <w:tblLook w:val="04A0" w:firstRow="1" w:lastRow="0" w:firstColumn="1" w:lastColumn="0" w:noHBand="0" w:noVBand="1"/>
      </w:tblPr>
      <w:tblGrid>
        <w:gridCol w:w="3240"/>
        <w:gridCol w:w="5265"/>
      </w:tblGrid>
      <w:tr w:rsidR="000B0092" w:rsidRPr="00BE78CA" w14:paraId="21234E23" w14:textId="77777777" w:rsidTr="00C52A7C">
        <w:trPr>
          <w:tblHeader/>
        </w:trPr>
        <w:tc>
          <w:tcPr>
            <w:tcW w:w="3261" w:type="dxa"/>
            <w:tcBorders>
              <w:top w:val="single" w:sz="4" w:space="0" w:color="365F91"/>
              <w:left w:val="nil"/>
              <w:bottom w:val="single" w:sz="4" w:space="0" w:color="365F91"/>
              <w:right w:val="nil"/>
            </w:tcBorders>
            <w:shd w:val="clear" w:color="auto" w:fill="365F91"/>
            <w:hideMark/>
          </w:tcPr>
          <w:p w14:paraId="41B1D56F" w14:textId="77777777" w:rsidR="000B0092" w:rsidRPr="00BE78CA" w:rsidRDefault="000B0092" w:rsidP="00C26084">
            <w:pPr>
              <w:pStyle w:val="TableTextBold"/>
              <w:keepNext/>
              <w:spacing w:before="50" w:after="50"/>
              <w:rPr>
                <w:noProof w:val="0"/>
                <w:color w:val="FFFFFF"/>
                <w:szCs w:val="16"/>
              </w:rPr>
            </w:pPr>
            <w:r w:rsidRPr="00BE78CA">
              <w:rPr>
                <w:noProof w:val="0"/>
                <w:color w:val="FFFFFF"/>
                <w:szCs w:val="16"/>
              </w:rPr>
              <w:t>Variation in emissions</w:t>
            </w:r>
          </w:p>
        </w:tc>
        <w:tc>
          <w:tcPr>
            <w:tcW w:w="5301" w:type="dxa"/>
            <w:tcBorders>
              <w:top w:val="single" w:sz="4" w:space="0" w:color="365F91"/>
              <w:left w:val="nil"/>
              <w:bottom w:val="single" w:sz="4" w:space="0" w:color="365F91"/>
              <w:right w:val="nil"/>
            </w:tcBorders>
            <w:shd w:val="clear" w:color="auto" w:fill="365F91"/>
            <w:hideMark/>
          </w:tcPr>
          <w:p w14:paraId="5E55EAF3" w14:textId="77777777" w:rsidR="000B0092" w:rsidRPr="00BE78CA" w:rsidRDefault="000B0092" w:rsidP="00C26084">
            <w:pPr>
              <w:pStyle w:val="TableTextBold"/>
              <w:spacing w:before="50" w:after="50"/>
              <w:rPr>
                <w:noProof w:val="0"/>
                <w:color w:val="FFFFFF"/>
                <w:szCs w:val="16"/>
              </w:rPr>
            </w:pPr>
            <w:r w:rsidRPr="00BE78CA">
              <w:rPr>
                <w:noProof w:val="0"/>
                <w:color w:val="FFFFFF"/>
                <w:szCs w:val="16"/>
              </w:rPr>
              <w:t>Reason for variation</w:t>
            </w:r>
          </w:p>
        </w:tc>
      </w:tr>
      <w:tr w:rsidR="000B0092" w:rsidRPr="00BE78CA" w14:paraId="1E448FE2" w14:textId="77777777" w:rsidTr="00C52A7C">
        <w:tc>
          <w:tcPr>
            <w:tcW w:w="3261" w:type="dxa"/>
            <w:tcBorders>
              <w:top w:val="single" w:sz="4" w:space="0" w:color="365F91"/>
              <w:left w:val="nil"/>
              <w:bottom w:val="single" w:sz="4" w:space="0" w:color="365F91"/>
              <w:right w:val="nil"/>
            </w:tcBorders>
            <w:hideMark/>
          </w:tcPr>
          <w:p w14:paraId="627950BB" w14:textId="77777777" w:rsidR="000B0092" w:rsidRPr="00BE78CA" w:rsidRDefault="000B0092" w:rsidP="00C26084">
            <w:pPr>
              <w:pStyle w:val="TableText"/>
              <w:spacing w:before="50" w:after="50"/>
              <w:rPr>
                <w:i/>
                <w:szCs w:val="16"/>
              </w:rPr>
            </w:pPr>
            <w:r w:rsidRPr="00BE78CA">
              <w:rPr>
                <w:szCs w:val="16"/>
              </w:rPr>
              <w:t>Increase in CO</w:t>
            </w:r>
            <w:r w:rsidRPr="00BE78CA">
              <w:rPr>
                <w:szCs w:val="16"/>
                <w:vertAlign w:val="subscript"/>
              </w:rPr>
              <w:t>2</w:t>
            </w:r>
            <w:r w:rsidRPr="00BE78CA">
              <w:rPr>
                <w:szCs w:val="16"/>
              </w:rPr>
              <w:t xml:space="preserve"> and PFC emissions in 1996</w:t>
            </w:r>
          </w:p>
        </w:tc>
        <w:tc>
          <w:tcPr>
            <w:tcW w:w="5301" w:type="dxa"/>
            <w:tcBorders>
              <w:top w:val="single" w:sz="4" w:space="0" w:color="365F91"/>
              <w:left w:val="nil"/>
              <w:bottom w:val="single" w:sz="4" w:space="0" w:color="365F91"/>
              <w:right w:val="nil"/>
            </w:tcBorders>
            <w:hideMark/>
          </w:tcPr>
          <w:p w14:paraId="631B02BA" w14:textId="77777777" w:rsidR="000B0092" w:rsidRPr="00BE78CA" w:rsidRDefault="000B0092" w:rsidP="00C26084">
            <w:pPr>
              <w:pStyle w:val="TableText"/>
              <w:spacing w:before="50" w:after="50"/>
              <w:rPr>
                <w:i/>
                <w:szCs w:val="16"/>
              </w:rPr>
            </w:pPr>
            <w:r w:rsidRPr="00BE78CA">
              <w:rPr>
                <w:szCs w:val="16"/>
              </w:rPr>
              <w:t>Commissioning of Line 4 cells</w:t>
            </w:r>
          </w:p>
        </w:tc>
      </w:tr>
      <w:tr w:rsidR="000B0092" w:rsidRPr="00BE78CA" w14:paraId="587F91B3" w14:textId="77777777" w:rsidTr="00C52A7C">
        <w:tc>
          <w:tcPr>
            <w:tcW w:w="3261" w:type="dxa"/>
            <w:tcBorders>
              <w:top w:val="single" w:sz="4" w:space="0" w:color="365F91"/>
              <w:left w:val="nil"/>
              <w:bottom w:val="nil"/>
              <w:right w:val="nil"/>
            </w:tcBorders>
            <w:hideMark/>
          </w:tcPr>
          <w:p w14:paraId="4750A3AC" w14:textId="77777777" w:rsidR="000B0092" w:rsidRPr="00BE78CA" w:rsidRDefault="000B0092" w:rsidP="00C26084">
            <w:pPr>
              <w:pStyle w:val="TableText"/>
              <w:spacing w:before="50" w:after="50"/>
              <w:rPr>
                <w:i/>
                <w:szCs w:val="16"/>
              </w:rPr>
            </w:pPr>
            <w:r w:rsidRPr="00BE78CA">
              <w:rPr>
                <w:szCs w:val="16"/>
              </w:rPr>
              <w:t>Decrease in CO</w:t>
            </w:r>
            <w:r w:rsidRPr="00BE78CA">
              <w:rPr>
                <w:szCs w:val="16"/>
                <w:vertAlign w:val="subscript"/>
              </w:rPr>
              <w:t xml:space="preserve">2 </w:t>
            </w:r>
            <w:r w:rsidRPr="00BE78CA">
              <w:rPr>
                <w:szCs w:val="16"/>
              </w:rPr>
              <w:t>emissions in 1995</w:t>
            </w:r>
          </w:p>
        </w:tc>
        <w:tc>
          <w:tcPr>
            <w:tcW w:w="5301" w:type="dxa"/>
            <w:tcBorders>
              <w:top w:val="single" w:sz="4" w:space="0" w:color="365F91"/>
              <w:left w:val="nil"/>
              <w:bottom w:val="nil"/>
              <w:right w:val="nil"/>
            </w:tcBorders>
            <w:hideMark/>
          </w:tcPr>
          <w:p w14:paraId="7BA3DDC4" w14:textId="77777777" w:rsidR="000B0092" w:rsidRPr="00BE78CA" w:rsidRDefault="000B0092" w:rsidP="00C26084">
            <w:pPr>
              <w:pStyle w:val="TableText"/>
              <w:spacing w:before="50" w:after="50"/>
              <w:rPr>
                <w:i/>
                <w:szCs w:val="16"/>
              </w:rPr>
            </w:pPr>
            <w:r w:rsidRPr="00BE78CA">
              <w:rPr>
                <w:szCs w:val="16"/>
              </w:rPr>
              <w:t>Good anode performance, compared with 1994 and 1996</w:t>
            </w:r>
          </w:p>
        </w:tc>
      </w:tr>
      <w:tr w:rsidR="000B0092" w:rsidRPr="00BE78CA" w14:paraId="12A1D832" w14:textId="77777777" w:rsidTr="00C52A7C">
        <w:tc>
          <w:tcPr>
            <w:tcW w:w="3261" w:type="dxa"/>
            <w:hideMark/>
          </w:tcPr>
          <w:p w14:paraId="310576A4" w14:textId="77777777" w:rsidR="000B0092" w:rsidRPr="00BE78CA" w:rsidRDefault="000B0092" w:rsidP="00C26084">
            <w:pPr>
              <w:pStyle w:val="TableText"/>
              <w:spacing w:before="50" w:after="50"/>
              <w:rPr>
                <w:i/>
                <w:szCs w:val="16"/>
              </w:rPr>
            </w:pPr>
            <w:r w:rsidRPr="00BE78CA">
              <w:rPr>
                <w:szCs w:val="16"/>
              </w:rPr>
              <w:t>Decrease in CO</w:t>
            </w:r>
            <w:r w:rsidRPr="00BE78CA">
              <w:rPr>
                <w:szCs w:val="16"/>
                <w:vertAlign w:val="subscript"/>
              </w:rPr>
              <w:t xml:space="preserve">2 </w:t>
            </w:r>
            <w:r w:rsidRPr="00BE78CA">
              <w:rPr>
                <w:szCs w:val="16"/>
              </w:rPr>
              <w:t>emissions in 1998</w:t>
            </w:r>
          </w:p>
        </w:tc>
        <w:tc>
          <w:tcPr>
            <w:tcW w:w="5301" w:type="dxa"/>
            <w:hideMark/>
          </w:tcPr>
          <w:p w14:paraId="39A539A9" w14:textId="77777777" w:rsidR="000B0092" w:rsidRPr="00BE78CA" w:rsidRDefault="000B0092" w:rsidP="00C26084">
            <w:pPr>
              <w:pStyle w:val="TableText"/>
              <w:spacing w:before="50" w:after="50"/>
              <w:rPr>
                <w:i/>
                <w:szCs w:val="16"/>
              </w:rPr>
            </w:pPr>
            <w:r w:rsidRPr="00BE78CA">
              <w:rPr>
                <w:szCs w:val="16"/>
              </w:rPr>
              <w:t>Good anode performance</w:t>
            </w:r>
          </w:p>
        </w:tc>
      </w:tr>
      <w:tr w:rsidR="000B0092" w:rsidRPr="00BE78CA" w14:paraId="39978B9A" w14:textId="77777777" w:rsidTr="00C52A7C">
        <w:tc>
          <w:tcPr>
            <w:tcW w:w="3261" w:type="dxa"/>
            <w:hideMark/>
          </w:tcPr>
          <w:p w14:paraId="65EFBACC" w14:textId="77777777" w:rsidR="000B0092" w:rsidRPr="00BE78CA" w:rsidRDefault="000B0092" w:rsidP="00C26084">
            <w:pPr>
              <w:pStyle w:val="TableText"/>
              <w:spacing w:before="50" w:after="50"/>
              <w:rPr>
                <w:i/>
                <w:szCs w:val="16"/>
              </w:rPr>
            </w:pPr>
            <w:r w:rsidRPr="00BE78CA">
              <w:rPr>
                <w:szCs w:val="16"/>
              </w:rPr>
              <w:t>Decrease in CO</w:t>
            </w:r>
            <w:r w:rsidRPr="00BE78CA">
              <w:rPr>
                <w:szCs w:val="16"/>
                <w:vertAlign w:val="subscript"/>
              </w:rPr>
              <w:t>2</w:t>
            </w:r>
            <w:r w:rsidRPr="00BE78CA">
              <w:rPr>
                <w:szCs w:val="16"/>
              </w:rPr>
              <w:t xml:space="preserve"> emissions in 2001, 2003 and 2006</w:t>
            </w:r>
          </w:p>
        </w:tc>
        <w:tc>
          <w:tcPr>
            <w:tcW w:w="5301" w:type="dxa"/>
            <w:hideMark/>
          </w:tcPr>
          <w:p w14:paraId="38DE0CA3" w14:textId="77777777" w:rsidR="000B0092" w:rsidRPr="00BE78CA" w:rsidRDefault="000B0092" w:rsidP="00C26084">
            <w:pPr>
              <w:pStyle w:val="TableText"/>
              <w:spacing w:before="50" w:after="50"/>
              <w:rPr>
                <w:i/>
                <w:szCs w:val="16"/>
              </w:rPr>
            </w:pPr>
            <w:r w:rsidRPr="00BE78CA">
              <w:rPr>
                <w:szCs w:val="16"/>
              </w:rPr>
              <w:t>Fewer cells operating from reduced aluminium production due to reduced electricity supply</w:t>
            </w:r>
          </w:p>
        </w:tc>
      </w:tr>
      <w:tr w:rsidR="000B0092" w:rsidRPr="00BE78CA" w14:paraId="71C24B68" w14:textId="77777777" w:rsidTr="00C52A7C">
        <w:tc>
          <w:tcPr>
            <w:tcW w:w="3261" w:type="dxa"/>
          </w:tcPr>
          <w:p w14:paraId="05D36A3E" w14:textId="77777777" w:rsidR="000B0092" w:rsidRPr="00BE78CA" w:rsidRDefault="000B0092" w:rsidP="00C26084">
            <w:pPr>
              <w:pStyle w:val="TableText"/>
              <w:spacing w:before="50" w:after="50"/>
              <w:rPr>
                <w:i/>
                <w:szCs w:val="16"/>
              </w:rPr>
            </w:pPr>
          </w:p>
        </w:tc>
        <w:tc>
          <w:tcPr>
            <w:tcW w:w="5301" w:type="dxa"/>
            <w:hideMark/>
          </w:tcPr>
          <w:p w14:paraId="1A9F7117" w14:textId="77777777" w:rsidR="000B0092" w:rsidRPr="00BE78CA" w:rsidRDefault="000B0092" w:rsidP="00C26084">
            <w:pPr>
              <w:pStyle w:val="TableText"/>
              <w:spacing w:before="50" w:after="50"/>
              <w:rPr>
                <w:i/>
                <w:szCs w:val="16"/>
              </w:rPr>
            </w:pPr>
            <w:r w:rsidRPr="00BE78CA">
              <w:rPr>
                <w:szCs w:val="16"/>
              </w:rPr>
              <w:t>Good anode performance contributed in 2001</w:t>
            </w:r>
          </w:p>
        </w:tc>
      </w:tr>
      <w:tr w:rsidR="000B0092" w:rsidRPr="00BE78CA" w14:paraId="620A2402" w14:textId="77777777" w:rsidTr="00C52A7C">
        <w:tc>
          <w:tcPr>
            <w:tcW w:w="3261" w:type="dxa"/>
            <w:hideMark/>
          </w:tcPr>
          <w:p w14:paraId="45D3BCA2" w14:textId="77777777" w:rsidR="000B0092" w:rsidRPr="00BE78CA" w:rsidRDefault="000B0092" w:rsidP="00C26084">
            <w:pPr>
              <w:pStyle w:val="TableText"/>
              <w:spacing w:before="50" w:after="50"/>
              <w:rPr>
                <w:i/>
                <w:szCs w:val="16"/>
              </w:rPr>
            </w:pPr>
            <w:r w:rsidRPr="00BE78CA">
              <w:rPr>
                <w:szCs w:val="16"/>
              </w:rPr>
              <w:t>Increase in CO</w:t>
            </w:r>
            <w:r w:rsidRPr="00BE78CA">
              <w:rPr>
                <w:szCs w:val="16"/>
                <w:vertAlign w:val="subscript"/>
              </w:rPr>
              <w:t xml:space="preserve">2 </w:t>
            </w:r>
            <w:r w:rsidRPr="00BE78CA">
              <w:rPr>
                <w:szCs w:val="16"/>
              </w:rPr>
              <w:t>emissions in 1996</w:t>
            </w:r>
          </w:p>
        </w:tc>
        <w:tc>
          <w:tcPr>
            <w:tcW w:w="5301" w:type="dxa"/>
            <w:hideMark/>
          </w:tcPr>
          <w:p w14:paraId="66F86366" w14:textId="77777777" w:rsidR="000B0092" w:rsidRPr="00BE78CA" w:rsidRDefault="000B0092" w:rsidP="00C26084">
            <w:pPr>
              <w:pStyle w:val="TableText"/>
              <w:spacing w:before="50" w:after="50"/>
              <w:rPr>
                <w:i/>
                <w:szCs w:val="16"/>
              </w:rPr>
            </w:pPr>
            <w:r w:rsidRPr="00BE78CA">
              <w:rPr>
                <w:szCs w:val="16"/>
              </w:rPr>
              <w:t>All cells operating, including introduction of additional cells</w:t>
            </w:r>
          </w:p>
        </w:tc>
      </w:tr>
      <w:tr w:rsidR="000B0092" w:rsidRPr="00BE78CA" w14:paraId="7597F071" w14:textId="77777777" w:rsidTr="00C52A7C">
        <w:tc>
          <w:tcPr>
            <w:tcW w:w="3261" w:type="dxa"/>
            <w:tcBorders>
              <w:top w:val="nil"/>
              <w:left w:val="nil"/>
              <w:bottom w:val="single" w:sz="4" w:space="0" w:color="365F91"/>
              <w:right w:val="nil"/>
            </w:tcBorders>
          </w:tcPr>
          <w:p w14:paraId="3A144668" w14:textId="77777777" w:rsidR="000B0092" w:rsidRPr="00BE78CA" w:rsidRDefault="000B0092" w:rsidP="00C26084">
            <w:pPr>
              <w:pStyle w:val="TableText"/>
              <w:spacing w:before="50" w:after="50"/>
              <w:rPr>
                <w:i/>
                <w:szCs w:val="16"/>
              </w:rPr>
            </w:pPr>
          </w:p>
        </w:tc>
        <w:tc>
          <w:tcPr>
            <w:tcW w:w="5301" w:type="dxa"/>
            <w:tcBorders>
              <w:top w:val="nil"/>
              <w:left w:val="nil"/>
              <w:bottom w:val="single" w:sz="4" w:space="0" w:color="365F91"/>
              <w:right w:val="nil"/>
            </w:tcBorders>
            <w:hideMark/>
          </w:tcPr>
          <w:p w14:paraId="36DDC9EA" w14:textId="77777777" w:rsidR="000B0092" w:rsidRPr="00BE78CA" w:rsidRDefault="000B0092" w:rsidP="00C26084">
            <w:pPr>
              <w:pStyle w:val="TableText"/>
              <w:spacing w:before="50" w:after="50"/>
              <w:rPr>
                <w:i/>
                <w:szCs w:val="16"/>
              </w:rPr>
            </w:pPr>
            <w:r w:rsidRPr="00BE78CA">
              <w:rPr>
                <w:szCs w:val="16"/>
              </w:rPr>
              <w:t>Increasing aluminium production rate from the cells</w:t>
            </w:r>
          </w:p>
        </w:tc>
      </w:tr>
      <w:tr w:rsidR="000B0092" w:rsidRPr="00BE78CA" w14:paraId="4BC9B434" w14:textId="77777777" w:rsidTr="00C52A7C">
        <w:tc>
          <w:tcPr>
            <w:tcW w:w="3261" w:type="dxa"/>
            <w:tcBorders>
              <w:top w:val="single" w:sz="4" w:space="0" w:color="365F91"/>
              <w:left w:val="nil"/>
              <w:bottom w:val="nil"/>
              <w:right w:val="nil"/>
            </w:tcBorders>
            <w:hideMark/>
          </w:tcPr>
          <w:p w14:paraId="60F02878" w14:textId="77777777" w:rsidR="000B0092" w:rsidRPr="00BE78CA" w:rsidRDefault="000B0092" w:rsidP="00C26084">
            <w:pPr>
              <w:pStyle w:val="TableText"/>
              <w:rPr>
                <w:i/>
                <w:szCs w:val="16"/>
              </w:rPr>
            </w:pPr>
            <w:r w:rsidRPr="00BE78CA">
              <w:rPr>
                <w:szCs w:val="16"/>
              </w:rPr>
              <w:t>Decrease in PFC emissions in 1995</w:t>
            </w:r>
          </w:p>
        </w:tc>
        <w:tc>
          <w:tcPr>
            <w:tcW w:w="5301" w:type="dxa"/>
            <w:tcBorders>
              <w:top w:val="single" w:sz="4" w:space="0" w:color="365F91"/>
              <w:left w:val="nil"/>
              <w:bottom w:val="nil"/>
              <w:right w:val="nil"/>
            </w:tcBorders>
            <w:hideMark/>
          </w:tcPr>
          <w:p w14:paraId="784D6286" w14:textId="77777777" w:rsidR="000B0092" w:rsidRPr="00BE78CA" w:rsidRDefault="000B0092" w:rsidP="00C26084">
            <w:pPr>
              <w:pStyle w:val="TableText"/>
              <w:rPr>
                <w:i/>
                <w:szCs w:val="16"/>
              </w:rPr>
            </w:pPr>
            <w:r w:rsidRPr="00BE78CA">
              <w:rPr>
                <w:szCs w:val="16"/>
              </w:rPr>
              <w:t xml:space="preserve">Reduced anode frequencies </w:t>
            </w:r>
          </w:p>
        </w:tc>
      </w:tr>
      <w:tr w:rsidR="000B0092" w:rsidRPr="00BE78CA" w14:paraId="64BB4831" w14:textId="77777777" w:rsidTr="00C52A7C">
        <w:tc>
          <w:tcPr>
            <w:tcW w:w="3261" w:type="dxa"/>
          </w:tcPr>
          <w:p w14:paraId="1412FCBE" w14:textId="77777777" w:rsidR="000B0092" w:rsidRPr="00BE78CA" w:rsidRDefault="000B0092" w:rsidP="00C26084">
            <w:pPr>
              <w:pStyle w:val="TableText"/>
              <w:rPr>
                <w:i/>
                <w:szCs w:val="16"/>
              </w:rPr>
            </w:pPr>
          </w:p>
        </w:tc>
        <w:tc>
          <w:tcPr>
            <w:tcW w:w="5301" w:type="dxa"/>
            <w:hideMark/>
          </w:tcPr>
          <w:p w14:paraId="3776D44C" w14:textId="77777777" w:rsidR="000B0092" w:rsidRPr="00BE78CA" w:rsidRDefault="000B0092" w:rsidP="00C26084">
            <w:pPr>
              <w:pStyle w:val="TableText"/>
              <w:rPr>
                <w:i/>
                <w:szCs w:val="16"/>
              </w:rPr>
            </w:pPr>
            <w:r w:rsidRPr="00BE78CA">
              <w:rPr>
                <w:szCs w:val="16"/>
              </w:rPr>
              <w:t>The implementation of the change control strategy to all reduction cells</w:t>
            </w:r>
          </w:p>
        </w:tc>
      </w:tr>
      <w:tr w:rsidR="000B0092" w:rsidRPr="00BE78CA" w14:paraId="17948D2C" w14:textId="77777777" w:rsidTr="00C52A7C">
        <w:tc>
          <w:tcPr>
            <w:tcW w:w="3261" w:type="dxa"/>
          </w:tcPr>
          <w:p w14:paraId="7FCD5ECE" w14:textId="77777777" w:rsidR="000B0092" w:rsidRPr="00BE78CA" w:rsidRDefault="000B0092" w:rsidP="00C26084">
            <w:pPr>
              <w:pStyle w:val="TableText"/>
              <w:rPr>
                <w:i/>
                <w:szCs w:val="16"/>
              </w:rPr>
            </w:pPr>
          </w:p>
        </w:tc>
        <w:tc>
          <w:tcPr>
            <w:tcW w:w="5301" w:type="dxa"/>
            <w:hideMark/>
          </w:tcPr>
          <w:p w14:paraId="04BB1155" w14:textId="77777777" w:rsidR="000B0092" w:rsidRPr="00BE78CA" w:rsidRDefault="000B0092" w:rsidP="00C26084">
            <w:pPr>
              <w:pStyle w:val="TableText"/>
              <w:rPr>
                <w:i/>
                <w:szCs w:val="16"/>
              </w:rPr>
            </w:pPr>
            <w:r w:rsidRPr="00BE78CA">
              <w:rPr>
                <w:szCs w:val="16"/>
              </w:rPr>
              <w:t>Repairs made to cells exerting higher frequencies</w:t>
            </w:r>
          </w:p>
        </w:tc>
      </w:tr>
      <w:tr w:rsidR="000B0092" w:rsidRPr="00BE78CA" w14:paraId="14A0BA95" w14:textId="77777777" w:rsidTr="00C52A7C">
        <w:tc>
          <w:tcPr>
            <w:tcW w:w="3261" w:type="dxa"/>
            <w:hideMark/>
          </w:tcPr>
          <w:p w14:paraId="38F899AA" w14:textId="77777777" w:rsidR="000B0092" w:rsidRPr="00BE78CA" w:rsidRDefault="000B0092" w:rsidP="00C26084">
            <w:pPr>
              <w:pStyle w:val="TableText"/>
              <w:rPr>
                <w:i/>
                <w:szCs w:val="16"/>
              </w:rPr>
            </w:pPr>
            <w:r w:rsidRPr="00BE78CA">
              <w:rPr>
                <w:szCs w:val="16"/>
              </w:rPr>
              <w:t>PFC emissions remained high in 1997</w:t>
            </w:r>
          </w:p>
        </w:tc>
        <w:tc>
          <w:tcPr>
            <w:tcW w:w="5301" w:type="dxa"/>
            <w:hideMark/>
          </w:tcPr>
          <w:p w14:paraId="342BEFF1" w14:textId="77777777" w:rsidR="000B0092" w:rsidRPr="00BE78CA" w:rsidRDefault="000B0092" w:rsidP="00C26084">
            <w:pPr>
              <w:pStyle w:val="TableText"/>
              <w:rPr>
                <w:i/>
                <w:szCs w:val="16"/>
              </w:rPr>
            </w:pPr>
            <w:r w:rsidRPr="00BE78CA">
              <w:rPr>
                <w:szCs w:val="16"/>
              </w:rPr>
              <w:t>Instability over the whole plant as the operating parameters were tuned for the material coming from the newly commissioned dry scrubbing equipment (removes the fluoride and particulate from the main stack discharge)</w:t>
            </w:r>
          </w:p>
        </w:tc>
      </w:tr>
      <w:tr w:rsidR="000B0092" w:rsidRPr="00BE78CA" w14:paraId="23F534EC" w14:textId="77777777" w:rsidTr="00C52A7C">
        <w:tc>
          <w:tcPr>
            <w:tcW w:w="3261" w:type="dxa"/>
            <w:hideMark/>
          </w:tcPr>
          <w:p w14:paraId="7522AB49" w14:textId="77777777" w:rsidR="000B0092" w:rsidRPr="00BE78CA" w:rsidRDefault="000B0092" w:rsidP="00C26084">
            <w:pPr>
              <w:pStyle w:val="TableText"/>
              <w:rPr>
                <w:i/>
                <w:szCs w:val="16"/>
              </w:rPr>
            </w:pPr>
            <w:r w:rsidRPr="00BE78CA">
              <w:rPr>
                <w:szCs w:val="16"/>
              </w:rPr>
              <w:t>Decrease in PFC emissions in 1998</w:t>
            </w:r>
          </w:p>
        </w:tc>
        <w:tc>
          <w:tcPr>
            <w:tcW w:w="5301" w:type="dxa"/>
            <w:hideMark/>
          </w:tcPr>
          <w:p w14:paraId="4E120276" w14:textId="77777777" w:rsidR="000B0092" w:rsidRPr="00BE78CA" w:rsidRDefault="000B0092" w:rsidP="00C26084">
            <w:pPr>
              <w:pStyle w:val="TableText"/>
              <w:rPr>
                <w:i/>
                <w:szCs w:val="16"/>
              </w:rPr>
            </w:pPr>
            <w:r w:rsidRPr="00BE78CA">
              <w:rPr>
                <w:szCs w:val="16"/>
              </w:rPr>
              <w:t xml:space="preserve">Cell operating parameter control from the introduction of modified software. This software has improved the detection of an anode-effect onset and will initiate actions to prevent the anode effect </w:t>
            </w:r>
          </w:p>
        </w:tc>
      </w:tr>
      <w:tr w:rsidR="000B0092" w:rsidRPr="00BE78CA" w14:paraId="3E6A4BD4" w14:textId="77777777" w:rsidTr="00C52A7C">
        <w:tc>
          <w:tcPr>
            <w:tcW w:w="3261" w:type="dxa"/>
            <w:tcBorders>
              <w:top w:val="nil"/>
              <w:left w:val="nil"/>
              <w:bottom w:val="single" w:sz="4" w:space="0" w:color="365F91"/>
              <w:right w:val="nil"/>
            </w:tcBorders>
            <w:hideMark/>
          </w:tcPr>
          <w:p w14:paraId="10FC033A" w14:textId="77777777" w:rsidR="000B0092" w:rsidRPr="00BE78CA" w:rsidRDefault="000B0092" w:rsidP="00C26084">
            <w:pPr>
              <w:pStyle w:val="TableText"/>
              <w:rPr>
                <w:i/>
                <w:szCs w:val="16"/>
              </w:rPr>
            </w:pPr>
            <w:r w:rsidRPr="00BE78CA">
              <w:rPr>
                <w:szCs w:val="16"/>
              </w:rPr>
              <w:t>PFCs remain relatively static in 2001, 2003 and 2006</w:t>
            </w:r>
          </w:p>
        </w:tc>
        <w:tc>
          <w:tcPr>
            <w:tcW w:w="5301" w:type="dxa"/>
            <w:tcBorders>
              <w:top w:val="nil"/>
              <w:left w:val="nil"/>
              <w:bottom w:val="single" w:sz="4" w:space="0" w:color="365F91"/>
              <w:right w:val="nil"/>
            </w:tcBorders>
            <w:hideMark/>
          </w:tcPr>
          <w:p w14:paraId="2F14721B" w14:textId="77777777" w:rsidR="000B0092" w:rsidRPr="00BE78CA" w:rsidRDefault="000B0092" w:rsidP="00C26084">
            <w:pPr>
              <w:pStyle w:val="TableText"/>
              <w:rPr>
                <w:i/>
                <w:szCs w:val="16"/>
              </w:rPr>
            </w:pPr>
            <w:r w:rsidRPr="00BE78CA">
              <w:rPr>
                <w:szCs w:val="16"/>
              </w:rPr>
              <w:t>Increased emissions from restarting the cells</w:t>
            </w:r>
          </w:p>
        </w:tc>
      </w:tr>
    </w:tbl>
    <w:p w14:paraId="0EEBCB93" w14:textId="77777777" w:rsidR="000B0092" w:rsidRPr="00BE78CA" w:rsidRDefault="000B0092" w:rsidP="000B0092">
      <w:pPr>
        <w:pStyle w:val="Heading3"/>
        <w:spacing w:before="400"/>
      </w:pPr>
      <w:r w:rsidRPr="00BE78CA">
        <w:t>4.4.4</w:t>
      </w:r>
      <w:r w:rsidRPr="00BE78CA">
        <w:tab/>
        <w:t>Source-specific QA/QC and verification</w:t>
      </w:r>
    </w:p>
    <w:p w14:paraId="06ED8BCA" w14:textId="77777777" w:rsidR="000B0092" w:rsidRPr="00BE78CA" w:rsidRDefault="000B0092" w:rsidP="000B0092">
      <w:pPr>
        <w:pStyle w:val="BodyText"/>
        <w:spacing w:before="100" w:after="100"/>
      </w:pPr>
      <w:r w:rsidRPr="00BE78CA">
        <w:t xml:space="preserve">The two key categories in the </w:t>
      </w:r>
      <w:r w:rsidRPr="00BE78CA">
        <w:rPr>
          <w:i/>
        </w:rPr>
        <w:t>Metal industry</w:t>
      </w:r>
      <w:r w:rsidRPr="00BE78CA">
        <w:t xml:space="preserve"> category are CO</w:t>
      </w:r>
      <w:r w:rsidRPr="00BE78CA">
        <w:rPr>
          <w:vertAlign w:val="subscript"/>
        </w:rPr>
        <w:t>2</w:t>
      </w:r>
      <w:r w:rsidRPr="00BE78CA">
        <w:t xml:space="preserve"> emissions from </w:t>
      </w:r>
      <w:r w:rsidRPr="00BE78CA">
        <w:rPr>
          <w:i/>
        </w:rPr>
        <w:t>Iron and steel production</w:t>
      </w:r>
      <w:r w:rsidRPr="00BE78CA">
        <w:t xml:space="preserve"> and </w:t>
      </w:r>
      <w:r w:rsidRPr="00BE78CA">
        <w:rPr>
          <w:i/>
        </w:rPr>
        <w:t>Aluminium production</w:t>
      </w:r>
      <w:r w:rsidRPr="00BE78CA">
        <w:t xml:space="preserve">, and PFCs from </w:t>
      </w:r>
      <w:r w:rsidRPr="00BE78CA">
        <w:rPr>
          <w:i/>
        </w:rPr>
        <w:t>Aluminium production</w:t>
      </w:r>
      <w:r w:rsidRPr="00BE78CA">
        <w:t xml:space="preserve">. The data for all direct emissions in this category underwent Tier 1 quality checks in the preparation of this inventory. </w:t>
      </w:r>
    </w:p>
    <w:p w14:paraId="62187F80" w14:textId="77777777" w:rsidR="000B0092" w:rsidRPr="00BE78CA" w:rsidRDefault="000B0092" w:rsidP="000B0092">
      <w:pPr>
        <w:pStyle w:val="Heading3"/>
        <w:spacing w:before="280"/>
      </w:pPr>
      <w:r w:rsidRPr="00BE78CA">
        <w:lastRenderedPageBreak/>
        <w:t>4.4.5</w:t>
      </w:r>
      <w:r w:rsidRPr="00BE78CA">
        <w:tab/>
        <w:t>Source-specific recalculations</w:t>
      </w:r>
    </w:p>
    <w:p w14:paraId="60E03767" w14:textId="77777777" w:rsidR="000B0092" w:rsidRPr="00BE78CA" w:rsidRDefault="000B0092" w:rsidP="000B0092">
      <w:pPr>
        <w:pStyle w:val="BodyText"/>
      </w:pPr>
      <w:r w:rsidRPr="00BE78CA">
        <w:t xml:space="preserve">There are no recalculations for this category. </w:t>
      </w:r>
    </w:p>
    <w:p w14:paraId="14BA4575" w14:textId="77777777" w:rsidR="000B0092" w:rsidRPr="00BE78CA" w:rsidRDefault="000B0092" w:rsidP="000B0092">
      <w:pPr>
        <w:pStyle w:val="Heading3"/>
        <w:spacing w:before="280"/>
      </w:pPr>
      <w:r w:rsidRPr="00BE78CA">
        <w:t>4.4.6</w:t>
      </w:r>
      <w:r w:rsidRPr="00BE78CA">
        <w:tab/>
        <w:t>Source-specific planned improvements</w:t>
      </w:r>
    </w:p>
    <w:p w14:paraId="49076794" w14:textId="77777777" w:rsidR="000B0092" w:rsidRPr="00BE78CA" w:rsidRDefault="000B0092" w:rsidP="000B0092">
      <w:pPr>
        <w:pStyle w:val="BodyText"/>
      </w:pPr>
      <w:r w:rsidRPr="00BE78CA">
        <w:t xml:space="preserve">There are no planned improvements for this category. </w:t>
      </w:r>
    </w:p>
    <w:p w14:paraId="3C1D7CF2" w14:textId="77777777" w:rsidR="000B0092" w:rsidRPr="00BE78CA" w:rsidRDefault="000B0092" w:rsidP="000B0092">
      <w:pPr>
        <w:pStyle w:val="Heading2"/>
        <w:spacing w:before="320"/>
      </w:pPr>
      <w:bookmarkStart w:id="451" w:name="_Toc448321516"/>
      <w:bookmarkStart w:id="452" w:name="_Toc5269355"/>
      <w:bookmarkStart w:id="453" w:name="_Toc36224395"/>
      <w:bookmarkStart w:id="454" w:name="_Toc68786315"/>
      <w:r w:rsidRPr="00BE78CA">
        <w:t>4.5</w:t>
      </w:r>
      <w:r w:rsidRPr="00BE78CA">
        <w:tab/>
        <w:t>Non-energy products from fuels and solvent use (2.D)</w:t>
      </w:r>
      <w:bookmarkEnd w:id="451"/>
      <w:bookmarkEnd w:id="452"/>
      <w:bookmarkEnd w:id="453"/>
      <w:bookmarkEnd w:id="454"/>
    </w:p>
    <w:p w14:paraId="524F2422" w14:textId="77777777" w:rsidR="000B0092" w:rsidRPr="00BE78CA" w:rsidRDefault="000B0092" w:rsidP="000B0092">
      <w:pPr>
        <w:pStyle w:val="Heading3"/>
        <w:spacing w:before="120"/>
      </w:pPr>
      <w:r w:rsidRPr="00BE78CA">
        <w:t>4.5.1</w:t>
      </w:r>
      <w:r w:rsidRPr="00BE78CA">
        <w:tab/>
        <w:t>Description</w:t>
      </w:r>
    </w:p>
    <w:p w14:paraId="412A0C7C" w14:textId="77777777" w:rsidR="000B0092" w:rsidRPr="00BE78CA" w:rsidRDefault="000B0092" w:rsidP="000B0092">
      <w:pPr>
        <w:pStyle w:val="BodyText"/>
        <w:spacing w:before="100" w:after="100"/>
      </w:pPr>
      <w:r w:rsidRPr="00BE78CA">
        <w:t xml:space="preserve">The emissions reported in the </w:t>
      </w:r>
      <w:r w:rsidRPr="00BE78CA">
        <w:rPr>
          <w:i/>
        </w:rPr>
        <w:t>Non-energy products from fuels and solvent use</w:t>
      </w:r>
      <w:r w:rsidRPr="00BE78CA">
        <w:t xml:space="preserve"> category include CO</w:t>
      </w:r>
      <w:r w:rsidRPr="00BE78CA">
        <w:rPr>
          <w:vertAlign w:val="subscript"/>
        </w:rPr>
        <w:t>2</w:t>
      </w:r>
      <w:r w:rsidRPr="00BE78CA">
        <w:t xml:space="preserve"> from the use of lubricants and a very small amount from the use of paraffin wax, some of which is likely to be used for candles. </w:t>
      </w:r>
    </w:p>
    <w:p w14:paraId="052DCC9D" w14:textId="77777777" w:rsidR="000B0092" w:rsidRPr="00BE78CA" w:rsidRDefault="000B0092" w:rsidP="000B0092">
      <w:pPr>
        <w:pStyle w:val="BodyText"/>
        <w:spacing w:before="100" w:after="100"/>
      </w:pPr>
      <w:r w:rsidRPr="00BE78CA">
        <w:t>In addition, a small amount of CO</w:t>
      </w:r>
      <w:r w:rsidRPr="00BE78CA">
        <w:rPr>
          <w:vertAlign w:val="subscript"/>
        </w:rPr>
        <w:t>2</w:t>
      </w:r>
      <w:r w:rsidRPr="00BE78CA">
        <w:t xml:space="preserve"> is reported from the use of urea-based catalysts in diesel exhaust fluid (DEF) for control of NO</w:t>
      </w:r>
      <w:r w:rsidRPr="00BE78CA">
        <w:rPr>
          <w:vertAlign w:val="subscript"/>
        </w:rPr>
        <w:t>x</w:t>
      </w:r>
      <w:r w:rsidRPr="00BE78CA">
        <w:t xml:space="preserve"> emissions in diesel engine exhaust gas. These emissions are associated with transport, and the method used is given in volume 2, Energy, of the 2006 IPCC Guidelines (IPCC, 2006b); however, the CRF does not appear to allow for them to be reported under the Energy sector, so they are placed in 2.D.3. </w:t>
      </w:r>
    </w:p>
    <w:p w14:paraId="490F5529" w14:textId="77777777" w:rsidR="000B0092" w:rsidRPr="00BE78CA" w:rsidRDefault="000B0092" w:rsidP="000B0092">
      <w:pPr>
        <w:pStyle w:val="BodyText"/>
        <w:spacing w:after="100"/>
      </w:pPr>
      <w:r w:rsidRPr="00BE78CA">
        <w:t xml:space="preserve">Some emissions of indirect greenhouse gases (mainly NMVOCs) are estimated and reported from: </w:t>
      </w:r>
    </w:p>
    <w:p w14:paraId="6C42F396" w14:textId="77777777" w:rsidR="000B0092" w:rsidRPr="00BE78CA" w:rsidRDefault="000B0092" w:rsidP="000B0092">
      <w:pPr>
        <w:pStyle w:val="Bullet"/>
      </w:pPr>
      <w:r w:rsidRPr="00BE78CA">
        <w:t xml:space="preserve">the use of asphalt in road paving and roofing applications </w:t>
      </w:r>
    </w:p>
    <w:p w14:paraId="5F87BEB2" w14:textId="77777777" w:rsidR="000B0092" w:rsidRPr="00BE78CA" w:rsidRDefault="000B0092" w:rsidP="000B0092">
      <w:pPr>
        <w:pStyle w:val="Bullet"/>
      </w:pPr>
      <w:r w:rsidRPr="00BE78CA">
        <w:t xml:space="preserve">painting </w:t>
      </w:r>
    </w:p>
    <w:p w14:paraId="75ABA095" w14:textId="77777777" w:rsidR="000B0092" w:rsidRPr="00BE78CA" w:rsidRDefault="000B0092" w:rsidP="000B0092">
      <w:pPr>
        <w:pStyle w:val="Bullet"/>
      </w:pPr>
      <w:r w:rsidRPr="00BE78CA">
        <w:t>degreasing and dry cleaning</w:t>
      </w:r>
    </w:p>
    <w:p w14:paraId="543C5FE0" w14:textId="77777777" w:rsidR="000B0092" w:rsidRPr="00BE78CA" w:rsidRDefault="000B0092" w:rsidP="000B0092">
      <w:pPr>
        <w:pStyle w:val="Bullet"/>
      </w:pPr>
      <w:r w:rsidRPr="00BE78CA">
        <w:t>use of solvents in printing</w:t>
      </w:r>
    </w:p>
    <w:p w14:paraId="2B36F602" w14:textId="77777777" w:rsidR="000B0092" w:rsidRPr="00BE78CA" w:rsidRDefault="000B0092" w:rsidP="000B0092">
      <w:pPr>
        <w:pStyle w:val="Bullet"/>
      </w:pPr>
      <w:r w:rsidRPr="00BE78CA">
        <w:t xml:space="preserve">general domestic and commercial use of solvents. </w:t>
      </w:r>
    </w:p>
    <w:p w14:paraId="76887833" w14:textId="77777777" w:rsidR="000B0092" w:rsidRPr="00BE78CA" w:rsidRDefault="000B0092" w:rsidP="000B0092">
      <w:pPr>
        <w:pStyle w:val="BodyText"/>
      </w:pPr>
      <w:r w:rsidRPr="00BE78CA">
        <w:t xml:space="preserve">Emissions from the </w:t>
      </w:r>
      <w:r w:rsidRPr="00BE78CA">
        <w:rPr>
          <w:i/>
        </w:rPr>
        <w:t>Non-energy products from fuels and solvent use</w:t>
      </w:r>
      <w:r w:rsidRPr="00BE78CA">
        <w:t xml:space="preserve"> category in 2019 were 48.0 kt CO</w:t>
      </w:r>
      <w:r w:rsidRPr="00BE78CA">
        <w:rPr>
          <w:vertAlign w:val="subscript"/>
        </w:rPr>
        <w:t>2</w:t>
      </w:r>
      <w:r w:rsidRPr="00BE78CA">
        <w:t xml:space="preserve">-e (0.9 per cent) of emissions from the IPPU sector. </w:t>
      </w:r>
    </w:p>
    <w:p w14:paraId="6C7835AF" w14:textId="77777777" w:rsidR="000B0092" w:rsidRPr="00BE78CA" w:rsidRDefault="000B0092" w:rsidP="000B0092">
      <w:pPr>
        <w:pStyle w:val="BodyText"/>
      </w:pPr>
      <w:r w:rsidRPr="00BE78CA">
        <w:t xml:space="preserve">There are no key categories. </w:t>
      </w:r>
    </w:p>
    <w:p w14:paraId="5AB06FD6" w14:textId="77777777" w:rsidR="000B0092" w:rsidRPr="00BE78CA" w:rsidRDefault="000B0092" w:rsidP="000B0092">
      <w:pPr>
        <w:pStyle w:val="Heading3"/>
      </w:pPr>
      <w:r w:rsidRPr="00BE78CA">
        <w:t xml:space="preserve">4.5.2 </w:t>
      </w:r>
      <w:r w:rsidRPr="00BE78CA">
        <w:tab/>
        <w:t>Methodological issues</w:t>
      </w:r>
    </w:p>
    <w:p w14:paraId="3DBF48EC" w14:textId="77777777" w:rsidR="000B0092" w:rsidRPr="00BE78CA" w:rsidRDefault="000B0092" w:rsidP="000B0092">
      <w:pPr>
        <w:pStyle w:val="Heading4"/>
        <w:rPr>
          <w:bCs/>
          <w:iCs/>
        </w:rPr>
      </w:pPr>
      <w:r w:rsidRPr="00BE78CA">
        <w:t>Choice of activity data</w:t>
      </w:r>
    </w:p>
    <w:p w14:paraId="6E5D59F4" w14:textId="77777777" w:rsidR="000B0092" w:rsidRPr="00BE78CA" w:rsidRDefault="000B0092" w:rsidP="000B0092">
      <w:pPr>
        <w:pStyle w:val="Heading5"/>
        <w:spacing w:before="120"/>
      </w:pPr>
      <w:r w:rsidRPr="00BE78CA">
        <w:t>Lubricant use (2.D.1)</w:t>
      </w:r>
    </w:p>
    <w:p w14:paraId="0E50C5C7" w14:textId="77777777" w:rsidR="000B0092" w:rsidRPr="00BE78CA" w:rsidRDefault="000B0092" w:rsidP="000B0092">
      <w:pPr>
        <w:pStyle w:val="BodyText"/>
      </w:pPr>
      <w:r w:rsidRPr="00BE78CA">
        <w:t xml:space="preserve">Data reported to MBIE by the industry provide estimates of the amount of lubricants imported into New Zealand in each calendar year and the amounts in stock at the start and end of the year. This allows the amount of lubricants used in the year to be estimated. </w:t>
      </w:r>
    </w:p>
    <w:p w14:paraId="4BC01891" w14:textId="3A83694A" w:rsidR="000B0092" w:rsidRPr="00BE78CA" w:rsidRDefault="000B0092" w:rsidP="000B0092">
      <w:pPr>
        <w:pStyle w:val="BodyText"/>
      </w:pPr>
      <w:r w:rsidRPr="00BE78CA">
        <w:t>However, this information is only available from the years 2011 on, and is considered to be unreliable for 2011 to 2014 due to under-reporting of imports. For earlier years, the activity data have been estimated by assuming that the amount of lubricant used was proportional to</w:t>
      </w:r>
      <w:r w:rsidR="00E666B6" w:rsidRPr="00BE78CA">
        <w:t> </w:t>
      </w:r>
      <w:r w:rsidRPr="00BE78CA">
        <w:t>the amount of transport fuel used in New Zealand in the year. Also, because apparent use fluctuates from year to year, and it is unlikely such variations are reflected in actual lubricant use and emissions, averaging is used to estimate emissions for 2015 to 2019.</w:t>
      </w:r>
    </w:p>
    <w:p w14:paraId="237B5223" w14:textId="77777777" w:rsidR="000B0092" w:rsidRPr="00BE78CA" w:rsidRDefault="000B0092" w:rsidP="000B0092">
      <w:pPr>
        <w:pStyle w:val="Heading5"/>
      </w:pPr>
      <w:r w:rsidRPr="00BE78CA">
        <w:lastRenderedPageBreak/>
        <w:t>Paraffin wax use (2.D.2)</w:t>
      </w:r>
    </w:p>
    <w:p w14:paraId="4D0ACBED" w14:textId="77777777" w:rsidR="000B0092" w:rsidRPr="00BE78CA" w:rsidRDefault="000B0092" w:rsidP="000B0092">
      <w:pPr>
        <w:pStyle w:val="BodyText"/>
      </w:pPr>
      <w:r w:rsidRPr="00BE78CA">
        <w:t xml:space="preserve">A small amount of paraffin wax is imported into New Zealand. There are no reliable data on import volumes, so the activity data have been estimated from an estimate of the value of imports. This is only available for 2005 to 2011, and the activity data for other years have been assumed to be the same. </w:t>
      </w:r>
    </w:p>
    <w:p w14:paraId="323E1A51" w14:textId="77777777" w:rsidR="000B0092" w:rsidRPr="00BE78CA" w:rsidRDefault="000B0092" w:rsidP="000B0092">
      <w:pPr>
        <w:pStyle w:val="Heading5"/>
      </w:pPr>
      <w:r w:rsidRPr="00BE78CA">
        <w:t>Use of urea-based catalysts in transport (2.D.3)</w:t>
      </w:r>
    </w:p>
    <w:p w14:paraId="13845964" w14:textId="77777777" w:rsidR="000B0092" w:rsidRPr="00BE78CA" w:rsidRDefault="000B0092" w:rsidP="000B0092">
      <w:pPr>
        <w:pStyle w:val="BodyText"/>
      </w:pPr>
      <w:r w:rsidRPr="00BE78CA">
        <w:t xml:space="preserve">The activity data (quantity of DEF used) are estimated from total sales of diesel, with the assessment that 33 per cent of fuel is used in heavy vehicles and 51 per cent of the heavy vehicle fleet currently uses DEF. The amounts for years up to 2016 are estimated by back-casting the uptake of vehicles that require DEF over time. There was no use of urea catalysts before 2008. </w:t>
      </w:r>
    </w:p>
    <w:p w14:paraId="5765FB23" w14:textId="77777777" w:rsidR="000B0092" w:rsidRPr="00BE78CA" w:rsidRDefault="000B0092" w:rsidP="000B0092">
      <w:pPr>
        <w:pStyle w:val="Heading5"/>
      </w:pPr>
      <w:r w:rsidRPr="00BE78CA">
        <w:t>Asphalt paving and roofing and solvent use (2.D.3)</w:t>
      </w:r>
    </w:p>
    <w:p w14:paraId="7E605530" w14:textId="77777777" w:rsidR="000B0092" w:rsidRPr="00BE78CA" w:rsidRDefault="000B0092" w:rsidP="000B0092">
      <w:pPr>
        <w:pStyle w:val="BodyText"/>
      </w:pPr>
      <w:r w:rsidRPr="00BE78CA">
        <w:t xml:space="preserve">Three main bitumen production companies that provide materials for road paving are operating in New Zealand. Data on bitumen production and emission rates were provided by these companies (CRL Energy, </w:t>
      </w:r>
      <w:r w:rsidRPr="00BE78CA">
        <w:rPr>
          <w:rFonts w:eastAsia="+mn-ea"/>
        </w:rPr>
        <w:t>unpublished(a)</w:t>
      </w:r>
      <w:r w:rsidRPr="00BE78CA">
        <w:t xml:space="preserve">). One company is also manufacturing asphalt roofing in New Zealand. </w:t>
      </w:r>
    </w:p>
    <w:p w14:paraId="50B10CB8" w14:textId="77777777" w:rsidR="000B0092" w:rsidRPr="00BE78CA" w:rsidRDefault="000B0092" w:rsidP="000B0092">
      <w:pPr>
        <w:pStyle w:val="BodyText"/>
      </w:pPr>
      <w:r w:rsidRPr="00BE78CA">
        <w:t xml:space="preserve">Solvent use was estimated in 2006 (CRL Energy, </w:t>
      </w:r>
      <w:r w:rsidRPr="00BE78CA">
        <w:rPr>
          <w:rFonts w:eastAsia="+mn-ea"/>
        </w:rPr>
        <w:t>unpublished(a)</w:t>
      </w:r>
      <w:r w:rsidRPr="00BE78CA">
        <w:t xml:space="preserve">) and, for all of these sources, activity data for the years up to 2005 have been extrapolated for 2006 to 2019 in the absence of any updated information. </w:t>
      </w:r>
    </w:p>
    <w:p w14:paraId="3341D978" w14:textId="77777777" w:rsidR="000B0092" w:rsidRPr="00BE78CA" w:rsidRDefault="000B0092" w:rsidP="000B0092">
      <w:pPr>
        <w:pStyle w:val="Heading4"/>
      </w:pPr>
      <w:r w:rsidRPr="00BE78CA">
        <w:t>Choice of methods</w:t>
      </w:r>
    </w:p>
    <w:p w14:paraId="00409648" w14:textId="77777777" w:rsidR="000B0092" w:rsidRPr="00BE78CA" w:rsidRDefault="000B0092" w:rsidP="000B0092">
      <w:pPr>
        <w:pStyle w:val="BodyText"/>
      </w:pPr>
      <w:r w:rsidRPr="00BE78CA">
        <w:t xml:space="preserve">Tier 1 methods (IPCC, 2006a, 2006b) are used to estimate all emissions in this category. Only approximate activity data are available, with no country-specific information on the amounts of lubricant and paraffin wax used for specific applications. </w:t>
      </w:r>
    </w:p>
    <w:p w14:paraId="48D1F8C9" w14:textId="77777777" w:rsidR="000B0092" w:rsidRPr="00BE78CA" w:rsidRDefault="000B0092" w:rsidP="000B0092">
      <w:pPr>
        <w:pStyle w:val="Heading4"/>
        <w:rPr>
          <w:bCs/>
          <w:iCs/>
        </w:rPr>
      </w:pPr>
      <w:r w:rsidRPr="00BE78CA">
        <w:t>Choice of emission factors</w:t>
      </w:r>
    </w:p>
    <w:p w14:paraId="3A420C71" w14:textId="77777777" w:rsidR="000B0092" w:rsidRPr="00BE78CA" w:rsidRDefault="000B0092" w:rsidP="000B0092">
      <w:pPr>
        <w:pStyle w:val="Heading5"/>
        <w:spacing w:before="120"/>
      </w:pPr>
      <w:r w:rsidRPr="00BE78CA">
        <w:t>Lubricant use (2.D.1) and paraffin wax use (2.D.2)</w:t>
      </w:r>
    </w:p>
    <w:p w14:paraId="12E40F9D" w14:textId="77777777" w:rsidR="000B0092" w:rsidRPr="00BE78CA" w:rsidRDefault="000B0092" w:rsidP="000B0092">
      <w:pPr>
        <w:pStyle w:val="BodyText"/>
      </w:pPr>
      <w:r w:rsidRPr="00BE78CA">
        <w:t xml:space="preserve">Default emission factors (carbon content and ‘oxidised during use’ factor) are used. </w:t>
      </w:r>
    </w:p>
    <w:p w14:paraId="5237B53A" w14:textId="77777777" w:rsidR="000B0092" w:rsidRPr="00BE78CA" w:rsidRDefault="000B0092" w:rsidP="000B0092">
      <w:pPr>
        <w:pStyle w:val="Heading5"/>
      </w:pPr>
      <w:r w:rsidRPr="00BE78CA">
        <w:t>Use of urea-based catalysts in transport (2.D.3)</w:t>
      </w:r>
    </w:p>
    <w:p w14:paraId="3E305EF1" w14:textId="77777777" w:rsidR="000B0092" w:rsidRPr="00BE78CA" w:rsidRDefault="000B0092" w:rsidP="000B0092">
      <w:pPr>
        <w:pStyle w:val="BodyText"/>
      </w:pPr>
      <w:r w:rsidRPr="00BE78CA">
        <w:t xml:space="preserve">Default emission factors are used. DEF sold in New Zealand conforms with international norms and contains 32.5 per cent urea, which is the default value. </w:t>
      </w:r>
    </w:p>
    <w:p w14:paraId="60B71A77" w14:textId="77777777" w:rsidR="000B0092" w:rsidRPr="00BE78CA" w:rsidRDefault="000B0092" w:rsidP="000B0092">
      <w:pPr>
        <w:pStyle w:val="Heading5"/>
      </w:pPr>
      <w:r w:rsidRPr="00BE78CA">
        <w:t>Asphalt paving and roofing and solvent use (2.D.3)</w:t>
      </w:r>
    </w:p>
    <w:p w14:paraId="6B7F3C0B" w14:textId="77777777" w:rsidR="000B0092" w:rsidRPr="00BE78CA" w:rsidRDefault="000B0092" w:rsidP="000B0092">
      <w:pPr>
        <w:pStyle w:val="BodyText"/>
      </w:pPr>
      <w:r w:rsidRPr="00BE78CA">
        <w:t xml:space="preserve">The bitumen content of road paving used in New Zealand is about 6 per cent, which is lower than commonly used in most countries. The NMVOC emissions from road paving are calculated using a country-specific method based on the fraction of bitumen in asphalt used in road paving material, the fraction of solvent added to bitumen and an assessment that 75 per cent of the solvent added will be emitted (see table 4.5.1). </w:t>
      </w:r>
    </w:p>
    <w:p w14:paraId="0B2F52A8" w14:textId="77777777" w:rsidR="000B0092" w:rsidRPr="00BE78CA" w:rsidRDefault="000B0092" w:rsidP="000B0092">
      <w:pPr>
        <w:pStyle w:val="Table"/>
      </w:pPr>
      <w:bookmarkStart w:id="455" w:name="_Toc451176073"/>
      <w:bookmarkStart w:id="456" w:name="_Toc5269463"/>
      <w:bookmarkStart w:id="457" w:name="_Toc36224536"/>
      <w:bookmarkStart w:id="458" w:name="_Toc68786423"/>
      <w:r w:rsidRPr="00BE78CA">
        <w:lastRenderedPageBreak/>
        <w:t xml:space="preserve">Table 4.5.1 </w:t>
      </w:r>
      <w:r w:rsidRPr="00BE78CA">
        <w:tab/>
        <w:t>Calculation of NMVOC emissions from road paving</w:t>
      </w:r>
      <w:bookmarkEnd w:id="455"/>
      <w:bookmarkEnd w:id="456"/>
      <w:bookmarkEnd w:id="457"/>
      <w:bookmarkEnd w:id="458"/>
    </w:p>
    <w:tbl>
      <w:tblPr>
        <w:tblW w:w="8505" w:type="dxa"/>
        <w:tblLook w:val="04A0" w:firstRow="1" w:lastRow="0" w:firstColumn="1" w:lastColumn="0" w:noHBand="0" w:noVBand="1"/>
      </w:tblPr>
      <w:tblGrid>
        <w:gridCol w:w="8505"/>
      </w:tblGrid>
      <w:tr w:rsidR="000B0092" w:rsidRPr="00BE78CA" w14:paraId="7EAB79AF" w14:textId="77777777" w:rsidTr="00693975">
        <w:tc>
          <w:tcPr>
            <w:tcW w:w="4565" w:type="dxa"/>
            <w:tcBorders>
              <w:top w:val="single" w:sz="4" w:space="0" w:color="365F91"/>
              <w:left w:val="nil"/>
              <w:bottom w:val="single" w:sz="4" w:space="0" w:color="365F91"/>
              <w:right w:val="nil"/>
            </w:tcBorders>
            <w:shd w:val="clear" w:color="auto" w:fill="365F91"/>
            <w:hideMark/>
          </w:tcPr>
          <w:p w14:paraId="3182B6CC" w14:textId="77777777" w:rsidR="000B0092" w:rsidRPr="00BE78CA" w:rsidRDefault="000B0092" w:rsidP="00C26084">
            <w:pPr>
              <w:pStyle w:val="TableTextBold"/>
              <w:keepNext/>
              <w:rPr>
                <w:noProof w:val="0"/>
                <w:color w:val="FFFFFF"/>
                <w:sz w:val="18"/>
                <w:szCs w:val="18"/>
              </w:rPr>
            </w:pPr>
            <w:r w:rsidRPr="00BE78CA">
              <w:rPr>
                <w:noProof w:val="0"/>
                <w:color w:val="FFFFFF"/>
              </w:rPr>
              <w:t>Calculation of NMVOC emissions from road paving</w:t>
            </w:r>
          </w:p>
        </w:tc>
      </w:tr>
      <w:tr w:rsidR="000B0092" w:rsidRPr="00BE78CA" w14:paraId="3A3129EF" w14:textId="77777777" w:rsidTr="00693975">
        <w:tc>
          <w:tcPr>
            <w:tcW w:w="4565" w:type="dxa"/>
            <w:tcBorders>
              <w:top w:val="single" w:sz="4" w:space="0" w:color="365F91"/>
              <w:left w:val="nil"/>
              <w:bottom w:val="single" w:sz="4" w:space="0" w:color="365F91"/>
              <w:right w:val="nil"/>
            </w:tcBorders>
            <w:hideMark/>
          </w:tcPr>
          <w:p w14:paraId="13683D04" w14:textId="77777777" w:rsidR="000B0092" w:rsidRPr="00BE78CA" w:rsidRDefault="000B0092" w:rsidP="00C26084">
            <w:pPr>
              <w:pStyle w:val="TableText"/>
              <w:keepNext/>
              <w:spacing w:before="50" w:after="50"/>
            </w:pPr>
            <w:r w:rsidRPr="00BE78CA">
              <w:t xml:space="preserve">NMVOC emitted = A × B × C × D </w:t>
            </w:r>
          </w:p>
          <w:p w14:paraId="20F98178" w14:textId="77777777" w:rsidR="000B0092" w:rsidRPr="00BE78CA" w:rsidRDefault="000B0092" w:rsidP="00C26084">
            <w:pPr>
              <w:pStyle w:val="TableText"/>
              <w:keepNext/>
              <w:spacing w:before="50" w:after="50"/>
            </w:pPr>
            <w:r w:rsidRPr="00BE78CA">
              <w:t xml:space="preserve">Where: </w:t>
            </w:r>
          </w:p>
          <w:p w14:paraId="1EE8A938" w14:textId="77777777" w:rsidR="000B0092" w:rsidRPr="00BE78CA" w:rsidRDefault="000B0092" w:rsidP="00C26084">
            <w:pPr>
              <w:pStyle w:val="TableText"/>
              <w:keepNext/>
              <w:spacing w:before="50" w:after="50"/>
              <w:rPr>
                <w:rFonts w:cs="Calibri"/>
              </w:rPr>
            </w:pPr>
            <w:r w:rsidRPr="00BE78CA">
              <w:t>A = road paving material used (kt)</w:t>
            </w:r>
          </w:p>
          <w:p w14:paraId="5EB08DE7" w14:textId="77777777" w:rsidR="000B0092" w:rsidRPr="00BE78CA" w:rsidRDefault="000B0092" w:rsidP="00C26084">
            <w:pPr>
              <w:pStyle w:val="TableText"/>
              <w:keepNext/>
              <w:spacing w:before="50" w:after="50"/>
            </w:pPr>
            <w:r w:rsidRPr="00BE78CA">
              <w:t>B = fraction by weight of bitumen in asphalt</w:t>
            </w:r>
          </w:p>
          <w:p w14:paraId="3640B87A" w14:textId="77777777" w:rsidR="000B0092" w:rsidRPr="00BE78CA" w:rsidRDefault="000B0092" w:rsidP="00C26084">
            <w:pPr>
              <w:pStyle w:val="TableText"/>
              <w:keepNext/>
              <w:spacing w:before="50" w:after="50"/>
            </w:pPr>
            <w:r w:rsidRPr="00BE78CA">
              <w:t>C = fraction of solvent added to bitumen (0.04)</w:t>
            </w:r>
          </w:p>
          <w:p w14:paraId="6BF1E6D3" w14:textId="77777777" w:rsidR="000B0092" w:rsidRPr="00BE78CA" w:rsidRDefault="000B0092" w:rsidP="00C26084">
            <w:pPr>
              <w:pStyle w:val="TableText"/>
              <w:keepNext/>
              <w:spacing w:before="50" w:after="50"/>
            </w:pPr>
            <w:r w:rsidRPr="00BE78CA">
              <w:t>D = fraction of solvent emitted (0.75)</w:t>
            </w:r>
          </w:p>
        </w:tc>
      </w:tr>
    </w:tbl>
    <w:p w14:paraId="0B228447" w14:textId="77777777" w:rsidR="000B0092" w:rsidRPr="00BE78CA" w:rsidRDefault="000B0092" w:rsidP="000B0092">
      <w:pPr>
        <w:pStyle w:val="BodyText"/>
        <w:spacing w:before="240"/>
      </w:pPr>
      <w:r w:rsidRPr="00BE78CA">
        <w:t xml:space="preserve">The fraction of bitumen in asphalt used in road paving materials was reduced over time as methods of laying roading improved (see table 4.5.2). </w:t>
      </w:r>
    </w:p>
    <w:p w14:paraId="46395216" w14:textId="77777777" w:rsidR="000B0092" w:rsidRPr="00BE78CA" w:rsidRDefault="000B0092" w:rsidP="000B0092">
      <w:pPr>
        <w:pStyle w:val="Table"/>
      </w:pPr>
      <w:bookmarkStart w:id="459" w:name="_Toc451176074"/>
      <w:bookmarkStart w:id="460" w:name="_Toc5269464"/>
      <w:bookmarkStart w:id="461" w:name="_Toc36224537"/>
      <w:bookmarkStart w:id="462" w:name="_Toc68786424"/>
      <w:r w:rsidRPr="00BE78CA">
        <w:t xml:space="preserve">Table 4.5.2 </w:t>
      </w:r>
      <w:r w:rsidRPr="00BE78CA">
        <w:tab/>
        <w:t>Fraction of bitumen in road paving material</w:t>
      </w:r>
      <w:bookmarkEnd w:id="459"/>
      <w:bookmarkEnd w:id="460"/>
      <w:bookmarkEnd w:id="461"/>
      <w:bookmarkEnd w:id="462"/>
    </w:p>
    <w:tbl>
      <w:tblPr>
        <w:tblW w:w="8505" w:type="dxa"/>
        <w:tblLook w:val="04A0" w:firstRow="1" w:lastRow="0" w:firstColumn="1" w:lastColumn="0" w:noHBand="0" w:noVBand="1"/>
      </w:tblPr>
      <w:tblGrid>
        <w:gridCol w:w="3394"/>
        <w:gridCol w:w="5111"/>
      </w:tblGrid>
      <w:tr w:rsidR="000B0092" w:rsidRPr="00BE78CA" w14:paraId="6A191E66" w14:textId="77777777" w:rsidTr="00693975">
        <w:tc>
          <w:tcPr>
            <w:tcW w:w="2263" w:type="dxa"/>
            <w:tcBorders>
              <w:top w:val="single" w:sz="4" w:space="0" w:color="365F91"/>
              <w:left w:val="nil"/>
              <w:bottom w:val="single" w:sz="4" w:space="0" w:color="365F91"/>
              <w:right w:val="nil"/>
            </w:tcBorders>
            <w:shd w:val="clear" w:color="auto" w:fill="365F91"/>
            <w:hideMark/>
          </w:tcPr>
          <w:p w14:paraId="200EFBF9" w14:textId="77777777" w:rsidR="000B0092" w:rsidRPr="00BE78CA" w:rsidRDefault="000B0092" w:rsidP="00C26084">
            <w:pPr>
              <w:pStyle w:val="TableTextBold"/>
              <w:spacing w:before="50" w:after="50"/>
              <w:rPr>
                <w:bCs/>
                <w:noProof w:val="0"/>
                <w:color w:val="FFFFFF"/>
              </w:rPr>
            </w:pPr>
            <w:r w:rsidRPr="00BE78CA">
              <w:rPr>
                <w:noProof w:val="0"/>
                <w:color w:val="FFFFFF"/>
              </w:rPr>
              <w:t>Reporting years</w:t>
            </w:r>
          </w:p>
        </w:tc>
        <w:tc>
          <w:tcPr>
            <w:tcW w:w="3407" w:type="dxa"/>
            <w:tcBorders>
              <w:top w:val="single" w:sz="4" w:space="0" w:color="365F91"/>
              <w:left w:val="nil"/>
              <w:bottom w:val="single" w:sz="4" w:space="0" w:color="365F91"/>
              <w:right w:val="nil"/>
            </w:tcBorders>
            <w:shd w:val="clear" w:color="auto" w:fill="365F91"/>
            <w:hideMark/>
          </w:tcPr>
          <w:p w14:paraId="79E53B19" w14:textId="77777777" w:rsidR="000B0092" w:rsidRPr="00BE78CA" w:rsidRDefault="000B0092" w:rsidP="00C26084">
            <w:pPr>
              <w:pStyle w:val="TableTextBold"/>
              <w:spacing w:before="50" w:after="50"/>
              <w:rPr>
                <w:bCs/>
                <w:noProof w:val="0"/>
                <w:color w:val="FFFFFF"/>
              </w:rPr>
            </w:pPr>
            <w:r w:rsidRPr="00BE78CA">
              <w:rPr>
                <w:noProof w:val="0"/>
                <w:color w:val="FFFFFF"/>
              </w:rPr>
              <w:t>Fraction by weight of bitumen in asphalt (B above)</w:t>
            </w:r>
          </w:p>
        </w:tc>
      </w:tr>
      <w:tr w:rsidR="000B0092" w:rsidRPr="00BE78CA" w14:paraId="5A1329EE" w14:textId="77777777" w:rsidTr="00693975">
        <w:tc>
          <w:tcPr>
            <w:tcW w:w="2263" w:type="dxa"/>
            <w:tcBorders>
              <w:top w:val="single" w:sz="4" w:space="0" w:color="365F91"/>
              <w:left w:val="nil"/>
              <w:bottom w:val="nil"/>
              <w:right w:val="nil"/>
            </w:tcBorders>
            <w:hideMark/>
          </w:tcPr>
          <w:p w14:paraId="60B013AF" w14:textId="77777777" w:rsidR="000B0092" w:rsidRPr="00BE78CA" w:rsidRDefault="000B0092" w:rsidP="00C26084">
            <w:pPr>
              <w:pStyle w:val="TableText"/>
              <w:spacing w:before="50" w:after="50"/>
            </w:pPr>
            <w:r w:rsidRPr="00BE78CA">
              <w:t xml:space="preserve">1990–2001 </w:t>
            </w:r>
          </w:p>
        </w:tc>
        <w:tc>
          <w:tcPr>
            <w:tcW w:w="3407" w:type="dxa"/>
            <w:tcBorders>
              <w:top w:val="single" w:sz="4" w:space="0" w:color="365F91"/>
              <w:left w:val="nil"/>
              <w:bottom w:val="nil"/>
              <w:right w:val="nil"/>
            </w:tcBorders>
            <w:hideMark/>
          </w:tcPr>
          <w:p w14:paraId="5DEFF83D" w14:textId="77777777" w:rsidR="000B0092" w:rsidRPr="00BE78CA" w:rsidRDefault="000B0092" w:rsidP="00C26084">
            <w:pPr>
              <w:pStyle w:val="TableText"/>
              <w:spacing w:before="50" w:after="50"/>
            </w:pPr>
            <w:r w:rsidRPr="00BE78CA">
              <w:t>0.80</w:t>
            </w:r>
          </w:p>
        </w:tc>
      </w:tr>
      <w:tr w:rsidR="000B0092" w:rsidRPr="00BE78CA" w14:paraId="1107FF8A" w14:textId="77777777" w:rsidTr="00693975">
        <w:tc>
          <w:tcPr>
            <w:tcW w:w="2263" w:type="dxa"/>
            <w:hideMark/>
          </w:tcPr>
          <w:p w14:paraId="2C3C6D46" w14:textId="77777777" w:rsidR="000B0092" w:rsidRPr="00BE78CA" w:rsidRDefault="000B0092" w:rsidP="00C26084">
            <w:pPr>
              <w:pStyle w:val="TableText"/>
              <w:spacing w:before="50" w:after="50"/>
            </w:pPr>
            <w:r w:rsidRPr="00BE78CA">
              <w:t>2002–2003</w:t>
            </w:r>
          </w:p>
        </w:tc>
        <w:tc>
          <w:tcPr>
            <w:tcW w:w="3407" w:type="dxa"/>
            <w:hideMark/>
          </w:tcPr>
          <w:p w14:paraId="2538D9CB" w14:textId="77777777" w:rsidR="000B0092" w:rsidRPr="00BE78CA" w:rsidRDefault="000B0092" w:rsidP="00C26084">
            <w:pPr>
              <w:pStyle w:val="TableText"/>
              <w:spacing w:before="50" w:after="50"/>
            </w:pPr>
            <w:r w:rsidRPr="00BE78CA">
              <w:t>0.65</w:t>
            </w:r>
          </w:p>
        </w:tc>
      </w:tr>
      <w:tr w:rsidR="000B0092" w:rsidRPr="00BE78CA" w14:paraId="4B1FD755" w14:textId="77777777" w:rsidTr="00693975">
        <w:tc>
          <w:tcPr>
            <w:tcW w:w="2263" w:type="dxa"/>
            <w:tcBorders>
              <w:top w:val="nil"/>
              <w:left w:val="nil"/>
              <w:bottom w:val="single" w:sz="4" w:space="0" w:color="365F91"/>
              <w:right w:val="nil"/>
            </w:tcBorders>
            <w:hideMark/>
          </w:tcPr>
          <w:p w14:paraId="7AE30CD9" w14:textId="77777777" w:rsidR="000B0092" w:rsidRPr="00BE78CA" w:rsidRDefault="000B0092" w:rsidP="00C26084">
            <w:pPr>
              <w:pStyle w:val="TableText"/>
              <w:spacing w:before="50" w:after="50"/>
            </w:pPr>
            <w:r w:rsidRPr="00BE78CA">
              <w:t>2004–2018</w:t>
            </w:r>
          </w:p>
        </w:tc>
        <w:tc>
          <w:tcPr>
            <w:tcW w:w="3407" w:type="dxa"/>
            <w:tcBorders>
              <w:top w:val="nil"/>
              <w:left w:val="nil"/>
              <w:bottom w:val="single" w:sz="4" w:space="0" w:color="365F91"/>
              <w:right w:val="nil"/>
            </w:tcBorders>
            <w:hideMark/>
          </w:tcPr>
          <w:p w14:paraId="7370D81D" w14:textId="77777777" w:rsidR="000B0092" w:rsidRPr="00BE78CA" w:rsidRDefault="000B0092" w:rsidP="00C26084">
            <w:pPr>
              <w:pStyle w:val="TableText"/>
              <w:spacing w:before="50" w:after="50"/>
            </w:pPr>
            <w:r w:rsidRPr="00BE78CA">
              <w:t>0.60</w:t>
            </w:r>
          </w:p>
        </w:tc>
      </w:tr>
    </w:tbl>
    <w:p w14:paraId="1F94A907" w14:textId="77777777" w:rsidR="000B0092" w:rsidRPr="00BE78CA" w:rsidRDefault="000B0092" w:rsidP="000B0092">
      <w:pPr>
        <w:pStyle w:val="BodyText"/>
        <w:spacing w:before="240"/>
      </w:pPr>
      <w:r w:rsidRPr="00BE78CA">
        <w:t xml:space="preserve">For asphalt used as roofing material, IPCC default emission factors of 0.05 kilograms NMVOC and 0.0095 kilograms CO per tonne of product have been used. </w:t>
      </w:r>
    </w:p>
    <w:p w14:paraId="25254085" w14:textId="77777777" w:rsidR="000B0092" w:rsidRPr="00BE78CA" w:rsidRDefault="000B0092" w:rsidP="000B0092">
      <w:pPr>
        <w:pStyle w:val="Heading3"/>
        <w:spacing w:before="240"/>
      </w:pPr>
      <w:r w:rsidRPr="00BE78CA">
        <w:t xml:space="preserve">4.5.3 </w:t>
      </w:r>
      <w:r w:rsidRPr="00BE78CA">
        <w:tab/>
        <w:t>Uncertainties and time-series consistency</w:t>
      </w:r>
    </w:p>
    <w:p w14:paraId="2128F307" w14:textId="77777777" w:rsidR="000B0092" w:rsidRPr="00BE78CA" w:rsidRDefault="000B0092" w:rsidP="000B0092">
      <w:pPr>
        <w:pStyle w:val="Heading4"/>
        <w:spacing w:before="160"/>
        <w:rPr>
          <w:bCs/>
          <w:iCs/>
        </w:rPr>
      </w:pPr>
      <w:r w:rsidRPr="00BE78CA">
        <w:t>Uncertainties</w:t>
      </w:r>
    </w:p>
    <w:p w14:paraId="3B001CAC" w14:textId="77777777" w:rsidR="000B0092" w:rsidRPr="00BE78CA" w:rsidRDefault="000B0092" w:rsidP="000B0092">
      <w:pPr>
        <w:pStyle w:val="BodyText"/>
      </w:pPr>
      <w:r w:rsidRPr="00BE78CA">
        <w:t>IPCC default uncertainty is estimated for CO</w:t>
      </w:r>
      <w:r w:rsidRPr="00BE78CA">
        <w:rPr>
          <w:vertAlign w:val="subscript"/>
        </w:rPr>
        <w:t>2</w:t>
      </w:r>
      <w:r w:rsidRPr="00BE78CA">
        <w:t xml:space="preserve"> from lubricant use. The uncertainties used for indirect emissions in this category are a mix of defaults and country specific. These uncertainties are shown in table 4.5.3. </w:t>
      </w:r>
    </w:p>
    <w:p w14:paraId="0E58D71E" w14:textId="77777777" w:rsidR="000B0092" w:rsidRPr="00BE78CA" w:rsidRDefault="000B0092" w:rsidP="000B0092">
      <w:pPr>
        <w:pStyle w:val="Table"/>
      </w:pPr>
      <w:bookmarkStart w:id="463" w:name="_Toc451176075"/>
      <w:bookmarkStart w:id="464" w:name="_Toc5269465"/>
      <w:bookmarkStart w:id="465" w:name="_Toc36224538"/>
      <w:bookmarkStart w:id="466" w:name="_Toc68786425"/>
      <w:r w:rsidRPr="00BE78CA">
        <w:t>Table 4.5.3</w:t>
      </w:r>
      <w:r w:rsidRPr="00BE78CA">
        <w:tab/>
        <w:t>Uncertainty in emissions in non-energy products from fuels and solvent use</w:t>
      </w:r>
      <w:bookmarkEnd w:id="463"/>
      <w:bookmarkEnd w:id="464"/>
      <w:bookmarkEnd w:id="465"/>
      <w:bookmarkEnd w:id="466"/>
    </w:p>
    <w:tbl>
      <w:tblPr>
        <w:tblW w:w="8505" w:type="dxa"/>
        <w:tblBorders>
          <w:top w:val="single" w:sz="6" w:space="0" w:color="365F91"/>
          <w:bottom w:val="single" w:sz="6" w:space="0" w:color="365F91"/>
          <w:insideH w:val="single" w:sz="6" w:space="0" w:color="365F91"/>
        </w:tblBorders>
        <w:tblCellMar>
          <w:left w:w="85" w:type="dxa"/>
          <w:right w:w="85" w:type="dxa"/>
        </w:tblCellMar>
        <w:tblLook w:val="04A0" w:firstRow="1" w:lastRow="0" w:firstColumn="1" w:lastColumn="0" w:noHBand="0" w:noVBand="1"/>
      </w:tblPr>
      <w:tblGrid>
        <w:gridCol w:w="2994"/>
        <w:gridCol w:w="2696"/>
        <w:gridCol w:w="2815"/>
      </w:tblGrid>
      <w:tr w:rsidR="000B0092" w:rsidRPr="00BE78CA" w14:paraId="4761B40F" w14:textId="77777777" w:rsidTr="00693975">
        <w:trPr>
          <w:tblHeader/>
        </w:trPr>
        <w:tc>
          <w:tcPr>
            <w:tcW w:w="2835" w:type="dxa"/>
            <w:tcBorders>
              <w:top w:val="single" w:sz="4" w:space="0" w:color="365F91"/>
              <w:left w:val="nil"/>
              <w:bottom w:val="single" w:sz="4" w:space="0" w:color="365F91"/>
              <w:right w:val="nil"/>
            </w:tcBorders>
            <w:shd w:val="clear" w:color="auto" w:fill="365F91"/>
            <w:hideMark/>
          </w:tcPr>
          <w:p w14:paraId="01414B35" w14:textId="77777777" w:rsidR="000B0092" w:rsidRPr="00BE78CA" w:rsidRDefault="000B0092" w:rsidP="00693975">
            <w:pPr>
              <w:pStyle w:val="TableTextBold"/>
              <w:keepNext/>
              <w:spacing w:before="50" w:after="50"/>
              <w:rPr>
                <w:noProof w:val="0"/>
                <w:color w:val="FFFFFF"/>
              </w:rPr>
            </w:pPr>
            <w:r w:rsidRPr="00BE78CA">
              <w:rPr>
                <w:noProof w:val="0"/>
                <w:color w:val="FFFFFF"/>
              </w:rPr>
              <w:t>Category</w:t>
            </w:r>
          </w:p>
        </w:tc>
        <w:tc>
          <w:tcPr>
            <w:tcW w:w="2552" w:type="dxa"/>
            <w:tcBorders>
              <w:top w:val="single" w:sz="4" w:space="0" w:color="365F91"/>
              <w:left w:val="nil"/>
              <w:bottom w:val="single" w:sz="4" w:space="0" w:color="365F91"/>
              <w:right w:val="nil"/>
            </w:tcBorders>
            <w:shd w:val="clear" w:color="auto" w:fill="365F91"/>
            <w:hideMark/>
          </w:tcPr>
          <w:p w14:paraId="40EED14C" w14:textId="77777777" w:rsidR="000B0092" w:rsidRPr="00BE78CA" w:rsidRDefault="000B0092" w:rsidP="00693975">
            <w:pPr>
              <w:pStyle w:val="TableTextBold"/>
              <w:keepNext/>
              <w:spacing w:before="50" w:after="50"/>
              <w:rPr>
                <w:noProof w:val="0"/>
                <w:color w:val="FFFFFF"/>
              </w:rPr>
            </w:pPr>
            <w:r w:rsidRPr="00BE78CA">
              <w:rPr>
                <w:noProof w:val="0"/>
                <w:color w:val="FFFFFF"/>
              </w:rPr>
              <w:t>Uncertainty in activity data (%)</w:t>
            </w:r>
          </w:p>
        </w:tc>
        <w:tc>
          <w:tcPr>
            <w:tcW w:w="2665" w:type="dxa"/>
            <w:tcBorders>
              <w:top w:val="single" w:sz="4" w:space="0" w:color="365F91"/>
              <w:left w:val="nil"/>
              <w:bottom w:val="single" w:sz="4" w:space="0" w:color="365F91"/>
              <w:right w:val="nil"/>
            </w:tcBorders>
            <w:shd w:val="clear" w:color="auto" w:fill="365F91"/>
            <w:tcMar>
              <w:right w:w="57" w:type="dxa"/>
            </w:tcMar>
            <w:hideMark/>
          </w:tcPr>
          <w:p w14:paraId="24E02E6C" w14:textId="77777777" w:rsidR="000B0092" w:rsidRPr="00BE78CA" w:rsidRDefault="000B0092" w:rsidP="00693975">
            <w:pPr>
              <w:pStyle w:val="TableTextBold"/>
              <w:keepNext/>
              <w:spacing w:before="50" w:after="50"/>
              <w:rPr>
                <w:noProof w:val="0"/>
                <w:color w:val="FFFFFF"/>
              </w:rPr>
            </w:pPr>
            <w:r w:rsidRPr="00BE78CA">
              <w:rPr>
                <w:noProof w:val="0"/>
                <w:color w:val="FFFFFF"/>
              </w:rPr>
              <w:t>Uncertainty in emission factors (%)</w:t>
            </w:r>
          </w:p>
        </w:tc>
      </w:tr>
      <w:tr w:rsidR="000B0092" w:rsidRPr="00BE78CA" w14:paraId="208646F8" w14:textId="77777777" w:rsidTr="00693975">
        <w:tc>
          <w:tcPr>
            <w:tcW w:w="2835" w:type="dxa"/>
            <w:tcBorders>
              <w:top w:val="single" w:sz="4" w:space="0" w:color="365F91"/>
              <w:left w:val="nil"/>
              <w:bottom w:val="single" w:sz="6" w:space="0" w:color="365F91"/>
              <w:right w:val="nil"/>
            </w:tcBorders>
            <w:shd w:val="clear" w:color="auto" w:fill="FFFFFF"/>
            <w:hideMark/>
          </w:tcPr>
          <w:p w14:paraId="0A458097" w14:textId="77777777" w:rsidR="000B0092" w:rsidRPr="00BE78CA" w:rsidRDefault="000B0092" w:rsidP="00693975">
            <w:pPr>
              <w:pStyle w:val="TableText"/>
              <w:spacing w:before="50" w:after="50"/>
            </w:pPr>
            <w:r w:rsidRPr="00BE78CA">
              <w:t>Lubricant use</w:t>
            </w:r>
          </w:p>
        </w:tc>
        <w:tc>
          <w:tcPr>
            <w:tcW w:w="2552" w:type="dxa"/>
            <w:tcBorders>
              <w:top w:val="single" w:sz="4" w:space="0" w:color="365F91"/>
              <w:left w:val="nil"/>
              <w:bottom w:val="single" w:sz="6" w:space="0" w:color="365F91"/>
              <w:right w:val="nil"/>
            </w:tcBorders>
            <w:shd w:val="clear" w:color="auto" w:fill="FFFFFF"/>
            <w:hideMark/>
          </w:tcPr>
          <w:p w14:paraId="2762CBDE" w14:textId="77777777" w:rsidR="000B0092" w:rsidRPr="00BE78CA" w:rsidRDefault="000B0092" w:rsidP="00693975">
            <w:pPr>
              <w:pStyle w:val="TableText"/>
              <w:spacing w:before="50" w:after="50"/>
              <w:jc w:val="center"/>
            </w:pPr>
            <w:r w:rsidRPr="00BE78CA">
              <w:t>±20</w:t>
            </w:r>
          </w:p>
        </w:tc>
        <w:tc>
          <w:tcPr>
            <w:tcW w:w="2665" w:type="dxa"/>
            <w:tcBorders>
              <w:top w:val="single" w:sz="4" w:space="0" w:color="365F91"/>
              <w:left w:val="nil"/>
              <w:bottom w:val="single" w:sz="6" w:space="0" w:color="365F91"/>
              <w:right w:val="nil"/>
            </w:tcBorders>
            <w:shd w:val="clear" w:color="auto" w:fill="FFFFFF"/>
            <w:tcMar>
              <w:right w:w="57" w:type="dxa"/>
            </w:tcMar>
            <w:hideMark/>
          </w:tcPr>
          <w:p w14:paraId="1433C12B" w14:textId="77777777" w:rsidR="000B0092" w:rsidRPr="00BE78CA" w:rsidRDefault="000B0092" w:rsidP="00693975">
            <w:pPr>
              <w:pStyle w:val="TableText"/>
              <w:spacing w:before="50" w:after="50"/>
              <w:ind w:right="964"/>
              <w:jc w:val="right"/>
            </w:pPr>
            <w:r w:rsidRPr="00BE78CA">
              <w:t>±50</w:t>
            </w:r>
          </w:p>
        </w:tc>
      </w:tr>
      <w:tr w:rsidR="000B0092" w:rsidRPr="00BE78CA" w14:paraId="08FF0319" w14:textId="77777777" w:rsidTr="00693975">
        <w:tc>
          <w:tcPr>
            <w:tcW w:w="2835" w:type="dxa"/>
            <w:tcBorders>
              <w:top w:val="single" w:sz="6" w:space="0" w:color="365F91"/>
              <w:left w:val="nil"/>
              <w:bottom w:val="single" w:sz="6" w:space="0" w:color="365F91"/>
              <w:right w:val="nil"/>
            </w:tcBorders>
            <w:shd w:val="clear" w:color="auto" w:fill="FFFFFF"/>
            <w:hideMark/>
          </w:tcPr>
          <w:p w14:paraId="5A5D6259" w14:textId="77777777" w:rsidR="000B0092" w:rsidRPr="00BE78CA" w:rsidRDefault="000B0092" w:rsidP="00693975">
            <w:pPr>
              <w:pStyle w:val="TableText"/>
              <w:spacing w:before="50" w:after="50"/>
            </w:pPr>
            <w:r w:rsidRPr="00BE78CA">
              <w:t>Paraffin wax use</w:t>
            </w:r>
          </w:p>
        </w:tc>
        <w:tc>
          <w:tcPr>
            <w:tcW w:w="2552" w:type="dxa"/>
            <w:tcBorders>
              <w:top w:val="single" w:sz="6" w:space="0" w:color="365F91"/>
              <w:left w:val="nil"/>
              <w:bottom w:val="single" w:sz="6" w:space="0" w:color="365F91"/>
              <w:right w:val="nil"/>
            </w:tcBorders>
            <w:shd w:val="clear" w:color="auto" w:fill="FFFFFF"/>
            <w:hideMark/>
          </w:tcPr>
          <w:p w14:paraId="4B92CA65" w14:textId="77777777" w:rsidR="000B0092" w:rsidRPr="00BE78CA" w:rsidRDefault="000B0092" w:rsidP="00693975">
            <w:pPr>
              <w:pStyle w:val="TableText"/>
              <w:spacing w:before="50" w:after="50"/>
              <w:jc w:val="center"/>
            </w:pPr>
            <w:r w:rsidRPr="00BE78CA">
              <w:t>±20</w:t>
            </w:r>
          </w:p>
        </w:tc>
        <w:tc>
          <w:tcPr>
            <w:tcW w:w="2665" w:type="dxa"/>
            <w:tcBorders>
              <w:top w:val="single" w:sz="6" w:space="0" w:color="365F91"/>
              <w:left w:val="nil"/>
              <w:bottom w:val="single" w:sz="6" w:space="0" w:color="365F91"/>
              <w:right w:val="nil"/>
            </w:tcBorders>
            <w:shd w:val="clear" w:color="auto" w:fill="FFFFFF"/>
            <w:tcMar>
              <w:right w:w="57" w:type="dxa"/>
            </w:tcMar>
            <w:hideMark/>
          </w:tcPr>
          <w:p w14:paraId="596B6B44" w14:textId="77777777" w:rsidR="000B0092" w:rsidRPr="00BE78CA" w:rsidRDefault="000B0092" w:rsidP="00693975">
            <w:pPr>
              <w:pStyle w:val="TableText"/>
              <w:spacing w:before="50" w:after="50"/>
              <w:ind w:right="964"/>
              <w:jc w:val="right"/>
            </w:pPr>
            <w:r w:rsidRPr="00BE78CA">
              <w:t>±100</w:t>
            </w:r>
          </w:p>
        </w:tc>
      </w:tr>
      <w:tr w:rsidR="000B0092" w:rsidRPr="00BE78CA" w14:paraId="5B86C714" w14:textId="77777777" w:rsidTr="00693975">
        <w:tc>
          <w:tcPr>
            <w:tcW w:w="2835" w:type="dxa"/>
            <w:tcBorders>
              <w:top w:val="single" w:sz="6" w:space="0" w:color="365F91"/>
              <w:left w:val="nil"/>
              <w:bottom w:val="single" w:sz="6" w:space="0" w:color="365F91"/>
              <w:right w:val="nil"/>
            </w:tcBorders>
            <w:shd w:val="clear" w:color="auto" w:fill="FFFFFF"/>
          </w:tcPr>
          <w:p w14:paraId="3A267F12" w14:textId="77777777" w:rsidR="000B0092" w:rsidRPr="00BE78CA" w:rsidRDefault="000B0092" w:rsidP="00693975">
            <w:pPr>
              <w:pStyle w:val="TableText"/>
              <w:spacing w:before="50" w:after="50"/>
            </w:pPr>
            <w:r w:rsidRPr="00BE78CA">
              <w:t xml:space="preserve">Use of urea-based catalysts in transport </w:t>
            </w:r>
          </w:p>
        </w:tc>
        <w:tc>
          <w:tcPr>
            <w:tcW w:w="2552" w:type="dxa"/>
            <w:tcBorders>
              <w:top w:val="single" w:sz="6" w:space="0" w:color="365F91"/>
              <w:left w:val="nil"/>
              <w:bottom w:val="single" w:sz="6" w:space="0" w:color="365F91"/>
              <w:right w:val="nil"/>
            </w:tcBorders>
            <w:shd w:val="clear" w:color="auto" w:fill="FFFFFF"/>
          </w:tcPr>
          <w:p w14:paraId="71E596B9" w14:textId="77777777" w:rsidR="000B0092" w:rsidRPr="00BE78CA" w:rsidRDefault="000B0092" w:rsidP="00693975">
            <w:pPr>
              <w:pStyle w:val="TableText"/>
              <w:spacing w:before="50" w:after="50"/>
              <w:jc w:val="center"/>
            </w:pPr>
            <w:r w:rsidRPr="00BE78CA">
              <w:t>±50</w:t>
            </w:r>
          </w:p>
        </w:tc>
        <w:tc>
          <w:tcPr>
            <w:tcW w:w="2665" w:type="dxa"/>
            <w:tcBorders>
              <w:top w:val="single" w:sz="6" w:space="0" w:color="365F91"/>
              <w:left w:val="nil"/>
              <w:bottom w:val="single" w:sz="6" w:space="0" w:color="365F91"/>
              <w:right w:val="nil"/>
            </w:tcBorders>
            <w:shd w:val="clear" w:color="auto" w:fill="FFFFFF"/>
            <w:tcMar>
              <w:right w:w="57" w:type="dxa"/>
            </w:tcMar>
          </w:tcPr>
          <w:p w14:paraId="0FD43876" w14:textId="77777777" w:rsidR="000B0092" w:rsidRPr="00BE78CA" w:rsidRDefault="000B0092" w:rsidP="00693975">
            <w:pPr>
              <w:pStyle w:val="TableText"/>
              <w:spacing w:before="50" w:after="50"/>
              <w:ind w:right="964"/>
              <w:jc w:val="right"/>
            </w:pPr>
            <w:r w:rsidRPr="00BE78CA">
              <w:t>±10</w:t>
            </w:r>
          </w:p>
        </w:tc>
      </w:tr>
      <w:tr w:rsidR="000B0092" w:rsidRPr="00BE78CA" w14:paraId="2C1ADD46" w14:textId="77777777" w:rsidTr="00693975">
        <w:tc>
          <w:tcPr>
            <w:tcW w:w="2835" w:type="dxa"/>
            <w:tcBorders>
              <w:top w:val="single" w:sz="6" w:space="0" w:color="365F91"/>
              <w:left w:val="nil"/>
              <w:bottom w:val="single" w:sz="6" w:space="0" w:color="365F91"/>
              <w:right w:val="nil"/>
            </w:tcBorders>
            <w:shd w:val="clear" w:color="auto" w:fill="FFFFFF"/>
            <w:hideMark/>
          </w:tcPr>
          <w:p w14:paraId="5C903DA7" w14:textId="77777777" w:rsidR="000B0092" w:rsidRPr="00BE78CA" w:rsidRDefault="000B0092" w:rsidP="00693975">
            <w:pPr>
              <w:pStyle w:val="TableText"/>
              <w:spacing w:before="50" w:after="50"/>
            </w:pPr>
            <w:r w:rsidRPr="00BE78CA">
              <w:t>Asphalt road paving</w:t>
            </w:r>
          </w:p>
        </w:tc>
        <w:tc>
          <w:tcPr>
            <w:tcW w:w="2552" w:type="dxa"/>
            <w:tcBorders>
              <w:top w:val="single" w:sz="6" w:space="0" w:color="365F91"/>
              <w:left w:val="nil"/>
              <w:bottom w:val="single" w:sz="6" w:space="0" w:color="365F91"/>
              <w:right w:val="nil"/>
            </w:tcBorders>
            <w:shd w:val="clear" w:color="auto" w:fill="FFFFFF"/>
            <w:hideMark/>
          </w:tcPr>
          <w:p w14:paraId="249A2562" w14:textId="77777777" w:rsidR="000B0092" w:rsidRPr="00BE78CA" w:rsidRDefault="000B0092" w:rsidP="00693975">
            <w:pPr>
              <w:pStyle w:val="TableText"/>
              <w:spacing w:before="50" w:after="50"/>
              <w:jc w:val="center"/>
            </w:pPr>
            <w:r w:rsidRPr="00BE78CA">
              <w:t>±40</w:t>
            </w:r>
          </w:p>
        </w:tc>
        <w:tc>
          <w:tcPr>
            <w:tcW w:w="2665" w:type="dxa"/>
            <w:tcBorders>
              <w:top w:val="single" w:sz="6" w:space="0" w:color="365F91"/>
              <w:left w:val="nil"/>
              <w:bottom w:val="single" w:sz="6" w:space="0" w:color="365F91"/>
              <w:right w:val="nil"/>
            </w:tcBorders>
            <w:shd w:val="clear" w:color="auto" w:fill="FFFFFF"/>
            <w:tcMar>
              <w:right w:w="57" w:type="dxa"/>
            </w:tcMar>
            <w:hideMark/>
          </w:tcPr>
          <w:p w14:paraId="4898E1CA" w14:textId="77777777" w:rsidR="000B0092" w:rsidRPr="00BE78CA" w:rsidRDefault="000B0092" w:rsidP="00693975">
            <w:pPr>
              <w:pStyle w:val="TableText"/>
              <w:spacing w:before="50" w:after="50"/>
              <w:ind w:right="964"/>
              <w:jc w:val="right"/>
            </w:pPr>
            <w:r w:rsidRPr="00BE78CA">
              <w:t>±40</w:t>
            </w:r>
          </w:p>
        </w:tc>
      </w:tr>
      <w:tr w:rsidR="000B0092" w:rsidRPr="00BE78CA" w14:paraId="4948CF66" w14:textId="77777777" w:rsidTr="00693975">
        <w:tc>
          <w:tcPr>
            <w:tcW w:w="2835" w:type="dxa"/>
            <w:tcBorders>
              <w:top w:val="single" w:sz="6" w:space="0" w:color="365F91"/>
              <w:left w:val="nil"/>
              <w:bottom w:val="single" w:sz="6" w:space="0" w:color="365F91"/>
              <w:right w:val="nil"/>
            </w:tcBorders>
            <w:shd w:val="clear" w:color="auto" w:fill="FFFFFF"/>
            <w:hideMark/>
          </w:tcPr>
          <w:p w14:paraId="1DA78692" w14:textId="77777777" w:rsidR="000B0092" w:rsidRPr="00BE78CA" w:rsidRDefault="000B0092" w:rsidP="00693975">
            <w:pPr>
              <w:pStyle w:val="TableText"/>
              <w:spacing w:before="50" w:after="50"/>
            </w:pPr>
            <w:r w:rsidRPr="00BE78CA">
              <w:t>Asphalt roofing</w:t>
            </w:r>
          </w:p>
        </w:tc>
        <w:tc>
          <w:tcPr>
            <w:tcW w:w="2552" w:type="dxa"/>
            <w:tcBorders>
              <w:top w:val="single" w:sz="6" w:space="0" w:color="365F91"/>
              <w:left w:val="nil"/>
              <w:bottom w:val="single" w:sz="6" w:space="0" w:color="365F91"/>
              <w:right w:val="nil"/>
            </w:tcBorders>
            <w:shd w:val="clear" w:color="auto" w:fill="FFFFFF"/>
            <w:hideMark/>
          </w:tcPr>
          <w:p w14:paraId="3EE25519" w14:textId="77777777" w:rsidR="000B0092" w:rsidRPr="00BE78CA" w:rsidRDefault="000B0092" w:rsidP="00693975">
            <w:pPr>
              <w:pStyle w:val="TableText"/>
              <w:spacing w:before="50" w:after="50"/>
              <w:jc w:val="center"/>
            </w:pPr>
            <w:r w:rsidRPr="00BE78CA">
              <w:t>±50</w:t>
            </w:r>
          </w:p>
        </w:tc>
        <w:tc>
          <w:tcPr>
            <w:tcW w:w="2665" w:type="dxa"/>
            <w:tcBorders>
              <w:top w:val="single" w:sz="6" w:space="0" w:color="365F91"/>
              <w:left w:val="nil"/>
              <w:bottom w:val="single" w:sz="6" w:space="0" w:color="365F91"/>
              <w:right w:val="nil"/>
            </w:tcBorders>
            <w:shd w:val="clear" w:color="auto" w:fill="FFFFFF"/>
            <w:tcMar>
              <w:right w:w="57" w:type="dxa"/>
            </w:tcMar>
            <w:hideMark/>
          </w:tcPr>
          <w:p w14:paraId="0BE7738E" w14:textId="77777777" w:rsidR="000B0092" w:rsidRPr="00BE78CA" w:rsidRDefault="000B0092" w:rsidP="00693975">
            <w:pPr>
              <w:pStyle w:val="TableText"/>
              <w:spacing w:before="50" w:after="50"/>
              <w:ind w:right="964"/>
              <w:jc w:val="right"/>
            </w:pPr>
            <w:r w:rsidRPr="00BE78CA">
              <w:t>±40</w:t>
            </w:r>
          </w:p>
        </w:tc>
      </w:tr>
      <w:tr w:rsidR="000B0092" w:rsidRPr="00BE78CA" w14:paraId="20A4ED72" w14:textId="77777777" w:rsidTr="00693975">
        <w:tc>
          <w:tcPr>
            <w:tcW w:w="2835" w:type="dxa"/>
            <w:tcBorders>
              <w:top w:val="single" w:sz="6" w:space="0" w:color="365F91"/>
              <w:left w:val="nil"/>
              <w:bottom w:val="single" w:sz="6" w:space="0" w:color="365F91"/>
              <w:right w:val="nil"/>
            </w:tcBorders>
            <w:shd w:val="clear" w:color="auto" w:fill="FFFFFF"/>
            <w:hideMark/>
          </w:tcPr>
          <w:p w14:paraId="09495A78" w14:textId="77777777" w:rsidR="000B0092" w:rsidRPr="00BE78CA" w:rsidRDefault="000B0092" w:rsidP="00693975">
            <w:pPr>
              <w:pStyle w:val="TableText"/>
              <w:spacing w:before="50" w:after="50"/>
            </w:pPr>
            <w:r w:rsidRPr="00BE78CA">
              <w:t>Paint application</w:t>
            </w:r>
          </w:p>
        </w:tc>
        <w:tc>
          <w:tcPr>
            <w:tcW w:w="2552" w:type="dxa"/>
            <w:tcBorders>
              <w:top w:val="single" w:sz="6" w:space="0" w:color="365F91"/>
              <w:left w:val="nil"/>
              <w:bottom w:val="single" w:sz="6" w:space="0" w:color="365F91"/>
              <w:right w:val="nil"/>
            </w:tcBorders>
            <w:shd w:val="clear" w:color="auto" w:fill="FFFFFF"/>
            <w:hideMark/>
          </w:tcPr>
          <w:p w14:paraId="5E205BF9" w14:textId="77777777" w:rsidR="000B0092" w:rsidRPr="00BE78CA" w:rsidRDefault="000B0092" w:rsidP="00693975">
            <w:pPr>
              <w:pStyle w:val="TableText"/>
              <w:spacing w:before="50" w:after="50"/>
              <w:jc w:val="center"/>
            </w:pPr>
            <w:r w:rsidRPr="00BE78CA">
              <w:t>±40</w:t>
            </w:r>
          </w:p>
        </w:tc>
        <w:tc>
          <w:tcPr>
            <w:tcW w:w="2665" w:type="dxa"/>
            <w:tcBorders>
              <w:top w:val="single" w:sz="6" w:space="0" w:color="365F91"/>
              <w:left w:val="nil"/>
              <w:bottom w:val="single" w:sz="6" w:space="0" w:color="365F91"/>
              <w:right w:val="nil"/>
            </w:tcBorders>
            <w:shd w:val="clear" w:color="auto" w:fill="FFFFFF"/>
            <w:tcMar>
              <w:right w:w="57" w:type="dxa"/>
            </w:tcMar>
            <w:hideMark/>
          </w:tcPr>
          <w:p w14:paraId="1A754A02" w14:textId="77777777" w:rsidR="000B0092" w:rsidRPr="00BE78CA" w:rsidRDefault="000B0092" w:rsidP="00693975">
            <w:pPr>
              <w:pStyle w:val="TableText"/>
              <w:spacing w:before="50" w:after="50"/>
              <w:ind w:right="964"/>
              <w:jc w:val="right"/>
            </w:pPr>
            <w:r w:rsidRPr="00BE78CA">
              <w:t>±50</w:t>
            </w:r>
          </w:p>
        </w:tc>
      </w:tr>
      <w:tr w:rsidR="000B0092" w:rsidRPr="00BE78CA" w14:paraId="40B4F85F" w14:textId="77777777" w:rsidTr="00693975">
        <w:tc>
          <w:tcPr>
            <w:tcW w:w="2835" w:type="dxa"/>
            <w:tcBorders>
              <w:top w:val="single" w:sz="6" w:space="0" w:color="365F91"/>
              <w:left w:val="nil"/>
              <w:bottom w:val="single" w:sz="6" w:space="0" w:color="365F91"/>
              <w:right w:val="nil"/>
            </w:tcBorders>
            <w:shd w:val="clear" w:color="auto" w:fill="FFFFFF"/>
            <w:hideMark/>
          </w:tcPr>
          <w:p w14:paraId="7235E329" w14:textId="77777777" w:rsidR="000B0092" w:rsidRPr="00BE78CA" w:rsidRDefault="000B0092" w:rsidP="00693975">
            <w:pPr>
              <w:pStyle w:val="TableText"/>
              <w:spacing w:before="50" w:after="50"/>
            </w:pPr>
            <w:r w:rsidRPr="00BE78CA">
              <w:t>Degreasing and dry cleaning</w:t>
            </w:r>
          </w:p>
        </w:tc>
        <w:tc>
          <w:tcPr>
            <w:tcW w:w="2552" w:type="dxa"/>
            <w:tcBorders>
              <w:top w:val="single" w:sz="6" w:space="0" w:color="365F91"/>
              <w:left w:val="nil"/>
              <w:bottom w:val="single" w:sz="6" w:space="0" w:color="365F91"/>
              <w:right w:val="nil"/>
            </w:tcBorders>
            <w:shd w:val="clear" w:color="auto" w:fill="FFFFFF"/>
            <w:hideMark/>
          </w:tcPr>
          <w:p w14:paraId="1858974E" w14:textId="77777777" w:rsidR="000B0092" w:rsidRPr="00BE78CA" w:rsidRDefault="000B0092" w:rsidP="00693975">
            <w:pPr>
              <w:pStyle w:val="TableText"/>
              <w:spacing w:before="50" w:after="50"/>
              <w:jc w:val="center"/>
            </w:pPr>
            <w:r w:rsidRPr="00BE78CA">
              <w:t>±40</w:t>
            </w:r>
          </w:p>
        </w:tc>
        <w:tc>
          <w:tcPr>
            <w:tcW w:w="2665" w:type="dxa"/>
            <w:tcBorders>
              <w:top w:val="single" w:sz="6" w:space="0" w:color="365F91"/>
              <w:left w:val="nil"/>
              <w:bottom w:val="single" w:sz="6" w:space="0" w:color="365F91"/>
              <w:right w:val="nil"/>
            </w:tcBorders>
            <w:shd w:val="clear" w:color="auto" w:fill="FFFFFF"/>
            <w:tcMar>
              <w:right w:w="57" w:type="dxa"/>
            </w:tcMar>
            <w:hideMark/>
          </w:tcPr>
          <w:p w14:paraId="19B1451C" w14:textId="77777777" w:rsidR="000B0092" w:rsidRPr="00BE78CA" w:rsidRDefault="000B0092" w:rsidP="00693975">
            <w:pPr>
              <w:pStyle w:val="TableText"/>
              <w:spacing w:before="50" w:after="50"/>
              <w:ind w:right="964"/>
              <w:jc w:val="right"/>
            </w:pPr>
            <w:r w:rsidRPr="00BE78CA">
              <w:t>±60</w:t>
            </w:r>
          </w:p>
        </w:tc>
      </w:tr>
      <w:tr w:rsidR="000B0092" w:rsidRPr="00BE78CA" w14:paraId="1381CFB6" w14:textId="77777777" w:rsidTr="00693975">
        <w:tc>
          <w:tcPr>
            <w:tcW w:w="2835" w:type="dxa"/>
            <w:tcBorders>
              <w:top w:val="single" w:sz="6" w:space="0" w:color="365F91"/>
              <w:left w:val="nil"/>
              <w:bottom w:val="single" w:sz="6" w:space="0" w:color="365F91"/>
              <w:right w:val="nil"/>
            </w:tcBorders>
            <w:shd w:val="clear" w:color="auto" w:fill="FFFFFF"/>
            <w:hideMark/>
          </w:tcPr>
          <w:p w14:paraId="79A92D00" w14:textId="77777777" w:rsidR="000B0092" w:rsidRPr="00BE78CA" w:rsidRDefault="000B0092" w:rsidP="00693975">
            <w:pPr>
              <w:pStyle w:val="TableText"/>
              <w:spacing w:before="50" w:after="50"/>
            </w:pPr>
            <w:r w:rsidRPr="00BE78CA">
              <w:t>Printing</w:t>
            </w:r>
          </w:p>
        </w:tc>
        <w:tc>
          <w:tcPr>
            <w:tcW w:w="2552" w:type="dxa"/>
            <w:tcBorders>
              <w:top w:val="single" w:sz="6" w:space="0" w:color="365F91"/>
              <w:left w:val="nil"/>
              <w:bottom w:val="single" w:sz="6" w:space="0" w:color="365F91"/>
              <w:right w:val="nil"/>
            </w:tcBorders>
            <w:shd w:val="clear" w:color="auto" w:fill="FFFFFF"/>
            <w:hideMark/>
          </w:tcPr>
          <w:p w14:paraId="6A3046B1" w14:textId="77777777" w:rsidR="000B0092" w:rsidRPr="00BE78CA" w:rsidRDefault="000B0092" w:rsidP="00693975">
            <w:pPr>
              <w:pStyle w:val="TableText"/>
              <w:spacing w:before="50" w:after="50"/>
              <w:jc w:val="center"/>
            </w:pPr>
            <w:r w:rsidRPr="00BE78CA">
              <w:t>±50</w:t>
            </w:r>
          </w:p>
        </w:tc>
        <w:tc>
          <w:tcPr>
            <w:tcW w:w="2665" w:type="dxa"/>
            <w:tcBorders>
              <w:top w:val="single" w:sz="6" w:space="0" w:color="365F91"/>
              <w:left w:val="nil"/>
              <w:bottom w:val="single" w:sz="6" w:space="0" w:color="365F91"/>
              <w:right w:val="nil"/>
            </w:tcBorders>
            <w:shd w:val="clear" w:color="auto" w:fill="FFFFFF"/>
            <w:tcMar>
              <w:right w:w="57" w:type="dxa"/>
            </w:tcMar>
            <w:hideMark/>
          </w:tcPr>
          <w:p w14:paraId="5914F181" w14:textId="77777777" w:rsidR="000B0092" w:rsidRPr="00BE78CA" w:rsidRDefault="000B0092" w:rsidP="00693975">
            <w:pPr>
              <w:pStyle w:val="TableText"/>
              <w:spacing w:before="50" w:after="50"/>
              <w:ind w:right="964"/>
              <w:jc w:val="right"/>
            </w:pPr>
            <w:r w:rsidRPr="00BE78CA">
              <w:t>±50</w:t>
            </w:r>
          </w:p>
        </w:tc>
      </w:tr>
      <w:tr w:rsidR="000B0092" w:rsidRPr="00BE78CA" w14:paraId="5A04982C" w14:textId="77777777" w:rsidTr="00693975">
        <w:tc>
          <w:tcPr>
            <w:tcW w:w="2835" w:type="dxa"/>
            <w:tcBorders>
              <w:top w:val="single" w:sz="6" w:space="0" w:color="365F91"/>
              <w:left w:val="nil"/>
              <w:bottom w:val="single" w:sz="6" w:space="0" w:color="365F91"/>
              <w:right w:val="nil"/>
            </w:tcBorders>
            <w:shd w:val="clear" w:color="auto" w:fill="FFFFFF"/>
            <w:hideMark/>
          </w:tcPr>
          <w:p w14:paraId="760A3788" w14:textId="77777777" w:rsidR="000B0092" w:rsidRPr="00BE78CA" w:rsidRDefault="000B0092" w:rsidP="00693975">
            <w:pPr>
              <w:pStyle w:val="TableText"/>
              <w:spacing w:before="50" w:after="50"/>
            </w:pPr>
            <w:r w:rsidRPr="00BE78CA">
              <w:t>Domestic and commercial solvent use</w:t>
            </w:r>
          </w:p>
        </w:tc>
        <w:tc>
          <w:tcPr>
            <w:tcW w:w="2552" w:type="dxa"/>
            <w:tcBorders>
              <w:top w:val="single" w:sz="6" w:space="0" w:color="365F91"/>
              <w:left w:val="nil"/>
              <w:bottom w:val="single" w:sz="6" w:space="0" w:color="365F91"/>
              <w:right w:val="nil"/>
            </w:tcBorders>
            <w:shd w:val="clear" w:color="auto" w:fill="FFFFFF"/>
            <w:hideMark/>
          </w:tcPr>
          <w:p w14:paraId="01014203" w14:textId="77777777" w:rsidR="000B0092" w:rsidRPr="00BE78CA" w:rsidRDefault="000B0092" w:rsidP="00693975">
            <w:pPr>
              <w:pStyle w:val="TableText"/>
              <w:spacing w:before="50" w:after="50"/>
              <w:jc w:val="center"/>
            </w:pPr>
            <w:r w:rsidRPr="00BE78CA">
              <w:t>±50</w:t>
            </w:r>
          </w:p>
        </w:tc>
        <w:tc>
          <w:tcPr>
            <w:tcW w:w="2665" w:type="dxa"/>
            <w:tcBorders>
              <w:top w:val="single" w:sz="6" w:space="0" w:color="365F91"/>
              <w:left w:val="nil"/>
              <w:bottom w:val="single" w:sz="6" w:space="0" w:color="365F91"/>
              <w:right w:val="nil"/>
            </w:tcBorders>
            <w:shd w:val="clear" w:color="auto" w:fill="FFFFFF"/>
            <w:tcMar>
              <w:right w:w="57" w:type="dxa"/>
            </w:tcMar>
            <w:hideMark/>
          </w:tcPr>
          <w:p w14:paraId="284E2C42" w14:textId="77777777" w:rsidR="000B0092" w:rsidRPr="00BE78CA" w:rsidRDefault="000B0092" w:rsidP="00693975">
            <w:pPr>
              <w:pStyle w:val="TableText"/>
              <w:spacing w:before="50" w:after="50"/>
              <w:ind w:right="964"/>
              <w:jc w:val="right"/>
            </w:pPr>
            <w:r w:rsidRPr="00BE78CA">
              <w:t>±60</w:t>
            </w:r>
          </w:p>
        </w:tc>
      </w:tr>
    </w:tbl>
    <w:p w14:paraId="7D4EBE2A" w14:textId="77777777" w:rsidR="000B0092" w:rsidRPr="00BE78CA" w:rsidRDefault="000B0092" w:rsidP="000B0092">
      <w:pPr>
        <w:pStyle w:val="Heading4"/>
        <w:spacing w:before="280"/>
        <w:rPr>
          <w:bCs/>
          <w:iCs/>
        </w:rPr>
      </w:pPr>
      <w:r w:rsidRPr="00BE78CA">
        <w:t>Time-series consistency</w:t>
      </w:r>
    </w:p>
    <w:p w14:paraId="50E24240" w14:textId="77777777" w:rsidR="000B0092" w:rsidRPr="00BE78CA" w:rsidRDefault="000B0092" w:rsidP="000B0092">
      <w:pPr>
        <w:pStyle w:val="BodyText"/>
        <w:spacing w:before="80" w:after="100"/>
      </w:pPr>
      <w:r w:rsidRPr="00BE78CA">
        <w:t>For CO</w:t>
      </w:r>
      <w:r w:rsidRPr="00BE78CA">
        <w:rPr>
          <w:vertAlign w:val="subscript"/>
        </w:rPr>
        <w:t>2</w:t>
      </w:r>
      <w:r w:rsidRPr="00BE78CA">
        <w:t xml:space="preserve"> emissions in this category, the activity data have been extrapolated and emission factors are defaults. The implied emission factors and time-series consistency reflect this. </w:t>
      </w:r>
    </w:p>
    <w:p w14:paraId="131467CC" w14:textId="77777777" w:rsidR="000B0092" w:rsidRPr="00BE78CA" w:rsidRDefault="000B0092" w:rsidP="000B0092">
      <w:pPr>
        <w:pStyle w:val="Heading3"/>
        <w:spacing w:before="240"/>
      </w:pPr>
      <w:r w:rsidRPr="00BE78CA">
        <w:t>4.5.4</w:t>
      </w:r>
      <w:r w:rsidRPr="00BE78CA">
        <w:tab/>
        <w:t>Source-specific QA/QC and verification</w:t>
      </w:r>
    </w:p>
    <w:p w14:paraId="10DEA8B9" w14:textId="77777777" w:rsidR="000B0092" w:rsidRPr="00BE78CA" w:rsidRDefault="000B0092" w:rsidP="000B0092">
      <w:pPr>
        <w:pStyle w:val="BodyText"/>
        <w:spacing w:before="100" w:after="100"/>
      </w:pPr>
      <w:r w:rsidRPr="00BE78CA">
        <w:rPr>
          <w:i/>
        </w:rPr>
        <w:t>Non-energy products from fuels and solvent use</w:t>
      </w:r>
      <w:r w:rsidRPr="00BE78CA">
        <w:t xml:space="preserve"> is a non-key category. Verification of the data from independent sources was not feasible.</w:t>
      </w:r>
    </w:p>
    <w:p w14:paraId="48FB69BE" w14:textId="77777777" w:rsidR="000B0092" w:rsidRPr="00BE78CA" w:rsidRDefault="000B0092" w:rsidP="000B0092">
      <w:pPr>
        <w:pStyle w:val="Heading3"/>
        <w:spacing w:before="240"/>
      </w:pPr>
      <w:r w:rsidRPr="00BE78CA">
        <w:lastRenderedPageBreak/>
        <w:t>4.5.5</w:t>
      </w:r>
      <w:r w:rsidRPr="00BE78CA">
        <w:tab/>
        <w:t>Source-specific recalculations</w:t>
      </w:r>
    </w:p>
    <w:p w14:paraId="70148220" w14:textId="77777777" w:rsidR="000B0092" w:rsidRPr="00BE78CA" w:rsidRDefault="000B0092" w:rsidP="000B0092">
      <w:pPr>
        <w:pStyle w:val="BodyText"/>
        <w:spacing w:before="100" w:after="100"/>
      </w:pPr>
      <w:r w:rsidRPr="00BE78CA">
        <w:t>Import quantities for lubricants were reassessed for the 2019 submission resulting in small changes to the entire time series. For this submission, averaging the data for recent years has resulted in a small recalculation of emissions affecting 2018.</w:t>
      </w:r>
    </w:p>
    <w:p w14:paraId="5DD0F93D" w14:textId="77777777" w:rsidR="000B0092" w:rsidRPr="00BE78CA" w:rsidRDefault="000B0092" w:rsidP="000B0092">
      <w:pPr>
        <w:pStyle w:val="Heading3"/>
        <w:spacing w:before="240"/>
      </w:pPr>
      <w:r w:rsidRPr="00BE78CA">
        <w:t>4.5.6</w:t>
      </w:r>
      <w:r w:rsidRPr="00BE78CA">
        <w:tab/>
        <w:t>Source-specific planned improvements</w:t>
      </w:r>
    </w:p>
    <w:p w14:paraId="34F67D7D" w14:textId="77777777" w:rsidR="000B0092" w:rsidRPr="00BE78CA" w:rsidRDefault="000B0092" w:rsidP="000B0092">
      <w:pPr>
        <w:pStyle w:val="BodyText"/>
        <w:spacing w:before="100" w:after="100"/>
      </w:pPr>
      <w:r w:rsidRPr="00BE78CA">
        <w:t xml:space="preserve">This category is not a priority for improvement, due to the small scale of emissions. The inventory agency will make use of improved activity data where possible, particularly for lubricants and urea-based catalysts. </w:t>
      </w:r>
    </w:p>
    <w:p w14:paraId="6F390690" w14:textId="77777777" w:rsidR="000B0092" w:rsidRPr="00BE78CA" w:rsidRDefault="000B0092" w:rsidP="000B0092">
      <w:pPr>
        <w:pStyle w:val="Heading2"/>
        <w:spacing w:before="280"/>
      </w:pPr>
      <w:bookmarkStart w:id="467" w:name="_Toc448321517"/>
      <w:bookmarkStart w:id="468" w:name="_Toc5269356"/>
      <w:bookmarkStart w:id="469" w:name="_Toc36224396"/>
      <w:bookmarkStart w:id="470" w:name="_Toc68786316"/>
      <w:r w:rsidRPr="00BE78CA">
        <w:t>4.6</w:t>
      </w:r>
      <w:r w:rsidRPr="00BE78CA">
        <w:tab/>
        <w:t>Electronics industry (2.E)</w:t>
      </w:r>
      <w:bookmarkEnd w:id="467"/>
      <w:bookmarkEnd w:id="468"/>
      <w:bookmarkEnd w:id="469"/>
      <w:bookmarkEnd w:id="470"/>
    </w:p>
    <w:p w14:paraId="79BDC090" w14:textId="77777777" w:rsidR="000B0092" w:rsidRPr="00BE78CA" w:rsidRDefault="000B0092" w:rsidP="000B0092">
      <w:pPr>
        <w:pStyle w:val="BodyText"/>
        <w:spacing w:before="100" w:after="100"/>
      </w:pPr>
      <w:r w:rsidRPr="00BE78CA">
        <w:t xml:space="preserve">New Zealand has no significant industry engaged in the manufacture of electronic products, and no emissions are reported in this category. </w:t>
      </w:r>
    </w:p>
    <w:p w14:paraId="7F91570F" w14:textId="77777777" w:rsidR="000B0092" w:rsidRPr="00BE78CA" w:rsidRDefault="000B0092" w:rsidP="000B0092">
      <w:pPr>
        <w:pStyle w:val="Heading2"/>
        <w:spacing w:before="280"/>
      </w:pPr>
      <w:bookmarkStart w:id="471" w:name="_Toc448321518"/>
      <w:bookmarkStart w:id="472" w:name="_Toc5269357"/>
      <w:bookmarkStart w:id="473" w:name="_Toc36224397"/>
      <w:bookmarkStart w:id="474" w:name="_Toc68786317"/>
      <w:r w:rsidRPr="00BE78CA">
        <w:t>4.7</w:t>
      </w:r>
      <w:r w:rsidRPr="00BE78CA">
        <w:tab/>
        <w:t>Product uses as substitutes for ODS (2.F)</w:t>
      </w:r>
      <w:bookmarkEnd w:id="471"/>
      <w:bookmarkEnd w:id="472"/>
      <w:bookmarkEnd w:id="473"/>
      <w:bookmarkEnd w:id="474"/>
    </w:p>
    <w:p w14:paraId="05C5D94F" w14:textId="77777777" w:rsidR="000B0092" w:rsidRPr="00BE78CA" w:rsidRDefault="000B0092" w:rsidP="000B0092">
      <w:pPr>
        <w:pStyle w:val="Heading3"/>
        <w:spacing w:before="120"/>
      </w:pPr>
      <w:r w:rsidRPr="00BE78CA">
        <w:t>4.7.1</w:t>
      </w:r>
      <w:r w:rsidRPr="00BE78CA">
        <w:tab/>
        <w:t>Description</w:t>
      </w:r>
    </w:p>
    <w:p w14:paraId="122E4CBF" w14:textId="77777777" w:rsidR="000B0092" w:rsidRPr="00BE78CA" w:rsidRDefault="000B0092" w:rsidP="000B0092">
      <w:pPr>
        <w:pStyle w:val="BodyText"/>
        <w:spacing w:before="100" w:after="100"/>
      </w:pPr>
      <w:r w:rsidRPr="00BE78CA">
        <w:t xml:space="preserve">HFCs are used in a wide range of equipment and products, including refrigeration and air conditioning systems and aerosols. Small amounts of PFCs have also been used in these applications in some years. No HFCs or PFCs are manufactured in New Zealand. PFCs are also emitted from the aluminium-smelting process and these emissions are reported in the </w:t>
      </w:r>
      <w:r w:rsidRPr="00BE78CA">
        <w:rPr>
          <w:i/>
        </w:rPr>
        <w:t>Metal industry</w:t>
      </w:r>
      <w:r w:rsidRPr="00BE78CA">
        <w:t xml:space="preserve"> category (2.C.3.b). </w:t>
      </w:r>
    </w:p>
    <w:p w14:paraId="1542F2D6" w14:textId="77777777" w:rsidR="000B0092" w:rsidRPr="00BE78CA" w:rsidRDefault="000B0092" w:rsidP="000B0092">
      <w:pPr>
        <w:pStyle w:val="BodyText"/>
      </w:pPr>
      <w:r w:rsidRPr="00BE78CA">
        <w:t xml:space="preserve">The use of HFCs in New Zealand began in 1992 and has increased since the mid-1990s when chlorofluorocarbons (CFCs) and hydrochlorofluorocarbons (HCFCs) began to be phased out under the Montreal Protocol. The Ozone Layer Protection Act 1996 set out a programme for phasing out the use of ODS in New Zealand. </w:t>
      </w:r>
    </w:p>
    <w:p w14:paraId="446ABF1A" w14:textId="77777777" w:rsidR="000B0092" w:rsidRPr="00BE78CA" w:rsidRDefault="000B0092" w:rsidP="000B0092">
      <w:pPr>
        <w:pStyle w:val="BodyText"/>
      </w:pPr>
      <w:r w:rsidRPr="00BE78CA">
        <w:t xml:space="preserve">In 2019, emissions in the </w:t>
      </w:r>
      <w:r w:rsidRPr="00BE78CA">
        <w:rPr>
          <w:i/>
        </w:rPr>
        <w:t>Product uses as substitutes for ODS</w:t>
      </w:r>
      <w:r w:rsidRPr="00BE78CA">
        <w:t xml:space="preserve"> category were 1,733.8 kt CO</w:t>
      </w:r>
      <w:r w:rsidRPr="00BE78CA">
        <w:rPr>
          <w:vertAlign w:val="subscript"/>
        </w:rPr>
        <w:t>2</w:t>
      </w:r>
      <w:r w:rsidRPr="00BE78CA">
        <w:t>-e or 33.9 per cent of emissions from the IPPU sector. This was a decrease of 106.6 kt CO</w:t>
      </w:r>
      <w:r w:rsidRPr="00BE78CA">
        <w:rPr>
          <w:vertAlign w:val="subscript"/>
        </w:rPr>
        <w:t>2</w:t>
      </w:r>
      <w:r w:rsidRPr="00BE78CA">
        <w:t>-e (5.8 per cent) from the 2018 level of 1,840.4 kt CO</w:t>
      </w:r>
      <w:r w:rsidRPr="00BE78CA">
        <w:rPr>
          <w:vertAlign w:val="subscript"/>
        </w:rPr>
        <w:t>2</w:t>
      </w:r>
      <w:r w:rsidRPr="00BE78CA">
        <w:t xml:space="preserve">-e. No HFCs or PFCs were used in 1990. The first consumption of HFCs in New Zealand was reported in 1992 and the first consumption of PFCs in 1995. </w:t>
      </w:r>
    </w:p>
    <w:p w14:paraId="4E322D99" w14:textId="77777777" w:rsidR="000B0092" w:rsidRPr="00BE78CA" w:rsidRDefault="000B0092" w:rsidP="000B0092">
      <w:pPr>
        <w:pStyle w:val="BodyText"/>
        <w:spacing w:before="100" w:after="100"/>
      </w:pPr>
      <w:r w:rsidRPr="00BE78CA">
        <w:t xml:space="preserve">Most of these emissions come from the use of HFCs in the </w:t>
      </w:r>
      <w:r w:rsidRPr="00BE78CA">
        <w:rPr>
          <w:i/>
        </w:rPr>
        <w:t>Refrigeration and air conditioning</w:t>
      </w:r>
      <w:r w:rsidRPr="00BE78CA">
        <w:t xml:space="preserve"> category. Emissions from the use of HFCs in the </w:t>
      </w:r>
      <w:r w:rsidRPr="00BE78CA">
        <w:rPr>
          <w:i/>
        </w:rPr>
        <w:t>Refrigeration and air conditioning</w:t>
      </w:r>
      <w:r w:rsidRPr="00BE78CA">
        <w:t xml:space="preserve"> category (level assessment and trend assessment) were identified as key categories.</w:t>
      </w:r>
    </w:p>
    <w:p w14:paraId="760C28A9" w14:textId="77777777" w:rsidR="000B0092" w:rsidRPr="00BE78CA" w:rsidRDefault="000B0092" w:rsidP="000B0092">
      <w:pPr>
        <w:pStyle w:val="Heading3"/>
      </w:pPr>
      <w:r w:rsidRPr="00BE78CA">
        <w:t xml:space="preserve">4.7.2 </w:t>
      </w:r>
      <w:r w:rsidRPr="00BE78CA">
        <w:tab/>
        <w:t>Methodological issues</w:t>
      </w:r>
    </w:p>
    <w:p w14:paraId="4B80D2AE" w14:textId="77777777" w:rsidR="000B0092" w:rsidRPr="00BE78CA" w:rsidRDefault="000B0092" w:rsidP="000B0092">
      <w:pPr>
        <w:pStyle w:val="Heading4"/>
        <w:spacing w:before="160"/>
        <w:rPr>
          <w:bCs/>
          <w:iCs/>
        </w:rPr>
      </w:pPr>
      <w:r w:rsidRPr="00BE78CA">
        <w:t>Choice of activity data</w:t>
      </w:r>
    </w:p>
    <w:p w14:paraId="281F3DA5" w14:textId="77777777" w:rsidR="000B0092" w:rsidRPr="00BE78CA" w:rsidRDefault="000B0092" w:rsidP="000B0092">
      <w:pPr>
        <w:pStyle w:val="BodyText"/>
      </w:pPr>
      <w:r w:rsidRPr="00BE78CA">
        <w:t xml:space="preserve">Most of the activity data for the </w:t>
      </w:r>
      <w:r w:rsidRPr="00BE78CA">
        <w:rPr>
          <w:i/>
        </w:rPr>
        <w:t>Product uses as substitutes for ODS</w:t>
      </w:r>
      <w:r w:rsidRPr="00BE78CA">
        <w:t xml:space="preserve"> category are collected using annual surveys of companies that import, distribute and export refrigerants and other synthetic gases, manufacture or import products containing them or use them on a significant scale (Verum Group, </w:t>
      </w:r>
      <w:r w:rsidRPr="00BE78CA">
        <w:rPr>
          <w:rFonts w:eastAsia="+mn-ea"/>
        </w:rPr>
        <w:t>unpublished</w:t>
      </w:r>
      <w:r w:rsidRPr="00BE78CA">
        <w:t xml:space="preserve">). </w:t>
      </w:r>
    </w:p>
    <w:p w14:paraId="518CB403" w14:textId="77777777" w:rsidR="000B0092" w:rsidRPr="00BE78CA" w:rsidRDefault="000B0092" w:rsidP="000B0092">
      <w:pPr>
        <w:pStyle w:val="Heading5"/>
        <w:spacing w:before="120"/>
      </w:pPr>
      <w:r w:rsidRPr="00BE78CA">
        <w:lastRenderedPageBreak/>
        <w:t>Refrigeration and air conditioning (2.F.1)</w:t>
      </w:r>
    </w:p>
    <w:p w14:paraId="1DE2C576" w14:textId="77777777" w:rsidR="000B0092" w:rsidRPr="00BE78CA" w:rsidRDefault="000B0092" w:rsidP="000B0092">
      <w:pPr>
        <w:pStyle w:val="BodyText"/>
      </w:pPr>
      <w:r w:rsidRPr="00BE78CA">
        <w:t xml:space="preserve">New Zealand imports substantial amounts of new refrigerant both in bulk and in factory-charged equipment. Both bulk chemical and equipment charged in New Zealand are exported but on a smaller scale. Data on bulk imports and exports of refrigerant, and factory-charged imported and exported equipment, were obtained using a survey questionnaire and follow-up for completeness. </w:t>
      </w:r>
    </w:p>
    <w:p w14:paraId="1FBE08B3" w14:textId="77777777" w:rsidR="000B0092" w:rsidRPr="00BE78CA" w:rsidRDefault="000B0092" w:rsidP="000B0092">
      <w:pPr>
        <w:pStyle w:val="BodyText"/>
      </w:pPr>
      <w:r w:rsidRPr="00BE78CA">
        <w:t xml:space="preserve">These items of activity data are used to estimate the annual sales of new refrigerant and the total charge of new equipment, for input into the mass balance equation used to estimate emissions of each compound for each sub-application. </w:t>
      </w:r>
    </w:p>
    <w:p w14:paraId="586083C8" w14:textId="77777777" w:rsidR="000B0092" w:rsidRPr="00BE78CA" w:rsidRDefault="000B0092" w:rsidP="000B0092">
      <w:pPr>
        <w:pStyle w:val="BodyText"/>
      </w:pPr>
      <w:r w:rsidRPr="00BE78CA">
        <w:t xml:space="preserve">Annual sales and the charge in new equipment are calculated as shown in box 7.3 in the IPCC Guidelines (IPCC, 2006a) (see box 4.1). Total charge of new equipment includes equipment that is later exported. </w:t>
      </w:r>
    </w:p>
    <w:p w14:paraId="09AC77CF" w14:textId="77777777" w:rsidR="000B0092" w:rsidRPr="00BE78CA" w:rsidRDefault="000B0092" w:rsidP="000B0092">
      <w:pPr>
        <w:pStyle w:val="BodyText"/>
        <w:rPr>
          <w:b/>
          <w:sz w:val="20"/>
        </w:rPr>
      </w:pPr>
      <w:r w:rsidRPr="00BE78CA">
        <w:rPr>
          <w:rFonts w:cs="Arial"/>
          <w:b/>
          <w:i/>
          <w:sz w:val="18"/>
        </w:rPr>
        <w:t>Box 4.1</w:t>
      </w:r>
    </w:p>
    <w:p w14:paraId="387D061C" w14:textId="77777777" w:rsidR="000B0092" w:rsidRPr="00BE78CA" w:rsidRDefault="000B0092" w:rsidP="000B0092">
      <w:pPr>
        <w:pStyle w:val="BoxHeading"/>
        <w:pBdr>
          <w:top w:val="single" w:sz="6" w:space="14" w:color="auto"/>
          <w:left w:val="single" w:sz="6" w:space="12" w:color="auto"/>
          <w:bottom w:val="single" w:sz="6" w:space="14" w:color="auto"/>
          <w:right w:val="single" w:sz="6" w:space="12" w:color="auto"/>
        </w:pBdr>
        <w:spacing w:after="120"/>
        <w:ind w:left="284"/>
        <w:jc w:val="center"/>
        <w:rPr>
          <w:sz w:val="18"/>
          <w:lang w:eastAsia="en-GB"/>
        </w:rPr>
      </w:pPr>
      <w:r w:rsidRPr="00BE78CA">
        <w:rPr>
          <w:sz w:val="18"/>
          <w:lang w:eastAsia="en-GB"/>
        </w:rPr>
        <w:t>IPCC (2006a) first equation in box 7.3</w:t>
      </w:r>
    </w:p>
    <w:p w14:paraId="2F6025B5" w14:textId="77777777" w:rsidR="000B0092" w:rsidRPr="00BE78CA" w:rsidRDefault="000B0092" w:rsidP="000B0092">
      <w:pPr>
        <w:pStyle w:val="Box"/>
        <w:pBdr>
          <w:top w:val="single" w:sz="6" w:space="14" w:color="auto"/>
          <w:left w:val="single" w:sz="6" w:space="12" w:color="auto"/>
          <w:bottom w:val="single" w:sz="6" w:space="14" w:color="auto"/>
          <w:right w:val="single" w:sz="6" w:space="12" w:color="auto"/>
        </w:pBdr>
        <w:spacing w:after="120"/>
        <w:ind w:left="284"/>
        <w:rPr>
          <w:b/>
          <w:sz w:val="16"/>
          <w:szCs w:val="18"/>
          <w:lang w:eastAsia="en-GB"/>
        </w:rPr>
      </w:pPr>
      <w:r w:rsidRPr="00BE78CA">
        <w:rPr>
          <w:b/>
          <w:sz w:val="16"/>
          <w:szCs w:val="18"/>
          <w:lang w:eastAsia="en-GB"/>
        </w:rPr>
        <w:t xml:space="preserve">Annual Sales of New Refrigerant </w:t>
      </w:r>
    </w:p>
    <w:p w14:paraId="169359D0" w14:textId="77777777" w:rsidR="000B0092" w:rsidRPr="00BE78CA" w:rsidRDefault="000B0092" w:rsidP="000B0092">
      <w:pPr>
        <w:pStyle w:val="Box"/>
        <w:pBdr>
          <w:top w:val="single" w:sz="6" w:space="14" w:color="auto"/>
          <w:left w:val="single" w:sz="6" w:space="12" w:color="auto"/>
          <w:bottom w:val="single" w:sz="6" w:space="14" w:color="auto"/>
          <w:right w:val="single" w:sz="6" w:space="12" w:color="auto"/>
        </w:pBdr>
        <w:spacing w:after="120"/>
        <w:ind w:left="284"/>
        <w:rPr>
          <w:sz w:val="16"/>
          <w:szCs w:val="18"/>
          <w:lang w:eastAsia="en-GB"/>
        </w:rPr>
      </w:pPr>
      <w:r w:rsidRPr="00BE78CA">
        <w:rPr>
          <w:sz w:val="16"/>
          <w:szCs w:val="18"/>
          <w:lang w:eastAsia="en-GB"/>
        </w:rPr>
        <w:t>= Domestically Manufactured Chemical</w:t>
      </w:r>
    </w:p>
    <w:p w14:paraId="2DE937DC" w14:textId="77777777" w:rsidR="000B0092" w:rsidRPr="00BE78CA" w:rsidRDefault="000B0092" w:rsidP="000B0092">
      <w:pPr>
        <w:pStyle w:val="Box"/>
        <w:pBdr>
          <w:top w:val="single" w:sz="6" w:space="14" w:color="auto"/>
          <w:left w:val="single" w:sz="6" w:space="12" w:color="auto"/>
          <w:bottom w:val="single" w:sz="6" w:space="14" w:color="auto"/>
          <w:right w:val="single" w:sz="6" w:space="12" w:color="auto"/>
        </w:pBdr>
        <w:spacing w:after="120"/>
        <w:ind w:left="284"/>
        <w:rPr>
          <w:sz w:val="16"/>
          <w:szCs w:val="18"/>
          <w:lang w:eastAsia="en-GB"/>
        </w:rPr>
      </w:pPr>
      <w:r w:rsidRPr="00BE78CA">
        <w:rPr>
          <w:sz w:val="16"/>
          <w:szCs w:val="18"/>
          <w:lang w:eastAsia="en-GB"/>
        </w:rPr>
        <w:t>+ Imported Bulk Chemical ― Exported Bulk Chemical</w:t>
      </w:r>
    </w:p>
    <w:p w14:paraId="6710CEB5" w14:textId="77777777" w:rsidR="000B0092" w:rsidRPr="00BE78CA" w:rsidRDefault="000B0092" w:rsidP="000B0092">
      <w:pPr>
        <w:pStyle w:val="Box"/>
        <w:pBdr>
          <w:top w:val="single" w:sz="6" w:space="14" w:color="auto"/>
          <w:left w:val="single" w:sz="6" w:space="12" w:color="auto"/>
          <w:bottom w:val="single" w:sz="6" w:space="14" w:color="auto"/>
          <w:right w:val="single" w:sz="6" w:space="12" w:color="auto"/>
        </w:pBdr>
        <w:spacing w:after="120"/>
        <w:ind w:left="284"/>
        <w:rPr>
          <w:sz w:val="16"/>
          <w:szCs w:val="18"/>
          <w:lang w:eastAsia="en-GB"/>
        </w:rPr>
      </w:pPr>
      <w:r w:rsidRPr="00BE78CA">
        <w:rPr>
          <w:sz w:val="16"/>
          <w:szCs w:val="18"/>
          <w:lang w:eastAsia="en-GB"/>
        </w:rPr>
        <w:t>+ Chemical Contained in Factory Charged Imported Equipment</w:t>
      </w:r>
    </w:p>
    <w:p w14:paraId="0AD6E327" w14:textId="77777777" w:rsidR="000B0092" w:rsidRPr="00BE78CA" w:rsidRDefault="000B0092" w:rsidP="000B0092">
      <w:pPr>
        <w:pStyle w:val="Box"/>
        <w:pBdr>
          <w:top w:val="single" w:sz="6" w:space="14" w:color="auto"/>
          <w:left w:val="single" w:sz="6" w:space="12" w:color="auto"/>
          <w:bottom w:val="single" w:sz="6" w:space="14" w:color="auto"/>
          <w:right w:val="single" w:sz="6" w:space="12" w:color="auto"/>
        </w:pBdr>
        <w:spacing w:after="120"/>
        <w:ind w:left="284"/>
        <w:rPr>
          <w:sz w:val="16"/>
          <w:szCs w:val="18"/>
          <w:lang w:eastAsia="en-GB"/>
        </w:rPr>
      </w:pPr>
      <w:r w:rsidRPr="00BE78CA">
        <w:rPr>
          <w:sz w:val="16"/>
          <w:szCs w:val="18"/>
        </w:rPr>
        <w:t>–</w:t>
      </w:r>
      <w:r w:rsidRPr="00BE78CA">
        <w:rPr>
          <w:sz w:val="16"/>
          <w:szCs w:val="18"/>
          <w:lang w:eastAsia="en-GB"/>
        </w:rPr>
        <w:t xml:space="preserve"> Chemical Contained in Factory Charged Exported Equipment.</w:t>
      </w:r>
    </w:p>
    <w:p w14:paraId="70D50A22" w14:textId="77777777" w:rsidR="000B0092" w:rsidRPr="00BE78CA" w:rsidRDefault="000B0092" w:rsidP="000B0092">
      <w:pPr>
        <w:pStyle w:val="Box"/>
        <w:pBdr>
          <w:top w:val="single" w:sz="6" w:space="14" w:color="auto"/>
          <w:left w:val="single" w:sz="6" w:space="12" w:color="auto"/>
          <w:bottom w:val="single" w:sz="6" w:space="14" w:color="auto"/>
          <w:right w:val="single" w:sz="6" w:space="12" w:color="auto"/>
        </w:pBdr>
        <w:spacing w:before="120" w:after="120"/>
        <w:ind w:left="284"/>
        <w:rPr>
          <w:b/>
          <w:sz w:val="16"/>
          <w:szCs w:val="18"/>
          <w:lang w:eastAsia="en-GB"/>
        </w:rPr>
      </w:pPr>
      <w:r w:rsidRPr="00BE78CA">
        <w:rPr>
          <w:b/>
          <w:sz w:val="16"/>
          <w:szCs w:val="18"/>
          <w:lang w:eastAsia="en-GB"/>
        </w:rPr>
        <w:t xml:space="preserve">Total Charge of New Equipment </w:t>
      </w:r>
    </w:p>
    <w:p w14:paraId="37F2B8AE" w14:textId="77777777" w:rsidR="000B0092" w:rsidRPr="00BE78CA" w:rsidRDefault="000B0092" w:rsidP="000B0092">
      <w:pPr>
        <w:pStyle w:val="Box"/>
        <w:pBdr>
          <w:top w:val="single" w:sz="6" w:space="14" w:color="auto"/>
          <w:left w:val="single" w:sz="6" w:space="12" w:color="auto"/>
          <w:bottom w:val="single" w:sz="6" w:space="14" w:color="auto"/>
          <w:right w:val="single" w:sz="6" w:space="12" w:color="auto"/>
        </w:pBdr>
        <w:spacing w:after="120"/>
        <w:ind w:left="284"/>
        <w:rPr>
          <w:sz w:val="16"/>
          <w:szCs w:val="18"/>
          <w:lang w:eastAsia="en-GB"/>
        </w:rPr>
      </w:pPr>
      <w:r w:rsidRPr="00BE78CA">
        <w:rPr>
          <w:sz w:val="16"/>
          <w:szCs w:val="18"/>
          <w:lang w:eastAsia="en-GB"/>
        </w:rPr>
        <w:t>= Chemical to Charge Domestically Manufactured Equipment that is not Factory Charged</w:t>
      </w:r>
    </w:p>
    <w:p w14:paraId="75A3CEA3" w14:textId="77777777" w:rsidR="000B0092" w:rsidRPr="00BE78CA" w:rsidRDefault="000B0092" w:rsidP="000B0092">
      <w:pPr>
        <w:pStyle w:val="Box"/>
        <w:pBdr>
          <w:top w:val="single" w:sz="6" w:space="14" w:color="auto"/>
          <w:left w:val="single" w:sz="6" w:space="12" w:color="auto"/>
          <w:bottom w:val="single" w:sz="6" w:space="14" w:color="auto"/>
          <w:right w:val="single" w:sz="6" w:space="12" w:color="auto"/>
        </w:pBdr>
        <w:spacing w:after="120"/>
        <w:ind w:left="284"/>
        <w:rPr>
          <w:sz w:val="16"/>
          <w:szCs w:val="18"/>
          <w:lang w:eastAsia="en-GB"/>
        </w:rPr>
      </w:pPr>
      <w:r w:rsidRPr="00BE78CA">
        <w:rPr>
          <w:sz w:val="16"/>
          <w:szCs w:val="18"/>
          <w:lang w:eastAsia="en-GB"/>
        </w:rPr>
        <w:t xml:space="preserve">+ Chemical to Charge Domestically Manufactured Equipment that is Factory Charged </w:t>
      </w:r>
    </w:p>
    <w:p w14:paraId="283B44D8" w14:textId="77777777" w:rsidR="000B0092" w:rsidRPr="00BE78CA" w:rsidRDefault="000B0092" w:rsidP="000B0092">
      <w:pPr>
        <w:pStyle w:val="Box"/>
        <w:pBdr>
          <w:top w:val="single" w:sz="6" w:space="14" w:color="auto"/>
          <w:left w:val="single" w:sz="6" w:space="12" w:color="auto"/>
          <w:bottom w:val="single" w:sz="6" w:space="14" w:color="auto"/>
          <w:right w:val="single" w:sz="6" w:space="12" w:color="auto"/>
        </w:pBdr>
        <w:spacing w:after="120"/>
        <w:ind w:left="284"/>
        <w:rPr>
          <w:sz w:val="16"/>
          <w:szCs w:val="18"/>
          <w:lang w:eastAsia="en-GB"/>
        </w:rPr>
      </w:pPr>
      <w:r w:rsidRPr="00BE78CA">
        <w:rPr>
          <w:sz w:val="16"/>
          <w:szCs w:val="18"/>
          <w:lang w:eastAsia="en-GB"/>
        </w:rPr>
        <w:t>+ Chemical to Charge Imported Equipment that is not Factory Charged</w:t>
      </w:r>
    </w:p>
    <w:p w14:paraId="04CCCF3D" w14:textId="77777777" w:rsidR="000B0092" w:rsidRPr="00BE78CA" w:rsidRDefault="000B0092" w:rsidP="000B0092">
      <w:pPr>
        <w:pStyle w:val="Box"/>
        <w:pBdr>
          <w:top w:val="single" w:sz="6" w:space="14" w:color="auto"/>
          <w:left w:val="single" w:sz="6" w:space="12" w:color="auto"/>
          <w:bottom w:val="single" w:sz="6" w:space="14" w:color="auto"/>
          <w:right w:val="single" w:sz="6" w:space="12" w:color="auto"/>
        </w:pBdr>
        <w:spacing w:after="120"/>
        <w:ind w:left="284"/>
        <w:rPr>
          <w:sz w:val="16"/>
          <w:szCs w:val="18"/>
          <w:lang w:eastAsia="en-GB"/>
        </w:rPr>
      </w:pPr>
      <w:r w:rsidRPr="00BE78CA">
        <w:rPr>
          <w:sz w:val="16"/>
          <w:szCs w:val="18"/>
          <w:lang w:eastAsia="en-GB"/>
        </w:rPr>
        <w:t xml:space="preserve">+ Chemical Contained in Factory Charged Imported Equipment </w:t>
      </w:r>
    </w:p>
    <w:p w14:paraId="4037168D" w14:textId="77777777" w:rsidR="000B0092" w:rsidRPr="00BE78CA" w:rsidRDefault="000B0092" w:rsidP="000B0092">
      <w:pPr>
        <w:pStyle w:val="Box"/>
        <w:pBdr>
          <w:top w:val="single" w:sz="6" w:space="14" w:color="auto"/>
          <w:left w:val="single" w:sz="6" w:space="12" w:color="auto"/>
          <w:bottom w:val="single" w:sz="6" w:space="14" w:color="auto"/>
          <w:right w:val="single" w:sz="6" w:space="12" w:color="auto"/>
        </w:pBdr>
        <w:spacing w:after="120"/>
        <w:ind w:left="284"/>
        <w:rPr>
          <w:sz w:val="16"/>
          <w:szCs w:val="18"/>
          <w:lang w:eastAsia="en-GB"/>
        </w:rPr>
      </w:pPr>
      <w:r w:rsidRPr="00BE78CA">
        <w:rPr>
          <w:sz w:val="16"/>
          <w:szCs w:val="18"/>
          <w:lang w:eastAsia="en-GB"/>
        </w:rPr>
        <w:t>– Chemical Contained in Factory Charged Exported Equipment.</w:t>
      </w:r>
    </w:p>
    <w:p w14:paraId="1C68EC54" w14:textId="77777777" w:rsidR="000B0092" w:rsidRPr="00BE78CA" w:rsidRDefault="000B0092" w:rsidP="000B0092">
      <w:pPr>
        <w:pStyle w:val="BodyText"/>
        <w:spacing w:before="240"/>
      </w:pPr>
      <w:r w:rsidRPr="00BE78CA">
        <w:t>No refrigerant chemicals are manufactured domestically in New Zealand.</w:t>
      </w:r>
    </w:p>
    <w:p w14:paraId="003F0279" w14:textId="77777777" w:rsidR="000B0092" w:rsidRPr="00BE78CA" w:rsidRDefault="000B0092" w:rsidP="000B0092">
      <w:pPr>
        <w:pStyle w:val="BodyText"/>
        <w:spacing w:after="100"/>
      </w:pPr>
      <w:r w:rsidRPr="00BE78CA">
        <w:t>Detailed, but not complete, information on the supplies and banks of chemical in each sub</w:t>
      </w:r>
      <w:r w:rsidRPr="00BE78CA">
        <w:noBreakHyphen/>
        <w:t xml:space="preserve">application was obtained from surveys and follow-up calls to request specific data. </w:t>
      </w:r>
    </w:p>
    <w:p w14:paraId="0C4E9907" w14:textId="77777777" w:rsidR="000B0092" w:rsidRPr="00BE78CA" w:rsidRDefault="000B0092" w:rsidP="000B0092">
      <w:pPr>
        <w:pStyle w:val="BodyText"/>
        <w:spacing w:after="100"/>
      </w:pPr>
      <w:r w:rsidRPr="00BE78CA">
        <w:t xml:space="preserve">This information has been used to assess the mass balance for each sub-application. However, the attribution of bulk chemical to individual sub-applications is less accurate than the data on total amounts of each chemical imported. It is consistently difficult to attribute bulk chemical accurately to any specific sub-application, other than </w:t>
      </w:r>
      <w:r w:rsidRPr="00BE78CA">
        <w:rPr>
          <w:i/>
        </w:rPr>
        <w:t>Mobile air conditioning</w:t>
      </w:r>
      <w:r w:rsidRPr="00BE78CA">
        <w:t xml:space="preserve">. </w:t>
      </w:r>
    </w:p>
    <w:p w14:paraId="3E515672" w14:textId="77777777" w:rsidR="000B0092" w:rsidRPr="00BE78CA" w:rsidRDefault="000B0092" w:rsidP="000B0092">
      <w:pPr>
        <w:pStyle w:val="BodyText"/>
        <w:spacing w:after="100"/>
      </w:pPr>
      <w:r w:rsidRPr="00BE78CA">
        <w:t xml:space="preserve">The accurate attribution of bulk chemical to a specific year of use is also challenging, due to large year-to-year variations in the amounts imported. Imports to New Zealand are variable at any time, due to the small amounts of some refrigerants that are used. In addition, import volumes have fluctuated at various times due to price changes and apparent stockpiling by importers and users. </w:t>
      </w:r>
    </w:p>
    <w:p w14:paraId="516E1E68" w14:textId="77777777" w:rsidR="000B0092" w:rsidRPr="00BE78CA" w:rsidRDefault="000B0092" w:rsidP="000B0092">
      <w:pPr>
        <w:pStyle w:val="BodyText"/>
        <w:keepLines/>
        <w:spacing w:after="100"/>
      </w:pPr>
      <w:r w:rsidRPr="00BE78CA">
        <w:lastRenderedPageBreak/>
        <w:t xml:space="preserve">For the </w:t>
      </w:r>
      <w:r w:rsidRPr="00BE78CA">
        <w:rPr>
          <w:i/>
        </w:rPr>
        <w:t>Mobile air conditioning</w:t>
      </w:r>
      <w:r w:rsidRPr="00BE78CA">
        <w:t xml:space="preserve"> sub-application, only HFC-134a is used in New Zealand, and has been since 1994. Data on vehicle registrations and fleet numbers are provided by the New Zealand Transport Agency and inform a model of the fleet. Estimates of the annual amount added to the bank, and first-fill emissions, are based on a good understanding of the number of new cars, trucks and buses with air conditioning added to the fleet each year. The results of the survey of bulk importers and distributors were also used to help determine the amount of HFC</w:t>
      </w:r>
      <w:r w:rsidRPr="00BE78CA">
        <w:noBreakHyphen/>
        <w:t xml:space="preserve">134a sold for mobile air conditioning. </w:t>
      </w:r>
    </w:p>
    <w:p w14:paraId="089165E2" w14:textId="77777777" w:rsidR="000B0092" w:rsidRPr="00BE78CA" w:rsidRDefault="000B0092" w:rsidP="000B0092">
      <w:pPr>
        <w:pStyle w:val="BodyText"/>
        <w:spacing w:after="100"/>
      </w:pPr>
      <w:r w:rsidRPr="00BE78CA">
        <w:t>In 2009,</w:t>
      </w:r>
      <w:r w:rsidRPr="00BE78CA">
        <w:rPr>
          <w:spacing w:val="-2"/>
        </w:rPr>
        <w:t xml:space="preserve"> the average charge of HFC-134a in vehicle air conditioning systems added to the bank at that time was estimated to be as</w:t>
      </w:r>
      <w:r w:rsidRPr="00BE78CA">
        <w:t xml:space="preserve"> shown in table 4.7.1, based on IPCC defaults and information from the industry. </w:t>
      </w:r>
    </w:p>
    <w:p w14:paraId="4CFE4A5F" w14:textId="77777777" w:rsidR="000B0092" w:rsidRPr="00BE78CA" w:rsidRDefault="000B0092" w:rsidP="000B0092">
      <w:pPr>
        <w:pStyle w:val="Table"/>
      </w:pPr>
      <w:bookmarkStart w:id="475" w:name="_Toc451176076"/>
      <w:bookmarkStart w:id="476" w:name="_Toc5269466"/>
      <w:bookmarkStart w:id="477" w:name="_Toc36224539"/>
      <w:bookmarkStart w:id="478" w:name="_Toc68786426"/>
      <w:r w:rsidRPr="00BE78CA">
        <w:t>Table 4.7.1</w:t>
      </w:r>
      <w:r w:rsidRPr="00BE78CA">
        <w:tab/>
        <w:t>Average charge of HFC-134a in mobile air conditioners, 2009</w:t>
      </w:r>
      <w:bookmarkEnd w:id="475"/>
      <w:bookmarkEnd w:id="476"/>
      <w:bookmarkEnd w:id="477"/>
      <w:bookmarkEnd w:id="478"/>
    </w:p>
    <w:tbl>
      <w:tblPr>
        <w:tblW w:w="8505" w:type="dxa"/>
        <w:tblBorders>
          <w:top w:val="single" w:sz="6" w:space="0" w:color="365F91"/>
          <w:bottom w:val="single" w:sz="6" w:space="0" w:color="365F91"/>
          <w:insideH w:val="single" w:sz="6" w:space="0" w:color="365F91"/>
        </w:tblBorders>
        <w:tblLook w:val="04A0" w:firstRow="1" w:lastRow="0" w:firstColumn="1" w:lastColumn="0" w:noHBand="0" w:noVBand="1"/>
      </w:tblPr>
      <w:tblGrid>
        <w:gridCol w:w="2721"/>
        <w:gridCol w:w="2892"/>
        <w:gridCol w:w="2892"/>
      </w:tblGrid>
      <w:tr w:rsidR="000B0092" w:rsidRPr="00BE78CA" w14:paraId="7689B3E6" w14:textId="77777777" w:rsidTr="006D0127">
        <w:tc>
          <w:tcPr>
            <w:tcW w:w="2540" w:type="dxa"/>
            <w:tcBorders>
              <w:top w:val="single" w:sz="4" w:space="0" w:color="365F91"/>
              <w:left w:val="nil"/>
              <w:bottom w:val="single" w:sz="4" w:space="0" w:color="365F91"/>
              <w:right w:val="nil"/>
            </w:tcBorders>
            <w:shd w:val="clear" w:color="auto" w:fill="365F91"/>
            <w:hideMark/>
          </w:tcPr>
          <w:p w14:paraId="5277EBFD" w14:textId="77777777" w:rsidR="000B0092" w:rsidRPr="00BE78CA" w:rsidRDefault="000B0092" w:rsidP="00C26084">
            <w:pPr>
              <w:pStyle w:val="TableTextBold"/>
              <w:rPr>
                <w:noProof w:val="0"/>
                <w:color w:val="FFFFFF"/>
              </w:rPr>
            </w:pPr>
            <w:r w:rsidRPr="00BE78CA">
              <w:rPr>
                <w:noProof w:val="0"/>
                <w:color w:val="FFFFFF"/>
              </w:rPr>
              <w:t>Charge for cars and vans (g)</w:t>
            </w:r>
          </w:p>
        </w:tc>
        <w:tc>
          <w:tcPr>
            <w:tcW w:w="2699" w:type="dxa"/>
            <w:tcBorders>
              <w:top w:val="single" w:sz="4" w:space="0" w:color="365F91"/>
              <w:left w:val="nil"/>
              <w:bottom w:val="single" w:sz="4" w:space="0" w:color="365F91"/>
              <w:right w:val="nil"/>
            </w:tcBorders>
            <w:shd w:val="clear" w:color="auto" w:fill="365F91"/>
            <w:hideMark/>
          </w:tcPr>
          <w:p w14:paraId="5DA51BB4" w14:textId="77777777" w:rsidR="000B0092" w:rsidRPr="00BE78CA" w:rsidRDefault="000B0092" w:rsidP="00C26084">
            <w:pPr>
              <w:pStyle w:val="TableTextBold"/>
              <w:rPr>
                <w:noProof w:val="0"/>
                <w:color w:val="FFFFFF"/>
              </w:rPr>
            </w:pPr>
            <w:r w:rsidRPr="00BE78CA">
              <w:rPr>
                <w:noProof w:val="0"/>
                <w:color w:val="FFFFFF"/>
              </w:rPr>
              <w:t>Charge for heavy trucks (g)</w:t>
            </w:r>
          </w:p>
        </w:tc>
        <w:tc>
          <w:tcPr>
            <w:tcW w:w="2699" w:type="dxa"/>
            <w:tcBorders>
              <w:top w:val="single" w:sz="4" w:space="0" w:color="365F91"/>
              <w:left w:val="nil"/>
              <w:bottom w:val="single" w:sz="4" w:space="0" w:color="365F91"/>
              <w:right w:val="nil"/>
            </w:tcBorders>
            <w:shd w:val="clear" w:color="auto" w:fill="365F91"/>
            <w:hideMark/>
          </w:tcPr>
          <w:p w14:paraId="2224BD95" w14:textId="77777777" w:rsidR="000B0092" w:rsidRPr="00BE78CA" w:rsidRDefault="000B0092" w:rsidP="00C26084">
            <w:pPr>
              <w:pStyle w:val="TableTextBold"/>
              <w:rPr>
                <w:noProof w:val="0"/>
                <w:color w:val="FFFFFF"/>
              </w:rPr>
            </w:pPr>
            <w:r w:rsidRPr="00BE78CA">
              <w:rPr>
                <w:noProof w:val="0"/>
                <w:color w:val="FFFFFF"/>
              </w:rPr>
              <w:t>Charge for buses (g)</w:t>
            </w:r>
          </w:p>
        </w:tc>
      </w:tr>
      <w:tr w:rsidR="000B0092" w:rsidRPr="00BE78CA" w14:paraId="35DDB242" w14:textId="77777777" w:rsidTr="006D0127">
        <w:tc>
          <w:tcPr>
            <w:tcW w:w="2540" w:type="dxa"/>
            <w:tcBorders>
              <w:top w:val="single" w:sz="4" w:space="0" w:color="365F91"/>
              <w:left w:val="nil"/>
              <w:bottom w:val="single" w:sz="6" w:space="0" w:color="365F91"/>
              <w:right w:val="nil"/>
            </w:tcBorders>
            <w:shd w:val="clear" w:color="auto" w:fill="FFFFFF"/>
            <w:hideMark/>
          </w:tcPr>
          <w:p w14:paraId="1BC7764B" w14:textId="77777777" w:rsidR="000B0092" w:rsidRPr="00BE78CA" w:rsidRDefault="000B0092" w:rsidP="00C26084">
            <w:pPr>
              <w:pStyle w:val="TableText"/>
            </w:pPr>
            <w:r w:rsidRPr="00BE78CA">
              <w:t>600</w:t>
            </w:r>
          </w:p>
        </w:tc>
        <w:tc>
          <w:tcPr>
            <w:tcW w:w="2699" w:type="dxa"/>
            <w:tcBorders>
              <w:top w:val="single" w:sz="4" w:space="0" w:color="365F91"/>
              <w:left w:val="nil"/>
              <w:bottom w:val="single" w:sz="6" w:space="0" w:color="365F91"/>
              <w:right w:val="nil"/>
            </w:tcBorders>
            <w:shd w:val="clear" w:color="auto" w:fill="FFFFFF"/>
            <w:hideMark/>
          </w:tcPr>
          <w:p w14:paraId="4E11D8E9" w14:textId="77777777" w:rsidR="000B0092" w:rsidRPr="00BE78CA" w:rsidRDefault="000B0092" w:rsidP="00C26084">
            <w:pPr>
              <w:pStyle w:val="TableText"/>
            </w:pPr>
            <w:r w:rsidRPr="00BE78CA">
              <w:t>800</w:t>
            </w:r>
          </w:p>
        </w:tc>
        <w:tc>
          <w:tcPr>
            <w:tcW w:w="2699" w:type="dxa"/>
            <w:tcBorders>
              <w:top w:val="single" w:sz="4" w:space="0" w:color="365F91"/>
              <w:left w:val="nil"/>
              <w:bottom w:val="single" w:sz="6" w:space="0" w:color="365F91"/>
              <w:right w:val="nil"/>
            </w:tcBorders>
            <w:shd w:val="clear" w:color="auto" w:fill="FFFFFF"/>
            <w:hideMark/>
          </w:tcPr>
          <w:p w14:paraId="1DBB4F4B" w14:textId="77777777" w:rsidR="000B0092" w:rsidRPr="00BE78CA" w:rsidRDefault="000B0092" w:rsidP="00C26084">
            <w:pPr>
              <w:pStyle w:val="TableText"/>
            </w:pPr>
            <w:r w:rsidRPr="00BE78CA">
              <w:t>4,000</w:t>
            </w:r>
          </w:p>
        </w:tc>
      </w:tr>
    </w:tbl>
    <w:p w14:paraId="150C68CB" w14:textId="77777777" w:rsidR="000B0092" w:rsidRPr="00BE78CA" w:rsidRDefault="000B0092" w:rsidP="000B0092">
      <w:pPr>
        <w:pStyle w:val="BodyText"/>
        <w:spacing w:before="240"/>
      </w:pPr>
      <w:r w:rsidRPr="00BE78CA">
        <w:t xml:space="preserve">These amounts were higher in earlier years, with the charge in a car air conditioner at approximately 700 grams in 2000. New Zealand imports a wide variety of vehicles, many of them used cars, and it is not feasible to obtain accurate and up-to-date statistics on their refrigerant charge. Based on this earlier trend, the average charges in vehicles added to the fleet are assessed to reduce by 2.0 per cent per year for 2010 to 2019. Information on some of the models imported, although limited, indicates that the ongoing trend to reduce these charges has continued after 2009 (Verum Group, unpublished). </w:t>
      </w:r>
    </w:p>
    <w:p w14:paraId="181CECEB" w14:textId="77777777" w:rsidR="000B0092" w:rsidRPr="00BE78CA" w:rsidRDefault="000B0092" w:rsidP="000B0092">
      <w:pPr>
        <w:pStyle w:val="Heading5"/>
        <w:spacing w:before="200"/>
      </w:pPr>
      <w:r w:rsidRPr="00BE78CA">
        <w:t>Foam blowing agents (2.F.2)</w:t>
      </w:r>
    </w:p>
    <w:p w14:paraId="28B9BD8D" w14:textId="77777777" w:rsidR="000B0092" w:rsidRPr="00BE78CA" w:rsidRDefault="000B0092" w:rsidP="000B0092">
      <w:pPr>
        <w:pStyle w:val="BodyText"/>
        <w:rPr>
          <w:spacing w:val="-2"/>
        </w:rPr>
      </w:pPr>
      <w:r w:rsidRPr="00BE78CA">
        <w:rPr>
          <w:spacing w:val="-2"/>
        </w:rPr>
        <w:t xml:space="preserve">Only closed-cell foams are produced in New Zealand. Companies importing and using HFCs for foam blowing have provided data on the gas imported and used in response to an annual survey. Small quantities of HFC-245fa are estimated to be contained in insulating foam in refrigerators and freezers that are imported from Mexico and the United States of America. Imported items from other source countries are unlikely to contain HFCs. </w:t>
      </w:r>
    </w:p>
    <w:p w14:paraId="78A99D51" w14:textId="77777777" w:rsidR="000B0092" w:rsidRPr="00BE78CA" w:rsidRDefault="000B0092" w:rsidP="000B0092">
      <w:pPr>
        <w:pStyle w:val="Heading5"/>
        <w:spacing w:before="200"/>
      </w:pPr>
      <w:r w:rsidRPr="00BE78CA">
        <w:t>Fire protection (2.F.3)</w:t>
      </w:r>
    </w:p>
    <w:p w14:paraId="1E051720" w14:textId="77777777" w:rsidR="000B0092" w:rsidRPr="00BE78CA" w:rsidRDefault="000B0092" w:rsidP="000B0092">
      <w:pPr>
        <w:pStyle w:val="BodyText"/>
        <w:rPr>
          <w:spacing w:val="-2"/>
        </w:rPr>
      </w:pPr>
      <w:r w:rsidRPr="00BE78CA">
        <w:rPr>
          <w:spacing w:val="-2"/>
        </w:rPr>
        <w:t>Three companies in New Zealand import and supply fire protection equipment that contains HFC</w:t>
      </w:r>
      <w:r w:rsidRPr="00BE78CA">
        <w:rPr>
          <w:spacing w:val="-2"/>
        </w:rPr>
        <w:noBreakHyphen/>
        <w:t xml:space="preserve">227ea, with two other firms installing small amounts in marine fire protection systems. This gas has been used since 1994 as a substitute for ODS. No other HFCs or PFCs are used. The companies provide data on the amount imported in equipment in response to an annual survey. </w:t>
      </w:r>
    </w:p>
    <w:p w14:paraId="4454F347" w14:textId="77777777" w:rsidR="000B0092" w:rsidRPr="00BE78CA" w:rsidRDefault="000B0092" w:rsidP="000B0092">
      <w:pPr>
        <w:pStyle w:val="Heading5"/>
      </w:pPr>
      <w:r w:rsidRPr="00BE78CA">
        <w:t>Aerosols (2.F.4)</w:t>
      </w:r>
    </w:p>
    <w:p w14:paraId="0A05BDAB" w14:textId="77777777" w:rsidR="000B0092" w:rsidRPr="00BE78CA" w:rsidRDefault="000B0092" w:rsidP="000B0092">
      <w:pPr>
        <w:pStyle w:val="BodyText"/>
      </w:pPr>
      <w:r w:rsidRPr="00BE78CA">
        <w:t xml:space="preserve">Most of the HFC use and emissions in this category are for medical use in metered dose inhalers (MDIs). MDIs that use HFC-134a were introduced in 1995, and all MDIs sold in New Zealand from 2012, if they have used any propellant, have used HFCs. Nearly all of the propellant in MDIs is HFC-134a, but a small amount of HFC-227ea is also used. Also, approximately 12.0 per cent of MDIs now sold do not use a propellant at all. </w:t>
      </w:r>
    </w:p>
    <w:p w14:paraId="1949F88E" w14:textId="77777777" w:rsidR="000B0092" w:rsidRPr="00BE78CA" w:rsidRDefault="000B0092" w:rsidP="000B0092">
      <w:pPr>
        <w:pStyle w:val="BodyText"/>
      </w:pPr>
      <w:r w:rsidRPr="00BE78CA">
        <w:t xml:space="preserve">All MDIs used in New Zealand are imported. The government pharmaceutical purchasing agency (Pharmac) supplies annual data on the sales of MDIs. </w:t>
      </w:r>
    </w:p>
    <w:p w14:paraId="45D1123D" w14:textId="77777777" w:rsidR="000B0092" w:rsidRPr="00BE78CA" w:rsidRDefault="000B0092" w:rsidP="000B0092">
      <w:pPr>
        <w:pStyle w:val="BodyText"/>
      </w:pPr>
      <w:r w:rsidRPr="00BE78CA">
        <w:t xml:space="preserve">Most of the MDIs imported and sold in New Zealand contain either 200 or 120 doses and either 15 grams or 9.5 grams of HFC-134a propellant per inhaler. An approximate weighted average is used to estimate emissions for each propellant, per dose: </w:t>
      </w:r>
    </w:p>
    <w:p w14:paraId="00B57FE9" w14:textId="77777777" w:rsidR="000B0092" w:rsidRPr="00BE78CA" w:rsidRDefault="000B0092" w:rsidP="000B0092">
      <w:pPr>
        <w:pStyle w:val="Bullet"/>
      </w:pPr>
      <w:r w:rsidRPr="00BE78CA">
        <w:lastRenderedPageBreak/>
        <w:t>81.4 milligrams of HFC-134a, or</w:t>
      </w:r>
    </w:p>
    <w:p w14:paraId="4DF8C7A3" w14:textId="77777777" w:rsidR="000B0092" w:rsidRPr="00BE78CA" w:rsidRDefault="000B0092" w:rsidP="000B0092">
      <w:pPr>
        <w:pStyle w:val="Bullet"/>
      </w:pPr>
      <w:r w:rsidRPr="00BE78CA">
        <w:t xml:space="preserve">66.9 milligrams of HFC-227ea. </w:t>
      </w:r>
    </w:p>
    <w:p w14:paraId="5C0FA8AF" w14:textId="77777777" w:rsidR="000B0092" w:rsidRPr="00BE78CA" w:rsidRDefault="000B0092" w:rsidP="000B0092">
      <w:pPr>
        <w:pStyle w:val="BodyText"/>
      </w:pPr>
      <w:r w:rsidRPr="00BE78CA">
        <w:t xml:space="preserve">HFC-134a is the only HFC propellant used in non-medical aerosols in New Zealand. </w:t>
      </w:r>
    </w:p>
    <w:p w14:paraId="5FC7192A" w14:textId="77777777" w:rsidR="000B0092" w:rsidRPr="00BE78CA" w:rsidRDefault="000B0092" w:rsidP="000B0092">
      <w:pPr>
        <w:pStyle w:val="BodyText"/>
      </w:pPr>
      <w:r w:rsidRPr="00BE78CA">
        <w:t xml:space="preserve">All non-MDI aerosols used in New Zealand now are imported, with the propellant charge already in place. Up until 2014, one company loaded specialised aerosols in New Zealand with HFC-134a as the propellant. This activity is no longer carried out. </w:t>
      </w:r>
    </w:p>
    <w:p w14:paraId="741D470E" w14:textId="77777777" w:rsidR="000B0092" w:rsidRPr="00BE78CA" w:rsidRDefault="000B0092" w:rsidP="000B0092">
      <w:pPr>
        <w:pStyle w:val="BodyText"/>
      </w:pPr>
      <w:r w:rsidRPr="00BE78CA">
        <w:t xml:space="preserve">Nearly all of the aerosol cans that are imported and sold in New Zealand use hydrocarbon propellants, while only a few specialised applications use HFCs. </w:t>
      </w:r>
    </w:p>
    <w:p w14:paraId="223BEC62" w14:textId="77777777" w:rsidR="000B0092" w:rsidRPr="00BE78CA" w:rsidRDefault="000B0092" w:rsidP="000B0092">
      <w:pPr>
        <w:pStyle w:val="BodyText"/>
      </w:pPr>
      <w:r w:rsidRPr="00BE78CA">
        <w:t>Information on the imports, manufacture and use of non-MDI aerosol products has been sourced from the Aerosol Association of Australia/New Zealand, from survey data supplied by importers and from the one New Zealand aerosol manufacturer that previously used HFC</w:t>
      </w:r>
      <w:r w:rsidRPr="00BE78CA">
        <w:noBreakHyphen/>
        <w:t xml:space="preserve">134a. </w:t>
      </w:r>
    </w:p>
    <w:p w14:paraId="6FE82EA9" w14:textId="77777777" w:rsidR="000B0092" w:rsidRPr="00BE78CA" w:rsidRDefault="000B0092" w:rsidP="000B0092">
      <w:pPr>
        <w:pStyle w:val="BodyText"/>
      </w:pPr>
      <w:r w:rsidRPr="00BE78CA">
        <w:t xml:space="preserve">Import data – regardless of the source – are not complete or reliable because the aerosol market is diffuse and the available data do not clearly distinguish aerosols that contain HFCs from the much greater number containing hydrocarbons. </w:t>
      </w:r>
    </w:p>
    <w:p w14:paraId="3952F90A" w14:textId="77777777" w:rsidR="000B0092" w:rsidRPr="00BE78CA" w:rsidRDefault="000B0092" w:rsidP="000B0092">
      <w:pPr>
        <w:pStyle w:val="BodyText"/>
      </w:pPr>
      <w:r w:rsidRPr="00BE78CA">
        <w:t xml:space="preserve">Survey data have provided some incomplete estimates of imports containing HFCs, accounting, for example, for 6.6 tonnes of HFC-134a in 2006. By combining this information with data from the New Zealand manufacturer, an assessment has been made of the proportions of HFC-134a in aerosol products sold in New Zealand: </w:t>
      </w:r>
    </w:p>
    <w:p w14:paraId="3F28C0FC" w14:textId="77777777" w:rsidR="000B0092" w:rsidRPr="00BE78CA" w:rsidRDefault="000B0092" w:rsidP="000B0092">
      <w:pPr>
        <w:pStyle w:val="Bullet"/>
      </w:pPr>
      <w:r w:rsidRPr="00BE78CA">
        <w:t xml:space="preserve">zero from 1990 to 1995, when HFC propellant had not yet been introduced </w:t>
      </w:r>
    </w:p>
    <w:p w14:paraId="198060E9" w14:textId="77777777" w:rsidR="000B0092" w:rsidRPr="00BE78CA" w:rsidRDefault="000B0092" w:rsidP="000B0092">
      <w:pPr>
        <w:pStyle w:val="Bullet"/>
      </w:pPr>
      <w:r w:rsidRPr="00BE78CA">
        <w:t xml:space="preserve">phased in from 1996 to 2000 reaching 1 per cent in 2000 </w:t>
      </w:r>
    </w:p>
    <w:p w14:paraId="6D128A8E" w14:textId="77777777" w:rsidR="000B0092" w:rsidRPr="00BE78CA" w:rsidRDefault="000B0092" w:rsidP="000B0092">
      <w:pPr>
        <w:pStyle w:val="Bullet"/>
      </w:pPr>
      <w:r w:rsidRPr="00BE78CA">
        <w:t>1 per cent (approximately 17 tonnes of HFC-134a annually) from 2001 to 2016</w:t>
      </w:r>
    </w:p>
    <w:p w14:paraId="7B5A6776" w14:textId="77777777" w:rsidR="000B0092" w:rsidRPr="00BE78CA" w:rsidRDefault="000B0092" w:rsidP="000B0092">
      <w:pPr>
        <w:pStyle w:val="Bullet"/>
      </w:pPr>
      <w:r w:rsidRPr="00BE78CA">
        <w:t xml:space="preserve">phasing down by 0.1 per cent each year from 2017 to 2019. </w:t>
      </w:r>
    </w:p>
    <w:p w14:paraId="56402010" w14:textId="77777777" w:rsidR="000B0092" w:rsidRPr="00BE78CA" w:rsidRDefault="000B0092" w:rsidP="000B0092">
      <w:pPr>
        <w:pStyle w:val="BodyText"/>
      </w:pPr>
      <w:r w:rsidRPr="00BE78CA">
        <w:t>For all non-MDI aerosol products using HFC propellant, the average propellant charge is assessed to be 84 grams of HFC-134a.</w:t>
      </w:r>
    </w:p>
    <w:p w14:paraId="751AEBF0" w14:textId="77777777" w:rsidR="000B0092" w:rsidRPr="00BE78CA" w:rsidRDefault="000B0092" w:rsidP="000B0092">
      <w:pPr>
        <w:pStyle w:val="Heading4"/>
      </w:pPr>
      <w:r w:rsidRPr="00BE78CA">
        <w:t>Choice of methods</w:t>
      </w:r>
    </w:p>
    <w:p w14:paraId="24DA4622" w14:textId="77777777" w:rsidR="000B0092" w:rsidRPr="00BE78CA" w:rsidRDefault="000B0092" w:rsidP="000B0092">
      <w:pPr>
        <w:pStyle w:val="Heading5"/>
        <w:spacing w:before="120"/>
      </w:pPr>
      <w:r w:rsidRPr="00BE78CA">
        <w:t>Refrigeration and air conditioning (2.F.1)</w:t>
      </w:r>
    </w:p>
    <w:p w14:paraId="64C14836" w14:textId="77777777" w:rsidR="000B0092" w:rsidRPr="00BE78CA" w:rsidRDefault="000B0092" w:rsidP="000B0092">
      <w:pPr>
        <w:pStyle w:val="BodyText"/>
      </w:pPr>
      <w:r w:rsidRPr="00BE78CA">
        <w:t xml:space="preserve">The Tier 2b mass balance approach is used to estimate emissions from the </w:t>
      </w:r>
      <w:r w:rsidRPr="00BE78CA">
        <w:rPr>
          <w:i/>
        </w:rPr>
        <w:t>Refrigeration and air conditioning</w:t>
      </w:r>
      <w:r w:rsidRPr="00BE78CA">
        <w:t xml:space="preserve"> category. This method is used because quite complete and accurate data are available on bulk imports of the refrigerants used for these applications. The alternative Tier 2a approach would require bottom-up data on the charges, leakage rates and population of a great variety of equipment items. This information is not available. </w:t>
      </w:r>
    </w:p>
    <w:p w14:paraId="65FC32DB" w14:textId="77777777" w:rsidR="000B0092" w:rsidRPr="00BE78CA" w:rsidRDefault="000B0092" w:rsidP="000B0092">
      <w:pPr>
        <w:pStyle w:val="BodyText"/>
      </w:pPr>
      <w:r w:rsidRPr="00BE78CA">
        <w:t xml:space="preserve">The mass balance approach uses equation 7.9 in the IPCC Guidelines (2006a) (box 4.2). </w:t>
      </w:r>
    </w:p>
    <w:p w14:paraId="1737E356" w14:textId="77777777" w:rsidR="000B0092" w:rsidRPr="00BE78CA" w:rsidRDefault="000B0092" w:rsidP="000B0092">
      <w:pPr>
        <w:pStyle w:val="BodyText"/>
        <w:keepNext/>
        <w:rPr>
          <w:rFonts w:cs="Calibri"/>
          <w:i/>
          <w:sz w:val="20"/>
        </w:rPr>
      </w:pPr>
      <w:r w:rsidRPr="00BE78CA">
        <w:rPr>
          <w:rFonts w:cs="Calibri"/>
          <w:b/>
          <w:i/>
          <w:sz w:val="18"/>
          <w:szCs w:val="18"/>
        </w:rPr>
        <w:t>Box 4.2</w:t>
      </w:r>
    </w:p>
    <w:p w14:paraId="561923AC" w14:textId="77777777" w:rsidR="000B0092" w:rsidRPr="00BE78CA" w:rsidRDefault="000B0092" w:rsidP="000B0092">
      <w:pPr>
        <w:pStyle w:val="BoxHeading"/>
        <w:keepNext/>
        <w:spacing w:after="120"/>
        <w:ind w:left="284"/>
        <w:jc w:val="center"/>
        <w:rPr>
          <w:sz w:val="18"/>
          <w:lang w:eastAsia="en-GB"/>
        </w:rPr>
      </w:pPr>
      <w:r w:rsidRPr="00BE78CA">
        <w:rPr>
          <w:sz w:val="18"/>
          <w:lang w:eastAsia="en-GB"/>
        </w:rPr>
        <w:t>IPCC (2006a) equation 7.9</w:t>
      </w:r>
    </w:p>
    <w:p w14:paraId="1D7A57A0" w14:textId="77777777" w:rsidR="000B0092" w:rsidRPr="00BE78CA" w:rsidRDefault="000B0092" w:rsidP="000B0092">
      <w:pPr>
        <w:pStyle w:val="Box"/>
        <w:ind w:left="284"/>
        <w:jc w:val="center"/>
        <w:rPr>
          <w:sz w:val="16"/>
          <w:lang w:eastAsia="en-GB"/>
        </w:rPr>
      </w:pPr>
      <w:r w:rsidRPr="00BE78CA">
        <w:rPr>
          <w:b/>
          <w:sz w:val="16"/>
          <w:lang w:eastAsia="en-GB"/>
        </w:rPr>
        <w:t xml:space="preserve">Emissions </w:t>
      </w:r>
      <w:r w:rsidRPr="00BE78CA">
        <w:rPr>
          <w:sz w:val="16"/>
          <w:lang w:eastAsia="en-GB"/>
        </w:rPr>
        <w:t>= Annual Sales of New Refrigerant ― Total Charge of New Equipment + Original Total Charge of Retiring Equipment ― Amount of Intentional Destruction</w:t>
      </w:r>
    </w:p>
    <w:p w14:paraId="79805C4E" w14:textId="77777777" w:rsidR="000B0092" w:rsidRPr="00BE78CA" w:rsidRDefault="000B0092" w:rsidP="000B0092">
      <w:pPr>
        <w:pStyle w:val="BodyText"/>
        <w:spacing w:before="240"/>
      </w:pPr>
      <w:r w:rsidRPr="00BE78CA">
        <w:lastRenderedPageBreak/>
        <w:t xml:space="preserve">Spreadsheet models have been used to represent the refrigerant consumption and banks. Estimates have been made for the six sub-applications: </w:t>
      </w:r>
      <w:r w:rsidRPr="00BE78CA">
        <w:rPr>
          <w:i/>
        </w:rPr>
        <w:t>Household refrigeration</w:t>
      </w:r>
      <w:r w:rsidRPr="00BE78CA">
        <w:t xml:space="preserve">, </w:t>
      </w:r>
      <w:r w:rsidRPr="00BE78CA">
        <w:rPr>
          <w:i/>
        </w:rPr>
        <w:t>Commercial refrigeration</w:t>
      </w:r>
      <w:r w:rsidRPr="00BE78CA">
        <w:t xml:space="preserve">, </w:t>
      </w:r>
      <w:r w:rsidRPr="00BE78CA">
        <w:rPr>
          <w:i/>
        </w:rPr>
        <w:t>Industrial refrigeration</w:t>
      </w:r>
      <w:r w:rsidRPr="00BE78CA">
        <w:t xml:space="preserve">, </w:t>
      </w:r>
      <w:r w:rsidRPr="00BE78CA">
        <w:rPr>
          <w:i/>
        </w:rPr>
        <w:t>Transport refrigeration</w:t>
      </w:r>
      <w:r w:rsidRPr="00BE78CA">
        <w:t xml:space="preserve">, </w:t>
      </w:r>
      <w:r w:rsidRPr="00BE78CA">
        <w:rPr>
          <w:i/>
        </w:rPr>
        <w:t>Stationary air conditioning</w:t>
      </w:r>
      <w:r w:rsidRPr="00BE78CA">
        <w:t xml:space="preserve"> and </w:t>
      </w:r>
      <w:r w:rsidRPr="00BE78CA">
        <w:rPr>
          <w:i/>
        </w:rPr>
        <w:t>Mobile air conditioning</w:t>
      </w:r>
      <w:r w:rsidRPr="00BE78CA">
        <w:t xml:space="preserve">. </w:t>
      </w:r>
    </w:p>
    <w:p w14:paraId="4C620B9B" w14:textId="77777777" w:rsidR="000B0092" w:rsidRPr="00BE78CA" w:rsidRDefault="000B0092" w:rsidP="000B0092">
      <w:pPr>
        <w:pStyle w:val="BodyText"/>
        <w:spacing w:before="100" w:after="100"/>
      </w:pPr>
      <w:r w:rsidRPr="00BE78CA">
        <w:t xml:space="preserve">Country-specific assessments for the lifetime of equipment have been made to calculate the ‘original total charge of retiring equipment’. These assessments include progressive retirement of air conditioning equipment in years 8 to 19, and dehumidifiers in years 6 to 15. The analysis also takes account of the impact of the 2011 Canterbury earthquake, which resulted in emissions from demolition of damaged buildings in the following years – not all refrigerant installed in demolished buildings was collected. </w:t>
      </w:r>
    </w:p>
    <w:p w14:paraId="6864091B" w14:textId="77777777" w:rsidR="000B0092" w:rsidRPr="00BE78CA" w:rsidRDefault="000B0092" w:rsidP="000B0092">
      <w:pPr>
        <w:pStyle w:val="BodyText"/>
        <w:spacing w:before="100" w:after="100"/>
      </w:pPr>
      <w:r w:rsidRPr="00BE78CA">
        <w:t xml:space="preserve">There is no facility for the intentional destruction of HFCs or PFCs from this application in New Zealand. Some HFCs are exported for destruction in Australia, and the amounts recovered for destruction are reported. </w:t>
      </w:r>
    </w:p>
    <w:p w14:paraId="60BE3BCE" w14:textId="77777777" w:rsidR="000B0092" w:rsidRPr="00BE78CA" w:rsidRDefault="000B0092" w:rsidP="000B0092">
      <w:pPr>
        <w:pStyle w:val="BodyText"/>
        <w:spacing w:before="100" w:after="100"/>
      </w:pPr>
      <w:r w:rsidRPr="00BE78CA">
        <w:t xml:space="preserve">Table 4.7.2 summarises the methodological tiers that are used for each sub-application. </w:t>
      </w:r>
    </w:p>
    <w:p w14:paraId="7D09365C" w14:textId="77777777" w:rsidR="000B0092" w:rsidRPr="00BE78CA" w:rsidRDefault="000B0092" w:rsidP="000B0092">
      <w:pPr>
        <w:pStyle w:val="Table"/>
      </w:pPr>
      <w:bookmarkStart w:id="479" w:name="_Toc36224540"/>
      <w:bookmarkStart w:id="480" w:name="_Toc68786427"/>
      <w:r w:rsidRPr="00BE78CA">
        <w:t>Table 4.7.2</w:t>
      </w:r>
      <w:r w:rsidRPr="00BE78CA">
        <w:tab/>
        <w:t>Summary of methodological tiers by sub-application</w:t>
      </w:r>
      <w:bookmarkEnd w:id="479"/>
      <w:bookmarkEnd w:id="480"/>
    </w:p>
    <w:tbl>
      <w:tblPr>
        <w:tblW w:w="8505" w:type="dxa"/>
        <w:tblBorders>
          <w:top w:val="single" w:sz="6" w:space="0" w:color="365F91"/>
          <w:bottom w:val="single" w:sz="6" w:space="0" w:color="365F91"/>
          <w:insideH w:val="single" w:sz="6" w:space="0" w:color="365F91"/>
        </w:tblBorders>
        <w:tblLook w:val="04A0" w:firstRow="1" w:lastRow="0" w:firstColumn="1" w:lastColumn="0" w:noHBand="0" w:noVBand="1"/>
      </w:tblPr>
      <w:tblGrid>
        <w:gridCol w:w="3240"/>
        <w:gridCol w:w="2375"/>
        <w:gridCol w:w="2890"/>
      </w:tblGrid>
      <w:tr w:rsidR="000B0092" w:rsidRPr="00BE78CA" w14:paraId="5796060A" w14:textId="77777777" w:rsidTr="00326CAB">
        <w:tc>
          <w:tcPr>
            <w:tcW w:w="3261" w:type="dxa"/>
            <w:tcBorders>
              <w:top w:val="single" w:sz="4" w:space="0" w:color="365F91"/>
              <w:left w:val="nil"/>
              <w:bottom w:val="single" w:sz="4" w:space="0" w:color="365F91"/>
              <w:right w:val="nil"/>
            </w:tcBorders>
            <w:shd w:val="clear" w:color="auto" w:fill="365F91"/>
            <w:hideMark/>
          </w:tcPr>
          <w:p w14:paraId="6577502B" w14:textId="77777777" w:rsidR="000B0092" w:rsidRPr="00BE78CA" w:rsidRDefault="000B0092" w:rsidP="00C26084">
            <w:pPr>
              <w:pStyle w:val="TableTextBold"/>
              <w:spacing w:before="50" w:after="50"/>
              <w:rPr>
                <w:noProof w:val="0"/>
                <w:color w:val="FFFFFF"/>
              </w:rPr>
            </w:pPr>
            <w:r w:rsidRPr="00BE78CA">
              <w:rPr>
                <w:noProof w:val="0"/>
                <w:color w:val="FFFFFF"/>
              </w:rPr>
              <w:t>Sub-application</w:t>
            </w:r>
          </w:p>
        </w:tc>
        <w:tc>
          <w:tcPr>
            <w:tcW w:w="2390" w:type="dxa"/>
            <w:tcBorders>
              <w:top w:val="single" w:sz="4" w:space="0" w:color="365F91"/>
              <w:left w:val="nil"/>
              <w:bottom w:val="single" w:sz="4" w:space="0" w:color="365F91"/>
              <w:right w:val="nil"/>
            </w:tcBorders>
            <w:shd w:val="clear" w:color="auto" w:fill="365F91"/>
            <w:hideMark/>
          </w:tcPr>
          <w:p w14:paraId="2D4B7F6D" w14:textId="77777777" w:rsidR="000B0092" w:rsidRPr="00BE78CA" w:rsidRDefault="000B0092" w:rsidP="00C26084">
            <w:pPr>
              <w:pStyle w:val="TableTextBold"/>
              <w:spacing w:before="50" w:after="50"/>
              <w:rPr>
                <w:noProof w:val="0"/>
                <w:color w:val="FFFFFF"/>
              </w:rPr>
            </w:pPr>
            <w:r w:rsidRPr="00BE78CA">
              <w:rPr>
                <w:noProof w:val="0"/>
                <w:color w:val="FFFFFF"/>
              </w:rPr>
              <w:t>Chemical</w:t>
            </w:r>
          </w:p>
        </w:tc>
        <w:tc>
          <w:tcPr>
            <w:tcW w:w="2911" w:type="dxa"/>
            <w:tcBorders>
              <w:top w:val="single" w:sz="4" w:space="0" w:color="365F91"/>
              <w:left w:val="nil"/>
              <w:bottom w:val="single" w:sz="4" w:space="0" w:color="365F91"/>
              <w:right w:val="nil"/>
            </w:tcBorders>
            <w:shd w:val="clear" w:color="auto" w:fill="365F91"/>
            <w:hideMark/>
          </w:tcPr>
          <w:p w14:paraId="44645176" w14:textId="77777777" w:rsidR="000B0092" w:rsidRPr="00BE78CA" w:rsidRDefault="000B0092" w:rsidP="00C26084">
            <w:pPr>
              <w:pStyle w:val="TableTextBold"/>
              <w:spacing w:before="50" w:after="50"/>
              <w:rPr>
                <w:noProof w:val="0"/>
                <w:color w:val="FFFFFF"/>
              </w:rPr>
            </w:pPr>
            <w:r w:rsidRPr="00BE78CA">
              <w:rPr>
                <w:noProof w:val="0"/>
                <w:color w:val="FFFFFF"/>
              </w:rPr>
              <w:t>Method used (Tier)</w:t>
            </w:r>
          </w:p>
        </w:tc>
      </w:tr>
      <w:tr w:rsidR="000B0092" w:rsidRPr="00BE78CA" w14:paraId="25B520E9" w14:textId="77777777" w:rsidTr="00326CAB">
        <w:tc>
          <w:tcPr>
            <w:tcW w:w="3261" w:type="dxa"/>
            <w:tcBorders>
              <w:top w:val="single" w:sz="4" w:space="0" w:color="365F91"/>
              <w:left w:val="nil"/>
              <w:bottom w:val="single" w:sz="4" w:space="0" w:color="365F91"/>
              <w:right w:val="nil"/>
            </w:tcBorders>
            <w:shd w:val="clear" w:color="auto" w:fill="FFFFFF"/>
            <w:hideMark/>
          </w:tcPr>
          <w:p w14:paraId="3172963C" w14:textId="77777777" w:rsidR="000B0092" w:rsidRPr="00BE78CA" w:rsidRDefault="000B0092" w:rsidP="00C26084">
            <w:pPr>
              <w:pStyle w:val="TableText"/>
              <w:spacing w:before="50" w:after="50"/>
            </w:pPr>
            <w:r w:rsidRPr="00BE78CA">
              <w:t>Household refrigeration</w:t>
            </w:r>
          </w:p>
        </w:tc>
        <w:tc>
          <w:tcPr>
            <w:tcW w:w="2390" w:type="dxa"/>
            <w:tcBorders>
              <w:top w:val="single" w:sz="4" w:space="0" w:color="365F91"/>
              <w:left w:val="nil"/>
              <w:bottom w:val="single" w:sz="4" w:space="0" w:color="365F91"/>
              <w:right w:val="nil"/>
            </w:tcBorders>
            <w:shd w:val="clear" w:color="auto" w:fill="FFFFFF"/>
            <w:hideMark/>
          </w:tcPr>
          <w:p w14:paraId="13FA4528" w14:textId="77777777" w:rsidR="000B0092" w:rsidRPr="00BE78CA" w:rsidRDefault="000B0092" w:rsidP="00C26084">
            <w:pPr>
              <w:pStyle w:val="TableText"/>
              <w:spacing w:before="50" w:after="50"/>
            </w:pPr>
            <w:r w:rsidRPr="00BE78CA">
              <w:t>HFC-134a</w:t>
            </w:r>
          </w:p>
        </w:tc>
        <w:tc>
          <w:tcPr>
            <w:tcW w:w="2911" w:type="dxa"/>
            <w:tcBorders>
              <w:top w:val="single" w:sz="4" w:space="0" w:color="365F91"/>
              <w:left w:val="nil"/>
              <w:bottom w:val="single" w:sz="4" w:space="0" w:color="365F91"/>
              <w:right w:val="nil"/>
            </w:tcBorders>
            <w:shd w:val="clear" w:color="auto" w:fill="FFFFFF"/>
            <w:hideMark/>
          </w:tcPr>
          <w:p w14:paraId="033BBC58" w14:textId="77777777" w:rsidR="000B0092" w:rsidRPr="00BE78CA" w:rsidRDefault="000B0092" w:rsidP="00C26084">
            <w:pPr>
              <w:pStyle w:val="TableText"/>
              <w:spacing w:before="50" w:after="50"/>
            </w:pPr>
            <w:r w:rsidRPr="00BE78CA">
              <w:t>2a</w:t>
            </w:r>
          </w:p>
        </w:tc>
      </w:tr>
      <w:tr w:rsidR="000B0092" w:rsidRPr="00BE78CA" w14:paraId="5F24AF9D" w14:textId="77777777" w:rsidTr="00326CAB">
        <w:tc>
          <w:tcPr>
            <w:tcW w:w="3261" w:type="dxa"/>
            <w:vMerge w:val="restart"/>
            <w:tcBorders>
              <w:top w:val="single" w:sz="4" w:space="0" w:color="365F91"/>
              <w:left w:val="nil"/>
              <w:right w:val="nil"/>
            </w:tcBorders>
            <w:shd w:val="clear" w:color="auto" w:fill="FFFFFF"/>
          </w:tcPr>
          <w:p w14:paraId="30BC532E" w14:textId="77777777" w:rsidR="000B0092" w:rsidRPr="00BE78CA" w:rsidRDefault="000B0092" w:rsidP="00C26084">
            <w:pPr>
              <w:pStyle w:val="TableText"/>
              <w:spacing w:before="50" w:after="50"/>
            </w:pPr>
            <w:r w:rsidRPr="00BE78CA">
              <w:t>Commercial refrigeration</w:t>
            </w:r>
          </w:p>
        </w:tc>
        <w:tc>
          <w:tcPr>
            <w:tcW w:w="2390" w:type="dxa"/>
            <w:tcBorders>
              <w:top w:val="single" w:sz="4" w:space="0" w:color="365F91"/>
              <w:left w:val="nil"/>
              <w:bottom w:val="single" w:sz="4" w:space="0" w:color="365F91"/>
              <w:right w:val="nil"/>
            </w:tcBorders>
            <w:shd w:val="clear" w:color="auto" w:fill="FFFFFF"/>
          </w:tcPr>
          <w:p w14:paraId="43CFCF99" w14:textId="77777777" w:rsidR="000B0092" w:rsidRPr="00BE78CA" w:rsidRDefault="000B0092" w:rsidP="00C26084">
            <w:pPr>
              <w:pStyle w:val="TableText"/>
              <w:spacing w:before="50" w:after="50"/>
            </w:pPr>
            <w:r w:rsidRPr="00BE78CA">
              <w:t>HFC-32</w:t>
            </w:r>
          </w:p>
        </w:tc>
        <w:tc>
          <w:tcPr>
            <w:tcW w:w="2911" w:type="dxa"/>
            <w:tcBorders>
              <w:top w:val="single" w:sz="4" w:space="0" w:color="365F91"/>
              <w:left w:val="nil"/>
              <w:bottom w:val="single" w:sz="4" w:space="0" w:color="365F91"/>
              <w:right w:val="nil"/>
            </w:tcBorders>
            <w:shd w:val="clear" w:color="auto" w:fill="FFFFFF"/>
          </w:tcPr>
          <w:p w14:paraId="165BE9CA" w14:textId="77777777" w:rsidR="000B0092" w:rsidRPr="00BE78CA" w:rsidRDefault="000B0092" w:rsidP="00C26084">
            <w:pPr>
              <w:pStyle w:val="TableText"/>
              <w:spacing w:before="50" w:after="50"/>
            </w:pPr>
            <w:r w:rsidRPr="00BE78CA">
              <w:t>2a</w:t>
            </w:r>
          </w:p>
        </w:tc>
      </w:tr>
      <w:tr w:rsidR="000B0092" w:rsidRPr="00BE78CA" w14:paraId="752415C2" w14:textId="77777777" w:rsidTr="00326CAB">
        <w:tc>
          <w:tcPr>
            <w:tcW w:w="3261" w:type="dxa"/>
            <w:vMerge/>
            <w:tcBorders>
              <w:left w:val="nil"/>
              <w:right w:val="nil"/>
            </w:tcBorders>
            <w:shd w:val="clear" w:color="auto" w:fill="FFFFFF"/>
          </w:tcPr>
          <w:p w14:paraId="1D7213F2" w14:textId="77777777" w:rsidR="000B0092" w:rsidRPr="00BE78CA" w:rsidRDefault="000B0092" w:rsidP="00C26084">
            <w:pPr>
              <w:pStyle w:val="TableText"/>
              <w:spacing w:before="50" w:after="50"/>
            </w:pPr>
          </w:p>
        </w:tc>
        <w:tc>
          <w:tcPr>
            <w:tcW w:w="2390" w:type="dxa"/>
            <w:tcBorders>
              <w:top w:val="single" w:sz="4" w:space="0" w:color="365F91"/>
              <w:left w:val="nil"/>
              <w:bottom w:val="single" w:sz="4" w:space="0" w:color="365F91"/>
              <w:right w:val="nil"/>
            </w:tcBorders>
            <w:shd w:val="clear" w:color="auto" w:fill="FFFFFF"/>
          </w:tcPr>
          <w:p w14:paraId="3C73F2B2" w14:textId="77777777" w:rsidR="000B0092" w:rsidRPr="00BE78CA" w:rsidRDefault="000B0092" w:rsidP="00C26084">
            <w:pPr>
              <w:pStyle w:val="TableText"/>
              <w:spacing w:before="50" w:after="50"/>
            </w:pPr>
            <w:r w:rsidRPr="00BE78CA">
              <w:t>HFC-125</w:t>
            </w:r>
          </w:p>
        </w:tc>
        <w:tc>
          <w:tcPr>
            <w:tcW w:w="2911" w:type="dxa"/>
            <w:tcBorders>
              <w:top w:val="single" w:sz="4" w:space="0" w:color="365F91"/>
              <w:left w:val="nil"/>
              <w:bottom w:val="single" w:sz="4" w:space="0" w:color="365F91"/>
              <w:right w:val="nil"/>
            </w:tcBorders>
            <w:shd w:val="clear" w:color="auto" w:fill="FFFFFF"/>
          </w:tcPr>
          <w:p w14:paraId="473270F4" w14:textId="77777777" w:rsidR="000B0092" w:rsidRPr="00BE78CA" w:rsidRDefault="000B0092" w:rsidP="00C26084">
            <w:pPr>
              <w:pStyle w:val="TableText"/>
              <w:spacing w:before="50" w:after="50"/>
            </w:pPr>
            <w:r w:rsidRPr="00BE78CA">
              <w:t xml:space="preserve">2b to 2006, 2a for 2007–18 </w:t>
            </w:r>
          </w:p>
        </w:tc>
      </w:tr>
      <w:tr w:rsidR="000B0092" w:rsidRPr="00BE78CA" w14:paraId="2B06D3E9" w14:textId="77777777" w:rsidTr="00326CAB">
        <w:tc>
          <w:tcPr>
            <w:tcW w:w="3261" w:type="dxa"/>
            <w:vMerge/>
            <w:tcBorders>
              <w:left w:val="nil"/>
              <w:right w:val="nil"/>
            </w:tcBorders>
            <w:shd w:val="clear" w:color="auto" w:fill="FFFFFF"/>
          </w:tcPr>
          <w:p w14:paraId="04639A82" w14:textId="77777777" w:rsidR="000B0092" w:rsidRPr="00BE78CA" w:rsidRDefault="000B0092" w:rsidP="00C26084">
            <w:pPr>
              <w:pStyle w:val="TableText"/>
              <w:spacing w:before="50" w:after="50"/>
            </w:pPr>
          </w:p>
        </w:tc>
        <w:tc>
          <w:tcPr>
            <w:tcW w:w="2390" w:type="dxa"/>
            <w:tcBorders>
              <w:top w:val="single" w:sz="4" w:space="0" w:color="365F91"/>
              <w:left w:val="nil"/>
              <w:bottom w:val="single" w:sz="4" w:space="0" w:color="365F91"/>
              <w:right w:val="nil"/>
            </w:tcBorders>
            <w:shd w:val="clear" w:color="auto" w:fill="FFFFFF"/>
          </w:tcPr>
          <w:p w14:paraId="7C2B1768" w14:textId="77777777" w:rsidR="000B0092" w:rsidRPr="00BE78CA" w:rsidRDefault="000B0092" w:rsidP="00C26084">
            <w:pPr>
              <w:pStyle w:val="TableText"/>
              <w:spacing w:before="50" w:after="50"/>
            </w:pPr>
            <w:r w:rsidRPr="00BE78CA">
              <w:t>HFC-134a</w:t>
            </w:r>
          </w:p>
        </w:tc>
        <w:tc>
          <w:tcPr>
            <w:tcW w:w="2911" w:type="dxa"/>
            <w:tcBorders>
              <w:top w:val="single" w:sz="4" w:space="0" w:color="365F91"/>
              <w:left w:val="nil"/>
              <w:bottom w:val="single" w:sz="4" w:space="0" w:color="365F91"/>
              <w:right w:val="nil"/>
            </w:tcBorders>
            <w:shd w:val="clear" w:color="auto" w:fill="FFFFFF"/>
          </w:tcPr>
          <w:p w14:paraId="1C2DFB1A" w14:textId="77777777" w:rsidR="000B0092" w:rsidRPr="00BE78CA" w:rsidRDefault="000B0092" w:rsidP="00C26084">
            <w:pPr>
              <w:pStyle w:val="TableText"/>
              <w:spacing w:before="50" w:after="50"/>
            </w:pPr>
            <w:r w:rsidRPr="00BE78CA">
              <w:t>2a</w:t>
            </w:r>
          </w:p>
        </w:tc>
      </w:tr>
      <w:tr w:rsidR="000B0092" w:rsidRPr="00BE78CA" w14:paraId="33541569" w14:textId="77777777" w:rsidTr="00326CAB">
        <w:tc>
          <w:tcPr>
            <w:tcW w:w="3261" w:type="dxa"/>
            <w:vMerge/>
            <w:tcBorders>
              <w:left w:val="nil"/>
              <w:bottom w:val="single" w:sz="4" w:space="0" w:color="365F91"/>
              <w:right w:val="nil"/>
            </w:tcBorders>
            <w:shd w:val="clear" w:color="auto" w:fill="FFFFFF"/>
          </w:tcPr>
          <w:p w14:paraId="3FFC65B7" w14:textId="77777777" w:rsidR="000B0092" w:rsidRPr="00BE78CA" w:rsidRDefault="000B0092" w:rsidP="00C26084">
            <w:pPr>
              <w:pStyle w:val="TableText"/>
              <w:spacing w:before="50" w:after="50"/>
            </w:pPr>
          </w:p>
        </w:tc>
        <w:tc>
          <w:tcPr>
            <w:tcW w:w="2390" w:type="dxa"/>
            <w:tcBorders>
              <w:top w:val="single" w:sz="4" w:space="0" w:color="365F91"/>
              <w:left w:val="nil"/>
              <w:bottom w:val="single" w:sz="4" w:space="0" w:color="365F91"/>
              <w:right w:val="nil"/>
            </w:tcBorders>
            <w:shd w:val="clear" w:color="auto" w:fill="FFFFFF"/>
          </w:tcPr>
          <w:p w14:paraId="50D6EFAD" w14:textId="77777777" w:rsidR="000B0092" w:rsidRPr="00BE78CA" w:rsidRDefault="000B0092" w:rsidP="00C26084">
            <w:pPr>
              <w:pStyle w:val="TableText"/>
              <w:spacing w:before="50" w:after="50"/>
            </w:pPr>
            <w:r w:rsidRPr="00BE78CA">
              <w:t>HFC-143a</w:t>
            </w:r>
          </w:p>
        </w:tc>
        <w:tc>
          <w:tcPr>
            <w:tcW w:w="2911" w:type="dxa"/>
            <w:tcBorders>
              <w:top w:val="single" w:sz="4" w:space="0" w:color="365F91"/>
              <w:left w:val="nil"/>
              <w:bottom w:val="single" w:sz="4" w:space="0" w:color="365F91"/>
              <w:right w:val="nil"/>
            </w:tcBorders>
            <w:shd w:val="clear" w:color="auto" w:fill="FFFFFF"/>
          </w:tcPr>
          <w:p w14:paraId="60B5A3A7" w14:textId="77777777" w:rsidR="000B0092" w:rsidRPr="00BE78CA" w:rsidRDefault="000B0092" w:rsidP="00C26084">
            <w:pPr>
              <w:pStyle w:val="TableText"/>
              <w:spacing w:before="50" w:after="50"/>
            </w:pPr>
            <w:r w:rsidRPr="00BE78CA">
              <w:t>2b</w:t>
            </w:r>
          </w:p>
        </w:tc>
      </w:tr>
      <w:tr w:rsidR="000B0092" w:rsidRPr="00BE78CA" w14:paraId="05193F81" w14:textId="77777777" w:rsidTr="00326CAB">
        <w:tc>
          <w:tcPr>
            <w:tcW w:w="3261" w:type="dxa"/>
            <w:vMerge w:val="restart"/>
            <w:tcBorders>
              <w:top w:val="single" w:sz="4" w:space="0" w:color="365F91"/>
              <w:left w:val="nil"/>
              <w:right w:val="nil"/>
            </w:tcBorders>
            <w:shd w:val="clear" w:color="auto" w:fill="FFFFFF"/>
          </w:tcPr>
          <w:p w14:paraId="3BC62B85" w14:textId="77777777" w:rsidR="000B0092" w:rsidRPr="00BE78CA" w:rsidRDefault="000B0092" w:rsidP="00C26084">
            <w:pPr>
              <w:pStyle w:val="TableText"/>
              <w:spacing w:before="50" w:after="50"/>
            </w:pPr>
            <w:r w:rsidRPr="00BE78CA">
              <w:t>Industrial refrigeration</w:t>
            </w:r>
          </w:p>
        </w:tc>
        <w:tc>
          <w:tcPr>
            <w:tcW w:w="2390" w:type="dxa"/>
            <w:tcBorders>
              <w:top w:val="single" w:sz="4" w:space="0" w:color="365F91"/>
              <w:left w:val="nil"/>
              <w:bottom w:val="single" w:sz="4" w:space="0" w:color="365F91"/>
              <w:right w:val="nil"/>
            </w:tcBorders>
            <w:shd w:val="clear" w:color="auto" w:fill="FFFFFF"/>
          </w:tcPr>
          <w:p w14:paraId="3C806702" w14:textId="77777777" w:rsidR="000B0092" w:rsidRPr="00BE78CA" w:rsidRDefault="000B0092" w:rsidP="00C26084">
            <w:pPr>
              <w:pStyle w:val="TableText"/>
              <w:spacing w:before="50" w:after="50"/>
            </w:pPr>
            <w:r w:rsidRPr="00BE78CA">
              <w:t>HFC-32</w:t>
            </w:r>
          </w:p>
        </w:tc>
        <w:tc>
          <w:tcPr>
            <w:tcW w:w="2911" w:type="dxa"/>
            <w:tcBorders>
              <w:top w:val="single" w:sz="4" w:space="0" w:color="365F91"/>
              <w:left w:val="nil"/>
              <w:bottom w:val="single" w:sz="4" w:space="0" w:color="365F91"/>
              <w:right w:val="nil"/>
            </w:tcBorders>
            <w:shd w:val="clear" w:color="auto" w:fill="FFFFFF"/>
          </w:tcPr>
          <w:p w14:paraId="24FC7B77" w14:textId="77777777" w:rsidR="000B0092" w:rsidRPr="00BE78CA" w:rsidRDefault="000B0092" w:rsidP="00C26084">
            <w:pPr>
              <w:pStyle w:val="TableText"/>
              <w:spacing w:before="50" w:after="50"/>
            </w:pPr>
            <w:r w:rsidRPr="00BE78CA">
              <w:t>2a</w:t>
            </w:r>
          </w:p>
        </w:tc>
      </w:tr>
      <w:tr w:rsidR="000B0092" w:rsidRPr="00BE78CA" w14:paraId="69CC1AD7" w14:textId="77777777" w:rsidTr="00326CAB">
        <w:tc>
          <w:tcPr>
            <w:tcW w:w="3261" w:type="dxa"/>
            <w:vMerge/>
            <w:tcBorders>
              <w:left w:val="nil"/>
              <w:right w:val="nil"/>
            </w:tcBorders>
            <w:shd w:val="clear" w:color="auto" w:fill="FFFFFF"/>
          </w:tcPr>
          <w:p w14:paraId="34A5DEFA" w14:textId="77777777" w:rsidR="000B0092" w:rsidRPr="00BE78CA" w:rsidRDefault="000B0092" w:rsidP="00C26084">
            <w:pPr>
              <w:pStyle w:val="TableText"/>
              <w:spacing w:before="50" w:after="50"/>
            </w:pPr>
          </w:p>
        </w:tc>
        <w:tc>
          <w:tcPr>
            <w:tcW w:w="2390" w:type="dxa"/>
            <w:tcBorders>
              <w:top w:val="single" w:sz="4" w:space="0" w:color="365F91"/>
              <w:left w:val="nil"/>
              <w:bottom w:val="single" w:sz="4" w:space="0" w:color="365F91"/>
              <w:right w:val="nil"/>
            </w:tcBorders>
            <w:shd w:val="clear" w:color="auto" w:fill="FFFFFF"/>
          </w:tcPr>
          <w:p w14:paraId="5A67EF9D" w14:textId="77777777" w:rsidR="000B0092" w:rsidRPr="00BE78CA" w:rsidRDefault="000B0092" w:rsidP="00C26084">
            <w:pPr>
              <w:pStyle w:val="TableText"/>
              <w:spacing w:before="50" w:after="50"/>
            </w:pPr>
            <w:r w:rsidRPr="00BE78CA">
              <w:t>HFC-125</w:t>
            </w:r>
          </w:p>
        </w:tc>
        <w:tc>
          <w:tcPr>
            <w:tcW w:w="2911" w:type="dxa"/>
            <w:tcBorders>
              <w:top w:val="single" w:sz="4" w:space="0" w:color="365F91"/>
              <w:left w:val="nil"/>
              <w:bottom w:val="single" w:sz="4" w:space="0" w:color="365F91"/>
              <w:right w:val="nil"/>
            </w:tcBorders>
            <w:shd w:val="clear" w:color="auto" w:fill="FFFFFF"/>
          </w:tcPr>
          <w:p w14:paraId="60604F39" w14:textId="77777777" w:rsidR="000B0092" w:rsidRPr="00BE78CA" w:rsidRDefault="000B0092" w:rsidP="00C26084">
            <w:pPr>
              <w:pStyle w:val="TableText"/>
              <w:spacing w:before="50" w:after="50"/>
            </w:pPr>
            <w:r w:rsidRPr="00BE78CA">
              <w:t>2a</w:t>
            </w:r>
          </w:p>
        </w:tc>
      </w:tr>
      <w:tr w:rsidR="000B0092" w:rsidRPr="00BE78CA" w14:paraId="1891E03C" w14:textId="77777777" w:rsidTr="00326CAB">
        <w:tc>
          <w:tcPr>
            <w:tcW w:w="3261" w:type="dxa"/>
            <w:vMerge/>
            <w:tcBorders>
              <w:left w:val="nil"/>
              <w:right w:val="nil"/>
            </w:tcBorders>
            <w:shd w:val="clear" w:color="auto" w:fill="FFFFFF"/>
          </w:tcPr>
          <w:p w14:paraId="562EA1D7" w14:textId="77777777" w:rsidR="000B0092" w:rsidRPr="00BE78CA" w:rsidRDefault="000B0092" w:rsidP="00C26084">
            <w:pPr>
              <w:pStyle w:val="TableText"/>
              <w:spacing w:before="50" w:after="50"/>
            </w:pPr>
          </w:p>
        </w:tc>
        <w:tc>
          <w:tcPr>
            <w:tcW w:w="2390" w:type="dxa"/>
            <w:tcBorders>
              <w:top w:val="single" w:sz="4" w:space="0" w:color="365F91"/>
              <w:left w:val="nil"/>
              <w:bottom w:val="single" w:sz="4" w:space="0" w:color="365F91"/>
              <w:right w:val="nil"/>
            </w:tcBorders>
            <w:shd w:val="clear" w:color="auto" w:fill="FFFFFF"/>
          </w:tcPr>
          <w:p w14:paraId="560398FC" w14:textId="77777777" w:rsidR="000B0092" w:rsidRPr="00BE78CA" w:rsidRDefault="000B0092" w:rsidP="00C26084">
            <w:pPr>
              <w:pStyle w:val="TableText"/>
              <w:spacing w:before="50" w:after="50"/>
            </w:pPr>
            <w:r w:rsidRPr="00BE78CA">
              <w:t>HFC-134a</w:t>
            </w:r>
          </w:p>
        </w:tc>
        <w:tc>
          <w:tcPr>
            <w:tcW w:w="2911" w:type="dxa"/>
            <w:tcBorders>
              <w:top w:val="single" w:sz="4" w:space="0" w:color="365F91"/>
              <w:left w:val="nil"/>
              <w:bottom w:val="single" w:sz="4" w:space="0" w:color="365F91"/>
              <w:right w:val="nil"/>
            </w:tcBorders>
            <w:shd w:val="clear" w:color="auto" w:fill="FFFFFF"/>
          </w:tcPr>
          <w:p w14:paraId="6310DA41" w14:textId="77777777" w:rsidR="000B0092" w:rsidRPr="00BE78CA" w:rsidRDefault="000B0092" w:rsidP="00C26084">
            <w:pPr>
              <w:pStyle w:val="TableText"/>
              <w:spacing w:before="50" w:after="50"/>
            </w:pPr>
            <w:r w:rsidRPr="00BE78CA">
              <w:t>2b</w:t>
            </w:r>
          </w:p>
        </w:tc>
      </w:tr>
      <w:tr w:rsidR="000B0092" w:rsidRPr="00BE78CA" w14:paraId="7EE73292" w14:textId="77777777" w:rsidTr="00326CAB">
        <w:tc>
          <w:tcPr>
            <w:tcW w:w="3261" w:type="dxa"/>
            <w:vMerge/>
            <w:tcBorders>
              <w:left w:val="nil"/>
              <w:bottom w:val="single" w:sz="4" w:space="0" w:color="365F91"/>
              <w:right w:val="nil"/>
            </w:tcBorders>
            <w:shd w:val="clear" w:color="auto" w:fill="FFFFFF"/>
          </w:tcPr>
          <w:p w14:paraId="2F541180" w14:textId="77777777" w:rsidR="000B0092" w:rsidRPr="00BE78CA" w:rsidRDefault="000B0092" w:rsidP="00C26084">
            <w:pPr>
              <w:pStyle w:val="TableText"/>
              <w:spacing w:before="50" w:after="50"/>
            </w:pPr>
          </w:p>
        </w:tc>
        <w:tc>
          <w:tcPr>
            <w:tcW w:w="2390" w:type="dxa"/>
            <w:tcBorders>
              <w:top w:val="single" w:sz="4" w:space="0" w:color="365F91"/>
              <w:left w:val="nil"/>
              <w:bottom w:val="single" w:sz="4" w:space="0" w:color="365F91"/>
              <w:right w:val="nil"/>
            </w:tcBorders>
            <w:shd w:val="clear" w:color="auto" w:fill="FFFFFF"/>
          </w:tcPr>
          <w:p w14:paraId="47301BB7" w14:textId="77777777" w:rsidR="000B0092" w:rsidRPr="00BE78CA" w:rsidRDefault="000B0092" w:rsidP="00C26084">
            <w:pPr>
              <w:pStyle w:val="TableText"/>
              <w:spacing w:before="50" w:after="50"/>
            </w:pPr>
            <w:r w:rsidRPr="00BE78CA">
              <w:t>HFC-143a</w:t>
            </w:r>
          </w:p>
        </w:tc>
        <w:tc>
          <w:tcPr>
            <w:tcW w:w="2911" w:type="dxa"/>
            <w:tcBorders>
              <w:top w:val="single" w:sz="4" w:space="0" w:color="365F91"/>
              <w:left w:val="nil"/>
              <w:bottom w:val="single" w:sz="4" w:space="0" w:color="365F91"/>
              <w:right w:val="nil"/>
            </w:tcBorders>
            <w:shd w:val="clear" w:color="auto" w:fill="FFFFFF"/>
          </w:tcPr>
          <w:p w14:paraId="1BA40882" w14:textId="77777777" w:rsidR="000B0092" w:rsidRPr="00BE78CA" w:rsidRDefault="000B0092" w:rsidP="00C26084">
            <w:pPr>
              <w:pStyle w:val="TableText"/>
              <w:spacing w:before="50" w:after="50"/>
            </w:pPr>
            <w:r w:rsidRPr="00BE78CA">
              <w:t>2a</w:t>
            </w:r>
          </w:p>
        </w:tc>
      </w:tr>
      <w:tr w:rsidR="000B0092" w:rsidRPr="00BE78CA" w14:paraId="43E60CB3" w14:textId="77777777" w:rsidTr="00326CAB">
        <w:tc>
          <w:tcPr>
            <w:tcW w:w="3261" w:type="dxa"/>
            <w:vMerge w:val="restart"/>
            <w:tcBorders>
              <w:top w:val="single" w:sz="4" w:space="0" w:color="365F91"/>
              <w:left w:val="nil"/>
              <w:right w:val="nil"/>
            </w:tcBorders>
            <w:shd w:val="clear" w:color="auto" w:fill="FFFFFF"/>
          </w:tcPr>
          <w:p w14:paraId="068C18F5" w14:textId="77777777" w:rsidR="000B0092" w:rsidRPr="00BE78CA" w:rsidRDefault="000B0092" w:rsidP="00C26084">
            <w:pPr>
              <w:pStyle w:val="TableText"/>
              <w:spacing w:before="50" w:after="50"/>
            </w:pPr>
            <w:r w:rsidRPr="00BE78CA">
              <w:t>Transport refrigeration</w:t>
            </w:r>
          </w:p>
        </w:tc>
        <w:tc>
          <w:tcPr>
            <w:tcW w:w="2390" w:type="dxa"/>
            <w:tcBorders>
              <w:top w:val="single" w:sz="4" w:space="0" w:color="365F91"/>
              <w:left w:val="nil"/>
              <w:bottom w:val="single" w:sz="4" w:space="0" w:color="365F91"/>
              <w:right w:val="nil"/>
            </w:tcBorders>
            <w:shd w:val="clear" w:color="auto" w:fill="FFFFFF"/>
          </w:tcPr>
          <w:p w14:paraId="47A623AE" w14:textId="77777777" w:rsidR="000B0092" w:rsidRPr="00BE78CA" w:rsidRDefault="000B0092" w:rsidP="00C26084">
            <w:pPr>
              <w:pStyle w:val="TableText"/>
              <w:spacing w:before="50" w:after="50"/>
            </w:pPr>
            <w:r w:rsidRPr="00BE78CA">
              <w:t>HFC-32</w:t>
            </w:r>
          </w:p>
        </w:tc>
        <w:tc>
          <w:tcPr>
            <w:tcW w:w="2911" w:type="dxa"/>
            <w:tcBorders>
              <w:top w:val="single" w:sz="4" w:space="0" w:color="365F91"/>
              <w:left w:val="nil"/>
              <w:bottom w:val="single" w:sz="4" w:space="0" w:color="365F91"/>
              <w:right w:val="nil"/>
            </w:tcBorders>
            <w:shd w:val="clear" w:color="auto" w:fill="FFFFFF"/>
          </w:tcPr>
          <w:p w14:paraId="4BB39849" w14:textId="77777777" w:rsidR="000B0092" w:rsidRPr="00BE78CA" w:rsidRDefault="000B0092" w:rsidP="00C26084">
            <w:pPr>
              <w:pStyle w:val="TableText"/>
              <w:spacing w:before="50" w:after="50"/>
            </w:pPr>
            <w:r w:rsidRPr="00BE78CA">
              <w:t>2a</w:t>
            </w:r>
          </w:p>
        </w:tc>
      </w:tr>
      <w:tr w:rsidR="000B0092" w:rsidRPr="00BE78CA" w14:paraId="464638AD" w14:textId="77777777" w:rsidTr="00326CAB">
        <w:tc>
          <w:tcPr>
            <w:tcW w:w="3261" w:type="dxa"/>
            <w:vMerge/>
            <w:tcBorders>
              <w:left w:val="nil"/>
              <w:right w:val="nil"/>
            </w:tcBorders>
            <w:shd w:val="clear" w:color="auto" w:fill="FFFFFF"/>
          </w:tcPr>
          <w:p w14:paraId="6B82033F" w14:textId="77777777" w:rsidR="000B0092" w:rsidRPr="00BE78CA" w:rsidRDefault="000B0092" w:rsidP="00C26084">
            <w:pPr>
              <w:pStyle w:val="TableText"/>
              <w:spacing w:before="50" w:after="50"/>
            </w:pPr>
          </w:p>
        </w:tc>
        <w:tc>
          <w:tcPr>
            <w:tcW w:w="2390" w:type="dxa"/>
            <w:tcBorders>
              <w:top w:val="single" w:sz="4" w:space="0" w:color="365F91"/>
              <w:left w:val="nil"/>
              <w:bottom w:val="single" w:sz="4" w:space="0" w:color="365F91"/>
              <w:right w:val="nil"/>
            </w:tcBorders>
            <w:shd w:val="clear" w:color="auto" w:fill="FFFFFF"/>
          </w:tcPr>
          <w:p w14:paraId="75C36804" w14:textId="77777777" w:rsidR="000B0092" w:rsidRPr="00BE78CA" w:rsidRDefault="000B0092" w:rsidP="00C26084">
            <w:pPr>
              <w:pStyle w:val="TableText"/>
              <w:spacing w:before="50" w:after="50"/>
            </w:pPr>
            <w:r w:rsidRPr="00BE78CA">
              <w:t>HFC-125</w:t>
            </w:r>
          </w:p>
        </w:tc>
        <w:tc>
          <w:tcPr>
            <w:tcW w:w="2911" w:type="dxa"/>
            <w:tcBorders>
              <w:top w:val="single" w:sz="4" w:space="0" w:color="365F91"/>
              <w:left w:val="nil"/>
              <w:bottom w:val="single" w:sz="4" w:space="0" w:color="365F91"/>
              <w:right w:val="nil"/>
            </w:tcBorders>
            <w:shd w:val="clear" w:color="auto" w:fill="FFFFFF"/>
          </w:tcPr>
          <w:p w14:paraId="647A6374" w14:textId="77777777" w:rsidR="000B0092" w:rsidRPr="00BE78CA" w:rsidRDefault="000B0092" w:rsidP="00C26084">
            <w:pPr>
              <w:pStyle w:val="TableText"/>
              <w:spacing w:before="50" w:after="50"/>
            </w:pPr>
            <w:r w:rsidRPr="00BE78CA">
              <w:t>2a</w:t>
            </w:r>
          </w:p>
        </w:tc>
      </w:tr>
      <w:tr w:rsidR="000B0092" w:rsidRPr="00BE78CA" w14:paraId="1AC6DAA9" w14:textId="77777777" w:rsidTr="00326CAB">
        <w:tc>
          <w:tcPr>
            <w:tcW w:w="3261" w:type="dxa"/>
            <w:vMerge/>
            <w:tcBorders>
              <w:left w:val="nil"/>
              <w:right w:val="nil"/>
            </w:tcBorders>
            <w:shd w:val="clear" w:color="auto" w:fill="FFFFFF"/>
          </w:tcPr>
          <w:p w14:paraId="0EF90F08" w14:textId="77777777" w:rsidR="000B0092" w:rsidRPr="00BE78CA" w:rsidRDefault="000B0092" w:rsidP="00C26084">
            <w:pPr>
              <w:pStyle w:val="TableText"/>
              <w:spacing w:before="50" w:after="50"/>
            </w:pPr>
          </w:p>
        </w:tc>
        <w:tc>
          <w:tcPr>
            <w:tcW w:w="2390" w:type="dxa"/>
            <w:tcBorders>
              <w:top w:val="single" w:sz="4" w:space="0" w:color="365F91"/>
              <w:left w:val="nil"/>
              <w:bottom w:val="single" w:sz="4" w:space="0" w:color="365F91"/>
              <w:right w:val="nil"/>
            </w:tcBorders>
            <w:shd w:val="clear" w:color="auto" w:fill="FFFFFF"/>
          </w:tcPr>
          <w:p w14:paraId="03C252A4" w14:textId="77777777" w:rsidR="000B0092" w:rsidRPr="00BE78CA" w:rsidRDefault="000B0092" w:rsidP="00C26084">
            <w:pPr>
              <w:pStyle w:val="TableText"/>
              <w:spacing w:before="50" w:after="50"/>
            </w:pPr>
            <w:r w:rsidRPr="00BE78CA">
              <w:t>HFC-134a</w:t>
            </w:r>
          </w:p>
        </w:tc>
        <w:tc>
          <w:tcPr>
            <w:tcW w:w="2911" w:type="dxa"/>
            <w:tcBorders>
              <w:top w:val="single" w:sz="4" w:space="0" w:color="365F91"/>
              <w:left w:val="nil"/>
              <w:bottom w:val="single" w:sz="4" w:space="0" w:color="365F91"/>
              <w:right w:val="nil"/>
            </w:tcBorders>
            <w:shd w:val="clear" w:color="auto" w:fill="FFFFFF"/>
          </w:tcPr>
          <w:p w14:paraId="50E921E9" w14:textId="77777777" w:rsidR="000B0092" w:rsidRPr="00BE78CA" w:rsidRDefault="000B0092" w:rsidP="00C26084">
            <w:pPr>
              <w:pStyle w:val="TableText"/>
              <w:spacing w:before="50" w:after="50"/>
            </w:pPr>
            <w:r w:rsidRPr="00BE78CA">
              <w:t>2a</w:t>
            </w:r>
          </w:p>
        </w:tc>
      </w:tr>
      <w:tr w:rsidR="000B0092" w:rsidRPr="00BE78CA" w14:paraId="350BD4EA" w14:textId="77777777" w:rsidTr="00326CAB">
        <w:tc>
          <w:tcPr>
            <w:tcW w:w="3261" w:type="dxa"/>
            <w:vMerge/>
            <w:tcBorders>
              <w:left w:val="nil"/>
              <w:bottom w:val="single" w:sz="4" w:space="0" w:color="365F91"/>
              <w:right w:val="nil"/>
            </w:tcBorders>
            <w:shd w:val="clear" w:color="auto" w:fill="FFFFFF"/>
          </w:tcPr>
          <w:p w14:paraId="59BF5844" w14:textId="77777777" w:rsidR="000B0092" w:rsidRPr="00BE78CA" w:rsidRDefault="000B0092" w:rsidP="00C26084">
            <w:pPr>
              <w:pStyle w:val="TableText"/>
              <w:spacing w:before="50" w:after="50"/>
            </w:pPr>
          </w:p>
        </w:tc>
        <w:tc>
          <w:tcPr>
            <w:tcW w:w="2390" w:type="dxa"/>
            <w:tcBorders>
              <w:top w:val="single" w:sz="4" w:space="0" w:color="365F91"/>
              <w:left w:val="nil"/>
              <w:bottom w:val="single" w:sz="4" w:space="0" w:color="365F91"/>
              <w:right w:val="nil"/>
            </w:tcBorders>
            <w:shd w:val="clear" w:color="auto" w:fill="FFFFFF"/>
          </w:tcPr>
          <w:p w14:paraId="1CA9FE80" w14:textId="77777777" w:rsidR="000B0092" w:rsidRPr="00BE78CA" w:rsidRDefault="000B0092" w:rsidP="00C26084">
            <w:pPr>
              <w:pStyle w:val="TableText"/>
              <w:spacing w:before="50" w:after="50"/>
            </w:pPr>
            <w:r w:rsidRPr="00BE78CA">
              <w:t>HFC-143a</w:t>
            </w:r>
          </w:p>
        </w:tc>
        <w:tc>
          <w:tcPr>
            <w:tcW w:w="2911" w:type="dxa"/>
            <w:tcBorders>
              <w:top w:val="single" w:sz="4" w:space="0" w:color="365F91"/>
              <w:left w:val="nil"/>
              <w:bottom w:val="single" w:sz="4" w:space="0" w:color="365F91"/>
              <w:right w:val="nil"/>
            </w:tcBorders>
            <w:shd w:val="clear" w:color="auto" w:fill="FFFFFF"/>
          </w:tcPr>
          <w:p w14:paraId="40952727" w14:textId="77777777" w:rsidR="000B0092" w:rsidRPr="00BE78CA" w:rsidRDefault="000B0092" w:rsidP="00C26084">
            <w:pPr>
              <w:pStyle w:val="TableText"/>
              <w:spacing w:before="50" w:after="50"/>
            </w:pPr>
            <w:r w:rsidRPr="00BE78CA">
              <w:t>2a</w:t>
            </w:r>
          </w:p>
        </w:tc>
      </w:tr>
      <w:tr w:rsidR="000B0092" w:rsidRPr="00BE78CA" w14:paraId="3A54AF7B" w14:textId="77777777" w:rsidTr="00326CAB">
        <w:tc>
          <w:tcPr>
            <w:tcW w:w="3261" w:type="dxa"/>
            <w:vMerge w:val="restart"/>
            <w:tcBorders>
              <w:top w:val="single" w:sz="4" w:space="0" w:color="365F91"/>
              <w:left w:val="nil"/>
              <w:right w:val="nil"/>
            </w:tcBorders>
            <w:shd w:val="clear" w:color="auto" w:fill="FFFFFF"/>
          </w:tcPr>
          <w:p w14:paraId="21F3F55E" w14:textId="77777777" w:rsidR="000B0092" w:rsidRPr="00BE78CA" w:rsidRDefault="000B0092" w:rsidP="00C26084">
            <w:pPr>
              <w:pStyle w:val="TableText"/>
              <w:spacing w:before="50" w:after="50"/>
            </w:pPr>
            <w:r w:rsidRPr="00BE78CA">
              <w:t>Stationary air conditioning</w:t>
            </w:r>
          </w:p>
        </w:tc>
        <w:tc>
          <w:tcPr>
            <w:tcW w:w="2390" w:type="dxa"/>
            <w:tcBorders>
              <w:top w:val="single" w:sz="4" w:space="0" w:color="365F91"/>
              <w:left w:val="nil"/>
              <w:bottom w:val="single" w:sz="4" w:space="0" w:color="365F91"/>
              <w:right w:val="nil"/>
            </w:tcBorders>
            <w:shd w:val="clear" w:color="auto" w:fill="FFFFFF"/>
          </w:tcPr>
          <w:p w14:paraId="2718E141" w14:textId="77777777" w:rsidR="000B0092" w:rsidRPr="00BE78CA" w:rsidRDefault="000B0092" w:rsidP="00C26084">
            <w:pPr>
              <w:pStyle w:val="TableText"/>
              <w:spacing w:before="50" w:after="50"/>
            </w:pPr>
            <w:r w:rsidRPr="00BE78CA">
              <w:t>HFC-32</w:t>
            </w:r>
          </w:p>
        </w:tc>
        <w:tc>
          <w:tcPr>
            <w:tcW w:w="2911" w:type="dxa"/>
            <w:tcBorders>
              <w:top w:val="single" w:sz="4" w:space="0" w:color="365F91"/>
              <w:left w:val="nil"/>
              <w:bottom w:val="single" w:sz="4" w:space="0" w:color="365F91"/>
              <w:right w:val="nil"/>
            </w:tcBorders>
            <w:shd w:val="clear" w:color="auto" w:fill="FFFFFF"/>
          </w:tcPr>
          <w:p w14:paraId="008646BF" w14:textId="77777777" w:rsidR="000B0092" w:rsidRPr="00BE78CA" w:rsidRDefault="000B0092" w:rsidP="00C26084">
            <w:pPr>
              <w:pStyle w:val="TableText"/>
              <w:spacing w:before="50" w:after="50"/>
            </w:pPr>
            <w:r w:rsidRPr="00BE78CA">
              <w:t>2b</w:t>
            </w:r>
          </w:p>
        </w:tc>
      </w:tr>
      <w:tr w:rsidR="000B0092" w:rsidRPr="00BE78CA" w14:paraId="0190C9DE" w14:textId="77777777" w:rsidTr="00326CAB">
        <w:tc>
          <w:tcPr>
            <w:tcW w:w="3261" w:type="dxa"/>
            <w:vMerge/>
            <w:tcBorders>
              <w:left w:val="nil"/>
              <w:right w:val="nil"/>
            </w:tcBorders>
            <w:shd w:val="clear" w:color="auto" w:fill="FFFFFF"/>
          </w:tcPr>
          <w:p w14:paraId="5DDCCDF6" w14:textId="77777777" w:rsidR="000B0092" w:rsidRPr="00BE78CA" w:rsidRDefault="000B0092" w:rsidP="00C26084">
            <w:pPr>
              <w:pStyle w:val="TableText"/>
              <w:spacing w:before="50" w:after="50"/>
            </w:pPr>
          </w:p>
        </w:tc>
        <w:tc>
          <w:tcPr>
            <w:tcW w:w="2390" w:type="dxa"/>
            <w:tcBorders>
              <w:top w:val="single" w:sz="4" w:space="0" w:color="365F91"/>
              <w:left w:val="nil"/>
              <w:bottom w:val="single" w:sz="4" w:space="0" w:color="365F91"/>
              <w:right w:val="nil"/>
            </w:tcBorders>
            <w:shd w:val="clear" w:color="auto" w:fill="FFFFFF"/>
          </w:tcPr>
          <w:p w14:paraId="7AD63838" w14:textId="77777777" w:rsidR="000B0092" w:rsidRPr="00BE78CA" w:rsidRDefault="000B0092" w:rsidP="00C26084">
            <w:pPr>
              <w:pStyle w:val="TableText"/>
              <w:spacing w:before="50" w:after="50"/>
            </w:pPr>
            <w:r w:rsidRPr="00BE78CA">
              <w:t>HFC-125</w:t>
            </w:r>
          </w:p>
        </w:tc>
        <w:tc>
          <w:tcPr>
            <w:tcW w:w="2911" w:type="dxa"/>
            <w:tcBorders>
              <w:top w:val="single" w:sz="4" w:space="0" w:color="365F91"/>
              <w:left w:val="nil"/>
              <w:bottom w:val="single" w:sz="4" w:space="0" w:color="365F91"/>
              <w:right w:val="nil"/>
            </w:tcBorders>
            <w:shd w:val="clear" w:color="auto" w:fill="FFFFFF"/>
          </w:tcPr>
          <w:p w14:paraId="0737C517" w14:textId="77777777" w:rsidR="000B0092" w:rsidRPr="00BE78CA" w:rsidRDefault="000B0092" w:rsidP="00C26084">
            <w:pPr>
              <w:pStyle w:val="TableText"/>
              <w:spacing w:before="50" w:after="50"/>
            </w:pPr>
            <w:r w:rsidRPr="00BE78CA">
              <w:t xml:space="preserve">2a to 2006, 2b for 2007–18 </w:t>
            </w:r>
          </w:p>
        </w:tc>
      </w:tr>
      <w:tr w:rsidR="000B0092" w:rsidRPr="00BE78CA" w14:paraId="7378316D" w14:textId="77777777" w:rsidTr="00326CAB">
        <w:tc>
          <w:tcPr>
            <w:tcW w:w="3261" w:type="dxa"/>
            <w:vMerge/>
            <w:tcBorders>
              <w:left w:val="nil"/>
              <w:bottom w:val="single" w:sz="4" w:space="0" w:color="365F91"/>
              <w:right w:val="nil"/>
            </w:tcBorders>
            <w:shd w:val="clear" w:color="auto" w:fill="FFFFFF"/>
          </w:tcPr>
          <w:p w14:paraId="2A9CFA34" w14:textId="77777777" w:rsidR="000B0092" w:rsidRPr="00BE78CA" w:rsidRDefault="000B0092" w:rsidP="00C26084">
            <w:pPr>
              <w:pStyle w:val="TableText"/>
              <w:spacing w:before="50" w:after="50"/>
            </w:pPr>
          </w:p>
        </w:tc>
        <w:tc>
          <w:tcPr>
            <w:tcW w:w="2390" w:type="dxa"/>
            <w:tcBorders>
              <w:top w:val="single" w:sz="4" w:space="0" w:color="365F91"/>
              <w:left w:val="nil"/>
              <w:bottom w:val="single" w:sz="4" w:space="0" w:color="365F91"/>
              <w:right w:val="nil"/>
            </w:tcBorders>
            <w:shd w:val="clear" w:color="auto" w:fill="FFFFFF"/>
          </w:tcPr>
          <w:p w14:paraId="63376B57" w14:textId="77777777" w:rsidR="000B0092" w:rsidRPr="00BE78CA" w:rsidRDefault="000B0092" w:rsidP="00C26084">
            <w:pPr>
              <w:pStyle w:val="TableText"/>
              <w:spacing w:before="50" w:after="50"/>
            </w:pPr>
            <w:r w:rsidRPr="00BE78CA">
              <w:t>HFC 134a</w:t>
            </w:r>
          </w:p>
        </w:tc>
        <w:tc>
          <w:tcPr>
            <w:tcW w:w="2911" w:type="dxa"/>
            <w:tcBorders>
              <w:top w:val="single" w:sz="4" w:space="0" w:color="365F91"/>
              <w:left w:val="nil"/>
              <w:bottom w:val="single" w:sz="4" w:space="0" w:color="365F91"/>
              <w:right w:val="nil"/>
            </w:tcBorders>
            <w:shd w:val="clear" w:color="auto" w:fill="FFFFFF"/>
          </w:tcPr>
          <w:p w14:paraId="601DD4C3" w14:textId="77777777" w:rsidR="000B0092" w:rsidRPr="00BE78CA" w:rsidRDefault="000B0092" w:rsidP="00C26084">
            <w:pPr>
              <w:pStyle w:val="TableText"/>
              <w:spacing w:before="50" w:after="50"/>
            </w:pPr>
            <w:r w:rsidRPr="00BE78CA">
              <w:t>2a</w:t>
            </w:r>
          </w:p>
        </w:tc>
      </w:tr>
      <w:tr w:rsidR="000B0092" w:rsidRPr="00BE78CA" w14:paraId="5FD1955F" w14:textId="77777777" w:rsidTr="00326CAB">
        <w:tc>
          <w:tcPr>
            <w:tcW w:w="3261" w:type="dxa"/>
            <w:tcBorders>
              <w:top w:val="single" w:sz="4" w:space="0" w:color="365F91"/>
              <w:left w:val="nil"/>
              <w:bottom w:val="single" w:sz="6" w:space="0" w:color="365F91"/>
              <w:right w:val="nil"/>
            </w:tcBorders>
            <w:shd w:val="clear" w:color="auto" w:fill="FFFFFF"/>
          </w:tcPr>
          <w:p w14:paraId="650D14B6" w14:textId="77777777" w:rsidR="000B0092" w:rsidRPr="00BE78CA" w:rsidRDefault="000B0092" w:rsidP="00C26084">
            <w:pPr>
              <w:pStyle w:val="TableText"/>
              <w:spacing w:before="50" w:after="50"/>
            </w:pPr>
            <w:r w:rsidRPr="00BE78CA">
              <w:t>Mobile air conditioning</w:t>
            </w:r>
          </w:p>
        </w:tc>
        <w:tc>
          <w:tcPr>
            <w:tcW w:w="2390" w:type="dxa"/>
            <w:tcBorders>
              <w:top w:val="single" w:sz="4" w:space="0" w:color="365F91"/>
              <w:left w:val="nil"/>
              <w:bottom w:val="single" w:sz="6" w:space="0" w:color="365F91"/>
              <w:right w:val="nil"/>
            </w:tcBorders>
            <w:shd w:val="clear" w:color="auto" w:fill="FFFFFF"/>
          </w:tcPr>
          <w:p w14:paraId="41E07C88" w14:textId="77777777" w:rsidR="000B0092" w:rsidRPr="00BE78CA" w:rsidRDefault="000B0092" w:rsidP="00C26084">
            <w:pPr>
              <w:pStyle w:val="TableText"/>
              <w:spacing w:before="50" w:after="50"/>
            </w:pPr>
            <w:r w:rsidRPr="00BE78CA">
              <w:t>HFC-134a</w:t>
            </w:r>
          </w:p>
        </w:tc>
        <w:tc>
          <w:tcPr>
            <w:tcW w:w="2911" w:type="dxa"/>
            <w:tcBorders>
              <w:top w:val="single" w:sz="4" w:space="0" w:color="365F91"/>
              <w:left w:val="nil"/>
              <w:bottom w:val="single" w:sz="6" w:space="0" w:color="365F91"/>
              <w:right w:val="nil"/>
            </w:tcBorders>
            <w:shd w:val="clear" w:color="auto" w:fill="FFFFFF"/>
          </w:tcPr>
          <w:p w14:paraId="5C165541" w14:textId="77777777" w:rsidR="000B0092" w:rsidRPr="00BE78CA" w:rsidRDefault="000B0092" w:rsidP="00C26084">
            <w:pPr>
              <w:pStyle w:val="TableText"/>
              <w:spacing w:before="50" w:after="50"/>
            </w:pPr>
            <w:r w:rsidRPr="00BE78CA">
              <w:t>2b</w:t>
            </w:r>
          </w:p>
        </w:tc>
      </w:tr>
    </w:tbl>
    <w:p w14:paraId="065C59E6" w14:textId="77777777" w:rsidR="000B0092" w:rsidRPr="00BE78CA" w:rsidRDefault="000B0092" w:rsidP="000B0092">
      <w:pPr>
        <w:pStyle w:val="Heading5"/>
        <w:spacing w:before="360"/>
      </w:pPr>
      <w:r w:rsidRPr="00BE78CA">
        <w:t>Other (2.F.2, 2.F.3 and 2.F.4)</w:t>
      </w:r>
    </w:p>
    <w:p w14:paraId="1FF16DC0" w14:textId="77777777" w:rsidR="000B0092" w:rsidRPr="00BE78CA" w:rsidRDefault="000B0092" w:rsidP="000B0092">
      <w:pPr>
        <w:pStyle w:val="BodyText"/>
        <w:keepNext/>
        <w:spacing w:before="100" w:after="100"/>
      </w:pPr>
      <w:r w:rsidRPr="00BE78CA">
        <w:t xml:space="preserve">The IPCC Tier 1a method is used for foam blowing agents and fire protection equipment. </w:t>
      </w:r>
    </w:p>
    <w:p w14:paraId="0C0C2423" w14:textId="77777777" w:rsidR="000B0092" w:rsidRPr="00BE78CA" w:rsidRDefault="000B0092" w:rsidP="000B0092">
      <w:pPr>
        <w:pStyle w:val="BodyText"/>
        <w:spacing w:before="100" w:after="100"/>
      </w:pPr>
      <w:r w:rsidRPr="00BE78CA">
        <w:t xml:space="preserve">Aerosol emissions are calculated using the IPCC Tier 1a/2a method (IPCC, 2006a, equation 7.6). Tier 2a requires subdividing these emissions by sub-application. In this submission, emissions from MDIs are reported separately as a sub-application (2.F.4.a), but insufficient data are available to further subdivide aerosol products by sub-application. All other aerosol products are reported together (2.F.4.b). </w:t>
      </w:r>
    </w:p>
    <w:p w14:paraId="48D30DD5" w14:textId="77777777" w:rsidR="000B0092" w:rsidRPr="00BE78CA" w:rsidRDefault="000B0092" w:rsidP="000B0092">
      <w:pPr>
        <w:pStyle w:val="Heading4"/>
        <w:rPr>
          <w:bCs/>
          <w:iCs/>
        </w:rPr>
      </w:pPr>
      <w:r w:rsidRPr="00BE78CA">
        <w:lastRenderedPageBreak/>
        <w:t>Choice of emission factors</w:t>
      </w:r>
    </w:p>
    <w:p w14:paraId="63C68A48" w14:textId="77777777" w:rsidR="000B0092" w:rsidRPr="00BE78CA" w:rsidRDefault="000B0092" w:rsidP="000B0092">
      <w:pPr>
        <w:pStyle w:val="Heading5"/>
        <w:spacing w:before="120"/>
      </w:pPr>
      <w:r w:rsidRPr="00BE78CA">
        <w:t>Refrigeration and air conditioning (2.F.1)</w:t>
      </w:r>
    </w:p>
    <w:p w14:paraId="52B3C731" w14:textId="77777777" w:rsidR="000B0092" w:rsidRPr="00BE78CA" w:rsidRDefault="000B0092" w:rsidP="000B0092">
      <w:pPr>
        <w:pStyle w:val="BodyText"/>
        <w:spacing w:before="100" w:after="100"/>
      </w:pPr>
      <w:r w:rsidRPr="00BE78CA">
        <w:t xml:space="preserve">The emission factors used in each sub-application (other than </w:t>
      </w:r>
      <w:r w:rsidRPr="00BE78CA">
        <w:rPr>
          <w:i/>
        </w:rPr>
        <w:t>Mobile air conditioning</w:t>
      </w:r>
      <w:r w:rsidRPr="00BE78CA">
        <w:t xml:space="preserve">) were assessed using a combination of IPCC defaults, information from the New Zealand industry and expert judgement. </w:t>
      </w:r>
    </w:p>
    <w:p w14:paraId="55ED973D" w14:textId="77777777" w:rsidR="000B0092" w:rsidRPr="00BE78CA" w:rsidRDefault="000B0092" w:rsidP="000B0092">
      <w:pPr>
        <w:pStyle w:val="BodyText"/>
        <w:spacing w:before="100" w:after="100"/>
      </w:pPr>
      <w:r w:rsidRPr="00BE78CA">
        <w:t>In addition, the annual leakage rates were adjusted in some cases to ensure that the total results for all sub-applications were consistent with the much more complete and accurate data available to estimate the total mass balance (for all five sub-applications) for each chemical. For each chemical, this has meant that one of these five sub</w:t>
      </w:r>
      <w:r w:rsidRPr="00BE78CA">
        <w:noBreakHyphen/>
        <w:t>applications is treated as a residual and may, consequently, be subject to greater apparent year</w:t>
      </w:r>
      <w:r w:rsidRPr="00BE78CA">
        <w:noBreakHyphen/>
        <w:t>to</w:t>
      </w:r>
      <w:r w:rsidRPr="00BE78CA">
        <w:noBreakHyphen/>
        <w:t xml:space="preserve">year variation than the other four. </w:t>
      </w:r>
    </w:p>
    <w:p w14:paraId="16CFE358" w14:textId="77777777" w:rsidR="000B0092" w:rsidRPr="00BE78CA" w:rsidRDefault="000B0092" w:rsidP="000B0092">
      <w:pPr>
        <w:pStyle w:val="BodyText"/>
      </w:pPr>
      <w:r w:rsidRPr="00BE78CA">
        <w:t>These emission factors are detailed in the report by Verum Group (</w:t>
      </w:r>
      <w:r w:rsidRPr="00BE78CA">
        <w:rPr>
          <w:rFonts w:eastAsia="+mn-ea"/>
        </w:rPr>
        <w:t>unpublished</w:t>
      </w:r>
      <w:r w:rsidRPr="00BE78CA">
        <w:t xml:space="preserve">). </w:t>
      </w:r>
    </w:p>
    <w:p w14:paraId="405154D3" w14:textId="77777777" w:rsidR="000B0092" w:rsidRPr="00BE78CA" w:rsidRDefault="000B0092" w:rsidP="000B0092">
      <w:pPr>
        <w:pStyle w:val="BodyText"/>
      </w:pPr>
      <w:r w:rsidRPr="00BE78CA">
        <w:t xml:space="preserve">For </w:t>
      </w:r>
      <w:r w:rsidRPr="00BE78CA">
        <w:rPr>
          <w:i/>
        </w:rPr>
        <w:t>Mobile air conditioning</w:t>
      </w:r>
      <w:r w:rsidRPr="00BE78CA">
        <w:t>, the model used distinguishes between leakage that is replaced in regular servicing (3 per cent of the bank each year) and refrigerant that leaks, but is not replaced because owners do not have the air conditioning units serviced. The overall average amount of leakage for the fleet is assessed to be 15</w:t>
      </w:r>
      <w:r w:rsidRPr="00BE78CA">
        <w:rPr>
          <w:rFonts w:cs="Calibri"/>
        </w:rPr>
        <w:t>±</w:t>
      </w:r>
      <w:r w:rsidRPr="00BE78CA">
        <w:t>10 per cent – that is, at any time a notional ‘average vehicle’ will have 85</w:t>
      </w:r>
      <w:r w:rsidRPr="00BE78CA">
        <w:rPr>
          <w:rFonts w:cs="Calibri"/>
        </w:rPr>
        <w:t>±</w:t>
      </w:r>
      <w:r w:rsidRPr="00BE78CA">
        <w:t xml:space="preserve">10 per cent of its original charge in place. </w:t>
      </w:r>
    </w:p>
    <w:p w14:paraId="0B3002CA" w14:textId="77777777" w:rsidR="000B0092" w:rsidRPr="00BE78CA" w:rsidRDefault="000B0092" w:rsidP="000B0092">
      <w:pPr>
        <w:pStyle w:val="Heading5"/>
        <w:spacing w:before="160"/>
      </w:pPr>
      <w:r w:rsidRPr="00BE78CA">
        <w:t>Foam blowing agents (2.F.2)</w:t>
      </w:r>
    </w:p>
    <w:p w14:paraId="4BE7B495" w14:textId="77777777" w:rsidR="000B0092" w:rsidRPr="00BE78CA" w:rsidRDefault="000B0092" w:rsidP="000B0092">
      <w:pPr>
        <w:pStyle w:val="BodyText"/>
      </w:pPr>
      <w:r w:rsidRPr="00BE78CA">
        <w:t xml:space="preserve">The IPCC default emission factors for closed-cell foam are used, that is, assuming 10.0 per cent loss in the first year of use and 4.5 per cent in each of the following 20 years. </w:t>
      </w:r>
    </w:p>
    <w:p w14:paraId="1307909F" w14:textId="77777777" w:rsidR="000B0092" w:rsidRPr="00BE78CA" w:rsidRDefault="000B0092" w:rsidP="000B0092">
      <w:pPr>
        <w:pStyle w:val="Heading5"/>
        <w:spacing w:before="160"/>
      </w:pPr>
      <w:r w:rsidRPr="00BE78CA">
        <w:t>Fire protection (2.F.3)</w:t>
      </w:r>
    </w:p>
    <w:p w14:paraId="2443EB18" w14:textId="77777777" w:rsidR="000B0092" w:rsidRPr="00BE78CA" w:rsidRDefault="000B0092" w:rsidP="000B0092">
      <w:pPr>
        <w:pStyle w:val="BodyText"/>
      </w:pPr>
      <w:r w:rsidRPr="00BE78CA">
        <w:t xml:space="preserve">For fire protection equipment, a country-specific emission factor of 0.015 (1.5 per cent of the charge lost in leakage each year) is used. This estimate is based on information from one major supplier of these systems, which was able to supply records of the amount of HFC-227ea it used to replace leakage and accidental discharges. </w:t>
      </w:r>
    </w:p>
    <w:p w14:paraId="5C9ECE8F" w14:textId="77777777" w:rsidR="000B0092" w:rsidRPr="00BE78CA" w:rsidRDefault="000B0092" w:rsidP="000B0092">
      <w:pPr>
        <w:pStyle w:val="Heading5"/>
        <w:spacing w:before="160"/>
      </w:pPr>
      <w:r w:rsidRPr="00BE78CA">
        <w:t>Aerosols (2.F.4)</w:t>
      </w:r>
    </w:p>
    <w:p w14:paraId="536731CB" w14:textId="77777777" w:rsidR="000B0092" w:rsidRPr="00BE78CA" w:rsidRDefault="000B0092" w:rsidP="000B0092">
      <w:pPr>
        <w:pStyle w:val="BodyText"/>
      </w:pPr>
      <w:r w:rsidRPr="00BE78CA">
        <w:t xml:space="preserve">Aerosol emissions are considered to be prompt (emitted in the first year or two after manufacture or import) and so the default emission factor of 50.0 per cent of the initial charge emitted per year is applied. </w:t>
      </w:r>
    </w:p>
    <w:p w14:paraId="38EE1D87" w14:textId="77777777" w:rsidR="000B0092" w:rsidRPr="00BE78CA" w:rsidRDefault="000B0092" w:rsidP="000B0092">
      <w:pPr>
        <w:pStyle w:val="Heading3"/>
      </w:pPr>
      <w:r w:rsidRPr="00BE78CA">
        <w:t xml:space="preserve">4.7.3 </w:t>
      </w:r>
      <w:r w:rsidRPr="00BE78CA">
        <w:tab/>
        <w:t>Uncertainties and time-series consistency</w:t>
      </w:r>
    </w:p>
    <w:p w14:paraId="21EF8349" w14:textId="77777777" w:rsidR="000B0092" w:rsidRPr="00BE78CA" w:rsidRDefault="000B0092" w:rsidP="000B0092">
      <w:pPr>
        <w:pStyle w:val="Heading4"/>
        <w:spacing w:before="160"/>
        <w:rPr>
          <w:bCs/>
          <w:iCs/>
        </w:rPr>
      </w:pPr>
      <w:r w:rsidRPr="00BE78CA">
        <w:t>Uncertainties</w:t>
      </w:r>
    </w:p>
    <w:p w14:paraId="7C8C46AE" w14:textId="77777777" w:rsidR="000B0092" w:rsidRPr="00BE78CA" w:rsidRDefault="000B0092" w:rsidP="000B0092">
      <w:pPr>
        <w:pStyle w:val="BodyText"/>
        <w:spacing w:before="100"/>
      </w:pPr>
      <w:r w:rsidRPr="00BE78CA">
        <w:t xml:space="preserve">Data on bulk imports of refrigerant gases in the </w:t>
      </w:r>
      <w:r w:rsidRPr="00BE78CA">
        <w:rPr>
          <w:i/>
        </w:rPr>
        <w:t>Refrigeration and air conditioning</w:t>
      </w:r>
      <w:r w:rsidRPr="00BE78CA">
        <w:t xml:space="preserve"> category are complete and accurate, with uncertainty of ±5 per cent. Data on the amount imported in factory-charged equipment, and the amount in retired equipment, are much less accurate, and uncertainties are estimated for each sub-application based on expert judgement. </w:t>
      </w:r>
    </w:p>
    <w:p w14:paraId="2C808623" w14:textId="77777777" w:rsidR="000B0092" w:rsidRPr="00BE78CA" w:rsidRDefault="000B0092" w:rsidP="000B0092">
      <w:pPr>
        <w:pStyle w:val="BodyText"/>
        <w:spacing w:before="100"/>
      </w:pPr>
      <w:r w:rsidRPr="00BE78CA">
        <w:t xml:space="preserve">Uncertainties in this category have been estimated for each sub-application, and table 4.7.3 summarises the uncertainties for each category. For the </w:t>
      </w:r>
      <w:r w:rsidRPr="00BE78CA">
        <w:rPr>
          <w:i/>
        </w:rPr>
        <w:t>Refrigeration and air conditioning</w:t>
      </w:r>
      <w:r w:rsidRPr="00BE78CA">
        <w:t xml:space="preserve"> category, uncertainty is attributed only to the activity data. </w:t>
      </w:r>
    </w:p>
    <w:p w14:paraId="59A6A92E" w14:textId="77777777" w:rsidR="000B0092" w:rsidRPr="00BE78CA" w:rsidRDefault="000B0092" w:rsidP="000B0092">
      <w:pPr>
        <w:pStyle w:val="Table"/>
      </w:pPr>
      <w:bookmarkStart w:id="481" w:name="_Toc451176078"/>
      <w:bookmarkStart w:id="482" w:name="_Toc5269468"/>
      <w:bookmarkStart w:id="483" w:name="_Toc36224542"/>
      <w:bookmarkStart w:id="484" w:name="_Toc68786428"/>
      <w:r w:rsidRPr="00BE78CA">
        <w:lastRenderedPageBreak/>
        <w:t xml:space="preserve">Table 4.7.3 </w:t>
      </w:r>
      <w:r w:rsidRPr="00BE78CA">
        <w:tab/>
        <w:t>New Zealand’s uncertainties in product uses as substitutes for ODS</w:t>
      </w:r>
      <w:bookmarkEnd w:id="481"/>
      <w:bookmarkEnd w:id="482"/>
      <w:bookmarkEnd w:id="483"/>
      <w:bookmarkEnd w:id="484"/>
      <w:r w:rsidRPr="00BE78CA">
        <w:t xml:space="preserve"> </w:t>
      </w:r>
    </w:p>
    <w:tbl>
      <w:tblPr>
        <w:tblW w:w="8505" w:type="dxa"/>
        <w:tblLook w:val="04A0" w:firstRow="1" w:lastRow="0" w:firstColumn="1" w:lastColumn="0" w:noHBand="0" w:noVBand="1"/>
      </w:tblPr>
      <w:tblGrid>
        <w:gridCol w:w="2873"/>
        <w:gridCol w:w="2660"/>
        <w:gridCol w:w="2972"/>
      </w:tblGrid>
      <w:tr w:rsidR="000B0092" w:rsidRPr="00BE78CA" w14:paraId="2DD5C1FC" w14:textId="77777777" w:rsidTr="00326CAB">
        <w:trPr>
          <w:trHeight w:val="309"/>
        </w:trPr>
        <w:tc>
          <w:tcPr>
            <w:tcW w:w="2603" w:type="dxa"/>
            <w:tcBorders>
              <w:top w:val="single" w:sz="4" w:space="0" w:color="365F91"/>
              <w:left w:val="nil"/>
              <w:bottom w:val="single" w:sz="4" w:space="0" w:color="365F91"/>
              <w:right w:val="nil"/>
            </w:tcBorders>
            <w:shd w:val="clear" w:color="auto" w:fill="365F91"/>
            <w:hideMark/>
          </w:tcPr>
          <w:p w14:paraId="69B539F4" w14:textId="77777777" w:rsidR="000B0092" w:rsidRPr="00BE78CA" w:rsidRDefault="000B0092" w:rsidP="00C26084">
            <w:pPr>
              <w:pStyle w:val="TableTextBold"/>
              <w:spacing w:before="50" w:after="50"/>
              <w:rPr>
                <w:bCs/>
                <w:noProof w:val="0"/>
                <w:color w:val="FFFFFF"/>
              </w:rPr>
            </w:pPr>
            <w:r w:rsidRPr="00BE78CA">
              <w:rPr>
                <w:noProof w:val="0"/>
                <w:color w:val="FFFFFF"/>
              </w:rPr>
              <w:t>Category</w:t>
            </w:r>
          </w:p>
        </w:tc>
        <w:tc>
          <w:tcPr>
            <w:tcW w:w="2410" w:type="dxa"/>
            <w:tcBorders>
              <w:top w:val="single" w:sz="4" w:space="0" w:color="365F91"/>
              <w:left w:val="nil"/>
              <w:bottom w:val="single" w:sz="4" w:space="0" w:color="365F91"/>
              <w:right w:val="nil"/>
            </w:tcBorders>
            <w:shd w:val="clear" w:color="auto" w:fill="365F91"/>
            <w:hideMark/>
          </w:tcPr>
          <w:p w14:paraId="687D2339" w14:textId="77777777" w:rsidR="000B0092" w:rsidRPr="00BE78CA" w:rsidRDefault="000B0092" w:rsidP="00C26084">
            <w:pPr>
              <w:pStyle w:val="TableTextBold"/>
              <w:spacing w:before="50" w:after="50"/>
              <w:rPr>
                <w:bCs/>
                <w:noProof w:val="0"/>
                <w:color w:val="FFFFFF"/>
              </w:rPr>
            </w:pPr>
            <w:r w:rsidRPr="00BE78CA">
              <w:rPr>
                <w:noProof w:val="0"/>
                <w:color w:val="FFFFFF"/>
              </w:rPr>
              <w:t>Uncertainty in activity data (%)</w:t>
            </w:r>
          </w:p>
        </w:tc>
        <w:tc>
          <w:tcPr>
            <w:tcW w:w="2693" w:type="dxa"/>
            <w:tcBorders>
              <w:top w:val="single" w:sz="4" w:space="0" w:color="365F91"/>
              <w:left w:val="nil"/>
              <w:bottom w:val="single" w:sz="4" w:space="0" w:color="365F91"/>
              <w:right w:val="nil"/>
            </w:tcBorders>
            <w:shd w:val="clear" w:color="auto" w:fill="365F91"/>
            <w:hideMark/>
          </w:tcPr>
          <w:p w14:paraId="23BD3CE4" w14:textId="77777777" w:rsidR="000B0092" w:rsidRPr="00BE78CA" w:rsidRDefault="000B0092" w:rsidP="00C26084">
            <w:pPr>
              <w:pStyle w:val="TableTextBold"/>
              <w:spacing w:before="50" w:after="50"/>
              <w:rPr>
                <w:noProof w:val="0"/>
                <w:color w:val="FFFFFF"/>
              </w:rPr>
            </w:pPr>
            <w:r w:rsidRPr="00BE78CA">
              <w:rPr>
                <w:noProof w:val="0"/>
                <w:color w:val="FFFFFF"/>
              </w:rPr>
              <w:t>Uncertainty in emission factors (%)</w:t>
            </w:r>
          </w:p>
        </w:tc>
      </w:tr>
      <w:tr w:rsidR="000B0092" w:rsidRPr="00BE78CA" w14:paraId="729672D9" w14:textId="77777777" w:rsidTr="00326CAB">
        <w:tc>
          <w:tcPr>
            <w:tcW w:w="2603" w:type="dxa"/>
            <w:tcBorders>
              <w:top w:val="single" w:sz="4" w:space="0" w:color="365F91"/>
              <w:left w:val="nil"/>
              <w:bottom w:val="nil"/>
              <w:right w:val="nil"/>
            </w:tcBorders>
            <w:hideMark/>
          </w:tcPr>
          <w:p w14:paraId="7C7F9B23" w14:textId="77777777" w:rsidR="000B0092" w:rsidRPr="00BE78CA" w:rsidRDefault="000B0092" w:rsidP="00C26084">
            <w:pPr>
              <w:pStyle w:val="TableText"/>
              <w:spacing w:before="50" w:after="50"/>
            </w:pPr>
            <w:r w:rsidRPr="00BE78CA">
              <w:t>Refrigeration and air conditioning</w:t>
            </w:r>
          </w:p>
        </w:tc>
        <w:tc>
          <w:tcPr>
            <w:tcW w:w="2410" w:type="dxa"/>
            <w:tcBorders>
              <w:top w:val="single" w:sz="4" w:space="0" w:color="365F91"/>
              <w:left w:val="nil"/>
              <w:bottom w:val="nil"/>
              <w:right w:val="nil"/>
            </w:tcBorders>
            <w:hideMark/>
          </w:tcPr>
          <w:p w14:paraId="466F8F91" w14:textId="77777777" w:rsidR="000B0092" w:rsidRPr="00BE78CA" w:rsidRDefault="000B0092" w:rsidP="00C26084">
            <w:pPr>
              <w:pStyle w:val="TableText"/>
              <w:spacing w:before="50" w:after="50"/>
            </w:pPr>
            <w:r w:rsidRPr="00BE78CA">
              <w:t>±25</w:t>
            </w:r>
          </w:p>
        </w:tc>
        <w:tc>
          <w:tcPr>
            <w:tcW w:w="2693" w:type="dxa"/>
            <w:tcBorders>
              <w:top w:val="single" w:sz="4" w:space="0" w:color="365F91"/>
              <w:left w:val="nil"/>
              <w:bottom w:val="nil"/>
              <w:right w:val="nil"/>
            </w:tcBorders>
            <w:hideMark/>
          </w:tcPr>
          <w:p w14:paraId="40E37F46" w14:textId="77777777" w:rsidR="000B0092" w:rsidRPr="00BE78CA" w:rsidRDefault="000B0092" w:rsidP="00C26084">
            <w:pPr>
              <w:pStyle w:val="TableText"/>
              <w:spacing w:before="50" w:after="50"/>
            </w:pPr>
            <w:r w:rsidRPr="00BE78CA">
              <w:t>NA</w:t>
            </w:r>
          </w:p>
        </w:tc>
      </w:tr>
      <w:tr w:rsidR="000B0092" w:rsidRPr="00BE78CA" w14:paraId="79930463" w14:textId="77777777" w:rsidTr="00326CAB">
        <w:tc>
          <w:tcPr>
            <w:tcW w:w="2603" w:type="dxa"/>
            <w:hideMark/>
          </w:tcPr>
          <w:p w14:paraId="10C0E78B" w14:textId="77777777" w:rsidR="000B0092" w:rsidRPr="00BE78CA" w:rsidRDefault="000B0092" w:rsidP="00C26084">
            <w:pPr>
              <w:pStyle w:val="TableText"/>
              <w:spacing w:before="50" w:after="50"/>
            </w:pPr>
            <w:r w:rsidRPr="00BE78CA">
              <w:t>Foam blowing agents</w:t>
            </w:r>
          </w:p>
        </w:tc>
        <w:tc>
          <w:tcPr>
            <w:tcW w:w="2410" w:type="dxa"/>
            <w:hideMark/>
          </w:tcPr>
          <w:p w14:paraId="537F8AF3" w14:textId="77777777" w:rsidR="000B0092" w:rsidRPr="00BE78CA" w:rsidRDefault="000B0092" w:rsidP="00C26084">
            <w:pPr>
              <w:pStyle w:val="TableText"/>
              <w:spacing w:before="50" w:after="50"/>
            </w:pPr>
            <w:r w:rsidRPr="00BE78CA">
              <w:t>±12</w:t>
            </w:r>
          </w:p>
        </w:tc>
        <w:tc>
          <w:tcPr>
            <w:tcW w:w="2693" w:type="dxa"/>
            <w:hideMark/>
          </w:tcPr>
          <w:p w14:paraId="5F0262BE" w14:textId="77777777" w:rsidR="000B0092" w:rsidRPr="00BE78CA" w:rsidRDefault="000B0092" w:rsidP="00C26084">
            <w:pPr>
              <w:pStyle w:val="TableText"/>
              <w:spacing w:before="50" w:after="50"/>
            </w:pPr>
            <w:r w:rsidRPr="00BE78CA">
              <w:t>±50</w:t>
            </w:r>
          </w:p>
        </w:tc>
      </w:tr>
      <w:tr w:rsidR="000B0092" w:rsidRPr="00BE78CA" w14:paraId="61FCC3FD" w14:textId="77777777" w:rsidTr="00326CAB">
        <w:tc>
          <w:tcPr>
            <w:tcW w:w="2603" w:type="dxa"/>
            <w:hideMark/>
          </w:tcPr>
          <w:p w14:paraId="181C435A" w14:textId="77777777" w:rsidR="000B0092" w:rsidRPr="00BE78CA" w:rsidRDefault="000B0092" w:rsidP="00C26084">
            <w:pPr>
              <w:pStyle w:val="TableText"/>
              <w:spacing w:before="50" w:after="50"/>
            </w:pPr>
            <w:r w:rsidRPr="00BE78CA">
              <w:t>Aerosols</w:t>
            </w:r>
          </w:p>
        </w:tc>
        <w:tc>
          <w:tcPr>
            <w:tcW w:w="2410" w:type="dxa"/>
            <w:hideMark/>
          </w:tcPr>
          <w:p w14:paraId="0F509111" w14:textId="77777777" w:rsidR="000B0092" w:rsidRPr="00BE78CA" w:rsidRDefault="000B0092" w:rsidP="00C26084">
            <w:pPr>
              <w:pStyle w:val="TableText"/>
              <w:spacing w:before="50" w:after="50"/>
            </w:pPr>
            <w:r w:rsidRPr="00BE78CA">
              <w:t>±25</w:t>
            </w:r>
          </w:p>
        </w:tc>
        <w:tc>
          <w:tcPr>
            <w:tcW w:w="2693" w:type="dxa"/>
            <w:hideMark/>
          </w:tcPr>
          <w:p w14:paraId="20D9E396" w14:textId="77777777" w:rsidR="000B0092" w:rsidRPr="00BE78CA" w:rsidRDefault="000B0092" w:rsidP="00C26084">
            <w:pPr>
              <w:pStyle w:val="TableText"/>
              <w:spacing w:before="50" w:after="50"/>
            </w:pPr>
            <w:r w:rsidRPr="00BE78CA">
              <w:t>±10</w:t>
            </w:r>
          </w:p>
        </w:tc>
      </w:tr>
      <w:tr w:rsidR="000B0092" w:rsidRPr="00BE78CA" w14:paraId="59130FEE" w14:textId="77777777" w:rsidTr="00326CAB">
        <w:tc>
          <w:tcPr>
            <w:tcW w:w="2603" w:type="dxa"/>
            <w:tcBorders>
              <w:top w:val="nil"/>
              <w:left w:val="nil"/>
              <w:bottom w:val="single" w:sz="4" w:space="0" w:color="365F91"/>
              <w:right w:val="nil"/>
            </w:tcBorders>
            <w:hideMark/>
          </w:tcPr>
          <w:p w14:paraId="38F79A3A" w14:textId="77777777" w:rsidR="000B0092" w:rsidRPr="00BE78CA" w:rsidRDefault="000B0092" w:rsidP="00C26084">
            <w:pPr>
              <w:pStyle w:val="TableText"/>
              <w:spacing w:before="50" w:after="50"/>
            </w:pPr>
            <w:r w:rsidRPr="00BE78CA">
              <w:t>Fire protection</w:t>
            </w:r>
          </w:p>
        </w:tc>
        <w:tc>
          <w:tcPr>
            <w:tcW w:w="2410" w:type="dxa"/>
            <w:tcBorders>
              <w:top w:val="nil"/>
              <w:left w:val="nil"/>
              <w:bottom w:val="single" w:sz="4" w:space="0" w:color="365F91"/>
              <w:right w:val="nil"/>
            </w:tcBorders>
            <w:hideMark/>
          </w:tcPr>
          <w:p w14:paraId="0DE46A55" w14:textId="77777777" w:rsidR="000B0092" w:rsidRPr="00BE78CA" w:rsidRDefault="000B0092" w:rsidP="00C26084">
            <w:pPr>
              <w:pStyle w:val="TableText"/>
              <w:spacing w:before="50" w:after="50"/>
            </w:pPr>
            <w:r w:rsidRPr="00BE78CA">
              <w:t>±10</w:t>
            </w:r>
          </w:p>
        </w:tc>
        <w:tc>
          <w:tcPr>
            <w:tcW w:w="2693" w:type="dxa"/>
            <w:tcBorders>
              <w:top w:val="nil"/>
              <w:left w:val="nil"/>
              <w:bottom w:val="single" w:sz="4" w:space="0" w:color="365F91"/>
              <w:right w:val="nil"/>
            </w:tcBorders>
            <w:hideMark/>
          </w:tcPr>
          <w:p w14:paraId="0ECFE864" w14:textId="77777777" w:rsidR="000B0092" w:rsidRPr="00BE78CA" w:rsidRDefault="000B0092" w:rsidP="00C26084">
            <w:pPr>
              <w:pStyle w:val="TableText"/>
              <w:spacing w:before="50" w:after="50"/>
            </w:pPr>
            <w:r w:rsidRPr="00BE78CA">
              <w:t>±41</w:t>
            </w:r>
          </w:p>
        </w:tc>
      </w:tr>
    </w:tbl>
    <w:p w14:paraId="4B5701DD" w14:textId="77777777" w:rsidR="000B0092" w:rsidRPr="00BE78CA" w:rsidRDefault="000B0092" w:rsidP="000B0092">
      <w:pPr>
        <w:pStyle w:val="Noteundertable"/>
        <w:spacing w:after="0"/>
      </w:pPr>
      <w:r w:rsidRPr="00BE78CA">
        <w:rPr>
          <w:b/>
        </w:rPr>
        <w:t>Note:</w:t>
      </w:r>
      <w:r w:rsidRPr="00BE78CA">
        <w:t xml:space="preserve"> NA = not applicable. </w:t>
      </w:r>
    </w:p>
    <w:p w14:paraId="63EF6468" w14:textId="77777777" w:rsidR="000B0092" w:rsidRPr="00BE78CA" w:rsidRDefault="000B0092" w:rsidP="000B0092">
      <w:pPr>
        <w:pStyle w:val="Heading4"/>
        <w:spacing w:before="320"/>
      </w:pPr>
      <w:r w:rsidRPr="00BE78CA">
        <w:t>Time-series consistency</w:t>
      </w:r>
    </w:p>
    <w:p w14:paraId="71EBE3E9" w14:textId="77777777" w:rsidR="000B0092" w:rsidRPr="00BE78CA" w:rsidRDefault="000B0092" w:rsidP="000B0092">
      <w:pPr>
        <w:pStyle w:val="BodyText"/>
        <w:spacing w:before="100" w:after="100"/>
      </w:pPr>
      <w:r w:rsidRPr="00BE78CA">
        <w:t xml:space="preserve">There is substantial variation over the time series due to the introduction and increasing use of HFCs as replacements for CFCs and HCFCs. The amounts imported also vary unpredictably from year to year. Significant stockpiling of refrigerant gases occurred in anticipation of NZ ETS obligations in 2013, and some stockpiling appears to have occurred in other years in response to low NZ ETS unit prices. This has meant that stockpiling needs to be taken into account in applying the mass balance approach to calculate emissions. Some year-to-year variation in the emissions from refrigeration and air conditioning may indicate that there are random changes in stocks from year to year that cannot be accurately assessed from available data. Also, due to the need to attribute bulk chemical across individual sub-applications, variances may show up in one sub-application as higher than expected year-to-year changes. </w:t>
      </w:r>
    </w:p>
    <w:p w14:paraId="019364B3" w14:textId="77777777" w:rsidR="000B0092" w:rsidRPr="00BE78CA" w:rsidRDefault="000B0092" w:rsidP="000B0092">
      <w:pPr>
        <w:pStyle w:val="Heading3"/>
        <w:spacing w:before="280"/>
      </w:pPr>
      <w:r w:rsidRPr="00BE78CA">
        <w:t>4.7.4</w:t>
      </w:r>
      <w:r w:rsidRPr="00BE78CA">
        <w:tab/>
        <w:t>Source-specific QA/QC and verification</w:t>
      </w:r>
    </w:p>
    <w:p w14:paraId="0E8ACEAB" w14:textId="77777777" w:rsidR="000B0092" w:rsidRPr="00BE78CA" w:rsidRDefault="000B0092" w:rsidP="000B0092">
      <w:pPr>
        <w:pStyle w:val="Heading4"/>
        <w:spacing w:before="160"/>
      </w:pPr>
      <w:r w:rsidRPr="00BE78CA">
        <w:t>Refrigeration and air conditioning (2.F.1)</w:t>
      </w:r>
    </w:p>
    <w:p w14:paraId="7E272CF7" w14:textId="77777777" w:rsidR="000B0092" w:rsidRPr="00BE78CA" w:rsidRDefault="000B0092" w:rsidP="000B0092">
      <w:pPr>
        <w:pStyle w:val="BodyText"/>
        <w:spacing w:before="100" w:after="100"/>
      </w:pPr>
      <w:r w:rsidRPr="00BE78CA">
        <w:t xml:space="preserve">Use of HFCs in </w:t>
      </w:r>
      <w:r w:rsidRPr="00BE78CA">
        <w:rPr>
          <w:i/>
        </w:rPr>
        <w:t>Refrigeration and air conditioning</w:t>
      </w:r>
      <w:r w:rsidRPr="00BE78CA">
        <w:t xml:space="preserve"> was a key category. In the preparation of this inventory, the data on HFCs underwent Tier 1 quality checks. During data collection and calculation, activity data provided by industry were verified against national totals where possible, and unreturned questionnaires and anomalous data were followed up and verified to ensure a complete and accurate record of activity data. </w:t>
      </w:r>
    </w:p>
    <w:p w14:paraId="3FF509F0" w14:textId="77777777" w:rsidR="000B0092" w:rsidRPr="00BE78CA" w:rsidRDefault="000B0092" w:rsidP="000B0092">
      <w:pPr>
        <w:pStyle w:val="BodyText"/>
        <w:spacing w:before="100" w:after="100"/>
      </w:pPr>
      <w:r w:rsidRPr="00BE78CA">
        <w:t xml:space="preserve">For the years up to 2001, the survey data supplied by importers on bulk HFC imports were verified by comparison with import data supplied by Stats NZ. The former Ministry of Economic Development compiled a detailed breakdown of bulk HFCs using these data and information from import licences for a range of mixtures, such as HFCs and HCFCs. This analysis has not been carried out since 2001, due to restricted access to commercially sensitive import data. Consequently, this independent check on the total imports reported by bulk chemical suppliers is no longer available. </w:t>
      </w:r>
    </w:p>
    <w:p w14:paraId="368B0458" w14:textId="77777777" w:rsidR="000B0092" w:rsidRPr="00BE78CA" w:rsidRDefault="000B0092" w:rsidP="000B0092">
      <w:pPr>
        <w:pStyle w:val="BodyText"/>
        <w:spacing w:before="100" w:after="100"/>
      </w:pPr>
      <w:r w:rsidRPr="00BE78CA">
        <w:t xml:space="preserve">Survey data provided by Fisher and Paykel Limited (the largest importer and manufacturer) were used to compare with total import data where possible. In addition, bulk importers now submit NZ ETS returns, which are used to verify survey information on import volumes where possible. </w:t>
      </w:r>
    </w:p>
    <w:p w14:paraId="0E327ABD" w14:textId="77777777" w:rsidR="000B0092" w:rsidRPr="00BE78CA" w:rsidRDefault="000B0092" w:rsidP="000B0092">
      <w:pPr>
        <w:pStyle w:val="BodyText"/>
        <w:spacing w:before="100" w:after="0"/>
      </w:pPr>
      <w:r w:rsidRPr="00BE78CA">
        <w:t xml:space="preserve">There are no other key categories. Data underwent Tier 1 quality checks. </w:t>
      </w:r>
    </w:p>
    <w:p w14:paraId="419B652C" w14:textId="77777777" w:rsidR="000B0092" w:rsidRPr="00BE78CA" w:rsidRDefault="000B0092" w:rsidP="000B0092">
      <w:pPr>
        <w:pStyle w:val="Heading3"/>
        <w:spacing w:before="280"/>
      </w:pPr>
      <w:r w:rsidRPr="00BE78CA">
        <w:t>4.7.5</w:t>
      </w:r>
      <w:r w:rsidRPr="00BE78CA">
        <w:tab/>
        <w:t>Source-specific recalculations</w:t>
      </w:r>
    </w:p>
    <w:p w14:paraId="018531E3" w14:textId="77777777" w:rsidR="000B0092" w:rsidRPr="00BE78CA" w:rsidRDefault="000B0092" w:rsidP="000B0092">
      <w:pPr>
        <w:pStyle w:val="BodyText"/>
        <w:spacing w:before="100" w:after="100"/>
      </w:pPr>
      <w:r w:rsidRPr="00BE78CA">
        <w:t xml:space="preserve">In the 2020 inventory submission, stock levels of R125a, R134a and R1434a, held between 2013 and 2017, were reassessed on the basis of survey responses. This removed some implausible discontinuities in use and emissions. </w:t>
      </w:r>
    </w:p>
    <w:p w14:paraId="6DD79054" w14:textId="77777777" w:rsidR="000B0092" w:rsidRPr="00BE78CA" w:rsidRDefault="000B0092" w:rsidP="000B0092">
      <w:pPr>
        <w:pStyle w:val="BodyText"/>
        <w:spacing w:before="100" w:after="100"/>
      </w:pPr>
      <w:r w:rsidRPr="00BE78CA">
        <w:lastRenderedPageBreak/>
        <w:t xml:space="preserve">For this submission, the method used for ‘emissions in use’ in the </w:t>
      </w:r>
      <w:r w:rsidRPr="00BE78CA">
        <w:rPr>
          <w:i/>
        </w:rPr>
        <w:t>Mobile air conditioning</w:t>
      </w:r>
      <w:r w:rsidRPr="00BE78CA">
        <w:t xml:space="preserve"> sub</w:t>
      </w:r>
      <w:r w:rsidRPr="00BE78CA">
        <w:noBreakHyphen/>
        <w:t xml:space="preserve">application has been improved. This reflects changes in the composition of the vehicle fleet, as newer vehicles have different characteristics and are more likely to be serviced. </w:t>
      </w:r>
    </w:p>
    <w:p w14:paraId="01C8CF92" w14:textId="77777777" w:rsidR="000B0092" w:rsidRPr="00BE78CA" w:rsidRDefault="000B0092" w:rsidP="000B0092">
      <w:pPr>
        <w:pStyle w:val="BodyText"/>
        <w:spacing w:before="100" w:after="100"/>
      </w:pPr>
      <w:r w:rsidRPr="00BE78CA">
        <w:t xml:space="preserve">However, it is still the case that many vehicle air conditioners in New Zealand are not regularly serviced or kept filled. The model has also been changed to clearly distinguish emissions due to refrigerant that is replaced in servicing from emissions due to refrigerant that leaks but is simply not replaced. </w:t>
      </w:r>
    </w:p>
    <w:p w14:paraId="0FCFC605" w14:textId="77777777" w:rsidR="000B0092" w:rsidRPr="00BE78CA" w:rsidRDefault="000B0092" w:rsidP="000B0092">
      <w:pPr>
        <w:pStyle w:val="BodyText"/>
        <w:spacing w:before="100" w:after="100"/>
      </w:pPr>
      <w:r w:rsidRPr="00BE78CA">
        <w:t xml:space="preserve">A small amount of HFCs used for foam blowing and imported in 2016 was double counted in survey responses at that time. The resulting error has been corrected for this submission. </w:t>
      </w:r>
    </w:p>
    <w:p w14:paraId="30EC6737" w14:textId="77777777" w:rsidR="000B0092" w:rsidRPr="00BE78CA" w:rsidRDefault="000B0092" w:rsidP="000B0092">
      <w:pPr>
        <w:pStyle w:val="BodyText"/>
        <w:spacing w:before="100" w:after="100"/>
      </w:pPr>
      <w:r w:rsidRPr="00BE78CA">
        <w:t xml:space="preserve">Based on indications from the 2020 survey, the proportion of non-MDI aerosols containing HFCs is now assessed to have declined from 2017. This has required recalculation of the 2017 and 2018 emissions from aerosols. </w:t>
      </w:r>
    </w:p>
    <w:p w14:paraId="784078B3" w14:textId="77777777" w:rsidR="000B0092" w:rsidRPr="00BE78CA" w:rsidRDefault="000B0092" w:rsidP="000B0092">
      <w:pPr>
        <w:pStyle w:val="BodyText"/>
        <w:spacing w:before="100" w:after="100"/>
      </w:pPr>
      <w:r w:rsidRPr="00BE78CA">
        <w:t>The impact of these recalculations is to increase the 2018 emissions by 6.1 kt CO</w:t>
      </w:r>
      <w:r w:rsidRPr="00BE78CA">
        <w:rPr>
          <w:vertAlign w:val="subscript"/>
        </w:rPr>
        <w:t>2</w:t>
      </w:r>
      <w:r w:rsidRPr="00BE78CA">
        <w:t xml:space="preserve">-e. </w:t>
      </w:r>
    </w:p>
    <w:p w14:paraId="5C63756B" w14:textId="77777777" w:rsidR="000B0092" w:rsidRPr="00BE78CA" w:rsidRDefault="000B0092" w:rsidP="000B0092">
      <w:pPr>
        <w:pStyle w:val="Heading3"/>
        <w:spacing w:before="280"/>
      </w:pPr>
      <w:r w:rsidRPr="00BE78CA">
        <w:t>4.7.6</w:t>
      </w:r>
      <w:r w:rsidRPr="00BE78CA">
        <w:tab/>
        <w:t>Source-specific planned improvements</w:t>
      </w:r>
    </w:p>
    <w:p w14:paraId="6E9C7697" w14:textId="77777777" w:rsidR="000B0092" w:rsidRPr="00BE78CA" w:rsidRDefault="000B0092" w:rsidP="000B0092">
      <w:pPr>
        <w:pStyle w:val="BodyText"/>
      </w:pPr>
      <w:r w:rsidRPr="00BE78CA">
        <w:t>No specific improvements are planned for this category. There are still some unexplained year</w:t>
      </w:r>
      <w:r w:rsidRPr="00BE78CA">
        <w:noBreakHyphen/>
        <w:t xml:space="preserve">to-year variations in emissions from the </w:t>
      </w:r>
      <w:r w:rsidRPr="00BE78CA">
        <w:rPr>
          <w:i/>
        </w:rPr>
        <w:t xml:space="preserve">Refrigeration and air conditioning </w:t>
      </w:r>
      <w:r w:rsidRPr="00BE78CA">
        <w:t xml:space="preserve">category, which is an indication that further improvements can be made by better accounting for stockpiling of bulk chemical. Future submissions will continue to address this issue. </w:t>
      </w:r>
    </w:p>
    <w:p w14:paraId="037E6E34" w14:textId="77777777" w:rsidR="000B0092" w:rsidRPr="00BE78CA" w:rsidRDefault="000B0092" w:rsidP="000B0092">
      <w:pPr>
        <w:pStyle w:val="Heading2"/>
      </w:pPr>
      <w:bookmarkStart w:id="485" w:name="_Toc448321519"/>
      <w:bookmarkStart w:id="486" w:name="_Toc5269358"/>
      <w:bookmarkStart w:id="487" w:name="_Toc36224398"/>
      <w:bookmarkStart w:id="488" w:name="_Toc68786318"/>
      <w:r w:rsidRPr="00BE78CA">
        <w:t>4.8</w:t>
      </w:r>
      <w:r w:rsidRPr="00BE78CA">
        <w:tab/>
        <w:t>Other product manufacture and use (2.G)</w:t>
      </w:r>
      <w:bookmarkEnd w:id="485"/>
      <w:bookmarkEnd w:id="486"/>
      <w:bookmarkEnd w:id="487"/>
      <w:bookmarkEnd w:id="488"/>
    </w:p>
    <w:p w14:paraId="2456715F" w14:textId="77777777" w:rsidR="000B0092" w:rsidRPr="00BE78CA" w:rsidRDefault="000B0092" w:rsidP="000B0092">
      <w:pPr>
        <w:pStyle w:val="Heading3"/>
        <w:spacing w:before="160"/>
      </w:pPr>
      <w:r w:rsidRPr="00BE78CA">
        <w:t>4.8.1</w:t>
      </w:r>
      <w:r w:rsidRPr="00BE78CA">
        <w:tab/>
        <w:t>Description</w:t>
      </w:r>
    </w:p>
    <w:p w14:paraId="234810FF" w14:textId="77777777" w:rsidR="000B0092" w:rsidRPr="00BE78CA" w:rsidRDefault="000B0092" w:rsidP="000B0092">
      <w:pPr>
        <w:pStyle w:val="BodyText"/>
      </w:pPr>
      <w:r w:rsidRPr="00BE78CA">
        <w:t xml:space="preserve">The </w:t>
      </w:r>
      <w:r w:rsidRPr="00BE78CA">
        <w:rPr>
          <w:i/>
        </w:rPr>
        <w:t>Other product manufacture and use</w:t>
      </w:r>
      <w:r w:rsidRPr="00BE78CA">
        <w:t xml:space="preserve"> category in New Zealand comprises emissions from: </w:t>
      </w:r>
    </w:p>
    <w:p w14:paraId="1EC0C50E" w14:textId="77777777" w:rsidR="000B0092" w:rsidRPr="00BE78CA" w:rsidRDefault="000B0092" w:rsidP="000B0092">
      <w:pPr>
        <w:pStyle w:val="Bullet"/>
      </w:pPr>
      <w:r w:rsidRPr="00BE78CA">
        <w:t>use of SF</w:t>
      </w:r>
      <w:r w:rsidRPr="00BE78CA">
        <w:rPr>
          <w:vertAlign w:val="subscript"/>
        </w:rPr>
        <w:t>6</w:t>
      </w:r>
      <w:r w:rsidRPr="00BE78CA">
        <w:t xml:space="preserve"> as an insulant and arc-extinguishing agent in electrical switchgear </w:t>
      </w:r>
    </w:p>
    <w:p w14:paraId="64546953" w14:textId="77777777" w:rsidR="000B0092" w:rsidRPr="00BE78CA" w:rsidRDefault="000B0092" w:rsidP="000B0092">
      <w:pPr>
        <w:pStyle w:val="Bullet"/>
      </w:pPr>
      <w:r w:rsidRPr="00BE78CA">
        <w:t>use of SF</w:t>
      </w:r>
      <w:r w:rsidRPr="00BE78CA">
        <w:rPr>
          <w:vertAlign w:val="subscript"/>
        </w:rPr>
        <w:t>6</w:t>
      </w:r>
      <w:r w:rsidRPr="00BE78CA">
        <w:t xml:space="preserve"> in eye surgery </w:t>
      </w:r>
    </w:p>
    <w:p w14:paraId="15597AAF" w14:textId="77777777" w:rsidR="000B0092" w:rsidRPr="00BE78CA" w:rsidRDefault="000B0092" w:rsidP="000B0092">
      <w:pPr>
        <w:pStyle w:val="Bullet"/>
      </w:pPr>
      <w:r w:rsidRPr="00BE78CA">
        <w:t>use of PFCs (C</w:t>
      </w:r>
      <w:r w:rsidRPr="00BE78CA">
        <w:rPr>
          <w:vertAlign w:val="subscript"/>
        </w:rPr>
        <w:t>2</w:t>
      </w:r>
      <w:r w:rsidRPr="00BE78CA">
        <w:t>F</w:t>
      </w:r>
      <w:r w:rsidRPr="00BE78CA">
        <w:rPr>
          <w:vertAlign w:val="subscript"/>
        </w:rPr>
        <w:t>6</w:t>
      </w:r>
      <w:r w:rsidRPr="00BE78CA">
        <w:t xml:space="preserve"> and perfluoropropane (C</w:t>
      </w:r>
      <w:r w:rsidRPr="00BE78CA">
        <w:rPr>
          <w:vertAlign w:val="subscript"/>
        </w:rPr>
        <w:t>3</w:t>
      </w:r>
      <w:r w:rsidRPr="00BE78CA">
        <w:t>F</w:t>
      </w:r>
      <w:r w:rsidRPr="00BE78CA">
        <w:rPr>
          <w:vertAlign w:val="subscript"/>
        </w:rPr>
        <w:t>8</w:t>
      </w:r>
      <w:r w:rsidRPr="00BE78CA">
        <w:t xml:space="preserve">)) in eye surgery </w:t>
      </w:r>
    </w:p>
    <w:p w14:paraId="24C443C6" w14:textId="77777777" w:rsidR="000B0092" w:rsidRPr="00BE78CA" w:rsidRDefault="000B0092" w:rsidP="000B0092">
      <w:pPr>
        <w:pStyle w:val="Bullet"/>
      </w:pPr>
      <w:r w:rsidRPr="00BE78CA">
        <w:t>use of SF</w:t>
      </w:r>
      <w:r w:rsidRPr="00BE78CA">
        <w:rPr>
          <w:vertAlign w:val="subscript"/>
        </w:rPr>
        <w:t>6</w:t>
      </w:r>
      <w:r w:rsidRPr="00BE78CA">
        <w:t xml:space="preserve"> as a tracer gas in scientific experiments </w:t>
      </w:r>
    </w:p>
    <w:p w14:paraId="1868BF40" w14:textId="77777777" w:rsidR="000B0092" w:rsidRPr="00BE78CA" w:rsidRDefault="000B0092" w:rsidP="000B0092">
      <w:pPr>
        <w:pStyle w:val="Bullet"/>
      </w:pPr>
      <w:r w:rsidRPr="00BE78CA">
        <w:t>possible other uses of SF</w:t>
      </w:r>
      <w:r w:rsidRPr="00BE78CA">
        <w:rPr>
          <w:vertAlign w:val="subscript"/>
        </w:rPr>
        <w:t>6</w:t>
      </w:r>
      <w:r w:rsidRPr="00BE78CA">
        <w:t>, such as in vehicle tyres and industrial equipment</w:t>
      </w:r>
    </w:p>
    <w:p w14:paraId="057DB632" w14:textId="77777777" w:rsidR="000B0092" w:rsidRPr="00BE78CA" w:rsidRDefault="000B0092" w:rsidP="000B0092">
      <w:pPr>
        <w:pStyle w:val="Bullet"/>
      </w:pPr>
      <w:r w:rsidRPr="00BE78CA">
        <w:t>medical uses of N</w:t>
      </w:r>
      <w:r w:rsidRPr="00BE78CA">
        <w:rPr>
          <w:vertAlign w:val="subscript"/>
        </w:rPr>
        <w:t>2</w:t>
      </w:r>
      <w:r w:rsidRPr="00BE78CA">
        <w:t xml:space="preserve">O. </w:t>
      </w:r>
    </w:p>
    <w:p w14:paraId="42C35BA1" w14:textId="77777777" w:rsidR="000B0092" w:rsidRPr="00BE78CA" w:rsidRDefault="000B0092" w:rsidP="000B0092">
      <w:pPr>
        <w:pStyle w:val="BodyText"/>
      </w:pPr>
      <w:r w:rsidRPr="00BE78CA">
        <w:t>There are no emissions of nitrogen trifluoride (NF</w:t>
      </w:r>
      <w:r w:rsidRPr="00BE78CA">
        <w:rPr>
          <w:vertAlign w:val="subscript"/>
        </w:rPr>
        <w:t>3</w:t>
      </w:r>
      <w:r w:rsidRPr="00BE78CA">
        <w:t>) in New Zealand. Small amounts of indirect emissions (NMVOC and SO</w:t>
      </w:r>
      <w:r w:rsidRPr="00BE78CA">
        <w:rPr>
          <w:vertAlign w:val="subscript"/>
        </w:rPr>
        <w:t>2</w:t>
      </w:r>
      <w:r w:rsidRPr="00BE78CA">
        <w:t xml:space="preserve">) are reported from the manufacture of food and drink, pulp and paper, and board products (fibreboard and particleboard). </w:t>
      </w:r>
    </w:p>
    <w:p w14:paraId="5B9F038E" w14:textId="77777777" w:rsidR="000B0092" w:rsidRPr="00BE78CA" w:rsidRDefault="000B0092" w:rsidP="000B0092">
      <w:pPr>
        <w:pStyle w:val="BodyText"/>
      </w:pPr>
      <w:r w:rsidRPr="00BE78CA">
        <w:t xml:space="preserve">There are no key categories. </w:t>
      </w:r>
    </w:p>
    <w:p w14:paraId="7E585724" w14:textId="77777777" w:rsidR="000B0092" w:rsidRPr="00BE78CA" w:rsidRDefault="000B0092" w:rsidP="000B0092">
      <w:pPr>
        <w:pStyle w:val="BodyText"/>
        <w:spacing w:before="100" w:after="100"/>
      </w:pPr>
      <w:r w:rsidRPr="00BE78CA">
        <w:t>In 2019, net emissions of SF</w:t>
      </w:r>
      <w:r w:rsidRPr="00BE78CA">
        <w:rPr>
          <w:vertAlign w:val="subscript"/>
        </w:rPr>
        <w:t>6</w:t>
      </w:r>
      <w:r w:rsidRPr="00BE78CA">
        <w:t xml:space="preserve"> and N</w:t>
      </w:r>
      <w:r w:rsidRPr="00BE78CA">
        <w:rPr>
          <w:vertAlign w:val="subscript"/>
        </w:rPr>
        <w:t>2</w:t>
      </w:r>
      <w:r w:rsidRPr="00BE78CA">
        <w:t xml:space="preserve">O from the </w:t>
      </w:r>
      <w:r w:rsidRPr="00BE78CA">
        <w:rPr>
          <w:i/>
        </w:rPr>
        <w:t>Other product manufacture and use</w:t>
      </w:r>
      <w:r w:rsidRPr="00BE78CA">
        <w:t xml:space="preserve"> category totalled 100.2 kt CO</w:t>
      </w:r>
      <w:r w:rsidRPr="00BE78CA">
        <w:rPr>
          <w:vertAlign w:val="subscript"/>
        </w:rPr>
        <w:t>2</w:t>
      </w:r>
      <w:r w:rsidRPr="00BE78CA">
        <w:t>-e or 2.0 per cent of emissions from the IPPU sector. This is a decrease of 19.5 kt (16.3 per cent) from the emissions in 1990, driven by a reduction in the importation and use of N</w:t>
      </w:r>
      <w:r w:rsidRPr="00BE78CA">
        <w:rPr>
          <w:vertAlign w:val="subscript"/>
        </w:rPr>
        <w:t>2</w:t>
      </w:r>
      <w:r w:rsidRPr="00BE78CA">
        <w:t xml:space="preserve">O over time. </w:t>
      </w:r>
    </w:p>
    <w:p w14:paraId="1E140A40" w14:textId="77777777" w:rsidR="000B0092" w:rsidRPr="00BE78CA" w:rsidRDefault="000B0092" w:rsidP="000B0092">
      <w:pPr>
        <w:pStyle w:val="Heading3"/>
        <w:spacing w:before="320"/>
      </w:pPr>
      <w:r w:rsidRPr="00BE78CA">
        <w:lastRenderedPageBreak/>
        <w:t xml:space="preserve">4.8.2 </w:t>
      </w:r>
      <w:r w:rsidRPr="00BE78CA">
        <w:tab/>
        <w:t>Methodological issues</w:t>
      </w:r>
    </w:p>
    <w:p w14:paraId="01D9EAA2" w14:textId="77777777" w:rsidR="000B0092" w:rsidRPr="00BE78CA" w:rsidRDefault="000B0092" w:rsidP="000B0092">
      <w:pPr>
        <w:pStyle w:val="Heading4"/>
        <w:spacing w:before="160"/>
      </w:pPr>
      <w:r w:rsidRPr="00BE78CA">
        <w:t>Choice of activity data</w:t>
      </w:r>
    </w:p>
    <w:p w14:paraId="200AF0DE" w14:textId="77777777" w:rsidR="000B0092" w:rsidRPr="00BE78CA" w:rsidRDefault="000B0092" w:rsidP="000B0092">
      <w:pPr>
        <w:pStyle w:val="BodyText"/>
        <w:spacing w:before="100" w:after="100"/>
      </w:pPr>
      <w:r w:rsidRPr="00BE78CA">
        <w:t>Companies importing or using SF</w:t>
      </w:r>
      <w:r w:rsidRPr="00BE78CA">
        <w:rPr>
          <w:vertAlign w:val="subscript"/>
        </w:rPr>
        <w:t>6</w:t>
      </w:r>
      <w:r w:rsidRPr="00BE78CA">
        <w:t xml:space="preserve"> and N</w:t>
      </w:r>
      <w:r w:rsidRPr="00BE78CA">
        <w:rPr>
          <w:vertAlign w:val="subscript"/>
        </w:rPr>
        <w:t>2</w:t>
      </w:r>
      <w:r w:rsidRPr="00BE78CA">
        <w:t>O provided data on their imports and holdings in response to an annual survey. In addition, companies that use SF</w:t>
      </w:r>
      <w:r w:rsidRPr="00BE78CA">
        <w:rPr>
          <w:vertAlign w:val="subscript"/>
        </w:rPr>
        <w:t>6</w:t>
      </w:r>
      <w:r w:rsidRPr="00BE78CA">
        <w:t xml:space="preserve"> in electrical equipment, and have more than 1 tonne of the gas in operating equipment, report their holdings and emissions in NZ ETS returns. </w:t>
      </w:r>
    </w:p>
    <w:p w14:paraId="5EC727FA" w14:textId="77777777" w:rsidR="000B0092" w:rsidRPr="00BE78CA" w:rsidRDefault="000B0092" w:rsidP="000B0092">
      <w:pPr>
        <w:pStyle w:val="Heading5"/>
      </w:pPr>
      <w:r w:rsidRPr="00BE78CA">
        <w:t>Electrical equipment (2.G.1)</w:t>
      </w:r>
    </w:p>
    <w:p w14:paraId="19557C90" w14:textId="77777777" w:rsidR="000B0092" w:rsidRPr="00BE78CA" w:rsidRDefault="000B0092" w:rsidP="000B0092">
      <w:pPr>
        <w:pStyle w:val="BodyText"/>
        <w:spacing w:after="100"/>
      </w:pPr>
      <w:r w:rsidRPr="00BE78CA">
        <w:t>Data on bulk imports of SF</w:t>
      </w:r>
      <w:r w:rsidRPr="00BE78CA">
        <w:rPr>
          <w:vertAlign w:val="subscript"/>
        </w:rPr>
        <w:t>6</w:t>
      </w:r>
      <w:r w:rsidRPr="00BE78CA">
        <w:t xml:space="preserve"> and the charge in installed equipment were supplied by New Zealand’s only manufacturer of relevant electrical equipment (ABB Limited) and by the electricity transmission and generation companies. The transmission and generation companies import SF</w:t>
      </w:r>
      <w:r w:rsidRPr="00BE78CA">
        <w:rPr>
          <w:vertAlign w:val="subscript"/>
        </w:rPr>
        <w:t>6</w:t>
      </w:r>
      <w:r w:rsidRPr="00BE78CA">
        <w:t xml:space="preserve"> for their own use. </w:t>
      </w:r>
    </w:p>
    <w:p w14:paraId="7F985283" w14:textId="77777777" w:rsidR="000B0092" w:rsidRPr="00BE78CA" w:rsidRDefault="000B0092" w:rsidP="000B0092">
      <w:pPr>
        <w:pStyle w:val="Heading5"/>
      </w:pPr>
      <w:r w:rsidRPr="00BE78CA">
        <w:t>Sulphur hexafluoride and PFCs from other product use (2.G.2)</w:t>
      </w:r>
    </w:p>
    <w:p w14:paraId="11A26042" w14:textId="77777777" w:rsidR="000B0092" w:rsidRPr="00BE78CA" w:rsidRDefault="000B0092" w:rsidP="000B0092">
      <w:pPr>
        <w:pStyle w:val="BodyText"/>
        <w:spacing w:before="100" w:after="100"/>
      </w:pPr>
      <w:r w:rsidRPr="00BE78CA">
        <w:t>One company (BOC Limited) imported SF</w:t>
      </w:r>
      <w:r w:rsidRPr="00BE78CA">
        <w:rPr>
          <w:vertAlign w:val="subscript"/>
        </w:rPr>
        <w:t>6</w:t>
      </w:r>
      <w:r w:rsidRPr="00BE78CA">
        <w:t xml:space="preserve"> into New Zealand (for uses other than electrical switchgear) until 2012. There is no other known importer, and some users appear to have been using previously imported supplies since that time. The current usage rate is assessed (from earlier importation rates) to be approximately 120 kilograms per year. This is made up of 30 kilograms for medical use, 50 kilograms for scientific use and 40 kilograms for other uses. </w:t>
      </w:r>
    </w:p>
    <w:p w14:paraId="1D537069" w14:textId="77777777" w:rsidR="000B0092" w:rsidRPr="00BE78CA" w:rsidRDefault="000B0092" w:rsidP="000B0092">
      <w:pPr>
        <w:pStyle w:val="BodyText"/>
        <w:spacing w:before="100" w:after="100"/>
      </w:pPr>
      <w:r w:rsidRPr="00BE78CA">
        <w:t>Extremely small amounts of C</w:t>
      </w:r>
      <w:r w:rsidRPr="00BE78CA">
        <w:rPr>
          <w:vertAlign w:val="subscript"/>
        </w:rPr>
        <w:t>2</w:t>
      </w:r>
      <w:r w:rsidRPr="00BE78CA">
        <w:t>F</w:t>
      </w:r>
      <w:r w:rsidRPr="00BE78CA">
        <w:rPr>
          <w:vertAlign w:val="subscript"/>
        </w:rPr>
        <w:t>6</w:t>
      </w:r>
      <w:r w:rsidRPr="00BE78CA">
        <w:t xml:space="preserve"> and C</w:t>
      </w:r>
      <w:r w:rsidRPr="00BE78CA">
        <w:rPr>
          <w:vertAlign w:val="subscript"/>
        </w:rPr>
        <w:t>3</w:t>
      </w:r>
      <w:r w:rsidRPr="00BE78CA">
        <w:t>F</w:t>
      </w:r>
      <w:r w:rsidRPr="00BE78CA">
        <w:rPr>
          <w:vertAlign w:val="subscript"/>
        </w:rPr>
        <w:t>8</w:t>
      </w:r>
      <w:r w:rsidRPr="00BE78CA">
        <w:t xml:space="preserve"> are imported into New Zealand for use in a specialised type of eye surgery. The importer provided information on the amount imported: between 0.1 kilograms and 0.3 kilograms per year. </w:t>
      </w:r>
    </w:p>
    <w:p w14:paraId="250C3AF9" w14:textId="77777777" w:rsidR="000B0092" w:rsidRPr="00BE78CA" w:rsidRDefault="000B0092" w:rsidP="000B0092">
      <w:pPr>
        <w:pStyle w:val="BodyText"/>
        <w:spacing w:before="100" w:after="100"/>
      </w:pPr>
      <w:r w:rsidRPr="00BE78CA">
        <w:t>Enquiries to importers and the tyre industry indicate that there is no use of SF</w:t>
      </w:r>
      <w:r w:rsidRPr="00BE78CA">
        <w:rPr>
          <w:vertAlign w:val="subscript"/>
        </w:rPr>
        <w:t>6</w:t>
      </w:r>
      <w:r w:rsidRPr="00BE78CA">
        <w:t xml:space="preserve"> in New Zealand for other applications such as tyres and shoes. </w:t>
      </w:r>
    </w:p>
    <w:p w14:paraId="613F193A" w14:textId="77777777" w:rsidR="000B0092" w:rsidRPr="00BE78CA" w:rsidRDefault="000B0092" w:rsidP="000B0092">
      <w:pPr>
        <w:pStyle w:val="Heading5"/>
      </w:pPr>
      <w:r w:rsidRPr="00BE78CA">
        <w:t>Nitrous oxide from product uses (2.G.3)</w:t>
      </w:r>
    </w:p>
    <w:p w14:paraId="4CB7BDCE" w14:textId="77777777" w:rsidR="000B0092" w:rsidRPr="00BE78CA" w:rsidRDefault="000B0092" w:rsidP="000B0092">
      <w:pPr>
        <w:pStyle w:val="BodyText"/>
        <w:spacing w:before="100" w:after="100"/>
      </w:pPr>
      <w:r w:rsidRPr="00BE78CA">
        <w:t>Data on the import quantities of N</w:t>
      </w:r>
      <w:r w:rsidRPr="00BE78CA">
        <w:rPr>
          <w:vertAlign w:val="subscript"/>
        </w:rPr>
        <w:t>2</w:t>
      </w:r>
      <w:r w:rsidRPr="00BE78CA">
        <w:t>O were available from the New Zealand Customs Service and Stats NZ from 2005, but some of these are considered unreliable due to classification errors by importers. Survey responses from companies that sell N</w:t>
      </w:r>
      <w:r w:rsidRPr="00BE78CA">
        <w:rPr>
          <w:vertAlign w:val="subscript"/>
        </w:rPr>
        <w:t>2</w:t>
      </w:r>
      <w:r w:rsidRPr="00BE78CA">
        <w:t xml:space="preserve">O and import data have been assessed together to estimate the total imports, which vary between 181 tonnes and 205 tonnes per year (Verum Group, </w:t>
      </w:r>
      <w:r w:rsidRPr="00BE78CA">
        <w:rPr>
          <w:rFonts w:eastAsia="+mn-ea"/>
        </w:rPr>
        <w:t>unpublished</w:t>
      </w:r>
      <w:r w:rsidRPr="00BE78CA">
        <w:t xml:space="preserve">). </w:t>
      </w:r>
    </w:p>
    <w:p w14:paraId="3FF96BB7" w14:textId="77777777" w:rsidR="000B0092" w:rsidRPr="00BE78CA" w:rsidRDefault="000B0092" w:rsidP="000B0092">
      <w:pPr>
        <w:pStyle w:val="Heading4"/>
        <w:rPr>
          <w:bCs/>
          <w:iCs/>
        </w:rPr>
      </w:pPr>
      <w:r w:rsidRPr="00BE78CA">
        <w:t>Choice of methods</w:t>
      </w:r>
    </w:p>
    <w:p w14:paraId="5EA62A30" w14:textId="77777777" w:rsidR="000B0092" w:rsidRPr="00BE78CA" w:rsidRDefault="000B0092" w:rsidP="000B0092">
      <w:pPr>
        <w:pStyle w:val="Heading5"/>
        <w:spacing w:before="120"/>
      </w:pPr>
      <w:r w:rsidRPr="00BE78CA">
        <w:t>Electrical equipment (2.G.1)</w:t>
      </w:r>
    </w:p>
    <w:p w14:paraId="27AD640E" w14:textId="77777777" w:rsidR="000B0092" w:rsidRPr="00BE78CA" w:rsidRDefault="000B0092" w:rsidP="000B0092">
      <w:pPr>
        <w:pStyle w:val="BodyText"/>
      </w:pPr>
      <w:r w:rsidRPr="00BE78CA">
        <w:t xml:space="preserve">The national grid company, Transpower, and several of the larger electricity generation companies have supplied stocks and usage data that are detailed enough to allow the use of a Tier 3 approach for the years 2003 to 2019. This uses a mass balance calculation for closed pressure equipment and an emission factor calculation for sealed pressure equipment. </w:t>
      </w:r>
    </w:p>
    <w:p w14:paraId="41E44726" w14:textId="77777777" w:rsidR="000B0092" w:rsidRPr="00BE78CA" w:rsidRDefault="000B0092" w:rsidP="000B0092">
      <w:pPr>
        <w:pStyle w:val="BodyText"/>
      </w:pPr>
      <w:r w:rsidRPr="00BE78CA">
        <w:t xml:space="preserve">For all data prior to 2003, and for the other distribution companies that do not have ETS reporting obligations and have not provided detailed data, a Tier 1 approach is used. </w:t>
      </w:r>
    </w:p>
    <w:p w14:paraId="6D8A6361" w14:textId="77777777" w:rsidR="000B0092" w:rsidRPr="00BE78CA" w:rsidRDefault="000B0092" w:rsidP="000B0092">
      <w:pPr>
        <w:pStyle w:val="BodyText"/>
        <w:spacing w:before="100" w:after="100"/>
      </w:pPr>
      <w:r w:rsidRPr="00BE78CA">
        <w:t xml:space="preserve">Both approaches account for emissions from the operation and disposal of equipment. </w:t>
      </w:r>
    </w:p>
    <w:p w14:paraId="711373A0" w14:textId="77777777" w:rsidR="000B0092" w:rsidRPr="00BE78CA" w:rsidRDefault="000B0092" w:rsidP="000B0092">
      <w:pPr>
        <w:pStyle w:val="Heading5"/>
      </w:pPr>
      <w:r w:rsidRPr="00BE78CA">
        <w:lastRenderedPageBreak/>
        <w:t xml:space="preserve">Other </w:t>
      </w:r>
    </w:p>
    <w:p w14:paraId="1247B6D7" w14:textId="77777777" w:rsidR="000B0092" w:rsidRPr="00BE78CA" w:rsidRDefault="000B0092" w:rsidP="000B0092">
      <w:pPr>
        <w:pStyle w:val="BodyText"/>
      </w:pPr>
      <w:r w:rsidRPr="00BE78CA">
        <w:t>Because the quantities are small and the emissions are all considered to be prompt, Tier 1 methods are used for all other emissions in this category. All SF</w:t>
      </w:r>
      <w:r w:rsidRPr="00BE78CA">
        <w:rPr>
          <w:vertAlign w:val="subscript"/>
        </w:rPr>
        <w:t>6</w:t>
      </w:r>
      <w:r w:rsidRPr="00BE78CA">
        <w:t xml:space="preserve"> or N</w:t>
      </w:r>
      <w:r w:rsidRPr="00BE78CA">
        <w:rPr>
          <w:vertAlign w:val="subscript"/>
        </w:rPr>
        <w:t>2</w:t>
      </w:r>
      <w:r w:rsidRPr="00BE78CA">
        <w:t xml:space="preserve">O that is imported is assumed to be sold and emitted. </w:t>
      </w:r>
    </w:p>
    <w:p w14:paraId="643E175E" w14:textId="77777777" w:rsidR="000B0092" w:rsidRPr="00BE78CA" w:rsidRDefault="000B0092" w:rsidP="000B0092">
      <w:pPr>
        <w:pStyle w:val="Heading4"/>
        <w:rPr>
          <w:bCs/>
          <w:iCs/>
        </w:rPr>
      </w:pPr>
      <w:r w:rsidRPr="00BE78CA">
        <w:t>Choice of emission factors</w:t>
      </w:r>
    </w:p>
    <w:p w14:paraId="3D135301" w14:textId="77777777" w:rsidR="000B0092" w:rsidRPr="00BE78CA" w:rsidRDefault="000B0092" w:rsidP="000B0092">
      <w:pPr>
        <w:pStyle w:val="Heading5"/>
        <w:spacing w:before="120"/>
      </w:pPr>
      <w:r w:rsidRPr="00BE78CA">
        <w:t>Electrical equipment (2.G.1)</w:t>
      </w:r>
    </w:p>
    <w:p w14:paraId="29642FBF" w14:textId="77777777" w:rsidR="000B0092" w:rsidRPr="00BE78CA" w:rsidRDefault="000B0092" w:rsidP="000B0092">
      <w:pPr>
        <w:pStyle w:val="BodyText"/>
      </w:pPr>
      <w:r w:rsidRPr="00BE78CA">
        <w:t xml:space="preserve">Default loss rates have been used, where required, for sealed pressure equipment and where a Tier 1 method has had to be used. Factors based on Europe have been used, because these are based on a study that distinguished between sealed and closed equipment types (IPCC, 2006a). </w:t>
      </w:r>
    </w:p>
    <w:p w14:paraId="038878D3" w14:textId="77777777" w:rsidR="000B0092" w:rsidRPr="00BE78CA" w:rsidRDefault="000B0092" w:rsidP="000B0092">
      <w:pPr>
        <w:pStyle w:val="BodyText"/>
      </w:pPr>
      <w:r w:rsidRPr="00BE78CA">
        <w:t>Losses on disposal are assessed as 95 per cent if a service agent is not used, and 5 per cent when service agents carry out the disposal and implement good recovery practices. No recovery of SF</w:t>
      </w:r>
      <w:r w:rsidRPr="00BE78CA">
        <w:rPr>
          <w:vertAlign w:val="subscript"/>
        </w:rPr>
        <w:t>6</w:t>
      </w:r>
      <w:r w:rsidRPr="00BE78CA">
        <w:t xml:space="preserve"> was reported before the year 2000. </w:t>
      </w:r>
    </w:p>
    <w:p w14:paraId="258FE03D" w14:textId="77777777" w:rsidR="000B0092" w:rsidRPr="00BE78CA" w:rsidRDefault="000B0092" w:rsidP="000B0092">
      <w:pPr>
        <w:pStyle w:val="BodyText"/>
      </w:pPr>
      <w:r w:rsidRPr="00BE78CA">
        <w:t xml:space="preserve">Improved information from surveys has allowed the use of these two different equipment types in New Zealand to be better disaggregated over time, and the choice of emission factors is now more accurate than in previous submissions (Verum Group, </w:t>
      </w:r>
      <w:r w:rsidRPr="00BE78CA">
        <w:rPr>
          <w:rFonts w:eastAsia="+mn-ea"/>
        </w:rPr>
        <w:t>unpublished</w:t>
      </w:r>
      <w:r w:rsidRPr="00BE78CA">
        <w:t>). However, this distinction is not always clear and remains a source of uncertainty. Units that are described as sealed can sometimes be topped up with SF</w:t>
      </w:r>
      <w:r w:rsidRPr="00BE78CA">
        <w:rPr>
          <w:vertAlign w:val="subscript"/>
        </w:rPr>
        <w:t>6</w:t>
      </w:r>
      <w:r w:rsidRPr="00BE78CA">
        <w:t xml:space="preserve"> in service. </w:t>
      </w:r>
    </w:p>
    <w:p w14:paraId="1B9A56BC" w14:textId="77777777" w:rsidR="000B0092" w:rsidRPr="00BE78CA" w:rsidRDefault="000B0092" w:rsidP="000B0092">
      <w:pPr>
        <w:pStyle w:val="Heading5"/>
      </w:pPr>
      <w:r w:rsidRPr="00BE78CA">
        <w:t xml:space="preserve">Other </w:t>
      </w:r>
    </w:p>
    <w:p w14:paraId="0AFE2438" w14:textId="77777777" w:rsidR="000B0092" w:rsidRPr="00BE78CA" w:rsidRDefault="000B0092" w:rsidP="000B0092">
      <w:pPr>
        <w:pStyle w:val="BodyText"/>
      </w:pPr>
      <w:r w:rsidRPr="00BE78CA">
        <w:t>Emissions of SF</w:t>
      </w:r>
      <w:r w:rsidRPr="00BE78CA">
        <w:rPr>
          <w:vertAlign w:val="subscript"/>
        </w:rPr>
        <w:t>6</w:t>
      </w:r>
      <w:r w:rsidRPr="00BE78CA">
        <w:t xml:space="preserve"> and other gases for all other applications are assumed to be prompt, and an emission factor of either 50 per cent or 100 per cent is used, as appropriate. </w:t>
      </w:r>
    </w:p>
    <w:p w14:paraId="52C03B7B" w14:textId="77777777" w:rsidR="000B0092" w:rsidRPr="00BE78CA" w:rsidRDefault="000B0092" w:rsidP="000B0092">
      <w:pPr>
        <w:pStyle w:val="Heading3"/>
      </w:pPr>
      <w:r w:rsidRPr="00BE78CA">
        <w:t xml:space="preserve">4.8.3 </w:t>
      </w:r>
      <w:r w:rsidRPr="00BE78CA">
        <w:tab/>
        <w:t>Uncertainties and time-series consistency</w:t>
      </w:r>
    </w:p>
    <w:p w14:paraId="33B6ADEF" w14:textId="77777777" w:rsidR="000B0092" w:rsidRPr="00BE78CA" w:rsidRDefault="000B0092" w:rsidP="000B0092">
      <w:pPr>
        <w:pStyle w:val="Heading4"/>
        <w:spacing w:before="160"/>
        <w:rPr>
          <w:bCs/>
          <w:iCs/>
        </w:rPr>
      </w:pPr>
      <w:r w:rsidRPr="00BE78CA">
        <w:t>Uncertainties</w:t>
      </w:r>
    </w:p>
    <w:p w14:paraId="023B71E9" w14:textId="77777777" w:rsidR="000B0092" w:rsidRPr="00BE78CA" w:rsidRDefault="000B0092" w:rsidP="000B0092">
      <w:pPr>
        <w:pStyle w:val="BodyText"/>
      </w:pPr>
      <w:r w:rsidRPr="00BE78CA">
        <w:t>A mix of expert judgement and IPCC default uncertainties has been used for emissions in this category (see table 4.8.1). IPCC (2006a) recommends the use of expert judgement for sources such as N</w:t>
      </w:r>
      <w:r w:rsidRPr="00BE78CA">
        <w:rPr>
          <w:vertAlign w:val="subscript"/>
        </w:rPr>
        <w:t>2</w:t>
      </w:r>
      <w:r w:rsidRPr="00BE78CA">
        <w:t xml:space="preserve">O from product uses, because the uncertainties vary from country to country. For categories other than </w:t>
      </w:r>
      <w:r w:rsidRPr="00BE78CA">
        <w:rPr>
          <w:i/>
        </w:rPr>
        <w:t>Electrical equipment</w:t>
      </w:r>
      <w:r w:rsidRPr="00BE78CA">
        <w:t xml:space="preserve">, there is no uncertainty in emission factors because emissions are considered to be immediate. </w:t>
      </w:r>
    </w:p>
    <w:p w14:paraId="3D8DA115" w14:textId="77777777" w:rsidR="000B0092" w:rsidRPr="00BE78CA" w:rsidRDefault="000B0092" w:rsidP="000B0092">
      <w:pPr>
        <w:pStyle w:val="Table"/>
      </w:pPr>
      <w:bookmarkStart w:id="489" w:name="_Toc451176079"/>
      <w:bookmarkStart w:id="490" w:name="_Toc5269469"/>
      <w:bookmarkStart w:id="491" w:name="_Toc36224543"/>
      <w:bookmarkStart w:id="492" w:name="_Toc68786429"/>
      <w:r w:rsidRPr="00BE78CA">
        <w:t>Table 4.8.1</w:t>
      </w:r>
      <w:r w:rsidRPr="00BE78CA">
        <w:tab/>
        <w:t>Uncertainty in emissions from other product manufacture and use</w:t>
      </w:r>
      <w:bookmarkEnd w:id="489"/>
      <w:bookmarkEnd w:id="490"/>
      <w:bookmarkEnd w:id="491"/>
      <w:bookmarkEnd w:id="492"/>
    </w:p>
    <w:tbl>
      <w:tblPr>
        <w:tblW w:w="8505" w:type="dxa"/>
        <w:tblBorders>
          <w:top w:val="single" w:sz="6" w:space="0" w:color="365F91"/>
          <w:bottom w:val="single" w:sz="6" w:space="0" w:color="365F91"/>
          <w:insideH w:val="single" w:sz="6" w:space="0" w:color="365F91"/>
        </w:tblBorders>
        <w:tblLook w:val="04A0" w:firstRow="1" w:lastRow="0" w:firstColumn="1" w:lastColumn="0" w:noHBand="0" w:noVBand="1"/>
      </w:tblPr>
      <w:tblGrid>
        <w:gridCol w:w="2981"/>
        <w:gridCol w:w="2535"/>
        <w:gridCol w:w="2989"/>
      </w:tblGrid>
      <w:tr w:rsidR="000B0092" w:rsidRPr="00BE78CA" w14:paraId="027C7CBD" w14:textId="77777777" w:rsidTr="00873886">
        <w:tc>
          <w:tcPr>
            <w:tcW w:w="3002" w:type="dxa"/>
            <w:tcBorders>
              <w:top w:val="single" w:sz="4" w:space="0" w:color="365F91"/>
              <w:left w:val="nil"/>
              <w:bottom w:val="single" w:sz="4" w:space="0" w:color="365F91"/>
              <w:right w:val="nil"/>
            </w:tcBorders>
            <w:shd w:val="clear" w:color="auto" w:fill="365F91"/>
            <w:hideMark/>
          </w:tcPr>
          <w:p w14:paraId="7D696743" w14:textId="77777777" w:rsidR="000B0092" w:rsidRPr="00BE78CA" w:rsidRDefault="000B0092" w:rsidP="00C26084">
            <w:pPr>
              <w:pStyle w:val="TableTextBold"/>
              <w:keepNext/>
              <w:rPr>
                <w:noProof w:val="0"/>
                <w:color w:val="FFFFFF"/>
              </w:rPr>
            </w:pPr>
            <w:r w:rsidRPr="00BE78CA">
              <w:rPr>
                <w:noProof w:val="0"/>
                <w:color w:val="FFFFFF"/>
              </w:rPr>
              <w:t>Category</w:t>
            </w:r>
          </w:p>
        </w:tc>
        <w:tc>
          <w:tcPr>
            <w:tcW w:w="2551" w:type="dxa"/>
            <w:tcBorders>
              <w:top w:val="single" w:sz="4" w:space="0" w:color="365F91"/>
              <w:left w:val="nil"/>
              <w:bottom w:val="single" w:sz="4" w:space="0" w:color="365F91"/>
              <w:right w:val="nil"/>
            </w:tcBorders>
            <w:shd w:val="clear" w:color="auto" w:fill="365F91"/>
            <w:hideMark/>
          </w:tcPr>
          <w:p w14:paraId="4FAB74DE" w14:textId="77777777" w:rsidR="000B0092" w:rsidRPr="00BE78CA" w:rsidRDefault="000B0092" w:rsidP="00C26084">
            <w:pPr>
              <w:pStyle w:val="TableTextBold"/>
              <w:keepNext/>
              <w:rPr>
                <w:noProof w:val="0"/>
                <w:color w:val="FFFFFF"/>
              </w:rPr>
            </w:pPr>
            <w:r w:rsidRPr="00BE78CA">
              <w:rPr>
                <w:noProof w:val="0"/>
                <w:color w:val="FFFFFF"/>
              </w:rPr>
              <w:t>Uncertainty in activity data (%)</w:t>
            </w:r>
          </w:p>
        </w:tc>
        <w:tc>
          <w:tcPr>
            <w:tcW w:w="3009" w:type="dxa"/>
            <w:tcBorders>
              <w:top w:val="single" w:sz="4" w:space="0" w:color="365F91"/>
              <w:left w:val="nil"/>
              <w:bottom w:val="single" w:sz="4" w:space="0" w:color="365F91"/>
              <w:right w:val="nil"/>
            </w:tcBorders>
            <w:shd w:val="clear" w:color="auto" w:fill="365F91"/>
            <w:hideMark/>
          </w:tcPr>
          <w:p w14:paraId="7FAF487A" w14:textId="77777777" w:rsidR="000B0092" w:rsidRPr="00BE78CA" w:rsidRDefault="000B0092" w:rsidP="00C26084">
            <w:pPr>
              <w:pStyle w:val="TableTextBold"/>
              <w:keepNext/>
              <w:rPr>
                <w:noProof w:val="0"/>
                <w:color w:val="FFFFFF"/>
              </w:rPr>
            </w:pPr>
            <w:r w:rsidRPr="00BE78CA">
              <w:rPr>
                <w:noProof w:val="0"/>
                <w:color w:val="FFFFFF"/>
              </w:rPr>
              <w:t>Uncertainty in emission factors (%)</w:t>
            </w:r>
          </w:p>
        </w:tc>
      </w:tr>
      <w:tr w:rsidR="000B0092" w:rsidRPr="00BE78CA" w14:paraId="5F692FE4" w14:textId="77777777" w:rsidTr="00873886">
        <w:tc>
          <w:tcPr>
            <w:tcW w:w="3002" w:type="dxa"/>
            <w:tcBorders>
              <w:top w:val="single" w:sz="4" w:space="0" w:color="365F91"/>
              <w:left w:val="nil"/>
              <w:bottom w:val="single" w:sz="6" w:space="0" w:color="365F91"/>
              <w:right w:val="nil"/>
            </w:tcBorders>
            <w:shd w:val="clear" w:color="auto" w:fill="FFFFFF"/>
            <w:hideMark/>
          </w:tcPr>
          <w:p w14:paraId="7CCA216B" w14:textId="77777777" w:rsidR="000B0092" w:rsidRPr="00BE78CA" w:rsidRDefault="000B0092" w:rsidP="00C26084">
            <w:pPr>
              <w:pStyle w:val="TableText"/>
              <w:keepNext/>
            </w:pPr>
            <w:r w:rsidRPr="00BE78CA">
              <w:t>Electrical equipment</w:t>
            </w:r>
          </w:p>
        </w:tc>
        <w:tc>
          <w:tcPr>
            <w:tcW w:w="2551" w:type="dxa"/>
            <w:tcBorders>
              <w:top w:val="single" w:sz="4" w:space="0" w:color="365F91"/>
              <w:left w:val="nil"/>
              <w:bottom w:val="single" w:sz="6" w:space="0" w:color="365F91"/>
              <w:right w:val="nil"/>
            </w:tcBorders>
            <w:shd w:val="clear" w:color="auto" w:fill="FFFFFF"/>
            <w:hideMark/>
          </w:tcPr>
          <w:p w14:paraId="71710001" w14:textId="77777777" w:rsidR="000B0092" w:rsidRPr="00BE78CA" w:rsidRDefault="000B0092" w:rsidP="00C26084">
            <w:pPr>
              <w:pStyle w:val="TableText"/>
              <w:keepNext/>
            </w:pPr>
            <w:r w:rsidRPr="00BE78CA">
              <w:t>±20</w:t>
            </w:r>
          </w:p>
        </w:tc>
        <w:tc>
          <w:tcPr>
            <w:tcW w:w="3009" w:type="dxa"/>
            <w:tcBorders>
              <w:top w:val="single" w:sz="4" w:space="0" w:color="365F91"/>
              <w:left w:val="nil"/>
              <w:bottom w:val="single" w:sz="6" w:space="0" w:color="365F91"/>
              <w:right w:val="nil"/>
            </w:tcBorders>
            <w:shd w:val="clear" w:color="auto" w:fill="FFFFFF"/>
            <w:hideMark/>
          </w:tcPr>
          <w:p w14:paraId="171A1A21" w14:textId="77777777" w:rsidR="000B0092" w:rsidRPr="00BE78CA" w:rsidRDefault="000B0092" w:rsidP="00C26084">
            <w:pPr>
              <w:pStyle w:val="TableText"/>
              <w:keepNext/>
            </w:pPr>
            <w:r w:rsidRPr="00BE78CA">
              <w:t xml:space="preserve">±30 </w:t>
            </w:r>
          </w:p>
        </w:tc>
      </w:tr>
      <w:tr w:rsidR="000B0092" w:rsidRPr="00BE78CA" w14:paraId="10C39A25" w14:textId="77777777" w:rsidTr="00873886">
        <w:tc>
          <w:tcPr>
            <w:tcW w:w="3002" w:type="dxa"/>
            <w:tcBorders>
              <w:top w:val="single" w:sz="6" w:space="0" w:color="365F91"/>
              <w:left w:val="nil"/>
              <w:bottom w:val="single" w:sz="6" w:space="0" w:color="365F91"/>
              <w:right w:val="nil"/>
            </w:tcBorders>
            <w:shd w:val="clear" w:color="auto" w:fill="FFFFFF"/>
            <w:hideMark/>
          </w:tcPr>
          <w:p w14:paraId="615F17BE" w14:textId="77777777" w:rsidR="000B0092" w:rsidRPr="00BE78CA" w:rsidRDefault="000B0092" w:rsidP="00C26084">
            <w:pPr>
              <w:pStyle w:val="TableText"/>
              <w:keepNext/>
            </w:pPr>
            <w:r w:rsidRPr="00BE78CA">
              <w:t>Medical and other product use (SF</w:t>
            </w:r>
            <w:r w:rsidRPr="00BE78CA">
              <w:rPr>
                <w:vertAlign w:val="subscript"/>
              </w:rPr>
              <w:t>6</w:t>
            </w:r>
            <w:r w:rsidRPr="00BE78CA">
              <w:t>)</w:t>
            </w:r>
          </w:p>
        </w:tc>
        <w:tc>
          <w:tcPr>
            <w:tcW w:w="2551" w:type="dxa"/>
            <w:tcBorders>
              <w:top w:val="single" w:sz="6" w:space="0" w:color="365F91"/>
              <w:left w:val="nil"/>
              <w:bottom w:val="single" w:sz="6" w:space="0" w:color="365F91"/>
              <w:right w:val="nil"/>
            </w:tcBorders>
            <w:shd w:val="clear" w:color="auto" w:fill="FFFFFF"/>
            <w:hideMark/>
          </w:tcPr>
          <w:p w14:paraId="181EACAB" w14:textId="77777777" w:rsidR="000B0092" w:rsidRPr="00BE78CA" w:rsidRDefault="000B0092" w:rsidP="00C26084">
            <w:pPr>
              <w:pStyle w:val="TableText"/>
              <w:keepNext/>
              <w:spacing w:after="0"/>
            </w:pPr>
            <w:r w:rsidRPr="00BE78CA">
              <w:t xml:space="preserve">±80 </w:t>
            </w:r>
          </w:p>
        </w:tc>
        <w:tc>
          <w:tcPr>
            <w:tcW w:w="3009" w:type="dxa"/>
            <w:tcBorders>
              <w:top w:val="single" w:sz="6" w:space="0" w:color="365F91"/>
              <w:left w:val="nil"/>
              <w:bottom w:val="single" w:sz="6" w:space="0" w:color="365F91"/>
              <w:right w:val="nil"/>
            </w:tcBorders>
            <w:shd w:val="clear" w:color="auto" w:fill="FFFFFF"/>
            <w:hideMark/>
          </w:tcPr>
          <w:p w14:paraId="6BD2CB06" w14:textId="77777777" w:rsidR="000B0092" w:rsidRPr="00BE78CA" w:rsidRDefault="000B0092" w:rsidP="00C26084">
            <w:pPr>
              <w:pStyle w:val="TableText"/>
              <w:keepNext/>
            </w:pPr>
            <w:r w:rsidRPr="00BE78CA">
              <w:t>–</w:t>
            </w:r>
          </w:p>
        </w:tc>
      </w:tr>
      <w:tr w:rsidR="000B0092" w:rsidRPr="00BE78CA" w14:paraId="35E6E08F" w14:textId="77777777" w:rsidTr="00873886">
        <w:tc>
          <w:tcPr>
            <w:tcW w:w="3002" w:type="dxa"/>
            <w:tcBorders>
              <w:top w:val="single" w:sz="6" w:space="0" w:color="365F91"/>
              <w:left w:val="nil"/>
              <w:bottom w:val="single" w:sz="6" w:space="0" w:color="365F91"/>
              <w:right w:val="nil"/>
            </w:tcBorders>
            <w:shd w:val="clear" w:color="auto" w:fill="FFFFFF"/>
            <w:hideMark/>
          </w:tcPr>
          <w:p w14:paraId="3AFD45BF" w14:textId="77777777" w:rsidR="000B0092" w:rsidRPr="00BE78CA" w:rsidRDefault="000B0092" w:rsidP="00C26084">
            <w:pPr>
              <w:pStyle w:val="TableText"/>
            </w:pPr>
            <w:r w:rsidRPr="00BE78CA">
              <w:t>Medical and other product use (PFCs)</w:t>
            </w:r>
          </w:p>
        </w:tc>
        <w:tc>
          <w:tcPr>
            <w:tcW w:w="2551" w:type="dxa"/>
            <w:tcBorders>
              <w:top w:val="single" w:sz="6" w:space="0" w:color="365F91"/>
              <w:left w:val="nil"/>
              <w:bottom w:val="single" w:sz="6" w:space="0" w:color="365F91"/>
              <w:right w:val="nil"/>
            </w:tcBorders>
            <w:shd w:val="clear" w:color="auto" w:fill="FFFFFF"/>
            <w:hideMark/>
          </w:tcPr>
          <w:p w14:paraId="21699518" w14:textId="77777777" w:rsidR="000B0092" w:rsidRPr="00BE78CA" w:rsidRDefault="000B0092" w:rsidP="00C26084">
            <w:pPr>
              <w:pStyle w:val="TableText"/>
            </w:pPr>
            <w:r w:rsidRPr="00BE78CA">
              <w:t>±80</w:t>
            </w:r>
          </w:p>
        </w:tc>
        <w:tc>
          <w:tcPr>
            <w:tcW w:w="3009" w:type="dxa"/>
            <w:tcBorders>
              <w:top w:val="single" w:sz="6" w:space="0" w:color="365F91"/>
              <w:left w:val="nil"/>
              <w:bottom w:val="single" w:sz="6" w:space="0" w:color="365F91"/>
              <w:right w:val="nil"/>
            </w:tcBorders>
            <w:shd w:val="clear" w:color="auto" w:fill="FFFFFF"/>
            <w:hideMark/>
          </w:tcPr>
          <w:p w14:paraId="6A8971FD" w14:textId="77777777" w:rsidR="000B0092" w:rsidRPr="00BE78CA" w:rsidRDefault="000B0092" w:rsidP="00C26084">
            <w:pPr>
              <w:pStyle w:val="TableText"/>
            </w:pPr>
            <w:r w:rsidRPr="00BE78CA">
              <w:t>–</w:t>
            </w:r>
          </w:p>
        </w:tc>
      </w:tr>
      <w:tr w:rsidR="000B0092" w:rsidRPr="00BE78CA" w14:paraId="6E537E61" w14:textId="77777777" w:rsidTr="00873886">
        <w:tc>
          <w:tcPr>
            <w:tcW w:w="3002" w:type="dxa"/>
            <w:tcBorders>
              <w:top w:val="single" w:sz="6" w:space="0" w:color="365F91"/>
              <w:left w:val="nil"/>
              <w:bottom w:val="single" w:sz="6" w:space="0" w:color="365F91"/>
              <w:right w:val="nil"/>
            </w:tcBorders>
            <w:shd w:val="clear" w:color="auto" w:fill="FFFFFF"/>
            <w:hideMark/>
          </w:tcPr>
          <w:p w14:paraId="7541AC22" w14:textId="77777777" w:rsidR="000B0092" w:rsidRPr="00BE78CA" w:rsidRDefault="000B0092" w:rsidP="00C26084">
            <w:pPr>
              <w:pStyle w:val="TableText"/>
            </w:pPr>
            <w:r w:rsidRPr="00BE78CA">
              <w:t>N</w:t>
            </w:r>
            <w:r w:rsidRPr="00BE78CA">
              <w:rPr>
                <w:vertAlign w:val="subscript"/>
              </w:rPr>
              <w:t>2</w:t>
            </w:r>
            <w:r w:rsidRPr="00BE78CA">
              <w:t>O from other product uses</w:t>
            </w:r>
          </w:p>
        </w:tc>
        <w:tc>
          <w:tcPr>
            <w:tcW w:w="2551" w:type="dxa"/>
            <w:tcBorders>
              <w:top w:val="single" w:sz="6" w:space="0" w:color="365F91"/>
              <w:left w:val="nil"/>
              <w:bottom w:val="single" w:sz="6" w:space="0" w:color="365F91"/>
              <w:right w:val="nil"/>
            </w:tcBorders>
            <w:shd w:val="clear" w:color="auto" w:fill="FFFFFF"/>
            <w:hideMark/>
          </w:tcPr>
          <w:p w14:paraId="73757A8D" w14:textId="77777777" w:rsidR="000B0092" w:rsidRPr="00BE78CA" w:rsidRDefault="000B0092" w:rsidP="00C26084">
            <w:pPr>
              <w:pStyle w:val="TableText"/>
              <w:spacing w:after="0"/>
            </w:pPr>
            <w:r w:rsidRPr="00BE78CA">
              <w:t>±15</w:t>
            </w:r>
          </w:p>
        </w:tc>
        <w:tc>
          <w:tcPr>
            <w:tcW w:w="3009" w:type="dxa"/>
            <w:tcBorders>
              <w:top w:val="single" w:sz="6" w:space="0" w:color="365F91"/>
              <w:left w:val="nil"/>
              <w:bottom w:val="single" w:sz="6" w:space="0" w:color="365F91"/>
              <w:right w:val="nil"/>
            </w:tcBorders>
            <w:shd w:val="clear" w:color="auto" w:fill="FFFFFF"/>
            <w:hideMark/>
          </w:tcPr>
          <w:p w14:paraId="7CEB6A21" w14:textId="77777777" w:rsidR="000B0092" w:rsidRPr="00BE78CA" w:rsidRDefault="000B0092" w:rsidP="00C26084">
            <w:pPr>
              <w:pStyle w:val="TableText"/>
            </w:pPr>
            <w:r w:rsidRPr="00BE78CA">
              <w:t>–</w:t>
            </w:r>
          </w:p>
        </w:tc>
      </w:tr>
    </w:tbl>
    <w:p w14:paraId="14243BF6" w14:textId="77777777" w:rsidR="000B0092" w:rsidRPr="00BE78CA" w:rsidRDefault="000B0092" w:rsidP="000B0092">
      <w:pPr>
        <w:pStyle w:val="Heading4"/>
        <w:spacing w:before="280"/>
        <w:rPr>
          <w:bCs/>
          <w:iCs/>
        </w:rPr>
      </w:pPr>
      <w:r w:rsidRPr="00BE78CA">
        <w:t>Time-series consistency</w:t>
      </w:r>
    </w:p>
    <w:p w14:paraId="4D1D156C" w14:textId="77777777" w:rsidR="000B0092" w:rsidRPr="00BE78CA" w:rsidRDefault="000B0092" w:rsidP="000B0092">
      <w:pPr>
        <w:pStyle w:val="BodyText"/>
        <w:spacing w:before="80"/>
      </w:pPr>
      <w:r w:rsidRPr="00BE78CA">
        <w:t xml:space="preserve">The implied emission factors for the </w:t>
      </w:r>
      <w:r w:rsidRPr="00BE78CA">
        <w:rPr>
          <w:i/>
        </w:rPr>
        <w:t>Electrical equipment</w:t>
      </w:r>
      <w:r w:rsidRPr="00BE78CA">
        <w:t xml:space="preserve"> category have declined, due to improvements both in data quality and in the actual management of SF</w:t>
      </w:r>
      <w:r w:rsidRPr="00BE78CA">
        <w:rPr>
          <w:vertAlign w:val="subscript"/>
        </w:rPr>
        <w:t>6</w:t>
      </w:r>
      <w:r w:rsidRPr="00BE78CA">
        <w:t xml:space="preserve"> emissions by Transpower and other users over time.</w:t>
      </w:r>
    </w:p>
    <w:p w14:paraId="6FCBADE4" w14:textId="77777777" w:rsidR="000B0092" w:rsidRPr="00BE78CA" w:rsidRDefault="000B0092" w:rsidP="000B0092">
      <w:pPr>
        <w:pStyle w:val="Heading3"/>
      </w:pPr>
      <w:r w:rsidRPr="00BE78CA">
        <w:lastRenderedPageBreak/>
        <w:t>4.8.4</w:t>
      </w:r>
      <w:r w:rsidRPr="00BE78CA">
        <w:tab/>
        <w:t>Source-specific QA/QC and verification</w:t>
      </w:r>
    </w:p>
    <w:p w14:paraId="73DB05FA" w14:textId="77777777" w:rsidR="000B0092" w:rsidRPr="00BE78CA" w:rsidRDefault="000B0092" w:rsidP="000B0092">
      <w:pPr>
        <w:pStyle w:val="BodyText"/>
      </w:pPr>
      <w:r w:rsidRPr="00BE78CA">
        <w:rPr>
          <w:i/>
        </w:rPr>
        <w:t xml:space="preserve">Other product manufacture and use </w:t>
      </w:r>
      <w:r w:rsidRPr="00BE78CA">
        <w:t xml:space="preserve">was a non-key category. </w:t>
      </w:r>
    </w:p>
    <w:p w14:paraId="3481354B" w14:textId="77777777" w:rsidR="000B0092" w:rsidRPr="00BE78CA" w:rsidRDefault="000B0092" w:rsidP="000B0092">
      <w:pPr>
        <w:pStyle w:val="Heading3"/>
      </w:pPr>
      <w:r w:rsidRPr="00BE78CA">
        <w:t>4.8.5</w:t>
      </w:r>
      <w:r w:rsidRPr="00BE78CA">
        <w:tab/>
        <w:t>Source-specific recalculations</w:t>
      </w:r>
    </w:p>
    <w:p w14:paraId="5BE64042" w14:textId="201C0EE1" w:rsidR="000B0092" w:rsidRPr="00BE78CA" w:rsidRDefault="000B0092" w:rsidP="000B0092">
      <w:pPr>
        <w:pStyle w:val="BodyText"/>
      </w:pPr>
      <w:r w:rsidRPr="00BE78CA">
        <w:t>In the 2020 submission, several users reported more detailed information, which allowed</w:t>
      </w:r>
      <w:r w:rsidR="00C24800" w:rsidRPr="00BE78CA">
        <w:t xml:space="preserve"> </w:t>
      </w:r>
      <w:r w:rsidRPr="00BE78CA">
        <w:t>a</w:t>
      </w:r>
      <w:r w:rsidR="00C24800" w:rsidRPr="00BE78CA">
        <w:t> </w:t>
      </w:r>
      <w:r w:rsidRPr="00BE78CA">
        <w:t>small revision of their emissions for 2011 to 2017. There are no recalculations for</w:t>
      </w:r>
      <w:r w:rsidR="00C24800" w:rsidRPr="00BE78CA">
        <w:t xml:space="preserve"> </w:t>
      </w:r>
      <w:r w:rsidRPr="00BE78CA">
        <w:t>this</w:t>
      </w:r>
      <w:r w:rsidR="00C24800" w:rsidRPr="00BE78CA">
        <w:t> </w:t>
      </w:r>
      <w:r w:rsidRPr="00BE78CA">
        <w:t xml:space="preserve">submission. </w:t>
      </w:r>
    </w:p>
    <w:p w14:paraId="2B3BFECB" w14:textId="77777777" w:rsidR="000B0092" w:rsidRPr="00BE78CA" w:rsidRDefault="000B0092" w:rsidP="000B0092">
      <w:pPr>
        <w:pStyle w:val="Heading3"/>
      </w:pPr>
      <w:r w:rsidRPr="00BE78CA">
        <w:t>4.8.6</w:t>
      </w:r>
      <w:r w:rsidRPr="00BE78CA">
        <w:tab/>
        <w:t>Source-specific planned improvements</w:t>
      </w:r>
    </w:p>
    <w:p w14:paraId="37AA6AEB" w14:textId="77777777" w:rsidR="000B0092" w:rsidRPr="00BE78CA" w:rsidRDefault="000B0092" w:rsidP="000B0092">
      <w:pPr>
        <w:pStyle w:val="BodyText"/>
      </w:pPr>
      <w:r w:rsidRPr="00BE78CA">
        <w:t xml:space="preserve">For the </w:t>
      </w:r>
      <w:r w:rsidRPr="00BE78CA">
        <w:rPr>
          <w:i/>
        </w:rPr>
        <w:t>Electrical equipment</w:t>
      </w:r>
      <w:r w:rsidRPr="00BE78CA">
        <w:t xml:space="preserve"> category, it is expected that further improved activity data and more detailed reporting on stocks of SF</w:t>
      </w:r>
      <w:r w:rsidRPr="00BE78CA">
        <w:rPr>
          <w:vertAlign w:val="subscript"/>
        </w:rPr>
        <w:t>6</w:t>
      </w:r>
      <w:r w:rsidRPr="00BE78CA">
        <w:t xml:space="preserve"> will become available over time from NZ ETS reporting and from surveys, as SF</w:t>
      </w:r>
      <w:r w:rsidRPr="00BE78CA">
        <w:rPr>
          <w:vertAlign w:val="subscript"/>
        </w:rPr>
        <w:t>6</w:t>
      </w:r>
      <w:r w:rsidRPr="00BE78CA">
        <w:t xml:space="preserve"> handling practices in the industry improve. Better information should enable the consistent use of Tier 2 or Tier 3 methods for this category in future submissions. </w:t>
      </w:r>
    </w:p>
    <w:p w14:paraId="4230131A" w14:textId="77777777" w:rsidR="00C24800" w:rsidRPr="00BE78CA" w:rsidRDefault="00C24800" w:rsidP="00C24800">
      <w:pPr>
        <w:pStyle w:val="BodyText"/>
      </w:pPr>
    </w:p>
    <w:p w14:paraId="74DAB6B1" w14:textId="77777777" w:rsidR="00C24800" w:rsidRPr="00BE78CA" w:rsidRDefault="00C24800">
      <w:bookmarkStart w:id="493" w:name="_Toc448321520"/>
      <w:bookmarkStart w:id="494" w:name="_Toc5269359"/>
      <w:bookmarkStart w:id="495" w:name="_Toc36224399"/>
      <w:r w:rsidRPr="00BE78CA">
        <w:br w:type="page"/>
      </w:r>
    </w:p>
    <w:p w14:paraId="1FD4838D" w14:textId="106103C8" w:rsidR="000B0092" w:rsidRPr="00BE78CA" w:rsidRDefault="000B0092" w:rsidP="00C24800">
      <w:pPr>
        <w:pStyle w:val="Heading2"/>
        <w:spacing w:before="0" w:after="360"/>
      </w:pPr>
      <w:bookmarkStart w:id="496" w:name="_Toc68786319"/>
      <w:r w:rsidRPr="00BE78CA">
        <w:lastRenderedPageBreak/>
        <w:t>Chapter 4: References</w:t>
      </w:r>
      <w:bookmarkEnd w:id="493"/>
      <w:bookmarkEnd w:id="494"/>
      <w:bookmarkEnd w:id="495"/>
      <w:bookmarkEnd w:id="496"/>
    </w:p>
    <w:p w14:paraId="36C78B52" w14:textId="77777777" w:rsidR="000B0092" w:rsidRPr="00BE78CA" w:rsidRDefault="000B0092" w:rsidP="000B0092">
      <w:pPr>
        <w:pStyle w:val="References"/>
      </w:pPr>
      <w:r w:rsidRPr="00BE78CA">
        <w:t xml:space="preserve">Cement and Concrete Association of New Zealand. 1995. The State of the Standards. </w:t>
      </w:r>
      <w:r w:rsidRPr="00BE78CA">
        <w:rPr>
          <w:i/>
        </w:rPr>
        <w:t>New Zealand Concrete Construction October/November 1995</w:t>
      </w:r>
      <w:r w:rsidRPr="00BE78CA">
        <w:t xml:space="preserve">. p 40. </w:t>
      </w:r>
    </w:p>
    <w:p w14:paraId="20388D20" w14:textId="77777777" w:rsidR="000B0092" w:rsidRPr="00BE78CA" w:rsidRDefault="000B0092" w:rsidP="000B0092">
      <w:pPr>
        <w:pStyle w:val="References"/>
      </w:pPr>
      <w:r w:rsidRPr="00BE78CA">
        <w:t xml:space="preserve">Christie T, Thompson B, Brathwaite B. 1999. </w:t>
      </w:r>
      <w:r w:rsidRPr="00BE78CA">
        <w:rPr>
          <w:i/>
        </w:rPr>
        <w:t>Mineral Commodity Report 20 – Clays</w:t>
      </w:r>
      <w:r w:rsidRPr="00BE78CA">
        <w:t>.</w:t>
      </w:r>
      <w:r w:rsidRPr="00BE78CA">
        <w:rPr>
          <w:i/>
        </w:rPr>
        <w:t xml:space="preserve"> </w:t>
      </w:r>
      <w:r w:rsidRPr="00BE78CA">
        <w:t xml:space="preserve">Wellington: Institute of Geological and Nuclear Sciences. </w:t>
      </w:r>
    </w:p>
    <w:p w14:paraId="348AD147" w14:textId="77777777" w:rsidR="000B0092" w:rsidRPr="00BE78CA" w:rsidRDefault="000B0092" w:rsidP="000B0092">
      <w:pPr>
        <w:pStyle w:val="References"/>
      </w:pPr>
      <w:r w:rsidRPr="00BE78CA">
        <w:t xml:space="preserve">Climate Change (Stationary Energy and Industrial Processes) Regulations 2009 (as at 4 February 2021) </w:t>
      </w:r>
      <w:hyperlink r:id="rId100" w:history="1">
        <w:r w:rsidRPr="00BE78CA">
          <w:rPr>
            <w:rStyle w:val="Hyperlink"/>
          </w:rPr>
          <w:t>www.legislation.govt.nz/regulation/public/2009/0285/latest/ DLM2394207.html</w:t>
        </w:r>
      </w:hyperlink>
      <w:r w:rsidRPr="00BE78CA">
        <w:t>.</w:t>
      </w:r>
    </w:p>
    <w:p w14:paraId="4C8B63AA" w14:textId="77777777" w:rsidR="000B0092" w:rsidRPr="00BE78CA" w:rsidRDefault="000B0092" w:rsidP="000B0092">
      <w:pPr>
        <w:pStyle w:val="References"/>
      </w:pPr>
      <w:r w:rsidRPr="00BE78CA">
        <w:t>CRL Energy Ltd. Unpublished(a). Hennessy W, Maxwell D. Inventory of HFC, PFC and SF</w:t>
      </w:r>
      <w:r w:rsidRPr="00BE78CA">
        <w:rPr>
          <w:vertAlign w:val="subscript"/>
        </w:rPr>
        <w:t>6</w:t>
      </w:r>
      <w:r w:rsidRPr="00BE78CA">
        <w:t xml:space="preserve"> Emissions for New Zealand 2004–2005. A report by CRL Energy Ltd to the Ministry for the Environment in 2006.</w:t>
      </w:r>
    </w:p>
    <w:p w14:paraId="1A7B468E" w14:textId="7CF11CEC" w:rsidR="000B0092" w:rsidRPr="00BE78CA" w:rsidRDefault="000B0092" w:rsidP="000B0092">
      <w:pPr>
        <w:pStyle w:val="References"/>
      </w:pPr>
      <w:r w:rsidRPr="00BE78CA">
        <w:t>CRL Energy Ltd. Unpublished(b). Hennessy W, Maxwell D. Inventory of Non-CO</w:t>
      </w:r>
      <w:r w:rsidRPr="00BE78CA">
        <w:rPr>
          <w:vertAlign w:val="subscript"/>
        </w:rPr>
        <w:t>2</w:t>
      </w:r>
      <w:r w:rsidRPr="00BE78CA">
        <w:t xml:space="preserve"> Greenhouse Gas Emissions from Industrial Sources and Solvents for New Zealand 2004–2005. A report by CRL Energy Ltd</w:t>
      </w:r>
      <w:r w:rsidR="00C24800" w:rsidRPr="00BE78CA">
        <w:t> </w:t>
      </w:r>
      <w:r w:rsidRPr="00BE78CA">
        <w:t>to the Ministry for the Environment in 2006.</w:t>
      </w:r>
    </w:p>
    <w:p w14:paraId="064E683E" w14:textId="77777777" w:rsidR="000B0092" w:rsidRPr="00BE78CA" w:rsidRDefault="000B0092" w:rsidP="000B0092">
      <w:pPr>
        <w:pStyle w:val="References"/>
      </w:pPr>
      <w:r w:rsidRPr="00BE78CA">
        <w:t xml:space="preserve">International Aluminium Institute. 2006. </w:t>
      </w:r>
      <w:r w:rsidRPr="00BE78CA">
        <w:rPr>
          <w:i/>
        </w:rPr>
        <w:t>The Aluminium Sector Greenhouse Gas Protocol</w:t>
      </w:r>
      <w:r w:rsidRPr="00BE78CA">
        <w:t xml:space="preserve">. London: International Aluminium Institute. </w:t>
      </w:r>
    </w:p>
    <w:p w14:paraId="0901BDE9" w14:textId="77777777" w:rsidR="000B0092" w:rsidRPr="00BE78CA" w:rsidRDefault="000B0092" w:rsidP="000B0092">
      <w:pPr>
        <w:pStyle w:val="References"/>
      </w:pPr>
      <w:r w:rsidRPr="00BE78CA">
        <w:t xml:space="preserve">IPCC. 2006a. Eggleston HS, Buendia L, Miwa K, Ngara T, Tanabe K (eds). </w:t>
      </w:r>
      <w:r w:rsidRPr="00BE78CA">
        <w:rPr>
          <w:i/>
        </w:rPr>
        <w:t>2006 IPCC</w:t>
      </w:r>
      <w:r w:rsidRPr="00BE78CA">
        <w:t xml:space="preserve"> </w:t>
      </w:r>
      <w:r w:rsidRPr="00BE78CA">
        <w:rPr>
          <w:i/>
        </w:rPr>
        <w:t>Guidelines for National Greenhouse Gas Inventories. Volume 3. Industrial Processes and Product Use</w:t>
      </w:r>
      <w:r w:rsidRPr="00BE78CA">
        <w:t>. IPCC National Greenhouse Gas Inventories Programme. Published for the IPCC by the Institute for Global Environmental Strategies: Japan.</w:t>
      </w:r>
    </w:p>
    <w:p w14:paraId="22DF4DA4" w14:textId="77777777" w:rsidR="000B0092" w:rsidRPr="00BE78CA" w:rsidRDefault="000B0092" w:rsidP="000B0092">
      <w:pPr>
        <w:pStyle w:val="References"/>
      </w:pPr>
      <w:r w:rsidRPr="00BE78CA">
        <w:t xml:space="preserve">IPCC 2006b. Eggleston HS, Buendia L, Miwa K, Ngara T, Tanabe K (eds). </w:t>
      </w:r>
      <w:r w:rsidRPr="00BE78CA">
        <w:rPr>
          <w:i/>
          <w:iCs/>
        </w:rPr>
        <w:t>2006 IPCC Guidelines for National Greenhouse Gas Inventories. Volume 2. Energy</w:t>
      </w:r>
      <w:r w:rsidRPr="00BE78CA">
        <w:t>. IPCC National Greenhouse Gas Inventories Programme. Japan: Institute for Global Environmental Strategies for IPCC.</w:t>
      </w:r>
    </w:p>
    <w:p w14:paraId="6BB256AE" w14:textId="77777777" w:rsidR="000B0092" w:rsidRPr="00BE78CA" w:rsidRDefault="000B0092" w:rsidP="000B0092">
      <w:pPr>
        <w:pStyle w:val="References"/>
      </w:pPr>
      <w:r w:rsidRPr="00BE78CA">
        <w:t xml:space="preserve">Ure CR. 2000. </w:t>
      </w:r>
      <w:r w:rsidRPr="00BE78CA">
        <w:rPr>
          <w:i/>
        </w:rPr>
        <w:t>Alternative Iron-making at BHP New Zealand Steel.</w:t>
      </w:r>
      <w:r w:rsidRPr="00BE78CA">
        <w:t xml:space="preserve"> In: 58th Electric Furnace Conference and 17th Process Technology Conference Proceedings. Orlando, FL, United States of America: Iron and Steel Society. 12–15 November 2000. pp 535–546.</w:t>
      </w:r>
    </w:p>
    <w:p w14:paraId="33B443B4" w14:textId="77777777" w:rsidR="000B0092" w:rsidRPr="00BE78CA" w:rsidRDefault="000B0092" w:rsidP="000B0092">
      <w:pPr>
        <w:pStyle w:val="References"/>
        <w:ind w:right="141"/>
      </w:pPr>
      <w:r w:rsidRPr="00BE78CA">
        <w:t>Verum Group Ltd. Unpublished. Hennessy W. Inventory of HFC, SF</w:t>
      </w:r>
      <w:r w:rsidRPr="00BE78CA">
        <w:rPr>
          <w:vertAlign w:val="subscript"/>
        </w:rPr>
        <w:t>6</w:t>
      </w:r>
      <w:r w:rsidRPr="00BE78CA">
        <w:t xml:space="preserve"> and Other Industrial Process Emissions for New Zealand 2019. A report by Verum Group Ltd to the Ministry for the Environment in 2020.</w:t>
      </w:r>
    </w:p>
    <w:p w14:paraId="259618D9" w14:textId="77777777" w:rsidR="000B0092" w:rsidRPr="00BE78CA" w:rsidRDefault="000B0092" w:rsidP="000B0092">
      <w:pPr>
        <w:pStyle w:val="References"/>
      </w:pPr>
      <w:r w:rsidRPr="00BE78CA">
        <w:t xml:space="preserve">World Business Council for Sustainable Development. 2005. </w:t>
      </w:r>
      <w:r w:rsidRPr="00BE78CA">
        <w:rPr>
          <w:i/>
        </w:rPr>
        <w:t>The Cement CO</w:t>
      </w:r>
      <w:r w:rsidRPr="00BE78CA">
        <w:rPr>
          <w:i/>
          <w:vertAlign w:val="subscript"/>
        </w:rPr>
        <w:t>2</w:t>
      </w:r>
      <w:r w:rsidRPr="00BE78CA">
        <w:rPr>
          <w:i/>
        </w:rPr>
        <w:t xml:space="preserve"> Protocol: CO</w:t>
      </w:r>
      <w:r w:rsidRPr="00BE78CA">
        <w:rPr>
          <w:i/>
          <w:vertAlign w:val="subscript"/>
        </w:rPr>
        <w:t>2</w:t>
      </w:r>
      <w:r w:rsidRPr="00BE78CA">
        <w:rPr>
          <w:i/>
        </w:rPr>
        <w:t xml:space="preserve"> Accounting and Reporting Standard for the Cement Industry</w:t>
      </w:r>
      <w:r w:rsidRPr="00BE78CA">
        <w:t xml:space="preserve">. Switzerland: World Business Council for Sustainable Development. </w:t>
      </w:r>
    </w:p>
    <w:p w14:paraId="0A44091D" w14:textId="77777777" w:rsidR="000B0092" w:rsidRPr="00BE78CA" w:rsidRDefault="000B0092" w:rsidP="000B0092">
      <w:pPr>
        <w:pStyle w:val="References"/>
      </w:pPr>
    </w:p>
    <w:bookmarkEnd w:id="0"/>
    <w:bookmarkEnd w:id="1"/>
    <w:p w14:paraId="1E1CE648" w14:textId="77777777" w:rsidR="00CE2830" w:rsidRPr="00BE78CA" w:rsidRDefault="00CE2830" w:rsidP="000E497C">
      <w:pPr>
        <w:sectPr w:rsidR="00CE2830" w:rsidRPr="00BE78CA" w:rsidSect="00C26084">
          <w:footerReference w:type="even" r:id="rId101"/>
          <w:footerReference w:type="default" r:id="rId102"/>
          <w:pgSz w:w="11906" w:h="16838" w:code="9"/>
          <w:pgMar w:top="1418" w:right="1701" w:bottom="1418" w:left="1701" w:header="567" w:footer="567" w:gutter="0"/>
          <w:cols w:space="708"/>
          <w:docGrid w:linePitch="360"/>
        </w:sectPr>
      </w:pPr>
    </w:p>
    <w:p w14:paraId="3DD663FD" w14:textId="77777777" w:rsidR="007A3CC0" w:rsidRPr="00BE78CA" w:rsidRDefault="007A3CC0" w:rsidP="00C26084">
      <w:pPr>
        <w:pStyle w:val="Heading1"/>
        <w:spacing w:after="440"/>
        <w:rPr>
          <w:rFonts w:cs="Calibri"/>
        </w:rPr>
      </w:pPr>
      <w:bookmarkStart w:id="497" w:name="_Toc36224400"/>
      <w:bookmarkStart w:id="498" w:name="_Toc68786320"/>
      <w:r w:rsidRPr="00BE78CA">
        <w:rPr>
          <w:rFonts w:cs="Calibri"/>
        </w:rPr>
        <w:lastRenderedPageBreak/>
        <w:t>Chapter 5: Agriculture</w:t>
      </w:r>
      <w:bookmarkEnd w:id="497"/>
      <w:bookmarkEnd w:id="498"/>
    </w:p>
    <w:p w14:paraId="64C6AE16" w14:textId="77777777" w:rsidR="007A3CC0" w:rsidRPr="00BE78CA" w:rsidRDefault="007A3CC0" w:rsidP="00C26084">
      <w:pPr>
        <w:pStyle w:val="Heading2"/>
        <w:spacing w:before="240"/>
      </w:pPr>
      <w:bookmarkStart w:id="499" w:name="_Toc481751384"/>
      <w:bookmarkStart w:id="500" w:name="_Toc511116599"/>
      <w:bookmarkStart w:id="501" w:name="_Toc5269361"/>
      <w:bookmarkStart w:id="502" w:name="_Toc32570642"/>
      <w:bookmarkStart w:id="503" w:name="_Toc36224401"/>
      <w:bookmarkStart w:id="504" w:name="_Toc68786321"/>
      <w:r w:rsidRPr="00BE78CA">
        <w:t xml:space="preserve">5.1 </w:t>
      </w:r>
      <w:r w:rsidRPr="00BE78CA">
        <w:tab/>
        <w:t>Sector overview</w:t>
      </w:r>
      <w:bookmarkEnd w:id="499"/>
      <w:bookmarkEnd w:id="500"/>
      <w:bookmarkEnd w:id="501"/>
      <w:bookmarkEnd w:id="502"/>
      <w:bookmarkEnd w:id="503"/>
      <w:bookmarkEnd w:id="504"/>
    </w:p>
    <w:p w14:paraId="35115F47" w14:textId="77777777" w:rsidR="007A3CC0" w:rsidRPr="00BE78CA" w:rsidRDefault="007A3CC0" w:rsidP="00C26084">
      <w:pPr>
        <w:pStyle w:val="Heading4"/>
        <w:spacing w:before="200"/>
      </w:pPr>
      <w:r w:rsidRPr="00BE78CA">
        <w:t>Emissions summary</w:t>
      </w:r>
    </w:p>
    <w:p w14:paraId="76810619" w14:textId="77777777" w:rsidR="007A3CC0" w:rsidRPr="00BE78CA" w:rsidRDefault="007A3CC0" w:rsidP="00C26084">
      <w:pPr>
        <w:pStyle w:val="Heading5"/>
        <w:spacing w:before="200"/>
      </w:pPr>
      <w:r w:rsidRPr="00BE78CA">
        <w:t>2019</w:t>
      </w:r>
    </w:p>
    <w:p w14:paraId="4ED3EF15" w14:textId="5371DB20" w:rsidR="007A3CC0" w:rsidRPr="00BE78CA" w:rsidRDefault="007A3CC0" w:rsidP="00C26084">
      <w:pPr>
        <w:pStyle w:val="BodyText"/>
        <w:spacing w:before="100" w:after="100"/>
      </w:pPr>
      <w:r w:rsidRPr="00BE78CA">
        <w:t>In 2019, emissions from the Agriculture sector contributed 39,617.7 kilotonnes carbon dioxide equivalent (kt CO</w:t>
      </w:r>
      <w:r w:rsidRPr="00BE78CA">
        <w:rPr>
          <w:vertAlign w:val="subscript"/>
        </w:rPr>
        <w:t>2</w:t>
      </w:r>
      <w:r w:rsidRPr="00BE78CA">
        <w:t>-e), representing 48.1 per cent of New Zealand’s gross emissions in 2019.</w:t>
      </w:r>
    </w:p>
    <w:p w14:paraId="3387D82A" w14:textId="77777777" w:rsidR="007A3CC0" w:rsidRPr="00BE78CA" w:rsidRDefault="007A3CC0" w:rsidP="00C26084">
      <w:pPr>
        <w:pStyle w:val="BodyText"/>
        <w:spacing w:before="100" w:after="100"/>
      </w:pPr>
      <w:r w:rsidRPr="00BE78CA">
        <w:rPr>
          <w:i/>
          <w:iCs/>
        </w:rPr>
        <w:t>Enteric fermentation</w:t>
      </w:r>
      <w:r w:rsidRPr="00BE78CA">
        <w:t xml:space="preserve"> was the main source of agriculture emissions, contributing 73.1 per cent (28,974.6 kt CO</w:t>
      </w:r>
      <w:r w:rsidRPr="00BE78CA">
        <w:rPr>
          <w:vertAlign w:val="subscript"/>
        </w:rPr>
        <w:t>2</w:t>
      </w:r>
      <w:r w:rsidRPr="00BE78CA">
        <w:t xml:space="preserve">-e) of the sector’s emissions. </w:t>
      </w:r>
      <w:r w:rsidRPr="00BE78CA">
        <w:rPr>
          <w:i/>
          <w:iCs/>
        </w:rPr>
        <w:t xml:space="preserve">Agricultural soils </w:t>
      </w:r>
      <w:r w:rsidRPr="00BE78CA">
        <w:t xml:space="preserve">(19.6 per cent) was the second largest source followed by </w:t>
      </w:r>
      <w:r w:rsidRPr="00BE78CA">
        <w:rPr>
          <w:i/>
          <w:iCs/>
        </w:rPr>
        <w:t xml:space="preserve">Manure management </w:t>
      </w:r>
      <w:r w:rsidRPr="00BE78CA">
        <w:t xml:space="preserve">(4.4 per cent). </w:t>
      </w:r>
      <w:r w:rsidRPr="00BE78CA">
        <w:rPr>
          <w:i/>
          <w:iCs/>
        </w:rPr>
        <w:t xml:space="preserve">Urea application </w:t>
      </w:r>
      <w:r w:rsidRPr="00BE78CA">
        <w:t xml:space="preserve">and </w:t>
      </w:r>
      <w:r w:rsidRPr="00BE78CA">
        <w:rPr>
          <w:i/>
          <w:iCs/>
        </w:rPr>
        <w:t>Liming</w:t>
      </w:r>
      <w:r w:rsidRPr="00BE78CA">
        <w:t xml:space="preserve"> contributed 1.4 per cent each. </w:t>
      </w:r>
      <w:r w:rsidRPr="00BE78CA">
        <w:rPr>
          <w:i/>
          <w:iCs/>
        </w:rPr>
        <w:t>Field burning of agricultural residues</w:t>
      </w:r>
      <w:r w:rsidRPr="00BE78CA">
        <w:t xml:space="preserve"> contributed the remaining 0.1 per cent.</w:t>
      </w:r>
    </w:p>
    <w:p w14:paraId="7D7C8D6F" w14:textId="074788D6" w:rsidR="007A3CC0" w:rsidRPr="00BE78CA" w:rsidRDefault="007A3CC0" w:rsidP="00C26084">
      <w:pPr>
        <w:pStyle w:val="BodyText"/>
        <w:spacing w:before="100" w:after="100"/>
      </w:pPr>
      <w:r w:rsidRPr="00BE78CA">
        <w:t>Methane (CH</w:t>
      </w:r>
      <w:r w:rsidRPr="00BE78CA">
        <w:rPr>
          <w:vertAlign w:val="subscript"/>
        </w:rPr>
        <w:t>4</w:t>
      </w:r>
      <w:r w:rsidRPr="00BE78CA">
        <w:t xml:space="preserve">) emissions from </w:t>
      </w:r>
      <w:r w:rsidRPr="00BE78CA">
        <w:rPr>
          <w:i/>
          <w:iCs/>
        </w:rPr>
        <w:t>Enteric fermentation</w:t>
      </w:r>
      <w:r w:rsidRPr="00BE78CA">
        <w:t xml:space="preserve"> were 35.2 per cent of New Zealand’s gross emissions, and nitrous oxide (N</w:t>
      </w:r>
      <w:r w:rsidRPr="00BE78CA">
        <w:rPr>
          <w:vertAlign w:val="subscript"/>
        </w:rPr>
        <w:t>2</w:t>
      </w:r>
      <w:r w:rsidRPr="00BE78CA">
        <w:t xml:space="preserve">O) emissions from the </w:t>
      </w:r>
      <w:r w:rsidRPr="00BE78CA">
        <w:rPr>
          <w:i/>
          <w:iCs/>
        </w:rPr>
        <w:t>Agricultural soils</w:t>
      </w:r>
      <w:r w:rsidRPr="00BE78CA">
        <w:t xml:space="preserve"> category were 9.4 per cent of New Zealand’s gross emissions. </w:t>
      </w:r>
    </w:p>
    <w:p w14:paraId="2E4AD4C9" w14:textId="77777777" w:rsidR="007A3CC0" w:rsidRPr="00BE78CA" w:rsidRDefault="007A3CC0" w:rsidP="00C26084">
      <w:pPr>
        <w:pStyle w:val="BodyText"/>
        <w:spacing w:before="100" w:after="100"/>
      </w:pPr>
      <w:r w:rsidRPr="00BE78CA">
        <w:t>New Zealand reports emissions from Tokelau, which is a dependent territory of New Zealand. These are reported for all activities in annex 7 of the National Inventory Report and within the ‘Other’ sector in the common reporting format (CRF) tables. Therefore, all emissions reported in this sector are from New Zealand excluding Tokelau. Please refer to chapter 8 and annex 7 for details of methods applied and the emissions for Tokelau.</w:t>
      </w:r>
    </w:p>
    <w:p w14:paraId="3C901FF6" w14:textId="77777777" w:rsidR="00F02481" w:rsidRPr="00BE78CA" w:rsidRDefault="00F02481" w:rsidP="00C26084">
      <w:pPr>
        <w:pStyle w:val="Heading5"/>
        <w:spacing w:before="200"/>
      </w:pPr>
      <w:r w:rsidRPr="00BE78CA">
        <w:t>1990–2019</w:t>
      </w:r>
    </w:p>
    <w:p w14:paraId="0026F50A" w14:textId="77777777" w:rsidR="00F02481" w:rsidRPr="00BE78CA" w:rsidRDefault="00F02481" w:rsidP="00C26084">
      <w:pPr>
        <w:pStyle w:val="BodyText"/>
      </w:pPr>
      <w:r w:rsidRPr="00BE78CA">
        <w:t xml:space="preserve">In 2019, New Zealand’s Agriculture sector emissions were 17.1 per cent (5,777.4 kt </w:t>
      </w:r>
      <w:r w:rsidRPr="00BE78CA">
        <w:rPr>
          <w:spacing w:val="-2"/>
        </w:rPr>
        <w:t>CO</w:t>
      </w:r>
      <w:r w:rsidRPr="00BE78CA">
        <w:rPr>
          <w:spacing w:val="-2"/>
          <w:vertAlign w:val="subscript"/>
        </w:rPr>
        <w:t>2</w:t>
      </w:r>
      <w:r w:rsidRPr="00BE78CA">
        <w:rPr>
          <w:spacing w:val="-2"/>
        </w:rPr>
        <w:t>-e</w:t>
      </w:r>
      <w:r w:rsidRPr="00BE78CA">
        <w:t xml:space="preserve">) above the 1990 level (33,840.3 kt </w:t>
      </w:r>
      <w:r w:rsidRPr="00BE78CA">
        <w:rPr>
          <w:spacing w:val="-2"/>
        </w:rPr>
        <w:t>CO</w:t>
      </w:r>
      <w:r w:rsidRPr="00BE78CA">
        <w:rPr>
          <w:spacing w:val="-2"/>
          <w:vertAlign w:val="subscript"/>
        </w:rPr>
        <w:t>2</w:t>
      </w:r>
      <w:r w:rsidRPr="00BE78CA">
        <w:rPr>
          <w:spacing w:val="-2"/>
        </w:rPr>
        <w:t>-e</w:t>
      </w:r>
      <w:r w:rsidRPr="00BE78CA">
        <w:t>).</w:t>
      </w:r>
    </w:p>
    <w:p w14:paraId="71933DD9" w14:textId="77777777" w:rsidR="00F02481" w:rsidRPr="00BE78CA" w:rsidRDefault="00F02481" w:rsidP="00C26084">
      <w:pPr>
        <w:pStyle w:val="Table"/>
        <w:rPr>
          <w:rFonts w:cs="Calibri"/>
        </w:rPr>
      </w:pPr>
      <w:bookmarkStart w:id="505" w:name="_Toc32570909"/>
      <w:bookmarkStart w:id="506" w:name="_Toc36224544"/>
      <w:bookmarkStart w:id="507" w:name="_Toc68786430"/>
      <w:r w:rsidRPr="00BE78CA">
        <w:rPr>
          <w:rFonts w:cs="Calibri"/>
        </w:rPr>
        <w:t xml:space="preserve">Table 5.1.1 </w:t>
      </w:r>
      <w:r w:rsidRPr="00BE78CA">
        <w:rPr>
          <w:rFonts w:cs="Calibri"/>
        </w:rPr>
        <w:tab/>
        <w:t>Trends and relative contribution of New Zealand’s agricultural greenhouse gas emissions by category between 1990 and 201</w:t>
      </w:r>
      <w:bookmarkEnd w:id="505"/>
      <w:bookmarkEnd w:id="506"/>
      <w:r w:rsidRPr="00BE78CA">
        <w:rPr>
          <w:rFonts w:cs="Calibri"/>
        </w:rPr>
        <w:t>9</w:t>
      </w:r>
      <w:bookmarkEnd w:id="507"/>
    </w:p>
    <w:tbl>
      <w:tblPr>
        <w:tblW w:w="8505" w:type="dxa"/>
        <w:tblBorders>
          <w:top w:val="single" w:sz="4" w:space="0" w:color="365F91"/>
          <w:left w:val="single" w:sz="4" w:space="0" w:color="365F91"/>
          <w:bottom w:val="single" w:sz="4" w:space="0" w:color="365F91"/>
          <w:right w:val="single" w:sz="4" w:space="0" w:color="365F91"/>
          <w:insideH w:val="single" w:sz="4" w:space="0" w:color="365F91"/>
        </w:tblBorders>
        <w:tblLayout w:type="fixed"/>
        <w:tblCellMar>
          <w:right w:w="85" w:type="dxa"/>
        </w:tblCellMar>
        <w:tblLook w:val="04A0" w:firstRow="1" w:lastRow="0" w:firstColumn="1" w:lastColumn="0" w:noHBand="0" w:noVBand="1"/>
      </w:tblPr>
      <w:tblGrid>
        <w:gridCol w:w="3206"/>
        <w:gridCol w:w="796"/>
        <w:gridCol w:w="894"/>
        <w:gridCol w:w="1070"/>
        <w:gridCol w:w="989"/>
        <w:gridCol w:w="824"/>
        <w:gridCol w:w="726"/>
      </w:tblGrid>
      <w:tr w:rsidR="000209D8" w:rsidRPr="00BE78CA" w14:paraId="3941055F" w14:textId="77777777" w:rsidTr="000724BC">
        <w:tc>
          <w:tcPr>
            <w:tcW w:w="3232" w:type="dxa"/>
            <w:tcBorders>
              <w:left w:val="nil"/>
            </w:tcBorders>
            <w:shd w:val="clear" w:color="auto" w:fill="365F91"/>
            <w:vAlign w:val="bottom"/>
          </w:tcPr>
          <w:p w14:paraId="38B89709" w14:textId="2B5BD50E" w:rsidR="00F02481" w:rsidRPr="00BE78CA" w:rsidRDefault="00F02481" w:rsidP="005C60D4">
            <w:pPr>
              <w:pStyle w:val="TableTextBold"/>
              <w:rPr>
                <w:noProof w:val="0"/>
                <w:color w:val="FFFFFF" w:themeColor="background1"/>
              </w:rPr>
            </w:pPr>
          </w:p>
        </w:tc>
        <w:tc>
          <w:tcPr>
            <w:tcW w:w="1701" w:type="dxa"/>
            <w:gridSpan w:val="2"/>
            <w:shd w:val="clear" w:color="auto" w:fill="365F91"/>
            <w:vAlign w:val="bottom"/>
          </w:tcPr>
          <w:p w14:paraId="1C86F708" w14:textId="77777777" w:rsidR="00F02481" w:rsidRPr="00BE78CA" w:rsidRDefault="00F02481" w:rsidP="00C26084">
            <w:pPr>
              <w:pStyle w:val="TableTextBold"/>
              <w:spacing w:after="0"/>
              <w:jc w:val="center"/>
              <w:rPr>
                <w:noProof w:val="0"/>
                <w:color w:val="FFFFFF" w:themeColor="background1"/>
              </w:rPr>
            </w:pPr>
            <w:r w:rsidRPr="00BE78CA">
              <w:rPr>
                <w:noProof w:val="0"/>
                <w:color w:val="FFFFFF" w:themeColor="background1"/>
              </w:rPr>
              <w:t>Emissions</w:t>
            </w:r>
            <w:r w:rsidRPr="00BE78CA">
              <w:rPr>
                <w:noProof w:val="0"/>
                <w:color w:val="FFFFFF" w:themeColor="background1"/>
              </w:rPr>
              <w:br/>
              <w:t>(kt CO</w:t>
            </w:r>
            <w:r w:rsidRPr="00BE78CA">
              <w:rPr>
                <w:noProof w:val="0"/>
                <w:color w:val="FFFFFF" w:themeColor="background1"/>
                <w:vertAlign w:val="subscript"/>
              </w:rPr>
              <w:t>2</w:t>
            </w:r>
            <w:r w:rsidRPr="00BE78CA">
              <w:rPr>
                <w:noProof w:val="0"/>
                <w:color w:val="FFFFFF" w:themeColor="background1"/>
              </w:rPr>
              <w:t>-e)</w:t>
            </w:r>
          </w:p>
        </w:tc>
        <w:tc>
          <w:tcPr>
            <w:tcW w:w="1077" w:type="dxa"/>
            <w:shd w:val="clear" w:color="auto" w:fill="365F91"/>
            <w:vAlign w:val="bottom"/>
          </w:tcPr>
          <w:p w14:paraId="00BFC1AE" w14:textId="77777777" w:rsidR="00F02481" w:rsidRPr="00BE78CA" w:rsidRDefault="00F02481" w:rsidP="00C26084">
            <w:pPr>
              <w:pStyle w:val="TableTextBold"/>
              <w:spacing w:after="0"/>
              <w:jc w:val="center"/>
              <w:rPr>
                <w:noProof w:val="0"/>
                <w:color w:val="FFFFFF" w:themeColor="background1"/>
              </w:rPr>
            </w:pPr>
            <w:r w:rsidRPr="00BE78CA">
              <w:rPr>
                <w:noProof w:val="0"/>
                <w:color w:val="FFFFFF" w:themeColor="background1"/>
              </w:rPr>
              <w:t>Change</w:t>
            </w:r>
            <w:r w:rsidRPr="00BE78CA">
              <w:rPr>
                <w:noProof w:val="0"/>
                <w:color w:val="FFFFFF" w:themeColor="background1"/>
              </w:rPr>
              <w:br/>
              <w:t>(percentage)</w:t>
            </w:r>
          </w:p>
        </w:tc>
        <w:tc>
          <w:tcPr>
            <w:tcW w:w="996" w:type="dxa"/>
            <w:shd w:val="clear" w:color="auto" w:fill="365F91"/>
            <w:vAlign w:val="bottom"/>
          </w:tcPr>
          <w:p w14:paraId="5775E688" w14:textId="77777777" w:rsidR="00F02481" w:rsidRPr="00BE78CA" w:rsidRDefault="00F02481" w:rsidP="00C26084">
            <w:pPr>
              <w:pStyle w:val="TableTextBold"/>
              <w:spacing w:after="0"/>
              <w:jc w:val="center"/>
              <w:rPr>
                <w:noProof w:val="0"/>
                <w:color w:val="FFFFFF" w:themeColor="background1"/>
              </w:rPr>
            </w:pPr>
            <w:r w:rsidRPr="00BE78CA">
              <w:rPr>
                <w:noProof w:val="0"/>
                <w:color w:val="FFFFFF" w:themeColor="background1"/>
              </w:rPr>
              <w:t>Difference</w:t>
            </w:r>
            <w:r w:rsidRPr="00BE78CA">
              <w:rPr>
                <w:noProof w:val="0"/>
                <w:color w:val="FFFFFF" w:themeColor="background1"/>
              </w:rPr>
              <w:br/>
              <w:t>(kt CO</w:t>
            </w:r>
            <w:r w:rsidRPr="00BE78CA">
              <w:rPr>
                <w:noProof w:val="0"/>
                <w:color w:val="FFFFFF" w:themeColor="background1"/>
                <w:vertAlign w:val="subscript"/>
              </w:rPr>
              <w:t>2</w:t>
            </w:r>
            <w:r w:rsidRPr="00BE78CA">
              <w:rPr>
                <w:noProof w:val="0"/>
                <w:color w:val="FFFFFF" w:themeColor="background1"/>
              </w:rPr>
              <w:t>-e)</w:t>
            </w:r>
          </w:p>
        </w:tc>
        <w:tc>
          <w:tcPr>
            <w:tcW w:w="1559" w:type="dxa"/>
            <w:gridSpan w:val="2"/>
            <w:tcBorders>
              <w:right w:val="nil"/>
            </w:tcBorders>
            <w:shd w:val="clear" w:color="auto" w:fill="365F91"/>
            <w:vAlign w:val="bottom"/>
          </w:tcPr>
          <w:p w14:paraId="6119E3B2" w14:textId="77777777" w:rsidR="00F02481" w:rsidRPr="00BE78CA" w:rsidRDefault="00F02481" w:rsidP="00C26084">
            <w:pPr>
              <w:pStyle w:val="TableTextBold"/>
              <w:spacing w:after="0"/>
              <w:jc w:val="center"/>
              <w:rPr>
                <w:noProof w:val="0"/>
                <w:color w:val="FFFFFF" w:themeColor="background1"/>
              </w:rPr>
            </w:pPr>
            <w:r w:rsidRPr="00BE78CA">
              <w:rPr>
                <w:noProof w:val="0"/>
                <w:color w:val="FFFFFF" w:themeColor="background1"/>
              </w:rPr>
              <w:t>Share (percentage) of sector</w:t>
            </w:r>
          </w:p>
        </w:tc>
      </w:tr>
      <w:tr w:rsidR="005C60D4" w:rsidRPr="00BE78CA" w14:paraId="04C24B54" w14:textId="77777777" w:rsidTr="000724BC">
        <w:tc>
          <w:tcPr>
            <w:tcW w:w="3232" w:type="dxa"/>
            <w:tcBorders>
              <w:left w:val="nil"/>
            </w:tcBorders>
            <w:shd w:val="clear" w:color="auto" w:fill="365F91"/>
          </w:tcPr>
          <w:p w14:paraId="0E77E1F6" w14:textId="7D094A41" w:rsidR="00F02481" w:rsidRPr="00BE78CA" w:rsidRDefault="005C60D4" w:rsidP="005C60D4">
            <w:pPr>
              <w:pStyle w:val="TableTextBold"/>
              <w:rPr>
                <w:noProof w:val="0"/>
                <w:color w:val="FFFFFF" w:themeColor="background1"/>
              </w:rPr>
            </w:pPr>
            <w:r w:rsidRPr="00BE78CA">
              <w:rPr>
                <w:noProof w:val="0"/>
                <w:color w:val="FFFFFF" w:themeColor="background1"/>
              </w:rPr>
              <w:t>Category</w:t>
            </w:r>
          </w:p>
        </w:tc>
        <w:tc>
          <w:tcPr>
            <w:tcW w:w="801" w:type="dxa"/>
            <w:shd w:val="clear" w:color="auto" w:fill="365F91"/>
            <w:vAlign w:val="bottom"/>
          </w:tcPr>
          <w:p w14:paraId="282442AE" w14:textId="77777777" w:rsidR="00F02481" w:rsidRPr="00BE78CA" w:rsidRDefault="00F02481" w:rsidP="00C26084">
            <w:pPr>
              <w:pStyle w:val="TableTextBold"/>
              <w:jc w:val="center"/>
              <w:rPr>
                <w:noProof w:val="0"/>
                <w:color w:val="FFFFFF" w:themeColor="background1"/>
              </w:rPr>
            </w:pPr>
            <w:r w:rsidRPr="00BE78CA">
              <w:rPr>
                <w:noProof w:val="0"/>
                <w:color w:val="FFFFFF" w:themeColor="background1"/>
              </w:rPr>
              <w:t>1990</w:t>
            </w:r>
          </w:p>
        </w:tc>
        <w:tc>
          <w:tcPr>
            <w:tcW w:w="900" w:type="dxa"/>
            <w:shd w:val="clear" w:color="auto" w:fill="365F91"/>
            <w:vAlign w:val="bottom"/>
          </w:tcPr>
          <w:p w14:paraId="121EDC6A" w14:textId="77777777" w:rsidR="00F02481" w:rsidRPr="00BE78CA" w:rsidRDefault="00F02481" w:rsidP="00C26084">
            <w:pPr>
              <w:pStyle w:val="TableTextBold"/>
              <w:jc w:val="center"/>
              <w:rPr>
                <w:noProof w:val="0"/>
                <w:color w:val="FFFFFF" w:themeColor="background1"/>
              </w:rPr>
            </w:pPr>
            <w:r w:rsidRPr="00BE78CA">
              <w:rPr>
                <w:noProof w:val="0"/>
                <w:color w:val="FFFFFF" w:themeColor="background1"/>
              </w:rPr>
              <w:t>2019</w:t>
            </w:r>
          </w:p>
        </w:tc>
        <w:tc>
          <w:tcPr>
            <w:tcW w:w="1077" w:type="dxa"/>
            <w:shd w:val="clear" w:color="auto" w:fill="365F91"/>
            <w:vAlign w:val="bottom"/>
          </w:tcPr>
          <w:p w14:paraId="44FA81C2" w14:textId="77777777" w:rsidR="00F02481" w:rsidRPr="00BE78CA" w:rsidRDefault="00F02481" w:rsidP="00C26084">
            <w:pPr>
              <w:pStyle w:val="TableTextBold"/>
              <w:jc w:val="center"/>
              <w:rPr>
                <w:noProof w:val="0"/>
                <w:color w:val="FFFFFF" w:themeColor="background1"/>
              </w:rPr>
            </w:pPr>
            <w:r w:rsidRPr="00BE78CA">
              <w:rPr>
                <w:noProof w:val="0"/>
                <w:color w:val="FFFFFF" w:themeColor="background1"/>
              </w:rPr>
              <w:t>1990–2019</w:t>
            </w:r>
          </w:p>
        </w:tc>
        <w:tc>
          <w:tcPr>
            <w:tcW w:w="996" w:type="dxa"/>
            <w:shd w:val="clear" w:color="auto" w:fill="365F91"/>
            <w:vAlign w:val="bottom"/>
          </w:tcPr>
          <w:p w14:paraId="5950D29B" w14:textId="77777777" w:rsidR="00F02481" w:rsidRPr="00BE78CA" w:rsidRDefault="00F02481" w:rsidP="00C26084">
            <w:pPr>
              <w:pStyle w:val="TableTextBold"/>
              <w:jc w:val="center"/>
              <w:rPr>
                <w:noProof w:val="0"/>
                <w:color w:val="FFFFFF" w:themeColor="background1"/>
              </w:rPr>
            </w:pPr>
            <w:r w:rsidRPr="00BE78CA">
              <w:rPr>
                <w:noProof w:val="0"/>
                <w:color w:val="FFFFFF" w:themeColor="background1"/>
              </w:rPr>
              <w:t>1990–2019</w:t>
            </w:r>
          </w:p>
        </w:tc>
        <w:tc>
          <w:tcPr>
            <w:tcW w:w="829" w:type="dxa"/>
            <w:shd w:val="clear" w:color="auto" w:fill="365F91"/>
            <w:tcMar>
              <w:right w:w="85" w:type="dxa"/>
            </w:tcMar>
          </w:tcPr>
          <w:p w14:paraId="0CAC6A11" w14:textId="77777777" w:rsidR="00F02481" w:rsidRPr="00BE78CA" w:rsidRDefault="00F02481" w:rsidP="00C26084">
            <w:pPr>
              <w:pStyle w:val="TableTextBold"/>
              <w:jc w:val="center"/>
              <w:rPr>
                <w:noProof w:val="0"/>
                <w:color w:val="FFFFFF" w:themeColor="background1"/>
              </w:rPr>
            </w:pPr>
            <w:r w:rsidRPr="00BE78CA">
              <w:rPr>
                <w:noProof w:val="0"/>
                <w:color w:val="FFFFFF" w:themeColor="background1"/>
              </w:rPr>
              <w:t>1990</w:t>
            </w:r>
          </w:p>
        </w:tc>
        <w:tc>
          <w:tcPr>
            <w:tcW w:w="730" w:type="dxa"/>
            <w:tcBorders>
              <w:right w:val="nil"/>
            </w:tcBorders>
            <w:shd w:val="clear" w:color="auto" w:fill="365F91"/>
            <w:tcMar>
              <w:right w:w="85" w:type="dxa"/>
            </w:tcMar>
          </w:tcPr>
          <w:p w14:paraId="4D6DB4EA" w14:textId="77777777" w:rsidR="00F02481" w:rsidRPr="00BE78CA" w:rsidRDefault="00F02481" w:rsidP="00C26084">
            <w:pPr>
              <w:pStyle w:val="TableTextBold"/>
              <w:jc w:val="center"/>
              <w:rPr>
                <w:noProof w:val="0"/>
                <w:color w:val="FFFFFF" w:themeColor="background1"/>
              </w:rPr>
            </w:pPr>
            <w:r w:rsidRPr="00BE78CA">
              <w:rPr>
                <w:noProof w:val="0"/>
                <w:color w:val="FFFFFF" w:themeColor="background1"/>
              </w:rPr>
              <w:t>2019</w:t>
            </w:r>
          </w:p>
        </w:tc>
      </w:tr>
      <w:tr w:rsidR="000724BC" w:rsidRPr="00BE78CA" w14:paraId="16284267" w14:textId="77777777" w:rsidTr="000724BC">
        <w:tc>
          <w:tcPr>
            <w:tcW w:w="3232" w:type="dxa"/>
            <w:tcBorders>
              <w:left w:val="nil"/>
            </w:tcBorders>
            <w:shd w:val="clear" w:color="auto" w:fill="auto"/>
            <w:vAlign w:val="bottom"/>
          </w:tcPr>
          <w:p w14:paraId="2CD09295" w14:textId="77777777" w:rsidR="00F02481" w:rsidRPr="00BE78CA" w:rsidRDefault="00F02481" w:rsidP="00C26084">
            <w:pPr>
              <w:pStyle w:val="TableText"/>
              <w:spacing w:before="50" w:after="50"/>
              <w:rPr>
                <w:rFonts w:cs="Calibri"/>
              </w:rPr>
            </w:pPr>
            <w:r w:rsidRPr="00BE78CA">
              <w:rPr>
                <w:rFonts w:cs="Calibri"/>
              </w:rPr>
              <w:t>Enteric fermentation (CRF 3.A)</w:t>
            </w:r>
          </w:p>
        </w:tc>
        <w:tc>
          <w:tcPr>
            <w:tcW w:w="801" w:type="dxa"/>
            <w:shd w:val="clear" w:color="auto" w:fill="auto"/>
            <w:vAlign w:val="bottom"/>
          </w:tcPr>
          <w:p w14:paraId="58943964" w14:textId="77777777" w:rsidR="00F02481" w:rsidRPr="00BE78CA" w:rsidRDefault="00F02481" w:rsidP="00C26084">
            <w:pPr>
              <w:pStyle w:val="TableText"/>
              <w:spacing w:before="50" w:after="50"/>
              <w:jc w:val="right"/>
              <w:rPr>
                <w:rFonts w:cs="Calibri"/>
              </w:rPr>
            </w:pPr>
            <w:r w:rsidRPr="00BE78CA">
              <w:rPr>
                <w:rFonts w:cs="Calibri"/>
              </w:rPr>
              <w:t>27,350.4</w:t>
            </w:r>
          </w:p>
        </w:tc>
        <w:tc>
          <w:tcPr>
            <w:tcW w:w="900" w:type="dxa"/>
            <w:shd w:val="clear" w:color="auto" w:fill="auto"/>
            <w:vAlign w:val="bottom"/>
          </w:tcPr>
          <w:p w14:paraId="496A944F" w14:textId="77777777" w:rsidR="00F02481" w:rsidRPr="00BE78CA" w:rsidRDefault="00F02481" w:rsidP="00C26084">
            <w:pPr>
              <w:pStyle w:val="TableText"/>
              <w:spacing w:before="50" w:after="50"/>
              <w:jc w:val="right"/>
              <w:rPr>
                <w:rFonts w:cs="Calibri"/>
              </w:rPr>
            </w:pPr>
            <w:r w:rsidRPr="00BE78CA">
              <w:rPr>
                <w:rFonts w:cs="Calibri"/>
              </w:rPr>
              <w:t>28,974.6</w:t>
            </w:r>
          </w:p>
        </w:tc>
        <w:tc>
          <w:tcPr>
            <w:tcW w:w="1077" w:type="dxa"/>
            <w:shd w:val="clear" w:color="auto" w:fill="auto"/>
            <w:vAlign w:val="bottom"/>
          </w:tcPr>
          <w:p w14:paraId="18C87285" w14:textId="77777777" w:rsidR="00F02481" w:rsidRPr="00BE78CA" w:rsidRDefault="00F02481" w:rsidP="00C26084">
            <w:pPr>
              <w:pStyle w:val="TableText"/>
              <w:spacing w:before="50" w:after="50"/>
              <w:jc w:val="right"/>
              <w:rPr>
                <w:rFonts w:cs="Calibri"/>
              </w:rPr>
            </w:pPr>
            <w:r w:rsidRPr="00BE78CA">
              <w:rPr>
                <w:rFonts w:cs="Calibri"/>
              </w:rPr>
              <w:t>5.9</w:t>
            </w:r>
          </w:p>
        </w:tc>
        <w:tc>
          <w:tcPr>
            <w:tcW w:w="996" w:type="dxa"/>
            <w:shd w:val="clear" w:color="auto" w:fill="auto"/>
            <w:vAlign w:val="bottom"/>
          </w:tcPr>
          <w:p w14:paraId="5CDE074C" w14:textId="77777777" w:rsidR="00F02481" w:rsidRPr="00BE78CA" w:rsidRDefault="00F02481" w:rsidP="00C26084">
            <w:pPr>
              <w:pStyle w:val="TableText"/>
              <w:spacing w:before="50" w:after="50"/>
              <w:jc w:val="right"/>
              <w:rPr>
                <w:rFonts w:cs="Calibri"/>
              </w:rPr>
            </w:pPr>
            <w:r w:rsidRPr="00BE78CA">
              <w:rPr>
                <w:rFonts w:cs="Calibri"/>
              </w:rPr>
              <w:t>1,624.2</w:t>
            </w:r>
          </w:p>
        </w:tc>
        <w:tc>
          <w:tcPr>
            <w:tcW w:w="829" w:type="dxa"/>
            <w:shd w:val="clear" w:color="auto" w:fill="auto"/>
            <w:vAlign w:val="bottom"/>
          </w:tcPr>
          <w:p w14:paraId="4CCAC42D" w14:textId="77777777" w:rsidR="00F02481" w:rsidRPr="00BE78CA" w:rsidRDefault="00F02481" w:rsidP="00C26084">
            <w:pPr>
              <w:pStyle w:val="TableText"/>
              <w:spacing w:before="50" w:after="50"/>
              <w:jc w:val="right"/>
              <w:rPr>
                <w:rFonts w:cs="Calibri"/>
              </w:rPr>
            </w:pPr>
            <w:r w:rsidRPr="00BE78CA">
              <w:rPr>
                <w:rFonts w:cs="Calibri"/>
              </w:rPr>
              <w:t>80.8</w:t>
            </w:r>
          </w:p>
        </w:tc>
        <w:tc>
          <w:tcPr>
            <w:tcW w:w="730" w:type="dxa"/>
            <w:tcBorders>
              <w:right w:val="nil"/>
            </w:tcBorders>
            <w:shd w:val="clear" w:color="auto" w:fill="auto"/>
            <w:vAlign w:val="bottom"/>
          </w:tcPr>
          <w:p w14:paraId="19D4DCD3" w14:textId="77777777" w:rsidR="00F02481" w:rsidRPr="00BE78CA" w:rsidRDefault="00F02481" w:rsidP="00C26084">
            <w:pPr>
              <w:pStyle w:val="TableText"/>
              <w:spacing w:before="50" w:after="50"/>
              <w:jc w:val="right"/>
              <w:rPr>
                <w:rFonts w:cs="Calibri"/>
              </w:rPr>
            </w:pPr>
            <w:r w:rsidRPr="00BE78CA">
              <w:rPr>
                <w:rFonts w:cs="Calibri"/>
              </w:rPr>
              <w:t>73.1</w:t>
            </w:r>
          </w:p>
        </w:tc>
      </w:tr>
      <w:tr w:rsidR="000724BC" w:rsidRPr="00BE78CA" w14:paraId="5D8EB12C" w14:textId="77777777" w:rsidTr="000724BC">
        <w:tc>
          <w:tcPr>
            <w:tcW w:w="3232" w:type="dxa"/>
            <w:tcBorders>
              <w:left w:val="nil"/>
            </w:tcBorders>
            <w:shd w:val="clear" w:color="auto" w:fill="auto"/>
            <w:vAlign w:val="bottom"/>
          </w:tcPr>
          <w:p w14:paraId="2188224A" w14:textId="77777777" w:rsidR="00F02481" w:rsidRPr="00BE78CA" w:rsidRDefault="00F02481" w:rsidP="00C26084">
            <w:pPr>
              <w:pStyle w:val="TableText"/>
              <w:spacing w:before="50" w:after="50"/>
              <w:rPr>
                <w:rFonts w:cs="Calibri"/>
              </w:rPr>
            </w:pPr>
            <w:r w:rsidRPr="00BE78CA">
              <w:rPr>
                <w:rFonts w:cs="Calibri"/>
              </w:rPr>
              <w:t>Manure management (CRF 3.B)</w:t>
            </w:r>
          </w:p>
        </w:tc>
        <w:tc>
          <w:tcPr>
            <w:tcW w:w="801" w:type="dxa"/>
            <w:shd w:val="clear" w:color="auto" w:fill="auto"/>
            <w:vAlign w:val="bottom"/>
          </w:tcPr>
          <w:p w14:paraId="7E98458C" w14:textId="77777777" w:rsidR="00F02481" w:rsidRPr="00BE78CA" w:rsidRDefault="00F02481" w:rsidP="00C26084">
            <w:pPr>
              <w:pStyle w:val="TableText"/>
              <w:spacing w:before="50" w:after="50"/>
              <w:jc w:val="right"/>
              <w:rPr>
                <w:rFonts w:cs="Calibri"/>
              </w:rPr>
            </w:pPr>
            <w:r w:rsidRPr="00BE78CA">
              <w:rPr>
                <w:rFonts w:cs="Calibri"/>
              </w:rPr>
              <w:t>778.5</w:t>
            </w:r>
          </w:p>
        </w:tc>
        <w:tc>
          <w:tcPr>
            <w:tcW w:w="900" w:type="dxa"/>
            <w:shd w:val="clear" w:color="auto" w:fill="auto"/>
            <w:vAlign w:val="bottom"/>
          </w:tcPr>
          <w:p w14:paraId="32B115CE" w14:textId="77777777" w:rsidR="00F02481" w:rsidRPr="00BE78CA" w:rsidRDefault="00F02481" w:rsidP="00C26084">
            <w:pPr>
              <w:pStyle w:val="TableText"/>
              <w:spacing w:before="50" w:after="50"/>
              <w:jc w:val="right"/>
              <w:rPr>
                <w:rFonts w:cs="Calibri"/>
              </w:rPr>
            </w:pPr>
            <w:r w:rsidRPr="00BE78CA">
              <w:rPr>
                <w:rFonts w:cs="Calibri"/>
              </w:rPr>
              <w:t>1,738.9</w:t>
            </w:r>
          </w:p>
        </w:tc>
        <w:tc>
          <w:tcPr>
            <w:tcW w:w="1077" w:type="dxa"/>
            <w:shd w:val="clear" w:color="auto" w:fill="auto"/>
            <w:vAlign w:val="bottom"/>
          </w:tcPr>
          <w:p w14:paraId="4E9E42BF" w14:textId="77777777" w:rsidR="00F02481" w:rsidRPr="00BE78CA" w:rsidRDefault="00F02481" w:rsidP="00C26084">
            <w:pPr>
              <w:pStyle w:val="TableText"/>
              <w:spacing w:before="50" w:after="50"/>
              <w:jc w:val="right"/>
              <w:rPr>
                <w:rFonts w:cs="Calibri"/>
              </w:rPr>
            </w:pPr>
            <w:r w:rsidRPr="00BE78CA">
              <w:rPr>
                <w:rFonts w:cs="Calibri"/>
              </w:rPr>
              <w:t>123.4</w:t>
            </w:r>
          </w:p>
        </w:tc>
        <w:tc>
          <w:tcPr>
            <w:tcW w:w="996" w:type="dxa"/>
            <w:shd w:val="clear" w:color="auto" w:fill="auto"/>
            <w:vAlign w:val="bottom"/>
          </w:tcPr>
          <w:p w14:paraId="28737B18" w14:textId="77777777" w:rsidR="00F02481" w:rsidRPr="00BE78CA" w:rsidRDefault="00F02481" w:rsidP="00C26084">
            <w:pPr>
              <w:pStyle w:val="TableText"/>
              <w:spacing w:before="50" w:after="50"/>
              <w:jc w:val="right"/>
              <w:rPr>
                <w:rFonts w:cs="Calibri"/>
              </w:rPr>
            </w:pPr>
            <w:r w:rsidRPr="00BE78CA">
              <w:rPr>
                <w:rFonts w:cs="Calibri"/>
              </w:rPr>
              <w:t>960.4</w:t>
            </w:r>
          </w:p>
        </w:tc>
        <w:tc>
          <w:tcPr>
            <w:tcW w:w="829" w:type="dxa"/>
            <w:shd w:val="clear" w:color="auto" w:fill="auto"/>
            <w:vAlign w:val="bottom"/>
          </w:tcPr>
          <w:p w14:paraId="71461C29" w14:textId="77777777" w:rsidR="00F02481" w:rsidRPr="00BE78CA" w:rsidRDefault="00F02481" w:rsidP="00C26084">
            <w:pPr>
              <w:pStyle w:val="TableText"/>
              <w:spacing w:before="50" w:after="50"/>
              <w:jc w:val="right"/>
              <w:rPr>
                <w:rFonts w:cs="Calibri"/>
              </w:rPr>
            </w:pPr>
            <w:r w:rsidRPr="00BE78CA">
              <w:rPr>
                <w:rFonts w:cs="Calibri"/>
              </w:rPr>
              <w:t>2.3</w:t>
            </w:r>
          </w:p>
        </w:tc>
        <w:tc>
          <w:tcPr>
            <w:tcW w:w="730" w:type="dxa"/>
            <w:tcBorders>
              <w:right w:val="nil"/>
            </w:tcBorders>
            <w:shd w:val="clear" w:color="auto" w:fill="auto"/>
            <w:vAlign w:val="bottom"/>
          </w:tcPr>
          <w:p w14:paraId="29B345EF" w14:textId="77777777" w:rsidR="00F02481" w:rsidRPr="00BE78CA" w:rsidRDefault="00F02481" w:rsidP="00C26084">
            <w:pPr>
              <w:pStyle w:val="TableText"/>
              <w:spacing w:before="50" w:after="50"/>
              <w:jc w:val="right"/>
              <w:rPr>
                <w:rFonts w:cs="Calibri"/>
              </w:rPr>
            </w:pPr>
            <w:r w:rsidRPr="00BE78CA">
              <w:rPr>
                <w:rFonts w:cs="Calibri"/>
              </w:rPr>
              <w:t>4.4</w:t>
            </w:r>
          </w:p>
        </w:tc>
      </w:tr>
      <w:tr w:rsidR="000724BC" w:rsidRPr="00BE78CA" w14:paraId="34756E97" w14:textId="77777777" w:rsidTr="000724BC">
        <w:tc>
          <w:tcPr>
            <w:tcW w:w="3232" w:type="dxa"/>
            <w:tcBorders>
              <w:left w:val="nil"/>
            </w:tcBorders>
            <w:shd w:val="clear" w:color="auto" w:fill="auto"/>
            <w:vAlign w:val="bottom"/>
          </w:tcPr>
          <w:p w14:paraId="462FCC89" w14:textId="77777777" w:rsidR="00F02481" w:rsidRPr="00BE78CA" w:rsidRDefault="00F02481" w:rsidP="00C26084">
            <w:pPr>
              <w:pStyle w:val="TableText"/>
              <w:spacing w:before="50" w:after="50"/>
              <w:rPr>
                <w:rFonts w:cs="Calibri"/>
              </w:rPr>
            </w:pPr>
            <w:r w:rsidRPr="00BE78CA">
              <w:rPr>
                <w:rFonts w:cs="Calibri"/>
              </w:rPr>
              <w:t>Rice cultivation (CRF 3.C)</w:t>
            </w:r>
          </w:p>
        </w:tc>
        <w:tc>
          <w:tcPr>
            <w:tcW w:w="801" w:type="dxa"/>
            <w:shd w:val="clear" w:color="auto" w:fill="auto"/>
            <w:vAlign w:val="bottom"/>
          </w:tcPr>
          <w:p w14:paraId="32C67EA9" w14:textId="77777777" w:rsidR="00F02481" w:rsidRPr="00BE78CA" w:rsidRDefault="00F02481" w:rsidP="00C26084">
            <w:pPr>
              <w:pStyle w:val="TableText"/>
              <w:spacing w:before="50" w:after="50"/>
              <w:jc w:val="right"/>
              <w:rPr>
                <w:rFonts w:cs="Calibri"/>
              </w:rPr>
            </w:pPr>
            <w:r w:rsidRPr="00BE78CA">
              <w:rPr>
                <w:rFonts w:cs="Calibri"/>
              </w:rPr>
              <w:t>NO</w:t>
            </w:r>
          </w:p>
        </w:tc>
        <w:tc>
          <w:tcPr>
            <w:tcW w:w="900" w:type="dxa"/>
            <w:shd w:val="clear" w:color="auto" w:fill="auto"/>
            <w:vAlign w:val="bottom"/>
          </w:tcPr>
          <w:p w14:paraId="03F5D98A" w14:textId="77777777" w:rsidR="00F02481" w:rsidRPr="00BE78CA" w:rsidRDefault="00F02481" w:rsidP="00C26084">
            <w:pPr>
              <w:pStyle w:val="TableText"/>
              <w:spacing w:before="50" w:after="50"/>
              <w:jc w:val="right"/>
              <w:rPr>
                <w:rFonts w:cs="Calibri"/>
              </w:rPr>
            </w:pPr>
            <w:r w:rsidRPr="00BE78CA">
              <w:rPr>
                <w:rFonts w:cs="Calibri"/>
              </w:rPr>
              <w:t>NO</w:t>
            </w:r>
          </w:p>
        </w:tc>
        <w:tc>
          <w:tcPr>
            <w:tcW w:w="1077" w:type="dxa"/>
            <w:shd w:val="clear" w:color="auto" w:fill="auto"/>
            <w:vAlign w:val="bottom"/>
          </w:tcPr>
          <w:p w14:paraId="09A722D5" w14:textId="77777777" w:rsidR="00F02481" w:rsidRPr="00BE78CA" w:rsidRDefault="00F02481" w:rsidP="00C26084">
            <w:pPr>
              <w:pStyle w:val="TableText"/>
              <w:spacing w:before="50" w:after="50"/>
              <w:jc w:val="right"/>
              <w:rPr>
                <w:rFonts w:cs="Calibri"/>
              </w:rPr>
            </w:pPr>
            <w:r w:rsidRPr="00BE78CA">
              <w:rPr>
                <w:rFonts w:cs="Calibri"/>
              </w:rPr>
              <w:t>–</w:t>
            </w:r>
          </w:p>
        </w:tc>
        <w:tc>
          <w:tcPr>
            <w:tcW w:w="996" w:type="dxa"/>
            <w:shd w:val="clear" w:color="auto" w:fill="auto"/>
            <w:vAlign w:val="bottom"/>
          </w:tcPr>
          <w:p w14:paraId="6BEFF27C" w14:textId="77777777" w:rsidR="00F02481" w:rsidRPr="00BE78CA" w:rsidRDefault="00F02481" w:rsidP="00C26084">
            <w:pPr>
              <w:pStyle w:val="TableText"/>
              <w:spacing w:before="50" w:after="50"/>
              <w:jc w:val="right"/>
              <w:rPr>
                <w:rFonts w:cs="Calibri"/>
              </w:rPr>
            </w:pPr>
            <w:r w:rsidRPr="00BE78CA">
              <w:rPr>
                <w:rFonts w:cs="Calibri"/>
              </w:rPr>
              <w:t>–</w:t>
            </w:r>
          </w:p>
        </w:tc>
        <w:tc>
          <w:tcPr>
            <w:tcW w:w="829" w:type="dxa"/>
            <w:shd w:val="clear" w:color="auto" w:fill="auto"/>
            <w:vAlign w:val="bottom"/>
          </w:tcPr>
          <w:p w14:paraId="6F366638" w14:textId="77777777" w:rsidR="00F02481" w:rsidRPr="00BE78CA" w:rsidRDefault="00F02481" w:rsidP="00C26084">
            <w:pPr>
              <w:pStyle w:val="TableText"/>
              <w:spacing w:before="50" w:after="50"/>
              <w:jc w:val="right"/>
              <w:rPr>
                <w:rFonts w:cs="Calibri"/>
              </w:rPr>
            </w:pPr>
            <w:r w:rsidRPr="00BE78CA">
              <w:rPr>
                <w:rFonts w:cs="Calibri"/>
              </w:rPr>
              <w:t>–</w:t>
            </w:r>
          </w:p>
        </w:tc>
        <w:tc>
          <w:tcPr>
            <w:tcW w:w="730" w:type="dxa"/>
            <w:tcBorders>
              <w:right w:val="nil"/>
            </w:tcBorders>
            <w:shd w:val="clear" w:color="auto" w:fill="auto"/>
            <w:vAlign w:val="bottom"/>
          </w:tcPr>
          <w:p w14:paraId="14FC7732" w14:textId="77777777" w:rsidR="00F02481" w:rsidRPr="00BE78CA" w:rsidRDefault="00F02481" w:rsidP="00C26084">
            <w:pPr>
              <w:pStyle w:val="TableText"/>
              <w:spacing w:before="50" w:after="50"/>
              <w:jc w:val="right"/>
              <w:rPr>
                <w:rFonts w:cs="Calibri"/>
              </w:rPr>
            </w:pPr>
            <w:r w:rsidRPr="00BE78CA">
              <w:rPr>
                <w:rFonts w:cs="Calibri"/>
              </w:rPr>
              <w:t>–</w:t>
            </w:r>
          </w:p>
        </w:tc>
      </w:tr>
      <w:tr w:rsidR="000724BC" w:rsidRPr="00BE78CA" w14:paraId="1A04AE2F" w14:textId="77777777" w:rsidTr="000724BC">
        <w:tc>
          <w:tcPr>
            <w:tcW w:w="3232" w:type="dxa"/>
            <w:tcBorders>
              <w:left w:val="nil"/>
            </w:tcBorders>
            <w:shd w:val="clear" w:color="auto" w:fill="auto"/>
            <w:vAlign w:val="bottom"/>
          </w:tcPr>
          <w:p w14:paraId="18205DE4" w14:textId="77777777" w:rsidR="00F02481" w:rsidRPr="00BE78CA" w:rsidRDefault="00F02481" w:rsidP="00C26084">
            <w:pPr>
              <w:pStyle w:val="TableText"/>
              <w:spacing w:before="50" w:after="50"/>
              <w:rPr>
                <w:rFonts w:cs="Calibri"/>
              </w:rPr>
            </w:pPr>
            <w:r w:rsidRPr="00BE78CA">
              <w:rPr>
                <w:rFonts w:cs="Calibri"/>
              </w:rPr>
              <w:t>Agricultural soils (CRF 3.D)</w:t>
            </w:r>
          </w:p>
        </w:tc>
        <w:tc>
          <w:tcPr>
            <w:tcW w:w="801" w:type="dxa"/>
            <w:shd w:val="clear" w:color="auto" w:fill="auto"/>
            <w:vAlign w:val="bottom"/>
          </w:tcPr>
          <w:p w14:paraId="2CBEAECC" w14:textId="77777777" w:rsidR="00F02481" w:rsidRPr="00BE78CA" w:rsidRDefault="00F02481" w:rsidP="00C26084">
            <w:pPr>
              <w:pStyle w:val="TableText"/>
              <w:spacing w:before="50" w:after="50"/>
              <w:jc w:val="right"/>
              <w:rPr>
                <w:rFonts w:cs="Calibri"/>
              </w:rPr>
            </w:pPr>
            <w:r w:rsidRPr="00BE78CA">
              <w:rPr>
                <w:rFonts w:cs="Calibri"/>
              </w:rPr>
              <w:t>5,284.8</w:t>
            </w:r>
          </w:p>
        </w:tc>
        <w:tc>
          <w:tcPr>
            <w:tcW w:w="900" w:type="dxa"/>
            <w:shd w:val="clear" w:color="auto" w:fill="auto"/>
            <w:vAlign w:val="bottom"/>
          </w:tcPr>
          <w:p w14:paraId="2A44A014" w14:textId="77777777" w:rsidR="00F02481" w:rsidRPr="00BE78CA" w:rsidRDefault="00F02481" w:rsidP="00C26084">
            <w:pPr>
              <w:pStyle w:val="TableText"/>
              <w:spacing w:before="50" w:after="50"/>
              <w:jc w:val="right"/>
              <w:rPr>
                <w:rFonts w:cs="Calibri"/>
              </w:rPr>
            </w:pPr>
            <w:r w:rsidRPr="00BE78CA">
              <w:rPr>
                <w:rFonts w:cs="Calibri"/>
              </w:rPr>
              <w:t>7,763.1</w:t>
            </w:r>
          </w:p>
        </w:tc>
        <w:tc>
          <w:tcPr>
            <w:tcW w:w="1077" w:type="dxa"/>
            <w:shd w:val="clear" w:color="auto" w:fill="auto"/>
            <w:vAlign w:val="bottom"/>
          </w:tcPr>
          <w:p w14:paraId="25BDDC2F" w14:textId="77777777" w:rsidR="00F02481" w:rsidRPr="00BE78CA" w:rsidRDefault="00F02481" w:rsidP="00C26084">
            <w:pPr>
              <w:pStyle w:val="TableText"/>
              <w:spacing w:before="50" w:after="50"/>
              <w:jc w:val="right"/>
              <w:rPr>
                <w:rFonts w:cs="Calibri"/>
              </w:rPr>
            </w:pPr>
            <w:r w:rsidRPr="00BE78CA">
              <w:rPr>
                <w:rFonts w:cs="Calibri"/>
              </w:rPr>
              <w:t>46.9</w:t>
            </w:r>
          </w:p>
        </w:tc>
        <w:tc>
          <w:tcPr>
            <w:tcW w:w="996" w:type="dxa"/>
            <w:shd w:val="clear" w:color="auto" w:fill="auto"/>
            <w:vAlign w:val="bottom"/>
          </w:tcPr>
          <w:p w14:paraId="7FB4C466" w14:textId="77777777" w:rsidR="00F02481" w:rsidRPr="00BE78CA" w:rsidRDefault="00F02481" w:rsidP="00C26084">
            <w:pPr>
              <w:pStyle w:val="TableText"/>
              <w:spacing w:before="50" w:after="50"/>
              <w:jc w:val="right"/>
              <w:rPr>
                <w:rFonts w:cs="Calibri"/>
              </w:rPr>
            </w:pPr>
            <w:r w:rsidRPr="00BE78CA">
              <w:rPr>
                <w:rFonts w:cs="Calibri"/>
              </w:rPr>
              <w:t>2,478.3</w:t>
            </w:r>
          </w:p>
        </w:tc>
        <w:tc>
          <w:tcPr>
            <w:tcW w:w="829" w:type="dxa"/>
            <w:shd w:val="clear" w:color="auto" w:fill="auto"/>
            <w:vAlign w:val="bottom"/>
          </w:tcPr>
          <w:p w14:paraId="54DF6847" w14:textId="77777777" w:rsidR="00F02481" w:rsidRPr="00BE78CA" w:rsidRDefault="00F02481" w:rsidP="00C26084">
            <w:pPr>
              <w:pStyle w:val="TableText"/>
              <w:spacing w:before="50" w:after="50"/>
              <w:jc w:val="right"/>
              <w:rPr>
                <w:rFonts w:cs="Calibri"/>
              </w:rPr>
            </w:pPr>
            <w:r w:rsidRPr="00BE78CA">
              <w:rPr>
                <w:rFonts w:cs="Calibri"/>
              </w:rPr>
              <w:t>15.6</w:t>
            </w:r>
          </w:p>
        </w:tc>
        <w:tc>
          <w:tcPr>
            <w:tcW w:w="730" w:type="dxa"/>
            <w:tcBorders>
              <w:right w:val="nil"/>
            </w:tcBorders>
            <w:shd w:val="clear" w:color="auto" w:fill="auto"/>
            <w:vAlign w:val="bottom"/>
          </w:tcPr>
          <w:p w14:paraId="19B042F0" w14:textId="77777777" w:rsidR="00F02481" w:rsidRPr="00BE78CA" w:rsidRDefault="00F02481" w:rsidP="00C26084">
            <w:pPr>
              <w:pStyle w:val="TableText"/>
              <w:spacing w:before="50" w:after="50"/>
              <w:jc w:val="right"/>
              <w:rPr>
                <w:rFonts w:cs="Calibri"/>
              </w:rPr>
            </w:pPr>
            <w:r w:rsidRPr="00BE78CA">
              <w:rPr>
                <w:rFonts w:cs="Calibri"/>
              </w:rPr>
              <w:t>19.6</w:t>
            </w:r>
          </w:p>
        </w:tc>
      </w:tr>
      <w:tr w:rsidR="000724BC" w:rsidRPr="00BE78CA" w14:paraId="2115C3AA" w14:textId="77777777" w:rsidTr="000724BC">
        <w:tc>
          <w:tcPr>
            <w:tcW w:w="3232" w:type="dxa"/>
            <w:tcBorders>
              <w:left w:val="nil"/>
            </w:tcBorders>
            <w:shd w:val="clear" w:color="auto" w:fill="auto"/>
            <w:vAlign w:val="bottom"/>
          </w:tcPr>
          <w:p w14:paraId="409AEF01" w14:textId="77777777" w:rsidR="00F02481" w:rsidRPr="00BE78CA" w:rsidRDefault="00F02481" w:rsidP="00C26084">
            <w:pPr>
              <w:pStyle w:val="TableText"/>
              <w:spacing w:before="50" w:after="50"/>
              <w:rPr>
                <w:rFonts w:cs="Calibri"/>
              </w:rPr>
            </w:pPr>
            <w:r w:rsidRPr="00BE78CA">
              <w:rPr>
                <w:rFonts w:cs="Calibri"/>
              </w:rPr>
              <w:t>Field burning of agricultural residues (CRF 3.F)</w:t>
            </w:r>
          </w:p>
        </w:tc>
        <w:tc>
          <w:tcPr>
            <w:tcW w:w="801" w:type="dxa"/>
            <w:shd w:val="clear" w:color="auto" w:fill="auto"/>
            <w:vAlign w:val="bottom"/>
          </w:tcPr>
          <w:p w14:paraId="12CFE078" w14:textId="77777777" w:rsidR="00F02481" w:rsidRPr="00BE78CA" w:rsidRDefault="00F02481" w:rsidP="00C26084">
            <w:pPr>
              <w:pStyle w:val="TableText"/>
              <w:spacing w:before="50" w:after="50"/>
              <w:jc w:val="right"/>
              <w:rPr>
                <w:rFonts w:cs="Calibri"/>
              </w:rPr>
            </w:pPr>
            <w:r w:rsidRPr="00BE78CA">
              <w:rPr>
                <w:rFonts w:cs="Calibri"/>
              </w:rPr>
              <w:t>27.4</w:t>
            </w:r>
          </w:p>
        </w:tc>
        <w:tc>
          <w:tcPr>
            <w:tcW w:w="900" w:type="dxa"/>
            <w:shd w:val="clear" w:color="auto" w:fill="auto"/>
            <w:vAlign w:val="bottom"/>
          </w:tcPr>
          <w:p w14:paraId="4BE30CAC" w14:textId="77777777" w:rsidR="00F02481" w:rsidRPr="00BE78CA" w:rsidRDefault="00F02481" w:rsidP="00C26084">
            <w:pPr>
              <w:pStyle w:val="TableText"/>
              <w:spacing w:before="50" w:after="50"/>
              <w:jc w:val="right"/>
              <w:rPr>
                <w:rFonts w:cs="Calibri"/>
              </w:rPr>
            </w:pPr>
            <w:r w:rsidRPr="00BE78CA">
              <w:rPr>
                <w:rFonts w:cs="Calibri"/>
              </w:rPr>
              <w:t>24.2</w:t>
            </w:r>
          </w:p>
        </w:tc>
        <w:tc>
          <w:tcPr>
            <w:tcW w:w="1077" w:type="dxa"/>
            <w:shd w:val="clear" w:color="auto" w:fill="auto"/>
            <w:vAlign w:val="bottom"/>
          </w:tcPr>
          <w:p w14:paraId="6069FB59" w14:textId="77777777" w:rsidR="00F02481" w:rsidRPr="00BE78CA" w:rsidRDefault="00F02481" w:rsidP="00C26084">
            <w:pPr>
              <w:pStyle w:val="TableText"/>
              <w:spacing w:before="50" w:after="50"/>
              <w:jc w:val="right"/>
              <w:rPr>
                <w:rFonts w:cs="Calibri"/>
              </w:rPr>
            </w:pPr>
            <w:r w:rsidRPr="00BE78CA">
              <w:rPr>
                <w:rFonts w:cs="Calibri"/>
              </w:rPr>
              <w:t>–11.7</w:t>
            </w:r>
          </w:p>
        </w:tc>
        <w:tc>
          <w:tcPr>
            <w:tcW w:w="996" w:type="dxa"/>
            <w:shd w:val="clear" w:color="auto" w:fill="auto"/>
            <w:vAlign w:val="bottom"/>
          </w:tcPr>
          <w:p w14:paraId="5CDC6F81" w14:textId="77777777" w:rsidR="00F02481" w:rsidRPr="00BE78CA" w:rsidRDefault="00F02481" w:rsidP="00C26084">
            <w:pPr>
              <w:pStyle w:val="TableText"/>
              <w:spacing w:before="50" w:after="50"/>
              <w:jc w:val="right"/>
              <w:rPr>
                <w:rFonts w:cs="Calibri"/>
              </w:rPr>
            </w:pPr>
            <w:r w:rsidRPr="00BE78CA">
              <w:rPr>
                <w:rFonts w:cs="Calibri"/>
              </w:rPr>
              <w:t>–3.2</w:t>
            </w:r>
          </w:p>
        </w:tc>
        <w:tc>
          <w:tcPr>
            <w:tcW w:w="829" w:type="dxa"/>
            <w:shd w:val="clear" w:color="auto" w:fill="auto"/>
            <w:vAlign w:val="bottom"/>
          </w:tcPr>
          <w:p w14:paraId="0FAE9077" w14:textId="77777777" w:rsidR="00F02481" w:rsidRPr="00BE78CA" w:rsidRDefault="00F02481" w:rsidP="00C26084">
            <w:pPr>
              <w:pStyle w:val="TableText"/>
              <w:spacing w:before="50" w:after="50"/>
              <w:jc w:val="right"/>
              <w:rPr>
                <w:rFonts w:cs="Calibri"/>
              </w:rPr>
            </w:pPr>
            <w:r w:rsidRPr="00BE78CA">
              <w:rPr>
                <w:rFonts w:cs="Calibri"/>
              </w:rPr>
              <w:t>0.1</w:t>
            </w:r>
          </w:p>
        </w:tc>
        <w:tc>
          <w:tcPr>
            <w:tcW w:w="730" w:type="dxa"/>
            <w:tcBorders>
              <w:right w:val="nil"/>
            </w:tcBorders>
            <w:shd w:val="clear" w:color="auto" w:fill="auto"/>
            <w:vAlign w:val="bottom"/>
          </w:tcPr>
          <w:p w14:paraId="36E8EE96" w14:textId="77777777" w:rsidR="00F02481" w:rsidRPr="00BE78CA" w:rsidRDefault="00F02481" w:rsidP="00C26084">
            <w:pPr>
              <w:pStyle w:val="TableText"/>
              <w:spacing w:before="50" w:after="50"/>
              <w:jc w:val="right"/>
              <w:rPr>
                <w:rFonts w:cs="Calibri"/>
              </w:rPr>
            </w:pPr>
            <w:r w:rsidRPr="00BE78CA">
              <w:rPr>
                <w:rFonts w:cs="Calibri"/>
              </w:rPr>
              <w:t>0.1</w:t>
            </w:r>
          </w:p>
        </w:tc>
      </w:tr>
      <w:tr w:rsidR="000724BC" w:rsidRPr="00BE78CA" w14:paraId="49B7D7E0" w14:textId="77777777" w:rsidTr="000724BC">
        <w:tc>
          <w:tcPr>
            <w:tcW w:w="3232" w:type="dxa"/>
            <w:tcBorders>
              <w:left w:val="nil"/>
            </w:tcBorders>
            <w:shd w:val="clear" w:color="auto" w:fill="auto"/>
            <w:vAlign w:val="bottom"/>
          </w:tcPr>
          <w:p w14:paraId="5B001C0F" w14:textId="77777777" w:rsidR="00F02481" w:rsidRPr="00BE78CA" w:rsidRDefault="00F02481" w:rsidP="00C26084">
            <w:pPr>
              <w:pStyle w:val="TableText"/>
              <w:spacing w:before="50" w:after="50"/>
              <w:rPr>
                <w:rFonts w:cs="Calibri"/>
              </w:rPr>
            </w:pPr>
            <w:r w:rsidRPr="00BE78CA">
              <w:rPr>
                <w:rFonts w:cs="Calibri"/>
              </w:rPr>
              <w:t>Liming CO</w:t>
            </w:r>
            <w:r w:rsidRPr="00BE78CA">
              <w:rPr>
                <w:rFonts w:cs="Calibri"/>
                <w:vertAlign w:val="subscript"/>
              </w:rPr>
              <w:t>2</w:t>
            </w:r>
            <w:r w:rsidRPr="00BE78CA">
              <w:rPr>
                <w:rFonts w:cs="Calibri"/>
              </w:rPr>
              <w:t xml:space="preserve"> emissions (CRF 3.G)</w:t>
            </w:r>
          </w:p>
        </w:tc>
        <w:tc>
          <w:tcPr>
            <w:tcW w:w="801" w:type="dxa"/>
            <w:shd w:val="clear" w:color="auto" w:fill="auto"/>
            <w:vAlign w:val="bottom"/>
          </w:tcPr>
          <w:p w14:paraId="2E415A58" w14:textId="77777777" w:rsidR="00F02481" w:rsidRPr="00BE78CA" w:rsidRDefault="00F02481" w:rsidP="00C26084">
            <w:pPr>
              <w:pStyle w:val="TableText"/>
              <w:spacing w:before="50" w:after="50"/>
              <w:jc w:val="right"/>
              <w:rPr>
                <w:rFonts w:cs="Calibri"/>
              </w:rPr>
            </w:pPr>
            <w:r w:rsidRPr="00BE78CA">
              <w:rPr>
                <w:rFonts w:cs="Calibri"/>
              </w:rPr>
              <w:t>360.1</w:t>
            </w:r>
          </w:p>
        </w:tc>
        <w:tc>
          <w:tcPr>
            <w:tcW w:w="900" w:type="dxa"/>
            <w:shd w:val="clear" w:color="auto" w:fill="auto"/>
            <w:vAlign w:val="bottom"/>
          </w:tcPr>
          <w:p w14:paraId="1C33B537" w14:textId="77777777" w:rsidR="00F02481" w:rsidRPr="00BE78CA" w:rsidRDefault="00F02481" w:rsidP="00C26084">
            <w:pPr>
              <w:pStyle w:val="TableText"/>
              <w:spacing w:before="50" w:after="50"/>
              <w:jc w:val="right"/>
              <w:rPr>
                <w:rFonts w:cs="Calibri"/>
              </w:rPr>
            </w:pPr>
            <w:r w:rsidRPr="00BE78CA">
              <w:rPr>
                <w:rFonts w:cs="Calibri"/>
              </w:rPr>
              <w:t>546.1</w:t>
            </w:r>
          </w:p>
        </w:tc>
        <w:tc>
          <w:tcPr>
            <w:tcW w:w="1077" w:type="dxa"/>
            <w:shd w:val="clear" w:color="auto" w:fill="auto"/>
            <w:vAlign w:val="bottom"/>
          </w:tcPr>
          <w:p w14:paraId="06BBD141" w14:textId="77777777" w:rsidR="00F02481" w:rsidRPr="00BE78CA" w:rsidRDefault="00F02481" w:rsidP="00C26084">
            <w:pPr>
              <w:pStyle w:val="TableText"/>
              <w:spacing w:before="50" w:after="50"/>
              <w:jc w:val="right"/>
              <w:rPr>
                <w:rFonts w:cs="Calibri"/>
              </w:rPr>
            </w:pPr>
            <w:r w:rsidRPr="00BE78CA">
              <w:rPr>
                <w:rFonts w:cs="Calibri"/>
              </w:rPr>
              <w:t>51.7</w:t>
            </w:r>
          </w:p>
        </w:tc>
        <w:tc>
          <w:tcPr>
            <w:tcW w:w="996" w:type="dxa"/>
            <w:shd w:val="clear" w:color="auto" w:fill="auto"/>
            <w:vAlign w:val="bottom"/>
          </w:tcPr>
          <w:p w14:paraId="6E576F05" w14:textId="77777777" w:rsidR="00F02481" w:rsidRPr="00BE78CA" w:rsidRDefault="00F02481" w:rsidP="00C26084">
            <w:pPr>
              <w:pStyle w:val="TableText"/>
              <w:spacing w:before="50" w:after="50"/>
              <w:jc w:val="right"/>
              <w:rPr>
                <w:rFonts w:cs="Calibri"/>
              </w:rPr>
            </w:pPr>
            <w:r w:rsidRPr="00BE78CA">
              <w:rPr>
                <w:rFonts w:cs="Calibri"/>
              </w:rPr>
              <w:t>186.1</w:t>
            </w:r>
          </w:p>
        </w:tc>
        <w:tc>
          <w:tcPr>
            <w:tcW w:w="829" w:type="dxa"/>
            <w:shd w:val="clear" w:color="auto" w:fill="auto"/>
            <w:vAlign w:val="bottom"/>
          </w:tcPr>
          <w:p w14:paraId="2B4B0CCD" w14:textId="77777777" w:rsidR="00F02481" w:rsidRPr="00BE78CA" w:rsidRDefault="00F02481" w:rsidP="00C26084">
            <w:pPr>
              <w:pStyle w:val="TableText"/>
              <w:spacing w:before="50" w:after="50"/>
              <w:jc w:val="right"/>
              <w:rPr>
                <w:rFonts w:cs="Calibri"/>
              </w:rPr>
            </w:pPr>
            <w:r w:rsidRPr="00BE78CA">
              <w:rPr>
                <w:rFonts w:cs="Calibri"/>
              </w:rPr>
              <w:t>1.1</w:t>
            </w:r>
          </w:p>
        </w:tc>
        <w:tc>
          <w:tcPr>
            <w:tcW w:w="730" w:type="dxa"/>
            <w:tcBorders>
              <w:right w:val="nil"/>
            </w:tcBorders>
            <w:shd w:val="clear" w:color="auto" w:fill="auto"/>
            <w:vAlign w:val="bottom"/>
          </w:tcPr>
          <w:p w14:paraId="7936E338" w14:textId="77777777" w:rsidR="00F02481" w:rsidRPr="00BE78CA" w:rsidRDefault="00F02481" w:rsidP="00C26084">
            <w:pPr>
              <w:pStyle w:val="TableText"/>
              <w:spacing w:before="50" w:after="50"/>
              <w:jc w:val="right"/>
              <w:rPr>
                <w:rFonts w:cs="Calibri"/>
              </w:rPr>
            </w:pPr>
            <w:r w:rsidRPr="00BE78CA">
              <w:rPr>
                <w:rFonts w:cs="Calibri"/>
              </w:rPr>
              <w:t>1.4</w:t>
            </w:r>
          </w:p>
        </w:tc>
      </w:tr>
      <w:tr w:rsidR="000724BC" w:rsidRPr="00BE78CA" w14:paraId="1FED553A" w14:textId="77777777" w:rsidTr="000724BC">
        <w:tc>
          <w:tcPr>
            <w:tcW w:w="3232" w:type="dxa"/>
            <w:tcBorders>
              <w:left w:val="nil"/>
            </w:tcBorders>
            <w:shd w:val="clear" w:color="auto" w:fill="auto"/>
            <w:vAlign w:val="bottom"/>
          </w:tcPr>
          <w:p w14:paraId="2CE18205" w14:textId="77777777" w:rsidR="00F02481" w:rsidRPr="00BE78CA" w:rsidRDefault="00F02481" w:rsidP="00C26084">
            <w:pPr>
              <w:pStyle w:val="TableText"/>
              <w:spacing w:before="50" w:after="50"/>
              <w:rPr>
                <w:rFonts w:cs="Calibri"/>
              </w:rPr>
            </w:pPr>
            <w:r w:rsidRPr="00BE78CA">
              <w:rPr>
                <w:rFonts w:cs="Calibri"/>
              </w:rPr>
              <w:t>Urea application CO</w:t>
            </w:r>
            <w:r w:rsidRPr="00BE78CA">
              <w:rPr>
                <w:rFonts w:cs="Calibri"/>
                <w:vertAlign w:val="subscript"/>
              </w:rPr>
              <w:t>2</w:t>
            </w:r>
            <w:r w:rsidRPr="00BE78CA">
              <w:rPr>
                <w:rFonts w:cs="Calibri"/>
              </w:rPr>
              <w:t xml:space="preserve"> emissions (CRF 3.H)</w:t>
            </w:r>
          </w:p>
        </w:tc>
        <w:tc>
          <w:tcPr>
            <w:tcW w:w="801" w:type="dxa"/>
            <w:shd w:val="clear" w:color="auto" w:fill="auto"/>
            <w:vAlign w:val="bottom"/>
          </w:tcPr>
          <w:p w14:paraId="6245C4E5" w14:textId="77777777" w:rsidR="00F02481" w:rsidRPr="00BE78CA" w:rsidRDefault="00F02481" w:rsidP="00C26084">
            <w:pPr>
              <w:pStyle w:val="TableText"/>
              <w:spacing w:before="50" w:after="50"/>
              <w:jc w:val="right"/>
              <w:rPr>
                <w:rFonts w:cs="Calibri"/>
              </w:rPr>
            </w:pPr>
            <w:r w:rsidRPr="00BE78CA">
              <w:rPr>
                <w:rFonts w:cs="Calibri"/>
              </w:rPr>
              <w:t>39.2</w:t>
            </w:r>
          </w:p>
        </w:tc>
        <w:tc>
          <w:tcPr>
            <w:tcW w:w="900" w:type="dxa"/>
            <w:shd w:val="clear" w:color="auto" w:fill="auto"/>
            <w:vAlign w:val="bottom"/>
          </w:tcPr>
          <w:p w14:paraId="299F5F2F" w14:textId="77777777" w:rsidR="00F02481" w:rsidRPr="00BE78CA" w:rsidRDefault="00F02481" w:rsidP="00C26084">
            <w:pPr>
              <w:pStyle w:val="TableText"/>
              <w:spacing w:before="50" w:after="50"/>
              <w:jc w:val="right"/>
              <w:rPr>
                <w:rFonts w:cs="Calibri"/>
              </w:rPr>
            </w:pPr>
            <w:r w:rsidRPr="00BE78CA">
              <w:rPr>
                <w:rFonts w:cs="Calibri"/>
              </w:rPr>
              <w:t>570.7</w:t>
            </w:r>
          </w:p>
        </w:tc>
        <w:tc>
          <w:tcPr>
            <w:tcW w:w="1077" w:type="dxa"/>
            <w:shd w:val="clear" w:color="auto" w:fill="auto"/>
            <w:vAlign w:val="bottom"/>
          </w:tcPr>
          <w:p w14:paraId="62134751" w14:textId="77777777" w:rsidR="00F02481" w:rsidRPr="00BE78CA" w:rsidRDefault="00F02481" w:rsidP="00C26084">
            <w:pPr>
              <w:pStyle w:val="TableText"/>
              <w:spacing w:before="50" w:after="50"/>
              <w:jc w:val="right"/>
              <w:rPr>
                <w:rFonts w:cs="Calibri"/>
              </w:rPr>
            </w:pPr>
            <w:r w:rsidRPr="00BE78CA">
              <w:rPr>
                <w:rFonts w:cs="Calibri"/>
              </w:rPr>
              <w:t>1,356.1</w:t>
            </w:r>
          </w:p>
        </w:tc>
        <w:tc>
          <w:tcPr>
            <w:tcW w:w="996" w:type="dxa"/>
            <w:shd w:val="clear" w:color="auto" w:fill="auto"/>
            <w:vAlign w:val="bottom"/>
          </w:tcPr>
          <w:p w14:paraId="18A3E5F0" w14:textId="77777777" w:rsidR="00F02481" w:rsidRPr="00BE78CA" w:rsidRDefault="00F02481" w:rsidP="00C26084">
            <w:pPr>
              <w:pStyle w:val="TableText"/>
              <w:spacing w:before="50" w:after="50"/>
              <w:jc w:val="right"/>
              <w:rPr>
                <w:rFonts w:cs="Calibri"/>
              </w:rPr>
            </w:pPr>
            <w:r w:rsidRPr="00BE78CA">
              <w:rPr>
                <w:rFonts w:cs="Calibri"/>
              </w:rPr>
              <w:t>531.5</w:t>
            </w:r>
          </w:p>
        </w:tc>
        <w:tc>
          <w:tcPr>
            <w:tcW w:w="829" w:type="dxa"/>
            <w:shd w:val="clear" w:color="auto" w:fill="auto"/>
            <w:vAlign w:val="bottom"/>
          </w:tcPr>
          <w:p w14:paraId="62B8F729" w14:textId="77777777" w:rsidR="00F02481" w:rsidRPr="00BE78CA" w:rsidRDefault="00F02481" w:rsidP="00C26084">
            <w:pPr>
              <w:pStyle w:val="TableText"/>
              <w:spacing w:before="50" w:after="50"/>
              <w:jc w:val="right"/>
              <w:rPr>
                <w:rFonts w:cs="Calibri"/>
              </w:rPr>
            </w:pPr>
            <w:r w:rsidRPr="00BE78CA">
              <w:rPr>
                <w:rFonts w:cs="Calibri"/>
              </w:rPr>
              <w:t>0.1</w:t>
            </w:r>
          </w:p>
        </w:tc>
        <w:tc>
          <w:tcPr>
            <w:tcW w:w="730" w:type="dxa"/>
            <w:tcBorders>
              <w:right w:val="nil"/>
            </w:tcBorders>
            <w:shd w:val="clear" w:color="auto" w:fill="auto"/>
            <w:vAlign w:val="bottom"/>
          </w:tcPr>
          <w:p w14:paraId="6CEECAF7" w14:textId="77777777" w:rsidR="00F02481" w:rsidRPr="00BE78CA" w:rsidRDefault="00F02481" w:rsidP="00C26084">
            <w:pPr>
              <w:pStyle w:val="TableText"/>
              <w:spacing w:before="50" w:after="50"/>
              <w:jc w:val="right"/>
              <w:rPr>
                <w:rFonts w:cs="Calibri"/>
              </w:rPr>
            </w:pPr>
            <w:r w:rsidRPr="00BE78CA">
              <w:rPr>
                <w:rFonts w:cs="Calibri"/>
              </w:rPr>
              <w:t>1.4</w:t>
            </w:r>
          </w:p>
        </w:tc>
      </w:tr>
      <w:tr w:rsidR="000724BC" w:rsidRPr="00BE78CA" w14:paraId="0950E0A2" w14:textId="77777777" w:rsidTr="000724BC">
        <w:tc>
          <w:tcPr>
            <w:tcW w:w="3232" w:type="dxa"/>
            <w:tcBorders>
              <w:left w:val="nil"/>
            </w:tcBorders>
            <w:shd w:val="clear" w:color="auto" w:fill="auto"/>
            <w:vAlign w:val="bottom"/>
          </w:tcPr>
          <w:p w14:paraId="6EEB5055" w14:textId="77777777" w:rsidR="00F02481" w:rsidRPr="00BE78CA" w:rsidRDefault="00F02481" w:rsidP="00C26084">
            <w:pPr>
              <w:pStyle w:val="TableText"/>
              <w:spacing w:before="50" w:after="50"/>
              <w:rPr>
                <w:rFonts w:cs="Calibri"/>
              </w:rPr>
            </w:pPr>
            <w:r w:rsidRPr="00BE78CA">
              <w:rPr>
                <w:rFonts w:cs="Calibri"/>
              </w:rPr>
              <w:t>Other carbon-containing fertilisers (CRF 3.i)</w:t>
            </w:r>
          </w:p>
        </w:tc>
        <w:tc>
          <w:tcPr>
            <w:tcW w:w="801" w:type="dxa"/>
            <w:shd w:val="clear" w:color="auto" w:fill="auto"/>
            <w:vAlign w:val="bottom"/>
          </w:tcPr>
          <w:p w14:paraId="5475CAE8" w14:textId="77777777" w:rsidR="00F02481" w:rsidRPr="00BE78CA" w:rsidRDefault="00F02481" w:rsidP="00C26084">
            <w:pPr>
              <w:pStyle w:val="TableText"/>
              <w:spacing w:before="50" w:after="50"/>
              <w:jc w:val="right"/>
              <w:rPr>
                <w:rFonts w:cs="Calibri"/>
              </w:rPr>
            </w:pPr>
            <w:r w:rsidRPr="00BE78CA">
              <w:rPr>
                <w:rFonts w:cs="Calibri"/>
              </w:rPr>
              <w:t>NE</w:t>
            </w:r>
          </w:p>
        </w:tc>
        <w:tc>
          <w:tcPr>
            <w:tcW w:w="900" w:type="dxa"/>
            <w:shd w:val="clear" w:color="auto" w:fill="auto"/>
            <w:vAlign w:val="bottom"/>
          </w:tcPr>
          <w:p w14:paraId="45F61433" w14:textId="77777777" w:rsidR="00F02481" w:rsidRPr="00BE78CA" w:rsidRDefault="00F02481" w:rsidP="00C26084">
            <w:pPr>
              <w:pStyle w:val="TableText"/>
              <w:spacing w:before="50" w:after="50"/>
              <w:jc w:val="right"/>
              <w:rPr>
                <w:rFonts w:cs="Calibri"/>
              </w:rPr>
            </w:pPr>
            <w:r w:rsidRPr="00BE78CA">
              <w:rPr>
                <w:rFonts w:cs="Calibri"/>
              </w:rPr>
              <w:t>NE</w:t>
            </w:r>
          </w:p>
        </w:tc>
        <w:tc>
          <w:tcPr>
            <w:tcW w:w="1077" w:type="dxa"/>
            <w:shd w:val="clear" w:color="auto" w:fill="auto"/>
            <w:vAlign w:val="bottom"/>
          </w:tcPr>
          <w:p w14:paraId="0C71D447" w14:textId="77777777" w:rsidR="00F02481" w:rsidRPr="00BE78CA" w:rsidRDefault="00F02481" w:rsidP="00C26084">
            <w:pPr>
              <w:pStyle w:val="TableText"/>
              <w:spacing w:before="50" w:after="50"/>
              <w:jc w:val="right"/>
              <w:rPr>
                <w:rFonts w:cs="Calibri"/>
              </w:rPr>
            </w:pPr>
            <w:r w:rsidRPr="00BE78CA">
              <w:rPr>
                <w:rFonts w:cs="Calibri"/>
              </w:rPr>
              <w:t>–</w:t>
            </w:r>
          </w:p>
        </w:tc>
        <w:tc>
          <w:tcPr>
            <w:tcW w:w="996" w:type="dxa"/>
            <w:shd w:val="clear" w:color="auto" w:fill="auto"/>
            <w:vAlign w:val="bottom"/>
          </w:tcPr>
          <w:p w14:paraId="05E962EA" w14:textId="77777777" w:rsidR="00F02481" w:rsidRPr="00BE78CA" w:rsidRDefault="00F02481" w:rsidP="00C26084">
            <w:pPr>
              <w:pStyle w:val="TableText"/>
              <w:spacing w:before="50" w:after="50"/>
              <w:jc w:val="right"/>
              <w:rPr>
                <w:rFonts w:cs="Calibri"/>
              </w:rPr>
            </w:pPr>
            <w:r w:rsidRPr="00BE78CA">
              <w:rPr>
                <w:rFonts w:cs="Calibri"/>
              </w:rPr>
              <w:t>–</w:t>
            </w:r>
          </w:p>
        </w:tc>
        <w:tc>
          <w:tcPr>
            <w:tcW w:w="829" w:type="dxa"/>
            <w:shd w:val="clear" w:color="auto" w:fill="auto"/>
            <w:vAlign w:val="bottom"/>
          </w:tcPr>
          <w:p w14:paraId="65846A8C" w14:textId="77777777" w:rsidR="00F02481" w:rsidRPr="00BE78CA" w:rsidRDefault="00F02481" w:rsidP="00C26084">
            <w:pPr>
              <w:pStyle w:val="TableText"/>
              <w:spacing w:before="50" w:after="50"/>
              <w:jc w:val="right"/>
              <w:rPr>
                <w:rFonts w:cs="Calibri"/>
              </w:rPr>
            </w:pPr>
            <w:r w:rsidRPr="00BE78CA">
              <w:rPr>
                <w:rFonts w:cs="Calibri"/>
              </w:rPr>
              <w:t>–</w:t>
            </w:r>
          </w:p>
        </w:tc>
        <w:tc>
          <w:tcPr>
            <w:tcW w:w="730" w:type="dxa"/>
            <w:tcBorders>
              <w:right w:val="nil"/>
            </w:tcBorders>
            <w:shd w:val="clear" w:color="auto" w:fill="auto"/>
            <w:vAlign w:val="bottom"/>
          </w:tcPr>
          <w:p w14:paraId="23F857E6" w14:textId="77777777" w:rsidR="00F02481" w:rsidRPr="00BE78CA" w:rsidRDefault="00F02481" w:rsidP="00C26084">
            <w:pPr>
              <w:pStyle w:val="TableText"/>
              <w:spacing w:before="50" w:after="50"/>
              <w:jc w:val="right"/>
              <w:rPr>
                <w:rFonts w:cs="Calibri"/>
              </w:rPr>
            </w:pPr>
            <w:r w:rsidRPr="00BE78CA">
              <w:rPr>
                <w:rFonts w:cs="Calibri"/>
              </w:rPr>
              <w:t>–</w:t>
            </w:r>
          </w:p>
        </w:tc>
      </w:tr>
      <w:tr w:rsidR="000724BC" w:rsidRPr="00BE78CA" w14:paraId="78CF2392" w14:textId="77777777" w:rsidTr="000724BC">
        <w:tc>
          <w:tcPr>
            <w:tcW w:w="3232" w:type="dxa"/>
            <w:tcBorders>
              <w:left w:val="nil"/>
            </w:tcBorders>
            <w:shd w:val="clear" w:color="auto" w:fill="auto"/>
            <w:vAlign w:val="bottom"/>
          </w:tcPr>
          <w:p w14:paraId="7EC664AA" w14:textId="77777777" w:rsidR="00F02481" w:rsidRPr="00BE78CA" w:rsidRDefault="00F02481" w:rsidP="00C26084">
            <w:pPr>
              <w:pStyle w:val="TableText"/>
              <w:spacing w:before="50" w:after="50"/>
              <w:rPr>
                <w:rFonts w:cs="Calibri"/>
                <w:b/>
                <w:bCs/>
              </w:rPr>
            </w:pPr>
            <w:r w:rsidRPr="00BE78CA">
              <w:rPr>
                <w:rFonts w:cs="Calibri"/>
                <w:b/>
                <w:bCs/>
              </w:rPr>
              <w:t>Total</w:t>
            </w:r>
          </w:p>
        </w:tc>
        <w:tc>
          <w:tcPr>
            <w:tcW w:w="801" w:type="dxa"/>
            <w:shd w:val="clear" w:color="auto" w:fill="auto"/>
            <w:vAlign w:val="bottom"/>
          </w:tcPr>
          <w:p w14:paraId="1C10C858" w14:textId="77777777" w:rsidR="00F02481" w:rsidRPr="00BE78CA" w:rsidRDefault="00F02481" w:rsidP="00C26084">
            <w:pPr>
              <w:pStyle w:val="TableText"/>
              <w:spacing w:before="50" w:after="50"/>
              <w:jc w:val="right"/>
              <w:rPr>
                <w:rFonts w:cs="Calibri"/>
                <w:b/>
              </w:rPr>
            </w:pPr>
            <w:r w:rsidRPr="00BE78CA">
              <w:rPr>
                <w:rFonts w:cs="Calibri"/>
                <w:b/>
              </w:rPr>
              <w:t>33,840.3</w:t>
            </w:r>
          </w:p>
        </w:tc>
        <w:tc>
          <w:tcPr>
            <w:tcW w:w="900" w:type="dxa"/>
            <w:shd w:val="clear" w:color="auto" w:fill="auto"/>
            <w:vAlign w:val="bottom"/>
          </w:tcPr>
          <w:p w14:paraId="4AE291BD" w14:textId="77777777" w:rsidR="00F02481" w:rsidRPr="00BE78CA" w:rsidRDefault="00F02481" w:rsidP="00C26084">
            <w:pPr>
              <w:pStyle w:val="TableText"/>
              <w:spacing w:before="50" w:after="50"/>
              <w:jc w:val="right"/>
              <w:rPr>
                <w:rFonts w:cs="Calibri"/>
                <w:b/>
              </w:rPr>
            </w:pPr>
            <w:r w:rsidRPr="00BE78CA">
              <w:rPr>
                <w:rFonts w:cs="Calibri"/>
                <w:b/>
              </w:rPr>
              <w:t>39,617.7</w:t>
            </w:r>
          </w:p>
        </w:tc>
        <w:tc>
          <w:tcPr>
            <w:tcW w:w="1077" w:type="dxa"/>
            <w:shd w:val="clear" w:color="auto" w:fill="auto"/>
            <w:vAlign w:val="bottom"/>
          </w:tcPr>
          <w:p w14:paraId="70FDDB38" w14:textId="77777777" w:rsidR="00F02481" w:rsidRPr="00BE78CA" w:rsidRDefault="00F02481" w:rsidP="00C26084">
            <w:pPr>
              <w:pStyle w:val="TableText"/>
              <w:spacing w:before="50" w:after="50"/>
              <w:jc w:val="right"/>
              <w:rPr>
                <w:rFonts w:cs="Calibri"/>
                <w:b/>
                <w:bCs/>
              </w:rPr>
            </w:pPr>
            <w:r w:rsidRPr="00BE78CA">
              <w:rPr>
                <w:rFonts w:cs="Calibri"/>
                <w:b/>
                <w:bCs/>
              </w:rPr>
              <w:t>17.1</w:t>
            </w:r>
          </w:p>
        </w:tc>
        <w:tc>
          <w:tcPr>
            <w:tcW w:w="996" w:type="dxa"/>
            <w:shd w:val="clear" w:color="auto" w:fill="auto"/>
            <w:vAlign w:val="bottom"/>
          </w:tcPr>
          <w:p w14:paraId="55CFF232" w14:textId="77777777" w:rsidR="00F02481" w:rsidRPr="00BE78CA" w:rsidRDefault="00F02481" w:rsidP="00C26084">
            <w:pPr>
              <w:pStyle w:val="TableText"/>
              <w:spacing w:before="50" w:after="50"/>
              <w:jc w:val="right"/>
              <w:rPr>
                <w:rFonts w:cs="Calibri"/>
                <w:b/>
              </w:rPr>
            </w:pPr>
            <w:r w:rsidRPr="00BE78CA">
              <w:rPr>
                <w:rFonts w:cs="Calibri"/>
                <w:b/>
              </w:rPr>
              <w:t>5,777.4</w:t>
            </w:r>
          </w:p>
        </w:tc>
        <w:tc>
          <w:tcPr>
            <w:tcW w:w="829" w:type="dxa"/>
            <w:shd w:val="clear" w:color="auto" w:fill="auto"/>
            <w:vAlign w:val="bottom"/>
          </w:tcPr>
          <w:p w14:paraId="258B55F0" w14:textId="77777777" w:rsidR="00F02481" w:rsidRPr="00BE78CA" w:rsidRDefault="00F02481" w:rsidP="00C26084">
            <w:pPr>
              <w:pStyle w:val="TableText"/>
              <w:spacing w:before="50" w:after="50"/>
              <w:jc w:val="right"/>
              <w:rPr>
                <w:rFonts w:cs="Calibri"/>
                <w:b/>
              </w:rPr>
            </w:pPr>
            <w:r w:rsidRPr="00BE78CA">
              <w:rPr>
                <w:rFonts w:cs="Calibri"/>
                <w:b/>
              </w:rPr>
              <w:t>100</w:t>
            </w:r>
          </w:p>
        </w:tc>
        <w:tc>
          <w:tcPr>
            <w:tcW w:w="730" w:type="dxa"/>
            <w:tcBorders>
              <w:right w:val="nil"/>
            </w:tcBorders>
            <w:shd w:val="clear" w:color="auto" w:fill="auto"/>
            <w:vAlign w:val="bottom"/>
          </w:tcPr>
          <w:p w14:paraId="6D6C8FA2" w14:textId="77777777" w:rsidR="00F02481" w:rsidRPr="00BE78CA" w:rsidRDefault="00F02481" w:rsidP="00C26084">
            <w:pPr>
              <w:pStyle w:val="TableText"/>
              <w:spacing w:before="50" w:after="50"/>
              <w:jc w:val="right"/>
              <w:rPr>
                <w:rFonts w:cs="Calibri"/>
                <w:b/>
              </w:rPr>
            </w:pPr>
            <w:r w:rsidRPr="00BE78CA">
              <w:rPr>
                <w:rFonts w:cs="Calibri"/>
                <w:b/>
              </w:rPr>
              <w:t>100</w:t>
            </w:r>
          </w:p>
        </w:tc>
      </w:tr>
    </w:tbl>
    <w:p w14:paraId="3D94A3A2" w14:textId="77777777" w:rsidR="00F02481" w:rsidRPr="00BE78CA" w:rsidRDefault="00F02481" w:rsidP="00C26084">
      <w:pPr>
        <w:pStyle w:val="Noteundertable"/>
        <w:rPr>
          <w:rFonts w:cs="Calibri"/>
        </w:rPr>
      </w:pPr>
      <w:r w:rsidRPr="00BE78CA">
        <w:rPr>
          <w:rFonts w:cs="Calibri"/>
          <w:b/>
          <w:bCs/>
        </w:rPr>
        <w:t>Note:</w:t>
      </w:r>
      <w:r w:rsidRPr="00BE78CA">
        <w:rPr>
          <w:rFonts w:cs="Calibri"/>
        </w:rPr>
        <w:t xml:space="preserve"> </w:t>
      </w:r>
      <w:r w:rsidRPr="00BE78CA">
        <w:rPr>
          <w:rFonts w:cs="Calibri"/>
        </w:rPr>
        <w:tab/>
        <w:t>NO = not occurring, NE = not estimated. Percentages presented are calculated from unrounded values.</w:t>
      </w:r>
    </w:p>
    <w:p w14:paraId="0A56409E" w14:textId="77777777" w:rsidR="00F02481" w:rsidRPr="00BE78CA" w:rsidRDefault="00F02481" w:rsidP="00C26084">
      <w:pPr>
        <w:pStyle w:val="BodyText"/>
        <w:rPr>
          <w:rFonts w:cs="Calibri"/>
          <w:spacing w:val="-2"/>
        </w:rPr>
      </w:pPr>
      <w:r w:rsidRPr="00BE78CA">
        <w:rPr>
          <w:rFonts w:cs="Calibri"/>
        </w:rPr>
        <w:lastRenderedPageBreak/>
        <w:t xml:space="preserve">The greatest contributions to the increase since 1990 are a 46.9 per cent (2,478.3 kt </w:t>
      </w:r>
      <w:r w:rsidRPr="00BE78CA">
        <w:rPr>
          <w:rFonts w:cs="Calibri"/>
          <w:spacing w:val="-2"/>
        </w:rPr>
        <w:t>CO</w:t>
      </w:r>
      <w:r w:rsidRPr="00BE78CA">
        <w:rPr>
          <w:rFonts w:cs="Calibri"/>
          <w:spacing w:val="-2"/>
          <w:vertAlign w:val="subscript"/>
        </w:rPr>
        <w:t>2</w:t>
      </w:r>
      <w:r w:rsidRPr="00BE78CA">
        <w:rPr>
          <w:rFonts w:cs="Calibri"/>
          <w:spacing w:val="-2"/>
        </w:rPr>
        <w:t>-e) increase in N</w:t>
      </w:r>
      <w:r w:rsidRPr="00BE78CA">
        <w:rPr>
          <w:rFonts w:cs="Calibri"/>
          <w:spacing w:val="-2"/>
          <w:vertAlign w:val="subscript"/>
        </w:rPr>
        <w:t>2</w:t>
      </w:r>
      <w:r w:rsidRPr="00BE78CA">
        <w:rPr>
          <w:rFonts w:cs="Calibri"/>
          <w:spacing w:val="-2"/>
        </w:rPr>
        <w:t xml:space="preserve">O emissions from </w:t>
      </w:r>
      <w:r w:rsidRPr="00BE78CA">
        <w:rPr>
          <w:rFonts w:cs="Calibri"/>
          <w:i/>
          <w:iCs/>
          <w:spacing w:val="-2"/>
        </w:rPr>
        <w:t>Agricultural soils</w:t>
      </w:r>
      <w:r w:rsidRPr="00BE78CA">
        <w:rPr>
          <w:rFonts w:cs="Calibri"/>
        </w:rPr>
        <w:t xml:space="preserve"> </w:t>
      </w:r>
      <w:r w:rsidRPr="00BE78CA">
        <w:rPr>
          <w:rFonts w:cs="Calibri"/>
          <w:spacing w:val="-2"/>
        </w:rPr>
        <w:t>and a 5.9 per cent (1,624.2 kt CO</w:t>
      </w:r>
      <w:r w:rsidRPr="00BE78CA">
        <w:rPr>
          <w:rFonts w:cs="Calibri"/>
          <w:spacing w:val="-2"/>
          <w:vertAlign w:val="subscript"/>
        </w:rPr>
        <w:t>2</w:t>
      </w:r>
      <w:r w:rsidRPr="00BE78CA">
        <w:rPr>
          <w:rFonts w:cs="Calibri"/>
          <w:spacing w:val="-2"/>
        </w:rPr>
        <w:noBreakHyphen/>
        <w:t>e</w:t>
      </w:r>
      <w:r w:rsidRPr="00BE78CA">
        <w:rPr>
          <w:rFonts w:cs="Calibri"/>
        </w:rPr>
        <w:t>)</w:t>
      </w:r>
      <w:r w:rsidRPr="00BE78CA">
        <w:rPr>
          <w:rFonts w:cs="Calibri"/>
          <w:spacing w:val="-2"/>
        </w:rPr>
        <w:t xml:space="preserve"> increase in CH</w:t>
      </w:r>
      <w:r w:rsidRPr="00BE78CA">
        <w:rPr>
          <w:rFonts w:cs="Calibri"/>
          <w:spacing w:val="-2"/>
          <w:vertAlign w:val="subscript"/>
        </w:rPr>
        <w:t>4</w:t>
      </w:r>
      <w:r w:rsidRPr="00BE78CA">
        <w:rPr>
          <w:rFonts w:cs="Calibri"/>
          <w:spacing w:val="-2"/>
        </w:rPr>
        <w:t xml:space="preserve"> emissions from </w:t>
      </w:r>
      <w:r w:rsidRPr="00BE78CA">
        <w:rPr>
          <w:rFonts w:cs="Calibri"/>
          <w:i/>
          <w:iCs/>
          <w:spacing w:val="-2"/>
        </w:rPr>
        <w:t>Enteric fermentation</w:t>
      </w:r>
      <w:r w:rsidRPr="00BE78CA">
        <w:rPr>
          <w:rFonts w:cs="Calibri"/>
        </w:rPr>
        <w:t xml:space="preserve">. </w:t>
      </w:r>
    </w:p>
    <w:p w14:paraId="29F99ACF" w14:textId="1E07DA57" w:rsidR="00F02481" w:rsidRPr="00BE78CA" w:rsidRDefault="00F02481" w:rsidP="00C26084">
      <w:pPr>
        <w:pStyle w:val="BodyText"/>
        <w:rPr>
          <w:rFonts w:cs="Calibri"/>
        </w:rPr>
      </w:pPr>
      <w:r w:rsidRPr="00BE78CA">
        <w:rPr>
          <w:rFonts w:cs="Calibri"/>
        </w:rPr>
        <w:t>The application of synthetic nitrogen fertiliser has increased by about 662.7 per cent since 1990, driving the increase in N</w:t>
      </w:r>
      <w:r w:rsidRPr="00BE78CA">
        <w:rPr>
          <w:rFonts w:cs="Calibri"/>
          <w:vertAlign w:val="subscript"/>
        </w:rPr>
        <w:t>2</w:t>
      </w:r>
      <w:r w:rsidRPr="00BE78CA">
        <w:rPr>
          <w:rFonts w:cs="Calibri"/>
        </w:rPr>
        <w:t xml:space="preserve">O emissions from </w:t>
      </w:r>
      <w:r w:rsidRPr="00BE78CA">
        <w:rPr>
          <w:rFonts w:cs="Calibri"/>
          <w:i/>
          <w:iCs/>
        </w:rPr>
        <w:t>Agricultural soils</w:t>
      </w:r>
      <w:r w:rsidRPr="00BE78CA">
        <w:rPr>
          <w:rFonts w:cs="Calibri"/>
        </w:rPr>
        <w:t xml:space="preserve">. The increase in emissions from </w:t>
      </w:r>
      <w:r w:rsidRPr="00BE78CA">
        <w:rPr>
          <w:rFonts w:cs="Calibri"/>
          <w:i/>
          <w:iCs/>
        </w:rPr>
        <w:t>Enteric fermentation</w:t>
      </w:r>
      <w:r w:rsidRPr="00BE78CA">
        <w:rPr>
          <w:rFonts w:cs="Calibri"/>
        </w:rPr>
        <w:t xml:space="preserve"> is driven by increases in dairy cattle numbers, which have been partially offset by a decrease in beef cattle and sheep. The change in animal populations since</w:t>
      </w:r>
      <w:r w:rsidR="00E223AA" w:rsidRPr="00BE78CA">
        <w:rPr>
          <w:rFonts w:cs="Calibri"/>
        </w:rPr>
        <w:t> </w:t>
      </w:r>
      <w:r w:rsidRPr="00BE78CA">
        <w:rPr>
          <w:rFonts w:cs="Calibri"/>
        </w:rPr>
        <w:t xml:space="preserve">1990 reflects the relative financial returns to each animal sector (it has been more profitable to farm dairy cattle than beef cattle or sheep in New Zealand over the reporting period) and changes in New Zealand’s regulatory environment, especially with regard to freshwater quality. </w:t>
      </w:r>
    </w:p>
    <w:p w14:paraId="67B4AD85" w14:textId="77777777" w:rsidR="00F02481" w:rsidRPr="00BE78CA" w:rsidRDefault="00F02481" w:rsidP="00C26084">
      <w:pPr>
        <w:pStyle w:val="Figure"/>
      </w:pPr>
      <w:bookmarkStart w:id="508" w:name="_Toc32570956"/>
      <w:bookmarkStart w:id="509" w:name="_Toc36292786"/>
      <w:bookmarkStart w:id="510" w:name="_Toc68786651"/>
      <w:r w:rsidRPr="00BE78CA">
        <w:t>Figure 5.1.1</w:t>
      </w:r>
      <w:r w:rsidRPr="00BE78CA">
        <w:tab/>
        <w:t>Change in New Zealand’s emissions from the Agriculture sector from 1990 to 201</w:t>
      </w:r>
      <w:bookmarkEnd w:id="508"/>
      <w:bookmarkEnd w:id="509"/>
      <w:r w:rsidRPr="00BE78CA">
        <w:t>9</w:t>
      </w:r>
      <w:bookmarkEnd w:id="510"/>
    </w:p>
    <w:p w14:paraId="1971BB9C" w14:textId="77777777" w:rsidR="00F02481" w:rsidRPr="00BE78CA" w:rsidRDefault="00087879" w:rsidP="00C26084">
      <w:pPr>
        <w:pStyle w:val="BodyText"/>
        <w:spacing w:before="0"/>
        <w:rPr>
          <w:rFonts w:cs="Calibri"/>
        </w:rPr>
      </w:pPr>
      <w:r>
        <w:pict w14:anchorId="021D2BD9">
          <v:shape id="_x0000_i1032" type="#_x0000_t75" style="width:425.2pt;height:252.7pt;visibility:visible" o:gfxdata="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">
            <v:imagedata r:id="rId103" o:title=""/>
            <o:lock v:ext="edit" aspectratio="f"/>
          </v:shape>
        </w:pict>
      </w:r>
    </w:p>
    <w:p w14:paraId="3B36FF8D" w14:textId="77777777" w:rsidR="00F02481" w:rsidRPr="00BE78CA" w:rsidRDefault="00F02481" w:rsidP="00C26084">
      <w:pPr>
        <w:pStyle w:val="Noteundertable"/>
        <w:spacing w:before="0"/>
        <w:rPr>
          <w:rFonts w:cs="Calibri"/>
        </w:rPr>
      </w:pPr>
      <w:r w:rsidRPr="00BE78CA">
        <w:rPr>
          <w:rFonts w:cs="Calibri"/>
          <w:b/>
          <w:bCs/>
        </w:rPr>
        <w:t>Note:</w:t>
      </w:r>
      <w:r w:rsidRPr="00BE78CA">
        <w:rPr>
          <w:rFonts w:cs="Calibri"/>
        </w:rPr>
        <w:t xml:space="preserve"> </w:t>
      </w:r>
      <w:r w:rsidRPr="00BE78CA">
        <w:rPr>
          <w:rFonts w:cs="Calibri"/>
        </w:rPr>
        <w:tab/>
        <w:t xml:space="preserve">Rice cultivation does not occur (NO) in New Zealand. Emissions from other carbon-containing fertilisers are not estimated (NE). </w:t>
      </w:r>
    </w:p>
    <w:p w14:paraId="47F6A0AF" w14:textId="77777777" w:rsidR="00F02481" w:rsidRPr="00BE78CA" w:rsidRDefault="00F02481" w:rsidP="00C26084">
      <w:pPr>
        <w:pStyle w:val="BodyText"/>
        <w:spacing w:before="100" w:after="100"/>
        <w:rPr>
          <w:rFonts w:cs="Calibri"/>
        </w:rPr>
      </w:pPr>
      <w:r w:rsidRPr="00BE78CA">
        <w:rPr>
          <w:rFonts w:cs="Calibri"/>
          <w:iCs/>
        </w:rPr>
        <w:t xml:space="preserve">Agriculture </w:t>
      </w:r>
      <w:r w:rsidRPr="00BE78CA">
        <w:rPr>
          <w:rFonts w:cs="Calibri"/>
        </w:rPr>
        <w:t xml:space="preserve">emissions peaked at 40,010.0 kt </w:t>
      </w:r>
      <w:r w:rsidRPr="00BE78CA">
        <w:rPr>
          <w:rFonts w:cs="Calibri"/>
          <w:spacing w:val="-2"/>
        </w:rPr>
        <w:t>CO</w:t>
      </w:r>
      <w:r w:rsidRPr="00BE78CA">
        <w:rPr>
          <w:rFonts w:cs="Calibri"/>
          <w:spacing w:val="-2"/>
          <w:vertAlign w:val="subscript"/>
        </w:rPr>
        <w:t>2</w:t>
      </w:r>
      <w:r w:rsidRPr="00BE78CA">
        <w:rPr>
          <w:rFonts w:cs="Calibri"/>
          <w:spacing w:val="-2"/>
        </w:rPr>
        <w:t xml:space="preserve">-e in 2014, corresponding with a peak in dairy cattle (and total cattle overall) numbers. </w:t>
      </w:r>
      <w:r w:rsidRPr="00BE78CA">
        <w:rPr>
          <w:rFonts w:cs="Calibri"/>
          <w:iCs/>
          <w:spacing w:val="-2"/>
        </w:rPr>
        <w:t>Agriculture</w:t>
      </w:r>
      <w:r w:rsidRPr="00BE78CA">
        <w:rPr>
          <w:rFonts w:cs="Calibri"/>
          <w:i/>
          <w:spacing w:val="-2"/>
        </w:rPr>
        <w:t xml:space="preserve"> </w:t>
      </w:r>
      <w:r w:rsidRPr="00BE78CA">
        <w:rPr>
          <w:rFonts w:cs="Calibri"/>
          <w:spacing w:val="-2"/>
        </w:rPr>
        <w:t>emissions previously peaked in 2005 but dropped by around 2,000 kt CO</w:t>
      </w:r>
      <w:r w:rsidRPr="00BE78CA">
        <w:rPr>
          <w:rFonts w:cs="Calibri"/>
          <w:spacing w:val="-2"/>
          <w:vertAlign w:val="subscript"/>
        </w:rPr>
        <w:t>2</w:t>
      </w:r>
      <w:r w:rsidRPr="00BE78CA">
        <w:rPr>
          <w:rFonts w:cs="Calibri"/>
          <w:spacing w:val="-2"/>
        </w:rPr>
        <w:t>-e during the Global Financial Crisis (2007–08). Emissions also dropped by approximately 1,000 kt CO</w:t>
      </w:r>
      <w:r w:rsidRPr="00BE78CA">
        <w:rPr>
          <w:rFonts w:cs="Calibri"/>
          <w:spacing w:val="-2"/>
          <w:vertAlign w:val="subscript"/>
        </w:rPr>
        <w:t>2</w:t>
      </w:r>
      <w:r w:rsidRPr="00BE78CA">
        <w:rPr>
          <w:rFonts w:cs="Calibri"/>
          <w:spacing w:val="-2"/>
        </w:rPr>
        <w:t xml:space="preserve">-e during the 2008 nationwide drought but have since recovered. </w:t>
      </w:r>
      <w:r w:rsidRPr="00BE78CA">
        <w:rPr>
          <w:rFonts w:cs="Calibri"/>
          <w:iCs/>
          <w:spacing w:val="-2"/>
        </w:rPr>
        <w:t>Agriculture</w:t>
      </w:r>
      <w:r w:rsidRPr="00BE78CA">
        <w:rPr>
          <w:rFonts w:cs="Calibri"/>
          <w:i/>
          <w:spacing w:val="-2"/>
        </w:rPr>
        <w:t xml:space="preserve"> </w:t>
      </w:r>
      <w:r w:rsidRPr="00BE78CA">
        <w:rPr>
          <w:rFonts w:cs="Calibri"/>
          <w:spacing w:val="-2"/>
        </w:rPr>
        <w:t>emissions have remained slightly below the 2014 peak in the years 2015 to 2019. This is due to a drop in the profitability of dairy (relative to other primary sector exports) since 2015 (figure 5.1.2).</w:t>
      </w:r>
    </w:p>
    <w:p w14:paraId="5B7F38F5" w14:textId="77777777" w:rsidR="00F02481" w:rsidRPr="00BE78CA" w:rsidRDefault="00F02481" w:rsidP="00C26084">
      <w:pPr>
        <w:pStyle w:val="Figure"/>
      </w:pPr>
      <w:bookmarkStart w:id="511" w:name="_Toc32570957"/>
      <w:bookmarkStart w:id="512" w:name="_Toc36292787"/>
      <w:bookmarkStart w:id="513" w:name="_Toc68786652"/>
      <w:r w:rsidRPr="00BE78CA">
        <w:lastRenderedPageBreak/>
        <w:t>Figure 5.1.2</w:t>
      </w:r>
      <w:r w:rsidRPr="00BE78CA">
        <w:tab/>
        <w:t>New Zealand’s Agriculture sector emissions from 1990 to 201</w:t>
      </w:r>
      <w:bookmarkEnd w:id="511"/>
      <w:bookmarkEnd w:id="512"/>
      <w:r w:rsidRPr="00BE78CA">
        <w:t>9</w:t>
      </w:r>
      <w:bookmarkEnd w:id="513"/>
    </w:p>
    <w:p w14:paraId="3AB8F19C" w14:textId="7CA06822" w:rsidR="00F02481" w:rsidRPr="00BE78CA" w:rsidRDefault="00087879" w:rsidP="00C26084">
      <w:pPr>
        <w:pStyle w:val="BodyText"/>
        <w:spacing w:before="0" w:after="0"/>
        <w:rPr>
          <w:rFonts w:cs="Calibri"/>
        </w:rPr>
      </w:pPr>
      <w:r>
        <w:pict w14:anchorId="3427E862">
          <v:shape id="_x0000_i1033" type="#_x0000_t75" style="width:424.55pt;height:207.15pt;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">
            <v:imagedata r:id="rId104" o:title="" croptop="1784f" cropbottom="3171f"/>
            <o:lock v:ext="edit" aspectratio="f"/>
          </v:shape>
        </w:pict>
      </w:r>
    </w:p>
    <w:p w14:paraId="6419C902" w14:textId="77777777" w:rsidR="00F02481" w:rsidRPr="00BE78CA" w:rsidRDefault="00F02481" w:rsidP="00C26084">
      <w:pPr>
        <w:pStyle w:val="Heading5"/>
        <w:rPr>
          <w:rFonts w:cs="Calibri"/>
        </w:rPr>
      </w:pPr>
      <w:r w:rsidRPr="00BE78CA">
        <w:rPr>
          <w:rFonts w:cs="Calibri"/>
        </w:rPr>
        <w:t xml:space="preserve">2018–2019 </w:t>
      </w:r>
    </w:p>
    <w:p w14:paraId="4C413BAD" w14:textId="55A0D47F" w:rsidR="00F02481" w:rsidRPr="00BE78CA" w:rsidRDefault="00F02481" w:rsidP="00474C2C">
      <w:pPr>
        <w:pStyle w:val="BodyText"/>
        <w:spacing w:before="100" w:after="100"/>
      </w:pPr>
      <w:r w:rsidRPr="00BE78CA">
        <w:rPr>
          <w:spacing w:val="-2"/>
        </w:rPr>
        <w:t>Between 2018 and 2019, total agricultural emissions increased by 0.4 per cent (147.2</w:t>
      </w:r>
      <w:r w:rsidR="008833BF" w:rsidRPr="00BE78CA">
        <w:rPr>
          <w:spacing w:val="-2"/>
        </w:rPr>
        <w:t> </w:t>
      </w:r>
      <w:r w:rsidRPr="00BE78CA">
        <w:rPr>
          <w:spacing w:val="-2"/>
        </w:rPr>
        <w:t>kt CO</w:t>
      </w:r>
      <w:r w:rsidRPr="00BE78CA">
        <w:rPr>
          <w:spacing w:val="-2"/>
          <w:vertAlign w:val="subscript"/>
        </w:rPr>
        <w:t>2</w:t>
      </w:r>
      <w:r w:rsidRPr="00BE78CA">
        <w:rPr>
          <w:spacing w:val="-2"/>
        </w:rPr>
        <w:noBreakHyphen/>
        <w:t>e).</w:t>
      </w:r>
      <w:r w:rsidRPr="00BE78CA">
        <w:t xml:space="preserve"> This increase was due to an increase in emissions from beef cattle and liming, and comprises: </w:t>
      </w:r>
    </w:p>
    <w:p w14:paraId="7D9B2F8A" w14:textId="51646B74" w:rsidR="00F02481" w:rsidRPr="00BE78CA" w:rsidRDefault="00F02481" w:rsidP="00474C2C">
      <w:pPr>
        <w:pStyle w:val="Bullet"/>
        <w:spacing w:after="100"/>
      </w:pPr>
      <w:r w:rsidRPr="00BE78CA">
        <w:rPr>
          <w:iCs/>
        </w:rPr>
        <w:t>beef</w:t>
      </w:r>
      <w:r w:rsidRPr="00BE78CA">
        <w:rPr>
          <w:i/>
        </w:rPr>
        <w:t xml:space="preserve"> </w:t>
      </w:r>
      <w:r w:rsidRPr="00BE78CA">
        <w:rPr>
          <w:iCs/>
        </w:rPr>
        <w:t>cattle</w:t>
      </w:r>
      <w:r w:rsidRPr="00BE78CA">
        <w:t xml:space="preserve"> emissions, which increased 5.3 per cent (354.6 kt CO</w:t>
      </w:r>
      <w:r w:rsidRPr="00BE78CA">
        <w:rPr>
          <w:vertAlign w:val="subscript"/>
        </w:rPr>
        <w:t>2</w:t>
      </w:r>
      <w:r w:rsidRPr="00BE78CA">
        <w:t>-e) due to an increase in the population</w:t>
      </w:r>
    </w:p>
    <w:p w14:paraId="457BBD37" w14:textId="77777777" w:rsidR="00F02481" w:rsidRPr="00BE78CA" w:rsidRDefault="00F02481" w:rsidP="00474C2C">
      <w:pPr>
        <w:pStyle w:val="Bullet"/>
        <w:tabs>
          <w:tab w:val="num" w:pos="567"/>
        </w:tabs>
        <w:spacing w:after="100"/>
      </w:pPr>
      <w:r w:rsidRPr="00BE78CA">
        <w:rPr>
          <w:i/>
        </w:rPr>
        <w:t>Liming</w:t>
      </w:r>
      <w:r w:rsidRPr="00BE78CA">
        <w:t xml:space="preserve"> emissions (CO</w:t>
      </w:r>
      <w:r w:rsidRPr="00BE78CA">
        <w:rPr>
          <w:vertAlign w:val="subscript"/>
        </w:rPr>
        <w:t>2</w:t>
      </w:r>
      <w:r w:rsidRPr="00BE78CA">
        <w:t>), which increased 10.4 per cent (51.3 kt CO</w:t>
      </w:r>
      <w:r w:rsidRPr="00BE78CA">
        <w:rPr>
          <w:vertAlign w:val="subscript"/>
        </w:rPr>
        <w:t>2</w:t>
      </w:r>
      <w:r w:rsidRPr="00BE78CA">
        <w:noBreakHyphen/>
        <w:t>e) due to an increase in limestone use.</w:t>
      </w:r>
    </w:p>
    <w:p w14:paraId="3716B907" w14:textId="77777777" w:rsidR="00F02481" w:rsidRPr="00BE78CA" w:rsidRDefault="00F02481" w:rsidP="00474C2C">
      <w:pPr>
        <w:pStyle w:val="BodyText"/>
        <w:spacing w:after="100"/>
      </w:pPr>
      <w:r w:rsidRPr="00BE78CA">
        <w:t>Emissions from other activities fell, but these decreases were not enough to offset the overall increase in agricultural emissions. This decrease comprises:</w:t>
      </w:r>
    </w:p>
    <w:p w14:paraId="7DC51768" w14:textId="2EB65FBC" w:rsidR="00F02481" w:rsidRPr="00BE78CA" w:rsidRDefault="008833BF" w:rsidP="00474C2C">
      <w:pPr>
        <w:pStyle w:val="Bullet"/>
        <w:tabs>
          <w:tab w:val="num" w:pos="567"/>
        </w:tabs>
        <w:spacing w:after="100"/>
        <w:rPr>
          <w:iCs/>
        </w:rPr>
      </w:pPr>
      <w:r w:rsidRPr="00BE78CA">
        <w:rPr>
          <w:iCs/>
        </w:rPr>
        <w:t>s</w:t>
      </w:r>
      <w:r w:rsidR="00F02481" w:rsidRPr="00BE78CA">
        <w:rPr>
          <w:iCs/>
        </w:rPr>
        <w:t>heep emissions, which decreased by 1.5 per cent (149.5 kt CO</w:t>
      </w:r>
      <w:r w:rsidR="00F02481" w:rsidRPr="00BE78CA">
        <w:rPr>
          <w:iCs/>
          <w:vertAlign w:val="subscript"/>
        </w:rPr>
        <w:t>2</w:t>
      </w:r>
      <w:r w:rsidR="00F02481" w:rsidRPr="00BE78CA">
        <w:rPr>
          <w:iCs/>
        </w:rPr>
        <w:t>-e) due to a continual drop in animals year-on-year</w:t>
      </w:r>
    </w:p>
    <w:p w14:paraId="0D1FF722" w14:textId="40032E7A" w:rsidR="00F02481" w:rsidRPr="00BE78CA" w:rsidRDefault="008833BF" w:rsidP="00474C2C">
      <w:pPr>
        <w:pStyle w:val="Bullet"/>
        <w:tabs>
          <w:tab w:val="num" w:pos="567"/>
        </w:tabs>
        <w:spacing w:after="100"/>
      </w:pPr>
      <w:r w:rsidRPr="00BE78CA">
        <w:rPr>
          <w:iCs/>
        </w:rPr>
        <w:t>d</w:t>
      </w:r>
      <w:r w:rsidR="00F02481" w:rsidRPr="00BE78CA">
        <w:rPr>
          <w:iCs/>
        </w:rPr>
        <w:t xml:space="preserve">airy cattle </w:t>
      </w:r>
      <w:r w:rsidR="00F02481" w:rsidRPr="00BE78CA">
        <w:t>emissions, which dropped by 0.4 per cent (73.8 kt CO</w:t>
      </w:r>
      <w:r w:rsidR="00F02481" w:rsidRPr="00BE78CA">
        <w:rPr>
          <w:vertAlign w:val="subscript"/>
        </w:rPr>
        <w:t>2</w:t>
      </w:r>
      <w:r w:rsidR="00F02481" w:rsidRPr="00BE78CA">
        <w:t>-e)</w:t>
      </w:r>
    </w:p>
    <w:p w14:paraId="1E587AB1" w14:textId="77777777" w:rsidR="00F02481" w:rsidRPr="00BE78CA" w:rsidRDefault="00F02481" w:rsidP="00474C2C">
      <w:pPr>
        <w:pStyle w:val="Bullet"/>
        <w:tabs>
          <w:tab w:val="num" w:pos="567"/>
        </w:tabs>
        <w:spacing w:after="100"/>
      </w:pPr>
      <w:r w:rsidRPr="00BE78CA">
        <w:rPr>
          <w:i/>
        </w:rPr>
        <w:t xml:space="preserve">Urea </w:t>
      </w:r>
      <w:r w:rsidRPr="00BE78CA">
        <w:t>emissions, which decreased by 6.2 per cent (37.5 kt CO</w:t>
      </w:r>
      <w:r w:rsidRPr="00BE78CA">
        <w:rPr>
          <w:vertAlign w:val="subscript"/>
        </w:rPr>
        <w:t>2</w:t>
      </w:r>
      <w:r w:rsidRPr="00BE78CA">
        <w:t xml:space="preserve">-e) due to a decrease in urea fertiliser use. </w:t>
      </w:r>
    </w:p>
    <w:p w14:paraId="436799A3" w14:textId="77777777" w:rsidR="00F02481" w:rsidRPr="00BE78CA" w:rsidRDefault="00F02481" w:rsidP="00C26084">
      <w:pPr>
        <w:pStyle w:val="Heading3"/>
      </w:pPr>
      <w:bookmarkStart w:id="514" w:name="_Toc32570643"/>
      <w:r w:rsidRPr="00BE78CA">
        <w:t>5.1.1</w:t>
      </w:r>
      <w:r w:rsidRPr="00BE78CA">
        <w:tab/>
        <w:t>New Zealand farming practices and trends</w:t>
      </w:r>
      <w:bookmarkEnd w:id="514"/>
      <w:r w:rsidRPr="00BE78CA">
        <w:t xml:space="preserve"> </w:t>
      </w:r>
    </w:p>
    <w:p w14:paraId="787DEB09" w14:textId="586104D0" w:rsidR="00F02481" w:rsidRPr="00BE78CA" w:rsidRDefault="00F02481" w:rsidP="00C26084">
      <w:pPr>
        <w:pStyle w:val="BodyText"/>
        <w:rPr>
          <w:rFonts w:cs="Calibri"/>
        </w:rPr>
      </w:pPr>
      <w:r w:rsidRPr="00BE78CA">
        <w:rPr>
          <w:rFonts w:cs="Calibri"/>
        </w:rPr>
        <w:t>Agriculture is a major component of the New Zealand economy, and exports from agricultural products (excluding fisheries and forestry) comprise approximately 64.1 per cent of the total free on board value of merchandise exports (Stats NZ, 2020).</w:t>
      </w:r>
      <w:r w:rsidR="00FB1EB8" w:rsidRPr="00BE78CA">
        <w:rPr>
          <w:rFonts w:cs="Calibri"/>
        </w:rPr>
        <w:t xml:space="preserve"> </w:t>
      </w:r>
      <w:r w:rsidRPr="00BE78CA">
        <w:rPr>
          <w:rFonts w:cs="Calibri"/>
        </w:rPr>
        <w:t xml:space="preserve">The production of land-based agricultural products in New Zealand is helped by the favourable temperate climate and access to natural water resources. Typical farming practices in New Zealand include the use of year-round outdoor pastoral grazing systems, nitrogen inputs through nitrogen fixation by legumes complemented by synthetic nitrogen fertiliser use. The common use of outdoor pastoral grazing systems means New Zealand’s agricultural production is more sensitive to climatic events than countries that use intensive grain-fed systems and indoor feedlots. </w:t>
      </w:r>
    </w:p>
    <w:p w14:paraId="11AEBCE5" w14:textId="4E8D8807" w:rsidR="00F02481" w:rsidRPr="00BE78CA" w:rsidRDefault="00F02481" w:rsidP="00C26084">
      <w:pPr>
        <w:pStyle w:val="BodyText"/>
        <w:rPr>
          <w:rFonts w:cs="Calibri"/>
        </w:rPr>
      </w:pPr>
      <w:r w:rsidRPr="00BE78CA">
        <w:rPr>
          <w:rFonts w:cs="Calibri"/>
        </w:rPr>
        <w:t>Dairy cattle, beef cattle, sheep and deer are grazed outdoors all year round, and intensive housing of major ruminant livestock species rarely occurs in New Zealand. As part of</w:t>
      </w:r>
      <w:r w:rsidR="00F97BAB" w:rsidRPr="00BE78CA">
        <w:rPr>
          <w:rFonts w:cs="Calibri"/>
        </w:rPr>
        <w:t> </w:t>
      </w:r>
      <w:r w:rsidRPr="00BE78CA">
        <w:rPr>
          <w:rFonts w:cs="Calibri"/>
        </w:rPr>
        <w:t>normal day-to-day management, farmers may temporarily take animals off regular grazing areas in an</w:t>
      </w:r>
      <w:r w:rsidR="00E223AA" w:rsidRPr="00BE78CA">
        <w:rPr>
          <w:rFonts w:cs="Calibri"/>
        </w:rPr>
        <w:t> </w:t>
      </w:r>
      <w:r w:rsidRPr="00BE78CA">
        <w:rPr>
          <w:rFonts w:cs="Calibri"/>
        </w:rPr>
        <w:t xml:space="preserve">effort to prevent damage to soils and any subsequent loss in pasture growth, although </w:t>
      </w:r>
      <w:r w:rsidRPr="00BE78CA">
        <w:rPr>
          <w:rFonts w:cs="Calibri"/>
        </w:rPr>
        <w:lastRenderedPageBreak/>
        <w:t>most</w:t>
      </w:r>
      <w:r w:rsidR="00E223AA" w:rsidRPr="00BE78CA">
        <w:rPr>
          <w:rFonts w:cs="Calibri"/>
        </w:rPr>
        <w:t> </w:t>
      </w:r>
      <w:r w:rsidRPr="00BE78CA">
        <w:rPr>
          <w:rFonts w:cs="Calibri"/>
        </w:rPr>
        <w:t>of these off-paddock sites are also outside. This means New Zealand has a much</w:t>
      </w:r>
      <w:r w:rsidR="00B22C6A" w:rsidRPr="00BE78CA">
        <w:rPr>
          <w:rFonts w:cs="Calibri"/>
        </w:rPr>
        <w:t xml:space="preserve"> </w:t>
      </w:r>
      <w:r w:rsidRPr="00BE78CA">
        <w:rPr>
          <w:rFonts w:cs="Calibri"/>
        </w:rPr>
        <w:t>lower</w:t>
      </w:r>
      <w:r w:rsidR="00B22C6A" w:rsidRPr="00BE78CA">
        <w:rPr>
          <w:rFonts w:cs="Calibri"/>
        </w:rPr>
        <w:t> </w:t>
      </w:r>
      <w:r w:rsidRPr="00BE78CA">
        <w:rPr>
          <w:rFonts w:cs="Calibri"/>
        </w:rPr>
        <w:t>proportion of agricultural emissions from manure management, compared with</w:t>
      </w:r>
      <w:r w:rsidR="00B22C6A" w:rsidRPr="00BE78CA">
        <w:rPr>
          <w:rFonts w:cs="Calibri"/>
        </w:rPr>
        <w:t xml:space="preserve"> </w:t>
      </w:r>
      <w:r w:rsidRPr="00BE78CA">
        <w:rPr>
          <w:rFonts w:cs="Calibri"/>
        </w:rPr>
        <w:t>other</w:t>
      </w:r>
      <w:r w:rsidR="00B22C6A" w:rsidRPr="00BE78CA">
        <w:rPr>
          <w:rFonts w:cs="Calibri"/>
        </w:rPr>
        <w:t> </w:t>
      </w:r>
      <w:r w:rsidRPr="00BE78CA">
        <w:rPr>
          <w:rFonts w:cs="Calibri"/>
        </w:rPr>
        <w:t xml:space="preserve">Annex I Parties as most manure is deposited directly onto pastures. For further information about New Zealand’s agricultural farming conditions, see section 2.9 (National circumstances, Agriculture) of New Zealand’s Seventh National Communication (Ministry for the Environment, 2017). </w:t>
      </w:r>
    </w:p>
    <w:p w14:paraId="77916425" w14:textId="5A66E2A0" w:rsidR="00F02481" w:rsidRPr="00BE78CA" w:rsidRDefault="00F02481" w:rsidP="00C26084">
      <w:pPr>
        <w:pStyle w:val="BodyText"/>
        <w:rPr>
          <w:rFonts w:cs="Calibri"/>
        </w:rPr>
      </w:pPr>
      <w:r w:rsidRPr="00BE78CA">
        <w:rPr>
          <w:rFonts w:cs="Calibri"/>
        </w:rPr>
        <w:t xml:space="preserve">Trends in Agriculture sector emissions are largely driven by the populations of the ruminant livestock categories (dairy cattle, beef cattle, sheep and deer). In 1990 and 2019 respectively, 94.1 per cent and 89.9 per cent of agricultural emissions originated from these ruminant livestock categories. </w:t>
      </w:r>
    </w:p>
    <w:p w14:paraId="1FBBE02C" w14:textId="7E465A39" w:rsidR="00F02481" w:rsidRPr="00BE78CA" w:rsidRDefault="00F02481" w:rsidP="00C26084">
      <w:pPr>
        <w:pStyle w:val="BodyText"/>
        <w:spacing w:before="100" w:after="100"/>
        <w:rPr>
          <w:rFonts w:cs="Calibri"/>
        </w:rPr>
      </w:pPr>
      <w:r w:rsidRPr="00BE78CA">
        <w:rPr>
          <w:rFonts w:cs="Calibri"/>
        </w:rPr>
        <w:t>Agriculture and horticulture activities (excluding forestry) use approximately 42 per cent of New Zealand’s total land area (Stats NZ, 2017). Since 1990, there have been changes in the proportions of the main livestock categories farmed in New Zealand (see figures 5.1.3a and 5.1.3b). The number of dairy cattle has increased while the population of sheep and beef cattle has decreased. These changes reflect the relative profitability of these farming enterprises.</w:t>
      </w:r>
      <w:r w:rsidRPr="00BE78CA">
        <w:rPr>
          <w:rFonts w:cs="Calibri"/>
          <w:color w:val="FF0000"/>
        </w:rPr>
        <w:t xml:space="preserve"> </w:t>
      </w:r>
      <w:r w:rsidRPr="00BE78CA">
        <w:rPr>
          <w:rFonts w:cs="Calibri"/>
        </w:rPr>
        <w:t>Between 1990 and 2019, the land area used for sheep, beef and deer grazing has decreased by 34.4 per cent (4,292,096 hectares) (Beef + Lamb New Zealand Ltd, 2020), while the area used for dairy farming has increased by 69.1 per cent (706,829 hectares) (LIC and Dairy NZ, 2020).</w:t>
      </w:r>
      <w:r w:rsidRPr="00BE78CA" w:rsidDel="00103073">
        <w:rPr>
          <w:rFonts w:cs="Calibri"/>
        </w:rPr>
        <w:t xml:space="preserve"> </w:t>
      </w:r>
    </w:p>
    <w:p w14:paraId="0593ADDD" w14:textId="77777777" w:rsidR="00F02481" w:rsidRPr="00BE78CA" w:rsidRDefault="00F02481" w:rsidP="00C26084">
      <w:pPr>
        <w:pStyle w:val="BodyText"/>
        <w:spacing w:before="100" w:after="100"/>
        <w:rPr>
          <w:rFonts w:cs="Calibri"/>
        </w:rPr>
      </w:pPr>
      <w:r w:rsidRPr="00BE78CA">
        <w:rPr>
          <w:rFonts w:cs="Calibri"/>
        </w:rPr>
        <w:t>The use of synthetic nitrogen fertiliser in the Agriculture sector increased by approximately 662.7 per cent since 1990. Total emissions from synthetic nitrogen fertiliser (including CO</w:t>
      </w:r>
      <w:r w:rsidRPr="00BE78CA">
        <w:rPr>
          <w:rFonts w:cs="Calibri"/>
          <w:vertAlign w:val="subscript"/>
        </w:rPr>
        <w:t>2</w:t>
      </w:r>
      <w:r w:rsidRPr="00BE78CA">
        <w:rPr>
          <w:rFonts w:cs="Calibri"/>
        </w:rPr>
        <w:t xml:space="preserve"> from urea) have increased from 0.9 per cent (1990) to 5.8 per cent (2019) of agricultural emissions. The cheaper cost of producing feed from nitrogen fertiliser (relative to other forms of feed) over this period is largely responsible for this increase.</w:t>
      </w:r>
    </w:p>
    <w:p w14:paraId="0D819B67" w14:textId="3599DD85" w:rsidR="00F02481" w:rsidRPr="00BE78CA" w:rsidRDefault="00F02481" w:rsidP="00ED511A">
      <w:pPr>
        <w:pStyle w:val="Figure"/>
        <w:spacing w:after="0"/>
      </w:pPr>
      <w:bookmarkStart w:id="515" w:name="_Toc507158462"/>
      <w:bookmarkStart w:id="516" w:name="_Toc511116955"/>
      <w:bookmarkStart w:id="517" w:name="_Toc5269685"/>
      <w:bookmarkStart w:id="518" w:name="_Toc32570958"/>
      <w:bookmarkStart w:id="519" w:name="_Toc36292788"/>
      <w:bookmarkStart w:id="520" w:name="_Toc68786653"/>
      <w:r w:rsidRPr="00BE78CA">
        <w:t xml:space="preserve">Figure 5.1.3a </w:t>
      </w:r>
      <w:r w:rsidRPr="00BE78CA">
        <w:tab/>
        <w:t>Populations of New Zealand’s dairy cattle, beef cattle and deer</w:t>
      </w:r>
      <w:r w:rsidR="00DB130E" w:rsidRPr="00BE78CA">
        <w:br/>
      </w:r>
      <w:r w:rsidRPr="00BE78CA">
        <w:t>from 1990 to 2019 (June year ending)</w:t>
      </w:r>
      <w:bookmarkEnd w:id="515"/>
      <w:bookmarkEnd w:id="516"/>
      <w:bookmarkEnd w:id="517"/>
      <w:bookmarkEnd w:id="518"/>
      <w:bookmarkEnd w:id="519"/>
      <w:bookmarkEnd w:id="520"/>
      <w:r w:rsidRPr="00BE78CA">
        <w:t xml:space="preserve"> </w:t>
      </w:r>
    </w:p>
    <w:p w14:paraId="40338706" w14:textId="7ADE13A7" w:rsidR="00F02481" w:rsidRPr="00BE78CA" w:rsidRDefault="00430E77" w:rsidP="00ED511A">
      <w:pPr>
        <w:pStyle w:val="BodyText"/>
      </w:pPr>
      <w:r w:rsidRPr="00BE78CA">
        <w:rPr>
          <w:noProof/>
        </w:rPr>
        <w:drawing>
          <wp:inline distT="0" distB="0" distL="0" distR="0" wp14:anchorId="4E28FBE3" wp14:editId="7DB3EED3">
            <wp:extent cx="5400675" cy="3519805"/>
            <wp:effectExtent l="0" t="0" r="0" b="4445"/>
            <wp:docPr id="87" name="Chart 87">
              <a:extLst xmlns:a="http://schemas.openxmlformats.org/drawingml/2006/main">
                <a:ext uri="{FF2B5EF4-FFF2-40B4-BE49-F238E27FC236}">
                  <a16:creationId xmlns:a16="http://schemas.microsoft.com/office/drawing/2014/main" id="{00000000-0008-0000-05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14:paraId="13CFCB65" w14:textId="77777777" w:rsidR="00F02481" w:rsidRPr="00BE78CA" w:rsidRDefault="00F02481" w:rsidP="00ED511A">
      <w:pPr>
        <w:pStyle w:val="Source"/>
        <w:spacing w:before="0" w:after="120"/>
        <w:rPr>
          <w:rFonts w:cs="Calibri"/>
        </w:rPr>
      </w:pPr>
      <w:r w:rsidRPr="00BE78CA">
        <w:rPr>
          <w:rFonts w:cs="Calibri"/>
          <w:b/>
          <w:bCs/>
        </w:rPr>
        <w:t xml:space="preserve">Source: </w:t>
      </w:r>
      <w:r w:rsidRPr="00BE78CA">
        <w:rPr>
          <w:rFonts w:cs="Calibri"/>
        </w:rPr>
        <w:t>Stats NZ</w:t>
      </w:r>
    </w:p>
    <w:p w14:paraId="25BAAFD8" w14:textId="77777777" w:rsidR="00F02481" w:rsidRPr="00BE78CA" w:rsidRDefault="00F02481" w:rsidP="00C26084">
      <w:pPr>
        <w:pStyle w:val="Figure"/>
      </w:pPr>
      <w:bookmarkStart w:id="521" w:name="_Toc507158463"/>
      <w:bookmarkStart w:id="522" w:name="_Toc511116956"/>
      <w:bookmarkStart w:id="523" w:name="_Toc5269686"/>
      <w:bookmarkStart w:id="524" w:name="_Toc32570959"/>
      <w:bookmarkStart w:id="525" w:name="_Toc36292789"/>
      <w:bookmarkStart w:id="526" w:name="_Toc68786654"/>
      <w:r w:rsidRPr="00BE78CA">
        <w:lastRenderedPageBreak/>
        <w:t xml:space="preserve">Figure 5.1.3b </w:t>
      </w:r>
      <w:r w:rsidRPr="00BE78CA">
        <w:tab/>
        <w:t>Population of New Zealand’s sheep from 1990 to 2019 (June year ending)</w:t>
      </w:r>
      <w:bookmarkEnd w:id="521"/>
      <w:bookmarkEnd w:id="522"/>
      <w:bookmarkEnd w:id="523"/>
      <w:bookmarkEnd w:id="524"/>
      <w:bookmarkEnd w:id="525"/>
      <w:bookmarkEnd w:id="526"/>
    </w:p>
    <w:p w14:paraId="05F8B642" w14:textId="77777777" w:rsidR="00F02481" w:rsidRPr="00BE78CA" w:rsidRDefault="00087879" w:rsidP="00CF2AA4">
      <w:pPr>
        <w:pStyle w:val="BodyText"/>
        <w:spacing w:after="0"/>
      </w:pPr>
      <w:bookmarkStart w:id="527" w:name="_Toc507158464"/>
      <w:bookmarkStart w:id="528" w:name="_MON_1606658001"/>
      <w:bookmarkEnd w:id="527"/>
      <w:bookmarkEnd w:id="528"/>
      <w:r>
        <w:pict w14:anchorId="0AF085C1">
          <v:shape id="_x0000_i1034" type="#_x0000_t75" style="width:425.2pt;height:237.75pt;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">
            <v:imagedata r:id="rId106" o:title="" cropbottom="-55f"/>
            <o:lock v:ext="edit" aspectratio="f"/>
          </v:shape>
        </w:pict>
      </w:r>
    </w:p>
    <w:p w14:paraId="3174ABB6" w14:textId="77777777" w:rsidR="00F02481" w:rsidRPr="00BE78CA" w:rsidRDefault="00F02481" w:rsidP="00C26084">
      <w:pPr>
        <w:pStyle w:val="Source"/>
        <w:spacing w:before="80"/>
        <w:rPr>
          <w:rFonts w:cs="Calibri"/>
        </w:rPr>
      </w:pPr>
      <w:bookmarkStart w:id="529" w:name="_Toc507158465"/>
      <w:r w:rsidRPr="00BE78CA">
        <w:rPr>
          <w:rFonts w:cs="Calibri"/>
          <w:b/>
          <w:bCs/>
        </w:rPr>
        <w:t>Source:</w:t>
      </w:r>
      <w:r w:rsidRPr="00BE78CA">
        <w:rPr>
          <w:rFonts w:cs="Calibri"/>
        </w:rPr>
        <w:t xml:space="preserve"> Stats NZ</w:t>
      </w:r>
      <w:bookmarkEnd w:id="529"/>
      <w:r w:rsidRPr="00BE78CA">
        <w:rPr>
          <w:rFonts w:cs="Calibri"/>
        </w:rPr>
        <w:t xml:space="preserve"> </w:t>
      </w:r>
    </w:p>
    <w:p w14:paraId="63EC459F" w14:textId="77777777" w:rsidR="00F02481" w:rsidRPr="00BE78CA" w:rsidRDefault="00F02481" w:rsidP="00C26084">
      <w:pPr>
        <w:pStyle w:val="Heading5"/>
        <w:rPr>
          <w:b/>
        </w:rPr>
      </w:pPr>
      <w:r w:rsidRPr="00BE78CA">
        <w:t>Effect of productivity improvements and climatic events on implied emission factors</w:t>
      </w:r>
    </w:p>
    <w:p w14:paraId="7A37E32A" w14:textId="662E80E4" w:rsidR="00F02481" w:rsidRPr="00BE78CA" w:rsidRDefault="00F02481" w:rsidP="00C26084">
      <w:pPr>
        <w:pStyle w:val="BodyText"/>
        <w:rPr>
          <w:rFonts w:cs="Calibri"/>
        </w:rPr>
      </w:pPr>
      <w:r w:rsidRPr="00BE78CA">
        <w:rPr>
          <w:rFonts w:cs="Calibri"/>
        </w:rPr>
        <w:t>A gradual increase has occurred in the implied CH</w:t>
      </w:r>
      <w:r w:rsidRPr="00BE78CA">
        <w:rPr>
          <w:rFonts w:cs="Calibri"/>
          <w:vertAlign w:val="subscript"/>
        </w:rPr>
        <w:t>4</w:t>
      </w:r>
      <w:r w:rsidRPr="00BE78CA">
        <w:rPr>
          <w:rFonts w:cs="Calibri"/>
        </w:rPr>
        <w:t xml:space="preserve"> and N</w:t>
      </w:r>
      <w:r w:rsidRPr="00BE78CA">
        <w:rPr>
          <w:rFonts w:cs="Calibri"/>
          <w:vertAlign w:val="subscript"/>
        </w:rPr>
        <w:t>2</w:t>
      </w:r>
      <w:r w:rsidRPr="00BE78CA">
        <w:rPr>
          <w:rFonts w:cs="Calibri"/>
        </w:rPr>
        <w:t>O emission factors</w:t>
      </w:r>
      <w:r w:rsidRPr="00BE78CA">
        <w:rPr>
          <w:rStyle w:val="FootnoteReference"/>
          <w:rFonts w:cs="Calibri"/>
        </w:rPr>
        <w:footnoteReference w:id="33"/>
      </w:r>
      <w:r w:rsidRPr="00BE78CA">
        <w:rPr>
          <w:rFonts w:cs="Calibri"/>
        </w:rPr>
        <w:t xml:space="preserve"> per head of the</w:t>
      </w:r>
      <w:r w:rsidR="00DB130E" w:rsidRPr="00BE78CA">
        <w:rPr>
          <w:rFonts w:cs="Calibri"/>
        </w:rPr>
        <w:t> </w:t>
      </w:r>
      <w:r w:rsidRPr="00BE78CA">
        <w:rPr>
          <w:rFonts w:cs="Calibri"/>
        </w:rPr>
        <w:t>major livestock species farmed in New Zealand. This trend reflects the increased levels of</w:t>
      </w:r>
      <w:r w:rsidR="00DB130E" w:rsidRPr="00BE78CA">
        <w:rPr>
          <w:rFonts w:cs="Calibri"/>
        </w:rPr>
        <w:t> </w:t>
      </w:r>
      <w:r w:rsidRPr="00BE78CA">
        <w:rPr>
          <w:rFonts w:cs="Calibri"/>
        </w:rPr>
        <w:t>productivity (milk and meat yield per head) achieved by New Zealand farmers between 1990</w:t>
      </w:r>
      <w:r w:rsidR="00DB130E" w:rsidRPr="00BE78CA">
        <w:rPr>
          <w:rFonts w:cs="Calibri"/>
        </w:rPr>
        <w:t> </w:t>
      </w:r>
      <w:r w:rsidRPr="00BE78CA">
        <w:rPr>
          <w:rFonts w:cs="Calibri"/>
        </w:rPr>
        <w:t>and 2019. Increases in animal liveweight and milk yield per animal require increased feed</w:t>
      </w:r>
      <w:r w:rsidR="00DB130E" w:rsidRPr="00BE78CA">
        <w:rPr>
          <w:rFonts w:cs="Calibri"/>
        </w:rPr>
        <w:t> </w:t>
      </w:r>
      <w:r w:rsidRPr="00BE78CA">
        <w:rPr>
          <w:rFonts w:cs="Calibri"/>
        </w:rPr>
        <w:t>intake per animal to meet higher energy demands, which results in higher CH</w:t>
      </w:r>
      <w:r w:rsidRPr="00BE78CA">
        <w:rPr>
          <w:rFonts w:cs="Calibri"/>
          <w:vertAlign w:val="subscript"/>
        </w:rPr>
        <w:t>4</w:t>
      </w:r>
      <w:r w:rsidRPr="00BE78CA">
        <w:rPr>
          <w:rFonts w:cs="Calibri"/>
        </w:rPr>
        <w:t xml:space="preserve"> and N</w:t>
      </w:r>
      <w:r w:rsidRPr="00BE78CA">
        <w:rPr>
          <w:rFonts w:cs="Calibri"/>
          <w:vertAlign w:val="subscript"/>
        </w:rPr>
        <w:t>2</w:t>
      </w:r>
      <w:r w:rsidRPr="00BE78CA">
        <w:rPr>
          <w:rFonts w:cs="Calibri"/>
        </w:rPr>
        <w:t>O</w:t>
      </w:r>
      <w:r w:rsidR="00DB130E" w:rsidRPr="00BE78CA">
        <w:rPr>
          <w:rFonts w:cs="Calibri"/>
        </w:rPr>
        <w:t> </w:t>
      </w:r>
      <w:r w:rsidRPr="00BE78CA">
        <w:rPr>
          <w:rFonts w:cs="Calibri"/>
        </w:rPr>
        <w:t>emissions per animal (i.e., higher implied emission factors (IEFs)). Since 1990, emissions per unit of product (i.e., milk and meat emissions intensity) have steadily decreased.</w:t>
      </w:r>
    </w:p>
    <w:p w14:paraId="4D12AC81" w14:textId="77777777" w:rsidR="00F02481" w:rsidRPr="00BE78CA" w:rsidRDefault="00F02481" w:rsidP="00C26084">
      <w:pPr>
        <w:pStyle w:val="BodyText"/>
        <w:rPr>
          <w:rFonts w:cs="Calibri"/>
        </w:rPr>
      </w:pPr>
      <w:r w:rsidRPr="00BE78CA">
        <w:rPr>
          <w:rFonts w:cs="Calibri"/>
        </w:rPr>
        <w:t xml:space="preserve">The use of year-round outdoor pastoral grazing systems means New Zealand production is dependent on the quantity and quality of pasture grown on land managed by farmers. Pasture growth is strongly influenced by weather and climatic events, such as droughts and floods. These factors can cause changes in per-animal productivity and mean that IEFs can be noticeably different in adjacent years. For example, in 2008, a major nationwide drought affected both livestock numbers and animal performance, resulting in lower livestock emissions, and overall agricultural emissions (see figure 5.1.2). The livestock population and IEFs started to increase after the drought, once seasonal growing conditions improved and farmers looked to rebuild herd and flock numbers. </w:t>
      </w:r>
    </w:p>
    <w:p w14:paraId="6070C094" w14:textId="77777777" w:rsidR="00F02481" w:rsidRPr="00BE78CA" w:rsidRDefault="00F02481" w:rsidP="00C26084">
      <w:pPr>
        <w:pStyle w:val="BodyText"/>
        <w:rPr>
          <w:rFonts w:cs="Calibri"/>
        </w:rPr>
      </w:pPr>
      <w:r w:rsidRPr="00BE78CA">
        <w:rPr>
          <w:rFonts w:cs="Calibri"/>
        </w:rPr>
        <w:t>An example of this is included in figure 5.1.4, which overlays milk production per milking dairy cow with the IEFs (enteric fermentation) for dairy cattle from 1990 to 2019. The figure shows that, while per cow productivity has trended upward, there is a significant amount of inter-annual variability (influenced by climatic conditions and international product prices). It also shows that the IEFs are affected by these changes in productivity.</w:t>
      </w:r>
    </w:p>
    <w:p w14:paraId="6098E74C" w14:textId="4BFCFDF4" w:rsidR="00F02481" w:rsidRPr="00BE78CA" w:rsidRDefault="00F02481" w:rsidP="00C26084">
      <w:pPr>
        <w:pStyle w:val="Figure"/>
      </w:pPr>
      <w:bookmarkStart w:id="530" w:name="_Toc507158466"/>
      <w:bookmarkStart w:id="531" w:name="_Toc511116957"/>
      <w:bookmarkStart w:id="532" w:name="_Toc5269687"/>
      <w:bookmarkStart w:id="533" w:name="_Toc32570960"/>
      <w:bookmarkStart w:id="534" w:name="_Toc36292790"/>
      <w:bookmarkStart w:id="535" w:name="_Toc68786655"/>
      <w:r w:rsidRPr="00BE78CA">
        <w:lastRenderedPageBreak/>
        <w:t>Figure 5.1.4</w:t>
      </w:r>
      <w:r w:rsidRPr="00BE78CA">
        <w:tab/>
        <w:t>Dairy milk productivity and implied enteric fermentation methane emission factors for</w:t>
      </w:r>
      <w:r w:rsidR="00E2748E" w:rsidRPr="00BE78CA">
        <w:t> </w:t>
      </w:r>
      <w:r w:rsidRPr="00BE78CA">
        <w:t>dairy cows from 1990 to 201</w:t>
      </w:r>
      <w:bookmarkEnd w:id="530"/>
      <w:bookmarkEnd w:id="531"/>
      <w:bookmarkEnd w:id="532"/>
      <w:bookmarkEnd w:id="533"/>
      <w:bookmarkEnd w:id="534"/>
      <w:r w:rsidRPr="00BE78CA">
        <w:t>9</w:t>
      </w:r>
      <w:bookmarkEnd w:id="535"/>
    </w:p>
    <w:p w14:paraId="64EE4046" w14:textId="77777777" w:rsidR="00F02481" w:rsidRPr="00BE78CA" w:rsidRDefault="00087879" w:rsidP="00C26084">
      <w:pPr>
        <w:pStyle w:val="BodyText"/>
        <w:spacing w:before="0" w:after="0"/>
        <w:rPr>
          <w:rFonts w:cs="Calibri"/>
        </w:rPr>
      </w:pPr>
      <w:r>
        <w:pict w14:anchorId="4847E0B4">
          <v:shape id="_x0000_i1035" type="#_x0000_t75" style="width:410.25pt;height:244.55pt;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">
            <v:imagedata r:id="rId107" o:title=""/>
            <o:lock v:ext="edit" aspectratio="f"/>
          </v:shape>
        </w:pict>
      </w:r>
      <w:r w:rsidR="00F02481" w:rsidRPr="00BE78CA" w:rsidDel="003545A0">
        <w:rPr>
          <w:rFonts w:cs="Calibri"/>
        </w:rPr>
        <w:t xml:space="preserve"> </w:t>
      </w:r>
    </w:p>
    <w:p w14:paraId="2324AC53" w14:textId="77777777" w:rsidR="00F02481" w:rsidRPr="00BE78CA" w:rsidRDefault="00F02481" w:rsidP="00C26084">
      <w:pPr>
        <w:pStyle w:val="Noteundertable"/>
        <w:spacing w:after="0"/>
        <w:rPr>
          <w:rFonts w:cs="Calibri"/>
        </w:rPr>
      </w:pPr>
      <w:r w:rsidRPr="00BE78CA">
        <w:rPr>
          <w:rFonts w:cs="Calibri"/>
          <w:b/>
          <w:bCs/>
        </w:rPr>
        <w:t>Note:</w:t>
      </w:r>
      <w:r w:rsidRPr="00BE78CA">
        <w:rPr>
          <w:rFonts w:cs="Calibri"/>
        </w:rPr>
        <w:t xml:space="preserve"> </w:t>
      </w:r>
      <w:r w:rsidRPr="00BE78CA">
        <w:rPr>
          <w:rFonts w:cs="Calibri"/>
        </w:rPr>
        <w:tab/>
        <w:t>Milk production per cow is calculated by dividing total milk production by the milking dairy cattle population (i.e., excluding replacements and breeding bulls).</w:t>
      </w:r>
    </w:p>
    <w:p w14:paraId="50F3BF66" w14:textId="77777777" w:rsidR="00F02481" w:rsidRPr="00BE78CA" w:rsidRDefault="00F02481" w:rsidP="00C26084">
      <w:pPr>
        <w:pStyle w:val="Heading3"/>
        <w:spacing w:before="320"/>
        <w:rPr>
          <w:rFonts w:cs="Calibri"/>
          <w:b w:val="0"/>
        </w:rPr>
      </w:pPr>
      <w:bookmarkStart w:id="536" w:name="_Toc32570644"/>
      <w:r w:rsidRPr="00BE78CA">
        <w:rPr>
          <w:rFonts w:cs="Calibri"/>
        </w:rPr>
        <w:t xml:space="preserve">5.1.2 </w:t>
      </w:r>
      <w:r w:rsidRPr="00BE78CA">
        <w:rPr>
          <w:rFonts w:cs="Calibri"/>
        </w:rPr>
        <w:tab/>
        <w:t>Key categories for Agriculture sector emissions</w:t>
      </w:r>
      <w:bookmarkEnd w:id="536"/>
      <w:r w:rsidRPr="00BE78CA">
        <w:rPr>
          <w:rFonts w:cs="Calibri"/>
        </w:rPr>
        <w:t xml:space="preserve"> </w:t>
      </w:r>
    </w:p>
    <w:p w14:paraId="32027E54" w14:textId="77777777" w:rsidR="00F02481" w:rsidRPr="00BE78CA" w:rsidRDefault="00F02481" w:rsidP="00C26084">
      <w:pPr>
        <w:pStyle w:val="BodyText"/>
        <w:spacing w:before="100" w:after="100"/>
        <w:rPr>
          <w:rFonts w:cs="Calibri"/>
        </w:rPr>
      </w:pPr>
      <w:r w:rsidRPr="00BE78CA">
        <w:rPr>
          <w:rFonts w:cs="Calibri"/>
        </w:rPr>
        <w:t xml:space="preserve">Details of New Zealand’s analysis of key categories are in chapter 1, section 1.5. The key categories in the Agriculture sector are listed in table 5.1.2. </w:t>
      </w:r>
    </w:p>
    <w:p w14:paraId="24B520ED" w14:textId="77777777" w:rsidR="00F02481" w:rsidRPr="00BE78CA" w:rsidRDefault="00F02481" w:rsidP="00C26084">
      <w:pPr>
        <w:pStyle w:val="Table"/>
        <w:rPr>
          <w:rFonts w:cs="Calibri"/>
        </w:rPr>
      </w:pPr>
      <w:bookmarkStart w:id="537" w:name="_Toc481751507"/>
      <w:bookmarkStart w:id="538" w:name="_Toc507158597"/>
      <w:bookmarkStart w:id="539" w:name="_Toc511116731"/>
      <w:bookmarkStart w:id="540" w:name="_Toc5269471"/>
      <w:bookmarkStart w:id="541" w:name="_Toc32570910"/>
      <w:bookmarkStart w:id="542" w:name="_Toc36224545"/>
      <w:bookmarkStart w:id="543" w:name="_Toc68786431"/>
      <w:r w:rsidRPr="00BE78CA">
        <w:rPr>
          <w:rFonts w:cs="Calibri"/>
        </w:rPr>
        <w:t xml:space="preserve">Table 5.1.2 </w:t>
      </w:r>
      <w:r w:rsidRPr="00BE78CA">
        <w:rPr>
          <w:rFonts w:cs="Calibri"/>
        </w:rPr>
        <w:tab/>
        <w:t>Key categories in the Agriculture sector</w:t>
      </w:r>
      <w:bookmarkEnd w:id="537"/>
      <w:bookmarkEnd w:id="538"/>
      <w:bookmarkEnd w:id="539"/>
      <w:bookmarkEnd w:id="540"/>
      <w:bookmarkEnd w:id="541"/>
      <w:bookmarkEnd w:id="542"/>
      <w:bookmarkEnd w:id="543"/>
    </w:p>
    <w:tbl>
      <w:tblPr>
        <w:tblW w:w="8505" w:type="dxa"/>
        <w:tblBorders>
          <w:top w:val="single" w:sz="4" w:space="0" w:color="365F91"/>
          <w:bottom w:val="single" w:sz="4" w:space="0" w:color="365F91"/>
          <w:insideH w:val="single" w:sz="4" w:space="0" w:color="365F91"/>
        </w:tblBorders>
        <w:tblLook w:val="04A0" w:firstRow="1" w:lastRow="0" w:firstColumn="1" w:lastColumn="0" w:noHBand="0" w:noVBand="1"/>
      </w:tblPr>
      <w:tblGrid>
        <w:gridCol w:w="1169"/>
        <w:gridCol w:w="5210"/>
        <w:gridCol w:w="852"/>
        <w:gridCol w:w="1274"/>
      </w:tblGrid>
      <w:tr w:rsidR="003E7AC7" w:rsidRPr="00BE78CA" w14:paraId="17A55C04" w14:textId="77777777" w:rsidTr="003E7AC7">
        <w:trPr>
          <w:trHeight w:val="462"/>
          <w:tblHeader/>
        </w:trPr>
        <w:tc>
          <w:tcPr>
            <w:tcW w:w="687" w:type="pct"/>
            <w:tcBorders>
              <w:top w:val="single" w:sz="4" w:space="0" w:color="365F91"/>
              <w:left w:val="nil"/>
              <w:bottom w:val="single" w:sz="4" w:space="0" w:color="365F91"/>
              <w:right w:val="nil"/>
            </w:tcBorders>
            <w:shd w:val="clear" w:color="auto" w:fill="365F91"/>
            <w:vAlign w:val="bottom"/>
          </w:tcPr>
          <w:p w14:paraId="53BCF7B7" w14:textId="77777777" w:rsidR="00F02481" w:rsidRPr="00BE78CA" w:rsidRDefault="00F02481" w:rsidP="003E7AC7">
            <w:pPr>
              <w:pStyle w:val="TableTextBold"/>
              <w:rPr>
                <w:noProof w:val="0"/>
                <w:color w:val="FFFFFF" w:themeColor="background1"/>
              </w:rPr>
            </w:pPr>
            <w:r w:rsidRPr="00BE78CA">
              <w:rPr>
                <w:noProof w:val="0"/>
                <w:color w:val="FFFFFF" w:themeColor="background1"/>
              </w:rPr>
              <w:t>CRF category code</w:t>
            </w:r>
          </w:p>
        </w:tc>
        <w:tc>
          <w:tcPr>
            <w:tcW w:w="3063" w:type="pct"/>
            <w:tcBorders>
              <w:top w:val="single" w:sz="4" w:space="0" w:color="365F91"/>
              <w:left w:val="nil"/>
              <w:bottom w:val="single" w:sz="4" w:space="0" w:color="365F91"/>
              <w:right w:val="nil"/>
            </w:tcBorders>
            <w:shd w:val="clear" w:color="auto" w:fill="365F91"/>
            <w:vAlign w:val="bottom"/>
          </w:tcPr>
          <w:p w14:paraId="13781C99" w14:textId="77777777" w:rsidR="00F02481" w:rsidRPr="00BE78CA" w:rsidRDefault="00F02481" w:rsidP="003E7AC7">
            <w:pPr>
              <w:pStyle w:val="TableTextBold"/>
              <w:rPr>
                <w:noProof w:val="0"/>
                <w:color w:val="FFFFFF" w:themeColor="background1"/>
              </w:rPr>
            </w:pPr>
            <w:r w:rsidRPr="00BE78CA">
              <w:rPr>
                <w:noProof w:val="0"/>
                <w:color w:val="FFFFFF" w:themeColor="background1"/>
              </w:rPr>
              <w:t>IPCC categories</w:t>
            </w:r>
          </w:p>
        </w:tc>
        <w:tc>
          <w:tcPr>
            <w:tcW w:w="501" w:type="pct"/>
            <w:tcBorders>
              <w:top w:val="single" w:sz="4" w:space="0" w:color="365F91"/>
              <w:left w:val="nil"/>
              <w:bottom w:val="single" w:sz="4" w:space="0" w:color="365F91"/>
              <w:right w:val="nil"/>
            </w:tcBorders>
            <w:shd w:val="clear" w:color="auto" w:fill="365F91"/>
            <w:vAlign w:val="bottom"/>
          </w:tcPr>
          <w:p w14:paraId="01EDC964" w14:textId="77777777" w:rsidR="00F02481" w:rsidRPr="00BE78CA" w:rsidRDefault="00F02481" w:rsidP="003E7AC7">
            <w:pPr>
              <w:pStyle w:val="TableTextBold"/>
              <w:rPr>
                <w:noProof w:val="0"/>
                <w:color w:val="FFFFFF" w:themeColor="background1"/>
              </w:rPr>
            </w:pPr>
            <w:r w:rsidRPr="00BE78CA">
              <w:rPr>
                <w:noProof w:val="0"/>
                <w:color w:val="FFFFFF" w:themeColor="background1"/>
              </w:rPr>
              <w:t>Gas</w:t>
            </w:r>
          </w:p>
        </w:tc>
        <w:tc>
          <w:tcPr>
            <w:tcW w:w="749" w:type="pct"/>
            <w:tcBorders>
              <w:top w:val="single" w:sz="4" w:space="0" w:color="365F91"/>
              <w:left w:val="nil"/>
              <w:bottom w:val="single" w:sz="4" w:space="0" w:color="365F91"/>
              <w:right w:val="nil"/>
            </w:tcBorders>
            <w:shd w:val="clear" w:color="auto" w:fill="365F91"/>
            <w:vAlign w:val="bottom"/>
          </w:tcPr>
          <w:p w14:paraId="1A53B076" w14:textId="77777777" w:rsidR="00F02481" w:rsidRPr="00BE78CA" w:rsidRDefault="00F02481" w:rsidP="003E7AC7">
            <w:pPr>
              <w:pStyle w:val="TableTextBold"/>
              <w:rPr>
                <w:noProof w:val="0"/>
                <w:color w:val="FFFFFF" w:themeColor="background1"/>
              </w:rPr>
            </w:pPr>
            <w:r w:rsidRPr="00BE78CA">
              <w:rPr>
                <w:noProof w:val="0"/>
                <w:color w:val="FFFFFF" w:themeColor="background1"/>
              </w:rPr>
              <w:t>Criteria for identification</w:t>
            </w:r>
          </w:p>
        </w:tc>
      </w:tr>
      <w:tr w:rsidR="00F02481" w:rsidRPr="00BE78CA" w14:paraId="681BCDAF" w14:textId="77777777" w:rsidTr="003E7AC7">
        <w:trPr>
          <w:trHeight w:val="250"/>
        </w:trPr>
        <w:tc>
          <w:tcPr>
            <w:tcW w:w="687" w:type="pct"/>
            <w:tcBorders>
              <w:top w:val="single" w:sz="4" w:space="0" w:color="365F91"/>
            </w:tcBorders>
            <w:shd w:val="clear" w:color="auto" w:fill="FFFFFF"/>
          </w:tcPr>
          <w:p w14:paraId="3DC7B1F6" w14:textId="77777777" w:rsidR="00F02481" w:rsidRPr="00BE78CA" w:rsidRDefault="00F02481" w:rsidP="00C26084">
            <w:pPr>
              <w:pStyle w:val="TableText"/>
              <w:spacing w:before="50" w:after="50"/>
              <w:rPr>
                <w:rFonts w:cs="Calibri"/>
              </w:rPr>
            </w:pPr>
            <w:r w:rsidRPr="00BE78CA">
              <w:t>3.A.1</w:t>
            </w:r>
          </w:p>
        </w:tc>
        <w:tc>
          <w:tcPr>
            <w:tcW w:w="3063" w:type="pct"/>
            <w:tcBorders>
              <w:top w:val="single" w:sz="4" w:space="0" w:color="365F91"/>
            </w:tcBorders>
            <w:shd w:val="clear" w:color="auto" w:fill="FFFFFF"/>
          </w:tcPr>
          <w:p w14:paraId="31030029" w14:textId="77777777" w:rsidR="00F02481" w:rsidRPr="00BE78CA" w:rsidRDefault="00F02481" w:rsidP="00C26084">
            <w:pPr>
              <w:pStyle w:val="TableText"/>
              <w:spacing w:before="50" w:after="50"/>
              <w:rPr>
                <w:rFonts w:cs="Calibri"/>
              </w:rPr>
            </w:pPr>
            <w:r w:rsidRPr="00BE78CA">
              <w:t>Option A – Dairy Cattle</w:t>
            </w:r>
          </w:p>
        </w:tc>
        <w:tc>
          <w:tcPr>
            <w:tcW w:w="501" w:type="pct"/>
            <w:tcBorders>
              <w:top w:val="single" w:sz="4" w:space="0" w:color="365F91"/>
            </w:tcBorders>
            <w:shd w:val="clear" w:color="auto" w:fill="FFFFFF"/>
          </w:tcPr>
          <w:p w14:paraId="5B29FDE8" w14:textId="77777777" w:rsidR="00F02481" w:rsidRPr="00BE78CA" w:rsidRDefault="00F02481" w:rsidP="00C26084">
            <w:pPr>
              <w:pStyle w:val="TableText"/>
              <w:spacing w:before="50" w:after="50"/>
              <w:jc w:val="center"/>
              <w:rPr>
                <w:rFonts w:cs="Calibri"/>
              </w:rPr>
            </w:pPr>
            <w:r w:rsidRPr="00BE78CA">
              <w:t>CH</w:t>
            </w:r>
            <w:r w:rsidRPr="00BE78CA">
              <w:rPr>
                <w:vertAlign w:val="subscript"/>
              </w:rPr>
              <w:t>4</w:t>
            </w:r>
          </w:p>
        </w:tc>
        <w:tc>
          <w:tcPr>
            <w:tcW w:w="749" w:type="pct"/>
            <w:tcBorders>
              <w:top w:val="single" w:sz="4" w:space="0" w:color="365F91"/>
            </w:tcBorders>
            <w:shd w:val="clear" w:color="auto" w:fill="FFFFFF"/>
          </w:tcPr>
          <w:p w14:paraId="74FEA563" w14:textId="77777777" w:rsidR="00F02481" w:rsidRPr="00BE78CA" w:rsidRDefault="00F02481" w:rsidP="00C26084">
            <w:pPr>
              <w:pStyle w:val="TableText"/>
              <w:spacing w:before="50" w:after="50"/>
              <w:rPr>
                <w:rFonts w:cs="Calibri"/>
              </w:rPr>
            </w:pPr>
            <w:r w:rsidRPr="00BE78CA">
              <w:t>L1, T1</w:t>
            </w:r>
          </w:p>
        </w:tc>
      </w:tr>
      <w:tr w:rsidR="00F02481" w:rsidRPr="00BE78CA" w14:paraId="17963749" w14:textId="77777777" w:rsidTr="003E7AC7">
        <w:tc>
          <w:tcPr>
            <w:tcW w:w="687" w:type="pct"/>
            <w:shd w:val="clear" w:color="auto" w:fill="FFFFFF"/>
          </w:tcPr>
          <w:p w14:paraId="0DAEA332" w14:textId="77777777" w:rsidR="00F02481" w:rsidRPr="00BE78CA" w:rsidRDefault="00F02481" w:rsidP="00C26084">
            <w:pPr>
              <w:pStyle w:val="TableText"/>
              <w:spacing w:before="50" w:after="50"/>
              <w:rPr>
                <w:rFonts w:cs="Calibri"/>
              </w:rPr>
            </w:pPr>
            <w:r w:rsidRPr="00BE78CA">
              <w:t>3.A.1</w:t>
            </w:r>
          </w:p>
        </w:tc>
        <w:tc>
          <w:tcPr>
            <w:tcW w:w="3063" w:type="pct"/>
            <w:shd w:val="clear" w:color="auto" w:fill="FFFFFF"/>
          </w:tcPr>
          <w:p w14:paraId="7FB768DC" w14:textId="77777777" w:rsidR="00F02481" w:rsidRPr="00BE78CA" w:rsidRDefault="00F02481" w:rsidP="00C26084">
            <w:pPr>
              <w:pStyle w:val="TableText"/>
              <w:spacing w:before="50" w:after="50"/>
              <w:rPr>
                <w:rFonts w:cs="Calibri"/>
              </w:rPr>
            </w:pPr>
            <w:r w:rsidRPr="00BE78CA">
              <w:t xml:space="preserve">Option A – Non-Dairy </w:t>
            </w:r>
            <w:r w:rsidRPr="00BE78CA">
              <w:rPr>
                <w:i/>
                <w:iCs/>
              </w:rPr>
              <w:t>(Beef)</w:t>
            </w:r>
            <w:r w:rsidRPr="00BE78CA">
              <w:t xml:space="preserve"> Cattle</w:t>
            </w:r>
          </w:p>
        </w:tc>
        <w:tc>
          <w:tcPr>
            <w:tcW w:w="501" w:type="pct"/>
            <w:shd w:val="clear" w:color="auto" w:fill="FFFFFF"/>
          </w:tcPr>
          <w:p w14:paraId="3A3ECCDD" w14:textId="77777777" w:rsidR="00F02481" w:rsidRPr="00BE78CA" w:rsidRDefault="00F02481" w:rsidP="00C26084">
            <w:pPr>
              <w:pStyle w:val="TableText"/>
              <w:spacing w:before="50" w:after="50"/>
              <w:jc w:val="center"/>
              <w:rPr>
                <w:rFonts w:cs="Calibri"/>
              </w:rPr>
            </w:pPr>
            <w:r w:rsidRPr="00BE78CA">
              <w:t>CH</w:t>
            </w:r>
            <w:r w:rsidRPr="00BE78CA">
              <w:rPr>
                <w:vertAlign w:val="subscript"/>
              </w:rPr>
              <w:t>4</w:t>
            </w:r>
          </w:p>
        </w:tc>
        <w:tc>
          <w:tcPr>
            <w:tcW w:w="749" w:type="pct"/>
            <w:shd w:val="clear" w:color="auto" w:fill="FFFFFF"/>
          </w:tcPr>
          <w:p w14:paraId="16460764" w14:textId="77777777" w:rsidR="00F02481" w:rsidRPr="00BE78CA" w:rsidRDefault="00F02481" w:rsidP="00C26084">
            <w:pPr>
              <w:pStyle w:val="TableText"/>
              <w:spacing w:before="50" w:after="50"/>
              <w:rPr>
                <w:rFonts w:cs="Calibri"/>
              </w:rPr>
            </w:pPr>
            <w:r w:rsidRPr="00BE78CA">
              <w:t>L1, T1</w:t>
            </w:r>
          </w:p>
        </w:tc>
      </w:tr>
      <w:tr w:rsidR="00F02481" w:rsidRPr="00BE78CA" w14:paraId="5E6D18C3" w14:textId="77777777" w:rsidTr="003E7AC7">
        <w:tc>
          <w:tcPr>
            <w:tcW w:w="687" w:type="pct"/>
            <w:shd w:val="clear" w:color="auto" w:fill="FFFFFF"/>
          </w:tcPr>
          <w:p w14:paraId="78D3A895" w14:textId="77777777" w:rsidR="00F02481" w:rsidRPr="00BE78CA" w:rsidRDefault="00F02481" w:rsidP="00C26084">
            <w:pPr>
              <w:pStyle w:val="TableText"/>
              <w:spacing w:before="50" w:after="50"/>
              <w:rPr>
                <w:rFonts w:cs="Calibri"/>
              </w:rPr>
            </w:pPr>
            <w:r w:rsidRPr="00BE78CA">
              <w:t>3.A.2</w:t>
            </w:r>
          </w:p>
        </w:tc>
        <w:tc>
          <w:tcPr>
            <w:tcW w:w="3063" w:type="pct"/>
            <w:shd w:val="clear" w:color="auto" w:fill="FFFFFF"/>
          </w:tcPr>
          <w:p w14:paraId="6AF75DC1" w14:textId="77777777" w:rsidR="00F02481" w:rsidRPr="00BE78CA" w:rsidRDefault="00F02481" w:rsidP="00C26084">
            <w:pPr>
              <w:pStyle w:val="TableText"/>
              <w:spacing w:before="50" w:after="50"/>
              <w:rPr>
                <w:rFonts w:cs="Calibri"/>
              </w:rPr>
            </w:pPr>
            <w:r w:rsidRPr="00BE78CA">
              <w:t>Other (please specify) – Sheep</w:t>
            </w:r>
          </w:p>
        </w:tc>
        <w:tc>
          <w:tcPr>
            <w:tcW w:w="501" w:type="pct"/>
            <w:shd w:val="clear" w:color="auto" w:fill="FFFFFF"/>
          </w:tcPr>
          <w:p w14:paraId="2ED4983F" w14:textId="77777777" w:rsidR="00F02481" w:rsidRPr="00BE78CA" w:rsidRDefault="00F02481" w:rsidP="00C26084">
            <w:pPr>
              <w:pStyle w:val="TableText"/>
              <w:spacing w:before="50" w:after="50"/>
              <w:jc w:val="center"/>
              <w:rPr>
                <w:rFonts w:cs="Calibri"/>
              </w:rPr>
            </w:pPr>
            <w:r w:rsidRPr="00BE78CA">
              <w:t>CH</w:t>
            </w:r>
            <w:r w:rsidRPr="00BE78CA">
              <w:rPr>
                <w:vertAlign w:val="subscript"/>
              </w:rPr>
              <w:t>4</w:t>
            </w:r>
          </w:p>
        </w:tc>
        <w:tc>
          <w:tcPr>
            <w:tcW w:w="749" w:type="pct"/>
            <w:shd w:val="clear" w:color="auto" w:fill="FFFFFF"/>
          </w:tcPr>
          <w:p w14:paraId="2CE1685A" w14:textId="77777777" w:rsidR="00F02481" w:rsidRPr="00BE78CA" w:rsidRDefault="00F02481" w:rsidP="00C26084">
            <w:pPr>
              <w:pStyle w:val="TableText"/>
              <w:spacing w:before="50" w:after="50"/>
              <w:rPr>
                <w:rFonts w:cs="Calibri"/>
              </w:rPr>
            </w:pPr>
            <w:r w:rsidRPr="00BE78CA">
              <w:t>L1, T1</w:t>
            </w:r>
          </w:p>
        </w:tc>
      </w:tr>
      <w:tr w:rsidR="00F02481" w:rsidRPr="00BE78CA" w14:paraId="2E29B60B" w14:textId="77777777" w:rsidTr="003E7AC7">
        <w:tc>
          <w:tcPr>
            <w:tcW w:w="687" w:type="pct"/>
            <w:shd w:val="clear" w:color="auto" w:fill="FFFFFF"/>
          </w:tcPr>
          <w:p w14:paraId="1A5BE967" w14:textId="77777777" w:rsidR="00F02481" w:rsidRPr="00BE78CA" w:rsidRDefault="00F02481" w:rsidP="00C26084">
            <w:pPr>
              <w:pStyle w:val="TableText"/>
              <w:spacing w:before="50" w:after="50"/>
              <w:rPr>
                <w:rFonts w:cs="Calibri"/>
              </w:rPr>
            </w:pPr>
            <w:r w:rsidRPr="00BE78CA">
              <w:t>3.A.4</w:t>
            </w:r>
          </w:p>
        </w:tc>
        <w:tc>
          <w:tcPr>
            <w:tcW w:w="3063" w:type="pct"/>
            <w:shd w:val="clear" w:color="auto" w:fill="FFFFFF"/>
          </w:tcPr>
          <w:p w14:paraId="5315D1DC" w14:textId="483C0EF4" w:rsidR="00F02481" w:rsidRPr="00BE78CA" w:rsidRDefault="00F02481" w:rsidP="00C26084">
            <w:pPr>
              <w:pStyle w:val="TableText"/>
              <w:spacing w:before="50" w:after="50"/>
              <w:rPr>
                <w:rFonts w:cs="Calibri"/>
              </w:rPr>
            </w:pPr>
            <w:r w:rsidRPr="00BE78CA">
              <w:t xml:space="preserve">Other </w:t>
            </w:r>
            <w:r w:rsidR="00174986" w:rsidRPr="00BE78CA">
              <w:t>L</w:t>
            </w:r>
            <w:r w:rsidRPr="00BE78CA">
              <w:t>ivestock – Deer</w:t>
            </w:r>
          </w:p>
        </w:tc>
        <w:tc>
          <w:tcPr>
            <w:tcW w:w="501" w:type="pct"/>
            <w:shd w:val="clear" w:color="auto" w:fill="FFFFFF"/>
          </w:tcPr>
          <w:p w14:paraId="0720BCAB" w14:textId="77777777" w:rsidR="00F02481" w:rsidRPr="00BE78CA" w:rsidRDefault="00F02481" w:rsidP="00C26084">
            <w:pPr>
              <w:pStyle w:val="TableText"/>
              <w:spacing w:before="50" w:after="50"/>
              <w:jc w:val="center"/>
              <w:rPr>
                <w:rFonts w:cs="Calibri"/>
              </w:rPr>
            </w:pPr>
            <w:r w:rsidRPr="00BE78CA">
              <w:t>CH</w:t>
            </w:r>
            <w:r w:rsidRPr="00BE78CA">
              <w:rPr>
                <w:vertAlign w:val="subscript"/>
              </w:rPr>
              <w:t>4</w:t>
            </w:r>
          </w:p>
        </w:tc>
        <w:tc>
          <w:tcPr>
            <w:tcW w:w="749" w:type="pct"/>
            <w:shd w:val="clear" w:color="auto" w:fill="FFFFFF"/>
          </w:tcPr>
          <w:p w14:paraId="0DF29423" w14:textId="77777777" w:rsidR="00F02481" w:rsidRPr="00BE78CA" w:rsidRDefault="00F02481" w:rsidP="00C26084">
            <w:pPr>
              <w:pStyle w:val="TableText"/>
              <w:spacing w:before="50" w:after="50"/>
              <w:rPr>
                <w:rFonts w:cs="Calibri"/>
              </w:rPr>
            </w:pPr>
            <w:r w:rsidRPr="00BE78CA">
              <w:t>L1</w:t>
            </w:r>
          </w:p>
        </w:tc>
      </w:tr>
      <w:tr w:rsidR="00F02481" w:rsidRPr="00BE78CA" w14:paraId="7147168D" w14:textId="77777777" w:rsidTr="003E7AC7">
        <w:tc>
          <w:tcPr>
            <w:tcW w:w="687" w:type="pct"/>
            <w:shd w:val="clear" w:color="auto" w:fill="FFFFFF"/>
          </w:tcPr>
          <w:p w14:paraId="113987BC" w14:textId="77777777" w:rsidR="00F02481" w:rsidRPr="00BE78CA" w:rsidRDefault="00F02481" w:rsidP="00C26084">
            <w:pPr>
              <w:pStyle w:val="TableText"/>
              <w:spacing w:before="50" w:after="50"/>
              <w:rPr>
                <w:rFonts w:cs="Calibri"/>
              </w:rPr>
            </w:pPr>
            <w:r w:rsidRPr="00BE78CA">
              <w:t>3.A.4</w:t>
            </w:r>
          </w:p>
        </w:tc>
        <w:tc>
          <w:tcPr>
            <w:tcW w:w="3063" w:type="pct"/>
            <w:shd w:val="clear" w:color="auto" w:fill="FFFFFF"/>
          </w:tcPr>
          <w:p w14:paraId="6718F290" w14:textId="431681AE" w:rsidR="00F02481" w:rsidRPr="00BE78CA" w:rsidRDefault="00F02481" w:rsidP="00C26084">
            <w:pPr>
              <w:pStyle w:val="TableText"/>
              <w:spacing w:before="50" w:after="50"/>
              <w:rPr>
                <w:rFonts w:cs="Calibri"/>
              </w:rPr>
            </w:pPr>
            <w:r w:rsidRPr="00BE78CA">
              <w:t xml:space="preserve">Other </w:t>
            </w:r>
            <w:r w:rsidR="00174986" w:rsidRPr="00BE78CA">
              <w:t>L</w:t>
            </w:r>
            <w:r w:rsidRPr="00BE78CA">
              <w:t>ivestock – Goats</w:t>
            </w:r>
          </w:p>
        </w:tc>
        <w:tc>
          <w:tcPr>
            <w:tcW w:w="501" w:type="pct"/>
            <w:shd w:val="clear" w:color="auto" w:fill="FFFFFF"/>
          </w:tcPr>
          <w:p w14:paraId="431E7227" w14:textId="77777777" w:rsidR="00F02481" w:rsidRPr="00BE78CA" w:rsidRDefault="00F02481" w:rsidP="00C26084">
            <w:pPr>
              <w:pStyle w:val="TableText"/>
              <w:spacing w:before="50" w:after="50"/>
              <w:jc w:val="center"/>
              <w:rPr>
                <w:rFonts w:cs="Calibri"/>
              </w:rPr>
            </w:pPr>
            <w:r w:rsidRPr="00BE78CA">
              <w:t>CH</w:t>
            </w:r>
            <w:r w:rsidRPr="00BE78CA">
              <w:rPr>
                <w:vertAlign w:val="subscript"/>
              </w:rPr>
              <w:t>4</w:t>
            </w:r>
          </w:p>
        </w:tc>
        <w:tc>
          <w:tcPr>
            <w:tcW w:w="749" w:type="pct"/>
            <w:shd w:val="clear" w:color="auto" w:fill="FFFFFF"/>
          </w:tcPr>
          <w:p w14:paraId="020E14F8" w14:textId="77777777" w:rsidR="00F02481" w:rsidRPr="00BE78CA" w:rsidRDefault="00F02481" w:rsidP="00C26084">
            <w:pPr>
              <w:pStyle w:val="TableText"/>
              <w:spacing w:before="50" w:after="50"/>
              <w:rPr>
                <w:rFonts w:cs="Calibri"/>
              </w:rPr>
            </w:pPr>
            <w:r w:rsidRPr="00BE78CA">
              <w:t>T1</w:t>
            </w:r>
          </w:p>
        </w:tc>
      </w:tr>
      <w:tr w:rsidR="00F02481" w:rsidRPr="00BE78CA" w14:paraId="3DE5042C" w14:textId="77777777" w:rsidTr="003E7AC7">
        <w:tc>
          <w:tcPr>
            <w:tcW w:w="687" w:type="pct"/>
            <w:shd w:val="clear" w:color="auto" w:fill="FFFFFF"/>
          </w:tcPr>
          <w:p w14:paraId="4F3922B9" w14:textId="77777777" w:rsidR="00F02481" w:rsidRPr="00BE78CA" w:rsidRDefault="00F02481" w:rsidP="00C26084">
            <w:pPr>
              <w:pStyle w:val="TableText"/>
              <w:spacing w:before="50" w:after="50"/>
              <w:rPr>
                <w:rFonts w:cs="Calibri"/>
              </w:rPr>
            </w:pPr>
            <w:r w:rsidRPr="00BE78CA">
              <w:t>3.B.1.1</w:t>
            </w:r>
          </w:p>
        </w:tc>
        <w:tc>
          <w:tcPr>
            <w:tcW w:w="3063" w:type="pct"/>
            <w:shd w:val="clear" w:color="auto" w:fill="FFFFFF"/>
          </w:tcPr>
          <w:p w14:paraId="5DF5FB95" w14:textId="77777777" w:rsidR="00F02481" w:rsidRPr="00BE78CA" w:rsidRDefault="00F02481" w:rsidP="00C26084">
            <w:pPr>
              <w:pStyle w:val="TableText"/>
              <w:spacing w:before="50" w:after="50"/>
              <w:rPr>
                <w:rFonts w:cs="Calibri"/>
              </w:rPr>
            </w:pPr>
            <w:r w:rsidRPr="00BE78CA">
              <w:t>Option A – Dairy Cattle</w:t>
            </w:r>
          </w:p>
        </w:tc>
        <w:tc>
          <w:tcPr>
            <w:tcW w:w="501" w:type="pct"/>
            <w:shd w:val="clear" w:color="auto" w:fill="FFFFFF"/>
          </w:tcPr>
          <w:p w14:paraId="40C15DF1" w14:textId="77777777" w:rsidR="00F02481" w:rsidRPr="00BE78CA" w:rsidRDefault="00F02481" w:rsidP="00C26084">
            <w:pPr>
              <w:pStyle w:val="TableText"/>
              <w:spacing w:before="50" w:after="50"/>
              <w:jc w:val="center"/>
              <w:rPr>
                <w:rFonts w:cs="Calibri"/>
              </w:rPr>
            </w:pPr>
            <w:r w:rsidRPr="00BE78CA">
              <w:t>CH</w:t>
            </w:r>
            <w:r w:rsidRPr="00BE78CA">
              <w:rPr>
                <w:vertAlign w:val="subscript"/>
              </w:rPr>
              <w:t>4</w:t>
            </w:r>
          </w:p>
        </w:tc>
        <w:tc>
          <w:tcPr>
            <w:tcW w:w="749" w:type="pct"/>
            <w:shd w:val="clear" w:color="auto" w:fill="FFFFFF"/>
          </w:tcPr>
          <w:p w14:paraId="553DC615" w14:textId="77777777" w:rsidR="00F02481" w:rsidRPr="00BE78CA" w:rsidRDefault="00F02481" w:rsidP="00C26084">
            <w:pPr>
              <w:pStyle w:val="TableText"/>
              <w:spacing w:before="50" w:after="50"/>
              <w:rPr>
                <w:rFonts w:cs="Calibri"/>
              </w:rPr>
            </w:pPr>
            <w:r w:rsidRPr="00BE78CA">
              <w:t>L1, T1</w:t>
            </w:r>
          </w:p>
        </w:tc>
      </w:tr>
      <w:tr w:rsidR="00F02481" w:rsidRPr="00BE78CA" w14:paraId="594BFD9F" w14:textId="77777777" w:rsidTr="003E7AC7">
        <w:tc>
          <w:tcPr>
            <w:tcW w:w="687" w:type="pct"/>
            <w:shd w:val="clear" w:color="auto" w:fill="FFFFFF"/>
          </w:tcPr>
          <w:p w14:paraId="15DDDF15" w14:textId="77777777" w:rsidR="00F02481" w:rsidRPr="00BE78CA" w:rsidRDefault="00F02481" w:rsidP="00C26084">
            <w:pPr>
              <w:pStyle w:val="TableText"/>
              <w:spacing w:before="50" w:after="50"/>
              <w:rPr>
                <w:rFonts w:cs="Calibri"/>
              </w:rPr>
            </w:pPr>
            <w:r w:rsidRPr="00BE78CA">
              <w:t>3.B.1.2</w:t>
            </w:r>
          </w:p>
        </w:tc>
        <w:tc>
          <w:tcPr>
            <w:tcW w:w="3063" w:type="pct"/>
            <w:shd w:val="clear" w:color="auto" w:fill="FFFFFF"/>
          </w:tcPr>
          <w:p w14:paraId="7BC3ECF6" w14:textId="77777777" w:rsidR="00F02481" w:rsidRPr="00BE78CA" w:rsidRDefault="00F02481" w:rsidP="00C26084">
            <w:pPr>
              <w:pStyle w:val="TableText"/>
              <w:spacing w:before="50" w:after="50"/>
              <w:rPr>
                <w:rFonts w:cs="Calibri"/>
              </w:rPr>
            </w:pPr>
            <w:r w:rsidRPr="00BE78CA">
              <w:t>CH</w:t>
            </w:r>
            <w:r w:rsidRPr="00BE78CA">
              <w:rPr>
                <w:vertAlign w:val="subscript"/>
              </w:rPr>
              <w:t>4</w:t>
            </w:r>
            <w:r w:rsidRPr="00BE78CA">
              <w:t xml:space="preserve"> Emissions – Sheep</w:t>
            </w:r>
          </w:p>
        </w:tc>
        <w:tc>
          <w:tcPr>
            <w:tcW w:w="501" w:type="pct"/>
            <w:shd w:val="clear" w:color="auto" w:fill="FFFFFF"/>
          </w:tcPr>
          <w:p w14:paraId="26668C62" w14:textId="77777777" w:rsidR="00F02481" w:rsidRPr="00BE78CA" w:rsidRDefault="00F02481" w:rsidP="00C26084">
            <w:pPr>
              <w:pStyle w:val="TableText"/>
              <w:spacing w:before="50" w:after="50"/>
              <w:jc w:val="center"/>
              <w:rPr>
                <w:rFonts w:cs="Calibri"/>
              </w:rPr>
            </w:pPr>
            <w:r w:rsidRPr="00BE78CA">
              <w:t>CH</w:t>
            </w:r>
            <w:r w:rsidRPr="00BE78CA">
              <w:rPr>
                <w:vertAlign w:val="subscript"/>
              </w:rPr>
              <w:t>4</w:t>
            </w:r>
          </w:p>
        </w:tc>
        <w:tc>
          <w:tcPr>
            <w:tcW w:w="749" w:type="pct"/>
            <w:shd w:val="clear" w:color="auto" w:fill="FFFFFF"/>
          </w:tcPr>
          <w:p w14:paraId="47245E8C" w14:textId="77777777" w:rsidR="00F02481" w:rsidRPr="00BE78CA" w:rsidRDefault="00F02481" w:rsidP="00C26084">
            <w:pPr>
              <w:pStyle w:val="TableText"/>
              <w:spacing w:before="50" w:after="50"/>
              <w:rPr>
                <w:rFonts w:cs="Calibri"/>
              </w:rPr>
            </w:pPr>
            <w:r w:rsidRPr="00BE78CA">
              <w:t>T1</w:t>
            </w:r>
          </w:p>
        </w:tc>
      </w:tr>
      <w:tr w:rsidR="00F02481" w:rsidRPr="00BE78CA" w14:paraId="350CB239" w14:textId="77777777" w:rsidTr="003E7AC7">
        <w:tc>
          <w:tcPr>
            <w:tcW w:w="687" w:type="pct"/>
            <w:shd w:val="clear" w:color="auto" w:fill="FFFFFF"/>
          </w:tcPr>
          <w:p w14:paraId="534D91A8" w14:textId="77777777" w:rsidR="00F02481" w:rsidRPr="00BE78CA" w:rsidRDefault="00F02481" w:rsidP="00C26084">
            <w:pPr>
              <w:pStyle w:val="TableText"/>
              <w:spacing w:before="50" w:after="50"/>
              <w:rPr>
                <w:rFonts w:cs="Calibri"/>
              </w:rPr>
            </w:pPr>
            <w:r w:rsidRPr="00BE78CA">
              <w:t>3.D.1.1</w:t>
            </w:r>
          </w:p>
        </w:tc>
        <w:tc>
          <w:tcPr>
            <w:tcW w:w="3063" w:type="pct"/>
            <w:shd w:val="clear" w:color="auto" w:fill="FFFFFF"/>
          </w:tcPr>
          <w:p w14:paraId="61D9AC27" w14:textId="5179BE49" w:rsidR="00F02481" w:rsidRPr="00BE78CA" w:rsidRDefault="00F02481" w:rsidP="00C26084">
            <w:pPr>
              <w:pStyle w:val="TableText"/>
              <w:spacing w:before="50" w:after="50"/>
              <w:rPr>
                <w:rFonts w:cs="Calibri"/>
              </w:rPr>
            </w:pPr>
            <w:r w:rsidRPr="00BE78CA">
              <w:t>Direct N</w:t>
            </w:r>
            <w:r w:rsidRPr="00BE78CA">
              <w:rPr>
                <w:vertAlign w:val="subscript"/>
              </w:rPr>
              <w:t>2</w:t>
            </w:r>
            <w:r w:rsidRPr="00BE78CA">
              <w:t xml:space="preserve">O Emissions </w:t>
            </w:r>
            <w:r w:rsidR="003E7AC7" w:rsidRPr="00BE78CA">
              <w:t>f</w:t>
            </w:r>
            <w:r w:rsidRPr="00BE78CA">
              <w:t>rom Managed Soils – Inorganic N Fertilizers</w:t>
            </w:r>
          </w:p>
        </w:tc>
        <w:tc>
          <w:tcPr>
            <w:tcW w:w="501" w:type="pct"/>
            <w:shd w:val="clear" w:color="auto" w:fill="FFFFFF"/>
          </w:tcPr>
          <w:p w14:paraId="76AE3100" w14:textId="77777777" w:rsidR="00F02481" w:rsidRPr="00BE78CA" w:rsidRDefault="00F02481" w:rsidP="00C26084">
            <w:pPr>
              <w:pStyle w:val="TableText"/>
              <w:spacing w:before="50" w:after="50"/>
              <w:jc w:val="center"/>
              <w:rPr>
                <w:rFonts w:cs="Calibri"/>
              </w:rPr>
            </w:pPr>
            <w:r w:rsidRPr="00BE78CA">
              <w:t>N</w:t>
            </w:r>
            <w:r w:rsidRPr="00BE78CA">
              <w:rPr>
                <w:vertAlign w:val="subscript"/>
              </w:rPr>
              <w:t>2</w:t>
            </w:r>
            <w:r w:rsidRPr="00BE78CA">
              <w:t>O</w:t>
            </w:r>
          </w:p>
        </w:tc>
        <w:tc>
          <w:tcPr>
            <w:tcW w:w="749" w:type="pct"/>
            <w:shd w:val="clear" w:color="auto" w:fill="FFFFFF"/>
          </w:tcPr>
          <w:p w14:paraId="139ACF3A" w14:textId="77777777" w:rsidR="00F02481" w:rsidRPr="00BE78CA" w:rsidRDefault="00F02481" w:rsidP="00C26084">
            <w:pPr>
              <w:pStyle w:val="TableText"/>
              <w:spacing w:before="50" w:after="50"/>
              <w:rPr>
                <w:rFonts w:cs="Calibri"/>
              </w:rPr>
            </w:pPr>
            <w:r w:rsidRPr="00BE78CA">
              <w:t>L1, T1</w:t>
            </w:r>
          </w:p>
        </w:tc>
      </w:tr>
      <w:tr w:rsidR="00F02481" w:rsidRPr="00BE78CA" w14:paraId="74AC1C4E" w14:textId="77777777" w:rsidTr="003E7AC7">
        <w:tc>
          <w:tcPr>
            <w:tcW w:w="687" w:type="pct"/>
            <w:shd w:val="clear" w:color="auto" w:fill="FFFFFF"/>
          </w:tcPr>
          <w:p w14:paraId="431DF97E" w14:textId="77777777" w:rsidR="00F02481" w:rsidRPr="00BE78CA" w:rsidRDefault="00F02481" w:rsidP="00C26084">
            <w:pPr>
              <w:pStyle w:val="TableText"/>
              <w:spacing w:before="50" w:after="50"/>
              <w:rPr>
                <w:rFonts w:cs="Calibri"/>
              </w:rPr>
            </w:pPr>
            <w:r w:rsidRPr="00BE78CA">
              <w:t>3.D.1.3</w:t>
            </w:r>
          </w:p>
        </w:tc>
        <w:tc>
          <w:tcPr>
            <w:tcW w:w="3063" w:type="pct"/>
            <w:shd w:val="clear" w:color="auto" w:fill="FFFFFF"/>
          </w:tcPr>
          <w:p w14:paraId="6FF926DF" w14:textId="4685DAB3" w:rsidR="00F02481" w:rsidRPr="00BE78CA" w:rsidRDefault="00F02481" w:rsidP="00C26084">
            <w:pPr>
              <w:pStyle w:val="TableText"/>
              <w:spacing w:before="50" w:after="50"/>
              <w:rPr>
                <w:rFonts w:cs="Calibri"/>
              </w:rPr>
            </w:pPr>
            <w:r w:rsidRPr="00BE78CA">
              <w:t>Direct N</w:t>
            </w:r>
            <w:r w:rsidRPr="00BE78CA">
              <w:rPr>
                <w:vertAlign w:val="subscript"/>
              </w:rPr>
              <w:t>2</w:t>
            </w:r>
            <w:r w:rsidRPr="00BE78CA">
              <w:t xml:space="preserve">O Emissions </w:t>
            </w:r>
            <w:r w:rsidR="003E7AC7" w:rsidRPr="00BE78CA">
              <w:t>f</w:t>
            </w:r>
            <w:r w:rsidRPr="00BE78CA">
              <w:t>rom Managed Soils – Urine and Dung Deposited by Grazing Animals</w:t>
            </w:r>
          </w:p>
        </w:tc>
        <w:tc>
          <w:tcPr>
            <w:tcW w:w="501" w:type="pct"/>
            <w:shd w:val="clear" w:color="auto" w:fill="FFFFFF"/>
          </w:tcPr>
          <w:p w14:paraId="44551985" w14:textId="77777777" w:rsidR="00F02481" w:rsidRPr="00BE78CA" w:rsidRDefault="00F02481" w:rsidP="00C26084">
            <w:pPr>
              <w:pStyle w:val="TableText"/>
              <w:spacing w:before="50" w:after="50"/>
              <w:jc w:val="center"/>
              <w:rPr>
                <w:rFonts w:cs="Calibri"/>
              </w:rPr>
            </w:pPr>
            <w:r w:rsidRPr="00BE78CA">
              <w:t>N</w:t>
            </w:r>
            <w:r w:rsidRPr="00BE78CA">
              <w:rPr>
                <w:vertAlign w:val="subscript"/>
              </w:rPr>
              <w:t>2</w:t>
            </w:r>
            <w:r w:rsidRPr="00BE78CA">
              <w:t>O</w:t>
            </w:r>
          </w:p>
        </w:tc>
        <w:tc>
          <w:tcPr>
            <w:tcW w:w="749" w:type="pct"/>
            <w:shd w:val="clear" w:color="auto" w:fill="FFFFFF"/>
          </w:tcPr>
          <w:p w14:paraId="0FC0DB5C" w14:textId="77777777" w:rsidR="00F02481" w:rsidRPr="00BE78CA" w:rsidRDefault="00F02481" w:rsidP="00C26084">
            <w:pPr>
              <w:pStyle w:val="TableText"/>
              <w:spacing w:before="50" w:after="50"/>
              <w:rPr>
                <w:rFonts w:cs="Calibri"/>
              </w:rPr>
            </w:pPr>
            <w:r w:rsidRPr="00BE78CA">
              <w:t>L1, T1</w:t>
            </w:r>
          </w:p>
        </w:tc>
      </w:tr>
      <w:tr w:rsidR="00F02481" w:rsidRPr="00BE78CA" w14:paraId="287B6DB9" w14:textId="77777777" w:rsidTr="003E7AC7">
        <w:tc>
          <w:tcPr>
            <w:tcW w:w="687" w:type="pct"/>
            <w:shd w:val="clear" w:color="auto" w:fill="FFFFFF"/>
          </w:tcPr>
          <w:p w14:paraId="09C6CBE8" w14:textId="77777777" w:rsidR="00F02481" w:rsidRPr="00BE78CA" w:rsidRDefault="00F02481" w:rsidP="00C26084">
            <w:pPr>
              <w:pStyle w:val="TableText"/>
              <w:spacing w:before="50" w:after="50"/>
              <w:rPr>
                <w:rFonts w:cs="Calibri"/>
              </w:rPr>
            </w:pPr>
            <w:r w:rsidRPr="00BE78CA">
              <w:t>3.D.1.4</w:t>
            </w:r>
          </w:p>
        </w:tc>
        <w:tc>
          <w:tcPr>
            <w:tcW w:w="3063" w:type="pct"/>
            <w:shd w:val="clear" w:color="auto" w:fill="FFFFFF"/>
          </w:tcPr>
          <w:p w14:paraId="2A894897" w14:textId="1823D940" w:rsidR="00F02481" w:rsidRPr="00BE78CA" w:rsidRDefault="00F02481" w:rsidP="00C26084">
            <w:pPr>
              <w:pStyle w:val="TableText"/>
              <w:spacing w:before="50" w:after="50"/>
              <w:rPr>
                <w:rFonts w:cs="Calibri"/>
              </w:rPr>
            </w:pPr>
            <w:r w:rsidRPr="00BE78CA">
              <w:t>Direct N</w:t>
            </w:r>
            <w:r w:rsidRPr="00BE78CA">
              <w:rPr>
                <w:vertAlign w:val="subscript"/>
              </w:rPr>
              <w:t>2</w:t>
            </w:r>
            <w:r w:rsidRPr="00BE78CA">
              <w:t xml:space="preserve">O Emissions </w:t>
            </w:r>
            <w:r w:rsidR="003E7AC7" w:rsidRPr="00BE78CA">
              <w:t>f</w:t>
            </w:r>
            <w:r w:rsidRPr="00BE78CA">
              <w:t>rom Managed Soils – Crop Residues</w:t>
            </w:r>
          </w:p>
        </w:tc>
        <w:tc>
          <w:tcPr>
            <w:tcW w:w="501" w:type="pct"/>
            <w:shd w:val="clear" w:color="auto" w:fill="FFFFFF"/>
          </w:tcPr>
          <w:p w14:paraId="6FB2A35E" w14:textId="77777777" w:rsidR="00F02481" w:rsidRPr="00BE78CA" w:rsidRDefault="00F02481" w:rsidP="00C26084">
            <w:pPr>
              <w:pStyle w:val="TableText"/>
              <w:spacing w:before="50" w:after="50"/>
              <w:jc w:val="center"/>
              <w:rPr>
                <w:rFonts w:cs="Calibri"/>
              </w:rPr>
            </w:pPr>
            <w:r w:rsidRPr="00BE78CA">
              <w:t>N</w:t>
            </w:r>
            <w:r w:rsidRPr="00BE78CA">
              <w:rPr>
                <w:vertAlign w:val="subscript"/>
              </w:rPr>
              <w:t>2</w:t>
            </w:r>
            <w:r w:rsidRPr="00BE78CA">
              <w:t>O</w:t>
            </w:r>
          </w:p>
        </w:tc>
        <w:tc>
          <w:tcPr>
            <w:tcW w:w="749" w:type="pct"/>
            <w:shd w:val="clear" w:color="auto" w:fill="FFFFFF"/>
          </w:tcPr>
          <w:p w14:paraId="3332372C" w14:textId="77777777" w:rsidR="00F02481" w:rsidRPr="00BE78CA" w:rsidRDefault="00F02481" w:rsidP="00C26084">
            <w:pPr>
              <w:pStyle w:val="TableText"/>
              <w:spacing w:before="50" w:after="50"/>
              <w:rPr>
                <w:rFonts w:cs="Calibri"/>
              </w:rPr>
            </w:pPr>
            <w:r w:rsidRPr="00BE78CA">
              <w:t>L1</w:t>
            </w:r>
          </w:p>
        </w:tc>
      </w:tr>
      <w:tr w:rsidR="00F02481" w:rsidRPr="00BE78CA" w14:paraId="6ABFCB38" w14:textId="77777777" w:rsidTr="003E7AC7">
        <w:tc>
          <w:tcPr>
            <w:tcW w:w="687" w:type="pct"/>
            <w:shd w:val="clear" w:color="auto" w:fill="FFFFFF"/>
          </w:tcPr>
          <w:p w14:paraId="222D2AC6" w14:textId="77777777" w:rsidR="00F02481" w:rsidRPr="00BE78CA" w:rsidRDefault="00F02481" w:rsidP="00C26084">
            <w:pPr>
              <w:pStyle w:val="TableText"/>
              <w:spacing w:before="50" w:after="50"/>
              <w:rPr>
                <w:rFonts w:cs="Calibri"/>
              </w:rPr>
            </w:pPr>
            <w:r w:rsidRPr="00BE78CA">
              <w:t>3.D.1.6</w:t>
            </w:r>
          </w:p>
        </w:tc>
        <w:tc>
          <w:tcPr>
            <w:tcW w:w="3063" w:type="pct"/>
            <w:shd w:val="clear" w:color="auto" w:fill="FFFFFF"/>
          </w:tcPr>
          <w:p w14:paraId="39CEBC3B" w14:textId="32522605" w:rsidR="00F02481" w:rsidRPr="00BE78CA" w:rsidRDefault="00F02481" w:rsidP="00C26084">
            <w:pPr>
              <w:pStyle w:val="TableText"/>
              <w:spacing w:before="50" w:after="50"/>
              <w:rPr>
                <w:rFonts w:cs="Calibri"/>
              </w:rPr>
            </w:pPr>
            <w:r w:rsidRPr="00BE78CA">
              <w:t>Direct N</w:t>
            </w:r>
            <w:r w:rsidRPr="00BE78CA">
              <w:rPr>
                <w:vertAlign w:val="subscript"/>
              </w:rPr>
              <w:t>2</w:t>
            </w:r>
            <w:r w:rsidRPr="00BE78CA">
              <w:t xml:space="preserve">O Emissions </w:t>
            </w:r>
            <w:r w:rsidR="003E7AC7" w:rsidRPr="00BE78CA">
              <w:t>f</w:t>
            </w:r>
            <w:r w:rsidRPr="00BE78CA">
              <w:t>rom Managed Soils – Cultivation of Organic Soils</w:t>
            </w:r>
          </w:p>
        </w:tc>
        <w:tc>
          <w:tcPr>
            <w:tcW w:w="501" w:type="pct"/>
            <w:shd w:val="clear" w:color="auto" w:fill="FFFFFF"/>
          </w:tcPr>
          <w:p w14:paraId="4B17F627" w14:textId="77777777" w:rsidR="00F02481" w:rsidRPr="00BE78CA" w:rsidRDefault="00F02481" w:rsidP="00C26084">
            <w:pPr>
              <w:pStyle w:val="TableText"/>
              <w:spacing w:before="50" w:after="50"/>
              <w:jc w:val="center"/>
              <w:rPr>
                <w:rFonts w:cs="Calibri"/>
              </w:rPr>
            </w:pPr>
            <w:r w:rsidRPr="00BE78CA">
              <w:t>N</w:t>
            </w:r>
            <w:r w:rsidRPr="00BE78CA">
              <w:rPr>
                <w:vertAlign w:val="subscript"/>
              </w:rPr>
              <w:t>2</w:t>
            </w:r>
            <w:r w:rsidRPr="00BE78CA">
              <w:t>O</w:t>
            </w:r>
          </w:p>
        </w:tc>
        <w:tc>
          <w:tcPr>
            <w:tcW w:w="749" w:type="pct"/>
            <w:shd w:val="clear" w:color="auto" w:fill="FFFFFF"/>
          </w:tcPr>
          <w:p w14:paraId="714B2463" w14:textId="77777777" w:rsidR="00F02481" w:rsidRPr="00BE78CA" w:rsidRDefault="00F02481" w:rsidP="00C26084">
            <w:pPr>
              <w:pStyle w:val="TableText"/>
              <w:spacing w:before="50" w:after="50"/>
              <w:rPr>
                <w:rFonts w:cs="Calibri"/>
              </w:rPr>
            </w:pPr>
            <w:r w:rsidRPr="00BE78CA">
              <w:t>L1, T1</w:t>
            </w:r>
          </w:p>
        </w:tc>
      </w:tr>
      <w:tr w:rsidR="00F02481" w:rsidRPr="00BE78CA" w14:paraId="7583F10F" w14:textId="77777777" w:rsidTr="003E7AC7">
        <w:tc>
          <w:tcPr>
            <w:tcW w:w="687" w:type="pct"/>
            <w:shd w:val="clear" w:color="auto" w:fill="FFFFFF"/>
          </w:tcPr>
          <w:p w14:paraId="5AE41ADA" w14:textId="77777777" w:rsidR="00F02481" w:rsidRPr="00BE78CA" w:rsidRDefault="00F02481" w:rsidP="00C26084">
            <w:pPr>
              <w:pStyle w:val="TableText"/>
              <w:spacing w:before="50" w:after="50"/>
              <w:rPr>
                <w:rFonts w:cs="Calibri"/>
              </w:rPr>
            </w:pPr>
            <w:r w:rsidRPr="00BE78CA">
              <w:t>3.D.2.1</w:t>
            </w:r>
          </w:p>
        </w:tc>
        <w:tc>
          <w:tcPr>
            <w:tcW w:w="3063" w:type="pct"/>
            <w:shd w:val="clear" w:color="auto" w:fill="FFFFFF"/>
          </w:tcPr>
          <w:p w14:paraId="7BE71288" w14:textId="14896962" w:rsidR="00F02481" w:rsidRPr="00BE78CA" w:rsidRDefault="00F02481" w:rsidP="00C26084">
            <w:pPr>
              <w:pStyle w:val="TableText"/>
              <w:spacing w:before="50" w:after="50"/>
              <w:rPr>
                <w:rFonts w:cs="Calibri"/>
              </w:rPr>
            </w:pPr>
            <w:r w:rsidRPr="00BE78CA">
              <w:t>Indirect N</w:t>
            </w:r>
            <w:r w:rsidRPr="00BE78CA">
              <w:rPr>
                <w:vertAlign w:val="subscript"/>
              </w:rPr>
              <w:t>2</w:t>
            </w:r>
            <w:r w:rsidRPr="00BE78CA">
              <w:t xml:space="preserve">O Emissions </w:t>
            </w:r>
            <w:r w:rsidR="003E7AC7" w:rsidRPr="00BE78CA">
              <w:t>f</w:t>
            </w:r>
            <w:r w:rsidRPr="00BE78CA">
              <w:t>rom Managed Soils – Atmospheric Deposition</w:t>
            </w:r>
          </w:p>
        </w:tc>
        <w:tc>
          <w:tcPr>
            <w:tcW w:w="501" w:type="pct"/>
            <w:shd w:val="clear" w:color="auto" w:fill="FFFFFF"/>
          </w:tcPr>
          <w:p w14:paraId="6ABED67A" w14:textId="77777777" w:rsidR="00F02481" w:rsidRPr="00BE78CA" w:rsidRDefault="00F02481" w:rsidP="00C26084">
            <w:pPr>
              <w:pStyle w:val="TableText"/>
              <w:spacing w:before="50" w:after="50"/>
              <w:jc w:val="center"/>
              <w:rPr>
                <w:rFonts w:cs="Calibri"/>
              </w:rPr>
            </w:pPr>
            <w:r w:rsidRPr="00BE78CA">
              <w:t>N</w:t>
            </w:r>
            <w:r w:rsidRPr="00BE78CA">
              <w:rPr>
                <w:vertAlign w:val="subscript"/>
              </w:rPr>
              <w:t>2</w:t>
            </w:r>
            <w:r w:rsidRPr="00BE78CA">
              <w:t>O</w:t>
            </w:r>
          </w:p>
        </w:tc>
        <w:tc>
          <w:tcPr>
            <w:tcW w:w="749" w:type="pct"/>
            <w:shd w:val="clear" w:color="auto" w:fill="FFFFFF"/>
          </w:tcPr>
          <w:p w14:paraId="3636F5E4" w14:textId="77777777" w:rsidR="00F02481" w:rsidRPr="00BE78CA" w:rsidRDefault="00F02481" w:rsidP="00C26084">
            <w:pPr>
              <w:pStyle w:val="TableText"/>
              <w:spacing w:before="50" w:after="50"/>
              <w:rPr>
                <w:rFonts w:cs="Calibri"/>
              </w:rPr>
            </w:pPr>
            <w:r w:rsidRPr="00BE78CA">
              <w:t>L1</w:t>
            </w:r>
          </w:p>
        </w:tc>
      </w:tr>
      <w:tr w:rsidR="00F02481" w:rsidRPr="00BE78CA" w14:paraId="1F6B3952" w14:textId="77777777" w:rsidTr="003E7AC7">
        <w:tc>
          <w:tcPr>
            <w:tcW w:w="687" w:type="pct"/>
            <w:shd w:val="clear" w:color="auto" w:fill="FFFFFF"/>
          </w:tcPr>
          <w:p w14:paraId="61C3C65B" w14:textId="77777777" w:rsidR="00F02481" w:rsidRPr="00BE78CA" w:rsidRDefault="00F02481" w:rsidP="00C26084">
            <w:pPr>
              <w:pStyle w:val="TableText"/>
              <w:spacing w:before="50" w:after="50"/>
              <w:rPr>
                <w:rFonts w:cs="Calibri"/>
              </w:rPr>
            </w:pPr>
            <w:r w:rsidRPr="00BE78CA">
              <w:t>3.D.2.2</w:t>
            </w:r>
          </w:p>
        </w:tc>
        <w:tc>
          <w:tcPr>
            <w:tcW w:w="3063" w:type="pct"/>
            <w:shd w:val="clear" w:color="auto" w:fill="FFFFFF"/>
          </w:tcPr>
          <w:p w14:paraId="2E9D7F48" w14:textId="769C86BA" w:rsidR="00F02481" w:rsidRPr="00BE78CA" w:rsidRDefault="00F02481" w:rsidP="00C26084">
            <w:pPr>
              <w:pStyle w:val="TableText"/>
              <w:spacing w:before="50" w:after="50"/>
              <w:rPr>
                <w:rFonts w:cs="Calibri"/>
              </w:rPr>
            </w:pPr>
            <w:r w:rsidRPr="00BE78CA">
              <w:t>Indirect N</w:t>
            </w:r>
            <w:r w:rsidRPr="00BE78CA">
              <w:rPr>
                <w:vertAlign w:val="subscript"/>
              </w:rPr>
              <w:t>2</w:t>
            </w:r>
            <w:r w:rsidRPr="00BE78CA">
              <w:t xml:space="preserve">O Emissions </w:t>
            </w:r>
            <w:r w:rsidR="003E7AC7" w:rsidRPr="00BE78CA">
              <w:t>f</w:t>
            </w:r>
            <w:r w:rsidRPr="00BE78CA">
              <w:t>rom Managed Soils – Nitrogen Leaching and Run-off</w:t>
            </w:r>
          </w:p>
        </w:tc>
        <w:tc>
          <w:tcPr>
            <w:tcW w:w="501" w:type="pct"/>
            <w:shd w:val="clear" w:color="auto" w:fill="FFFFFF"/>
          </w:tcPr>
          <w:p w14:paraId="6B28A80C" w14:textId="77777777" w:rsidR="00F02481" w:rsidRPr="00BE78CA" w:rsidRDefault="00F02481" w:rsidP="00C26084">
            <w:pPr>
              <w:pStyle w:val="TableText"/>
              <w:spacing w:before="50" w:after="50"/>
              <w:jc w:val="center"/>
              <w:rPr>
                <w:rFonts w:cs="Calibri"/>
              </w:rPr>
            </w:pPr>
            <w:r w:rsidRPr="00BE78CA">
              <w:t>N</w:t>
            </w:r>
            <w:r w:rsidRPr="00BE78CA">
              <w:rPr>
                <w:vertAlign w:val="subscript"/>
              </w:rPr>
              <w:t>2</w:t>
            </w:r>
            <w:r w:rsidRPr="00BE78CA">
              <w:t>O</w:t>
            </w:r>
          </w:p>
        </w:tc>
        <w:tc>
          <w:tcPr>
            <w:tcW w:w="749" w:type="pct"/>
            <w:shd w:val="clear" w:color="auto" w:fill="FFFFFF"/>
          </w:tcPr>
          <w:p w14:paraId="11C3CBB9" w14:textId="77777777" w:rsidR="00F02481" w:rsidRPr="00BE78CA" w:rsidRDefault="00F02481" w:rsidP="00C26084">
            <w:pPr>
              <w:pStyle w:val="TableText"/>
              <w:spacing w:before="50" w:after="50"/>
              <w:rPr>
                <w:rFonts w:cs="Calibri"/>
              </w:rPr>
            </w:pPr>
            <w:r w:rsidRPr="00BE78CA">
              <w:t>L1</w:t>
            </w:r>
          </w:p>
        </w:tc>
      </w:tr>
      <w:tr w:rsidR="00F02481" w:rsidRPr="00BE78CA" w14:paraId="2E93E4E1" w14:textId="77777777" w:rsidTr="003E7AC7">
        <w:tc>
          <w:tcPr>
            <w:tcW w:w="687" w:type="pct"/>
            <w:shd w:val="clear" w:color="auto" w:fill="FFFFFF"/>
          </w:tcPr>
          <w:p w14:paraId="6F82D2B5" w14:textId="77777777" w:rsidR="00F02481" w:rsidRPr="00BE78CA" w:rsidRDefault="00F02481" w:rsidP="00C26084">
            <w:pPr>
              <w:pStyle w:val="TableText"/>
              <w:spacing w:before="50" w:after="50"/>
              <w:rPr>
                <w:rFonts w:cs="Calibri"/>
                <w:color w:val="000000"/>
              </w:rPr>
            </w:pPr>
            <w:r w:rsidRPr="00BE78CA">
              <w:t>3.G</w:t>
            </w:r>
          </w:p>
        </w:tc>
        <w:tc>
          <w:tcPr>
            <w:tcW w:w="3063" w:type="pct"/>
            <w:shd w:val="clear" w:color="auto" w:fill="FFFFFF"/>
          </w:tcPr>
          <w:p w14:paraId="08DA5461" w14:textId="77777777" w:rsidR="00F02481" w:rsidRPr="00BE78CA" w:rsidRDefault="00F02481" w:rsidP="00C26084">
            <w:pPr>
              <w:pStyle w:val="TableText"/>
              <w:spacing w:before="50" w:after="50"/>
              <w:rPr>
                <w:rFonts w:cs="Calibri"/>
                <w:color w:val="000000"/>
              </w:rPr>
            </w:pPr>
            <w:r w:rsidRPr="00BE78CA">
              <w:t>Agriculture – Liming</w:t>
            </w:r>
          </w:p>
        </w:tc>
        <w:tc>
          <w:tcPr>
            <w:tcW w:w="501" w:type="pct"/>
            <w:shd w:val="clear" w:color="auto" w:fill="FFFFFF"/>
          </w:tcPr>
          <w:p w14:paraId="3AE3D2FF" w14:textId="77777777" w:rsidR="00F02481" w:rsidRPr="00BE78CA" w:rsidRDefault="00F02481" w:rsidP="00C26084">
            <w:pPr>
              <w:pStyle w:val="TableText"/>
              <w:spacing w:before="50" w:after="50"/>
              <w:jc w:val="center"/>
              <w:rPr>
                <w:rFonts w:cs="Calibri"/>
                <w:color w:val="000000"/>
              </w:rPr>
            </w:pPr>
            <w:r w:rsidRPr="00BE78CA">
              <w:t>CO</w:t>
            </w:r>
            <w:r w:rsidRPr="00BE78CA">
              <w:rPr>
                <w:vertAlign w:val="subscript"/>
              </w:rPr>
              <w:t>2</w:t>
            </w:r>
          </w:p>
        </w:tc>
        <w:tc>
          <w:tcPr>
            <w:tcW w:w="749" w:type="pct"/>
            <w:shd w:val="clear" w:color="auto" w:fill="FFFFFF"/>
          </w:tcPr>
          <w:p w14:paraId="51225E99" w14:textId="6C0045C0" w:rsidR="00F02481" w:rsidRPr="00BE78CA" w:rsidRDefault="00F02481" w:rsidP="00C26084">
            <w:pPr>
              <w:pStyle w:val="TableText"/>
              <w:spacing w:before="50" w:after="50"/>
              <w:rPr>
                <w:rFonts w:cs="Calibri"/>
                <w:color w:val="000000"/>
              </w:rPr>
            </w:pPr>
            <w:r w:rsidRPr="00BE78CA">
              <w:t>L1</w:t>
            </w:r>
          </w:p>
        </w:tc>
      </w:tr>
      <w:tr w:rsidR="00F02481" w:rsidRPr="00BE78CA" w14:paraId="1ACEB08C" w14:textId="77777777" w:rsidTr="003E7AC7">
        <w:tc>
          <w:tcPr>
            <w:tcW w:w="687" w:type="pct"/>
            <w:shd w:val="clear" w:color="auto" w:fill="FFFFFF"/>
          </w:tcPr>
          <w:p w14:paraId="7AC068A5" w14:textId="77777777" w:rsidR="00F02481" w:rsidRPr="00BE78CA" w:rsidRDefault="00F02481" w:rsidP="00C26084">
            <w:pPr>
              <w:pStyle w:val="TableText"/>
              <w:spacing w:before="50" w:after="50"/>
              <w:rPr>
                <w:rFonts w:cs="Calibri"/>
                <w:color w:val="000000"/>
              </w:rPr>
            </w:pPr>
            <w:r w:rsidRPr="00BE78CA">
              <w:t>3.H</w:t>
            </w:r>
          </w:p>
        </w:tc>
        <w:tc>
          <w:tcPr>
            <w:tcW w:w="3063" w:type="pct"/>
            <w:shd w:val="clear" w:color="auto" w:fill="FFFFFF"/>
          </w:tcPr>
          <w:p w14:paraId="427B8B23" w14:textId="77777777" w:rsidR="00F02481" w:rsidRPr="00BE78CA" w:rsidRDefault="00F02481" w:rsidP="00C26084">
            <w:pPr>
              <w:pStyle w:val="TableText"/>
              <w:spacing w:before="50" w:after="50"/>
              <w:rPr>
                <w:rFonts w:cs="Calibri"/>
                <w:color w:val="000000"/>
              </w:rPr>
            </w:pPr>
            <w:r w:rsidRPr="00BE78CA">
              <w:t>Agriculture – Urea Application</w:t>
            </w:r>
          </w:p>
        </w:tc>
        <w:tc>
          <w:tcPr>
            <w:tcW w:w="501" w:type="pct"/>
            <w:shd w:val="clear" w:color="auto" w:fill="FFFFFF"/>
          </w:tcPr>
          <w:p w14:paraId="189587AC" w14:textId="77777777" w:rsidR="00F02481" w:rsidRPr="00BE78CA" w:rsidRDefault="00F02481" w:rsidP="00C26084">
            <w:pPr>
              <w:pStyle w:val="TableText"/>
              <w:spacing w:before="50" w:after="50"/>
              <w:jc w:val="center"/>
              <w:rPr>
                <w:rFonts w:cs="Calibri"/>
                <w:color w:val="000000"/>
              </w:rPr>
            </w:pPr>
            <w:r w:rsidRPr="00BE78CA">
              <w:t>CO</w:t>
            </w:r>
            <w:r w:rsidRPr="00BE78CA">
              <w:rPr>
                <w:vertAlign w:val="subscript"/>
              </w:rPr>
              <w:t>2</w:t>
            </w:r>
          </w:p>
        </w:tc>
        <w:tc>
          <w:tcPr>
            <w:tcW w:w="749" w:type="pct"/>
            <w:shd w:val="clear" w:color="auto" w:fill="FFFFFF"/>
          </w:tcPr>
          <w:p w14:paraId="3B828FAD" w14:textId="77777777" w:rsidR="00F02481" w:rsidRPr="00BE78CA" w:rsidRDefault="00F02481" w:rsidP="00C26084">
            <w:pPr>
              <w:pStyle w:val="TableText"/>
              <w:spacing w:before="50" w:after="50"/>
              <w:rPr>
                <w:rFonts w:cs="Calibri"/>
                <w:color w:val="000000"/>
              </w:rPr>
            </w:pPr>
            <w:r w:rsidRPr="00BE78CA">
              <w:t>L1, T1</w:t>
            </w:r>
          </w:p>
        </w:tc>
      </w:tr>
    </w:tbl>
    <w:p w14:paraId="0657B664" w14:textId="77777777" w:rsidR="00F02481" w:rsidRPr="00BE78CA" w:rsidRDefault="00F02481" w:rsidP="00C26084">
      <w:pPr>
        <w:pStyle w:val="Noteundertable"/>
        <w:spacing w:before="100"/>
        <w:rPr>
          <w:rFonts w:cs="Calibri"/>
        </w:rPr>
      </w:pPr>
      <w:r w:rsidRPr="00BE78CA">
        <w:rPr>
          <w:rFonts w:cs="Calibri"/>
          <w:b/>
          <w:bCs/>
        </w:rPr>
        <w:t>Note</w:t>
      </w:r>
      <w:r w:rsidRPr="00BE78CA">
        <w:rPr>
          <w:rFonts w:cs="Calibri"/>
        </w:rPr>
        <w:t xml:space="preserve">: </w:t>
      </w:r>
      <w:r w:rsidRPr="00BE78CA">
        <w:rPr>
          <w:rFonts w:cs="Calibri"/>
        </w:rPr>
        <w:tab/>
        <w:t xml:space="preserve">L1 means a key category is identified under the level analysis – approach 1 and T1 is trend analysis </w:t>
      </w:r>
      <w:r w:rsidRPr="00BE78CA">
        <w:rPr>
          <w:rFonts w:cs="Calibri"/>
        </w:rPr>
        <w:br/>
        <w:t>– approach 1. See chapter 1 for more information.</w:t>
      </w:r>
    </w:p>
    <w:p w14:paraId="6DFCD166" w14:textId="77777777" w:rsidR="00F02481" w:rsidRPr="00BE78CA" w:rsidRDefault="00F02481" w:rsidP="00C26084">
      <w:pPr>
        <w:pStyle w:val="Heading3"/>
        <w:spacing w:before="240"/>
        <w:rPr>
          <w:rFonts w:cs="Calibri"/>
          <w:b w:val="0"/>
        </w:rPr>
      </w:pPr>
      <w:bookmarkStart w:id="544" w:name="_Toc32570645"/>
      <w:r w:rsidRPr="00BE78CA">
        <w:rPr>
          <w:rFonts w:cs="Calibri"/>
        </w:rPr>
        <w:lastRenderedPageBreak/>
        <w:t xml:space="preserve">5.1.3 </w:t>
      </w:r>
      <w:r w:rsidRPr="00BE78CA">
        <w:rPr>
          <w:rFonts w:cs="Calibri"/>
        </w:rPr>
        <w:tab/>
        <w:t>Methodological issues for the Agriculture sector</w:t>
      </w:r>
      <w:bookmarkEnd w:id="544"/>
      <w:r w:rsidRPr="00BE78CA">
        <w:rPr>
          <w:rFonts w:cs="Calibri"/>
        </w:rPr>
        <w:t xml:space="preserve"> </w:t>
      </w:r>
    </w:p>
    <w:p w14:paraId="16FA234E" w14:textId="224B13DC" w:rsidR="00F02481" w:rsidRPr="00BE78CA" w:rsidRDefault="00F02481" w:rsidP="002E6A40">
      <w:pPr>
        <w:pStyle w:val="BodyText"/>
        <w:spacing w:before="100" w:after="100"/>
        <w:rPr>
          <w:rFonts w:cs="Calibri"/>
        </w:rPr>
      </w:pPr>
      <w:r w:rsidRPr="00BE78CA">
        <w:rPr>
          <w:rFonts w:cs="Calibri"/>
        </w:rPr>
        <w:t>The Agriculture</w:t>
      </w:r>
      <w:r w:rsidRPr="00BE78CA">
        <w:rPr>
          <w:rFonts w:cs="Calibri"/>
          <w:i/>
          <w:iCs/>
        </w:rPr>
        <w:t xml:space="preserve"> </w:t>
      </w:r>
      <w:r w:rsidRPr="00BE78CA">
        <w:rPr>
          <w:rFonts w:cs="Calibri"/>
        </w:rPr>
        <w:t>sector includes emissions of CH</w:t>
      </w:r>
      <w:r w:rsidRPr="00BE78CA">
        <w:rPr>
          <w:rFonts w:cs="Calibri"/>
          <w:vertAlign w:val="subscript"/>
        </w:rPr>
        <w:t>4</w:t>
      </w:r>
      <w:r w:rsidRPr="00BE78CA">
        <w:rPr>
          <w:rFonts w:cs="Calibri"/>
        </w:rPr>
        <w:t xml:space="preserve"> and N</w:t>
      </w:r>
      <w:r w:rsidRPr="00BE78CA">
        <w:rPr>
          <w:rFonts w:cs="Calibri"/>
          <w:vertAlign w:val="subscript"/>
        </w:rPr>
        <w:t>2</w:t>
      </w:r>
      <w:r w:rsidRPr="00BE78CA">
        <w:rPr>
          <w:rFonts w:cs="Calibri"/>
        </w:rPr>
        <w:t xml:space="preserve">O from livestock industries (estimated in </w:t>
      </w:r>
      <w:r w:rsidRPr="00BE78CA">
        <w:rPr>
          <w:rFonts w:cs="Calibri"/>
          <w:i/>
          <w:iCs/>
        </w:rPr>
        <w:t xml:space="preserve">Enteric fermentation </w:t>
      </w:r>
      <w:r w:rsidRPr="00BE78CA">
        <w:rPr>
          <w:rFonts w:cs="Calibri"/>
        </w:rPr>
        <w:t>(CH</w:t>
      </w:r>
      <w:r w:rsidRPr="00BE78CA">
        <w:rPr>
          <w:rFonts w:cs="Calibri"/>
          <w:vertAlign w:val="subscript"/>
        </w:rPr>
        <w:t>4</w:t>
      </w:r>
      <w:r w:rsidRPr="00BE78CA">
        <w:rPr>
          <w:rFonts w:cs="Calibri"/>
        </w:rPr>
        <w:t xml:space="preserve">) and </w:t>
      </w:r>
      <w:r w:rsidRPr="00BE78CA">
        <w:rPr>
          <w:rFonts w:cs="Calibri"/>
          <w:i/>
          <w:iCs/>
        </w:rPr>
        <w:t xml:space="preserve">Manure management </w:t>
      </w:r>
      <w:r w:rsidRPr="00BE78CA">
        <w:rPr>
          <w:rFonts w:cs="Calibri"/>
        </w:rPr>
        <w:t>(CH</w:t>
      </w:r>
      <w:r w:rsidRPr="00BE78CA">
        <w:rPr>
          <w:rFonts w:cs="Calibri"/>
          <w:vertAlign w:val="subscript"/>
        </w:rPr>
        <w:t>4</w:t>
      </w:r>
      <w:r w:rsidRPr="00BE78CA">
        <w:rPr>
          <w:rFonts w:cs="Calibri"/>
        </w:rPr>
        <w:t xml:space="preserve"> and N</w:t>
      </w:r>
      <w:r w:rsidRPr="00BE78CA">
        <w:rPr>
          <w:rFonts w:cs="Calibri"/>
          <w:vertAlign w:val="subscript"/>
        </w:rPr>
        <w:t>2</w:t>
      </w:r>
      <w:r w:rsidRPr="00BE78CA">
        <w:rPr>
          <w:rFonts w:cs="Calibri"/>
        </w:rPr>
        <w:t>O)).</w:t>
      </w:r>
      <w:r w:rsidRPr="00BE78CA">
        <w:rPr>
          <w:rFonts w:cs="Calibri"/>
          <w:i/>
          <w:iCs/>
        </w:rPr>
        <w:t xml:space="preserve"> </w:t>
      </w:r>
      <w:r w:rsidRPr="00BE78CA">
        <w:rPr>
          <w:rFonts w:cs="Calibri"/>
        </w:rPr>
        <w:t>In New Zealand, the</w:t>
      </w:r>
      <w:r w:rsidR="00C84091" w:rsidRPr="00BE78CA">
        <w:rPr>
          <w:rFonts w:cs="Calibri"/>
        </w:rPr>
        <w:t> </w:t>
      </w:r>
      <w:r w:rsidRPr="00BE78CA">
        <w:rPr>
          <w:rFonts w:cs="Calibri"/>
        </w:rPr>
        <w:t>predominant species (in terms of population) are sheep, followed by dairy cattle, beef cattle and deer. New Zealand breeds are selected to perform under outdoor pastoral farming</w:t>
      </w:r>
      <w:r w:rsidR="00C84091" w:rsidRPr="00BE78CA">
        <w:rPr>
          <w:rFonts w:cs="Calibri"/>
        </w:rPr>
        <w:t> </w:t>
      </w:r>
      <w:r w:rsidRPr="00BE78CA">
        <w:rPr>
          <w:rFonts w:cs="Calibri"/>
        </w:rPr>
        <w:t xml:space="preserve">systems. </w:t>
      </w:r>
    </w:p>
    <w:p w14:paraId="15291485" w14:textId="77777777" w:rsidR="00F02481" w:rsidRPr="00BE78CA" w:rsidRDefault="00F02481" w:rsidP="002E6A40">
      <w:pPr>
        <w:pStyle w:val="BodyText"/>
        <w:spacing w:before="100" w:after="100"/>
        <w:rPr>
          <w:rFonts w:cs="Calibri"/>
        </w:rPr>
      </w:pPr>
      <w:r w:rsidRPr="00BE78CA">
        <w:rPr>
          <w:rFonts w:cs="Calibri"/>
        </w:rPr>
        <w:t>Other agricultural emission sources include N</w:t>
      </w:r>
      <w:r w:rsidRPr="00BE78CA">
        <w:rPr>
          <w:rFonts w:cs="Calibri"/>
          <w:vertAlign w:val="subscript"/>
        </w:rPr>
        <w:t>2</w:t>
      </w:r>
      <w:r w:rsidRPr="00BE78CA">
        <w:rPr>
          <w:rFonts w:cs="Calibri"/>
        </w:rPr>
        <w:t xml:space="preserve">O from </w:t>
      </w:r>
      <w:r w:rsidRPr="00BE78CA">
        <w:rPr>
          <w:rFonts w:cs="Calibri"/>
          <w:i/>
          <w:iCs/>
        </w:rPr>
        <w:t>Agricultural soils</w:t>
      </w:r>
      <w:r w:rsidRPr="00BE78CA">
        <w:rPr>
          <w:rFonts w:cs="Calibri"/>
        </w:rPr>
        <w:t>, CH</w:t>
      </w:r>
      <w:r w:rsidRPr="00BE78CA">
        <w:rPr>
          <w:rFonts w:cs="Calibri"/>
          <w:vertAlign w:val="subscript"/>
        </w:rPr>
        <w:t>4</w:t>
      </w:r>
      <w:r w:rsidRPr="00BE78CA">
        <w:rPr>
          <w:rFonts w:cs="Calibri"/>
        </w:rPr>
        <w:t xml:space="preserve"> and N</w:t>
      </w:r>
      <w:r w:rsidRPr="00BE78CA">
        <w:rPr>
          <w:rFonts w:cs="Calibri"/>
          <w:vertAlign w:val="subscript"/>
        </w:rPr>
        <w:t>2</w:t>
      </w:r>
      <w:r w:rsidRPr="00BE78CA">
        <w:rPr>
          <w:rFonts w:cs="Calibri"/>
        </w:rPr>
        <w:t>O from </w:t>
      </w:r>
      <w:r w:rsidRPr="00BE78CA">
        <w:rPr>
          <w:rFonts w:cs="Calibri"/>
          <w:i/>
          <w:iCs/>
        </w:rPr>
        <w:t>Field burning of agricultural residues</w:t>
      </w:r>
      <w:r w:rsidRPr="00BE78CA">
        <w:rPr>
          <w:rFonts w:cs="Calibri"/>
        </w:rPr>
        <w:t xml:space="preserve"> and CO</w:t>
      </w:r>
      <w:r w:rsidRPr="00BE78CA">
        <w:rPr>
          <w:rFonts w:cs="Calibri"/>
          <w:vertAlign w:val="subscript"/>
        </w:rPr>
        <w:t>2</w:t>
      </w:r>
      <w:r w:rsidRPr="00BE78CA">
        <w:rPr>
          <w:rFonts w:cs="Calibri"/>
        </w:rPr>
        <w:t xml:space="preserve"> from </w:t>
      </w:r>
      <w:r w:rsidRPr="00BE78CA">
        <w:rPr>
          <w:rFonts w:cs="Calibri"/>
          <w:i/>
          <w:iCs/>
        </w:rPr>
        <w:t>Liming</w:t>
      </w:r>
      <w:r w:rsidRPr="00BE78CA">
        <w:rPr>
          <w:rFonts w:cs="Calibri"/>
        </w:rPr>
        <w:t xml:space="preserve"> and </w:t>
      </w:r>
      <w:r w:rsidRPr="00BE78CA">
        <w:rPr>
          <w:rFonts w:cs="Calibri"/>
          <w:i/>
          <w:iCs/>
        </w:rPr>
        <w:t>Urea application</w:t>
      </w:r>
      <w:r w:rsidRPr="00BE78CA">
        <w:rPr>
          <w:rFonts w:cs="Calibri"/>
        </w:rPr>
        <w:t>.</w:t>
      </w:r>
    </w:p>
    <w:p w14:paraId="6404FA19" w14:textId="77777777" w:rsidR="00F02481" w:rsidRPr="00BE78CA" w:rsidRDefault="00F02481" w:rsidP="002E6A40">
      <w:pPr>
        <w:pStyle w:val="BodyText"/>
        <w:spacing w:before="100" w:after="100"/>
        <w:rPr>
          <w:rFonts w:cs="Calibri"/>
        </w:rPr>
      </w:pPr>
      <w:r w:rsidRPr="00BE78CA">
        <w:rPr>
          <w:rFonts w:cs="Calibri"/>
        </w:rPr>
        <w:t xml:space="preserve">New Zealand uses a range of models and tiers appropriate to the size of the different emission categories. For example, 89.9 per cent of New Zealand’s livestock emissions come from </w:t>
      </w:r>
      <w:r w:rsidRPr="00BE78CA">
        <w:rPr>
          <w:rFonts w:cs="Calibri"/>
          <w:i/>
          <w:iCs/>
        </w:rPr>
        <w:t>Dairy cattle</w:t>
      </w:r>
      <w:r w:rsidRPr="00BE78CA">
        <w:rPr>
          <w:rFonts w:cs="Calibri"/>
        </w:rPr>
        <w:t xml:space="preserve">, </w:t>
      </w:r>
      <w:r w:rsidRPr="00BE78CA">
        <w:rPr>
          <w:rFonts w:cs="Calibri"/>
          <w:i/>
          <w:iCs/>
        </w:rPr>
        <w:t xml:space="preserve">Non-dairy </w:t>
      </w:r>
      <w:r w:rsidRPr="00BE78CA">
        <w:rPr>
          <w:rFonts w:cs="Calibri"/>
        </w:rPr>
        <w:t>(beef)</w:t>
      </w:r>
      <w:r w:rsidRPr="00BE78CA">
        <w:rPr>
          <w:rFonts w:cs="Calibri"/>
          <w:i/>
          <w:iCs/>
        </w:rPr>
        <w:t xml:space="preserve"> cattle</w:t>
      </w:r>
      <w:r w:rsidRPr="00BE78CA">
        <w:rPr>
          <w:rFonts w:cs="Calibri"/>
        </w:rPr>
        <w:t>,</w:t>
      </w:r>
      <w:r w:rsidRPr="00BE78CA">
        <w:rPr>
          <w:rFonts w:cs="Calibri"/>
          <w:i/>
          <w:iCs/>
        </w:rPr>
        <w:t xml:space="preserve"> Sheep</w:t>
      </w:r>
      <w:r w:rsidRPr="00BE78CA">
        <w:rPr>
          <w:rFonts w:cs="Calibri"/>
        </w:rPr>
        <w:t xml:space="preserve"> and </w:t>
      </w:r>
      <w:r w:rsidRPr="00BE78CA">
        <w:rPr>
          <w:rFonts w:cs="Calibri"/>
          <w:i/>
          <w:iCs/>
        </w:rPr>
        <w:t>Deer</w:t>
      </w:r>
      <w:r w:rsidRPr="00BE78CA">
        <w:rPr>
          <w:rFonts w:cs="Calibri"/>
        </w:rPr>
        <w:t xml:space="preserve"> (‘major’ livestock categories). Emissions from major livestock categories are estimated using Tier 2 methodologies. Other livestock species, including </w:t>
      </w:r>
      <w:r w:rsidRPr="00BE78CA">
        <w:rPr>
          <w:rFonts w:cs="Calibri"/>
          <w:i/>
          <w:iCs/>
        </w:rPr>
        <w:t>Swine</w:t>
      </w:r>
      <w:r w:rsidRPr="00BE78CA">
        <w:rPr>
          <w:rFonts w:cs="Calibri"/>
        </w:rPr>
        <w:t>,</w:t>
      </w:r>
      <w:r w:rsidRPr="00BE78CA">
        <w:rPr>
          <w:rFonts w:cs="Calibri"/>
          <w:i/>
          <w:iCs/>
        </w:rPr>
        <w:t xml:space="preserve"> Goats</w:t>
      </w:r>
      <w:r w:rsidRPr="00BE78CA">
        <w:rPr>
          <w:rFonts w:cs="Calibri"/>
        </w:rPr>
        <w:t>,</w:t>
      </w:r>
      <w:r w:rsidRPr="00BE78CA">
        <w:rPr>
          <w:rFonts w:cs="Calibri"/>
          <w:i/>
          <w:iCs/>
        </w:rPr>
        <w:t xml:space="preserve"> Horses</w:t>
      </w:r>
      <w:r w:rsidRPr="00BE78CA">
        <w:rPr>
          <w:rFonts w:cs="Calibri"/>
        </w:rPr>
        <w:t>,</w:t>
      </w:r>
      <w:r w:rsidRPr="00BE78CA">
        <w:rPr>
          <w:rFonts w:cs="Calibri"/>
          <w:i/>
          <w:iCs/>
        </w:rPr>
        <w:t xml:space="preserve"> </w:t>
      </w:r>
      <w:r w:rsidRPr="00BE78CA">
        <w:rPr>
          <w:rFonts w:cs="Calibri"/>
          <w:i/>
        </w:rPr>
        <w:t>Llamas</w:t>
      </w:r>
      <w:r w:rsidRPr="00BE78CA">
        <w:rPr>
          <w:rFonts w:cs="Calibri"/>
          <w:i/>
          <w:iCs/>
        </w:rPr>
        <w:t xml:space="preserve"> and alpacas</w:t>
      </w:r>
      <w:r w:rsidRPr="00BE78CA">
        <w:rPr>
          <w:rFonts w:cs="Calibri"/>
        </w:rPr>
        <w:t>,</w:t>
      </w:r>
      <w:r w:rsidRPr="00BE78CA">
        <w:rPr>
          <w:rFonts w:cs="Calibri"/>
          <w:i/>
          <w:iCs/>
        </w:rPr>
        <w:t xml:space="preserve"> Mules and asses</w:t>
      </w:r>
      <w:r w:rsidRPr="00BE78CA">
        <w:rPr>
          <w:rFonts w:cs="Calibri"/>
        </w:rPr>
        <w:t xml:space="preserve"> and </w:t>
      </w:r>
      <w:r w:rsidRPr="00BE78CA">
        <w:rPr>
          <w:rFonts w:cs="Calibri"/>
          <w:i/>
          <w:iCs/>
        </w:rPr>
        <w:t xml:space="preserve">Poultry </w:t>
      </w:r>
      <w:r w:rsidRPr="00BE78CA">
        <w:rPr>
          <w:rFonts w:cs="Calibri"/>
        </w:rPr>
        <w:t xml:space="preserve">(‘minor’ livestock categories) account for only 0.5 per cent of agriculture emissions, and are estimated using Tier 1 methodologies with some Tier 2 components. The remaining proportion of emissions are accounted for under </w:t>
      </w:r>
      <w:r w:rsidRPr="00BE78CA">
        <w:rPr>
          <w:rFonts w:cs="Calibri"/>
          <w:i/>
          <w:iCs/>
        </w:rPr>
        <w:t>Agricultural soils</w:t>
      </w:r>
      <w:r w:rsidRPr="00BE78CA">
        <w:rPr>
          <w:rFonts w:cs="Calibri"/>
        </w:rPr>
        <w:t xml:space="preserve"> using Tier 2 methodologies. As a result of this, most of New Zealand’s reported agricultural emissions are calculated using Tier 2 methodology.</w:t>
      </w:r>
    </w:p>
    <w:p w14:paraId="2DFB6B5F" w14:textId="77777777" w:rsidR="00F02481" w:rsidRPr="00BE78CA" w:rsidRDefault="00F02481" w:rsidP="002E6A40">
      <w:pPr>
        <w:pStyle w:val="BodyText"/>
        <w:keepNext/>
        <w:spacing w:before="100" w:after="100"/>
        <w:rPr>
          <w:rFonts w:cs="Calibri"/>
        </w:rPr>
      </w:pPr>
      <w:r w:rsidRPr="00BE78CA">
        <w:rPr>
          <w:rFonts w:cs="Calibri"/>
        </w:rPr>
        <w:t>Table 5.1.3 summarises methods and emission factors for agriculture categories.</w:t>
      </w:r>
    </w:p>
    <w:p w14:paraId="2152F0A2" w14:textId="77777777" w:rsidR="00F02481" w:rsidRPr="00BE78CA" w:rsidRDefault="00F02481" w:rsidP="00C26084">
      <w:pPr>
        <w:pStyle w:val="Table"/>
        <w:rPr>
          <w:rFonts w:cs="Calibri"/>
        </w:rPr>
      </w:pPr>
      <w:bookmarkStart w:id="545" w:name="_Toc32570911"/>
      <w:bookmarkStart w:id="546" w:name="_Toc36224546"/>
      <w:bookmarkStart w:id="547" w:name="_Toc68786432"/>
      <w:r w:rsidRPr="00BE78CA">
        <w:rPr>
          <w:rFonts w:cs="Calibri"/>
        </w:rPr>
        <w:t xml:space="preserve">Table 5.1.3 </w:t>
      </w:r>
      <w:r w:rsidRPr="00BE78CA">
        <w:rPr>
          <w:rFonts w:cs="Calibri"/>
        </w:rPr>
        <w:tab/>
        <w:t>Methods and emission factors in the Agriculture sector</w:t>
      </w:r>
      <w:bookmarkEnd w:id="545"/>
      <w:bookmarkEnd w:id="546"/>
      <w:bookmarkEnd w:id="547"/>
    </w:p>
    <w:tbl>
      <w:tblPr>
        <w:tblW w:w="8514" w:type="dxa"/>
        <w:tblLayout w:type="fixed"/>
        <w:tblLook w:val="04A0" w:firstRow="1" w:lastRow="0" w:firstColumn="1" w:lastColumn="0" w:noHBand="0" w:noVBand="1"/>
      </w:tblPr>
      <w:tblGrid>
        <w:gridCol w:w="325"/>
        <w:gridCol w:w="3197"/>
        <w:gridCol w:w="832"/>
        <w:gridCol w:w="832"/>
        <w:gridCol w:w="832"/>
        <w:gridCol w:w="832"/>
        <w:gridCol w:w="832"/>
        <w:gridCol w:w="832"/>
      </w:tblGrid>
      <w:tr w:rsidR="006613CB" w:rsidRPr="00BE78CA" w14:paraId="6F5B9A2A" w14:textId="77777777" w:rsidTr="006613CB">
        <w:trPr>
          <w:tblHeader/>
        </w:trPr>
        <w:tc>
          <w:tcPr>
            <w:tcW w:w="3522" w:type="dxa"/>
            <w:gridSpan w:val="2"/>
            <w:vMerge w:val="restart"/>
            <w:tcBorders>
              <w:top w:val="single" w:sz="4" w:space="0" w:color="365F91"/>
              <w:left w:val="nil"/>
              <w:bottom w:val="single" w:sz="4" w:space="0" w:color="365F91"/>
              <w:right w:val="nil"/>
            </w:tcBorders>
            <w:shd w:val="clear" w:color="000000" w:fill="365F91"/>
            <w:vAlign w:val="bottom"/>
          </w:tcPr>
          <w:p w14:paraId="05E63785" w14:textId="77777777" w:rsidR="00F02481" w:rsidRPr="00BE78CA" w:rsidRDefault="00F02481" w:rsidP="00C26084">
            <w:pPr>
              <w:pStyle w:val="TableTextBold"/>
              <w:keepNext/>
              <w:rPr>
                <w:noProof w:val="0"/>
                <w:color w:val="FFFFFF" w:themeColor="background1"/>
                <w:szCs w:val="16"/>
              </w:rPr>
            </w:pPr>
            <w:r w:rsidRPr="00BE78CA">
              <w:rPr>
                <w:noProof w:val="0"/>
                <w:color w:val="FFFFFF" w:themeColor="background1"/>
                <w:szCs w:val="16"/>
              </w:rPr>
              <w:t>Source category</w:t>
            </w:r>
          </w:p>
        </w:tc>
        <w:tc>
          <w:tcPr>
            <w:tcW w:w="1664" w:type="dxa"/>
            <w:gridSpan w:val="2"/>
            <w:tcBorders>
              <w:top w:val="single" w:sz="4" w:space="0" w:color="365F91"/>
              <w:left w:val="nil"/>
              <w:right w:val="nil"/>
            </w:tcBorders>
            <w:shd w:val="clear" w:color="auto" w:fill="365F91"/>
            <w:vAlign w:val="center"/>
          </w:tcPr>
          <w:p w14:paraId="6BEC936C" w14:textId="77777777" w:rsidR="00F02481" w:rsidRPr="00BE78CA" w:rsidRDefault="00F02481" w:rsidP="00C26084">
            <w:pPr>
              <w:pStyle w:val="TableTextBold"/>
              <w:keepNext/>
              <w:spacing w:before="40" w:after="0"/>
              <w:jc w:val="center"/>
              <w:rPr>
                <w:noProof w:val="0"/>
                <w:color w:val="FFFFFF" w:themeColor="background1"/>
                <w:szCs w:val="16"/>
              </w:rPr>
            </w:pPr>
            <w:r w:rsidRPr="00BE78CA">
              <w:rPr>
                <w:noProof w:val="0"/>
                <w:color w:val="FFFFFF" w:themeColor="background1"/>
                <w:szCs w:val="16"/>
              </w:rPr>
              <w:t>CH</w:t>
            </w:r>
            <w:r w:rsidRPr="00BE78CA">
              <w:rPr>
                <w:noProof w:val="0"/>
                <w:color w:val="FFFFFF" w:themeColor="background1"/>
                <w:szCs w:val="16"/>
                <w:vertAlign w:val="subscript"/>
              </w:rPr>
              <w:t>4</w:t>
            </w:r>
          </w:p>
        </w:tc>
        <w:tc>
          <w:tcPr>
            <w:tcW w:w="1664" w:type="dxa"/>
            <w:gridSpan w:val="2"/>
            <w:tcBorders>
              <w:top w:val="single" w:sz="4" w:space="0" w:color="365F91"/>
              <w:left w:val="nil"/>
              <w:right w:val="nil"/>
            </w:tcBorders>
            <w:shd w:val="clear" w:color="auto" w:fill="365F91"/>
            <w:vAlign w:val="center"/>
          </w:tcPr>
          <w:p w14:paraId="6DE09995" w14:textId="77777777" w:rsidR="00F02481" w:rsidRPr="00BE78CA" w:rsidRDefault="00F02481" w:rsidP="00C26084">
            <w:pPr>
              <w:pStyle w:val="TableTextBold"/>
              <w:keepNext/>
              <w:spacing w:before="40" w:after="0"/>
              <w:jc w:val="center"/>
              <w:rPr>
                <w:noProof w:val="0"/>
                <w:color w:val="FFFFFF" w:themeColor="background1"/>
                <w:szCs w:val="16"/>
              </w:rPr>
            </w:pPr>
            <w:r w:rsidRPr="00BE78CA">
              <w:rPr>
                <w:noProof w:val="0"/>
                <w:color w:val="FFFFFF" w:themeColor="background1"/>
                <w:szCs w:val="16"/>
              </w:rPr>
              <w:t>N</w:t>
            </w:r>
            <w:r w:rsidRPr="00BE78CA">
              <w:rPr>
                <w:noProof w:val="0"/>
                <w:color w:val="FFFFFF" w:themeColor="background1"/>
                <w:szCs w:val="16"/>
                <w:vertAlign w:val="subscript"/>
              </w:rPr>
              <w:t>2</w:t>
            </w:r>
            <w:r w:rsidRPr="00BE78CA">
              <w:rPr>
                <w:noProof w:val="0"/>
                <w:color w:val="FFFFFF" w:themeColor="background1"/>
                <w:szCs w:val="16"/>
              </w:rPr>
              <w:t>O</w:t>
            </w:r>
          </w:p>
        </w:tc>
        <w:tc>
          <w:tcPr>
            <w:tcW w:w="1664" w:type="dxa"/>
            <w:gridSpan w:val="2"/>
            <w:tcBorders>
              <w:top w:val="single" w:sz="4" w:space="0" w:color="365F91"/>
              <w:left w:val="nil"/>
              <w:right w:val="nil"/>
            </w:tcBorders>
            <w:shd w:val="clear" w:color="auto" w:fill="365F91"/>
            <w:vAlign w:val="center"/>
          </w:tcPr>
          <w:p w14:paraId="5C70D300" w14:textId="77777777" w:rsidR="00F02481" w:rsidRPr="00BE78CA" w:rsidRDefault="00F02481" w:rsidP="00C26084">
            <w:pPr>
              <w:pStyle w:val="TableTextBold"/>
              <w:keepNext/>
              <w:spacing w:before="40" w:after="0"/>
              <w:jc w:val="center"/>
              <w:rPr>
                <w:noProof w:val="0"/>
                <w:color w:val="FFFFFF" w:themeColor="background1"/>
                <w:szCs w:val="16"/>
              </w:rPr>
            </w:pPr>
            <w:r w:rsidRPr="00BE78CA">
              <w:rPr>
                <w:noProof w:val="0"/>
                <w:color w:val="FFFFFF" w:themeColor="background1"/>
                <w:szCs w:val="16"/>
              </w:rPr>
              <w:t>CO</w:t>
            </w:r>
            <w:r w:rsidRPr="00BE78CA">
              <w:rPr>
                <w:noProof w:val="0"/>
                <w:color w:val="FFFFFF" w:themeColor="background1"/>
                <w:szCs w:val="16"/>
                <w:vertAlign w:val="subscript"/>
              </w:rPr>
              <w:t>2</w:t>
            </w:r>
          </w:p>
        </w:tc>
      </w:tr>
      <w:tr w:rsidR="006613CB" w:rsidRPr="00BE78CA" w14:paraId="29B29B4F" w14:textId="77777777" w:rsidTr="00C831A7">
        <w:trPr>
          <w:tblHeader/>
        </w:trPr>
        <w:tc>
          <w:tcPr>
            <w:tcW w:w="3522" w:type="dxa"/>
            <w:gridSpan w:val="2"/>
            <w:vMerge/>
            <w:tcBorders>
              <w:left w:val="nil"/>
              <w:right w:val="nil"/>
            </w:tcBorders>
            <w:shd w:val="clear" w:color="000000" w:fill="365F91"/>
            <w:vAlign w:val="center"/>
            <w:hideMark/>
          </w:tcPr>
          <w:p w14:paraId="28361E11" w14:textId="77777777" w:rsidR="00F02481" w:rsidRPr="00BE78CA" w:rsidRDefault="00F02481" w:rsidP="00C26084">
            <w:pPr>
              <w:pStyle w:val="TableTextBold"/>
              <w:keepNext/>
              <w:jc w:val="center"/>
              <w:rPr>
                <w:noProof w:val="0"/>
                <w:color w:val="FFFFFF" w:themeColor="background1"/>
                <w:szCs w:val="16"/>
              </w:rPr>
            </w:pPr>
          </w:p>
        </w:tc>
        <w:tc>
          <w:tcPr>
            <w:tcW w:w="832" w:type="dxa"/>
            <w:tcBorders>
              <w:left w:val="nil"/>
              <w:right w:val="nil"/>
            </w:tcBorders>
            <w:shd w:val="clear" w:color="auto" w:fill="365F91"/>
            <w:vAlign w:val="center"/>
            <w:hideMark/>
          </w:tcPr>
          <w:p w14:paraId="3F2C3FBA" w14:textId="77777777" w:rsidR="00F02481" w:rsidRPr="00BE78CA" w:rsidRDefault="00F02481" w:rsidP="00C26084">
            <w:pPr>
              <w:pStyle w:val="TableTextBold"/>
              <w:keepNext/>
              <w:spacing w:before="40"/>
              <w:jc w:val="center"/>
              <w:rPr>
                <w:noProof w:val="0"/>
                <w:color w:val="FFFFFF" w:themeColor="background1"/>
                <w:szCs w:val="16"/>
              </w:rPr>
            </w:pPr>
            <w:r w:rsidRPr="00BE78CA">
              <w:rPr>
                <w:noProof w:val="0"/>
                <w:color w:val="FFFFFF" w:themeColor="background1"/>
                <w:szCs w:val="16"/>
              </w:rPr>
              <w:t>Method applied</w:t>
            </w:r>
          </w:p>
        </w:tc>
        <w:tc>
          <w:tcPr>
            <w:tcW w:w="832" w:type="dxa"/>
            <w:tcBorders>
              <w:left w:val="nil"/>
              <w:right w:val="nil"/>
            </w:tcBorders>
            <w:shd w:val="clear" w:color="auto" w:fill="365F91"/>
            <w:vAlign w:val="center"/>
            <w:hideMark/>
          </w:tcPr>
          <w:p w14:paraId="1F959C56" w14:textId="77777777" w:rsidR="00F02481" w:rsidRPr="00BE78CA" w:rsidRDefault="00F02481" w:rsidP="00C26084">
            <w:pPr>
              <w:pStyle w:val="TableTextBold"/>
              <w:keepNext/>
              <w:spacing w:before="40"/>
              <w:jc w:val="center"/>
              <w:rPr>
                <w:noProof w:val="0"/>
                <w:color w:val="FFFFFF" w:themeColor="background1"/>
                <w:szCs w:val="16"/>
              </w:rPr>
            </w:pPr>
            <w:r w:rsidRPr="00BE78CA">
              <w:rPr>
                <w:noProof w:val="0"/>
                <w:color w:val="FFFFFF" w:themeColor="background1"/>
                <w:szCs w:val="16"/>
              </w:rPr>
              <w:t>Emission factor</w:t>
            </w:r>
          </w:p>
        </w:tc>
        <w:tc>
          <w:tcPr>
            <w:tcW w:w="832" w:type="dxa"/>
            <w:tcBorders>
              <w:left w:val="nil"/>
              <w:right w:val="nil"/>
            </w:tcBorders>
            <w:shd w:val="clear" w:color="auto" w:fill="365F91"/>
            <w:vAlign w:val="center"/>
            <w:hideMark/>
          </w:tcPr>
          <w:p w14:paraId="499B59F2" w14:textId="77777777" w:rsidR="00F02481" w:rsidRPr="00BE78CA" w:rsidRDefault="00F02481" w:rsidP="00C26084">
            <w:pPr>
              <w:pStyle w:val="TableTextBold"/>
              <w:keepNext/>
              <w:spacing w:before="40"/>
              <w:jc w:val="center"/>
              <w:rPr>
                <w:noProof w:val="0"/>
                <w:color w:val="FFFFFF" w:themeColor="background1"/>
                <w:szCs w:val="16"/>
              </w:rPr>
            </w:pPr>
            <w:r w:rsidRPr="00BE78CA">
              <w:rPr>
                <w:noProof w:val="0"/>
                <w:color w:val="FFFFFF" w:themeColor="background1"/>
                <w:szCs w:val="16"/>
              </w:rPr>
              <w:t>Method applied</w:t>
            </w:r>
          </w:p>
        </w:tc>
        <w:tc>
          <w:tcPr>
            <w:tcW w:w="832" w:type="dxa"/>
            <w:tcBorders>
              <w:left w:val="nil"/>
              <w:right w:val="nil"/>
            </w:tcBorders>
            <w:shd w:val="clear" w:color="auto" w:fill="365F91"/>
            <w:vAlign w:val="center"/>
            <w:hideMark/>
          </w:tcPr>
          <w:p w14:paraId="67D6766C" w14:textId="77777777" w:rsidR="00F02481" w:rsidRPr="00BE78CA" w:rsidRDefault="00F02481" w:rsidP="00C26084">
            <w:pPr>
              <w:pStyle w:val="TableTextBold"/>
              <w:keepNext/>
              <w:spacing w:before="40"/>
              <w:jc w:val="center"/>
              <w:rPr>
                <w:noProof w:val="0"/>
                <w:color w:val="FFFFFF" w:themeColor="background1"/>
                <w:szCs w:val="16"/>
              </w:rPr>
            </w:pPr>
            <w:r w:rsidRPr="00BE78CA">
              <w:rPr>
                <w:noProof w:val="0"/>
                <w:color w:val="FFFFFF" w:themeColor="background1"/>
                <w:szCs w:val="16"/>
              </w:rPr>
              <w:t>Emission factor</w:t>
            </w:r>
          </w:p>
        </w:tc>
        <w:tc>
          <w:tcPr>
            <w:tcW w:w="832" w:type="dxa"/>
            <w:tcBorders>
              <w:left w:val="nil"/>
              <w:right w:val="nil"/>
            </w:tcBorders>
            <w:shd w:val="clear" w:color="auto" w:fill="365F91"/>
            <w:vAlign w:val="center"/>
            <w:hideMark/>
          </w:tcPr>
          <w:p w14:paraId="298A0173" w14:textId="77777777" w:rsidR="00F02481" w:rsidRPr="00BE78CA" w:rsidRDefault="00F02481" w:rsidP="00C26084">
            <w:pPr>
              <w:pStyle w:val="TableTextBold"/>
              <w:keepNext/>
              <w:spacing w:before="40"/>
              <w:jc w:val="center"/>
              <w:rPr>
                <w:noProof w:val="0"/>
                <w:color w:val="FFFFFF" w:themeColor="background1"/>
                <w:szCs w:val="16"/>
              </w:rPr>
            </w:pPr>
            <w:r w:rsidRPr="00BE78CA">
              <w:rPr>
                <w:noProof w:val="0"/>
                <w:color w:val="FFFFFF" w:themeColor="background1"/>
                <w:szCs w:val="16"/>
              </w:rPr>
              <w:t>Method applied</w:t>
            </w:r>
          </w:p>
        </w:tc>
        <w:tc>
          <w:tcPr>
            <w:tcW w:w="832" w:type="dxa"/>
            <w:tcBorders>
              <w:left w:val="nil"/>
              <w:right w:val="nil"/>
            </w:tcBorders>
            <w:shd w:val="clear" w:color="auto" w:fill="365F91"/>
            <w:vAlign w:val="center"/>
            <w:hideMark/>
          </w:tcPr>
          <w:p w14:paraId="2E66680E" w14:textId="77777777" w:rsidR="00F02481" w:rsidRPr="00BE78CA" w:rsidRDefault="00F02481" w:rsidP="00C26084">
            <w:pPr>
              <w:pStyle w:val="TableTextBold"/>
              <w:keepNext/>
              <w:spacing w:before="40"/>
              <w:jc w:val="center"/>
              <w:rPr>
                <w:noProof w:val="0"/>
                <w:color w:val="FFFFFF" w:themeColor="background1"/>
                <w:szCs w:val="16"/>
              </w:rPr>
            </w:pPr>
            <w:r w:rsidRPr="00BE78CA">
              <w:rPr>
                <w:noProof w:val="0"/>
                <w:color w:val="FFFFFF" w:themeColor="background1"/>
                <w:szCs w:val="16"/>
              </w:rPr>
              <w:t>Emission factor</w:t>
            </w:r>
          </w:p>
        </w:tc>
      </w:tr>
      <w:tr w:rsidR="00F02481" w:rsidRPr="00BE78CA" w14:paraId="0BFC41C7" w14:textId="77777777" w:rsidTr="00C831A7">
        <w:tc>
          <w:tcPr>
            <w:tcW w:w="325" w:type="dxa"/>
            <w:tcBorders>
              <w:left w:val="nil"/>
              <w:bottom w:val="single" w:sz="4" w:space="0" w:color="365F91"/>
              <w:right w:val="nil"/>
            </w:tcBorders>
            <w:shd w:val="clear" w:color="auto" w:fill="auto"/>
            <w:noWrap/>
            <w:vAlign w:val="center"/>
            <w:hideMark/>
          </w:tcPr>
          <w:p w14:paraId="43FCDE58" w14:textId="77777777" w:rsidR="00F02481" w:rsidRPr="00BE78CA" w:rsidRDefault="00F02481" w:rsidP="00C26084">
            <w:pPr>
              <w:pStyle w:val="TableText"/>
              <w:spacing w:before="40" w:after="40"/>
            </w:pPr>
            <w:r w:rsidRPr="00BE78CA">
              <w:t>A</w:t>
            </w:r>
          </w:p>
        </w:tc>
        <w:tc>
          <w:tcPr>
            <w:tcW w:w="3197" w:type="dxa"/>
            <w:tcBorders>
              <w:left w:val="nil"/>
              <w:bottom w:val="single" w:sz="4" w:space="0" w:color="365F91"/>
              <w:right w:val="nil"/>
            </w:tcBorders>
            <w:shd w:val="clear" w:color="auto" w:fill="auto"/>
            <w:vAlign w:val="center"/>
            <w:hideMark/>
          </w:tcPr>
          <w:p w14:paraId="56EABC18" w14:textId="77777777" w:rsidR="00F02481" w:rsidRPr="00BE78CA" w:rsidRDefault="00F02481" w:rsidP="00C26084">
            <w:pPr>
              <w:pStyle w:val="TableText"/>
              <w:spacing w:before="40" w:after="40"/>
            </w:pPr>
            <w:r w:rsidRPr="00BE78CA">
              <w:t>Enteric Fermentation</w:t>
            </w:r>
          </w:p>
        </w:tc>
        <w:tc>
          <w:tcPr>
            <w:tcW w:w="832" w:type="dxa"/>
            <w:tcBorders>
              <w:left w:val="nil"/>
              <w:bottom w:val="single" w:sz="4" w:space="0" w:color="365F91"/>
              <w:right w:val="nil"/>
            </w:tcBorders>
            <w:shd w:val="clear" w:color="auto" w:fill="auto"/>
            <w:noWrap/>
            <w:vAlign w:val="center"/>
            <w:hideMark/>
          </w:tcPr>
          <w:p w14:paraId="063ED4AA" w14:textId="77777777" w:rsidR="00F02481" w:rsidRPr="00BE78CA" w:rsidRDefault="00F02481" w:rsidP="00C26084">
            <w:pPr>
              <w:pStyle w:val="TableText"/>
              <w:spacing w:before="40" w:after="40"/>
              <w:jc w:val="center"/>
            </w:pPr>
            <w:r w:rsidRPr="00BE78CA">
              <w:t>–</w:t>
            </w:r>
          </w:p>
        </w:tc>
        <w:tc>
          <w:tcPr>
            <w:tcW w:w="832" w:type="dxa"/>
            <w:tcBorders>
              <w:left w:val="nil"/>
              <w:bottom w:val="single" w:sz="4" w:space="0" w:color="365F91"/>
              <w:right w:val="nil"/>
            </w:tcBorders>
            <w:shd w:val="clear" w:color="auto" w:fill="auto"/>
            <w:noWrap/>
            <w:vAlign w:val="center"/>
            <w:hideMark/>
          </w:tcPr>
          <w:p w14:paraId="33713F79" w14:textId="77777777" w:rsidR="00F02481" w:rsidRPr="00BE78CA" w:rsidRDefault="00F02481" w:rsidP="00C26084">
            <w:pPr>
              <w:pStyle w:val="TableText"/>
              <w:spacing w:before="40" w:after="40"/>
              <w:jc w:val="center"/>
            </w:pPr>
            <w:r w:rsidRPr="00BE78CA">
              <w:t>–</w:t>
            </w:r>
          </w:p>
        </w:tc>
        <w:tc>
          <w:tcPr>
            <w:tcW w:w="832" w:type="dxa"/>
            <w:tcBorders>
              <w:left w:val="nil"/>
              <w:bottom w:val="single" w:sz="4" w:space="0" w:color="365F91"/>
              <w:right w:val="nil"/>
            </w:tcBorders>
            <w:shd w:val="clear" w:color="auto" w:fill="auto"/>
            <w:noWrap/>
            <w:vAlign w:val="center"/>
            <w:hideMark/>
          </w:tcPr>
          <w:p w14:paraId="1A9CC3E6" w14:textId="77777777" w:rsidR="00F02481" w:rsidRPr="00BE78CA" w:rsidRDefault="00F02481" w:rsidP="00C26084">
            <w:pPr>
              <w:pStyle w:val="TableText"/>
              <w:spacing w:before="40" w:after="40"/>
              <w:jc w:val="center"/>
            </w:pPr>
            <w:r w:rsidRPr="00BE78CA">
              <w:t>–</w:t>
            </w:r>
          </w:p>
        </w:tc>
        <w:tc>
          <w:tcPr>
            <w:tcW w:w="832" w:type="dxa"/>
            <w:tcBorders>
              <w:left w:val="nil"/>
              <w:bottom w:val="single" w:sz="4" w:space="0" w:color="365F91"/>
              <w:right w:val="nil"/>
            </w:tcBorders>
            <w:shd w:val="clear" w:color="auto" w:fill="auto"/>
            <w:noWrap/>
            <w:vAlign w:val="center"/>
            <w:hideMark/>
          </w:tcPr>
          <w:p w14:paraId="0B141836" w14:textId="77777777" w:rsidR="00F02481" w:rsidRPr="00BE78CA" w:rsidRDefault="00F02481" w:rsidP="00C26084">
            <w:pPr>
              <w:pStyle w:val="TableText"/>
              <w:spacing w:before="40" w:after="40"/>
              <w:jc w:val="center"/>
            </w:pPr>
            <w:r w:rsidRPr="00BE78CA">
              <w:t>–</w:t>
            </w:r>
          </w:p>
        </w:tc>
        <w:tc>
          <w:tcPr>
            <w:tcW w:w="832" w:type="dxa"/>
            <w:tcBorders>
              <w:left w:val="nil"/>
              <w:bottom w:val="single" w:sz="4" w:space="0" w:color="365F91"/>
              <w:right w:val="nil"/>
            </w:tcBorders>
            <w:shd w:val="clear" w:color="auto" w:fill="auto"/>
            <w:noWrap/>
            <w:vAlign w:val="center"/>
            <w:hideMark/>
          </w:tcPr>
          <w:p w14:paraId="1CF1984D" w14:textId="77777777" w:rsidR="00F02481" w:rsidRPr="00BE78CA" w:rsidRDefault="00F02481" w:rsidP="00C26084">
            <w:pPr>
              <w:pStyle w:val="TableText"/>
              <w:spacing w:before="40" w:after="40"/>
              <w:jc w:val="center"/>
            </w:pPr>
            <w:r w:rsidRPr="00BE78CA">
              <w:t>–</w:t>
            </w:r>
          </w:p>
        </w:tc>
        <w:tc>
          <w:tcPr>
            <w:tcW w:w="832" w:type="dxa"/>
            <w:tcBorders>
              <w:left w:val="nil"/>
              <w:bottom w:val="single" w:sz="4" w:space="0" w:color="365F91"/>
              <w:right w:val="nil"/>
            </w:tcBorders>
            <w:shd w:val="clear" w:color="auto" w:fill="auto"/>
            <w:noWrap/>
            <w:vAlign w:val="center"/>
            <w:hideMark/>
          </w:tcPr>
          <w:p w14:paraId="7B6C7CCA" w14:textId="77777777" w:rsidR="00F02481" w:rsidRPr="00BE78CA" w:rsidRDefault="00F02481" w:rsidP="00C26084">
            <w:pPr>
              <w:pStyle w:val="TableText"/>
              <w:spacing w:before="40" w:after="40"/>
              <w:jc w:val="center"/>
            </w:pPr>
            <w:r w:rsidRPr="00BE78CA">
              <w:t>–</w:t>
            </w:r>
          </w:p>
        </w:tc>
      </w:tr>
      <w:tr w:rsidR="00F02481" w:rsidRPr="00BE78CA" w14:paraId="2AF1F584" w14:textId="77777777" w:rsidTr="006613CB">
        <w:tc>
          <w:tcPr>
            <w:tcW w:w="325" w:type="dxa"/>
            <w:vMerge w:val="restart"/>
            <w:tcBorders>
              <w:top w:val="single" w:sz="4" w:space="0" w:color="365F91"/>
              <w:left w:val="nil"/>
              <w:bottom w:val="single" w:sz="8" w:space="0" w:color="365F91"/>
              <w:right w:val="nil"/>
            </w:tcBorders>
            <w:shd w:val="clear" w:color="auto" w:fill="auto"/>
            <w:noWrap/>
            <w:vAlign w:val="center"/>
            <w:hideMark/>
          </w:tcPr>
          <w:p w14:paraId="67743473" w14:textId="77777777" w:rsidR="00F02481" w:rsidRPr="00BE78CA" w:rsidRDefault="00F02481" w:rsidP="00C26084">
            <w:pPr>
              <w:pStyle w:val="TableText"/>
              <w:spacing w:before="40" w:after="40"/>
              <w:rPr>
                <w:rFonts w:cs="Calibri"/>
                <w:szCs w:val="16"/>
              </w:rPr>
            </w:pPr>
            <w:r w:rsidRPr="00BE78CA">
              <w:rPr>
                <w:rFonts w:cs="Calibri"/>
                <w:szCs w:val="16"/>
              </w:rPr>
              <w:t>1</w:t>
            </w:r>
          </w:p>
        </w:tc>
        <w:tc>
          <w:tcPr>
            <w:tcW w:w="3197" w:type="dxa"/>
            <w:tcBorders>
              <w:top w:val="single" w:sz="4" w:space="0" w:color="365F91"/>
              <w:left w:val="nil"/>
              <w:bottom w:val="nil"/>
              <w:right w:val="nil"/>
            </w:tcBorders>
            <w:shd w:val="clear" w:color="auto" w:fill="auto"/>
            <w:vAlign w:val="center"/>
            <w:hideMark/>
          </w:tcPr>
          <w:p w14:paraId="700D12B7" w14:textId="77777777" w:rsidR="00F02481" w:rsidRPr="00BE78CA" w:rsidRDefault="00F02481" w:rsidP="00C26084">
            <w:pPr>
              <w:pStyle w:val="TableText"/>
              <w:spacing w:before="40" w:after="40"/>
              <w:rPr>
                <w:rFonts w:cs="Calibri"/>
                <w:szCs w:val="16"/>
              </w:rPr>
            </w:pPr>
            <w:r w:rsidRPr="00BE78CA">
              <w:rPr>
                <w:rFonts w:cs="Calibri"/>
                <w:szCs w:val="16"/>
              </w:rPr>
              <w:t>Cattle</w:t>
            </w:r>
          </w:p>
        </w:tc>
        <w:tc>
          <w:tcPr>
            <w:tcW w:w="832" w:type="dxa"/>
            <w:tcBorders>
              <w:top w:val="single" w:sz="4" w:space="0" w:color="365F91"/>
              <w:left w:val="nil"/>
              <w:bottom w:val="nil"/>
              <w:right w:val="nil"/>
            </w:tcBorders>
            <w:shd w:val="clear" w:color="auto" w:fill="auto"/>
            <w:noWrap/>
            <w:vAlign w:val="center"/>
            <w:hideMark/>
          </w:tcPr>
          <w:p w14:paraId="4093E8BF" w14:textId="77777777" w:rsidR="00F02481" w:rsidRPr="00BE78CA" w:rsidRDefault="00F02481" w:rsidP="00C26084">
            <w:pPr>
              <w:pStyle w:val="TableText"/>
              <w:spacing w:before="40" w:after="40"/>
              <w:jc w:val="center"/>
              <w:rPr>
                <w:rFonts w:cs="Calibri"/>
                <w:color w:val="FFFFFF"/>
                <w:szCs w:val="16"/>
              </w:rPr>
            </w:pPr>
            <w:r w:rsidRPr="00BE78CA">
              <w:rPr>
                <w:rFonts w:cs="Calibri"/>
                <w:color w:val="FFFFFF"/>
                <w:szCs w:val="16"/>
              </w:rPr>
              <w:t>-</w:t>
            </w:r>
          </w:p>
        </w:tc>
        <w:tc>
          <w:tcPr>
            <w:tcW w:w="832" w:type="dxa"/>
            <w:tcBorders>
              <w:top w:val="single" w:sz="4" w:space="0" w:color="365F91"/>
              <w:left w:val="nil"/>
              <w:bottom w:val="nil"/>
              <w:right w:val="nil"/>
            </w:tcBorders>
            <w:shd w:val="clear" w:color="auto" w:fill="auto"/>
            <w:noWrap/>
            <w:vAlign w:val="center"/>
            <w:hideMark/>
          </w:tcPr>
          <w:p w14:paraId="0554C161" w14:textId="77777777" w:rsidR="00F02481" w:rsidRPr="00BE78CA" w:rsidRDefault="00F02481" w:rsidP="00C26084">
            <w:pPr>
              <w:pStyle w:val="TableText"/>
              <w:spacing w:before="40" w:after="40"/>
              <w:jc w:val="center"/>
              <w:rPr>
                <w:rFonts w:cs="Calibri"/>
                <w:color w:val="FFFFFF"/>
                <w:szCs w:val="16"/>
              </w:rPr>
            </w:pPr>
            <w:r w:rsidRPr="00BE78CA">
              <w:rPr>
                <w:rFonts w:cs="Calibri"/>
                <w:color w:val="FFFFFF"/>
                <w:szCs w:val="16"/>
              </w:rPr>
              <w:t>-</w:t>
            </w:r>
          </w:p>
        </w:tc>
        <w:tc>
          <w:tcPr>
            <w:tcW w:w="832" w:type="dxa"/>
            <w:tcBorders>
              <w:top w:val="single" w:sz="4" w:space="0" w:color="365F91"/>
              <w:left w:val="nil"/>
              <w:bottom w:val="nil"/>
              <w:right w:val="nil"/>
            </w:tcBorders>
            <w:shd w:val="clear" w:color="auto" w:fill="auto"/>
            <w:vAlign w:val="center"/>
            <w:hideMark/>
          </w:tcPr>
          <w:p w14:paraId="1F8B5F7C" w14:textId="77777777" w:rsidR="00F02481" w:rsidRPr="00BE78CA" w:rsidRDefault="00F02481" w:rsidP="00C26084">
            <w:pPr>
              <w:pStyle w:val="TableText"/>
              <w:spacing w:before="40" w:after="40"/>
              <w:jc w:val="center"/>
              <w:rPr>
                <w:rFonts w:cs="Calibri"/>
                <w:color w:val="FFFFFF"/>
                <w:szCs w:val="16"/>
              </w:rPr>
            </w:pPr>
            <w:r w:rsidRPr="00BE78CA">
              <w:rPr>
                <w:rFonts w:cs="Calibri"/>
                <w:color w:val="FFFFFF"/>
                <w:szCs w:val="16"/>
              </w:rPr>
              <w:t>-</w:t>
            </w:r>
          </w:p>
        </w:tc>
        <w:tc>
          <w:tcPr>
            <w:tcW w:w="832" w:type="dxa"/>
            <w:tcBorders>
              <w:top w:val="single" w:sz="4" w:space="0" w:color="365F91"/>
              <w:left w:val="nil"/>
              <w:bottom w:val="nil"/>
              <w:right w:val="nil"/>
            </w:tcBorders>
            <w:shd w:val="clear" w:color="auto" w:fill="auto"/>
            <w:noWrap/>
            <w:vAlign w:val="center"/>
            <w:hideMark/>
          </w:tcPr>
          <w:p w14:paraId="40DAE932" w14:textId="77777777" w:rsidR="00F02481" w:rsidRPr="00BE78CA" w:rsidRDefault="00F02481" w:rsidP="00C26084">
            <w:pPr>
              <w:pStyle w:val="TableText"/>
              <w:spacing w:before="40" w:after="40"/>
              <w:jc w:val="center"/>
              <w:rPr>
                <w:rFonts w:cs="Calibri"/>
                <w:color w:val="FFFFFF"/>
                <w:szCs w:val="16"/>
              </w:rPr>
            </w:pPr>
            <w:r w:rsidRPr="00BE78CA">
              <w:rPr>
                <w:rFonts w:cs="Calibri"/>
                <w:color w:val="FFFFFF"/>
                <w:szCs w:val="16"/>
              </w:rPr>
              <w:t>-</w:t>
            </w:r>
          </w:p>
        </w:tc>
        <w:tc>
          <w:tcPr>
            <w:tcW w:w="832" w:type="dxa"/>
            <w:tcBorders>
              <w:top w:val="single" w:sz="4" w:space="0" w:color="365F91"/>
              <w:left w:val="nil"/>
              <w:bottom w:val="nil"/>
              <w:right w:val="nil"/>
            </w:tcBorders>
            <w:shd w:val="clear" w:color="auto" w:fill="auto"/>
            <w:noWrap/>
            <w:vAlign w:val="center"/>
            <w:hideMark/>
          </w:tcPr>
          <w:p w14:paraId="2930F224" w14:textId="77777777" w:rsidR="00F02481" w:rsidRPr="00BE78CA" w:rsidRDefault="00F02481" w:rsidP="00C26084">
            <w:pPr>
              <w:pStyle w:val="TableText"/>
              <w:spacing w:before="40" w:after="40"/>
              <w:jc w:val="center"/>
              <w:rPr>
                <w:rFonts w:cs="Calibri"/>
                <w:color w:val="FFFFFF"/>
                <w:szCs w:val="16"/>
              </w:rPr>
            </w:pPr>
            <w:r w:rsidRPr="00BE78CA">
              <w:rPr>
                <w:rFonts w:cs="Calibri"/>
                <w:color w:val="FFFFFF"/>
                <w:szCs w:val="16"/>
              </w:rPr>
              <w:t>-</w:t>
            </w:r>
          </w:p>
        </w:tc>
        <w:tc>
          <w:tcPr>
            <w:tcW w:w="832" w:type="dxa"/>
            <w:tcBorders>
              <w:top w:val="single" w:sz="4" w:space="0" w:color="365F91"/>
              <w:left w:val="nil"/>
              <w:bottom w:val="nil"/>
              <w:right w:val="nil"/>
            </w:tcBorders>
            <w:shd w:val="clear" w:color="auto" w:fill="auto"/>
            <w:vAlign w:val="center"/>
            <w:hideMark/>
          </w:tcPr>
          <w:p w14:paraId="55C613C9" w14:textId="77777777" w:rsidR="00F02481" w:rsidRPr="00BE78CA" w:rsidRDefault="00F02481" w:rsidP="00C26084">
            <w:pPr>
              <w:pStyle w:val="TableText"/>
              <w:spacing w:before="40" w:after="40"/>
              <w:jc w:val="center"/>
              <w:rPr>
                <w:rFonts w:cs="Calibri"/>
                <w:color w:val="FFFFFF"/>
                <w:szCs w:val="16"/>
              </w:rPr>
            </w:pPr>
            <w:r w:rsidRPr="00BE78CA">
              <w:rPr>
                <w:rFonts w:cs="Calibri"/>
                <w:color w:val="FFFFFF"/>
                <w:szCs w:val="16"/>
              </w:rPr>
              <w:t>-</w:t>
            </w:r>
          </w:p>
        </w:tc>
      </w:tr>
      <w:tr w:rsidR="00F02481" w:rsidRPr="00BE78CA" w14:paraId="7465C56F" w14:textId="77777777" w:rsidTr="006613CB">
        <w:tc>
          <w:tcPr>
            <w:tcW w:w="325" w:type="dxa"/>
            <w:vMerge/>
            <w:tcBorders>
              <w:top w:val="nil"/>
              <w:left w:val="nil"/>
              <w:bottom w:val="single" w:sz="8" w:space="0" w:color="365F91"/>
              <w:right w:val="nil"/>
            </w:tcBorders>
            <w:vAlign w:val="center"/>
            <w:hideMark/>
          </w:tcPr>
          <w:p w14:paraId="1F648739" w14:textId="77777777" w:rsidR="00F02481" w:rsidRPr="00BE78CA" w:rsidRDefault="00F02481" w:rsidP="00C26084">
            <w:pPr>
              <w:pStyle w:val="TableText"/>
              <w:spacing w:before="40" w:after="40"/>
              <w:rPr>
                <w:rFonts w:cs="Calibri"/>
                <w:szCs w:val="16"/>
              </w:rPr>
            </w:pPr>
          </w:p>
        </w:tc>
        <w:tc>
          <w:tcPr>
            <w:tcW w:w="3197" w:type="dxa"/>
            <w:tcBorders>
              <w:top w:val="nil"/>
              <w:left w:val="nil"/>
              <w:bottom w:val="nil"/>
              <w:right w:val="nil"/>
            </w:tcBorders>
            <w:shd w:val="clear" w:color="auto" w:fill="auto"/>
            <w:vAlign w:val="center"/>
            <w:hideMark/>
          </w:tcPr>
          <w:p w14:paraId="6EA44702" w14:textId="77777777" w:rsidR="00F02481" w:rsidRPr="00BE78CA" w:rsidRDefault="00F02481" w:rsidP="00C26084">
            <w:pPr>
              <w:pStyle w:val="TableText"/>
              <w:spacing w:before="40" w:after="40"/>
              <w:rPr>
                <w:rFonts w:cs="Calibri"/>
                <w:szCs w:val="16"/>
              </w:rPr>
            </w:pPr>
            <w:r w:rsidRPr="00BE78CA">
              <w:rPr>
                <w:rFonts w:cs="Calibri"/>
                <w:szCs w:val="16"/>
              </w:rPr>
              <w:t>Dairy Cattle</w:t>
            </w:r>
          </w:p>
        </w:tc>
        <w:tc>
          <w:tcPr>
            <w:tcW w:w="832" w:type="dxa"/>
            <w:tcBorders>
              <w:top w:val="nil"/>
              <w:left w:val="nil"/>
              <w:bottom w:val="nil"/>
              <w:right w:val="nil"/>
            </w:tcBorders>
            <w:shd w:val="clear" w:color="auto" w:fill="auto"/>
            <w:noWrap/>
            <w:vAlign w:val="center"/>
            <w:hideMark/>
          </w:tcPr>
          <w:p w14:paraId="2F45057F" w14:textId="77777777" w:rsidR="00F02481" w:rsidRPr="00BE78CA" w:rsidRDefault="00F02481" w:rsidP="00C26084">
            <w:pPr>
              <w:pStyle w:val="TableText"/>
              <w:spacing w:before="40" w:after="40"/>
              <w:jc w:val="center"/>
              <w:rPr>
                <w:rFonts w:cs="Calibri"/>
                <w:szCs w:val="16"/>
              </w:rPr>
            </w:pPr>
            <w:r w:rsidRPr="00BE78CA">
              <w:rPr>
                <w:rFonts w:cs="Calibri"/>
                <w:szCs w:val="16"/>
              </w:rPr>
              <w:t>T2</w:t>
            </w:r>
          </w:p>
        </w:tc>
        <w:tc>
          <w:tcPr>
            <w:tcW w:w="832" w:type="dxa"/>
            <w:tcBorders>
              <w:top w:val="nil"/>
              <w:left w:val="nil"/>
              <w:bottom w:val="nil"/>
              <w:right w:val="nil"/>
            </w:tcBorders>
            <w:shd w:val="clear" w:color="auto" w:fill="auto"/>
            <w:noWrap/>
            <w:vAlign w:val="center"/>
            <w:hideMark/>
          </w:tcPr>
          <w:p w14:paraId="05F0B707" w14:textId="77777777" w:rsidR="00F02481" w:rsidRPr="00BE78CA" w:rsidRDefault="00F02481" w:rsidP="00C26084">
            <w:pPr>
              <w:pStyle w:val="TableText"/>
              <w:spacing w:before="40" w:after="40"/>
              <w:jc w:val="center"/>
              <w:rPr>
                <w:rFonts w:cs="Calibri"/>
                <w:szCs w:val="16"/>
              </w:rPr>
            </w:pPr>
            <w:r w:rsidRPr="00BE78CA">
              <w:rPr>
                <w:rFonts w:cs="Calibri"/>
                <w:szCs w:val="16"/>
              </w:rPr>
              <w:t>CS</w:t>
            </w:r>
          </w:p>
        </w:tc>
        <w:tc>
          <w:tcPr>
            <w:tcW w:w="832" w:type="dxa"/>
            <w:tcBorders>
              <w:top w:val="nil"/>
              <w:left w:val="nil"/>
              <w:bottom w:val="nil"/>
              <w:right w:val="nil"/>
            </w:tcBorders>
            <w:shd w:val="clear" w:color="auto" w:fill="auto"/>
            <w:vAlign w:val="center"/>
            <w:hideMark/>
          </w:tcPr>
          <w:p w14:paraId="7EAA2B81" w14:textId="77777777" w:rsidR="00F02481" w:rsidRPr="00BE78CA" w:rsidRDefault="00F02481" w:rsidP="00C26084">
            <w:pPr>
              <w:pStyle w:val="TableText"/>
              <w:spacing w:before="40" w:after="40"/>
              <w:jc w:val="center"/>
              <w:rPr>
                <w:rFonts w:cs="Calibri"/>
                <w:color w:val="FFFFFF"/>
                <w:szCs w:val="16"/>
              </w:rPr>
            </w:pPr>
            <w:r w:rsidRPr="00BE78CA">
              <w:rPr>
                <w:rFonts w:cs="Calibri"/>
                <w:color w:val="FFFFFF"/>
                <w:szCs w:val="16"/>
              </w:rPr>
              <w:t>-</w:t>
            </w:r>
          </w:p>
        </w:tc>
        <w:tc>
          <w:tcPr>
            <w:tcW w:w="832" w:type="dxa"/>
            <w:tcBorders>
              <w:top w:val="nil"/>
              <w:left w:val="nil"/>
              <w:bottom w:val="nil"/>
              <w:right w:val="nil"/>
            </w:tcBorders>
            <w:shd w:val="clear" w:color="auto" w:fill="auto"/>
            <w:noWrap/>
            <w:vAlign w:val="center"/>
            <w:hideMark/>
          </w:tcPr>
          <w:p w14:paraId="6153FB42" w14:textId="77777777" w:rsidR="00F02481" w:rsidRPr="00BE78CA" w:rsidRDefault="00F02481" w:rsidP="00C26084">
            <w:pPr>
              <w:pStyle w:val="TableText"/>
              <w:spacing w:before="40" w:after="40"/>
              <w:jc w:val="center"/>
              <w:rPr>
                <w:rFonts w:cs="Calibri"/>
                <w:color w:val="FFFFFF"/>
                <w:szCs w:val="16"/>
              </w:rPr>
            </w:pPr>
            <w:r w:rsidRPr="00BE78CA">
              <w:rPr>
                <w:rFonts w:cs="Calibri"/>
                <w:color w:val="FFFFFF"/>
                <w:szCs w:val="16"/>
              </w:rPr>
              <w:t>-</w:t>
            </w:r>
          </w:p>
        </w:tc>
        <w:tc>
          <w:tcPr>
            <w:tcW w:w="832" w:type="dxa"/>
            <w:tcBorders>
              <w:top w:val="nil"/>
              <w:left w:val="nil"/>
              <w:bottom w:val="nil"/>
              <w:right w:val="nil"/>
            </w:tcBorders>
            <w:shd w:val="clear" w:color="auto" w:fill="auto"/>
            <w:noWrap/>
            <w:vAlign w:val="center"/>
            <w:hideMark/>
          </w:tcPr>
          <w:p w14:paraId="6DDAF581" w14:textId="77777777" w:rsidR="00F02481" w:rsidRPr="00BE78CA" w:rsidRDefault="00F02481" w:rsidP="00C26084">
            <w:pPr>
              <w:pStyle w:val="TableText"/>
              <w:spacing w:before="40" w:after="40"/>
              <w:jc w:val="center"/>
              <w:rPr>
                <w:rFonts w:cs="Calibri"/>
                <w:color w:val="FFFFFF"/>
                <w:szCs w:val="16"/>
              </w:rPr>
            </w:pPr>
            <w:r w:rsidRPr="00BE78CA">
              <w:rPr>
                <w:rFonts w:cs="Calibri"/>
                <w:color w:val="FFFFFF"/>
                <w:szCs w:val="16"/>
              </w:rPr>
              <w:t>-</w:t>
            </w:r>
          </w:p>
        </w:tc>
        <w:tc>
          <w:tcPr>
            <w:tcW w:w="832" w:type="dxa"/>
            <w:tcBorders>
              <w:top w:val="nil"/>
              <w:left w:val="nil"/>
              <w:bottom w:val="nil"/>
              <w:right w:val="nil"/>
            </w:tcBorders>
            <w:shd w:val="clear" w:color="auto" w:fill="auto"/>
            <w:vAlign w:val="center"/>
            <w:hideMark/>
          </w:tcPr>
          <w:p w14:paraId="0409509A" w14:textId="77777777" w:rsidR="00F02481" w:rsidRPr="00BE78CA" w:rsidRDefault="00F02481" w:rsidP="00C26084">
            <w:pPr>
              <w:pStyle w:val="TableText"/>
              <w:spacing w:before="40" w:after="40"/>
              <w:jc w:val="center"/>
              <w:rPr>
                <w:rFonts w:cs="Calibri"/>
                <w:color w:val="FFFFFF"/>
                <w:szCs w:val="16"/>
              </w:rPr>
            </w:pPr>
            <w:r w:rsidRPr="00BE78CA">
              <w:rPr>
                <w:rFonts w:cs="Calibri"/>
                <w:color w:val="FFFFFF"/>
                <w:szCs w:val="16"/>
              </w:rPr>
              <w:t>-</w:t>
            </w:r>
          </w:p>
        </w:tc>
      </w:tr>
      <w:tr w:rsidR="00F02481" w:rsidRPr="00BE78CA" w14:paraId="4D8BEC2F" w14:textId="77777777" w:rsidTr="006613CB">
        <w:tc>
          <w:tcPr>
            <w:tcW w:w="325" w:type="dxa"/>
            <w:vMerge/>
            <w:tcBorders>
              <w:top w:val="nil"/>
              <w:left w:val="nil"/>
              <w:bottom w:val="single" w:sz="4" w:space="0" w:color="365F91"/>
              <w:right w:val="nil"/>
            </w:tcBorders>
            <w:vAlign w:val="center"/>
            <w:hideMark/>
          </w:tcPr>
          <w:p w14:paraId="7F543AF1" w14:textId="77777777" w:rsidR="00F02481" w:rsidRPr="00BE78CA" w:rsidRDefault="00F02481" w:rsidP="00C26084">
            <w:pPr>
              <w:pStyle w:val="TableText"/>
              <w:spacing w:before="40" w:after="40"/>
              <w:rPr>
                <w:rFonts w:cs="Calibri"/>
                <w:szCs w:val="16"/>
              </w:rPr>
            </w:pPr>
          </w:p>
        </w:tc>
        <w:tc>
          <w:tcPr>
            <w:tcW w:w="3197" w:type="dxa"/>
            <w:tcBorders>
              <w:top w:val="nil"/>
              <w:left w:val="nil"/>
              <w:bottom w:val="single" w:sz="4" w:space="0" w:color="365F91"/>
              <w:right w:val="nil"/>
            </w:tcBorders>
            <w:shd w:val="clear" w:color="auto" w:fill="auto"/>
            <w:vAlign w:val="center"/>
            <w:hideMark/>
          </w:tcPr>
          <w:p w14:paraId="5D66270F" w14:textId="57DC9992" w:rsidR="00F02481" w:rsidRPr="00BE78CA" w:rsidRDefault="00F02481" w:rsidP="00C26084">
            <w:pPr>
              <w:pStyle w:val="TableText"/>
              <w:spacing w:before="40" w:after="40"/>
              <w:rPr>
                <w:rFonts w:cs="Calibri"/>
                <w:szCs w:val="16"/>
              </w:rPr>
            </w:pPr>
            <w:r w:rsidRPr="00BE78CA">
              <w:rPr>
                <w:rFonts w:cs="Calibri"/>
                <w:szCs w:val="16"/>
              </w:rPr>
              <w:t>Non-</w:t>
            </w:r>
            <w:r w:rsidR="003C54BF" w:rsidRPr="00BE78CA">
              <w:rPr>
                <w:rFonts w:cs="Calibri"/>
                <w:szCs w:val="16"/>
              </w:rPr>
              <w:t>D</w:t>
            </w:r>
            <w:r w:rsidRPr="00BE78CA">
              <w:rPr>
                <w:rFonts w:cs="Calibri"/>
                <w:szCs w:val="16"/>
              </w:rPr>
              <w:t xml:space="preserve">airy </w:t>
            </w:r>
            <w:r w:rsidRPr="00BE78CA">
              <w:rPr>
                <w:rFonts w:cs="Calibri"/>
                <w:i/>
                <w:iCs/>
                <w:szCs w:val="16"/>
              </w:rPr>
              <w:t xml:space="preserve">(Beef) </w:t>
            </w:r>
            <w:r w:rsidRPr="00BE78CA">
              <w:rPr>
                <w:rFonts w:cs="Calibri"/>
                <w:szCs w:val="16"/>
              </w:rPr>
              <w:t>Cattle</w:t>
            </w:r>
          </w:p>
        </w:tc>
        <w:tc>
          <w:tcPr>
            <w:tcW w:w="832" w:type="dxa"/>
            <w:tcBorders>
              <w:top w:val="nil"/>
              <w:left w:val="nil"/>
              <w:bottom w:val="single" w:sz="4" w:space="0" w:color="365F91"/>
              <w:right w:val="nil"/>
            </w:tcBorders>
            <w:shd w:val="clear" w:color="auto" w:fill="auto"/>
            <w:noWrap/>
            <w:vAlign w:val="center"/>
            <w:hideMark/>
          </w:tcPr>
          <w:p w14:paraId="32F55FDD" w14:textId="77777777" w:rsidR="00F02481" w:rsidRPr="00BE78CA" w:rsidRDefault="00F02481" w:rsidP="00C26084">
            <w:pPr>
              <w:pStyle w:val="TableText"/>
              <w:spacing w:before="40" w:after="40"/>
              <w:jc w:val="center"/>
              <w:rPr>
                <w:rFonts w:cs="Calibri"/>
                <w:szCs w:val="16"/>
              </w:rPr>
            </w:pPr>
            <w:r w:rsidRPr="00BE78CA">
              <w:rPr>
                <w:rFonts w:cs="Calibri"/>
                <w:szCs w:val="16"/>
              </w:rPr>
              <w:t>T2</w:t>
            </w:r>
          </w:p>
        </w:tc>
        <w:tc>
          <w:tcPr>
            <w:tcW w:w="832" w:type="dxa"/>
            <w:tcBorders>
              <w:top w:val="nil"/>
              <w:left w:val="nil"/>
              <w:bottom w:val="single" w:sz="4" w:space="0" w:color="365F91"/>
              <w:right w:val="nil"/>
            </w:tcBorders>
            <w:shd w:val="clear" w:color="auto" w:fill="auto"/>
            <w:noWrap/>
            <w:vAlign w:val="center"/>
            <w:hideMark/>
          </w:tcPr>
          <w:p w14:paraId="0A6B6CF7" w14:textId="77777777" w:rsidR="00F02481" w:rsidRPr="00BE78CA" w:rsidRDefault="00F02481" w:rsidP="00C26084">
            <w:pPr>
              <w:pStyle w:val="TableText"/>
              <w:spacing w:before="40" w:after="40"/>
              <w:jc w:val="center"/>
              <w:rPr>
                <w:rFonts w:cs="Calibri"/>
                <w:szCs w:val="16"/>
              </w:rPr>
            </w:pPr>
            <w:r w:rsidRPr="00BE78CA">
              <w:rPr>
                <w:rFonts w:cs="Calibri"/>
                <w:szCs w:val="16"/>
              </w:rPr>
              <w:t>CS</w:t>
            </w:r>
          </w:p>
        </w:tc>
        <w:tc>
          <w:tcPr>
            <w:tcW w:w="832" w:type="dxa"/>
            <w:tcBorders>
              <w:top w:val="nil"/>
              <w:left w:val="nil"/>
              <w:bottom w:val="single" w:sz="4" w:space="0" w:color="365F91"/>
              <w:right w:val="nil"/>
            </w:tcBorders>
            <w:shd w:val="clear" w:color="auto" w:fill="auto"/>
            <w:vAlign w:val="center"/>
            <w:hideMark/>
          </w:tcPr>
          <w:p w14:paraId="564004BD" w14:textId="77777777" w:rsidR="00F02481" w:rsidRPr="00BE78CA" w:rsidRDefault="00F02481" w:rsidP="00C26084">
            <w:pPr>
              <w:pStyle w:val="TableText"/>
              <w:spacing w:before="40" w:after="40"/>
              <w:jc w:val="center"/>
              <w:rPr>
                <w:rFonts w:cs="Calibri"/>
                <w:color w:val="FFFFFF"/>
                <w:szCs w:val="16"/>
              </w:rPr>
            </w:pPr>
            <w:r w:rsidRPr="00BE78CA">
              <w:rPr>
                <w:rFonts w:cs="Calibri"/>
                <w:color w:val="FFFFFF"/>
                <w:szCs w:val="16"/>
              </w:rPr>
              <w:t>-</w:t>
            </w:r>
          </w:p>
        </w:tc>
        <w:tc>
          <w:tcPr>
            <w:tcW w:w="832" w:type="dxa"/>
            <w:tcBorders>
              <w:top w:val="nil"/>
              <w:left w:val="nil"/>
              <w:bottom w:val="single" w:sz="4" w:space="0" w:color="365F91"/>
              <w:right w:val="nil"/>
            </w:tcBorders>
            <w:shd w:val="clear" w:color="auto" w:fill="auto"/>
            <w:noWrap/>
            <w:vAlign w:val="center"/>
            <w:hideMark/>
          </w:tcPr>
          <w:p w14:paraId="7102ABA9" w14:textId="77777777" w:rsidR="00F02481" w:rsidRPr="00BE78CA" w:rsidRDefault="00F02481" w:rsidP="00C26084">
            <w:pPr>
              <w:pStyle w:val="TableText"/>
              <w:spacing w:before="40" w:after="40"/>
              <w:jc w:val="center"/>
              <w:rPr>
                <w:rFonts w:cs="Calibri"/>
                <w:color w:val="FFFFFF"/>
                <w:szCs w:val="16"/>
              </w:rPr>
            </w:pPr>
            <w:r w:rsidRPr="00BE78CA">
              <w:rPr>
                <w:rFonts w:cs="Calibri"/>
                <w:color w:val="FFFFFF"/>
                <w:szCs w:val="16"/>
              </w:rPr>
              <w:t>-</w:t>
            </w:r>
          </w:p>
        </w:tc>
        <w:tc>
          <w:tcPr>
            <w:tcW w:w="832" w:type="dxa"/>
            <w:tcBorders>
              <w:top w:val="nil"/>
              <w:left w:val="nil"/>
              <w:bottom w:val="single" w:sz="4" w:space="0" w:color="365F91"/>
              <w:right w:val="nil"/>
            </w:tcBorders>
            <w:shd w:val="clear" w:color="auto" w:fill="auto"/>
            <w:noWrap/>
            <w:vAlign w:val="center"/>
            <w:hideMark/>
          </w:tcPr>
          <w:p w14:paraId="0E806CE8" w14:textId="77777777" w:rsidR="00F02481" w:rsidRPr="00BE78CA" w:rsidRDefault="00F02481" w:rsidP="00C26084">
            <w:pPr>
              <w:pStyle w:val="TableText"/>
              <w:spacing w:before="40" w:after="40"/>
              <w:jc w:val="center"/>
              <w:rPr>
                <w:rFonts w:cs="Calibri"/>
                <w:color w:val="FFFFFF"/>
                <w:szCs w:val="16"/>
              </w:rPr>
            </w:pPr>
            <w:r w:rsidRPr="00BE78CA">
              <w:rPr>
                <w:rFonts w:cs="Calibri"/>
                <w:color w:val="FFFFFF"/>
                <w:szCs w:val="16"/>
              </w:rPr>
              <w:t>-</w:t>
            </w:r>
          </w:p>
        </w:tc>
        <w:tc>
          <w:tcPr>
            <w:tcW w:w="832" w:type="dxa"/>
            <w:tcBorders>
              <w:top w:val="nil"/>
              <w:left w:val="nil"/>
              <w:bottom w:val="single" w:sz="4" w:space="0" w:color="365F91"/>
              <w:right w:val="nil"/>
            </w:tcBorders>
            <w:shd w:val="clear" w:color="auto" w:fill="auto"/>
            <w:vAlign w:val="center"/>
            <w:hideMark/>
          </w:tcPr>
          <w:p w14:paraId="6FDEB328" w14:textId="77777777" w:rsidR="00F02481" w:rsidRPr="00BE78CA" w:rsidRDefault="00F02481" w:rsidP="00C26084">
            <w:pPr>
              <w:pStyle w:val="TableText"/>
              <w:spacing w:before="40" w:after="40"/>
              <w:jc w:val="center"/>
              <w:rPr>
                <w:rFonts w:cs="Calibri"/>
                <w:color w:val="FFFFFF"/>
                <w:szCs w:val="16"/>
              </w:rPr>
            </w:pPr>
            <w:r w:rsidRPr="00BE78CA">
              <w:rPr>
                <w:rFonts w:cs="Calibri"/>
                <w:color w:val="FFFFFF"/>
                <w:szCs w:val="16"/>
              </w:rPr>
              <w:t>-</w:t>
            </w:r>
          </w:p>
        </w:tc>
      </w:tr>
      <w:tr w:rsidR="00F02481" w:rsidRPr="00BE78CA" w14:paraId="03EE0ED4" w14:textId="77777777" w:rsidTr="006613CB">
        <w:tc>
          <w:tcPr>
            <w:tcW w:w="325" w:type="dxa"/>
            <w:tcBorders>
              <w:top w:val="single" w:sz="4" w:space="0" w:color="365F91"/>
              <w:left w:val="nil"/>
              <w:bottom w:val="single" w:sz="4" w:space="0" w:color="365F91"/>
              <w:right w:val="nil"/>
            </w:tcBorders>
            <w:shd w:val="clear" w:color="auto" w:fill="auto"/>
            <w:noWrap/>
            <w:vAlign w:val="center"/>
            <w:hideMark/>
          </w:tcPr>
          <w:p w14:paraId="0BF09B39" w14:textId="77777777" w:rsidR="00F02481" w:rsidRPr="00BE78CA" w:rsidRDefault="00F02481" w:rsidP="00C26084">
            <w:pPr>
              <w:pStyle w:val="TableText"/>
              <w:spacing w:before="50" w:after="50"/>
              <w:rPr>
                <w:rFonts w:cs="Calibri"/>
                <w:szCs w:val="16"/>
              </w:rPr>
            </w:pPr>
            <w:r w:rsidRPr="00BE78CA">
              <w:rPr>
                <w:rFonts w:cs="Calibri"/>
                <w:szCs w:val="16"/>
              </w:rPr>
              <w:t>2</w:t>
            </w:r>
          </w:p>
        </w:tc>
        <w:tc>
          <w:tcPr>
            <w:tcW w:w="3197" w:type="dxa"/>
            <w:tcBorders>
              <w:top w:val="single" w:sz="4" w:space="0" w:color="365F91"/>
              <w:left w:val="nil"/>
              <w:bottom w:val="single" w:sz="4" w:space="0" w:color="365F91"/>
              <w:right w:val="nil"/>
            </w:tcBorders>
            <w:shd w:val="clear" w:color="auto" w:fill="auto"/>
            <w:vAlign w:val="center"/>
            <w:hideMark/>
          </w:tcPr>
          <w:p w14:paraId="287F8C83" w14:textId="77777777" w:rsidR="00F02481" w:rsidRPr="00BE78CA" w:rsidRDefault="00F02481" w:rsidP="00C26084">
            <w:pPr>
              <w:pStyle w:val="TableText"/>
              <w:spacing w:before="50" w:after="50"/>
              <w:rPr>
                <w:rFonts w:cs="Calibri"/>
                <w:szCs w:val="16"/>
              </w:rPr>
            </w:pPr>
            <w:r w:rsidRPr="00BE78CA">
              <w:rPr>
                <w:rFonts w:cs="Calibri"/>
                <w:szCs w:val="16"/>
              </w:rPr>
              <w:t xml:space="preserve">Sheep </w:t>
            </w:r>
          </w:p>
        </w:tc>
        <w:tc>
          <w:tcPr>
            <w:tcW w:w="832" w:type="dxa"/>
            <w:tcBorders>
              <w:top w:val="single" w:sz="4" w:space="0" w:color="365F91"/>
              <w:left w:val="nil"/>
              <w:bottom w:val="single" w:sz="4" w:space="0" w:color="365F91"/>
              <w:right w:val="nil"/>
            </w:tcBorders>
            <w:shd w:val="clear" w:color="auto" w:fill="auto"/>
            <w:noWrap/>
            <w:vAlign w:val="center"/>
            <w:hideMark/>
          </w:tcPr>
          <w:p w14:paraId="403E36E9" w14:textId="77777777" w:rsidR="00F02481" w:rsidRPr="00BE78CA" w:rsidRDefault="00087879" w:rsidP="00C26084">
            <w:pPr>
              <w:pStyle w:val="TableText"/>
              <w:spacing w:before="50" w:after="50"/>
              <w:jc w:val="center"/>
              <w:rPr>
                <w:rFonts w:cs="Calibri"/>
                <w:szCs w:val="16"/>
              </w:rPr>
            </w:pPr>
            <w:hyperlink r:id="rId108" w:history="1">
              <w:r w:rsidR="00F02481" w:rsidRPr="00BE78CA">
                <w:rPr>
                  <w:rFonts w:cs="Calibri"/>
                  <w:szCs w:val="16"/>
                </w:rPr>
                <w:t>T2</w:t>
              </w:r>
            </w:hyperlink>
          </w:p>
        </w:tc>
        <w:tc>
          <w:tcPr>
            <w:tcW w:w="832" w:type="dxa"/>
            <w:tcBorders>
              <w:top w:val="single" w:sz="4" w:space="0" w:color="365F91"/>
              <w:left w:val="nil"/>
              <w:bottom w:val="single" w:sz="4" w:space="0" w:color="365F91"/>
              <w:right w:val="nil"/>
            </w:tcBorders>
            <w:shd w:val="clear" w:color="auto" w:fill="auto"/>
            <w:noWrap/>
            <w:vAlign w:val="center"/>
            <w:hideMark/>
          </w:tcPr>
          <w:p w14:paraId="2DCD60C3" w14:textId="77777777" w:rsidR="00F02481" w:rsidRPr="00BE78CA" w:rsidRDefault="00F02481" w:rsidP="00C26084">
            <w:pPr>
              <w:pStyle w:val="TableText"/>
              <w:spacing w:before="50" w:after="50"/>
              <w:jc w:val="center"/>
              <w:rPr>
                <w:rFonts w:cs="Calibri"/>
                <w:szCs w:val="16"/>
              </w:rPr>
            </w:pPr>
            <w:r w:rsidRPr="00BE78CA">
              <w:rPr>
                <w:rFonts w:cs="Calibri"/>
                <w:szCs w:val="16"/>
              </w:rPr>
              <w:t>CS</w:t>
            </w:r>
          </w:p>
        </w:tc>
        <w:tc>
          <w:tcPr>
            <w:tcW w:w="832" w:type="dxa"/>
            <w:tcBorders>
              <w:top w:val="single" w:sz="4" w:space="0" w:color="365F91"/>
              <w:left w:val="nil"/>
              <w:bottom w:val="single" w:sz="4" w:space="0" w:color="365F91"/>
              <w:right w:val="nil"/>
            </w:tcBorders>
            <w:shd w:val="clear" w:color="auto" w:fill="auto"/>
            <w:noWrap/>
            <w:vAlign w:val="center"/>
            <w:hideMark/>
          </w:tcPr>
          <w:p w14:paraId="3B05E3B2" w14:textId="77777777" w:rsidR="00F02481" w:rsidRPr="00BE78CA" w:rsidRDefault="00F02481" w:rsidP="00C26084">
            <w:pPr>
              <w:pStyle w:val="TableText"/>
              <w:spacing w:before="50" w:after="50"/>
              <w:jc w:val="center"/>
              <w:rPr>
                <w:rFonts w:cs="Calibri"/>
                <w:color w:val="FFFFFF"/>
                <w:szCs w:val="16"/>
              </w:rPr>
            </w:pPr>
            <w:r w:rsidRPr="00BE78CA">
              <w:rPr>
                <w:rFonts w:cs="Calibri"/>
                <w:color w:val="FFFFFF"/>
                <w:szCs w:val="16"/>
              </w:rPr>
              <w:t>-</w:t>
            </w:r>
          </w:p>
        </w:tc>
        <w:tc>
          <w:tcPr>
            <w:tcW w:w="832" w:type="dxa"/>
            <w:tcBorders>
              <w:top w:val="single" w:sz="4" w:space="0" w:color="365F91"/>
              <w:left w:val="nil"/>
              <w:bottom w:val="single" w:sz="4" w:space="0" w:color="365F91"/>
              <w:right w:val="nil"/>
            </w:tcBorders>
            <w:shd w:val="clear" w:color="auto" w:fill="auto"/>
            <w:noWrap/>
            <w:vAlign w:val="center"/>
            <w:hideMark/>
          </w:tcPr>
          <w:p w14:paraId="6BFCE8BF" w14:textId="77777777" w:rsidR="00F02481" w:rsidRPr="00BE78CA" w:rsidRDefault="00F02481" w:rsidP="00C26084">
            <w:pPr>
              <w:pStyle w:val="TableText"/>
              <w:spacing w:before="50" w:after="50"/>
              <w:jc w:val="center"/>
              <w:rPr>
                <w:rFonts w:cs="Calibri"/>
                <w:color w:val="FFFFFF"/>
                <w:szCs w:val="16"/>
              </w:rPr>
            </w:pPr>
            <w:r w:rsidRPr="00BE78CA">
              <w:rPr>
                <w:rFonts w:cs="Calibri"/>
                <w:color w:val="FFFFFF"/>
                <w:szCs w:val="16"/>
              </w:rPr>
              <w:t>-</w:t>
            </w:r>
          </w:p>
        </w:tc>
        <w:tc>
          <w:tcPr>
            <w:tcW w:w="832" w:type="dxa"/>
            <w:tcBorders>
              <w:top w:val="single" w:sz="4" w:space="0" w:color="365F91"/>
              <w:left w:val="nil"/>
              <w:bottom w:val="single" w:sz="4" w:space="0" w:color="365F91"/>
              <w:right w:val="nil"/>
            </w:tcBorders>
            <w:shd w:val="clear" w:color="auto" w:fill="auto"/>
            <w:noWrap/>
            <w:vAlign w:val="center"/>
            <w:hideMark/>
          </w:tcPr>
          <w:p w14:paraId="6079D35B" w14:textId="77777777" w:rsidR="00F02481" w:rsidRPr="00BE78CA" w:rsidRDefault="00F02481" w:rsidP="00C26084">
            <w:pPr>
              <w:pStyle w:val="TableText"/>
              <w:spacing w:before="50" w:after="50"/>
              <w:jc w:val="center"/>
              <w:rPr>
                <w:rFonts w:cs="Calibri"/>
                <w:color w:val="FFFFFF"/>
                <w:szCs w:val="16"/>
              </w:rPr>
            </w:pPr>
            <w:r w:rsidRPr="00BE78CA">
              <w:rPr>
                <w:rFonts w:cs="Calibri"/>
                <w:color w:val="FFFFFF"/>
                <w:szCs w:val="16"/>
              </w:rPr>
              <w:t>-</w:t>
            </w:r>
          </w:p>
        </w:tc>
        <w:tc>
          <w:tcPr>
            <w:tcW w:w="832" w:type="dxa"/>
            <w:tcBorders>
              <w:top w:val="single" w:sz="4" w:space="0" w:color="365F91"/>
              <w:left w:val="nil"/>
              <w:bottom w:val="single" w:sz="4" w:space="0" w:color="365F91"/>
              <w:right w:val="nil"/>
            </w:tcBorders>
            <w:shd w:val="clear" w:color="auto" w:fill="auto"/>
            <w:noWrap/>
            <w:vAlign w:val="center"/>
            <w:hideMark/>
          </w:tcPr>
          <w:p w14:paraId="3CAE4085" w14:textId="77777777" w:rsidR="00F02481" w:rsidRPr="00BE78CA" w:rsidRDefault="00F02481" w:rsidP="00C26084">
            <w:pPr>
              <w:pStyle w:val="TableText"/>
              <w:spacing w:before="50" w:after="50"/>
              <w:jc w:val="center"/>
              <w:rPr>
                <w:rFonts w:cs="Calibri"/>
                <w:color w:val="FFFFFF"/>
                <w:szCs w:val="16"/>
              </w:rPr>
            </w:pPr>
            <w:r w:rsidRPr="00BE78CA">
              <w:rPr>
                <w:rFonts w:cs="Calibri"/>
                <w:color w:val="FFFFFF"/>
                <w:szCs w:val="16"/>
              </w:rPr>
              <w:t>-</w:t>
            </w:r>
          </w:p>
        </w:tc>
      </w:tr>
      <w:tr w:rsidR="00F02481" w:rsidRPr="00BE78CA" w14:paraId="45522685" w14:textId="77777777" w:rsidTr="006613CB">
        <w:tc>
          <w:tcPr>
            <w:tcW w:w="325" w:type="dxa"/>
            <w:tcBorders>
              <w:top w:val="single" w:sz="4" w:space="0" w:color="365F91"/>
              <w:left w:val="nil"/>
              <w:bottom w:val="single" w:sz="4" w:space="0" w:color="365F91"/>
              <w:right w:val="nil"/>
            </w:tcBorders>
            <w:shd w:val="clear" w:color="auto" w:fill="auto"/>
            <w:noWrap/>
            <w:vAlign w:val="center"/>
            <w:hideMark/>
          </w:tcPr>
          <w:p w14:paraId="5EBB8CB1" w14:textId="77777777" w:rsidR="00F02481" w:rsidRPr="00BE78CA" w:rsidRDefault="00F02481" w:rsidP="00C26084">
            <w:pPr>
              <w:pStyle w:val="TableText"/>
              <w:spacing w:before="50" w:after="50"/>
              <w:rPr>
                <w:rFonts w:cs="Calibri"/>
                <w:szCs w:val="16"/>
              </w:rPr>
            </w:pPr>
            <w:r w:rsidRPr="00BE78CA">
              <w:rPr>
                <w:rFonts w:cs="Calibri"/>
                <w:szCs w:val="16"/>
              </w:rPr>
              <w:t>3</w:t>
            </w:r>
          </w:p>
        </w:tc>
        <w:tc>
          <w:tcPr>
            <w:tcW w:w="3197" w:type="dxa"/>
            <w:tcBorders>
              <w:top w:val="single" w:sz="4" w:space="0" w:color="365F91"/>
              <w:left w:val="nil"/>
              <w:bottom w:val="single" w:sz="4" w:space="0" w:color="365F91"/>
              <w:right w:val="nil"/>
            </w:tcBorders>
            <w:shd w:val="clear" w:color="auto" w:fill="auto"/>
            <w:vAlign w:val="center"/>
            <w:hideMark/>
          </w:tcPr>
          <w:p w14:paraId="5C114C8C" w14:textId="77777777" w:rsidR="00F02481" w:rsidRPr="00BE78CA" w:rsidRDefault="00F02481" w:rsidP="00C26084">
            <w:pPr>
              <w:pStyle w:val="TableText"/>
              <w:spacing w:before="50" w:after="50"/>
              <w:rPr>
                <w:rFonts w:cs="Calibri"/>
                <w:szCs w:val="16"/>
              </w:rPr>
            </w:pPr>
            <w:r w:rsidRPr="00BE78CA">
              <w:rPr>
                <w:rFonts w:cs="Calibri"/>
                <w:szCs w:val="16"/>
              </w:rPr>
              <w:t>Swine</w:t>
            </w:r>
          </w:p>
        </w:tc>
        <w:tc>
          <w:tcPr>
            <w:tcW w:w="832" w:type="dxa"/>
            <w:tcBorders>
              <w:top w:val="single" w:sz="4" w:space="0" w:color="365F91"/>
              <w:left w:val="nil"/>
              <w:bottom w:val="single" w:sz="4" w:space="0" w:color="365F91"/>
              <w:right w:val="nil"/>
            </w:tcBorders>
            <w:shd w:val="clear" w:color="auto" w:fill="auto"/>
            <w:noWrap/>
            <w:vAlign w:val="center"/>
            <w:hideMark/>
          </w:tcPr>
          <w:p w14:paraId="1EB2866E" w14:textId="77777777" w:rsidR="00F02481" w:rsidRPr="00BE78CA" w:rsidRDefault="00F02481" w:rsidP="00C26084">
            <w:pPr>
              <w:pStyle w:val="TableText"/>
              <w:spacing w:before="50" w:after="50"/>
              <w:jc w:val="center"/>
              <w:rPr>
                <w:rFonts w:cs="Calibri"/>
                <w:szCs w:val="16"/>
              </w:rPr>
            </w:pPr>
            <w:r w:rsidRPr="00BE78CA">
              <w:rPr>
                <w:rFonts w:cs="Calibri"/>
                <w:szCs w:val="16"/>
              </w:rPr>
              <w:t>T1</w:t>
            </w:r>
          </w:p>
        </w:tc>
        <w:tc>
          <w:tcPr>
            <w:tcW w:w="832" w:type="dxa"/>
            <w:tcBorders>
              <w:top w:val="single" w:sz="4" w:space="0" w:color="365F91"/>
              <w:left w:val="nil"/>
              <w:bottom w:val="single" w:sz="4" w:space="0" w:color="365F91"/>
              <w:right w:val="nil"/>
            </w:tcBorders>
            <w:shd w:val="clear" w:color="auto" w:fill="auto"/>
            <w:noWrap/>
            <w:vAlign w:val="center"/>
            <w:hideMark/>
          </w:tcPr>
          <w:p w14:paraId="41DBEF32" w14:textId="77777777" w:rsidR="00F02481" w:rsidRPr="00BE78CA" w:rsidRDefault="00F02481" w:rsidP="00C26084">
            <w:pPr>
              <w:pStyle w:val="TableText"/>
              <w:spacing w:before="50" w:after="50"/>
              <w:jc w:val="center"/>
              <w:rPr>
                <w:rFonts w:cs="Calibri"/>
                <w:szCs w:val="16"/>
              </w:rPr>
            </w:pPr>
            <w:r w:rsidRPr="00BE78CA">
              <w:rPr>
                <w:rFonts w:cs="Calibri"/>
                <w:szCs w:val="16"/>
              </w:rPr>
              <w:t>CS</w:t>
            </w:r>
          </w:p>
        </w:tc>
        <w:tc>
          <w:tcPr>
            <w:tcW w:w="832" w:type="dxa"/>
            <w:tcBorders>
              <w:top w:val="single" w:sz="4" w:space="0" w:color="365F91"/>
              <w:left w:val="nil"/>
              <w:bottom w:val="single" w:sz="4" w:space="0" w:color="365F91"/>
              <w:right w:val="nil"/>
            </w:tcBorders>
            <w:shd w:val="clear" w:color="auto" w:fill="auto"/>
            <w:noWrap/>
            <w:vAlign w:val="center"/>
            <w:hideMark/>
          </w:tcPr>
          <w:p w14:paraId="2D7424B6" w14:textId="77777777" w:rsidR="00F02481" w:rsidRPr="00BE78CA" w:rsidRDefault="00F02481" w:rsidP="00C26084">
            <w:pPr>
              <w:pStyle w:val="TableText"/>
              <w:spacing w:before="50" w:after="50"/>
              <w:jc w:val="center"/>
              <w:rPr>
                <w:rFonts w:cs="Calibri"/>
                <w:color w:val="FFFFFF"/>
                <w:szCs w:val="16"/>
              </w:rPr>
            </w:pPr>
            <w:r w:rsidRPr="00BE78CA">
              <w:rPr>
                <w:rFonts w:cs="Calibri"/>
                <w:color w:val="FFFFFF"/>
                <w:szCs w:val="16"/>
              </w:rPr>
              <w:t>-</w:t>
            </w:r>
          </w:p>
        </w:tc>
        <w:tc>
          <w:tcPr>
            <w:tcW w:w="832" w:type="dxa"/>
            <w:tcBorders>
              <w:top w:val="single" w:sz="4" w:space="0" w:color="365F91"/>
              <w:left w:val="nil"/>
              <w:bottom w:val="single" w:sz="4" w:space="0" w:color="365F91"/>
              <w:right w:val="nil"/>
            </w:tcBorders>
            <w:shd w:val="clear" w:color="auto" w:fill="auto"/>
            <w:noWrap/>
            <w:vAlign w:val="center"/>
            <w:hideMark/>
          </w:tcPr>
          <w:p w14:paraId="5BB121E6" w14:textId="77777777" w:rsidR="00F02481" w:rsidRPr="00BE78CA" w:rsidRDefault="00F02481" w:rsidP="00C26084">
            <w:pPr>
              <w:pStyle w:val="TableText"/>
              <w:spacing w:before="50" w:after="50"/>
              <w:jc w:val="center"/>
              <w:rPr>
                <w:rFonts w:cs="Calibri"/>
                <w:color w:val="FFFFFF"/>
                <w:szCs w:val="16"/>
              </w:rPr>
            </w:pPr>
            <w:r w:rsidRPr="00BE78CA">
              <w:rPr>
                <w:rFonts w:cs="Calibri"/>
                <w:color w:val="FFFFFF"/>
                <w:szCs w:val="16"/>
              </w:rPr>
              <w:t>-</w:t>
            </w:r>
          </w:p>
        </w:tc>
        <w:tc>
          <w:tcPr>
            <w:tcW w:w="832" w:type="dxa"/>
            <w:tcBorders>
              <w:top w:val="single" w:sz="4" w:space="0" w:color="365F91"/>
              <w:left w:val="nil"/>
              <w:bottom w:val="single" w:sz="4" w:space="0" w:color="365F91"/>
              <w:right w:val="nil"/>
            </w:tcBorders>
            <w:shd w:val="clear" w:color="auto" w:fill="auto"/>
            <w:noWrap/>
            <w:vAlign w:val="center"/>
            <w:hideMark/>
          </w:tcPr>
          <w:p w14:paraId="356E4ED8" w14:textId="77777777" w:rsidR="00F02481" w:rsidRPr="00BE78CA" w:rsidRDefault="00F02481" w:rsidP="00C26084">
            <w:pPr>
              <w:pStyle w:val="TableText"/>
              <w:spacing w:before="50" w:after="50"/>
              <w:jc w:val="center"/>
              <w:rPr>
                <w:rFonts w:cs="Calibri"/>
                <w:color w:val="FFFFFF"/>
                <w:szCs w:val="16"/>
              </w:rPr>
            </w:pPr>
            <w:r w:rsidRPr="00BE78CA">
              <w:rPr>
                <w:rFonts w:cs="Calibri"/>
                <w:color w:val="FFFFFF"/>
                <w:szCs w:val="16"/>
              </w:rPr>
              <w:t>-</w:t>
            </w:r>
          </w:p>
        </w:tc>
        <w:tc>
          <w:tcPr>
            <w:tcW w:w="832" w:type="dxa"/>
            <w:tcBorders>
              <w:top w:val="single" w:sz="4" w:space="0" w:color="365F91"/>
              <w:left w:val="nil"/>
              <w:bottom w:val="single" w:sz="4" w:space="0" w:color="365F91"/>
              <w:right w:val="nil"/>
            </w:tcBorders>
            <w:shd w:val="clear" w:color="auto" w:fill="auto"/>
            <w:noWrap/>
            <w:vAlign w:val="center"/>
            <w:hideMark/>
          </w:tcPr>
          <w:p w14:paraId="63D38996" w14:textId="77777777" w:rsidR="00F02481" w:rsidRPr="00BE78CA" w:rsidRDefault="00F02481" w:rsidP="00C26084">
            <w:pPr>
              <w:pStyle w:val="TableText"/>
              <w:spacing w:before="50" w:after="50"/>
              <w:jc w:val="center"/>
              <w:rPr>
                <w:rFonts w:cs="Calibri"/>
                <w:color w:val="FFFFFF"/>
                <w:szCs w:val="16"/>
              </w:rPr>
            </w:pPr>
            <w:r w:rsidRPr="00BE78CA">
              <w:rPr>
                <w:rFonts w:cs="Calibri"/>
                <w:color w:val="FFFFFF"/>
                <w:szCs w:val="16"/>
              </w:rPr>
              <w:t>-</w:t>
            </w:r>
          </w:p>
        </w:tc>
      </w:tr>
      <w:tr w:rsidR="00F02481" w:rsidRPr="00BE78CA" w14:paraId="6BD77F01" w14:textId="77777777" w:rsidTr="006613CB">
        <w:tc>
          <w:tcPr>
            <w:tcW w:w="325" w:type="dxa"/>
            <w:tcBorders>
              <w:top w:val="single" w:sz="4" w:space="0" w:color="365F91"/>
              <w:left w:val="nil"/>
              <w:bottom w:val="single" w:sz="4" w:space="0" w:color="365F91"/>
              <w:right w:val="nil"/>
            </w:tcBorders>
            <w:shd w:val="clear" w:color="auto" w:fill="auto"/>
            <w:noWrap/>
            <w:vAlign w:val="center"/>
            <w:hideMark/>
          </w:tcPr>
          <w:p w14:paraId="7B9C8CC9" w14:textId="77777777" w:rsidR="00F02481" w:rsidRPr="00BE78CA" w:rsidRDefault="00F02481" w:rsidP="00C26084">
            <w:pPr>
              <w:pStyle w:val="TableText"/>
              <w:spacing w:before="50" w:after="50"/>
              <w:rPr>
                <w:rFonts w:cs="Calibri"/>
                <w:szCs w:val="16"/>
              </w:rPr>
            </w:pPr>
            <w:r w:rsidRPr="00BE78CA">
              <w:rPr>
                <w:rFonts w:cs="Calibri"/>
                <w:szCs w:val="16"/>
              </w:rPr>
              <w:t>4</w:t>
            </w:r>
          </w:p>
        </w:tc>
        <w:tc>
          <w:tcPr>
            <w:tcW w:w="3197" w:type="dxa"/>
            <w:tcBorders>
              <w:top w:val="single" w:sz="4" w:space="0" w:color="365F91"/>
              <w:left w:val="nil"/>
              <w:bottom w:val="single" w:sz="4" w:space="0" w:color="365F91"/>
              <w:right w:val="nil"/>
            </w:tcBorders>
            <w:shd w:val="clear" w:color="auto" w:fill="auto"/>
            <w:vAlign w:val="center"/>
            <w:hideMark/>
          </w:tcPr>
          <w:p w14:paraId="3FD1FE5F" w14:textId="77777777" w:rsidR="00F02481" w:rsidRPr="00BE78CA" w:rsidRDefault="00F02481" w:rsidP="00C26084">
            <w:pPr>
              <w:pStyle w:val="TableText"/>
              <w:spacing w:before="50" w:after="50"/>
              <w:rPr>
                <w:rFonts w:cs="Calibri"/>
                <w:szCs w:val="16"/>
              </w:rPr>
            </w:pPr>
            <w:r w:rsidRPr="00BE78CA">
              <w:rPr>
                <w:rFonts w:cs="Calibri"/>
                <w:szCs w:val="16"/>
              </w:rPr>
              <w:t>Other Livestock (Buffalo, Camels, Deer, Goats, Horses, Mules and Asses, Poultry)</w:t>
            </w:r>
          </w:p>
        </w:tc>
        <w:tc>
          <w:tcPr>
            <w:tcW w:w="832" w:type="dxa"/>
            <w:tcBorders>
              <w:top w:val="single" w:sz="4" w:space="0" w:color="365F91"/>
              <w:left w:val="nil"/>
              <w:bottom w:val="single" w:sz="4" w:space="0" w:color="365F91"/>
              <w:right w:val="nil"/>
            </w:tcBorders>
            <w:shd w:val="clear" w:color="auto" w:fill="auto"/>
            <w:noWrap/>
            <w:vAlign w:val="center"/>
            <w:hideMark/>
          </w:tcPr>
          <w:p w14:paraId="76184605" w14:textId="77777777" w:rsidR="00F02481" w:rsidRPr="00BE78CA" w:rsidRDefault="00F02481" w:rsidP="00C26084">
            <w:pPr>
              <w:pStyle w:val="TableText"/>
              <w:spacing w:before="50" w:after="50"/>
              <w:jc w:val="center"/>
              <w:rPr>
                <w:rFonts w:cs="Calibri"/>
                <w:szCs w:val="16"/>
              </w:rPr>
            </w:pPr>
            <w:r w:rsidRPr="00BE78CA">
              <w:rPr>
                <w:rFonts w:cs="Calibri"/>
                <w:szCs w:val="16"/>
              </w:rPr>
              <w:t>T1, T2</w:t>
            </w:r>
          </w:p>
        </w:tc>
        <w:tc>
          <w:tcPr>
            <w:tcW w:w="832" w:type="dxa"/>
            <w:tcBorders>
              <w:top w:val="single" w:sz="4" w:space="0" w:color="365F91"/>
              <w:left w:val="nil"/>
              <w:bottom w:val="single" w:sz="4" w:space="0" w:color="365F91"/>
              <w:right w:val="nil"/>
            </w:tcBorders>
            <w:shd w:val="clear" w:color="auto" w:fill="auto"/>
            <w:noWrap/>
            <w:vAlign w:val="center"/>
            <w:hideMark/>
          </w:tcPr>
          <w:p w14:paraId="1C4320E9" w14:textId="77777777" w:rsidR="00F02481" w:rsidRPr="00BE78CA" w:rsidRDefault="00F02481" w:rsidP="00C26084">
            <w:pPr>
              <w:pStyle w:val="TableText"/>
              <w:spacing w:before="50" w:after="50"/>
              <w:jc w:val="center"/>
              <w:rPr>
                <w:rFonts w:cs="Calibri"/>
                <w:szCs w:val="16"/>
              </w:rPr>
            </w:pPr>
            <w:r w:rsidRPr="00BE78CA">
              <w:rPr>
                <w:rFonts w:cs="Calibri"/>
                <w:szCs w:val="16"/>
              </w:rPr>
              <w:t>CS, D</w:t>
            </w:r>
          </w:p>
        </w:tc>
        <w:tc>
          <w:tcPr>
            <w:tcW w:w="832" w:type="dxa"/>
            <w:tcBorders>
              <w:top w:val="single" w:sz="4" w:space="0" w:color="365F91"/>
              <w:left w:val="nil"/>
              <w:bottom w:val="single" w:sz="4" w:space="0" w:color="365F91"/>
              <w:right w:val="nil"/>
            </w:tcBorders>
            <w:shd w:val="clear" w:color="auto" w:fill="auto"/>
            <w:noWrap/>
            <w:vAlign w:val="center"/>
            <w:hideMark/>
          </w:tcPr>
          <w:p w14:paraId="56523E1F" w14:textId="77777777" w:rsidR="00F02481" w:rsidRPr="00BE78CA" w:rsidRDefault="00F02481" w:rsidP="00C26084">
            <w:pPr>
              <w:pStyle w:val="TableText"/>
              <w:spacing w:before="50" w:after="50"/>
              <w:jc w:val="center"/>
              <w:rPr>
                <w:rFonts w:cs="Calibri"/>
                <w:color w:val="FFFFFF"/>
                <w:szCs w:val="16"/>
              </w:rPr>
            </w:pPr>
            <w:r w:rsidRPr="00BE78CA">
              <w:rPr>
                <w:rFonts w:cs="Calibri"/>
                <w:color w:val="FFFFFF"/>
                <w:szCs w:val="16"/>
              </w:rPr>
              <w:t>-</w:t>
            </w:r>
          </w:p>
        </w:tc>
        <w:tc>
          <w:tcPr>
            <w:tcW w:w="832" w:type="dxa"/>
            <w:tcBorders>
              <w:top w:val="single" w:sz="4" w:space="0" w:color="365F91"/>
              <w:left w:val="nil"/>
              <w:bottom w:val="single" w:sz="4" w:space="0" w:color="365F91"/>
              <w:right w:val="nil"/>
            </w:tcBorders>
            <w:shd w:val="clear" w:color="auto" w:fill="auto"/>
            <w:noWrap/>
            <w:vAlign w:val="center"/>
            <w:hideMark/>
          </w:tcPr>
          <w:p w14:paraId="2C25FCEF" w14:textId="77777777" w:rsidR="00F02481" w:rsidRPr="00BE78CA" w:rsidRDefault="00F02481" w:rsidP="00C26084">
            <w:pPr>
              <w:pStyle w:val="TableText"/>
              <w:spacing w:before="50" w:after="50"/>
              <w:jc w:val="center"/>
              <w:rPr>
                <w:rFonts w:cs="Calibri"/>
                <w:color w:val="FFFFFF"/>
                <w:szCs w:val="16"/>
              </w:rPr>
            </w:pPr>
            <w:r w:rsidRPr="00BE78CA">
              <w:rPr>
                <w:rFonts w:cs="Calibri"/>
                <w:color w:val="FFFFFF"/>
                <w:szCs w:val="16"/>
              </w:rPr>
              <w:t>-</w:t>
            </w:r>
          </w:p>
        </w:tc>
        <w:tc>
          <w:tcPr>
            <w:tcW w:w="832" w:type="dxa"/>
            <w:tcBorders>
              <w:top w:val="single" w:sz="4" w:space="0" w:color="365F91"/>
              <w:left w:val="nil"/>
              <w:bottom w:val="single" w:sz="4" w:space="0" w:color="365F91"/>
              <w:right w:val="nil"/>
            </w:tcBorders>
            <w:shd w:val="clear" w:color="auto" w:fill="auto"/>
            <w:noWrap/>
            <w:vAlign w:val="center"/>
            <w:hideMark/>
          </w:tcPr>
          <w:p w14:paraId="48653637" w14:textId="77777777" w:rsidR="00F02481" w:rsidRPr="00BE78CA" w:rsidRDefault="00F02481" w:rsidP="00C26084">
            <w:pPr>
              <w:pStyle w:val="TableText"/>
              <w:spacing w:before="50" w:after="50"/>
              <w:jc w:val="center"/>
              <w:rPr>
                <w:rFonts w:cs="Calibri"/>
                <w:color w:val="FFFFFF"/>
                <w:szCs w:val="16"/>
              </w:rPr>
            </w:pPr>
            <w:r w:rsidRPr="00BE78CA">
              <w:rPr>
                <w:rFonts w:cs="Calibri"/>
                <w:color w:val="FFFFFF"/>
                <w:szCs w:val="16"/>
              </w:rPr>
              <w:t>-</w:t>
            </w:r>
          </w:p>
        </w:tc>
        <w:tc>
          <w:tcPr>
            <w:tcW w:w="832" w:type="dxa"/>
            <w:tcBorders>
              <w:top w:val="single" w:sz="4" w:space="0" w:color="365F91"/>
              <w:left w:val="nil"/>
              <w:bottom w:val="single" w:sz="4" w:space="0" w:color="365F91"/>
              <w:right w:val="nil"/>
            </w:tcBorders>
            <w:shd w:val="clear" w:color="auto" w:fill="auto"/>
            <w:noWrap/>
            <w:vAlign w:val="center"/>
            <w:hideMark/>
          </w:tcPr>
          <w:p w14:paraId="6DDDAA34" w14:textId="77777777" w:rsidR="00F02481" w:rsidRPr="00BE78CA" w:rsidRDefault="00F02481" w:rsidP="00C26084">
            <w:pPr>
              <w:pStyle w:val="TableText"/>
              <w:spacing w:before="50" w:after="50"/>
              <w:jc w:val="center"/>
              <w:rPr>
                <w:rFonts w:cs="Calibri"/>
                <w:color w:val="FFFFFF"/>
                <w:szCs w:val="16"/>
              </w:rPr>
            </w:pPr>
            <w:r w:rsidRPr="00BE78CA">
              <w:rPr>
                <w:rFonts w:cs="Calibri"/>
                <w:color w:val="FFFFFF"/>
                <w:szCs w:val="16"/>
              </w:rPr>
              <w:t>-</w:t>
            </w:r>
          </w:p>
        </w:tc>
      </w:tr>
      <w:tr w:rsidR="00F02481" w:rsidRPr="00BE78CA" w14:paraId="1A2EE2BE" w14:textId="77777777" w:rsidTr="006613CB">
        <w:tc>
          <w:tcPr>
            <w:tcW w:w="325" w:type="dxa"/>
            <w:tcBorders>
              <w:top w:val="single" w:sz="4" w:space="0" w:color="365F91"/>
              <w:left w:val="nil"/>
              <w:bottom w:val="single" w:sz="4" w:space="0" w:color="365F91"/>
              <w:right w:val="nil"/>
            </w:tcBorders>
            <w:shd w:val="clear" w:color="auto" w:fill="auto"/>
            <w:noWrap/>
            <w:vAlign w:val="center"/>
            <w:hideMark/>
          </w:tcPr>
          <w:p w14:paraId="45303BC7" w14:textId="77777777" w:rsidR="00F02481" w:rsidRPr="00BE78CA" w:rsidRDefault="00F02481" w:rsidP="00C26084">
            <w:pPr>
              <w:pStyle w:val="TableText"/>
              <w:spacing w:before="50" w:after="50"/>
              <w:rPr>
                <w:rFonts w:cs="Calibri"/>
                <w:b/>
                <w:bCs/>
                <w:szCs w:val="16"/>
              </w:rPr>
            </w:pPr>
            <w:r w:rsidRPr="00BE78CA">
              <w:rPr>
                <w:rFonts w:cs="Calibri"/>
                <w:b/>
                <w:bCs/>
                <w:szCs w:val="16"/>
              </w:rPr>
              <w:t>B</w:t>
            </w:r>
          </w:p>
        </w:tc>
        <w:tc>
          <w:tcPr>
            <w:tcW w:w="3197" w:type="dxa"/>
            <w:tcBorders>
              <w:top w:val="single" w:sz="4" w:space="0" w:color="365F91"/>
              <w:left w:val="nil"/>
              <w:bottom w:val="single" w:sz="4" w:space="0" w:color="365F91"/>
              <w:right w:val="nil"/>
            </w:tcBorders>
            <w:shd w:val="clear" w:color="auto" w:fill="auto"/>
            <w:vAlign w:val="center"/>
            <w:hideMark/>
          </w:tcPr>
          <w:p w14:paraId="66722937" w14:textId="77777777" w:rsidR="00F02481" w:rsidRPr="00BE78CA" w:rsidRDefault="00F02481" w:rsidP="00C26084">
            <w:pPr>
              <w:pStyle w:val="TableText"/>
              <w:spacing w:before="50" w:after="50"/>
              <w:rPr>
                <w:rFonts w:cs="Calibri"/>
                <w:b/>
                <w:bCs/>
                <w:szCs w:val="16"/>
              </w:rPr>
            </w:pPr>
            <w:r w:rsidRPr="00BE78CA">
              <w:rPr>
                <w:rFonts w:cs="Calibri"/>
                <w:b/>
                <w:bCs/>
                <w:szCs w:val="16"/>
              </w:rPr>
              <w:t>Manure Management</w:t>
            </w:r>
          </w:p>
        </w:tc>
        <w:tc>
          <w:tcPr>
            <w:tcW w:w="832" w:type="dxa"/>
            <w:tcBorders>
              <w:top w:val="single" w:sz="4" w:space="0" w:color="365F91"/>
              <w:left w:val="nil"/>
              <w:bottom w:val="single" w:sz="4" w:space="0" w:color="365F91"/>
              <w:right w:val="nil"/>
            </w:tcBorders>
            <w:shd w:val="clear" w:color="auto" w:fill="auto"/>
            <w:noWrap/>
            <w:vAlign w:val="center"/>
            <w:hideMark/>
          </w:tcPr>
          <w:p w14:paraId="44A420B6" w14:textId="77777777" w:rsidR="00F02481" w:rsidRPr="00BE78CA" w:rsidRDefault="00F02481" w:rsidP="00C26084">
            <w:pPr>
              <w:pStyle w:val="TableText"/>
              <w:spacing w:before="50" w:after="50"/>
              <w:jc w:val="center"/>
              <w:rPr>
                <w:rFonts w:cs="Calibri"/>
                <w:color w:val="FFFFFF"/>
                <w:szCs w:val="16"/>
              </w:rPr>
            </w:pPr>
            <w:r w:rsidRPr="00BE78CA">
              <w:rPr>
                <w:rFonts w:cs="Calibri"/>
                <w:color w:val="FFFFFF"/>
                <w:szCs w:val="16"/>
              </w:rPr>
              <w:t>-</w:t>
            </w:r>
          </w:p>
        </w:tc>
        <w:tc>
          <w:tcPr>
            <w:tcW w:w="832" w:type="dxa"/>
            <w:tcBorders>
              <w:top w:val="single" w:sz="4" w:space="0" w:color="365F91"/>
              <w:left w:val="nil"/>
              <w:bottom w:val="single" w:sz="4" w:space="0" w:color="365F91"/>
              <w:right w:val="nil"/>
            </w:tcBorders>
            <w:shd w:val="clear" w:color="auto" w:fill="auto"/>
            <w:noWrap/>
            <w:vAlign w:val="center"/>
            <w:hideMark/>
          </w:tcPr>
          <w:p w14:paraId="6787B803" w14:textId="77777777" w:rsidR="00F02481" w:rsidRPr="00BE78CA" w:rsidRDefault="00F02481" w:rsidP="00C26084">
            <w:pPr>
              <w:pStyle w:val="TableText"/>
              <w:spacing w:before="50" w:after="50"/>
              <w:jc w:val="center"/>
              <w:rPr>
                <w:rFonts w:cs="Calibri"/>
                <w:color w:val="FFFFFF"/>
                <w:szCs w:val="16"/>
              </w:rPr>
            </w:pPr>
            <w:r w:rsidRPr="00BE78CA">
              <w:rPr>
                <w:rFonts w:cs="Calibri"/>
                <w:color w:val="FFFFFF"/>
                <w:szCs w:val="16"/>
              </w:rPr>
              <w:t>-</w:t>
            </w:r>
          </w:p>
        </w:tc>
        <w:tc>
          <w:tcPr>
            <w:tcW w:w="832" w:type="dxa"/>
            <w:tcBorders>
              <w:top w:val="single" w:sz="4" w:space="0" w:color="365F91"/>
              <w:left w:val="nil"/>
              <w:bottom w:val="single" w:sz="4" w:space="0" w:color="365F91"/>
              <w:right w:val="nil"/>
            </w:tcBorders>
            <w:shd w:val="clear" w:color="auto" w:fill="auto"/>
            <w:noWrap/>
            <w:vAlign w:val="center"/>
            <w:hideMark/>
          </w:tcPr>
          <w:p w14:paraId="5CAB3962" w14:textId="77777777" w:rsidR="00F02481" w:rsidRPr="00BE78CA" w:rsidRDefault="00F02481" w:rsidP="00C26084">
            <w:pPr>
              <w:pStyle w:val="TableText"/>
              <w:spacing w:before="50" w:after="50"/>
              <w:jc w:val="center"/>
              <w:rPr>
                <w:rFonts w:cs="Calibri"/>
                <w:color w:val="FFFFFF"/>
                <w:szCs w:val="16"/>
              </w:rPr>
            </w:pPr>
            <w:r w:rsidRPr="00BE78CA">
              <w:rPr>
                <w:rFonts w:cs="Calibri"/>
                <w:color w:val="FFFFFF"/>
                <w:szCs w:val="16"/>
              </w:rPr>
              <w:t>-</w:t>
            </w:r>
          </w:p>
        </w:tc>
        <w:tc>
          <w:tcPr>
            <w:tcW w:w="832" w:type="dxa"/>
            <w:tcBorders>
              <w:top w:val="single" w:sz="4" w:space="0" w:color="365F91"/>
              <w:left w:val="nil"/>
              <w:bottom w:val="single" w:sz="4" w:space="0" w:color="365F91"/>
              <w:right w:val="nil"/>
            </w:tcBorders>
            <w:shd w:val="clear" w:color="auto" w:fill="auto"/>
            <w:noWrap/>
            <w:vAlign w:val="center"/>
            <w:hideMark/>
          </w:tcPr>
          <w:p w14:paraId="2FC54CD4" w14:textId="77777777" w:rsidR="00F02481" w:rsidRPr="00BE78CA" w:rsidRDefault="00F02481" w:rsidP="00C26084">
            <w:pPr>
              <w:pStyle w:val="TableText"/>
              <w:spacing w:before="50" w:after="50"/>
              <w:jc w:val="center"/>
              <w:rPr>
                <w:rFonts w:cs="Calibri"/>
                <w:color w:val="FFFFFF"/>
                <w:szCs w:val="16"/>
              </w:rPr>
            </w:pPr>
            <w:r w:rsidRPr="00BE78CA">
              <w:rPr>
                <w:rFonts w:cs="Calibri"/>
                <w:color w:val="FFFFFF"/>
                <w:szCs w:val="16"/>
              </w:rPr>
              <w:t>-</w:t>
            </w:r>
          </w:p>
        </w:tc>
        <w:tc>
          <w:tcPr>
            <w:tcW w:w="832" w:type="dxa"/>
            <w:tcBorders>
              <w:top w:val="single" w:sz="4" w:space="0" w:color="365F91"/>
              <w:left w:val="nil"/>
              <w:bottom w:val="single" w:sz="4" w:space="0" w:color="365F91"/>
              <w:right w:val="nil"/>
            </w:tcBorders>
            <w:shd w:val="clear" w:color="auto" w:fill="auto"/>
            <w:noWrap/>
            <w:vAlign w:val="center"/>
            <w:hideMark/>
          </w:tcPr>
          <w:p w14:paraId="3F212DE4" w14:textId="77777777" w:rsidR="00F02481" w:rsidRPr="00BE78CA" w:rsidRDefault="00F02481" w:rsidP="00C26084">
            <w:pPr>
              <w:pStyle w:val="TableText"/>
              <w:spacing w:before="50" w:after="50"/>
              <w:jc w:val="center"/>
              <w:rPr>
                <w:rFonts w:cs="Calibri"/>
                <w:color w:val="FFFFFF"/>
                <w:szCs w:val="16"/>
              </w:rPr>
            </w:pPr>
            <w:r w:rsidRPr="00BE78CA">
              <w:rPr>
                <w:rFonts w:cs="Calibri"/>
                <w:color w:val="FFFFFF"/>
                <w:szCs w:val="16"/>
              </w:rPr>
              <w:t>-</w:t>
            </w:r>
          </w:p>
        </w:tc>
        <w:tc>
          <w:tcPr>
            <w:tcW w:w="832" w:type="dxa"/>
            <w:tcBorders>
              <w:top w:val="single" w:sz="4" w:space="0" w:color="365F91"/>
              <w:left w:val="nil"/>
              <w:bottom w:val="single" w:sz="4" w:space="0" w:color="365F91"/>
              <w:right w:val="nil"/>
            </w:tcBorders>
            <w:shd w:val="clear" w:color="auto" w:fill="auto"/>
            <w:noWrap/>
            <w:vAlign w:val="center"/>
            <w:hideMark/>
          </w:tcPr>
          <w:p w14:paraId="76EA6B9A" w14:textId="77777777" w:rsidR="00F02481" w:rsidRPr="00BE78CA" w:rsidRDefault="00F02481" w:rsidP="00C26084">
            <w:pPr>
              <w:pStyle w:val="TableText"/>
              <w:spacing w:before="50" w:after="50"/>
              <w:jc w:val="center"/>
              <w:rPr>
                <w:rFonts w:cs="Calibri"/>
                <w:color w:val="FFFFFF"/>
                <w:szCs w:val="16"/>
              </w:rPr>
            </w:pPr>
            <w:r w:rsidRPr="00BE78CA">
              <w:rPr>
                <w:rFonts w:cs="Calibri"/>
                <w:color w:val="FFFFFF"/>
                <w:szCs w:val="16"/>
              </w:rPr>
              <w:t>-</w:t>
            </w:r>
          </w:p>
        </w:tc>
      </w:tr>
      <w:tr w:rsidR="00F02481" w:rsidRPr="00BE78CA" w14:paraId="6F83B21D" w14:textId="77777777" w:rsidTr="006613CB">
        <w:tc>
          <w:tcPr>
            <w:tcW w:w="325" w:type="dxa"/>
            <w:vMerge w:val="restart"/>
            <w:tcBorders>
              <w:top w:val="single" w:sz="4" w:space="0" w:color="365F91"/>
              <w:left w:val="nil"/>
              <w:bottom w:val="single" w:sz="8" w:space="0" w:color="365F91"/>
              <w:right w:val="nil"/>
            </w:tcBorders>
            <w:shd w:val="clear" w:color="auto" w:fill="auto"/>
            <w:noWrap/>
            <w:vAlign w:val="center"/>
            <w:hideMark/>
          </w:tcPr>
          <w:p w14:paraId="13BD46CD" w14:textId="77777777" w:rsidR="00F02481" w:rsidRPr="00BE78CA" w:rsidRDefault="00F02481" w:rsidP="00C26084">
            <w:pPr>
              <w:pStyle w:val="TableText"/>
              <w:spacing w:before="40" w:after="40"/>
              <w:rPr>
                <w:rFonts w:cs="Calibri"/>
                <w:szCs w:val="16"/>
              </w:rPr>
            </w:pPr>
            <w:r w:rsidRPr="00BE78CA">
              <w:rPr>
                <w:rFonts w:cs="Calibri"/>
                <w:szCs w:val="16"/>
              </w:rPr>
              <w:t>1</w:t>
            </w:r>
          </w:p>
        </w:tc>
        <w:tc>
          <w:tcPr>
            <w:tcW w:w="3197" w:type="dxa"/>
            <w:tcBorders>
              <w:top w:val="single" w:sz="4" w:space="0" w:color="365F91"/>
              <w:left w:val="nil"/>
              <w:bottom w:val="nil"/>
              <w:right w:val="nil"/>
            </w:tcBorders>
            <w:shd w:val="clear" w:color="auto" w:fill="auto"/>
            <w:vAlign w:val="center"/>
            <w:hideMark/>
          </w:tcPr>
          <w:p w14:paraId="5F51EDA7" w14:textId="77777777" w:rsidR="00F02481" w:rsidRPr="00BE78CA" w:rsidRDefault="00F02481" w:rsidP="00C26084">
            <w:pPr>
              <w:pStyle w:val="TableText"/>
              <w:spacing w:before="40" w:after="40"/>
              <w:rPr>
                <w:rFonts w:cs="Calibri"/>
                <w:szCs w:val="16"/>
              </w:rPr>
            </w:pPr>
            <w:r w:rsidRPr="00BE78CA">
              <w:rPr>
                <w:rFonts w:cs="Calibri"/>
                <w:szCs w:val="16"/>
              </w:rPr>
              <w:t>Cattle</w:t>
            </w:r>
          </w:p>
        </w:tc>
        <w:tc>
          <w:tcPr>
            <w:tcW w:w="832" w:type="dxa"/>
            <w:tcBorders>
              <w:top w:val="single" w:sz="4" w:space="0" w:color="365F91"/>
              <w:left w:val="nil"/>
              <w:bottom w:val="nil"/>
              <w:right w:val="nil"/>
            </w:tcBorders>
            <w:shd w:val="clear" w:color="auto" w:fill="auto"/>
            <w:noWrap/>
            <w:vAlign w:val="center"/>
            <w:hideMark/>
          </w:tcPr>
          <w:p w14:paraId="65170EEF" w14:textId="77777777" w:rsidR="00F02481" w:rsidRPr="00BE78CA" w:rsidRDefault="00F02481" w:rsidP="00C26084">
            <w:pPr>
              <w:pStyle w:val="TableText"/>
              <w:spacing w:before="40" w:after="40"/>
              <w:jc w:val="center"/>
              <w:rPr>
                <w:rFonts w:cs="Calibri"/>
                <w:color w:val="FFFFFF"/>
                <w:szCs w:val="16"/>
              </w:rPr>
            </w:pPr>
            <w:r w:rsidRPr="00BE78CA">
              <w:rPr>
                <w:rFonts w:cs="Calibri"/>
                <w:color w:val="FFFFFF"/>
                <w:szCs w:val="16"/>
              </w:rPr>
              <w:t>-</w:t>
            </w:r>
          </w:p>
        </w:tc>
        <w:tc>
          <w:tcPr>
            <w:tcW w:w="832" w:type="dxa"/>
            <w:tcBorders>
              <w:top w:val="single" w:sz="4" w:space="0" w:color="365F91"/>
              <w:left w:val="nil"/>
              <w:bottom w:val="nil"/>
              <w:right w:val="nil"/>
            </w:tcBorders>
            <w:shd w:val="clear" w:color="auto" w:fill="auto"/>
            <w:noWrap/>
            <w:vAlign w:val="center"/>
            <w:hideMark/>
          </w:tcPr>
          <w:p w14:paraId="40A4DCE9" w14:textId="77777777" w:rsidR="00F02481" w:rsidRPr="00BE78CA" w:rsidRDefault="00F02481" w:rsidP="00C26084">
            <w:pPr>
              <w:pStyle w:val="TableText"/>
              <w:spacing w:before="40" w:after="40"/>
              <w:jc w:val="center"/>
              <w:rPr>
                <w:rFonts w:cs="Calibri"/>
                <w:color w:val="FFFFFF"/>
                <w:szCs w:val="16"/>
              </w:rPr>
            </w:pPr>
            <w:r w:rsidRPr="00BE78CA">
              <w:rPr>
                <w:rFonts w:cs="Calibri"/>
                <w:color w:val="FFFFFF"/>
                <w:szCs w:val="16"/>
              </w:rPr>
              <w:t>-</w:t>
            </w:r>
          </w:p>
        </w:tc>
        <w:tc>
          <w:tcPr>
            <w:tcW w:w="832" w:type="dxa"/>
            <w:tcBorders>
              <w:top w:val="single" w:sz="4" w:space="0" w:color="365F91"/>
              <w:left w:val="nil"/>
              <w:bottom w:val="nil"/>
              <w:right w:val="nil"/>
            </w:tcBorders>
            <w:shd w:val="clear" w:color="auto" w:fill="auto"/>
            <w:noWrap/>
            <w:vAlign w:val="center"/>
            <w:hideMark/>
          </w:tcPr>
          <w:p w14:paraId="0FBBBAAD" w14:textId="77777777" w:rsidR="00F02481" w:rsidRPr="00BE78CA" w:rsidRDefault="00F02481" w:rsidP="00C26084">
            <w:pPr>
              <w:pStyle w:val="TableText"/>
              <w:spacing w:before="40" w:after="40"/>
              <w:jc w:val="center"/>
              <w:rPr>
                <w:rFonts w:cs="Calibri"/>
                <w:color w:val="FFFFFF"/>
                <w:szCs w:val="16"/>
              </w:rPr>
            </w:pPr>
            <w:r w:rsidRPr="00BE78CA">
              <w:rPr>
                <w:rFonts w:cs="Calibri"/>
                <w:color w:val="FFFFFF"/>
                <w:szCs w:val="16"/>
              </w:rPr>
              <w:t>-</w:t>
            </w:r>
          </w:p>
        </w:tc>
        <w:tc>
          <w:tcPr>
            <w:tcW w:w="832" w:type="dxa"/>
            <w:tcBorders>
              <w:top w:val="single" w:sz="4" w:space="0" w:color="365F91"/>
              <w:left w:val="nil"/>
              <w:bottom w:val="nil"/>
              <w:right w:val="nil"/>
            </w:tcBorders>
            <w:shd w:val="clear" w:color="auto" w:fill="auto"/>
            <w:noWrap/>
            <w:vAlign w:val="center"/>
            <w:hideMark/>
          </w:tcPr>
          <w:p w14:paraId="2FF54522" w14:textId="77777777" w:rsidR="00F02481" w:rsidRPr="00BE78CA" w:rsidRDefault="00F02481" w:rsidP="00C26084">
            <w:pPr>
              <w:pStyle w:val="TableText"/>
              <w:spacing w:before="40" w:after="40"/>
              <w:jc w:val="center"/>
              <w:rPr>
                <w:rFonts w:cs="Calibri"/>
                <w:color w:val="FFFFFF"/>
                <w:szCs w:val="16"/>
              </w:rPr>
            </w:pPr>
            <w:r w:rsidRPr="00BE78CA">
              <w:rPr>
                <w:rFonts w:cs="Calibri"/>
                <w:color w:val="FFFFFF"/>
                <w:szCs w:val="16"/>
              </w:rPr>
              <w:t>-</w:t>
            </w:r>
          </w:p>
        </w:tc>
        <w:tc>
          <w:tcPr>
            <w:tcW w:w="832" w:type="dxa"/>
            <w:tcBorders>
              <w:top w:val="single" w:sz="4" w:space="0" w:color="365F91"/>
              <w:left w:val="nil"/>
              <w:bottom w:val="nil"/>
              <w:right w:val="nil"/>
            </w:tcBorders>
            <w:shd w:val="clear" w:color="auto" w:fill="auto"/>
            <w:noWrap/>
            <w:vAlign w:val="center"/>
            <w:hideMark/>
          </w:tcPr>
          <w:p w14:paraId="6F69EB5C" w14:textId="77777777" w:rsidR="00F02481" w:rsidRPr="00BE78CA" w:rsidRDefault="00F02481" w:rsidP="00C26084">
            <w:pPr>
              <w:pStyle w:val="TableText"/>
              <w:spacing w:before="40" w:after="40"/>
              <w:jc w:val="center"/>
              <w:rPr>
                <w:rFonts w:cs="Calibri"/>
                <w:color w:val="FFFFFF"/>
                <w:szCs w:val="16"/>
              </w:rPr>
            </w:pPr>
            <w:r w:rsidRPr="00BE78CA">
              <w:rPr>
                <w:rFonts w:cs="Calibri"/>
                <w:color w:val="FFFFFF"/>
                <w:szCs w:val="16"/>
              </w:rPr>
              <w:t>-</w:t>
            </w:r>
          </w:p>
        </w:tc>
        <w:tc>
          <w:tcPr>
            <w:tcW w:w="832" w:type="dxa"/>
            <w:tcBorders>
              <w:top w:val="single" w:sz="4" w:space="0" w:color="365F91"/>
              <w:left w:val="nil"/>
              <w:bottom w:val="nil"/>
              <w:right w:val="nil"/>
            </w:tcBorders>
            <w:shd w:val="clear" w:color="auto" w:fill="auto"/>
            <w:noWrap/>
            <w:vAlign w:val="center"/>
            <w:hideMark/>
          </w:tcPr>
          <w:p w14:paraId="4D772999" w14:textId="77777777" w:rsidR="00F02481" w:rsidRPr="00BE78CA" w:rsidRDefault="00F02481" w:rsidP="00C26084">
            <w:pPr>
              <w:pStyle w:val="TableText"/>
              <w:spacing w:before="40" w:after="40"/>
              <w:jc w:val="center"/>
              <w:rPr>
                <w:rFonts w:cs="Calibri"/>
                <w:color w:val="FFFFFF"/>
                <w:szCs w:val="16"/>
              </w:rPr>
            </w:pPr>
            <w:r w:rsidRPr="00BE78CA">
              <w:rPr>
                <w:rFonts w:cs="Calibri"/>
                <w:color w:val="FFFFFF"/>
                <w:szCs w:val="16"/>
              </w:rPr>
              <w:t>-</w:t>
            </w:r>
          </w:p>
        </w:tc>
      </w:tr>
      <w:tr w:rsidR="00F02481" w:rsidRPr="00BE78CA" w14:paraId="3F141D6E" w14:textId="77777777" w:rsidTr="006613CB">
        <w:tc>
          <w:tcPr>
            <w:tcW w:w="325" w:type="dxa"/>
            <w:vMerge/>
            <w:tcBorders>
              <w:top w:val="nil"/>
              <w:left w:val="nil"/>
              <w:bottom w:val="single" w:sz="8" w:space="0" w:color="365F91"/>
              <w:right w:val="nil"/>
            </w:tcBorders>
            <w:vAlign w:val="center"/>
            <w:hideMark/>
          </w:tcPr>
          <w:p w14:paraId="2A54F314" w14:textId="77777777" w:rsidR="00F02481" w:rsidRPr="00BE78CA" w:rsidRDefault="00F02481" w:rsidP="00C26084">
            <w:pPr>
              <w:pStyle w:val="TableText"/>
              <w:spacing w:before="40" w:after="40"/>
              <w:rPr>
                <w:rFonts w:cs="Calibri"/>
                <w:szCs w:val="16"/>
              </w:rPr>
            </w:pPr>
          </w:p>
        </w:tc>
        <w:tc>
          <w:tcPr>
            <w:tcW w:w="3197" w:type="dxa"/>
            <w:tcBorders>
              <w:top w:val="nil"/>
              <w:left w:val="nil"/>
              <w:bottom w:val="nil"/>
              <w:right w:val="nil"/>
            </w:tcBorders>
            <w:shd w:val="clear" w:color="auto" w:fill="auto"/>
            <w:vAlign w:val="center"/>
            <w:hideMark/>
          </w:tcPr>
          <w:p w14:paraId="17FE1984" w14:textId="77777777" w:rsidR="00F02481" w:rsidRPr="00BE78CA" w:rsidRDefault="00F02481" w:rsidP="00C26084">
            <w:pPr>
              <w:pStyle w:val="TableText"/>
              <w:spacing w:before="40" w:after="40"/>
              <w:rPr>
                <w:rFonts w:cs="Calibri"/>
                <w:szCs w:val="16"/>
              </w:rPr>
            </w:pPr>
            <w:r w:rsidRPr="00BE78CA">
              <w:rPr>
                <w:rFonts w:cs="Calibri"/>
                <w:szCs w:val="16"/>
              </w:rPr>
              <w:t>Dairy Cattle</w:t>
            </w:r>
          </w:p>
        </w:tc>
        <w:tc>
          <w:tcPr>
            <w:tcW w:w="832" w:type="dxa"/>
            <w:tcBorders>
              <w:top w:val="nil"/>
              <w:left w:val="nil"/>
              <w:bottom w:val="nil"/>
              <w:right w:val="nil"/>
            </w:tcBorders>
            <w:shd w:val="clear" w:color="auto" w:fill="auto"/>
            <w:noWrap/>
            <w:vAlign w:val="center"/>
            <w:hideMark/>
          </w:tcPr>
          <w:p w14:paraId="0A2588DD" w14:textId="77777777" w:rsidR="00F02481" w:rsidRPr="00BE78CA" w:rsidRDefault="00F02481" w:rsidP="00C26084">
            <w:pPr>
              <w:pStyle w:val="TableText"/>
              <w:spacing w:before="40" w:after="40"/>
              <w:jc w:val="center"/>
              <w:rPr>
                <w:rFonts w:cs="Calibri"/>
                <w:szCs w:val="16"/>
              </w:rPr>
            </w:pPr>
            <w:r w:rsidRPr="00BE78CA">
              <w:rPr>
                <w:rFonts w:cs="Calibri"/>
                <w:szCs w:val="16"/>
              </w:rPr>
              <w:t>T2</w:t>
            </w:r>
          </w:p>
        </w:tc>
        <w:tc>
          <w:tcPr>
            <w:tcW w:w="832" w:type="dxa"/>
            <w:tcBorders>
              <w:top w:val="nil"/>
              <w:left w:val="nil"/>
              <w:bottom w:val="nil"/>
              <w:right w:val="nil"/>
            </w:tcBorders>
            <w:shd w:val="clear" w:color="auto" w:fill="auto"/>
            <w:noWrap/>
            <w:vAlign w:val="center"/>
            <w:hideMark/>
          </w:tcPr>
          <w:p w14:paraId="5D004AB1" w14:textId="77777777" w:rsidR="00F02481" w:rsidRPr="00BE78CA" w:rsidRDefault="00F02481" w:rsidP="00C26084">
            <w:pPr>
              <w:pStyle w:val="TableText"/>
              <w:spacing w:before="40" w:after="40"/>
              <w:jc w:val="center"/>
              <w:rPr>
                <w:rFonts w:cs="Calibri"/>
                <w:szCs w:val="16"/>
              </w:rPr>
            </w:pPr>
            <w:r w:rsidRPr="00BE78CA">
              <w:rPr>
                <w:rFonts w:cs="Calibri"/>
                <w:szCs w:val="16"/>
              </w:rPr>
              <w:t>CS</w:t>
            </w:r>
          </w:p>
        </w:tc>
        <w:tc>
          <w:tcPr>
            <w:tcW w:w="832" w:type="dxa"/>
            <w:tcBorders>
              <w:top w:val="nil"/>
              <w:left w:val="nil"/>
              <w:bottom w:val="nil"/>
              <w:right w:val="nil"/>
            </w:tcBorders>
            <w:shd w:val="clear" w:color="auto" w:fill="auto"/>
            <w:noWrap/>
            <w:vAlign w:val="center"/>
            <w:hideMark/>
          </w:tcPr>
          <w:p w14:paraId="6F3E6248" w14:textId="77777777" w:rsidR="00F02481" w:rsidRPr="00BE78CA" w:rsidRDefault="00F02481" w:rsidP="00C26084">
            <w:pPr>
              <w:pStyle w:val="TableText"/>
              <w:spacing w:before="40" w:after="40"/>
              <w:jc w:val="center"/>
              <w:rPr>
                <w:rFonts w:cs="Calibri"/>
                <w:szCs w:val="16"/>
              </w:rPr>
            </w:pPr>
            <w:r w:rsidRPr="00BE78CA">
              <w:rPr>
                <w:rFonts w:cs="Calibri"/>
                <w:szCs w:val="16"/>
              </w:rPr>
              <w:t>T2</w:t>
            </w:r>
          </w:p>
        </w:tc>
        <w:tc>
          <w:tcPr>
            <w:tcW w:w="832" w:type="dxa"/>
            <w:tcBorders>
              <w:top w:val="nil"/>
              <w:left w:val="nil"/>
              <w:bottom w:val="nil"/>
              <w:right w:val="nil"/>
            </w:tcBorders>
            <w:shd w:val="clear" w:color="auto" w:fill="auto"/>
            <w:noWrap/>
            <w:vAlign w:val="center"/>
            <w:hideMark/>
          </w:tcPr>
          <w:p w14:paraId="474D5945" w14:textId="77777777" w:rsidR="00F02481" w:rsidRPr="00BE78CA" w:rsidRDefault="00F02481" w:rsidP="00C26084">
            <w:pPr>
              <w:pStyle w:val="TableText"/>
              <w:spacing w:before="40" w:after="40"/>
              <w:jc w:val="center"/>
              <w:rPr>
                <w:rFonts w:cs="Calibri"/>
                <w:szCs w:val="16"/>
              </w:rPr>
            </w:pPr>
            <w:r w:rsidRPr="00BE78CA">
              <w:rPr>
                <w:rFonts w:cs="Calibri"/>
                <w:szCs w:val="16"/>
              </w:rPr>
              <w:t>CS</w:t>
            </w:r>
          </w:p>
        </w:tc>
        <w:tc>
          <w:tcPr>
            <w:tcW w:w="832" w:type="dxa"/>
            <w:tcBorders>
              <w:top w:val="nil"/>
              <w:left w:val="nil"/>
              <w:bottom w:val="nil"/>
              <w:right w:val="nil"/>
            </w:tcBorders>
            <w:shd w:val="clear" w:color="auto" w:fill="auto"/>
            <w:noWrap/>
            <w:vAlign w:val="center"/>
            <w:hideMark/>
          </w:tcPr>
          <w:p w14:paraId="7D66824E" w14:textId="77777777" w:rsidR="00F02481" w:rsidRPr="00BE78CA" w:rsidRDefault="00F02481" w:rsidP="00C26084">
            <w:pPr>
              <w:pStyle w:val="TableText"/>
              <w:spacing w:before="40" w:after="40"/>
              <w:jc w:val="center"/>
              <w:rPr>
                <w:rFonts w:cs="Calibri"/>
                <w:color w:val="FFFFFF"/>
                <w:szCs w:val="16"/>
              </w:rPr>
            </w:pPr>
            <w:r w:rsidRPr="00BE78CA">
              <w:rPr>
                <w:rFonts w:cs="Calibri"/>
                <w:color w:val="FFFFFF"/>
                <w:szCs w:val="16"/>
              </w:rPr>
              <w:t>-</w:t>
            </w:r>
          </w:p>
        </w:tc>
        <w:tc>
          <w:tcPr>
            <w:tcW w:w="832" w:type="dxa"/>
            <w:tcBorders>
              <w:top w:val="nil"/>
              <w:left w:val="nil"/>
              <w:bottom w:val="nil"/>
              <w:right w:val="nil"/>
            </w:tcBorders>
            <w:shd w:val="clear" w:color="auto" w:fill="auto"/>
            <w:noWrap/>
            <w:vAlign w:val="center"/>
            <w:hideMark/>
          </w:tcPr>
          <w:p w14:paraId="60A1ED29" w14:textId="77777777" w:rsidR="00F02481" w:rsidRPr="00BE78CA" w:rsidRDefault="00F02481" w:rsidP="00C26084">
            <w:pPr>
              <w:pStyle w:val="TableText"/>
              <w:spacing w:before="40" w:after="40"/>
              <w:jc w:val="center"/>
              <w:rPr>
                <w:rFonts w:cs="Calibri"/>
                <w:color w:val="FFFFFF"/>
                <w:szCs w:val="16"/>
              </w:rPr>
            </w:pPr>
            <w:r w:rsidRPr="00BE78CA">
              <w:rPr>
                <w:rFonts w:cs="Calibri"/>
                <w:color w:val="FFFFFF"/>
                <w:szCs w:val="16"/>
              </w:rPr>
              <w:t>-</w:t>
            </w:r>
          </w:p>
        </w:tc>
      </w:tr>
      <w:tr w:rsidR="00F02481" w:rsidRPr="00BE78CA" w14:paraId="0EFC7C09" w14:textId="77777777" w:rsidTr="006613CB">
        <w:tc>
          <w:tcPr>
            <w:tcW w:w="325" w:type="dxa"/>
            <w:vMerge/>
            <w:tcBorders>
              <w:top w:val="nil"/>
              <w:left w:val="nil"/>
              <w:bottom w:val="single" w:sz="4" w:space="0" w:color="365F91"/>
              <w:right w:val="nil"/>
            </w:tcBorders>
            <w:vAlign w:val="center"/>
            <w:hideMark/>
          </w:tcPr>
          <w:p w14:paraId="01B9CF25" w14:textId="77777777" w:rsidR="00F02481" w:rsidRPr="00BE78CA" w:rsidRDefault="00F02481" w:rsidP="00C26084">
            <w:pPr>
              <w:pStyle w:val="TableText"/>
              <w:spacing w:before="40" w:after="40"/>
              <w:rPr>
                <w:rFonts w:cs="Calibri"/>
                <w:szCs w:val="16"/>
              </w:rPr>
            </w:pPr>
          </w:p>
        </w:tc>
        <w:tc>
          <w:tcPr>
            <w:tcW w:w="3197" w:type="dxa"/>
            <w:tcBorders>
              <w:top w:val="nil"/>
              <w:left w:val="nil"/>
              <w:bottom w:val="single" w:sz="4" w:space="0" w:color="365F91"/>
              <w:right w:val="nil"/>
            </w:tcBorders>
            <w:shd w:val="clear" w:color="auto" w:fill="auto"/>
            <w:vAlign w:val="center"/>
            <w:hideMark/>
          </w:tcPr>
          <w:p w14:paraId="504C6B2C" w14:textId="1FB0AF7B" w:rsidR="00F02481" w:rsidRPr="00BE78CA" w:rsidRDefault="00F02481" w:rsidP="00C26084">
            <w:pPr>
              <w:pStyle w:val="TableText"/>
              <w:spacing w:before="40" w:after="40"/>
              <w:rPr>
                <w:rFonts w:cs="Calibri"/>
                <w:szCs w:val="16"/>
              </w:rPr>
            </w:pPr>
            <w:r w:rsidRPr="00BE78CA">
              <w:rPr>
                <w:rFonts w:cs="Calibri"/>
                <w:szCs w:val="16"/>
              </w:rPr>
              <w:t>Non-</w:t>
            </w:r>
            <w:r w:rsidR="003C54BF" w:rsidRPr="00BE78CA">
              <w:rPr>
                <w:rFonts w:cs="Calibri"/>
                <w:szCs w:val="16"/>
              </w:rPr>
              <w:t>D</w:t>
            </w:r>
            <w:r w:rsidRPr="00BE78CA">
              <w:rPr>
                <w:rFonts w:cs="Calibri"/>
                <w:szCs w:val="16"/>
              </w:rPr>
              <w:t xml:space="preserve">airy </w:t>
            </w:r>
            <w:r w:rsidRPr="00BE78CA">
              <w:rPr>
                <w:rFonts w:cs="Calibri"/>
                <w:i/>
                <w:iCs/>
                <w:szCs w:val="16"/>
              </w:rPr>
              <w:t>(Beef)</w:t>
            </w:r>
            <w:r w:rsidRPr="00BE78CA">
              <w:rPr>
                <w:rFonts w:cs="Calibri"/>
                <w:szCs w:val="16"/>
              </w:rPr>
              <w:t xml:space="preserve"> Cattle</w:t>
            </w:r>
          </w:p>
        </w:tc>
        <w:tc>
          <w:tcPr>
            <w:tcW w:w="832" w:type="dxa"/>
            <w:tcBorders>
              <w:top w:val="nil"/>
              <w:left w:val="nil"/>
              <w:bottom w:val="single" w:sz="4" w:space="0" w:color="365F91"/>
              <w:right w:val="nil"/>
            </w:tcBorders>
            <w:shd w:val="clear" w:color="auto" w:fill="auto"/>
            <w:noWrap/>
            <w:vAlign w:val="center"/>
            <w:hideMark/>
          </w:tcPr>
          <w:p w14:paraId="1EB861B0" w14:textId="77777777" w:rsidR="00F02481" w:rsidRPr="00BE78CA" w:rsidRDefault="00F02481" w:rsidP="00C26084">
            <w:pPr>
              <w:pStyle w:val="TableText"/>
              <w:spacing w:before="40" w:after="40"/>
              <w:jc w:val="center"/>
              <w:rPr>
                <w:rFonts w:cs="Calibri"/>
                <w:szCs w:val="16"/>
              </w:rPr>
            </w:pPr>
            <w:r w:rsidRPr="00BE78CA">
              <w:rPr>
                <w:rFonts w:cs="Calibri"/>
                <w:szCs w:val="16"/>
              </w:rPr>
              <w:t>T2</w:t>
            </w:r>
          </w:p>
        </w:tc>
        <w:tc>
          <w:tcPr>
            <w:tcW w:w="832" w:type="dxa"/>
            <w:tcBorders>
              <w:top w:val="nil"/>
              <w:left w:val="nil"/>
              <w:bottom w:val="single" w:sz="4" w:space="0" w:color="365F91"/>
              <w:right w:val="nil"/>
            </w:tcBorders>
            <w:shd w:val="clear" w:color="auto" w:fill="auto"/>
            <w:noWrap/>
            <w:vAlign w:val="center"/>
            <w:hideMark/>
          </w:tcPr>
          <w:p w14:paraId="22885A3B" w14:textId="77777777" w:rsidR="00F02481" w:rsidRPr="00BE78CA" w:rsidRDefault="00F02481" w:rsidP="00C26084">
            <w:pPr>
              <w:pStyle w:val="TableText"/>
              <w:spacing w:before="40" w:after="40"/>
              <w:jc w:val="center"/>
              <w:rPr>
                <w:rFonts w:cs="Calibri"/>
                <w:szCs w:val="16"/>
              </w:rPr>
            </w:pPr>
            <w:r w:rsidRPr="00BE78CA">
              <w:rPr>
                <w:rFonts w:cs="Calibri"/>
                <w:szCs w:val="16"/>
              </w:rPr>
              <w:t>CS</w:t>
            </w:r>
          </w:p>
        </w:tc>
        <w:tc>
          <w:tcPr>
            <w:tcW w:w="832" w:type="dxa"/>
            <w:tcBorders>
              <w:top w:val="nil"/>
              <w:left w:val="nil"/>
              <w:bottom w:val="single" w:sz="4" w:space="0" w:color="365F91"/>
              <w:right w:val="nil"/>
            </w:tcBorders>
            <w:shd w:val="clear" w:color="auto" w:fill="auto"/>
            <w:noWrap/>
            <w:vAlign w:val="center"/>
            <w:hideMark/>
          </w:tcPr>
          <w:p w14:paraId="63FA533C" w14:textId="77777777" w:rsidR="00F02481" w:rsidRPr="00BE78CA" w:rsidRDefault="00F02481" w:rsidP="00C26084">
            <w:pPr>
              <w:pStyle w:val="TableText"/>
              <w:spacing w:before="40" w:after="40"/>
              <w:jc w:val="center"/>
              <w:rPr>
                <w:rFonts w:cs="Calibri"/>
                <w:szCs w:val="16"/>
              </w:rPr>
            </w:pPr>
            <w:r w:rsidRPr="00BE78CA">
              <w:rPr>
                <w:rFonts w:cs="Calibri"/>
                <w:szCs w:val="16"/>
              </w:rPr>
              <w:t>NA</w:t>
            </w:r>
          </w:p>
        </w:tc>
        <w:tc>
          <w:tcPr>
            <w:tcW w:w="832" w:type="dxa"/>
            <w:tcBorders>
              <w:top w:val="nil"/>
              <w:left w:val="nil"/>
              <w:bottom w:val="single" w:sz="4" w:space="0" w:color="365F91"/>
              <w:right w:val="nil"/>
            </w:tcBorders>
            <w:shd w:val="clear" w:color="auto" w:fill="auto"/>
            <w:noWrap/>
            <w:vAlign w:val="center"/>
            <w:hideMark/>
          </w:tcPr>
          <w:p w14:paraId="155821C8" w14:textId="77777777" w:rsidR="00F02481" w:rsidRPr="00BE78CA" w:rsidRDefault="00F02481" w:rsidP="00C26084">
            <w:pPr>
              <w:pStyle w:val="TableText"/>
              <w:spacing w:before="40" w:after="40"/>
              <w:jc w:val="center"/>
              <w:rPr>
                <w:rFonts w:cs="Calibri"/>
                <w:szCs w:val="16"/>
              </w:rPr>
            </w:pPr>
            <w:r w:rsidRPr="00BE78CA">
              <w:rPr>
                <w:rFonts w:cs="Calibri"/>
                <w:szCs w:val="16"/>
              </w:rPr>
              <w:t>NA</w:t>
            </w:r>
          </w:p>
        </w:tc>
        <w:tc>
          <w:tcPr>
            <w:tcW w:w="832" w:type="dxa"/>
            <w:tcBorders>
              <w:top w:val="nil"/>
              <w:left w:val="nil"/>
              <w:bottom w:val="single" w:sz="4" w:space="0" w:color="365F91"/>
              <w:right w:val="nil"/>
            </w:tcBorders>
            <w:shd w:val="clear" w:color="auto" w:fill="auto"/>
            <w:noWrap/>
            <w:vAlign w:val="center"/>
            <w:hideMark/>
          </w:tcPr>
          <w:p w14:paraId="7114A83B" w14:textId="77777777" w:rsidR="00F02481" w:rsidRPr="00BE78CA" w:rsidRDefault="00F02481" w:rsidP="00C26084">
            <w:pPr>
              <w:pStyle w:val="TableText"/>
              <w:spacing w:before="40" w:after="40"/>
              <w:jc w:val="center"/>
              <w:rPr>
                <w:rFonts w:cs="Calibri"/>
                <w:color w:val="FFFFFF"/>
                <w:szCs w:val="16"/>
              </w:rPr>
            </w:pPr>
            <w:r w:rsidRPr="00BE78CA">
              <w:rPr>
                <w:rFonts w:cs="Calibri"/>
                <w:color w:val="FFFFFF"/>
                <w:szCs w:val="16"/>
              </w:rPr>
              <w:t>-</w:t>
            </w:r>
          </w:p>
        </w:tc>
        <w:tc>
          <w:tcPr>
            <w:tcW w:w="832" w:type="dxa"/>
            <w:tcBorders>
              <w:top w:val="nil"/>
              <w:left w:val="nil"/>
              <w:bottom w:val="single" w:sz="4" w:space="0" w:color="365F91"/>
              <w:right w:val="nil"/>
            </w:tcBorders>
            <w:shd w:val="clear" w:color="auto" w:fill="auto"/>
            <w:noWrap/>
            <w:vAlign w:val="center"/>
            <w:hideMark/>
          </w:tcPr>
          <w:p w14:paraId="4086D093" w14:textId="77777777" w:rsidR="00F02481" w:rsidRPr="00BE78CA" w:rsidRDefault="00F02481" w:rsidP="00C26084">
            <w:pPr>
              <w:pStyle w:val="TableText"/>
              <w:spacing w:before="40" w:after="40"/>
              <w:jc w:val="center"/>
              <w:rPr>
                <w:rFonts w:cs="Calibri"/>
                <w:color w:val="FFFFFF"/>
                <w:szCs w:val="16"/>
              </w:rPr>
            </w:pPr>
            <w:r w:rsidRPr="00BE78CA">
              <w:rPr>
                <w:rFonts w:cs="Calibri"/>
                <w:color w:val="FFFFFF"/>
                <w:szCs w:val="16"/>
              </w:rPr>
              <w:t>-</w:t>
            </w:r>
          </w:p>
        </w:tc>
      </w:tr>
      <w:tr w:rsidR="00F02481" w:rsidRPr="00BE78CA" w14:paraId="2F0C4BC7" w14:textId="77777777" w:rsidTr="006613CB">
        <w:tc>
          <w:tcPr>
            <w:tcW w:w="325" w:type="dxa"/>
            <w:tcBorders>
              <w:top w:val="single" w:sz="4" w:space="0" w:color="365F91"/>
              <w:left w:val="nil"/>
              <w:bottom w:val="single" w:sz="4" w:space="0" w:color="365F91"/>
              <w:right w:val="nil"/>
            </w:tcBorders>
            <w:shd w:val="clear" w:color="auto" w:fill="auto"/>
            <w:noWrap/>
            <w:vAlign w:val="center"/>
            <w:hideMark/>
          </w:tcPr>
          <w:p w14:paraId="072F1693" w14:textId="77777777" w:rsidR="00F02481" w:rsidRPr="00BE78CA" w:rsidRDefault="00F02481" w:rsidP="00C26084">
            <w:pPr>
              <w:pStyle w:val="TableText"/>
              <w:spacing w:before="40" w:after="40"/>
              <w:rPr>
                <w:rFonts w:cs="Calibri"/>
                <w:szCs w:val="16"/>
              </w:rPr>
            </w:pPr>
            <w:r w:rsidRPr="00BE78CA">
              <w:rPr>
                <w:rFonts w:cs="Calibri"/>
                <w:szCs w:val="16"/>
              </w:rPr>
              <w:t>2</w:t>
            </w:r>
          </w:p>
        </w:tc>
        <w:tc>
          <w:tcPr>
            <w:tcW w:w="3197" w:type="dxa"/>
            <w:tcBorders>
              <w:top w:val="single" w:sz="4" w:space="0" w:color="365F91"/>
              <w:left w:val="nil"/>
              <w:bottom w:val="single" w:sz="4" w:space="0" w:color="365F91"/>
              <w:right w:val="nil"/>
            </w:tcBorders>
            <w:shd w:val="clear" w:color="auto" w:fill="auto"/>
            <w:vAlign w:val="center"/>
            <w:hideMark/>
          </w:tcPr>
          <w:p w14:paraId="3481CCCF" w14:textId="77777777" w:rsidR="00F02481" w:rsidRPr="00BE78CA" w:rsidRDefault="00F02481" w:rsidP="00C26084">
            <w:pPr>
              <w:pStyle w:val="TableText"/>
              <w:spacing w:before="40" w:after="40"/>
              <w:rPr>
                <w:rFonts w:cs="Calibri"/>
                <w:szCs w:val="16"/>
              </w:rPr>
            </w:pPr>
            <w:r w:rsidRPr="00BE78CA">
              <w:rPr>
                <w:rFonts w:cs="Calibri"/>
                <w:szCs w:val="16"/>
              </w:rPr>
              <w:t xml:space="preserve">Sheep </w:t>
            </w:r>
          </w:p>
        </w:tc>
        <w:tc>
          <w:tcPr>
            <w:tcW w:w="832" w:type="dxa"/>
            <w:tcBorders>
              <w:top w:val="single" w:sz="4" w:space="0" w:color="365F91"/>
              <w:left w:val="nil"/>
              <w:bottom w:val="single" w:sz="4" w:space="0" w:color="365F91"/>
              <w:right w:val="nil"/>
            </w:tcBorders>
            <w:shd w:val="clear" w:color="auto" w:fill="auto"/>
            <w:noWrap/>
            <w:vAlign w:val="center"/>
            <w:hideMark/>
          </w:tcPr>
          <w:p w14:paraId="729AFF02" w14:textId="77777777" w:rsidR="00F02481" w:rsidRPr="00BE78CA" w:rsidRDefault="00F02481" w:rsidP="00C26084">
            <w:pPr>
              <w:pStyle w:val="TableText"/>
              <w:spacing w:before="40" w:after="40"/>
              <w:jc w:val="center"/>
              <w:rPr>
                <w:rFonts w:cs="Calibri"/>
                <w:szCs w:val="16"/>
              </w:rPr>
            </w:pPr>
            <w:r w:rsidRPr="00BE78CA">
              <w:rPr>
                <w:rFonts w:cs="Calibri"/>
                <w:szCs w:val="16"/>
              </w:rPr>
              <w:t>T2</w:t>
            </w:r>
          </w:p>
        </w:tc>
        <w:tc>
          <w:tcPr>
            <w:tcW w:w="832" w:type="dxa"/>
            <w:tcBorders>
              <w:top w:val="single" w:sz="4" w:space="0" w:color="365F91"/>
              <w:left w:val="nil"/>
              <w:bottom w:val="single" w:sz="4" w:space="0" w:color="365F91"/>
              <w:right w:val="nil"/>
            </w:tcBorders>
            <w:shd w:val="clear" w:color="auto" w:fill="auto"/>
            <w:noWrap/>
            <w:vAlign w:val="center"/>
            <w:hideMark/>
          </w:tcPr>
          <w:p w14:paraId="3F35D973" w14:textId="77777777" w:rsidR="00F02481" w:rsidRPr="00BE78CA" w:rsidRDefault="00F02481" w:rsidP="00C26084">
            <w:pPr>
              <w:pStyle w:val="TableText"/>
              <w:spacing w:before="40" w:after="40"/>
              <w:jc w:val="center"/>
              <w:rPr>
                <w:rFonts w:cs="Calibri"/>
                <w:szCs w:val="16"/>
              </w:rPr>
            </w:pPr>
            <w:r w:rsidRPr="00BE78CA">
              <w:rPr>
                <w:rFonts w:cs="Calibri"/>
                <w:szCs w:val="16"/>
              </w:rPr>
              <w:t>CS</w:t>
            </w:r>
          </w:p>
        </w:tc>
        <w:tc>
          <w:tcPr>
            <w:tcW w:w="832" w:type="dxa"/>
            <w:tcBorders>
              <w:top w:val="single" w:sz="4" w:space="0" w:color="365F91"/>
              <w:left w:val="nil"/>
              <w:bottom w:val="single" w:sz="4" w:space="0" w:color="365F91"/>
              <w:right w:val="nil"/>
            </w:tcBorders>
            <w:shd w:val="clear" w:color="auto" w:fill="auto"/>
            <w:noWrap/>
            <w:vAlign w:val="center"/>
            <w:hideMark/>
          </w:tcPr>
          <w:p w14:paraId="0FE3F602" w14:textId="77777777" w:rsidR="00F02481" w:rsidRPr="00BE78CA" w:rsidRDefault="00F02481" w:rsidP="00C26084">
            <w:pPr>
              <w:pStyle w:val="TableText"/>
              <w:spacing w:before="40" w:after="40"/>
              <w:jc w:val="center"/>
              <w:rPr>
                <w:rFonts w:cs="Calibri"/>
                <w:szCs w:val="16"/>
              </w:rPr>
            </w:pPr>
            <w:r w:rsidRPr="00BE78CA">
              <w:rPr>
                <w:rFonts w:cs="Calibri"/>
                <w:szCs w:val="16"/>
              </w:rPr>
              <w:t>NA</w:t>
            </w:r>
          </w:p>
        </w:tc>
        <w:tc>
          <w:tcPr>
            <w:tcW w:w="832" w:type="dxa"/>
            <w:tcBorders>
              <w:top w:val="single" w:sz="4" w:space="0" w:color="365F91"/>
              <w:left w:val="nil"/>
              <w:bottom w:val="single" w:sz="4" w:space="0" w:color="365F91"/>
              <w:right w:val="nil"/>
            </w:tcBorders>
            <w:shd w:val="clear" w:color="auto" w:fill="auto"/>
            <w:noWrap/>
            <w:vAlign w:val="center"/>
            <w:hideMark/>
          </w:tcPr>
          <w:p w14:paraId="37616D6A" w14:textId="77777777" w:rsidR="00F02481" w:rsidRPr="00BE78CA" w:rsidRDefault="00F02481" w:rsidP="00C26084">
            <w:pPr>
              <w:pStyle w:val="TableText"/>
              <w:spacing w:before="40" w:after="40"/>
              <w:jc w:val="center"/>
              <w:rPr>
                <w:rFonts w:cs="Calibri"/>
                <w:szCs w:val="16"/>
              </w:rPr>
            </w:pPr>
            <w:r w:rsidRPr="00BE78CA">
              <w:rPr>
                <w:rFonts w:cs="Calibri"/>
                <w:szCs w:val="16"/>
              </w:rPr>
              <w:t>NA</w:t>
            </w:r>
          </w:p>
        </w:tc>
        <w:tc>
          <w:tcPr>
            <w:tcW w:w="832" w:type="dxa"/>
            <w:tcBorders>
              <w:top w:val="single" w:sz="4" w:space="0" w:color="365F91"/>
              <w:left w:val="nil"/>
              <w:bottom w:val="single" w:sz="4" w:space="0" w:color="365F91"/>
              <w:right w:val="nil"/>
            </w:tcBorders>
            <w:shd w:val="clear" w:color="auto" w:fill="auto"/>
            <w:noWrap/>
            <w:vAlign w:val="center"/>
            <w:hideMark/>
          </w:tcPr>
          <w:p w14:paraId="2FAF4850" w14:textId="77777777" w:rsidR="00F02481" w:rsidRPr="00BE78CA" w:rsidRDefault="00F02481" w:rsidP="00C26084">
            <w:pPr>
              <w:pStyle w:val="TableText"/>
              <w:spacing w:before="40" w:after="40"/>
              <w:jc w:val="center"/>
              <w:rPr>
                <w:rFonts w:cs="Calibri"/>
                <w:color w:val="FFFFFF"/>
                <w:szCs w:val="16"/>
              </w:rPr>
            </w:pPr>
            <w:r w:rsidRPr="00BE78CA">
              <w:rPr>
                <w:rFonts w:cs="Calibri"/>
                <w:color w:val="FFFFFF"/>
                <w:szCs w:val="16"/>
              </w:rPr>
              <w:t>-</w:t>
            </w:r>
          </w:p>
        </w:tc>
        <w:tc>
          <w:tcPr>
            <w:tcW w:w="832" w:type="dxa"/>
            <w:tcBorders>
              <w:top w:val="single" w:sz="4" w:space="0" w:color="365F91"/>
              <w:left w:val="nil"/>
              <w:bottom w:val="single" w:sz="4" w:space="0" w:color="365F91"/>
              <w:right w:val="nil"/>
            </w:tcBorders>
            <w:shd w:val="clear" w:color="auto" w:fill="auto"/>
            <w:noWrap/>
            <w:vAlign w:val="center"/>
            <w:hideMark/>
          </w:tcPr>
          <w:p w14:paraId="7275DF81" w14:textId="77777777" w:rsidR="00F02481" w:rsidRPr="00BE78CA" w:rsidRDefault="00F02481" w:rsidP="00C26084">
            <w:pPr>
              <w:pStyle w:val="TableText"/>
              <w:spacing w:before="40" w:after="40"/>
              <w:jc w:val="center"/>
              <w:rPr>
                <w:rFonts w:cs="Calibri"/>
                <w:color w:val="FFFFFF"/>
                <w:szCs w:val="16"/>
              </w:rPr>
            </w:pPr>
            <w:r w:rsidRPr="00BE78CA">
              <w:rPr>
                <w:rFonts w:cs="Calibri"/>
                <w:color w:val="FFFFFF"/>
                <w:szCs w:val="16"/>
              </w:rPr>
              <w:t>-</w:t>
            </w:r>
          </w:p>
        </w:tc>
      </w:tr>
      <w:tr w:rsidR="00F02481" w:rsidRPr="00BE78CA" w14:paraId="397854CF" w14:textId="77777777" w:rsidTr="006613CB">
        <w:tc>
          <w:tcPr>
            <w:tcW w:w="325" w:type="dxa"/>
            <w:tcBorders>
              <w:top w:val="single" w:sz="4" w:space="0" w:color="365F91"/>
              <w:left w:val="nil"/>
              <w:bottom w:val="single" w:sz="4" w:space="0" w:color="365F91"/>
              <w:right w:val="nil"/>
            </w:tcBorders>
            <w:shd w:val="clear" w:color="auto" w:fill="auto"/>
            <w:noWrap/>
            <w:vAlign w:val="center"/>
            <w:hideMark/>
          </w:tcPr>
          <w:p w14:paraId="05C3EB23" w14:textId="77777777" w:rsidR="00F02481" w:rsidRPr="00BE78CA" w:rsidRDefault="00F02481" w:rsidP="00C26084">
            <w:pPr>
              <w:pStyle w:val="TableText"/>
              <w:spacing w:before="40" w:after="40"/>
              <w:rPr>
                <w:rFonts w:cs="Calibri"/>
                <w:szCs w:val="16"/>
              </w:rPr>
            </w:pPr>
            <w:r w:rsidRPr="00BE78CA">
              <w:rPr>
                <w:rFonts w:cs="Calibri"/>
                <w:szCs w:val="16"/>
              </w:rPr>
              <w:t>3</w:t>
            </w:r>
          </w:p>
        </w:tc>
        <w:tc>
          <w:tcPr>
            <w:tcW w:w="3197" w:type="dxa"/>
            <w:tcBorders>
              <w:top w:val="single" w:sz="4" w:space="0" w:color="365F91"/>
              <w:left w:val="nil"/>
              <w:bottom w:val="single" w:sz="4" w:space="0" w:color="365F91"/>
              <w:right w:val="nil"/>
            </w:tcBorders>
            <w:shd w:val="clear" w:color="auto" w:fill="auto"/>
            <w:vAlign w:val="center"/>
            <w:hideMark/>
          </w:tcPr>
          <w:p w14:paraId="48204906" w14:textId="77777777" w:rsidR="00F02481" w:rsidRPr="00BE78CA" w:rsidRDefault="00F02481" w:rsidP="00C26084">
            <w:pPr>
              <w:pStyle w:val="TableText"/>
              <w:spacing w:before="40" w:after="40"/>
              <w:rPr>
                <w:rFonts w:cs="Calibri"/>
                <w:szCs w:val="16"/>
              </w:rPr>
            </w:pPr>
            <w:r w:rsidRPr="00BE78CA">
              <w:rPr>
                <w:rFonts w:cs="Calibri"/>
                <w:szCs w:val="16"/>
              </w:rPr>
              <w:t>Swine</w:t>
            </w:r>
          </w:p>
        </w:tc>
        <w:tc>
          <w:tcPr>
            <w:tcW w:w="832" w:type="dxa"/>
            <w:tcBorders>
              <w:top w:val="single" w:sz="4" w:space="0" w:color="365F91"/>
              <w:left w:val="nil"/>
              <w:bottom w:val="single" w:sz="4" w:space="0" w:color="365F91"/>
              <w:right w:val="nil"/>
            </w:tcBorders>
            <w:shd w:val="clear" w:color="auto" w:fill="auto"/>
            <w:noWrap/>
            <w:vAlign w:val="center"/>
            <w:hideMark/>
          </w:tcPr>
          <w:p w14:paraId="199E4492" w14:textId="77777777" w:rsidR="00F02481" w:rsidRPr="00BE78CA" w:rsidRDefault="00F02481" w:rsidP="00C26084">
            <w:pPr>
              <w:pStyle w:val="TableText"/>
              <w:spacing w:before="40" w:after="40"/>
              <w:jc w:val="center"/>
              <w:rPr>
                <w:rFonts w:cs="Calibri"/>
                <w:szCs w:val="16"/>
              </w:rPr>
            </w:pPr>
            <w:r w:rsidRPr="00BE78CA">
              <w:rPr>
                <w:rFonts w:cs="Calibri"/>
                <w:szCs w:val="16"/>
              </w:rPr>
              <w:t>T1</w:t>
            </w:r>
          </w:p>
        </w:tc>
        <w:tc>
          <w:tcPr>
            <w:tcW w:w="832" w:type="dxa"/>
            <w:tcBorders>
              <w:top w:val="single" w:sz="4" w:space="0" w:color="365F91"/>
              <w:left w:val="nil"/>
              <w:bottom w:val="single" w:sz="4" w:space="0" w:color="365F91"/>
              <w:right w:val="nil"/>
            </w:tcBorders>
            <w:shd w:val="clear" w:color="auto" w:fill="auto"/>
            <w:noWrap/>
            <w:vAlign w:val="center"/>
            <w:hideMark/>
          </w:tcPr>
          <w:p w14:paraId="67B96343" w14:textId="77777777" w:rsidR="00F02481" w:rsidRPr="00BE78CA" w:rsidRDefault="00F02481" w:rsidP="00C26084">
            <w:pPr>
              <w:pStyle w:val="TableText"/>
              <w:spacing w:before="40" w:after="40"/>
              <w:jc w:val="center"/>
              <w:rPr>
                <w:rFonts w:cs="Calibri"/>
                <w:szCs w:val="16"/>
              </w:rPr>
            </w:pPr>
            <w:r w:rsidRPr="00BE78CA">
              <w:rPr>
                <w:rFonts w:cs="Calibri"/>
                <w:szCs w:val="16"/>
              </w:rPr>
              <w:t>CS</w:t>
            </w:r>
          </w:p>
        </w:tc>
        <w:tc>
          <w:tcPr>
            <w:tcW w:w="832" w:type="dxa"/>
            <w:tcBorders>
              <w:top w:val="single" w:sz="4" w:space="0" w:color="365F91"/>
              <w:left w:val="nil"/>
              <w:bottom w:val="single" w:sz="4" w:space="0" w:color="365F91"/>
              <w:right w:val="nil"/>
            </w:tcBorders>
            <w:shd w:val="clear" w:color="auto" w:fill="auto"/>
            <w:noWrap/>
            <w:vAlign w:val="center"/>
            <w:hideMark/>
          </w:tcPr>
          <w:p w14:paraId="4E21F375" w14:textId="77777777" w:rsidR="00F02481" w:rsidRPr="00BE78CA" w:rsidRDefault="00F02481" w:rsidP="00C26084">
            <w:pPr>
              <w:pStyle w:val="TableText"/>
              <w:spacing w:before="40" w:after="40"/>
              <w:jc w:val="center"/>
              <w:rPr>
                <w:rFonts w:cs="Calibri"/>
                <w:szCs w:val="16"/>
              </w:rPr>
            </w:pPr>
            <w:r w:rsidRPr="00BE78CA">
              <w:rPr>
                <w:rFonts w:cs="Calibri"/>
                <w:szCs w:val="16"/>
              </w:rPr>
              <w:t>T1</w:t>
            </w:r>
          </w:p>
        </w:tc>
        <w:tc>
          <w:tcPr>
            <w:tcW w:w="832" w:type="dxa"/>
            <w:tcBorders>
              <w:top w:val="single" w:sz="4" w:space="0" w:color="365F91"/>
              <w:left w:val="nil"/>
              <w:bottom w:val="single" w:sz="4" w:space="0" w:color="365F91"/>
              <w:right w:val="nil"/>
            </w:tcBorders>
            <w:shd w:val="clear" w:color="auto" w:fill="auto"/>
            <w:noWrap/>
            <w:vAlign w:val="center"/>
            <w:hideMark/>
          </w:tcPr>
          <w:p w14:paraId="07859B7C" w14:textId="77777777" w:rsidR="00F02481" w:rsidRPr="00BE78CA" w:rsidRDefault="00F02481" w:rsidP="00C26084">
            <w:pPr>
              <w:pStyle w:val="TableText"/>
              <w:spacing w:before="40" w:after="40"/>
              <w:jc w:val="center"/>
              <w:rPr>
                <w:rFonts w:cs="Calibri"/>
                <w:szCs w:val="16"/>
              </w:rPr>
            </w:pPr>
            <w:r w:rsidRPr="00BE78CA">
              <w:rPr>
                <w:rFonts w:cs="Calibri"/>
                <w:szCs w:val="16"/>
              </w:rPr>
              <w:t>CS</w:t>
            </w:r>
          </w:p>
        </w:tc>
        <w:tc>
          <w:tcPr>
            <w:tcW w:w="832" w:type="dxa"/>
            <w:tcBorders>
              <w:top w:val="single" w:sz="4" w:space="0" w:color="365F91"/>
              <w:left w:val="nil"/>
              <w:bottom w:val="single" w:sz="4" w:space="0" w:color="365F91"/>
              <w:right w:val="nil"/>
            </w:tcBorders>
            <w:shd w:val="clear" w:color="auto" w:fill="auto"/>
            <w:noWrap/>
            <w:vAlign w:val="center"/>
            <w:hideMark/>
          </w:tcPr>
          <w:p w14:paraId="2BAA9E91" w14:textId="77777777" w:rsidR="00F02481" w:rsidRPr="00BE78CA" w:rsidRDefault="00F02481" w:rsidP="00C26084">
            <w:pPr>
              <w:pStyle w:val="TableText"/>
              <w:spacing w:before="40" w:after="40"/>
              <w:jc w:val="center"/>
              <w:rPr>
                <w:rFonts w:cs="Calibri"/>
                <w:color w:val="FFFFFF"/>
                <w:szCs w:val="16"/>
              </w:rPr>
            </w:pPr>
            <w:r w:rsidRPr="00BE78CA">
              <w:rPr>
                <w:rFonts w:cs="Calibri"/>
                <w:color w:val="FFFFFF"/>
                <w:szCs w:val="16"/>
              </w:rPr>
              <w:t>-</w:t>
            </w:r>
          </w:p>
        </w:tc>
        <w:tc>
          <w:tcPr>
            <w:tcW w:w="832" w:type="dxa"/>
            <w:tcBorders>
              <w:top w:val="single" w:sz="4" w:space="0" w:color="365F91"/>
              <w:left w:val="nil"/>
              <w:bottom w:val="single" w:sz="4" w:space="0" w:color="365F91"/>
              <w:right w:val="nil"/>
            </w:tcBorders>
            <w:shd w:val="clear" w:color="auto" w:fill="auto"/>
            <w:noWrap/>
            <w:vAlign w:val="center"/>
            <w:hideMark/>
          </w:tcPr>
          <w:p w14:paraId="4B91F532" w14:textId="77777777" w:rsidR="00F02481" w:rsidRPr="00BE78CA" w:rsidRDefault="00F02481" w:rsidP="00C26084">
            <w:pPr>
              <w:pStyle w:val="TableText"/>
              <w:spacing w:before="40" w:after="40"/>
              <w:jc w:val="center"/>
              <w:rPr>
                <w:rFonts w:cs="Calibri"/>
                <w:color w:val="FFFFFF"/>
                <w:szCs w:val="16"/>
              </w:rPr>
            </w:pPr>
            <w:r w:rsidRPr="00BE78CA">
              <w:rPr>
                <w:rFonts w:cs="Calibri"/>
                <w:color w:val="FFFFFF"/>
                <w:szCs w:val="16"/>
              </w:rPr>
              <w:t>-</w:t>
            </w:r>
          </w:p>
        </w:tc>
      </w:tr>
      <w:tr w:rsidR="00F02481" w:rsidRPr="00BE78CA" w14:paraId="2770A79E" w14:textId="77777777" w:rsidTr="006613CB">
        <w:tc>
          <w:tcPr>
            <w:tcW w:w="325" w:type="dxa"/>
            <w:vMerge w:val="restart"/>
            <w:tcBorders>
              <w:top w:val="single" w:sz="4" w:space="0" w:color="365F91"/>
              <w:left w:val="nil"/>
              <w:bottom w:val="single" w:sz="8" w:space="0" w:color="365F91"/>
              <w:right w:val="nil"/>
            </w:tcBorders>
            <w:shd w:val="clear" w:color="auto" w:fill="auto"/>
            <w:noWrap/>
            <w:vAlign w:val="center"/>
            <w:hideMark/>
          </w:tcPr>
          <w:p w14:paraId="585A5447" w14:textId="77777777" w:rsidR="00F02481" w:rsidRPr="00BE78CA" w:rsidRDefault="00F02481" w:rsidP="00C26084">
            <w:pPr>
              <w:pStyle w:val="TableText"/>
              <w:spacing w:before="40" w:after="40"/>
              <w:rPr>
                <w:rFonts w:cs="Calibri"/>
                <w:szCs w:val="16"/>
              </w:rPr>
            </w:pPr>
            <w:r w:rsidRPr="00BE78CA">
              <w:rPr>
                <w:rFonts w:cs="Calibri"/>
                <w:szCs w:val="16"/>
              </w:rPr>
              <w:t>4</w:t>
            </w:r>
          </w:p>
        </w:tc>
        <w:tc>
          <w:tcPr>
            <w:tcW w:w="3197" w:type="dxa"/>
            <w:tcBorders>
              <w:top w:val="single" w:sz="4" w:space="0" w:color="365F91"/>
              <w:left w:val="nil"/>
              <w:bottom w:val="nil"/>
              <w:right w:val="nil"/>
            </w:tcBorders>
            <w:shd w:val="clear" w:color="auto" w:fill="auto"/>
            <w:vAlign w:val="center"/>
            <w:hideMark/>
          </w:tcPr>
          <w:p w14:paraId="1C6001C9" w14:textId="77777777" w:rsidR="00F02481" w:rsidRPr="00BE78CA" w:rsidRDefault="00F02481" w:rsidP="00C26084">
            <w:pPr>
              <w:pStyle w:val="TableText"/>
              <w:spacing w:before="40" w:after="40"/>
              <w:rPr>
                <w:rFonts w:cs="Calibri"/>
                <w:szCs w:val="16"/>
              </w:rPr>
            </w:pPr>
            <w:r w:rsidRPr="00BE78CA">
              <w:rPr>
                <w:rFonts w:cs="Calibri"/>
                <w:szCs w:val="16"/>
              </w:rPr>
              <w:t>Poultry</w:t>
            </w:r>
          </w:p>
        </w:tc>
        <w:tc>
          <w:tcPr>
            <w:tcW w:w="832" w:type="dxa"/>
            <w:tcBorders>
              <w:top w:val="single" w:sz="4" w:space="0" w:color="365F91"/>
              <w:left w:val="nil"/>
              <w:bottom w:val="nil"/>
              <w:right w:val="nil"/>
            </w:tcBorders>
            <w:shd w:val="clear" w:color="auto" w:fill="auto"/>
            <w:noWrap/>
            <w:vAlign w:val="center"/>
            <w:hideMark/>
          </w:tcPr>
          <w:p w14:paraId="2A313544" w14:textId="77777777" w:rsidR="00F02481" w:rsidRPr="00BE78CA" w:rsidRDefault="00F02481" w:rsidP="00C26084">
            <w:pPr>
              <w:pStyle w:val="TableText"/>
              <w:spacing w:before="40" w:after="40"/>
              <w:jc w:val="center"/>
              <w:rPr>
                <w:rFonts w:cs="Calibri"/>
                <w:szCs w:val="16"/>
              </w:rPr>
            </w:pPr>
            <w:r w:rsidRPr="00BE78CA">
              <w:rPr>
                <w:rFonts w:cs="Calibri"/>
                <w:szCs w:val="16"/>
              </w:rPr>
              <w:t>T1</w:t>
            </w:r>
          </w:p>
        </w:tc>
        <w:tc>
          <w:tcPr>
            <w:tcW w:w="832" w:type="dxa"/>
            <w:tcBorders>
              <w:top w:val="single" w:sz="4" w:space="0" w:color="365F91"/>
              <w:left w:val="nil"/>
              <w:bottom w:val="nil"/>
              <w:right w:val="nil"/>
            </w:tcBorders>
            <w:shd w:val="clear" w:color="auto" w:fill="auto"/>
            <w:noWrap/>
            <w:vAlign w:val="center"/>
            <w:hideMark/>
          </w:tcPr>
          <w:p w14:paraId="3CD542DA" w14:textId="77777777" w:rsidR="00F02481" w:rsidRPr="00BE78CA" w:rsidRDefault="00F02481" w:rsidP="00C26084">
            <w:pPr>
              <w:pStyle w:val="TableText"/>
              <w:spacing w:before="40" w:after="40"/>
              <w:jc w:val="center"/>
              <w:rPr>
                <w:rFonts w:cs="Calibri"/>
                <w:szCs w:val="16"/>
              </w:rPr>
            </w:pPr>
            <w:r w:rsidRPr="00BE78CA">
              <w:rPr>
                <w:rFonts w:cs="Calibri"/>
                <w:szCs w:val="16"/>
              </w:rPr>
              <w:t>D</w:t>
            </w:r>
          </w:p>
        </w:tc>
        <w:tc>
          <w:tcPr>
            <w:tcW w:w="832" w:type="dxa"/>
            <w:tcBorders>
              <w:top w:val="single" w:sz="4" w:space="0" w:color="365F91"/>
              <w:left w:val="nil"/>
              <w:bottom w:val="nil"/>
              <w:right w:val="nil"/>
            </w:tcBorders>
            <w:shd w:val="clear" w:color="auto" w:fill="auto"/>
            <w:noWrap/>
            <w:vAlign w:val="center"/>
            <w:hideMark/>
          </w:tcPr>
          <w:p w14:paraId="5C72742B" w14:textId="77777777" w:rsidR="00F02481" w:rsidRPr="00BE78CA" w:rsidRDefault="00F02481" w:rsidP="00C26084">
            <w:pPr>
              <w:pStyle w:val="TableText"/>
              <w:spacing w:before="40" w:after="40"/>
              <w:jc w:val="center"/>
              <w:rPr>
                <w:rFonts w:cs="Calibri"/>
                <w:szCs w:val="16"/>
              </w:rPr>
            </w:pPr>
            <w:r w:rsidRPr="00BE78CA">
              <w:rPr>
                <w:rFonts w:cs="Calibri"/>
                <w:szCs w:val="16"/>
              </w:rPr>
              <w:t>T1</w:t>
            </w:r>
          </w:p>
        </w:tc>
        <w:tc>
          <w:tcPr>
            <w:tcW w:w="832" w:type="dxa"/>
            <w:tcBorders>
              <w:top w:val="single" w:sz="4" w:space="0" w:color="365F91"/>
              <w:left w:val="nil"/>
              <w:bottom w:val="nil"/>
              <w:right w:val="nil"/>
            </w:tcBorders>
            <w:shd w:val="clear" w:color="auto" w:fill="auto"/>
            <w:noWrap/>
            <w:vAlign w:val="center"/>
            <w:hideMark/>
          </w:tcPr>
          <w:p w14:paraId="2DDF80B2" w14:textId="77777777" w:rsidR="00F02481" w:rsidRPr="00BE78CA" w:rsidRDefault="00F02481" w:rsidP="00C26084">
            <w:pPr>
              <w:pStyle w:val="TableText"/>
              <w:spacing w:before="40" w:after="40"/>
              <w:jc w:val="center"/>
              <w:rPr>
                <w:rFonts w:cs="Calibri"/>
                <w:szCs w:val="16"/>
              </w:rPr>
            </w:pPr>
            <w:r w:rsidRPr="00BE78CA">
              <w:rPr>
                <w:rFonts w:cs="Calibri"/>
                <w:szCs w:val="16"/>
              </w:rPr>
              <w:t>CS</w:t>
            </w:r>
          </w:p>
        </w:tc>
        <w:tc>
          <w:tcPr>
            <w:tcW w:w="832" w:type="dxa"/>
            <w:tcBorders>
              <w:top w:val="single" w:sz="4" w:space="0" w:color="365F91"/>
              <w:left w:val="nil"/>
              <w:bottom w:val="nil"/>
              <w:right w:val="nil"/>
            </w:tcBorders>
            <w:shd w:val="clear" w:color="auto" w:fill="auto"/>
            <w:noWrap/>
            <w:vAlign w:val="center"/>
            <w:hideMark/>
          </w:tcPr>
          <w:p w14:paraId="7258F5CB" w14:textId="77777777" w:rsidR="00F02481" w:rsidRPr="00BE78CA" w:rsidRDefault="00F02481" w:rsidP="00C26084">
            <w:pPr>
              <w:pStyle w:val="TableText"/>
              <w:spacing w:before="40" w:after="40"/>
              <w:jc w:val="center"/>
              <w:rPr>
                <w:rFonts w:cs="Calibri"/>
                <w:color w:val="FFFFFF"/>
                <w:szCs w:val="16"/>
              </w:rPr>
            </w:pPr>
            <w:r w:rsidRPr="00BE78CA">
              <w:rPr>
                <w:rFonts w:cs="Calibri"/>
                <w:color w:val="FFFFFF"/>
                <w:szCs w:val="16"/>
              </w:rPr>
              <w:t>-</w:t>
            </w:r>
          </w:p>
        </w:tc>
        <w:tc>
          <w:tcPr>
            <w:tcW w:w="832" w:type="dxa"/>
            <w:tcBorders>
              <w:top w:val="single" w:sz="4" w:space="0" w:color="365F91"/>
              <w:left w:val="nil"/>
              <w:bottom w:val="nil"/>
              <w:right w:val="nil"/>
            </w:tcBorders>
            <w:shd w:val="clear" w:color="auto" w:fill="auto"/>
            <w:noWrap/>
            <w:vAlign w:val="center"/>
            <w:hideMark/>
          </w:tcPr>
          <w:p w14:paraId="59DA5160" w14:textId="77777777" w:rsidR="00F02481" w:rsidRPr="00BE78CA" w:rsidRDefault="00F02481" w:rsidP="00C26084">
            <w:pPr>
              <w:pStyle w:val="TableText"/>
              <w:spacing w:before="40" w:after="40"/>
              <w:jc w:val="center"/>
              <w:rPr>
                <w:rFonts w:cs="Calibri"/>
                <w:color w:val="FFFFFF"/>
                <w:szCs w:val="16"/>
              </w:rPr>
            </w:pPr>
            <w:r w:rsidRPr="00BE78CA">
              <w:rPr>
                <w:rFonts w:cs="Calibri"/>
                <w:color w:val="FFFFFF"/>
                <w:szCs w:val="16"/>
              </w:rPr>
              <w:t>-</w:t>
            </w:r>
          </w:p>
        </w:tc>
      </w:tr>
      <w:tr w:rsidR="00F02481" w:rsidRPr="00BE78CA" w14:paraId="3BF87DB8" w14:textId="77777777" w:rsidTr="006613CB">
        <w:tc>
          <w:tcPr>
            <w:tcW w:w="325" w:type="dxa"/>
            <w:vMerge/>
            <w:tcBorders>
              <w:top w:val="nil"/>
              <w:left w:val="nil"/>
              <w:bottom w:val="single" w:sz="4" w:space="0" w:color="365F91"/>
              <w:right w:val="nil"/>
            </w:tcBorders>
            <w:vAlign w:val="center"/>
            <w:hideMark/>
          </w:tcPr>
          <w:p w14:paraId="27DB26C6" w14:textId="77777777" w:rsidR="00F02481" w:rsidRPr="00BE78CA" w:rsidRDefault="00F02481" w:rsidP="00C26084">
            <w:pPr>
              <w:pStyle w:val="TableText"/>
              <w:spacing w:before="40" w:after="40"/>
              <w:rPr>
                <w:rFonts w:cs="Calibri"/>
                <w:szCs w:val="16"/>
              </w:rPr>
            </w:pPr>
          </w:p>
        </w:tc>
        <w:tc>
          <w:tcPr>
            <w:tcW w:w="3197" w:type="dxa"/>
            <w:tcBorders>
              <w:top w:val="nil"/>
              <w:left w:val="nil"/>
              <w:bottom w:val="single" w:sz="4" w:space="0" w:color="365F91"/>
              <w:right w:val="nil"/>
            </w:tcBorders>
            <w:shd w:val="clear" w:color="auto" w:fill="auto"/>
            <w:vAlign w:val="center"/>
            <w:hideMark/>
          </w:tcPr>
          <w:p w14:paraId="1D6B539F" w14:textId="77777777" w:rsidR="00F02481" w:rsidRPr="00BE78CA" w:rsidRDefault="00F02481" w:rsidP="00C26084">
            <w:pPr>
              <w:pStyle w:val="TableText"/>
              <w:spacing w:before="40" w:after="40"/>
              <w:rPr>
                <w:rFonts w:cs="Calibri"/>
                <w:szCs w:val="16"/>
              </w:rPr>
            </w:pPr>
            <w:r w:rsidRPr="00BE78CA">
              <w:rPr>
                <w:rFonts w:cs="Calibri"/>
                <w:szCs w:val="16"/>
              </w:rPr>
              <w:t>Other Livestock (Buffalo, Camels, Deer, Goats, Horses, Mules and Asses)</w:t>
            </w:r>
          </w:p>
        </w:tc>
        <w:tc>
          <w:tcPr>
            <w:tcW w:w="832" w:type="dxa"/>
            <w:tcBorders>
              <w:top w:val="nil"/>
              <w:left w:val="nil"/>
              <w:bottom w:val="single" w:sz="4" w:space="0" w:color="365F91"/>
              <w:right w:val="nil"/>
            </w:tcBorders>
            <w:shd w:val="clear" w:color="auto" w:fill="auto"/>
            <w:noWrap/>
            <w:vAlign w:val="center"/>
            <w:hideMark/>
          </w:tcPr>
          <w:p w14:paraId="3973BE7F" w14:textId="77777777" w:rsidR="00F02481" w:rsidRPr="00BE78CA" w:rsidRDefault="00F02481" w:rsidP="00C26084">
            <w:pPr>
              <w:pStyle w:val="TableText"/>
              <w:spacing w:before="40" w:after="40"/>
              <w:jc w:val="center"/>
              <w:rPr>
                <w:rFonts w:cs="Calibri"/>
                <w:szCs w:val="16"/>
              </w:rPr>
            </w:pPr>
            <w:r w:rsidRPr="00BE78CA">
              <w:rPr>
                <w:rFonts w:cs="Calibri"/>
                <w:szCs w:val="16"/>
              </w:rPr>
              <w:t>T1, T2</w:t>
            </w:r>
          </w:p>
        </w:tc>
        <w:tc>
          <w:tcPr>
            <w:tcW w:w="832" w:type="dxa"/>
            <w:tcBorders>
              <w:top w:val="nil"/>
              <w:left w:val="nil"/>
              <w:bottom w:val="single" w:sz="4" w:space="0" w:color="365F91"/>
              <w:right w:val="nil"/>
            </w:tcBorders>
            <w:shd w:val="clear" w:color="auto" w:fill="auto"/>
            <w:noWrap/>
            <w:vAlign w:val="center"/>
            <w:hideMark/>
          </w:tcPr>
          <w:p w14:paraId="285FEFC5" w14:textId="77777777" w:rsidR="00F02481" w:rsidRPr="00BE78CA" w:rsidRDefault="00F02481" w:rsidP="00C26084">
            <w:pPr>
              <w:pStyle w:val="TableText"/>
              <w:spacing w:before="40" w:after="40"/>
              <w:jc w:val="center"/>
              <w:rPr>
                <w:rFonts w:cs="Calibri"/>
                <w:szCs w:val="16"/>
              </w:rPr>
            </w:pPr>
            <w:r w:rsidRPr="00BE78CA">
              <w:rPr>
                <w:rFonts w:cs="Calibri"/>
                <w:szCs w:val="16"/>
              </w:rPr>
              <w:t>CS, D</w:t>
            </w:r>
          </w:p>
        </w:tc>
        <w:tc>
          <w:tcPr>
            <w:tcW w:w="832" w:type="dxa"/>
            <w:tcBorders>
              <w:top w:val="nil"/>
              <w:left w:val="nil"/>
              <w:bottom w:val="single" w:sz="4" w:space="0" w:color="365F91"/>
              <w:right w:val="nil"/>
            </w:tcBorders>
            <w:shd w:val="clear" w:color="auto" w:fill="auto"/>
            <w:noWrap/>
            <w:vAlign w:val="center"/>
            <w:hideMark/>
          </w:tcPr>
          <w:p w14:paraId="037E260C" w14:textId="77777777" w:rsidR="00F02481" w:rsidRPr="00BE78CA" w:rsidRDefault="00F02481" w:rsidP="00C26084">
            <w:pPr>
              <w:pStyle w:val="TableText"/>
              <w:spacing w:before="40" w:after="40"/>
              <w:jc w:val="center"/>
              <w:rPr>
                <w:rFonts w:cs="Calibri"/>
                <w:szCs w:val="16"/>
              </w:rPr>
            </w:pPr>
            <w:r w:rsidRPr="00BE78CA">
              <w:rPr>
                <w:rFonts w:cs="Calibri"/>
                <w:szCs w:val="16"/>
              </w:rPr>
              <w:t>NA</w:t>
            </w:r>
          </w:p>
        </w:tc>
        <w:tc>
          <w:tcPr>
            <w:tcW w:w="832" w:type="dxa"/>
            <w:tcBorders>
              <w:top w:val="nil"/>
              <w:left w:val="nil"/>
              <w:bottom w:val="single" w:sz="4" w:space="0" w:color="365F91"/>
              <w:right w:val="nil"/>
            </w:tcBorders>
            <w:shd w:val="clear" w:color="auto" w:fill="auto"/>
            <w:noWrap/>
            <w:vAlign w:val="center"/>
            <w:hideMark/>
          </w:tcPr>
          <w:p w14:paraId="198646CB" w14:textId="77777777" w:rsidR="00F02481" w:rsidRPr="00BE78CA" w:rsidRDefault="00F02481" w:rsidP="00C26084">
            <w:pPr>
              <w:pStyle w:val="TableText"/>
              <w:spacing w:before="40" w:after="40"/>
              <w:jc w:val="center"/>
              <w:rPr>
                <w:rFonts w:cs="Calibri"/>
                <w:szCs w:val="16"/>
              </w:rPr>
            </w:pPr>
            <w:r w:rsidRPr="00BE78CA">
              <w:rPr>
                <w:rFonts w:cs="Calibri"/>
                <w:szCs w:val="16"/>
              </w:rPr>
              <w:t>NA</w:t>
            </w:r>
          </w:p>
        </w:tc>
        <w:tc>
          <w:tcPr>
            <w:tcW w:w="832" w:type="dxa"/>
            <w:tcBorders>
              <w:top w:val="nil"/>
              <w:left w:val="nil"/>
              <w:bottom w:val="single" w:sz="4" w:space="0" w:color="365F91"/>
              <w:right w:val="nil"/>
            </w:tcBorders>
            <w:shd w:val="clear" w:color="auto" w:fill="auto"/>
            <w:noWrap/>
            <w:vAlign w:val="center"/>
            <w:hideMark/>
          </w:tcPr>
          <w:p w14:paraId="4F56A892" w14:textId="77777777" w:rsidR="00F02481" w:rsidRPr="00BE78CA" w:rsidRDefault="00F02481" w:rsidP="00C26084">
            <w:pPr>
              <w:pStyle w:val="TableText"/>
              <w:spacing w:before="40" w:after="40"/>
              <w:jc w:val="center"/>
              <w:rPr>
                <w:rFonts w:cs="Calibri"/>
                <w:color w:val="FFFFFF"/>
                <w:szCs w:val="16"/>
              </w:rPr>
            </w:pPr>
            <w:r w:rsidRPr="00BE78CA">
              <w:rPr>
                <w:rFonts w:cs="Calibri"/>
                <w:color w:val="FFFFFF"/>
                <w:szCs w:val="16"/>
              </w:rPr>
              <w:t>-</w:t>
            </w:r>
          </w:p>
        </w:tc>
        <w:tc>
          <w:tcPr>
            <w:tcW w:w="832" w:type="dxa"/>
            <w:tcBorders>
              <w:top w:val="nil"/>
              <w:left w:val="nil"/>
              <w:bottom w:val="single" w:sz="4" w:space="0" w:color="365F91"/>
              <w:right w:val="nil"/>
            </w:tcBorders>
            <w:shd w:val="clear" w:color="auto" w:fill="auto"/>
            <w:noWrap/>
            <w:vAlign w:val="center"/>
            <w:hideMark/>
          </w:tcPr>
          <w:p w14:paraId="4A8DC62D" w14:textId="77777777" w:rsidR="00F02481" w:rsidRPr="00BE78CA" w:rsidRDefault="00F02481" w:rsidP="00C26084">
            <w:pPr>
              <w:pStyle w:val="TableText"/>
              <w:spacing w:before="40" w:after="40"/>
              <w:jc w:val="center"/>
              <w:rPr>
                <w:rFonts w:cs="Calibri"/>
                <w:color w:val="FFFFFF"/>
                <w:szCs w:val="16"/>
              </w:rPr>
            </w:pPr>
            <w:r w:rsidRPr="00BE78CA">
              <w:rPr>
                <w:rFonts w:cs="Calibri"/>
                <w:color w:val="FFFFFF"/>
                <w:szCs w:val="16"/>
              </w:rPr>
              <w:t>-</w:t>
            </w:r>
          </w:p>
        </w:tc>
      </w:tr>
      <w:tr w:rsidR="00F02481" w:rsidRPr="00BE78CA" w14:paraId="4A2F1864" w14:textId="77777777" w:rsidTr="006613CB">
        <w:tc>
          <w:tcPr>
            <w:tcW w:w="325" w:type="dxa"/>
            <w:tcBorders>
              <w:top w:val="single" w:sz="4" w:space="0" w:color="365F91"/>
              <w:left w:val="nil"/>
              <w:bottom w:val="single" w:sz="4" w:space="0" w:color="365F91"/>
              <w:right w:val="nil"/>
            </w:tcBorders>
            <w:shd w:val="clear" w:color="auto" w:fill="auto"/>
            <w:noWrap/>
            <w:vAlign w:val="center"/>
            <w:hideMark/>
          </w:tcPr>
          <w:p w14:paraId="46FBDFB9" w14:textId="77777777" w:rsidR="00F02481" w:rsidRPr="00BE78CA" w:rsidRDefault="00F02481" w:rsidP="00C26084">
            <w:pPr>
              <w:pStyle w:val="TableText"/>
              <w:spacing w:before="40" w:after="40"/>
              <w:rPr>
                <w:rFonts w:cs="Calibri"/>
                <w:b/>
                <w:bCs/>
                <w:szCs w:val="16"/>
              </w:rPr>
            </w:pPr>
            <w:r w:rsidRPr="00BE78CA">
              <w:rPr>
                <w:rFonts w:cs="Calibri"/>
                <w:b/>
                <w:bCs/>
                <w:szCs w:val="16"/>
              </w:rPr>
              <w:t>C</w:t>
            </w:r>
          </w:p>
        </w:tc>
        <w:tc>
          <w:tcPr>
            <w:tcW w:w="3197" w:type="dxa"/>
            <w:tcBorders>
              <w:top w:val="single" w:sz="4" w:space="0" w:color="365F91"/>
              <w:left w:val="nil"/>
              <w:bottom w:val="single" w:sz="4" w:space="0" w:color="365F91"/>
              <w:right w:val="nil"/>
            </w:tcBorders>
            <w:shd w:val="clear" w:color="auto" w:fill="auto"/>
            <w:vAlign w:val="center"/>
            <w:hideMark/>
          </w:tcPr>
          <w:p w14:paraId="47C29AEB" w14:textId="77777777" w:rsidR="00F02481" w:rsidRPr="00BE78CA" w:rsidRDefault="00F02481" w:rsidP="00C26084">
            <w:pPr>
              <w:pStyle w:val="TableText"/>
              <w:spacing w:before="40" w:after="40"/>
              <w:rPr>
                <w:rFonts w:cs="Calibri"/>
                <w:b/>
                <w:bCs/>
                <w:szCs w:val="16"/>
              </w:rPr>
            </w:pPr>
            <w:r w:rsidRPr="00BE78CA">
              <w:rPr>
                <w:rFonts w:cs="Calibri"/>
                <w:b/>
                <w:bCs/>
                <w:szCs w:val="16"/>
              </w:rPr>
              <w:t>Rice Cultivation</w:t>
            </w:r>
          </w:p>
        </w:tc>
        <w:tc>
          <w:tcPr>
            <w:tcW w:w="832" w:type="dxa"/>
            <w:tcBorders>
              <w:top w:val="single" w:sz="4" w:space="0" w:color="365F91"/>
              <w:left w:val="nil"/>
              <w:bottom w:val="single" w:sz="4" w:space="0" w:color="365F91"/>
              <w:right w:val="nil"/>
            </w:tcBorders>
            <w:shd w:val="clear" w:color="auto" w:fill="auto"/>
            <w:noWrap/>
            <w:vAlign w:val="center"/>
            <w:hideMark/>
          </w:tcPr>
          <w:p w14:paraId="0FBDF3A1" w14:textId="77777777" w:rsidR="00F02481" w:rsidRPr="00BE78CA" w:rsidRDefault="00F02481" w:rsidP="00C26084">
            <w:pPr>
              <w:pStyle w:val="TableText"/>
              <w:spacing w:before="40" w:after="40"/>
              <w:jc w:val="center"/>
              <w:rPr>
                <w:rFonts w:cs="Calibri"/>
                <w:szCs w:val="16"/>
              </w:rPr>
            </w:pPr>
            <w:r w:rsidRPr="00BE78CA">
              <w:rPr>
                <w:rFonts w:cs="Calibri"/>
                <w:szCs w:val="16"/>
              </w:rPr>
              <w:t>NA</w:t>
            </w:r>
          </w:p>
        </w:tc>
        <w:tc>
          <w:tcPr>
            <w:tcW w:w="832" w:type="dxa"/>
            <w:tcBorders>
              <w:top w:val="single" w:sz="4" w:space="0" w:color="365F91"/>
              <w:left w:val="nil"/>
              <w:bottom w:val="single" w:sz="4" w:space="0" w:color="365F91"/>
              <w:right w:val="nil"/>
            </w:tcBorders>
            <w:shd w:val="clear" w:color="auto" w:fill="auto"/>
            <w:noWrap/>
            <w:vAlign w:val="center"/>
            <w:hideMark/>
          </w:tcPr>
          <w:p w14:paraId="05381B31" w14:textId="77777777" w:rsidR="00F02481" w:rsidRPr="00BE78CA" w:rsidRDefault="00F02481" w:rsidP="00C26084">
            <w:pPr>
              <w:pStyle w:val="TableText"/>
              <w:spacing w:before="40" w:after="40"/>
              <w:jc w:val="center"/>
              <w:rPr>
                <w:rFonts w:cs="Calibri"/>
                <w:szCs w:val="16"/>
              </w:rPr>
            </w:pPr>
            <w:r w:rsidRPr="00BE78CA">
              <w:rPr>
                <w:rFonts w:cs="Calibri"/>
                <w:szCs w:val="16"/>
              </w:rPr>
              <w:t>NA</w:t>
            </w:r>
          </w:p>
        </w:tc>
        <w:tc>
          <w:tcPr>
            <w:tcW w:w="832" w:type="dxa"/>
            <w:tcBorders>
              <w:top w:val="single" w:sz="4" w:space="0" w:color="365F91"/>
              <w:left w:val="nil"/>
              <w:bottom w:val="single" w:sz="4" w:space="0" w:color="365F91"/>
              <w:right w:val="nil"/>
            </w:tcBorders>
            <w:shd w:val="clear" w:color="auto" w:fill="auto"/>
            <w:noWrap/>
            <w:vAlign w:val="center"/>
            <w:hideMark/>
          </w:tcPr>
          <w:p w14:paraId="5477E703" w14:textId="77777777" w:rsidR="00F02481" w:rsidRPr="00BE78CA" w:rsidRDefault="00F02481" w:rsidP="00C26084">
            <w:pPr>
              <w:pStyle w:val="TableText"/>
              <w:spacing w:before="40" w:after="40"/>
              <w:jc w:val="center"/>
              <w:rPr>
                <w:rFonts w:cs="Calibri"/>
                <w:color w:val="FFFFFF"/>
                <w:szCs w:val="16"/>
              </w:rPr>
            </w:pPr>
            <w:r w:rsidRPr="00BE78CA">
              <w:rPr>
                <w:rFonts w:cs="Calibri"/>
                <w:color w:val="FFFFFF"/>
                <w:szCs w:val="16"/>
              </w:rPr>
              <w:t>-</w:t>
            </w:r>
          </w:p>
        </w:tc>
        <w:tc>
          <w:tcPr>
            <w:tcW w:w="832" w:type="dxa"/>
            <w:tcBorders>
              <w:top w:val="single" w:sz="4" w:space="0" w:color="365F91"/>
              <w:left w:val="nil"/>
              <w:bottom w:val="single" w:sz="4" w:space="0" w:color="365F91"/>
              <w:right w:val="nil"/>
            </w:tcBorders>
            <w:shd w:val="clear" w:color="auto" w:fill="auto"/>
            <w:noWrap/>
            <w:vAlign w:val="center"/>
            <w:hideMark/>
          </w:tcPr>
          <w:p w14:paraId="16E6517B" w14:textId="77777777" w:rsidR="00F02481" w:rsidRPr="00BE78CA" w:rsidRDefault="00F02481" w:rsidP="00C26084">
            <w:pPr>
              <w:pStyle w:val="TableText"/>
              <w:spacing w:before="40" w:after="40"/>
              <w:jc w:val="center"/>
              <w:rPr>
                <w:rFonts w:cs="Calibri"/>
                <w:color w:val="FFFFFF"/>
                <w:szCs w:val="16"/>
              </w:rPr>
            </w:pPr>
            <w:r w:rsidRPr="00BE78CA">
              <w:rPr>
                <w:rFonts w:cs="Calibri"/>
                <w:color w:val="FFFFFF"/>
                <w:szCs w:val="16"/>
              </w:rPr>
              <w:t>-</w:t>
            </w:r>
          </w:p>
        </w:tc>
        <w:tc>
          <w:tcPr>
            <w:tcW w:w="832" w:type="dxa"/>
            <w:tcBorders>
              <w:top w:val="single" w:sz="4" w:space="0" w:color="365F91"/>
              <w:left w:val="nil"/>
              <w:bottom w:val="single" w:sz="4" w:space="0" w:color="365F91"/>
              <w:right w:val="nil"/>
            </w:tcBorders>
            <w:shd w:val="clear" w:color="auto" w:fill="auto"/>
            <w:noWrap/>
            <w:vAlign w:val="center"/>
            <w:hideMark/>
          </w:tcPr>
          <w:p w14:paraId="1CD0AB09" w14:textId="77777777" w:rsidR="00F02481" w:rsidRPr="00BE78CA" w:rsidRDefault="00F02481" w:rsidP="00C26084">
            <w:pPr>
              <w:pStyle w:val="TableText"/>
              <w:spacing w:before="40" w:after="40"/>
              <w:jc w:val="center"/>
              <w:rPr>
                <w:rFonts w:cs="Calibri"/>
                <w:color w:val="FFFFFF"/>
                <w:szCs w:val="16"/>
              </w:rPr>
            </w:pPr>
            <w:r w:rsidRPr="00BE78CA">
              <w:rPr>
                <w:rFonts w:cs="Calibri"/>
                <w:color w:val="FFFFFF"/>
                <w:szCs w:val="16"/>
              </w:rPr>
              <w:t>-</w:t>
            </w:r>
          </w:p>
        </w:tc>
        <w:tc>
          <w:tcPr>
            <w:tcW w:w="832" w:type="dxa"/>
            <w:tcBorders>
              <w:top w:val="single" w:sz="4" w:space="0" w:color="365F91"/>
              <w:left w:val="nil"/>
              <w:bottom w:val="single" w:sz="4" w:space="0" w:color="365F91"/>
              <w:right w:val="nil"/>
            </w:tcBorders>
            <w:shd w:val="clear" w:color="auto" w:fill="auto"/>
            <w:noWrap/>
            <w:vAlign w:val="center"/>
            <w:hideMark/>
          </w:tcPr>
          <w:p w14:paraId="0C3E3976" w14:textId="77777777" w:rsidR="00F02481" w:rsidRPr="00BE78CA" w:rsidRDefault="00F02481" w:rsidP="00C26084">
            <w:pPr>
              <w:pStyle w:val="TableText"/>
              <w:spacing w:before="40" w:after="40"/>
              <w:jc w:val="center"/>
              <w:rPr>
                <w:rFonts w:cs="Calibri"/>
                <w:color w:val="FFFFFF"/>
                <w:szCs w:val="16"/>
              </w:rPr>
            </w:pPr>
            <w:r w:rsidRPr="00BE78CA">
              <w:rPr>
                <w:rFonts w:cs="Calibri"/>
                <w:color w:val="FFFFFF"/>
                <w:szCs w:val="16"/>
              </w:rPr>
              <w:t>-</w:t>
            </w:r>
          </w:p>
        </w:tc>
      </w:tr>
      <w:tr w:rsidR="00F02481" w:rsidRPr="00BE78CA" w14:paraId="6DC6294C" w14:textId="77777777" w:rsidTr="006613CB">
        <w:tc>
          <w:tcPr>
            <w:tcW w:w="325" w:type="dxa"/>
            <w:tcBorders>
              <w:top w:val="single" w:sz="4" w:space="0" w:color="365F91"/>
              <w:left w:val="nil"/>
              <w:bottom w:val="single" w:sz="4" w:space="0" w:color="365F91"/>
              <w:right w:val="nil"/>
            </w:tcBorders>
            <w:shd w:val="clear" w:color="auto" w:fill="auto"/>
            <w:noWrap/>
            <w:vAlign w:val="center"/>
            <w:hideMark/>
          </w:tcPr>
          <w:p w14:paraId="0BC79AD5" w14:textId="77777777" w:rsidR="00F02481" w:rsidRPr="00BE78CA" w:rsidRDefault="00F02481" w:rsidP="00C26084">
            <w:pPr>
              <w:pStyle w:val="TableText"/>
              <w:spacing w:before="40" w:after="40"/>
              <w:rPr>
                <w:rFonts w:cs="Calibri"/>
                <w:b/>
                <w:bCs/>
                <w:szCs w:val="16"/>
              </w:rPr>
            </w:pPr>
            <w:r w:rsidRPr="00BE78CA">
              <w:rPr>
                <w:rFonts w:cs="Calibri"/>
                <w:b/>
                <w:bCs/>
                <w:szCs w:val="16"/>
              </w:rPr>
              <w:t>D</w:t>
            </w:r>
          </w:p>
        </w:tc>
        <w:tc>
          <w:tcPr>
            <w:tcW w:w="3197" w:type="dxa"/>
            <w:tcBorders>
              <w:top w:val="single" w:sz="4" w:space="0" w:color="365F91"/>
              <w:left w:val="nil"/>
              <w:bottom w:val="single" w:sz="4" w:space="0" w:color="365F91"/>
              <w:right w:val="nil"/>
            </w:tcBorders>
            <w:shd w:val="clear" w:color="auto" w:fill="auto"/>
            <w:vAlign w:val="center"/>
            <w:hideMark/>
          </w:tcPr>
          <w:p w14:paraId="038BA371" w14:textId="77777777" w:rsidR="00F02481" w:rsidRPr="00BE78CA" w:rsidRDefault="00F02481" w:rsidP="00C26084">
            <w:pPr>
              <w:pStyle w:val="TableText"/>
              <w:spacing w:before="40" w:after="40"/>
              <w:rPr>
                <w:rFonts w:cs="Calibri"/>
                <w:b/>
                <w:bCs/>
                <w:szCs w:val="16"/>
              </w:rPr>
            </w:pPr>
            <w:r w:rsidRPr="00BE78CA">
              <w:rPr>
                <w:rFonts w:cs="Calibri"/>
                <w:b/>
                <w:bCs/>
                <w:szCs w:val="16"/>
              </w:rPr>
              <w:t>Agricultural Soils</w:t>
            </w:r>
          </w:p>
        </w:tc>
        <w:tc>
          <w:tcPr>
            <w:tcW w:w="832" w:type="dxa"/>
            <w:tcBorders>
              <w:top w:val="single" w:sz="4" w:space="0" w:color="365F91"/>
              <w:left w:val="nil"/>
              <w:bottom w:val="single" w:sz="4" w:space="0" w:color="365F91"/>
              <w:right w:val="nil"/>
            </w:tcBorders>
            <w:shd w:val="clear" w:color="auto" w:fill="auto"/>
            <w:noWrap/>
            <w:vAlign w:val="center"/>
            <w:hideMark/>
          </w:tcPr>
          <w:p w14:paraId="1F09D329" w14:textId="77777777" w:rsidR="00F02481" w:rsidRPr="00BE78CA" w:rsidRDefault="00F02481" w:rsidP="00C26084">
            <w:pPr>
              <w:pStyle w:val="TableText"/>
              <w:spacing w:before="40" w:after="40"/>
              <w:jc w:val="center"/>
              <w:rPr>
                <w:rFonts w:cs="Calibri"/>
                <w:color w:val="FFFFFF"/>
                <w:szCs w:val="16"/>
              </w:rPr>
            </w:pPr>
            <w:r w:rsidRPr="00BE78CA">
              <w:rPr>
                <w:rFonts w:cs="Calibri"/>
                <w:color w:val="FFFFFF"/>
                <w:szCs w:val="16"/>
              </w:rPr>
              <w:t>-</w:t>
            </w:r>
          </w:p>
        </w:tc>
        <w:tc>
          <w:tcPr>
            <w:tcW w:w="832" w:type="dxa"/>
            <w:tcBorders>
              <w:top w:val="single" w:sz="4" w:space="0" w:color="365F91"/>
              <w:left w:val="nil"/>
              <w:bottom w:val="single" w:sz="4" w:space="0" w:color="365F91"/>
              <w:right w:val="nil"/>
            </w:tcBorders>
            <w:shd w:val="clear" w:color="auto" w:fill="auto"/>
            <w:noWrap/>
            <w:vAlign w:val="center"/>
            <w:hideMark/>
          </w:tcPr>
          <w:p w14:paraId="56F68CB5" w14:textId="77777777" w:rsidR="00F02481" w:rsidRPr="00BE78CA" w:rsidRDefault="00F02481" w:rsidP="00C26084">
            <w:pPr>
              <w:pStyle w:val="TableText"/>
              <w:spacing w:before="40" w:after="40"/>
              <w:jc w:val="center"/>
              <w:rPr>
                <w:rFonts w:cs="Calibri"/>
                <w:color w:val="FFFFFF"/>
                <w:szCs w:val="16"/>
              </w:rPr>
            </w:pPr>
            <w:r w:rsidRPr="00BE78CA">
              <w:rPr>
                <w:rFonts w:cs="Calibri"/>
                <w:color w:val="FFFFFF"/>
                <w:szCs w:val="16"/>
              </w:rPr>
              <w:t>-</w:t>
            </w:r>
          </w:p>
        </w:tc>
        <w:tc>
          <w:tcPr>
            <w:tcW w:w="832" w:type="dxa"/>
            <w:tcBorders>
              <w:top w:val="single" w:sz="4" w:space="0" w:color="365F91"/>
              <w:left w:val="nil"/>
              <w:bottom w:val="single" w:sz="4" w:space="0" w:color="365F91"/>
              <w:right w:val="nil"/>
            </w:tcBorders>
            <w:shd w:val="clear" w:color="auto" w:fill="auto"/>
            <w:noWrap/>
            <w:vAlign w:val="center"/>
            <w:hideMark/>
          </w:tcPr>
          <w:p w14:paraId="4B80DA2A" w14:textId="77777777" w:rsidR="00F02481" w:rsidRPr="00BE78CA" w:rsidRDefault="00F02481" w:rsidP="00C26084">
            <w:pPr>
              <w:pStyle w:val="TableText"/>
              <w:spacing w:before="40" w:after="40"/>
              <w:jc w:val="center"/>
              <w:rPr>
                <w:rFonts w:cs="Calibri"/>
                <w:color w:val="FFFFFF"/>
                <w:szCs w:val="16"/>
              </w:rPr>
            </w:pPr>
            <w:r w:rsidRPr="00BE78CA">
              <w:rPr>
                <w:rFonts w:cs="Calibri"/>
                <w:color w:val="FFFFFF"/>
                <w:szCs w:val="16"/>
              </w:rPr>
              <w:t>-</w:t>
            </w:r>
          </w:p>
        </w:tc>
        <w:tc>
          <w:tcPr>
            <w:tcW w:w="832" w:type="dxa"/>
            <w:tcBorders>
              <w:top w:val="single" w:sz="4" w:space="0" w:color="365F91"/>
              <w:left w:val="nil"/>
              <w:bottom w:val="single" w:sz="4" w:space="0" w:color="365F91"/>
              <w:right w:val="nil"/>
            </w:tcBorders>
            <w:shd w:val="clear" w:color="auto" w:fill="auto"/>
            <w:noWrap/>
            <w:vAlign w:val="center"/>
            <w:hideMark/>
          </w:tcPr>
          <w:p w14:paraId="293E5201" w14:textId="77777777" w:rsidR="00F02481" w:rsidRPr="00BE78CA" w:rsidRDefault="00F02481" w:rsidP="00C26084">
            <w:pPr>
              <w:pStyle w:val="TableText"/>
              <w:spacing w:before="40" w:after="40"/>
              <w:jc w:val="center"/>
              <w:rPr>
                <w:rFonts w:cs="Calibri"/>
                <w:color w:val="FFFFFF"/>
                <w:szCs w:val="16"/>
              </w:rPr>
            </w:pPr>
            <w:r w:rsidRPr="00BE78CA">
              <w:rPr>
                <w:rFonts w:cs="Calibri"/>
                <w:color w:val="FFFFFF"/>
                <w:szCs w:val="16"/>
              </w:rPr>
              <w:t>-</w:t>
            </w:r>
          </w:p>
        </w:tc>
        <w:tc>
          <w:tcPr>
            <w:tcW w:w="832" w:type="dxa"/>
            <w:tcBorders>
              <w:top w:val="single" w:sz="4" w:space="0" w:color="365F91"/>
              <w:left w:val="nil"/>
              <w:bottom w:val="single" w:sz="4" w:space="0" w:color="365F91"/>
              <w:right w:val="nil"/>
            </w:tcBorders>
            <w:shd w:val="clear" w:color="auto" w:fill="auto"/>
            <w:noWrap/>
            <w:vAlign w:val="center"/>
            <w:hideMark/>
          </w:tcPr>
          <w:p w14:paraId="56DCB48C" w14:textId="77777777" w:rsidR="00F02481" w:rsidRPr="00BE78CA" w:rsidRDefault="00F02481" w:rsidP="00C26084">
            <w:pPr>
              <w:pStyle w:val="TableText"/>
              <w:spacing w:before="40" w:after="40"/>
              <w:jc w:val="center"/>
              <w:rPr>
                <w:rFonts w:cs="Calibri"/>
                <w:color w:val="FFFFFF"/>
                <w:szCs w:val="16"/>
              </w:rPr>
            </w:pPr>
            <w:r w:rsidRPr="00BE78CA">
              <w:rPr>
                <w:rFonts w:cs="Calibri"/>
                <w:color w:val="FFFFFF"/>
                <w:szCs w:val="16"/>
              </w:rPr>
              <w:t>-</w:t>
            </w:r>
          </w:p>
        </w:tc>
        <w:tc>
          <w:tcPr>
            <w:tcW w:w="832" w:type="dxa"/>
            <w:tcBorders>
              <w:top w:val="single" w:sz="4" w:space="0" w:color="365F91"/>
              <w:left w:val="nil"/>
              <w:bottom w:val="single" w:sz="4" w:space="0" w:color="365F91"/>
              <w:right w:val="nil"/>
            </w:tcBorders>
            <w:shd w:val="clear" w:color="auto" w:fill="auto"/>
            <w:noWrap/>
            <w:vAlign w:val="center"/>
            <w:hideMark/>
          </w:tcPr>
          <w:p w14:paraId="6C0743EF" w14:textId="77777777" w:rsidR="00F02481" w:rsidRPr="00BE78CA" w:rsidRDefault="00F02481" w:rsidP="00C26084">
            <w:pPr>
              <w:pStyle w:val="TableText"/>
              <w:spacing w:before="40" w:after="40"/>
              <w:jc w:val="center"/>
              <w:rPr>
                <w:rFonts w:cs="Calibri"/>
                <w:color w:val="FFFFFF"/>
                <w:szCs w:val="16"/>
              </w:rPr>
            </w:pPr>
            <w:r w:rsidRPr="00BE78CA">
              <w:rPr>
                <w:rFonts w:cs="Calibri"/>
                <w:color w:val="FFFFFF"/>
                <w:szCs w:val="16"/>
              </w:rPr>
              <w:t>-</w:t>
            </w:r>
          </w:p>
        </w:tc>
      </w:tr>
      <w:tr w:rsidR="00F02481" w:rsidRPr="00BE78CA" w14:paraId="68DF08D7" w14:textId="77777777" w:rsidTr="006613CB">
        <w:tc>
          <w:tcPr>
            <w:tcW w:w="325" w:type="dxa"/>
            <w:vMerge w:val="restart"/>
            <w:tcBorders>
              <w:top w:val="single" w:sz="4" w:space="0" w:color="365F91"/>
              <w:left w:val="nil"/>
              <w:right w:val="nil"/>
            </w:tcBorders>
            <w:shd w:val="clear" w:color="auto" w:fill="auto"/>
            <w:noWrap/>
            <w:vAlign w:val="center"/>
            <w:hideMark/>
          </w:tcPr>
          <w:p w14:paraId="662B4404" w14:textId="77777777" w:rsidR="00F02481" w:rsidRPr="00BE78CA" w:rsidRDefault="00F02481" w:rsidP="00C26084">
            <w:pPr>
              <w:pStyle w:val="TableText"/>
              <w:spacing w:before="40" w:after="40"/>
              <w:rPr>
                <w:rFonts w:cs="Calibri"/>
                <w:szCs w:val="16"/>
              </w:rPr>
            </w:pPr>
            <w:r w:rsidRPr="00BE78CA">
              <w:rPr>
                <w:rFonts w:cs="Calibri"/>
                <w:szCs w:val="16"/>
              </w:rPr>
              <w:t>1</w:t>
            </w:r>
          </w:p>
        </w:tc>
        <w:tc>
          <w:tcPr>
            <w:tcW w:w="3197" w:type="dxa"/>
            <w:tcBorders>
              <w:top w:val="single" w:sz="4" w:space="0" w:color="365F91"/>
              <w:left w:val="nil"/>
              <w:bottom w:val="nil"/>
              <w:right w:val="nil"/>
            </w:tcBorders>
            <w:shd w:val="clear" w:color="auto" w:fill="auto"/>
            <w:vAlign w:val="center"/>
            <w:hideMark/>
          </w:tcPr>
          <w:p w14:paraId="24DD2D97" w14:textId="77777777" w:rsidR="00F02481" w:rsidRPr="00BE78CA" w:rsidRDefault="00F02481" w:rsidP="00C26084">
            <w:pPr>
              <w:pStyle w:val="TableText"/>
              <w:spacing w:before="40" w:after="40"/>
              <w:rPr>
                <w:rFonts w:cs="Calibri"/>
                <w:szCs w:val="16"/>
              </w:rPr>
            </w:pPr>
            <w:r w:rsidRPr="00BE78CA">
              <w:rPr>
                <w:rFonts w:cs="Calibri"/>
                <w:szCs w:val="16"/>
              </w:rPr>
              <w:t xml:space="preserve">Direct Emissions </w:t>
            </w:r>
          </w:p>
        </w:tc>
        <w:tc>
          <w:tcPr>
            <w:tcW w:w="832" w:type="dxa"/>
            <w:tcBorders>
              <w:top w:val="single" w:sz="4" w:space="0" w:color="365F91"/>
              <w:left w:val="nil"/>
              <w:bottom w:val="nil"/>
              <w:right w:val="nil"/>
            </w:tcBorders>
            <w:shd w:val="clear" w:color="auto" w:fill="auto"/>
            <w:noWrap/>
            <w:vAlign w:val="center"/>
            <w:hideMark/>
          </w:tcPr>
          <w:p w14:paraId="542AAF0E" w14:textId="77777777" w:rsidR="00F02481" w:rsidRPr="00BE78CA" w:rsidRDefault="00F02481" w:rsidP="00C26084">
            <w:pPr>
              <w:pStyle w:val="TableText"/>
              <w:spacing w:before="40" w:after="40"/>
              <w:jc w:val="center"/>
              <w:rPr>
                <w:rFonts w:cs="Calibri"/>
                <w:color w:val="FFFFFF"/>
                <w:szCs w:val="16"/>
              </w:rPr>
            </w:pPr>
            <w:r w:rsidRPr="00BE78CA">
              <w:rPr>
                <w:rFonts w:cs="Calibri"/>
                <w:color w:val="FFFFFF"/>
                <w:szCs w:val="16"/>
              </w:rPr>
              <w:t>-</w:t>
            </w:r>
          </w:p>
        </w:tc>
        <w:tc>
          <w:tcPr>
            <w:tcW w:w="832" w:type="dxa"/>
            <w:tcBorders>
              <w:top w:val="single" w:sz="4" w:space="0" w:color="365F91"/>
              <w:left w:val="nil"/>
              <w:bottom w:val="nil"/>
              <w:right w:val="nil"/>
            </w:tcBorders>
            <w:shd w:val="clear" w:color="auto" w:fill="auto"/>
            <w:noWrap/>
            <w:vAlign w:val="center"/>
            <w:hideMark/>
          </w:tcPr>
          <w:p w14:paraId="048A8495" w14:textId="77777777" w:rsidR="00F02481" w:rsidRPr="00BE78CA" w:rsidRDefault="00F02481" w:rsidP="00C26084">
            <w:pPr>
              <w:pStyle w:val="TableText"/>
              <w:spacing w:before="40" w:after="40"/>
              <w:jc w:val="center"/>
              <w:rPr>
                <w:rFonts w:cs="Calibri"/>
                <w:color w:val="FFFFFF"/>
                <w:szCs w:val="16"/>
              </w:rPr>
            </w:pPr>
            <w:r w:rsidRPr="00BE78CA">
              <w:rPr>
                <w:rFonts w:cs="Calibri"/>
                <w:color w:val="FFFFFF"/>
                <w:szCs w:val="16"/>
              </w:rPr>
              <w:t>-</w:t>
            </w:r>
          </w:p>
        </w:tc>
        <w:tc>
          <w:tcPr>
            <w:tcW w:w="832" w:type="dxa"/>
            <w:tcBorders>
              <w:top w:val="single" w:sz="4" w:space="0" w:color="365F91"/>
              <w:left w:val="nil"/>
              <w:bottom w:val="nil"/>
              <w:right w:val="nil"/>
            </w:tcBorders>
            <w:shd w:val="clear" w:color="auto" w:fill="auto"/>
            <w:noWrap/>
            <w:vAlign w:val="center"/>
            <w:hideMark/>
          </w:tcPr>
          <w:p w14:paraId="510CE919" w14:textId="77777777" w:rsidR="00F02481" w:rsidRPr="00BE78CA" w:rsidRDefault="00F02481" w:rsidP="00C26084">
            <w:pPr>
              <w:pStyle w:val="TableText"/>
              <w:spacing w:before="40" w:after="40"/>
              <w:jc w:val="center"/>
              <w:rPr>
                <w:rFonts w:cs="Calibri"/>
                <w:color w:val="FFFFFF"/>
                <w:szCs w:val="16"/>
              </w:rPr>
            </w:pPr>
            <w:r w:rsidRPr="00BE78CA">
              <w:rPr>
                <w:rFonts w:cs="Calibri"/>
                <w:color w:val="FFFFFF"/>
                <w:szCs w:val="16"/>
              </w:rPr>
              <w:t>-</w:t>
            </w:r>
          </w:p>
        </w:tc>
        <w:tc>
          <w:tcPr>
            <w:tcW w:w="832" w:type="dxa"/>
            <w:tcBorders>
              <w:top w:val="single" w:sz="4" w:space="0" w:color="365F91"/>
              <w:left w:val="nil"/>
              <w:bottom w:val="nil"/>
              <w:right w:val="nil"/>
            </w:tcBorders>
            <w:shd w:val="clear" w:color="auto" w:fill="auto"/>
            <w:noWrap/>
            <w:vAlign w:val="center"/>
            <w:hideMark/>
          </w:tcPr>
          <w:p w14:paraId="77573AEC" w14:textId="77777777" w:rsidR="00F02481" w:rsidRPr="00BE78CA" w:rsidRDefault="00F02481" w:rsidP="00C26084">
            <w:pPr>
              <w:pStyle w:val="TableText"/>
              <w:spacing w:before="40" w:after="40"/>
              <w:jc w:val="center"/>
              <w:rPr>
                <w:rFonts w:cs="Calibri"/>
                <w:color w:val="FFFFFF"/>
                <w:szCs w:val="16"/>
              </w:rPr>
            </w:pPr>
            <w:r w:rsidRPr="00BE78CA">
              <w:rPr>
                <w:rFonts w:cs="Calibri"/>
                <w:color w:val="FFFFFF"/>
                <w:szCs w:val="16"/>
              </w:rPr>
              <w:t>-</w:t>
            </w:r>
          </w:p>
        </w:tc>
        <w:tc>
          <w:tcPr>
            <w:tcW w:w="832" w:type="dxa"/>
            <w:tcBorders>
              <w:top w:val="single" w:sz="4" w:space="0" w:color="365F91"/>
              <w:left w:val="nil"/>
              <w:bottom w:val="nil"/>
              <w:right w:val="nil"/>
            </w:tcBorders>
            <w:shd w:val="clear" w:color="auto" w:fill="auto"/>
            <w:noWrap/>
            <w:vAlign w:val="center"/>
            <w:hideMark/>
          </w:tcPr>
          <w:p w14:paraId="687C5D94" w14:textId="77777777" w:rsidR="00F02481" w:rsidRPr="00BE78CA" w:rsidRDefault="00F02481" w:rsidP="00C26084">
            <w:pPr>
              <w:pStyle w:val="TableText"/>
              <w:spacing w:before="40" w:after="40"/>
              <w:jc w:val="center"/>
              <w:rPr>
                <w:rFonts w:cs="Calibri"/>
                <w:color w:val="FFFFFF"/>
                <w:szCs w:val="16"/>
              </w:rPr>
            </w:pPr>
            <w:r w:rsidRPr="00BE78CA">
              <w:rPr>
                <w:rFonts w:cs="Calibri"/>
                <w:color w:val="FFFFFF"/>
                <w:szCs w:val="16"/>
              </w:rPr>
              <w:t>-</w:t>
            </w:r>
          </w:p>
        </w:tc>
        <w:tc>
          <w:tcPr>
            <w:tcW w:w="832" w:type="dxa"/>
            <w:tcBorders>
              <w:top w:val="single" w:sz="4" w:space="0" w:color="365F91"/>
              <w:left w:val="nil"/>
              <w:bottom w:val="nil"/>
              <w:right w:val="nil"/>
            </w:tcBorders>
            <w:shd w:val="clear" w:color="auto" w:fill="auto"/>
            <w:noWrap/>
            <w:vAlign w:val="center"/>
            <w:hideMark/>
          </w:tcPr>
          <w:p w14:paraId="061EDBB3" w14:textId="77777777" w:rsidR="00F02481" w:rsidRPr="00BE78CA" w:rsidRDefault="00F02481" w:rsidP="00C26084">
            <w:pPr>
              <w:pStyle w:val="TableText"/>
              <w:spacing w:before="40" w:after="40"/>
              <w:jc w:val="center"/>
              <w:rPr>
                <w:rFonts w:cs="Calibri"/>
                <w:color w:val="FFFFFF"/>
                <w:szCs w:val="16"/>
              </w:rPr>
            </w:pPr>
            <w:r w:rsidRPr="00BE78CA">
              <w:rPr>
                <w:rFonts w:cs="Calibri"/>
                <w:color w:val="FFFFFF"/>
                <w:szCs w:val="16"/>
              </w:rPr>
              <w:t>-</w:t>
            </w:r>
          </w:p>
        </w:tc>
      </w:tr>
      <w:tr w:rsidR="00F02481" w:rsidRPr="00BE78CA" w14:paraId="72017051" w14:textId="77777777" w:rsidTr="006613CB">
        <w:tc>
          <w:tcPr>
            <w:tcW w:w="325" w:type="dxa"/>
            <w:vMerge/>
            <w:tcBorders>
              <w:top w:val="single" w:sz="8" w:space="0" w:color="365F91"/>
              <w:left w:val="nil"/>
              <w:right w:val="nil"/>
            </w:tcBorders>
            <w:vAlign w:val="center"/>
            <w:hideMark/>
          </w:tcPr>
          <w:p w14:paraId="4F62FD64" w14:textId="77777777" w:rsidR="00F02481" w:rsidRPr="00BE78CA" w:rsidRDefault="00F02481" w:rsidP="00C26084">
            <w:pPr>
              <w:pStyle w:val="TableText"/>
              <w:spacing w:before="40" w:after="40"/>
              <w:rPr>
                <w:rFonts w:cs="Calibri"/>
                <w:szCs w:val="16"/>
              </w:rPr>
            </w:pPr>
          </w:p>
        </w:tc>
        <w:tc>
          <w:tcPr>
            <w:tcW w:w="3197" w:type="dxa"/>
            <w:tcBorders>
              <w:top w:val="nil"/>
              <w:left w:val="nil"/>
              <w:bottom w:val="nil"/>
              <w:right w:val="nil"/>
            </w:tcBorders>
            <w:shd w:val="clear" w:color="auto" w:fill="auto"/>
            <w:vAlign w:val="center"/>
            <w:hideMark/>
          </w:tcPr>
          <w:p w14:paraId="239FC4A4" w14:textId="77777777" w:rsidR="00F02481" w:rsidRPr="00BE78CA" w:rsidRDefault="00F02481" w:rsidP="00C26084">
            <w:pPr>
              <w:pStyle w:val="TableText"/>
              <w:spacing w:before="40" w:after="40"/>
              <w:rPr>
                <w:rFonts w:cs="Calibri"/>
                <w:szCs w:val="16"/>
              </w:rPr>
            </w:pPr>
            <w:r w:rsidRPr="00BE78CA">
              <w:rPr>
                <w:rFonts w:cs="Calibri"/>
                <w:szCs w:val="16"/>
              </w:rPr>
              <w:t>Synthetic Fertilisers</w:t>
            </w:r>
          </w:p>
        </w:tc>
        <w:tc>
          <w:tcPr>
            <w:tcW w:w="832" w:type="dxa"/>
            <w:tcBorders>
              <w:top w:val="nil"/>
              <w:left w:val="nil"/>
              <w:bottom w:val="nil"/>
              <w:right w:val="nil"/>
            </w:tcBorders>
            <w:shd w:val="clear" w:color="auto" w:fill="auto"/>
            <w:noWrap/>
            <w:vAlign w:val="center"/>
            <w:hideMark/>
          </w:tcPr>
          <w:p w14:paraId="43477CDA" w14:textId="77777777" w:rsidR="00F02481" w:rsidRPr="00BE78CA" w:rsidRDefault="00F02481" w:rsidP="00C26084">
            <w:pPr>
              <w:pStyle w:val="TableText"/>
              <w:spacing w:before="40" w:after="40"/>
              <w:jc w:val="center"/>
              <w:rPr>
                <w:rFonts w:cs="Calibri"/>
                <w:color w:val="FFFFFF"/>
                <w:szCs w:val="16"/>
              </w:rPr>
            </w:pPr>
            <w:r w:rsidRPr="00BE78CA">
              <w:rPr>
                <w:rFonts w:cs="Calibri"/>
                <w:color w:val="FFFFFF"/>
                <w:szCs w:val="16"/>
              </w:rPr>
              <w:t>-</w:t>
            </w:r>
          </w:p>
        </w:tc>
        <w:tc>
          <w:tcPr>
            <w:tcW w:w="832" w:type="dxa"/>
            <w:tcBorders>
              <w:top w:val="nil"/>
              <w:left w:val="nil"/>
              <w:bottom w:val="nil"/>
              <w:right w:val="nil"/>
            </w:tcBorders>
            <w:shd w:val="clear" w:color="auto" w:fill="auto"/>
            <w:noWrap/>
            <w:vAlign w:val="center"/>
            <w:hideMark/>
          </w:tcPr>
          <w:p w14:paraId="288D96A8" w14:textId="77777777" w:rsidR="00F02481" w:rsidRPr="00BE78CA" w:rsidRDefault="00F02481" w:rsidP="00C26084">
            <w:pPr>
              <w:pStyle w:val="TableText"/>
              <w:spacing w:before="40" w:after="40"/>
              <w:jc w:val="center"/>
              <w:rPr>
                <w:rFonts w:cs="Calibri"/>
                <w:color w:val="FFFFFF"/>
                <w:szCs w:val="16"/>
              </w:rPr>
            </w:pPr>
            <w:r w:rsidRPr="00BE78CA">
              <w:rPr>
                <w:rFonts w:cs="Calibri"/>
                <w:color w:val="FFFFFF"/>
                <w:szCs w:val="16"/>
              </w:rPr>
              <w:t>-</w:t>
            </w:r>
          </w:p>
        </w:tc>
        <w:tc>
          <w:tcPr>
            <w:tcW w:w="832" w:type="dxa"/>
            <w:tcBorders>
              <w:top w:val="nil"/>
              <w:left w:val="nil"/>
              <w:bottom w:val="nil"/>
              <w:right w:val="nil"/>
            </w:tcBorders>
            <w:shd w:val="clear" w:color="auto" w:fill="auto"/>
            <w:noWrap/>
            <w:vAlign w:val="center"/>
            <w:hideMark/>
          </w:tcPr>
          <w:p w14:paraId="5AD96E3E" w14:textId="77777777" w:rsidR="00F02481" w:rsidRPr="00BE78CA" w:rsidRDefault="00087879" w:rsidP="00C26084">
            <w:pPr>
              <w:pStyle w:val="TableText"/>
              <w:spacing w:before="40" w:after="40"/>
              <w:jc w:val="center"/>
              <w:rPr>
                <w:rFonts w:cs="Calibri"/>
                <w:szCs w:val="16"/>
              </w:rPr>
            </w:pPr>
            <w:hyperlink r:id="rId109" w:history="1">
              <w:r w:rsidR="00F02481" w:rsidRPr="00BE78CA">
                <w:rPr>
                  <w:rFonts w:cs="Calibri"/>
                  <w:szCs w:val="16"/>
                </w:rPr>
                <w:t>T2</w:t>
              </w:r>
            </w:hyperlink>
          </w:p>
        </w:tc>
        <w:tc>
          <w:tcPr>
            <w:tcW w:w="832" w:type="dxa"/>
            <w:tcBorders>
              <w:top w:val="nil"/>
              <w:left w:val="nil"/>
              <w:bottom w:val="nil"/>
              <w:right w:val="nil"/>
            </w:tcBorders>
            <w:shd w:val="clear" w:color="auto" w:fill="auto"/>
            <w:noWrap/>
            <w:vAlign w:val="center"/>
            <w:hideMark/>
          </w:tcPr>
          <w:p w14:paraId="626717BD" w14:textId="77777777" w:rsidR="00F02481" w:rsidRPr="00BE78CA" w:rsidRDefault="00F02481" w:rsidP="00C26084">
            <w:pPr>
              <w:pStyle w:val="TableText"/>
              <w:spacing w:before="40" w:after="40"/>
              <w:jc w:val="center"/>
              <w:rPr>
                <w:rFonts w:cs="Calibri"/>
                <w:szCs w:val="16"/>
              </w:rPr>
            </w:pPr>
            <w:r w:rsidRPr="00BE78CA">
              <w:rPr>
                <w:rFonts w:cs="Calibri"/>
                <w:szCs w:val="16"/>
              </w:rPr>
              <w:t>CS</w:t>
            </w:r>
          </w:p>
        </w:tc>
        <w:tc>
          <w:tcPr>
            <w:tcW w:w="832" w:type="dxa"/>
            <w:tcBorders>
              <w:top w:val="nil"/>
              <w:left w:val="nil"/>
              <w:bottom w:val="nil"/>
              <w:right w:val="nil"/>
            </w:tcBorders>
            <w:shd w:val="clear" w:color="auto" w:fill="auto"/>
            <w:noWrap/>
            <w:vAlign w:val="center"/>
            <w:hideMark/>
          </w:tcPr>
          <w:p w14:paraId="280697FC" w14:textId="77777777" w:rsidR="00F02481" w:rsidRPr="00BE78CA" w:rsidRDefault="00F02481" w:rsidP="00C26084">
            <w:pPr>
              <w:pStyle w:val="TableText"/>
              <w:spacing w:before="40" w:after="40"/>
              <w:jc w:val="center"/>
              <w:rPr>
                <w:rFonts w:cs="Calibri"/>
                <w:color w:val="FFFFFF"/>
                <w:szCs w:val="16"/>
              </w:rPr>
            </w:pPr>
            <w:r w:rsidRPr="00BE78CA">
              <w:rPr>
                <w:rFonts w:cs="Calibri"/>
                <w:color w:val="FFFFFF"/>
                <w:szCs w:val="16"/>
              </w:rPr>
              <w:t>-</w:t>
            </w:r>
          </w:p>
        </w:tc>
        <w:tc>
          <w:tcPr>
            <w:tcW w:w="832" w:type="dxa"/>
            <w:tcBorders>
              <w:top w:val="nil"/>
              <w:left w:val="nil"/>
              <w:bottom w:val="nil"/>
              <w:right w:val="nil"/>
            </w:tcBorders>
            <w:shd w:val="clear" w:color="auto" w:fill="auto"/>
            <w:noWrap/>
            <w:vAlign w:val="center"/>
            <w:hideMark/>
          </w:tcPr>
          <w:p w14:paraId="20016EB9" w14:textId="77777777" w:rsidR="00F02481" w:rsidRPr="00BE78CA" w:rsidRDefault="00F02481" w:rsidP="00C26084">
            <w:pPr>
              <w:pStyle w:val="TableText"/>
              <w:spacing w:before="40" w:after="40"/>
              <w:jc w:val="center"/>
              <w:rPr>
                <w:rFonts w:cs="Calibri"/>
                <w:color w:val="FFFFFF"/>
                <w:szCs w:val="16"/>
              </w:rPr>
            </w:pPr>
            <w:r w:rsidRPr="00BE78CA">
              <w:rPr>
                <w:rFonts w:cs="Calibri"/>
                <w:color w:val="FFFFFF"/>
                <w:szCs w:val="16"/>
              </w:rPr>
              <w:t>-</w:t>
            </w:r>
          </w:p>
        </w:tc>
      </w:tr>
      <w:tr w:rsidR="00F02481" w:rsidRPr="00BE78CA" w14:paraId="616BCAA6" w14:textId="77777777" w:rsidTr="006613CB">
        <w:tc>
          <w:tcPr>
            <w:tcW w:w="325" w:type="dxa"/>
            <w:vMerge/>
            <w:tcBorders>
              <w:top w:val="single" w:sz="8" w:space="0" w:color="365F91"/>
              <w:left w:val="nil"/>
              <w:right w:val="nil"/>
            </w:tcBorders>
            <w:vAlign w:val="center"/>
            <w:hideMark/>
          </w:tcPr>
          <w:p w14:paraId="3C3ECDB6" w14:textId="77777777" w:rsidR="00F02481" w:rsidRPr="00BE78CA" w:rsidRDefault="00F02481" w:rsidP="00C26084">
            <w:pPr>
              <w:pStyle w:val="TableText"/>
              <w:spacing w:before="40" w:after="40"/>
              <w:rPr>
                <w:rFonts w:cs="Calibri"/>
                <w:szCs w:val="16"/>
              </w:rPr>
            </w:pPr>
          </w:p>
        </w:tc>
        <w:tc>
          <w:tcPr>
            <w:tcW w:w="3197" w:type="dxa"/>
            <w:tcBorders>
              <w:top w:val="nil"/>
              <w:left w:val="nil"/>
              <w:bottom w:val="nil"/>
              <w:right w:val="nil"/>
            </w:tcBorders>
            <w:shd w:val="clear" w:color="auto" w:fill="auto"/>
            <w:vAlign w:val="center"/>
            <w:hideMark/>
          </w:tcPr>
          <w:p w14:paraId="50668360" w14:textId="77777777" w:rsidR="00F02481" w:rsidRPr="00BE78CA" w:rsidRDefault="00F02481" w:rsidP="00C26084">
            <w:pPr>
              <w:pStyle w:val="TableText"/>
              <w:spacing w:before="40" w:after="40"/>
              <w:rPr>
                <w:rFonts w:cs="Calibri"/>
                <w:szCs w:val="16"/>
              </w:rPr>
            </w:pPr>
            <w:r w:rsidRPr="00BE78CA">
              <w:rPr>
                <w:rFonts w:cs="Calibri"/>
                <w:szCs w:val="16"/>
              </w:rPr>
              <w:t>Animal Manure Applied to Soils</w:t>
            </w:r>
          </w:p>
        </w:tc>
        <w:tc>
          <w:tcPr>
            <w:tcW w:w="832" w:type="dxa"/>
            <w:tcBorders>
              <w:top w:val="nil"/>
              <w:left w:val="nil"/>
              <w:bottom w:val="nil"/>
              <w:right w:val="nil"/>
            </w:tcBorders>
            <w:shd w:val="clear" w:color="auto" w:fill="auto"/>
            <w:noWrap/>
            <w:vAlign w:val="center"/>
            <w:hideMark/>
          </w:tcPr>
          <w:p w14:paraId="07CAE5ED" w14:textId="77777777" w:rsidR="00F02481" w:rsidRPr="00BE78CA" w:rsidRDefault="00F02481" w:rsidP="00C26084">
            <w:pPr>
              <w:pStyle w:val="TableText"/>
              <w:spacing w:before="40" w:after="40"/>
              <w:jc w:val="center"/>
              <w:rPr>
                <w:rFonts w:cs="Calibri"/>
                <w:color w:val="FFFFFF"/>
                <w:szCs w:val="16"/>
              </w:rPr>
            </w:pPr>
            <w:r w:rsidRPr="00BE78CA">
              <w:rPr>
                <w:rFonts w:cs="Calibri"/>
                <w:color w:val="FFFFFF"/>
                <w:szCs w:val="16"/>
              </w:rPr>
              <w:t>-</w:t>
            </w:r>
          </w:p>
        </w:tc>
        <w:tc>
          <w:tcPr>
            <w:tcW w:w="832" w:type="dxa"/>
            <w:tcBorders>
              <w:top w:val="nil"/>
              <w:left w:val="nil"/>
              <w:bottom w:val="nil"/>
              <w:right w:val="nil"/>
            </w:tcBorders>
            <w:shd w:val="clear" w:color="auto" w:fill="auto"/>
            <w:noWrap/>
            <w:vAlign w:val="center"/>
            <w:hideMark/>
          </w:tcPr>
          <w:p w14:paraId="0DE365BB" w14:textId="77777777" w:rsidR="00F02481" w:rsidRPr="00BE78CA" w:rsidRDefault="00F02481" w:rsidP="00C26084">
            <w:pPr>
              <w:pStyle w:val="TableText"/>
              <w:spacing w:before="40" w:after="40"/>
              <w:jc w:val="center"/>
              <w:rPr>
                <w:rFonts w:cs="Calibri"/>
                <w:color w:val="FFFFFF"/>
                <w:szCs w:val="16"/>
              </w:rPr>
            </w:pPr>
            <w:r w:rsidRPr="00BE78CA">
              <w:rPr>
                <w:rFonts w:cs="Calibri"/>
                <w:color w:val="FFFFFF"/>
                <w:szCs w:val="16"/>
              </w:rPr>
              <w:t>-</w:t>
            </w:r>
          </w:p>
        </w:tc>
        <w:tc>
          <w:tcPr>
            <w:tcW w:w="832" w:type="dxa"/>
            <w:tcBorders>
              <w:top w:val="nil"/>
              <w:left w:val="nil"/>
              <w:bottom w:val="nil"/>
              <w:right w:val="nil"/>
            </w:tcBorders>
            <w:shd w:val="clear" w:color="auto" w:fill="auto"/>
            <w:noWrap/>
            <w:vAlign w:val="center"/>
            <w:hideMark/>
          </w:tcPr>
          <w:p w14:paraId="67C265FD" w14:textId="77777777" w:rsidR="00F02481" w:rsidRPr="00BE78CA" w:rsidRDefault="00F02481" w:rsidP="00C26084">
            <w:pPr>
              <w:pStyle w:val="TableText"/>
              <w:spacing w:before="40" w:after="40"/>
              <w:jc w:val="center"/>
              <w:rPr>
                <w:rFonts w:cs="Calibri"/>
                <w:szCs w:val="16"/>
              </w:rPr>
            </w:pPr>
            <w:r w:rsidRPr="00BE78CA">
              <w:rPr>
                <w:rFonts w:cs="Calibri"/>
                <w:szCs w:val="16"/>
              </w:rPr>
              <w:t>T1, T2</w:t>
            </w:r>
          </w:p>
        </w:tc>
        <w:tc>
          <w:tcPr>
            <w:tcW w:w="832" w:type="dxa"/>
            <w:tcBorders>
              <w:top w:val="nil"/>
              <w:left w:val="nil"/>
              <w:bottom w:val="nil"/>
              <w:right w:val="nil"/>
            </w:tcBorders>
            <w:shd w:val="clear" w:color="auto" w:fill="auto"/>
            <w:noWrap/>
            <w:vAlign w:val="center"/>
            <w:hideMark/>
          </w:tcPr>
          <w:p w14:paraId="27CF7773" w14:textId="77777777" w:rsidR="00F02481" w:rsidRPr="00BE78CA" w:rsidRDefault="00F02481" w:rsidP="00C26084">
            <w:pPr>
              <w:pStyle w:val="TableText"/>
              <w:spacing w:before="40" w:after="40"/>
              <w:jc w:val="center"/>
              <w:rPr>
                <w:rFonts w:cs="Calibri"/>
                <w:szCs w:val="16"/>
              </w:rPr>
            </w:pPr>
            <w:r w:rsidRPr="00BE78CA">
              <w:rPr>
                <w:rFonts w:cs="Calibri"/>
                <w:szCs w:val="16"/>
              </w:rPr>
              <w:t>CS</w:t>
            </w:r>
          </w:p>
        </w:tc>
        <w:tc>
          <w:tcPr>
            <w:tcW w:w="832" w:type="dxa"/>
            <w:tcBorders>
              <w:top w:val="nil"/>
              <w:left w:val="nil"/>
              <w:bottom w:val="nil"/>
              <w:right w:val="nil"/>
            </w:tcBorders>
            <w:shd w:val="clear" w:color="auto" w:fill="auto"/>
            <w:noWrap/>
            <w:vAlign w:val="center"/>
            <w:hideMark/>
          </w:tcPr>
          <w:p w14:paraId="5D2636C4" w14:textId="77777777" w:rsidR="00F02481" w:rsidRPr="00BE78CA" w:rsidRDefault="00F02481" w:rsidP="00C26084">
            <w:pPr>
              <w:pStyle w:val="TableText"/>
              <w:spacing w:before="40" w:after="40"/>
              <w:jc w:val="center"/>
              <w:rPr>
                <w:rFonts w:cs="Calibri"/>
                <w:color w:val="FFFFFF"/>
                <w:szCs w:val="16"/>
              </w:rPr>
            </w:pPr>
            <w:r w:rsidRPr="00BE78CA">
              <w:rPr>
                <w:rFonts w:cs="Calibri"/>
                <w:color w:val="FFFFFF"/>
                <w:szCs w:val="16"/>
              </w:rPr>
              <w:t>-</w:t>
            </w:r>
          </w:p>
        </w:tc>
        <w:tc>
          <w:tcPr>
            <w:tcW w:w="832" w:type="dxa"/>
            <w:tcBorders>
              <w:top w:val="nil"/>
              <w:left w:val="nil"/>
              <w:bottom w:val="nil"/>
              <w:right w:val="nil"/>
            </w:tcBorders>
            <w:shd w:val="clear" w:color="auto" w:fill="auto"/>
            <w:noWrap/>
            <w:vAlign w:val="center"/>
            <w:hideMark/>
          </w:tcPr>
          <w:p w14:paraId="1E0FDBB1" w14:textId="77777777" w:rsidR="00F02481" w:rsidRPr="00BE78CA" w:rsidRDefault="00F02481" w:rsidP="00C26084">
            <w:pPr>
              <w:pStyle w:val="TableText"/>
              <w:spacing w:before="40" w:after="40"/>
              <w:jc w:val="center"/>
              <w:rPr>
                <w:rFonts w:cs="Calibri"/>
                <w:color w:val="FFFFFF"/>
                <w:szCs w:val="16"/>
              </w:rPr>
            </w:pPr>
            <w:r w:rsidRPr="00BE78CA">
              <w:rPr>
                <w:rFonts w:cs="Calibri"/>
                <w:color w:val="FFFFFF"/>
                <w:szCs w:val="16"/>
              </w:rPr>
              <w:t>-</w:t>
            </w:r>
          </w:p>
        </w:tc>
      </w:tr>
      <w:tr w:rsidR="00F02481" w:rsidRPr="00BE78CA" w14:paraId="3A62FE0A" w14:textId="77777777" w:rsidTr="006613CB">
        <w:tc>
          <w:tcPr>
            <w:tcW w:w="325" w:type="dxa"/>
            <w:vMerge/>
            <w:tcBorders>
              <w:top w:val="single" w:sz="8" w:space="0" w:color="365F91"/>
              <w:left w:val="nil"/>
              <w:right w:val="nil"/>
            </w:tcBorders>
            <w:vAlign w:val="center"/>
            <w:hideMark/>
          </w:tcPr>
          <w:p w14:paraId="7F4A28BA" w14:textId="77777777" w:rsidR="00F02481" w:rsidRPr="00BE78CA" w:rsidRDefault="00F02481" w:rsidP="00C26084">
            <w:pPr>
              <w:pStyle w:val="TableText"/>
              <w:spacing w:before="50" w:after="50"/>
              <w:rPr>
                <w:rFonts w:cs="Calibri"/>
                <w:szCs w:val="16"/>
              </w:rPr>
            </w:pPr>
          </w:p>
        </w:tc>
        <w:tc>
          <w:tcPr>
            <w:tcW w:w="3197" w:type="dxa"/>
            <w:tcBorders>
              <w:top w:val="nil"/>
              <w:left w:val="nil"/>
              <w:bottom w:val="nil"/>
              <w:right w:val="nil"/>
            </w:tcBorders>
            <w:shd w:val="clear" w:color="auto" w:fill="auto"/>
            <w:vAlign w:val="center"/>
            <w:hideMark/>
          </w:tcPr>
          <w:p w14:paraId="5B097363" w14:textId="77777777" w:rsidR="00F02481" w:rsidRPr="00BE78CA" w:rsidRDefault="00F02481" w:rsidP="00C26084">
            <w:pPr>
              <w:pStyle w:val="TableText"/>
              <w:spacing w:before="40" w:after="40"/>
              <w:rPr>
                <w:rFonts w:cs="Calibri"/>
                <w:szCs w:val="16"/>
              </w:rPr>
            </w:pPr>
            <w:r w:rsidRPr="00BE78CA">
              <w:rPr>
                <w:rFonts w:cs="Calibri"/>
                <w:szCs w:val="16"/>
              </w:rPr>
              <w:t>Sewage Sludge Applied to Soils</w:t>
            </w:r>
          </w:p>
        </w:tc>
        <w:tc>
          <w:tcPr>
            <w:tcW w:w="832" w:type="dxa"/>
            <w:tcBorders>
              <w:top w:val="nil"/>
              <w:left w:val="nil"/>
              <w:bottom w:val="nil"/>
              <w:right w:val="nil"/>
            </w:tcBorders>
            <w:shd w:val="clear" w:color="auto" w:fill="auto"/>
            <w:noWrap/>
            <w:vAlign w:val="center"/>
            <w:hideMark/>
          </w:tcPr>
          <w:p w14:paraId="149C74B5" w14:textId="77777777" w:rsidR="00F02481" w:rsidRPr="00BE78CA" w:rsidRDefault="00F02481" w:rsidP="00C26084">
            <w:pPr>
              <w:pStyle w:val="TableText"/>
              <w:spacing w:before="40" w:after="40"/>
              <w:jc w:val="center"/>
              <w:rPr>
                <w:rFonts w:cs="Calibri"/>
                <w:color w:val="FFFFFF"/>
                <w:szCs w:val="16"/>
              </w:rPr>
            </w:pPr>
            <w:r w:rsidRPr="00BE78CA">
              <w:rPr>
                <w:rFonts w:cs="Calibri"/>
                <w:color w:val="FFFFFF"/>
                <w:szCs w:val="16"/>
              </w:rPr>
              <w:t>-</w:t>
            </w:r>
          </w:p>
        </w:tc>
        <w:tc>
          <w:tcPr>
            <w:tcW w:w="832" w:type="dxa"/>
            <w:tcBorders>
              <w:top w:val="nil"/>
              <w:left w:val="nil"/>
              <w:bottom w:val="nil"/>
              <w:right w:val="nil"/>
            </w:tcBorders>
            <w:shd w:val="clear" w:color="auto" w:fill="auto"/>
            <w:noWrap/>
            <w:vAlign w:val="center"/>
            <w:hideMark/>
          </w:tcPr>
          <w:p w14:paraId="51361221" w14:textId="77777777" w:rsidR="00F02481" w:rsidRPr="00BE78CA" w:rsidRDefault="00F02481" w:rsidP="00C26084">
            <w:pPr>
              <w:pStyle w:val="TableText"/>
              <w:spacing w:before="40" w:after="40"/>
              <w:jc w:val="center"/>
              <w:rPr>
                <w:rFonts w:cs="Calibri"/>
                <w:color w:val="FFFFFF"/>
                <w:szCs w:val="16"/>
              </w:rPr>
            </w:pPr>
            <w:r w:rsidRPr="00BE78CA">
              <w:rPr>
                <w:rFonts w:cs="Calibri"/>
                <w:color w:val="FFFFFF"/>
                <w:szCs w:val="16"/>
              </w:rPr>
              <w:t>-</w:t>
            </w:r>
          </w:p>
        </w:tc>
        <w:tc>
          <w:tcPr>
            <w:tcW w:w="832" w:type="dxa"/>
            <w:tcBorders>
              <w:top w:val="nil"/>
              <w:left w:val="nil"/>
              <w:bottom w:val="nil"/>
              <w:right w:val="nil"/>
            </w:tcBorders>
            <w:shd w:val="clear" w:color="auto" w:fill="auto"/>
            <w:noWrap/>
            <w:vAlign w:val="center"/>
            <w:hideMark/>
          </w:tcPr>
          <w:p w14:paraId="226255AE" w14:textId="77777777" w:rsidR="00F02481" w:rsidRPr="00BE78CA" w:rsidRDefault="00F02481" w:rsidP="00C26084">
            <w:pPr>
              <w:pStyle w:val="TableText"/>
              <w:spacing w:before="40" w:after="40"/>
              <w:jc w:val="center"/>
              <w:rPr>
                <w:rFonts w:cs="Calibri"/>
                <w:szCs w:val="16"/>
              </w:rPr>
            </w:pPr>
            <w:r w:rsidRPr="00BE78CA">
              <w:rPr>
                <w:rFonts w:cs="Calibri"/>
                <w:szCs w:val="16"/>
              </w:rPr>
              <w:t>NA</w:t>
            </w:r>
          </w:p>
        </w:tc>
        <w:tc>
          <w:tcPr>
            <w:tcW w:w="832" w:type="dxa"/>
            <w:tcBorders>
              <w:top w:val="nil"/>
              <w:left w:val="nil"/>
              <w:bottom w:val="nil"/>
              <w:right w:val="nil"/>
            </w:tcBorders>
            <w:shd w:val="clear" w:color="auto" w:fill="auto"/>
            <w:noWrap/>
            <w:vAlign w:val="center"/>
            <w:hideMark/>
          </w:tcPr>
          <w:p w14:paraId="317DB7F3" w14:textId="77777777" w:rsidR="00F02481" w:rsidRPr="00BE78CA" w:rsidRDefault="00F02481" w:rsidP="00C26084">
            <w:pPr>
              <w:pStyle w:val="TableText"/>
              <w:spacing w:before="40" w:after="40"/>
              <w:jc w:val="center"/>
              <w:rPr>
                <w:rFonts w:cs="Calibri"/>
                <w:szCs w:val="16"/>
              </w:rPr>
            </w:pPr>
            <w:r w:rsidRPr="00BE78CA">
              <w:rPr>
                <w:rFonts w:cs="Calibri"/>
                <w:szCs w:val="16"/>
              </w:rPr>
              <w:t>NA</w:t>
            </w:r>
          </w:p>
        </w:tc>
        <w:tc>
          <w:tcPr>
            <w:tcW w:w="832" w:type="dxa"/>
            <w:tcBorders>
              <w:top w:val="nil"/>
              <w:left w:val="nil"/>
              <w:bottom w:val="nil"/>
              <w:right w:val="nil"/>
            </w:tcBorders>
            <w:shd w:val="clear" w:color="auto" w:fill="auto"/>
            <w:noWrap/>
            <w:vAlign w:val="center"/>
            <w:hideMark/>
          </w:tcPr>
          <w:p w14:paraId="3F06A08C" w14:textId="77777777" w:rsidR="00F02481" w:rsidRPr="00BE78CA" w:rsidRDefault="00F02481" w:rsidP="00C26084">
            <w:pPr>
              <w:pStyle w:val="TableText"/>
              <w:spacing w:before="40" w:after="40"/>
              <w:jc w:val="center"/>
              <w:rPr>
                <w:rFonts w:cs="Calibri"/>
                <w:color w:val="FFFFFF"/>
                <w:szCs w:val="16"/>
              </w:rPr>
            </w:pPr>
            <w:r w:rsidRPr="00BE78CA">
              <w:rPr>
                <w:rFonts w:cs="Calibri"/>
                <w:color w:val="FFFFFF"/>
                <w:szCs w:val="16"/>
              </w:rPr>
              <w:t>-</w:t>
            </w:r>
          </w:p>
        </w:tc>
        <w:tc>
          <w:tcPr>
            <w:tcW w:w="832" w:type="dxa"/>
            <w:tcBorders>
              <w:top w:val="nil"/>
              <w:left w:val="nil"/>
              <w:bottom w:val="nil"/>
              <w:right w:val="nil"/>
            </w:tcBorders>
            <w:shd w:val="clear" w:color="auto" w:fill="auto"/>
            <w:noWrap/>
            <w:vAlign w:val="center"/>
            <w:hideMark/>
          </w:tcPr>
          <w:p w14:paraId="7C49E855" w14:textId="77777777" w:rsidR="00F02481" w:rsidRPr="00BE78CA" w:rsidRDefault="00F02481" w:rsidP="00C26084">
            <w:pPr>
              <w:pStyle w:val="TableText"/>
              <w:spacing w:before="40" w:after="40"/>
              <w:jc w:val="center"/>
              <w:rPr>
                <w:rFonts w:cs="Calibri"/>
                <w:color w:val="FFFFFF"/>
                <w:szCs w:val="16"/>
              </w:rPr>
            </w:pPr>
            <w:r w:rsidRPr="00BE78CA">
              <w:rPr>
                <w:rFonts w:cs="Calibri"/>
                <w:color w:val="FFFFFF"/>
                <w:szCs w:val="16"/>
              </w:rPr>
              <w:t>-</w:t>
            </w:r>
          </w:p>
        </w:tc>
      </w:tr>
      <w:tr w:rsidR="00F02481" w:rsidRPr="00BE78CA" w14:paraId="706D5563" w14:textId="77777777" w:rsidTr="006613CB">
        <w:tc>
          <w:tcPr>
            <w:tcW w:w="325" w:type="dxa"/>
            <w:vMerge/>
            <w:tcBorders>
              <w:top w:val="single" w:sz="8" w:space="0" w:color="365F91"/>
              <w:left w:val="nil"/>
              <w:right w:val="nil"/>
            </w:tcBorders>
            <w:vAlign w:val="center"/>
            <w:hideMark/>
          </w:tcPr>
          <w:p w14:paraId="02B89489" w14:textId="77777777" w:rsidR="00F02481" w:rsidRPr="00BE78CA" w:rsidRDefault="00F02481" w:rsidP="00C26084">
            <w:pPr>
              <w:pStyle w:val="TableText"/>
              <w:spacing w:before="50" w:after="50"/>
              <w:rPr>
                <w:rFonts w:cs="Calibri"/>
                <w:szCs w:val="16"/>
              </w:rPr>
            </w:pPr>
          </w:p>
        </w:tc>
        <w:tc>
          <w:tcPr>
            <w:tcW w:w="3197" w:type="dxa"/>
            <w:tcBorders>
              <w:top w:val="nil"/>
              <w:left w:val="nil"/>
              <w:bottom w:val="nil"/>
              <w:right w:val="nil"/>
            </w:tcBorders>
            <w:shd w:val="clear" w:color="auto" w:fill="auto"/>
            <w:vAlign w:val="center"/>
            <w:hideMark/>
          </w:tcPr>
          <w:p w14:paraId="7E270982" w14:textId="77777777" w:rsidR="00F02481" w:rsidRPr="00BE78CA" w:rsidRDefault="00F02481" w:rsidP="00C26084">
            <w:pPr>
              <w:pStyle w:val="TableText"/>
              <w:spacing w:before="40" w:after="40"/>
              <w:rPr>
                <w:rFonts w:cs="Calibri"/>
                <w:szCs w:val="16"/>
              </w:rPr>
            </w:pPr>
            <w:r w:rsidRPr="00BE78CA">
              <w:rPr>
                <w:rFonts w:cs="Calibri"/>
                <w:szCs w:val="16"/>
              </w:rPr>
              <w:t>Other Organic Fertilisers applied to Soils</w:t>
            </w:r>
          </w:p>
        </w:tc>
        <w:tc>
          <w:tcPr>
            <w:tcW w:w="832" w:type="dxa"/>
            <w:tcBorders>
              <w:top w:val="nil"/>
              <w:left w:val="nil"/>
              <w:bottom w:val="nil"/>
              <w:right w:val="nil"/>
            </w:tcBorders>
            <w:shd w:val="clear" w:color="auto" w:fill="auto"/>
            <w:noWrap/>
            <w:vAlign w:val="center"/>
            <w:hideMark/>
          </w:tcPr>
          <w:p w14:paraId="3AA4B3D8" w14:textId="77777777" w:rsidR="00F02481" w:rsidRPr="00BE78CA" w:rsidRDefault="00F02481" w:rsidP="00C26084">
            <w:pPr>
              <w:pStyle w:val="TableText"/>
              <w:spacing w:before="40" w:after="40"/>
              <w:jc w:val="center"/>
              <w:rPr>
                <w:rFonts w:cs="Calibri"/>
                <w:color w:val="FFFFFF"/>
                <w:szCs w:val="16"/>
              </w:rPr>
            </w:pPr>
            <w:r w:rsidRPr="00BE78CA">
              <w:rPr>
                <w:rFonts w:cs="Calibri"/>
                <w:color w:val="FFFFFF"/>
                <w:szCs w:val="16"/>
              </w:rPr>
              <w:t>-</w:t>
            </w:r>
          </w:p>
        </w:tc>
        <w:tc>
          <w:tcPr>
            <w:tcW w:w="832" w:type="dxa"/>
            <w:tcBorders>
              <w:top w:val="nil"/>
              <w:left w:val="nil"/>
              <w:bottom w:val="nil"/>
              <w:right w:val="nil"/>
            </w:tcBorders>
            <w:shd w:val="clear" w:color="auto" w:fill="auto"/>
            <w:noWrap/>
            <w:vAlign w:val="center"/>
            <w:hideMark/>
          </w:tcPr>
          <w:p w14:paraId="5B943A5C" w14:textId="77777777" w:rsidR="00F02481" w:rsidRPr="00BE78CA" w:rsidRDefault="00F02481" w:rsidP="00C26084">
            <w:pPr>
              <w:pStyle w:val="TableText"/>
              <w:spacing w:before="40" w:after="40"/>
              <w:jc w:val="center"/>
              <w:rPr>
                <w:rFonts w:cs="Calibri"/>
                <w:color w:val="FFFFFF"/>
                <w:szCs w:val="16"/>
              </w:rPr>
            </w:pPr>
            <w:r w:rsidRPr="00BE78CA">
              <w:rPr>
                <w:rFonts w:cs="Calibri"/>
                <w:color w:val="FFFFFF"/>
                <w:szCs w:val="16"/>
              </w:rPr>
              <w:t>-</w:t>
            </w:r>
          </w:p>
        </w:tc>
        <w:tc>
          <w:tcPr>
            <w:tcW w:w="832" w:type="dxa"/>
            <w:tcBorders>
              <w:top w:val="nil"/>
              <w:left w:val="nil"/>
              <w:bottom w:val="nil"/>
              <w:right w:val="nil"/>
            </w:tcBorders>
            <w:shd w:val="clear" w:color="auto" w:fill="auto"/>
            <w:noWrap/>
            <w:vAlign w:val="center"/>
            <w:hideMark/>
          </w:tcPr>
          <w:p w14:paraId="608FD3E8" w14:textId="77777777" w:rsidR="00F02481" w:rsidRPr="00BE78CA" w:rsidRDefault="00F02481" w:rsidP="00C26084">
            <w:pPr>
              <w:pStyle w:val="TableText"/>
              <w:spacing w:before="40" w:after="40"/>
              <w:jc w:val="center"/>
              <w:rPr>
                <w:rFonts w:cs="Calibri"/>
                <w:szCs w:val="16"/>
              </w:rPr>
            </w:pPr>
            <w:r w:rsidRPr="00BE78CA">
              <w:rPr>
                <w:rFonts w:cs="Calibri"/>
                <w:szCs w:val="16"/>
              </w:rPr>
              <w:t>NA</w:t>
            </w:r>
          </w:p>
        </w:tc>
        <w:tc>
          <w:tcPr>
            <w:tcW w:w="832" w:type="dxa"/>
            <w:tcBorders>
              <w:top w:val="nil"/>
              <w:left w:val="nil"/>
              <w:bottom w:val="nil"/>
              <w:right w:val="nil"/>
            </w:tcBorders>
            <w:shd w:val="clear" w:color="auto" w:fill="auto"/>
            <w:noWrap/>
            <w:vAlign w:val="center"/>
            <w:hideMark/>
          </w:tcPr>
          <w:p w14:paraId="08C1481F" w14:textId="77777777" w:rsidR="00F02481" w:rsidRPr="00BE78CA" w:rsidRDefault="00F02481" w:rsidP="00C26084">
            <w:pPr>
              <w:pStyle w:val="TableText"/>
              <w:spacing w:before="40" w:after="40"/>
              <w:jc w:val="center"/>
              <w:rPr>
                <w:rFonts w:cs="Calibri"/>
                <w:szCs w:val="16"/>
              </w:rPr>
            </w:pPr>
            <w:r w:rsidRPr="00BE78CA">
              <w:rPr>
                <w:rFonts w:cs="Calibri"/>
                <w:szCs w:val="16"/>
              </w:rPr>
              <w:t>NA</w:t>
            </w:r>
          </w:p>
        </w:tc>
        <w:tc>
          <w:tcPr>
            <w:tcW w:w="832" w:type="dxa"/>
            <w:tcBorders>
              <w:top w:val="nil"/>
              <w:left w:val="nil"/>
              <w:bottom w:val="nil"/>
              <w:right w:val="nil"/>
            </w:tcBorders>
            <w:shd w:val="clear" w:color="auto" w:fill="auto"/>
            <w:noWrap/>
            <w:vAlign w:val="center"/>
            <w:hideMark/>
          </w:tcPr>
          <w:p w14:paraId="79F882C2" w14:textId="77777777" w:rsidR="00F02481" w:rsidRPr="00BE78CA" w:rsidRDefault="00F02481" w:rsidP="00C26084">
            <w:pPr>
              <w:pStyle w:val="TableText"/>
              <w:spacing w:before="40" w:after="40"/>
              <w:jc w:val="center"/>
              <w:rPr>
                <w:rFonts w:cs="Calibri"/>
                <w:color w:val="FFFFFF"/>
                <w:szCs w:val="16"/>
              </w:rPr>
            </w:pPr>
            <w:r w:rsidRPr="00BE78CA">
              <w:rPr>
                <w:rFonts w:cs="Calibri"/>
                <w:color w:val="FFFFFF"/>
                <w:szCs w:val="16"/>
              </w:rPr>
              <w:t>-</w:t>
            </w:r>
          </w:p>
        </w:tc>
        <w:tc>
          <w:tcPr>
            <w:tcW w:w="832" w:type="dxa"/>
            <w:tcBorders>
              <w:top w:val="nil"/>
              <w:left w:val="nil"/>
              <w:bottom w:val="nil"/>
              <w:right w:val="nil"/>
            </w:tcBorders>
            <w:shd w:val="clear" w:color="auto" w:fill="auto"/>
            <w:noWrap/>
            <w:vAlign w:val="center"/>
            <w:hideMark/>
          </w:tcPr>
          <w:p w14:paraId="4DBD40D7" w14:textId="77777777" w:rsidR="00F02481" w:rsidRPr="00BE78CA" w:rsidRDefault="00F02481" w:rsidP="00C26084">
            <w:pPr>
              <w:pStyle w:val="TableText"/>
              <w:spacing w:before="40" w:after="40"/>
              <w:jc w:val="center"/>
              <w:rPr>
                <w:rFonts w:cs="Calibri"/>
                <w:color w:val="FFFFFF"/>
                <w:szCs w:val="16"/>
              </w:rPr>
            </w:pPr>
            <w:r w:rsidRPr="00BE78CA">
              <w:rPr>
                <w:rFonts w:cs="Calibri"/>
                <w:color w:val="FFFFFF"/>
                <w:szCs w:val="16"/>
              </w:rPr>
              <w:t>-</w:t>
            </w:r>
          </w:p>
        </w:tc>
      </w:tr>
      <w:tr w:rsidR="00F02481" w:rsidRPr="00BE78CA" w14:paraId="61F0EBED" w14:textId="77777777" w:rsidTr="006613CB">
        <w:tc>
          <w:tcPr>
            <w:tcW w:w="325" w:type="dxa"/>
            <w:vMerge/>
            <w:tcBorders>
              <w:top w:val="single" w:sz="8" w:space="0" w:color="365F91"/>
              <w:left w:val="nil"/>
              <w:right w:val="nil"/>
            </w:tcBorders>
            <w:vAlign w:val="center"/>
            <w:hideMark/>
          </w:tcPr>
          <w:p w14:paraId="2D71BCA3" w14:textId="77777777" w:rsidR="00F02481" w:rsidRPr="00BE78CA" w:rsidRDefault="00F02481" w:rsidP="00C26084">
            <w:pPr>
              <w:pStyle w:val="TableText"/>
              <w:spacing w:before="50" w:after="50"/>
              <w:rPr>
                <w:rFonts w:cs="Calibri"/>
                <w:szCs w:val="16"/>
              </w:rPr>
            </w:pPr>
          </w:p>
        </w:tc>
        <w:tc>
          <w:tcPr>
            <w:tcW w:w="3197" w:type="dxa"/>
            <w:tcBorders>
              <w:top w:val="nil"/>
              <w:left w:val="nil"/>
              <w:bottom w:val="nil"/>
              <w:right w:val="nil"/>
            </w:tcBorders>
            <w:shd w:val="clear" w:color="auto" w:fill="auto"/>
            <w:vAlign w:val="center"/>
            <w:hideMark/>
          </w:tcPr>
          <w:p w14:paraId="7F5E94D9" w14:textId="77777777" w:rsidR="00F02481" w:rsidRPr="00BE78CA" w:rsidRDefault="00F02481" w:rsidP="00C26084">
            <w:pPr>
              <w:pStyle w:val="TableText"/>
              <w:spacing w:before="40" w:after="40"/>
              <w:rPr>
                <w:rFonts w:cs="Calibri"/>
                <w:szCs w:val="16"/>
              </w:rPr>
            </w:pPr>
            <w:r w:rsidRPr="00BE78CA">
              <w:rPr>
                <w:rFonts w:cs="Calibri"/>
                <w:szCs w:val="16"/>
              </w:rPr>
              <w:t>Urine and Dung Deposited by Grazing Animals</w:t>
            </w:r>
          </w:p>
        </w:tc>
        <w:tc>
          <w:tcPr>
            <w:tcW w:w="832" w:type="dxa"/>
            <w:tcBorders>
              <w:top w:val="nil"/>
              <w:left w:val="nil"/>
              <w:bottom w:val="nil"/>
              <w:right w:val="nil"/>
            </w:tcBorders>
            <w:shd w:val="clear" w:color="auto" w:fill="auto"/>
            <w:noWrap/>
            <w:vAlign w:val="center"/>
            <w:hideMark/>
          </w:tcPr>
          <w:p w14:paraId="6A814EA7" w14:textId="77777777" w:rsidR="00F02481" w:rsidRPr="00BE78CA" w:rsidRDefault="00F02481" w:rsidP="00C26084">
            <w:pPr>
              <w:pStyle w:val="TableText"/>
              <w:spacing w:before="40" w:after="40"/>
              <w:jc w:val="center"/>
              <w:rPr>
                <w:rFonts w:cs="Calibri"/>
                <w:color w:val="FFFFFF"/>
                <w:szCs w:val="16"/>
              </w:rPr>
            </w:pPr>
            <w:r w:rsidRPr="00BE78CA">
              <w:rPr>
                <w:rFonts w:cs="Calibri"/>
                <w:color w:val="FFFFFF"/>
                <w:szCs w:val="16"/>
              </w:rPr>
              <w:t>-</w:t>
            </w:r>
          </w:p>
        </w:tc>
        <w:tc>
          <w:tcPr>
            <w:tcW w:w="832" w:type="dxa"/>
            <w:tcBorders>
              <w:top w:val="nil"/>
              <w:left w:val="nil"/>
              <w:bottom w:val="nil"/>
              <w:right w:val="nil"/>
            </w:tcBorders>
            <w:shd w:val="clear" w:color="auto" w:fill="auto"/>
            <w:noWrap/>
            <w:vAlign w:val="center"/>
            <w:hideMark/>
          </w:tcPr>
          <w:p w14:paraId="7DB34663" w14:textId="77777777" w:rsidR="00F02481" w:rsidRPr="00BE78CA" w:rsidRDefault="00F02481" w:rsidP="00C26084">
            <w:pPr>
              <w:pStyle w:val="TableText"/>
              <w:spacing w:before="40" w:after="40"/>
              <w:jc w:val="center"/>
              <w:rPr>
                <w:rFonts w:cs="Calibri"/>
                <w:color w:val="FFFFFF"/>
                <w:szCs w:val="16"/>
              </w:rPr>
            </w:pPr>
            <w:r w:rsidRPr="00BE78CA">
              <w:rPr>
                <w:rFonts w:cs="Calibri"/>
                <w:color w:val="FFFFFF"/>
                <w:szCs w:val="16"/>
              </w:rPr>
              <w:t>-</w:t>
            </w:r>
          </w:p>
        </w:tc>
        <w:tc>
          <w:tcPr>
            <w:tcW w:w="832" w:type="dxa"/>
            <w:tcBorders>
              <w:top w:val="nil"/>
              <w:left w:val="nil"/>
              <w:bottom w:val="nil"/>
              <w:right w:val="nil"/>
            </w:tcBorders>
            <w:shd w:val="clear" w:color="auto" w:fill="auto"/>
            <w:noWrap/>
            <w:vAlign w:val="center"/>
            <w:hideMark/>
          </w:tcPr>
          <w:p w14:paraId="61A04F7B" w14:textId="77777777" w:rsidR="00F02481" w:rsidRPr="00BE78CA" w:rsidRDefault="00F02481" w:rsidP="00C26084">
            <w:pPr>
              <w:pStyle w:val="TableText"/>
              <w:spacing w:before="40" w:after="40"/>
              <w:jc w:val="center"/>
              <w:rPr>
                <w:rFonts w:cs="Calibri"/>
                <w:szCs w:val="16"/>
              </w:rPr>
            </w:pPr>
            <w:r w:rsidRPr="00BE78CA">
              <w:rPr>
                <w:rFonts w:cs="Calibri"/>
                <w:szCs w:val="16"/>
              </w:rPr>
              <w:t>T1, T2</w:t>
            </w:r>
          </w:p>
        </w:tc>
        <w:tc>
          <w:tcPr>
            <w:tcW w:w="832" w:type="dxa"/>
            <w:tcBorders>
              <w:top w:val="nil"/>
              <w:left w:val="nil"/>
              <w:bottom w:val="nil"/>
              <w:right w:val="nil"/>
            </w:tcBorders>
            <w:shd w:val="clear" w:color="auto" w:fill="auto"/>
            <w:noWrap/>
            <w:vAlign w:val="center"/>
            <w:hideMark/>
          </w:tcPr>
          <w:p w14:paraId="5E1603EA" w14:textId="77777777" w:rsidR="00F02481" w:rsidRPr="00BE78CA" w:rsidRDefault="00F02481" w:rsidP="00C26084">
            <w:pPr>
              <w:pStyle w:val="TableText"/>
              <w:spacing w:before="40" w:after="40"/>
              <w:jc w:val="center"/>
              <w:rPr>
                <w:rFonts w:cs="Calibri"/>
                <w:szCs w:val="16"/>
              </w:rPr>
            </w:pPr>
            <w:r w:rsidRPr="00BE78CA">
              <w:rPr>
                <w:rFonts w:cs="Calibri"/>
                <w:szCs w:val="16"/>
              </w:rPr>
              <w:t>CS</w:t>
            </w:r>
          </w:p>
        </w:tc>
        <w:tc>
          <w:tcPr>
            <w:tcW w:w="832" w:type="dxa"/>
            <w:tcBorders>
              <w:top w:val="nil"/>
              <w:left w:val="nil"/>
              <w:bottom w:val="nil"/>
              <w:right w:val="nil"/>
            </w:tcBorders>
            <w:shd w:val="clear" w:color="auto" w:fill="auto"/>
            <w:noWrap/>
            <w:vAlign w:val="center"/>
            <w:hideMark/>
          </w:tcPr>
          <w:p w14:paraId="0DA106DF" w14:textId="77777777" w:rsidR="00F02481" w:rsidRPr="00BE78CA" w:rsidRDefault="00F02481" w:rsidP="00C26084">
            <w:pPr>
              <w:pStyle w:val="TableText"/>
              <w:spacing w:before="40" w:after="40"/>
              <w:jc w:val="center"/>
              <w:rPr>
                <w:rFonts w:cs="Calibri"/>
                <w:color w:val="FFFFFF"/>
                <w:szCs w:val="16"/>
              </w:rPr>
            </w:pPr>
            <w:r w:rsidRPr="00BE78CA">
              <w:rPr>
                <w:rFonts w:cs="Calibri"/>
                <w:color w:val="FFFFFF"/>
                <w:szCs w:val="16"/>
              </w:rPr>
              <w:t>-</w:t>
            </w:r>
          </w:p>
        </w:tc>
        <w:tc>
          <w:tcPr>
            <w:tcW w:w="832" w:type="dxa"/>
            <w:tcBorders>
              <w:top w:val="nil"/>
              <w:left w:val="nil"/>
              <w:bottom w:val="nil"/>
              <w:right w:val="nil"/>
            </w:tcBorders>
            <w:shd w:val="clear" w:color="auto" w:fill="auto"/>
            <w:noWrap/>
            <w:vAlign w:val="center"/>
            <w:hideMark/>
          </w:tcPr>
          <w:p w14:paraId="75914AD6" w14:textId="77777777" w:rsidR="00F02481" w:rsidRPr="00BE78CA" w:rsidRDefault="00F02481" w:rsidP="00C26084">
            <w:pPr>
              <w:pStyle w:val="TableText"/>
              <w:spacing w:before="40" w:after="40"/>
              <w:jc w:val="center"/>
              <w:rPr>
                <w:rFonts w:cs="Calibri"/>
                <w:color w:val="FFFFFF"/>
                <w:szCs w:val="16"/>
              </w:rPr>
            </w:pPr>
            <w:r w:rsidRPr="00BE78CA">
              <w:rPr>
                <w:rFonts w:cs="Calibri"/>
                <w:color w:val="FFFFFF"/>
                <w:szCs w:val="16"/>
              </w:rPr>
              <w:t>-</w:t>
            </w:r>
          </w:p>
        </w:tc>
      </w:tr>
      <w:tr w:rsidR="00F02481" w:rsidRPr="00BE78CA" w14:paraId="5DCE2B47" w14:textId="77777777" w:rsidTr="006613CB">
        <w:tc>
          <w:tcPr>
            <w:tcW w:w="325" w:type="dxa"/>
            <w:vMerge/>
            <w:tcBorders>
              <w:top w:val="single" w:sz="8" w:space="0" w:color="365F91"/>
              <w:left w:val="nil"/>
              <w:right w:val="nil"/>
            </w:tcBorders>
            <w:vAlign w:val="center"/>
            <w:hideMark/>
          </w:tcPr>
          <w:p w14:paraId="7297CA6C" w14:textId="77777777" w:rsidR="00F02481" w:rsidRPr="00BE78CA" w:rsidRDefault="00F02481" w:rsidP="00C26084">
            <w:pPr>
              <w:pStyle w:val="TableText"/>
              <w:spacing w:before="50" w:after="50"/>
              <w:rPr>
                <w:rFonts w:cs="Calibri"/>
                <w:szCs w:val="16"/>
              </w:rPr>
            </w:pPr>
          </w:p>
        </w:tc>
        <w:tc>
          <w:tcPr>
            <w:tcW w:w="3197" w:type="dxa"/>
            <w:tcBorders>
              <w:top w:val="nil"/>
              <w:left w:val="nil"/>
              <w:bottom w:val="nil"/>
              <w:right w:val="nil"/>
            </w:tcBorders>
            <w:shd w:val="clear" w:color="auto" w:fill="auto"/>
            <w:vAlign w:val="center"/>
            <w:hideMark/>
          </w:tcPr>
          <w:p w14:paraId="443D7D95" w14:textId="77777777" w:rsidR="00F02481" w:rsidRPr="00BE78CA" w:rsidRDefault="00F02481" w:rsidP="00C26084">
            <w:pPr>
              <w:pStyle w:val="TableText"/>
              <w:spacing w:before="40" w:after="40"/>
              <w:rPr>
                <w:rFonts w:cs="Calibri"/>
                <w:szCs w:val="16"/>
              </w:rPr>
            </w:pPr>
            <w:r w:rsidRPr="00BE78CA">
              <w:rPr>
                <w:rFonts w:cs="Calibri"/>
                <w:szCs w:val="16"/>
              </w:rPr>
              <w:t>Crop Residues</w:t>
            </w:r>
          </w:p>
        </w:tc>
        <w:tc>
          <w:tcPr>
            <w:tcW w:w="832" w:type="dxa"/>
            <w:tcBorders>
              <w:top w:val="nil"/>
              <w:left w:val="nil"/>
              <w:bottom w:val="nil"/>
              <w:right w:val="nil"/>
            </w:tcBorders>
            <w:shd w:val="clear" w:color="auto" w:fill="auto"/>
            <w:noWrap/>
            <w:vAlign w:val="center"/>
            <w:hideMark/>
          </w:tcPr>
          <w:p w14:paraId="060789C9" w14:textId="77777777" w:rsidR="00F02481" w:rsidRPr="00BE78CA" w:rsidRDefault="00F02481" w:rsidP="00C26084">
            <w:pPr>
              <w:pStyle w:val="TableText"/>
              <w:spacing w:before="40" w:after="40"/>
              <w:jc w:val="center"/>
              <w:rPr>
                <w:rFonts w:cs="Calibri"/>
                <w:color w:val="FFFFFF"/>
                <w:szCs w:val="16"/>
              </w:rPr>
            </w:pPr>
            <w:r w:rsidRPr="00BE78CA">
              <w:rPr>
                <w:rFonts w:cs="Calibri"/>
                <w:color w:val="FFFFFF"/>
                <w:szCs w:val="16"/>
              </w:rPr>
              <w:t>-</w:t>
            </w:r>
          </w:p>
        </w:tc>
        <w:tc>
          <w:tcPr>
            <w:tcW w:w="832" w:type="dxa"/>
            <w:tcBorders>
              <w:top w:val="nil"/>
              <w:left w:val="nil"/>
              <w:bottom w:val="nil"/>
              <w:right w:val="nil"/>
            </w:tcBorders>
            <w:shd w:val="clear" w:color="auto" w:fill="auto"/>
            <w:noWrap/>
            <w:vAlign w:val="center"/>
            <w:hideMark/>
          </w:tcPr>
          <w:p w14:paraId="6A3D9086" w14:textId="77777777" w:rsidR="00F02481" w:rsidRPr="00BE78CA" w:rsidRDefault="00F02481" w:rsidP="00C26084">
            <w:pPr>
              <w:pStyle w:val="TableText"/>
              <w:spacing w:before="40" w:after="40"/>
              <w:jc w:val="center"/>
              <w:rPr>
                <w:rFonts w:cs="Calibri"/>
                <w:color w:val="FFFFFF"/>
                <w:szCs w:val="16"/>
              </w:rPr>
            </w:pPr>
            <w:r w:rsidRPr="00BE78CA">
              <w:rPr>
                <w:rFonts w:cs="Calibri"/>
                <w:color w:val="FFFFFF"/>
                <w:szCs w:val="16"/>
              </w:rPr>
              <w:t>-</w:t>
            </w:r>
          </w:p>
        </w:tc>
        <w:tc>
          <w:tcPr>
            <w:tcW w:w="832" w:type="dxa"/>
            <w:tcBorders>
              <w:top w:val="nil"/>
              <w:left w:val="nil"/>
              <w:bottom w:val="nil"/>
              <w:right w:val="nil"/>
            </w:tcBorders>
            <w:shd w:val="clear" w:color="auto" w:fill="auto"/>
            <w:noWrap/>
            <w:vAlign w:val="center"/>
            <w:hideMark/>
          </w:tcPr>
          <w:p w14:paraId="56DE60D6" w14:textId="77777777" w:rsidR="00F02481" w:rsidRPr="00BE78CA" w:rsidRDefault="00F02481" w:rsidP="00C26084">
            <w:pPr>
              <w:pStyle w:val="TableText"/>
              <w:spacing w:before="40" w:after="40"/>
              <w:jc w:val="center"/>
              <w:rPr>
                <w:rFonts w:cs="Calibri"/>
                <w:szCs w:val="16"/>
              </w:rPr>
            </w:pPr>
            <w:r w:rsidRPr="00BE78CA">
              <w:rPr>
                <w:rFonts w:cs="Calibri"/>
                <w:szCs w:val="16"/>
              </w:rPr>
              <w:t>T2</w:t>
            </w:r>
          </w:p>
        </w:tc>
        <w:tc>
          <w:tcPr>
            <w:tcW w:w="832" w:type="dxa"/>
            <w:tcBorders>
              <w:top w:val="nil"/>
              <w:left w:val="nil"/>
              <w:bottom w:val="nil"/>
              <w:right w:val="nil"/>
            </w:tcBorders>
            <w:shd w:val="clear" w:color="auto" w:fill="auto"/>
            <w:noWrap/>
            <w:vAlign w:val="center"/>
            <w:hideMark/>
          </w:tcPr>
          <w:p w14:paraId="2C35CAC2" w14:textId="77777777" w:rsidR="00F02481" w:rsidRPr="00BE78CA" w:rsidRDefault="00F02481" w:rsidP="00C26084">
            <w:pPr>
              <w:pStyle w:val="TableText"/>
              <w:spacing w:before="40" w:after="40"/>
              <w:jc w:val="center"/>
              <w:rPr>
                <w:rFonts w:cs="Calibri"/>
                <w:szCs w:val="16"/>
              </w:rPr>
            </w:pPr>
            <w:r w:rsidRPr="00BE78CA">
              <w:rPr>
                <w:rFonts w:cs="Calibri"/>
                <w:szCs w:val="16"/>
              </w:rPr>
              <w:t>CS</w:t>
            </w:r>
          </w:p>
        </w:tc>
        <w:tc>
          <w:tcPr>
            <w:tcW w:w="832" w:type="dxa"/>
            <w:tcBorders>
              <w:top w:val="nil"/>
              <w:left w:val="nil"/>
              <w:bottom w:val="nil"/>
              <w:right w:val="nil"/>
            </w:tcBorders>
            <w:shd w:val="clear" w:color="auto" w:fill="auto"/>
            <w:noWrap/>
            <w:vAlign w:val="center"/>
            <w:hideMark/>
          </w:tcPr>
          <w:p w14:paraId="26B0463A" w14:textId="77777777" w:rsidR="00F02481" w:rsidRPr="00BE78CA" w:rsidRDefault="00F02481" w:rsidP="00C26084">
            <w:pPr>
              <w:pStyle w:val="TableText"/>
              <w:spacing w:before="40" w:after="40"/>
              <w:jc w:val="center"/>
              <w:rPr>
                <w:rFonts w:cs="Calibri"/>
                <w:color w:val="FFFFFF"/>
                <w:szCs w:val="16"/>
              </w:rPr>
            </w:pPr>
            <w:r w:rsidRPr="00BE78CA">
              <w:rPr>
                <w:rFonts w:cs="Calibri"/>
                <w:color w:val="FFFFFF"/>
                <w:szCs w:val="16"/>
              </w:rPr>
              <w:t>-</w:t>
            </w:r>
          </w:p>
        </w:tc>
        <w:tc>
          <w:tcPr>
            <w:tcW w:w="832" w:type="dxa"/>
            <w:tcBorders>
              <w:top w:val="nil"/>
              <w:left w:val="nil"/>
              <w:bottom w:val="nil"/>
              <w:right w:val="nil"/>
            </w:tcBorders>
            <w:shd w:val="clear" w:color="auto" w:fill="auto"/>
            <w:noWrap/>
            <w:vAlign w:val="center"/>
            <w:hideMark/>
          </w:tcPr>
          <w:p w14:paraId="5382D910" w14:textId="77777777" w:rsidR="00F02481" w:rsidRPr="00BE78CA" w:rsidRDefault="00F02481" w:rsidP="00C26084">
            <w:pPr>
              <w:pStyle w:val="TableText"/>
              <w:spacing w:before="40" w:after="40"/>
              <w:jc w:val="center"/>
              <w:rPr>
                <w:rFonts w:cs="Calibri"/>
                <w:color w:val="FFFFFF"/>
                <w:szCs w:val="16"/>
              </w:rPr>
            </w:pPr>
            <w:r w:rsidRPr="00BE78CA">
              <w:rPr>
                <w:rFonts w:cs="Calibri"/>
                <w:color w:val="FFFFFF"/>
                <w:szCs w:val="16"/>
              </w:rPr>
              <w:t>-</w:t>
            </w:r>
          </w:p>
        </w:tc>
      </w:tr>
      <w:tr w:rsidR="00F02481" w:rsidRPr="00BE78CA" w14:paraId="732AC639" w14:textId="77777777" w:rsidTr="006613CB">
        <w:tc>
          <w:tcPr>
            <w:tcW w:w="325" w:type="dxa"/>
            <w:vMerge/>
            <w:tcBorders>
              <w:top w:val="single" w:sz="8" w:space="0" w:color="365F91"/>
              <w:left w:val="nil"/>
              <w:right w:val="nil"/>
            </w:tcBorders>
            <w:vAlign w:val="center"/>
            <w:hideMark/>
          </w:tcPr>
          <w:p w14:paraId="495F3548" w14:textId="77777777" w:rsidR="00F02481" w:rsidRPr="00BE78CA" w:rsidRDefault="00F02481" w:rsidP="00C26084">
            <w:pPr>
              <w:pStyle w:val="TableText"/>
              <w:spacing w:before="50" w:after="50"/>
              <w:rPr>
                <w:rFonts w:cs="Calibri"/>
                <w:szCs w:val="16"/>
              </w:rPr>
            </w:pPr>
          </w:p>
        </w:tc>
        <w:tc>
          <w:tcPr>
            <w:tcW w:w="3197" w:type="dxa"/>
            <w:tcBorders>
              <w:top w:val="nil"/>
              <w:left w:val="nil"/>
              <w:bottom w:val="nil"/>
              <w:right w:val="nil"/>
            </w:tcBorders>
            <w:shd w:val="clear" w:color="auto" w:fill="auto"/>
            <w:vAlign w:val="center"/>
            <w:hideMark/>
          </w:tcPr>
          <w:p w14:paraId="648BF9F9" w14:textId="77777777" w:rsidR="00F02481" w:rsidRPr="00BE78CA" w:rsidRDefault="00F02481" w:rsidP="00C26084">
            <w:pPr>
              <w:pStyle w:val="TableText"/>
              <w:spacing w:before="40" w:after="40"/>
              <w:rPr>
                <w:rFonts w:cs="Calibri"/>
                <w:szCs w:val="16"/>
              </w:rPr>
            </w:pPr>
            <w:r w:rsidRPr="00BE78CA">
              <w:rPr>
                <w:rFonts w:cs="Calibri"/>
                <w:szCs w:val="16"/>
              </w:rPr>
              <w:t>Mineralisation associated with Loss of Soil Organic Matter</w:t>
            </w:r>
          </w:p>
        </w:tc>
        <w:tc>
          <w:tcPr>
            <w:tcW w:w="832" w:type="dxa"/>
            <w:tcBorders>
              <w:top w:val="nil"/>
              <w:left w:val="nil"/>
              <w:bottom w:val="nil"/>
              <w:right w:val="nil"/>
            </w:tcBorders>
            <w:shd w:val="clear" w:color="auto" w:fill="auto"/>
            <w:noWrap/>
            <w:vAlign w:val="center"/>
            <w:hideMark/>
          </w:tcPr>
          <w:p w14:paraId="6901B818" w14:textId="77777777" w:rsidR="00F02481" w:rsidRPr="00BE78CA" w:rsidRDefault="00F02481" w:rsidP="00C26084">
            <w:pPr>
              <w:pStyle w:val="TableText"/>
              <w:spacing w:before="40" w:after="40"/>
              <w:jc w:val="center"/>
              <w:rPr>
                <w:rFonts w:cs="Calibri"/>
                <w:color w:val="FFFFFF"/>
                <w:szCs w:val="16"/>
              </w:rPr>
            </w:pPr>
            <w:r w:rsidRPr="00BE78CA">
              <w:rPr>
                <w:rFonts w:cs="Calibri"/>
                <w:color w:val="FFFFFF"/>
                <w:szCs w:val="16"/>
              </w:rPr>
              <w:t>-</w:t>
            </w:r>
          </w:p>
        </w:tc>
        <w:tc>
          <w:tcPr>
            <w:tcW w:w="832" w:type="dxa"/>
            <w:tcBorders>
              <w:top w:val="nil"/>
              <w:left w:val="nil"/>
              <w:bottom w:val="nil"/>
              <w:right w:val="nil"/>
            </w:tcBorders>
            <w:shd w:val="clear" w:color="auto" w:fill="auto"/>
            <w:noWrap/>
            <w:vAlign w:val="center"/>
            <w:hideMark/>
          </w:tcPr>
          <w:p w14:paraId="02006D7A" w14:textId="77777777" w:rsidR="00F02481" w:rsidRPr="00BE78CA" w:rsidRDefault="00F02481" w:rsidP="00C26084">
            <w:pPr>
              <w:pStyle w:val="TableText"/>
              <w:spacing w:before="40" w:after="40"/>
              <w:jc w:val="center"/>
              <w:rPr>
                <w:rFonts w:cs="Calibri"/>
                <w:color w:val="FFFFFF"/>
                <w:szCs w:val="16"/>
              </w:rPr>
            </w:pPr>
            <w:r w:rsidRPr="00BE78CA">
              <w:rPr>
                <w:rFonts w:cs="Calibri"/>
                <w:color w:val="FFFFFF"/>
                <w:szCs w:val="16"/>
              </w:rPr>
              <w:t>-</w:t>
            </w:r>
          </w:p>
        </w:tc>
        <w:tc>
          <w:tcPr>
            <w:tcW w:w="832" w:type="dxa"/>
            <w:tcBorders>
              <w:top w:val="nil"/>
              <w:left w:val="nil"/>
              <w:bottom w:val="nil"/>
              <w:right w:val="nil"/>
            </w:tcBorders>
            <w:shd w:val="clear" w:color="auto" w:fill="auto"/>
            <w:noWrap/>
            <w:vAlign w:val="center"/>
            <w:hideMark/>
          </w:tcPr>
          <w:p w14:paraId="6574A55A" w14:textId="77777777" w:rsidR="00F02481" w:rsidRPr="00BE78CA" w:rsidRDefault="00F02481" w:rsidP="00C26084">
            <w:pPr>
              <w:pStyle w:val="TableText"/>
              <w:spacing w:before="40" w:after="40"/>
              <w:jc w:val="center"/>
              <w:rPr>
                <w:rFonts w:cs="Calibri"/>
                <w:szCs w:val="16"/>
              </w:rPr>
            </w:pPr>
            <w:r w:rsidRPr="00BE78CA">
              <w:rPr>
                <w:rFonts w:cs="Calibri"/>
                <w:szCs w:val="16"/>
              </w:rPr>
              <w:t>T1</w:t>
            </w:r>
          </w:p>
        </w:tc>
        <w:tc>
          <w:tcPr>
            <w:tcW w:w="832" w:type="dxa"/>
            <w:tcBorders>
              <w:top w:val="nil"/>
              <w:left w:val="nil"/>
              <w:bottom w:val="nil"/>
              <w:right w:val="nil"/>
            </w:tcBorders>
            <w:shd w:val="clear" w:color="auto" w:fill="auto"/>
            <w:noWrap/>
            <w:vAlign w:val="center"/>
            <w:hideMark/>
          </w:tcPr>
          <w:p w14:paraId="46F86B34" w14:textId="77777777" w:rsidR="00F02481" w:rsidRPr="00BE78CA" w:rsidRDefault="00F02481" w:rsidP="00C26084">
            <w:pPr>
              <w:pStyle w:val="TableText"/>
              <w:spacing w:before="40" w:after="40"/>
              <w:jc w:val="center"/>
              <w:rPr>
                <w:rFonts w:cs="Calibri"/>
                <w:szCs w:val="16"/>
              </w:rPr>
            </w:pPr>
            <w:r w:rsidRPr="00BE78CA">
              <w:rPr>
                <w:rFonts w:cs="Calibri"/>
                <w:szCs w:val="16"/>
              </w:rPr>
              <w:t>D</w:t>
            </w:r>
          </w:p>
        </w:tc>
        <w:tc>
          <w:tcPr>
            <w:tcW w:w="832" w:type="dxa"/>
            <w:tcBorders>
              <w:top w:val="nil"/>
              <w:left w:val="nil"/>
              <w:bottom w:val="nil"/>
              <w:right w:val="nil"/>
            </w:tcBorders>
            <w:shd w:val="clear" w:color="auto" w:fill="auto"/>
            <w:noWrap/>
            <w:vAlign w:val="center"/>
            <w:hideMark/>
          </w:tcPr>
          <w:p w14:paraId="43357DE3" w14:textId="77777777" w:rsidR="00F02481" w:rsidRPr="00BE78CA" w:rsidRDefault="00F02481" w:rsidP="00C26084">
            <w:pPr>
              <w:pStyle w:val="TableText"/>
              <w:spacing w:before="40" w:after="40"/>
              <w:jc w:val="center"/>
              <w:rPr>
                <w:rFonts w:cs="Calibri"/>
                <w:color w:val="FFFFFF"/>
                <w:szCs w:val="16"/>
              </w:rPr>
            </w:pPr>
            <w:r w:rsidRPr="00BE78CA">
              <w:rPr>
                <w:rFonts w:cs="Calibri"/>
                <w:color w:val="FFFFFF"/>
                <w:szCs w:val="16"/>
              </w:rPr>
              <w:t>-</w:t>
            </w:r>
          </w:p>
        </w:tc>
        <w:tc>
          <w:tcPr>
            <w:tcW w:w="832" w:type="dxa"/>
            <w:tcBorders>
              <w:top w:val="nil"/>
              <w:left w:val="nil"/>
              <w:bottom w:val="nil"/>
              <w:right w:val="nil"/>
            </w:tcBorders>
            <w:shd w:val="clear" w:color="auto" w:fill="auto"/>
            <w:noWrap/>
            <w:vAlign w:val="center"/>
            <w:hideMark/>
          </w:tcPr>
          <w:p w14:paraId="762B38B1" w14:textId="77777777" w:rsidR="00F02481" w:rsidRPr="00BE78CA" w:rsidRDefault="00F02481" w:rsidP="00C26084">
            <w:pPr>
              <w:pStyle w:val="TableText"/>
              <w:spacing w:before="40" w:after="40"/>
              <w:jc w:val="center"/>
              <w:rPr>
                <w:rFonts w:cs="Calibri"/>
                <w:color w:val="FFFFFF"/>
                <w:szCs w:val="16"/>
              </w:rPr>
            </w:pPr>
            <w:r w:rsidRPr="00BE78CA">
              <w:rPr>
                <w:rFonts w:cs="Calibri"/>
                <w:color w:val="FFFFFF"/>
                <w:szCs w:val="16"/>
              </w:rPr>
              <w:t>-</w:t>
            </w:r>
          </w:p>
        </w:tc>
      </w:tr>
      <w:tr w:rsidR="00F02481" w:rsidRPr="00BE78CA" w14:paraId="08B25A5B" w14:textId="77777777" w:rsidTr="006613CB">
        <w:tc>
          <w:tcPr>
            <w:tcW w:w="325" w:type="dxa"/>
            <w:vMerge/>
            <w:tcBorders>
              <w:top w:val="single" w:sz="8" w:space="0" w:color="365F91"/>
              <w:left w:val="nil"/>
              <w:bottom w:val="single" w:sz="4" w:space="0" w:color="365F91"/>
              <w:right w:val="nil"/>
            </w:tcBorders>
            <w:vAlign w:val="center"/>
            <w:hideMark/>
          </w:tcPr>
          <w:p w14:paraId="4B037683" w14:textId="77777777" w:rsidR="00F02481" w:rsidRPr="00BE78CA" w:rsidRDefault="00F02481" w:rsidP="00C26084">
            <w:pPr>
              <w:pStyle w:val="TableText"/>
              <w:spacing w:before="50" w:after="50"/>
              <w:rPr>
                <w:rFonts w:cs="Calibri"/>
                <w:szCs w:val="16"/>
              </w:rPr>
            </w:pPr>
          </w:p>
        </w:tc>
        <w:tc>
          <w:tcPr>
            <w:tcW w:w="3197" w:type="dxa"/>
            <w:tcBorders>
              <w:top w:val="nil"/>
              <w:left w:val="nil"/>
              <w:bottom w:val="single" w:sz="4" w:space="0" w:color="365F91"/>
              <w:right w:val="nil"/>
            </w:tcBorders>
            <w:shd w:val="clear" w:color="auto" w:fill="auto"/>
            <w:vAlign w:val="center"/>
            <w:hideMark/>
          </w:tcPr>
          <w:p w14:paraId="5EE65887" w14:textId="77777777" w:rsidR="00F02481" w:rsidRPr="00BE78CA" w:rsidRDefault="00F02481" w:rsidP="00C26084">
            <w:pPr>
              <w:pStyle w:val="TableText"/>
              <w:spacing w:before="40" w:after="40"/>
              <w:rPr>
                <w:rFonts w:cs="Calibri"/>
                <w:szCs w:val="16"/>
              </w:rPr>
            </w:pPr>
            <w:r w:rsidRPr="00BE78CA">
              <w:rPr>
                <w:rFonts w:cs="Calibri"/>
                <w:szCs w:val="16"/>
              </w:rPr>
              <w:t>Cultivation of Organic Soils</w:t>
            </w:r>
          </w:p>
        </w:tc>
        <w:tc>
          <w:tcPr>
            <w:tcW w:w="832" w:type="dxa"/>
            <w:tcBorders>
              <w:top w:val="nil"/>
              <w:left w:val="nil"/>
              <w:bottom w:val="single" w:sz="4" w:space="0" w:color="365F91"/>
              <w:right w:val="nil"/>
            </w:tcBorders>
            <w:shd w:val="clear" w:color="auto" w:fill="auto"/>
            <w:noWrap/>
            <w:vAlign w:val="center"/>
            <w:hideMark/>
          </w:tcPr>
          <w:p w14:paraId="45DF242F" w14:textId="77777777" w:rsidR="00F02481" w:rsidRPr="00BE78CA" w:rsidRDefault="00F02481" w:rsidP="00C26084">
            <w:pPr>
              <w:pStyle w:val="TableText"/>
              <w:spacing w:before="40" w:after="40"/>
              <w:jc w:val="center"/>
              <w:rPr>
                <w:rFonts w:cs="Calibri"/>
                <w:color w:val="FFFFFF"/>
                <w:szCs w:val="16"/>
              </w:rPr>
            </w:pPr>
            <w:r w:rsidRPr="00BE78CA">
              <w:rPr>
                <w:rFonts w:cs="Calibri"/>
                <w:color w:val="FFFFFF"/>
                <w:szCs w:val="16"/>
              </w:rPr>
              <w:t>-</w:t>
            </w:r>
          </w:p>
        </w:tc>
        <w:tc>
          <w:tcPr>
            <w:tcW w:w="832" w:type="dxa"/>
            <w:tcBorders>
              <w:top w:val="nil"/>
              <w:left w:val="nil"/>
              <w:bottom w:val="single" w:sz="4" w:space="0" w:color="365F91"/>
              <w:right w:val="nil"/>
            </w:tcBorders>
            <w:shd w:val="clear" w:color="auto" w:fill="auto"/>
            <w:noWrap/>
            <w:vAlign w:val="center"/>
            <w:hideMark/>
          </w:tcPr>
          <w:p w14:paraId="1C7C038E" w14:textId="77777777" w:rsidR="00F02481" w:rsidRPr="00BE78CA" w:rsidRDefault="00F02481" w:rsidP="00C26084">
            <w:pPr>
              <w:pStyle w:val="TableText"/>
              <w:spacing w:before="40" w:after="40"/>
              <w:jc w:val="center"/>
              <w:rPr>
                <w:rFonts w:cs="Calibri"/>
                <w:color w:val="FFFFFF"/>
                <w:szCs w:val="16"/>
              </w:rPr>
            </w:pPr>
            <w:r w:rsidRPr="00BE78CA">
              <w:rPr>
                <w:rFonts w:cs="Calibri"/>
                <w:color w:val="FFFFFF"/>
                <w:szCs w:val="16"/>
              </w:rPr>
              <w:t>-</w:t>
            </w:r>
          </w:p>
        </w:tc>
        <w:tc>
          <w:tcPr>
            <w:tcW w:w="832" w:type="dxa"/>
            <w:tcBorders>
              <w:top w:val="nil"/>
              <w:left w:val="nil"/>
              <w:bottom w:val="single" w:sz="4" w:space="0" w:color="365F91"/>
              <w:right w:val="nil"/>
            </w:tcBorders>
            <w:shd w:val="clear" w:color="auto" w:fill="auto"/>
            <w:noWrap/>
            <w:vAlign w:val="center"/>
            <w:hideMark/>
          </w:tcPr>
          <w:p w14:paraId="5CA12850" w14:textId="77777777" w:rsidR="00F02481" w:rsidRPr="00BE78CA" w:rsidRDefault="00F02481" w:rsidP="00C26084">
            <w:pPr>
              <w:pStyle w:val="TableText"/>
              <w:spacing w:before="40" w:after="40"/>
              <w:jc w:val="center"/>
              <w:rPr>
                <w:rFonts w:cs="Calibri"/>
                <w:szCs w:val="16"/>
              </w:rPr>
            </w:pPr>
            <w:r w:rsidRPr="00BE78CA">
              <w:rPr>
                <w:rFonts w:cs="Calibri"/>
                <w:szCs w:val="16"/>
              </w:rPr>
              <w:t>T1</w:t>
            </w:r>
          </w:p>
        </w:tc>
        <w:tc>
          <w:tcPr>
            <w:tcW w:w="832" w:type="dxa"/>
            <w:tcBorders>
              <w:top w:val="nil"/>
              <w:left w:val="nil"/>
              <w:bottom w:val="single" w:sz="4" w:space="0" w:color="365F91"/>
              <w:right w:val="nil"/>
            </w:tcBorders>
            <w:shd w:val="clear" w:color="auto" w:fill="auto"/>
            <w:noWrap/>
            <w:vAlign w:val="center"/>
            <w:hideMark/>
          </w:tcPr>
          <w:p w14:paraId="2D947B13" w14:textId="77777777" w:rsidR="00F02481" w:rsidRPr="00BE78CA" w:rsidRDefault="00F02481" w:rsidP="00C26084">
            <w:pPr>
              <w:pStyle w:val="TableText"/>
              <w:spacing w:before="40" w:after="40"/>
              <w:jc w:val="center"/>
              <w:rPr>
                <w:rFonts w:cs="Calibri"/>
                <w:szCs w:val="16"/>
              </w:rPr>
            </w:pPr>
            <w:r w:rsidRPr="00BE78CA">
              <w:rPr>
                <w:rFonts w:cs="Calibri"/>
                <w:szCs w:val="16"/>
              </w:rPr>
              <w:t>D</w:t>
            </w:r>
          </w:p>
        </w:tc>
        <w:tc>
          <w:tcPr>
            <w:tcW w:w="832" w:type="dxa"/>
            <w:tcBorders>
              <w:top w:val="nil"/>
              <w:left w:val="nil"/>
              <w:bottom w:val="single" w:sz="4" w:space="0" w:color="365F91"/>
              <w:right w:val="nil"/>
            </w:tcBorders>
            <w:shd w:val="clear" w:color="auto" w:fill="auto"/>
            <w:noWrap/>
            <w:vAlign w:val="center"/>
            <w:hideMark/>
          </w:tcPr>
          <w:p w14:paraId="344264F7" w14:textId="77777777" w:rsidR="00F02481" w:rsidRPr="00BE78CA" w:rsidRDefault="00F02481" w:rsidP="00C26084">
            <w:pPr>
              <w:pStyle w:val="TableText"/>
              <w:spacing w:before="40" w:after="40"/>
              <w:jc w:val="center"/>
              <w:rPr>
                <w:rFonts w:cs="Calibri"/>
                <w:color w:val="FFFFFF"/>
                <w:szCs w:val="16"/>
              </w:rPr>
            </w:pPr>
            <w:r w:rsidRPr="00BE78CA">
              <w:rPr>
                <w:rFonts w:cs="Calibri"/>
                <w:color w:val="FFFFFF"/>
                <w:szCs w:val="16"/>
              </w:rPr>
              <w:t>-</w:t>
            </w:r>
          </w:p>
        </w:tc>
        <w:tc>
          <w:tcPr>
            <w:tcW w:w="832" w:type="dxa"/>
            <w:tcBorders>
              <w:top w:val="nil"/>
              <w:left w:val="nil"/>
              <w:bottom w:val="single" w:sz="4" w:space="0" w:color="365F91"/>
              <w:right w:val="nil"/>
            </w:tcBorders>
            <w:shd w:val="clear" w:color="auto" w:fill="auto"/>
            <w:noWrap/>
            <w:vAlign w:val="center"/>
            <w:hideMark/>
          </w:tcPr>
          <w:p w14:paraId="72282222" w14:textId="77777777" w:rsidR="00F02481" w:rsidRPr="00BE78CA" w:rsidRDefault="00F02481" w:rsidP="00C26084">
            <w:pPr>
              <w:pStyle w:val="TableText"/>
              <w:spacing w:before="40" w:after="40"/>
              <w:jc w:val="center"/>
              <w:rPr>
                <w:rFonts w:cs="Calibri"/>
                <w:color w:val="FFFFFF"/>
                <w:szCs w:val="16"/>
              </w:rPr>
            </w:pPr>
            <w:r w:rsidRPr="00BE78CA">
              <w:rPr>
                <w:rFonts w:cs="Calibri"/>
                <w:color w:val="FFFFFF"/>
                <w:szCs w:val="16"/>
              </w:rPr>
              <w:t>-</w:t>
            </w:r>
          </w:p>
        </w:tc>
      </w:tr>
      <w:tr w:rsidR="00F02481" w:rsidRPr="00BE78CA" w14:paraId="178B9675" w14:textId="77777777" w:rsidTr="006613CB">
        <w:tc>
          <w:tcPr>
            <w:tcW w:w="325" w:type="dxa"/>
            <w:vMerge w:val="restart"/>
            <w:tcBorders>
              <w:top w:val="single" w:sz="4" w:space="0" w:color="365F91"/>
              <w:left w:val="nil"/>
              <w:bottom w:val="single" w:sz="4" w:space="0" w:color="365F91"/>
              <w:right w:val="nil"/>
            </w:tcBorders>
            <w:shd w:val="clear" w:color="auto" w:fill="auto"/>
            <w:noWrap/>
            <w:vAlign w:val="center"/>
            <w:hideMark/>
          </w:tcPr>
          <w:p w14:paraId="3D410D08" w14:textId="77777777" w:rsidR="00F02481" w:rsidRPr="00BE78CA" w:rsidRDefault="00F02481" w:rsidP="00C26084">
            <w:pPr>
              <w:pStyle w:val="TableText"/>
              <w:spacing w:before="50" w:after="50"/>
              <w:rPr>
                <w:rFonts w:cs="Calibri"/>
                <w:szCs w:val="16"/>
              </w:rPr>
            </w:pPr>
            <w:r w:rsidRPr="00BE78CA">
              <w:rPr>
                <w:rFonts w:cs="Calibri"/>
                <w:szCs w:val="16"/>
              </w:rPr>
              <w:t>2</w:t>
            </w:r>
          </w:p>
        </w:tc>
        <w:tc>
          <w:tcPr>
            <w:tcW w:w="3197" w:type="dxa"/>
            <w:tcBorders>
              <w:top w:val="single" w:sz="4" w:space="0" w:color="365F91"/>
              <w:left w:val="nil"/>
              <w:bottom w:val="nil"/>
              <w:right w:val="nil"/>
            </w:tcBorders>
            <w:shd w:val="clear" w:color="auto" w:fill="auto"/>
            <w:vAlign w:val="center"/>
            <w:hideMark/>
          </w:tcPr>
          <w:p w14:paraId="039DB9B0" w14:textId="77777777" w:rsidR="00F02481" w:rsidRPr="00BE78CA" w:rsidRDefault="00F02481" w:rsidP="00C26084">
            <w:pPr>
              <w:pStyle w:val="TableText"/>
              <w:spacing w:before="40" w:after="40"/>
              <w:rPr>
                <w:rFonts w:cs="Calibri"/>
                <w:szCs w:val="16"/>
              </w:rPr>
            </w:pPr>
            <w:r w:rsidRPr="00BE78CA">
              <w:rPr>
                <w:rFonts w:cs="Calibri"/>
                <w:szCs w:val="16"/>
              </w:rPr>
              <w:t>Indirect Emissions</w:t>
            </w:r>
          </w:p>
        </w:tc>
        <w:tc>
          <w:tcPr>
            <w:tcW w:w="832" w:type="dxa"/>
            <w:tcBorders>
              <w:top w:val="single" w:sz="4" w:space="0" w:color="365F91"/>
              <w:left w:val="nil"/>
              <w:bottom w:val="nil"/>
              <w:right w:val="nil"/>
            </w:tcBorders>
            <w:shd w:val="clear" w:color="auto" w:fill="auto"/>
            <w:noWrap/>
            <w:vAlign w:val="center"/>
            <w:hideMark/>
          </w:tcPr>
          <w:p w14:paraId="54E936E1" w14:textId="77777777" w:rsidR="00F02481" w:rsidRPr="00BE78CA" w:rsidRDefault="00F02481" w:rsidP="00C26084">
            <w:pPr>
              <w:pStyle w:val="TableText"/>
              <w:spacing w:before="40" w:after="40"/>
              <w:jc w:val="center"/>
              <w:rPr>
                <w:rFonts w:cs="Calibri"/>
                <w:color w:val="FFFFFF"/>
                <w:szCs w:val="16"/>
              </w:rPr>
            </w:pPr>
            <w:r w:rsidRPr="00BE78CA">
              <w:rPr>
                <w:rFonts w:cs="Calibri"/>
                <w:color w:val="FFFFFF"/>
                <w:szCs w:val="16"/>
              </w:rPr>
              <w:t>-</w:t>
            </w:r>
          </w:p>
        </w:tc>
        <w:tc>
          <w:tcPr>
            <w:tcW w:w="832" w:type="dxa"/>
            <w:tcBorders>
              <w:top w:val="single" w:sz="4" w:space="0" w:color="365F91"/>
              <w:left w:val="nil"/>
              <w:bottom w:val="nil"/>
              <w:right w:val="nil"/>
            </w:tcBorders>
            <w:shd w:val="clear" w:color="auto" w:fill="auto"/>
            <w:noWrap/>
            <w:vAlign w:val="center"/>
            <w:hideMark/>
          </w:tcPr>
          <w:p w14:paraId="11EB3A72" w14:textId="77777777" w:rsidR="00F02481" w:rsidRPr="00BE78CA" w:rsidRDefault="00F02481" w:rsidP="00C26084">
            <w:pPr>
              <w:pStyle w:val="TableText"/>
              <w:spacing w:before="40" w:after="40"/>
              <w:jc w:val="center"/>
              <w:rPr>
                <w:rFonts w:cs="Calibri"/>
                <w:color w:val="FFFFFF"/>
                <w:szCs w:val="16"/>
              </w:rPr>
            </w:pPr>
            <w:r w:rsidRPr="00BE78CA">
              <w:rPr>
                <w:rFonts w:cs="Calibri"/>
                <w:color w:val="FFFFFF"/>
                <w:szCs w:val="16"/>
              </w:rPr>
              <w:t>-</w:t>
            </w:r>
          </w:p>
        </w:tc>
        <w:tc>
          <w:tcPr>
            <w:tcW w:w="832" w:type="dxa"/>
            <w:tcBorders>
              <w:top w:val="single" w:sz="4" w:space="0" w:color="365F91"/>
              <w:left w:val="nil"/>
              <w:bottom w:val="nil"/>
              <w:right w:val="nil"/>
            </w:tcBorders>
            <w:shd w:val="clear" w:color="auto" w:fill="auto"/>
            <w:noWrap/>
            <w:vAlign w:val="center"/>
            <w:hideMark/>
          </w:tcPr>
          <w:p w14:paraId="082DDFB0" w14:textId="77777777" w:rsidR="00F02481" w:rsidRPr="00BE78CA" w:rsidRDefault="00F02481" w:rsidP="00C26084">
            <w:pPr>
              <w:pStyle w:val="TableText"/>
              <w:spacing w:before="40" w:after="40"/>
              <w:jc w:val="center"/>
              <w:rPr>
                <w:rFonts w:cs="Calibri"/>
                <w:color w:val="FFFFFF"/>
                <w:szCs w:val="16"/>
              </w:rPr>
            </w:pPr>
            <w:r w:rsidRPr="00BE78CA">
              <w:rPr>
                <w:rFonts w:cs="Calibri"/>
                <w:color w:val="FFFFFF"/>
                <w:szCs w:val="16"/>
              </w:rPr>
              <w:t>-</w:t>
            </w:r>
          </w:p>
        </w:tc>
        <w:tc>
          <w:tcPr>
            <w:tcW w:w="832" w:type="dxa"/>
            <w:tcBorders>
              <w:top w:val="single" w:sz="4" w:space="0" w:color="365F91"/>
              <w:left w:val="nil"/>
              <w:bottom w:val="nil"/>
              <w:right w:val="nil"/>
            </w:tcBorders>
            <w:shd w:val="clear" w:color="auto" w:fill="auto"/>
            <w:noWrap/>
            <w:vAlign w:val="center"/>
            <w:hideMark/>
          </w:tcPr>
          <w:p w14:paraId="62EB2639" w14:textId="77777777" w:rsidR="00F02481" w:rsidRPr="00BE78CA" w:rsidRDefault="00F02481" w:rsidP="00C26084">
            <w:pPr>
              <w:pStyle w:val="TableText"/>
              <w:spacing w:before="40" w:after="40"/>
              <w:jc w:val="center"/>
              <w:rPr>
                <w:rFonts w:cs="Calibri"/>
                <w:color w:val="FFFFFF"/>
                <w:szCs w:val="16"/>
              </w:rPr>
            </w:pPr>
            <w:r w:rsidRPr="00BE78CA">
              <w:rPr>
                <w:rFonts w:cs="Calibri"/>
                <w:color w:val="FFFFFF"/>
                <w:szCs w:val="16"/>
              </w:rPr>
              <w:t>-</w:t>
            </w:r>
          </w:p>
        </w:tc>
        <w:tc>
          <w:tcPr>
            <w:tcW w:w="832" w:type="dxa"/>
            <w:tcBorders>
              <w:top w:val="single" w:sz="4" w:space="0" w:color="365F91"/>
              <w:left w:val="nil"/>
              <w:bottom w:val="nil"/>
              <w:right w:val="nil"/>
            </w:tcBorders>
            <w:shd w:val="clear" w:color="auto" w:fill="auto"/>
            <w:noWrap/>
            <w:vAlign w:val="center"/>
            <w:hideMark/>
          </w:tcPr>
          <w:p w14:paraId="722636E4" w14:textId="77777777" w:rsidR="00F02481" w:rsidRPr="00BE78CA" w:rsidRDefault="00F02481" w:rsidP="00C26084">
            <w:pPr>
              <w:pStyle w:val="TableText"/>
              <w:spacing w:before="40" w:after="40"/>
              <w:jc w:val="center"/>
              <w:rPr>
                <w:rFonts w:cs="Calibri"/>
                <w:color w:val="FFFFFF"/>
                <w:szCs w:val="16"/>
              </w:rPr>
            </w:pPr>
            <w:r w:rsidRPr="00BE78CA">
              <w:rPr>
                <w:rFonts w:cs="Calibri"/>
                <w:color w:val="FFFFFF"/>
                <w:szCs w:val="16"/>
              </w:rPr>
              <w:t>-</w:t>
            </w:r>
          </w:p>
        </w:tc>
        <w:tc>
          <w:tcPr>
            <w:tcW w:w="832" w:type="dxa"/>
            <w:tcBorders>
              <w:top w:val="single" w:sz="4" w:space="0" w:color="365F91"/>
              <w:left w:val="nil"/>
              <w:bottom w:val="nil"/>
              <w:right w:val="nil"/>
            </w:tcBorders>
            <w:shd w:val="clear" w:color="auto" w:fill="auto"/>
            <w:noWrap/>
            <w:vAlign w:val="center"/>
            <w:hideMark/>
          </w:tcPr>
          <w:p w14:paraId="3F14AF08" w14:textId="77777777" w:rsidR="00F02481" w:rsidRPr="00BE78CA" w:rsidRDefault="00F02481" w:rsidP="00C26084">
            <w:pPr>
              <w:pStyle w:val="TableText"/>
              <w:spacing w:before="40" w:after="40"/>
              <w:jc w:val="center"/>
              <w:rPr>
                <w:rFonts w:cs="Calibri"/>
                <w:color w:val="FFFFFF"/>
                <w:szCs w:val="16"/>
              </w:rPr>
            </w:pPr>
            <w:r w:rsidRPr="00BE78CA">
              <w:rPr>
                <w:rFonts w:cs="Calibri"/>
                <w:color w:val="FFFFFF"/>
                <w:szCs w:val="16"/>
              </w:rPr>
              <w:t>-</w:t>
            </w:r>
          </w:p>
        </w:tc>
      </w:tr>
      <w:tr w:rsidR="00F02481" w:rsidRPr="00BE78CA" w14:paraId="6922B20F" w14:textId="77777777" w:rsidTr="006613CB">
        <w:tc>
          <w:tcPr>
            <w:tcW w:w="325" w:type="dxa"/>
            <w:vMerge/>
            <w:tcBorders>
              <w:top w:val="single" w:sz="8" w:space="0" w:color="365F91"/>
              <w:left w:val="nil"/>
              <w:bottom w:val="single" w:sz="4" w:space="0" w:color="365F91"/>
              <w:right w:val="nil"/>
            </w:tcBorders>
            <w:vAlign w:val="center"/>
            <w:hideMark/>
          </w:tcPr>
          <w:p w14:paraId="6117C418" w14:textId="77777777" w:rsidR="00F02481" w:rsidRPr="00BE78CA" w:rsidRDefault="00F02481" w:rsidP="00C26084">
            <w:pPr>
              <w:pStyle w:val="TableText"/>
              <w:spacing w:before="50" w:after="50"/>
              <w:rPr>
                <w:rFonts w:cs="Calibri"/>
                <w:szCs w:val="16"/>
              </w:rPr>
            </w:pPr>
          </w:p>
        </w:tc>
        <w:tc>
          <w:tcPr>
            <w:tcW w:w="3197" w:type="dxa"/>
            <w:tcBorders>
              <w:top w:val="nil"/>
              <w:left w:val="nil"/>
              <w:bottom w:val="nil"/>
              <w:right w:val="nil"/>
            </w:tcBorders>
            <w:shd w:val="clear" w:color="auto" w:fill="auto"/>
            <w:vAlign w:val="center"/>
            <w:hideMark/>
          </w:tcPr>
          <w:p w14:paraId="67CAB265" w14:textId="77777777" w:rsidR="00F02481" w:rsidRPr="00BE78CA" w:rsidRDefault="00F02481" w:rsidP="00C26084">
            <w:pPr>
              <w:pStyle w:val="TableText"/>
              <w:spacing w:before="40" w:after="40"/>
              <w:rPr>
                <w:rFonts w:cs="Calibri"/>
                <w:szCs w:val="16"/>
              </w:rPr>
            </w:pPr>
            <w:r w:rsidRPr="00BE78CA">
              <w:rPr>
                <w:rFonts w:cs="Calibri"/>
                <w:szCs w:val="16"/>
              </w:rPr>
              <w:t>Atmospheric Deposition</w:t>
            </w:r>
          </w:p>
        </w:tc>
        <w:tc>
          <w:tcPr>
            <w:tcW w:w="832" w:type="dxa"/>
            <w:tcBorders>
              <w:top w:val="nil"/>
              <w:left w:val="nil"/>
              <w:bottom w:val="nil"/>
              <w:right w:val="nil"/>
            </w:tcBorders>
            <w:shd w:val="clear" w:color="auto" w:fill="auto"/>
            <w:noWrap/>
            <w:vAlign w:val="center"/>
            <w:hideMark/>
          </w:tcPr>
          <w:p w14:paraId="662AB930" w14:textId="77777777" w:rsidR="00F02481" w:rsidRPr="00BE78CA" w:rsidRDefault="00F02481" w:rsidP="00C26084">
            <w:pPr>
              <w:pStyle w:val="TableText"/>
              <w:spacing w:before="40" w:after="40"/>
              <w:jc w:val="center"/>
              <w:rPr>
                <w:rFonts w:cs="Calibri"/>
                <w:color w:val="FFFFFF"/>
                <w:szCs w:val="16"/>
              </w:rPr>
            </w:pPr>
            <w:r w:rsidRPr="00BE78CA">
              <w:rPr>
                <w:rFonts w:cs="Calibri"/>
                <w:color w:val="FFFFFF"/>
                <w:szCs w:val="16"/>
              </w:rPr>
              <w:t>-</w:t>
            </w:r>
          </w:p>
        </w:tc>
        <w:tc>
          <w:tcPr>
            <w:tcW w:w="832" w:type="dxa"/>
            <w:tcBorders>
              <w:top w:val="nil"/>
              <w:left w:val="nil"/>
              <w:bottom w:val="nil"/>
              <w:right w:val="nil"/>
            </w:tcBorders>
            <w:shd w:val="clear" w:color="auto" w:fill="auto"/>
            <w:noWrap/>
            <w:vAlign w:val="center"/>
            <w:hideMark/>
          </w:tcPr>
          <w:p w14:paraId="100F40E1" w14:textId="77777777" w:rsidR="00F02481" w:rsidRPr="00BE78CA" w:rsidRDefault="00F02481" w:rsidP="00C26084">
            <w:pPr>
              <w:pStyle w:val="TableText"/>
              <w:spacing w:before="40" w:after="40"/>
              <w:jc w:val="center"/>
              <w:rPr>
                <w:rFonts w:cs="Calibri"/>
                <w:color w:val="FFFFFF"/>
                <w:szCs w:val="16"/>
              </w:rPr>
            </w:pPr>
            <w:r w:rsidRPr="00BE78CA">
              <w:rPr>
                <w:rFonts w:cs="Calibri"/>
                <w:color w:val="FFFFFF"/>
                <w:szCs w:val="16"/>
              </w:rPr>
              <w:t>-</w:t>
            </w:r>
          </w:p>
        </w:tc>
        <w:tc>
          <w:tcPr>
            <w:tcW w:w="832" w:type="dxa"/>
            <w:tcBorders>
              <w:top w:val="nil"/>
              <w:left w:val="nil"/>
              <w:bottom w:val="nil"/>
              <w:right w:val="nil"/>
            </w:tcBorders>
            <w:shd w:val="clear" w:color="auto" w:fill="auto"/>
            <w:noWrap/>
            <w:vAlign w:val="center"/>
            <w:hideMark/>
          </w:tcPr>
          <w:p w14:paraId="3438B46E" w14:textId="77777777" w:rsidR="00F02481" w:rsidRPr="00BE78CA" w:rsidRDefault="00F02481" w:rsidP="00C26084">
            <w:pPr>
              <w:pStyle w:val="TableText"/>
              <w:spacing w:before="40" w:after="40"/>
              <w:jc w:val="center"/>
              <w:rPr>
                <w:rFonts w:cs="Calibri"/>
                <w:szCs w:val="16"/>
              </w:rPr>
            </w:pPr>
            <w:r w:rsidRPr="00BE78CA">
              <w:rPr>
                <w:rFonts w:cs="Calibri"/>
                <w:szCs w:val="16"/>
              </w:rPr>
              <w:t>T1, T2</w:t>
            </w:r>
          </w:p>
        </w:tc>
        <w:tc>
          <w:tcPr>
            <w:tcW w:w="832" w:type="dxa"/>
            <w:tcBorders>
              <w:top w:val="nil"/>
              <w:left w:val="nil"/>
              <w:bottom w:val="nil"/>
              <w:right w:val="nil"/>
            </w:tcBorders>
            <w:shd w:val="clear" w:color="auto" w:fill="auto"/>
            <w:noWrap/>
            <w:vAlign w:val="center"/>
            <w:hideMark/>
          </w:tcPr>
          <w:p w14:paraId="7E6EBEBE" w14:textId="77777777" w:rsidR="00F02481" w:rsidRPr="00BE78CA" w:rsidRDefault="00F02481" w:rsidP="00C26084">
            <w:pPr>
              <w:pStyle w:val="TableText"/>
              <w:spacing w:before="40" w:after="40"/>
              <w:jc w:val="center"/>
              <w:rPr>
                <w:rFonts w:cs="Calibri"/>
                <w:szCs w:val="16"/>
              </w:rPr>
            </w:pPr>
            <w:r w:rsidRPr="00BE78CA">
              <w:rPr>
                <w:rFonts w:cs="Calibri"/>
                <w:szCs w:val="16"/>
              </w:rPr>
              <w:t>D</w:t>
            </w:r>
          </w:p>
        </w:tc>
        <w:tc>
          <w:tcPr>
            <w:tcW w:w="832" w:type="dxa"/>
            <w:tcBorders>
              <w:top w:val="nil"/>
              <w:left w:val="nil"/>
              <w:bottom w:val="nil"/>
              <w:right w:val="nil"/>
            </w:tcBorders>
            <w:shd w:val="clear" w:color="auto" w:fill="auto"/>
            <w:noWrap/>
            <w:vAlign w:val="center"/>
            <w:hideMark/>
          </w:tcPr>
          <w:p w14:paraId="7998769B" w14:textId="77777777" w:rsidR="00F02481" w:rsidRPr="00BE78CA" w:rsidRDefault="00F02481" w:rsidP="00C26084">
            <w:pPr>
              <w:pStyle w:val="TableText"/>
              <w:spacing w:before="40" w:after="40"/>
              <w:jc w:val="center"/>
              <w:rPr>
                <w:rFonts w:cs="Calibri"/>
                <w:color w:val="FFFFFF"/>
                <w:szCs w:val="16"/>
              </w:rPr>
            </w:pPr>
            <w:r w:rsidRPr="00BE78CA">
              <w:rPr>
                <w:rFonts w:cs="Calibri"/>
                <w:color w:val="FFFFFF"/>
                <w:szCs w:val="16"/>
              </w:rPr>
              <w:t>-</w:t>
            </w:r>
          </w:p>
        </w:tc>
        <w:tc>
          <w:tcPr>
            <w:tcW w:w="832" w:type="dxa"/>
            <w:tcBorders>
              <w:top w:val="nil"/>
              <w:left w:val="nil"/>
              <w:bottom w:val="nil"/>
              <w:right w:val="nil"/>
            </w:tcBorders>
            <w:shd w:val="clear" w:color="auto" w:fill="auto"/>
            <w:noWrap/>
            <w:vAlign w:val="center"/>
            <w:hideMark/>
          </w:tcPr>
          <w:p w14:paraId="690B149D" w14:textId="77777777" w:rsidR="00F02481" w:rsidRPr="00BE78CA" w:rsidRDefault="00F02481" w:rsidP="00C26084">
            <w:pPr>
              <w:pStyle w:val="TableText"/>
              <w:spacing w:before="40" w:after="40"/>
              <w:jc w:val="center"/>
              <w:rPr>
                <w:rFonts w:cs="Calibri"/>
                <w:color w:val="FFFFFF"/>
                <w:szCs w:val="16"/>
              </w:rPr>
            </w:pPr>
            <w:r w:rsidRPr="00BE78CA">
              <w:rPr>
                <w:rFonts w:cs="Calibri"/>
                <w:color w:val="FFFFFF"/>
                <w:szCs w:val="16"/>
              </w:rPr>
              <w:t>-</w:t>
            </w:r>
          </w:p>
        </w:tc>
      </w:tr>
      <w:tr w:rsidR="00F02481" w:rsidRPr="00BE78CA" w14:paraId="3DD47326" w14:textId="77777777" w:rsidTr="006613CB">
        <w:tc>
          <w:tcPr>
            <w:tcW w:w="325" w:type="dxa"/>
            <w:vMerge/>
            <w:tcBorders>
              <w:top w:val="single" w:sz="8" w:space="0" w:color="365F91"/>
              <w:left w:val="nil"/>
              <w:bottom w:val="single" w:sz="4" w:space="0" w:color="365F91"/>
              <w:right w:val="nil"/>
            </w:tcBorders>
            <w:vAlign w:val="center"/>
            <w:hideMark/>
          </w:tcPr>
          <w:p w14:paraId="7315E048" w14:textId="77777777" w:rsidR="00F02481" w:rsidRPr="00BE78CA" w:rsidRDefault="00F02481" w:rsidP="00C26084">
            <w:pPr>
              <w:pStyle w:val="TableText"/>
              <w:spacing w:before="50" w:after="50"/>
              <w:rPr>
                <w:rFonts w:cs="Calibri"/>
                <w:szCs w:val="16"/>
              </w:rPr>
            </w:pPr>
          </w:p>
        </w:tc>
        <w:tc>
          <w:tcPr>
            <w:tcW w:w="3197" w:type="dxa"/>
            <w:tcBorders>
              <w:top w:val="nil"/>
              <w:left w:val="nil"/>
              <w:bottom w:val="single" w:sz="4" w:space="0" w:color="365F91"/>
              <w:right w:val="nil"/>
            </w:tcBorders>
            <w:shd w:val="clear" w:color="auto" w:fill="auto"/>
            <w:vAlign w:val="center"/>
            <w:hideMark/>
          </w:tcPr>
          <w:p w14:paraId="294A2D82" w14:textId="77777777" w:rsidR="00F02481" w:rsidRPr="00BE78CA" w:rsidRDefault="00F02481" w:rsidP="00C26084">
            <w:pPr>
              <w:pStyle w:val="TableText"/>
              <w:spacing w:before="40" w:after="40"/>
              <w:rPr>
                <w:rFonts w:cs="Calibri"/>
                <w:szCs w:val="16"/>
              </w:rPr>
            </w:pPr>
            <w:r w:rsidRPr="00BE78CA">
              <w:rPr>
                <w:rFonts w:cs="Calibri"/>
                <w:szCs w:val="16"/>
              </w:rPr>
              <w:t>Nitrogen Leaching and Runoff</w:t>
            </w:r>
          </w:p>
        </w:tc>
        <w:tc>
          <w:tcPr>
            <w:tcW w:w="832" w:type="dxa"/>
            <w:tcBorders>
              <w:top w:val="nil"/>
              <w:left w:val="nil"/>
              <w:bottom w:val="single" w:sz="4" w:space="0" w:color="365F91"/>
              <w:right w:val="nil"/>
            </w:tcBorders>
            <w:shd w:val="clear" w:color="auto" w:fill="auto"/>
            <w:noWrap/>
            <w:vAlign w:val="center"/>
            <w:hideMark/>
          </w:tcPr>
          <w:p w14:paraId="1DC097BD" w14:textId="77777777" w:rsidR="00F02481" w:rsidRPr="00BE78CA" w:rsidRDefault="00F02481" w:rsidP="00C26084">
            <w:pPr>
              <w:pStyle w:val="TableText"/>
              <w:spacing w:before="40" w:after="40"/>
              <w:jc w:val="center"/>
              <w:rPr>
                <w:rFonts w:cs="Calibri"/>
                <w:color w:val="FFFFFF"/>
                <w:szCs w:val="16"/>
              </w:rPr>
            </w:pPr>
            <w:r w:rsidRPr="00BE78CA">
              <w:rPr>
                <w:rFonts w:cs="Calibri"/>
                <w:color w:val="FFFFFF"/>
                <w:szCs w:val="16"/>
              </w:rPr>
              <w:t>-</w:t>
            </w:r>
          </w:p>
        </w:tc>
        <w:tc>
          <w:tcPr>
            <w:tcW w:w="832" w:type="dxa"/>
            <w:tcBorders>
              <w:top w:val="nil"/>
              <w:left w:val="nil"/>
              <w:bottom w:val="single" w:sz="4" w:space="0" w:color="365F91"/>
              <w:right w:val="nil"/>
            </w:tcBorders>
            <w:shd w:val="clear" w:color="auto" w:fill="auto"/>
            <w:noWrap/>
            <w:vAlign w:val="center"/>
            <w:hideMark/>
          </w:tcPr>
          <w:p w14:paraId="0089FA64" w14:textId="77777777" w:rsidR="00F02481" w:rsidRPr="00BE78CA" w:rsidRDefault="00F02481" w:rsidP="00C26084">
            <w:pPr>
              <w:pStyle w:val="TableText"/>
              <w:spacing w:before="40" w:after="40"/>
              <w:jc w:val="center"/>
              <w:rPr>
                <w:rFonts w:cs="Calibri"/>
                <w:color w:val="FFFFFF"/>
                <w:szCs w:val="16"/>
              </w:rPr>
            </w:pPr>
            <w:r w:rsidRPr="00BE78CA">
              <w:rPr>
                <w:rFonts w:cs="Calibri"/>
                <w:color w:val="FFFFFF"/>
                <w:szCs w:val="16"/>
              </w:rPr>
              <w:t>-</w:t>
            </w:r>
          </w:p>
        </w:tc>
        <w:tc>
          <w:tcPr>
            <w:tcW w:w="832" w:type="dxa"/>
            <w:tcBorders>
              <w:top w:val="nil"/>
              <w:left w:val="nil"/>
              <w:bottom w:val="single" w:sz="4" w:space="0" w:color="365F91"/>
              <w:right w:val="nil"/>
            </w:tcBorders>
            <w:shd w:val="clear" w:color="auto" w:fill="auto"/>
            <w:noWrap/>
            <w:vAlign w:val="center"/>
            <w:hideMark/>
          </w:tcPr>
          <w:p w14:paraId="485781CE" w14:textId="77777777" w:rsidR="00F02481" w:rsidRPr="00BE78CA" w:rsidRDefault="00F02481" w:rsidP="00C26084">
            <w:pPr>
              <w:pStyle w:val="TableText"/>
              <w:spacing w:before="40" w:after="40"/>
              <w:jc w:val="center"/>
              <w:rPr>
                <w:rFonts w:cs="Calibri"/>
                <w:szCs w:val="16"/>
              </w:rPr>
            </w:pPr>
            <w:r w:rsidRPr="00BE78CA">
              <w:rPr>
                <w:rFonts w:cs="Calibri"/>
                <w:szCs w:val="16"/>
              </w:rPr>
              <w:t>T1, T2</w:t>
            </w:r>
          </w:p>
        </w:tc>
        <w:tc>
          <w:tcPr>
            <w:tcW w:w="832" w:type="dxa"/>
            <w:tcBorders>
              <w:top w:val="nil"/>
              <w:left w:val="nil"/>
              <w:bottom w:val="single" w:sz="4" w:space="0" w:color="365F91"/>
              <w:right w:val="nil"/>
            </w:tcBorders>
            <w:shd w:val="clear" w:color="auto" w:fill="auto"/>
            <w:noWrap/>
            <w:vAlign w:val="center"/>
            <w:hideMark/>
          </w:tcPr>
          <w:p w14:paraId="601B8D82" w14:textId="77777777" w:rsidR="00F02481" w:rsidRPr="00BE78CA" w:rsidRDefault="00F02481" w:rsidP="00C26084">
            <w:pPr>
              <w:pStyle w:val="TableText"/>
              <w:spacing w:before="40" w:after="40"/>
              <w:jc w:val="center"/>
              <w:rPr>
                <w:rFonts w:cs="Calibri"/>
                <w:szCs w:val="16"/>
              </w:rPr>
            </w:pPr>
            <w:r w:rsidRPr="00BE78CA">
              <w:rPr>
                <w:rFonts w:cs="Calibri"/>
                <w:szCs w:val="16"/>
              </w:rPr>
              <w:t>CS</w:t>
            </w:r>
          </w:p>
        </w:tc>
        <w:tc>
          <w:tcPr>
            <w:tcW w:w="832" w:type="dxa"/>
            <w:tcBorders>
              <w:top w:val="nil"/>
              <w:left w:val="nil"/>
              <w:bottom w:val="single" w:sz="4" w:space="0" w:color="365F91"/>
              <w:right w:val="nil"/>
            </w:tcBorders>
            <w:shd w:val="clear" w:color="auto" w:fill="auto"/>
            <w:noWrap/>
            <w:vAlign w:val="center"/>
            <w:hideMark/>
          </w:tcPr>
          <w:p w14:paraId="1C109915" w14:textId="77777777" w:rsidR="00F02481" w:rsidRPr="00BE78CA" w:rsidRDefault="00F02481" w:rsidP="00C26084">
            <w:pPr>
              <w:pStyle w:val="TableText"/>
              <w:spacing w:before="40" w:after="40"/>
              <w:jc w:val="center"/>
              <w:rPr>
                <w:rFonts w:cs="Calibri"/>
                <w:color w:val="FFFFFF"/>
                <w:szCs w:val="16"/>
              </w:rPr>
            </w:pPr>
            <w:r w:rsidRPr="00BE78CA">
              <w:rPr>
                <w:rFonts w:cs="Calibri"/>
                <w:color w:val="FFFFFF"/>
                <w:szCs w:val="16"/>
              </w:rPr>
              <w:t>-</w:t>
            </w:r>
          </w:p>
        </w:tc>
        <w:tc>
          <w:tcPr>
            <w:tcW w:w="832" w:type="dxa"/>
            <w:tcBorders>
              <w:top w:val="nil"/>
              <w:left w:val="nil"/>
              <w:bottom w:val="single" w:sz="4" w:space="0" w:color="365F91"/>
              <w:right w:val="nil"/>
            </w:tcBorders>
            <w:shd w:val="clear" w:color="auto" w:fill="auto"/>
            <w:noWrap/>
            <w:vAlign w:val="center"/>
            <w:hideMark/>
          </w:tcPr>
          <w:p w14:paraId="43CD80D6" w14:textId="77777777" w:rsidR="00F02481" w:rsidRPr="00BE78CA" w:rsidRDefault="00F02481" w:rsidP="00C26084">
            <w:pPr>
              <w:pStyle w:val="TableText"/>
              <w:spacing w:before="40" w:after="40"/>
              <w:jc w:val="center"/>
              <w:rPr>
                <w:rFonts w:cs="Calibri"/>
                <w:color w:val="FFFFFF"/>
                <w:szCs w:val="16"/>
              </w:rPr>
            </w:pPr>
            <w:r w:rsidRPr="00BE78CA">
              <w:rPr>
                <w:rFonts w:cs="Calibri"/>
                <w:color w:val="FFFFFF"/>
                <w:szCs w:val="16"/>
              </w:rPr>
              <w:t>-</w:t>
            </w:r>
          </w:p>
        </w:tc>
      </w:tr>
      <w:tr w:rsidR="00F02481" w:rsidRPr="00BE78CA" w14:paraId="2098E052" w14:textId="77777777" w:rsidTr="006613CB">
        <w:tc>
          <w:tcPr>
            <w:tcW w:w="325" w:type="dxa"/>
            <w:tcBorders>
              <w:top w:val="single" w:sz="4" w:space="0" w:color="365F91"/>
              <w:left w:val="nil"/>
              <w:bottom w:val="single" w:sz="4" w:space="0" w:color="365F91"/>
              <w:right w:val="nil"/>
            </w:tcBorders>
            <w:shd w:val="clear" w:color="auto" w:fill="auto"/>
            <w:noWrap/>
            <w:vAlign w:val="center"/>
            <w:hideMark/>
          </w:tcPr>
          <w:p w14:paraId="1A5257BE" w14:textId="77777777" w:rsidR="00F02481" w:rsidRPr="00BE78CA" w:rsidRDefault="00F02481" w:rsidP="00C26084">
            <w:pPr>
              <w:spacing w:before="50" w:after="50"/>
              <w:rPr>
                <w:rFonts w:cs="Calibri"/>
                <w:b/>
                <w:bCs/>
                <w:color w:val="000000"/>
                <w:sz w:val="16"/>
                <w:szCs w:val="16"/>
              </w:rPr>
            </w:pPr>
            <w:r w:rsidRPr="00BE78CA">
              <w:rPr>
                <w:rFonts w:cs="Calibri"/>
                <w:b/>
                <w:bCs/>
                <w:color w:val="000000"/>
                <w:sz w:val="16"/>
                <w:szCs w:val="16"/>
              </w:rPr>
              <w:t>E</w:t>
            </w:r>
          </w:p>
        </w:tc>
        <w:tc>
          <w:tcPr>
            <w:tcW w:w="3197" w:type="dxa"/>
            <w:tcBorders>
              <w:top w:val="single" w:sz="4" w:space="0" w:color="365F91"/>
              <w:left w:val="nil"/>
              <w:bottom w:val="single" w:sz="4" w:space="0" w:color="365F91"/>
              <w:right w:val="nil"/>
            </w:tcBorders>
            <w:shd w:val="clear" w:color="auto" w:fill="auto"/>
            <w:vAlign w:val="center"/>
            <w:hideMark/>
          </w:tcPr>
          <w:p w14:paraId="63FCCCD1" w14:textId="77777777" w:rsidR="00F02481" w:rsidRPr="00BE78CA" w:rsidRDefault="00F02481" w:rsidP="00C26084">
            <w:pPr>
              <w:spacing w:before="40" w:after="40"/>
              <w:rPr>
                <w:rFonts w:cs="Calibri"/>
                <w:b/>
                <w:bCs/>
                <w:color w:val="000000"/>
                <w:sz w:val="16"/>
                <w:szCs w:val="16"/>
              </w:rPr>
            </w:pPr>
            <w:r w:rsidRPr="00BE78CA">
              <w:rPr>
                <w:rFonts w:cs="Calibri"/>
                <w:b/>
                <w:bCs/>
                <w:color w:val="000000"/>
                <w:sz w:val="16"/>
                <w:szCs w:val="16"/>
              </w:rPr>
              <w:t xml:space="preserve">Prescribed Burning of Savannas </w:t>
            </w:r>
          </w:p>
        </w:tc>
        <w:tc>
          <w:tcPr>
            <w:tcW w:w="832" w:type="dxa"/>
            <w:tcBorders>
              <w:top w:val="single" w:sz="4" w:space="0" w:color="365F91"/>
              <w:left w:val="nil"/>
              <w:bottom w:val="single" w:sz="4" w:space="0" w:color="365F91"/>
              <w:right w:val="nil"/>
            </w:tcBorders>
            <w:shd w:val="clear" w:color="auto" w:fill="auto"/>
            <w:noWrap/>
            <w:vAlign w:val="center"/>
            <w:hideMark/>
          </w:tcPr>
          <w:p w14:paraId="744A61FD" w14:textId="77777777" w:rsidR="00F02481" w:rsidRPr="00BE78CA" w:rsidRDefault="00F02481" w:rsidP="00C26084">
            <w:pPr>
              <w:spacing w:before="40" w:after="40"/>
              <w:jc w:val="center"/>
              <w:rPr>
                <w:rFonts w:cs="Calibri"/>
                <w:color w:val="000000"/>
                <w:sz w:val="16"/>
                <w:szCs w:val="16"/>
              </w:rPr>
            </w:pPr>
            <w:r w:rsidRPr="00BE78CA">
              <w:rPr>
                <w:rFonts w:cs="Calibri"/>
                <w:color w:val="000000"/>
                <w:sz w:val="16"/>
                <w:szCs w:val="16"/>
              </w:rPr>
              <w:t>NA</w:t>
            </w:r>
          </w:p>
        </w:tc>
        <w:tc>
          <w:tcPr>
            <w:tcW w:w="832" w:type="dxa"/>
            <w:tcBorders>
              <w:top w:val="single" w:sz="4" w:space="0" w:color="365F91"/>
              <w:left w:val="nil"/>
              <w:bottom w:val="single" w:sz="4" w:space="0" w:color="365F91"/>
              <w:right w:val="nil"/>
            </w:tcBorders>
            <w:shd w:val="clear" w:color="auto" w:fill="auto"/>
            <w:noWrap/>
            <w:vAlign w:val="center"/>
            <w:hideMark/>
          </w:tcPr>
          <w:p w14:paraId="649E0E9C" w14:textId="77777777" w:rsidR="00F02481" w:rsidRPr="00BE78CA" w:rsidRDefault="00F02481" w:rsidP="00C26084">
            <w:pPr>
              <w:spacing w:before="40" w:after="40"/>
              <w:jc w:val="center"/>
              <w:rPr>
                <w:rFonts w:cs="Calibri"/>
                <w:color w:val="000000"/>
                <w:sz w:val="16"/>
                <w:szCs w:val="16"/>
              </w:rPr>
            </w:pPr>
            <w:r w:rsidRPr="00BE78CA">
              <w:rPr>
                <w:rFonts w:cs="Calibri"/>
                <w:color w:val="000000"/>
                <w:sz w:val="16"/>
                <w:szCs w:val="16"/>
              </w:rPr>
              <w:t>NA</w:t>
            </w:r>
          </w:p>
        </w:tc>
        <w:tc>
          <w:tcPr>
            <w:tcW w:w="832" w:type="dxa"/>
            <w:tcBorders>
              <w:top w:val="single" w:sz="4" w:space="0" w:color="365F91"/>
              <w:left w:val="nil"/>
              <w:bottom w:val="single" w:sz="4" w:space="0" w:color="365F91"/>
              <w:right w:val="nil"/>
            </w:tcBorders>
            <w:shd w:val="clear" w:color="auto" w:fill="auto"/>
            <w:noWrap/>
            <w:vAlign w:val="center"/>
            <w:hideMark/>
          </w:tcPr>
          <w:p w14:paraId="1EA35F80" w14:textId="77777777" w:rsidR="00F02481" w:rsidRPr="00BE78CA" w:rsidRDefault="00F02481" w:rsidP="00C26084">
            <w:pPr>
              <w:spacing w:before="40" w:after="40"/>
              <w:jc w:val="center"/>
              <w:rPr>
                <w:rFonts w:cs="Calibri"/>
                <w:color w:val="000000"/>
                <w:sz w:val="16"/>
                <w:szCs w:val="16"/>
              </w:rPr>
            </w:pPr>
            <w:r w:rsidRPr="00BE78CA">
              <w:rPr>
                <w:rFonts w:cs="Calibri"/>
                <w:color w:val="000000"/>
                <w:sz w:val="16"/>
                <w:szCs w:val="16"/>
              </w:rPr>
              <w:t>NA</w:t>
            </w:r>
          </w:p>
        </w:tc>
        <w:tc>
          <w:tcPr>
            <w:tcW w:w="832" w:type="dxa"/>
            <w:tcBorders>
              <w:top w:val="single" w:sz="4" w:space="0" w:color="365F91"/>
              <w:left w:val="nil"/>
              <w:bottom w:val="single" w:sz="4" w:space="0" w:color="365F91"/>
              <w:right w:val="nil"/>
            </w:tcBorders>
            <w:shd w:val="clear" w:color="auto" w:fill="auto"/>
            <w:noWrap/>
            <w:vAlign w:val="center"/>
            <w:hideMark/>
          </w:tcPr>
          <w:p w14:paraId="7C936965" w14:textId="77777777" w:rsidR="00F02481" w:rsidRPr="00BE78CA" w:rsidRDefault="00F02481" w:rsidP="00C26084">
            <w:pPr>
              <w:spacing w:before="40" w:after="40"/>
              <w:jc w:val="center"/>
              <w:rPr>
                <w:rFonts w:cs="Calibri"/>
                <w:color w:val="000000"/>
                <w:sz w:val="16"/>
                <w:szCs w:val="16"/>
              </w:rPr>
            </w:pPr>
            <w:r w:rsidRPr="00BE78CA">
              <w:rPr>
                <w:rFonts w:cs="Calibri"/>
                <w:color w:val="000000"/>
                <w:sz w:val="16"/>
                <w:szCs w:val="16"/>
              </w:rPr>
              <w:t>NA</w:t>
            </w:r>
          </w:p>
        </w:tc>
        <w:tc>
          <w:tcPr>
            <w:tcW w:w="832" w:type="dxa"/>
            <w:tcBorders>
              <w:top w:val="single" w:sz="4" w:space="0" w:color="365F91"/>
              <w:left w:val="nil"/>
              <w:bottom w:val="single" w:sz="4" w:space="0" w:color="365F91"/>
              <w:right w:val="nil"/>
            </w:tcBorders>
            <w:shd w:val="clear" w:color="auto" w:fill="auto"/>
            <w:noWrap/>
            <w:vAlign w:val="center"/>
            <w:hideMark/>
          </w:tcPr>
          <w:p w14:paraId="3E3F34DD" w14:textId="77777777" w:rsidR="00F02481" w:rsidRPr="00BE78CA" w:rsidRDefault="00F02481" w:rsidP="00C26084">
            <w:pPr>
              <w:spacing w:before="40" w:after="40"/>
              <w:jc w:val="center"/>
              <w:rPr>
                <w:rFonts w:cs="Calibri"/>
                <w:color w:val="FFFFFF"/>
                <w:sz w:val="16"/>
                <w:szCs w:val="16"/>
              </w:rPr>
            </w:pPr>
            <w:r w:rsidRPr="00BE78CA">
              <w:rPr>
                <w:rFonts w:cs="Calibri"/>
                <w:color w:val="FFFFFF"/>
                <w:sz w:val="16"/>
                <w:szCs w:val="16"/>
              </w:rPr>
              <w:t>-</w:t>
            </w:r>
          </w:p>
        </w:tc>
        <w:tc>
          <w:tcPr>
            <w:tcW w:w="832" w:type="dxa"/>
            <w:tcBorders>
              <w:top w:val="single" w:sz="4" w:space="0" w:color="365F91"/>
              <w:left w:val="nil"/>
              <w:bottom w:val="single" w:sz="4" w:space="0" w:color="365F91"/>
              <w:right w:val="nil"/>
            </w:tcBorders>
            <w:shd w:val="clear" w:color="auto" w:fill="auto"/>
            <w:noWrap/>
            <w:vAlign w:val="center"/>
            <w:hideMark/>
          </w:tcPr>
          <w:p w14:paraId="19DBCECA" w14:textId="77777777" w:rsidR="00F02481" w:rsidRPr="00BE78CA" w:rsidRDefault="00F02481" w:rsidP="00C26084">
            <w:pPr>
              <w:spacing w:before="40" w:after="40"/>
              <w:jc w:val="center"/>
              <w:rPr>
                <w:rFonts w:cs="Calibri"/>
                <w:color w:val="FFFFFF"/>
                <w:sz w:val="16"/>
                <w:szCs w:val="16"/>
              </w:rPr>
            </w:pPr>
            <w:r w:rsidRPr="00BE78CA">
              <w:rPr>
                <w:rFonts w:cs="Calibri"/>
                <w:color w:val="FFFFFF"/>
                <w:sz w:val="16"/>
                <w:szCs w:val="16"/>
              </w:rPr>
              <w:t>-</w:t>
            </w:r>
          </w:p>
        </w:tc>
      </w:tr>
      <w:tr w:rsidR="00F02481" w:rsidRPr="00BE78CA" w14:paraId="7B0F10DD" w14:textId="77777777" w:rsidTr="006613CB">
        <w:tc>
          <w:tcPr>
            <w:tcW w:w="325" w:type="dxa"/>
            <w:tcBorders>
              <w:top w:val="single" w:sz="4" w:space="0" w:color="365F91"/>
              <w:left w:val="nil"/>
              <w:bottom w:val="single" w:sz="4" w:space="0" w:color="365F91"/>
              <w:right w:val="nil"/>
            </w:tcBorders>
            <w:shd w:val="clear" w:color="auto" w:fill="auto"/>
            <w:noWrap/>
            <w:vAlign w:val="center"/>
            <w:hideMark/>
          </w:tcPr>
          <w:p w14:paraId="23E26176" w14:textId="77777777" w:rsidR="00F02481" w:rsidRPr="00BE78CA" w:rsidRDefault="00F02481" w:rsidP="00C26084">
            <w:pPr>
              <w:spacing w:before="50" w:after="50"/>
              <w:rPr>
                <w:rFonts w:cs="Calibri"/>
                <w:b/>
                <w:bCs/>
                <w:color w:val="000000"/>
                <w:sz w:val="16"/>
                <w:szCs w:val="16"/>
              </w:rPr>
            </w:pPr>
            <w:r w:rsidRPr="00BE78CA">
              <w:rPr>
                <w:rFonts w:cs="Calibri"/>
                <w:b/>
                <w:bCs/>
                <w:color w:val="000000"/>
                <w:sz w:val="16"/>
                <w:szCs w:val="16"/>
              </w:rPr>
              <w:t>F</w:t>
            </w:r>
          </w:p>
        </w:tc>
        <w:tc>
          <w:tcPr>
            <w:tcW w:w="3197" w:type="dxa"/>
            <w:tcBorders>
              <w:top w:val="single" w:sz="4" w:space="0" w:color="365F91"/>
              <w:left w:val="nil"/>
              <w:bottom w:val="single" w:sz="4" w:space="0" w:color="365F91"/>
              <w:right w:val="nil"/>
            </w:tcBorders>
            <w:shd w:val="clear" w:color="auto" w:fill="auto"/>
            <w:vAlign w:val="center"/>
            <w:hideMark/>
          </w:tcPr>
          <w:p w14:paraId="3EC1C422" w14:textId="77777777" w:rsidR="00F02481" w:rsidRPr="00BE78CA" w:rsidRDefault="00F02481" w:rsidP="00C26084">
            <w:pPr>
              <w:spacing w:before="40" w:after="40"/>
              <w:rPr>
                <w:rFonts w:cs="Calibri"/>
                <w:b/>
                <w:bCs/>
                <w:color w:val="000000"/>
                <w:sz w:val="16"/>
                <w:szCs w:val="16"/>
              </w:rPr>
            </w:pPr>
            <w:r w:rsidRPr="00BE78CA">
              <w:rPr>
                <w:rFonts w:cs="Calibri"/>
                <w:b/>
                <w:bCs/>
                <w:color w:val="000000"/>
                <w:sz w:val="16"/>
                <w:szCs w:val="16"/>
              </w:rPr>
              <w:t>Field Burning of Agricultural Residues</w:t>
            </w:r>
          </w:p>
        </w:tc>
        <w:tc>
          <w:tcPr>
            <w:tcW w:w="832" w:type="dxa"/>
            <w:tcBorders>
              <w:top w:val="single" w:sz="4" w:space="0" w:color="365F91"/>
              <w:left w:val="nil"/>
              <w:bottom w:val="single" w:sz="4" w:space="0" w:color="365F91"/>
              <w:right w:val="nil"/>
            </w:tcBorders>
            <w:shd w:val="clear" w:color="auto" w:fill="auto"/>
            <w:noWrap/>
            <w:vAlign w:val="center"/>
            <w:hideMark/>
          </w:tcPr>
          <w:p w14:paraId="2A8E2525" w14:textId="77777777" w:rsidR="00F02481" w:rsidRPr="00BE78CA" w:rsidRDefault="00F02481" w:rsidP="00C26084">
            <w:pPr>
              <w:spacing w:before="40" w:after="40"/>
              <w:jc w:val="center"/>
              <w:rPr>
                <w:rFonts w:cs="Calibri"/>
                <w:color w:val="000000"/>
                <w:sz w:val="16"/>
                <w:szCs w:val="16"/>
              </w:rPr>
            </w:pPr>
            <w:r w:rsidRPr="00BE78CA">
              <w:rPr>
                <w:rFonts w:cs="Calibri"/>
                <w:color w:val="000000"/>
                <w:sz w:val="16"/>
                <w:szCs w:val="16"/>
              </w:rPr>
              <w:t>T2</w:t>
            </w:r>
          </w:p>
        </w:tc>
        <w:tc>
          <w:tcPr>
            <w:tcW w:w="832" w:type="dxa"/>
            <w:tcBorders>
              <w:top w:val="single" w:sz="4" w:space="0" w:color="365F91"/>
              <w:left w:val="nil"/>
              <w:bottom w:val="single" w:sz="4" w:space="0" w:color="365F91"/>
              <w:right w:val="nil"/>
            </w:tcBorders>
            <w:shd w:val="clear" w:color="auto" w:fill="auto"/>
            <w:noWrap/>
            <w:vAlign w:val="center"/>
            <w:hideMark/>
          </w:tcPr>
          <w:p w14:paraId="2A33B949" w14:textId="77777777" w:rsidR="00F02481" w:rsidRPr="00BE78CA" w:rsidRDefault="00F02481" w:rsidP="00C26084">
            <w:pPr>
              <w:spacing w:before="40" w:after="40"/>
              <w:jc w:val="center"/>
              <w:rPr>
                <w:rFonts w:cs="Calibri"/>
                <w:color w:val="000000"/>
                <w:sz w:val="16"/>
                <w:szCs w:val="16"/>
              </w:rPr>
            </w:pPr>
            <w:r w:rsidRPr="00BE78CA">
              <w:rPr>
                <w:rFonts w:cs="Calibri"/>
                <w:color w:val="000000"/>
                <w:sz w:val="16"/>
                <w:szCs w:val="16"/>
              </w:rPr>
              <w:t>CS</w:t>
            </w:r>
          </w:p>
        </w:tc>
        <w:tc>
          <w:tcPr>
            <w:tcW w:w="832" w:type="dxa"/>
            <w:tcBorders>
              <w:top w:val="single" w:sz="4" w:space="0" w:color="365F91"/>
              <w:left w:val="nil"/>
              <w:bottom w:val="single" w:sz="4" w:space="0" w:color="365F91"/>
              <w:right w:val="nil"/>
            </w:tcBorders>
            <w:shd w:val="clear" w:color="auto" w:fill="auto"/>
            <w:noWrap/>
            <w:vAlign w:val="center"/>
            <w:hideMark/>
          </w:tcPr>
          <w:p w14:paraId="1D57EBE1" w14:textId="77777777" w:rsidR="00F02481" w:rsidRPr="00BE78CA" w:rsidRDefault="00F02481" w:rsidP="00C26084">
            <w:pPr>
              <w:spacing w:before="40" w:after="40"/>
              <w:jc w:val="center"/>
              <w:rPr>
                <w:rFonts w:cs="Calibri"/>
                <w:color w:val="000000"/>
                <w:sz w:val="16"/>
                <w:szCs w:val="16"/>
              </w:rPr>
            </w:pPr>
            <w:r w:rsidRPr="00BE78CA">
              <w:rPr>
                <w:rFonts w:cs="Calibri"/>
                <w:color w:val="000000"/>
                <w:sz w:val="16"/>
                <w:szCs w:val="16"/>
              </w:rPr>
              <w:t>T2</w:t>
            </w:r>
          </w:p>
        </w:tc>
        <w:tc>
          <w:tcPr>
            <w:tcW w:w="832" w:type="dxa"/>
            <w:tcBorders>
              <w:top w:val="single" w:sz="4" w:space="0" w:color="365F91"/>
              <w:left w:val="nil"/>
              <w:bottom w:val="single" w:sz="4" w:space="0" w:color="365F91"/>
              <w:right w:val="nil"/>
            </w:tcBorders>
            <w:shd w:val="clear" w:color="auto" w:fill="auto"/>
            <w:noWrap/>
            <w:vAlign w:val="center"/>
            <w:hideMark/>
          </w:tcPr>
          <w:p w14:paraId="5100DFB8" w14:textId="77777777" w:rsidR="00F02481" w:rsidRPr="00BE78CA" w:rsidRDefault="00F02481" w:rsidP="00C26084">
            <w:pPr>
              <w:spacing w:before="40" w:after="40"/>
              <w:jc w:val="center"/>
              <w:rPr>
                <w:rFonts w:cs="Calibri"/>
                <w:color w:val="000000"/>
                <w:sz w:val="16"/>
                <w:szCs w:val="16"/>
              </w:rPr>
            </w:pPr>
            <w:r w:rsidRPr="00BE78CA">
              <w:rPr>
                <w:rFonts w:cs="Calibri"/>
                <w:color w:val="000000"/>
                <w:sz w:val="16"/>
                <w:szCs w:val="16"/>
              </w:rPr>
              <w:t>CS</w:t>
            </w:r>
          </w:p>
        </w:tc>
        <w:tc>
          <w:tcPr>
            <w:tcW w:w="832" w:type="dxa"/>
            <w:tcBorders>
              <w:top w:val="single" w:sz="4" w:space="0" w:color="365F91"/>
              <w:left w:val="nil"/>
              <w:bottom w:val="single" w:sz="4" w:space="0" w:color="365F91"/>
              <w:right w:val="nil"/>
            </w:tcBorders>
            <w:shd w:val="clear" w:color="auto" w:fill="auto"/>
            <w:noWrap/>
            <w:vAlign w:val="center"/>
            <w:hideMark/>
          </w:tcPr>
          <w:p w14:paraId="29936C8A" w14:textId="77777777" w:rsidR="00F02481" w:rsidRPr="00BE78CA" w:rsidRDefault="00F02481" w:rsidP="00C26084">
            <w:pPr>
              <w:spacing w:before="40" w:after="40"/>
              <w:jc w:val="center"/>
              <w:rPr>
                <w:rFonts w:cs="Calibri"/>
                <w:color w:val="FFFFFF"/>
                <w:sz w:val="16"/>
                <w:szCs w:val="16"/>
              </w:rPr>
            </w:pPr>
            <w:r w:rsidRPr="00BE78CA">
              <w:rPr>
                <w:rFonts w:cs="Calibri"/>
                <w:color w:val="FFFFFF"/>
                <w:sz w:val="16"/>
                <w:szCs w:val="16"/>
              </w:rPr>
              <w:t>-</w:t>
            </w:r>
          </w:p>
        </w:tc>
        <w:tc>
          <w:tcPr>
            <w:tcW w:w="832" w:type="dxa"/>
            <w:tcBorders>
              <w:top w:val="single" w:sz="4" w:space="0" w:color="365F91"/>
              <w:left w:val="nil"/>
              <w:bottom w:val="single" w:sz="4" w:space="0" w:color="365F91"/>
              <w:right w:val="nil"/>
            </w:tcBorders>
            <w:shd w:val="clear" w:color="auto" w:fill="auto"/>
            <w:noWrap/>
            <w:vAlign w:val="center"/>
            <w:hideMark/>
          </w:tcPr>
          <w:p w14:paraId="17B7A3AE" w14:textId="77777777" w:rsidR="00F02481" w:rsidRPr="00BE78CA" w:rsidRDefault="00F02481" w:rsidP="00C26084">
            <w:pPr>
              <w:spacing w:before="40" w:after="40"/>
              <w:jc w:val="center"/>
              <w:rPr>
                <w:rFonts w:cs="Calibri"/>
                <w:color w:val="FFFFFF"/>
                <w:sz w:val="16"/>
                <w:szCs w:val="16"/>
              </w:rPr>
            </w:pPr>
            <w:r w:rsidRPr="00BE78CA">
              <w:rPr>
                <w:rFonts w:cs="Calibri"/>
                <w:color w:val="FFFFFF"/>
                <w:sz w:val="16"/>
                <w:szCs w:val="16"/>
              </w:rPr>
              <w:t>-</w:t>
            </w:r>
          </w:p>
        </w:tc>
      </w:tr>
      <w:tr w:rsidR="00F02481" w:rsidRPr="00BE78CA" w14:paraId="6A6ECD72" w14:textId="77777777" w:rsidTr="006613CB">
        <w:tc>
          <w:tcPr>
            <w:tcW w:w="325" w:type="dxa"/>
            <w:tcBorders>
              <w:top w:val="single" w:sz="4" w:space="0" w:color="365F91"/>
              <w:left w:val="nil"/>
              <w:bottom w:val="single" w:sz="4" w:space="0" w:color="365F91"/>
              <w:right w:val="nil"/>
            </w:tcBorders>
            <w:shd w:val="clear" w:color="auto" w:fill="auto"/>
            <w:noWrap/>
            <w:vAlign w:val="center"/>
            <w:hideMark/>
          </w:tcPr>
          <w:p w14:paraId="0C06F981" w14:textId="77777777" w:rsidR="00F02481" w:rsidRPr="00BE78CA" w:rsidRDefault="00F02481" w:rsidP="00C26084">
            <w:pPr>
              <w:spacing w:before="50" w:after="50"/>
              <w:rPr>
                <w:rFonts w:cs="Calibri"/>
                <w:b/>
                <w:bCs/>
                <w:color w:val="000000"/>
                <w:sz w:val="16"/>
                <w:szCs w:val="16"/>
              </w:rPr>
            </w:pPr>
            <w:r w:rsidRPr="00BE78CA">
              <w:rPr>
                <w:rFonts w:cs="Calibri"/>
                <w:b/>
                <w:bCs/>
                <w:color w:val="000000"/>
                <w:sz w:val="16"/>
                <w:szCs w:val="16"/>
              </w:rPr>
              <w:t>G</w:t>
            </w:r>
          </w:p>
        </w:tc>
        <w:tc>
          <w:tcPr>
            <w:tcW w:w="3197" w:type="dxa"/>
            <w:tcBorders>
              <w:top w:val="single" w:sz="4" w:space="0" w:color="365F91"/>
              <w:left w:val="nil"/>
              <w:bottom w:val="single" w:sz="4" w:space="0" w:color="365F91"/>
              <w:right w:val="nil"/>
            </w:tcBorders>
            <w:shd w:val="clear" w:color="auto" w:fill="auto"/>
            <w:vAlign w:val="center"/>
            <w:hideMark/>
          </w:tcPr>
          <w:p w14:paraId="029E903A" w14:textId="77777777" w:rsidR="00F02481" w:rsidRPr="00BE78CA" w:rsidRDefault="00F02481" w:rsidP="00C26084">
            <w:pPr>
              <w:spacing w:before="40" w:after="40"/>
              <w:rPr>
                <w:rFonts w:cs="Calibri"/>
                <w:b/>
                <w:bCs/>
                <w:color w:val="000000"/>
                <w:sz w:val="16"/>
                <w:szCs w:val="16"/>
              </w:rPr>
            </w:pPr>
            <w:r w:rsidRPr="00BE78CA">
              <w:rPr>
                <w:rFonts w:cs="Calibri"/>
                <w:b/>
                <w:bCs/>
                <w:color w:val="000000"/>
                <w:sz w:val="16"/>
                <w:szCs w:val="16"/>
              </w:rPr>
              <w:t>Liming</w:t>
            </w:r>
          </w:p>
        </w:tc>
        <w:tc>
          <w:tcPr>
            <w:tcW w:w="832" w:type="dxa"/>
            <w:tcBorders>
              <w:top w:val="single" w:sz="4" w:space="0" w:color="365F91"/>
              <w:left w:val="nil"/>
              <w:bottom w:val="single" w:sz="4" w:space="0" w:color="365F91"/>
              <w:right w:val="nil"/>
            </w:tcBorders>
            <w:shd w:val="clear" w:color="auto" w:fill="auto"/>
            <w:noWrap/>
            <w:vAlign w:val="center"/>
            <w:hideMark/>
          </w:tcPr>
          <w:p w14:paraId="180FA3B1" w14:textId="77777777" w:rsidR="00F02481" w:rsidRPr="00BE78CA" w:rsidRDefault="00F02481" w:rsidP="00C26084">
            <w:pPr>
              <w:spacing w:before="40" w:after="40"/>
              <w:jc w:val="center"/>
              <w:rPr>
                <w:rFonts w:cs="Calibri"/>
                <w:color w:val="FFFFFF"/>
                <w:sz w:val="16"/>
                <w:szCs w:val="16"/>
              </w:rPr>
            </w:pPr>
            <w:r w:rsidRPr="00BE78CA">
              <w:rPr>
                <w:rFonts w:cs="Calibri"/>
                <w:color w:val="FFFFFF"/>
                <w:sz w:val="16"/>
                <w:szCs w:val="16"/>
              </w:rPr>
              <w:t>-</w:t>
            </w:r>
          </w:p>
        </w:tc>
        <w:tc>
          <w:tcPr>
            <w:tcW w:w="832" w:type="dxa"/>
            <w:tcBorders>
              <w:top w:val="single" w:sz="4" w:space="0" w:color="365F91"/>
              <w:left w:val="nil"/>
              <w:bottom w:val="single" w:sz="4" w:space="0" w:color="365F91"/>
              <w:right w:val="nil"/>
            </w:tcBorders>
            <w:shd w:val="clear" w:color="auto" w:fill="auto"/>
            <w:noWrap/>
            <w:vAlign w:val="center"/>
            <w:hideMark/>
          </w:tcPr>
          <w:p w14:paraId="2B076DA2" w14:textId="77777777" w:rsidR="00F02481" w:rsidRPr="00BE78CA" w:rsidRDefault="00F02481" w:rsidP="00C26084">
            <w:pPr>
              <w:spacing w:before="40" w:after="40"/>
              <w:jc w:val="center"/>
              <w:rPr>
                <w:rFonts w:cs="Calibri"/>
                <w:color w:val="FFFFFF"/>
                <w:sz w:val="16"/>
                <w:szCs w:val="16"/>
              </w:rPr>
            </w:pPr>
            <w:r w:rsidRPr="00BE78CA">
              <w:rPr>
                <w:rFonts w:cs="Calibri"/>
                <w:color w:val="FFFFFF"/>
                <w:sz w:val="16"/>
                <w:szCs w:val="16"/>
              </w:rPr>
              <w:t>-</w:t>
            </w:r>
          </w:p>
        </w:tc>
        <w:tc>
          <w:tcPr>
            <w:tcW w:w="832" w:type="dxa"/>
            <w:tcBorders>
              <w:top w:val="single" w:sz="4" w:space="0" w:color="365F91"/>
              <w:left w:val="nil"/>
              <w:bottom w:val="single" w:sz="4" w:space="0" w:color="365F91"/>
              <w:right w:val="nil"/>
            </w:tcBorders>
            <w:shd w:val="clear" w:color="auto" w:fill="auto"/>
            <w:noWrap/>
            <w:vAlign w:val="center"/>
            <w:hideMark/>
          </w:tcPr>
          <w:p w14:paraId="5705B066" w14:textId="77777777" w:rsidR="00F02481" w:rsidRPr="00BE78CA" w:rsidRDefault="00F02481" w:rsidP="00C26084">
            <w:pPr>
              <w:spacing w:before="40" w:after="40"/>
              <w:jc w:val="center"/>
              <w:rPr>
                <w:rFonts w:cs="Calibri"/>
                <w:color w:val="FFFFFF"/>
                <w:sz w:val="16"/>
                <w:szCs w:val="16"/>
              </w:rPr>
            </w:pPr>
            <w:r w:rsidRPr="00BE78CA">
              <w:rPr>
                <w:rFonts w:cs="Calibri"/>
                <w:color w:val="FFFFFF"/>
                <w:sz w:val="16"/>
                <w:szCs w:val="16"/>
              </w:rPr>
              <w:t>-</w:t>
            </w:r>
          </w:p>
        </w:tc>
        <w:tc>
          <w:tcPr>
            <w:tcW w:w="832" w:type="dxa"/>
            <w:tcBorders>
              <w:top w:val="single" w:sz="4" w:space="0" w:color="365F91"/>
              <w:left w:val="nil"/>
              <w:bottom w:val="single" w:sz="4" w:space="0" w:color="365F91"/>
              <w:right w:val="nil"/>
            </w:tcBorders>
            <w:shd w:val="clear" w:color="auto" w:fill="auto"/>
            <w:noWrap/>
            <w:vAlign w:val="center"/>
            <w:hideMark/>
          </w:tcPr>
          <w:p w14:paraId="104D1D03" w14:textId="77777777" w:rsidR="00F02481" w:rsidRPr="00BE78CA" w:rsidRDefault="00F02481" w:rsidP="00C26084">
            <w:pPr>
              <w:spacing w:before="40" w:after="40"/>
              <w:jc w:val="center"/>
              <w:rPr>
                <w:rFonts w:cs="Calibri"/>
                <w:color w:val="FFFFFF"/>
                <w:sz w:val="16"/>
                <w:szCs w:val="16"/>
              </w:rPr>
            </w:pPr>
            <w:r w:rsidRPr="00BE78CA">
              <w:rPr>
                <w:rFonts w:cs="Calibri"/>
                <w:color w:val="FFFFFF"/>
                <w:sz w:val="16"/>
                <w:szCs w:val="16"/>
              </w:rPr>
              <w:t>-</w:t>
            </w:r>
          </w:p>
        </w:tc>
        <w:tc>
          <w:tcPr>
            <w:tcW w:w="832" w:type="dxa"/>
            <w:tcBorders>
              <w:top w:val="single" w:sz="4" w:space="0" w:color="365F91"/>
              <w:left w:val="nil"/>
              <w:bottom w:val="single" w:sz="4" w:space="0" w:color="365F91"/>
              <w:right w:val="nil"/>
            </w:tcBorders>
            <w:shd w:val="clear" w:color="auto" w:fill="auto"/>
            <w:noWrap/>
            <w:vAlign w:val="center"/>
            <w:hideMark/>
          </w:tcPr>
          <w:p w14:paraId="795EBB67" w14:textId="77777777" w:rsidR="00F02481" w:rsidRPr="00BE78CA" w:rsidRDefault="00F02481" w:rsidP="00C26084">
            <w:pPr>
              <w:spacing w:before="40" w:after="40"/>
              <w:jc w:val="center"/>
              <w:rPr>
                <w:rFonts w:cs="Calibri"/>
                <w:color w:val="000000"/>
                <w:sz w:val="16"/>
                <w:szCs w:val="16"/>
              </w:rPr>
            </w:pPr>
            <w:r w:rsidRPr="00BE78CA">
              <w:rPr>
                <w:rFonts w:cs="Calibri"/>
                <w:color w:val="000000"/>
                <w:sz w:val="16"/>
                <w:szCs w:val="16"/>
              </w:rPr>
              <w:t>T1</w:t>
            </w:r>
          </w:p>
        </w:tc>
        <w:tc>
          <w:tcPr>
            <w:tcW w:w="832" w:type="dxa"/>
            <w:tcBorders>
              <w:top w:val="single" w:sz="4" w:space="0" w:color="365F91"/>
              <w:left w:val="nil"/>
              <w:bottom w:val="single" w:sz="4" w:space="0" w:color="365F91"/>
              <w:right w:val="nil"/>
            </w:tcBorders>
            <w:shd w:val="clear" w:color="auto" w:fill="auto"/>
            <w:noWrap/>
            <w:vAlign w:val="center"/>
            <w:hideMark/>
          </w:tcPr>
          <w:p w14:paraId="42484AEA" w14:textId="77777777" w:rsidR="00F02481" w:rsidRPr="00BE78CA" w:rsidRDefault="00F02481" w:rsidP="00C26084">
            <w:pPr>
              <w:spacing w:before="40" w:after="40"/>
              <w:jc w:val="center"/>
              <w:rPr>
                <w:rFonts w:cs="Calibri"/>
                <w:color w:val="000000"/>
                <w:sz w:val="16"/>
                <w:szCs w:val="16"/>
              </w:rPr>
            </w:pPr>
            <w:r w:rsidRPr="00BE78CA">
              <w:rPr>
                <w:rFonts w:cs="Calibri"/>
                <w:color w:val="000000"/>
                <w:sz w:val="16"/>
                <w:szCs w:val="16"/>
              </w:rPr>
              <w:t>D</w:t>
            </w:r>
          </w:p>
        </w:tc>
      </w:tr>
      <w:tr w:rsidR="00F02481" w:rsidRPr="00BE78CA" w14:paraId="4FCA966F" w14:textId="77777777" w:rsidTr="006613CB">
        <w:tc>
          <w:tcPr>
            <w:tcW w:w="325" w:type="dxa"/>
            <w:tcBorders>
              <w:top w:val="single" w:sz="4" w:space="0" w:color="365F91"/>
              <w:left w:val="nil"/>
              <w:bottom w:val="single" w:sz="4" w:space="0" w:color="365F91"/>
              <w:right w:val="nil"/>
            </w:tcBorders>
            <w:shd w:val="clear" w:color="auto" w:fill="auto"/>
            <w:noWrap/>
            <w:vAlign w:val="center"/>
            <w:hideMark/>
          </w:tcPr>
          <w:p w14:paraId="37CC7178" w14:textId="77777777" w:rsidR="00F02481" w:rsidRPr="00BE78CA" w:rsidRDefault="00F02481" w:rsidP="00C26084">
            <w:pPr>
              <w:spacing w:before="50" w:after="50"/>
              <w:rPr>
                <w:rFonts w:cs="Calibri"/>
                <w:b/>
                <w:bCs/>
                <w:color w:val="000000"/>
                <w:sz w:val="16"/>
                <w:szCs w:val="16"/>
              </w:rPr>
            </w:pPr>
            <w:r w:rsidRPr="00BE78CA">
              <w:rPr>
                <w:rFonts w:cs="Calibri"/>
                <w:b/>
                <w:bCs/>
                <w:color w:val="000000"/>
                <w:sz w:val="16"/>
                <w:szCs w:val="16"/>
              </w:rPr>
              <w:t>H</w:t>
            </w:r>
          </w:p>
        </w:tc>
        <w:tc>
          <w:tcPr>
            <w:tcW w:w="3197" w:type="dxa"/>
            <w:tcBorders>
              <w:top w:val="single" w:sz="4" w:space="0" w:color="365F91"/>
              <w:left w:val="nil"/>
              <w:bottom w:val="single" w:sz="4" w:space="0" w:color="365F91"/>
              <w:right w:val="nil"/>
            </w:tcBorders>
            <w:shd w:val="clear" w:color="auto" w:fill="auto"/>
            <w:vAlign w:val="center"/>
            <w:hideMark/>
          </w:tcPr>
          <w:p w14:paraId="3929E761" w14:textId="77777777" w:rsidR="00F02481" w:rsidRPr="00BE78CA" w:rsidRDefault="00F02481" w:rsidP="00C26084">
            <w:pPr>
              <w:spacing w:before="40" w:after="40"/>
              <w:rPr>
                <w:rFonts w:cs="Calibri"/>
                <w:b/>
                <w:bCs/>
                <w:color w:val="000000"/>
                <w:sz w:val="16"/>
                <w:szCs w:val="16"/>
              </w:rPr>
            </w:pPr>
            <w:r w:rsidRPr="00BE78CA">
              <w:rPr>
                <w:rFonts w:cs="Calibri"/>
                <w:b/>
                <w:bCs/>
                <w:color w:val="000000"/>
                <w:sz w:val="16"/>
                <w:szCs w:val="16"/>
              </w:rPr>
              <w:t>Urea Application</w:t>
            </w:r>
          </w:p>
        </w:tc>
        <w:tc>
          <w:tcPr>
            <w:tcW w:w="832" w:type="dxa"/>
            <w:tcBorders>
              <w:top w:val="single" w:sz="4" w:space="0" w:color="365F91"/>
              <w:left w:val="nil"/>
              <w:bottom w:val="single" w:sz="4" w:space="0" w:color="365F91"/>
              <w:right w:val="nil"/>
            </w:tcBorders>
            <w:shd w:val="clear" w:color="auto" w:fill="auto"/>
            <w:noWrap/>
            <w:vAlign w:val="center"/>
            <w:hideMark/>
          </w:tcPr>
          <w:p w14:paraId="179E4577" w14:textId="77777777" w:rsidR="00F02481" w:rsidRPr="00BE78CA" w:rsidRDefault="00F02481" w:rsidP="00C26084">
            <w:pPr>
              <w:spacing w:before="40" w:after="40"/>
              <w:jc w:val="center"/>
              <w:rPr>
                <w:rFonts w:cs="Calibri"/>
                <w:color w:val="FFFFFF"/>
                <w:sz w:val="16"/>
                <w:szCs w:val="16"/>
              </w:rPr>
            </w:pPr>
            <w:r w:rsidRPr="00BE78CA">
              <w:rPr>
                <w:rFonts w:cs="Calibri"/>
                <w:color w:val="FFFFFF"/>
                <w:sz w:val="16"/>
                <w:szCs w:val="16"/>
              </w:rPr>
              <w:t>-</w:t>
            </w:r>
          </w:p>
        </w:tc>
        <w:tc>
          <w:tcPr>
            <w:tcW w:w="832" w:type="dxa"/>
            <w:tcBorders>
              <w:top w:val="single" w:sz="4" w:space="0" w:color="365F91"/>
              <w:left w:val="nil"/>
              <w:bottom w:val="single" w:sz="4" w:space="0" w:color="365F91"/>
              <w:right w:val="nil"/>
            </w:tcBorders>
            <w:shd w:val="clear" w:color="auto" w:fill="auto"/>
            <w:noWrap/>
            <w:vAlign w:val="center"/>
            <w:hideMark/>
          </w:tcPr>
          <w:p w14:paraId="2DDB95D0" w14:textId="77777777" w:rsidR="00F02481" w:rsidRPr="00BE78CA" w:rsidRDefault="00F02481" w:rsidP="00C26084">
            <w:pPr>
              <w:spacing w:before="40" w:after="40"/>
              <w:jc w:val="center"/>
              <w:rPr>
                <w:rFonts w:cs="Calibri"/>
                <w:color w:val="FFFFFF"/>
                <w:sz w:val="16"/>
                <w:szCs w:val="16"/>
              </w:rPr>
            </w:pPr>
            <w:r w:rsidRPr="00BE78CA">
              <w:rPr>
                <w:rFonts w:cs="Calibri"/>
                <w:color w:val="FFFFFF"/>
                <w:sz w:val="16"/>
                <w:szCs w:val="16"/>
              </w:rPr>
              <w:t>-</w:t>
            </w:r>
          </w:p>
        </w:tc>
        <w:tc>
          <w:tcPr>
            <w:tcW w:w="832" w:type="dxa"/>
            <w:tcBorders>
              <w:top w:val="single" w:sz="4" w:space="0" w:color="365F91"/>
              <w:left w:val="nil"/>
              <w:bottom w:val="single" w:sz="4" w:space="0" w:color="365F91"/>
              <w:right w:val="nil"/>
            </w:tcBorders>
            <w:shd w:val="clear" w:color="auto" w:fill="auto"/>
            <w:noWrap/>
            <w:vAlign w:val="center"/>
            <w:hideMark/>
          </w:tcPr>
          <w:p w14:paraId="5C0F0D26" w14:textId="77777777" w:rsidR="00F02481" w:rsidRPr="00BE78CA" w:rsidRDefault="00F02481" w:rsidP="00C26084">
            <w:pPr>
              <w:spacing w:before="40" w:after="40"/>
              <w:jc w:val="center"/>
              <w:rPr>
                <w:rFonts w:cs="Calibri"/>
                <w:color w:val="FFFFFF"/>
                <w:sz w:val="16"/>
                <w:szCs w:val="16"/>
              </w:rPr>
            </w:pPr>
            <w:r w:rsidRPr="00BE78CA">
              <w:rPr>
                <w:rFonts w:cs="Calibri"/>
                <w:color w:val="FFFFFF"/>
                <w:sz w:val="16"/>
                <w:szCs w:val="16"/>
              </w:rPr>
              <w:t>-</w:t>
            </w:r>
          </w:p>
        </w:tc>
        <w:tc>
          <w:tcPr>
            <w:tcW w:w="832" w:type="dxa"/>
            <w:tcBorders>
              <w:top w:val="single" w:sz="4" w:space="0" w:color="365F91"/>
              <w:left w:val="nil"/>
              <w:bottom w:val="single" w:sz="4" w:space="0" w:color="365F91"/>
              <w:right w:val="nil"/>
            </w:tcBorders>
            <w:shd w:val="clear" w:color="auto" w:fill="auto"/>
            <w:noWrap/>
            <w:vAlign w:val="center"/>
            <w:hideMark/>
          </w:tcPr>
          <w:p w14:paraId="48785AAC" w14:textId="77777777" w:rsidR="00F02481" w:rsidRPr="00BE78CA" w:rsidRDefault="00F02481" w:rsidP="00C26084">
            <w:pPr>
              <w:spacing w:before="40" w:after="40"/>
              <w:jc w:val="center"/>
              <w:rPr>
                <w:rFonts w:cs="Calibri"/>
                <w:color w:val="FFFFFF"/>
                <w:sz w:val="16"/>
                <w:szCs w:val="16"/>
              </w:rPr>
            </w:pPr>
            <w:r w:rsidRPr="00BE78CA">
              <w:rPr>
                <w:rFonts w:cs="Calibri"/>
                <w:color w:val="FFFFFF"/>
                <w:sz w:val="16"/>
                <w:szCs w:val="16"/>
              </w:rPr>
              <w:t>-</w:t>
            </w:r>
          </w:p>
        </w:tc>
        <w:tc>
          <w:tcPr>
            <w:tcW w:w="832" w:type="dxa"/>
            <w:tcBorders>
              <w:top w:val="single" w:sz="4" w:space="0" w:color="365F91"/>
              <w:left w:val="nil"/>
              <w:bottom w:val="single" w:sz="4" w:space="0" w:color="365F91"/>
              <w:right w:val="nil"/>
            </w:tcBorders>
            <w:shd w:val="clear" w:color="auto" w:fill="auto"/>
            <w:noWrap/>
            <w:vAlign w:val="center"/>
            <w:hideMark/>
          </w:tcPr>
          <w:p w14:paraId="4C3B5997" w14:textId="77777777" w:rsidR="00F02481" w:rsidRPr="00BE78CA" w:rsidRDefault="00F02481" w:rsidP="00C26084">
            <w:pPr>
              <w:spacing w:before="40" w:after="40"/>
              <w:jc w:val="center"/>
              <w:rPr>
                <w:rFonts w:cs="Calibri"/>
                <w:color w:val="000000"/>
                <w:sz w:val="16"/>
                <w:szCs w:val="16"/>
              </w:rPr>
            </w:pPr>
            <w:r w:rsidRPr="00BE78CA">
              <w:rPr>
                <w:rFonts w:cs="Calibri"/>
                <w:color w:val="000000"/>
                <w:sz w:val="16"/>
                <w:szCs w:val="16"/>
              </w:rPr>
              <w:t>T1</w:t>
            </w:r>
          </w:p>
        </w:tc>
        <w:tc>
          <w:tcPr>
            <w:tcW w:w="832" w:type="dxa"/>
            <w:tcBorders>
              <w:top w:val="single" w:sz="4" w:space="0" w:color="365F91"/>
              <w:left w:val="nil"/>
              <w:bottom w:val="single" w:sz="4" w:space="0" w:color="365F91"/>
              <w:right w:val="nil"/>
            </w:tcBorders>
            <w:shd w:val="clear" w:color="auto" w:fill="auto"/>
            <w:noWrap/>
            <w:vAlign w:val="center"/>
            <w:hideMark/>
          </w:tcPr>
          <w:p w14:paraId="1BE8DF48" w14:textId="77777777" w:rsidR="00F02481" w:rsidRPr="00BE78CA" w:rsidRDefault="00F02481" w:rsidP="00C26084">
            <w:pPr>
              <w:spacing w:before="40" w:after="40"/>
              <w:jc w:val="center"/>
              <w:rPr>
                <w:rFonts w:cs="Calibri"/>
                <w:color w:val="000000"/>
                <w:sz w:val="16"/>
                <w:szCs w:val="16"/>
              </w:rPr>
            </w:pPr>
            <w:r w:rsidRPr="00BE78CA">
              <w:rPr>
                <w:rFonts w:cs="Calibri"/>
                <w:color w:val="000000"/>
                <w:sz w:val="16"/>
                <w:szCs w:val="16"/>
              </w:rPr>
              <w:t>D</w:t>
            </w:r>
          </w:p>
        </w:tc>
      </w:tr>
      <w:tr w:rsidR="00F02481" w:rsidRPr="00BE78CA" w14:paraId="04B5DC67" w14:textId="77777777" w:rsidTr="006613CB">
        <w:tc>
          <w:tcPr>
            <w:tcW w:w="325" w:type="dxa"/>
            <w:tcBorders>
              <w:top w:val="single" w:sz="4" w:space="0" w:color="365F91"/>
              <w:left w:val="nil"/>
              <w:bottom w:val="single" w:sz="4" w:space="0" w:color="365F91"/>
              <w:right w:val="nil"/>
            </w:tcBorders>
            <w:shd w:val="clear" w:color="auto" w:fill="auto"/>
            <w:noWrap/>
            <w:vAlign w:val="center"/>
            <w:hideMark/>
          </w:tcPr>
          <w:p w14:paraId="29FA12E4" w14:textId="77777777" w:rsidR="00F02481" w:rsidRPr="00BE78CA" w:rsidRDefault="00F02481" w:rsidP="00C26084">
            <w:pPr>
              <w:spacing w:before="50" w:after="50"/>
              <w:rPr>
                <w:rFonts w:cs="Calibri"/>
                <w:b/>
                <w:bCs/>
                <w:color w:val="000000"/>
                <w:sz w:val="16"/>
                <w:szCs w:val="16"/>
              </w:rPr>
            </w:pPr>
            <w:r w:rsidRPr="00BE78CA">
              <w:rPr>
                <w:rFonts w:cs="Calibri"/>
                <w:b/>
                <w:bCs/>
                <w:color w:val="000000"/>
                <w:sz w:val="16"/>
                <w:szCs w:val="16"/>
              </w:rPr>
              <w:t>I</w:t>
            </w:r>
          </w:p>
        </w:tc>
        <w:tc>
          <w:tcPr>
            <w:tcW w:w="3197" w:type="dxa"/>
            <w:tcBorders>
              <w:top w:val="single" w:sz="4" w:space="0" w:color="365F91"/>
              <w:left w:val="nil"/>
              <w:bottom w:val="single" w:sz="4" w:space="0" w:color="365F91"/>
              <w:right w:val="nil"/>
            </w:tcBorders>
            <w:shd w:val="clear" w:color="auto" w:fill="auto"/>
            <w:vAlign w:val="center"/>
            <w:hideMark/>
          </w:tcPr>
          <w:p w14:paraId="79B38440" w14:textId="77777777" w:rsidR="00F02481" w:rsidRPr="00BE78CA" w:rsidRDefault="00F02481" w:rsidP="00C26084">
            <w:pPr>
              <w:spacing w:before="40" w:after="40"/>
              <w:rPr>
                <w:rFonts w:cs="Calibri"/>
                <w:b/>
                <w:bCs/>
                <w:color w:val="000000"/>
                <w:sz w:val="16"/>
                <w:szCs w:val="16"/>
              </w:rPr>
            </w:pPr>
            <w:r w:rsidRPr="00BE78CA">
              <w:rPr>
                <w:rFonts w:cs="Calibri"/>
                <w:b/>
                <w:bCs/>
                <w:color w:val="000000"/>
                <w:sz w:val="16"/>
                <w:szCs w:val="16"/>
              </w:rPr>
              <w:t>Other Carbon-containing Fertilisers</w:t>
            </w:r>
          </w:p>
        </w:tc>
        <w:tc>
          <w:tcPr>
            <w:tcW w:w="832" w:type="dxa"/>
            <w:tcBorders>
              <w:top w:val="single" w:sz="4" w:space="0" w:color="365F91"/>
              <w:left w:val="nil"/>
              <w:bottom w:val="single" w:sz="4" w:space="0" w:color="365F91"/>
              <w:right w:val="nil"/>
            </w:tcBorders>
            <w:shd w:val="clear" w:color="auto" w:fill="auto"/>
            <w:noWrap/>
            <w:vAlign w:val="center"/>
            <w:hideMark/>
          </w:tcPr>
          <w:p w14:paraId="76E579C4" w14:textId="77777777" w:rsidR="00F02481" w:rsidRPr="00BE78CA" w:rsidRDefault="00F02481" w:rsidP="00C26084">
            <w:pPr>
              <w:spacing w:before="40" w:after="40"/>
              <w:jc w:val="center"/>
              <w:rPr>
                <w:rFonts w:cs="Calibri"/>
                <w:color w:val="FFFFFF"/>
                <w:sz w:val="16"/>
                <w:szCs w:val="16"/>
              </w:rPr>
            </w:pPr>
            <w:r w:rsidRPr="00BE78CA">
              <w:rPr>
                <w:rFonts w:cs="Calibri"/>
                <w:color w:val="FFFFFF"/>
                <w:sz w:val="16"/>
                <w:szCs w:val="16"/>
              </w:rPr>
              <w:t>-</w:t>
            </w:r>
          </w:p>
        </w:tc>
        <w:tc>
          <w:tcPr>
            <w:tcW w:w="832" w:type="dxa"/>
            <w:tcBorders>
              <w:top w:val="single" w:sz="4" w:space="0" w:color="365F91"/>
              <w:left w:val="nil"/>
              <w:bottom w:val="single" w:sz="4" w:space="0" w:color="365F91"/>
              <w:right w:val="nil"/>
            </w:tcBorders>
            <w:shd w:val="clear" w:color="auto" w:fill="auto"/>
            <w:noWrap/>
            <w:vAlign w:val="center"/>
            <w:hideMark/>
          </w:tcPr>
          <w:p w14:paraId="5C7D5168" w14:textId="77777777" w:rsidR="00F02481" w:rsidRPr="00BE78CA" w:rsidRDefault="00F02481" w:rsidP="00C26084">
            <w:pPr>
              <w:spacing w:before="40" w:after="40"/>
              <w:jc w:val="center"/>
              <w:rPr>
                <w:rFonts w:cs="Calibri"/>
                <w:color w:val="FFFFFF"/>
                <w:sz w:val="16"/>
                <w:szCs w:val="16"/>
              </w:rPr>
            </w:pPr>
            <w:r w:rsidRPr="00BE78CA">
              <w:rPr>
                <w:rFonts w:cs="Calibri"/>
                <w:color w:val="FFFFFF"/>
                <w:sz w:val="16"/>
                <w:szCs w:val="16"/>
              </w:rPr>
              <w:t>-</w:t>
            </w:r>
          </w:p>
        </w:tc>
        <w:tc>
          <w:tcPr>
            <w:tcW w:w="832" w:type="dxa"/>
            <w:tcBorders>
              <w:top w:val="single" w:sz="4" w:space="0" w:color="365F91"/>
              <w:left w:val="nil"/>
              <w:bottom w:val="single" w:sz="4" w:space="0" w:color="365F91"/>
              <w:right w:val="nil"/>
            </w:tcBorders>
            <w:shd w:val="clear" w:color="auto" w:fill="auto"/>
            <w:noWrap/>
            <w:vAlign w:val="center"/>
            <w:hideMark/>
          </w:tcPr>
          <w:p w14:paraId="4EA8F0B3" w14:textId="77777777" w:rsidR="00F02481" w:rsidRPr="00BE78CA" w:rsidRDefault="00F02481" w:rsidP="00C26084">
            <w:pPr>
              <w:spacing w:before="40" w:after="40"/>
              <w:jc w:val="center"/>
              <w:rPr>
                <w:rFonts w:cs="Calibri"/>
                <w:color w:val="FFFFFF"/>
                <w:sz w:val="16"/>
                <w:szCs w:val="16"/>
              </w:rPr>
            </w:pPr>
            <w:r w:rsidRPr="00BE78CA">
              <w:rPr>
                <w:rFonts w:cs="Calibri"/>
                <w:color w:val="FFFFFF"/>
                <w:sz w:val="16"/>
                <w:szCs w:val="16"/>
              </w:rPr>
              <w:t>-</w:t>
            </w:r>
          </w:p>
        </w:tc>
        <w:tc>
          <w:tcPr>
            <w:tcW w:w="832" w:type="dxa"/>
            <w:tcBorders>
              <w:top w:val="single" w:sz="4" w:space="0" w:color="365F91"/>
              <w:left w:val="nil"/>
              <w:bottom w:val="single" w:sz="4" w:space="0" w:color="365F91"/>
              <w:right w:val="nil"/>
            </w:tcBorders>
            <w:shd w:val="clear" w:color="auto" w:fill="auto"/>
            <w:noWrap/>
            <w:vAlign w:val="center"/>
            <w:hideMark/>
          </w:tcPr>
          <w:p w14:paraId="4226EEC6" w14:textId="77777777" w:rsidR="00F02481" w:rsidRPr="00BE78CA" w:rsidRDefault="00F02481" w:rsidP="00C26084">
            <w:pPr>
              <w:spacing w:before="40" w:after="40"/>
              <w:jc w:val="center"/>
              <w:rPr>
                <w:rFonts w:cs="Calibri"/>
                <w:color w:val="FFFFFF"/>
                <w:sz w:val="16"/>
                <w:szCs w:val="16"/>
              </w:rPr>
            </w:pPr>
            <w:r w:rsidRPr="00BE78CA">
              <w:rPr>
                <w:rFonts w:cs="Calibri"/>
                <w:color w:val="FFFFFF"/>
                <w:sz w:val="16"/>
                <w:szCs w:val="16"/>
              </w:rPr>
              <w:t>-</w:t>
            </w:r>
          </w:p>
        </w:tc>
        <w:tc>
          <w:tcPr>
            <w:tcW w:w="832" w:type="dxa"/>
            <w:tcBorders>
              <w:top w:val="single" w:sz="4" w:space="0" w:color="365F91"/>
              <w:left w:val="nil"/>
              <w:bottom w:val="single" w:sz="4" w:space="0" w:color="365F91"/>
              <w:right w:val="nil"/>
            </w:tcBorders>
            <w:shd w:val="clear" w:color="auto" w:fill="auto"/>
            <w:noWrap/>
            <w:vAlign w:val="center"/>
            <w:hideMark/>
          </w:tcPr>
          <w:p w14:paraId="6AA30369" w14:textId="77777777" w:rsidR="00F02481" w:rsidRPr="00BE78CA" w:rsidRDefault="00F02481" w:rsidP="00C26084">
            <w:pPr>
              <w:spacing w:before="40" w:after="40"/>
              <w:jc w:val="center"/>
              <w:rPr>
                <w:rFonts w:cs="Calibri"/>
                <w:color w:val="000000"/>
                <w:sz w:val="16"/>
                <w:szCs w:val="16"/>
              </w:rPr>
            </w:pPr>
            <w:r w:rsidRPr="00BE78CA">
              <w:rPr>
                <w:rFonts w:cs="Calibri"/>
                <w:color w:val="000000"/>
                <w:sz w:val="16"/>
                <w:szCs w:val="16"/>
              </w:rPr>
              <w:t>NA</w:t>
            </w:r>
          </w:p>
        </w:tc>
        <w:tc>
          <w:tcPr>
            <w:tcW w:w="832" w:type="dxa"/>
            <w:tcBorders>
              <w:top w:val="single" w:sz="4" w:space="0" w:color="365F91"/>
              <w:left w:val="nil"/>
              <w:bottom w:val="single" w:sz="4" w:space="0" w:color="365F91"/>
              <w:right w:val="nil"/>
            </w:tcBorders>
            <w:shd w:val="clear" w:color="auto" w:fill="auto"/>
            <w:noWrap/>
            <w:vAlign w:val="center"/>
            <w:hideMark/>
          </w:tcPr>
          <w:p w14:paraId="0AC6B90D" w14:textId="77777777" w:rsidR="00F02481" w:rsidRPr="00BE78CA" w:rsidRDefault="00F02481" w:rsidP="00C26084">
            <w:pPr>
              <w:spacing w:before="40" w:after="40"/>
              <w:jc w:val="center"/>
              <w:rPr>
                <w:rFonts w:cs="Calibri"/>
                <w:color w:val="000000"/>
                <w:sz w:val="16"/>
                <w:szCs w:val="16"/>
              </w:rPr>
            </w:pPr>
            <w:r w:rsidRPr="00BE78CA">
              <w:rPr>
                <w:rFonts w:cs="Calibri"/>
                <w:color w:val="000000"/>
                <w:sz w:val="16"/>
                <w:szCs w:val="16"/>
              </w:rPr>
              <w:t>NA</w:t>
            </w:r>
          </w:p>
        </w:tc>
      </w:tr>
    </w:tbl>
    <w:p w14:paraId="4FD50321" w14:textId="77777777" w:rsidR="00F02481" w:rsidRPr="00BE78CA" w:rsidRDefault="00F02481" w:rsidP="00C26084">
      <w:pPr>
        <w:pStyle w:val="Noteundertable"/>
        <w:rPr>
          <w:rFonts w:cs="Calibri"/>
        </w:rPr>
      </w:pPr>
      <w:r w:rsidRPr="00BE78CA">
        <w:rPr>
          <w:rFonts w:cs="Calibri"/>
          <w:b/>
          <w:bCs/>
        </w:rPr>
        <w:t>Note:</w:t>
      </w:r>
      <w:r w:rsidRPr="00BE78CA">
        <w:rPr>
          <w:rFonts w:cs="Calibri"/>
        </w:rPr>
        <w:t xml:space="preserve"> </w:t>
      </w:r>
      <w:r w:rsidRPr="00BE78CA">
        <w:rPr>
          <w:rFonts w:cs="Calibri"/>
        </w:rPr>
        <w:tab/>
        <w:t>CS = Country Specific; D = IPCC Guidelines (2006) Default; NA = not applicable; T1 = Tier 1; T2 = Tier 2.</w:t>
      </w:r>
    </w:p>
    <w:p w14:paraId="39E5ED2B" w14:textId="124C4430" w:rsidR="00F02481" w:rsidRPr="00BE78CA" w:rsidRDefault="00F02481" w:rsidP="002E6A40">
      <w:pPr>
        <w:pStyle w:val="BodyText"/>
        <w:spacing w:before="100" w:after="100"/>
        <w:rPr>
          <w:rFonts w:cs="Calibri"/>
        </w:rPr>
      </w:pPr>
      <w:r w:rsidRPr="00BE78CA">
        <w:rPr>
          <w:rFonts w:cs="Calibri"/>
        </w:rPr>
        <w:t xml:space="preserve">Further technical emissions calculation detail is provided in the inventory methodology document on the Ministry for Primary Industries (MPI) </w:t>
      </w:r>
      <w:r w:rsidRPr="00BE78CA">
        <w:t>website (</w:t>
      </w:r>
      <w:hyperlink r:id="rId110" w:history="1">
        <w:r w:rsidRPr="00BE78CA">
          <w:rPr>
            <w:rStyle w:val="Hyperlink"/>
          </w:rPr>
          <w:t>www.mpi.govt.nz/ dmsdocument/13906-detailed-methodologies-for-agricultural-greenhouse-gas-emission-calculation</w:t>
        </w:r>
      </w:hyperlink>
      <w:r w:rsidRPr="00BE78CA">
        <w:t>) and in the methodological issues section for each category in this</w:t>
      </w:r>
      <w:r w:rsidRPr="00BE78CA">
        <w:rPr>
          <w:rFonts w:cs="Calibri"/>
        </w:rPr>
        <w:t xml:space="preserve"> document. The approach for determining livestock nutritional and energy requirements, which is required to calculate </w:t>
      </w:r>
      <w:r w:rsidRPr="00BE78CA">
        <w:rPr>
          <w:rFonts w:cs="Calibri"/>
          <w:i/>
          <w:iCs/>
        </w:rPr>
        <w:t>Enteric fermentation</w:t>
      </w:r>
      <w:r w:rsidRPr="00BE78CA">
        <w:rPr>
          <w:rFonts w:cs="Calibri"/>
        </w:rPr>
        <w:t xml:space="preserve"> emissions and nitrogen excreted by livestock as the precursor for calculating </w:t>
      </w:r>
      <w:r w:rsidRPr="00BE78CA">
        <w:rPr>
          <w:rFonts w:cs="Calibri"/>
          <w:i/>
          <w:iCs/>
        </w:rPr>
        <w:t>Manure management</w:t>
      </w:r>
      <w:r w:rsidRPr="00BE78CA">
        <w:rPr>
          <w:rFonts w:cs="Calibri"/>
        </w:rPr>
        <w:t xml:space="preserve"> (and some </w:t>
      </w:r>
      <w:r w:rsidRPr="00BE78CA">
        <w:rPr>
          <w:rFonts w:cs="Calibri"/>
          <w:i/>
          <w:iCs/>
        </w:rPr>
        <w:t>Agricultural soils emissions</w:t>
      </w:r>
      <w:r w:rsidRPr="00BE78CA">
        <w:rPr>
          <w:rFonts w:cs="Calibri"/>
        </w:rPr>
        <w:t>), is described in the</w:t>
      </w:r>
      <w:r w:rsidR="002E6A40" w:rsidRPr="00BE78CA">
        <w:rPr>
          <w:rFonts w:cs="Calibri"/>
        </w:rPr>
        <w:t> </w:t>
      </w:r>
      <w:r w:rsidRPr="00BE78CA">
        <w:rPr>
          <w:rFonts w:cs="Calibri"/>
        </w:rPr>
        <w:t>following paragraphs.</w:t>
      </w:r>
    </w:p>
    <w:p w14:paraId="44C85ED7" w14:textId="77777777" w:rsidR="00F02481" w:rsidRPr="00BE78CA" w:rsidRDefault="00F02481" w:rsidP="00C26084">
      <w:pPr>
        <w:pStyle w:val="Heading4"/>
      </w:pPr>
      <w:r w:rsidRPr="00BE78CA">
        <w:t xml:space="preserve">Description of the Tier 2 model for determining emissions from energy requirements for major ruminant livestock categories </w:t>
      </w:r>
    </w:p>
    <w:p w14:paraId="55EB3E3D" w14:textId="6DE97B43" w:rsidR="00F02481" w:rsidRPr="00BE78CA" w:rsidRDefault="00F02481" w:rsidP="002E6A40">
      <w:pPr>
        <w:pStyle w:val="BodyText"/>
        <w:spacing w:before="100" w:after="100"/>
        <w:rPr>
          <w:rFonts w:cs="Calibri"/>
        </w:rPr>
      </w:pPr>
      <w:r w:rsidRPr="00BE78CA">
        <w:rPr>
          <w:rFonts w:cs="Calibri"/>
        </w:rPr>
        <w:t xml:space="preserve">A Tier 2 inventory model has been developed to calculate emissions from the major ruminant livestock categories (Clark et al., 2003). Components of the national </w:t>
      </w:r>
      <w:r w:rsidR="0052078D" w:rsidRPr="00BE78CA">
        <w:rPr>
          <w:rFonts w:cs="Calibri"/>
        </w:rPr>
        <w:t>A</w:t>
      </w:r>
      <w:r w:rsidRPr="00BE78CA">
        <w:rPr>
          <w:rFonts w:cs="Calibri"/>
        </w:rPr>
        <w:t xml:space="preserve">griculture inventory model are constantly being improved through findings from new international and commissioned domestic research. New Zealand’s model for calculating emissions from major livestock categories is a process-based model. The thoroughly researched country-specific emission factors and monthly data for livestock populations, animal productivity and pasture quality mean it is close to a Tier 3 inventory, however, data that inform pasture quality are not as comprehensive as would be required to report at a Tier 3 level. Figure 5.1.5 outlines the current Tier 2 methodology used to estimate emissions for the four major livestock categories. </w:t>
      </w:r>
    </w:p>
    <w:p w14:paraId="3CBF85B9" w14:textId="77777777" w:rsidR="00F02481" w:rsidRPr="00BE78CA" w:rsidRDefault="00F02481" w:rsidP="002E6A40">
      <w:pPr>
        <w:pStyle w:val="BodyText"/>
        <w:spacing w:before="100" w:after="100"/>
        <w:rPr>
          <w:rFonts w:cs="Calibri"/>
        </w:rPr>
      </w:pPr>
      <w:r w:rsidRPr="00BE78CA">
        <w:rPr>
          <w:rFonts w:cs="Calibri"/>
        </w:rPr>
        <w:t>Agricultural production (meat, milk and wool) and livestock population data are combined in the model with data on the total metabolisable energy (ME) content of the animal’s diet. To determine CH</w:t>
      </w:r>
      <w:r w:rsidRPr="00BE78CA">
        <w:rPr>
          <w:rFonts w:cs="Calibri"/>
          <w:vertAlign w:val="subscript"/>
        </w:rPr>
        <w:t>4</w:t>
      </w:r>
      <w:r w:rsidRPr="00BE78CA">
        <w:rPr>
          <w:rFonts w:cs="Calibri"/>
        </w:rPr>
        <w:t xml:space="preserve"> emissions from enteric fermentation, the production data are used to determine the dry-matter intake (DMI) required to meet total annual productivity levels for each of the livestock categories and are then multiplied by a country-specific CH</w:t>
      </w:r>
      <w:r w:rsidRPr="00BE78CA">
        <w:rPr>
          <w:rFonts w:cs="Calibri"/>
          <w:vertAlign w:val="subscript"/>
        </w:rPr>
        <w:t>4</w:t>
      </w:r>
      <w:r w:rsidRPr="00BE78CA">
        <w:rPr>
          <w:rFonts w:cs="Calibri"/>
        </w:rPr>
        <w:t xml:space="preserve"> emissions factor (or a suitable alternative methodology). Manure management emissions are primarily CH</w:t>
      </w:r>
      <w:r w:rsidRPr="00BE78CA">
        <w:rPr>
          <w:rFonts w:cs="Calibri"/>
          <w:vertAlign w:val="subscript"/>
        </w:rPr>
        <w:t>4</w:t>
      </w:r>
      <w:r w:rsidRPr="00BE78CA">
        <w:rPr>
          <w:rFonts w:cs="Calibri"/>
        </w:rPr>
        <w:t xml:space="preserve"> from manure deposited directly onto pasture, but also N</w:t>
      </w:r>
      <w:r w:rsidRPr="00BE78CA">
        <w:rPr>
          <w:rFonts w:cs="Calibri"/>
          <w:vertAlign w:val="subscript"/>
        </w:rPr>
        <w:t>2</w:t>
      </w:r>
      <w:r w:rsidRPr="00BE78CA">
        <w:rPr>
          <w:rFonts w:cs="Calibri"/>
        </w:rPr>
        <w:t>O as that manure breaks down due to the processes of nitrification (dry soils), denitrification (wet soils), volatilisation and leaching. Information on the nitrogen content of feed is combined with the DMI previously calculated to determine animal nitrogen intake and subsequent nitrogen excretion.</w:t>
      </w:r>
    </w:p>
    <w:p w14:paraId="1A79E2B3" w14:textId="46FCF7E3" w:rsidR="00F02481" w:rsidRPr="00BE78CA" w:rsidRDefault="00F02481" w:rsidP="00C26084">
      <w:pPr>
        <w:pStyle w:val="Figure"/>
      </w:pPr>
      <w:bookmarkStart w:id="548" w:name="_Toc481752010"/>
      <w:bookmarkStart w:id="549" w:name="_Toc507158469"/>
      <w:bookmarkStart w:id="550" w:name="_Toc511116960"/>
      <w:bookmarkStart w:id="551" w:name="_Toc5269690"/>
      <w:bookmarkStart w:id="552" w:name="_Toc32570961"/>
      <w:bookmarkStart w:id="553" w:name="_Toc36292791"/>
      <w:bookmarkStart w:id="554" w:name="_Toc68786656"/>
      <w:r w:rsidRPr="00BE78CA">
        <w:lastRenderedPageBreak/>
        <w:t xml:space="preserve">Figure 5.1.5 </w:t>
      </w:r>
      <w:r w:rsidRPr="00BE78CA">
        <w:tab/>
        <w:t>Simplified methodology for calculating emissions for major ruminant livestock</w:t>
      </w:r>
      <w:r w:rsidR="005B6417" w:rsidRPr="00BE78CA">
        <w:t> </w:t>
      </w:r>
      <w:r w:rsidRPr="00BE78CA">
        <w:t>categories</w:t>
      </w:r>
      <w:bookmarkEnd w:id="548"/>
      <w:bookmarkEnd w:id="549"/>
      <w:bookmarkEnd w:id="550"/>
      <w:bookmarkEnd w:id="551"/>
      <w:bookmarkEnd w:id="552"/>
      <w:bookmarkEnd w:id="553"/>
      <w:bookmarkEnd w:id="554"/>
    </w:p>
    <w:p w14:paraId="50FAB45C" w14:textId="77777777" w:rsidR="00F02481" w:rsidRPr="00BE78CA" w:rsidRDefault="00F02481" w:rsidP="00C26084">
      <w:pPr>
        <w:pStyle w:val="BodyText"/>
        <w:jc w:val="center"/>
      </w:pPr>
      <w:r w:rsidRPr="00BE78CA">
        <w:rPr>
          <w:rFonts w:eastAsia="Calibri"/>
        </w:rPr>
        <w:object w:dxaOrig="14670" w:dyaOrig="13470" w14:anchorId="08843DF3">
          <v:shape id="_x0000_i1036" type="#_x0000_t75" style="width:331.45pt;height:366.8pt" o:ole="">
            <v:imagedata r:id="rId111" o:title="" cropbottom="1320f" cropright="12005f"/>
          </v:shape>
          <o:OLEObject Type="Embed" ProgID="Visio.Drawing.15" ShapeID="_x0000_i1036" DrawAspect="Content" ObjectID="_1679402763" r:id="rId112"/>
        </w:object>
      </w:r>
    </w:p>
    <w:p w14:paraId="3CE60444" w14:textId="77777777" w:rsidR="00F02481" w:rsidRPr="00BE78CA" w:rsidRDefault="00F02481" w:rsidP="00C26084">
      <w:pPr>
        <w:pStyle w:val="Noteundertable"/>
        <w:spacing w:before="0"/>
        <w:rPr>
          <w:rFonts w:cs="Calibri"/>
        </w:rPr>
      </w:pPr>
      <w:r w:rsidRPr="00BE78CA">
        <w:rPr>
          <w:rFonts w:cs="Calibri"/>
          <w:b/>
          <w:bCs/>
        </w:rPr>
        <w:t xml:space="preserve">Note: </w:t>
      </w:r>
      <w:r w:rsidRPr="00BE78CA">
        <w:rPr>
          <w:rFonts w:cs="Calibri"/>
        </w:rPr>
        <w:tab/>
        <w:t>CH</w:t>
      </w:r>
      <w:r w:rsidRPr="00BE78CA">
        <w:rPr>
          <w:rFonts w:cs="Calibri"/>
          <w:vertAlign w:val="subscript"/>
        </w:rPr>
        <w:t>4</w:t>
      </w:r>
      <w:r w:rsidRPr="00BE78CA">
        <w:rPr>
          <w:rFonts w:cs="Calibri"/>
        </w:rPr>
        <w:t xml:space="preserve"> = methane; DMI = dry-matter intake; kg = kilogram; MJ = megajoule; N</w:t>
      </w:r>
      <w:r w:rsidRPr="00BE78CA">
        <w:rPr>
          <w:rFonts w:cs="Calibri"/>
          <w:vertAlign w:val="subscript"/>
        </w:rPr>
        <w:t>2</w:t>
      </w:r>
      <w:r w:rsidRPr="00BE78CA">
        <w:rPr>
          <w:rFonts w:cs="Calibri"/>
        </w:rPr>
        <w:t>O = nitrous oxide; NZ = New Zealand.</w:t>
      </w:r>
    </w:p>
    <w:p w14:paraId="5F3E6C2F" w14:textId="77777777" w:rsidR="00F02481" w:rsidRPr="00BE78CA" w:rsidRDefault="00F02481" w:rsidP="00C26084">
      <w:pPr>
        <w:pStyle w:val="BodyText"/>
        <w:rPr>
          <w:rFonts w:cs="Calibri"/>
        </w:rPr>
      </w:pPr>
      <w:r w:rsidRPr="00BE78CA">
        <w:rPr>
          <w:rFonts w:cs="Calibri"/>
        </w:rPr>
        <w:t>The main emissions from ruminant livestock are CH</w:t>
      </w:r>
      <w:r w:rsidRPr="00BE78CA">
        <w:rPr>
          <w:rFonts w:cs="Calibri"/>
          <w:vertAlign w:val="subscript"/>
        </w:rPr>
        <w:t>4</w:t>
      </w:r>
      <w:r w:rsidRPr="00BE78CA">
        <w:rPr>
          <w:rFonts w:cs="Calibri"/>
        </w:rPr>
        <w:t xml:space="preserve"> from enteric fermentation and N</w:t>
      </w:r>
      <w:r w:rsidRPr="00BE78CA">
        <w:rPr>
          <w:rFonts w:cs="Calibri"/>
          <w:vertAlign w:val="subscript"/>
        </w:rPr>
        <w:t>2</w:t>
      </w:r>
      <w:r w:rsidRPr="00BE78CA">
        <w:rPr>
          <w:rFonts w:cs="Calibri"/>
        </w:rPr>
        <w:t xml:space="preserve">O from manure (urine and dung). The quantity of livestock emissions has a linear relationship with the DMI, which is a function of livestock energy requirements and the energy concentration of the feed: </w:t>
      </w:r>
    </w:p>
    <w:p w14:paraId="78C92BDA" w14:textId="77777777" w:rsidR="00F02481" w:rsidRPr="00BE78CA" w:rsidRDefault="00087879" w:rsidP="00C26084">
      <w:pPr>
        <w:spacing w:after="120"/>
        <w:jc w:val="center"/>
        <w:rPr>
          <w:rFonts w:cs="Calibri"/>
        </w:rPr>
      </w:pPr>
      <w:r>
        <w:pict w14:anchorId="54493D9C">
          <v:shape id="_x0000_i1037" type="#_x0000_t75" style="width:78.8pt;height:28.55pt"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16sdtdh=&quot;http://schemas.microsoft.com/office/word/2020/wordml/sdtdatahash&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doNotEmbedSystemFonts/&gt;&lt;w:activeWritingStyle w:lang=&quot;EN-NZ&quot; w:vendorID=&quot;64&quot; w:dllVersion=&quot;6&quot; w:nlCheck=&quot;on&quot; w:optionSet=&quot;1&quot;/&gt;&lt;w:stylePaneFormatFilter w:val=&quot;5804&quot;/&gt;&lt;w:defaultTabStop w:val=&quot;397&quot;/&gt;&lt;w:evenAndOddHeaders/&gt;&lt;w:drawingGridHorizontalSpacing w:val=&quot;187&quot;/&gt;&lt;w:displayVerticalDrawingGridEvery w:val=&quot;2&quot;/&gt;&lt;w:characterSpacingControl w:val=&quot;DontCompress&quot;/&gt;&lt;w:optimizeForBrowser/&gt;&lt;w:validateAgainstSchema/&gt;&lt;w:saveInvalidXML w:val=&quot;off&quot;/&gt;&lt;w:ignoreMixedContent w:val=&quot;off&quot;/&gt;&lt;w:alwaysShowPlaceholderText w:val=&quot;off&quot;/&gt;&lt;w:compat&gt;&lt;w:suppressBottomSpacing/&gt;&lt;w:suppressTopSpacing/&gt;&lt;w:doNotUseHTMLParagraphAutoSpacing/&gt;&lt;w:breakWrappedTables/&gt;&lt;w:snapToGridInCell/&gt;&lt;w:wrapTextWithPunct/&gt;&lt;w:useAsianBreakRules/&gt;&lt;w:useWord2002TableStyleRules/&gt;&lt;/w:compat&gt;&lt;wsp:rsids&gt;&lt;wsp:rsidRoot wsp:val=&quot;001F1707&quot;/&gt;&lt;wsp:rsid wsp:val=&quot;00001716&quot;/&gt;&lt;wsp:rsid wsp:val=&quot;00007ABB&quot;/&gt;&lt;wsp:rsid wsp:val=&quot;00021ACF&quot;/&gt;&lt;wsp:rsid wsp:val=&quot;00027E55&quot;/&gt;&lt;wsp:rsid wsp:val=&quot;00032A28&quot;/&gt;&lt;wsp:rsid wsp:val=&quot;00035185&quot;/&gt;&lt;wsp:rsid wsp:val=&quot;00050008&quot;/&gt;&lt;wsp:rsid wsp:val=&quot;000576EC&quot;/&gt;&lt;wsp:rsid wsp:val=&quot;000959CB&quot;/&gt;&lt;wsp:rsid wsp:val=&quot;000C20A6&quot;/&gt;&lt;wsp:rsid wsp:val=&quot;000F4DEF&quot;/&gt;&lt;wsp:rsid wsp:val=&quot;00116E1B&quot;/&gt;&lt;wsp:rsid wsp:val=&quot;001221C3&quot;/&gt;&lt;wsp:rsid wsp:val=&quot;00153F5A&quot;/&gt;&lt;wsp:rsid wsp:val=&quot;001970E1&quot;/&gt;&lt;wsp:rsid wsp:val=&quot;001A1997&quot;/&gt;&lt;wsp:rsid wsp:val=&quot;001B6FD2&quot;/&gt;&lt;wsp:rsid wsp:val=&quot;001F1707&quot;/&gt;&lt;wsp:rsid wsp:val=&quot;00207ABF&quot;/&gt;&lt;wsp:rsid wsp:val=&quot;00240B42&quot;/&gt;&lt;wsp:rsid wsp:val=&quot;00260B48&quot;/&gt;&lt;wsp:rsid wsp:val=&quot;0028581A&quot;/&gt;&lt;wsp:rsid wsp:val=&quot;002868D3&quot;/&gt;&lt;wsp:rsid wsp:val=&quot;00295B2A&quot;/&gt;&lt;wsp:rsid wsp:val=&quot;002A1361&quot;/&gt;&lt;wsp:rsid wsp:val=&quot;002A49D7&quot;/&gt;&lt;wsp:rsid wsp:val=&quot;002B1C5A&quot;/&gt;&lt;wsp:rsid wsp:val=&quot;002B3284&quot;/&gt;&lt;wsp:rsid wsp:val=&quot;002D60DB&quot;/&gt;&lt;wsp:rsid wsp:val=&quot;002D6A54&quot;/&gt;&lt;wsp:rsid wsp:val=&quot;002F134A&quot;/&gt;&lt;wsp:rsid wsp:val=&quot;00302D84&quot;/&gt;&lt;wsp:rsid wsp:val=&quot;00315760&quot;/&gt;&lt;wsp:rsid wsp:val=&quot;0032349D&quot;/&gt;&lt;wsp:rsid wsp:val=&quot;0037590E&quot;/&gt;&lt;wsp:rsid wsp:val=&quot;00377186&quot;/&gt;&lt;wsp:rsid wsp:val=&quot;00383207&quot;/&gt;&lt;wsp:rsid wsp:val=&quot;003972EF&quot;/&gt;&lt;wsp:rsid wsp:val=&quot;00397D2B&quot;/&gt;&lt;wsp:rsid wsp:val=&quot;003A5006&quot;/&gt;&lt;wsp:rsid wsp:val=&quot;003C2615&quot;/&gt;&lt;wsp:rsid wsp:val=&quot;003D0318&quot;/&gt;&lt;wsp:rsid wsp:val=&quot;003D5417&quot;/&gt;&lt;wsp:rsid wsp:val=&quot;00400F92&quot;/&gt;&lt;wsp:rsid wsp:val=&quot;004044F1&quot;/&gt;&lt;wsp:rsid wsp:val=&quot;0042424B&quot;/&gt;&lt;wsp:rsid wsp:val=&quot;00430D5D&quot;/&gt;&lt;wsp:rsid wsp:val=&quot;0045652C&quot;/&gt;&lt;wsp:rsid wsp:val=&quot;00462497&quot;/&gt;&lt;wsp:rsid wsp:val=&quot;004805A3&quot;/&gt;&lt;wsp:rsid wsp:val=&quot;00490EB0&quot;/&gt;&lt;wsp:rsid wsp:val=&quot;004A618E&quot;/&gt;&lt;wsp:rsid wsp:val=&quot;004E4B2C&quot;/&gt;&lt;wsp:rsid wsp:val=&quot;004F1572&quot;/&gt;&lt;wsp:rsid wsp:val=&quot;00526270&quot;/&gt;&lt;wsp:rsid wsp:val=&quot;00534210&quot;/&gt;&lt;wsp:rsid wsp:val=&quot;00543478&quot;/&gt;&lt;wsp:rsid wsp:val=&quot;00545600&quot;/&gt;&lt;wsp:rsid wsp:val=&quot;00546A6A&quot;/&gt;&lt;wsp:rsid wsp:val=&quot;005630B0&quot;/&gt;&lt;wsp:rsid wsp:val=&quot;005660CD&quot;/&gt;&lt;wsp:rsid wsp:val=&quot;005720F2&quot;/&gt;&lt;wsp:rsid wsp:val=&quot;00596603&quot;/&gt;&lt;wsp:rsid wsp:val=&quot;005B76A4&quot;/&gt;&lt;wsp:rsid wsp:val=&quot;005C3384&quot;/&gt;&lt;wsp:rsid wsp:val=&quot;005C416E&quot;/&gt;&lt;wsp:rsid wsp:val=&quot;005D1C3A&quot;/&gt;&lt;wsp:rsid wsp:val=&quot;005E43DD&quot;/&gt;&lt;wsp:rsid wsp:val=&quot;00600179&quot;/&gt;&lt;wsp:rsid wsp:val=&quot;00603FC0&quot;/&gt;&lt;wsp:rsid wsp:val=&quot;00636BF0&quot;/&gt;&lt;wsp:rsid wsp:val=&quot;00646B6D&quot;/&gt;&lt;wsp:rsid wsp:val=&quot;00655908&quot;/&gt;&lt;wsp:rsid wsp:val=&quot;006654F8&quot;/&gt;&lt;wsp:rsid wsp:val=&quot;00665768&quot;/&gt;&lt;wsp:rsid wsp:val=&quot;00667291&quot;/&gt;&lt;wsp:rsid wsp:val=&quot;00686249&quot;/&gt;&lt;wsp:rsid wsp:val=&quot;00687504&quot;/&gt;&lt;wsp:rsid wsp:val=&quot;006A171F&quot;/&gt;&lt;wsp:rsid wsp:val=&quot;006A4E5F&quot;/&gt;&lt;wsp:rsid wsp:val=&quot;006D3FAE&quot;/&gt;&lt;wsp:rsid wsp:val=&quot;006D4600&quot;/&gt;&lt;wsp:rsid wsp:val=&quot;006E0A2C&quot;/&gt;&lt;wsp:rsid wsp:val=&quot;006E202B&quot;/&gt;&lt;wsp:rsid wsp:val=&quot;006E57B5&quot;/&gt;&lt;wsp:rsid wsp:val=&quot;00702FA0&quot;/&gt;&lt;wsp:rsid wsp:val=&quot;00715D39&quot;/&gt;&lt;wsp:rsid wsp:val=&quot;00724218&quot;/&gt;&lt;wsp:rsid wsp:val=&quot;00737E65&quot;/&gt;&lt;wsp:rsid wsp:val=&quot;0074030A&quot;/&gt;&lt;wsp:rsid wsp:val=&quot;007409A3&quot;/&gt;&lt;wsp:rsid wsp:val=&quot;00762043&quot;/&gt;&lt;wsp:rsid wsp:val=&quot;007633C2&quot;/&gt;&lt;wsp:rsid wsp:val=&quot;00765A47&quot;/&gt;&lt;wsp:rsid wsp:val=&quot;00770E82&quot;/&gt;&lt;wsp:rsid wsp:val=&quot;00772E94&quot;/&gt;&lt;wsp:rsid wsp:val=&quot;007B028B&quot;/&gt;&lt;wsp:rsid wsp:val=&quot;007B1D71&quot;/&gt;&lt;wsp:rsid wsp:val=&quot;007C00D0&quot;/&gt;&lt;wsp:rsid wsp:val=&quot;007C2186&quot;/&gt;&lt;wsp:rsid wsp:val=&quot;007E07B3&quot;/&gt;&lt;wsp:rsid wsp:val=&quot;007F2233&quot;/&gt;&lt;wsp:rsid wsp:val=&quot;0080694B&quot;/&gt;&lt;wsp:rsid wsp:val=&quot;0081779C&quot;/&gt;&lt;wsp:rsid wsp:val=&quot;00831D0D&quot;/&gt;&lt;wsp:rsid wsp:val=&quot;00832DEE&quot;/&gt;&lt;wsp:rsid wsp:val=&quot;00854B9D&quot;/&gt;&lt;wsp:rsid wsp:val=&quot;00855A8A&quot;/&gt;&lt;wsp:rsid wsp:val=&quot;00872795&quot;/&gt;&lt;wsp:rsid wsp:val=&quot;008A2EC5&quot;/&gt;&lt;wsp:rsid wsp:val=&quot;008B77F5&quot;/&gt;&lt;wsp:rsid wsp:val=&quot;008C0279&quot;/&gt;&lt;wsp:rsid wsp:val=&quot;008C7F68&quot;/&gt;&lt;wsp:rsid wsp:val=&quot;008E380C&quot;/&gt;&lt;wsp:rsid wsp:val=&quot;008F25D2&quot;/&gt;&lt;wsp:rsid wsp:val=&quot;008F50EC&quot;/&gt;&lt;wsp:rsid wsp:val=&quot;00914CC6&quot;/&gt;&lt;wsp:rsid wsp:val=&quot;0092751F&quot;/&gt;&lt;wsp:rsid wsp:val=&quot;00932067&quot;/&gt;&lt;wsp:rsid wsp:val=&quot;0093594A&quot;/&gt;&lt;wsp:rsid wsp:val=&quot;00955D73&quot;/&gt;&lt;wsp:rsid wsp:val=&quot;0096512C&quot;/&gt;&lt;wsp:rsid wsp:val=&quot;0096540A&quot;/&gt;&lt;wsp:rsid wsp:val=&quot;009C5D2A&quot;/&gt;&lt;wsp:rsid wsp:val=&quot;00A06700&quot;/&gt;&lt;wsp:rsid wsp:val=&quot;00A331E7&quot;/&gt;&lt;wsp:rsid wsp:val=&quot;00A34169&quot;/&gt;&lt;wsp:rsid wsp:val=&quot;00A41C3C&quot;/&gt;&lt;wsp:rsid wsp:val=&quot;00AB2710&quot;/&gt;&lt;wsp:rsid wsp:val=&quot;00AD184B&quot;/&gt;&lt;wsp:rsid wsp:val=&quot;00B0566D&quot;/&gt;&lt;wsp:rsid wsp:val=&quot;00B35BD9&quot;/&gt;&lt;wsp:rsid wsp:val=&quot;00B37DE8&quot;/&gt;&lt;wsp:rsid wsp:val=&quot;00B44BA5&quot;/&gt;&lt;wsp:rsid wsp:val=&quot;00B928E7&quot;/&gt;&lt;wsp:rsid wsp:val=&quot;00BA5F7E&quot;/&gt;&lt;wsp:rsid wsp:val=&quot;00BC7E76&quot;/&gt;&lt;wsp:rsid wsp:val=&quot;00BF12F6&quot;/&gt;&lt;wsp:rsid wsp:val=&quot;00C00765&quot;/&gt;&lt;wsp:rsid wsp:val=&quot;00C10464&quot;/&gt;&lt;wsp:rsid wsp:val=&quot;00C119C2&quot;/&gt;&lt;wsp:rsid wsp:val=&quot;00C21B54&quot;/&gt;&lt;wsp:rsid wsp:val=&quot;00C40967&quot;/&gt;&lt;wsp:rsid wsp:val=&quot;00C42C64&quot;/&gt;&lt;wsp:rsid wsp:val=&quot;00C600E2&quot;/&gt;&lt;wsp:rsid wsp:val=&quot;00C63D43&quot;/&gt;&lt;wsp:rsid wsp:val=&quot;00C74134&quot;/&gt;&lt;wsp:rsid wsp:val=&quot;00C823B1&quot;/&gt;&lt;wsp:rsid wsp:val=&quot;00CA271E&quot;/&gt;&lt;wsp:rsid wsp:val=&quot;00CB1488&quot;/&gt;&lt;wsp:rsid wsp:val=&quot;00CB7414&quot;/&gt;&lt;wsp:rsid wsp:val=&quot;00CE19C1&quot;/&gt;&lt;wsp:rsid wsp:val=&quot;00D01CFE&quot;/&gt;&lt;wsp:rsid wsp:val=&quot;00D07C4B&quot;/&gt;&lt;wsp:rsid wsp:val=&quot;00D225D8&quot;/&gt;&lt;wsp:rsid wsp:val=&quot;00D33A2E&quot;/&gt;&lt;wsp:rsid wsp:val=&quot;00D41862&quot;/&gt;&lt;wsp:rsid wsp:val=&quot;00D511A1&quot;/&gt;&lt;wsp:rsid wsp:val=&quot;00D872BF&quot;/&gt;&lt;wsp:rsid wsp:val=&quot;00DE01F6&quot;/&gt;&lt;wsp:rsid wsp:val=&quot;00DE2998&quot;/&gt;&lt;wsp:rsid wsp:val=&quot;00DE4223&quot;/&gt;&lt;wsp:rsid wsp:val=&quot;00DE6B60&quot;/&gt;&lt;wsp:rsid wsp:val=&quot;00E06D10&quot;/&gt;&lt;wsp:rsid wsp:val=&quot;00E20458&quot;/&gt;&lt;wsp:rsid wsp:val=&quot;00E56487&quot;/&gt;&lt;wsp:rsid wsp:val=&quot;00E853F3&quot;/&gt;&lt;wsp:rsid wsp:val=&quot;00EC2491&quot;/&gt;&lt;wsp:rsid wsp:val=&quot;00ED2C42&quot;/&gt;&lt;wsp:rsid wsp:val=&quot;00EF3B2B&quot;/&gt;&lt;wsp:rsid wsp:val=&quot;00F00EE9&quot;/&gt;&lt;wsp:rsid wsp:val=&quot;00F379DD&quot;/&gt;&lt;wsp:rsid wsp:val=&quot;00F47244&quot;/&gt;&lt;wsp:rsid wsp:val=&quot;00F511A7&quot;/&gt;&lt;wsp:rsid wsp:val=&quot;00F660F9&quot;/&gt;&lt;wsp:rsid wsp:val=&quot;00FA5F45&quot;/&gt;&lt;wsp:rsid wsp:val=&quot;00FA7522&quot;/&gt;&lt;wsp:rsid wsp:val=&quot;00FC2C59&quot;/&gt;&lt;wsp:rsid wsp:val=&quot;00FD178C&quot;/&gt;&lt;/wsp:rsids&gt;&lt;/w:docPr&gt;&lt;w:body&gt;&lt;wx:sect&gt;&lt;w:p wsp:rsidR=&quot;00000000&quot; wsp:rsidRPr=&quot;007E07B3&quot; wsp:rsidRDefault=&quot;007E07B3&quot; wsp:rsidP=&quot;007E07B3&quot;&gt;&lt;m:oMathPara&gt;&lt;m:oMath&gt;&lt;m:r&gt;&lt;w:rPr&gt;&lt;w:rFonts w:ascii=&quot;Cambria Math&quot; w:h-ansi=&quot;Cambria Math&quot; w:cs=&quot;Calibri&quot;/&gt;&lt;wx:font wx:val=&quot;Cambria Math&quot;/&gt;&lt;w:i/&gt;&lt;/w:rPr&gt;&lt;m:t&gt;DMI=&lt;/m:t&gt;&lt;/m:r&gt;&lt;m:f&gt;&lt;m:fPr&gt;&lt;m:ctrlPr&gt;&lt;w:rPr&gt;&lt;w:rFonts w:ascii=&quot;Cambria Math&quot; w:h-ansi=&quot;Cambria Math&quot; w:cs=&quot;Calibri&quot;/&gt;&lt;wx:font wx:val=&quot;Cambria Math&quot;/&gt;&lt;w:i/&gt;&lt;/w:rPr&gt;&lt;/m:ctrlPr&gt;&lt;/m:fPr&gt;&lt;m:num&gt;&lt;m:r&gt;&lt;w:rPr&gt;&lt;w:rFonts w:ascii=&quot;Cambria Math&quot; w:h-ansi=&quot;Cambria Math&quot; w:cs=&quot;Calibri&quot;/&gt;&lt;wx:font wx:val=&quot;Cambria Math&quot;/&gt;&lt;w:i/&gt;&lt;/w:rPr&gt;&lt;m:t&gt;M&lt;/m:t&gt;&lt;/m:r&gt;&lt;m:sSub&gt;&lt;m:sSubPr&gt;&lt;m:ctrlPr&gt;&lt;w:rPr&gt;&lt;w:rFonts w:ascii=&quot;Cambria Math&quot; w:h-ansi=&quot;Cambria Math&quot; w:cs=&quot;Calibri&quot;/&gt;&lt;wx:font wx:val=&quot;Cambria Math&quot;/&gt;&lt;w:i/&gt;&lt;/w:rPr&gt;&lt;/m:ctrlPr&gt;&lt;/m:sSubPr&gt;&lt;m:e&gt;&lt;m:r&gt;&lt;w:rPr&gt;&lt;w:rFonts w:ascii=&quot;Cambria Math&quot; w:h-ansi=&quot;Cambria Math&quot; w:cs=&quot;Calibri&quot;/&gt;&lt;wx:font wx:val=&quot;Cambria Math&quot;/&gt;&lt;w:i/&gt;&lt;/w:rPr&gt;&lt;m:t&gt;E&lt;/m:t&gt;&lt;/m:r&gt;&lt;/m:e&gt;&lt;m:sub&gt;&lt;m:r&gt;&lt;w:rPr&gt;&lt;w:rFonts w:ascii=&quot;Cambria Math&quot; w:h-ansi=&quot;Cambria Math&quot; w:cs=&quot;Calibri&quot;/&gt;&lt;wx:font wx:val=&quot;Cambria Math&quot;/&gt;&lt;w:i/&gt;&lt;/w:rPr&gt;&lt;m:t&gt;TOTAL&lt;/m:t&gt;&lt;/m:r&gt;&lt;/m:sub&gt;&lt;/m:sSub&gt;&lt;/m:num&gt;&lt;m:den&gt;&lt;m:r&gt;&lt;w:rPr&gt;&lt;w:rFonts w:ascii=&quot;Cambria Math&quot; w:h-ansi=&quot;Cambria Math&quot; w:cs=&quot;Calibri&quot;/&gt;&lt;wx:font wx:val=&quot;Cambria Math&quot;/&gt;&lt;w:i/&gt;&lt;/w:rPr&gt;&lt;m:t&gt;E&lt;/m:t&gt;&lt;/m:r&gt;&lt;/m:den&gt;&lt;/m:f&gt;&lt;/m:oMath&gt;&lt;/m:oMathPara&gt;&lt;/w:p&gt;&lt;w:sectPr wsp:rsidR=&quot;00000000&quot; wsp:rsidRPr=&quot;007E07B3&quot;&gt;&lt;w:pgSz w:w=&quot;12240&quot; w:h=&quot;15840&quot;/&gt;&lt;w:pgMar w:top=&quot;1440&quot; w:right=&quot;1440&quot; w:bottom=&quot;1440&quot; w:left=&quot;1440&quot; w:header=&quot;720&quot; w:footer=&quot;720&quot; w:gutter=&quot;0&quot;/&gt;&lt;w:cols w:space=&quot;720&quot;/&gt;&lt;/w:sectPr&gt;&lt;/wx:sect&gt;&lt;/w:body&gt;&lt;/w:wordDocument&gt;">
            <v:imagedata r:id="rId113" o:title="" chromakey="white"/>
          </v:shape>
        </w:pict>
      </w:r>
    </w:p>
    <w:p w14:paraId="58A42FCC" w14:textId="77777777" w:rsidR="00F02481" w:rsidRPr="00BE78CA" w:rsidRDefault="00F02481" w:rsidP="00C26084">
      <w:pPr>
        <w:spacing w:before="120" w:after="60"/>
        <w:ind w:left="993" w:hanging="993"/>
        <w:rPr>
          <w:rFonts w:cs="Calibri"/>
        </w:rPr>
      </w:pPr>
      <w:r w:rsidRPr="00BE78CA">
        <w:rPr>
          <w:rFonts w:cs="Calibri"/>
        </w:rPr>
        <w:t>Where:</w:t>
      </w:r>
      <w:r w:rsidRPr="00BE78CA">
        <w:rPr>
          <w:rFonts w:cs="Calibri"/>
        </w:rPr>
        <w:tab/>
        <w:t>DMI is the dry-matter intake (kg year</w:t>
      </w:r>
      <w:r w:rsidRPr="00BE78CA">
        <w:rPr>
          <w:rFonts w:cs="Calibri"/>
          <w:vertAlign w:val="superscript"/>
        </w:rPr>
        <w:t>-1</w:t>
      </w:r>
      <w:r w:rsidRPr="00BE78CA">
        <w:rPr>
          <w:rFonts w:cs="Calibri"/>
        </w:rPr>
        <w:t>)</w:t>
      </w:r>
    </w:p>
    <w:p w14:paraId="2DCA8AA3" w14:textId="77777777" w:rsidR="00F02481" w:rsidRPr="00BE78CA" w:rsidRDefault="00F02481" w:rsidP="00C26084">
      <w:pPr>
        <w:spacing w:before="60" w:after="60"/>
        <w:ind w:left="993" w:hanging="993"/>
        <w:rPr>
          <w:rFonts w:cs="Calibri"/>
        </w:rPr>
      </w:pPr>
      <w:r w:rsidRPr="00BE78CA">
        <w:rPr>
          <w:rFonts w:cs="Calibri"/>
        </w:rPr>
        <w:tab/>
        <w:t>ME</w:t>
      </w:r>
      <w:r w:rsidRPr="00BE78CA">
        <w:rPr>
          <w:rFonts w:cs="Calibri"/>
          <w:vertAlign w:val="subscript"/>
        </w:rPr>
        <w:t>TOTAL</w:t>
      </w:r>
      <w:r w:rsidRPr="00BE78CA">
        <w:rPr>
          <w:rFonts w:cs="Calibri"/>
        </w:rPr>
        <w:t xml:space="preserve"> is the total metabolisable energy requirement of the animal (kJ), and</w:t>
      </w:r>
    </w:p>
    <w:p w14:paraId="4E356DC6" w14:textId="77777777" w:rsidR="00F02481" w:rsidRPr="00BE78CA" w:rsidRDefault="00F02481" w:rsidP="00C26084">
      <w:pPr>
        <w:spacing w:before="60" w:after="120"/>
        <w:ind w:left="993" w:hanging="993"/>
        <w:rPr>
          <w:rFonts w:cs="Calibri"/>
        </w:rPr>
      </w:pPr>
      <w:r w:rsidRPr="00BE78CA">
        <w:rPr>
          <w:rFonts w:cs="Calibri"/>
        </w:rPr>
        <w:tab/>
        <w:t>E is the energy concentration in the feed (kJ/kg DMI).</w:t>
      </w:r>
    </w:p>
    <w:p w14:paraId="72C1279C" w14:textId="77777777" w:rsidR="00F02481" w:rsidRPr="00BE78CA" w:rsidRDefault="00F02481" w:rsidP="00C26084">
      <w:pPr>
        <w:pStyle w:val="Heading5"/>
        <w:spacing w:before="200"/>
        <w:rPr>
          <w:rFonts w:cs="Calibri"/>
        </w:rPr>
      </w:pPr>
      <w:r w:rsidRPr="00BE78CA">
        <w:rPr>
          <w:rFonts w:cs="Calibri"/>
        </w:rPr>
        <w:t>Calculating metabolisable energy requirements (ME</w:t>
      </w:r>
      <w:r w:rsidRPr="00BE78CA">
        <w:rPr>
          <w:rFonts w:cs="Calibri"/>
          <w:vertAlign w:val="subscript"/>
        </w:rPr>
        <w:t>TOTAL</w:t>
      </w:r>
      <w:r w:rsidRPr="00BE78CA">
        <w:rPr>
          <w:rFonts w:cs="Calibri"/>
        </w:rPr>
        <w:t xml:space="preserve">) </w:t>
      </w:r>
    </w:p>
    <w:p w14:paraId="77196DFA" w14:textId="4E5DC78E" w:rsidR="00F02481" w:rsidRPr="00BE78CA" w:rsidRDefault="00F02481" w:rsidP="00126288">
      <w:pPr>
        <w:pStyle w:val="BodyText"/>
        <w:spacing w:after="100"/>
      </w:pPr>
      <w:r w:rsidRPr="00BE78CA">
        <w:t xml:space="preserve">For dairy cattle, beef cattle and sheep, the approach for calculating the total ME requirement was developed in Australia by the Commonwealth Scientific and Industrial Research Organisation (CSIRO, 1990). The CSIRO algorithms have been chosen because they specifically include methods to estimate the energy requirements of grazing ruminants, which is the predominant feeding method used in New Zealand. Further, </w:t>
      </w:r>
      <w:r w:rsidRPr="00BE78CA">
        <w:rPr>
          <w:spacing w:val="-2"/>
        </w:rPr>
        <w:t xml:space="preserve">the CSIRO algorithms take into account animal liveweight and production requirements based on the rate of liveweight gain, </w:t>
      </w:r>
      <w:r w:rsidRPr="00BE78CA">
        <w:rPr>
          <w:spacing w:val="-2"/>
        </w:rPr>
        <w:lastRenderedPageBreak/>
        <w:t xml:space="preserve">gender, milk yield and physiological state. </w:t>
      </w:r>
      <w:r w:rsidRPr="00BE78CA">
        <w:t xml:space="preserve">All calculations are performed on a monthly basis. The equation below is derived from the general equation used in the Australian feeding standards and adjusted to suit New Zealand conditions. </w:t>
      </w:r>
    </w:p>
    <w:p w14:paraId="259CF5A6" w14:textId="77777777" w:rsidR="00F02481" w:rsidRPr="00BE78CA" w:rsidRDefault="00F02481" w:rsidP="00126288">
      <w:pPr>
        <w:pStyle w:val="BodyText"/>
        <w:spacing w:after="100"/>
      </w:pPr>
      <w:r w:rsidRPr="00BE78CA">
        <w:t>The total energy required (ME</w:t>
      </w:r>
      <w:r w:rsidRPr="00BE78CA">
        <w:rPr>
          <w:vertAlign w:val="subscript"/>
        </w:rPr>
        <w:t>TOTAL</w:t>
      </w:r>
      <w:r w:rsidRPr="00BE78CA">
        <w:t>) is made up of:</w:t>
      </w:r>
    </w:p>
    <w:p w14:paraId="1188B574" w14:textId="77777777" w:rsidR="00F02481" w:rsidRPr="00BE78CA" w:rsidRDefault="00F02481" w:rsidP="00FA2314">
      <w:pPr>
        <w:pStyle w:val="Bullet"/>
        <w:numPr>
          <w:ilvl w:val="0"/>
          <w:numId w:val="25"/>
        </w:numPr>
        <w:spacing w:after="100"/>
      </w:pPr>
      <w:r w:rsidRPr="00BE78CA">
        <w:t>energy required to maintain animal weight, which is a function of the animal’s liveweight, gender, breed and stage of maturity (ME</w:t>
      </w:r>
      <w:r w:rsidRPr="00BE78CA">
        <w:rPr>
          <w:vertAlign w:val="subscript"/>
        </w:rPr>
        <w:t>BASAL</w:t>
      </w:r>
      <w:r w:rsidRPr="00BE78CA">
        <w:t>)</w:t>
      </w:r>
    </w:p>
    <w:p w14:paraId="44A5D5F1" w14:textId="3CB4806D" w:rsidR="00F02481" w:rsidRPr="00BE78CA" w:rsidRDefault="00F02481" w:rsidP="00FA2314">
      <w:pPr>
        <w:pStyle w:val="Bullet"/>
        <w:numPr>
          <w:ilvl w:val="0"/>
          <w:numId w:val="25"/>
        </w:numPr>
        <w:spacing w:after="100"/>
      </w:pPr>
      <w:r w:rsidRPr="00BE78CA">
        <w:t>energy required for the given level of productivity (milk yield and milk fat percentage, and</w:t>
      </w:r>
      <w:r w:rsidR="00875726" w:rsidRPr="00BE78CA">
        <w:t> </w:t>
      </w:r>
      <w:r w:rsidRPr="00BE78CA">
        <w:t>liveweight gain for dairy and beef production respectively) and physiological state (e.g., growing, gestating (ME</w:t>
      </w:r>
      <w:r w:rsidRPr="00BE78CA">
        <w:rPr>
          <w:vertAlign w:val="subscript"/>
        </w:rPr>
        <w:t>C</w:t>
      </w:r>
      <w:r w:rsidRPr="00BE78CA">
        <w:t xml:space="preserve">) or lactating) </w:t>
      </w:r>
    </w:p>
    <w:p w14:paraId="290D5E3C" w14:textId="77777777" w:rsidR="00F02481" w:rsidRPr="00BE78CA" w:rsidRDefault="00F02481" w:rsidP="00FA2314">
      <w:pPr>
        <w:pStyle w:val="Bullet"/>
        <w:numPr>
          <w:ilvl w:val="0"/>
          <w:numId w:val="25"/>
        </w:numPr>
      </w:pPr>
      <w:r w:rsidRPr="00BE78CA">
        <w:t>the additional amount of energy expended during grazing, compared with similar housed animals (ME</w:t>
      </w:r>
      <w:r w:rsidRPr="00BE78CA">
        <w:rPr>
          <w:vertAlign w:val="subscript"/>
        </w:rPr>
        <w:t>GRAZE</w:t>
      </w:r>
      <w:r w:rsidRPr="00BE78CA">
        <w:t>).</w:t>
      </w:r>
    </w:p>
    <w:p w14:paraId="00E4FBEB" w14:textId="77777777" w:rsidR="00F02481" w:rsidRPr="00BE78CA" w:rsidRDefault="00087879" w:rsidP="00C26084">
      <w:pPr>
        <w:spacing w:before="60" w:after="120"/>
        <w:jc w:val="center"/>
        <w:rPr>
          <w:rFonts w:cs="Calibri"/>
        </w:rPr>
      </w:pPr>
      <w:r>
        <w:pict w14:anchorId="18CD7B91">
          <v:shape id="_x0000_i1038" type="#_x0000_t75" style="width:237.05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16sdtdh=&quot;http://schemas.microsoft.com/office/word/2020/wordml/sdtdatahash&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doNotEmbedSystemFonts/&gt;&lt;w:activeWritingStyle w:lang=&quot;EN-NZ&quot; w:vendorID=&quot;64&quot; w:dllVersion=&quot;6&quot; w:nlCheck=&quot;on&quot; w:optionSet=&quot;1&quot;/&gt;&lt;w:stylePaneFormatFilter w:val=&quot;5804&quot;/&gt;&lt;w:defaultTabStop w:val=&quot;397&quot;/&gt;&lt;w:evenAndOddHeaders/&gt;&lt;w:drawingGridHorizontalSpacing w:val=&quot;187&quot;/&gt;&lt;w:displayVerticalDrawingGridEvery w:val=&quot;2&quot;/&gt;&lt;w:characterSpacingControl w:val=&quot;DontCompress&quot;/&gt;&lt;w:optimizeForBrowser/&gt;&lt;w:validateAgainstSchema/&gt;&lt;w:saveInvalidXML w:val=&quot;off&quot;/&gt;&lt;w:ignoreMixedContent w:val=&quot;off&quot;/&gt;&lt;w:alwaysShowPlaceholderText w:val=&quot;off&quot;/&gt;&lt;w:compat&gt;&lt;w:suppressBottomSpacing/&gt;&lt;w:suppressTopSpacing/&gt;&lt;w:doNotUseHTMLParagraphAutoSpacing/&gt;&lt;w:breakWrappedTables/&gt;&lt;w:snapToGridInCell/&gt;&lt;w:wrapTextWithPunct/&gt;&lt;w:useAsianBreakRules/&gt;&lt;w:useWord2002TableStyleRules/&gt;&lt;/w:compat&gt;&lt;wsp:rsids&gt;&lt;wsp:rsidRoot wsp:val=&quot;001F1707&quot;/&gt;&lt;wsp:rsid wsp:val=&quot;00001716&quot;/&gt;&lt;wsp:rsid wsp:val=&quot;00007ABB&quot;/&gt;&lt;wsp:rsid wsp:val=&quot;00021ACF&quot;/&gt;&lt;wsp:rsid wsp:val=&quot;00027E55&quot;/&gt;&lt;wsp:rsid wsp:val=&quot;00032A28&quot;/&gt;&lt;wsp:rsid wsp:val=&quot;00035185&quot;/&gt;&lt;wsp:rsid wsp:val=&quot;00050008&quot;/&gt;&lt;wsp:rsid wsp:val=&quot;000576EC&quot;/&gt;&lt;wsp:rsid wsp:val=&quot;000959CB&quot;/&gt;&lt;wsp:rsid wsp:val=&quot;000C20A6&quot;/&gt;&lt;wsp:rsid wsp:val=&quot;000F4DEF&quot;/&gt;&lt;wsp:rsid wsp:val=&quot;00116E1B&quot;/&gt;&lt;wsp:rsid wsp:val=&quot;001221C3&quot;/&gt;&lt;wsp:rsid wsp:val=&quot;00153F5A&quot;/&gt;&lt;wsp:rsid wsp:val=&quot;001970E1&quot;/&gt;&lt;wsp:rsid wsp:val=&quot;001A1997&quot;/&gt;&lt;wsp:rsid wsp:val=&quot;001B6FD2&quot;/&gt;&lt;wsp:rsid wsp:val=&quot;001F1707&quot;/&gt;&lt;wsp:rsid wsp:val=&quot;00207ABF&quot;/&gt;&lt;wsp:rsid wsp:val=&quot;00240B42&quot;/&gt;&lt;wsp:rsid wsp:val=&quot;00260B48&quot;/&gt;&lt;wsp:rsid wsp:val=&quot;0028581A&quot;/&gt;&lt;wsp:rsid wsp:val=&quot;002868D3&quot;/&gt;&lt;wsp:rsid wsp:val=&quot;00295B2A&quot;/&gt;&lt;wsp:rsid wsp:val=&quot;002A1361&quot;/&gt;&lt;wsp:rsid wsp:val=&quot;002A49D7&quot;/&gt;&lt;wsp:rsid wsp:val=&quot;002B1C5A&quot;/&gt;&lt;wsp:rsid wsp:val=&quot;002B3284&quot;/&gt;&lt;wsp:rsid wsp:val=&quot;002D60DB&quot;/&gt;&lt;wsp:rsid wsp:val=&quot;002D6A54&quot;/&gt;&lt;wsp:rsid wsp:val=&quot;002F134A&quot;/&gt;&lt;wsp:rsid wsp:val=&quot;00302D84&quot;/&gt;&lt;wsp:rsid wsp:val=&quot;00315760&quot;/&gt;&lt;wsp:rsid wsp:val=&quot;0032349D&quot;/&gt;&lt;wsp:rsid wsp:val=&quot;0037590E&quot;/&gt;&lt;wsp:rsid wsp:val=&quot;00377186&quot;/&gt;&lt;wsp:rsid wsp:val=&quot;00383207&quot;/&gt;&lt;wsp:rsid wsp:val=&quot;003972EF&quot;/&gt;&lt;wsp:rsid wsp:val=&quot;00397D2B&quot;/&gt;&lt;wsp:rsid wsp:val=&quot;003A5006&quot;/&gt;&lt;wsp:rsid wsp:val=&quot;003C2615&quot;/&gt;&lt;wsp:rsid wsp:val=&quot;003D0318&quot;/&gt;&lt;wsp:rsid wsp:val=&quot;003D5417&quot;/&gt;&lt;wsp:rsid wsp:val=&quot;00400F92&quot;/&gt;&lt;wsp:rsid wsp:val=&quot;004044F1&quot;/&gt;&lt;wsp:rsid wsp:val=&quot;0042424B&quot;/&gt;&lt;wsp:rsid wsp:val=&quot;00430D5D&quot;/&gt;&lt;wsp:rsid wsp:val=&quot;0045652C&quot;/&gt;&lt;wsp:rsid wsp:val=&quot;00462497&quot;/&gt;&lt;wsp:rsid wsp:val=&quot;004805A3&quot;/&gt;&lt;wsp:rsid wsp:val=&quot;00490EB0&quot;/&gt;&lt;wsp:rsid wsp:val=&quot;004A618E&quot;/&gt;&lt;wsp:rsid wsp:val=&quot;004E4B2C&quot;/&gt;&lt;wsp:rsid wsp:val=&quot;004F1572&quot;/&gt;&lt;wsp:rsid wsp:val=&quot;00526270&quot;/&gt;&lt;wsp:rsid wsp:val=&quot;00534210&quot;/&gt;&lt;wsp:rsid wsp:val=&quot;00543478&quot;/&gt;&lt;wsp:rsid wsp:val=&quot;00545600&quot;/&gt;&lt;wsp:rsid wsp:val=&quot;00546A6A&quot;/&gt;&lt;wsp:rsid wsp:val=&quot;005630B0&quot;/&gt;&lt;wsp:rsid wsp:val=&quot;005660CD&quot;/&gt;&lt;wsp:rsid wsp:val=&quot;005720F2&quot;/&gt;&lt;wsp:rsid wsp:val=&quot;00596603&quot;/&gt;&lt;wsp:rsid wsp:val=&quot;005B76A4&quot;/&gt;&lt;wsp:rsid wsp:val=&quot;005C3384&quot;/&gt;&lt;wsp:rsid wsp:val=&quot;005C416E&quot;/&gt;&lt;wsp:rsid wsp:val=&quot;005D1C3A&quot;/&gt;&lt;wsp:rsid wsp:val=&quot;005E43DD&quot;/&gt;&lt;wsp:rsid wsp:val=&quot;00600179&quot;/&gt;&lt;wsp:rsid wsp:val=&quot;00603FC0&quot;/&gt;&lt;wsp:rsid wsp:val=&quot;00636BF0&quot;/&gt;&lt;wsp:rsid wsp:val=&quot;00646B6D&quot;/&gt;&lt;wsp:rsid wsp:val=&quot;00655908&quot;/&gt;&lt;wsp:rsid wsp:val=&quot;006654F8&quot;/&gt;&lt;wsp:rsid wsp:val=&quot;00665768&quot;/&gt;&lt;wsp:rsid wsp:val=&quot;00667291&quot;/&gt;&lt;wsp:rsid wsp:val=&quot;00686249&quot;/&gt;&lt;wsp:rsid wsp:val=&quot;00687504&quot;/&gt;&lt;wsp:rsid wsp:val=&quot;00690DF4&quot;/&gt;&lt;wsp:rsid wsp:val=&quot;006A171F&quot;/&gt;&lt;wsp:rsid wsp:val=&quot;006A4E5F&quot;/&gt;&lt;wsp:rsid wsp:val=&quot;006D3FAE&quot;/&gt;&lt;wsp:rsid wsp:val=&quot;006D4600&quot;/&gt;&lt;wsp:rsid wsp:val=&quot;006E0A2C&quot;/&gt;&lt;wsp:rsid wsp:val=&quot;006E202B&quot;/&gt;&lt;wsp:rsid wsp:val=&quot;006E57B5&quot;/&gt;&lt;wsp:rsid wsp:val=&quot;00702FA0&quot;/&gt;&lt;wsp:rsid wsp:val=&quot;00715D39&quot;/&gt;&lt;wsp:rsid wsp:val=&quot;00724218&quot;/&gt;&lt;wsp:rsid wsp:val=&quot;00737E65&quot;/&gt;&lt;wsp:rsid wsp:val=&quot;0074030A&quot;/&gt;&lt;wsp:rsid wsp:val=&quot;007409A3&quot;/&gt;&lt;wsp:rsid wsp:val=&quot;00762043&quot;/&gt;&lt;wsp:rsid wsp:val=&quot;007633C2&quot;/&gt;&lt;wsp:rsid wsp:val=&quot;00765A47&quot;/&gt;&lt;wsp:rsid wsp:val=&quot;00770E82&quot;/&gt;&lt;wsp:rsid wsp:val=&quot;00772E94&quot;/&gt;&lt;wsp:rsid wsp:val=&quot;007B028B&quot;/&gt;&lt;wsp:rsid wsp:val=&quot;007B1D71&quot;/&gt;&lt;wsp:rsid wsp:val=&quot;007C00D0&quot;/&gt;&lt;wsp:rsid wsp:val=&quot;007C2186&quot;/&gt;&lt;wsp:rsid wsp:val=&quot;007F2233&quot;/&gt;&lt;wsp:rsid wsp:val=&quot;0080694B&quot;/&gt;&lt;wsp:rsid wsp:val=&quot;0081779C&quot;/&gt;&lt;wsp:rsid wsp:val=&quot;00831D0D&quot;/&gt;&lt;wsp:rsid wsp:val=&quot;00832DEE&quot;/&gt;&lt;wsp:rsid wsp:val=&quot;00854B9D&quot;/&gt;&lt;wsp:rsid wsp:val=&quot;00855A8A&quot;/&gt;&lt;wsp:rsid wsp:val=&quot;00872795&quot;/&gt;&lt;wsp:rsid wsp:val=&quot;008A2EC5&quot;/&gt;&lt;wsp:rsid wsp:val=&quot;008B77F5&quot;/&gt;&lt;wsp:rsid wsp:val=&quot;008C0279&quot;/&gt;&lt;wsp:rsid wsp:val=&quot;008C7F68&quot;/&gt;&lt;wsp:rsid wsp:val=&quot;008E380C&quot;/&gt;&lt;wsp:rsid wsp:val=&quot;008F25D2&quot;/&gt;&lt;wsp:rsid wsp:val=&quot;008F50EC&quot;/&gt;&lt;wsp:rsid wsp:val=&quot;00914CC6&quot;/&gt;&lt;wsp:rsid wsp:val=&quot;0092751F&quot;/&gt;&lt;wsp:rsid wsp:val=&quot;00932067&quot;/&gt;&lt;wsp:rsid wsp:val=&quot;0093594A&quot;/&gt;&lt;wsp:rsid wsp:val=&quot;00955D73&quot;/&gt;&lt;wsp:rsid wsp:val=&quot;0096512C&quot;/&gt;&lt;wsp:rsid wsp:val=&quot;0096540A&quot;/&gt;&lt;wsp:rsid wsp:val=&quot;009C5D2A&quot;/&gt;&lt;wsp:rsid wsp:val=&quot;00A06700&quot;/&gt;&lt;wsp:rsid wsp:val=&quot;00A331E7&quot;/&gt;&lt;wsp:rsid wsp:val=&quot;00A34169&quot;/&gt;&lt;wsp:rsid wsp:val=&quot;00A41C3C&quot;/&gt;&lt;wsp:rsid wsp:val=&quot;00AB2710&quot;/&gt;&lt;wsp:rsid wsp:val=&quot;00AD184B&quot;/&gt;&lt;wsp:rsid wsp:val=&quot;00B0566D&quot;/&gt;&lt;wsp:rsid wsp:val=&quot;00B35BD9&quot;/&gt;&lt;wsp:rsid wsp:val=&quot;00B37DE8&quot;/&gt;&lt;wsp:rsid wsp:val=&quot;00B44BA5&quot;/&gt;&lt;wsp:rsid wsp:val=&quot;00B928E7&quot;/&gt;&lt;wsp:rsid wsp:val=&quot;00BA5F7E&quot;/&gt;&lt;wsp:rsid wsp:val=&quot;00BC7E76&quot;/&gt;&lt;wsp:rsid wsp:val=&quot;00BF12F6&quot;/&gt;&lt;wsp:rsid wsp:val=&quot;00C00765&quot;/&gt;&lt;wsp:rsid wsp:val=&quot;00C10464&quot;/&gt;&lt;wsp:rsid wsp:val=&quot;00C119C2&quot;/&gt;&lt;wsp:rsid wsp:val=&quot;00C21B54&quot;/&gt;&lt;wsp:rsid wsp:val=&quot;00C40967&quot;/&gt;&lt;wsp:rsid wsp:val=&quot;00C42C64&quot;/&gt;&lt;wsp:rsid wsp:val=&quot;00C600E2&quot;/&gt;&lt;wsp:rsid wsp:val=&quot;00C63D43&quot;/&gt;&lt;wsp:rsid wsp:val=&quot;00C74134&quot;/&gt;&lt;wsp:rsid wsp:val=&quot;00C823B1&quot;/&gt;&lt;wsp:rsid wsp:val=&quot;00CA271E&quot;/&gt;&lt;wsp:rsid wsp:val=&quot;00CB1488&quot;/&gt;&lt;wsp:rsid wsp:val=&quot;00CB7414&quot;/&gt;&lt;wsp:rsid wsp:val=&quot;00CE19C1&quot;/&gt;&lt;wsp:rsid wsp:val=&quot;00D01CFE&quot;/&gt;&lt;wsp:rsid wsp:val=&quot;00D07C4B&quot;/&gt;&lt;wsp:rsid wsp:val=&quot;00D225D8&quot;/&gt;&lt;wsp:rsid wsp:val=&quot;00D33A2E&quot;/&gt;&lt;wsp:rsid wsp:val=&quot;00D41862&quot;/&gt;&lt;wsp:rsid wsp:val=&quot;00D511A1&quot;/&gt;&lt;wsp:rsid wsp:val=&quot;00D872BF&quot;/&gt;&lt;wsp:rsid wsp:val=&quot;00DE01F6&quot;/&gt;&lt;wsp:rsid wsp:val=&quot;00DE2998&quot;/&gt;&lt;wsp:rsid wsp:val=&quot;00DE4223&quot;/&gt;&lt;wsp:rsid wsp:val=&quot;00DE6B60&quot;/&gt;&lt;wsp:rsid wsp:val=&quot;00E06D10&quot;/&gt;&lt;wsp:rsid wsp:val=&quot;00E20458&quot;/&gt;&lt;wsp:rsid wsp:val=&quot;00E56487&quot;/&gt;&lt;wsp:rsid wsp:val=&quot;00E853F3&quot;/&gt;&lt;wsp:rsid wsp:val=&quot;00EC2491&quot;/&gt;&lt;wsp:rsid wsp:val=&quot;00ED2C42&quot;/&gt;&lt;wsp:rsid wsp:val=&quot;00EF3B2B&quot;/&gt;&lt;wsp:rsid wsp:val=&quot;00F00EE9&quot;/&gt;&lt;wsp:rsid wsp:val=&quot;00F379DD&quot;/&gt;&lt;wsp:rsid wsp:val=&quot;00F47244&quot;/&gt;&lt;wsp:rsid wsp:val=&quot;00F511A7&quot;/&gt;&lt;wsp:rsid wsp:val=&quot;00F660F9&quot;/&gt;&lt;wsp:rsid wsp:val=&quot;00FA5F45&quot;/&gt;&lt;wsp:rsid wsp:val=&quot;00FA7522&quot;/&gt;&lt;wsp:rsid wsp:val=&quot;00FC2C59&quot;/&gt;&lt;wsp:rsid wsp:val=&quot;00FD178C&quot;/&gt;&lt;/wsp:rsids&gt;&lt;/w:docPr&gt;&lt;w:body&gt;&lt;wx:sect&gt;&lt;w:p wsp:rsidR=&quot;00000000&quot; wsp:rsidRPr=&quot;00690DF4&quot; wsp:rsidRDefault=&quot;00690DF4&quot; wsp:rsidP=&quot;00690DF4&quot;&gt;&lt;m:oMathPara&gt;&lt;m:oMath&gt;&lt;m:r&gt;&lt;w:rPr&gt;&lt;w:rFonts w:ascii=&quot;Cambria Math&quot; w:h-ansi=&quot;Cambria Math&quot; w:cs=&quot;Calibri&quot;/&gt;&lt;wx:font wx:val=&quot;Cambria Math&quot;/&gt;&lt;w:i/&gt;&lt;/w:rPr&gt;&lt;m:t&gt;M&lt;/m:t&gt;&lt;/m:r&gt;&lt;m:sSub&gt;&lt;m:sSubPr&gt;&lt;m:ctrlPr&gt;&lt;w:rPr&gt;&lt;w:rFonts w:ascii=&quot;Cambria Math&quot; w:h-ansi=&quot;Cambria Math&quot; w:cs=&quot;Calibri&quot;/&gt;&lt;wx:font wx:val=&quot;Cambria Math&quot;/&gt;&lt;/w:rPr&gt;&lt;/m:ctrlPr&gt;&lt;/m:sSubPr&gt;&lt;m:e&gt;&lt;m:r&gt;&lt;w:rPr&gt;&lt;w:rFonts w:ascii=&quot;Cambria Math&quot; w:h-ansi=&quot;Cambria Math&quot; w:cs=&quot;Calibri&quot;/&gt;&lt;wx:font wx:val=&quot;Cambria Math&quot;/&gt;&lt;w:i/&gt;&lt;/w:rPr&gt;&lt;m:t&gt;E&lt;/m:t&gt;&lt;/m:r&gt;&lt;/m:e&gt;&lt;m:sub&gt;&lt;m:r&gt;&lt;w:rPr&gt;&lt;w:rFonts w:ascii=&quot;Cambria Math&quot; w:h-ansi=&quot;Cambria Math&quot; w:cs=&quot;Calibri&quot;/&gt;&lt;wx:font wx:val=&quot;Cambria Math&quot;/&gt;&lt;w:i/&gt;&lt;/w:rPr&gt;&lt;m:t&gt;TOTAL&lt;/m:t&gt;&lt;/m:r&gt;&lt;/m:sub&gt;&lt;/m:sSub&gt;&lt;m:r&gt;&lt;m:rPr&gt;&lt;m:sty m:val=&quot;p&quot;/&gt;&lt;/m:rPr&gt;&lt;w:rPr&gt;&lt;w:rFonts w:ascii=&quot;Cambria Math&quot; w:h-ansi=&quot;Cambria Math&quot; w:cs=&quot;Calibri&quot;/&gt;&lt;wx:font wx:val=&quot;Cambria Math&quot;/&gt;&lt;/w:rPr&gt;&lt;m:t&gt;=&lt;/m:t&gt;&lt;/m:r&gt;&lt;m:sSub&gt;&lt;m:sSubPr&gt;&lt;m:ctrlPr&gt;&lt;w:rPr&gt;&lt;w:rFonts w:ascii=&quot;Cambria Math&quot; w:h-ansi=&quot;Cambria Math&quot; w:cs=&quot;Calibri&quot;/&gt;&lt;wx:font wx:val=&quot;Cambria Math&quot;/&gt;&lt;/w:rPr&gt;&lt;/m:ctrlPr&gt;&lt;/m:sSubPr&gt;&lt;m:e&gt;&lt;m:r&gt;&lt;w:rPr&gt;&lt;w:rFonts w:ascii=&quot;Cambria Math&quot; w:h-ansi=&quot;Cambria Math&quot; w:cs=&quot;Calibri&quot;/&gt;&lt;wx:font wx:val=&quot;Cambria Math&quot;/&gt;&lt;w:i/&gt;&lt;/w:rPr&gt;&lt;m:t&gt;ME&lt;/m:t&gt;&lt;/m:r&gt;&lt;/m:e&gt;&lt;m:sub&gt;&lt;m:r&gt;&lt;w:rPr&gt;&lt;w:rFonts w:ascii=&quot;Cambria Math&quot; w:h-ansi=&quot;Cambria Math&quot; w:cs=&quot;Calibri&quot;/&gt;&lt;wx:font wx:val=&quot;Cambria Math&quot;/&gt;&lt;w:i/&gt;&lt;/w:rPr&gt;&lt;m:t&gt;BASAL&lt;/m:t&gt;&lt;/m:r&gt;&lt;/m:sub&gt;&lt;/m:sSub&gt;&lt;m:r&gt;&lt;m:rPr&gt;&lt;m:sty m:val=&quot;p&quot;/&gt;&lt;/m:rPr&gt;&lt;w:rPr&gt;&lt;w:rFonts w:ascii=&quot;Cambria Math&quot; w:h-ansi=&quot;Cambria Math&quot; w:cs=&quot;Calibri&quot;/&gt;&lt;wx:font wx:val=&quot;Cambria Math&quot;/&gt;&lt;/w:rPr&gt;&lt;m:t&gt;+1.1&lt;/m:t&gt;&lt;/m:r&gt;&lt;m:sSub&gt;&lt;m:sSubPr&gt;&lt;m:ctrlPr&gt;&lt;w:rPr&gt;&lt;w:rFonts w:ascii=&quot;Cambria Math&quot; w:h-ansi=&quot;Cambria Math&quot; w:cs=&quot;Calibri&quot;/&gt;&lt;wx:font wx:val=&quot;Cambria Math&quot;/&gt;&lt;/w:rPr&gt;&lt;/m:ctrlPr&gt;&lt;/m:sSubPr&gt;&lt;m:e&gt;&lt;m:r&gt;&lt;w:rPr&gt;&lt;w:rFonts w:ascii=&quot;Cambria Math&quot; w:h-ansi=&quot;Cambria Math&quot; w:cs=&quot;Calibri&quot;/&gt;&lt;wx:font wx:val=&quot;Cambria Math&quot;/&gt;&lt;w:i/&gt;&lt;/w:rPr&gt;&lt;m:t&gt;ME&lt;/m:t&gt;&lt;/m:r&gt;&lt;/m:e&gt;&lt;m:sub&gt;&lt;m:r&gt;&lt;w:rPr&gt;&lt;w:rFonts w:ascii=&quot;Cambria Math&quot; w:h-ansi=&quot;Cambria Math&quot; w:cs=&quot;Calibri&quot;/&gt;&lt;wx:font wx:val=&quot;Cambria Math&quot;/&gt;&lt;w:i/&gt;&lt;/w:rPr&gt;&lt;m:t&gt;P&lt;/m:t&gt;&lt;/m:r&gt;&lt;/m:sub&gt;&lt;/m:sSub&gt;&lt;m:r&gt;&lt;m:rPr&gt;&lt;m:sty m:val=&quot;p&quot;/&gt;&lt;/m:rPr&gt;&lt;w:rPr&gt;&lt;w:rFonts w:ascii=&quot;Cambria Math&quot; w:h-ansi=&quot;Cambria Math&quot; w:cs=&quot;Calibri&quot;/&gt;&lt;wx:font wx:val=&quot;Cambria Math&quot;/&gt;&lt;/w:rPr&gt;&lt;m:t&gt;+&lt;/m:t&gt;&lt;/m:r&gt;&lt;m:sSub&gt;&lt;m:sSubPr&gt;&lt;m:ctrlPr&gt;&lt;w:rPr&gt;&lt;w:rFonts w:ascii=&quot;Cambria Math&quot; w:h-ansi=&quot;Cambria Math&quot; w:cs=&quot;Calibri&quot;/&gt;&lt;wx:font wx:val=&quot;Cambria Math&quot;/&gt;&lt;/w:rPr&gt;&lt;/m:ctrlPr&gt;&lt;/m:sSubPr&gt;&lt;m:e&gt;&lt;m:r&gt;&lt;w:rPr&gt;&lt;w:rFonts w:ascii=&quot;Cambria Math&quot; w:h-ansi=&quot;Cambria Math&quot; w:cs=&quot;Calibri&quot;/&gt;&lt;wx:font wx:val=&quot;Cambria Math&quot;/&gt;&lt;w:i/&gt;&lt;/w:rPr&gt;&lt;m:t&gt;ME&lt;/m:t&gt;&lt;/m:r&gt;&lt;/m:e&gt;&lt;m:sub&gt;&lt;m:r&gt;&lt;w:rPr&gt;&lt;w:rFonts w:ascii=&quot;Cambria Math&quot; w:h-ansi=&quot;Cambria Math&quot; w:cs=&quot;Calibri&quot;/&gt;&lt;wx:font wx:val=&quot;Cambria Math&quot;/&gt;&lt;w:i/&gt;&lt;/w:rPr&gt;&lt;m:t&gt;GRAZE&lt;/m:t&gt;&lt;/m:r&gt;&lt;/m:sub&gt;&lt;/m:sSub&gt;&lt;m:r&gt;&lt;w:rPr&gt;&lt;w:rFonts w:ascii=&quot;Cambria Math&quot; w:h-ansi=&quot;Cambria Math&quot; w:cs=&quot;Calibri&quot;/&gt;&lt;wx:font wx:val=&quot;Cambria Math&quot;/&gt;&lt;w:i/&gt;&lt;/w:rPr&gt;&lt;m:t&gt;+&lt;/m:t&gt;&lt;/m:r&gt;&lt;m:sSub&gt;&lt;m:sSubPr&gt;&lt;m:ctrlPr&gt;&lt;w:rPr&gt;&lt;w:rFonts w:ascii=&quot;Cambria Math&quot; w:h-ansi=&quot;Cambria Math&quot; w:cs=&quot;Calibri&quot;/&gt;&lt;wx:font wx:val=&quot;Cambria Math&quot;/&gt;&lt;w:i/&gt;&lt;/w:rPr&gt;&lt;/m:ctrlPr&gt;&lt;/m:sSubPr&gt;&lt;m:e&gt;&lt;m:r&gt;&lt;w:rPr&gt;&lt;w:rFonts w:ascii=&quot;Cambria Math&quot; w:h-ansi=&quot;Cambria Math&quot; w:cs=&quot;Calibri&quot;/&gt;&lt;wx:font wx:val=&quot;Cambria Math&quot;/&gt;&lt;w:i/&gt;&lt;/w:rPr&gt;&lt;m:t&gt;ME&lt;/m:t&gt;&lt;/m:r&gt;&lt;/m:e&gt;&lt;m:sub&gt;&lt;m:r&gt;&lt;w:rPr&gt;&lt;w:rFonts w:ascii=&quot;Cambria Math&quot; w:h-ansi=&quot;Cambria Math&quot; w:cs=&quot;Calibri&quot;/&gt;&lt;wx:font wx:val=&quot;Cambria Math&quot;/&gt;&lt;w:i/&gt;&lt;/w:rPr&gt;&lt;m:t&gt;c&lt;/m:t&gt;&lt;/m:r&gt;&lt;/m:sub&gt;&lt;/m:sSub&gt;&lt;/m:oMath&gt;&lt;/m:oMathPara&gt;&lt;/w:p&gt;&lt;w:sectPr wsp:rsidR=&quot;00000000&quot; wsp:rsidRPr=&quot;00690DF4&quot;&gt;&lt;w:pgSz w:w=&quot;12240&quot; w:h=&quot;15840&quot;/&gt;&lt;w:pgMar w:top=&quot;1440&quot; w:right=&quot;1440&quot; w:bottom=&quot;1440&quot; w:left=&quot;1440&quot; w:header=&quot;720&quot; w:footer=&quot;720&quot; w:gutter=&quot;0&quot;/&gt;&lt;w:cols w:space=&quot;720&quot;/&gt;&lt;/w:sectPr&gt;&lt;/wx:sect&gt;&lt;/w:body&gt;&lt;/w:wordDocument&gt;">
            <v:imagedata r:id="rId114" o:title="" chromakey="white"/>
          </v:shape>
        </w:pict>
      </w:r>
    </w:p>
    <w:p w14:paraId="6BA10ADC" w14:textId="77777777" w:rsidR="00F02481" w:rsidRPr="00BE78CA" w:rsidRDefault="00F02481" w:rsidP="00C26084">
      <w:pPr>
        <w:pStyle w:val="BodyText"/>
        <w:tabs>
          <w:tab w:val="left" w:pos="964"/>
        </w:tabs>
        <w:spacing w:after="60"/>
      </w:pPr>
      <w:r w:rsidRPr="00BE78CA">
        <w:t xml:space="preserve">Where: </w:t>
      </w:r>
      <w:r w:rsidRPr="00BE78CA">
        <w:tab/>
        <w:t>ME</w:t>
      </w:r>
      <w:r w:rsidRPr="00BE78CA">
        <w:rPr>
          <w:vertAlign w:val="subscript"/>
        </w:rPr>
        <w:t>BASAL</w:t>
      </w:r>
      <w:r w:rsidRPr="00BE78CA">
        <w:t xml:space="preserve"> is the energy requirement for maintenance</w:t>
      </w:r>
    </w:p>
    <w:p w14:paraId="1C2A855F" w14:textId="77777777" w:rsidR="00F02481" w:rsidRPr="00BE78CA" w:rsidRDefault="00F02481" w:rsidP="00C26084">
      <w:pPr>
        <w:pStyle w:val="BodyText"/>
        <w:tabs>
          <w:tab w:val="left" w:pos="964"/>
        </w:tabs>
        <w:spacing w:before="60" w:after="60"/>
      </w:pPr>
      <w:r w:rsidRPr="00BE78CA">
        <w:tab/>
        <w:t>ME</w:t>
      </w:r>
      <w:r w:rsidRPr="00BE78CA">
        <w:rPr>
          <w:vertAlign w:val="subscript"/>
        </w:rPr>
        <w:t>P</w:t>
      </w:r>
      <w:r w:rsidRPr="00BE78CA">
        <w:t xml:space="preserve"> is the energy used directly for production (meat, milk, wool and so on) </w:t>
      </w:r>
    </w:p>
    <w:p w14:paraId="264B5EA9" w14:textId="77777777" w:rsidR="00F02481" w:rsidRPr="00BE78CA" w:rsidRDefault="00F02481" w:rsidP="00C26084">
      <w:pPr>
        <w:pStyle w:val="BodyText"/>
        <w:tabs>
          <w:tab w:val="left" w:pos="964"/>
        </w:tabs>
        <w:spacing w:before="60" w:after="60"/>
      </w:pPr>
      <w:r w:rsidRPr="00BE78CA">
        <w:tab/>
        <w:t>ME</w:t>
      </w:r>
      <w:r w:rsidRPr="00BE78CA">
        <w:rPr>
          <w:vertAlign w:val="subscript"/>
        </w:rPr>
        <w:t>GRAZE</w:t>
      </w:r>
      <w:r w:rsidRPr="00BE78CA">
        <w:t xml:space="preserve"> is the additional energy required by grazing livestock, and</w:t>
      </w:r>
    </w:p>
    <w:p w14:paraId="347B485F" w14:textId="77777777" w:rsidR="00F02481" w:rsidRPr="00BE78CA" w:rsidRDefault="00F02481" w:rsidP="00C26084">
      <w:pPr>
        <w:pStyle w:val="BodyText"/>
        <w:tabs>
          <w:tab w:val="left" w:pos="964"/>
        </w:tabs>
        <w:spacing w:before="60"/>
      </w:pPr>
      <w:r w:rsidRPr="00BE78CA">
        <w:tab/>
        <w:t>ME</w:t>
      </w:r>
      <w:r w:rsidRPr="00BE78CA">
        <w:rPr>
          <w:vertAlign w:val="subscript"/>
        </w:rPr>
        <w:t>c</w:t>
      </w:r>
      <w:r w:rsidRPr="00BE78CA">
        <w:t xml:space="preserve"> is the energy used for gestation or growth of the conceptus (MJ/d)</w:t>
      </w:r>
    </w:p>
    <w:p w14:paraId="78942938" w14:textId="77777777" w:rsidR="00F02481" w:rsidRPr="00BE78CA" w:rsidRDefault="00F02481" w:rsidP="00C26084">
      <w:pPr>
        <w:pStyle w:val="BodyText"/>
      </w:pPr>
      <w:r w:rsidRPr="00BE78CA">
        <w:t>And:</w:t>
      </w:r>
    </w:p>
    <w:p w14:paraId="66FE38D6" w14:textId="77777777" w:rsidR="00F02481" w:rsidRPr="00BE78CA" w:rsidRDefault="00087879" w:rsidP="00126288">
      <w:pPr>
        <w:tabs>
          <w:tab w:val="left" w:pos="1418"/>
        </w:tabs>
        <w:spacing w:after="120"/>
        <w:jc w:val="center"/>
        <w:rPr>
          <w:rFonts w:cs="Calibri"/>
        </w:rPr>
      </w:pPr>
      <w:r>
        <w:pict w14:anchorId="1E0A20C0">
          <v:shape id="_x0000_i1039" type="#_x0000_t75" style="width:316.55pt;height:28.55pt"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16sdtdh=&quot;http://schemas.microsoft.com/office/word/2020/wordml/sdtdatahash&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doNotEmbedSystemFonts/&gt;&lt;w:activeWritingStyle w:lang=&quot;EN-NZ&quot; w:vendorID=&quot;64&quot; w:dllVersion=&quot;6&quot; w:nlCheck=&quot;on&quot; w:optionSet=&quot;1&quot;/&gt;&lt;w:stylePaneFormatFilter w:val=&quot;5804&quot;/&gt;&lt;w:defaultTabStop w:val=&quot;397&quot;/&gt;&lt;w:evenAndOddHeaders/&gt;&lt;w:drawingGridHorizontalSpacing w:val=&quot;187&quot;/&gt;&lt;w:displayVerticalDrawingGridEvery w:val=&quot;2&quot;/&gt;&lt;w:characterSpacingControl w:val=&quot;DontCompress&quot;/&gt;&lt;w:optimizeForBrowser/&gt;&lt;w:validateAgainstSchema/&gt;&lt;w:saveInvalidXML w:val=&quot;off&quot;/&gt;&lt;w:ignoreMixedContent w:val=&quot;off&quot;/&gt;&lt;w:alwaysShowPlaceholderText w:val=&quot;off&quot;/&gt;&lt;w:compat&gt;&lt;w:suppressBottomSpacing/&gt;&lt;w:suppressTopSpacing/&gt;&lt;w:doNotUseHTMLParagraphAutoSpacing/&gt;&lt;w:breakWrappedTables/&gt;&lt;w:snapToGridInCell/&gt;&lt;w:wrapTextWithPunct/&gt;&lt;w:useAsianBreakRules/&gt;&lt;w:useWord2002TableStyleRules/&gt;&lt;/w:compat&gt;&lt;wsp:rsids&gt;&lt;wsp:rsidRoot wsp:val=&quot;001F1707&quot;/&gt;&lt;wsp:rsid wsp:val=&quot;00001716&quot;/&gt;&lt;wsp:rsid wsp:val=&quot;00007ABB&quot;/&gt;&lt;wsp:rsid wsp:val=&quot;00021ACF&quot;/&gt;&lt;wsp:rsid wsp:val=&quot;00027E55&quot;/&gt;&lt;wsp:rsid wsp:val=&quot;00032A28&quot;/&gt;&lt;wsp:rsid wsp:val=&quot;00035185&quot;/&gt;&lt;wsp:rsid wsp:val=&quot;00050008&quot;/&gt;&lt;wsp:rsid wsp:val=&quot;000576EC&quot;/&gt;&lt;wsp:rsid wsp:val=&quot;000959CB&quot;/&gt;&lt;wsp:rsid wsp:val=&quot;000C20A6&quot;/&gt;&lt;wsp:rsid wsp:val=&quot;000F4DEF&quot;/&gt;&lt;wsp:rsid wsp:val=&quot;00116E1B&quot;/&gt;&lt;wsp:rsid wsp:val=&quot;001221C3&quot;/&gt;&lt;wsp:rsid wsp:val=&quot;00153F5A&quot;/&gt;&lt;wsp:rsid wsp:val=&quot;001970E1&quot;/&gt;&lt;wsp:rsid wsp:val=&quot;001A1997&quot;/&gt;&lt;wsp:rsid wsp:val=&quot;001B6FD2&quot;/&gt;&lt;wsp:rsid wsp:val=&quot;001F1707&quot;/&gt;&lt;wsp:rsid wsp:val=&quot;00207ABF&quot;/&gt;&lt;wsp:rsid wsp:val=&quot;00240B42&quot;/&gt;&lt;wsp:rsid wsp:val=&quot;00260B48&quot;/&gt;&lt;wsp:rsid wsp:val=&quot;0028581A&quot;/&gt;&lt;wsp:rsid wsp:val=&quot;002868D3&quot;/&gt;&lt;wsp:rsid wsp:val=&quot;00295B2A&quot;/&gt;&lt;wsp:rsid wsp:val=&quot;002A1361&quot;/&gt;&lt;wsp:rsid wsp:val=&quot;002A49D7&quot;/&gt;&lt;wsp:rsid wsp:val=&quot;002B1C5A&quot;/&gt;&lt;wsp:rsid wsp:val=&quot;002B3284&quot;/&gt;&lt;wsp:rsid wsp:val=&quot;002D60DB&quot;/&gt;&lt;wsp:rsid wsp:val=&quot;002D6A54&quot;/&gt;&lt;wsp:rsid wsp:val=&quot;002F134A&quot;/&gt;&lt;wsp:rsid wsp:val=&quot;00302D84&quot;/&gt;&lt;wsp:rsid wsp:val=&quot;00315760&quot;/&gt;&lt;wsp:rsid wsp:val=&quot;0032349D&quot;/&gt;&lt;wsp:rsid wsp:val=&quot;0037590E&quot;/&gt;&lt;wsp:rsid wsp:val=&quot;00377186&quot;/&gt;&lt;wsp:rsid wsp:val=&quot;00383207&quot;/&gt;&lt;wsp:rsid wsp:val=&quot;003972EF&quot;/&gt;&lt;wsp:rsid wsp:val=&quot;00397D2B&quot;/&gt;&lt;wsp:rsid wsp:val=&quot;003A5006&quot;/&gt;&lt;wsp:rsid wsp:val=&quot;003C2615&quot;/&gt;&lt;wsp:rsid wsp:val=&quot;003D0318&quot;/&gt;&lt;wsp:rsid wsp:val=&quot;003D5417&quot;/&gt;&lt;wsp:rsid wsp:val=&quot;00400F92&quot;/&gt;&lt;wsp:rsid wsp:val=&quot;004044F1&quot;/&gt;&lt;wsp:rsid wsp:val=&quot;0042424B&quot;/&gt;&lt;wsp:rsid wsp:val=&quot;00430D5D&quot;/&gt;&lt;wsp:rsid wsp:val=&quot;0045652C&quot;/&gt;&lt;wsp:rsid wsp:val=&quot;00462497&quot;/&gt;&lt;wsp:rsid wsp:val=&quot;004805A3&quot;/&gt;&lt;wsp:rsid wsp:val=&quot;00490EB0&quot;/&gt;&lt;wsp:rsid wsp:val=&quot;004A618E&quot;/&gt;&lt;wsp:rsid wsp:val=&quot;004E4B2C&quot;/&gt;&lt;wsp:rsid wsp:val=&quot;004F1572&quot;/&gt;&lt;wsp:rsid wsp:val=&quot;00526270&quot;/&gt;&lt;wsp:rsid wsp:val=&quot;00534210&quot;/&gt;&lt;wsp:rsid wsp:val=&quot;00543478&quot;/&gt;&lt;wsp:rsid wsp:val=&quot;00545600&quot;/&gt;&lt;wsp:rsid wsp:val=&quot;00546A6A&quot;/&gt;&lt;wsp:rsid wsp:val=&quot;005630B0&quot;/&gt;&lt;wsp:rsid wsp:val=&quot;005660CD&quot;/&gt;&lt;wsp:rsid wsp:val=&quot;005720F2&quot;/&gt;&lt;wsp:rsid wsp:val=&quot;00596603&quot;/&gt;&lt;wsp:rsid wsp:val=&quot;005B76A4&quot;/&gt;&lt;wsp:rsid wsp:val=&quot;005C3384&quot;/&gt;&lt;wsp:rsid wsp:val=&quot;005C416E&quot;/&gt;&lt;wsp:rsid wsp:val=&quot;005D1C3A&quot;/&gt;&lt;wsp:rsid wsp:val=&quot;005E43DD&quot;/&gt;&lt;wsp:rsid wsp:val=&quot;00600179&quot;/&gt;&lt;wsp:rsid wsp:val=&quot;00603FC0&quot;/&gt;&lt;wsp:rsid wsp:val=&quot;00636BF0&quot;/&gt;&lt;wsp:rsid wsp:val=&quot;00646B6D&quot;/&gt;&lt;wsp:rsid wsp:val=&quot;00655908&quot;/&gt;&lt;wsp:rsid wsp:val=&quot;006654F8&quot;/&gt;&lt;wsp:rsid wsp:val=&quot;00665768&quot;/&gt;&lt;wsp:rsid wsp:val=&quot;00667291&quot;/&gt;&lt;wsp:rsid wsp:val=&quot;00686249&quot;/&gt;&lt;wsp:rsid wsp:val=&quot;00687504&quot;/&gt;&lt;wsp:rsid wsp:val=&quot;006A171F&quot;/&gt;&lt;wsp:rsid wsp:val=&quot;006A4E5F&quot;/&gt;&lt;wsp:rsid wsp:val=&quot;006D3FAE&quot;/&gt;&lt;wsp:rsid wsp:val=&quot;006D4600&quot;/&gt;&lt;wsp:rsid wsp:val=&quot;006E0A2C&quot;/&gt;&lt;wsp:rsid wsp:val=&quot;006E202B&quot;/&gt;&lt;wsp:rsid wsp:val=&quot;006E57B5&quot;/&gt;&lt;wsp:rsid wsp:val=&quot;00702FA0&quot;/&gt;&lt;wsp:rsid wsp:val=&quot;00715D39&quot;/&gt;&lt;wsp:rsid wsp:val=&quot;00724218&quot;/&gt;&lt;wsp:rsid wsp:val=&quot;00737E65&quot;/&gt;&lt;wsp:rsid wsp:val=&quot;0074030A&quot;/&gt;&lt;wsp:rsid wsp:val=&quot;007409A3&quot;/&gt;&lt;wsp:rsid wsp:val=&quot;00762043&quot;/&gt;&lt;wsp:rsid wsp:val=&quot;007633C2&quot;/&gt;&lt;wsp:rsid wsp:val=&quot;00765A47&quot;/&gt;&lt;wsp:rsid wsp:val=&quot;00770E82&quot;/&gt;&lt;wsp:rsid wsp:val=&quot;00772E94&quot;/&gt;&lt;wsp:rsid wsp:val=&quot;007B028B&quot;/&gt;&lt;wsp:rsid wsp:val=&quot;007B1D71&quot;/&gt;&lt;wsp:rsid wsp:val=&quot;007C00D0&quot;/&gt;&lt;wsp:rsid wsp:val=&quot;007C2186&quot;/&gt;&lt;wsp:rsid wsp:val=&quot;007F2233&quot;/&gt;&lt;wsp:rsid wsp:val=&quot;0080694B&quot;/&gt;&lt;wsp:rsid wsp:val=&quot;0081779C&quot;/&gt;&lt;wsp:rsid wsp:val=&quot;00831D0D&quot;/&gt;&lt;wsp:rsid wsp:val=&quot;00832DEE&quot;/&gt;&lt;wsp:rsid wsp:val=&quot;00854B9D&quot;/&gt;&lt;wsp:rsid wsp:val=&quot;00855A8A&quot;/&gt;&lt;wsp:rsid wsp:val=&quot;00872795&quot;/&gt;&lt;wsp:rsid wsp:val=&quot;008A2EC5&quot;/&gt;&lt;wsp:rsid wsp:val=&quot;008B77F5&quot;/&gt;&lt;wsp:rsid wsp:val=&quot;008C0279&quot;/&gt;&lt;wsp:rsid wsp:val=&quot;008C7F68&quot;/&gt;&lt;wsp:rsid wsp:val=&quot;008E380C&quot;/&gt;&lt;wsp:rsid wsp:val=&quot;008F25D2&quot;/&gt;&lt;wsp:rsid wsp:val=&quot;008F50EC&quot;/&gt;&lt;wsp:rsid wsp:val=&quot;00914CC6&quot;/&gt;&lt;wsp:rsid wsp:val=&quot;0092751F&quot;/&gt;&lt;wsp:rsid wsp:val=&quot;00932067&quot;/&gt;&lt;wsp:rsid wsp:val=&quot;0093594A&quot;/&gt;&lt;wsp:rsid wsp:val=&quot;00955D73&quot;/&gt;&lt;wsp:rsid wsp:val=&quot;0096512C&quot;/&gt;&lt;wsp:rsid wsp:val=&quot;0096540A&quot;/&gt;&lt;wsp:rsid wsp:val=&quot;009673EA&quot;/&gt;&lt;wsp:rsid wsp:val=&quot;009C5D2A&quot;/&gt;&lt;wsp:rsid wsp:val=&quot;00A06700&quot;/&gt;&lt;wsp:rsid wsp:val=&quot;00A331E7&quot;/&gt;&lt;wsp:rsid wsp:val=&quot;00A34169&quot;/&gt;&lt;wsp:rsid wsp:val=&quot;00A41C3C&quot;/&gt;&lt;wsp:rsid wsp:val=&quot;00AB2710&quot;/&gt;&lt;wsp:rsid wsp:val=&quot;00AD184B&quot;/&gt;&lt;wsp:rsid wsp:val=&quot;00B0566D&quot;/&gt;&lt;wsp:rsid wsp:val=&quot;00B35BD9&quot;/&gt;&lt;wsp:rsid wsp:val=&quot;00B37DE8&quot;/&gt;&lt;wsp:rsid wsp:val=&quot;00B44BA5&quot;/&gt;&lt;wsp:rsid wsp:val=&quot;00B928E7&quot;/&gt;&lt;wsp:rsid wsp:val=&quot;00BA5F7E&quot;/&gt;&lt;wsp:rsid wsp:val=&quot;00BC7E76&quot;/&gt;&lt;wsp:rsid wsp:val=&quot;00BF12F6&quot;/&gt;&lt;wsp:rsid wsp:val=&quot;00C00765&quot;/&gt;&lt;wsp:rsid wsp:val=&quot;00C10464&quot;/&gt;&lt;wsp:rsid wsp:val=&quot;00C119C2&quot;/&gt;&lt;wsp:rsid wsp:val=&quot;00C21B54&quot;/&gt;&lt;wsp:rsid wsp:val=&quot;00C40967&quot;/&gt;&lt;wsp:rsid wsp:val=&quot;00C42C64&quot;/&gt;&lt;wsp:rsid wsp:val=&quot;00C600E2&quot;/&gt;&lt;wsp:rsid wsp:val=&quot;00C63D43&quot;/&gt;&lt;wsp:rsid wsp:val=&quot;00C74134&quot;/&gt;&lt;wsp:rsid wsp:val=&quot;00C823B1&quot;/&gt;&lt;wsp:rsid wsp:val=&quot;00CA271E&quot;/&gt;&lt;wsp:rsid wsp:val=&quot;00CB1488&quot;/&gt;&lt;wsp:rsid wsp:val=&quot;00CB7414&quot;/&gt;&lt;wsp:rsid wsp:val=&quot;00CE19C1&quot;/&gt;&lt;wsp:rsid wsp:val=&quot;00D01CFE&quot;/&gt;&lt;wsp:rsid wsp:val=&quot;00D07C4B&quot;/&gt;&lt;wsp:rsid wsp:val=&quot;00D225D8&quot;/&gt;&lt;wsp:rsid wsp:val=&quot;00D33A2E&quot;/&gt;&lt;wsp:rsid wsp:val=&quot;00D41862&quot;/&gt;&lt;wsp:rsid wsp:val=&quot;00D511A1&quot;/&gt;&lt;wsp:rsid wsp:val=&quot;00D872BF&quot;/&gt;&lt;wsp:rsid wsp:val=&quot;00DE01F6&quot;/&gt;&lt;wsp:rsid wsp:val=&quot;00DE2998&quot;/&gt;&lt;wsp:rsid wsp:val=&quot;00DE4223&quot;/&gt;&lt;wsp:rsid wsp:val=&quot;00DE6B60&quot;/&gt;&lt;wsp:rsid wsp:val=&quot;00E06D10&quot;/&gt;&lt;wsp:rsid wsp:val=&quot;00E20458&quot;/&gt;&lt;wsp:rsid wsp:val=&quot;00E56487&quot;/&gt;&lt;wsp:rsid wsp:val=&quot;00E853F3&quot;/&gt;&lt;wsp:rsid wsp:val=&quot;00EC2491&quot;/&gt;&lt;wsp:rsid wsp:val=&quot;00ED2C42&quot;/&gt;&lt;wsp:rsid wsp:val=&quot;00EF3B2B&quot;/&gt;&lt;wsp:rsid wsp:val=&quot;00F00EE9&quot;/&gt;&lt;wsp:rsid wsp:val=&quot;00F379DD&quot;/&gt;&lt;wsp:rsid wsp:val=&quot;00F47244&quot;/&gt;&lt;wsp:rsid wsp:val=&quot;00F511A7&quot;/&gt;&lt;wsp:rsid wsp:val=&quot;00F660F9&quot;/&gt;&lt;wsp:rsid wsp:val=&quot;00FA5F45&quot;/&gt;&lt;wsp:rsid wsp:val=&quot;00FA7522&quot;/&gt;&lt;wsp:rsid wsp:val=&quot;00FC2C59&quot;/&gt;&lt;wsp:rsid wsp:val=&quot;00FD178C&quot;/&gt;&lt;/wsp:rsids&gt;&lt;/w:docPr&gt;&lt;w:body&gt;&lt;wx:sect&gt;&lt;w:p wsp:rsidR=&quot;00000000&quot; wsp:rsidRPr=&quot;009673EA&quot; wsp:rsidRDefault=&quot;009673EA&quot; wsp:rsidP=&quot;009673EA&quot;&gt;&lt;m:oMathPara&gt;&lt;m:oMath&gt;&lt;m:r&gt;&lt;w:rPr&gt;&lt;w:rFonts w:ascii=&quot;Cambria Math&quot; w:h-ansi=&quot;Cambria Math&quot; w:cs=&quot;Calibri&quot;/&gt;&lt;wx:font wx:val=&quot;Cambria Math&quot;/&gt;&lt;w:i/&gt;&lt;/w:rPr&gt;&lt;m:t&gt;M&lt;/m:t&gt;&lt;/m:r&gt;&lt;m:sSub&gt;&lt;m:sSubPr&gt;&lt;m:ctrlPr&gt;&lt;w:rPr&gt;&lt;w:rFonts w:ascii=&quot;Cambria Math&quot; w:h-ansi=&quot;Cambria Math&quot; w:cs=&quot;Calibri&quot;/&gt;&lt;wx:font wx:val=&quot;Cambria Math&quot;/&gt;&lt;/w:rPr&gt;&lt;/m:ctrlPr&gt;&lt;/m:sSubPr&gt;&lt;m:e&gt;&lt;m:r&gt;&lt;w:rPr&gt;&lt;w:rFonts w:ascii=&quot;Cambria Math&quot; w:h-ansi=&quot;Cambria Math&quot; w:cs=&quot;Calibri&quot;/&gt;&lt;wx:font wx:val=&quot;Cambria Math&quot;/&gt;&lt;w:i/&gt;&lt;/w:rPr&gt;&lt;m:t&gt;E&lt;/m:t&gt;&lt;/m:r&gt;&lt;/m:e&gt;&lt;m:sub&gt;&lt;m:r&gt;&lt;w:rPr&gt;&lt;w:rFonts w:ascii=&quot;Cambria Math&quot; w:h-ansi=&quot;Cambria Math&quot; w:cs=&quot;Calibri&quot;/&gt;&lt;wx:font wx:val=&quot;Cambria Math&quot;/&gt;&lt;w:i/&gt;&lt;/w:rPr&gt;&lt;m:t&gt;TOTAL&lt;/m:t&gt;&lt;/m:r&gt;&lt;/m:sub&gt;&lt;/m:sSub&gt;&lt;m:r&gt;&lt;m:rPr&gt;&lt;m:sty m:val=&quot;p&quot;/&gt;&lt;/m:rPr&gt;&lt;w:rPr&gt;&lt;w:rFonts w:ascii=&quot;Cambria Math&quot; w:h-ansi=&quot;Cambria Math&quot; w:cs=&quot;Calibri&quot;/&gt;&lt;wx:font wx:val=&quot;Cambria Math&quot;/&gt;&lt;/w:rPr&gt;&lt;m:t&gt;=&lt;/m:t&gt;&lt;/m:r&gt;&lt;m:f&gt;&lt;m:fPr&gt;&lt;m:ctrlPr&gt;&lt;w:rPr&gt;&lt;w:rFonts w:ascii=&quot;Cambria Math&quot; w:h-ansi=&quot;Cambria Math&quot; w:cs=&quot;Calibri&quot;/&gt;&lt;wx:font wx:val=&quot;Cambria Math&quot;/&gt;&lt;/w:rPr&gt;&lt;/m:ctrlPr&gt;&lt;/m:fPr&gt;&lt;m:num&gt;&lt;m:r&gt;&lt;w:rPr&gt;&lt;w:rFonts w:ascii=&quot;Cambria Math&quot; w:h-ansi=&quot;Cambria Math&quot; w:cs=&quot;Calibri&quot;/&gt;&lt;wx:font wx:val=&quot;Cambria Math&quot;/&gt;&lt;w:i/&gt;&lt;/w:rPr&gt;&lt;m:t&gt;KS&lt;/m:t&gt;&lt;/m:r&gt;&lt;m:r&gt;&lt;m:rPr&gt;&lt;m:sty m:val=&quot;p&quot;/&gt;&lt;/m:rPr&gt;&lt;w:rPr&gt;&lt;w:rFonts w:ascii=&quot;Cambria Math&quot; w:h-ansi=&quot;Cambria Math&quot; w:cs=&quot;Calibri&quot;/&gt;&lt;wx:font wx:val=&quot;Cambria Math&quot;/&gt;&lt;/w:rPr&gt;&lt;m:t&gt;(0.28&lt;/m:t&gt;&lt;/m:r&gt;&lt;m:sSup&gt;&lt;m:sSupPr&gt;&lt;m:ctrlPr&gt;&lt;w:rPr&gt;&lt;w:rFonts w:ascii=&quot;Cambria Math&quot; w:h-ansi=&quot;Cambria Math&quot; w:cs=&quot;Calibri&quot;/&gt;&lt;wx:font wx:val=&quot;Cambria Math&quot;/&gt;&lt;/w:rPr&gt;&lt;/m:ctrlPr&gt;&lt;/m:sSupPr&gt;&lt;m:e&gt;&lt;m:r&gt;&lt;w:rPr&gt;&lt;w:rFonts w:ascii=&quot;Cambria Math&quot; w:h-ansi=&quot;Cambria Math&quot; w:cs=&quot;Calibri&quot;/&gt;&lt;wx:font wx:val=&quot;Cambria Math&quot;/&gt;&lt;w:i/&gt;&lt;/w:rPr&gt;&lt;m:t&gt;W&lt;/m:t&gt;&lt;/m:r&gt;&lt;/m:e&gt;&lt;m:sup&gt;&lt;m:r&gt;&lt;m:rPr&gt;&lt;m:sty m:val=&quot;p&quot;/&gt;&lt;/m:rPr&gt;&lt;w:rPr&gt;&lt;w:rFonts w:ascii=&quot;Cambria Math&quot; w:h-ansi=&quot;Cambria Math&quot; w:cs=&quot;Calibri&quot;/&gt;&lt;wx:font wx:val=&quot;Cambria Math&quot;/&gt;&lt;/w:rPr&gt;&lt;m:t&gt;0.75&lt;/m:t&gt;&lt;/m:r&gt;&lt;/m:sup&gt;&lt;/m:sSup&gt;&lt;m:func&gt;&lt;m:funcPr&gt;&lt;m:ctrlPr&gt;&lt;w:rPr&gt;&lt;w:rFonts w:ascii=&quot;Cambria Math&quot; w:h-ansi=&quot;Cambria Math&quot; w:cs=&quot;Calibri&quot;/&gt;&lt;wx:font wx:val=&quot;Cambria Math&quot;/&gt;&lt;/w:rPr&gt;&lt;/m:ctrlPr&gt;&lt;/m:funcPr&gt;&lt;m:fName&gt;&lt;m:r&gt;&lt;m:rPr&gt;&lt;m:sty m:val=&quot;p&quot;/&gt;&lt;/m:rPr&gt;&lt;w:rPr&gt;&lt;w:rFonts w:ascii=&quot;Cambria Math&quot; w:h-ansi=&quot;Cambria Math&quot; w:cs=&quot;Calibri&quot;/&gt;&lt;wx:font wx:val=&quot;Cambria Math&quot;/&gt;&lt;/w:rPr&gt;&lt;m:t&gt;exp&lt;/m:t&gt;&lt;/m:r&gt;&lt;/m:fName&gt;&lt;m:e&gt;&lt;m:d&gt;&lt;m:dPr&gt;&lt;m:ctrlPr&gt;&lt;w:rPr&gt;&lt;w:rFonts w:ascii=&quot;Cambria Math&quot; w:h-ansi=&quot;Cambria Math&quot; w:cs=&quot;Calibri&quot;/&gt;&lt;wx:font wx:val=&quot;Cambria Math&quot;/&gt;&lt;/w:rPr&gt;&lt;/m:ctrlPr&gt;&lt;/m:dPr&gt;&lt;m:e&gt;&lt;m:r&gt;&lt;m:rPr&gt;&lt;m:sty m:val=&quot;p&quot;/&gt;&lt;/m:rPr&gt;&lt;w:rPr&gt;&lt;w:rFonts w:ascii=&quot;Cambria Math&quot; w:h-ansi=&quot;Cambria Math&quot; w:cs=&quot;Calibri&quot;/&gt;&lt;wx:font wx:val=&quot;Cambria Math&quot;/&gt;&lt;/w:rPr&gt;&lt;m:t&gt;-0.03&lt;/m:t&gt;&lt;/m:r&gt;&lt;m:r&gt;&lt;w:rPr&gt;&lt;w:rFonts w:ascii=&quot;Cambria Math&quot; w:h-ansi=&quot;Cambria Math&quot; w:cs=&quot;Calibri&quot;/&gt;&lt;wx:font wx:val=&quot;Cambria Math&quot;/&gt;&lt;w:i/&gt;&lt;/w:rPr&gt;&lt;m:t&gt;A&lt;/m:t&gt;&lt;/m:r&gt;&lt;/m:e&gt;&lt;/m:d&gt;&lt;/m:e&gt;&lt;/m:func&gt;&lt;m:r&gt;&lt;m:rPr&gt;&lt;m:sty m:val=&quot;p&quot;/&gt;&lt;/m:rPr&gt;&lt;w:rPr&gt;&lt;w:rFonts w:ascii=&quot;Cambria Math&quot; w:h-ansi=&quot;Cambria Math&quot; w:cs=&quot;Calibri&quot;/&gt;&lt;wx:font wx:val=&quot;Cambria Math&quot;/&gt;&lt;/w:rPr&gt;&lt;m:t&gt;)&lt;/m:t&gt;&lt;/m:r&gt;&lt;/m:num&gt;&lt;m:den&gt;&lt;m:sSub&gt;&lt;m:sSubPr&gt;&lt;m:ctrlPr&gt;&lt;w:rPr&gt;&lt;w:rFonts w:ascii=&quot;Cambria Math&quot; w:h-ansi=&quot;Cambria Math&quot; w:cs=&quot;Calibri&quot;/&gt;&lt;wx:font wx:val=&quot;Cambria Math&quot;/&gt;&lt;/w:rPr&gt;&lt;/m:ctrlPr&gt;&lt;/m:sSubPr&gt;&lt;m:e&gt;&lt;m:r&gt;&lt;w:rPr&gt;&lt;w:rFonts w:ascii=&quot;Cambria Math&quot; w:h-ansi=&quot;Cambria Math&quot; w:cs=&quot;Calibri&quot;/&gt;&lt;wx:font wx:val=&quot;Cambria Math&quot;/&gt;&lt;w:i/&gt;&lt;/w:rPr&gt;&lt;m:t&gt;k&lt;/m:t&gt;&lt;/m:r&gt;&lt;/m:e&gt;&lt;m:sub&gt;&lt;m:r&gt;&lt;w:rPr&gt;&lt;w:rFonts w:ascii=&quot;Cambria Math&quot; w:h-ansi=&quot;Cambria Math&quot; w:cs=&quot;Calibri&quot;/&gt;&lt;wx:font wx:val=&quot;Cambria Math&quot;/&gt;&lt;w:i/&gt;&lt;/w:rPr&gt;&lt;m:t&gt;m&lt;/m:t&gt;&lt;/m:r&gt;&lt;/m:sub&gt;&lt;/m:sSub&gt;&lt;/m:den&gt;&lt;/m:f&gt;&lt;m:r&gt;&lt;m:rPr&gt;&lt;m:sty m:val=&quot;p&quot;/&gt;&lt;/m:rPr&gt;&lt;w:rPr&gt;&lt;w:rFonts w:ascii=&quot;Cambria Math&quot; w:h-ansi=&quot;Cambria Math&quot; w:cs=&quot;Calibri&quot;/&gt;&lt;wx:font wx:val=&quot;Cambria Math&quot;/&gt;&lt;/w:rPr&gt;&lt;m:t&gt;+1.1&lt;/m:t&gt;&lt;/m:r&gt;&lt;m:sSub&gt;&lt;m:sSubPr&gt;&lt;m:ctrlPr&gt;&lt;w:rPr&gt;&lt;w:rFonts w:ascii=&quot;Cambria Math&quot; w:h-ansi=&quot;Cambria Math&quot; w:cs=&quot;Calibri&quot;/&gt;&lt;wx:font wx:val=&quot;Cambria Math&quot;/&gt;&lt;/w:rPr&gt;&lt;/m:ctrlPr&gt;&lt;/m:sSubPr&gt;&lt;m:e&gt;&lt;m:r&gt;&lt;w:rPr&gt;&lt;w:rFonts w:ascii=&quot;Cambria Math&quot; w:h-ansi=&quot;Cambria Math&quot; w:cs=&quot;Calibri&quot;/&gt;&lt;wx:font wx:val=&quot;Cambria Math&quot;/&gt;&lt;w:i/&gt;&lt;/w:rPr&gt;&lt;m:t&gt;ME&lt;/m:t&gt;&lt;/m:r&gt;&lt;/m:e&gt;&lt;m:sub&gt;&lt;m:r&gt;&lt;w:rPr&gt;&lt;w:rFonts w:ascii=&quot;Cambria Math&quot; w:h-ansi=&quot;Cambria Math&quot; w:cs=&quot;Calibri&quot;/&gt;&lt;wx:font wx:val=&quot;Cambria Math&quot;/&gt;&lt;w:i/&gt;&lt;/w:rPr&gt;&lt;m:t&gt;P&lt;/m:t&gt;&lt;/m:r&gt;&lt;/m:sub&gt;&lt;/m:sSub&gt;&lt;m:r&gt;&lt;m:rPr&gt;&lt;m:sty m:val=&quot;p&quot;/&gt;&lt;/m:rPr&gt;&lt;w:rPr&gt;&lt;w:rFonts w:ascii=&quot;Cambria Math&quot; w:h-ansi=&quot;Cambria Math&quot; w:cs=&quot;Calibri&quot;/&gt;&lt;wx:font wx:val=&quot;Cambria Math&quot;/&gt;&lt;/w:rPr&gt;&lt;m:t&gt;+&lt;/m:t&gt;&lt;/m:r&gt;&lt;m:f&gt;&lt;m:fPr&gt;&lt;m:ctrlPr&gt;&lt;w:rPr&gt;&lt;w:rFonts w:ascii=&quot;Cambria Math&quot; w:h-ansi=&quot;Cambria Math&quot; w:cs=&quot;Calibri&quot;/&gt;&lt;wx:font wx:val=&quot;Cambria Math&quot;/&gt;&lt;/w:rPr&gt;&lt;/m:ctrlPr&gt;&lt;/m:fPr&gt;&lt;m:num&gt;&lt;m:sSub&gt;&lt;m:sSubPr&gt;&lt;m:ctrlPr&gt;&lt;w:rPr&gt;&lt;w:rFonts w:ascii=&quot;Cambria Math&quot; w:h-ansi=&quot;Cambria Math&quot; w:cs=&quot;Calibri&quot;/&gt;&lt;wx:font wx:val=&quot;Cambria Math&quot;/&gt;&lt;/w:rPr&gt;&lt;/m:ctrlPr&gt;&lt;/m:sSubPr&gt;&lt;m:e&gt;&lt;m:r&gt;&lt;w:rPr&gt;&lt;w:rFonts w:ascii=&quot;Cambria Math&quot; w:h-ansi=&quot;Cambria Math&quot; w:cs=&quot;Calibri&quot;/&gt;&lt;wx:font wx:val=&quot;Cambria Math&quot;/&gt;&lt;w:i/&gt;&lt;/w:rPr&gt;&lt;m:t&gt;E&lt;/m:t&gt;&lt;/m:r&gt;&lt;/m:e&gt;&lt;m:sub&gt;&lt;m:r&gt;&lt;w:rPr&gt;&lt;w:rFonts w:ascii=&quot;Cambria Math&quot; w:h-ansi=&quot;Cambria Math&quot; w:cs=&quot;Calibri&quot;/&gt;&lt;wx:font wx:val=&quot;Cambria Math&quot;/&gt;&lt;w:i/&gt;&lt;/w:rPr&gt;&lt;m:t&gt;GRAZE&lt;/m:t&gt;&lt;/m:r&gt;&lt;/m:sub&gt;&lt;/m:sSub&gt;&lt;/m:num&gt;&lt;m:den&gt;&lt;m:sSub&gt;&lt;m:sSubPr&gt;&lt;m:ctrlPr&gt;&lt;w:rPr&gt;&lt;w:rFonts w:ascii=&quot;Cambria Math&quot; w:h-ansi=&quot;Cambria Math&quot; w:cs=&quot;Calibri&quot;/&gt;&lt;wx:font wx:val=&quot;Cambria Math&quot;/&gt;&lt;/w:rPr&gt;&lt;/m:ctrlPr&gt;&lt;/m:sSubPr&gt;&lt;m:e&gt;&lt;m:r&gt;&lt;w:rPr&gt;&lt;w:rFonts w:ascii=&quot;Cambria Math&quot; w:h-ansi=&quot;Cambria Math&quot; w:cs=&quot;Calibri&quot;/&gt;&lt;wx:font wx:val=&quot;Cambria Math&quot;/&gt;&lt;w:i/&gt;&lt;/w:rPr&gt;&lt;m:t&gt;k&lt;/m:t&gt;&lt;/m:r&gt;&lt;/m:e&gt;&lt;m:sub&gt;&lt;m:r&gt;&lt;w:rPr&gt;&lt;w:rFonts w:ascii=&quot;Cambria Math&quot; w:h-ansi=&quot;Cambria Math&quot; w:cs=&quot;Calibri&quot;/&gt;&lt;wx:font wx:val=&quot;Cambria Math&quot;/&gt;&lt;w:i/&gt;&lt;/w:rPr&gt;&lt;m:t&gt;m&lt;/m:t&gt;&lt;/m:r&gt;&lt;/m:sub&gt;&lt;/m:sSub&gt;&lt;/m:den&gt;&lt;/m:f&gt;&lt;m:r&gt;&lt;w:rPr&gt;&lt;w:rFonts w:ascii=&quot;Cambria Math&quot; w:h-ansi=&quot;Cambria Math&quot; w:cs=&quot;Calibri&quot;/&gt;&lt;wx:font wx:val=&quot;Cambria Math&quot;/&gt;&lt;w:i/&gt;&lt;/w:rPr&gt;&lt;m:t&gt;+&lt;/m:t&gt;&lt;/m:r&gt;&lt;m:sSub&gt;&lt;m:sSubPr&gt;&lt;m:ctrlPr&gt;&lt;w:rPr&gt;&lt;w:rFonts w:ascii=&quot;Cambria Math&quot; w:h-ansi=&quot;Cambria Math&quot; w:cs=&quot;Calibri&quot;/&gt;&lt;wx:font wx:val=&quot;Cambria Math&quot;/&gt;&lt;w:i/&gt;&lt;/w:rPr&gt;&lt;/m:ctrlPr&gt;&lt;/m:sSubPr&gt;&lt;m:e&gt;&lt;m:r&gt;&lt;w:rPr&gt;&lt;w:rFonts w:ascii=&quot;Cambria Math&quot; w:h-ansi=&quot;Cambria Math&quot; w:cs=&quot;Calibri&quot;/&gt;&lt;wx:font wx:val=&quot;Cambria Math&quot;/&gt;&lt;w:i/&gt;&lt;/w:rPr&gt;&lt;m:t&gt;ME&lt;/m:t&gt;&lt;/m:r&gt;&lt;/m:e&gt;&lt;m:sub&gt;&lt;m:r&gt;&lt;w:rPr&gt;&lt;w:rFonts w:ascii=&quot;Cambria Math&quot; w:h-ansi=&quot;Cambria Math&quot; w:cs=&quot;Calibri&quot;/&gt;&lt;wx:font wx:val=&quot;Cambria Math&quot;/&gt;&lt;w:i/&gt;&lt;/w:rPr&gt;&lt;m:t&gt;c&lt;/m:t&gt;&lt;/m:r&gt;&lt;/m:sub&gt;&lt;/m:sSub&gt;&lt;/m:oMath&gt;&lt;/m:oMathPara&gt;&lt;/w:p&gt;&lt;w:sectPr wsp:rsidR=&quot;00000000&quot; wsp:rsidRPr=&quot;009673EA&quot;&gt;&lt;w:pgSz w:w=&quot;12240&quot; w:h=&quot;15840&quot;/&gt;&lt;w:pgMar w:top=&quot;1440&quot; w:right=&quot;1440&quot; w:bottom=&quot;1440&quot; w:left=&quot;1440&quot; w:header=&quot;720&quot; w:footer=&quot;720&quot; w:gutter=&quot;0&quot;/&gt;&lt;w:cols w:space=&quot;720&quot;/&gt;&lt;/w:sectPr&gt;&lt;/wx:sect&gt;&lt;/w:body&gt;&lt;/w:wordDocument&gt;">
            <v:imagedata r:id="rId115" o:title="" chromakey="white"/>
          </v:shape>
        </w:pict>
      </w:r>
    </w:p>
    <w:p w14:paraId="41D74E5F" w14:textId="77777777" w:rsidR="00F02481" w:rsidRPr="00BE78CA" w:rsidRDefault="00F02481" w:rsidP="00C26084">
      <w:pPr>
        <w:pStyle w:val="BodyText"/>
        <w:tabs>
          <w:tab w:val="left" w:pos="964"/>
        </w:tabs>
        <w:spacing w:after="60"/>
        <w:ind w:left="993" w:hanging="993"/>
      </w:pPr>
      <w:r w:rsidRPr="00BE78CA">
        <w:t>Where:</w:t>
      </w:r>
      <w:r w:rsidRPr="00BE78CA">
        <w:tab/>
        <w:t>K is the coefficient that accounts for differences in fasting heat production across species (CSIRO, 1990). This value is 1.0 for sheep and 1.4 for all cattle and deer (CSIRO, 2007)</w:t>
      </w:r>
    </w:p>
    <w:p w14:paraId="7BE66A2D" w14:textId="77777777" w:rsidR="00F02481" w:rsidRPr="00BE78CA" w:rsidRDefault="00F02481" w:rsidP="00C26084">
      <w:pPr>
        <w:pStyle w:val="BodyText"/>
        <w:spacing w:before="60" w:after="60"/>
        <w:ind w:left="964" w:hanging="964"/>
      </w:pPr>
      <w:r w:rsidRPr="00BE78CA">
        <w:tab/>
        <w:t>S is the coefficient that accounts for differences in basal metabolic rate between males and females. This value is 1.0 for females and castrates and 1.15 for entire mature males (CSIRO, 2007)</w:t>
      </w:r>
    </w:p>
    <w:p w14:paraId="51842E1E" w14:textId="77777777" w:rsidR="00F02481" w:rsidRPr="00BE78CA" w:rsidRDefault="00F02481" w:rsidP="00C26084">
      <w:pPr>
        <w:pStyle w:val="BodyText"/>
        <w:spacing w:before="60" w:after="60"/>
        <w:ind w:left="964"/>
      </w:pPr>
      <w:r w:rsidRPr="00BE78CA">
        <w:t>W is the liveweight (kg)</w:t>
      </w:r>
    </w:p>
    <w:p w14:paraId="56EA12C8" w14:textId="77777777" w:rsidR="00F02481" w:rsidRPr="00BE78CA" w:rsidRDefault="00F02481" w:rsidP="00C26084">
      <w:pPr>
        <w:pStyle w:val="BodyText"/>
        <w:spacing w:before="60" w:after="60"/>
        <w:ind w:left="964"/>
      </w:pPr>
      <w:r w:rsidRPr="00BE78CA">
        <w:t>A is the age in years, up to a maximum value of 6</w:t>
      </w:r>
    </w:p>
    <w:p w14:paraId="6CDF7359" w14:textId="77777777" w:rsidR="00F02481" w:rsidRPr="00BE78CA" w:rsidRDefault="00F02481" w:rsidP="00C26084">
      <w:pPr>
        <w:pStyle w:val="BodyText"/>
        <w:spacing w:before="60" w:after="60"/>
        <w:ind w:left="964"/>
      </w:pPr>
      <w:r w:rsidRPr="00BE78CA">
        <w:t>k</w:t>
      </w:r>
      <w:r w:rsidRPr="00BE78CA">
        <w:rPr>
          <w:vertAlign w:val="subscript"/>
        </w:rPr>
        <w:t>m</w:t>
      </w:r>
      <w:r w:rsidRPr="00BE78CA">
        <w:t xml:space="preserve"> is the net efficiency of use of ME for maintenance (ME</w:t>
      </w:r>
      <w:r w:rsidRPr="00BE78CA">
        <w:rPr>
          <w:vertAlign w:val="subscript"/>
        </w:rPr>
        <w:t>BASAL</w:t>
      </w:r>
      <w:r w:rsidRPr="00BE78CA">
        <w:t>), and</w:t>
      </w:r>
    </w:p>
    <w:p w14:paraId="5358FE5D" w14:textId="77777777" w:rsidR="00F02481" w:rsidRPr="00BE78CA" w:rsidRDefault="00F02481" w:rsidP="00C26084">
      <w:pPr>
        <w:pStyle w:val="BodyText"/>
        <w:spacing w:before="60"/>
        <w:ind w:left="964"/>
      </w:pPr>
      <w:r w:rsidRPr="00BE78CA">
        <w:t>E</w:t>
      </w:r>
      <w:r w:rsidRPr="00BE78CA">
        <w:rPr>
          <w:vertAlign w:val="subscript"/>
        </w:rPr>
        <w:t>GRAZE</w:t>
      </w:r>
      <w:r w:rsidRPr="00BE78CA">
        <w:t xml:space="preserve"> is the additional energy expenditure of livestock in cold stress.</w:t>
      </w:r>
    </w:p>
    <w:p w14:paraId="18231852" w14:textId="77777777" w:rsidR="00F02481" w:rsidRPr="00BE78CA" w:rsidRDefault="00F02481" w:rsidP="00126288">
      <w:pPr>
        <w:pStyle w:val="BodyText"/>
        <w:spacing w:after="100"/>
      </w:pPr>
      <w:r w:rsidRPr="00BE78CA">
        <w:rPr>
          <w:rFonts w:cs="Calibri"/>
          <w:spacing w:val="-2"/>
        </w:rPr>
        <w:t xml:space="preserve">For further details, see the inventory methodology document on the MPI website </w:t>
      </w:r>
      <w:hyperlink r:id="rId116" w:history="1">
        <w:r w:rsidRPr="00BE78CA">
          <w:t>(www.mpi.govt.nz/news-and-resources/statistics-and-forecasting/greenhouse-gas-reporting</w:t>
        </w:r>
      </w:hyperlink>
      <w:r w:rsidRPr="00BE78CA">
        <w:t>).</w:t>
      </w:r>
    </w:p>
    <w:p w14:paraId="1568AFCC" w14:textId="77777777" w:rsidR="00F02481" w:rsidRPr="00BE78CA" w:rsidRDefault="00F02481" w:rsidP="00C26084">
      <w:pPr>
        <w:pStyle w:val="Heading5"/>
        <w:rPr>
          <w:rFonts w:cs="Calibri"/>
          <w:b/>
        </w:rPr>
      </w:pPr>
      <w:r w:rsidRPr="00BE78CA">
        <w:rPr>
          <w:rFonts w:cs="Calibri"/>
        </w:rPr>
        <w:t xml:space="preserve">Monthly diet energy (E) concentration </w:t>
      </w:r>
    </w:p>
    <w:p w14:paraId="6C2CECD0" w14:textId="44FAF780" w:rsidR="00F02481" w:rsidRPr="00BE78CA" w:rsidRDefault="00F02481" w:rsidP="00C26084">
      <w:pPr>
        <w:pStyle w:val="BodyText"/>
        <w:rPr>
          <w:rFonts w:cs="Calibri"/>
          <w:strike/>
        </w:rPr>
      </w:pPr>
      <w:r w:rsidRPr="00BE78CA">
        <w:rPr>
          <w:rFonts w:cs="Calibri"/>
        </w:rPr>
        <w:t>Dairy cattle, beef cattle, sheep and deer are predominantly fed on pasture all year round. Data sets of estimated monthly energy concentrations of pasture consumed by different livestock species are used in the Agriculture inventory model. This diet may be supplemented with feeds of various types, such as pasture hay and silage, and a range of different crops. Data on the concentration of pasture are reported in the inventory methodology document (Pickering et al., 2020, appendices 3, 9 and 19) and are derived from published and unpublished research trial data and supplemented with additional data from farm surveys on commercial cattle and sheep farms.</w:t>
      </w:r>
    </w:p>
    <w:p w14:paraId="1285E140" w14:textId="77777777" w:rsidR="00F02481" w:rsidRPr="00BE78CA" w:rsidRDefault="00F02481" w:rsidP="00C26084">
      <w:pPr>
        <w:pStyle w:val="BodyText"/>
        <w:rPr>
          <w:rFonts w:cs="Calibri"/>
        </w:rPr>
      </w:pPr>
      <w:r w:rsidRPr="00BE78CA">
        <w:rPr>
          <w:rFonts w:cs="Calibri"/>
        </w:rPr>
        <w:lastRenderedPageBreak/>
        <w:t>To ensure consistency across the livestock emission source categories, a single enhanced livestock population characterisation and DMI estimate is produced by the Tier 2 model. The enhanced livestock characterisation and DMI is used to estimate CH</w:t>
      </w:r>
      <w:r w:rsidRPr="00BE78CA">
        <w:rPr>
          <w:rFonts w:cs="Calibri"/>
          <w:vertAlign w:val="subscript"/>
        </w:rPr>
        <w:t>4</w:t>
      </w:r>
      <w:r w:rsidRPr="00BE78CA">
        <w:rPr>
          <w:rFonts w:cs="Calibri"/>
        </w:rPr>
        <w:t xml:space="preserve"> emissions for the </w:t>
      </w:r>
      <w:r w:rsidRPr="00BE78CA">
        <w:rPr>
          <w:rFonts w:cs="Calibri"/>
          <w:i/>
          <w:iCs/>
        </w:rPr>
        <w:t xml:space="preserve">Enteric fermentation </w:t>
      </w:r>
      <w:r w:rsidRPr="00BE78CA">
        <w:rPr>
          <w:rFonts w:cs="Calibri"/>
        </w:rPr>
        <w:t>category, CH</w:t>
      </w:r>
      <w:r w:rsidRPr="00BE78CA">
        <w:rPr>
          <w:rFonts w:cs="Calibri"/>
          <w:vertAlign w:val="subscript"/>
        </w:rPr>
        <w:t>4</w:t>
      </w:r>
      <w:r w:rsidRPr="00BE78CA">
        <w:rPr>
          <w:rFonts w:cs="Calibri"/>
        </w:rPr>
        <w:t xml:space="preserve"> and N</w:t>
      </w:r>
      <w:r w:rsidRPr="00BE78CA">
        <w:rPr>
          <w:rFonts w:cs="Calibri"/>
          <w:vertAlign w:val="subscript"/>
        </w:rPr>
        <w:t>2</w:t>
      </w:r>
      <w:r w:rsidRPr="00BE78CA">
        <w:rPr>
          <w:rFonts w:cs="Calibri"/>
        </w:rPr>
        <w:t xml:space="preserve">O emissions for the </w:t>
      </w:r>
      <w:r w:rsidRPr="00BE78CA">
        <w:rPr>
          <w:rFonts w:cs="Calibri"/>
          <w:i/>
          <w:iCs/>
        </w:rPr>
        <w:t>Manure management</w:t>
      </w:r>
      <w:r w:rsidRPr="00BE78CA">
        <w:rPr>
          <w:rFonts w:cs="Calibri"/>
        </w:rPr>
        <w:t xml:space="preserve"> category and N</w:t>
      </w:r>
      <w:r w:rsidRPr="00BE78CA">
        <w:rPr>
          <w:rFonts w:cs="Calibri"/>
          <w:vertAlign w:val="subscript"/>
        </w:rPr>
        <w:t>2</w:t>
      </w:r>
      <w:r w:rsidRPr="00BE78CA">
        <w:rPr>
          <w:rFonts w:cs="Calibri"/>
        </w:rPr>
        <w:t xml:space="preserve">O emissions for urine and dung deposited by grazing animals onto pasture in the </w:t>
      </w:r>
      <w:r w:rsidRPr="00BE78CA">
        <w:rPr>
          <w:rFonts w:cs="Calibri"/>
          <w:i/>
          <w:iCs/>
        </w:rPr>
        <w:t>Agricultural soils</w:t>
      </w:r>
      <w:r w:rsidRPr="00BE78CA">
        <w:rPr>
          <w:rFonts w:cs="Calibri"/>
        </w:rPr>
        <w:t xml:space="preserve"> category.</w:t>
      </w:r>
    </w:p>
    <w:p w14:paraId="351F0721" w14:textId="77777777" w:rsidR="00F02481" w:rsidRPr="00BE78CA" w:rsidRDefault="00F02481" w:rsidP="00C26084">
      <w:pPr>
        <w:pStyle w:val="Heading3"/>
      </w:pPr>
      <w:bookmarkStart w:id="555" w:name="_Toc32570646"/>
      <w:r w:rsidRPr="00BE78CA">
        <w:t xml:space="preserve">5.1.4 </w:t>
      </w:r>
      <w:r w:rsidRPr="00BE78CA">
        <w:tab/>
        <w:t>Activity data</w:t>
      </w:r>
      <w:bookmarkEnd w:id="555"/>
    </w:p>
    <w:p w14:paraId="02613D48" w14:textId="77777777" w:rsidR="00F02481" w:rsidRPr="00BE78CA" w:rsidRDefault="00F02481" w:rsidP="002E6A40">
      <w:pPr>
        <w:pStyle w:val="Heading4"/>
        <w:spacing w:before="200"/>
      </w:pPr>
      <w:r w:rsidRPr="00BE78CA">
        <w:t xml:space="preserve">Major livestock categories </w:t>
      </w:r>
    </w:p>
    <w:p w14:paraId="6778A0C9" w14:textId="4EA9E06A" w:rsidR="00F02481" w:rsidRPr="00BE78CA" w:rsidRDefault="00F02481" w:rsidP="00C26084">
      <w:pPr>
        <w:pStyle w:val="BodyText"/>
        <w:spacing w:before="100" w:after="100"/>
        <w:rPr>
          <w:rFonts w:cs="Calibri"/>
        </w:rPr>
      </w:pPr>
      <w:r w:rsidRPr="00BE78CA">
        <w:rPr>
          <w:rFonts w:cs="Calibri"/>
        </w:rPr>
        <w:t xml:space="preserve">The Tier 2 methodology developed by New Zealand uses data on livestock population and productivity to calculate livestock energy requirements. Animal population data are collected by Stats NZ. Productivity data are available from the Livestock Improvement Corporation (LIC) and industry-good organisations such as Beef + Lamb New Zealand Ltd and Deer Industry New Zealand, which regularly collect animal sector statistics. Statistics on animal carcass weights are collected by MPI from all major meat processors and are used to derive liveweights. </w:t>
      </w:r>
    </w:p>
    <w:p w14:paraId="19BD309E" w14:textId="77777777" w:rsidR="00F02481" w:rsidRPr="00BE78CA" w:rsidRDefault="00F02481" w:rsidP="00C26084">
      <w:pPr>
        <w:pStyle w:val="BodyText"/>
        <w:spacing w:before="100" w:after="100"/>
        <w:rPr>
          <w:rFonts w:cs="Calibri"/>
        </w:rPr>
      </w:pPr>
      <w:r w:rsidRPr="00BE78CA">
        <w:rPr>
          <w:rFonts w:cs="Calibri"/>
        </w:rPr>
        <w:t>A challenge for New Zealand activity data is that the inventory is calculated on a calendar year, while New Zealand uses a June year end for animal statistics because this reflects the natural biological cycle for animals in the southern hemisphere. New Zealand developed a Tier 2 model that estimates livestock emissions on a monthly time step, beginning on 1 July of one calendar year and ending on 30 June of the next year. To calculate emissions for a single calendar year (January–December), the calculated emissions data from the last six months of a July–June year are combined with the first six months’ emissions of the next July–June year. This approach enables comparisons with the agricultural inventories of other countries.</w:t>
      </w:r>
    </w:p>
    <w:p w14:paraId="09FECF9B" w14:textId="5766C9A2" w:rsidR="00F02481" w:rsidRPr="00BE78CA" w:rsidRDefault="00F02481" w:rsidP="00C26084">
      <w:pPr>
        <w:pStyle w:val="BodyText"/>
        <w:rPr>
          <w:rFonts w:cs="Calibri"/>
        </w:rPr>
      </w:pPr>
      <w:r w:rsidRPr="00BE78CA">
        <w:rPr>
          <w:rFonts w:cs="Calibri"/>
          <w:iCs/>
        </w:rPr>
        <w:t>Dairy cattle</w:t>
      </w:r>
      <w:r w:rsidRPr="00BE78CA">
        <w:rPr>
          <w:rFonts w:cs="Calibri"/>
        </w:rPr>
        <w:t xml:space="preserve"> is the only livestock </w:t>
      </w:r>
      <w:r w:rsidR="00AA08B7" w:rsidRPr="00BE78CA">
        <w:rPr>
          <w:rFonts w:cs="Calibri"/>
        </w:rPr>
        <w:t xml:space="preserve">type </w:t>
      </w:r>
      <w:r w:rsidRPr="00BE78CA">
        <w:rPr>
          <w:rFonts w:cs="Calibri"/>
        </w:rPr>
        <w:t xml:space="preserve">where emissions are calculated on a sub-national regional area basis represented by regional councils, which allows the inventory to take into account regional differences in productivity for dairy livestock as a result of New Zealand’s microclimates (Clark, 2008a). A regional emissions assessment is not carried out for other livestock types because regional productivity data are currently unable to be integrated into the national population data. </w:t>
      </w:r>
    </w:p>
    <w:p w14:paraId="0F6F1540" w14:textId="77777777" w:rsidR="00F02481" w:rsidRPr="00BE78CA" w:rsidRDefault="00F02481" w:rsidP="00C26084">
      <w:pPr>
        <w:pStyle w:val="Heading5"/>
      </w:pPr>
      <w:r w:rsidRPr="00BE78CA">
        <w:t xml:space="preserve">Animal population data </w:t>
      </w:r>
    </w:p>
    <w:p w14:paraId="338EE49C" w14:textId="77777777" w:rsidR="00F02481" w:rsidRPr="00BE78CA" w:rsidRDefault="00F02481" w:rsidP="00C26084">
      <w:pPr>
        <w:pStyle w:val="BodyText"/>
        <w:rPr>
          <w:rFonts w:cs="Calibri"/>
        </w:rPr>
      </w:pPr>
      <w:r w:rsidRPr="00BE78CA">
        <w:rPr>
          <w:rFonts w:cs="Calibri"/>
        </w:rPr>
        <w:t>Stats NZ collects animal population data on a territorial authority basis. Animal population data are collected on an annual basis through the Agricultural Production census and Agricultural Production survey. The census occurs every five years (the most recent occurred in 2017) and the survey is conducted in the interim years. The only difference between these two processes is the sample size, a census attempts to gather information from the entire target population, and a survey attempts to gather information from a representative sample of that population. Further details about the scope and accuracy of the Stats NZ Agricultural Production data collection are provided in annex 3.1.</w:t>
      </w:r>
    </w:p>
    <w:p w14:paraId="0BE4FC88" w14:textId="77777777" w:rsidR="00F02481" w:rsidRPr="00BE78CA" w:rsidRDefault="00F02481" w:rsidP="00C26084">
      <w:pPr>
        <w:pStyle w:val="BodyText"/>
      </w:pPr>
      <w:r w:rsidRPr="00BE78CA">
        <w:t xml:space="preserve">The timing of Stats NZ final data releases (June the year after the survey) and the inventory submission deadlines means data from an MPI </w:t>
      </w:r>
      <w:r w:rsidRPr="00BE78CA">
        <w:rPr>
          <w:i/>
          <w:iCs/>
        </w:rPr>
        <w:t>Expectations Report</w:t>
      </w:r>
      <w:r w:rsidRPr="00BE78CA">
        <w:t xml:space="preserve"> (see chapter 10.1.3 for more detail) have been used in the 2021 (1990–2019) submission. The 2021 submission results will be updated with final data from Stats NZ in the 2022 (1990–2020) submission. This affects 2020 livestock population data only, which are needed to estimate emissions for the 2019 year.</w:t>
      </w:r>
    </w:p>
    <w:p w14:paraId="6AB8A84C" w14:textId="66132E41" w:rsidR="00F02481" w:rsidRPr="00BE78CA" w:rsidRDefault="00F02481" w:rsidP="00C26084">
      <w:pPr>
        <w:pStyle w:val="BodyText"/>
      </w:pPr>
      <w:r w:rsidRPr="00BE78CA">
        <w:lastRenderedPageBreak/>
        <w:t xml:space="preserve">The New Zealand </w:t>
      </w:r>
      <w:r w:rsidR="00543CC9" w:rsidRPr="00BE78CA">
        <w:t>A</w:t>
      </w:r>
      <w:r w:rsidRPr="00BE78CA">
        <w:t>griculture inventory uses a country-specific population characterisation for pasture-based livestock compared with the default recommended by the Intergovernmental Panel on Climate Change (IPCC) for Tier 2 inventories (IPCC, 2000, 2006). The full list of categories for the major livestock populations can be found in annex 3.1 and in the inventory methodology document on the MPI website (</w:t>
      </w:r>
      <w:hyperlink r:id="rId117" w:history="1">
        <w:r w:rsidRPr="00BE78CA">
          <w:rPr>
            <w:rStyle w:val="Hyperlink"/>
          </w:rPr>
          <w:t>www.mpi.govt.nz/news-and-resources/statistics-and-forecasting/greenhouse-gas-reporting</w:t>
        </w:r>
      </w:hyperlink>
      <w:r w:rsidRPr="00BE78CA">
        <w:t xml:space="preserve">). </w:t>
      </w:r>
    </w:p>
    <w:p w14:paraId="491D62F8" w14:textId="098FE1DC" w:rsidR="00F02481" w:rsidRPr="00BE78CA" w:rsidRDefault="00F02481" w:rsidP="00C26084">
      <w:pPr>
        <w:pStyle w:val="BodyText"/>
        <w:spacing w:before="100" w:after="100"/>
        <w:rPr>
          <w:rFonts w:cs="Calibri"/>
        </w:rPr>
      </w:pPr>
      <w:r w:rsidRPr="00BE78CA">
        <w:rPr>
          <w:rFonts w:cs="Calibri"/>
        </w:rPr>
        <w:t xml:space="preserve">Dairy cattle encompass all cattle that support the milking dairy herd. In addition to dairy heifers, this includes calves, young growing non-lactating heifers, dry cows and dairy bulls. All other cattle in New Zealand are characterised as beef cattle. These include </w:t>
      </w:r>
      <w:r w:rsidR="00AA08B7" w:rsidRPr="00BE78CA">
        <w:rPr>
          <w:rFonts w:cs="Calibri"/>
        </w:rPr>
        <w:t>beef</w:t>
      </w:r>
      <w:r w:rsidRPr="00BE78CA">
        <w:rPr>
          <w:rFonts w:cs="Calibri"/>
        </w:rPr>
        <w:t xml:space="preserve"> breeding lactating cows used for producing slaughter animals, such as calves, dry cows, bulls and all slaughter classes. A proportion of female calves not required for dairy replacements, and dairy bull calves, are transferred into the </w:t>
      </w:r>
      <w:r w:rsidR="00AA08B7" w:rsidRPr="00BE78CA">
        <w:rPr>
          <w:rFonts w:cs="Calibri"/>
        </w:rPr>
        <w:t>beef</w:t>
      </w:r>
      <w:r w:rsidRPr="00BE78CA">
        <w:rPr>
          <w:rFonts w:cs="Calibri"/>
        </w:rPr>
        <w:t xml:space="preserve"> herd and are slaughtered for meat consumption, generally at 18 to 24 months of age.</w:t>
      </w:r>
    </w:p>
    <w:p w14:paraId="076AAB80" w14:textId="6D157AAD" w:rsidR="00F02481" w:rsidRPr="00BE78CA" w:rsidRDefault="00F02481" w:rsidP="00C26084">
      <w:pPr>
        <w:pStyle w:val="BodyText"/>
        <w:spacing w:before="100" w:after="100"/>
        <w:rPr>
          <w:rFonts w:cs="Calibri"/>
        </w:rPr>
      </w:pPr>
      <w:r w:rsidRPr="00BE78CA">
        <w:rPr>
          <w:rFonts w:cs="Calibri"/>
        </w:rPr>
        <w:t>A detailed livestock population model is used to calculate monthly populations for dairy cattle, beef cattle, sheep and deer (see annex 3, table A3.1.2 for the full list of categories).</w:t>
      </w:r>
    </w:p>
    <w:p w14:paraId="2241F417" w14:textId="77777777" w:rsidR="00F02481" w:rsidRPr="00BE78CA" w:rsidRDefault="00F02481" w:rsidP="00C26084">
      <w:pPr>
        <w:pStyle w:val="BodyText"/>
        <w:spacing w:before="100" w:after="100"/>
        <w:rPr>
          <w:rFonts w:cs="Calibri"/>
          <w:spacing w:val="-2"/>
        </w:rPr>
      </w:pPr>
      <w:r w:rsidRPr="00BE78CA">
        <w:rPr>
          <w:rFonts w:cs="Calibri"/>
          <w:spacing w:val="-2"/>
        </w:rPr>
        <w:t>This monthly population delineation has been developed by using industry knowledge and assumptions as detailed in Clark (2008b), Thomson et al. (2010, unpublished) and Suttie (2012). Populations within a given year are adjusted on a monthly basis to account for births, deaths and transfers between age groups. For example, most lambs are born and slaughtered between August and May, their numbers therefore do not appear in the June census or survey data. Additionally, male and female dairy calves not necessary for replacements are usually slaughtered at four days of age or transferred to the non-dairy herd. The monthly population model ensures that the calculated feed demand more accurately reflects the status of each livestock category at a particular time of the year. Average national estimates of monthly birth and death rates are used, which are based on expert opinion. In reality, these vary across the country, between faming species and between farms.</w:t>
      </w:r>
    </w:p>
    <w:p w14:paraId="573DDEBC" w14:textId="77777777" w:rsidR="00F02481" w:rsidRPr="00BE78CA" w:rsidRDefault="00F02481" w:rsidP="00C26084">
      <w:pPr>
        <w:pStyle w:val="Heading5"/>
        <w:spacing w:before="200"/>
        <w:rPr>
          <w:rFonts w:cs="Calibri"/>
        </w:rPr>
      </w:pPr>
      <w:r w:rsidRPr="00BE78CA">
        <w:rPr>
          <w:rFonts w:cs="Calibri"/>
        </w:rPr>
        <w:t xml:space="preserve">Animal productivity data </w:t>
      </w:r>
    </w:p>
    <w:p w14:paraId="7B96BDF7" w14:textId="02F96CC1" w:rsidR="00F02481" w:rsidRPr="00BE78CA" w:rsidRDefault="00F02481" w:rsidP="00C26084">
      <w:pPr>
        <w:pStyle w:val="BodyText"/>
        <w:spacing w:before="100" w:after="100"/>
        <w:rPr>
          <w:rFonts w:cs="Calibri"/>
        </w:rPr>
      </w:pPr>
      <w:r w:rsidRPr="00BE78CA">
        <w:rPr>
          <w:rFonts w:cs="Calibri"/>
        </w:rPr>
        <w:t xml:space="preserve">Animal productivity data are obtained from LIC and DairyNZ (2020), Beef + Lamb New Zealand Ltd (2020) and Deer Industry New Zealand. These are non-governmental, industry-good levy bodies providing services to the dairy cattle, beef cattle, sheep and deer industries. </w:t>
      </w:r>
    </w:p>
    <w:p w14:paraId="6102AD9B" w14:textId="77777777" w:rsidR="00F02481" w:rsidRPr="00BE78CA" w:rsidRDefault="00F02481" w:rsidP="00C26084">
      <w:pPr>
        <w:pStyle w:val="BodyText"/>
        <w:spacing w:before="100" w:after="100"/>
        <w:rPr>
          <w:rFonts w:cs="Calibri"/>
        </w:rPr>
      </w:pPr>
      <w:r w:rsidRPr="00BE78CA">
        <w:rPr>
          <w:rFonts w:cs="Calibri"/>
        </w:rPr>
        <w:t xml:space="preserve">Slaughter statistics are collected by MPI and are used as a proxy to establish changes in animal </w:t>
      </w:r>
      <w:r w:rsidRPr="00BE78CA">
        <w:t>liveweight over time (</w:t>
      </w:r>
      <w:hyperlink r:id="rId118" w:history="1">
        <w:r w:rsidRPr="00BE78CA">
          <w:rPr>
            <w:rStyle w:val="Hyperlink"/>
          </w:rPr>
          <w:t>www.mpi.govt.nz/news-and-resources/open-data-and-forecasting/ agriculture</w:t>
        </w:r>
      </w:hyperlink>
      <w:r w:rsidRPr="00BE78CA">
        <w:t>). Animal liveweight is derived from published slaughter-weight statistics and general nationally derived killing-out percentages (Clark et al., 2003; Muir et al., 2008; Muir</w:t>
      </w:r>
      <w:r w:rsidRPr="00BE78CA">
        <w:rPr>
          <w:rFonts w:cs="Calibri"/>
        </w:rPr>
        <w:t xml:space="preserve"> and Thomson, 2010). </w:t>
      </w:r>
    </w:p>
    <w:p w14:paraId="3ECAFD55" w14:textId="152534F8" w:rsidR="00F02481" w:rsidRPr="00BE78CA" w:rsidRDefault="00F02481" w:rsidP="00C26084">
      <w:pPr>
        <w:pStyle w:val="BodyText"/>
      </w:pPr>
      <w:r w:rsidRPr="00BE78CA">
        <w:t>The same data sources are used each year to ensure consistency. Other information, such as</w:t>
      </w:r>
      <w:r w:rsidR="007611EB" w:rsidRPr="00BE78CA">
        <w:t xml:space="preserve"> </w:t>
      </w:r>
      <w:r w:rsidRPr="00BE78CA">
        <w:t xml:space="preserve">the liveweight of </w:t>
      </w:r>
      <w:r w:rsidR="00AA08B7" w:rsidRPr="00BE78CA">
        <w:t>beef</w:t>
      </w:r>
      <w:r w:rsidRPr="00BE78CA">
        <w:t xml:space="preserve"> cattle and breeding bulls, is collected at irregular intervals from</w:t>
      </w:r>
      <w:r w:rsidR="007611EB" w:rsidRPr="00BE78CA">
        <w:t xml:space="preserve"> </w:t>
      </w:r>
      <w:r w:rsidRPr="00BE78CA">
        <w:t xml:space="preserve">small survey populations. For years when data are not available, expert opinion and extrapolation from existing data are used. </w:t>
      </w:r>
    </w:p>
    <w:p w14:paraId="0C65808C" w14:textId="77777777" w:rsidR="00F02481" w:rsidRPr="00BE78CA" w:rsidRDefault="00F02481" w:rsidP="00C26084">
      <w:pPr>
        <w:pStyle w:val="BodyText"/>
      </w:pPr>
      <w:r w:rsidRPr="00BE78CA">
        <w:rPr>
          <w:b/>
          <w:bCs/>
          <w:i/>
          <w:iCs/>
        </w:rPr>
        <w:t>Dairy cattle – milk production:</w:t>
      </w:r>
      <w:r w:rsidRPr="00BE78CA">
        <w:t xml:space="preserve"> Regional data on milk production, proportions of dairy cattle breeds and animal liveweights are provided by LIC and published annually. These data are collectively compiled by LIC and DairyNZ. </w:t>
      </w:r>
    </w:p>
    <w:p w14:paraId="2D012618" w14:textId="77777777" w:rsidR="00F02481" w:rsidRPr="00BE78CA" w:rsidRDefault="00F02481" w:rsidP="00C26084">
      <w:pPr>
        <w:pStyle w:val="BodyText"/>
      </w:pPr>
      <w:r w:rsidRPr="00BE78CA">
        <w:t xml:space="preserve">Data on New Zealand’s total milk production originate from the amount of milk processed through New Zealand dairy factories for both the export and domestic markets. Data on </w:t>
      </w:r>
      <w:r w:rsidRPr="00BE78CA">
        <w:lastRenderedPageBreak/>
        <w:t xml:space="preserve">individual animal production are sourced from the Dairy Core Database, the regulated portion of LIC’s database that holds core production data from cow herds tested in New Zealand. Dairy farmers are paid on total kilograms of milk solids (fat and protein) collected. Tankers that collect the milk also meter the milk collected from individual farms. These meters are regularly calibrated and audited. Milk samples from individual farms are also independently tested for milk solids, milk fat percentage and protein content. </w:t>
      </w:r>
    </w:p>
    <w:p w14:paraId="201F3924" w14:textId="77777777" w:rsidR="00F02481" w:rsidRPr="00BE78CA" w:rsidRDefault="00F02481" w:rsidP="00C26084">
      <w:pPr>
        <w:pStyle w:val="BodyText"/>
      </w:pPr>
      <w:r w:rsidRPr="00BE78CA">
        <w:t xml:space="preserve">LIC provides annual milk production data (milk yield and composition), but the Tier 2 livestock model operates on a monthly time step. Monthly milk production is determined by multiplying the assumed proportion of annual milk production for each month by the total annual milk production (see annex 3, table A3.1.3). Milk production commences from mid-July to early August every year, peaking around October–November and declines during autumn (April–May in the southern hemisphere). Milk production is low to non-existent in June and July in most herds (see figure 5.1.6). </w:t>
      </w:r>
    </w:p>
    <w:p w14:paraId="68DFEC6C" w14:textId="77777777" w:rsidR="00F02481" w:rsidRPr="00BE78CA" w:rsidRDefault="00F02481" w:rsidP="00C26084">
      <w:pPr>
        <w:pStyle w:val="BodyText"/>
      </w:pPr>
      <w:r w:rsidRPr="00BE78CA">
        <w:t xml:space="preserve">Annual milk yields per animal have been obtained and reported as additional data in the CRF tables for Annex I country inventories by dividing the total milk produced by the total number of milking dairy cows and heifers. </w:t>
      </w:r>
    </w:p>
    <w:p w14:paraId="717DDCF9" w14:textId="77777777" w:rsidR="00F02481" w:rsidRPr="00BE78CA" w:rsidRDefault="00F02481" w:rsidP="00C26084">
      <w:pPr>
        <w:pStyle w:val="Figure"/>
      </w:pPr>
      <w:bookmarkStart w:id="556" w:name="_Toc481752011"/>
      <w:bookmarkStart w:id="557" w:name="_Toc507158470"/>
      <w:bookmarkStart w:id="558" w:name="_Toc511116961"/>
      <w:bookmarkStart w:id="559" w:name="_Toc5269691"/>
      <w:bookmarkStart w:id="560" w:name="_Toc32570962"/>
      <w:bookmarkStart w:id="561" w:name="_Toc36292792"/>
      <w:bookmarkStart w:id="562" w:name="_Toc68786657"/>
      <w:r w:rsidRPr="00BE78CA">
        <w:t xml:space="preserve">Figure 5.1.6 </w:t>
      </w:r>
      <w:r w:rsidRPr="00BE78CA">
        <w:tab/>
        <w:t xml:space="preserve">National monthly milk production in New Zealand from 2016 to </w:t>
      </w:r>
      <w:bookmarkEnd w:id="556"/>
      <w:r w:rsidRPr="00BE78CA">
        <w:t>201</w:t>
      </w:r>
      <w:bookmarkEnd w:id="557"/>
      <w:bookmarkEnd w:id="558"/>
      <w:bookmarkEnd w:id="559"/>
      <w:bookmarkEnd w:id="560"/>
      <w:bookmarkEnd w:id="561"/>
      <w:r w:rsidRPr="00BE78CA">
        <w:t>9</w:t>
      </w:r>
      <w:bookmarkEnd w:id="562"/>
    </w:p>
    <w:p w14:paraId="04933253" w14:textId="5E0B9A49" w:rsidR="00F02481" w:rsidRPr="00BE78CA" w:rsidRDefault="00087879" w:rsidP="00C26084">
      <w:pPr>
        <w:pStyle w:val="BodyText"/>
        <w:spacing w:before="0"/>
        <w:rPr>
          <w:rFonts w:cs="Calibri"/>
        </w:rPr>
      </w:pPr>
      <w:r>
        <w:pict w14:anchorId="05972CA3">
          <v:shape id="_x0000_i1040" type="#_x0000_t75" style="width:407.55pt;height:221.45pt;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">
            <v:imagedata r:id="rId119" o:title="" cropbottom="2489f" cropright="2698f"/>
            <o:lock v:ext="edit" aspectratio="f"/>
          </v:shape>
        </w:pict>
      </w:r>
    </w:p>
    <w:p w14:paraId="1DFE42FE" w14:textId="77777777" w:rsidR="00F02481" w:rsidRPr="00BE78CA" w:rsidRDefault="00F02481" w:rsidP="00C26084">
      <w:pPr>
        <w:pStyle w:val="Source"/>
        <w:rPr>
          <w:rFonts w:cs="Calibri"/>
          <w:b/>
          <w:bCs/>
        </w:rPr>
      </w:pPr>
      <w:r w:rsidRPr="00BE78CA">
        <w:rPr>
          <w:rFonts w:cs="Calibri"/>
          <w:b/>
          <w:bCs/>
        </w:rPr>
        <w:t>Source</w:t>
      </w:r>
      <w:r w:rsidRPr="00BE78CA">
        <w:rPr>
          <w:rFonts w:cs="Calibri"/>
        </w:rPr>
        <w:t>: Dairy Companies Association of New Zealand (2019)</w:t>
      </w:r>
    </w:p>
    <w:p w14:paraId="3E5CBD86" w14:textId="77777777" w:rsidR="00F02481" w:rsidRPr="00BE78CA" w:rsidRDefault="00F02481" w:rsidP="00C26084">
      <w:pPr>
        <w:pStyle w:val="BodyText"/>
        <w:rPr>
          <w:rFonts w:cs="Calibri"/>
          <w:spacing w:val="-2"/>
        </w:rPr>
      </w:pPr>
      <w:r w:rsidRPr="00BE78CA">
        <w:rPr>
          <w:rFonts w:cs="Calibri"/>
          <w:spacing w:val="-2"/>
        </w:rPr>
        <w:t xml:space="preserve">Before 1993, no productivity data were collected at a territorial authority level, so pre-1993 data have been estimated by extrapolating from the trends observed in existing data from 1994 to 2008. </w:t>
      </w:r>
    </w:p>
    <w:p w14:paraId="06DFA0D0" w14:textId="77777777" w:rsidR="00F02481" w:rsidRPr="00BE78CA" w:rsidRDefault="00F02481" w:rsidP="00C26084">
      <w:pPr>
        <w:pStyle w:val="BodyText"/>
        <w:rPr>
          <w:rFonts w:cs="Calibri"/>
        </w:rPr>
      </w:pPr>
      <w:r w:rsidRPr="00BE78CA">
        <w:rPr>
          <w:rFonts w:cs="Calibri"/>
        </w:rPr>
        <w:t>Before 2004, not all productivity data required could be collected from LIC at a territorial authority level. From 1993 to 2003, annual milk yield per cow was determined by the following equation:</w:t>
      </w:r>
    </w:p>
    <w:bookmarkStart w:id="563" w:name="_MON_1579592448"/>
    <w:bookmarkEnd w:id="563"/>
    <w:p w14:paraId="4C290AF4" w14:textId="7B7C9C27" w:rsidR="00F02481" w:rsidRPr="00BE78CA" w:rsidRDefault="00620DC2" w:rsidP="00C26084">
      <w:pPr>
        <w:pStyle w:val="BodyText"/>
        <w:spacing w:before="0" w:after="0"/>
        <w:rPr>
          <w:rFonts w:cs="Calibri"/>
        </w:rPr>
      </w:pPr>
      <w:r w:rsidRPr="00BE78CA">
        <w:rPr>
          <w:rFonts w:cs="Calibri"/>
        </w:rPr>
        <w:object w:dxaOrig="6539" w:dyaOrig="701" w14:anchorId="13981640">
          <v:shape id="_x0000_i1041" type="#_x0000_t75" style="width:327.4pt;height:36pt" o:ole="">
            <v:imagedata r:id="rId120" o:title="" cropbottom="13577f"/>
          </v:shape>
          <o:OLEObject Type="Embed" ProgID="Word.Document.12" ShapeID="_x0000_i1041" DrawAspect="Content" ObjectID="_1679402764" r:id="rId121">
            <o:FieldCodes>\s</o:FieldCodes>
          </o:OLEObject>
        </w:object>
      </w:r>
    </w:p>
    <w:p w14:paraId="5D95FFBE" w14:textId="77777777" w:rsidR="00F02481" w:rsidRPr="00BE78CA" w:rsidRDefault="00F02481" w:rsidP="00C26084">
      <w:pPr>
        <w:pStyle w:val="BodyText"/>
        <w:rPr>
          <w:rFonts w:cs="Calibri"/>
        </w:rPr>
      </w:pPr>
      <w:r w:rsidRPr="00BE78CA">
        <w:rPr>
          <w:rFonts w:cs="Calibri"/>
        </w:rPr>
        <w:t xml:space="preserve">From 2004 onwards, productivity data have been collected by LIC at a similar territorial authority level as the livestock population data collected by Stats NZ. MPI officials aggregate the territorial data up into the regional council boundaries used for the population data. </w:t>
      </w:r>
    </w:p>
    <w:p w14:paraId="5E80F257" w14:textId="77777777" w:rsidR="00F02481" w:rsidRPr="00BE78CA" w:rsidRDefault="00F02481" w:rsidP="00620DC2">
      <w:pPr>
        <w:pStyle w:val="BodyText"/>
        <w:spacing w:after="100"/>
        <w:rPr>
          <w:rFonts w:cs="Calibri"/>
        </w:rPr>
      </w:pPr>
      <w:r w:rsidRPr="00BE78CA">
        <w:rPr>
          <w:rFonts w:cs="Calibri"/>
        </w:rPr>
        <w:lastRenderedPageBreak/>
        <w:t xml:space="preserve">Approximately 75 per cent of all dairy cattle in milk were tested by LIC for milk production, along with the milk tested for milk fat and protein levels in the 2019/20 season (LIC and DairyNZ, 2020). LIC also does genetic testing to identify key breeding stock and their genetic background. Genetic improvement has contributed to the productivity improvements in the New Zealand dairy cattle herd (LIC, 2009). </w:t>
      </w:r>
    </w:p>
    <w:p w14:paraId="13DDD70A" w14:textId="77777777" w:rsidR="00F02481" w:rsidRPr="00BE78CA" w:rsidRDefault="00F02481" w:rsidP="00620DC2">
      <w:pPr>
        <w:pStyle w:val="BodyText"/>
        <w:spacing w:after="100"/>
        <w:rPr>
          <w:rFonts w:cs="Calibri"/>
        </w:rPr>
      </w:pPr>
      <w:r w:rsidRPr="00BE78CA">
        <w:rPr>
          <w:rFonts w:cs="Calibri"/>
        </w:rPr>
        <w:t xml:space="preserve">New Zealand’s dairy production per animal is lower, compared with dairy production in other developed countries. This is because New Zealand has predominantly pasture-based dairy systems rather than the housed grain-fed systems used in Europe and North America. </w:t>
      </w:r>
    </w:p>
    <w:p w14:paraId="408F4F88" w14:textId="77777777" w:rsidR="00F02481" w:rsidRPr="00BE78CA" w:rsidRDefault="00F02481" w:rsidP="00620DC2">
      <w:pPr>
        <w:pStyle w:val="BodyText"/>
        <w:spacing w:after="100"/>
        <w:rPr>
          <w:rFonts w:cs="Calibri"/>
        </w:rPr>
      </w:pPr>
      <w:r w:rsidRPr="00BE78CA">
        <w:rPr>
          <w:rFonts w:cs="Calibri"/>
          <w:b/>
          <w:bCs/>
          <w:i/>
          <w:iCs/>
        </w:rPr>
        <w:t xml:space="preserve">Dairy cattle – liveweight: </w:t>
      </w:r>
      <w:r w:rsidRPr="00BE78CA">
        <w:rPr>
          <w:rFonts w:cs="Calibri"/>
        </w:rPr>
        <w:t xml:space="preserve">Average liveweight data for dairy cows are obtained by taking into </w:t>
      </w:r>
      <w:r w:rsidRPr="00BE78CA">
        <w:rPr>
          <w:rFonts w:cs="Calibri"/>
          <w:spacing w:val="-2"/>
        </w:rPr>
        <w:t>account the proportion of each breed in the national herd and its age structure based on LIC data</w:t>
      </w:r>
      <w:r w:rsidRPr="00BE78CA">
        <w:rPr>
          <w:rFonts w:cs="Calibri"/>
        </w:rPr>
        <w:t xml:space="preserve">. Dairy cow liveweight data are only available from LIC from 1996 onwards and have been </w:t>
      </w:r>
      <w:r w:rsidRPr="00BE78CA">
        <w:rPr>
          <w:rFonts w:cs="Calibri"/>
          <w:spacing w:val="-2"/>
        </w:rPr>
        <w:t>disaggregated into eight regions, with some of these comprising several regional council regions.</w:t>
      </w:r>
      <w:r w:rsidRPr="00BE78CA">
        <w:rPr>
          <w:rFonts w:cs="Calibri"/>
        </w:rPr>
        <w:t xml:space="preserve"> Data from the livestock improvement regions were appropriately apportioned to regional council areas. Liveweights prior to 1996 were estimated using the trend in liveweights from 1996 to 2008, together with data on the breed composition of the national herd (LIC, 2009). </w:t>
      </w:r>
    </w:p>
    <w:p w14:paraId="54EAF763" w14:textId="77777777" w:rsidR="00F02481" w:rsidRPr="00BE78CA" w:rsidRDefault="00F02481" w:rsidP="00620DC2">
      <w:pPr>
        <w:pStyle w:val="BodyText"/>
        <w:spacing w:after="100"/>
        <w:rPr>
          <w:rFonts w:cs="Calibri"/>
        </w:rPr>
      </w:pPr>
      <w:r w:rsidRPr="00BE78CA">
        <w:rPr>
          <w:rFonts w:cs="Calibri"/>
        </w:rPr>
        <w:t xml:space="preserve">In the model, replacement dairy animals (calves) are assumed to be approximately 9 per cent of the weight of the average cow at birth and to reach 90 per cent of the weight of the average adult cow at calving (at two years of age) (Clark et al., 2003). Growth between birth and calving is divided into two periods: birth to weaning (two months of age) and weaning to calving. Higher growth rates are applied in the model between birth and weaning, when animals receive milk as part of their diet. Within each period, the same daily growth rate is applied for the entire length of the period and applied nationally. </w:t>
      </w:r>
    </w:p>
    <w:p w14:paraId="552168C8" w14:textId="77777777" w:rsidR="00F02481" w:rsidRPr="00BE78CA" w:rsidRDefault="00F02481" w:rsidP="00620DC2">
      <w:pPr>
        <w:pStyle w:val="BodyText"/>
        <w:spacing w:after="100"/>
        <w:rPr>
          <w:rFonts w:cs="Calibri"/>
        </w:rPr>
      </w:pPr>
      <w:r w:rsidRPr="00BE78CA">
        <w:rPr>
          <w:rFonts w:cs="Calibri"/>
        </w:rPr>
        <w:t xml:space="preserve">No data are available on the liveweights and performance of most breeding dairy bulls, which can range from the small Jersey breeds through to larger European beef breeds. It is assumed, based on expert opinion and taking into account industry data (Clark et al., 2003), that the average mature weight at 1 January is 500 kilograms and that they grow at 0.5 kilograms per day. This gives an average weight (at the mid-point of the year) of 592 kilograms. This is almost 25 per cent higher than the average weight of a New Zealand breeding dairy cow but is supported by expert opinion given that some of the bulls will be of a heavier breed (e.g., Friesian and some beef breeds). Total emissions are not sensitive to these assumed liveweight values because breeding bulls in the dairy herd are low in number and contribute less than 0.1 per cent of emissions to the dairy sector. </w:t>
      </w:r>
    </w:p>
    <w:p w14:paraId="7DBD95FF" w14:textId="77777777" w:rsidR="00F02481" w:rsidRPr="00BE78CA" w:rsidRDefault="00F02481" w:rsidP="00620DC2">
      <w:pPr>
        <w:pStyle w:val="BodyText"/>
        <w:spacing w:after="100"/>
        <w:rPr>
          <w:rFonts w:cs="Calibri"/>
        </w:rPr>
      </w:pPr>
      <w:r w:rsidRPr="00BE78CA">
        <w:rPr>
          <w:rFonts w:cs="Calibri"/>
        </w:rPr>
        <w:t>LIC and DairyNZ (2020) reported a number of different breeds in the New Zealand dairy herd, these included:</w:t>
      </w:r>
    </w:p>
    <w:p w14:paraId="6D305391" w14:textId="77777777" w:rsidR="00F02481" w:rsidRPr="00BE78CA" w:rsidRDefault="00F02481" w:rsidP="00620DC2">
      <w:pPr>
        <w:pStyle w:val="Bullet"/>
        <w:spacing w:after="100"/>
      </w:pPr>
      <w:r w:rsidRPr="00BE78CA">
        <w:t xml:space="preserve">Holstein–Friesian/Jersey crossbreed (49.1 per cent of the national cow population in 2019) </w:t>
      </w:r>
    </w:p>
    <w:p w14:paraId="7202CC4C" w14:textId="77777777" w:rsidR="00F02481" w:rsidRPr="00BE78CA" w:rsidRDefault="00F02481" w:rsidP="00620DC2">
      <w:pPr>
        <w:pStyle w:val="Bullet"/>
        <w:spacing w:after="100"/>
      </w:pPr>
      <w:r w:rsidRPr="00BE78CA">
        <w:t xml:space="preserve">Holstein–Friesian (32.7 per cent) </w:t>
      </w:r>
    </w:p>
    <w:p w14:paraId="70646BBA" w14:textId="77777777" w:rsidR="00F02481" w:rsidRPr="00BE78CA" w:rsidRDefault="00F02481" w:rsidP="00620DC2">
      <w:pPr>
        <w:pStyle w:val="Bullet"/>
        <w:spacing w:after="100"/>
      </w:pPr>
      <w:r w:rsidRPr="00BE78CA">
        <w:t xml:space="preserve">Jersey (8.4 per cent) </w:t>
      </w:r>
    </w:p>
    <w:p w14:paraId="5785C2F8" w14:textId="77777777" w:rsidR="00F02481" w:rsidRPr="00BE78CA" w:rsidRDefault="00F02481" w:rsidP="00620DC2">
      <w:pPr>
        <w:pStyle w:val="Bullet"/>
        <w:spacing w:after="100"/>
      </w:pPr>
      <w:r w:rsidRPr="00BE78CA">
        <w:t xml:space="preserve">Ayrshire (0.5 per cent) </w:t>
      </w:r>
    </w:p>
    <w:p w14:paraId="41957C6F" w14:textId="77777777" w:rsidR="00F02481" w:rsidRPr="00BE78CA" w:rsidRDefault="00F02481" w:rsidP="00C26084">
      <w:pPr>
        <w:pStyle w:val="Bullet"/>
      </w:pPr>
      <w:r w:rsidRPr="00BE78CA">
        <w:t>other breeds (9.3 per cent).</w:t>
      </w:r>
    </w:p>
    <w:p w14:paraId="1ED38E16" w14:textId="77777777" w:rsidR="00F02481" w:rsidRPr="00BE78CA" w:rsidRDefault="00F02481" w:rsidP="00C26084">
      <w:pPr>
        <w:pStyle w:val="BodyText"/>
        <w:rPr>
          <w:rFonts w:cs="Calibri"/>
        </w:rPr>
      </w:pPr>
      <w:r w:rsidRPr="00BE78CA">
        <w:rPr>
          <w:rFonts w:cs="Calibri"/>
        </w:rPr>
        <w:t xml:space="preserve">The Holstein–Friesian/Jersey crossbreed has been developed specifically for New Zealand’s pasture-based systems. This breed is approximately 7.9 per cent lighter than a Holstein–Friesian (LIC and DairyNZ, 2020) and has lower maintenance feed requirements. It does less damage to pasture during wet periods due to its lower liveweight, compared with larger cattle breeds. It also has higher milk volumes than the Jersey breed while maintaining a high percentage of milk solids. </w:t>
      </w:r>
    </w:p>
    <w:p w14:paraId="34FE9AB7" w14:textId="4A9CB8B6" w:rsidR="00F02481" w:rsidRPr="00BE78CA" w:rsidRDefault="00AA08B7" w:rsidP="00C26084">
      <w:pPr>
        <w:pStyle w:val="BodyText"/>
        <w:rPr>
          <w:rFonts w:cs="Calibri"/>
        </w:rPr>
      </w:pPr>
      <w:r w:rsidRPr="00BE78CA">
        <w:rPr>
          <w:rFonts w:cs="Calibri"/>
          <w:b/>
          <w:bCs/>
          <w:i/>
          <w:iCs/>
        </w:rPr>
        <w:lastRenderedPageBreak/>
        <w:t>B</w:t>
      </w:r>
      <w:r w:rsidR="00F02481" w:rsidRPr="00BE78CA">
        <w:rPr>
          <w:rFonts w:cs="Calibri"/>
          <w:b/>
          <w:bCs/>
          <w:i/>
          <w:iCs/>
        </w:rPr>
        <w:t>eef</w:t>
      </w:r>
      <w:r w:rsidR="00F02481" w:rsidRPr="00BE78CA">
        <w:rPr>
          <w:rFonts w:cs="Calibri"/>
          <w:b/>
          <w:bCs/>
        </w:rPr>
        <w:t xml:space="preserve"> </w:t>
      </w:r>
      <w:r w:rsidR="00F02481" w:rsidRPr="00BE78CA">
        <w:rPr>
          <w:rFonts w:cs="Calibri"/>
          <w:b/>
          <w:bCs/>
          <w:i/>
          <w:iCs/>
        </w:rPr>
        <w:t>cattle:</w:t>
      </w:r>
      <w:r w:rsidR="00F02481" w:rsidRPr="00BE78CA">
        <w:rPr>
          <w:rFonts w:cs="Calibri"/>
        </w:rPr>
        <w:t xml:space="preserve"> The principal source of information for estimating productivity for beef cattle is livestock slaughter statistics provided to MPI by meat processors. All growing beef animals are assumed to be slaughtered at two years of age,</w:t>
      </w:r>
      <w:r w:rsidR="00F02481" w:rsidRPr="00BE78CA">
        <w:rPr>
          <w:rStyle w:val="FootnoteReference"/>
          <w:rFonts w:cs="Calibri"/>
        </w:rPr>
        <w:footnoteReference w:id="34"/>
      </w:r>
      <w:r w:rsidR="00F02481" w:rsidRPr="00BE78CA">
        <w:rPr>
          <w:rFonts w:cs="Calibri"/>
        </w:rPr>
        <w:t xml:space="preserve"> and the average weight at slaughter for the three categories (</w:t>
      </w:r>
      <w:r w:rsidR="00F02481" w:rsidRPr="00BE78CA">
        <w:rPr>
          <w:rFonts w:cs="Calibri"/>
          <w:i/>
          <w:iCs/>
        </w:rPr>
        <w:t>Heifers</w:t>
      </w:r>
      <w:r w:rsidR="00F02481" w:rsidRPr="00BE78CA">
        <w:rPr>
          <w:rFonts w:cs="Calibri"/>
        </w:rPr>
        <w:t xml:space="preserve">, </w:t>
      </w:r>
      <w:r w:rsidR="00F02481" w:rsidRPr="00BE78CA">
        <w:rPr>
          <w:rFonts w:cs="Calibri"/>
          <w:i/>
          <w:iCs/>
        </w:rPr>
        <w:t>Steers</w:t>
      </w:r>
      <w:r w:rsidR="00F02481" w:rsidRPr="00BE78CA">
        <w:rPr>
          <w:rFonts w:cs="Calibri"/>
        </w:rPr>
        <w:t xml:space="preserve"> and </w:t>
      </w:r>
      <w:r w:rsidR="00F02481" w:rsidRPr="00BE78CA">
        <w:rPr>
          <w:rFonts w:cs="Calibri"/>
          <w:i/>
          <w:iCs/>
        </w:rPr>
        <w:t>Bulls</w:t>
      </w:r>
      <w:r w:rsidR="00F02481" w:rsidRPr="00BE78CA">
        <w:rPr>
          <w:rFonts w:cs="Calibri"/>
        </w:rPr>
        <w:t xml:space="preserve">) is estimated from the carcass weight at slaughter. Liveweights at birth are assumed to be approximately 9 per cent of an adult cow weight for heifers and 10 per cent for steers and bulls (Clark et al., 2003). As with dairy cattle, growth rates of all growing animals are divided into two periods in the model: birth to weaning and weaning to slaughter. Higher growth rates are applied before weaning when animals receive milk as part of their diet. Within each period, the same daily growth rate is applied for the entire period. </w:t>
      </w:r>
    </w:p>
    <w:p w14:paraId="26822537" w14:textId="77777777" w:rsidR="00F02481" w:rsidRPr="00BE78CA" w:rsidRDefault="00F02481" w:rsidP="00C26084">
      <w:pPr>
        <w:pStyle w:val="BodyText"/>
        <w:rPr>
          <w:rFonts w:cs="Calibri"/>
        </w:rPr>
      </w:pPr>
      <w:r w:rsidRPr="00BE78CA">
        <w:rPr>
          <w:rFonts w:cs="Calibri"/>
        </w:rPr>
        <w:t>MPI slaughter statistics have only begun to separate carcass weights of adult dairy cows and adult beef cows in the past couple of years (MPI, 2021). Therefore, several assumptions</w:t>
      </w:r>
      <w:r w:rsidRPr="00BE78CA">
        <w:rPr>
          <w:rStyle w:val="FootnoteReference"/>
          <w:rFonts w:cs="Calibri"/>
        </w:rPr>
        <w:footnoteReference w:id="35"/>
      </w:r>
      <w:r w:rsidRPr="00BE78CA">
        <w:rPr>
          <w:rFonts w:cs="Calibri"/>
        </w:rPr>
        <w:t xml:space="preserve"> are made to estimate the liveweights of breeding beef cows. A total milk yield of 800 litres is assumed to be produced per breeding beef cow, which is then consumed by beef calves (Clark et al., 2003). </w:t>
      </w:r>
    </w:p>
    <w:p w14:paraId="69DA7470" w14:textId="2C7D8BB3" w:rsidR="00F02481" w:rsidRPr="00BE78CA" w:rsidRDefault="00F02481" w:rsidP="00C26084">
      <w:pPr>
        <w:pStyle w:val="BodyText"/>
      </w:pPr>
      <w:r w:rsidRPr="00BE78CA">
        <w:rPr>
          <w:b/>
          <w:bCs/>
          <w:i/>
          <w:iCs/>
        </w:rPr>
        <w:t>Sheep:</w:t>
      </w:r>
      <w:r w:rsidRPr="00BE78CA">
        <w:t xml:space="preserve"> Livestock slaughter statistics from MPI provided by meat processors are used to estimate the liveweights of adult sheep and lambs at slaughter, assuming killing-out percentages</w:t>
      </w:r>
      <w:r w:rsidRPr="00BE78CA">
        <w:rPr>
          <w:rStyle w:val="FootnoteReference"/>
          <w:rFonts w:cs="Calibri"/>
        </w:rPr>
        <w:footnoteReference w:id="36"/>
      </w:r>
      <w:r w:rsidRPr="00BE78CA">
        <w:t xml:space="preserve"> of approximately 40 per cent for ewes and 45 per cent for lambs (Thomson et al., 2010). Lamb liveweights at birth are assumed to be 9 per cent of the adult ewe weight, with all lambs assumed to be born on 11 September on average (Thomson et al., 2010). Growing breeding and non</w:t>
      </w:r>
      <w:r w:rsidRPr="00BE78CA">
        <w:noBreakHyphen/>
        <w:t>breeding ewe hoggets are assumed to reach full adult size when subsequently mated at an age of 20 months. Adult wethers (castrated male sheep) are assumed to be the same weight as adult breeding females. No within-year pattern of liveweight change is assumed for either adult wethers or adult ewes. All ewes rearing a lamb are assumed to have a total milk yield of 100 litres. Breeding rams are assumed to weigh 40</w:t>
      </w:r>
      <w:r w:rsidR="007611EB" w:rsidRPr="00BE78CA">
        <w:t> </w:t>
      </w:r>
      <w:r w:rsidRPr="00BE78CA">
        <w:t xml:space="preserve">per cent more than adult ewes (Clark et al., 2003). Wool growth (greasy fleece growth) is assumed to be 5 kilograms per annum in mature sheep (ewes, rams and wethers) and 2.5 kilograms per annum in growing sheep and lambs. Beef + Lamb New Zealand Ltd, the industry-good organisation representing the beef cattle and sheep industries, provides estimates of the total wool production from 1990 to 2019 from which the individual fleece weight is estimated (Beef + Lamb New Zealand Ltd, 2020). </w:t>
      </w:r>
    </w:p>
    <w:p w14:paraId="7CB1D522" w14:textId="77777777" w:rsidR="00F02481" w:rsidRPr="00BE78CA" w:rsidRDefault="00F02481" w:rsidP="00C26084">
      <w:pPr>
        <w:pStyle w:val="BodyText"/>
        <w:spacing w:after="100"/>
        <w:rPr>
          <w:rFonts w:cs="Calibri"/>
        </w:rPr>
      </w:pPr>
      <w:r w:rsidRPr="00BE78CA">
        <w:rPr>
          <w:rFonts w:cs="Calibri"/>
          <w:b/>
          <w:bCs/>
          <w:i/>
          <w:iCs/>
        </w:rPr>
        <w:t>Deer</w:t>
      </w:r>
      <w:r w:rsidRPr="00BE78CA">
        <w:rPr>
          <w:rFonts w:cs="Calibri"/>
          <w:b/>
          <w:bCs/>
        </w:rPr>
        <w:t>:</w:t>
      </w:r>
      <w:r w:rsidRPr="00BE78CA">
        <w:rPr>
          <w:rFonts w:cs="Calibri"/>
        </w:rPr>
        <w:t xml:space="preserve"> Liveweights of growing hinds and stags are estimated from Deer Industry New Zealand statistics, assuming a killing-out percentage of 55 per cent. A fawn birth weight of 9 per cent of the adult female weight and a common birth date of mid-November are assumed. Liveweights of breeding stags and hinds are based on a report by Suttie (2012). It is assumed there is no pattern of liveweight change within any given year. The lactation assumptions are 204 litres of milk over 120 days, an average daily lactation yield of 1.7 litres of milk per day (Suttie, 2012). </w:t>
      </w:r>
    </w:p>
    <w:p w14:paraId="4D4A817F" w14:textId="77777777" w:rsidR="00F02481" w:rsidRPr="00BE78CA" w:rsidRDefault="00F02481" w:rsidP="00C26084">
      <w:pPr>
        <w:pStyle w:val="Heading4"/>
      </w:pPr>
      <w:r w:rsidRPr="00BE78CA">
        <w:lastRenderedPageBreak/>
        <w:t xml:space="preserve">Minor livestock categories </w:t>
      </w:r>
    </w:p>
    <w:p w14:paraId="3E56C0A0" w14:textId="77777777" w:rsidR="00F02481" w:rsidRPr="00BE78CA" w:rsidRDefault="00F02481" w:rsidP="00C26084">
      <w:pPr>
        <w:pStyle w:val="BodyText"/>
        <w:spacing w:after="100"/>
        <w:rPr>
          <w:rFonts w:cs="Calibri"/>
        </w:rPr>
      </w:pPr>
      <w:r w:rsidRPr="00BE78CA">
        <w:rPr>
          <w:rFonts w:cs="Calibri"/>
        </w:rPr>
        <w:t xml:space="preserve">Tier 1 methodology is used for goats, horses, mules and asses, swine, poultry and alpacas (IPCC, 2006), using a combination of country-specific and IPCC default emission factors (annex A3.1.2, table A3.1.4). </w:t>
      </w:r>
    </w:p>
    <w:p w14:paraId="21288BA6" w14:textId="77777777" w:rsidR="00F02481" w:rsidRPr="00BE78CA" w:rsidRDefault="00F02481" w:rsidP="00C26084">
      <w:pPr>
        <w:pStyle w:val="BodyText"/>
        <w:spacing w:after="100"/>
        <w:rPr>
          <w:rFonts w:cs="Calibri"/>
        </w:rPr>
      </w:pPr>
      <w:r w:rsidRPr="00BE78CA">
        <w:rPr>
          <w:rFonts w:cs="Calibri"/>
        </w:rPr>
        <w:t xml:space="preserve">The populations of goats, horses and swine are reported using data from the Stats NZ Agricultural Production census and the inter-census Agricultural Production survey. Data on the population of alpacas prior to 2010 are provided by Henderson and Cameron (unpublished) based on data from the Alpaca Association New Zealand. Alpaca population data from 2010 onwards are provided by Stats NZ. </w:t>
      </w:r>
    </w:p>
    <w:p w14:paraId="2B822AC2" w14:textId="77777777" w:rsidR="00F02481" w:rsidRPr="00BE78CA" w:rsidRDefault="00F02481" w:rsidP="00C26084">
      <w:pPr>
        <w:pStyle w:val="BodyText"/>
        <w:spacing w:after="100"/>
      </w:pPr>
      <w:r w:rsidRPr="00BE78CA">
        <w:t xml:space="preserve">A small number of buffalo are farmed in New Zealand. Stats NZ advised that, in 2011, there were 192 buffalo. Because the buffalo livestock are used for producing milk (which is then used to produce mozzarella cheese for the restaurant industry), they are reported within the dairy herd, so the notation key IE (included elsewhere) is used for buffalo. </w:t>
      </w:r>
    </w:p>
    <w:p w14:paraId="3BAF2AF2" w14:textId="77777777" w:rsidR="00F02481" w:rsidRPr="00BE78CA" w:rsidRDefault="00F02481" w:rsidP="00C26084">
      <w:pPr>
        <w:pStyle w:val="BodyText"/>
        <w:spacing w:before="100" w:after="100"/>
        <w:rPr>
          <w:rFonts w:cs="Calibri"/>
        </w:rPr>
      </w:pPr>
      <w:r w:rsidRPr="00BE78CA">
        <w:rPr>
          <w:rFonts w:cs="Calibri"/>
        </w:rPr>
        <w:t xml:space="preserve">Mules and asses are not farmed commercially or used as working animals in New Zealand. A constant population of 141 donkeys has been included in the inventory under mules and asses. The emissions from these small populations of animals are extremely small relative to the major livestock categories. </w:t>
      </w:r>
    </w:p>
    <w:p w14:paraId="4A0F50EB" w14:textId="77777777" w:rsidR="00F02481" w:rsidRPr="00BE78CA" w:rsidRDefault="00F02481" w:rsidP="00C26084">
      <w:pPr>
        <w:pStyle w:val="BodyText"/>
        <w:spacing w:after="100"/>
        <w:rPr>
          <w:rFonts w:cs="Calibri"/>
        </w:rPr>
      </w:pPr>
      <w:r w:rsidRPr="00BE78CA">
        <w:rPr>
          <w:rFonts w:cs="Calibri"/>
        </w:rPr>
        <w:t>Poultry is further classified into three categories: broiler chicken, layer hens and other poultry. Stats NZ provides estimates of average annual broiler chicken flock sizes using industry data on the numbers of broilers processed every year since 1990. Mortality rates and days alive are used as suggested by Fick (2010). Stats NZ also obtains estimates of the number of layer hens and other poultry (e.g., ducks, turkeys, emus and ostriches) from the Agricultural Production census and survey. Ostrich and emu farming in New Zealand is extremely rare. In 2015, it was estimated only 739 ostriches were in the country. Other poultry manure management emissions are included and calculated. Enteric fermentation is negligible and therefore not estimated.</w:t>
      </w:r>
    </w:p>
    <w:p w14:paraId="48A01A64" w14:textId="77777777" w:rsidR="00F02481" w:rsidRPr="00BE78CA" w:rsidRDefault="00F02481" w:rsidP="008247DF">
      <w:pPr>
        <w:pStyle w:val="BodyText"/>
      </w:pPr>
      <w:r w:rsidRPr="00BE78CA">
        <w:t xml:space="preserve">The average annual flock size of chickens is determined by the following equation: </w:t>
      </w:r>
    </w:p>
    <w:p w14:paraId="4121520F" w14:textId="77777777" w:rsidR="00F02481" w:rsidRPr="00BE78CA" w:rsidRDefault="00087879" w:rsidP="00C26084">
      <w:pPr>
        <w:pStyle w:val="BodyText"/>
        <w:spacing w:before="80" w:after="80"/>
      </w:pPr>
      <w:r>
        <w:pict w14:anchorId="4C9A4F18">
          <v:shape id="_x0000_i1042" type="#_x0000_t75" style="width:402.8pt;height:21.05pt;visibility:visible;mso-wrap-style:square">
            <v:imagedata r:id="rId122" o:title=""/>
          </v:shape>
        </w:pict>
      </w:r>
    </w:p>
    <w:p w14:paraId="3655DA39" w14:textId="77777777" w:rsidR="00F02481" w:rsidRPr="00BE78CA" w:rsidRDefault="00F02481" w:rsidP="008247DF">
      <w:pPr>
        <w:pStyle w:val="BodyText"/>
      </w:pPr>
      <w:r w:rsidRPr="00BE78CA">
        <w:t xml:space="preserve">Rabbits are considered an agricultural pest, and only a very small number are farmed in the country (R Sanson, pers. comm., 2019). Because of this, emissions from farmed rabbits are reported as ‘not estimated’ (NE) because their emissions are insignificant. There is no known farming of other fur-breeding animals. </w:t>
      </w:r>
    </w:p>
    <w:p w14:paraId="16A18F35" w14:textId="77777777" w:rsidR="00F02481" w:rsidRPr="00BE78CA" w:rsidRDefault="00F02481" w:rsidP="008247DF">
      <w:pPr>
        <w:pStyle w:val="Heading3"/>
      </w:pPr>
      <w:bookmarkStart w:id="564" w:name="_Toc32570647"/>
      <w:r w:rsidRPr="00BE78CA">
        <w:t xml:space="preserve">5.1.5 </w:t>
      </w:r>
      <w:r w:rsidRPr="00BE78CA">
        <w:tab/>
        <w:t>Recalculations</w:t>
      </w:r>
      <w:bookmarkEnd w:id="564"/>
      <w:r w:rsidRPr="00BE78CA">
        <w:t xml:space="preserve"> </w:t>
      </w:r>
    </w:p>
    <w:p w14:paraId="4EFF9734" w14:textId="77777777" w:rsidR="00F02481" w:rsidRPr="00BE78CA" w:rsidRDefault="00F02481" w:rsidP="00C26084">
      <w:pPr>
        <w:pStyle w:val="Heading4"/>
        <w:spacing w:before="160"/>
      </w:pPr>
      <w:r w:rsidRPr="00BE78CA">
        <w:t xml:space="preserve">Agriculture emissions research </w:t>
      </w:r>
    </w:p>
    <w:p w14:paraId="3E589383" w14:textId="77777777" w:rsidR="00F02481" w:rsidRPr="00BE78CA" w:rsidRDefault="00F02481" w:rsidP="00C26084">
      <w:pPr>
        <w:pStyle w:val="BodyText"/>
        <w:rPr>
          <w:rFonts w:cs="Calibri"/>
        </w:rPr>
      </w:pPr>
      <w:r w:rsidRPr="00BE78CA">
        <w:rPr>
          <w:rFonts w:cs="Calibri"/>
        </w:rPr>
        <w:t>New Zealand invests in researching novel methods and further building an evidence base to enable reductions in biological greenhouse gas emissions from agriculture. This is facilitated through the following.</w:t>
      </w:r>
    </w:p>
    <w:p w14:paraId="671FD876" w14:textId="77777777" w:rsidR="00F02481" w:rsidRPr="00BE78CA" w:rsidRDefault="00F02481" w:rsidP="00C26084">
      <w:pPr>
        <w:pStyle w:val="Bullet"/>
      </w:pPr>
      <w:r w:rsidRPr="00BE78CA">
        <w:t>The New Zealand Agricultural Greenhouse Gas Research Centre (NZAGRC) was set up in 2009. Its aims are to contribute to agricultural greenhouse gas understanding and mitigation through research programmes and international collaboration, and to enhance New Zealand’s research capability and infrastructure in this area. </w:t>
      </w:r>
    </w:p>
    <w:p w14:paraId="4BC018D5" w14:textId="77777777" w:rsidR="00F02481" w:rsidRPr="00BE78CA" w:rsidRDefault="00F02481" w:rsidP="00C26084">
      <w:pPr>
        <w:pStyle w:val="Bullet"/>
      </w:pPr>
      <w:r w:rsidRPr="00BE78CA">
        <w:lastRenderedPageBreak/>
        <w:t>The Pastoral Greenhouse Gas Research Consortium (PGgRc) was established in 2003 by New Zealand agricultural sector organisations and private companies. It funds research, primarily into mitigation technologies and management practices for ruminants but also to provide information to improve on-farm inventories. The PGgRc is funded in partnership between the Government, through the Ministry of Business, Innovation and Employment (MBIE), and the Agriculture sector.</w:t>
      </w:r>
    </w:p>
    <w:p w14:paraId="238587C9" w14:textId="77777777" w:rsidR="00F02481" w:rsidRPr="00BE78CA" w:rsidRDefault="00F02481" w:rsidP="00C26084">
      <w:pPr>
        <w:pStyle w:val="Bullet"/>
      </w:pPr>
      <w:r w:rsidRPr="00BE78CA">
        <w:t>New Zealand is one of the founding members of the Global Research Alliance on Agricultural Greenhouse Gases (GRA), which uses international research collaboration to study means of increasing global food production while limiting agricultural greenhouse gas emissions. It also seeks to build capability and improve greenhouse gas inventories in developing countries. The GRA’s global networks build emission research capability and facilitate transfer of mitigation technologies and knowledge. MPI has hosted the GRA Secretariat since its establishment in 2009 and coordinates New Zealand’s contribution.</w:t>
      </w:r>
    </w:p>
    <w:p w14:paraId="54B6ECC8" w14:textId="77777777" w:rsidR="00F02481" w:rsidRPr="00BE78CA" w:rsidRDefault="00F02481" w:rsidP="00C26084">
      <w:pPr>
        <w:pStyle w:val="Bullet"/>
      </w:pPr>
      <w:r w:rsidRPr="00BE78CA">
        <w:t>MPI’s Greenhouse Gas Inventory Research Fund aims to support continuous improvement of the Agricultural Greenhouse Gas Inventory to improve the accuracy of emissions reporting and forecasting. This is required under the United Nations Framework Convention on Climate Change (UNFCCC).</w:t>
      </w:r>
    </w:p>
    <w:p w14:paraId="08A6886E" w14:textId="77777777" w:rsidR="00F02481" w:rsidRPr="00BE78CA" w:rsidRDefault="00F02481" w:rsidP="00C26084">
      <w:pPr>
        <w:pStyle w:val="BodyText"/>
        <w:rPr>
          <w:rFonts w:cs="Calibri"/>
        </w:rPr>
      </w:pPr>
      <w:r w:rsidRPr="00BE78CA">
        <w:rPr>
          <w:rFonts w:cs="Calibri"/>
        </w:rPr>
        <w:t>Research and data from these sources feed into New Zealand’s improvement of the Agriculture inventory, and these research activities allow New Zealand to share technical skills and expertise internationally.</w:t>
      </w:r>
    </w:p>
    <w:p w14:paraId="77CC9A48" w14:textId="77777777" w:rsidR="00F02481" w:rsidRPr="00BE78CA" w:rsidRDefault="00F02481" w:rsidP="00C26084">
      <w:pPr>
        <w:pStyle w:val="Heading5"/>
        <w:rPr>
          <w:rFonts w:cs="Calibri"/>
        </w:rPr>
      </w:pPr>
      <w:r w:rsidRPr="00BE78CA">
        <w:rPr>
          <w:rFonts w:cs="Calibri"/>
        </w:rPr>
        <w:t>Biological Emissions Reference Group</w:t>
      </w:r>
    </w:p>
    <w:p w14:paraId="7F47B071" w14:textId="77777777" w:rsidR="00F02481" w:rsidRPr="00BE78CA" w:rsidRDefault="00F02481" w:rsidP="00C26084">
      <w:pPr>
        <w:pStyle w:val="BodyText"/>
        <w:spacing w:before="100"/>
        <w:rPr>
          <w:rFonts w:cs="Calibri"/>
        </w:rPr>
      </w:pPr>
      <w:r w:rsidRPr="00BE78CA">
        <w:rPr>
          <w:rFonts w:cs="Calibri"/>
        </w:rPr>
        <w:t xml:space="preserve">The Biological Emissions Reference Group (BERG) was established in 2016. Group members included representatives from agricultural sector organisations and government agencies. The BERG’s purpose was to build a portfolio of published and reviewed scientific evidence covering the opportunities to reduce biological greenhouse gas emissions from New Zealand agriculture, and the costs and benefits of these opportunities and barriers to their use. </w:t>
      </w:r>
    </w:p>
    <w:p w14:paraId="7C48DBA7" w14:textId="77777777" w:rsidR="00F02481" w:rsidRPr="00BE78CA" w:rsidRDefault="00F02481" w:rsidP="00C26084">
      <w:pPr>
        <w:pStyle w:val="BodyText"/>
        <w:spacing w:before="100" w:after="100"/>
        <w:rPr>
          <w:rFonts w:cs="Calibri"/>
        </w:rPr>
      </w:pPr>
      <w:r w:rsidRPr="00BE78CA">
        <w:rPr>
          <w:rFonts w:cs="Calibri"/>
        </w:rPr>
        <w:t>The BERG published its evidence base</w:t>
      </w:r>
      <w:r w:rsidRPr="00BE78CA">
        <w:rPr>
          <w:rStyle w:val="FootnoteReference"/>
          <w:rFonts w:cs="Calibri"/>
        </w:rPr>
        <w:footnoteReference w:id="37"/>
      </w:r>
      <w:r w:rsidRPr="00BE78CA">
        <w:rPr>
          <w:rFonts w:cs="Calibri"/>
        </w:rPr>
        <w:t xml:space="preserve"> in December 2018. This evidence has informed government agricultural emissions policy, as well as actions farmers can take to reduce their emissions. This group has now been disbanded.</w:t>
      </w:r>
    </w:p>
    <w:p w14:paraId="121F9892" w14:textId="77777777" w:rsidR="00F02481" w:rsidRPr="00BE78CA" w:rsidRDefault="00F02481" w:rsidP="00C26084">
      <w:pPr>
        <w:pStyle w:val="Heading5"/>
        <w:rPr>
          <w:rFonts w:cs="Calibri"/>
        </w:rPr>
      </w:pPr>
      <w:bookmarkStart w:id="565" w:name="_Hlk63076843"/>
      <w:r w:rsidRPr="00BE78CA">
        <w:rPr>
          <w:rFonts w:cs="Calibri"/>
        </w:rPr>
        <w:t>He Waka Eke Noa – Primary Sector Climate Action Partnership</w:t>
      </w:r>
    </w:p>
    <w:p w14:paraId="612CD91A" w14:textId="77777777" w:rsidR="00F02481" w:rsidRPr="00BE78CA" w:rsidRDefault="00F02481" w:rsidP="00C26084">
      <w:pPr>
        <w:pStyle w:val="BodyText"/>
        <w:spacing w:before="100" w:after="100"/>
        <w:rPr>
          <w:rFonts w:cs="Calibri"/>
        </w:rPr>
      </w:pPr>
      <w:r w:rsidRPr="00BE78CA">
        <w:rPr>
          <w:rFonts w:cs="Calibri"/>
        </w:rPr>
        <w:t xml:space="preserve">He Waka Eke Noa will form part of New Zealand’s actions towards its </w:t>
      </w:r>
      <w:r w:rsidRPr="00BE78CA">
        <w:t>Climate Change Response (Zero Carbon) Amendment Act 2019</w:t>
      </w:r>
      <w:r w:rsidRPr="00BE78CA">
        <w:rPr>
          <w:rFonts w:cs="Calibri"/>
        </w:rPr>
        <w:t xml:space="preserve"> targets and nationally determined contributions under the Paris Agreement.</w:t>
      </w:r>
    </w:p>
    <w:p w14:paraId="10919FE7" w14:textId="77777777" w:rsidR="00F02481" w:rsidRPr="00BE78CA" w:rsidRDefault="00F02481" w:rsidP="00C26084">
      <w:pPr>
        <w:pStyle w:val="BodyText"/>
        <w:spacing w:before="100" w:after="100"/>
        <w:rPr>
          <w:rFonts w:cs="Calibri"/>
        </w:rPr>
      </w:pPr>
      <w:r w:rsidRPr="00BE78CA">
        <w:rPr>
          <w:rFonts w:cs="Calibri"/>
        </w:rPr>
        <w:t>In October 2019, the Government announced the formation of a Joint Action Plan (He Waka Eke Noa) with the agri-food and fibre sector to address agricultural emissions. He Waka Eke Noa aims to deliver a world-first nationwide scheme for the Agriculture sector to measure, manage and price agricultural greenhouse gas emissions by 2025. It has done this by setting milestones for the sector to achieve, including ensuring that all farms know their annual total on-farm emissions by 2022. The Ministers of Climate Change and Agriculture are required to report back in 2022 on the design and feasibility of implementing a farm-level pricing scheme.</w:t>
      </w:r>
    </w:p>
    <w:bookmarkEnd w:id="565"/>
    <w:p w14:paraId="3DB01225" w14:textId="77777777" w:rsidR="00F02481" w:rsidRPr="00BE78CA" w:rsidRDefault="00F02481" w:rsidP="00C26084">
      <w:pPr>
        <w:pStyle w:val="Heading4"/>
      </w:pPr>
      <w:r w:rsidRPr="00BE78CA">
        <w:lastRenderedPageBreak/>
        <w:t>Recalculation and improvement approval process in the Agriculture inventory</w:t>
      </w:r>
    </w:p>
    <w:p w14:paraId="26B4FC3F" w14:textId="77777777" w:rsidR="00F02481" w:rsidRPr="00BE78CA" w:rsidRDefault="00F02481" w:rsidP="00C26084">
      <w:pPr>
        <w:pStyle w:val="BodyText"/>
        <w:spacing w:after="100"/>
        <w:rPr>
          <w:rFonts w:cs="Calibri"/>
        </w:rPr>
      </w:pPr>
      <w:r w:rsidRPr="00BE78CA">
        <w:rPr>
          <w:rFonts w:cs="Calibri"/>
        </w:rPr>
        <w:t xml:space="preserve">The process for developing improvements and agreeing methodological changes to the Agriculture inventory is shown in figure 5.1.7. </w:t>
      </w:r>
    </w:p>
    <w:p w14:paraId="083DB875" w14:textId="35A4F243" w:rsidR="00F02481" w:rsidRPr="00BE78CA" w:rsidRDefault="00F02481" w:rsidP="00C26084">
      <w:pPr>
        <w:pStyle w:val="BodyText"/>
        <w:spacing w:after="100"/>
        <w:rPr>
          <w:rFonts w:cs="Calibri"/>
        </w:rPr>
      </w:pPr>
      <w:r w:rsidRPr="00BE78CA">
        <w:rPr>
          <w:rFonts w:cs="Calibri"/>
        </w:rPr>
        <w:t>Domestically, New Zealand has a very engaged network of scientific experts in the field of</w:t>
      </w:r>
      <w:r w:rsidR="008247DF" w:rsidRPr="00BE78CA">
        <w:rPr>
          <w:rFonts w:cs="Calibri"/>
        </w:rPr>
        <w:t> </w:t>
      </w:r>
      <w:r w:rsidRPr="00BE78CA">
        <w:rPr>
          <w:rFonts w:cs="Calibri"/>
        </w:rPr>
        <w:t>CH</w:t>
      </w:r>
      <w:r w:rsidRPr="00BE78CA">
        <w:rPr>
          <w:rFonts w:cs="Calibri"/>
          <w:vertAlign w:val="subscript"/>
        </w:rPr>
        <w:t>4</w:t>
      </w:r>
      <w:r w:rsidRPr="00BE78CA">
        <w:rPr>
          <w:rFonts w:cs="Calibri"/>
        </w:rPr>
        <w:t> and N</w:t>
      </w:r>
      <w:r w:rsidRPr="00BE78CA">
        <w:rPr>
          <w:rFonts w:cs="Calibri"/>
          <w:vertAlign w:val="subscript"/>
        </w:rPr>
        <w:t>2</w:t>
      </w:r>
      <w:r w:rsidRPr="00BE78CA">
        <w:rPr>
          <w:rFonts w:cs="Calibri"/>
        </w:rPr>
        <w:t>O emissions. Research findings are presented annually at the Greenhouse Gas</w:t>
      </w:r>
      <w:r w:rsidR="008247DF" w:rsidRPr="00BE78CA">
        <w:rPr>
          <w:rFonts w:cs="Calibri"/>
        </w:rPr>
        <w:t> </w:t>
      </w:r>
      <w:r w:rsidRPr="00BE78CA">
        <w:rPr>
          <w:rFonts w:cs="Calibri"/>
        </w:rPr>
        <w:t>Inventory Research Workshop. New inventory research ideas raised by the research community inform decisions for future research. Final decisions on research priorities are made by MPI, following discussions between the network leaders and Ministry for the Environment (MfE) staff. Research is contracted to address specific questions related to gaps in New Zealand’s knowledge and to review, test and improve current model parameters used. Draft research reports are peer reviewed by at least one external independent expert with knowledge in the field and are assessed for their scientific robustness and suitability to be included in the inventory. A standard peer review report template is used.</w:t>
      </w:r>
    </w:p>
    <w:p w14:paraId="42DA237D" w14:textId="77777777" w:rsidR="00F02481" w:rsidRPr="00BE78CA" w:rsidRDefault="00F02481" w:rsidP="00C26084">
      <w:pPr>
        <w:pStyle w:val="BodyText"/>
        <w:spacing w:after="100"/>
        <w:rPr>
          <w:rFonts w:cs="Calibri"/>
        </w:rPr>
      </w:pPr>
      <w:r w:rsidRPr="00BE78CA">
        <w:rPr>
          <w:rFonts w:cs="Calibri"/>
        </w:rPr>
        <w:t>If the report is suitable for inclusion in the inventory, a briefing and the final report are sent to the Agriculture Inventory Advisory Panel, which meets annually to review proposed changes to the inventory. The Panel comprises expert representatives from MPI and MfE, nominated science representatives from the Royal Society of New Zealand and the Methanet and NzOnet expert advisory groups.</w:t>
      </w:r>
      <w:r w:rsidRPr="00BE78CA">
        <w:rPr>
          <w:rStyle w:val="FootnoteReference"/>
          <w:rFonts w:cs="Calibri"/>
        </w:rPr>
        <w:footnoteReference w:id="38"/>
      </w:r>
      <w:r w:rsidRPr="00BE78CA">
        <w:rPr>
          <w:rFonts w:cs="Calibri"/>
        </w:rPr>
        <w:t xml:space="preserve"> The Panel is independent of policy and industry influences and has been formed to give independent advice on whether changes to the agriculture section of the National Inventory Report are scientifically robust, justifiable and internationally defensible. The Panel assesses if the proposed changes have been appropriately researched, using recognised scientific principles, and if there is sufficient scientific evidence to support the recommended changes. </w:t>
      </w:r>
    </w:p>
    <w:p w14:paraId="45905B16" w14:textId="77777777" w:rsidR="00F02481" w:rsidRPr="00BE78CA" w:rsidRDefault="00F02481" w:rsidP="00C26084">
      <w:pPr>
        <w:pStyle w:val="BodyText"/>
        <w:spacing w:before="100" w:after="100"/>
        <w:rPr>
          <w:rFonts w:cs="Calibri"/>
          <w:spacing w:val="-2"/>
        </w:rPr>
      </w:pPr>
      <w:r w:rsidRPr="00BE78CA">
        <w:rPr>
          <w:rFonts w:cs="Calibri"/>
          <w:spacing w:val="-2"/>
        </w:rPr>
        <w:t xml:space="preserve">Changes recommended by the Panel are sent to the Deputy Director-General (Policy and Trade) at MPI. The Deputy Director-General and MfE, via the Reporting Governance Group (RGG), must approve the changes for implementation into the annual national inventory. </w:t>
      </w:r>
    </w:p>
    <w:p w14:paraId="4E032B51" w14:textId="77777777" w:rsidR="00F02481" w:rsidRPr="00BE78CA" w:rsidRDefault="00F02481" w:rsidP="00C26084">
      <w:pPr>
        <w:pStyle w:val="BodyText"/>
        <w:spacing w:before="100" w:after="100"/>
        <w:rPr>
          <w:rFonts w:cs="Calibri"/>
        </w:rPr>
      </w:pPr>
      <w:r w:rsidRPr="00BE78CA">
        <w:rPr>
          <w:rFonts w:cs="Calibri"/>
        </w:rPr>
        <w:t xml:space="preserve">Recalculations being considered by all inventory sectors in the annual submission to the UNFCCC are proposed to the RGG. This group is chaired by MfE and leads the reporting, modelling and projections of greenhouse gas emissions and removals across government and all sectors. Further details of the RGG are provided in chapter 1, section 1.2.2. </w:t>
      </w:r>
    </w:p>
    <w:p w14:paraId="6AA19179" w14:textId="77777777" w:rsidR="00F02481" w:rsidRPr="00BE78CA" w:rsidRDefault="00F02481" w:rsidP="00C26084">
      <w:pPr>
        <w:pStyle w:val="Figure"/>
      </w:pPr>
      <w:bookmarkStart w:id="566" w:name="_Toc447275694"/>
      <w:bookmarkStart w:id="567" w:name="_Toc481752012"/>
      <w:bookmarkStart w:id="568" w:name="_Toc507158471"/>
      <w:bookmarkStart w:id="569" w:name="_Toc511116962"/>
      <w:bookmarkStart w:id="570" w:name="_Toc5269692"/>
      <w:bookmarkStart w:id="571" w:name="_Toc32570963"/>
      <w:bookmarkStart w:id="572" w:name="_Toc36292793"/>
      <w:bookmarkStart w:id="573" w:name="_Toc68786658"/>
      <w:r w:rsidRPr="00BE78CA">
        <w:lastRenderedPageBreak/>
        <w:t xml:space="preserve">Figure 5.1.7 </w:t>
      </w:r>
      <w:r w:rsidRPr="00BE78CA">
        <w:tab/>
        <w:t>Agriculture sectoral approval process for inventory recalculations and improvements</w:t>
      </w:r>
      <w:bookmarkEnd w:id="566"/>
      <w:bookmarkEnd w:id="567"/>
      <w:bookmarkEnd w:id="568"/>
      <w:bookmarkEnd w:id="569"/>
      <w:bookmarkEnd w:id="570"/>
      <w:bookmarkEnd w:id="571"/>
      <w:bookmarkEnd w:id="572"/>
      <w:bookmarkEnd w:id="573"/>
    </w:p>
    <w:p w14:paraId="5356C0FF" w14:textId="77777777" w:rsidR="00F02481" w:rsidRPr="00BE78CA" w:rsidRDefault="00F02481" w:rsidP="002E6A40">
      <w:pPr>
        <w:pStyle w:val="BodyText"/>
        <w:spacing w:before="0" w:after="60"/>
        <w:jc w:val="center"/>
        <w:rPr>
          <w:rFonts w:eastAsia="Calibri" w:cs="Calibri"/>
        </w:rPr>
      </w:pPr>
      <w:r w:rsidRPr="00BE78CA">
        <w:rPr>
          <w:rFonts w:eastAsia="Calibri" w:cs="Calibri"/>
        </w:rPr>
        <w:object w:dxaOrig="14631" w:dyaOrig="24688" w14:anchorId="56D92E40">
          <v:shape id="_x0000_i1043" type="#_x0000_t75" style="width:345.05pt;height:482.95pt" o:ole="">
            <v:imagedata r:id="rId123" o:title="" croptop="1526f" cropbottom="2910f"/>
          </v:shape>
          <o:OLEObject Type="Embed" ProgID="Visio.Drawing.15" ShapeID="_x0000_i1043" DrawAspect="Content" ObjectID="_1679402765" r:id="rId124"/>
        </w:object>
      </w:r>
    </w:p>
    <w:p w14:paraId="4236E202" w14:textId="77777777" w:rsidR="00F02481" w:rsidRPr="00BE78CA" w:rsidRDefault="00F02481" w:rsidP="00C26084">
      <w:pPr>
        <w:pStyle w:val="Noteundertable"/>
        <w:rPr>
          <w:rFonts w:cs="Calibri"/>
        </w:rPr>
      </w:pPr>
      <w:r w:rsidRPr="00BE78CA">
        <w:rPr>
          <w:rFonts w:cs="Calibri"/>
          <w:b/>
          <w:bCs/>
        </w:rPr>
        <w:t>Note:</w:t>
      </w:r>
      <w:r w:rsidRPr="00BE78CA">
        <w:rPr>
          <w:rFonts w:cs="Calibri"/>
        </w:rPr>
        <w:tab/>
        <w:t xml:space="preserve">AG = agriculture; DDG = Deputy Director-General; MfE = Ministry for the Environment; MPI = Ministry for Primary Industries; NIR = National Inventory Report; RGG = Reporting Governance Group (for the NIR). </w:t>
      </w:r>
    </w:p>
    <w:p w14:paraId="4E894BBB" w14:textId="77777777" w:rsidR="00F02481" w:rsidRPr="00BE78CA" w:rsidRDefault="00F02481" w:rsidP="00C26084">
      <w:pPr>
        <w:pStyle w:val="Heading5"/>
        <w:rPr>
          <w:rFonts w:cs="Calibri"/>
        </w:rPr>
      </w:pPr>
      <w:r w:rsidRPr="00BE78CA">
        <w:rPr>
          <w:rFonts w:cs="Calibri"/>
        </w:rPr>
        <w:t>Agriculture Inventory Advisory Panel meeting – 2020</w:t>
      </w:r>
    </w:p>
    <w:p w14:paraId="042B1915" w14:textId="77777777" w:rsidR="00F02481" w:rsidRPr="00BE78CA" w:rsidRDefault="00F02481" w:rsidP="00C26084">
      <w:pPr>
        <w:pStyle w:val="BodyText"/>
        <w:rPr>
          <w:rFonts w:cs="Calibri"/>
        </w:rPr>
      </w:pPr>
      <w:r w:rsidRPr="00BE78CA">
        <w:rPr>
          <w:rFonts w:cs="Calibri"/>
        </w:rPr>
        <w:t xml:space="preserve">The 2020 meeting of the Panel was held on 3 November and considered the following proposed inventory changes: </w:t>
      </w:r>
    </w:p>
    <w:p w14:paraId="046DED6F" w14:textId="4F5A2A45" w:rsidR="00F02481" w:rsidRPr="00BE78CA" w:rsidRDefault="00F02481" w:rsidP="00C26084">
      <w:pPr>
        <w:pStyle w:val="Bullet"/>
      </w:pPr>
      <w:r w:rsidRPr="00BE78CA">
        <w:t xml:space="preserve">the adoption of updated pasture quality data for dairy cattle, beef cattle, sheep and deer </w:t>
      </w:r>
      <w:r w:rsidR="00A5233F" w:rsidRPr="00BE78CA">
        <w:t>livestock types</w:t>
      </w:r>
      <w:r w:rsidRPr="00BE78CA">
        <w:t>.</w:t>
      </w:r>
    </w:p>
    <w:p w14:paraId="083A74A6" w14:textId="77777777" w:rsidR="00F02481" w:rsidRPr="00BE78CA" w:rsidRDefault="00F02481" w:rsidP="00C26084">
      <w:pPr>
        <w:pStyle w:val="Bullet"/>
      </w:pPr>
      <w:r w:rsidRPr="00BE78CA">
        <w:t>the revision of the methodology for estimating N</w:t>
      </w:r>
      <w:r w:rsidRPr="00BE78CA">
        <w:rPr>
          <w:vertAlign w:val="subscript"/>
        </w:rPr>
        <w:t>2</w:t>
      </w:r>
      <w:r w:rsidRPr="00BE78CA">
        <w:t xml:space="preserve">O emissions from </w:t>
      </w:r>
      <w:r w:rsidRPr="00BE78CA">
        <w:rPr>
          <w:i/>
          <w:iCs/>
        </w:rPr>
        <w:t>Managed organic soils</w:t>
      </w:r>
      <w:r w:rsidRPr="00BE78CA">
        <w:t>.</w:t>
      </w:r>
    </w:p>
    <w:p w14:paraId="4599B60F" w14:textId="77777777" w:rsidR="00F02481" w:rsidRPr="00BE78CA" w:rsidRDefault="00F02481" w:rsidP="00C26084">
      <w:pPr>
        <w:pStyle w:val="BodyText"/>
        <w:rPr>
          <w:rFonts w:cs="Calibri"/>
        </w:rPr>
      </w:pPr>
      <w:r w:rsidRPr="00BE78CA">
        <w:rPr>
          <w:rFonts w:cs="Calibri"/>
        </w:rPr>
        <w:t xml:space="preserve">The Panel recommended that the proposed changes to the pasture quality data be incorporated into the 2021 inventory submission, because the research and justification </w:t>
      </w:r>
      <w:r w:rsidRPr="00BE78CA">
        <w:rPr>
          <w:rFonts w:cs="Calibri"/>
        </w:rPr>
        <w:lastRenderedPageBreak/>
        <w:t>underpinning the change was robust and well documented (Giltrap and McNeill, unpublished). Previous pasture quality data were based on data collected in the early 2000s from a small group of farms, whereas, in the revised data set, the new pasture quality data contain around 2,500 observations in total.</w:t>
      </w:r>
    </w:p>
    <w:p w14:paraId="34EA284E" w14:textId="39D82729" w:rsidR="00F02481" w:rsidRPr="00BE78CA" w:rsidRDefault="00F02481" w:rsidP="00C26084">
      <w:pPr>
        <w:pStyle w:val="BodyText"/>
        <w:rPr>
          <w:rFonts w:cs="Calibri"/>
        </w:rPr>
      </w:pPr>
      <w:r w:rsidRPr="00BE78CA">
        <w:rPr>
          <w:rFonts w:cs="Calibri"/>
        </w:rPr>
        <w:t>For the second proposed change, the Panel recommended that the existing methodology for calculating N</w:t>
      </w:r>
      <w:r w:rsidRPr="00BE78CA">
        <w:rPr>
          <w:rFonts w:cs="Calibri"/>
          <w:vertAlign w:val="subscript"/>
        </w:rPr>
        <w:t>2</w:t>
      </w:r>
      <w:r w:rsidRPr="00BE78CA">
        <w:rPr>
          <w:rFonts w:cs="Calibri"/>
        </w:rPr>
        <w:t xml:space="preserve">O emissions from </w:t>
      </w:r>
      <w:r w:rsidRPr="00BE78CA">
        <w:rPr>
          <w:rFonts w:cs="Calibri"/>
          <w:i/>
          <w:iCs/>
        </w:rPr>
        <w:t>Managed organic soils</w:t>
      </w:r>
      <w:r w:rsidRPr="00BE78CA">
        <w:rPr>
          <w:rFonts w:cs="Calibri"/>
        </w:rPr>
        <w:t xml:space="preserve"> be revised. Previously, the inventory interpreted this as those organic soils that are cultivated annually through pasture renewal (approximately 8,019 hectares per year), and emissions were subsequently based on this area. The Panel agreed to align this with the area of organic soils under the </w:t>
      </w:r>
      <w:r w:rsidRPr="00BE78CA">
        <w:rPr>
          <w:rFonts w:cs="Calibri"/>
          <w:i/>
          <w:iCs/>
        </w:rPr>
        <w:t xml:space="preserve">Grassland </w:t>
      </w:r>
      <w:r w:rsidRPr="00BE78CA">
        <w:rPr>
          <w:rFonts w:cs="Calibri"/>
        </w:rPr>
        <w:t>and</w:t>
      </w:r>
      <w:r w:rsidRPr="00BE78CA">
        <w:rPr>
          <w:rFonts w:cs="Calibri"/>
          <w:i/>
          <w:iCs/>
        </w:rPr>
        <w:t xml:space="preserve"> Cropland</w:t>
      </w:r>
      <w:r w:rsidRPr="00BE78CA">
        <w:rPr>
          <w:rFonts w:cs="Calibri"/>
        </w:rPr>
        <w:t xml:space="preserve"> categories in the Land Use, Land-Use Change and Forestry (LULUCF) section of the inventory. The use of these figures ensures the </w:t>
      </w:r>
      <w:r w:rsidR="00543CC9" w:rsidRPr="00BE78CA">
        <w:rPr>
          <w:rFonts w:cs="Calibri"/>
        </w:rPr>
        <w:t>A</w:t>
      </w:r>
      <w:r w:rsidRPr="00BE78CA">
        <w:rPr>
          <w:rFonts w:cs="Calibri"/>
        </w:rPr>
        <w:t>griculture inventory is using values that are up to date and aligned with the rest of the National Greenhouse Gas Inventory.</w:t>
      </w:r>
    </w:p>
    <w:p w14:paraId="1618FD6C" w14:textId="77777777" w:rsidR="00F02481" w:rsidRPr="00BE78CA" w:rsidRDefault="00F02481" w:rsidP="00C26084">
      <w:pPr>
        <w:pStyle w:val="BodyText"/>
        <w:rPr>
          <w:rFonts w:cs="Calibri"/>
        </w:rPr>
      </w:pPr>
      <w:r w:rsidRPr="00BE78CA">
        <w:rPr>
          <w:rFonts w:cs="Calibri"/>
        </w:rPr>
        <w:t>The Panel also noted a minor correction to the nitrogen excretion calculations for sheep. A recent review found an error in the calculations, which has now been corrected in the 2021 inventory and backdated for all years to 1990.</w:t>
      </w:r>
    </w:p>
    <w:p w14:paraId="57BEDDD7" w14:textId="77777777" w:rsidR="00F02481" w:rsidRPr="00BE78CA" w:rsidRDefault="00F02481" w:rsidP="00C26084">
      <w:pPr>
        <w:pStyle w:val="BodyText"/>
        <w:rPr>
          <w:rFonts w:cs="Calibri"/>
        </w:rPr>
      </w:pPr>
      <w:r w:rsidRPr="00BE78CA">
        <w:rPr>
          <w:rFonts w:cs="Calibri"/>
        </w:rPr>
        <w:t>Further details on these changes are outlined in sections 5.2.5, 5.3.5, 5.5.5 (source-specific recalculations), and chapter 10 (all recalculations).</w:t>
      </w:r>
    </w:p>
    <w:p w14:paraId="5051777E" w14:textId="77777777" w:rsidR="00F02481" w:rsidRPr="00BE78CA" w:rsidRDefault="00F02481" w:rsidP="00C26084">
      <w:pPr>
        <w:pStyle w:val="BodyText"/>
      </w:pPr>
      <w:r w:rsidRPr="00BE78CA">
        <w:rPr>
          <w:rFonts w:cs="Calibri"/>
        </w:rPr>
        <w:t xml:space="preserve">The briefs, reports and minutes of the 2020 Panel meetings (as well as panel meetings </w:t>
      </w:r>
      <w:r w:rsidRPr="00BE78CA">
        <w:t>for previous years) are all available on the MPI website (</w:t>
      </w:r>
      <w:hyperlink r:id="rId125" w:history="1">
        <w:r w:rsidRPr="00BE78CA">
          <w:rPr>
            <w:rStyle w:val="Hyperlink"/>
          </w:rPr>
          <w:t>www.mpi.govt.nz/news-and-resources/statistics-and-forecasting/greenhouse-gas-reporting/agricultural-inventory-advisory-panel</w:t>
        </w:r>
      </w:hyperlink>
      <w:r w:rsidRPr="00BE78CA">
        <w:t xml:space="preserve">). </w:t>
      </w:r>
    </w:p>
    <w:p w14:paraId="6061F650" w14:textId="77777777" w:rsidR="00F02481" w:rsidRPr="00BE78CA" w:rsidRDefault="00F02481" w:rsidP="00C26084">
      <w:pPr>
        <w:pStyle w:val="Heading4"/>
      </w:pPr>
      <w:r w:rsidRPr="00BE78CA">
        <w:t xml:space="preserve">Recalculations approved for the 2021 National Inventory Report submission in the Agriculture sector </w:t>
      </w:r>
    </w:p>
    <w:p w14:paraId="2933373A" w14:textId="77777777" w:rsidR="00F02481" w:rsidRPr="00BE78CA" w:rsidRDefault="00F02481" w:rsidP="00C26084">
      <w:pPr>
        <w:pStyle w:val="BodyText"/>
        <w:spacing w:after="100"/>
        <w:rPr>
          <w:rFonts w:cs="Calibri"/>
          <w:spacing w:val="-2"/>
        </w:rPr>
      </w:pPr>
      <w:r w:rsidRPr="00BE78CA">
        <w:rPr>
          <w:rFonts w:cs="Calibri"/>
          <w:spacing w:val="-2"/>
        </w:rPr>
        <w:t>Following the recommendations from the</w:t>
      </w:r>
      <w:r w:rsidRPr="00BE78CA">
        <w:rPr>
          <w:rFonts w:cs="Calibri"/>
        </w:rPr>
        <w:t xml:space="preserve"> </w:t>
      </w:r>
      <w:r w:rsidRPr="00BE78CA">
        <w:rPr>
          <w:rFonts w:cs="Calibri"/>
          <w:spacing w:val="-2"/>
        </w:rPr>
        <w:t>Agriculture Inventory Advisory Panel and approval from the Deputy Director-General (Policy and Trade) at MPI and the RGG, New Zealand has made the following improvements and corrections to the Agriculture sector in its 2021</w:t>
      </w:r>
      <w:r w:rsidRPr="00BE78CA">
        <w:rPr>
          <w:rFonts w:cs="Calibri"/>
        </w:rPr>
        <w:t xml:space="preserve"> </w:t>
      </w:r>
      <w:r w:rsidRPr="00BE78CA">
        <w:rPr>
          <w:rFonts w:cs="Calibri"/>
          <w:spacing w:val="-2"/>
        </w:rPr>
        <w:t>annual submission:</w:t>
      </w:r>
    </w:p>
    <w:p w14:paraId="2CDA6F95" w14:textId="768AE381" w:rsidR="00F02481" w:rsidRPr="00BE78CA" w:rsidRDefault="00F02481" w:rsidP="00F47948">
      <w:pPr>
        <w:pStyle w:val="Bullet"/>
      </w:pPr>
      <w:r w:rsidRPr="00BE78CA">
        <w:t xml:space="preserve">use of new pasture quality values ME, organic matter digestibility (OMD) and nitrogen content for </w:t>
      </w:r>
      <w:r w:rsidR="00170CF9" w:rsidRPr="00BE78CA">
        <w:t>d</w:t>
      </w:r>
      <w:r w:rsidRPr="00BE78CA">
        <w:t>airy cattle, beef</w:t>
      </w:r>
      <w:r w:rsidRPr="00BE78CA">
        <w:rPr>
          <w:i/>
          <w:iCs/>
        </w:rPr>
        <w:t xml:space="preserve"> </w:t>
      </w:r>
      <w:r w:rsidRPr="00BE78CA">
        <w:t>cattle,</w:t>
      </w:r>
      <w:r w:rsidRPr="00BE78CA">
        <w:rPr>
          <w:i/>
          <w:iCs/>
        </w:rPr>
        <w:t xml:space="preserve"> </w:t>
      </w:r>
      <w:r w:rsidR="00170CF9" w:rsidRPr="00BE78CA">
        <w:t>s</w:t>
      </w:r>
      <w:r w:rsidRPr="00BE78CA">
        <w:t xml:space="preserve">heep and </w:t>
      </w:r>
      <w:r w:rsidR="00170CF9" w:rsidRPr="00BE78CA">
        <w:t>d</w:t>
      </w:r>
      <w:r w:rsidRPr="00BE78CA">
        <w:t>eer livestock categories in the Tier 2 methodology</w:t>
      </w:r>
    </w:p>
    <w:p w14:paraId="52F773DB" w14:textId="77777777" w:rsidR="00F02481" w:rsidRPr="00BE78CA" w:rsidRDefault="00F02481" w:rsidP="00F47948">
      <w:pPr>
        <w:pStyle w:val="Bullet"/>
      </w:pPr>
      <w:r w:rsidRPr="00BE78CA">
        <w:t>use of revised area data for calculating N</w:t>
      </w:r>
      <w:r w:rsidRPr="00BE78CA">
        <w:rPr>
          <w:vertAlign w:val="subscript"/>
        </w:rPr>
        <w:t>2</w:t>
      </w:r>
      <w:r w:rsidRPr="00BE78CA">
        <w:t xml:space="preserve">O emissions from </w:t>
      </w:r>
      <w:r w:rsidRPr="00BE78CA">
        <w:rPr>
          <w:i/>
          <w:iCs/>
        </w:rPr>
        <w:t xml:space="preserve">Managed organic soils, </w:t>
      </w:r>
      <w:r w:rsidRPr="00BE78CA">
        <w:t>to better align with the 2006 IPCC Guidelines (IPCC, 2006)</w:t>
      </w:r>
    </w:p>
    <w:p w14:paraId="7A247265" w14:textId="77777777" w:rsidR="00F02481" w:rsidRPr="00BE78CA" w:rsidRDefault="00F02481" w:rsidP="00FA2314">
      <w:pPr>
        <w:pStyle w:val="Bullet"/>
        <w:numPr>
          <w:ilvl w:val="0"/>
          <w:numId w:val="25"/>
        </w:numPr>
      </w:pPr>
      <w:r w:rsidRPr="00BE78CA">
        <w:t>corrections to sheep nitrogen excretion calculations.</w:t>
      </w:r>
    </w:p>
    <w:p w14:paraId="634584BA" w14:textId="77777777" w:rsidR="00F02481" w:rsidRPr="00BE78CA" w:rsidRDefault="00F02481" w:rsidP="00C26084">
      <w:pPr>
        <w:pStyle w:val="BodyText"/>
        <w:spacing w:after="100"/>
      </w:pPr>
      <w:r w:rsidRPr="00BE78CA">
        <w:t>The implementation of these improvements has resulted in the estimate of Agriculture sector emissions in 2018 being 4.7 per cent higher in the 2021 submission than the estimate for 2018 Agriculture sector emissions in the 2020 (1990–2018) submission. Further details of these improvements are provided in section 5.5.5 and chapter 10, section 10.1.3.</w:t>
      </w:r>
    </w:p>
    <w:p w14:paraId="7D01AD1B" w14:textId="77777777" w:rsidR="00F02481" w:rsidRPr="00BE78CA" w:rsidRDefault="00F02481" w:rsidP="00F47948">
      <w:pPr>
        <w:pStyle w:val="Heading3"/>
        <w:rPr>
          <w:rFonts w:cs="Calibri"/>
        </w:rPr>
      </w:pPr>
      <w:bookmarkStart w:id="574" w:name="_Toc32570648"/>
      <w:r w:rsidRPr="00BE78CA">
        <w:rPr>
          <w:rFonts w:cs="Calibri"/>
        </w:rPr>
        <w:t xml:space="preserve">5.1.6 </w:t>
      </w:r>
      <w:r w:rsidRPr="00BE78CA">
        <w:rPr>
          <w:rFonts w:cs="Calibri"/>
        </w:rPr>
        <w:tab/>
        <w:t>Quality assurance and quality control (QA/QC)</w:t>
      </w:r>
      <w:bookmarkEnd w:id="574"/>
    </w:p>
    <w:p w14:paraId="445AE755" w14:textId="77777777" w:rsidR="00F02481" w:rsidRPr="00BE78CA" w:rsidRDefault="00F02481" w:rsidP="002E6A40">
      <w:pPr>
        <w:pStyle w:val="BodyText"/>
      </w:pPr>
      <w:r w:rsidRPr="00BE78CA">
        <w:t xml:space="preserve">The team responsible for the Agriculture inventory preparation within MPI maintains close contact with the teams responsible for the collation of primary industries (agriculture, horticulture, forestry and fishing) data. These teams liaise with Stats NZ and provide analysis and forecasts of primary industries activity and performance. This arrangement </w:t>
      </w:r>
      <w:r w:rsidRPr="00BE78CA">
        <w:lastRenderedPageBreak/>
        <w:t xml:space="preserve">ensures that the inventory preparation team has a good understanding of activity data and agricultural performance. </w:t>
      </w:r>
    </w:p>
    <w:p w14:paraId="6E6991E6" w14:textId="77777777" w:rsidR="00F02481" w:rsidRPr="00BE78CA" w:rsidRDefault="00F02481" w:rsidP="00F96F62">
      <w:pPr>
        <w:pStyle w:val="BodyText"/>
      </w:pPr>
      <w:r w:rsidRPr="00BE78CA">
        <w:t>The connection with Stats NZ ensures that statistical data are aligned with changes in agricultural management practices in the primary industries sector. Capturing this data is required to be able to track changes in emissions as a result of mitigation and shifts in farm management in the inventory.</w:t>
      </w:r>
    </w:p>
    <w:p w14:paraId="630F2594" w14:textId="77777777" w:rsidR="00F02481" w:rsidRPr="00BE78CA" w:rsidRDefault="00F02481" w:rsidP="00F96F62">
      <w:pPr>
        <w:pStyle w:val="BodyText"/>
      </w:pPr>
      <w:r w:rsidRPr="00BE78CA">
        <w:t xml:space="preserve">The team responsible for the Agriculture inventory preparation also maintains relationships with industry bodies that provide additional data, such as Beef + Lamb New Zealand Ltd, LIC, Deer Industry New Zealand, the Poultry Industry Association New Zealand and the Fertiliser Association of New Zealand. </w:t>
      </w:r>
    </w:p>
    <w:p w14:paraId="572196E0" w14:textId="77777777" w:rsidR="00F02481" w:rsidRPr="00BE78CA" w:rsidRDefault="00F02481" w:rsidP="00F96F62">
      <w:pPr>
        <w:pStyle w:val="BodyText"/>
      </w:pPr>
      <w:r w:rsidRPr="00BE78CA">
        <w:t xml:space="preserve">As part of the quality control procedures, the inventory is reviewed by MPI personnel with expertise in climate change policy, international policy, climate change science and livestock farming policy. The review ensures that the inventory clearly explains the sources of agricultural emissions in New Zealand as well as the trends in emissions from year to year. The results from the inventory also inform domestic and international climate change policy. </w:t>
      </w:r>
    </w:p>
    <w:p w14:paraId="3EA5EFBC" w14:textId="77777777" w:rsidR="00F02481" w:rsidRPr="00BE78CA" w:rsidRDefault="00F02481" w:rsidP="00F96F62">
      <w:pPr>
        <w:pStyle w:val="BodyText"/>
      </w:pPr>
      <w:r w:rsidRPr="00BE78CA">
        <w:t xml:space="preserve">MPI’s Agriculture inventory experts meet regularly with the team at MfE that is responsible for coordinating the annual national inventory submission. MfE monitors MPI progress in implementing recommendations from previous expert review reports and on meeting timelines during the year. </w:t>
      </w:r>
    </w:p>
    <w:p w14:paraId="7EEAC966" w14:textId="77777777" w:rsidR="00F02481" w:rsidRPr="00BE78CA" w:rsidRDefault="00F02481" w:rsidP="00F96F62">
      <w:pPr>
        <w:pStyle w:val="BodyText"/>
      </w:pPr>
      <w:r w:rsidRPr="00BE78CA">
        <w:t xml:space="preserve">MfE also manages an internal guidance document titled ‘New Zealand’s National Inventory System Guidelines for Compiling New Zealand’s Greenhouse Gas Inventory’. This document provides domestic guidelines for the National Inventory Report sector leads to follow, including the decisions under the UNFCCC and Kyoto Protocol, and the application of these decisions within the Kyoto Protocol. The document also includes New Zealand’s quality-assurance and quality-control plan, which is followed by all inventory sector leads. </w:t>
      </w:r>
    </w:p>
    <w:p w14:paraId="103D408C" w14:textId="77777777" w:rsidR="00F02481" w:rsidRPr="00BE78CA" w:rsidRDefault="00F02481" w:rsidP="00F96F62">
      <w:pPr>
        <w:pStyle w:val="BodyText"/>
      </w:pPr>
      <w:r w:rsidRPr="00BE78CA">
        <w:t xml:space="preserve">MPI participates in the annual inventory debrief coordinated by MfE, to ensure the National Inventory Compiler and each sector lead understand what is working well and where improvements could be made. </w:t>
      </w:r>
    </w:p>
    <w:p w14:paraId="18E20351" w14:textId="77777777" w:rsidR="00F02481" w:rsidRPr="00BE78CA" w:rsidRDefault="00F02481" w:rsidP="00F96F62">
      <w:pPr>
        <w:pStyle w:val="BodyText"/>
      </w:pPr>
      <w:r w:rsidRPr="00BE78CA">
        <w:t>In 2016, an external audit firm (Deloitte), with specialist skills in quality-assurance and quality</w:t>
      </w:r>
      <w:r w:rsidRPr="00BE78CA">
        <w:noBreakHyphen/>
        <w:t xml:space="preserve">control management, was engaged to evaluate and improve quality-assurance and quality-control processes for the Agriculture inventory. New Zealand has used this feedback to update and improve the quality-assurance and quality-control methodology. </w:t>
      </w:r>
    </w:p>
    <w:p w14:paraId="31A606B4" w14:textId="77777777" w:rsidR="00F02481" w:rsidRPr="00BE78CA" w:rsidRDefault="00F02481" w:rsidP="00F96F62">
      <w:pPr>
        <w:pStyle w:val="BodyText"/>
      </w:pPr>
      <w:r w:rsidRPr="00BE78CA">
        <w:t xml:space="preserve">A process of quality-control checks is mandated in the 2006 IPCC Guidelines for National Greenhouse Gas Inventories and the internal compilation process and is provided in table 5.1.4. </w:t>
      </w:r>
    </w:p>
    <w:p w14:paraId="495BFDC8" w14:textId="77777777" w:rsidR="00F02481" w:rsidRPr="00BE78CA" w:rsidRDefault="00F02481" w:rsidP="00C26084">
      <w:pPr>
        <w:pStyle w:val="Table"/>
        <w:rPr>
          <w:rFonts w:cs="Calibri"/>
        </w:rPr>
      </w:pPr>
      <w:bookmarkStart w:id="575" w:name="_Toc32570912"/>
      <w:bookmarkStart w:id="576" w:name="_Toc36224547"/>
      <w:bookmarkStart w:id="577" w:name="_Toc68786433"/>
      <w:r w:rsidRPr="00BE78CA">
        <w:lastRenderedPageBreak/>
        <w:t xml:space="preserve">Table 5.1.4 </w:t>
      </w:r>
      <w:r w:rsidRPr="00BE78CA">
        <w:tab/>
        <w:t>Agriculture sectoral approval process for inventory recalculations and improvements</w:t>
      </w:r>
      <w:bookmarkEnd w:id="575"/>
      <w:bookmarkEnd w:id="576"/>
      <w:bookmarkEnd w:id="577"/>
    </w:p>
    <w:tbl>
      <w:tblPr>
        <w:tblW w:w="8505" w:type="dxa"/>
        <w:tblBorders>
          <w:top w:val="single" w:sz="4" w:space="0" w:color="365F91"/>
          <w:bottom w:val="single" w:sz="4" w:space="0" w:color="365F91"/>
          <w:insideH w:val="single" w:sz="4" w:space="0" w:color="365F91"/>
          <w:insideV w:val="single" w:sz="4" w:space="0" w:color="365F91"/>
        </w:tblBorders>
        <w:tblLook w:val="04A0" w:firstRow="1" w:lastRow="0" w:firstColumn="1" w:lastColumn="0" w:noHBand="0" w:noVBand="1"/>
      </w:tblPr>
      <w:tblGrid>
        <w:gridCol w:w="1324"/>
        <w:gridCol w:w="7181"/>
      </w:tblGrid>
      <w:tr w:rsidR="00F96F62" w:rsidRPr="00BE78CA" w14:paraId="55D9F06D" w14:textId="77777777" w:rsidTr="00F96F62">
        <w:trPr>
          <w:tblHeader/>
        </w:trPr>
        <w:tc>
          <w:tcPr>
            <w:tcW w:w="1324" w:type="dxa"/>
            <w:shd w:val="clear" w:color="auto" w:fill="365F91"/>
            <w:vAlign w:val="bottom"/>
          </w:tcPr>
          <w:p w14:paraId="6923CC0D" w14:textId="77777777" w:rsidR="00F02481" w:rsidRPr="00BE78CA" w:rsidRDefault="00F02481" w:rsidP="00F96F62">
            <w:pPr>
              <w:pStyle w:val="TableTextBold"/>
              <w:keepNext/>
              <w:rPr>
                <w:noProof w:val="0"/>
                <w:color w:val="FFFFFF" w:themeColor="background1"/>
              </w:rPr>
            </w:pPr>
            <w:r w:rsidRPr="00BE78CA">
              <w:rPr>
                <w:noProof w:val="0"/>
                <w:color w:val="FFFFFF" w:themeColor="background1"/>
              </w:rPr>
              <w:t>QA/QC area</w:t>
            </w:r>
          </w:p>
        </w:tc>
        <w:tc>
          <w:tcPr>
            <w:tcW w:w="7181" w:type="dxa"/>
            <w:shd w:val="clear" w:color="auto" w:fill="365F91"/>
            <w:vAlign w:val="bottom"/>
          </w:tcPr>
          <w:p w14:paraId="1D580C3B" w14:textId="77777777" w:rsidR="00F02481" w:rsidRPr="00BE78CA" w:rsidRDefault="00F02481" w:rsidP="00F96F62">
            <w:pPr>
              <w:pStyle w:val="TableTextBold"/>
              <w:keepNext/>
              <w:rPr>
                <w:noProof w:val="0"/>
                <w:color w:val="FFFFFF" w:themeColor="background1"/>
              </w:rPr>
            </w:pPr>
            <w:r w:rsidRPr="00BE78CA">
              <w:rPr>
                <w:noProof w:val="0"/>
                <w:color w:val="FFFFFF" w:themeColor="background1"/>
              </w:rPr>
              <w:t>Details of QA/QC procedure</w:t>
            </w:r>
          </w:p>
        </w:tc>
      </w:tr>
      <w:tr w:rsidR="00F02481" w:rsidRPr="00BE78CA" w14:paraId="5B009548" w14:textId="77777777" w:rsidTr="00F96F62">
        <w:tc>
          <w:tcPr>
            <w:tcW w:w="1324" w:type="dxa"/>
            <w:shd w:val="clear" w:color="auto" w:fill="auto"/>
          </w:tcPr>
          <w:p w14:paraId="24E959E5" w14:textId="77777777" w:rsidR="00F02481" w:rsidRPr="00BE78CA" w:rsidRDefault="00F02481" w:rsidP="002E6A40">
            <w:pPr>
              <w:pStyle w:val="TableText"/>
            </w:pPr>
            <w:r w:rsidRPr="00BE78CA">
              <w:t xml:space="preserve">Activity data </w:t>
            </w:r>
          </w:p>
        </w:tc>
        <w:tc>
          <w:tcPr>
            <w:tcW w:w="7181" w:type="dxa"/>
            <w:shd w:val="clear" w:color="auto" w:fill="auto"/>
          </w:tcPr>
          <w:p w14:paraId="272A66EE" w14:textId="77777777" w:rsidR="00F02481" w:rsidRPr="00BE78CA" w:rsidRDefault="00F02481" w:rsidP="00FA2314">
            <w:pPr>
              <w:pStyle w:val="TableText"/>
              <w:keepNext/>
              <w:numPr>
                <w:ilvl w:val="0"/>
                <w:numId w:val="30"/>
              </w:numPr>
              <w:spacing w:after="40"/>
              <w:rPr>
                <w:rFonts w:cs="Calibri"/>
              </w:rPr>
            </w:pPr>
            <w:r w:rsidRPr="00BE78CA">
              <w:rPr>
                <w:rFonts w:cs="Calibri"/>
              </w:rPr>
              <w:t xml:space="preserve">Data inputs and checks are recorded in a data check table, which is signed by the individual staff members performing the data input and checks. </w:t>
            </w:r>
          </w:p>
          <w:p w14:paraId="20BB8FE8" w14:textId="77777777" w:rsidR="00F02481" w:rsidRPr="00BE78CA" w:rsidRDefault="00F02481" w:rsidP="00FA2314">
            <w:pPr>
              <w:pStyle w:val="TableText"/>
              <w:keepNext/>
              <w:numPr>
                <w:ilvl w:val="0"/>
                <w:numId w:val="30"/>
              </w:numPr>
              <w:spacing w:before="40" w:after="40"/>
              <w:rPr>
                <w:rFonts w:cs="Calibri"/>
              </w:rPr>
            </w:pPr>
            <w:r w:rsidRPr="00BE78CA">
              <w:rPr>
                <w:rFonts w:cs="Calibri"/>
              </w:rPr>
              <w:t xml:space="preserve">A comprehensive list of all external data to be collected annually from internal and external sources is included as a part of the data check sheet. </w:t>
            </w:r>
          </w:p>
          <w:p w14:paraId="568C69C8" w14:textId="77777777" w:rsidR="00F02481" w:rsidRPr="00BE78CA" w:rsidRDefault="00F02481" w:rsidP="00FA2314">
            <w:pPr>
              <w:pStyle w:val="TableText"/>
              <w:keepNext/>
              <w:numPr>
                <w:ilvl w:val="0"/>
                <w:numId w:val="30"/>
              </w:numPr>
              <w:spacing w:before="40" w:after="40"/>
              <w:rPr>
                <w:rFonts w:cs="Calibri"/>
              </w:rPr>
            </w:pPr>
            <w:r w:rsidRPr="00BE78CA">
              <w:rPr>
                <w:rFonts w:cs="Calibri"/>
              </w:rPr>
              <w:t xml:space="preserve">New activity data are cross checked for accuracy and completeness by someone not involved in the data input and primary compilation. </w:t>
            </w:r>
          </w:p>
          <w:p w14:paraId="63C307D4" w14:textId="77777777" w:rsidR="00F02481" w:rsidRPr="00BE78CA" w:rsidRDefault="00F02481" w:rsidP="00FA2314">
            <w:pPr>
              <w:pStyle w:val="TableText"/>
              <w:keepNext/>
              <w:numPr>
                <w:ilvl w:val="0"/>
                <w:numId w:val="30"/>
              </w:numPr>
              <w:spacing w:before="40" w:after="40"/>
              <w:rPr>
                <w:rFonts w:cs="Calibri"/>
              </w:rPr>
            </w:pPr>
            <w:r w:rsidRPr="00BE78CA">
              <w:rPr>
                <w:rFonts w:cs="Calibri"/>
              </w:rPr>
              <w:t xml:space="preserve">New data on activity and year-to-year time variance are reviewed by commodity analysts and economic modellers, to ensure the data are consistent and reflect the domestic situation. </w:t>
            </w:r>
          </w:p>
          <w:p w14:paraId="4C10389D" w14:textId="77777777" w:rsidR="00F02481" w:rsidRPr="00BE78CA" w:rsidRDefault="00F02481" w:rsidP="00FA2314">
            <w:pPr>
              <w:pStyle w:val="TableText"/>
              <w:keepNext/>
              <w:numPr>
                <w:ilvl w:val="0"/>
                <w:numId w:val="30"/>
              </w:numPr>
              <w:spacing w:before="40" w:after="40"/>
              <w:rPr>
                <w:rFonts w:cs="Calibri"/>
              </w:rPr>
            </w:pPr>
            <w:r w:rsidRPr="00BE78CA">
              <w:rPr>
                <w:rFonts w:cs="Calibri"/>
              </w:rPr>
              <w:t xml:space="preserve">Where practical, key historical data are re-checked concurrently with updating the latest data. </w:t>
            </w:r>
          </w:p>
          <w:p w14:paraId="2558CEC1" w14:textId="77777777" w:rsidR="00F02481" w:rsidRPr="00BE78CA" w:rsidRDefault="00F02481" w:rsidP="00FA2314">
            <w:pPr>
              <w:pStyle w:val="TableText"/>
              <w:keepNext/>
              <w:numPr>
                <w:ilvl w:val="0"/>
                <w:numId w:val="30"/>
              </w:numPr>
              <w:spacing w:before="40"/>
              <w:rPr>
                <w:rFonts w:cs="Calibri"/>
              </w:rPr>
            </w:pPr>
            <w:r w:rsidRPr="00BE78CA">
              <w:rPr>
                <w:rFonts w:cs="Calibri"/>
              </w:rPr>
              <w:t xml:space="preserve">The data check table is included with the managerial sign-off materials before delivery to the Ministry for the Environment (MfE). </w:t>
            </w:r>
          </w:p>
        </w:tc>
      </w:tr>
      <w:tr w:rsidR="00F02481" w:rsidRPr="00BE78CA" w14:paraId="57BE435F" w14:textId="77777777" w:rsidTr="00F96F62">
        <w:tc>
          <w:tcPr>
            <w:tcW w:w="1324" w:type="dxa"/>
            <w:shd w:val="clear" w:color="auto" w:fill="auto"/>
          </w:tcPr>
          <w:p w14:paraId="406BDCD3" w14:textId="77777777" w:rsidR="00F02481" w:rsidRPr="00BE78CA" w:rsidRDefault="00F02481" w:rsidP="00C26084">
            <w:pPr>
              <w:pStyle w:val="TableText"/>
              <w:spacing w:before="50" w:after="50"/>
              <w:rPr>
                <w:rFonts w:cs="Calibri"/>
                <w:color w:val="000000"/>
              </w:rPr>
            </w:pPr>
            <w:r w:rsidRPr="00BE78CA">
              <w:rPr>
                <w:rFonts w:cs="Calibri"/>
                <w:color w:val="000000"/>
              </w:rPr>
              <w:t xml:space="preserve">Emissions </w:t>
            </w:r>
          </w:p>
        </w:tc>
        <w:tc>
          <w:tcPr>
            <w:tcW w:w="7181" w:type="dxa"/>
            <w:shd w:val="clear" w:color="auto" w:fill="auto"/>
          </w:tcPr>
          <w:p w14:paraId="05035330" w14:textId="77777777" w:rsidR="00F02481" w:rsidRPr="00BE78CA" w:rsidRDefault="00F02481" w:rsidP="00FA2314">
            <w:pPr>
              <w:pStyle w:val="TableText"/>
              <w:numPr>
                <w:ilvl w:val="0"/>
                <w:numId w:val="30"/>
              </w:numPr>
              <w:spacing w:before="50" w:after="40"/>
              <w:rPr>
                <w:rFonts w:cs="Calibri"/>
                <w:color w:val="000000"/>
              </w:rPr>
            </w:pPr>
            <w:r w:rsidRPr="00BE78CA">
              <w:rPr>
                <w:rFonts w:cs="Calibri"/>
                <w:color w:val="000000"/>
              </w:rPr>
              <w:t xml:space="preserve">Implied emission factors are checked over time (1990 to most recent year) and against previous submissions. Any anomalies are investigated. </w:t>
            </w:r>
          </w:p>
          <w:p w14:paraId="6B9B0551" w14:textId="77777777" w:rsidR="00F02481" w:rsidRPr="00BE78CA" w:rsidRDefault="00F02481" w:rsidP="00FA2314">
            <w:pPr>
              <w:pStyle w:val="TableText"/>
              <w:numPr>
                <w:ilvl w:val="0"/>
                <w:numId w:val="30"/>
              </w:numPr>
              <w:spacing w:before="40" w:after="40"/>
              <w:rPr>
                <w:rFonts w:cs="Calibri"/>
                <w:color w:val="000000"/>
              </w:rPr>
            </w:pPr>
            <w:r w:rsidRPr="00BE78CA">
              <w:rPr>
                <w:rFonts w:cs="Calibri"/>
                <w:color w:val="000000"/>
              </w:rPr>
              <w:t xml:space="preserve">Key category emissions are compared against Tier 1 default methodologies and against similar parties, particularly Australia. A challenge for New Zealand is the lack of countries with similar agricultural circumstances and management practices. For example, New Zealand’s major livestock types are almost all kept outdoors on pasture in all seasons. </w:t>
            </w:r>
          </w:p>
          <w:p w14:paraId="3527ED10" w14:textId="77777777" w:rsidR="00F02481" w:rsidRPr="00BE78CA" w:rsidRDefault="00F02481" w:rsidP="00FA2314">
            <w:pPr>
              <w:pStyle w:val="TableText"/>
              <w:numPr>
                <w:ilvl w:val="0"/>
                <w:numId w:val="30"/>
              </w:numPr>
              <w:spacing w:before="40" w:after="50"/>
              <w:rPr>
                <w:rFonts w:cs="Calibri"/>
                <w:color w:val="000000"/>
              </w:rPr>
            </w:pPr>
            <w:r w:rsidRPr="00BE78CA">
              <w:rPr>
                <w:rFonts w:cs="Calibri"/>
                <w:color w:val="000000"/>
              </w:rPr>
              <w:t>Total emissions and key activity data from the common reporting format (CRF) tables are checked for accuracy against total emissions and activity in the workbooks. Category totals are also checked.</w:t>
            </w:r>
          </w:p>
        </w:tc>
      </w:tr>
      <w:tr w:rsidR="00F02481" w:rsidRPr="00BE78CA" w14:paraId="7D32148E" w14:textId="77777777" w:rsidTr="00F96F62">
        <w:tc>
          <w:tcPr>
            <w:tcW w:w="1324" w:type="dxa"/>
            <w:shd w:val="clear" w:color="auto" w:fill="auto"/>
          </w:tcPr>
          <w:p w14:paraId="392B7512" w14:textId="77777777" w:rsidR="00F02481" w:rsidRPr="00BE78CA" w:rsidRDefault="00F02481" w:rsidP="00C26084">
            <w:pPr>
              <w:pStyle w:val="TableText"/>
              <w:spacing w:before="50" w:after="50"/>
              <w:rPr>
                <w:rFonts w:cs="Calibri"/>
                <w:color w:val="000000"/>
              </w:rPr>
            </w:pPr>
            <w:r w:rsidRPr="00BE78CA">
              <w:rPr>
                <w:rFonts w:cs="Calibri"/>
                <w:color w:val="000000"/>
              </w:rPr>
              <w:t xml:space="preserve">Recalculations </w:t>
            </w:r>
          </w:p>
        </w:tc>
        <w:tc>
          <w:tcPr>
            <w:tcW w:w="7181" w:type="dxa"/>
            <w:shd w:val="clear" w:color="auto" w:fill="auto"/>
          </w:tcPr>
          <w:p w14:paraId="5336FA0C" w14:textId="77777777" w:rsidR="00F02481" w:rsidRPr="00BE78CA" w:rsidRDefault="00F02481" w:rsidP="00FA2314">
            <w:pPr>
              <w:pStyle w:val="TableText"/>
              <w:numPr>
                <w:ilvl w:val="0"/>
                <w:numId w:val="31"/>
              </w:numPr>
              <w:spacing w:before="50" w:after="40"/>
              <w:rPr>
                <w:rFonts w:cs="Calibri"/>
                <w:color w:val="000000"/>
              </w:rPr>
            </w:pPr>
            <w:r w:rsidRPr="00BE78CA">
              <w:rPr>
                <w:rFonts w:cs="Calibri"/>
                <w:color w:val="000000"/>
              </w:rPr>
              <w:t xml:space="preserve">Recalculations are agreed with MfE and the Reporting Governance Group every year before the Agriculture inventory compilation commences. </w:t>
            </w:r>
          </w:p>
          <w:p w14:paraId="7F237546" w14:textId="77777777" w:rsidR="00F02481" w:rsidRPr="00BE78CA" w:rsidRDefault="00F02481" w:rsidP="00FA2314">
            <w:pPr>
              <w:pStyle w:val="TableText"/>
              <w:numPr>
                <w:ilvl w:val="0"/>
                <w:numId w:val="31"/>
              </w:numPr>
              <w:spacing w:before="40" w:after="40"/>
              <w:rPr>
                <w:rFonts w:cs="Calibri"/>
                <w:color w:val="000000"/>
              </w:rPr>
            </w:pPr>
            <w:r w:rsidRPr="00BE78CA">
              <w:rPr>
                <w:rFonts w:cs="Calibri"/>
                <w:color w:val="000000"/>
              </w:rPr>
              <w:t>Recalculations are compared with previous submissions and, as far as possible, explained and confirmed by the changes in method or activity data.</w:t>
            </w:r>
          </w:p>
          <w:p w14:paraId="0E56F33F" w14:textId="77777777" w:rsidR="00F02481" w:rsidRPr="00BE78CA" w:rsidRDefault="00F02481" w:rsidP="00FA2314">
            <w:pPr>
              <w:pStyle w:val="TableText"/>
              <w:numPr>
                <w:ilvl w:val="0"/>
                <w:numId w:val="31"/>
              </w:numPr>
              <w:spacing w:before="40" w:after="40"/>
              <w:rPr>
                <w:rFonts w:cs="Calibri"/>
                <w:color w:val="000000"/>
              </w:rPr>
            </w:pPr>
            <w:r w:rsidRPr="00BE78CA">
              <w:rPr>
                <w:rFonts w:cs="Calibri"/>
                <w:color w:val="000000"/>
              </w:rPr>
              <w:t xml:space="preserve">Anomalous results from recalculations are checked and corrected, if necessary. </w:t>
            </w:r>
          </w:p>
          <w:p w14:paraId="38BE7242" w14:textId="77777777" w:rsidR="00F02481" w:rsidRPr="00BE78CA" w:rsidRDefault="00F02481" w:rsidP="00FA2314">
            <w:pPr>
              <w:pStyle w:val="TableText"/>
              <w:numPr>
                <w:ilvl w:val="0"/>
                <w:numId w:val="31"/>
              </w:numPr>
              <w:spacing w:before="40" w:after="50"/>
              <w:rPr>
                <w:rFonts w:cs="Calibri"/>
                <w:color w:val="000000"/>
              </w:rPr>
            </w:pPr>
            <w:r w:rsidRPr="00BE78CA">
              <w:rPr>
                <w:rFonts w:cs="Calibri"/>
                <w:color w:val="000000"/>
              </w:rPr>
              <w:t xml:space="preserve">The Agriculture inventory compiler completes recalculation forms, signs the forms and forwards them to MfE. </w:t>
            </w:r>
          </w:p>
        </w:tc>
      </w:tr>
      <w:tr w:rsidR="00F02481" w:rsidRPr="00BE78CA" w14:paraId="68809A38" w14:textId="77777777" w:rsidTr="00F96F62">
        <w:tc>
          <w:tcPr>
            <w:tcW w:w="1324" w:type="dxa"/>
            <w:shd w:val="clear" w:color="auto" w:fill="auto"/>
          </w:tcPr>
          <w:p w14:paraId="054B8FD7" w14:textId="77777777" w:rsidR="00F02481" w:rsidRPr="00BE78CA" w:rsidRDefault="00F02481" w:rsidP="00C26084">
            <w:pPr>
              <w:pStyle w:val="TableText"/>
              <w:spacing w:before="50" w:after="50"/>
              <w:rPr>
                <w:rFonts w:cs="Calibri"/>
                <w:color w:val="000000"/>
              </w:rPr>
            </w:pPr>
            <w:r w:rsidRPr="00BE78CA">
              <w:rPr>
                <w:rFonts w:cs="Calibri"/>
                <w:color w:val="000000"/>
              </w:rPr>
              <w:t xml:space="preserve">Periodic reviews </w:t>
            </w:r>
          </w:p>
        </w:tc>
        <w:tc>
          <w:tcPr>
            <w:tcW w:w="7181" w:type="dxa"/>
            <w:shd w:val="clear" w:color="auto" w:fill="auto"/>
          </w:tcPr>
          <w:p w14:paraId="3ED9CF25" w14:textId="77777777" w:rsidR="00F02481" w:rsidRPr="00BE78CA" w:rsidRDefault="00F02481" w:rsidP="00FA2314">
            <w:pPr>
              <w:pStyle w:val="TableText"/>
              <w:numPr>
                <w:ilvl w:val="0"/>
                <w:numId w:val="32"/>
              </w:numPr>
              <w:spacing w:before="50" w:after="50"/>
              <w:rPr>
                <w:rFonts w:cs="Calibri"/>
                <w:color w:val="000000"/>
              </w:rPr>
            </w:pPr>
            <w:r w:rsidRPr="00BE78CA">
              <w:rPr>
                <w:rFonts w:cs="Calibri"/>
                <w:color w:val="000000"/>
              </w:rPr>
              <w:t>Periodic reviews are completed on different aspects of the Agriculture inventory. Examples of these reviews are below.</w:t>
            </w:r>
          </w:p>
          <w:p w14:paraId="44ECA671" w14:textId="77777777" w:rsidR="00F02481" w:rsidRPr="00BE78CA" w:rsidRDefault="00F02481" w:rsidP="00FA2314">
            <w:pPr>
              <w:pStyle w:val="TableText"/>
              <w:numPr>
                <w:ilvl w:val="0"/>
                <w:numId w:val="32"/>
              </w:numPr>
              <w:spacing w:before="40" w:after="40"/>
              <w:rPr>
                <w:rFonts w:cs="Calibri"/>
                <w:color w:val="000000"/>
              </w:rPr>
            </w:pPr>
            <w:r w:rsidRPr="00BE78CA">
              <w:rPr>
                <w:rFonts w:cs="Calibri"/>
                <w:color w:val="000000"/>
              </w:rPr>
              <w:t xml:space="preserve">The livestock population models and productivity parameters have been reviewed (e.g., Thomson et al., 2010). These reviews have also been used to update and improve the Tier 2 model. </w:t>
            </w:r>
          </w:p>
          <w:p w14:paraId="45BA1B63" w14:textId="77777777" w:rsidR="00F02481" w:rsidRPr="00BE78CA" w:rsidRDefault="00F02481" w:rsidP="00FA2314">
            <w:pPr>
              <w:pStyle w:val="TableText"/>
              <w:numPr>
                <w:ilvl w:val="0"/>
                <w:numId w:val="32"/>
              </w:numPr>
              <w:spacing w:before="40" w:after="40"/>
              <w:rPr>
                <w:rFonts w:cs="Calibri"/>
                <w:color w:val="000000"/>
              </w:rPr>
            </w:pPr>
            <w:r w:rsidRPr="00BE78CA">
              <w:rPr>
                <w:rFonts w:cs="Calibri"/>
                <w:color w:val="000000"/>
              </w:rPr>
              <w:t xml:space="preserve">During the 2012 submission, new crops were included in the National Inventory Report and a new complex methodology was implemented. For the 2013 submission, Plant and Food Research, a Crown research institute that has expertise in this area, was hired to review the workbooks, check the formulae, and model parameters. </w:t>
            </w:r>
          </w:p>
          <w:p w14:paraId="0FB972BE" w14:textId="77777777" w:rsidR="00F02481" w:rsidRPr="00BE78CA" w:rsidRDefault="00F02481" w:rsidP="00FA2314">
            <w:pPr>
              <w:pStyle w:val="TableText"/>
              <w:numPr>
                <w:ilvl w:val="0"/>
                <w:numId w:val="32"/>
              </w:numPr>
              <w:spacing w:before="40" w:after="40"/>
              <w:rPr>
                <w:rFonts w:cs="Calibri"/>
                <w:color w:val="000000"/>
              </w:rPr>
            </w:pPr>
            <w:r w:rsidRPr="00BE78CA">
              <w:rPr>
                <w:rFonts w:cs="Calibri"/>
                <w:color w:val="000000"/>
              </w:rPr>
              <w:t xml:space="preserve">During the 2015 submission, a mutual bilateral greenhouse gas inventory review was held between Australia and New Zealand, which included the Agriculture sector (Australian Government, unpublished). </w:t>
            </w:r>
          </w:p>
          <w:p w14:paraId="5873AB54" w14:textId="77777777" w:rsidR="00F02481" w:rsidRPr="00BE78CA" w:rsidRDefault="00F02481" w:rsidP="00FA2314">
            <w:pPr>
              <w:pStyle w:val="TableText"/>
              <w:numPr>
                <w:ilvl w:val="0"/>
                <w:numId w:val="32"/>
              </w:numPr>
              <w:spacing w:before="40" w:after="50"/>
              <w:rPr>
                <w:rFonts w:cs="Calibri"/>
                <w:color w:val="000000"/>
              </w:rPr>
            </w:pPr>
            <w:r w:rsidRPr="00BE78CA">
              <w:rPr>
                <w:rFonts w:cs="Calibri"/>
                <w:color w:val="000000"/>
              </w:rPr>
              <w:t>In 2018, the population models in the inventory model were reviewed. Small errors in the implementation of the population equations in the inventory model were found and have been corrected for the 2019 (1990–2017) submission. For more information on this, see section 5.1.5 and chapter 10, section 10.1.3.</w:t>
            </w:r>
          </w:p>
        </w:tc>
      </w:tr>
      <w:tr w:rsidR="00F02481" w:rsidRPr="00BE78CA" w14:paraId="7829386B" w14:textId="77777777" w:rsidTr="00F96F62">
        <w:tc>
          <w:tcPr>
            <w:tcW w:w="1324" w:type="dxa"/>
            <w:shd w:val="clear" w:color="auto" w:fill="auto"/>
          </w:tcPr>
          <w:p w14:paraId="28A934FB" w14:textId="77777777" w:rsidR="00F02481" w:rsidRPr="00BE78CA" w:rsidRDefault="00F02481" w:rsidP="00C26084">
            <w:pPr>
              <w:pStyle w:val="TableText"/>
              <w:spacing w:before="50" w:after="50"/>
              <w:rPr>
                <w:rFonts w:cs="Calibri"/>
                <w:color w:val="000000"/>
              </w:rPr>
            </w:pPr>
            <w:r w:rsidRPr="00BE78CA">
              <w:rPr>
                <w:rFonts w:cs="Calibri"/>
                <w:color w:val="000000"/>
              </w:rPr>
              <w:t xml:space="preserve">Error checking and reporting </w:t>
            </w:r>
          </w:p>
        </w:tc>
        <w:tc>
          <w:tcPr>
            <w:tcW w:w="7181" w:type="dxa"/>
            <w:shd w:val="clear" w:color="auto" w:fill="auto"/>
          </w:tcPr>
          <w:p w14:paraId="7E624477" w14:textId="77777777" w:rsidR="00F02481" w:rsidRPr="00BE78CA" w:rsidRDefault="00F02481" w:rsidP="00FA2314">
            <w:pPr>
              <w:pStyle w:val="TableText"/>
              <w:numPr>
                <w:ilvl w:val="0"/>
                <w:numId w:val="32"/>
              </w:numPr>
              <w:spacing w:before="50" w:after="40"/>
              <w:rPr>
                <w:rFonts w:cs="Calibri"/>
                <w:color w:val="000000"/>
              </w:rPr>
            </w:pPr>
            <w:r w:rsidRPr="00BE78CA">
              <w:rPr>
                <w:rFonts w:cs="Calibri"/>
                <w:color w:val="000000"/>
              </w:rPr>
              <w:t xml:space="preserve">Errors confirmed during the year are recorded, and the National Inventory Compiler is notified. The factors contributing to the error are assessed. </w:t>
            </w:r>
          </w:p>
          <w:p w14:paraId="1AE98DC8" w14:textId="77777777" w:rsidR="00F02481" w:rsidRPr="00BE78CA" w:rsidRDefault="00F02481" w:rsidP="00FA2314">
            <w:pPr>
              <w:pStyle w:val="TableText"/>
              <w:numPr>
                <w:ilvl w:val="0"/>
                <w:numId w:val="32"/>
              </w:numPr>
              <w:spacing w:before="40" w:after="40"/>
              <w:rPr>
                <w:rFonts w:cs="Calibri"/>
                <w:color w:val="000000"/>
              </w:rPr>
            </w:pPr>
            <w:r w:rsidRPr="00BE78CA">
              <w:rPr>
                <w:rFonts w:cs="Calibri"/>
                <w:color w:val="000000"/>
              </w:rPr>
              <w:t xml:space="preserve">An issues, risks and enhancements register is kept up to date and used to prioritise the resolution of key sources of risk to the Agriculture inventory compilation and results. </w:t>
            </w:r>
          </w:p>
          <w:p w14:paraId="0CF0F193" w14:textId="77777777" w:rsidR="00F02481" w:rsidRPr="00BE78CA" w:rsidRDefault="00F02481" w:rsidP="00FA2314">
            <w:pPr>
              <w:pStyle w:val="TableText"/>
              <w:numPr>
                <w:ilvl w:val="0"/>
                <w:numId w:val="32"/>
              </w:numPr>
              <w:spacing w:before="40" w:after="40"/>
              <w:rPr>
                <w:rFonts w:cs="Calibri"/>
                <w:color w:val="000000"/>
              </w:rPr>
            </w:pPr>
            <w:r w:rsidRPr="00BE78CA">
              <w:rPr>
                <w:rFonts w:cs="Calibri"/>
                <w:color w:val="000000"/>
              </w:rPr>
              <w:t xml:space="preserve">A checklist of quality-control activities is followed during data collection and entry into the model, data upload to the CRF reporting tool and National Inventory Report chapter preparation. </w:t>
            </w:r>
          </w:p>
          <w:p w14:paraId="1270458F" w14:textId="77777777" w:rsidR="00F02481" w:rsidRPr="00BE78CA" w:rsidRDefault="00F02481" w:rsidP="00FA2314">
            <w:pPr>
              <w:pStyle w:val="TableText"/>
              <w:numPr>
                <w:ilvl w:val="0"/>
                <w:numId w:val="32"/>
              </w:numPr>
              <w:spacing w:before="40" w:after="50"/>
              <w:rPr>
                <w:rFonts w:cs="Calibri"/>
                <w:color w:val="000000"/>
              </w:rPr>
            </w:pPr>
            <w:r w:rsidRPr="00BE78CA">
              <w:rPr>
                <w:rFonts w:cs="Calibri"/>
                <w:color w:val="000000"/>
              </w:rPr>
              <w:t xml:space="preserve">The Agriculture chapter of the National Inventory Report and the data exported to the CRF reporter are signed off by the chapter compiler, people involved in data checking and the responsible manager. </w:t>
            </w:r>
          </w:p>
        </w:tc>
      </w:tr>
      <w:tr w:rsidR="00F02481" w:rsidRPr="00BE78CA" w14:paraId="762B38D5" w14:textId="77777777" w:rsidTr="00F96F62">
        <w:tc>
          <w:tcPr>
            <w:tcW w:w="1324" w:type="dxa"/>
            <w:shd w:val="clear" w:color="auto" w:fill="auto"/>
          </w:tcPr>
          <w:p w14:paraId="606646EC" w14:textId="77777777" w:rsidR="00F02481" w:rsidRPr="00BE78CA" w:rsidRDefault="00F02481" w:rsidP="00C26084">
            <w:pPr>
              <w:pStyle w:val="TableText"/>
              <w:spacing w:before="50" w:after="50"/>
              <w:rPr>
                <w:rFonts w:cs="Calibri"/>
                <w:color w:val="000000"/>
              </w:rPr>
            </w:pPr>
            <w:r w:rsidRPr="00BE78CA">
              <w:rPr>
                <w:rFonts w:cs="Calibri"/>
                <w:color w:val="000000"/>
              </w:rPr>
              <w:t xml:space="preserve">Documentation </w:t>
            </w:r>
          </w:p>
        </w:tc>
        <w:tc>
          <w:tcPr>
            <w:tcW w:w="7181" w:type="dxa"/>
            <w:shd w:val="clear" w:color="auto" w:fill="auto"/>
          </w:tcPr>
          <w:p w14:paraId="4EBBB4DC" w14:textId="77777777" w:rsidR="00F02481" w:rsidRPr="00BE78CA" w:rsidRDefault="00F02481" w:rsidP="00FA2314">
            <w:pPr>
              <w:pStyle w:val="TableText"/>
              <w:numPr>
                <w:ilvl w:val="0"/>
                <w:numId w:val="33"/>
              </w:numPr>
              <w:spacing w:before="50" w:after="40"/>
              <w:rPr>
                <w:rFonts w:cs="Calibri"/>
                <w:color w:val="000000"/>
              </w:rPr>
            </w:pPr>
            <w:r w:rsidRPr="00BE78CA">
              <w:rPr>
                <w:rFonts w:cs="Calibri"/>
                <w:color w:val="000000"/>
              </w:rPr>
              <w:t xml:space="preserve">Internal working instructions are maintained, to allow for staff movements. </w:t>
            </w:r>
          </w:p>
          <w:p w14:paraId="12162FB2" w14:textId="77777777" w:rsidR="00F02481" w:rsidRPr="00BE78CA" w:rsidRDefault="00F02481" w:rsidP="00FA2314">
            <w:pPr>
              <w:pStyle w:val="TableText"/>
              <w:numPr>
                <w:ilvl w:val="0"/>
                <w:numId w:val="33"/>
              </w:numPr>
              <w:spacing w:before="40" w:after="40"/>
              <w:rPr>
                <w:rFonts w:cs="Calibri"/>
                <w:color w:val="000000"/>
              </w:rPr>
            </w:pPr>
            <w:r w:rsidRPr="00BE78CA">
              <w:rPr>
                <w:rFonts w:cs="Calibri"/>
                <w:color w:val="000000"/>
              </w:rPr>
              <w:t xml:space="preserve">Workbooks and calculations are kept on an electronic archiving and management system, enabling wider team access to all workbooks. </w:t>
            </w:r>
          </w:p>
          <w:p w14:paraId="783075FC" w14:textId="77777777" w:rsidR="00F02481" w:rsidRPr="00BE78CA" w:rsidRDefault="00F02481" w:rsidP="00FA2314">
            <w:pPr>
              <w:pStyle w:val="TableText"/>
              <w:numPr>
                <w:ilvl w:val="0"/>
                <w:numId w:val="33"/>
              </w:numPr>
              <w:spacing w:before="40" w:after="50"/>
              <w:rPr>
                <w:rFonts w:cs="Calibri"/>
                <w:color w:val="000000"/>
              </w:rPr>
            </w:pPr>
            <w:r w:rsidRPr="00BE78CA">
              <w:rPr>
                <w:rFonts w:cs="Calibri"/>
                <w:color w:val="000000"/>
              </w:rPr>
              <w:t xml:space="preserve">Hyperlinks between check sheets, sign-off documents and workbooks are used to link relevant files on the document management system. </w:t>
            </w:r>
          </w:p>
        </w:tc>
      </w:tr>
    </w:tbl>
    <w:p w14:paraId="73303FFB" w14:textId="77777777" w:rsidR="00F02481" w:rsidRPr="00BE78CA" w:rsidRDefault="00F02481" w:rsidP="00C26084">
      <w:pPr>
        <w:pStyle w:val="Heading3"/>
        <w:rPr>
          <w:rFonts w:cs="Calibri"/>
        </w:rPr>
      </w:pPr>
      <w:bookmarkStart w:id="578" w:name="_Toc32570649"/>
      <w:r w:rsidRPr="00BE78CA">
        <w:rPr>
          <w:rFonts w:cs="Calibri"/>
        </w:rPr>
        <w:lastRenderedPageBreak/>
        <w:t>5.1.7</w:t>
      </w:r>
      <w:r w:rsidRPr="00BE78CA">
        <w:rPr>
          <w:rFonts w:cs="Calibri"/>
        </w:rPr>
        <w:tab/>
        <w:t>Planned improvements</w:t>
      </w:r>
      <w:bookmarkEnd w:id="578"/>
    </w:p>
    <w:p w14:paraId="1D138316" w14:textId="77777777" w:rsidR="00F02481" w:rsidRPr="00BE78CA" w:rsidRDefault="00F02481" w:rsidP="00C26084">
      <w:pPr>
        <w:pStyle w:val="BodyText"/>
        <w:rPr>
          <w:rFonts w:cs="Calibri"/>
        </w:rPr>
      </w:pPr>
      <w:r w:rsidRPr="00BE78CA">
        <w:rPr>
          <w:rFonts w:cs="Calibri"/>
        </w:rPr>
        <w:t xml:space="preserve">MPI has commissioned several projects aimed at further improving New Zealand’s Agriculture inventory. </w:t>
      </w:r>
    </w:p>
    <w:p w14:paraId="1098A30F" w14:textId="77777777" w:rsidR="00F02481" w:rsidRPr="00BE78CA" w:rsidRDefault="00F02481" w:rsidP="00C26084">
      <w:pPr>
        <w:pStyle w:val="BodyText"/>
        <w:ind w:left="567" w:hanging="567"/>
        <w:rPr>
          <w:rFonts w:cs="Calibri"/>
        </w:rPr>
      </w:pPr>
      <w:r w:rsidRPr="00BE78CA">
        <w:rPr>
          <w:rFonts w:cs="Calibri"/>
        </w:rPr>
        <w:t>Short-term studies (less than one year) include:</w:t>
      </w:r>
    </w:p>
    <w:p w14:paraId="4AB4358A" w14:textId="77777777" w:rsidR="00F02481" w:rsidRPr="00BE78CA" w:rsidRDefault="00F02481" w:rsidP="00C26084">
      <w:pPr>
        <w:pStyle w:val="Bullet"/>
        <w:tabs>
          <w:tab w:val="num" w:pos="567"/>
        </w:tabs>
      </w:pPr>
      <w:r w:rsidRPr="00BE78CA">
        <w:t>evaluating the accuracy of satellite data as a means of estimating the data for pasture quality</w:t>
      </w:r>
    </w:p>
    <w:p w14:paraId="7E76C6B8" w14:textId="77777777" w:rsidR="00F02481" w:rsidRPr="00BE78CA" w:rsidRDefault="00F02481" w:rsidP="00C26084">
      <w:pPr>
        <w:pStyle w:val="Bullet"/>
        <w:tabs>
          <w:tab w:val="num" w:pos="567"/>
        </w:tabs>
      </w:pPr>
      <w:r w:rsidRPr="00BE78CA">
        <w:t>reviewing the Frac</w:t>
      </w:r>
      <w:r w:rsidRPr="00BE78CA">
        <w:rPr>
          <w:vertAlign w:val="subscript"/>
        </w:rPr>
        <w:t>LEACH</w:t>
      </w:r>
      <w:r w:rsidRPr="00BE78CA">
        <w:t xml:space="preserve"> parameter used to help calculate indirect N</w:t>
      </w:r>
      <w:r w:rsidRPr="00BE78CA">
        <w:rPr>
          <w:vertAlign w:val="subscript"/>
        </w:rPr>
        <w:t>2</w:t>
      </w:r>
      <w:r w:rsidRPr="00BE78CA">
        <w:t>O</w:t>
      </w:r>
      <w:r w:rsidRPr="00BE78CA" w:rsidDel="00637A3F">
        <w:t xml:space="preserve"> </w:t>
      </w:r>
      <w:r w:rsidRPr="00BE78CA">
        <w:t>emissions from agricultural soils (see section 5.5.6)</w:t>
      </w:r>
    </w:p>
    <w:p w14:paraId="2DB28E03" w14:textId="77777777" w:rsidR="00F02481" w:rsidRPr="00BE78CA" w:rsidRDefault="00F02481" w:rsidP="00C26084">
      <w:pPr>
        <w:pStyle w:val="Bullet"/>
        <w:tabs>
          <w:tab w:val="num" w:pos="567"/>
        </w:tabs>
      </w:pPr>
      <w:r w:rsidRPr="00BE78CA">
        <w:t>estimating N</w:t>
      </w:r>
      <w:r w:rsidRPr="00BE78CA">
        <w:rPr>
          <w:vertAlign w:val="subscript"/>
        </w:rPr>
        <w:t>2</w:t>
      </w:r>
      <w:r w:rsidRPr="00BE78CA">
        <w:t>O</w:t>
      </w:r>
      <w:r w:rsidRPr="00BE78CA" w:rsidDel="00637A3F">
        <w:t xml:space="preserve"> </w:t>
      </w:r>
      <w:r w:rsidRPr="00BE78CA">
        <w:t>emission factors for dairy urine using soil data and soil moisture content (see section 5.5.6)</w:t>
      </w:r>
    </w:p>
    <w:p w14:paraId="35FEC4A9" w14:textId="77777777" w:rsidR="00F02481" w:rsidRPr="00BE78CA" w:rsidRDefault="00F02481" w:rsidP="00C26084">
      <w:pPr>
        <w:pStyle w:val="Bullet"/>
        <w:tabs>
          <w:tab w:val="num" w:pos="567"/>
        </w:tabs>
      </w:pPr>
      <w:r w:rsidRPr="00BE78CA">
        <w:t>investigating N</w:t>
      </w:r>
      <w:r w:rsidRPr="00BE78CA">
        <w:rPr>
          <w:vertAlign w:val="subscript"/>
        </w:rPr>
        <w:t>2</w:t>
      </w:r>
      <w:r w:rsidRPr="00BE78CA">
        <w:t>O</w:t>
      </w:r>
      <w:r w:rsidRPr="00BE78CA" w:rsidDel="00637A3F">
        <w:t xml:space="preserve"> </w:t>
      </w:r>
      <w:r w:rsidRPr="00BE78CA">
        <w:t>emissions from nitrogen fertilisers and whether more disaggregated emission factors for nitrogen fertilisers are needed (see section 5.5.6).</w:t>
      </w:r>
    </w:p>
    <w:p w14:paraId="09CB4A62" w14:textId="77777777" w:rsidR="00F02481" w:rsidRPr="00BE78CA" w:rsidRDefault="00F02481" w:rsidP="00C26084">
      <w:pPr>
        <w:pStyle w:val="BodyText"/>
        <w:rPr>
          <w:rFonts w:cs="Calibri"/>
        </w:rPr>
      </w:pPr>
      <w:r w:rsidRPr="00BE78CA">
        <w:rPr>
          <w:rFonts w:cs="Calibri"/>
        </w:rPr>
        <w:t>Long-term studies (more than one year) include:</w:t>
      </w:r>
    </w:p>
    <w:p w14:paraId="56F153E9" w14:textId="77777777" w:rsidR="00F02481" w:rsidRPr="00BE78CA" w:rsidRDefault="00F02481" w:rsidP="00FA2314">
      <w:pPr>
        <w:pStyle w:val="Bullet"/>
        <w:numPr>
          <w:ilvl w:val="0"/>
          <w:numId w:val="25"/>
        </w:numPr>
      </w:pPr>
      <w:r w:rsidRPr="00BE78CA">
        <w:t>reviewing and updating the nutrient transfer model to capture new topography and animal behaviour data (see section 5.5.6)</w:t>
      </w:r>
    </w:p>
    <w:p w14:paraId="032D0856" w14:textId="77777777" w:rsidR="00F02481" w:rsidRPr="00BE78CA" w:rsidRDefault="00F02481" w:rsidP="00FA2314">
      <w:pPr>
        <w:pStyle w:val="Bullet"/>
        <w:numPr>
          <w:ilvl w:val="0"/>
          <w:numId w:val="25"/>
        </w:numPr>
      </w:pPr>
      <w:r w:rsidRPr="00BE78CA">
        <w:t>quantifying temporal and spatial trends in dairying on slopes across New Zealand (see section 5.5.6)</w:t>
      </w:r>
    </w:p>
    <w:p w14:paraId="71A573ED" w14:textId="116CFE14" w:rsidR="00F02481" w:rsidRPr="00BE78CA" w:rsidRDefault="00F02481" w:rsidP="00FA2314">
      <w:pPr>
        <w:pStyle w:val="Bullet"/>
        <w:numPr>
          <w:ilvl w:val="0"/>
          <w:numId w:val="25"/>
        </w:numPr>
      </w:pPr>
      <w:r w:rsidRPr="00BE78CA">
        <w:t>compiling data on the number of lifestyle blocks and farmlets</w:t>
      </w:r>
      <w:r w:rsidRPr="00BE78CA">
        <w:rPr>
          <w:rStyle w:val="FootnoteReference"/>
        </w:rPr>
        <w:footnoteReference w:id="39"/>
      </w:r>
      <w:r w:rsidRPr="00BE78CA">
        <w:t xml:space="preserve"> in New Zealand that can be</w:t>
      </w:r>
      <w:r w:rsidR="00244DCD" w:rsidRPr="00BE78CA">
        <w:t> </w:t>
      </w:r>
      <w:r w:rsidRPr="00BE78CA">
        <w:t>used for assessment of the number of livestock and other farming practices alongside existing population estimates</w:t>
      </w:r>
    </w:p>
    <w:p w14:paraId="735D3D23" w14:textId="77777777" w:rsidR="00F02481" w:rsidRPr="00BE78CA" w:rsidRDefault="00F02481" w:rsidP="00FA2314">
      <w:pPr>
        <w:pStyle w:val="Bullet"/>
        <w:numPr>
          <w:ilvl w:val="0"/>
          <w:numId w:val="25"/>
        </w:numPr>
      </w:pPr>
      <w:r w:rsidRPr="00BE78CA">
        <w:t>reviewing the CH</w:t>
      </w:r>
      <w:r w:rsidRPr="00BE78CA">
        <w:rPr>
          <w:vertAlign w:val="subscript"/>
        </w:rPr>
        <w:t>4</w:t>
      </w:r>
      <w:r w:rsidRPr="00BE78CA">
        <w:t xml:space="preserve"> conversion factor for the calculation of CH</w:t>
      </w:r>
      <w:r w:rsidRPr="00BE78CA">
        <w:rPr>
          <w:vertAlign w:val="subscript"/>
        </w:rPr>
        <w:t>4</w:t>
      </w:r>
      <w:r w:rsidRPr="00BE78CA">
        <w:t xml:space="preserve"> from dairy cattle manure deposited in anaerobic lagoons (see section 5.3.6)</w:t>
      </w:r>
    </w:p>
    <w:p w14:paraId="5AFF6A2A" w14:textId="77777777" w:rsidR="00F02481" w:rsidRPr="00BE78CA" w:rsidRDefault="00F02481" w:rsidP="00FA2314">
      <w:pPr>
        <w:pStyle w:val="Bullet"/>
        <w:numPr>
          <w:ilvl w:val="0"/>
          <w:numId w:val="25"/>
        </w:numPr>
      </w:pPr>
      <w:r w:rsidRPr="00BE78CA">
        <w:t>investigating the calcium carbonate content and purity of agriculture lime and dolomite used on New Zealand farms for reducing soil acidity and improving pasture production (see section 5.8.7)</w:t>
      </w:r>
    </w:p>
    <w:p w14:paraId="1398B03E" w14:textId="77777777" w:rsidR="00F02481" w:rsidRPr="00BE78CA" w:rsidRDefault="00F02481" w:rsidP="00FA2314">
      <w:pPr>
        <w:pStyle w:val="Bullet"/>
        <w:numPr>
          <w:ilvl w:val="0"/>
          <w:numId w:val="25"/>
        </w:numPr>
      </w:pPr>
      <w:r w:rsidRPr="00BE78CA">
        <w:t>improving the methods used to determine the dairy cattle populations in the New Zealand inventory model</w:t>
      </w:r>
    </w:p>
    <w:p w14:paraId="63ADEBF9" w14:textId="77777777" w:rsidR="00F02481" w:rsidRPr="00BE78CA" w:rsidRDefault="00F02481" w:rsidP="00FA2314">
      <w:pPr>
        <w:pStyle w:val="Bullet"/>
        <w:numPr>
          <w:ilvl w:val="0"/>
          <w:numId w:val="25"/>
        </w:numPr>
      </w:pPr>
      <w:r w:rsidRPr="00BE78CA">
        <w:t xml:space="preserve">continuing work to improve activity data, including through the annual collection of agricultural data by Stas NZ. </w:t>
      </w:r>
    </w:p>
    <w:p w14:paraId="2242AB2A" w14:textId="77777777" w:rsidR="00F02481" w:rsidRPr="00BE78CA" w:rsidRDefault="00F02481" w:rsidP="00C26084">
      <w:pPr>
        <w:pStyle w:val="BodyText"/>
      </w:pPr>
      <w:r w:rsidRPr="00BE78CA">
        <w:t xml:space="preserve">New Zealand also intends to review the recent publication of the </w:t>
      </w:r>
      <w:r w:rsidRPr="00BE78CA">
        <w:rPr>
          <w:i/>
          <w:iCs/>
        </w:rPr>
        <w:t>2019 Refinement to the 2006 IPCC Guidelines for National Greenhouse Gas Inventories</w:t>
      </w:r>
      <w:r w:rsidRPr="00BE78CA">
        <w:t xml:space="preserve"> (IPCC, 2019), and investigate changes to methodology and emission factors for agriculture where it is deemed to be appropriate.</w:t>
      </w:r>
    </w:p>
    <w:p w14:paraId="72AD3FD3" w14:textId="77777777" w:rsidR="00F02481" w:rsidRPr="00BE78CA" w:rsidRDefault="00F02481" w:rsidP="00C26084">
      <w:pPr>
        <w:pStyle w:val="BodyText"/>
        <w:rPr>
          <w:rFonts w:cs="Calibri"/>
        </w:rPr>
      </w:pPr>
      <w:r w:rsidRPr="00BE78CA">
        <w:rPr>
          <w:rFonts w:cs="Calibri"/>
        </w:rPr>
        <w:t>Some of these potential improvements cover multiple categories of the Agriculture inventory and are described further below. The remaining improvements relate only to a single Agriculture inventory category and are discussed in further detail in the relevant planned improvement sections 5.3.6 (</w:t>
      </w:r>
      <w:r w:rsidRPr="00BE78CA">
        <w:rPr>
          <w:rFonts w:cs="Calibri"/>
          <w:i/>
          <w:iCs/>
        </w:rPr>
        <w:t>Manure management</w:t>
      </w:r>
      <w:r w:rsidRPr="00BE78CA">
        <w:rPr>
          <w:rFonts w:cs="Calibri"/>
        </w:rPr>
        <w:t xml:space="preserve"> (CRF 3.B)), 5.5.6 (</w:t>
      </w:r>
      <w:r w:rsidRPr="00BE78CA">
        <w:rPr>
          <w:rFonts w:cs="Calibri"/>
          <w:i/>
          <w:iCs/>
        </w:rPr>
        <w:t>Agricultural soils</w:t>
      </w:r>
      <w:r w:rsidRPr="00BE78CA">
        <w:rPr>
          <w:rFonts w:cs="Calibri"/>
        </w:rPr>
        <w:t xml:space="preserve"> (CRF 3.D)) and 5.8.7 (</w:t>
      </w:r>
      <w:r w:rsidRPr="00BE78CA">
        <w:rPr>
          <w:rFonts w:cs="Calibri"/>
          <w:i/>
          <w:iCs/>
        </w:rPr>
        <w:t xml:space="preserve">Liming </w:t>
      </w:r>
      <w:r w:rsidRPr="00BE78CA">
        <w:rPr>
          <w:rFonts w:cs="Calibri"/>
        </w:rPr>
        <w:t xml:space="preserve">(CRF 3.G)). </w:t>
      </w:r>
    </w:p>
    <w:p w14:paraId="7B766C1F" w14:textId="77777777" w:rsidR="00F02481" w:rsidRPr="00BE78CA" w:rsidRDefault="00F02481" w:rsidP="00C26084">
      <w:pPr>
        <w:pStyle w:val="Heading5"/>
      </w:pPr>
      <w:r w:rsidRPr="00BE78CA">
        <w:lastRenderedPageBreak/>
        <w:t xml:space="preserve">Evaluating the accuracy of satellite data for estimating pasture quality </w:t>
      </w:r>
    </w:p>
    <w:p w14:paraId="091EE5D0" w14:textId="77777777" w:rsidR="00F02481" w:rsidRPr="00BE78CA" w:rsidRDefault="00F02481" w:rsidP="00C26084">
      <w:pPr>
        <w:pStyle w:val="BodyText"/>
        <w:rPr>
          <w:rFonts w:cs="Calibri"/>
        </w:rPr>
      </w:pPr>
      <w:r w:rsidRPr="00BE78CA">
        <w:rPr>
          <w:rFonts w:cs="Calibri"/>
        </w:rPr>
        <w:t>This project aims to explore the potential of satellite derived data to:</w:t>
      </w:r>
    </w:p>
    <w:p w14:paraId="01631C7B" w14:textId="77777777" w:rsidR="00F02481" w:rsidRPr="00BE78CA" w:rsidRDefault="00F02481" w:rsidP="00FA2314">
      <w:pPr>
        <w:pStyle w:val="Bullet"/>
        <w:numPr>
          <w:ilvl w:val="0"/>
          <w:numId w:val="25"/>
        </w:numPr>
      </w:pPr>
      <w:r w:rsidRPr="00BE78CA">
        <w:t>provide more accurate information on pasture quality, which is a critical input into determining feed intake and, therefore, CH</w:t>
      </w:r>
      <w:r w:rsidRPr="00BE78CA">
        <w:rPr>
          <w:vertAlign w:val="subscript"/>
        </w:rPr>
        <w:t>4</w:t>
      </w:r>
      <w:r w:rsidRPr="00BE78CA">
        <w:t xml:space="preserve"> and N</w:t>
      </w:r>
      <w:r w:rsidRPr="00BE78CA">
        <w:rPr>
          <w:vertAlign w:val="subscript"/>
        </w:rPr>
        <w:t>2</w:t>
      </w:r>
      <w:r w:rsidRPr="00BE78CA">
        <w:t>O emissions</w:t>
      </w:r>
    </w:p>
    <w:p w14:paraId="52484BD6" w14:textId="77777777" w:rsidR="00F02481" w:rsidRPr="00BE78CA" w:rsidRDefault="00F02481" w:rsidP="00FA2314">
      <w:pPr>
        <w:pStyle w:val="Bullet"/>
        <w:numPr>
          <w:ilvl w:val="0"/>
          <w:numId w:val="25"/>
        </w:numPr>
      </w:pPr>
      <w:r w:rsidRPr="00BE78CA">
        <w:t>inform land-use change mapping</w:t>
      </w:r>
    </w:p>
    <w:p w14:paraId="3A923094" w14:textId="77777777" w:rsidR="00F02481" w:rsidRPr="00BE78CA" w:rsidRDefault="00F02481" w:rsidP="00FA2314">
      <w:pPr>
        <w:pStyle w:val="Bullet"/>
        <w:numPr>
          <w:ilvl w:val="0"/>
          <w:numId w:val="25"/>
        </w:numPr>
      </w:pPr>
      <w:r w:rsidRPr="00BE78CA">
        <w:t>provide information for decision support tools around new crops.</w:t>
      </w:r>
    </w:p>
    <w:p w14:paraId="155E68EC" w14:textId="77777777" w:rsidR="00F02481" w:rsidRPr="00BE78CA" w:rsidRDefault="00F02481" w:rsidP="00C26084">
      <w:pPr>
        <w:pStyle w:val="BodyText"/>
      </w:pPr>
      <w:r w:rsidRPr="00BE78CA">
        <w:t>A range of field measurements were provided on pasture ME, digestibility and nitrogen content to test the accuracy and validity of the satellite measurements.</w:t>
      </w:r>
    </w:p>
    <w:p w14:paraId="61EBE054" w14:textId="77777777" w:rsidR="00F02481" w:rsidRPr="00BE78CA" w:rsidRDefault="00F02481" w:rsidP="00C26084">
      <w:pPr>
        <w:pStyle w:val="Heading5"/>
        <w:rPr>
          <w:rFonts w:cs="Calibri"/>
        </w:rPr>
      </w:pPr>
      <w:r w:rsidRPr="00BE78CA">
        <w:rPr>
          <w:rFonts w:cs="Calibri"/>
        </w:rPr>
        <w:t>Lifestyle block analysis</w:t>
      </w:r>
    </w:p>
    <w:p w14:paraId="3109D201" w14:textId="77777777" w:rsidR="00F02481" w:rsidRPr="00BE78CA" w:rsidRDefault="00F02481" w:rsidP="00C26084">
      <w:pPr>
        <w:pStyle w:val="BodyText"/>
        <w:rPr>
          <w:rFonts w:cs="Calibri"/>
        </w:rPr>
      </w:pPr>
      <w:r w:rsidRPr="00BE78CA">
        <w:rPr>
          <w:rFonts w:cs="Calibri"/>
        </w:rPr>
        <w:t>This project will use available geospatial and land parcel data to develop models to help understand the potential importance of lifestyle blocks regarding the number of livestock farmed on these blocks and the overall impact on greenhouse gas emissions.</w:t>
      </w:r>
    </w:p>
    <w:p w14:paraId="60CA41E2" w14:textId="77777777" w:rsidR="00F02481" w:rsidRPr="00BE78CA" w:rsidRDefault="00F02481" w:rsidP="00C26084">
      <w:pPr>
        <w:pStyle w:val="BodyText"/>
        <w:rPr>
          <w:rFonts w:cs="Calibri"/>
        </w:rPr>
      </w:pPr>
      <w:r w:rsidRPr="00BE78CA">
        <w:rPr>
          <w:rFonts w:cs="Calibri"/>
        </w:rPr>
        <w:t>Currently, New Zealand’s Agriculture inventory relies heavily on the data sourced from the annual Stats NZ Agricultural Production survey, which provides farm-level data at national and regional scales. However, there is no requirement for non-Goods and Service Tax</w:t>
      </w:r>
      <w:r w:rsidRPr="00BE78CA">
        <w:rPr>
          <w:rStyle w:val="FootnoteReference"/>
          <w:rFonts w:cs="Calibri"/>
        </w:rPr>
        <w:footnoteReference w:id="40"/>
      </w:r>
      <w:r w:rsidRPr="00BE78CA">
        <w:rPr>
          <w:rFonts w:cs="Calibri"/>
        </w:rPr>
        <w:t xml:space="preserve"> registered small land owners to complete this survey. This makes it extremely difficult to ascertain the impact of animals farmed on small lifestyle blocks. Better data on livestock and land managed by small land owners would improve the accuracy of the population models within the inventory.</w:t>
      </w:r>
    </w:p>
    <w:p w14:paraId="4A4E6CEB" w14:textId="77777777" w:rsidR="00F02481" w:rsidRPr="00BE78CA" w:rsidRDefault="00F02481" w:rsidP="00C26084">
      <w:pPr>
        <w:pStyle w:val="Heading5"/>
        <w:rPr>
          <w:rFonts w:cs="Calibri"/>
        </w:rPr>
      </w:pPr>
      <w:r w:rsidRPr="00BE78CA">
        <w:rPr>
          <w:rFonts w:cs="Calibri"/>
        </w:rPr>
        <w:t xml:space="preserve">Improvements to estimates of the dairy cattle population </w:t>
      </w:r>
    </w:p>
    <w:p w14:paraId="3DB549D7" w14:textId="77777777" w:rsidR="00F02481" w:rsidRPr="00BE78CA" w:rsidRDefault="00F02481" w:rsidP="00C26084">
      <w:pPr>
        <w:pStyle w:val="BodyText"/>
        <w:rPr>
          <w:rFonts w:cs="Calibri"/>
        </w:rPr>
      </w:pPr>
      <w:r w:rsidRPr="00BE78CA">
        <w:rPr>
          <w:rFonts w:cs="Calibri"/>
        </w:rPr>
        <w:t xml:space="preserve">This project will review the current methods and assumptions for determining the monthly dairy cattle populations used within the Agriculture inventory. This will be used to determine if these methods and assumptions adequately represent the New Zealand dairy industry throughout the reporting timeline (1990 onwards). </w:t>
      </w:r>
    </w:p>
    <w:p w14:paraId="6EDE881B" w14:textId="77777777" w:rsidR="00F02481" w:rsidRPr="00BE78CA" w:rsidRDefault="00F02481" w:rsidP="00C26084">
      <w:pPr>
        <w:pStyle w:val="BodyText"/>
        <w:rPr>
          <w:rFonts w:cs="Calibri"/>
        </w:rPr>
      </w:pPr>
      <w:r w:rsidRPr="00BE78CA">
        <w:rPr>
          <w:rFonts w:cs="Calibri"/>
        </w:rPr>
        <w:t>The Agriculture inventory uses annual livestock population data provided from the Stats NZ Agricultural Production survey, but several assumptions are made on how this population changes over each month of the year.</w:t>
      </w:r>
    </w:p>
    <w:p w14:paraId="6A186D31" w14:textId="77777777" w:rsidR="00F02481" w:rsidRPr="00BE78CA" w:rsidRDefault="00F02481" w:rsidP="00C26084">
      <w:pPr>
        <w:pStyle w:val="Heading2"/>
        <w:rPr>
          <w:rFonts w:cs="Calibri"/>
        </w:rPr>
      </w:pPr>
      <w:bookmarkStart w:id="579" w:name="_Toc352504860"/>
      <w:bookmarkStart w:id="580" w:name="_Toc448321523"/>
      <w:bookmarkStart w:id="581" w:name="_Toc481751385"/>
      <w:bookmarkStart w:id="582" w:name="_Toc511116600"/>
      <w:bookmarkStart w:id="583" w:name="_Toc5269362"/>
      <w:bookmarkStart w:id="584" w:name="_Toc32570650"/>
      <w:bookmarkStart w:id="585" w:name="_Toc36224402"/>
      <w:bookmarkStart w:id="586" w:name="_Toc68786322"/>
      <w:r w:rsidRPr="00BE78CA">
        <w:rPr>
          <w:rFonts w:cs="Calibri"/>
        </w:rPr>
        <w:t>5.2</w:t>
      </w:r>
      <w:r w:rsidRPr="00BE78CA">
        <w:rPr>
          <w:rFonts w:cs="Calibri"/>
        </w:rPr>
        <w:tab/>
        <w:t>Enteric fermentation (CRF 3.A)</w:t>
      </w:r>
      <w:bookmarkEnd w:id="579"/>
      <w:bookmarkEnd w:id="580"/>
      <w:bookmarkEnd w:id="581"/>
      <w:bookmarkEnd w:id="582"/>
      <w:bookmarkEnd w:id="583"/>
      <w:bookmarkEnd w:id="584"/>
      <w:bookmarkEnd w:id="585"/>
      <w:bookmarkEnd w:id="586"/>
    </w:p>
    <w:p w14:paraId="4621D488" w14:textId="77777777" w:rsidR="00F02481" w:rsidRPr="00BE78CA" w:rsidRDefault="00F02481" w:rsidP="00C26084">
      <w:pPr>
        <w:pStyle w:val="Heading3"/>
        <w:spacing w:before="120"/>
        <w:rPr>
          <w:rFonts w:cs="Calibri"/>
        </w:rPr>
      </w:pPr>
      <w:bookmarkStart w:id="587" w:name="_Toc139253917"/>
      <w:bookmarkStart w:id="588" w:name="_Toc32570651"/>
      <w:r w:rsidRPr="00BE78CA">
        <w:rPr>
          <w:rFonts w:cs="Calibri"/>
        </w:rPr>
        <w:t>5.2.1</w:t>
      </w:r>
      <w:r w:rsidRPr="00BE78CA">
        <w:rPr>
          <w:rFonts w:cs="Calibri"/>
        </w:rPr>
        <w:tab/>
        <w:t>Description</w:t>
      </w:r>
      <w:bookmarkEnd w:id="587"/>
      <w:bookmarkEnd w:id="588"/>
    </w:p>
    <w:p w14:paraId="1AE3362E" w14:textId="77777777" w:rsidR="00F02481" w:rsidRPr="00BE78CA" w:rsidRDefault="00F02481" w:rsidP="00C26084">
      <w:pPr>
        <w:pStyle w:val="BodyText"/>
        <w:spacing w:before="100"/>
        <w:rPr>
          <w:rFonts w:cs="Calibri"/>
        </w:rPr>
      </w:pPr>
      <w:r w:rsidRPr="00BE78CA">
        <w:rPr>
          <w:rFonts w:cs="Calibri"/>
        </w:rPr>
        <w:t>Methane is produced predominantly by ruminants as a by-product of enteric fermentation. Enteric fermentation is a digestive process that breaks down consumed plant material in the gut under anaerobic conditions. A portion of the plant material is fermented in the rumen to simple fatty acids, CO</w:t>
      </w:r>
      <w:r w:rsidRPr="00BE78CA">
        <w:rPr>
          <w:rFonts w:cs="Calibri"/>
          <w:vertAlign w:val="subscript"/>
        </w:rPr>
        <w:t>2</w:t>
      </w:r>
      <w:r w:rsidRPr="00BE78CA">
        <w:rPr>
          <w:rFonts w:cs="Calibri"/>
        </w:rPr>
        <w:t xml:space="preserve"> and CH</w:t>
      </w:r>
      <w:r w:rsidRPr="00BE78CA">
        <w:rPr>
          <w:rFonts w:cs="Calibri"/>
          <w:vertAlign w:val="subscript"/>
        </w:rPr>
        <w:t>4</w:t>
      </w:r>
      <w:r w:rsidRPr="00BE78CA">
        <w:rPr>
          <w:rFonts w:cs="Calibri"/>
        </w:rPr>
        <w:t>. The gases from this process are released by eructation and exhalation by the animal. The amount of CH</w:t>
      </w:r>
      <w:r w:rsidRPr="00BE78CA">
        <w:rPr>
          <w:rFonts w:cs="Calibri"/>
          <w:vertAlign w:val="subscript"/>
        </w:rPr>
        <w:t>4</w:t>
      </w:r>
      <w:r w:rsidRPr="00BE78CA">
        <w:rPr>
          <w:rFonts w:cs="Calibri"/>
        </w:rPr>
        <w:t xml:space="preserve"> released depends on the type, quality and quantity of feed consumed, which is determined by the type, age and weight of the animal, animal production, stage of pregnancy and the energy expenditure of the animal.</w:t>
      </w:r>
    </w:p>
    <w:p w14:paraId="19A25536" w14:textId="1AFBA3C3" w:rsidR="00F02481" w:rsidRPr="00BE78CA" w:rsidRDefault="00F02481" w:rsidP="00C26084">
      <w:pPr>
        <w:pStyle w:val="BodyText"/>
        <w:spacing w:before="100" w:after="100"/>
        <w:rPr>
          <w:rFonts w:cs="Calibri"/>
        </w:rPr>
      </w:pPr>
      <w:r w:rsidRPr="00BE78CA">
        <w:rPr>
          <w:rFonts w:cs="Calibri"/>
        </w:rPr>
        <w:lastRenderedPageBreak/>
        <w:t xml:space="preserve">Methane emissions from the </w:t>
      </w:r>
      <w:r w:rsidRPr="00BE78CA">
        <w:rPr>
          <w:rFonts w:cs="Calibri"/>
          <w:i/>
          <w:iCs/>
        </w:rPr>
        <w:t>Enteric fermentation</w:t>
      </w:r>
      <w:r w:rsidRPr="00BE78CA">
        <w:rPr>
          <w:rFonts w:cs="Calibri"/>
        </w:rPr>
        <w:t xml:space="preserve"> category from dairy cattle, beef cattle and sheep were identified among the largest key categories for New Zealand in the 2019 level</w:t>
      </w:r>
      <w:r w:rsidR="00824FBD" w:rsidRPr="00BE78CA">
        <w:rPr>
          <w:rFonts w:cs="Calibri"/>
        </w:rPr>
        <w:t xml:space="preserve"> </w:t>
      </w:r>
      <w:r w:rsidRPr="00BE78CA">
        <w:rPr>
          <w:rFonts w:cs="Calibri"/>
        </w:rPr>
        <w:t>assessment, and were also assessed as key categories in the trend assessment (excluding LULUCF). The methodology used by New Zealand for calculating CH</w:t>
      </w:r>
      <w:r w:rsidRPr="00BE78CA">
        <w:rPr>
          <w:rFonts w:cs="Calibri"/>
          <w:vertAlign w:val="subscript"/>
        </w:rPr>
        <w:t>4</w:t>
      </w:r>
      <w:r w:rsidRPr="00BE78CA">
        <w:rPr>
          <w:rFonts w:cs="Calibri"/>
        </w:rPr>
        <w:t xml:space="preserve"> emissions from enteric fermentation in domestic livestock is a Tier 2 modelling approach. </w:t>
      </w:r>
    </w:p>
    <w:p w14:paraId="03ABAB93" w14:textId="42C63932" w:rsidR="00F02481" w:rsidRPr="00BE78CA" w:rsidRDefault="00F02481" w:rsidP="00C26084">
      <w:pPr>
        <w:pStyle w:val="BodyText"/>
        <w:spacing w:before="100" w:after="100"/>
        <w:rPr>
          <w:rFonts w:cs="Calibri"/>
        </w:rPr>
      </w:pPr>
      <w:r w:rsidRPr="00BE78CA">
        <w:rPr>
          <w:rFonts w:cs="Calibri"/>
          <w:i/>
          <w:iCs/>
        </w:rPr>
        <w:t>Enteric fermentation</w:t>
      </w:r>
      <w:r w:rsidRPr="00BE78CA">
        <w:rPr>
          <w:rFonts w:cs="Calibri"/>
        </w:rPr>
        <w:t xml:space="preserve"> contributed an estimated 28,974.6 kt CO</w:t>
      </w:r>
      <w:r w:rsidRPr="00BE78CA">
        <w:rPr>
          <w:rFonts w:cs="Calibri"/>
          <w:vertAlign w:val="subscript"/>
        </w:rPr>
        <w:t>2</w:t>
      </w:r>
      <w:r w:rsidRPr="00BE78CA">
        <w:rPr>
          <w:rFonts w:cs="Calibri"/>
        </w:rPr>
        <w:t xml:space="preserve">-e, representing 35.2 per cent of New Zealand’s gross emissions and 73.1 per cent of agriculture emissions in 2019. The major livestock categories contributing to </w:t>
      </w:r>
      <w:r w:rsidRPr="00BE78CA">
        <w:rPr>
          <w:rFonts w:cs="Calibri"/>
          <w:i/>
          <w:iCs/>
        </w:rPr>
        <w:t>Enteric fermentation</w:t>
      </w:r>
      <w:r w:rsidRPr="00BE78CA">
        <w:rPr>
          <w:rFonts w:cs="Calibri"/>
        </w:rPr>
        <w:t xml:space="preserve"> are:</w:t>
      </w:r>
    </w:p>
    <w:p w14:paraId="6BE1C74B" w14:textId="7AF709B9" w:rsidR="00F02481" w:rsidRPr="00BE78CA" w:rsidRDefault="00547F8C" w:rsidP="00FA2314">
      <w:pPr>
        <w:pStyle w:val="Bullet"/>
        <w:numPr>
          <w:ilvl w:val="0"/>
          <w:numId w:val="25"/>
        </w:numPr>
      </w:pPr>
      <w:r w:rsidRPr="00BE78CA">
        <w:rPr>
          <w:i/>
          <w:iCs/>
        </w:rPr>
        <w:t>D</w:t>
      </w:r>
      <w:r w:rsidR="00F02481" w:rsidRPr="00BE78CA">
        <w:rPr>
          <w:i/>
          <w:iCs/>
        </w:rPr>
        <w:t>airy cattle</w:t>
      </w:r>
      <w:r w:rsidR="00F02481" w:rsidRPr="00BE78CA">
        <w:t xml:space="preserve"> (48.4 per cent of </w:t>
      </w:r>
      <w:r w:rsidR="00F02481" w:rsidRPr="00BE78CA">
        <w:rPr>
          <w:i/>
          <w:iCs/>
        </w:rPr>
        <w:t>Enteric fermentation</w:t>
      </w:r>
      <w:r w:rsidR="00F02481" w:rsidRPr="00BE78CA">
        <w:t>)</w:t>
      </w:r>
    </w:p>
    <w:p w14:paraId="4FA77E7B" w14:textId="723D03E0" w:rsidR="00F02481" w:rsidRPr="00BE78CA" w:rsidRDefault="00547F8C" w:rsidP="00FA2314">
      <w:pPr>
        <w:pStyle w:val="Bullet"/>
        <w:numPr>
          <w:ilvl w:val="0"/>
          <w:numId w:val="25"/>
        </w:numPr>
      </w:pPr>
      <w:r w:rsidRPr="00BE78CA">
        <w:rPr>
          <w:i/>
          <w:iCs/>
        </w:rPr>
        <w:t>S</w:t>
      </w:r>
      <w:r w:rsidR="00F02481" w:rsidRPr="00BE78CA">
        <w:rPr>
          <w:i/>
          <w:iCs/>
        </w:rPr>
        <w:t>heep</w:t>
      </w:r>
      <w:r w:rsidR="00F02481" w:rsidRPr="00BE78CA">
        <w:t xml:space="preserve"> (29.4 per cent of </w:t>
      </w:r>
      <w:r w:rsidR="00F02481" w:rsidRPr="00BE78CA">
        <w:rPr>
          <w:i/>
          <w:iCs/>
        </w:rPr>
        <w:t>Enteric fermentation</w:t>
      </w:r>
      <w:r w:rsidR="00F02481" w:rsidRPr="00BE78CA">
        <w:t>)</w:t>
      </w:r>
    </w:p>
    <w:p w14:paraId="67AC26CC" w14:textId="2FCDD2E4" w:rsidR="00F02481" w:rsidRPr="00BE78CA" w:rsidRDefault="00547F8C" w:rsidP="00FA2314">
      <w:pPr>
        <w:pStyle w:val="Bullet"/>
        <w:numPr>
          <w:ilvl w:val="0"/>
          <w:numId w:val="25"/>
        </w:numPr>
      </w:pPr>
      <w:r w:rsidRPr="00BE78CA">
        <w:rPr>
          <w:i/>
          <w:iCs/>
        </w:rPr>
        <w:t xml:space="preserve">Non-dairy </w:t>
      </w:r>
      <w:r w:rsidRPr="00BE78CA">
        <w:t>(</w:t>
      </w:r>
      <w:r w:rsidR="00F02481" w:rsidRPr="00BE78CA">
        <w:t>beef</w:t>
      </w:r>
      <w:r w:rsidRPr="00BE78CA">
        <w:t>)</w:t>
      </w:r>
      <w:r w:rsidR="00F02481" w:rsidRPr="00BE78CA">
        <w:t xml:space="preserve"> </w:t>
      </w:r>
      <w:r w:rsidR="00F02481" w:rsidRPr="00BE78CA">
        <w:rPr>
          <w:i/>
          <w:iCs/>
        </w:rPr>
        <w:t>cattle</w:t>
      </w:r>
      <w:r w:rsidR="00F02481" w:rsidRPr="00BE78CA">
        <w:t xml:space="preserve"> (20.3 per cent of </w:t>
      </w:r>
      <w:r w:rsidR="00F02481" w:rsidRPr="00BE78CA">
        <w:rPr>
          <w:i/>
          <w:iCs/>
        </w:rPr>
        <w:t>Enteric fermentation</w:t>
      </w:r>
      <w:r w:rsidR="00F02481" w:rsidRPr="00BE78CA">
        <w:t>)</w:t>
      </w:r>
    </w:p>
    <w:p w14:paraId="52595273" w14:textId="29CAAA61" w:rsidR="00F02481" w:rsidRPr="00BE78CA" w:rsidRDefault="00547F8C" w:rsidP="00FA2314">
      <w:pPr>
        <w:pStyle w:val="Bullet"/>
        <w:numPr>
          <w:ilvl w:val="0"/>
          <w:numId w:val="25"/>
        </w:numPr>
      </w:pPr>
      <w:r w:rsidRPr="00BE78CA">
        <w:rPr>
          <w:i/>
          <w:iCs/>
        </w:rPr>
        <w:t>D</w:t>
      </w:r>
      <w:r w:rsidR="00F02481" w:rsidRPr="00BE78CA">
        <w:rPr>
          <w:i/>
          <w:iCs/>
        </w:rPr>
        <w:t>eer</w:t>
      </w:r>
      <w:r w:rsidR="00F02481" w:rsidRPr="00BE78CA">
        <w:t xml:space="preserve"> (1.7 per cent of </w:t>
      </w:r>
      <w:r w:rsidR="00F02481" w:rsidRPr="00BE78CA">
        <w:rPr>
          <w:i/>
          <w:iCs/>
        </w:rPr>
        <w:t>Enteric fermentation</w:t>
      </w:r>
      <w:r w:rsidR="00F02481" w:rsidRPr="00BE78CA">
        <w:t>).</w:t>
      </w:r>
    </w:p>
    <w:p w14:paraId="47BCE6A9" w14:textId="77777777" w:rsidR="00F02481" w:rsidRPr="00BE78CA" w:rsidRDefault="00F02481" w:rsidP="00C26084">
      <w:pPr>
        <w:pStyle w:val="Heading5"/>
        <w:rPr>
          <w:rFonts w:cs="Calibri"/>
        </w:rPr>
      </w:pPr>
      <w:r w:rsidRPr="00BE78CA">
        <w:rPr>
          <w:rFonts w:cs="Calibri"/>
        </w:rPr>
        <w:t>Trends</w:t>
      </w:r>
    </w:p>
    <w:p w14:paraId="34E9B5EA" w14:textId="5A95D324" w:rsidR="00F02481" w:rsidRPr="00BE78CA" w:rsidRDefault="00F02481" w:rsidP="00C26084">
      <w:pPr>
        <w:pStyle w:val="BodyText"/>
        <w:rPr>
          <w:rFonts w:cs="Calibri"/>
        </w:rPr>
      </w:pPr>
      <w:r w:rsidRPr="00BE78CA">
        <w:rPr>
          <w:rFonts w:cs="Calibri"/>
        </w:rPr>
        <w:t xml:space="preserve">Emissions from </w:t>
      </w:r>
      <w:r w:rsidRPr="00BE78CA">
        <w:rPr>
          <w:rFonts w:cs="Calibri"/>
          <w:i/>
          <w:iCs/>
        </w:rPr>
        <w:t xml:space="preserve">Enteric fermentation </w:t>
      </w:r>
      <w:r w:rsidRPr="00BE78CA">
        <w:rPr>
          <w:rFonts w:cs="Calibri"/>
        </w:rPr>
        <w:t xml:space="preserve">increased 5.9 per cent (1,624.2 </w:t>
      </w:r>
      <w:r w:rsidR="00547F8C" w:rsidRPr="00BE78CA">
        <w:rPr>
          <w:rFonts w:cs="Calibri"/>
        </w:rPr>
        <w:t xml:space="preserve">kt </w:t>
      </w:r>
      <w:r w:rsidRPr="00BE78CA">
        <w:rPr>
          <w:rFonts w:cs="Calibri"/>
        </w:rPr>
        <w:t>CO</w:t>
      </w:r>
      <w:r w:rsidRPr="00BE78CA">
        <w:rPr>
          <w:rFonts w:cs="Calibri"/>
          <w:vertAlign w:val="subscript"/>
        </w:rPr>
        <w:t>2</w:t>
      </w:r>
      <w:r w:rsidRPr="00BE78CA">
        <w:rPr>
          <w:rFonts w:cs="Calibri"/>
        </w:rPr>
        <w:t xml:space="preserve">-e) between 1990 and 2019. Since 1990, there have been changes in the relative sources of emissions within the </w:t>
      </w:r>
      <w:r w:rsidRPr="00BE78CA">
        <w:rPr>
          <w:rFonts w:cs="Calibri"/>
          <w:i/>
          <w:iCs/>
        </w:rPr>
        <w:t>Enteric fermentation</w:t>
      </w:r>
      <w:r w:rsidRPr="00BE78CA">
        <w:rPr>
          <w:rFonts w:cs="Calibri"/>
        </w:rPr>
        <w:t xml:space="preserve"> category (see table 5.2.1). The largest increase came from emissions from </w:t>
      </w:r>
      <w:r w:rsidR="00547F8C" w:rsidRPr="00BE78CA">
        <w:rPr>
          <w:rFonts w:cs="Calibri"/>
          <w:i/>
          <w:iCs/>
        </w:rPr>
        <w:t>D</w:t>
      </w:r>
      <w:r w:rsidRPr="00BE78CA">
        <w:rPr>
          <w:rFonts w:cs="Calibri"/>
          <w:i/>
          <w:iCs/>
        </w:rPr>
        <w:t>airy cattle</w:t>
      </w:r>
      <w:r w:rsidRPr="00BE78CA">
        <w:rPr>
          <w:rFonts w:cs="Calibri"/>
        </w:rPr>
        <w:t xml:space="preserve"> (128.0 per cent increase in </w:t>
      </w:r>
      <w:r w:rsidRPr="00BE78CA">
        <w:rPr>
          <w:rFonts w:cs="Calibri"/>
          <w:i/>
          <w:iCs/>
        </w:rPr>
        <w:t>Enteric fermentation</w:t>
      </w:r>
      <w:r w:rsidRPr="00BE78CA">
        <w:rPr>
          <w:rFonts w:cs="Calibri"/>
        </w:rPr>
        <w:t xml:space="preserve"> emissions between 1990 and 2019). There have been decreases in emissions from </w:t>
      </w:r>
      <w:r w:rsidR="00547F8C" w:rsidRPr="00BE78CA">
        <w:rPr>
          <w:rFonts w:cs="Calibri"/>
          <w:i/>
          <w:iCs/>
        </w:rPr>
        <w:t>Non-dairy</w:t>
      </w:r>
      <w:r w:rsidR="00547F8C" w:rsidRPr="00BE78CA">
        <w:rPr>
          <w:rFonts w:cs="Calibri"/>
        </w:rPr>
        <w:t xml:space="preserve"> (</w:t>
      </w:r>
      <w:r w:rsidRPr="00BE78CA">
        <w:rPr>
          <w:rFonts w:cs="Calibri"/>
        </w:rPr>
        <w:t>beef</w:t>
      </w:r>
      <w:r w:rsidR="00547F8C" w:rsidRPr="00BE78CA">
        <w:rPr>
          <w:rFonts w:cs="Calibri"/>
        </w:rPr>
        <w:t>)</w:t>
      </w:r>
      <w:r w:rsidRPr="00BE78CA">
        <w:rPr>
          <w:rFonts w:cs="Calibri"/>
        </w:rPr>
        <w:t xml:space="preserve"> </w:t>
      </w:r>
      <w:r w:rsidRPr="00BE78CA">
        <w:rPr>
          <w:rFonts w:cs="Calibri"/>
          <w:i/>
          <w:iCs/>
        </w:rPr>
        <w:t>cattle</w:t>
      </w:r>
      <w:r w:rsidRPr="00BE78CA">
        <w:rPr>
          <w:rFonts w:cs="Calibri"/>
        </w:rPr>
        <w:t xml:space="preserve">, </w:t>
      </w:r>
      <w:r w:rsidR="00547F8C" w:rsidRPr="00BE78CA">
        <w:rPr>
          <w:rFonts w:cs="Calibri"/>
          <w:i/>
          <w:iCs/>
        </w:rPr>
        <w:t>S</w:t>
      </w:r>
      <w:r w:rsidRPr="00BE78CA">
        <w:rPr>
          <w:rFonts w:cs="Calibri"/>
          <w:i/>
          <w:iCs/>
        </w:rPr>
        <w:t>heep</w:t>
      </w:r>
      <w:r w:rsidRPr="00BE78CA">
        <w:rPr>
          <w:rFonts w:cs="Calibri"/>
        </w:rPr>
        <w:t xml:space="preserve">, and minor livestock species, such as </w:t>
      </w:r>
      <w:r w:rsidR="00547F8C" w:rsidRPr="00BE78CA">
        <w:rPr>
          <w:rFonts w:cs="Calibri"/>
          <w:i/>
          <w:iCs/>
        </w:rPr>
        <w:t>G</w:t>
      </w:r>
      <w:r w:rsidRPr="00BE78CA">
        <w:rPr>
          <w:rFonts w:cs="Calibri"/>
          <w:i/>
          <w:iCs/>
        </w:rPr>
        <w:t>oats</w:t>
      </w:r>
      <w:r w:rsidRPr="00BE78CA">
        <w:rPr>
          <w:rFonts w:cs="Calibri"/>
        </w:rPr>
        <w:t xml:space="preserve">, </w:t>
      </w:r>
      <w:r w:rsidR="00547F8C" w:rsidRPr="00BE78CA">
        <w:rPr>
          <w:rFonts w:cs="Calibri"/>
          <w:i/>
          <w:iCs/>
        </w:rPr>
        <w:t>H</w:t>
      </w:r>
      <w:r w:rsidRPr="00BE78CA">
        <w:rPr>
          <w:rFonts w:cs="Calibri"/>
          <w:i/>
          <w:iCs/>
        </w:rPr>
        <w:t>orses</w:t>
      </w:r>
      <w:r w:rsidRPr="00BE78CA">
        <w:rPr>
          <w:rFonts w:cs="Calibri"/>
        </w:rPr>
        <w:t xml:space="preserve"> and </w:t>
      </w:r>
      <w:r w:rsidR="00547F8C" w:rsidRPr="00BE78CA">
        <w:rPr>
          <w:rFonts w:cs="Calibri"/>
          <w:i/>
          <w:iCs/>
        </w:rPr>
        <w:t>S</w:t>
      </w:r>
      <w:r w:rsidRPr="00BE78CA">
        <w:rPr>
          <w:rFonts w:cs="Calibri"/>
          <w:i/>
          <w:iCs/>
        </w:rPr>
        <w:t>wine</w:t>
      </w:r>
      <w:r w:rsidRPr="00BE78CA">
        <w:rPr>
          <w:rFonts w:cs="Calibri"/>
        </w:rPr>
        <w:t>.</w:t>
      </w:r>
    </w:p>
    <w:p w14:paraId="04F4A7A8" w14:textId="77777777" w:rsidR="00F02481" w:rsidRPr="00BE78CA" w:rsidRDefault="00F02481" w:rsidP="00C26084">
      <w:pPr>
        <w:pStyle w:val="Table"/>
        <w:tabs>
          <w:tab w:val="left" w:pos="709"/>
        </w:tabs>
        <w:rPr>
          <w:rFonts w:cs="Calibri"/>
        </w:rPr>
      </w:pPr>
      <w:bookmarkStart w:id="589" w:name="_Toc441830868"/>
      <w:bookmarkStart w:id="590" w:name="_Toc451176082"/>
      <w:bookmarkStart w:id="591" w:name="_Toc481751508"/>
      <w:bookmarkStart w:id="592" w:name="_Toc507158598"/>
      <w:bookmarkStart w:id="593" w:name="_Toc511116732"/>
      <w:bookmarkStart w:id="594" w:name="_Toc5269472"/>
      <w:bookmarkStart w:id="595" w:name="_Toc32570913"/>
      <w:bookmarkStart w:id="596" w:name="_Toc36224548"/>
      <w:bookmarkStart w:id="597" w:name="_Toc68786434"/>
      <w:bookmarkStart w:id="598" w:name="_Toc139253918"/>
      <w:r w:rsidRPr="00BE78CA">
        <w:rPr>
          <w:rFonts w:cs="Calibri"/>
        </w:rPr>
        <w:t>Table 5.2.1</w:t>
      </w:r>
      <w:r w:rsidRPr="00BE78CA">
        <w:rPr>
          <w:rFonts w:cs="Calibri"/>
        </w:rPr>
        <w:tab/>
        <w:t>Trends and relative contribution of enteric fermentation (methane expressed in kt CO</w:t>
      </w:r>
      <w:r w:rsidRPr="00BE78CA">
        <w:rPr>
          <w:rFonts w:cs="Calibri"/>
          <w:vertAlign w:val="subscript"/>
        </w:rPr>
        <w:t>2</w:t>
      </w:r>
      <w:r w:rsidRPr="00BE78CA">
        <w:rPr>
          <w:rFonts w:cs="Calibri"/>
        </w:rPr>
        <w:t xml:space="preserve">-e) from livestock categories between 1990 and </w:t>
      </w:r>
      <w:bookmarkEnd w:id="589"/>
      <w:bookmarkEnd w:id="590"/>
      <w:bookmarkEnd w:id="591"/>
      <w:bookmarkEnd w:id="592"/>
      <w:bookmarkEnd w:id="593"/>
      <w:bookmarkEnd w:id="594"/>
      <w:bookmarkEnd w:id="595"/>
      <w:bookmarkEnd w:id="596"/>
      <w:r w:rsidRPr="00BE78CA">
        <w:rPr>
          <w:rFonts w:cs="Calibri"/>
        </w:rPr>
        <w:t>2019</w:t>
      </w:r>
      <w:bookmarkEnd w:id="597"/>
    </w:p>
    <w:tbl>
      <w:tblPr>
        <w:tblW w:w="8505" w:type="dxa"/>
        <w:tblBorders>
          <w:top w:val="single" w:sz="4" w:space="0" w:color="365F91"/>
          <w:bottom w:val="single" w:sz="4" w:space="0" w:color="365F91"/>
          <w:insideH w:val="single" w:sz="4" w:space="0" w:color="365F91"/>
        </w:tblBorders>
        <w:tblLayout w:type="fixed"/>
        <w:tblCellMar>
          <w:left w:w="85" w:type="dxa"/>
          <w:right w:w="85" w:type="dxa"/>
        </w:tblCellMar>
        <w:tblLook w:val="04A0" w:firstRow="1" w:lastRow="0" w:firstColumn="1" w:lastColumn="0" w:noHBand="0" w:noVBand="1"/>
      </w:tblPr>
      <w:tblGrid>
        <w:gridCol w:w="1561"/>
        <w:gridCol w:w="20"/>
        <w:gridCol w:w="799"/>
        <w:gridCol w:w="881"/>
        <w:gridCol w:w="757"/>
        <w:gridCol w:w="802"/>
        <w:gridCol w:w="40"/>
        <w:gridCol w:w="1081"/>
        <w:gridCol w:w="899"/>
        <w:gridCol w:w="17"/>
        <w:gridCol w:w="787"/>
        <w:gridCol w:w="861"/>
      </w:tblGrid>
      <w:tr w:rsidR="00244DCD" w:rsidRPr="00BE78CA" w14:paraId="3A8B17CA" w14:textId="77777777" w:rsidTr="003B6E11">
        <w:tc>
          <w:tcPr>
            <w:tcW w:w="1581" w:type="dxa"/>
            <w:gridSpan w:val="2"/>
            <w:tcBorders>
              <w:top w:val="single" w:sz="4" w:space="0" w:color="365F91"/>
              <w:bottom w:val="nil"/>
            </w:tcBorders>
            <w:shd w:val="clear" w:color="auto" w:fill="365F91"/>
            <w:vAlign w:val="bottom"/>
          </w:tcPr>
          <w:p w14:paraId="38D07CBF" w14:textId="731431BE" w:rsidR="00F02481" w:rsidRPr="00BE78CA" w:rsidRDefault="00F02481" w:rsidP="00824FBD">
            <w:pPr>
              <w:pStyle w:val="TableTextBold"/>
              <w:keepNext/>
              <w:spacing w:after="0"/>
              <w:rPr>
                <w:noProof w:val="0"/>
                <w:color w:val="FFFFFF" w:themeColor="background1"/>
                <w:szCs w:val="16"/>
              </w:rPr>
            </w:pPr>
          </w:p>
        </w:tc>
        <w:tc>
          <w:tcPr>
            <w:tcW w:w="1680" w:type="dxa"/>
            <w:gridSpan w:val="2"/>
            <w:tcBorders>
              <w:top w:val="single" w:sz="4" w:space="0" w:color="365F91"/>
              <w:bottom w:val="nil"/>
            </w:tcBorders>
            <w:shd w:val="clear" w:color="auto" w:fill="365F91"/>
            <w:vAlign w:val="bottom"/>
          </w:tcPr>
          <w:p w14:paraId="314E8560" w14:textId="77777777" w:rsidR="00F02481" w:rsidRPr="00BE78CA" w:rsidRDefault="00F02481" w:rsidP="00824FBD">
            <w:pPr>
              <w:pStyle w:val="TableTextBold"/>
              <w:keepNext/>
              <w:tabs>
                <w:tab w:val="left" w:pos="241"/>
                <w:tab w:val="left" w:pos="1062"/>
              </w:tabs>
              <w:spacing w:after="0"/>
              <w:jc w:val="center"/>
              <w:rPr>
                <w:noProof w:val="0"/>
                <w:color w:val="FFFFFF" w:themeColor="background1"/>
                <w:szCs w:val="16"/>
              </w:rPr>
            </w:pPr>
            <w:r w:rsidRPr="00BE78CA">
              <w:rPr>
                <w:noProof w:val="0"/>
                <w:color w:val="FFFFFF" w:themeColor="background1"/>
                <w:szCs w:val="16"/>
              </w:rPr>
              <w:t>Emissions (kt CO</w:t>
            </w:r>
            <w:r w:rsidRPr="00BE78CA">
              <w:rPr>
                <w:noProof w:val="0"/>
                <w:color w:val="FFFFFF" w:themeColor="background1"/>
                <w:szCs w:val="16"/>
                <w:vertAlign w:val="subscript"/>
              </w:rPr>
              <w:t>2</w:t>
            </w:r>
            <w:r w:rsidRPr="00BE78CA">
              <w:rPr>
                <w:noProof w:val="0"/>
                <w:color w:val="FFFFFF" w:themeColor="background1"/>
                <w:szCs w:val="16"/>
              </w:rPr>
              <w:t xml:space="preserve">-e) </w:t>
            </w:r>
          </w:p>
        </w:tc>
        <w:tc>
          <w:tcPr>
            <w:tcW w:w="1559" w:type="dxa"/>
            <w:gridSpan w:val="2"/>
            <w:tcBorders>
              <w:top w:val="single" w:sz="4" w:space="0" w:color="365F91"/>
              <w:bottom w:val="nil"/>
              <w:right w:val="nil"/>
            </w:tcBorders>
            <w:shd w:val="clear" w:color="auto" w:fill="365F91"/>
            <w:vAlign w:val="bottom"/>
          </w:tcPr>
          <w:p w14:paraId="2C5F937C" w14:textId="77777777" w:rsidR="00F02481" w:rsidRPr="00BE78CA" w:rsidRDefault="00F02481" w:rsidP="00824FBD">
            <w:pPr>
              <w:pStyle w:val="TableTextBold"/>
              <w:keepNext/>
              <w:spacing w:after="0"/>
              <w:jc w:val="center"/>
              <w:rPr>
                <w:noProof w:val="0"/>
                <w:color w:val="FFFFFF" w:themeColor="background1"/>
                <w:szCs w:val="16"/>
              </w:rPr>
            </w:pPr>
            <w:r w:rsidRPr="00BE78CA">
              <w:rPr>
                <w:noProof w:val="0"/>
                <w:color w:val="FFFFFF" w:themeColor="background1"/>
                <w:szCs w:val="16"/>
              </w:rPr>
              <w:t>Change from 1990</w:t>
            </w:r>
          </w:p>
        </w:tc>
        <w:tc>
          <w:tcPr>
            <w:tcW w:w="2020" w:type="dxa"/>
            <w:gridSpan w:val="3"/>
            <w:tcBorders>
              <w:top w:val="single" w:sz="4" w:space="0" w:color="365F91"/>
              <w:left w:val="nil"/>
              <w:bottom w:val="nil"/>
              <w:right w:val="nil"/>
            </w:tcBorders>
            <w:shd w:val="clear" w:color="auto" w:fill="365F91"/>
            <w:vAlign w:val="bottom"/>
          </w:tcPr>
          <w:p w14:paraId="69A9CD31" w14:textId="77777777" w:rsidR="00F02481" w:rsidRPr="00BE78CA" w:rsidRDefault="00F02481" w:rsidP="00824FBD">
            <w:pPr>
              <w:pStyle w:val="TableTextBold"/>
              <w:keepNext/>
              <w:spacing w:after="0"/>
              <w:jc w:val="center"/>
              <w:rPr>
                <w:noProof w:val="0"/>
                <w:color w:val="FFFFFF" w:themeColor="background1"/>
                <w:szCs w:val="16"/>
              </w:rPr>
            </w:pPr>
            <w:r w:rsidRPr="00BE78CA">
              <w:rPr>
                <w:noProof w:val="0"/>
                <w:color w:val="FFFFFF" w:themeColor="background1"/>
                <w:szCs w:val="16"/>
              </w:rPr>
              <w:t>Share of Enteric fermentation category (%)</w:t>
            </w:r>
          </w:p>
        </w:tc>
        <w:tc>
          <w:tcPr>
            <w:tcW w:w="1665" w:type="dxa"/>
            <w:gridSpan w:val="3"/>
            <w:tcBorders>
              <w:top w:val="single" w:sz="4" w:space="0" w:color="365F91"/>
              <w:left w:val="nil"/>
              <w:bottom w:val="nil"/>
              <w:right w:val="nil"/>
            </w:tcBorders>
            <w:shd w:val="clear" w:color="auto" w:fill="365F91"/>
            <w:vAlign w:val="bottom"/>
          </w:tcPr>
          <w:p w14:paraId="3231C624" w14:textId="77777777" w:rsidR="00F02481" w:rsidRPr="00BE78CA" w:rsidRDefault="00F02481" w:rsidP="00824FBD">
            <w:pPr>
              <w:pStyle w:val="TableTextBold"/>
              <w:keepNext/>
              <w:spacing w:after="0"/>
              <w:jc w:val="center"/>
              <w:rPr>
                <w:noProof w:val="0"/>
                <w:color w:val="FFFFFF" w:themeColor="background1"/>
                <w:szCs w:val="16"/>
              </w:rPr>
            </w:pPr>
            <w:r w:rsidRPr="00BE78CA">
              <w:rPr>
                <w:noProof w:val="0"/>
                <w:color w:val="FFFFFF" w:themeColor="background1"/>
                <w:szCs w:val="16"/>
              </w:rPr>
              <w:t>Share of total Agriculture sector (%)</w:t>
            </w:r>
          </w:p>
        </w:tc>
      </w:tr>
      <w:tr w:rsidR="00244DCD" w:rsidRPr="00BE78CA" w14:paraId="51E09046" w14:textId="77777777" w:rsidTr="006C1B51">
        <w:tc>
          <w:tcPr>
            <w:tcW w:w="1561" w:type="dxa"/>
            <w:tcBorders>
              <w:top w:val="nil"/>
              <w:bottom w:val="single" w:sz="4" w:space="0" w:color="365F91"/>
              <w:right w:val="nil"/>
            </w:tcBorders>
            <w:shd w:val="clear" w:color="auto" w:fill="365F91"/>
            <w:vAlign w:val="bottom"/>
          </w:tcPr>
          <w:p w14:paraId="051C6984" w14:textId="68C54C84" w:rsidR="00F02481" w:rsidRPr="00BE78CA" w:rsidRDefault="00824FBD" w:rsidP="00C26084">
            <w:pPr>
              <w:pStyle w:val="TableTextBold"/>
              <w:keepNext/>
              <w:rPr>
                <w:noProof w:val="0"/>
                <w:color w:val="FFFFFF" w:themeColor="background1"/>
                <w:szCs w:val="16"/>
              </w:rPr>
            </w:pPr>
            <w:r w:rsidRPr="00BE78CA">
              <w:rPr>
                <w:noProof w:val="0"/>
                <w:color w:val="FFFFFF" w:themeColor="background1"/>
                <w:szCs w:val="16"/>
              </w:rPr>
              <w:t>Livestock category</w:t>
            </w:r>
          </w:p>
        </w:tc>
        <w:tc>
          <w:tcPr>
            <w:tcW w:w="819" w:type="dxa"/>
            <w:gridSpan w:val="2"/>
            <w:tcBorders>
              <w:top w:val="nil"/>
              <w:left w:val="nil"/>
              <w:bottom w:val="single" w:sz="4" w:space="0" w:color="365F91"/>
              <w:right w:val="nil"/>
            </w:tcBorders>
            <w:shd w:val="clear" w:color="auto" w:fill="365F91"/>
            <w:vAlign w:val="bottom"/>
          </w:tcPr>
          <w:p w14:paraId="2E08AB38" w14:textId="77777777" w:rsidR="00F02481" w:rsidRPr="00BE78CA" w:rsidRDefault="00F02481" w:rsidP="00C26084">
            <w:pPr>
              <w:pStyle w:val="TableTextBold"/>
              <w:keepNext/>
              <w:spacing w:before="0"/>
              <w:jc w:val="right"/>
              <w:rPr>
                <w:noProof w:val="0"/>
                <w:color w:val="FFFFFF" w:themeColor="background1"/>
                <w:szCs w:val="16"/>
              </w:rPr>
            </w:pPr>
            <w:r w:rsidRPr="00BE78CA">
              <w:rPr>
                <w:noProof w:val="0"/>
                <w:color w:val="FFFFFF" w:themeColor="background1"/>
                <w:szCs w:val="16"/>
              </w:rPr>
              <w:t>1990</w:t>
            </w:r>
          </w:p>
        </w:tc>
        <w:tc>
          <w:tcPr>
            <w:tcW w:w="881" w:type="dxa"/>
            <w:tcBorders>
              <w:top w:val="nil"/>
              <w:left w:val="nil"/>
              <w:bottom w:val="single" w:sz="4" w:space="0" w:color="365F91"/>
              <w:right w:val="nil"/>
            </w:tcBorders>
            <w:shd w:val="clear" w:color="auto" w:fill="365F91"/>
            <w:vAlign w:val="bottom"/>
          </w:tcPr>
          <w:p w14:paraId="1D9D5B03" w14:textId="77777777" w:rsidR="00F02481" w:rsidRPr="00BE78CA" w:rsidRDefault="00F02481" w:rsidP="00C26084">
            <w:pPr>
              <w:pStyle w:val="TableTextBold"/>
              <w:keepNext/>
              <w:spacing w:before="0"/>
              <w:jc w:val="right"/>
              <w:rPr>
                <w:noProof w:val="0"/>
                <w:color w:val="FFFFFF" w:themeColor="background1"/>
                <w:szCs w:val="16"/>
              </w:rPr>
            </w:pPr>
            <w:r w:rsidRPr="00BE78CA">
              <w:rPr>
                <w:noProof w:val="0"/>
                <w:color w:val="FFFFFF" w:themeColor="background1"/>
                <w:szCs w:val="16"/>
              </w:rPr>
              <w:t>2019</w:t>
            </w:r>
          </w:p>
        </w:tc>
        <w:tc>
          <w:tcPr>
            <w:tcW w:w="757" w:type="dxa"/>
            <w:tcBorders>
              <w:top w:val="nil"/>
              <w:left w:val="nil"/>
              <w:bottom w:val="single" w:sz="4" w:space="0" w:color="365F91"/>
              <w:right w:val="nil"/>
            </w:tcBorders>
            <w:shd w:val="clear" w:color="auto" w:fill="365F91"/>
            <w:vAlign w:val="bottom"/>
          </w:tcPr>
          <w:p w14:paraId="38B9497F" w14:textId="77777777" w:rsidR="00F02481" w:rsidRPr="00BE78CA" w:rsidRDefault="00F02481" w:rsidP="00C26084">
            <w:pPr>
              <w:pStyle w:val="TableTextBold"/>
              <w:keepNext/>
              <w:spacing w:before="0"/>
              <w:jc w:val="right"/>
              <w:rPr>
                <w:noProof w:val="0"/>
                <w:color w:val="FFFFFF" w:themeColor="background1"/>
                <w:szCs w:val="16"/>
              </w:rPr>
            </w:pPr>
            <w:r w:rsidRPr="00BE78CA">
              <w:rPr>
                <w:noProof w:val="0"/>
                <w:color w:val="FFFFFF" w:themeColor="background1"/>
                <w:szCs w:val="16"/>
              </w:rPr>
              <w:t>%</w:t>
            </w:r>
          </w:p>
        </w:tc>
        <w:tc>
          <w:tcPr>
            <w:tcW w:w="842" w:type="dxa"/>
            <w:gridSpan w:val="2"/>
            <w:tcBorders>
              <w:top w:val="nil"/>
              <w:left w:val="nil"/>
              <w:bottom w:val="single" w:sz="4" w:space="0" w:color="365F91"/>
              <w:right w:val="nil"/>
            </w:tcBorders>
            <w:shd w:val="clear" w:color="auto" w:fill="365F91"/>
            <w:vAlign w:val="bottom"/>
          </w:tcPr>
          <w:p w14:paraId="37456AF3" w14:textId="77777777" w:rsidR="00F02481" w:rsidRPr="00BE78CA" w:rsidRDefault="00F02481" w:rsidP="00C26084">
            <w:pPr>
              <w:pStyle w:val="TableTextBold"/>
              <w:keepNext/>
              <w:spacing w:before="0"/>
              <w:jc w:val="right"/>
              <w:rPr>
                <w:noProof w:val="0"/>
                <w:color w:val="FFFFFF" w:themeColor="background1"/>
                <w:szCs w:val="16"/>
              </w:rPr>
            </w:pPr>
            <w:r w:rsidRPr="00BE78CA">
              <w:rPr>
                <w:noProof w:val="0"/>
                <w:color w:val="FFFFFF" w:themeColor="background1"/>
                <w:szCs w:val="16"/>
              </w:rPr>
              <w:t>kt CO</w:t>
            </w:r>
            <w:r w:rsidRPr="00BE78CA">
              <w:rPr>
                <w:noProof w:val="0"/>
                <w:color w:val="FFFFFF" w:themeColor="background1"/>
                <w:szCs w:val="16"/>
                <w:vertAlign w:val="subscript"/>
              </w:rPr>
              <w:t>2</w:t>
            </w:r>
            <w:r w:rsidRPr="00BE78CA">
              <w:rPr>
                <w:noProof w:val="0"/>
                <w:color w:val="FFFFFF" w:themeColor="background1"/>
                <w:szCs w:val="16"/>
              </w:rPr>
              <w:t>-e</w:t>
            </w:r>
          </w:p>
        </w:tc>
        <w:tc>
          <w:tcPr>
            <w:tcW w:w="1081" w:type="dxa"/>
            <w:tcBorders>
              <w:top w:val="nil"/>
              <w:left w:val="nil"/>
              <w:bottom w:val="single" w:sz="4" w:space="0" w:color="365F91"/>
              <w:right w:val="nil"/>
            </w:tcBorders>
            <w:shd w:val="clear" w:color="auto" w:fill="365F91"/>
            <w:vAlign w:val="bottom"/>
          </w:tcPr>
          <w:p w14:paraId="7D24AFA2" w14:textId="77777777" w:rsidR="00F02481" w:rsidRPr="00BE78CA" w:rsidRDefault="00F02481" w:rsidP="00C26084">
            <w:pPr>
              <w:pStyle w:val="TableTextBold"/>
              <w:keepNext/>
              <w:spacing w:before="0"/>
              <w:jc w:val="right"/>
              <w:rPr>
                <w:noProof w:val="0"/>
                <w:color w:val="FFFFFF" w:themeColor="background1"/>
                <w:szCs w:val="16"/>
              </w:rPr>
            </w:pPr>
            <w:r w:rsidRPr="00BE78CA">
              <w:rPr>
                <w:noProof w:val="0"/>
                <w:color w:val="FFFFFF" w:themeColor="background1"/>
                <w:szCs w:val="16"/>
              </w:rPr>
              <w:t xml:space="preserve">1990 </w:t>
            </w:r>
          </w:p>
        </w:tc>
        <w:tc>
          <w:tcPr>
            <w:tcW w:w="916" w:type="dxa"/>
            <w:gridSpan w:val="2"/>
            <w:tcBorders>
              <w:top w:val="nil"/>
              <w:left w:val="nil"/>
              <w:bottom w:val="single" w:sz="4" w:space="0" w:color="365F91"/>
              <w:right w:val="nil"/>
            </w:tcBorders>
            <w:shd w:val="clear" w:color="auto" w:fill="365F91"/>
            <w:vAlign w:val="bottom"/>
          </w:tcPr>
          <w:p w14:paraId="0372E55F" w14:textId="77777777" w:rsidR="00F02481" w:rsidRPr="00BE78CA" w:rsidRDefault="00F02481" w:rsidP="00C26084">
            <w:pPr>
              <w:pStyle w:val="TableTextBold"/>
              <w:keepNext/>
              <w:spacing w:before="0"/>
              <w:jc w:val="right"/>
              <w:rPr>
                <w:noProof w:val="0"/>
                <w:color w:val="FFFFFF" w:themeColor="background1"/>
                <w:szCs w:val="16"/>
              </w:rPr>
            </w:pPr>
            <w:r w:rsidRPr="00BE78CA">
              <w:rPr>
                <w:noProof w:val="0"/>
                <w:color w:val="FFFFFF" w:themeColor="background1"/>
                <w:szCs w:val="16"/>
              </w:rPr>
              <w:t>2019</w:t>
            </w:r>
          </w:p>
        </w:tc>
        <w:tc>
          <w:tcPr>
            <w:tcW w:w="787" w:type="dxa"/>
            <w:tcBorders>
              <w:top w:val="nil"/>
              <w:left w:val="nil"/>
              <w:bottom w:val="single" w:sz="4" w:space="0" w:color="365F91"/>
              <w:right w:val="nil"/>
            </w:tcBorders>
            <w:shd w:val="clear" w:color="auto" w:fill="365F91"/>
            <w:vAlign w:val="bottom"/>
          </w:tcPr>
          <w:p w14:paraId="69D62961" w14:textId="77777777" w:rsidR="00F02481" w:rsidRPr="00BE78CA" w:rsidRDefault="00F02481" w:rsidP="00C26084">
            <w:pPr>
              <w:pStyle w:val="TableTextBold"/>
              <w:keepNext/>
              <w:spacing w:before="0"/>
              <w:jc w:val="right"/>
              <w:rPr>
                <w:noProof w:val="0"/>
                <w:color w:val="FFFFFF" w:themeColor="background1"/>
                <w:szCs w:val="16"/>
              </w:rPr>
            </w:pPr>
            <w:r w:rsidRPr="00BE78CA">
              <w:rPr>
                <w:noProof w:val="0"/>
                <w:color w:val="FFFFFF" w:themeColor="background1"/>
                <w:szCs w:val="16"/>
              </w:rPr>
              <w:t>1990</w:t>
            </w:r>
          </w:p>
        </w:tc>
        <w:tc>
          <w:tcPr>
            <w:tcW w:w="861" w:type="dxa"/>
            <w:tcBorders>
              <w:top w:val="nil"/>
              <w:left w:val="nil"/>
              <w:bottom w:val="single" w:sz="4" w:space="0" w:color="365F91"/>
              <w:right w:val="nil"/>
            </w:tcBorders>
            <w:shd w:val="clear" w:color="auto" w:fill="365F91"/>
            <w:vAlign w:val="bottom"/>
          </w:tcPr>
          <w:p w14:paraId="57FE4D19" w14:textId="77777777" w:rsidR="00F02481" w:rsidRPr="00BE78CA" w:rsidRDefault="00F02481" w:rsidP="00C26084">
            <w:pPr>
              <w:pStyle w:val="TableTextBold"/>
              <w:keepNext/>
              <w:spacing w:before="0"/>
              <w:jc w:val="center"/>
              <w:rPr>
                <w:noProof w:val="0"/>
                <w:color w:val="FFFFFF" w:themeColor="background1"/>
                <w:szCs w:val="16"/>
              </w:rPr>
            </w:pPr>
            <w:r w:rsidRPr="00BE78CA">
              <w:rPr>
                <w:noProof w:val="0"/>
                <w:color w:val="FFFFFF" w:themeColor="background1"/>
                <w:szCs w:val="16"/>
              </w:rPr>
              <w:t xml:space="preserve"> 2019</w:t>
            </w:r>
          </w:p>
        </w:tc>
      </w:tr>
      <w:tr w:rsidR="00F02481" w:rsidRPr="00BE78CA" w14:paraId="5B20E61E" w14:textId="77777777" w:rsidTr="006C1B51">
        <w:tc>
          <w:tcPr>
            <w:tcW w:w="1561" w:type="dxa"/>
            <w:tcBorders>
              <w:top w:val="single" w:sz="4" w:space="0" w:color="365F91"/>
            </w:tcBorders>
            <w:shd w:val="clear" w:color="auto" w:fill="auto"/>
          </w:tcPr>
          <w:p w14:paraId="2F0B9F41" w14:textId="77777777" w:rsidR="00F02481" w:rsidRPr="00BE78CA" w:rsidRDefault="00F02481" w:rsidP="00C26084">
            <w:pPr>
              <w:pStyle w:val="TableText"/>
              <w:rPr>
                <w:rFonts w:cs="Calibri"/>
                <w:i/>
                <w:iCs/>
                <w:szCs w:val="16"/>
              </w:rPr>
            </w:pPr>
            <w:r w:rsidRPr="00BE78CA">
              <w:rPr>
                <w:rFonts w:cs="Calibri"/>
                <w:i/>
                <w:iCs/>
                <w:szCs w:val="16"/>
              </w:rPr>
              <w:t>Dairy cattle</w:t>
            </w:r>
          </w:p>
        </w:tc>
        <w:tc>
          <w:tcPr>
            <w:tcW w:w="819" w:type="dxa"/>
            <w:gridSpan w:val="2"/>
            <w:tcBorders>
              <w:top w:val="single" w:sz="4" w:space="0" w:color="365F91"/>
              <w:right w:val="nil"/>
            </w:tcBorders>
            <w:shd w:val="clear" w:color="auto" w:fill="auto"/>
          </w:tcPr>
          <w:p w14:paraId="6BE94193" w14:textId="77777777" w:rsidR="00F02481" w:rsidRPr="00BE78CA" w:rsidRDefault="00F02481" w:rsidP="00C26084">
            <w:pPr>
              <w:pStyle w:val="TableText"/>
              <w:jc w:val="right"/>
              <w:rPr>
                <w:rFonts w:cs="Calibri"/>
                <w:szCs w:val="16"/>
              </w:rPr>
            </w:pPr>
            <w:r w:rsidRPr="00BE78CA">
              <w:rPr>
                <w:rFonts w:cs="Calibri"/>
                <w:szCs w:val="16"/>
              </w:rPr>
              <w:t>6,147.3</w:t>
            </w:r>
          </w:p>
        </w:tc>
        <w:tc>
          <w:tcPr>
            <w:tcW w:w="881" w:type="dxa"/>
            <w:tcBorders>
              <w:top w:val="single" w:sz="4" w:space="0" w:color="365F91"/>
              <w:left w:val="nil"/>
            </w:tcBorders>
            <w:shd w:val="clear" w:color="auto" w:fill="auto"/>
          </w:tcPr>
          <w:p w14:paraId="6E8590BF" w14:textId="77777777" w:rsidR="00F02481" w:rsidRPr="00BE78CA" w:rsidRDefault="00F02481" w:rsidP="00C26084">
            <w:pPr>
              <w:pStyle w:val="TableText"/>
              <w:jc w:val="right"/>
              <w:rPr>
                <w:rFonts w:cs="Calibri"/>
                <w:szCs w:val="16"/>
              </w:rPr>
            </w:pPr>
            <w:r w:rsidRPr="00BE78CA">
              <w:rPr>
                <w:rFonts w:cs="Calibri"/>
                <w:szCs w:val="16"/>
              </w:rPr>
              <w:t>14,013.6</w:t>
            </w:r>
          </w:p>
        </w:tc>
        <w:tc>
          <w:tcPr>
            <w:tcW w:w="757" w:type="dxa"/>
            <w:tcBorders>
              <w:top w:val="single" w:sz="4" w:space="0" w:color="365F91"/>
            </w:tcBorders>
            <w:shd w:val="clear" w:color="auto" w:fill="auto"/>
          </w:tcPr>
          <w:p w14:paraId="150EE268" w14:textId="77777777" w:rsidR="00F02481" w:rsidRPr="00BE78CA" w:rsidRDefault="00F02481" w:rsidP="00C26084">
            <w:pPr>
              <w:pStyle w:val="TableText"/>
              <w:jc w:val="right"/>
              <w:rPr>
                <w:rFonts w:cs="Calibri"/>
                <w:szCs w:val="16"/>
              </w:rPr>
            </w:pPr>
            <w:r w:rsidRPr="00BE78CA">
              <w:rPr>
                <w:rFonts w:cs="Calibri"/>
                <w:szCs w:val="16"/>
              </w:rPr>
              <w:t>128.0</w:t>
            </w:r>
          </w:p>
        </w:tc>
        <w:tc>
          <w:tcPr>
            <w:tcW w:w="842" w:type="dxa"/>
            <w:gridSpan w:val="2"/>
            <w:tcBorders>
              <w:top w:val="single" w:sz="4" w:space="0" w:color="365F91"/>
            </w:tcBorders>
            <w:shd w:val="clear" w:color="auto" w:fill="auto"/>
          </w:tcPr>
          <w:p w14:paraId="77105C5C" w14:textId="77777777" w:rsidR="00F02481" w:rsidRPr="00BE78CA" w:rsidRDefault="00F02481" w:rsidP="00C26084">
            <w:pPr>
              <w:pStyle w:val="TableText"/>
              <w:jc w:val="right"/>
              <w:rPr>
                <w:rFonts w:cs="Calibri"/>
                <w:szCs w:val="16"/>
              </w:rPr>
            </w:pPr>
            <w:r w:rsidRPr="00BE78CA">
              <w:rPr>
                <w:rFonts w:cs="Calibri"/>
                <w:szCs w:val="16"/>
              </w:rPr>
              <w:t>7,866.3</w:t>
            </w:r>
          </w:p>
        </w:tc>
        <w:tc>
          <w:tcPr>
            <w:tcW w:w="1081" w:type="dxa"/>
            <w:tcBorders>
              <w:top w:val="single" w:sz="4" w:space="0" w:color="365F91"/>
            </w:tcBorders>
            <w:shd w:val="clear" w:color="auto" w:fill="auto"/>
          </w:tcPr>
          <w:p w14:paraId="49B4388C" w14:textId="77777777" w:rsidR="00F02481" w:rsidRPr="00BE78CA" w:rsidRDefault="00F02481" w:rsidP="00C26084">
            <w:pPr>
              <w:pStyle w:val="TableText"/>
              <w:jc w:val="right"/>
              <w:rPr>
                <w:rFonts w:cs="Calibri"/>
                <w:szCs w:val="16"/>
              </w:rPr>
            </w:pPr>
            <w:r w:rsidRPr="00BE78CA">
              <w:rPr>
                <w:rFonts w:cs="Calibri"/>
                <w:szCs w:val="16"/>
              </w:rPr>
              <w:t>22.5</w:t>
            </w:r>
          </w:p>
        </w:tc>
        <w:tc>
          <w:tcPr>
            <w:tcW w:w="916" w:type="dxa"/>
            <w:gridSpan w:val="2"/>
            <w:tcBorders>
              <w:top w:val="single" w:sz="4" w:space="0" w:color="365F91"/>
            </w:tcBorders>
            <w:shd w:val="clear" w:color="auto" w:fill="auto"/>
          </w:tcPr>
          <w:p w14:paraId="21EA27E8" w14:textId="77777777" w:rsidR="00F02481" w:rsidRPr="00BE78CA" w:rsidRDefault="00F02481" w:rsidP="00C26084">
            <w:pPr>
              <w:pStyle w:val="TableText"/>
              <w:jc w:val="right"/>
              <w:rPr>
                <w:rFonts w:cs="Calibri"/>
                <w:szCs w:val="16"/>
              </w:rPr>
            </w:pPr>
            <w:r w:rsidRPr="00BE78CA">
              <w:rPr>
                <w:rFonts w:cs="Calibri"/>
                <w:szCs w:val="16"/>
              </w:rPr>
              <w:t>48.4</w:t>
            </w:r>
          </w:p>
        </w:tc>
        <w:tc>
          <w:tcPr>
            <w:tcW w:w="787" w:type="dxa"/>
            <w:tcBorders>
              <w:top w:val="single" w:sz="4" w:space="0" w:color="365F91"/>
            </w:tcBorders>
            <w:shd w:val="clear" w:color="auto" w:fill="auto"/>
          </w:tcPr>
          <w:p w14:paraId="2F09A8FA" w14:textId="77777777" w:rsidR="00F02481" w:rsidRPr="00BE78CA" w:rsidRDefault="00F02481" w:rsidP="00C26084">
            <w:pPr>
              <w:pStyle w:val="TableText"/>
              <w:jc w:val="right"/>
              <w:rPr>
                <w:rFonts w:cs="Calibri"/>
                <w:szCs w:val="16"/>
              </w:rPr>
            </w:pPr>
            <w:r w:rsidRPr="00BE78CA">
              <w:rPr>
                <w:rFonts w:cs="Calibri"/>
                <w:szCs w:val="16"/>
              </w:rPr>
              <w:t>18.2</w:t>
            </w:r>
          </w:p>
        </w:tc>
        <w:tc>
          <w:tcPr>
            <w:tcW w:w="861" w:type="dxa"/>
            <w:tcBorders>
              <w:top w:val="single" w:sz="4" w:space="0" w:color="365F91"/>
            </w:tcBorders>
            <w:shd w:val="clear" w:color="auto" w:fill="auto"/>
          </w:tcPr>
          <w:p w14:paraId="20A4536B" w14:textId="77777777" w:rsidR="00F02481" w:rsidRPr="00BE78CA" w:rsidRDefault="00F02481" w:rsidP="00C26084">
            <w:pPr>
              <w:pStyle w:val="TableText"/>
              <w:jc w:val="right"/>
              <w:rPr>
                <w:rFonts w:cs="Calibri"/>
                <w:szCs w:val="16"/>
              </w:rPr>
            </w:pPr>
            <w:r w:rsidRPr="00BE78CA">
              <w:rPr>
                <w:rFonts w:cs="Calibri"/>
                <w:szCs w:val="16"/>
              </w:rPr>
              <w:t>35.4</w:t>
            </w:r>
          </w:p>
        </w:tc>
      </w:tr>
      <w:tr w:rsidR="00F02481" w:rsidRPr="00BE78CA" w14:paraId="3992F2ED" w14:textId="77777777" w:rsidTr="006C1B51">
        <w:tc>
          <w:tcPr>
            <w:tcW w:w="1561" w:type="dxa"/>
            <w:shd w:val="clear" w:color="auto" w:fill="auto"/>
          </w:tcPr>
          <w:p w14:paraId="1828FA39" w14:textId="77777777" w:rsidR="00F02481" w:rsidRPr="00BE78CA" w:rsidRDefault="00F02481" w:rsidP="00C26084">
            <w:pPr>
              <w:pStyle w:val="TableText"/>
              <w:rPr>
                <w:rFonts w:cs="Calibri"/>
                <w:i/>
                <w:iCs/>
                <w:szCs w:val="16"/>
              </w:rPr>
            </w:pPr>
            <w:r w:rsidRPr="00BE78CA">
              <w:rPr>
                <w:rFonts w:cs="Calibri"/>
                <w:i/>
                <w:iCs/>
                <w:szCs w:val="16"/>
              </w:rPr>
              <w:t xml:space="preserve">Non-dairy </w:t>
            </w:r>
            <w:r w:rsidRPr="00BE78CA">
              <w:rPr>
                <w:rFonts w:cs="Calibri"/>
                <w:szCs w:val="16"/>
              </w:rPr>
              <w:t>(beef)</w:t>
            </w:r>
            <w:r w:rsidRPr="00BE78CA">
              <w:rPr>
                <w:rFonts w:cs="Calibri"/>
                <w:i/>
                <w:iCs/>
                <w:szCs w:val="16"/>
              </w:rPr>
              <w:t xml:space="preserve"> cattle</w:t>
            </w:r>
          </w:p>
        </w:tc>
        <w:tc>
          <w:tcPr>
            <w:tcW w:w="819" w:type="dxa"/>
            <w:gridSpan w:val="2"/>
            <w:shd w:val="clear" w:color="auto" w:fill="auto"/>
          </w:tcPr>
          <w:p w14:paraId="771410B4" w14:textId="77777777" w:rsidR="00F02481" w:rsidRPr="00BE78CA" w:rsidRDefault="00F02481" w:rsidP="00C26084">
            <w:pPr>
              <w:pStyle w:val="TableText"/>
              <w:jc w:val="right"/>
              <w:rPr>
                <w:rFonts w:cs="Calibri"/>
                <w:szCs w:val="16"/>
              </w:rPr>
            </w:pPr>
            <w:r w:rsidRPr="00BE78CA">
              <w:rPr>
                <w:rFonts w:cs="Calibri"/>
                <w:szCs w:val="16"/>
              </w:rPr>
              <w:t>5,950.0</w:t>
            </w:r>
          </w:p>
        </w:tc>
        <w:tc>
          <w:tcPr>
            <w:tcW w:w="881" w:type="dxa"/>
            <w:shd w:val="clear" w:color="auto" w:fill="auto"/>
          </w:tcPr>
          <w:p w14:paraId="57D1CBD7" w14:textId="77777777" w:rsidR="00F02481" w:rsidRPr="00BE78CA" w:rsidRDefault="00F02481" w:rsidP="00C26084">
            <w:pPr>
              <w:pStyle w:val="TableText"/>
              <w:jc w:val="right"/>
              <w:rPr>
                <w:rFonts w:cs="Calibri"/>
                <w:szCs w:val="16"/>
              </w:rPr>
            </w:pPr>
            <w:r w:rsidRPr="00BE78CA">
              <w:rPr>
                <w:rFonts w:cs="Calibri"/>
                <w:szCs w:val="16"/>
              </w:rPr>
              <w:t>5,893.7</w:t>
            </w:r>
          </w:p>
        </w:tc>
        <w:tc>
          <w:tcPr>
            <w:tcW w:w="757" w:type="dxa"/>
            <w:shd w:val="clear" w:color="auto" w:fill="auto"/>
          </w:tcPr>
          <w:p w14:paraId="2685DA16" w14:textId="77777777" w:rsidR="00F02481" w:rsidRPr="00BE78CA" w:rsidRDefault="00F02481" w:rsidP="00C26084">
            <w:pPr>
              <w:pStyle w:val="TableText"/>
              <w:jc w:val="right"/>
              <w:rPr>
                <w:rFonts w:cs="Calibri"/>
                <w:szCs w:val="16"/>
              </w:rPr>
            </w:pPr>
            <w:r w:rsidRPr="00BE78CA">
              <w:rPr>
                <w:rFonts w:cs="Calibri"/>
                <w:szCs w:val="16"/>
              </w:rPr>
              <w:t>–0.9</w:t>
            </w:r>
          </w:p>
        </w:tc>
        <w:tc>
          <w:tcPr>
            <w:tcW w:w="842" w:type="dxa"/>
            <w:gridSpan w:val="2"/>
            <w:shd w:val="clear" w:color="auto" w:fill="auto"/>
          </w:tcPr>
          <w:p w14:paraId="780C55CE" w14:textId="77777777" w:rsidR="00F02481" w:rsidRPr="00BE78CA" w:rsidRDefault="00F02481" w:rsidP="00C26084">
            <w:pPr>
              <w:pStyle w:val="TableText"/>
              <w:jc w:val="right"/>
              <w:rPr>
                <w:rFonts w:cs="Calibri"/>
                <w:szCs w:val="16"/>
              </w:rPr>
            </w:pPr>
            <w:r w:rsidRPr="00BE78CA">
              <w:rPr>
                <w:rFonts w:cs="Calibri"/>
                <w:szCs w:val="16"/>
              </w:rPr>
              <w:t>–56.3</w:t>
            </w:r>
          </w:p>
        </w:tc>
        <w:tc>
          <w:tcPr>
            <w:tcW w:w="1081" w:type="dxa"/>
            <w:shd w:val="clear" w:color="auto" w:fill="auto"/>
          </w:tcPr>
          <w:p w14:paraId="0C44BB8C" w14:textId="77777777" w:rsidR="00F02481" w:rsidRPr="00BE78CA" w:rsidRDefault="00F02481" w:rsidP="00C26084">
            <w:pPr>
              <w:pStyle w:val="TableText"/>
              <w:jc w:val="right"/>
              <w:rPr>
                <w:rFonts w:cs="Calibri"/>
                <w:szCs w:val="16"/>
              </w:rPr>
            </w:pPr>
            <w:r w:rsidRPr="00BE78CA">
              <w:rPr>
                <w:rFonts w:cs="Calibri"/>
                <w:szCs w:val="16"/>
              </w:rPr>
              <w:t>21.8</w:t>
            </w:r>
          </w:p>
        </w:tc>
        <w:tc>
          <w:tcPr>
            <w:tcW w:w="916" w:type="dxa"/>
            <w:gridSpan w:val="2"/>
            <w:shd w:val="clear" w:color="auto" w:fill="auto"/>
          </w:tcPr>
          <w:p w14:paraId="43DB9924" w14:textId="77777777" w:rsidR="00F02481" w:rsidRPr="00BE78CA" w:rsidRDefault="00F02481" w:rsidP="00C26084">
            <w:pPr>
              <w:pStyle w:val="TableText"/>
              <w:jc w:val="right"/>
              <w:rPr>
                <w:rFonts w:cs="Calibri"/>
                <w:szCs w:val="16"/>
              </w:rPr>
            </w:pPr>
            <w:r w:rsidRPr="00BE78CA">
              <w:rPr>
                <w:rFonts w:cs="Calibri"/>
                <w:szCs w:val="16"/>
              </w:rPr>
              <w:t>20.3</w:t>
            </w:r>
          </w:p>
        </w:tc>
        <w:tc>
          <w:tcPr>
            <w:tcW w:w="787" w:type="dxa"/>
            <w:shd w:val="clear" w:color="auto" w:fill="auto"/>
          </w:tcPr>
          <w:p w14:paraId="5A8EC528" w14:textId="77777777" w:rsidR="00F02481" w:rsidRPr="00BE78CA" w:rsidRDefault="00F02481" w:rsidP="00C26084">
            <w:pPr>
              <w:pStyle w:val="TableText"/>
              <w:jc w:val="right"/>
              <w:rPr>
                <w:rFonts w:cs="Calibri"/>
                <w:szCs w:val="16"/>
              </w:rPr>
            </w:pPr>
            <w:r w:rsidRPr="00BE78CA">
              <w:rPr>
                <w:rFonts w:cs="Calibri"/>
                <w:szCs w:val="16"/>
              </w:rPr>
              <w:t>17.6</w:t>
            </w:r>
          </w:p>
        </w:tc>
        <w:tc>
          <w:tcPr>
            <w:tcW w:w="861" w:type="dxa"/>
            <w:shd w:val="clear" w:color="auto" w:fill="auto"/>
          </w:tcPr>
          <w:p w14:paraId="322E6985" w14:textId="77777777" w:rsidR="00F02481" w:rsidRPr="00BE78CA" w:rsidRDefault="00F02481" w:rsidP="00C26084">
            <w:pPr>
              <w:pStyle w:val="TableText"/>
              <w:jc w:val="right"/>
              <w:rPr>
                <w:rFonts w:cs="Calibri"/>
                <w:szCs w:val="16"/>
              </w:rPr>
            </w:pPr>
            <w:r w:rsidRPr="00BE78CA">
              <w:rPr>
                <w:rFonts w:cs="Calibri"/>
                <w:szCs w:val="16"/>
              </w:rPr>
              <w:t>14.9</w:t>
            </w:r>
          </w:p>
        </w:tc>
      </w:tr>
      <w:tr w:rsidR="00F02481" w:rsidRPr="00BE78CA" w14:paraId="23354DB8" w14:textId="77777777" w:rsidTr="006C1B51">
        <w:tc>
          <w:tcPr>
            <w:tcW w:w="1561" w:type="dxa"/>
            <w:shd w:val="clear" w:color="auto" w:fill="auto"/>
          </w:tcPr>
          <w:p w14:paraId="557E3F3E" w14:textId="77777777" w:rsidR="00F02481" w:rsidRPr="00BE78CA" w:rsidRDefault="00F02481" w:rsidP="00C26084">
            <w:pPr>
              <w:pStyle w:val="TableText"/>
              <w:rPr>
                <w:rFonts w:cs="Calibri"/>
                <w:i/>
                <w:iCs/>
                <w:szCs w:val="16"/>
              </w:rPr>
            </w:pPr>
            <w:r w:rsidRPr="00BE78CA">
              <w:rPr>
                <w:rFonts w:cs="Calibri"/>
                <w:i/>
                <w:iCs/>
                <w:szCs w:val="16"/>
              </w:rPr>
              <w:t>Sheep</w:t>
            </w:r>
          </w:p>
        </w:tc>
        <w:tc>
          <w:tcPr>
            <w:tcW w:w="819" w:type="dxa"/>
            <w:gridSpan w:val="2"/>
            <w:shd w:val="clear" w:color="auto" w:fill="auto"/>
          </w:tcPr>
          <w:p w14:paraId="674D22DC" w14:textId="77777777" w:rsidR="00F02481" w:rsidRPr="00BE78CA" w:rsidRDefault="00F02481" w:rsidP="00C26084">
            <w:pPr>
              <w:pStyle w:val="TableText"/>
              <w:jc w:val="right"/>
              <w:rPr>
                <w:rFonts w:cs="Calibri"/>
                <w:szCs w:val="16"/>
              </w:rPr>
            </w:pPr>
            <w:r w:rsidRPr="00BE78CA">
              <w:rPr>
                <w:rFonts w:cs="Calibri"/>
                <w:szCs w:val="16"/>
              </w:rPr>
              <w:t>14,557.9</w:t>
            </w:r>
          </w:p>
        </w:tc>
        <w:tc>
          <w:tcPr>
            <w:tcW w:w="881" w:type="dxa"/>
            <w:shd w:val="clear" w:color="auto" w:fill="auto"/>
          </w:tcPr>
          <w:p w14:paraId="153F3CFF" w14:textId="77777777" w:rsidR="00F02481" w:rsidRPr="00BE78CA" w:rsidRDefault="00F02481" w:rsidP="00C26084">
            <w:pPr>
              <w:pStyle w:val="TableText"/>
              <w:jc w:val="right"/>
              <w:rPr>
                <w:rFonts w:cs="Calibri"/>
                <w:szCs w:val="16"/>
              </w:rPr>
            </w:pPr>
            <w:r w:rsidRPr="00BE78CA">
              <w:rPr>
                <w:rFonts w:cs="Calibri"/>
                <w:szCs w:val="16"/>
              </w:rPr>
              <w:t>8,527.2</w:t>
            </w:r>
          </w:p>
        </w:tc>
        <w:tc>
          <w:tcPr>
            <w:tcW w:w="757" w:type="dxa"/>
            <w:shd w:val="clear" w:color="auto" w:fill="auto"/>
          </w:tcPr>
          <w:p w14:paraId="3613CBC5" w14:textId="77777777" w:rsidR="00F02481" w:rsidRPr="00BE78CA" w:rsidRDefault="00F02481" w:rsidP="00C26084">
            <w:pPr>
              <w:pStyle w:val="TableText"/>
              <w:jc w:val="right"/>
              <w:rPr>
                <w:rFonts w:cs="Calibri"/>
                <w:szCs w:val="16"/>
              </w:rPr>
            </w:pPr>
            <w:r w:rsidRPr="00BE78CA">
              <w:rPr>
                <w:rFonts w:cs="Calibri"/>
                <w:szCs w:val="16"/>
              </w:rPr>
              <w:t>–41.4</w:t>
            </w:r>
          </w:p>
        </w:tc>
        <w:tc>
          <w:tcPr>
            <w:tcW w:w="842" w:type="dxa"/>
            <w:gridSpan w:val="2"/>
            <w:shd w:val="clear" w:color="auto" w:fill="auto"/>
          </w:tcPr>
          <w:p w14:paraId="307D02D5" w14:textId="77777777" w:rsidR="00F02481" w:rsidRPr="00BE78CA" w:rsidRDefault="00F02481" w:rsidP="00C26084">
            <w:pPr>
              <w:pStyle w:val="TableText"/>
              <w:jc w:val="right"/>
              <w:rPr>
                <w:rFonts w:cs="Calibri"/>
                <w:szCs w:val="16"/>
              </w:rPr>
            </w:pPr>
            <w:r w:rsidRPr="00BE78CA">
              <w:rPr>
                <w:rFonts w:cs="Calibri"/>
                <w:szCs w:val="16"/>
              </w:rPr>
              <w:t>–6,030.7</w:t>
            </w:r>
          </w:p>
        </w:tc>
        <w:tc>
          <w:tcPr>
            <w:tcW w:w="1081" w:type="dxa"/>
            <w:shd w:val="clear" w:color="auto" w:fill="auto"/>
          </w:tcPr>
          <w:p w14:paraId="46E27D0B" w14:textId="77777777" w:rsidR="00F02481" w:rsidRPr="00BE78CA" w:rsidRDefault="00F02481" w:rsidP="00C26084">
            <w:pPr>
              <w:pStyle w:val="TableText"/>
              <w:jc w:val="right"/>
              <w:rPr>
                <w:rFonts w:cs="Calibri"/>
                <w:szCs w:val="16"/>
              </w:rPr>
            </w:pPr>
            <w:r w:rsidRPr="00BE78CA">
              <w:rPr>
                <w:rFonts w:cs="Calibri"/>
                <w:szCs w:val="16"/>
              </w:rPr>
              <w:t>53.2</w:t>
            </w:r>
          </w:p>
        </w:tc>
        <w:tc>
          <w:tcPr>
            <w:tcW w:w="916" w:type="dxa"/>
            <w:gridSpan w:val="2"/>
            <w:shd w:val="clear" w:color="auto" w:fill="auto"/>
          </w:tcPr>
          <w:p w14:paraId="79E3FCC3" w14:textId="77777777" w:rsidR="00F02481" w:rsidRPr="00BE78CA" w:rsidRDefault="00F02481" w:rsidP="00C26084">
            <w:pPr>
              <w:pStyle w:val="TableText"/>
              <w:jc w:val="right"/>
              <w:rPr>
                <w:rFonts w:cs="Calibri"/>
                <w:szCs w:val="16"/>
              </w:rPr>
            </w:pPr>
            <w:r w:rsidRPr="00BE78CA">
              <w:rPr>
                <w:rFonts w:cs="Calibri"/>
                <w:szCs w:val="16"/>
              </w:rPr>
              <w:t>29.4</w:t>
            </w:r>
          </w:p>
        </w:tc>
        <w:tc>
          <w:tcPr>
            <w:tcW w:w="787" w:type="dxa"/>
            <w:shd w:val="clear" w:color="auto" w:fill="auto"/>
          </w:tcPr>
          <w:p w14:paraId="3A64C904" w14:textId="77777777" w:rsidR="00F02481" w:rsidRPr="00BE78CA" w:rsidRDefault="00F02481" w:rsidP="00C26084">
            <w:pPr>
              <w:pStyle w:val="TableText"/>
              <w:jc w:val="right"/>
              <w:rPr>
                <w:rFonts w:cs="Calibri"/>
                <w:szCs w:val="16"/>
              </w:rPr>
            </w:pPr>
            <w:r w:rsidRPr="00BE78CA">
              <w:rPr>
                <w:rFonts w:cs="Calibri"/>
                <w:szCs w:val="16"/>
              </w:rPr>
              <w:t>43.0</w:t>
            </w:r>
          </w:p>
        </w:tc>
        <w:tc>
          <w:tcPr>
            <w:tcW w:w="861" w:type="dxa"/>
            <w:shd w:val="clear" w:color="auto" w:fill="auto"/>
          </w:tcPr>
          <w:p w14:paraId="478061D0" w14:textId="77777777" w:rsidR="00F02481" w:rsidRPr="00BE78CA" w:rsidRDefault="00F02481" w:rsidP="00C26084">
            <w:pPr>
              <w:pStyle w:val="TableText"/>
              <w:jc w:val="right"/>
              <w:rPr>
                <w:rFonts w:cs="Calibri"/>
                <w:szCs w:val="16"/>
              </w:rPr>
            </w:pPr>
            <w:r w:rsidRPr="00BE78CA">
              <w:rPr>
                <w:rFonts w:cs="Calibri"/>
                <w:szCs w:val="16"/>
              </w:rPr>
              <w:t>21.5</w:t>
            </w:r>
          </w:p>
        </w:tc>
      </w:tr>
      <w:tr w:rsidR="00F02481" w:rsidRPr="00BE78CA" w14:paraId="08F4CC17" w14:textId="77777777" w:rsidTr="006C1B51">
        <w:tc>
          <w:tcPr>
            <w:tcW w:w="1561" w:type="dxa"/>
            <w:shd w:val="clear" w:color="auto" w:fill="auto"/>
          </w:tcPr>
          <w:p w14:paraId="4EF34790" w14:textId="77777777" w:rsidR="00F02481" w:rsidRPr="00BE78CA" w:rsidRDefault="00F02481" w:rsidP="00C26084">
            <w:pPr>
              <w:pStyle w:val="TableText"/>
              <w:rPr>
                <w:rFonts w:cs="Calibri"/>
                <w:i/>
                <w:iCs/>
                <w:szCs w:val="16"/>
              </w:rPr>
            </w:pPr>
            <w:r w:rsidRPr="00BE78CA">
              <w:rPr>
                <w:rFonts w:cs="Calibri"/>
                <w:i/>
                <w:iCs/>
                <w:szCs w:val="16"/>
              </w:rPr>
              <w:t>Deer</w:t>
            </w:r>
          </w:p>
        </w:tc>
        <w:tc>
          <w:tcPr>
            <w:tcW w:w="819" w:type="dxa"/>
            <w:gridSpan w:val="2"/>
            <w:shd w:val="clear" w:color="auto" w:fill="auto"/>
          </w:tcPr>
          <w:p w14:paraId="660D303C" w14:textId="77777777" w:rsidR="00F02481" w:rsidRPr="00BE78CA" w:rsidRDefault="00F02481" w:rsidP="00C26084">
            <w:pPr>
              <w:pStyle w:val="TableText"/>
              <w:jc w:val="right"/>
              <w:rPr>
                <w:rFonts w:cs="Calibri"/>
                <w:szCs w:val="16"/>
              </w:rPr>
            </w:pPr>
            <w:r w:rsidRPr="00BE78CA">
              <w:rPr>
                <w:rFonts w:cs="Calibri"/>
                <w:szCs w:val="16"/>
              </w:rPr>
              <w:t>445.5</w:t>
            </w:r>
          </w:p>
        </w:tc>
        <w:tc>
          <w:tcPr>
            <w:tcW w:w="881" w:type="dxa"/>
            <w:shd w:val="clear" w:color="auto" w:fill="auto"/>
          </w:tcPr>
          <w:p w14:paraId="23004E3B" w14:textId="77777777" w:rsidR="00F02481" w:rsidRPr="00BE78CA" w:rsidRDefault="00F02481" w:rsidP="00C26084">
            <w:pPr>
              <w:pStyle w:val="TableText"/>
              <w:jc w:val="right"/>
              <w:rPr>
                <w:rFonts w:cs="Calibri"/>
                <w:szCs w:val="16"/>
              </w:rPr>
            </w:pPr>
            <w:r w:rsidRPr="00BE78CA">
              <w:rPr>
                <w:rFonts w:cs="Calibri"/>
                <w:szCs w:val="16"/>
              </w:rPr>
              <w:t>492.9</w:t>
            </w:r>
          </w:p>
        </w:tc>
        <w:tc>
          <w:tcPr>
            <w:tcW w:w="757" w:type="dxa"/>
            <w:shd w:val="clear" w:color="auto" w:fill="auto"/>
          </w:tcPr>
          <w:p w14:paraId="5DC5FE81" w14:textId="77777777" w:rsidR="00F02481" w:rsidRPr="00BE78CA" w:rsidRDefault="00F02481" w:rsidP="00C26084">
            <w:pPr>
              <w:pStyle w:val="TableText"/>
              <w:jc w:val="right"/>
              <w:rPr>
                <w:rFonts w:cs="Calibri"/>
                <w:szCs w:val="16"/>
              </w:rPr>
            </w:pPr>
            <w:r w:rsidRPr="00BE78CA">
              <w:rPr>
                <w:rFonts w:cs="Calibri"/>
                <w:szCs w:val="16"/>
              </w:rPr>
              <w:t>10.6</w:t>
            </w:r>
          </w:p>
        </w:tc>
        <w:tc>
          <w:tcPr>
            <w:tcW w:w="842" w:type="dxa"/>
            <w:gridSpan w:val="2"/>
            <w:shd w:val="clear" w:color="auto" w:fill="auto"/>
          </w:tcPr>
          <w:p w14:paraId="0FC1893C" w14:textId="77777777" w:rsidR="00F02481" w:rsidRPr="00BE78CA" w:rsidRDefault="00F02481" w:rsidP="00C26084">
            <w:pPr>
              <w:pStyle w:val="TableText"/>
              <w:jc w:val="right"/>
              <w:rPr>
                <w:rFonts w:cs="Calibri"/>
                <w:szCs w:val="16"/>
              </w:rPr>
            </w:pPr>
            <w:r w:rsidRPr="00BE78CA">
              <w:rPr>
                <w:rFonts w:cs="Calibri"/>
                <w:szCs w:val="16"/>
              </w:rPr>
              <w:t>47.4</w:t>
            </w:r>
          </w:p>
        </w:tc>
        <w:tc>
          <w:tcPr>
            <w:tcW w:w="1081" w:type="dxa"/>
            <w:shd w:val="clear" w:color="auto" w:fill="auto"/>
          </w:tcPr>
          <w:p w14:paraId="0EBA8BA1" w14:textId="77777777" w:rsidR="00F02481" w:rsidRPr="00BE78CA" w:rsidRDefault="00F02481" w:rsidP="00C26084">
            <w:pPr>
              <w:pStyle w:val="TableText"/>
              <w:jc w:val="right"/>
              <w:rPr>
                <w:rFonts w:cs="Calibri"/>
                <w:szCs w:val="16"/>
              </w:rPr>
            </w:pPr>
            <w:r w:rsidRPr="00BE78CA">
              <w:rPr>
                <w:rFonts w:cs="Calibri"/>
                <w:szCs w:val="16"/>
              </w:rPr>
              <w:t>1.6</w:t>
            </w:r>
          </w:p>
        </w:tc>
        <w:tc>
          <w:tcPr>
            <w:tcW w:w="916" w:type="dxa"/>
            <w:gridSpan w:val="2"/>
            <w:shd w:val="clear" w:color="auto" w:fill="auto"/>
          </w:tcPr>
          <w:p w14:paraId="258B683F" w14:textId="77777777" w:rsidR="00F02481" w:rsidRPr="00BE78CA" w:rsidRDefault="00F02481" w:rsidP="00C26084">
            <w:pPr>
              <w:pStyle w:val="TableText"/>
              <w:jc w:val="right"/>
              <w:rPr>
                <w:rFonts w:cs="Calibri"/>
                <w:szCs w:val="16"/>
              </w:rPr>
            </w:pPr>
            <w:r w:rsidRPr="00BE78CA">
              <w:rPr>
                <w:rFonts w:cs="Calibri"/>
                <w:szCs w:val="16"/>
              </w:rPr>
              <w:t>1.7</w:t>
            </w:r>
          </w:p>
        </w:tc>
        <w:tc>
          <w:tcPr>
            <w:tcW w:w="787" w:type="dxa"/>
            <w:shd w:val="clear" w:color="auto" w:fill="auto"/>
          </w:tcPr>
          <w:p w14:paraId="702AFAAC" w14:textId="77777777" w:rsidR="00F02481" w:rsidRPr="00BE78CA" w:rsidRDefault="00F02481" w:rsidP="00C26084">
            <w:pPr>
              <w:pStyle w:val="TableText"/>
              <w:jc w:val="right"/>
              <w:rPr>
                <w:rFonts w:cs="Calibri"/>
                <w:szCs w:val="16"/>
              </w:rPr>
            </w:pPr>
            <w:r w:rsidRPr="00BE78CA">
              <w:rPr>
                <w:rFonts w:cs="Calibri"/>
                <w:szCs w:val="16"/>
              </w:rPr>
              <w:t>1.3</w:t>
            </w:r>
          </w:p>
        </w:tc>
        <w:tc>
          <w:tcPr>
            <w:tcW w:w="861" w:type="dxa"/>
            <w:shd w:val="clear" w:color="auto" w:fill="auto"/>
          </w:tcPr>
          <w:p w14:paraId="3BDF84C2" w14:textId="77777777" w:rsidR="00F02481" w:rsidRPr="00BE78CA" w:rsidRDefault="00F02481" w:rsidP="00C26084">
            <w:pPr>
              <w:pStyle w:val="TableText"/>
              <w:jc w:val="right"/>
              <w:rPr>
                <w:rFonts w:cs="Calibri"/>
                <w:szCs w:val="16"/>
              </w:rPr>
            </w:pPr>
            <w:r w:rsidRPr="00BE78CA">
              <w:rPr>
                <w:rFonts w:cs="Calibri"/>
                <w:szCs w:val="16"/>
              </w:rPr>
              <w:t>1.2</w:t>
            </w:r>
          </w:p>
        </w:tc>
      </w:tr>
      <w:tr w:rsidR="00F02481" w:rsidRPr="00BE78CA" w14:paraId="38F04F67" w14:textId="77777777" w:rsidTr="006C1B51">
        <w:tc>
          <w:tcPr>
            <w:tcW w:w="1561" w:type="dxa"/>
            <w:shd w:val="clear" w:color="auto" w:fill="auto"/>
          </w:tcPr>
          <w:p w14:paraId="32463804" w14:textId="77777777" w:rsidR="00F02481" w:rsidRPr="00BE78CA" w:rsidRDefault="00F02481" w:rsidP="00C26084">
            <w:pPr>
              <w:pStyle w:val="TableText"/>
              <w:rPr>
                <w:rFonts w:cs="Calibri"/>
                <w:szCs w:val="16"/>
              </w:rPr>
            </w:pPr>
            <w:r w:rsidRPr="00BE78CA">
              <w:rPr>
                <w:rFonts w:cs="Calibri"/>
                <w:szCs w:val="16"/>
              </w:rPr>
              <w:t>Minor livestock</w:t>
            </w:r>
          </w:p>
        </w:tc>
        <w:tc>
          <w:tcPr>
            <w:tcW w:w="819" w:type="dxa"/>
            <w:gridSpan w:val="2"/>
            <w:shd w:val="clear" w:color="auto" w:fill="auto"/>
          </w:tcPr>
          <w:p w14:paraId="4ADFCAFE" w14:textId="77777777" w:rsidR="00F02481" w:rsidRPr="00BE78CA" w:rsidRDefault="00F02481" w:rsidP="00C26084">
            <w:pPr>
              <w:pStyle w:val="TableText"/>
              <w:jc w:val="right"/>
              <w:rPr>
                <w:rFonts w:cs="Calibri"/>
                <w:szCs w:val="16"/>
              </w:rPr>
            </w:pPr>
            <w:r w:rsidRPr="00BE78CA">
              <w:rPr>
                <w:rFonts w:cs="Calibri"/>
                <w:szCs w:val="16"/>
              </w:rPr>
              <w:t>249.5</w:t>
            </w:r>
          </w:p>
        </w:tc>
        <w:tc>
          <w:tcPr>
            <w:tcW w:w="881" w:type="dxa"/>
            <w:shd w:val="clear" w:color="auto" w:fill="auto"/>
          </w:tcPr>
          <w:p w14:paraId="067B4E70" w14:textId="77777777" w:rsidR="00F02481" w:rsidRPr="00BE78CA" w:rsidRDefault="00F02481" w:rsidP="00C26084">
            <w:pPr>
              <w:pStyle w:val="TableText"/>
              <w:jc w:val="right"/>
              <w:rPr>
                <w:rFonts w:cs="Calibri"/>
                <w:szCs w:val="16"/>
              </w:rPr>
            </w:pPr>
            <w:r w:rsidRPr="00BE78CA">
              <w:rPr>
                <w:rFonts w:cs="Calibri"/>
                <w:szCs w:val="16"/>
              </w:rPr>
              <w:t>47.1</w:t>
            </w:r>
          </w:p>
        </w:tc>
        <w:tc>
          <w:tcPr>
            <w:tcW w:w="757" w:type="dxa"/>
            <w:shd w:val="clear" w:color="auto" w:fill="auto"/>
          </w:tcPr>
          <w:p w14:paraId="437CE233" w14:textId="77777777" w:rsidR="00F02481" w:rsidRPr="00BE78CA" w:rsidRDefault="00F02481" w:rsidP="00C26084">
            <w:pPr>
              <w:pStyle w:val="TableText"/>
              <w:jc w:val="right"/>
              <w:rPr>
                <w:rFonts w:cs="Calibri"/>
                <w:szCs w:val="16"/>
              </w:rPr>
            </w:pPr>
            <w:r w:rsidRPr="00BE78CA">
              <w:rPr>
                <w:rFonts w:cs="Calibri"/>
                <w:szCs w:val="16"/>
              </w:rPr>
              <w:t>–81.1</w:t>
            </w:r>
          </w:p>
        </w:tc>
        <w:tc>
          <w:tcPr>
            <w:tcW w:w="842" w:type="dxa"/>
            <w:gridSpan w:val="2"/>
            <w:shd w:val="clear" w:color="auto" w:fill="auto"/>
          </w:tcPr>
          <w:p w14:paraId="28FE8B41" w14:textId="77777777" w:rsidR="00F02481" w:rsidRPr="00BE78CA" w:rsidRDefault="00F02481" w:rsidP="00C26084">
            <w:pPr>
              <w:pStyle w:val="TableText"/>
              <w:jc w:val="right"/>
              <w:rPr>
                <w:rFonts w:cs="Calibri"/>
                <w:szCs w:val="16"/>
              </w:rPr>
            </w:pPr>
            <w:r w:rsidRPr="00BE78CA">
              <w:rPr>
                <w:rFonts w:cs="Calibri"/>
                <w:szCs w:val="16"/>
              </w:rPr>
              <w:t>–202.4</w:t>
            </w:r>
          </w:p>
        </w:tc>
        <w:tc>
          <w:tcPr>
            <w:tcW w:w="1081" w:type="dxa"/>
            <w:shd w:val="clear" w:color="auto" w:fill="auto"/>
          </w:tcPr>
          <w:p w14:paraId="48311674" w14:textId="77777777" w:rsidR="00F02481" w:rsidRPr="00BE78CA" w:rsidRDefault="00F02481" w:rsidP="00C26084">
            <w:pPr>
              <w:pStyle w:val="TableText"/>
              <w:jc w:val="right"/>
              <w:rPr>
                <w:rFonts w:cs="Calibri"/>
                <w:szCs w:val="16"/>
              </w:rPr>
            </w:pPr>
            <w:r w:rsidRPr="00BE78CA">
              <w:rPr>
                <w:rFonts w:cs="Calibri"/>
                <w:szCs w:val="16"/>
              </w:rPr>
              <w:t>0.9</w:t>
            </w:r>
          </w:p>
        </w:tc>
        <w:tc>
          <w:tcPr>
            <w:tcW w:w="916" w:type="dxa"/>
            <w:gridSpan w:val="2"/>
            <w:shd w:val="clear" w:color="auto" w:fill="auto"/>
          </w:tcPr>
          <w:p w14:paraId="1E3731D1" w14:textId="77777777" w:rsidR="00F02481" w:rsidRPr="00BE78CA" w:rsidRDefault="00F02481" w:rsidP="00C26084">
            <w:pPr>
              <w:pStyle w:val="TableText"/>
              <w:jc w:val="right"/>
              <w:rPr>
                <w:rFonts w:cs="Calibri"/>
                <w:szCs w:val="16"/>
              </w:rPr>
            </w:pPr>
            <w:r w:rsidRPr="00BE78CA">
              <w:rPr>
                <w:rFonts w:cs="Calibri"/>
                <w:szCs w:val="16"/>
              </w:rPr>
              <w:t>0.2</w:t>
            </w:r>
          </w:p>
        </w:tc>
        <w:tc>
          <w:tcPr>
            <w:tcW w:w="787" w:type="dxa"/>
            <w:shd w:val="clear" w:color="auto" w:fill="auto"/>
          </w:tcPr>
          <w:p w14:paraId="467ED1F4" w14:textId="77777777" w:rsidR="00F02481" w:rsidRPr="00BE78CA" w:rsidRDefault="00F02481" w:rsidP="00C26084">
            <w:pPr>
              <w:pStyle w:val="TableText"/>
              <w:jc w:val="right"/>
              <w:rPr>
                <w:rFonts w:cs="Calibri"/>
                <w:szCs w:val="16"/>
              </w:rPr>
            </w:pPr>
            <w:r w:rsidRPr="00BE78CA">
              <w:rPr>
                <w:rFonts w:cs="Calibri"/>
                <w:szCs w:val="16"/>
              </w:rPr>
              <w:t>0.7</w:t>
            </w:r>
          </w:p>
        </w:tc>
        <w:tc>
          <w:tcPr>
            <w:tcW w:w="861" w:type="dxa"/>
            <w:shd w:val="clear" w:color="auto" w:fill="auto"/>
          </w:tcPr>
          <w:p w14:paraId="0A494BDF" w14:textId="77777777" w:rsidR="00F02481" w:rsidRPr="00BE78CA" w:rsidRDefault="00F02481" w:rsidP="00C26084">
            <w:pPr>
              <w:pStyle w:val="TableText"/>
              <w:jc w:val="right"/>
              <w:rPr>
                <w:rFonts w:cs="Calibri"/>
                <w:szCs w:val="16"/>
              </w:rPr>
            </w:pPr>
            <w:r w:rsidRPr="00BE78CA">
              <w:rPr>
                <w:rFonts w:cs="Calibri"/>
                <w:szCs w:val="16"/>
              </w:rPr>
              <w:t>0.1</w:t>
            </w:r>
          </w:p>
        </w:tc>
      </w:tr>
      <w:tr w:rsidR="00F02481" w:rsidRPr="00BE78CA" w14:paraId="3E8999E0" w14:textId="77777777" w:rsidTr="006C1B51">
        <w:tc>
          <w:tcPr>
            <w:tcW w:w="1561" w:type="dxa"/>
            <w:shd w:val="clear" w:color="auto" w:fill="auto"/>
          </w:tcPr>
          <w:p w14:paraId="7622EE64" w14:textId="77777777" w:rsidR="00F02481" w:rsidRPr="00BE78CA" w:rsidRDefault="00F02481" w:rsidP="00C26084">
            <w:pPr>
              <w:pStyle w:val="TableText"/>
              <w:rPr>
                <w:rFonts w:cs="Calibri"/>
                <w:szCs w:val="16"/>
              </w:rPr>
            </w:pPr>
            <w:r w:rsidRPr="00BE78CA">
              <w:rPr>
                <w:rFonts w:cs="Calibri"/>
                <w:szCs w:val="16"/>
              </w:rPr>
              <w:t>Total</w:t>
            </w:r>
          </w:p>
        </w:tc>
        <w:tc>
          <w:tcPr>
            <w:tcW w:w="819" w:type="dxa"/>
            <w:gridSpan w:val="2"/>
            <w:shd w:val="clear" w:color="auto" w:fill="auto"/>
          </w:tcPr>
          <w:p w14:paraId="35207993" w14:textId="77777777" w:rsidR="00F02481" w:rsidRPr="00BE78CA" w:rsidRDefault="00F02481" w:rsidP="00C26084">
            <w:pPr>
              <w:pStyle w:val="TableText"/>
              <w:jc w:val="right"/>
              <w:rPr>
                <w:rFonts w:cs="Calibri"/>
                <w:szCs w:val="16"/>
              </w:rPr>
            </w:pPr>
            <w:r w:rsidRPr="00BE78CA">
              <w:rPr>
                <w:rFonts w:cs="Calibri"/>
                <w:szCs w:val="16"/>
              </w:rPr>
              <w:t>27,350.4</w:t>
            </w:r>
          </w:p>
        </w:tc>
        <w:tc>
          <w:tcPr>
            <w:tcW w:w="881" w:type="dxa"/>
            <w:shd w:val="clear" w:color="auto" w:fill="auto"/>
          </w:tcPr>
          <w:p w14:paraId="39E4D0FF" w14:textId="77777777" w:rsidR="00F02481" w:rsidRPr="00BE78CA" w:rsidRDefault="00F02481" w:rsidP="00C26084">
            <w:pPr>
              <w:pStyle w:val="TableText"/>
              <w:jc w:val="right"/>
              <w:rPr>
                <w:rFonts w:cs="Calibri"/>
                <w:szCs w:val="16"/>
              </w:rPr>
            </w:pPr>
            <w:r w:rsidRPr="00BE78CA">
              <w:rPr>
                <w:rFonts w:cs="Calibri"/>
                <w:szCs w:val="16"/>
              </w:rPr>
              <w:t>28,974.6</w:t>
            </w:r>
          </w:p>
        </w:tc>
        <w:tc>
          <w:tcPr>
            <w:tcW w:w="757" w:type="dxa"/>
            <w:shd w:val="clear" w:color="auto" w:fill="auto"/>
          </w:tcPr>
          <w:p w14:paraId="1A32A340" w14:textId="77777777" w:rsidR="00F02481" w:rsidRPr="00BE78CA" w:rsidRDefault="00F02481" w:rsidP="00C26084">
            <w:pPr>
              <w:pStyle w:val="TableText"/>
              <w:jc w:val="right"/>
              <w:rPr>
                <w:rFonts w:cs="Calibri"/>
                <w:szCs w:val="16"/>
              </w:rPr>
            </w:pPr>
            <w:r w:rsidRPr="00BE78CA">
              <w:rPr>
                <w:rFonts w:cs="Calibri"/>
                <w:szCs w:val="16"/>
              </w:rPr>
              <w:t>5.9</w:t>
            </w:r>
          </w:p>
        </w:tc>
        <w:tc>
          <w:tcPr>
            <w:tcW w:w="842" w:type="dxa"/>
            <w:gridSpan w:val="2"/>
            <w:shd w:val="clear" w:color="auto" w:fill="auto"/>
          </w:tcPr>
          <w:p w14:paraId="23AD9536" w14:textId="77777777" w:rsidR="00F02481" w:rsidRPr="00BE78CA" w:rsidRDefault="00F02481" w:rsidP="00C26084">
            <w:pPr>
              <w:pStyle w:val="TableText"/>
              <w:jc w:val="right"/>
              <w:rPr>
                <w:rFonts w:cs="Calibri"/>
                <w:szCs w:val="16"/>
              </w:rPr>
            </w:pPr>
            <w:r w:rsidRPr="00BE78CA">
              <w:rPr>
                <w:rFonts w:cs="Calibri"/>
                <w:szCs w:val="16"/>
              </w:rPr>
              <w:t>1,624.2</w:t>
            </w:r>
          </w:p>
        </w:tc>
        <w:tc>
          <w:tcPr>
            <w:tcW w:w="1081" w:type="dxa"/>
            <w:shd w:val="clear" w:color="auto" w:fill="auto"/>
          </w:tcPr>
          <w:p w14:paraId="5541EC9E" w14:textId="77777777" w:rsidR="00F02481" w:rsidRPr="00BE78CA" w:rsidRDefault="00F02481" w:rsidP="00C26084">
            <w:pPr>
              <w:pStyle w:val="TableText"/>
              <w:jc w:val="right"/>
              <w:rPr>
                <w:rFonts w:cs="Calibri"/>
                <w:szCs w:val="16"/>
              </w:rPr>
            </w:pPr>
            <w:r w:rsidRPr="00BE78CA">
              <w:rPr>
                <w:rFonts w:cs="Calibri"/>
                <w:szCs w:val="16"/>
              </w:rPr>
              <w:t>100</w:t>
            </w:r>
          </w:p>
        </w:tc>
        <w:tc>
          <w:tcPr>
            <w:tcW w:w="916" w:type="dxa"/>
            <w:gridSpan w:val="2"/>
            <w:shd w:val="clear" w:color="auto" w:fill="auto"/>
          </w:tcPr>
          <w:p w14:paraId="5D1F457C" w14:textId="77777777" w:rsidR="00F02481" w:rsidRPr="00BE78CA" w:rsidRDefault="00F02481" w:rsidP="00C26084">
            <w:pPr>
              <w:pStyle w:val="TableText"/>
              <w:jc w:val="right"/>
              <w:rPr>
                <w:rFonts w:cs="Calibri"/>
                <w:szCs w:val="16"/>
              </w:rPr>
            </w:pPr>
            <w:r w:rsidRPr="00BE78CA">
              <w:rPr>
                <w:rFonts w:cs="Calibri"/>
                <w:szCs w:val="16"/>
              </w:rPr>
              <w:t>100</w:t>
            </w:r>
          </w:p>
        </w:tc>
        <w:tc>
          <w:tcPr>
            <w:tcW w:w="787" w:type="dxa"/>
            <w:shd w:val="clear" w:color="auto" w:fill="auto"/>
          </w:tcPr>
          <w:p w14:paraId="13B988F5" w14:textId="77777777" w:rsidR="00F02481" w:rsidRPr="00BE78CA" w:rsidRDefault="00F02481" w:rsidP="00C26084">
            <w:pPr>
              <w:pStyle w:val="TableText"/>
              <w:jc w:val="right"/>
              <w:rPr>
                <w:rFonts w:cs="Calibri"/>
                <w:szCs w:val="16"/>
              </w:rPr>
            </w:pPr>
            <w:r w:rsidRPr="00BE78CA">
              <w:rPr>
                <w:rFonts w:cs="Calibri"/>
                <w:szCs w:val="16"/>
              </w:rPr>
              <w:t>80.8</w:t>
            </w:r>
          </w:p>
        </w:tc>
        <w:tc>
          <w:tcPr>
            <w:tcW w:w="861" w:type="dxa"/>
            <w:shd w:val="clear" w:color="auto" w:fill="auto"/>
          </w:tcPr>
          <w:p w14:paraId="4FC7C97D" w14:textId="77777777" w:rsidR="00F02481" w:rsidRPr="00BE78CA" w:rsidRDefault="00F02481" w:rsidP="00C26084">
            <w:pPr>
              <w:pStyle w:val="TableText"/>
              <w:jc w:val="right"/>
              <w:rPr>
                <w:rFonts w:cs="Calibri"/>
                <w:szCs w:val="16"/>
              </w:rPr>
            </w:pPr>
            <w:r w:rsidRPr="00BE78CA">
              <w:rPr>
                <w:rFonts w:cs="Calibri"/>
                <w:szCs w:val="16"/>
              </w:rPr>
              <w:t>73.1</w:t>
            </w:r>
          </w:p>
        </w:tc>
      </w:tr>
    </w:tbl>
    <w:p w14:paraId="3FE0FB92" w14:textId="77777777" w:rsidR="00F02481" w:rsidRPr="00BE78CA" w:rsidRDefault="00F02481" w:rsidP="00C26084">
      <w:pPr>
        <w:pStyle w:val="Noteundertable"/>
        <w:rPr>
          <w:rFonts w:cs="Calibri"/>
        </w:rPr>
      </w:pPr>
      <w:r w:rsidRPr="00BE78CA">
        <w:rPr>
          <w:rFonts w:cs="Calibri"/>
          <w:b/>
          <w:bCs/>
        </w:rPr>
        <w:t>Note</w:t>
      </w:r>
      <w:r w:rsidRPr="00BE78CA">
        <w:rPr>
          <w:rFonts w:cs="Calibri"/>
        </w:rPr>
        <w:t>: Percentages presented are calculated from unrounded values.</w:t>
      </w:r>
    </w:p>
    <w:p w14:paraId="351FD7AC" w14:textId="77777777" w:rsidR="00F02481" w:rsidRPr="00BE78CA" w:rsidRDefault="00F02481" w:rsidP="00C26084">
      <w:pPr>
        <w:pStyle w:val="Heading3"/>
        <w:rPr>
          <w:rFonts w:cs="Calibri"/>
        </w:rPr>
      </w:pPr>
      <w:bookmarkStart w:id="599" w:name="_Toc32570652"/>
      <w:r w:rsidRPr="00BE78CA">
        <w:rPr>
          <w:rFonts w:cs="Calibri"/>
        </w:rPr>
        <w:t>5.2.2</w:t>
      </w:r>
      <w:r w:rsidRPr="00BE78CA">
        <w:rPr>
          <w:rFonts w:cs="Calibri"/>
        </w:rPr>
        <w:tab/>
        <w:t>Methodological issues</w:t>
      </w:r>
      <w:bookmarkEnd w:id="598"/>
      <w:bookmarkEnd w:id="599"/>
      <w:r w:rsidRPr="00BE78CA">
        <w:rPr>
          <w:rFonts w:cs="Calibri"/>
        </w:rPr>
        <w:t xml:space="preserve"> </w:t>
      </w:r>
    </w:p>
    <w:p w14:paraId="21A1ADD7" w14:textId="77777777" w:rsidR="00F02481" w:rsidRPr="00BE78CA" w:rsidRDefault="00F02481" w:rsidP="00C26084">
      <w:pPr>
        <w:pStyle w:val="Heading4"/>
        <w:spacing w:before="160"/>
      </w:pPr>
      <w:r w:rsidRPr="00BE78CA">
        <w:t>Emissions from cattle and deer</w:t>
      </w:r>
    </w:p>
    <w:p w14:paraId="5296C81A" w14:textId="749FE55C" w:rsidR="00F02481" w:rsidRPr="00BE78CA" w:rsidRDefault="00F02481" w:rsidP="00C26084">
      <w:pPr>
        <w:pStyle w:val="BodyText"/>
        <w:rPr>
          <w:rFonts w:cs="Calibri"/>
        </w:rPr>
      </w:pPr>
      <w:r w:rsidRPr="00BE78CA">
        <w:rPr>
          <w:rFonts w:cs="Calibri"/>
        </w:rPr>
        <w:t>The total amount of enteric CH</w:t>
      </w:r>
      <w:r w:rsidRPr="00BE78CA">
        <w:rPr>
          <w:rFonts w:cs="Calibri"/>
          <w:vertAlign w:val="subscript"/>
        </w:rPr>
        <w:t>4</w:t>
      </w:r>
      <w:r w:rsidRPr="00BE78CA">
        <w:rPr>
          <w:rFonts w:cs="Calibri"/>
        </w:rPr>
        <w:t xml:space="preserve"> emitted by cattle and </w:t>
      </w:r>
      <w:r w:rsidR="00547F8C" w:rsidRPr="00BE78CA">
        <w:rPr>
          <w:rFonts w:cs="Calibri"/>
          <w:i/>
          <w:iCs/>
        </w:rPr>
        <w:t>D</w:t>
      </w:r>
      <w:r w:rsidRPr="00BE78CA">
        <w:rPr>
          <w:rFonts w:cs="Calibri"/>
          <w:i/>
          <w:iCs/>
        </w:rPr>
        <w:t>eer</w:t>
      </w:r>
      <w:r w:rsidRPr="00BE78CA">
        <w:rPr>
          <w:rFonts w:cs="Calibri"/>
        </w:rPr>
        <w:t xml:space="preserve"> is calculated using a CH</w:t>
      </w:r>
      <w:r w:rsidRPr="00BE78CA">
        <w:rPr>
          <w:rFonts w:cs="Calibri"/>
          <w:vertAlign w:val="subscript"/>
        </w:rPr>
        <w:t>4</w:t>
      </w:r>
      <w:r w:rsidRPr="00BE78CA">
        <w:rPr>
          <w:rFonts w:cs="Calibri"/>
        </w:rPr>
        <w:t xml:space="preserve"> conversion factor for emissions per unit of feed intake in kilograms of DMI per livestock category (see figure 5.2.1). The enhanced livestock population characterisation and DMI per head is calculated by New Zealand’s Tier 2 inventory model (see section 5.1.3).</w:t>
      </w:r>
      <w:r w:rsidRPr="00BE78CA">
        <w:rPr>
          <w:rFonts w:cs="Calibri"/>
          <w:i/>
        </w:rPr>
        <w:t xml:space="preserve"> </w:t>
      </w:r>
      <w:r w:rsidRPr="00BE78CA">
        <w:rPr>
          <w:rFonts w:cs="Calibri"/>
        </w:rPr>
        <w:t>A more complex algorithm has been used to calculate enteric CH</w:t>
      </w:r>
      <w:r w:rsidRPr="00BE78CA">
        <w:rPr>
          <w:rFonts w:cs="Calibri"/>
          <w:vertAlign w:val="subscript"/>
        </w:rPr>
        <w:t>4</w:t>
      </w:r>
      <w:r w:rsidRPr="00BE78CA">
        <w:rPr>
          <w:rFonts w:cs="Calibri"/>
        </w:rPr>
        <w:t xml:space="preserve"> emissions from sheep and is discussed in the next section.</w:t>
      </w:r>
    </w:p>
    <w:p w14:paraId="7D8773B8" w14:textId="77777777" w:rsidR="00F02481" w:rsidRPr="00BE78CA" w:rsidRDefault="00F02481" w:rsidP="00C26084">
      <w:pPr>
        <w:pStyle w:val="Figure"/>
      </w:pPr>
      <w:bookmarkStart w:id="600" w:name="_Toc447275695"/>
      <w:bookmarkStart w:id="601" w:name="_Toc481752013"/>
      <w:bookmarkStart w:id="602" w:name="_Toc507158472"/>
      <w:bookmarkStart w:id="603" w:name="_Toc511116963"/>
      <w:bookmarkStart w:id="604" w:name="_Toc5269693"/>
      <w:bookmarkStart w:id="605" w:name="_Toc32570964"/>
      <w:bookmarkStart w:id="606" w:name="_Toc36292794"/>
      <w:bookmarkStart w:id="607" w:name="_Toc68786659"/>
      <w:bookmarkStart w:id="608" w:name="_Toc288316894"/>
      <w:bookmarkStart w:id="609" w:name="_Toc352505149"/>
      <w:r w:rsidRPr="00BE78CA">
        <w:lastRenderedPageBreak/>
        <w:t>Figure 5.2.1</w:t>
      </w:r>
      <w:r w:rsidRPr="00BE78CA">
        <w:tab/>
        <w:t>Schematic diagram showing how New Zealand’s emissions from enteric fermentation for cattle and deer are calculated</w:t>
      </w:r>
      <w:bookmarkEnd w:id="600"/>
      <w:bookmarkEnd w:id="601"/>
      <w:bookmarkEnd w:id="602"/>
      <w:bookmarkEnd w:id="603"/>
      <w:bookmarkEnd w:id="604"/>
      <w:bookmarkEnd w:id="605"/>
      <w:bookmarkEnd w:id="606"/>
      <w:bookmarkEnd w:id="607"/>
    </w:p>
    <w:p w14:paraId="506F57B9" w14:textId="4F8CC71A" w:rsidR="00F02481" w:rsidRPr="00BE78CA" w:rsidRDefault="002E6A40" w:rsidP="00C26084">
      <w:pPr>
        <w:pStyle w:val="BodyText"/>
        <w:jc w:val="center"/>
        <w:rPr>
          <w:rFonts w:cs="Calibri"/>
        </w:rPr>
      </w:pPr>
      <w:r w:rsidRPr="00BE78CA">
        <w:rPr>
          <w:rFonts w:eastAsia="Calibri" w:cs="Calibri"/>
        </w:rPr>
        <w:object w:dxaOrig="17777" w:dyaOrig="9203" w14:anchorId="64D0219E">
          <v:shape id="_x0000_i1044" type="#_x0000_t75" style="width:391.25pt;height:206.5pt" o:ole="">
            <v:imagedata r:id="rId126" o:title="" cropright="6980f"/>
          </v:shape>
          <o:OLEObject Type="Embed" ProgID="Visio.Drawing.15" ShapeID="_x0000_i1044" DrawAspect="Content" ObjectID="_1679402766" r:id="rId127"/>
        </w:object>
      </w:r>
    </w:p>
    <w:bookmarkEnd w:id="608"/>
    <w:bookmarkEnd w:id="609"/>
    <w:p w14:paraId="5A85340A" w14:textId="77777777" w:rsidR="00F02481" w:rsidRPr="00BE78CA" w:rsidRDefault="00F02481" w:rsidP="00C26084">
      <w:pPr>
        <w:pStyle w:val="Noteundertable"/>
        <w:rPr>
          <w:rFonts w:cs="Calibri"/>
        </w:rPr>
      </w:pPr>
      <w:r w:rsidRPr="00BE78CA">
        <w:rPr>
          <w:rFonts w:cs="Calibri"/>
          <w:b/>
          <w:bCs/>
        </w:rPr>
        <w:t>Note:</w:t>
      </w:r>
      <w:r w:rsidRPr="00BE78CA">
        <w:rPr>
          <w:rFonts w:cs="Calibri"/>
        </w:rPr>
        <w:t xml:space="preserve"> </w:t>
      </w:r>
      <w:r w:rsidRPr="00BE78CA">
        <w:rPr>
          <w:rFonts w:cs="Calibri"/>
        </w:rPr>
        <w:tab/>
        <w:t>CH</w:t>
      </w:r>
      <w:r w:rsidRPr="00BE78CA">
        <w:rPr>
          <w:rFonts w:cs="Calibri"/>
          <w:vertAlign w:val="subscript"/>
        </w:rPr>
        <w:t>4</w:t>
      </w:r>
      <w:r w:rsidRPr="00BE78CA">
        <w:rPr>
          <w:rFonts w:cs="Calibri"/>
        </w:rPr>
        <w:t xml:space="preserve"> = methane; DMI = dry-matter intake; GEI = gross energy intake.</w:t>
      </w:r>
    </w:p>
    <w:p w14:paraId="432A49AF" w14:textId="77777777" w:rsidR="00F02481" w:rsidRPr="00BE78CA" w:rsidRDefault="00F02481" w:rsidP="00C26084">
      <w:pPr>
        <w:pStyle w:val="BodyText"/>
      </w:pPr>
      <w:r w:rsidRPr="00BE78CA">
        <w:t>The equation for the total production of enteric CH</w:t>
      </w:r>
      <w:r w:rsidRPr="00BE78CA">
        <w:rPr>
          <w:vertAlign w:val="subscript"/>
        </w:rPr>
        <w:t>4</w:t>
      </w:r>
      <w:r w:rsidRPr="00BE78CA">
        <w:t xml:space="preserve"> for cattle and deer is:</w:t>
      </w:r>
    </w:p>
    <w:bookmarkStart w:id="610" w:name="_MON_1545052669"/>
    <w:bookmarkEnd w:id="610"/>
    <w:p w14:paraId="4859A78C" w14:textId="6EB7C434" w:rsidR="00F02481" w:rsidRPr="00BE78CA" w:rsidRDefault="00CA251C" w:rsidP="00C26084">
      <w:pPr>
        <w:pStyle w:val="BodyText"/>
        <w:spacing w:after="0"/>
        <w:jc w:val="center"/>
        <w:rPr>
          <w:rFonts w:cs="Calibri"/>
        </w:rPr>
      </w:pPr>
      <w:r w:rsidRPr="00BE78CA">
        <w:rPr>
          <w:rFonts w:cs="Calibri"/>
        </w:rPr>
        <w:object w:dxaOrig="6506" w:dyaOrig="848" w14:anchorId="1FA69878">
          <v:shape id="_x0000_i1045" type="#_x0000_t75" style="width:326.05pt;height:42.8pt" o:ole="">
            <v:imagedata r:id="rId128" o:title=""/>
          </v:shape>
          <o:OLEObject Type="Embed" ProgID="Word.Document.12" ShapeID="_x0000_i1045" DrawAspect="Content" ObjectID="_1679402767" r:id="rId129">
            <o:FieldCodes>\s</o:FieldCodes>
          </o:OLEObject>
        </w:object>
      </w:r>
    </w:p>
    <w:p w14:paraId="327D920F" w14:textId="77777777" w:rsidR="00F02481" w:rsidRPr="00BE78CA" w:rsidRDefault="00F02481" w:rsidP="00C26084">
      <w:pPr>
        <w:pStyle w:val="BodyText"/>
        <w:keepNext/>
        <w:spacing w:after="0"/>
        <w:ind w:left="964" w:hanging="964"/>
        <w:rPr>
          <w:rFonts w:cs="Calibri"/>
        </w:rPr>
      </w:pPr>
      <w:r w:rsidRPr="00BE78CA">
        <w:rPr>
          <w:rFonts w:cs="Calibri"/>
        </w:rPr>
        <w:t xml:space="preserve">Where: </w:t>
      </w:r>
      <w:r w:rsidRPr="00BE78CA">
        <w:rPr>
          <w:rFonts w:cs="Calibri"/>
        </w:rPr>
        <w:tab/>
        <w:t>CH</w:t>
      </w:r>
      <w:r w:rsidRPr="00BE78CA">
        <w:rPr>
          <w:rFonts w:cs="Calibri"/>
          <w:vertAlign w:val="subscript"/>
        </w:rPr>
        <w:t>4-enteric</w:t>
      </w:r>
      <w:r w:rsidRPr="00BE78CA">
        <w:rPr>
          <w:rFonts w:cs="Calibri"/>
        </w:rPr>
        <w:t xml:space="preserve"> is the methane from enteric fermentation (kg CH</w:t>
      </w:r>
      <w:r w:rsidRPr="00BE78CA">
        <w:rPr>
          <w:rFonts w:cs="Calibri"/>
          <w:vertAlign w:val="subscript"/>
        </w:rPr>
        <w:t>4</w:t>
      </w:r>
      <w:r w:rsidRPr="00BE78CA">
        <w:rPr>
          <w:rFonts w:cs="Calibri"/>
        </w:rPr>
        <w:t>/year)</w:t>
      </w:r>
    </w:p>
    <w:p w14:paraId="16590804" w14:textId="77777777" w:rsidR="00F02481" w:rsidRPr="00BE78CA" w:rsidRDefault="00F02481" w:rsidP="00C26084">
      <w:pPr>
        <w:pStyle w:val="BodyText"/>
        <w:keepNext/>
        <w:spacing w:before="80" w:after="0"/>
        <w:ind w:left="964" w:hanging="964"/>
        <w:rPr>
          <w:rFonts w:cs="Calibri"/>
        </w:rPr>
      </w:pPr>
      <w:r w:rsidRPr="00BE78CA">
        <w:rPr>
          <w:rFonts w:cs="Calibri"/>
        </w:rPr>
        <w:tab/>
        <w:t xml:space="preserve">Livestock type is cattle or deer </w:t>
      </w:r>
    </w:p>
    <w:p w14:paraId="70954EA0" w14:textId="77777777" w:rsidR="00F02481" w:rsidRPr="00BE78CA" w:rsidRDefault="00F02481" w:rsidP="00C26084">
      <w:pPr>
        <w:pStyle w:val="BodyText"/>
        <w:keepNext/>
        <w:spacing w:before="80" w:after="0"/>
        <w:ind w:left="964" w:hanging="964"/>
        <w:rPr>
          <w:rFonts w:cs="Calibri"/>
        </w:rPr>
      </w:pPr>
      <w:r w:rsidRPr="00BE78CA">
        <w:rPr>
          <w:rFonts w:cs="Calibri"/>
        </w:rPr>
        <w:tab/>
        <w:t>n is the population of each livestock category (head)</w:t>
      </w:r>
    </w:p>
    <w:p w14:paraId="2AF653C7" w14:textId="77777777" w:rsidR="00F02481" w:rsidRPr="00BE78CA" w:rsidRDefault="00F02481" w:rsidP="00C26084">
      <w:pPr>
        <w:pStyle w:val="BodyText"/>
        <w:keepNext/>
        <w:spacing w:before="80" w:after="0"/>
        <w:ind w:left="964" w:hanging="964"/>
        <w:rPr>
          <w:rFonts w:cs="Calibri"/>
        </w:rPr>
      </w:pPr>
      <w:r w:rsidRPr="00BE78CA">
        <w:rPr>
          <w:rFonts w:cs="Calibri"/>
        </w:rPr>
        <w:tab/>
        <w:t>DMI is the dry-matter intake (kg dry matter/head/year), and</w:t>
      </w:r>
    </w:p>
    <w:p w14:paraId="46F8B250" w14:textId="77777777" w:rsidR="00F02481" w:rsidRPr="00BE78CA" w:rsidRDefault="00F02481" w:rsidP="00C26084">
      <w:pPr>
        <w:pStyle w:val="BodyText"/>
        <w:keepNext/>
        <w:spacing w:before="80"/>
        <w:ind w:left="964" w:hanging="964"/>
        <w:rPr>
          <w:rFonts w:cs="Calibri"/>
        </w:rPr>
      </w:pPr>
      <w:r w:rsidRPr="00BE78CA">
        <w:rPr>
          <w:rFonts w:cs="Calibri"/>
        </w:rPr>
        <w:tab/>
        <w:t>CH</w:t>
      </w:r>
      <w:r w:rsidRPr="00BE78CA">
        <w:rPr>
          <w:rFonts w:cs="Calibri"/>
          <w:vertAlign w:val="subscript"/>
        </w:rPr>
        <w:t>4</w:t>
      </w:r>
      <w:r w:rsidRPr="00BE78CA">
        <w:rPr>
          <w:rFonts w:cs="Calibri"/>
        </w:rPr>
        <w:t xml:space="preserve"> conversion rate is the CH</w:t>
      </w:r>
      <w:r w:rsidRPr="00BE78CA">
        <w:rPr>
          <w:rFonts w:cs="Calibri"/>
          <w:vertAlign w:val="subscript"/>
        </w:rPr>
        <w:t>4</w:t>
      </w:r>
      <w:r w:rsidRPr="00BE78CA">
        <w:rPr>
          <w:rFonts w:cs="Calibri"/>
        </w:rPr>
        <w:t xml:space="preserve"> emissions per unit of feed intake (g CH</w:t>
      </w:r>
      <w:r w:rsidRPr="00BE78CA">
        <w:rPr>
          <w:rFonts w:cs="Calibri"/>
          <w:vertAlign w:val="subscript"/>
        </w:rPr>
        <w:t>4</w:t>
      </w:r>
      <w:r w:rsidRPr="00BE78CA">
        <w:rPr>
          <w:rFonts w:cs="Calibri"/>
        </w:rPr>
        <w:t>/kg DMI) (see table 5.2.2).</w:t>
      </w:r>
    </w:p>
    <w:p w14:paraId="4DDD89AB" w14:textId="77777777" w:rsidR="00F02481" w:rsidRPr="00BE78CA" w:rsidRDefault="00F02481" w:rsidP="00C26084">
      <w:pPr>
        <w:pStyle w:val="Heading4"/>
      </w:pPr>
      <w:r w:rsidRPr="00BE78CA">
        <w:t>Emissions from sheep</w:t>
      </w:r>
    </w:p>
    <w:p w14:paraId="46F74075" w14:textId="77777777" w:rsidR="00F02481" w:rsidRPr="00BE78CA" w:rsidRDefault="00F02481" w:rsidP="00C26084">
      <w:pPr>
        <w:pStyle w:val="BodyText"/>
        <w:rPr>
          <w:rFonts w:cs="Calibri"/>
        </w:rPr>
      </w:pPr>
      <w:r w:rsidRPr="00BE78CA">
        <w:rPr>
          <w:rFonts w:cs="Calibri"/>
        </w:rPr>
        <w:t>Enteric CH</w:t>
      </w:r>
      <w:r w:rsidRPr="00BE78CA">
        <w:rPr>
          <w:rFonts w:cs="Calibri"/>
          <w:vertAlign w:val="subscript"/>
        </w:rPr>
        <w:t>4</w:t>
      </w:r>
      <w:r w:rsidRPr="00BE78CA">
        <w:rPr>
          <w:rFonts w:cs="Calibri"/>
        </w:rPr>
        <w:t xml:space="preserve"> emissions from sheep are calculated using a methodology outlined in a peer reviewed paper published by Swainson et al. (2016). This paper analysed a set of experiments where CH</w:t>
      </w:r>
      <w:r w:rsidRPr="00BE78CA">
        <w:rPr>
          <w:rFonts w:cs="Calibri"/>
          <w:vertAlign w:val="subscript"/>
        </w:rPr>
        <w:t>4</w:t>
      </w:r>
      <w:r w:rsidRPr="00BE78CA">
        <w:rPr>
          <w:rFonts w:cs="Calibri"/>
        </w:rPr>
        <w:t xml:space="preserve"> emissions from sheep, fed pasture of varying amounts and quality, were measured using respiration chambers, the gold standard for recording CH</w:t>
      </w:r>
      <w:r w:rsidRPr="00BE78CA">
        <w:rPr>
          <w:rFonts w:cs="Calibri"/>
          <w:vertAlign w:val="subscript"/>
        </w:rPr>
        <w:t>4</w:t>
      </w:r>
      <w:r w:rsidRPr="00BE78CA">
        <w:rPr>
          <w:rFonts w:cs="Calibri"/>
        </w:rPr>
        <w:t xml:space="preserve"> emissions from livestock. The study confirmed that DMI has the largest influence on CH</w:t>
      </w:r>
      <w:r w:rsidRPr="00BE78CA">
        <w:rPr>
          <w:rFonts w:cs="Calibri"/>
          <w:vertAlign w:val="subscript"/>
        </w:rPr>
        <w:t>4</w:t>
      </w:r>
      <w:r w:rsidRPr="00BE78CA">
        <w:rPr>
          <w:rFonts w:cs="Calibri"/>
        </w:rPr>
        <w:t xml:space="preserve"> emissions and that pasture quality (as measured by ME content) had only a small but statistically significant effect on emissions from sheep less than one year of age.</w:t>
      </w:r>
    </w:p>
    <w:p w14:paraId="1670B275" w14:textId="77777777" w:rsidR="00F02481" w:rsidRPr="00BE78CA" w:rsidRDefault="00F02481" w:rsidP="00C26084">
      <w:pPr>
        <w:pStyle w:val="BodyText"/>
        <w:rPr>
          <w:rFonts w:cs="Calibri"/>
        </w:rPr>
      </w:pPr>
      <w:r w:rsidRPr="00BE78CA">
        <w:rPr>
          <w:rFonts w:cs="Calibri"/>
        </w:rPr>
        <w:t>The research concluded that two log-transformed linear regressions (one for sheep less than one year of age and one for sheep greater than one year of age) provided the best fit for the data and recommended that these equations be used in the National Inventory Report.</w:t>
      </w:r>
      <w:r w:rsidRPr="00BE78CA" w:rsidDel="00970856">
        <w:rPr>
          <w:rFonts w:cs="Calibri"/>
        </w:rPr>
        <w:t xml:space="preserve"> </w:t>
      </w:r>
    </w:p>
    <w:p w14:paraId="7C7ADFD5" w14:textId="77777777" w:rsidR="00F02481" w:rsidRPr="00BE78CA" w:rsidRDefault="00F02481" w:rsidP="002E6A40">
      <w:pPr>
        <w:pStyle w:val="BodyText"/>
        <w:keepNext/>
        <w:spacing w:after="60"/>
        <w:rPr>
          <w:rFonts w:cs="Calibri"/>
        </w:rPr>
      </w:pPr>
      <w:r w:rsidRPr="00BE78CA">
        <w:rPr>
          <w:rFonts w:cs="Calibri"/>
        </w:rPr>
        <w:lastRenderedPageBreak/>
        <w:t>The equation</w:t>
      </w:r>
      <w:r w:rsidRPr="00BE78CA">
        <w:rPr>
          <w:rStyle w:val="FootnoteReference"/>
          <w:rFonts w:cs="Calibri"/>
        </w:rPr>
        <w:footnoteReference w:id="41"/>
      </w:r>
      <w:r w:rsidRPr="00BE78CA">
        <w:rPr>
          <w:rFonts w:cs="Calibri"/>
        </w:rPr>
        <w:t xml:space="preserve"> for the total production of enteric CH</w:t>
      </w:r>
      <w:r w:rsidRPr="00BE78CA">
        <w:rPr>
          <w:rFonts w:cs="Calibri"/>
          <w:vertAlign w:val="subscript"/>
        </w:rPr>
        <w:t>4</w:t>
      </w:r>
      <w:r w:rsidRPr="00BE78CA">
        <w:rPr>
          <w:rFonts w:cs="Calibri"/>
        </w:rPr>
        <w:t xml:space="preserve"> for sheep less than one year of age is:</w:t>
      </w:r>
    </w:p>
    <w:p w14:paraId="10E9EA77" w14:textId="77777777" w:rsidR="00F02481" w:rsidRPr="00BE78CA" w:rsidRDefault="00087879" w:rsidP="00C26084">
      <w:pPr>
        <w:pStyle w:val="BodyText"/>
        <w:spacing w:before="0" w:after="0"/>
        <w:jc w:val="center"/>
        <w:rPr>
          <w:rFonts w:cs="Calibri"/>
        </w:rPr>
      </w:pPr>
      <w:r>
        <w:pict w14:anchorId="553406EA">
          <v:shape id="_x0000_i1046" type="#_x0000_t75" style="width:274.4pt;height:36.7pt"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16sdtdh=&quot;http://schemas.microsoft.com/office/word/2020/wordml/sdtdatahash&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doNotEmbedSystemFonts/&gt;&lt;w:activeWritingStyle w:lang=&quot;EN-NZ&quot; w:vendorID=&quot;64&quot; w:dllVersion=&quot;6&quot; w:nlCheck=&quot;on&quot; w:optionSet=&quot;1&quot;/&gt;&lt;w:stylePaneFormatFilter w:val=&quot;5804&quot;/&gt;&lt;w:defaultTabStop w:val=&quot;397&quot;/&gt;&lt;w:evenAndOddHeaders/&gt;&lt;w:drawingGridHorizontalSpacing w:val=&quot;187&quot;/&gt;&lt;w:displayVerticalDrawingGridEvery w:val=&quot;2&quot;/&gt;&lt;w:characterSpacingControl w:val=&quot;DontCompress&quot;/&gt;&lt;w:optimizeForBrowser/&gt;&lt;w:validateAgainstSchema/&gt;&lt;w:saveInvalidXML w:val=&quot;off&quot;/&gt;&lt;w:ignoreMixedContent w:val=&quot;off&quot;/&gt;&lt;w:alwaysShowPlaceholderText w:val=&quot;off&quot;/&gt;&lt;w:compat&gt;&lt;w:suppressBottomSpacing/&gt;&lt;w:suppressTopSpacing/&gt;&lt;w:doNotUseHTMLParagraphAutoSpacing/&gt;&lt;w:breakWrappedTables/&gt;&lt;w:snapToGridInCell/&gt;&lt;w:wrapTextWithPunct/&gt;&lt;w:useAsianBreakRules/&gt;&lt;w:useWord2002TableStyleRules/&gt;&lt;/w:compat&gt;&lt;wsp:rsids&gt;&lt;wsp:rsidRoot wsp:val=&quot;001F1707&quot;/&gt;&lt;wsp:rsid wsp:val=&quot;00001716&quot;/&gt;&lt;wsp:rsid wsp:val=&quot;00007ABB&quot;/&gt;&lt;wsp:rsid wsp:val=&quot;00021ACF&quot;/&gt;&lt;wsp:rsid wsp:val=&quot;00027E55&quot;/&gt;&lt;wsp:rsid wsp:val=&quot;00032A28&quot;/&gt;&lt;wsp:rsid wsp:val=&quot;00035185&quot;/&gt;&lt;wsp:rsid wsp:val=&quot;00050008&quot;/&gt;&lt;wsp:rsid wsp:val=&quot;000576EC&quot;/&gt;&lt;wsp:rsid wsp:val=&quot;000959CB&quot;/&gt;&lt;wsp:rsid wsp:val=&quot;000C20A6&quot;/&gt;&lt;wsp:rsid wsp:val=&quot;000F4DEF&quot;/&gt;&lt;wsp:rsid wsp:val=&quot;00116E1B&quot;/&gt;&lt;wsp:rsid wsp:val=&quot;001221C3&quot;/&gt;&lt;wsp:rsid wsp:val=&quot;00153F5A&quot;/&gt;&lt;wsp:rsid wsp:val=&quot;001970E1&quot;/&gt;&lt;wsp:rsid wsp:val=&quot;001A1997&quot;/&gt;&lt;wsp:rsid wsp:val=&quot;001B6FD2&quot;/&gt;&lt;wsp:rsid wsp:val=&quot;001F1707&quot;/&gt;&lt;wsp:rsid wsp:val=&quot;00207ABF&quot;/&gt;&lt;wsp:rsid wsp:val=&quot;00240B42&quot;/&gt;&lt;wsp:rsid wsp:val=&quot;00260B48&quot;/&gt;&lt;wsp:rsid wsp:val=&quot;0028581A&quot;/&gt;&lt;wsp:rsid wsp:val=&quot;002868D3&quot;/&gt;&lt;wsp:rsid wsp:val=&quot;00295B2A&quot;/&gt;&lt;wsp:rsid wsp:val=&quot;002A1361&quot;/&gt;&lt;wsp:rsid wsp:val=&quot;002A49D7&quot;/&gt;&lt;wsp:rsid wsp:val=&quot;002B1C5A&quot;/&gt;&lt;wsp:rsid wsp:val=&quot;002B3284&quot;/&gt;&lt;wsp:rsid wsp:val=&quot;002D60DB&quot;/&gt;&lt;wsp:rsid wsp:val=&quot;002D6A54&quot;/&gt;&lt;wsp:rsid wsp:val=&quot;002F134A&quot;/&gt;&lt;wsp:rsid wsp:val=&quot;00302D84&quot;/&gt;&lt;wsp:rsid wsp:val=&quot;00315760&quot;/&gt;&lt;wsp:rsid wsp:val=&quot;0032349D&quot;/&gt;&lt;wsp:rsid wsp:val=&quot;0037590E&quot;/&gt;&lt;wsp:rsid wsp:val=&quot;00377186&quot;/&gt;&lt;wsp:rsid wsp:val=&quot;00383207&quot;/&gt;&lt;wsp:rsid wsp:val=&quot;003972EF&quot;/&gt;&lt;wsp:rsid wsp:val=&quot;00397D2B&quot;/&gt;&lt;wsp:rsid wsp:val=&quot;003A5006&quot;/&gt;&lt;wsp:rsid wsp:val=&quot;003C2615&quot;/&gt;&lt;wsp:rsid wsp:val=&quot;003D0318&quot;/&gt;&lt;wsp:rsid wsp:val=&quot;003D5417&quot;/&gt;&lt;wsp:rsid wsp:val=&quot;00400F92&quot;/&gt;&lt;wsp:rsid wsp:val=&quot;004044F1&quot;/&gt;&lt;wsp:rsid wsp:val=&quot;0042424B&quot;/&gt;&lt;wsp:rsid wsp:val=&quot;00430D5D&quot;/&gt;&lt;wsp:rsid wsp:val=&quot;0045652C&quot;/&gt;&lt;wsp:rsid wsp:val=&quot;00462497&quot;/&gt;&lt;wsp:rsid wsp:val=&quot;004805A3&quot;/&gt;&lt;wsp:rsid wsp:val=&quot;00490EB0&quot;/&gt;&lt;wsp:rsid wsp:val=&quot;004A618E&quot;/&gt;&lt;wsp:rsid wsp:val=&quot;004E4B2C&quot;/&gt;&lt;wsp:rsid wsp:val=&quot;004F1572&quot;/&gt;&lt;wsp:rsid wsp:val=&quot;00526270&quot;/&gt;&lt;wsp:rsid wsp:val=&quot;00534210&quot;/&gt;&lt;wsp:rsid wsp:val=&quot;00543478&quot;/&gt;&lt;wsp:rsid wsp:val=&quot;00545600&quot;/&gt;&lt;wsp:rsid wsp:val=&quot;00546A6A&quot;/&gt;&lt;wsp:rsid wsp:val=&quot;005630B0&quot;/&gt;&lt;wsp:rsid wsp:val=&quot;005660CD&quot;/&gt;&lt;wsp:rsid wsp:val=&quot;005720F2&quot;/&gt;&lt;wsp:rsid wsp:val=&quot;00596603&quot;/&gt;&lt;wsp:rsid wsp:val=&quot;005B76A4&quot;/&gt;&lt;wsp:rsid wsp:val=&quot;005C3384&quot;/&gt;&lt;wsp:rsid wsp:val=&quot;005C416E&quot;/&gt;&lt;wsp:rsid wsp:val=&quot;005D1C3A&quot;/&gt;&lt;wsp:rsid wsp:val=&quot;005E43DD&quot;/&gt;&lt;wsp:rsid wsp:val=&quot;00600179&quot;/&gt;&lt;wsp:rsid wsp:val=&quot;00603FC0&quot;/&gt;&lt;wsp:rsid wsp:val=&quot;00636BF0&quot;/&gt;&lt;wsp:rsid wsp:val=&quot;00646B6D&quot;/&gt;&lt;wsp:rsid wsp:val=&quot;00655908&quot;/&gt;&lt;wsp:rsid wsp:val=&quot;006654F8&quot;/&gt;&lt;wsp:rsid wsp:val=&quot;00665768&quot;/&gt;&lt;wsp:rsid wsp:val=&quot;00667291&quot;/&gt;&lt;wsp:rsid wsp:val=&quot;00686249&quot;/&gt;&lt;wsp:rsid wsp:val=&quot;00687504&quot;/&gt;&lt;wsp:rsid wsp:val=&quot;006A171F&quot;/&gt;&lt;wsp:rsid wsp:val=&quot;006A4E5F&quot;/&gt;&lt;wsp:rsid wsp:val=&quot;006D3FAE&quot;/&gt;&lt;wsp:rsid wsp:val=&quot;006D4600&quot;/&gt;&lt;wsp:rsid wsp:val=&quot;006E0A2C&quot;/&gt;&lt;wsp:rsid wsp:val=&quot;006E202B&quot;/&gt;&lt;wsp:rsid wsp:val=&quot;006E57B5&quot;/&gt;&lt;wsp:rsid wsp:val=&quot;00702FA0&quot;/&gt;&lt;wsp:rsid wsp:val=&quot;00715D39&quot;/&gt;&lt;wsp:rsid wsp:val=&quot;00724218&quot;/&gt;&lt;wsp:rsid wsp:val=&quot;00737E65&quot;/&gt;&lt;wsp:rsid wsp:val=&quot;0074030A&quot;/&gt;&lt;wsp:rsid wsp:val=&quot;007409A3&quot;/&gt;&lt;wsp:rsid wsp:val=&quot;00762043&quot;/&gt;&lt;wsp:rsid wsp:val=&quot;007633C2&quot;/&gt;&lt;wsp:rsid wsp:val=&quot;00765A47&quot;/&gt;&lt;wsp:rsid wsp:val=&quot;00770E82&quot;/&gt;&lt;wsp:rsid wsp:val=&quot;00772E94&quot;/&gt;&lt;wsp:rsid wsp:val=&quot;007B028B&quot;/&gt;&lt;wsp:rsid wsp:val=&quot;007B1D71&quot;/&gt;&lt;wsp:rsid wsp:val=&quot;007C00D0&quot;/&gt;&lt;wsp:rsid wsp:val=&quot;007C2186&quot;/&gt;&lt;wsp:rsid wsp:val=&quot;007F2233&quot;/&gt;&lt;wsp:rsid wsp:val=&quot;0080694B&quot;/&gt;&lt;wsp:rsid wsp:val=&quot;0081779C&quot;/&gt;&lt;wsp:rsid wsp:val=&quot;00831D0D&quot;/&gt;&lt;wsp:rsid wsp:val=&quot;00832DEE&quot;/&gt;&lt;wsp:rsid wsp:val=&quot;00854B9D&quot;/&gt;&lt;wsp:rsid wsp:val=&quot;00855A8A&quot;/&gt;&lt;wsp:rsid wsp:val=&quot;00872795&quot;/&gt;&lt;wsp:rsid wsp:val=&quot;008A2EC5&quot;/&gt;&lt;wsp:rsid wsp:val=&quot;008B77F5&quot;/&gt;&lt;wsp:rsid wsp:val=&quot;008C0279&quot;/&gt;&lt;wsp:rsid wsp:val=&quot;008C7F68&quot;/&gt;&lt;wsp:rsid wsp:val=&quot;008E380C&quot;/&gt;&lt;wsp:rsid wsp:val=&quot;008F25D2&quot;/&gt;&lt;wsp:rsid wsp:val=&quot;008F50EC&quot;/&gt;&lt;wsp:rsid wsp:val=&quot;00914CC6&quot;/&gt;&lt;wsp:rsid wsp:val=&quot;0092751F&quot;/&gt;&lt;wsp:rsid wsp:val=&quot;00932067&quot;/&gt;&lt;wsp:rsid wsp:val=&quot;0093594A&quot;/&gt;&lt;wsp:rsid wsp:val=&quot;00955D73&quot;/&gt;&lt;wsp:rsid wsp:val=&quot;0096512C&quot;/&gt;&lt;wsp:rsid wsp:val=&quot;0096540A&quot;/&gt;&lt;wsp:rsid wsp:val=&quot;009C5D2A&quot;/&gt;&lt;wsp:rsid wsp:val=&quot;00A06700&quot;/&gt;&lt;wsp:rsid wsp:val=&quot;00A331E7&quot;/&gt;&lt;wsp:rsid wsp:val=&quot;00A34169&quot;/&gt;&lt;wsp:rsid wsp:val=&quot;00A41C3C&quot;/&gt;&lt;wsp:rsid wsp:val=&quot;00AB2710&quot;/&gt;&lt;wsp:rsid wsp:val=&quot;00AD184B&quot;/&gt;&lt;wsp:rsid wsp:val=&quot;00B0566D&quot;/&gt;&lt;wsp:rsid wsp:val=&quot;00B35BD9&quot;/&gt;&lt;wsp:rsid wsp:val=&quot;00B37DE8&quot;/&gt;&lt;wsp:rsid wsp:val=&quot;00B44BA5&quot;/&gt;&lt;wsp:rsid wsp:val=&quot;00B928E7&quot;/&gt;&lt;wsp:rsid wsp:val=&quot;00BA5F7E&quot;/&gt;&lt;wsp:rsid wsp:val=&quot;00BC7E76&quot;/&gt;&lt;wsp:rsid wsp:val=&quot;00BF12F6&quot;/&gt;&lt;wsp:rsid wsp:val=&quot;00C00765&quot;/&gt;&lt;wsp:rsid wsp:val=&quot;00C10464&quot;/&gt;&lt;wsp:rsid wsp:val=&quot;00C119C2&quot;/&gt;&lt;wsp:rsid wsp:val=&quot;00C21B54&quot;/&gt;&lt;wsp:rsid wsp:val=&quot;00C40967&quot;/&gt;&lt;wsp:rsid wsp:val=&quot;00C42C64&quot;/&gt;&lt;wsp:rsid wsp:val=&quot;00C600E2&quot;/&gt;&lt;wsp:rsid wsp:val=&quot;00C63D43&quot;/&gt;&lt;wsp:rsid wsp:val=&quot;00C74134&quot;/&gt;&lt;wsp:rsid wsp:val=&quot;00C823B1&quot;/&gt;&lt;wsp:rsid wsp:val=&quot;00CA271E&quot;/&gt;&lt;wsp:rsid wsp:val=&quot;00CB1488&quot;/&gt;&lt;wsp:rsid wsp:val=&quot;00CB7414&quot;/&gt;&lt;wsp:rsid wsp:val=&quot;00CE19C1&quot;/&gt;&lt;wsp:rsid wsp:val=&quot;00D01CFE&quot;/&gt;&lt;wsp:rsid wsp:val=&quot;00D07C4B&quot;/&gt;&lt;wsp:rsid wsp:val=&quot;00D225D8&quot;/&gt;&lt;wsp:rsid wsp:val=&quot;00D33A2E&quot;/&gt;&lt;wsp:rsid wsp:val=&quot;00D41862&quot;/&gt;&lt;wsp:rsid wsp:val=&quot;00D511A1&quot;/&gt;&lt;wsp:rsid wsp:val=&quot;00D872BF&quot;/&gt;&lt;wsp:rsid wsp:val=&quot;00DB1DC7&quot;/&gt;&lt;wsp:rsid wsp:val=&quot;00DE01F6&quot;/&gt;&lt;wsp:rsid wsp:val=&quot;00DE2998&quot;/&gt;&lt;wsp:rsid wsp:val=&quot;00DE4223&quot;/&gt;&lt;wsp:rsid wsp:val=&quot;00DE6B60&quot;/&gt;&lt;wsp:rsid wsp:val=&quot;00E06D10&quot;/&gt;&lt;wsp:rsid wsp:val=&quot;00E20458&quot;/&gt;&lt;wsp:rsid wsp:val=&quot;00E56487&quot;/&gt;&lt;wsp:rsid wsp:val=&quot;00E853F3&quot;/&gt;&lt;wsp:rsid wsp:val=&quot;00EC2491&quot;/&gt;&lt;wsp:rsid wsp:val=&quot;00ED2C42&quot;/&gt;&lt;wsp:rsid wsp:val=&quot;00EF3B2B&quot;/&gt;&lt;wsp:rsid wsp:val=&quot;00F00EE9&quot;/&gt;&lt;wsp:rsid wsp:val=&quot;00F379DD&quot;/&gt;&lt;wsp:rsid wsp:val=&quot;00F47244&quot;/&gt;&lt;wsp:rsid wsp:val=&quot;00F511A7&quot;/&gt;&lt;wsp:rsid wsp:val=&quot;00F660F9&quot;/&gt;&lt;wsp:rsid wsp:val=&quot;00FA5F45&quot;/&gt;&lt;wsp:rsid wsp:val=&quot;00FA7522&quot;/&gt;&lt;wsp:rsid wsp:val=&quot;00FC2C59&quot;/&gt;&lt;wsp:rsid wsp:val=&quot;00FD178C&quot;/&gt;&lt;/wsp:rsids&gt;&lt;/w:docPr&gt;&lt;w:body&gt;&lt;wx:sect&gt;&lt;w:p wsp:rsidR=&quot;00000000&quot; wsp:rsidRPr=&quot;00DB1DC7&quot; wsp:rsidRDefault=&quot;00DB1DC7&quot; wsp:rsidP=&quot;00DB1DC7&quot;&gt;&lt;m:oMathPara&gt;&lt;m:oMath&gt;&lt;m:sSub&gt;&lt;m:sSubPr&gt;&lt;m:ctrlPr&gt;&lt;w:rPr&gt;&lt;w:rFonts w:ascii=&quot;Cambria Math&quot; w:h-ansi=&quot;Cambria Math&quot; w:cs=&quot;Calibri&quot;/&gt;&lt;wx:font wx:val=&quot;Cambria Math&quot;/&gt;&lt;w:i/&gt;&lt;/w:rPr&gt;&lt;/m:ctrlPr&gt;&lt;/m:sSubPr&gt;&lt;m:e&gt;&lt;m:r&gt;&lt;w:rPr&gt;&lt;w:rFonts w:ascii=&quot;Cambria Math&quot; w:h-ansi=&quot;Cambria Math&quot; w:cs=&quot;Calibri&quot;/&gt;&lt;wx:font wx:val=&quot;Cambria Math&quot;/&gt;&lt;w:i/&gt;&lt;/w:rPr&gt;&lt;m:t&gt;CH&lt;/m:t&gt;&lt;/m:r&gt;&lt;/m:e&gt;&lt;m:sub&gt;&lt;m:r&gt;&lt;w:rPr&gt;&lt;w:rFonts w:ascii=&quot;Cambria Math&quot; w:h-ansi=&quot;Cambria Math&quot; w:cs=&quot;Calibri&quot;/&gt;&lt;wx:font wx:val=&quot;Cambria Math&quot;/&gt;&lt;w:i/&gt;&lt;/w:rPr&gt;&lt;m:t&gt;4-enteric&lt;/m:t&gt;&lt;/m:r&gt;&lt;/m:sub&gt;&lt;/m:sSub&gt;&lt;m:r&gt;&lt;w:rPr&gt;&lt;w:rFonts w:ascii=&quot;Cambria Math&quot; w:h-ansi=&quot;Cambria Math&quot; w:cs=&quot;Calibri&quot;/&gt;&lt;wx:font wx:val=&quot;Cambria Math&quot;/&gt;&lt;w:i/&gt;&lt;/w:rPr&gt;&lt;m:t&gt;= &lt;/m:t&gt;&lt;/m:r&gt;&lt;m:nary&gt;&lt;m:naryPr&gt;&lt;m:chr m:val=&quot;âˆ‘&quot;/&gt;&lt;m:limLoc m:val=&quot;undOvr&quot;/&gt;&lt;m:supHide m:val=&quot;1&quot;/&gt;&lt;m:ctrlPr&gt;&lt;w:rPr&gt;&lt;w:rFonts w:ascii=&quot;Cambria Math&quot; w:h-ansi=&quot;Cambria Math&quot; w:cs=&quot;Calibri&quot;/&gt;&lt;wx:font wx:val=&quot;Cambria Math&quot;/&gt;&lt;w:i/&gt;&lt;/w:rPr&gt;&lt;/m:ctrlPr&gt;&lt;/m:naryPr&gt;&lt;m:sub&gt;&lt;m:r&gt;&lt;w:rPr&gt;&lt;w:rFonts w:ascii=&quot;Cambria Math&quot; w:h-ansi=&quot;Cambria Math&quot; w:cs=&quot;Calibri&quot;/&gt;&lt;wx:font wx:val=&quot;Cambria Math&quot;/&gt;&lt;w:i/&gt;&lt;/w:rPr&gt;&lt;m:t&gt;class &lt;/m:t&gt;&lt;/m:r&gt;&lt;/m:sub&gt;&lt;m:sup/&gt;&lt;m:e&gt;&lt;m:nary&gt;&lt;m:naryPr&gt;&lt;m:chr m:val=&quot;âˆ‘&quot;/&gt;&lt;m:limLoc m:val=&quot;undOvr&quot;/&gt;&lt;m:supHide m:val=&quot;1&quot;/&gt;&lt;m:ctrlPr&gt;&lt;w:rPr&gt;&lt;w:rFonts w:ascii=&quot;Cambria Math&quot; w:h-ansi=&quot;Cambria Math&quot; w:cs=&quot;Calibri&quot;/&gt;&lt;wx:font wx:val=&quot;Cambria Math&quot;/&gt;&lt;w:i/&gt;&lt;/w:rPr&gt;&lt;/m:ctrlPr&gt;&lt;/m:naryPr&gt;&lt;m:sub&gt;&lt;m:r&gt;&lt;w:rPr&gt;&lt;w:rFonts w:ascii=&quot;Cambria Math&quot; w:h-ansi=&quot;Cambria Math&quot; w:cs=&quot;Calibri&quot;/&gt;&lt;wx:font wx:val=&quot;Cambria Math&quot;/&gt;&lt;w:i/&gt;&lt;/w:rPr&gt;&lt;m:t&gt;month&lt;/m:t&gt;&lt;/m:r&gt;&lt;/m:sub&gt;&lt;m:sup/&gt;&lt;m:e&gt;&lt;m:sSub&gt;&lt;m:sSubPr&gt;&lt;m:ctrlPr&gt;&lt;w:rPr&gt;&lt;w:rFonts w:ascii=&quot;Cambria Math&quot; w:h-ansi=&quot;Cambria Math&quot; w:cs=&quot;Calibri&quot;/&gt;&lt;wx:font wx:val=&quot;Cambria Math&quot;/&gt;&lt;w:i/&gt;&lt;/w:rPr&gt;&lt;/m:ctrlPr&gt;&lt;/m:sSubPr&gt;&lt;m:e&gt;&lt;m:r&gt;&lt;w:rPr&gt;&lt;w:rFonts w:ascii=&quot;Cambria Math&quot; w:h-ansi=&quot;Cambria Math&quot; w:cs=&quot;Calibri&quot;/&gt;&lt;wx:font wx:val=&quot;Cambria Math&quot;/&gt;&lt;w:i/&gt;&lt;/w:rPr&gt;&lt;m:t&gt;d&lt;/m:t&gt;&lt;/m:r&gt;&lt;/m:e&gt;&lt;m:sub&gt;&lt;m:r&gt;&lt;w:rPr&gt;&lt;w:rFonts w:ascii=&quot;Cambria Math&quot; w:h-ansi=&quot;Cambria Math&quot; w:cs=&quot;Calibri&quot;/&gt;&lt;wx:font wx:val=&quot;Cambria Math&quot;/&gt;&lt;w:i/&gt;&lt;/w:rPr&gt;&lt;m:t&gt;m&lt;/m:t&gt;&lt;/m:r&gt;&lt;/m:sub&gt;&lt;/m:sSub&gt;&lt;/m:e&gt;&lt;/m:nary&gt;&lt;m:sSub&gt;&lt;m:sSubPr&gt;&lt;m:ctrlPr&gt;&lt;w:rPr&gt;&lt;w:rFonts w:ascii=&quot;Cambria Math&quot; w:h-ansi=&quot;Cambria Math&quot; w:cs=&quot;Calibri&quot;/&gt;&lt;wx:font wx:val=&quot;Cambria Math&quot;/&gt;&lt;w:i/&gt;&lt;/w:rPr&gt;&lt;/m:ctrlPr&gt;&lt;/m:sSubPr&gt;&lt;m:e&gt;&lt;m:r&gt;&lt;w:rPr&gt;&lt;w:rFonts w:ascii=&quot;Cambria Math&quot; w:h-ansi=&quot;Cambria Math&quot; w:cs=&quot;Calibri&quot;/&gt;&lt;wx:font wx:val=&quot;Cambria Math&quot;/&gt;&lt;w:i/&gt;&lt;/w:rPr&gt;&lt;m:t&gt;Lamb&lt;/m:t&gt;&lt;/m:r&gt;&lt;/m:e&gt;&lt;m:sub&gt;&lt;m:r&gt;&lt;w:rPr&gt;&lt;w:rFonts w:ascii=&quot;Cambria Math&quot; w:h-ansi=&quot;Cambria Math&quot; w:cs=&quot;Calibri&quot;/&gt;&lt;wx:font wx:val=&quot;Cambria Math&quot;/&gt;&lt;w:i/&gt;&lt;/w:rPr&gt;&lt;m:t&gt;cm&lt;/m:t&gt;&lt;/m:r&gt;&lt;/m:sub&gt;&lt;/m:sSub&gt;&lt;m:f&gt;&lt;m:fPr&gt;&lt;m:ctrlPr&gt;&lt;w:rPr&gt;&lt;w:rFonts w:ascii=&quot;Cambria Math&quot; w:h-ansi=&quot;Cambria Math&quot; w:cs=&quot;Calibri&quot;/&gt;&lt;wx:font wx:val=&quot;Cambria Math&quot;/&gt;&lt;w:i/&gt;&lt;/w:rPr&gt;&lt;/m:ctrlPr&gt;&lt;/m:fPr&gt;&lt;m:num&gt;&lt;m:r&gt;&lt;w:rPr&gt;&lt;w:rFonts w:ascii=&quot;Cambria Math&quot; w:h-ansi=&quot;Cambria Math&quot; w:cs=&quot;Calibri&quot;/&gt;&lt;wx:font wx:val=&quot;Cambria Math&quot;/&gt;&lt;w:i/&gt;&lt;/w:rPr&gt;&lt;m:t&gt;11.705&lt;/m:t&gt;&lt;/m:r&gt;&lt;/m:num&gt;&lt;m:den&gt;&lt;m:r&gt;&lt;w:rPr&gt;&lt;w:rFonts w:ascii=&quot;Cambria Math&quot; w:h-ansi=&quot;Cambria Math&quot; w:cs=&quot;Calibri&quot;/&gt;&lt;wx:font wx:val=&quot;Cambria Math&quot;/&gt;&lt;w:i/&gt;&lt;/w:rPr&gt;&lt;m:t&gt;1000&lt;/m:t&gt;&lt;/m:r&gt;&lt;/m:den&gt;&lt;/m:f&gt;&lt;/m:e&gt;&lt;/m:nary&gt;&lt;m:sSup&gt;&lt;m:sSupPr&gt;&lt;m:ctrlPr&gt;&lt;w:rPr&gt;&lt;w:rFonts w:ascii=&quot;Cambria Math&quot; w:h-ansi=&quot;Cambria Math&quot; w:cs=&quot;Calibri&quot;/&gt;&lt;wx:font wx:val=&quot;Cambria Math&quot;/&gt;&lt;w:i/&gt;&lt;/w:rPr&gt;&lt;/m:ctrlPr&gt;&lt;/m:sSupPr&gt;&lt;m:e&gt;&lt;m:sSup&gt;&lt;m:sSupPr&gt;&lt;m:ctrlPr&gt;&lt;w:rPr&gt;&lt;w:rFonts w:ascii=&quot;Cambria Math&quot; w:h-ansi=&quot;Cambria Math&quot; w:cs=&quot;Calibri&quot;/&gt;&lt;wx:font wx:val=&quot;Cambria Math&quot;/&gt;&lt;w:i/&gt;&lt;/w:rPr&gt;&lt;/m:ctrlPr&gt;&lt;/m:sSupPr&gt;&lt;m:e&gt;&lt;m:r&gt;&lt;w:rPr&gt;&lt;w:rFonts w:ascii=&quot;Cambria Math&quot; w:h-ansi=&quot;Cambria Math&quot; w:cs=&quot;Calibri&quot;/&gt;&lt;wx:font wx:val=&quot;Cambria Math&quot;/&gt;&lt;w:i/&gt;&lt;/w:rPr&gt;&lt;m:t&gt;e&lt;/m:t&gt;&lt;/m:r&gt;&lt;/m:e&gt;&lt;m:sup&gt;&lt;m:r&gt;&lt;w:rPr&gt;&lt;w:rFonts w:ascii=&quot;Cambria Math&quot; w:h-ansi=&quot;Cambria Math&quot; w:cs=&quot;Calibri&quot;/&gt;&lt;wx:font wx:val=&quot;Cambria Math&quot;/&gt;&lt;w:i/&gt;&lt;/w:rPr&gt;&lt;m:t&gt;0.05Ã—ME&lt;/m:t&gt;&lt;/m:r&gt;&lt;/m:sup&gt;&lt;/m:sSup&gt;&lt;m:r&gt;&lt;w:rPr&gt;&lt;w:rFonts w:ascii=&quot;Cambria Math&quot; w:h-ansi=&quot;Cambria Math&quot; w:cs=&quot;Calibri&quot;/&gt;&lt;wx:font wx:val=&quot;Cambria Math&quot;/&gt;&lt;w:i/&gt;&lt;/w:rPr&gt;&lt;m:t&gt;DMI&lt;/m:t&gt;&lt;/m:r&gt;&lt;/m:e&gt;&lt;m:sup&gt;&lt;m:r&gt;&lt;w:rPr&gt;&lt;w:rFonts w:ascii=&quot;Cambria Math&quot; w:h-ansi=&quot;Cambria Math&quot; w:cs=&quot;Calibri&quot;/&gt;&lt;wx:font wx:val=&quot;Cambria Math&quot;/&gt;&lt;w:i/&gt;&lt;/w:rPr&gt;&lt;m:t&gt;0.734&lt;/m:t&gt;&lt;/m:r&gt;&lt;/m:sup&gt;&lt;/m:sSup&gt;&lt;/m:oMath&gt;&lt;/m:oMathPara&gt;&lt;/w:p&gt;&lt;w:sectPr wsp:rsidR=&quot;00000000&quot; wsp:rsidRPr=&quot;00DB1DC7&quot;&gt;&lt;w:pgSz w:w=&quot;12240&quot; w:h=&quot;15840&quot;/&gt;&lt;w:pgMar w:top=&quot;1440&quot; w:right=&quot;1440&quot; w:bottom=&quot;1440&quot; w:left=&quot;1440&quot; w:header=&quot;720&quot; w:footer=&quot;720&quot; w:gutter=&quot;0&quot;/&gt;&lt;w:cols w:space=&quot;720&quot;/&gt;&lt;/w:sectPr&gt;&lt;/wx:sect&gt;&lt;/w:body&gt;&lt;/w:wordDocument&gt;">
            <v:imagedata r:id="rId130" o:title="" chromakey="white"/>
          </v:shape>
        </w:pict>
      </w:r>
    </w:p>
    <w:p w14:paraId="78D482E9" w14:textId="77777777" w:rsidR="00F02481" w:rsidRPr="00BE78CA" w:rsidRDefault="00F02481" w:rsidP="00C26084">
      <w:pPr>
        <w:pStyle w:val="BodyText"/>
        <w:spacing w:before="160" w:after="0"/>
        <w:rPr>
          <w:rFonts w:cs="Calibri"/>
        </w:rPr>
      </w:pPr>
      <w:r w:rsidRPr="00BE78CA">
        <w:rPr>
          <w:rFonts w:cs="Calibri"/>
        </w:rPr>
        <w:t>The equation</w:t>
      </w:r>
      <w:r w:rsidRPr="00BE78CA">
        <w:rPr>
          <w:rStyle w:val="FootnoteReference"/>
          <w:rFonts w:cs="Calibri"/>
        </w:rPr>
        <w:footnoteReference w:id="42"/>
      </w:r>
      <w:r w:rsidRPr="00BE78CA">
        <w:rPr>
          <w:rFonts w:cs="Calibri"/>
        </w:rPr>
        <w:t xml:space="preserve"> for the total production of enteric CH</w:t>
      </w:r>
      <w:r w:rsidRPr="00BE78CA">
        <w:rPr>
          <w:rFonts w:cs="Calibri"/>
          <w:vertAlign w:val="subscript"/>
        </w:rPr>
        <w:t>4</w:t>
      </w:r>
      <w:r w:rsidRPr="00BE78CA">
        <w:rPr>
          <w:rFonts w:cs="Calibri"/>
        </w:rPr>
        <w:t xml:space="preserve"> for sheep greater than one year of age is:</w:t>
      </w:r>
    </w:p>
    <w:p w14:paraId="0BAF20E1" w14:textId="77777777" w:rsidR="00F02481" w:rsidRPr="00BE78CA" w:rsidRDefault="00087879" w:rsidP="00C26084">
      <w:pPr>
        <w:pStyle w:val="BodyText"/>
        <w:spacing w:before="0"/>
        <w:jc w:val="center"/>
        <w:rPr>
          <w:rFonts w:cs="Calibri"/>
        </w:rPr>
      </w:pPr>
      <w:r>
        <w:pict w14:anchorId="47FA183F">
          <v:shape id="_x0000_i1047" type="#_x0000_t75" style="width:236.4pt;height:28.55pt"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16sdtdh=&quot;http://schemas.microsoft.com/office/word/2020/wordml/sdtdatahash&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doNotEmbedSystemFonts/&gt;&lt;w:activeWritingStyle w:lang=&quot;EN-NZ&quot; w:vendorID=&quot;64&quot; w:dllVersion=&quot;6&quot; w:nlCheck=&quot;on&quot; w:optionSet=&quot;1&quot;/&gt;&lt;w:stylePaneFormatFilter w:val=&quot;5804&quot;/&gt;&lt;w:defaultTabStop w:val=&quot;397&quot;/&gt;&lt;w:evenAndOddHeaders/&gt;&lt;w:drawingGridHorizontalSpacing w:val=&quot;187&quot;/&gt;&lt;w:displayVerticalDrawingGridEvery w:val=&quot;2&quot;/&gt;&lt;w:characterSpacingControl w:val=&quot;DontCompress&quot;/&gt;&lt;w:optimizeForBrowser/&gt;&lt;w:validateAgainstSchema/&gt;&lt;w:saveInvalidXML w:val=&quot;off&quot;/&gt;&lt;w:ignoreMixedContent w:val=&quot;off&quot;/&gt;&lt;w:alwaysShowPlaceholderText w:val=&quot;off&quot;/&gt;&lt;w:compat&gt;&lt;w:suppressBottomSpacing/&gt;&lt;w:suppressTopSpacing/&gt;&lt;w:doNotUseHTMLParagraphAutoSpacing/&gt;&lt;w:breakWrappedTables/&gt;&lt;w:snapToGridInCell/&gt;&lt;w:wrapTextWithPunct/&gt;&lt;w:useAsianBreakRules/&gt;&lt;w:useWord2002TableStyleRules/&gt;&lt;/w:compat&gt;&lt;wsp:rsids&gt;&lt;wsp:rsidRoot wsp:val=&quot;001F1707&quot;/&gt;&lt;wsp:rsid wsp:val=&quot;00001716&quot;/&gt;&lt;wsp:rsid wsp:val=&quot;00007ABB&quot;/&gt;&lt;wsp:rsid wsp:val=&quot;00021ACF&quot;/&gt;&lt;wsp:rsid wsp:val=&quot;00027E55&quot;/&gt;&lt;wsp:rsid wsp:val=&quot;00032A28&quot;/&gt;&lt;wsp:rsid wsp:val=&quot;00035185&quot;/&gt;&lt;wsp:rsid wsp:val=&quot;00050008&quot;/&gt;&lt;wsp:rsid wsp:val=&quot;000576EC&quot;/&gt;&lt;wsp:rsid wsp:val=&quot;000959CB&quot;/&gt;&lt;wsp:rsid wsp:val=&quot;000C20A6&quot;/&gt;&lt;wsp:rsid wsp:val=&quot;000F4DEF&quot;/&gt;&lt;wsp:rsid wsp:val=&quot;00116E1B&quot;/&gt;&lt;wsp:rsid wsp:val=&quot;001221C3&quot;/&gt;&lt;wsp:rsid wsp:val=&quot;00153F5A&quot;/&gt;&lt;wsp:rsid wsp:val=&quot;001970E1&quot;/&gt;&lt;wsp:rsid wsp:val=&quot;001A1997&quot;/&gt;&lt;wsp:rsid wsp:val=&quot;001B6FD2&quot;/&gt;&lt;wsp:rsid wsp:val=&quot;001F1707&quot;/&gt;&lt;wsp:rsid wsp:val=&quot;00207ABF&quot;/&gt;&lt;wsp:rsid wsp:val=&quot;00240B42&quot;/&gt;&lt;wsp:rsid wsp:val=&quot;00260B48&quot;/&gt;&lt;wsp:rsid wsp:val=&quot;0028581A&quot;/&gt;&lt;wsp:rsid wsp:val=&quot;002868D3&quot;/&gt;&lt;wsp:rsid wsp:val=&quot;00295B2A&quot;/&gt;&lt;wsp:rsid wsp:val=&quot;002A1361&quot;/&gt;&lt;wsp:rsid wsp:val=&quot;002A49D7&quot;/&gt;&lt;wsp:rsid wsp:val=&quot;002B1C5A&quot;/&gt;&lt;wsp:rsid wsp:val=&quot;002B3284&quot;/&gt;&lt;wsp:rsid wsp:val=&quot;002D60DB&quot;/&gt;&lt;wsp:rsid wsp:val=&quot;002D6A54&quot;/&gt;&lt;wsp:rsid wsp:val=&quot;002F134A&quot;/&gt;&lt;wsp:rsid wsp:val=&quot;00302D84&quot;/&gt;&lt;wsp:rsid wsp:val=&quot;00315760&quot;/&gt;&lt;wsp:rsid wsp:val=&quot;0032349D&quot;/&gt;&lt;wsp:rsid wsp:val=&quot;0037590E&quot;/&gt;&lt;wsp:rsid wsp:val=&quot;00377186&quot;/&gt;&lt;wsp:rsid wsp:val=&quot;00383207&quot;/&gt;&lt;wsp:rsid wsp:val=&quot;003972EF&quot;/&gt;&lt;wsp:rsid wsp:val=&quot;00397D2B&quot;/&gt;&lt;wsp:rsid wsp:val=&quot;003A5006&quot;/&gt;&lt;wsp:rsid wsp:val=&quot;003C2615&quot;/&gt;&lt;wsp:rsid wsp:val=&quot;003D0318&quot;/&gt;&lt;wsp:rsid wsp:val=&quot;003D5417&quot;/&gt;&lt;wsp:rsid wsp:val=&quot;00400F92&quot;/&gt;&lt;wsp:rsid wsp:val=&quot;004044F1&quot;/&gt;&lt;wsp:rsid wsp:val=&quot;0042424B&quot;/&gt;&lt;wsp:rsid wsp:val=&quot;00430D5D&quot;/&gt;&lt;wsp:rsid wsp:val=&quot;0045652C&quot;/&gt;&lt;wsp:rsid wsp:val=&quot;00462497&quot;/&gt;&lt;wsp:rsid wsp:val=&quot;004805A3&quot;/&gt;&lt;wsp:rsid wsp:val=&quot;00490EB0&quot;/&gt;&lt;wsp:rsid wsp:val=&quot;004A618E&quot;/&gt;&lt;wsp:rsid wsp:val=&quot;004E4B2C&quot;/&gt;&lt;wsp:rsid wsp:val=&quot;004F1572&quot;/&gt;&lt;wsp:rsid wsp:val=&quot;00526270&quot;/&gt;&lt;wsp:rsid wsp:val=&quot;00534210&quot;/&gt;&lt;wsp:rsid wsp:val=&quot;00543478&quot;/&gt;&lt;wsp:rsid wsp:val=&quot;00545600&quot;/&gt;&lt;wsp:rsid wsp:val=&quot;00546A6A&quot;/&gt;&lt;wsp:rsid wsp:val=&quot;005630B0&quot;/&gt;&lt;wsp:rsid wsp:val=&quot;005660CD&quot;/&gt;&lt;wsp:rsid wsp:val=&quot;005720F2&quot;/&gt;&lt;wsp:rsid wsp:val=&quot;00596603&quot;/&gt;&lt;wsp:rsid wsp:val=&quot;005B76A4&quot;/&gt;&lt;wsp:rsid wsp:val=&quot;005C3384&quot;/&gt;&lt;wsp:rsid wsp:val=&quot;005C416E&quot;/&gt;&lt;wsp:rsid wsp:val=&quot;005D1C3A&quot;/&gt;&lt;wsp:rsid wsp:val=&quot;005E43DD&quot;/&gt;&lt;wsp:rsid wsp:val=&quot;00600179&quot;/&gt;&lt;wsp:rsid wsp:val=&quot;00603FC0&quot;/&gt;&lt;wsp:rsid wsp:val=&quot;00636BF0&quot;/&gt;&lt;wsp:rsid wsp:val=&quot;00646B6D&quot;/&gt;&lt;wsp:rsid wsp:val=&quot;00655908&quot;/&gt;&lt;wsp:rsid wsp:val=&quot;006654F8&quot;/&gt;&lt;wsp:rsid wsp:val=&quot;00665768&quot;/&gt;&lt;wsp:rsid wsp:val=&quot;00667291&quot;/&gt;&lt;wsp:rsid wsp:val=&quot;00686249&quot;/&gt;&lt;wsp:rsid wsp:val=&quot;00687504&quot;/&gt;&lt;wsp:rsid wsp:val=&quot;006A171F&quot;/&gt;&lt;wsp:rsid wsp:val=&quot;006A4E5F&quot;/&gt;&lt;wsp:rsid wsp:val=&quot;006D3FAE&quot;/&gt;&lt;wsp:rsid wsp:val=&quot;006D4600&quot;/&gt;&lt;wsp:rsid wsp:val=&quot;006E0A2C&quot;/&gt;&lt;wsp:rsid wsp:val=&quot;006E202B&quot;/&gt;&lt;wsp:rsid wsp:val=&quot;006E57B5&quot;/&gt;&lt;wsp:rsid wsp:val=&quot;00702FA0&quot;/&gt;&lt;wsp:rsid wsp:val=&quot;00715D39&quot;/&gt;&lt;wsp:rsid wsp:val=&quot;00724218&quot;/&gt;&lt;wsp:rsid wsp:val=&quot;00737E65&quot;/&gt;&lt;wsp:rsid wsp:val=&quot;0074030A&quot;/&gt;&lt;wsp:rsid wsp:val=&quot;007409A3&quot;/&gt;&lt;wsp:rsid wsp:val=&quot;00762043&quot;/&gt;&lt;wsp:rsid wsp:val=&quot;007633C2&quot;/&gt;&lt;wsp:rsid wsp:val=&quot;00765A47&quot;/&gt;&lt;wsp:rsid wsp:val=&quot;00770E82&quot;/&gt;&lt;wsp:rsid wsp:val=&quot;00772E94&quot;/&gt;&lt;wsp:rsid wsp:val=&quot;007B028B&quot;/&gt;&lt;wsp:rsid wsp:val=&quot;007B1D71&quot;/&gt;&lt;wsp:rsid wsp:val=&quot;007C00D0&quot;/&gt;&lt;wsp:rsid wsp:val=&quot;007C2186&quot;/&gt;&lt;wsp:rsid wsp:val=&quot;007F2233&quot;/&gt;&lt;wsp:rsid wsp:val=&quot;0080694B&quot;/&gt;&lt;wsp:rsid wsp:val=&quot;0081779C&quot;/&gt;&lt;wsp:rsid wsp:val=&quot;00831D0D&quot;/&gt;&lt;wsp:rsid wsp:val=&quot;00832DEE&quot;/&gt;&lt;wsp:rsid wsp:val=&quot;00854B9D&quot;/&gt;&lt;wsp:rsid wsp:val=&quot;00855A8A&quot;/&gt;&lt;wsp:rsid wsp:val=&quot;00872795&quot;/&gt;&lt;wsp:rsid wsp:val=&quot;008A2EC5&quot;/&gt;&lt;wsp:rsid wsp:val=&quot;008B77F5&quot;/&gt;&lt;wsp:rsid wsp:val=&quot;008C0279&quot;/&gt;&lt;wsp:rsid wsp:val=&quot;008C7F68&quot;/&gt;&lt;wsp:rsid wsp:val=&quot;008E380C&quot;/&gt;&lt;wsp:rsid wsp:val=&quot;008F25D2&quot;/&gt;&lt;wsp:rsid wsp:val=&quot;008F50EC&quot;/&gt;&lt;wsp:rsid wsp:val=&quot;00914CC6&quot;/&gt;&lt;wsp:rsid wsp:val=&quot;0092751F&quot;/&gt;&lt;wsp:rsid wsp:val=&quot;00932067&quot;/&gt;&lt;wsp:rsid wsp:val=&quot;0093594A&quot;/&gt;&lt;wsp:rsid wsp:val=&quot;00955D73&quot;/&gt;&lt;wsp:rsid wsp:val=&quot;0096512C&quot;/&gt;&lt;wsp:rsid wsp:val=&quot;0096540A&quot;/&gt;&lt;wsp:rsid wsp:val=&quot;009C5D2A&quot;/&gt;&lt;wsp:rsid wsp:val=&quot;00A06700&quot;/&gt;&lt;wsp:rsid wsp:val=&quot;00A331E7&quot;/&gt;&lt;wsp:rsid wsp:val=&quot;00A34169&quot;/&gt;&lt;wsp:rsid wsp:val=&quot;00A41C3C&quot;/&gt;&lt;wsp:rsid wsp:val=&quot;00AB2710&quot;/&gt;&lt;wsp:rsid wsp:val=&quot;00AD184B&quot;/&gt;&lt;wsp:rsid wsp:val=&quot;00B0566D&quot;/&gt;&lt;wsp:rsid wsp:val=&quot;00B35BD9&quot;/&gt;&lt;wsp:rsid wsp:val=&quot;00B37DE8&quot;/&gt;&lt;wsp:rsid wsp:val=&quot;00B44BA5&quot;/&gt;&lt;wsp:rsid wsp:val=&quot;00B928E7&quot;/&gt;&lt;wsp:rsid wsp:val=&quot;00BA5F7E&quot;/&gt;&lt;wsp:rsid wsp:val=&quot;00BC7E76&quot;/&gt;&lt;wsp:rsid wsp:val=&quot;00BF12F6&quot;/&gt;&lt;wsp:rsid wsp:val=&quot;00C00765&quot;/&gt;&lt;wsp:rsid wsp:val=&quot;00C10464&quot;/&gt;&lt;wsp:rsid wsp:val=&quot;00C119C2&quot;/&gt;&lt;wsp:rsid wsp:val=&quot;00C21B54&quot;/&gt;&lt;wsp:rsid wsp:val=&quot;00C34276&quot;/&gt;&lt;wsp:rsid wsp:val=&quot;00C40967&quot;/&gt;&lt;wsp:rsid wsp:val=&quot;00C42C64&quot;/&gt;&lt;wsp:rsid wsp:val=&quot;00C600E2&quot;/&gt;&lt;wsp:rsid wsp:val=&quot;00C63D43&quot;/&gt;&lt;wsp:rsid wsp:val=&quot;00C74134&quot;/&gt;&lt;wsp:rsid wsp:val=&quot;00C823B1&quot;/&gt;&lt;wsp:rsid wsp:val=&quot;00CA271E&quot;/&gt;&lt;wsp:rsid wsp:val=&quot;00CB1488&quot;/&gt;&lt;wsp:rsid wsp:val=&quot;00CB7414&quot;/&gt;&lt;wsp:rsid wsp:val=&quot;00CE19C1&quot;/&gt;&lt;wsp:rsid wsp:val=&quot;00D01CFE&quot;/&gt;&lt;wsp:rsid wsp:val=&quot;00D07C4B&quot;/&gt;&lt;wsp:rsid wsp:val=&quot;00D225D8&quot;/&gt;&lt;wsp:rsid wsp:val=&quot;00D33A2E&quot;/&gt;&lt;wsp:rsid wsp:val=&quot;00D41862&quot;/&gt;&lt;wsp:rsid wsp:val=&quot;00D511A1&quot;/&gt;&lt;wsp:rsid wsp:val=&quot;00D872BF&quot;/&gt;&lt;wsp:rsid wsp:val=&quot;00DE01F6&quot;/&gt;&lt;wsp:rsid wsp:val=&quot;00DE2998&quot;/&gt;&lt;wsp:rsid wsp:val=&quot;00DE4223&quot;/&gt;&lt;wsp:rsid wsp:val=&quot;00DE6B60&quot;/&gt;&lt;wsp:rsid wsp:val=&quot;00E06D10&quot;/&gt;&lt;wsp:rsid wsp:val=&quot;00E20458&quot;/&gt;&lt;wsp:rsid wsp:val=&quot;00E56487&quot;/&gt;&lt;wsp:rsid wsp:val=&quot;00E853F3&quot;/&gt;&lt;wsp:rsid wsp:val=&quot;00EC2491&quot;/&gt;&lt;wsp:rsid wsp:val=&quot;00ED2C42&quot;/&gt;&lt;wsp:rsid wsp:val=&quot;00EF3B2B&quot;/&gt;&lt;wsp:rsid wsp:val=&quot;00F00EE9&quot;/&gt;&lt;wsp:rsid wsp:val=&quot;00F379DD&quot;/&gt;&lt;wsp:rsid wsp:val=&quot;00F47244&quot;/&gt;&lt;wsp:rsid wsp:val=&quot;00F511A7&quot;/&gt;&lt;wsp:rsid wsp:val=&quot;00F660F9&quot;/&gt;&lt;wsp:rsid wsp:val=&quot;00FA5F45&quot;/&gt;&lt;wsp:rsid wsp:val=&quot;00FA7522&quot;/&gt;&lt;wsp:rsid wsp:val=&quot;00FC2C59&quot;/&gt;&lt;wsp:rsid wsp:val=&quot;00FD178C&quot;/&gt;&lt;/wsp:rsids&gt;&lt;/w:docPr&gt;&lt;w:body&gt;&lt;wx:sect&gt;&lt;w:p wsp:rsidR=&quot;00000000&quot; wsp:rsidRPr=&quot;00C34276&quot; wsp:rsidRDefault=&quot;00C34276&quot; wsp:rsidP=&quot;00C34276&quot;&gt;&lt;m:oMathPara&gt;&lt;m:oMath&gt;&lt;m:sSub&gt;&lt;m:sSubPr&gt;&lt;m:ctrlPr&gt;&lt;w:rPr&gt;&lt;w:rFonts w:ascii=&quot;Cambria Math&quot; w:h-ansi=&quot;Cambria Math&quot; w:cs=&quot;Calibri&quot;/&gt;&lt;wx:font wx:val=&quot;Cambria Math&quot;/&gt;&lt;w:i/&gt;&lt;/w:rPr&gt;&lt;/m:ctrlPr&gt;&lt;/m:sSubPr&gt;&lt;m:e&gt;&lt;m:r&gt;&lt;w:rPr&gt;&lt;w:rFonts w:ascii=&quot;Cambria Math&quot; w:h-ansi=&quot;Cambria Math&quot; w:cs=&quot;Calibri&quot;/&gt;&lt;wx:font wx:val=&quot;Cambria Math&quot;/&gt;&lt;w:i/&gt;&lt;/w:rPr&gt;&lt;m:t&gt;CH&lt;/m:t&gt;&lt;/m:r&gt;&lt;/m:e&gt;&lt;m:sub&gt;&lt;m:r&gt;&lt;w:rPr&gt;&lt;w:rFonts w:ascii=&quot;Cambria Math&quot; w:h-ansi=&quot;Cambria Math&quot; w:cs=&quot;Calibri&quot;/&gt;&lt;wx:font wx:val=&quot;Cambria Math&quot;/&gt;&lt;w:i/&gt;&lt;/w:rPr&gt;&lt;m:t&gt;4-enteric&lt;/m:t&gt;&lt;/m:r&gt;&lt;/m:sub&gt;&lt;/m:sSub&gt;&lt;m:r&gt;&lt;w:rPr&gt;&lt;w:rFonts w:ascii=&quot;Cambria Math&quot; w:h-ansi=&quot;Cambria Math&quot; w:cs=&quot;Calibri&quot;/&gt;&lt;wx:font wx:val=&quot;Cambria Math&quot;/&gt;&lt;w:i/&gt;&lt;/w:rPr&gt;&lt;m:t&gt;= &lt;/m:t&gt;&lt;/m:r&gt;&lt;m:nary&gt;&lt;m:naryPr&gt;&lt;m:chr m:val=&quot;âˆ‘&quot;/&gt;&lt;m:limLoc m:val=&quot;undOvr&quot;/&gt;&lt;m:supHide m:val=&quot;1&quot;/&gt;&lt;m:ctrlPr&gt;&lt;w:rPr&gt;&lt;w:rFonts w:ascii=&quot;Cambria Math&quot; w:h-ansi=&quot;Cambria Math&quot; w:cs=&quot;Calibri&quot;/&gt;&lt;wx:font wx:val=&quot;Cambria Math&quot;/&gt;&lt;w:i/&gt;&lt;/w:rPr&gt;&lt;/m:ctrlPr&gt;&lt;/m:naryPr&gt;&lt;m:sub&gt;&lt;m:r&gt;&lt;w:rPr&gt;&lt;w:rFonts w:ascii=&quot;Cambria Math&quot; w:h-ansi=&quot;Cambria Math&quot; w:cs=&quot;Calibri&quot;/&gt;&lt;wx:font wx:val=&quot;Cambria Math&quot;/&gt;&lt;w:i/&gt;&lt;/w:rPr&gt;&lt;m:t&gt;class &lt;/m:t&gt;&lt;/m:r&gt;&lt;/m:sub&gt;&lt;m:sup/&gt;&lt;m:e&gt;&lt;m:nary&gt;&lt;m:naryPr&gt;&lt;m:chr m:val=&quot;âˆ‘&quot;/&gt;&lt;m:limLoc m:val=&quot;undOvr&quot;/&gt;&lt;m:supHide m:val=&quot;1&quot;/&gt;&lt;m:ctrlPr&gt;&lt;w:rPr&gt;&lt;w:rFonts w:ascii=&quot;Cambria Math&quot; w:h-ansi=&quot;Cambria Math&quot; w:cs=&quot;Calibri&quot;/&gt;&lt;wx:font wx:val=&quot;Cambria Math&quot;/&gt;&lt;w:i/&gt;&lt;/w:rPr&gt;&lt;/m:ctrlPr&gt;&lt;/m:naryPr&gt;&lt;m:sub&gt;&lt;m:r&gt;&lt;w:rPr&gt;&lt;w:rFonts w:ascii=&quot;Cambria Math&quot; w:h-ansi=&quot;Cambria Math&quot; w:cs=&quot;Calibri&quot;/&gt;&lt;wx:font wx:val=&quot;Cambria Math&quot;/&gt;&lt;w:i/&gt;&lt;/w:rPr&gt;&lt;m:t&gt;month&lt;/m:t&gt;&lt;/m:r&gt;&lt;/m:sub&gt;&lt;m:sup/&gt;&lt;m:e&gt;&lt;m:sSub&gt;&lt;m:sSubPr&gt;&lt;m:ctrlPr&gt;&lt;w:rPr&gt;&lt;w:rFonts w:ascii=&quot;Cambria Math&quot; w:h-ansi=&quot;Cambria Math&quot; w:cs=&quot;Calibri&quot;/&gt;&lt;wx:font wx:val=&quot;Cambria Math&quot;/&gt;&lt;w:i/&gt;&lt;/w:rPr&gt;&lt;/m:ctrlPr&gt;&lt;/m:sSubPr&gt;&lt;m:e&gt;&lt;m:r&gt;&lt;w:rPr&gt;&lt;w:rFonts w:ascii=&quot;Cambria Math&quot; w:h-ansi=&quot;Cambria Math&quot; w:cs=&quot;Calibri&quot;/&gt;&lt;wx:font wx:val=&quot;Cambria Math&quot;/&gt;&lt;w:i/&gt;&lt;/w:rPr&gt;&lt;m:t&gt;d&lt;/m:t&gt;&lt;/m:r&gt;&lt;/m:e&gt;&lt;m:sub&gt;&lt;m:r&gt;&lt;w:rPr&gt;&lt;w:rFonts w:ascii=&quot;Cambria Math&quot; w:h-ansi=&quot;Cambria Math&quot; w:cs=&quot;Calibri&quot;/&gt;&lt;wx:font wx:val=&quot;Cambria Math&quot;/&gt;&lt;w:i/&gt;&lt;/w:rPr&gt;&lt;m:t&gt;m&lt;/m:t&gt;&lt;/m:r&gt;&lt;/m:sub&gt;&lt;/m:sSub&gt;&lt;/m:e&gt;&lt;/m:nary&gt;&lt;m:sSub&gt;&lt;m:sSubPr&gt;&lt;m:ctrlPr&gt;&lt;w:rPr&gt;&lt;w:rFonts w:ascii=&quot;Cambria Math&quot; w:h-ansi=&quot;Cambria Math&quot; w:cs=&quot;Calibri&quot;/&gt;&lt;wx:font wx:val=&quot;Cambria Math&quot;/&gt;&lt;w:i/&gt;&lt;/w:rPr&gt;&lt;/m:ctrlPr&gt;&lt;/m:sSubPr&gt;&lt;m:e&gt;&lt;m:r&gt;&lt;w:rPr&gt;&lt;w:rFonts w:ascii=&quot;Cambria Math&quot; w:h-ansi=&quot;Cambria Math&quot; w:cs=&quot;Calibri&quot;/&gt;&lt;wx:font wx:val=&quot;Cambria Math&quot;/&gt;&lt;w:i/&gt;&lt;/w:rPr&gt;&lt;m:t&gt;Sheep&lt;/m:t&gt;&lt;/m:r&gt;&lt;/m:e&gt;&lt;m:sub&gt;&lt;m:r&gt;&lt;w:rPr&gt;&lt;w:rFonts w:ascii=&quot;Cambria Math&quot; w:h-ansi=&quot;Cambria Math&quot; w:cs=&quot;Calibri&quot;/&gt;&lt;wx:font wx:val=&quot;Cambria Math&quot;/&gt;&lt;w:i/&gt;&lt;/w:rPr&gt;&lt;m:t&gt;cm&lt;/m:t&gt;&lt;/m:r&gt;&lt;/m:sub&gt;&lt;/m:sSub&gt;&lt;m:f&gt;&lt;m:fPr&gt;&lt;m:ctrlPr&gt;&lt;w:rPr&gt;&lt;w:rFonts w:ascii=&quot;Cambria Math&quot; w:h-ansi=&quot;Cambria Math&quot; w:cs=&quot;Calibri&quot;/&gt;&lt;wx:font wx:val=&quot;Cambria Math&quot;/&gt;&lt;w:i/&gt;&lt;/w:rPr&gt;&lt;/m:ctrlPr&gt;&lt;/m:fPr&gt;&lt;m:num&gt;&lt;m:r&gt;&lt;w:rPr&gt;&lt;w:rFonts w:ascii=&quot;Cambria Math&quot; w:h-ansi=&quot;Cambria Math&quot; w:cs=&quot;Calibri&quot;/&gt;&lt;wx:font wx:val=&quot;Cambria Math&quot;/&gt;&lt;w:i/&gt;&lt;/w:rPr&gt;&lt;m:t&gt;21.977&lt;/m:t&gt;&lt;/m:r&gt;&lt;/m:num&gt;&lt;m:den&gt;&lt;m:r&gt;&lt;w:rPr&gt;&lt;w:rFonts w:ascii=&quot;Cambria Math&quot; w:h-ansi=&quot;Cambria Math&quot; w:cs=&quot;Calibri&quot;/&gt;&lt;wx:font wx:val=&quot;Cambria Math&quot;/&gt;&lt;w:i/&gt;&lt;/w:rPr&gt;&lt;m:t&gt;1000&lt;/m:t&gt;&lt;/m:r&gt;&lt;/m:den&gt;&lt;/m:f&gt;&lt;/m:e&gt;&lt;/m:nary&gt;&lt;m:sSup&gt;&lt;m:sSupPr&gt;&lt;m:ctrlPr&gt;&lt;w:rPr&gt;&lt;w:rFonts w:ascii=&quot;Cambria Math&quot; w:h-ansi=&quot;Cambria Math&quot; w:cs=&quot;Calibri&quot;/&gt;&lt;wx:font wx:val=&quot;Cambria Math&quot;/&gt;&lt;w:i/&gt;&lt;/w:rPr&gt;&lt;/m:ctrlPr&gt;&lt;/m:sSupPr&gt;&lt;m:e&gt;&lt;m:r&gt;&lt;w:rPr&gt;&lt;w:rFonts w:ascii=&quot;Cambria Math&quot; w:h-ansi=&quot;Cambria Math&quot; w:cs=&quot;Calibri&quot;/&gt;&lt;wx:font wx:val=&quot;Cambria Math&quot;/&gt;&lt;w:i/&gt;&lt;/w:rPr&gt;&lt;m:t&gt;DMI&lt;/m:t&gt;&lt;/m:r&gt;&lt;/m:e&gt;&lt;m:sup&gt;&lt;m:r&gt;&lt;w:rPr&gt;&lt;w:rFonts w:ascii=&quot;Cambria Math&quot; w:h-ansi=&quot;Cambria Math&quot; w:cs=&quot;Calibri&quot;/&gt;&lt;wx:font wx:val=&quot;Cambria Math&quot;/&gt;&lt;w:i/&gt;&lt;/w:rPr&gt;&lt;m:t&gt;0.765&lt;/m:t&gt;&lt;/m:r&gt;&lt;/m:sup&gt;&lt;/m:sSup&gt;&lt;/m:oMath&gt;&lt;/m:oMathPara&gt;&lt;/w:p&gt;&lt;w:sectPr wsp:rsidR=&quot;00000000&quot; wsp:rsidRPr=&quot;00C34276&quot;&gt;&lt;w:pgSz w:w=&quot;12240&quot; w:h=&quot;15840&quot;/&gt;&lt;w:pgMar w:top=&quot;1440&quot; w:right=&quot;1440&quot; w:bottom=&quot;1440&quot; w:left=&quot;1440&quot; w:header=&quot;720&quot; w:footer=&quot;720&quot; w:gutter=&quot;0&quot;/&gt;&lt;w:cols w:space=&quot;720&quot;/&gt;&lt;/w:sectPr&gt;&lt;/wx:sect&gt;&lt;/w:body&gt;&lt;/w:wordDocument&gt;">
            <v:imagedata r:id="rId131" o:title="" chromakey="white"/>
          </v:shape>
        </w:pict>
      </w:r>
    </w:p>
    <w:p w14:paraId="588D1182" w14:textId="77777777" w:rsidR="00F02481" w:rsidRPr="00BE78CA" w:rsidRDefault="00F02481" w:rsidP="00C26084">
      <w:pPr>
        <w:pStyle w:val="BodyText"/>
        <w:spacing w:before="80" w:after="0"/>
        <w:ind w:left="964" w:hanging="964"/>
        <w:rPr>
          <w:rFonts w:cs="Calibri"/>
        </w:rPr>
      </w:pPr>
      <w:r w:rsidRPr="00BE78CA">
        <w:rPr>
          <w:rFonts w:cs="Calibri"/>
        </w:rPr>
        <w:t xml:space="preserve">Where: </w:t>
      </w:r>
      <w:r w:rsidRPr="00BE78CA">
        <w:rPr>
          <w:rFonts w:cs="Calibri"/>
        </w:rPr>
        <w:tab/>
        <w:t>CH</w:t>
      </w:r>
      <w:r w:rsidRPr="00BE78CA">
        <w:rPr>
          <w:rFonts w:cs="Calibri"/>
          <w:vertAlign w:val="subscript"/>
        </w:rPr>
        <w:t>4-enteric</w:t>
      </w:r>
      <w:r w:rsidRPr="00BE78CA">
        <w:rPr>
          <w:rFonts w:cs="Calibri"/>
        </w:rPr>
        <w:t xml:space="preserve"> is the total CH</w:t>
      </w:r>
      <w:r w:rsidRPr="00BE78CA">
        <w:rPr>
          <w:rFonts w:cs="Calibri"/>
          <w:vertAlign w:val="subscript"/>
        </w:rPr>
        <w:t>4</w:t>
      </w:r>
      <w:r w:rsidRPr="00BE78CA">
        <w:rPr>
          <w:rFonts w:cs="Calibri"/>
        </w:rPr>
        <w:t xml:space="preserve"> from enteric fermentation (kg CH</w:t>
      </w:r>
      <w:r w:rsidRPr="00BE78CA">
        <w:rPr>
          <w:rFonts w:cs="Calibri"/>
          <w:vertAlign w:val="subscript"/>
        </w:rPr>
        <w:t>4</w:t>
      </w:r>
      <w:r w:rsidRPr="00BE78CA">
        <w:rPr>
          <w:rFonts w:cs="Calibri"/>
        </w:rPr>
        <w:t>/year)</w:t>
      </w:r>
    </w:p>
    <w:p w14:paraId="36E583CA" w14:textId="77777777" w:rsidR="00F02481" w:rsidRPr="00BE78CA" w:rsidRDefault="00F02481" w:rsidP="00C26084">
      <w:pPr>
        <w:pStyle w:val="BodyText"/>
        <w:spacing w:before="80" w:after="0"/>
        <w:ind w:left="964"/>
        <w:rPr>
          <w:rFonts w:cs="Calibri"/>
        </w:rPr>
      </w:pPr>
      <w:r w:rsidRPr="00BE78CA">
        <w:rPr>
          <w:rFonts w:cs="Calibri"/>
        </w:rPr>
        <w:t>d</w:t>
      </w:r>
      <w:r w:rsidRPr="00BE78CA">
        <w:rPr>
          <w:rFonts w:cs="Calibri"/>
          <w:vertAlign w:val="subscript"/>
        </w:rPr>
        <w:t>m</w:t>
      </w:r>
      <w:r w:rsidRPr="00BE78CA">
        <w:rPr>
          <w:rFonts w:cs="Calibri"/>
        </w:rPr>
        <w:t xml:space="preserve"> is the number of days in month m</w:t>
      </w:r>
    </w:p>
    <w:p w14:paraId="1DFDB4E0" w14:textId="77777777" w:rsidR="00F02481" w:rsidRPr="00BE78CA" w:rsidRDefault="00F02481" w:rsidP="00C26084">
      <w:pPr>
        <w:pStyle w:val="BodyText"/>
        <w:spacing w:before="80" w:after="0"/>
        <w:ind w:left="964"/>
        <w:rPr>
          <w:rFonts w:cs="Calibri"/>
        </w:rPr>
      </w:pPr>
      <w:r w:rsidRPr="00BE78CA">
        <w:rPr>
          <w:rFonts w:cs="Calibri"/>
        </w:rPr>
        <w:t>Lamb</w:t>
      </w:r>
      <w:r w:rsidRPr="00BE78CA">
        <w:rPr>
          <w:rFonts w:cs="Calibri"/>
          <w:vertAlign w:val="subscript"/>
        </w:rPr>
        <w:t xml:space="preserve">cm </w:t>
      </w:r>
      <w:r w:rsidRPr="00BE78CA">
        <w:rPr>
          <w:rFonts w:cs="Calibri"/>
        </w:rPr>
        <w:t>is the population of sheep in class c during month m (head), less than one year of age (i.e., lambs)</w:t>
      </w:r>
    </w:p>
    <w:p w14:paraId="2910BCB5" w14:textId="77777777" w:rsidR="00F02481" w:rsidRPr="00BE78CA" w:rsidRDefault="00F02481" w:rsidP="00C26084">
      <w:pPr>
        <w:pStyle w:val="BodyText"/>
        <w:spacing w:before="80" w:after="0"/>
        <w:ind w:left="964"/>
        <w:rPr>
          <w:rFonts w:cs="Calibri"/>
        </w:rPr>
      </w:pPr>
      <w:r w:rsidRPr="00BE78CA">
        <w:rPr>
          <w:rFonts w:cs="Calibri"/>
        </w:rPr>
        <w:t>Sheep</w:t>
      </w:r>
      <w:r w:rsidRPr="00BE78CA">
        <w:rPr>
          <w:rFonts w:cs="Calibri"/>
          <w:vertAlign w:val="subscript"/>
        </w:rPr>
        <w:t xml:space="preserve">cm </w:t>
      </w:r>
      <w:r w:rsidRPr="00BE78CA">
        <w:rPr>
          <w:rFonts w:cs="Calibri"/>
        </w:rPr>
        <w:t xml:space="preserve">is the population of sheep in class c during month m (head), greater than one year of age </w:t>
      </w:r>
    </w:p>
    <w:p w14:paraId="0224429A" w14:textId="77777777" w:rsidR="00F02481" w:rsidRPr="00BE78CA" w:rsidRDefault="00F02481" w:rsidP="00C26084">
      <w:pPr>
        <w:pStyle w:val="BodyText"/>
        <w:spacing w:before="80" w:after="0"/>
        <w:ind w:left="964"/>
        <w:rPr>
          <w:rFonts w:cs="Calibri"/>
        </w:rPr>
      </w:pPr>
      <w:r w:rsidRPr="00BE78CA">
        <w:rPr>
          <w:rFonts w:cs="Calibri"/>
        </w:rPr>
        <w:t>ME is the metabolisable energy concentration of pasture during month m (megajoules of metabolisable energy per kg of dry matter)</w:t>
      </w:r>
    </w:p>
    <w:p w14:paraId="441BAF10" w14:textId="77777777" w:rsidR="00F02481" w:rsidRPr="00BE78CA" w:rsidRDefault="00F02481" w:rsidP="00C26084">
      <w:pPr>
        <w:pStyle w:val="BodyText"/>
        <w:spacing w:before="80" w:after="0"/>
        <w:ind w:left="964"/>
        <w:rPr>
          <w:rFonts w:cs="Calibri"/>
        </w:rPr>
      </w:pPr>
      <w:r w:rsidRPr="00BE78CA">
        <w:rPr>
          <w:rFonts w:cs="Calibri"/>
        </w:rPr>
        <w:t>DMI is the daily dry-matter intake of an individual sheep of class c in month m (kg dry matter per head per day)</w:t>
      </w:r>
    </w:p>
    <w:p w14:paraId="7517DD97" w14:textId="77777777" w:rsidR="00F02481" w:rsidRPr="00BE78CA" w:rsidRDefault="00F02481" w:rsidP="00C26084">
      <w:pPr>
        <w:pStyle w:val="BodyText"/>
        <w:spacing w:before="80" w:after="0"/>
        <w:ind w:left="964"/>
        <w:rPr>
          <w:rFonts w:cs="Calibri"/>
        </w:rPr>
      </w:pPr>
      <w:r w:rsidRPr="00BE78CA">
        <w:rPr>
          <w:rFonts w:cs="Calibri"/>
        </w:rPr>
        <w:t>class refers to the different categories of sheep greater than one year of age (e.g., dry ewes, wethers, rams) used in the Agriculture inventory, and</w:t>
      </w:r>
    </w:p>
    <w:p w14:paraId="2F9CE676" w14:textId="77777777" w:rsidR="00F02481" w:rsidRPr="00BE78CA" w:rsidRDefault="00F02481" w:rsidP="00C26084">
      <w:pPr>
        <w:pStyle w:val="BodyText"/>
        <w:spacing w:before="80" w:after="80"/>
        <w:ind w:left="964"/>
        <w:rPr>
          <w:rFonts w:cs="Calibri"/>
        </w:rPr>
      </w:pPr>
      <w:r w:rsidRPr="00BE78CA">
        <w:rPr>
          <w:rFonts w:cs="Calibri"/>
        </w:rPr>
        <w:t>month refers to the 12 months of the calendar year.</w:t>
      </w:r>
    </w:p>
    <w:p w14:paraId="31421968" w14:textId="77777777" w:rsidR="00F02481" w:rsidRPr="00BE78CA" w:rsidRDefault="00F02481" w:rsidP="00C26084">
      <w:pPr>
        <w:pStyle w:val="BodyText"/>
        <w:spacing w:before="80" w:after="100"/>
        <w:rPr>
          <w:rFonts w:cs="Calibri"/>
        </w:rPr>
      </w:pPr>
      <w:r w:rsidRPr="00BE78CA">
        <w:rPr>
          <w:rFonts w:cs="Calibri"/>
        </w:rPr>
        <w:t>Dry-matter intake per sheep per day is calculated by New Zealand’s Tier 2 inventory model (see section 5.1.3). Monthly values of ME concentration for pasture are provided by (Giltrap and McNeill, unpublished).</w:t>
      </w:r>
    </w:p>
    <w:p w14:paraId="4FD56AC5" w14:textId="77777777" w:rsidR="00F02481" w:rsidRPr="00BE78CA" w:rsidRDefault="00F02481" w:rsidP="00C26084">
      <w:pPr>
        <w:pStyle w:val="Heading4"/>
        <w:spacing w:before="200"/>
      </w:pPr>
      <w:r w:rsidRPr="00BE78CA">
        <w:t>Methane measurement and modelling</w:t>
      </w:r>
    </w:p>
    <w:p w14:paraId="496DE60D" w14:textId="77777777" w:rsidR="00F02481" w:rsidRPr="00BE78CA" w:rsidRDefault="00F02481" w:rsidP="00C26084">
      <w:pPr>
        <w:pStyle w:val="BodyText"/>
        <w:spacing w:before="100"/>
      </w:pPr>
      <w:r w:rsidRPr="00BE78CA">
        <w:t>New Zealand uses country-specific methodology and emission factors for estimating enteric fermentation CH</w:t>
      </w:r>
      <w:r w:rsidRPr="00BE78CA">
        <w:rPr>
          <w:vertAlign w:val="subscript"/>
        </w:rPr>
        <w:t>4</w:t>
      </w:r>
      <w:r w:rsidRPr="00BE78CA">
        <w:t xml:space="preserve"> emissions per kilogram of feed (i.e., DMI) for several reasons. First, the data requirements for existing digestion models</w:t>
      </w:r>
      <w:r w:rsidRPr="00BE78CA">
        <w:rPr>
          <w:rStyle w:val="FootnoteReference"/>
          <w:rFonts w:cs="Calibri"/>
        </w:rPr>
        <w:footnoteReference w:id="43"/>
      </w:r>
      <w:r w:rsidRPr="00BE78CA">
        <w:t xml:space="preserve"> are less relevant, given New Zealand’s predominantly pasture-based systems. The relationships in these models have been mainly derived from animals fed indoors on diets unlike the ruminants in New Zealand that graze all year outdoors.</w:t>
      </w:r>
      <w:r w:rsidRPr="00BE78CA" w:rsidDel="002C232D">
        <w:t xml:space="preserve"> </w:t>
      </w:r>
      <w:r w:rsidRPr="00BE78CA">
        <w:t>Further, none of these methods had high predictive power when compared against empirical experimental data derived from New Zealand research (Clark et al., 2003).</w:t>
      </w:r>
    </w:p>
    <w:p w14:paraId="181F5C70" w14:textId="77777777" w:rsidR="00F02481" w:rsidRPr="00BE78CA" w:rsidRDefault="00F02481" w:rsidP="00C26084">
      <w:pPr>
        <w:pStyle w:val="BodyText"/>
        <w:spacing w:before="100" w:after="0"/>
      </w:pPr>
      <w:r w:rsidRPr="00BE78CA">
        <w:t>Since 1996, New Zealand scientists have been measuring CH</w:t>
      </w:r>
      <w:r w:rsidRPr="00BE78CA">
        <w:rPr>
          <w:vertAlign w:val="subscript"/>
        </w:rPr>
        <w:t>4</w:t>
      </w:r>
      <w:r w:rsidRPr="00BE78CA">
        <w:t xml:space="preserve"> emissions from grazing cattle and sheep initially using the sulphur hexafluoride (SF</w:t>
      </w:r>
      <w:r w:rsidRPr="00BE78CA">
        <w:rPr>
          <w:vertAlign w:val="subscript"/>
        </w:rPr>
        <w:t>6</w:t>
      </w:r>
      <w:r w:rsidRPr="00BE78CA">
        <w:t>) tracer technique (Lassey et al., 1997; Ulyatt et al., 1999). In recent years, New Zealand has invested in respiration chambers, which are considered the gold standard for assessing CH</w:t>
      </w:r>
      <w:r w:rsidRPr="00BE78CA">
        <w:rPr>
          <w:vertAlign w:val="subscript"/>
        </w:rPr>
        <w:t>4</w:t>
      </w:r>
      <w:r w:rsidRPr="00BE78CA">
        <w:t xml:space="preserve"> emissions from livestock. These have been used to derive respiration-chamber-based measurements of CH</w:t>
      </w:r>
      <w:r w:rsidRPr="00BE78CA">
        <w:rPr>
          <w:vertAlign w:val="subscript"/>
        </w:rPr>
        <w:t>4</w:t>
      </w:r>
      <w:r w:rsidRPr="00BE78CA">
        <w:t xml:space="preserve"> emissions, particularly for sheep and, more recently, an expanded programme for cattle. </w:t>
      </w:r>
    </w:p>
    <w:p w14:paraId="0629F4C1" w14:textId="77777777" w:rsidR="00F02481" w:rsidRPr="00BE78CA" w:rsidRDefault="00F02481" w:rsidP="00C26084">
      <w:pPr>
        <w:pStyle w:val="BodyText"/>
        <w:rPr>
          <w:rFonts w:cs="Calibri"/>
        </w:rPr>
      </w:pPr>
      <w:r w:rsidRPr="00BE78CA">
        <w:rPr>
          <w:rFonts w:cs="Calibri"/>
        </w:rPr>
        <w:lastRenderedPageBreak/>
        <w:t>To obtain New Zealand-specific values (or algorithms for sheep emissions), published and unpublished data on CH</w:t>
      </w:r>
      <w:r w:rsidRPr="00BE78CA">
        <w:rPr>
          <w:rFonts w:cs="Calibri"/>
          <w:vertAlign w:val="subscript"/>
        </w:rPr>
        <w:t>4</w:t>
      </w:r>
      <w:r w:rsidRPr="00BE78CA">
        <w:rPr>
          <w:rFonts w:cs="Calibri"/>
        </w:rPr>
        <w:t xml:space="preserve"> emissions from New Zealand were collated and average values (and algorithms) for CH</w:t>
      </w:r>
      <w:r w:rsidRPr="00BE78CA">
        <w:rPr>
          <w:rFonts w:cs="Calibri"/>
          <w:vertAlign w:val="subscript"/>
        </w:rPr>
        <w:t>4</w:t>
      </w:r>
      <w:r w:rsidRPr="00BE78CA">
        <w:rPr>
          <w:rFonts w:cs="Calibri"/>
        </w:rPr>
        <w:t xml:space="preserve"> emissions from different categories of livestock were obtained </w:t>
      </w:r>
      <w:r w:rsidRPr="00BE78CA">
        <w:rPr>
          <w:rFonts w:cs="Calibri"/>
          <w:spacing w:val="-2"/>
        </w:rPr>
        <w:t xml:space="preserve">(Clark et al., 2003; </w:t>
      </w:r>
      <w:r w:rsidRPr="00BE78CA">
        <w:rPr>
          <w:rFonts w:cs="Calibri"/>
        </w:rPr>
        <w:t>Swainson et al., 2016). Sufficient data were available to obtain values for cattle and to generate a suitable set of algorithms for sheep. The associated data are presented in table 5.2.2 together with the IPCC (2006, tables 10.12 and 10.13) default values for per cent gross energy intake (GEI) used to calculate CH</w:t>
      </w:r>
      <w:r w:rsidRPr="00BE78CA">
        <w:rPr>
          <w:rFonts w:cs="Calibri"/>
          <w:vertAlign w:val="subscript"/>
        </w:rPr>
        <w:t>4</w:t>
      </w:r>
      <w:r w:rsidRPr="00BE78CA">
        <w:rPr>
          <w:rFonts w:cs="Calibri"/>
        </w:rPr>
        <w:t xml:space="preserve">. The New Zealand values for cattle fall within the IPCC range and are applied in this submission. </w:t>
      </w:r>
    </w:p>
    <w:p w14:paraId="129F4F35" w14:textId="77777777" w:rsidR="00F02481" w:rsidRPr="00BE78CA" w:rsidRDefault="00F02481" w:rsidP="00C26084">
      <w:pPr>
        <w:pStyle w:val="Table"/>
        <w:rPr>
          <w:rFonts w:cs="Calibri"/>
        </w:rPr>
      </w:pPr>
      <w:bookmarkStart w:id="611" w:name="_Toc441830869"/>
      <w:bookmarkStart w:id="612" w:name="_Toc451176083"/>
      <w:bookmarkStart w:id="613" w:name="_Toc481751509"/>
      <w:bookmarkStart w:id="614" w:name="_Toc507158599"/>
      <w:bookmarkStart w:id="615" w:name="_Toc511116733"/>
      <w:bookmarkStart w:id="616" w:name="_Toc5269473"/>
      <w:bookmarkStart w:id="617" w:name="_Toc32570914"/>
      <w:bookmarkStart w:id="618" w:name="_Toc36224549"/>
      <w:bookmarkStart w:id="619" w:name="_Toc68786435"/>
      <w:r w:rsidRPr="00BE78CA">
        <w:rPr>
          <w:rFonts w:cs="Calibri"/>
        </w:rPr>
        <w:t>Table 5.2.2</w:t>
      </w:r>
      <w:r w:rsidRPr="00BE78CA">
        <w:rPr>
          <w:rFonts w:cs="Calibri"/>
        </w:rPr>
        <w:tab/>
        <w:t>Methane (CH</w:t>
      </w:r>
      <w:r w:rsidRPr="00BE78CA">
        <w:rPr>
          <w:rFonts w:cs="Calibri"/>
          <w:vertAlign w:val="subscript"/>
        </w:rPr>
        <w:t>4</w:t>
      </w:r>
      <w:r w:rsidRPr="00BE78CA">
        <w:rPr>
          <w:rFonts w:cs="Calibri"/>
        </w:rPr>
        <w:t>) emissions and gross energy intake (GEI) from New Zealand measurements and IPCC (2006) default values</w:t>
      </w:r>
      <w:bookmarkEnd w:id="611"/>
      <w:bookmarkEnd w:id="612"/>
      <w:bookmarkEnd w:id="613"/>
      <w:bookmarkEnd w:id="614"/>
      <w:bookmarkEnd w:id="615"/>
      <w:bookmarkEnd w:id="616"/>
      <w:bookmarkEnd w:id="617"/>
      <w:bookmarkEnd w:id="618"/>
      <w:bookmarkEnd w:id="619"/>
    </w:p>
    <w:tbl>
      <w:tblPr>
        <w:tblW w:w="8505" w:type="dxa"/>
        <w:tblBorders>
          <w:top w:val="single" w:sz="4" w:space="0" w:color="365F91"/>
          <w:bottom w:val="single" w:sz="4" w:space="0" w:color="365F91"/>
          <w:insideH w:val="single" w:sz="4" w:space="0" w:color="365F91"/>
        </w:tblBorders>
        <w:tblLayout w:type="fixed"/>
        <w:tblLook w:val="0000" w:firstRow="0" w:lastRow="0" w:firstColumn="0" w:lastColumn="0" w:noHBand="0" w:noVBand="0"/>
      </w:tblPr>
      <w:tblGrid>
        <w:gridCol w:w="3402"/>
        <w:gridCol w:w="1418"/>
        <w:gridCol w:w="1701"/>
        <w:gridCol w:w="1984"/>
      </w:tblGrid>
      <w:tr w:rsidR="00160A37" w:rsidRPr="00BE78CA" w14:paraId="2DFCEE4C" w14:textId="77777777" w:rsidTr="00160A37">
        <w:trPr>
          <w:tblHeader/>
        </w:trPr>
        <w:tc>
          <w:tcPr>
            <w:tcW w:w="3402" w:type="dxa"/>
            <w:shd w:val="clear" w:color="auto" w:fill="365F91"/>
            <w:vAlign w:val="bottom"/>
          </w:tcPr>
          <w:p w14:paraId="04AE557C" w14:textId="77777777" w:rsidR="00F02481" w:rsidRPr="00BE78CA" w:rsidRDefault="00F02481" w:rsidP="00C26084">
            <w:pPr>
              <w:pStyle w:val="TableTextBold"/>
              <w:keepNext/>
              <w:rPr>
                <w:noProof w:val="0"/>
                <w:color w:val="FFFFFF" w:themeColor="background1"/>
              </w:rPr>
            </w:pPr>
          </w:p>
        </w:tc>
        <w:tc>
          <w:tcPr>
            <w:tcW w:w="1418" w:type="dxa"/>
            <w:shd w:val="clear" w:color="auto" w:fill="365F91"/>
            <w:vAlign w:val="bottom"/>
          </w:tcPr>
          <w:p w14:paraId="2F12367D" w14:textId="77777777" w:rsidR="00F02481" w:rsidRPr="00BE78CA" w:rsidRDefault="00F02481" w:rsidP="00C26084">
            <w:pPr>
              <w:pStyle w:val="TableTextBold"/>
              <w:keepNext/>
              <w:jc w:val="center"/>
              <w:rPr>
                <w:noProof w:val="0"/>
                <w:color w:val="FFFFFF" w:themeColor="background1"/>
              </w:rPr>
            </w:pPr>
            <w:r w:rsidRPr="00BE78CA">
              <w:rPr>
                <w:noProof w:val="0"/>
                <w:color w:val="FFFFFF" w:themeColor="background1"/>
              </w:rPr>
              <w:t>Adult cattle</w:t>
            </w:r>
          </w:p>
        </w:tc>
        <w:tc>
          <w:tcPr>
            <w:tcW w:w="1701" w:type="dxa"/>
            <w:shd w:val="clear" w:color="auto" w:fill="365F91"/>
            <w:vAlign w:val="bottom"/>
          </w:tcPr>
          <w:p w14:paraId="68C114FA" w14:textId="77777777" w:rsidR="00F02481" w:rsidRPr="00BE78CA" w:rsidRDefault="00F02481" w:rsidP="00C26084">
            <w:pPr>
              <w:pStyle w:val="TableTextBold"/>
              <w:keepNext/>
              <w:jc w:val="center"/>
              <w:rPr>
                <w:noProof w:val="0"/>
                <w:color w:val="FFFFFF" w:themeColor="background1"/>
              </w:rPr>
            </w:pPr>
            <w:r w:rsidRPr="00BE78CA">
              <w:rPr>
                <w:noProof w:val="0"/>
                <w:color w:val="FFFFFF" w:themeColor="background1"/>
              </w:rPr>
              <w:t>Adult sheep (&gt; 1 year)</w:t>
            </w:r>
          </w:p>
        </w:tc>
        <w:tc>
          <w:tcPr>
            <w:tcW w:w="1984" w:type="dxa"/>
            <w:shd w:val="clear" w:color="auto" w:fill="365F91"/>
            <w:vAlign w:val="bottom"/>
          </w:tcPr>
          <w:p w14:paraId="524EA42B" w14:textId="77777777" w:rsidR="00F02481" w:rsidRPr="00BE78CA" w:rsidRDefault="00F02481" w:rsidP="00C26084">
            <w:pPr>
              <w:pStyle w:val="TableTextBold"/>
              <w:keepNext/>
              <w:jc w:val="center"/>
              <w:rPr>
                <w:noProof w:val="0"/>
                <w:color w:val="FFFFFF" w:themeColor="background1"/>
              </w:rPr>
            </w:pPr>
            <w:r w:rsidRPr="00BE78CA">
              <w:rPr>
                <w:noProof w:val="0"/>
                <w:color w:val="FFFFFF" w:themeColor="background1"/>
              </w:rPr>
              <w:t>Young sheep (&lt; 1 year)</w:t>
            </w:r>
          </w:p>
        </w:tc>
      </w:tr>
      <w:tr w:rsidR="00F02481" w:rsidRPr="00BE78CA" w14:paraId="7BE2FC76" w14:textId="77777777" w:rsidTr="00160A37">
        <w:tc>
          <w:tcPr>
            <w:tcW w:w="3402" w:type="dxa"/>
            <w:vAlign w:val="bottom"/>
          </w:tcPr>
          <w:p w14:paraId="5B4EA9EE" w14:textId="77777777" w:rsidR="00F02481" w:rsidRPr="00BE78CA" w:rsidRDefault="00F02481" w:rsidP="00C26084">
            <w:pPr>
              <w:pStyle w:val="TableText"/>
              <w:keepNext/>
              <w:spacing w:before="50" w:after="50"/>
              <w:rPr>
                <w:rFonts w:cs="Calibri"/>
              </w:rPr>
            </w:pPr>
            <w:r w:rsidRPr="00BE78CA">
              <w:rPr>
                <w:rFonts w:cs="Calibri"/>
              </w:rPr>
              <w:t>New Zealand CH</w:t>
            </w:r>
            <w:r w:rsidRPr="00BE78CA">
              <w:rPr>
                <w:rFonts w:cs="Calibri"/>
                <w:vertAlign w:val="subscript"/>
              </w:rPr>
              <w:t>4</w:t>
            </w:r>
            <w:r w:rsidRPr="00BE78CA">
              <w:rPr>
                <w:rFonts w:cs="Calibri"/>
              </w:rPr>
              <w:t xml:space="preserve"> emission rates from Clark et al. (2003) and Swainson et al. (2016) (g CH</w:t>
            </w:r>
            <w:r w:rsidRPr="00BE78CA">
              <w:rPr>
                <w:rFonts w:cs="Calibri"/>
                <w:vertAlign w:val="subscript"/>
              </w:rPr>
              <w:t>4</w:t>
            </w:r>
            <w:r w:rsidRPr="00BE78CA">
              <w:rPr>
                <w:rFonts w:cs="Calibri"/>
              </w:rPr>
              <w:t>/kg DMI)</w:t>
            </w:r>
          </w:p>
        </w:tc>
        <w:tc>
          <w:tcPr>
            <w:tcW w:w="1418" w:type="dxa"/>
            <w:vAlign w:val="bottom"/>
          </w:tcPr>
          <w:p w14:paraId="73DA04DF" w14:textId="77777777" w:rsidR="00F02481" w:rsidRPr="00BE78CA" w:rsidRDefault="00F02481" w:rsidP="00C26084">
            <w:pPr>
              <w:pStyle w:val="TableText"/>
              <w:keepNext/>
              <w:spacing w:before="50" w:after="50"/>
              <w:jc w:val="center"/>
              <w:rPr>
                <w:rFonts w:cs="Calibri"/>
              </w:rPr>
            </w:pPr>
            <w:r w:rsidRPr="00BE78CA">
              <w:rPr>
                <w:rFonts w:cs="Calibri"/>
              </w:rPr>
              <w:t>21.6 × DMI</w:t>
            </w:r>
          </w:p>
        </w:tc>
        <w:tc>
          <w:tcPr>
            <w:tcW w:w="1701" w:type="dxa"/>
            <w:vAlign w:val="bottom"/>
          </w:tcPr>
          <w:p w14:paraId="0DF9D10E" w14:textId="77777777" w:rsidR="00F02481" w:rsidRPr="00BE78CA" w:rsidRDefault="00F02481" w:rsidP="00C26084">
            <w:pPr>
              <w:pStyle w:val="TableText"/>
              <w:keepNext/>
              <w:spacing w:before="50" w:after="50"/>
              <w:jc w:val="center"/>
              <w:rPr>
                <w:rFonts w:cs="Calibri"/>
              </w:rPr>
            </w:pPr>
            <w:r w:rsidRPr="00BE78CA">
              <w:rPr>
                <w:rFonts w:cs="Calibri"/>
              </w:rPr>
              <w:t>21.977 × DM</w:t>
            </w:r>
            <w:r w:rsidRPr="00BE78CA">
              <w:rPr>
                <w:rFonts w:cs="Calibri"/>
                <w:vertAlign w:val="superscript"/>
              </w:rPr>
              <w:t>0.765</w:t>
            </w:r>
          </w:p>
        </w:tc>
        <w:tc>
          <w:tcPr>
            <w:tcW w:w="1984" w:type="dxa"/>
            <w:vAlign w:val="bottom"/>
          </w:tcPr>
          <w:p w14:paraId="43D5CB3F" w14:textId="77777777" w:rsidR="00F02481" w:rsidRPr="00BE78CA" w:rsidRDefault="00F02481" w:rsidP="00C26084">
            <w:pPr>
              <w:pStyle w:val="TableText"/>
              <w:keepNext/>
              <w:spacing w:before="50" w:after="50"/>
              <w:jc w:val="center"/>
              <w:rPr>
                <w:rFonts w:cs="Calibri"/>
              </w:rPr>
            </w:pPr>
            <w:r w:rsidRPr="00BE78CA">
              <w:rPr>
                <w:rFonts w:cs="Calibri"/>
              </w:rPr>
              <w:t>11.705 × e</w:t>
            </w:r>
            <w:r w:rsidRPr="00BE78CA">
              <w:rPr>
                <w:rFonts w:cs="Calibri"/>
                <w:vertAlign w:val="superscript"/>
              </w:rPr>
              <w:t>0.5ME</w:t>
            </w:r>
            <w:r w:rsidRPr="00BE78CA">
              <w:rPr>
                <w:rFonts w:cs="Calibri"/>
              </w:rPr>
              <w:t xml:space="preserve"> × DMI</w:t>
            </w:r>
            <w:r w:rsidRPr="00BE78CA">
              <w:rPr>
                <w:rFonts w:cs="Calibri"/>
                <w:vertAlign w:val="superscript"/>
              </w:rPr>
              <w:t>0.734</w:t>
            </w:r>
          </w:p>
        </w:tc>
      </w:tr>
      <w:tr w:rsidR="00F02481" w:rsidRPr="00BE78CA" w14:paraId="14B49BF7" w14:textId="77777777" w:rsidTr="00160A37">
        <w:tc>
          <w:tcPr>
            <w:tcW w:w="3402" w:type="dxa"/>
            <w:shd w:val="clear" w:color="auto" w:fill="auto"/>
            <w:vAlign w:val="bottom"/>
          </w:tcPr>
          <w:p w14:paraId="4DFC2D22" w14:textId="77777777" w:rsidR="00F02481" w:rsidRPr="00BE78CA" w:rsidRDefault="00F02481" w:rsidP="00C26084">
            <w:pPr>
              <w:pStyle w:val="TableText"/>
              <w:spacing w:before="50" w:after="50"/>
              <w:rPr>
                <w:rFonts w:cs="Calibri"/>
              </w:rPr>
            </w:pPr>
            <w:r w:rsidRPr="00BE78CA">
              <w:rPr>
                <w:rFonts w:cs="Calibri"/>
              </w:rPr>
              <w:t>New Zealand data (GEI, %)</w:t>
            </w:r>
          </w:p>
        </w:tc>
        <w:tc>
          <w:tcPr>
            <w:tcW w:w="1418" w:type="dxa"/>
            <w:shd w:val="clear" w:color="auto" w:fill="auto"/>
            <w:vAlign w:val="bottom"/>
          </w:tcPr>
          <w:p w14:paraId="5E5C4B57" w14:textId="77777777" w:rsidR="00F02481" w:rsidRPr="00BE78CA" w:rsidRDefault="00F02481" w:rsidP="00C26084">
            <w:pPr>
              <w:pStyle w:val="TableText"/>
              <w:spacing w:before="50" w:after="50"/>
              <w:jc w:val="center"/>
              <w:rPr>
                <w:rFonts w:cs="Calibri"/>
              </w:rPr>
            </w:pPr>
            <w:r w:rsidRPr="00BE78CA">
              <w:rPr>
                <w:rFonts w:cs="Calibri"/>
              </w:rPr>
              <w:t>6.5</w:t>
            </w:r>
          </w:p>
        </w:tc>
        <w:tc>
          <w:tcPr>
            <w:tcW w:w="1701" w:type="dxa"/>
            <w:shd w:val="clear" w:color="auto" w:fill="auto"/>
            <w:vAlign w:val="bottom"/>
          </w:tcPr>
          <w:p w14:paraId="15C32838" w14:textId="77777777" w:rsidR="00F02481" w:rsidRPr="00BE78CA" w:rsidRDefault="00F02481" w:rsidP="00C26084">
            <w:pPr>
              <w:pStyle w:val="TableText"/>
              <w:spacing w:before="50" w:after="50"/>
              <w:jc w:val="center"/>
              <w:rPr>
                <w:rFonts w:cs="Calibri"/>
              </w:rPr>
            </w:pPr>
            <w:r w:rsidRPr="00BE78CA">
              <w:rPr>
                <w:rFonts w:cs="Calibri"/>
              </w:rPr>
              <w:t>–</w:t>
            </w:r>
          </w:p>
        </w:tc>
        <w:tc>
          <w:tcPr>
            <w:tcW w:w="1984" w:type="dxa"/>
            <w:shd w:val="clear" w:color="auto" w:fill="auto"/>
            <w:vAlign w:val="bottom"/>
          </w:tcPr>
          <w:p w14:paraId="7AEA9720" w14:textId="77777777" w:rsidR="00F02481" w:rsidRPr="00BE78CA" w:rsidRDefault="00F02481" w:rsidP="00C26084">
            <w:pPr>
              <w:pStyle w:val="TableText"/>
              <w:spacing w:before="50" w:after="50"/>
              <w:jc w:val="center"/>
              <w:rPr>
                <w:rFonts w:cs="Calibri"/>
              </w:rPr>
            </w:pPr>
            <w:r w:rsidRPr="00BE78CA">
              <w:rPr>
                <w:rFonts w:cs="Calibri"/>
              </w:rPr>
              <w:t>–</w:t>
            </w:r>
          </w:p>
        </w:tc>
      </w:tr>
      <w:tr w:rsidR="00F02481" w:rsidRPr="00BE78CA" w14:paraId="5318B45B" w14:textId="77777777" w:rsidTr="00160A37">
        <w:tc>
          <w:tcPr>
            <w:tcW w:w="3402" w:type="dxa"/>
            <w:vAlign w:val="bottom"/>
          </w:tcPr>
          <w:p w14:paraId="6FD01796" w14:textId="77777777" w:rsidR="00F02481" w:rsidRPr="00BE78CA" w:rsidRDefault="00F02481" w:rsidP="00C26084">
            <w:pPr>
              <w:pStyle w:val="TableText"/>
              <w:spacing w:before="50" w:after="50"/>
              <w:rPr>
                <w:rFonts w:cs="Calibri"/>
              </w:rPr>
            </w:pPr>
            <w:r w:rsidRPr="00BE78CA">
              <w:rPr>
                <w:rFonts w:cs="Calibri"/>
              </w:rPr>
              <w:t>IPCC (2006) default Y</w:t>
            </w:r>
            <w:r w:rsidRPr="00BE78CA">
              <w:rPr>
                <w:rFonts w:cs="Calibri"/>
                <w:vertAlign w:val="subscript"/>
              </w:rPr>
              <w:t>m</w:t>
            </w:r>
            <w:r w:rsidRPr="00BE78CA">
              <w:rPr>
                <w:rFonts w:cs="Calibri"/>
              </w:rPr>
              <w:t xml:space="preserve"> values (GEI, %)</w:t>
            </w:r>
          </w:p>
        </w:tc>
        <w:tc>
          <w:tcPr>
            <w:tcW w:w="1418" w:type="dxa"/>
            <w:vAlign w:val="bottom"/>
          </w:tcPr>
          <w:p w14:paraId="1D25D2ED" w14:textId="77777777" w:rsidR="00F02481" w:rsidRPr="00BE78CA" w:rsidRDefault="00F02481" w:rsidP="00C26084">
            <w:pPr>
              <w:pStyle w:val="TableText"/>
              <w:spacing w:before="50" w:after="50"/>
              <w:jc w:val="center"/>
              <w:rPr>
                <w:rFonts w:cs="Calibri"/>
              </w:rPr>
            </w:pPr>
            <w:r w:rsidRPr="00BE78CA">
              <w:rPr>
                <w:rFonts w:cs="Calibri"/>
              </w:rPr>
              <w:t>6.5 ± 1.0</w:t>
            </w:r>
          </w:p>
        </w:tc>
        <w:tc>
          <w:tcPr>
            <w:tcW w:w="1701" w:type="dxa"/>
            <w:vAlign w:val="bottom"/>
          </w:tcPr>
          <w:p w14:paraId="4F198445" w14:textId="77777777" w:rsidR="00F02481" w:rsidRPr="00BE78CA" w:rsidRDefault="00F02481" w:rsidP="00C26084">
            <w:pPr>
              <w:pStyle w:val="TableText"/>
              <w:spacing w:before="50" w:after="50"/>
              <w:jc w:val="center"/>
              <w:rPr>
                <w:rFonts w:cs="Calibri"/>
              </w:rPr>
            </w:pPr>
            <w:r w:rsidRPr="00BE78CA">
              <w:rPr>
                <w:rFonts w:cs="Calibri"/>
              </w:rPr>
              <w:t>6.5 ± 1.0</w:t>
            </w:r>
          </w:p>
        </w:tc>
        <w:tc>
          <w:tcPr>
            <w:tcW w:w="1984" w:type="dxa"/>
            <w:vAlign w:val="bottom"/>
          </w:tcPr>
          <w:p w14:paraId="20F4316C" w14:textId="77777777" w:rsidR="00F02481" w:rsidRPr="00BE78CA" w:rsidRDefault="00F02481" w:rsidP="00C26084">
            <w:pPr>
              <w:pStyle w:val="TableText"/>
              <w:spacing w:before="50" w:after="50"/>
              <w:jc w:val="center"/>
              <w:rPr>
                <w:rFonts w:cs="Calibri"/>
              </w:rPr>
            </w:pPr>
            <w:r w:rsidRPr="00BE78CA">
              <w:rPr>
                <w:rFonts w:cs="Calibri"/>
              </w:rPr>
              <w:t>4.5 ± 1.0</w:t>
            </w:r>
          </w:p>
        </w:tc>
      </w:tr>
    </w:tbl>
    <w:p w14:paraId="75CBE2C5" w14:textId="77777777" w:rsidR="00F02481" w:rsidRPr="00BE78CA" w:rsidRDefault="00F02481" w:rsidP="00C26084">
      <w:pPr>
        <w:pStyle w:val="Noteundertable"/>
        <w:rPr>
          <w:rFonts w:cs="Calibri"/>
        </w:rPr>
      </w:pPr>
      <w:r w:rsidRPr="00BE78CA">
        <w:rPr>
          <w:rFonts w:cs="Calibri"/>
          <w:b/>
          <w:bCs/>
        </w:rPr>
        <w:t xml:space="preserve">Note: </w:t>
      </w:r>
      <w:r w:rsidRPr="00BE78CA">
        <w:rPr>
          <w:rFonts w:cs="Calibri"/>
        </w:rPr>
        <w:tab/>
        <w:t>DMI = dry matter intake; Y</w:t>
      </w:r>
      <w:r w:rsidRPr="00BE78CA">
        <w:rPr>
          <w:rFonts w:cs="Calibri"/>
          <w:vertAlign w:val="subscript"/>
        </w:rPr>
        <w:t>m</w:t>
      </w:r>
      <w:r w:rsidRPr="00BE78CA">
        <w:rPr>
          <w:rFonts w:cs="Calibri"/>
        </w:rPr>
        <w:t xml:space="preserve"> = methane yield, ME = metabolisable energy.</w:t>
      </w:r>
    </w:p>
    <w:p w14:paraId="29C785FF" w14:textId="5EC5E60B" w:rsidR="00F02481" w:rsidRPr="00BE78CA" w:rsidRDefault="00F02481" w:rsidP="00C26084">
      <w:pPr>
        <w:pStyle w:val="BodyText"/>
        <w:rPr>
          <w:rFonts w:cs="Calibri"/>
        </w:rPr>
      </w:pPr>
      <w:r w:rsidRPr="00BE78CA">
        <w:rPr>
          <w:rFonts w:cs="Calibri"/>
        </w:rPr>
        <w:t>The adult cattle value is applied to all dairy and beef cattle, irrespective of age. The average of the adult cow and the (now defunct) CH</w:t>
      </w:r>
      <w:r w:rsidRPr="00BE78CA">
        <w:rPr>
          <w:rFonts w:cs="Calibri"/>
          <w:vertAlign w:val="subscript"/>
        </w:rPr>
        <w:t>4</w:t>
      </w:r>
      <w:r w:rsidRPr="00BE78CA">
        <w:rPr>
          <w:rFonts w:cs="Calibri"/>
        </w:rPr>
        <w:t xml:space="preserve"> emission rate for adult ewes, used in prior versions of the National Inventory Report (21.25 g CH</w:t>
      </w:r>
      <w:r w:rsidRPr="00BE78CA">
        <w:rPr>
          <w:rFonts w:cs="Calibri"/>
          <w:vertAlign w:val="subscript"/>
        </w:rPr>
        <w:t>4</w:t>
      </w:r>
      <w:r w:rsidRPr="00BE78CA">
        <w:rPr>
          <w:rFonts w:cs="Calibri"/>
        </w:rPr>
        <w:t>/kg DMI), is assumed to apply to all deer (Clark et al., 2003). In very young animals receiving a milk diet, no CH</w:t>
      </w:r>
      <w:r w:rsidRPr="00BE78CA">
        <w:rPr>
          <w:rFonts w:cs="Calibri"/>
          <w:vertAlign w:val="subscript"/>
        </w:rPr>
        <w:t>4</w:t>
      </w:r>
      <w:r w:rsidRPr="00BE78CA">
        <w:rPr>
          <w:rFonts w:cs="Calibri"/>
        </w:rPr>
        <w:t xml:space="preserve"> emissions are assumed to arise from the milk portion of the diet. </w:t>
      </w:r>
    </w:p>
    <w:p w14:paraId="666C46CD" w14:textId="39996171" w:rsidR="00F02481" w:rsidRPr="00BE78CA" w:rsidRDefault="00F02481" w:rsidP="00C26084">
      <w:pPr>
        <w:pStyle w:val="BodyText"/>
        <w:rPr>
          <w:rFonts w:cs="Calibri"/>
        </w:rPr>
      </w:pPr>
      <w:r w:rsidRPr="00BE78CA">
        <w:rPr>
          <w:rFonts w:cs="Calibri"/>
        </w:rPr>
        <w:t>Table 5.2.3 shows a time series of CH</w:t>
      </w:r>
      <w:r w:rsidRPr="00BE78CA">
        <w:rPr>
          <w:rFonts w:cs="Calibri"/>
          <w:vertAlign w:val="subscript"/>
        </w:rPr>
        <w:t>4</w:t>
      </w:r>
      <w:r w:rsidRPr="00BE78CA">
        <w:rPr>
          <w:rFonts w:cs="Calibri"/>
        </w:rPr>
        <w:t xml:space="preserve"> IEFs (total emissions produced per animal type divided by the population of animals) for dairy cattle, beef cattle, sheep and deer. New Zealand experiences significant inter-annual variability in these IEFs, which is explained further in section 5.1.1. In table 5.2.3, </w:t>
      </w:r>
      <w:r w:rsidRPr="00BE78CA">
        <w:rPr>
          <w:rFonts w:cs="Calibri"/>
          <w:i/>
          <w:iCs/>
        </w:rPr>
        <w:t>Milking dairy cattle</w:t>
      </w:r>
      <w:r w:rsidRPr="00BE78CA">
        <w:rPr>
          <w:rFonts w:cs="Calibri"/>
        </w:rPr>
        <w:t xml:space="preserve"> is a subset of </w:t>
      </w:r>
      <w:r w:rsidRPr="00BE78CA">
        <w:rPr>
          <w:rFonts w:cs="Calibri"/>
          <w:i/>
          <w:iCs/>
        </w:rPr>
        <w:t>All dairy cattle</w:t>
      </w:r>
      <w:r w:rsidRPr="00BE78CA">
        <w:rPr>
          <w:rFonts w:cs="Calibri"/>
        </w:rPr>
        <w:t xml:space="preserve"> and only includes mature dairy cows that are being milked. </w:t>
      </w:r>
      <w:r w:rsidRPr="00BE78CA">
        <w:rPr>
          <w:rFonts w:cs="Calibri"/>
          <w:i/>
          <w:iCs/>
        </w:rPr>
        <w:t>All dairy cattle</w:t>
      </w:r>
      <w:r w:rsidRPr="00BE78CA">
        <w:rPr>
          <w:rFonts w:cs="Calibri"/>
        </w:rPr>
        <w:t xml:space="preserve"> includes milking cows as well as calves, dairy bulls and other dairy cattle not being milked.</w:t>
      </w:r>
    </w:p>
    <w:p w14:paraId="62E50508" w14:textId="77777777" w:rsidR="00F02481" w:rsidRPr="00BE78CA" w:rsidRDefault="00F02481" w:rsidP="00C26084">
      <w:pPr>
        <w:pStyle w:val="Table"/>
        <w:rPr>
          <w:rFonts w:cs="Calibri"/>
        </w:rPr>
      </w:pPr>
      <w:bookmarkStart w:id="620" w:name="_Toc441830870"/>
      <w:bookmarkStart w:id="621" w:name="_Toc451176084"/>
      <w:bookmarkStart w:id="622" w:name="_Toc481751510"/>
      <w:bookmarkStart w:id="623" w:name="_Toc507158600"/>
      <w:bookmarkStart w:id="624" w:name="_Toc511116734"/>
      <w:bookmarkStart w:id="625" w:name="_Toc5269474"/>
      <w:bookmarkStart w:id="626" w:name="_Toc32570915"/>
      <w:bookmarkStart w:id="627" w:name="_Toc36224550"/>
      <w:bookmarkStart w:id="628" w:name="_Toc68786436"/>
      <w:r w:rsidRPr="00BE78CA">
        <w:rPr>
          <w:rFonts w:cs="Calibri"/>
        </w:rPr>
        <w:t>Table 5.2.3</w:t>
      </w:r>
      <w:r w:rsidRPr="00BE78CA">
        <w:rPr>
          <w:rFonts w:cs="Calibri"/>
        </w:rPr>
        <w:tab/>
        <w:t>New Zealand’s implied emission factors for enteric fermentation from 1990 to</w:t>
      </w:r>
      <w:bookmarkEnd w:id="620"/>
      <w:bookmarkEnd w:id="621"/>
      <w:bookmarkEnd w:id="622"/>
      <w:r w:rsidRPr="00BE78CA">
        <w:rPr>
          <w:rFonts w:cs="Calibri"/>
        </w:rPr>
        <w:t> 2019</w:t>
      </w:r>
      <w:bookmarkEnd w:id="623"/>
      <w:bookmarkEnd w:id="624"/>
      <w:bookmarkEnd w:id="625"/>
      <w:bookmarkEnd w:id="626"/>
      <w:bookmarkEnd w:id="627"/>
      <w:bookmarkEnd w:id="628"/>
    </w:p>
    <w:tbl>
      <w:tblPr>
        <w:tblW w:w="8505" w:type="dxa"/>
        <w:tblBorders>
          <w:top w:val="single" w:sz="4" w:space="0" w:color="365F91"/>
          <w:bottom w:val="single" w:sz="4" w:space="0" w:color="365F91"/>
          <w:insideH w:val="single" w:sz="4" w:space="0" w:color="365F91"/>
        </w:tblBorders>
        <w:tblLayout w:type="fixed"/>
        <w:tblLook w:val="0000" w:firstRow="0" w:lastRow="0" w:firstColumn="0" w:lastColumn="0" w:noHBand="0" w:noVBand="0"/>
      </w:tblPr>
      <w:tblGrid>
        <w:gridCol w:w="988"/>
        <w:gridCol w:w="1489"/>
        <w:gridCol w:w="1487"/>
        <w:gridCol w:w="1487"/>
        <w:gridCol w:w="1536"/>
        <w:gridCol w:w="1518"/>
      </w:tblGrid>
      <w:tr w:rsidR="00160A37" w:rsidRPr="00BE78CA" w14:paraId="04402C5F" w14:textId="77777777" w:rsidTr="00160A37">
        <w:trPr>
          <w:trHeight w:val="623"/>
          <w:tblHeader/>
        </w:trPr>
        <w:tc>
          <w:tcPr>
            <w:tcW w:w="988" w:type="dxa"/>
            <w:shd w:val="clear" w:color="auto" w:fill="365F91"/>
            <w:vAlign w:val="bottom"/>
          </w:tcPr>
          <w:p w14:paraId="06FEE697" w14:textId="77777777" w:rsidR="00F02481" w:rsidRPr="00BE78CA" w:rsidRDefault="00F02481" w:rsidP="00416320">
            <w:pPr>
              <w:pStyle w:val="TableTextBold"/>
              <w:keepNext/>
              <w:spacing w:before="50" w:after="50"/>
              <w:rPr>
                <w:noProof w:val="0"/>
                <w:color w:val="FFFFFF" w:themeColor="background1"/>
                <w:szCs w:val="16"/>
              </w:rPr>
            </w:pPr>
            <w:r w:rsidRPr="00BE78CA">
              <w:rPr>
                <w:noProof w:val="0"/>
                <w:color w:val="FFFFFF" w:themeColor="background1"/>
                <w:szCs w:val="16"/>
              </w:rPr>
              <w:t>Year</w:t>
            </w:r>
          </w:p>
        </w:tc>
        <w:tc>
          <w:tcPr>
            <w:tcW w:w="1489" w:type="dxa"/>
            <w:shd w:val="clear" w:color="auto" w:fill="365F91"/>
            <w:vAlign w:val="bottom"/>
          </w:tcPr>
          <w:p w14:paraId="7BE0EACB" w14:textId="77777777" w:rsidR="00F02481" w:rsidRPr="00BE78CA" w:rsidRDefault="00F02481" w:rsidP="00416320">
            <w:pPr>
              <w:pStyle w:val="TableTextBold"/>
              <w:spacing w:before="50" w:after="50"/>
              <w:jc w:val="center"/>
              <w:rPr>
                <w:noProof w:val="0"/>
                <w:color w:val="FFFFFF" w:themeColor="background1"/>
                <w:szCs w:val="16"/>
              </w:rPr>
            </w:pPr>
            <w:r w:rsidRPr="00BE78CA">
              <w:rPr>
                <w:noProof w:val="0"/>
                <w:color w:val="FFFFFF" w:themeColor="background1"/>
                <w:szCs w:val="16"/>
              </w:rPr>
              <w:t>All dairy cattle</w:t>
            </w:r>
            <w:r w:rsidRPr="00BE78CA">
              <w:rPr>
                <w:noProof w:val="0"/>
                <w:color w:val="FFFFFF" w:themeColor="background1"/>
                <w:szCs w:val="16"/>
              </w:rPr>
              <w:br/>
              <w:t>(kg CH</w:t>
            </w:r>
            <w:r w:rsidRPr="00BE78CA">
              <w:rPr>
                <w:noProof w:val="0"/>
                <w:color w:val="FFFFFF" w:themeColor="background1"/>
                <w:szCs w:val="16"/>
                <w:vertAlign w:val="subscript"/>
              </w:rPr>
              <w:t xml:space="preserve">4 </w:t>
            </w:r>
            <w:r w:rsidRPr="00BE78CA">
              <w:rPr>
                <w:noProof w:val="0"/>
                <w:color w:val="FFFFFF" w:themeColor="background1"/>
                <w:szCs w:val="16"/>
              </w:rPr>
              <w:t>per animal per annum)</w:t>
            </w:r>
          </w:p>
        </w:tc>
        <w:tc>
          <w:tcPr>
            <w:tcW w:w="1487" w:type="dxa"/>
            <w:shd w:val="clear" w:color="auto" w:fill="365F91"/>
          </w:tcPr>
          <w:p w14:paraId="7E9C79EF" w14:textId="77777777" w:rsidR="00F02481" w:rsidRPr="00BE78CA" w:rsidRDefault="00F02481" w:rsidP="00416320">
            <w:pPr>
              <w:pStyle w:val="TableTextBold"/>
              <w:spacing w:before="50" w:after="50"/>
              <w:jc w:val="center"/>
              <w:rPr>
                <w:noProof w:val="0"/>
                <w:color w:val="FFFFFF" w:themeColor="background1"/>
                <w:szCs w:val="16"/>
              </w:rPr>
            </w:pPr>
            <w:r w:rsidRPr="00BE78CA">
              <w:rPr>
                <w:noProof w:val="0"/>
                <w:color w:val="FFFFFF" w:themeColor="background1"/>
                <w:szCs w:val="16"/>
              </w:rPr>
              <w:t>Milking dairy cattle (kg CH</w:t>
            </w:r>
            <w:r w:rsidRPr="00BE78CA">
              <w:rPr>
                <w:noProof w:val="0"/>
                <w:color w:val="FFFFFF" w:themeColor="background1"/>
                <w:szCs w:val="16"/>
                <w:vertAlign w:val="subscript"/>
              </w:rPr>
              <w:t xml:space="preserve">4 </w:t>
            </w:r>
            <w:r w:rsidRPr="00BE78CA">
              <w:rPr>
                <w:noProof w:val="0"/>
                <w:color w:val="FFFFFF" w:themeColor="background1"/>
                <w:szCs w:val="16"/>
              </w:rPr>
              <w:t>per animal per annum)</w:t>
            </w:r>
          </w:p>
        </w:tc>
        <w:tc>
          <w:tcPr>
            <w:tcW w:w="1487" w:type="dxa"/>
            <w:shd w:val="clear" w:color="auto" w:fill="365F91"/>
            <w:vAlign w:val="bottom"/>
          </w:tcPr>
          <w:p w14:paraId="53FEC055" w14:textId="77777777" w:rsidR="00F02481" w:rsidRPr="00BE78CA" w:rsidRDefault="00F02481" w:rsidP="00416320">
            <w:pPr>
              <w:pStyle w:val="TableTextBold"/>
              <w:spacing w:before="50" w:after="50"/>
              <w:jc w:val="center"/>
              <w:rPr>
                <w:noProof w:val="0"/>
                <w:color w:val="FFFFFF" w:themeColor="background1"/>
                <w:szCs w:val="16"/>
              </w:rPr>
            </w:pPr>
            <w:r w:rsidRPr="00BE78CA">
              <w:rPr>
                <w:noProof w:val="0"/>
                <w:color w:val="FFFFFF" w:themeColor="background1"/>
                <w:szCs w:val="16"/>
              </w:rPr>
              <w:t>Non-dairy (beef) cattle (kg CH</w:t>
            </w:r>
            <w:r w:rsidRPr="00BE78CA">
              <w:rPr>
                <w:noProof w:val="0"/>
                <w:color w:val="FFFFFF" w:themeColor="background1"/>
                <w:szCs w:val="16"/>
                <w:vertAlign w:val="subscript"/>
              </w:rPr>
              <w:t xml:space="preserve">4 </w:t>
            </w:r>
            <w:r w:rsidRPr="00BE78CA">
              <w:rPr>
                <w:noProof w:val="0"/>
                <w:color w:val="FFFFFF" w:themeColor="background1"/>
                <w:szCs w:val="16"/>
              </w:rPr>
              <w:t>per animal per annum)</w:t>
            </w:r>
          </w:p>
        </w:tc>
        <w:tc>
          <w:tcPr>
            <w:tcW w:w="1536" w:type="dxa"/>
            <w:shd w:val="clear" w:color="auto" w:fill="365F91"/>
            <w:vAlign w:val="bottom"/>
          </w:tcPr>
          <w:p w14:paraId="6F25561E" w14:textId="77777777" w:rsidR="00F02481" w:rsidRPr="00BE78CA" w:rsidRDefault="00F02481" w:rsidP="00416320">
            <w:pPr>
              <w:pStyle w:val="TableTextBold"/>
              <w:spacing w:before="50" w:after="50"/>
              <w:jc w:val="center"/>
              <w:rPr>
                <w:noProof w:val="0"/>
                <w:color w:val="FFFFFF" w:themeColor="background1"/>
                <w:szCs w:val="16"/>
              </w:rPr>
            </w:pPr>
            <w:r w:rsidRPr="00BE78CA">
              <w:rPr>
                <w:noProof w:val="0"/>
                <w:color w:val="FFFFFF" w:themeColor="background1"/>
                <w:szCs w:val="16"/>
              </w:rPr>
              <w:t>Sheep, all</w:t>
            </w:r>
            <w:r w:rsidRPr="00BE78CA">
              <w:rPr>
                <w:noProof w:val="0"/>
                <w:color w:val="FFFFFF" w:themeColor="background1"/>
                <w:szCs w:val="16"/>
              </w:rPr>
              <w:br/>
              <w:t>(kg CH</w:t>
            </w:r>
            <w:r w:rsidRPr="00BE78CA">
              <w:rPr>
                <w:noProof w:val="0"/>
                <w:color w:val="FFFFFF" w:themeColor="background1"/>
                <w:szCs w:val="16"/>
                <w:vertAlign w:val="subscript"/>
              </w:rPr>
              <w:t xml:space="preserve">4 </w:t>
            </w:r>
            <w:r w:rsidRPr="00BE78CA">
              <w:rPr>
                <w:noProof w:val="0"/>
                <w:color w:val="FFFFFF" w:themeColor="background1"/>
                <w:szCs w:val="16"/>
              </w:rPr>
              <w:t>per animal per annum)</w:t>
            </w:r>
          </w:p>
        </w:tc>
        <w:tc>
          <w:tcPr>
            <w:tcW w:w="1518" w:type="dxa"/>
            <w:shd w:val="clear" w:color="auto" w:fill="365F91"/>
            <w:vAlign w:val="bottom"/>
          </w:tcPr>
          <w:p w14:paraId="0665A38E" w14:textId="77777777" w:rsidR="00F02481" w:rsidRPr="00BE78CA" w:rsidRDefault="00F02481" w:rsidP="00416320">
            <w:pPr>
              <w:pStyle w:val="TableTextBold"/>
              <w:spacing w:before="50" w:after="50"/>
              <w:jc w:val="center"/>
              <w:rPr>
                <w:noProof w:val="0"/>
                <w:color w:val="FFFFFF" w:themeColor="background1"/>
                <w:szCs w:val="16"/>
              </w:rPr>
            </w:pPr>
            <w:r w:rsidRPr="00BE78CA">
              <w:rPr>
                <w:noProof w:val="0"/>
                <w:color w:val="FFFFFF" w:themeColor="background1"/>
                <w:szCs w:val="16"/>
              </w:rPr>
              <w:t>Deer (kg CH</w:t>
            </w:r>
            <w:r w:rsidRPr="00BE78CA">
              <w:rPr>
                <w:noProof w:val="0"/>
                <w:color w:val="FFFFFF" w:themeColor="background1"/>
                <w:szCs w:val="16"/>
                <w:vertAlign w:val="subscript"/>
              </w:rPr>
              <w:t xml:space="preserve">4 </w:t>
            </w:r>
            <w:r w:rsidRPr="00BE78CA">
              <w:rPr>
                <w:noProof w:val="0"/>
                <w:color w:val="FFFFFF" w:themeColor="background1"/>
                <w:szCs w:val="16"/>
              </w:rPr>
              <w:t>per animal per annum)</w:t>
            </w:r>
          </w:p>
        </w:tc>
      </w:tr>
      <w:tr w:rsidR="00F02481" w:rsidRPr="00BE78CA" w14:paraId="51FFE290" w14:textId="77777777" w:rsidTr="00160A37">
        <w:trPr>
          <w:trHeight w:val="239"/>
        </w:trPr>
        <w:tc>
          <w:tcPr>
            <w:tcW w:w="988" w:type="dxa"/>
          </w:tcPr>
          <w:p w14:paraId="2CF2EB51" w14:textId="77777777" w:rsidR="00F02481" w:rsidRPr="00BE78CA" w:rsidRDefault="00F02481" w:rsidP="00416320">
            <w:pPr>
              <w:pStyle w:val="TableText"/>
              <w:keepNext/>
              <w:spacing w:before="50" w:after="50"/>
              <w:rPr>
                <w:rFonts w:cs="Calibri"/>
                <w:szCs w:val="16"/>
              </w:rPr>
            </w:pPr>
            <w:r w:rsidRPr="00BE78CA">
              <w:rPr>
                <w:rFonts w:cs="Calibri"/>
                <w:szCs w:val="16"/>
              </w:rPr>
              <w:t>1990</w:t>
            </w:r>
          </w:p>
        </w:tc>
        <w:tc>
          <w:tcPr>
            <w:tcW w:w="1489" w:type="dxa"/>
            <w:vAlign w:val="bottom"/>
          </w:tcPr>
          <w:p w14:paraId="7E3A3BBE" w14:textId="77777777" w:rsidR="00F02481" w:rsidRPr="00BE78CA" w:rsidRDefault="00F02481" w:rsidP="00416320">
            <w:pPr>
              <w:pStyle w:val="TableText"/>
              <w:spacing w:before="50" w:after="50"/>
              <w:jc w:val="center"/>
              <w:rPr>
                <w:rFonts w:cs="Calibri"/>
                <w:szCs w:val="16"/>
              </w:rPr>
            </w:pPr>
            <w:r w:rsidRPr="00BE78CA">
              <w:rPr>
                <w:rFonts w:cs="Calibri"/>
                <w:szCs w:val="16"/>
              </w:rPr>
              <w:t>71.5</w:t>
            </w:r>
          </w:p>
        </w:tc>
        <w:tc>
          <w:tcPr>
            <w:tcW w:w="1487" w:type="dxa"/>
            <w:vAlign w:val="center"/>
          </w:tcPr>
          <w:p w14:paraId="1B12E681" w14:textId="77777777" w:rsidR="00F02481" w:rsidRPr="00BE78CA" w:rsidRDefault="00F02481" w:rsidP="00416320">
            <w:pPr>
              <w:pStyle w:val="TableText"/>
              <w:spacing w:before="50" w:after="50"/>
              <w:jc w:val="center"/>
              <w:rPr>
                <w:rFonts w:cs="Calibri"/>
                <w:szCs w:val="16"/>
              </w:rPr>
            </w:pPr>
            <w:r w:rsidRPr="00BE78CA">
              <w:rPr>
                <w:rFonts w:cs="Calibri"/>
                <w:szCs w:val="16"/>
              </w:rPr>
              <w:t>77.8</w:t>
            </w:r>
          </w:p>
        </w:tc>
        <w:tc>
          <w:tcPr>
            <w:tcW w:w="1487" w:type="dxa"/>
            <w:vAlign w:val="bottom"/>
          </w:tcPr>
          <w:p w14:paraId="3F21ADB8" w14:textId="77777777" w:rsidR="00F02481" w:rsidRPr="00BE78CA" w:rsidRDefault="00F02481" w:rsidP="00416320">
            <w:pPr>
              <w:pStyle w:val="TableText"/>
              <w:spacing w:before="50" w:after="50"/>
              <w:jc w:val="center"/>
              <w:rPr>
                <w:rFonts w:cs="Calibri"/>
                <w:szCs w:val="16"/>
              </w:rPr>
            </w:pPr>
            <w:r w:rsidRPr="00BE78CA">
              <w:rPr>
                <w:rFonts w:cs="Calibri"/>
                <w:szCs w:val="16"/>
              </w:rPr>
              <w:t>51.8</w:t>
            </w:r>
          </w:p>
        </w:tc>
        <w:tc>
          <w:tcPr>
            <w:tcW w:w="1536" w:type="dxa"/>
            <w:vAlign w:val="bottom"/>
          </w:tcPr>
          <w:p w14:paraId="0A1230EE" w14:textId="77777777" w:rsidR="00F02481" w:rsidRPr="00BE78CA" w:rsidRDefault="00F02481" w:rsidP="00416320">
            <w:pPr>
              <w:pStyle w:val="TableText"/>
              <w:spacing w:before="50" w:after="50"/>
              <w:ind w:right="510"/>
              <w:jc w:val="right"/>
              <w:rPr>
                <w:rFonts w:cs="Calibri"/>
                <w:szCs w:val="16"/>
              </w:rPr>
            </w:pPr>
            <w:r w:rsidRPr="00BE78CA">
              <w:rPr>
                <w:rFonts w:cs="Calibri"/>
                <w:szCs w:val="16"/>
              </w:rPr>
              <w:t>10.1</w:t>
            </w:r>
          </w:p>
        </w:tc>
        <w:tc>
          <w:tcPr>
            <w:tcW w:w="1518" w:type="dxa"/>
            <w:vAlign w:val="bottom"/>
          </w:tcPr>
          <w:p w14:paraId="76EBE011" w14:textId="77777777" w:rsidR="00F02481" w:rsidRPr="00BE78CA" w:rsidRDefault="00F02481" w:rsidP="00416320">
            <w:pPr>
              <w:pStyle w:val="TableText"/>
              <w:spacing w:before="50" w:after="50"/>
              <w:jc w:val="center"/>
              <w:rPr>
                <w:rFonts w:cs="Calibri"/>
                <w:szCs w:val="16"/>
              </w:rPr>
            </w:pPr>
            <w:r w:rsidRPr="00BE78CA">
              <w:rPr>
                <w:rFonts w:cs="Calibri"/>
                <w:szCs w:val="16"/>
              </w:rPr>
              <w:t>18.3</w:t>
            </w:r>
          </w:p>
        </w:tc>
      </w:tr>
      <w:tr w:rsidR="00F02481" w:rsidRPr="00BE78CA" w14:paraId="61A753B6" w14:textId="77777777" w:rsidTr="00160A37">
        <w:trPr>
          <w:trHeight w:val="239"/>
        </w:trPr>
        <w:tc>
          <w:tcPr>
            <w:tcW w:w="988" w:type="dxa"/>
          </w:tcPr>
          <w:p w14:paraId="60A387DA" w14:textId="77777777" w:rsidR="00F02481" w:rsidRPr="00BE78CA" w:rsidRDefault="00F02481" w:rsidP="00416320">
            <w:pPr>
              <w:pStyle w:val="TableText"/>
              <w:spacing w:before="50" w:after="50"/>
              <w:rPr>
                <w:rFonts w:cs="Calibri"/>
                <w:szCs w:val="16"/>
              </w:rPr>
            </w:pPr>
            <w:r w:rsidRPr="00BE78CA">
              <w:rPr>
                <w:rFonts w:cs="Calibri"/>
                <w:szCs w:val="16"/>
              </w:rPr>
              <w:t>1991</w:t>
            </w:r>
          </w:p>
        </w:tc>
        <w:tc>
          <w:tcPr>
            <w:tcW w:w="1489" w:type="dxa"/>
            <w:vAlign w:val="bottom"/>
          </w:tcPr>
          <w:p w14:paraId="7C9F925B" w14:textId="77777777" w:rsidR="00F02481" w:rsidRPr="00BE78CA" w:rsidRDefault="00F02481" w:rsidP="00416320">
            <w:pPr>
              <w:pStyle w:val="TableText"/>
              <w:spacing w:before="50" w:after="50"/>
              <w:jc w:val="center"/>
              <w:rPr>
                <w:rFonts w:cs="Calibri"/>
                <w:szCs w:val="16"/>
              </w:rPr>
            </w:pPr>
            <w:r w:rsidRPr="00BE78CA">
              <w:rPr>
                <w:rFonts w:cs="Calibri"/>
                <w:szCs w:val="16"/>
              </w:rPr>
              <w:t>74.5</w:t>
            </w:r>
          </w:p>
        </w:tc>
        <w:tc>
          <w:tcPr>
            <w:tcW w:w="1487" w:type="dxa"/>
            <w:vAlign w:val="center"/>
          </w:tcPr>
          <w:p w14:paraId="10BE96EF" w14:textId="77777777" w:rsidR="00F02481" w:rsidRPr="00BE78CA" w:rsidRDefault="00F02481" w:rsidP="00416320">
            <w:pPr>
              <w:pStyle w:val="TableText"/>
              <w:spacing w:before="50" w:after="50"/>
              <w:jc w:val="center"/>
              <w:rPr>
                <w:rFonts w:cs="Calibri"/>
                <w:szCs w:val="16"/>
              </w:rPr>
            </w:pPr>
            <w:r w:rsidRPr="00BE78CA">
              <w:rPr>
                <w:rFonts w:cs="Calibri"/>
                <w:szCs w:val="16"/>
              </w:rPr>
              <w:t>77.2</w:t>
            </w:r>
          </w:p>
        </w:tc>
        <w:tc>
          <w:tcPr>
            <w:tcW w:w="1487" w:type="dxa"/>
            <w:vAlign w:val="bottom"/>
          </w:tcPr>
          <w:p w14:paraId="7AB11B9F" w14:textId="77777777" w:rsidR="00F02481" w:rsidRPr="00BE78CA" w:rsidRDefault="00F02481" w:rsidP="00416320">
            <w:pPr>
              <w:pStyle w:val="TableText"/>
              <w:spacing w:before="50" w:after="50"/>
              <w:jc w:val="center"/>
              <w:rPr>
                <w:rFonts w:cs="Calibri"/>
                <w:szCs w:val="16"/>
              </w:rPr>
            </w:pPr>
            <w:r w:rsidRPr="00BE78CA">
              <w:rPr>
                <w:rFonts w:cs="Calibri"/>
                <w:szCs w:val="16"/>
              </w:rPr>
              <w:t>53.3</w:t>
            </w:r>
          </w:p>
        </w:tc>
        <w:tc>
          <w:tcPr>
            <w:tcW w:w="1536" w:type="dxa"/>
            <w:vAlign w:val="bottom"/>
          </w:tcPr>
          <w:p w14:paraId="777DA9EE" w14:textId="77777777" w:rsidR="00F02481" w:rsidRPr="00BE78CA" w:rsidRDefault="00F02481" w:rsidP="00416320">
            <w:pPr>
              <w:pStyle w:val="TableText"/>
              <w:spacing w:before="50" w:after="50"/>
              <w:ind w:right="510"/>
              <w:jc w:val="right"/>
              <w:rPr>
                <w:rFonts w:cs="Calibri"/>
                <w:szCs w:val="16"/>
              </w:rPr>
            </w:pPr>
            <w:r w:rsidRPr="00BE78CA">
              <w:rPr>
                <w:rFonts w:cs="Calibri"/>
                <w:szCs w:val="16"/>
              </w:rPr>
              <w:t>10.2</w:t>
            </w:r>
          </w:p>
        </w:tc>
        <w:tc>
          <w:tcPr>
            <w:tcW w:w="1518" w:type="dxa"/>
            <w:vAlign w:val="bottom"/>
          </w:tcPr>
          <w:p w14:paraId="2AED0360" w14:textId="77777777" w:rsidR="00F02481" w:rsidRPr="00BE78CA" w:rsidRDefault="00F02481" w:rsidP="00416320">
            <w:pPr>
              <w:pStyle w:val="TableText"/>
              <w:spacing w:before="50" w:after="50"/>
              <w:jc w:val="center"/>
              <w:rPr>
                <w:rFonts w:cs="Calibri"/>
                <w:szCs w:val="16"/>
              </w:rPr>
            </w:pPr>
            <w:r w:rsidRPr="00BE78CA">
              <w:rPr>
                <w:rFonts w:cs="Calibri"/>
                <w:szCs w:val="16"/>
              </w:rPr>
              <w:t>18.7</w:t>
            </w:r>
          </w:p>
        </w:tc>
      </w:tr>
      <w:tr w:rsidR="00F02481" w:rsidRPr="00BE78CA" w14:paraId="30A05BF0" w14:textId="77777777" w:rsidTr="00160A37">
        <w:trPr>
          <w:trHeight w:val="239"/>
        </w:trPr>
        <w:tc>
          <w:tcPr>
            <w:tcW w:w="988" w:type="dxa"/>
          </w:tcPr>
          <w:p w14:paraId="6B436526" w14:textId="77777777" w:rsidR="00F02481" w:rsidRPr="00BE78CA" w:rsidRDefault="00F02481" w:rsidP="00416320">
            <w:pPr>
              <w:pStyle w:val="TableText"/>
              <w:spacing w:before="50" w:after="50"/>
              <w:rPr>
                <w:rFonts w:cs="Calibri"/>
                <w:szCs w:val="16"/>
              </w:rPr>
            </w:pPr>
            <w:r w:rsidRPr="00BE78CA">
              <w:rPr>
                <w:rFonts w:cs="Calibri"/>
                <w:szCs w:val="16"/>
              </w:rPr>
              <w:t>1992</w:t>
            </w:r>
          </w:p>
        </w:tc>
        <w:tc>
          <w:tcPr>
            <w:tcW w:w="1489" w:type="dxa"/>
            <w:vAlign w:val="bottom"/>
          </w:tcPr>
          <w:p w14:paraId="138C628F" w14:textId="77777777" w:rsidR="00F02481" w:rsidRPr="00BE78CA" w:rsidRDefault="00F02481" w:rsidP="00416320">
            <w:pPr>
              <w:pStyle w:val="TableText"/>
              <w:spacing w:before="50" w:after="50"/>
              <w:jc w:val="center"/>
              <w:rPr>
                <w:rFonts w:cs="Calibri"/>
                <w:szCs w:val="16"/>
              </w:rPr>
            </w:pPr>
            <w:r w:rsidRPr="00BE78CA">
              <w:rPr>
                <w:rFonts w:cs="Calibri"/>
                <w:szCs w:val="16"/>
              </w:rPr>
              <w:t>75.2</w:t>
            </w:r>
          </w:p>
        </w:tc>
        <w:tc>
          <w:tcPr>
            <w:tcW w:w="1487" w:type="dxa"/>
            <w:vAlign w:val="center"/>
          </w:tcPr>
          <w:p w14:paraId="0BADD641" w14:textId="77777777" w:rsidR="00F02481" w:rsidRPr="00BE78CA" w:rsidRDefault="00F02481" w:rsidP="00416320">
            <w:pPr>
              <w:pStyle w:val="TableText"/>
              <w:spacing w:before="50" w:after="50"/>
              <w:jc w:val="center"/>
              <w:rPr>
                <w:rFonts w:cs="Calibri"/>
                <w:szCs w:val="16"/>
              </w:rPr>
            </w:pPr>
            <w:r w:rsidRPr="00BE78CA">
              <w:rPr>
                <w:rFonts w:cs="Calibri"/>
                <w:szCs w:val="16"/>
              </w:rPr>
              <w:t>81.6</w:t>
            </w:r>
          </w:p>
        </w:tc>
        <w:tc>
          <w:tcPr>
            <w:tcW w:w="1487" w:type="dxa"/>
            <w:vAlign w:val="bottom"/>
          </w:tcPr>
          <w:p w14:paraId="270127F9" w14:textId="77777777" w:rsidR="00F02481" w:rsidRPr="00BE78CA" w:rsidRDefault="00F02481" w:rsidP="00416320">
            <w:pPr>
              <w:pStyle w:val="TableText"/>
              <w:spacing w:before="50" w:after="50"/>
              <w:jc w:val="center"/>
              <w:rPr>
                <w:rFonts w:cs="Calibri"/>
                <w:szCs w:val="16"/>
              </w:rPr>
            </w:pPr>
            <w:r w:rsidRPr="00BE78CA">
              <w:rPr>
                <w:rFonts w:cs="Calibri"/>
                <w:szCs w:val="16"/>
              </w:rPr>
              <w:t>54.1</w:t>
            </w:r>
          </w:p>
        </w:tc>
        <w:tc>
          <w:tcPr>
            <w:tcW w:w="1536" w:type="dxa"/>
            <w:vAlign w:val="bottom"/>
          </w:tcPr>
          <w:p w14:paraId="7267434F" w14:textId="77777777" w:rsidR="00F02481" w:rsidRPr="00BE78CA" w:rsidRDefault="00F02481" w:rsidP="00416320">
            <w:pPr>
              <w:pStyle w:val="TableText"/>
              <w:spacing w:before="50" w:after="50"/>
              <w:ind w:right="510"/>
              <w:jc w:val="right"/>
              <w:rPr>
                <w:rFonts w:cs="Calibri"/>
                <w:szCs w:val="16"/>
              </w:rPr>
            </w:pPr>
            <w:r w:rsidRPr="00BE78CA">
              <w:rPr>
                <w:rFonts w:cs="Calibri"/>
                <w:szCs w:val="16"/>
              </w:rPr>
              <w:t>10.2</w:t>
            </w:r>
          </w:p>
        </w:tc>
        <w:tc>
          <w:tcPr>
            <w:tcW w:w="1518" w:type="dxa"/>
            <w:vAlign w:val="bottom"/>
          </w:tcPr>
          <w:p w14:paraId="7E8E3551" w14:textId="77777777" w:rsidR="00F02481" w:rsidRPr="00BE78CA" w:rsidRDefault="00F02481" w:rsidP="00416320">
            <w:pPr>
              <w:pStyle w:val="TableText"/>
              <w:spacing w:before="50" w:after="50"/>
              <w:jc w:val="center"/>
              <w:rPr>
                <w:rFonts w:cs="Calibri"/>
                <w:szCs w:val="16"/>
              </w:rPr>
            </w:pPr>
            <w:r w:rsidRPr="00BE78CA">
              <w:rPr>
                <w:rFonts w:cs="Calibri"/>
                <w:szCs w:val="16"/>
              </w:rPr>
              <w:t>19.6</w:t>
            </w:r>
          </w:p>
        </w:tc>
      </w:tr>
      <w:tr w:rsidR="00F02481" w:rsidRPr="00BE78CA" w14:paraId="67A082AF" w14:textId="77777777" w:rsidTr="00160A37">
        <w:trPr>
          <w:trHeight w:val="239"/>
        </w:trPr>
        <w:tc>
          <w:tcPr>
            <w:tcW w:w="988" w:type="dxa"/>
          </w:tcPr>
          <w:p w14:paraId="12F3D53D" w14:textId="77777777" w:rsidR="00F02481" w:rsidRPr="00BE78CA" w:rsidRDefault="00F02481" w:rsidP="00416320">
            <w:pPr>
              <w:pStyle w:val="TableText"/>
              <w:spacing w:before="50" w:after="50"/>
              <w:rPr>
                <w:rFonts w:cs="Calibri"/>
                <w:szCs w:val="16"/>
              </w:rPr>
            </w:pPr>
            <w:r w:rsidRPr="00BE78CA">
              <w:rPr>
                <w:rFonts w:cs="Calibri"/>
                <w:szCs w:val="16"/>
              </w:rPr>
              <w:t>1993</w:t>
            </w:r>
          </w:p>
        </w:tc>
        <w:tc>
          <w:tcPr>
            <w:tcW w:w="1489" w:type="dxa"/>
            <w:vAlign w:val="bottom"/>
          </w:tcPr>
          <w:p w14:paraId="2F4850D7" w14:textId="77777777" w:rsidR="00F02481" w:rsidRPr="00BE78CA" w:rsidRDefault="00F02481" w:rsidP="00416320">
            <w:pPr>
              <w:pStyle w:val="TableText"/>
              <w:spacing w:before="50" w:after="50"/>
              <w:jc w:val="center"/>
              <w:rPr>
                <w:rFonts w:cs="Calibri"/>
                <w:szCs w:val="16"/>
              </w:rPr>
            </w:pPr>
            <w:r w:rsidRPr="00BE78CA">
              <w:rPr>
                <w:rFonts w:cs="Calibri"/>
                <w:szCs w:val="16"/>
              </w:rPr>
              <w:t>76.0</w:t>
            </w:r>
          </w:p>
        </w:tc>
        <w:tc>
          <w:tcPr>
            <w:tcW w:w="1487" w:type="dxa"/>
            <w:vAlign w:val="center"/>
          </w:tcPr>
          <w:p w14:paraId="04520D1E" w14:textId="77777777" w:rsidR="00F02481" w:rsidRPr="00BE78CA" w:rsidRDefault="00F02481" w:rsidP="00416320">
            <w:pPr>
              <w:pStyle w:val="TableText"/>
              <w:spacing w:before="50" w:after="50"/>
              <w:jc w:val="center"/>
              <w:rPr>
                <w:rFonts w:cs="Calibri"/>
                <w:szCs w:val="16"/>
              </w:rPr>
            </w:pPr>
            <w:r w:rsidRPr="00BE78CA">
              <w:rPr>
                <w:rFonts w:cs="Calibri"/>
                <w:szCs w:val="16"/>
              </w:rPr>
              <w:t>82.7</w:t>
            </w:r>
          </w:p>
        </w:tc>
        <w:tc>
          <w:tcPr>
            <w:tcW w:w="1487" w:type="dxa"/>
            <w:vAlign w:val="bottom"/>
          </w:tcPr>
          <w:p w14:paraId="5ACDF68A" w14:textId="77777777" w:rsidR="00F02481" w:rsidRPr="00BE78CA" w:rsidRDefault="00F02481" w:rsidP="00416320">
            <w:pPr>
              <w:pStyle w:val="TableText"/>
              <w:spacing w:before="50" w:after="50"/>
              <w:jc w:val="center"/>
              <w:rPr>
                <w:rFonts w:cs="Calibri"/>
                <w:szCs w:val="16"/>
              </w:rPr>
            </w:pPr>
            <w:r w:rsidRPr="00BE78CA">
              <w:rPr>
                <w:rFonts w:cs="Calibri"/>
                <w:szCs w:val="16"/>
              </w:rPr>
              <w:t>54.9</w:t>
            </w:r>
          </w:p>
        </w:tc>
        <w:tc>
          <w:tcPr>
            <w:tcW w:w="1536" w:type="dxa"/>
            <w:vAlign w:val="bottom"/>
          </w:tcPr>
          <w:p w14:paraId="2A77E047" w14:textId="77777777" w:rsidR="00F02481" w:rsidRPr="00BE78CA" w:rsidRDefault="00F02481" w:rsidP="00416320">
            <w:pPr>
              <w:pStyle w:val="TableText"/>
              <w:spacing w:before="50" w:after="50"/>
              <w:ind w:right="510"/>
              <w:jc w:val="right"/>
              <w:rPr>
                <w:rFonts w:cs="Calibri"/>
                <w:szCs w:val="16"/>
              </w:rPr>
            </w:pPr>
            <w:r w:rsidRPr="00BE78CA">
              <w:rPr>
                <w:rFonts w:cs="Calibri"/>
                <w:szCs w:val="16"/>
              </w:rPr>
              <w:t>10.4</w:t>
            </w:r>
          </w:p>
        </w:tc>
        <w:tc>
          <w:tcPr>
            <w:tcW w:w="1518" w:type="dxa"/>
            <w:vAlign w:val="bottom"/>
          </w:tcPr>
          <w:p w14:paraId="53E3DCF5" w14:textId="77777777" w:rsidR="00F02481" w:rsidRPr="00BE78CA" w:rsidRDefault="00F02481" w:rsidP="00416320">
            <w:pPr>
              <w:pStyle w:val="TableText"/>
              <w:spacing w:before="50" w:after="50"/>
              <w:jc w:val="center"/>
              <w:rPr>
                <w:rFonts w:cs="Calibri"/>
                <w:szCs w:val="16"/>
              </w:rPr>
            </w:pPr>
            <w:r w:rsidRPr="00BE78CA">
              <w:rPr>
                <w:rFonts w:cs="Calibri"/>
                <w:szCs w:val="16"/>
              </w:rPr>
              <w:t>20.1</w:t>
            </w:r>
          </w:p>
        </w:tc>
      </w:tr>
      <w:tr w:rsidR="00F02481" w:rsidRPr="00BE78CA" w14:paraId="4367C320" w14:textId="77777777" w:rsidTr="00160A37">
        <w:trPr>
          <w:trHeight w:val="239"/>
        </w:trPr>
        <w:tc>
          <w:tcPr>
            <w:tcW w:w="988" w:type="dxa"/>
          </w:tcPr>
          <w:p w14:paraId="13C2720E" w14:textId="77777777" w:rsidR="00F02481" w:rsidRPr="00BE78CA" w:rsidRDefault="00F02481" w:rsidP="00416320">
            <w:pPr>
              <w:pStyle w:val="TableText"/>
              <w:spacing w:before="50" w:after="50"/>
              <w:rPr>
                <w:rFonts w:cs="Calibri"/>
                <w:szCs w:val="16"/>
              </w:rPr>
            </w:pPr>
            <w:r w:rsidRPr="00BE78CA">
              <w:rPr>
                <w:rFonts w:cs="Calibri"/>
                <w:szCs w:val="16"/>
              </w:rPr>
              <w:t>1994</w:t>
            </w:r>
          </w:p>
        </w:tc>
        <w:tc>
          <w:tcPr>
            <w:tcW w:w="1489" w:type="dxa"/>
            <w:vAlign w:val="bottom"/>
          </w:tcPr>
          <w:p w14:paraId="259E4DF1" w14:textId="77777777" w:rsidR="00F02481" w:rsidRPr="00BE78CA" w:rsidRDefault="00F02481" w:rsidP="00416320">
            <w:pPr>
              <w:pStyle w:val="TableText"/>
              <w:spacing w:before="50" w:after="50"/>
              <w:jc w:val="center"/>
              <w:rPr>
                <w:rFonts w:cs="Calibri"/>
                <w:szCs w:val="16"/>
              </w:rPr>
            </w:pPr>
            <w:r w:rsidRPr="00BE78CA">
              <w:rPr>
                <w:rFonts w:cs="Calibri"/>
                <w:szCs w:val="16"/>
              </w:rPr>
              <w:t>74.6</w:t>
            </w:r>
          </w:p>
        </w:tc>
        <w:tc>
          <w:tcPr>
            <w:tcW w:w="1487" w:type="dxa"/>
            <w:vAlign w:val="center"/>
          </w:tcPr>
          <w:p w14:paraId="4520DBA2" w14:textId="77777777" w:rsidR="00F02481" w:rsidRPr="00BE78CA" w:rsidRDefault="00F02481" w:rsidP="00416320">
            <w:pPr>
              <w:pStyle w:val="TableText"/>
              <w:spacing w:before="50" w:after="50"/>
              <w:jc w:val="center"/>
              <w:rPr>
                <w:rFonts w:cs="Calibri"/>
                <w:szCs w:val="16"/>
              </w:rPr>
            </w:pPr>
            <w:r w:rsidRPr="00BE78CA">
              <w:rPr>
                <w:rFonts w:cs="Calibri"/>
                <w:szCs w:val="16"/>
              </w:rPr>
              <w:t>84.8</w:t>
            </w:r>
          </w:p>
        </w:tc>
        <w:tc>
          <w:tcPr>
            <w:tcW w:w="1487" w:type="dxa"/>
            <w:vAlign w:val="bottom"/>
          </w:tcPr>
          <w:p w14:paraId="1896C1D3" w14:textId="77777777" w:rsidR="00F02481" w:rsidRPr="00BE78CA" w:rsidRDefault="00F02481" w:rsidP="00416320">
            <w:pPr>
              <w:pStyle w:val="TableText"/>
              <w:spacing w:before="50" w:after="50"/>
              <w:jc w:val="center"/>
              <w:rPr>
                <w:rFonts w:cs="Calibri"/>
                <w:szCs w:val="16"/>
              </w:rPr>
            </w:pPr>
            <w:r w:rsidRPr="00BE78CA">
              <w:rPr>
                <w:rFonts w:cs="Calibri"/>
                <w:szCs w:val="16"/>
              </w:rPr>
              <w:t>55.4</w:t>
            </w:r>
          </w:p>
        </w:tc>
        <w:tc>
          <w:tcPr>
            <w:tcW w:w="1536" w:type="dxa"/>
            <w:vAlign w:val="bottom"/>
          </w:tcPr>
          <w:p w14:paraId="6A968BAC" w14:textId="77777777" w:rsidR="00F02481" w:rsidRPr="00BE78CA" w:rsidRDefault="00F02481" w:rsidP="00416320">
            <w:pPr>
              <w:pStyle w:val="TableText"/>
              <w:spacing w:before="50" w:after="50"/>
              <w:ind w:right="510"/>
              <w:jc w:val="right"/>
              <w:rPr>
                <w:rFonts w:cs="Calibri"/>
                <w:szCs w:val="16"/>
              </w:rPr>
            </w:pPr>
            <w:r w:rsidRPr="00BE78CA">
              <w:rPr>
                <w:rFonts w:cs="Calibri"/>
                <w:szCs w:val="16"/>
              </w:rPr>
              <w:t>10.6</w:t>
            </w:r>
          </w:p>
        </w:tc>
        <w:tc>
          <w:tcPr>
            <w:tcW w:w="1518" w:type="dxa"/>
            <w:vAlign w:val="bottom"/>
          </w:tcPr>
          <w:p w14:paraId="2C794563" w14:textId="77777777" w:rsidR="00F02481" w:rsidRPr="00BE78CA" w:rsidRDefault="00F02481" w:rsidP="00416320">
            <w:pPr>
              <w:pStyle w:val="TableText"/>
              <w:spacing w:before="50" w:after="50"/>
              <w:jc w:val="center"/>
              <w:rPr>
                <w:rFonts w:cs="Calibri"/>
                <w:szCs w:val="16"/>
              </w:rPr>
            </w:pPr>
            <w:r w:rsidRPr="00BE78CA">
              <w:rPr>
                <w:rFonts w:cs="Calibri"/>
                <w:szCs w:val="16"/>
              </w:rPr>
              <w:t>19.7</w:t>
            </w:r>
          </w:p>
        </w:tc>
      </w:tr>
      <w:tr w:rsidR="00F02481" w:rsidRPr="00BE78CA" w14:paraId="61D880EB" w14:textId="77777777" w:rsidTr="00160A37">
        <w:trPr>
          <w:trHeight w:val="239"/>
        </w:trPr>
        <w:tc>
          <w:tcPr>
            <w:tcW w:w="988" w:type="dxa"/>
          </w:tcPr>
          <w:p w14:paraId="7EB58C7F" w14:textId="77777777" w:rsidR="00F02481" w:rsidRPr="00BE78CA" w:rsidRDefault="00F02481" w:rsidP="00416320">
            <w:pPr>
              <w:pStyle w:val="TableText"/>
              <w:spacing w:before="50" w:after="50"/>
              <w:rPr>
                <w:rFonts w:cs="Calibri"/>
                <w:szCs w:val="16"/>
              </w:rPr>
            </w:pPr>
            <w:r w:rsidRPr="00BE78CA">
              <w:rPr>
                <w:rFonts w:cs="Calibri"/>
                <w:szCs w:val="16"/>
              </w:rPr>
              <w:t>1995</w:t>
            </w:r>
          </w:p>
        </w:tc>
        <w:tc>
          <w:tcPr>
            <w:tcW w:w="1489" w:type="dxa"/>
            <w:vAlign w:val="bottom"/>
          </w:tcPr>
          <w:p w14:paraId="15DBD73B" w14:textId="77777777" w:rsidR="00F02481" w:rsidRPr="00BE78CA" w:rsidRDefault="00F02481" w:rsidP="00416320">
            <w:pPr>
              <w:pStyle w:val="TableText"/>
              <w:spacing w:before="50" w:after="50"/>
              <w:jc w:val="center"/>
              <w:rPr>
                <w:rFonts w:cs="Calibri"/>
                <w:szCs w:val="16"/>
              </w:rPr>
            </w:pPr>
            <w:r w:rsidRPr="00BE78CA">
              <w:rPr>
                <w:rFonts w:cs="Calibri"/>
                <w:szCs w:val="16"/>
              </w:rPr>
              <w:t>74.2</w:t>
            </w:r>
          </w:p>
        </w:tc>
        <w:tc>
          <w:tcPr>
            <w:tcW w:w="1487" w:type="dxa"/>
            <w:vAlign w:val="center"/>
          </w:tcPr>
          <w:p w14:paraId="2DDCA5E9" w14:textId="77777777" w:rsidR="00F02481" w:rsidRPr="00BE78CA" w:rsidRDefault="00F02481" w:rsidP="00416320">
            <w:pPr>
              <w:pStyle w:val="TableText"/>
              <w:spacing w:before="50" w:after="50"/>
              <w:jc w:val="center"/>
              <w:rPr>
                <w:rFonts w:cs="Calibri"/>
                <w:szCs w:val="16"/>
              </w:rPr>
            </w:pPr>
            <w:r w:rsidRPr="00BE78CA">
              <w:rPr>
                <w:rFonts w:cs="Calibri"/>
                <w:szCs w:val="16"/>
              </w:rPr>
              <w:t>83.9</w:t>
            </w:r>
          </w:p>
        </w:tc>
        <w:tc>
          <w:tcPr>
            <w:tcW w:w="1487" w:type="dxa"/>
            <w:vAlign w:val="bottom"/>
          </w:tcPr>
          <w:p w14:paraId="04D5AD52" w14:textId="77777777" w:rsidR="00F02481" w:rsidRPr="00BE78CA" w:rsidRDefault="00F02481" w:rsidP="00416320">
            <w:pPr>
              <w:pStyle w:val="TableText"/>
              <w:spacing w:before="50" w:after="50"/>
              <w:jc w:val="center"/>
              <w:rPr>
                <w:rFonts w:cs="Calibri"/>
                <w:szCs w:val="16"/>
              </w:rPr>
            </w:pPr>
            <w:r w:rsidRPr="00BE78CA">
              <w:rPr>
                <w:rFonts w:cs="Calibri"/>
                <w:szCs w:val="16"/>
              </w:rPr>
              <w:t>54.9</w:t>
            </w:r>
          </w:p>
        </w:tc>
        <w:tc>
          <w:tcPr>
            <w:tcW w:w="1536" w:type="dxa"/>
            <w:vAlign w:val="bottom"/>
          </w:tcPr>
          <w:p w14:paraId="1466D5D1" w14:textId="77777777" w:rsidR="00F02481" w:rsidRPr="00BE78CA" w:rsidRDefault="00F02481" w:rsidP="00416320">
            <w:pPr>
              <w:pStyle w:val="TableText"/>
              <w:spacing w:before="50" w:after="50"/>
              <w:ind w:right="510"/>
              <w:jc w:val="right"/>
              <w:rPr>
                <w:rFonts w:cs="Calibri"/>
                <w:szCs w:val="16"/>
              </w:rPr>
            </w:pPr>
            <w:r w:rsidRPr="00BE78CA">
              <w:rPr>
                <w:rFonts w:cs="Calibri"/>
                <w:szCs w:val="16"/>
              </w:rPr>
              <w:t>10.5</w:t>
            </w:r>
          </w:p>
        </w:tc>
        <w:tc>
          <w:tcPr>
            <w:tcW w:w="1518" w:type="dxa"/>
            <w:vAlign w:val="bottom"/>
          </w:tcPr>
          <w:p w14:paraId="48258127" w14:textId="77777777" w:rsidR="00F02481" w:rsidRPr="00BE78CA" w:rsidRDefault="00F02481" w:rsidP="00416320">
            <w:pPr>
              <w:pStyle w:val="TableText"/>
              <w:spacing w:before="50" w:after="50"/>
              <w:jc w:val="center"/>
              <w:rPr>
                <w:rFonts w:cs="Calibri"/>
                <w:szCs w:val="16"/>
              </w:rPr>
            </w:pPr>
            <w:r w:rsidRPr="00BE78CA">
              <w:rPr>
                <w:rFonts w:cs="Calibri"/>
                <w:szCs w:val="16"/>
              </w:rPr>
              <w:t>20.5</w:t>
            </w:r>
          </w:p>
        </w:tc>
      </w:tr>
      <w:tr w:rsidR="00F02481" w:rsidRPr="00BE78CA" w14:paraId="5698F2EB" w14:textId="77777777" w:rsidTr="00160A37">
        <w:trPr>
          <w:trHeight w:val="239"/>
        </w:trPr>
        <w:tc>
          <w:tcPr>
            <w:tcW w:w="988" w:type="dxa"/>
          </w:tcPr>
          <w:p w14:paraId="49D6A9B6" w14:textId="77777777" w:rsidR="00F02481" w:rsidRPr="00BE78CA" w:rsidRDefault="00F02481" w:rsidP="00416320">
            <w:pPr>
              <w:pStyle w:val="TableText"/>
              <w:spacing w:before="50" w:after="50"/>
              <w:rPr>
                <w:rFonts w:cs="Calibri"/>
                <w:szCs w:val="16"/>
              </w:rPr>
            </w:pPr>
            <w:r w:rsidRPr="00BE78CA">
              <w:rPr>
                <w:rFonts w:cs="Calibri"/>
                <w:szCs w:val="16"/>
              </w:rPr>
              <w:t>1996</w:t>
            </w:r>
          </w:p>
        </w:tc>
        <w:tc>
          <w:tcPr>
            <w:tcW w:w="1489" w:type="dxa"/>
            <w:vAlign w:val="bottom"/>
          </w:tcPr>
          <w:p w14:paraId="4B398C00" w14:textId="77777777" w:rsidR="00F02481" w:rsidRPr="00BE78CA" w:rsidRDefault="00F02481" w:rsidP="00416320">
            <w:pPr>
              <w:pStyle w:val="TableText"/>
              <w:spacing w:before="50" w:after="50"/>
              <w:jc w:val="center"/>
              <w:rPr>
                <w:rFonts w:cs="Calibri"/>
                <w:szCs w:val="16"/>
              </w:rPr>
            </w:pPr>
            <w:r w:rsidRPr="00BE78CA">
              <w:rPr>
                <w:rFonts w:cs="Calibri"/>
                <w:szCs w:val="16"/>
              </w:rPr>
              <w:t>76.7</w:t>
            </w:r>
          </w:p>
        </w:tc>
        <w:tc>
          <w:tcPr>
            <w:tcW w:w="1487" w:type="dxa"/>
            <w:vAlign w:val="center"/>
          </w:tcPr>
          <w:p w14:paraId="79BCB084" w14:textId="77777777" w:rsidR="00F02481" w:rsidRPr="00BE78CA" w:rsidRDefault="00F02481" w:rsidP="00416320">
            <w:pPr>
              <w:pStyle w:val="TableText"/>
              <w:spacing w:before="50" w:after="50"/>
              <w:jc w:val="center"/>
              <w:rPr>
                <w:rFonts w:cs="Calibri"/>
                <w:szCs w:val="16"/>
              </w:rPr>
            </w:pPr>
            <w:r w:rsidRPr="00BE78CA">
              <w:rPr>
                <w:rFonts w:cs="Calibri"/>
                <w:szCs w:val="16"/>
              </w:rPr>
              <w:t>84.4</w:t>
            </w:r>
          </w:p>
        </w:tc>
        <w:tc>
          <w:tcPr>
            <w:tcW w:w="1487" w:type="dxa"/>
            <w:vAlign w:val="bottom"/>
          </w:tcPr>
          <w:p w14:paraId="56CCB3F5" w14:textId="77777777" w:rsidR="00F02481" w:rsidRPr="00BE78CA" w:rsidRDefault="00F02481" w:rsidP="00416320">
            <w:pPr>
              <w:pStyle w:val="TableText"/>
              <w:spacing w:before="50" w:after="50"/>
              <w:jc w:val="center"/>
              <w:rPr>
                <w:rFonts w:cs="Calibri"/>
                <w:szCs w:val="16"/>
              </w:rPr>
            </w:pPr>
            <w:r w:rsidRPr="00BE78CA">
              <w:rPr>
                <w:rFonts w:cs="Calibri"/>
                <w:szCs w:val="16"/>
              </w:rPr>
              <w:t>56.7</w:t>
            </w:r>
          </w:p>
        </w:tc>
        <w:tc>
          <w:tcPr>
            <w:tcW w:w="1536" w:type="dxa"/>
            <w:vAlign w:val="bottom"/>
          </w:tcPr>
          <w:p w14:paraId="0620AF86" w14:textId="77777777" w:rsidR="00F02481" w:rsidRPr="00BE78CA" w:rsidRDefault="00F02481" w:rsidP="00416320">
            <w:pPr>
              <w:pStyle w:val="TableText"/>
              <w:spacing w:before="50" w:after="50"/>
              <w:ind w:right="510"/>
              <w:jc w:val="right"/>
              <w:rPr>
                <w:rFonts w:cs="Calibri"/>
                <w:szCs w:val="16"/>
              </w:rPr>
            </w:pPr>
            <w:r w:rsidRPr="00BE78CA">
              <w:rPr>
                <w:rFonts w:cs="Calibri"/>
                <w:szCs w:val="16"/>
              </w:rPr>
              <w:t>10.9</w:t>
            </w:r>
          </w:p>
        </w:tc>
        <w:tc>
          <w:tcPr>
            <w:tcW w:w="1518" w:type="dxa"/>
            <w:vAlign w:val="bottom"/>
          </w:tcPr>
          <w:p w14:paraId="2EFA6246" w14:textId="77777777" w:rsidR="00F02481" w:rsidRPr="00BE78CA" w:rsidRDefault="00F02481" w:rsidP="00416320">
            <w:pPr>
              <w:pStyle w:val="TableText"/>
              <w:spacing w:before="50" w:after="50"/>
              <w:jc w:val="center"/>
              <w:rPr>
                <w:rFonts w:cs="Calibri"/>
                <w:szCs w:val="16"/>
              </w:rPr>
            </w:pPr>
            <w:r w:rsidRPr="00BE78CA">
              <w:rPr>
                <w:rFonts w:cs="Calibri"/>
                <w:szCs w:val="16"/>
              </w:rPr>
              <w:t>20.7</w:t>
            </w:r>
          </w:p>
        </w:tc>
      </w:tr>
      <w:tr w:rsidR="00F02481" w:rsidRPr="00BE78CA" w14:paraId="49C91F60" w14:textId="77777777" w:rsidTr="00160A37">
        <w:trPr>
          <w:trHeight w:val="251"/>
        </w:trPr>
        <w:tc>
          <w:tcPr>
            <w:tcW w:w="988" w:type="dxa"/>
          </w:tcPr>
          <w:p w14:paraId="44ABF2E5" w14:textId="77777777" w:rsidR="00F02481" w:rsidRPr="00BE78CA" w:rsidRDefault="00F02481" w:rsidP="00416320">
            <w:pPr>
              <w:pStyle w:val="TableText"/>
              <w:spacing w:before="50" w:after="50"/>
              <w:rPr>
                <w:rFonts w:cs="Calibri"/>
                <w:szCs w:val="16"/>
              </w:rPr>
            </w:pPr>
            <w:r w:rsidRPr="00BE78CA">
              <w:rPr>
                <w:rFonts w:cs="Calibri"/>
                <w:szCs w:val="16"/>
              </w:rPr>
              <w:t>1997</w:t>
            </w:r>
          </w:p>
        </w:tc>
        <w:tc>
          <w:tcPr>
            <w:tcW w:w="1489" w:type="dxa"/>
            <w:vAlign w:val="bottom"/>
          </w:tcPr>
          <w:p w14:paraId="139206A6" w14:textId="77777777" w:rsidR="00F02481" w:rsidRPr="00BE78CA" w:rsidRDefault="00F02481" w:rsidP="00416320">
            <w:pPr>
              <w:pStyle w:val="TableText"/>
              <w:spacing w:before="50" w:after="50"/>
              <w:jc w:val="center"/>
              <w:rPr>
                <w:rFonts w:cs="Calibri"/>
                <w:szCs w:val="16"/>
              </w:rPr>
            </w:pPr>
            <w:r w:rsidRPr="00BE78CA">
              <w:rPr>
                <w:rFonts w:cs="Calibri"/>
                <w:szCs w:val="16"/>
              </w:rPr>
              <w:t>77.6</w:t>
            </w:r>
          </w:p>
        </w:tc>
        <w:tc>
          <w:tcPr>
            <w:tcW w:w="1487" w:type="dxa"/>
            <w:vAlign w:val="center"/>
          </w:tcPr>
          <w:p w14:paraId="6415BE68" w14:textId="77777777" w:rsidR="00F02481" w:rsidRPr="00BE78CA" w:rsidRDefault="00F02481" w:rsidP="00416320">
            <w:pPr>
              <w:pStyle w:val="TableText"/>
              <w:spacing w:before="50" w:after="50"/>
              <w:jc w:val="center"/>
              <w:rPr>
                <w:rFonts w:cs="Calibri"/>
                <w:szCs w:val="16"/>
              </w:rPr>
            </w:pPr>
            <w:r w:rsidRPr="00BE78CA">
              <w:rPr>
                <w:rFonts w:cs="Calibri"/>
                <w:szCs w:val="16"/>
              </w:rPr>
              <w:t>86.2</w:t>
            </w:r>
          </w:p>
        </w:tc>
        <w:tc>
          <w:tcPr>
            <w:tcW w:w="1487" w:type="dxa"/>
            <w:vAlign w:val="bottom"/>
          </w:tcPr>
          <w:p w14:paraId="31368D26" w14:textId="77777777" w:rsidR="00F02481" w:rsidRPr="00BE78CA" w:rsidRDefault="00F02481" w:rsidP="00416320">
            <w:pPr>
              <w:pStyle w:val="TableText"/>
              <w:spacing w:before="50" w:after="50"/>
              <w:jc w:val="center"/>
              <w:rPr>
                <w:rFonts w:cs="Calibri"/>
                <w:szCs w:val="16"/>
              </w:rPr>
            </w:pPr>
            <w:r w:rsidRPr="00BE78CA">
              <w:rPr>
                <w:rFonts w:cs="Calibri"/>
                <w:szCs w:val="16"/>
              </w:rPr>
              <w:t>57.7</w:t>
            </w:r>
          </w:p>
        </w:tc>
        <w:tc>
          <w:tcPr>
            <w:tcW w:w="1536" w:type="dxa"/>
            <w:vAlign w:val="bottom"/>
          </w:tcPr>
          <w:p w14:paraId="14D1BDD4" w14:textId="77777777" w:rsidR="00F02481" w:rsidRPr="00BE78CA" w:rsidRDefault="00F02481" w:rsidP="00416320">
            <w:pPr>
              <w:pStyle w:val="TableText"/>
              <w:spacing w:before="50" w:after="50"/>
              <w:ind w:right="510"/>
              <w:jc w:val="right"/>
              <w:rPr>
                <w:rFonts w:cs="Calibri"/>
                <w:szCs w:val="16"/>
              </w:rPr>
            </w:pPr>
            <w:r w:rsidRPr="00BE78CA">
              <w:rPr>
                <w:rFonts w:cs="Calibri"/>
                <w:szCs w:val="16"/>
              </w:rPr>
              <w:t>11.2</w:t>
            </w:r>
          </w:p>
        </w:tc>
        <w:tc>
          <w:tcPr>
            <w:tcW w:w="1518" w:type="dxa"/>
            <w:vAlign w:val="bottom"/>
          </w:tcPr>
          <w:p w14:paraId="4D6C2B62" w14:textId="77777777" w:rsidR="00F02481" w:rsidRPr="00BE78CA" w:rsidRDefault="00F02481" w:rsidP="00416320">
            <w:pPr>
              <w:pStyle w:val="TableText"/>
              <w:spacing w:before="50" w:after="50"/>
              <w:jc w:val="center"/>
              <w:rPr>
                <w:rFonts w:cs="Calibri"/>
                <w:szCs w:val="16"/>
              </w:rPr>
            </w:pPr>
            <w:r w:rsidRPr="00BE78CA">
              <w:rPr>
                <w:rFonts w:cs="Calibri"/>
                <w:szCs w:val="16"/>
              </w:rPr>
              <w:t>21.0</w:t>
            </w:r>
          </w:p>
        </w:tc>
      </w:tr>
      <w:tr w:rsidR="00F02481" w:rsidRPr="00BE78CA" w14:paraId="53BBDE17" w14:textId="77777777" w:rsidTr="00160A37">
        <w:trPr>
          <w:trHeight w:val="239"/>
        </w:trPr>
        <w:tc>
          <w:tcPr>
            <w:tcW w:w="988" w:type="dxa"/>
          </w:tcPr>
          <w:p w14:paraId="43C5785F" w14:textId="77777777" w:rsidR="00F02481" w:rsidRPr="00BE78CA" w:rsidRDefault="00F02481" w:rsidP="00416320">
            <w:pPr>
              <w:pStyle w:val="TableText"/>
              <w:spacing w:before="50" w:after="50"/>
              <w:rPr>
                <w:rFonts w:cs="Calibri"/>
                <w:szCs w:val="16"/>
              </w:rPr>
            </w:pPr>
            <w:r w:rsidRPr="00BE78CA">
              <w:rPr>
                <w:rFonts w:cs="Calibri"/>
                <w:szCs w:val="16"/>
              </w:rPr>
              <w:t>1998</w:t>
            </w:r>
          </w:p>
        </w:tc>
        <w:tc>
          <w:tcPr>
            <w:tcW w:w="1489" w:type="dxa"/>
            <w:vAlign w:val="bottom"/>
          </w:tcPr>
          <w:p w14:paraId="09A7ADD4" w14:textId="77777777" w:rsidR="00F02481" w:rsidRPr="00BE78CA" w:rsidRDefault="00F02481" w:rsidP="00416320">
            <w:pPr>
              <w:pStyle w:val="TableText"/>
              <w:spacing w:before="50" w:after="50"/>
              <w:jc w:val="center"/>
              <w:rPr>
                <w:rFonts w:cs="Calibri"/>
                <w:szCs w:val="16"/>
              </w:rPr>
            </w:pPr>
            <w:r w:rsidRPr="00BE78CA">
              <w:rPr>
                <w:rFonts w:cs="Calibri"/>
                <w:szCs w:val="16"/>
              </w:rPr>
              <w:t>75.6</w:t>
            </w:r>
          </w:p>
        </w:tc>
        <w:tc>
          <w:tcPr>
            <w:tcW w:w="1487" w:type="dxa"/>
            <w:vAlign w:val="center"/>
          </w:tcPr>
          <w:p w14:paraId="00C46547" w14:textId="77777777" w:rsidR="00F02481" w:rsidRPr="00BE78CA" w:rsidRDefault="00F02481" w:rsidP="00416320">
            <w:pPr>
              <w:pStyle w:val="TableText"/>
              <w:spacing w:before="50" w:after="50"/>
              <w:jc w:val="center"/>
              <w:rPr>
                <w:rFonts w:cs="Calibri"/>
                <w:szCs w:val="16"/>
              </w:rPr>
            </w:pPr>
            <w:r w:rsidRPr="00BE78CA">
              <w:rPr>
                <w:rFonts w:cs="Calibri"/>
                <w:szCs w:val="16"/>
              </w:rPr>
              <w:t>83.0</w:t>
            </w:r>
          </w:p>
        </w:tc>
        <w:tc>
          <w:tcPr>
            <w:tcW w:w="1487" w:type="dxa"/>
            <w:vAlign w:val="bottom"/>
          </w:tcPr>
          <w:p w14:paraId="096DFE4F" w14:textId="77777777" w:rsidR="00F02481" w:rsidRPr="00BE78CA" w:rsidRDefault="00F02481" w:rsidP="00416320">
            <w:pPr>
              <w:pStyle w:val="TableText"/>
              <w:spacing w:before="50" w:after="50"/>
              <w:jc w:val="center"/>
              <w:rPr>
                <w:rFonts w:cs="Calibri"/>
                <w:szCs w:val="16"/>
              </w:rPr>
            </w:pPr>
            <w:r w:rsidRPr="00BE78CA">
              <w:rPr>
                <w:rFonts w:cs="Calibri"/>
                <w:szCs w:val="16"/>
              </w:rPr>
              <w:t>57.9</w:t>
            </w:r>
          </w:p>
        </w:tc>
        <w:tc>
          <w:tcPr>
            <w:tcW w:w="1536" w:type="dxa"/>
            <w:vAlign w:val="bottom"/>
          </w:tcPr>
          <w:p w14:paraId="5BC1C1F0" w14:textId="77777777" w:rsidR="00F02481" w:rsidRPr="00BE78CA" w:rsidRDefault="00F02481" w:rsidP="00416320">
            <w:pPr>
              <w:pStyle w:val="TableText"/>
              <w:spacing w:before="50" w:after="50"/>
              <w:ind w:right="510"/>
              <w:jc w:val="right"/>
              <w:rPr>
                <w:rFonts w:cs="Calibri"/>
                <w:szCs w:val="16"/>
              </w:rPr>
            </w:pPr>
            <w:r w:rsidRPr="00BE78CA">
              <w:rPr>
                <w:rFonts w:cs="Calibri"/>
                <w:szCs w:val="16"/>
              </w:rPr>
              <w:t>11.3</w:t>
            </w:r>
          </w:p>
        </w:tc>
        <w:tc>
          <w:tcPr>
            <w:tcW w:w="1518" w:type="dxa"/>
            <w:vAlign w:val="bottom"/>
          </w:tcPr>
          <w:p w14:paraId="333A0418" w14:textId="77777777" w:rsidR="00F02481" w:rsidRPr="00BE78CA" w:rsidRDefault="00F02481" w:rsidP="00416320">
            <w:pPr>
              <w:pStyle w:val="TableText"/>
              <w:spacing w:before="50" w:after="50"/>
              <w:jc w:val="center"/>
              <w:rPr>
                <w:rFonts w:cs="Calibri"/>
                <w:szCs w:val="16"/>
              </w:rPr>
            </w:pPr>
            <w:r w:rsidRPr="00BE78CA">
              <w:rPr>
                <w:rFonts w:cs="Calibri"/>
                <w:szCs w:val="16"/>
              </w:rPr>
              <w:t>21.1</w:t>
            </w:r>
          </w:p>
        </w:tc>
      </w:tr>
      <w:tr w:rsidR="00F02481" w:rsidRPr="00BE78CA" w14:paraId="4461341A" w14:textId="77777777" w:rsidTr="00160A37">
        <w:trPr>
          <w:trHeight w:val="239"/>
        </w:trPr>
        <w:tc>
          <w:tcPr>
            <w:tcW w:w="988" w:type="dxa"/>
          </w:tcPr>
          <w:p w14:paraId="6943FC3C" w14:textId="77777777" w:rsidR="00F02481" w:rsidRPr="00BE78CA" w:rsidRDefault="00F02481" w:rsidP="00416320">
            <w:pPr>
              <w:pStyle w:val="TableText"/>
              <w:spacing w:before="50" w:after="50"/>
              <w:rPr>
                <w:rFonts w:cs="Calibri"/>
                <w:szCs w:val="16"/>
              </w:rPr>
            </w:pPr>
            <w:r w:rsidRPr="00BE78CA">
              <w:rPr>
                <w:rFonts w:cs="Calibri"/>
                <w:szCs w:val="16"/>
              </w:rPr>
              <w:t>1999</w:t>
            </w:r>
          </w:p>
        </w:tc>
        <w:tc>
          <w:tcPr>
            <w:tcW w:w="1489" w:type="dxa"/>
            <w:vAlign w:val="bottom"/>
          </w:tcPr>
          <w:p w14:paraId="70306881" w14:textId="77777777" w:rsidR="00F02481" w:rsidRPr="00BE78CA" w:rsidRDefault="00F02481" w:rsidP="00416320">
            <w:pPr>
              <w:pStyle w:val="TableText"/>
              <w:spacing w:before="50" w:after="50"/>
              <w:jc w:val="center"/>
              <w:rPr>
                <w:rFonts w:cs="Calibri"/>
                <w:szCs w:val="16"/>
              </w:rPr>
            </w:pPr>
            <w:r w:rsidRPr="00BE78CA">
              <w:rPr>
                <w:rFonts w:cs="Calibri"/>
                <w:szCs w:val="16"/>
              </w:rPr>
              <w:t>77.0</w:t>
            </w:r>
          </w:p>
        </w:tc>
        <w:tc>
          <w:tcPr>
            <w:tcW w:w="1487" w:type="dxa"/>
            <w:vAlign w:val="center"/>
          </w:tcPr>
          <w:p w14:paraId="0C260D7C" w14:textId="77777777" w:rsidR="00F02481" w:rsidRPr="00BE78CA" w:rsidRDefault="00F02481" w:rsidP="00416320">
            <w:pPr>
              <w:pStyle w:val="TableText"/>
              <w:spacing w:before="50" w:after="50"/>
              <w:jc w:val="center"/>
              <w:rPr>
                <w:rFonts w:cs="Calibri"/>
                <w:szCs w:val="16"/>
              </w:rPr>
            </w:pPr>
            <w:r w:rsidRPr="00BE78CA">
              <w:rPr>
                <w:rFonts w:cs="Calibri"/>
                <w:szCs w:val="16"/>
              </w:rPr>
              <w:t>81.8</w:t>
            </w:r>
          </w:p>
        </w:tc>
        <w:tc>
          <w:tcPr>
            <w:tcW w:w="1487" w:type="dxa"/>
            <w:vAlign w:val="bottom"/>
          </w:tcPr>
          <w:p w14:paraId="2AE001D3" w14:textId="77777777" w:rsidR="00F02481" w:rsidRPr="00BE78CA" w:rsidRDefault="00F02481" w:rsidP="00416320">
            <w:pPr>
              <w:pStyle w:val="TableText"/>
              <w:spacing w:before="50" w:after="50"/>
              <w:jc w:val="center"/>
              <w:rPr>
                <w:rFonts w:cs="Calibri"/>
                <w:szCs w:val="16"/>
              </w:rPr>
            </w:pPr>
            <w:r w:rsidRPr="00BE78CA">
              <w:rPr>
                <w:rFonts w:cs="Calibri"/>
                <w:szCs w:val="16"/>
              </w:rPr>
              <w:t>56.5</w:t>
            </w:r>
          </w:p>
        </w:tc>
        <w:tc>
          <w:tcPr>
            <w:tcW w:w="1536" w:type="dxa"/>
            <w:vAlign w:val="bottom"/>
          </w:tcPr>
          <w:p w14:paraId="6EB2C2D5" w14:textId="77777777" w:rsidR="00F02481" w:rsidRPr="00BE78CA" w:rsidRDefault="00F02481" w:rsidP="00416320">
            <w:pPr>
              <w:pStyle w:val="TableText"/>
              <w:spacing w:before="50" w:after="50"/>
              <w:ind w:right="510"/>
              <w:jc w:val="right"/>
              <w:rPr>
                <w:rFonts w:cs="Calibri"/>
                <w:szCs w:val="16"/>
              </w:rPr>
            </w:pPr>
            <w:r w:rsidRPr="00BE78CA">
              <w:rPr>
                <w:rFonts w:cs="Calibri"/>
                <w:szCs w:val="16"/>
              </w:rPr>
              <w:t>11.2</w:t>
            </w:r>
          </w:p>
        </w:tc>
        <w:tc>
          <w:tcPr>
            <w:tcW w:w="1518" w:type="dxa"/>
            <w:vAlign w:val="bottom"/>
          </w:tcPr>
          <w:p w14:paraId="5AE954A5" w14:textId="77777777" w:rsidR="00F02481" w:rsidRPr="00BE78CA" w:rsidRDefault="00F02481" w:rsidP="00416320">
            <w:pPr>
              <w:pStyle w:val="TableText"/>
              <w:spacing w:before="50" w:after="50"/>
              <w:jc w:val="center"/>
              <w:rPr>
                <w:rFonts w:cs="Calibri"/>
                <w:szCs w:val="16"/>
              </w:rPr>
            </w:pPr>
            <w:r w:rsidRPr="00BE78CA">
              <w:rPr>
                <w:rFonts w:cs="Calibri"/>
                <w:szCs w:val="16"/>
              </w:rPr>
              <w:t>21.3</w:t>
            </w:r>
          </w:p>
        </w:tc>
      </w:tr>
      <w:tr w:rsidR="00F02481" w:rsidRPr="00BE78CA" w14:paraId="2D632DBF" w14:textId="77777777" w:rsidTr="00160A37">
        <w:trPr>
          <w:trHeight w:val="239"/>
        </w:trPr>
        <w:tc>
          <w:tcPr>
            <w:tcW w:w="988" w:type="dxa"/>
          </w:tcPr>
          <w:p w14:paraId="6018B471" w14:textId="77777777" w:rsidR="00F02481" w:rsidRPr="00BE78CA" w:rsidRDefault="00F02481" w:rsidP="00416320">
            <w:pPr>
              <w:pStyle w:val="TableText"/>
              <w:spacing w:before="50" w:after="50"/>
              <w:rPr>
                <w:rFonts w:cs="Calibri"/>
                <w:szCs w:val="16"/>
              </w:rPr>
            </w:pPr>
            <w:r w:rsidRPr="00BE78CA">
              <w:rPr>
                <w:rFonts w:cs="Calibri"/>
                <w:szCs w:val="16"/>
              </w:rPr>
              <w:t>2000</w:t>
            </w:r>
          </w:p>
        </w:tc>
        <w:tc>
          <w:tcPr>
            <w:tcW w:w="1489" w:type="dxa"/>
            <w:vAlign w:val="bottom"/>
          </w:tcPr>
          <w:p w14:paraId="2ECF3B94" w14:textId="77777777" w:rsidR="00F02481" w:rsidRPr="00BE78CA" w:rsidRDefault="00F02481" w:rsidP="00416320">
            <w:pPr>
              <w:pStyle w:val="TableText"/>
              <w:spacing w:before="50" w:after="50"/>
              <w:jc w:val="center"/>
              <w:rPr>
                <w:rFonts w:cs="Calibri"/>
                <w:szCs w:val="16"/>
              </w:rPr>
            </w:pPr>
            <w:r w:rsidRPr="00BE78CA">
              <w:rPr>
                <w:rFonts w:cs="Calibri"/>
                <w:szCs w:val="16"/>
              </w:rPr>
              <w:t>78.5</w:t>
            </w:r>
          </w:p>
        </w:tc>
        <w:tc>
          <w:tcPr>
            <w:tcW w:w="1487" w:type="dxa"/>
            <w:vAlign w:val="center"/>
          </w:tcPr>
          <w:p w14:paraId="5F2D5F27" w14:textId="77777777" w:rsidR="00F02481" w:rsidRPr="00BE78CA" w:rsidRDefault="00F02481" w:rsidP="00416320">
            <w:pPr>
              <w:pStyle w:val="TableText"/>
              <w:spacing w:before="50" w:after="50"/>
              <w:jc w:val="center"/>
              <w:rPr>
                <w:rFonts w:cs="Calibri"/>
                <w:szCs w:val="16"/>
              </w:rPr>
            </w:pPr>
            <w:r w:rsidRPr="00BE78CA">
              <w:rPr>
                <w:rFonts w:cs="Calibri"/>
                <w:szCs w:val="16"/>
              </w:rPr>
              <w:t>89.9</w:t>
            </w:r>
          </w:p>
        </w:tc>
        <w:tc>
          <w:tcPr>
            <w:tcW w:w="1487" w:type="dxa"/>
            <w:vAlign w:val="bottom"/>
          </w:tcPr>
          <w:p w14:paraId="6AA83275" w14:textId="77777777" w:rsidR="00F02481" w:rsidRPr="00BE78CA" w:rsidRDefault="00F02481" w:rsidP="00416320">
            <w:pPr>
              <w:pStyle w:val="TableText"/>
              <w:spacing w:before="50" w:after="50"/>
              <w:jc w:val="center"/>
              <w:rPr>
                <w:rFonts w:cs="Calibri"/>
                <w:szCs w:val="16"/>
              </w:rPr>
            </w:pPr>
            <w:r w:rsidRPr="00BE78CA">
              <w:rPr>
                <w:rFonts w:cs="Calibri"/>
                <w:szCs w:val="16"/>
              </w:rPr>
              <w:t>58.5</w:t>
            </w:r>
          </w:p>
        </w:tc>
        <w:tc>
          <w:tcPr>
            <w:tcW w:w="1536" w:type="dxa"/>
            <w:vAlign w:val="bottom"/>
          </w:tcPr>
          <w:p w14:paraId="51A4A3CB" w14:textId="77777777" w:rsidR="00F02481" w:rsidRPr="00BE78CA" w:rsidRDefault="00F02481" w:rsidP="00416320">
            <w:pPr>
              <w:pStyle w:val="TableText"/>
              <w:spacing w:before="50" w:after="50"/>
              <w:ind w:right="510"/>
              <w:jc w:val="right"/>
              <w:rPr>
                <w:rFonts w:cs="Calibri"/>
                <w:szCs w:val="16"/>
              </w:rPr>
            </w:pPr>
            <w:r w:rsidRPr="00BE78CA">
              <w:rPr>
                <w:rFonts w:cs="Calibri"/>
                <w:szCs w:val="16"/>
              </w:rPr>
              <w:t>11.6</w:t>
            </w:r>
          </w:p>
        </w:tc>
        <w:tc>
          <w:tcPr>
            <w:tcW w:w="1518" w:type="dxa"/>
            <w:vAlign w:val="bottom"/>
          </w:tcPr>
          <w:p w14:paraId="342C952A" w14:textId="77777777" w:rsidR="00F02481" w:rsidRPr="00BE78CA" w:rsidRDefault="00F02481" w:rsidP="00416320">
            <w:pPr>
              <w:pStyle w:val="TableText"/>
              <w:spacing w:before="50" w:after="50"/>
              <w:jc w:val="center"/>
              <w:rPr>
                <w:rFonts w:cs="Calibri"/>
                <w:szCs w:val="16"/>
              </w:rPr>
            </w:pPr>
            <w:r w:rsidRPr="00BE78CA">
              <w:rPr>
                <w:rFonts w:cs="Calibri"/>
                <w:szCs w:val="16"/>
              </w:rPr>
              <w:t>21.7</w:t>
            </w:r>
          </w:p>
        </w:tc>
      </w:tr>
      <w:tr w:rsidR="00F02481" w:rsidRPr="00BE78CA" w14:paraId="78501C72" w14:textId="77777777" w:rsidTr="00160A37">
        <w:trPr>
          <w:trHeight w:val="239"/>
        </w:trPr>
        <w:tc>
          <w:tcPr>
            <w:tcW w:w="988" w:type="dxa"/>
          </w:tcPr>
          <w:p w14:paraId="50DEC8C9" w14:textId="77777777" w:rsidR="00F02481" w:rsidRPr="00BE78CA" w:rsidRDefault="00F02481" w:rsidP="00416320">
            <w:pPr>
              <w:pStyle w:val="TableText"/>
              <w:spacing w:before="50" w:after="50"/>
              <w:rPr>
                <w:rFonts w:cs="Calibri"/>
                <w:szCs w:val="16"/>
              </w:rPr>
            </w:pPr>
            <w:r w:rsidRPr="00BE78CA">
              <w:rPr>
                <w:rFonts w:cs="Calibri"/>
                <w:szCs w:val="16"/>
              </w:rPr>
              <w:t>2001</w:t>
            </w:r>
          </w:p>
        </w:tc>
        <w:tc>
          <w:tcPr>
            <w:tcW w:w="1489" w:type="dxa"/>
            <w:vAlign w:val="bottom"/>
          </w:tcPr>
          <w:p w14:paraId="0DC99D0A" w14:textId="77777777" w:rsidR="00F02481" w:rsidRPr="00BE78CA" w:rsidRDefault="00F02481" w:rsidP="00416320">
            <w:pPr>
              <w:pStyle w:val="TableText"/>
              <w:spacing w:before="50" w:after="50"/>
              <w:jc w:val="center"/>
              <w:rPr>
                <w:rFonts w:cs="Calibri"/>
                <w:szCs w:val="16"/>
              </w:rPr>
            </w:pPr>
            <w:r w:rsidRPr="00BE78CA">
              <w:rPr>
                <w:rFonts w:cs="Calibri"/>
                <w:szCs w:val="16"/>
              </w:rPr>
              <w:t>79.6</w:t>
            </w:r>
          </w:p>
        </w:tc>
        <w:tc>
          <w:tcPr>
            <w:tcW w:w="1487" w:type="dxa"/>
            <w:vAlign w:val="center"/>
          </w:tcPr>
          <w:p w14:paraId="0A9A5031" w14:textId="77777777" w:rsidR="00F02481" w:rsidRPr="00BE78CA" w:rsidRDefault="00F02481" w:rsidP="00416320">
            <w:pPr>
              <w:pStyle w:val="TableText"/>
              <w:spacing w:before="50" w:after="50"/>
              <w:jc w:val="center"/>
              <w:rPr>
                <w:rFonts w:cs="Calibri"/>
                <w:szCs w:val="16"/>
              </w:rPr>
            </w:pPr>
            <w:r w:rsidRPr="00BE78CA">
              <w:rPr>
                <w:rFonts w:cs="Calibri"/>
                <w:szCs w:val="16"/>
              </w:rPr>
              <w:t>91.5</w:t>
            </w:r>
          </w:p>
        </w:tc>
        <w:tc>
          <w:tcPr>
            <w:tcW w:w="1487" w:type="dxa"/>
            <w:vAlign w:val="bottom"/>
          </w:tcPr>
          <w:p w14:paraId="5D032D2F" w14:textId="77777777" w:rsidR="00F02481" w:rsidRPr="00BE78CA" w:rsidRDefault="00F02481" w:rsidP="00416320">
            <w:pPr>
              <w:pStyle w:val="TableText"/>
              <w:spacing w:before="50" w:after="50"/>
              <w:jc w:val="center"/>
              <w:rPr>
                <w:rFonts w:cs="Calibri"/>
                <w:szCs w:val="16"/>
              </w:rPr>
            </w:pPr>
            <w:r w:rsidRPr="00BE78CA">
              <w:rPr>
                <w:rFonts w:cs="Calibri"/>
                <w:szCs w:val="16"/>
              </w:rPr>
              <w:t>59.6</w:t>
            </w:r>
          </w:p>
        </w:tc>
        <w:tc>
          <w:tcPr>
            <w:tcW w:w="1536" w:type="dxa"/>
            <w:vAlign w:val="bottom"/>
          </w:tcPr>
          <w:p w14:paraId="5DE9458E" w14:textId="77777777" w:rsidR="00F02481" w:rsidRPr="00BE78CA" w:rsidRDefault="00F02481" w:rsidP="00416320">
            <w:pPr>
              <w:pStyle w:val="TableText"/>
              <w:spacing w:before="50" w:after="50"/>
              <w:ind w:right="510"/>
              <w:jc w:val="right"/>
              <w:rPr>
                <w:rFonts w:cs="Calibri"/>
                <w:szCs w:val="16"/>
              </w:rPr>
            </w:pPr>
            <w:r w:rsidRPr="00BE78CA">
              <w:rPr>
                <w:rFonts w:cs="Calibri"/>
                <w:szCs w:val="16"/>
              </w:rPr>
              <w:t>11.8</w:t>
            </w:r>
          </w:p>
        </w:tc>
        <w:tc>
          <w:tcPr>
            <w:tcW w:w="1518" w:type="dxa"/>
            <w:vAlign w:val="bottom"/>
          </w:tcPr>
          <w:p w14:paraId="591E3E7D" w14:textId="77777777" w:rsidR="00F02481" w:rsidRPr="00BE78CA" w:rsidRDefault="00F02481" w:rsidP="00416320">
            <w:pPr>
              <w:pStyle w:val="TableText"/>
              <w:spacing w:before="50" w:after="50"/>
              <w:jc w:val="center"/>
              <w:rPr>
                <w:rFonts w:cs="Calibri"/>
                <w:szCs w:val="16"/>
              </w:rPr>
            </w:pPr>
            <w:r w:rsidRPr="00BE78CA">
              <w:rPr>
                <w:rFonts w:cs="Calibri"/>
                <w:szCs w:val="16"/>
              </w:rPr>
              <w:t>21.7</w:t>
            </w:r>
          </w:p>
        </w:tc>
      </w:tr>
      <w:tr w:rsidR="00F02481" w:rsidRPr="00BE78CA" w14:paraId="00F8E822" w14:textId="77777777" w:rsidTr="00160A37">
        <w:trPr>
          <w:trHeight w:val="239"/>
        </w:trPr>
        <w:tc>
          <w:tcPr>
            <w:tcW w:w="988" w:type="dxa"/>
          </w:tcPr>
          <w:p w14:paraId="346035DB" w14:textId="77777777" w:rsidR="00F02481" w:rsidRPr="00BE78CA" w:rsidRDefault="00F02481" w:rsidP="00416320">
            <w:pPr>
              <w:pStyle w:val="TableText"/>
              <w:spacing w:before="50" w:after="50"/>
              <w:rPr>
                <w:rFonts w:cs="Calibri"/>
                <w:szCs w:val="16"/>
              </w:rPr>
            </w:pPr>
            <w:r w:rsidRPr="00BE78CA">
              <w:rPr>
                <w:rFonts w:cs="Calibri"/>
                <w:szCs w:val="16"/>
              </w:rPr>
              <w:t>2002</w:t>
            </w:r>
          </w:p>
        </w:tc>
        <w:tc>
          <w:tcPr>
            <w:tcW w:w="1489" w:type="dxa"/>
            <w:vAlign w:val="bottom"/>
          </w:tcPr>
          <w:p w14:paraId="69FED086" w14:textId="77777777" w:rsidR="00F02481" w:rsidRPr="00BE78CA" w:rsidRDefault="00F02481" w:rsidP="00416320">
            <w:pPr>
              <w:pStyle w:val="TableText"/>
              <w:spacing w:before="50" w:after="50"/>
              <w:jc w:val="center"/>
              <w:rPr>
                <w:rFonts w:cs="Calibri"/>
                <w:szCs w:val="16"/>
              </w:rPr>
            </w:pPr>
            <w:r w:rsidRPr="00BE78CA">
              <w:rPr>
                <w:rFonts w:cs="Calibri"/>
                <w:szCs w:val="16"/>
              </w:rPr>
              <w:t>79.1</w:t>
            </w:r>
          </w:p>
        </w:tc>
        <w:tc>
          <w:tcPr>
            <w:tcW w:w="1487" w:type="dxa"/>
            <w:vAlign w:val="center"/>
          </w:tcPr>
          <w:p w14:paraId="6F9286D5" w14:textId="77777777" w:rsidR="00F02481" w:rsidRPr="00BE78CA" w:rsidRDefault="00F02481" w:rsidP="00416320">
            <w:pPr>
              <w:pStyle w:val="TableText"/>
              <w:spacing w:before="50" w:after="50"/>
              <w:jc w:val="center"/>
              <w:rPr>
                <w:rFonts w:cs="Calibri"/>
                <w:szCs w:val="16"/>
              </w:rPr>
            </w:pPr>
            <w:r w:rsidRPr="00BE78CA">
              <w:rPr>
                <w:rFonts w:cs="Calibri"/>
                <w:szCs w:val="16"/>
              </w:rPr>
              <w:t>91.0</w:t>
            </w:r>
          </w:p>
        </w:tc>
        <w:tc>
          <w:tcPr>
            <w:tcW w:w="1487" w:type="dxa"/>
            <w:vAlign w:val="bottom"/>
          </w:tcPr>
          <w:p w14:paraId="634B97A2" w14:textId="77777777" w:rsidR="00F02481" w:rsidRPr="00BE78CA" w:rsidRDefault="00F02481" w:rsidP="00416320">
            <w:pPr>
              <w:pStyle w:val="TableText"/>
              <w:spacing w:before="50" w:after="50"/>
              <w:jc w:val="center"/>
              <w:rPr>
                <w:rFonts w:cs="Calibri"/>
                <w:szCs w:val="16"/>
              </w:rPr>
            </w:pPr>
            <w:r w:rsidRPr="00BE78CA">
              <w:rPr>
                <w:rFonts w:cs="Calibri"/>
                <w:szCs w:val="16"/>
              </w:rPr>
              <w:t>59.4</w:t>
            </w:r>
          </w:p>
        </w:tc>
        <w:tc>
          <w:tcPr>
            <w:tcW w:w="1536" w:type="dxa"/>
            <w:vAlign w:val="bottom"/>
          </w:tcPr>
          <w:p w14:paraId="6604FE3C" w14:textId="77777777" w:rsidR="00F02481" w:rsidRPr="00BE78CA" w:rsidRDefault="00F02481" w:rsidP="00416320">
            <w:pPr>
              <w:pStyle w:val="TableText"/>
              <w:spacing w:before="50" w:after="50"/>
              <w:ind w:right="510"/>
              <w:jc w:val="right"/>
              <w:rPr>
                <w:rFonts w:cs="Calibri"/>
                <w:szCs w:val="16"/>
              </w:rPr>
            </w:pPr>
            <w:r w:rsidRPr="00BE78CA">
              <w:rPr>
                <w:rFonts w:cs="Calibri"/>
                <w:szCs w:val="16"/>
              </w:rPr>
              <w:t>11.7</w:t>
            </w:r>
          </w:p>
        </w:tc>
        <w:tc>
          <w:tcPr>
            <w:tcW w:w="1518" w:type="dxa"/>
            <w:vAlign w:val="bottom"/>
          </w:tcPr>
          <w:p w14:paraId="689A4293" w14:textId="77777777" w:rsidR="00F02481" w:rsidRPr="00BE78CA" w:rsidRDefault="00F02481" w:rsidP="00416320">
            <w:pPr>
              <w:pStyle w:val="TableText"/>
              <w:spacing w:before="50" w:after="50"/>
              <w:jc w:val="center"/>
              <w:rPr>
                <w:rFonts w:cs="Calibri"/>
                <w:szCs w:val="16"/>
              </w:rPr>
            </w:pPr>
            <w:r w:rsidRPr="00BE78CA">
              <w:rPr>
                <w:rFonts w:cs="Calibri"/>
                <w:szCs w:val="16"/>
              </w:rPr>
              <w:t>21.8</w:t>
            </w:r>
          </w:p>
        </w:tc>
      </w:tr>
      <w:tr w:rsidR="00F02481" w:rsidRPr="00BE78CA" w14:paraId="2BAB31B9" w14:textId="77777777" w:rsidTr="00160A37">
        <w:trPr>
          <w:trHeight w:val="239"/>
        </w:trPr>
        <w:tc>
          <w:tcPr>
            <w:tcW w:w="988" w:type="dxa"/>
          </w:tcPr>
          <w:p w14:paraId="67EE14F3" w14:textId="77777777" w:rsidR="00F02481" w:rsidRPr="00BE78CA" w:rsidRDefault="00F02481" w:rsidP="00416320">
            <w:pPr>
              <w:pStyle w:val="TableText"/>
              <w:spacing w:before="50" w:after="50"/>
              <w:rPr>
                <w:rFonts w:cs="Calibri"/>
                <w:szCs w:val="16"/>
              </w:rPr>
            </w:pPr>
            <w:r w:rsidRPr="00BE78CA">
              <w:rPr>
                <w:rFonts w:cs="Calibri"/>
                <w:szCs w:val="16"/>
              </w:rPr>
              <w:t>2003</w:t>
            </w:r>
          </w:p>
        </w:tc>
        <w:tc>
          <w:tcPr>
            <w:tcW w:w="1489" w:type="dxa"/>
            <w:vAlign w:val="bottom"/>
          </w:tcPr>
          <w:p w14:paraId="33A69BC0" w14:textId="77777777" w:rsidR="00F02481" w:rsidRPr="00BE78CA" w:rsidRDefault="00F02481" w:rsidP="00416320">
            <w:pPr>
              <w:pStyle w:val="TableText"/>
              <w:spacing w:before="50" w:after="50"/>
              <w:jc w:val="center"/>
              <w:rPr>
                <w:rFonts w:cs="Calibri"/>
                <w:szCs w:val="16"/>
              </w:rPr>
            </w:pPr>
            <w:r w:rsidRPr="00BE78CA">
              <w:rPr>
                <w:rFonts w:cs="Calibri"/>
                <w:szCs w:val="16"/>
              </w:rPr>
              <w:t>82.0</w:t>
            </w:r>
          </w:p>
        </w:tc>
        <w:tc>
          <w:tcPr>
            <w:tcW w:w="1487" w:type="dxa"/>
            <w:vAlign w:val="center"/>
          </w:tcPr>
          <w:p w14:paraId="19B1E227" w14:textId="77777777" w:rsidR="00F02481" w:rsidRPr="00BE78CA" w:rsidRDefault="00F02481" w:rsidP="00416320">
            <w:pPr>
              <w:pStyle w:val="TableText"/>
              <w:spacing w:before="50" w:after="50"/>
              <w:jc w:val="center"/>
              <w:rPr>
                <w:rFonts w:cs="Calibri"/>
                <w:szCs w:val="16"/>
              </w:rPr>
            </w:pPr>
            <w:r w:rsidRPr="00BE78CA">
              <w:rPr>
                <w:rFonts w:cs="Calibri"/>
                <w:szCs w:val="16"/>
              </w:rPr>
              <w:t>90.3</w:t>
            </w:r>
          </w:p>
        </w:tc>
        <w:tc>
          <w:tcPr>
            <w:tcW w:w="1487" w:type="dxa"/>
            <w:vAlign w:val="bottom"/>
          </w:tcPr>
          <w:p w14:paraId="583DBDFF" w14:textId="77777777" w:rsidR="00F02481" w:rsidRPr="00BE78CA" w:rsidRDefault="00F02481" w:rsidP="00416320">
            <w:pPr>
              <w:pStyle w:val="TableText"/>
              <w:spacing w:before="50" w:after="50"/>
              <w:jc w:val="center"/>
              <w:rPr>
                <w:rFonts w:cs="Calibri"/>
                <w:szCs w:val="16"/>
              </w:rPr>
            </w:pPr>
            <w:r w:rsidRPr="00BE78CA">
              <w:rPr>
                <w:rFonts w:cs="Calibri"/>
                <w:szCs w:val="16"/>
              </w:rPr>
              <w:t>59.0</w:t>
            </w:r>
          </w:p>
        </w:tc>
        <w:tc>
          <w:tcPr>
            <w:tcW w:w="1536" w:type="dxa"/>
            <w:vAlign w:val="bottom"/>
          </w:tcPr>
          <w:p w14:paraId="53AEB295" w14:textId="77777777" w:rsidR="00F02481" w:rsidRPr="00BE78CA" w:rsidRDefault="00F02481" w:rsidP="00416320">
            <w:pPr>
              <w:pStyle w:val="TableText"/>
              <w:spacing w:before="50" w:after="50"/>
              <w:ind w:right="510"/>
              <w:jc w:val="right"/>
              <w:rPr>
                <w:rFonts w:cs="Calibri"/>
                <w:szCs w:val="16"/>
              </w:rPr>
            </w:pPr>
            <w:r w:rsidRPr="00BE78CA">
              <w:rPr>
                <w:rFonts w:cs="Calibri"/>
                <w:szCs w:val="16"/>
              </w:rPr>
              <w:t>11.7</w:t>
            </w:r>
          </w:p>
        </w:tc>
        <w:tc>
          <w:tcPr>
            <w:tcW w:w="1518" w:type="dxa"/>
            <w:vAlign w:val="bottom"/>
          </w:tcPr>
          <w:p w14:paraId="7005DAE3" w14:textId="77777777" w:rsidR="00F02481" w:rsidRPr="00BE78CA" w:rsidRDefault="00F02481" w:rsidP="00416320">
            <w:pPr>
              <w:pStyle w:val="TableText"/>
              <w:spacing w:before="50" w:after="50"/>
              <w:jc w:val="center"/>
              <w:rPr>
                <w:rFonts w:cs="Calibri"/>
                <w:szCs w:val="16"/>
              </w:rPr>
            </w:pPr>
            <w:r w:rsidRPr="00BE78CA">
              <w:rPr>
                <w:rFonts w:cs="Calibri"/>
                <w:szCs w:val="16"/>
              </w:rPr>
              <w:t>21.8</w:t>
            </w:r>
          </w:p>
        </w:tc>
      </w:tr>
      <w:tr w:rsidR="00F02481" w:rsidRPr="00BE78CA" w14:paraId="1E6499AA" w14:textId="77777777" w:rsidTr="00160A37">
        <w:trPr>
          <w:trHeight w:val="239"/>
        </w:trPr>
        <w:tc>
          <w:tcPr>
            <w:tcW w:w="988" w:type="dxa"/>
          </w:tcPr>
          <w:p w14:paraId="619F5867" w14:textId="77777777" w:rsidR="00F02481" w:rsidRPr="00BE78CA" w:rsidRDefault="00F02481" w:rsidP="00416320">
            <w:pPr>
              <w:pStyle w:val="TableText"/>
              <w:spacing w:before="50" w:after="50"/>
              <w:rPr>
                <w:rFonts w:cs="Calibri"/>
                <w:szCs w:val="16"/>
              </w:rPr>
            </w:pPr>
            <w:r w:rsidRPr="00BE78CA">
              <w:rPr>
                <w:rFonts w:cs="Calibri"/>
                <w:szCs w:val="16"/>
              </w:rPr>
              <w:lastRenderedPageBreak/>
              <w:t>2004</w:t>
            </w:r>
          </w:p>
        </w:tc>
        <w:tc>
          <w:tcPr>
            <w:tcW w:w="1489" w:type="dxa"/>
            <w:vAlign w:val="bottom"/>
          </w:tcPr>
          <w:p w14:paraId="390F4B39" w14:textId="77777777" w:rsidR="00F02481" w:rsidRPr="00BE78CA" w:rsidRDefault="00F02481" w:rsidP="00416320">
            <w:pPr>
              <w:pStyle w:val="TableText"/>
              <w:spacing w:before="50" w:after="50"/>
              <w:jc w:val="center"/>
              <w:rPr>
                <w:rFonts w:cs="Calibri"/>
                <w:szCs w:val="16"/>
              </w:rPr>
            </w:pPr>
            <w:r w:rsidRPr="00BE78CA">
              <w:rPr>
                <w:rFonts w:cs="Calibri"/>
                <w:szCs w:val="16"/>
              </w:rPr>
              <w:t>80.8</w:t>
            </w:r>
          </w:p>
        </w:tc>
        <w:tc>
          <w:tcPr>
            <w:tcW w:w="1487" w:type="dxa"/>
            <w:vAlign w:val="center"/>
          </w:tcPr>
          <w:p w14:paraId="1AC5A173" w14:textId="77777777" w:rsidR="00F02481" w:rsidRPr="00BE78CA" w:rsidRDefault="00F02481" w:rsidP="00416320">
            <w:pPr>
              <w:pStyle w:val="TableText"/>
              <w:spacing w:before="50" w:after="50"/>
              <w:jc w:val="center"/>
              <w:rPr>
                <w:rFonts w:cs="Calibri"/>
                <w:szCs w:val="16"/>
              </w:rPr>
            </w:pPr>
            <w:r w:rsidRPr="00BE78CA">
              <w:rPr>
                <w:rFonts w:cs="Calibri"/>
                <w:szCs w:val="16"/>
              </w:rPr>
              <w:t>90.0</w:t>
            </w:r>
          </w:p>
        </w:tc>
        <w:tc>
          <w:tcPr>
            <w:tcW w:w="1487" w:type="dxa"/>
            <w:vAlign w:val="bottom"/>
          </w:tcPr>
          <w:p w14:paraId="2ACF8727" w14:textId="77777777" w:rsidR="00F02481" w:rsidRPr="00BE78CA" w:rsidRDefault="00F02481" w:rsidP="00416320">
            <w:pPr>
              <w:pStyle w:val="TableText"/>
              <w:spacing w:before="50" w:after="50"/>
              <w:jc w:val="center"/>
              <w:rPr>
                <w:rFonts w:cs="Calibri"/>
                <w:szCs w:val="16"/>
              </w:rPr>
            </w:pPr>
            <w:r w:rsidRPr="00BE78CA">
              <w:rPr>
                <w:rFonts w:cs="Calibri"/>
                <w:szCs w:val="16"/>
              </w:rPr>
              <w:t>60.0</w:t>
            </w:r>
          </w:p>
        </w:tc>
        <w:tc>
          <w:tcPr>
            <w:tcW w:w="1536" w:type="dxa"/>
            <w:vAlign w:val="bottom"/>
          </w:tcPr>
          <w:p w14:paraId="7680BCDB" w14:textId="77777777" w:rsidR="00F02481" w:rsidRPr="00BE78CA" w:rsidRDefault="00F02481" w:rsidP="00416320">
            <w:pPr>
              <w:pStyle w:val="TableText"/>
              <w:spacing w:before="50" w:after="50"/>
              <w:ind w:right="510"/>
              <w:jc w:val="right"/>
              <w:rPr>
                <w:rFonts w:cs="Calibri"/>
                <w:szCs w:val="16"/>
              </w:rPr>
            </w:pPr>
            <w:r w:rsidRPr="00BE78CA">
              <w:rPr>
                <w:rFonts w:cs="Calibri"/>
                <w:szCs w:val="16"/>
              </w:rPr>
              <w:t>11.9</w:t>
            </w:r>
          </w:p>
        </w:tc>
        <w:tc>
          <w:tcPr>
            <w:tcW w:w="1518" w:type="dxa"/>
            <w:vAlign w:val="bottom"/>
          </w:tcPr>
          <w:p w14:paraId="43DA07A8" w14:textId="77777777" w:rsidR="00F02481" w:rsidRPr="00BE78CA" w:rsidRDefault="00F02481" w:rsidP="00416320">
            <w:pPr>
              <w:pStyle w:val="TableText"/>
              <w:spacing w:before="50" w:after="50"/>
              <w:jc w:val="center"/>
              <w:rPr>
                <w:rFonts w:cs="Calibri"/>
                <w:szCs w:val="16"/>
              </w:rPr>
            </w:pPr>
            <w:r w:rsidRPr="00BE78CA">
              <w:rPr>
                <w:rFonts w:cs="Calibri"/>
                <w:szCs w:val="16"/>
              </w:rPr>
              <w:t>22.1</w:t>
            </w:r>
          </w:p>
        </w:tc>
      </w:tr>
      <w:tr w:rsidR="00F02481" w:rsidRPr="00BE78CA" w14:paraId="061235B5" w14:textId="77777777" w:rsidTr="00160A37">
        <w:trPr>
          <w:trHeight w:val="239"/>
        </w:trPr>
        <w:tc>
          <w:tcPr>
            <w:tcW w:w="988" w:type="dxa"/>
          </w:tcPr>
          <w:p w14:paraId="1467DC3D" w14:textId="77777777" w:rsidR="00F02481" w:rsidRPr="00BE78CA" w:rsidRDefault="00F02481" w:rsidP="00416320">
            <w:pPr>
              <w:pStyle w:val="TableText"/>
              <w:spacing w:before="50" w:after="50"/>
              <w:rPr>
                <w:rFonts w:cs="Calibri"/>
                <w:szCs w:val="16"/>
              </w:rPr>
            </w:pPr>
            <w:r w:rsidRPr="00BE78CA">
              <w:rPr>
                <w:rFonts w:cs="Calibri"/>
                <w:szCs w:val="16"/>
              </w:rPr>
              <w:t>2005</w:t>
            </w:r>
          </w:p>
        </w:tc>
        <w:tc>
          <w:tcPr>
            <w:tcW w:w="1489" w:type="dxa"/>
            <w:vAlign w:val="bottom"/>
          </w:tcPr>
          <w:p w14:paraId="6F78BC97" w14:textId="77777777" w:rsidR="00F02481" w:rsidRPr="00BE78CA" w:rsidRDefault="00F02481" w:rsidP="00416320">
            <w:pPr>
              <w:pStyle w:val="TableText"/>
              <w:spacing w:before="50" w:after="50"/>
              <w:jc w:val="center"/>
              <w:rPr>
                <w:rFonts w:cs="Calibri"/>
                <w:szCs w:val="16"/>
              </w:rPr>
            </w:pPr>
            <w:r w:rsidRPr="00BE78CA">
              <w:rPr>
                <w:rFonts w:cs="Calibri"/>
                <w:szCs w:val="16"/>
              </w:rPr>
              <w:t>81.3</w:t>
            </w:r>
          </w:p>
        </w:tc>
        <w:tc>
          <w:tcPr>
            <w:tcW w:w="1487" w:type="dxa"/>
            <w:vAlign w:val="center"/>
          </w:tcPr>
          <w:p w14:paraId="05E7E20C" w14:textId="77777777" w:rsidR="00F02481" w:rsidRPr="00BE78CA" w:rsidRDefault="00F02481" w:rsidP="00416320">
            <w:pPr>
              <w:pStyle w:val="TableText"/>
              <w:spacing w:before="50" w:after="50"/>
              <w:jc w:val="center"/>
              <w:rPr>
                <w:rFonts w:cs="Calibri"/>
                <w:szCs w:val="16"/>
              </w:rPr>
            </w:pPr>
            <w:r w:rsidRPr="00BE78CA">
              <w:rPr>
                <w:rFonts w:cs="Calibri"/>
                <w:szCs w:val="16"/>
              </w:rPr>
              <w:t>87.2</w:t>
            </w:r>
          </w:p>
        </w:tc>
        <w:tc>
          <w:tcPr>
            <w:tcW w:w="1487" w:type="dxa"/>
            <w:vAlign w:val="bottom"/>
          </w:tcPr>
          <w:p w14:paraId="2BD79D22" w14:textId="77777777" w:rsidR="00F02481" w:rsidRPr="00BE78CA" w:rsidRDefault="00F02481" w:rsidP="00416320">
            <w:pPr>
              <w:pStyle w:val="TableText"/>
              <w:spacing w:before="50" w:after="50"/>
              <w:jc w:val="center"/>
              <w:rPr>
                <w:rFonts w:cs="Calibri"/>
                <w:szCs w:val="16"/>
              </w:rPr>
            </w:pPr>
            <w:r w:rsidRPr="00BE78CA">
              <w:rPr>
                <w:rFonts w:cs="Calibri"/>
                <w:szCs w:val="16"/>
              </w:rPr>
              <w:t>60.7</w:t>
            </w:r>
          </w:p>
        </w:tc>
        <w:tc>
          <w:tcPr>
            <w:tcW w:w="1536" w:type="dxa"/>
            <w:vAlign w:val="bottom"/>
          </w:tcPr>
          <w:p w14:paraId="09B3F2BA" w14:textId="77777777" w:rsidR="00F02481" w:rsidRPr="00BE78CA" w:rsidRDefault="00F02481" w:rsidP="00416320">
            <w:pPr>
              <w:pStyle w:val="TableText"/>
              <w:spacing w:before="50" w:after="50"/>
              <w:ind w:right="510"/>
              <w:jc w:val="right"/>
              <w:rPr>
                <w:rFonts w:cs="Calibri"/>
                <w:szCs w:val="16"/>
              </w:rPr>
            </w:pPr>
            <w:r w:rsidRPr="00BE78CA">
              <w:rPr>
                <w:rFonts w:cs="Calibri"/>
                <w:szCs w:val="16"/>
              </w:rPr>
              <w:t>12.0</w:t>
            </w:r>
          </w:p>
        </w:tc>
        <w:tc>
          <w:tcPr>
            <w:tcW w:w="1518" w:type="dxa"/>
            <w:vAlign w:val="bottom"/>
          </w:tcPr>
          <w:p w14:paraId="57738716" w14:textId="77777777" w:rsidR="00F02481" w:rsidRPr="00BE78CA" w:rsidRDefault="00F02481" w:rsidP="00416320">
            <w:pPr>
              <w:pStyle w:val="TableText"/>
              <w:spacing w:before="50" w:after="50"/>
              <w:jc w:val="center"/>
              <w:rPr>
                <w:rFonts w:cs="Calibri"/>
                <w:szCs w:val="16"/>
              </w:rPr>
            </w:pPr>
            <w:r w:rsidRPr="00BE78CA">
              <w:rPr>
                <w:rFonts w:cs="Calibri"/>
                <w:szCs w:val="16"/>
              </w:rPr>
              <w:t>22.5</w:t>
            </w:r>
          </w:p>
        </w:tc>
      </w:tr>
      <w:tr w:rsidR="00F02481" w:rsidRPr="00BE78CA" w14:paraId="0CFAD209" w14:textId="77777777" w:rsidTr="00160A37">
        <w:trPr>
          <w:trHeight w:val="251"/>
        </w:trPr>
        <w:tc>
          <w:tcPr>
            <w:tcW w:w="988" w:type="dxa"/>
          </w:tcPr>
          <w:p w14:paraId="03A304A6" w14:textId="77777777" w:rsidR="00F02481" w:rsidRPr="00BE78CA" w:rsidRDefault="00F02481" w:rsidP="00416320">
            <w:pPr>
              <w:pStyle w:val="TableText"/>
              <w:spacing w:before="50" w:after="50"/>
              <w:rPr>
                <w:rFonts w:cs="Calibri"/>
                <w:szCs w:val="16"/>
              </w:rPr>
            </w:pPr>
            <w:r w:rsidRPr="00BE78CA">
              <w:rPr>
                <w:rFonts w:cs="Calibri"/>
                <w:szCs w:val="16"/>
              </w:rPr>
              <w:t>2006</w:t>
            </w:r>
          </w:p>
        </w:tc>
        <w:tc>
          <w:tcPr>
            <w:tcW w:w="1489" w:type="dxa"/>
            <w:vAlign w:val="bottom"/>
          </w:tcPr>
          <w:p w14:paraId="1FF60802" w14:textId="77777777" w:rsidR="00F02481" w:rsidRPr="00BE78CA" w:rsidRDefault="00F02481" w:rsidP="00416320">
            <w:pPr>
              <w:pStyle w:val="TableText"/>
              <w:spacing w:before="50" w:after="50"/>
              <w:jc w:val="center"/>
              <w:rPr>
                <w:rFonts w:cs="Calibri"/>
                <w:szCs w:val="16"/>
              </w:rPr>
            </w:pPr>
            <w:r w:rsidRPr="00BE78CA">
              <w:rPr>
                <w:rFonts w:cs="Calibri"/>
                <w:szCs w:val="16"/>
              </w:rPr>
              <w:t>81.0</w:t>
            </w:r>
          </w:p>
        </w:tc>
        <w:tc>
          <w:tcPr>
            <w:tcW w:w="1487" w:type="dxa"/>
            <w:vAlign w:val="center"/>
          </w:tcPr>
          <w:p w14:paraId="3C9DF4F1" w14:textId="77777777" w:rsidR="00F02481" w:rsidRPr="00BE78CA" w:rsidRDefault="00F02481" w:rsidP="00416320">
            <w:pPr>
              <w:pStyle w:val="TableText"/>
              <w:spacing w:before="50" w:after="50"/>
              <w:jc w:val="center"/>
              <w:rPr>
                <w:rFonts w:cs="Calibri"/>
                <w:szCs w:val="16"/>
              </w:rPr>
            </w:pPr>
            <w:r w:rsidRPr="00BE78CA">
              <w:rPr>
                <w:rFonts w:cs="Calibri"/>
                <w:szCs w:val="16"/>
              </w:rPr>
              <w:t>88.4</w:t>
            </w:r>
          </w:p>
        </w:tc>
        <w:tc>
          <w:tcPr>
            <w:tcW w:w="1487" w:type="dxa"/>
            <w:vAlign w:val="bottom"/>
          </w:tcPr>
          <w:p w14:paraId="12CA8E95" w14:textId="77777777" w:rsidR="00F02481" w:rsidRPr="00BE78CA" w:rsidRDefault="00F02481" w:rsidP="00416320">
            <w:pPr>
              <w:pStyle w:val="TableText"/>
              <w:spacing w:before="50" w:after="50"/>
              <w:jc w:val="center"/>
              <w:rPr>
                <w:rFonts w:cs="Calibri"/>
                <w:szCs w:val="16"/>
              </w:rPr>
            </w:pPr>
            <w:r w:rsidRPr="00BE78CA">
              <w:rPr>
                <w:rFonts w:cs="Calibri"/>
                <w:szCs w:val="16"/>
              </w:rPr>
              <w:t>61.9</w:t>
            </w:r>
          </w:p>
        </w:tc>
        <w:tc>
          <w:tcPr>
            <w:tcW w:w="1536" w:type="dxa"/>
            <w:vAlign w:val="bottom"/>
          </w:tcPr>
          <w:p w14:paraId="7FCC931C" w14:textId="77777777" w:rsidR="00F02481" w:rsidRPr="00BE78CA" w:rsidRDefault="00F02481" w:rsidP="00416320">
            <w:pPr>
              <w:pStyle w:val="TableText"/>
              <w:spacing w:before="50" w:after="50"/>
              <w:ind w:right="510"/>
              <w:jc w:val="right"/>
              <w:rPr>
                <w:rFonts w:cs="Calibri"/>
                <w:szCs w:val="16"/>
              </w:rPr>
            </w:pPr>
            <w:r w:rsidRPr="00BE78CA">
              <w:rPr>
                <w:rFonts w:cs="Calibri"/>
                <w:szCs w:val="16"/>
              </w:rPr>
              <w:t>11.9</w:t>
            </w:r>
          </w:p>
        </w:tc>
        <w:tc>
          <w:tcPr>
            <w:tcW w:w="1518" w:type="dxa"/>
            <w:vAlign w:val="bottom"/>
          </w:tcPr>
          <w:p w14:paraId="6634A716" w14:textId="77777777" w:rsidR="00F02481" w:rsidRPr="00BE78CA" w:rsidRDefault="00F02481" w:rsidP="00416320">
            <w:pPr>
              <w:pStyle w:val="TableText"/>
              <w:spacing w:before="50" w:after="50"/>
              <w:jc w:val="center"/>
              <w:rPr>
                <w:rFonts w:cs="Calibri"/>
                <w:szCs w:val="16"/>
              </w:rPr>
            </w:pPr>
            <w:r w:rsidRPr="00BE78CA">
              <w:rPr>
                <w:rFonts w:cs="Calibri"/>
                <w:szCs w:val="16"/>
              </w:rPr>
              <w:t>22.8</w:t>
            </w:r>
          </w:p>
        </w:tc>
      </w:tr>
      <w:tr w:rsidR="00F02481" w:rsidRPr="00BE78CA" w14:paraId="096FD8A7" w14:textId="77777777" w:rsidTr="00160A37">
        <w:trPr>
          <w:trHeight w:val="239"/>
        </w:trPr>
        <w:tc>
          <w:tcPr>
            <w:tcW w:w="988" w:type="dxa"/>
          </w:tcPr>
          <w:p w14:paraId="0D584AFC" w14:textId="77777777" w:rsidR="00F02481" w:rsidRPr="00BE78CA" w:rsidRDefault="00F02481" w:rsidP="00416320">
            <w:pPr>
              <w:pStyle w:val="TableText"/>
              <w:spacing w:before="50" w:after="50"/>
              <w:rPr>
                <w:rFonts w:cs="Calibri"/>
                <w:szCs w:val="16"/>
              </w:rPr>
            </w:pPr>
            <w:r w:rsidRPr="00BE78CA">
              <w:rPr>
                <w:rFonts w:cs="Calibri"/>
                <w:szCs w:val="16"/>
              </w:rPr>
              <w:t>2007</w:t>
            </w:r>
          </w:p>
        </w:tc>
        <w:tc>
          <w:tcPr>
            <w:tcW w:w="1489" w:type="dxa"/>
            <w:vAlign w:val="bottom"/>
          </w:tcPr>
          <w:p w14:paraId="0F41635E" w14:textId="77777777" w:rsidR="00F02481" w:rsidRPr="00BE78CA" w:rsidRDefault="00F02481" w:rsidP="00416320">
            <w:pPr>
              <w:pStyle w:val="TableText"/>
              <w:spacing w:before="50" w:after="50"/>
              <w:jc w:val="center"/>
              <w:rPr>
                <w:rFonts w:cs="Calibri"/>
                <w:szCs w:val="16"/>
              </w:rPr>
            </w:pPr>
            <w:r w:rsidRPr="00BE78CA">
              <w:rPr>
                <w:rFonts w:cs="Calibri"/>
                <w:szCs w:val="16"/>
              </w:rPr>
              <w:t>80.0</w:t>
            </w:r>
          </w:p>
        </w:tc>
        <w:tc>
          <w:tcPr>
            <w:tcW w:w="1487" w:type="dxa"/>
            <w:vAlign w:val="center"/>
          </w:tcPr>
          <w:p w14:paraId="5A8DBB01" w14:textId="77777777" w:rsidR="00F02481" w:rsidRPr="00BE78CA" w:rsidRDefault="00F02481" w:rsidP="00416320">
            <w:pPr>
              <w:pStyle w:val="TableText"/>
              <w:spacing w:before="50" w:after="50"/>
              <w:jc w:val="center"/>
              <w:rPr>
                <w:rFonts w:cs="Calibri"/>
                <w:szCs w:val="16"/>
              </w:rPr>
            </w:pPr>
            <w:r w:rsidRPr="00BE78CA">
              <w:rPr>
                <w:rFonts w:cs="Calibri"/>
                <w:szCs w:val="16"/>
              </w:rPr>
              <w:t>88.0</w:t>
            </w:r>
          </w:p>
        </w:tc>
        <w:tc>
          <w:tcPr>
            <w:tcW w:w="1487" w:type="dxa"/>
            <w:vAlign w:val="bottom"/>
          </w:tcPr>
          <w:p w14:paraId="0A4BF580" w14:textId="77777777" w:rsidR="00F02481" w:rsidRPr="00BE78CA" w:rsidRDefault="00F02481" w:rsidP="00416320">
            <w:pPr>
              <w:pStyle w:val="TableText"/>
              <w:spacing w:before="50" w:after="50"/>
              <w:jc w:val="center"/>
              <w:rPr>
                <w:rFonts w:cs="Calibri"/>
                <w:szCs w:val="16"/>
              </w:rPr>
            </w:pPr>
            <w:r w:rsidRPr="00BE78CA">
              <w:rPr>
                <w:rFonts w:cs="Calibri"/>
                <w:szCs w:val="16"/>
              </w:rPr>
              <w:t>61.1</w:t>
            </w:r>
          </w:p>
        </w:tc>
        <w:tc>
          <w:tcPr>
            <w:tcW w:w="1536" w:type="dxa"/>
            <w:vAlign w:val="bottom"/>
          </w:tcPr>
          <w:p w14:paraId="1F15E4B4" w14:textId="77777777" w:rsidR="00F02481" w:rsidRPr="00BE78CA" w:rsidRDefault="00F02481" w:rsidP="00416320">
            <w:pPr>
              <w:pStyle w:val="TableText"/>
              <w:spacing w:before="50" w:after="50"/>
              <w:ind w:right="510"/>
              <w:jc w:val="right"/>
              <w:rPr>
                <w:rFonts w:cs="Calibri"/>
                <w:szCs w:val="16"/>
              </w:rPr>
            </w:pPr>
            <w:r w:rsidRPr="00BE78CA">
              <w:rPr>
                <w:rFonts w:cs="Calibri"/>
                <w:szCs w:val="16"/>
              </w:rPr>
              <w:t>11.7</w:t>
            </w:r>
          </w:p>
        </w:tc>
        <w:tc>
          <w:tcPr>
            <w:tcW w:w="1518" w:type="dxa"/>
            <w:vAlign w:val="bottom"/>
          </w:tcPr>
          <w:p w14:paraId="25F37F85" w14:textId="77777777" w:rsidR="00F02481" w:rsidRPr="00BE78CA" w:rsidRDefault="00F02481" w:rsidP="00416320">
            <w:pPr>
              <w:pStyle w:val="TableText"/>
              <w:spacing w:before="50" w:after="50"/>
              <w:jc w:val="center"/>
              <w:rPr>
                <w:rFonts w:cs="Calibri"/>
                <w:szCs w:val="16"/>
              </w:rPr>
            </w:pPr>
            <w:r w:rsidRPr="00BE78CA">
              <w:rPr>
                <w:rFonts w:cs="Calibri"/>
                <w:szCs w:val="16"/>
              </w:rPr>
              <w:t>23.0</w:t>
            </w:r>
          </w:p>
        </w:tc>
      </w:tr>
      <w:tr w:rsidR="00F02481" w:rsidRPr="00BE78CA" w14:paraId="398FF7D5" w14:textId="77777777" w:rsidTr="00160A37">
        <w:trPr>
          <w:trHeight w:val="239"/>
        </w:trPr>
        <w:tc>
          <w:tcPr>
            <w:tcW w:w="988" w:type="dxa"/>
          </w:tcPr>
          <w:p w14:paraId="22D72F26" w14:textId="77777777" w:rsidR="00F02481" w:rsidRPr="00BE78CA" w:rsidRDefault="00F02481" w:rsidP="00416320">
            <w:pPr>
              <w:pStyle w:val="TableText"/>
              <w:spacing w:before="50" w:after="50"/>
              <w:rPr>
                <w:rFonts w:cs="Calibri"/>
                <w:szCs w:val="16"/>
              </w:rPr>
            </w:pPr>
            <w:r w:rsidRPr="00BE78CA">
              <w:rPr>
                <w:rFonts w:cs="Calibri"/>
                <w:szCs w:val="16"/>
              </w:rPr>
              <w:t>2008</w:t>
            </w:r>
          </w:p>
        </w:tc>
        <w:tc>
          <w:tcPr>
            <w:tcW w:w="1489" w:type="dxa"/>
            <w:vAlign w:val="bottom"/>
          </w:tcPr>
          <w:p w14:paraId="34388C4A" w14:textId="77777777" w:rsidR="00F02481" w:rsidRPr="00BE78CA" w:rsidRDefault="00F02481" w:rsidP="00416320">
            <w:pPr>
              <w:pStyle w:val="TableText"/>
              <w:spacing w:before="50" w:after="50"/>
              <w:jc w:val="center"/>
              <w:rPr>
                <w:rFonts w:cs="Calibri"/>
                <w:szCs w:val="16"/>
              </w:rPr>
            </w:pPr>
            <w:r w:rsidRPr="00BE78CA">
              <w:rPr>
                <w:rFonts w:cs="Calibri"/>
                <w:szCs w:val="16"/>
              </w:rPr>
              <w:t>78.8</w:t>
            </w:r>
          </w:p>
        </w:tc>
        <w:tc>
          <w:tcPr>
            <w:tcW w:w="1487" w:type="dxa"/>
            <w:vAlign w:val="center"/>
          </w:tcPr>
          <w:p w14:paraId="786AB14C" w14:textId="77777777" w:rsidR="00F02481" w:rsidRPr="00BE78CA" w:rsidRDefault="00F02481" w:rsidP="00416320">
            <w:pPr>
              <w:pStyle w:val="TableText"/>
              <w:spacing w:before="50" w:after="50"/>
              <w:jc w:val="center"/>
              <w:rPr>
                <w:rFonts w:cs="Calibri"/>
                <w:szCs w:val="16"/>
              </w:rPr>
            </w:pPr>
            <w:r w:rsidRPr="00BE78CA">
              <w:rPr>
                <w:rFonts w:cs="Calibri"/>
                <w:szCs w:val="16"/>
              </w:rPr>
              <w:t>90.6</w:t>
            </w:r>
          </w:p>
        </w:tc>
        <w:tc>
          <w:tcPr>
            <w:tcW w:w="1487" w:type="dxa"/>
            <w:vAlign w:val="bottom"/>
          </w:tcPr>
          <w:p w14:paraId="30209637" w14:textId="77777777" w:rsidR="00F02481" w:rsidRPr="00BE78CA" w:rsidRDefault="00F02481" w:rsidP="00416320">
            <w:pPr>
              <w:pStyle w:val="TableText"/>
              <w:spacing w:before="50" w:after="50"/>
              <w:jc w:val="center"/>
              <w:rPr>
                <w:rFonts w:cs="Calibri"/>
                <w:szCs w:val="16"/>
              </w:rPr>
            </w:pPr>
            <w:r w:rsidRPr="00BE78CA">
              <w:rPr>
                <w:rFonts w:cs="Calibri"/>
                <w:szCs w:val="16"/>
              </w:rPr>
              <w:t>60.6</w:t>
            </w:r>
          </w:p>
        </w:tc>
        <w:tc>
          <w:tcPr>
            <w:tcW w:w="1536" w:type="dxa"/>
            <w:vAlign w:val="bottom"/>
          </w:tcPr>
          <w:p w14:paraId="6D2F7B25" w14:textId="77777777" w:rsidR="00F02481" w:rsidRPr="00BE78CA" w:rsidRDefault="00F02481" w:rsidP="00416320">
            <w:pPr>
              <w:pStyle w:val="TableText"/>
              <w:spacing w:before="50" w:after="50"/>
              <w:ind w:right="510"/>
              <w:jc w:val="right"/>
              <w:rPr>
                <w:rFonts w:cs="Calibri"/>
                <w:szCs w:val="16"/>
              </w:rPr>
            </w:pPr>
            <w:r w:rsidRPr="00BE78CA">
              <w:rPr>
                <w:rFonts w:cs="Calibri"/>
                <w:szCs w:val="16"/>
              </w:rPr>
              <w:t>12.0</w:t>
            </w:r>
          </w:p>
        </w:tc>
        <w:tc>
          <w:tcPr>
            <w:tcW w:w="1518" w:type="dxa"/>
            <w:vAlign w:val="bottom"/>
          </w:tcPr>
          <w:p w14:paraId="51941900" w14:textId="77777777" w:rsidR="00F02481" w:rsidRPr="00BE78CA" w:rsidRDefault="00F02481" w:rsidP="00416320">
            <w:pPr>
              <w:pStyle w:val="TableText"/>
              <w:spacing w:before="50" w:after="50"/>
              <w:jc w:val="center"/>
              <w:rPr>
                <w:rFonts w:cs="Calibri"/>
                <w:szCs w:val="16"/>
              </w:rPr>
            </w:pPr>
            <w:r w:rsidRPr="00BE78CA">
              <w:rPr>
                <w:rFonts w:cs="Calibri"/>
                <w:szCs w:val="16"/>
              </w:rPr>
              <w:t>23.2</w:t>
            </w:r>
          </w:p>
        </w:tc>
      </w:tr>
      <w:tr w:rsidR="00F02481" w:rsidRPr="00BE78CA" w14:paraId="074C2CD2" w14:textId="77777777" w:rsidTr="00160A37">
        <w:trPr>
          <w:trHeight w:val="239"/>
        </w:trPr>
        <w:tc>
          <w:tcPr>
            <w:tcW w:w="988" w:type="dxa"/>
          </w:tcPr>
          <w:p w14:paraId="63237042" w14:textId="77777777" w:rsidR="00F02481" w:rsidRPr="00BE78CA" w:rsidRDefault="00F02481" w:rsidP="00416320">
            <w:pPr>
              <w:pStyle w:val="TableText"/>
              <w:spacing w:before="50" w:after="50"/>
              <w:rPr>
                <w:rFonts w:cs="Calibri"/>
                <w:szCs w:val="16"/>
              </w:rPr>
            </w:pPr>
            <w:r w:rsidRPr="00BE78CA">
              <w:rPr>
                <w:rFonts w:cs="Calibri"/>
                <w:szCs w:val="16"/>
              </w:rPr>
              <w:t>2009</w:t>
            </w:r>
          </w:p>
        </w:tc>
        <w:tc>
          <w:tcPr>
            <w:tcW w:w="1489" w:type="dxa"/>
            <w:vAlign w:val="bottom"/>
          </w:tcPr>
          <w:p w14:paraId="6196718F" w14:textId="77777777" w:rsidR="00F02481" w:rsidRPr="00BE78CA" w:rsidRDefault="00F02481" w:rsidP="00416320">
            <w:pPr>
              <w:pStyle w:val="TableText"/>
              <w:spacing w:before="50" w:after="50"/>
              <w:jc w:val="center"/>
              <w:rPr>
                <w:rFonts w:cs="Calibri"/>
                <w:szCs w:val="16"/>
              </w:rPr>
            </w:pPr>
            <w:r w:rsidRPr="00BE78CA">
              <w:rPr>
                <w:rFonts w:cs="Calibri"/>
                <w:szCs w:val="16"/>
              </w:rPr>
              <w:t>79.3</w:t>
            </w:r>
          </w:p>
        </w:tc>
        <w:tc>
          <w:tcPr>
            <w:tcW w:w="1487" w:type="dxa"/>
            <w:vAlign w:val="center"/>
          </w:tcPr>
          <w:p w14:paraId="638F7621" w14:textId="77777777" w:rsidR="00F02481" w:rsidRPr="00BE78CA" w:rsidRDefault="00F02481" w:rsidP="00416320">
            <w:pPr>
              <w:pStyle w:val="TableText"/>
              <w:spacing w:before="50" w:after="50"/>
              <w:jc w:val="center"/>
              <w:rPr>
                <w:rFonts w:cs="Calibri"/>
                <w:szCs w:val="16"/>
              </w:rPr>
            </w:pPr>
            <w:r w:rsidRPr="00BE78CA">
              <w:rPr>
                <w:rFonts w:cs="Calibri"/>
                <w:szCs w:val="16"/>
              </w:rPr>
              <w:t>91.9</w:t>
            </w:r>
          </w:p>
        </w:tc>
        <w:tc>
          <w:tcPr>
            <w:tcW w:w="1487" w:type="dxa"/>
            <w:vAlign w:val="bottom"/>
          </w:tcPr>
          <w:p w14:paraId="11B3C182" w14:textId="77777777" w:rsidR="00F02481" w:rsidRPr="00BE78CA" w:rsidRDefault="00F02481" w:rsidP="00416320">
            <w:pPr>
              <w:pStyle w:val="TableText"/>
              <w:spacing w:before="50" w:after="50"/>
              <w:jc w:val="center"/>
              <w:rPr>
                <w:rFonts w:cs="Calibri"/>
                <w:szCs w:val="16"/>
              </w:rPr>
            </w:pPr>
            <w:r w:rsidRPr="00BE78CA">
              <w:rPr>
                <w:rFonts w:cs="Calibri"/>
                <w:szCs w:val="16"/>
              </w:rPr>
              <w:t>60.1</w:t>
            </w:r>
          </w:p>
        </w:tc>
        <w:tc>
          <w:tcPr>
            <w:tcW w:w="1536" w:type="dxa"/>
            <w:vAlign w:val="bottom"/>
          </w:tcPr>
          <w:p w14:paraId="381352D2" w14:textId="77777777" w:rsidR="00F02481" w:rsidRPr="00BE78CA" w:rsidRDefault="00F02481" w:rsidP="00416320">
            <w:pPr>
              <w:pStyle w:val="TableText"/>
              <w:spacing w:before="50" w:after="50"/>
              <w:ind w:right="510"/>
              <w:jc w:val="right"/>
              <w:rPr>
                <w:rFonts w:cs="Calibri"/>
                <w:szCs w:val="16"/>
              </w:rPr>
            </w:pPr>
            <w:r w:rsidRPr="00BE78CA">
              <w:rPr>
                <w:rFonts w:cs="Calibri"/>
                <w:szCs w:val="16"/>
              </w:rPr>
              <w:t>12.1</w:t>
            </w:r>
          </w:p>
        </w:tc>
        <w:tc>
          <w:tcPr>
            <w:tcW w:w="1518" w:type="dxa"/>
            <w:vAlign w:val="bottom"/>
          </w:tcPr>
          <w:p w14:paraId="585D1DC6" w14:textId="77777777" w:rsidR="00F02481" w:rsidRPr="00BE78CA" w:rsidRDefault="00F02481" w:rsidP="00416320">
            <w:pPr>
              <w:pStyle w:val="TableText"/>
              <w:spacing w:before="50" w:after="50"/>
              <w:jc w:val="center"/>
              <w:rPr>
                <w:rFonts w:cs="Calibri"/>
                <w:szCs w:val="16"/>
              </w:rPr>
            </w:pPr>
            <w:r w:rsidRPr="00BE78CA">
              <w:rPr>
                <w:rFonts w:cs="Calibri"/>
                <w:szCs w:val="16"/>
              </w:rPr>
              <w:t>23.3</w:t>
            </w:r>
          </w:p>
        </w:tc>
      </w:tr>
      <w:tr w:rsidR="00F02481" w:rsidRPr="00BE78CA" w14:paraId="6ECA0CE1" w14:textId="77777777" w:rsidTr="00160A37">
        <w:trPr>
          <w:trHeight w:val="239"/>
        </w:trPr>
        <w:tc>
          <w:tcPr>
            <w:tcW w:w="988" w:type="dxa"/>
          </w:tcPr>
          <w:p w14:paraId="10601962" w14:textId="77777777" w:rsidR="00F02481" w:rsidRPr="00BE78CA" w:rsidRDefault="00F02481" w:rsidP="00416320">
            <w:pPr>
              <w:pStyle w:val="TableText"/>
              <w:spacing w:before="50" w:after="50"/>
              <w:rPr>
                <w:rFonts w:cs="Calibri"/>
                <w:szCs w:val="16"/>
              </w:rPr>
            </w:pPr>
            <w:r w:rsidRPr="00BE78CA">
              <w:rPr>
                <w:rFonts w:cs="Calibri"/>
                <w:szCs w:val="16"/>
              </w:rPr>
              <w:t>2010</w:t>
            </w:r>
          </w:p>
        </w:tc>
        <w:tc>
          <w:tcPr>
            <w:tcW w:w="1489" w:type="dxa"/>
            <w:vAlign w:val="bottom"/>
          </w:tcPr>
          <w:p w14:paraId="51BA74B4" w14:textId="77777777" w:rsidR="00F02481" w:rsidRPr="00BE78CA" w:rsidRDefault="00F02481" w:rsidP="00416320">
            <w:pPr>
              <w:pStyle w:val="TableText"/>
              <w:spacing w:before="50" w:after="50"/>
              <w:jc w:val="center"/>
              <w:rPr>
                <w:rFonts w:cs="Calibri"/>
                <w:szCs w:val="16"/>
              </w:rPr>
            </w:pPr>
            <w:r w:rsidRPr="00BE78CA">
              <w:rPr>
                <w:rFonts w:cs="Calibri"/>
                <w:szCs w:val="16"/>
              </w:rPr>
              <w:t>81.4</w:t>
            </w:r>
          </w:p>
        </w:tc>
        <w:tc>
          <w:tcPr>
            <w:tcW w:w="1487" w:type="dxa"/>
            <w:vAlign w:val="center"/>
          </w:tcPr>
          <w:p w14:paraId="791C0EC1" w14:textId="77777777" w:rsidR="00F02481" w:rsidRPr="00BE78CA" w:rsidRDefault="00F02481" w:rsidP="00416320">
            <w:pPr>
              <w:pStyle w:val="TableText"/>
              <w:spacing w:before="50" w:after="50"/>
              <w:jc w:val="center"/>
              <w:rPr>
                <w:rFonts w:cs="Calibri"/>
                <w:szCs w:val="16"/>
              </w:rPr>
            </w:pPr>
            <w:r w:rsidRPr="00BE78CA">
              <w:rPr>
                <w:rFonts w:cs="Calibri"/>
                <w:szCs w:val="16"/>
              </w:rPr>
              <w:t>90.1</w:t>
            </w:r>
          </w:p>
        </w:tc>
        <w:tc>
          <w:tcPr>
            <w:tcW w:w="1487" w:type="dxa"/>
            <w:vAlign w:val="bottom"/>
          </w:tcPr>
          <w:p w14:paraId="446EFB7F" w14:textId="77777777" w:rsidR="00F02481" w:rsidRPr="00BE78CA" w:rsidRDefault="00F02481" w:rsidP="00416320">
            <w:pPr>
              <w:pStyle w:val="TableText"/>
              <w:spacing w:before="50" w:after="50"/>
              <w:jc w:val="center"/>
              <w:rPr>
                <w:rFonts w:cs="Calibri"/>
                <w:szCs w:val="16"/>
              </w:rPr>
            </w:pPr>
            <w:r w:rsidRPr="00BE78CA">
              <w:rPr>
                <w:rFonts w:cs="Calibri"/>
                <w:szCs w:val="16"/>
              </w:rPr>
              <w:t>60.0</w:t>
            </w:r>
          </w:p>
        </w:tc>
        <w:tc>
          <w:tcPr>
            <w:tcW w:w="1536" w:type="dxa"/>
            <w:vAlign w:val="bottom"/>
          </w:tcPr>
          <w:p w14:paraId="70B31ADD" w14:textId="77777777" w:rsidR="00F02481" w:rsidRPr="00BE78CA" w:rsidRDefault="00F02481" w:rsidP="00416320">
            <w:pPr>
              <w:pStyle w:val="TableText"/>
              <w:spacing w:before="50" w:after="50"/>
              <w:ind w:right="510"/>
              <w:jc w:val="right"/>
              <w:rPr>
                <w:rFonts w:cs="Calibri"/>
                <w:szCs w:val="16"/>
              </w:rPr>
            </w:pPr>
            <w:r w:rsidRPr="00BE78CA">
              <w:rPr>
                <w:rFonts w:cs="Calibri"/>
                <w:szCs w:val="16"/>
              </w:rPr>
              <w:t>11.8</w:t>
            </w:r>
          </w:p>
        </w:tc>
        <w:tc>
          <w:tcPr>
            <w:tcW w:w="1518" w:type="dxa"/>
            <w:vAlign w:val="bottom"/>
          </w:tcPr>
          <w:p w14:paraId="221A876C" w14:textId="77777777" w:rsidR="00F02481" w:rsidRPr="00BE78CA" w:rsidRDefault="00F02481" w:rsidP="00416320">
            <w:pPr>
              <w:pStyle w:val="TableText"/>
              <w:spacing w:before="50" w:after="50"/>
              <w:jc w:val="center"/>
              <w:rPr>
                <w:rFonts w:cs="Calibri"/>
                <w:szCs w:val="16"/>
              </w:rPr>
            </w:pPr>
            <w:r w:rsidRPr="00BE78CA">
              <w:rPr>
                <w:rFonts w:cs="Calibri"/>
                <w:szCs w:val="16"/>
              </w:rPr>
              <w:t>23.3</w:t>
            </w:r>
          </w:p>
        </w:tc>
      </w:tr>
      <w:tr w:rsidR="00F02481" w:rsidRPr="00BE78CA" w14:paraId="0A925999" w14:textId="77777777" w:rsidTr="00160A37">
        <w:trPr>
          <w:trHeight w:val="217"/>
        </w:trPr>
        <w:tc>
          <w:tcPr>
            <w:tcW w:w="988" w:type="dxa"/>
          </w:tcPr>
          <w:p w14:paraId="585CFAFD" w14:textId="77777777" w:rsidR="00F02481" w:rsidRPr="00BE78CA" w:rsidRDefault="00F02481" w:rsidP="00416320">
            <w:pPr>
              <w:pStyle w:val="TableText"/>
              <w:spacing w:before="50" w:after="50"/>
              <w:rPr>
                <w:rFonts w:cs="Calibri"/>
                <w:szCs w:val="16"/>
              </w:rPr>
            </w:pPr>
            <w:r w:rsidRPr="00BE78CA">
              <w:rPr>
                <w:rFonts w:cs="Calibri"/>
                <w:szCs w:val="16"/>
              </w:rPr>
              <w:t>2011</w:t>
            </w:r>
          </w:p>
        </w:tc>
        <w:tc>
          <w:tcPr>
            <w:tcW w:w="1489" w:type="dxa"/>
            <w:vAlign w:val="bottom"/>
          </w:tcPr>
          <w:p w14:paraId="0215A171" w14:textId="77777777" w:rsidR="00F02481" w:rsidRPr="00BE78CA" w:rsidRDefault="00F02481" w:rsidP="00416320">
            <w:pPr>
              <w:pStyle w:val="TableText"/>
              <w:spacing w:before="50" w:after="50"/>
              <w:jc w:val="center"/>
              <w:rPr>
                <w:rFonts w:cs="Calibri"/>
                <w:szCs w:val="16"/>
              </w:rPr>
            </w:pPr>
            <w:r w:rsidRPr="00BE78CA">
              <w:rPr>
                <w:rFonts w:cs="Calibri"/>
                <w:szCs w:val="16"/>
              </w:rPr>
              <w:t>82.3</w:t>
            </w:r>
          </w:p>
        </w:tc>
        <w:tc>
          <w:tcPr>
            <w:tcW w:w="1487" w:type="dxa"/>
            <w:vAlign w:val="center"/>
          </w:tcPr>
          <w:p w14:paraId="12DF2440" w14:textId="77777777" w:rsidR="00F02481" w:rsidRPr="00BE78CA" w:rsidRDefault="00F02481" w:rsidP="00416320">
            <w:pPr>
              <w:pStyle w:val="TableText"/>
              <w:spacing w:before="50" w:after="50"/>
              <w:jc w:val="center"/>
              <w:rPr>
                <w:rFonts w:cs="Calibri"/>
                <w:szCs w:val="16"/>
              </w:rPr>
            </w:pPr>
            <w:r w:rsidRPr="00BE78CA">
              <w:rPr>
                <w:rFonts w:cs="Calibri"/>
                <w:szCs w:val="16"/>
              </w:rPr>
              <w:t>93.8</w:t>
            </w:r>
          </w:p>
        </w:tc>
        <w:tc>
          <w:tcPr>
            <w:tcW w:w="1487" w:type="dxa"/>
            <w:vAlign w:val="bottom"/>
          </w:tcPr>
          <w:p w14:paraId="157E6793" w14:textId="77777777" w:rsidR="00F02481" w:rsidRPr="00BE78CA" w:rsidRDefault="00F02481" w:rsidP="00416320">
            <w:pPr>
              <w:pStyle w:val="TableText"/>
              <w:spacing w:before="50" w:after="50"/>
              <w:jc w:val="center"/>
              <w:rPr>
                <w:rFonts w:cs="Calibri"/>
                <w:szCs w:val="16"/>
              </w:rPr>
            </w:pPr>
            <w:r w:rsidRPr="00BE78CA">
              <w:rPr>
                <w:rFonts w:cs="Calibri"/>
                <w:szCs w:val="16"/>
              </w:rPr>
              <w:t>60.8</w:t>
            </w:r>
          </w:p>
        </w:tc>
        <w:tc>
          <w:tcPr>
            <w:tcW w:w="1536" w:type="dxa"/>
            <w:vAlign w:val="bottom"/>
          </w:tcPr>
          <w:p w14:paraId="2D581EFC" w14:textId="77777777" w:rsidR="00F02481" w:rsidRPr="00BE78CA" w:rsidRDefault="00F02481" w:rsidP="00416320">
            <w:pPr>
              <w:pStyle w:val="TableText"/>
              <w:spacing w:before="50" w:after="50"/>
              <w:ind w:right="510"/>
              <w:jc w:val="right"/>
              <w:rPr>
                <w:rFonts w:cs="Calibri"/>
                <w:szCs w:val="16"/>
              </w:rPr>
            </w:pPr>
            <w:r w:rsidRPr="00BE78CA">
              <w:rPr>
                <w:rFonts w:cs="Calibri"/>
                <w:szCs w:val="16"/>
              </w:rPr>
              <w:t>12.0</w:t>
            </w:r>
          </w:p>
        </w:tc>
        <w:tc>
          <w:tcPr>
            <w:tcW w:w="1518" w:type="dxa"/>
            <w:vAlign w:val="bottom"/>
          </w:tcPr>
          <w:p w14:paraId="28A9864F" w14:textId="77777777" w:rsidR="00F02481" w:rsidRPr="00BE78CA" w:rsidRDefault="00F02481" w:rsidP="00416320">
            <w:pPr>
              <w:pStyle w:val="TableText"/>
              <w:spacing w:before="50" w:after="50"/>
              <w:jc w:val="center"/>
              <w:rPr>
                <w:rFonts w:cs="Calibri"/>
                <w:szCs w:val="16"/>
              </w:rPr>
            </w:pPr>
            <w:r w:rsidRPr="00BE78CA">
              <w:rPr>
                <w:rFonts w:cs="Calibri"/>
                <w:szCs w:val="16"/>
              </w:rPr>
              <w:t>23.5</w:t>
            </w:r>
          </w:p>
        </w:tc>
      </w:tr>
      <w:tr w:rsidR="00F02481" w:rsidRPr="00BE78CA" w14:paraId="5CF5D9F7" w14:textId="77777777" w:rsidTr="00160A37">
        <w:trPr>
          <w:trHeight w:val="239"/>
        </w:trPr>
        <w:tc>
          <w:tcPr>
            <w:tcW w:w="988" w:type="dxa"/>
          </w:tcPr>
          <w:p w14:paraId="2B83EE57" w14:textId="77777777" w:rsidR="00F02481" w:rsidRPr="00BE78CA" w:rsidRDefault="00F02481" w:rsidP="00416320">
            <w:pPr>
              <w:pStyle w:val="TableText"/>
              <w:spacing w:before="50" w:after="50"/>
              <w:rPr>
                <w:rFonts w:cs="Calibri"/>
                <w:szCs w:val="16"/>
              </w:rPr>
            </w:pPr>
            <w:r w:rsidRPr="00BE78CA">
              <w:rPr>
                <w:rFonts w:cs="Calibri"/>
                <w:szCs w:val="16"/>
              </w:rPr>
              <w:t>2012</w:t>
            </w:r>
          </w:p>
        </w:tc>
        <w:tc>
          <w:tcPr>
            <w:tcW w:w="1489" w:type="dxa"/>
            <w:vAlign w:val="bottom"/>
          </w:tcPr>
          <w:p w14:paraId="7F5B5C70" w14:textId="77777777" w:rsidR="00F02481" w:rsidRPr="00BE78CA" w:rsidRDefault="00F02481" w:rsidP="00416320">
            <w:pPr>
              <w:pStyle w:val="TableText"/>
              <w:spacing w:before="50" w:after="50"/>
              <w:jc w:val="center"/>
              <w:rPr>
                <w:rFonts w:cs="Calibri"/>
                <w:szCs w:val="16"/>
              </w:rPr>
            </w:pPr>
            <w:r w:rsidRPr="00BE78CA">
              <w:rPr>
                <w:rFonts w:cs="Calibri"/>
                <w:szCs w:val="16"/>
              </w:rPr>
              <w:t>82.4</w:t>
            </w:r>
          </w:p>
        </w:tc>
        <w:tc>
          <w:tcPr>
            <w:tcW w:w="1487" w:type="dxa"/>
            <w:vAlign w:val="center"/>
          </w:tcPr>
          <w:p w14:paraId="6EF636E9" w14:textId="77777777" w:rsidR="00F02481" w:rsidRPr="00BE78CA" w:rsidRDefault="00F02481" w:rsidP="00416320">
            <w:pPr>
              <w:pStyle w:val="TableText"/>
              <w:spacing w:before="50" w:after="50"/>
              <w:jc w:val="center"/>
              <w:rPr>
                <w:rFonts w:cs="Calibri"/>
                <w:szCs w:val="16"/>
              </w:rPr>
            </w:pPr>
            <w:r w:rsidRPr="00BE78CA">
              <w:rPr>
                <w:rFonts w:cs="Calibri"/>
                <w:szCs w:val="16"/>
              </w:rPr>
              <w:t>94.8</w:t>
            </w:r>
          </w:p>
        </w:tc>
        <w:tc>
          <w:tcPr>
            <w:tcW w:w="1487" w:type="dxa"/>
            <w:vAlign w:val="bottom"/>
          </w:tcPr>
          <w:p w14:paraId="76A57D28" w14:textId="77777777" w:rsidR="00F02481" w:rsidRPr="00BE78CA" w:rsidRDefault="00F02481" w:rsidP="00416320">
            <w:pPr>
              <w:pStyle w:val="TableText"/>
              <w:spacing w:before="50" w:after="50"/>
              <w:jc w:val="center"/>
              <w:rPr>
                <w:rFonts w:cs="Calibri"/>
                <w:szCs w:val="16"/>
              </w:rPr>
            </w:pPr>
            <w:r w:rsidRPr="00BE78CA">
              <w:rPr>
                <w:rFonts w:cs="Calibri"/>
                <w:szCs w:val="16"/>
              </w:rPr>
              <w:t>61.7</w:t>
            </w:r>
          </w:p>
        </w:tc>
        <w:tc>
          <w:tcPr>
            <w:tcW w:w="1536" w:type="dxa"/>
            <w:vAlign w:val="bottom"/>
          </w:tcPr>
          <w:p w14:paraId="45BF52C1" w14:textId="77777777" w:rsidR="00F02481" w:rsidRPr="00BE78CA" w:rsidRDefault="00F02481" w:rsidP="00416320">
            <w:pPr>
              <w:pStyle w:val="TableText"/>
              <w:spacing w:before="50" w:after="50"/>
              <w:ind w:right="510"/>
              <w:jc w:val="right"/>
              <w:rPr>
                <w:rFonts w:cs="Calibri"/>
                <w:szCs w:val="16"/>
              </w:rPr>
            </w:pPr>
            <w:r w:rsidRPr="00BE78CA">
              <w:rPr>
                <w:rFonts w:cs="Calibri"/>
                <w:szCs w:val="16"/>
              </w:rPr>
              <w:t>12.1</w:t>
            </w:r>
          </w:p>
        </w:tc>
        <w:tc>
          <w:tcPr>
            <w:tcW w:w="1518" w:type="dxa"/>
            <w:vAlign w:val="bottom"/>
          </w:tcPr>
          <w:p w14:paraId="57D68D41" w14:textId="77777777" w:rsidR="00F02481" w:rsidRPr="00BE78CA" w:rsidRDefault="00F02481" w:rsidP="00416320">
            <w:pPr>
              <w:pStyle w:val="TableText"/>
              <w:spacing w:before="50" w:after="50"/>
              <w:jc w:val="center"/>
              <w:rPr>
                <w:rFonts w:cs="Calibri"/>
                <w:szCs w:val="16"/>
              </w:rPr>
            </w:pPr>
            <w:r w:rsidRPr="00BE78CA">
              <w:rPr>
                <w:rFonts w:cs="Calibri"/>
                <w:szCs w:val="16"/>
              </w:rPr>
              <w:t>23.6</w:t>
            </w:r>
          </w:p>
        </w:tc>
      </w:tr>
      <w:tr w:rsidR="00F02481" w:rsidRPr="00BE78CA" w14:paraId="6034DC27" w14:textId="77777777" w:rsidTr="00160A37">
        <w:trPr>
          <w:trHeight w:val="239"/>
        </w:trPr>
        <w:tc>
          <w:tcPr>
            <w:tcW w:w="988" w:type="dxa"/>
          </w:tcPr>
          <w:p w14:paraId="5EB7D363" w14:textId="77777777" w:rsidR="00F02481" w:rsidRPr="00BE78CA" w:rsidRDefault="00F02481" w:rsidP="00416320">
            <w:pPr>
              <w:pStyle w:val="TableText"/>
              <w:spacing w:before="50" w:after="50"/>
              <w:rPr>
                <w:rFonts w:cs="Calibri"/>
                <w:szCs w:val="16"/>
              </w:rPr>
            </w:pPr>
            <w:r w:rsidRPr="00BE78CA">
              <w:rPr>
                <w:rFonts w:cs="Calibri"/>
                <w:szCs w:val="16"/>
              </w:rPr>
              <w:t>2013</w:t>
            </w:r>
          </w:p>
        </w:tc>
        <w:tc>
          <w:tcPr>
            <w:tcW w:w="1489" w:type="dxa"/>
            <w:vAlign w:val="bottom"/>
          </w:tcPr>
          <w:p w14:paraId="4D356411" w14:textId="77777777" w:rsidR="00F02481" w:rsidRPr="00BE78CA" w:rsidRDefault="00F02481" w:rsidP="00416320">
            <w:pPr>
              <w:pStyle w:val="TableText"/>
              <w:spacing w:before="50" w:after="50"/>
              <w:jc w:val="center"/>
              <w:rPr>
                <w:rFonts w:cs="Calibri"/>
                <w:szCs w:val="16"/>
              </w:rPr>
            </w:pPr>
            <w:r w:rsidRPr="00BE78CA">
              <w:rPr>
                <w:rFonts w:cs="Calibri"/>
                <w:szCs w:val="16"/>
              </w:rPr>
              <w:t>84.3</w:t>
            </w:r>
          </w:p>
        </w:tc>
        <w:tc>
          <w:tcPr>
            <w:tcW w:w="1487" w:type="dxa"/>
            <w:vAlign w:val="center"/>
          </w:tcPr>
          <w:p w14:paraId="144CB79F" w14:textId="77777777" w:rsidR="00F02481" w:rsidRPr="00BE78CA" w:rsidRDefault="00F02481" w:rsidP="00416320">
            <w:pPr>
              <w:pStyle w:val="TableText"/>
              <w:spacing w:before="50" w:after="50"/>
              <w:jc w:val="center"/>
              <w:rPr>
                <w:rFonts w:cs="Calibri"/>
                <w:szCs w:val="16"/>
              </w:rPr>
            </w:pPr>
            <w:r w:rsidRPr="00BE78CA">
              <w:rPr>
                <w:rFonts w:cs="Calibri"/>
                <w:szCs w:val="16"/>
              </w:rPr>
              <w:t>93.7</w:t>
            </w:r>
          </w:p>
        </w:tc>
        <w:tc>
          <w:tcPr>
            <w:tcW w:w="1487" w:type="dxa"/>
            <w:vAlign w:val="bottom"/>
          </w:tcPr>
          <w:p w14:paraId="5E2D0143" w14:textId="77777777" w:rsidR="00F02481" w:rsidRPr="00BE78CA" w:rsidRDefault="00F02481" w:rsidP="00416320">
            <w:pPr>
              <w:pStyle w:val="TableText"/>
              <w:spacing w:before="50" w:after="50"/>
              <w:jc w:val="center"/>
              <w:rPr>
                <w:rFonts w:cs="Calibri"/>
                <w:szCs w:val="16"/>
              </w:rPr>
            </w:pPr>
            <w:r w:rsidRPr="00BE78CA">
              <w:rPr>
                <w:rFonts w:cs="Calibri"/>
                <w:szCs w:val="16"/>
              </w:rPr>
              <w:t>60.7</w:t>
            </w:r>
          </w:p>
        </w:tc>
        <w:tc>
          <w:tcPr>
            <w:tcW w:w="1536" w:type="dxa"/>
            <w:vAlign w:val="bottom"/>
          </w:tcPr>
          <w:p w14:paraId="7F965182" w14:textId="77777777" w:rsidR="00F02481" w:rsidRPr="00BE78CA" w:rsidRDefault="00F02481" w:rsidP="00416320">
            <w:pPr>
              <w:pStyle w:val="TableText"/>
              <w:spacing w:before="50" w:after="50"/>
              <w:ind w:right="510"/>
              <w:jc w:val="right"/>
              <w:rPr>
                <w:rFonts w:cs="Calibri"/>
                <w:szCs w:val="16"/>
              </w:rPr>
            </w:pPr>
            <w:r w:rsidRPr="00BE78CA">
              <w:rPr>
                <w:rFonts w:cs="Calibri"/>
                <w:szCs w:val="16"/>
              </w:rPr>
              <w:t>12.1</w:t>
            </w:r>
          </w:p>
        </w:tc>
        <w:tc>
          <w:tcPr>
            <w:tcW w:w="1518" w:type="dxa"/>
            <w:vAlign w:val="bottom"/>
          </w:tcPr>
          <w:p w14:paraId="44C1F731" w14:textId="77777777" w:rsidR="00F02481" w:rsidRPr="00BE78CA" w:rsidRDefault="00F02481" w:rsidP="00416320">
            <w:pPr>
              <w:pStyle w:val="TableText"/>
              <w:spacing w:before="50" w:after="50"/>
              <w:jc w:val="center"/>
              <w:rPr>
                <w:rFonts w:cs="Calibri"/>
                <w:szCs w:val="16"/>
              </w:rPr>
            </w:pPr>
            <w:r w:rsidRPr="00BE78CA">
              <w:rPr>
                <w:rFonts w:cs="Calibri"/>
                <w:szCs w:val="16"/>
              </w:rPr>
              <w:t>23.3</w:t>
            </w:r>
          </w:p>
        </w:tc>
      </w:tr>
      <w:tr w:rsidR="00F02481" w:rsidRPr="00BE78CA" w14:paraId="161C01AB" w14:textId="77777777" w:rsidTr="00160A37">
        <w:trPr>
          <w:trHeight w:val="251"/>
        </w:trPr>
        <w:tc>
          <w:tcPr>
            <w:tcW w:w="988" w:type="dxa"/>
          </w:tcPr>
          <w:p w14:paraId="66EEBDB3" w14:textId="77777777" w:rsidR="00F02481" w:rsidRPr="00BE78CA" w:rsidRDefault="00F02481" w:rsidP="00416320">
            <w:pPr>
              <w:pStyle w:val="TableText"/>
              <w:spacing w:before="50" w:after="50"/>
              <w:rPr>
                <w:rFonts w:cs="Calibri"/>
                <w:szCs w:val="16"/>
              </w:rPr>
            </w:pPr>
            <w:r w:rsidRPr="00BE78CA">
              <w:rPr>
                <w:rFonts w:cs="Calibri"/>
                <w:szCs w:val="16"/>
              </w:rPr>
              <w:t>2014</w:t>
            </w:r>
          </w:p>
        </w:tc>
        <w:tc>
          <w:tcPr>
            <w:tcW w:w="1489" w:type="dxa"/>
            <w:vAlign w:val="bottom"/>
          </w:tcPr>
          <w:p w14:paraId="6FF06DB1" w14:textId="77777777" w:rsidR="00F02481" w:rsidRPr="00BE78CA" w:rsidRDefault="00F02481" w:rsidP="00416320">
            <w:pPr>
              <w:pStyle w:val="TableText"/>
              <w:spacing w:before="50" w:after="50"/>
              <w:jc w:val="center"/>
              <w:rPr>
                <w:rFonts w:cs="Calibri"/>
                <w:szCs w:val="16"/>
              </w:rPr>
            </w:pPr>
            <w:r w:rsidRPr="00BE78CA">
              <w:rPr>
                <w:rFonts w:cs="Calibri"/>
                <w:szCs w:val="16"/>
              </w:rPr>
              <w:t>84.7</w:t>
            </w:r>
          </w:p>
        </w:tc>
        <w:tc>
          <w:tcPr>
            <w:tcW w:w="1487" w:type="dxa"/>
            <w:vAlign w:val="center"/>
          </w:tcPr>
          <w:p w14:paraId="75AD0E31" w14:textId="77777777" w:rsidR="00F02481" w:rsidRPr="00BE78CA" w:rsidRDefault="00F02481" w:rsidP="00416320">
            <w:pPr>
              <w:pStyle w:val="TableText"/>
              <w:spacing w:before="50" w:after="50"/>
              <w:jc w:val="center"/>
              <w:rPr>
                <w:rFonts w:cs="Calibri"/>
                <w:szCs w:val="16"/>
              </w:rPr>
            </w:pPr>
            <w:r w:rsidRPr="00BE78CA">
              <w:rPr>
                <w:rFonts w:cs="Calibri"/>
                <w:szCs w:val="16"/>
              </w:rPr>
              <w:t>97.8</w:t>
            </w:r>
          </w:p>
        </w:tc>
        <w:tc>
          <w:tcPr>
            <w:tcW w:w="1487" w:type="dxa"/>
            <w:vAlign w:val="bottom"/>
          </w:tcPr>
          <w:p w14:paraId="0B06676A" w14:textId="77777777" w:rsidR="00F02481" w:rsidRPr="00BE78CA" w:rsidRDefault="00F02481" w:rsidP="00416320">
            <w:pPr>
              <w:pStyle w:val="TableText"/>
              <w:spacing w:before="50" w:after="50"/>
              <w:jc w:val="center"/>
              <w:rPr>
                <w:rFonts w:cs="Calibri"/>
                <w:szCs w:val="16"/>
              </w:rPr>
            </w:pPr>
            <w:r w:rsidRPr="00BE78CA">
              <w:rPr>
                <w:rFonts w:cs="Calibri"/>
                <w:szCs w:val="16"/>
              </w:rPr>
              <w:t>60.4</w:t>
            </w:r>
          </w:p>
        </w:tc>
        <w:tc>
          <w:tcPr>
            <w:tcW w:w="1536" w:type="dxa"/>
            <w:vAlign w:val="bottom"/>
          </w:tcPr>
          <w:p w14:paraId="0FB9F97E" w14:textId="77777777" w:rsidR="00F02481" w:rsidRPr="00BE78CA" w:rsidRDefault="00F02481" w:rsidP="00416320">
            <w:pPr>
              <w:pStyle w:val="TableText"/>
              <w:spacing w:before="50" w:after="50"/>
              <w:ind w:right="510"/>
              <w:jc w:val="right"/>
              <w:rPr>
                <w:rFonts w:cs="Calibri"/>
                <w:szCs w:val="16"/>
              </w:rPr>
            </w:pPr>
            <w:r w:rsidRPr="00BE78CA">
              <w:rPr>
                <w:rFonts w:cs="Calibri"/>
                <w:szCs w:val="16"/>
              </w:rPr>
              <w:t>12.3</w:t>
            </w:r>
          </w:p>
        </w:tc>
        <w:tc>
          <w:tcPr>
            <w:tcW w:w="1518" w:type="dxa"/>
            <w:vAlign w:val="bottom"/>
          </w:tcPr>
          <w:p w14:paraId="6CA52226" w14:textId="77777777" w:rsidR="00F02481" w:rsidRPr="00BE78CA" w:rsidRDefault="00F02481" w:rsidP="00416320">
            <w:pPr>
              <w:pStyle w:val="TableText"/>
              <w:spacing w:before="50" w:after="50"/>
              <w:jc w:val="center"/>
              <w:rPr>
                <w:rFonts w:cs="Calibri"/>
                <w:szCs w:val="16"/>
              </w:rPr>
            </w:pPr>
            <w:r w:rsidRPr="00BE78CA">
              <w:rPr>
                <w:rFonts w:cs="Calibri"/>
                <w:szCs w:val="16"/>
              </w:rPr>
              <w:t>23.5</w:t>
            </w:r>
          </w:p>
        </w:tc>
      </w:tr>
      <w:tr w:rsidR="00F02481" w:rsidRPr="00BE78CA" w14:paraId="2CDFA08A" w14:textId="77777777" w:rsidTr="00160A37">
        <w:trPr>
          <w:trHeight w:val="239"/>
        </w:trPr>
        <w:tc>
          <w:tcPr>
            <w:tcW w:w="988" w:type="dxa"/>
          </w:tcPr>
          <w:p w14:paraId="4B78CC52" w14:textId="77777777" w:rsidR="00F02481" w:rsidRPr="00BE78CA" w:rsidRDefault="00F02481" w:rsidP="00416320">
            <w:pPr>
              <w:pStyle w:val="TableText"/>
              <w:spacing w:before="50" w:after="50"/>
              <w:rPr>
                <w:rFonts w:cs="Calibri"/>
                <w:szCs w:val="16"/>
              </w:rPr>
            </w:pPr>
            <w:r w:rsidRPr="00BE78CA">
              <w:rPr>
                <w:rFonts w:cs="Calibri"/>
                <w:szCs w:val="16"/>
              </w:rPr>
              <w:t>2015</w:t>
            </w:r>
          </w:p>
        </w:tc>
        <w:tc>
          <w:tcPr>
            <w:tcW w:w="1489" w:type="dxa"/>
            <w:vAlign w:val="bottom"/>
          </w:tcPr>
          <w:p w14:paraId="74433F67" w14:textId="77777777" w:rsidR="00F02481" w:rsidRPr="00BE78CA" w:rsidRDefault="00F02481" w:rsidP="00416320">
            <w:pPr>
              <w:pStyle w:val="TableText"/>
              <w:spacing w:before="50" w:after="50"/>
              <w:jc w:val="center"/>
              <w:rPr>
                <w:rFonts w:cs="Calibri"/>
                <w:szCs w:val="16"/>
              </w:rPr>
            </w:pPr>
            <w:r w:rsidRPr="00BE78CA">
              <w:rPr>
                <w:rFonts w:cs="Calibri"/>
                <w:szCs w:val="16"/>
              </w:rPr>
              <w:t>87.0</w:t>
            </w:r>
          </w:p>
        </w:tc>
        <w:tc>
          <w:tcPr>
            <w:tcW w:w="1487" w:type="dxa"/>
            <w:vAlign w:val="center"/>
          </w:tcPr>
          <w:p w14:paraId="52E4358C" w14:textId="77777777" w:rsidR="00F02481" w:rsidRPr="00BE78CA" w:rsidRDefault="00F02481" w:rsidP="00416320">
            <w:pPr>
              <w:pStyle w:val="TableText"/>
              <w:spacing w:before="50" w:after="50"/>
              <w:jc w:val="center"/>
              <w:rPr>
                <w:rFonts w:cs="Calibri"/>
                <w:szCs w:val="16"/>
              </w:rPr>
            </w:pPr>
            <w:r w:rsidRPr="00BE78CA">
              <w:rPr>
                <w:rFonts w:cs="Calibri"/>
                <w:szCs w:val="16"/>
              </w:rPr>
              <w:t>94.1</w:t>
            </w:r>
          </w:p>
        </w:tc>
        <w:tc>
          <w:tcPr>
            <w:tcW w:w="1487" w:type="dxa"/>
            <w:vAlign w:val="bottom"/>
          </w:tcPr>
          <w:p w14:paraId="17E721B1" w14:textId="77777777" w:rsidR="00F02481" w:rsidRPr="00BE78CA" w:rsidRDefault="00F02481" w:rsidP="00416320">
            <w:pPr>
              <w:pStyle w:val="TableText"/>
              <w:spacing w:before="50" w:after="50"/>
              <w:jc w:val="center"/>
              <w:rPr>
                <w:rFonts w:cs="Calibri"/>
                <w:szCs w:val="16"/>
              </w:rPr>
            </w:pPr>
            <w:r w:rsidRPr="00BE78CA">
              <w:rPr>
                <w:rFonts w:cs="Calibri"/>
                <w:szCs w:val="16"/>
              </w:rPr>
              <w:t>61.0</w:t>
            </w:r>
          </w:p>
        </w:tc>
        <w:tc>
          <w:tcPr>
            <w:tcW w:w="1536" w:type="dxa"/>
            <w:vAlign w:val="bottom"/>
          </w:tcPr>
          <w:p w14:paraId="19043102" w14:textId="77777777" w:rsidR="00F02481" w:rsidRPr="00BE78CA" w:rsidRDefault="00F02481" w:rsidP="00416320">
            <w:pPr>
              <w:pStyle w:val="TableText"/>
              <w:spacing w:before="50" w:after="50"/>
              <w:ind w:right="510"/>
              <w:jc w:val="right"/>
              <w:rPr>
                <w:rFonts w:cs="Calibri"/>
                <w:szCs w:val="16"/>
              </w:rPr>
            </w:pPr>
            <w:r w:rsidRPr="00BE78CA">
              <w:rPr>
                <w:rFonts w:cs="Calibri"/>
                <w:szCs w:val="16"/>
              </w:rPr>
              <w:t>12.3</w:t>
            </w:r>
          </w:p>
        </w:tc>
        <w:tc>
          <w:tcPr>
            <w:tcW w:w="1518" w:type="dxa"/>
            <w:vAlign w:val="bottom"/>
          </w:tcPr>
          <w:p w14:paraId="50D8EBEC" w14:textId="77777777" w:rsidR="00F02481" w:rsidRPr="00BE78CA" w:rsidRDefault="00F02481" w:rsidP="00416320">
            <w:pPr>
              <w:pStyle w:val="TableText"/>
              <w:spacing w:before="50" w:after="50"/>
              <w:jc w:val="center"/>
              <w:rPr>
                <w:rFonts w:cs="Calibri"/>
                <w:szCs w:val="16"/>
              </w:rPr>
            </w:pPr>
            <w:r w:rsidRPr="00BE78CA">
              <w:rPr>
                <w:rFonts w:cs="Calibri"/>
                <w:szCs w:val="16"/>
              </w:rPr>
              <w:t>23.6</w:t>
            </w:r>
          </w:p>
        </w:tc>
      </w:tr>
      <w:tr w:rsidR="00F02481" w:rsidRPr="00BE78CA" w14:paraId="5B63BB3C" w14:textId="77777777" w:rsidTr="00160A37">
        <w:trPr>
          <w:trHeight w:val="239"/>
        </w:trPr>
        <w:tc>
          <w:tcPr>
            <w:tcW w:w="988" w:type="dxa"/>
          </w:tcPr>
          <w:p w14:paraId="1A1EA5E0" w14:textId="77777777" w:rsidR="00F02481" w:rsidRPr="00BE78CA" w:rsidRDefault="00F02481" w:rsidP="00416320">
            <w:pPr>
              <w:pStyle w:val="TableText"/>
              <w:spacing w:before="50" w:after="50"/>
              <w:rPr>
                <w:rFonts w:cs="Calibri"/>
                <w:szCs w:val="16"/>
              </w:rPr>
            </w:pPr>
            <w:r w:rsidRPr="00BE78CA">
              <w:rPr>
                <w:rFonts w:cs="Calibri"/>
                <w:szCs w:val="16"/>
              </w:rPr>
              <w:t>2016</w:t>
            </w:r>
          </w:p>
        </w:tc>
        <w:tc>
          <w:tcPr>
            <w:tcW w:w="1489" w:type="dxa"/>
            <w:vAlign w:val="bottom"/>
          </w:tcPr>
          <w:p w14:paraId="24CE50C1" w14:textId="77777777" w:rsidR="00F02481" w:rsidRPr="00BE78CA" w:rsidRDefault="00F02481" w:rsidP="00416320">
            <w:pPr>
              <w:pStyle w:val="TableText"/>
              <w:spacing w:before="50" w:after="50"/>
              <w:jc w:val="center"/>
              <w:rPr>
                <w:rFonts w:cs="Calibri"/>
                <w:szCs w:val="16"/>
              </w:rPr>
            </w:pPr>
            <w:r w:rsidRPr="00BE78CA">
              <w:rPr>
                <w:rFonts w:cs="Calibri"/>
                <w:szCs w:val="16"/>
              </w:rPr>
              <w:t>84.9</w:t>
            </w:r>
          </w:p>
        </w:tc>
        <w:tc>
          <w:tcPr>
            <w:tcW w:w="1487" w:type="dxa"/>
            <w:vAlign w:val="center"/>
          </w:tcPr>
          <w:p w14:paraId="19FCAF71" w14:textId="77777777" w:rsidR="00F02481" w:rsidRPr="00BE78CA" w:rsidRDefault="00F02481" w:rsidP="00416320">
            <w:pPr>
              <w:pStyle w:val="TableText"/>
              <w:spacing w:before="50" w:after="50"/>
              <w:jc w:val="center"/>
              <w:rPr>
                <w:rFonts w:cs="Calibri"/>
                <w:szCs w:val="16"/>
              </w:rPr>
            </w:pPr>
            <w:r w:rsidRPr="00BE78CA">
              <w:rPr>
                <w:rFonts w:cs="Calibri"/>
                <w:szCs w:val="16"/>
              </w:rPr>
              <w:t>96.2</w:t>
            </w:r>
          </w:p>
        </w:tc>
        <w:tc>
          <w:tcPr>
            <w:tcW w:w="1487" w:type="dxa"/>
            <w:vAlign w:val="bottom"/>
          </w:tcPr>
          <w:p w14:paraId="0DE345CA" w14:textId="77777777" w:rsidR="00F02481" w:rsidRPr="00BE78CA" w:rsidRDefault="00F02481" w:rsidP="00416320">
            <w:pPr>
              <w:pStyle w:val="TableText"/>
              <w:spacing w:before="50" w:after="50"/>
              <w:jc w:val="center"/>
              <w:rPr>
                <w:rFonts w:cs="Calibri"/>
                <w:szCs w:val="16"/>
              </w:rPr>
            </w:pPr>
            <w:r w:rsidRPr="00BE78CA">
              <w:rPr>
                <w:rFonts w:cs="Calibri"/>
                <w:szCs w:val="16"/>
              </w:rPr>
              <w:t>61.6</w:t>
            </w:r>
          </w:p>
        </w:tc>
        <w:tc>
          <w:tcPr>
            <w:tcW w:w="1536" w:type="dxa"/>
            <w:vAlign w:val="bottom"/>
          </w:tcPr>
          <w:p w14:paraId="62F911A6" w14:textId="77777777" w:rsidR="00F02481" w:rsidRPr="00BE78CA" w:rsidRDefault="00F02481" w:rsidP="00416320">
            <w:pPr>
              <w:pStyle w:val="TableText"/>
              <w:spacing w:before="50" w:after="50"/>
              <w:ind w:right="510"/>
              <w:jc w:val="right"/>
              <w:rPr>
                <w:rFonts w:cs="Calibri"/>
                <w:szCs w:val="16"/>
              </w:rPr>
            </w:pPr>
            <w:r w:rsidRPr="00BE78CA">
              <w:rPr>
                <w:rFonts w:cs="Calibri"/>
                <w:szCs w:val="16"/>
              </w:rPr>
              <w:t>12.5</w:t>
            </w:r>
          </w:p>
        </w:tc>
        <w:tc>
          <w:tcPr>
            <w:tcW w:w="1518" w:type="dxa"/>
            <w:vAlign w:val="bottom"/>
          </w:tcPr>
          <w:p w14:paraId="08270126" w14:textId="77777777" w:rsidR="00F02481" w:rsidRPr="00BE78CA" w:rsidRDefault="00F02481" w:rsidP="00416320">
            <w:pPr>
              <w:pStyle w:val="TableText"/>
              <w:spacing w:before="50" w:after="50"/>
              <w:jc w:val="center"/>
              <w:rPr>
                <w:rFonts w:cs="Calibri"/>
                <w:szCs w:val="16"/>
              </w:rPr>
            </w:pPr>
            <w:r w:rsidRPr="00BE78CA">
              <w:rPr>
                <w:rFonts w:cs="Calibri"/>
                <w:szCs w:val="16"/>
              </w:rPr>
              <w:t>24.1</w:t>
            </w:r>
          </w:p>
        </w:tc>
      </w:tr>
      <w:tr w:rsidR="00F02481" w:rsidRPr="00BE78CA" w14:paraId="3E51D69E" w14:textId="77777777" w:rsidTr="00160A37">
        <w:trPr>
          <w:trHeight w:val="239"/>
        </w:trPr>
        <w:tc>
          <w:tcPr>
            <w:tcW w:w="988" w:type="dxa"/>
          </w:tcPr>
          <w:p w14:paraId="1C12E1FD" w14:textId="77777777" w:rsidR="00F02481" w:rsidRPr="00BE78CA" w:rsidRDefault="00F02481" w:rsidP="00416320">
            <w:pPr>
              <w:pStyle w:val="TableText"/>
              <w:spacing w:before="50" w:after="50"/>
              <w:rPr>
                <w:rFonts w:cs="Calibri"/>
                <w:szCs w:val="16"/>
              </w:rPr>
            </w:pPr>
            <w:r w:rsidRPr="00BE78CA">
              <w:rPr>
                <w:rFonts w:cs="Calibri"/>
                <w:szCs w:val="16"/>
              </w:rPr>
              <w:t>2017</w:t>
            </w:r>
          </w:p>
        </w:tc>
        <w:tc>
          <w:tcPr>
            <w:tcW w:w="1489" w:type="dxa"/>
            <w:vAlign w:val="bottom"/>
          </w:tcPr>
          <w:p w14:paraId="1B745DAF" w14:textId="77777777" w:rsidR="00F02481" w:rsidRPr="00BE78CA" w:rsidRDefault="00F02481" w:rsidP="00416320">
            <w:pPr>
              <w:pStyle w:val="TableText"/>
              <w:spacing w:before="50" w:after="50"/>
              <w:jc w:val="center"/>
              <w:rPr>
                <w:rFonts w:cs="Calibri"/>
                <w:szCs w:val="16"/>
              </w:rPr>
            </w:pPr>
            <w:r w:rsidRPr="00BE78CA">
              <w:rPr>
                <w:rFonts w:cs="Calibri"/>
                <w:szCs w:val="16"/>
              </w:rPr>
              <w:t>85.9</w:t>
            </w:r>
          </w:p>
        </w:tc>
        <w:tc>
          <w:tcPr>
            <w:tcW w:w="1487" w:type="dxa"/>
            <w:vAlign w:val="center"/>
          </w:tcPr>
          <w:p w14:paraId="5A3AD3F2" w14:textId="77777777" w:rsidR="00F02481" w:rsidRPr="00BE78CA" w:rsidRDefault="00F02481" w:rsidP="00416320">
            <w:pPr>
              <w:pStyle w:val="TableText"/>
              <w:spacing w:before="50" w:after="50"/>
              <w:jc w:val="center"/>
              <w:rPr>
                <w:rFonts w:cs="Calibri"/>
                <w:szCs w:val="16"/>
              </w:rPr>
            </w:pPr>
            <w:r w:rsidRPr="00BE78CA">
              <w:rPr>
                <w:rFonts w:cs="Calibri"/>
                <w:szCs w:val="16"/>
              </w:rPr>
              <w:t>93.0</w:t>
            </w:r>
          </w:p>
        </w:tc>
        <w:tc>
          <w:tcPr>
            <w:tcW w:w="1487" w:type="dxa"/>
            <w:vAlign w:val="bottom"/>
          </w:tcPr>
          <w:p w14:paraId="1DE1CECC" w14:textId="77777777" w:rsidR="00F02481" w:rsidRPr="00BE78CA" w:rsidRDefault="00F02481" w:rsidP="00416320">
            <w:pPr>
              <w:pStyle w:val="TableText"/>
              <w:spacing w:before="50" w:after="50"/>
              <w:jc w:val="center"/>
              <w:rPr>
                <w:rFonts w:cs="Calibri"/>
                <w:szCs w:val="16"/>
              </w:rPr>
            </w:pPr>
            <w:r w:rsidRPr="00BE78CA">
              <w:rPr>
                <w:rFonts w:cs="Calibri"/>
                <w:szCs w:val="16"/>
              </w:rPr>
              <w:t>61.2</w:t>
            </w:r>
          </w:p>
        </w:tc>
        <w:tc>
          <w:tcPr>
            <w:tcW w:w="1536" w:type="dxa"/>
            <w:vAlign w:val="bottom"/>
          </w:tcPr>
          <w:p w14:paraId="7AC72074" w14:textId="77777777" w:rsidR="00F02481" w:rsidRPr="00BE78CA" w:rsidRDefault="00F02481" w:rsidP="00416320">
            <w:pPr>
              <w:pStyle w:val="TableText"/>
              <w:spacing w:before="50" w:after="50"/>
              <w:ind w:right="510"/>
              <w:jc w:val="right"/>
              <w:rPr>
                <w:rFonts w:cs="Calibri"/>
                <w:szCs w:val="16"/>
              </w:rPr>
            </w:pPr>
            <w:r w:rsidRPr="00BE78CA">
              <w:rPr>
                <w:rFonts w:cs="Calibri"/>
                <w:szCs w:val="16"/>
              </w:rPr>
              <w:t>12.5</w:t>
            </w:r>
          </w:p>
        </w:tc>
        <w:tc>
          <w:tcPr>
            <w:tcW w:w="1518" w:type="dxa"/>
            <w:vAlign w:val="bottom"/>
          </w:tcPr>
          <w:p w14:paraId="4434F2C2" w14:textId="77777777" w:rsidR="00F02481" w:rsidRPr="00BE78CA" w:rsidRDefault="00F02481" w:rsidP="00416320">
            <w:pPr>
              <w:pStyle w:val="TableText"/>
              <w:tabs>
                <w:tab w:val="left" w:pos="402"/>
                <w:tab w:val="center" w:pos="643"/>
              </w:tabs>
              <w:spacing w:before="50" w:after="50"/>
              <w:jc w:val="center"/>
              <w:rPr>
                <w:rFonts w:cs="Calibri"/>
                <w:szCs w:val="16"/>
              </w:rPr>
            </w:pPr>
            <w:r w:rsidRPr="00BE78CA">
              <w:rPr>
                <w:rFonts w:cs="Calibri"/>
                <w:szCs w:val="16"/>
              </w:rPr>
              <w:t>23.8</w:t>
            </w:r>
          </w:p>
        </w:tc>
      </w:tr>
      <w:tr w:rsidR="00F02481" w:rsidRPr="00BE78CA" w14:paraId="73CEDEA1" w14:textId="77777777" w:rsidTr="00160A37">
        <w:trPr>
          <w:trHeight w:val="239"/>
        </w:trPr>
        <w:tc>
          <w:tcPr>
            <w:tcW w:w="988" w:type="dxa"/>
          </w:tcPr>
          <w:p w14:paraId="64A33294" w14:textId="77777777" w:rsidR="00F02481" w:rsidRPr="00BE78CA" w:rsidRDefault="00F02481" w:rsidP="00416320">
            <w:pPr>
              <w:pStyle w:val="TableText"/>
              <w:spacing w:before="50" w:after="50"/>
              <w:rPr>
                <w:rFonts w:cs="Calibri"/>
                <w:szCs w:val="16"/>
              </w:rPr>
            </w:pPr>
            <w:r w:rsidRPr="00BE78CA">
              <w:rPr>
                <w:rFonts w:cs="Calibri"/>
                <w:szCs w:val="16"/>
              </w:rPr>
              <w:t>2018</w:t>
            </w:r>
          </w:p>
        </w:tc>
        <w:tc>
          <w:tcPr>
            <w:tcW w:w="1489" w:type="dxa"/>
            <w:vAlign w:val="bottom"/>
          </w:tcPr>
          <w:p w14:paraId="63D84708" w14:textId="77777777" w:rsidR="00F02481" w:rsidRPr="00BE78CA" w:rsidRDefault="00F02481" w:rsidP="00416320">
            <w:pPr>
              <w:pStyle w:val="TableText"/>
              <w:spacing w:before="50" w:after="50"/>
              <w:jc w:val="center"/>
              <w:rPr>
                <w:rFonts w:cs="Calibri"/>
                <w:szCs w:val="16"/>
              </w:rPr>
            </w:pPr>
            <w:r w:rsidRPr="00BE78CA">
              <w:rPr>
                <w:rFonts w:cs="Calibri"/>
                <w:szCs w:val="16"/>
              </w:rPr>
              <w:t>88.1</w:t>
            </w:r>
          </w:p>
        </w:tc>
        <w:tc>
          <w:tcPr>
            <w:tcW w:w="1487" w:type="dxa"/>
            <w:vAlign w:val="center"/>
          </w:tcPr>
          <w:p w14:paraId="7B29F3FD" w14:textId="77777777" w:rsidR="00F02481" w:rsidRPr="00BE78CA" w:rsidRDefault="00F02481" w:rsidP="00416320">
            <w:pPr>
              <w:pStyle w:val="TableText"/>
              <w:spacing w:before="50" w:after="50"/>
              <w:jc w:val="center"/>
              <w:rPr>
                <w:rFonts w:cs="Calibri"/>
                <w:szCs w:val="16"/>
              </w:rPr>
            </w:pPr>
            <w:r w:rsidRPr="00BE78CA">
              <w:rPr>
                <w:rFonts w:cs="Calibri"/>
                <w:szCs w:val="16"/>
              </w:rPr>
              <w:t>96.5</w:t>
            </w:r>
          </w:p>
        </w:tc>
        <w:tc>
          <w:tcPr>
            <w:tcW w:w="1487" w:type="dxa"/>
            <w:vAlign w:val="bottom"/>
          </w:tcPr>
          <w:p w14:paraId="13823B4E" w14:textId="77777777" w:rsidR="00F02481" w:rsidRPr="00BE78CA" w:rsidRDefault="00F02481" w:rsidP="00416320">
            <w:pPr>
              <w:pStyle w:val="TableText"/>
              <w:spacing w:before="50" w:after="50"/>
              <w:jc w:val="center"/>
              <w:rPr>
                <w:rFonts w:cs="Calibri"/>
                <w:szCs w:val="16"/>
              </w:rPr>
            </w:pPr>
            <w:r w:rsidRPr="00BE78CA">
              <w:rPr>
                <w:rFonts w:cs="Calibri"/>
                <w:szCs w:val="16"/>
              </w:rPr>
              <w:t>60.2</w:t>
            </w:r>
          </w:p>
        </w:tc>
        <w:tc>
          <w:tcPr>
            <w:tcW w:w="1536" w:type="dxa"/>
            <w:vAlign w:val="bottom"/>
          </w:tcPr>
          <w:p w14:paraId="0629E5B3" w14:textId="77777777" w:rsidR="00F02481" w:rsidRPr="00BE78CA" w:rsidRDefault="00F02481" w:rsidP="00416320">
            <w:pPr>
              <w:pStyle w:val="TableText"/>
              <w:spacing w:before="50" w:after="50"/>
              <w:ind w:right="510"/>
              <w:jc w:val="right"/>
              <w:rPr>
                <w:rFonts w:cs="Calibri"/>
                <w:szCs w:val="16"/>
              </w:rPr>
            </w:pPr>
            <w:r w:rsidRPr="00BE78CA">
              <w:rPr>
                <w:rFonts w:cs="Calibri"/>
                <w:szCs w:val="16"/>
              </w:rPr>
              <w:t>12.7</w:t>
            </w:r>
          </w:p>
        </w:tc>
        <w:tc>
          <w:tcPr>
            <w:tcW w:w="1518" w:type="dxa"/>
            <w:vAlign w:val="bottom"/>
          </w:tcPr>
          <w:p w14:paraId="105DA6A6" w14:textId="77777777" w:rsidR="00F02481" w:rsidRPr="00BE78CA" w:rsidRDefault="00F02481" w:rsidP="00416320">
            <w:pPr>
              <w:pStyle w:val="TableText"/>
              <w:tabs>
                <w:tab w:val="left" w:pos="402"/>
                <w:tab w:val="center" w:pos="643"/>
              </w:tabs>
              <w:spacing w:before="50" w:after="50"/>
              <w:jc w:val="center"/>
              <w:rPr>
                <w:rFonts w:cs="Calibri"/>
                <w:szCs w:val="16"/>
              </w:rPr>
            </w:pPr>
            <w:r w:rsidRPr="00BE78CA">
              <w:rPr>
                <w:rFonts w:cs="Calibri"/>
                <w:szCs w:val="16"/>
              </w:rPr>
              <w:t>23.9</w:t>
            </w:r>
          </w:p>
        </w:tc>
      </w:tr>
      <w:tr w:rsidR="00F02481" w:rsidRPr="00BE78CA" w14:paraId="4D030C0B" w14:textId="77777777" w:rsidTr="00160A37">
        <w:trPr>
          <w:trHeight w:val="239"/>
        </w:trPr>
        <w:tc>
          <w:tcPr>
            <w:tcW w:w="988" w:type="dxa"/>
          </w:tcPr>
          <w:p w14:paraId="623FCCC2" w14:textId="77777777" w:rsidR="00F02481" w:rsidRPr="00BE78CA" w:rsidRDefault="00F02481" w:rsidP="00416320">
            <w:pPr>
              <w:pStyle w:val="TableText"/>
              <w:spacing w:before="50" w:after="50"/>
              <w:rPr>
                <w:rFonts w:cs="Calibri"/>
                <w:szCs w:val="16"/>
              </w:rPr>
            </w:pPr>
            <w:r w:rsidRPr="00BE78CA">
              <w:rPr>
                <w:rFonts w:cs="Calibri"/>
                <w:szCs w:val="16"/>
              </w:rPr>
              <w:t>2019</w:t>
            </w:r>
          </w:p>
        </w:tc>
        <w:tc>
          <w:tcPr>
            <w:tcW w:w="1489" w:type="dxa"/>
            <w:vAlign w:val="bottom"/>
          </w:tcPr>
          <w:p w14:paraId="449F1B7F" w14:textId="77777777" w:rsidR="00F02481" w:rsidRPr="00BE78CA" w:rsidRDefault="00F02481" w:rsidP="00416320">
            <w:pPr>
              <w:pStyle w:val="TableText"/>
              <w:spacing w:before="50" w:after="50"/>
              <w:jc w:val="center"/>
              <w:rPr>
                <w:rFonts w:cs="Calibri"/>
                <w:szCs w:val="16"/>
              </w:rPr>
            </w:pPr>
            <w:r w:rsidRPr="00BE78CA">
              <w:rPr>
                <w:rFonts w:cs="Calibri"/>
                <w:szCs w:val="16"/>
              </w:rPr>
              <w:t>89.5</w:t>
            </w:r>
          </w:p>
        </w:tc>
        <w:tc>
          <w:tcPr>
            <w:tcW w:w="1487" w:type="dxa"/>
            <w:vAlign w:val="center"/>
          </w:tcPr>
          <w:p w14:paraId="26EEBBFE" w14:textId="77777777" w:rsidR="00F02481" w:rsidRPr="00BE78CA" w:rsidRDefault="00F02481" w:rsidP="00416320">
            <w:pPr>
              <w:pStyle w:val="TableText"/>
              <w:spacing w:before="50" w:after="50"/>
              <w:jc w:val="center"/>
              <w:rPr>
                <w:rFonts w:cs="Calibri"/>
                <w:color w:val="000000"/>
                <w:szCs w:val="16"/>
              </w:rPr>
            </w:pPr>
            <w:r w:rsidRPr="00BE78CA">
              <w:rPr>
                <w:rFonts w:cs="Calibri"/>
                <w:szCs w:val="16"/>
              </w:rPr>
              <w:t>96.8</w:t>
            </w:r>
          </w:p>
        </w:tc>
        <w:tc>
          <w:tcPr>
            <w:tcW w:w="1487" w:type="dxa"/>
            <w:vAlign w:val="bottom"/>
          </w:tcPr>
          <w:p w14:paraId="2FAEC57C" w14:textId="77777777" w:rsidR="00F02481" w:rsidRPr="00BE78CA" w:rsidRDefault="00F02481" w:rsidP="00416320">
            <w:pPr>
              <w:pStyle w:val="TableText"/>
              <w:spacing w:before="50" w:after="50"/>
              <w:jc w:val="center"/>
              <w:rPr>
                <w:rFonts w:cs="Calibri"/>
                <w:szCs w:val="16"/>
              </w:rPr>
            </w:pPr>
            <w:r w:rsidRPr="00BE78CA">
              <w:rPr>
                <w:rFonts w:cs="Calibri"/>
                <w:szCs w:val="16"/>
              </w:rPr>
              <w:t>60.6</w:t>
            </w:r>
          </w:p>
        </w:tc>
        <w:tc>
          <w:tcPr>
            <w:tcW w:w="1536" w:type="dxa"/>
            <w:vAlign w:val="bottom"/>
          </w:tcPr>
          <w:p w14:paraId="5EDAE117" w14:textId="77777777" w:rsidR="00F02481" w:rsidRPr="00BE78CA" w:rsidRDefault="00F02481" w:rsidP="00416320">
            <w:pPr>
              <w:pStyle w:val="TableText"/>
              <w:spacing w:before="50" w:after="50"/>
              <w:ind w:right="510"/>
              <w:jc w:val="right"/>
              <w:rPr>
                <w:rFonts w:cs="Calibri"/>
                <w:szCs w:val="16"/>
              </w:rPr>
            </w:pPr>
            <w:r w:rsidRPr="00BE78CA">
              <w:rPr>
                <w:rFonts w:cs="Calibri"/>
                <w:szCs w:val="16"/>
              </w:rPr>
              <w:t>12.7</w:t>
            </w:r>
          </w:p>
        </w:tc>
        <w:tc>
          <w:tcPr>
            <w:tcW w:w="1518" w:type="dxa"/>
            <w:vAlign w:val="bottom"/>
          </w:tcPr>
          <w:p w14:paraId="0DFA0E4B" w14:textId="77777777" w:rsidR="00F02481" w:rsidRPr="00BE78CA" w:rsidRDefault="00F02481" w:rsidP="00416320">
            <w:pPr>
              <w:pStyle w:val="TableText"/>
              <w:tabs>
                <w:tab w:val="left" w:pos="402"/>
                <w:tab w:val="center" w:pos="643"/>
              </w:tabs>
              <w:spacing w:before="50" w:after="50"/>
              <w:jc w:val="center"/>
              <w:rPr>
                <w:rFonts w:cs="Calibri"/>
                <w:szCs w:val="16"/>
              </w:rPr>
            </w:pPr>
            <w:r w:rsidRPr="00BE78CA">
              <w:rPr>
                <w:rFonts w:cs="Calibri"/>
                <w:szCs w:val="16"/>
              </w:rPr>
              <w:t>24.3</w:t>
            </w:r>
          </w:p>
        </w:tc>
      </w:tr>
    </w:tbl>
    <w:p w14:paraId="08F1CFB3" w14:textId="77777777" w:rsidR="00F02481" w:rsidRPr="00BE78CA" w:rsidRDefault="00F02481" w:rsidP="00C26084">
      <w:pPr>
        <w:pStyle w:val="Heading4"/>
        <w:spacing w:before="360"/>
      </w:pPr>
      <w:r w:rsidRPr="00BE78CA">
        <w:t>Emissions from minor livestock categories</w:t>
      </w:r>
    </w:p>
    <w:p w14:paraId="3FB9C75D" w14:textId="5CDE42F1" w:rsidR="00F02481" w:rsidRPr="00BE78CA" w:rsidRDefault="00F02481" w:rsidP="00416320">
      <w:pPr>
        <w:pStyle w:val="BodyText"/>
      </w:pPr>
      <w:r w:rsidRPr="00BE78CA">
        <w:t xml:space="preserve">A Tier 1 approach is adopted for the minor livestock categories of </w:t>
      </w:r>
      <w:r w:rsidRPr="00BE78CA">
        <w:rPr>
          <w:i/>
          <w:iCs/>
        </w:rPr>
        <w:t>Goats</w:t>
      </w:r>
      <w:r w:rsidRPr="00BE78CA">
        <w:t xml:space="preserve">, </w:t>
      </w:r>
      <w:r w:rsidRPr="00BE78CA">
        <w:rPr>
          <w:i/>
          <w:iCs/>
        </w:rPr>
        <w:t>Horses</w:t>
      </w:r>
      <w:r w:rsidRPr="00BE78CA">
        <w:t xml:space="preserve">, </w:t>
      </w:r>
      <w:r w:rsidRPr="00BE78CA">
        <w:rPr>
          <w:i/>
          <w:iCs/>
        </w:rPr>
        <w:t>Swine</w:t>
      </w:r>
      <w:r w:rsidRPr="00BE78CA">
        <w:t xml:space="preserve">, </w:t>
      </w:r>
      <w:r w:rsidR="0075029D" w:rsidRPr="00BE78CA">
        <w:t>l</w:t>
      </w:r>
      <w:r w:rsidRPr="00BE78CA">
        <w:t xml:space="preserve">lamas and alpacas, and </w:t>
      </w:r>
      <w:r w:rsidRPr="00BE78CA">
        <w:rPr>
          <w:i/>
          <w:iCs/>
        </w:rPr>
        <w:t>Mules and asses</w:t>
      </w:r>
      <w:r w:rsidRPr="00BE78CA">
        <w:t xml:space="preserve">, using either IPCC (2006) default emission factors (horses, alpacas, and mules and asses) or New Zealand country-specific emission factors (goats and swine). These minor livestock species comprised 0.2 per cent of the total </w:t>
      </w:r>
      <w:r w:rsidR="00547F8C" w:rsidRPr="00BE78CA">
        <w:rPr>
          <w:i/>
          <w:iCs/>
        </w:rPr>
        <w:t>Enteric fermentation</w:t>
      </w:r>
      <w:r w:rsidRPr="00BE78CA">
        <w:t xml:space="preserve"> emissions in 2019. The populations of goats, horses, pigs, alpacas, and mules and asses are reported using the statistics and assumptions described in section 5.1.4.</w:t>
      </w:r>
    </w:p>
    <w:p w14:paraId="5522239C" w14:textId="77777777" w:rsidR="00F02481" w:rsidRPr="00BE78CA" w:rsidRDefault="00F02481" w:rsidP="00416320">
      <w:pPr>
        <w:pStyle w:val="BodyText"/>
      </w:pPr>
      <w:r w:rsidRPr="00BE78CA">
        <w:rPr>
          <w:b/>
          <w:bCs/>
          <w:i/>
          <w:iCs/>
        </w:rPr>
        <w:t>Goats:</w:t>
      </w:r>
      <w:r w:rsidRPr="00BE78CA">
        <w:t xml:space="preserve"> From 1990 to 2019, the population of goats declined from 1,062,900 to 93,606. This was largely driven by a decrease in relative prices. New Zealand uses a country-specific emissions factor for goats for enteric fermentation of 7.4 kg CH</w:t>
      </w:r>
      <w:r w:rsidRPr="00BE78CA">
        <w:rPr>
          <w:vertAlign w:val="subscript"/>
        </w:rPr>
        <w:t>4</w:t>
      </w:r>
      <w:r w:rsidRPr="00BE78CA">
        <w:t xml:space="preserve"> head</w:t>
      </w:r>
      <w:r w:rsidRPr="00BE78CA">
        <w:rPr>
          <w:vertAlign w:val="superscript"/>
        </w:rPr>
        <w:t>-1</w:t>
      </w:r>
      <w:r w:rsidRPr="00BE78CA">
        <w:t xml:space="preserve"> year</w:t>
      </w:r>
      <w:r w:rsidRPr="00BE78CA">
        <w:rPr>
          <w:vertAlign w:val="superscript"/>
        </w:rPr>
        <w:t>-1</w:t>
      </w:r>
      <w:r w:rsidRPr="00BE78CA">
        <w:t xml:space="preserve"> for 1990 and 8.5 kg CH</w:t>
      </w:r>
      <w:r w:rsidRPr="00BE78CA">
        <w:rPr>
          <w:vertAlign w:val="subscript"/>
        </w:rPr>
        <w:t>4</w:t>
      </w:r>
      <w:r w:rsidRPr="00BE78CA">
        <w:t xml:space="preserve"> head</w:t>
      </w:r>
      <w:r w:rsidRPr="00BE78CA">
        <w:rPr>
          <w:vertAlign w:val="superscript"/>
        </w:rPr>
        <w:t>-1</w:t>
      </w:r>
      <w:r w:rsidRPr="00BE78CA">
        <w:t xml:space="preserve"> year</w:t>
      </w:r>
      <w:r w:rsidRPr="00BE78CA">
        <w:rPr>
          <w:vertAlign w:val="superscript"/>
        </w:rPr>
        <w:t>-1</w:t>
      </w:r>
      <w:r w:rsidRPr="00BE78CA">
        <w:t xml:space="preserve"> for 2009 based on the differing population characteristics for those two years (Lassey, 2011). For the intermediate years between 1990 and 2009 and for 2010 to 2019, the emissions factor is calculated based on goat population, with the assumption that the dairy goat population has remained relatively consistent over time while the rest of the goat population has declined. The emissions factor in 2019 was calculated to be 9.0 kg CH</w:t>
      </w:r>
      <w:r w:rsidRPr="00BE78CA">
        <w:rPr>
          <w:vertAlign w:val="subscript"/>
        </w:rPr>
        <w:t>4</w:t>
      </w:r>
      <w:r w:rsidRPr="00BE78CA">
        <w:t xml:space="preserve"> head</w:t>
      </w:r>
      <w:r w:rsidRPr="00BE78CA">
        <w:rPr>
          <w:vertAlign w:val="superscript"/>
        </w:rPr>
        <w:t>-1</w:t>
      </w:r>
      <w:r w:rsidRPr="00BE78CA">
        <w:t xml:space="preserve"> year</w:t>
      </w:r>
      <w:r w:rsidRPr="00BE78CA">
        <w:rPr>
          <w:vertAlign w:val="superscript"/>
        </w:rPr>
        <w:t>-1</w:t>
      </w:r>
      <w:r w:rsidRPr="00BE78CA">
        <w:t xml:space="preserve">. </w:t>
      </w:r>
    </w:p>
    <w:p w14:paraId="19BCF5EF" w14:textId="6A1D0B8F" w:rsidR="00F02481" w:rsidRPr="00BE78CA" w:rsidRDefault="00F02481" w:rsidP="00416320">
      <w:pPr>
        <w:pStyle w:val="BodyText"/>
      </w:pPr>
      <w:r w:rsidRPr="00BE78CA">
        <w:rPr>
          <w:b/>
          <w:bCs/>
          <w:i/>
          <w:iCs/>
        </w:rPr>
        <w:t>Swine:</w:t>
      </w:r>
      <w:r w:rsidRPr="00BE78CA">
        <w:t xml:space="preserve"> New Zealand uses a Tier 1 approach with country-specific emission factors to determine enteric fermentation emissions from swine and emissions from swine manure management. A country-specific emissions factor was developed from research performed by</w:t>
      </w:r>
      <w:r w:rsidR="00205D5E" w:rsidRPr="00BE78CA">
        <w:t> </w:t>
      </w:r>
      <w:r w:rsidRPr="00BE78CA">
        <w:t>Hill (2012) in which data on the composition of swine diets and industry practices in place to manage waste from production systems were obtained from a representative survey of 56 swine farms. The information obtained on swine diets and waste management practices was representative of practices from 59 per cent and over 67 per cent of New Zealand pork production respectively. Nutritional information was available for different age classes and categories. Additionally, the average value of GEI was adjusted for population and further verified against national animal welfare standards. The country-specific emissions factor for enteric fermentation (1.06 kg CH</w:t>
      </w:r>
      <w:r w:rsidRPr="00BE78CA">
        <w:rPr>
          <w:vertAlign w:val="subscript"/>
        </w:rPr>
        <w:t>4</w:t>
      </w:r>
      <w:r w:rsidRPr="00BE78CA">
        <w:t xml:space="preserve"> head</w:t>
      </w:r>
      <w:r w:rsidRPr="00BE78CA">
        <w:rPr>
          <w:vertAlign w:val="superscript"/>
        </w:rPr>
        <w:t>-1</w:t>
      </w:r>
      <w:r w:rsidRPr="00BE78CA">
        <w:t xml:space="preserve"> year</w:t>
      </w:r>
      <w:r w:rsidRPr="00BE78CA">
        <w:rPr>
          <w:vertAlign w:val="superscript"/>
        </w:rPr>
        <w:t>-1</w:t>
      </w:r>
      <w:r w:rsidRPr="00BE78CA">
        <w:t xml:space="preserve">) was developed from industry data on </w:t>
      </w:r>
      <w:r w:rsidRPr="00BE78CA">
        <w:lastRenderedPageBreak/>
        <w:t>GEI (Hill, 2012). Gross energy data from swine diets were used in the Tier 2 IPCC equation (equation 10.21, IPCC, 2006) to determine the country-specific enteric fermentation emission factor. This factor is then multiplied by population data to obtain the total CH</w:t>
      </w:r>
      <w:r w:rsidRPr="00BE78CA">
        <w:rPr>
          <w:vertAlign w:val="subscript"/>
        </w:rPr>
        <w:t>4</w:t>
      </w:r>
      <w:r w:rsidRPr="00BE78CA">
        <w:t xml:space="preserve"> emissions produced by swine from enteric fermentation for a given inventory year. </w:t>
      </w:r>
    </w:p>
    <w:p w14:paraId="013398A3" w14:textId="77777777" w:rsidR="00F02481" w:rsidRPr="00BE78CA" w:rsidRDefault="00F02481" w:rsidP="00C26084">
      <w:pPr>
        <w:pStyle w:val="BodyText"/>
        <w:spacing w:before="100"/>
        <w:rPr>
          <w:rFonts w:cs="Calibri"/>
        </w:rPr>
      </w:pPr>
      <w:r w:rsidRPr="00BE78CA">
        <w:rPr>
          <w:rFonts w:cs="Calibri"/>
        </w:rPr>
        <w:t>The New Zealand emissions factor for swine is lower than the IPCC (2006) default for developed countries,</w:t>
      </w:r>
      <w:r w:rsidRPr="00BE78CA">
        <w:rPr>
          <w:rStyle w:val="FootnoteReference"/>
          <w:rFonts w:cs="Calibri"/>
        </w:rPr>
        <w:footnoteReference w:id="44"/>
      </w:r>
      <w:r w:rsidRPr="00BE78CA">
        <w:rPr>
          <w:rFonts w:cs="Calibri"/>
        </w:rPr>
        <w:t xml:space="preserve"> which is based on average values derived from 1980s Western German swine production and population statistics. The IPCC (2006) default value for swine is not representative of New Zealand swine systems and does not reflect changes in production due to: improvements in genetic selection, reproductive cycle performance, housing and feed, animal husbandry and herd management. Further information on these factors is provided in the report by Hill (2012). </w:t>
      </w:r>
    </w:p>
    <w:p w14:paraId="33734B48" w14:textId="77777777" w:rsidR="00F02481" w:rsidRPr="00BE78CA" w:rsidRDefault="00F02481" w:rsidP="00C26084">
      <w:pPr>
        <w:pStyle w:val="BodyText"/>
        <w:spacing w:before="100"/>
        <w:rPr>
          <w:rFonts w:cs="Calibri"/>
        </w:rPr>
      </w:pPr>
      <w:r w:rsidRPr="00BE78CA">
        <w:rPr>
          <w:rFonts w:cs="Calibri"/>
          <w:b/>
          <w:bCs/>
          <w:i/>
          <w:iCs/>
        </w:rPr>
        <w:t>Horses:</w:t>
      </w:r>
      <w:r w:rsidRPr="00BE78CA">
        <w:rPr>
          <w:rFonts w:cs="Calibri"/>
        </w:rPr>
        <w:t xml:space="preserve"> The IPCC (2006) default value (18 kg CH</w:t>
      </w:r>
      <w:r w:rsidRPr="00BE78CA">
        <w:rPr>
          <w:rFonts w:cs="Calibri"/>
          <w:vertAlign w:val="subscript"/>
        </w:rPr>
        <w:t>4</w:t>
      </w:r>
      <w:r w:rsidRPr="00BE78CA">
        <w:rPr>
          <w:rFonts w:cs="Calibri"/>
        </w:rPr>
        <w:t xml:space="preserve"> head</w:t>
      </w:r>
      <w:r w:rsidRPr="00BE78CA">
        <w:rPr>
          <w:rFonts w:cs="Calibri"/>
          <w:vertAlign w:val="superscript"/>
        </w:rPr>
        <w:t>-1</w:t>
      </w:r>
      <w:r w:rsidRPr="00BE78CA">
        <w:rPr>
          <w:rFonts w:cs="Calibri"/>
        </w:rPr>
        <w:t xml:space="preserve"> year</w:t>
      </w:r>
      <w:r w:rsidRPr="00BE78CA">
        <w:rPr>
          <w:rFonts w:cs="Calibri"/>
          <w:vertAlign w:val="superscript"/>
        </w:rPr>
        <w:t>-1</w:t>
      </w:r>
      <w:r w:rsidRPr="00BE78CA">
        <w:rPr>
          <w:rFonts w:cs="Calibri"/>
        </w:rPr>
        <w:t>) is used to estimate emissions from enteric fermentation from horses.</w:t>
      </w:r>
    </w:p>
    <w:p w14:paraId="691BC71F" w14:textId="77777777" w:rsidR="00F02481" w:rsidRPr="00BE78CA" w:rsidRDefault="00F02481" w:rsidP="00C26084">
      <w:pPr>
        <w:pStyle w:val="BodyText"/>
        <w:spacing w:before="100"/>
        <w:rPr>
          <w:rFonts w:cs="Calibri"/>
        </w:rPr>
      </w:pPr>
      <w:r w:rsidRPr="00BE78CA">
        <w:rPr>
          <w:rFonts w:cs="Calibri"/>
          <w:b/>
          <w:bCs/>
          <w:i/>
          <w:iCs/>
        </w:rPr>
        <w:t>Llamas and alpacas:</w:t>
      </w:r>
      <w:r w:rsidRPr="00BE78CA">
        <w:rPr>
          <w:rFonts w:cs="Calibri"/>
        </w:rPr>
        <w:t xml:space="preserve"> The IPCC (2006) default value (8 kg CH</w:t>
      </w:r>
      <w:r w:rsidRPr="00BE78CA">
        <w:rPr>
          <w:rFonts w:cs="Calibri"/>
          <w:vertAlign w:val="subscript"/>
        </w:rPr>
        <w:t>4</w:t>
      </w:r>
      <w:r w:rsidRPr="00BE78CA">
        <w:rPr>
          <w:rFonts w:cs="Calibri"/>
        </w:rPr>
        <w:t xml:space="preserve"> head</w:t>
      </w:r>
      <w:r w:rsidRPr="00BE78CA">
        <w:rPr>
          <w:rFonts w:cs="Calibri"/>
          <w:vertAlign w:val="superscript"/>
        </w:rPr>
        <w:t>-1</w:t>
      </w:r>
      <w:r w:rsidRPr="00BE78CA">
        <w:rPr>
          <w:rFonts w:cs="Calibri"/>
        </w:rPr>
        <w:t xml:space="preserve"> year</w:t>
      </w:r>
      <w:r w:rsidRPr="00BE78CA">
        <w:rPr>
          <w:rFonts w:cs="Calibri"/>
          <w:vertAlign w:val="superscript"/>
        </w:rPr>
        <w:t>-1</w:t>
      </w:r>
      <w:r w:rsidRPr="00BE78CA">
        <w:rPr>
          <w:rFonts w:cs="Calibri"/>
        </w:rPr>
        <w:t xml:space="preserve">) is used to estimate emissions from this livestock category. </w:t>
      </w:r>
    </w:p>
    <w:p w14:paraId="69B2DDEB" w14:textId="77777777" w:rsidR="00F02481" w:rsidRPr="00BE78CA" w:rsidRDefault="00F02481" w:rsidP="00C26084">
      <w:pPr>
        <w:pStyle w:val="BodyText"/>
        <w:spacing w:before="100"/>
        <w:rPr>
          <w:rFonts w:cs="Calibri"/>
        </w:rPr>
      </w:pPr>
      <w:r w:rsidRPr="00BE78CA">
        <w:rPr>
          <w:rFonts w:cs="Calibri"/>
          <w:b/>
          <w:bCs/>
          <w:i/>
          <w:iCs/>
        </w:rPr>
        <w:t>Mules and asses:</w:t>
      </w:r>
      <w:r w:rsidRPr="00BE78CA">
        <w:rPr>
          <w:rFonts w:cs="Calibri"/>
        </w:rPr>
        <w:t xml:space="preserve"> The IPCC (2006) default value is used (10 kg CH</w:t>
      </w:r>
      <w:r w:rsidRPr="00BE78CA">
        <w:rPr>
          <w:rFonts w:cs="Calibri"/>
          <w:vertAlign w:val="subscript"/>
        </w:rPr>
        <w:t>4</w:t>
      </w:r>
      <w:r w:rsidRPr="00BE78CA">
        <w:rPr>
          <w:rFonts w:cs="Calibri"/>
        </w:rPr>
        <w:t xml:space="preserve"> head</w:t>
      </w:r>
      <w:r w:rsidRPr="00BE78CA">
        <w:rPr>
          <w:rFonts w:cs="Calibri"/>
          <w:vertAlign w:val="superscript"/>
        </w:rPr>
        <w:t>-1</w:t>
      </w:r>
      <w:r w:rsidRPr="00BE78CA">
        <w:rPr>
          <w:rFonts w:cs="Calibri"/>
        </w:rPr>
        <w:t xml:space="preserve"> year</w:t>
      </w:r>
      <w:r w:rsidRPr="00BE78CA">
        <w:rPr>
          <w:rFonts w:cs="Calibri"/>
          <w:vertAlign w:val="superscript"/>
        </w:rPr>
        <w:t>-1</w:t>
      </w:r>
      <w:r w:rsidRPr="00BE78CA">
        <w:rPr>
          <w:rFonts w:cs="Calibri"/>
        </w:rPr>
        <w:t>) to estimate emissions from this livestock category.</w:t>
      </w:r>
    </w:p>
    <w:p w14:paraId="0DF866E0" w14:textId="77777777" w:rsidR="00F02481" w:rsidRPr="00BE78CA" w:rsidRDefault="00F02481" w:rsidP="00C26084">
      <w:pPr>
        <w:pStyle w:val="Heading3"/>
        <w:rPr>
          <w:rFonts w:cs="Calibri"/>
        </w:rPr>
      </w:pPr>
      <w:bookmarkStart w:id="629" w:name="_Toc139253919"/>
      <w:bookmarkStart w:id="630" w:name="_Toc32570653"/>
      <w:r w:rsidRPr="00BE78CA">
        <w:rPr>
          <w:rFonts w:cs="Calibri"/>
        </w:rPr>
        <w:t>5.2.3</w:t>
      </w:r>
      <w:r w:rsidRPr="00BE78CA">
        <w:rPr>
          <w:rFonts w:cs="Calibri"/>
        </w:rPr>
        <w:tab/>
        <w:t>Uncertainties and time-series consistency</w:t>
      </w:r>
      <w:bookmarkEnd w:id="629"/>
      <w:bookmarkEnd w:id="630"/>
    </w:p>
    <w:p w14:paraId="0D8F6570" w14:textId="77777777" w:rsidR="00F02481" w:rsidRPr="00BE78CA" w:rsidRDefault="00F02481" w:rsidP="00C26084">
      <w:pPr>
        <w:pStyle w:val="BodyText"/>
        <w:spacing w:before="100" w:after="100"/>
        <w:rPr>
          <w:rFonts w:cs="Calibri"/>
        </w:rPr>
      </w:pPr>
      <w:r w:rsidRPr="00BE78CA">
        <w:rPr>
          <w:rFonts w:cs="Calibri"/>
        </w:rPr>
        <w:t>To ensure consistency across emission categories, a single enhanced livestock population characterisation and feed-intake estimate is produced by the Tier 2 model (see annex 3, table A3.1.2). It is used in different parts of the calculations for the National Inventory Report to estimate: CH</w:t>
      </w:r>
      <w:r w:rsidRPr="00BE78CA">
        <w:rPr>
          <w:rFonts w:cs="Calibri"/>
          <w:vertAlign w:val="subscript"/>
        </w:rPr>
        <w:t>4</w:t>
      </w:r>
      <w:r w:rsidRPr="00BE78CA">
        <w:rPr>
          <w:rFonts w:cs="Calibri"/>
        </w:rPr>
        <w:t xml:space="preserve"> emissions for the </w:t>
      </w:r>
      <w:r w:rsidRPr="00BE78CA">
        <w:rPr>
          <w:rFonts w:cs="Calibri"/>
          <w:i/>
          <w:iCs/>
        </w:rPr>
        <w:t>Enteric fermentation</w:t>
      </w:r>
      <w:r w:rsidRPr="00BE78CA">
        <w:rPr>
          <w:rFonts w:cs="Calibri"/>
        </w:rPr>
        <w:t xml:space="preserve"> category, CH</w:t>
      </w:r>
      <w:r w:rsidRPr="00BE78CA">
        <w:rPr>
          <w:rFonts w:cs="Calibri"/>
          <w:vertAlign w:val="subscript"/>
        </w:rPr>
        <w:t>4</w:t>
      </w:r>
      <w:r w:rsidRPr="00BE78CA">
        <w:rPr>
          <w:rFonts w:cs="Calibri"/>
        </w:rPr>
        <w:t xml:space="preserve"> and N</w:t>
      </w:r>
      <w:r w:rsidRPr="00BE78CA">
        <w:rPr>
          <w:rFonts w:cs="Calibri"/>
          <w:vertAlign w:val="subscript"/>
        </w:rPr>
        <w:t>2</w:t>
      </w:r>
      <w:r w:rsidRPr="00BE78CA">
        <w:rPr>
          <w:rFonts w:cs="Calibri"/>
        </w:rPr>
        <w:t xml:space="preserve">O emissions for the </w:t>
      </w:r>
      <w:r w:rsidRPr="00BE78CA">
        <w:rPr>
          <w:rFonts w:cs="Calibri"/>
          <w:i/>
          <w:iCs/>
        </w:rPr>
        <w:t>Manure management</w:t>
      </w:r>
      <w:r w:rsidRPr="00BE78CA">
        <w:rPr>
          <w:rFonts w:cs="Calibri"/>
        </w:rPr>
        <w:t xml:space="preserve"> category and N</w:t>
      </w:r>
      <w:r w:rsidRPr="00BE78CA">
        <w:rPr>
          <w:rFonts w:cs="Calibri"/>
          <w:vertAlign w:val="subscript"/>
        </w:rPr>
        <w:t>2</w:t>
      </w:r>
      <w:r w:rsidRPr="00BE78CA">
        <w:rPr>
          <w:rFonts w:cs="Calibri"/>
        </w:rPr>
        <w:t xml:space="preserve">O emissions for the </w:t>
      </w:r>
      <w:r w:rsidRPr="00BE78CA">
        <w:rPr>
          <w:rFonts w:cs="Calibri"/>
          <w:i/>
          <w:iCs/>
        </w:rPr>
        <w:t>Pasture, range and paddock manure</w:t>
      </w:r>
      <w:r w:rsidRPr="00BE78CA">
        <w:rPr>
          <w:rFonts w:cs="Calibri"/>
        </w:rPr>
        <w:t xml:space="preserve"> category.</w:t>
      </w:r>
    </w:p>
    <w:p w14:paraId="513326CB" w14:textId="77777777" w:rsidR="00F02481" w:rsidRPr="00BE78CA" w:rsidRDefault="00F02481" w:rsidP="00C26084">
      <w:pPr>
        <w:pStyle w:val="Heading4"/>
      </w:pPr>
      <w:r w:rsidRPr="00BE78CA">
        <w:t>Livestock numbers</w:t>
      </w:r>
    </w:p>
    <w:p w14:paraId="326420EC" w14:textId="77777777" w:rsidR="00F02481" w:rsidRPr="00BE78CA" w:rsidRDefault="00F02481" w:rsidP="00C26084">
      <w:pPr>
        <w:pStyle w:val="BodyText"/>
        <w:rPr>
          <w:rFonts w:cs="Calibri"/>
        </w:rPr>
      </w:pPr>
      <w:r w:rsidRPr="00BE78CA">
        <w:rPr>
          <w:rFonts w:cs="Calibri"/>
        </w:rPr>
        <w:t xml:space="preserve">The calculations for total enteric fermentation require livestock population data. Information on uncertainties and time-series consistency for the livestock population data is included in section 5.1.4 and annex 3.1. </w:t>
      </w:r>
    </w:p>
    <w:p w14:paraId="464FDC25" w14:textId="77777777" w:rsidR="00F02481" w:rsidRPr="00BE78CA" w:rsidRDefault="00F02481" w:rsidP="00C26084">
      <w:pPr>
        <w:pStyle w:val="Heading4"/>
      </w:pPr>
      <w:r w:rsidRPr="00BE78CA">
        <w:t>Methane emissions from enteric fermentation</w:t>
      </w:r>
    </w:p>
    <w:p w14:paraId="00BD4C31" w14:textId="77777777" w:rsidR="00F02481" w:rsidRPr="00BE78CA" w:rsidRDefault="00F02481" w:rsidP="00C26084">
      <w:pPr>
        <w:pStyle w:val="BodyText"/>
        <w:rPr>
          <w:rFonts w:cs="Calibri"/>
        </w:rPr>
      </w:pPr>
      <w:r w:rsidRPr="00BE78CA">
        <w:rPr>
          <w:rFonts w:cs="Calibri"/>
        </w:rPr>
        <w:t>In 2009, the Ministry of Agriculture and Forestry (the predecessor organisation to MPI) commissioned a report that calculated the uncertainty of enteric fermentation CH</w:t>
      </w:r>
      <w:r w:rsidRPr="00BE78CA">
        <w:rPr>
          <w:rFonts w:cs="Calibri"/>
          <w:vertAlign w:val="subscript"/>
        </w:rPr>
        <w:t>4</w:t>
      </w:r>
      <w:r w:rsidRPr="00BE78CA">
        <w:rPr>
          <w:rFonts w:cs="Calibri"/>
        </w:rPr>
        <w:t xml:space="preserve"> emissions for sheep and cattle (Kelliher et al., 2009) using a Monte Carlo approach. This superseded a previous analysis undertaken in 2003 (Clark et al., 2003). The analysis expressed the coefficient of variation according to the standard deviation of the CH</w:t>
      </w:r>
      <w:r w:rsidRPr="00BE78CA">
        <w:rPr>
          <w:rFonts w:cs="Calibri"/>
          <w:vertAlign w:val="subscript"/>
        </w:rPr>
        <w:t>4</w:t>
      </w:r>
      <w:r w:rsidRPr="00BE78CA">
        <w:rPr>
          <w:rFonts w:cs="Calibri"/>
        </w:rPr>
        <w:t xml:space="preserve"> yield. Kelliher et al. (2009) calculated the uncertainty by expressing the coefficient of variation according to the standard deviation of the CH</w:t>
      </w:r>
      <w:r w:rsidRPr="00BE78CA">
        <w:rPr>
          <w:rFonts w:cs="Calibri"/>
          <w:vertAlign w:val="subscript"/>
        </w:rPr>
        <w:t>4</w:t>
      </w:r>
      <w:r w:rsidRPr="00BE78CA">
        <w:rPr>
          <w:rFonts w:cs="Calibri"/>
        </w:rPr>
        <w:t xml:space="preserve"> yield using the larger sample of measurements available by 2009. The analysis was restricted to one diet type: grass–legume pasture, the predominant diet of sheep and cattle in New Zealand. The resulting overall uncertainty of the enteric CH</w:t>
      </w:r>
      <w:r w:rsidRPr="00BE78CA">
        <w:rPr>
          <w:rFonts w:cs="Calibri"/>
          <w:vertAlign w:val="subscript"/>
        </w:rPr>
        <w:t>4</w:t>
      </w:r>
      <w:r w:rsidRPr="00BE78CA">
        <w:rPr>
          <w:rFonts w:cs="Calibri"/>
        </w:rPr>
        <w:t xml:space="preserve"> emissions inventory, expressed as a 95 per cent confidence interval, was ±16 per cent (Kelliher et al., 2009); see table 5.2.4.</w:t>
      </w:r>
    </w:p>
    <w:p w14:paraId="7920919E" w14:textId="77777777" w:rsidR="00F02481" w:rsidRPr="00BE78CA" w:rsidRDefault="00F02481" w:rsidP="00C26084">
      <w:pPr>
        <w:pStyle w:val="Table"/>
        <w:rPr>
          <w:rFonts w:cs="Calibri"/>
        </w:rPr>
      </w:pPr>
      <w:bookmarkStart w:id="631" w:name="_Toc144607406"/>
      <w:bookmarkStart w:id="632" w:name="_Toc144607683"/>
      <w:bookmarkStart w:id="633" w:name="_Toc235955625"/>
      <w:bookmarkStart w:id="634" w:name="_Toc288316750"/>
      <w:bookmarkStart w:id="635" w:name="_Toc352504968"/>
      <w:bookmarkStart w:id="636" w:name="_Toc441830871"/>
      <w:bookmarkStart w:id="637" w:name="_Toc451176085"/>
      <w:bookmarkStart w:id="638" w:name="_Toc481751511"/>
      <w:bookmarkStart w:id="639" w:name="_Toc507158601"/>
      <w:bookmarkStart w:id="640" w:name="_Toc511116735"/>
      <w:bookmarkStart w:id="641" w:name="_Toc5269475"/>
      <w:bookmarkStart w:id="642" w:name="_Toc32570916"/>
      <w:bookmarkStart w:id="643" w:name="_Toc36224551"/>
      <w:bookmarkStart w:id="644" w:name="_Toc68786437"/>
      <w:r w:rsidRPr="00BE78CA">
        <w:rPr>
          <w:rFonts w:cs="Calibri"/>
        </w:rPr>
        <w:lastRenderedPageBreak/>
        <w:t>Table 5.2.4</w:t>
      </w:r>
      <w:r w:rsidRPr="00BE78CA">
        <w:rPr>
          <w:rFonts w:cs="Calibri"/>
        </w:rPr>
        <w:tab/>
        <w:t xml:space="preserve">New Zealand’s uncertainty in the annual estimate of enteric fermentation emissions for 1990 and 2019, estimated using </w:t>
      </w:r>
      <w:bookmarkEnd w:id="631"/>
      <w:bookmarkEnd w:id="632"/>
      <w:bookmarkEnd w:id="633"/>
      <w:r w:rsidRPr="00BE78CA">
        <w:rPr>
          <w:rFonts w:cs="Calibri"/>
        </w:rPr>
        <w:t>the 95 per cent confidence interval (±16 per cent</w:t>
      </w:r>
      <w:bookmarkEnd w:id="634"/>
      <w:bookmarkEnd w:id="635"/>
      <w:r w:rsidRPr="00BE78CA">
        <w:rPr>
          <w:rFonts w:cs="Calibri"/>
        </w:rPr>
        <w:t>)</w:t>
      </w:r>
      <w:bookmarkEnd w:id="636"/>
      <w:bookmarkEnd w:id="637"/>
      <w:bookmarkEnd w:id="638"/>
      <w:bookmarkEnd w:id="639"/>
      <w:bookmarkEnd w:id="640"/>
      <w:bookmarkEnd w:id="641"/>
      <w:bookmarkEnd w:id="642"/>
      <w:bookmarkEnd w:id="643"/>
      <w:bookmarkEnd w:id="644"/>
    </w:p>
    <w:tbl>
      <w:tblPr>
        <w:tblW w:w="8505" w:type="dxa"/>
        <w:tblBorders>
          <w:top w:val="single" w:sz="4" w:space="0" w:color="365F91"/>
          <w:bottom w:val="single" w:sz="4" w:space="0" w:color="365F91"/>
          <w:insideH w:val="single" w:sz="4" w:space="0" w:color="365F91"/>
        </w:tblBorders>
        <w:tblLook w:val="01E0" w:firstRow="1" w:lastRow="1" w:firstColumn="1" w:lastColumn="1" w:noHBand="0" w:noVBand="0"/>
      </w:tblPr>
      <w:tblGrid>
        <w:gridCol w:w="1701"/>
        <w:gridCol w:w="1701"/>
        <w:gridCol w:w="1701"/>
        <w:gridCol w:w="1701"/>
        <w:gridCol w:w="1701"/>
      </w:tblGrid>
      <w:tr w:rsidR="00416320" w:rsidRPr="00BE78CA" w14:paraId="1811D7F1" w14:textId="77777777" w:rsidTr="00416320">
        <w:tc>
          <w:tcPr>
            <w:tcW w:w="1000" w:type="pct"/>
            <w:shd w:val="clear" w:color="auto" w:fill="365F91"/>
            <w:vAlign w:val="bottom"/>
          </w:tcPr>
          <w:p w14:paraId="717F65D7" w14:textId="77777777" w:rsidR="00F02481" w:rsidRPr="00BE78CA" w:rsidRDefault="00F02481" w:rsidP="00C26084">
            <w:pPr>
              <w:pStyle w:val="TableTextBold"/>
              <w:keepNext/>
              <w:spacing w:before="40" w:after="40"/>
              <w:rPr>
                <w:noProof w:val="0"/>
                <w:color w:val="FFFFFF" w:themeColor="background1"/>
              </w:rPr>
            </w:pPr>
            <w:r w:rsidRPr="00BE78CA">
              <w:rPr>
                <w:noProof w:val="0"/>
                <w:color w:val="FFFFFF" w:themeColor="background1"/>
              </w:rPr>
              <w:t>Year</w:t>
            </w:r>
          </w:p>
        </w:tc>
        <w:tc>
          <w:tcPr>
            <w:tcW w:w="1000" w:type="pct"/>
            <w:shd w:val="clear" w:color="auto" w:fill="365F91"/>
            <w:vAlign w:val="bottom"/>
          </w:tcPr>
          <w:p w14:paraId="3F72CFD5" w14:textId="77777777" w:rsidR="00F02481" w:rsidRPr="00BE78CA" w:rsidRDefault="00F02481" w:rsidP="00C26084">
            <w:pPr>
              <w:pStyle w:val="TableTextBold"/>
              <w:keepNext/>
              <w:spacing w:before="40" w:after="40"/>
              <w:jc w:val="center"/>
              <w:rPr>
                <w:noProof w:val="0"/>
                <w:color w:val="FFFFFF" w:themeColor="background1"/>
              </w:rPr>
            </w:pPr>
            <w:r w:rsidRPr="00BE78CA">
              <w:rPr>
                <w:noProof w:val="0"/>
                <w:color w:val="FFFFFF" w:themeColor="background1"/>
              </w:rPr>
              <w:t>Enteric CH</w:t>
            </w:r>
            <w:r w:rsidRPr="00BE78CA">
              <w:rPr>
                <w:noProof w:val="0"/>
                <w:color w:val="FFFFFF" w:themeColor="background1"/>
                <w:vertAlign w:val="subscript"/>
              </w:rPr>
              <w:t>4</w:t>
            </w:r>
            <w:r w:rsidRPr="00BE78CA">
              <w:rPr>
                <w:noProof w:val="0"/>
                <w:color w:val="FFFFFF" w:themeColor="background1"/>
              </w:rPr>
              <w:t xml:space="preserve"> emissions </w:t>
            </w:r>
            <w:r w:rsidRPr="00BE78CA">
              <w:rPr>
                <w:noProof w:val="0"/>
                <w:color w:val="FFFFFF" w:themeColor="background1"/>
                <w:szCs w:val="16"/>
              </w:rPr>
              <w:br/>
            </w:r>
            <w:r w:rsidRPr="00BE78CA">
              <w:rPr>
                <w:noProof w:val="0"/>
                <w:color w:val="FFFFFF" w:themeColor="background1"/>
              </w:rPr>
              <w:t>(kt CH</w:t>
            </w:r>
            <w:r w:rsidRPr="00BE78CA">
              <w:rPr>
                <w:noProof w:val="0"/>
                <w:color w:val="FFFFFF" w:themeColor="background1"/>
                <w:vertAlign w:val="subscript"/>
              </w:rPr>
              <w:t>4</w:t>
            </w:r>
            <w:r w:rsidRPr="00BE78CA">
              <w:rPr>
                <w:noProof w:val="0"/>
                <w:color w:val="FFFFFF" w:themeColor="background1"/>
              </w:rPr>
              <w:t>/annum)</w:t>
            </w:r>
          </w:p>
        </w:tc>
        <w:tc>
          <w:tcPr>
            <w:tcW w:w="1000" w:type="pct"/>
            <w:shd w:val="clear" w:color="auto" w:fill="365F91"/>
            <w:vAlign w:val="bottom"/>
          </w:tcPr>
          <w:p w14:paraId="329BF96B" w14:textId="77777777" w:rsidR="00F02481" w:rsidRPr="00BE78CA" w:rsidRDefault="00F02481" w:rsidP="00C26084">
            <w:pPr>
              <w:pStyle w:val="TableTextBold"/>
              <w:keepNext/>
              <w:spacing w:before="40" w:after="40"/>
              <w:jc w:val="center"/>
              <w:rPr>
                <w:noProof w:val="0"/>
                <w:color w:val="FFFFFF" w:themeColor="background1"/>
              </w:rPr>
            </w:pPr>
            <w:r w:rsidRPr="00BE78CA">
              <w:rPr>
                <w:noProof w:val="0"/>
                <w:color w:val="FFFFFF" w:themeColor="background1"/>
              </w:rPr>
              <w:t>95% confidence interval minimum</w:t>
            </w:r>
            <w:r w:rsidRPr="00BE78CA">
              <w:rPr>
                <w:noProof w:val="0"/>
                <w:color w:val="FFFFFF" w:themeColor="background1"/>
                <w:szCs w:val="16"/>
              </w:rPr>
              <w:br/>
            </w:r>
            <w:r w:rsidRPr="00BE78CA">
              <w:rPr>
                <w:noProof w:val="0"/>
                <w:color w:val="FFFFFF" w:themeColor="background1"/>
              </w:rPr>
              <w:t xml:space="preserve"> (kt CH</w:t>
            </w:r>
            <w:r w:rsidRPr="00BE78CA">
              <w:rPr>
                <w:noProof w:val="0"/>
                <w:color w:val="FFFFFF" w:themeColor="background1"/>
                <w:vertAlign w:val="subscript"/>
              </w:rPr>
              <w:t>4</w:t>
            </w:r>
            <w:r w:rsidRPr="00BE78CA">
              <w:rPr>
                <w:noProof w:val="0"/>
                <w:color w:val="FFFFFF" w:themeColor="background1"/>
              </w:rPr>
              <w:t>/annum)</w:t>
            </w:r>
          </w:p>
        </w:tc>
        <w:tc>
          <w:tcPr>
            <w:tcW w:w="1000" w:type="pct"/>
            <w:shd w:val="clear" w:color="auto" w:fill="365F91"/>
            <w:vAlign w:val="bottom"/>
          </w:tcPr>
          <w:p w14:paraId="24BC4BF3" w14:textId="77777777" w:rsidR="00F02481" w:rsidRPr="00BE78CA" w:rsidRDefault="00F02481" w:rsidP="00C26084">
            <w:pPr>
              <w:pStyle w:val="TableTextBold"/>
              <w:keepNext/>
              <w:spacing w:before="40" w:after="40"/>
              <w:jc w:val="center"/>
              <w:rPr>
                <w:noProof w:val="0"/>
                <w:color w:val="FFFFFF" w:themeColor="background1"/>
              </w:rPr>
            </w:pPr>
            <w:r w:rsidRPr="00BE78CA">
              <w:rPr>
                <w:noProof w:val="0"/>
                <w:color w:val="FFFFFF" w:themeColor="background1"/>
              </w:rPr>
              <w:t xml:space="preserve">95% confidence interval maximum </w:t>
            </w:r>
            <w:r w:rsidRPr="00BE78CA">
              <w:rPr>
                <w:noProof w:val="0"/>
                <w:color w:val="FFFFFF" w:themeColor="background1"/>
                <w:szCs w:val="16"/>
              </w:rPr>
              <w:br/>
            </w:r>
            <w:r w:rsidRPr="00BE78CA">
              <w:rPr>
                <w:noProof w:val="0"/>
                <w:color w:val="FFFFFF" w:themeColor="background1"/>
              </w:rPr>
              <w:t>(kt CH</w:t>
            </w:r>
            <w:r w:rsidRPr="00BE78CA">
              <w:rPr>
                <w:noProof w:val="0"/>
                <w:color w:val="FFFFFF" w:themeColor="background1"/>
                <w:vertAlign w:val="subscript"/>
              </w:rPr>
              <w:t>4</w:t>
            </w:r>
            <w:r w:rsidRPr="00BE78CA">
              <w:rPr>
                <w:noProof w:val="0"/>
                <w:color w:val="FFFFFF" w:themeColor="background1"/>
              </w:rPr>
              <w:t>/annum)</w:t>
            </w:r>
          </w:p>
        </w:tc>
        <w:tc>
          <w:tcPr>
            <w:tcW w:w="1000" w:type="pct"/>
            <w:shd w:val="clear" w:color="auto" w:fill="365F91"/>
            <w:vAlign w:val="bottom"/>
          </w:tcPr>
          <w:p w14:paraId="66BA6717" w14:textId="77777777" w:rsidR="00F02481" w:rsidRPr="00BE78CA" w:rsidRDefault="00F02481" w:rsidP="00C26084">
            <w:pPr>
              <w:pStyle w:val="TableTextBold"/>
              <w:keepNext/>
              <w:spacing w:before="40" w:after="40"/>
              <w:jc w:val="center"/>
              <w:rPr>
                <w:noProof w:val="0"/>
                <w:color w:val="FFFFFF" w:themeColor="background1"/>
              </w:rPr>
            </w:pPr>
            <w:r w:rsidRPr="00BE78CA">
              <w:rPr>
                <w:noProof w:val="0"/>
                <w:color w:val="FFFFFF" w:themeColor="background1"/>
              </w:rPr>
              <w:t>Range of uncertainty (kt CH</w:t>
            </w:r>
            <w:r w:rsidRPr="00BE78CA">
              <w:rPr>
                <w:noProof w:val="0"/>
                <w:color w:val="FFFFFF" w:themeColor="background1"/>
                <w:vertAlign w:val="subscript"/>
              </w:rPr>
              <w:t>4</w:t>
            </w:r>
            <w:r w:rsidRPr="00BE78CA">
              <w:rPr>
                <w:noProof w:val="0"/>
                <w:color w:val="FFFFFF" w:themeColor="background1"/>
              </w:rPr>
              <w:t>/annum)</w:t>
            </w:r>
          </w:p>
        </w:tc>
      </w:tr>
      <w:tr w:rsidR="00F02481" w:rsidRPr="00BE78CA" w14:paraId="10653009" w14:textId="77777777" w:rsidTr="00416320">
        <w:trPr>
          <w:trHeight w:val="247"/>
        </w:trPr>
        <w:tc>
          <w:tcPr>
            <w:tcW w:w="1000" w:type="pct"/>
          </w:tcPr>
          <w:p w14:paraId="7F95F251" w14:textId="77777777" w:rsidR="00F02481" w:rsidRPr="00BE78CA" w:rsidRDefault="00F02481" w:rsidP="00416320">
            <w:pPr>
              <w:pStyle w:val="TableText"/>
              <w:keepNext/>
              <w:spacing w:before="50" w:after="50"/>
              <w:rPr>
                <w:rFonts w:cs="Calibri"/>
              </w:rPr>
            </w:pPr>
            <w:r w:rsidRPr="00BE78CA">
              <w:rPr>
                <w:rFonts w:cs="Calibri"/>
              </w:rPr>
              <w:t>1990</w:t>
            </w:r>
          </w:p>
        </w:tc>
        <w:tc>
          <w:tcPr>
            <w:tcW w:w="1000" w:type="pct"/>
          </w:tcPr>
          <w:p w14:paraId="367E0F5A" w14:textId="77777777" w:rsidR="00F02481" w:rsidRPr="00BE78CA" w:rsidRDefault="00F02481" w:rsidP="00416320">
            <w:pPr>
              <w:pStyle w:val="TableText"/>
              <w:keepNext/>
              <w:spacing w:before="50" w:after="50"/>
              <w:jc w:val="center"/>
              <w:rPr>
                <w:rFonts w:cs="Calibri"/>
              </w:rPr>
            </w:pPr>
            <w:r w:rsidRPr="00BE78CA">
              <w:rPr>
                <w:rFonts w:cs="Calibri"/>
              </w:rPr>
              <w:t>1,094.0</w:t>
            </w:r>
          </w:p>
        </w:tc>
        <w:tc>
          <w:tcPr>
            <w:tcW w:w="1000" w:type="pct"/>
          </w:tcPr>
          <w:p w14:paraId="1D1FC857" w14:textId="77777777" w:rsidR="00F02481" w:rsidRPr="00BE78CA" w:rsidRDefault="00F02481" w:rsidP="00416320">
            <w:pPr>
              <w:pStyle w:val="TableText"/>
              <w:keepNext/>
              <w:spacing w:before="50" w:after="50"/>
              <w:jc w:val="center"/>
              <w:rPr>
                <w:rFonts w:cs="Calibri"/>
              </w:rPr>
            </w:pPr>
            <w:r w:rsidRPr="00BE78CA">
              <w:rPr>
                <w:rFonts w:cs="Calibri"/>
              </w:rPr>
              <w:t>919.0</w:t>
            </w:r>
          </w:p>
        </w:tc>
        <w:tc>
          <w:tcPr>
            <w:tcW w:w="1000" w:type="pct"/>
          </w:tcPr>
          <w:p w14:paraId="67556082" w14:textId="77777777" w:rsidR="00F02481" w:rsidRPr="00BE78CA" w:rsidRDefault="00F02481" w:rsidP="00416320">
            <w:pPr>
              <w:pStyle w:val="TableText"/>
              <w:keepNext/>
              <w:spacing w:before="50" w:after="50"/>
              <w:jc w:val="center"/>
              <w:rPr>
                <w:rFonts w:cs="Calibri"/>
              </w:rPr>
            </w:pPr>
            <w:r w:rsidRPr="00BE78CA">
              <w:rPr>
                <w:rFonts w:cs="Calibri"/>
              </w:rPr>
              <w:t>1,269.1</w:t>
            </w:r>
          </w:p>
        </w:tc>
        <w:tc>
          <w:tcPr>
            <w:tcW w:w="1000" w:type="pct"/>
          </w:tcPr>
          <w:p w14:paraId="51645030" w14:textId="77777777" w:rsidR="00F02481" w:rsidRPr="00BE78CA" w:rsidRDefault="00F02481" w:rsidP="00416320">
            <w:pPr>
              <w:pStyle w:val="TableText"/>
              <w:keepNext/>
              <w:spacing w:before="50" w:after="50"/>
              <w:jc w:val="center"/>
              <w:rPr>
                <w:rFonts w:cs="Calibri"/>
              </w:rPr>
            </w:pPr>
            <w:r w:rsidRPr="00BE78CA">
              <w:rPr>
                <w:rFonts w:cs="Calibri"/>
              </w:rPr>
              <w:t>350.1</w:t>
            </w:r>
          </w:p>
        </w:tc>
      </w:tr>
      <w:tr w:rsidR="00F02481" w:rsidRPr="00BE78CA" w14:paraId="59334CF6" w14:textId="77777777" w:rsidTr="00416320">
        <w:trPr>
          <w:trHeight w:val="247"/>
        </w:trPr>
        <w:tc>
          <w:tcPr>
            <w:tcW w:w="1000" w:type="pct"/>
          </w:tcPr>
          <w:p w14:paraId="14F080A5" w14:textId="77777777" w:rsidR="00F02481" w:rsidRPr="00BE78CA" w:rsidRDefault="00F02481" w:rsidP="00416320">
            <w:pPr>
              <w:pStyle w:val="TableText"/>
              <w:spacing w:before="50" w:after="50"/>
              <w:rPr>
                <w:rFonts w:cs="Calibri"/>
              </w:rPr>
            </w:pPr>
            <w:r w:rsidRPr="00BE78CA">
              <w:rPr>
                <w:rFonts w:cs="Calibri"/>
              </w:rPr>
              <w:t>2019</w:t>
            </w:r>
          </w:p>
        </w:tc>
        <w:tc>
          <w:tcPr>
            <w:tcW w:w="1000" w:type="pct"/>
          </w:tcPr>
          <w:p w14:paraId="6983F655" w14:textId="77777777" w:rsidR="00F02481" w:rsidRPr="00BE78CA" w:rsidRDefault="00F02481" w:rsidP="00416320">
            <w:pPr>
              <w:pStyle w:val="TableText"/>
              <w:spacing w:before="50" w:after="50"/>
              <w:jc w:val="center"/>
              <w:rPr>
                <w:rFonts w:cs="Calibri"/>
              </w:rPr>
            </w:pPr>
            <w:r w:rsidRPr="00BE78CA">
              <w:rPr>
                <w:rFonts w:cs="Calibri"/>
              </w:rPr>
              <w:t>1,159.0</w:t>
            </w:r>
          </w:p>
        </w:tc>
        <w:tc>
          <w:tcPr>
            <w:tcW w:w="1000" w:type="pct"/>
          </w:tcPr>
          <w:p w14:paraId="068E0428" w14:textId="77777777" w:rsidR="00F02481" w:rsidRPr="00BE78CA" w:rsidRDefault="00F02481" w:rsidP="00416320">
            <w:pPr>
              <w:pStyle w:val="TableText"/>
              <w:spacing w:before="50" w:after="50"/>
              <w:jc w:val="center"/>
              <w:rPr>
                <w:rFonts w:cs="Calibri"/>
              </w:rPr>
            </w:pPr>
            <w:r w:rsidRPr="00BE78CA">
              <w:rPr>
                <w:rFonts w:cs="Calibri"/>
              </w:rPr>
              <w:t>973.5</w:t>
            </w:r>
          </w:p>
        </w:tc>
        <w:tc>
          <w:tcPr>
            <w:tcW w:w="1000" w:type="pct"/>
          </w:tcPr>
          <w:p w14:paraId="11422DE1" w14:textId="77777777" w:rsidR="00F02481" w:rsidRPr="00BE78CA" w:rsidRDefault="00F02481" w:rsidP="00416320">
            <w:pPr>
              <w:pStyle w:val="TableText"/>
              <w:spacing w:before="50" w:after="50"/>
              <w:jc w:val="center"/>
              <w:rPr>
                <w:rFonts w:cs="Calibri"/>
              </w:rPr>
            </w:pPr>
            <w:r w:rsidRPr="00BE78CA">
              <w:rPr>
                <w:rFonts w:cs="Calibri"/>
              </w:rPr>
              <w:t>1,344.4</w:t>
            </w:r>
          </w:p>
        </w:tc>
        <w:tc>
          <w:tcPr>
            <w:tcW w:w="1000" w:type="pct"/>
          </w:tcPr>
          <w:p w14:paraId="32E6BED2" w14:textId="77777777" w:rsidR="00F02481" w:rsidRPr="00BE78CA" w:rsidRDefault="00F02481" w:rsidP="00416320">
            <w:pPr>
              <w:pStyle w:val="TableText"/>
              <w:spacing w:before="50" w:after="50"/>
              <w:jc w:val="center"/>
              <w:rPr>
                <w:rFonts w:cs="Calibri"/>
              </w:rPr>
            </w:pPr>
            <w:r w:rsidRPr="00BE78CA">
              <w:rPr>
                <w:rFonts w:cs="Calibri"/>
              </w:rPr>
              <w:t>370.9</w:t>
            </w:r>
          </w:p>
        </w:tc>
      </w:tr>
    </w:tbl>
    <w:p w14:paraId="201C6EEF" w14:textId="77777777" w:rsidR="00F02481" w:rsidRPr="00BE78CA" w:rsidRDefault="00F02481" w:rsidP="00C26084">
      <w:pPr>
        <w:pStyle w:val="Noteundertable"/>
        <w:rPr>
          <w:rFonts w:cs="Calibri"/>
        </w:rPr>
      </w:pPr>
      <w:r w:rsidRPr="00BE78CA">
        <w:rPr>
          <w:rFonts w:cs="Calibri"/>
          <w:b/>
          <w:bCs/>
        </w:rPr>
        <w:t xml:space="preserve">Note: </w:t>
      </w:r>
      <w:r w:rsidRPr="00BE78CA">
        <w:rPr>
          <w:rFonts w:cs="Calibri"/>
          <w:b/>
        </w:rPr>
        <w:tab/>
      </w:r>
      <w:r w:rsidRPr="00BE78CA">
        <w:rPr>
          <w:rFonts w:cs="Calibri"/>
        </w:rPr>
        <w:t>The CH</w:t>
      </w:r>
      <w:r w:rsidRPr="00BE78CA">
        <w:rPr>
          <w:rFonts w:cs="Calibri"/>
          <w:vertAlign w:val="subscript"/>
        </w:rPr>
        <w:t>4</w:t>
      </w:r>
      <w:r w:rsidRPr="00BE78CA">
        <w:rPr>
          <w:rFonts w:cs="Calibri"/>
        </w:rPr>
        <w:t xml:space="preserve"> emissions used in the Monte Carlo analysis exclude those from swine, horses, goats, mules and asses, and llamas and alpacas, which represent a small proportion of total CH</w:t>
      </w:r>
      <w:r w:rsidRPr="00BE78CA">
        <w:rPr>
          <w:rFonts w:cs="Calibri"/>
          <w:vertAlign w:val="subscript"/>
        </w:rPr>
        <w:t>4</w:t>
      </w:r>
      <w:r w:rsidRPr="00BE78CA">
        <w:rPr>
          <w:rFonts w:cs="Calibri"/>
        </w:rPr>
        <w:t> emissions.</w:t>
      </w:r>
    </w:p>
    <w:p w14:paraId="7DD87A12" w14:textId="77777777" w:rsidR="00F02481" w:rsidRPr="00BE78CA" w:rsidRDefault="00F02481" w:rsidP="00C26084">
      <w:pPr>
        <w:pStyle w:val="BodyText"/>
        <w:rPr>
          <w:rFonts w:cs="Calibri"/>
        </w:rPr>
      </w:pPr>
      <w:r w:rsidRPr="00BE78CA">
        <w:rPr>
          <w:rFonts w:cs="Calibri"/>
        </w:rPr>
        <w:t>Uncertainty in the annual CH</w:t>
      </w:r>
      <w:r w:rsidRPr="00BE78CA">
        <w:rPr>
          <w:rFonts w:cs="Calibri"/>
          <w:vertAlign w:val="subscript"/>
        </w:rPr>
        <w:t>4</w:t>
      </w:r>
      <w:r w:rsidRPr="00BE78CA">
        <w:rPr>
          <w:rFonts w:cs="Calibri"/>
        </w:rPr>
        <w:t xml:space="preserve"> estimate is dominated by variance in the measurements of the ‘methane per unit of intake’ factor. This uncertainty is predominantly due to natural variation from one animal to the next due to genetic, management and environmental factors. Uncertainties in the estimates of livestock energy requirements, forage quality and animal population data are much smaller (0.005–0.05) (Clark et al., 2003).</w:t>
      </w:r>
    </w:p>
    <w:p w14:paraId="74D00E08" w14:textId="77777777" w:rsidR="00F02481" w:rsidRPr="00BE78CA" w:rsidRDefault="00F02481" w:rsidP="00C26084">
      <w:pPr>
        <w:pStyle w:val="Heading3"/>
        <w:spacing w:before="280"/>
        <w:rPr>
          <w:rFonts w:cs="Calibri"/>
        </w:rPr>
      </w:pPr>
      <w:bookmarkStart w:id="645" w:name="_Toc139253920"/>
      <w:bookmarkStart w:id="646" w:name="_Toc32570654"/>
      <w:r w:rsidRPr="00BE78CA">
        <w:rPr>
          <w:rFonts w:cs="Calibri"/>
        </w:rPr>
        <w:t>5.2.4</w:t>
      </w:r>
      <w:r w:rsidRPr="00BE78CA">
        <w:rPr>
          <w:rFonts w:cs="Calibri"/>
        </w:rPr>
        <w:tab/>
        <w:t>Source-specific QA/QC</w:t>
      </w:r>
      <w:r w:rsidRPr="00BE78CA">
        <w:rPr>
          <w:rFonts w:cs="Calibri"/>
          <w:lang w:eastAsia="en-GB"/>
        </w:rPr>
        <w:t xml:space="preserve"> control </w:t>
      </w:r>
      <w:r w:rsidRPr="00BE78CA">
        <w:rPr>
          <w:rFonts w:cs="Calibri"/>
        </w:rPr>
        <w:t>and verification</w:t>
      </w:r>
      <w:bookmarkEnd w:id="645"/>
      <w:bookmarkEnd w:id="646"/>
    </w:p>
    <w:p w14:paraId="6CB72EBB" w14:textId="73F5A11B" w:rsidR="00F02481" w:rsidRPr="00BE78CA" w:rsidRDefault="00F02481" w:rsidP="00C26084">
      <w:pPr>
        <w:pStyle w:val="BodyText"/>
        <w:rPr>
          <w:rFonts w:cs="Calibri"/>
        </w:rPr>
      </w:pPr>
      <w:r w:rsidRPr="00BE78CA">
        <w:rPr>
          <w:rFonts w:cs="Calibri"/>
        </w:rPr>
        <w:t xml:space="preserve">Methane from </w:t>
      </w:r>
      <w:r w:rsidRPr="00BE78CA">
        <w:rPr>
          <w:rFonts w:cs="Calibri"/>
          <w:i/>
        </w:rPr>
        <w:t>Enteric fermentation</w:t>
      </w:r>
      <w:r w:rsidRPr="00BE78CA">
        <w:rPr>
          <w:rFonts w:cs="Calibri"/>
        </w:rPr>
        <w:t xml:space="preserve"> from </w:t>
      </w:r>
      <w:r w:rsidR="00547F8C" w:rsidRPr="00BE78CA">
        <w:rPr>
          <w:rFonts w:cs="Calibri"/>
          <w:i/>
          <w:iCs/>
        </w:rPr>
        <w:t>D</w:t>
      </w:r>
      <w:r w:rsidRPr="00BE78CA">
        <w:rPr>
          <w:rFonts w:cs="Calibri"/>
          <w:i/>
          <w:iCs/>
        </w:rPr>
        <w:t>airy cattle</w:t>
      </w:r>
      <w:r w:rsidRPr="00BE78CA">
        <w:rPr>
          <w:rFonts w:cs="Calibri"/>
        </w:rPr>
        <w:t xml:space="preserve">, </w:t>
      </w:r>
      <w:r w:rsidR="00547F8C" w:rsidRPr="00BE78CA">
        <w:rPr>
          <w:rFonts w:cs="Calibri"/>
          <w:i/>
          <w:iCs/>
        </w:rPr>
        <w:t>Non-dairy</w:t>
      </w:r>
      <w:r w:rsidR="00547F8C" w:rsidRPr="00BE78CA">
        <w:rPr>
          <w:rFonts w:cs="Calibri"/>
        </w:rPr>
        <w:t xml:space="preserve"> (</w:t>
      </w:r>
      <w:r w:rsidRPr="00BE78CA">
        <w:rPr>
          <w:rFonts w:cs="Calibri"/>
        </w:rPr>
        <w:t>beef</w:t>
      </w:r>
      <w:r w:rsidR="00547F8C" w:rsidRPr="00BE78CA">
        <w:rPr>
          <w:rFonts w:cs="Calibri"/>
        </w:rPr>
        <w:t>)</w:t>
      </w:r>
      <w:r w:rsidRPr="00BE78CA">
        <w:rPr>
          <w:rFonts w:cs="Calibri"/>
        </w:rPr>
        <w:t xml:space="preserve"> </w:t>
      </w:r>
      <w:r w:rsidRPr="00BE78CA">
        <w:rPr>
          <w:rFonts w:cs="Calibri"/>
          <w:i/>
          <w:iCs/>
        </w:rPr>
        <w:t xml:space="preserve">cattle </w:t>
      </w:r>
      <w:r w:rsidRPr="00BE78CA">
        <w:rPr>
          <w:rFonts w:cs="Calibri"/>
        </w:rPr>
        <w:t xml:space="preserve">and </w:t>
      </w:r>
      <w:r w:rsidR="00547F8C" w:rsidRPr="00BE78CA">
        <w:rPr>
          <w:rFonts w:cs="Calibri"/>
          <w:i/>
          <w:iCs/>
        </w:rPr>
        <w:t>S</w:t>
      </w:r>
      <w:r w:rsidRPr="00BE78CA">
        <w:rPr>
          <w:rFonts w:cs="Calibri"/>
          <w:i/>
          <w:iCs/>
        </w:rPr>
        <w:t>heep</w:t>
      </w:r>
      <w:r w:rsidRPr="00BE78CA">
        <w:rPr>
          <w:rFonts w:cs="Calibri"/>
        </w:rPr>
        <w:t xml:space="preserve"> was</w:t>
      </w:r>
      <w:r w:rsidR="000C13C4" w:rsidRPr="00BE78CA">
        <w:rPr>
          <w:rFonts w:cs="Calibri"/>
        </w:rPr>
        <w:t xml:space="preserve"> </w:t>
      </w:r>
      <w:r w:rsidRPr="00BE78CA">
        <w:rPr>
          <w:rFonts w:cs="Calibri"/>
        </w:rPr>
        <w:t>identified as a</w:t>
      </w:r>
      <w:r w:rsidR="00205D5E" w:rsidRPr="00BE78CA">
        <w:rPr>
          <w:rFonts w:cs="Calibri"/>
        </w:rPr>
        <w:t> </w:t>
      </w:r>
      <w:r w:rsidRPr="00BE78CA">
        <w:rPr>
          <w:rFonts w:cs="Calibri"/>
        </w:rPr>
        <w:t xml:space="preserve">key category (level and trend assessment). Methane from </w:t>
      </w:r>
      <w:r w:rsidRPr="00BE78CA">
        <w:rPr>
          <w:rFonts w:cs="Calibri"/>
          <w:i/>
        </w:rPr>
        <w:t xml:space="preserve">Enteric fermentation </w:t>
      </w:r>
      <w:r w:rsidRPr="00BE78CA">
        <w:rPr>
          <w:rFonts w:cs="Calibri"/>
        </w:rPr>
        <w:t xml:space="preserve">from </w:t>
      </w:r>
      <w:r w:rsidR="00547F8C" w:rsidRPr="00BE78CA">
        <w:rPr>
          <w:rFonts w:cs="Calibri"/>
          <w:i/>
          <w:iCs/>
        </w:rPr>
        <w:t>D</w:t>
      </w:r>
      <w:r w:rsidRPr="00BE78CA">
        <w:rPr>
          <w:rFonts w:cs="Calibri"/>
          <w:i/>
          <w:iCs/>
        </w:rPr>
        <w:t>eer</w:t>
      </w:r>
      <w:r w:rsidRPr="00BE78CA">
        <w:rPr>
          <w:rFonts w:cs="Calibri"/>
        </w:rPr>
        <w:t xml:space="preserve"> is a</w:t>
      </w:r>
      <w:r w:rsidR="00205D5E" w:rsidRPr="00BE78CA">
        <w:rPr>
          <w:rFonts w:cs="Calibri"/>
        </w:rPr>
        <w:t> </w:t>
      </w:r>
      <w:r w:rsidRPr="00BE78CA">
        <w:rPr>
          <w:rFonts w:cs="Calibri"/>
        </w:rPr>
        <w:t>key category in the 2019 level assessment and CH</w:t>
      </w:r>
      <w:r w:rsidRPr="00BE78CA">
        <w:rPr>
          <w:rFonts w:cs="Calibri"/>
          <w:vertAlign w:val="subscript"/>
        </w:rPr>
        <w:t>4</w:t>
      </w:r>
      <w:r w:rsidRPr="00BE78CA">
        <w:rPr>
          <w:rFonts w:cs="Calibri"/>
        </w:rPr>
        <w:t xml:space="preserve"> from </w:t>
      </w:r>
      <w:r w:rsidRPr="00BE78CA">
        <w:rPr>
          <w:rFonts w:cs="Calibri"/>
          <w:i/>
        </w:rPr>
        <w:t>Enteric</w:t>
      </w:r>
      <w:r w:rsidR="000C13C4" w:rsidRPr="00BE78CA">
        <w:rPr>
          <w:rFonts w:cs="Calibri"/>
          <w:i/>
        </w:rPr>
        <w:t xml:space="preserve"> </w:t>
      </w:r>
      <w:r w:rsidRPr="00BE78CA">
        <w:rPr>
          <w:rFonts w:cs="Calibri"/>
          <w:i/>
        </w:rPr>
        <w:t>fermentation</w:t>
      </w:r>
      <w:r w:rsidRPr="00BE78CA">
        <w:rPr>
          <w:rFonts w:cs="Calibri"/>
        </w:rPr>
        <w:t xml:space="preserve"> from </w:t>
      </w:r>
      <w:r w:rsidR="00547F8C" w:rsidRPr="00BE78CA">
        <w:rPr>
          <w:rFonts w:cs="Calibri"/>
          <w:i/>
          <w:iCs/>
        </w:rPr>
        <w:t>G</w:t>
      </w:r>
      <w:r w:rsidRPr="00BE78CA">
        <w:rPr>
          <w:rFonts w:cs="Calibri"/>
          <w:i/>
          <w:iCs/>
        </w:rPr>
        <w:t>oats</w:t>
      </w:r>
      <w:r w:rsidRPr="00BE78CA">
        <w:rPr>
          <w:rFonts w:cs="Calibri"/>
        </w:rPr>
        <w:t xml:space="preserve"> is a key category in the trend assessment. In the preparation for this inventory, the</w:t>
      </w:r>
      <w:r w:rsidR="000C13C4" w:rsidRPr="00BE78CA">
        <w:rPr>
          <w:rFonts w:cs="Calibri"/>
        </w:rPr>
        <w:t xml:space="preserve"> </w:t>
      </w:r>
      <w:r w:rsidRPr="00BE78CA">
        <w:rPr>
          <w:rFonts w:cs="Calibri"/>
        </w:rPr>
        <w:t>data for this category underwent Tier 1 and Tier 2 quality checks.</w:t>
      </w:r>
    </w:p>
    <w:p w14:paraId="4A88B671" w14:textId="77777777" w:rsidR="00F02481" w:rsidRPr="00BE78CA" w:rsidRDefault="00F02481" w:rsidP="00C26084">
      <w:pPr>
        <w:pStyle w:val="BodyText"/>
        <w:rPr>
          <w:rFonts w:cs="Calibri"/>
        </w:rPr>
      </w:pPr>
      <w:r w:rsidRPr="00BE78CA">
        <w:rPr>
          <w:rFonts w:cs="Calibri"/>
        </w:rPr>
        <w:t>Enteric CH</w:t>
      </w:r>
      <w:r w:rsidRPr="00BE78CA">
        <w:rPr>
          <w:rFonts w:cs="Calibri"/>
          <w:vertAlign w:val="subscript"/>
        </w:rPr>
        <w:t>4</w:t>
      </w:r>
      <w:r w:rsidRPr="00BE78CA">
        <w:rPr>
          <w:rFonts w:cs="Calibri"/>
        </w:rPr>
        <w:t xml:space="preserve"> emission rates per animal have been verified using micrometeorological techniques. Laubach and Kelliher (2004) used the integrated horizontal flux technique and the flux gradient technique to measure CH</w:t>
      </w:r>
      <w:r w:rsidRPr="00BE78CA">
        <w:rPr>
          <w:rFonts w:cs="Calibri"/>
          <w:vertAlign w:val="subscript"/>
        </w:rPr>
        <w:t>4</w:t>
      </w:r>
      <w:r w:rsidRPr="00BE78CA">
        <w:rPr>
          <w:rFonts w:cs="Calibri"/>
        </w:rPr>
        <w:t xml:space="preserve"> emission flux above a dairy herd. Both techniques are comparable, within estimated errors, to scaled-up dairy animal emissions. The emissions from the cows measured by integrated horizontal flux (averaged over three trials) were 329 (±153) g CH</w:t>
      </w:r>
      <w:r w:rsidRPr="00BE78CA">
        <w:rPr>
          <w:rFonts w:cs="Calibri"/>
          <w:vertAlign w:val="subscript"/>
        </w:rPr>
        <w:t>4</w:t>
      </w:r>
      <w:r w:rsidRPr="00BE78CA">
        <w:rPr>
          <w:rFonts w:cs="Calibri"/>
        </w:rPr>
        <w:t>/day/cow, compared with 365 (±61) g CH</w:t>
      </w:r>
      <w:r w:rsidRPr="00BE78CA">
        <w:rPr>
          <w:rFonts w:cs="Calibri"/>
          <w:vertAlign w:val="subscript"/>
        </w:rPr>
        <w:t>4</w:t>
      </w:r>
      <w:r w:rsidRPr="00BE78CA">
        <w:rPr>
          <w:rFonts w:cs="Calibri"/>
        </w:rPr>
        <w:t>/day/cow for the scaled-up measurements reported by Waghorn et al. (unpublished(a), unpublished(b)) using the SF</w:t>
      </w:r>
      <w:r w:rsidRPr="00BE78CA">
        <w:rPr>
          <w:rFonts w:cs="Calibri"/>
          <w:vertAlign w:val="subscript"/>
        </w:rPr>
        <w:t>6</w:t>
      </w:r>
      <w:r w:rsidRPr="00BE78CA">
        <w:rPr>
          <w:rFonts w:cs="Calibri"/>
        </w:rPr>
        <w:t> technique for CH</w:t>
      </w:r>
      <w:r w:rsidRPr="00BE78CA">
        <w:rPr>
          <w:rFonts w:cs="Calibri"/>
          <w:vertAlign w:val="subscript"/>
        </w:rPr>
        <w:t>4</w:t>
      </w:r>
      <w:r w:rsidRPr="00BE78CA">
        <w:rPr>
          <w:rFonts w:cs="Calibri"/>
        </w:rPr>
        <w:t xml:space="preserve"> measurement. </w:t>
      </w:r>
    </w:p>
    <w:p w14:paraId="79CBE64A" w14:textId="77777777" w:rsidR="00F02481" w:rsidRPr="00BE78CA" w:rsidRDefault="00F02481" w:rsidP="00C26084">
      <w:pPr>
        <w:pStyle w:val="BodyText"/>
        <w:rPr>
          <w:rFonts w:cs="Calibri"/>
        </w:rPr>
      </w:pPr>
      <w:r w:rsidRPr="00BE78CA">
        <w:rPr>
          <w:rFonts w:cs="Calibri"/>
        </w:rPr>
        <w:t>Enteric methane emissions from lactating dairy cows have also been measured using the New Zealand SF</w:t>
      </w:r>
      <w:r w:rsidRPr="00BE78CA">
        <w:rPr>
          <w:rFonts w:cs="Calibri"/>
          <w:vertAlign w:val="subscript"/>
        </w:rPr>
        <w:t>6</w:t>
      </w:r>
      <w:r w:rsidRPr="00BE78CA">
        <w:rPr>
          <w:rFonts w:cs="Calibri"/>
        </w:rPr>
        <w:t xml:space="preserve"> tracer method compared with the respiration chamber techniques (Grainger et al., 2007). </w:t>
      </w:r>
      <w:r w:rsidRPr="00BE78CA">
        <w:rPr>
          <w:rFonts w:cs="Calibri"/>
          <w:snapToGrid w:val="0"/>
          <w:color w:val="000000"/>
        </w:rPr>
        <w:t xml:space="preserve">Total </w:t>
      </w:r>
      <w:r w:rsidRPr="00BE78CA">
        <w:rPr>
          <w:rFonts w:cs="Calibri"/>
        </w:rPr>
        <w:t>CH</w:t>
      </w:r>
      <w:r w:rsidRPr="00BE78CA">
        <w:rPr>
          <w:rFonts w:cs="Calibri"/>
          <w:vertAlign w:val="subscript"/>
        </w:rPr>
        <w:t xml:space="preserve">4 </w:t>
      </w:r>
      <w:r w:rsidRPr="00BE78CA">
        <w:rPr>
          <w:rFonts w:cs="Calibri"/>
        </w:rPr>
        <w:t>emissions were similar when measured using respiration chambers (322 g CH</w:t>
      </w:r>
      <w:r w:rsidRPr="00BE78CA">
        <w:rPr>
          <w:rFonts w:cs="Calibri"/>
          <w:vertAlign w:val="subscript"/>
        </w:rPr>
        <w:t>4</w:t>
      </w:r>
      <w:r w:rsidRPr="00BE78CA">
        <w:rPr>
          <w:rFonts w:cs="Calibri"/>
        </w:rPr>
        <w:t xml:space="preserve">/day/cow) or the </w:t>
      </w:r>
      <w:r w:rsidRPr="00BE78CA">
        <w:rPr>
          <w:rFonts w:cs="Calibri"/>
          <w:snapToGrid w:val="0"/>
          <w:color w:val="000000"/>
        </w:rPr>
        <w:t>SF</w:t>
      </w:r>
      <w:r w:rsidRPr="00BE78CA">
        <w:rPr>
          <w:rFonts w:cs="Calibri"/>
          <w:snapToGrid w:val="0"/>
          <w:color w:val="000000"/>
          <w:vertAlign w:val="subscript"/>
        </w:rPr>
        <w:t>6</w:t>
      </w:r>
      <w:r w:rsidRPr="00BE78CA">
        <w:rPr>
          <w:rFonts w:cs="Calibri"/>
          <w:snapToGrid w:val="0"/>
          <w:color w:val="000000"/>
        </w:rPr>
        <w:t xml:space="preserve"> tracer technique (</w:t>
      </w:r>
      <w:r w:rsidRPr="00BE78CA">
        <w:rPr>
          <w:rFonts w:cs="Calibri"/>
        </w:rPr>
        <w:t>331 g CH</w:t>
      </w:r>
      <w:r w:rsidRPr="00BE78CA">
        <w:rPr>
          <w:rFonts w:cs="Calibri"/>
          <w:vertAlign w:val="subscript"/>
        </w:rPr>
        <w:t>4</w:t>
      </w:r>
      <w:r w:rsidRPr="00BE78CA">
        <w:rPr>
          <w:rFonts w:cs="Calibri"/>
        </w:rPr>
        <w:t>/day/cow) but the uncertainty of the SF</w:t>
      </w:r>
      <w:r w:rsidRPr="00BE78CA">
        <w:rPr>
          <w:rFonts w:cs="Calibri"/>
          <w:vertAlign w:val="subscript"/>
        </w:rPr>
        <w:t>6</w:t>
      </w:r>
      <w:r w:rsidRPr="00BE78CA">
        <w:rPr>
          <w:rFonts w:cs="Calibri"/>
        </w:rPr>
        <w:t xml:space="preserve"> technique measurements was greater. </w:t>
      </w:r>
    </w:p>
    <w:p w14:paraId="1E4E8B89" w14:textId="49781975" w:rsidR="00F02481" w:rsidRPr="00BE78CA" w:rsidRDefault="00F02481" w:rsidP="00C26084">
      <w:pPr>
        <w:pStyle w:val="BodyText"/>
        <w:rPr>
          <w:rFonts w:cs="Calibri"/>
          <w:spacing w:val="-2"/>
        </w:rPr>
      </w:pPr>
      <w:r w:rsidRPr="00BE78CA">
        <w:rPr>
          <w:rFonts w:cs="Calibri"/>
          <w:spacing w:val="-2"/>
        </w:rPr>
        <w:t>The calculations in New Zealand’s model for all cattle, sheep and deer are Tier 2 and are based on the IPCC Guidelines (IPCC, 2006). Table 5.2.5 shows a comparison of the New Zealand-specific 2019 IEFs for enteric fermentation with the IPCC Tier 1 Oceania default value, the IPCC Tier</w:t>
      </w:r>
      <w:r w:rsidRPr="00BE78CA">
        <w:rPr>
          <w:rFonts w:cs="Calibri"/>
        </w:rPr>
        <w:t> </w:t>
      </w:r>
      <w:r w:rsidRPr="00BE78CA">
        <w:rPr>
          <w:rFonts w:cs="Calibri"/>
          <w:spacing w:val="-2"/>
        </w:rPr>
        <w:t>2</w:t>
      </w:r>
      <w:r w:rsidR="00C4229F" w:rsidRPr="00BE78CA">
        <w:rPr>
          <w:rFonts w:cs="Calibri"/>
          <w:spacing w:val="-2"/>
        </w:rPr>
        <w:t xml:space="preserve"> </w:t>
      </w:r>
      <w:r w:rsidRPr="00BE78CA">
        <w:rPr>
          <w:rFonts w:cs="Calibri"/>
          <w:spacing w:val="-2"/>
        </w:rPr>
        <w:t>net</w:t>
      </w:r>
      <w:r w:rsidR="00C4229F" w:rsidRPr="00BE78CA">
        <w:rPr>
          <w:rFonts w:cs="Calibri"/>
          <w:spacing w:val="-2"/>
        </w:rPr>
        <w:t xml:space="preserve"> </w:t>
      </w:r>
      <w:r w:rsidRPr="00BE78CA">
        <w:rPr>
          <w:rFonts w:cs="Calibri"/>
          <w:spacing w:val="-2"/>
        </w:rPr>
        <w:t xml:space="preserve">energy-based value and the Australian-specific 2017 IEF for dairy cattle, beef cattle and sheep. </w:t>
      </w:r>
    </w:p>
    <w:p w14:paraId="464BDAEA" w14:textId="7D0B130D" w:rsidR="00F02481" w:rsidRPr="00BE78CA" w:rsidRDefault="00F02481" w:rsidP="00C26084">
      <w:pPr>
        <w:pStyle w:val="BodyText"/>
        <w:rPr>
          <w:rFonts w:cs="Calibri"/>
        </w:rPr>
      </w:pPr>
      <w:r w:rsidRPr="00BE78CA">
        <w:rPr>
          <w:rFonts w:cs="Calibri"/>
        </w:rPr>
        <w:t>The IPCC Tier 2 net energy-based values are determined from the net energy algorithms in the 2006 IPCC Guidelines (equation 10.16) for dairy cattle, beef cattle and sheep. New</w:t>
      </w:r>
      <w:r w:rsidR="0015144C" w:rsidRPr="00BE78CA">
        <w:rPr>
          <w:rFonts w:cs="Calibri"/>
        </w:rPr>
        <w:t xml:space="preserve"> </w:t>
      </w:r>
      <w:r w:rsidRPr="00BE78CA">
        <w:rPr>
          <w:rFonts w:cs="Calibri"/>
        </w:rPr>
        <w:t>Zealand’s inventory model calculates emissions for sheep (one year of age and older) and lambs (less than one year old) separately. Therefore, to provide an appropriate comparison between the New Zealand-specific IEF and the IPCC Tier 2 net energy-based values for sheep, the gross energy values determined using the IPCC Tier 2 energy equations were obtained for both sheep and lambs.</w:t>
      </w:r>
    </w:p>
    <w:p w14:paraId="671A1C2C" w14:textId="7BB4A276" w:rsidR="00F02481" w:rsidRPr="00BE78CA" w:rsidRDefault="00F02481" w:rsidP="00C26084">
      <w:pPr>
        <w:pStyle w:val="Table"/>
        <w:rPr>
          <w:rFonts w:cs="Calibri"/>
        </w:rPr>
      </w:pPr>
      <w:bookmarkStart w:id="647" w:name="_Toc288316751"/>
      <w:bookmarkStart w:id="648" w:name="_Toc352504969"/>
      <w:bookmarkStart w:id="649" w:name="_Toc441830872"/>
      <w:bookmarkStart w:id="650" w:name="_Toc451176086"/>
      <w:bookmarkStart w:id="651" w:name="_Toc481751512"/>
      <w:bookmarkStart w:id="652" w:name="_Toc507158602"/>
      <w:bookmarkStart w:id="653" w:name="_Toc511116736"/>
      <w:bookmarkStart w:id="654" w:name="_Toc5269476"/>
      <w:bookmarkStart w:id="655" w:name="_Toc32570917"/>
      <w:bookmarkStart w:id="656" w:name="_Toc36224552"/>
      <w:bookmarkStart w:id="657" w:name="_Toc68786438"/>
      <w:r w:rsidRPr="00BE78CA">
        <w:rPr>
          <w:rFonts w:cs="Calibri"/>
        </w:rPr>
        <w:lastRenderedPageBreak/>
        <w:t>Table 5.2.5</w:t>
      </w:r>
      <w:r w:rsidRPr="00BE78CA">
        <w:rPr>
          <w:rFonts w:cs="Calibri"/>
        </w:rPr>
        <w:tab/>
        <w:t>Comparison of the IPCC (2006) default emissions factor and country-specific implied emission factors (IEFs) for methane (CH</w:t>
      </w:r>
      <w:r w:rsidRPr="00BE78CA">
        <w:rPr>
          <w:rFonts w:cs="Calibri"/>
          <w:vertAlign w:val="subscript"/>
        </w:rPr>
        <w:t>4</w:t>
      </w:r>
      <w:r w:rsidRPr="00BE78CA">
        <w:rPr>
          <w:rFonts w:cs="Calibri"/>
        </w:rPr>
        <w:t xml:space="preserve">) from </w:t>
      </w:r>
      <w:r w:rsidR="00547F8C" w:rsidRPr="00BE78CA">
        <w:rPr>
          <w:rFonts w:cs="Calibri"/>
        </w:rPr>
        <w:t>E</w:t>
      </w:r>
      <w:r w:rsidRPr="00BE78CA">
        <w:rPr>
          <w:rFonts w:cs="Calibri"/>
        </w:rPr>
        <w:t xml:space="preserve">nteric fermentation for </w:t>
      </w:r>
      <w:r w:rsidR="00547F8C" w:rsidRPr="00BE78CA">
        <w:rPr>
          <w:rFonts w:cs="Calibri"/>
        </w:rPr>
        <w:t>D</w:t>
      </w:r>
      <w:r w:rsidRPr="00BE78CA">
        <w:rPr>
          <w:rFonts w:cs="Calibri"/>
        </w:rPr>
        <w:t>airy cattle,</w:t>
      </w:r>
      <w:r w:rsidR="000C13C4" w:rsidRPr="00BE78CA">
        <w:rPr>
          <w:rFonts w:cs="Calibri"/>
        </w:rPr>
        <w:br/>
      </w:r>
      <w:r w:rsidR="00547F8C" w:rsidRPr="00BE78CA">
        <w:rPr>
          <w:rFonts w:cs="Calibri"/>
        </w:rPr>
        <w:t>N</w:t>
      </w:r>
      <w:r w:rsidRPr="00BE78CA">
        <w:rPr>
          <w:rFonts w:cs="Calibri"/>
        </w:rPr>
        <w:t>on</w:t>
      </w:r>
      <w:r w:rsidRPr="00BE78CA">
        <w:rPr>
          <w:rFonts w:cs="Calibri"/>
        </w:rPr>
        <w:noBreakHyphen/>
        <w:t>dairy</w:t>
      </w:r>
      <w:r w:rsidR="00547F8C" w:rsidRPr="00BE78CA">
        <w:rPr>
          <w:rFonts w:cs="Calibri"/>
        </w:rPr>
        <w:t xml:space="preserve"> (beef)</w:t>
      </w:r>
      <w:r w:rsidRPr="00BE78CA">
        <w:rPr>
          <w:rFonts w:cs="Calibri"/>
        </w:rPr>
        <w:t xml:space="preserve"> cattle and </w:t>
      </w:r>
      <w:r w:rsidR="00547F8C" w:rsidRPr="00BE78CA">
        <w:rPr>
          <w:rFonts w:cs="Calibri"/>
        </w:rPr>
        <w:t>S</w:t>
      </w:r>
      <w:r w:rsidRPr="00BE78CA">
        <w:rPr>
          <w:rFonts w:cs="Calibri"/>
        </w:rPr>
        <w:t>heep</w:t>
      </w:r>
      <w:bookmarkEnd w:id="647"/>
      <w:bookmarkEnd w:id="648"/>
      <w:bookmarkEnd w:id="649"/>
      <w:bookmarkEnd w:id="650"/>
      <w:bookmarkEnd w:id="651"/>
      <w:bookmarkEnd w:id="652"/>
      <w:bookmarkEnd w:id="653"/>
      <w:bookmarkEnd w:id="654"/>
      <w:bookmarkEnd w:id="655"/>
      <w:bookmarkEnd w:id="656"/>
      <w:bookmarkEnd w:id="657"/>
    </w:p>
    <w:tbl>
      <w:tblPr>
        <w:tblW w:w="8448" w:type="dxa"/>
        <w:tblBorders>
          <w:top w:val="single" w:sz="4" w:space="0" w:color="365F91"/>
          <w:bottom w:val="single" w:sz="4" w:space="0" w:color="365F91"/>
          <w:insideH w:val="single" w:sz="4" w:space="0" w:color="365F91"/>
        </w:tblBorders>
        <w:tblLayout w:type="fixed"/>
        <w:tblCellMar>
          <w:left w:w="85" w:type="dxa"/>
          <w:right w:w="57" w:type="dxa"/>
        </w:tblCellMar>
        <w:tblLook w:val="0000" w:firstRow="0" w:lastRow="0" w:firstColumn="0" w:lastColumn="0" w:noHBand="0" w:noVBand="0"/>
      </w:tblPr>
      <w:tblGrid>
        <w:gridCol w:w="2875"/>
        <w:gridCol w:w="2648"/>
        <w:gridCol w:w="1447"/>
        <w:gridCol w:w="1478"/>
      </w:tblGrid>
      <w:tr w:rsidR="00416320" w:rsidRPr="00BE78CA" w14:paraId="26A08B9D" w14:textId="77777777" w:rsidTr="00416320">
        <w:trPr>
          <w:trHeight w:val="406"/>
          <w:tblHeader/>
        </w:trPr>
        <w:tc>
          <w:tcPr>
            <w:tcW w:w="2892" w:type="dxa"/>
            <w:shd w:val="clear" w:color="auto" w:fill="365F91"/>
          </w:tcPr>
          <w:p w14:paraId="6FB7A3AA" w14:textId="77777777" w:rsidR="00F02481" w:rsidRPr="00BE78CA" w:rsidRDefault="00F02481" w:rsidP="00C26084">
            <w:pPr>
              <w:pStyle w:val="TableTextBold"/>
              <w:rPr>
                <w:noProof w:val="0"/>
                <w:color w:val="FFFFFF" w:themeColor="background1"/>
                <w:szCs w:val="16"/>
              </w:rPr>
            </w:pPr>
          </w:p>
        </w:tc>
        <w:tc>
          <w:tcPr>
            <w:tcW w:w="2665" w:type="dxa"/>
            <w:shd w:val="clear" w:color="auto" w:fill="365F91"/>
            <w:vAlign w:val="bottom"/>
          </w:tcPr>
          <w:p w14:paraId="730EAF3C" w14:textId="77777777" w:rsidR="00F02481" w:rsidRPr="00BE78CA" w:rsidRDefault="00F02481" w:rsidP="00C26084">
            <w:pPr>
              <w:pStyle w:val="TableTextBold"/>
              <w:jc w:val="center"/>
              <w:rPr>
                <w:noProof w:val="0"/>
                <w:color w:val="FFFFFF" w:themeColor="background1"/>
                <w:szCs w:val="16"/>
              </w:rPr>
            </w:pPr>
            <w:r w:rsidRPr="00BE78CA">
              <w:rPr>
                <w:noProof w:val="0"/>
                <w:color w:val="FFFFFF" w:themeColor="background1"/>
                <w:szCs w:val="16"/>
              </w:rPr>
              <w:t>Dairy cattle</w:t>
            </w:r>
            <w:r w:rsidRPr="00BE78CA">
              <w:rPr>
                <w:noProof w:val="0"/>
                <w:color w:val="FFFFFF" w:themeColor="background1"/>
                <w:szCs w:val="16"/>
              </w:rPr>
              <w:br/>
              <w:t>(kg CH</w:t>
            </w:r>
            <w:r w:rsidRPr="00BE78CA">
              <w:rPr>
                <w:noProof w:val="0"/>
                <w:color w:val="FFFFFF" w:themeColor="background1"/>
                <w:szCs w:val="16"/>
                <w:vertAlign w:val="subscript"/>
              </w:rPr>
              <w:t>4</w:t>
            </w:r>
            <w:r w:rsidRPr="00BE78CA">
              <w:rPr>
                <w:noProof w:val="0"/>
                <w:color w:val="FFFFFF" w:themeColor="background1"/>
                <w:szCs w:val="16"/>
              </w:rPr>
              <w:t>/head/year)</w:t>
            </w:r>
          </w:p>
        </w:tc>
        <w:tc>
          <w:tcPr>
            <w:tcW w:w="1456" w:type="dxa"/>
            <w:shd w:val="clear" w:color="auto" w:fill="365F91"/>
            <w:vAlign w:val="bottom"/>
          </w:tcPr>
          <w:p w14:paraId="15658204" w14:textId="77777777" w:rsidR="00F02481" w:rsidRPr="00BE78CA" w:rsidRDefault="00F02481" w:rsidP="00C26084">
            <w:pPr>
              <w:pStyle w:val="TableTextBold"/>
              <w:jc w:val="center"/>
              <w:rPr>
                <w:noProof w:val="0"/>
                <w:color w:val="FFFFFF" w:themeColor="background1"/>
                <w:szCs w:val="16"/>
              </w:rPr>
            </w:pPr>
            <w:r w:rsidRPr="00BE78CA">
              <w:rPr>
                <w:noProof w:val="0"/>
                <w:color w:val="FFFFFF" w:themeColor="background1"/>
                <w:szCs w:val="16"/>
              </w:rPr>
              <w:t xml:space="preserve">Non-dairy </w:t>
            </w:r>
            <w:r w:rsidRPr="00BE78CA">
              <w:rPr>
                <w:noProof w:val="0"/>
                <w:color w:val="FFFFFF" w:themeColor="background1"/>
                <w:szCs w:val="16"/>
              </w:rPr>
              <w:br/>
              <w:t>(beef) cattle</w:t>
            </w:r>
            <w:r w:rsidRPr="00BE78CA">
              <w:rPr>
                <w:noProof w:val="0"/>
                <w:color w:val="FFFFFF" w:themeColor="background1"/>
                <w:szCs w:val="16"/>
              </w:rPr>
              <w:br/>
              <w:t>(kg CH</w:t>
            </w:r>
            <w:r w:rsidRPr="00BE78CA">
              <w:rPr>
                <w:noProof w:val="0"/>
                <w:color w:val="FFFFFF" w:themeColor="background1"/>
                <w:szCs w:val="16"/>
                <w:vertAlign w:val="subscript"/>
              </w:rPr>
              <w:t>4</w:t>
            </w:r>
            <w:r w:rsidRPr="00BE78CA">
              <w:rPr>
                <w:noProof w:val="0"/>
                <w:color w:val="FFFFFF" w:themeColor="background1"/>
                <w:szCs w:val="16"/>
              </w:rPr>
              <w:t>/head/year)</w:t>
            </w:r>
          </w:p>
        </w:tc>
        <w:tc>
          <w:tcPr>
            <w:tcW w:w="1487" w:type="dxa"/>
            <w:shd w:val="clear" w:color="auto" w:fill="365F91"/>
            <w:vAlign w:val="bottom"/>
          </w:tcPr>
          <w:p w14:paraId="7239989C" w14:textId="77777777" w:rsidR="00F02481" w:rsidRPr="00BE78CA" w:rsidRDefault="00F02481" w:rsidP="00C26084">
            <w:pPr>
              <w:pStyle w:val="TableTextBold"/>
              <w:jc w:val="center"/>
              <w:rPr>
                <w:noProof w:val="0"/>
                <w:color w:val="FFFFFF" w:themeColor="background1"/>
                <w:szCs w:val="16"/>
              </w:rPr>
            </w:pPr>
            <w:r w:rsidRPr="00BE78CA">
              <w:rPr>
                <w:noProof w:val="0"/>
                <w:color w:val="FFFFFF" w:themeColor="background1"/>
                <w:szCs w:val="16"/>
              </w:rPr>
              <w:t>Sheep</w:t>
            </w:r>
            <w:r w:rsidRPr="00BE78CA">
              <w:rPr>
                <w:noProof w:val="0"/>
                <w:color w:val="FFFFFF" w:themeColor="background1"/>
                <w:szCs w:val="16"/>
              </w:rPr>
              <w:br/>
              <w:t>(kg CH</w:t>
            </w:r>
            <w:r w:rsidRPr="00BE78CA">
              <w:rPr>
                <w:noProof w:val="0"/>
                <w:color w:val="FFFFFF" w:themeColor="background1"/>
                <w:szCs w:val="16"/>
                <w:vertAlign w:val="subscript"/>
              </w:rPr>
              <w:t>4</w:t>
            </w:r>
            <w:r w:rsidRPr="00BE78CA">
              <w:rPr>
                <w:noProof w:val="0"/>
                <w:color w:val="FFFFFF" w:themeColor="background1"/>
                <w:szCs w:val="16"/>
              </w:rPr>
              <w:t>/head/year)</w:t>
            </w:r>
          </w:p>
        </w:tc>
      </w:tr>
      <w:tr w:rsidR="00F02481" w:rsidRPr="00BE78CA" w14:paraId="33AB1C55" w14:textId="77777777" w:rsidTr="00416320">
        <w:trPr>
          <w:trHeight w:val="248"/>
        </w:trPr>
        <w:tc>
          <w:tcPr>
            <w:tcW w:w="2892" w:type="dxa"/>
          </w:tcPr>
          <w:p w14:paraId="7818D216" w14:textId="77777777" w:rsidR="00F02481" w:rsidRPr="00BE78CA" w:rsidRDefault="00F02481" w:rsidP="00C26084">
            <w:pPr>
              <w:pStyle w:val="TableText"/>
              <w:rPr>
                <w:rFonts w:cs="Calibri"/>
                <w:szCs w:val="16"/>
              </w:rPr>
            </w:pPr>
            <w:r w:rsidRPr="00BE78CA">
              <w:rPr>
                <w:rFonts w:cs="Calibri"/>
                <w:szCs w:val="16"/>
              </w:rPr>
              <w:t>IPCC (2006) Tier 1 Oceania default value</w:t>
            </w:r>
          </w:p>
        </w:tc>
        <w:tc>
          <w:tcPr>
            <w:tcW w:w="2665" w:type="dxa"/>
          </w:tcPr>
          <w:p w14:paraId="6B407DD7" w14:textId="77777777" w:rsidR="00F02481" w:rsidRPr="00BE78CA" w:rsidRDefault="00F02481" w:rsidP="00C26084">
            <w:pPr>
              <w:pStyle w:val="TableText"/>
              <w:jc w:val="center"/>
              <w:rPr>
                <w:rFonts w:cs="Calibri"/>
                <w:szCs w:val="16"/>
              </w:rPr>
            </w:pPr>
            <w:r w:rsidRPr="00BE78CA">
              <w:rPr>
                <w:rFonts w:cs="Calibri"/>
                <w:szCs w:val="16"/>
              </w:rPr>
              <w:t>90.0</w:t>
            </w:r>
          </w:p>
        </w:tc>
        <w:tc>
          <w:tcPr>
            <w:tcW w:w="1456" w:type="dxa"/>
          </w:tcPr>
          <w:p w14:paraId="24289805" w14:textId="77777777" w:rsidR="00F02481" w:rsidRPr="00BE78CA" w:rsidRDefault="00F02481" w:rsidP="00C26084">
            <w:pPr>
              <w:pStyle w:val="TableText"/>
              <w:jc w:val="center"/>
              <w:rPr>
                <w:rFonts w:cs="Calibri"/>
                <w:szCs w:val="16"/>
              </w:rPr>
            </w:pPr>
            <w:r w:rsidRPr="00BE78CA">
              <w:rPr>
                <w:rFonts w:cs="Calibri"/>
                <w:szCs w:val="16"/>
              </w:rPr>
              <w:t>60.0</w:t>
            </w:r>
          </w:p>
        </w:tc>
        <w:tc>
          <w:tcPr>
            <w:tcW w:w="1487" w:type="dxa"/>
          </w:tcPr>
          <w:p w14:paraId="445CB57C" w14:textId="77777777" w:rsidR="00F02481" w:rsidRPr="00BE78CA" w:rsidRDefault="00F02481" w:rsidP="00C26084">
            <w:pPr>
              <w:pStyle w:val="TableText"/>
              <w:jc w:val="center"/>
              <w:rPr>
                <w:rFonts w:cs="Calibri"/>
                <w:szCs w:val="16"/>
              </w:rPr>
            </w:pPr>
            <w:r w:rsidRPr="00BE78CA">
              <w:rPr>
                <w:rFonts w:cs="Calibri"/>
                <w:szCs w:val="16"/>
              </w:rPr>
              <w:t>8.0</w:t>
            </w:r>
          </w:p>
        </w:tc>
      </w:tr>
      <w:tr w:rsidR="00F02481" w:rsidRPr="00BE78CA" w14:paraId="4909C793" w14:textId="77777777" w:rsidTr="00416320">
        <w:trPr>
          <w:trHeight w:val="248"/>
        </w:trPr>
        <w:tc>
          <w:tcPr>
            <w:tcW w:w="2892" w:type="dxa"/>
            <w:shd w:val="clear" w:color="auto" w:fill="auto"/>
          </w:tcPr>
          <w:p w14:paraId="466AAAE4" w14:textId="77777777" w:rsidR="00F02481" w:rsidRPr="00BE78CA" w:rsidRDefault="00F02481" w:rsidP="00C26084">
            <w:pPr>
              <w:pStyle w:val="TableText"/>
              <w:rPr>
                <w:rFonts w:cs="Calibri"/>
                <w:szCs w:val="16"/>
              </w:rPr>
            </w:pPr>
            <w:r w:rsidRPr="00BE78CA">
              <w:rPr>
                <w:rFonts w:cs="Calibri"/>
                <w:szCs w:val="16"/>
              </w:rPr>
              <w:t>IPCC (2006) Tier 2 net energy-based value</w:t>
            </w:r>
          </w:p>
        </w:tc>
        <w:tc>
          <w:tcPr>
            <w:tcW w:w="2665" w:type="dxa"/>
            <w:shd w:val="clear" w:color="auto" w:fill="auto"/>
          </w:tcPr>
          <w:p w14:paraId="052AC7A5" w14:textId="77777777" w:rsidR="00F02481" w:rsidRPr="00BE78CA" w:rsidRDefault="00F02481" w:rsidP="00C26084">
            <w:pPr>
              <w:pStyle w:val="TableText"/>
              <w:jc w:val="center"/>
              <w:rPr>
                <w:rFonts w:cs="Calibri"/>
                <w:szCs w:val="16"/>
              </w:rPr>
            </w:pPr>
            <w:r w:rsidRPr="00BE78CA">
              <w:rPr>
                <w:rFonts w:cs="Calibri"/>
                <w:szCs w:val="16"/>
              </w:rPr>
              <w:t>72.5</w:t>
            </w:r>
          </w:p>
        </w:tc>
        <w:tc>
          <w:tcPr>
            <w:tcW w:w="1456" w:type="dxa"/>
            <w:shd w:val="clear" w:color="auto" w:fill="auto"/>
          </w:tcPr>
          <w:p w14:paraId="5539BE1C" w14:textId="77777777" w:rsidR="00F02481" w:rsidRPr="00BE78CA" w:rsidRDefault="00F02481" w:rsidP="00C26084">
            <w:pPr>
              <w:pStyle w:val="TableText"/>
              <w:jc w:val="center"/>
              <w:rPr>
                <w:rFonts w:cs="Calibri"/>
                <w:szCs w:val="16"/>
              </w:rPr>
            </w:pPr>
            <w:r w:rsidRPr="00BE78CA">
              <w:rPr>
                <w:rFonts w:cs="Calibri"/>
                <w:szCs w:val="16"/>
              </w:rPr>
              <w:t>51.6</w:t>
            </w:r>
          </w:p>
        </w:tc>
        <w:tc>
          <w:tcPr>
            <w:tcW w:w="1487" w:type="dxa"/>
            <w:shd w:val="clear" w:color="auto" w:fill="auto"/>
          </w:tcPr>
          <w:p w14:paraId="233F28B7" w14:textId="77777777" w:rsidR="00F02481" w:rsidRPr="00BE78CA" w:rsidRDefault="00F02481" w:rsidP="00C26084">
            <w:pPr>
              <w:pStyle w:val="TableText"/>
              <w:jc w:val="center"/>
              <w:rPr>
                <w:rFonts w:cs="Calibri"/>
                <w:szCs w:val="16"/>
              </w:rPr>
            </w:pPr>
            <w:r w:rsidRPr="00BE78CA">
              <w:rPr>
                <w:rFonts w:cs="Calibri"/>
                <w:szCs w:val="16"/>
              </w:rPr>
              <w:t>8.9</w:t>
            </w:r>
          </w:p>
        </w:tc>
      </w:tr>
      <w:tr w:rsidR="00F02481" w:rsidRPr="00BE78CA" w14:paraId="08B9405C" w14:textId="77777777" w:rsidTr="00416320">
        <w:trPr>
          <w:trHeight w:val="455"/>
        </w:trPr>
        <w:tc>
          <w:tcPr>
            <w:tcW w:w="2892" w:type="dxa"/>
          </w:tcPr>
          <w:p w14:paraId="173A3D1A" w14:textId="77777777" w:rsidR="00F02481" w:rsidRPr="00BE78CA" w:rsidRDefault="00F02481" w:rsidP="00C26084">
            <w:pPr>
              <w:pStyle w:val="TableText"/>
              <w:rPr>
                <w:rFonts w:cs="Calibri"/>
                <w:szCs w:val="16"/>
              </w:rPr>
            </w:pPr>
            <w:r w:rsidRPr="00BE78CA">
              <w:rPr>
                <w:rFonts w:cs="Calibri"/>
                <w:szCs w:val="16"/>
              </w:rPr>
              <w:t>Australian-specific IEF 2018 value</w:t>
            </w:r>
            <w:r w:rsidRPr="00BE78CA">
              <w:rPr>
                <w:rStyle w:val="FootnoteReference"/>
                <w:rFonts w:cs="Calibri"/>
                <w:szCs w:val="16"/>
              </w:rPr>
              <w:footnoteReference w:id="45"/>
            </w:r>
          </w:p>
        </w:tc>
        <w:tc>
          <w:tcPr>
            <w:tcW w:w="2665" w:type="dxa"/>
          </w:tcPr>
          <w:p w14:paraId="3046DB19" w14:textId="77777777" w:rsidR="00F02481" w:rsidRPr="00BE78CA" w:rsidRDefault="00F02481" w:rsidP="00C26084">
            <w:pPr>
              <w:pStyle w:val="TableText"/>
              <w:jc w:val="center"/>
              <w:rPr>
                <w:rFonts w:cs="Calibri"/>
                <w:szCs w:val="16"/>
              </w:rPr>
            </w:pPr>
            <w:r w:rsidRPr="00BE78CA">
              <w:rPr>
                <w:rFonts w:cs="Calibri"/>
                <w:szCs w:val="16"/>
              </w:rPr>
              <w:t>94.8</w:t>
            </w:r>
          </w:p>
        </w:tc>
        <w:tc>
          <w:tcPr>
            <w:tcW w:w="1456" w:type="dxa"/>
          </w:tcPr>
          <w:p w14:paraId="295020F4" w14:textId="77777777" w:rsidR="00F02481" w:rsidRPr="00BE78CA" w:rsidRDefault="00F02481" w:rsidP="00CA251C">
            <w:pPr>
              <w:pStyle w:val="TableText"/>
              <w:spacing w:after="20"/>
              <w:jc w:val="center"/>
              <w:rPr>
                <w:rFonts w:cs="Calibri"/>
                <w:szCs w:val="16"/>
              </w:rPr>
            </w:pPr>
            <w:r w:rsidRPr="00BE78CA">
              <w:rPr>
                <w:rFonts w:cs="Calibri"/>
                <w:szCs w:val="16"/>
              </w:rPr>
              <w:t>51.0 (pasture)</w:t>
            </w:r>
          </w:p>
          <w:p w14:paraId="020D0670" w14:textId="77777777" w:rsidR="00F02481" w:rsidRPr="00BE78CA" w:rsidRDefault="00F02481" w:rsidP="00C26084">
            <w:pPr>
              <w:pStyle w:val="TableText"/>
              <w:spacing w:before="0"/>
              <w:jc w:val="center"/>
              <w:rPr>
                <w:rFonts w:cs="Calibri"/>
                <w:szCs w:val="16"/>
              </w:rPr>
            </w:pPr>
            <w:r w:rsidRPr="00BE78CA">
              <w:rPr>
                <w:rFonts w:cs="Calibri"/>
                <w:szCs w:val="16"/>
              </w:rPr>
              <w:t>66.7 (feedlot)</w:t>
            </w:r>
          </w:p>
        </w:tc>
        <w:tc>
          <w:tcPr>
            <w:tcW w:w="1487" w:type="dxa"/>
          </w:tcPr>
          <w:p w14:paraId="48BCA957" w14:textId="77777777" w:rsidR="00F02481" w:rsidRPr="00BE78CA" w:rsidRDefault="00F02481" w:rsidP="00C26084">
            <w:pPr>
              <w:pStyle w:val="TableText"/>
              <w:jc w:val="center"/>
              <w:rPr>
                <w:rFonts w:cs="Calibri"/>
                <w:szCs w:val="16"/>
              </w:rPr>
            </w:pPr>
            <w:r w:rsidRPr="00BE78CA">
              <w:rPr>
                <w:rFonts w:cs="Calibri"/>
                <w:szCs w:val="16"/>
              </w:rPr>
              <w:t>6.7</w:t>
            </w:r>
          </w:p>
        </w:tc>
      </w:tr>
      <w:tr w:rsidR="00F02481" w:rsidRPr="00BE78CA" w14:paraId="71E2E70C" w14:textId="77777777" w:rsidTr="00416320">
        <w:trPr>
          <w:trHeight w:val="36"/>
        </w:trPr>
        <w:tc>
          <w:tcPr>
            <w:tcW w:w="2892" w:type="dxa"/>
          </w:tcPr>
          <w:p w14:paraId="45E6B40E" w14:textId="77777777" w:rsidR="00F02481" w:rsidRPr="00BE78CA" w:rsidRDefault="00F02481" w:rsidP="00C26084">
            <w:pPr>
              <w:pStyle w:val="TableText"/>
              <w:rPr>
                <w:rFonts w:cs="Calibri"/>
                <w:szCs w:val="16"/>
              </w:rPr>
            </w:pPr>
            <w:r w:rsidRPr="00BE78CA">
              <w:rPr>
                <w:rFonts w:cs="Calibri"/>
                <w:szCs w:val="16"/>
              </w:rPr>
              <w:t>New Zealand-specific IEF 2019 value</w:t>
            </w:r>
          </w:p>
        </w:tc>
        <w:tc>
          <w:tcPr>
            <w:tcW w:w="2665" w:type="dxa"/>
          </w:tcPr>
          <w:p w14:paraId="3E96647D" w14:textId="77777777" w:rsidR="00F02481" w:rsidRPr="00BE78CA" w:rsidRDefault="00F02481" w:rsidP="00C26084">
            <w:pPr>
              <w:pStyle w:val="TableText"/>
              <w:spacing w:after="0"/>
              <w:jc w:val="center"/>
              <w:rPr>
                <w:rFonts w:cs="Calibri"/>
                <w:szCs w:val="16"/>
              </w:rPr>
            </w:pPr>
            <w:r w:rsidRPr="00BE78CA">
              <w:rPr>
                <w:rFonts w:cs="Calibri"/>
                <w:szCs w:val="16"/>
              </w:rPr>
              <w:t>89.5 (all dairy cattle, including calves)</w:t>
            </w:r>
          </w:p>
          <w:p w14:paraId="2A99DC5D" w14:textId="77777777" w:rsidR="00F02481" w:rsidRPr="00BE78CA" w:rsidRDefault="00F02481" w:rsidP="00CA251C">
            <w:pPr>
              <w:pStyle w:val="TableText"/>
              <w:spacing w:before="20"/>
              <w:jc w:val="center"/>
              <w:rPr>
                <w:rFonts w:cs="Calibri"/>
                <w:szCs w:val="16"/>
              </w:rPr>
            </w:pPr>
            <w:r w:rsidRPr="00BE78CA">
              <w:rPr>
                <w:rFonts w:cs="Calibri"/>
                <w:szCs w:val="16"/>
              </w:rPr>
              <w:t>96.8 (mature milking cattle only)</w:t>
            </w:r>
          </w:p>
        </w:tc>
        <w:tc>
          <w:tcPr>
            <w:tcW w:w="1456" w:type="dxa"/>
          </w:tcPr>
          <w:p w14:paraId="6BA7A42A" w14:textId="77777777" w:rsidR="00F02481" w:rsidRPr="00BE78CA" w:rsidRDefault="00F02481" w:rsidP="00C26084">
            <w:pPr>
              <w:pStyle w:val="TableText"/>
              <w:jc w:val="center"/>
              <w:rPr>
                <w:rFonts w:cs="Calibri"/>
                <w:szCs w:val="16"/>
              </w:rPr>
            </w:pPr>
            <w:r w:rsidRPr="00BE78CA">
              <w:rPr>
                <w:rFonts w:cs="Calibri"/>
                <w:szCs w:val="16"/>
              </w:rPr>
              <w:t>60.6</w:t>
            </w:r>
          </w:p>
        </w:tc>
        <w:tc>
          <w:tcPr>
            <w:tcW w:w="1487" w:type="dxa"/>
          </w:tcPr>
          <w:p w14:paraId="1951CAEF" w14:textId="77777777" w:rsidR="00F02481" w:rsidRPr="00BE78CA" w:rsidDel="00176609" w:rsidRDefault="00F02481" w:rsidP="00C26084">
            <w:pPr>
              <w:pStyle w:val="TableText"/>
              <w:jc w:val="center"/>
              <w:rPr>
                <w:rFonts w:cs="Calibri"/>
                <w:szCs w:val="16"/>
              </w:rPr>
            </w:pPr>
            <w:r w:rsidRPr="00BE78CA">
              <w:rPr>
                <w:rFonts w:cs="Calibri"/>
                <w:szCs w:val="16"/>
              </w:rPr>
              <w:t>12.7</w:t>
            </w:r>
          </w:p>
        </w:tc>
      </w:tr>
    </w:tbl>
    <w:p w14:paraId="28C6A85A" w14:textId="77777777" w:rsidR="00F02481" w:rsidRPr="00BE78CA" w:rsidRDefault="00F02481" w:rsidP="00C26084">
      <w:pPr>
        <w:pStyle w:val="Noteundertable"/>
        <w:rPr>
          <w:rFonts w:cs="Calibri"/>
        </w:rPr>
      </w:pPr>
      <w:r w:rsidRPr="00BE78CA">
        <w:rPr>
          <w:rFonts w:cs="Calibri"/>
          <w:b/>
          <w:bCs/>
        </w:rPr>
        <w:t xml:space="preserve">Note: </w:t>
      </w:r>
      <w:r w:rsidRPr="00BE78CA">
        <w:rPr>
          <w:rFonts w:cs="Calibri"/>
          <w:b/>
        </w:rPr>
        <w:tab/>
      </w:r>
      <w:r w:rsidRPr="00BE78CA">
        <w:rPr>
          <w:rFonts w:cs="Calibri"/>
        </w:rPr>
        <w:t>The IPCC (2006) value for sheep is for developed countries.</w:t>
      </w:r>
    </w:p>
    <w:p w14:paraId="68355B3C" w14:textId="77777777" w:rsidR="00F02481" w:rsidRPr="00BE78CA" w:rsidRDefault="00F02481" w:rsidP="00C26084">
      <w:pPr>
        <w:pStyle w:val="BodyText"/>
        <w:rPr>
          <w:rFonts w:cs="Calibri"/>
        </w:rPr>
      </w:pPr>
      <w:r w:rsidRPr="00BE78CA">
        <w:rPr>
          <w:rFonts w:cs="Calibri"/>
          <w:b/>
          <w:bCs/>
          <w:i/>
          <w:iCs/>
        </w:rPr>
        <w:t>Dairy cattle:</w:t>
      </w:r>
      <w:r w:rsidRPr="00BE78CA">
        <w:rPr>
          <w:rFonts w:cs="Calibri"/>
        </w:rPr>
        <w:t xml:space="preserve"> New Zealand’s 2019 IEF for all dairy cattle, including calves, is lower than the IPCC Tier 1 Oceania default value and the Australian-specific IEF. New Zealand’s 2019 IEF for mature milking cattle is higher than the IPCC Tier 1 Oceania default value and slightly higher than the 2018 Australian-specific IEF.</w:t>
      </w:r>
    </w:p>
    <w:p w14:paraId="61FA0521" w14:textId="77777777" w:rsidR="00F02481" w:rsidRPr="00BE78CA" w:rsidRDefault="00F02481" w:rsidP="00C26084">
      <w:pPr>
        <w:pStyle w:val="BodyText"/>
        <w:rPr>
          <w:rFonts w:cs="Calibri"/>
        </w:rPr>
      </w:pPr>
      <w:r w:rsidRPr="00BE78CA">
        <w:rPr>
          <w:rFonts w:cs="Calibri"/>
        </w:rPr>
        <w:t xml:space="preserve">Although the predominantly pasture-based system in New Zealand is similar to Australian dairy cattle management, the lower IEF value could be explained by New Zealand’s higher proportion of lower liveweight cattle breeds. The 2018 Australian dairy herd comprised 70 per cent Holstein–Friesian; other breeds include Jersey, Brown Swiss, Ayrshire, the Australian Red and the Illawarra (AUSTREX, 2021). In 2019, 49 per cent of New Zealand’s cow population comprised a Holstein–Friesian/Jersey crossbreed, 33 per cent are Holstein–Friesian and 8 per cent are Jersey (LIC and DairyNZ, 2020). </w:t>
      </w:r>
    </w:p>
    <w:p w14:paraId="4FA3B840" w14:textId="77777777" w:rsidR="00F02481" w:rsidRPr="00BE78CA" w:rsidRDefault="00F02481" w:rsidP="00C26084">
      <w:pPr>
        <w:pStyle w:val="BodyText"/>
        <w:rPr>
          <w:rFonts w:cs="Calibri"/>
          <w:spacing w:val="-2"/>
        </w:rPr>
      </w:pPr>
      <w:r w:rsidRPr="00BE78CA">
        <w:rPr>
          <w:rFonts w:cs="Calibri"/>
          <w:spacing w:val="-2"/>
        </w:rPr>
        <w:t>In New Zealand’s Tier 2 inventory model, dairy cattle encompass all cattle that are required to support the milking dairy herd. This includes calves, young growing non</w:t>
      </w:r>
      <w:r w:rsidRPr="00BE78CA">
        <w:rPr>
          <w:rFonts w:cs="Calibri"/>
          <w:spacing w:val="-2"/>
        </w:rPr>
        <w:noBreakHyphen/>
        <w:t xml:space="preserve">lactating heifers, dry cows and bulls. Because the emissions from these animals are included in the IEF calculations, the IEF will be lower than if only mature milking cows had been taken into account. </w:t>
      </w:r>
    </w:p>
    <w:p w14:paraId="56E0535A" w14:textId="77777777" w:rsidR="00F02481" w:rsidRPr="00BE78CA" w:rsidRDefault="00F02481" w:rsidP="00C26084">
      <w:pPr>
        <w:pStyle w:val="BodyText"/>
        <w:rPr>
          <w:rFonts w:cs="Calibri"/>
        </w:rPr>
      </w:pPr>
      <w:r w:rsidRPr="00BE78CA">
        <w:rPr>
          <w:rFonts w:cs="Calibri"/>
        </w:rPr>
        <w:t>New Zealand’s dairy 2019 IEF is higher than the IPCC Tier 2 net energy-based value because the feeding algorithms within New Zealand’s national inventory use New Zealand-specific activity data and methodology that better reflect the pastoral-based farming systems in New Zealand.</w:t>
      </w:r>
    </w:p>
    <w:p w14:paraId="76EA974E" w14:textId="5BC98566" w:rsidR="00F02481" w:rsidRPr="00BE78CA" w:rsidRDefault="00F02481" w:rsidP="00C26084">
      <w:pPr>
        <w:pStyle w:val="BodyText"/>
        <w:rPr>
          <w:rFonts w:cs="Calibri"/>
        </w:rPr>
      </w:pPr>
      <w:r w:rsidRPr="00BE78CA">
        <w:rPr>
          <w:rFonts w:cs="Calibri"/>
          <w:b/>
          <w:bCs/>
          <w:i/>
          <w:iCs/>
        </w:rPr>
        <w:t xml:space="preserve">Non-dairy </w:t>
      </w:r>
      <w:r w:rsidRPr="00BE78CA">
        <w:rPr>
          <w:rFonts w:cs="Calibri"/>
          <w:b/>
          <w:bCs/>
        </w:rPr>
        <w:t>(beef)</w:t>
      </w:r>
      <w:r w:rsidRPr="00BE78CA">
        <w:rPr>
          <w:rFonts w:cs="Calibri"/>
          <w:b/>
          <w:bCs/>
          <w:i/>
          <w:iCs/>
        </w:rPr>
        <w:t xml:space="preserve"> cattle:</w:t>
      </w:r>
      <w:r w:rsidRPr="00BE78CA">
        <w:rPr>
          <w:rFonts w:cs="Calibri"/>
        </w:rPr>
        <w:t xml:space="preserve"> The New Zealand-specific 2019 IEF for </w:t>
      </w:r>
      <w:r w:rsidR="00547F8C" w:rsidRPr="00BE78CA">
        <w:rPr>
          <w:rFonts w:cs="Calibri"/>
          <w:i/>
          <w:iCs/>
        </w:rPr>
        <w:t>N</w:t>
      </w:r>
      <w:r w:rsidRPr="00BE78CA">
        <w:rPr>
          <w:rFonts w:cs="Calibri"/>
          <w:i/>
          <w:iCs/>
        </w:rPr>
        <w:t xml:space="preserve">on-dairy </w:t>
      </w:r>
      <w:r w:rsidRPr="00BE78CA">
        <w:rPr>
          <w:rFonts w:cs="Calibri"/>
        </w:rPr>
        <w:t>(beef)</w:t>
      </w:r>
      <w:r w:rsidRPr="00BE78CA">
        <w:rPr>
          <w:rFonts w:cs="Calibri"/>
          <w:i/>
          <w:iCs/>
        </w:rPr>
        <w:t xml:space="preserve"> cattle</w:t>
      </w:r>
      <w:r w:rsidRPr="00BE78CA">
        <w:rPr>
          <w:rFonts w:cs="Calibri"/>
        </w:rPr>
        <w:t xml:space="preserve"> is similar to the IPCC Tier 1 Oceania default value but greater than the IPCC Tier 2 net energy-based value. Differences such as feed type and quality, breed and which animals are characterised as non</w:t>
      </w:r>
      <w:r w:rsidRPr="00BE78CA">
        <w:rPr>
          <w:rFonts w:cs="Calibri"/>
        </w:rPr>
        <w:noBreakHyphen/>
        <w:t>dairy will influence the IEFs. As explained for dairy cattle above, the main difference between the IPCC Tier 2 value and the New Zealand-specific value (apart from the different energy equations determining them) is that the feeding algorithms within New Zealand’s national inventory use New Zealand-specific activity data and methodology that better reflect New Zealand’s outdoor pastoral-based farming systems.</w:t>
      </w:r>
    </w:p>
    <w:p w14:paraId="20BB95F5" w14:textId="77777777" w:rsidR="00F02481" w:rsidRPr="00BE78CA" w:rsidRDefault="00F02481" w:rsidP="00C26084">
      <w:pPr>
        <w:pStyle w:val="BodyText"/>
        <w:keepLines/>
        <w:rPr>
          <w:rFonts w:cs="Calibri"/>
        </w:rPr>
      </w:pPr>
      <w:r w:rsidRPr="00BE78CA">
        <w:rPr>
          <w:rFonts w:cs="Calibri"/>
          <w:b/>
          <w:bCs/>
          <w:i/>
          <w:iCs/>
        </w:rPr>
        <w:lastRenderedPageBreak/>
        <w:t>Sheep:</w:t>
      </w:r>
      <w:r w:rsidRPr="00BE78CA">
        <w:rPr>
          <w:rFonts w:cs="Calibri"/>
        </w:rPr>
        <w:t xml:space="preserve"> New Zealand’s 2019 IEF for sheep is higher than the IPCC Tier 1 default value and higher than the 2018 Australian-specific IEF. This is because the annual sheep population figure used to calculate the IEF is based on the June population, in winter. This count excludes the majority of lambs, born in spring (August–September) and raised and slaughtered during summer and early autumn (February, March and April). New Zealand does take lambs into account when determining annual enteric CH</w:t>
      </w:r>
      <w:r w:rsidRPr="00BE78CA">
        <w:rPr>
          <w:rFonts w:cs="Calibri"/>
          <w:vertAlign w:val="subscript"/>
        </w:rPr>
        <w:t>4</w:t>
      </w:r>
      <w:r w:rsidRPr="00BE78CA">
        <w:rPr>
          <w:rFonts w:cs="Calibri"/>
        </w:rPr>
        <w:t xml:space="preserve"> emissions because emissions are calculated monthly, but it does not include the lamb population when estimating the IEF. This results in the 2019 calculated sheep IEF being higher than the IPCC default IEF. The IPCC Tier 2 net energy-based sheep IEF is lower than New Zealand’s-specific 2019 sheep IEF. The difference can be explained by the same rationale as put forward for cattle.</w:t>
      </w:r>
    </w:p>
    <w:p w14:paraId="57748CFA" w14:textId="77777777" w:rsidR="00F02481" w:rsidRPr="00BE78CA" w:rsidRDefault="00F02481" w:rsidP="00C26084">
      <w:pPr>
        <w:pStyle w:val="Heading4"/>
      </w:pPr>
      <w:r w:rsidRPr="00BE78CA">
        <w:t>Verifying regional methane emissions using inverse modelling techniques</w:t>
      </w:r>
    </w:p>
    <w:p w14:paraId="2D513CC5" w14:textId="23A36653" w:rsidR="00F02481" w:rsidRPr="00BE78CA" w:rsidRDefault="00F02481" w:rsidP="00C26084">
      <w:pPr>
        <w:pStyle w:val="BodyText"/>
      </w:pPr>
      <w:r w:rsidRPr="00BE78CA">
        <w:t>New Zealand has made a significant investment in developing country-specific methods and emission factors to estimate CH</w:t>
      </w:r>
      <w:r w:rsidRPr="00BE78CA">
        <w:rPr>
          <w:vertAlign w:val="subscript"/>
        </w:rPr>
        <w:t>4</w:t>
      </w:r>
      <w:r w:rsidRPr="00BE78CA">
        <w:t xml:space="preserve"> emissions from ruminant animals. Present CH</w:t>
      </w:r>
      <w:r w:rsidRPr="00BE78CA">
        <w:rPr>
          <w:vertAlign w:val="subscript"/>
        </w:rPr>
        <w:t>4</w:t>
      </w:r>
      <w:r w:rsidRPr="00BE78CA">
        <w:t xml:space="preserve"> emissions can</w:t>
      </w:r>
      <w:r w:rsidR="004C7114" w:rsidRPr="00BE78CA">
        <w:t> </w:t>
      </w:r>
      <w:r w:rsidRPr="00BE78CA">
        <w:t>be robustly calculated from estimates of animal DMI and emission factors, but large-scale verification of the efficacy of mitigation technologies in the field present a challenge. A possible solution is inverse modelling of emissions, based on atmospheric greenhouse gas measurements from a network of observing stations, combined with models that describe the pathway the air took before arriving at the station to infer regional to national greenhouse gas emissions or uptake. The inversion is conducted by taking all existing data, the initial estimates of regional CH</w:t>
      </w:r>
      <w:r w:rsidRPr="00BE78CA">
        <w:rPr>
          <w:vertAlign w:val="subscript"/>
        </w:rPr>
        <w:t>4</w:t>
      </w:r>
      <w:r w:rsidRPr="00BE78CA">
        <w:t xml:space="preserve"> (a priori), observations and back trajectory modelling, to infer what the regional emissions of CH</w:t>
      </w:r>
      <w:r w:rsidRPr="00BE78CA">
        <w:rPr>
          <w:vertAlign w:val="subscript"/>
        </w:rPr>
        <w:t>4</w:t>
      </w:r>
      <w:r w:rsidRPr="00BE78CA">
        <w:t xml:space="preserve"> were.</w:t>
      </w:r>
    </w:p>
    <w:p w14:paraId="20952543" w14:textId="77777777" w:rsidR="00F02481" w:rsidRPr="00BE78CA" w:rsidRDefault="00F02481" w:rsidP="00C26084">
      <w:pPr>
        <w:pStyle w:val="BodyText"/>
      </w:pPr>
      <w:r w:rsidRPr="00BE78CA">
        <w:t xml:space="preserve">In a recently completed research project (Geddes et al., 2020), atmospheric inverse modelling was tested on regional and national emission estimates for 2011 to 2013 and 2018 using data collected from the National Institute of Water and Atmospheric Research observing stations at Lauder and Baring Head. </w:t>
      </w:r>
    </w:p>
    <w:p w14:paraId="14C35110" w14:textId="77777777" w:rsidR="00F02481" w:rsidRPr="00BE78CA" w:rsidRDefault="00F02481" w:rsidP="00C26084">
      <w:pPr>
        <w:pStyle w:val="BodyText"/>
      </w:pPr>
      <w:r w:rsidRPr="00BE78CA">
        <w:t>The emission estimates from this research are underpinned by several key resources: (i) an initial estimate of monthly CH</w:t>
      </w:r>
      <w:r w:rsidRPr="00BE78CA">
        <w:rPr>
          <w:vertAlign w:val="subscript"/>
        </w:rPr>
        <w:t>4</w:t>
      </w:r>
      <w:r w:rsidRPr="00BE78CA">
        <w:t xml:space="preserve"> emissions and distributions; (ii) atmospheric CH</w:t>
      </w:r>
      <w:r w:rsidRPr="00BE78CA">
        <w:rPr>
          <w:vertAlign w:val="subscript"/>
        </w:rPr>
        <w:t>4</w:t>
      </w:r>
      <w:r w:rsidRPr="00BE78CA">
        <w:t xml:space="preserve"> measurements at an inland and a background (baseline CH</w:t>
      </w:r>
      <w:r w:rsidRPr="00BE78CA">
        <w:rPr>
          <w:vertAlign w:val="subscript"/>
        </w:rPr>
        <w:t>4</w:t>
      </w:r>
      <w:r w:rsidRPr="00BE78CA">
        <w:t xml:space="preserve"> levels) site; (iii) an atmospheric transport model that describes the pathway air took before arriving at the observing sites; and (iv) an inverse method that estimates the best combination of emissions to match the available data. </w:t>
      </w:r>
    </w:p>
    <w:p w14:paraId="24097E7F" w14:textId="77777777" w:rsidR="00F02481" w:rsidRPr="00BE78CA" w:rsidRDefault="00F02481" w:rsidP="00C26084">
      <w:pPr>
        <w:pStyle w:val="BodyText"/>
      </w:pPr>
      <w:r w:rsidRPr="00BE78CA">
        <w:t>Due to the lack of sensitivity of the atmospheric observing network to North Island CH</w:t>
      </w:r>
      <w:r w:rsidRPr="00BE78CA">
        <w:rPr>
          <w:vertAlign w:val="subscript"/>
        </w:rPr>
        <w:t>4</w:t>
      </w:r>
      <w:r w:rsidRPr="00BE78CA">
        <w:t xml:space="preserve"> emissions, calculated emissions for the South Island using the inverse model were more defensible than estimates for the North Island. For the South Island, estimated emissions using this technique were found to be comparable with those reported using inventory methods and data. The analysis showed that the atmospheric observations are adding new information that can be used to validate and enhance the Agriculture inventory. The inverse approach has the potential to shed light on seasonal and inter-annual variability and detect emission changes. </w:t>
      </w:r>
    </w:p>
    <w:p w14:paraId="1B46A402" w14:textId="77777777" w:rsidR="00F02481" w:rsidRPr="00BE78CA" w:rsidRDefault="00F02481" w:rsidP="00C26084">
      <w:pPr>
        <w:pStyle w:val="BodyText"/>
      </w:pPr>
      <w:r w:rsidRPr="00BE78CA">
        <w:t>The accuracy of these estimates will be improved by the addition of more observations, the installation of additional sites, and further quality control. An expansion of New Zealand’s national CH</w:t>
      </w:r>
      <w:r w:rsidRPr="00BE78CA">
        <w:rPr>
          <w:vertAlign w:val="subscript"/>
        </w:rPr>
        <w:t>4</w:t>
      </w:r>
      <w:r w:rsidRPr="00BE78CA">
        <w:t xml:space="preserve"> observing network from two sites to eight sites is currently under way through the CarbonWatch NZ research programme. Satellites could also be a useful adjunct to allow further analysis of historical emissions and to constrain emissions where ground-based measurements are challenging (Geddes et al., 2020).</w:t>
      </w:r>
      <w:bookmarkStart w:id="658" w:name="_Toc139253921"/>
      <w:bookmarkStart w:id="659" w:name="_Toc32570655"/>
    </w:p>
    <w:p w14:paraId="000E9A5A" w14:textId="77777777" w:rsidR="00F02481" w:rsidRPr="00BE78CA" w:rsidRDefault="00F02481" w:rsidP="00C26084">
      <w:pPr>
        <w:pStyle w:val="Heading3"/>
        <w:spacing w:before="320"/>
        <w:rPr>
          <w:rFonts w:cs="Calibri"/>
        </w:rPr>
      </w:pPr>
      <w:r w:rsidRPr="00BE78CA">
        <w:rPr>
          <w:rFonts w:cs="Calibri"/>
        </w:rPr>
        <w:lastRenderedPageBreak/>
        <w:t>5.2.5</w:t>
      </w:r>
      <w:r w:rsidRPr="00BE78CA">
        <w:rPr>
          <w:rFonts w:cs="Calibri"/>
        </w:rPr>
        <w:tab/>
        <w:t>Source-specific recalculations</w:t>
      </w:r>
      <w:bookmarkEnd w:id="658"/>
      <w:bookmarkEnd w:id="659"/>
    </w:p>
    <w:p w14:paraId="4B4415F5" w14:textId="77777777" w:rsidR="00F02481" w:rsidRPr="00BE78CA" w:rsidRDefault="00F02481" w:rsidP="00C26084">
      <w:pPr>
        <w:pStyle w:val="Heading5"/>
        <w:rPr>
          <w:rFonts w:cs="Calibri"/>
        </w:rPr>
      </w:pPr>
      <w:r w:rsidRPr="00BE78CA">
        <w:rPr>
          <w:rFonts w:cs="Calibri"/>
        </w:rPr>
        <w:t>Adoption of updated pasture quality data</w:t>
      </w:r>
    </w:p>
    <w:p w14:paraId="0E0B38BE" w14:textId="77777777" w:rsidR="00F02481" w:rsidRPr="00BE78CA" w:rsidRDefault="00F02481" w:rsidP="00C26084">
      <w:pPr>
        <w:pStyle w:val="BodyText"/>
        <w:rPr>
          <w:lang w:eastAsia="zh-CN"/>
        </w:rPr>
      </w:pPr>
      <w:bookmarkStart w:id="660" w:name="_Toc139253922"/>
      <w:r w:rsidRPr="00BE78CA">
        <w:rPr>
          <w:lang w:eastAsia="zh-CN"/>
        </w:rPr>
        <w:t xml:space="preserve">Emissions estimates in the </w:t>
      </w:r>
      <w:r w:rsidRPr="00BE78CA">
        <w:rPr>
          <w:i/>
          <w:iCs/>
          <w:lang w:eastAsia="zh-CN"/>
        </w:rPr>
        <w:t>Enteric fermentation</w:t>
      </w:r>
      <w:r w:rsidRPr="00BE78CA">
        <w:rPr>
          <w:lang w:eastAsia="zh-CN"/>
        </w:rPr>
        <w:t xml:space="preserve"> category in 2021 have been improved by the adoption of updated pasture quality data for </w:t>
      </w:r>
      <w:r w:rsidRPr="00BE78CA">
        <w:rPr>
          <w:i/>
          <w:iCs/>
          <w:lang w:eastAsia="zh-CN"/>
        </w:rPr>
        <w:t>Dairy cattle</w:t>
      </w:r>
      <w:r w:rsidRPr="00BE78CA">
        <w:rPr>
          <w:lang w:eastAsia="zh-CN"/>
        </w:rPr>
        <w:t xml:space="preserve">, </w:t>
      </w:r>
      <w:r w:rsidRPr="00BE78CA">
        <w:rPr>
          <w:i/>
          <w:iCs/>
          <w:lang w:eastAsia="zh-CN"/>
        </w:rPr>
        <w:t xml:space="preserve">Non-dairy </w:t>
      </w:r>
      <w:r w:rsidRPr="00BE78CA">
        <w:rPr>
          <w:lang w:eastAsia="zh-CN"/>
        </w:rPr>
        <w:t>(beef)</w:t>
      </w:r>
      <w:r w:rsidRPr="00BE78CA">
        <w:rPr>
          <w:i/>
          <w:iCs/>
          <w:lang w:eastAsia="zh-CN"/>
        </w:rPr>
        <w:t xml:space="preserve"> cattle</w:t>
      </w:r>
      <w:r w:rsidRPr="00BE78CA">
        <w:rPr>
          <w:lang w:eastAsia="zh-CN"/>
        </w:rPr>
        <w:t xml:space="preserve">, </w:t>
      </w:r>
      <w:r w:rsidRPr="00BE78CA">
        <w:rPr>
          <w:i/>
          <w:iCs/>
          <w:lang w:eastAsia="zh-CN"/>
        </w:rPr>
        <w:t>Sheep and deer</w:t>
      </w:r>
      <w:r w:rsidRPr="00BE78CA">
        <w:rPr>
          <w:lang w:eastAsia="zh-CN"/>
        </w:rPr>
        <w:t xml:space="preserve"> animal categories.</w:t>
      </w:r>
    </w:p>
    <w:p w14:paraId="5F8C7EE1" w14:textId="77777777" w:rsidR="00F02481" w:rsidRPr="00BE78CA" w:rsidRDefault="00F02481" w:rsidP="00C26084">
      <w:pPr>
        <w:pStyle w:val="Table"/>
        <w:rPr>
          <w:rFonts w:cs="Calibri"/>
        </w:rPr>
      </w:pPr>
      <w:bookmarkStart w:id="661" w:name="_Toc68786439"/>
      <w:r w:rsidRPr="00BE78CA">
        <w:rPr>
          <w:rFonts w:cs="Calibri"/>
        </w:rPr>
        <w:t>Table 5.2.6</w:t>
      </w:r>
      <w:r w:rsidRPr="00BE78CA">
        <w:rPr>
          <w:rFonts w:cs="Calibri"/>
        </w:rPr>
        <w:tab/>
        <w:t>Comparison of current and previous emissions estimates for enteric fermentation before and after the adoption of updated pasture quality data</w:t>
      </w:r>
      <w:bookmarkEnd w:id="661"/>
      <w:r w:rsidRPr="00BE78CA">
        <w:rPr>
          <w:rFonts w:cs="Calibri"/>
        </w:rPr>
        <w:t xml:space="preserve"> </w:t>
      </w:r>
    </w:p>
    <w:tbl>
      <w:tblPr>
        <w:tblW w:w="8562" w:type="dxa"/>
        <w:tblBorders>
          <w:top w:val="single" w:sz="4" w:space="0" w:color="365F91"/>
          <w:bottom w:val="single" w:sz="4" w:space="0" w:color="365F91"/>
          <w:insideH w:val="single" w:sz="4" w:space="0" w:color="365F91"/>
        </w:tblBorders>
        <w:tblLayout w:type="fixed"/>
        <w:tblLook w:val="0000" w:firstRow="0" w:lastRow="0" w:firstColumn="0" w:lastColumn="0" w:noHBand="0" w:noVBand="0"/>
      </w:tblPr>
      <w:tblGrid>
        <w:gridCol w:w="1310"/>
        <w:gridCol w:w="2401"/>
        <w:gridCol w:w="856"/>
        <w:gridCol w:w="857"/>
        <w:gridCol w:w="1569"/>
        <w:gridCol w:w="1569"/>
      </w:tblGrid>
      <w:tr w:rsidR="00416320" w:rsidRPr="00BE78CA" w14:paraId="4FC2E2AC" w14:textId="77777777" w:rsidTr="00416320">
        <w:trPr>
          <w:trHeight w:val="608"/>
          <w:tblHeader/>
        </w:trPr>
        <w:tc>
          <w:tcPr>
            <w:tcW w:w="1310" w:type="dxa"/>
            <w:shd w:val="clear" w:color="auto" w:fill="365F91"/>
            <w:vAlign w:val="bottom"/>
          </w:tcPr>
          <w:p w14:paraId="2BEC5DDF" w14:textId="77777777" w:rsidR="00F02481" w:rsidRPr="00BE78CA" w:rsidRDefault="00F02481" w:rsidP="00C26084">
            <w:pPr>
              <w:pStyle w:val="TableTextBold"/>
              <w:keepNext/>
              <w:rPr>
                <w:noProof w:val="0"/>
                <w:color w:val="FFFFFF" w:themeColor="background1"/>
                <w:szCs w:val="16"/>
              </w:rPr>
            </w:pPr>
            <w:r w:rsidRPr="00BE78CA">
              <w:rPr>
                <w:noProof w:val="0"/>
                <w:color w:val="FFFFFF" w:themeColor="background1"/>
                <w:szCs w:val="16"/>
              </w:rPr>
              <w:t xml:space="preserve">Emissions </w:t>
            </w:r>
            <w:r w:rsidRPr="00BE78CA">
              <w:rPr>
                <w:noProof w:val="0"/>
                <w:color w:val="FFFFFF" w:themeColor="background1"/>
                <w:szCs w:val="16"/>
              </w:rPr>
              <w:br/>
              <w:t>(kt CO</w:t>
            </w:r>
            <w:r w:rsidRPr="00BE78CA">
              <w:rPr>
                <w:noProof w:val="0"/>
                <w:color w:val="FFFFFF" w:themeColor="background1"/>
                <w:szCs w:val="16"/>
                <w:vertAlign w:val="subscript"/>
              </w:rPr>
              <w:t>2</w:t>
            </w:r>
            <w:r w:rsidRPr="00BE78CA">
              <w:rPr>
                <w:noProof w:val="0"/>
                <w:color w:val="FFFFFF" w:themeColor="background1"/>
                <w:szCs w:val="16"/>
              </w:rPr>
              <w:t>-e)</w:t>
            </w:r>
          </w:p>
        </w:tc>
        <w:tc>
          <w:tcPr>
            <w:tcW w:w="2401" w:type="dxa"/>
            <w:shd w:val="clear" w:color="auto" w:fill="365F91"/>
            <w:vAlign w:val="bottom"/>
          </w:tcPr>
          <w:p w14:paraId="25DA0F93" w14:textId="77777777" w:rsidR="00F02481" w:rsidRPr="00BE78CA" w:rsidRDefault="00F02481" w:rsidP="00C26084">
            <w:pPr>
              <w:pStyle w:val="TableTextBold"/>
              <w:keepNext/>
              <w:rPr>
                <w:noProof w:val="0"/>
                <w:color w:val="FFFFFF" w:themeColor="background1"/>
                <w:szCs w:val="16"/>
              </w:rPr>
            </w:pPr>
          </w:p>
        </w:tc>
        <w:tc>
          <w:tcPr>
            <w:tcW w:w="856" w:type="dxa"/>
            <w:shd w:val="clear" w:color="auto" w:fill="365F91"/>
            <w:vAlign w:val="bottom"/>
          </w:tcPr>
          <w:p w14:paraId="399452E5" w14:textId="77777777" w:rsidR="00F02481" w:rsidRPr="00BE78CA" w:rsidRDefault="00F02481" w:rsidP="00C26084">
            <w:pPr>
              <w:pStyle w:val="TableTextBold"/>
              <w:keepNext/>
              <w:jc w:val="center"/>
              <w:rPr>
                <w:noProof w:val="0"/>
                <w:color w:val="FFFFFF" w:themeColor="background1"/>
                <w:szCs w:val="16"/>
              </w:rPr>
            </w:pPr>
            <w:r w:rsidRPr="00BE78CA">
              <w:rPr>
                <w:noProof w:val="0"/>
                <w:color w:val="FFFFFF" w:themeColor="background1"/>
                <w:szCs w:val="16"/>
              </w:rPr>
              <w:t>1990</w:t>
            </w:r>
          </w:p>
        </w:tc>
        <w:tc>
          <w:tcPr>
            <w:tcW w:w="857" w:type="dxa"/>
            <w:shd w:val="clear" w:color="auto" w:fill="365F91"/>
            <w:vAlign w:val="bottom"/>
          </w:tcPr>
          <w:p w14:paraId="0A3CE287" w14:textId="77777777" w:rsidR="00F02481" w:rsidRPr="00BE78CA" w:rsidRDefault="00F02481" w:rsidP="00C26084">
            <w:pPr>
              <w:pStyle w:val="TableTextBold"/>
              <w:jc w:val="center"/>
              <w:rPr>
                <w:noProof w:val="0"/>
                <w:color w:val="FFFFFF" w:themeColor="background1"/>
                <w:szCs w:val="16"/>
              </w:rPr>
            </w:pPr>
            <w:r w:rsidRPr="00BE78CA">
              <w:rPr>
                <w:noProof w:val="0"/>
                <w:color w:val="FFFFFF" w:themeColor="background1"/>
                <w:szCs w:val="16"/>
              </w:rPr>
              <w:t>2019</w:t>
            </w:r>
          </w:p>
        </w:tc>
        <w:tc>
          <w:tcPr>
            <w:tcW w:w="1569" w:type="dxa"/>
            <w:shd w:val="clear" w:color="auto" w:fill="365F91"/>
            <w:vAlign w:val="bottom"/>
          </w:tcPr>
          <w:p w14:paraId="5CCB0585" w14:textId="77777777" w:rsidR="00F02481" w:rsidRPr="00BE78CA" w:rsidRDefault="00F02481" w:rsidP="00C26084">
            <w:pPr>
              <w:pStyle w:val="TableTextBold"/>
              <w:jc w:val="center"/>
              <w:rPr>
                <w:noProof w:val="0"/>
                <w:color w:val="FFFFFF" w:themeColor="background1"/>
                <w:szCs w:val="16"/>
              </w:rPr>
            </w:pPr>
            <w:r w:rsidRPr="00BE78CA">
              <w:rPr>
                <w:noProof w:val="0"/>
                <w:color w:val="FFFFFF" w:themeColor="background1"/>
                <w:szCs w:val="16"/>
              </w:rPr>
              <w:t xml:space="preserve">Change in emission outputs between 1990 and 2019 </w:t>
            </w:r>
            <w:r w:rsidRPr="00BE78CA">
              <w:rPr>
                <w:noProof w:val="0"/>
                <w:color w:val="FFFFFF" w:themeColor="background1"/>
                <w:szCs w:val="16"/>
              </w:rPr>
              <w:br/>
              <w:t>(kt CO</w:t>
            </w:r>
            <w:r w:rsidRPr="00BE78CA">
              <w:rPr>
                <w:noProof w:val="0"/>
                <w:color w:val="FFFFFF" w:themeColor="background1"/>
                <w:szCs w:val="16"/>
                <w:vertAlign w:val="subscript"/>
              </w:rPr>
              <w:t>2</w:t>
            </w:r>
            <w:r w:rsidRPr="00BE78CA">
              <w:rPr>
                <w:noProof w:val="0"/>
                <w:color w:val="FFFFFF" w:themeColor="background1"/>
                <w:szCs w:val="16"/>
              </w:rPr>
              <w:t xml:space="preserve">-e) </w:t>
            </w:r>
          </w:p>
        </w:tc>
        <w:tc>
          <w:tcPr>
            <w:tcW w:w="1569" w:type="dxa"/>
            <w:shd w:val="clear" w:color="auto" w:fill="365F91"/>
            <w:vAlign w:val="bottom"/>
          </w:tcPr>
          <w:p w14:paraId="739FAD29" w14:textId="77777777" w:rsidR="00F02481" w:rsidRPr="00BE78CA" w:rsidRDefault="00F02481" w:rsidP="00C26084">
            <w:pPr>
              <w:pStyle w:val="TableTextBold"/>
              <w:jc w:val="center"/>
              <w:rPr>
                <w:noProof w:val="0"/>
                <w:color w:val="FFFFFF" w:themeColor="background1"/>
                <w:szCs w:val="16"/>
              </w:rPr>
            </w:pPr>
            <w:r w:rsidRPr="00BE78CA">
              <w:rPr>
                <w:noProof w:val="0"/>
                <w:color w:val="FFFFFF" w:themeColor="background1"/>
                <w:szCs w:val="16"/>
              </w:rPr>
              <w:t xml:space="preserve">Percentage change in emission outputs between </w:t>
            </w:r>
            <w:r w:rsidRPr="00BE78CA">
              <w:rPr>
                <w:noProof w:val="0"/>
                <w:color w:val="FFFFFF" w:themeColor="background1"/>
                <w:szCs w:val="16"/>
              </w:rPr>
              <w:br/>
              <w:t>1990 and 2019</w:t>
            </w:r>
          </w:p>
        </w:tc>
      </w:tr>
      <w:tr w:rsidR="00F02481" w:rsidRPr="00BE78CA" w14:paraId="3E087114" w14:textId="77777777" w:rsidTr="00416320">
        <w:trPr>
          <w:trHeight w:val="454"/>
        </w:trPr>
        <w:tc>
          <w:tcPr>
            <w:tcW w:w="1310" w:type="dxa"/>
            <w:vMerge w:val="restart"/>
            <w:vAlign w:val="center"/>
          </w:tcPr>
          <w:p w14:paraId="027EC62B" w14:textId="77777777" w:rsidR="00F02481" w:rsidRPr="00BE78CA" w:rsidRDefault="00F02481" w:rsidP="00C26084">
            <w:pPr>
              <w:pStyle w:val="TableText"/>
              <w:keepNext/>
              <w:rPr>
                <w:rFonts w:cs="Calibri"/>
                <w:szCs w:val="16"/>
              </w:rPr>
            </w:pPr>
            <w:r w:rsidRPr="00BE78CA">
              <w:rPr>
                <w:rFonts w:cs="Calibri"/>
                <w:szCs w:val="16"/>
              </w:rPr>
              <w:t>Total emissions from Enteric fermentation (kt CO</w:t>
            </w:r>
            <w:r w:rsidRPr="00BE78CA">
              <w:rPr>
                <w:rFonts w:cs="Calibri"/>
                <w:szCs w:val="16"/>
                <w:vertAlign w:val="subscript"/>
              </w:rPr>
              <w:t>2</w:t>
            </w:r>
            <w:r w:rsidRPr="00BE78CA">
              <w:rPr>
                <w:rFonts w:cs="Calibri"/>
                <w:szCs w:val="16"/>
              </w:rPr>
              <w:t>-e)</w:t>
            </w:r>
          </w:p>
        </w:tc>
        <w:tc>
          <w:tcPr>
            <w:tcW w:w="2401" w:type="dxa"/>
          </w:tcPr>
          <w:p w14:paraId="5484FF64" w14:textId="77777777" w:rsidR="00F02481" w:rsidRPr="00BE78CA" w:rsidRDefault="00F02481" w:rsidP="00C26084">
            <w:pPr>
              <w:pStyle w:val="TableText"/>
              <w:keepNext/>
              <w:rPr>
                <w:rFonts w:cs="Calibri"/>
                <w:szCs w:val="16"/>
              </w:rPr>
            </w:pPr>
            <w:r w:rsidRPr="00BE78CA">
              <w:rPr>
                <w:rFonts w:cs="Calibri"/>
                <w:szCs w:val="16"/>
              </w:rPr>
              <w:t>2021 (1990–2019) emissions estimate using</w:t>
            </w:r>
            <w:r w:rsidRPr="00BE78CA">
              <w:rPr>
                <w:rFonts w:cs="Calibri"/>
                <w:i/>
                <w:iCs/>
                <w:szCs w:val="16"/>
              </w:rPr>
              <w:t xml:space="preserve"> previous </w:t>
            </w:r>
            <w:r w:rsidRPr="00BE78CA">
              <w:rPr>
                <w:rFonts w:cs="Calibri"/>
              </w:rPr>
              <w:t>pasture quality values</w:t>
            </w:r>
          </w:p>
        </w:tc>
        <w:tc>
          <w:tcPr>
            <w:tcW w:w="856" w:type="dxa"/>
          </w:tcPr>
          <w:p w14:paraId="0D4679C6" w14:textId="77777777" w:rsidR="00F02481" w:rsidRPr="00BE78CA" w:rsidRDefault="00F02481" w:rsidP="00C26084">
            <w:pPr>
              <w:pStyle w:val="TableText"/>
              <w:keepNext/>
              <w:jc w:val="center"/>
              <w:rPr>
                <w:rFonts w:cs="Calibri"/>
                <w:szCs w:val="16"/>
              </w:rPr>
            </w:pPr>
            <w:r w:rsidRPr="00BE78CA">
              <w:t>26,548.0</w:t>
            </w:r>
          </w:p>
        </w:tc>
        <w:tc>
          <w:tcPr>
            <w:tcW w:w="857" w:type="dxa"/>
          </w:tcPr>
          <w:p w14:paraId="63BA4E42" w14:textId="77777777" w:rsidR="00F02481" w:rsidRPr="00BE78CA" w:rsidRDefault="00F02481" w:rsidP="00C26084">
            <w:pPr>
              <w:pStyle w:val="TableText"/>
              <w:jc w:val="center"/>
              <w:rPr>
                <w:rFonts w:cs="Calibri"/>
                <w:szCs w:val="16"/>
              </w:rPr>
            </w:pPr>
            <w:r w:rsidRPr="00BE78CA">
              <w:t>28,070.2</w:t>
            </w:r>
          </w:p>
        </w:tc>
        <w:tc>
          <w:tcPr>
            <w:tcW w:w="1569" w:type="dxa"/>
          </w:tcPr>
          <w:p w14:paraId="7D59360E" w14:textId="77777777" w:rsidR="00F02481" w:rsidRPr="00BE78CA" w:rsidRDefault="00F02481" w:rsidP="00C26084">
            <w:pPr>
              <w:pStyle w:val="TableText"/>
              <w:jc w:val="center"/>
              <w:rPr>
                <w:rFonts w:cs="Calibri"/>
                <w:szCs w:val="16"/>
              </w:rPr>
            </w:pPr>
            <w:r w:rsidRPr="00BE78CA">
              <w:t>1,522.2</w:t>
            </w:r>
          </w:p>
        </w:tc>
        <w:tc>
          <w:tcPr>
            <w:tcW w:w="1569" w:type="dxa"/>
          </w:tcPr>
          <w:p w14:paraId="627BAF7E" w14:textId="77777777" w:rsidR="00F02481" w:rsidRPr="00BE78CA" w:rsidRDefault="00F02481" w:rsidP="00C26084">
            <w:pPr>
              <w:pStyle w:val="TableText"/>
              <w:jc w:val="center"/>
              <w:rPr>
                <w:rFonts w:cs="Calibri"/>
                <w:szCs w:val="16"/>
              </w:rPr>
            </w:pPr>
            <w:r w:rsidRPr="00BE78CA">
              <w:t>5.7</w:t>
            </w:r>
          </w:p>
        </w:tc>
      </w:tr>
      <w:tr w:rsidR="00F02481" w:rsidRPr="00BE78CA" w14:paraId="548BCBE9" w14:textId="77777777" w:rsidTr="00416320">
        <w:trPr>
          <w:trHeight w:val="454"/>
        </w:trPr>
        <w:tc>
          <w:tcPr>
            <w:tcW w:w="1310" w:type="dxa"/>
            <w:vMerge/>
          </w:tcPr>
          <w:p w14:paraId="64E6F337" w14:textId="77777777" w:rsidR="00F02481" w:rsidRPr="00BE78CA" w:rsidRDefault="00F02481" w:rsidP="00C26084">
            <w:pPr>
              <w:pStyle w:val="TableText"/>
              <w:keepNext/>
              <w:rPr>
                <w:rFonts w:cs="Calibri"/>
                <w:szCs w:val="16"/>
              </w:rPr>
            </w:pPr>
          </w:p>
        </w:tc>
        <w:tc>
          <w:tcPr>
            <w:tcW w:w="2401" w:type="dxa"/>
          </w:tcPr>
          <w:p w14:paraId="0B0D74DA" w14:textId="77777777" w:rsidR="00F02481" w:rsidRPr="00BE78CA" w:rsidRDefault="00F02481" w:rsidP="00C26084">
            <w:pPr>
              <w:pStyle w:val="TableText"/>
              <w:keepNext/>
              <w:rPr>
                <w:rFonts w:cs="Calibri"/>
                <w:szCs w:val="16"/>
              </w:rPr>
            </w:pPr>
            <w:r w:rsidRPr="00BE78CA">
              <w:rPr>
                <w:rFonts w:cs="Calibri"/>
                <w:szCs w:val="16"/>
              </w:rPr>
              <w:t xml:space="preserve">2021 (1990–2019) emissions estimate </w:t>
            </w:r>
            <w:r w:rsidRPr="00BE78CA">
              <w:rPr>
                <w:rFonts w:cs="Calibri"/>
                <w:i/>
                <w:iCs/>
                <w:szCs w:val="16"/>
              </w:rPr>
              <w:t>using new</w:t>
            </w:r>
            <w:r w:rsidRPr="00BE78CA">
              <w:rPr>
                <w:rFonts w:cs="Calibri"/>
                <w:szCs w:val="16"/>
              </w:rPr>
              <w:t xml:space="preserve"> </w:t>
            </w:r>
            <w:r w:rsidRPr="00BE78CA">
              <w:rPr>
                <w:rFonts w:cs="Calibri"/>
              </w:rPr>
              <w:t>pasture quality values</w:t>
            </w:r>
          </w:p>
        </w:tc>
        <w:tc>
          <w:tcPr>
            <w:tcW w:w="856" w:type="dxa"/>
          </w:tcPr>
          <w:p w14:paraId="1E4889F1" w14:textId="77777777" w:rsidR="00F02481" w:rsidRPr="00BE78CA" w:rsidRDefault="00F02481" w:rsidP="00C26084">
            <w:pPr>
              <w:pStyle w:val="TableText"/>
              <w:keepNext/>
              <w:jc w:val="center"/>
              <w:rPr>
                <w:rFonts w:cs="Calibri"/>
                <w:szCs w:val="16"/>
              </w:rPr>
            </w:pPr>
            <w:r w:rsidRPr="00BE78CA">
              <w:t>27,350.4</w:t>
            </w:r>
          </w:p>
        </w:tc>
        <w:tc>
          <w:tcPr>
            <w:tcW w:w="857" w:type="dxa"/>
          </w:tcPr>
          <w:p w14:paraId="5FE0A59C" w14:textId="77777777" w:rsidR="00F02481" w:rsidRPr="00BE78CA" w:rsidRDefault="00F02481" w:rsidP="00C26084">
            <w:pPr>
              <w:pStyle w:val="TableText"/>
              <w:jc w:val="center"/>
              <w:rPr>
                <w:rFonts w:cs="Calibri"/>
                <w:szCs w:val="16"/>
              </w:rPr>
            </w:pPr>
            <w:r w:rsidRPr="00BE78CA">
              <w:t>28,974.6</w:t>
            </w:r>
          </w:p>
        </w:tc>
        <w:tc>
          <w:tcPr>
            <w:tcW w:w="1569" w:type="dxa"/>
          </w:tcPr>
          <w:p w14:paraId="483E4151" w14:textId="77777777" w:rsidR="00F02481" w:rsidRPr="00BE78CA" w:rsidRDefault="00F02481" w:rsidP="00C26084">
            <w:pPr>
              <w:pStyle w:val="TableText"/>
              <w:jc w:val="center"/>
              <w:rPr>
                <w:rFonts w:cs="Calibri"/>
                <w:szCs w:val="16"/>
              </w:rPr>
            </w:pPr>
            <w:r w:rsidRPr="00BE78CA">
              <w:t>1,624.2</w:t>
            </w:r>
          </w:p>
        </w:tc>
        <w:tc>
          <w:tcPr>
            <w:tcW w:w="1569" w:type="dxa"/>
          </w:tcPr>
          <w:p w14:paraId="175C8CA1" w14:textId="77777777" w:rsidR="00F02481" w:rsidRPr="00BE78CA" w:rsidRDefault="00F02481" w:rsidP="00C26084">
            <w:pPr>
              <w:pStyle w:val="TableText"/>
              <w:jc w:val="center"/>
              <w:rPr>
                <w:rFonts w:cs="Calibri"/>
                <w:szCs w:val="16"/>
              </w:rPr>
            </w:pPr>
            <w:r w:rsidRPr="00BE78CA">
              <w:t>5.9</w:t>
            </w:r>
          </w:p>
        </w:tc>
      </w:tr>
      <w:tr w:rsidR="00F02481" w:rsidRPr="00BE78CA" w14:paraId="4D09C9FC" w14:textId="77777777" w:rsidTr="00416320">
        <w:trPr>
          <w:trHeight w:val="454"/>
        </w:trPr>
        <w:tc>
          <w:tcPr>
            <w:tcW w:w="1310" w:type="dxa"/>
            <w:vMerge/>
          </w:tcPr>
          <w:p w14:paraId="121A982B" w14:textId="77777777" w:rsidR="00F02481" w:rsidRPr="00BE78CA" w:rsidRDefault="00F02481" w:rsidP="00C26084">
            <w:pPr>
              <w:pStyle w:val="TableText"/>
              <w:keepNext/>
              <w:rPr>
                <w:rFonts w:cs="Calibri"/>
                <w:szCs w:val="16"/>
              </w:rPr>
            </w:pPr>
          </w:p>
        </w:tc>
        <w:tc>
          <w:tcPr>
            <w:tcW w:w="2401" w:type="dxa"/>
          </w:tcPr>
          <w:p w14:paraId="214C5A07" w14:textId="77777777" w:rsidR="00F02481" w:rsidRPr="00BE78CA" w:rsidRDefault="00F02481" w:rsidP="00C26084">
            <w:pPr>
              <w:pStyle w:val="TableText"/>
              <w:keepNext/>
              <w:rPr>
                <w:rFonts w:cs="Calibri"/>
                <w:szCs w:val="16"/>
              </w:rPr>
            </w:pPr>
            <w:r w:rsidRPr="00BE78CA">
              <w:rPr>
                <w:rFonts w:cs="Calibri"/>
                <w:szCs w:val="16"/>
              </w:rPr>
              <w:t>Difference in emission estimates compared with current inventory</w:t>
            </w:r>
          </w:p>
        </w:tc>
        <w:tc>
          <w:tcPr>
            <w:tcW w:w="856" w:type="dxa"/>
          </w:tcPr>
          <w:p w14:paraId="09267F0F" w14:textId="77777777" w:rsidR="00F02481" w:rsidRPr="00BE78CA" w:rsidRDefault="00F02481" w:rsidP="00C26084">
            <w:pPr>
              <w:pStyle w:val="TableText"/>
              <w:keepNext/>
              <w:jc w:val="center"/>
              <w:rPr>
                <w:rFonts w:cs="Calibri"/>
                <w:szCs w:val="16"/>
              </w:rPr>
            </w:pPr>
            <w:r w:rsidRPr="00BE78CA">
              <w:t>802.4</w:t>
            </w:r>
          </w:p>
        </w:tc>
        <w:tc>
          <w:tcPr>
            <w:tcW w:w="857" w:type="dxa"/>
          </w:tcPr>
          <w:p w14:paraId="24E524FD" w14:textId="77777777" w:rsidR="00F02481" w:rsidRPr="00BE78CA" w:rsidRDefault="00F02481" w:rsidP="00C26084">
            <w:pPr>
              <w:pStyle w:val="TableText"/>
              <w:jc w:val="center"/>
              <w:rPr>
                <w:rFonts w:cs="Calibri"/>
                <w:szCs w:val="16"/>
              </w:rPr>
            </w:pPr>
            <w:r w:rsidRPr="00BE78CA">
              <w:t>904.5</w:t>
            </w:r>
          </w:p>
        </w:tc>
        <w:tc>
          <w:tcPr>
            <w:tcW w:w="1569" w:type="dxa"/>
          </w:tcPr>
          <w:p w14:paraId="05C8BCC7" w14:textId="77777777" w:rsidR="00F02481" w:rsidRPr="00BE78CA" w:rsidRDefault="00F02481" w:rsidP="00C26084">
            <w:pPr>
              <w:pStyle w:val="TableText"/>
              <w:jc w:val="center"/>
              <w:rPr>
                <w:rFonts w:cs="Calibri"/>
                <w:szCs w:val="16"/>
              </w:rPr>
            </w:pPr>
            <w:r w:rsidRPr="00BE78CA">
              <w:t>102.1</w:t>
            </w:r>
          </w:p>
        </w:tc>
        <w:tc>
          <w:tcPr>
            <w:tcW w:w="1569" w:type="dxa"/>
          </w:tcPr>
          <w:p w14:paraId="00FEE0FC" w14:textId="77777777" w:rsidR="00F02481" w:rsidRPr="00BE78CA" w:rsidRDefault="00F02481" w:rsidP="00C26084">
            <w:pPr>
              <w:pStyle w:val="TableText"/>
              <w:jc w:val="center"/>
              <w:rPr>
                <w:rFonts w:cs="Calibri"/>
                <w:szCs w:val="16"/>
              </w:rPr>
            </w:pPr>
          </w:p>
        </w:tc>
      </w:tr>
      <w:tr w:rsidR="00F02481" w:rsidRPr="00BE78CA" w14:paraId="6E901EF6" w14:textId="77777777" w:rsidTr="00416320">
        <w:trPr>
          <w:trHeight w:val="454"/>
        </w:trPr>
        <w:tc>
          <w:tcPr>
            <w:tcW w:w="1310" w:type="dxa"/>
            <w:vMerge/>
          </w:tcPr>
          <w:p w14:paraId="0B96A95C" w14:textId="77777777" w:rsidR="00F02481" w:rsidRPr="00BE78CA" w:rsidRDefault="00F02481" w:rsidP="00C26084">
            <w:pPr>
              <w:pStyle w:val="TableText"/>
              <w:keepNext/>
              <w:rPr>
                <w:rFonts w:cs="Calibri"/>
                <w:szCs w:val="16"/>
              </w:rPr>
            </w:pPr>
          </w:p>
        </w:tc>
        <w:tc>
          <w:tcPr>
            <w:tcW w:w="2401" w:type="dxa"/>
          </w:tcPr>
          <w:p w14:paraId="2DEBE113" w14:textId="77777777" w:rsidR="00F02481" w:rsidRPr="00BE78CA" w:rsidRDefault="00F02481" w:rsidP="00C26084">
            <w:pPr>
              <w:pStyle w:val="TableText"/>
              <w:keepNext/>
              <w:rPr>
                <w:rFonts w:cs="Calibri"/>
                <w:szCs w:val="16"/>
              </w:rPr>
            </w:pPr>
            <w:r w:rsidRPr="00BE78CA">
              <w:rPr>
                <w:rFonts w:cs="Calibri"/>
                <w:szCs w:val="16"/>
              </w:rPr>
              <w:t>Percentage difference in emission estimates</w:t>
            </w:r>
          </w:p>
        </w:tc>
        <w:tc>
          <w:tcPr>
            <w:tcW w:w="856" w:type="dxa"/>
          </w:tcPr>
          <w:p w14:paraId="4D2667A6" w14:textId="77777777" w:rsidR="00F02481" w:rsidRPr="00BE78CA" w:rsidRDefault="00F02481" w:rsidP="00C26084">
            <w:pPr>
              <w:pStyle w:val="TableText"/>
              <w:keepNext/>
              <w:jc w:val="center"/>
              <w:rPr>
                <w:rFonts w:cs="Calibri"/>
                <w:szCs w:val="16"/>
              </w:rPr>
            </w:pPr>
            <w:r w:rsidRPr="00BE78CA">
              <w:t>3.0</w:t>
            </w:r>
          </w:p>
        </w:tc>
        <w:tc>
          <w:tcPr>
            <w:tcW w:w="857" w:type="dxa"/>
          </w:tcPr>
          <w:p w14:paraId="55632BA9" w14:textId="77777777" w:rsidR="00F02481" w:rsidRPr="00BE78CA" w:rsidRDefault="00F02481" w:rsidP="00C26084">
            <w:pPr>
              <w:pStyle w:val="TableText"/>
              <w:jc w:val="center"/>
              <w:rPr>
                <w:rFonts w:cs="Calibri"/>
                <w:szCs w:val="16"/>
              </w:rPr>
            </w:pPr>
            <w:r w:rsidRPr="00BE78CA">
              <w:t>3.2</w:t>
            </w:r>
          </w:p>
        </w:tc>
        <w:tc>
          <w:tcPr>
            <w:tcW w:w="1569" w:type="dxa"/>
          </w:tcPr>
          <w:p w14:paraId="588EE2DC" w14:textId="77777777" w:rsidR="00F02481" w:rsidRPr="00BE78CA" w:rsidRDefault="00F02481" w:rsidP="00C26084">
            <w:pPr>
              <w:pStyle w:val="TableText"/>
              <w:jc w:val="center"/>
              <w:rPr>
                <w:rFonts w:cs="Calibri"/>
                <w:szCs w:val="16"/>
              </w:rPr>
            </w:pPr>
          </w:p>
        </w:tc>
        <w:tc>
          <w:tcPr>
            <w:tcW w:w="1569" w:type="dxa"/>
          </w:tcPr>
          <w:p w14:paraId="7CA20469" w14:textId="77777777" w:rsidR="00F02481" w:rsidRPr="00BE78CA" w:rsidRDefault="00F02481" w:rsidP="00C26084">
            <w:pPr>
              <w:pStyle w:val="TableText"/>
              <w:jc w:val="center"/>
              <w:rPr>
                <w:rFonts w:cs="Calibri"/>
                <w:szCs w:val="16"/>
              </w:rPr>
            </w:pPr>
          </w:p>
        </w:tc>
      </w:tr>
    </w:tbl>
    <w:p w14:paraId="2A00B616" w14:textId="77777777" w:rsidR="00F02481" w:rsidRPr="00BE78CA" w:rsidRDefault="00F02481" w:rsidP="00C26084">
      <w:pPr>
        <w:pStyle w:val="BodyText"/>
        <w:spacing w:before="240"/>
        <w:rPr>
          <w:lang w:eastAsia="zh-CN"/>
        </w:rPr>
      </w:pPr>
      <w:r w:rsidRPr="00BE78CA">
        <w:rPr>
          <w:lang w:eastAsia="zh-CN"/>
        </w:rPr>
        <w:t>A revised set of figures on the ME content, nitrogen content and digestibility of pasture for the entire time series (1990 to 2019) has been implemented for the 2021 submission. These new values are based on recent research by Giltrap and McNeill (unpublished).</w:t>
      </w:r>
    </w:p>
    <w:p w14:paraId="78562110" w14:textId="77777777" w:rsidR="00F02481" w:rsidRPr="00BE78CA" w:rsidRDefault="00F02481" w:rsidP="00C26084">
      <w:pPr>
        <w:pStyle w:val="BodyText"/>
        <w:rPr>
          <w:lang w:eastAsia="zh-CN"/>
        </w:rPr>
      </w:pPr>
      <w:r w:rsidRPr="00BE78CA">
        <w:rPr>
          <w:lang w:eastAsia="zh-CN"/>
        </w:rPr>
        <w:t xml:space="preserve">The Agriculture inventory requires pasture quality data to calculate </w:t>
      </w:r>
      <w:r w:rsidRPr="00BE78CA">
        <w:t>CH</w:t>
      </w:r>
      <w:r w:rsidRPr="00BE78CA">
        <w:rPr>
          <w:vertAlign w:val="subscript"/>
        </w:rPr>
        <w:t>4</w:t>
      </w:r>
      <w:r w:rsidRPr="00BE78CA">
        <w:rPr>
          <w:lang w:eastAsia="zh-CN"/>
        </w:rPr>
        <w:t xml:space="preserve"> and N</w:t>
      </w:r>
      <w:r w:rsidRPr="00BE78CA">
        <w:rPr>
          <w:vertAlign w:val="subscript"/>
          <w:lang w:eastAsia="zh-CN"/>
        </w:rPr>
        <w:t>2</w:t>
      </w:r>
      <w:r w:rsidRPr="00BE78CA">
        <w:rPr>
          <w:lang w:eastAsia="zh-CN"/>
        </w:rPr>
        <w:t>O emissions from cattle (dairy and beef), sheep and deer. For inventory purposes, there are three key components of pasture quality:</w:t>
      </w:r>
    </w:p>
    <w:p w14:paraId="1B3F500F" w14:textId="77777777" w:rsidR="00F02481" w:rsidRPr="00BE78CA" w:rsidRDefault="00F02481" w:rsidP="00FA2314">
      <w:pPr>
        <w:pStyle w:val="Bullet"/>
        <w:numPr>
          <w:ilvl w:val="0"/>
          <w:numId w:val="25"/>
        </w:numPr>
        <w:rPr>
          <w:lang w:eastAsia="zh-CN"/>
        </w:rPr>
      </w:pPr>
      <w:r w:rsidRPr="00BE78CA">
        <w:rPr>
          <w:lang w:eastAsia="zh-CN"/>
        </w:rPr>
        <w:t>ME</w:t>
      </w:r>
    </w:p>
    <w:p w14:paraId="66EF22FE" w14:textId="77777777" w:rsidR="00F02481" w:rsidRPr="00BE78CA" w:rsidRDefault="00F02481" w:rsidP="00FA2314">
      <w:pPr>
        <w:pStyle w:val="Bullet"/>
        <w:numPr>
          <w:ilvl w:val="0"/>
          <w:numId w:val="25"/>
        </w:numPr>
        <w:rPr>
          <w:lang w:eastAsia="zh-CN"/>
        </w:rPr>
      </w:pPr>
      <w:r w:rsidRPr="00BE78CA">
        <w:rPr>
          <w:lang w:eastAsia="zh-CN"/>
        </w:rPr>
        <w:t>nitrogen content</w:t>
      </w:r>
    </w:p>
    <w:p w14:paraId="7F1E586A" w14:textId="77777777" w:rsidR="00F02481" w:rsidRPr="00BE78CA" w:rsidRDefault="00F02481" w:rsidP="00FA2314">
      <w:pPr>
        <w:pStyle w:val="Bullet"/>
        <w:numPr>
          <w:ilvl w:val="0"/>
          <w:numId w:val="25"/>
        </w:numPr>
        <w:rPr>
          <w:lang w:eastAsia="zh-CN"/>
        </w:rPr>
      </w:pPr>
      <w:r w:rsidRPr="00BE78CA">
        <w:rPr>
          <w:lang w:eastAsia="zh-CN"/>
        </w:rPr>
        <w:t>OMD.</w:t>
      </w:r>
    </w:p>
    <w:p w14:paraId="4A32DB29" w14:textId="77777777" w:rsidR="00F02481" w:rsidRPr="00BE78CA" w:rsidRDefault="00F02481" w:rsidP="00C26084">
      <w:pPr>
        <w:pStyle w:val="BodyText"/>
        <w:rPr>
          <w:lang w:eastAsia="zh-CN"/>
        </w:rPr>
      </w:pPr>
      <w:r w:rsidRPr="00BE78CA">
        <w:rPr>
          <w:lang w:eastAsia="zh-CN"/>
        </w:rPr>
        <w:t>Holding all else equal, higher ME pasture content will lower livestock emissions, and a higher OMD value will lead to lower livestock emissions.</w:t>
      </w:r>
    </w:p>
    <w:p w14:paraId="1C0E8917" w14:textId="77777777" w:rsidR="00F02481" w:rsidRPr="00BE78CA" w:rsidRDefault="00F02481" w:rsidP="00C26084">
      <w:pPr>
        <w:pStyle w:val="BodyText"/>
      </w:pPr>
      <w:r w:rsidRPr="00BE78CA">
        <w:t xml:space="preserve">The effect of this change on estimated emissions from </w:t>
      </w:r>
      <w:r w:rsidRPr="00BE78CA">
        <w:rPr>
          <w:i/>
          <w:iCs/>
        </w:rPr>
        <w:t>Enteric fermentation</w:t>
      </w:r>
      <w:r w:rsidRPr="00BE78CA">
        <w:t xml:space="preserve"> is detailed in table 5.2.6. After the recommended new pasture values are applied, estimated emissions from </w:t>
      </w:r>
      <w:r w:rsidRPr="00BE78CA">
        <w:rPr>
          <w:i/>
          <w:iCs/>
        </w:rPr>
        <w:t>Enteric fermentation</w:t>
      </w:r>
      <w:r w:rsidRPr="00BE78CA">
        <w:t xml:space="preserve"> are around 3.2 per cent (904.5 kt CO</w:t>
      </w:r>
      <w:r w:rsidRPr="00BE78CA">
        <w:rPr>
          <w:vertAlign w:val="subscript"/>
        </w:rPr>
        <w:t>2</w:t>
      </w:r>
      <w:r w:rsidRPr="00BE78CA">
        <w:t>-e) higher compared with previous model outputs.</w:t>
      </w:r>
    </w:p>
    <w:p w14:paraId="74ADFEFC" w14:textId="77777777" w:rsidR="00F02481" w:rsidRPr="00BE78CA" w:rsidRDefault="00F02481" w:rsidP="00C26084">
      <w:pPr>
        <w:pStyle w:val="BodyText"/>
      </w:pPr>
      <w:r w:rsidRPr="00BE78CA">
        <w:t>For more information on this change, see chapter 10, section 10.1.3.</w:t>
      </w:r>
    </w:p>
    <w:p w14:paraId="521BFC43" w14:textId="77777777" w:rsidR="00F02481" w:rsidRPr="00BE78CA" w:rsidRDefault="00F02481" w:rsidP="00C26084">
      <w:pPr>
        <w:pStyle w:val="Heading3"/>
      </w:pPr>
      <w:bookmarkStart w:id="662" w:name="_Toc32570656"/>
      <w:bookmarkStart w:id="663" w:name="_Toc69611740"/>
      <w:bookmarkStart w:id="664" w:name="_Toc69612696"/>
      <w:bookmarkStart w:id="665" w:name="_Toc69612895"/>
      <w:bookmarkStart w:id="666" w:name="_Toc69613155"/>
      <w:bookmarkStart w:id="667" w:name="_Toc69633319"/>
      <w:bookmarkStart w:id="668" w:name="_Toc69717484"/>
      <w:bookmarkStart w:id="669" w:name="_Toc69802966"/>
      <w:bookmarkStart w:id="670" w:name="_Toc69815103"/>
      <w:bookmarkStart w:id="671" w:name="_Toc70492396"/>
      <w:bookmarkStart w:id="672" w:name="_Toc101310603"/>
      <w:bookmarkStart w:id="673" w:name="_Toc101318463"/>
      <w:bookmarkStart w:id="674" w:name="_Toc101318568"/>
      <w:bookmarkStart w:id="675" w:name="_Toc101318752"/>
      <w:bookmarkStart w:id="676" w:name="_Toc101334028"/>
      <w:bookmarkStart w:id="677" w:name="_Toc134847205"/>
      <w:bookmarkStart w:id="678" w:name="_Toc139253923"/>
      <w:bookmarkStart w:id="679" w:name="_Toc144710414"/>
      <w:bookmarkStart w:id="680" w:name="_Toc165890368"/>
      <w:bookmarkStart w:id="681" w:name="_Toc195322662"/>
      <w:bookmarkStart w:id="682" w:name="_Toc235955528"/>
      <w:bookmarkStart w:id="683" w:name="_Toc288316641"/>
      <w:bookmarkStart w:id="684" w:name="_Toc352504861"/>
      <w:bookmarkStart w:id="685" w:name="_Toc448321524"/>
      <w:bookmarkStart w:id="686" w:name="_Toc481751386"/>
      <w:bookmarkStart w:id="687" w:name="_Toc511116601"/>
      <w:bookmarkStart w:id="688" w:name="_Toc5269363"/>
      <w:bookmarkEnd w:id="660"/>
      <w:r w:rsidRPr="00BE78CA">
        <w:t>5.2.6</w:t>
      </w:r>
      <w:r w:rsidRPr="00BE78CA">
        <w:tab/>
        <w:t>Source-specific planned improvements</w:t>
      </w:r>
      <w:bookmarkEnd w:id="662"/>
      <w:r w:rsidRPr="00BE78CA">
        <w:t xml:space="preserve"> </w:t>
      </w:r>
    </w:p>
    <w:p w14:paraId="16A973C7" w14:textId="77777777" w:rsidR="00F02481" w:rsidRPr="00BE78CA" w:rsidRDefault="00F02481" w:rsidP="00C26084">
      <w:pPr>
        <w:pStyle w:val="BodyText"/>
      </w:pPr>
      <w:r w:rsidRPr="00BE78CA">
        <w:t xml:space="preserve">New Zealand currently has no research projects focused specifically on </w:t>
      </w:r>
      <w:r w:rsidRPr="00BE78CA">
        <w:rPr>
          <w:i/>
          <w:iCs/>
        </w:rPr>
        <w:t>Enteric fermentation</w:t>
      </w:r>
      <w:r w:rsidRPr="00BE78CA">
        <w:t xml:space="preserve">, although a number of cross-cutting, broader projects will improve the accuracy of emissions in multiple categories (including </w:t>
      </w:r>
      <w:r w:rsidRPr="00BE78CA">
        <w:rPr>
          <w:i/>
          <w:iCs/>
        </w:rPr>
        <w:t>Enteric fermentation</w:t>
      </w:r>
      <w:r w:rsidRPr="00BE78CA">
        <w:t xml:space="preserve">, </w:t>
      </w:r>
      <w:r w:rsidRPr="00BE78CA">
        <w:rPr>
          <w:i/>
          <w:iCs/>
        </w:rPr>
        <w:t>Manure management</w:t>
      </w:r>
      <w:r w:rsidRPr="00BE78CA">
        <w:t xml:space="preserve"> and </w:t>
      </w:r>
      <w:r w:rsidRPr="00BE78CA">
        <w:rPr>
          <w:i/>
          <w:iCs/>
        </w:rPr>
        <w:t>Agricultural soils</w:t>
      </w:r>
      <w:r w:rsidRPr="00BE78CA">
        <w:t>) that are described in section 5.1.7, including:</w:t>
      </w:r>
    </w:p>
    <w:p w14:paraId="7DCB602C" w14:textId="77777777" w:rsidR="00F02481" w:rsidRPr="00BE78CA" w:rsidRDefault="00F02481" w:rsidP="00C26084">
      <w:pPr>
        <w:pStyle w:val="Bullet"/>
        <w:tabs>
          <w:tab w:val="num" w:pos="567"/>
        </w:tabs>
        <w:spacing w:after="100"/>
      </w:pPr>
      <w:r w:rsidRPr="00BE78CA">
        <w:lastRenderedPageBreak/>
        <w:t>using satellite data as a means of evaluating the data for pasture quality</w:t>
      </w:r>
    </w:p>
    <w:p w14:paraId="7E3571BD" w14:textId="77777777" w:rsidR="00F02481" w:rsidRPr="00BE78CA" w:rsidRDefault="00F02481" w:rsidP="00FA2314">
      <w:pPr>
        <w:pStyle w:val="Bullet"/>
        <w:numPr>
          <w:ilvl w:val="0"/>
          <w:numId w:val="25"/>
        </w:numPr>
        <w:spacing w:after="100"/>
      </w:pPr>
      <w:r w:rsidRPr="00BE78CA">
        <w:t>compilation of data on the number of lifestyle blocks and farmlets in New Zealand, which can be used for evaluation alongside existing population estimates</w:t>
      </w:r>
    </w:p>
    <w:p w14:paraId="6359664E" w14:textId="77777777" w:rsidR="00F02481" w:rsidRPr="00BE78CA" w:rsidRDefault="00F02481" w:rsidP="00FA2314">
      <w:pPr>
        <w:pStyle w:val="Bullet"/>
        <w:numPr>
          <w:ilvl w:val="0"/>
          <w:numId w:val="25"/>
        </w:numPr>
        <w:spacing w:after="100"/>
      </w:pPr>
      <w:r w:rsidRPr="00BE78CA">
        <w:t>improving the methods used to determine the dairy cattle populations in the New Zealand inventory model</w:t>
      </w:r>
    </w:p>
    <w:p w14:paraId="77B6A7E8" w14:textId="77777777" w:rsidR="00F02481" w:rsidRPr="00BE78CA" w:rsidRDefault="00F02481" w:rsidP="00FA2314">
      <w:pPr>
        <w:pStyle w:val="Bullet"/>
        <w:numPr>
          <w:ilvl w:val="0"/>
          <w:numId w:val="25"/>
        </w:numPr>
        <w:spacing w:after="100"/>
      </w:pPr>
      <w:r w:rsidRPr="00BE78CA">
        <w:t xml:space="preserve">continuing work to improve activity data, including through the annual collection of agricultural data by Stats NZ. </w:t>
      </w:r>
    </w:p>
    <w:p w14:paraId="35546CDD" w14:textId="77777777" w:rsidR="00F02481" w:rsidRPr="00BE78CA" w:rsidRDefault="00F02481" w:rsidP="00C26084">
      <w:pPr>
        <w:pStyle w:val="Heading2"/>
        <w:spacing w:before="320"/>
        <w:rPr>
          <w:rFonts w:cs="Calibri"/>
        </w:rPr>
      </w:pPr>
      <w:bookmarkStart w:id="689" w:name="_Toc32570657"/>
      <w:bookmarkStart w:id="690" w:name="_Toc36224403"/>
      <w:bookmarkStart w:id="691" w:name="_Toc68786323"/>
      <w:r w:rsidRPr="00BE78CA">
        <w:rPr>
          <w:rFonts w:cs="Calibri"/>
        </w:rPr>
        <w:t>5.3</w:t>
      </w:r>
      <w:bookmarkStart w:id="692" w:name="Manure_Management"/>
      <w:r w:rsidRPr="00BE78CA">
        <w:rPr>
          <w:rFonts w:cs="Calibri"/>
        </w:rPr>
        <w:tab/>
        <w:t xml:space="preserve">Manure management </w:t>
      </w:r>
      <w:bookmarkEnd w:id="692"/>
      <w:r w:rsidRPr="00BE78CA">
        <w:rPr>
          <w:rFonts w:cs="Calibri"/>
        </w:rPr>
        <w:t>(CRF 3.B)</w:t>
      </w:r>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p>
    <w:p w14:paraId="02E11E40" w14:textId="77777777" w:rsidR="00F02481" w:rsidRPr="00BE78CA" w:rsidRDefault="00F02481" w:rsidP="00C26084">
      <w:pPr>
        <w:pStyle w:val="Heading3"/>
        <w:spacing w:before="120"/>
        <w:rPr>
          <w:rFonts w:cs="Calibri"/>
        </w:rPr>
      </w:pPr>
      <w:bookmarkStart w:id="693" w:name="_Toc32570658"/>
      <w:bookmarkStart w:id="694" w:name="_Toc139253925"/>
      <w:r w:rsidRPr="00BE78CA">
        <w:rPr>
          <w:rFonts w:cs="Calibri"/>
        </w:rPr>
        <w:t>5.3.1</w:t>
      </w:r>
      <w:r w:rsidRPr="00BE78CA">
        <w:rPr>
          <w:rFonts w:cs="Calibri"/>
        </w:rPr>
        <w:tab/>
        <w:t>Description</w:t>
      </w:r>
      <w:bookmarkEnd w:id="693"/>
    </w:p>
    <w:p w14:paraId="11522710" w14:textId="77777777" w:rsidR="00F02481" w:rsidRPr="00BE78CA" w:rsidRDefault="00F02481" w:rsidP="00C26084">
      <w:pPr>
        <w:pStyle w:val="BodyText"/>
        <w:spacing w:before="100" w:after="100"/>
        <w:rPr>
          <w:rFonts w:cs="Calibri"/>
        </w:rPr>
      </w:pPr>
      <w:r w:rsidRPr="00BE78CA">
        <w:rPr>
          <w:rFonts w:cs="Calibri"/>
        </w:rPr>
        <w:t xml:space="preserve">The majority of emissions from the </w:t>
      </w:r>
      <w:r w:rsidRPr="00BE78CA">
        <w:rPr>
          <w:rFonts w:cs="Calibri"/>
          <w:i/>
          <w:iCs/>
        </w:rPr>
        <w:t>Manure management</w:t>
      </w:r>
      <w:r w:rsidRPr="00BE78CA">
        <w:rPr>
          <w:rFonts w:cs="Calibri"/>
        </w:rPr>
        <w:t xml:space="preserve"> category are from CH</w:t>
      </w:r>
      <w:r w:rsidRPr="00BE78CA">
        <w:rPr>
          <w:rFonts w:cs="Calibri"/>
          <w:vertAlign w:val="subscript"/>
        </w:rPr>
        <w:t>4</w:t>
      </w:r>
      <w:r w:rsidRPr="00BE78CA">
        <w:rPr>
          <w:rFonts w:cs="Calibri"/>
        </w:rPr>
        <w:t xml:space="preserve"> produced during the storage and treatment of manure, and from manure deposited on pasture. The category also includes N</w:t>
      </w:r>
      <w:r w:rsidRPr="00BE78CA">
        <w:rPr>
          <w:rFonts w:cs="Calibri"/>
          <w:vertAlign w:val="subscript"/>
        </w:rPr>
        <w:t>2</w:t>
      </w:r>
      <w:r w:rsidRPr="00BE78CA">
        <w:rPr>
          <w:rFonts w:cs="Calibri"/>
        </w:rPr>
        <w:t>O emissions produced during the storage and treatment of manure. It does not include N</w:t>
      </w:r>
      <w:r w:rsidRPr="00BE78CA">
        <w:rPr>
          <w:rFonts w:cs="Calibri"/>
          <w:vertAlign w:val="subscript"/>
        </w:rPr>
        <w:t>2</w:t>
      </w:r>
      <w:r w:rsidRPr="00BE78CA">
        <w:rPr>
          <w:rFonts w:cs="Calibri"/>
        </w:rPr>
        <w:t xml:space="preserve">O emissions from the spreading of animal manure and from manure deposited directly onto pasture by grazing livestock. Instead, emissions from these sources are included under the </w:t>
      </w:r>
      <w:r w:rsidRPr="00BE78CA">
        <w:rPr>
          <w:rFonts w:cs="Calibri"/>
          <w:i/>
          <w:iCs/>
        </w:rPr>
        <w:t>Agricultural soils</w:t>
      </w:r>
      <w:r w:rsidRPr="00BE78CA">
        <w:rPr>
          <w:rFonts w:cs="Calibri"/>
        </w:rPr>
        <w:t xml:space="preserve"> category (under </w:t>
      </w:r>
      <w:r w:rsidRPr="00BE78CA">
        <w:rPr>
          <w:rFonts w:cs="Calibri"/>
          <w:i/>
          <w:iCs/>
        </w:rPr>
        <w:t>Organic nitrogen fertilisers</w:t>
      </w:r>
      <w:r w:rsidRPr="00BE78CA">
        <w:rPr>
          <w:rFonts w:cs="Calibri"/>
        </w:rPr>
        <w:t xml:space="preserve"> and </w:t>
      </w:r>
      <w:r w:rsidRPr="00BE78CA">
        <w:rPr>
          <w:rFonts w:cs="Calibri"/>
          <w:i/>
          <w:iCs/>
        </w:rPr>
        <w:t>Urine and dung deposited by grazing animals</w:t>
      </w:r>
      <w:r w:rsidRPr="00BE78CA">
        <w:rPr>
          <w:rFonts w:cs="Calibri"/>
        </w:rPr>
        <w:t xml:space="preserve"> respectively).</w:t>
      </w:r>
    </w:p>
    <w:p w14:paraId="17B151EE" w14:textId="77777777" w:rsidR="00F02481" w:rsidRPr="00BE78CA" w:rsidRDefault="00F02481" w:rsidP="00C26084">
      <w:pPr>
        <w:pStyle w:val="BodyText"/>
        <w:spacing w:before="100" w:after="100"/>
        <w:rPr>
          <w:rFonts w:cs="Calibri"/>
        </w:rPr>
      </w:pPr>
      <w:r w:rsidRPr="00BE78CA">
        <w:rPr>
          <w:rFonts w:cs="Calibri"/>
        </w:rPr>
        <w:t>Methane is produced when manure decomposes in the absence of oxygen (anaerobic conditions). The main factors affecting CH</w:t>
      </w:r>
      <w:r w:rsidRPr="00BE78CA">
        <w:rPr>
          <w:rFonts w:cs="Calibri"/>
          <w:vertAlign w:val="subscript"/>
        </w:rPr>
        <w:t>4</w:t>
      </w:r>
      <w:r w:rsidRPr="00BE78CA">
        <w:rPr>
          <w:rFonts w:cs="Calibri"/>
        </w:rPr>
        <w:t xml:space="preserve"> emissions are the amount of manure produced and the portion of the manure that decomposes anaerobically. When manure is stored or treated as a liquid (e.g., in lagoons or ponds), it decomposes anaerobically and can produce CH</w:t>
      </w:r>
      <w:r w:rsidRPr="00BE78CA">
        <w:rPr>
          <w:rFonts w:cs="Calibri"/>
          <w:vertAlign w:val="subscript"/>
        </w:rPr>
        <w:t>4</w:t>
      </w:r>
      <w:r w:rsidRPr="00BE78CA">
        <w:rPr>
          <w:rFonts w:cs="Calibri"/>
        </w:rPr>
        <w:t>. The temperature and the length of time spent in storage also affect the cumulative amount of CH</w:t>
      </w:r>
      <w:r w:rsidRPr="00BE78CA">
        <w:rPr>
          <w:rFonts w:cs="Calibri"/>
          <w:vertAlign w:val="subscript"/>
        </w:rPr>
        <w:t>4</w:t>
      </w:r>
      <w:r w:rsidRPr="00BE78CA">
        <w:rPr>
          <w:rFonts w:cs="Calibri"/>
        </w:rPr>
        <w:t xml:space="preserve"> produced over the inventory year. When manure is handled as a solid or when it is deposited directly on pastures, it tends to decompose under aerobic conditions and less CH</w:t>
      </w:r>
      <w:r w:rsidRPr="00BE78CA">
        <w:rPr>
          <w:rFonts w:cs="Calibri"/>
          <w:vertAlign w:val="subscript"/>
        </w:rPr>
        <w:t>4</w:t>
      </w:r>
      <w:r w:rsidRPr="00BE78CA">
        <w:rPr>
          <w:rFonts w:cs="Calibri"/>
        </w:rPr>
        <w:t xml:space="preserve"> is produced overall. </w:t>
      </w:r>
    </w:p>
    <w:p w14:paraId="08A0DC06" w14:textId="77777777" w:rsidR="00F02481" w:rsidRPr="00BE78CA" w:rsidRDefault="00F02481" w:rsidP="00C26084">
      <w:pPr>
        <w:pStyle w:val="BodyText"/>
        <w:spacing w:before="100" w:after="100"/>
        <w:rPr>
          <w:rFonts w:cs="Calibri"/>
        </w:rPr>
      </w:pPr>
      <w:r w:rsidRPr="00BE78CA">
        <w:rPr>
          <w:rFonts w:cs="Calibri"/>
        </w:rPr>
        <w:t>Nitrous oxide emissions from managed manure occur directly through the processes of nitrification and denitrification of nitrogen contained in the manure. Nitrous oxide is also emitted indirectly through diffusion of oxides of nitrogen (NO</w:t>
      </w:r>
      <w:r w:rsidRPr="00BE78CA">
        <w:rPr>
          <w:rFonts w:cs="Calibri"/>
          <w:vertAlign w:val="subscript"/>
        </w:rPr>
        <w:t>x</w:t>
      </w:r>
      <w:r w:rsidRPr="00BE78CA">
        <w:rPr>
          <w:rFonts w:cs="Calibri"/>
        </w:rPr>
        <w:t>) into the surrounding air (volatilisation) or via leaching and runoff. As with CH</w:t>
      </w:r>
      <w:r w:rsidRPr="00BE78CA">
        <w:rPr>
          <w:rFonts w:cs="Calibri"/>
          <w:vertAlign w:val="subscript"/>
        </w:rPr>
        <w:t>4</w:t>
      </w:r>
      <w:r w:rsidRPr="00BE78CA">
        <w:rPr>
          <w:rFonts w:cs="Calibri"/>
        </w:rPr>
        <w:t xml:space="preserve">, the amount of manure </w:t>
      </w:r>
      <w:r w:rsidRPr="00BE78CA">
        <w:rPr>
          <w:rFonts w:cs="Calibri"/>
          <w:spacing w:val="-2"/>
        </w:rPr>
        <w:t>N</w:t>
      </w:r>
      <w:r w:rsidRPr="00BE78CA">
        <w:rPr>
          <w:rFonts w:cs="Calibri"/>
          <w:spacing w:val="-2"/>
          <w:vertAlign w:val="subscript"/>
        </w:rPr>
        <w:t>2</w:t>
      </w:r>
      <w:r w:rsidRPr="00BE78CA">
        <w:rPr>
          <w:rFonts w:cs="Calibri"/>
          <w:spacing w:val="-2"/>
        </w:rPr>
        <w:t>O</w:t>
      </w:r>
      <w:r w:rsidRPr="00BE78CA">
        <w:rPr>
          <w:rFonts w:cs="Calibri"/>
        </w:rPr>
        <w:t xml:space="preserve"> emissions produced depends on the system of waste management and the duration of storage. In New Zealand, most manure is deposited directly on pasture by grazing animals, with little going into manure management systems. Manure management systems comprise manure mainly from dairy cattle. </w:t>
      </w:r>
    </w:p>
    <w:p w14:paraId="1E258D60" w14:textId="77777777" w:rsidR="00F02481" w:rsidRPr="00BE78CA" w:rsidRDefault="00F02481" w:rsidP="00C26084">
      <w:pPr>
        <w:pStyle w:val="BodyText"/>
        <w:spacing w:before="100" w:after="100"/>
        <w:rPr>
          <w:rFonts w:cs="Calibri"/>
        </w:rPr>
      </w:pPr>
      <w:r w:rsidRPr="00BE78CA">
        <w:rPr>
          <w:rFonts w:cs="Calibri"/>
        </w:rPr>
        <w:t xml:space="preserve">Methane from </w:t>
      </w:r>
      <w:r w:rsidRPr="00BE78CA">
        <w:rPr>
          <w:rFonts w:cs="Calibri"/>
          <w:i/>
          <w:iCs/>
        </w:rPr>
        <w:t>Manure management</w:t>
      </w:r>
      <w:r w:rsidRPr="00BE78CA">
        <w:rPr>
          <w:rFonts w:cs="Calibri"/>
        </w:rPr>
        <w:t xml:space="preserve"> from dairy cattle was identified as a key category for New Zealand in the 2019 level and 1990–2019 trend assessment.</w:t>
      </w:r>
    </w:p>
    <w:p w14:paraId="21AD6262" w14:textId="77777777" w:rsidR="00F02481" w:rsidRPr="00BE78CA" w:rsidRDefault="00F02481" w:rsidP="00C26084">
      <w:pPr>
        <w:pStyle w:val="BodyText"/>
        <w:spacing w:before="100" w:after="100"/>
        <w:rPr>
          <w:rFonts w:cs="Calibri"/>
        </w:rPr>
      </w:pPr>
      <w:r w:rsidRPr="00BE78CA">
        <w:rPr>
          <w:rFonts w:cs="Calibri"/>
          <w:i/>
          <w:iCs/>
        </w:rPr>
        <w:t>Manure management</w:t>
      </w:r>
      <w:r w:rsidRPr="00BE78CA">
        <w:rPr>
          <w:rFonts w:cs="Calibri"/>
        </w:rPr>
        <w:t xml:space="preserve"> contributed an estimated </w:t>
      </w:r>
      <w:r w:rsidRPr="00BE78CA">
        <w:rPr>
          <w:rFonts w:cs="Calibri"/>
          <w:color w:val="000000"/>
        </w:rPr>
        <w:t>1,738.9 kt CO</w:t>
      </w:r>
      <w:r w:rsidRPr="00BE78CA">
        <w:rPr>
          <w:rFonts w:cs="Calibri"/>
          <w:color w:val="000000"/>
          <w:vertAlign w:val="subscript"/>
        </w:rPr>
        <w:t>2</w:t>
      </w:r>
      <w:r w:rsidRPr="00BE78CA">
        <w:rPr>
          <w:rFonts w:cs="Calibri"/>
        </w:rPr>
        <w:t>-e, representing 4.4 per cent of </w:t>
      </w:r>
      <w:r w:rsidRPr="00BE78CA">
        <w:rPr>
          <w:rFonts w:cs="Calibri"/>
          <w:i/>
          <w:iCs/>
        </w:rPr>
        <w:t xml:space="preserve">Agriculture </w:t>
      </w:r>
      <w:r w:rsidRPr="00BE78CA">
        <w:rPr>
          <w:rFonts w:cs="Calibri"/>
        </w:rPr>
        <w:t>emissions in 2019. Estimated emissions from this category consist of:</w:t>
      </w:r>
    </w:p>
    <w:p w14:paraId="13A42085" w14:textId="77777777" w:rsidR="00F02481" w:rsidRPr="00BE78CA" w:rsidRDefault="00F02481" w:rsidP="00FA2314">
      <w:pPr>
        <w:pStyle w:val="Bullet"/>
        <w:numPr>
          <w:ilvl w:val="0"/>
          <w:numId w:val="25"/>
        </w:numPr>
      </w:pPr>
      <w:r w:rsidRPr="00BE78CA">
        <w:t>CH</w:t>
      </w:r>
      <w:r w:rsidRPr="00BE78CA">
        <w:rPr>
          <w:vertAlign w:val="subscript"/>
        </w:rPr>
        <w:t>4</w:t>
      </w:r>
      <w:r w:rsidRPr="00BE78CA">
        <w:t xml:space="preserve"> emissions (93.3 per cent of </w:t>
      </w:r>
      <w:r w:rsidRPr="00BE78CA">
        <w:rPr>
          <w:i/>
          <w:iCs/>
        </w:rPr>
        <w:t>Manure management</w:t>
      </w:r>
      <w:r w:rsidRPr="00BE78CA">
        <w:t xml:space="preserve"> emissions)</w:t>
      </w:r>
    </w:p>
    <w:p w14:paraId="1A805CC5" w14:textId="77777777" w:rsidR="00F02481" w:rsidRPr="00BE78CA" w:rsidRDefault="00F02481" w:rsidP="00FA2314">
      <w:pPr>
        <w:pStyle w:val="Bullet"/>
        <w:numPr>
          <w:ilvl w:val="0"/>
          <w:numId w:val="25"/>
        </w:numPr>
      </w:pPr>
      <w:r w:rsidRPr="00BE78CA">
        <w:t>N</w:t>
      </w:r>
      <w:r w:rsidRPr="00BE78CA">
        <w:rPr>
          <w:vertAlign w:val="subscript"/>
        </w:rPr>
        <w:t>2</w:t>
      </w:r>
      <w:r w:rsidRPr="00BE78CA">
        <w:t xml:space="preserve">O emissions (6.7 per cent of </w:t>
      </w:r>
      <w:r w:rsidRPr="00BE78CA">
        <w:rPr>
          <w:i/>
          <w:iCs/>
        </w:rPr>
        <w:t xml:space="preserve">Manure management </w:t>
      </w:r>
      <w:r w:rsidRPr="00BE78CA">
        <w:t>emissions).</w:t>
      </w:r>
    </w:p>
    <w:p w14:paraId="4973ABDC" w14:textId="77777777" w:rsidR="00F02481" w:rsidRPr="00BE78CA" w:rsidRDefault="00F02481" w:rsidP="00C26084">
      <w:pPr>
        <w:pStyle w:val="BodyText"/>
        <w:rPr>
          <w:rFonts w:cs="Calibri"/>
        </w:rPr>
      </w:pPr>
      <w:r w:rsidRPr="00BE78CA">
        <w:rPr>
          <w:rFonts w:cs="Calibri"/>
        </w:rPr>
        <w:t>In 2019, N</w:t>
      </w:r>
      <w:r w:rsidRPr="00BE78CA">
        <w:rPr>
          <w:rFonts w:cs="Calibri"/>
          <w:vertAlign w:val="subscript"/>
        </w:rPr>
        <w:t>2</w:t>
      </w:r>
      <w:r w:rsidRPr="00BE78CA">
        <w:rPr>
          <w:rFonts w:cs="Calibri"/>
        </w:rPr>
        <w:t>O emissions were 116.4 kt CO</w:t>
      </w:r>
      <w:r w:rsidRPr="00BE78CA">
        <w:rPr>
          <w:rFonts w:cs="Calibri"/>
          <w:vertAlign w:val="subscript"/>
        </w:rPr>
        <w:t>2</w:t>
      </w:r>
      <w:r w:rsidRPr="00BE78CA">
        <w:rPr>
          <w:rFonts w:cs="Calibri"/>
        </w:rPr>
        <w:t xml:space="preserve">-e (0.3 per cent of emissions from the Agriculture sector) (see table 5.3.1). In comparison, the combined direct </w:t>
      </w:r>
      <w:r w:rsidRPr="00BE78CA">
        <w:rPr>
          <w:rFonts w:cs="Calibri"/>
          <w:spacing w:val="-2"/>
        </w:rPr>
        <w:t>N</w:t>
      </w:r>
      <w:r w:rsidRPr="00BE78CA">
        <w:rPr>
          <w:rFonts w:cs="Calibri"/>
          <w:spacing w:val="-2"/>
          <w:vertAlign w:val="subscript"/>
        </w:rPr>
        <w:t>2</w:t>
      </w:r>
      <w:r w:rsidRPr="00BE78CA">
        <w:rPr>
          <w:rFonts w:cs="Calibri"/>
          <w:spacing w:val="-2"/>
        </w:rPr>
        <w:t>O</w:t>
      </w:r>
      <w:r w:rsidRPr="00BE78CA">
        <w:rPr>
          <w:rFonts w:cs="Calibri"/>
        </w:rPr>
        <w:t xml:space="preserve"> emissions from organic fertilisers (spreading of animal manure) and manure deposited directly by grazing livestock reported in the </w:t>
      </w:r>
      <w:r w:rsidRPr="00BE78CA">
        <w:rPr>
          <w:rFonts w:cs="Calibri"/>
          <w:i/>
          <w:iCs/>
        </w:rPr>
        <w:t>Agricultural soils</w:t>
      </w:r>
      <w:r w:rsidRPr="00BE78CA">
        <w:rPr>
          <w:rFonts w:cs="Calibri"/>
        </w:rPr>
        <w:t xml:space="preserve"> category totalled 5,105.4</w:t>
      </w:r>
      <w:r w:rsidRPr="00BE78CA" w:rsidDel="00DD5978">
        <w:rPr>
          <w:rFonts w:cs="Calibri"/>
        </w:rPr>
        <w:t xml:space="preserve"> </w:t>
      </w:r>
      <w:r w:rsidRPr="00BE78CA">
        <w:rPr>
          <w:rFonts w:cs="Calibri"/>
        </w:rPr>
        <w:t>kt CO</w:t>
      </w:r>
      <w:r w:rsidRPr="00BE78CA">
        <w:rPr>
          <w:rFonts w:cs="Calibri"/>
          <w:vertAlign w:val="subscript"/>
        </w:rPr>
        <w:t>2</w:t>
      </w:r>
      <w:r w:rsidRPr="00BE78CA">
        <w:rPr>
          <w:rFonts w:cs="Calibri"/>
        </w:rPr>
        <w:t>-e in 2019 (12.9 per cent of emissions from the Agriculture sector).</w:t>
      </w:r>
    </w:p>
    <w:p w14:paraId="7594FCE5" w14:textId="77777777" w:rsidR="00F02481" w:rsidRPr="00BE78CA" w:rsidRDefault="00F02481" w:rsidP="00C26084">
      <w:pPr>
        <w:pStyle w:val="Table"/>
        <w:rPr>
          <w:rFonts w:cs="Calibri"/>
        </w:rPr>
      </w:pPr>
      <w:bookmarkStart w:id="695" w:name="_Toc32570920"/>
      <w:bookmarkStart w:id="696" w:name="_Toc36224555"/>
      <w:bookmarkStart w:id="697" w:name="_Toc68786440"/>
      <w:r w:rsidRPr="00BE78CA">
        <w:rPr>
          <w:rFonts w:cs="Calibri"/>
        </w:rPr>
        <w:lastRenderedPageBreak/>
        <w:t>Table 5.3.1</w:t>
      </w:r>
      <w:r w:rsidRPr="00BE78CA">
        <w:rPr>
          <w:rFonts w:cs="Calibri"/>
        </w:rPr>
        <w:tab/>
        <w:t>Trends and relative contribution of methane and nitrous oxide emissions under the Manure management category between 1990 and 201</w:t>
      </w:r>
      <w:bookmarkEnd w:id="695"/>
      <w:bookmarkEnd w:id="696"/>
      <w:r w:rsidRPr="00BE78CA">
        <w:rPr>
          <w:rFonts w:cs="Calibri"/>
        </w:rPr>
        <w:t>9</w:t>
      </w:r>
      <w:bookmarkEnd w:id="697"/>
    </w:p>
    <w:tbl>
      <w:tblPr>
        <w:tblW w:w="85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48"/>
        <w:gridCol w:w="837"/>
        <w:gridCol w:w="838"/>
        <w:gridCol w:w="772"/>
        <w:gridCol w:w="1039"/>
        <w:gridCol w:w="837"/>
        <w:gridCol w:w="774"/>
        <w:gridCol w:w="733"/>
        <w:gridCol w:w="727"/>
      </w:tblGrid>
      <w:tr w:rsidR="00416320" w:rsidRPr="00BE78CA" w14:paraId="0AB9E498" w14:textId="77777777" w:rsidTr="00F10FB9">
        <w:tc>
          <w:tcPr>
            <w:tcW w:w="1948" w:type="dxa"/>
            <w:vMerge w:val="restart"/>
            <w:tcBorders>
              <w:top w:val="single" w:sz="4" w:space="0" w:color="365F91"/>
              <w:left w:val="nil"/>
              <w:bottom w:val="nil"/>
              <w:right w:val="nil"/>
            </w:tcBorders>
            <w:shd w:val="clear" w:color="auto" w:fill="365F91"/>
            <w:vAlign w:val="bottom"/>
          </w:tcPr>
          <w:p w14:paraId="6FB6E58F" w14:textId="77777777" w:rsidR="00F02481" w:rsidRPr="00BE78CA" w:rsidRDefault="00F02481" w:rsidP="00C26084">
            <w:pPr>
              <w:pStyle w:val="TableTextBold"/>
              <w:keepNext/>
              <w:spacing w:before="40" w:after="40"/>
              <w:rPr>
                <w:noProof w:val="0"/>
                <w:color w:val="FFFFFF" w:themeColor="background1"/>
                <w:szCs w:val="16"/>
              </w:rPr>
            </w:pPr>
            <w:r w:rsidRPr="00BE78CA">
              <w:rPr>
                <w:noProof w:val="0"/>
                <w:color w:val="FFFFFF" w:themeColor="background1"/>
                <w:szCs w:val="16"/>
              </w:rPr>
              <w:t>Manure management category</w:t>
            </w:r>
          </w:p>
        </w:tc>
        <w:tc>
          <w:tcPr>
            <w:tcW w:w="1675" w:type="dxa"/>
            <w:gridSpan w:val="2"/>
            <w:tcBorders>
              <w:top w:val="single" w:sz="4" w:space="0" w:color="365F91"/>
              <w:left w:val="nil"/>
              <w:bottom w:val="nil"/>
              <w:right w:val="nil"/>
            </w:tcBorders>
            <w:shd w:val="clear" w:color="auto" w:fill="365F91"/>
            <w:vAlign w:val="bottom"/>
          </w:tcPr>
          <w:p w14:paraId="56918F44" w14:textId="77777777" w:rsidR="00F02481" w:rsidRPr="00BE78CA" w:rsidRDefault="00F02481" w:rsidP="00C26084">
            <w:pPr>
              <w:pStyle w:val="TableTextBold"/>
              <w:keepNext/>
              <w:spacing w:before="40" w:after="0"/>
              <w:jc w:val="center"/>
              <w:rPr>
                <w:noProof w:val="0"/>
                <w:color w:val="FFFFFF" w:themeColor="background1"/>
                <w:szCs w:val="16"/>
              </w:rPr>
            </w:pPr>
            <w:r w:rsidRPr="00BE78CA">
              <w:rPr>
                <w:noProof w:val="0"/>
                <w:color w:val="FFFFFF" w:themeColor="background1"/>
                <w:szCs w:val="16"/>
              </w:rPr>
              <w:t xml:space="preserve">Emissions </w:t>
            </w:r>
            <w:r w:rsidRPr="00BE78CA">
              <w:rPr>
                <w:noProof w:val="0"/>
                <w:color w:val="FFFFFF" w:themeColor="background1"/>
                <w:szCs w:val="16"/>
              </w:rPr>
              <w:br/>
              <w:t>(kt CO</w:t>
            </w:r>
            <w:r w:rsidRPr="00BE78CA">
              <w:rPr>
                <w:noProof w:val="0"/>
                <w:color w:val="FFFFFF" w:themeColor="background1"/>
                <w:szCs w:val="16"/>
                <w:vertAlign w:val="subscript"/>
              </w:rPr>
              <w:t>2</w:t>
            </w:r>
            <w:r w:rsidRPr="00BE78CA">
              <w:rPr>
                <w:noProof w:val="0"/>
                <w:color w:val="FFFFFF" w:themeColor="background1"/>
                <w:szCs w:val="16"/>
              </w:rPr>
              <w:t>-e)</w:t>
            </w:r>
          </w:p>
        </w:tc>
        <w:tc>
          <w:tcPr>
            <w:tcW w:w="1811" w:type="dxa"/>
            <w:gridSpan w:val="2"/>
            <w:tcBorders>
              <w:top w:val="single" w:sz="4" w:space="0" w:color="365F91"/>
              <w:left w:val="nil"/>
              <w:bottom w:val="nil"/>
              <w:right w:val="nil"/>
            </w:tcBorders>
            <w:shd w:val="clear" w:color="auto" w:fill="365F91"/>
            <w:vAlign w:val="bottom"/>
          </w:tcPr>
          <w:p w14:paraId="29320855" w14:textId="77777777" w:rsidR="00F02481" w:rsidRPr="00BE78CA" w:rsidRDefault="00F02481" w:rsidP="00C26084">
            <w:pPr>
              <w:pStyle w:val="TableTextBold"/>
              <w:keepNext/>
              <w:spacing w:before="40" w:after="40"/>
              <w:jc w:val="center"/>
              <w:rPr>
                <w:noProof w:val="0"/>
                <w:color w:val="FFFFFF" w:themeColor="background1"/>
                <w:szCs w:val="16"/>
              </w:rPr>
            </w:pPr>
            <w:r w:rsidRPr="00BE78CA">
              <w:rPr>
                <w:noProof w:val="0"/>
                <w:color w:val="FFFFFF" w:themeColor="background1"/>
                <w:szCs w:val="16"/>
              </w:rPr>
              <w:t>Change from 1990</w:t>
            </w:r>
          </w:p>
        </w:tc>
        <w:tc>
          <w:tcPr>
            <w:tcW w:w="1611" w:type="dxa"/>
            <w:gridSpan w:val="2"/>
            <w:tcBorders>
              <w:top w:val="single" w:sz="4" w:space="0" w:color="365F91"/>
              <w:left w:val="nil"/>
              <w:bottom w:val="nil"/>
              <w:right w:val="nil"/>
            </w:tcBorders>
            <w:shd w:val="clear" w:color="auto" w:fill="365F91"/>
            <w:vAlign w:val="bottom"/>
          </w:tcPr>
          <w:p w14:paraId="7F767C8B" w14:textId="77777777" w:rsidR="00F02481" w:rsidRPr="00BE78CA" w:rsidRDefault="00F02481" w:rsidP="00C26084">
            <w:pPr>
              <w:pStyle w:val="TableTextBold"/>
              <w:keepNext/>
              <w:spacing w:before="40" w:after="0"/>
              <w:jc w:val="center"/>
              <w:rPr>
                <w:noProof w:val="0"/>
                <w:color w:val="FFFFFF" w:themeColor="background1"/>
                <w:szCs w:val="16"/>
              </w:rPr>
            </w:pPr>
            <w:r w:rsidRPr="00BE78CA">
              <w:rPr>
                <w:noProof w:val="0"/>
                <w:color w:val="FFFFFF" w:themeColor="background1"/>
                <w:szCs w:val="16"/>
              </w:rPr>
              <w:t>Share of Manure management category (%)</w:t>
            </w:r>
          </w:p>
        </w:tc>
        <w:tc>
          <w:tcPr>
            <w:tcW w:w="1460" w:type="dxa"/>
            <w:gridSpan w:val="2"/>
            <w:tcBorders>
              <w:top w:val="single" w:sz="4" w:space="0" w:color="365F91"/>
              <w:left w:val="nil"/>
              <w:bottom w:val="nil"/>
              <w:right w:val="nil"/>
            </w:tcBorders>
            <w:shd w:val="clear" w:color="auto" w:fill="365F91"/>
            <w:vAlign w:val="bottom"/>
          </w:tcPr>
          <w:p w14:paraId="7F94CE43" w14:textId="77777777" w:rsidR="00F02481" w:rsidRPr="00BE78CA" w:rsidRDefault="00F02481" w:rsidP="00C26084">
            <w:pPr>
              <w:pStyle w:val="TableTextBold"/>
              <w:keepNext/>
              <w:spacing w:before="40" w:after="0"/>
              <w:jc w:val="center"/>
              <w:rPr>
                <w:noProof w:val="0"/>
                <w:color w:val="FFFFFF" w:themeColor="background1"/>
                <w:szCs w:val="16"/>
              </w:rPr>
            </w:pPr>
            <w:r w:rsidRPr="00BE78CA">
              <w:rPr>
                <w:noProof w:val="0"/>
                <w:color w:val="FFFFFF" w:themeColor="background1"/>
                <w:szCs w:val="16"/>
              </w:rPr>
              <w:t>Share of total Agriculture sector (%)</w:t>
            </w:r>
          </w:p>
        </w:tc>
      </w:tr>
      <w:tr w:rsidR="00416320" w:rsidRPr="00BE78CA" w14:paraId="53C9BE85" w14:textId="77777777" w:rsidTr="00F10FB9">
        <w:tc>
          <w:tcPr>
            <w:tcW w:w="1948" w:type="dxa"/>
            <w:vMerge/>
            <w:tcBorders>
              <w:top w:val="nil"/>
              <w:left w:val="nil"/>
              <w:bottom w:val="single" w:sz="4" w:space="0" w:color="365F91"/>
              <w:right w:val="nil"/>
            </w:tcBorders>
            <w:shd w:val="clear" w:color="auto" w:fill="365F91"/>
            <w:vAlign w:val="bottom"/>
          </w:tcPr>
          <w:p w14:paraId="18833F43" w14:textId="77777777" w:rsidR="00F02481" w:rsidRPr="00BE78CA" w:rsidRDefault="00F02481" w:rsidP="00C26084">
            <w:pPr>
              <w:keepNext/>
              <w:spacing w:before="40" w:after="40"/>
              <w:rPr>
                <w:rFonts w:cs="Calibri"/>
                <w:b/>
                <w:color w:val="FFFFFF" w:themeColor="background1"/>
                <w:sz w:val="16"/>
                <w:szCs w:val="16"/>
              </w:rPr>
            </w:pPr>
          </w:p>
        </w:tc>
        <w:tc>
          <w:tcPr>
            <w:tcW w:w="837" w:type="dxa"/>
            <w:tcBorders>
              <w:top w:val="nil"/>
              <w:left w:val="nil"/>
              <w:bottom w:val="single" w:sz="4" w:space="0" w:color="365F91"/>
              <w:right w:val="nil"/>
            </w:tcBorders>
            <w:shd w:val="clear" w:color="auto" w:fill="365F91"/>
            <w:vAlign w:val="bottom"/>
          </w:tcPr>
          <w:p w14:paraId="7E1EAEF9" w14:textId="77777777" w:rsidR="00F02481" w:rsidRPr="00BE78CA" w:rsidRDefault="00F02481" w:rsidP="00C26084">
            <w:pPr>
              <w:pStyle w:val="TableTextBold"/>
              <w:keepNext/>
              <w:spacing w:before="0" w:after="40"/>
              <w:jc w:val="center"/>
              <w:rPr>
                <w:noProof w:val="0"/>
                <w:color w:val="FFFFFF" w:themeColor="background1"/>
                <w:szCs w:val="16"/>
              </w:rPr>
            </w:pPr>
            <w:r w:rsidRPr="00BE78CA">
              <w:rPr>
                <w:noProof w:val="0"/>
                <w:color w:val="FFFFFF" w:themeColor="background1"/>
                <w:szCs w:val="16"/>
              </w:rPr>
              <w:t>1990</w:t>
            </w:r>
          </w:p>
        </w:tc>
        <w:tc>
          <w:tcPr>
            <w:tcW w:w="838" w:type="dxa"/>
            <w:tcBorders>
              <w:top w:val="nil"/>
              <w:left w:val="nil"/>
              <w:bottom w:val="single" w:sz="4" w:space="0" w:color="365F91"/>
              <w:right w:val="nil"/>
            </w:tcBorders>
            <w:shd w:val="clear" w:color="auto" w:fill="365F91"/>
            <w:vAlign w:val="bottom"/>
          </w:tcPr>
          <w:p w14:paraId="7A2B8B27" w14:textId="77777777" w:rsidR="00F02481" w:rsidRPr="00BE78CA" w:rsidRDefault="00F02481" w:rsidP="00C26084">
            <w:pPr>
              <w:pStyle w:val="TableTextBold"/>
              <w:keepNext/>
              <w:spacing w:before="40" w:after="40"/>
              <w:jc w:val="center"/>
              <w:rPr>
                <w:noProof w:val="0"/>
                <w:color w:val="FFFFFF" w:themeColor="background1"/>
                <w:szCs w:val="16"/>
              </w:rPr>
            </w:pPr>
            <w:r w:rsidRPr="00BE78CA">
              <w:rPr>
                <w:noProof w:val="0"/>
                <w:color w:val="FFFFFF" w:themeColor="background1"/>
                <w:szCs w:val="16"/>
              </w:rPr>
              <w:t>2019</w:t>
            </w:r>
          </w:p>
        </w:tc>
        <w:tc>
          <w:tcPr>
            <w:tcW w:w="772" w:type="dxa"/>
            <w:tcBorders>
              <w:top w:val="nil"/>
              <w:left w:val="nil"/>
              <w:bottom w:val="single" w:sz="4" w:space="0" w:color="365F91"/>
              <w:right w:val="nil"/>
            </w:tcBorders>
            <w:shd w:val="clear" w:color="auto" w:fill="365F91"/>
            <w:vAlign w:val="bottom"/>
          </w:tcPr>
          <w:p w14:paraId="73864B61" w14:textId="77777777" w:rsidR="00F02481" w:rsidRPr="00BE78CA" w:rsidRDefault="00F02481" w:rsidP="00C26084">
            <w:pPr>
              <w:pStyle w:val="TableTextBold"/>
              <w:keepNext/>
              <w:spacing w:before="0" w:after="40"/>
              <w:jc w:val="center"/>
              <w:rPr>
                <w:noProof w:val="0"/>
                <w:color w:val="FFFFFF" w:themeColor="background1"/>
                <w:szCs w:val="16"/>
              </w:rPr>
            </w:pPr>
            <w:r w:rsidRPr="00BE78CA">
              <w:rPr>
                <w:noProof w:val="0"/>
                <w:color w:val="FFFFFF" w:themeColor="background1"/>
                <w:szCs w:val="16"/>
              </w:rPr>
              <w:t>%</w:t>
            </w:r>
          </w:p>
        </w:tc>
        <w:tc>
          <w:tcPr>
            <w:tcW w:w="1039" w:type="dxa"/>
            <w:tcBorders>
              <w:top w:val="nil"/>
              <w:left w:val="nil"/>
              <w:bottom w:val="single" w:sz="4" w:space="0" w:color="365F91"/>
              <w:right w:val="nil"/>
            </w:tcBorders>
            <w:shd w:val="clear" w:color="auto" w:fill="365F91"/>
            <w:vAlign w:val="bottom"/>
          </w:tcPr>
          <w:p w14:paraId="0206BDF4" w14:textId="77777777" w:rsidR="00F02481" w:rsidRPr="00BE78CA" w:rsidRDefault="00F02481" w:rsidP="00C26084">
            <w:pPr>
              <w:pStyle w:val="TableTextBold"/>
              <w:keepNext/>
              <w:spacing w:before="0" w:after="0"/>
              <w:jc w:val="center"/>
              <w:rPr>
                <w:noProof w:val="0"/>
                <w:color w:val="FFFFFF" w:themeColor="background1"/>
                <w:szCs w:val="16"/>
              </w:rPr>
            </w:pPr>
            <w:r w:rsidRPr="00BE78CA">
              <w:rPr>
                <w:noProof w:val="0"/>
                <w:color w:val="FFFFFF" w:themeColor="background1"/>
                <w:szCs w:val="16"/>
              </w:rPr>
              <w:t>Difference</w:t>
            </w:r>
            <w:r w:rsidRPr="00BE78CA">
              <w:rPr>
                <w:noProof w:val="0"/>
                <w:color w:val="FFFFFF" w:themeColor="background1"/>
                <w:szCs w:val="16"/>
              </w:rPr>
              <w:br/>
              <w:t>(kt CO</w:t>
            </w:r>
            <w:r w:rsidRPr="00BE78CA">
              <w:rPr>
                <w:noProof w:val="0"/>
                <w:color w:val="FFFFFF" w:themeColor="background1"/>
                <w:szCs w:val="16"/>
                <w:vertAlign w:val="subscript"/>
              </w:rPr>
              <w:t>2</w:t>
            </w:r>
            <w:r w:rsidRPr="00BE78CA">
              <w:rPr>
                <w:noProof w:val="0"/>
                <w:color w:val="FFFFFF" w:themeColor="background1"/>
                <w:szCs w:val="16"/>
              </w:rPr>
              <w:t>-e)</w:t>
            </w:r>
          </w:p>
        </w:tc>
        <w:tc>
          <w:tcPr>
            <w:tcW w:w="837" w:type="dxa"/>
            <w:tcBorders>
              <w:top w:val="nil"/>
              <w:left w:val="nil"/>
              <w:bottom w:val="single" w:sz="4" w:space="0" w:color="365F91"/>
              <w:right w:val="nil"/>
            </w:tcBorders>
            <w:shd w:val="clear" w:color="auto" w:fill="365F91"/>
            <w:vAlign w:val="bottom"/>
          </w:tcPr>
          <w:p w14:paraId="57B1FAE7" w14:textId="77777777" w:rsidR="00F02481" w:rsidRPr="00BE78CA" w:rsidRDefault="00F02481" w:rsidP="00C26084">
            <w:pPr>
              <w:pStyle w:val="TableTextBold"/>
              <w:keepNext/>
              <w:spacing w:before="0" w:after="40"/>
              <w:jc w:val="right"/>
              <w:rPr>
                <w:noProof w:val="0"/>
                <w:color w:val="FFFFFF" w:themeColor="background1"/>
                <w:szCs w:val="16"/>
              </w:rPr>
            </w:pPr>
            <w:r w:rsidRPr="00BE78CA">
              <w:rPr>
                <w:noProof w:val="0"/>
                <w:color w:val="FFFFFF" w:themeColor="background1"/>
                <w:szCs w:val="16"/>
              </w:rPr>
              <w:t>1990</w:t>
            </w:r>
          </w:p>
        </w:tc>
        <w:tc>
          <w:tcPr>
            <w:tcW w:w="774" w:type="dxa"/>
            <w:tcBorders>
              <w:top w:val="nil"/>
              <w:left w:val="nil"/>
              <w:bottom w:val="single" w:sz="4" w:space="0" w:color="365F91"/>
              <w:right w:val="nil"/>
            </w:tcBorders>
            <w:shd w:val="clear" w:color="auto" w:fill="365F91"/>
            <w:vAlign w:val="bottom"/>
          </w:tcPr>
          <w:p w14:paraId="61F351C6" w14:textId="77777777" w:rsidR="00F02481" w:rsidRPr="00BE78CA" w:rsidRDefault="00F02481" w:rsidP="00C26084">
            <w:pPr>
              <w:pStyle w:val="TableTextBold"/>
              <w:keepNext/>
              <w:spacing w:before="0" w:after="40"/>
              <w:jc w:val="right"/>
              <w:rPr>
                <w:noProof w:val="0"/>
                <w:color w:val="FFFFFF" w:themeColor="background1"/>
                <w:szCs w:val="16"/>
              </w:rPr>
            </w:pPr>
            <w:r w:rsidRPr="00BE78CA">
              <w:rPr>
                <w:noProof w:val="0"/>
                <w:color w:val="FFFFFF" w:themeColor="background1"/>
                <w:szCs w:val="16"/>
              </w:rPr>
              <w:t>2019</w:t>
            </w:r>
          </w:p>
        </w:tc>
        <w:tc>
          <w:tcPr>
            <w:tcW w:w="733" w:type="dxa"/>
            <w:tcBorders>
              <w:top w:val="nil"/>
              <w:left w:val="nil"/>
              <w:bottom w:val="single" w:sz="4" w:space="0" w:color="365F91"/>
              <w:right w:val="nil"/>
            </w:tcBorders>
            <w:shd w:val="clear" w:color="auto" w:fill="365F91"/>
            <w:vAlign w:val="bottom"/>
          </w:tcPr>
          <w:p w14:paraId="4E951250" w14:textId="77777777" w:rsidR="00F02481" w:rsidRPr="00BE78CA" w:rsidRDefault="00F02481" w:rsidP="00C26084">
            <w:pPr>
              <w:pStyle w:val="TableTextBold"/>
              <w:keepNext/>
              <w:spacing w:before="0" w:after="40"/>
              <w:jc w:val="right"/>
              <w:rPr>
                <w:noProof w:val="0"/>
                <w:color w:val="FFFFFF" w:themeColor="background1"/>
                <w:szCs w:val="16"/>
              </w:rPr>
            </w:pPr>
            <w:r w:rsidRPr="00BE78CA">
              <w:rPr>
                <w:noProof w:val="0"/>
                <w:color w:val="FFFFFF" w:themeColor="background1"/>
                <w:szCs w:val="16"/>
              </w:rPr>
              <w:t>1990</w:t>
            </w:r>
          </w:p>
        </w:tc>
        <w:tc>
          <w:tcPr>
            <w:tcW w:w="727" w:type="dxa"/>
            <w:tcBorders>
              <w:top w:val="nil"/>
              <w:left w:val="nil"/>
              <w:bottom w:val="single" w:sz="4" w:space="0" w:color="365F91"/>
              <w:right w:val="nil"/>
            </w:tcBorders>
            <w:shd w:val="clear" w:color="auto" w:fill="365F91"/>
            <w:vAlign w:val="bottom"/>
          </w:tcPr>
          <w:p w14:paraId="47EC6ACB" w14:textId="77777777" w:rsidR="00F02481" w:rsidRPr="00BE78CA" w:rsidRDefault="00F02481" w:rsidP="00C26084">
            <w:pPr>
              <w:pStyle w:val="TableTextBold"/>
              <w:keepNext/>
              <w:spacing w:before="40" w:after="40"/>
              <w:jc w:val="right"/>
              <w:rPr>
                <w:noProof w:val="0"/>
                <w:color w:val="FFFFFF" w:themeColor="background1"/>
                <w:szCs w:val="16"/>
              </w:rPr>
            </w:pPr>
            <w:r w:rsidRPr="00BE78CA">
              <w:rPr>
                <w:noProof w:val="0"/>
                <w:color w:val="FFFFFF" w:themeColor="background1"/>
                <w:szCs w:val="16"/>
              </w:rPr>
              <w:t>2019</w:t>
            </w:r>
          </w:p>
        </w:tc>
      </w:tr>
      <w:tr w:rsidR="00F02481" w:rsidRPr="00BE78CA" w14:paraId="76A4779D" w14:textId="77777777" w:rsidTr="00F10FB9">
        <w:tc>
          <w:tcPr>
            <w:tcW w:w="1948" w:type="dxa"/>
            <w:tcBorders>
              <w:top w:val="single" w:sz="4" w:space="0" w:color="365F91"/>
              <w:left w:val="nil"/>
              <w:bottom w:val="single" w:sz="4" w:space="0" w:color="365F91"/>
              <w:right w:val="nil"/>
            </w:tcBorders>
            <w:shd w:val="clear" w:color="auto" w:fill="auto"/>
          </w:tcPr>
          <w:p w14:paraId="7D9EC6CF" w14:textId="77777777" w:rsidR="00F02481" w:rsidRPr="00BE78CA" w:rsidRDefault="00F02481" w:rsidP="00416320">
            <w:pPr>
              <w:pStyle w:val="TableText"/>
              <w:keepNext/>
              <w:rPr>
                <w:rFonts w:cs="Calibri"/>
                <w:szCs w:val="16"/>
              </w:rPr>
            </w:pPr>
            <w:r w:rsidRPr="00BE78CA">
              <w:rPr>
                <w:rFonts w:cs="Calibri"/>
                <w:szCs w:val="16"/>
              </w:rPr>
              <w:t>Methane (CRF 3.B.(a))</w:t>
            </w:r>
          </w:p>
        </w:tc>
        <w:tc>
          <w:tcPr>
            <w:tcW w:w="837" w:type="dxa"/>
            <w:tcBorders>
              <w:top w:val="single" w:sz="4" w:space="0" w:color="365F91"/>
              <w:left w:val="nil"/>
              <w:bottom w:val="single" w:sz="4" w:space="0" w:color="365F91"/>
              <w:right w:val="nil"/>
            </w:tcBorders>
            <w:shd w:val="clear" w:color="auto" w:fill="auto"/>
          </w:tcPr>
          <w:p w14:paraId="4F3DF2E0" w14:textId="77777777" w:rsidR="00F02481" w:rsidRPr="00BE78CA" w:rsidRDefault="00F02481" w:rsidP="00416320">
            <w:pPr>
              <w:pStyle w:val="TableText"/>
              <w:keepNext/>
              <w:jc w:val="right"/>
              <w:rPr>
                <w:rFonts w:cs="Calibri"/>
                <w:szCs w:val="16"/>
              </w:rPr>
            </w:pPr>
            <w:r w:rsidRPr="00BE78CA">
              <w:rPr>
                <w:rFonts w:cs="Calibri"/>
                <w:szCs w:val="16"/>
              </w:rPr>
              <w:t>727.8</w:t>
            </w:r>
          </w:p>
        </w:tc>
        <w:tc>
          <w:tcPr>
            <w:tcW w:w="838" w:type="dxa"/>
            <w:tcBorders>
              <w:top w:val="single" w:sz="4" w:space="0" w:color="365F91"/>
              <w:left w:val="nil"/>
              <w:bottom w:val="single" w:sz="4" w:space="0" w:color="365F91"/>
              <w:right w:val="nil"/>
            </w:tcBorders>
            <w:shd w:val="clear" w:color="auto" w:fill="auto"/>
          </w:tcPr>
          <w:p w14:paraId="169B68FF" w14:textId="77777777" w:rsidR="00F02481" w:rsidRPr="00BE78CA" w:rsidRDefault="00F02481" w:rsidP="00416320">
            <w:pPr>
              <w:pStyle w:val="TableText"/>
              <w:keepNext/>
              <w:jc w:val="right"/>
              <w:rPr>
                <w:rFonts w:cs="Calibri"/>
                <w:szCs w:val="16"/>
              </w:rPr>
            </w:pPr>
            <w:r w:rsidRPr="00BE78CA">
              <w:rPr>
                <w:rFonts w:cs="Calibri"/>
                <w:szCs w:val="16"/>
              </w:rPr>
              <w:t>1,622.6</w:t>
            </w:r>
          </w:p>
        </w:tc>
        <w:tc>
          <w:tcPr>
            <w:tcW w:w="772" w:type="dxa"/>
            <w:tcBorders>
              <w:top w:val="single" w:sz="4" w:space="0" w:color="365F91"/>
              <w:left w:val="nil"/>
              <w:bottom w:val="single" w:sz="4" w:space="0" w:color="365F91"/>
              <w:right w:val="nil"/>
            </w:tcBorders>
            <w:shd w:val="clear" w:color="auto" w:fill="auto"/>
          </w:tcPr>
          <w:p w14:paraId="6317CE82" w14:textId="77777777" w:rsidR="00F02481" w:rsidRPr="00BE78CA" w:rsidRDefault="00F02481" w:rsidP="00416320">
            <w:pPr>
              <w:pStyle w:val="TableText"/>
              <w:keepNext/>
              <w:jc w:val="right"/>
              <w:rPr>
                <w:rFonts w:cs="Calibri"/>
                <w:szCs w:val="16"/>
              </w:rPr>
            </w:pPr>
            <w:r w:rsidRPr="00BE78CA">
              <w:rPr>
                <w:rFonts w:cs="Calibri"/>
                <w:szCs w:val="16"/>
              </w:rPr>
              <w:t>122.9</w:t>
            </w:r>
          </w:p>
        </w:tc>
        <w:tc>
          <w:tcPr>
            <w:tcW w:w="1039" w:type="dxa"/>
            <w:tcBorders>
              <w:top w:val="single" w:sz="4" w:space="0" w:color="365F91"/>
              <w:left w:val="nil"/>
              <w:bottom w:val="single" w:sz="4" w:space="0" w:color="365F91"/>
              <w:right w:val="nil"/>
            </w:tcBorders>
            <w:shd w:val="clear" w:color="auto" w:fill="auto"/>
          </w:tcPr>
          <w:p w14:paraId="235A4332" w14:textId="77777777" w:rsidR="00F02481" w:rsidRPr="00BE78CA" w:rsidRDefault="00F02481" w:rsidP="00416320">
            <w:pPr>
              <w:pStyle w:val="TableText"/>
              <w:keepNext/>
              <w:jc w:val="right"/>
              <w:rPr>
                <w:rFonts w:cs="Calibri"/>
                <w:szCs w:val="16"/>
              </w:rPr>
            </w:pPr>
            <w:r w:rsidRPr="00BE78CA">
              <w:rPr>
                <w:rFonts w:cs="Calibri"/>
                <w:szCs w:val="16"/>
              </w:rPr>
              <w:t>895.7</w:t>
            </w:r>
          </w:p>
        </w:tc>
        <w:tc>
          <w:tcPr>
            <w:tcW w:w="837" w:type="dxa"/>
            <w:tcBorders>
              <w:top w:val="single" w:sz="4" w:space="0" w:color="365F91"/>
              <w:left w:val="nil"/>
              <w:bottom w:val="single" w:sz="4" w:space="0" w:color="365F91"/>
              <w:right w:val="nil"/>
            </w:tcBorders>
            <w:shd w:val="clear" w:color="auto" w:fill="auto"/>
          </w:tcPr>
          <w:p w14:paraId="58D09334" w14:textId="77777777" w:rsidR="00F02481" w:rsidRPr="00BE78CA" w:rsidRDefault="00F02481" w:rsidP="00416320">
            <w:pPr>
              <w:pStyle w:val="TableText"/>
              <w:keepNext/>
              <w:jc w:val="right"/>
              <w:rPr>
                <w:rFonts w:cs="Calibri"/>
                <w:szCs w:val="16"/>
              </w:rPr>
            </w:pPr>
            <w:r w:rsidRPr="00BE78CA">
              <w:rPr>
                <w:rFonts w:cs="Calibri"/>
                <w:szCs w:val="16"/>
              </w:rPr>
              <w:t>93.5</w:t>
            </w:r>
          </w:p>
        </w:tc>
        <w:tc>
          <w:tcPr>
            <w:tcW w:w="774" w:type="dxa"/>
            <w:tcBorders>
              <w:top w:val="single" w:sz="4" w:space="0" w:color="365F91"/>
              <w:left w:val="nil"/>
              <w:bottom w:val="single" w:sz="4" w:space="0" w:color="365F91"/>
              <w:right w:val="nil"/>
            </w:tcBorders>
            <w:shd w:val="clear" w:color="auto" w:fill="auto"/>
          </w:tcPr>
          <w:p w14:paraId="54AC1B04" w14:textId="77777777" w:rsidR="00F02481" w:rsidRPr="00BE78CA" w:rsidRDefault="00F02481" w:rsidP="00416320">
            <w:pPr>
              <w:pStyle w:val="TableText"/>
              <w:keepNext/>
              <w:jc w:val="right"/>
              <w:rPr>
                <w:rFonts w:cs="Calibri"/>
                <w:szCs w:val="16"/>
              </w:rPr>
            </w:pPr>
            <w:r w:rsidRPr="00BE78CA">
              <w:rPr>
                <w:rFonts w:cs="Calibri"/>
                <w:szCs w:val="16"/>
              </w:rPr>
              <w:t>93.3</w:t>
            </w:r>
          </w:p>
        </w:tc>
        <w:tc>
          <w:tcPr>
            <w:tcW w:w="733" w:type="dxa"/>
            <w:tcBorders>
              <w:top w:val="single" w:sz="4" w:space="0" w:color="365F91"/>
              <w:left w:val="nil"/>
              <w:bottom w:val="single" w:sz="4" w:space="0" w:color="365F91"/>
              <w:right w:val="nil"/>
            </w:tcBorders>
            <w:shd w:val="clear" w:color="auto" w:fill="auto"/>
          </w:tcPr>
          <w:p w14:paraId="69953C39" w14:textId="77777777" w:rsidR="00F02481" w:rsidRPr="00BE78CA" w:rsidRDefault="00F02481" w:rsidP="00416320">
            <w:pPr>
              <w:pStyle w:val="TableText"/>
              <w:keepNext/>
              <w:jc w:val="right"/>
              <w:rPr>
                <w:rFonts w:cs="Calibri"/>
                <w:szCs w:val="16"/>
              </w:rPr>
            </w:pPr>
            <w:r w:rsidRPr="00BE78CA">
              <w:rPr>
                <w:rFonts w:cs="Calibri"/>
                <w:szCs w:val="16"/>
              </w:rPr>
              <w:t>2.2</w:t>
            </w:r>
          </w:p>
        </w:tc>
        <w:tc>
          <w:tcPr>
            <w:tcW w:w="727" w:type="dxa"/>
            <w:tcBorders>
              <w:top w:val="single" w:sz="4" w:space="0" w:color="365F91"/>
              <w:left w:val="nil"/>
              <w:bottom w:val="single" w:sz="4" w:space="0" w:color="365F91"/>
              <w:right w:val="nil"/>
            </w:tcBorders>
            <w:shd w:val="clear" w:color="auto" w:fill="auto"/>
          </w:tcPr>
          <w:p w14:paraId="1D343365" w14:textId="77777777" w:rsidR="00F02481" w:rsidRPr="00BE78CA" w:rsidRDefault="00F02481" w:rsidP="00416320">
            <w:pPr>
              <w:pStyle w:val="TableText"/>
              <w:keepNext/>
              <w:jc w:val="right"/>
              <w:rPr>
                <w:rFonts w:cs="Calibri"/>
                <w:szCs w:val="16"/>
              </w:rPr>
            </w:pPr>
            <w:r w:rsidRPr="00BE78CA">
              <w:rPr>
                <w:rFonts w:cs="Calibri"/>
                <w:szCs w:val="16"/>
              </w:rPr>
              <w:t>4.1</w:t>
            </w:r>
          </w:p>
        </w:tc>
      </w:tr>
      <w:tr w:rsidR="00F02481" w:rsidRPr="00BE78CA" w14:paraId="11835DEC" w14:textId="77777777" w:rsidTr="00F10FB9">
        <w:tc>
          <w:tcPr>
            <w:tcW w:w="1948" w:type="dxa"/>
            <w:tcBorders>
              <w:top w:val="single" w:sz="4" w:space="0" w:color="365F91"/>
              <w:left w:val="nil"/>
              <w:bottom w:val="single" w:sz="4" w:space="0" w:color="365F91"/>
              <w:right w:val="nil"/>
            </w:tcBorders>
            <w:shd w:val="clear" w:color="auto" w:fill="auto"/>
          </w:tcPr>
          <w:p w14:paraId="1E8DBEA5" w14:textId="77777777" w:rsidR="00F02481" w:rsidRPr="00BE78CA" w:rsidRDefault="00F02481" w:rsidP="00416320">
            <w:pPr>
              <w:pStyle w:val="TableText"/>
              <w:rPr>
                <w:rFonts w:cs="Calibri"/>
                <w:szCs w:val="16"/>
              </w:rPr>
            </w:pPr>
            <w:r w:rsidRPr="00BE78CA">
              <w:rPr>
                <w:rFonts w:cs="Calibri"/>
                <w:szCs w:val="16"/>
              </w:rPr>
              <w:t>Nitrous oxide (</w:t>
            </w:r>
            <w:r w:rsidRPr="00BE78CA">
              <w:rPr>
                <w:rFonts w:cs="Calibri"/>
                <w:spacing w:val="-2"/>
                <w:szCs w:val="16"/>
              </w:rPr>
              <w:t>CRF 3.B.(b))</w:t>
            </w:r>
          </w:p>
        </w:tc>
        <w:tc>
          <w:tcPr>
            <w:tcW w:w="837" w:type="dxa"/>
            <w:tcBorders>
              <w:top w:val="single" w:sz="4" w:space="0" w:color="365F91"/>
              <w:left w:val="nil"/>
              <w:bottom w:val="single" w:sz="4" w:space="0" w:color="365F91"/>
              <w:right w:val="nil"/>
            </w:tcBorders>
            <w:shd w:val="clear" w:color="auto" w:fill="auto"/>
            <w:vAlign w:val="bottom"/>
          </w:tcPr>
          <w:p w14:paraId="3ED7761D" w14:textId="77777777" w:rsidR="00F02481" w:rsidRPr="00BE78CA" w:rsidRDefault="00F02481" w:rsidP="00416320">
            <w:pPr>
              <w:pStyle w:val="TableText"/>
              <w:jc w:val="right"/>
              <w:rPr>
                <w:rFonts w:cs="Calibri"/>
                <w:szCs w:val="16"/>
              </w:rPr>
            </w:pPr>
            <w:r w:rsidRPr="00BE78CA">
              <w:rPr>
                <w:rFonts w:cs="Calibri"/>
                <w:szCs w:val="16"/>
              </w:rPr>
              <w:t>50.7</w:t>
            </w:r>
          </w:p>
        </w:tc>
        <w:tc>
          <w:tcPr>
            <w:tcW w:w="838" w:type="dxa"/>
            <w:tcBorders>
              <w:top w:val="single" w:sz="4" w:space="0" w:color="365F91"/>
              <w:left w:val="nil"/>
              <w:bottom w:val="single" w:sz="4" w:space="0" w:color="365F91"/>
              <w:right w:val="nil"/>
            </w:tcBorders>
            <w:shd w:val="clear" w:color="auto" w:fill="auto"/>
            <w:vAlign w:val="bottom"/>
          </w:tcPr>
          <w:p w14:paraId="6ADB1CE3" w14:textId="77777777" w:rsidR="00F02481" w:rsidRPr="00BE78CA" w:rsidRDefault="00F02481" w:rsidP="00416320">
            <w:pPr>
              <w:pStyle w:val="TableText"/>
              <w:jc w:val="right"/>
              <w:rPr>
                <w:rFonts w:cs="Calibri"/>
                <w:szCs w:val="16"/>
              </w:rPr>
            </w:pPr>
            <w:r w:rsidRPr="00BE78CA">
              <w:rPr>
                <w:rFonts w:cs="Calibri"/>
                <w:szCs w:val="16"/>
              </w:rPr>
              <w:t>116.4</w:t>
            </w:r>
          </w:p>
        </w:tc>
        <w:tc>
          <w:tcPr>
            <w:tcW w:w="772" w:type="dxa"/>
            <w:tcBorders>
              <w:top w:val="single" w:sz="4" w:space="0" w:color="365F91"/>
              <w:left w:val="nil"/>
              <w:bottom w:val="single" w:sz="4" w:space="0" w:color="365F91"/>
              <w:right w:val="nil"/>
            </w:tcBorders>
            <w:shd w:val="clear" w:color="auto" w:fill="auto"/>
            <w:vAlign w:val="bottom"/>
          </w:tcPr>
          <w:p w14:paraId="72F00EF2" w14:textId="77777777" w:rsidR="00F02481" w:rsidRPr="00BE78CA" w:rsidRDefault="00F02481" w:rsidP="00416320">
            <w:pPr>
              <w:pStyle w:val="TableText"/>
              <w:jc w:val="right"/>
              <w:rPr>
                <w:rFonts w:cs="Calibri"/>
                <w:szCs w:val="16"/>
              </w:rPr>
            </w:pPr>
            <w:r w:rsidRPr="00BE78CA">
              <w:rPr>
                <w:rFonts w:cs="Calibri"/>
                <w:szCs w:val="16"/>
              </w:rPr>
              <w:t>129.6</w:t>
            </w:r>
          </w:p>
        </w:tc>
        <w:tc>
          <w:tcPr>
            <w:tcW w:w="1039" w:type="dxa"/>
            <w:tcBorders>
              <w:top w:val="single" w:sz="4" w:space="0" w:color="365F91"/>
              <w:left w:val="nil"/>
              <w:bottom w:val="single" w:sz="4" w:space="0" w:color="365F91"/>
              <w:right w:val="nil"/>
            </w:tcBorders>
            <w:shd w:val="clear" w:color="auto" w:fill="auto"/>
            <w:vAlign w:val="bottom"/>
          </w:tcPr>
          <w:p w14:paraId="7E7A5C10" w14:textId="77777777" w:rsidR="00F02481" w:rsidRPr="00BE78CA" w:rsidRDefault="00F02481" w:rsidP="00416320">
            <w:pPr>
              <w:pStyle w:val="TableText"/>
              <w:jc w:val="right"/>
              <w:rPr>
                <w:rFonts w:cs="Calibri"/>
                <w:szCs w:val="16"/>
              </w:rPr>
            </w:pPr>
            <w:r w:rsidRPr="00BE78CA">
              <w:rPr>
                <w:rFonts w:cs="Calibri"/>
                <w:szCs w:val="16"/>
              </w:rPr>
              <w:t>65.7</w:t>
            </w:r>
          </w:p>
        </w:tc>
        <w:tc>
          <w:tcPr>
            <w:tcW w:w="837" w:type="dxa"/>
            <w:tcBorders>
              <w:top w:val="single" w:sz="4" w:space="0" w:color="365F91"/>
              <w:left w:val="nil"/>
              <w:bottom w:val="single" w:sz="4" w:space="0" w:color="365F91"/>
              <w:right w:val="nil"/>
            </w:tcBorders>
            <w:shd w:val="clear" w:color="auto" w:fill="auto"/>
            <w:vAlign w:val="bottom"/>
          </w:tcPr>
          <w:p w14:paraId="372ABF49" w14:textId="77777777" w:rsidR="00F02481" w:rsidRPr="00BE78CA" w:rsidRDefault="00F02481" w:rsidP="00416320">
            <w:pPr>
              <w:pStyle w:val="TableText"/>
              <w:jc w:val="right"/>
              <w:rPr>
                <w:rFonts w:cs="Calibri"/>
                <w:szCs w:val="16"/>
              </w:rPr>
            </w:pPr>
            <w:r w:rsidRPr="00BE78CA">
              <w:rPr>
                <w:rFonts w:cs="Calibri"/>
                <w:szCs w:val="16"/>
              </w:rPr>
              <w:t>6.5</w:t>
            </w:r>
          </w:p>
        </w:tc>
        <w:tc>
          <w:tcPr>
            <w:tcW w:w="774" w:type="dxa"/>
            <w:tcBorders>
              <w:top w:val="single" w:sz="4" w:space="0" w:color="365F91"/>
              <w:left w:val="nil"/>
              <w:bottom w:val="single" w:sz="4" w:space="0" w:color="365F91"/>
              <w:right w:val="nil"/>
            </w:tcBorders>
            <w:shd w:val="clear" w:color="auto" w:fill="auto"/>
            <w:vAlign w:val="bottom"/>
          </w:tcPr>
          <w:p w14:paraId="7DF91587" w14:textId="77777777" w:rsidR="00F02481" w:rsidRPr="00BE78CA" w:rsidRDefault="00F02481" w:rsidP="00416320">
            <w:pPr>
              <w:pStyle w:val="TableText"/>
              <w:jc w:val="right"/>
              <w:rPr>
                <w:rFonts w:cs="Calibri"/>
                <w:szCs w:val="16"/>
              </w:rPr>
            </w:pPr>
            <w:r w:rsidRPr="00BE78CA">
              <w:rPr>
                <w:rFonts w:cs="Calibri"/>
                <w:szCs w:val="16"/>
              </w:rPr>
              <w:t>6.7</w:t>
            </w:r>
          </w:p>
        </w:tc>
        <w:tc>
          <w:tcPr>
            <w:tcW w:w="733" w:type="dxa"/>
            <w:tcBorders>
              <w:top w:val="single" w:sz="4" w:space="0" w:color="365F91"/>
              <w:left w:val="nil"/>
              <w:bottom w:val="single" w:sz="4" w:space="0" w:color="365F91"/>
              <w:right w:val="nil"/>
            </w:tcBorders>
            <w:shd w:val="clear" w:color="auto" w:fill="auto"/>
            <w:vAlign w:val="bottom"/>
          </w:tcPr>
          <w:p w14:paraId="57BBDD38" w14:textId="77777777" w:rsidR="00F02481" w:rsidRPr="00BE78CA" w:rsidRDefault="00F02481" w:rsidP="00416320">
            <w:pPr>
              <w:pStyle w:val="TableText"/>
              <w:jc w:val="right"/>
              <w:rPr>
                <w:rFonts w:cs="Calibri"/>
                <w:szCs w:val="16"/>
              </w:rPr>
            </w:pPr>
            <w:r w:rsidRPr="00BE78CA">
              <w:rPr>
                <w:rFonts w:cs="Calibri"/>
                <w:szCs w:val="16"/>
              </w:rPr>
              <w:t>0.1</w:t>
            </w:r>
          </w:p>
        </w:tc>
        <w:tc>
          <w:tcPr>
            <w:tcW w:w="727" w:type="dxa"/>
            <w:tcBorders>
              <w:top w:val="single" w:sz="4" w:space="0" w:color="365F91"/>
              <w:left w:val="nil"/>
              <w:bottom w:val="single" w:sz="4" w:space="0" w:color="365F91"/>
              <w:right w:val="nil"/>
            </w:tcBorders>
            <w:shd w:val="clear" w:color="auto" w:fill="auto"/>
            <w:vAlign w:val="bottom"/>
          </w:tcPr>
          <w:p w14:paraId="5D228CE0" w14:textId="77777777" w:rsidR="00F02481" w:rsidRPr="00BE78CA" w:rsidRDefault="00F02481" w:rsidP="00416320">
            <w:pPr>
              <w:pStyle w:val="TableText"/>
              <w:jc w:val="right"/>
              <w:rPr>
                <w:rFonts w:cs="Calibri"/>
                <w:szCs w:val="16"/>
              </w:rPr>
            </w:pPr>
            <w:r w:rsidRPr="00BE78CA">
              <w:rPr>
                <w:rFonts w:cs="Calibri"/>
                <w:szCs w:val="16"/>
              </w:rPr>
              <w:t>0.3</w:t>
            </w:r>
          </w:p>
        </w:tc>
      </w:tr>
    </w:tbl>
    <w:p w14:paraId="77B6D377" w14:textId="7B055EE4" w:rsidR="00F02481" w:rsidRPr="00BE78CA" w:rsidRDefault="00F02481" w:rsidP="00C26084">
      <w:pPr>
        <w:pStyle w:val="BodyText"/>
        <w:spacing w:before="240"/>
        <w:rPr>
          <w:rFonts w:cs="Calibri"/>
        </w:rPr>
      </w:pPr>
      <w:r w:rsidRPr="00BE78CA">
        <w:rPr>
          <w:rFonts w:cs="Calibri"/>
        </w:rPr>
        <w:t xml:space="preserve">Table 5.3.2 shows the distribution of livestock waste across animal waste management systems in New Zealand. All beef cattle, sheep and deer manure is deposited directly onto pasture. Dairy cattle have a small amount of excreta (7.3 per cent in 2019) stored in anaerobic lagoon waste systems (Rollo et al., unpublished). This is based on the proportion of time dairy cattle spend on pasture compared with the time they spend in the milking shed. </w:t>
      </w:r>
    </w:p>
    <w:p w14:paraId="3BDB66EE" w14:textId="20FA72CD" w:rsidR="00F02481" w:rsidRPr="00BE78CA" w:rsidRDefault="00F02481" w:rsidP="00C26084">
      <w:pPr>
        <w:pStyle w:val="BodyText"/>
        <w:rPr>
          <w:rFonts w:cs="Calibri"/>
        </w:rPr>
      </w:pPr>
      <w:r w:rsidRPr="00BE78CA">
        <w:rPr>
          <w:rFonts w:cs="Calibri"/>
        </w:rPr>
        <w:t xml:space="preserve">The minor livestock categories of </w:t>
      </w:r>
      <w:r w:rsidRPr="00BE78CA">
        <w:rPr>
          <w:rFonts w:cs="Calibri"/>
          <w:i/>
          <w:iCs/>
        </w:rPr>
        <w:t>Goats</w:t>
      </w:r>
      <w:r w:rsidRPr="00BE78CA">
        <w:rPr>
          <w:rFonts w:cs="Calibri"/>
        </w:rPr>
        <w:t xml:space="preserve">, </w:t>
      </w:r>
      <w:r w:rsidRPr="00BE78CA">
        <w:rPr>
          <w:rFonts w:cs="Calibri"/>
          <w:i/>
          <w:iCs/>
        </w:rPr>
        <w:t>Horses</w:t>
      </w:r>
      <w:r w:rsidRPr="00BE78CA">
        <w:rPr>
          <w:rFonts w:cs="Calibri"/>
        </w:rPr>
        <w:t xml:space="preserve">, </w:t>
      </w:r>
      <w:r w:rsidRPr="00BE78CA">
        <w:rPr>
          <w:rFonts w:cs="Calibri"/>
          <w:i/>
          <w:iCs/>
        </w:rPr>
        <w:t>Mules and asses</w:t>
      </w:r>
      <w:r w:rsidRPr="00BE78CA">
        <w:rPr>
          <w:rFonts w:cs="Calibri"/>
        </w:rPr>
        <w:t xml:space="preserve">, and </w:t>
      </w:r>
      <w:r w:rsidR="0075029D" w:rsidRPr="00BE78CA">
        <w:rPr>
          <w:rFonts w:cs="Calibri"/>
        </w:rPr>
        <w:t>ll</w:t>
      </w:r>
      <w:r w:rsidRPr="00BE78CA">
        <w:rPr>
          <w:rFonts w:cs="Calibri"/>
        </w:rPr>
        <w:t>amas and alpacas are</w:t>
      </w:r>
      <w:r w:rsidR="000C13C4" w:rsidRPr="00BE78CA">
        <w:rPr>
          <w:rFonts w:cs="Calibri"/>
        </w:rPr>
        <w:t> </w:t>
      </w:r>
      <w:r w:rsidRPr="00BE78CA">
        <w:rPr>
          <w:rFonts w:cs="Calibri"/>
        </w:rPr>
        <w:t>assumed to graze outdoors all year and deposit all their manure directly onto pastures. Estimates of the proportions of different waste management systems for swine and poultry in the manure management systems in New Zealand have been provided by Hill (2012) and Fick et al. (2011) respectively.</w:t>
      </w:r>
    </w:p>
    <w:p w14:paraId="6B08851C" w14:textId="77777777" w:rsidR="00F02481" w:rsidRPr="00BE78CA" w:rsidRDefault="00F02481" w:rsidP="00C26084">
      <w:pPr>
        <w:pStyle w:val="Table"/>
        <w:rPr>
          <w:rFonts w:cs="Calibri"/>
        </w:rPr>
      </w:pPr>
      <w:bookmarkStart w:id="698" w:name="_Toc32570921"/>
      <w:bookmarkStart w:id="699" w:name="_Toc36224556"/>
      <w:bookmarkStart w:id="700" w:name="_Toc68786441"/>
      <w:r w:rsidRPr="00BE78CA">
        <w:rPr>
          <w:rFonts w:cs="Calibri"/>
        </w:rPr>
        <w:t>Table 5.3.2</w:t>
      </w:r>
      <w:r w:rsidRPr="00BE78CA">
        <w:rPr>
          <w:rFonts w:cs="Calibri"/>
        </w:rPr>
        <w:tab/>
        <w:t>Distribution of livestock waste across animal waste management systems in New Zealand</w:t>
      </w:r>
      <w:bookmarkEnd w:id="698"/>
      <w:bookmarkEnd w:id="699"/>
      <w:bookmarkEnd w:id="700"/>
    </w:p>
    <w:tbl>
      <w:tblPr>
        <w:tblW w:w="8505" w:type="dxa"/>
        <w:tblBorders>
          <w:top w:val="single" w:sz="4" w:space="0" w:color="365F91"/>
          <w:bottom w:val="single" w:sz="4" w:space="0" w:color="365F91"/>
          <w:insideH w:val="single" w:sz="4" w:space="0" w:color="365F91"/>
        </w:tblBorders>
        <w:tblLayout w:type="fixed"/>
        <w:tblLook w:val="01E0" w:firstRow="1" w:lastRow="1" w:firstColumn="1" w:lastColumn="1" w:noHBand="0" w:noVBand="0"/>
      </w:tblPr>
      <w:tblGrid>
        <w:gridCol w:w="1767"/>
        <w:gridCol w:w="1651"/>
        <w:gridCol w:w="1424"/>
        <w:gridCol w:w="1431"/>
        <w:gridCol w:w="1264"/>
        <w:gridCol w:w="968"/>
      </w:tblGrid>
      <w:tr w:rsidR="00416320" w:rsidRPr="00BE78CA" w14:paraId="384F9425" w14:textId="77777777" w:rsidTr="00416320">
        <w:trPr>
          <w:cantSplit/>
          <w:tblHeader/>
        </w:trPr>
        <w:tc>
          <w:tcPr>
            <w:tcW w:w="1758" w:type="dxa"/>
            <w:shd w:val="clear" w:color="auto" w:fill="365F91"/>
            <w:vAlign w:val="bottom"/>
          </w:tcPr>
          <w:p w14:paraId="40E77C68" w14:textId="77777777" w:rsidR="00F02481" w:rsidRPr="00BE78CA" w:rsidRDefault="00F02481" w:rsidP="00C26084">
            <w:pPr>
              <w:pStyle w:val="TableTextBold"/>
              <w:keepNext/>
              <w:rPr>
                <w:noProof w:val="0"/>
                <w:color w:val="FFFFFF" w:themeColor="background1"/>
                <w:szCs w:val="16"/>
              </w:rPr>
            </w:pPr>
            <w:r w:rsidRPr="00BE78CA">
              <w:rPr>
                <w:noProof w:val="0"/>
                <w:color w:val="FFFFFF" w:themeColor="background1"/>
                <w:szCs w:val="16"/>
              </w:rPr>
              <w:t>Livestock category</w:t>
            </w:r>
          </w:p>
        </w:tc>
        <w:tc>
          <w:tcPr>
            <w:tcW w:w="1644" w:type="dxa"/>
            <w:shd w:val="clear" w:color="auto" w:fill="365F91"/>
            <w:vAlign w:val="bottom"/>
          </w:tcPr>
          <w:p w14:paraId="0B9C77BA" w14:textId="77777777" w:rsidR="00F02481" w:rsidRPr="00BE78CA" w:rsidRDefault="00F02481" w:rsidP="00C26084">
            <w:pPr>
              <w:pStyle w:val="TableTextBold"/>
              <w:keepNext/>
              <w:jc w:val="center"/>
              <w:rPr>
                <w:noProof w:val="0"/>
                <w:color w:val="FFFFFF" w:themeColor="background1"/>
                <w:szCs w:val="16"/>
              </w:rPr>
            </w:pPr>
            <w:r w:rsidRPr="00BE78CA">
              <w:rPr>
                <w:noProof w:val="0"/>
                <w:color w:val="FFFFFF" w:themeColor="background1"/>
                <w:szCs w:val="16"/>
              </w:rPr>
              <w:t>Anaerobic lagoon (%)</w:t>
            </w:r>
          </w:p>
        </w:tc>
        <w:tc>
          <w:tcPr>
            <w:tcW w:w="1418" w:type="dxa"/>
            <w:shd w:val="clear" w:color="auto" w:fill="365F91"/>
            <w:vAlign w:val="bottom"/>
          </w:tcPr>
          <w:p w14:paraId="0CA9DB29" w14:textId="77777777" w:rsidR="00F02481" w:rsidRPr="00BE78CA" w:rsidRDefault="00F02481" w:rsidP="00C26084">
            <w:pPr>
              <w:pStyle w:val="TableTextBold"/>
              <w:keepNext/>
              <w:jc w:val="center"/>
              <w:rPr>
                <w:noProof w:val="0"/>
                <w:color w:val="FFFFFF" w:themeColor="background1"/>
                <w:szCs w:val="16"/>
              </w:rPr>
            </w:pPr>
            <w:r w:rsidRPr="00BE78CA">
              <w:rPr>
                <w:noProof w:val="0"/>
                <w:color w:val="FFFFFF" w:themeColor="background1"/>
                <w:szCs w:val="16"/>
              </w:rPr>
              <w:t>Daily spread</w:t>
            </w:r>
            <w:r w:rsidRPr="00BE78CA">
              <w:rPr>
                <w:rStyle w:val="FootnoteReference"/>
                <w:noProof w:val="0"/>
                <w:color w:val="FFFFFF" w:themeColor="background1"/>
                <w:sz w:val="16"/>
                <w:szCs w:val="16"/>
              </w:rPr>
              <w:footnoteReference w:id="46"/>
            </w:r>
            <w:r w:rsidRPr="00BE78CA">
              <w:rPr>
                <w:noProof w:val="0"/>
                <w:color w:val="FFFFFF" w:themeColor="background1"/>
                <w:szCs w:val="16"/>
              </w:rPr>
              <w:t xml:space="preserve"> (%)</w:t>
            </w:r>
          </w:p>
        </w:tc>
        <w:tc>
          <w:tcPr>
            <w:tcW w:w="1425" w:type="dxa"/>
            <w:shd w:val="clear" w:color="auto" w:fill="365F91"/>
            <w:vAlign w:val="bottom"/>
          </w:tcPr>
          <w:p w14:paraId="6B497D66" w14:textId="77777777" w:rsidR="00F02481" w:rsidRPr="00BE78CA" w:rsidRDefault="00F02481" w:rsidP="00C26084">
            <w:pPr>
              <w:pStyle w:val="TableTextBold"/>
              <w:keepNext/>
              <w:jc w:val="center"/>
              <w:rPr>
                <w:noProof w:val="0"/>
                <w:color w:val="FFFFFF" w:themeColor="background1"/>
                <w:szCs w:val="16"/>
              </w:rPr>
            </w:pPr>
            <w:r w:rsidRPr="00BE78CA">
              <w:rPr>
                <w:noProof w:val="0"/>
                <w:color w:val="FFFFFF" w:themeColor="background1"/>
                <w:szCs w:val="16"/>
              </w:rPr>
              <w:t>Pasture, range and paddock</w:t>
            </w:r>
            <w:r w:rsidRPr="00BE78CA">
              <w:rPr>
                <w:rStyle w:val="FootnoteReference"/>
                <w:noProof w:val="0"/>
                <w:color w:val="FFFFFF" w:themeColor="background1"/>
                <w:sz w:val="16"/>
                <w:szCs w:val="16"/>
              </w:rPr>
              <w:footnoteReference w:id="47"/>
            </w:r>
            <w:r w:rsidRPr="00BE78CA">
              <w:rPr>
                <w:noProof w:val="0"/>
                <w:color w:val="FFFFFF" w:themeColor="background1"/>
                <w:szCs w:val="16"/>
              </w:rPr>
              <w:t xml:space="preserve"> (%)</w:t>
            </w:r>
          </w:p>
        </w:tc>
        <w:tc>
          <w:tcPr>
            <w:tcW w:w="1258" w:type="dxa"/>
            <w:shd w:val="clear" w:color="auto" w:fill="365F91"/>
            <w:vAlign w:val="bottom"/>
          </w:tcPr>
          <w:p w14:paraId="7D5C9329" w14:textId="77777777" w:rsidR="00F02481" w:rsidRPr="00BE78CA" w:rsidRDefault="00F02481" w:rsidP="00C26084">
            <w:pPr>
              <w:pStyle w:val="TableTextBold"/>
              <w:keepNext/>
              <w:jc w:val="center"/>
              <w:rPr>
                <w:noProof w:val="0"/>
                <w:color w:val="FFFFFF" w:themeColor="background1"/>
                <w:szCs w:val="16"/>
              </w:rPr>
            </w:pPr>
            <w:r w:rsidRPr="00BE78CA">
              <w:rPr>
                <w:noProof w:val="0"/>
                <w:color w:val="FFFFFF" w:themeColor="background1"/>
                <w:szCs w:val="16"/>
              </w:rPr>
              <w:t>Solid storage and dry lot (%)</w:t>
            </w:r>
          </w:p>
        </w:tc>
        <w:tc>
          <w:tcPr>
            <w:tcW w:w="964" w:type="dxa"/>
            <w:shd w:val="clear" w:color="auto" w:fill="365F91"/>
            <w:vAlign w:val="bottom"/>
          </w:tcPr>
          <w:p w14:paraId="63867551" w14:textId="77777777" w:rsidR="00F02481" w:rsidRPr="00BE78CA" w:rsidRDefault="00F02481" w:rsidP="00C26084">
            <w:pPr>
              <w:pStyle w:val="TableTextBold"/>
              <w:keepNext/>
              <w:jc w:val="center"/>
              <w:rPr>
                <w:noProof w:val="0"/>
                <w:color w:val="FFFFFF" w:themeColor="background1"/>
                <w:szCs w:val="16"/>
              </w:rPr>
            </w:pPr>
            <w:r w:rsidRPr="00BE78CA">
              <w:rPr>
                <w:noProof w:val="0"/>
                <w:color w:val="FFFFFF" w:themeColor="background1"/>
                <w:szCs w:val="16"/>
              </w:rPr>
              <w:t>Other (%)</w:t>
            </w:r>
          </w:p>
        </w:tc>
      </w:tr>
      <w:tr w:rsidR="00F02481" w:rsidRPr="00BE78CA" w14:paraId="24538246" w14:textId="77777777" w:rsidTr="00416320">
        <w:trPr>
          <w:cantSplit/>
        </w:trPr>
        <w:tc>
          <w:tcPr>
            <w:tcW w:w="1758" w:type="dxa"/>
            <w:vAlign w:val="bottom"/>
          </w:tcPr>
          <w:p w14:paraId="5FF3229C" w14:textId="77777777" w:rsidR="00F02481" w:rsidRPr="00BE78CA" w:rsidRDefault="00F02481" w:rsidP="00416320">
            <w:pPr>
              <w:pStyle w:val="TableText"/>
              <w:spacing w:before="50" w:after="50"/>
              <w:rPr>
                <w:rFonts w:cs="Calibri"/>
                <w:szCs w:val="16"/>
              </w:rPr>
            </w:pPr>
            <w:r w:rsidRPr="00BE78CA">
              <w:rPr>
                <w:rFonts w:cs="Calibri"/>
                <w:szCs w:val="16"/>
              </w:rPr>
              <w:t>Dairy cattle</w:t>
            </w:r>
            <w:r w:rsidRPr="00BE78CA">
              <w:rPr>
                <w:rStyle w:val="FootnoteReference"/>
                <w:rFonts w:cs="Calibri"/>
                <w:sz w:val="16"/>
                <w:szCs w:val="16"/>
              </w:rPr>
              <w:footnoteReference w:id="48"/>
            </w:r>
          </w:p>
        </w:tc>
        <w:tc>
          <w:tcPr>
            <w:tcW w:w="1644" w:type="dxa"/>
            <w:vAlign w:val="center"/>
          </w:tcPr>
          <w:p w14:paraId="0D83AC57" w14:textId="77777777" w:rsidR="00F02481" w:rsidRPr="00BE78CA" w:rsidRDefault="00F02481" w:rsidP="00416320">
            <w:pPr>
              <w:pStyle w:val="TableText"/>
              <w:spacing w:before="50" w:after="50"/>
              <w:jc w:val="center"/>
              <w:rPr>
                <w:rFonts w:cs="Calibri"/>
                <w:szCs w:val="16"/>
              </w:rPr>
            </w:pPr>
            <w:r w:rsidRPr="00BE78CA">
              <w:rPr>
                <w:rFonts w:cs="Calibri"/>
                <w:szCs w:val="16"/>
              </w:rPr>
              <w:t>7.3</w:t>
            </w:r>
          </w:p>
        </w:tc>
        <w:tc>
          <w:tcPr>
            <w:tcW w:w="1418" w:type="dxa"/>
            <w:vAlign w:val="center"/>
          </w:tcPr>
          <w:p w14:paraId="0F774E24" w14:textId="77777777" w:rsidR="00F02481" w:rsidRPr="00BE78CA" w:rsidRDefault="00F02481" w:rsidP="00416320">
            <w:pPr>
              <w:pStyle w:val="TableText"/>
              <w:spacing w:before="50" w:after="50"/>
              <w:jc w:val="center"/>
              <w:rPr>
                <w:rFonts w:cs="Calibri"/>
                <w:szCs w:val="16"/>
              </w:rPr>
            </w:pPr>
            <w:r w:rsidRPr="00BE78CA">
              <w:rPr>
                <w:rFonts w:cs="Calibri"/>
                <w:szCs w:val="16"/>
              </w:rPr>
              <w:t>–</w:t>
            </w:r>
          </w:p>
        </w:tc>
        <w:tc>
          <w:tcPr>
            <w:tcW w:w="1425" w:type="dxa"/>
            <w:vAlign w:val="center"/>
          </w:tcPr>
          <w:p w14:paraId="6EFD67F5" w14:textId="77777777" w:rsidR="00F02481" w:rsidRPr="00BE78CA" w:rsidRDefault="00F02481" w:rsidP="00416320">
            <w:pPr>
              <w:pStyle w:val="TableText"/>
              <w:spacing w:before="50" w:after="50"/>
              <w:jc w:val="center"/>
              <w:rPr>
                <w:rFonts w:cs="Calibri"/>
                <w:szCs w:val="16"/>
              </w:rPr>
            </w:pPr>
            <w:r w:rsidRPr="00BE78CA">
              <w:rPr>
                <w:rFonts w:cs="Calibri"/>
                <w:szCs w:val="16"/>
              </w:rPr>
              <w:t>92.7</w:t>
            </w:r>
          </w:p>
        </w:tc>
        <w:tc>
          <w:tcPr>
            <w:tcW w:w="1258" w:type="dxa"/>
            <w:vAlign w:val="center"/>
          </w:tcPr>
          <w:p w14:paraId="0A8A1AA4" w14:textId="77777777" w:rsidR="00F02481" w:rsidRPr="00BE78CA" w:rsidRDefault="00F02481" w:rsidP="00416320">
            <w:pPr>
              <w:pStyle w:val="TableText"/>
              <w:spacing w:before="50" w:after="50"/>
              <w:jc w:val="center"/>
              <w:rPr>
                <w:rFonts w:cs="Calibri"/>
                <w:szCs w:val="16"/>
              </w:rPr>
            </w:pPr>
            <w:r w:rsidRPr="00BE78CA">
              <w:rPr>
                <w:rFonts w:cs="Calibri"/>
                <w:szCs w:val="16"/>
              </w:rPr>
              <w:t>–</w:t>
            </w:r>
          </w:p>
        </w:tc>
        <w:tc>
          <w:tcPr>
            <w:tcW w:w="964" w:type="dxa"/>
            <w:vAlign w:val="center"/>
          </w:tcPr>
          <w:p w14:paraId="6F2CCA23" w14:textId="77777777" w:rsidR="00F02481" w:rsidRPr="00BE78CA" w:rsidRDefault="00F02481" w:rsidP="00416320">
            <w:pPr>
              <w:pStyle w:val="TableText"/>
              <w:spacing w:before="50" w:after="50"/>
              <w:jc w:val="center"/>
              <w:rPr>
                <w:rFonts w:cs="Calibri"/>
                <w:szCs w:val="16"/>
              </w:rPr>
            </w:pPr>
            <w:r w:rsidRPr="00BE78CA">
              <w:rPr>
                <w:rFonts w:cs="Calibri"/>
                <w:szCs w:val="16"/>
              </w:rPr>
              <w:t>–</w:t>
            </w:r>
          </w:p>
        </w:tc>
      </w:tr>
      <w:tr w:rsidR="00F02481" w:rsidRPr="00BE78CA" w14:paraId="46160050" w14:textId="77777777" w:rsidTr="00416320">
        <w:trPr>
          <w:cantSplit/>
        </w:trPr>
        <w:tc>
          <w:tcPr>
            <w:tcW w:w="1758" w:type="dxa"/>
            <w:vAlign w:val="bottom"/>
          </w:tcPr>
          <w:p w14:paraId="32B97E17" w14:textId="77777777" w:rsidR="00F02481" w:rsidRPr="00BE78CA" w:rsidRDefault="00F02481" w:rsidP="00416320">
            <w:pPr>
              <w:pStyle w:val="TableText"/>
              <w:spacing w:before="50" w:after="50"/>
              <w:rPr>
                <w:rFonts w:cs="Calibri"/>
                <w:szCs w:val="16"/>
              </w:rPr>
            </w:pPr>
            <w:r w:rsidRPr="00BE78CA">
              <w:rPr>
                <w:rFonts w:cs="Calibri"/>
                <w:szCs w:val="16"/>
              </w:rPr>
              <w:t xml:space="preserve">Non-dairy </w:t>
            </w:r>
            <w:r w:rsidRPr="00BE78CA">
              <w:rPr>
                <w:rFonts w:cs="Calibri"/>
                <w:i/>
                <w:iCs/>
                <w:szCs w:val="16"/>
              </w:rPr>
              <w:t>(beef)</w:t>
            </w:r>
            <w:r w:rsidRPr="00BE78CA">
              <w:rPr>
                <w:rFonts w:cs="Calibri"/>
                <w:szCs w:val="16"/>
              </w:rPr>
              <w:t xml:space="preserve"> cattle</w:t>
            </w:r>
          </w:p>
        </w:tc>
        <w:tc>
          <w:tcPr>
            <w:tcW w:w="1644" w:type="dxa"/>
            <w:vAlign w:val="center"/>
          </w:tcPr>
          <w:p w14:paraId="1126F6D9" w14:textId="77777777" w:rsidR="00F02481" w:rsidRPr="00BE78CA" w:rsidRDefault="00F02481" w:rsidP="00416320">
            <w:pPr>
              <w:pStyle w:val="TableText"/>
              <w:spacing w:before="50" w:after="50"/>
              <w:jc w:val="center"/>
              <w:rPr>
                <w:rFonts w:cs="Calibri"/>
                <w:szCs w:val="16"/>
              </w:rPr>
            </w:pPr>
            <w:r w:rsidRPr="00BE78CA">
              <w:rPr>
                <w:rFonts w:cs="Calibri"/>
                <w:szCs w:val="16"/>
              </w:rPr>
              <w:t>–</w:t>
            </w:r>
          </w:p>
        </w:tc>
        <w:tc>
          <w:tcPr>
            <w:tcW w:w="1418" w:type="dxa"/>
            <w:vAlign w:val="center"/>
          </w:tcPr>
          <w:p w14:paraId="1ED8A90B" w14:textId="77777777" w:rsidR="00F02481" w:rsidRPr="00BE78CA" w:rsidRDefault="00F02481" w:rsidP="00416320">
            <w:pPr>
              <w:pStyle w:val="TableText"/>
              <w:spacing w:before="50" w:after="50"/>
              <w:jc w:val="center"/>
              <w:rPr>
                <w:rFonts w:cs="Calibri"/>
                <w:szCs w:val="16"/>
              </w:rPr>
            </w:pPr>
            <w:r w:rsidRPr="00BE78CA">
              <w:rPr>
                <w:rFonts w:cs="Calibri"/>
                <w:szCs w:val="16"/>
              </w:rPr>
              <w:t>–</w:t>
            </w:r>
          </w:p>
        </w:tc>
        <w:tc>
          <w:tcPr>
            <w:tcW w:w="1425" w:type="dxa"/>
            <w:vAlign w:val="center"/>
          </w:tcPr>
          <w:p w14:paraId="78D9C609" w14:textId="77777777" w:rsidR="00F02481" w:rsidRPr="00BE78CA" w:rsidRDefault="00F02481" w:rsidP="00416320">
            <w:pPr>
              <w:pStyle w:val="TableText"/>
              <w:spacing w:before="50" w:after="50"/>
              <w:jc w:val="center"/>
              <w:rPr>
                <w:rFonts w:cs="Calibri"/>
                <w:szCs w:val="16"/>
              </w:rPr>
            </w:pPr>
            <w:r w:rsidRPr="00BE78CA">
              <w:rPr>
                <w:rFonts w:cs="Calibri"/>
                <w:szCs w:val="16"/>
              </w:rPr>
              <w:t>100.0</w:t>
            </w:r>
          </w:p>
        </w:tc>
        <w:tc>
          <w:tcPr>
            <w:tcW w:w="1258" w:type="dxa"/>
            <w:vAlign w:val="center"/>
          </w:tcPr>
          <w:p w14:paraId="558F4C91" w14:textId="77777777" w:rsidR="00F02481" w:rsidRPr="00BE78CA" w:rsidRDefault="00F02481" w:rsidP="00416320">
            <w:pPr>
              <w:pStyle w:val="TableText"/>
              <w:spacing w:before="50" w:after="50"/>
              <w:jc w:val="center"/>
              <w:rPr>
                <w:rFonts w:cs="Calibri"/>
                <w:szCs w:val="16"/>
              </w:rPr>
            </w:pPr>
            <w:r w:rsidRPr="00BE78CA">
              <w:rPr>
                <w:rFonts w:cs="Calibri"/>
                <w:szCs w:val="16"/>
              </w:rPr>
              <w:t>–</w:t>
            </w:r>
          </w:p>
        </w:tc>
        <w:tc>
          <w:tcPr>
            <w:tcW w:w="964" w:type="dxa"/>
            <w:vAlign w:val="center"/>
          </w:tcPr>
          <w:p w14:paraId="757935E8" w14:textId="77777777" w:rsidR="00F02481" w:rsidRPr="00BE78CA" w:rsidRDefault="00F02481" w:rsidP="00416320">
            <w:pPr>
              <w:pStyle w:val="TableText"/>
              <w:spacing w:before="50" w:after="50"/>
              <w:jc w:val="center"/>
              <w:rPr>
                <w:rFonts w:cs="Calibri"/>
                <w:szCs w:val="16"/>
              </w:rPr>
            </w:pPr>
            <w:r w:rsidRPr="00BE78CA">
              <w:rPr>
                <w:rFonts w:cs="Calibri"/>
                <w:szCs w:val="16"/>
              </w:rPr>
              <w:t>–</w:t>
            </w:r>
          </w:p>
        </w:tc>
      </w:tr>
      <w:tr w:rsidR="00F02481" w:rsidRPr="00BE78CA" w14:paraId="3A62A910" w14:textId="77777777" w:rsidTr="00416320">
        <w:trPr>
          <w:cantSplit/>
        </w:trPr>
        <w:tc>
          <w:tcPr>
            <w:tcW w:w="1758" w:type="dxa"/>
            <w:vAlign w:val="bottom"/>
          </w:tcPr>
          <w:p w14:paraId="5516E0CB" w14:textId="77777777" w:rsidR="00F02481" w:rsidRPr="00BE78CA" w:rsidRDefault="00F02481" w:rsidP="00416320">
            <w:pPr>
              <w:pStyle w:val="TableText"/>
              <w:spacing w:before="50" w:after="50"/>
              <w:rPr>
                <w:rFonts w:cs="Calibri"/>
                <w:szCs w:val="16"/>
              </w:rPr>
            </w:pPr>
            <w:r w:rsidRPr="00BE78CA">
              <w:rPr>
                <w:rFonts w:cs="Calibri"/>
                <w:szCs w:val="16"/>
              </w:rPr>
              <w:t>Sheep</w:t>
            </w:r>
          </w:p>
        </w:tc>
        <w:tc>
          <w:tcPr>
            <w:tcW w:w="1644" w:type="dxa"/>
            <w:vAlign w:val="center"/>
          </w:tcPr>
          <w:p w14:paraId="69BA9C84" w14:textId="77777777" w:rsidR="00F02481" w:rsidRPr="00BE78CA" w:rsidRDefault="00F02481" w:rsidP="00416320">
            <w:pPr>
              <w:pStyle w:val="TableText"/>
              <w:spacing w:before="50" w:after="50"/>
              <w:jc w:val="center"/>
              <w:rPr>
                <w:rFonts w:cs="Calibri"/>
                <w:szCs w:val="16"/>
              </w:rPr>
            </w:pPr>
            <w:r w:rsidRPr="00BE78CA">
              <w:rPr>
                <w:rFonts w:cs="Calibri"/>
                <w:szCs w:val="16"/>
              </w:rPr>
              <w:t>–</w:t>
            </w:r>
          </w:p>
        </w:tc>
        <w:tc>
          <w:tcPr>
            <w:tcW w:w="1418" w:type="dxa"/>
            <w:vAlign w:val="center"/>
          </w:tcPr>
          <w:p w14:paraId="37136CD0" w14:textId="77777777" w:rsidR="00F02481" w:rsidRPr="00BE78CA" w:rsidRDefault="00F02481" w:rsidP="00416320">
            <w:pPr>
              <w:pStyle w:val="TableText"/>
              <w:spacing w:before="50" w:after="50"/>
              <w:jc w:val="center"/>
              <w:rPr>
                <w:rFonts w:cs="Calibri"/>
                <w:szCs w:val="16"/>
              </w:rPr>
            </w:pPr>
            <w:r w:rsidRPr="00BE78CA">
              <w:rPr>
                <w:rFonts w:cs="Calibri"/>
                <w:szCs w:val="16"/>
              </w:rPr>
              <w:t>–</w:t>
            </w:r>
          </w:p>
        </w:tc>
        <w:tc>
          <w:tcPr>
            <w:tcW w:w="1425" w:type="dxa"/>
            <w:vAlign w:val="center"/>
          </w:tcPr>
          <w:p w14:paraId="7F4240E0" w14:textId="77777777" w:rsidR="00F02481" w:rsidRPr="00BE78CA" w:rsidRDefault="00F02481" w:rsidP="00416320">
            <w:pPr>
              <w:pStyle w:val="TableText"/>
              <w:spacing w:before="50" w:after="50"/>
              <w:jc w:val="center"/>
              <w:rPr>
                <w:rFonts w:cs="Calibri"/>
                <w:szCs w:val="16"/>
              </w:rPr>
            </w:pPr>
            <w:r w:rsidRPr="00BE78CA">
              <w:rPr>
                <w:rFonts w:cs="Calibri"/>
                <w:szCs w:val="16"/>
              </w:rPr>
              <w:t>100.0</w:t>
            </w:r>
          </w:p>
        </w:tc>
        <w:tc>
          <w:tcPr>
            <w:tcW w:w="1258" w:type="dxa"/>
            <w:vAlign w:val="center"/>
          </w:tcPr>
          <w:p w14:paraId="2BBFBEFF" w14:textId="77777777" w:rsidR="00F02481" w:rsidRPr="00BE78CA" w:rsidRDefault="00F02481" w:rsidP="00416320">
            <w:pPr>
              <w:pStyle w:val="TableText"/>
              <w:spacing w:before="50" w:after="50"/>
              <w:jc w:val="center"/>
              <w:rPr>
                <w:rFonts w:cs="Calibri"/>
                <w:szCs w:val="16"/>
              </w:rPr>
            </w:pPr>
            <w:r w:rsidRPr="00BE78CA">
              <w:rPr>
                <w:rFonts w:cs="Calibri"/>
                <w:szCs w:val="16"/>
              </w:rPr>
              <w:t>–</w:t>
            </w:r>
          </w:p>
        </w:tc>
        <w:tc>
          <w:tcPr>
            <w:tcW w:w="964" w:type="dxa"/>
            <w:vAlign w:val="center"/>
          </w:tcPr>
          <w:p w14:paraId="760F0C95" w14:textId="77777777" w:rsidR="00F02481" w:rsidRPr="00BE78CA" w:rsidRDefault="00F02481" w:rsidP="00416320">
            <w:pPr>
              <w:pStyle w:val="TableText"/>
              <w:spacing w:before="50" w:after="50"/>
              <w:jc w:val="center"/>
              <w:rPr>
                <w:rFonts w:cs="Calibri"/>
                <w:szCs w:val="16"/>
              </w:rPr>
            </w:pPr>
            <w:r w:rsidRPr="00BE78CA">
              <w:rPr>
                <w:rFonts w:cs="Calibri"/>
                <w:szCs w:val="16"/>
              </w:rPr>
              <w:t>–</w:t>
            </w:r>
          </w:p>
        </w:tc>
      </w:tr>
      <w:tr w:rsidR="00F02481" w:rsidRPr="00BE78CA" w14:paraId="792C5162" w14:textId="77777777" w:rsidTr="00416320">
        <w:trPr>
          <w:cantSplit/>
        </w:trPr>
        <w:tc>
          <w:tcPr>
            <w:tcW w:w="1758" w:type="dxa"/>
            <w:vAlign w:val="bottom"/>
          </w:tcPr>
          <w:p w14:paraId="75FCAB3E" w14:textId="77777777" w:rsidR="00F02481" w:rsidRPr="00BE78CA" w:rsidRDefault="00F02481" w:rsidP="00416320">
            <w:pPr>
              <w:pStyle w:val="TableText"/>
              <w:spacing w:before="50" w:after="50"/>
              <w:rPr>
                <w:rFonts w:cs="Calibri"/>
                <w:szCs w:val="16"/>
              </w:rPr>
            </w:pPr>
            <w:r w:rsidRPr="00BE78CA">
              <w:rPr>
                <w:rFonts w:cs="Calibri"/>
                <w:szCs w:val="16"/>
              </w:rPr>
              <w:t>Deer</w:t>
            </w:r>
          </w:p>
        </w:tc>
        <w:tc>
          <w:tcPr>
            <w:tcW w:w="1644" w:type="dxa"/>
            <w:vAlign w:val="center"/>
          </w:tcPr>
          <w:p w14:paraId="794260F5" w14:textId="77777777" w:rsidR="00F02481" w:rsidRPr="00BE78CA" w:rsidRDefault="00F02481" w:rsidP="00416320">
            <w:pPr>
              <w:pStyle w:val="TableText"/>
              <w:spacing w:before="50" w:after="50"/>
              <w:jc w:val="center"/>
              <w:rPr>
                <w:rFonts w:cs="Calibri"/>
                <w:szCs w:val="16"/>
              </w:rPr>
            </w:pPr>
            <w:r w:rsidRPr="00BE78CA">
              <w:rPr>
                <w:rFonts w:cs="Calibri"/>
                <w:szCs w:val="16"/>
              </w:rPr>
              <w:t>–</w:t>
            </w:r>
          </w:p>
        </w:tc>
        <w:tc>
          <w:tcPr>
            <w:tcW w:w="1418" w:type="dxa"/>
            <w:vAlign w:val="center"/>
          </w:tcPr>
          <w:p w14:paraId="028E8587" w14:textId="77777777" w:rsidR="00F02481" w:rsidRPr="00BE78CA" w:rsidRDefault="00F02481" w:rsidP="00416320">
            <w:pPr>
              <w:pStyle w:val="TableText"/>
              <w:spacing w:before="50" w:after="50"/>
              <w:jc w:val="center"/>
              <w:rPr>
                <w:rFonts w:cs="Calibri"/>
                <w:szCs w:val="16"/>
              </w:rPr>
            </w:pPr>
            <w:r w:rsidRPr="00BE78CA">
              <w:rPr>
                <w:rFonts w:cs="Calibri"/>
                <w:szCs w:val="16"/>
              </w:rPr>
              <w:t>–</w:t>
            </w:r>
          </w:p>
        </w:tc>
        <w:tc>
          <w:tcPr>
            <w:tcW w:w="1425" w:type="dxa"/>
            <w:vAlign w:val="center"/>
          </w:tcPr>
          <w:p w14:paraId="30A53C86" w14:textId="77777777" w:rsidR="00F02481" w:rsidRPr="00BE78CA" w:rsidRDefault="00F02481" w:rsidP="00416320">
            <w:pPr>
              <w:pStyle w:val="TableText"/>
              <w:spacing w:before="50" w:after="50"/>
              <w:jc w:val="center"/>
              <w:rPr>
                <w:rFonts w:cs="Calibri"/>
                <w:szCs w:val="16"/>
              </w:rPr>
            </w:pPr>
            <w:r w:rsidRPr="00BE78CA">
              <w:rPr>
                <w:rFonts w:cs="Calibri"/>
                <w:szCs w:val="16"/>
              </w:rPr>
              <w:t>100.0</w:t>
            </w:r>
          </w:p>
        </w:tc>
        <w:tc>
          <w:tcPr>
            <w:tcW w:w="1258" w:type="dxa"/>
            <w:vAlign w:val="center"/>
          </w:tcPr>
          <w:p w14:paraId="4E0FA82A" w14:textId="77777777" w:rsidR="00F02481" w:rsidRPr="00BE78CA" w:rsidRDefault="00F02481" w:rsidP="00416320">
            <w:pPr>
              <w:pStyle w:val="TableText"/>
              <w:spacing w:before="50" w:after="50"/>
              <w:jc w:val="center"/>
              <w:rPr>
                <w:rFonts w:cs="Calibri"/>
                <w:szCs w:val="16"/>
              </w:rPr>
            </w:pPr>
            <w:r w:rsidRPr="00BE78CA">
              <w:rPr>
                <w:rFonts w:cs="Calibri"/>
                <w:szCs w:val="16"/>
              </w:rPr>
              <w:t>–</w:t>
            </w:r>
          </w:p>
        </w:tc>
        <w:tc>
          <w:tcPr>
            <w:tcW w:w="964" w:type="dxa"/>
            <w:vAlign w:val="center"/>
          </w:tcPr>
          <w:p w14:paraId="49B328AD" w14:textId="77777777" w:rsidR="00F02481" w:rsidRPr="00BE78CA" w:rsidRDefault="00F02481" w:rsidP="00416320">
            <w:pPr>
              <w:pStyle w:val="TableText"/>
              <w:spacing w:before="50" w:after="50"/>
              <w:jc w:val="center"/>
              <w:rPr>
                <w:rFonts w:cs="Calibri"/>
                <w:szCs w:val="16"/>
              </w:rPr>
            </w:pPr>
            <w:r w:rsidRPr="00BE78CA">
              <w:rPr>
                <w:rFonts w:cs="Calibri"/>
                <w:szCs w:val="16"/>
              </w:rPr>
              <w:t>–</w:t>
            </w:r>
          </w:p>
        </w:tc>
      </w:tr>
      <w:tr w:rsidR="00F02481" w:rsidRPr="00BE78CA" w14:paraId="1DDBC8F7" w14:textId="77777777" w:rsidTr="00416320">
        <w:trPr>
          <w:cantSplit/>
        </w:trPr>
        <w:tc>
          <w:tcPr>
            <w:tcW w:w="1758" w:type="dxa"/>
            <w:vAlign w:val="bottom"/>
          </w:tcPr>
          <w:p w14:paraId="343B02F4" w14:textId="77777777" w:rsidR="00F02481" w:rsidRPr="00BE78CA" w:rsidRDefault="00F02481" w:rsidP="00416320">
            <w:pPr>
              <w:pStyle w:val="TableText"/>
              <w:spacing w:before="50" w:after="50"/>
              <w:rPr>
                <w:rFonts w:cs="Calibri"/>
                <w:szCs w:val="16"/>
              </w:rPr>
            </w:pPr>
            <w:r w:rsidRPr="00BE78CA">
              <w:rPr>
                <w:rFonts w:cs="Calibri"/>
                <w:szCs w:val="16"/>
              </w:rPr>
              <w:t>Goats</w:t>
            </w:r>
          </w:p>
        </w:tc>
        <w:tc>
          <w:tcPr>
            <w:tcW w:w="1644" w:type="dxa"/>
            <w:vAlign w:val="center"/>
          </w:tcPr>
          <w:p w14:paraId="56ED2946" w14:textId="77777777" w:rsidR="00F02481" w:rsidRPr="00BE78CA" w:rsidRDefault="00F02481" w:rsidP="00416320">
            <w:pPr>
              <w:pStyle w:val="TableText"/>
              <w:spacing w:before="50" w:after="50"/>
              <w:jc w:val="center"/>
              <w:rPr>
                <w:rFonts w:cs="Calibri"/>
                <w:szCs w:val="16"/>
              </w:rPr>
            </w:pPr>
            <w:r w:rsidRPr="00BE78CA">
              <w:rPr>
                <w:rFonts w:cs="Calibri"/>
                <w:szCs w:val="16"/>
              </w:rPr>
              <w:t>–</w:t>
            </w:r>
          </w:p>
        </w:tc>
        <w:tc>
          <w:tcPr>
            <w:tcW w:w="1418" w:type="dxa"/>
            <w:vAlign w:val="center"/>
          </w:tcPr>
          <w:p w14:paraId="63554C14" w14:textId="77777777" w:rsidR="00F02481" w:rsidRPr="00BE78CA" w:rsidRDefault="00F02481" w:rsidP="00416320">
            <w:pPr>
              <w:pStyle w:val="TableText"/>
              <w:spacing w:before="50" w:after="50"/>
              <w:jc w:val="center"/>
              <w:rPr>
                <w:rFonts w:cs="Calibri"/>
                <w:szCs w:val="16"/>
              </w:rPr>
            </w:pPr>
            <w:r w:rsidRPr="00BE78CA">
              <w:rPr>
                <w:rFonts w:cs="Calibri"/>
                <w:szCs w:val="16"/>
              </w:rPr>
              <w:t>–</w:t>
            </w:r>
          </w:p>
        </w:tc>
        <w:tc>
          <w:tcPr>
            <w:tcW w:w="1425" w:type="dxa"/>
            <w:vAlign w:val="center"/>
          </w:tcPr>
          <w:p w14:paraId="5A547973" w14:textId="77777777" w:rsidR="00F02481" w:rsidRPr="00BE78CA" w:rsidRDefault="00F02481" w:rsidP="00416320">
            <w:pPr>
              <w:pStyle w:val="TableText"/>
              <w:spacing w:before="50" w:after="50"/>
              <w:jc w:val="center"/>
              <w:rPr>
                <w:rFonts w:cs="Calibri"/>
                <w:szCs w:val="16"/>
              </w:rPr>
            </w:pPr>
            <w:r w:rsidRPr="00BE78CA">
              <w:rPr>
                <w:rFonts w:cs="Calibri"/>
                <w:szCs w:val="16"/>
              </w:rPr>
              <w:t>100.0</w:t>
            </w:r>
          </w:p>
        </w:tc>
        <w:tc>
          <w:tcPr>
            <w:tcW w:w="1258" w:type="dxa"/>
            <w:vAlign w:val="center"/>
          </w:tcPr>
          <w:p w14:paraId="75C416FA" w14:textId="77777777" w:rsidR="00F02481" w:rsidRPr="00BE78CA" w:rsidRDefault="00F02481" w:rsidP="00416320">
            <w:pPr>
              <w:pStyle w:val="TableText"/>
              <w:spacing w:before="50" w:after="50"/>
              <w:jc w:val="center"/>
              <w:rPr>
                <w:rFonts w:cs="Calibri"/>
                <w:szCs w:val="16"/>
              </w:rPr>
            </w:pPr>
            <w:r w:rsidRPr="00BE78CA">
              <w:rPr>
                <w:rFonts w:cs="Calibri"/>
                <w:szCs w:val="16"/>
              </w:rPr>
              <w:t>–</w:t>
            </w:r>
          </w:p>
        </w:tc>
        <w:tc>
          <w:tcPr>
            <w:tcW w:w="964" w:type="dxa"/>
            <w:vAlign w:val="center"/>
          </w:tcPr>
          <w:p w14:paraId="7EB26BBA" w14:textId="77777777" w:rsidR="00F02481" w:rsidRPr="00BE78CA" w:rsidRDefault="00F02481" w:rsidP="00416320">
            <w:pPr>
              <w:pStyle w:val="TableText"/>
              <w:spacing w:before="50" w:after="50"/>
              <w:jc w:val="center"/>
              <w:rPr>
                <w:rFonts w:cs="Calibri"/>
                <w:szCs w:val="16"/>
              </w:rPr>
            </w:pPr>
            <w:r w:rsidRPr="00BE78CA">
              <w:rPr>
                <w:rFonts w:cs="Calibri"/>
                <w:szCs w:val="16"/>
              </w:rPr>
              <w:t>–</w:t>
            </w:r>
          </w:p>
        </w:tc>
      </w:tr>
      <w:tr w:rsidR="00F02481" w:rsidRPr="00BE78CA" w14:paraId="113E8B59" w14:textId="77777777" w:rsidTr="00416320">
        <w:trPr>
          <w:cantSplit/>
        </w:trPr>
        <w:tc>
          <w:tcPr>
            <w:tcW w:w="1758" w:type="dxa"/>
            <w:vAlign w:val="bottom"/>
          </w:tcPr>
          <w:p w14:paraId="13B97217" w14:textId="77777777" w:rsidR="00F02481" w:rsidRPr="00BE78CA" w:rsidRDefault="00F02481" w:rsidP="00416320">
            <w:pPr>
              <w:pStyle w:val="TableText"/>
              <w:spacing w:before="50" w:after="50"/>
              <w:rPr>
                <w:rFonts w:cs="Calibri"/>
                <w:szCs w:val="16"/>
              </w:rPr>
            </w:pPr>
            <w:r w:rsidRPr="00BE78CA">
              <w:rPr>
                <w:rFonts w:cs="Calibri"/>
                <w:szCs w:val="16"/>
              </w:rPr>
              <w:t>Horses</w:t>
            </w:r>
          </w:p>
        </w:tc>
        <w:tc>
          <w:tcPr>
            <w:tcW w:w="1644" w:type="dxa"/>
            <w:vAlign w:val="center"/>
          </w:tcPr>
          <w:p w14:paraId="4C5AA556" w14:textId="77777777" w:rsidR="00F02481" w:rsidRPr="00BE78CA" w:rsidRDefault="00F02481" w:rsidP="00416320">
            <w:pPr>
              <w:pStyle w:val="TableText"/>
              <w:spacing w:before="50" w:after="50"/>
              <w:jc w:val="center"/>
              <w:rPr>
                <w:rFonts w:cs="Calibri"/>
                <w:szCs w:val="16"/>
              </w:rPr>
            </w:pPr>
            <w:r w:rsidRPr="00BE78CA">
              <w:rPr>
                <w:rFonts w:cs="Calibri"/>
                <w:szCs w:val="16"/>
              </w:rPr>
              <w:t>–</w:t>
            </w:r>
          </w:p>
        </w:tc>
        <w:tc>
          <w:tcPr>
            <w:tcW w:w="1418" w:type="dxa"/>
            <w:vAlign w:val="center"/>
          </w:tcPr>
          <w:p w14:paraId="4C85AAEF" w14:textId="77777777" w:rsidR="00F02481" w:rsidRPr="00BE78CA" w:rsidRDefault="00F02481" w:rsidP="00416320">
            <w:pPr>
              <w:pStyle w:val="TableText"/>
              <w:spacing w:before="50" w:after="50"/>
              <w:jc w:val="center"/>
              <w:rPr>
                <w:rFonts w:cs="Calibri"/>
                <w:szCs w:val="16"/>
              </w:rPr>
            </w:pPr>
            <w:r w:rsidRPr="00BE78CA">
              <w:rPr>
                <w:rFonts w:cs="Calibri"/>
                <w:szCs w:val="16"/>
              </w:rPr>
              <w:t>–</w:t>
            </w:r>
          </w:p>
        </w:tc>
        <w:tc>
          <w:tcPr>
            <w:tcW w:w="1425" w:type="dxa"/>
            <w:vAlign w:val="center"/>
          </w:tcPr>
          <w:p w14:paraId="3EFB72BC" w14:textId="77777777" w:rsidR="00F02481" w:rsidRPr="00BE78CA" w:rsidRDefault="00F02481" w:rsidP="00416320">
            <w:pPr>
              <w:pStyle w:val="TableText"/>
              <w:spacing w:before="50" w:after="50"/>
              <w:jc w:val="center"/>
              <w:rPr>
                <w:rFonts w:cs="Calibri"/>
                <w:szCs w:val="16"/>
              </w:rPr>
            </w:pPr>
            <w:r w:rsidRPr="00BE78CA">
              <w:rPr>
                <w:rFonts w:cs="Calibri"/>
                <w:szCs w:val="16"/>
              </w:rPr>
              <w:t>100.0</w:t>
            </w:r>
          </w:p>
        </w:tc>
        <w:tc>
          <w:tcPr>
            <w:tcW w:w="1258" w:type="dxa"/>
            <w:vAlign w:val="center"/>
          </w:tcPr>
          <w:p w14:paraId="4F6D5CF4" w14:textId="77777777" w:rsidR="00F02481" w:rsidRPr="00BE78CA" w:rsidRDefault="00F02481" w:rsidP="00416320">
            <w:pPr>
              <w:pStyle w:val="TableText"/>
              <w:spacing w:before="50" w:after="50"/>
              <w:jc w:val="center"/>
              <w:rPr>
                <w:rFonts w:cs="Calibri"/>
                <w:szCs w:val="16"/>
              </w:rPr>
            </w:pPr>
            <w:r w:rsidRPr="00BE78CA">
              <w:rPr>
                <w:rFonts w:cs="Calibri"/>
                <w:szCs w:val="16"/>
              </w:rPr>
              <w:t>–</w:t>
            </w:r>
          </w:p>
        </w:tc>
        <w:tc>
          <w:tcPr>
            <w:tcW w:w="964" w:type="dxa"/>
            <w:vAlign w:val="center"/>
          </w:tcPr>
          <w:p w14:paraId="3193E17F" w14:textId="77777777" w:rsidR="00F02481" w:rsidRPr="00BE78CA" w:rsidRDefault="00F02481" w:rsidP="00416320">
            <w:pPr>
              <w:pStyle w:val="TableText"/>
              <w:spacing w:before="50" w:after="50"/>
              <w:jc w:val="center"/>
              <w:rPr>
                <w:rFonts w:cs="Calibri"/>
                <w:szCs w:val="16"/>
              </w:rPr>
            </w:pPr>
            <w:r w:rsidRPr="00BE78CA">
              <w:rPr>
                <w:rFonts w:cs="Calibri"/>
                <w:szCs w:val="16"/>
              </w:rPr>
              <w:t>–</w:t>
            </w:r>
          </w:p>
        </w:tc>
      </w:tr>
      <w:tr w:rsidR="00F02481" w:rsidRPr="00BE78CA" w14:paraId="3A5DCDF4" w14:textId="77777777" w:rsidTr="00416320">
        <w:trPr>
          <w:cantSplit/>
        </w:trPr>
        <w:tc>
          <w:tcPr>
            <w:tcW w:w="1758" w:type="dxa"/>
            <w:vAlign w:val="bottom"/>
          </w:tcPr>
          <w:p w14:paraId="27749061" w14:textId="77777777" w:rsidR="00F02481" w:rsidRPr="00BE78CA" w:rsidRDefault="00F02481" w:rsidP="00416320">
            <w:pPr>
              <w:pStyle w:val="TableText"/>
              <w:spacing w:before="50" w:after="50"/>
              <w:rPr>
                <w:rFonts w:cs="Calibri"/>
                <w:szCs w:val="16"/>
              </w:rPr>
            </w:pPr>
            <w:r w:rsidRPr="00BE78CA">
              <w:rPr>
                <w:rFonts w:cs="Calibri"/>
                <w:szCs w:val="16"/>
              </w:rPr>
              <w:t>Swine</w:t>
            </w:r>
            <w:r w:rsidRPr="00BE78CA">
              <w:rPr>
                <w:rStyle w:val="FootnoteReference"/>
                <w:rFonts w:cs="Calibri"/>
                <w:sz w:val="16"/>
                <w:szCs w:val="16"/>
              </w:rPr>
              <w:footnoteReference w:id="49"/>
            </w:r>
          </w:p>
        </w:tc>
        <w:tc>
          <w:tcPr>
            <w:tcW w:w="1644" w:type="dxa"/>
            <w:vAlign w:val="center"/>
          </w:tcPr>
          <w:p w14:paraId="3DD391CF" w14:textId="77777777" w:rsidR="00F02481" w:rsidRPr="00BE78CA" w:rsidRDefault="00F02481" w:rsidP="00416320">
            <w:pPr>
              <w:pStyle w:val="TableText"/>
              <w:spacing w:before="50" w:after="50"/>
              <w:jc w:val="center"/>
              <w:rPr>
                <w:rFonts w:cs="Calibri"/>
                <w:szCs w:val="16"/>
              </w:rPr>
            </w:pPr>
            <w:r w:rsidRPr="00BE78CA">
              <w:rPr>
                <w:rFonts w:cs="Calibri"/>
                <w:szCs w:val="16"/>
              </w:rPr>
              <w:t>20.5</w:t>
            </w:r>
          </w:p>
        </w:tc>
        <w:tc>
          <w:tcPr>
            <w:tcW w:w="1418" w:type="dxa"/>
            <w:vAlign w:val="center"/>
          </w:tcPr>
          <w:p w14:paraId="788D915B" w14:textId="77777777" w:rsidR="00F02481" w:rsidRPr="00BE78CA" w:rsidRDefault="00F02481" w:rsidP="00416320">
            <w:pPr>
              <w:pStyle w:val="TableText"/>
              <w:spacing w:before="50" w:after="50"/>
              <w:jc w:val="center"/>
              <w:rPr>
                <w:rFonts w:cs="Calibri"/>
                <w:szCs w:val="16"/>
              </w:rPr>
            </w:pPr>
            <w:r w:rsidRPr="00BE78CA">
              <w:rPr>
                <w:rFonts w:cs="Calibri"/>
                <w:szCs w:val="16"/>
              </w:rPr>
              <w:t>25.7</w:t>
            </w:r>
          </w:p>
        </w:tc>
        <w:tc>
          <w:tcPr>
            <w:tcW w:w="1425" w:type="dxa"/>
            <w:vAlign w:val="center"/>
          </w:tcPr>
          <w:p w14:paraId="6A0E441F" w14:textId="77777777" w:rsidR="00F02481" w:rsidRPr="00BE78CA" w:rsidRDefault="00F02481" w:rsidP="00416320">
            <w:pPr>
              <w:pStyle w:val="TableText"/>
              <w:spacing w:before="50" w:after="50"/>
              <w:jc w:val="center"/>
              <w:rPr>
                <w:rFonts w:cs="Calibri"/>
                <w:szCs w:val="16"/>
              </w:rPr>
            </w:pPr>
            <w:r w:rsidRPr="00BE78CA">
              <w:rPr>
                <w:rFonts w:cs="Calibri"/>
                <w:szCs w:val="16"/>
              </w:rPr>
              <w:t>8.9</w:t>
            </w:r>
          </w:p>
        </w:tc>
        <w:tc>
          <w:tcPr>
            <w:tcW w:w="1258" w:type="dxa"/>
            <w:vAlign w:val="center"/>
          </w:tcPr>
          <w:p w14:paraId="4058410A" w14:textId="77777777" w:rsidR="00F02481" w:rsidRPr="00BE78CA" w:rsidRDefault="00F02481" w:rsidP="00416320">
            <w:pPr>
              <w:pStyle w:val="TableText"/>
              <w:spacing w:before="50" w:after="50"/>
              <w:jc w:val="center"/>
              <w:rPr>
                <w:rFonts w:cs="Calibri"/>
                <w:szCs w:val="16"/>
              </w:rPr>
            </w:pPr>
            <w:r w:rsidRPr="00BE78CA">
              <w:rPr>
                <w:rFonts w:cs="Calibri"/>
                <w:szCs w:val="16"/>
              </w:rPr>
              <w:t>42.5</w:t>
            </w:r>
          </w:p>
        </w:tc>
        <w:tc>
          <w:tcPr>
            <w:tcW w:w="964" w:type="dxa"/>
            <w:vAlign w:val="center"/>
          </w:tcPr>
          <w:p w14:paraId="14C3E611" w14:textId="77777777" w:rsidR="00F02481" w:rsidRPr="00BE78CA" w:rsidRDefault="00F02481" w:rsidP="00416320">
            <w:pPr>
              <w:pStyle w:val="TableText"/>
              <w:spacing w:before="50" w:after="50"/>
              <w:jc w:val="center"/>
              <w:rPr>
                <w:rFonts w:cs="Calibri"/>
                <w:szCs w:val="16"/>
              </w:rPr>
            </w:pPr>
            <w:r w:rsidRPr="00BE78CA">
              <w:rPr>
                <w:rFonts w:cs="Calibri"/>
                <w:szCs w:val="16"/>
              </w:rPr>
              <w:t>2.4</w:t>
            </w:r>
          </w:p>
        </w:tc>
      </w:tr>
      <w:tr w:rsidR="00F02481" w:rsidRPr="00BE78CA" w14:paraId="54D748CC" w14:textId="77777777" w:rsidTr="00416320">
        <w:trPr>
          <w:cantSplit/>
        </w:trPr>
        <w:tc>
          <w:tcPr>
            <w:tcW w:w="1758" w:type="dxa"/>
            <w:vAlign w:val="bottom"/>
          </w:tcPr>
          <w:p w14:paraId="3BB2D0D3" w14:textId="77777777" w:rsidR="00F02481" w:rsidRPr="00BE78CA" w:rsidRDefault="00F02481" w:rsidP="00416320">
            <w:pPr>
              <w:pStyle w:val="TableText"/>
              <w:spacing w:before="50" w:after="50"/>
              <w:rPr>
                <w:rFonts w:cs="Calibri"/>
                <w:szCs w:val="16"/>
              </w:rPr>
            </w:pPr>
            <w:r w:rsidRPr="00BE78CA">
              <w:rPr>
                <w:rFonts w:cs="Calibri"/>
                <w:szCs w:val="16"/>
              </w:rPr>
              <w:t>Poultry – broilers</w:t>
            </w:r>
            <w:r w:rsidRPr="00BE78CA">
              <w:rPr>
                <w:rStyle w:val="FootnoteReference"/>
                <w:rFonts w:cs="Calibri"/>
                <w:sz w:val="16"/>
                <w:szCs w:val="16"/>
              </w:rPr>
              <w:footnoteReference w:id="50"/>
            </w:r>
          </w:p>
        </w:tc>
        <w:tc>
          <w:tcPr>
            <w:tcW w:w="1644" w:type="dxa"/>
            <w:vAlign w:val="center"/>
          </w:tcPr>
          <w:p w14:paraId="5601F78E" w14:textId="77777777" w:rsidR="00F02481" w:rsidRPr="00BE78CA" w:rsidRDefault="00F02481" w:rsidP="00416320">
            <w:pPr>
              <w:pStyle w:val="TableText"/>
              <w:spacing w:before="50" w:after="50"/>
              <w:jc w:val="center"/>
              <w:rPr>
                <w:rFonts w:cs="Calibri"/>
                <w:szCs w:val="16"/>
              </w:rPr>
            </w:pPr>
            <w:r w:rsidRPr="00BE78CA">
              <w:rPr>
                <w:rFonts w:cs="Calibri"/>
                <w:szCs w:val="16"/>
              </w:rPr>
              <w:t>–</w:t>
            </w:r>
          </w:p>
        </w:tc>
        <w:tc>
          <w:tcPr>
            <w:tcW w:w="1418" w:type="dxa"/>
            <w:vAlign w:val="center"/>
          </w:tcPr>
          <w:p w14:paraId="2482F8AD" w14:textId="77777777" w:rsidR="00F02481" w:rsidRPr="00BE78CA" w:rsidRDefault="00F02481" w:rsidP="00416320">
            <w:pPr>
              <w:pStyle w:val="TableText"/>
              <w:spacing w:before="50" w:after="50"/>
              <w:jc w:val="center"/>
              <w:rPr>
                <w:rFonts w:cs="Calibri"/>
                <w:szCs w:val="16"/>
              </w:rPr>
            </w:pPr>
            <w:r w:rsidRPr="00BE78CA">
              <w:rPr>
                <w:rFonts w:cs="Calibri"/>
                <w:szCs w:val="16"/>
              </w:rPr>
              <w:t>–</w:t>
            </w:r>
          </w:p>
        </w:tc>
        <w:tc>
          <w:tcPr>
            <w:tcW w:w="1425" w:type="dxa"/>
            <w:vAlign w:val="center"/>
          </w:tcPr>
          <w:p w14:paraId="4F8AC283" w14:textId="77777777" w:rsidR="00F02481" w:rsidRPr="00BE78CA" w:rsidRDefault="00F02481" w:rsidP="00416320">
            <w:pPr>
              <w:pStyle w:val="TableText"/>
              <w:spacing w:before="50" w:after="50"/>
              <w:jc w:val="center"/>
              <w:rPr>
                <w:rFonts w:cs="Calibri"/>
                <w:szCs w:val="16"/>
              </w:rPr>
            </w:pPr>
            <w:r w:rsidRPr="00BE78CA">
              <w:rPr>
                <w:rFonts w:cs="Calibri"/>
                <w:szCs w:val="16"/>
              </w:rPr>
              <w:t>4.9</w:t>
            </w:r>
          </w:p>
        </w:tc>
        <w:tc>
          <w:tcPr>
            <w:tcW w:w="1258" w:type="dxa"/>
            <w:vAlign w:val="center"/>
          </w:tcPr>
          <w:p w14:paraId="1955083D" w14:textId="77777777" w:rsidR="00F02481" w:rsidRPr="00BE78CA" w:rsidRDefault="00F02481" w:rsidP="00416320">
            <w:pPr>
              <w:pStyle w:val="TableText"/>
              <w:spacing w:before="50" w:after="50"/>
              <w:jc w:val="center"/>
              <w:rPr>
                <w:rFonts w:cs="Calibri"/>
                <w:szCs w:val="16"/>
              </w:rPr>
            </w:pPr>
            <w:r w:rsidRPr="00BE78CA">
              <w:rPr>
                <w:rFonts w:cs="Calibri"/>
                <w:szCs w:val="16"/>
              </w:rPr>
              <w:t>–</w:t>
            </w:r>
          </w:p>
        </w:tc>
        <w:tc>
          <w:tcPr>
            <w:tcW w:w="964" w:type="dxa"/>
            <w:vAlign w:val="center"/>
          </w:tcPr>
          <w:p w14:paraId="6E29CE2B" w14:textId="77777777" w:rsidR="00F02481" w:rsidRPr="00BE78CA" w:rsidRDefault="00F02481" w:rsidP="00416320">
            <w:pPr>
              <w:pStyle w:val="TableText"/>
              <w:spacing w:before="50" w:after="50"/>
              <w:jc w:val="center"/>
              <w:rPr>
                <w:rFonts w:cs="Calibri"/>
                <w:szCs w:val="16"/>
              </w:rPr>
            </w:pPr>
            <w:r w:rsidRPr="00BE78CA">
              <w:rPr>
                <w:rFonts w:cs="Calibri"/>
                <w:szCs w:val="16"/>
              </w:rPr>
              <w:t>95.1</w:t>
            </w:r>
          </w:p>
        </w:tc>
      </w:tr>
      <w:tr w:rsidR="00F02481" w:rsidRPr="00BE78CA" w14:paraId="430EF6B7" w14:textId="77777777" w:rsidTr="00416320">
        <w:trPr>
          <w:cantSplit/>
        </w:trPr>
        <w:tc>
          <w:tcPr>
            <w:tcW w:w="1758" w:type="dxa"/>
            <w:vAlign w:val="bottom"/>
          </w:tcPr>
          <w:p w14:paraId="621099A4" w14:textId="77777777" w:rsidR="00F02481" w:rsidRPr="00BE78CA" w:rsidRDefault="00F02481" w:rsidP="00416320">
            <w:pPr>
              <w:pStyle w:val="TableText"/>
              <w:spacing w:before="50" w:after="50"/>
              <w:rPr>
                <w:rFonts w:cs="Calibri"/>
                <w:szCs w:val="16"/>
                <w:vertAlign w:val="superscript"/>
              </w:rPr>
            </w:pPr>
            <w:r w:rsidRPr="00BE78CA">
              <w:rPr>
                <w:rFonts w:cs="Calibri"/>
                <w:szCs w:val="16"/>
              </w:rPr>
              <w:t>Poultry – layers</w:t>
            </w:r>
            <w:r w:rsidRPr="00BE78CA">
              <w:rPr>
                <w:rStyle w:val="FootnoteReference"/>
                <w:rFonts w:cs="Calibri"/>
                <w:sz w:val="16"/>
                <w:szCs w:val="16"/>
              </w:rPr>
              <w:footnoteReference w:id="51"/>
            </w:r>
          </w:p>
        </w:tc>
        <w:tc>
          <w:tcPr>
            <w:tcW w:w="1644" w:type="dxa"/>
            <w:vAlign w:val="center"/>
          </w:tcPr>
          <w:p w14:paraId="31E3191F" w14:textId="77777777" w:rsidR="00F02481" w:rsidRPr="00BE78CA" w:rsidRDefault="00F02481" w:rsidP="00416320">
            <w:pPr>
              <w:pStyle w:val="TableText"/>
              <w:spacing w:before="50" w:after="50"/>
              <w:jc w:val="center"/>
              <w:rPr>
                <w:rFonts w:cs="Calibri"/>
                <w:szCs w:val="16"/>
              </w:rPr>
            </w:pPr>
            <w:r w:rsidRPr="00BE78CA">
              <w:rPr>
                <w:rFonts w:cs="Calibri"/>
                <w:szCs w:val="16"/>
              </w:rPr>
              <w:t>–</w:t>
            </w:r>
          </w:p>
        </w:tc>
        <w:tc>
          <w:tcPr>
            <w:tcW w:w="1418" w:type="dxa"/>
            <w:vAlign w:val="center"/>
          </w:tcPr>
          <w:p w14:paraId="70478D5B" w14:textId="77777777" w:rsidR="00F02481" w:rsidRPr="00BE78CA" w:rsidDel="00063FE1" w:rsidRDefault="00F02481" w:rsidP="00416320">
            <w:pPr>
              <w:pStyle w:val="TableText"/>
              <w:spacing w:before="50" w:after="50"/>
              <w:jc w:val="center"/>
              <w:rPr>
                <w:rFonts w:cs="Calibri"/>
                <w:szCs w:val="16"/>
              </w:rPr>
            </w:pPr>
            <w:r w:rsidRPr="00BE78CA">
              <w:rPr>
                <w:rFonts w:cs="Calibri"/>
                <w:szCs w:val="16"/>
              </w:rPr>
              <w:t>–</w:t>
            </w:r>
          </w:p>
        </w:tc>
        <w:tc>
          <w:tcPr>
            <w:tcW w:w="1425" w:type="dxa"/>
            <w:vAlign w:val="center"/>
          </w:tcPr>
          <w:p w14:paraId="0406C6C3" w14:textId="77777777" w:rsidR="00F02481" w:rsidRPr="00BE78CA" w:rsidRDefault="00F02481" w:rsidP="00416320">
            <w:pPr>
              <w:pStyle w:val="TableText"/>
              <w:spacing w:before="50" w:after="50"/>
              <w:jc w:val="center"/>
              <w:rPr>
                <w:rFonts w:cs="Calibri"/>
                <w:szCs w:val="16"/>
              </w:rPr>
            </w:pPr>
            <w:r w:rsidRPr="00BE78CA">
              <w:rPr>
                <w:rFonts w:cs="Calibri"/>
                <w:szCs w:val="16"/>
              </w:rPr>
              <w:t>5.8</w:t>
            </w:r>
          </w:p>
        </w:tc>
        <w:tc>
          <w:tcPr>
            <w:tcW w:w="1258" w:type="dxa"/>
            <w:vAlign w:val="center"/>
          </w:tcPr>
          <w:p w14:paraId="1303CD22" w14:textId="77777777" w:rsidR="00F02481" w:rsidRPr="00BE78CA" w:rsidRDefault="00F02481" w:rsidP="00416320">
            <w:pPr>
              <w:pStyle w:val="TableText"/>
              <w:spacing w:before="50" w:after="50"/>
              <w:jc w:val="center"/>
              <w:rPr>
                <w:rFonts w:cs="Calibri"/>
                <w:szCs w:val="16"/>
              </w:rPr>
            </w:pPr>
            <w:r w:rsidRPr="00BE78CA">
              <w:rPr>
                <w:rFonts w:cs="Calibri"/>
                <w:szCs w:val="16"/>
              </w:rPr>
              <w:t>–</w:t>
            </w:r>
          </w:p>
        </w:tc>
        <w:tc>
          <w:tcPr>
            <w:tcW w:w="964" w:type="dxa"/>
            <w:vAlign w:val="center"/>
          </w:tcPr>
          <w:p w14:paraId="13E13DDD" w14:textId="77777777" w:rsidR="00F02481" w:rsidRPr="00BE78CA" w:rsidRDefault="00F02481" w:rsidP="00416320">
            <w:pPr>
              <w:pStyle w:val="TableText"/>
              <w:spacing w:before="50" w:after="50"/>
              <w:jc w:val="center"/>
              <w:rPr>
                <w:rFonts w:cs="Calibri"/>
                <w:szCs w:val="16"/>
              </w:rPr>
            </w:pPr>
            <w:r w:rsidRPr="00BE78CA">
              <w:rPr>
                <w:rFonts w:cs="Calibri"/>
                <w:szCs w:val="16"/>
              </w:rPr>
              <w:t>94.2</w:t>
            </w:r>
          </w:p>
        </w:tc>
      </w:tr>
      <w:tr w:rsidR="00F02481" w:rsidRPr="00BE78CA" w14:paraId="2F04F373" w14:textId="77777777" w:rsidTr="00416320">
        <w:trPr>
          <w:cantSplit/>
        </w:trPr>
        <w:tc>
          <w:tcPr>
            <w:tcW w:w="1758" w:type="dxa"/>
            <w:vAlign w:val="bottom"/>
          </w:tcPr>
          <w:p w14:paraId="301BA37F" w14:textId="77777777" w:rsidR="00F02481" w:rsidRPr="00BE78CA" w:rsidRDefault="00F02481" w:rsidP="00416320">
            <w:pPr>
              <w:pStyle w:val="TableText"/>
              <w:spacing w:before="50" w:after="50"/>
              <w:rPr>
                <w:rFonts w:cs="Calibri"/>
                <w:szCs w:val="16"/>
              </w:rPr>
            </w:pPr>
            <w:r w:rsidRPr="00BE78CA">
              <w:rPr>
                <w:rFonts w:cs="Calibri"/>
                <w:szCs w:val="16"/>
              </w:rPr>
              <w:t>Poultry – other</w:t>
            </w:r>
            <w:r w:rsidRPr="00BE78CA">
              <w:rPr>
                <w:rStyle w:val="FootnoteReference"/>
                <w:rFonts w:cs="Calibri"/>
                <w:sz w:val="16"/>
                <w:szCs w:val="16"/>
              </w:rPr>
              <w:footnoteReference w:id="52"/>
            </w:r>
          </w:p>
        </w:tc>
        <w:tc>
          <w:tcPr>
            <w:tcW w:w="1644" w:type="dxa"/>
            <w:vAlign w:val="center"/>
          </w:tcPr>
          <w:p w14:paraId="2F5C10E3" w14:textId="77777777" w:rsidR="00F02481" w:rsidRPr="00BE78CA" w:rsidRDefault="00F02481" w:rsidP="00416320">
            <w:pPr>
              <w:pStyle w:val="TableText"/>
              <w:spacing w:before="50" w:after="50"/>
              <w:jc w:val="center"/>
              <w:rPr>
                <w:rFonts w:cs="Calibri"/>
                <w:szCs w:val="16"/>
              </w:rPr>
            </w:pPr>
            <w:r w:rsidRPr="00BE78CA">
              <w:rPr>
                <w:rFonts w:cs="Calibri"/>
                <w:szCs w:val="16"/>
              </w:rPr>
              <w:t>–</w:t>
            </w:r>
          </w:p>
        </w:tc>
        <w:tc>
          <w:tcPr>
            <w:tcW w:w="1418" w:type="dxa"/>
            <w:vAlign w:val="center"/>
          </w:tcPr>
          <w:p w14:paraId="7A008E75" w14:textId="77777777" w:rsidR="00F02481" w:rsidRPr="00BE78CA" w:rsidRDefault="00F02481" w:rsidP="00416320">
            <w:pPr>
              <w:pStyle w:val="TableText"/>
              <w:spacing w:before="50" w:after="50"/>
              <w:jc w:val="center"/>
              <w:rPr>
                <w:rFonts w:cs="Calibri"/>
                <w:szCs w:val="16"/>
              </w:rPr>
            </w:pPr>
            <w:r w:rsidRPr="00BE78CA">
              <w:rPr>
                <w:rFonts w:cs="Calibri"/>
                <w:szCs w:val="16"/>
              </w:rPr>
              <w:t>–</w:t>
            </w:r>
          </w:p>
        </w:tc>
        <w:tc>
          <w:tcPr>
            <w:tcW w:w="1425" w:type="dxa"/>
            <w:vAlign w:val="center"/>
          </w:tcPr>
          <w:p w14:paraId="02660EFA" w14:textId="77777777" w:rsidR="00F02481" w:rsidRPr="00BE78CA" w:rsidRDefault="00F02481" w:rsidP="00416320">
            <w:pPr>
              <w:pStyle w:val="TableText"/>
              <w:spacing w:before="50" w:after="50"/>
              <w:jc w:val="center"/>
              <w:rPr>
                <w:rFonts w:cs="Calibri"/>
                <w:szCs w:val="16"/>
              </w:rPr>
            </w:pPr>
            <w:r w:rsidRPr="00BE78CA">
              <w:rPr>
                <w:rFonts w:cs="Calibri"/>
                <w:szCs w:val="16"/>
              </w:rPr>
              <w:t>3.0</w:t>
            </w:r>
          </w:p>
        </w:tc>
        <w:tc>
          <w:tcPr>
            <w:tcW w:w="1258" w:type="dxa"/>
            <w:vAlign w:val="center"/>
          </w:tcPr>
          <w:p w14:paraId="205932A9" w14:textId="77777777" w:rsidR="00F02481" w:rsidRPr="00BE78CA" w:rsidRDefault="00F02481" w:rsidP="00416320">
            <w:pPr>
              <w:pStyle w:val="TableText"/>
              <w:spacing w:before="50" w:after="50"/>
              <w:jc w:val="center"/>
              <w:rPr>
                <w:rFonts w:cs="Calibri"/>
                <w:szCs w:val="16"/>
              </w:rPr>
            </w:pPr>
            <w:r w:rsidRPr="00BE78CA">
              <w:rPr>
                <w:rFonts w:cs="Calibri"/>
                <w:szCs w:val="16"/>
              </w:rPr>
              <w:t>–</w:t>
            </w:r>
          </w:p>
        </w:tc>
        <w:tc>
          <w:tcPr>
            <w:tcW w:w="964" w:type="dxa"/>
            <w:vAlign w:val="center"/>
          </w:tcPr>
          <w:p w14:paraId="18F94CD3" w14:textId="77777777" w:rsidR="00F02481" w:rsidRPr="00BE78CA" w:rsidRDefault="00F02481" w:rsidP="00416320">
            <w:pPr>
              <w:pStyle w:val="TableText"/>
              <w:spacing w:before="50" w:after="50"/>
              <w:jc w:val="center"/>
              <w:rPr>
                <w:rFonts w:cs="Calibri"/>
                <w:szCs w:val="16"/>
              </w:rPr>
            </w:pPr>
            <w:r w:rsidRPr="00BE78CA">
              <w:rPr>
                <w:rFonts w:cs="Calibri"/>
                <w:szCs w:val="16"/>
              </w:rPr>
              <w:t>97.0</w:t>
            </w:r>
          </w:p>
        </w:tc>
      </w:tr>
      <w:tr w:rsidR="00F02481" w:rsidRPr="00BE78CA" w14:paraId="65ACDAA7" w14:textId="77777777" w:rsidTr="00416320">
        <w:trPr>
          <w:cantSplit/>
        </w:trPr>
        <w:tc>
          <w:tcPr>
            <w:tcW w:w="1758" w:type="dxa"/>
            <w:vAlign w:val="bottom"/>
          </w:tcPr>
          <w:p w14:paraId="6BFC507A" w14:textId="77777777" w:rsidR="00F02481" w:rsidRPr="00BE78CA" w:rsidRDefault="00F02481" w:rsidP="00416320">
            <w:pPr>
              <w:pStyle w:val="TableText"/>
              <w:spacing w:before="50" w:after="50"/>
              <w:rPr>
                <w:rFonts w:cs="Calibri"/>
                <w:szCs w:val="16"/>
              </w:rPr>
            </w:pPr>
            <w:r w:rsidRPr="00BE78CA">
              <w:rPr>
                <w:rFonts w:cs="Calibri"/>
                <w:szCs w:val="16"/>
              </w:rPr>
              <w:t>Alpacas</w:t>
            </w:r>
          </w:p>
        </w:tc>
        <w:tc>
          <w:tcPr>
            <w:tcW w:w="1644" w:type="dxa"/>
            <w:vAlign w:val="center"/>
          </w:tcPr>
          <w:p w14:paraId="49A84005" w14:textId="77777777" w:rsidR="00F02481" w:rsidRPr="00BE78CA" w:rsidRDefault="00F02481" w:rsidP="00416320">
            <w:pPr>
              <w:pStyle w:val="TableText"/>
              <w:spacing w:before="50" w:after="50"/>
              <w:jc w:val="center"/>
              <w:rPr>
                <w:rFonts w:cs="Calibri"/>
                <w:szCs w:val="16"/>
              </w:rPr>
            </w:pPr>
            <w:r w:rsidRPr="00BE78CA">
              <w:rPr>
                <w:rFonts w:cs="Calibri"/>
                <w:szCs w:val="16"/>
              </w:rPr>
              <w:t>–</w:t>
            </w:r>
          </w:p>
        </w:tc>
        <w:tc>
          <w:tcPr>
            <w:tcW w:w="1418" w:type="dxa"/>
            <w:vAlign w:val="center"/>
          </w:tcPr>
          <w:p w14:paraId="56ACE8A4" w14:textId="77777777" w:rsidR="00F02481" w:rsidRPr="00BE78CA" w:rsidRDefault="00F02481" w:rsidP="00416320">
            <w:pPr>
              <w:pStyle w:val="TableText"/>
              <w:spacing w:before="50" w:after="50"/>
              <w:jc w:val="center"/>
              <w:rPr>
                <w:rFonts w:cs="Calibri"/>
                <w:szCs w:val="16"/>
              </w:rPr>
            </w:pPr>
            <w:r w:rsidRPr="00BE78CA">
              <w:rPr>
                <w:rFonts w:cs="Calibri"/>
                <w:szCs w:val="16"/>
              </w:rPr>
              <w:t>–</w:t>
            </w:r>
          </w:p>
        </w:tc>
        <w:tc>
          <w:tcPr>
            <w:tcW w:w="1425" w:type="dxa"/>
            <w:vAlign w:val="center"/>
          </w:tcPr>
          <w:p w14:paraId="4265B9D7" w14:textId="77777777" w:rsidR="00F02481" w:rsidRPr="00BE78CA" w:rsidRDefault="00F02481" w:rsidP="00416320">
            <w:pPr>
              <w:pStyle w:val="TableText"/>
              <w:spacing w:before="50" w:after="50"/>
              <w:jc w:val="center"/>
              <w:rPr>
                <w:rFonts w:cs="Calibri"/>
                <w:szCs w:val="16"/>
              </w:rPr>
            </w:pPr>
            <w:r w:rsidRPr="00BE78CA">
              <w:rPr>
                <w:rFonts w:cs="Calibri"/>
                <w:szCs w:val="16"/>
              </w:rPr>
              <w:t>100.0</w:t>
            </w:r>
          </w:p>
        </w:tc>
        <w:tc>
          <w:tcPr>
            <w:tcW w:w="1258" w:type="dxa"/>
            <w:vAlign w:val="center"/>
          </w:tcPr>
          <w:p w14:paraId="539733E9" w14:textId="77777777" w:rsidR="00F02481" w:rsidRPr="00BE78CA" w:rsidRDefault="00F02481" w:rsidP="00416320">
            <w:pPr>
              <w:pStyle w:val="TableText"/>
              <w:spacing w:before="50" w:after="50"/>
              <w:jc w:val="center"/>
              <w:rPr>
                <w:rFonts w:cs="Calibri"/>
                <w:szCs w:val="16"/>
              </w:rPr>
            </w:pPr>
            <w:r w:rsidRPr="00BE78CA">
              <w:rPr>
                <w:rFonts w:cs="Calibri"/>
                <w:szCs w:val="16"/>
              </w:rPr>
              <w:t>–</w:t>
            </w:r>
          </w:p>
        </w:tc>
        <w:tc>
          <w:tcPr>
            <w:tcW w:w="964" w:type="dxa"/>
            <w:vAlign w:val="center"/>
          </w:tcPr>
          <w:p w14:paraId="6AAF646F" w14:textId="77777777" w:rsidR="00F02481" w:rsidRPr="00BE78CA" w:rsidRDefault="00F02481" w:rsidP="00416320">
            <w:pPr>
              <w:pStyle w:val="TableText"/>
              <w:spacing w:before="50" w:after="50"/>
              <w:jc w:val="center"/>
              <w:rPr>
                <w:rFonts w:cs="Calibri"/>
                <w:szCs w:val="16"/>
              </w:rPr>
            </w:pPr>
            <w:r w:rsidRPr="00BE78CA">
              <w:rPr>
                <w:rFonts w:cs="Calibri"/>
                <w:szCs w:val="16"/>
              </w:rPr>
              <w:t>–</w:t>
            </w:r>
          </w:p>
        </w:tc>
      </w:tr>
      <w:tr w:rsidR="00F02481" w:rsidRPr="00BE78CA" w14:paraId="60ECC815" w14:textId="77777777" w:rsidTr="00416320">
        <w:trPr>
          <w:cantSplit/>
        </w:trPr>
        <w:tc>
          <w:tcPr>
            <w:tcW w:w="1758" w:type="dxa"/>
            <w:vAlign w:val="bottom"/>
          </w:tcPr>
          <w:p w14:paraId="334D1AD3" w14:textId="77777777" w:rsidR="00F02481" w:rsidRPr="00BE78CA" w:rsidRDefault="00F02481" w:rsidP="00416320">
            <w:pPr>
              <w:pStyle w:val="TableText"/>
              <w:spacing w:before="50" w:after="50"/>
              <w:rPr>
                <w:rFonts w:cs="Calibri"/>
                <w:szCs w:val="16"/>
              </w:rPr>
            </w:pPr>
            <w:r w:rsidRPr="00BE78CA">
              <w:rPr>
                <w:rFonts w:cs="Calibri"/>
                <w:szCs w:val="16"/>
              </w:rPr>
              <w:t>Mules and asses</w:t>
            </w:r>
          </w:p>
        </w:tc>
        <w:tc>
          <w:tcPr>
            <w:tcW w:w="1644" w:type="dxa"/>
            <w:vAlign w:val="center"/>
          </w:tcPr>
          <w:p w14:paraId="300AE88B" w14:textId="77777777" w:rsidR="00F02481" w:rsidRPr="00BE78CA" w:rsidRDefault="00F02481" w:rsidP="00416320">
            <w:pPr>
              <w:pStyle w:val="TableText"/>
              <w:spacing w:before="50" w:after="50"/>
              <w:jc w:val="center"/>
              <w:rPr>
                <w:rFonts w:cs="Calibri"/>
                <w:szCs w:val="16"/>
              </w:rPr>
            </w:pPr>
            <w:r w:rsidRPr="00BE78CA">
              <w:rPr>
                <w:rFonts w:cs="Calibri"/>
                <w:szCs w:val="16"/>
              </w:rPr>
              <w:t>–</w:t>
            </w:r>
          </w:p>
        </w:tc>
        <w:tc>
          <w:tcPr>
            <w:tcW w:w="1418" w:type="dxa"/>
            <w:vAlign w:val="center"/>
          </w:tcPr>
          <w:p w14:paraId="2D87F8CF" w14:textId="77777777" w:rsidR="00F02481" w:rsidRPr="00BE78CA" w:rsidRDefault="00F02481" w:rsidP="00416320">
            <w:pPr>
              <w:pStyle w:val="TableText"/>
              <w:spacing w:before="50" w:after="50"/>
              <w:jc w:val="center"/>
              <w:rPr>
                <w:rFonts w:cs="Calibri"/>
                <w:szCs w:val="16"/>
              </w:rPr>
            </w:pPr>
            <w:r w:rsidRPr="00BE78CA">
              <w:rPr>
                <w:rFonts w:cs="Calibri"/>
                <w:szCs w:val="16"/>
              </w:rPr>
              <w:t>–</w:t>
            </w:r>
          </w:p>
        </w:tc>
        <w:tc>
          <w:tcPr>
            <w:tcW w:w="1425" w:type="dxa"/>
            <w:vAlign w:val="center"/>
          </w:tcPr>
          <w:p w14:paraId="5460EEA5" w14:textId="77777777" w:rsidR="00F02481" w:rsidRPr="00BE78CA" w:rsidRDefault="00F02481" w:rsidP="00416320">
            <w:pPr>
              <w:pStyle w:val="TableText"/>
              <w:spacing w:before="50" w:after="50"/>
              <w:jc w:val="center"/>
              <w:rPr>
                <w:rFonts w:cs="Calibri"/>
                <w:szCs w:val="16"/>
              </w:rPr>
            </w:pPr>
            <w:r w:rsidRPr="00BE78CA">
              <w:rPr>
                <w:rFonts w:cs="Calibri"/>
                <w:szCs w:val="16"/>
              </w:rPr>
              <w:t>100.0</w:t>
            </w:r>
          </w:p>
        </w:tc>
        <w:tc>
          <w:tcPr>
            <w:tcW w:w="1258" w:type="dxa"/>
            <w:vAlign w:val="center"/>
          </w:tcPr>
          <w:p w14:paraId="25B01ACB" w14:textId="77777777" w:rsidR="00F02481" w:rsidRPr="00BE78CA" w:rsidRDefault="00F02481" w:rsidP="00416320">
            <w:pPr>
              <w:pStyle w:val="TableText"/>
              <w:spacing w:before="50" w:after="50"/>
              <w:jc w:val="center"/>
              <w:rPr>
                <w:rFonts w:cs="Calibri"/>
                <w:szCs w:val="16"/>
              </w:rPr>
            </w:pPr>
            <w:r w:rsidRPr="00BE78CA">
              <w:rPr>
                <w:rFonts w:cs="Calibri"/>
                <w:szCs w:val="16"/>
              </w:rPr>
              <w:t>–</w:t>
            </w:r>
          </w:p>
        </w:tc>
        <w:tc>
          <w:tcPr>
            <w:tcW w:w="964" w:type="dxa"/>
            <w:vAlign w:val="center"/>
          </w:tcPr>
          <w:p w14:paraId="700091F8" w14:textId="77777777" w:rsidR="00F02481" w:rsidRPr="00BE78CA" w:rsidRDefault="00F02481" w:rsidP="00416320">
            <w:pPr>
              <w:pStyle w:val="TableText"/>
              <w:spacing w:before="50" w:after="50"/>
              <w:jc w:val="center"/>
              <w:rPr>
                <w:rFonts w:cs="Calibri"/>
                <w:szCs w:val="16"/>
              </w:rPr>
            </w:pPr>
            <w:r w:rsidRPr="00BE78CA">
              <w:rPr>
                <w:rFonts w:cs="Calibri"/>
                <w:szCs w:val="16"/>
              </w:rPr>
              <w:t>–</w:t>
            </w:r>
          </w:p>
        </w:tc>
      </w:tr>
    </w:tbl>
    <w:p w14:paraId="76C4CA88" w14:textId="77777777" w:rsidR="00F02481" w:rsidRPr="00BE78CA" w:rsidRDefault="00F02481" w:rsidP="00C26084">
      <w:pPr>
        <w:pStyle w:val="Heading3"/>
        <w:spacing w:before="480"/>
        <w:rPr>
          <w:rFonts w:cs="Calibri"/>
        </w:rPr>
      </w:pPr>
      <w:bookmarkStart w:id="701" w:name="_Toc32570659"/>
      <w:r w:rsidRPr="00BE78CA">
        <w:rPr>
          <w:rFonts w:cs="Calibri"/>
        </w:rPr>
        <w:lastRenderedPageBreak/>
        <w:t>5.3.2</w:t>
      </w:r>
      <w:r w:rsidRPr="00BE78CA">
        <w:rPr>
          <w:rFonts w:cs="Calibri"/>
        </w:rPr>
        <w:tab/>
        <w:t>Methodological issues</w:t>
      </w:r>
      <w:bookmarkEnd w:id="694"/>
      <w:bookmarkEnd w:id="701"/>
    </w:p>
    <w:p w14:paraId="769ABBBD" w14:textId="77777777" w:rsidR="00F02481" w:rsidRPr="00BE78CA" w:rsidRDefault="00F02481" w:rsidP="00C26084">
      <w:pPr>
        <w:pStyle w:val="Heading4"/>
      </w:pPr>
      <w:r w:rsidRPr="00BE78CA">
        <w:t xml:space="preserve">Methane from manure management systems (CRF 3.B.(a)) </w:t>
      </w:r>
    </w:p>
    <w:p w14:paraId="29213713" w14:textId="77777777" w:rsidR="00F02481" w:rsidRPr="00BE78CA" w:rsidRDefault="00F02481" w:rsidP="00C26084">
      <w:pPr>
        <w:pStyle w:val="BodyText"/>
        <w:ind w:right="-57"/>
        <w:rPr>
          <w:rFonts w:cs="Calibri"/>
        </w:rPr>
      </w:pPr>
      <w:r w:rsidRPr="00BE78CA">
        <w:rPr>
          <w:rFonts w:cs="Calibri"/>
        </w:rPr>
        <w:t>New Zealand uses a Tier 2 approach to calculate CH</w:t>
      </w:r>
      <w:r w:rsidRPr="00BE78CA">
        <w:rPr>
          <w:rFonts w:cs="Calibri"/>
          <w:vertAlign w:val="subscript"/>
        </w:rPr>
        <w:t xml:space="preserve">4 </w:t>
      </w:r>
      <w:r w:rsidRPr="00BE78CA">
        <w:rPr>
          <w:rFonts w:cs="Calibri"/>
        </w:rPr>
        <w:t>emissions from ruminant animal wastes from the major livestock categories in New Zealand (</w:t>
      </w:r>
      <w:r w:rsidRPr="00BE78CA">
        <w:rPr>
          <w:rFonts w:cs="Calibri"/>
          <w:i/>
          <w:iCs/>
        </w:rPr>
        <w:t>Dairy cattle</w:t>
      </w:r>
      <w:r w:rsidRPr="00BE78CA">
        <w:rPr>
          <w:rFonts w:cs="Calibri"/>
        </w:rPr>
        <w:t xml:space="preserve">, </w:t>
      </w:r>
      <w:r w:rsidRPr="00BE78CA">
        <w:rPr>
          <w:rFonts w:cs="Calibri"/>
          <w:i/>
          <w:iCs/>
        </w:rPr>
        <w:t xml:space="preserve">Non-dairy </w:t>
      </w:r>
      <w:r w:rsidRPr="00BE78CA">
        <w:rPr>
          <w:rFonts w:cs="Calibri"/>
        </w:rPr>
        <w:t>(beef)</w:t>
      </w:r>
      <w:r w:rsidRPr="00BE78CA">
        <w:rPr>
          <w:rFonts w:cs="Calibri"/>
          <w:i/>
          <w:iCs/>
        </w:rPr>
        <w:t xml:space="preserve"> cattle</w:t>
      </w:r>
      <w:r w:rsidRPr="00BE78CA">
        <w:rPr>
          <w:rFonts w:cs="Calibri"/>
        </w:rPr>
        <w:t xml:space="preserve">, </w:t>
      </w:r>
      <w:r w:rsidRPr="00BE78CA">
        <w:rPr>
          <w:rFonts w:cs="Calibri"/>
          <w:i/>
          <w:iCs/>
        </w:rPr>
        <w:t>Sheep</w:t>
      </w:r>
      <w:r w:rsidRPr="00BE78CA">
        <w:rPr>
          <w:rFonts w:cs="Calibri"/>
        </w:rPr>
        <w:t xml:space="preserve"> and </w:t>
      </w:r>
      <w:r w:rsidRPr="00BE78CA">
        <w:rPr>
          <w:rFonts w:cs="Calibri"/>
          <w:i/>
          <w:iCs/>
        </w:rPr>
        <w:t>Deer</w:t>
      </w:r>
      <w:r w:rsidRPr="00BE78CA">
        <w:rPr>
          <w:rFonts w:cs="Calibri"/>
        </w:rPr>
        <w:t>). This approach is based on the methods recommended by Saggar et al</w:t>
      </w:r>
      <w:r w:rsidRPr="00BE78CA">
        <w:rPr>
          <w:rFonts w:cs="Calibri"/>
          <w:spacing w:val="-2"/>
        </w:rPr>
        <w:t xml:space="preserve">. </w:t>
      </w:r>
      <w:r w:rsidRPr="00BE78CA">
        <w:rPr>
          <w:rFonts w:cs="Calibri"/>
        </w:rPr>
        <w:t>(unpublished) and is consistent with the 2006 IPCC Guidelines.</w:t>
      </w:r>
    </w:p>
    <w:p w14:paraId="7A4A9FA7" w14:textId="77777777" w:rsidR="00F02481" w:rsidRPr="00BE78CA" w:rsidRDefault="00F02481" w:rsidP="00C26084">
      <w:pPr>
        <w:pStyle w:val="BodyText"/>
        <w:ind w:right="-57"/>
        <w:rPr>
          <w:rFonts w:cs="Calibri"/>
        </w:rPr>
      </w:pPr>
      <w:r w:rsidRPr="00BE78CA">
        <w:rPr>
          <w:rFonts w:cs="Calibri"/>
        </w:rPr>
        <w:t>Because New Zealand has detailed information on the dairy population and their characteristics (such as feed intake), the IPCC (2006) Tier 2 methodology for dairy anaerobic lagoons is used. The Tier 1 methodology for estimating emissions from various manure management systems of the minor livestock categories uses country-specific and IPCC (2006) default emission factors.</w:t>
      </w:r>
    </w:p>
    <w:p w14:paraId="1BDBBC03" w14:textId="77777777" w:rsidR="00F02481" w:rsidRPr="00BE78CA" w:rsidRDefault="00F02481" w:rsidP="00C26084">
      <w:pPr>
        <w:pStyle w:val="Heading5"/>
        <w:rPr>
          <w:rFonts w:cs="Calibri"/>
        </w:rPr>
      </w:pPr>
      <w:bookmarkStart w:id="702" w:name="_Toc139264110"/>
      <w:r w:rsidRPr="00BE78CA">
        <w:rPr>
          <w:rFonts w:cs="Calibri"/>
        </w:rPr>
        <w:t xml:space="preserve">Manure methane </w:t>
      </w:r>
      <w:bookmarkEnd w:id="702"/>
      <w:r w:rsidRPr="00BE78CA">
        <w:rPr>
          <w:rFonts w:cs="Calibri"/>
        </w:rPr>
        <w:t xml:space="preserve">from the major livestock categories </w:t>
      </w:r>
    </w:p>
    <w:p w14:paraId="57C879C2" w14:textId="77777777" w:rsidR="00F02481" w:rsidRPr="00BE78CA" w:rsidRDefault="00F02481" w:rsidP="00C26084">
      <w:pPr>
        <w:pStyle w:val="BodyText"/>
        <w:rPr>
          <w:rFonts w:cs="Calibri"/>
        </w:rPr>
      </w:pPr>
      <w:r w:rsidRPr="00BE78CA">
        <w:rPr>
          <w:rFonts w:cs="Calibri"/>
        </w:rPr>
        <w:t>The approach for calculating CH</w:t>
      </w:r>
      <w:r w:rsidRPr="00BE78CA">
        <w:rPr>
          <w:rFonts w:cs="Calibri"/>
          <w:vertAlign w:val="subscript"/>
        </w:rPr>
        <w:t>4</w:t>
      </w:r>
      <w:r w:rsidRPr="00BE78CA">
        <w:rPr>
          <w:rFonts w:cs="Calibri"/>
        </w:rPr>
        <w:t xml:space="preserve"> emissions from the major livestock categories relies on: </w:t>
      </w:r>
    </w:p>
    <w:p w14:paraId="40F3E9EF" w14:textId="77777777" w:rsidR="00F02481" w:rsidRPr="00BE78CA" w:rsidRDefault="00F02481" w:rsidP="00C26084">
      <w:pPr>
        <w:pStyle w:val="BodyText"/>
        <w:spacing w:before="0"/>
        <w:ind w:left="567" w:hanging="567"/>
        <w:rPr>
          <w:rFonts w:cs="Calibri"/>
        </w:rPr>
      </w:pPr>
      <w:r w:rsidRPr="00BE78CA">
        <w:rPr>
          <w:rFonts w:cs="Calibri"/>
        </w:rPr>
        <w:t xml:space="preserve">(1) </w:t>
      </w:r>
      <w:r w:rsidRPr="00BE78CA">
        <w:rPr>
          <w:rFonts w:cs="Calibri"/>
        </w:rPr>
        <w:tab/>
        <w:t>an estimation of the total quantity of faecal material produced, split into dung and urine</w:t>
      </w:r>
    </w:p>
    <w:p w14:paraId="68624339" w14:textId="77777777" w:rsidR="00F02481" w:rsidRPr="00BE78CA" w:rsidRDefault="00F02481" w:rsidP="00C26084">
      <w:pPr>
        <w:pStyle w:val="BodyText"/>
        <w:spacing w:before="0"/>
        <w:ind w:left="567" w:hanging="567"/>
        <w:rPr>
          <w:rFonts w:cs="Calibri"/>
        </w:rPr>
      </w:pPr>
      <w:r w:rsidRPr="00BE78CA">
        <w:rPr>
          <w:rFonts w:cs="Calibri"/>
        </w:rPr>
        <w:t xml:space="preserve">(2) </w:t>
      </w:r>
      <w:r w:rsidRPr="00BE78CA">
        <w:rPr>
          <w:rFonts w:cs="Calibri"/>
        </w:rPr>
        <w:tab/>
        <w:t xml:space="preserve">allocating the faecal material to the appropriate manure management system, either onto pastures or anaerobic lagoons (based on the distributions in table 5.3.2) </w:t>
      </w:r>
    </w:p>
    <w:p w14:paraId="1CB9D3E6" w14:textId="77777777" w:rsidR="00F02481" w:rsidRPr="00BE78CA" w:rsidRDefault="00F02481" w:rsidP="00C26084">
      <w:pPr>
        <w:pStyle w:val="BodyText"/>
        <w:spacing w:before="0"/>
        <w:ind w:left="567" w:hanging="567"/>
        <w:rPr>
          <w:rFonts w:cs="Calibri"/>
        </w:rPr>
      </w:pPr>
      <w:r w:rsidRPr="00BE78CA">
        <w:rPr>
          <w:rFonts w:cs="Calibri"/>
        </w:rPr>
        <w:t xml:space="preserve">(3) </w:t>
      </w:r>
      <w:r w:rsidRPr="00BE78CA">
        <w:rPr>
          <w:rFonts w:cs="Calibri"/>
        </w:rPr>
        <w:tab/>
        <w:t>New Zealand-specific emission factors for the quantity of CH</w:t>
      </w:r>
      <w:r w:rsidRPr="00BE78CA">
        <w:rPr>
          <w:rFonts w:cs="Calibri"/>
          <w:vertAlign w:val="subscript"/>
        </w:rPr>
        <w:t>4</w:t>
      </w:r>
      <w:r w:rsidRPr="00BE78CA">
        <w:rPr>
          <w:rFonts w:cs="Calibri"/>
        </w:rPr>
        <w:t xml:space="preserve"> produced per unit of faecal dry-matter (FDM) output.</w:t>
      </w:r>
    </w:p>
    <w:p w14:paraId="2002F181" w14:textId="77777777" w:rsidR="00F02481" w:rsidRPr="00BE78CA" w:rsidRDefault="00F02481" w:rsidP="00C26084">
      <w:pPr>
        <w:pStyle w:val="BodyText"/>
        <w:keepNext/>
        <w:rPr>
          <w:rFonts w:cs="Calibri"/>
        </w:rPr>
      </w:pPr>
      <w:r w:rsidRPr="00BE78CA">
        <w:rPr>
          <w:rFonts w:cs="Calibri"/>
        </w:rPr>
        <w:t>The following equation is used to determine the monthly FDM output for each livestock category (</w:t>
      </w:r>
      <w:r w:rsidRPr="00BE78CA">
        <w:rPr>
          <w:rFonts w:cs="Calibri"/>
          <w:i/>
          <w:iCs/>
        </w:rPr>
        <w:t>Dairy cattle</w:t>
      </w:r>
      <w:r w:rsidRPr="00BE78CA">
        <w:rPr>
          <w:rFonts w:cs="Calibri"/>
        </w:rPr>
        <w:t xml:space="preserve">, </w:t>
      </w:r>
      <w:r w:rsidRPr="00BE78CA">
        <w:rPr>
          <w:rFonts w:cs="Calibri"/>
          <w:i/>
          <w:iCs/>
        </w:rPr>
        <w:t xml:space="preserve">Non-dairy </w:t>
      </w:r>
      <w:r w:rsidRPr="00BE78CA">
        <w:rPr>
          <w:rFonts w:cs="Calibri"/>
        </w:rPr>
        <w:t xml:space="preserve">(beef) </w:t>
      </w:r>
      <w:r w:rsidRPr="00BE78CA">
        <w:rPr>
          <w:rFonts w:cs="Calibri"/>
          <w:i/>
          <w:iCs/>
        </w:rPr>
        <w:t>cattle</w:t>
      </w:r>
      <w:r w:rsidRPr="00BE78CA">
        <w:rPr>
          <w:rFonts w:cs="Calibri"/>
        </w:rPr>
        <w:t xml:space="preserve">, </w:t>
      </w:r>
      <w:r w:rsidRPr="00BE78CA">
        <w:rPr>
          <w:rFonts w:cs="Calibri"/>
          <w:i/>
          <w:iCs/>
        </w:rPr>
        <w:t>Sheep</w:t>
      </w:r>
      <w:r w:rsidRPr="00BE78CA">
        <w:rPr>
          <w:rFonts w:cs="Calibri"/>
        </w:rPr>
        <w:t xml:space="preserve"> and </w:t>
      </w:r>
      <w:r w:rsidRPr="00BE78CA">
        <w:rPr>
          <w:rFonts w:cs="Calibri"/>
          <w:i/>
          <w:iCs/>
        </w:rPr>
        <w:t>Deer</w:t>
      </w:r>
      <w:r w:rsidRPr="00BE78CA">
        <w:rPr>
          <w:rFonts w:cs="Calibri"/>
        </w:rPr>
        <w:t>):</w:t>
      </w:r>
    </w:p>
    <w:p w14:paraId="2BF79843" w14:textId="77777777" w:rsidR="00F02481" w:rsidRPr="00BE78CA" w:rsidRDefault="00F02481" w:rsidP="00C26084">
      <w:pPr>
        <w:spacing w:before="120" w:after="120"/>
        <w:jc w:val="center"/>
        <w:rPr>
          <w:rFonts w:ascii="Cambria Math" w:hAnsi="Cambria Math" w:cs="Calibri"/>
          <w:i/>
          <w:iCs/>
          <w:szCs w:val="24"/>
        </w:rPr>
      </w:pPr>
      <w:r w:rsidRPr="00BE78CA">
        <w:rPr>
          <w:rFonts w:ascii="Cambria Math" w:hAnsi="Cambria Math" w:cs="Calibri"/>
          <w:i/>
          <w:iCs/>
          <w:szCs w:val="24"/>
        </w:rPr>
        <w:t>FDM = DMI × (1 – DMD)</w:t>
      </w:r>
    </w:p>
    <w:p w14:paraId="5499173C" w14:textId="77777777" w:rsidR="00F02481" w:rsidRPr="00BE78CA" w:rsidRDefault="00F02481" w:rsidP="00C26084">
      <w:pPr>
        <w:pStyle w:val="BodyText"/>
        <w:spacing w:before="60" w:after="60"/>
        <w:ind w:left="964" w:hanging="964"/>
      </w:pPr>
      <w:r w:rsidRPr="00BE78CA">
        <w:t xml:space="preserve">Where: </w:t>
      </w:r>
      <w:r w:rsidRPr="00BE78CA">
        <w:tab/>
        <w:t>FDM is faecal dry matter (kg head</w:t>
      </w:r>
      <w:r w:rsidRPr="00BE78CA">
        <w:rPr>
          <w:vertAlign w:val="superscript"/>
        </w:rPr>
        <w:t xml:space="preserve">-1 </w:t>
      </w:r>
      <w:r w:rsidRPr="00BE78CA">
        <w:t>month</w:t>
      </w:r>
      <w:r w:rsidRPr="00BE78CA">
        <w:rPr>
          <w:vertAlign w:val="superscript"/>
        </w:rPr>
        <w:t>-1</w:t>
      </w:r>
      <w:r w:rsidRPr="00BE78CA">
        <w:t>)</w:t>
      </w:r>
    </w:p>
    <w:p w14:paraId="101D2AEC" w14:textId="77777777" w:rsidR="00F02481" w:rsidRPr="00BE78CA" w:rsidRDefault="00F02481" w:rsidP="00C26084">
      <w:pPr>
        <w:pStyle w:val="BodyText"/>
        <w:spacing w:before="60" w:after="60"/>
        <w:ind w:left="964" w:hanging="964"/>
      </w:pPr>
      <w:r w:rsidRPr="00BE78CA">
        <w:tab/>
        <w:t>DMI is dry-matter intake (kg head</w:t>
      </w:r>
      <w:r w:rsidRPr="00BE78CA">
        <w:rPr>
          <w:vertAlign w:val="superscript"/>
        </w:rPr>
        <w:t>-1</w:t>
      </w:r>
      <w:r w:rsidRPr="00BE78CA">
        <w:t xml:space="preserve"> month</w:t>
      </w:r>
      <w:r w:rsidRPr="00BE78CA">
        <w:rPr>
          <w:vertAlign w:val="superscript"/>
        </w:rPr>
        <w:t>-1</w:t>
      </w:r>
      <w:r w:rsidRPr="00BE78CA">
        <w:t>), and</w:t>
      </w:r>
    </w:p>
    <w:p w14:paraId="4A045635" w14:textId="77777777" w:rsidR="00F02481" w:rsidRPr="00BE78CA" w:rsidRDefault="00F02481" w:rsidP="00C26084">
      <w:pPr>
        <w:pStyle w:val="BodyText"/>
        <w:spacing w:before="60"/>
        <w:ind w:left="964" w:hanging="964"/>
      </w:pPr>
      <w:r w:rsidRPr="00BE78CA">
        <w:tab/>
        <w:t>DMD is dry-matter digestibility (decimal proportion).</w:t>
      </w:r>
    </w:p>
    <w:p w14:paraId="236C0B1E" w14:textId="77777777" w:rsidR="00F02481" w:rsidRPr="00BE78CA" w:rsidRDefault="00F02481" w:rsidP="00C26084">
      <w:pPr>
        <w:pStyle w:val="BodyText"/>
        <w:rPr>
          <w:rFonts w:cs="Calibri"/>
        </w:rPr>
      </w:pPr>
      <w:r w:rsidRPr="00BE78CA">
        <w:rPr>
          <w:rFonts w:cs="Calibri"/>
        </w:rPr>
        <w:t>The DMI and dry-matter digestibility estimates in this calculation are the same as those used to calculate the enteric fermentation CH</w:t>
      </w:r>
      <w:r w:rsidRPr="00BE78CA">
        <w:rPr>
          <w:rFonts w:cs="Calibri"/>
          <w:vertAlign w:val="subscript"/>
        </w:rPr>
        <w:t xml:space="preserve">4 </w:t>
      </w:r>
      <w:r w:rsidRPr="00BE78CA">
        <w:rPr>
          <w:rFonts w:cs="Calibri"/>
          <w:spacing w:val="-2"/>
        </w:rPr>
        <w:t xml:space="preserve">and </w:t>
      </w:r>
      <w:r w:rsidRPr="00BE78CA">
        <w:rPr>
          <w:rFonts w:cs="Calibri"/>
        </w:rPr>
        <w:t>nitrogen</w:t>
      </w:r>
      <w:r w:rsidRPr="00BE78CA">
        <w:rPr>
          <w:rFonts w:cs="Calibri"/>
          <w:spacing w:val="-2"/>
        </w:rPr>
        <w:t xml:space="preserve"> in excreta.</w:t>
      </w:r>
      <w:r w:rsidRPr="00BE78CA">
        <w:rPr>
          <w:rFonts w:cs="Calibri"/>
        </w:rPr>
        <w:t xml:space="preserve"> These Tier 2 model calculations are based on livestock performance statistics (see section 5.1.4). </w:t>
      </w:r>
    </w:p>
    <w:p w14:paraId="02F34BE7" w14:textId="77777777" w:rsidR="00F02481" w:rsidRPr="00BE78CA" w:rsidRDefault="00F02481" w:rsidP="00C26084">
      <w:pPr>
        <w:pStyle w:val="Heading5"/>
        <w:spacing w:before="200"/>
        <w:rPr>
          <w:rFonts w:cs="Calibri"/>
        </w:rPr>
      </w:pPr>
      <w:r w:rsidRPr="00BE78CA">
        <w:rPr>
          <w:rFonts w:cs="Calibri"/>
        </w:rPr>
        <w:t xml:space="preserve">Methane from dairy effluent anaerobic lagoons </w:t>
      </w:r>
    </w:p>
    <w:p w14:paraId="4AB393C4" w14:textId="77777777" w:rsidR="00F02481" w:rsidRPr="00BE78CA" w:rsidRDefault="00F02481" w:rsidP="00C26084">
      <w:pPr>
        <w:pStyle w:val="BodyText"/>
        <w:spacing w:before="100" w:after="60"/>
        <w:rPr>
          <w:rFonts w:cs="Calibri"/>
        </w:rPr>
      </w:pPr>
      <w:r w:rsidRPr="00BE78CA">
        <w:rPr>
          <w:rFonts w:cs="Calibri"/>
        </w:rPr>
        <w:t>Each year, a proportion of manure from dairy cows is stored in anaerobic lagoons (Rollo et al., unpublished). A Tier 2 methodology derived from the IPCC Guidelines (2006, equations 10.23 and 10.24) linking volatile solids to FDM is used for calculating CH</w:t>
      </w:r>
      <w:r w:rsidRPr="00BE78CA">
        <w:rPr>
          <w:rFonts w:cs="Calibri"/>
          <w:vertAlign w:val="subscript"/>
        </w:rPr>
        <w:t>4</w:t>
      </w:r>
      <w:r w:rsidRPr="00BE78CA">
        <w:rPr>
          <w:rFonts w:cs="Calibri"/>
        </w:rPr>
        <w:t xml:space="preserve"> emissions from this activity.</w:t>
      </w:r>
    </w:p>
    <w:p w14:paraId="66389E8B" w14:textId="77777777" w:rsidR="00F02481" w:rsidRPr="00BE78CA" w:rsidRDefault="00F02481" w:rsidP="00C26084">
      <w:pPr>
        <w:pStyle w:val="BodyText"/>
        <w:spacing w:after="0"/>
        <w:rPr>
          <w:rFonts w:cs="Calibri"/>
        </w:rPr>
      </w:pPr>
      <w:r w:rsidRPr="00BE78CA">
        <w:rPr>
          <w:rFonts w:cs="Calibri"/>
        </w:rPr>
        <w:t>The following equation is used to determine CH</w:t>
      </w:r>
      <w:r w:rsidRPr="00BE78CA">
        <w:rPr>
          <w:rFonts w:cs="Calibri"/>
          <w:vertAlign w:val="subscript"/>
        </w:rPr>
        <w:t>4</w:t>
      </w:r>
      <w:r w:rsidRPr="00BE78CA">
        <w:rPr>
          <w:rFonts w:cs="Calibri"/>
        </w:rPr>
        <w:t xml:space="preserve"> emissions (CH</w:t>
      </w:r>
      <w:r w:rsidRPr="00BE78CA">
        <w:rPr>
          <w:rFonts w:cs="Calibri"/>
          <w:vertAlign w:val="subscript"/>
        </w:rPr>
        <w:t>4-MM</w:t>
      </w:r>
      <w:r w:rsidRPr="00BE78CA">
        <w:rPr>
          <w:rFonts w:cs="Calibri"/>
        </w:rPr>
        <w:t>) from dairy cattle manure in anaerobic lagoons:</w:t>
      </w:r>
    </w:p>
    <w:bookmarkStart w:id="703" w:name="_MON_1573034334"/>
    <w:bookmarkEnd w:id="703"/>
    <w:p w14:paraId="25273142" w14:textId="77777777" w:rsidR="00F02481" w:rsidRPr="00BE78CA" w:rsidRDefault="00F02481" w:rsidP="00C26084">
      <w:pPr>
        <w:pStyle w:val="BodyText"/>
        <w:spacing w:after="0"/>
        <w:rPr>
          <w:rFonts w:cs="Calibri"/>
        </w:rPr>
      </w:pPr>
      <w:r w:rsidRPr="00BE78CA">
        <w:rPr>
          <w:rFonts w:cs="Calibri"/>
        </w:rPr>
        <w:object w:dxaOrig="7814" w:dyaOrig="448" w14:anchorId="60810F89">
          <v:shape id="_x0000_i1048" type="#_x0000_t75" style="width:388.55pt;height:20.4pt" o:ole="">
            <v:imagedata r:id="rId132" o:title=""/>
          </v:shape>
          <o:OLEObject Type="Embed" ProgID="Word.Document.12" ShapeID="_x0000_i1048" DrawAspect="Content" ObjectID="_1679402768" r:id="rId133">
            <o:FieldCodes>\s</o:FieldCodes>
          </o:OLEObject>
        </w:object>
      </w:r>
    </w:p>
    <w:p w14:paraId="6B9986FE" w14:textId="77777777" w:rsidR="00F02481" w:rsidRPr="00BE78CA" w:rsidRDefault="00F02481" w:rsidP="00C26084">
      <w:pPr>
        <w:pStyle w:val="BodyText"/>
        <w:spacing w:before="60" w:after="60"/>
        <w:ind w:left="964" w:hanging="964"/>
      </w:pPr>
      <w:r w:rsidRPr="00BE78CA">
        <w:t xml:space="preserve">Where: </w:t>
      </w:r>
      <w:r w:rsidRPr="00BE78CA">
        <w:tab/>
        <w:t>FDM is the faecal dry matter excreted by dairy cows (on pasture and stored in anaerobic lagoons) (kg head-1 month-1)</w:t>
      </w:r>
    </w:p>
    <w:p w14:paraId="7BDCAC31" w14:textId="77777777" w:rsidR="00F02481" w:rsidRPr="00BE78CA" w:rsidRDefault="00F02481" w:rsidP="00C26084">
      <w:pPr>
        <w:pStyle w:val="BodyText"/>
        <w:spacing w:before="60" w:after="60"/>
        <w:ind w:left="964" w:hanging="964"/>
      </w:pPr>
      <w:r w:rsidRPr="00BE78CA">
        <w:tab/>
        <w:t>ASH is the ash content of manure, 0.08 (IPCC, 2006, default value)</w:t>
      </w:r>
    </w:p>
    <w:p w14:paraId="5BC6BF9F" w14:textId="77777777" w:rsidR="00F02481" w:rsidRPr="00BE78CA" w:rsidRDefault="00F02481" w:rsidP="00C26084">
      <w:pPr>
        <w:pStyle w:val="BodyText"/>
        <w:spacing w:before="60" w:after="60"/>
        <w:ind w:left="964" w:hanging="964"/>
      </w:pPr>
      <w:r w:rsidRPr="00BE78CA">
        <w:tab/>
        <w:t>B</w:t>
      </w:r>
      <w:r w:rsidRPr="00BE78CA">
        <w:rPr>
          <w:vertAlign w:val="subscript"/>
        </w:rPr>
        <w:t>0</w:t>
      </w:r>
      <w:r w:rsidRPr="00BE78CA">
        <w:t xml:space="preserve"> is the maximum CH</w:t>
      </w:r>
      <w:r w:rsidRPr="00BE78CA">
        <w:rPr>
          <w:vertAlign w:val="subscript"/>
        </w:rPr>
        <w:t>4</w:t>
      </w:r>
      <w:r w:rsidRPr="00BE78CA">
        <w:t>-producing capacity of manure variable by species and diet, 0.24 (IPCC, 2006; Oceania default value, verified by Pratt et al., unpublished)</w:t>
      </w:r>
    </w:p>
    <w:p w14:paraId="72B21F49" w14:textId="77777777" w:rsidR="00F02481" w:rsidRPr="00BE78CA" w:rsidRDefault="00F02481" w:rsidP="009A71A6">
      <w:pPr>
        <w:pStyle w:val="BodyText"/>
        <w:spacing w:before="60" w:after="40"/>
        <w:ind w:left="964" w:hanging="964"/>
      </w:pPr>
      <w:r w:rsidRPr="00BE78CA">
        <w:lastRenderedPageBreak/>
        <w:tab/>
        <w:t>0.67 is the conversion factor for converting CH</w:t>
      </w:r>
      <w:r w:rsidRPr="00BE78CA">
        <w:rPr>
          <w:vertAlign w:val="subscript"/>
        </w:rPr>
        <w:t>4</w:t>
      </w:r>
      <w:r w:rsidRPr="00BE78CA">
        <w:t xml:space="preserve"> from cubic metres to kilograms (IPCC, 2006)</w:t>
      </w:r>
    </w:p>
    <w:p w14:paraId="36671C45" w14:textId="77777777" w:rsidR="00F02481" w:rsidRPr="00BE78CA" w:rsidRDefault="00F02481" w:rsidP="009A71A6">
      <w:pPr>
        <w:pStyle w:val="BodyText"/>
        <w:spacing w:before="60" w:after="40"/>
        <w:ind w:left="964" w:hanging="964"/>
      </w:pPr>
      <w:r w:rsidRPr="00BE78CA">
        <w:tab/>
        <w:t>MCF is the CH</w:t>
      </w:r>
      <w:r w:rsidRPr="00BE78CA">
        <w:rPr>
          <w:vertAlign w:val="subscript"/>
        </w:rPr>
        <w:t>4</w:t>
      </w:r>
      <w:r w:rsidRPr="00BE78CA">
        <w:t xml:space="preserve"> conversion factor, 0.76 (IPCC, 2006, table 10.17, default for uncovered anaerobic lagoon, average annual temperature 15 degrees Celsius, verified by Pratt et al., unpublished) </w:t>
      </w:r>
    </w:p>
    <w:p w14:paraId="2CB45A82" w14:textId="77777777" w:rsidR="00F02481" w:rsidRPr="00BE78CA" w:rsidRDefault="00F02481" w:rsidP="00C26084">
      <w:pPr>
        <w:pStyle w:val="BodyText"/>
        <w:spacing w:before="60" w:after="60"/>
        <w:ind w:left="964" w:hanging="964"/>
      </w:pPr>
      <w:r w:rsidRPr="00BE78CA">
        <w:tab/>
        <w:t>MS is the fraction of total dairy manure excreted in anaerobic lagoons.</w:t>
      </w:r>
    </w:p>
    <w:p w14:paraId="1E010618" w14:textId="77777777" w:rsidR="00F02481" w:rsidRPr="00BE78CA" w:rsidRDefault="00F02481" w:rsidP="00C26084">
      <w:pPr>
        <w:pStyle w:val="Heading5"/>
        <w:spacing w:before="200"/>
        <w:rPr>
          <w:rFonts w:cs="Calibri"/>
        </w:rPr>
      </w:pPr>
      <w:r w:rsidRPr="00BE78CA">
        <w:rPr>
          <w:rFonts w:cs="Calibri"/>
        </w:rPr>
        <w:t>Methane emissions from the major livestock categories</w:t>
      </w:r>
    </w:p>
    <w:p w14:paraId="28538A88" w14:textId="77777777" w:rsidR="00F02481" w:rsidRPr="00BE78CA" w:rsidRDefault="00F02481" w:rsidP="00C26084">
      <w:pPr>
        <w:pStyle w:val="BodyText"/>
        <w:spacing w:after="0"/>
      </w:pPr>
      <w:r w:rsidRPr="00BE78CA">
        <w:t>The following equation is used to determine CH</w:t>
      </w:r>
      <w:r w:rsidRPr="00BE78CA">
        <w:rPr>
          <w:vertAlign w:val="subscript"/>
        </w:rPr>
        <w:t>4</w:t>
      </w:r>
      <w:r w:rsidRPr="00BE78CA">
        <w:t xml:space="preserve"> emissions (CH</w:t>
      </w:r>
      <w:r w:rsidRPr="00BE78CA">
        <w:rPr>
          <w:vertAlign w:val="subscript"/>
        </w:rPr>
        <w:t>4-PRP</w:t>
      </w:r>
      <w:r w:rsidRPr="00BE78CA">
        <w:t>) from beef cattle, sheep and deer manure deposited onto pasture:</w:t>
      </w:r>
    </w:p>
    <w:bookmarkStart w:id="704" w:name="_MON_1573034444"/>
    <w:bookmarkEnd w:id="704"/>
    <w:p w14:paraId="27F645A5" w14:textId="51EDDB46" w:rsidR="00F02481" w:rsidRPr="00BE78CA" w:rsidRDefault="009A71A6" w:rsidP="00617C6F">
      <w:pPr>
        <w:pStyle w:val="BodyText"/>
        <w:spacing w:after="0"/>
        <w:rPr>
          <w:rFonts w:cs="Calibri"/>
        </w:rPr>
      </w:pPr>
      <w:r w:rsidRPr="00BE78CA">
        <w:rPr>
          <w:rFonts w:cs="Calibri"/>
        </w:rPr>
        <w:object w:dxaOrig="7289" w:dyaOrig="411" w14:anchorId="523DF520">
          <v:shape id="_x0000_i1049" type="#_x0000_t75" style="width:366.1pt;height:20.4pt" o:ole="">
            <v:imagedata r:id="rId134" o:title=""/>
          </v:shape>
          <o:OLEObject Type="Embed" ProgID="Word.Document.12" ShapeID="_x0000_i1049" DrawAspect="Content" ObjectID="_1679402769" r:id="rId135">
            <o:FieldCodes>\s</o:FieldCodes>
          </o:OLEObject>
        </w:object>
      </w:r>
    </w:p>
    <w:p w14:paraId="2DDA944C" w14:textId="77777777" w:rsidR="00F02481" w:rsidRPr="00BE78CA" w:rsidRDefault="00F02481" w:rsidP="009A71A6">
      <w:pPr>
        <w:pStyle w:val="BodyText"/>
        <w:spacing w:before="80" w:after="40"/>
        <w:ind w:left="964" w:hanging="964"/>
      </w:pPr>
      <w:r w:rsidRPr="00BE78CA">
        <w:t xml:space="preserve">Where: </w:t>
      </w:r>
      <w:r w:rsidRPr="00BE78CA">
        <w:tab/>
        <w:t>FDM is the faecal dry matter (kg/head/month)</w:t>
      </w:r>
    </w:p>
    <w:p w14:paraId="3577FAC8" w14:textId="77777777" w:rsidR="00F02481" w:rsidRPr="00BE78CA" w:rsidRDefault="00F02481" w:rsidP="009A71A6">
      <w:pPr>
        <w:pStyle w:val="BodyText"/>
        <w:spacing w:before="40"/>
        <w:ind w:left="964" w:hanging="964"/>
      </w:pPr>
      <w:r w:rsidRPr="00BE78CA">
        <w:tab/>
        <w:t>Y</w:t>
      </w:r>
      <w:r w:rsidRPr="00BE78CA">
        <w:rPr>
          <w:vertAlign w:val="subscript"/>
        </w:rPr>
        <w:t>m</w:t>
      </w:r>
      <w:r w:rsidRPr="00BE78CA">
        <w:t xml:space="preserve"> is the CH</w:t>
      </w:r>
      <w:r w:rsidRPr="00BE78CA">
        <w:rPr>
          <w:vertAlign w:val="subscript"/>
        </w:rPr>
        <w:t>4</w:t>
      </w:r>
      <w:r w:rsidRPr="00BE78CA">
        <w:t xml:space="preserve"> yield value.</w:t>
      </w:r>
    </w:p>
    <w:p w14:paraId="56DC95F5" w14:textId="77777777" w:rsidR="00F02481" w:rsidRPr="00BE78CA" w:rsidRDefault="00F02481" w:rsidP="009A71A6">
      <w:pPr>
        <w:pStyle w:val="BodyText"/>
        <w:spacing w:before="100" w:after="100"/>
      </w:pPr>
      <w:r w:rsidRPr="00BE78CA">
        <w:t>Country-specific CH</w:t>
      </w:r>
      <w:r w:rsidRPr="00BE78CA">
        <w:rPr>
          <w:vertAlign w:val="subscript"/>
        </w:rPr>
        <w:t>4</w:t>
      </w:r>
      <w:r w:rsidRPr="00BE78CA">
        <w:t xml:space="preserve"> yield values have been developed from New Zealand studies. Details on the values used for each of the major livestock categories are provided below.</w:t>
      </w:r>
    </w:p>
    <w:p w14:paraId="6771C6E5" w14:textId="77777777" w:rsidR="00F02481" w:rsidRPr="00BE78CA" w:rsidRDefault="00F02481" w:rsidP="00C26084">
      <w:pPr>
        <w:pStyle w:val="BodyText"/>
        <w:spacing w:before="100" w:after="100"/>
        <w:rPr>
          <w:rFonts w:cs="Calibri"/>
        </w:rPr>
      </w:pPr>
      <w:r w:rsidRPr="00BE78CA">
        <w:rPr>
          <w:rFonts w:cs="Calibri"/>
          <w:b/>
          <w:bCs/>
          <w:i/>
          <w:iCs/>
        </w:rPr>
        <w:t>Dairy cattle:</w:t>
      </w:r>
      <w:r w:rsidRPr="00BE78CA">
        <w:rPr>
          <w:rFonts w:cs="Calibri"/>
        </w:rPr>
        <w:t xml:space="preserve"> The quantity of CH</w:t>
      </w:r>
      <w:r w:rsidRPr="00BE78CA">
        <w:rPr>
          <w:rFonts w:cs="Calibri"/>
          <w:vertAlign w:val="subscript"/>
        </w:rPr>
        <w:t>4</w:t>
      </w:r>
      <w:r w:rsidRPr="00BE78CA">
        <w:rPr>
          <w:rFonts w:cs="Calibri"/>
        </w:rPr>
        <w:t xml:space="preserve"> produced per kilogram of FDM is 0.98 g CH</w:t>
      </w:r>
      <w:r w:rsidRPr="00BE78CA">
        <w:rPr>
          <w:rFonts w:cs="Calibri"/>
          <w:vertAlign w:val="subscript"/>
        </w:rPr>
        <w:t>4</w:t>
      </w:r>
      <w:r w:rsidRPr="00BE78CA">
        <w:rPr>
          <w:rFonts w:cs="Calibri"/>
        </w:rPr>
        <w:t>/kg for manure deposited on pasture. This value is obtained from New Zealand studies on dairy cows and varies from approximately 0.92 to 1.04 g CH</w:t>
      </w:r>
      <w:r w:rsidRPr="00BE78CA">
        <w:rPr>
          <w:rFonts w:cs="Calibri"/>
          <w:vertAlign w:val="subscript"/>
        </w:rPr>
        <w:t>4</w:t>
      </w:r>
      <w:r w:rsidRPr="00BE78CA">
        <w:rPr>
          <w:rFonts w:cs="Calibri"/>
        </w:rPr>
        <w:t>/kg (Saggar et al., unpublished; Sherlock et al., unpublished).</w:t>
      </w:r>
    </w:p>
    <w:p w14:paraId="12E838CE" w14:textId="77777777" w:rsidR="00F02481" w:rsidRPr="00BE78CA" w:rsidRDefault="00F02481" w:rsidP="00C26084">
      <w:pPr>
        <w:pStyle w:val="BodyText"/>
      </w:pPr>
      <w:r w:rsidRPr="00BE78CA">
        <w:rPr>
          <w:b/>
          <w:bCs/>
          <w:i/>
          <w:iCs/>
        </w:rPr>
        <w:t xml:space="preserve">Non-dairy </w:t>
      </w:r>
      <w:r w:rsidRPr="00BE78CA">
        <w:rPr>
          <w:b/>
          <w:bCs/>
        </w:rPr>
        <w:t>(beef)</w:t>
      </w:r>
      <w:r w:rsidRPr="00BE78CA">
        <w:rPr>
          <w:b/>
          <w:bCs/>
          <w:i/>
          <w:iCs/>
        </w:rPr>
        <w:t xml:space="preserve"> cattle:</w:t>
      </w:r>
      <w:r w:rsidRPr="00BE78CA">
        <w:t xml:space="preserve"> The value of 0.98 g CH</w:t>
      </w:r>
      <w:r w:rsidRPr="00BE78CA">
        <w:rPr>
          <w:vertAlign w:val="subscript"/>
        </w:rPr>
        <w:t>4</w:t>
      </w:r>
      <w:r w:rsidRPr="00BE78CA">
        <w:t>/kg per unit of FDM is based on New Zealand studies on dairy cattle manure (Saggar et al., unpublished; Sherlock et al., unpublished). No specific studies have been conducted in New Zealand on CH</w:t>
      </w:r>
      <w:r w:rsidRPr="00BE78CA">
        <w:rPr>
          <w:vertAlign w:val="subscript"/>
        </w:rPr>
        <w:t>4</w:t>
      </w:r>
      <w:r w:rsidRPr="00BE78CA">
        <w:t xml:space="preserve"> emissions from beef cattle manure.</w:t>
      </w:r>
    </w:p>
    <w:p w14:paraId="71D7E2BE" w14:textId="77777777" w:rsidR="00F02481" w:rsidRPr="00BE78CA" w:rsidRDefault="00F02481" w:rsidP="004D573C">
      <w:pPr>
        <w:pStyle w:val="BodyText"/>
        <w:spacing w:before="100" w:after="100"/>
      </w:pPr>
      <w:r w:rsidRPr="00BE78CA">
        <w:rPr>
          <w:b/>
          <w:bCs/>
          <w:i/>
          <w:iCs/>
        </w:rPr>
        <w:t>Sheep:</w:t>
      </w:r>
      <w:r w:rsidRPr="00BE78CA">
        <w:rPr>
          <w:i/>
          <w:iCs/>
        </w:rPr>
        <w:t xml:space="preserve"> </w:t>
      </w:r>
      <w:r w:rsidRPr="00BE78CA">
        <w:t>The quantity of CH</w:t>
      </w:r>
      <w:r w:rsidRPr="00BE78CA">
        <w:rPr>
          <w:vertAlign w:val="subscript"/>
        </w:rPr>
        <w:t>4</w:t>
      </w:r>
      <w:r w:rsidRPr="00BE78CA">
        <w:t xml:space="preserve"> produced per unit of sheep FDM is 0.69 g CH</w:t>
      </w:r>
      <w:r w:rsidRPr="00BE78CA">
        <w:rPr>
          <w:vertAlign w:val="subscript"/>
        </w:rPr>
        <w:t>4</w:t>
      </w:r>
      <w:r w:rsidRPr="00BE78CA">
        <w:t>/kg. This value is obtained from a New Zealand study on sheep in which values ranged from 0.340 to 1.288 over six sampling periods (Carran et al., unpublished).</w:t>
      </w:r>
    </w:p>
    <w:p w14:paraId="02227DCD" w14:textId="77777777" w:rsidR="00F02481" w:rsidRPr="00BE78CA" w:rsidRDefault="00F02481" w:rsidP="004D573C">
      <w:pPr>
        <w:pStyle w:val="BodyText"/>
        <w:spacing w:before="100" w:after="100"/>
      </w:pPr>
      <w:r w:rsidRPr="00BE78CA">
        <w:rPr>
          <w:b/>
          <w:bCs/>
          <w:i/>
          <w:iCs/>
        </w:rPr>
        <w:t>Deer:</w:t>
      </w:r>
      <w:r w:rsidRPr="00BE78CA">
        <w:t xml:space="preserve"> The quantity of CH</w:t>
      </w:r>
      <w:r w:rsidRPr="00BE78CA">
        <w:rPr>
          <w:vertAlign w:val="subscript"/>
        </w:rPr>
        <w:t>4</w:t>
      </w:r>
      <w:r w:rsidRPr="00BE78CA">
        <w:t xml:space="preserve"> produced per unit of FDM is assumed to be 0.91 g CH</w:t>
      </w:r>
      <w:r w:rsidRPr="00BE78CA">
        <w:rPr>
          <w:vertAlign w:val="subscript"/>
        </w:rPr>
        <w:t>4</w:t>
      </w:r>
      <w:r w:rsidRPr="00BE78CA">
        <w:t>/kg. Deer are not housed in New Zealand, and all faecal material is deposited directly onto pasture. This value is derived from New Zealand studies on sheep (Carran et al.,</w:t>
      </w:r>
      <w:r w:rsidRPr="00BE78CA">
        <w:rPr>
          <w:i/>
          <w:iCs/>
        </w:rPr>
        <w:t xml:space="preserve"> </w:t>
      </w:r>
      <w:r w:rsidRPr="00BE78CA">
        <w:t>unpublished) and dairy cattle (Saggar et al., unpublished; Sherlock et al., unpublished). There are no New Zealand studies on CH</w:t>
      </w:r>
      <w:r w:rsidRPr="00BE78CA">
        <w:rPr>
          <w:vertAlign w:val="subscript"/>
        </w:rPr>
        <w:t>4</w:t>
      </w:r>
      <w:r w:rsidRPr="00BE78CA">
        <w:t xml:space="preserve"> emissions from deer manure. Further information on the calculation of the manure CH</w:t>
      </w:r>
      <w:r w:rsidRPr="00BE78CA">
        <w:rPr>
          <w:vertAlign w:val="subscript"/>
        </w:rPr>
        <w:t>4</w:t>
      </w:r>
      <w:r w:rsidRPr="00BE78CA">
        <w:t xml:space="preserve"> emissions factor for deer is contained on page 123 (section 7.1.4) of the inventory methodology (Pickering et al., 2020).</w:t>
      </w:r>
    </w:p>
    <w:p w14:paraId="0040CECF" w14:textId="77777777" w:rsidR="00F02481" w:rsidRPr="00BE78CA" w:rsidRDefault="00F02481" w:rsidP="00C26084">
      <w:pPr>
        <w:pStyle w:val="Heading5"/>
        <w:spacing w:before="200"/>
        <w:rPr>
          <w:rFonts w:cs="Calibri"/>
        </w:rPr>
      </w:pPr>
      <w:r w:rsidRPr="00BE78CA">
        <w:rPr>
          <w:rFonts w:cs="Calibri"/>
        </w:rPr>
        <w:t xml:space="preserve">Methane emissions from minor livestock categories </w:t>
      </w:r>
    </w:p>
    <w:p w14:paraId="514A8A8E" w14:textId="77777777" w:rsidR="00F02481" w:rsidRPr="00BE78CA" w:rsidRDefault="00F02481" w:rsidP="004D573C">
      <w:pPr>
        <w:pStyle w:val="BodyText"/>
        <w:spacing w:before="100"/>
        <w:rPr>
          <w:rFonts w:cs="Calibri"/>
        </w:rPr>
      </w:pPr>
      <w:r w:rsidRPr="00BE78CA">
        <w:rPr>
          <w:rFonts w:cs="Calibri"/>
        </w:rPr>
        <w:t>Manure CH</w:t>
      </w:r>
      <w:r w:rsidRPr="00BE78CA">
        <w:rPr>
          <w:rFonts w:cs="Calibri"/>
          <w:vertAlign w:val="subscript"/>
        </w:rPr>
        <w:t>4</w:t>
      </w:r>
      <w:r w:rsidRPr="00BE78CA">
        <w:rPr>
          <w:rFonts w:cs="Calibri"/>
        </w:rPr>
        <w:t xml:space="preserve"> emissions from the minor livestock categories are calculated per head</w:t>
      </w:r>
      <w:r w:rsidRPr="00BE78CA">
        <w:rPr>
          <w:rFonts w:cs="Calibri"/>
          <w:vertAlign w:val="superscript"/>
        </w:rPr>
        <w:t>-1</w:t>
      </w:r>
      <w:r w:rsidRPr="00BE78CA">
        <w:rPr>
          <w:rFonts w:cs="Calibri"/>
        </w:rPr>
        <w:t>, using country-specific and IPCC default emission factors.</w:t>
      </w:r>
    </w:p>
    <w:p w14:paraId="33B252A2" w14:textId="77777777" w:rsidR="00F02481" w:rsidRPr="00BE78CA" w:rsidRDefault="00F02481" w:rsidP="004D573C">
      <w:pPr>
        <w:pStyle w:val="BodyText"/>
        <w:spacing w:before="100"/>
        <w:rPr>
          <w:rFonts w:cs="Calibri"/>
        </w:rPr>
      </w:pPr>
      <w:r w:rsidRPr="00BE78CA">
        <w:rPr>
          <w:rFonts w:cs="Calibri"/>
          <w:b/>
          <w:bCs/>
          <w:i/>
          <w:iCs/>
        </w:rPr>
        <w:t>Swine:</w:t>
      </w:r>
      <w:r w:rsidRPr="00BE78CA">
        <w:rPr>
          <w:rFonts w:cs="Calibri"/>
          <w:b/>
          <w:bCs/>
        </w:rPr>
        <w:t xml:space="preserve"> </w:t>
      </w:r>
      <w:r w:rsidRPr="00BE78CA">
        <w:rPr>
          <w:rFonts w:cs="Calibri"/>
        </w:rPr>
        <w:t>New Zealand uses a country-specific emissions factor of 5.94 kg CH</w:t>
      </w:r>
      <w:r w:rsidRPr="00BE78CA">
        <w:rPr>
          <w:rFonts w:cs="Calibri"/>
          <w:vertAlign w:val="subscript"/>
        </w:rPr>
        <w:t>4</w:t>
      </w:r>
      <w:r w:rsidRPr="00BE78CA">
        <w:rPr>
          <w:rFonts w:cs="Calibri"/>
        </w:rPr>
        <w:t xml:space="preserve"> head</w:t>
      </w:r>
      <w:r w:rsidRPr="00BE78CA">
        <w:rPr>
          <w:rFonts w:cs="Calibri"/>
          <w:vertAlign w:val="superscript"/>
        </w:rPr>
        <w:t>-1</w:t>
      </w:r>
      <w:r w:rsidRPr="00BE78CA">
        <w:rPr>
          <w:rFonts w:cs="Calibri"/>
        </w:rPr>
        <w:t xml:space="preserve"> year</w:t>
      </w:r>
      <w:r w:rsidRPr="00BE78CA">
        <w:rPr>
          <w:rFonts w:cs="Calibri"/>
          <w:vertAlign w:val="superscript"/>
        </w:rPr>
        <w:t>-1</w:t>
      </w:r>
      <w:r w:rsidRPr="00BE78CA">
        <w:rPr>
          <w:rFonts w:cs="Calibri"/>
        </w:rPr>
        <w:t xml:space="preserve"> (Hill, 2012) for estimating emissions from swine manure management. Industry data on swine diets </w:t>
      </w:r>
      <w:r w:rsidRPr="00BE78CA">
        <w:rPr>
          <w:rFonts w:cs="Calibri"/>
          <w:spacing w:val="-2"/>
        </w:rPr>
        <w:t>(to determine digestible energy of the swine feed and volatile solid excretion levels) and the use of waste management systems used by New Zealand swine producers (Hill, 2012) were used (equations 15 and 16 from the 1996 IPCC Guidelines, which correspond to equations 10.23 and 10.24 in the 2006 IPCC Guidelines) to determine a country-specific manure management emission factor. Further information on this is provided in the report by Hill (2012).</w:t>
      </w:r>
    </w:p>
    <w:p w14:paraId="5B18CD64" w14:textId="77777777" w:rsidR="00F02481" w:rsidRPr="00BE78CA" w:rsidRDefault="00F02481" w:rsidP="00C26084">
      <w:pPr>
        <w:pStyle w:val="BodyText"/>
        <w:keepLines/>
        <w:rPr>
          <w:rFonts w:cs="Calibri"/>
          <w:spacing w:val="-2"/>
        </w:rPr>
      </w:pPr>
      <w:r w:rsidRPr="00BE78CA">
        <w:rPr>
          <w:rFonts w:cs="Calibri"/>
          <w:b/>
          <w:bCs/>
          <w:i/>
          <w:iCs/>
          <w:spacing w:val="-2"/>
        </w:rPr>
        <w:lastRenderedPageBreak/>
        <w:t>Poultry:</w:t>
      </w:r>
      <w:r w:rsidRPr="00BE78CA">
        <w:rPr>
          <w:rFonts w:cs="Calibri"/>
          <w:i/>
          <w:iCs/>
          <w:spacing w:val="-2"/>
        </w:rPr>
        <w:t xml:space="preserve"> </w:t>
      </w:r>
      <w:r w:rsidRPr="00BE78CA">
        <w:rPr>
          <w:rFonts w:cs="Calibri"/>
          <w:spacing w:val="-2"/>
        </w:rPr>
        <w:t xml:space="preserve">Methane emissions from poultry manure management use New Zealand-specific emission factor values derived from Fick et al. (2011). These are based on New Zealand-specific volatile solids and proportions of poultry faeces in each manure management system for each production category. The poultry population has been disaggregated into three different categories, and the manure management emission factor values for each category are: </w:t>
      </w:r>
      <w:r w:rsidRPr="00BE78CA">
        <w:rPr>
          <w:rFonts w:cs="Calibri"/>
          <w:i/>
          <w:iCs/>
          <w:spacing w:val="-2"/>
        </w:rPr>
        <w:t>Broiler birds</w:t>
      </w:r>
      <w:r w:rsidRPr="00BE78CA">
        <w:rPr>
          <w:rFonts w:cs="Calibri"/>
          <w:spacing w:val="-2"/>
        </w:rPr>
        <w:t xml:space="preserve"> 0.022 kg CH</w:t>
      </w:r>
      <w:r w:rsidRPr="00BE78CA">
        <w:rPr>
          <w:rFonts w:cs="Calibri"/>
          <w:spacing w:val="-2"/>
          <w:vertAlign w:val="subscript"/>
        </w:rPr>
        <w:t>4</w:t>
      </w:r>
      <w:r w:rsidRPr="00BE78CA">
        <w:rPr>
          <w:rFonts w:cs="Calibri"/>
          <w:spacing w:val="-2"/>
        </w:rPr>
        <w:t xml:space="preserve"> head</w:t>
      </w:r>
      <w:r w:rsidRPr="00BE78CA">
        <w:rPr>
          <w:rFonts w:cs="Calibri"/>
          <w:spacing w:val="-2"/>
          <w:vertAlign w:val="superscript"/>
        </w:rPr>
        <w:t>-1</w:t>
      </w:r>
      <w:r w:rsidRPr="00BE78CA">
        <w:rPr>
          <w:rFonts w:cs="Calibri"/>
          <w:spacing w:val="-2"/>
        </w:rPr>
        <w:t xml:space="preserve"> year</w:t>
      </w:r>
      <w:r w:rsidRPr="00BE78CA">
        <w:rPr>
          <w:rFonts w:cs="Calibri"/>
          <w:spacing w:val="-2"/>
          <w:vertAlign w:val="superscript"/>
        </w:rPr>
        <w:t>-1</w:t>
      </w:r>
      <w:r w:rsidRPr="00BE78CA">
        <w:rPr>
          <w:rFonts w:cs="Calibri"/>
        </w:rPr>
        <w:t xml:space="preserve">; </w:t>
      </w:r>
      <w:r w:rsidRPr="00BE78CA">
        <w:rPr>
          <w:rFonts w:cs="Calibri"/>
          <w:i/>
          <w:iCs/>
          <w:spacing w:val="-2"/>
        </w:rPr>
        <w:t>Layer hens</w:t>
      </w:r>
      <w:r w:rsidRPr="00BE78CA">
        <w:rPr>
          <w:rFonts w:cs="Calibri"/>
          <w:spacing w:val="-2"/>
        </w:rPr>
        <w:t xml:space="preserve"> 0.016 kg CH</w:t>
      </w:r>
      <w:r w:rsidRPr="00BE78CA">
        <w:rPr>
          <w:rFonts w:cs="Calibri"/>
          <w:spacing w:val="-2"/>
          <w:vertAlign w:val="subscript"/>
        </w:rPr>
        <w:t>4</w:t>
      </w:r>
      <w:r w:rsidRPr="00BE78CA">
        <w:rPr>
          <w:rFonts w:cs="Calibri"/>
          <w:spacing w:val="-2"/>
        </w:rPr>
        <w:t xml:space="preserve"> head</w:t>
      </w:r>
      <w:r w:rsidRPr="00BE78CA">
        <w:rPr>
          <w:rFonts w:cs="Calibri"/>
          <w:spacing w:val="-2"/>
          <w:vertAlign w:val="superscript"/>
        </w:rPr>
        <w:t>-1</w:t>
      </w:r>
      <w:r w:rsidRPr="00BE78CA">
        <w:rPr>
          <w:rFonts w:cs="Calibri"/>
          <w:spacing w:val="-2"/>
        </w:rPr>
        <w:t xml:space="preserve"> year</w:t>
      </w:r>
      <w:r w:rsidRPr="00BE78CA">
        <w:rPr>
          <w:rFonts w:cs="Calibri"/>
          <w:spacing w:val="-2"/>
          <w:vertAlign w:val="superscript"/>
        </w:rPr>
        <w:t>-1</w:t>
      </w:r>
      <w:r w:rsidRPr="00BE78CA">
        <w:rPr>
          <w:rFonts w:cs="Calibri"/>
          <w:spacing w:val="-2"/>
        </w:rPr>
        <w:t xml:space="preserve">; and </w:t>
      </w:r>
      <w:r w:rsidRPr="00BE78CA">
        <w:rPr>
          <w:rFonts w:cs="Calibri"/>
          <w:i/>
          <w:iCs/>
          <w:spacing w:val="-2"/>
        </w:rPr>
        <w:t>Other</w:t>
      </w:r>
      <w:r w:rsidRPr="00BE78CA">
        <w:rPr>
          <w:rFonts w:cs="Calibri"/>
          <w:spacing w:val="-2"/>
        </w:rPr>
        <w:t xml:space="preserve"> 0.117</w:t>
      </w:r>
      <w:r w:rsidRPr="00BE78CA">
        <w:rPr>
          <w:rFonts w:cs="Calibri"/>
        </w:rPr>
        <w:t> </w:t>
      </w:r>
      <w:r w:rsidRPr="00BE78CA">
        <w:rPr>
          <w:rFonts w:cs="Calibri"/>
          <w:spacing w:val="-2"/>
        </w:rPr>
        <w:t>kg CH</w:t>
      </w:r>
      <w:r w:rsidRPr="00BE78CA">
        <w:rPr>
          <w:rFonts w:cs="Calibri"/>
          <w:spacing w:val="-2"/>
          <w:vertAlign w:val="subscript"/>
        </w:rPr>
        <w:t>4</w:t>
      </w:r>
      <w:r w:rsidRPr="00BE78CA">
        <w:rPr>
          <w:rFonts w:cs="Calibri"/>
          <w:spacing w:val="-2"/>
        </w:rPr>
        <w:t xml:space="preserve"> head</w:t>
      </w:r>
      <w:r w:rsidRPr="00BE78CA">
        <w:rPr>
          <w:rFonts w:cs="Calibri"/>
          <w:spacing w:val="-2"/>
          <w:vertAlign w:val="superscript"/>
        </w:rPr>
        <w:t>-1</w:t>
      </w:r>
      <w:r w:rsidRPr="00BE78CA">
        <w:rPr>
          <w:rFonts w:cs="Calibri"/>
          <w:spacing w:val="-2"/>
        </w:rPr>
        <w:t xml:space="preserve"> year</w:t>
      </w:r>
      <w:r w:rsidRPr="00BE78CA">
        <w:rPr>
          <w:rFonts w:cs="Calibri"/>
          <w:spacing w:val="-2"/>
          <w:vertAlign w:val="superscript"/>
        </w:rPr>
        <w:t>-1</w:t>
      </w:r>
      <w:r w:rsidRPr="00BE78CA">
        <w:rPr>
          <w:rFonts w:cs="Calibri"/>
          <w:spacing w:val="-2"/>
        </w:rPr>
        <w:t>. The overall IEF for poultry is affected by the change over time in the population proportions of these different poultry categories.</w:t>
      </w:r>
    </w:p>
    <w:p w14:paraId="618C6C8A" w14:textId="77777777" w:rsidR="00F02481" w:rsidRPr="00BE78CA" w:rsidRDefault="00F02481" w:rsidP="00C26084">
      <w:pPr>
        <w:pStyle w:val="BodyText"/>
        <w:rPr>
          <w:rFonts w:cs="Calibri"/>
        </w:rPr>
      </w:pPr>
      <w:r w:rsidRPr="00BE78CA">
        <w:rPr>
          <w:rFonts w:cs="Calibri"/>
          <w:b/>
          <w:bCs/>
          <w:i/>
          <w:iCs/>
        </w:rPr>
        <w:t>Goats</w:t>
      </w:r>
      <w:r w:rsidRPr="00BE78CA">
        <w:rPr>
          <w:rFonts w:cs="Calibri"/>
          <w:b/>
          <w:bCs/>
        </w:rPr>
        <w:t xml:space="preserve">, </w:t>
      </w:r>
      <w:r w:rsidRPr="00BE78CA">
        <w:rPr>
          <w:rFonts w:cs="Calibri"/>
          <w:b/>
          <w:bCs/>
          <w:i/>
          <w:iCs/>
        </w:rPr>
        <w:t>horses</w:t>
      </w:r>
      <w:r w:rsidRPr="00BE78CA">
        <w:rPr>
          <w:rFonts w:cs="Calibri"/>
          <w:b/>
          <w:bCs/>
        </w:rPr>
        <w:t xml:space="preserve">, and </w:t>
      </w:r>
      <w:r w:rsidRPr="00BE78CA">
        <w:rPr>
          <w:rFonts w:cs="Calibri"/>
          <w:b/>
          <w:bCs/>
          <w:i/>
          <w:iCs/>
        </w:rPr>
        <w:t>mules and asses:</w:t>
      </w:r>
      <w:r w:rsidRPr="00BE78CA">
        <w:rPr>
          <w:rFonts w:cs="Calibri"/>
          <w:b/>
          <w:bCs/>
        </w:rPr>
        <w:t xml:space="preserve"> </w:t>
      </w:r>
      <w:r w:rsidRPr="00BE78CA">
        <w:rPr>
          <w:rFonts w:cs="Calibri"/>
        </w:rPr>
        <w:t>New Zealand uses IPCC (2006) default emission factors for CH</w:t>
      </w:r>
      <w:r w:rsidRPr="00BE78CA">
        <w:rPr>
          <w:rFonts w:cs="Calibri"/>
          <w:vertAlign w:val="subscript"/>
        </w:rPr>
        <w:t>4</w:t>
      </w:r>
      <w:r w:rsidRPr="00BE78CA">
        <w:rPr>
          <w:rFonts w:cs="Calibri"/>
        </w:rPr>
        <w:t xml:space="preserve"> emissions from manure management for goats, horses, mules and asses (table 10.15). The emission factors are 0.20 kg CH</w:t>
      </w:r>
      <w:r w:rsidRPr="00BE78CA">
        <w:rPr>
          <w:rFonts w:cs="Calibri"/>
          <w:vertAlign w:val="subscript"/>
        </w:rPr>
        <w:t>4</w:t>
      </w:r>
      <w:r w:rsidRPr="00BE78CA">
        <w:rPr>
          <w:rFonts w:cs="Calibri"/>
        </w:rPr>
        <w:t xml:space="preserve"> head</w:t>
      </w:r>
      <w:r w:rsidRPr="00BE78CA">
        <w:rPr>
          <w:rFonts w:cs="Calibri"/>
          <w:vertAlign w:val="superscript"/>
        </w:rPr>
        <w:t>-1</w:t>
      </w:r>
      <w:r w:rsidRPr="00BE78CA">
        <w:rPr>
          <w:rFonts w:cs="Calibri"/>
        </w:rPr>
        <w:t xml:space="preserve"> year</w:t>
      </w:r>
      <w:r w:rsidRPr="00BE78CA">
        <w:rPr>
          <w:rFonts w:cs="Calibri"/>
          <w:vertAlign w:val="superscript"/>
        </w:rPr>
        <w:t>-1</w:t>
      </w:r>
      <w:r w:rsidRPr="00BE78CA">
        <w:rPr>
          <w:rFonts w:cs="Calibri"/>
        </w:rPr>
        <w:t xml:space="preserve"> for goats, 2.34 kg CH</w:t>
      </w:r>
      <w:r w:rsidRPr="00BE78CA">
        <w:rPr>
          <w:rFonts w:cs="Calibri"/>
          <w:vertAlign w:val="subscript"/>
        </w:rPr>
        <w:t>4</w:t>
      </w:r>
      <w:r w:rsidRPr="00BE78CA">
        <w:rPr>
          <w:rFonts w:cs="Calibri"/>
        </w:rPr>
        <w:t xml:space="preserve"> head</w:t>
      </w:r>
      <w:r w:rsidRPr="00BE78CA">
        <w:rPr>
          <w:rFonts w:cs="Calibri"/>
          <w:vertAlign w:val="superscript"/>
        </w:rPr>
        <w:t>-1</w:t>
      </w:r>
      <w:r w:rsidRPr="00BE78CA">
        <w:rPr>
          <w:rFonts w:cs="Calibri"/>
        </w:rPr>
        <w:t xml:space="preserve"> year</w:t>
      </w:r>
      <w:r w:rsidRPr="00BE78CA">
        <w:rPr>
          <w:rFonts w:cs="Calibri"/>
          <w:vertAlign w:val="superscript"/>
        </w:rPr>
        <w:t>-1</w:t>
      </w:r>
      <w:r w:rsidRPr="00BE78CA">
        <w:rPr>
          <w:rFonts w:cs="Calibri"/>
        </w:rPr>
        <w:t xml:space="preserve"> for horses and 1.10 kg CH</w:t>
      </w:r>
      <w:r w:rsidRPr="00BE78CA">
        <w:rPr>
          <w:rFonts w:cs="Calibri"/>
          <w:vertAlign w:val="subscript"/>
        </w:rPr>
        <w:t>4</w:t>
      </w:r>
      <w:r w:rsidRPr="00BE78CA">
        <w:rPr>
          <w:rFonts w:cs="Calibri"/>
        </w:rPr>
        <w:t xml:space="preserve"> head</w:t>
      </w:r>
      <w:r w:rsidRPr="00BE78CA">
        <w:rPr>
          <w:rFonts w:cs="Calibri"/>
          <w:vertAlign w:val="superscript"/>
        </w:rPr>
        <w:t>-1</w:t>
      </w:r>
      <w:r w:rsidRPr="00BE78CA">
        <w:rPr>
          <w:rFonts w:cs="Calibri"/>
        </w:rPr>
        <w:t xml:space="preserve"> year</w:t>
      </w:r>
      <w:r w:rsidRPr="00BE78CA">
        <w:rPr>
          <w:rFonts w:cs="Calibri"/>
          <w:vertAlign w:val="superscript"/>
        </w:rPr>
        <w:t>-1</w:t>
      </w:r>
      <w:r w:rsidRPr="00BE78CA">
        <w:rPr>
          <w:rFonts w:cs="Calibri"/>
        </w:rPr>
        <w:t xml:space="preserve"> for mules and asses. These are the IPCC values for temperate developed countries. </w:t>
      </w:r>
    </w:p>
    <w:p w14:paraId="632CC398" w14:textId="77777777" w:rsidR="00F02481" w:rsidRPr="00BE78CA" w:rsidRDefault="00F02481" w:rsidP="00C26084">
      <w:pPr>
        <w:pStyle w:val="BodyText"/>
        <w:rPr>
          <w:rFonts w:cs="Calibri"/>
        </w:rPr>
      </w:pPr>
      <w:r w:rsidRPr="00BE78CA">
        <w:rPr>
          <w:rFonts w:cs="Calibri"/>
          <w:b/>
          <w:bCs/>
          <w:i/>
          <w:iCs/>
        </w:rPr>
        <w:t>Llamas and alpacas:</w:t>
      </w:r>
      <w:r w:rsidRPr="00BE78CA">
        <w:rPr>
          <w:rFonts w:cs="Calibri"/>
        </w:rPr>
        <w:t xml:space="preserve"> There is no IPCC default value available for CH</w:t>
      </w:r>
      <w:r w:rsidRPr="00BE78CA">
        <w:rPr>
          <w:rFonts w:cs="Calibri"/>
          <w:vertAlign w:val="subscript"/>
        </w:rPr>
        <w:t>4</w:t>
      </w:r>
      <w:r w:rsidRPr="00BE78CA">
        <w:rPr>
          <w:rFonts w:cs="Calibri"/>
        </w:rPr>
        <w:t xml:space="preserve"> emissions from manure management for alpacas. The emissions are calculated by assuming that the CH</w:t>
      </w:r>
      <w:r w:rsidRPr="00BE78CA">
        <w:rPr>
          <w:rFonts w:cs="Calibri"/>
          <w:vertAlign w:val="subscript"/>
        </w:rPr>
        <w:t>4</w:t>
      </w:r>
      <w:r w:rsidRPr="00BE78CA">
        <w:rPr>
          <w:rFonts w:cs="Calibri"/>
        </w:rPr>
        <w:t xml:space="preserve"> emissions factor from manure management for alpacas for all years is equal to the CH</w:t>
      </w:r>
      <w:r w:rsidRPr="00BE78CA">
        <w:rPr>
          <w:rFonts w:cs="Calibri"/>
          <w:vertAlign w:val="subscript"/>
        </w:rPr>
        <w:t>4</w:t>
      </w:r>
      <w:r w:rsidRPr="00BE78CA">
        <w:rPr>
          <w:rFonts w:cs="Calibri"/>
        </w:rPr>
        <w:t xml:space="preserve"> manure management IEF for sheep in 1990 (i.e., manure management CH</w:t>
      </w:r>
      <w:r w:rsidRPr="00BE78CA">
        <w:rPr>
          <w:rFonts w:cs="Calibri"/>
          <w:vertAlign w:val="subscript"/>
        </w:rPr>
        <w:t>4</w:t>
      </w:r>
      <w:r w:rsidRPr="00BE78CA">
        <w:rPr>
          <w:rFonts w:cs="Calibri"/>
        </w:rPr>
        <w:t xml:space="preserve"> sheep emissions per sheep). The alpaca emissions factor (0.10 kg CH</w:t>
      </w:r>
      <w:r w:rsidRPr="00BE78CA">
        <w:rPr>
          <w:rFonts w:cs="Calibri"/>
          <w:vertAlign w:val="subscript"/>
        </w:rPr>
        <w:t>4</w:t>
      </w:r>
      <w:r w:rsidRPr="00BE78CA">
        <w:rPr>
          <w:rFonts w:cs="Calibri"/>
        </w:rPr>
        <w:t xml:space="preserve"> head</w:t>
      </w:r>
      <w:r w:rsidRPr="00BE78CA">
        <w:rPr>
          <w:rFonts w:cs="Calibri"/>
          <w:vertAlign w:val="superscript"/>
        </w:rPr>
        <w:t>-1</w:t>
      </w:r>
      <w:r w:rsidRPr="00BE78CA">
        <w:rPr>
          <w:rFonts w:cs="Calibri"/>
        </w:rPr>
        <w:t xml:space="preserve"> year</w:t>
      </w:r>
      <w:r w:rsidRPr="00BE78CA">
        <w:rPr>
          <w:rFonts w:cs="Calibri"/>
          <w:vertAlign w:val="superscript"/>
        </w:rPr>
        <w:t>-1</w:t>
      </w:r>
      <w:r w:rsidRPr="00BE78CA">
        <w:rPr>
          <w:rFonts w:cs="Calibri"/>
        </w:rPr>
        <w:t>) is not indexed to sheep over time because there are no data indicating that alpacas have had the productivity increases seen in sheep.</w:t>
      </w:r>
    </w:p>
    <w:p w14:paraId="475899C6" w14:textId="77777777" w:rsidR="00F02481" w:rsidRPr="00BE78CA" w:rsidRDefault="00F02481" w:rsidP="00C26084">
      <w:pPr>
        <w:pStyle w:val="Heading4"/>
      </w:pPr>
      <w:r w:rsidRPr="00BE78CA">
        <w:t xml:space="preserve">Nitrous oxide from manure management systems (CRF 3.B.(b)) </w:t>
      </w:r>
    </w:p>
    <w:p w14:paraId="2D102EED" w14:textId="77777777" w:rsidR="00F02481" w:rsidRPr="00BE78CA" w:rsidRDefault="00F02481" w:rsidP="00C26084">
      <w:pPr>
        <w:pStyle w:val="BodyText"/>
        <w:rPr>
          <w:rFonts w:cs="Calibri"/>
        </w:rPr>
      </w:pPr>
      <w:r w:rsidRPr="00BE78CA">
        <w:rPr>
          <w:rFonts w:cs="Calibri"/>
        </w:rPr>
        <w:t>Nitrous oxide emissions from manure management can be classified as either direct or indirect. Direct N</w:t>
      </w:r>
      <w:r w:rsidRPr="00BE78CA">
        <w:rPr>
          <w:rFonts w:cs="Calibri"/>
          <w:vertAlign w:val="subscript"/>
        </w:rPr>
        <w:t>2</w:t>
      </w:r>
      <w:r w:rsidRPr="00BE78CA">
        <w:rPr>
          <w:rFonts w:cs="Calibri"/>
        </w:rPr>
        <w:t>O emissions occur from nitrification and denitrification of nitrogen contained in the manure. Indirect N</w:t>
      </w:r>
      <w:r w:rsidRPr="00BE78CA">
        <w:rPr>
          <w:rFonts w:cs="Calibri"/>
          <w:vertAlign w:val="subscript"/>
        </w:rPr>
        <w:t>2</w:t>
      </w:r>
      <w:r w:rsidRPr="00BE78CA">
        <w:rPr>
          <w:rFonts w:cs="Calibri"/>
        </w:rPr>
        <w:t>O emissions result from volatile nitrogen losses in the forms of ammonia (NH</w:t>
      </w:r>
      <w:r w:rsidRPr="00BE78CA">
        <w:rPr>
          <w:rFonts w:cs="Calibri"/>
          <w:vertAlign w:val="subscript"/>
        </w:rPr>
        <w:t>3</w:t>
      </w:r>
      <w:r w:rsidRPr="00BE78CA">
        <w:rPr>
          <w:rFonts w:cs="Calibri"/>
        </w:rPr>
        <w:t>) and NO</w:t>
      </w:r>
      <w:r w:rsidRPr="00BE78CA">
        <w:rPr>
          <w:rFonts w:cs="Calibri"/>
          <w:vertAlign w:val="subscript"/>
        </w:rPr>
        <w:t>x</w:t>
      </w:r>
      <w:r w:rsidRPr="00BE78CA">
        <w:rPr>
          <w:rFonts w:cs="Calibri"/>
        </w:rPr>
        <w:t xml:space="preserve">, which are emitted via diffusion into the surrounding air (volatilisation) or via leaching and runoff. </w:t>
      </w:r>
    </w:p>
    <w:p w14:paraId="60E50673" w14:textId="77777777" w:rsidR="00F02481" w:rsidRPr="00BE78CA" w:rsidRDefault="00F02481" w:rsidP="00C26084">
      <w:pPr>
        <w:pStyle w:val="BodyText"/>
        <w:rPr>
          <w:rFonts w:cs="Calibri"/>
        </w:rPr>
      </w:pPr>
      <w:r w:rsidRPr="00BE78CA">
        <w:rPr>
          <w:rFonts w:cs="Calibri"/>
        </w:rPr>
        <w:t>Nitrous oxide emissions from manure are calculated for each livestock category based on:</w:t>
      </w:r>
    </w:p>
    <w:p w14:paraId="4D354723" w14:textId="77777777" w:rsidR="00F02481" w:rsidRPr="00BE78CA" w:rsidRDefault="00F02481" w:rsidP="00C26084">
      <w:pPr>
        <w:spacing w:after="120"/>
        <w:ind w:left="397" w:hanging="397"/>
        <w:rPr>
          <w:rFonts w:cs="Calibri"/>
        </w:rPr>
      </w:pPr>
      <w:r w:rsidRPr="00BE78CA">
        <w:rPr>
          <w:rFonts w:cs="Calibri"/>
        </w:rPr>
        <w:t xml:space="preserve">(1) </w:t>
      </w:r>
      <w:r w:rsidRPr="00BE78CA">
        <w:rPr>
          <w:rFonts w:cs="Calibri"/>
        </w:rPr>
        <w:tab/>
        <w:t xml:space="preserve">livestock population characterisation data (consistent with section 5.1.3) </w:t>
      </w:r>
    </w:p>
    <w:p w14:paraId="0FF6EFFF" w14:textId="77777777" w:rsidR="00F02481" w:rsidRPr="00BE78CA" w:rsidRDefault="00F02481" w:rsidP="00C26084">
      <w:pPr>
        <w:spacing w:after="120"/>
        <w:ind w:left="397" w:hanging="397"/>
        <w:rPr>
          <w:rFonts w:cs="Calibri"/>
        </w:rPr>
      </w:pPr>
      <w:r w:rsidRPr="00BE78CA">
        <w:rPr>
          <w:rFonts w:cs="Calibri"/>
        </w:rPr>
        <w:t xml:space="preserve">(2) </w:t>
      </w:r>
      <w:r w:rsidRPr="00BE78CA">
        <w:rPr>
          <w:rFonts w:cs="Calibri"/>
        </w:rPr>
        <w:tab/>
        <w:t>the average nitrogen excretion rate per head</w:t>
      </w:r>
      <w:r w:rsidRPr="00BE78CA">
        <w:rPr>
          <w:rFonts w:cs="Calibri"/>
          <w:vertAlign w:val="superscript"/>
        </w:rPr>
        <w:t>-1</w:t>
      </w:r>
      <w:r w:rsidRPr="00BE78CA">
        <w:rPr>
          <w:rFonts w:cs="Calibri"/>
        </w:rPr>
        <w:t xml:space="preserve"> year</w:t>
      </w:r>
      <w:r w:rsidRPr="00BE78CA">
        <w:rPr>
          <w:rFonts w:cs="Calibri"/>
          <w:vertAlign w:val="superscript"/>
        </w:rPr>
        <w:t>-1</w:t>
      </w:r>
      <w:r w:rsidRPr="00BE78CA">
        <w:rPr>
          <w:rFonts w:cs="Calibri"/>
        </w:rPr>
        <w:t xml:space="preserve"> </w:t>
      </w:r>
    </w:p>
    <w:p w14:paraId="0F61BACB" w14:textId="77777777" w:rsidR="00F02481" w:rsidRPr="00BE78CA" w:rsidRDefault="00F02481" w:rsidP="00C26084">
      <w:pPr>
        <w:spacing w:after="120"/>
        <w:ind w:left="397" w:hanging="397"/>
        <w:rPr>
          <w:rFonts w:cs="Calibri"/>
        </w:rPr>
      </w:pPr>
      <w:r w:rsidRPr="00BE78CA">
        <w:rPr>
          <w:rFonts w:cs="Calibri"/>
        </w:rPr>
        <w:t xml:space="preserve">(3) </w:t>
      </w:r>
      <w:r w:rsidRPr="00BE78CA">
        <w:rPr>
          <w:rFonts w:cs="Calibri"/>
        </w:rPr>
        <w:tab/>
        <w:t>an estimation of the total quantity of faecal material produced (consistent with the calculations in the previous section for CH</w:t>
      </w:r>
      <w:r w:rsidRPr="00BE78CA">
        <w:rPr>
          <w:rFonts w:cs="Calibri"/>
          <w:vertAlign w:val="subscript"/>
        </w:rPr>
        <w:t>4</w:t>
      </w:r>
      <w:r w:rsidRPr="00BE78CA">
        <w:rPr>
          <w:rFonts w:cs="Calibri"/>
        </w:rPr>
        <w:t xml:space="preserve"> from manure management) split into dung and urine</w:t>
      </w:r>
    </w:p>
    <w:p w14:paraId="3347B738" w14:textId="77777777" w:rsidR="00F02481" w:rsidRPr="00BE78CA" w:rsidRDefault="00F02481" w:rsidP="00C26084">
      <w:pPr>
        <w:spacing w:after="120"/>
        <w:ind w:left="397" w:hanging="397"/>
        <w:rPr>
          <w:rFonts w:cs="Calibri"/>
        </w:rPr>
      </w:pPr>
      <w:r w:rsidRPr="00BE78CA">
        <w:rPr>
          <w:rFonts w:cs="Calibri"/>
        </w:rPr>
        <w:t xml:space="preserve">(4) </w:t>
      </w:r>
      <w:r w:rsidRPr="00BE78CA">
        <w:rPr>
          <w:rFonts w:cs="Calibri"/>
        </w:rPr>
        <w:tab/>
        <w:t>the partitioning of this faecal material between manure management systems (based on the manure distributions in table 5.3.2)</w:t>
      </w:r>
    </w:p>
    <w:p w14:paraId="614C9F08" w14:textId="77777777" w:rsidR="00F02481" w:rsidRPr="00BE78CA" w:rsidRDefault="00F02481" w:rsidP="00C26084">
      <w:pPr>
        <w:spacing w:after="120"/>
        <w:ind w:left="397" w:hanging="397"/>
        <w:rPr>
          <w:rFonts w:cs="Calibri"/>
        </w:rPr>
      </w:pPr>
      <w:r w:rsidRPr="00BE78CA">
        <w:rPr>
          <w:rFonts w:cs="Calibri"/>
        </w:rPr>
        <w:t xml:space="preserve">(5) </w:t>
      </w:r>
      <w:r w:rsidRPr="00BE78CA">
        <w:rPr>
          <w:rFonts w:cs="Calibri"/>
        </w:rPr>
        <w:tab/>
        <w:t xml:space="preserve">the total amount of nitrogen managed in each system multiplied by an emissions factor (IPCC, 2006). </w:t>
      </w:r>
    </w:p>
    <w:p w14:paraId="537DDEE1" w14:textId="77777777" w:rsidR="00F02481" w:rsidRPr="00BE78CA" w:rsidRDefault="00F02481" w:rsidP="00C26084">
      <w:pPr>
        <w:pStyle w:val="Heading5"/>
        <w:rPr>
          <w:rFonts w:cs="Calibri"/>
        </w:rPr>
      </w:pPr>
      <w:r w:rsidRPr="00BE78CA">
        <w:rPr>
          <w:rFonts w:cs="Calibri"/>
        </w:rPr>
        <w:t>Nitrogen excretion rates for the major livestock categories</w:t>
      </w:r>
    </w:p>
    <w:p w14:paraId="1EDC49F0" w14:textId="37D5583A" w:rsidR="00F02481" w:rsidRPr="00BE78CA" w:rsidRDefault="00F02481" w:rsidP="00AD7A0E">
      <w:pPr>
        <w:pStyle w:val="BodyText"/>
        <w:spacing w:before="100" w:after="100"/>
        <w:rPr>
          <w:rFonts w:cs="Calibri"/>
        </w:rPr>
      </w:pPr>
      <w:r w:rsidRPr="00BE78CA">
        <w:rPr>
          <w:rFonts w:cs="Calibri"/>
        </w:rPr>
        <w:t>The nitrogen excretion (N</w:t>
      </w:r>
      <w:r w:rsidRPr="00BE78CA">
        <w:rPr>
          <w:rFonts w:cs="Calibri"/>
          <w:vertAlign w:val="subscript"/>
        </w:rPr>
        <w:t>ex</w:t>
      </w:r>
      <w:r w:rsidRPr="00BE78CA">
        <w:rPr>
          <w:rFonts w:cs="Calibri"/>
        </w:rPr>
        <w:t>) rates for the main livestock categories in New Zealand (</w:t>
      </w:r>
      <w:r w:rsidR="0075029D" w:rsidRPr="00BE78CA">
        <w:rPr>
          <w:rFonts w:cs="Calibri"/>
        </w:rPr>
        <w:t>d</w:t>
      </w:r>
      <w:r w:rsidRPr="00BE78CA">
        <w:rPr>
          <w:rFonts w:cs="Calibri"/>
        </w:rPr>
        <w:t xml:space="preserve">airy cattle, beef cattle, </w:t>
      </w:r>
      <w:r w:rsidR="0075029D" w:rsidRPr="00BE78CA">
        <w:rPr>
          <w:rFonts w:cs="Calibri"/>
        </w:rPr>
        <w:t>s</w:t>
      </w:r>
      <w:r w:rsidRPr="00BE78CA">
        <w:rPr>
          <w:rFonts w:cs="Calibri"/>
        </w:rPr>
        <w:t xml:space="preserve">heep and </w:t>
      </w:r>
      <w:r w:rsidR="0075029D" w:rsidRPr="00BE78CA">
        <w:rPr>
          <w:rFonts w:cs="Calibri"/>
        </w:rPr>
        <w:t>d</w:t>
      </w:r>
      <w:r w:rsidRPr="00BE78CA">
        <w:rPr>
          <w:rFonts w:cs="Calibri"/>
        </w:rPr>
        <w:t xml:space="preserve">eer) are calculated from the nitrogen intake less the nitrogen retained through digestion and contained within animal products, such as liveweight gain, milk, wool and velvet. Nitrogen intake is determined from the dry-matter feed intake and the nitrogen content of the feed eaten. Feed intake and animal productivity values are the same as those used in a Tier 3 model for determining DMI (Clark et al., 2003; section 5.1.3). The </w:t>
      </w:r>
      <w:r w:rsidRPr="00BE78CA">
        <w:rPr>
          <w:rFonts w:cs="Calibri"/>
        </w:rPr>
        <w:lastRenderedPageBreak/>
        <w:t xml:space="preserve">nitrogen content of feed is estimated from a review of over 6,000 pasture samples from dairy, beef cattle and sheep systems (Ledgard et al., unpublished). </w:t>
      </w:r>
    </w:p>
    <w:p w14:paraId="040D3AC2" w14:textId="77777777" w:rsidR="00F02481" w:rsidRPr="00BE78CA" w:rsidRDefault="00F02481" w:rsidP="00AD7A0E">
      <w:pPr>
        <w:pStyle w:val="BodyText"/>
        <w:spacing w:before="100" w:after="100"/>
        <w:rPr>
          <w:rFonts w:cs="Calibri"/>
        </w:rPr>
      </w:pPr>
      <w:r w:rsidRPr="00BE78CA">
        <w:rPr>
          <w:rFonts w:cs="Calibri"/>
        </w:rPr>
        <w:t xml:space="preserve">The nitrogen content of animal products is derived from industry data. For lactating dairy cows, the nitrogen content of milk is derived from the protein content of milk, which is published annually by LIC. The nitrogen content of sheep meat, milk and wool, non-dairy meat and milk, and the nitrogen retained in deer velvet, is taken from New Zealand research (Bown et al., 2013). </w:t>
      </w:r>
    </w:p>
    <w:p w14:paraId="0A93CB4B" w14:textId="77777777" w:rsidR="00F02481" w:rsidRPr="00BE78CA" w:rsidRDefault="00F02481" w:rsidP="00AD7A0E">
      <w:pPr>
        <w:pStyle w:val="BodyText"/>
        <w:spacing w:before="100" w:after="100"/>
        <w:rPr>
          <w:rFonts w:cs="Calibri"/>
        </w:rPr>
      </w:pPr>
      <w:r w:rsidRPr="00BE78CA">
        <w:rPr>
          <w:rFonts w:cs="Calibri"/>
        </w:rPr>
        <w:t>Table 5.3.3 shows the N</w:t>
      </w:r>
      <w:r w:rsidRPr="00BE78CA">
        <w:rPr>
          <w:rFonts w:cs="Calibri"/>
          <w:vertAlign w:val="subscript"/>
        </w:rPr>
        <w:t>ex</w:t>
      </w:r>
      <w:r w:rsidRPr="00BE78CA">
        <w:rPr>
          <w:rFonts w:cs="Calibri"/>
        </w:rPr>
        <w:t xml:space="preserve"> rates for the major livestock categories. These rates have increased over time, reflecting the increases in animal productivity and animal DMI in New Zealand since 1990. Nitrogen excretion</w:t>
      </w:r>
      <w:r w:rsidRPr="00BE78CA" w:rsidDel="00317E26">
        <w:rPr>
          <w:rFonts w:cs="Calibri"/>
        </w:rPr>
        <w:t xml:space="preserve"> </w:t>
      </w:r>
      <w:r w:rsidRPr="00BE78CA">
        <w:rPr>
          <w:rFonts w:cs="Calibri"/>
        </w:rPr>
        <w:t>rates are also affected by adverse events, which effect the amount of DMI, and changes in commodity prices, which can cause large changes in productivity and N</w:t>
      </w:r>
      <w:r w:rsidRPr="00BE78CA">
        <w:rPr>
          <w:rFonts w:cs="Calibri"/>
          <w:vertAlign w:val="subscript"/>
        </w:rPr>
        <w:t>ex</w:t>
      </w:r>
      <w:r w:rsidRPr="00BE78CA">
        <w:rPr>
          <w:rFonts w:cs="Calibri"/>
        </w:rPr>
        <w:t xml:space="preserve"> rates in adjacent years (see section 5.1.1).</w:t>
      </w:r>
      <w:r w:rsidRPr="00BE78CA">
        <w:rPr>
          <w:rStyle w:val="FootnoteReference"/>
          <w:rFonts w:cs="Calibri"/>
        </w:rPr>
        <w:footnoteReference w:id="53"/>
      </w:r>
      <w:r w:rsidRPr="00BE78CA">
        <w:rPr>
          <w:rFonts w:cs="Calibri"/>
        </w:rPr>
        <w:t xml:space="preserve"> </w:t>
      </w:r>
    </w:p>
    <w:p w14:paraId="62EAB32B" w14:textId="77777777" w:rsidR="00F02481" w:rsidRPr="00BE78CA" w:rsidRDefault="00F02481" w:rsidP="00C26084">
      <w:pPr>
        <w:pStyle w:val="Table"/>
        <w:rPr>
          <w:rFonts w:cs="Calibri"/>
        </w:rPr>
      </w:pPr>
      <w:bookmarkStart w:id="705" w:name="_Toc288316754"/>
      <w:bookmarkStart w:id="706" w:name="_Toc235955628"/>
      <w:bookmarkStart w:id="707" w:name="_Toc352504972"/>
      <w:bookmarkStart w:id="708" w:name="_Toc441830875"/>
      <w:bookmarkStart w:id="709" w:name="_Toc451176089"/>
      <w:bookmarkStart w:id="710" w:name="_Toc481751517"/>
      <w:bookmarkStart w:id="711" w:name="_Toc507158605"/>
      <w:bookmarkStart w:id="712" w:name="_Toc511116739"/>
      <w:bookmarkStart w:id="713" w:name="_Toc5269479"/>
      <w:bookmarkStart w:id="714" w:name="_Toc32570922"/>
      <w:bookmarkStart w:id="715" w:name="_Toc36224557"/>
      <w:bookmarkStart w:id="716" w:name="_Toc68786442"/>
      <w:r w:rsidRPr="00BE78CA">
        <w:rPr>
          <w:rFonts w:cs="Calibri"/>
        </w:rPr>
        <w:t>Table 5.3.3</w:t>
      </w:r>
      <w:r w:rsidRPr="00BE78CA">
        <w:rPr>
          <w:rFonts w:cs="Calibri"/>
        </w:rPr>
        <w:tab/>
        <w:t>Nitrogen excretion rates (N</w:t>
      </w:r>
      <w:r w:rsidRPr="00BE78CA">
        <w:rPr>
          <w:rFonts w:cs="Calibri"/>
          <w:vertAlign w:val="subscript"/>
        </w:rPr>
        <w:t>ex</w:t>
      </w:r>
      <w:r w:rsidRPr="00BE78CA">
        <w:rPr>
          <w:rFonts w:cs="Calibri"/>
        </w:rPr>
        <w:t>) for New Zealand’s major livestock categories from 1990 to </w:t>
      </w:r>
      <w:bookmarkEnd w:id="705"/>
      <w:bookmarkEnd w:id="706"/>
      <w:bookmarkEnd w:id="707"/>
      <w:bookmarkEnd w:id="708"/>
      <w:bookmarkEnd w:id="709"/>
      <w:bookmarkEnd w:id="710"/>
      <w:bookmarkEnd w:id="711"/>
      <w:bookmarkEnd w:id="712"/>
      <w:bookmarkEnd w:id="713"/>
      <w:r w:rsidRPr="00BE78CA">
        <w:rPr>
          <w:rFonts w:cs="Calibri"/>
        </w:rPr>
        <w:t>201</w:t>
      </w:r>
      <w:bookmarkEnd w:id="714"/>
      <w:bookmarkEnd w:id="715"/>
      <w:r w:rsidRPr="00BE78CA">
        <w:rPr>
          <w:rFonts w:cs="Calibri"/>
        </w:rPr>
        <w:t>9</w:t>
      </w:r>
      <w:bookmarkEnd w:id="716"/>
      <w:r w:rsidRPr="00BE78CA">
        <w:rPr>
          <w:rFonts w:cs="Calibri"/>
        </w:rPr>
        <w:t xml:space="preserve"> </w:t>
      </w:r>
    </w:p>
    <w:tbl>
      <w:tblPr>
        <w:tblW w:w="8505" w:type="dxa"/>
        <w:tblBorders>
          <w:top w:val="single" w:sz="4" w:space="0" w:color="365F91"/>
          <w:bottom w:val="single" w:sz="4" w:space="0" w:color="365F91"/>
          <w:insideH w:val="single" w:sz="4" w:space="0" w:color="365F91"/>
        </w:tblBorders>
        <w:tblLook w:val="0000" w:firstRow="0" w:lastRow="0" w:firstColumn="0" w:lastColumn="0" w:noHBand="0" w:noVBand="0"/>
      </w:tblPr>
      <w:tblGrid>
        <w:gridCol w:w="1378"/>
        <w:gridCol w:w="1826"/>
        <w:gridCol w:w="1826"/>
        <w:gridCol w:w="1842"/>
        <w:gridCol w:w="1633"/>
      </w:tblGrid>
      <w:tr w:rsidR="00AD7A0E" w:rsidRPr="00BE78CA" w14:paraId="585C086A" w14:textId="77777777" w:rsidTr="00AD7A0E">
        <w:trPr>
          <w:tblHeader/>
        </w:trPr>
        <w:tc>
          <w:tcPr>
            <w:tcW w:w="1360" w:type="dxa"/>
            <w:shd w:val="clear" w:color="auto" w:fill="365F91"/>
            <w:noWrap/>
            <w:vAlign w:val="bottom"/>
          </w:tcPr>
          <w:p w14:paraId="60E857EE" w14:textId="77777777" w:rsidR="00F02481" w:rsidRPr="00BE78CA" w:rsidRDefault="00F02481" w:rsidP="00AD7A0E">
            <w:pPr>
              <w:pStyle w:val="TableTextBold"/>
              <w:keepNext/>
              <w:spacing w:before="30" w:after="30"/>
              <w:rPr>
                <w:noProof w:val="0"/>
                <w:color w:val="FFFFFF" w:themeColor="background1"/>
                <w:szCs w:val="16"/>
              </w:rPr>
            </w:pPr>
            <w:r w:rsidRPr="00BE78CA">
              <w:rPr>
                <w:noProof w:val="0"/>
                <w:color w:val="FFFFFF" w:themeColor="background1"/>
                <w:szCs w:val="16"/>
              </w:rPr>
              <w:t>Year</w:t>
            </w:r>
          </w:p>
        </w:tc>
        <w:tc>
          <w:tcPr>
            <w:tcW w:w="1803" w:type="dxa"/>
            <w:shd w:val="clear" w:color="auto" w:fill="365F91"/>
            <w:noWrap/>
            <w:vAlign w:val="bottom"/>
          </w:tcPr>
          <w:p w14:paraId="4C822119" w14:textId="77777777" w:rsidR="00F02481" w:rsidRPr="00BE78CA" w:rsidRDefault="00F02481" w:rsidP="00AD7A0E">
            <w:pPr>
              <w:pStyle w:val="TableTextBold"/>
              <w:keepNext/>
              <w:spacing w:before="30" w:after="30"/>
              <w:jc w:val="center"/>
              <w:rPr>
                <w:noProof w:val="0"/>
                <w:color w:val="FFFFFF" w:themeColor="background1"/>
                <w:szCs w:val="16"/>
              </w:rPr>
            </w:pPr>
            <w:r w:rsidRPr="00BE78CA">
              <w:rPr>
                <w:noProof w:val="0"/>
                <w:color w:val="FFFFFF" w:themeColor="background1"/>
                <w:szCs w:val="16"/>
              </w:rPr>
              <w:t>Dairy cattle N</w:t>
            </w:r>
            <w:r w:rsidRPr="00BE78CA">
              <w:rPr>
                <w:noProof w:val="0"/>
                <w:color w:val="FFFFFF" w:themeColor="background1"/>
                <w:szCs w:val="16"/>
                <w:vertAlign w:val="subscript"/>
              </w:rPr>
              <w:t>ex</w:t>
            </w:r>
            <w:r w:rsidRPr="00BE78CA">
              <w:rPr>
                <w:noProof w:val="0"/>
                <w:color w:val="FFFFFF" w:themeColor="background1"/>
                <w:szCs w:val="16"/>
              </w:rPr>
              <w:t xml:space="preserve"> (kg/head/year)</w:t>
            </w:r>
          </w:p>
        </w:tc>
        <w:tc>
          <w:tcPr>
            <w:tcW w:w="1803" w:type="dxa"/>
            <w:shd w:val="clear" w:color="auto" w:fill="365F91"/>
            <w:noWrap/>
            <w:vAlign w:val="bottom"/>
          </w:tcPr>
          <w:p w14:paraId="373C9B8B" w14:textId="77777777" w:rsidR="00F02481" w:rsidRPr="00BE78CA" w:rsidRDefault="00F02481" w:rsidP="00AD7A0E">
            <w:pPr>
              <w:pStyle w:val="TableTextBold"/>
              <w:keepNext/>
              <w:spacing w:before="30" w:after="30"/>
              <w:jc w:val="center"/>
              <w:rPr>
                <w:noProof w:val="0"/>
                <w:color w:val="FFFFFF" w:themeColor="background1"/>
                <w:szCs w:val="16"/>
              </w:rPr>
            </w:pPr>
            <w:r w:rsidRPr="00BE78CA">
              <w:rPr>
                <w:noProof w:val="0"/>
                <w:color w:val="FFFFFF" w:themeColor="background1"/>
                <w:szCs w:val="16"/>
              </w:rPr>
              <w:t xml:space="preserve">Non-dairy </w:t>
            </w:r>
            <w:r w:rsidRPr="00BE78CA">
              <w:rPr>
                <w:i/>
                <w:iCs/>
                <w:noProof w:val="0"/>
                <w:color w:val="FFFFFF" w:themeColor="background1"/>
                <w:szCs w:val="16"/>
              </w:rPr>
              <w:t xml:space="preserve">(beef) </w:t>
            </w:r>
            <w:r w:rsidRPr="00BE78CA">
              <w:rPr>
                <w:noProof w:val="0"/>
                <w:color w:val="FFFFFF" w:themeColor="background1"/>
                <w:szCs w:val="16"/>
              </w:rPr>
              <w:t>cattle N</w:t>
            </w:r>
            <w:r w:rsidRPr="00BE78CA">
              <w:rPr>
                <w:noProof w:val="0"/>
                <w:color w:val="FFFFFF" w:themeColor="background1"/>
                <w:szCs w:val="16"/>
                <w:vertAlign w:val="subscript"/>
              </w:rPr>
              <w:t>ex</w:t>
            </w:r>
            <w:r w:rsidRPr="00BE78CA">
              <w:rPr>
                <w:noProof w:val="0"/>
                <w:color w:val="FFFFFF" w:themeColor="background1"/>
                <w:szCs w:val="16"/>
              </w:rPr>
              <w:t xml:space="preserve"> (kg/head/year)</w:t>
            </w:r>
          </w:p>
        </w:tc>
        <w:tc>
          <w:tcPr>
            <w:tcW w:w="1819" w:type="dxa"/>
            <w:shd w:val="clear" w:color="auto" w:fill="365F91"/>
            <w:noWrap/>
            <w:vAlign w:val="bottom"/>
          </w:tcPr>
          <w:p w14:paraId="2B27E6B5" w14:textId="77777777" w:rsidR="00F02481" w:rsidRPr="00BE78CA" w:rsidRDefault="00F02481" w:rsidP="00AD7A0E">
            <w:pPr>
              <w:pStyle w:val="TableTextBold"/>
              <w:keepNext/>
              <w:spacing w:before="30" w:after="30"/>
              <w:jc w:val="center"/>
              <w:rPr>
                <w:noProof w:val="0"/>
                <w:color w:val="FFFFFF" w:themeColor="background1"/>
                <w:szCs w:val="16"/>
              </w:rPr>
            </w:pPr>
            <w:r w:rsidRPr="00BE78CA">
              <w:rPr>
                <w:noProof w:val="0"/>
                <w:color w:val="FFFFFF" w:themeColor="background1"/>
                <w:szCs w:val="16"/>
              </w:rPr>
              <w:t>Sheep N</w:t>
            </w:r>
            <w:r w:rsidRPr="00BE78CA">
              <w:rPr>
                <w:noProof w:val="0"/>
                <w:color w:val="FFFFFF" w:themeColor="background1"/>
                <w:szCs w:val="16"/>
                <w:vertAlign w:val="subscript"/>
              </w:rPr>
              <w:t>ex</w:t>
            </w:r>
            <w:r w:rsidRPr="00BE78CA">
              <w:rPr>
                <w:noProof w:val="0"/>
                <w:color w:val="FFFFFF" w:themeColor="background1"/>
                <w:szCs w:val="16"/>
              </w:rPr>
              <w:t xml:space="preserve"> (kg/head/year)</w:t>
            </w:r>
          </w:p>
        </w:tc>
        <w:tc>
          <w:tcPr>
            <w:tcW w:w="1612" w:type="dxa"/>
            <w:shd w:val="clear" w:color="auto" w:fill="365F91"/>
            <w:noWrap/>
            <w:vAlign w:val="bottom"/>
          </w:tcPr>
          <w:p w14:paraId="34CA84F9" w14:textId="77777777" w:rsidR="00F02481" w:rsidRPr="00BE78CA" w:rsidRDefault="00F02481" w:rsidP="00AD7A0E">
            <w:pPr>
              <w:pStyle w:val="TableTextBold"/>
              <w:keepNext/>
              <w:spacing w:before="30" w:after="30"/>
              <w:jc w:val="center"/>
              <w:rPr>
                <w:noProof w:val="0"/>
                <w:color w:val="FFFFFF" w:themeColor="background1"/>
                <w:szCs w:val="16"/>
              </w:rPr>
            </w:pPr>
            <w:r w:rsidRPr="00BE78CA">
              <w:rPr>
                <w:noProof w:val="0"/>
                <w:color w:val="FFFFFF" w:themeColor="background1"/>
                <w:szCs w:val="16"/>
              </w:rPr>
              <w:t>Deer N</w:t>
            </w:r>
            <w:r w:rsidRPr="00BE78CA">
              <w:rPr>
                <w:noProof w:val="0"/>
                <w:color w:val="FFFFFF" w:themeColor="background1"/>
                <w:szCs w:val="16"/>
                <w:vertAlign w:val="subscript"/>
              </w:rPr>
              <w:t>ex</w:t>
            </w:r>
            <w:r w:rsidRPr="00BE78CA">
              <w:rPr>
                <w:noProof w:val="0"/>
                <w:color w:val="FFFFFF" w:themeColor="background1"/>
                <w:szCs w:val="16"/>
              </w:rPr>
              <w:t xml:space="preserve"> (kg/head/year)</w:t>
            </w:r>
          </w:p>
        </w:tc>
      </w:tr>
      <w:tr w:rsidR="00F02481" w:rsidRPr="00BE78CA" w14:paraId="0F409092" w14:textId="77777777" w:rsidTr="00AD7A0E">
        <w:tc>
          <w:tcPr>
            <w:tcW w:w="1360" w:type="dxa"/>
            <w:tcBorders>
              <w:top w:val="single" w:sz="4" w:space="0" w:color="365F91"/>
              <w:bottom w:val="single" w:sz="4" w:space="0" w:color="365F91"/>
            </w:tcBorders>
            <w:noWrap/>
          </w:tcPr>
          <w:p w14:paraId="5DBBC10B" w14:textId="77777777" w:rsidR="00F02481" w:rsidRPr="00BE78CA" w:rsidRDefault="00F02481" w:rsidP="00B4240E">
            <w:pPr>
              <w:pStyle w:val="TableText"/>
              <w:keepNext/>
              <w:spacing w:before="40" w:after="30"/>
              <w:rPr>
                <w:rFonts w:cs="Calibri"/>
                <w:szCs w:val="16"/>
              </w:rPr>
            </w:pPr>
            <w:r w:rsidRPr="00BE78CA">
              <w:rPr>
                <w:rFonts w:cs="Calibri"/>
                <w:szCs w:val="16"/>
              </w:rPr>
              <w:t>1990</w:t>
            </w:r>
          </w:p>
        </w:tc>
        <w:tc>
          <w:tcPr>
            <w:tcW w:w="1803" w:type="dxa"/>
            <w:tcBorders>
              <w:top w:val="single" w:sz="4" w:space="0" w:color="365F91"/>
              <w:bottom w:val="single" w:sz="4" w:space="0" w:color="365F91"/>
            </w:tcBorders>
            <w:shd w:val="clear" w:color="auto" w:fill="auto"/>
            <w:noWrap/>
          </w:tcPr>
          <w:p w14:paraId="06E9AA7A" w14:textId="77777777" w:rsidR="00F02481" w:rsidRPr="00BE78CA" w:rsidRDefault="00F02481" w:rsidP="00B4240E">
            <w:pPr>
              <w:pStyle w:val="TableText"/>
              <w:spacing w:before="40" w:after="30"/>
              <w:jc w:val="center"/>
              <w:rPr>
                <w:rFonts w:cs="Calibri"/>
                <w:szCs w:val="16"/>
              </w:rPr>
            </w:pPr>
            <w:r w:rsidRPr="00BE78CA">
              <w:t>99.3</w:t>
            </w:r>
          </w:p>
        </w:tc>
        <w:tc>
          <w:tcPr>
            <w:tcW w:w="1803" w:type="dxa"/>
            <w:tcBorders>
              <w:top w:val="single" w:sz="4" w:space="0" w:color="365F91"/>
              <w:bottom w:val="single" w:sz="4" w:space="0" w:color="365F91"/>
            </w:tcBorders>
            <w:shd w:val="clear" w:color="auto" w:fill="auto"/>
            <w:noWrap/>
            <w:vAlign w:val="bottom"/>
          </w:tcPr>
          <w:p w14:paraId="4D3DB7E0" w14:textId="77777777" w:rsidR="00F02481" w:rsidRPr="00BE78CA" w:rsidRDefault="00F02481" w:rsidP="00B4240E">
            <w:pPr>
              <w:pStyle w:val="TableText"/>
              <w:spacing w:before="40" w:after="30"/>
              <w:jc w:val="center"/>
            </w:pPr>
            <w:r w:rsidRPr="00BE78CA">
              <w:t>68.1</w:t>
            </w:r>
          </w:p>
        </w:tc>
        <w:tc>
          <w:tcPr>
            <w:tcW w:w="1819" w:type="dxa"/>
            <w:tcBorders>
              <w:top w:val="single" w:sz="4" w:space="0" w:color="365F91"/>
              <w:bottom w:val="single" w:sz="4" w:space="0" w:color="365F91"/>
            </w:tcBorders>
            <w:shd w:val="clear" w:color="auto" w:fill="auto"/>
            <w:noWrap/>
            <w:vAlign w:val="bottom"/>
          </w:tcPr>
          <w:p w14:paraId="53C3F6FF" w14:textId="77777777" w:rsidR="00F02481" w:rsidRPr="00BE78CA" w:rsidRDefault="00F02481" w:rsidP="00B4240E">
            <w:pPr>
              <w:pStyle w:val="TableText"/>
              <w:spacing w:before="40" w:after="30"/>
              <w:jc w:val="center"/>
            </w:pPr>
            <w:r w:rsidRPr="00BE78CA">
              <w:t>14.1</w:t>
            </w:r>
          </w:p>
        </w:tc>
        <w:tc>
          <w:tcPr>
            <w:tcW w:w="1612" w:type="dxa"/>
            <w:tcBorders>
              <w:top w:val="single" w:sz="4" w:space="0" w:color="365F91"/>
              <w:bottom w:val="single" w:sz="4" w:space="0" w:color="365F91"/>
            </w:tcBorders>
            <w:shd w:val="clear" w:color="auto" w:fill="auto"/>
            <w:noWrap/>
            <w:vAlign w:val="bottom"/>
          </w:tcPr>
          <w:p w14:paraId="1FE780B0" w14:textId="77777777" w:rsidR="00F02481" w:rsidRPr="00BE78CA" w:rsidRDefault="00F02481" w:rsidP="00B4240E">
            <w:pPr>
              <w:pStyle w:val="TableText"/>
              <w:spacing w:before="40" w:after="30"/>
              <w:jc w:val="center"/>
            </w:pPr>
            <w:r w:rsidRPr="00BE78CA">
              <w:t>26.2</w:t>
            </w:r>
          </w:p>
        </w:tc>
      </w:tr>
      <w:tr w:rsidR="00F02481" w:rsidRPr="00BE78CA" w14:paraId="69E507BA" w14:textId="77777777" w:rsidTr="00AD7A0E">
        <w:tc>
          <w:tcPr>
            <w:tcW w:w="1360" w:type="dxa"/>
            <w:tcBorders>
              <w:top w:val="single" w:sz="4" w:space="0" w:color="365F91"/>
              <w:bottom w:val="single" w:sz="4" w:space="0" w:color="365F91"/>
            </w:tcBorders>
            <w:noWrap/>
          </w:tcPr>
          <w:p w14:paraId="3AF6E018" w14:textId="77777777" w:rsidR="00F02481" w:rsidRPr="00BE78CA" w:rsidRDefault="00F02481" w:rsidP="00B4240E">
            <w:pPr>
              <w:pStyle w:val="TableText"/>
              <w:keepNext/>
              <w:spacing w:before="40" w:after="30"/>
              <w:rPr>
                <w:rFonts w:cs="Calibri"/>
                <w:szCs w:val="16"/>
              </w:rPr>
            </w:pPr>
            <w:r w:rsidRPr="00BE78CA">
              <w:rPr>
                <w:rFonts w:cs="Calibri"/>
                <w:szCs w:val="16"/>
              </w:rPr>
              <w:t>1991</w:t>
            </w:r>
          </w:p>
        </w:tc>
        <w:tc>
          <w:tcPr>
            <w:tcW w:w="1803" w:type="dxa"/>
            <w:tcBorders>
              <w:top w:val="single" w:sz="4" w:space="0" w:color="365F91"/>
              <w:bottom w:val="single" w:sz="4" w:space="0" w:color="365F91"/>
            </w:tcBorders>
            <w:shd w:val="clear" w:color="auto" w:fill="auto"/>
            <w:noWrap/>
          </w:tcPr>
          <w:p w14:paraId="2BFFD542" w14:textId="77777777" w:rsidR="00F02481" w:rsidRPr="00BE78CA" w:rsidRDefault="00F02481" w:rsidP="00B4240E">
            <w:pPr>
              <w:pStyle w:val="TableText"/>
              <w:spacing w:before="40" w:after="30"/>
              <w:jc w:val="center"/>
              <w:rPr>
                <w:rFonts w:cs="Calibri"/>
                <w:szCs w:val="16"/>
              </w:rPr>
            </w:pPr>
            <w:r w:rsidRPr="00BE78CA">
              <w:t>102.9</w:t>
            </w:r>
          </w:p>
        </w:tc>
        <w:tc>
          <w:tcPr>
            <w:tcW w:w="1803" w:type="dxa"/>
            <w:tcBorders>
              <w:top w:val="single" w:sz="4" w:space="0" w:color="365F91"/>
              <w:bottom w:val="single" w:sz="4" w:space="0" w:color="365F91"/>
            </w:tcBorders>
            <w:shd w:val="clear" w:color="auto" w:fill="auto"/>
            <w:noWrap/>
            <w:vAlign w:val="bottom"/>
          </w:tcPr>
          <w:p w14:paraId="10A504F8" w14:textId="77777777" w:rsidR="00F02481" w:rsidRPr="00BE78CA" w:rsidRDefault="00F02481" w:rsidP="00B4240E">
            <w:pPr>
              <w:pStyle w:val="TableText"/>
              <w:spacing w:before="40" w:after="30"/>
              <w:jc w:val="center"/>
            </w:pPr>
            <w:r w:rsidRPr="00BE78CA">
              <w:t>70.1</w:t>
            </w:r>
          </w:p>
        </w:tc>
        <w:tc>
          <w:tcPr>
            <w:tcW w:w="1819" w:type="dxa"/>
            <w:tcBorders>
              <w:top w:val="single" w:sz="4" w:space="0" w:color="365F91"/>
              <w:bottom w:val="single" w:sz="4" w:space="0" w:color="365F91"/>
            </w:tcBorders>
            <w:shd w:val="clear" w:color="auto" w:fill="auto"/>
            <w:noWrap/>
            <w:vAlign w:val="bottom"/>
          </w:tcPr>
          <w:p w14:paraId="25BC5638" w14:textId="77777777" w:rsidR="00F02481" w:rsidRPr="00BE78CA" w:rsidRDefault="00F02481" w:rsidP="00B4240E">
            <w:pPr>
              <w:pStyle w:val="TableText"/>
              <w:spacing w:before="40" w:after="30"/>
              <w:jc w:val="center"/>
            </w:pPr>
            <w:r w:rsidRPr="00BE78CA">
              <w:t>14.3</w:t>
            </w:r>
          </w:p>
        </w:tc>
        <w:tc>
          <w:tcPr>
            <w:tcW w:w="1612" w:type="dxa"/>
            <w:tcBorders>
              <w:top w:val="single" w:sz="4" w:space="0" w:color="365F91"/>
              <w:bottom w:val="single" w:sz="4" w:space="0" w:color="365F91"/>
            </w:tcBorders>
            <w:shd w:val="clear" w:color="auto" w:fill="auto"/>
            <w:noWrap/>
            <w:vAlign w:val="bottom"/>
          </w:tcPr>
          <w:p w14:paraId="454457B1" w14:textId="77777777" w:rsidR="00F02481" w:rsidRPr="00BE78CA" w:rsidRDefault="00F02481" w:rsidP="00B4240E">
            <w:pPr>
              <w:pStyle w:val="TableText"/>
              <w:spacing w:before="40" w:after="30"/>
              <w:jc w:val="center"/>
            </w:pPr>
            <w:r w:rsidRPr="00BE78CA">
              <w:t>26.9</w:t>
            </w:r>
          </w:p>
        </w:tc>
      </w:tr>
      <w:tr w:rsidR="00F02481" w:rsidRPr="00BE78CA" w14:paraId="7E8EE8B5" w14:textId="77777777" w:rsidTr="00AD7A0E">
        <w:tc>
          <w:tcPr>
            <w:tcW w:w="1360" w:type="dxa"/>
            <w:tcBorders>
              <w:top w:val="single" w:sz="4" w:space="0" w:color="365F91"/>
              <w:bottom w:val="single" w:sz="4" w:space="0" w:color="365F91"/>
            </w:tcBorders>
            <w:noWrap/>
          </w:tcPr>
          <w:p w14:paraId="12665007" w14:textId="77777777" w:rsidR="00F02481" w:rsidRPr="00BE78CA" w:rsidRDefault="00F02481" w:rsidP="00B4240E">
            <w:pPr>
              <w:pStyle w:val="TableText"/>
              <w:spacing w:before="40" w:after="30"/>
              <w:rPr>
                <w:rFonts w:cs="Calibri"/>
                <w:szCs w:val="16"/>
              </w:rPr>
            </w:pPr>
            <w:r w:rsidRPr="00BE78CA">
              <w:rPr>
                <w:rFonts w:cs="Calibri"/>
                <w:szCs w:val="16"/>
              </w:rPr>
              <w:t>1992</w:t>
            </w:r>
          </w:p>
        </w:tc>
        <w:tc>
          <w:tcPr>
            <w:tcW w:w="1803" w:type="dxa"/>
            <w:tcBorders>
              <w:top w:val="single" w:sz="4" w:space="0" w:color="365F91"/>
              <w:bottom w:val="single" w:sz="4" w:space="0" w:color="365F91"/>
            </w:tcBorders>
            <w:shd w:val="clear" w:color="auto" w:fill="auto"/>
            <w:noWrap/>
          </w:tcPr>
          <w:p w14:paraId="7A18CDC5" w14:textId="77777777" w:rsidR="00F02481" w:rsidRPr="00BE78CA" w:rsidRDefault="00F02481" w:rsidP="00B4240E">
            <w:pPr>
              <w:pStyle w:val="TableText"/>
              <w:spacing w:before="40" w:after="30"/>
              <w:jc w:val="center"/>
              <w:rPr>
                <w:rFonts w:cs="Calibri"/>
                <w:szCs w:val="16"/>
              </w:rPr>
            </w:pPr>
            <w:r w:rsidRPr="00BE78CA">
              <w:t>103.5</w:t>
            </w:r>
          </w:p>
        </w:tc>
        <w:tc>
          <w:tcPr>
            <w:tcW w:w="1803" w:type="dxa"/>
            <w:tcBorders>
              <w:top w:val="single" w:sz="4" w:space="0" w:color="365F91"/>
              <w:bottom w:val="single" w:sz="4" w:space="0" w:color="365F91"/>
            </w:tcBorders>
            <w:shd w:val="clear" w:color="auto" w:fill="auto"/>
            <w:noWrap/>
            <w:vAlign w:val="bottom"/>
          </w:tcPr>
          <w:p w14:paraId="249AE55F" w14:textId="77777777" w:rsidR="00F02481" w:rsidRPr="00BE78CA" w:rsidRDefault="00F02481" w:rsidP="00B4240E">
            <w:pPr>
              <w:pStyle w:val="TableText"/>
              <w:spacing w:before="40" w:after="30"/>
              <w:jc w:val="center"/>
            </w:pPr>
            <w:r w:rsidRPr="00BE78CA">
              <w:t>71.1</w:t>
            </w:r>
          </w:p>
        </w:tc>
        <w:tc>
          <w:tcPr>
            <w:tcW w:w="1819" w:type="dxa"/>
            <w:tcBorders>
              <w:top w:val="single" w:sz="4" w:space="0" w:color="365F91"/>
              <w:bottom w:val="single" w:sz="4" w:space="0" w:color="365F91"/>
            </w:tcBorders>
            <w:shd w:val="clear" w:color="auto" w:fill="auto"/>
            <w:noWrap/>
            <w:vAlign w:val="bottom"/>
          </w:tcPr>
          <w:p w14:paraId="655E2914" w14:textId="77777777" w:rsidR="00F02481" w:rsidRPr="00BE78CA" w:rsidRDefault="00F02481" w:rsidP="00B4240E">
            <w:pPr>
              <w:pStyle w:val="TableText"/>
              <w:spacing w:before="40" w:after="30"/>
              <w:jc w:val="center"/>
            </w:pPr>
            <w:r w:rsidRPr="00BE78CA">
              <w:t>14.2</w:t>
            </w:r>
          </w:p>
        </w:tc>
        <w:tc>
          <w:tcPr>
            <w:tcW w:w="1612" w:type="dxa"/>
            <w:tcBorders>
              <w:top w:val="single" w:sz="4" w:space="0" w:color="365F91"/>
              <w:bottom w:val="single" w:sz="4" w:space="0" w:color="365F91"/>
            </w:tcBorders>
            <w:shd w:val="clear" w:color="auto" w:fill="auto"/>
            <w:noWrap/>
            <w:vAlign w:val="bottom"/>
          </w:tcPr>
          <w:p w14:paraId="685ACD9D" w14:textId="77777777" w:rsidR="00F02481" w:rsidRPr="00BE78CA" w:rsidRDefault="00F02481" w:rsidP="00B4240E">
            <w:pPr>
              <w:pStyle w:val="TableText"/>
              <w:spacing w:before="40" w:after="30"/>
              <w:jc w:val="center"/>
            </w:pPr>
            <w:r w:rsidRPr="00BE78CA">
              <w:t>28.0</w:t>
            </w:r>
          </w:p>
        </w:tc>
      </w:tr>
      <w:tr w:rsidR="00F02481" w:rsidRPr="00BE78CA" w14:paraId="7C38EDB3" w14:textId="77777777" w:rsidTr="00AD7A0E">
        <w:tc>
          <w:tcPr>
            <w:tcW w:w="1360" w:type="dxa"/>
            <w:tcBorders>
              <w:top w:val="single" w:sz="4" w:space="0" w:color="365F91"/>
              <w:bottom w:val="single" w:sz="4" w:space="0" w:color="365F91"/>
            </w:tcBorders>
            <w:noWrap/>
          </w:tcPr>
          <w:p w14:paraId="4B825E71" w14:textId="77777777" w:rsidR="00F02481" w:rsidRPr="00BE78CA" w:rsidRDefault="00F02481" w:rsidP="00B4240E">
            <w:pPr>
              <w:pStyle w:val="TableText"/>
              <w:spacing w:before="40" w:after="30"/>
              <w:rPr>
                <w:rFonts w:cs="Calibri"/>
                <w:szCs w:val="16"/>
              </w:rPr>
            </w:pPr>
            <w:r w:rsidRPr="00BE78CA">
              <w:rPr>
                <w:rFonts w:cs="Calibri"/>
                <w:szCs w:val="16"/>
              </w:rPr>
              <w:t>1993</w:t>
            </w:r>
          </w:p>
        </w:tc>
        <w:tc>
          <w:tcPr>
            <w:tcW w:w="1803" w:type="dxa"/>
            <w:tcBorders>
              <w:top w:val="single" w:sz="4" w:space="0" w:color="365F91"/>
              <w:bottom w:val="single" w:sz="4" w:space="0" w:color="365F91"/>
            </w:tcBorders>
            <w:shd w:val="clear" w:color="auto" w:fill="auto"/>
            <w:noWrap/>
          </w:tcPr>
          <w:p w14:paraId="636DE419" w14:textId="77777777" w:rsidR="00F02481" w:rsidRPr="00BE78CA" w:rsidRDefault="00F02481" w:rsidP="00B4240E">
            <w:pPr>
              <w:pStyle w:val="TableText"/>
              <w:spacing w:before="40" w:after="30"/>
              <w:jc w:val="center"/>
              <w:rPr>
                <w:rFonts w:cs="Calibri"/>
                <w:szCs w:val="16"/>
              </w:rPr>
            </w:pPr>
            <w:r w:rsidRPr="00BE78CA">
              <w:t>104.7</w:t>
            </w:r>
          </w:p>
        </w:tc>
        <w:tc>
          <w:tcPr>
            <w:tcW w:w="1803" w:type="dxa"/>
            <w:tcBorders>
              <w:top w:val="single" w:sz="4" w:space="0" w:color="365F91"/>
              <w:bottom w:val="single" w:sz="4" w:space="0" w:color="365F91"/>
            </w:tcBorders>
            <w:shd w:val="clear" w:color="auto" w:fill="auto"/>
            <w:noWrap/>
            <w:vAlign w:val="bottom"/>
          </w:tcPr>
          <w:p w14:paraId="09D48520" w14:textId="77777777" w:rsidR="00F02481" w:rsidRPr="00BE78CA" w:rsidRDefault="00F02481" w:rsidP="00B4240E">
            <w:pPr>
              <w:pStyle w:val="TableText"/>
              <w:spacing w:before="40" w:after="30"/>
              <w:jc w:val="center"/>
            </w:pPr>
            <w:r w:rsidRPr="00BE78CA">
              <w:t>72.4</w:t>
            </w:r>
          </w:p>
        </w:tc>
        <w:tc>
          <w:tcPr>
            <w:tcW w:w="1819" w:type="dxa"/>
            <w:tcBorders>
              <w:top w:val="single" w:sz="4" w:space="0" w:color="365F91"/>
              <w:bottom w:val="single" w:sz="4" w:space="0" w:color="365F91"/>
            </w:tcBorders>
            <w:shd w:val="clear" w:color="auto" w:fill="auto"/>
            <w:noWrap/>
            <w:vAlign w:val="bottom"/>
          </w:tcPr>
          <w:p w14:paraId="3903E1A2" w14:textId="77777777" w:rsidR="00F02481" w:rsidRPr="00BE78CA" w:rsidRDefault="00F02481" w:rsidP="00B4240E">
            <w:pPr>
              <w:pStyle w:val="TableText"/>
              <w:spacing w:before="40" w:after="30"/>
              <w:jc w:val="center"/>
            </w:pPr>
            <w:r w:rsidRPr="00BE78CA">
              <w:t>14.7</w:t>
            </w:r>
          </w:p>
        </w:tc>
        <w:tc>
          <w:tcPr>
            <w:tcW w:w="1612" w:type="dxa"/>
            <w:tcBorders>
              <w:top w:val="single" w:sz="4" w:space="0" w:color="365F91"/>
              <w:bottom w:val="single" w:sz="4" w:space="0" w:color="365F91"/>
            </w:tcBorders>
            <w:shd w:val="clear" w:color="auto" w:fill="auto"/>
            <w:noWrap/>
            <w:vAlign w:val="bottom"/>
          </w:tcPr>
          <w:p w14:paraId="64F3E8DA" w14:textId="77777777" w:rsidR="00F02481" w:rsidRPr="00BE78CA" w:rsidRDefault="00F02481" w:rsidP="00B4240E">
            <w:pPr>
              <w:pStyle w:val="TableText"/>
              <w:spacing w:before="40" w:after="30"/>
              <w:jc w:val="center"/>
            </w:pPr>
            <w:r w:rsidRPr="00BE78CA">
              <w:t>28.5</w:t>
            </w:r>
          </w:p>
        </w:tc>
      </w:tr>
      <w:tr w:rsidR="00F02481" w:rsidRPr="00BE78CA" w14:paraId="523C5034" w14:textId="77777777" w:rsidTr="00AD7A0E">
        <w:tc>
          <w:tcPr>
            <w:tcW w:w="1360" w:type="dxa"/>
            <w:tcBorders>
              <w:top w:val="single" w:sz="4" w:space="0" w:color="365F91"/>
              <w:bottom w:val="single" w:sz="4" w:space="0" w:color="365F91"/>
            </w:tcBorders>
            <w:noWrap/>
          </w:tcPr>
          <w:p w14:paraId="2F03EB8F" w14:textId="77777777" w:rsidR="00F02481" w:rsidRPr="00BE78CA" w:rsidRDefault="00F02481" w:rsidP="00B4240E">
            <w:pPr>
              <w:pStyle w:val="TableText"/>
              <w:spacing w:before="40" w:after="30"/>
              <w:rPr>
                <w:rFonts w:cs="Calibri"/>
                <w:szCs w:val="16"/>
              </w:rPr>
            </w:pPr>
            <w:r w:rsidRPr="00BE78CA">
              <w:rPr>
                <w:rFonts w:cs="Calibri"/>
                <w:szCs w:val="16"/>
              </w:rPr>
              <w:t>1994</w:t>
            </w:r>
          </w:p>
        </w:tc>
        <w:tc>
          <w:tcPr>
            <w:tcW w:w="1803" w:type="dxa"/>
            <w:tcBorders>
              <w:top w:val="single" w:sz="4" w:space="0" w:color="365F91"/>
              <w:bottom w:val="single" w:sz="4" w:space="0" w:color="365F91"/>
            </w:tcBorders>
            <w:shd w:val="clear" w:color="auto" w:fill="auto"/>
            <w:noWrap/>
          </w:tcPr>
          <w:p w14:paraId="4470866B" w14:textId="77777777" w:rsidR="00F02481" w:rsidRPr="00BE78CA" w:rsidRDefault="00F02481" w:rsidP="00B4240E">
            <w:pPr>
              <w:pStyle w:val="TableText"/>
              <w:spacing w:before="40" w:after="30"/>
              <w:jc w:val="center"/>
              <w:rPr>
                <w:rFonts w:cs="Calibri"/>
                <w:szCs w:val="16"/>
              </w:rPr>
            </w:pPr>
            <w:r w:rsidRPr="00BE78CA">
              <w:t>102.8</w:t>
            </w:r>
          </w:p>
        </w:tc>
        <w:tc>
          <w:tcPr>
            <w:tcW w:w="1803" w:type="dxa"/>
            <w:tcBorders>
              <w:top w:val="single" w:sz="4" w:space="0" w:color="365F91"/>
              <w:bottom w:val="single" w:sz="4" w:space="0" w:color="365F91"/>
            </w:tcBorders>
            <w:shd w:val="clear" w:color="auto" w:fill="auto"/>
            <w:noWrap/>
            <w:vAlign w:val="bottom"/>
          </w:tcPr>
          <w:p w14:paraId="2BE19CED" w14:textId="77777777" w:rsidR="00F02481" w:rsidRPr="00BE78CA" w:rsidRDefault="00F02481" w:rsidP="00B4240E">
            <w:pPr>
              <w:pStyle w:val="TableText"/>
              <w:spacing w:before="40" w:after="30"/>
              <w:jc w:val="center"/>
            </w:pPr>
            <w:r w:rsidRPr="00BE78CA">
              <w:t>73.1</w:t>
            </w:r>
          </w:p>
        </w:tc>
        <w:tc>
          <w:tcPr>
            <w:tcW w:w="1819" w:type="dxa"/>
            <w:tcBorders>
              <w:top w:val="single" w:sz="4" w:space="0" w:color="365F91"/>
              <w:bottom w:val="single" w:sz="4" w:space="0" w:color="365F91"/>
            </w:tcBorders>
            <w:shd w:val="clear" w:color="auto" w:fill="auto"/>
            <w:noWrap/>
            <w:vAlign w:val="bottom"/>
          </w:tcPr>
          <w:p w14:paraId="094DF2B6" w14:textId="77777777" w:rsidR="00F02481" w:rsidRPr="00BE78CA" w:rsidRDefault="00F02481" w:rsidP="00B4240E">
            <w:pPr>
              <w:pStyle w:val="TableText"/>
              <w:spacing w:before="40" w:after="30"/>
              <w:jc w:val="center"/>
            </w:pPr>
            <w:r w:rsidRPr="00BE78CA">
              <w:t>14.9</w:t>
            </w:r>
          </w:p>
        </w:tc>
        <w:tc>
          <w:tcPr>
            <w:tcW w:w="1612" w:type="dxa"/>
            <w:tcBorders>
              <w:top w:val="single" w:sz="4" w:space="0" w:color="365F91"/>
              <w:bottom w:val="single" w:sz="4" w:space="0" w:color="365F91"/>
            </w:tcBorders>
            <w:shd w:val="clear" w:color="auto" w:fill="auto"/>
            <w:noWrap/>
            <w:vAlign w:val="bottom"/>
          </w:tcPr>
          <w:p w14:paraId="0E64F5F4" w14:textId="77777777" w:rsidR="00F02481" w:rsidRPr="00BE78CA" w:rsidRDefault="00F02481" w:rsidP="00B4240E">
            <w:pPr>
              <w:pStyle w:val="TableText"/>
              <w:spacing w:before="40" w:after="30"/>
              <w:jc w:val="center"/>
            </w:pPr>
            <w:r w:rsidRPr="00BE78CA">
              <w:t>28.0</w:t>
            </w:r>
          </w:p>
        </w:tc>
      </w:tr>
      <w:tr w:rsidR="00F02481" w:rsidRPr="00BE78CA" w14:paraId="27BF8F3D" w14:textId="77777777" w:rsidTr="00AD7A0E">
        <w:tc>
          <w:tcPr>
            <w:tcW w:w="1360" w:type="dxa"/>
            <w:tcBorders>
              <w:top w:val="single" w:sz="4" w:space="0" w:color="365F91"/>
              <w:bottom w:val="single" w:sz="4" w:space="0" w:color="365F91"/>
            </w:tcBorders>
            <w:noWrap/>
          </w:tcPr>
          <w:p w14:paraId="6EDDCE6D" w14:textId="77777777" w:rsidR="00F02481" w:rsidRPr="00BE78CA" w:rsidRDefault="00F02481" w:rsidP="00B4240E">
            <w:pPr>
              <w:pStyle w:val="TableText"/>
              <w:spacing w:before="40" w:after="30"/>
              <w:rPr>
                <w:rFonts w:cs="Calibri"/>
                <w:szCs w:val="16"/>
              </w:rPr>
            </w:pPr>
            <w:r w:rsidRPr="00BE78CA">
              <w:rPr>
                <w:rFonts w:cs="Calibri"/>
                <w:szCs w:val="16"/>
              </w:rPr>
              <w:t>1995</w:t>
            </w:r>
          </w:p>
        </w:tc>
        <w:tc>
          <w:tcPr>
            <w:tcW w:w="1803" w:type="dxa"/>
            <w:tcBorders>
              <w:top w:val="single" w:sz="4" w:space="0" w:color="365F91"/>
              <w:bottom w:val="single" w:sz="4" w:space="0" w:color="365F91"/>
            </w:tcBorders>
            <w:shd w:val="clear" w:color="auto" w:fill="auto"/>
            <w:noWrap/>
          </w:tcPr>
          <w:p w14:paraId="4E452F3F" w14:textId="77777777" w:rsidR="00F02481" w:rsidRPr="00BE78CA" w:rsidRDefault="00F02481" w:rsidP="00B4240E">
            <w:pPr>
              <w:pStyle w:val="TableText"/>
              <w:spacing w:before="40" w:after="30"/>
              <w:jc w:val="center"/>
              <w:rPr>
                <w:rFonts w:cs="Calibri"/>
                <w:szCs w:val="16"/>
              </w:rPr>
            </w:pPr>
            <w:r w:rsidRPr="00BE78CA">
              <w:t>102.5</w:t>
            </w:r>
          </w:p>
        </w:tc>
        <w:tc>
          <w:tcPr>
            <w:tcW w:w="1803" w:type="dxa"/>
            <w:tcBorders>
              <w:top w:val="single" w:sz="4" w:space="0" w:color="365F91"/>
              <w:bottom w:val="single" w:sz="4" w:space="0" w:color="365F91"/>
            </w:tcBorders>
            <w:shd w:val="clear" w:color="auto" w:fill="auto"/>
            <w:noWrap/>
            <w:vAlign w:val="bottom"/>
          </w:tcPr>
          <w:p w14:paraId="4F326345" w14:textId="77777777" w:rsidR="00F02481" w:rsidRPr="00BE78CA" w:rsidRDefault="00F02481" w:rsidP="00B4240E">
            <w:pPr>
              <w:pStyle w:val="TableText"/>
              <w:spacing w:before="40" w:after="30"/>
              <w:jc w:val="center"/>
            </w:pPr>
            <w:r w:rsidRPr="00BE78CA">
              <w:t>72.4</w:t>
            </w:r>
          </w:p>
        </w:tc>
        <w:tc>
          <w:tcPr>
            <w:tcW w:w="1819" w:type="dxa"/>
            <w:tcBorders>
              <w:top w:val="single" w:sz="4" w:space="0" w:color="365F91"/>
              <w:bottom w:val="single" w:sz="4" w:space="0" w:color="365F91"/>
            </w:tcBorders>
            <w:shd w:val="clear" w:color="auto" w:fill="auto"/>
            <w:noWrap/>
            <w:vAlign w:val="bottom"/>
          </w:tcPr>
          <w:p w14:paraId="5B1730AC" w14:textId="77777777" w:rsidR="00F02481" w:rsidRPr="00BE78CA" w:rsidRDefault="00F02481" w:rsidP="00B4240E">
            <w:pPr>
              <w:pStyle w:val="TableText"/>
              <w:spacing w:before="40" w:after="30"/>
              <w:jc w:val="center"/>
            </w:pPr>
            <w:r w:rsidRPr="00BE78CA">
              <w:t>14.7</w:t>
            </w:r>
          </w:p>
        </w:tc>
        <w:tc>
          <w:tcPr>
            <w:tcW w:w="1612" w:type="dxa"/>
            <w:tcBorders>
              <w:top w:val="single" w:sz="4" w:space="0" w:color="365F91"/>
              <w:bottom w:val="single" w:sz="4" w:space="0" w:color="365F91"/>
            </w:tcBorders>
            <w:shd w:val="clear" w:color="auto" w:fill="auto"/>
            <w:noWrap/>
            <w:vAlign w:val="bottom"/>
          </w:tcPr>
          <w:p w14:paraId="23B311D3" w14:textId="77777777" w:rsidR="00F02481" w:rsidRPr="00BE78CA" w:rsidRDefault="00F02481" w:rsidP="00B4240E">
            <w:pPr>
              <w:pStyle w:val="TableText"/>
              <w:spacing w:before="40" w:after="30"/>
              <w:jc w:val="center"/>
            </w:pPr>
            <w:r w:rsidRPr="00BE78CA">
              <w:t>29.2</w:t>
            </w:r>
          </w:p>
        </w:tc>
      </w:tr>
      <w:tr w:rsidR="00F02481" w:rsidRPr="00BE78CA" w14:paraId="5B63A3AD" w14:textId="77777777" w:rsidTr="00AD7A0E">
        <w:tc>
          <w:tcPr>
            <w:tcW w:w="1360" w:type="dxa"/>
            <w:tcBorders>
              <w:top w:val="single" w:sz="4" w:space="0" w:color="365F91"/>
              <w:bottom w:val="single" w:sz="4" w:space="0" w:color="365F91"/>
            </w:tcBorders>
            <w:noWrap/>
          </w:tcPr>
          <w:p w14:paraId="7AE6EADA" w14:textId="77777777" w:rsidR="00F02481" w:rsidRPr="00BE78CA" w:rsidRDefault="00F02481" w:rsidP="00B4240E">
            <w:pPr>
              <w:pStyle w:val="TableText"/>
              <w:spacing w:before="40" w:after="30"/>
              <w:rPr>
                <w:rFonts w:cs="Calibri"/>
                <w:szCs w:val="16"/>
              </w:rPr>
            </w:pPr>
            <w:r w:rsidRPr="00BE78CA">
              <w:rPr>
                <w:rFonts w:cs="Calibri"/>
                <w:szCs w:val="16"/>
              </w:rPr>
              <w:t>1996</w:t>
            </w:r>
          </w:p>
        </w:tc>
        <w:tc>
          <w:tcPr>
            <w:tcW w:w="1803" w:type="dxa"/>
            <w:tcBorders>
              <w:top w:val="single" w:sz="4" w:space="0" w:color="365F91"/>
              <w:bottom w:val="single" w:sz="4" w:space="0" w:color="365F91"/>
            </w:tcBorders>
            <w:shd w:val="clear" w:color="auto" w:fill="auto"/>
            <w:noWrap/>
          </w:tcPr>
          <w:p w14:paraId="07CCA948" w14:textId="77777777" w:rsidR="00F02481" w:rsidRPr="00BE78CA" w:rsidRDefault="00F02481" w:rsidP="00B4240E">
            <w:pPr>
              <w:pStyle w:val="TableText"/>
              <w:spacing w:before="40" w:after="30"/>
              <w:jc w:val="center"/>
              <w:rPr>
                <w:rFonts w:cs="Calibri"/>
                <w:szCs w:val="16"/>
              </w:rPr>
            </w:pPr>
            <w:r w:rsidRPr="00BE78CA">
              <w:t>105.3</w:t>
            </w:r>
          </w:p>
        </w:tc>
        <w:tc>
          <w:tcPr>
            <w:tcW w:w="1803" w:type="dxa"/>
            <w:tcBorders>
              <w:top w:val="single" w:sz="4" w:space="0" w:color="365F91"/>
              <w:bottom w:val="single" w:sz="4" w:space="0" w:color="365F91"/>
            </w:tcBorders>
            <w:shd w:val="clear" w:color="auto" w:fill="auto"/>
            <w:noWrap/>
            <w:vAlign w:val="bottom"/>
          </w:tcPr>
          <w:p w14:paraId="5186DAD7" w14:textId="77777777" w:rsidR="00F02481" w:rsidRPr="00BE78CA" w:rsidRDefault="00F02481" w:rsidP="00B4240E">
            <w:pPr>
              <w:pStyle w:val="TableText"/>
              <w:spacing w:before="40" w:after="30"/>
              <w:jc w:val="center"/>
            </w:pPr>
            <w:r w:rsidRPr="00BE78CA">
              <w:t>75.0</w:t>
            </w:r>
          </w:p>
        </w:tc>
        <w:tc>
          <w:tcPr>
            <w:tcW w:w="1819" w:type="dxa"/>
            <w:tcBorders>
              <w:top w:val="single" w:sz="4" w:space="0" w:color="365F91"/>
              <w:bottom w:val="single" w:sz="4" w:space="0" w:color="365F91"/>
            </w:tcBorders>
            <w:shd w:val="clear" w:color="auto" w:fill="auto"/>
            <w:noWrap/>
            <w:vAlign w:val="bottom"/>
          </w:tcPr>
          <w:p w14:paraId="3D863FF9" w14:textId="77777777" w:rsidR="00F02481" w:rsidRPr="00BE78CA" w:rsidRDefault="00F02481" w:rsidP="00B4240E">
            <w:pPr>
              <w:pStyle w:val="TableText"/>
              <w:spacing w:before="40" w:after="30"/>
              <w:jc w:val="center"/>
            </w:pPr>
            <w:r w:rsidRPr="00BE78CA">
              <w:t>15.4</w:t>
            </w:r>
          </w:p>
        </w:tc>
        <w:tc>
          <w:tcPr>
            <w:tcW w:w="1612" w:type="dxa"/>
            <w:tcBorders>
              <w:top w:val="single" w:sz="4" w:space="0" w:color="365F91"/>
              <w:bottom w:val="single" w:sz="4" w:space="0" w:color="365F91"/>
            </w:tcBorders>
            <w:shd w:val="clear" w:color="auto" w:fill="auto"/>
            <w:noWrap/>
            <w:vAlign w:val="bottom"/>
          </w:tcPr>
          <w:p w14:paraId="62511370" w14:textId="77777777" w:rsidR="00F02481" w:rsidRPr="00BE78CA" w:rsidRDefault="00F02481" w:rsidP="00B4240E">
            <w:pPr>
              <w:pStyle w:val="TableText"/>
              <w:spacing w:before="40" w:after="30"/>
              <w:jc w:val="center"/>
            </w:pPr>
            <w:r w:rsidRPr="00BE78CA">
              <w:t>29.4</w:t>
            </w:r>
          </w:p>
        </w:tc>
      </w:tr>
      <w:tr w:rsidR="00F02481" w:rsidRPr="00BE78CA" w14:paraId="4AB61C69" w14:textId="77777777" w:rsidTr="00AD7A0E">
        <w:tc>
          <w:tcPr>
            <w:tcW w:w="1360" w:type="dxa"/>
            <w:tcBorders>
              <w:top w:val="single" w:sz="4" w:space="0" w:color="365F91"/>
              <w:bottom w:val="single" w:sz="4" w:space="0" w:color="365F91"/>
            </w:tcBorders>
            <w:noWrap/>
          </w:tcPr>
          <w:p w14:paraId="188B0495" w14:textId="77777777" w:rsidR="00F02481" w:rsidRPr="00BE78CA" w:rsidRDefault="00F02481" w:rsidP="00B4240E">
            <w:pPr>
              <w:pStyle w:val="TableText"/>
              <w:spacing w:before="40" w:after="30"/>
              <w:rPr>
                <w:rFonts w:cs="Calibri"/>
                <w:szCs w:val="16"/>
              </w:rPr>
            </w:pPr>
            <w:r w:rsidRPr="00BE78CA">
              <w:rPr>
                <w:rFonts w:cs="Calibri"/>
                <w:szCs w:val="16"/>
              </w:rPr>
              <w:t>1997</w:t>
            </w:r>
          </w:p>
        </w:tc>
        <w:tc>
          <w:tcPr>
            <w:tcW w:w="1803" w:type="dxa"/>
            <w:tcBorders>
              <w:top w:val="single" w:sz="4" w:space="0" w:color="365F91"/>
              <w:bottom w:val="single" w:sz="4" w:space="0" w:color="365F91"/>
            </w:tcBorders>
            <w:shd w:val="clear" w:color="auto" w:fill="auto"/>
            <w:noWrap/>
          </w:tcPr>
          <w:p w14:paraId="283B8EB7" w14:textId="77777777" w:rsidR="00F02481" w:rsidRPr="00BE78CA" w:rsidRDefault="00F02481" w:rsidP="00B4240E">
            <w:pPr>
              <w:pStyle w:val="TableText"/>
              <w:spacing w:before="40" w:after="30"/>
              <w:jc w:val="center"/>
              <w:rPr>
                <w:rFonts w:cs="Calibri"/>
                <w:szCs w:val="16"/>
              </w:rPr>
            </w:pPr>
            <w:r w:rsidRPr="00BE78CA">
              <w:t>106.1</w:t>
            </w:r>
          </w:p>
        </w:tc>
        <w:tc>
          <w:tcPr>
            <w:tcW w:w="1803" w:type="dxa"/>
            <w:tcBorders>
              <w:top w:val="single" w:sz="4" w:space="0" w:color="365F91"/>
              <w:bottom w:val="single" w:sz="4" w:space="0" w:color="365F91"/>
            </w:tcBorders>
            <w:shd w:val="clear" w:color="auto" w:fill="auto"/>
            <w:noWrap/>
            <w:vAlign w:val="bottom"/>
          </w:tcPr>
          <w:p w14:paraId="0FDEBA01" w14:textId="77777777" w:rsidR="00F02481" w:rsidRPr="00BE78CA" w:rsidRDefault="00F02481" w:rsidP="00B4240E">
            <w:pPr>
              <w:pStyle w:val="TableText"/>
              <w:spacing w:before="40" w:after="30"/>
              <w:jc w:val="center"/>
            </w:pPr>
            <w:r w:rsidRPr="00BE78CA">
              <w:t>76.3</w:t>
            </w:r>
          </w:p>
        </w:tc>
        <w:tc>
          <w:tcPr>
            <w:tcW w:w="1819" w:type="dxa"/>
            <w:tcBorders>
              <w:top w:val="single" w:sz="4" w:space="0" w:color="365F91"/>
              <w:bottom w:val="single" w:sz="4" w:space="0" w:color="365F91"/>
            </w:tcBorders>
            <w:shd w:val="clear" w:color="auto" w:fill="auto"/>
            <w:noWrap/>
            <w:vAlign w:val="bottom"/>
          </w:tcPr>
          <w:p w14:paraId="6E9282B1" w14:textId="77777777" w:rsidR="00F02481" w:rsidRPr="00BE78CA" w:rsidRDefault="00F02481" w:rsidP="00B4240E">
            <w:pPr>
              <w:pStyle w:val="TableText"/>
              <w:spacing w:before="40" w:after="30"/>
              <w:jc w:val="center"/>
            </w:pPr>
            <w:r w:rsidRPr="00BE78CA">
              <w:t>16.1</w:t>
            </w:r>
          </w:p>
        </w:tc>
        <w:tc>
          <w:tcPr>
            <w:tcW w:w="1612" w:type="dxa"/>
            <w:tcBorders>
              <w:top w:val="single" w:sz="4" w:space="0" w:color="365F91"/>
              <w:bottom w:val="single" w:sz="4" w:space="0" w:color="365F91"/>
            </w:tcBorders>
            <w:shd w:val="clear" w:color="auto" w:fill="auto"/>
            <w:noWrap/>
            <w:vAlign w:val="bottom"/>
          </w:tcPr>
          <w:p w14:paraId="05ACA156" w14:textId="77777777" w:rsidR="00F02481" w:rsidRPr="00BE78CA" w:rsidRDefault="00F02481" w:rsidP="00B4240E">
            <w:pPr>
              <w:pStyle w:val="TableText"/>
              <w:spacing w:before="40" w:after="30"/>
              <w:jc w:val="center"/>
            </w:pPr>
            <w:r w:rsidRPr="00BE78CA">
              <w:t>29.7</w:t>
            </w:r>
          </w:p>
        </w:tc>
      </w:tr>
      <w:tr w:rsidR="00F02481" w:rsidRPr="00BE78CA" w14:paraId="0B9F8749" w14:textId="77777777" w:rsidTr="00AD7A0E">
        <w:tc>
          <w:tcPr>
            <w:tcW w:w="1360" w:type="dxa"/>
            <w:tcBorders>
              <w:top w:val="single" w:sz="4" w:space="0" w:color="365F91"/>
              <w:bottom w:val="single" w:sz="4" w:space="0" w:color="365F91"/>
            </w:tcBorders>
            <w:noWrap/>
          </w:tcPr>
          <w:p w14:paraId="476CBC83" w14:textId="77777777" w:rsidR="00F02481" w:rsidRPr="00BE78CA" w:rsidRDefault="00F02481" w:rsidP="00B4240E">
            <w:pPr>
              <w:pStyle w:val="TableText"/>
              <w:spacing w:before="40" w:after="30"/>
              <w:rPr>
                <w:rFonts w:cs="Calibri"/>
                <w:szCs w:val="16"/>
              </w:rPr>
            </w:pPr>
            <w:r w:rsidRPr="00BE78CA">
              <w:rPr>
                <w:rFonts w:cs="Calibri"/>
                <w:szCs w:val="16"/>
              </w:rPr>
              <w:t>1998</w:t>
            </w:r>
          </w:p>
        </w:tc>
        <w:tc>
          <w:tcPr>
            <w:tcW w:w="1803" w:type="dxa"/>
            <w:tcBorders>
              <w:top w:val="single" w:sz="4" w:space="0" w:color="365F91"/>
              <w:bottom w:val="single" w:sz="4" w:space="0" w:color="365F91"/>
            </w:tcBorders>
            <w:noWrap/>
          </w:tcPr>
          <w:p w14:paraId="3188DBA9" w14:textId="77777777" w:rsidR="00F02481" w:rsidRPr="00BE78CA" w:rsidRDefault="00F02481" w:rsidP="00B4240E">
            <w:pPr>
              <w:pStyle w:val="TableText"/>
              <w:spacing w:before="40" w:after="30"/>
              <w:jc w:val="center"/>
              <w:rPr>
                <w:rFonts w:cs="Calibri"/>
                <w:szCs w:val="16"/>
              </w:rPr>
            </w:pPr>
            <w:r w:rsidRPr="00BE78CA">
              <w:t>103.8</w:t>
            </w:r>
          </w:p>
        </w:tc>
        <w:tc>
          <w:tcPr>
            <w:tcW w:w="1803" w:type="dxa"/>
            <w:tcBorders>
              <w:top w:val="single" w:sz="4" w:space="0" w:color="365F91"/>
              <w:bottom w:val="single" w:sz="4" w:space="0" w:color="365F91"/>
            </w:tcBorders>
            <w:noWrap/>
            <w:vAlign w:val="bottom"/>
          </w:tcPr>
          <w:p w14:paraId="6A5FB5B6" w14:textId="77777777" w:rsidR="00F02481" w:rsidRPr="00BE78CA" w:rsidRDefault="00F02481" w:rsidP="00B4240E">
            <w:pPr>
              <w:pStyle w:val="TableText"/>
              <w:spacing w:before="40" w:after="30"/>
              <w:jc w:val="center"/>
            </w:pPr>
            <w:r w:rsidRPr="00BE78CA">
              <w:t>76.2</w:t>
            </w:r>
          </w:p>
        </w:tc>
        <w:tc>
          <w:tcPr>
            <w:tcW w:w="1819" w:type="dxa"/>
            <w:tcBorders>
              <w:top w:val="single" w:sz="4" w:space="0" w:color="365F91"/>
              <w:bottom w:val="single" w:sz="4" w:space="0" w:color="365F91"/>
            </w:tcBorders>
            <w:noWrap/>
            <w:vAlign w:val="bottom"/>
          </w:tcPr>
          <w:p w14:paraId="74CB06B8" w14:textId="77777777" w:rsidR="00F02481" w:rsidRPr="00BE78CA" w:rsidRDefault="00F02481" w:rsidP="00B4240E">
            <w:pPr>
              <w:pStyle w:val="TableText"/>
              <w:spacing w:before="40" w:after="30"/>
              <w:jc w:val="center"/>
            </w:pPr>
            <w:r w:rsidRPr="00BE78CA">
              <w:t>16.1</w:t>
            </w:r>
          </w:p>
        </w:tc>
        <w:tc>
          <w:tcPr>
            <w:tcW w:w="1612" w:type="dxa"/>
            <w:tcBorders>
              <w:top w:val="single" w:sz="4" w:space="0" w:color="365F91"/>
              <w:bottom w:val="single" w:sz="4" w:space="0" w:color="365F91"/>
            </w:tcBorders>
            <w:noWrap/>
            <w:vAlign w:val="bottom"/>
          </w:tcPr>
          <w:p w14:paraId="2BCDA77F" w14:textId="77777777" w:rsidR="00F02481" w:rsidRPr="00BE78CA" w:rsidRDefault="00F02481" w:rsidP="00B4240E">
            <w:pPr>
              <w:pStyle w:val="TableText"/>
              <w:spacing w:before="40" w:after="30"/>
              <w:jc w:val="center"/>
            </w:pPr>
            <w:r w:rsidRPr="00BE78CA">
              <w:t>29.9</w:t>
            </w:r>
          </w:p>
        </w:tc>
      </w:tr>
      <w:tr w:rsidR="00F02481" w:rsidRPr="00BE78CA" w14:paraId="1B1CDD5B" w14:textId="77777777" w:rsidTr="00AD7A0E">
        <w:tc>
          <w:tcPr>
            <w:tcW w:w="1360" w:type="dxa"/>
            <w:tcBorders>
              <w:top w:val="single" w:sz="4" w:space="0" w:color="365F91"/>
              <w:bottom w:val="single" w:sz="4" w:space="0" w:color="365F91"/>
            </w:tcBorders>
            <w:noWrap/>
          </w:tcPr>
          <w:p w14:paraId="0215AE53" w14:textId="77777777" w:rsidR="00F02481" w:rsidRPr="00BE78CA" w:rsidRDefault="00F02481" w:rsidP="00B4240E">
            <w:pPr>
              <w:pStyle w:val="TableText"/>
              <w:spacing w:before="40" w:after="30"/>
              <w:rPr>
                <w:rFonts w:cs="Calibri"/>
                <w:szCs w:val="16"/>
              </w:rPr>
            </w:pPr>
            <w:r w:rsidRPr="00BE78CA">
              <w:rPr>
                <w:rFonts w:cs="Calibri"/>
                <w:szCs w:val="16"/>
              </w:rPr>
              <w:t>1999</w:t>
            </w:r>
          </w:p>
        </w:tc>
        <w:tc>
          <w:tcPr>
            <w:tcW w:w="1803" w:type="dxa"/>
            <w:tcBorders>
              <w:top w:val="single" w:sz="4" w:space="0" w:color="365F91"/>
              <w:bottom w:val="single" w:sz="4" w:space="0" w:color="365F91"/>
            </w:tcBorders>
            <w:noWrap/>
          </w:tcPr>
          <w:p w14:paraId="14CD5F7A" w14:textId="77777777" w:rsidR="00F02481" w:rsidRPr="00BE78CA" w:rsidRDefault="00F02481" w:rsidP="00B4240E">
            <w:pPr>
              <w:pStyle w:val="TableText"/>
              <w:spacing w:before="40" w:after="30"/>
              <w:jc w:val="center"/>
              <w:rPr>
                <w:rFonts w:cs="Calibri"/>
                <w:szCs w:val="16"/>
              </w:rPr>
            </w:pPr>
            <w:r w:rsidRPr="00BE78CA">
              <w:t>105.6</w:t>
            </w:r>
          </w:p>
        </w:tc>
        <w:tc>
          <w:tcPr>
            <w:tcW w:w="1803" w:type="dxa"/>
            <w:tcBorders>
              <w:top w:val="single" w:sz="4" w:space="0" w:color="365F91"/>
              <w:bottom w:val="single" w:sz="4" w:space="0" w:color="365F91"/>
            </w:tcBorders>
            <w:noWrap/>
            <w:vAlign w:val="bottom"/>
          </w:tcPr>
          <w:p w14:paraId="25D47D14" w14:textId="77777777" w:rsidR="00F02481" w:rsidRPr="00BE78CA" w:rsidRDefault="00F02481" w:rsidP="00B4240E">
            <w:pPr>
              <w:pStyle w:val="TableText"/>
              <w:spacing w:before="40" w:after="30"/>
              <w:jc w:val="center"/>
            </w:pPr>
            <w:r w:rsidRPr="00BE78CA">
              <w:t>74.5</w:t>
            </w:r>
          </w:p>
        </w:tc>
        <w:tc>
          <w:tcPr>
            <w:tcW w:w="1819" w:type="dxa"/>
            <w:tcBorders>
              <w:top w:val="single" w:sz="4" w:space="0" w:color="365F91"/>
              <w:bottom w:val="single" w:sz="4" w:space="0" w:color="365F91"/>
            </w:tcBorders>
            <w:noWrap/>
            <w:vAlign w:val="bottom"/>
          </w:tcPr>
          <w:p w14:paraId="63CF23C2" w14:textId="77777777" w:rsidR="00F02481" w:rsidRPr="00BE78CA" w:rsidRDefault="00F02481" w:rsidP="00B4240E">
            <w:pPr>
              <w:pStyle w:val="TableText"/>
              <w:spacing w:before="40" w:after="30"/>
              <w:jc w:val="center"/>
            </w:pPr>
            <w:r w:rsidRPr="00BE78CA">
              <w:t>16.0</w:t>
            </w:r>
          </w:p>
        </w:tc>
        <w:tc>
          <w:tcPr>
            <w:tcW w:w="1612" w:type="dxa"/>
            <w:tcBorders>
              <w:top w:val="single" w:sz="4" w:space="0" w:color="365F91"/>
              <w:bottom w:val="single" w:sz="4" w:space="0" w:color="365F91"/>
            </w:tcBorders>
            <w:noWrap/>
            <w:vAlign w:val="bottom"/>
          </w:tcPr>
          <w:p w14:paraId="1C9BABDC" w14:textId="77777777" w:rsidR="00F02481" w:rsidRPr="00BE78CA" w:rsidRDefault="00F02481" w:rsidP="00B4240E">
            <w:pPr>
              <w:pStyle w:val="TableText"/>
              <w:spacing w:before="40" w:after="30"/>
              <w:jc w:val="center"/>
            </w:pPr>
            <w:r w:rsidRPr="00BE78CA">
              <w:t>30.2</w:t>
            </w:r>
          </w:p>
        </w:tc>
      </w:tr>
      <w:tr w:rsidR="00F02481" w:rsidRPr="00BE78CA" w14:paraId="4895935C" w14:textId="77777777" w:rsidTr="00AD7A0E">
        <w:tc>
          <w:tcPr>
            <w:tcW w:w="1360" w:type="dxa"/>
            <w:tcBorders>
              <w:top w:val="single" w:sz="4" w:space="0" w:color="365F91"/>
              <w:bottom w:val="single" w:sz="4" w:space="0" w:color="365F91"/>
            </w:tcBorders>
            <w:noWrap/>
          </w:tcPr>
          <w:p w14:paraId="3D64BC02" w14:textId="77777777" w:rsidR="00F02481" w:rsidRPr="00BE78CA" w:rsidRDefault="00F02481" w:rsidP="00B4240E">
            <w:pPr>
              <w:pStyle w:val="TableText"/>
              <w:spacing w:before="40" w:after="30"/>
              <w:rPr>
                <w:rFonts w:cs="Calibri"/>
                <w:szCs w:val="16"/>
              </w:rPr>
            </w:pPr>
            <w:r w:rsidRPr="00BE78CA">
              <w:rPr>
                <w:rFonts w:cs="Calibri"/>
                <w:szCs w:val="16"/>
              </w:rPr>
              <w:t>2000</w:t>
            </w:r>
          </w:p>
        </w:tc>
        <w:tc>
          <w:tcPr>
            <w:tcW w:w="1803" w:type="dxa"/>
            <w:tcBorders>
              <w:top w:val="single" w:sz="4" w:space="0" w:color="365F91"/>
              <w:bottom w:val="single" w:sz="4" w:space="0" w:color="365F91"/>
            </w:tcBorders>
            <w:noWrap/>
          </w:tcPr>
          <w:p w14:paraId="5C8D6B4C" w14:textId="77777777" w:rsidR="00F02481" w:rsidRPr="00BE78CA" w:rsidRDefault="00F02481" w:rsidP="00B4240E">
            <w:pPr>
              <w:pStyle w:val="TableText"/>
              <w:spacing w:before="40" w:after="30"/>
              <w:jc w:val="center"/>
              <w:rPr>
                <w:rFonts w:cs="Calibri"/>
                <w:szCs w:val="16"/>
              </w:rPr>
            </w:pPr>
            <w:r w:rsidRPr="00BE78CA">
              <w:t>107.1</w:t>
            </w:r>
          </w:p>
        </w:tc>
        <w:tc>
          <w:tcPr>
            <w:tcW w:w="1803" w:type="dxa"/>
            <w:tcBorders>
              <w:top w:val="single" w:sz="4" w:space="0" w:color="365F91"/>
              <w:bottom w:val="single" w:sz="4" w:space="0" w:color="365F91"/>
            </w:tcBorders>
            <w:noWrap/>
            <w:vAlign w:val="bottom"/>
          </w:tcPr>
          <w:p w14:paraId="385A22E5" w14:textId="77777777" w:rsidR="00F02481" w:rsidRPr="00BE78CA" w:rsidRDefault="00F02481" w:rsidP="00B4240E">
            <w:pPr>
              <w:pStyle w:val="TableText"/>
              <w:spacing w:before="40" w:after="30"/>
              <w:jc w:val="center"/>
            </w:pPr>
            <w:r w:rsidRPr="00BE78CA">
              <w:t>77.1</w:t>
            </w:r>
          </w:p>
        </w:tc>
        <w:tc>
          <w:tcPr>
            <w:tcW w:w="1819" w:type="dxa"/>
            <w:tcBorders>
              <w:top w:val="single" w:sz="4" w:space="0" w:color="365F91"/>
              <w:bottom w:val="single" w:sz="4" w:space="0" w:color="365F91"/>
            </w:tcBorders>
            <w:noWrap/>
            <w:vAlign w:val="bottom"/>
          </w:tcPr>
          <w:p w14:paraId="74F96E53" w14:textId="77777777" w:rsidR="00F02481" w:rsidRPr="00BE78CA" w:rsidRDefault="00F02481" w:rsidP="00B4240E">
            <w:pPr>
              <w:pStyle w:val="TableText"/>
              <w:spacing w:before="40" w:after="30"/>
              <w:jc w:val="center"/>
            </w:pPr>
            <w:r w:rsidRPr="00BE78CA">
              <w:t>16.7</w:t>
            </w:r>
          </w:p>
        </w:tc>
        <w:tc>
          <w:tcPr>
            <w:tcW w:w="1612" w:type="dxa"/>
            <w:tcBorders>
              <w:top w:val="single" w:sz="4" w:space="0" w:color="365F91"/>
              <w:bottom w:val="single" w:sz="4" w:space="0" w:color="365F91"/>
            </w:tcBorders>
            <w:noWrap/>
            <w:vAlign w:val="bottom"/>
          </w:tcPr>
          <w:p w14:paraId="200A5CC4" w14:textId="77777777" w:rsidR="00F02481" w:rsidRPr="00BE78CA" w:rsidRDefault="00F02481" w:rsidP="00B4240E">
            <w:pPr>
              <w:pStyle w:val="TableText"/>
              <w:spacing w:before="40" w:after="30"/>
              <w:jc w:val="center"/>
            </w:pPr>
            <w:r w:rsidRPr="00BE78CA">
              <w:t>30.8</w:t>
            </w:r>
          </w:p>
        </w:tc>
      </w:tr>
      <w:tr w:rsidR="00F02481" w:rsidRPr="00BE78CA" w14:paraId="641EF1DE" w14:textId="77777777" w:rsidTr="00AD7A0E">
        <w:tc>
          <w:tcPr>
            <w:tcW w:w="1360" w:type="dxa"/>
            <w:tcBorders>
              <w:top w:val="single" w:sz="4" w:space="0" w:color="365F91"/>
              <w:bottom w:val="single" w:sz="4" w:space="0" w:color="365F91"/>
            </w:tcBorders>
            <w:noWrap/>
          </w:tcPr>
          <w:p w14:paraId="2D430731" w14:textId="77777777" w:rsidR="00F02481" w:rsidRPr="00BE78CA" w:rsidRDefault="00F02481" w:rsidP="00B4240E">
            <w:pPr>
              <w:pStyle w:val="TableText"/>
              <w:spacing w:before="40" w:after="30"/>
              <w:rPr>
                <w:rFonts w:cs="Calibri"/>
                <w:szCs w:val="16"/>
              </w:rPr>
            </w:pPr>
            <w:r w:rsidRPr="00BE78CA">
              <w:rPr>
                <w:rFonts w:cs="Calibri"/>
                <w:szCs w:val="16"/>
              </w:rPr>
              <w:t>2001</w:t>
            </w:r>
          </w:p>
        </w:tc>
        <w:tc>
          <w:tcPr>
            <w:tcW w:w="1803" w:type="dxa"/>
            <w:tcBorders>
              <w:top w:val="single" w:sz="4" w:space="0" w:color="365F91"/>
              <w:bottom w:val="single" w:sz="4" w:space="0" w:color="365F91"/>
            </w:tcBorders>
            <w:noWrap/>
          </w:tcPr>
          <w:p w14:paraId="7F77A34F" w14:textId="77777777" w:rsidR="00F02481" w:rsidRPr="00BE78CA" w:rsidRDefault="00F02481" w:rsidP="00B4240E">
            <w:pPr>
              <w:pStyle w:val="TableText"/>
              <w:spacing w:before="40" w:after="30"/>
              <w:jc w:val="center"/>
              <w:rPr>
                <w:rFonts w:cs="Calibri"/>
                <w:szCs w:val="16"/>
              </w:rPr>
            </w:pPr>
            <w:r w:rsidRPr="00BE78CA">
              <w:t>108.1</w:t>
            </w:r>
          </w:p>
        </w:tc>
        <w:tc>
          <w:tcPr>
            <w:tcW w:w="1803" w:type="dxa"/>
            <w:tcBorders>
              <w:top w:val="single" w:sz="4" w:space="0" w:color="365F91"/>
              <w:bottom w:val="single" w:sz="4" w:space="0" w:color="365F91"/>
            </w:tcBorders>
            <w:noWrap/>
            <w:vAlign w:val="bottom"/>
          </w:tcPr>
          <w:p w14:paraId="2BC11CF7" w14:textId="77777777" w:rsidR="00F02481" w:rsidRPr="00BE78CA" w:rsidRDefault="00F02481" w:rsidP="00B4240E">
            <w:pPr>
              <w:pStyle w:val="TableText"/>
              <w:spacing w:before="40" w:after="30"/>
              <w:jc w:val="center"/>
            </w:pPr>
            <w:r w:rsidRPr="00BE78CA">
              <w:t>78.4</w:t>
            </w:r>
          </w:p>
        </w:tc>
        <w:tc>
          <w:tcPr>
            <w:tcW w:w="1819" w:type="dxa"/>
            <w:tcBorders>
              <w:top w:val="single" w:sz="4" w:space="0" w:color="365F91"/>
              <w:bottom w:val="single" w:sz="4" w:space="0" w:color="365F91"/>
            </w:tcBorders>
            <w:noWrap/>
            <w:vAlign w:val="bottom"/>
          </w:tcPr>
          <w:p w14:paraId="2A80EE99" w14:textId="77777777" w:rsidR="00F02481" w:rsidRPr="00BE78CA" w:rsidRDefault="00F02481" w:rsidP="00B4240E">
            <w:pPr>
              <w:pStyle w:val="TableText"/>
              <w:spacing w:before="40" w:after="30"/>
              <w:jc w:val="center"/>
            </w:pPr>
            <w:r w:rsidRPr="00BE78CA">
              <w:t>16.9</w:t>
            </w:r>
          </w:p>
        </w:tc>
        <w:tc>
          <w:tcPr>
            <w:tcW w:w="1612" w:type="dxa"/>
            <w:tcBorders>
              <w:top w:val="single" w:sz="4" w:space="0" w:color="365F91"/>
              <w:bottom w:val="single" w:sz="4" w:space="0" w:color="365F91"/>
            </w:tcBorders>
            <w:noWrap/>
            <w:vAlign w:val="bottom"/>
          </w:tcPr>
          <w:p w14:paraId="2F4E2645" w14:textId="77777777" w:rsidR="00F02481" w:rsidRPr="00BE78CA" w:rsidRDefault="00F02481" w:rsidP="00B4240E">
            <w:pPr>
              <w:pStyle w:val="TableText"/>
              <w:spacing w:before="40" w:after="30"/>
              <w:jc w:val="center"/>
            </w:pPr>
            <w:r w:rsidRPr="00BE78CA">
              <w:t>30.8</w:t>
            </w:r>
          </w:p>
        </w:tc>
      </w:tr>
      <w:tr w:rsidR="00F02481" w:rsidRPr="00BE78CA" w14:paraId="4863D207" w14:textId="77777777" w:rsidTr="00AD7A0E">
        <w:tc>
          <w:tcPr>
            <w:tcW w:w="1360" w:type="dxa"/>
            <w:tcBorders>
              <w:top w:val="single" w:sz="4" w:space="0" w:color="365F91"/>
              <w:bottom w:val="single" w:sz="4" w:space="0" w:color="365F91"/>
            </w:tcBorders>
            <w:noWrap/>
          </w:tcPr>
          <w:p w14:paraId="1231B275" w14:textId="77777777" w:rsidR="00F02481" w:rsidRPr="00BE78CA" w:rsidRDefault="00F02481" w:rsidP="00B4240E">
            <w:pPr>
              <w:pStyle w:val="TableText"/>
              <w:spacing w:before="40" w:after="30"/>
              <w:rPr>
                <w:rFonts w:cs="Calibri"/>
                <w:szCs w:val="16"/>
              </w:rPr>
            </w:pPr>
            <w:r w:rsidRPr="00BE78CA">
              <w:rPr>
                <w:rFonts w:cs="Calibri"/>
                <w:szCs w:val="16"/>
              </w:rPr>
              <w:t>2002</w:t>
            </w:r>
          </w:p>
        </w:tc>
        <w:tc>
          <w:tcPr>
            <w:tcW w:w="1803" w:type="dxa"/>
            <w:tcBorders>
              <w:top w:val="single" w:sz="4" w:space="0" w:color="365F91"/>
              <w:bottom w:val="single" w:sz="4" w:space="0" w:color="365F91"/>
            </w:tcBorders>
            <w:noWrap/>
          </w:tcPr>
          <w:p w14:paraId="1798000F" w14:textId="77777777" w:rsidR="00F02481" w:rsidRPr="00BE78CA" w:rsidRDefault="00F02481" w:rsidP="00B4240E">
            <w:pPr>
              <w:pStyle w:val="TableText"/>
              <w:spacing w:before="40" w:after="30"/>
              <w:jc w:val="center"/>
              <w:rPr>
                <w:rFonts w:cs="Calibri"/>
                <w:szCs w:val="16"/>
              </w:rPr>
            </w:pPr>
            <w:r w:rsidRPr="00BE78CA">
              <w:t>107.4</w:t>
            </w:r>
          </w:p>
        </w:tc>
        <w:tc>
          <w:tcPr>
            <w:tcW w:w="1803" w:type="dxa"/>
            <w:tcBorders>
              <w:top w:val="single" w:sz="4" w:space="0" w:color="365F91"/>
              <w:bottom w:val="single" w:sz="4" w:space="0" w:color="365F91"/>
            </w:tcBorders>
            <w:noWrap/>
            <w:vAlign w:val="bottom"/>
          </w:tcPr>
          <w:p w14:paraId="3D46F2DA" w14:textId="77777777" w:rsidR="00F02481" w:rsidRPr="00BE78CA" w:rsidRDefault="00F02481" w:rsidP="00B4240E">
            <w:pPr>
              <w:pStyle w:val="TableText"/>
              <w:spacing w:before="40" w:after="30"/>
              <w:jc w:val="center"/>
            </w:pPr>
            <w:r w:rsidRPr="00BE78CA">
              <w:t>78.0</w:t>
            </w:r>
          </w:p>
        </w:tc>
        <w:tc>
          <w:tcPr>
            <w:tcW w:w="1819" w:type="dxa"/>
            <w:tcBorders>
              <w:top w:val="single" w:sz="4" w:space="0" w:color="365F91"/>
              <w:bottom w:val="single" w:sz="4" w:space="0" w:color="365F91"/>
            </w:tcBorders>
            <w:noWrap/>
            <w:vAlign w:val="bottom"/>
          </w:tcPr>
          <w:p w14:paraId="65DF5FE6" w14:textId="77777777" w:rsidR="00F02481" w:rsidRPr="00BE78CA" w:rsidRDefault="00F02481" w:rsidP="00B4240E">
            <w:pPr>
              <w:pStyle w:val="TableText"/>
              <w:spacing w:before="40" w:after="30"/>
              <w:jc w:val="center"/>
            </w:pPr>
            <w:r w:rsidRPr="00BE78CA">
              <w:t>16.9</w:t>
            </w:r>
          </w:p>
        </w:tc>
        <w:tc>
          <w:tcPr>
            <w:tcW w:w="1612" w:type="dxa"/>
            <w:tcBorders>
              <w:top w:val="single" w:sz="4" w:space="0" w:color="365F91"/>
              <w:bottom w:val="single" w:sz="4" w:space="0" w:color="365F91"/>
            </w:tcBorders>
            <w:noWrap/>
            <w:vAlign w:val="bottom"/>
          </w:tcPr>
          <w:p w14:paraId="456ED811" w14:textId="77777777" w:rsidR="00F02481" w:rsidRPr="00BE78CA" w:rsidRDefault="00F02481" w:rsidP="00B4240E">
            <w:pPr>
              <w:pStyle w:val="TableText"/>
              <w:spacing w:before="40" w:after="30"/>
              <w:jc w:val="center"/>
            </w:pPr>
            <w:r w:rsidRPr="00BE78CA">
              <w:t>30.9</w:t>
            </w:r>
          </w:p>
        </w:tc>
      </w:tr>
      <w:tr w:rsidR="00F02481" w:rsidRPr="00BE78CA" w14:paraId="7D12DDEB" w14:textId="77777777" w:rsidTr="00AD7A0E">
        <w:tc>
          <w:tcPr>
            <w:tcW w:w="1360" w:type="dxa"/>
            <w:tcBorders>
              <w:top w:val="single" w:sz="4" w:space="0" w:color="365F91"/>
              <w:bottom w:val="single" w:sz="4" w:space="0" w:color="365F91"/>
            </w:tcBorders>
            <w:noWrap/>
          </w:tcPr>
          <w:p w14:paraId="387D25D1" w14:textId="77777777" w:rsidR="00F02481" w:rsidRPr="00BE78CA" w:rsidRDefault="00F02481" w:rsidP="00B4240E">
            <w:pPr>
              <w:pStyle w:val="TableText"/>
              <w:spacing w:before="40" w:after="30"/>
              <w:rPr>
                <w:rFonts w:cs="Calibri"/>
                <w:szCs w:val="16"/>
              </w:rPr>
            </w:pPr>
            <w:r w:rsidRPr="00BE78CA">
              <w:rPr>
                <w:rFonts w:cs="Calibri"/>
                <w:szCs w:val="16"/>
              </w:rPr>
              <w:t>2003</w:t>
            </w:r>
          </w:p>
        </w:tc>
        <w:tc>
          <w:tcPr>
            <w:tcW w:w="1803" w:type="dxa"/>
            <w:tcBorders>
              <w:top w:val="single" w:sz="4" w:space="0" w:color="365F91"/>
              <w:bottom w:val="single" w:sz="4" w:space="0" w:color="365F91"/>
            </w:tcBorders>
            <w:noWrap/>
          </w:tcPr>
          <w:p w14:paraId="3420A382" w14:textId="77777777" w:rsidR="00F02481" w:rsidRPr="00BE78CA" w:rsidRDefault="00F02481" w:rsidP="00B4240E">
            <w:pPr>
              <w:pStyle w:val="TableText"/>
              <w:spacing w:before="40" w:after="30"/>
              <w:jc w:val="center"/>
              <w:rPr>
                <w:rFonts w:cs="Calibri"/>
                <w:szCs w:val="16"/>
              </w:rPr>
            </w:pPr>
            <w:r w:rsidRPr="00BE78CA">
              <w:t>111.2</w:t>
            </w:r>
          </w:p>
        </w:tc>
        <w:tc>
          <w:tcPr>
            <w:tcW w:w="1803" w:type="dxa"/>
            <w:tcBorders>
              <w:top w:val="single" w:sz="4" w:space="0" w:color="365F91"/>
              <w:bottom w:val="single" w:sz="4" w:space="0" w:color="365F91"/>
            </w:tcBorders>
            <w:noWrap/>
            <w:vAlign w:val="bottom"/>
          </w:tcPr>
          <w:p w14:paraId="632D913C" w14:textId="77777777" w:rsidR="00F02481" w:rsidRPr="00BE78CA" w:rsidRDefault="00F02481" w:rsidP="00B4240E">
            <w:pPr>
              <w:pStyle w:val="TableText"/>
              <w:spacing w:before="40" w:after="30"/>
              <w:jc w:val="center"/>
            </w:pPr>
            <w:r w:rsidRPr="00BE78CA">
              <w:t>77.7</w:t>
            </w:r>
          </w:p>
        </w:tc>
        <w:tc>
          <w:tcPr>
            <w:tcW w:w="1819" w:type="dxa"/>
            <w:tcBorders>
              <w:top w:val="single" w:sz="4" w:space="0" w:color="365F91"/>
              <w:bottom w:val="single" w:sz="4" w:space="0" w:color="365F91"/>
            </w:tcBorders>
            <w:noWrap/>
            <w:vAlign w:val="bottom"/>
          </w:tcPr>
          <w:p w14:paraId="662990EC" w14:textId="77777777" w:rsidR="00F02481" w:rsidRPr="00BE78CA" w:rsidRDefault="00F02481" w:rsidP="00B4240E">
            <w:pPr>
              <w:pStyle w:val="TableText"/>
              <w:spacing w:before="40" w:after="30"/>
              <w:jc w:val="center"/>
            </w:pPr>
            <w:r w:rsidRPr="00BE78CA">
              <w:t>16.9</w:t>
            </w:r>
          </w:p>
        </w:tc>
        <w:tc>
          <w:tcPr>
            <w:tcW w:w="1612" w:type="dxa"/>
            <w:tcBorders>
              <w:top w:val="single" w:sz="4" w:space="0" w:color="365F91"/>
              <w:bottom w:val="single" w:sz="4" w:space="0" w:color="365F91"/>
            </w:tcBorders>
            <w:noWrap/>
            <w:vAlign w:val="bottom"/>
          </w:tcPr>
          <w:p w14:paraId="63A99DAD" w14:textId="77777777" w:rsidR="00F02481" w:rsidRPr="00BE78CA" w:rsidRDefault="00F02481" w:rsidP="00B4240E">
            <w:pPr>
              <w:pStyle w:val="TableText"/>
              <w:spacing w:before="40" w:after="30"/>
              <w:jc w:val="center"/>
            </w:pPr>
            <w:r w:rsidRPr="00BE78CA">
              <w:t>30.7</w:t>
            </w:r>
          </w:p>
        </w:tc>
      </w:tr>
      <w:tr w:rsidR="00F02481" w:rsidRPr="00BE78CA" w14:paraId="2B3EEDC8" w14:textId="77777777" w:rsidTr="00AD7A0E">
        <w:tc>
          <w:tcPr>
            <w:tcW w:w="1360" w:type="dxa"/>
            <w:tcBorders>
              <w:top w:val="single" w:sz="4" w:space="0" w:color="365F91"/>
              <w:bottom w:val="single" w:sz="4" w:space="0" w:color="365F91"/>
            </w:tcBorders>
            <w:noWrap/>
          </w:tcPr>
          <w:p w14:paraId="57D88C09" w14:textId="77777777" w:rsidR="00F02481" w:rsidRPr="00BE78CA" w:rsidRDefault="00F02481" w:rsidP="00B4240E">
            <w:pPr>
              <w:pStyle w:val="TableText"/>
              <w:spacing w:before="40" w:after="30"/>
              <w:rPr>
                <w:rFonts w:cs="Calibri"/>
                <w:szCs w:val="16"/>
              </w:rPr>
            </w:pPr>
            <w:r w:rsidRPr="00BE78CA">
              <w:rPr>
                <w:rFonts w:cs="Calibri"/>
                <w:szCs w:val="16"/>
              </w:rPr>
              <w:t>2004</w:t>
            </w:r>
          </w:p>
        </w:tc>
        <w:tc>
          <w:tcPr>
            <w:tcW w:w="1803" w:type="dxa"/>
            <w:tcBorders>
              <w:top w:val="single" w:sz="4" w:space="0" w:color="365F91"/>
              <w:bottom w:val="single" w:sz="4" w:space="0" w:color="365F91"/>
            </w:tcBorders>
            <w:noWrap/>
          </w:tcPr>
          <w:p w14:paraId="2981254A" w14:textId="77777777" w:rsidR="00F02481" w:rsidRPr="00BE78CA" w:rsidRDefault="00F02481" w:rsidP="00B4240E">
            <w:pPr>
              <w:pStyle w:val="TableText"/>
              <w:spacing w:before="40" w:after="30"/>
              <w:jc w:val="center"/>
              <w:rPr>
                <w:rFonts w:cs="Calibri"/>
                <w:szCs w:val="16"/>
              </w:rPr>
            </w:pPr>
            <w:r w:rsidRPr="00BE78CA">
              <w:t>109.8</w:t>
            </w:r>
          </w:p>
        </w:tc>
        <w:tc>
          <w:tcPr>
            <w:tcW w:w="1803" w:type="dxa"/>
            <w:tcBorders>
              <w:top w:val="single" w:sz="4" w:space="0" w:color="365F91"/>
              <w:bottom w:val="single" w:sz="4" w:space="0" w:color="365F91"/>
            </w:tcBorders>
            <w:noWrap/>
            <w:vAlign w:val="bottom"/>
          </w:tcPr>
          <w:p w14:paraId="5A805090" w14:textId="77777777" w:rsidR="00F02481" w:rsidRPr="00BE78CA" w:rsidRDefault="00F02481" w:rsidP="00B4240E">
            <w:pPr>
              <w:pStyle w:val="TableText"/>
              <w:spacing w:before="40" w:after="30"/>
              <w:jc w:val="center"/>
            </w:pPr>
            <w:r w:rsidRPr="00BE78CA">
              <w:t>79.0</w:t>
            </w:r>
          </w:p>
        </w:tc>
        <w:tc>
          <w:tcPr>
            <w:tcW w:w="1819" w:type="dxa"/>
            <w:tcBorders>
              <w:top w:val="single" w:sz="4" w:space="0" w:color="365F91"/>
              <w:bottom w:val="single" w:sz="4" w:space="0" w:color="365F91"/>
            </w:tcBorders>
            <w:noWrap/>
            <w:vAlign w:val="bottom"/>
          </w:tcPr>
          <w:p w14:paraId="079F8580" w14:textId="77777777" w:rsidR="00F02481" w:rsidRPr="00BE78CA" w:rsidRDefault="00F02481" w:rsidP="00B4240E">
            <w:pPr>
              <w:pStyle w:val="TableText"/>
              <w:spacing w:before="40" w:after="30"/>
              <w:jc w:val="center"/>
            </w:pPr>
            <w:r w:rsidRPr="00BE78CA">
              <w:t>17.4</w:t>
            </w:r>
          </w:p>
        </w:tc>
        <w:tc>
          <w:tcPr>
            <w:tcW w:w="1612" w:type="dxa"/>
            <w:tcBorders>
              <w:top w:val="single" w:sz="4" w:space="0" w:color="365F91"/>
              <w:bottom w:val="single" w:sz="4" w:space="0" w:color="365F91"/>
            </w:tcBorders>
            <w:noWrap/>
            <w:vAlign w:val="bottom"/>
          </w:tcPr>
          <w:p w14:paraId="0DD1232B" w14:textId="77777777" w:rsidR="00F02481" w:rsidRPr="00BE78CA" w:rsidRDefault="00F02481" w:rsidP="00B4240E">
            <w:pPr>
              <w:pStyle w:val="TableText"/>
              <w:spacing w:before="40" w:after="30"/>
              <w:jc w:val="center"/>
            </w:pPr>
            <w:r w:rsidRPr="00BE78CA">
              <w:t>31.0</w:t>
            </w:r>
          </w:p>
        </w:tc>
      </w:tr>
      <w:tr w:rsidR="00F02481" w:rsidRPr="00BE78CA" w14:paraId="33E8FB24" w14:textId="77777777" w:rsidTr="00AD7A0E">
        <w:tc>
          <w:tcPr>
            <w:tcW w:w="1360" w:type="dxa"/>
            <w:tcBorders>
              <w:top w:val="single" w:sz="4" w:space="0" w:color="365F91"/>
              <w:bottom w:val="single" w:sz="4" w:space="0" w:color="365F91"/>
            </w:tcBorders>
            <w:noWrap/>
          </w:tcPr>
          <w:p w14:paraId="2834DE3C" w14:textId="77777777" w:rsidR="00F02481" w:rsidRPr="00BE78CA" w:rsidRDefault="00F02481" w:rsidP="00B4240E">
            <w:pPr>
              <w:pStyle w:val="TableText"/>
              <w:spacing w:before="40" w:after="30"/>
              <w:rPr>
                <w:rFonts w:cs="Calibri"/>
                <w:szCs w:val="16"/>
              </w:rPr>
            </w:pPr>
            <w:r w:rsidRPr="00BE78CA">
              <w:rPr>
                <w:rFonts w:cs="Calibri"/>
                <w:szCs w:val="16"/>
              </w:rPr>
              <w:t>2005</w:t>
            </w:r>
          </w:p>
        </w:tc>
        <w:tc>
          <w:tcPr>
            <w:tcW w:w="1803" w:type="dxa"/>
            <w:tcBorders>
              <w:top w:val="single" w:sz="4" w:space="0" w:color="365F91"/>
              <w:bottom w:val="single" w:sz="4" w:space="0" w:color="365F91"/>
            </w:tcBorders>
            <w:noWrap/>
          </w:tcPr>
          <w:p w14:paraId="0F3E6FB4" w14:textId="77777777" w:rsidR="00F02481" w:rsidRPr="00BE78CA" w:rsidRDefault="00F02481" w:rsidP="00B4240E">
            <w:pPr>
              <w:pStyle w:val="TableText"/>
              <w:spacing w:before="40" w:after="30"/>
              <w:jc w:val="center"/>
              <w:rPr>
                <w:rFonts w:cs="Calibri"/>
                <w:szCs w:val="16"/>
              </w:rPr>
            </w:pPr>
            <w:r w:rsidRPr="00BE78CA">
              <w:t>110.4</w:t>
            </w:r>
          </w:p>
        </w:tc>
        <w:tc>
          <w:tcPr>
            <w:tcW w:w="1803" w:type="dxa"/>
            <w:tcBorders>
              <w:top w:val="single" w:sz="4" w:space="0" w:color="365F91"/>
              <w:bottom w:val="single" w:sz="4" w:space="0" w:color="365F91"/>
            </w:tcBorders>
            <w:noWrap/>
            <w:vAlign w:val="bottom"/>
          </w:tcPr>
          <w:p w14:paraId="694FFFF0" w14:textId="77777777" w:rsidR="00F02481" w:rsidRPr="00BE78CA" w:rsidRDefault="00F02481" w:rsidP="00B4240E">
            <w:pPr>
              <w:pStyle w:val="TableText"/>
              <w:spacing w:before="40" w:after="30"/>
              <w:jc w:val="center"/>
            </w:pPr>
            <w:r w:rsidRPr="00BE78CA">
              <w:t>80.0</w:t>
            </w:r>
          </w:p>
        </w:tc>
        <w:tc>
          <w:tcPr>
            <w:tcW w:w="1819" w:type="dxa"/>
            <w:tcBorders>
              <w:top w:val="single" w:sz="4" w:space="0" w:color="365F91"/>
              <w:bottom w:val="single" w:sz="4" w:space="0" w:color="365F91"/>
            </w:tcBorders>
            <w:noWrap/>
            <w:vAlign w:val="bottom"/>
          </w:tcPr>
          <w:p w14:paraId="3D1A9931" w14:textId="77777777" w:rsidR="00F02481" w:rsidRPr="00BE78CA" w:rsidRDefault="00F02481" w:rsidP="00B4240E">
            <w:pPr>
              <w:pStyle w:val="TableText"/>
              <w:spacing w:before="40" w:after="30"/>
              <w:jc w:val="center"/>
            </w:pPr>
            <w:r w:rsidRPr="00BE78CA">
              <w:t>17.6</w:t>
            </w:r>
          </w:p>
        </w:tc>
        <w:tc>
          <w:tcPr>
            <w:tcW w:w="1612" w:type="dxa"/>
            <w:tcBorders>
              <w:top w:val="single" w:sz="4" w:space="0" w:color="365F91"/>
              <w:bottom w:val="single" w:sz="4" w:space="0" w:color="365F91"/>
            </w:tcBorders>
            <w:noWrap/>
            <w:vAlign w:val="bottom"/>
          </w:tcPr>
          <w:p w14:paraId="4073C212" w14:textId="77777777" w:rsidR="00F02481" w:rsidRPr="00BE78CA" w:rsidRDefault="00F02481" w:rsidP="00B4240E">
            <w:pPr>
              <w:pStyle w:val="TableText"/>
              <w:spacing w:before="40" w:after="30"/>
              <w:jc w:val="center"/>
            </w:pPr>
            <w:r w:rsidRPr="00BE78CA">
              <w:t>31.3</w:t>
            </w:r>
          </w:p>
        </w:tc>
      </w:tr>
      <w:tr w:rsidR="00F02481" w:rsidRPr="00BE78CA" w14:paraId="10FFE08E" w14:textId="77777777" w:rsidTr="00AD7A0E">
        <w:tc>
          <w:tcPr>
            <w:tcW w:w="1360" w:type="dxa"/>
            <w:tcBorders>
              <w:top w:val="single" w:sz="4" w:space="0" w:color="365F91"/>
              <w:bottom w:val="single" w:sz="4" w:space="0" w:color="365F91"/>
            </w:tcBorders>
            <w:noWrap/>
          </w:tcPr>
          <w:p w14:paraId="0BF75C50" w14:textId="77777777" w:rsidR="00F02481" w:rsidRPr="00BE78CA" w:rsidRDefault="00F02481" w:rsidP="00B4240E">
            <w:pPr>
              <w:pStyle w:val="TableText"/>
              <w:spacing w:before="40" w:after="30"/>
              <w:rPr>
                <w:rFonts w:cs="Calibri"/>
                <w:szCs w:val="16"/>
              </w:rPr>
            </w:pPr>
            <w:r w:rsidRPr="00BE78CA">
              <w:rPr>
                <w:rFonts w:cs="Calibri"/>
                <w:szCs w:val="16"/>
              </w:rPr>
              <w:t>2006</w:t>
            </w:r>
          </w:p>
        </w:tc>
        <w:tc>
          <w:tcPr>
            <w:tcW w:w="1803" w:type="dxa"/>
            <w:tcBorders>
              <w:top w:val="single" w:sz="4" w:space="0" w:color="365F91"/>
              <w:bottom w:val="single" w:sz="4" w:space="0" w:color="365F91"/>
            </w:tcBorders>
            <w:noWrap/>
          </w:tcPr>
          <w:p w14:paraId="2B9D2070" w14:textId="77777777" w:rsidR="00F02481" w:rsidRPr="00BE78CA" w:rsidRDefault="00F02481" w:rsidP="00B4240E">
            <w:pPr>
              <w:pStyle w:val="TableText"/>
              <w:spacing w:before="40" w:after="30"/>
              <w:jc w:val="center"/>
              <w:rPr>
                <w:rFonts w:cs="Calibri"/>
                <w:szCs w:val="16"/>
              </w:rPr>
            </w:pPr>
            <w:r w:rsidRPr="00BE78CA">
              <w:t>109.6</w:t>
            </w:r>
          </w:p>
        </w:tc>
        <w:tc>
          <w:tcPr>
            <w:tcW w:w="1803" w:type="dxa"/>
            <w:tcBorders>
              <w:top w:val="single" w:sz="4" w:space="0" w:color="365F91"/>
              <w:bottom w:val="single" w:sz="4" w:space="0" w:color="365F91"/>
            </w:tcBorders>
            <w:noWrap/>
            <w:vAlign w:val="bottom"/>
          </w:tcPr>
          <w:p w14:paraId="45F22514" w14:textId="77777777" w:rsidR="00F02481" w:rsidRPr="00BE78CA" w:rsidRDefault="00F02481" w:rsidP="00B4240E">
            <w:pPr>
              <w:pStyle w:val="TableText"/>
              <w:spacing w:before="40" w:after="30"/>
              <w:jc w:val="center"/>
            </w:pPr>
            <w:r w:rsidRPr="00BE78CA">
              <w:t>81.5</w:t>
            </w:r>
          </w:p>
        </w:tc>
        <w:tc>
          <w:tcPr>
            <w:tcW w:w="1819" w:type="dxa"/>
            <w:tcBorders>
              <w:top w:val="single" w:sz="4" w:space="0" w:color="365F91"/>
              <w:bottom w:val="single" w:sz="4" w:space="0" w:color="365F91"/>
            </w:tcBorders>
            <w:noWrap/>
            <w:vAlign w:val="bottom"/>
          </w:tcPr>
          <w:p w14:paraId="75855989" w14:textId="77777777" w:rsidR="00F02481" w:rsidRPr="00BE78CA" w:rsidRDefault="00F02481" w:rsidP="00B4240E">
            <w:pPr>
              <w:pStyle w:val="TableText"/>
              <w:spacing w:before="40" w:after="30"/>
              <w:jc w:val="center"/>
            </w:pPr>
            <w:r w:rsidRPr="00BE78CA">
              <w:t>17.3</w:t>
            </w:r>
          </w:p>
        </w:tc>
        <w:tc>
          <w:tcPr>
            <w:tcW w:w="1612" w:type="dxa"/>
            <w:tcBorders>
              <w:top w:val="single" w:sz="4" w:space="0" w:color="365F91"/>
              <w:bottom w:val="single" w:sz="4" w:space="0" w:color="365F91"/>
            </w:tcBorders>
            <w:noWrap/>
            <w:vAlign w:val="bottom"/>
          </w:tcPr>
          <w:p w14:paraId="17C8E4D8" w14:textId="77777777" w:rsidR="00F02481" w:rsidRPr="00BE78CA" w:rsidRDefault="00F02481" w:rsidP="00B4240E">
            <w:pPr>
              <w:pStyle w:val="TableText"/>
              <w:spacing w:before="40" w:after="30"/>
              <w:jc w:val="center"/>
            </w:pPr>
            <w:r w:rsidRPr="00BE78CA">
              <w:t>31.5</w:t>
            </w:r>
          </w:p>
        </w:tc>
      </w:tr>
      <w:tr w:rsidR="00F02481" w:rsidRPr="00BE78CA" w14:paraId="708911C2" w14:textId="77777777" w:rsidTr="00AD7A0E">
        <w:tc>
          <w:tcPr>
            <w:tcW w:w="1360" w:type="dxa"/>
            <w:tcBorders>
              <w:top w:val="single" w:sz="4" w:space="0" w:color="365F91"/>
              <w:bottom w:val="single" w:sz="4" w:space="0" w:color="365F91"/>
            </w:tcBorders>
            <w:noWrap/>
          </w:tcPr>
          <w:p w14:paraId="43564FE6" w14:textId="77777777" w:rsidR="00F02481" w:rsidRPr="00BE78CA" w:rsidRDefault="00F02481" w:rsidP="00B4240E">
            <w:pPr>
              <w:pStyle w:val="TableText"/>
              <w:spacing w:before="40" w:after="30"/>
              <w:rPr>
                <w:rFonts w:cs="Calibri"/>
                <w:szCs w:val="16"/>
              </w:rPr>
            </w:pPr>
            <w:r w:rsidRPr="00BE78CA">
              <w:rPr>
                <w:rFonts w:cs="Calibri"/>
                <w:szCs w:val="16"/>
              </w:rPr>
              <w:t>2007</w:t>
            </w:r>
          </w:p>
        </w:tc>
        <w:tc>
          <w:tcPr>
            <w:tcW w:w="1803" w:type="dxa"/>
            <w:tcBorders>
              <w:top w:val="single" w:sz="4" w:space="0" w:color="365F91"/>
              <w:bottom w:val="single" w:sz="4" w:space="0" w:color="365F91"/>
            </w:tcBorders>
            <w:noWrap/>
          </w:tcPr>
          <w:p w14:paraId="6143F9C1" w14:textId="77777777" w:rsidR="00F02481" w:rsidRPr="00BE78CA" w:rsidRDefault="00F02481" w:rsidP="00B4240E">
            <w:pPr>
              <w:pStyle w:val="TableText"/>
              <w:spacing w:before="40" w:after="30"/>
              <w:jc w:val="center"/>
              <w:rPr>
                <w:rFonts w:cs="Calibri"/>
                <w:szCs w:val="16"/>
              </w:rPr>
            </w:pPr>
            <w:r w:rsidRPr="00BE78CA">
              <w:t>108.3</w:t>
            </w:r>
          </w:p>
        </w:tc>
        <w:tc>
          <w:tcPr>
            <w:tcW w:w="1803" w:type="dxa"/>
            <w:tcBorders>
              <w:top w:val="single" w:sz="4" w:space="0" w:color="365F91"/>
              <w:bottom w:val="single" w:sz="4" w:space="0" w:color="365F91"/>
            </w:tcBorders>
            <w:noWrap/>
            <w:vAlign w:val="bottom"/>
          </w:tcPr>
          <w:p w14:paraId="07D13ABB" w14:textId="77777777" w:rsidR="00F02481" w:rsidRPr="00BE78CA" w:rsidRDefault="00F02481" w:rsidP="00B4240E">
            <w:pPr>
              <w:pStyle w:val="TableText"/>
              <w:spacing w:before="40" w:after="30"/>
              <w:jc w:val="center"/>
            </w:pPr>
            <w:r w:rsidRPr="00BE78CA">
              <w:t>80.3</w:t>
            </w:r>
          </w:p>
        </w:tc>
        <w:tc>
          <w:tcPr>
            <w:tcW w:w="1819" w:type="dxa"/>
            <w:tcBorders>
              <w:top w:val="single" w:sz="4" w:space="0" w:color="365F91"/>
              <w:bottom w:val="single" w:sz="4" w:space="0" w:color="365F91"/>
            </w:tcBorders>
            <w:noWrap/>
            <w:vAlign w:val="bottom"/>
          </w:tcPr>
          <w:p w14:paraId="00C6D4B4" w14:textId="77777777" w:rsidR="00F02481" w:rsidRPr="00BE78CA" w:rsidRDefault="00F02481" w:rsidP="00B4240E">
            <w:pPr>
              <w:pStyle w:val="TableText"/>
              <w:spacing w:before="40" w:after="30"/>
              <w:jc w:val="center"/>
            </w:pPr>
            <w:r w:rsidRPr="00BE78CA">
              <w:t>16.9</w:t>
            </w:r>
          </w:p>
        </w:tc>
        <w:tc>
          <w:tcPr>
            <w:tcW w:w="1612" w:type="dxa"/>
            <w:tcBorders>
              <w:top w:val="single" w:sz="4" w:space="0" w:color="365F91"/>
              <w:bottom w:val="single" w:sz="4" w:space="0" w:color="365F91"/>
            </w:tcBorders>
            <w:noWrap/>
            <w:vAlign w:val="bottom"/>
          </w:tcPr>
          <w:p w14:paraId="66DABCC7" w14:textId="77777777" w:rsidR="00F02481" w:rsidRPr="00BE78CA" w:rsidRDefault="00F02481" w:rsidP="00B4240E">
            <w:pPr>
              <w:pStyle w:val="TableText"/>
              <w:spacing w:before="40" w:after="30"/>
              <w:jc w:val="center"/>
            </w:pPr>
            <w:r w:rsidRPr="00BE78CA">
              <w:t>31.6</w:t>
            </w:r>
          </w:p>
        </w:tc>
      </w:tr>
      <w:tr w:rsidR="00F02481" w:rsidRPr="00BE78CA" w14:paraId="2DF34C51" w14:textId="77777777" w:rsidTr="00AD7A0E">
        <w:tc>
          <w:tcPr>
            <w:tcW w:w="1360" w:type="dxa"/>
            <w:tcBorders>
              <w:top w:val="single" w:sz="4" w:space="0" w:color="365F91"/>
              <w:bottom w:val="single" w:sz="4" w:space="0" w:color="365F91"/>
            </w:tcBorders>
            <w:noWrap/>
          </w:tcPr>
          <w:p w14:paraId="557B2142" w14:textId="77777777" w:rsidR="00F02481" w:rsidRPr="00BE78CA" w:rsidRDefault="00F02481" w:rsidP="00B4240E">
            <w:pPr>
              <w:pStyle w:val="TableText"/>
              <w:spacing w:before="40" w:after="30"/>
              <w:rPr>
                <w:rFonts w:cs="Calibri"/>
                <w:szCs w:val="16"/>
              </w:rPr>
            </w:pPr>
            <w:r w:rsidRPr="00BE78CA">
              <w:rPr>
                <w:rFonts w:cs="Calibri"/>
                <w:szCs w:val="16"/>
              </w:rPr>
              <w:t>2008</w:t>
            </w:r>
          </w:p>
        </w:tc>
        <w:tc>
          <w:tcPr>
            <w:tcW w:w="1803" w:type="dxa"/>
            <w:tcBorders>
              <w:top w:val="single" w:sz="4" w:space="0" w:color="365F91"/>
              <w:bottom w:val="single" w:sz="4" w:space="0" w:color="365F91"/>
            </w:tcBorders>
            <w:noWrap/>
          </w:tcPr>
          <w:p w14:paraId="6FB7BC76" w14:textId="77777777" w:rsidR="00F02481" w:rsidRPr="00BE78CA" w:rsidRDefault="00F02481" w:rsidP="00B4240E">
            <w:pPr>
              <w:pStyle w:val="TableText"/>
              <w:spacing w:before="40" w:after="30"/>
              <w:jc w:val="center"/>
              <w:rPr>
                <w:rFonts w:cs="Calibri"/>
                <w:szCs w:val="16"/>
              </w:rPr>
            </w:pPr>
            <w:r w:rsidRPr="00BE78CA">
              <w:t>106.8</w:t>
            </w:r>
          </w:p>
        </w:tc>
        <w:tc>
          <w:tcPr>
            <w:tcW w:w="1803" w:type="dxa"/>
            <w:tcBorders>
              <w:top w:val="single" w:sz="4" w:space="0" w:color="365F91"/>
              <w:bottom w:val="single" w:sz="4" w:space="0" w:color="365F91"/>
            </w:tcBorders>
            <w:noWrap/>
            <w:vAlign w:val="bottom"/>
          </w:tcPr>
          <w:p w14:paraId="76C5F2C0" w14:textId="77777777" w:rsidR="00F02481" w:rsidRPr="00BE78CA" w:rsidRDefault="00F02481" w:rsidP="00B4240E">
            <w:pPr>
              <w:pStyle w:val="TableText"/>
              <w:spacing w:before="40" w:after="30"/>
              <w:jc w:val="center"/>
            </w:pPr>
            <w:r w:rsidRPr="00BE78CA">
              <w:t>79.7</w:t>
            </w:r>
          </w:p>
        </w:tc>
        <w:tc>
          <w:tcPr>
            <w:tcW w:w="1819" w:type="dxa"/>
            <w:tcBorders>
              <w:top w:val="single" w:sz="4" w:space="0" w:color="365F91"/>
              <w:bottom w:val="single" w:sz="4" w:space="0" w:color="365F91"/>
            </w:tcBorders>
            <w:noWrap/>
            <w:vAlign w:val="bottom"/>
          </w:tcPr>
          <w:p w14:paraId="22FEA191" w14:textId="77777777" w:rsidR="00F02481" w:rsidRPr="00BE78CA" w:rsidRDefault="00F02481" w:rsidP="00B4240E">
            <w:pPr>
              <w:pStyle w:val="TableText"/>
              <w:spacing w:before="40" w:after="30"/>
              <w:jc w:val="center"/>
            </w:pPr>
            <w:r w:rsidRPr="00BE78CA">
              <w:t>17.3</w:t>
            </w:r>
          </w:p>
        </w:tc>
        <w:tc>
          <w:tcPr>
            <w:tcW w:w="1612" w:type="dxa"/>
            <w:tcBorders>
              <w:top w:val="single" w:sz="4" w:space="0" w:color="365F91"/>
              <w:bottom w:val="single" w:sz="4" w:space="0" w:color="365F91"/>
            </w:tcBorders>
            <w:noWrap/>
            <w:vAlign w:val="bottom"/>
          </w:tcPr>
          <w:p w14:paraId="1D890E38" w14:textId="77777777" w:rsidR="00F02481" w:rsidRPr="00BE78CA" w:rsidRDefault="00F02481" w:rsidP="00B4240E">
            <w:pPr>
              <w:pStyle w:val="TableText"/>
              <w:spacing w:before="40" w:after="30"/>
              <w:jc w:val="center"/>
            </w:pPr>
            <w:r w:rsidRPr="00BE78CA">
              <w:t>31.6</w:t>
            </w:r>
          </w:p>
        </w:tc>
      </w:tr>
      <w:tr w:rsidR="00F02481" w:rsidRPr="00BE78CA" w14:paraId="11E4A09F" w14:textId="77777777" w:rsidTr="00AD7A0E">
        <w:tc>
          <w:tcPr>
            <w:tcW w:w="1360" w:type="dxa"/>
            <w:tcBorders>
              <w:top w:val="single" w:sz="4" w:space="0" w:color="365F91"/>
              <w:bottom w:val="single" w:sz="4" w:space="0" w:color="365F91"/>
            </w:tcBorders>
            <w:noWrap/>
          </w:tcPr>
          <w:p w14:paraId="69C38E53" w14:textId="77777777" w:rsidR="00F02481" w:rsidRPr="00BE78CA" w:rsidRDefault="00F02481" w:rsidP="00B4240E">
            <w:pPr>
              <w:pStyle w:val="TableText"/>
              <w:spacing w:before="40" w:after="30"/>
              <w:rPr>
                <w:rFonts w:cs="Calibri"/>
                <w:szCs w:val="16"/>
              </w:rPr>
            </w:pPr>
            <w:r w:rsidRPr="00BE78CA">
              <w:rPr>
                <w:rFonts w:cs="Calibri"/>
                <w:szCs w:val="16"/>
              </w:rPr>
              <w:t>2009</w:t>
            </w:r>
          </w:p>
        </w:tc>
        <w:tc>
          <w:tcPr>
            <w:tcW w:w="1803" w:type="dxa"/>
            <w:tcBorders>
              <w:top w:val="single" w:sz="4" w:space="0" w:color="365F91"/>
              <w:bottom w:val="single" w:sz="4" w:space="0" w:color="365F91"/>
            </w:tcBorders>
            <w:noWrap/>
          </w:tcPr>
          <w:p w14:paraId="0E37EA43" w14:textId="77777777" w:rsidR="00F02481" w:rsidRPr="00BE78CA" w:rsidRDefault="00F02481" w:rsidP="00B4240E">
            <w:pPr>
              <w:pStyle w:val="TableText"/>
              <w:spacing w:before="40" w:after="30"/>
              <w:jc w:val="center"/>
              <w:rPr>
                <w:rFonts w:cs="Calibri"/>
                <w:szCs w:val="16"/>
              </w:rPr>
            </w:pPr>
            <w:r w:rsidRPr="00BE78CA">
              <w:t>107.5</w:t>
            </w:r>
          </w:p>
        </w:tc>
        <w:tc>
          <w:tcPr>
            <w:tcW w:w="1803" w:type="dxa"/>
            <w:tcBorders>
              <w:top w:val="single" w:sz="4" w:space="0" w:color="365F91"/>
              <w:bottom w:val="single" w:sz="4" w:space="0" w:color="365F91"/>
            </w:tcBorders>
            <w:noWrap/>
            <w:vAlign w:val="bottom"/>
          </w:tcPr>
          <w:p w14:paraId="1222B33B" w14:textId="77777777" w:rsidR="00F02481" w:rsidRPr="00BE78CA" w:rsidRDefault="00F02481" w:rsidP="00B4240E">
            <w:pPr>
              <w:pStyle w:val="TableText"/>
              <w:spacing w:before="40" w:after="30"/>
              <w:jc w:val="center"/>
            </w:pPr>
            <w:r w:rsidRPr="00BE78CA">
              <w:t>79.1</w:t>
            </w:r>
          </w:p>
        </w:tc>
        <w:tc>
          <w:tcPr>
            <w:tcW w:w="1819" w:type="dxa"/>
            <w:tcBorders>
              <w:top w:val="single" w:sz="4" w:space="0" w:color="365F91"/>
              <w:bottom w:val="single" w:sz="4" w:space="0" w:color="365F91"/>
            </w:tcBorders>
            <w:noWrap/>
            <w:vAlign w:val="bottom"/>
          </w:tcPr>
          <w:p w14:paraId="58429C53" w14:textId="77777777" w:rsidR="00F02481" w:rsidRPr="00BE78CA" w:rsidRDefault="00F02481" w:rsidP="00B4240E">
            <w:pPr>
              <w:pStyle w:val="TableText"/>
              <w:spacing w:before="40" w:after="30"/>
              <w:jc w:val="center"/>
            </w:pPr>
            <w:r w:rsidRPr="00BE78CA">
              <w:t>17.8</w:t>
            </w:r>
          </w:p>
        </w:tc>
        <w:tc>
          <w:tcPr>
            <w:tcW w:w="1612" w:type="dxa"/>
            <w:tcBorders>
              <w:top w:val="single" w:sz="4" w:space="0" w:color="365F91"/>
              <w:bottom w:val="single" w:sz="4" w:space="0" w:color="365F91"/>
            </w:tcBorders>
            <w:noWrap/>
            <w:vAlign w:val="bottom"/>
          </w:tcPr>
          <w:p w14:paraId="0E73F758" w14:textId="77777777" w:rsidR="00F02481" w:rsidRPr="00BE78CA" w:rsidRDefault="00F02481" w:rsidP="00B4240E">
            <w:pPr>
              <w:pStyle w:val="TableText"/>
              <w:spacing w:before="40" w:after="30"/>
              <w:jc w:val="center"/>
            </w:pPr>
            <w:r w:rsidRPr="00BE78CA">
              <w:t>31.7</w:t>
            </w:r>
          </w:p>
        </w:tc>
      </w:tr>
      <w:tr w:rsidR="00F02481" w:rsidRPr="00BE78CA" w14:paraId="4676E5DC" w14:textId="77777777" w:rsidTr="00AD7A0E">
        <w:tc>
          <w:tcPr>
            <w:tcW w:w="1360" w:type="dxa"/>
            <w:tcBorders>
              <w:top w:val="single" w:sz="4" w:space="0" w:color="365F91"/>
              <w:bottom w:val="single" w:sz="4" w:space="0" w:color="365F91"/>
            </w:tcBorders>
            <w:noWrap/>
          </w:tcPr>
          <w:p w14:paraId="0AF2A957" w14:textId="77777777" w:rsidR="00F02481" w:rsidRPr="00BE78CA" w:rsidRDefault="00F02481" w:rsidP="00B4240E">
            <w:pPr>
              <w:pStyle w:val="TableText"/>
              <w:spacing w:before="40" w:after="30"/>
              <w:rPr>
                <w:rFonts w:cs="Calibri"/>
                <w:szCs w:val="16"/>
              </w:rPr>
            </w:pPr>
            <w:r w:rsidRPr="00BE78CA">
              <w:rPr>
                <w:rFonts w:cs="Calibri"/>
                <w:szCs w:val="16"/>
              </w:rPr>
              <w:t>2010</w:t>
            </w:r>
          </w:p>
        </w:tc>
        <w:tc>
          <w:tcPr>
            <w:tcW w:w="1803" w:type="dxa"/>
            <w:tcBorders>
              <w:top w:val="single" w:sz="4" w:space="0" w:color="365F91"/>
              <w:bottom w:val="single" w:sz="4" w:space="0" w:color="365F91"/>
            </w:tcBorders>
            <w:noWrap/>
          </w:tcPr>
          <w:p w14:paraId="1A571D37" w14:textId="77777777" w:rsidR="00F02481" w:rsidRPr="00BE78CA" w:rsidRDefault="00F02481" w:rsidP="00B4240E">
            <w:pPr>
              <w:pStyle w:val="TableText"/>
              <w:spacing w:before="40" w:after="30"/>
              <w:jc w:val="center"/>
              <w:rPr>
                <w:rFonts w:cs="Calibri"/>
                <w:szCs w:val="16"/>
              </w:rPr>
            </w:pPr>
            <w:r w:rsidRPr="00BE78CA">
              <w:t>110.0</w:t>
            </w:r>
          </w:p>
        </w:tc>
        <w:tc>
          <w:tcPr>
            <w:tcW w:w="1803" w:type="dxa"/>
            <w:tcBorders>
              <w:top w:val="single" w:sz="4" w:space="0" w:color="365F91"/>
              <w:bottom w:val="single" w:sz="4" w:space="0" w:color="365F91"/>
            </w:tcBorders>
            <w:noWrap/>
            <w:vAlign w:val="bottom"/>
          </w:tcPr>
          <w:p w14:paraId="1B0879B6" w14:textId="77777777" w:rsidR="00F02481" w:rsidRPr="00BE78CA" w:rsidRDefault="00F02481" w:rsidP="00B4240E">
            <w:pPr>
              <w:pStyle w:val="TableText"/>
              <w:spacing w:before="40" w:after="30"/>
              <w:jc w:val="center"/>
            </w:pPr>
            <w:r w:rsidRPr="00BE78CA">
              <w:t>78.9</w:t>
            </w:r>
          </w:p>
        </w:tc>
        <w:tc>
          <w:tcPr>
            <w:tcW w:w="1819" w:type="dxa"/>
            <w:tcBorders>
              <w:top w:val="single" w:sz="4" w:space="0" w:color="365F91"/>
              <w:bottom w:val="single" w:sz="4" w:space="0" w:color="365F91"/>
            </w:tcBorders>
            <w:noWrap/>
            <w:vAlign w:val="bottom"/>
          </w:tcPr>
          <w:p w14:paraId="2F31ED78" w14:textId="77777777" w:rsidR="00F02481" w:rsidRPr="00BE78CA" w:rsidRDefault="00F02481" w:rsidP="00B4240E">
            <w:pPr>
              <w:pStyle w:val="TableText"/>
              <w:spacing w:before="40" w:after="30"/>
              <w:jc w:val="center"/>
            </w:pPr>
            <w:r w:rsidRPr="00BE78CA">
              <w:t>17.2</w:t>
            </w:r>
          </w:p>
        </w:tc>
        <w:tc>
          <w:tcPr>
            <w:tcW w:w="1612" w:type="dxa"/>
            <w:tcBorders>
              <w:top w:val="single" w:sz="4" w:space="0" w:color="365F91"/>
              <w:bottom w:val="single" w:sz="4" w:space="0" w:color="365F91"/>
            </w:tcBorders>
            <w:noWrap/>
            <w:vAlign w:val="bottom"/>
          </w:tcPr>
          <w:p w14:paraId="296FF0D5" w14:textId="77777777" w:rsidR="00F02481" w:rsidRPr="00BE78CA" w:rsidRDefault="00F02481" w:rsidP="00B4240E">
            <w:pPr>
              <w:pStyle w:val="TableText"/>
              <w:spacing w:before="40" w:after="30"/>
              <w:jc w:val="center"/>
            </w:pPr>
            <w:r w:rsidRPr="00BE78CA">
              <w:t>31.6</w:t>
            </w:r>
          </w:p>
        </w:tc>
      </w:tr>
      <w:tr w:rsidR="00F02481" w:rsidRPr="00BE78CA" w14:paraId="2B289B0D" w14:textId="77777777" w:rsidTr="00AD7A0E">
        <w:tc>
          <w:tcPr>
            <w:tcW w:w="1360" w:type="dxa"/>
            <w:tcBorders>
              <w:top w:val="single" w:sz="4" w:space="0" w:color="365F91"/>
              <w:bottom w:val="single" w:sz="4" w:space="0" w:color="365F91"/>
            </w:tcBorders>
            <w:noWrap/>
          </w:tcPr>
          <w:p w14:paraId="5A5CF187" w14:textId="77777777" w:rsidR="00F02481" w:rsidRPr="00BE78CA" w:rsidRDefault="00F02481" w:rsidP="00B4240E">
            <w:pPr>
              <w:pStyle w:val="TableText"/>
              <w:spacing w:before="40" w:after="30"/>
              <w:rPr>
                <w:rFonts w:cs="Calibri"/>
                <w:szCs w:val="16"/>
              </w:rPr>
            </w:pPr>
            <w:r w:rsidRPr="00BE78CA">
              <w:rPr>
                <w:rFonts w:cs="Calibri"/>
                <w:szCs w:val="16"/>
              </w:rPr>
              <w:t>2011</w:t>
            </w:r>
          </w:p>
        </w:tc>
        <w:tc>
          <w:tcPr>
            <w:tcW w:w="1803" w:type="dxa"/>
            <w:tcBorders>
              <w:top w:val="single" w:sz="4" w:space="0" w:color="365F91"/>
              <w:bottom w:val="single" w:sz="4" w:space="0" w:color="365F91"/>
            </w:tcBorders>
            <w:noWrap/>
          </w:tcPr>
          <w:p w14:paraId="3AAAA242" w14:textId="77777777" w:rsidR="00F02481" w:rsidRPr="00BE78CA" w:rsidRDefault="00F02481" w:rsidP="00B4240E">
            <w:pPr>
              <w:pStyle w:val="TableText"/>
              <w:spacing w:before="40" w:after="30"/>
              <w:jc w:val="center"/>
              <w:rPr>
                <w:rFonts w:cs="Calibri"/>
                <w:szCs w:val="16"/>
              </w:rPr>
            </w:pPr>
            <w:r w:rsidRPr="00BE78CA">
              <w:t>110.9</w:t>
            </w:r>
          </w:p>
        </w:tc>
        <w:tc>
          <w:tcPr>
            <w:tcW w:w="1803" w:type="dxa"/>
            <w:tcBorders>
              <w:top w:val="single" w:sz="4" w:space="0" w:color="365F91"/>
              <w:bottom w:val="single" w:sz="4" w:space="0" w:color="365F91"/>
            </w:tcBorders>
            <w:noWrap/>
            <w:vAlign w:val="bottom"/>
          </w:tcPr>
          <w:p w14:paraId="3F1F8C21" w14:textId="77777777" w:rsidR="00F02481" w:rsidRPr="00BE78CA" w:rsidRDefault="00F02481" w:rsidP="00B4240E">
            <w:pPr>
              <w:pStyle w:val="TableText"/>
              <w:spacing w:before="40" w:after="30"/>
              <w:jc w:val="center"/>
            </w:pPr>
            <w:r w:rsidRPr="00BE78CA">
              <w:t>80.1</w:t>
            </w:r>
          </w:p>
        </w:tc>
        <w:tc>
          <w:tcPr>
            <w:tcW w:w="1819" w:type="dxa"/>
            <w:tcBorders>
              <w:top w:val="single" w:sz="4" w:space="0" w:color="365F91"/>
              <w:bottom w:val="single" w:sz="4" w:space="0" w:color="365F91"/>
            </w:tcBorders>
            <w:noWrap/>
            <w:vAlign w:val="bottom"/>
          </w:tcPr>
          <w:p w14:paraId="384F92C6" w14:textId="77777777" w:rsidR="00F02481" w:rsidRPr="00BE78CA" w:rsidRDefault="00F02481" w:rsidP="00B4240E">
            <w:pPr>
              <w:pStyle w:val="TableText"/>
              <w:spacing w:before="40" w:after="30"/>
              <w:jc w:val="center"/>
            </w:pPr>
            <w:r w:rsidRPr="00BE78CA">
              <w:t>17.6</w:t>
            </w:r>
          </w:p>
        </w:tc>
        <w:tc>
          <w:tcPr>
            <w:tcW w:w="1612" w:type="dxa"/>
            <w:tcBorders>
              <w:top w:val="single" w:sz="4" w:space="0" w:color="365F91"/>
              <w:bottom w:val="single" w:sz="4" w:space="0" w:color="365F91"/>
            </w:tcBorders>
            <w:noWrap/>
            <w:vAlign w:val="bottom"/>
          </w:tcPr>
          <w:p w14:paraId="5FBE8607" w14:textId="77777777" w:rsidR="00F02481" w:rsidRPr="00BE78CA" w:rsidRDefault="00F02481" w:rsidP="00B4240E">
            <w:pPr>
              <w:pStyle w:val="TableText"/>
              <w:spacing w:before="40" w:after="30"/>
              <w:jc w:val="center"/>
            </w:pPr>
            <w:r w:rsidRPr="00BE78CA">
              <w:t>31.9</w:t>
            </w:r>
          </w:p>
        </w:tc>
      </w:tr>
      <w:tr w:rsidR="00F02481" w:rsidRPr="00BE78CA" w14:paraId="5479F3A3" w14:textId="77777777" w:rsidTr="00AD7A0E">
        <w:tc>
          <w:tcPr>
            <w:tcW w:w="1360" w:type="dxa"/>
            <w:tcBorders>
              <w:top w:val="single" w:sz="4" w:space="0" w:color="365F91"/>
              <w:bottom w:val="single" w:sz="4" w:space="0" w:color="365F91"/>
            </w:tcBorders>
            <w:noWrap/>
          </w:tcPr>
          <w:p w14:paraId="4FD119C3" w14:textId="77777777" w:rsidR="00F02481" w:rsidRPr="00BE78CA" w:rsidRDefault="00F02481" w:rsidP="00B4240E">
            <w:pPr>
              <w:pStyle w:val="TableText"/>
              <w:spacing w:before="40" w:after="30"/>
              <w:rPr>
                <w:rFonts w:cs="Calibri"/>
                <w:szCs w:val="16"/>
              </w:rPr>
            </w:pPr>
            <w:r w:rsidRPr="00BE78CA">
              <w:rPr>
                <w:rFonts w:cs="Calibri"/>
                <w:szCs w:val="16"/>
              </w:rPr>
              <w:t>2012</w:t>
            </w:r>
          </w:p>
        </w:tc>
        <w:tc>
          <w:tcPr>
            <w:tcW w:w="1803" w:type="dxa"/>
            <w:tcBorders>
              <w:top w:val="single" w:sz="4" w:space="0" w:color="365F91"/>
              <w:bottom w:val="single" w:sz="4" w:space="0" w:color="365F91"/>
            </w:tcBorders>
            <w:noWrap/>
          </w:tcPr>
          <w:p w14:paraId="23D63817" w14:textId="77777777" w:rsidR="00F02481" w:rsidRPr="00BE78CA" w:rsidRDefault="00F02481" w:rsidP="00B4240E">
            <w:pPr>
              <w:pStyle w:val="TableText"/>
              <w:spacing w:before="40" w:after="30"/>
              <w:jc w:val="center"/>
              <w:rPr>
                <w:rFonts w:cs="Calibri"/>
                <w:szCs w:val="16"/>
              </w:rPr>
            </w:pPr>
            <w:r w:rsidRPr="00BE78CA">
              <w:t>110.9</w:t>
            </w:r>
          </w:p>
        </w:tc>
        <w:tc>
          <w:tcPr>
            <w:tcW w:w="1803" w:type="dxa"/>
            <w:tcBorders>
              <w:top w:val="single" w:sz="4" w:space="0" w:color="365F91"/>
              <w:bottom w:val="single" w:sz="4" w:space="0" w:color="365F91"/>
            </w:tcBorders>
            <w:noWrap/>
            <w:vAlign w:val="bottom"/>
          </w:tcPr>
          <w:p w14:paraId="6C32938F" w14:textId="77777777" w:rsidR="00F02481" w:rsidRPr="00BE78CA" w:rsidRDefault="00F02481" w:rsidP="00B4240E">
            <w:pPr>
              <w:pStyle w:val="TableText"/>
              <w:spacing w:before="40" w:after="30"/>
              <w:jc w:val="center"/>
            </w:pPr>
            <w:r w:rsidRPr="00BE78CA">
              <w:t>81.1</w:t>
            </w:r>
          </w:p>
        </w:tc>
        <w:tc>
          <w:tcPr>
            <w:tcW w:w="1819" w:type="dxa"/>
            <w:tcBorders>
              <w:top w:val="single" w:sz="4" w:space="0" w:color="365F91"/>
              <w:bottom w:val="single" w:sz="4" w:space="0" w:color="365F91"/>
            </w:tcBorders>
            <w:noWrap/>
            <w:vAlign w:val="bottom"/>
          </w:tcPr>
          <w:p w14:paraId="6B53C08B" w14:textId="77777777" w:rsidR="00F02481" w:rsidRPr="00BE78CA" w:rsidRDefault="00F02481" w:rsidP="00B4240E">
            <w:pPr>
              <w:pStyle w:val="TableText"/>
              <w:spacing w:before="40" w:after="30"/>
              <w:jc w:val="center"/>
            </w:pPr>
            <w:r w:rsidRPr="00BE78CA">
              <w:t>17.9</w:t>
            </w:r>
          </w:p>
        </w:tc>
        <w:tc>
          <w:tcPr>
            <w:tcW w:w="1612" w:type="dxa"/>
            <w:tcBorders>
              <w:top w:val="single" w:sz="4" w:space="0" w:color="365F91"/>
              <w:bottom w:val="single" w:sz="4" w:space="0" w:color="365F91"/>
            </w:tcBorders>
            <w:noWrap/>
            <w:vAlign w:val="bottom"/>
          </w:tcPr>
          <w:p w14:paraId="070E8E69" w14:textId="77777777" w:rsidR="00F02481" w:rsidRPr="00BE78CA" w:rsidRDefault="00F02481" w:rsidP="00B4240E">
            <w:pPr>
              <w:pStyle w:val="TableText"/>
              <w:spacing w:before="40" w:after="30"/>
              <w:jc w:val="center"/>
            </w:pPr>
            <w:r w:rsidRPr="00BE78CA">
              <w:t>32.0</w:t>
            </w:r>
          </w:p>
        </w:tc>
      </w:tr>
      <w:tr w:rsidR="00F02481" w:rsidRPr="00BE78CA" w14:paraId="4C759FB4" w14:textId="77777777" w:rsidTr="00AD7A0E">
        <w:tc>
          <w:tcPr>
            <w:tcW w:w="1360" w:type="dxa"/>
            <w:tcBorders>
              <w:top w:val="single" w:sz="4" w:space="0" w:color="365F91"/>
              <w:bottom w:val="single" w:sz="4" w:space="0" w:color="365F91"/>
            </w:tcBorders>
            <w:noWrap/>
          </w:tcPr>
          <w:p w14:paraId="65849578" w14:textId="77777777" w:rsidR="00F02481" w:rsidRPr="00BE78CA" w:rsidRDefault="00F02481" w:rsidP="00B4240E">
            <w:pPr>
              <w:pStyle w:val="TableText"/>
              <w:spacing w:before="40" w:after="30"/>
              <w:rPr>
                <w:rFonts w:cs="Calibri"/>
                <w:szCs w:val="16"/>
              </w:rPr>
            </w:pPr>
            <w:r w:rsidRPr="00BE78CA">
              <w:rPr>
                <w:rFonts w:cs="Calibri"/>
                <w:szCs w:val="16"/>
              </w:rPr>
              <w:t>2013</w:t>
            </w:r>
          </w:p>
        </w:tc>
        <w:tc>
          <w:tcPr>
            <w:tcW w:w="1803" w:type="dxa"/>
            <w:tcBorders>
              <w:top w:val="single" w:sz="4" w:space="0" w:color="365F91"/>
              <w:bottom w:val="single" w:sz="4" w:space="0" w:color="365F91"/>
            </w:tcBorders>
            <w:noWrap/>
          </w:tcPr>
          <w:p w14:paraId="2A6713F5" w14:textId="77777777" w:rsidR="00F02481" w:rsidRPr="00BE78CA" w:rsidRDefault="00F02481" w:rsidP="00B4240E">
            <w:pPr>
              <w:pStyle w:val="TableText"/>
              <w:spacing w:before="40" w:after="30"/>
              <w:jc w:val="center"/>
              <w:rPr>
                <w:rFonts w:cs="Calibri"/>
                <w:szCs w:val="16"/>
              </w:rPr>
            </w:pPr>
            <w:r w:rsidRPr="00BE78CA">
              <w:t>113.1</w:t>
            </w:r>
          </w:p>
        </w:tc>
        <w:tc>
          <w:tcPr>
            <w:tcW w:w="1803" w:type="dxa"/>
            <w:tcBorders>
              <w:top w:val="single" w:sz="4" w:space="0" w:color="365F91"/>
              <w:bottom w:val="single" w:sz="4" w:space="0" w:color="365F91"/>
            </w:tcBorders>
            <w:noWrap/>
            <w:vAlign w:val="bottom"/>
          </w:tcPr>
          <w:p w14:paraId="4F755F0B" w14:textId="77777777" w:rsidR="00F02481" w:rsidRPr="00BE78CA" w:rsidRDefault="00F02481" w:rsidP="00B4240E">
            <w:pPr>
              <w:pStyle w:val="TableText"/>
              <w:spacing w:before="40" w:after="30"/>
              <w:jc w:val="center"/>
            </w:pPr>
            <w:r w:rsidRPr="00BE78CA">
              <w:t>79.8</w:t>
            </w:r>
          </w:p>
        </w:tc>
        <w:tc>
          <w:tcPr>
            <w:tcW w:w="1819" w:type="dxa"/>
            <w:tcBorders>
              <w:top w:val="single" w:sz="4" w:space="0" w:color="365F91"/>
              <w:bottom w:val="single" w:sz="4" w:space="0" w:color="365F91"/>
            </w:tcBorders>
            <w:noWrap/>
            <w:vAlign w:val="bottom"/>
          </w:tcPr>
          <w:p w14:paraId="64CBF5F2" w14:textId="77777777" w:rsidR="00F02481" w:rsidRPr="00BE78CA" w:rsidRDefault="00F02481" w:rsidP="00B4240E">
            <w:pPr>
              <w:pStyle w:val="TableText"/>
              <w:spacing w:before="40" w:after="30"/>
              <w:jc w:val="center"/>
            </w:pPr>
            <w:r w:rsidRPr="00BE78CA">
              <w:t>17.8</w:t>
            </w:r>
          </w:p>
        </w:tc>
        <w:tc>
          <w:tcPr>
            <w:tcW w:w="1612" w:type="dxa"/>
            <w:tcBorders>
              <w:top w:val="single" w:sz="4" w:space="0" w:color="365F91"/>
              <w:bottom w:val="single" w:sz="4" w:space="0" w:color="365F91"/>
            </w:tcBorders>
            <w:noWrap/>
            <w:vAlign w:val="bottom"/>
          </w:tcPr>
          <w:p w14:paraId="7FA733A8" w14:textId="77777777" w:rsidR="00F02481" w:rsidRPr="00BE78CA" w:rsidRDefault="00F02481" w:rsidP="00B4240E">
            <w:pPr>
              <w:pStyle w:val="TableText"/>
              <w:spacing w:before="40" w:after="30"/>
              <w:jc w:val="center"/>
            </w:pPr>
            <w:r w:rsidRPr="00BE78CA">
              <w:t>31.7</w:t>
            </w:r>
          </w:p>
        </w:tc>
      </w:tr>
      <w:tr w:rsidR="00F02481" w:rsidRPr="00BE78CA" w14:paraId="451EFAB1" w14:textId="77777777" w:rsidTr="00AD7A0E">
        <w:tc>
          <w:tcPr>
            <w:tcW w:w="1360" w:type="dxa"/>
            <w:tcBorders>
              <w:top w:val="single" w:sz="4" w:space="0" w:color="365F91"/>
              <w:bottom w:val="single" w:sz="4" w:space="0" w:color="365F91"/>
            </w:tcBorders>
            <w:noWrap/>
          </w:tcPr>
          <w:p w14:paraId="577C96FA" w14:textId="77777777" w:rsidR="00F02481" w:rsidRPr="00BE78CA" w:rsidRDefault="00F02481" w:rsidP="00B4240E">
            <w:pPr>
              <w:pStyle w:val="TableText"/>
              <w:spacing w:before="40" w:after="30"/>
              <w:rPr>
                <w:rFonts w:cs="Calibri"/>
                <w:szCs w:val="16"/>
              </w:rPr>
            </w:pPr>
            <w:r w:rsidRPr="00BE78CA">
              <w:rPr>
                <w:rFonts w:cs="Calibri"/>
                <w:szCs w:val="16"/>
              </w:rPr>
              <w:t>2014</w:t>
            </w:r>
          </w:p>
        </w:tc>
        <w:tc>
          <w:tcPr>
            <w:tcW w:w="1803" w:type="dxa"/>
            <w:tcBorders>
              <w:top w:val="single" w:sz="4" w:space="0" w:color="365F91"/>
              <w:bottom w:val="single" w:sz="4" w:space="0" w:color="365F91"/>
            </w:tcBorders>
            <w:noWrap/>
          </w:tcPr>
          <w:p w14:paraId="61B8E5CF" w14:textId="77777777" w:rsidR="00F02481" w:rsidRPr="00BE78CA" w:rsidRDefault="00F02481" w:rsidP="00B4240E">
            <w:pPr>
              <w:pStyle w:val="TableText"/>
              <w:spacing w:before="40" w:after="30"/>
              <w:jc w:val="center"/>
              <w:rPr>
                <w:rFonts w:cs="Calibri"/>
                <w:szCs w:val="16"/>
              </w:rPr>
            </w:pPr>
            <w:r w:rsidRPr="00BE78CA">
              <w:t>113.1</w:t>
            </w:r>
          </w:p>
        </w:tc>
        <w:tc>
          <w:tcPr>
            <w:tcW w:w="1803" w:type="dxa"/>
            <w:tcBorders>
              <w:top w:val="single" w:sz="4" w:space="0" w:color="365F91"/>
              <w:bottom w:val="single" w:sz="4" w:space="0" w:color="365F91"/>
            </w:tcBorders>
            <w:noWrap/>
            <w:vAlign w:val="bottom"/>
          </w:tcPr>
          <w:p w14:paraId="0D55331C" w14:textId="77777777" w:rsidR="00F02481" w:rsidRPr="00BE78CA" w:rsidRDefault="00F02481" w:rsidP="00B4240E">
            <w:pPr>
              <w:pStyle w:val="TableText"/>
              <w:spacing w:before="40" w:after="30"/>
              <w:jc w:val="center"/>
            </w:pPr>
            <w:r w:rsidRPr="00BE78CA">
              <w:t>79.5</w:t>
            </w:r>
          </w:p>
        </w:tc>
        <w:tc>
          <w:tcPr>
            <w:tcW w:w="1819" w:type="dxa"/>
            <w:tcBorders>
              <w:top w:val="single" w:sz="4" w:space="0" w:color="365F91"/>
              <w:bottom w:val="single" w:sz="4" w:space="0" w:color="365F91"/>
            </w:tcBorders>
            <w:noWrap/>
            <w:vAlign w:val="bottom"/>
          </w:tcPr>
          <w:p w14:paraId="189664C8" w14:textId="77777777" w:rsidR="00F02481" w:rsidRPr="00BE78CA" w:rsidRDefault="00F02481" w:rsidP="00B4240E">
            <w:pPr>
              <w:pStyle w:val="TableText"/>
              <w:spacing w:before="40" w:after="30"/>
              <w:jc w:val="center"/>
            </w:pPr>
            <w:r w:rsidRPr="00BE78CA">
              <w:t>18.1</w:t>
            </w:r>
          </w:p>
        </w:tc>
        <w:tc>
          <w:tcPr>
            <w:tcW w:w="1612" w:type="dxa"/>
            <w:tcBorders>
              <w:top w:val="single" w:sz="4" w:space="0" w:color="365F91"/>
              <w:bottom w:val="single" w:sz="4" w:space="0" w:color="365F91"/>
            </w:tcBorders>
            <w:noWrap/>
            <w:vAlign w:val="bottom"/>
          </w:tcPr>
          <w:p w14:paraId="5CA51B8E" w14:textId="77777777" w:rsidR="00F02481" w:rsidRPr="00BE78CA" w:rsidRDefault="00F02481" w:rsidP="00B4240E">
            <w:pPr>
              <w:pStyle w:val="TableText"/>
              <w:spacing w:before="40" w:after="30"/>
              <w:jc w:val="center"/>
            </w:pPr>
            <w:r w:rsidRPr="00BE78CA">
              <w:t>32.0</w:t>
            </w:r>
          </w:p>
        </w:tc>
      </w:tr>
      <w:tr w:rsidR="00F02481" w:rsidRPr="00BE78CA" w14:paraId="203351F2" w14:textId="77777777" w:rsidTr="00AD7A0E">
        <w:tc>
          <w:tcPr>
            <w:tcW w:w="1360" w:type="dxa"/>
            <w:tcBorders>
              <w:top w:val="single" w:sz="4" w:space="0" w:color="365F91"/>
              <w:bottom w:val="single" w:sz="4" w:space="0" w:color="365F91"/>
            </w:tcBorders>
            <w:noWrap/>
          </w:tcPr>
          <w:p w14:paraId="5084258D" w14:textId="77777777" w:rsidR="00F02481" w:rsidRPr="00BE78CA" w:rsidRDefault="00F02481" w:rsidP="00B4240E">
            <w:pPr>
              <w:pStyle w:val="TableText"/>
              <w:spacing w:before="40" w:after="30"/>
              <w:rPr>
                <w:rFonts w:cs="Calibri"/>
                <w:szCs w:val="16"/>
              </w:rPr>
            </w:pPr>
            <w:r w:rsidRPr="00BE78CA">
              <w:rPr>
                <w:rFonts w:cs="Calibri"/>
                <w:szCs w:val="16"/>
              </w:rPr>
              <w:t>2015</w:t>
            </w:r>
          </w:p>
        </w:tc>
        <w:tc>
          <w:tcPr>
            <w:tcW w:w="1803" w:type="dxa"/>
            <w:tcBorders>
              <w:top w:val="single" w:sz="4" w:space="0" w:color="365F91"/>
              <w:bottom w:val="single" w:sz="4" w:space="0" w:color="365F91"/>
            </w:tcBorders>
            <w:noWrap/>
          </w:tcPr>
          <w:p w14:paraId="78A17679" w14:textId="77777777" w:rsidR="00F02481" w:rsidRPr="00BE78CA" w:rsidRDefault="00F02481" w:rsidP="00B4240E">
            <w:pPr>
              <w:pStyle w:val="TableText"/>
              <w:spacing w:before="40" w:after="30"/>
              <w:jc w:val="center"/>
              <w:rPr>
                <w:rFonts w:cs="Calibri"/>
                <w:szCs w:val="16"/>
              </w:rPr>
            </w:pPr>
            <w:r w:rsidRPr="00BE78CA">
              <w:t>115.6</w:t>
            </w:r>
          </w:p>
        </w:tc>
        <w:tc>
          <w:tcPr>
            <w:tcW w:w="1803" w:type="dxa"/>
            <w:tcBorders>
              <w:top w:val="single" w:sz="4" w:space="0" w:color="365F91"/>
              <w:bottom w:val="single" w:sz="4" w:space="0" w:color="365F91"/>
            </w:tcBorders>
            <w:noWrap/>
            <w:vAlign w:val="bottom"/>
          </w:tcPr>
          <w:p w14:paraId="654B0182" w14:textId="77777777" w:rsidR="00F02481" w:rsidRPr="00BE78CA" w:rsidRDefault="00F02481" w:rsidP="00B4240E">
            <w:pPr>
              <w:pStyle w:val="TableText"/>
              <w:spacing w:before="40" w:after="30"/>
              <w:jc w:val="center"/>
            </w:pPr>
            <w:r w:rsidRPr="00BE78CA">
              <w:t>80.4</w:t>
            </w:r>
          </w:p>
        </w:tc>
        <w:tc>
          <w:tcPr>
            <w:tcW w:w="1819" w:type="dxa"/>
            <w:tcBorders>
              <w:top w:val="single" w:sz="4" w:space="0" w:color="365F91"/>
              <w:bottom w:val="single" w:sz="4" w:space="0" w:color="365F91"/>
            </w:tcBorders>
            <w:noWrap/>
            <w:vAlign w:val="bottom"/>
          </w:tcPr>
          <w:p w14:paraId="0985B451" w14:textId="77777777" w:rsidR="00F02481" w:rsidRPr="00BE78CA" w:rsidRDefault="00F02481" w:rsidP="00B4240E">
            <w:pPr>
              <w:pStyle w:val="TableText"/>
              <w:spacing w:before="40" w:after="30"/>
              <w:jc w:val="center"/>
            </w:pPr>
            <w:r w:rsidRPr="00BE78CA">
              <w:t>18.1</w:t>
            </w:r>
          </w:p>
        </w:tc>
        <w:tc>
          <w:tcPr>
            <w:tcW w:w="1612" w:type="dxa"/>
            <w:tcBorders>
              <w:top w:val="single" w:sz="4" w:space="0" w:color="365F91"/>
              <w:bottom w:val="single" w:sz="4" w:space="0" w:color="365F91"/>
            </w:tcBorders>
            <w:noWrap/>
            <w:vAlign w:val="bottom"/>
          </w:tcPr>
          <w:p w14:paraId="696343F7" w14:textId="77777777" w:rsidR="00F02481" w:rsidRPr="00BE78CA" w:rsidRDefault="00F02481" w:rsidP="00B4240E">
            <w:pPr>
              <w:pStyle w:val="TableText"/>
              <w:spacing w:before="40" w:after="30"/>
              <w:jc w:val="center"/>
            </w:pPr>
            <w:r w:rsidRPr="00BE78CA">
              <w:t>32.0</w:t>
            </w:r>
          </w:p>
        </w:tc>
      </w:tr>
      <w:tr w:rsidR="00F02481" w:rsidRPr="00BE78CA" w14:paraId="0E765742" w14:textId="77777777" w:rsidTr="00AD7A0E">
        <w:tc>
          <w:tcPr>
            <w:tcW w:w="1360" w:type="dxa"/>
            <w:tcBorders>
              <w:top w:val="single" w:sz="4" w:space="0" w:color="365F91"/>
              <w:bottom w:val="single" w:sz="4" w:space="0" w:color="365F91"/>
            </w:tcBorders>
            <w:noWrap/>
          </w:tcPr>
          <w:p w14:paraId="6BDB6403" w14:textId="77777777" w:rsidR="00F02481" w:rsidRPr="00BE78CA" w:rsidRDefault="00F02481" w:rsidP="00B4240E">
            <w:pPr>
              <w:pStyle w:val="TableText"/>
              <w:spacing w:before="40" w:after="30"/>
              <w:rPr>
                <w:rFonts w:cs="Calibri"/>
                <w:szCs w:val="16"/>
              </w:rPr>
            </w:pPr>
            <w:r w:rsidRPr="00BE78CA">
              <w:rPr>
                <w:rFonts w:cs="Calibri"/>
                <w:szCs w:val="16"/>
              </w:rPr>
              <w:t>2016</w:t>
            </w:r>
          </w:p>
        </w:tc>
        <w:tc>
          <w:tcPr>
            <w:tcW w:w="1803" w:type="dxa"/>
            <w:tcBorders>
              <w:top w:val="single" w:sz="4" w:space="0" w:color="365F91"/>
              <w:bottom w:val="single" w:sz="4" w:space="0" w:color="365F91"/>
            </w:tcBorders>
            <w:noWrap/>
          </w:tcPr>
          <w:p w14:paraId="5A98C2A5" w14:textId="77777777" w:rsidR="00F02481" w:rsidRPr="00BE78CA" w:rsidRDefault="00F02481" w:rsidP="00B4240E">
            <w:pPr>
              <w:pStyle w:val="TableText"/>
              <w:spacing w:before="40" w:after="30"/>
              <w:jc w:val="center"/>
              <w:rPr>
                <w:rFonts w:cs="Calibri"/>
                <w:szCs w:val="16"/>
              </w:rPr>
            </w:pPr>
            <w:r w:rsidRPr="00BE78CA">
              <w:t>113.2</w:t>
            </w:r>
          </w:p>
        </w:tc>
        <w:tc>
          <w:tcPr>
            <w:tcW w:w="1803" w:type="dxa"/>
            <w:tcBorders>
              <w:top w:val="single" w:sz="4" w:space="0" w:color="365F91"/>
              <w:bottom w:val="single" w:sz="4" w:space="0" w:color="365F91"/>
            </w:tcBorders>
            <w:noWrap/>
            <w:vAlign w:val="bottom"/>
          </w:tcPr>
          <w:p w14:paraId="31702203" w14:textId="77777777" w:rsidR="00F02481" w:rsidRPr="00BE78CA" w:rsidRDefault="00F02481" w:rsidP="00B4240E">
            <w:pPr>
              <w:pStyle w:val="TableText"/>
              <w:spacing w:before="40" w:after="30"/>
              <w:jc w:val="center"/>
            </w:pPr>
            <w:r w:rsidRPr="00BE78CA">
              <w:t>81.1</w:t>
            </w:r>
          </w:p>
        </w:tc>
        <w:tc>
          <w:tcPr>
            <w:tcW w:w="1819" w:type="dxa"/>
            <w:tcBorders>
              <w:top w:val="single" w:sz="4" w:space="0" w:color="365F91"/>
              <w:bottom w:val="single" w:sz="4" w:space="0" w:color="365F91"/>
            </w:tcBorders>
            <w:noWrap/>
            <w:vAlign w:val="bottom"/>
          </w:tcPr>
          <w:p w14:paraId="35D5A069" w14:textId="77777777" w:rsidR="00F02481" w:rsidRPr="00BE78CA" w:rsidRDefault="00F02481" w:rsidP="00B4240E">
            <w:pPr>
              <w:pStyle w:val="TableText"/>
              <w:spacing w:before="40" w:after="30"/>
              <w:jc w:val="center"/>
            </w:pPr>
            <w:r w:rsidRPr="00BE78CA">
              <w:t>18.5</w:t>
            </w:r>
          </w:p>
        </w:tc>
        <w:tc>
          <w:tcPr>
            <w:tcW w:w="1612" w:type="dxa"/>
            <w:tcBorders>
              <w:top w:val="single" w:sz="4" w:space="0" w:color="365F91"/>
              <w:bottom w:val="single" w:sz="4" w:space="0" w:color="365F91"/>
            </w:tcBorders>
            <w:noWrap/>
            <w:vAlign w:val="bottom"/>
          </w:tcPr>
          <w:p w14:paraId="5F77B562" w14:textId="77777777" w:rsidR="00F02481" w:rsidRPr="00BE78CA" w:rsidRDefault="00F02481" w:rsidP="00B4240E">
            <w:pPr>
              <w:pStyle w:val="TableText"/>
              <w:spacing w:before="40" w:after="30"/>
              <w:jc w:val="center"/>
            </w:pPr>
            <w:r w:rsidRPr="00BE78CA">
              <w:t>32.7</w:t>
            </w:r>
          </w:p>
        </w:tc>
      </w:tr>
      <w:tr w:rsidR="00F02481" w:rsidRPr="00BE78CA" w14:paraId="0FB3E196" w14:textId="77777777" w:rsidTr="00AD7A0E">
        <w:tc>
          <w:tcPr>
            <w:tcW w:w="1360" w:type="dxa"/>
            <w:tcBorders>
              <w:top w:val="single" w:sz="4" w:space="0" w:color="365F91"/>
              <w:bottom w:val="single" w:sz="4" w:space="0" w:color="365F91"/>
            </w:tcBorders>
            <w:noWrap/>
          </w:tcPr>
          <w:p w14:paraId="6CFE2C9B" w14:textId="77777777" w:rsidR="00F02481" w:rsidRPr="00BE78CA" w:rsidRDefault="00F02481" w:rsidP="00B4240E">
            <w:pPr>
              <w:pStyle w:val="TableText"/>
              <w:spacing w:before="40" w:after="30"/>
              <w:rPr>
                <w:rFonts w:cs="Calibri"/>
                <w:szCs w:val="16"/>
              </w:rPr>
            </w:pPr>
            <w:r w:rsidRPr="00BE78CA">
              <w:rPr>
                <w:rFonts w:cs="Calibri"/>
                <w:szCs w:val="16"/>
              </w:rPr>
              <w:t>2017</w:t>
            </w:r>
          </w:p>
        </w:tc>
        <w:tc>
          <w:tcPr>
            <w:tcW w:w="1803" w:type="dxa"/>
            <w:tcBorders>
              <w:top w:val="single" w:sz="4" w:space="0" w:color="365F91"/>
              <w:bottom w:val="single" w:sz="4" w:space="0" w:color="365F91"/>
            </w:tcBorders>
            <w:noWrap/>
          </w:tcPr>
          <w:p w14:paraId="6E0227E6" w14:textId="77777777" w:rsidR="00F02481" w:rsidRPr="00BE78CA" w:rsidRDefault="00F02481" w:rsidP="00B4240E">
            <w:pPr>
              <w:pStyle w:val="TableText"/>
              <w:spacing w:before="40" w:after="30"/>
              <w:jc w:val="center"/>
              <w:rPr>
                <w:rFonts w:cs="Calibri"/>
                <w:szCs w:val="16"/>
              </w:rPr>
            </w:pPr>
            <w:r w:rsidRPr="00BE78CA">
              <w:t>114.5</w:t>
            </w:r>
          </w:p>
        </w:tc>
        <w:tc>
          <w:tcPr>
            <w:tcW w:w="1803" w:type="dxa"/>
            <w:tcBorders>
              <w:top w:val="single" w:sz="4" w:space="0" w:color="365F91"/>
              <w:bottom w:val="single" w:sz="4" w:space="0" w:color="365F91"/>
            </w:tcBorders>
            <w:noWrap/>
            <w:vAlign w:val="bottom"/>
          </w:tcPr>
          <w:p w14:paraId="63C18A7A" w14:textId="77777777" w:rsidR="00F02481" w:rsidRPr="00BE78CA" w:rsidRDefault="00F02481" w:rsidP="00B4240E">
            <w:pPr>
              <w:pStyle w:val="TableText"/>
              <w:spacing w:before="40" w:after="30"/>
              <w:jc w:val="center"/>
            </w:pPr>
            <w:r w:rsidRPr="00BE78CA">
              <w:t>80.4</w:t>
            </w:r>
          </w:p>
        </w:tc>
        <w:tc>
          <w:tcPr>
            <w:tcW w:w="1819" w:type="dxa"/>
            <w:tcBorders>
              <w:top w:val="single" w:sz="4" w:space="0" w:color="365F91"/>
              <w:bottom w:val="single" w:sz="4" w:space="0" w:color="365F91"/>
            </w:tcBorders>
            <w:noWrap/>
            <w:vAlign w:val="bottom"/>
          </w:tcPr>
          <w:p w14:paraId="12EA6821" w14:textId="77777777" w:rsidR="00F02481" w:rsidRPr="00BE78CA" w:rsidRDefault="00F02481" w:rsidP="00B4240E">
            <w:pPr>
              <w:pStyle w:val="TableText"/>
              <w:spacing w:before="40" w:after="30"/>
              <w:jc w:val="center"/>
            </w:pPr>
            <w:r w:rsidRPr="00BE78CA">
              <w:t>18.5</w:t>
            </w:r>
          </w:p>
        </w:tc>
        <w:tc>
          <w:tcPr>
            <w:tcW w:w="1612" w:type="dxa"/>
            <w:tcBorders>
              <w:top w:val="single" w:sz="4" w:space="0" w:color="365F91"/>
              <w:bottom w:val="single" w:sz="4" w:space="0" w:color="365F91"/>
            </w:tcBorders>
            <w:noWrap/>
            <w:vAlign w:val="bottom"/>
          </w:tcPr>
          <w:p w14:paraId="45A96C7D" w14:textId="77777777" w:rsidR="00F02481" w:rsidRPr="00BE78CA" w:rsidRDefault="00F02481" w:rsidP="00B4240E">
            <w:pPr>
              <w:pStyle w:val="TableText"/>
              <w:spacing w:before="40" w:after="30"/>
              <w:jc w:val="center"/>
            </w:pPr>
            <w:r w:rsidRPr="00BE78CA">
              <w:t>32.4</w:t>
            </w:r>
          </w:p>
        </w:tc>
      </w:tr>
      <w:tr w:rsidR="00F02481" w:rsidRPr="00BE78CA" w14:paraId="12C3159B" w14:textId="77777777" w:rsidTr="00AD7A0E">
        <w:tc>
          <w:tcPr>
            <w:tcW w:w="1360" w:type="dxa"/>
            <w:tcBorders>
              <w:top w:val="single" w:sz="4" w:space="0" w:color="365F91"/>
              <w:bottom w:val="single" w:sz="4" w:space="0" w:color="365F91"/>
            </w:tcBorders>
            <w:noWrap/>
          </w:tcPr>
          <w:p w14:paraId="02E1F9BC" w14:textId="77777777" w:rsidR="00F02481" w:rsidRPr="00BE78CA" w:rsidRDefault="00F02481" w:rsidP="00B4240E">
            <w:pPr>
              <w:pStyle w:val="TableText"/>
              <w:spacing w:before="40" w:after="30"/>
              <w:rPr>
                <w:rFonts w:cs="Calibri"/>
                <w:szCs w:val="16"/>
              </w:rPr>
            </w:pPr>
            <w:r w:rsidRPr="00BE78CA">
              <w:rPr>
                <w:rFonts w:cs="Calibri"/>
                <w:szCs w:val="16"/>
              </w:rPr>
              <w:t>2018</w:t>
            </w:r>
          </w:p>
        </w:tc>
        <w:tc>
          <w:tcPr>
            <w:tcW w:w="1803" w:type="dxa"/>
            <w:tcBorders>
              <w:top w:val="single" w:sz="4" w:space="0" w:color="365F91"/>
              <w:bottom w:val="single" w:sz="4" w:space="0" w:color="365F91"/>
            </w:tcBorders>
            <w:noWrap/>
          </w:tcPr>
          <w:p w14:paraId="3236444A" w14:textId="77777777" w:rsidR="00F02481" w:rsidRPr="00BE78CA" w:rsidRDefault="00F02481" w:rsidP="00B4240E">
            <w:pPr>
              <w:pStyle w:val="TableText"/>
              <w:spacing w:before="40" w:after="30"/>
              <w:jc w:val="center"/>
              <w:rPr>
                <w:rFonts w:cs="Calibri"/>
                <w:szCs w:val="16"/>
              </w:rPr>
            </w:pPr>
            <w:r w:rsidRPr="00BE78CA">
              <w:t>117.1</w:t>
            </w:r>
          </w:p>
        </w:tc>
        <w:tc>
          <w:tcPr>
            <w:tcW w:w="1803" w:type="dxa"/>
            <w:tcBorders>
              <w:top w:val="single" w:sz="4" w:space="0" w:color="365F91"/>
              <w:bottom w:val="single" w:sz="4" w:space="0" w:color="365F91"/>
            </w:tcBorders>
            <w:noWrap/>
            <w:vAlign w:val="bottom"/>
          </w:tcPr>
          <w:p w14:paraId="66E69E0E" w14:textId="77777777" w:rsidR="00F02481" w:rsidRPr="00BE78CA" w:rsidRDefault="00F02481" w:rsidP="00B4240E">
            <w:pPr>
              <w:pStyle w:val="TableText"/>
              <w:spacing w:before="40" w:after="30"/>
              <w:jc w:val="center"/>
            </w:pPr>
            <w:r w:rsidRPr="00BE78CA">
              <w:t>79.2</w:t>
            </w:r>
          </w:p>
        </w:tc>
        <w:tc>
          <w:tcPr>
            <w:tcW w:w="1819" w:type="dxa"/>
            <w:tcBorders>
              <w:top w:val="single" w:sz="4" w:space="0" w:color="365F91"/>
              <w:bottom w:val="single" w:sz="4" w:space="0" w:color="365F91"/>
            </w:tcBorders>
            <w:noWrap/>
            <w:vAlign w:val="bottom"/>
          </w:tcPr>
          <w:p w14:paraId="384A6165" w14:textId="77777777" w:rsidR="00F02481" w:rsidRPr="00BE78CA" w:rsidRDefault="00F02481" w:rsidP="00B4240E">
            <w:pPr>
              <w:pStyle w:val="TableText"/>
              <w:spacing w:before="40" w:after="30"/>
              <w:jc w:val="center"/>
            </w:pPr>
            <w:r w:rsidRPr="00BE78CA">
              <w:t>19.0</w:t>
            </w:r>
          </w:p>
        </w:tc>
        <w:tc>
          <w:tcPr>
            <w:tcW w:w="1612" w:type="dxa"/>
            <w:tcBorders>
              <w:top w:val="single" w:sz="4" w:space="0" w:color="365F91"/>
              <w:bottom w:val="single" w:sz="4" w:space="0" w:color="365F91"/>
            </w:tcBorders>
            <w:noWrap/>
            <w:vAlign w:val="bottom"/>
          </w:tcPr>
          <w:p w14:paraId="18871F29" w14:textId="77777777" w:rsidR="00F02481" w:rsidRPr="00BE78CA" w:rsidRDefault="00F02481" w:rsidP="00B4240E">
            <w:pPr>
              <w:pStyle w:val="TableText"/>
              <w:spacing w:before="40" w:after="30"/>
              <w:jc w:val="center"/>
            </w:pPr>
            <w:r w:rsidRPr="00BE78CA">
              <w:t>32.5</w:t>
            </w:r>
          </w:p>
        </w:tc>
      </w:tr>
      <w:tr w:rsidR="00F02481" w:rsidRPr="00BE78CA" w14:paraId="6E3B18B4" w14:textId="77777777" w:rsidTr="00AD7A0E">
        <w:tc>
          <w:tcPr>
            <w:tcW w:w="1360" w:type="dxa"/>
            <w:tcBorders>
              <w:top w:val="single" w:sz="4" w:space="0" w:color="365F91"/>
              <w:bottom w:val="single" w:sz="4" w:space="0" w:color="365F91"/>
            </w:tcBorders>
            <w:noWrap/>
          </w:tcPr>
          <w:p w14:paraId="61208724" w14:textId="77777777" w:rsidR="00F02481" w:rsidRPr="00BE78CA" w:rsidRDefault="00F02481" w:rsidP="00B4240E">
            <w:pPr>
              <w:pStyle w:val="TableText"/>
              <w:spacing w:before="40" w:after="30"/>
              <w:rPr>
                <w:rFonts w:cs="Calibri"/>
                <w:szCs w:val="16"/>
              </w:rPr>
            </w:pPr>
            <w:r w:rsidRPr="00BE78CA">
              <w:rPr>
                <w:rFonts w:cs="Calibri"/>
                <w:szCs w:val="16"/>
              </w:rPr>
              <w:t>2019</w:t>
            </w:r>
          </w:p>
        </w:tc>
        <w:tc>
          <w:tcPr>
            <w:tcW w:w="1803" w:type="dxa"/>
            <w:tcBorders>
              <w:top w:val="single" w:sz="4" w:space="0" w:color="365F91"/>
              <w:bottom w:val="single" w:sz="4" w:space="0" w:color="365F91"/>
            </w:tcBorders>
            <w:noWrap/>
          </w:tcPr>
          <w:p w14:paraId="37ED53E2" w14:textId="77777777" w:rsidR="00F02481" w:rsidRPr="00BE78CA" w:rsidRDefault="00F02481" w:rsidP="00B4240E">
            <w:pPr>
              <w:pStyle w:val="TableText"/>
              <w:spacing w:before="40" w:after="30"/>
              <w:jc w:val="center"/>
              <w:rPr>
                <w:rFonts w:cs="Calibri"/>
                <w:szCs w:val="16"/>
              </w:rPr>
            </w:pPr>
            <w:r w:rsidRPr="00BE78CA">
              <w:t>118.5</w:t>
            </w:r>
          </w:p>
        </w:tc>
        <w:tc>
          <w:tcPr>
            <w:tcW w:w="1803" w:type="dxa"/>
            <w:tcBorders>
              <w:top w:val="single" w:sz="4" w:space="0" w:color="365F91"/>
              <w:bottom w:val="single" w:sz="4" w:space="0" w:color="365F91"/>
            </w:tcBorders>
            <w:noWrap/>
            <w:vAlign w:val="bottom"/>
          </w:tcPr>
          <w:p w14:paraId="26B7DCD8" w14:textId="77777777" w:rsidR="00F02481" w:rsidRPr="00BE78CA" w:rsidRDefault="00F02481" w:rsidP="00B4240E">
            <w:pPr>
              <w:pStyle w:val="TableText"/>
              <w:spacing w:before="40" w:after="30"/>
              <w:jc w:val="center"/>
            </w:pPr>
            <w:r w:rsidRPr="00BE78CA">
              <w:t>80.0</w:t>
            </w:r>
          </w:p>
        </w:tc>
        <w:tc>
          <w:tcPr>
            <w:tcW w:w="1819" w:type="dxa"/>
            <w:tcBorders>
              <w:top w:val="single" w:sz="4" w:space="0" w:color="365F91"/>
              <w:bottom w:val="single" w:sz="4" w:space="0" w:color="365F91"/>
            </w:tcBorders>
            <w:noWrap/>
            <w:vAlign w:val="bottom"/>
          </w:tcPr>
          <w:p w14:paraId="76A018D7" w14:textId="77777777" w:rsidR="00F02481" w:rsidRPr="00BE78CA" w:rsidRDefault="00F02481" w:rsidP="00B4240E">
            <w:pPr>
              <w:pStyle w:val="TableText"/>
              <w:spacing w:before="40" w:after="30"/>
              <w:jc w:val="center"/>
            </w:pPr>
            <w:r w:rsidRPr="00BE78CA">
              <w:t>19.0</w:t>
            </w:r>
          </w:p>
        </w:tc>
        <w:tc>
          <w:tcPr>
            <w:tcW w:w="1612" w:type="dxa"/>
            <w:tcBorders>
              <w:top w:val="single" w:sz="4" w:space="0" w:color="365F91"/>
              <w:bottom w:val="single" w:sz="4" w:space="0" w:color="365F91"/>
            </w:tcBorders>
            <w:noWrap/>
            <w:vAlign w:val="bottom"/>
          </w:tcPr>
          <w:p w14:paraId="76E5F028" w14:textId="77777777" w:rsidR="00F02481" w:rsidRPr="00BE78CA" w:rsidRDefault="00F02481" w:rsidP="00B4240E">
            <w:pPr>
              <w:pStyle w:val="TableText"/>
              <w:spacing w:before="40" w:after="30"/>
              <w:jc w:val="center"/>
            </w:pPr>
            <w:r w:rsidRPr="00BE78CA">
              <w:t>33.0</w:t>
            </w:r>
          </w:p>
        </w:tc>
      </w:tr>
    </w:tbl>
    <w:p w14:paraId="6C2F9A10" w14:textId="77777777" w:rsidR="00F02481" w:rsidRPr="00BE78CA" w:rsidRDefault="00F02481" w:rsidP="00C26084">
      <w:pPr>
        <w:pStyle w:val="Heading5"/>
        <w:spacing w:before="320"/>
        <w:rPr>
          <w:rFonts w:cs="Calibri"/>
        </w:rPr>
      </w:pPr>
      <w:r w:rsidRPr="00BE78CA">
        <w:rPr>
          <w:rFonts w:cs="Calibri"/>
        </w:rPr>
        <w:lastRenderedPageBreak/>
        <w:t xml:space="preserve">Nitrogen excretion rates for the minor livestock categories </w:t>
      </w:r>
    </w:p>
    <w:p w14:paraId="79364E92" w14:textId="77777777" w:rsidR="00F02481" w:rsidRPr="00BE78CA" w:rsidRDefault="00F02481" w:rsidP="00C26084">
      <w:pPr>
        <w:pStyle w:val="BodyText"/>
      </w:pPr>
      <w:r w:rsidRPr="00BE78CA">
        <w:rPr>
          <w:b/>
          <w:bCs/>
          <w:i/>
          <w:iCs/>
        </w:rPr>
        <w:t>Swine:</w:t>
      </w:r>
      <w:r w:rsidRPr="00BE78CA">
        <w:rPr>
          <w:i/>
          <w:iCs/>
        </w:rPr>
        <w:t xml:space="preserve"> </w:t>
      </w:r>
      <w:r w:rsidRPr="00BE78CA">
        <w:t>A New Zealand-specific N</w:t>
      </w:r>
      <w:r w:rsidRPr="00BE78CA">
        <w:rPr>
          <w:vertAlign w:val="subscript"/>
        </w:rPr>
        <w:t>ex</w:t>
      </w:r>
      <w:r w:rsidRPr="00BE78CA">
        <w:t xml:space="preserve"> rate for swine is calculated for each year (see table 5.3.4) based on the 2009 value of 10.8 kg nitrogen (N) head</w:t>
      </w:r>
      <w:r w:rsidRPr="00BE78CA">
        <w:rPr>
          <w:vertAlign w:val="superscript"/>
        </w:rPr>
        <w:t>-1</w:t>
      </w:r>
      <w:r w:rsidRPr="00BE78CA">
        <w:t xml:space="preserve"> year</w:t>
      </w:r>
      <w:r w:rsidRPr="00BE78CA">
        <w:rPr>
          <w:vertAlign w:val="superscript"/>
        </w:rPr>
        <w:t>-1</w:t>
      </w:r>
      <w:r w:rsidRPr="00BE78CA">
        <w:t xml:space="preserve"> (Hill, 2012). This 2009 value is based on the weighted average of the distribution of animal weights by swine category. Estimates of N</w:t>
      </w:r>
      <w:r w:rsidRPr="00BE78CA">
        <w:rPr>
          <w:vertAlign w:val="subscript"/>
        </w:rPr>
        <w:t>ex</w:t>
      </w:r>
      <w:r w:rsidRPr="00BE78CA">
        <w:t xml:space="preserve"> rates for all other years are indexed relative to 2009 for the average pig kill weights for each year. Average pig weights have increased since 1990 due to improvements in productivity. Data on swine carcass weights are collected by MPI from meat processors.</w:t>
      </w:r>
    </w:p>
    <w:p w14:paraId="3371337F" w14:textId="77777777" w:rsidR="00F02481" w:rsidRPr="00BE78CA" w:rsidRDefault="00F02481" w:rsidP="00C26084">
      <w:pPr>
        <w:pStyle w:val="BodyText"/>
      </w:pPr>
      <w:r w:rsidRPr="00BE78CA">
        <w:rPr>
          <w:b/>
          <w:bCs/>
          <w:i/>
          <w:iCs/>
        </w:rPr>
        <w:t>Goats:</w:t>
      </w:r>
      <w:r w:rsidRPr="00BE78CA">
        <w:t xml:space="preserve"> New Zealand uses country-specific N</w:t>
      </w:r>
      <w:r w:rsidRPr="00BE78CA">
        <w:rPr>
          <w:vertAlign w:val="subscript"/>
        </w:rPr>
        <w:t>ex</w:t>
      </w:r>
      <w:r w:rsidRPr="00BE78CA">
        <w:t xml:space="preserve"> rates for goats to estimate N</w:t>
      </w:r>
      <w:r w:rsidRPr="00BE78CA">
        <w:rPr>
          <w:vertAlign w:val="subscript"/>
        </w:rPr>
        <w:t>2</w:t>
      </w:r>
      <w:r w:rsidRPr="00BE78CA">
        <w:t>O emissions of 10.6 kg N head</w:t>
      </w:r>
      <w:r w:rsidRPr="00BE78CA">
        <w:rPr>
          <w:vertAlign w:val="superscript"/>
        </w:rPr>
        <w:t>-1</w:t>
      </w:r>
      <w:r w:rsidRPr="00BE78CA">
        <w:t xml:space="preserve"> year</w:t>
      </w:r>
      <w:r w:rsidRPr="00BE78CA">
        <w:rPr>
          <w:vertAlign w:val="superscript"/>
        </w:rPr>
        <w:t>-1</w:t>
      </w:r>
      <w:r w:rsidRPr="00BE78CA">
        <w:t xml:space="preserve"> for 1990 and 12.1 kg N head</w:t>
      </w:r>
      <w:r w:rsidRPr="00BE78CA">
        <w:rPr>
          <w:vertAlign w:val="superscript"/>
        </w:rPr>
        <w:t>-1</w:t>
      </w:r>
      <w:r w:rsidRPr="00BE78CA">
        <w:t xml:space="preserve"> year</w:t>
      </w:r>
      <w:r w:rsidRPr="00BE78CA">
        <w:rPr>
          <w:vertAlign w:val="superscript"/>
        </w:rPr>
        <w:t>-1</w:t>
      </w:r>
      <w:r w:rsidRPr="00BE78CA">
        <w:t xml:space="preserve"> for 2009 based on the differing population characteristics for those two years (Lassey, 2011). As explained in section 5.2.2 for </w:t>
      </w:r>
      <w:r w:rsidRPr="00BE78CA">
        <w:rPr>
          <w:i/>
          <w:iCs/>
        </w:rPr>
        <w:t>Enteric fermentation</w:t>
      </w:r>
      <w:r w:rsidRPr="00BE78CA">
        <w:t xml:space="preserve">, for the intermediate years between 1990 and 2009 and for later years, the excretion rate was interpolated based on assumptions that the dairy goat population has remained in a near constant state over time while the rest of the goat population has declined (see table 5.3.4). </w:t>
      </w:r>
    </w:p>
    <w:p w14:paraId="18D15DBD" w14:textId="77777777" w:rsidR="00F02481" w:rsidRPr="00BE78CA" w:rsidRDefault="00F02481" w:rsidP="00C26084">
      <w:pPr>
        <w:pStyle w:val="BodyText"/>
      </w:pPr>
      <w:r w:rsidRPr="00BE78CA">
        <w:rPr>
          <w:b/>
          <w:bCs/>
          <w:i/>
          <w:iCs/>
        </w:rPr>
        <w:t>Poultry:</w:t>
      </w:r>
      <w:r w:rsidRPr="00BE78CA">
        <w:t xml:space="preserve"> New Zealand-specific and IPCC default N</w:t>
      </w:r>
      <w:r w:rsidRPr="00BE78CA">
        <w:rPr>
          <w:vertAlign w:val="subscript"/>
        </w:rPr>
        <w:t>ex</w:t>
      </w:r>
      <w:r w:rsidRPr="00BE78CA">
        <w:t xml:space="preserve"> rates are used for poultry (Fick et al., 2011). These are the country-specific values of 0.39 kg N head</w:t>
      </w:r>
      <w:r w:rsidRPr="00BE78CA">
        <w:rPr>
          <w:vertAlign w:val="superscript"/>
        </w:rPr>
        <w:t>-1</w:t>
      </w:r>
      <w:r w:rsidRPr="00BE78CA">
        <w:t xml:space="preserve"> year</w:t>
      </w:r>
      <w:r w:rsidRPr="00BE78CA">
        <w:rPr>
          <w:vertAlign w:val="superscript"/>
        </w:rPr>
        <w:t>-1</w:t>
      </w:r>
      <w:r w:rsidRPr="00BE78CA">
        <w:t xml:space="preserve"> for broiler birds and 0.42 kg N head</w:t>
      </w:r>
      <w:r w:rsidRPr="00BE78CA">
        <w:rPr>
          <w:vertAlign w:val="superscript"/>
        </w:rPr>
        <w:t>-1</w:t>
      </w:r>
      <w:r w:rsidRPr="00BE78CA">
        <w:t xml:space="preserve"> year</w:t>
      </w:r>
      <w:r w:rsidRPr="00BE78CA">
        <w:rPr>
          <w:vertAlign w:val="superscript"/>
        </w:rPr>
        <w:t>-1</w:t>
      </w:r>
      <w:r w:rsidRPr="00BE78CA">
        <w:t xml:space="preserve"> for layer hens. Ducks and turkeys make up approximately 1.0 per cent of New Zealand’s poultry population, and flock sizes are unclear because they are reported by Stats NZ under ‘other poultry’. Therefore, the value of 0.60 kg N head</w:t>
      </w:r>
      <w:r w:rsidRPr="00BE78CA">
        <w:rPr>
          <w:vertAlign w:val="superscript"/>
        </w:rPr>
        <w:t>-1</w:t>
      </w:r>
      <w:r w:rsidRPr="00BE78CA">
        <w:t xml:space="preserve"> year</w:t>
      </w:r>
      <w:r w:rsidRPr="00BE78CA">
        <w:rPr>
          <w:vertAlign w:val="superscript"/>
        </w:rPr>
        <w:t>-1</w:t>
      </w:r>
      <w:r w:rsidRPr="00BE78CA">
        <w:t xml:space="preserve"> for ducks and turkeys recommended by Fick et al. (2011) is retained. These values are used for all years from 1990. The overall N</w:t>
      </w:r>
      <w:r w:rsidRPr="00BE78CA">
        <w:rPr>
          <w:vertAlign w:val="subscript"/>
        </w:rPr>
        <w:t>ex</w:t>
      </w:r>
      <w:r w:rsidRPr="00BE78CA">
        <w:t xml:space="preserve"> rate for poultry is affected by the change over time in the population proportions of these different categories.</w:t>
      </w:r>
    </w:p>
    <w:p w14:paraId="3305E3E4" w14:textId="77777777" w:rsidR="00F02481" w:rsidRPr="00BE78CA" w:rsidRDefault="00F02481" w:rsidP="00C26084">
      <w:pPr>
        <w:pStyle w:val="BodyText"/>
        <w:rPr>
          <w:rFonts w:cs="Calibri"/>
        </w:rPr>
      </w:pPr>
      <w:r w:rsidRPr="00BE78CA">
        <w:rPr>
          <w:rFonts w:cs="Calibri"/>
          <w:b/>
          <w:bCs/>
          <w:i/>
          <w:iCs/>
        </w:rPr>
        <w:t>Horses</w:t>
      </w:r>
      <w:r w:rsidRPr="00BE78CA">
        <w:rPr>
          <w:rFonts w:cs="Calibri"/>
          <w:b/>
          <w:bCs/>
        </w:rPr>
        <w:t xml:space="preserve">, and </w:t>
      </w:r>
      <w:r w:rsidRPr="00BE78CA">
        <w:rPr>
          <w:rFonts w:cs="Calibri"/>
          <w:b/>
          <w:bCs/>
          <w:i/>
          <w:iCs/>
        </w:rPr>
        <w:t>mules and asses:</w:t>
      </w:r>
      <w:r w:rsidRPr="00BE78CA">
        <w:rPr>
          <w:rFonts w:cs="Calibri"/>
        </w:rPr>
        <w:t xml:space="preserve"> New Zealand-specific N</w:t>
      </w:r>
      <w:r w:rsidRPr="00BE78CA">
        <w:rPr>
          <w:rFonts w:cs="Calibri"/>
          <w:vertAlign w:val="subscript"/>
        </w:rPr>
        <w:t>ex</w:t>
      </w:r>
      <w:r w:rsidRPr="00BE78CA">
        <w:rPr>
          <w:rFonts w:cs="Calibri"/>
        </w:rPr>
        <w:t xml:space="preserve"> rates are not available for horses, mules and asses, and the default N</w:t>
      </w:r>
      <w:r w:rsidRPr="00BE78CA">
        <w:rPr>
          <w:rFonts w:cs="Calibri"/>
          <w:vertAlign w:val="subscript"/>
        </w:rPr>
        <w:t>ex</w:t>
      </w:r>
      <w:r w:rsidRPr="00BE78CA">
        <w:rPr>
          <w:rFonts w:cs="Calibri"/>
        </w:rPr>
        <w:t xml:space="preserve"> rate for Oceania of 0.3 kg N per 1,000 kg of animal mass per day is used (IPCC, 2006, table 10.19).</w:t>
      </w:r>
    </w:p>
    <w:p w14:paraId="04047F91" w14:textId="77777777" w:rsidR="00F02481" w:rsidRPr="00BE78CA" w:rsidRDefault="00F02481" w:rsidP="00C26084">
      <w:pPr>
        <w:pStyle w:val="BodyText"/>
        <w:rPr>
          <w:rFonts w:cs="Calibri"/>
          <w:spacing w:val="-2"/>
        </w:rPr>
      </w:pPr>
      <w:r w:rsidRPr="00BE78CA">
        <w:rPr>
          <w:rFonts w:cs="Calibri"/>
          <w:b/>
          <w:bCs/>
          <w:i/>
          <w:iCs/>
          <w:spacing w:val="-2"/>
        </w:rPr>
        <w:t>Llamas and alpacas:</w:t>
      </w:r>
      <w:r w:rsidRPr="00BE78CA">
        <w:rPr>
          <w:rFonts w:cs="Calibri"/>
          <w:i/>
          <w:iCs/>
          <w:spacing w:val="-2"/>
        </w:rPr>
        <w:t xml:space="preserve"> </w:t>
      </w:r>
      <w:r w:rsidRPr="00BE78CA">
        <w:rPr>
          <w:rFonts w:cs="Calibri"/>
          <w:spacing w:val="-2"/>
        </w:rPr>
        <w:t>Because there is no IPCC default N</w:t>
      </w:r>
      <w:r w:rsidRPr="00BE78CA">
        <w:rPr>
          <w:rFonts w:cs="Calibri"/>
          <w:spacing w:val="-2"/>
          <w:vertAlign w:val="subscript"/>
        </w:rPr>
        <w:t>ex</w:t>
      </w:r>
      <w:r w:rsidRPr="00BE78CA">
        <w:rPr>
          <w:rFonts w:cs="Calibri"/>
          <w:spacing w:val="-2"/>
        </w:rPr>
        <w:t xml:space="preserve"> rate for alpacas, this was calculated by assuming a default N</w:t>
      </w:r>
      <w:r w:rsidRPr="00BE78CA">
        <w:rPr>
          <w:rFonts w:cs="Calibri"/>
          <w:spacing w:val="-2"/>
          <w:vertAlign w:val="subscript"/>
        </w:rPr>
        <w:t>ex</w:t>
      </w:r>
      <w:r w:rsidRPr="00BE78CA">
        <w:rPr>
          <w:rFonts w:cs="Calibri"/>
          <w:spacing w:val="-2"/>
        </w:rPr>
        <w:t xml:space="preserve"> rate for alpacas for all years that is equal to the per-head value of the average sheep in 1990 (i.e., 13.2 kg head</w:t>
      </w:r>
      <w:r w:rsidRPr="00BE78CA">
        <w:rPr>
          <w:rFonts w:cs="Calibri"/>
          <w:spacing w:val="-2"/>
          <w:vertAlign w:val="superscript"/>
        </w:rPr>
        <w:t>-1</w:t>
      </w:r>
      <w:r w:rsidRPr="00BE78CA">
        <w:rPr>
          <w:rFonts w:cs="Calibri"/>
          <w:spacing w:val="-2"/>
        </w:rPr>
        <w:t xml:space="preserve"> year</w:t>
      </w:r>
      <w:r w:rsidRPr="00BE78CA">
        <w:rPr>
          <w:rFonts w:cs="Calibri"/>
          <w:spacing w:val="-2"/>
          <w:vertAlign w:val="superscript"/>
        </w:rPr>
        <w:t>-1</w:t>
      </w:r>
      <w:r w:rsidRPr="00BE78CA">
        <w:rPr>
          <w:rFonts w:cs="Calibri"/>
          <w:spacing w:val="-2"/>
        </w:rPr>
        <w:t>). The alpaca emissions factor is not indexed to sheep over time because there are no data to support the productivity increases that have been seen in sheep. Sheep were used, rather than the IPCC default value for ‘other animals’, because the literature indicates that alpacas have a nitrogen intake close to that of sheep and no significant difference in the partitioning of nitrogen (Pinares-Patino et al., 2003). Using the much higher default value for ‘other animals’ would result in the overestimation of N</w:t>
      </w:r>
      <w:r w:rsidRPr="00BE78CA">
        <w:rPr>
          <w:rFonts w:cs="Calibri"/>
          <w:spacing w:val="-2"/>
          <w:vertAlign w:val="subscript"/>
        </w:rPr>
        <w:t>ex</w:t>
      </w:r>
      <w:r w:rsidRPr="00BE78CA">
        <w:rPr>
          <w:rFonts w:cs="Calibri"/>
          <w:spacing w:val="-2"/>
        </w:rPr>
        <w:t xml:space="preserve"> for alpacas. </w:t>
      </w:r>
    </w:p>
    <w:p w14:paraId="3B9E9A12" w14:textId="77777777" w:rsidR="00F02481" w:rsidRPr="00BE78CA" w:rsidRDefault="00F02481" w:rsidP="00C26084">
      <w:pPr>
        <w:pStyle w:val="Table"/>
        <w:rPr>
          <w:rFonts w:cs="Calibri"/>
        </w:rPr>
      </w:pPr>
      <w:bookmarkStart w:id="717" w:name="_Toc441830876"/>
      <w:bookmarkStart w:id="718" w:name="_Toc451176090"/>
      <w:bookmarkStart w:id="719" w:name="_Toc481751518"/>
      <w:bookmarkStart w:id="720" w:name="_Toc507158606"/>
      <w:bookmarkStart w:id="721" w:name="_Toc511116740"/>
      <w:bookmarkStart w:id="722" w:name="_Toc5269480"/>
      <w:bookmarkStart w:id="723" w:name="_Toc32570923"/>
      <w:bookmarkStart w:id="724" w:name="_Toc36224558"/>
      <w:bookmarkStart w:id="725" w:name="_Toc68786443"/>
      <w:r w:rsidRPr="00BE78CA">
        <w:rPr>
          <w:rFonts w:cs="Calibri"/>
        </w:rPr>
        <w:t>Table 5.3.4</w:t>
      </w:r>
      <w:r w:rsidRPr="00BE78CA">
        <w:rPr>
          <w:rFonts w:cs="Calibri"/>
        </w:rPr>
        <w:tab/>
        <w:t>Nitrogen excretion (N</w:t>
      </w:r>
      <w:r w:rsidRPr="00BE78CA">
        <w:rPr>
          <w:rFonts w:cs="Calibri"/>
          <w:vertAlign w:val="subscript"/>
        </w:rPr>
        <w:t>ex</w:t>
      </w:r>
      <w:r w:rsidRPr="00BE78CA">
        <w:rPr>
          <w:rFonts w:cs="Calibri"/>
        </w:rPr>
        <w:t>) rates for New Zealand’s swine and goats from 1990 to </w:t>
      </w:r>
      <w:bookmarkEnd w:id="717"/>
      <w:bookmarkEnd w:id="718"/>
      <w:bookmarkEnd w:id="719"/>
      <w:bookmarkEnd w:id="720"/>
      <w:bookmarkEnd w:id="721"/>
      <w:bookmarkEnd w:id="722"/>
      <w:bookmarkEnd w:id="723"/>
      <w:bookmarkEnd w:id="724"/>
      <w:r w:rsidRPr="00BE78CA">
        <w:rPr>
          <w:rFonts w:cs="Calibri"/>
        </w:rPr>
        <w:t>2019</w:t>
      </w:r>
      <w:bookmarkEnd w:id="725"/>
      <w:r w:rsidRPr="00BE78CA">
        <w:rPr>
          <w:rFonts w:cs="Calibri"/>
        </w:rPr>
        <w:t xml:space="preserve"> </w:t>
      </w:r>
    </w:p>
    <w:tbl>
      <w:tblPr>
        <w:tblW w:w="8505" w:type="dxa"/>
        <w:tblLook w:val="0000" w:firstRow="0" w:lastRow="0" w:firstColumn="0" w:lastColumn="0" w:noHBand="0" w:noVBand="0"/>
      </w:tblPr>
      <w:tblGrid>
        <w:gridCol w:w="931"/>
        <w:gridCol w:w="1600"/>
        <w:gridCol w:w="1601"/>
        <w:gridCol w:w="349"/>
        <w:gridCol w:w="987"/>
        <w:gridCol w:w="1601"/>
        <w:gridCol w:w="1436"/>
      </w:tblGrid>
      <w:tr w:rsidR="009E184C" w:rsidRPr="00BE78CA" w14:paraId="39FAC7E5" w14:textId="77777777" w:rsidTr="009E184C">
        <w:trPr>
          <w:tblHeader/>
        </w:trPr>
        <w:tc>
          <w:tcPr>
            <w:tcW w:w="548" w:type="pct"/>
            <w:tcBorders>
              <w:top w:val="single" w:sz="4" w:space="0" w:color="365F91"/>
              <w:bottom w:val="single" w:sz="4" w:space="0" w:color="365F91"/>
            </w:tcBorders>
            <w:shd w:val="clear" w:color="auto" w:fill="365F91"/>
            <w:noWrap/>
            <w:vAlign w:val="bottom"/>
          </w:tcPr>
          <w:p w14:paraId="4E896773" w14:textId="77777777" w:rsidR="00F02481" w:rsidRPr="00BE78CA" w:rsidRDefault="00F02481" w:rsidP="00DF4B3E">
            <w:pPr>
              <w:pStyle w:val="TableTextBold"/>
              <w:keepNext/>
              <w:spacing w:before="40" w:after="40"/>
              <w:rPr>
                <w:noProof w:val="0"/>
                <w:color w:val="FFFFFF" w:themeColor="background1"/>
              </w:rPr>
            </w:pPr>
            <w:r w:rsidRPr="00BE78CA">
              <w:rPr>
                <w:noProof w:val="0"/>
                <w:color w:val="FFFFFF" w:themeColor="background1"/>
              </w:rPr>
              <w:t>Year</w:t>
            </w:r>
          </w:p>
        </w:tc>
        <w:tc>
          <w:tcPr>
            <w:tcW w:w="941" w:type="pct"/>
            <w:tcBorders>
              <w:top w:val="single" w:sz="4" w:space="0" w:color="365F91"/>
              <w:bottom w:val="single" w:sz="4" w:space="0" w:color="365F91"/>
            </w:tcBorders>
            <w:shd w:val="clear" w:color="auto" w:fill="365F91"/>
            <w:noWrap/>
            <w:vAlign w:val="bottom"/>
          </w:tcPr>
          <w:p w14:paraId="0852887D" w14:textId="77777777" w:rsidR="00F02481" w:rsidRPr="00BE78CA" w:rsidRDefault="00F02481" w:rsidP="00DF4B3E">
            <w:pPr>
              <w:pStyle w:val="TableTextBold"/>
              <w:keepNext/>
              <w:spacing w:before="40" w:after="40"/>
              <w:jc w:val="center"/>
              <w:rPr>
                <w:noProof w:val="0"/>
                <w:color w:val="FFFFFF" w:themeColor="background1"/>
              </w:rPr>
            </w:pPr>
            <w:r w:rsidRPr="00BE78CA">
              <w:rPr>
                <w:noProof w:val="0"/>
                <w:color w:val="FFFFFF" w:themeColor="background1"/>
              </w:rPr>
              <w:t>Goat N</w:t>
            </w:r>
            <w:r w:rsidRPr="00BE78CA">
              <w:rPr>
                <w:noProof w:val="0"/>
                <w:color w:val="FFFFFF" w:themeColor="background1"/>
                <w:vertAlign w:val="subscript"/>
              </w:rPr>
              <w:t xml:space="preserve">ex </w:t>
            </w:r>
            <w:r w:rsidRPr="00BE78CA">
              <w:rPr>
                <w:noProof w:val="0"/>
                <w:color w:val="FFFFFF" w:themeColor="background1"/>
              </w:rPr>
              <w:br/>
              <w:t>(kg/head/year)</w:t>
            </w:r>
          </w:p>
        </w:tc>
        <w:tc>
          <w:tcPr>
            <w:tcW w:w="941" w:type="pct"/>
            <w:tcBorders>
              <w:top w:val="single" w:sz="4" w:space="0" w:color="365F91"/>
              <w:bottom w:val="single" w:sz="4" w:space="0" w:color="365F91"/>
            </w:tcBorders>
            <w:shd w:val="clear" w:color="auto" w:fill="365F91"/>
            <w:noWrap/>
            <w:vAlign w:val="bottom"/>
          </w:tcPr>
          <w:p w14:paraId="614AD17D" w14:textId="77777777" w:rsidR="00F02481" w:rsidRPr="00BE78CA" w:rsidRDefault="00F02481" w:rsidP="00DF4B3E">
            <w:pPr>
              <w:pStyle w:val="TableTextBold"/>
              <w:keepNext/>
              <w:spacing w:before="40" w:after="40"/>
              <w:jc w:val="center"/>
              <w:rPr>
                <w:noProof w:val="0"/>
                <w:color w:val="FFFFFF" w:themeColor="background1"/>
              </w:rPr>
            </w:pPr>
            <w:r w:rsidRPr="00BE78CA">
              <w:rPr>
                <w:noProof w:val="0"/>
                <w:color w:val="FFFFFF" w:themeColor="background1"/>
              </w:rPr>
              <w:t>Swine N</w:t>
            </w:r>
            <w:r w:rsidRPr="00BE78CA">
              <w:rPr>
                <w:noProof w:val="0"/>
                <w:color w:val="FFFFFF" w:themeColor="background1"/>
                <w:vertAlign w:val="subscript"/>
              </w:rPr>
              <w:t>ex</w:t>
            </w:r>
            <w:r w:rsidRPr="00BE78CA">
              <w:rPr>
                <w:noProof w:val="0"/>
                <w:color w:val="FFFFFF" w:themeColor="background1"/>
              </w:rPr>
              <w:t xml:space="preserve"> </w:t>
            </w:r>
            <w:r w:rsidRPr="00BE78CA">
              <w:rPr>
                <w:noProof w:val="0"/>
                <w:color w:val="FFFFFF" w:themeColor="background1"/>
              </w:rPr>
              <w:br/>
              <w:t>(kg/head/year)</w:t>
            </w:r>
          </w:p>
        </w:tc>
        <w:tc>
          <w:tcPr>
            <w:tcW w:w="205" w:type="pct"/>
            <w:tcBorders>
              <w:top w:val="single" w:sz="4" w:space="0" w:color="365F91"/>
              <w:bottom w:val="single" w:sz="4" w:space="0" w:color="365F91"/>
            </w:tcBorders>
            <w:shd w:val="clear" w:color="auto" w:fill="365F91"/>
          </w:tcPr>
          <w:p w14:paraId="0E539D74" w14:textId="77777777" w:rsidR="00F02481" w:rsidRPr="00BE78CA" w:rsidRDefault="00F02481" w:rsidP="00DF4B3E">
            <w:pPr>
              <w:pStyle w:val="TableTextBold"/>
              <w:keepNext/>
              <w:spacing w:before="40" w:after="40"/>
              <w:rPr>
                <w:b w:val="0"/>
                <w:bCs/>
                <w:noProof w:val="0"/>
                <w:color w:val="FFFFFF" w:themeColor="background1"/>
              </w:rPr>
            </w:pPr>
          </w:p>
        </w:tc>
        <w:tc>
          <w:tcPr>
            <w:tcW w:w="580" w:type="pct"/>
            <w:tcBorders>
              <w:top w:val="single" w:sz="4" w:space="0" w:color="365F91"/>
              <w:bottom w:val="single" w:sz="4" w:space="0" w:color="365F91"/>
            </w:tcBorders>
            <w:shd w:val="clear" w:color="auto" w:fill="365F91"/>
            <w:noWrap/>
            <w:vAlign w:val="bottom"/>
          </w:tcPr>
          <w:p w14:paraId="38CC13FA" w14:textId="77777777" w:rsidR="00F02481" w:rsidRPr="00BE78CA" w:rsidRDefault="00F02481" w:rsidP="00DF4B3E">
            <w:pPr>
              <w:pStyle w:val="TableTextBold"/>
              <w:keepNext/>
              <w:spacing w:before="40" w:after="40"/>
              <w:jc w:val="center"/>
              <w:rPr>
                <w:noProof w:val="0"/>
                <w:color w:val="FFFFFF" w:themeColor="background1"/>
              </w:rPr>
            </w:pPr>
            <w:r w:rsidRPr="00BE78CA">
              <w:rPr>
                <w:noProof w:val="0"/>
                <w:color w:val="FFFFFF" w:themeColor="background1"/>
              </w:rPr>
              <w:t>Year</w:t>
            </w:r>
          </w:p>
        </w:tc>
        <w:tc>
          <w:tcPr>
            <w:tcW w:w="941" w:type="pct"/>
            <w:tcBorders>
              <w:top w:val="single" w:sz="4" w:space="0" w:color="365F91"/>
              <w:bottom w:val="single" w:sz="4" w:space="0" w:color="365F91"/>
            </w:tcBorders>
            <w:shd w:val="clear" w:color="auto" w:fill="365F91"/>
            <w:noWrap/>
            <w:vAlign w:val="bottom"/>
          </w:tcPr>
          <w:p w14:paraId="08273770" w14:textId="77777777" w:rsidR="00F02481" w:rsidRPr="00BE78CA" w:rsidRDefault="00F02481" w:rsidP="00DF4B3E">
            <w:pPr>
              <w:pStyle w:val="TableTextBold"/>
              <w:keepNext/>
              <w:spacing w:before="40" w:after="40"/>
              <w:jc w:val="center"/>
              <w:rPr>
                <w:noProof w:val="0"/>
                <w:color w:val="FFFFFF" w:themeColor="background1"/>
              </w:rPr>
            </w:pPr>
            <w:r w:rsidRPr="00BE78CA">
              <w:rPr>
                <w:noProof w:val="0"/>
                <w:color w:val="FFFFFF" w:themeColor="background1"/>
              </w:rPr>
              <w:t>Goat N</w:t>
            </w:r>
            <w:r w:rsidRPr="00BE78CA">
              <w:rPr>
                <w:noProof w:val="0"/>
                <w:color w:val="FFFFFF" w:themeColor="background1"/>
                <w:vertAlign w:val="subscript"/>
              </w:rPr>
              <w:t xml:space="preserve">ex </w:t>
            </w:r>
            <w:r w:rsidRPr="00BE78CA">
              <w:rPr>
                <w:noProof w:val="0"/>
                <w:color w:val="FFFFFF" w:themeColor="background1"/>
              </w:rPr>
              <w:br/>
              <w:t>(kg/head/year)</w:t>
            </w:r>
          </w:p>
        </w:tc>
        <w:tc>
          <w:tcPr>
            <w:tcW w:w="844" w:type="pct"/>
            <w:tcBorders>
              <w:top w:val="single" w:sz="4" w:space="0" w:color="365F91"/>
              <w:bottom w:val="single" w:sz="4" w:space="0" w:color="365F91"/>
            </w:tcBorders>
            <w:shd w:val="clear" w:color="auto" w:fill="365F91"/>
            <w:vAlign w:val="bottom"/>
          </w:tcPr>
          <w:p w14:paraId="63868074" w14:textId="77777777" w:rsidR="00F02481" w:rsidRPr="00BE78CA" w:rsidRDefault="00F02481" w:rsidP="00DF4B3E">
            <w:pPr>
              <w:pStyle w:val="TableTextBold"/>
              <w:keepNext/>
              <w:spacing w:before="40" w:after="40"/>
              <w:jc w:val="center"/>
              <w:rPr>
                <w:noProof w:val="0"/>
                <w:color w:val="FFFFFF" w:themeColor="background1"/>
              </w:rPr>
            </w:pPr>
            <w:r w:rsidRPr="00BE78CA">
              <w:rPr>
                <w:noProof w:val="0"/>
                <w:color w:val="FFFFFF" w:themeColor="background1"/>
              </w:rPr>
              <w:t>Swine N</w:t>
            </w:r>
            <w:r w:rsidRPr="00BE78CA">
              <w:rPr>
                <w:noProof w:val="0"/>
                <w:color w:val="FFFFFF" w:themeColor="background1"/>
                <w:vertAlign w:val="subscript"/>
              </w:rPr>
              <w:t xml:space="preserve">ex </w:t>
            </w:r>
            <w:r w:rsidRPr="00BE78CA">
              <w:rPr>
                <w:noProof w:val="0"/>
                <w:color w:val="FFFFFF" w:themeColor="background1"/>
              </w:rPr>
              <w:br/>
              <w:t>(kg/head/year)</w:t>
            </w:r>
          </w:p>
        </w:tc>
      </w:tr>
      <w:tr w:rsidR="00F02481" w:rsidRPr="00BE78CA" w14:paraId="4292E906" w14:textId="77777777" w:rsidTr="009E184C">
        <w:tc>
          <w:tcPr>
            <w:tcW w:w="548" w:type="pct"/>
            <w:tcBorders>
              <w:top w:val="single" w:sz="4" w:space="0" w:color="365F91"/>
              <w:bottom w:val="single" w:sz="4" w:space="0" w:color="365F91"/>
            </w:tcBorders>
            <w:shd w:val="clear" w:color="auto" w:fill="auto"/>
            <w:noWrap/>
          </w:tcPr>
          <w:p w14:paraId="64D3694A" w14:textId="77777777" w:rsidR="00F02481" w:rsidRPr="00BE78CA" w:rsidRDefault="00F02481" w:rsidP="00DF4B3E">
            <w:pPr>
              <w:pStyle w:val="TableText"/>
              <w:spacing w:before="40" w:after="40"/>
            </w:pPr>
            <w:r w:rsidRPr="00BE78CA">
              <w:t>1990</w:t>
            </w:r>
          </w:p>
        </w:tc>
        <w:tc>
          <w:tcPr>
            <w:tcW w:w="941" w:type="pct"/>
            <w:tcBorders>
              <w:top w:val="single" w:sz="4" w:space="0" w:color="365F91"/>
              <w:bottom w:val="single" w:sz="4" w:space="0" w:color="365F91"/>
            </w:tcBorders>
            <w:noWrap/>
            <w:vAlign w:val="bottom"/>
          </w:tcPr>
          <w:p w14:paraId="1D7B3891" w14:textId="77777777" w:rsidR="00F02481" w:rsidRPr="00BE78CA" w:rsidRDefault="00F02481" w:rsidP="00DF4B3E">
            <w:pPr>
              <w:pStyle w:val="TableText"/>
              <w:spacing w:before="40" w:after="40"/>
              <w:jc w:val="center"/>
            </w:pPr>
            <w:r w:rsidRPr="00BE78CA">
              <w:t>10.6</w:t>
            </w:r>
          </w:p>
        </w:tc>
        <w:tc>
          <w:tcPr>
            <w:tcW w:w="941" w:type="pct"/>
            <w:tcBorders>
              <w:top w:val="single" w:sz="4" w:space="0" w:color="365F91"/>
              <w:bottom w:val="single" w:sz="4" w:space="0" w:color="365F91"/>
              <w:right w:val="single" w:sz="4" w:space="0" w:color="365F91"/>
            </w:tcBorders>
            <w:noWrap/>
            <w:vAlign w:val="bottom"/>
          </w:tcPr>
          <w:p w14:paraId="1B35CFBF" w14:textId="77777777" w:rsidR="00F02481" w:rsidRPr="00BE78CA" w:rsidRDefault="00F02481" w:rsidP="00DF4B3E">
            <w:pPr>
              <w:pStyle w:val="TableText"/>
              <w:spacing w:before="40" w:after="40"/>
              <w:jc w:val="center"/>
            </w:pPr>
            <w:r w:rsidRPr="00BE78CA">
              <w:t>9.0</w:t>
            </w:r>
          </w:p>
        </w:tc>
        <w:tc>
          <w:tcPr>
            <w:tcW w:w="205" w:type="pct"/>
            <w:tcBorders>
              <w:top w:val="single" w:sz="4" w:space="0" w:color="365F91"/>
              <w:left w:val="single" w:sz="4" w:space="0" w:color="365F91"/>
              <w:right w:val="single" w:sz="4" w:space="0" w:color="365F91"/>
            </w:tcBorders>
          </w:tcPr>
          <w:p w14:paraId="7A6F8748" w14:textId="77777777" w:rsidR="00F02481" w:rsidRPr="00BE78CA" w:rsidRDefault="00F02481" w:rsidP="00DF4B3E">
            <w:pPr>
              <w:pStyle w:val="TableText"/>
              <w:spacing w:before="40" w:after="40"/>
            </w:pPr>
          </w:p>
        </w:tc>
        <w:tc>
          <w:tcPr>
            <w:tcW w:w="580" w:type="pct"/>
            <w:tcBorders>
              <w:top w:val="single" w:sz="4" w:space="0" w:color="365F91"/>
              <w:left w:val="single" w:sz="4" w:space="0" w:color="365F91"/>
              <w:bottom w:val="single" w:sz="4" w:space="0" w:color="365F91"/>
            </w:tcBorders>
            <w:noWrap/>
          </w:tcPr>
          <w:p w14:paraId="23A5DE80" w14:textId="77777777" w:rsidR="00F02481" w:rsidRPr="00BE78CA" w:rsidRDefault="00F02481" w:rsidP="00DF4B3E">
            <w:pPr>
              <w:pStyle w:val="TableText"/>
              <w:spacing w:before="40" w:after="40"/>
            </w:pPr>
            <w:r w:rsidRPr="00BE78CA">
              <w:t>2005</w:t>
            </w:r>
          </w:p>
        </w:tc>
        <w:tc>
          <w:tcPr>
            <w:tcW w:w="941" w:type="pct"/>
            <w:tcBorders>
              <w:top w:val="single" w:sz="4" w:space="0" w:color="365F91"/>
              <w:bottom w:val="single" w:sz="4" w:space="0" w:color="365F91"/>
            </w:tcBorders>
            <w:noWrap/>
            <w:vAlign w:val="bottom"/>
          </w:tcPr>
          <w:p w14:paraId="2D55AC64" w14:textId="77777777" w:rsidR="00F02481" w:rsidRPr="00BE78CA" w:rsidRDefault="00F02481" w:rsidP="00DF4B3E">
            <w:pPr>
              <w:pStyle w:val="TableText"/>
              <w:spacing w:before="40" w:after="40"/>
              <w:jc w:val="center"/>
            </w:pPr>
            <w:r w:rsidRPr="00BE78CA">
              <w:t>11.8</w:t>
            </w:r>
          </w:p>
        </w:tc>
        <w:tc>
          <w:tcPr>
            <w:tcW w:w="844" w:type="pct"/>
            <w:tcBorders>
              <w:top w:val="single" w:sz="4" w:space="0" w:color="365F91"/>
              <w:bottom w:val="single" w:sz="4" w:space="0" w:color="365F91"/>
            </w:tcBorders>
            <w:vAlign w:val="bottom"/>
          </w:tcPr>
          <w:p w14:paraId="4AC354A4" w14:textId="77777777" w:rsidR="00F02481" w:rsidRPr="00BE78CA" w:rsidRDefault="00F02481" w:rsidP="00DF4B3E">
            <w:pPr>
              <w:pStyle w:val="TableText"/>
              <w:spacing w:before="40" w:after="40"/>
              <w:jc w:val="center"/>
            </w:pPr>
            <w:r w:rsidRPr="00BE78CA">
              <w:t>10.6</w:t>
            </w:r>
          </w:p>
        </w:tc>
      </w:tr>
      <w:tr w:rsidR="00F02481" w:rsidRPr="00BE78CA" w14:paraId="0607674F" w14:textId="77777777" w:rsidTr="009E184C">
        <w:tc>
          <w:tcPr>
            <w:tcW w:w="548" w:type="pct"/>
            <w:tcBorders>
              <w:top w:val="single" w:sz="4" w:space="0" w:color="365F91"/>
              <w:bottom w:val="single" w:sz="4" w:space="0" w:color="365F91"/>
            </w:tcBorders>
            <w:shd w:val="clear" w:color="auto" w:fill="auto"/>
            <w:noWrap/>
          </w:tcPr>
          <w:p w14:paraId="19027608" w14:textId="77777777" w:rsidR="00F02481" w:rsidRPr="00BE78CA" w:rsidRDefault="00F02481" w:rsidP="00DF4B3E">
            <w:pPr>
              <w:pStyle w:val="TableText"/>
              <w:spacing w:before="40" w:after="40"/>
            </w:pPr>
            <w:r w:rsidRPr="00BE78CA">
              <w:t>1991</w:t>
            </w:r>
          </w:p>
        </w:tc>
        <w:tc>
          <w:tcPr>
            <w:tcW w:w="941" w:type="pct"/>
            <w:tcBorders>
              <w:top w:val="single" w:sz="4" w:space="0" w:color="365F91"/>
              <w:bottom w:val="single" w:sz="4" w:space="0" w:color="365F91"/>
            </w:tcBorders>
            <w:noWrap/>
            <w:vAlign w:val="bottom"/>
          </w:tcPr>
          <w:p w14:paraId="0E76C522" w14:textId="77777777" w:rsidR="00F02481" w:rsidRPr="00BE78CA" w:rsidRDefault="00F02481" w:rsidP="00DF4B3E">
            <w:pPr>
              <w:pStyle w:val="TableText"/>
              <w:spacing w:before="40" w:after="40"/>
              <w:jc w:val="center"/>
            </w:pPr>
            <w:r w:rsidRPr="00BE78CA">
              <w:t>10.7</w:t>
            </w:r>
          </w:p>
        </w:tc>
        <w:tc>
          <w:tcPr>
            <w:tcW w:w="941" w:type="pct"/>
            <w:tcBorders>
              <w:top w:val="single" w:sz="4" w:space="0" w:color="365F91"/>
              <w:bottom w:val="single" w:sz="4" w:space="0" w:color="365F91"/>
              <w:right w:val="single" w:sz="4" w:space="0" w:color="365F91"/>
            </w:tcBorders>
            <w:noWrap/>
            <w:vAlign w:val="bottom"/>
          </w:tcPr>
          <w:p w14:paraId="7D7573FA" w14:textId="77777777" w:rsidR="00F02481" w:rsidRPr="00BE78CA" w:rsidRDefault="00F02481" w:rsidP="00DF4B3E">
            <w:pPr>
              <w:pStyle w:val="TableText"/>
              <w:spacing w:before="40" w:after="40"/>
              <w:jc w:val="center"/>
            </w:pPr>
            <w:r w:rsidRPr="00BE78CA">
              <w:t>9.2</w:t>
            </w:r>
          </w:p>
        </w:tc>
        <w:tc>
          <w:tcPr>
            <w:tcW w:w="205" w:type="pct"/>
            <w:tcBorders>
              <w:left w:val="single" w:sz="4" w:space="0" w:color="365F91"/>
              <w:right w:val="single" w:sz="4" w:space="0" w:color="365F91"/>
            </w:tcBorders>
          </w:tcPr>
          <w:p w14:paraId="1DEF3ABA" w14:textId="77777777" w:rsidR="00F02481" w:rsidRPr="00BE78CA" w:rsidRDefault="00F02481" w:rsidP="00DF4B3E">
            <w:pPr>
              <w:pStyle w:val="TableText"/>
              <w:spacing w:before="40" w:after="40"/>
            </w:pPr>
          </w:p>
        </w:tc>
        <w:tc>
          <w:tcPr>
            <w:tcW w:w="580" w:type="pct"/>
            <w:tcBorders>
              <w:top w:val="single" w:sz="4" w:space="0" w:color="365F91"/>
              <w:left w:val="single" w:sz="4" w:space="0" w:color="365F91"/>
              <w:bottom w:val="single" w:sz="4" w:space="0" w:color="365F91"/>
            </w:tcBorders>
            <w:noWrap/>
          </w:tcPr>
          <w:p w14:paraId="7DACC39D" w14:textId="77777777" w:rsidR="00F02481" w:rsidRPr="00BE78CA" w:rsidRDefault="00F02481" w:rsidP="00DF4B3E">
            <w:pPr>
              <w:pStyle w:val="TableText"/>
              <w:spacing w:before="40" w:after="40"/>
            </w:pPr>
            <w:r w:rsidRPr="00BE78CA">
              <w:t>2006</w:t>
            </w:r>
          </w:p>
        </w:tc>
        <w:tc>
          <w:tcPr>
            <w:tcW w:w="941" w:type="pct"/>
            <w:tcBorders>
              <w:top w:val="single" w:sz="4" w:space="0" w:color="365F91"/>
              <w:bottom w:val="single" w:sz="4" w:space="0" w:color="365F91"/>
            </w:tcBorders>
            <w:noWrap/>
            <w:vAlign w:val="bottom"/>
          </w:tcPr>
          <w:p w14:paraId="67D95A44" w14:textId="77777777" w:rsidR="00F02481" w:rsidRPr="00BE78CA" w:rsidRDefault="00F02481" w:rsidP="00DF4B3E">
            <w:pPr>
              <w:pStyle w:val="TableText"/>
              <w:spacing w:before="40" w:after="40"/>
              <w:jc w:val="center"/>
            </w:pPr>
            <w:r w:rsidRPr="00BE78CA">
              <w:t>11.9</w:t>
            </w:r>
          </w:p>
        </w:tc>
        <w:tc>
          <w:tcPr>
            <w:tcW w:w="844" w:type="pct"/>
            <w:tcBorders>
              <w:top w:val="single" w:sz="4" w:space="0" w:color="365F91"/>
              <w:bottom w:val="single" w:sz="4" w:space="0" w:color="365F91"/>
            </w:tcBorders>
            <w:vAlign w:val="bottom"/>
          </w:tcPr>
          <w:p w14:paraId="1868C2D7" w14:textId="77777777" w:rsidR="00F02481" w:rsidRPr="00BE78CA" w:rsidRDefault="00F02481" w:rsidP="00DF4B3E">
            <w:pPr>
              <w:pStyle w:val="TableText"/>
              <w:spacing w:before="40" w:after="40"/>
              <w:jc w:val="center"/>
            </w:pPr>
            <w:r w:rsidRPr="00BE78CA">
              <w:t>10.7</w:t>
            </w:r>
          </w:p>
        </w:tc>
      </w:tr>
      <w:tr w:rsidR="00F02481" w:rsidRPr="00BE78CA" w14:paraId="028D047C" w14:textId="77777777" w:rsidTr="009E184C">
        <w:tc>
          <w:tcPr>
            <w:tcW w:w="548" w:type="pct"/>
            <w:tcBorders>
              <w:top w:val="single" w:sz="4" w:space="0" w:color="365F91"/>
              <w:bottom w:val="single" w:sz="4" w:space="0" w:color="365F91"/>
            </w:tcBorders>
            <w:shd w:val="clear" w:color="auto" w:fill="auto"/>
            <w:noWrap/>
          </w:tcPr>
          <w:p w14:paraId="6512F3D3" w14:textId="77777777" w:rsidR="00F02481" w:rsidRPr="00BE78CA" w:rsidRDefault="00F02481" w:rsidP="00DF4B3E">
            <w:pPr>
              <w:pStyle w:val="TableText"/>
              <w:spacing w:before="40" w:after="40"/>
            </w:pPr>
            <w:r w:rsidRPr="00BE78CA">
              <w:t>1992</w:t>
            </w:r>
          </w:p>
        </w:tc>
        <w:tc>
          <w:tcPr>
            <w:tcW w:w="941" w:type="pct"/>
            <w:tcBorders>
              <w:top w:val="single" w:sz="4" w:space="0" w:color="365F91"/>
              <w:bottom w:val="single" w:sz="4" w:space="0" w:color="365F91"/>
            </w:tcBorders>
            <w:noWrap/>
            <w:vAlign w:val="bottom"/>
          </w:tcPr>
          <w:p w14:paraId="2320D359" w14:textId="77777777" w:rsidR="00F02481" w:rsidRPr="00BE78CA" w:rsidRDefault="00F02481" w:rsidP="00DF4B3E">
            <w:pPr>
              <w:pStyle w:val="TableText"/>
              <w:spacing w:before="40" w:after="40"/>
              <w:jc w:val="center"/>
            </w:pPr>
            <w:r w:rsidRPr="00BE78CA">
              <w:t>10.8</w:t>
            </w:r>
          </w:p>
        </w:tc>
        <w:tc>
          <w:tcPr>
            <w:tcW w:w="941" w:type="pct"/>
            <w:tcBorders>
              <w:top w:val="single" w:sz="4" w:space="0" w:color="365F91"/>
              <w:bottom w:val="single" w:sz="4" w:space="0" w:color="365F91"/>
              <w:right w:val="single" w:sz="4" w:space="0" w:color="365F91"/>
            </w:tcBorders>
            <w:noWrap/>
            <w:vAlign w:val="bottom"/>
          </w:tcPr>
          <w:p w14:paraId="3D58D42D" w14:textId="77777777" w:rsidR="00F02481" w:rsidRPr="00BE78CA" w:rsidRDefault="00F02481" w:rsidP="00DF4B3E">
            <w:pPr>
              <w:pStyle w:val="TableText"/>
              <w:spacing w:before="40" w:after="40"/>
              <w:jc w:val="center"/>
            </w:pPr>
            <w:r w:rsidRPr="00BE78CA">
              <w:t>9.3</w:t>
            </w:r>
          </w:p>
        </w:tc>
        <w:tc>
          <w:tcPr>
            <w:tcW w:w="205" w:type="pct"/>
            <w:tcBorders>
              <w:left w:val="single" w:sz="4" w:space="0" w:color="365F91"/>
              <w:right w:val="single" w:sz="4" w:space="0" w:color="365F91"/>
            </w:tcBorders>
          </w:tcPr>
          <w:p w14:paraId="13D089D5" w14:textId="77777777" w:rsidR="00F02481" w:rsidRPr="00BE78CA" w:rsidRDefault="00F02481" w:rsidP="00DF4B3E">
            <w:pPr>
              <w:pStyle w:val="TableText"/>
              <w:spacing w:before="40" w:after="40"/>
            </w:pPr>
          </w:p>
        </w:tc>
        <w:tc>
          <w:tcPr>
            <w:tcW w:w="580" w:type="pct"/>
            <w:tcBorders>
              <w:top w:val="single" w:sz="4" w:space="0" w:color="365F91"/>
              <w:left w:val="single" w:sz="4" w:space="0" w:color="365F91"/>
              <w:bottom w:val="single" w:sz="4" w:space="0" w:color="365F91"/>
            </w:tcBorders>
            <w:noWrap/>
          </w:tcPr>
          <w:p w14:paraId="42446ECB" w14:textId="77777777" w:rsidR="00F02481" w:rsidRPr="00BE78CA" w:rsidRDefault="00F02481" w:rsidP="00DF4B3E">
            <w:pPr>
              <w:pStyle w:val="TableText"/>
              <w:spacing w:before="40" w:after="40"/>
            </w:pPr>
            <w:r w:rsidRPr="00BE78CA">
              <w:t>2007</w:t>
            </w:r>
          </w:p>
        </w:tc>
        <w:tc>
          <w:tcPr>
            <w:tcW w:w="941" w:type="pct"/>
            <w:tcBorders>
              <w:top w:val="single" w:sz="4" w:space="0" w:color="365F91"/>
              <w:bottom w:val="single" w:sz="4" w:space="0" w:color="365F91"/>
            </w:tcBorders>
            <w:noWrap/>
            <w:vAlign w:val="bottom"/>
          </w:tcPr>
          <w:p w14:paraId="565B4759" w14:textId="77777777" w:rsidR="00F02481" w:rsidRPr="00BE78CA" w:rsidRDefault="00F02481" w:rsidP="00DF4B3E">
            <w:pPr>
              <w:pStyle w:val="TableText"/>
              <w:spacing w:before="40" w:after="40"/>
              <w:jc w:val="center"/>
            </w:pPr>
            <w:r w:rsidRPr="00BE78CA">
              <w:t>11.9</w:t>
            </w:r>
          </w:p>
        </w:tc>
        <w:tc>
          <w:tcPr>
            <w:tcW w:w="844" w:type="pct"/>
            <w:tcBorders>
              <w:top w:val="single" w:sz="4" w:space="0" w:color="365F91"/>
              <w:bottom w:val="single" w:sz="4" w:space="0" w:color="365F91"/>
            </w:tcBorders>
            <w:vAlign w:val="bottom"/>
          </w:tcPr>
          <w:p w14:paraId="06CD06DD" w14:textId="77777777" w:rsidR="00F02481" w:rsidRPr="00BE78CA" w:rsidRDefault="00F02481" w:rsidP="00DF4B3E">
            <w:pPr>
              <w:pStyle w:val="TableText"/>
              <w:spacing w:before="40" w:after="40"/>
              <w:jc w:val="center"/>
            </w:pPr>
            <w:r w:rsidRPr="00BE78CA">
              <w:t>10.8</w:t>
            </w:r>
          </w:p>
        </w:tc>
      </w:tr>
      <w:tr w:rsidR="00F02481" w:rsidRPr="00BE78CA" w14:paraId="22343283" w14:textId="77777777" w:rsidTr="009E184C">
        <w:tc>
          <w:tcPr>
            <w:tcW w:w="548" w:type="pct"/>
            <w:tcBorders>
              <w:top w:val="single" w:sz="4" w:space="0" w:color="365F91"/>
              <w:bottom w:val="single" w:sz="4" w:space="0" w:color="365F91"/>
            </w:tcBorders>
            <w:shd w:val="clear" w:color="auto" w:fill="auto"/>
            <w:noWrap/>
          </w:tcPr>
          <w:p w14:paraId="76F1C55C" w14:textId="77777777" w:rsidR="00F02481" w:rsidRPr="00BE78CA" w:rsidRDefault="00F02481" w:rsidP="00DF4B3E">
            <w:pPr>
              <w:pStyle w:val="TableText"/>
              <w:spacing w:before="40" w:after="40"/>
            </w:pPr>
            <w:r w:rsidRPr="00BE78CA">
              <w:t>1993</w:t>
            </w:r>
          </w:p>
        </w:tc>
        <w:tc>
          <w:tcPr>
            <w:tcW w:w="941" w:type="pct"/>
            <w:tcBorders>
              <w:top w:val="single" w:sz="4" w:space="0" w:color="365F91"/>
              <w:bottom w:val="single" w:sz="4" w:space="0" w:color="365F91"/>
            </w:tcBorders>
            <w:noWrap/>
            <w:vAlign w:val="bottom"/>
          </w:tcPr>
          <w:p w14:paraId="342D6318" w14:textId="77777777" w:rsidR="00F02481" w:rsidRPr="00BE78CA" w:rsidRDefault="00F02481" w:rsidP="00DF4B3E">
            <w:pPr>
              <w:pStyle w:val="TableText"/>
              <w:spacing w:before="40" w:after="40"/>
              <w:jc w:val="center"/>
            </w:pPr>
            <w:r w:rsidRPr="00BE78CA">
              <w:t>10.8</w:t>
            </w:r>
          </w:p>
        </w:tc>
        <w:tc>
          <w:tcPr>
            <w:tcW w:w="941" w:type="pct"/>
            <w:tcBorders>
              <w:top w:val="single" w:sz="4" w:space="0" w:color="365F91"/>
              <w:bottom w:val="single" w:sz="4" w:space="0" w:color="365F91"/>
              <w:right w:val="single" w:sz="4" w:space="0" w:color="365F91"/>
            </w:tcBorders>
            <w:noWrap/>
            <w:vAlign w:val="bottom"/>
          </w:tcPr>
          <w:p w14:paraId="4C3F6643" w14:textId="77777777" w:rsidR="00F02481" w:rsidRPr="00BE78CA" w:rsidRDefault="00F02481" w:rsidP="00DF4B3E">
            <w:pPr>
              <w:pStyle w:val="TableText"/>
              <w:spacing w:before="40" w:after="40"/>
              <w:jc w:val="center"/>
            </w:pPr>
            <w:r w:rsidRPr="00BE78CA">
              <w:t>9.5</w:t>
            </w:r>
          </w:p>
        </w:tc>
        <w:tc>
          <w:tcPr>
            <w:tcW w:w="205" w:type="pct"/>
            <w:tcBorders>
              <w:left w:val="single" w:sz="4" w:space="0" w:color="365F91"/>
              <w:right w:val="single" w:sz="4" w:space="0" w:color="365F91"/>
            </w:tcBorders>
          </w:tcPr>
          <w:p w14:paraId="3742EA50" w14:textId="77777777" w:rsidR="00F02481" w:rsidRPr="00BE78CA" w:rsidRDefault="00F02481" w:rsidP="00DF4B3E">
            <w:pPr>
              <w:pStyle w:val="TableText"/>
              <w:spacing w:before="40" w:after="40"/>
            </w:pPr>
          </w:p>
        </w:tc>
        <w:tc>
          <w:tcPr>
            <w:tcW w:w="580" w:type="pct"/>
            <w:tcBorders>
              <w:top w:val="single" w:sz="4" w:space="0" w:color="365F91"/>
              <w:left w:val="single" w:sz="4" w:space="0" w:color="365F91"/>
              <w:bottom w:val="single" w:sz="4" w:space="0" w:color="365F91"/>
            </w:tcBorders>
            <w:noWrap/>
          </w:tcPr>
          <w:p w14:paraId="1D23CDF7" w14:textId="77777777" w:rsidR="00F02481" w:rsidRPr="00BE78CA" w:rsidRDefault="00F02481" w:rsidP="00DF4B3E">
            <w:pPr>
              <w:pStyle w:val="TableText"/>
              <w:spacing w:before="40" w:after="40"/>
            </w:pPr>
            <w:r w:rsidRPr="00BE78CA">
              <w:t>2008</w:t>
            </w:r>
          </w:p>
        </w:tc>
        <w:tc>
          <w:tcPr>
            <w:tcW w:w="941" w:type="pct"/>
            <w:tcBorders>
              <w:top w:val="single" w:sz="4" w:space="0" w:color="365F91"/>
              <w:bottom w:val="single" w:sz="4" w:space="0" w:color="365F91"/>
            </w:tcBorders>
            <w:noWrap/>
            <w:vAlign w:val="bottom"/>
          </w:tcPr>
          <w:p w14:paraId="01A13A7A" w14:textId="77777777" w:rsidR="00F02481" w:rsidRPr="00BE78CA" w:rsidRDefault="00F02481" w:rsidP="00DF4B3E">
            <w:pPr>
              <w:pStyle w:val="TableText"/>
              <w:spacing w:before="40" w:after="40"/>
              <w:jc w:val="center"/>
            </w:pPr>
            <w:r w:rsidRPr="00BE78CA">
              <w:t>12.0</w:t>
            </w:r>
          </w:p>
        </w:tc>
        <w:tc>
          <w:tcPr>
            <w:tcW w:w="844" w:type="pct"/>
            <w:tcBorders>
              <w:top w:val="single" w:sz="4" w:space="0" w:color="365F91"/>
              <w:bottom w:val="single" w:sz="4" w:space="0" w:color="365F91"/>
            </w:tcBorders>
            <w:vAlign w:val="bottom"/>
          </w:tcPr>
          <w:p w14:paraId="214D0136" w14:textId="77777777" w:rsidR="00F02481" w:rsidRPr="00BE78CA" w:rsidRDefault="00F02481" w:rsidP="00DF4B3E">
            <w:pPr>
              <w:pStyle w:val="TableText"/>
              <w:spacing w:before="40" w:after="40"/>
              <w:jc w:val="center"/>
            </w:pPr>
            <w:r w:rsidRPr="00BE78CA">
              <w:t>10.8</w:t>
            </w:r>
          </w:p>
        </w:tc>
      </w:tr>
      <w:tr w:rsidR="00F02481" w:rsidRPr="00BE78CA" w14:paraId="23280FA9" w14:textId="77777777" w:rsidTr="009E184C">
        <w:tc>
          <w:tcPr>
            <w:tcW w:w="548" w:type="pct"/>
            <w:tcBorders>
              <w:top w:val="single" w:sz="4" w:space="0" w:color="365F91"/>
              <w:bottom w:val="single" w:sz="4" w:space="0" w:color="365F91"/>
            </w:tcBorders>
            <w:shd w:val="clear" w:color="auto" w:fill="auto"/>
            <w:noWrap/>
          </w:tcPr>
          <w:p w14:paraId="47828BEA" w14:textId="77777777" w:rsidR="00F02481" w:rsidRPr="00BE78CA" w:rsidRDefault="00F02481" w:rsidP="00DF4B3E">
            <w:pPr>
              <w:pStyle w:val="TableText"/>
              <w:spacing w:before="40" w:after="40"/>
            </w:pPr>
            <w:r w:rsidRPr="00BE78CA">
              <w:t>1994</w:t>
            </w:r>
          </w:p>
        </w:tc>
        <w:tc>
          <w:tcPr>
            <w:tcW w:w="941" w:type="pct"/>
            <w:tcBorders>
              <w:top w:val="single" w:sz="4" w:space="0" w:color="365F91"/>
              <w:bottom w:val="single" w:sz="4" w:space="0" w:color="365F91"/>
            </w:tcBorders>
            <w:noWrap/>
            <w:vAlign w:val="bottom"/>
          </w:tcPr>
          <w:p w14:paraId="763E7AAA" w14:textId="77777777" w:rsidR="00F02481" w:rsidRPr="00BE78CA" w:rsidRDefault="00F02481" w:rsidP="00DF4B3E">
            <w:pPr>
              <w:pStyle w:val="TableText"/>
              <w:spacing w:before="40" w:after="40"/>
              <w:jc w:val="center"/>
            </w:pPr>
            <w:r w:rsidRPr="00BE78CA">
              <w:t>10.9</w:t>
            </w:r>
          </w:p>
        </w:tc>
        <w:tc>
          <w:tcPr>
            <w:tcW w:w="941" w:type="pct"/>
            <w:tcBorders>
              <w:top w:val="single" w:sz="4" w:space="0" w:color="365F91"/>
              <w:bottom w:val="single" w:sz="4" w:space="0" w:color="365F91"/>
              <w:right w:val="single" w:sz="4" w:space="0" w:color="365F91"/>
            </w:tcBorders>
            <w:noWrap/>
            <w:vAlign w:val="bottom"/>
          </w:tcPr>
          <w:p w14:paraId="55F4CE6F" w14:textId="77777777" w:rsidR="00F02481" w:rsidRPr="00BE78CA" w:rsidRDefault="00F02481" w:rsidP="00DF4B3E">
            <w:pPr>
              <w:pStyle w:val="TableText"/>
              <w:spacing w:before="40" w:after="40"/>
              <w:jc w:val="center"/>
            </w:pPr>
            <w:r w:rsidRPr="00BE78CA">
              <w:t>9.5</w:t>
            </w:r>
          </w:p>
        </w:tc>
        <w:tc>
          <w:tcPr>
            <w:tcW w:w="205" w:type="pct"/>
            <w:tcBorders>
              <w:left w:val="single" w:sz="4" w:space="0" w:color="365F91"/>
              <w:right w:val="single" w:sz="4" w:space="0" w:color="365F91"/>
            </w:tcBorders>
          </w:tcPr>
          <w:p w14:paraId="2BA049C6" w14:textId="77777777" w:rsidR="00F02481" w:rsidRPr="00BE78CA" w:rsidRDefault="00F02481" w:rsidP="00DF4B3E">
            <w:pPr>
              <w:pStyle w:val="TableText"/>
              <w:spacing w:before="40" w:after="40"/>
            </w:pPr>
          </w:p>
        </w:tc>
        <w:tc>
          <w:tcPr>
            <w:tcW w:w="580" w:type="pct"/>
            <w:tcBorders>
              <w:top w:val="single" w:sz="4" w:space="0" w:color="365F91"/>
              <w:left w:val="single" w:sz="4" w:space="0" w:color="365F91"/>
              <w:bottom w:val="single" w:sz="4" w:space="0" w:color="365F91"/>
            </w:tcBorders>
            <w:noWrap/>
          </w:tcPr>
          <w:p w14:paraId="3F3AF56A" w14:textId="77777777" w:rsidR="00F02481" w:rsidRPr="00BE78CA" w:rsidRDefault="00F02481" w:rsidP="00DF4B3E">
            <w:pPr>
              <w:pStyle w:val="TableText"/>
              <w:spacing w:before="40" w:after="40"/>
            </w:pPr>
            <w:r w:rsidRPr="00BE78CA">
              <w:t>2009</w:t>
            </w:r>
          </w:p>
        </w:tc>
        <w:tc>
          <w:tcPr>
            <w:tcW w:w="941" w:type="pct"/>
            <w:tcBorders>
              <w:top w:val="single" w:sz="4" w:space="0" w:color="365F91"/>
              <w:bottom w:val="single" w:sz="4" w:space="0" w:color="365F91"/>
            </w:tcBorders>
            <w:noWrap/>
            <w:vAlign w:val="bottom"/>
          </w:tcPr>
          <w:p w14:paraId="53E5BE18" w14:textId="77777777" w:rsidR="00F02481" w:rsidRPr="00BE78CA" w:rsidRDefault="00F02481" w:rsidP="00DF4B3E">
            <w:pPr>
              <w:pStyle w:val="TableText"/>
              <w:spacing w:before="40" w:after="40"/>
              <w:jc w:val="center"/>
            </w:pPr>
            <w:r w:rsidRPr="00BE78CA">
              <w:t>12.1</w:t>
            </w:r>
          </w:p>
        </w:tc>
        <w:tc>
          <w:tcPr>
            <w:tcW w:w="844" w:type="pct"/>
            <w:tcBorders>
              <w:top w:val="single" w:sz="4" w:space="0" w:color="365F91"/>
              <w:bottom w:val="single" w:sz="4" w:space="0" w:color="365F91"/>
            </w:tcBorders>
            <w:vAlign w:val="bottom"/>
          </w:tcPr>
          <w:p w14:paraId="2FBA8FB6" w14:textId="77777777" w:rsidR="00F02481" w:rsidRPr="00BE78CA" w:rsidRDefault="00F02481" w:rsidP="00DF4B3E">
            <w:pPr>
              <w:pStyle w:val="TableText"/>
              <w:spacing w:before="40" w:after="40"/>
              <w:jc w:val="center"/>
            </w:pPr>
            <w:r w:rsidRPr="00BE78CA">
              <w:t>10.8</w:t>
            </w:r>
          </w:p>
        </w:tc>
      </w:tr>
      <w:tr w:rsidR="00F02481" w:rsidRPr="00BE78CA" w14:paraId="6C75C945" w14:textId="77777777" w:rsidTr="009E184C">
        <w:tc>
          <w:tcPr>
            <w:tcW w:w="548" w:type="pct"/>
            <w:tcBorders>
              <w:top w:val="single" w:sz="4" w:space="0" w:color="365F91"/>
              <w:bottom w:val="single" w:sz="4" w:space="0" w:color="365F91"/>
            </w:tcBorders>
            <w:shd w:val="clear" w:color="auto" w:fill="auto"/>
            <w:noWrap/>
          </w:tcPr>
          <w:p w14:paraId="52ED985E" w14:textId="77777777" w:rsidR="00F02481" w:rsidRPr="00BE78CA" w:rsidRDefault="00F02481" w:rsidP="00DF4B3E">
            <w:pPr>
              <w:pStyle w:val="TableText"/>
              <w:spacing w:before="40" w:after="40"/>
              <w:rPr>
                <w:rFonts w:cs="Calibri"/>
              </w:rPr>
            </w:pPr>
            <w:r w:rsidRPr="00BE78CA">
              <w:rPr>
                <w:rFonts w:cs="Calibri"/>
              </w:rPr>
              <w:t>1995</w:t>
            </w:r>
          </w:p>
        </w:tc>
        <w:tc>
          <w:tcPr>
            <w:tcW w:w="941" w:type="pct"/>
            <w:tcBorders>
              <w:top w:val="single" w:sz="4" w:space="0" w:color="365F91"/>
              <w:bottom w:val="single" w:sz="4" w:space="0" w:color="365F91"/>
            </w:tcBorders>
            <w:noWrap/>
            <w:vAlign w:val="bottom"/>
          </w:tcPr>
          <w:p w14:paraId="7FFB1D0B" w14:textId="77777777" w:rsidR="00F02481" w:rsidRPr="00BE78CA" w:rsidRDefault="00F02481" w:rsidP="00DF4B3E">
            <w:pPr>
              <w:pStyle w:val="TableText"/>
              <w:spacing w:before="40" w:after="40"/>
              <w:jc w:val="center"/>
              <w:rPr>
                <w:rFonts w:cs="Calibri"/>
              </w:rPr>
            </w:pPr>
            <w:r w:rsidRPr="00BE78CA">
              <w:rPr>
                <w:rFonts w:cs="Calibri"/>
              </w:rPr>
              <w:t>11.0</w:t>
            </w:r>
          </w:p>
        </w:tc>
        <w:tc>
          <w:tcPr>
            <w:tcW w:w="941" w:type="pct"/>
            <w:tcBorders>
              <w:top w:val="single" w:sz="4" w:space="0" w:color="365F91"/>
              <w:bottom w:val="single" w:sz="4" w:space="0" w:color="365F91"/>
              <w:right w:val="single" w:sz="4" w:space="0" w:color="365F91"/>
            </w:tcBorders>
            <w:noWrap/>
            <w:vAlign w:val="bottom"/>
          </w:tcPr>
          <w:p w14:paraId="5F963976" w14:textId="77777777" w:rsidR="00F02481" w:rsidRPr="00BE78CA" w:rsidRDefault="00F02481" w:rsidP="00DF4B3E">
            <w:pPr>
              <w:pStyle w:val="TableText"/>
              <w:spacing w:before="40" w:after="40"/>
              <w:jc w:val="center"/>
              <w:rPr>
                <w:rFonts w:cs="Calibri"/>
              </w:rPr>
            </w:pPr>
            <w:r w:rsidRPr="00BE78CA">
              <w:rPr>
                <w:rFonts w:cs="Calibri"/>
              </w:rPr>
              <w:t>9.6</w:t>
            </w:r>
          </w:p>
        </w:tc>
        <w:tc>
          <w:tcPr>
            <w:tcW w:w="205" w:type="pct"/>
            <w:tcBorders>
              <w:left w:val="single" w:sz="4" w:space="0" w:color="365F91"/>
              <w:right w:val="single" w:sz="4" w:space="0" w:color="365F91"/>
            </w:tcBorders>
          </w:tcPr>
          <w:p w14:paraId="2127577C" w14:textId="77777777" w:rsidR="00F02481" w:rsidRPr="00BE78CA" w:rsidRDefault="00F02481" w:rsidP="00DF4B3E">
            <w:pPr>
              <w:pStyle w:val="TableText"/>
              <w:spacing w:before="40" w:after="40"/>
              <w:rPr>
                <w:rFonts w:cs="Calibri"/>
                <w:bCs/>
              </w:rPr>
            </w:pPr>
          </w:p>
        </w:tc>
        <w:tc>
          <w:tcPr>
            <w:tcW w:w="580" w:type="pct"/>
            <w:tcBorders>
              <w:top w:val="single" w:sz="4" w:space="0" w:color="365F91"/>
              <w:left w:val="single" w:sz="4" w:space="0" w:color="365F91"/>
              <w:bottom w:val="single" w:sz="4" w:space="0" w:color="365F91"/>
            </w:tcBorders>
            <w:noWrap/>
          </w:tcPr>
          <w:p w14:paraId="7D53EDEF" w14:textId="77777777" w:rsidR="00F02481" w:rsidRPr="00BE78CA" w:rsidRDefault="00F02481" w:rsidP="00DF4B3E">
            <w:pPr>
              <w:pStyle w:val="TableText"/>
              <w:spacing w:before="40" w:after="40"/>
              <w:rPr>
                <w:rFonts w:cs="Calibri"/>
              </w:rPr>
            </w:pPr>
            <w:r w:rsidRPr="00BE78CA">
              <w:rPr>
                <w:rFonts w:cs="Calibri"/>
              </w:rPr>
              <w:t>2010</w:t>
            </w:r>
          </w:p>
        </w:tc>
        <w:tc>
          <w:tcPr>
            <w:tcW w:w="941" w:type="pct"/>
            <w:tcBorders>
              <w:top w:val="single" w:sz="4" w:space="0" w:color="365F91"/>
              <w:bottom w:val="single" w:sz="4" w:space="0" w:color="365F91"/>
            </w:tcBorders>
            <w:noWrap/>
            <w:vAlign w:val="bottom"/>
          </w:tcPr>
          <w:p w14:paraId="17DBEB61" w14:textId="77777777" w:rsidR="00F02481" w:rsidRPr="00BE78CA" w:rsidRDefault="00F02481" w:rsidP="00DF4B3E">
            <w:pPr>
              <w:pStyle w:val="TableText"/>
              <w:spacing w:before="40" w:after="40"/>
              <w:jc w:val="center"/>
              <w:rPr>
                <w:rFonts w:cs="Calibri"/>
              </w:rPr>
            </w:pPr>
            <w:r w:rsidRPr="00BE78CA">
              <w:rPr>
                <w:rFonts w:cs="Calibri"/>
              </w:rPr>
              <w:t>12.2</w:t>
            </w:r>
          </w:p>
        </w:tc>
        <w:tc>
          <w:tcPr>
            <w:tcW w:w="844" w:type="pct"/>
            <w:tcBorders>
              <w:top w:val="single" w:sz="4" w:space="0" w:color="365F91"/>
              <w:bottom w:val="single" w:sz="4" w:space="0" w:color="365F91"/>
            </w:tcBorders>
            <w:vAlign w:val="bottom"/>
          </w:tcPr>
          <w:p w14:paraId="6AE19DF6" w14:textId="77777777" w:rsidR="00F02481" w:rsidRPr="00BE78CA" w:rsidRDefault="00F02481" w:rsidP="00DF4B3E">
            <w:pPr>
              <w:pStyle w:val="TableText"/>
              <w:spacing w:before="40" w:after="40"/>
              <w:jc w:val="center"/>
              <w:rPr>
                <w:rFonts w:cs="Calibri"/>
              </w:rPr>
            </w:pPr>
            <w:r w:rsidRPr="00BE78CA">
              <w:rPr>
                <w:rFonts w:cs="Calibri"/>
              </w:rPr>
              <w:t>10.8</w:t>
            </w:r>
          </w:p>
        </w:tc>
      </w:tr>
      <w:tr w:rsidR="00F02481" w:rsidRPr="00BE78CA" w14:paraId="09B6ECBB" w14:textId="77777777" w:rsidTr="009E184C">
        <w:tc>
          <w:tcPr>
            <w:tcW w:w="548" w:type="pct"/>
            <w:tcBorders>
              <w:top w:val="single" w:sz="4" w:space="0" w:color="365F91"/>
              <w:bottom w:val="single" w:sz="4" w:space="0" w:color="365F91"/>
            </w:tcBorders>
            <w:shd w:val="clear" w:color="auto" w:fill="auto"/>
            <w:noWrap/>
          </w:tcPr>
          <w:p w14:paraId="7DB75346" w14:textId="77777777" w:rsidR="00F02481" w:rsidRPr="00BE78CA" w:rsidRDefault="00F02481" w:rsidP="00DF4B3E">
            <w:pPr>
              <w:pStyle w:val="TableText"/>
              <w:spacing w:before="40" w:after="40"/>
              <w:rPr>
                <w:rFonts w:cs="Calibri"/>
              </w:rPr>
            </w:pPr>
            <w:r w:rsidRPr="00BE78CA">
              <w:rPr>
                <w:rFonts w:cs="Calibri"/>
              </w:rPr>
              <w:t>1996</w:t>
            </w:r>
          </w:p>
        </w:tc>
        <w:tc>
          <w:tcPr>
            <w:tcW w:w="941" w:type="pct"/>
            <w:tcBorders>
              <w:top w:val="single" w:sz="4" w:space="0" w:color="365F91"/>
              <w:bottom w:val="single" w:sz="4" w:space="0" w:color="365F91"/>
            </w:tcBorders>
            <w:noWrap/>
            <w:vAlign w:val="bottom"/>
          </w:tcPr>
          <w:p w14:paraId="7D02A454" w14:textId="77777777" w:rsidR="00F02481" w:rsidRPr="00BE78CA" w:rsidRDefault="00F02481" w:rsidP="00DF4B3E">
            <w:pPr>
              <w:pStyle w:val="TableText"/>
              <w:spacing w:before="40" w:after="40"/>
              <w:jc w:val="center"/>
              <w:rPr>
                <w:rFonts w:cs="Calibri"/>
              </w:rPr>
            </w:pPr>
            <w:r w:rsidRPr="00BE78CA">
              <w:rPr>
                <w:rFonts w:cs="Calibri"/>
              </w:rPr>
              <w:t>11.1</w:t>
            </w:r>
          </w:p>
        </w:tc>
        <w:tc>
          <w:tcPr>
            <w:tcW w:w="941" w:type="pct"/>
            <w:tcBorders>
              <w:top w:val="single" w:sz="4" w:space="0" w:color="365F91"/>
              <w:bottom w:val="single" w:sz="4" w:space="0" w:color="365F91"/>
              <w:right w:val="single" w:sz="4" w:space="0" w:color="365F91"/>
            </w:tcBorders>
            <w:noWrap/>
            <w:vAlign w:val="bottom"/>
          </w:tcPr>
          <w:p w14:paraId="69672D1D" w14:textId="77777777" w:rsidR="00F02481" w:rsidRPr="00BE78CA" w:rsidRDefault="00F02481" w:rsidP="00DF4B3E">
            <w:pPr>
              <w:pStyle w:val="TableText"/>
              <w:spacing w:before="40" w:after="40"/>
              <w:jc w:val="center"/>
              <w:rPr>
                <w:rFonts w:cs="Calibri"/>
              </w:rPr>
            </w:pPr>
            <w:r w:rsidRPr="00BE78CA">
              <w:rPr>
                <w:rFonts w:cs="Calibri"/>
              </w:rPr>
              <w:t>9.8</w:t>
            </w:r>
          </w:p>
        </w:tc>
        <w:tc>
          <w:tcPr>
            <w:tcW w:w="205" w:type="pct"/>
            <w:tcBorders>
              <w:left w:val="single" w:sz="4" w:space="0" w:color="365F91"/>
              <w:right w:val="single" w:sz="4" w:space="0" w:color="365F91"/>
            </w:tcBorders>
          </w:tcPr>
          <w:p w14:paraId="363AA274" w14:textId="77777777" w:rsidR="00F02481" w:rsidRPr="00BE78CA" w:rsidRDefault="00F02481" w:rsidP="00DF4B3E">
            <w:pPr>
              <w:pStyle w:val="TableText"/>
              <w:spacing w:before="40" w:after="40"/>
              <w:rPr>
                <w:rFonts w:cs="Calibri"/>
                <w:bCs/>
              </w:rPr>
            </w:pPr>
          </w:p>
        </w:tc>
        <w:tc>
          <w:tcPr>
            <w:tcW w:w="580" w:type="pct"/>
            <w:tcBorders>
              <w:top w:val="single" w:sz="4" w:space="0" w:color="365F91"/>
              <w:left w:val="single" w:sz="4" w:space="0" w:color="365F91"/>
              <w:bottom w:val="single" w:sz="4" w:space="0" w:color="365F91"/>
            </w:tcBorders>
            <w:noWrap/>
          </w:tcPr>
          <w:p w14:paraId="02770BB8" w14:textId="77777777" w:rsidR="00F02481" w:rsidRPr="00BE78CA" w:rsidRDefault="00F02481" w:rsidP="00DF4B3E">
            <w:pPr>
              <w:pStyle w:val="TableText"/>
              <w:spacing w:before="40" w:after="40"/>
              <w:rPr>
                <w:rFonts w:cs="Calibri"/>
              </w:rPr>
            </w:pPr>
            <w:r w:rsidRPr="00BE78CA">
              <w:rPr>
                <w:rFonts w:cs="Calibri"/>
              </w:rPr>
              <w:t>2011</w:t>
            </w:r>
          </w:p>
        </w:tc>
        <w:tc>
          <w:tcPr>
            <w:tcW w:w="941" w:type="pct"/>
            <w:tcBorders>
              <w:top w:val="single" w:sz="4" w:space="0" w:color="365F91"/>
              <w:bottom w:val="single" w:sz="4" w:space="0" w:color="365F91"/>
            </w:tcBorders>
            <w:noWrap/>
            <w:vAlign w:val="bottom"/>
          </w:tcPr>
          <w:p w14:paraId="2C094193" w14:textId="77777777" w:rsidR="00F02481" w:rsidRPr="00BE78CA" w:rsidRDefault="00F02481" w:rsidP="00DF4B3E">
            <w:pPr>
              <w:pStyle w:val="TableText"/>
              <w:spacing w:before="40" w:after="40"/>
              <w:jc w:val="center"/>
              <w:rPr>
                <w:rFonts w:cs="Calibri"/>
              </w:rPr>
            </w:pPr>
            <w:r w:rsidRPr="00BE78CA">
              <w:rPr>
                <w:rFonts w:cs="Calibri"/>
              </w:rPr>
              <w:t>12.3</w:t>
            </w:r>
          </w:p>
        </w:tc>
        <w:tc>
          <w:tcPr>
            <w:tcW w:w="844" w:type="pct"/>
            <w:tcBorders>
              <w:top w:val="single" w:sz="4" w:space="0" w:color="365F91"/>
              <w:bottom w:val="single" w:sz="4" w:space="0" w:color="365F91"/>
            </w:tcBorders>
            <w:vAlign w:val="bottom"/>
          </w:tcPr>
          <w:p w14:paraId="7A2572ED" w14:textId="77777777" w:rsidR="00F02481" w:rsidRPr="00BE78CA" w:rsidRDefault="00F02481" w:rsidP="00DF4B3E">
            <w:pPr>
              <w:pStyle w:val="TableText"/>
              <w:spacing w:before="40" w:after="40"/>
              <w:jc w:val="center"/>
              <w:rPr>
                <w:rFonts w:cs="Calibri"/>
              </w:rPr>
            </w:pPr>
            <w:r w:rsidRPr="00BE78CA">
              <w:rPr>
                <w:rFonts w:cs="Calibri"/>
              </w:rPr>
              <w:t>11.0</w:t>
            </w:r>
          </w:p>
        </w:tc>
      </w:tr>
      <w:tr w:rsidR="00F02481" w:rsidRPr="00BE78CA" w14:paraId="256D1AF2" w14:textId="77777777" w:rsidTr="009E184C">
        <w:tc>
          <w:tcPr>
            <w:tcW w:w="548" w:type="pct"/>
            <w:tcBorders>
              <w:top w:val="single" w:sz="4" w:space="0" w:color="365F91"/>
              <w:bottom w:val="single" w:sz="4" w:space="0" w:color="365F91"/>
            </w:tcBorders>
            <w:shd w:val="clear" w:color="auto" w:fill="auto"/>
            <w:noWrap/>
          </w:tcPr>
          <w:p w14:paraId="49A47483" w14:textId="77777777" w:rsidR="00F02481" w:rsidRPr="00BE78CA" w:rsidRDefault="00F02481" w:rsidP="00DF4B3E">
            <w:pPr>
              <w:pStyle w:val="TableText"/>
              <w:spacing w:before="40" w:after="40"/>
              <w:rPr>
                <w:rFonts w:cs="Calibri"/>
              </w:rPr>
            </w:pPr>
            <w:r w:rsidRPr="00BE78CA">
              <w:rPr>
                <w:rFonts w:cs="Calibri"/>
              </w:rPr>
              <w:t>1997</w:t>
            </w:r>
          </w:p>
        </w:tc>
        <w:tc>
          <w:tcPr>
            <w:tcW w:w="941" w:type="pct"/>
            <w:tcBorders>
              <w:top w:val="single" w:sz="4" w:space="0" w:color="365F91"/>
              <w:bottom w:val="single" w:sz="4" w:space="0" w:color="365F91"/>
            </w:tcBorders>
            <w:noWrap/>
            <w:vAlign w:val="bottom"/>
          </w:tcPr>
          <w:p w14:paraId="4516905E" w14:textId="77777777" w:rsidR="00F02481" w:rsidRPr="00BE78CA" w:rsidRDefault="00F02481" w:rsidP="00DF4B3E">
            <w:pPr>
              <w:pStyle w:val="TableText"/>
              <w:spacing w:before="40" w:after="40"/>
              <w:jc w:val="center"/>
              <w:rPr>
                <w:rFonts w:cs="Calibri"/>
              </w:rPr>
            </w:pPr>
            <w:r w:rsidRPr="00BE78CA">
              <w:rPr>
                <w:rFonts w:cs="Calibri"/>
              </w:rPr>
              <w:t>11.2</w:t>
            </w:r>
          </w:p>
        </w:tc>
        <w:tc>
          <w:tcPr>
            <w:tcW w:w="941" w:type="pct"/>
            <w:tcBorders>
              <w:top w:val="single" w:sz="4" w:space="0" w:color="365F91"/>
              <w:bottom w:val="single" w:sz="4" w:space="0" w:color="365F91"/>
              <w:right w:val="single" w:sz="4" w:space="0" w:color="365F91"/>
            </w:tcBorders>
            <w:noWrap/>
            <w:vAlign w:val="bottom"/>
          </w:tcPr>
          <w:p w14:paraId="0DAD4AA1" w14:textId="77777777" w:rsidR="00F02481" w:rsidRPr="00BE78CA" w:rsidRDefault="00F02481" w:rsidP="00DF4B3E">
            <w:pPr>
              <w:pStyle w:val="TableText"/>
              <w:spacing w:before="40" w:after="40"/>
              <w:jc w:val="center"/>
              <w:rPr>
                <w:rFonts w:cs="Calibri"/>
              </w:rPr>
            </w:pPr>
            <w:r w:rsidRPr="00BE78CA">
              <w:rPr>
                <w:rFonts w:cs="Calibri"/>
              </w:rPr>
              <w:t>9.9</w:t>
            </w:r>
          </w:p>
        </w:tc>
        <w:tc>
          <w:tcPr>
            <w:tcW w:w="205" w:type="pct"/>
            <w:tcBorders>
              <w:left w:val="single" w:sz="4" w:space="0" w:color="365F91"/>
              <w:right w:val="single" w:sz="4" w:space="0" w:color="365F91"/>
            </w:tcBorders>
          </w:tcPr>
          <w:p w14:paraId="4C14CC38" w14:textId="77777777" w:rsidR="00F02481" w:rsidRPr="00BE78CA" w:rsidRDefault="00F02481" w:rsidP="00DF4B3E">
            <w:pPr>
              <w:pStyle w:val="TableText"/>
              <w:spacing w:before="40" w:after="40"/>
              <w:rPr>
                <w:rFonts w:cs="Calibri"/>
                <w:bCs/>
              </w:rPr>
            </w:pPr>
          </w:p>
        </w:tc>
        <w:tc>
          <w:tcPr>
            <w:tcW w:w="580" w:type="pct"/>
            <w:tcBorders>
              <w:top w:val="single" w:sz="4" w:space="0" w:color="365F91"/>
              <w:left w:val="single" w:sz="4" w:space="0" w:color="365F91"/>
              <w:bottom w:val="single" w:sz="4" w:space="0" w:color="365F91"/>
            </w:tcBorders>
            <w:noWrap/>
          </w:tcPr>
          <w:p w14:paraId="54EB4FFE" w14:textId="77777777" w:rsidR="00F02481" w:rsidRPr="00BE78CA" w:rsidRDefault="00F02481" w:rsidP="00DF4B3E">
            <w:pPr>
              <w:pStyle w:val="TableText"/>
              <w:spacing w:before="40" w:after="40"/>
              <w:rPr>
                <w:rFonts w:cs="Calibri"/>
              </w:rPr>
            </w:pPr>
            <w:r w:rsidRPr="00BE78CA">
              <w:rPr>
                <w:rFonts w:cs="Calibri"/>
              </w:rPr>
              <w:t>2012</w:t>
            </w:r>
          </w:p>
        </w:tc>
        <w:tc>
          <w:tcPr>
            <w:tcW w:w="941" w:type="pct"/>
            <w:tcBorders>
              <w:top w:val="single" w:sz="4" w:space="0" w:color="365F91"/>
              <w:bottom w:val="single" w:sz="4" w:space="0" w:color="365F91"/>
            </w:tcBorders>
            <w:noWrap/>
            <w:vAlign w:val="bottom"/>
          </w:tcPr>
          <w:p w14:paraId="6268A055" w14:textId="77777777" w:rsidR="00F02481" w:rsidRPr="00BE78CA" w:rsidRDefault="00F02481" w:rsidP="00DF4B3E">
            <w:pPr>
              <w:pStyle w:val="TableText"/>
              <w:spacing w:before="40" w:after="40"/>
              <w:jc w:val="center"/>
              <w:rPr>
                <w:rFonts w:cs="Calibri"/>
              </w:rPr>
            </w:pPr>
            <w:r w:rsidRPr="00BE78CA">
              <w:rPr>
                <w:rFonts w:cs="Calibri"/>
              </w:rPr>
              <w:t>12.3</w:t>
            </w:r>
          </w:p>
        </w:tc>
        <w:tc>
          <w:tcPr>
            <w:tcW w:w="844" w:type="pct"/>
            <w:tcBorders>
              <w:top w:val="single" w:sz="4" w:space="0" w:color="365F91"/>
              <w:bottom w:val="single" w:sz="4" w:space="0" w:color="365F91"/>
            </w:tcBorders>
            <w:vAlign w:val="bottom"/>
          </w:tcPr>
          <w:p w14:paraId="62DBCDA5" w14:textId="77777777" w:rsidR="00F02481" w:rsidRPr="00BE78CA" w:rsidRDefault="00F02481" w:rsidP="00DF4B3E">
            <w:pPr>
              <w:pStyle w:val="TableText"/>
              <w:spacing w:before="40" w:after="40"/>
              <w:jc w:val="center"/>
              <w:rPr>
                <w:rFonts w:cs="Calibri"/>
              </w:rPr>
            </w:pPr>
            <w:r w:rsidRPr="00BE78CA">
              <w:rPr>
                <w:rFonts w:cs="Calibri"/>
              </w:rPr>
              <w:t>11.0</w:t>
            </w:r>
          </w:p>
        </w:tc>
      </w:tr>
      <w:tr w:rsidR="00F02481" w:rsidRPr="00BE78CA" w14:paraId="208635FF" w14:textId="77777777" w:rsidTr="009E184C">
        <w:tc>
          <w:tcPr>
            <w:tcW w:w="548" w:type="pct"/>
            <w:tcBorders>
              <w:top w:val="single" w:sz="4" w:space="0" w:color="365F91"/>
              <w:bottom w:val="single" w:sz="4" w:space="0" w:color="365F91"/>
            </w:tcBorders>
            <w:shd w:val="clear" w:color="auto" w:fill="auto"/>
            <w:noWrap/>
          </w:tcPr>
          <w:p w14:paraId="65AF6DE2" w14:textId="77777777" w:rsidR="00F02481" w:rsidRPr="00BE78CA" w:rsidRDefault="00F02481" w:rsidP="00DF4B3E">
            <w:pPr>
              <w:pStyle w:val="TableText"/>
              <w:spacing w:before="40" w:after="40"/>
              <w:rPr>
                <w:rFonts w:cs="Calibri"/>
              </w:rPr>
            </w:pPr>
            <w:r w:rsidRPr="00BE78CA">
              <w:rPr>
                <w:rFonts w:cs="Calibri"/>
              </w:rPr>
              <w:t>1998</w:t>
            </w:r>
          </w:p>
        </w:tc>
        <w:tc>
          <w:tcPr>
            <w:tcW w:w="941" w:type="pct"/>
            <w:tcBorders>
              <w:top w:val="single" w:sz="4" w:space="0" w:color="365F91"/>
              <w:bottom w:val="single" w:sz="4" w:space="0" w:color="365F91"/>
            </w:tcBorders>
            <w:noWrap/>
            <w:vAlign w:val="bottom"/>
          </w:tcPr>
          <w:p w14:paraId="16176B3E" w14:textId="77777777" w:rsidR="00F02481" w:rsidRPr="00BE78CA" w:rsidRDefault="00F02481" w:rsidP="00DF4B3E">
            <w:pPr>
              <w:pStyle w:val="TableText"/>
              <w:spacing w:before="40" w:after="40"/>
              <w:jc w:val="center"/>
              <w:rPr>
                <w:rFonts w:cs="Calibri"/>
              </w:rPr>
            </w:pPr>
            <w:r w:rsidRPr="00BE78CA">
              <w:rPr>
                <w:rFonts w:cs="Calibri"/>
              </w:rPr>
              <w:t>11.2</w:t>
            </w:r>
          </w:p>
        </w:tc>
        <w:tc>
          <w:tcPr>
            <w:tcW w:w="941" w:type="pct"/>
            <w:tcBorders>
              <w:top w:val="single" w:sz="4" w:space="0" w:color="365F91"/>
              <w:bottom w:val="single" w:sz="4" w:space="0" w:color="365F91"/>
              <w:right w:val="single" w:sz="4" w:space="0" w:color="365F91"/>
            </w:tcBorders>
            <w:noWrap/>
            <w:vAlign w:val="bottom"/>
          </w:tcPr>
          <w:p w14:paraId="1B79F1D5" w14:textId="77777777" w:rsidR="00F02481" w:rsidRPr="00BE78CA" w:rsidRDefault="00F02481" w:rsidP="00DF4B3E">
            <w:pPr>
              <w:pStyle w:val="TableText"/>
              <w:spacing w:before="40" w:after="40"/>
              <w:jc w:val="center"/>
              <w:rPr>
                <w:rFonts w:cs="Calibri"/>
              </w:rPr>
            </w:pPr>
            <w:r w:rsidRPr="00BE78CA">
              <w:rPr>
                <w:rFonts w:cs="Calibri"/>
              </w:rPr>
              <w:t>9.9</w:t>
            </w:r>
          </w:p>
        </w:tc>
        <w:tc>
          <w:tcPr>
            <w:tcW w:w="205" w:type="pct"/>
            <w:tcBorders>
              <w:left w:val="single" w:sz="4" w:space="0" w:color="365F91"/>
              <w:right w:val="single" w:sz="4" w:space="0" w:color="365F91"/>
            </w:tcBorders>
          </w:tcPr>
          <w:p w14:paraId="303F36B8" w14:textId="77777777" w:rsidR="00F02481" w:rsidRPr="00BE78CA" w:rsidRDefault="00F02481" w:rsidP="00DF4B3E">
            <w:pPr>
              <w:pStyle w:val="TableText"/>
              <w:spacing w:before="40" w:after="40"/>
              <w:rPr>
                <w:rFonts w:cs="Calibri"/>
                <w:bCs/>
              </w:rPr>
            </w:pPr>
          </w:p>
        </w:tc>
        <w:tc>
          <w:tcPr>
            <w:tcW w:w="580" w:type="pct"/>
            <w:tcBorders>
              <w:top w:val="single" w:sz="4" w:space="0" w:color="365F91"/>
              <w:left w:val="single" w:sz="4" w:space="0" w:color="365F91"/>
              <w:bottom w:val="single" w:sz="4" w:space="0" w:color="365F91"/>
            </w:tcBorders>
            <w:noWrap/>
          </w:tcPr>
          <w:p w14:paraId="04230F7B" w14:textId="77777777" w:rsidR="00F02481" w:rsidRPr="00BE78CA" w:rsidRDefault="00F02481" w:rsidP="00DF4B3E">
            <w:pPr>
              <w:pStyle w:val="TableText"/>
              <w:spacing w:before="40" w:after="40"/>
              <w:rPr>
                <w:rFonts w:cs="Calibri"/>
              </w:rPr>
            </w:pPr>
            <w:r w:rsidRPr="00BE78CA">
              <w:rPr>
                <w:rFonts w:cs="Calibri"/>
              </w:rPr>
              <w:t>2013</w:t>
            </w:r>
          </w:p>
        </w:tc>
        <w:tc>
          <w:tcPr>
            <w:tcW w:w="941" w:type="pct"/>
            <w:tcBorders>
              <w:top w:val="single" w:sz="4" w:space="0" w:color="365F91"/>
              <w:bottom w:val="single" w:sz="4" w:space="0" w:color="365F91"/>
            </w:tcBorders>
            <w:noWrap/>
            <w:vAlign w:val="bottom"/>
          </w:tcPr>
          <w:p w14:paraId="5015A4F8" w14:textId="77777777" w:rsidR="00F02481" w:rsidRPr="00BE78CA" w:rsidRDefault="00F02481" w:rsidP="00DF4B3E">
            <w:pPr>
              <w:pStyle w:val="TableText"/>
              <w:spacing w:before="40" w:after="40"/>
              <w:jc w:val="center"/>
              <w:rPr>
                <w:rFonts w:cs="Calibri"/>
              </w:rPr>
            </w:pPr>
            <w:r w:rsidRPr="00BE78CA">
              <w:rPr>
                <w:rFonts w:cs="Calibri"/>
              </w:rPr>
              <w:t>12.4</w:t>
            </w:r>
          </w:p>
        </w:tc>
        <w:tc>
          <w:tcPr>
            <w:tcW w:w="844" w:type="pct"/>
            <w:tcBorders>
              <w:top w:val="single" w:sz="4" w:space="0" w:color="365F91"/>
              <w:bottom w:val="single" w:sz="4" w:space="0" w:color="365F91"/>
            </w:tcBorders>
            <w:vAlign w:val="bottom"/>
          </w:tcPr>
          <w:p w14:paraId="69669C47" w14:textId="77777777" w:rsidR="00F02481" w:rsidRPr="00BE78CA" w:rsidRDefault="00F02481" w:rsidP="00DF4B3E">
            <w:pPr>
              <w:pStyle w:val="TableText"/>
              <w:spacing w:before="40" w:after="40"/>
              <w:jc w:val="center"/>
              <w:rPr>
                <w:rFonts w:cs="Calibri"/>
              </w:rPr>
            </w:pPr>
            <w:r w:rsidRPr="00BE78CA">
              <w:rPr>
                <w:rFonts w:cs="Calibri"/>
              </w:rPr>
              <w:t>11.1</w:t>
            </w:r>
          </w:p>
        </w:tc>
      </w:tr>
      <w:tr w:rsidR="00F02481" w:rsidRPr="00BE78CA" w14:paraId="60BDBFF2" w14:textId="77777777" w:rsidTr="009E184C">
        <w:tc>
          <w:tcPr>
            <w:tcW w:w="548" w:type="pct"/>
            <w:tcBorders>
              <w:top w:val="single" w:sz="4" w:space="0" w:color="365F91"/>
              <w:bottom w:val="single" w:sz="4" w:space="0" w:color="365F91"/>
            </w:tcBorders>
            <w:shd w:val="clear" w:color="auto" w:fill="auto"/>
            <w:noWrap/>
          </w:tcPr>
          <w:p w14:paraId="57D2482F" w14:textId="77777777" w:rsidR="00F02481" w:rsidRPr="00BE78CA" w:rsidRDefault="00F02481" w:rsidP="00DF4B3E">
            <w:pPr>
              <w:pStyle w:val="TableText"/>
              <w:spacing w:before="40" w:after="40"/>
              <w:rPr>
                <w:rFonts w:cs="Calibri"/>
              </w:rPr>
            </w:pPr>
            <w:r w:rsidRPr="00BE78CA">
              <w:rPr>
                <w:rFonts w:cs="Calibri"/>
              </w:rPr>
              <w:t>1999</w:t>
            </w:r>
          </w:p>
        </w:tc>
        <w:tc>
          <w:tcPr>
            <w:tcW w:w="941" w:type="pct"/>
            <w:tcBorders>
              <w:top w:val="single" w:sz="4" w:space="0" w:color="365F91"/>
              <w:bottom w:val="single" w:sz="4" w:space="0" w:color="365F91"/>
            </w:tcBorders>
            <w:noWrap/>
            <w:vAlign w:val="bottom"/>
          </w:tcPr>
          <w:p w14:paraId="39281708" w14:textId="77777777" w:rsidR="00F02481" w:rsidRPr="00BE78CA" w:rsidRDefault="00F02481" w:rsidP="00DF4B3E">
            <w:pPr>
              <w:pStyle w:val="TableText"/>
              <w:spacing w:before="40" w:after="40"/>
              <w:jc w:val="center"/>
              <w:rPr>
                <w:rFonts w:cs="Calibri"/>
              </w:rPr>
            </w:pPr>
            <w:r w:rsidRPr="00BE78CA">
              <w:rPr>
                <w:rFonts w:cs="Calibri"/>
              </w:rPr>
              <w:t>11.3</w:t>
            </w:r>
          </w:p>
        </w:tc>
        <w:tc>
          <w:tcPr>
            <w:tcW w:w="941" w:type="pct"/>
            <w:tcBorders>
              <w:top w:val="single" w:sz="4" w:space="0" w:color="365F91"/>
              <w:bottom w:val="single" w:sz="4" w:space="0" w:color="365F91"/>
              <w:right w:val="single" w:sz="4" w:space="0" w:color="365F91"/>
            </w:tcBorders>
            <w:noWrap/>
            <w:vAlign w:val="bottom"/>
          </w:tcPr>
          <w:p w14:paraId="52084D38" w14:textId="77777777" w:rsidR="00F02481" w:rsidRPr="00BE78CA" w:rsidRDefault="00F02481" w:rsidP="00DF4B3E">
            <w:pPr>
              <w:pStyle w:val="TableText"/>
              <w:spacing w:before="40" w:after="40"/>
              <w:jc w:val="center"/>
              <w:rPr>
                <w:rFonts w:cs="Calibri"/>
              </w:rPr>
            </w:pPr>
            <w:r w:rsidRPr="00BE78CA">
              <w:rPr>
                <w:rFonts w:cs="Calibri"/>
              </w:rPr>
              <w:t>9.9</w:t>
            </w:r>
          </w:p>
        </w:tc>
        <w:tc>
          <w:tcPr>
            <w:tcW w:w="205" w:type="pct"/>
            <w:tcBorders>
              <w:left w:val="single" w:sz="4" w:space="0" w:color="365F91"/>
              <w:right w:val="single" w:sz="4" w:space="0" w:color="365F91"/>
            </w:tcBorders>
          </w:tcPr>
          <w:p w14:paraId="238749D8" w14:textId="77777777" w:rsidR="00F02481" w:rsidRPr="00BE78CA" w:rsidRDefault="00F02481" w:rsidP="00DF4B3E">
            <w:pPr>
              <w:pStyle w:val="TableText"/>
              <w:spacing w:before="40" w:after="40"/>
              <w:rPr>
                <w:rFonts w:cs="Calibri"/>
                <w:bCs/>
              </w:rPr>
            </w:pPr>
          </w:p>
        </w:tc>
        <w:tc>
          <w:tcPr>
            <w:tcW w:w="580" w:type="pct"/>
            <w:tcBorders>
              <w:top w:val="single" w:sz="4" w:space="0" w:color="365F91"/>
              <w:left w:val="single" w:sz="4" w:space="0" w:color="365F91"/>
              <w:bottom w:val="single" w:sz="4" w:space="0" w:color="365F91"/>
            </w:tcBorders>
            <w:noWrap/>
          </w:tcPr>
          <w:p w14:paraId="1828978C" w14:textId="77777777" w:rsidR="00F02481" w:rsidRPr="00BE78CA" w:rsidRDefault="00F02481" w:rsidP="00DF4B3E">
            <w:pPr>
              <w:pStyle w:val="TableText"/>
              <w:spacing w:before="40" w:after="40"/>
              <w:rPr>
                <w:rFonts w:cs="Calibri"/>
              </w:rPr>
            </w:pPr>
            <w:r w:rsidRPr="00BE78CA">
              <w:rPr>
                <w:rFonts w:cs="Calibri"/>
              </w:rPr>
              <w:t>2014</w:t>
            </w:r>
          </w:p>
        </w:tc>
        <w:tc>
          <w:tcPr>
            <w:tcW w:w="941" w:type="pct"/>
            <w:tcBorders>
              <w:top w:val="single" w:sz="4" w:space="0" w:color="365F91"/>
              <w:bottom w:val="single" w:sz="4" w:space="0" w:color="365F91"/>
            </w:tcBorders>
            <w:noWrap/>
            <w:vAlign w:val="bottom"/>
          </w:tcPr>
          <w:p w14:paraId="684A928D" w14:textId="77777777" w:rsidR="00F02481" w:rsidRPr="00BE78CA" w:rsidRDefault="00F02481" w:rsidP="00DF4B3E">
            <w:pPr>
              <w:pStyle w:val="TableText"/>
              <w:spacing w:before="40" w:after="40"/>
              <w:jc w:val="center"/>
              <w:rPr>
                <w:rFonts w:cs="Calibri"/>
              </w:rPr>
            </w:pPr>
            <w:r w:rsidRPr="00BE78CA">
              <w:rPr>
                <w:rFonts w:cs="Calibri"/>
              </w:rPr>
              <w:t>12.5</w:t>
            </w:r>
          </w:p>
        </w:tc>
        <w:tc>
          <w:tcPr>
            <w:tcW w:w="844" w:type="pct"/>
            <w:tcBorders>
              <w:top w:val="single" w:sz="4" w:space="0" w:color="365F91"/>
              <w:bottom w:val="single" w:sz="4" w:space="0" w:color="365F91"/>
            </w:tcBorders>
            <w:vAlign w:val="bottom"/>
          </w:tcPr>
          <w:p w14:paraId="0FE50A03" w14:textId="77777777" w:rsidR="00F02481" w:rsidRPr="00BE78CA" w:rsidRDefault="00F02481" w:rsidP="00DF4B3E">
            <w:pPr>
              <w:pStyle w:val="TableText"/>
              <w:spacing w:before="40" w:after="40"/>
              <w:jc w:val="center"/>
              <w:rPr>
                <w:rFonts w:cs="Calibri"/>
              </w:rPr>
            </w:pPr>
            <w:r w:rsidRPr="00BE78CA">
              <w:rPr>
                <w:rFonts w:cs="Calibri"/>
              </w:rPr>
              <w:t>11.3</w:t>
            </w:r>
          </w:p>
        </w:tc>
      </w:tr>
      <w:tr w:rsidR="00F02481" w:rsidRPr="00BE78CA" w14:paraId="2C946EC2" w14:textId="77777777" w:rsidTr="009E184C">
        <w:tc>
          <w:tcPr>
            <w:tcW w:w="548" w:type="pct"/>
            <w:tcBorders>
              <w:top w:val="single" w:sz="4" w:space="0" w:color="365F91"/>
              <w:bottom w:val="single" w:sz="4" w:space="0" w:color="365F91"/>
            </w:tcBorders>
            <w:shd w:val="clear" w:color="auto" w:fill="auto"/>
            <w:noWrap/>
          </w:tcPr>
          <w:p w14:paraId="6A79A338" w14:textId="77777777" w:rsidR="00F02481" w:rsidRPr="00BE78CA" w:rsidRDefault="00F02481" w:rsidP="00DF4B3E">
            <w:pPr>
              <w:pStyle w:val="TableText"/>
              <w:spacing w:before="40" w:after="40"/>
              <w:rPr>
                <w:rFonts w:cs="Calibri"/>
              </w:rPr>
            </w:pPr>
            <w:r w:rsidRPr="00BE78CA">
              <w:rPr>
                <w:rFonts w:cs="Calibri"/>
              </w:rPr>
              <w:lastRenderedPageBreak/>
              <w:t>2000</w:t>
            </w:r>
          </w:p>
        </w:tc>
        <w:tc>
          <w:tcPr>
            <w:tcW w:w="941" w:type="pct"/>
            <w:tcBorders>
              <w:top w:val="single" w:sz="4" w:space="0" w:color="365F91"/>
              <w:bottom w:val="single" w:sz="4" w:space="0" w:color="365F91"/>
            </w:tcBorders>
            <w:noWrap/>
            <w:vAlign w:val="bottom"/>
          </w:tcPr>
          <w:p w14:paraId="5777824B" w14:textId="77777777" w:rsidR="00F02481" w:rsidRPr="00BE78CA" w:rsidRDefault="00F02481" w:rsidP="00DF4B3E">
            <w:pPr>
              <w:pStyle w:val="TableText"/>
              <w:spacing w:before="40" w:after="40"/>
              <w:jc w:val="center"/>
              <w:rPr>
                <w:rFonts w:cs="Calibri"/>
              </w:rPr>
            </w:pPr>
            <w:r w:rsidRPr="00BE78CA">
              <w:rPr>
                <w:rFonts w:cs="Calibri"/>
              </w:rPr>
              <w:t>11.4</w:t>
            </w:r>
          </w:p>
        </w:tc>
        <w:tc>
          <w:tcPr>
            <w:tcW w:w="941" w:type="pct"/>
            <w:tcBorders>
              <w:top w:val="single" w:sz="4" w:space="0" w:color="365F91"/>
              <w:bottom w:val="single" w:sz="4" w:space="0" w:color="365F91"/>
              <w:right w:val="single" w:sz="4" w:space="0" w:color="365F91"/>
            </w:tcBorders>
            <w:noWrap/>
            <w:vAlign w:val="bottom"/>
          </w:tcPr>
          <w:p w14:paraId="1ECE671E" w14:textId="77777777" w:rsidR="00F02481" w:rsidRPr="00BE78CA" w:rsidRDefault="00F02481" w:rsidP="00DF4B3E">
            <w:pPr>
              <w:pStyle w:val="TableText"/>
              <w:spacing w:before="40" w:after="40"/>
              <w:jc w:val="center"/>
              <w:rPr>
                <w:rFonts w:cs="Calibri"/>
              </w:rPr>
            </w:pPr>
            <w:r w:rsidRPr="00BE78CA">
              <w:rPr>
                <w:rFonts w:cs="Calibri"/>
              </w:rPr>
              <w:t>10.2</w:t>
            </w:r>
          </w:p>
        </w:tc>
        <w:tc>
          <w:tcPr>
            <w:tcW w:w="205" w:type="pct"/>
            <w:tcBorders>
              <w:left w:val="single" w:sz="4" w:space="0" w:color="365F91"/>
              <w:right w:val="single" w:sz="4" w:space="0" w:color="365F91"/>
            </w:tcBorders>
          </w:tcPr>
          <w:p w14:paraId="6F56A4A4" w14:textId="77777777" w:rsidR="00F02481" w:rsidRPr="00BE78CA" w:rsidRDefault="00F02481" w:rsidP="00DF4B3E">
            <w:pPr>
              <w:pStyle w:val="TableText"/>
              <w:spacing w:before="40" w:after="40"/>
              <w:rPr>
                <w:rFonts w:cs="Calibri"/>
                <w:bCs/>
              </w:rPr>
            </w:pPr>
          </w:p>
        </w:tc>
        <w:tc>
          <w:tcPr>
            <w:tcW w:w="580" w:type="pct"/>
            <w:tcBorders>
              <w:top w:val="single" w:sz="4" w:space="0" w:color="365F91"/>
              <w:left w:val="single" w:sz="4" w:space="0" w:color="365F91"/>
              <w:bottom w:val="single" w:sz="4" w:space="0" w:color="365F91"/>
            </w:tcBorders>
            <w:noWrap/>
          </w:tcPr>
          <w:p w14:paraId="69F71100" w14:textId="77777777" w:rsidR="00F02481" w:rsidRPr="00BE78CA" w:rsidRDefault="00F02481" w:rsidP="00DF4B3E">
            <w:pPr>
              <w:pStyle w:val="TableText"/>
              <w:spacing w:before="40" w:after="40"/>
              <w:rPr>
                <w:rFonts w:cs="Calibri"/>
              </w:rPr>
            </w:pPr>
            <w:r w:rsidRPr="00BE78CA">
              <w:rPr>
                <w:rFonts w:cs="Calibri"/>
              </w:rPr>
              <w:t>2015</w:t>
            </w:r>
          </w:p>
        </w:tc>
        <w:tc>
          <w:tcPr>
            <w:tcW w:w="941" w:type="pct"/>
            <w:tcBorders>
              <w:top w:val="single" w:sz="4" w:space="0" w:color="365F91"/>
              <w:bottom w:val="single" w:sz="4" w:space="0" w:color="365F91"/>
            </w:tcBorders>
            <w:noWrap/>
            <w:vAlign w:val="bottom"/>
          </w:tcPr>
          <w:p w14:paraId="46541CB8" w14:textId="77777777" w:rsidR="00F02481" w:rsidRPr="00BE78CA" w:rsidRDefault="00F02481" w:rsidP="00DF4B3E">
            <w:pPr>
              <w:pStyle w:val="TableText"/>
              <w:spacing w:before="40" w:after="40"/>
              <w:jc w:val="center"/>
              <w:rPr>
                <w:rFonts w:cs="Calibri"/>
              </w:rPr>
            </w:pPr>
            <w:r w:rsidRPr="00BE78CA">
              <w:rPr>
                <w:rFonts w:cs="Calibri"/>
              </w:rPr>
              <w:t>12.6</w:t>
            </w:r>
          </w:p>
        </w:tc>
        <w:tc>
          <w:tcPr>
            <w:tcW w:w="844" w:type="pct"/>
            <w:tcBorders>
              <w:top w:val="single" w:sz="4" w:space="0" w:color="365F91"/>
              <w:bottom w:val="single" w:sz="4" w:space="0" w:color="365F91"/>
            </w:tcBorders>
            <w:vAlign w:val="bottom"/>
          </w:tcPr>
          <w:p w14:paraId="23DE9204" w14:textId="77777777" w:rsidR="00F02481" w:rsidRPr="00BE78CA" w:rsidRDefault="00F02481" w:rsidP="00DF4B3E">
            <w:pPr>
              <w:pStyle w:val="TableText"/>
              <w:spacing w:before="40" w:after="40"/>
              <w:jc w:val="center"/>
              <w:rPr>
                <w:rFonts w:cs="Calibri"/>
              </w:rPr>
            </w:pPr>
            <w:r w:rsidRPr="00BE78CA">
              <w:rPr>
                <w:rFonts w:cs="Calibri"/>
              </w:rPr>
              <w:t>11.4</w:t>
            </w:r>
          </w:p>
        </w:tc>
      </w:tr>
      <w:tr w:rsidR="00F02481" w:rsidRPr="00BE78CA" w14:paraId="721E0403" w14:textId="77777777" w:rsidTr="009E184C">
        <w:tc>
          <w:tcPr>
            <w:tcW w:w="548" w:type="pct"/>
            <w:tcBorders>
              <w:top w:val="single" w:sz="4" w:space="0" w:color="365F91"/>
              <w:bottom w:val="single" w:sz="4" w:space="0" w:color="365F91"/>
            </w:tcBorders>
            <w:shd w:val="clear" w:color="auto" w:fill="auto"/>
            <w:noWrap/>
          </w:tcPr>
          <w:p w14:paraId="5569D102" w14:textId="77777777" w:rsidR="00F02481" w:rsidRPr="00BE78CA" w:rsidRDefault="00F02481" w:rsidP="00DF4B3E">
            <w:pPr>
              <w:pStyle w:val="TableText"/>
              <w:spacing w:before="40" w:after="40"/>
              <w:rPr>
                <w:rFonts w:cs="Calibri"/>
              </w:rPr>
            </w:pPr>
            <w:r w:rsidRPr="00BE78CA">
              <w:rPr>
                <w:rFonts w:cs="Calibri"/>
              </w:rPr>
              <w:t>2001</w:t>
            </w:r>
          </w:p>
        </w:tc>
        <w:tc>
          <w:tcPr>
            <w:tcW w:w="941" w:type="pct"/>
            <w:tcBorders>
              <w:top w:val="single" w:sz="4" w:space="0" w:color="365F91"/>
              <w:bottom w:val="single" w:sz="4" w:space="0" w:color="365F91"/>
            </w:tcBorders>
            <w:noWrap/>
            <w:vAlign w:val="bottom"/>
          </w:tcPr>
          <w:p w14:paraId="57840CF9" w14:textId="77777777" w:rsidR="00F02481" w:rsidRPr="00BE78CA" w:rsidRDefault="00F02481" w:rsidP="00DF4B3E">
            <w:pPr>
              <w:pStyle w:val="TableText"/>
              <w:spacing w:before="40" w:after="40"/>
              <w:jc w:val="center"/>
              <w:rPr>
                <w:rFonts w:cs="Calibri"/>
              </w:rPr>
            </w:pPr>
            <w:r w:rsidRPr="00BE78CA">
              <w:rPr>
                <w:rFonts w:cs="Calibri"/>
              </w:rPr>
              <w:t>11.5</w:t>
            </w:r>
          </w:p>
        </w:tc>
        <w:tc>
          <w:tcPr>
            <w:tcW w:w="941" w:type="pct"/>
            <w:tcBorders>
              <w:top w:val="single" w:sz="4" w:space="0" w:color="365F91"/>
              <w:bottom w:val="single" w:sz="4" w:space="0" w:color="365F91"/>
              <w:right w:val="single" w:sz="4" w:space="0" w:color="365F91"/>
            </w:tcBorders>
            <w:noWrap/>
            <w:vAlign w:val="bottom"/>
          </w:tcPr>
          <w:p w14:paraId="7FF27EBA" w14:textId="77777777" w:rsidR="00F02481" w:rsidRPr="00BE78CA" w:rsidRDefault="00F02481" w:rsidP="00DF4B3E">
            <w:pPr>
              <w:pStyle w:val="TableText"/>
              <w:spacing w:before="40" w:after="40"/>
              <w:jc w:val="center"/>
              <w:rPr>
                <w:rFonts w:cs="Calibri"/>
              </w:rPr>
            </w:pPr>
            <w:r w:rsidRPr="00BE78CA">
              <w:rPr>
                <w:rFonts w:cs="Calibri"/>
              </w:rPr>
              <w:t>10.5</w:t>
            </w:r>
          </w:p>
        </w:tc>
        <w:tc>
          <w:tcPr>
            <w:tcW w:w="205" w:type="pct"/>
            <w:tcBorders>
              <w:left w:val="single" w:sz="4" w:space="0" w:color="365F91"/>
              <w:right w:val="single" w:sz="4" w:space="0" w:color="365F91"/>
            </w:tcBorders>
          </w:tcPr>
          <w:p w14:paraId="14F49059" w14:textId="77777777" w:rsidR="00F02481" w:rsidRPr="00BE78CA" w:rsidRDefault="00F02481" w:rsidP="00DF4B3E">
            <w:pPr>
              <w:pStyle w:val="TableText"/>
              <w:spacing w:before="40" w:after="40"/>
              <w:rPr>
                <w:rFonts w:cs="Calibri"/>
                <w:bCs/>
              </w:rPr>
            </w:pPr>
          </w:p>
        </w:tc>
        <w:tc>
          <w:tcPr>
            <w:tcW w:w="580" w:type="pct"/>
            <w:tcBorders>
              <w:top w:val="single" w:sz="4" w:space="0" w:color="365F91"/>
              <w:left w:val="single" w:sz="4" w:space="0" w:color="365F91"/>
              <w:bottom w:val="single" w:sz="4" w:space="0" w:color="365F91"/>
            </w:tcBorders>
            <w:noWrap/>
          </w:tcPr>
          <w:p w14:paraId="055253AB" w14:textId="77777777" w:rsidR="00F02481" w:rsidRPr="00BE78CA" w:rsidRDefault="00F02481" w:rsidP="00DF4B3E">
            <w:pPr>
              <w:pStyle w:val="TableText"/>
              <w:spacing w:before="40" w:after="40"/>
              <w:rPr>
                <w:rFonts w:cs="Calibri"/>
              </w:rPr>
            </w:pPr>
            <w:r w:rsidRPr="00BE78CA">
              <w:rPr>
                <w:rFonts w:cs="Calibri"/>
              </w:rPr>
              <w:t>2016</w:t>
            </w:r>
          </w:p>
        </w:tc>
        <w:tc>
          <w:tcPr>
            <w:tcW w:w="941" w:type="pct"/>
            <w:tcBorders>
              <w:top w:val="single" w:sz="4" w:space="0" w:color="365F91"/>
              <w:bottom w:val="single" w:sz="4" w:space="0" w:color="365F91"/>
            </w:tcBorders>
            <w:noWrap/>
            <w:vAlign w:val="bottom"/>
          </w:tcPr>
          <w:p w14:paraId="4260767A" w14:textId="77777777" w:rsidR="00F02481" w:rsidRPr="00BE78CA" w:rsidRDefault="00F02481" w:rsidP="00DF4B3E">
            <w:pPr>
              <w:pStyle w:val="TableText"/>
              <w:spacing w:before="40" w:after="40"/>
              <w:jc w:val="center"/>
              <w:rPr>
                <w:rFonts w:cs="Calibri"/>
              </w:rPr>
            </w:pPr>
            <w:r w:rsidRPr="00BE78CA">
              <w:rPr>
                <w:rFonts w:cs="Calibri"/>
              </w:rPr>
              <w:t>12.7</w:t>
            </w:r>
          </w:p>
        </w:tc>
        <w:tc>
          <w:tcPr>
            <w:tcW w:w="844" w:type="pct"/>
            <w:tcBorders>
              <w:top w:val="single" w:sz="4" w:space="0" w:color="365F91"/>
              <w:bottom w:val="single" w:sz="4" w:space="0" w:color="365F91"/>
            </w:tcBorders>
            <w:vAlign w:val="bottom"/>
          </w:tcPr>
          <w:p w14:paraId="09ADF85F" w14:textId="77777777" w:rsidR="00F02481" w:rsidRPr="00BE78CA" w:rsidRDefault="00F02481" w:rsidP="00DF4B3E">
            <w:pPr>
              <w:pStyle w:val="TableText"/>
              <w:spacing w:before="40" w:after="40"/>
              <w:jc w:val="center"/>
              <w:rPr>
                <w:rFonts w:cs="Calibri"/>
              </w:rPr>
            </w:pPr>
            <w:r w:rsidRPr="00BE78CA">
              <w:rPr>
                <w:rFonts w:cs="Calibri"/>
              </w:rPr>
              <w:t>11.3</w:t>
            </w:r>
          </w:p>
        </w:tc>
      </w:tr>
      <w:tr w:rsidR="00F02481" w:rsidRPr="00BE78CA" w14:paraId="63796F68" w14:textId="77777777" w:rsidTr="009E184C">
        <w:tc>
          <w:tcPr>
            <w:tcW w:w="548" w:type="pct"/>
            <w:tcBorders>
              <w:top w:val="single" w:sz="4" w:space="0" w:color="365F91"/>
              <w:bottom w:val="single" w:sz="4" w:space="0" w:color="365F91"/>
            </w:tcBorders>
            <w:shd w:val="clear" w:color="auto" w:fill="auto"/>
            <w:noWrap/>
          </w:tcPr>
          <w:p w14:paraId="048CED71" w14:textId="77777777" w:rsidR="00F02481" w:rsidRPr="00BE78CA" w:rsidRDefault="00F02481" w:rsidP="00DF4B3E">
            <w:pPr>
              <w:pStyle w:val="TableText"/>
              <w:spacing w:before="40" w:after="40"/>
              <w:rPr>
                <w:rFonts w:cs="Calibri"/>
              </w:rPr>
            </w:pPr>
            <w:r w:rsidRPr="00BE78CA">
              <w:rPr>
                <w:rFonts w:cs="Calibri"/>
              </w:rPr>
              <w:t>2002</w:t>
            </w:r>
          </w:p>
        </w:tc>
        <w:tc>
          <w:tcPr>
            <w:tcW w:w="941" w:type="pct"/>
            <w:tcBorders>
              <w:top w:val="single" w:sz="4" w:space="0" w:color="365F91"/>
              <w:bottom w:val="single" w:sz="4" w:space="0" w:color="365F91"/>
            </w:tcBorders>
            <w:noWrap/>
            <w:vAlign w:val="bottom"/>
          </w:tcPr>
          <w:p w14:paraId="2D7DAF64" w14:textId="77777777" w:rsidR="00F02481" w:rsidRPr="00BE78CA" w:rsidRDefault="00F02481" w:rsidP="00DF4B3E">
            <w:pPr>
              <w:pStyle w:val="TableText"/>
              <w:spacing w:before="40" w:after="40"/>
              <w:jc w:val="center"/>
              <w:rPr>
                <w:rFonts w:cs="Calibri"/>
              </w:rPr>
            </w:pPr>
            <w:r w:rsidRPr="00BE78CA">
              <w:rPr>
                <w:rFonts w:cs="Calibri"/>
              </w:rPr>
              <w:t>11.5</w:t>
            </w:r>
          </w:p>
        </w:tc>
        <w:tc>
          <w:tcPr>
            <w:tcW w:w="941" w:type="pct"/>
            <w:tcBorders>
              <w:top w:val="single" w:sz="4" w:space="0" w:color="365F91"/>
              <w:bottom w:val="single" w:sz="4" w:space="0" w:color="365F91"/>
              <w:right w:val="single" w:sz="4" w:space="0" w:color="365F91"/>
            </w:tcBorders>
            <w:noWrap/>
            <w:vAlign w:val="bottom"/>
          </w:tcPr>
          <w:p w14:paraId="49BE50AA" w14:textId="77777777" w:rsidR="00F02481" w:rsidRPr="00BE78CA" w:rsidRDefault="00F02481" w:rsidP="00DF4B3E">
            <w:pPr>
              <w:pStyle w:val="TableText"/>
              <w:spacing w:before="40" w:after="40"/>
              <w:jc w:val="center"/>
              <w:rPr>
                <w:rFonts w:cs="Calibri"/>
              </w:rPr>
            </w:pPr>
            <w:r w:rsidRPr="00BE78CA">
              <w:rPr>
                <w:rFonts w:cs="Calibri"/>
              </w:rPr>
              <w:t>10.2</w:t>
            </w:r>
          </w:p>
        </w:tc>
        <w:tc>
          <w:tcPr>
            <w:tcW w:w="205" w:type="pct"/>
            <w:tcBorders>
              <w:left w:val="single" w:sz="4" w:space="0" w:color="365F91"/>
              <w:right w:val="single" w:sz="4" w:space="0" w:color="365F91"/>
            </w:tcBorders>
          </w:tcPr>
          <w:p w14:paraId="25297296" w14:textId="77777777" w:rsidR="00F02481" w:rsidRPr="00BE78CA" w:rsidRDefault="00F02481" w:rsidP="00DF4B3E">
            <w:pPr>
              <w:pStyle w:val="TableText"/>
              <w:spacing w:before="40" w:after="40"/>
              <w:rPr>
                <w:rFonts w:cs="Calibri"/>
                <w:bCs/>
              </w:rPr>
            </w:pPr>
          </w:p>
        </w:tc>
        <w:tc>
          <w:tcPr>
            <w:tcW w:w="580" w:type="pct"/>
            <w:tcBorders>
              <w:top w:val="single" w:sz="4" w:space="0" w:color="365F91"/>
              <w:left w:val="single" w:sz="4" w:space="0" w:color="365F91"/>
              <w:bottom w:val="single" w:sz="4" w:space="0" w:color="365F91"/>
            </w:tcBorders>
            <w:noWrap/>
          </w:tcPr>
          <w:p w14:paraId="421D9C64" w14:textId="77777777" w:rsidR="00F02481" w:rsidRPr="00BE78CA" w:rsidRDefault="00F02481" w:rsidP="00DF4B3E">
            <w:pPr>
              <w:pStyle w:val="TableText"/>
              <w:spacing w:before="40" w:after="40"/>
              <w:rPr>
                <w:rFonts w:cs="Calibri"/>
              </w:rPr>
            </w:pPr>
            <w:r w:rsidRPr="00BE78CA">
              <w:rPr>
                <w:rFonts w:cs="Calibri"/>
              </w:rPr>
              <w:t>2017</w:t>
            </w:r>
          </w:p>
        </w:tc>
        <w:tc>
          <w:tcPr>
            <w:tcW w:w="941" w:type="pct"/>
            <w:tcBorders>
              <w:top w:val="single" w:sz="4" w:space="0" w:color="365F91"/>
              <w:bottom w:val="single" w:sz="4" w:space="0" w:color="365F91"/>
            </w:tcBorders>
            <w:noWrap/>
            <w:vAlign w:val="bottom"/>
          </w:tcPr>
          <w:p w14:paraId="05056F24" w14:textId="77777777" w:rsidR="00F02481" w:rsidRPr="00BE78CA" w:rsidRDefault="00F02481" w:rsidP="00DF4B3E">
            <w:pPr>
              <w:pStyle w:val="TableText"/>
              <w:spacing w:before="40" w:after="40"/>
              <w:jc w:val="center"/>
              <w:rPr>
                <w:rFonts w:cs="Calibri"/>
              </w:rPr>
            </w:pPr>
            <w:r w:rsidRPr="00BE78CA">
              <w:rPr>
                <w:rFonts w:cs="Calibri"/>
              </w:rPr>
              <w:t>12.8</w:t>
            </w:r>
          </w:p>
        </w:tc>
        <w:tc>
          <w:tcPr>
            <w:tcW w:w="844" w:type="pct"/>
            <w:tcBorders>
              <w:top w:val="single" w:sz="4" w:space="0" w:color="365F91"/>
              <w:bottom w:val="single" w:sz="4" w:space="0" w:color="365F91"/>
            </w:tcBorders>
            <w:vAlign w:val="bottom"/>
          </w:tcPr>
          <w:p w14:paraId="3C855E24" w14:textId="77777777" w:rsidR="00F02481" w:rsidRPr="00BE78CA" w:rsidRDefault="00F02481" w:rsidP="00DF4B3E">
            <w:pPr>
              <w:pStyle w:val="TableText"/>
              <w:spacing w:before="40" w:after="40"/>
              <w:jc w:val="center"/>
              <w:rPr>
                <w:rFonts w:cs="Calibri"/>
              </w:rPr>
            </w:pPr>
            <w:r w:rsidRPr="00BE78CA">
              <w:rPr>
                <w:rFonts w:cs="Calibri"/>
              </w:rPr>
              <w:t>11.3</w:t>
            </w:r>
          </w:p>
        </w:tc>
      </w:tr>
      <w:tr w:rsidR="00F02481" w:rsidRPr="00BE78CA" w14:paraId="480D0FC9" w14:textId="77777777" w:rsidTr="009E184C">
        <w:tc>
          <w:tcPr>
            <w:tcW w:w="548" w:type="pct"/>
            <w:tcBorders>
              <w:top w:val="single" w:sz="4" w:space="0" w:color="365F91"/>
              <w:bottom w:val="single" w:sz="4" w:space="0" w:color="365F91"/>
            </w:tcBorders>
            <w:shd w:val="clear" w:color="auto" w:fill="auto"/>
            <w:noWrap/>
          </w:tcPr>
          <w:p w14:paraId="44B3CAF0" w14:textId="77777777" w:rsidR="00F02481" w:rsidRPr="00BE78CA" w:rsidRDefault="00F02481" w:rsidP="00DF4B3E">
            <w:pPr>
              <w:pStyle w:val="TableText"/>
              <w:spacing w:before="40" w:after="40"/>
              <w:rPr>
                <w:rFonts w:cs="Calibri"/>
              </w:rPr>
            </w:pPr>
            <w:r w:rsidRPr="00BE78CA">
              <w:rPr>
                <w:rFonts w:cs="Calibri"/>
              </w:rPr>
              <w:t>2003</w:t>
            </w:r>
          </w:p>
        </w:tc>
        <w:tc>
          <w:tcPr>
            <w:tcW w:w="941" w:type="pct"/>
            <w:tcBorders>
              <w:top w:val="single" w:sz="4" w:space="0" w:color="365F91"/>
              <w:bottom w:val="single" w:sz="4" w:space="0" w:color="365F91"/>
            </w:tcBorders>
            <w:noWrap/>
            <w:vAlign w:val="bottom"/>
          </w:tcPr>
          <w:p w14:paraId="407D3114" w14:textId="77777777" w:rsidR="00F02481" w:rsidRPr="00BE78CA" w:rsidRDefault="00F02481" w:rsidP="00DF4B3E">
            <w:pPr>
              <w:pStyle w:val="TableText"/>
              <w:spacing w:before="40" w:after="40"/>
              <w:jc w:val="center"/>
              <w:rPr>
                <w:rFonts w:cs="Calibri"/>
              </w:rPr>
            </w:pPr>
            <w:r w:rsidRPr="00BE78CA">
              <w:rPr>
                <w:rFonts w:cs="Calibri"/>
              </w:rPr>
              <w:t>11.6</w:t>
            </w:r>
          </w:p>
        </w:tc>
        <w:tc>
          <w:tcPr>
            <w:tcW w:w="941" w:type="pct"/>
            <w:tcBorders>
              <w:top w:val="single" w:sz="4" w:space="0" w:color="365F91"/>
              <w:bottom w:val="single" w:sz="4" w:space="0" w:color="365F91"/>
              <w:right w:val="single" w:sz="4" w:space="0" w:color="365F91"/>
            </w:tcBorders>
            <w:noWrap/>
            <w:vAlign w:val="bottom"/>
          </w:tcPr>
          <w:p w14:paraId="1DD0A894" w14:textId="77777777" w:rsidR="00F02481" w:rsidRPr="00BE78CA" w:rsidRDefault="00F02481" w:rsidP="00DF4B3E">
            <w:pPr>
              <w:pStyle w:val="TableText"/>
              <w:spacing w:before="40" w:after="40"/>
              <w:jc w:val="center"/>
              <w:rPr>
                <w:rFonts w:cs="Calibri"/>
              </w:rPr>
            </w:pPr>
            <w:r w:rsidRPr="00BE78CA">
              <w:rPr>
                <w:rFonts w:cs="Calibri"/>
              </w:rPr>
              <w:t>10.1</w:t>
            </w:r>
          </w:p>
        </w:tc>
        <w:tc>
          <w:tcPr>
            <w:tcW w:w="205" w:type="pct"/>
            <w:tcBorders>
              <w:left w:val="single" w:sz="4" w:space="0" w:color="365F91"/>
              <w:right w:val="single" w:sz="4" w:space="0" w:color="365F91"/>
            </w:tcBorders>
          </w:tcPr>
          <w:p w14:paraId="68E00736" w14:textId="77777777" w:rsidR="00F02481" w:rsidRPr="00BE78CA" w:rsidRDefault="00F02481" w:rsidP="00DF4B3E">
            <w:pPr>
              <w:pStyle w:val="TableText"/>
              <w:spacing w:before="40" w:after="40"/>
              <w:rPr>
                <w:rFonts w:cs="Calibri"/>
                <w:bCs/>
              </w:rPr>
            </w:pPr>
          </w:p>
        </w:tc>
        <w:tc>
          <w:tcPr>
            <w:tcW w:w="580" w:type="pct"/>
            <w:tcBorders>
              <w:top w:val="single" w:sz="4" w:space="0" w:color="365F91"/>
              <w:left w:val="single" w:sz="4" w:space="0" w:color="365F91"/>
              <w:bottom w:val="single" w:sz="4" w:space="0" w:color="365F91"/>
            </w:tcBorders>
            <w:noWrap/>
          </w:tcPr>
          <w:p w14:paraId="75818D76" w14:textId="77777777" w:rsidR="00F02481" w:rsidRPr="00BE78CA" w:rsidRDefault="00F02481" w:rsidP="00DF4B3E">
            <w:pPr>
              <w:pStyle w:val="TableText"/>
              <w:spacing w:before="40" w:after="40"/>
              <w:rPr>
                <w:rFonts w:cs="Calibri"/>
              </w:rPr>
            </w:pPr>
            <w:r w:rsidRPr="00BE78CA">
              <w:rPr>
                <w:rFonts w:cs="Calibri"/>
              </w:rPr>
              <w:t>2018</w:t>
            </w:r>
          </w:p>
        </w:tc>
        <w:tc>
          <w:tcPr>
            <w:tcW w:w="941" w:type="pct"/>
            <w:tcBorders>
              <w:top w:val="single" w:sz="4" w:space="0" w:color="365F91"/>
              <w:bottom w:val="single" w:sz="4" w:space="0" w:color="365F91"/>
            </w:tcBorders>
            <w:noWrap/>
            <w:vAlign w:val="bottom"/>
          </w:tcPr>
          <w:p w14:paraId="061CE8D3" w14:textId="77777777" w:rsidR="00F02481" w:rsidRPr="00BE78CA" w:rsidRDefault="00F02481" w:rsidP="00DF4B3E">
            <w:pPr>
              <w:pStyle w:val="TableText"/>
              <w:spacing w:before="40" w:after="40"/>
              <w:jc w:val="center"/>
              <w:rPr>
                <w:rFonts w:cs="Calibri"/>
              </w:rPr>
            </w:pPr>
            <w:r w:rsidRPr="00BE78CA">
              <w:rPr>
                <w:rFonts w:cs="Calibri"/>
              </w:rPr>
              <w:t>12.7</w:t>
            </w:r>
          </w:p>
        </w:tc>
        <w:tc>
          <w:tcPr>
            <w:tcW w:w="844" w:type="pct"/>
            <w:tcBorders>
              <w:top w:val="single" w:sz="4" w:space="0" w:color="365F91"/>
              <w:bottom w:val="single" w:sz="4" w:space="0" w:color="365F91"/>
            </w:tcBorders>
            <w:vAlign w:val="bottom"/>
          </w:tcPr>
          <w:p w14:paraId="1E1C8AFF" w14:textId="77777777" w:rsidR="00F02481" w:rsidRPr="00BE78CA" w:rsidRDefault="00F02481" w:rsidP="00DF4B3E">
            <w:pPr>
              <w:pStyle w:val="TableText"/>
              <w:spacing w:before="40" w:after="40"/>
              <w:jc w:val="center"/>
              <w:rPr>
                <w:rFonts w:cs="Calibri"/>
              </w:rPr>
            </w:pPr>
            <w:r w:rsidRPr="00BE78CA">
              <w:rPr>
                <w:rFonts w:cs="Calibri"/>
              </w:rPr>
              <w:t>11.4</w:t>
            </w:r>
          </w:p>
        </w:tc>
      </w:tr>
      <w:tr w:rsidR="00F02481" w:rsidRPr="00BE78CA" w14:paraId="2354D6C2" w14:textId="77777777" w:rsidTr="009E184C">
        <w:tc>
          <w:tcPr>
            <w:tcW w:w="548" w:type="pct"/>
            <w:tcBorders>
              <w:top w:val="single" w:sz="4" w:space="0" w:color="365F91"/>
              <w:bottom w:val="single" w:sz="4" w:space="0" w:color="365F91"/>
            </w:tcBorders>
            <w:shd w:val="clear" w:color="auto" w:fill="auto"/>
            <w:noWrap/>
          </w:tcPr>
          <w:p w14:paraId="38235FDF" w14:textId="77777777" w:rsidR="00F02481" w:rsidRPr="00BE78CA" w:rsidRDefault="00F02481" w:rsidP="00DF4B3E">
            <w:pPr>
              <w:pStyle w:val="TableText"/>
              <w:spacing w:before="40" w:after="40"/>
              <w:rPr>
                <w:rFonts w:cs="Calibri"/>
              </w:rPr>
            </w:pPr>
            <w:r w:rsidRPr="00BE78CA">
              <w:rPr>
                <w:rFonts w:cs="Calibri"/>
              </w:rPr>
              <w:t>2004</w:t>
            </w:r>
          </w:p>
        </w:tc>
        <w:tc>
          <w:tcPr>
            <w:tcW w:w="941" w:type="pct"/>
            <w:tcBorders>
              <w:top w:val="single" w:sz="4" w:space="0" w:color="365F91"/>
              <w:bottom w:val="single" w:sz="4" w:space="0" w:color="365F91"/>
            </w:tcBorders>
            <w:noWrap/>
            <w:vAlign w:val="bottom"/>
          </w:tcPr>
          <w:p w14:paraId="4021BD49" w14:textId="77777777" w:rsidR="00F02481" w:rsidRPr="00BE78CA" w:rsidRDefault="00F02481" w:rsidP="00DF4B3E">
            <w:pPr>
              <w:pStyle w:val="TableText"/>
              <w:spacing w:before="40" w:after="40"/>
              <w:jc w:val="center"/>
              <w:rPr>
                <w:rFonts w:cs="Calibri"/>
              </w:rPr>
            </w:pPr>
            <w:r w:rsidRPr="00BE78CA">
              <w:rPr>
                <w:rFonts w:cs="Calibri"/>
              </w:rPr>
              <w:t>11.7</w:t>
            </w:r>
          </w:p>
        </w:tc>
        <w:tc>
          <w:tcPr>
            <w:tcW w:w="941" w:type="pct"/>
            <w:tcBorders>
              <w:top w:val="single" w:sz="4" w:space="0" w:color="365F91"/>
              <w:bottom w:val="single" w:sz="4" w:space="0" w:color="365F91"/>
              <w:right w:val="single" w:sz="4" w:space="0" w:color="365F91"/>
            </w:tcBorders>
            <w:noWrap/>
            <w:vAlign w:val="bottom"/>
          </w:tcPr>
          <w:p w14:paraId="69677A1A" w14:textId="77777777" w:rsidR="00F02481" w:rsidRPr="00BE78CA" w:rsidRDefault="00F02481" w:rsidP="00DF4B3E">
            <w:pPr>
              <w:pStyle w:val="TableText"/>
              <w:spacing w:before="40" w:after="40"/>
              <w:jc w:val="center"/>
              <w:rPr>
                <w:rFonts w:cs="Calibri"/>
              </w:rPr>
            </w:pPr>
            <w:r w:rsidRPr="00BE78CA">
              <w:rPr>
                <w:rFonts w:cs="Calibri"/>
              </w:rPr>
              <w:t>10.5</w:t>
            </w:r>
          </w:p>
        </w:tc>
        <w:tc>
          <w:tcPr>
            <w:tcW w:w="205" w:type="pct"/>
            <w:tcBorders>
              <w:left w:val="single" w:sz="4" w:space="0" w:color="365F91"/>
              <w:right w:val="single" w:sz="4" w:space="0" w:color="365F91"/>
            </w:tcBorders>
          </w:tcPr>
          <w:p w14:paraId="41C41674" w14:textId="77777777" w:rsidR="00F02481" w:rsidRPr="00BE78CA" w:rsidRDefault="00F02481" w:rsidP="00DF4B3E">
            <w:pPr>
              <w:pStyle w:val="TableText"/>
              <w:spacing w:before="40" w:after="40"/>
              <w:rPr>
                <w:rFonts w:cs="Calibri"/>
                <w:bCs/>
              </w:rPr>
            </w:pPr>
          </w:p>
        </w:tc>
        <w:tc>
          <w:tcPr>
            <w:tcW w:w="580" w:type="pct"/>
            <w:tcBorders>
              <w:top w:val="single" w:sz="4" w:space="0" w:color="365F91"/>
              <w:left w:val="single" w:sz="4" w:space="0" w:color="365F91"/>
              <w:bottom w:val="single" w:sz="4" w:space="0" w:color="365F91"/>
            </w:tcBorders>
            <w:noWrap/>
          </w:tcPr>
          <w:p w14:paraId="1A9E4645" w14:textId="77777777" w:rsidR="00F02481" w:rsidRPr="00BE78CA" w:rsidRDefault="00F02481" w:rsidP="00DF4B3E">
            <w:pPr>
              <w:pStyle w:val="TableText"/>
              <w:spacing w:before="40" w:after="40"/>
              <w:rPr>
                <w:rFonts w:cs="Calibri"/>
              </w:rPr>
            </w:pPr>
            <w:r w:rsidRPr="00BE78CA">
              <w:rPr>
                <w:rFonts w:cs="Calibri"/>
              </w:rPr>
              <w:t>2019</w:t>
            </w:r>
          </w:p>
        </w:tc>
        <w:tc>
          <w:tcPr>
            <w:tcW w:w="941" w:type="pct"/>
            <w:tcBorders>
              <w:top w:val="single" w:sz="4" w:space="0" w:color="365F91"/>
              <w:bottom w:val="single" w:sz="4" w:space="0" w:color="365F91"/>
            </w:tcBorders>
            <w:noWrap/>
            <w:vAlign w:val="bottom"/>
          </w:tcPr>
          <w:p w14:paraId="44FA8EA5" w14:textId="77777777" w:rsidR="00F02481" w:rsidRPr="00BE78CA" w:rsidRDefault="00F02481" w:rsidP="00DF4B3E">
            <w:pPr>
              <w:pStyle w:val="TableText"/>
              <w:spacing w:before="40" w:after="40"/>
              <w:jc w:val="center"/>
              <w:rPr>
                <w:rFonts w:cs="Calibri"/>
              </w:rPr>
            </w:pPr>
            <w:r w:rsidRPr="00BE78CA">
              <w:rPr>
                <w:rFonts w:cs="Calibri"/>
              </w:rPr>
              <w:t>12.7</w:t>
            </w:r>
          </w:p>
        </w:tc>
        <w:tc>
          <w:tcPr>
            <w:tcW w:w="844" w:type="pct"/>
            <w:tcBorders>
              <w:top w:val="single" w:sz="4" w:space="0" w:color="365F91"/>
              <w:bottom w:val="single" w:sz="4" w:space="0" w:color="365F91"/>
            </w:tcBorders>
            <w:vAlign w:val="bottom"/>
          </w:tcPr>
          <w:p w14:paraId="5B3F3804" w14:textId="77777777" w:rsidR="00F02481" w:rsidRPr="00BE78CA" w:rsidRDefault="00F02481" w:rsidP="00DF4B3E">
            <w:pPr>
              <w:pStyle w:val="TableText"/>
              <w:spacing w:before="40" w:after="40"/>
              <w:jc w:val="center"/>
              <w:rPr>
                <w:rFonts w:cs="Calibri"/>
              </w:rPr>
            </w:pPr>
            <w:r w:rsidRPr="00BE78CA">
              <w:rPr>
                <w:rFonts w:cs="Calibri"/>
              </w:rPr>
              <w:t>11.3</w:t>
            </w:r>
          </w:p>
        </w:tc>
      </w:tr>
    </w:tbl>
    <w:p w14:paraId="08BF9A23" w14:textId="77777777" w:rsidR="00F02481" w:rsidRPr="00BE78CA" w:rsidRDefault="00F02481" w:rsidP="00C26084">
      <w:pPr>
        <w:pStyle w:val="Heading5"/>
        <w:spacing w:before="320"/>
        <w:rPr>
          <w:rFonts w:cs="Calibri"/>
        </w:rPr>
      </w:pPr>
      <w:r w:rsidRPr="00BE78CA">
        <w:rPr>
          <w:rFonts w:cs="Calibri"/>
        </w:rPr>
        <w:t xml:space="preserve">Direct nitrous oxide emissions from manure management </w:t>
      </w:r>
    </w:p>
    <w:p w14:paraId="3988D308" w14:textId="77777777" w:rsidR="00F02481" w:rsidRPr="00BE78CA" w:rsidRDefault="00F02481" w:rsidP="00C26084">
      <w:pPr>
        <w:pStyle w:val="BodyText"/>
        <w:spacing w:before="100" w:after="100"/>
        <w:rPr>
          <w:rFonts w:cs="Calibri"/>
        </w:rPr>
      </w:pPr>
      <w:r w:rsidRPr="00BE78CA">
        <w:rPr>
          <w:rFonts w:cs="Calibri"/>
          <w:b/>
          <w:bCs/>
        </w:rPr>
        <w:t>Major livestock categories:</w:t>
      </w:r>
      <w:r w:rsidRPr="00BE78CA">
        <w:rPr>
          <w:rFonts w:cs="Calibri"/>
        </w:rPr>
        <w:t xml:space="preserve"> For the major livestock categories (</w:t>
      </w:r>
      <w:r w:rsidRPr="00BE78CA">
        <w:rPr>
          <w:rFonts w:cs="Calibri"/>
          <w:i/>
          <w:iCs/>
        </w:rPr>
        <w:t>Dairy cattle</w:t>
      </w:r>
      <w:r w:rsidRPr="00BE78CA">
        <w:rPr>
          <w:rFonts w:cs="Calibri"/>
        </w:rPr>
        <w:t xml:space="preserve">, </w:t>
      </w:r>
      <w:r w:rsidRPr="00BE78CA">
        <w:rPr>
          <w:rFonts w:cs="Calibri"/>
          <w:i/>
          <w:iCs/>
        </w:rPr>
        <w:t xml:space="preserve">Non-dairy </w:t>
      </w:r>
      <w:r w:rsidRPr="00BE78CA">
        <w:rPr>
          <w:rFonts w:cs="Calibri"/>
        </w:rPr>
        <w:t xml:space="preserve">(beef) </w:t>
      </w:r>
      <w:r w:rsidRPr="00BE78CA">
        <w:rPr>
          <w:rFonts w:cs="Calibri"/>
          <w:i/>
          <w:iCs/>
        </w:rPr>
        <w:t>cattle</w:t>
      </w:r>
      <w:r w:rsidRPr="00BE78CA">
        <w:rPr>
          <w:rFonts w:cs="Calibri"/>
        </w:rPr>
        <w:t xml:space="preserve">, </w:t>
      </w:r>
      <w:r w:rsidRPr="00BE78CA">
        <w:rPr>
          <w:rFonts w:cs="Calibri"/>
          <w:i/>
          <w:iCs/>
        </w:rPr>
        <w:t>Sheep</w:t>
      </w:r>
      <w:r w:rsidRPr="00BE78CA">
        <w:rPr>
          <w:rFonts w:cs="Calibri"/>
        </w:rPr>
        <w:t xml:space="preserve"> and </w:t>
      </w:r>
      <w:r w:rsidRPr="00BE78CA">
        <w:rPr>
          <w:rFonts w:cs="Calibri"/>
          <w:i/>
          <w:iCs/>
        </w:rPr>
        <w:t>Deer</w:t>
      </w:r>
      <w:r w:rsidRPr="00BE78CA">
        <w:rPr>
          <w:rFonts w:cs="Calibri"/>
        </w:rPr>
        <w:t>), most manure is deposited directly onto pasture by grazing animals (see table 5.3.2). Direct and indirect N</w:t>
      </w:r>
      <w:r w:rsidRPr="00BE78CA">
        <w:rPr>
          <w:rFonts w:cs="Calibri"/>
          <w:vertAlign w:val="subscript"/>
        </w:rPr>
        <w:t>2</w:t>
      </w:r>
      <w:r w:rsidRPr="00BE78CA">
        <w:rPr>
          <w:rFonts w:cs="Calibri"/>
        </w:rPr>
        <w:t xml:space="preserve">O emissions from the manure deposited by grazing animals are reported in the </w:t>
      </w:r>
      <w:r w:rsidRPr="00BE78CA">
        <w:rPr>
          <w:rFonts w:cs="Calibri"/>
          <w:i/>
          <w:iCs/>
        </w:rPr>
        <w:t>Agricultural soils</w:t>
      </w:r>
      <w:r w:rsidRPr="00BE78CA">
        <w:rPr>
          <w:rFonts w:cs="Calibri"/>
        </w:rPr>
        <w:t xml:space="preserve"> category (</w:t>
      </w:r>
      <w:r w:rsidRPr="00BE78CA">
        <w:rPr>
          <w:rFonts w:cs="Calibri"/>
          <w:i/>
          <w:iCs/>
        </w:rPr>
        <w:t xml:space="preserve">Urine and dung deposited by grazing animals </w:t>
      </w:r>
      <w:r w:rsidRPr="00BE78CA">
        <w:rPr>
          <w:rFonts w:cs="Calibri"/>
        </w:rPr>
        <w:t xml:space="preserve">(CRF 3.D.1.3)). </w:t>
      </w:r>
    </w:p>
    <w:p w14:paraId="5114BB16" w14:textId="77777777" w:rsidR="00F02481" w:rsidRPr="00BE78CA" w:rsidRDefault="00F02481" w:rsidP="00C26084">
      <w:pPr>
        <w:pStyle w:val="BodyText"/>
        <w:spacing w:before="100" w:after="100"/>
        <w:rPr>
          <w:rFonts w:cs="Calibri"/>
        </w:rPr>
      </w:pPr>
      <w:r w:rsidRPr="00BE78CA">
        <w:rPr>
          <w:rFonts w:cs="Calibri"/>
        </w:rPr>
        <w:t>The remainder of dairy manure is managed in anaerobic lagoons. The 2006 IPCC Guidelines note that the production of emissions of direct N</w:t>
      </w:r>
      <w:r w:rsidRPr="00BE78CA">
        <w:rPr>
          <w:rFonts w:cs="Calibri"/>
          <w:vertAlign w:val="subscript"/>
        </w:rPr>
        <w:t>2</w:t>
      </w:r>
      <w:r w:rsidRPr="00BE78CA">
        <w:rPr>
          <w:rFonts w:cs="Calibri"/>
        </w:rPr>
        <w:t>O from managed manure requires aerobic conditions for the formation of oxidised forms of nitrogen but assumes that negligible direct N</w:t>
      </w:r>
      <w:r w:rsidRPr="00BE78CA">
        <w:rPr>
          <w:rFonts w:cs="Calibri"/>
          <w:vertAlign w:val="subscript"/>
        </w:rPr>
        <w:t>2</w:t>
      </w:r>
      <w:r w:rsidRPr="00BE78CA">
        <w:rPr>
          <w:rFonts w:cs="Calibri"/>
        </w:rPr>
        <w:t>O emissions occur during storage in anaerobic lagoons (IPCC, 2006, table 10.21). Direct N</w:t>
      </w:r>
      <w:r w:rsidRPr="00BE78CA">
        <w:rPr>
          <w:rFonts w:cs="Calibri"/>
          <w:vertAlign w:val="subscript"/>
        </w:rPr>
        <w:t>2</w:t>
      </w:r>
      <w:r w:rsidRPr="00BE78CA">
        <w:rPr>
          <w:rFonts w:cs="Calibri"/>
        </w:rPr>
        <w:t xml:space="preserve">O emissions from dairy effluent anaerobic lagoons are reported in the </w:t>
      </w:r>
      <w:r w:rsidRPr="00BE78CA">
        <w:rPr>
          <w:rFonts w:cs="Calibri"/>
          <w:i/>
          <w:iCs/>
        </w:rPr>
        <w:t>Agricultural soils</w:t>
      </w:r>
      <w:r w:rsidRPr="00BE78CA">
        <w:rPr>
          <w:rFonts w:cs="Calibri"/>
        </w:rPr>
        <w:t xml:space="preserve"> category (</w:t>
      </w:r>
      <w:r w:rsidRPr="00BE78CA">
        <w:rPr>
          <w:rFonts w:cs="Calibri"/>
          <w:i/>
          <w:iCs/>
        </w:rPr>
        <w:t xml:space="preserve">Organic nitrogen fertilisers </w:t>
      </w:r>
      <w:r w:rsidRPr="00BE78CA">
        <w:rPr>
          <w:rFonts w:cs="Calibri"/>
        </w:rPr>
        <w:t>(CRF 3.D.1.2)) when the stored effluent is spread onto agricultural land.</w:t>
      </w:r>
    </w:p>
    <w:p w14:paraId="235A2B63" w14:textId="77777777" w:rsidR="00F02481" w:rsidRPr="00BE78CA" w:rsidRDefault="00F02481" w:rsidP="00C26084">
      <w:pPr>
        <w:pStyle w:val="BodyText"/>
        <w:spacing w:before="100" w:after="100"/>
        <w:rPr>
          <w:rFonts w:cs="Calibri"/>
        </w:rPr>
      </w:pPr>
      <w:r w:rsidRPr="00BE78CA">
        <w:rPr>
          <w:rFonts w:cs="Calibri"/>
          <w:b/>
          <w:bCs/>
          <w:i/>
          <w:iCs/>
        </w:rPr>
        <w:t>Swine:</w:t>
      </w:r>
      <w:r w:rsidRPr="00BE78CA">
        <w:rPr>
          <w:rFonts w:cs="Calibri"/>
        </w:rPr>
        <w:t xml:space="preserve"> Swine manure is managed under various types of waste management system (see table 5.3.2). The 2006 IPCC Guidelines (table 10.21, IPCC, 2006) assume that negligible direct N</w:t>
      </w:r>
      <w:r w:rsidRPr="00BE78CA">
        <w:rPr>
          <w:rFonts w:cs="Calibri"/>
          <w:vertAlign w:val="subscript"/>
        </w:rPr>
        <w:t>2</w:t>
      </w:r>
      <w:r w:rsidRPr="00BE78CA">
        <w:rPr>
          <w:rFonts w:cs="Calibri"/>
        </w:rPr>
        <w:t xml:space="preserve">O emissions occur in anaerobic lagoons and daily spread. Nitrous oxide emissions from manure from these systems occur once the stored effluent is spread onto agricultural land and are reported in the </w:t>
      </w:r>
      <w:r w:rsidRPr="00BE78CA">
        <w:rPr>
          <w:rFonts w:cs="Calibri"/>
          <w:i/>
          <w:iCs/>
        </w:rPr>
        <w:t>Agricultural soils</w:t>
      </w:r>
      <w:r w:rsidRPr="00BE78CA">
        <w:rPr>
          <w:rFonts w:cs="Calibri"/>
        </w:rPr>
        <w:t xml:space="preserve"> category (</w:t>
      </w:r>
      <w:r w:rsidRPr="00BE78CA">
        <w:rPr>
          <w:rFonts w:cs="Calibri"/>
          <w:i/>
          <w:iCs/>
        </w:rPr>
        <w:t xml:space="preserve">Organic nitrogen fertilisers </w:t>
      </w:r>
      <w:r w:rsidRPr="00BE78CA">
        <w:rPr>
          <w:rFonts w:cs="Calibri"/>
        </w:rPr>
        <w:t>(CRF 3.D.1.2)). Nitrous oxide emissions from manure management of swine for dry lot and other manure management systems are estimated using the IPCC (2006) default emission factors for direct N</w:t>
      </w:r>
      <w:r w:rsidRPr="00BE78CA">
        <w:rPr>
          <w:rFonts w:cs="Calibri"/>
          <w:vertAlign w:val="subscript"/>
        </w:rPr>
        <w:t>2</w:t>
      </w:r>
      <w:r w:rsidRPr="00BE78CA">
        <w:rPr>
          <w:rFonts w:cs="Calibri"/>
        </w:rPr>
        <w:t>O emission</w:t>
      </w:r>
      <w:r w:rsidRPr="00BE78CA">
        <w:rPr>
          <w:rFonts w:cs="Calibri"/>
          <w:spacing w:val="-2"/>
        </w:rPr>
        <w:t>s from manure management (EF</w:t>
      </w:r>
      <w:r w:rsidRPr="00BE78CA">
        <w:rPr>
          <w:rFonts w:cs="Calibri"/>
          <w:spacing w:val="-2"/>
          <w:vertAlign w:val="subscript"/>
        </w:rPr>
        <w:t>3,PRP</w:t>
      </w:r>
      <w:r w:rsidRPr="00BE78CA">
        <w:rPr>
          <w:rFonts w:cs="Calibri"/>
          <w:spacing w:val="-2"/>
        </w:rPr>
        <w:t>)</w:t>
      </w:r>
      <w:r w:rsidRPr="00BE78CA">
        <w:rPr>
          <w:rFonts w:cs="Calibri"/>
          <w:spacing w:val="-2"/>
          <w:vertAlign w:val="subscript"/>
        </w:rPr>
        <w:t xml:space="preserve"> </w:t>
      </w:r>
      <w:r w:rsidRPr="00BE78CA">
        <w:rPr>
          <w:rFonts w:cs="Calibri"/>
          <w:spacing w:val="-2"/>
        </w:rPr>
        <w:t>of 0.02 and 0.005 kg N</w:t>
      </w:r>
      <w:r w:rsidRPr="00BE78CA">
        <w:rPr>
          <w:rFonts w:cs="Calibri"/>
          <w:spacing w:val="-2"/>
          <w:vertAlign w:val="subscript"/>
        </w:rPr>
        <w:t>2</w:t>
      </w:r>
      <w:r w:rsidRPr="00BE78CA">
        <w:rPr>
          <w:rFonts w:cs="Calibri"/>
          <w:spacing w:val="-2"/>
        </w:rPr>
        <w:t>O</w:t>
      </w:r>
      <w:r w:rsidRPr="00BE78CA">
        <w:rPr>
          <w:rFonts w:cs="Calibri"/>
          <w:spacing w:val="-2"/>
        </w:rPr>
        <w:noBreakHyphen/>
        <w:t xml:space="preserve">N/kg N respectively. </w:t>
      </w:r>
    </w:p>
    <w:p w14:paraId="553F3A1F" w14:textId="77777777" w:rsidR="00F02481" w:rsidRPr="00BE78CA" w:rsidRDefault="00F02481" w:rsidP="00C26084">
      <w:pPr>
        <w:pStyle w:val="BodyText"/>
        <w:spacing w:before="100" w:after="100"/>
        <w:rPr>
          <w:rFonts w:cs="Calibri"/>
        </w:rPr>
      </w:pPr>
      <w:r w:rsidRPr="00BE78CA">
        <w:rPr>
          <w:rFonts w:cs="Calibri"/>
          <w:b/>
          <w:bCs/>
          <w:i/>
          <w:iCs/>
        </w:rPr>
        <w:t>Poultry</w:t>
      </w:r>
      <w:r w:rsidRPr="00BE78CA">
        <w:rPr>
          <w:rFonts w:cs="Calibri"/>
          <w:i/>
          <w:iCs/>
        </w:rPr>
        <w:t>:</w:t>
      </w:r>
      <w:r w:rsidRPr="00BE78CA">
        <w:rPr>
          <w:rFonts w:cs="Calibri"/>
        </w:rPr>
        <w:t xml:space="preserve"> Direct N</w:t>
      </w:r>
      <w:r w:rsidRPr="00BE78CA">
        <w:rPr>
          <w:rFonts w:cs="Calibri"/>
          <w:vertAlign w:val="subscript"/>
        </w:rPr>
        <w:t>2</w:t>
      </w:r>
      <w:r w:rsidRPr="00BE78CA">
        <w:rPr>
          <w:rFonts w:cs="Calibri"/>
        </w:rPr>
        <w:t xml:space="preserve">O emissions from poultry manure deposited directly on pasture are reported in the </w:t>
      </w:r>
      <w:r w:rsidRPr="00BE78CA">
        <w:rPr>
          <w:rFonts w:cs="Calibri"/>
          <w:i/>
          <w:iCs/>
        </w:rPr>
        <w:t>Agricultural soils</w:t>
      </w:r>
      <w:r w:rsidRPr="00BE78CA">
        <w:rPr>
          <w:rFonts w:cs="Calibri"/>
        </w:rPr>
        <w:t xml:space="preserve"> category (</w:t>
      </w:r>
      <w:r w:rsidRPr="00BE78CA">
        <w:rPr>
          <w:rFonts w:cs="Calibri"/>
          <w:i/>
          <w:iCs/>
        </w:rPr>
        <w:t>Urine and dung deposited by grazing animals</w:t>
      </w:r>
      <w:r w:rsidRPr="00BE78CA">
        <w:rPr>
          <w:rFonts w:cs="Calibri"/>
        </w:rPr>
        <w:t xml:space="preserve"> (CRF 3.D.1.3)). For other manure management systems, the IPCC (2006, table 0.21) default emissions factor for EF</w:t>
      </w:r>
      <w:r w:rsidRPr="00BE78CA">
        <w:rPr>
          <w:rFonts w:cs="Calibri"/>
          <w:vertAlign w:val="subscript"/>
        </w:rPr>
        <w:t>3,PRP</w:t>
      </w:r>
      <w:r w:rsidRPr="00BE78CA">
        <w:rPr>
          <w:rFonts w:cs="Calibri"/>
        </w:rPr>
        <w:t xml:space="preserve"> of 0.001 kg N</w:t>
      </w:r>
      <w:r w:rsidRPr="00BE78CA">
        <w:rPr>
          <w:rFonts w:cs="Calibri"/>
          <w:vertAlign w:val="subscript"/>
        </w:rPr>
        <w:t>2</w:t>
      </w:r>
      <w:r w:rsidRPr="00BE78CA">
        <w:rPr>
          <w:rFonts w:cs="Calibri"/>
        </w:rPr>
        <w:t>O-N/kg N for poultry manure with and without litter is assumed.</w:t>
      </w:r>
    </w:p>
    <w:p w14:paraId="75A5AA33" w14:textId="77777777" w:rsidR="00F02481" w:rsidRPr="00BE78CA" w:rsidRDefault="00F02481" w:rsidP="00C26084">
      <w:pPr>
        <w:pStyle w:val="BodyText"/>
        <w:spacing w:before="100" w:after="100"/>
        <w:rPr>
          <w:rFonts w:cs="Calibri"/>
        </w:rPr>
      </w:pPr>
      <w:r w:rsidRPr="00BE78CA">
        <w:rPr>
          <w:rFonts w:cs="Calibri"/>
          <w:b/>
          <w:bCs/>
          <w:i/>
          <w:iCs/>
        </w:rPr>
        <w:t>Goats</w:t>
      </w:r>
      <w:r w:rsidRPr="00BE78CA">
        <w:rPr>
          <w:rFonts w:cs="Calibri"/>
          <w:b/>
          <w:bCs/>
        </w:rPr>
        <w:t xml:space="preserve">, </w:t>
      </w:r>
      <w:r w:rsidRPr="00BE78CA">
        <w:rPr>
          <w:rFonts w:cs="Calibri"/>
          <w:b/>
          <w:bCs/>
          <w:i/>
          <w:iCs/>
        </w:rPr>
        <w:t>horses</w:t>
      </w:r>
      <w:r w:rsidRPr="00BE78CA">
        <w:rPr>
          <w:rFonts w:cs="Calibri"/>
          <w:b/>
        </w:rPr>
        <w:t xml:space="preserve">, </w:t>
      </w:r>
      <w:r w:rsidRPr="00BE78CA">
        <w:rPr>
          <w:rFonts w:cs="Calibri"/>
          <w:b/>
          <w:i/>
        </w:rPr>
        <w:t>llamas and</w:t>
      </w:r>
      <w:r w:rsidRPr="00BE78CA">
        <w:rPr>
          <w:rFonts w:cs="Calibri"/>
          <w:b/>
          <w:bCs/>
        </w:rPr>
        <w:t xml:space="preserve"> a</w:t>
      </w:r>
      <w:r w:rsidRPr="00BE78CA">
        <w:rPr>
          <w:rFonts w:cs="Calibri"/>
          <w:b/>
          <w:i/>
        </w:rPr>
        <w:t>lpacas</w:t>
      </w:r>
      <w:r w:rsidRPr="00BE78CA">
        <w:rPr>
          <w:rFonts w:cs="Calibri"/>
          <w:b/>
          <w:bCs/>
        </w:rPr>
        <w:t xml:space="preserve">, and </w:t>
      </w:r>
      <w:r w:rsidRPr="00BE78CA">
        <w:rPr>
          <w:rFonts w:cs="Calibri"/>
          <w:b/>
          <w:i/>
        </w:rPr>
        <w:t>mules and asses</w:t>
      </w:r>
      <w:r w:rsidRPr="00BE78CA">
        <w:rPr>
          <w:rFonts w:cs="Calibri"/>
          <w:b/>
        </w:rPr>
        <w:t xml:space="preserve">: </w:t>
      </w:r>
      <w:r w:rsidRPr="00BE78CA">
        <w:rPr>
          <w:rFonts w:cs="Calibri"/>
        </w:rPr>
        <w:t>All faecal material from these livestock is deposited directly onto pasture, and direct N</w:t>
      </w:r>
      <w:r w:rsidRPr="00BE78CA">
        <w:rPr>
          <w:rFonts w:cs="Calibri"/>
          <w:vertAlign w:val="subscript"/>
        </w:rPr>
        <w:t>2</w:t>
      </w:r>
      <w:r w:rsidRPr="00BE78CA">
        <w:rPr>
          <w:rFonts w:cs="Calibri"/>
        </w:rPr>
        <w:t xml:space="preserve">O emissions from grazing animals are reported in the </w:t>
      </w:r>
      <w:r w:rsidRPr="00BE78CA">
        <w:rPr>
          <w:rFonts w:cs="Calibri"/>
          <w:i/>
          <w:iCs/>
        </w:rPr>
        <w:t>Agricultural soils</w:t>
      </w:r>
      <w:r w:rsidRPr="00BE78CA">
        <w:rPr>
          <w:rFonts w:cs="Calibri"/>
        </w:rPr>
        <w:t xml:space="preserve"> category (</w:t>
      </w:r>
      <w:r w:rsidRPr="00BE78CA">
        <w:rPr>
          <w:rFonts w:cs="Calibri"/>
          <w:i/>
          <w:iCs/>
        </w:rPr>
        <w:t>Urine and dung deposited by grazing animals</w:t>
      </w:r>
      <w:r w:rsidRPr="00BE78CA">
        <w:rPr>
          <w:rFonts w:cs="Calibri"/>
        </w:rPr>
        <w:t xml:space="preserve"> (CRF 3.D.1.3)). </w:t>
      </w:r>
    </w:p>
    <w:p w14:paraId="6F7F58CA" w14:textId="77777777" w:rsidR="00F02481" w:rsidRPr="00BE78CA" w:rsidRDefault="00F02481" w:rsidP="00C26084">
      <w:pPr>
        <w:pStyle w:val="Heading5"/>
        <w:spacing w:before="200"/>
        <w:rPr>
          <w:rFonts w:cs="Calibri"/>
        </w:rPr>
      </w:pPr>
      <w:r w:rsidRPr="00BE78CA">
        <w:rPr>
          <w:rFonts w:cs="Calibri"/>
        </w:rPr>
        <w:t>Indirect nitrous oxide emissions from manure management</w:t>
      </w:r>
    </w:p>
    <w:p w14:paraId="037E3DBD" w14:textId="77777777" w:rsidR="00F02481" w:rsidRPr="00BE78CA" w:rsidRDefault="00F02481" w:rsidP="00C26084">
      <w:pPr>
        <w:pStyle w:val="BodyText"/>
        <w:spacing w:before="100"/>
      </w:pPr>
      <w:r w:rsidRPr="00BE78CA">
        <w:t>Indirect N</w:t>
      </w:r>
      <w:r w:rsidRPr="00BE78CA">
        <w:rPr>
          <w:vertAlign w:val="subscript"/>
        </w:rPr>
        <w:t>2</w:t>
      </w:r>
      <w:r w:rsidRPr="00BE78CA">
        <w:t>O emissions from manure management result from diffusion into the surrounding air (volatilisation) and from leaching and runoff. All indirect N</w:t>
      </w:r>
      <w:r w:rsidRPr="00BE78CA">
        <w:rPr>
          <w:vertAlign w:val="subscript"/>
        </w:rPr>
        <w:t>2</w:t>
      </w:r>
      <w:r w:rsidRPr="00BE78CA">
        <w:t xml:space="preserve">O emissions for the pasture, range and paddock manure management systems are reported in the </w:t>
      </w:r>
      <w:r w:rsidRPr="00BE78CA">
        <w:rPr>
          <w:i/>
          <w:iCs/>
        </w:rPr>
        <w:t>Agricultural soils</w:t>
      </w:r>
      <w:r w:rsidRPr="00BE78CA">
        <w:t xml:space="preserve"> category. </w:t>
      </w:r>
    </w:p>
    <w:p w14:paraId="1D1334FC" w14:textId="77777777" w:rsidR="00F02481" w:rsidRPr="00BE78CA" w:rsidRDefault="00F02481" w:rsidP="00DF4B3E">
      <w:pPr>
        <w:pStyle w:val="BodyText"/>
        <w:spacing w:before="100" w:after="60"/>
      </w:pPr>
      <w:r w:rsidRPr="00BE78CA">
        <w:t>The IPCC (2006) Tier 1 methodology is used for calculating N</w:t>
      </w:r>
      <w:r w:rsidRPr="00BE78CA">
        <w:rPr>
          <w:vertAlign w:val="subscript"/>
        </w:rPr>
        <w:t>2</w:t>
      </w:r>
      <w:r w:rsidRPr="00BE78CA">
        <w:t>O emissions resulting from volatilisation:</w:t>
      </w:r>
    </w:p>
    <w:bookmarkStart w:id="726" w:name="_1543985758"/>
    <w:bookmarkStart w:id="727" w:name="_1670051240"/>
    <w:bookmarkEnd w:id="726"/>
    <w:bookmarkEnd w:id="727"/>
    <w:p w14:paraId="04E4594E" w14:textId="77777777" w:rsidR="00F02481" w:rsidRPr="00BE78CA" w:rsidRDefault="00F02481" w:rsidP="00C26084">
      <w:pPr>
        <w:pStyle w:val="BodyText"/>
        <w:spacing w:before="0" w:after="0"/>
      </w:pPr>
      <w:r w:rsidRPr="00BE78CA">
        <w:object w:dxaOrig="7889" w:dyaOrig="495" w14:anchorId="2DF1BE38">
          <v:shape id="_x0000_i1050" type="#_x0000_t75" style="width:389.2pt;height:21.75pt" o:ole="">
            <v:imagedata r:id="rId136" o:title=""/>
          </v:shape>
          <o:OLEObject Type="Embed" ProgID="Word.Document.12" ShapeID="_x0000_i1050" DrawAspect="Content" ObjectID="_1679402770" r:id="rId137">
            <o:FieldCodes>\s</o:FieldCodes>
          </o:OLEObject>
        </w:object>
      </w:r>
    </w:p>
    <w:p w14:paraId="4742A9D3" w14:textId="77777777" w:rsidR="00F02481" w:rsidRPr="00BE78CA" w:rsidRDefault="00F02481" w:rsidP="00C26084">
      <w:pPr>
        <w:pStyle w:val="BodyText"/>
        <w:spacing w:after="0"/>
        <w:rPr>
          <w:rFonts w:cs="Calibri"/>
        </w:rPr>
      </w:pPr>
      <w:r w:rsidRPr="00BE78CA">
        <w:rPr>
          <w:rFonts w:cs="Calibri"/>
        </w:rPr>
        <w:lastRenderedPageBreak/>
        <w:t>And:</w:t>
      </w:r>
    </w:p>
    <w:bookmarkStart w:id="728" w:name="_1545464011"/>
    <w:bookmarkEnd w:id="728"/>
    <w:bookmarkStart w:id="729" w:name="_MON_1576576510"/>
    <w:bookmarkEnd w:id="729"/>
    <w:p w14:paraId="6379EF19" w14:textId="77777777" w:rsidR="00F02481" w:rsidRPr="00BE78CA" w:rsidRDefault="00F02481" w:rsidP="00DF4B3E">
      <w:pPr>
        <w:pStyle w:val="BodyText"/>
        <w:spacing w:before="0" w:after="80"/>
        <w:jc w:val="center"/>
        <w:rPr>
          <w:rFonts w:cs="Calibri"/>
        </w:rPr>
      </w:pPr>
      <w:r w:rsidRPr="00BE78CA">
        <w:rPr>
          <w:rFonts w:cs="Calibri"/>
        </w:rPr>
        <w:object w:dxaOrig="6947" w:dyaOrig="704" w14:anchorId="2E1B2BE8">
          <v:shape id="_x0000_i1051" type="#_x0000_t75" style="width:345.75pt;height:36pt" o:ole="">
            <v:imagedata r:id="rId138" o:title=""/>
          </v:shape>
          <o:OLEObject Type="Embed" ProgID="Word.Document.12" ShapeID="_x0000_i1051" DrawAspect="Content" ObjectID="_1679402771" r:id="rId139">
            <o:FieldCodes>\s</o:FieldCodes>
          </o:OLEObject>
        </w:object>
      </w:r>
    </w:p>
    <w:p w14:paraId="57D67E0D" w14:textId="77777777" w:rsidR="00F02481" w:rsidRPr="00BE78CA" w:rsidRDefault="00F02481" w:rsidP="00C26084">
      <w:pPr>
        <w:pStyle w:val="BodyText"/>
        <w:spacing w:after="60"/>
        <w:ind w:left="964" w:hanging="964"/>
      </w:pPr>
      <w:r w:rsidRPr="00BE78CA">
        <w:t>Where:</w:t>
      </w:r>
      <w:r w:rsidRPr="00BE78CA">
        <w:tab/>
        <w:t>N</w:t>
      </w:r>
      <w:r w:rsidRPr="00BE78CA">
        <w:rPr>
          <w:vertAlign w:val="subscript"/>
        </w:rPr>
        <w:t>vol – MMS</w:t>
      </w:r>
      <w:r w:rsidRPr="00BE78CA">
        <w:t xml:space="preserve"> is the amount of manure nitrogen that is lost due to volatilisation (kg/year)</w:t>
      </w:r>
    </w:p>
    <w:p w14:paraId="5AAEAF1C" w14:textId="77777777" w:rsidR="00F02481" w:rsidRPr="00BE78CA" w:rsidRDefault="00F02481" w:rsidP="00C26084">
      <w:pPr>
        <w:pStyle w:val="BodyText"/>
        <w:spacing w:before="60" w:after="60"/>
        <w:ind w:left="964"/>
      </w:pPr>
      <w:r w:rsidRPr="00BE78CA">
        <w:t>EF</w:t>
      </w:r>
      <w:r w:rsidRPr="00BE78CA">
        <w:rPr>
          <w:vertAlign w:val="subscript"/>
        </w:rPr>
        <w:t>4</w:t>
      </w:r>
      <w:r w:rsidRPr="00BE78CA">
        <w:t xml:space="preserve"> is the emissions factor for N</w:t>
      </w:r>
      <w:r w:rsidRPr="00BE78CA">
        <w:rPr>
          <w:vertAlign w:val="subscript"/>
        </w:rPr>
        <w:t>2</w:t>
      </w:r>
      <w:r w:rsidRPr="00BE78CA">
        <w:t>O emissions from volatilisation; the IPCC (2006) default value of 0.01 kg N</w:t>
      </w:r>
      <w:r w:rsidRPr="00BE78CA">
        <w:rPr>
          <w:vertAlign w:val="subscript"/>
        </w:rPr>
        <w:t>2</w:t>
      </w:r>
      <w:r w:rsidRPr="00BE78CA">
        <w:t>O-N/(kg NH</w:t>
      </w:r>
      <w:r w:rsidRPr="00BE78CA">
        <w:rPr>
          <w:vertAlign w:val="subscript"/>
        </w:rPr>
        <w:t>3</w:t>
      </w:r>
      <w:r w:rsidRPr="00BE78CA">
        <w:t>-N + NO</w:t>
      </w:r>
      <w:r w:rsidRPr="00BE78CA">
        <w:rPr>
          <w:vertAlign w:val="subscript"/>
        </w:rPr>
        <w:t>x</w:t>
      </w:r>
      <w:r w:rsidRPr="00BE78CA">
        <w:t>-N volatilised) is used</w:t>
      </w:r>
    </w:p>
    <w:p w14:paraId="7A809EB5" w14:textId="77777777" w:rsidR="00F02481" w:rsidRPr="00BE78CA" w:rsidRDefault="00F02481" w:rsidP="00C26084">
      <w:pPr>
        <w:pStyle w:val="BodyText"/>
        <w:spacing w:before="60" w:after="60"/>
        <w:ind w:left="964"/>
      </w:pPr>
      <w:r w:rsidRPr="00BE78CA">
        <w:t>N</w:t>
      </w:r>
      <w:r w:rsidRPr="00BE78CA">
        <w:rPr>
          <w:vertAlign w:val="subscript"/>
        </w:rPr>
        <w:t>T</w:t>
      </w:r>
      <w:r w:rsidRPr="00BE78CA">
        <w:t xml:space="preserve"> is the number of livestock per category (head), detailed in section 5.1.4</w:t>
      </w:r>
    </w:p>
    <w:p w14:paraId="33558848" w14:textId="77777777" w:rsidR="00F02481" w:rsidRPr="00BE78CA" w:rsidRDefault="00F02481" w:rsidP="00C26084">
      <w:pPr>
        <w:pStyle w:val="BodyText"/>
        <w:spacing w:before="60" w:after="60"/>
        <w:ind w:left="964"/>
      </w:pPr>
      <w:r w:rsidRPr="00BE78CA">
        <w:t>Nex</w:t>
      </w:r>
      <w:r w:rsidRPr="00BE78CA">
        <w:rPr>
          <w:vertAlign w:val="subscript"/>
        </w:rPr>
        <w:t>T</w:t>
      </w:r>
      <w:r w:rsidRPr="00BE78CA">
        <w:t xml:space="preserve"> is the average nitrogen excretion for each livestock category, T, detailed above</w:t>
      </w:r>
    </w:p>
    <w:p w14:paraId="7359F5D0" w14:textId="77777777" w:rsidR="00F02481" w:rsidRPr="00BE78CA" w:rsidRDefault="00F02481" w:rsidP="00C26084">
      <w:pPr>
        <w:pStyle w:val="BodyText"/>
        <w:spacing w:before="60" w:after="60"/>
        <w:ind w:left="964"/>
      </w:pPr>
      <w:r w:rsidRPr="00BE78CA">
        <w:t>MS</w:t>
      </w:r>
      <w:r w:rsidRPr="00BE78CA">
        <w:rPr>
          <w:vertAlign w:val="subscript"/>
        </w:rPr>
        <w:t>T,S</w:t>
      </w:r>
      <w:r w:rsidRPr="00BE78CA">
        <w:t xml:space="preserve"> is the fraction of total nitrogen excretion per livestock category, T, per manure management system, S, derived from table 5.3.2, and</w:t>
      </w:r>
    </w:p>
    <w:p w14:paraId="5D382D96" w14:textId="77777777" w:rsidR="00F02481" w:rsidRPr="00BE78CA" w:rsidRDefault="00F02481" w:rsidP="00DF4B3E">
      <w:pPr>
        <w:pStyle w:val="BodyText"/>
        <w:spacing w:before="60"/>
        <w:ind w:left="964"/>
      </w:pPr>
      <w:r w:rsidRPr="00BE78CA">
        <w:t>Frac</w:t>
      </w:r>
      <w:r w:rsidRPr="00BE78CA">
        <w:rPr>
          <w:vertAlign w:val="subscript"/>
        </w:rPr>
        <w:t>GasMS</w:t>
      </w:r>
      <w:r w:rsidRPr="00BE78CA">
        <w:t xml:space="preserve"> is the per cent of managed manure nitrogen for each livestock category, T, which volatilises as NH</w:t>
      </w:r>
      <w:r w:rsidRPr="00BE78CA">
        <w:rPr>
          <w:vertAlign w:val="subscript"/>
        </w:rPr>
        <w:t>3</w:t>
      </w:r>
      <w:r w:rsidRPr="00BE78CA">
        <w:t xml:space="preserve"> and NO</w:t>
      </w:r>
      <w:r w:rsidRPr="00BE78CA">
        <w:rPr>
          <w:vertAlign w:val="subscript"/>
        </w:rPr>
        <w:t>x</w:t>
      </w:r>
      <w:r w:rsidRPr="00BE78CA">
        <w:t xml:space="preserve"> per manure management system, S. New Zealand uses default values for Frac</w:t>
      </w:r>
      <w:r w:rsidRPr="00BE78CA">
        <w:rPr>
          <w:vertAlign w:val="subscript"/>
        </w:rPr>
        <w:t>GasMS</w:t>
      </w:r>
      <w:r w:rsidRPr="00BE78CA">
        <w:t xml:space="preserve"> detailed in table 5.3.5.</w:t>
      </w:r>
    </w:p>
    <w:p w14:paraId="4F39CB9A" w14:textId="77777777" w:rsidR="00F02481" w:rsidRPr="00BE78CA" w:rsidRDefault="00F02481" w:rsidP="00DF4B3E">
      <w:pPr>
        <w:pStyle w:val="BodyText"/>
      </w:pPr>
      <w:r w:rsidRPr="00BE78CA">
        <w:t>The IPCC (2006) Tier 1 guidelines do not provide a methodology for determining indirect N</w:t>
      </w:r>
      <w:r w:rsidRPr="00BE78CA">
        <w:rPr>
          <w:vertAlign w:val="subscript"/>
        </w:rPr>
        <w:t>2</w:t>
      </w:r>
      <w:r w:rsidRPr="00BE78CA">
        <w:t>O emissions from leaching and runoff. There have been no country-specific emission factors derived for leaching and runoff from manure management systems in New Zealand (e.g., Hill, 2012), and available data are usually extremely limited (IPCC, 2006). Leaching and runoff from dairy anaerobic lagoons is likely to be an insignificant activity in New Zealand (T Wilson, pers. comm., 2014). All indirect N</w:t>
      </w:r>
      <w:r w:rsidRPr="00BE78CA">
        <w:rPr>
          <w:vertAlign w:val="subscript"/>
        </w:rPr>
        <w:t>2</w:t>
      </w:r>
      <w:r w:rsidRPr="00BE78CA">
        <w:t xml:space="preserve">O emissions from leaching and runoff are reported in the </w:t>
      </w:r>
      <w:r w:rsidRPr="00BE78CA">
        <w:rPr>
          <w:i/>
          <w:iCs/>
        </w:rPr>
        <w:t>Agricultural soils</w:t>
      </w:r>
      <w:r w:rsidRPr="00BE78CA">
        <w:t> category.</w:t>
      </w:r>
    </w:p>
    <w:p w14:paraId="7744B34D" w14:textId="77777777" w:rsidR="00F02481" w:rsidRPr="00BE78CA" w:rsidRDefault="00F02481" w:rsidP="00C26084">
      <w:pPr>
        <w:pStyle w:val="Table"/>
        <w:rPr>
          <w:rFonts w:cs="Calibri"/>
        </w:rPr>
      </w:pPr>
      <w:bookmarkStart w:id="730" w:name="_Toc441830877"/>
      <w:bookmarkStart w:id="731" w:name="_Toc451176091"/>
      <w:bookmarkStart w:id="732" w:name="_Toc481751519"/>
      <w:bookmarkStart w:id="733" w:name="_Toc507158607"/>
      <w:bookmarkStart w:id="734" w:name="_Toc511116741"/>
      <w:bookmarkStart w:id="735" w:name="_Toc5269481"/>
      <w:bookmarkStart w:id="736" w:name="_Toc32570924"/>
      <w:bookmarkStart w:id="737" w:name="_Toc36224559"/>
      <w:bookmarkStart w:id="738" w:name="_Toc68786444"/>
      <w:r w:rsidRPr="00BE78CA">
        <w:rPr>
          <w:rFonts w:cs="Calibri"/>
        </w:rPr>
        <w:t>Table 5.3.5</w:t>
      </w:r>
      <w:r w:rsidRPr="00BE78CA">
        <w:rPr>
          <w:rFonts w:cs="Calibri"/>
        </w:rPr>
        <w:tab/>
        <w:t>IPCC default values for the fraction of managed manure nitrogen that volatilises as ammonia and oxides of nitrogen (Frac</w:t>
      </w:r>
      <w:r w:rsidRPr="00BE78CA">
        <w:rPr>
          <w:rFonts w:cs="Calibri"/>
          <w:vertAlign w:val="subscript"/>
        </w:rPr>
        <w:t>GasMS</w:t>
      </w:r>
      <w:r w:rsidRPr="00BE78CA">
        <w:rPr>
          <w:rFonts w:cs="Calibri"/>
        </w:rPr>
        <w:t>/100) for livestock categories per manure management system in New Zealand</w:t>
      </w:r>
      <w:bookmarkEnd w:id="730"/>
      <w:bookmarkEnd w:id="731"/>
      <w:bookmarkEnd w:id="732"/>
      <w:bookmarkEnd w:id="733"/>
      <w:bookmarkEnd w:id="734"/>
      <w:bookmarkEnd w:id="735"/>
      <w:bookmarkEnd w:id="736"/>
      <w:bookmarkEnd w:id="737"/>
      <w:bookmarkEnd w:id="738"/>
    </w:p>
    <w:tbl>
      <w:tblPr>
        <w:tblW w:w="8505"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941"/>
        <w:gridCol w:w="3648"/>
        <w:gridCol w:w="1916"/>
      </w:tblGrid>
      <w:tr w:rsidR="00DF4B3E" w:rsidRPr="00BE78CA" w14:paraId="2579D8CA" w14:textId="77777777" w:rsidTr="00DF4B3E">
        <w:trPr>
          <w:tblHeader/>
        </w:trPr>
        <w:tc>
          <w:tcPr>
            <w:tcW w:w="2745" w:type="dxa"/>
            <w:tcBorders>
              <w:top w:val="single" w:sz="4" w:space="0" w:color="365F91"/>
              <w:left w:val="single" w:sz="4" w:space="0" w:color="365F91"/>
              <w:bottom w:val="single" w:sz="4" w:space="0" w:color="365F91"/>
              <w:right w:val="nil"/>
            </w:tcBorders>
            <w:shd w:val="clear" w:color="auto" w:fill="365F91"/>
            <w:vAlign w:val="bottom"/>
          </w:tcPr>
          <w:p w14:paraId="219F8171" w14:textId="77777777" w:rsidR="00F02481" w:rsidRPr="00BE78CA" w:rsidRDefault="00F02481" w:rsidP="00B24607">
            <w:pPr>
              <w:pStyle w:val="TableTextBold"/>
              <w:keepNext/>
              <w:spacing w:before="50" w:after="50"/>
              <w:rPr>
                <w:noProof w:val="0"/>
                <w:color w:val="FFFFFF" w:themeColor="background1"/>
              </w:rPr>
            </w:pPr>
            <w:r w:rsidRPr="00BE78CA">
              <w:rPr>
                <w:noProof w:val="0"/>
                <w:color w:val="FFFFFF" w:themeColor="background1"/>
              </w:rPr>
              <w:t>Manure management system</w:t>
            </w:r>
          </w:p>
        </w:tc>
        <w:tc>
          <w:tcPr>
            <w:tcW w:w="3405" w:type="dxa"/>
            <w:tcBorders>
              <w:top w:val="single" w:sz="4" w:space="0" w:color="365F91"/>
              <w:left w:val="nil"/>
              <w:bottom w:val="single" w:sz="4" w:space="0" w:color="365F91"/>
              <w:right w:val="nil"/>
            </w:tcBorders>
            <w:shd w:val="clear" w:color="auto" w:fill="365F91"/>
            <w:vAlign w:val="bottom"/>
          </w:tcPr>
          <w:p w14:paraId="7F359840" w14:textId="77777777" w:rsidR="00F02481" w:rsidRPr="00BE78CA" w:rsidRDefault="00F02481" w:rsidP="00B24607">
            <w:pPr>
              <w:pStyle w:val="TableTextBold"/>
              <w:keepNext/>
              <w:spacing w:before="50" w:after="50"/>
              <w:rPr>
                <w:noProof w:val="0"/>
                <w:color w:val="FFFFFF" w:themeColor="background1"/>
              </w:rPr>
            </w:pPr>
            <w:r w:rsidRPr="00BE78CA">
              <w:rPr>
                <w:noProof w:val="0"/>
                <w:color w:val="FFFFFF" w:themeColor="background1"/>
              </w:rPr>
              <w:t>Livestock category</w:t>
            </w:r>
          </w:p>
        </w:tc>
        <w:tc>
          <w:tcPr>
            <w:tcW w:w="1788" w:type="dxa"/>
            <w:tcBorders>
              <w:top w:val="single" w:sz="4" w:space="0" w:color="365F91"/>
              <w:left w:val="nil"/>
              <w:bottom w:val="single" w:sz="4" w:space="0" w:color="365F91"/>
              <w:right w:val="single" w:sz="4" w:space="0" w:color="365F91"/>
            </w:tcBorders>
            <w:shd w:val="clear" w:color="auto" w:fill="365F91"/>
          </w:tcPr>
          <w:p w14:paraId="461EC50A" w14:textId="77777777" w:rsidR="00F02481" w:rsidRPr="00BE78CA" w:rsidRDefault="00F02481" w:rsidP="00B24607">
            <w:pPr>
              <w:pStyle w:val="TableTextBold"/>
              <w:keepNext/>
              <w:spacing w:before="50" w:after="50"/>
              <w:jc w:val="center"/>
              <w:rPr>
                <w:noProof w:val="0"/>
                <w:color w:val="FFFFFF" w:themeColor="background1"/>
              </w:rPr>
            </w:pPr>
            <w:r w:rsidRPr="00BE78CA">
              <w:rPr>
                <w:noProof w:val="0"/>
                <w:color w:val="FFFFFF" w:themeColor="background1"/>
              </w:rPr>
              <w:t>Value</w:t>
            </w:r>
          </w:p>
        </w:tc>
      </w:tr>
      <w:tr w:rsidR="00F02481" w:rsidRPr="00BE78CA" w14:paraId="0D8CDF67" w14:textId="77777777" w:rsidTr="00DF4B3E">
        <w:tc>
          <w:tcPr>
            <w:tcW w:w="2745" w:type="dxa"/>
            <w:vMerge w:val="restart"/>
            <w:tcBorders>
              <w:top w:val="single" w:sz="4" w:space="0" w:color="365F91"/>
              <w:left w:val="nil"/>
              <w:right w:val="nil"/>
            </w:tcBorders>
            <w:vAlign w:val="center"/>
          </w:tcPr>
          <w:p w14:paraId="4E7E9426" w14:textId="77777777" w:rsidR="00F02481" w:rsidRPr="00BE78CA" w:rsidRDefault="00F02481" w:rsidP="00B24607">
            <w:pPr>
              <w:pStyle w:val="TableText"/>
              <w:spacing w:before="50" w:after="50"/>
              <w:rPr>
                <w:rFonts w:cs="Calibri"/>
              </w:rPr>
            </w:pPr>
            <w:r w:rsidRPr="00BE78CA">
              <w:rPr>
                <w:rFonts w:cs="Calibri"/>
              </w:rPr>
              <w:t>Anaerobic lagoons</w:t>
            </w:r>
          </w:p>
        </w:tc>
        <w:tc>
          <w:tcPr>
            <w:tcW w:w="3405" w:type="dxa"/>
            <w:tcBorders>
              <w:top w:val="single" w:sz="4" w:space="0" w:color="365F91"/>
              <w:left w:val="nil"/>
              <w:bottom w:val="single" w:sz="4" w:space="0" w:color="365F91"/>
              <w:right w:val="nil"/>
            </w:tcBorders>
          </w:tcPr>
          <w:p w14:paraId="69065CAE" w14:textId="77777777" w:rsidR="00F02481" w:rsidRPr="00BE78CA" w:rsidRDefault="00F02481" w:rsidP="00B24607">
            <w:pPr>
              <w:pStyle w:val="TableText"/>
              <w:spacing w:before="50" w:after="50"/>
              <w:rPr>
                <w:rFonts w:cs="Calibri"/>
              </w:rPr>
            </w:pPr>
            <w:r w:rsidRPr="00BE78CA">
              <w:rPr>
                <w:rFonts w:cs="Calibri"/>
              </w:rPr>
              <w:t>Dairy</w:t>
            </w:r>
          </w:p>
        </w:tc>
        <w:tc>
          <w:tcPr>
            <w:tcW w:w="1788" w:type="dxa"/>
            <w:tcBorders>
              <w:top w:val="single" w:sz="4" w:space="0" w:color="365F91"/>
              <w:left w:val="nil"/>
              <w:bottom w:val="single" w:sz="4" w:space="0" w:color="365F91"/>
              <w:right w:val="nil"/>
            </w:tcBorders>
          </w:tcPr>
          <w:p w14:paraId="341E681D" w14:textId="77777777" w:rsidR="00F02481" w:rsidRPr="00BE78CA" w:rsidRDefault="00F02481" w:rsidP="00B24607">
            <w:pPr>
              <w:pStyle w:val="TableText"/>
              <w:tabs>
                <w:tab w:val="decimal" w:pos="283"/>
              </w:tabs>
              <w:spacing w:before="50" w:after="50"/>
              <w:jc w:val="center"/>
              <w:rPr>
                <w:rFonts w:cs="Calibri"/>
              </w:rPr>
            </w:pPr>
            <w:r w:rsidRPr="00BE78CA">
              <w:rPr>
                <w:rFonts w:cs="Calibri"/>
              </w:rPr>
              <w:t>0.35</w:t>
            </w:r>
          </w:p>
        </w:tc>
      </w:tr>
      <w:tr w:rsidR="00F02481" w:rsidRPr="00BE78CA" w14:paraId="12FD5A1C" w14:textId="77777777" w:rsidTr="00DF4B3E">
        <w:tc>
          <w:tcPr>
            <w:tcW w:w="2745" w:type="dxa"/>
            <w:vMerge/>
            <w:tcBorders>
              <w:left w:val="nil"/>
              <w:bottom w:val="single" w:sz="4" w:space="0" w:color="365F91"/>
              <w:right w:val="nil"/>
            </w:tcBorders>
          </w:tcPr>
          <w:p w14:paraId="7063351A" w14:textId="77777777" w:rsidR="00F02481" w:rsidRPr="00BE78CA" w:rsidRDefault="00F02481" w:rsidP="00B24607">
            <w:pPr>
              <w:pStyle w:val="TableText"/>
              <w:spacing w:before="50" w:after="50"/>
              <w:rPr>
                <w:rFonts w:cs="Calibri"/>
              </w:rPr>
            </w:pPr>
          </w:p>
        </w:tc>
        <w:tc>
          <w:tcPr>
            <w:tcW w:w="3405" w:type="dxa"/>
            <w:tcBorders>
              <w:top w:val="single" w:sz="4" w:space="0" w:color="365F91"/>
              <w:left w:val="nil"/>
              <w:bottom w:val="single" w:sz="4" w:space="0" w:color="365F91"/>
              <w:right w:val="nil"/>
            </w:tcBorders>
          </w:tcPr>
          <w:p w14:paraId="28F9199D" w14:textId="77777777" w:rsidR="00F02481" w:rsidRPr="00BE78CA" w:rsidRDefault="00F02481" w:rsidP="00B24607">
            <w:pPr>
              <w:pStyle w:val="TableText"/>
              <w:spacing w:before="50" w:after="50"/>
              <w:rPr>
                <w:rFonts w:cs="Calibri"/>
              </w:rPr>
            </w:pPr>
            <w:r w:rsidRPr="00BE78CA">
              <w:rPr>
                <w:rFonts w:cs="Calibri"/>
              </w:rPr>
              <w:t>Swine</w:t>
            </w:r>
          </w:p>
        </w:tc>
        <w:tc>
          <w:tcPr>
            <w:tcW w:w="1788" w:type="dxa"/>
            <w:tcBorders>
              <w:top w:val="single" w:sz="4" w:space="0" w:color="365F91"/>
              <w:left w:val="nil"/>
              <w:bottom w:val="single" w:sz="4" w:space="0" w:color="365F91"/>
              <w:right w:val="nil"/>
            </w:tcBorders>
          </w:tcPr>
          <w:p w14:paraId="7758568D" w14:textId="77777777" w:rsidR="00F02481" w:rsidRPr="00BE78CA" w:rsidRDefault="00F02481" w:rsidP="00B24607">
            <w:pPr>
              <w:pStyle w:val="TableText"/>
              <w:tabs>
                <w:tab w:val="decimal" w:pos="283"/>
              </w:tabs>
              <w:spacing w:before="50" w:after="50"/>
              <w:jc w:val="center"/>
              <w:rPr>
                <w:rFonts w:cs="Calibri"/>
              </w:rPr>
            </w:pPr>
            <w:r w:rsidRPr="00BE78CA">
              <w:rPr>
                <w:rFonts w:cs="Calibri"/>
              </w:rPr>
              <w:t>0.40</w:t>
            </w:r>
          </w:p>
        </w:tc>
      </w:tr>
      <w:tr w:rsidR="00F02481" w:rsidRPr="00BE78CA" w14:paraId="1818567D" w14:textId="77777777" w:rsidTr="00DF4B3E">
        <w:tc>
          <w:tcPr>
            <w:tcW w:w="2745" w:type="dxa"/>
            <w:tcBorders>
              <w:top w:val="single" w:sz="4" w:space="0" w:color="365F91"/>
              <w:left w:val="nil"/>
              <w:bottom w:val="single" w:sz="4" w:space="0" w:color="365F91"/>
              <w:right w:val="nil"/>
            </w:tcBorders>
          </w:tcPr>
          <w:p w14:paraId="1C769374" w14:textId="77777777" w:rsidR="00F02481" w:rsidRPr="00BE78CA" w:rsidRDefault="00F02481" w:rsidP="00B24607">
            <w:pPr>
              <w:pStyle w:val="TableText"/>
              <w:spacing w:before="50" w:after="50"/>
              <w:rPr>
                <w:rFonts w:cs="Calibri"/>
              </w:rPr>
            </w:pPr>
            <w:r w:rsidRPr="00BE78CA">
              <w:rPr>
                <w:rFonts w:cs="Calibri"/>
              </w:rPr>
              <w:t>Daily spread</w:t>
            </w:r>
          </w:p>
        </w:tc>
        <w:tc>
          <w:tcPr>
            <w:tcW w:w="3405" w:type="dxa"/>
            <w:tcBorders>
              <w:top w:val="single" w:sz="4" w:space="0" w:color="365F91"/>
              <w:left w:val="nil"/>
              <w:bottom w:val="single" w:sz="4" w:space="0" w:color="365F91"/>
              <w:right w:val="nil"/>
            </w:tcBorders>
          </w:tcPr>
          <w:p w14:paraId="0C039439" w14:textId="77777777" w:rsidR="00F02481" w:rsidRPr="00BE78CA" w:rsidRDefault="00F02481" w:rsidP="00B24607">
            <w:pPr>
              <w:pStyle w:val="TableText"/>
              <w:spacing w:before="50" w:after="50"/>
              <w:rPr>
                <w:rFonts w:cs="Calibri"/>
              </w:rPr>
            </w:pPr>
            <w:r w:rsidRPr="00BE78CA">
              <w:rPr>
                <w:rFonts w:cs="Calibri"/>
              </w:rPr>
              <w:t>Swine</w:t>
            </w:r>
          </w:p>
        </w:tc>
        <w:tc>
          <w:tcPr>
            <w:tcW w:w="1788" w:type="dxa"/>
            <w:tcBorders>
              <w:top w:val="single" w:sz="4" w:space="0" w:color="365F91"/>
              <w:left w:val="nil"/>
              <w:bottom w:val="single" w:sz="4" w:space="0" w:color="365F91"/>
              <w:right w:val="nil"/>
            </w:tcBorders>
          </w:tcPr>
          <w:p w14:paraId="005A0256" w14:textId="77777777" w:rsidR="00F02481" w:rsidRPr="00BE78CA" w:rsidRDefault="00F02481" w:rsidP="00B24607">
            <w:pPr>
              <w:pStyle w:val="TableText"/>
              <w:tabs>
                <w:tab w:val="decimal" w:pos="283"/>
              </w:tabs>
              <w:spacing w:before="50" w:after="50"/>
              <w:jc w:val="center"/>
              <w:rPr>
                <w:rFonts w:cs="Calibri"/>
              </w:rPr>
            </w:pPr>
            <w:r w:rsidRPr="00BE78CA">
              <w:rPr>
                <w:rFonts w:cs="Calibri"/>
              </w:rPr>
              <w:t>0.07</w:t>
            </w:r>
          </w:p>
        </w:tc>
      </w:tr>
      <w:tr w:rsidR="00F02481" w:rsidRPr="00BE78CA" w14:paraId="5F4A6CB3" w14:textId="77777777" w:rsidTr="00DF4B3E">
        <w:tc>
          <w:tcPr>
            <w:tcW w:w="2745" w:type="dxa"/>
            <w:tcBorders>
              <w:top w:val="single" w:sz="4" w:space="0" w:color="365F91"/>
              <w:left w:val="nil"/>
              <w:bottom w:val="single" w:sz="4" w:space="0" w:color="365F91"/>
              <w:right w:val="nil"/>
            </w:tcBorders>
          </w:tcPr>
          <w:p w14:paraId="78BACA8E" w14:textId="77777777" w:rsidR="00F02481" w:rsidRPr="00BE78CA" w:rsidRDefault="00F02481" w:rsidP="00B24607">
            <w:pPr>
              <w:pStyle w:val="TableText"/>
              <w:spacing w:before="50" w:after="50"/>
              <w:rPr>
                <w:rFonts w:cs="Calibri"/>
              </w:rPr>
            </w:pPr>
            <w:r w:rsidRPr="00BE78CA">
              <w:rPr>
                <w:rFonts w:cs="Calibri"/>
              </w:rPr>
              <w:t>Solid storage and dry lot</w:t>
            </w:r>
          </w:p>
        </w:tc>
        <w:tc>
          <w:tcPr>
            <w:tcW w:w="3405" w:type="dxa"/>
            <w:tcBorders>
              <w:top w:val="single" w:sz="4" w:space="0" w:color="365F91"/>
              <w:left w:val="nil"/>
              <w:bottom w:val="single" w:sz="4" w:space="0" w:color="365F91"/>
              <w:right w:val="nil"/>
            </w:tcBorders>
          </w:tcPr>
          <w:p w14:paraId="30F9AD4B" w14:textId="77777777" w:rsidR="00F02481" w:rsidRPr="00BE78CA" w:rsidRDefault="00F02481" w:rsidP="00B24607">
            <w:pPr>
              <w:pStyle w:val="TableText"/>
              <w:spacing w:before="50" w:after="50"/>
              <w:rPr>
                <w:rFonts w:cs="Calibri"/>
              </w:rPr>
            </w:pPr>
            <w:r w:rsidRPr="00BE78CA">
              <w:rPr>
                <w:rFonts w:cs="Calibri"/>
              </w:rPr>
              <w:t>Swine</w:t>
            </w:r>
          </w:p>
        </w:tc>
        <w:tc>
          <w:tcPr>
            <w:tcW w:w="1788" w:type="dxa"/>
            <w:tcBorders>
              <w:top w:val="single" w:sz="4" w:space="0" w:color="365F91"/>
              <w:left w:val="nil"/>
              <w:bottom w:val="single" w:sz="4" w:space="0" w:color="365F91"/>
              <w:right w:val="nil"/>
            </w:tcBorders>
          </w:tcPr>
          <w:p w14:paraId="7579DE19" w14:textId="77777777" w:rsidR="00F02481" w:rsidRPr="00BE78CA" w:rsidRDefault="00F02481" w:rsidP="00B24607">
            <w:pPr>
              <w:pStyle w:val="TableText"/>
              <w:tabs>
                <w:tab w:val="decimal" w:pos="283"/>
              </w:tabs>
              <w:spacing w:before="50" w:after="50"/>
              <w:jc w:val="center"/>
              <w:rPr>
                <w:rFonts w:cs="Calibri"/>
              </w:rPr>
            </w:pPr>
            <w:r w:rsidRPr="00BE78CA">
              <w:rPr>
                <w:rFonts w:cs="Calibri"/>
              </w:rPr>
              <w:t>0.30</w:t>
            </w:r>
          </w:p>
        </w:tc>
      </w:tr>
      <w:tr w:rsidR="00F02481" w:rsidRPr="00BE78CA" w14:paraId="173D483C" w14:textId="77777777" w:rsidTr="00DF4B3E">
        <w:tc>
          <w:tcPr>
            <w:tcW w:w="2745" w:type="dxa"/>
            <w:vMerge w:val="restart"/>
            <w:tcBorders>
              <w:top w:val="single" w:sz="4" w:space="0" w:color="365F91"/>
              <w:left w:val="nil"/>
              <w:right w:val="nil"/>
            </w:tcBorders>
            <w:vAlign w:val="center"/>
          </w:tcPr>
          <w:p w14:paraId="4539068A" w14:textId="77777777" w:rsidR="00F02481" w:rsidRPr="00BE78CA" w:rsidRDefault="00F02481" w:rsidP="00B24607">
            <w:pPr>
              <w:pStyle w:val="TableText"/>
              <w:spacing w:before="50" w:after="50"/>
              <w:rPr>
                <w:rFonts w:cs="Calibri"/>
              </w:rPr>
            </w:pPr>
            <w:r w:rsidRPr="00BE78CA">
              <w:rPr>
                <w:rFonts w:cs="Calibri"/>
              </w:rPr>
              <w:t>Other (deep bedding)</w:t>
            </w:r>
          </w:p>
        </w:tc>
        <w:tc>
          <w:tcPr>
            <w:tcW w:w="3405" w:type="dxa"/>
            <w:tcBorders>
              <w:top w:val="single" w:sz="4" w:space="0" w:color="365F91"/>
              <w:left w:val="nil"/>
              <w:bottom w:val="single" w:sz="4" w:space="0" w:color="365F91"/>
              <w:right w:val="nil"/>
            </w:tcBorders>
          </w:tcPr>
          <w:p w14:paraId="37BCAB1C" w14:textId="77777777" w:rsidR="00F02481" w:rsidRPr="00BE78CA" w:rsidRDefault="00F02481" w:rsidP="00B24607">
            <w:pPr>
              <w:pStyle w:val="TableText"/>
              <w:spacing w:before="50" w:after="50"/>
              <w:rPr>
                <w:rFonts w:cs="Calibri"/>
              </w:rPr>
            </w:pPr>
            <w:r w:rsidRPr="00BE78CA">
              <w:rPr>
                <w:rFonts w:cs="Calibri"/>
              </w:rPr>
              <w:t>Swine</w:t>
            </w:r>
          </w:p>
        </w:tc>
        <w:tc>
          <w:tcPr>
            <w:tcW w:w="1788" w:type="dxa"/>
            <w:tcBorders>
              <w:top w:val="single" w:sz="4" w:space="0" w:color="365F91"/>
              <w:left w:val="nil"/>
              <w:bottom w:val="single" w:sz="4" w:space="0" w:color="365F91"/>
              <w:right w:val="nil"/>
            </w:tcBorders>
          </w:tcPr>
          <w:p w14:paraId="5BFD15E1" w14:textId="77777777" w:rsidR="00F02481" w:rsidRPr="00BE78CA" w:rsidRDefault="00F02481" w:rsidP="00B24607">
            <w:pPr>
              <w:pStyle w:val="TableText"/>
              <w:tabs>
                <w:tab w:val="decimal" w:pos="283"/>
              </w:tabs>
              <w:spacing w:before="50" w:after="50"/>
              <w:jc w:val="center"/>
              <w:rPr>
                <w:rFonts w:cs="Calibri"/>
              </w:rPr>
            </w:pPr>
            <w:r w:rsidRPr="00BE78CA">
              <w:rPr>
                <w:rFonts w:cs="Calibri"/>
              </w:rPr>
              <w:t>0.25</w:t>
            </w:r>
          </w:p>
        </w:tc>
      </w:tr>
      <w:tr w:rsidR="00F02481" w:rsidRPr="00BE78CA" w14:paraId="30B7472B" w14:textId="77777777" w:rsidTr="00DF4B3E">
        <w:tc>
          <w:tcPr>
            <w:tcW w:w="2745" w:type="dxa"/>
            <w:vMerge/>
            <w:tcBorders>
              <w:left w:val="nil"/>
              <w:right w:val="nil"/>
            </w:tcBorders>
          </w:tcPr>
          <w:p w14:paraId="2508E410" w14:textId="77777777" w:rsidR="00F02481" w:rsidRPr="00BE78CA" w:rsidRDefault="00F02481" w:rsidP="00B24607">
            <w:pPr>
              <w:pStyle w:val="TableText"/>
              <w:spacing w:before="50" w:after="50"/>
              <w:rPr>
                <w:rFonts w:cs="Calibri"/>
              </w:rPr>
            </w:pPr>
          </w:p>
        </w:tc>
        <w:tc>
          <w:tcPr>
            <w:tcW w:w="3405" w:type="dxa"/>
            <w:tcBorders>
              <w:top w:val="single" w:sz="4" w:space="0" w:color="365F91"/>
              <w:left w:val="nil"/>
              <w:bottom w:val="single" w:sz="4" w:space="0" w:color="365F91"/>
              <w:right w:val="nil"/>
            </w:tcBorders>
          </w:tcPr>
          <w:p w14:paraId="6122117A" w14:textId="77777777" w:rsidR="00F02481" w:rsidRPr="00BE78CA" w:rsidRDefault="00F02481" w:rsidP="00B24607">
            <w:pPr>
              <w:pStyle w:val="TableText"/>
              <w:spacing w:before="50" w:after="50"/>
              <w:rPr>
                <w:rFonts w:cs="Calibri"/>
              </w:rPr>
            </w:pPr>
            <w:r w:rsidRPr="00BE78CA">
              <w:rPr>
                <w:rFonts w:cs="Calibri"/>
              </w:rPr>
              <w:t>Poultry – broilers</w:t>
            </w:r>
          </w:p>
        </w:tc>
        <w:tc>
          <w:tcPr>
            <w:tcW w:w="1788" w:type="dxa"/>
            <w:tcBorders>
              <w:top w:val="single" w:sz="4" w:space="0" w:color="365F91"/>
              <w:left w:val="nil"/>
              <w:bottom w:val="single" w:sz="4" w:space="0" w:color="365F91"/>
              <w:right w:val="nil"/>
            </w:tcBorders>
          </w:tcPr>
          <w:p w14:paraId="73056316" w14:textId="77777777" w:rsidR="00F02481" w:rsidRPr="00BE78CA" w:rsidRDefault="00F02481" w:rsidP="00B24607">
            <w:pPr>
              <w:pStyle w:val="TableText"/>
              <w:tabs>
                <w:tab w:val="decimal" w:pos="283"/>
              </w:tabs>
              <w:spacing w:before="50" w:after="50"/>
              <w:jc w:val="center"/>
              <w:rPr>
                <w:rFonts w:cs="Calibri"/>
              </w:rPr>
            </w:pPr>
            <w:r w:rsidRPr="00BE78CA">
              <w:rPr>
                <w:rFonts w:cs="Calibri"/>
              </w:rPr>
              <w:t>0.25</w:t>
            </w:r>
          </w:p>
        </w:tc>
      </w:tr>
      <w:tr w:rsidR="00F02481" w:rsidRPr="00BE78CA" w14:paraId="3087F614" w14:textId="77777777" w:rsidTr="00DF4B3E">
        <w:tc>
          <w:tcPr>
            <w:tcW w:w="2745" w:type="dxa"/>
            <w:vMerge/>
            <w:tcBorders>
              <w:left w:val="nil"/>
              <w:right w:val="nil"/>
            </w:tcBorders>
          </w:tcPr>
          <w:p w14:paraId="0231FFFC" w14:textId="77777777" w:rsidR="00F02481" w:rsidRPr="00BE78CA" w:rsidRDefault="00F02481" w:rsidP="00B24607">
            <w:pPr>
              <w:pStyle w:val="TableText"/>
              <w:spacing w:before="50" w:after="50"/>
              <w:rPr>
                <w:rFonts w:cs="Calibri"/>
              </w:rPr>
            </w:pPr>
          </w:p>
        </w:tc>
        <w:tc>
          <w:tcPr>
            <w:tcW w:w="3405" w:type="dxa"/>
            <w:tcBorders>
              <w:top w:val="single" w:sz="4" w:space="0" w:color="365F91"/>
              <w:left w:val="nil"/>
              <w:bottom w:val="single" w:sz="4" w:space="0" w:color="365F91"/>
              <w:right w:val="nil"/>
            </w:tcBorders>
          </w:tcPr>
          <w:p w14:paraId="53362556" w14:textId="77777777" w:rsidR="00F02481" w:rsidRPr="00BE78CA" w:rsidRDefault="00F02481" w:rsidP="00B24607">
            <w:pPr>
              <w:pStyle w:val="TableText"/>
              <w:spacing w:before="50" w:after="50"/>
              <w:rPr>
                <w:rFonts w:cs="Calibri"/>
              </w:rPr>
            </w:pPr>
            <w:r w:rsidRPr="00BE78CA">
              <w:rPr>
                <w:rFonts w:cs="Calibri"/>
              </w:rPr>
              <w:t xml:space="preserve">Poultry – layers </w:t>
            </w:r>
          </w:p>
        </w:tc>
        <w:tc>
          <w:tcPr>
            <w:tcW w:w="1788" w:type="dxa"/>
            <w:tcBorders>
              <w:top w:val="single" w:sz="4" w:space="0" w:color="365F91"/>
              <w:left w:val="nil"/>
              <w:bottom w:val="single" w:sz="4" w:space="0" w:color="365F91"/>
              <w:right w:val="nil"/>
            </w:tcBorders>
          </w:tcPr>
          <w:p w14:paraId="5F433653" w14:textId="77777777" w:rsidR="00F02481" w:rsidRPr="00BE78CA" w:rsidRDefault="00F02481" w:rsidP="00B24607">
            <w:pPr>
              <w:pStyle w:val="TableText"/>
              <w:tabs>
                <w:tab w:val="decimal" w:pos="283"/>
              </w:tabs>
              <w:spacing w:before="50" w:after="50"/>
              <w:jc w:val="center"/>
              <w:rPr>
                <w:rFonts w:cs="Calibri"/>
              </w:rPr>
            </w:pPr>
            <w:r w:rsidRPr="00BE78CA">
              <w:rPr>
                <w:rFonts w:cs="Calibri"/>
              </w:rPr>
              <w:t>0.25</w:t>
            </w:r>
          </w:p>
        </w:tc>
      </w:tr>
      <w:tr w:rsidR="00F02481" w:rsidRPr="00BE78CA" w14:paraId="1A80F04F" w14:textId="77777777" w:rsidTr="00DF4B3E">
        <w:tc>
          <w:tcPr>
            <w:tcW w:w="2745" w:type="dxa"/>
            <w:vMerge/>
            <w:tcBorders>
              <w:left w:val="nil"/>
              <w:bottom w:val="single" w:sz="4" w:space="0" w:color="365F91"/>
              <w:right w:val="nil"/>
            </w:tcBorders>
          </w:tcPr>
          <w:p w14:paraId="6AF834A1" w14:textId="77777777" w:rsidR="00F02481" w:rsidRPr="00BE78CA" w:rsidRDefault="00F02481" w:rsidP="00B24607">
            <w:pPr>
              <w:pStyle w:val="TableText"/>
              <w:spacing w:before="50" w:after="50"/>
              <w:rPr>
                <w:rFonts w:cs="Calibri"/>
              </w:rPr>
            </w:pPr>
          </w:p>
        </w:tc>
        <w:tc>
          <w:tcPr>
            <w:tcW w:w="3405" w:type="dxa"/>
            <w:tcBorders>
              <w:top w:val="single" w:sz="4" w:space="0" w:color="365F91"/>
              <w:left w:val="nil"/>
              <w:bottom w:val="single" w:sz="4" w:space="0" w:color="365F91"/>
              <w:right w:val="nil"/>
            </w:tcBorders>
          </w:tcPr>
          <w:p w14:paraId="4F07FCBF" w14:textId="77777777" w:rsidR="00F02481" w:rsidRPr="00BE78CA" w:rsidRDefault="00F02481" w:rsidP="00B24607">
            <w:pPr>
              <w:pStyle w:val="TableText"/>
              <w:spacing w:before="50" w:after="50"/>
              <w:rPr>
                <w:rFonts w:cs="Calibri"/>
              </w:rPr>
            </w:pPr>
            <w:r w:rsidRPr="00BE78CA">
              <w:rPr>
                <w:rFonts w:cs="Calibri"/>
              </w:rPr>
              <w:t xml:space="preserve">Poultry – other </w:t>
            </w:r>
          </w:p>
        </w:tc>
        <w:tc>
          <w:tcPr>
            <w:tcW w:w="1788" w:type="dxa"/>
            <w:tcBorders>
              <w:top w:val="single" w:sz="4" w:space="0" w:color="365F91"/>
              <w:left w:val="nil"/>
              <w:bottom w:val="single" w:sz="4" w:space="0" w:color="365F91"/>
              <w:right w:val="nil"/>
            </w:tcBorders>
          </w:tcPr>
          <w:p w14:paraId="007819C3" w14:textId="77777777" w:rsidR="00F02481" w:rsidRPr="00BE78CA" w:rsidRDefault="00F02481" w:rsidP="00B24607">
            <w:pPr>
              <w:pStyle w:val="TableText"/>
              <w:tabs>
                <w:tab w:val="decimal" w:pos="283"/>
              </w:tabs>
              <w:spacing w:before="50" w:after="50"/>
              <w:jc w:val="center"/>
              <w:rPr>
                <w:rFonts w:cs="Calibri"/>
              </w:rPr>
            </w:pPr>
            <w:r w:rsidRPr="00BE78CA">
              <w:rPr>
                <w:rFonts w:cs="Calibri"/>
              </w:rPr>
              <w:t>0.25</w:t>
            </w:r>
          </w:p>
        </w:tc>
      </w:tr>
    </w:tbl>
    <w:p w14:paraId="5F8FCF74" w14:textId="77777777" w:rsidR="00F02481" w:rsidRPr="00BE78CA" w:rsidRDefault="00F02481" w:rsidP="00C26084">
      <w:pPr>
        <w:pStyle w:val="Source"/>
        <w:rPr>
          <w:rFonts w:cs="Calibri"/>
        </w:rPr>
      </w:pPr>
      <w:r w:rsidRPr="00BE78CA">
        <w:rPr>
          <w:rFonts w:cs="Calibri"/>
          <w:b/>
          <w:bCs/>
        </w:rPr>
        <w:t xml:space="preserve">Source: </w:t>
      </w:r>
      <w:r w:rsidRPr="00BE78CA">
        <w:rPr>
          <w:rFonts w:cs="Calibri"/>
          <w:b/>
        </w:rPr>
        <w:tab/>
      </w:r>
      <w:r w:rsidRPr="00BE78CA">
        <w:rPr>
          <w:rFonts w:cs="Calibri"/>
        </w:rPr>
        <w:t>IPCC (2006) table 10.22 and Hill (2012)</w:t>
      </w:r>
    </w:p>
    <w:p w14:paraId="2B1688CB" w14:textId="77777777" w:rsidR="00F02481" w:rsidRPr="00BE78CA" w:rsidRDefault="00F02481" w:rsidP="00B24607">
      <w:pPr>
        <w:pStyle w:val="Heading3"/>
      </w:pPr>
      <w:bookmarkStart w:id="739" w:name="_Toc32570660"/>
      <w:r w:rsidRPr="00BE78CA">
        <w:t>5.3.3</w:t>
      </w:r>
      <w:r w:rsidRPr="00BE78CA">
        <w:tab/>
        <w:t>Uncertainties and time-series consistency</w:t>
      </w:r>
      <w:bookmarkEnd w:id="739"/>
    </w:p>
    <w:p w14:paraId="1A8AA845" w14:textId="77777777" w:rsidR="00F02481" w:rsidRPr="00BE78CA" w:rsidRDefault="00F02481" w:rsidP="00C26084">
      <w:pPr>
        <w:pStyle w:val="BodyText"/>
        <w:rPr>
          <w:rFonts w:cs="Calibri"/>
        </w:rPr>
      </w:pPr>
      <w:r w:rsidRPr="00BE78CA">
        <w:rPr>
          <w:rFonts w:cs="Calibri"/>
        </w:rPr>
        <w:t>To ensure consistency, a single enhanced livestock population characterisation and feed-intake estimate is produced by the Tier 2 model for the major livestock categories. It is used in different parts of the calculations for the inventory to estimate: CH</w:t>
      </w:r>
      <w:r w:rsidRPr="00BE78CA">
        <w:rPr>
          <w:rFonts w:cs="Calibri"/>
          <w:vertAlign w:val="subscript"/>
        </w:rPr>
        <w:t>4</w:t>
      </w:r>
      <w:r w:rsidRPr="00BE78CA">
        <w:rPr>
          <w:rFonts w:cs="Calibri"/>
        </w:rPr>
        <w:t xml:space="preserve"> emissions for the </w:t>
      </w:r>
      <w:r w:rsidRPr="00BE78CA">
        <w:rPr>
          <w:rFonts w:cs="Calibri"/>
          <w:i/>
          <w:iCs/>
        </w:rPr>
        <w:t>Enteric fermentation</w:t>
      </w:r>
      <w:r w:rsidRPr="00BE78CA">
        <w:rPr>
          <w:rFonts w:cs="Calibri"/>
        </w:rPr>
        <w:t xml:space="preserve"> category, CH</w:t>
      </w:r>
      <w:r w:rsidRPr="00BE78CA">
        <w:rPr>
          <w:rFonts w:cs="Calibri"/>
          <w:vertAlign w:val="subscript"/>
        </w:rPr>
        <w:t>4</w:t>
      </w:r>
      <w:r w:rsidRPr="00BE78CA">
        <w:rPr>
          <w:rFonts w:cs="Calibri"/>
        </w:rPr>
        <w:t xml:space="preserve"> and N</w:t>
      </w:r>
      <w:r w:rsidRPr="00BE78CA">
        <w:rPr>
          <w:rFonts w:cs="Calibri"/>
          <w:vertAlign w:val="subscript"/>
        </w:rPr>
        <w:t>2</w:t>
      </w:r>
      <w:r w:rsidRPr="00BE78CA">
        <w:rPr>
          <w:rFonts w:cs="Calibri"/>
        </w:rPr>
        <w:t xml:space="preserve">O emissions for the </w:t>
      </w:r>
      <w:r w:rsidRPr="00BE78CA">
        <w:rPr>
          <w:rFonts w:cs="Calibri"/>
          <w:i/>
          <w:iCs/>
        </w:rPr>
        <w:t>Manure management</w:t>
      </w:r>
      <w:r w:rsidRPr="00BE78CA">
        <w:rPr>
          <w:rFonts w:cs="Calibri"/>
        </w:rPr>
        <w:t xml:space="preserve"> category and N</w:t>
      </w:r>
      <w:r w:rsidRPr="00BE78CA">
        <w:rPr>
          <w:rFonts w:cs="Calibri"/>
          <w:vertAlign w:val="subscript"/>
        </w:rPr>
        <w:t>2</w:t>
      </w:r>
      <w:r w:rsidRPr="00BE78CA">
        <w:rPr>
          <w:rFonts w:cs="Calibri"/>
        </w:rPr>
        <w:t xml:space="preserve">O emissions for the </w:t>
      </w:r>
      <w:r w:rsidRPr="00BE78CA">
        <w:rPr>
          <w:rFonts w:cs="Calibri"/>
          <w:i/>
          <w:iCs/>
        </w:rPr>
        <w:t>Agricultural soils</w:t>
      </w:r>
      <w:r w:rsidRPr="00BE78CA">
        <w:rPr>
          <w:rFonts w:cs="Calibri"/>
        </w:rPr>
        <w:t xml:space="preserve"> category.</w:t>
      </w:r>
    </w:p>
    <w:p w14:paraId="54660E58" w14:textId="77777777" w:rsidR="00F02481" w:rsidRPr="00BE78CA" w:rsidRDefault="00F02481" w:rsidP="00C26084">
      <w:pPr>
        <w:pStyle w:val="Heading4"/>
      </w:pPr>
      <w:r w:rsidRPr="00BE78CA">
        <w:lastRenderedPageBreak/>
        <w:t xml:space="preserve">Methane emissions </w:t>
      </w:r>
    </w:p>
    <w:p w14:paraId="6A413768" w14:textId="77777777" w:rsidR="00F02481" w:rsidRPr="00BE78CA" w:rsidRDefault="00F02481" w:rsidP="00C26084">
      <w:pPr>
        <w:pStyle w:val="BodyText"/>
        <w:rPr>
          <w:rFonts w:cs="Calibri"/>
        </w:rPr>
      </w:pPr>
      <w:r w:rsidRPr="00BE78CA">
        <w:rPr>
          <w:rFonts w:cs="Calibri"/>
        </w:rPr>
        <w:t>The major sources of uncertainty in CH</w:t>
      </w:r>
      <w:r w:rsidRPr="00BE78CA">
        <w:rPr>
          <w:rFonts w:cs="Calibri"/>
          <w:vertAlign w:val="subscript"/>
        </w:rPr>
        <w:t>4</w:t>
      </w:r>
      <w:r w:rsidRPr="00BE78CA">
        <w:rPr>
          <w:rFonts w:cs="Calibri"/>
        </w:rPr>
        <w:t xml:space="preserve"> emissions from </w:t>
      </w:r>
      <w:r w:rsidRPr="00BE78CA">
        <w:rPr>
          <w:rFonts w:cs="Calibri"/>
          <w:i/>
          <w:iCs/>
        </w:rPr>
        <w:t>Manure management</w:t>
      </w:r>
      <w:r w:rsidRPr="00BE78CA">
        <w:rPr>
          <w:rFonts w:cs="Calibri"/>
        </w:rPr>
        <w:t xml:space="preserve"> are the accuracy of emission factors for manure management system distribution, the activity data for the livestock population and the classification and use of the various manure management systems (IPCC, 2006). The ranges for measured emissions for the major livestock categories have been stated where available. </w:t>
      </w:r>
    </w:p>
    <w:p w14:paraId="62F79122" w14:textId="77777777" w:rsidR="00F02481" w:rsidRPr="00BE78CA" w:rsidRDefault="00F02481" w:rsidP="00C26084">
      <w:pPr>
        <w:pStyle w:val="BodyText"/>
        <w:rPr>
          <w:rFonts w:cs="Calibri"/>
        </w:rPr>
      </w:pPr>
      <w:r w:rsidRPr="00BE78CA">
        <w:rPr>
          <w:rFonts w:cs="Calibri"/>
        </w:rPr>
        <w:t>The IPCC (2006) states that emission factor estimates are likely to have uncertainties of ±30 per cent for Tier 1 methodologies and ±20 per cent for Tier 2 methodologies. New Zealand does not currently have country-specific uncertainty values for CH</w:t>
      </w:r>
      <w:r w:rsidRPr="00BE78CA">
        <w:rPr>
          <w:rFonts w:cs="Calibri"/>
          <w:vertAlign w:val="subscript"/>
        </w:rPr>
        <w:t>4</w:t>
      </w:r>
      <w:r w:rsidRPr="00BE78CA">
        <w:rPr>
          <w:rFonts w:cs="Calibri"/>
        </w:rPr>
        <w:t xml:space="preserve"> from manure management, and, because around 95 per cent of CH</w:t>
      </w:r>
      <w:r w:rsidRPr="00BE78CA">
        <w:rPr>
          <w:rFonts w:cs="Calibri"/>
          <w:vertAlign w:val="subscript"/>
        </w:rPr>
        <w:t>4</w:t>
      </w:r>
      <w:r w:rsidRPr="00BE78CA">
        <w:rPr>
          <w:rFonts w:cs="Calibri"/>
        </w:rPr>
        <w:t xml:space="preserve"> from </w:t>
      </w:r>
      <w:r w:rsidRPr="00BE78CA">
        <w:rPr>
          <w:rFonts w:cs="Calibri"/>
          <w:i/>
          <w:iCs/>
        </w:rPr>
        <w:t>Manure management</w:t>
      </w:r>
      <w:r w:rsidRPr="00BE78CA">
        <w:rPr>
          <w:rFonts w:cs="Calibri"/>
        </w:rPr>
        <w:t xml:space="preserve"> is calculated using Tier 2 methodologies, an uncertainty value of ±20 per cent has been used for the </w:t>
      </w:r>
      <w:r w:rsidRPr="00BE78CA">
        <w:rPr>
          <w:rFonts w:cs="Calibri"/>
          <w:i/>
          <w:iCs/>
        </w:rPr>
        <w:t xml:space="preserve">Manure management </w:t>
      </w:r>
      <w:r w:rsidRPr="00BE78CA">
        <w:rPr>
          <w:rFonts w:cs="Calibri"/>
        </w:rPr>
        <w:t>CH</w:t>
      </w:r>
      <w:r w:rsidRPr="00BE78CA">
        <w:rPr>
          <w:rFonts w:cs="Calibri"/>
          <w:vertAlign w:val="subscript"/>
        </w:rPr>
        <w:t>4</w:t>
      </w:r>
      <w:r w:rsidRPr="00BE78CA">
        <w:rPr>
          <w:rFonts w:cs="Calibri"/>
        </w:rPr>
        <w:t xml:space="preserve"> emissions factor uncertainty. </w:t>
      </w:r>
    </w:p>
    <w:p w14:paraId="4E87A4F6" w14:textId="77777777" w:rsidR="00F02481" w:rsidRPr="00BE78CA" w:rsidRDefault="00F02481" w:rsidP="00C26084">
      <w:pPr>
        <w:pStyle w:val="BodyText"/>
        <w:rPr>
          <w:rFonts w:cs="Calibri"/>
        </w:rPr>
      </w:pPr>
      <w:r w:rsidRPr="00BE78CA">
        <w:rPr>
          <w:rFonts w:cs="Calibri"/>
        </w:rPr>
        <w:t xml:space="preserve">Uncertainties for the livestock characterisation are also discussed in section 5.1.4 and annex A3.1.1. </w:t>
      </w:r>
    </w:p>
    <w:p w14:paraId="44D04284" w14:textId="77777777" w:rsidR="00F02481" w:rsidRPr="00BE78CA" w:rsidRDefault="00F02481" w:rsidP="00C26084">
      <w:pPr>
        <w:pStyle w:val="Heading4"/>
      </w:pPr>
      <w:r w:rsidRPr="00BE78CA">
        <w:t>Nitrous oxide emissions</w:t>
      </w:r>
    </w:p>
    <w:p w14:paraId="049490EE" w14:textId="77777777" w:rsidR="00F02481" w:rsidRPr="00BE78CA" w:rsidRDefault="00F02481" w:rsidP="00C26084">
      <w:pPr>
        <w:pStyle w:val="BodyText"/>
        <w:spacing w:before="100" w:after="100"/>
        <w:rPr>
          <w:rFonts w:cs="Calibri"/>
        </w:rPr>
      </w:pPr>
      <w:r w:rsidRPr="00BE78CA">
        <w:rPr>
          <w:rFonts w:cs="Calibri"/>
        </w:rPr>
        <w:t>The main factors causing uncertainty in direct and indirect N</w:t>
      </w:r>
      <w:r w:rsidRPr="00BE78CA">
        <w:rPr>
          <w:rFonts w:cs="Calibri"/>
          <w:vertAlign w:val="subscript"/>
        </w:rPr>
        <w:t>2</w:t>
      </w:r>
      <w:r w:rsidRPr="00BE78CA">
        <w:rPr>
          <w:rFonts w:cs="Calibri"/>
        </w:rPr>
        <w:t>O emissions from manure management are the N</w:t>
      </w:r>
      <w:r w:rsidRPr="00BE78CA">
        <w:rPr>
          <w:rFonts w:cs="Calibri"/>
          <w:vertAlign w:val="subscript"/>
        </w:rPr>
        <w:t>ex</w:t>
      </w:r>
      <w:r w:rsidRPr="00BE78CA">
        <w:rPr>
          <w:rFonts w:cs="Calibri"/>
        </w:rPr>
        <w:t xml:space="preserve"> rates, the emission factors for manure and manure management systems, activity data on the livestock populations and the classification and use of the various manure management systems (IPCC, 2006). </w:t>
      </w:r>
    </w:p>
    <w:p w14:paraId="5288BF2B" w14:textId="77777777" w:rsidR="00F02481" w:rsidRPr="00BE78CA" w:rsidRDefault="00F02481" w:rsidP="00C26084">
      <w:pPr>
        <w:pStyle w:val="BodyText"/>
        <w:spacing w:before="100" w:after="100"/>
        <w:rPr>
          <w:rFonts w:cs="Calibri"/>
        </w:rPr>
      </w:pPr>
      <w:r w:rsidRPr="00BE78CA">
        <w:rPr>
          <w:rFonts w:cs="Calibri"/>
        </w:rPr>
        <w:t>Uncertainty ranges for the default N</w:t>
      </w:r>
      <w:r w:rsidRPr="00BE78CA">
        <w:rPr>
          <w:rFonts w:cs="Calibri"/>
          <w:vertAlign w:val="subscript"/>
        </w:rPr>
        <w:t>ex</w:t>
      </w:r>
      <w:r w:rsidRPr="00BE78CA">
        <w:rPr>
          <w:rFonts w:cs="Calibri"/>
        </w:rPr>
        <w:t xml:space="preserve"> values are estimated at about ±50 per cent (IPCC, 2006), and may be substantially smaller for the values for the livestock whose N</w:t>
      </w:r>
      <w:r w:rsidRPr="00BE78CA">
        <w:rPr>
          <w:rFonts w:cs="Calibri"/>
          <w:vertAlign w:val="subscript"/>
        </w:rPr>
        <w:t>ex</w:t>
      </w:r>
      <w:r w:rsidRPr="00BE78CA">
        <w:rPr>
          <w:rFonts w:cs="Calibri"/>
        </w:rPr>
        <w:t xml:space="preserve"> rates were derived from in-country statistics on productivity. New Zealand uses the default values for EF</w:t>
      </w:r>
      <w:r w:rsidRPr="00BE78CA">
        <w:rPr>
          <w:rFonts w:cs="Calibri"/>
          <w:vertAlign w:val="subscript"/>
        </w:rPr>
        <w:t>3,PRP</w:t>
      </w:r>
      <w:r w:rsidRPr="00BE78CA">
        <w:rPr>
          <w:rFonts w:cs="Calibri"/>
        </w:rPr>
        <w:t xml:space="preserve"> for direct N</w:t>
      </w:r>
      <w:r w:rsidRPr="00BE78CA">
        <w:rPr>
          <w:rFonts w:cs="Calibri"/>
          <w:vertAlign w:val="subscript"/>
        </w:rPr>
        <w:t>2</w:t>
      </w:r>
      <w:r w:rsidRPr="00BE78CA">
        <w:rPr>
          <w:rFonts w:cs="Calibri"/>
        </w:rPr>
        <w:t xml:space="preserve">O emissions from the manure management of swine and poultry, which have uncertainties ranging from –50 per cent to +100 per cent. An uncertainty value range of ±100 per cent has been used for the </w:t>
      </w:r>
      <w:r w:rsidRPr="00BE78CA">
        <w:rPr>
          <w:rFonts w:cs="Calibri"/>
          <w:i/>
          <w:iCs/>
        </w:rPr>
        <w:t>Manure management</w:t>
      </w:r>
      <w:r w:rsidRPr="00BE78CA">
        <w:rPr>
          <w:rFonts w:cs="Calibri"/>
        </w:rPr>
        <w:t xml:space="preserve"> N</w:t>
      </w:r>
      <w:r w:rsidRPr="00BE78CA">
        <w:rPr>
          <w:rFonts w:cs="Calibri"/>
          <w:vertAlign w:val="subscript"/>
        </w:rPr>
        <w:t>2</w:t>
      </w:r>
      <w:r w:rsidRPr="00BE78CA">
        <w:rPr>
          <w:rFonts w:cs="Calibri"/>
        </w:rPr>
        <w:t>O emissions factor uncertainty (Giltrap et al., unpublished).</w:t>
      </w:r>
    </w:p>
    <w:p w14:paraId="631AC41D" w14:textId="77777777" w:rsidR="00F02481" w:rsidRPr="00BE78CA" w:rsidRDefault="00F02481" w:rsidP="00C26084">
      <w:pPr>
        <w:pStyle w:val="BodyText"/>
        <w:spacing w:before="100" w:after="100"/>
        <w:rPr>
          <w:rFonts w:cs="Calibri"/>
        </w:rPr>
      </w:pPr>
      <w:r w:rsidRPr="00BE78CA">
        <w:rPr>
          <w:rFonts w:cs="Calibri"/>
        </w:rPr>
        <w:t xml:space="preserve">As above, uncertainties for the livestock characterisation are discussed in section 5.1.4 and annex A3.1.1. </w:t>
      </w:r>
    </w:p>
    <w:p w14:paraId="14E2712B" w14:textId="77777777" w:rsidR="00F02481" w:rsidRPr="00BE78CA" w:rsidRDefault="00F02481" w:rsidP="00C26084">
      <w:pPr>
        <w:pStyle w:val="Heading3"/>
        <w:rPr>
          <w:rFonts w:cs="Calibri"/>
        </w:rPr>
      </w:pPr>
      <w:bookmarkStart w:id="740" w:name="_Toc139253927"/>
      <w:bookmarkStart w:id="741" w:name="_Toc32570661"/>
      <w:r w:rsidRPr="00BE78CA">
        <w:rPr>
          <w:rFonts w:cs="Calibri"/>
        </w:rPr>
        <w:t>5.3.4</w:t>
      </w:r>
      <w:r w:rsidRPr="00BE78CA">
        <w:rPr>
          <w:rFonts w:cs="Calibri"/>
        </w:rPr>
        <w:tab/>
        <w:t>Source-specific QA/QC and verification</w:t>
      </w:r>
      <w:bookmarkEnd w:id="740"/>
      <w:bookmarkEnd w:id="741"/>
    </w:p>
    <w:p w14:paraId="4E1C2FEC" w14:textId="77777777" w:rsidR="00F02481" w:rsidRPr="00BE78CA" w:rsidRDefault="00F02481" w:rsidP="00C26084">
      <w:pPr>
        <w:pStyle w:val="BodyText"/>
        <w:spacing w:before="100" w:after="100"/>
        <w:rPr>
          <w:rFonts w:cs="Calibri"/>
        </w:rPr>
      </w:pPr>
      <w:r w:rsidRPr="00BE78CA">
        <w:rPr>
          <w:rFonts w:cs="Calibri"/>
        </w:rPr>
        <w:t xml:space="preserve">Methane from </w:t>
      </w:r>
      <w:r w:rsidRPr="00BE78CA">
        <w:rPr>
          <w:rFonts w:cs="Calibri"/>
          <w:i/>
          <w:iCs/>
        </w:rPr>
        <w:t>Manure management</w:t>
      </w:r>
      <w:r w:rsidRPr="00BE78CA">
        <w:rPr>
          <w:rFonts w:cs="Calibri"/>
        </w:rPr>
        <w:t xml:space="preserve"> from dairy cattle was identified as a key category for New Zealand in the 2019 level and 1990–2019 trend assessment. </w:t>
      </w:r>
    </w:p>
    <w:p w14:paraId="2A675E82" w14:textId="77777777" w:rsidR="00F02481" w:rsidRPr="00BE78CA" w:rsidRDefault="00F02481" w:rsidP="00C26084">
      <w:pPr>
        <w:pStyle w:val="BodyText"/>
        <w:spacing w:before="100" w:after="100"/>
        <w:rPr>
          <w:rFonts w:cs="Calibri"/>
        </w:rPr>
      </w:pPr>
      <w:r w:rsidRPr="00BE78CA">
        <w:rPr>
          <w:rFonts w:cs="Calibri"/>
        </w:rPr>
        <w:t>In the preparation for this inventory submission, the data for this category underwent Tier 1 and Tier 2 quality checks.</w:t>
      </w:r>
    </w:p>
    <w:p w14:paraId="5AA158AC" w14:textId="77777777" w:rsidR="00F02481" w:rsidRPr="00BE78CA" w:rsidRDefault="00F02481" w:rsidP="00C26084">
      <w:pPr>
        <w:pStyle w:val="BodyText"/>
        <w:spacing w:before="100" w:after="100"/>
        <w:rPr>
          <w:rFonts w:cs="Calibri"/>
        </w:rPr>
      </w:pPr>
      <w:r w:rsidRPr="00BE78CA">
        <w:rPr>
          <w:rFonts w:cs="Calibri"/>
        </w:rPr>
        <w:t>Table 5.3.6 shows a comparison of the New Zealand-specific 2019 IEF for CH</w:t>
      </w:r>
      <w:r w:rsidRPr="00BE78CA">
        <w:rPr>
          <w:rFonts w:cs="Calibri"/>
          <w:vertAlign w:val="subscript"/>
        </w:rPr>
        <w:t>4</w:t>
      </w:r>
      <w:r w:rsidRPr="00BE78CA">
        <w:rPr>
          <w:rFonts w:cs="Calibri"/>
        </w:rPr>
        <w:t xml:space="preserve"> from </w:t>
      </w:r>
      <w:r w:rsidRPr="00BE78CA">
        <w:rPr>
          <w:rFonts w:cs="Calibri"/>
          <w:i/>
          <w:iCs/>
        </w:rPr>
        <w:t>Manure management</w:t>
      </w:r>
      <w:r w:rsidRPr="00BE78CA">
        <w:rPr>
          <w:rFonts w:cs="Calibri"/>
        </w:rPr>
        <w:t xml:space="preserve"> with the IPCC (2006) Tier 1 Oceania default, the IPCC Tier 2 net energy-based value and the 2018 Australian-specific IEF for </w:t>
      </w:r>
      <w:r w:rsidRPr="00BE78CA">
        <w:rPr>
          <w:rFonts w:cs="Calibri"/>
          <w:i/>
          <w:iCs/>
        </w:rPr>
        <w:t>Dairy cattle</w:t>
      </w:r>
      <w:r w:rsidRPr="00BE78CA">
        <w:rPr>
          <w:rFonts w:cs="Calibri"/>
        </w:rPr>
        <w:t xml:space="preserve">, </w:t>
      </w:r>
      <w:r w:rsidRPr="00BE78CA">
        <w:rPr>
          <w:rFonts w:cs="Calibri"/>
          <w:i/>
          <w:iCs/>
        </w:rPr>
        <w:t xml:space="preserve">Non-dairy </w:t>
      </w:r>
      <w:r w:rsidRPr="00BE78CA">
        <w:rPr>
          <w:rFonts w:cs="Calibri"/>
        </w:rPr>
        <w:t>(beef)</w:t>
      </w:r>
      <w:r w:rsidRPr="00BE78CA">
        <w:rPr>
          <w:rFonts w:cs="Calibri"/>
          <w:i/>
          <w:iCs/>
        </w:rPr>
        <w:t xml:space="preserve"> cattle</w:t>
      </w:r>
      <w:r w:rsidRPr="00BE78CA">
        <w:rPr>
          <w:rFonts w:cs="Calibri"/>
        </w:rPr>
        <w:t xml:space="preserve"> and </w:t>
      </w:r>
      <w:r w:rsidRPr="00BE78CA">
        <w:rPr>
          <w:rFonts w:cs="Calibri"/>
          <w:i/>
          <w:iCs/>
        </w:rPr>
        <w:t>Sheep</w:t>
      </w:r>
      <w:r w:rsidRPr="00BE78CA">
        <w:rPr>
          <w:rFonts w:cs="Calibri"/>
        </w:rPr>
        <w:t>. The IPCC Tier 2 value was determined from net energy equations to determine gross energy for each of New Zealand’s major livestock categories. This information is then used to determine volatile solid excretion and the annual CH</w:t>
      </w:r>
      <w:r w:rsidRPr="00BE78CA">
        <w:rPr>
          <w:rFonts w:cs="Calibri"/>
          <w:vertAlign w:val="subscript"/>
        </w:rPr>
        <w:t>4</w:t>
      </w:r>
      <w:r w:rsidRPr="00BE78CA">
        <w:rPr>
          <w:rFonts w:cs="Calibri"/>
        </w:rPr>
        <w:t xml:space="preserve"> emission factors for each livestock category as per the equations described in the 2006 IPCC Guidelines (i.e., equations 10.16, 10.23 and 10.24).</w:t>
      </w:r>
    </w:p>
    <w:p w14:paraId="7AD3A834" w14:textId="48EC7E34" w:rsidR="00F02481" w:rsidRPr="00BE78CA" w:rsidRDefault="00F02481" w:rsidP="00C26084">
      <w:pPr>
        <w:pStyle w:val="BodyText"/>
        <w:spacing w:before="100" w:after="100"/>
        <w:rPr>
          <w:rFonts w:cs="Calibri"/>
        </w:rPr>
      </w:pPr>
      <w:r w:rsidRPr="00BE78CA">
        <w:rPr>
          <w:rFonts w:cs="Calibri"/>
        </w:rPr>
        <w:lastRenderedPageBreak/>
        <w:t>New Zealand has lower IEFs for CH</w:t>
      </w:r>
      <w:r w:rsidRPr="00BE78CA">
        <w:rPr>
          <w:rFonts w:cs="Calibri"/>
          <w:vertAlign w:val="subscript"/>
        </w:rPr>
        <w:t>4</w:t>
      </w:r>
      <w:r w:rsidRPr="00BE78CA">
        <w:rPr>
          <w:rFonts w:cs="Calibri"/>
        </w:rPr>
        <w:t xml:space="preserve"> from </w:t>
      </w:r>
      <w:r w:rsidRPr="00BE78CA">
        <w:rPr>
          <w:rFonts w:cs="Calibri"/>
          <w:i/>
          <w:iCs/>
        </w:rPr>
        <w:t>Manure management</w:t>
      </w:r>
      <w:r w:rsidRPr="00BE78CA">
        <w:rPr>
          <w:rFonts w:cs="Calibri"/>
        </w:rPr>
        <w:t xml:space="preserve"> for beef cattle and sheep</w:t>
      </w:r>
      <w:r w:rsidR="0062255C" w:rsidRPr="00BE78CA">
        <w:rPr>
          <w:rFonts w:cs="Calibri"/>
        </w:rPr>
        <w:t xml:space="preserve"> </w:t>
      </w:r>
      <w:r w:rsidRPr="00BE78CA">
        <w:rPr>
          <w:rFonts w:cs="Calibri"/>
        </w:rPr>
        <w:t>than</w:t>
      </w:r>
      <w:r w:rsidR="0062255C" w:rsidRPr="00BE78CA">
        <w:rPr>
          <w:rFonts w:cs="Calibri"/>
        </w:rPr>
        <w:t> </w:t>
      </w:r>
      <w:r w:rsidRPr="00BE78CA">
        <w:rPr>
          <w:rFonts w:cs="Calibri"/>
        </w:rPr>
        <w:t>the IPCC Tier 1 Oceania default and the IPCC Tier 2 net energy-based emission factors.</w:t>
      </w:r>
      <w:r w:rsidR="0062255C" w:rsidRPr="00BE78CA">
        <w:rPr>
          <w:rFonts w:cs="Calibri"/>
        </w:rPr>
        <w:t> </w:t>
      </w:r>
      <w:r w:rsidRPr="00BE78CA">
        <w:rPr>
          <w:rFonts w:cs="Calibri"/>
        </w:rPr>
        <w:t>Additionally, New Zealand has lower dairy and non-dairy IEFs for CH</w:t>
      </w:r>
      <w:r w:rsidRPr="00BE78CA">
        <w:rPr>
          <w:rFonts w:cs="Calibri"/>
          <w:vertAlign w:val="subscript"/>
        </w:rPr>
        <w:t>4</w:t>
      </w:r>
      <w:r w:rsidRPr="00BE78CA">
        <w:rPr>
          <w:rFonts w:cs="Calibri"/>
        </w:rPr>
        <w:t xml:space="preserve"> from </w:t>
      </w:r>
      <w:r w:rsidRPr="00BE78CA">
        <w:rPr>
          <w:rFonts w:cs="Calibri"/>
          <w:i/>
          <w:iCs/>
        </w:rPr>
        <w:t>Manure management</w:t>
      </w:r>
      <w:r w:rsidRPr="00BE78CA">
        <w:rPr>
          <w:rFonts w:cs="Calibri"/>
        </w:rPr>
        <w:t xml:space="preserve"> than the Australian-specific 2016 IEFs. Differences between New Zealand’s IEFs, the IPCC Tier 1 and Tier 2 and the Australian-specific IEFs are due to the reasons outlined under </w:t>
      </w:r>
      <w:r w:rsidRPr="00BE78CA">
        <w:rPr>
          <w:rFonts w:cs="Calibri"/>
          <w:i/>
          <w:iCs/>
        </w:rPr>
        <w:t>Enteric fermentation</w:t>
      </w:r>
      <w:r w:rsidRPr="00BE78CA">
        <w:rPr>
          <w:rFonts w:cs="Calibri"/>
        </w:rPr>
        <w:t xml:space="preserve"> (see section 5.2.4): that is, size and productivity of the animals, the age classes of livestock included in New Zealand’s modelling and the use of different algorithms to determine energy intake. The New Zealand-specific IEF from </w:t>
      </w:r>
      <w:r w:rsidRPr="00BE78CA">
        <w:rPr>
          <w:rFonts w:cs="Calibri"/>
          <w:i/>
          <w:iCs/>
        </w:rPr>
        <w:t>Manure management</w:t>
      </w:r>
      <w:r w:rsidRPr="00BE78CA">
        <w:rPr>
          <w:rFonts w:cs="Calibri"/>
        </w:rPr>
        <w:t xml:space="preserve"> for dairy cattle also reflects the activity data on the use of dairy effluent management systems in New Zealand (see section 5.3.2).</w:t>
      </w:r>
    </w:p>
    <w:p w14:paraId="24E8DE69" w14:textId="77777777" w:rsidR="00F02481" w:rsidRPr="00BE78CA" w:rsidRDefault="00F02481" w:rsidP="00C26084">
      <w:pPr>
        <w:pStyle w:val="Table"/>
        <w:rPr>
          <w:rFonts w:cs="Calibri"/>
        </w:rPr>
      </w:pPr>
      <w:bookmarkStart w:id="742" w:name="_Toc441830878"/>
      <w:bookmarkStart w:id="743" w:name="_Toc451176092"/>
      <w:bookmarkStart w:id="744" w:name="_Toc481751520"/>
      <w:bookmarkStart w:id="745" w:name="_Toc507158608"/>
      <w:bookmarkStart w:id="746" w:name="_Toc511116742"/>
      <w:bookmarkStart w:id="747" w:name="_Toc5269482"/>
      <w:bookmarkStart w:id="748" w:name="_Toc32570925"/>
      <w:bookmarkStart w:id="749" w:name="_Toc36224560"/>
      <w:bookmarkStart w:id="750" w:name="_Toc68786445"/>
      <w:bookmarkStart w:id="751" w:name="_Toc288316755"/>
      <w:bookmarkStart w:id="752" w:name="_Toc352504973"/>
      <w:r w:rsidRPr="00BE78CA">
        <w:rPr>
          <w:rFonts w:cs="Calibri"/>
        </w:rPr>
        <w:t>Table 5.3.6</w:t>
      </w:r>
      <w:r w:rsidRPr="00BE78CA">
        <w:rPr>
          <w:rFonts w:cs="Calibri"/>
        </w:rPr>
        <w:tab/>
        <w:t>Comparison of IPCC (2006) table 10A-4 default emission factors and country-specific implied emission factors (IEFs) for methane from manure management</w:t>
      </w:r>
      <w:bookmarkEnd w:id="742"/>
      <w:bookmarkEnd w:id="743"/>
      <w:bookmarkEnd w:id="744"/>
      <w:bookmarkEnd w:id="745"/>
      <w:bookmarkEnd w:id="746"/>
      <w:bookmarkEnd w:id="747"/>
      <w:bookmarkEnd w:id="748"/>
      <w:bookmarkEnd w:id="749"/>
      <w:bookmarkEnd w:id="750"/>
      <w:r w:rsidRPr="00BE78CA">
        <w:rPr>
          <w:rFonts w:cs="Calibri"/>
        </w:rPr>
        <w:t xml:space="preserve"> </w:t>
      </w:r>
      <w:bookmarkEnd w:id="751"/>
      <w:bookmarkEnd w:id="752"/>
    </w:p>
    <w:tbl>
      <w:tblPr>
        <w:tblW w:w="8505" w:type="dxa"/>
        <w:tblBorders>
          <w:top w:val="single" w:sz="4" w:space="0" w:color="365F91"/>
          <w:bottom w:val="single" w:sz="4" w:space="0" w:color="365F91"/>
          <w:insideH w:val="single" w:sz="4" w:space="0" w:color="365F91"/>
        </w:tblBorders>
        <w:tblLayout w:type="fixed"/>
        <w:tblCellMar>
          <w:left w:w="57" w:type="dxa"/>
          <w:right w:w="0" w:type="dxa"/>
        </w:tblCellMar>
        <w:tblLook w:val="0000" w:firstRow="0" w:lastRow="0" w:firstColumn="0" w:lastColumn="0" w:noHBand="0" w:noVBand="0"/>
      </w:tblPr>
      <w:tblGrid>
        <w:gridCol w:w="3887"/>
        <w:gridCol w:w="2634"/>
        <w:gridCol w:w="1134"/>
        <w:gridCol w:w="850"/>
      </w:tblGrid>
      <w:tr w:rsidR="00B24607" w:rsidRPr="00BE78CA" w14:paraId="5EFC3D77" w14:textId="77777777" w:rsidTr="00B24607">
        <w:trPr>
          <w:tblHeader/>
        </w:trPr>
        <w:tc>
          <w:tcPr>
            <w:tcW w:w="3887" w:type="dxa"/>
            <w:tcBorders>
              <w:bottom w:val="nil"/>
            </w:tcBorders>
            <w:shd w:val="clear" w:color="auto" w:fill="365F91"/>
            <w:vAlign w:val="bottom"/>
          </w:tcPr>
          <w:p w14:paraId="14A91E04" w14:textId="77777777" w:rsidR="00F02481" w:rsidRPr="00BE78CA" w:rsidRDefault="00F02481" w:rsidP="00C26084">
            <w:pPr>
              <w:pStyle w:val="TableTextBold"/>
              <w:keepNext/>
              <w:spacing w:after="0"/>
              <w:rPr>
                <w:noProof w:val="0"/>
                <w:color w:val="FFFFFF" w:themeColor="background1"/>
              </w:rPr>
            </w:pPr>
          </w:p>
        </w:tc>
        <w:tc>
          <w:tcPr>
            <w:tcW w:w="4618" w:type="dxa"/>
            <w:gridSpan w:val="3"/>
            <w:tcBorders>
              <w:bottom w:val="nil"/>
            </w:tcBorders>
            <w:shd w:val="clear" w:color="auto" w:fill="365F91"/>
            <w:vAlign w:val="bottom"/>
          </w:tcPr>
          <w:p w14:paraId="36F137F3" w14:textId="77777777" w:rsidR="00F02481" w:rsidRPr="00BE78CA" w:rsidRDefault="00F02481" w:rsidP="00C26084">
            <w:pPr>
              <w:pStyle w:val="TableTextBold"/>
              <w:spacing w:after="0"/>
              <w:jc w:val="center"/>
              <w:rPr>
                <w:noProof w:val="0"/>
                <w:color w:val="FFFFFF" w:themeColor="background1"/>
              </w:rPr>
            </w:pPr>
            <w:r w:rsidRPr="00BE78CA">
              <w:rPr>
                <w:noProof w:val="0"/>
                <w:color w:val="FFFFFF" w:themeColor="background1"/>
              </w:rPr>
              <w:t>kg CH</w:t>
            </w:r>
            <w:r w:rsidRPr="00BE78CA">
              <w:rPr>
                <w:noProof w:val="0"/>
                <w:color w:val="FFFFFF" w:themeColor="background1"/>
                <w:vertAlign w:val="subscript"/>
              </w:rPr>
              <w:t>4</w:t>
            </w:r>
            <w:r w:rsidRPr="00BE78CA">
              <w:rPr>
                <w:noProof w:val="0"/>
                <w:color w:val="FFFFFF" w:themeColor="background1"/>
              </w:rPr>
              <w:t>/head/year</w:t>
            </w:r>
          </w:p>
        </w:tc>
      </w:tr>
      <w:tr w:rsidR="00B24607" w:rsidRPr="00BE78CA" w14:paraId="56D6ABD6" w14:textId="77777777" w:rsidTr="00DC565B">
        <w:trPr>
          <w:tblHeader/>
        </w:trPr>
        <w:tc>
          <w:tcPr>
            <w:tcW w:w="3887" w:type="dxa"/>
            <w:tcBorders>
              <w:top w:val="nil"/>
            </w:tcBorders>
            <w:shd w:val="clear" w:color="auto" w:fill="365F91"/>
            <w:vAlign w:val="bottom"/>
          </w:tcPr>
          <w:p w14:paraId="0DCEF66B" w14:textId="77777777" w:rsidR="00F02481" w:rsidRPr="00BE78CA" w:rsidRDefault="00F02481" w:rsidP="00C26084">
            <w:pPr>
              <w:pStyle w:val="TableTextBold"/>
              <w:keepNext/>
              <w:rPr>
                <w:noProof w:val="0"/>
                <w:color w:val="FFFFFF" w:themeColor="background1"/>
              </w:rPr>
            </w:pPr>
          </w:p>
        </w:tc>
        <w:tc>
          <w:tcPr>
            <w:tcW w:w="2634" w:type="dxa"/>
            <w:tcBorders>
              <w:top w:val="nil"/>
            </w:tcBorders>
            <w:shd w:val="clear" w:color="auto" w:fill="365F91"/>
            <w:vAlign w:val="bottom"/>
          </w:tcPr>
          <w:p w14:paraId="57D027D5" w14:textId="77777777" w:rsidR="00F02481" w:rsidRPr="00BE78CA" w:rsidRDefault="00F02481" w:rsidP="00C26084">
            <w:pPr>
              <w:pStyle w:val="TableTextBold"/>
              <w:spacing w:before="0"/>
              <w:jc w:val="center"/>
              <w:rPr>
                <w:noProof w:val="0"/>
                <w:color w:val="FFFFFF" w:themeColor="background1"/>
              </w:rPr>
            </w:pPr>
            <w:r w:rsidRPr="00BE78CA">
              <w:rPr>
                <w:noProof w:val="0"/>
                <w:color w:val="FFFFFF" w:themeColor="background1"/>
              </w:rPr>
              <w:t>Dairy cattle</w:t>
            </w:r>
          </w:p>
        </w:tc>
        <w:tc>
          <w:tcPr>
            <w:tcW w:w="1134" w:type="dxa"/>
            <w:tcBorders>
              <w:top w:val="nil"/>
            </w:tcBorders>
            <w:shd w:val="clear" w:color="auto" w:fill="365F91"/>
            <w:vAlign w:val="bottom"/>
          </w:tcPr>
          <w:p w14:paraId="679502B9" w14:textId="77777777" w:rsidR="00F02481" w:rsidRPr="00BE78CA" w:rsidRDefault="00F02481" w:rsidP="00C26084">
            <w:pPr>
              <w:pStyle w:val="TableTextBold"/>
              <w:spacing w:before="0"/>
              <w:jc w:val="center"/>
              <w:rPr>
                <w:noProof w:val="0"/>
                <w:color w:val="FFFFFF" w:themeColor="background1"/>
              </w:rPr>
            </w:pPr>
            <w:r w:rsidRPr="00BE78CA">
              <w:rPr>
                <w:noProof w:val="0"/>
                <w:color w:val="FFFFFF" w:themeColor="background1"/>
              </w:rPr>
              <w:t xml:space="preserve">Non-dairy </w:t>
            </w:r>
            <w:r w:rsidRPr="00BE78CA">
              <w:rPr>
                <w:i/>
                <w:iCs/>
                <w:noProof w:val="0"/>
                <w:color w:val="FFFFFF" w:themeColor="background1"/>
              </w:rPr>
              <w:t>(beef)</w:t>
            </w:r>
            <w:r w:rsidRPr="00BE78CA">
              <w:rPr>
                <w:noProof w:val="0"/>
                <w:color w:val="FFFFFF" w:themeColor="background1"/>
              </w:rPr>
              <w:t xml:space="preserve"> cattle</w:t>
            </w:r>
          </w:p>
        </w:tc>
        <w:tc>
          <w:tcPr>
            <w:tcW w:w="850" w:type="dxa"/>
            <w:tcBorders>
              <w:top w:val="nil"/>
            </w:tcBorders>
            <w:shd w:val="clear" w:color="auto" w:fill="365F91"/>
            <w:vAlign w:val="bottom"/>
          </w:tcPr>
          <w:p w14:paraId="5A966612" w14:textId="77777777" w:rsidR="00F02481" w:rsidRPr="00BE78CA" w:rsidRDefault="00F02481" w:rsidP="00C26084">
            <w:pPr>
              <w:pStyle w:val="TableTextBold"/>
              <w:spacing w:before="0"/>
              <w:jc w:val="center"/>
              <w:rPr>
                <w:noProof w:val="0"/>
                <w:color w:val="FFFFFF" w:themeColor="background1"/>
              </w:rPr>
            </w:pPr>
            <w:r w:rsidRPr="00BE78CA">
              <w:rPr>
                <w:noProof w:val="0"/>
                <w:color w:val="FFFFFF" w:themeColor="background1"/>
              </w:rPr>
              <w:t>Sheep</w:t>
            </w:r>
          </w:p>
        </w:tc>
      </w:tr>
      <w:tr w:rsidR="00F02481" w:rsidRPr="00BE78CA" w14:paraId="4F690201" w14:textId="77777777" w:rsidTr="00DC565B">
        <w:trPr>
          <w:trHeight w:val="254"/>
        </w:trPr>
        <w:tc>
          <w:tcPr>
            <w:tcW w:w="3887" w:type="dxa"/>
          </w:tcPr>
          <w:p w14:paraId="048B0EC8" w14:textId="77777777" w:rsidR="00F02481" w:rsidRPr="00BE78CA" w:rsidRDefault="00F02481" w:rsidP="00C26084">
            <w:pPr>
              <w:pStyle w:val="TableText"/>
              <w:keepNext/>
              <w:spacing w:before="50" w:after="50"/>
              <w:rPr>
                <w:rFonts w:cs="Calibri"/>
              </w:rPr>
            </w:pPr>
            <w:r w:rsidRPr="00BE78CA">
              <w:rPr>
                <w:rFonts w:cs="Calibri"/>
              </w:rPr>
              <w:t>IPCC Tier 1 Oceania default value (average temperature 15°C (cattle)/developed temperate default value (sheep))</w:t>
            </w:r>
          </w:p>
        </w:tc>
        <w:tc>
          <w:tcPr>
            <w:tcW w:w="2634" w:type="dxa"/>
          </w:tcPr>
          <w:p w14:paraId="65C2C08E" w14:textId="77777777" w:rsidR="00F02481" w:rsidRPr="00BE78CA" w:rsidRDefault="00F02481" w:rsidP="00C26084">
            <w:pPr>
              <w:pStyle w:val="TableText"/>
              <w:jc w:val="center"/>
              <w:rPr>
                <w:rFonts w:cs="Calibri"/>
              </w:rPr>
            </w:pPr>
            <w:r w:rsidRPr="00BE78CA">
              <w:rPr>
                <w:rFonts w:cs="Calibri"/>
              </w:rPr>
              <w:t>27.00</w:t>
            </w:r>
          </w:p>
        </w:tc>
        <w:tc>
          <w:tcPr>
            <w:tcW w:w="1134" w:type="dxa"/>
          </w:tcPr>
          <w:p w14:paraId="7B6206BC" w14:textId="77777777" w:rsidR="00F02481" w:rsidRPr="00BE78CA" w:rsidRDefault="00F02481" w:rsidP="00C26084">
            <w:pPr>
              <w:pStyle w:val="TableText"/>
              <w:spacing w:before="50" w:after="50"/>
              <w:jc w:val="center"/>
              <w:rPr>
                <w:rFonts w:cs="Calibri"/>
              </w:rPr>
            </w:pPr>
            <w:r w:rsidRPr="00BE78CA">
              <w:rPr>
                <w:rFonts w:cs="Calibri"/>
              </w:rPr>
              <w:t>2.00</w:t>
            </w:r>
          </w:p>
        </w:tc>
        <w:tc>
          <w:tcPr>
            <w:tcW w:w="850" w:type="dxa"/>
          </w:tcPr>
          <w:p w14:paraId="7AA963DD" w14:textId="77777777" w:rsidR="00F02481" w:rsidRPr="00BE78CA" w:rsidRDefault="00F02481" w:rsidP="00C26084">
            <w:pPr>
              <w:pStyle w:val="TableText"/>
              <w:spacing w:before="50" w:after="50"/>
              <w:jc w:val="center"/>
              <w:rPr>
                <w:rFonts w:cs="Calibri"/>
              </w:rPr>
            </w:pPr>
            <w:r w:rsidRPr="00BE78CA">
              <w:rPr>
                <w:rFonts w:cs="Calibri"/>
              </w:rPr>
              <w:t>0.28</w:t>
            </w:r>
          </w:p>
        </w:tc>
      </w:tr>
      <w:tr w:rsidR="00F02481" w:rsidRPr="00BE78CA" w14:paraId="6427896B" w14:textId="77777777" w:rsidTr="00DC565B">
        <w:trPr>
          <w:trHeight w:val="254"/>
        </w:trPr>
        <w:tc>
          <w:tcPr>
            <w:tcW w:w="3887" w:type="dxa"/>
            <w:shd w:val="clear" w:color="auto" w:fill="auto"/>
          </w:tcPr>
          <w:p w14:paraId="0A7ECFC9" w14:textId="77777777" w:rsidR="00F02481" w:rsidRPr="00BE78CA" w:rsidRDefault="00F02481" w:rsidP="00C26084">
            <w:pPr>
              <w:pStyle w:val="TableText"/>
              <w:keepNext/>
              <w:spacing w:before="50" w:after="50"/>
              <w:rPr>
                <w:rFonts w:cs="Calibri"/>
              </w:rPr>
            </w:pPr>
            <w:r w:rsidRPr="00BE78CA">
              <w:rPr>
                <w:rFonts w:cs="Calibri"/>
              </w:rPr>
              <w:t>IPCC Tier 2 net energy-based value</w:t>
            </w:r>
          </w:p>
        </w:tc>
        <w:tc>
          <w:tcPr>
            <w:tcW w:w="2634" w:type="dxa"/>
            <w:shd w:val="clear" w:color="auto" w:fill="auto"/>
          </w:tcPr>
          <w:p w14:paraId="3DF60951" w14:textId="77777777" w:rsidR="00F02481" w:rsidRPr="00BE78CA" w:rsidRDefault="00F02481" w:rsidP="00C26084">
            <w:pPr>
              <w:pStyle w:val="TableText"/>
              <w:jc w:val="center"/>
              <w:rPr>
                <w:rFonts w:cs="Calibri"/>
              </w:rPr>
            </w:pPr>
            <w:r w:rsidRPr="00BE78CA">
              <w:rPr>
                <w:rFonts w:cs="Calibri"/>
              </w:rPr>
              <w:t>5.97</w:t>
            </w:r>
          </w:p>
        </w:tc>
        <w:tc>
          <w:tcPr>
            <w:tcW w:w="1134" w:type="dxa"/>
            <w:shd w:val="clear" w:color="auto" w:fill="auto"/>
          </w:tcPr>
          <w:p w14:paraId="22D04437" w14:textId="77777777" w:rsidR="00F02481" w:rsidRPr="00BE78CA" w:rsidRDefault="00F02481" w:rsidP="00C26084">
            <w:pPr>
              <w:pStyle w:val="TableText"/>
              <w:spacing w:before="50" w:after="50"/>
              <w:jc w:val="center"/>
              <w:rPr>
                <w:rFonts w:cs="Calibri"/>
              </w:rPr>
            </w:pPr>
            <w:r w:rsidRPr="00BE78CA">
              <w:rPr>
                <w:rFonts w:cs="Calibri"/>
              </w:rPr>
              <w:t>0.82</w:t>
            </w:r>
          </w:p>
        </w:tc>
        <w:tc>
          <w:tcPr>
            <w:tcW w:w="850" w:type="dxa"/>
            <w:shd w:val="clear" w:color="auto" w:fill="auto"/>
          </w:tcPr>
          <w:p w14:paraId="2AD5B904" w14:textId="77777777" w:rsidR="00F02481" w:rsidRPr="00BE78CA" w:rsidRDefault="00F02481" w:rsidP="00C26084">
            <w:pPr>
              <w:pStyle w:val="TableText"/>
              <w:spacing w:before="50" w:after="50"/>
              <w:jc w:val="center"/>
              <w:rPr>
                <w:rFonts w:cs="Calibri"/>
              </w:rPr>
            </w:pPr>
            <w:r w:rsidRPr="00BE78CA">
              <w:rPr>
                <w:rFonts w:cs="Calibri"/>
              </w:rPr>
              <w:t>0.18</w:t>
            </w:r>
          </w:p>
        </w:tc>
      </w:tr>
      <w:tr w:rsidR="00F02481" w:rsidRPr="00BE78CA" w14:paraId="4A0127EF" w14:textId="77777777" w:rsidTr="00DC565B">
        <w:trPr>
          <w:trHeight w:val="254"/>
        </w:trPr>
        <w:tc>
          <w:tcPr>
            <w:tcW w:w="3887" w:type="dxa"/>
          </w:tcPr>
          <w:p w14:paraId="5BCFCC33" w14:textId="77777777" w:rsidR="00F02481" w:rsidRPr="00BE78CA" w:rsidRDefault="00F02481" w:rsidP="00C26084">
            <w:pPr>
              <w:pStyle w:val="TableText"/>
              <w:spacing w:before="50" w:after="50"/>
              <w:rPr>
                <w:rFonts w:cs="Calibri"/>
                <w:szCs w:val="16"/>
              </w:rPr>
            </w:pPr>
            <w:r w:rsidRPr="00BE78CA">
              <w:rPr>
                <w:rFonts w:cs="Calibri"/>
                <w:szCs w:val="16"/>
              </w:rPr>
              <w:t>Australian-specific IEF 2018 value</w:t>
            </w:r>
            <w:r w:rsidRPr="00BE78CA">
              <w:rPr>
                <w:rStyle w:val="FootnoteReference"/>
                <w:rFonts w:cs="Calibri"/>
                <w:szCs w:val="16"/>
              </w:rPr>
              <w:footnoteReference w:id="54"/>
            </w:r>
          </w:p>
        </w:tc>
        <w:tc>
          <w:tcPr>
            <w:tcW w:w="2634" w:type="dxa"/>
          </w:tcPr>
          <w:p w14:paraId="4DD9A3CF" w14:textId="77777777" w:rsidR="00F02481" w:rsidRPr="00BE78CA" w:rsidRDefault="00F02481" w:rsidP="00C26084">
            <w:pPr>
              <w:pStyle w:val="TableText"/>
              <w:jc w:val="center"/>
              <w:rPr>
                <w:rFonts w:cs="Calibri"/>
                <w:szCs w:val="16"/>
              </w:rPr>
            </w:pPr>
            <w:r w:rsidRPr="00BE78CA">
              <w:rPr>
                <w:rFonts w:cs="Calibri"/>
                <w:szCs w:val="16"/>
              </w:rPr>
              <w:t>15.30</w:t>
            </w:r>
          </w:p>
        </w:tc>
        <w:tc>
          <w:tcPr>
            <w:tcW w:w="1134" w:type="dxa"/>
          </w:tcPr>
          <w:p w14:paraId="316E0987" w14:textId="77777777" w:rsidR="00F02481" w:rsidRPr="00BE78CA" w:rsidRDefault="00F02481" w:rsidP="00C26084">
            <w:pPr>
              <w:pStyle w:val="TableText"/>
              <w:spacing w:before="50" w:after="0"/>
              <w:jc w:val="center"/>
              <w:rPr>
                <w:rFonts w:cs="Calibri"/>
                <w:color w:val="000000"/>
                <w:szCs w:val="16"/>
              </w:rPr>
            </w:pPr>
            <w:r w:rsidRPr="00BE78CA">
              <w:rPr>
                <w:rFonts w:cs="Calibri"/>
                <w:color w:val="000000"/>
                <w:szCs w:val="16"/>
              </w:rPr>
              <w:t>4.80 (pasture)</w:t>
            </w:r>
          </w:p>
          <w:p w14:paraId="657044E6" w14:textId="77777777" w:rsidR="00F02481" w:rsidRPr="00BE78CA" w:rsidRDefault="00F02481" w:rsidP="00C26084">
            <w:pPr>
              <w:pStyle w:val="TableText"/>
              <w:spacing w:before="50" w:after="50"/>
              <w:jc w:val="center"/>
              <w:rPr>
                <w:rFonts w:cs="Calibri"/>
                <w:color w:val="000000"/>
                <w:szCs w:val="16"/>
              </w:rPr>
            </w:pPr>
            <w:r w:rsidRPr="00BE78CA">
              <w:rPr>
                <w:rFonts w:cs="Calibri"/>
                <w:szCs w:val="16"/>
              </w:rPr>
              <w:t>3.44 (feedlot)</w:t>
            </w:r>
          </w:p>
        </w:tc>
        <w:tc>
          <w:tcPr>
            <w:tcW w:w="850" w:type="dxa"/>
          </w:tcPr>
          <w:p w14:paraId="1F1028FD" w14:textId="77777777" w:rsidR="00F02481" w:rsidRPr="00BE78CA" w:rsidRDefault="00F02481" w:rsidP="00C26084">
            <w:pPr>
              <w:pStyle w:val="TableText"/>
              <w:spacing w:before="50" w:after="50"/>
              <w:jc w:val="center"/>
              <w:rPr>
                <w:rFonts w:cs="Calibri"/>
                <w:szCs w:val="16"/>
              </w:rPr>
            </w:pPr>
            <w:r w:rsidRPr="00BE78CA">
              <w:rPr>
                <w:rFonts w:cs="Calibri"/>
                <w:color w:val="000000"/>
                <w:szCs w:val="16"/>
              </w:rPr>
              <w:t>0.34</w:t>
            </w:r>
          </w:p>
        </w:tc>
      </w:tr>
      <w:tr w:rsidR="00F02481" w:rsidRPr="00BE78CA" w14:paraId="7D80A429" w14:textId="77777777" w:rsidTr="00DC565B">
        <w:trPr>
          <w:trHeight w:val="254"/>
        </w:trPr>
        <w:tc>
          <w:tcPr>
            <w:tcW w:w="3887" w:type="dxa"/>
          </w:tcPr>
          <w:p w14:paraId="2965D43E" w14:textId="77777777" w:rsidR="00F02481" w:rsidRPr="00BE78CA" w:rsidRDefault="00F02481" w:rsidP="00C26084">
            <w:pPr>
              <w:pStyle w:val="TableText"/>
              <w:spacing w:before="50" w:after="50"/>
              <w:rPr>
                <w:rFonts w:cs="Calibri"/>
              </w:rPr>
            </w:pPr>
            <w:r w:rsidRPr="00BE78CA">
              <w:rPr>
                <w:rFonts w:cs="Calibri"/>
              </w:rPr>
              <w:t>New Zealand-specific IEF 2019 value</w:t>
            </w:r>
          </w:p>
        </w:tc>
        <w:tc>
          <w:tcPr>
            <w:tcW w:w="2634" w:type="dxa"/>
          </w:tcPr>
          <w:p w14:paraId="428C0EE3" w14:textId="77777777" w:rsidR="00F02481" w:rsidRPr="00BE78CA" w:rsidRDefault="00F02481" w:rsidP="00C26084">
            <w:pPr>
              <w:pStyle w:val="TableText"/>
              <w:spacing w:after="0"/>
              <w:jc w:val="center"/>
              <w:rPr>
                <w:rFonts w:cs="Calibri"/>
              </w:rPr>
            </w:pPr>
            <w:r w:rsidRPr="00BE78CA">
              <w:rPr>
                <w:rFonts w:cs="Calibri"/>
              </w:rPr>
              <w:t>8.84 (all dairy cattle, including calves)</w:t>
            </w:r>
          </w:p>
          <w:p w14:paraId="1223F56E" w14:textId="422177DF" w:rsidR="00F02481" w:rsidRPr="00BE78CA" w:rsidRDefault="00F02481" w:rsidP="00C26084">
            <w:pPr>
              <w:pStyle w:val="TableText"/>
              <w:spacing w:before="0"/>
              <w:jc w:val="center"/>
              <w:rPr>
                <w:rFonts w:cs="Calibri"/>
              </w:rPr>
            </w:pPr>
            <w:r w:rsidRPr="00BE78CA">
              <w:rPr>
                <w:rFonts w:cs="Calibri"/>
              </w:rPr>
              <w:t>10.88 (mature milking cows</w:t>
            </w:r>
            <w:r w:rsidR="00B24607" w:rsidRPr="00BE78CA">
              <w:rPr>
                <w:rFonts w:cs="Calibri"/>
              </w:rPr>
              <w:t> </w:t>
            </w:r>
            <w:r w:rsidRPr="00BE78CA">
              <w:rPr>
                <w:rFonts w:cs="Calibri"/>
              </w:rPr>
              <w:t>only)</w:t>
            </w:r>
          </w:p>
        </w:tc>
        <w:tc>
          <w:tcPr>
            <w:tcW w:w="1134" w:type="dxa"/>
          </w:tcPr>
          <w:p w14:paraId="088B4412" w14:textId="77777777" w:rsidR="00F02481" w:rsidRPr="00BE78CA" w:rsidRDefault="00F02481" w:rsidP="00C26084">
            <w:pPr>
              <w:pStyle w:val="TableText"/>
              <w:spacing w:before="50" w:after="50"/>
              <w:jc w:val="center"/>
              <w:rPr>
                <w:rFonts w:cs="Calibri"/>
                <w:color w:val="000000"/>
                <w:szCs w:val="16"/>
              </w:rPr>
            </w:pPr>
            <w:r w:rsidRPr="00BE78CA">
              <w:rPr>
                <w:rFonts w:cs="Calibri"/>
                <w:color w:val="000000"/>
                <w:szCs w:val="16"/>
              </w:rPr>
              <w:t>0.84</w:t>
            </w:r>
          </w:p>
        </w:tc>
        <w:tc>
          <w:tcPr>
            <w:tcW w:w="850" w:type="dxa"/>
          </w:tcPr>
          <w:p w14:paraId="61BF2879" w14:textId="77777777" w:rsidR="00F02481" w:rsidRPr="00BE78CA" w:rsidRDefault="00F02481" w:rsidP="00C26084">
            <w:pPr>
              <w:pStyle w:val="TableText"/>
              <w:spacing w:before="50" w:after="50"/>
              <w:jc w:val="center"/>
              <w:rPr>
                <w:rFonts w:cs="Calibri"/>
                <w:color w:val="000000"/>
                <w:szCs w:val="16"/>
              </w:rPr>
            </w:pPr>
            <w:r w:rsidRPr="00BE78CA">
              <w:rPr>
                <w:rFonts w:cs="Calibri"/>
                <w:color w:val="000000"/>
                <w:szCs w:val="16"/>
              </w:rPr>
              <w:t>0.14</w:t>
            </w:r>
          </w:p>
        </w:tc>
      </w:tr>
    </w:tbl>
    <w:p w14:paraId="4B26C2E9" w14:textId="77777777" w:rsidR="00F02481" w:rsidRPr="00BE78CA" w:rsidRDefault="00F02481" w:rsidP="00B24607">
      <w:pPr>
        <w:pStyle w:val="Heading3"/>
        <w:spacing w:before="440"/>
        <w:rPr>
          <w:rFonts w:cs="Calibri"/>
        </w:rPr>
      </w:pPr>
      <w:bookmarkStart w:id="753" w:name="_Toc139253928"/>
      <w:bookmarkStart w:id="754" w:name="_Toc32570662"/>
      <w:r w:rsidRPr="00BE78CA">
        <w:rPr>
          <w:rFonts w:cs="Calibri"/>
        </w:rPr>
        <w:t>5.3.5</w:t>
      </w:r>
      <w:r w:rsidRPr="00BE78CA">
        <w:rPr>
          <w:rFonts w:cs="Calibri"/>
        </w:rPr>
        <w:tab/>
        <w:t>Source-specific recalculations</w:t>
      </w:r>
      <w:bookmarkEnd w:id="753"/>
      <w:bookmarkEnd w:id="754"/>
    </w:p>
    <w:p w14:paraId="291054F7" w14:textId="77777777" w:rsidR="00F02481" w:rsidRPr="00BE78CA" w:rsidRDefault="00F02481" w:rsidP="00C26084">
      <w:pPr>
        <w:pStyle w:val="BodyText"/>
        <w:rPr>
          <w:rFonts w:cs="Calibri"/>
        </w:rPr>
      </w:pPr>
      <w:bookmarkStart w:id="755" w:name="_Toc134847206"/>
      <w:bookmarkStart w:id="756" w:name="_Toc69611741"/>
      <w:bookmarkStart w:id="757" w:name="_Toc69612697"/>
      <w:bookmarkStart w:id="758" w:name="_Toc69612896"/>
      <w:bookmarkStart w:id="759" w:name="_Toc69613156"/>
      <w:bookmarkStart w:id="760" w:name="_Toc69633320"/>
      <w:bookmarkStart w:id="761" w:name="_Toc69717485"/>
      <w:bookmarkStart w:id="762" w:name="_Toc69802967"/>
      <w:bookmarkStart w:id="763" w:name="_Toc69815104"/>
      <w:bookmarkStart w:id="764" w:name="_Toc70492397"/>
      <w:bookmarkStart w:id="765" w:name="_Toc101310604"/>
      <w:bookmarkStart w:id="766" w:name="_Toc101318464"/>
      <w:bookmarkStart w:id="767" w:name="_Toc101318569"/>
      <w:bookmarkStart w:id="768" w:name="_Toc101318753"/>
      <w:bookmarkStart w:id="769" w:name="_Toc101334029"/>
      <w:r w:rsidRPr="00BE78CA">
        <w:rPr>
          <w:rFonts w:cs="Calibri"/>
        </w:rPr>
        <w:t xml:space="preserve">Emissions estimates in the </w:t>
      </w:r>
      <w:r w:rsidRPr="00BE78CA">
        <w:rPr>
          <w:rFonts w:cs="Calibri"/>
          <w:i/>
          <w:iCs/>
        </w:rPr>
        <w:t>Manure management</w:t>
      </w:r>
      <w:r w:rsidRPr="00BE78CA">
        <w:rPr>
          <w:rFonts w:cs="Calibri"/>
        </w:rPr>
        <w:t xml:space="preserve"> category in 2021 have been affected by the adoption of updated pasture quality data for </w:t>
      </w:r>
      <w:r w:rsidRPr="00BE78CA">
        <w:rPr>
          <w:rFonts w:cs="Calibri"/>
          <w:i/>
          <w:iCs/>
        </w:rPr>
        <w:t>Dairy cattle</w:t>
      </w:r>
      <w:r w:rsidRPr="00BE78CA">
        <w:rPr>
          <w:rFonts w:cs="Calibri"/>
        </w:rPr>
        <w:t xml:space="preserve">, </w:t>
      </w:r>
      <w:r w:rsidRPr="00BE78CA">
        <w:rPr>
          <w:rFonts w:cs="Calibri"/>
          <w:i/>
          <w:iCs/>
        </w:rPr>
        <w:t xml:space="preserve">Non-dairy </w:t>
      </w:r>
      <w:r w:rsidRPr="00BE78CA">
        <w:rPr>
          <w:rFonts w:cs="Calibri"/>
        </w:rPr>
        <w:t>(beef)</w:t>
      </w:r>
      <w:r w:rsidRPr="00BE78CA">
        <w:rPr>
          <w:rFonts w:cs="Calibri"/>
          <w:i/>
          <w:iCs/>
        </w:rPr>
        <w:t xml:space="preserve"> cattle</w:t>
      </w:r>
      <w:r w:rsidRPr="00BE78CA">
        <w:rPr>
          <w:rFonts w:cs="Calibri"/>
        </w:rPr>
        <w:t xml:space="preserve">, </w:t>
      </w:r>
      <w:r w:rsidRPr="00BE78CA">
        <w:rPr>
          <w:rFonts w:cs="Calibri"/>
          <w:i/>
          <w:iCs/>
        </w:rPr>
        <w:t>Sheep</w:t>
      </w:r>
      <w:r w:rsidRPr="00BE78CA">
        <w:rPr>
          <w:rFonts w:cs="Calibri"/>
        </w:rPr>
        <w:t xml:space="preserve"> and </w:t>
      </w:r>
      <w:r w:rsidRPr="00BE78CA">
        <w:rPr>
          <w:rFonts w:cs="Calibri"/>
          <w:i/>
          <w:iCs/>
        </w:rPr>
        <w:t>Deer</w:t>
      </w:r>
      <w:r w:rsidRPr="00BE78CA">
        <w:rPr>
          <w:rFonts w:cs="Calibri"/>
        </w:rPr>
        <w:t xml:space="preserve"> categories.</w:t>
      </w:r>
    </w:p>
    <w:p w14:paraId="729845EB" w14:textId="77777777" w:rsidR="00F02481" w:rsidRPr="00BE78CA" w:rsidRDefault="00F02481" w:rsidP="00C26084">
      <w:pPr>
        <w:pStyle w:val="Heading5"/>
        <w:rPr>
          <w:rFonts w:cs="Calibri"/>
        </w:rPr>
      </w:pPr>
      <w:r w:rsidRPr="00BE78CA">
        <w:rPr>
          <w:rFonts w:cs="Calibri"/>
        </w:rPr>
        <w:t>Adoption of updated pasture quality data</w:t>
      </w:r>
    </w:p>
    <w:p w14:paraId="56BF3F6E" w14:textId="77777777" w:rsidR="00F02481" w:rsidRPr="00BE78CA" w:rsidRDefault="00F02481" w:rsidP="00C26084">
      <w:pPr>
        <w:pStyle w:val="BodyText"/>
        <w:rPr>
          <w:rFonts w:cs="Calibri"/>
        </w:rPr>
      </w:pPr>
      <w:r w:rsidRPr="00BE78CA">
        <w:rPr>
          <w:rFonts w:cs="Calibri"/>
        </w:rPr>
        <w:t>A revised set of figures on the ME content, nitrogen content and digestibility of pasture for the entire time series (1990 to 2019) has been implemented for the 2021 submission. These new values are based on recent research by Giltrap and McNeill (unpublished).</w:t>
      </w:r>
    </w:p>
    <w:p w14:paraId="01F150EE" w14:textId="77777777" w:rsidR="00F02481" w:rsidRPr="00BE78CA" w:rsidRDefault="00F02481" w:rsidP="00C26084">
      <w:pPr>
        <w:pStyle w:val="BodyText"/>
        <w:rPr>
          <w:rFonts w:cs="Calibri"/>
        </w:rPr>
      </w:pPr>
      <w:r w:rsidRPr="00BE78CA">
        <w:rPr>
          <w:rFonts w:cs="Calibri"/>
        </w:rPr>
        <w:t>The Agriculture inventory requires pasture quality data to calculate CH</w:t>
      </w:r>
      <w:r w:rsidRPr="00BE78CA">
        <w:rPr>
          <w:rFonts w:cs="Calibri"/>
          <w:vertAlign w:val="subscript"/>
        </w:rPr>
        <w:t>4</w:t>
      </w:r>
      <w:r w:rsidRPr="00BE78CA">
        <w:rPr>
          <w:rFonts w:cs="Calibri"/>
        </w:rPr>
        <w:t xml:space="preserve"> and N</w:t>
      </w:r>
      <w:r w:rsidRPr="00BE78CA">
        <w:rPr>
          <w:rFonts w:cs="Calibri"/>
          <w:vertAlign w:val="subscript"/>
        </w:rPr>
        <w:t>2</w:t>
      </w:r>
      <w:r w:rsidRPr="00BE78CA">
        <w:rPr>
          <w:rFonts w:cs="Calibri"/>
        </w:rPr>
        <w:t>O emissions from cattle (dairy and beef), sheep and deer. For inventory purposes, there are three key components of pasture quality:</w:t>
      </w:r>
    </w:p>
    <w:p w14:paraId="21BA7881" w14:textId="77777777" w:rsidR="00F02481" w:rsidRPr="00BE78CA" w:rsidRDefault="00F02481" w:rsidP="00FA2314">
      <w:pPr>
        <w:pStyle w:val="Bullet"/>
        <w:numPr>
          <w:ilvl w:val="0"/>
          <w:numId w:val="25"/>
        </w:numPr>
      </w:pPr>
      <w:r w:rsidRPr="00BE78CA">
        <w:t>ME</w:t>
      </w:r>
    </w:p>
    <w:p w14:paraId="09ADAFA1" w14:textId="77777777" w:rsidR="00F02481" w:rsidRPr="00BE78CA" w:rsidRDefault="00F02481" w:rsidP="00FA2314">
      <w:pPr>
        <w:pStyle w:val="Bullet"/>
        <w:numPr>
          <w:ilvl w:val="0"/>
          <w:numId w:val="25"/>
        </w:numPr>
      </w:pPr>
      <w:r w:rsidRPr="00BE78CA">
        <w:t>nitrogen content</w:t>
      </w:r>
    </w:p>
    <w:p w14:paraId="673777E5" w14:textId="77777777" w:rsidR="00F02481" w:rsidRPr="00BE78CA" w:rsidRDefault="00F02481" w:rsidP="00FA2314">
      <w:pPr>
        <w:pStyle w:val="Bullet"/>
        <w:numPr>
          <w:ilvl w:val="0"/>
          <w:numId w:val="25"/>
        </w:numPr>
      </w:pPr>
      <w:r w:rsidRPr="00BE78CA">
        <w:t>OMD.</w:t>
      </w:r>
    </w:p>
    <w:p w14:paraId="55FF862C" w14:textId="77777777" w:rsidR="00F02481" w:rsidRPr="00BE78CA" w:rsidRDefault="00F02481" w:rsidP="00C26084">
      <w:pPr>
        <w:pStyle w:val="BodyText"/>
        <w:rPr>
          <w:rFonts w:cs="Calibri"/>
        </w:rPr>
      </w:pPr>
      <w:r w:rsidRPr="00BE78CA">
        <w:rPr>
          <w:rFonts w:cs="Calibri"/>
        </w:rPr>
        <w:lastRenderedPageBreak/>
        <w:t>Holding all else equal, higher ME pasture content will lower livestock emissions; higher nitrogen pasture content will increase N</w:t>
      </w:r>
      <w:r w:rsidRPr="00BE78CA">
        <w:rPr>
          <w:rFonts w:cs="Calibri"/>
          <w:vertAlign w:val="subscript"/>
        </w:rPr>
        <w:t>2</w:t>
      </w:r>
      <w:r w:rsidRPr="00BE78CA">
        <w:rPr>
          <w:rFonts w:cs="Calibri"/>
        </w:rPr>
        <w:t>O emissions; and a higher OMD value will lead to lower livestock emissions.</w:t>
      </w:r>
    </w:p>
    <w:p w14:paraId="46CB3B19" w14:textId="77777777" w:rsidR="00F02481" w:rsidRPr="00BE78CA" w:rsidRDefault="00F02481" w:rsidP="00C26084">
      <w:pPr>
        <w:pStyle w:val="BodyText"/>
        <w:rPr>
          <w:rFonts w:cs="Calibri"/>
        </w:rPr>
      </w:pPr>
      <w:r w:rsidRPr="00BE78CA">
        <w:rPr>
          <w:rFonts w:cs="Calibri"/>
        </w:rPr>
        <w:t>Pasture quality data used in previous versions of the Agriculture inventory were based on data collected in the early 2000s from a small group of farms (10 and 19 for dairy and sheep and beef respectively).</w:t>
      </w:r>
    </w:p>
    <w:p w14:paraId="7DA7043F" w14:textId="77777777" w:rsidR="00F02481" w:rsidRPr="00BE78CA" w:rsidRDefault="00F02481" w:rsidP="00C26084">
      <w:pPr>
        <w:pStyle w:val="BodyText"/>
        <w:rPr>
          <w:rFonts w:cs="Calibri"/>
        </w:rPr>
      </w:pPr>
      <w:r w:rsidRPr="00BE78CA">
        <w:rPr>
          <w:rFonts w:cs="Calibri"/>
        </w:rPr>
        <w:t xml:space="preserve">Over the past two decades, new pasture samples have been collected from around the country, with the revised data set now containing around 2,500 observations in total. Based on this extended data set, researchers calculated a revised set of national weighted averages for ME, OMD and nitrogen to be used in the inventory (Giltrap and McNeill, unpublished). </w:t>
      </w:r>
    </w:p>
    <w:p w14:paraId="0B5AE0BF" w14:textId="77777777" w:rsidR="00F02481" w:rsidRPr="00BE78CA" w:rsidRDefault="00F02481" w:rsidP="00C26084">
      <w:pPr>
        <w:pStyle w:val="BodyText"/>
        <w:rPr>
          <w:rFonts w:cs="Calibri"/>
        </w:rPr>
      </w:pPr>
      <w:r w:rsidRPr="00BE78CA">
        <w:rPr>
          <w:rFonts w:cs="Calibri"/>
        </w:rPr>
        <w:t>The new values were discussed at the 2020 Agriculture Inventory Advisory Panel meeting, which recommended they be implemented in the Agriculture inventory.</w:t>
      </w:r>
    </w:p>
    <w:p w14:paraId="386CBC9B" w14:textId="77777777" w:rsidR="00F02481" w:rsidRPr="00BE78CA" w:rsidRDefault="00F02481" w:rsidP="00FA2314">
      <w:pPr>
        <w:pStyle w:val="Bullet"/>
        <w:numPr>
          <w:ilvl w:val="0"/>
          <w:numId w:val="25"/>
        </w:numPr>
      </w:pPr>
      <w:r w:rsidRPr="00BE78CA">
        <w:t>On average, the new OMD and ME values are approximately 2 per cent lower than those previously used. The recommended nitrogen value (on average) for dairy is lower at 5.6 per cent, and 2.3 per cent higher for sheep and beef than the previous values (see chapter 10, section 10.1.3).</w:t>
      </w:r>
    </w:p>
    <w:p w14:paraId="3E8C4925" w14:textId="77777777" w:rsidR="00F02481" w:rsidRPr="00BE78CA" w:rsidRDefault="00F02481" w:rsidP="00FA2314">
      <w:pPr>
        <w:pStyle w:val="Bullet"/>
        <w:numPr>
          <w:ilvl w:val="0"/>
          <w:numId w:val="25"/>
        </w:numPr>
      </w:pPr>
      <w:r w:rsidRPr="00BE78CA">
        <w:t xml:space="preserve">The effect of this change on estimated emissions from </w:t>
      </w:r>
      <w:r w:rsidRPr="00BE78CA">
        <w:rPr>
          <w:i/>
          <w:iCs/>
        </w:rPr>
        <w:t>Manure management</w:t>
      </w:r>
      <w:r w:rsidRPr="00BE78CA">
        <w:t xml:space="preserve"> is detailed in table 5.3.7. After the recommended new pasture values are applied, estimated emissions from </w:t>
      </w:r>
      <w:r w:rsidRPr="00BE78CA">
        <w:rPr>
          <w:i/>
          <w:iCs/>
        </w:rPr>
        <w:t>Manure management</w:t>
      </w:r>
      <w:r w:rsidRPr="00BE78CA">
        <w:t xml:space="preserve"> are around 8.3 per cent (132.8 kt CO</w:t>
      </w:r>
      <w:r w:rsidRPr="00BE78CA">
        <w:rPr>
          <w:vertAlign w:val="subscript"/>
        </w:rPr>
        <w:t>2</w:t>
      </w:r>
      <w:r w:rsidRPr="00BE78CA">
        <w:t>-e) higher compared with previous model outputs.</w:t>
      </w:r>
    </w:p>
    <w:p w14:paraId="26DEEB2E" w14:textId="77777777" w:rsidR="00F02481" w:rsidRPr="00BE78CA" w:rsidRDefault="00F02481" w:rsidP="00FA2314">
      <w:pPr>
        <w:pStyle w:val="Bullet"/>
        <w:numPr>
          <w:ilvl w:val="0"/>
          <w:numId w:val="25"/>
        </w:numPr>
      </w:pPr>
      <w:r w:rsidRPr="00BE78CA">
        <w:t>More information on the revision is provided in chapter 10, section 10.1.3.</w:t>
      </w:r>
    </w:p>
    <w:p w14:paraId="50F11C47" w14:textId="77777777" w:rsidR="00F02481" w:rsidRPr="00BE78CA" w:rsidRDefault="00F02481" w:rsidP="00C26084">
      <w:pPr>
        <w:pStyle w:val="Table"/>
        <w:rPr>
          <w:rFonts w:cs="Calibri"/>
        </w:rPr>
      </w:pPr>
      <w:bookmarkStart w:id="770" w:name="_Toc68786446"/>
      <w:r w:rsidRPr="00BE78CA">
        <w:rPr>
          <w:rFonts w:cs="Calibri"/>
        </w:rPr>
        <w:t>Table 5.3.7</w:t>
      </w:r>
      <w:r w:rsidRPr="00BE78CA">
        <w:rPr>
          <w:rFonts w:cs="Calibri"/>
        </w:rPr>
        <w:tab/>
        <w:t>Comparison of current and previous emissions estimates before and after the adoption of updated pasture quality data</w:t>
      </w:r>
      <w:bookmarkEnd w:id="770"/>
      <w:r w:rsidRPr="00BE78CA">
        <w:rPr>
          <w:rFonts w:cs="Calibri"/>
        </w:rPr>
        <w:t xml:space="preserve"> </w:t>
      </w:r>
    </w:p>
    <w:tbl>
      <w:tblPr>
        <w:tblW w:w="8505" w:type="dxa"/>
        <w:tblBorders>
          <w:top w:val="single" w:sz="4" w:space="0" w:color="365F91"/>
          <w:bottom w:val="single" w:sz="4" w:space="0" w:color="365F91"/>
          <w:insideH w:val="single" w:sz="4" w:space="0" w:color="365F91"/>
        </w:tblBorders>
        <w:tblLayout w:type="fixed"/>
        <w:tblLook w:val="0000" w:firstRow="0" w:lastRow="0" w:firstColumn="0" w:lastColumn="0" w:noHBand="0" w:noVBand="0"/>
      </w:tblPr>
      <w:tblGrid>
        <w:gridCol w:w="1419"/>
        <w:gridCol w:w="2469"/>
        <w:gridCol w:w="714"/>
        <w:gridCol w:w="787"/>
        <w:gridCol w:w="1558"/>
        <w:gridCol w:w="1558"/>
      </w:tblGrid>
      <w:tr w:rsidR="00026CCD" w:rsidRPr="00BE78CA" w14:paraId="454E813A" w14:textId="77777777" w:rsidTr="00026CCD">
        <w:trPr>
          <w:trHeight w:val="608"/>
          <w:tblHeader/>
        </w:trPr>
        <w:tc>
          <w:tcPr>
            <w:tcW w:w="1409" w:type="dxa"/>
            <w:shd w:val="clear" w:color="auto" w:fill="365F91"/>
            <w:vAlign w:val="bottom"/>
          </w:tcPr>
          <w:p w14:paraId="4CD69E18" w14:textId="77777777" w:rsidR="00F02481" w:rsidRPr="00BE78CA" w:rsidRDefault="00F02481" w:rsidP="00C26084">
            <w:pPr>
              <w:pStyle w:val="TableTextBold"/>
              <w:keepNext/>
              <w:rPr>
                <w:noProof w:val="0"/>
                <w:color w:val="FFFFFF" w:themeColor="background1"/>
                <w:szCs w:val="16"/>
              </w:rPr>
            </w:pPr>
            <w:r w:rsidRPr="00BE78CA">
              <w:rPr>
                <w:noProof w:val="0"/>
                <w:color w:val="FFFFFF" w:themeColor="background1"/>
                <w:szCs w:val="16"/>
              </w:rPr>
              <w:t xml:space="preserve">Emissions </w:t>
            </w:r>
            <w:r w:rsidRPr="00BE78CA">
              <w:rPr>
                <w:noProof w:val="0"/>
                <w:color w:val="FFFFFF" w:themeColor="background1"/>
                <w:szCs w:val="16"/>
              </w:rPr>
              <w:br/>
              <w:t>(kt CO</w:t>
            </w:r>
            <w:r w:rsidRPr="00BE78CA">
              <w:rPr>
                <w:noProof w:val="0"/>
                <w:color w:val="FFFFFF" w:themeColor="background1"/>
                <w:szCs w:val="16"/>
                <w:vertAlign w:val="subscript"/>
              </w:rPr>
              <w:t>2</w:t>
            </w:r>
            <w:r w:rsidRPr="00BE78CA">
              <w:rPr>
                <w:noProof w:val="0"/>
                <w:color w:val="FFFFFF" w:themeColor="background1"/>
                <w:szCs w:val="16"/>
              </w:rPr>
              <w:t>-e)</w:t>
            </w:r>
          </w:p>
        </w:tc>
        <w:tc>
          <w:tcPr>
            <w:tcW w:w="2452" w:type="dxa"/>
            <w:shd w:val="clear" w:color="auto" w:fill="365F91"/>
            <w:vAlign w:val="bottom"/>
          </w:tcPr>
          <w:p w14:paraId="607BD170" w14:textId="77777777" w:rsidR="00F02481" w:rsidRPr="00BE78CA" w:rsidRDefault="00F02481" w:rsidP="00C26084">
            <w:pPr>
              <w:pStyle w:val="TableTextBold"/>
              <w:keepNext/>
              <w:rPr>
                <w:noProof w:val="0"/>
                <w:color w:val="FFFFFF" w:themeColor="background1"/>
                <w:szCs w:val="16"/>
              </w:rPr>
            </w:pPr>
          </w:p>
        </w:tc>
        <w:tc>
          <w:tcPr>
            <w:tcW w:w="709" w:type="dxa"/>
            <w:shd w:val="clear" w:color="auto" w:fill="365F91"/>
            <w:vAlign w:val="bottom"/>
          </w:tcPr>
          <w:p w14:paraId="091EA3E9" w14:textId="77777777" w:rsidR="00F02481" w:rsidRPr="00BE78CA" w:rsidRDefault="00F02481" w:rsidP="00C26084">
            <w:pPr>
              <w:pStyle w:val="TableTextBold"/>
              <w:keepNext/>
              <w:jc w:val="center"/>
              <w:rPr>
                <w:noProof w:val="0"/>
                <w:color w:val="FFFFFF" w:themeColor="background1"/>
                <w:szCs w:val="16"/>
              </w:rPr>
            </w:pPr>
            <w:r w:rsidRPr="00BE78CA">
              <w:rPr>
                <w:noProof w:val="0"/>
                <w:color w:val="FFFFFF" w:themeColor="background1"/>
                <w:szCs w:val="16"/>
              </w:rPr>
              <w:t>1990</w:t>
            </w:r>
          </w:p>
        </w:tc>
        <w:tc>
          <w:tcPr>
            <w:tcW w:w="782" w:type="dxa"/>
            <w:shd w:val="clear" w:color="auto" w:fill="365F91"/>
            <w:vAlign w:val="bottom"/>
          </w:tcPr>
          <w:p w14:paraId="7782DC89" w14:textId="77777777" w:rsidR="00F02481" w:rsidRPr="00BE78CA" w:rsidRDefault="00F02481" w:rsidP="00C26084">
            <w:pPr>
              <w:pStyle w:val="TableTextBold"/>
              <w:jc w:val="center"/>
              <w:rPr>
                <w:noProof w:val="0"/>
                <w:color w:val="FFFFFF" w:themeColor="background1"/>
                <w:szCs w:val="16"/>
              </w:rPr>
            </w:pPr>
            <w:r w:rsidRPr="00BE78CA">
              <w:rPr>
                <w:noProof w:val="0"/>
                <w:color w:val="FFFFFF" w:themeColor="background1"/>
                <w:szCs w:val="16"/>
              </w:rPr>
              <w:t>2019</w:t>
            </w:r>
          </w:p>
        </w:tc>
        <w:tc>
          <w:tcPr>
            <w:tcW w:w="1548" w:type="dxa"/>
            <w:shd w:val="clear" w:color="auto" w:fill="365F91"/>
            <w:vAlign w:val="bottom"/>
          </w:tcPr>
          <w:p w14:paraId="72536B21" w14:textId="77777777" w:rsidR="00F02481" w:rsidRPr="00BE78CA" w:rsidRDefault="00F02481" w:rsidP="00C26084">
            <w:pPr>
              <w:pStyle w:val="TableTextBold"/>
              <w:jc w:val="center"/>
              <w:rPr>
                <w:noProof w:val="0"/>
                <w:color w:val="FFFFFF" w:themeColor="background1"/>
                <w:szCs w:val="16"/>
              </w:rPr>
            </w:pPr>
            <w:r w:rsidRPr="00BE78CA">
              <w:rPr>
                <w:noProof w:val="0"/>
                <w:color w:val="FFFFFF" w:themeColor="background1"/>
                <w:szCs w:val="16"/>
              </w:rPr>
              <w:t xml:space="preserve">Change in emission outputs between 1990 and 2019 </w:t>
            </w:r>
            <w:r w:rsidRPr="00BE78CA">
              <w:rPr>
                <w:noProof w:val="0"/>
                <w:color w:val="FFFFFF" w:themeColor="background1"/>
                <w:szCs w:val="16"/>
              </w:rPr>
              <w:br/>
              <w:t>(kt CO</w:t>
            </w:r>
            <w:r w:rsidRPr="00BE78CA">
              <w:rPr>
                <w:noProof w:val="0"/>
                <w:color w:val="FFFFFF" w:themeColor="background1"/>
                <w:szCs w:val="16"/>
                <w:vertAlign w:val="subscript"/>
              </w:rPr>
              <w:t>2</w:t>
            </w:r>
            <w:r w:rsidRPr="00BE78CA">
              <w:rPr>
                <w:noProof w:val="0"/>
                <w:color w:val="FFFFFF" w:themeColor="background1"/>
                <w:szCs w:val="16"/>
              </w:rPr>
              <w:t xml:space="preserve">-e) </w:t>
            </w:r>
          </w:p>
        </w:tc>
        <w:tc>
          <w:tcPr>
            <w:tcW w:w="1548" w:type="dxa"/>
            <w:shd w:val="clear" w:color="auto" w:fill="365F91"/>
            <w:vAlign w:val="bottom"/>
          </w:tcPr>
          <w:p w14:paraId="0541B878" w14:textId="77777777" w:rsidR="00F02481" w:rsidRPr="00BE78CA" w:rsidRDefault="00F02481" w:rsidP="00C26084">
            <w:pPr>
              <w:pStyle w:val="TableTextBold"/>
              <w:jc w:val="center"/>
              <w:rPr>
                <w:noProof w:val="0"/>
                <w:color w:val="FFFFFF" w:themeColor="background1"/>
                <w:szCs w:val="16"/>
              </w:rPr>
            </w:pPr>
            <w:r w:rsidRPr="00BE78CA">
              <w:rPr>
                <w:noProof w:val="0"/>
                <w:color w:val="FFFFFF" w:themeColor="background1"/>
                <w:szCs w:val="16"/>
              </w:rPr>
              <w:t xml:space="preserve">Percentage change in emission outputs between </w:t>
            </w:r>
            <w:r w:rsidRPr="00BE78CA">
              <w:rPr>
                <w:noProof w:val="0"/>
                <w:color w:val="FFFFFF" w:themeColor="background1"/>
                <w:szCs w:val="16"/>
              </w:rPr>
              <w:br/>
              <w:t>1990 and 2019</w:t>
            </w:r>
          </w:p>
        </w:tc>
      </w:tr>
      <w:tr w:rsidR="00F02481" w:rsidRPr="00BE78CA" w14:paraId="57E9F740" w14:textId="77777777" w:rsidTr="00026CCD">
        <w:trPr>
          <w:trHeight w:val="454"/>
        </w:trPr>
        <w:tc>
          <w:tcPr>
            <w:tcW w:w="1409" w:type="dxa"/>
            <w:vMerge w:val="restart"/>
            <w:vAlign w:val="center"/>
          </w:tcPr>
          <w:p w14:paraId="6FC0594C" w14:textId="77777777" w:rsidR="00F02481" w:rsidRPr="00BE78CA" w:rsidRDefault="00F02481" w:rsidP="00C26084">
            <w:pPr>
              <w:pStyle w:val="TableText"/>
              <w:rPr>
                <w:rFonts w:cs="Calibri"/>
                <w:szCs w:val="16"/>
              </w:rPr>
            </w:pPr>
            <w:r w:rsidRPr="00BE78CA">
              <w:rPr>
                <w:rFonts w:cs="Calibri"/>
                <w:szCs w:val="16"/>
              </w:rPr>
              <w:t>Total emissions from Manure management (kt CO</w:t>
            </w:r>
            <w:r w:rsidRPr="00BE78CA">
              <w:rPr>
                <w:rFonts w:cs="Calibri"/>
                <w:szCs w:val="16"/>
                <w:vertAlign w:val="subscript"/>
              </w:rPr>
              <w:t>2</w:t>
            </w:r>
            <w:r w:rsidRPr="00BE78CA">
              <w:rPr>
                <w:rFonts w:cs="Calibri"/>
                <w:szCs w:val="16"/>
              </w:rPr>
              <w:t>-e)</w:t>
            </w:r>
          </w:p>
        </w:tc>
        <w:tc>
          <w:tcPr>
            <w:tcW w:w="2452" w:type="dxa"/>
          </w:tcPr>
          <w:p w14:paraId="412EA089" w14:textId="77777777" w:rsidR="00F02481" w:rsidRPr="00BE78CA" w:rsidRDefault="00F02481" w:rsidP="00C26084">
            <w:pPr>
              <w:pStyle w:val="TableText"/>
              <w:rPr>
                <w:rFonts w:cs="Calibri"/>
                <w:szCs w:val="16"/>
              </w:rPr>
            </w:pPr>
            <w:r w:rsidRPr="00BE78CA">
              <w:rPr>
                <w:rFonts w:cs="Calibri"/>
                <w:szCs w:val="16"/>
              </w:rPr>
              <w:t xml:space="preserve">2021 (1990–2019) emissions estimate </w:t>
            </w:r>
            <w:r w:rsidRPr="00BE78CA">
              <w:rPr>
                <w:rFonts w:cs="Calibri"/>
                <w:i/>
                <w:iCs/>
                <w:szCs w:val="16"/>
              </w:rPr>
              <w:t xml:space="preserve">using previous </w:t>
            </w:r>
            <w:r w:rsidRPr="00BE78CA">
              <w:rPr>
                <w:rFonts w:cs="Calibri"/>
                <w:szCs w:val="16"/>
              </w:rPr>
              <w:t>pasture quality values</w:t>
            </w:r>
          </w:p>
        </w:tc>
        <w:tc>
          <w:tcPr>
            <w:tcW w:w="709" w:type="dxa"/>
            <w:vAlign w:val="center"/>
          </w:tcPr>
          <w:p w14:paraId="34D17F36" w14:textId="77777777" w:rsidR="00F02481" w:rsidRPr="00BE78CA" w:rsidRDefault="00F02481" w:rsidP="00C26084">
            <w:pPr>
              <w:pStyle w:val="TableText"/>
              <w:jc w:val="center"/>
            </w:pPr>
            <w:r w:rsidRPr="00BE78CA">
              <w:t>722.6</w:t>
            </w:r>
          </w:p>
        </w:tc>
        <w:tc>
          <w:tcPr>
            <w:tcW w:w="782" w:type="dxa"/>
            <w:vAlign w:val="center"/>
          </w:tcPr>
          <w:p w14:paraId="640A137B" w14:textId="77777777" w:rsidR="00F02481" w:rsidRPr="00BE78CA" w:rsidRDefault="00F02481" w:rsidP="00C26084">
            <w:pPr>
              <w:pStyle w:val="TableText"/>
              <w:jc w:val="center"/>
            </w:pPr>
            <w:r w:rsidRPr="00BE78CA">
              <w:t>1,606.1</w:t>
            </w:r>
          </w:p>
        </w:tc>
        <w:tc>
          <w:tcPr>
            <w:tcW w:w="1548" w:type="dxa"/>
            <w:vAlign w:val="center"/>
          </w:tcPr>
          <w:p w14:paraId="719A3FDB" w14:textId="77777777" w:rsidR="00F02481" w:rsidRPr="00BE78CA" w:rsidRDefault="00F02481" w:rsidP="00C26084">
            <w:pPr>
              <w:pStyle w:val="TableText"/>
              <w:jc w:val="center"/>
            </w:pPr>
            <w:r w:rsidRPr="00BE78CA">
              <w:t>883.6</w:t>
            </w:r>
          </w:p>
        </w:tc>
        <w:tc>
          <w:tcPr>
            <w:tcW w:w="1548" w:type="dxa"/>
            <w:vAlign w:val="center"/>
          </w:tcPr>
          <w:p w14:paraId="45909D29" w14:textId="77777777" w:rsidR="00F02481" w:rsidRPr="00BE78CA" w:rsidRDefault="00F02481" w:rsidP="00C26084">
            <w:pPr>
              <w:pStyle w:val="TableText"/>
              <w:jc w:val="center"/>
            </w:pPr>
            <w:r w:rsidRPr="00BE78CA">
              <w:t>122.3</w:t>
            </w:r>
          </w:p>
        </w:tc>
      </w:tr>
      <w:tr w:rsidR="00F02481" w:rsidRPr="00BE78CA" w14:paraId="410D38BF" w14:textId="77777777" w:rsidTr="00026CCD">
        <w:trPr>
          <w:trHeight w:val="454"/>
        </w:trPr>
        <w:tc>
          <w:tcPr>
            <w:tcW w:w="1409" w:type="dxa"/>
            <w:vMerge/>
          </w:tcPr>
          <w:p w14:paraId="45BF256C" w14:textId="77777777" w:rsidR="00F02481" w:rsidRPr="00BE78CA" w:rsidRDefault="00F02481" w:rsidP="00C26084">
            <w:pPr>
              <w:pStyle w:val="TableText"/>
              <w:rPr>
                <w:rFonts w:cs="Calibri"/>
                <w:szCs w:val="16"/>
              </w:rPr>
            </w:pPr>
          </w:p>
        </w:tc>
        <w:tc>
          <w:tcPr>
            <w:tcW w:w="2452" w:type="dxa"/>
          </w:tcPr>
          <w:p w14:paraId="510B6B89" w14:textId="77777777" w:rsidR="00F02481" w:rsidRPr="00BE78CA" w:rsidRDefault="00F02481" w:rsidP="00C26084">
            <w:pPr>
              <w:pStyle w:val="TableText"/>
              <w:rPr>
                <w:rFonts w:cs="Calibri"/>
                <w:szCs w:val="16"/>
              </w:rPr>
            </w:pPr>
            <w:r w:rsidRPr="00BE78CA">
              <w:rPr>
                <w:rFonts w:cs="Calibri"/>
                <w:szCs w:val="16"/>
              </w:rPr>
              <w:t xml:space="preserve">2021 (1990–2019) emissions estimate </w:t>
            </w:r>
            <w:r w:rsidRPr="00BE78CA">
              <w:rPr>
                <w:rFonts w:cs="Calibri"/>
                <w:i/>
                <w:iCs/>
                <w:szCs w:val="16"/>
              </w:rPr>
              <w:t>using new</w:t>
            </w:r>
            <w:r w:rsidRPr="00BE78CA">
              <w:rPr>
                <w:rFonts w:cs="Calibri"/>
                <w:szCs w:val="16"/>
              </w:rPr>
              <w:t xml:space="preserve"> pasture quality data values</w:t>
            </w:r>
          </w:p>
        </w:tc>
        <w:tc>
          <w:tcPr>
            <w:tcW w:w="709" w:type="dxa"/>
            <w:vAlign w:val="center"/>
          </w:tcPr>
          <w:p w14:paraId="3E2955AA" w14:textId="77777777" w:rsidR="00F02481" w:rsidRPr="00BE78CA" w:rsidRDefault="00F02481" w:rsidP="00C26084">
            <w:pPr>
              <w:pStyle w:val="TableText"/>
              <w:jc w:val="center"/>
            </w:pPr>
            <w:r w:rsidRPr="00BE78CA">
              <w:t>778.5</w:t>
            </w:r>
          </w:p>
        </w:tc>
        <w:tc>
          <w:tcPr>
            <w:tcW w:w="782" w:type="dxa"/>
            <w:vAlign w:val="center"/>
          </w:tcPr>
          <w:p w14:paraId="52C82E01" w14:textId="77777777" w:rsidR="00F02481" w:rsidRPr="00BE78CA" w:rsidRDefault="00F02481" w:rsidP="00C26084">
            <w:pPr>
              <w:pStyle w:val="TableText"/>
              <w:jc w:val="center"/>
            </w:pPr>
            <w:r w:rsidRPr="00BE78CA">
              <w:t>1,738.9</w:t>
            </w:r>
          </w:p>
        </w:tc>
        <w:tc>
          <w:tcPr>
            <w:tcW w:w="1548" w:type="dxa"/>
            <w:vAlign w:val="center"/>
          </w:tcPr>
          <w:p w14:paraId="6499AEA2" w14:textId="77777777" w:rsidR="00F02481" w:rsidRPr="00BE78CA" w:rsidRDefault="00F02481" w:rsidP="00C26084">
            <w:pPr>
              <w:pStyle w:val="TableText"/>
              <w:jc w:val="center"/>
            </w:pPr>
            <w:r w:rsidRPr="00BE78CA">
              <w:t>960.4</w:t>
            </w:r>
          </w:p>
        </w:tc>
        <w:tc>
          <w:tcPr>
            <w:tcW w:w="1548" w:type="dxa"/>
            <w:vAlign w:val="center"/>
          </w:tcPr>
          <w:p w14:paraId="76CD679F" w14:textId="77777777" w:rsidR="00F02481" w:rsidRPr="00BE78CA" w:rsidRDefault="00F02481" w:rsidP="00C26084">
            <w:pPr>
              <w:pStyle w:val="TableText"/>
              <w:jc w:val="center"/>
            </w:pPr>
            <w:r w:rsidRPr="00BE78CA">
              <w:t>123.4</w:t>
            </w:r>
          </w:p>
        </w:tc>
      </w:tr>
      <w:tr w:rsidR="00F02481" w:rsidRPr="00BE78CA" w14:paraId="7AE25FEB" w14:textId="77777777" w:rsidTr="00026CCD">
        <w:tc>
          <w:tcPr>
            <w:tcW w:w="1409" w:type="dxa"/>
            <w:vMerge/>
          </w:tcPr>
          <w:p w14:paraId="3346C623" w14:textId="77777777" w:rsidR="00F02481" w:rsidRPr="00BE78CA" w:rsidRDefault="00F02481" w:rsidP="00C26084">
            <w:pPr>
              <w:pStyle w:val="TableText"/>
              <w:rPr>
                <w:rFonts w:cs="Calibri"/>
                <w:szCs w:val="16"/>
              </w:rPr>
            </w:pPr>
          </w:p>
        </w:tc>
        <w:tc>
          <w:tcPr>
            <w:tcW w:w="2452" w:type="dxa"/>
          </w:tcPr>
          <w:p w14:paraId="3D2C02E2" w14:textId="77777777" w:rsidR="00F02481" w:rsidRPr="00BE78CA" w:rsidRDefault="00F02481" w:rsidP="00C26084">
            <w:pPr>
              <w:pStyle w:val="TableText"/>
              <w:rPr>
                <w:rFonts w:cs="Calibri"/>
                <w:szCs w:val="16"/>
              </w:rPr>
            </w:pPr>
            <w:r w:rsidRPr="00BE78CA">
              <w:rPr>
                <w:rFonts w:cs="Calibri"/>
                <w:szCs w:val="16"/>
              </w:rPr>
              <w:t xml:space="preserve">Difference in emission estimates </w:t>
            </w:r>
          </w:p>
        </w:tc>
        <w:tc>
          <w:tcPr>
            <w:tcW w:w="709" w:type="dxa"/>
          </w:tcPr>
          <w:p w14:paraId="5C776D98" w14:textId="77777777" w:rsidR="00F02481" w:rsidRPr="00BE78CA" w:rsidRDefault="00F02481" w:rsidP="00C26084">
            <w:pPr>
              <w:pStyle w:val="TableText"/>
              <w:jc w:val="center"/>
            </w:pPr>
            <w:r w:rsidRPr="00BE78CA">
              <w:t>55.9</w:t>
            </w:r>
          </w:p>
        </w:tc>
        <w:tc>
          <w:tcPr>
            <w:tcW w:w="782" w:type="dxa"/>
          </w:tcPr>
          <w:p w14:paraId="6CB443B9" w14:textId="77777777" w:rsidR="00F02481" w:rsidRPr="00BE78CA" w:rsidRDefault="00F02481" w:rsidP="00C26084">
            <w:pPr>
              <w:pStyle w:val="TableText"/>
              <w:jc w:val="center"/>
            </w:pPr>
            <w:r w:rsidRPr="00BE78CA">
              <w:t>132.8</w:t>
            </w:r>
          </w:p>
        </w:tc>
        <w:tc>
          <w:tcPr>
            <w:tcW w:w="1548" w:type="dxa"/>
          </w:tcPr>
          <w:p w14:paraId="5A96F270" w14:textId="77777777" w:rsidR="00F02481" w:rsidRPr="00BE78CA" w:rsidRDefault="00F02481" w:rsidP="00C26084">
            <w:pPr>
              <w:pStyle w:val="TableText"/>
              <w:jc w:val="center"/>
            </w:pPr>
            <w:r w:rsidRPr="00BE78CA">
              <w:t>76.9</w:t>
            </w:r>
          </w:p>
        </w:tc>
        <w:tc>
          <w:tcPr>
            <w:tcW w:w="1548" w:type="dxa"/>
          </w:tcPr>
          <w:p w14:paraId="6BDF919F" w14:textId="77777777" w:rsidR="00F02481" w:rsidRPr="00BE78CA" w:rsidRDefault="00F02481" w:rsidP="00C26084">
            <w:pPr>
              <w:pStyle w:val="TableText"/>
              <w:jc w:val="center"/>
            </w:pPr>
            <w:r w:rsidRPr="00BE78CA">
              <w:t> </w:t>
            </w:r>
          </w:p>
        </w:tc>
      </w:tr>
      <w:tr w:rsidR="00F02481" w:rsidRPr="00BE78CA" w14:paraId="4F5FDACB" w14:textId="77777777" w:rsidTr="00026CCD">
        <w:trPr>
          <w:trHeight w:val="454"/>
        </w:trPr>
        <w:tc>
          <w:tcPr>
            <w:tcW w:w="1409" w:type="dxa"/>
            <w:vMerge/>
          </w:tcPr>
          <w:p w14:paraId="5986AE95" w14:textId="77777777" w:rsidR="00F02481" w:rsidRPr="00BE78CA" w:rsidRDefault="00F02481" w:rsidP="00C26084">
            <w:pPr>
              <w:pStyle w:val="TableText"/>
              <w:rPr>
                <w:rFonts w:cs="Calibri"/>
                <w:szCs w:val="16"/>
              </w:rPr>
            </w:pPr>
          </w:p>
        </w:tc>
        <w:tc>
          <w:tcPr>
            <w:tcW w:w="2452" w:type="dxa"/>
          </w:tcPr>
          <w:p w14:paraId="1EE47FD8" w14:textId="77777777" w:rsidR="00F02481" w:rsidRPr="00BE78CA" w:rsidRDefault="00F02481" w:rsidP="00C26084">
            <w:pPr>
              <w:pStyle w:val="TableText"/>
              <w:rPr>
                <w:rFonts w:cs="Calibri"/>
                <w:szCs w:val="16"/>
              </w:rPr>
            </w:pPr>
            <w:r w:rsidRPr="00BE78CA">
              <w:rPr>
                <w:rFonts w:cs="Calibri"/>
                <w:szCs w:val="16"/>
              </w:rPr>
              <w:t>Percentage difference in emission estimates</w:t>
            </w:r>
          </w:p>
        </w:tc>
        <w:tc>
          <w:tcPr>
            <w:tcW w:w="709" w:type="dxa"/>
            <w:vAlign w:val="center"/>
          </w:tcPr>
          <w:p w14:paraId="3F0942A8" w14:textId="77777777" w:rsidR="00F02481" w:rsidRPr="00BE78CA" w:rsidRDefault="00F02481" w:rsidP="00C26084">
            <w:pPr>
              <w:pStyle w:val="TableText"/>
              <w:jc w:val="center"/>
            </w:pPr>
            <w:r w:rsidRPr="00BE78CA">
              <w:t>7.7</w:t>
            </w:r>
          </w:p>
        </w:tc>
        <w:tc>
          <w:tcPr>
            <w:tcW w:w="782" w:type="dxa"/>
            <w:vAlign w:val="center"/>
          </w:tcPr>
          <w:p w14:paraId="614F01EB" w14:textId="77777777" w:rsidR="00F02481" w:rsidRPr="00BE78CA" w:rsidRDefault="00F02481" w:rsidP="00C26084">
            <w:pPr>
              <w:pStyle w:val="TableText"/>
              <w:jc w:val="center"/>
            </w:pPr>
            <w:r w:rsidRPr="00BE78CA">
              <w:t>8.3</w:t>
            </w:r>
          </w:p>
        </w:tc>
        <w:tc>
          <w:tcPr>
            <w:tcW w:w="1548" w:type="dxa"/>
            <w:vAlign w:val="center"/>
          </w:tcPr>
          <w:p w14:paraId="2F097AE0" w14:textId="77777777" w:rsidR="00F02481" w:rsidRPr="00BE78CA" w:rsidRDefault="00F02481" w:rsidP="00C26084">
            <w:pPr>
              <w:pStyle w:val="TableText"/>
              <w:jc w:val="center"/>
            </w:pPr>
          </w:p>
        </w:tc>
        <w:tc>
          <w:tcPr>
            <w:tcW w:w="1548" w:type="dxa"/>
            <w:vAlign w:val="center"/>
          </w:tcPr>
          <w:p w14:paraId="19BBA970" w14:textId="77777777" w:rsidR="00F02481" w:rsidRPr="00BE78CA" w:rsidRDefault="00F02481" w:rsidP="00C26084">
            <w:pPr>
              <w:pStyle w:val="TableText"/>
              <w:jc w:val="center"/>
            </w:pPr>
            <w:r w:rsidRPr="00BE78CA">
              <w:t> </w:t>
            </w:r>
          </w:p>
        </w:tc>
      </w:tr>
    </w:tbl>
    <w:p w14:paraId="2B5984ED" w14:textId="77777777" w:rsidR="00F02481" w:rsidRPr="00BE78CA" w:rsidRDefault="00F02481" w:rsidP="00026CCD">
      <w:pPr>
        <w:pStyle w:val="Heading3"/>
        <w:spacing w:before="400"/>
        <w:rPr>
          <w:rFonts w:cs="Calibri"/>
        </w:rPr>
      </w:pPr>
      <w:bookmarkStart w:id="771" w:name="_Toc32570663"/>
      <w:r w:rsidRPr="00BE78CA">
        <w:rPr>
          <w:rFonts w:cs="Calibri"/>
        </w:rPr>
        <w:t>5.3.6</w:t>
      </w:r>
      <w:r w:rsidRPr="00BE78CA">
        <w:rPr>
          <w:rFonts w:cs="Calibri"/>
        </w:rPr>
        <w:tab/>
        <w:t>Source-specific planned improvements</w:t>
      </w:r>
      <w:bookmarkEnd w:id="771"/>
      <w:r w:rsidRPr="00BE78CA">
        <w:rPr>
          <w:rFonts w:cs="Calibri"/>
        </w:rPr>
        <w:t xml:space="preserve"> </w:t>
      </w:r>
    </w:p>
    <w:bookmarkEnd w:id="755"/>
    <w:p w14:paraId="244D3025" w14:textId="77777777" w:rsidR="00F02481" w:rsidRPr="00BE78CA" w:rsidRDefault="00F02481" w:rsidP="00C26084">
      <w:pPr>
        <w:pStyle w:val="BodyText"/>
        <w:rPr>
          <w:rFonts w:cs="Calibri"/>
        </w:rPr>
      </w:pPr>
      <w:r w:rsidRPr="00BE78CA">
        <w:rPr>
          <w:rFonts w:cs="Calibri"/>
        </w:rPr>
        <w:t xml:space="preserve">The following section covers the planned improvements being undertaken for </w:t>
      </w:r>
      <w:r w:rsidRPr="00BE78CA">
        <w:rPr>
          <w:rFonts w:cs="Calibri"/>
          <w:i/>
          <w:iCs/>
        </w:rPr>
        <w:t>Manure management</w:t>
      </w:r>
      <w:r w:rsidRPr="00BE78CA">
        <w:rPr>
          <w:rFonts w:cs="Calibri"/>
        </w:rPr>
        <w:t xml:space="preserve">. These findings may be incorporated in future annual inventory submissions. </w:t>
      </w:r>
    </w:p>
    <w:p w14:paraId="403CD030" w14:textId="77777777" w:rsidR="00F02481" w:rsidRPr="00BE78CA" w:rsidRDefault="00F02481" w:rsidP="00C26084">
      <w:pPr>
        <w:pStyle w:val="Heading5"/>
        <w:spacing w:before="160"/>
        <w:rPr>
          <w:rFonts w:cs="Calibri"/>
        </w:rPr>
      </w:pPr>
      <w:r w:rsidRPr="00BE78CA">
        <w:rPr>
          <w:rFonts w:cs="Calibri"/>
        </w:rPr>
        <w:t>Review of the methane conversion factor for dairy cattle</w:t>
      </w:r>
    </w:p>
    <w:p w14:paraId="780B859F" w14:textId="77777777" w:rsidR="00F02481" w:rsidRPr="00BE78CA" w:rsidRDefault="00F02481" w:rsidP="00C26084">
      <w:pPr>
        <w:pStyle w:val="BodyText"/>
        <w:rPr>
          <w:rFonts w:cs="Calibri"/>
        </w:rPr>
      </w:pPr>
      <w:r w:rsidRPr="00BE78CA">
        <w:rPr>
          <w:rFonts w:cs="Calibri"/>
        </w:rPr>
        <w:t>A research project is currently under way that aims to review the methane conversion factor (MCF) for the calculation of CH</w:t>
      </w:r>
      <w:r w:rsidRPr="00BE78CA">
        <w:rPr>
          <w:rFonts w:cs="Calibri"/>
          <w:vertAlign w:val="subscript"/>
        </w:rPr>
        <w:t>4</w:t>
      </w:r>
      <w:r w:rsidRPr="00BE78CA">
        <w:rPr>
          <w:rFonts w:cs="Calibri"/>
        </w:rPr>
        <w:t xml:space="preserve"> from manure deposited in anaerobic lagoons from dairy cattle. The current vales for the MCF is 0.74, based on the 2006 IPCC default value for uncovered anaerobic lagoons at an annual temperature of 15 degrees Celsius.</w:t>
      </w:r>
    </w:p>
    <w:p w14:paraId="6D1209D6" w14:textId="77777777" w:rsidR="00F02481" w:rsidRPr="00BE78CA" w:rsidRDefault="00F02481" w:rsidP="00C26084">
      <w:pPr>
        <w:pStyle w:val="BodyText"/>
        <w:rPr>
          <w:rFonts w:cs="Calibri"/>
        </w:rPr>
      </w:pPr>
      <w:r w:rsidRPr="00BE78CA">
        <w:rPr>
          <w:rFonts w:cs="Calibri"/>
        </w:rPr>
        <w:lastRenderedPageBreak/>
        <w:t>The aim of this research is to review and, if deemed necessary, revise the MCF to a suitable New Zealand-specific value or values to improve the accuracy of dairy cattle manure CH</w:t>
      </w:r>
      <w:r w:rsidRPr="00BE78CA">
        <w:rPr>
          <w:rFonts w:cs="Calibri"/>
          <w:vertAlign w:val="subscript"/>
        </w:rPr>
        <w:t>4</w:t>
      </w:r>
      <w:r w:rsidRPr="00BE78CA">
        <w:rPr>
          <w:rFonts w:cs="Calibri"/>
        </w:rPr>
        <w:t> emissions.</w:t>
      </w:r>
    </w:p>
    <w:p w14:paraId="6810584B" w14:textId="77777777" w:rsidR="00F02481" w:rsidRPr="00BE78CA" w:rsidRDefault="00F02481" w:rsidP="00C26084">
      <w:pPr>
        <w:pStyle w:val="Heading2"/>
        <w:rPr>
          <w:rFonts w:cs="Calibri"/>
        </w:rPr>
      </w:pPr>
      <w:bookmarkStart w:id="772" w:name="_Toc134847207"/>
      <w:bookmarkStart w:id="773" w:name="_Toc139253930"/>
      <w:bookmarkStart w:id="774" w:name="_Toc144710415"/>
      <w:bookmarkStart w:id="775" w:name="_Toc165890369"/>
      <w:bookmarkStart w:id="776" w:name="_Toc195322663"/>
      <w:bookmarkStart w:id="777" w:name="_Toc235955529"/>
      <w:bookmarkStart w:id="778" w:name="_Toc288316642"/>
      <w:bookmarkStart w:id="779" w:name="_Toc352504862"/>
      <w:bookmarkStart w:id="780" w:name="_Toc448321525"/>
      <w:bookmarkStart w:id="781" w:name="_Toc481751387"/>
      <w:bookmarkStart w:id="782" w:name="_Toc511116602"/>
      <w:bookmarkStart w:id="783" w:name="_Toc5269364"/>
      <w:bookmarkStart w:id="784" w:name="_Toc32570664"/>
      <w:bookmarkStart w:id="785" w:name="_Toc36224404"/>
      <w:bookmarkStart w:id="786" w:name="_Toc68786324"/>
      <w:r w:rsidRPr="00BE78CA">
        <w:rPr>
          <w:rFonts w:cs="Calibri"/>
        </w:rPr>
        <w:t>5.4</w:t>
      </w:r>
      <w:r w:rsidRPr="00BE78CA">
        <w:rPr>
          <w:rFonts w:cs="Calibri"/>
        </w:rPr>
        <w:tab/>
        <w:t>Rice cultivation (CRF 3.C)</w:t>
      </w:r>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p>
    <w:p w14:paraId="56181155" w14:textId="77777777" w:rsidR="00F02481" w:rsidRPr="00BE78CA" w:rsidRDefault="00F02481" w:rsidP="00C26084">
      <w:pPr>
        <w:pStyle w:val="Heading3"/>
        <w:spacing w:before="160"/>
        <w:rPr>
          <w:rFonts w:cs="Calibri"/>
        </w:rPr>
      </w:pPr>
      <w:bookmarkStart w:id="787" w:name="_Toc139253931"/>
      <w:bookmarkStart w:id="788" w:name="_Toc32570665"/>
      <w:r w:rsidRPr="00BE78CA">
        <w:rPr>
          <w:rFonts w:cs="Calibri"/>
        </w:rPr>
        <w:t>5.4.1</w:t>
      </w:r>
      <w:r w:rsidRPr="00BE78CA">
        <w:rPr>
          <w:rFonts w:cs="Calibri"/>
        </w:rPr>
        <w:tab/>
        <w:t>Description</w:t>
      </w:r>
      <w:bookmarkEnd w:id="787"/>
      <w:bookmarkEnd w:id="788"/>
    </w:p>
    <w:p w14:paraId="745DCCC8" w14:textId="77777777" w:rsidR="00F02481" w:rsidRPr="00BE78CA" w:rsidRDefault="00F02481" w:rsidP="00C26084">
      <w:pPr>
        <w:pStyle w:val="BodyText"/>
        <w:rPr>
          <w:rFonts w:cs="Calibri"/>
        </w:rPr>
      </w:pPr>
      <w:r w:rsidRPr="00BE78CA">
        <w:rPr>
          <w:rFonts w:cs="Calibri"/>
        </w:rPr>
        <w:t xml:space="preserve">At present, no commercial rice cultivation is carried out in New Zealand. This has been confirmed with experts from Plant and Food Research, a New Zealand Crown research institute. The ‘NO’ (not occurring) notation is reported in the CRF tables. </w:t>
      </w:r>
    </w:p>
    <w:p w14:paraId="4D860BDE" w14:textId="77777777" w:rsidR="00F02481" w:rsidRPr="00BE78CA" w:rsidRDefault="00F02481" w:rsidP="00C26084">
      <w:pPr>
        <w:pStyle w:val="Heading2"/>
        <w:rPr>
          <w:rFonts w:cs="Calibri"/>
        </w:rPr>
      </w:pPr>
      <w:bookmarkStart w:id="789" w:name="_Toc69611742"/>
      <w:bookmarkStart w:id="790" w:name="_Toc69612698"/>
      <w:bookmarkStart w:id="791" w:name="_Toc69612897"/>
      <w:bookmarkStart w:id="792" w:name="_Toc69613157"/>
      <w:bookmarkStart w:id="793" w:name="_Toc69633321"/>
      <w:bookmarkStart w:id="794" w:name="_Toc69717486"/>
      <w:bookmarkStart w:id="795" w:name="_Toc69802968"/>
      <w:bookmarkStart w:id="796" w:name="_Toc69815105"/>
      <w:bookmarkStart w:id="797" w:name="_Toc70492398"/>
      <w:bookmarkStart w:id="798" w:name="_Toc101310605"/>
      <w:bookmarkStart w:id="799" w:name="_Toc101318465"/>
      <w:bookmarkStart w:id="800" w:name="_Toc101318570"/>
      <w:bookmarkStart w:id="801" w:name="_Toc101318754"/>
      <w:bookmarkStart w:id="802" w:name="_Toc101334030"/>
      <w:bookmarkStart w:id="803" w:name="_Toc134847208"/>
      <w:bookmarkStart w:id="804" w:name="_Toc139253932"/>
      <w:bookmarkStart w:id="805" w:name="_Toc144710416"/>
      <w:bookmarkStart w:id="806" w:name="_Toc165890370"/>
      <w:bookmarkStart w:id="807" w:name="_Toc195322664"/>
      <w:bookmarkStart w:id="808" w:name="_Toc235955530"/>
      <w:bookmarkStart w:id="809" w:name="_Toc288316643"/>
      <w:bookmarkStart w:id="810" w:name="_Toc352504863"/>
      <w:bookmarkStart w:id="811" w:name="_Toc448321526"/>
      <w:bookmarkStart w:id="812" w:name="_Toc481751388"/>
      <w:bookmarkStart w:id="813" w:name="_Toc511116603"/>
      <w:bookmarkStart w:id="814" w:name="_Toc5269365"/>
      <w:bookmarkStart w:id="815" w:name="_Toc32570666"/>
      <w:bookmarkStart w:id="816" w:name="_Toc36224405"/>
      <w:bookmarkStart w:id="817" w:name="_Toc68786325"/>
      <w:r w:rsidRPr="00BE78CA">
        <w:rPr>
          <w:rFonts w:cs="Calibri"/>
        </w:rPr>
        <w:t>5.5</w:t>
      </w:r>
      <w:r w:rsidRPr="00BE78CA">
        <w:rPr>
          <w:rFonts w:cs="Calibri"/>
        </w:rPr>
        <w:tab/>
        <w:t>Agricultural soils (CRF 3.D)</w:t>
      </w:r>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p>
    <w:p w14:paraId="2A821D30" w14:textId="77777777" w:rsidR="00F02481" w:rsidRPr="00BE78CA" w:rsidRDefault="00F02481" w:rsidP="00C26084">
      <w:pPr>
        <w:pStyle w:val="Heading3"/>
        <w:spacing w:before="160"/>
        <w:rPr>
          <w:rFonts w:cs="Calibri"/>
        </w:rPr>
      </w:pPr>
      <w:bookmarkStart w:id="818" w:name="_Toc139253933"/>
      <w:bookmarkStart w:id="819" w:name="_Toc32570667"/>
      <w:r w:rsidRPr="00BE78CA">
        <w:rPr>
          <w:rFonts w:cs="Calibri"/>
        </w:rPr>
        <w:t>5.5.1</w:t>
      </w:r>
      <w:r w:rsidRPr="00BE78CA">
        <w:rPr>
          <w:rFonts w:cs="Calibri"/>
        </w:rPr>
        <w:tab/>
        <w:t>Description</w:t>
      </w:r>
      <w:bookmarkEnd w:id="818"/>
      <w:bookmarkEnd w:id="819"/>
    </w:p>
    <w:p w14:paraId="5CA69699" w14:textId="77777777" w:rsidR="00F02481" w:rsidRPr="00BE78CA" w:rsidRDefault="00F02481" w:rsidP="00C26084">
      <w:pPr>
        <w:pStyle w:val="BodyText"/>
        <w:rPr>
          <w:rFonts w:cs="Calibri"/>
        </w:rPr>
      </w:pPr>
      <w:r w:rsidRPr="00BE78CA">
        <w:rPr>
          <w:rFonts w:cs="Calibri"/>
        </w:rPr>
        <w:t>Several categories contribute to N</w:t>
      </w:r>
      <w:r w:rsidRPr="00BE78CA">
        <w:rPr>
          <w:rFonts w:cs="Calibri"/>
          <w:vertAlign w:val="subscript"/>
        </w:rPr>
        <w:t>2</w:t>
      </w:r>
      <w:r w:rsidRPr="00BE78CA">
        <w:rPr>
          <w:rFonts w:cs="Calibri"/>
        </w:rPr>
        <w:t xml:space="preserve">O emissions from agricultural soils from both direct and indirect pathways, these are summarised in figure 5.5.1. </w:t>
      </w:r>
    </w:p>
    <w:p w14:paraId="7DEC5574" w14:textId="77777777" w:rsidR="00F02481" w:rsidRPr="00BE78CA" w:rsidRDefault="00F02481" w:rsidP="00C26084">
      <w:pPr>
        <w:pStyle w:val="Figure"/>
      </w:pPr>
      <w:bookmarkStart w:id="820" w:name="_Toc481752014"/>
      <w:bookmarkStart w:id="821" w:name="_Toc507158473"/>
      <w:bookmarkStart w:id="822" w:name="_Toc511116964"/>
      <w:bookmarkStart w:id="823" w:name="_Toc5269694"/>
      <w:bookmarkStart w:id="824" w:name="_Toc32570965"/>
      <w:bookmarkStart w:id="825" w:name="_Toc36292795"/>
      <w:bookmarkStart w:id="826" w:name="_Toc68786660"/>
      <w:r w:rsidRPr="00BE78CA">
        <w:t>Figure 5.5.1</w:t>
      </w:r>
      <w:r w:rsidRPr="00BE78CA">
        <w:tab/>
        <w:t>Sources of nitrous oxide emissions from agricultural soils, showing the contribution of each source to emissions through both direct and indirect pathways</w:t>
      </w:r>
      <w:bookmarkEnd w:id="820"/>
      <w:bookmarkEnd w:id="821"/>
      <w:bookmarkEnd w:id="822"/>
      <w:bookmarkEnd w:id="823"/>
      <w:bookmarkEnd w:id="824"/>
      <w:bookmarkEnd w:id="825"/>
      <w:bookmarkEnd w:id="826"/>
    </w:p>
    <w:p w14:paraId="6E97363A" w14:textId="77777777" w:rsidR="00F02481" w:rsidRPr="00BE78CA" w:rsidRDefault="00087879" w:rsidP="00C26084">
      <w:pPr>
        <w:pStyle w:val="BodyText"/>
        <w:spacing w:before="60"/>
        <w:jc w:val="center"/>
        <w:rPr>
          <w:rFonts w:cs="Calibri"/>
        </w:rPr>
      </w:pPr>
      <w:r>
        <w:rPr>
          <w:rFonts w:cs="Calibri"/>
        </w:rPr>
        <w:pict w14:anchorId="63703AA5">
          <v:shape id="_x0000_i1052" type="#_x0000_t75" style="width:294.8pt;height:5in;visibility:visible;mso-wrap-style:square">
            <v:imagedata r:id="rId140" o:title=""/>
          </v:shape>
        </w:pict>
      </w:r>
    </w:p>
    <w:p w14:paraId="3A084F46" w14:textId="77777777" w:rsidR="00F02481" w:rsidRPr="00BE78CA" w:rsidRDefault="00F02481" w:rsidP="00026CCD">
      <w:pPr>
        <w:pStyle w:val="BodyText"/>
        <w:keepLines/>
        <w:spacing w:after="100"/>
        <w:rPr>
          <w:rFonts w:cs="Calibri"/>
        </w:rPr>
      </w:pPr>
      <w:r w:rsidRPr="00BE78CA">
        <w:rPr>
          <w:rFonts w:cs="Calibri"/>
        </w:rPr>
        <w:lastRenderedPageBreak/>
        <w:t>Direct N</w:t>
      </w:r>
      <w:r w:rsidRPr="00BE78CA">
        <w:rPr>
          <w:rFonts w:cs="Calibri"/>
          <w:vertAlign w:val="subscript"/>
        </w:rPr>
        <w:t>2</w:t>
      </w:r>
      <w:r w:rsidRPr="00BE78CA">
        <w:rPr>
          <w:rFonts w:cs="Calibri"/>
        </w:rPr>
        <w:t>O emissions come directly from the soils to which nitrogen has been applied in either organic (animal excreta) or inorganic (synthetic nitrogen fertiliser) form. Indirect emissions come from the volatilisation (evaporation or sublimation) of nitrogen from the land. A fraction of this volatilised nitrogen returns to the ground during rainfall and is then re-emitted as N</w:t>
      </w:r>
      <w:r w:rsidRPr="00BE78CA">
        <w:rPr>
          <w:rFonts w:cs="Calibri"/>
          <w:vertAlign w:val="subscript"/>
        </w:rPr>
        <w:t>2</w:t>
      </w:r>
      <w:r w:rsidRPr="00BE78CA">
        <w:rPr>
          <w:rFonts w:cs="Calibri"/>
        </w:rPr>
        <w:t xml:space="preserve">O. Indirect emissions also arise from leaching and runoff of nitrogen (IPCC, 2006) and from further nitrification and denitrification from waterways. </w:t>
      </w:r>
    </w:p>
    <w:p w14:paraId="6BD6022D" w14:textId="77777777" w:rsidR="00F02481" w:rsidRPr="00BE78CA" w:rsidRDefault="00F02481" w:rsidP="00C26084">
      <w:pPr>
        <w:pStyle w:val="BodyText"/>
        <w:spacing w:before="100" w:after="100"/>
        <w:rPr>
          <w:rFonts w:cs="Calibri"/>
        </w:rPr>
      </w:pPr>
      <w:r w:rsidRPr="00BE78CA">
        <w:rPr>
          <w:rFonts w:cs="Calibri"/>
        </w:rPr>
        <w:t>Indirect emissions from livestock waste management systems are reported in section 5.3 (</w:t>
      </w:r>
      <w:r w:rsidRPr="00BE78CA">
        <w:rPr>
          <w:rFonts w:cs="Calibri"/>
          <w:i/>
          <w:iCs/>
        </w:rPr>
        <w:t>Manure management</w:t>
      </w:r>
      <w:r w:rsidRPr="00BE78CA">
        <w:rPr>
          <w:rFonts w:cs="Calibri"/>
        </w:rPr>
        <w:t>). Carbon dioxide emissions from lime and dolomite fertilisers are reported in section 5.8 (</w:t>
      </w:r>
      <w:r w:rsidRPr="00BE78CA">
        <w:rPr>
          <w:rFonts w:cs="Calibri"/>
          <w:i/>
          <w:iCs/>
        </w:rPr>
        <w:t>Liming</w:t>
      </w:r>
      <w:r w:rsidRPr="00BE78CA">
        <w:rPr>
          <w:rFonts w:cs="Calibri"/>
        </w:rPr>
        <w:t xml:space="preserve">). </w:t>
      </w:r>
    </w:p>
    <w:p w14:paraId="0C1E58B5" w14:textId="33B273CC" w:rsidR="00F02481" w:rsidRPr="00BE78CA" w:rsidRDefault="00F02481" w:rsidP="00C26084">
      <w:pPr>
        <w:pStyle w:val="BodyText"/>
        <w:spacing w:before="100" w:after="100"/>
        <w:rPr>
          <w:rFonts w:cs="Calibri"/>
        </w:rPr>
      </w:pPr>
      <w:r w:rsidRPr="00BE78CA">
        <w:rPr>
          <w:rFonts w:cs="Calibri"/>
          <w:i/>
          <w:iCs/>
        </w:rPr>
        <w:t>Agricultural soils</w:t>
      </w:r>
      <w:r w:rsidRPr="00BE78CA">
        <w:rPr>
          <w:rFonts w:cs="Calibri"/>
        </w:rPr>
        <w:t xml:space="preserve"> contributed an estimated 7,763.1 kt CO</w:t>
      </w:r>
      <w:r w:rsidRPr="00BE78CA">
        <w:rPr>
          <w:rFonts w:cs="Calibri"/>
          <w:vertAlign w:val="subscript"/>
        </w:rPr>
        <w:t>2</w:t>
      </w:r>
      <w:r w:rsidRPr="00BE78CA">
        <w:rPr>
          <w:rFonts w:cs="Calibri"/>
        </w:rPr>
        <w:t>-e, representing 9.4 per cent of New Zealand’s gross emissions and 19.6 per cent of agriculture</w:t>
      </w:r>
      <w:r w:rsidRPr="00BE78CA">
        <w:rPr>
          <w:rFonts w:cs="Calibri"/>
          <w:i/>
          <w:iCs/>
        </w:rPr>
        <w:t xml:space="preserve"> </w:t>
      </w:r>
      <w:r w:rsidRPr="00BE78CA">
        <w:rPr>
          <w:rFonts w:cs="Calibri"/>
        </w:rPr>
        <w:t xml:space="preserve">emissions in 2019. The </w:t>
      </w:r>
      <w:r w:rsidRPr="00BE78CA">
        <w:rPr>
          <w:rFonts w:cs="Calibri"/>
          <w:i/>
          <w:iCs/>
        </w:rPr>
        <w:t>Agricultural soils</w:t>
      </w:r>
      <w:r w:rsidRPr="00BE78CA">
        <w:rPr>
          <w:rFonts w:cs="Calibri"/>
        </w:rPr>
        <w:t xml:space="preserve"> category was the source of 92.8 per cent of New Zealand’s total 2019 </w:t>
      </w:r>
      <w:r w:rsidRPr="00BE78CA">
        <w:rPr>
          <w:rFonts w:cs="Calibri"/>
          <w:spacing w:val="-2"/>
        </w:rPr>
        <w:t>N</w:t>
      </w:r>
      <w:r w:rsidRPr="00BE78CA">
        <w:rPr>
          <w:rFonts w:cs="Calibri"/>
          <w:spacing w:val="-2"/>
          <w:vertAlign w:val="subscript"/>
        </w:rPr>
        <w:t>2</w:t>
      </w:r>
      <w:r w:rsidRPr="00BE78CA">
        <w:rPr>
          <w:rFonts w:cs="Calibri"/>
          <w:spacing w:val="-2"/>
        </w:rPr>
        <w:t>O</w:t>
      </w:r>
      <w:r w:rsidRPr="00BE78CA">
        <w:rPr>
          <w:rFonts w:cs="Calibri"/>
        </w:rPr>
        <w:t xml:space="preserve"> emissions.</w:t>
      </w:r>
    </w:p>
    <w:p w14:paraId="033DE203" w14:textId="77777777" w:rsidR="00F02481" w:rsidRPr="00BE78CA" w:rsidRDefault="00F02481" w:rsidP="00C26084">
      <w:pPr>
        <w:pStyle w:val="BodyText"/>
        <w:spacing w:before="100" w:after="100"/>
        <w:rPr>
          <w:rFonts w:cs="Calibri"/>
        </w:rPr>
      </w:pPr>
      <w:r w:rsidRPr="00BE78CA">
        <w:rPr>
          <w:rFonts w:cs="Calibri"/>
        </w:rPr>
        <w:t xml:space="preserve">The categories that contribute the most to emissions from </w:t>
      </w:r>
      <w:r w:rsidRPr="00BE78CA">
        <w:rPr>
          <w:rFonts w:cs="Calibri"/>
          <w:i/>
          <w:iCs/>
        </w:rPr>
        <w:t>Agricultural soils</w:t>
      </w:r>
      <w:r w:rsidRPr="00BE78CA">
        <w:rPr>
          <w:rFonts w:cs="Calibri"/>
        </w:rPr>
        <w:t xml:space="preserve"> and that are identified as key categories are outlined below in order of significance.</w:t>
      </w:r>
    </w:p>
    <w:p w14:paraId="781440CA" w14:textId="77777777" w:rsidR="00F02481" w:rsidRPr="00BE78CA" w:rsidRDefault="00F02481" w:rsidP="00FA2314">
      <w:pPr>
        <w:pStyle w:val="Bullet"/>
        <w:numPr>
          <w:ilvl w:val="0"/>
          <w:numId w:val="25"/>
        </w:numPr>
        <w:rPr>
          <w:spacing w:val="-2"/>
        </w:rPr>
      </w:pPr>
      <w:r w:rsidRPr="00BE78CA">
        <w:t xml:space="preserve">Urine and dung deposited by grazing animals (pasture, range and paddock manure) (level and trend assessment): 50.2 per cent of emissions from </w:t>
      </w:r>
      <w:r w:rsidRPr="00BE78CA">
        <w:rPr>
          <w:i/>
          <w:iCs/>
        </w:rPr>
        <w:t>Agricultural soils</w:t>
      </w:r>
      <w:r w:rsidRPr="00BE78CA">
        <w:t>.</w:t>
      </w:r>
    </w:p>
    <w:p w14:paraId="3C066BF6" w14:textId="77777777" w:rsidR="00F02481" w:rsidRPr="00BE78CA" w:rsidRDefault="00F02481" w:rsidP="00FA2314">
      <w:pPr>
        <w:pStyle w:val="Bullet"/>
        <w:numPr>
          <w:ilvl w:val="0"/>
          <w:numId w:val="25"/>
        </w:numPr>
      </w:pPr>
      <w:r w:rsidRPr="00BE78CA">
        <w:t xml:space="preserve">Synthetic nitrogen fertiliser (level and trend assessment): 18.4 per cent of </w:t>
      </w:r>
      <w:r w:rsidRPr="00BE78CA">
        <w:rPr>
          <w:iCs/>
        </w:rPr>
        <w:t>emissions from</w:t>
      </w:r>
      <w:r w:rsidRPr="00BE78CA">
        <w:rPr>
          <w:i/>
          <w:iCs/>
        </w:rPr>
        <w:t xml:space="preserve"> Agricultural soils</w:t>
      </w:r>
      <w:r w:rsidRPr="00BE78CA">
        <w:t>.</w:t>
      </w:r>
    </w:p>
    <w:p w14:paraId="5D68A065" w14:textId="77777777" w:rsidR="00F02481" w:rsidRPr="00BE78CA" w:rsidRDefault="00F02481" w:rsidP="00FA2314">
      <w:pPr>
        <w:pStyle w:val="Bullet"/>
        <w:numPr>
          <w:ilvl w:val="0"/>
          <w:numId w:val="25"/>
        </w:numPr>
      </w:pPr>
      <w:r w:rsidRPr="00BE78CA">
        <w:t xml:space="preserve">Volatilisation (level assessment): 11.9 per cent of emissions from </w:t>
      </w:r>
      <w:r w:rsidRPr="00BE78CA">
        <w:rPr>
          <w:i/>
          <w:iCs/>
        </w:rPr>
        <w:t>Agricultural soils</w:t>
      </w:r>
      <w:r w:rsidRPr="00BE78CA">
        <w:t>.</w:t>
      </w:r>
    </w:p>
    <w:p w14:paraId="11DE2F57" w14:textId="77777777" w:rsidR="00F02481" w:rsidRPr="00BE78CA" w:rsidRDefault="00F02481" w:rsidP="00FA2314">
      <w:pPr>
        <w:pStyle w:val="Bullet"/>
        <w:numPr>
          <w:ilvl w:val="0"/>
          <w:numId w:val="25"/>
        </w:numPr>
      </w:pPr>
      <w:r w:rsidRPr="00BE78CA">
        <w:t>Managed organic soils (level and trend assessment): 8.4 per cent</w:t>
      </w:r>
      <w:r w:rsidRPr="00BE78CA" w:rsidDel="00C07FB2">
        <w:t xml:space="preserve"> </w:t>
      </w:r>
      <w:r w:rsidRPr="00BE78CA">
        <w:t xml:space="preserve">of emissions from </w:t>
      </w:r>
      <w:r w:rsidRPr="00BE78CA">
        <w:rPr>
          <w:i/>
          <w:iCs/>
        </w:rPr>
        <w:t>Agricultural soils</w:t>
      </w:r>
      <w:r w:rsidRPr="00BE78CA">
        <w:t>.</w:t>
      </w:r>
    </w:p>
    <w:p w14:paraId="13CADE9F" w14:textId="77777777" w:rsidR="00F02481" w:rsidRPr="00BE78CA" w:rsidRDefault="00F02481" w:rsidP="00FA2314">
      <w:pPr>
        <w:pStyle w:val="Bullet"/>
        <w:numPr>
          <w:ilvl w:val="0"/>
          <w:numId w:val="25"/>
        </w:numPr>
      </w:pPr>
      <w:r w:rsidRPr="00BE78CA">
        <w:t>Leaching and runoff (level assessment): 6.6 per cent</w:t>
      </w:r>
      <w:r w:rsidRPr="00BE78CA" w:rsidDel="00C07FB2">
        <w:t xml:space="preserve"> </w:t>
      </w:r>
      <w:r w:rsidRPr="00BE78CA">
        <w:t xml:space="preserve">of emissions from </w:t>
      </w:r>
      <w:r w:rsidRPr="00BE78CA">
        <w:rPr>
          <w:i/>
          <w:iCs/>
        </w:rPr>
        <w:t>Agricultural soils</w:t>
      </w:r>
      <w:r w:rsidRPr="00BE78CA">
        <w:t>.</w:t>
      </w:r>
    </w:p>
    <w:p w14:paraId="68CB2E36" w14:textId="77777777" w:rsidR="00F02481" w:rsidRPr="00BE78CA" w:rsidRDefault="00F02481" w:rsidP="00FA2314">
      <w:pPr>
        <w:pStyle w:val="Bullet"/>
        <w:numPr>
          <w:ilvl w:val="0"/>
          <w:numId w:val="25"/>
        </w:numPr>
      </w:pPr>
      <w:r w:rsidRPr="00BE78CA">
        <w:t>Crop residues (level assessment): 3.4 per cent</w:t>
      </w:r>
      <w:r w:rsidRPr="00BE78CA" w:rsidDel="00C07FB2">
        <w:t xml:space="preserve"> </w:t>
      </w:r>
      <w:r w:rsidRPr="00BE78CA">
        <w:t xml:space="preserve">of emissions from </w:t>
      </w:r>
      <w:r w:rsidRPr="00BE78CA">
        <w:rPr>
          <w:i/>
          <w:iCs/>
        </w:rPr>
        <w:t>Agricultural soils</w:t>
      </w:r>
      <w:r w:rsidRPr="00BE78CA">
        <w:t xml:space="preserve">. </w:t>
      </w:r>
    </w:p>
    <w:p w14:paraId="55B8AD26" w14:textId="77777777" w:rsidR="00F02481" w:rsidRPr="00BE78CA" w:rsidRDefault="00F02481" w:rsidP="00C26084">
      <w:pPr>
        <w:pStyle w:val="Heading5"/>
        <w:rPr>
          <w:rFonts w:cs="Calibri"/>
        </w:rPr>
      </w:pPr>
      <w:r w:rsidRPr="00BE78CA">
        <w:rPr>
          <w:rFonts w:cs="Calibri"/>
        </w:rPr>
        <w:t>Trends</w:t>
      </w:r>
    </w:p>
    <w:p w14:paraId="28D77B59" w14:textId="0D837579" w:rsidR="00F02481" w:rsidRPr="00BE78CA" w:rsidRDefault="00F02481" w:rsidP="00C26084">
      <w:pPr>
        <w:pStyle w:val="BodyText"/>
        <w:spacing w:before="100" w:after="100"/>
        <w:rPr>
          <w:rFonts w:cs="Calibri"/>
        </w:rPr>
      </w:pPr>
      <w:r w:rsidRPr="00BE78CA">
        <w:rPr>
          <w:rFonts w:cs="Calibri"/>
        </w:rPr>
        <w:t xml:space="preserve">Emissions from </w:t>
      </w:r>
      <w:r w:rsidRPr="00BE78CA">
        <w:rPr>
          <w:rFonts w:cs="Calibri"/>
          <w:i/>
          <w:iCs/>
        </w:rPr>
        <w:t xml:space="preserve">Agricultural soils </w:t>
      </w:r>
      <w:r w:rsidRPr="00BE78CA">
        <w:rPr>
          <w:rFonts w:cs="Calibri"/>
        </w:rPr>
        <w:t>increased 46.9 per cent (2,478.3 kt CO</w:t>
      </w:r>
      <w:r w:rsidRPr="00BE78CA">
        <w:rPr>
          <w:rFonts w:cs="Calibri"/>
          <w:vertAlign w:val="subscript"/>
        </w:rPr>
        <w:t>2</w:t>
      </w:r>
      <w:r w:rsidRPr="00BE78CA">
        <w:rPr>
          <w:rFonts w:cs="Calibri"/>
        </w:rPr>
        <w:t xml:space="preserve">-e) between 1990 and 2019. Increases in the use of synthetic nitrogen fertiliser and the dairy cattle population are the predominant drivers of increasing emissions from </w:t>
      </w:r>
      <w:r w:rsidRPr="00BE78CA">
        <w:rPr>
          <w:rFonts w:cs="Calibri"/>
          <w:i/>
          <w:iCs/>
        </w:rPr>
        <w:t>Agricultural soils</w:t>
      </w:r>
      <w:r w:rsidRPr="00BE78CA">
        <w:rPr>
          <w:rFonts w:cs="Calibri"/>
        </w:rPr>
        <w:t xml:space="preserve">, which have been partially offset by decreases in the sheep and beef cattle populations. </w:t>
      </w:r>
    </w:p>
    <w:p w14:paraId="6DA3D86D" w14:textId="77777777" w:rsidR="00F02481" w:rsidRPr="00BE78CA" w:rsidRDefault="00F02481" w:rsidP="00C26084">
      <w:pPr>
        <w:pStyle w:val="BodyText"/>
        <w:spacing w:before="100" w:after="100"/>
        <w:rPr>
          <w:rFonts w:cs="Calibri"/>
        </w:rPr>
      </w:pPr>
      <w:r w:rsidRPr="00BE78CA">
        <w:rPr>
          <w:rFonts w:cs="Calibri"/>
        </w:rPr>
        <w:t xml:space="preserve">Trends from 1990 and 2019 across the key categories in </w:t>
      </w:r>
      <w:r w:rsidRPr="00BE78CA">
        <w:rPr>
          <w:rFonts w:cs="Calibri"/>
          <w:i/>
          <w:iCs/>
        </w:rPr>
        <w:t xml:space="preserve">Agricultural soils </w:t>
      </w:r>
      <w:r w:rsidRPr="00BE78CA">
        <w:rPr>
          <w:rFonts w:cs="Calibri"/>
        </w:rPr>
        <w:t>are detailed below.</w:t>
      </w:r>
    </w:p>
    <w:p w14:paraId="41B2B84C" w14:textId="77777777" w:rsidR="00F02481" w:rsidRPr="00BE78CA" w:rsidRDefault="00F02481" w:rsidP="00FA2314">
      <w:pPr>
        <w:pStyle w:val="Bullet"/>
        <w:numPr>
          <w:ilvl w:val="0"/>
          <w:numId w:val="25"/>
        </w:numPr>
        <w:rPr>
          <w:spacing w:val="-2"/>
        </w:rPr>
      </w:pPr>
      <w:r w:rsidRPr="00BE78CA">
        <w:t>Urine and dung deposited by grazing animals (pasture, range and paddock manure) (level and trend assessment): 27.1 per cent (830.7 kt CO</w:t>
      </w:r>
      <w:r w:rsidRPr="00BE78CA">
        <w:rPr>
          <w:vertAlign w:val="subscript"/>
        </w:rPr>
        <w:t>2</w:t>
      </w:r>
      <w:r w:rsidRPr="00BE78CA">
        <w:t>-e) increase.</w:t>
      </w:r>
    </w:p>
    <w:p w14:paraId="00550844" w14:textId="77777777" w:rsidR="00F02481" w:rsidRPr="00BE78CA" w:rsidRDefault="00F02481" w:rsidP="00FA2314">
      <w:pPr>
        <w:pStyle w:val="Bullet"/>
        <w:numPr>
          <w:ilvl w:val="0"/>
          <w:numId w:val="25"/>
        </w:numPr>
        <w:rPr>
          <w:spacing w:val="-2"/>
        </w:rPr>
      </w:pPr>
      <w:r w:rsidRPr="00BE78CA">
        <w:t>Synthetic nitrogen fertiliser (level and trend assessment): 520.6 per cent (1,199.0 kt CO</w:t>
      </w:r>
      <w:r w:rsidRPr="00BE78CA">
        <w:rPr>
          <w:vertAlign w:val="subscript"/>
        </w:rPr>
        <w:t>2</w:t>
      </w:r>
      <w:r w:rsidRPr="00BE78CA">
        <w:t>-e) increase between 1990 and 2019.</w:t>
      </w:r>
    </w:p>
    <w:p w14:paraId="592AC536" w14:textId="77777777" w:rsidR="00F02481" w:rsidRPr="00BE78CA" w:rsidRDefault="00F02481" w:rsidP="00FA2314">
      <w:pPr>
        <w:pStyle w:val="Bullet"/>
        <w:numPr>
          <w:ilvl w:val="0"/>
          <w:numId w:val="25"/>
        </w:numPr>
        <w:rPr>
          <w:spacing w:val="-2"/>
        </w:rPr>
      </w:pPr>
      <w:r w:rsidRPr="00BE78CA">
        <w:t>Volatilisation (level assessment): 25.9 per cent (190.2 kt CO</w:t>
      </w:r>
      <w:r w:rsidRPr="00BE78CA">
        <w:rPr>
          <w:vertAlign w:val="subscript"/>
        </w:rPr>
        <w:t>2</w:t>
      </w:r>
      <w:r w:rsidRPr="00BE78CA">
        <w:t>-e) increase.</w:t>
      </w:r>
    </w:p>
    <w:p w14:paraId="58DC7E69" w14:textId="77777777" w:rsidR="00F02481" w:rsidRPr="00BE78CA" w:rsidRDefault="00F02481" w:rsidP="00FA2314">
      <w:pPr>
        <w:pStyle w:val="Bullet"/>
        <w:numPr>
          <w:ilvl w:val="0"/>
          <w:numId w:val="25"/>
        </w:numPr>
        <w:rPr>
          <w:spacing w:val="-2"/>
        </w:rPr>
      </w:pPr>
      <w:r w:rsidRPr="00BE78CA">
        <w:t>Cultivation of organic soils (level and trend assessment): 1.4 per cent (9.2 kt CO</w:t>
      </w:r>
      <w:r w:rsidRPr="00BE78CA">
        <w:rPr>
          <w:vertAlign w:val="subscript"/>
        </w:rPr>
        <w:t>2</w:t>
      </w:r>
      <w:r w:rsidRPr="00BE78CA">
        <w:t>-e) increase.</w:t>
      </w:r>
    </w:p>
    <w:p w14:paraId="1DEA698C" w14:textId="77777777" w:rsidR="00F02481" w:rsidRPr="00BE78CA" w:rsidRDefault="00F02481" w:rsidP="00FA2314">
      <w:pPr>
        <w:pStyle w:val="Bullet"/>
        <w:numPr>
          <w:ilvl w:val="0"/>
          <w:numId w:val="25"/>
        </w:numPr>
        <w:rPr>
          <w:spacing w:val="-2"/>
        </w:rPr>
      </w:pPr>
      <w:r w:rsidRPr="00BE78CA">
        <w:t>Leaching and runoff (level assessment): 30.0 per cent (118.6 kt CO</w:t>
      </w:r>
      <w:r w:rsidRPr="00BE78CA">
        <w:rPr>
          <w:vertAlign w:val="subscript"/>
        </w:rPr>
        <w:t>2</w:t>
      </w:r>
      <w:r w:rsidRPr="00BE78CA">
        <w:t>-e) increase.</w:t>
      </w:r>
    </w:p>
    <w:p w14:paraId="44DFECD0" w14:textId="77777777" w:rsidR="00F02481" w:rsidRPr="00BE78CA" w:rsidRDefault="00F02481" w:rsidP="00FA2314">
      <w:pPr>
        <w:pStyle w:val="Bullet"/>
        <w:numPr>
          <w:ilvl w:val="0"/>
          <w:numId w:val="25"/>
        </w:numPr>
        <w:rPr>
          <w:spacing w:val="-2"/>
        </w:rPr>
      </w:pPr>
      <w:r w:rsidRPr="00BE78CA">
        <w:t>Crop residues (level assessment): 51.2 per cent (89.9 kt CO</w:t>
      </w:r>
      <w:r w:rsidRPr="00BE78CA">
        <w:rPr>
          <w:vertAlign w:val="subscript"/>
        </w:rPr>
        <w:t>2</w:t>
      </w:r>
      <w:r w:rsidRPr="00BE78CA">
        <w:t>-e) increase.</w:t>
      </w:r>
    </w:p>
    <w:p w14:paraId="5D8CAFF1" w14:textId="77777777" w:rsidR="00F02481" w:rsidRPr="00BE78CA" w:rsidRDefault="00F02481" w:rsidP="00C26084">
      <w:pPr>
        <w:pStyle w:val="BodyText"/>
        <w:spacing w:before="100" w:after="100"/>
        <w:rPr>
          <w:rFonts w:cs="Calibri"/>
        </w:rPr>
      </w:pPr>
      <w:r w:rsidRPr="00BE78CA">
        <w:rPr>
          <w:rFonts w:cs="Calibri"/>
        </w:rPr>
        <w:t>Table 5.5.1 shows the trends and relative contribution of N</w:t>
      </w:r>
      <w:r w:rsidRPr="00BE78CA">
        <w:rPr>
          <w:rFonts w:cs="Calibri"/>
          <w:vertAlign w:val="subscript"/>
        </w:rPr>
        <w:t>2</w:t>
      </w:r>
      <w:r w:rsidRPr="00BE78CA">
        <w:rPr>
          <w:rFonts w:cs="Calibri"/>
        </w:rPr>
        <w:t>O emissions from these categories between 1990 and 2019.</w:t>
      </w:r>
    </w:p>
    <w:p w14:paraId="79469C38" w14:textId="77777777" w:rsidR="00F02481" w:rsidRPr="00BE78CA" w:rsidRDefault="00F02481" w:rsidP="00C26084">
      <w:pPr>
        <w:pStyle w:val="Table"/>
        <w:rPr>
          <w:rFonts w:cs="Calibri"/>
        </w:rPr>
      </w:pPr>
      <w:bookmarkStart w:id="827" w:name="_Toc481751521"/>
      <w:bookmarkStart w:id="828" w:name="_Toc507158609"/>
      <w:bookmarkStart w:id="829" w:name="_Toc511116743"/>
      <w:bookmarkStart w:id="830" w:name="_Toc5269485"/>
      <w:bookmarkStart w:id="831" w:name="_Toc32570927"/>
      <w:bookmarkStart w:id="832" w:name="_Toc36224562"/>
      <w:bookmarkStart w:id="833" w:name="_Toc68786447"/>
      <w:r w:rsidRPr="00BE78CA">
        <w:rPr>
          <w:rFonts w:cs="Calibri"/>
        </w:rPr>
        <w:lastRenderedPageBreak/>
        <w:t>Table 5.5.1</w:t>
      </w:r>
      <w:r w:rsidRPr="00BE78CA">
        <w:rPr>
          <w:rFonts w:cs="Calibri"/>
        </w:rPr>
        <w:tab/>
        <w:t xml:space="preserve">Trends and relative contribution of nitrous oxide emissions from Agricultural soils categories between 1990 and </w:t>
      </w:r>
      <w:bookmarkEnd w:id="827"/>
      <w:bookmarkEnd w:id="828"/>
      <w:bookmarkEnd w:id="829"/>
      <w:bookmarkEnd w:id="830"/>
      <w:r w:rsidRPr="00BE78CA">
        <w:rPr>
          <w:rFonts w:cs="Calibri"/>
        </w:rPr>
        <w:t>201</w:t>
      </w:r>
      <w:bookmarkEnd w:id="831"/>
      <w:bookmarkEnd w:id="832"/>
      <w:r w:rsidRPr="00BE78CA">
        <w:rPr>
          <w:rFonts w:cs="Calibri"/>
        </w:rPr>
        <w:t>9</w:t>
      </w:r>
      <w:bookmarkEnd w:id="833"/>
    </w:p>
    <w:tbl>
      <w:tblPr>
        <w:tblW w:w="85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6"/>
        <w:gridCol w:w="2303"/>
        <w:gridCol w:w="850"/>
        <w:gridCol w:w="722"/>
        <w:gridCol w:w="854"/>
        <w:gridCol w:w="712"/>
        <w:gridCol w:w="1095"/>
        <w:gridCol w:w="1153"/>
      </w:tblGrid>
      <w:tr w:rsidR="00026CCD" w:rsidRPr="00BE78CA" w14:paraId="576670C5" w14:textId="77777777" w:rsidTr="007D5931">
        <w:tc>
          <w:tcPr>
            <w:tcW w:w="3119" w:type="dxa"/>
            <w:gridSpan w:val="2"/>
            <w:tcBorders>
              <w:top w:val="single" w:sz="4" w:space="0" w:color="365F91"/>
              <w:left w:val="nil"/>
              <w:bottom w:val="nil"/>
              <w:right w:val="nil"/>
            </w:tcBorders>
            <w:shd w:val="clear" w:color="auto" w:fill="365F91"/>
            <w:vAlign w:val="bottom"/>
          </w:tcPr>
          <w:p w14:paraId="24E41139" w14:textId="77777777" w:rsidR="00F02481" w:rsidRPr="00BE78CA" w:rsidRDefault="00F02481" w:rsidP="00C26084">
            <w:pPr>
              <w:pStyle w:val="TableTextBold"/>
              <w:rPr>
                <w:noProof w:val="0"/>
                <w:color w:val="FFFFFF" w:themeColor="background1"/>
                <w:szCs w:val="16"/>
              </w:rPr>
            </w:pPr>
          </w:p>
        </w:tc>
        <w:tc>
          <w:tcPr>
            <w:tcW w:w="1572" w:type="dxa"/>
            <w:gridSpan w:val="2"/>
            <w:tcBorders>
              <w:top w:val="single" w:sz="4" w:space="0" w:color="365F91"/>
              <w:left w:val="nil"/>
              <w:bottom w:val="nil"/>
              <w:right w:val="nil"/>
            </w:tcBorders>
            <w:shd w:val="clear" w:color="auto" w:fill="365F91"/>
            <w:vAlign w:val="bottom"/>
          </w:tcPr>
          <w:p w14:paraId="5C757B5E" w14:textId="77777777" w:rsidR="00F02481" w:rsidRPr="00BE78CA" w:rsidRDefault="00F02481" w:rsidP="00C26084">
            <w:pPr>
              <w:pStyle w:val="TableTextBold"/>
              <w:spacing w:after="0"/>
              <w:jc w:val="center"/>
              <w:rPr>
                <w:noProof w:val="0"/>
                <w:color w:val="FFFFFF" w:themeColor="background1"/>
                <w:szCs w:val="16"/>
              </w:rPr>
            </w:pPr>
            <w:r w:rsidRPr="00BE78CA">
              <w:rPr>
                <w:noProof w:val="0"/>
                <w:color w:val="FFFFFF" w:themeColor="background1"/>
                <w:szCs w:val="16"/>
              </w:rPr>
              <w:t xml:space="preserve">Emissions </w:t>
            </w:r>
            <w:r w:rsidRPr="00BE78CA">
              <w:rPr>
                <w:noProof w:val="0"/>
                <w:color w:val="FFFFFF" w:themeColor="background1"/>
                <w:szCs w:val="16"/>
              </w:rPr>
              <w:br/>
              <w:t>(kt CO</w:t>
            </w:r>
            <w:r w:rsidRPr="00BE78CA">
              <w:rPr>
                <w:noProof w:val="0"/>
                <w:color w:val="FFFFFF" w:themeColor="background1"/>
                <w:szCs w:val="16"/>
                <w:vertAlign w:val="subscript"/>
              </w:rPr>
              <w:t>2</w:t>
            </w:r>
            <w:r w:rsidRPr="00BE78CA">
              <w:rPr>
                <w:noProof w:val="0"/>
                <w:color w:val="FFFFFF" w:themeColor="background1"/>
                <w:szCs w:val="16"/>
              </w:rPr>
              <w:t>-e)</w:t>
            </w:r>
          </w:p>
        </w:tc>
        <w:tc>
          <w:tcPr>
            <w:tcW w:w="1566" w:type="dxa"/>
            <w:gridSpan w:val="2"/>
            <w:tcBorders>
              <w:top w:val="single" w:sz="4" w:space="0" w:color="365F91"/>
              <w:left w:val="nil"/>
              <w:bottom w:val="nil"/>
              <w:right w:val="nil"/>
            </w:tcBorders>
            <w:shd w:val="clear" w:color="auto" w:fill="365F91"/>
            <w:vAlign w:val="bottom"/>
          </w:tcPr>
          <w:p w14:paraId="220A9FD0" w14:textId="77777777" w:rsidR="00F02481" w:rsidRPr="00BE78CA" w:rsidRDefault="00F02481" w:rsidP="00C26084">
            <w:pPr>
              <w:pStyle w:val="TableTextBold"/>
              <w:spacing w:after="0"/>
              <w:jc w:val="center"/>
              <w:rPr>
                <w:noProof w:val="0"/>
                <w:color w:val="FFFFFF" w:themeColor="background1"/>
                <w:szCs w:val="16"/>
              </w:rPr>
            </w:pPr>
            <w:r w:rsidRPr="00BE78CA">
              <w:rPr>
                <w:noProof w:val="0"/>
                <w:color w:val="FFFFFF" w:themeColor="background1"/>
                <w:szCs w:val="16"/>
              </w:rPr>
              <w:t xml:space="preserve">Change from </w:t>
            </w:r>
            <w:r w:rsidRPr="00BE78CA">
              <w:rPr>
                <w:noProof w:val="0"/>
                <w:color w:val="FFFFFF" w:themeColor="background1"/>
                <w:szCs w:val="16"/>
              </w:rPr>
              <w:br/>
              <w:t>1990–2019</w:t>
            </w:r>
          </w:p>
        </w:tc>
        <w:tc>
          <w:tcPr>
            <w:tcW w:w="1095" w:type="dxa"/>
            <w:tcBorders>
              <w:top w:val="single" w:sz="4" w:space="0" w:color="365F91"/>
              <w:left w:val="nil"/>
              <w:bottom w:val="nil"/>
              <w:right w:val="nil"/>
            </w:tcBorders>
            <w:shd w:val="clear" w:color="auto" w:fill="365F91"/>
            <w:vAlign w:val="bottom"/>
          </w:tcPr>
          <w:p w14:paraId="0CA1C02A" w14:textId="77777777" w:rsidR="00F02481" w:rsidRPr="00BE78CA" w:rsidRDefault="00F02481" w:rsidP="00C26084">
            <w:pPr>
              <w:pStyle w:val="TableTextBold"/>
              <w:spacing w:after="0"/>
              <w:jc w:val="center"/>
              <w:rPr>
                <w:noProof w:val="0"/>
                <w:color w:val="FFFFFF" w:themeColor="background1"/>
                <w:szCs w:val="16"/>
              </w:rPr>
            </w:pPr>
            <w:r w:rsidRPr="00BE78CA">
              <w:rPr>
                <w:noProof w:val="0"/>
                <w:color w:val="FFFFFF" w:themeColor="background1"/>
                <w:szCs w:val="16"/>
              </w:rPr>
              <w:t xml:space="preserve">Share of </w:t>
            </w:r>
            <w:r w:rsidRPr="00BE78CA">
              <w:rPr>
                <w:noProof w:val="0"/>
                <w:color w:val="FFFFFF" w:themeColor="background1"/>
                <w:szCs w:val="16"/>
              </w:rPr>
              <w:br/>
              <w:t>Agricultural soils category (%)</w:t>
            </w:r>
          </w:p>
        </w:tc>
        <w:tc>
          <w:tcPr>
            <w:tcW w:w="1153" w:type="dxa"/>
            <w:tcBorders>
              <w:top w:val="single" w:sz="4" w:space="0" w:color="365F91"/>
              <w:left w:val="nil"/>
              <w:bottom w:val="nil"/>
              <w:right w:val="nil"/>
            </w:tcBorders>
            <w:shd w:val="clear" w:color="auto" w:fill="365F91"/>
            <w:vAlign w:val="bottom"/>
          </w:tcPr>
          <w:p w14:paraId="3455B751" w14:textId="77777777" w:rsidR="00F02481" w:rsidRPr="00BE78CA" w:rsidRDefault="00F02481" w:rsidP="00C26084">
            <w:pPr>
              <w:pStyle w:val="TableTextBold"/>
              <w:spacing w:after="0"/>
              <w:jc w:val="center"/>
              <w:rPr>
                <w:noProof w:val="0"/>
                <w:color w:val="FFFFFF" w:themeColor="background1"/>
                <w:szCs w:val="16"/>
              </w:rPr>
            </w:pPr>
            <w:r w:rsidRPr="00BE78CA">
              <w:rPr>
                <w:noProof w:val="0"/>
                <w:color w:val="FFFFFF" w:themeColor="background1"/>
                <w:szCs w:val="16"/>
              </w:rPr>
              <w:t xml:space="preserve">Share of total </w:t>
            </w:r>
            <w:r w:rsidRPr="00BE78CA">
              <w:rPr>
                <w:noProof w:val="0"/>
                <w:color w:val="FFFFFF" w:themeColor="background1"/>
                <w:szCs w:val="16"/>
              </w:rPr>
              <w:br/>
              <w:t xml:space="preserve">Agriculture sector </w:t>
            </w:r>
            <w:r w:rsidRPr="00BE78CA">
              <w:rPr>
                <w:noProof w:val="0"/>
                <w:color w:val="FFFFFF" w:themeColor="background1"/>
                <w:szCs w:val="16"/>
              </w:rPr>
              <w:br/>
              <w:t>(%)</w:t>
            </w:r>
          </w:p>
        </w:tc>
      </w:tr>
      <w:tr w:rsidR="00026CCD" w:rsidRPr="00BE78CA" w14:paraId="62500368" w14:textId="77777777" w:rsidTr="007D5931">
        <w:tc>
          <w:tcPr>
            <w:tcW w:w="3119" w:type="dxa"/>
            <w:gridSpan w:val="2"/>
            <w:tcBorders>
              <w:top w:val="nil"/>
              <w:left w:val="nil"/>
              <w:bottom w:val="single" w:sz="4" w:space="0" w:color="365F91"/>
              <w:right w:val="nil"/>
            </w:tcBorders>
            <w:shd w:val="clear" w:color="auto" w:fill="365F91"/>
          </w:tcPr>
          <w:p w14:paraId="10012750" w14:textId="77777777" w:rsidR="00F02481" w:rsidRPr="00BE78CA" w:rsidRDefault="00F02481" w:rsidP="00C26084">
            <w:pPr>
              <w:pStyle w:val="TableTextBold"/>
              <w:rPr>
                <w:noProof w:val="0"/>
                <w:color w:val="FFFFFF" w:themeColor="background1"/>
                <w:szCs w:val="16"/>
              </w:rPr>
            </w:pPr>
            <w:r w:rsidRPr="00BE78CA">
              <w:rPr>
                <w:noProof w:val="0"/>
                <w:color w:val="FFFFFF" w:themeColor="background1"/>
                <w:szCs w:val="16"/>
              </w:rPr>
              <w:t>Agricultural soils category</w:t>
            </w:r>
          </w:p>
        </w:tc>
        <w:tc>
          <w:tcPr>
            <w:tcW w:w="850" w:type="dxa"/>
            <w:tcBorders>
              <w:top w:val="nil"/>
              <w:left w:val="nil"/>
              <w:bottom w:val="single" w:sz="4" w:space="0" w:color="365F91"/>
              <w:right w:val="nil"/>
            </w:tcBorders>
            <w:shd w:val="clear" w:color="auto" w:fill="365F91"/>
            <w:vAlign w:val="bottom"/>
          </w:tcPr>
          <w:p w14:paraId="174DD133" w14:textId="77777777" w:rsidR="00F02481" w:rsidRPr="00BE78CA" w:rsidRDefault="00F02481" w:rsidP="00C26084">
            <w:pPr>
              <w:pStyle w:val="TableTextBold"/>
              <w:jc w:val="center"/>
              <w:rPr>
                <w:noProof w:val="0"/>
                <w:color w:val="FFFFFF" w:themeColor="background1"/>
                <w:szCs w:val="16"/>
              </w:rPr>
            </w:pPr>
            <w:r w:rsidRPr="00BE78CA">
              <w:rPr>
                <w:noProof w:val="0"/>
                <w:color w:val="FFFFFF" w:themeColor="background1"/>
                <w:szCs w:val="16"/>
              </w:rPr>
              <w:t>1990</w:t>
            </w:r>
          </w:p>
        </w:tc>
        <w:tc>
          <w:tcPr>
            <w:tcW w:w="722" w:type="dxa"/>
            <w:tcBorders>
              <w:top w:val="nil"/>
              <w:left w:val="nil"/>
              <w:bottom w:val="single" w:sz="4" w:space="0" w:color="365F91"/>
              <w:right w:val="nil"/>
            </w:tcBorders>
            <w:shd w:val="clear" w:color="auto" w:fill="365F91"/>
            <w:vAlign w:val="bottom"/>
          </w:tcPr>
          <w:p w14:paraId="1F5F60A7" w14:textId="77777777" w:rsidR="00F02481" w:rsidRPr="00BE78CA" w:rsidRDefault="00F02481" w:rsidP="00C26084">
            <w:pPr>
              <w:pStyle w:val="TableTextBold"/>
              <w:jc w:val="center"/>
              <w:rPr>
                <w:noProof w:val="0"/>
                <w:color w:val="FFFFFF" w:themeColor="background1"/>
                <w:szCs w:val="16"/>
              </w:rPr>
            </w:pPr>
            <w:r w:rsidRPr="00BE78CA">
              <w:rPr>
                <w:noProof w:val="0"/>
                <w:color w:val="FFFFFF" w:themeColor="background1"/>
                <w:szCs w:val="16"/>
              </w:rPr>
              <w:t>2019</w:t>
            </w:r>
          </w:p>
        </w:tc>
        <w:tc>
          <w:tcPr>
            <w:tcW w:w="854" w:type="dxa"/>
            <w:tcBorders>
              <w:top w:val="nil"/>
              <w:left w:val="nil"/>
              <w:bottom w:val="single" w:sz="4" w:space="0" w:color="365F91"/>
              <w:right w:val="nil"/>
            </w:tcBorders>
            <w:shd w:val="clear" w:color="auto" w:fill="365F91"/>
            <w:vAlign w:val="bottom"/>
          </w:tcPr>
          <w:p w14:paraId="290BB951" w14:textId="77777777" w:rsidR="00F02481" w:rsidRPr="00BE78CA" w:rsidRDefault="00F02481" w:rsidP="00C26084">
            <w:pPr>
              <w:pStyle w:val="TableTextBold"/>
              <w:jc w:val="center"/>
              <w:rPr>
                <w:noProof w:val="0"/>
                <w:color w:val="FFFFFF" w:themeColor="background1"/>
                <w:szCs w:val="16"/>
              </w:rPr>
            </w:pPr>
            <w:r w:rsidRPr="00BE78CA">
              <w:rPr>
                <w:noProof w:val="0"/>
                <w:color w:val="FFFFFF" w:themeColor="background1"/>
                <w:szCs w:val="16"/>
              </w:rPr>
              <w:t>kt CO</w:t>
            </w:r>
            <w:r w:rsidRPr="00BE78CA">
              <w:rPr>
                <w:noProof w:val="0"/>
                <w:color w:val="FFFFFF" w:themeColor="background1"/>
                <w:szCs w:val="16"/>
                <w:vertAlign w:val="subscript"/>
              </w:rPr>
              <w:t>2</w:t>
            </w:r>
            <w:r w:rsidRPr="00BE78CA">
              <w:rPr>
                <w:noProof w:val="0"/>
                <w:color w:val="FFFFFF" w:themeColor="background1"/>
                <w:szCs w:val="16"/>
              </w:rPr>
              <w:t>-e</w:t>
            </w:r>
          </w:p>
        </w:tc>
        <w:tc>
          <w:tcPr>
            <w:tcW w:w="712" w:type="dxa"/>
            <w:tcBorders>
              <w:top w:val="nil"/>
              <w:left w:val="nil"/>
              <w:bottom w:val="single" w:sz="4" w:space="0" w:color="365F91"/>
              <w:right w:val="nil"/>
            </w:tcBorders>
            <w:shd w:val="clear" w:color="auto" w:fill="365F91"/>
            <w:vAlign w:val="bottom"/>
          </w:tcPr>
          <w:p w14:paraId="41D11950" w14:textId="77777777" w:rsidR="00F02481" w:rsidRPr="00BE78CA" w:rsidRDefault="00F02481" w:rsidP="00C26084">
            <w:pPr>
              <w:pStyle w:val="TableTextBold"/>
              <w:jc w:val="center"/>
              <w:rPr>
                <w:noProof w:val="0"/>
                <w:color w:val="FFFFFF" w:themeColor="background1"/>
                <w:szCs w:val="16"/>
              </w:rPr>
            </w:pPr>
            <w:r w:rsidRPr="00BE78CA">
              <w:rPr>
                <w:noProof w:val="0"/>
                <w:color w:val="FFFFFF" w:themeColor="background1"/>
                <w:szCs w:val="16"/>
              </w:rPr>
              <w:t>%</w:t>
            </w:r>
          </w:p>
        </w:tc>
        <w:tc>
          <w:tcPr>
            <w:tcW w:w="1095" w:type="dxa"/>
            <w:tcBorders>
              <w:top w:val="nil"/>
              <w:left w:val="nil"/>
              <w:bottom w:val="single" w:sz="4" w:space="0" w:color="365F91"/>
              <w:right w:val="nil"/>
            </w:tcBorders>
            <w:shd w:val="clear" w:color="auto" w:fill="365F91"/>
            <w:vAlign w:val="bottom"/>
          </w:tcPr>
          <w:p w14:paraId="0DC4F772" w14:textId="77777777" w:rsidR="00F02481" w:rsidRPr="00BE78CA" w:rsidRDefault="00F02481" w:rsidP="00C26084">
            <w:pPr>
              <w:pStyle w:val="TableTextBold"/>
              <w:jc w:val="center"/>
              <w:rPr>
                <w:noProof w:val="0"/>
                <w:color w:val="FFFFFF" w:themeColor="background1"/>
                <w:szCs w:val="16"/>
              </w:rPr>
            </w:pPr>
            <w:r w:rsidRPr="00BE78CA">
              <w:rPr>
                <w:noProof w:val="0"/>
                <w:color w:val="FFFFFF" w:themeColor="background1"/>
                <w:szCs w:val="16"/>
              </w:rPr>
              <w:t>2019</w:t>
            </w:r>
          </w:p>
        </w:tc>
        <w:tc>
          <w:tcPr>
            <w:tcW w:w="1153" w:type="dxa"/>
            <w:tcBorders>
              <w:top w:val="nil"/>
              <w:left w:val="nil"/>
              <w:bottom w:val="single" w:sz="4" w:space="0" w:color="365F91"/>
              <w:right w:val="nil"/>
            </w:tcBorders>
            <w:shd w:val="clear" w:color="auto" w:fill="365F91"/>
            <w:vAlign w:val="bottom"/>
          </w:tcPr>
          <w:p w14:paraId="58557AAC" w14:textId="77777777" w:rsidR="00F02481" w:rsidRPr="00BE78CA" w:rsidRDefault="00F02481" w:rsidP="00C26084">
            <w:pPr>
              <w:pStyle w:val="TableTextBold"/>
              <w:jc w:val="center"/>
              <w:rPr>
                <w:noProof w:val="0"/>
                <w:color w:val="FFFFFF" w:themeColor="background1"/>
                <w:szCs w:val="16"/>
              </w:rPr>
            </w:pPr>
            <w:r w:rsidRPr="00BE78CA">
              <w:rPr>
                <w:noProof w:val="0"/>
                <w:color w:val="FFFFFF" w:themeColor="background1"/>
                <w:szCs w:val="16"/>
              </w:rPr>
              <w:t>2019</w:t>
            </w:r>
          </w:p>
        </w:tc>
      </w:tr>
      <w:tr w:rsidR="00F02481" w:rsidRPr="00BE78CA" w14:paraId="399C0B99" w14:textId="77777777" w:rsidTr="007D5931">
        <w:tc>
          <w:tcPr>
            <w:tcW w:w="816" w:type="dxa"/>
            <w:vMerge w:val="restart"/>
            <w:tcBorders>
              <w:top w:val="single" w:sz="4" w:space="0" w:color="365F91"/>
              <w:left w:val="nil"/>
              <w:right w:val="nil"/>
            </w:tcBorders>
            <w:shd w:val="clear" w:color="auto" w:fill="auto"/>
          </w:tcPr>
          <w:p w14:paraId="329F8E57" w14:textId="77777777" w:rsidR="00F02481" w:rsidRPr="00BE78CA" w:rsidRDefault="00F02481" w:rsidP="00DB1536">
            <w:pPr>
              <w:pStyle w:val="TableText"/>
              <w:spacing w:before="50" w:after="50"/>
              <w:rPr>
                <w:rFonts w:cs="Calibri"/>
                <w:szCs w:val="16"/>
              </w:rPr>
            </w:pPr>
            <w:r w:rsidRPr="00BE78CA">
              <w:rPr>
                <w:rFonts w:cs="Calibri"/>
                <w:szCs w:val="16"/>
              </w:rPr>
              <w:t>Direct</w:t>
            </w:r>
          </w:p>
        </w:tc>
        <w:tc>
          <w:tcPr>
            <w:tcW w:w="2303" w:type="dxa"/>
            <w:tcBorders>
              <w:top w:val="single" w:sz="4" w:space="0" w:color="365F91"/>
              <w:left w:val="nil"/>
              <w:bottom w:val="single" w:sz="4" w:space="0" w:color="365F91"/>
              <w:right w:val="nil"/>
            </w:tcBorders>
            <w:shd w:val="clear" w:color="auto" w:fill="auto"/>
            <w:vAlign w:val="bottom"/>
          </w:tcPr>
          <w:p w14:paraId="2E24661D" w14:textId="77777777" w:rsidR="00F02481" w:rsidRPr="00BE78CA" w:rsidRDefault="00F02481" w:rsidP="00DB1536">
            <w:pPr>
              <w:pStyle w:val="TableText"/>
              <w:spacing w:before="50" w:after="50"/>
              <w:rPr>
                <w:rFonts w:cs="Calibri"/>
                <w:szCs w:val="16"/>
              </w:rPr>
            </w:pPr>
            <w:r w:rsidRPr="00BE78CA">
              <w:rPr>
                <w:rFonts w:cs="Calibri"/>
                <w:szCs w:val="16"/>
              </w:rPr>
              <w:t>Synthetic nitrogen fertilisers</w:t>
            </w:r>
          </w:p>
        </w:tc>
        <w:tc>
          <w:tcPr>
            <w:tcW w:w="850" w:type="dxa"/>
            <w:tcBorders>
              <w:top w:val="single" w:sz="4" w:space="0" w:color="365F91"/>
              <w:left w:val="nil"/>
              <w:bottom w:val="single" w:sz="4" w:space="0" w:color="365F91"/>
              <w:right w:val="nil"/>
            </w:tcBorders>
            <w:shd w:val="clear" w:color="auto" w:fill="auto"/>
            <w:vAlign w:val="bottom"/>
          </w:tcPr>
          <w:p w14:paraId="456E3D74" w14:textId="77777777" w:rsidR="00F02481" w:rsidRPr="00BE78CA" w:rsidRDefault="00F02481" w:rsidP="00DB1536">
            <w:pPr>
              <w:pStyle w:val="TableText"/>
              <w:spacing w:before="50" w:after="50"/>
              <w:jc w:val="center"/>
              <w:rPr>
                <w:rFonts w:cs="Calibri"/>
                <w:szCs w:val="16"/>
              </w:rPr>
            </w:pPr>
            <w:r w:rsidRPr="00BE78CA">
              <w:rPr>
                <w:rFonts w:cs="Calibri"/>
                <w:szCs w:val="16"/>
              </w:rPr>
              <w:t>230.3</w:t>
            </w:r>
          </w:p>
        </w:tc>
        <w:tc>
          <w:tcPr>
            <w:tcW w:w="722" w:type="dxa"/>
            <w:tcBorders>
              <w:top w:val="single" w:sz="4" w:space="0" w:color="365F91"/>
              <w:left w:val="nil"/>
              <w:bottom w:val="single" w:sz="4" w:space="0" w:color="365F91"/>
              <w:right w:val="nil"/>
            </w:tcBorders>
            <w:shd w:val="clear" w:color="auto" w:fill="auto"/>
            <w:vAlign w:val="bottom"/>
          </w:tcPr>
          <w:p w14:paraId="31385997" w14:textId="77777777" w:rsidR="00F02481" w:rsidRPr="00BE78CA" w:rsidRDefault="00F02481" w:rsidP="00DB1536">
            <w:pPr>
              <w:pStyle w:val="TableText"/>
              <w:spacing w:before="50" w:after="50"/>
              <w:jc w:val="center"/>
              <w:rPr>
                <w:rFonts w:cs="Calibri"/>
                <w:szCs w:val="16"/>
              </w:rPr>
            </w:pPr>
            <w:r w:rsidRPr="00BE78CA">
              <w:rPr>
                <w:rFonts w:cs="Calibri"/>
                <w:szCs w:val="16"/>
              </w:rPr>
              <w:t>1429.3</w:t>
            </w:r>
          </w:p>
        </w:tc>
        <w:tc>
          <w:tcPr>
            <w:tcW w:w="854" w:type="dxa"/>
            <w:tcBorders>
              <w:top w:val="single" w:sz="4" w:space="0" w:color="365F91"/>
              <w:left w:val="nil"/>
              <w:bottom w:val="single" w:sz="4" w:space="0" w:color="365F91"/>
              <w:right w:val="nil"/>
            </w:tcBorders>
            <w:shd w:val="clear" w:color="auto" w:fill="auto"/>
            <w:vAlign w:val="bottom"/>
          </w:tcPr>
          <w:p w14:paraId="59D1D683" w14:textId="77777777" w:rsidR="00F02481" w:rsidRPr="00BE78CA" w:rsidRDefault="00F02481" w:rsidP="00DB1536">
            <w:pPr>
              <w:pStyle w:val="TableText"/>
              <w:spacing w:before="50" w:after="50"/>
              <w:jc w:val="center"/>
              <w:rPr>
                <w:rFonts w:cs="Calibri"/>
                <w:szCs w:val="16"/>
              </w:rPr>
            </w:pPr>
            <w:r w:rsidRPr="00BE78CA">
              <w:rPr>
                <w:rFonts w:cs="Calibri"/>
                <w:szCs w:val="16"/>
              </w:rPr>
              <w:t>1199.0</w:t>
            </w:r>
          </w:p>
        </w:tc>
        <w:tc>
          <w:tcPr>
            <w:tcW w:w="712" w:type="dxa"/>
            <w:tcBorders>
              <w:top w:val="single" w:sz="4" w:space="0" w:color="365F91"/>
              <w:left w:val="nil"/>
              <w:bottom w:val="single" w:sz="4" w:space="0" w:color="365F91"/>
              <w:right w:val="nil"/>
            </w:tcBorders>
            <w:shd w:val="clear" w:color="auto" w:fill="auto"/>
            <w:vAlign w:val="bottom"/>
          </w:tcPr>
          <w:p w14:paraId="621F4591" w14:textId="77777777" w:rsidR="00F02481" w:rsidRPr="00BE78CA" w:rsidRDefault="00F02481" w:rsidP="00DB1536">
            <w:pPr>
              <w:pStyle w:val="TableText"/>
              <w:spacing w:before="50" w:after="50"/>
              <w:jc w:val="center"/>
              <w:rPr>
                <w:rFonts w:cs="Calibri"/>
                <w:szCs w:val="16"/>
              </w:rPr>
            </w:pPr>
            <w:r w:rsidRPr="00BE78CA">
              <w:rPr>
                <w:rFonts w:cs="Calibri"/>
                <w:szCs w:val="16"/>
              </w:rPr>
              <w:t>520.6</w:t>
            </w:r>
          </w:p>
        </w:tc>
        <w:tc>
          <w:tcPr>
            <w:tcW w:w="1095" w:type="dxa"/>
            <w:tcBorders>
              <w:top w:val="single" w:sz="4" w:space="0" w:color="365F91"/>
              <w:left w:val="nil"/>
              <w:bottom w:val="single" w:sz="4" w:space="0" w:color="365F91"/>
              <w:right w:val="nil"/>
            </w:tcBorders>
            <w:shd w:val="clear" w:color="auto" w:fill="auto"/>
            <w:vAlign w:val="bottom"/>
          </w:tcPr>
          <w:p w14:paraId="64BCADAE" w14:textId="77777777" w:rsidR="00F02481" w:rsidRPr="00BE78CA" w:rsidRDefault="00F02481" w:rsidP="00DB1536">
            <w:pPr>
              <w:pStyle w:val="TableText"/>
              <w:spacing w:before="50" w:after="50"/>
              <w:jc w:val="center"/>
              <w:rPr>
                <w:rFonts w:cs="Calibri"/>
                <w:szCs w:val="16"/>
              </w:rPr>
            </w:pPr>
            <w:r w:rsidRPr="00BE78CA">
              <w:rPr>
                <w:rFonts w:cs="Calibri"/>
                <w:szCs w:val="16"/>
              </w:rPr>
              <w:t>18.4</w:t>
            </w:r>
          </w:p>
        </w:tc>
        <w:tc>
          <w:tcPr>
            <w:tcW w:w="1153" w:type="dxa"/>
            <w:tcBorders>
              <w:top w:val="single" w:sz="4" w:space="0" w:color="365F91"/>
              <w:left w:val="nil"/>
              <w:bottom w:val="single" w:sz="4" w:space="0" w:color="365F91"/>
              <w:right w:val="nil"/>
            </w:tcBorders>
            <w:shd w:val="clear" w:color="auto" w:fill="auto"/>
            <w:vAlign w:val="bottom"/>
          </w:tcPr>
          <w:p w14:paraId="355FDC88" w14:textId="77777777" w:rsidR="00F02481" w:rsidRPr="00BE78CA" w:rsidRDefault="00F02481" w:rsidP="00DB1536">
            <w:pPr>
              <w:pStyle w:val="TableText"/>
              <w:spacing w:before="50" w:after="50"/>
              <w:jc w:val="center"/>
              <w:rPr>
                <w:rFonts w:cs="Calibri"/>
                <w:szCs w:val="16"/>
              </w:rPr>
            </w:pPr>
            <w:r w:rsidRPr="00BE78CA">
              <w:rPr>
                <w:rFonts w:cs="Calibri"/>
                <w:szCs w:val="16"/>
              </w:rPr>
              <w:t>3.6</w:t>
            </w:r>
          </w:p>
        </w:tc>
      </w:tr>
      <w:tr w:rsidR="00F02481" w:rsidRPr="00BE78CA" w14:paraId="756A1A08" w14:textId="77777777" w:rsidTr="007D5931">
        <w:tc>
          <w:tcPr>
            <w:tcW w:w="816" w:type="dxa"/>
            <w:vMerge/>
            <w:tcBorders>
              <w:left w:val="nil"/>
              <w:right w:val="nil"/>
            </w:tcBorders>
            <w:shd w:val="clear" w:color="auto" w:fill="auto"/>
          </w:tcPr>
          <w:p w14:paraId="3275BD48" w14:textId="77777777" w:rsidR="00F02481" w:rsidRPr="00BE78CA" w:rsidRDefault="00F02481" w:rsidP="00DB1536">
            <w:pPr>
              <w:pStyle w:val="TableText"/>
              <w:spacing w:before="50" w:after="50"/>
              <w:rPr>
                <w:rFonts w:cs="Calibri"/>
                <w:szCs w:val="16"/>
              </w:rPr>
            </w:pPr>
          </w:p>
        </w:tc>
        <w:tc>
          <w:tcPr>
            <w:tcW w:w="2303" w:type="dxa"/>
            <w:tcBorders>
              <w:top w:val="single" w:sz="4" w:space="0" w:color="365F91"/>
              <w:left w:val="nil"/>
              <w:bottom w:val="single" w:sz="4" w:space="0" w:color="365F91"/>
              <w:right w:val="nil"/>
            </w:tcBorders>
            <w:shd w:val="clear" w:color="auto" w:fill="auto"/>
            <w:vAlign w:val="bottom"/>
          </w:tcPr>
          <w:p w14:paraId="69EB3EAF" w14:textId="77777777" w:rsidR="00F02481" w:rsidRPr="00BE78CA" w:rsidRDefault="00F02481" w:rsidP="00DB1536">
            <w:pPr>
              <w:pStyle w:val="TableText"/>
              <w:spacing w:before="50" w:after="50"/>
              <w:rPr>
                <w:rFonts w:cs="Calibri"/>
                <w:szCs w:val="16"/>
              </w:rPr>
            </w:pPr>
            <w:r w:rsidRPr="00BE78CA">
              <w:rPr>
                <w:rFonts w:cs="Calibri"/>
                <w:szCs w:val="16"/>
              </w:rPr>
              <w:t>Organic fertilisers (animal manure spread on pasture)</w:t>
            </w:r>
          </w:p>
        </w:tc>
        <w:tc>
          <w:tcPr>
            <w:tcW w:w="850" w:type="dxa"/>
            <w:tcBorders>
              <w:top w:val="single" w:sz="4" w:space="0" w:color="365F91"/>
              <w:left w:val="nil"/>
              <w:bottom w:val="single" w:sz="4" w:space="0" w:color="365F91"/>
              <w:right w:val="nil"/>
            </w:tcBorders>
            <w:shd w:val="clear" w:color="auto" w:fill="auto"/>
            <w:vAlign w:val="bottom"/>
          </w:tcPr>
          <w:p w14:paraId="00D09D04" w14:textId="77777777" w:rsidR="00F02481" w:rsidRPr="00BE78CA" w:rsidRDefault="00F02481" w:rsidP="00DB1536">
            <w:pPr>
              <w:pStyle w:val="TableText"/>
              <w:spacing w:before="50" w:after="50"/>
              <w:jc w:val="center"/>
              <w:rPr>
                <w:rFonts w:cs="Calibri"/>
                <w:szCs w:val="16"/>
              </w:rPr>
            </w:pPr>
            <w:r w:rsidRPr="00BE78CA">
              <w:rPr>
                <w:rFonts w:cs="Calibri"/>
                <w:szCs w:val="16"/>
              </w:rPr>
              <w:t>36.3</w:t>
            </w:r>
          </w:p>
        </w:tc>
        <w:tc>
          <w:tcPr>
            <w:tcW w:w="722" w:type="dxa"/>
            <w:tcBorders>
              <w:top w:val="single" w:sz="4" w:space="0" w:color="365F91"/>
              <w:left w:val="nil"/>
              <w:bottom w:val="single" w:sz="4" w:space="0" w:color="365F91"/>
              <w:right w:val="nil"/>
            </w:tcBorders>
            <w:shd w:val="clear" w:color="auto" w:fill="auto"/>
            <w:vAlign w:val="bottom"/>
          </w:tcPr>
          <w:p w14:paraId="5E2442F8" w14:textId="77777777" w:rsidR="00F02481" w:rsidRPr="00BE78CA" w:rsidRDefault="00F02481" w:rsidP="00DB1536">
            <w:pPr>
              <w:pStyle w:val="TableText"/>
              <w:spacing w:before="50" w:after="50"/>
              <w:jc w:val="center"/>
              <w:rPr>
                <w:rFonts w:cs="Calibri"/>
                <w:szCs w:val="16"/>
              </w:rPr>
            </w:pPr>
            <w:r w:rsidRPr="00BE78CA">
              <w:rPr>
                <w:rFonts w:cs="Calibri"/>
                <w:szCs w:val="16"/>
              </w:rPr>
              <w:t>76.9</w:t>
            </w:r>
          </w:p>
        </w:tc>
        <w:tc>
          <w:tcPr>
            <w:tcW w:w="854" w:type="dxa"/>
            <w:tcBorders>
              <w:top w:val="single" w:sz="4" w:space="0" w:color="365F91"/>
              <w:left w:val="nil"/>
              <w:bottom w:val="single" w:sz="4" w:space="0" w:color="365F91"/>
              <w:right w:val="nil"/>
            </w:tcBorders>
            <w:shd w:val="clear" w:color="auto" w:fill="auto"/>
            <w:vAlign w:val="bottom"/>
          </w:tcPr>
          <w:p w14:paraId="302A1DDB" w14:textId="77777777" w:rsidR="00F02481" w:rsidRPr="00BE78CA" w:rsidRDefault="00F02481" w:rsidP="00DB1536">
            <w:pPr>
              <w:pStyle w:val="TableText"/>
              <w:spacing w:before="50" w:after="50"/>
              <w:jc w:val="center"/>
              <w:rPr>
                <w:rFonts w:cs="Calibri"/>
                <w:szCs w:val="16"/>
              </w:rPr>
            </w:pPr>
            <w:r w:rsidRPr="00BE78CA">
              <w:rPr>
                <w:rFonts w:cs="Calibri"/>
                <w:szCs w:val="16"/>
              </w:rPr>
              <w:t>40.7</w:t>
            </w:r>
          </w:p>
        </w:tc>
        <w:tc>
          <w:tcPr>
            <w:tcW w:w="712" w:type="dxa"/>
            <w:tcBorders>
              <w:top w:val="single" w:sz="4" w:space="0" w:color="365F91"/>
              <w:left w:val="nil"/>
              <w:bottom w:val="single" w:sz="4" w:space="0" w:color="365F91"/>
              <w:right w:val="nil"/>
            </w:tcBorders>
            <w:shd w:val="clear" w:color="auto" w:fill="auto"/>
            <w:vAlign w:val="bottom"/>
          </w:tcPr>
          <w:p w14:paraId="5AC81FDE" w14:textId="77777777" w:rsidR="00F02481" w:rsidRPr="00BE78CA" w:rsidRDefault="00F02481" w:rsidP="00DB1536">
            <w:pPr>
              <w:pStyle w:val="TableText"/>
              <w:spacing w:before="50" w:after="50"/>
              <w:jc w:val="center"/>
              <w:rPr>
                <w:rFonts w:cs="Calibri"/>
                <w:szCs w:val="16"/>
              </w:rPr>
            </w:pPr>
            <w:r w:rsidRPr="00BE78CA">
              <w:rPr>
                <w:rFonts w:cs="Calibri"/>
                <w:szCs w:val="16"/>
              </w:rPr>
              <w:t>112.2</w:t>
            </w:r>
          </w:p>
        </w:tc>
        <w:tc>
          <w:tcPr>
            <w:tcW w:w="1095" w:type="dxa"/>
            <w:tcBorders>
              <w:top w:val="single" w:sz="4" w:space="0" w:color="365F91"/>
              <w:left w:val="nil"/>
              <w:bottom w:val="single" w:sz="4" w:space="0" w:color="365F91"/>
              <w:right w:val="nil"/>
            </w:tcBorders>
            <w:shd w:val="clear" w:color="auto" w:fill="auto"/>
            <w:vAlign w:val="bottom"/>
          </w:tcPr>
          <w:p w14:paraId="4A7B6229" w14:textId="77777777" w:rsidR="00F02481" w:rsidRPr="00BE78CA" w:rsidRDefault="00F02481" w:rsidP="00DB1536">
            <w:pPr>
              <w:pStyle w:val="TableText"/>
              <w:spacing w:before="50" w:after="50"/>
              <w:jc w:val="center"/>
              <w:rPr>
                <w:rFonts w:cs="Calibri"/>
                <w:szCs w:val="16"/>
              </w:rPr>
            </w:pPr>
            <w:r w:rsidRPr="00BE78CA">
              <w:rPr>
                <w:rFonts w:cs="Calibri"/>
                <w:szCs w:val="16"/>
              </w:rPr>
              <w:t>1.0</w:t>
            </w:r>
          </w:p>
        </w:tc>
        <w:tc>
          <w:tcPr>
            <w:tcW w:w="1153" w:type="dxa"/>
            <w:tcBorders>
              <w:top w:val="single" w:sz="4" w:space="0" w:color="365F91"/>
              <w:left w:val="nil"/>
              <w:bottom w:val="single" w:sz="4" w:space="0" w:color="365F91"/>
              <w:right w:val="nil"/>
            </w:tcBorders>
            <w:shd w:val="clear" w:color="auto" w:fill="auto"/>
            <w:vAlign w:val="bottom"/>
          </w:tcPr>
          <w:p w14:paraId="7A71A8EA" w14:textId="77777777" w:rsidR="00F02481" w:rsidRPr="00BE78CA" w:rsidRDefault="00F02481" w:rsidP="00DB1536">
            <w:pPr>
              <w:pStyle w:val="TableText"/>
              <w:spacing w:before="50" w:after="50"/>
              <w:jc w:val="center"/>
              <w:rPr>
                <w:rFonts w:cs="Calibri"/>
                <w:szCs w:val="16"/>
              </w:rPr>
            </w:pPr>
            <w:r w:rsidRPr="00BE78CA">
              <w:rPr>
                <w:rFonts w:cs="Calibri"/>
                <w:szCs w:val="16"/>
              </w:rPr>
              <w:t>0.2</w:t>
            </w:r>
          </w:p>
        </w:tc>
      </w:tr>
      <w:tr w:rsidR="00F02481" w:rsidRPr="00BE78CA" w14:paraId="26FA74FA" w14:textId="77777777" w:rsidTr="007D5931">
        <w:tc>
          <w:tcPr>
            <w:tcW w:w="816" w:type="dxa"/>
            <w:vMerge/>
            <w:tcBorders>
              <w:left w:val="nil"/>
              <w:right w:val="nil"/>
            </w:tcBorders>
            <w:shd w:val="clear" w:color="auto" w:fill="auto"/>
          </w:tcPr>
          <w:p w14:paraId="02759D05" w14:textId="77777777" w:rsidR="00F02481" w:rsidRPr="00BE78CA" w:rsidRDefault="00F02481" w:rsidP="00DB1536">
            <w:pPr>
              <w:pStyle w:val="TableText"/>
              <w:spacing w:before="50" w:after="50"/>
              <w:rPr>
                <w:rFonts w:cs="Calibri"/>
                <w:szCs w:val="16"/>
              </w:rPr>
            </w:pPr>
          </w:p>
        </w:tc>
        <w:tc>
          <w:tcPr>
            <w:tcW w:w="2303" w:type="dxa"/>
            <w:tcBorders>
              <w:top w:val="single" w:sz="4" w:space="0" w:color="365F91"/>
              <w:left w:val="nil"/>
              <w:bottom w:val="single" w:sz="4" w:space="0" w:color="365F91"/>
              <w:right w:val="nil"/>
            </w:tcBorders>
            <w:shd w:val="clear" w:color="auto" w:fill="auto"/>
            <w:vAlign w:val="bottom"/>
          </w:tcPr>
          <w:p w14:paraId="751582E2" w14:textId="77777777" w:rsidR="00F02481" w:rsidRPr="00BE78CA" w:rsidRDefault="00F02481" w:rsidP="00DB1536">
            <w:pPr>
              <w:pStyle w:val="TableText"/>
              <w:spacing w:before="50" w:after="50"/>
              <w:rPr>
                <w:rFonts w:cs="Calibri"/>
                <w:szCs w:val="16"/>
              </w:rPr>
            </w:pPr>
            <w:r w:rsidRPr="00BE78CA">
              <w:rPr>
                <w:rFonts w:cs="Calibri"/>
                <w:szCs w:val="16"/>
              </w:rPr>
              <w:t>Pasture, range and paddock manure</w:t>
            </w:r>
          </w:p>
        </w:tc>
        <w:tc>
          <w:tcPr>
            <w:tcW w:w="850" w:type="dxa"/>
            <w:tcBorders>
              <w:top w:val="single" w:sz="4" w:space="0" w:color="365F91"/>
              <w:left w:val="nil"/>
              <w:bottom w:val="single" w:sz="4" w:space="0" w:color="365F91"/>
              <w:right w:val="nil"/>
            </w:tcBorders>
            <w:shd w:val="clear" w:color="auto" w:fill="auto"/>
            <w:vAlign w:val="bottom"/>
          </w:tcPr>
          <w:p w14:paraId="554B0F8A" w14:textId="77777777" w:rsidR="00F02481" w:rsidRPr="00BE78CA" w:rsidRDefault="00F02481" w:rsidP="00DB1536">
            <w:pPr>
              <w:pStyle w:val="TableText"/>
              <w:spacing w:before="50" w:after="50"/>
              <w:jc w:val="center"/>
              <w:rPr>
                <w:rFonts w:cs="Calibri"/>
                <w:szCs w:val="16"/>
              </w:rPr>
            </w:pPr>
            <w:r w:rsidRPr="00BE78CA">
              <w:rPr>
                <w:rFonts w:cs="Calibri"/>
                <w:szCs w:val="16"/>
              </w:rPr>
              <w:t>3,068.6</w:t>
            </w:r>
          </w:p>
        </w:tc>
        <w:tc>
          <w:tcPr>
            <w:tcW w:w="722" w:type="dxa"/>
            <w:tcBorders>
              <w:top w:val="single" w:sz="4" w:space="0" w:color="365F91"/>
              <w:left w:val="nil"/>
              <w:bottom w:val="single" w:sz="4" w:space="0" w:color="365F91"/>
              <w:right w:val="nil"/>
            </w:tcBorders>
            <w:shd w:val="clear" w:color="auto" w:fill="auto"/>
            <w:vAlign w:val="bottom"/>
          </w:tcPr>
          <w:p w14:paraId="3BA00038" w14:textId="77777777" w:rsidR="00F02481" w:rsidRPr="00BE78CA" w:rsidRDefault="00F02481" w:rsidP="00DB1536">
            <w:pPr>
              <w:pStyle w:val="TableText"/>
              <w:spacing w:before="50" w:after="50"/>
              <w:jc w:val="center"/>
              <w:rPr>
                <w:rFonts w:cs="Calibri"/>
                <w:szCs w:val="16"/>
              </w:rPr>
            </w:pPr>
            <w:r w:rsidRPr="00BE78CA">
              <w:rPr>
                <w:rFonts w:cs="Calibri"/>
                <w:szCs w:val="16"/>
              </w:rPr>
              <w:t>3,899.3</w:t>
            </w:r>
          </w:p>
        </w:tc>
        <w:tc>
          <w:tcPr>
            <w:tcW w:w="854" w:type="dxa"/>
            <w:tcBorders>
              <w:top w:val="single" w:sz="4" w:space="0" w:color="365F91"/>
              <w:left w:val="nil"/>
              <w:bottom w:val="single" w:sz="4" w:space="0" w:color="365F91"/>
              <w:right w:val="nil"/>
            </w:tcBorders>
            <w:shd w:val="clear" w:color="auto" w:fill="auto"/>
            <w:vAlign w:val="bottom"/>
          </w:tcPr>
          <w:p w14:paraId="04352B14" w14:textId="77777777" w:rsidR="00F02481" w:rsidRPr="00BE78CA" w:rsidRDefault="00F02481" w:rsidP="00DB1536">
            <w:pPr>
              <w:pStyle w:val="TableText"/>
              <w:spacing w:before="50" w:after="50"/>
              <w:jc w:val="center"/>
              <w:rPr>
                <w:rFonts w:cs="Calibri"/>
                <w:szCs w:val="16"/>
              </w:rPr>
            </w:pPr>
            <w:r w:rsidRPr="00BE78CA">
              <w:rPr>
                <w:rFonts w:cs="Calibri"/>
                <w:szCs w:val="16"/>
              </w:rPr>
              <w:t>830.7</w:t>
            </w:r>
          </w:p>
        </w:tc>
        <w:tc>
          <w:tcPr>
            <w:tcW w:w="712" w:type="dxa"/>
            <w:tcBorders>
              <w:top w:val="single" w:sz="4" w:space="0" w:color="365F91"/>
              <w:left w:val="nil"/>
              <w:bottom w:val="single" w:sz="4" w:space="0" w:color="365F91"/>
              <w:right w:val="nil"/>
            </w:tcBorders>
            <w:shd w:val="clear" w:color="auto" w:fill="auto"/>
            <w:vAlign w:val="bottom"/>
          </w:tcPr>
          <w:p w14:paraId="06C263BA" w14:textId="77777777" w:rsidR="00F02481" w:rsidRPr="00BE78CA" w:rsidRDefault="00F02481" w:rsidP="00DB1536">
            <w:pPr>
              <w:pStyle w:val="TableText"/>
              <w:spacing w:before="50" w:after="50"/>
              <w:jc w:val="center"/>
              <w:rPr>
                <w:rFonts w:cs="Calibri"/>
                <w:szCs w:val="16"/>
              </w:rPr>
            </w:pPr>
            <w:r w:rsidRPr="00BE78CA">
              <w:rPr>
                <w:rFonts w:cs="Calibri"/>
                <w:szCs w:val="16"/>
              </w:rPr>
              <w:t>27.1</w:t>
            </w:r>
          </w:p>
        </w:tc>
        <w:tc>
          <w:tcPr>
            <w:tcW w:w="1095" w:type="dxa"/>
            <w:tcBorders>
              <w:top w:val="single" w:sz="4" w:space="0" w:color="365F91"/>
              <w:left w:val="nil"/>
              <w:bottom w:val="single" w:sz="4" w:space="0" w:color="365F91"/>
              <w:right w:val="nil"/>
            </w:tcBorders>
            <w:shd w:val="clear" w:color="auto" w:fill="auto"/>
            <w:vAlign w:val="bottom"/>
          </w:tcPr>
          <w:p w14:paraId="6A7898A8" w14:textId="77777777" w:rsidR="00F02481" w:rsidRPr="00BE78CA" w:rsidRDefault="00F02481" w:rsidP="00DB1536">
            <w:pPr>
              <w:pStyle w:val="TableText"/>
              <w:spacing w:before="50" w:after="50"/>
              <w:jc w:val="center"/>
              <w:rPr>
                <w:rFonts w:cs="Calibri"/>
                <w:szCs w:val="16"/>
              </w:rPr>
            </w:pPr>
            <w:r w:rsidRPr="00BE78CA">
              <w:rPr>
                <w:rFonts w:cs="Calibri"/>
                <w:szCs w:val="16"/>
              </w:rPr>
              <w:t>50.2</w:t>
            </w:r>
          </w:p>
        </w:tc>
        <w:tc>
          <w:tcPr>
            <w:tcW w:w="1153" w:type="dxa"/>
            <w:tcBorders>
              <w:top w:val="single" w:sz="4" w:space="0" w:color="365F91"/>
              <w:left w:val="nil"/>
              <w:bottom w:val="single" w:sz="4" w:space="0" w:color="365F91"/>
              <w:right w:val="nil"/>
            </w:tcBorders>
            <w:shd w:val="clear" w:color="auto" w:fill="auto"/>
            <w:vAlign w:val="bottom"/>
          </w:tcPr>
          <w:p w14:paraId="2F8546D0" w14:textId="77777777" w:rsidR="00F02481" w:rsidRPr="00BE78CA" w:rsidRDefault="00F02481" w:rsidP="00DB1536">
            <w:pPr>
              <w:pStyle w:val="TableText"/>
              <w:spacing w:before="50" w:after="50"/>
              <w:jc w:val="center"/>
              <w:rPr>
                <w:rFonts w:cs="Calibri"/>
                <w:szCs w:val="16"/>
              </w:rPr>
            </w:pPr>
            <w:r w:rsidRPr="00BE78CA">
              <w:rPr>
                <w:rFonts w:cs="Calibri"/>
                <w:szCs w:val="16"/>
              </w:rPr>
              <w:t>9.8</w:t>
            </w:r>
          </w:p>
        </w:tc>
      </w:tr>
      <w:tr w:rsidR="00F02481" w:rsidRPr="00BE78CA" w14:paraId="3C6DA342" w14:textId="77777777" w:rsidTr="007D5931">
        <w:tc>
          <w:tcPr>
            <w:tcW w:w="816" w:type="dxa"/>
            <w:vMerge/>
            <w:tcBorders>
              <w:left w:val="nil"/>
              <w:right w:val="nil"/>
            </w:tcBorders>
            <w:shd w:val="clear" w:color="auto" w:fill="auto"/>
          </w:tcPr>
          <w:p w14:paraId="7166655F" w14:textId="77777777" w:rsidR="00F02481" w:rsidRPr="00BE78CA" w:rsidRDefault="00F02481" w:rsidP="00DB1536">
            <w:pPr>
              <w:pStyle w:val="TableText"/>
              <w:spacing w:before="50" w:after="50"/>
              <w:rPr>
                <w:rFonts w:cs="Calibri"/>
                <w:szCs w:val="16"/>
              </w:rPr>
            </w:pPr>
          </w:p>
        </w:tc>
        <w:tc>
          <w:tcPr>
            <w:tcW w:w="2303" w:type="dxa"/>
            <w:tcBorders>
              <w:top w:val="single" w:sz="4" w:space="0" w:color="365F91"/>
              <w:left w:val="nil"/>
              <w:bottom w:val="single" w:sz="4" w:space="0" w:color="365F91"/>
              <w:right w:val="nil"/>
            </w:tcBorders>
            <w:shd w:val="clear" w:color="auto" w:fill="auto"/>
            <w:vAlign w:val="bottom"/>
          </w:tcPr>
          <w:p w14:paraId="004BE374" w14:textId="77777777" w:rsidR="00F02481" w:rsidRPr="00BE78CA" w:rsidRDefault="00F02481" w:rsidP="00DB1536">
            <w:pPr>
              <w:pStyle w:val="TableText"/>
              <w:spacing w:before="50" w:after="50"/>
              <w:rPr>
                <w:rFonts w:cs="Calibri"/>
                <w:szCs w:val="16"/>
              </w:rPr>
            </w:pPr>
            <w:r w:rsidRPr="00BE78CA">
              <w:rPr>
                <w:rFonts w:cs="Calibri"/>
                <w:szCs w:val="16"/>
              </w:rPr>
              <w:t xml:space="preserve">Crop residue </w:t>
            </w:r>
          </w:p>
        </w:tc>
        <w:tc>
          <w:tcPr>
            <w:tcW w:w="850" w:type="dxa"/>
            <w:tcBorders>
              <w:top w:val="single" w:sz="4" w:space="0" w:color="365F91"/>
              <w:left w:val="nil"/>
              <w:bottom w:val="single" w:sz="4" w:space="0" w:color="365F91"/>
              <w:right w:val="nil"/>
            </w:tcBorders>
            <w:shd w:val="clear" w:color="auto" w:fill="auto"/>
            <w:vAlign w:val="bottom"/>
          </w:tcPr>
          <w:p w14:paraId="7A618904" w14:textId="77777777" w:rsidR="00F02481" w:rsidRPr="00BE78CA" w:rsidRDefault="00F02481" w:rsidP="00DB1536">
            <w:pPr>
              <w:pStyle w:val="TableText"/>
              <w:spacing w:before="50" w:after="50"/>
              <w:jc w:val="center"/>
              <w:rPr>
                <w:rFonts w:cs="Calibri"/>
                <w:szCs w:val="16"/>
              </w:rPr>
            </w:pPr>
            <w:r w:rsidRPr="00BE78CA">
              <w:rPr>
                <w:rFonts w:cs="Calibri"/>
                <w:szCs w:val="16"/>
              </w:rPr>
              <w:t>175.5</w:t>
            </w:r>
          </w:p>
        </w:tc>
        <w:tc>
          <w:tcPr>
            <w:tcW w:w="722" w:type="dxa"/>
            <w:tcBorders>
              <w:top w:val="single" w:sz="4" w:space="0" w:color="365F91"/>
              <w:left w:val="nil"/>
              <w:bottom w:val="single" w:sz="4" w:space="0" w:color="365F91"/>
              <w:right w:val="nil"/>
            </w:tcBorders>
            <w:shd w:val="clear" w:color="auto" w:fill="auto"/>
            <w:vAlign w:val="bottom"/>
          </w:tcPr>
          <w:p w14:paraId="0AD26148" w14:textId="77777777" w:rsidR="00F02481" w:rsidRPr="00BE78CA" w:rsidRDefault="00F02481" w:rsidP="00DB1536">
            <w:pPr>
              <w:pStyle w:val="TableText"/>
              <w:spacing w:before="50" w:after="50"/>
              <w:jc w:val="center"/>
              <w:rPr>
                <w:rFonts w:cs="Calibri"/>
                <w:szCs w:val="16"/>
              </w:rPr>
            </w:pPr>
            <w:r w:rsidRPr="00BE78CA">
              <w:rPr>
                <w:rFonts w:cs="Calibri"/>
                <w:szCs w:val="16"/>
              </w:rPr>
              <w:t>265.4</w:t>
            </w:r>
          </w:p>
        </w:tc>
        <w:tc>
          <w:tcPr>
            <w:tcW w:w="854" w:type="dxa"/>
            <w:tcBorders>
              <w:top w:val="single" w:sz="4" w:space="0" w:color="365F91"/>
              <w:left w:val="nil"/>
              <w:bottom w:val="single" w:sz="4" w:space="0" w:color="365F91"/>
              <w:right w:val="nil"/>
            </w:tcBorders>
            <w:shd w:val="clear" w:color="auto" w:fill="auto"/>
            <w:vAlign w:val="bottom"/>
          </w:tcPr>
          <w:p w14:paraId="43EACE90" w14:textId="77777777" w:rsidR="00F02481" w:rsidRPr="00BE78CA" w:rsidRDefault="00F02481" w:rsidP="00DB1536">
            <w:pPr>
              <w:pStyle w:val="TableText"/>
              <w:spacing w:before="50" w:after="50"/>
              <w:jc w:val="center"/>
              <w:rPr>
                <w:rFonts w:cs="Calibri"/>
                <w:szCs w:val="16"/>
              </w:rPr>
            </w:pPr>
            <w:r w:rsidRPr="00BE78CA">
              <w:rPr>
                <w:rFonts w:cs="Calibri"/>
                <w:szCs w:val="16"/>
              </w:rPr>
              <w:t>89.9</w:t>
            </w:r>
          </w:p>
        </w:tc>
        <w:tc>
          <w:tcPr>
            <w:tcW w:w="712" w:type="dxa"/>
            <w:tcBorders>
              <w:top w:val="single" w:sz="4" w:space="0" w:color="365F91"/>
              <w:left w:val="nil"/>
              <w:bottom w:val="single" w:sz="4" w:space="0" w:color="365F91"/>
              <w:right w:val="nil"/>
            </w:tcBorders>
            <w:shd w:val="clear" w:color="auto" w:fill="auto"/>
            <w:vAlign w:val="bottom"/>
          </w:tcPr>
          <w:p w14:paraId="22034820" w14:textId="77777777" w:rsidR="00F02481" w:rsidRPr="00BE78CA" w:rsidRDefault="00F02481" w:rsidP="00DB1536">
            <w:pPr>
              <w:pStyle w:val="TableText"/>
              <w:spacing w:before="50" w:after="50"/>
              <w:jc w:val="center"/>
              <w:rPr>
                <w:rFonts w:cs="Calibri"/>
                <w:szCs w:val="16"/>
              </w:rPr>
            </w:pPr>
            <w:r w:rsidRPr="00BE78CA">
              <w:rPr>
                <w:rFonts w:cs="Calibri"/>
                <w:szCs w:val="16"/>
              </w:rPr>
              <w:t>51.3</w:t>
            </w:r>
          </w:p>
        </w:tc>
        <w:tc>
          <w:tcPr>
            <w:tcW w:w="1095" w:type="dxa"/>
            <w:tcBorders>
              <w:top w:val="single" w:sz="4" w:space="0" w:color="365F91"/>
              <w:left w:val="nil"/>
              <w:bottom w:val="single" w:sz="4" w:space="0" w:color="365F91"/>
              <w:right w:val="nil"/>
            </w:tcBorders>
            <w:shd w:val="clear" w:color="auto" w:fill="auto"/>
            <w:vAlign w:val="bottom"/>
          </w:tcPr>
          <w:p w14:paraId="72F2B6FC" w14:textId="77777777" w:rsidR="00F02481" w:rsidRPr="00BE78CA" w:rsidRDefault="00F02481" w:rsidP="00DB1536">
            <w:pPr>
              <w:pStyle w:val="TableText"/>
              <w:spacing w:before="50" w:after="50"/>
              <w:jc w:val="center"/>
              <w:rPr>
                <w:rFonts w:cs="Calibri"/>
                <w:szCs w:val="16"/>
              </w:rPr>
            </w:pPr>
            <w:r w:rsidRPr="00BE78CA">
              <w:rPr>
                <w:rFonts w:cs="Calibri"/>
                <w:szCs w:val="16"/>
              </w:rPr>
              <w:t>3.4</w:t>
            </w:r>
          </w:p>
        </w:tc>
        <w:tc>
          <w:tcPr>
            <w:tcW w:w="1153" w:type="dxa"/>
            <w:tcBorders>
              <w:top w:val="single" w:sz="4" w:space="0" w:color="365F91"/>
              <w:left w:val="nil"/>
              <w:bottom w:val="single" w:sz="4" w:space="0" w:color="365F91"/>
              <w:right w:val="nil"/>
            </w:tcBorders>
            <w:shd w:val="clear" w:color="auto" w:fill="auto"/>
            <w:vAlign w:val="bottom"/>
          </w:tcPr>
          <w:p w14:paraId="6462C6B3" w14:textId="77777777" w:rsidR="00F02481" w:rsidRPr="00BE78CA" w:rsidRDefault="00F02481" w:rsidP="00DB1536">
            <w:pPr>
              <w:pStyle w:val="TableText"/>
              <w:spacing w:before="50" w:after="50"/>
              <w:jc w:val="center"/>
              <w:rPr>
                <w:rFonts w:cs="Calibri"/>
                <w:szCs w:val="16"/>
              </w:rPr>
            </w:pPr>
            <w:r w:rsidRPr="00BE78CA">
              <w:rPr>
                <w:rFonts w:cs="Calibri"/>
                <w:szCs w:val="16"/>
              </w:rPr>
              <w:t>0.7</w:t>
            </w:r>
          </w:p>
        </w:tc>
      </w:tr>
      <w:tr w:rsidR="00F02481" w:rsidRPr="00BE78CA" w14:paraId="2FCA3865" w14:textId="77777777" w:rsidTr="007D5931">
        <w:tc>
          <w:tcPr>
            <w:tcW w:w="816" w:type="dxa"/>
            <w:vMerge/>
            <w:tcBorders>
              <w:left w:val="nil"/>
              <w:right w:val="nil"/>
            </w:tcBorders>
            <w:shd w:val="clear" w:color="auto" w:fill="auto"/>
          </w:tcPr>
          <w:p w14:paraId="551CF9D6" w14:textId="77777777" w:rsidR="00F02481" w:rsidRPr="00BE78CA" w:rsidRDefault="00F02481" w:rsidP="00DB1536">
            <w:pPr>
              <w:pStyle w:val="TableText"/>
              <w:spacing w:before="50" w:after="50"/>
              <w:rPr>
                <w:rFonts w:cs="Calibri"/>
                <w:szCs w:val="16"/>
              </w:rPr>
            </w:pPr>
          </w:p>
        </w:tc>
        <w:tc>
          <w:tcPr>
            <w:tcW w:w="2303" w:type="dxa"/>
            <w:tcBorders>
              <w:top w:val="single" w:sz="4" w:space="0" w:color="365F91"/>
              <w:left w:val="nil"/>
              <w:bottom w:val="single" w:sz="4" w:space="0" w:color="365F91"/>
              <w:right w:val="nil"/>
            </w:tcBorders>
            <w:shd w:val="clear" w:color="auto" w:fill="auto"/>
            <w:vAlign w:val="bottom"/>
          </w:tcPr>
          <w:p w14:paraId="53A95EEF" w14:textId="77777777" w:rsidR="00F02481" w:rsidRPr="00BE78CA" w:rsidRDefault="00F02481" w:rsidP="00DB1536">
            <w:pPr>
              <w:pStyle w:val="TableText"/>
              <w:spacing w:before="50" w:after="50"/>
              <w:rPr>
                <w:rFonts w:cs="Calibri"/>
                <w:szCs w:val="16"/>
              </w:rPr>
            </w:pPr>
            <w:r w:rsidRPr="00BE78CA">
              <w:rPr>
                <w:rFonts w:cs="Calibri"/>
                <w:szCs w:val="16"/>
              </w:rPr>
              <w:t>Cropland nitrogen mineralisation from soil organic matter loss</w:t>
            </w:r>
          </w:p>
        </w:tc>
        <w:tc>
          <w:tcPr>
            <w:tcW w:w="850" w:type="dxa"/>
            <w:tcBorders>
              <w:top w:val="single" w:sz="4" w:space="0" w:color="365F91"/>
              <w:left w:val="nil"/>
              <w:bottom w:val="single" w:sz="4" w:space="0" w:color="365F91"/>
              <w:right w:val="nil"/>
            </w:tcBorders>
            <w:shd w:val="clear" w:color="auto" w:fill="auto"/>
            <w:vAlign w:val="bottom"/>
          </w:tcPr>
          <w:p w14:paraId="23ABC8A6" w14:textId="77777777" w:rsidR="00F02481" w:rsidRPr="00BE78CA" w:rsidRDefault="00F02481" w:rsidP="00DB1536">
            <w:pPr>
              <w:pStyle w:val="TableText"/>
              <w:spacing w:before="50" w:after="50"/>
              <w:jc w:val="center"/>
              <w:rPr>
                <w:rFonts w:cs="Calibri"/>
                <w:szCs w:val="16"/>
              </w:rPr>
            </w:pPr>
            <w:r w:rsidRPr="00BE78CA">
              <w:rPr>
                <w:rFonts w:cs="Calibri"/>
                <w:szCs w:val="16"/>
              </w:rPr>
              <w:t>0.03</w:t>
            </w:r>
          </w:p>
        </w:tc>
        <w:tc>
          <w:tcPr>
            <w:tcW w:w="722" w:type="dxa"/>
            <w:tcBorders>
              <w:top w:val="single" w:sz="4" w:space="0" w:color="365F91"/>
              <w:left w:val="nil"/>
              <w:bottom w:val="single" w:sz="4" w:space="0" w:color="365F91"/>
              <w:right w:val="nil"/>
            </w:tcBorders>
            <w:shd w:val="clear" w:color="auto" w:fill="auto"/>
            <w:vAlign w:val="bottom"/>
          </w:tcPr>
          <w:p w14:paraId="103D4945" w14:textId="77777777" w:rsidR="00F02481" w:rsidRPr="00BE78CA" w:rsidRDefault="00F02481" w:rsidP="00DB1536">
            <w:pPr>
              <w:pStyle w:val="TableText"/>
              <w:spacing w:before="50" w:after="50"/>
              <w:jc w:val="center"/>
              <w:rPr>
                <w:rFonts w:cs="Calibri"/>
                <w:szCs w:val="16"/>
              </w:rPr>
            </w:pPr>
            <w:r w:rsidRPr="00BE78CA">
              <w:rPr>
                <w:rFonts w:cs="Calibri"/>
                <w:szCs w:val="16"/>
              </w:rPr>
              <w:t>0.1</w:t>
            </w:r>
          </w:p>
        </w:tc>
        <w:tc>
          <w:tcPr>
            <w:tcW w:w="854" w:type="dxa"/>
            <w:tcBorders>
              <w:top w:val="single" w:sz="4" w:space="0" w:color="365F91"/>
              <w:left w:val="nil"/>
              <w:bottom w:val="single" w:sz="4" w:space="0" w:color="365F91"/>
              <w:right w:val="nil"/>
            </w:tcBorders>
            <w:shd w:val="clear" w:color="auto" w:fill="auto"/>
            <w:vAlign w:val="bottom"/>
          </w:tcPr>
          <w:p w14:paraId="1A30A20D" w14:textId="77777777" w:rsidR="00F02481" w:rsidRPr="00BE78CA" w:rsidRDefault="00F02481" w:rsidP="00DB1536">
            <w:pPr>
              <w:pStyle w:val="TableText"/>
              <w:spacing w:before="50" w:after="50"/>
              <w:jc w:val="center"/>
              <w:rPr>
                <w:rFonts w:cs="Calibri"/>
                <w:szCs w:val="16"/>
              </w:rPr>
            </w:pPr>
            <w:r w:rsidRPr="00BE78CA">
              <w:rPr>
                <w:rFonts w:cs="Calibri"/>
                <w:szCs w:val="16"/>
              </w:rPr>
              <w:t>0.1</w:t>
            </w:r>
          </w:p>
        </w:tc>
        <w:tc>
          <w:tcPr>
            <w:tcW w:w="712" w:type="dxa"/>
            <w:tcBorders>
              <w:top w:val="single" w:sz="4" w:space="0" w:color="365F91"/>
              <w:left w:val="nil"/>
              <w:bottom w:val="single" w:sz="4" w:space="0" w:color="365F91"/>
              <w:right w:val="nil"/>
            </w:tcBorders>
            <w:shd w:val="clear" w:color="auto" w:fill="auto"/>
            <w:vAlign w:val="bottom"/>
          </w:tcPr>
          <w:p w14:paraId="56C59939" w14:textId="77777777" w:rsidR="00F02481" w:rsidRPr="00BE78CA" w:rsidRDefault="00F02481" w:rsidP="00DB1536">
            <w:pPr>
              <w:pStyle w:val="TableText"/>
              <w:spacing w:before="50" w:after="50"/>
              <w:jc w:val="center"/>
              <w:rPr>
                <w:rFonts w:cs="Calibri"/>
                <w:szCs w:val="16"/>
              </w:rPr>
            </w:pPr>
            <w:r w:rsidRPr="00BE78CA">
              <w:rPr>
                <w:rFonts w:cs="Calibri"/>
                <w:szCs w:val="16"/>
              </w:rPr>
              <w:t>355.8</w:t>
            </w:r>
          </w:p>
        </w:tc>
        <w:tc>
          <w:tcPr>
            <w:tcW w:w="1095" w:type="dxa"/>
            <w:tcBorders>
              <w:top w:val="single" w:sz="4" w:space="0" w:color="365F91"/>
              <w:left w:val="nil"/>
              <w:bottom w:val="single" w:sz="4" w:space="0" w:color="365F91"/>
              <w:right w:val="nil"/>
            </w:tcBorders>
            <w:shd w:val="clear" w:color="auto" w:fill="auto"/>
            <w:vAlign w:val="bottom"/>
          </w:tcPr>
          <w:p w14:paraId="75940B00" w14:textId="77777777" w:rsidR="00F02481" w:rsidRPr="00BE78CA" w:rsidRDefault="00F02481" w:rsidP="00DB1536">
            <w:pPr>
              <w:pStyle w:val="TableText"/>
              <w:spacing w:before="50" w:after="50"/>
              <w:jc w:val="center"/>
              <w:rPr>
                <w:rFonts w:cs="Calibri"/>
                <w:szCs w:val="16"/>
              </w:rPr>
            </w:pPr>
            <w:r w:rsidRPr="00BE78CA">
              <w:rPr>
                <w:rFonts w:cs="Calibri"/>
                <w:szCs w:val="16"/>
              </w:rPr>
              <w:t>0.0</w:t>
            </w:r>
          </w:p>
        </w:tc>
        <w:tc>
          <w:tcPr>
            <w:tcW w:w="1153" w:type="dxa"/>
            <w:tcBorders>
              <w:top w:val="single" w:sz="4" w:space="0" w:color="365F91"/>
              <w:left w:val="nil"/>
              <w:bottom w:val="single" w:sz="4" w:space="0" w:color="365F91"/>
              <w:right w:val="nil"/>
            </w:tcBorders>
            <w:shd w:val="clear" w:color="auto" w:fill="auto"/>
            <w:vAlign w:val="bottom"/>
          </w:tcPr>
          <w:p w14:paraId="4B770366" w14:textId="77777777" w:rsidR="00F02481" w:rsidRPr="00BE78CA" w:rsidRDefault="00F02481" w:rsidP="00DB1536">
            <w:pPr>
              <w:pStyle w:val="TableText"/>
              <w:spacing w:before="50" w:after="50"/>
              <w:jc w:val="center"/>
              <w:rPr>
                <w:rFonts w:cs="Calibri"/>
                <w:szCs w:val="16"/>
              </w:rPr>
            </w:pPr>
            <w:r w:rsidRPr="00BE78CA">
              <w:rPr>
                <w:rFonts w:cs="Calibri"/>
                <w:szCs w:val="16"/>
              </w:rPr>
              <w:t>0.0</w:t>
            </w:r>
          </w:p>
        </w:tc>
      </w:tr>
      <w:tr w:rsidR="00F02481" w:rsidRPr="00BE78CA" w14:paraId="29BC5824" w14:textId="77777777" w:rsidTr="007D5931">
        <w:tc>
          <w:tcPr>
            <w:tcW w:w="816" w:type="dxa"/>
            <w:vMerge/>
            <w:tcBorders>
              <w:left w:val="nil"/>
              <w:bottom w:val="single" w:sz="4" w:space="0" w:color="365F91"/>
              <w:right w:val="nil"/>
            </w:tcBorders>
            <w:shd w:val="clear" w:color="auto" w:fill="auto"/>
          </w:tcPr>
          <w:p w14:paraId="7BE25A72" w14:textId="77777777" w:rsidR="00F02481" w:rsidRPr="00BE78CA" w:rsidRDefault="00F02481" w:rsidP="00DB1536">
            <w:pPr>
              <w:pStyle w:val="TableText"/>
              <w:spacing w:before="50" w:after="50"/>
              <w:rPr>
                <w:rFonts w:cs="Calibri"/>
                <w:szCs w:val="16"/>
              </w:rPr>
            </w:pPr>
          </w:p>
        </w:tc>
        <w:tc>
          <w:tcPr>
            <w:tcW w:w="2303" w:type="dxa"/>
            <w:tcBorders>
              <w:top w:val="single" w:sz="4" w:space="0" w:color="365F91"/>
              <w:left w:val="nil"/>
              <w:bottom w:val="single" w:sz="4" w:space="0" w:color="365F91"/>
              <w:right w:val="nil"/>
            </w:tcBorders>
            <w:shd w:val="clear" w:color="auto" w:fill="auto"/>
            <w:vAlign w:val="bottom"/>
          </w:tcPr>
          <w:p w14:paraId="35B4CCDD" w14:textId="77777777" w:rsidR="00F02481" w:rsidRPr="00BE78CA" w:rsidRDefault="00F02481" w:rsidP="00DB1536">
            <w:pPr>
              <w:pStyle w:val="TableText"/>
              <w:spacing w:before="50" w:after="50"/>
              <w:rPr>
                <w:rFonts w:cs="Calibri"/>
                <w:szCs w:val="16"/>
              </w:rPr>
            </w:pPr>
            <w:r w:rsidRPr="00BE78CA">
              <w:rPr>
                <w:rFonts w:cs="Calibri"/>
                <w:szCs w:val="16"/>
              </w:rPr>
              <w:t>Cultivation of organic soils</w:t>
            </w:r>
          </w:p>
        </w:tc>
        <w:tc>
          <w:tcPr>
            <w:tcW w:w="850" w:type="dxa"/>
            <w:tcBorders>
              <w:top w:val="single" w:sz="4" w:space="0" w:color="365F91"/>
              <w:left w:val="nil"/>
              <w:bottom w:val="single" w:sz="4" w:space="0" w:color="365F91"/>
              <w:right w:val="nil"/>
            </w:tcBorders>
            <w:shd w:val="clear" w:color="auto" w:fill="auto"/>
            <w:vAlign w:val="bottom"/>
          </w:tcPr>
          <w:p w14:paraId="74240117" w14:textId="77777777" w:rsidR="00F02481" w:rsidRPr="00BE78CA" w:rsidRDefault="00F02481" w:rsidP="00DB1536">
            <w:pPr>
              <w:pStyle w:val="TableText"/>
              <w:spacing w:before="50" w:after="50"/>
              <w:jc w:val="center"/>
              <w:rPr>
                <w:rFonts w:cs="Calibri"/>
                <w:szCs w:val="16"/>
              </w:rPr>
            </w:pPr>
            <w:r w:rsidRPr="00BE78CA">
              <w:rPr>
                <w:rFonts w:cs="Calibri"/>
                <w:szCs w:val="16"/>
              </w:rPr>
              <w:t>643.8</w:t>
            </w:r>
          </w:p>
        </w:tc>
        <w:tc>
          <w:tcPr>
            <w:tcW w:w="722" w:type="dxa"/>
            <w:tcBorders>
              <w:top w:val="single" w:sz="4" w:space="0" w:color="365F91"/>
              <w:left w:val="nil"/>
              <w:bottom w:val="single" w:sz="4" w:space="0" w:color="365F91"/>
              <w:right w:val="nil"/>
            </w:tcBorders>
            <w:shd w:val="clear" w:color="auto" w:fill="auto"/>
            <w:vAlign w:val="bottom"/>
          </w:tcPr>
          <w:p w14:paraId="244AC226" w14:textId="77777777" w:rsidR="00F02481" w:rsidRPr="00BE78CA" w:rsidRDefault="00F02481" w:rsidP="00DB1536">
            <w:pPr>
              <w:pStyle w:val="TableText"/>
              <w:spacing w:before="50" w:after="50"/>
              <w:jc w:val="center"/>
              <w:rPr>
                <w:rFonts w:cs="Calibri"/>
                <w:szCs w:val="16"/>
              </w:rPr>
            </w:pPr>
            <w:r w:rsidRPr="00BE78CA">
              <w:rPr>
                <w:rFonts w:cs="Calibri"/>
                <w:szCs w:val="16"/>
              </w:rPr>
              <w:t>653.0</w:t>
            </w:r>
          </w:p>
        </w:tc>
        <w:tc>
          <w:tcPr>
            <w:tcW w:w="854" w:type="dxa"/>
            <w:tcBorders>
              <w:top w:val="single" w:sz="4" w:space="0" w:color="365F91"/>
              <w:left w:val="nil"/>
              <w:bottom w:val="single" w:sz="4" w:space="0" w:color="365F91"/>
              <w:right w:val="nil"/>
            </w:tcBorders>
            <w:shd w:val="clear" w:color="auto" w:fill="auto"/>
            <w:vAlign w:val="bottom"/>
          </w:tcPr>
          <w:p w14:paraId="6306E9C5" w14:textId="77777777" w:rsidR="00F02481" w:rsidRPr="00BE78CA" w:rsidRDefault="00F02481" w:rsidP="00DB1536">
            <w:pPr>
              <w:pStyle w:val="TableText"/>
              <w:spacing w:before="50" w:after="50"/>
              <w:jc w:val="center"/>
              <w:rPr>
                <w:rFonts w:cs="Calibri"/>
                <w:szCs w:val="16"/>
              </w:rPr>
            </w:pPr>
            <w:r w:rsidRPr="00BE78CA">
              <w:rPr>
                <w:rFonts w:cs="Calibri"/>
                <w:szCs w:val="16"/>
              </w:rPr>
              <w:t>9.2</w:t>
            </w:r>
          </w:p>
        </w:tc>
        <w:tc>
          <w:tcPr>
            <w:tcW w:w="712" w:type="dxa"/>
            <w:tcBorders>
              <w:top w:val="single" w:sz="4" w:space="0" w:color="365F91"/>
              <w:left w:val="nil"/>
              <w:bottom w:val="single" w:sz="4" w:space="0" w:color="365F91"/>
              <w:right w:val="nil"/>
            </w:tcBorders>
            <w:shd w:val="clear" w:color="auto" w:fill="auto"/>
            <w:vAlign w:val="bottom"/>
          </w:tcPr>
          <w:p w14:paraId="1B430CBA" w14:textId="77777777" w:rsidR="00F02481" w:rsidRPr="00BE78CA" w:rsidRDefault="00F02481" w:rsidP="00DB1536">
            <w:pPr>
              <w:pStyle w:val="TableText"/>
              <w:spacing w:before="50" w:after="50"/>
              <w:jc w:val="center"/>
              <w:rPr>
                <w:rFonts w:cs="Calibri"/>
                <w:szCs w:val="16"/>
              </w:rPr>
            </w:pPr>
            <w:r w:rsidRPr="00BE78CA">
              <w:rPr>
                <w:rFonts w:cs="Calibri"/>
                <w:szCs w:val="16"/>
              </w:rPr>
              <w:t>1.4</w:t>
            </w:r>
          </w:p>
        </w:tc>
        <w:tc>
          <w:tcPr>
            <w:tcW w:w="1095" w:type="dxa"/>
            <w:tcBorders>
              <w:top w:val="single" w:sz="4" w:space="0" w:color="365F91"/>
              <w:left w:val="nil"/>
              <w:bottom w:val="single" w:sz="4" w:space="0" w:color="365F91"/>
              <w:right w:val="nil"/>
            </w:tcBorders>
            <w:shd w:val="clear" w:color="auto" w:fill="auto"/>
            <w:vAlign w:val="bottom"/>
          </w:tcPr>
          <w:p w14:paraId="764BED18" w14:textId="77777777" w:rsidR="00F02481" w:rsidRPr="00BE78CA" w:rsidRDefault="00F02481" w:rsidP="00DB1536">
            <w:pPr>
              <w:pStyle w:val="TableText"/>
              <w:spacing w:before="50" w:after="50"/>
              <w:jc w:val="center"/>
              <w:rPr>
                <w:rFonts w:cs="Calibri"/>
                <w:szCs w:val="16"/>
              </w:rPr>
            </w:pPr>
            <w:r w:rsidRPr="00BE78CA">
              <w:rPr>
                <w:rFonts w:cs="Calibri"/>
                <w:szCs w:val="16"/>
              </w:rPr>
              <w:t>8.4</w:t>
            </w:r>
          </w:p>
        </w:tc>
        <w:tc>
          <w:tcPr>
            <w:tcW w:w="1153" w:type="dxa"/>
            <w:tcBorders>
              <w:top w:val="single" w:sz="4" w:space="0" w:color="365F91"/>
              <w:left w:val="nil"/>
              <w:bottom w:val="single" w:sz="4" w:space="0" w:color="365F91"/>
              <w:right w:val="nil"/>
            </w:tcBorders>
            <w:shd w:val="clear" w:color="auto" w:fill="auto"/>
            <w:vAlign w:val="bottom"/>
          </w:tcPr>
          <w:p w14:paraId="59D3B464" w14:textId="77777777" w:rsidR="00F02481" w:rsidRPr="00BE78CA" w:rsidRDefault="00F02481" w:rsidP="00DB1536">
            <w:pPr>
              <w:pStyle w:val="TableText"/>
              <w:spacing w:before="50" w:after="50"/>
              <w:jc w:val="center"/>
              <w:rPr>
                <w:rFonts w:cs="Calibri"/>
                <w:szCs w:val="16"/>
              </w:rPr>
            </w:pPr>
            <w:r w:rsidRPr="00BE78CA">
              <w:rPr>
                <w:rFonts w:cs="Calibri"/>
                <w:szCs w:val="16"/>
              </w:rPr>
              <w:t>1.6</w:t>
            </w:r>
          </w:p>
        </w:tc>
      </w:tr>
      <w:tr w:rsidR="00F02481" w:rsidRPr="00BE78CA" w14:paraId="0C18C1D7" w14:textId="77777777" w:rsidTr="007D5931">
        <w:tc>
          <w:tcPr>
            <w:tcW w:w="816" w:type="dxa"/>
            <w:vMerge w:val="restart"/>
            <w:tcBorders>
              <w:top w:val="single" w:sz="4" w:space="0" w:color="365F91"/>
              <w:left w:val="nil"/>
              <w:bottom w:val="nil"/>
              <w:right w:val="nil"/>
            </w:tcBorders>
            <w:shd w:val="clear" w:color="auto" w:fill="auto"/>
          </w:tcPr>
          <w:p w14:paraId="398E2190" w14:textId="77777777" w:rsidR="00F02481" w:rsidRPr="00BE78CA" w:rsidRDefault="00F02481" w:rsidP="00DB1536">
            <w:pPr>
              <w:pStyle w:val="TableText"/>
              <w:spacing w:before="50" w:after="50"/>
              <w:rPr>
                <w:rFonts w:cs="Calibri"/>
                <w:szCs w:val="16"/>
              </w:rPr>
            </w:pPr>
            <w:r w:rsidRPr="00BE78CA">
              <w:rPr>
                <w:rFonts w:cs="Calibri"/>
                <w:szCs w:val="16"/>
              </w:rPr>
              <w:t>Indirect</w:t>
            </w:r>
          </w:p>
        </w:tc>
        <w:tc>
          <w:tcPr>
            <w:tcW w:w="2303" w:type="dxa"/>
            <w:tcBorders>
              <w:top w:val="single" w:sz="4" w:space="0" w:color="365F91"/>
              <w:left w:val="nil"/>
              <w:bottom w:val="single" w:sz="4" w:space="0" w:color="365F91"/>
              <w:right w:val="nil"/>
            </w:tcBorders>
            <w:shd w:val="clear" w:color="auto" w:fill="auto"/>
          </w:tcPr>
          <w:p w14:paraId="1CAA6BE7" w14:textId="77777777" w:rsidR="00F02481" w:rsidRPr="00BE78CA" w:rsidRDefault="00F02481" w:rsidP="00DB1536">
            <w:pPr>
              <w:pStyle w:val="TableText"/>
              <w:spacing w:before="50" w:after="50"/>
              <w:rPr>
                <w:rFonts w:cs="Calibri"/>
                <w:szCs w:val="16"/>
              </w:rPr>
            </w:pPr>
            <w:r w:rsidRPr="00BE78CA">
              <w:rPr>
                <w:rFonts w:cs="Calibri"/>
                <w:szCs w:val="16"/>
              </w:rPr>
              <w:t>Volatilisation</w:t>
            </w:r>
          </w:p>
        </w:tc>
        <w:tc>
          <w:tcPr>
            <w:tcW w:w="850" w:type="dxa"/>
            <w:tcBorders>
              <w:top w:val="single" w:sz="4" w:space="0" w:color="365F91"/>
              <w:left w:val="nil"/>
              <w:bottom w:val="single" w:sz="4" w:space="0" w:color="365F91"/>
              <w:right w:val="nil"/>
            </w:tcBorders>
            <w:shd w:val="clear" w:color="auto" w:fill="auto"/>
          </w:tcPr>
          <w:p w14:paraId="50FA478C" w14:textId="77777777" w:rsidR="00F02481" w:rsidRPr="00BE78CA" w:rsidRDefault="00F02481" w:rsidP="00DB1536">
            <w:pPr>
              <w:pStyle w:val="TableText"/>
              <w:spacing w:before="50" w:after="50"/>
              <w:jc w:val="center"/>
              <w:rPr>
                <w:rFonts w:cs="Calibri"/>
                <w:szCs w:val="16"/>
              </w:rPr>
            </w:pPr>
            <w:r w:rsidRPr="00BE78CA">
              <w:rPr>
                <w:rFonts w:cs="Calibri"/>
                <w:szCs w:val="16"/>
              </w:rPr>
              <w:t>735.1</w:t>
            </w:r>
          </w:p>
        </w:tc>
        <w:tc>
          <w:tcPr>
            <w:tcW w:w="722" w:type="dxa"/>
            <w:tcBorders>
              <w:top w:val="single" w:sz="4" w:space="0" w:color="365F91"/>
              <w:left w:val="nil"/>
              <w:bottom w:val="single" w:sz="4" w:space="0" w:color="365F91"/>
              <w:right w:val="nil"/>
            </w:tcBorders>
            <w:shd w:val="clear" w:color="auto" w:fill="auto"/>
          </w:tcPr>
          <w:p w14:paraId="2C979C67" w14:textId="77777777" w:rsidR="00F02481" w:rsidRPr="00BE78CA" w:rsidRDefault="00F02481" w:rsidP="00DB1536">
            <w:pPr>
              <w:pStyle w:val="TableText"/>
              <w:spacing w:before="50" w:after="50"/>
              <w:jc w:val="center"/>
              <w:rPr>
                <w:rFonts w:cs="Calibri"/>
                <w:szCs w:val="16"/>
              </w:rPr>
            </w:pPr>
            <w:r w:rsidRPr="00BE78CA">
              <w:rPr>
                <w:rFonts w:cs="Calibri"/>
                <w:szCs w:val="16"/>
              </w:rPr>
              <w:t>925.3</w:t>
            </w:r>
          </w:p>
        </w:tc>
        <w:tc>
          <w:tcPr>
            <w:tcW w:w="854" w:type="dxa"/>
            <w:tcBorders>
              <w:top w:val="single" w:sz="4" w:space="0" w:color="365F91"/>
              <w:left w:val="nil"/>
              <w:bottom w:val="single" w:sz="4" w:space="0" w:color="365F91"/>
              <w:right w:val="nil"/>
            </w:tcBorders>
            <w:shd w:val="clear" w:color="auto" w:fill="auto"/>
          </w:tcPr>
          <w:p w14:paraId="4F57ED64" w14:textId="77777777" w:rsidR="00F02481" w:rsidRPr="00BE78CA" w:rsidRDefault="00F02481" w:rsidP="00DB1536">
            <w:pPr>
              <w:pStyle w:val="TableText"/>
              <w:spacing w:before="50" w:after="50"/>
              <w:jc w:val="center"/>
              <w:rPr>
                <w:rFonts w:cs="Calibri"/>
                <w:szCs w:val="16"/>
              </w:rPr>
            </w:pPr>
            <w:r w:rsidRPr="00BE78CA">
              <w:rPr>
                <w:rFonts w:cs="Calibri"/>
                <w:szCs w:val="16"/>
              </w:rPr>
              <w:t>190.2</w:t>
            </w:r>
          </w:p>
        </w:tc>
        <w:tc>
          <w:tcPr>
            <w:tcW w:w="712" w:type="dxa"/>
            <w:tcBorders>
              <w:top w:val="single" w:sz="4" w:space="0" w:color="365F91"/>
              <w:left w:val="nil"/>
              <w:bottom w:val="single" w:sz="4" w:space="0" w:color="365F91"/>
              <w:right w:val="nil"/>
            </w:tcBorders>
            <w:shd w:val="clear" w:color="auto" w:fill="auto"/>
          </w:tcPr>
          <w:p w14:paraId="7B3AE439" w14:textId="77777777" w:rsidR="00F02481" w:rsidRPr="00BE78CA" w:rsidRDefault="00F02481" w:rsidP="00DB1536">
            <w:pPr>
              <w:pStyle w:val="TableText"/>
              <w:spacing w:before="50" w:after="50"/>
              <w:jc w:val="center"/>
              <w:rPr>
                <w:rFonts w:cs="Calibri"/>
                <w:szCs w:val="16"/>
              </w:rPr>
            </w:pPr>
            <w:r w:rsidRPr="00BE78CA">
              <w:rPr>
                <w:rFonts w:cs="Calibri"/>
                <w:szCs w:val="16"/>
              </w:rPr>
              <w:t>29.5</w:t>
            </w:r>
          </w:p>
        </w:tc>
        <w:tc>
          <w:tcPr>
            <w:tcW w:w="1095" w:type="dxa"/>
            <w:tcBorders>
              <w:top w:val="single" w:sz="4" w:space="0" w:color="365F91"/>
              <w:left w:val="nil"/>
              <w:bottom w:val="single" w:sz="4" w:space="0" w:color="365F91"/>
              <w:right w:val="nil"/>
            </w:tcBorders>
            <w:shd w:val="clear" w:color="auto" w:fill="auto"/>
          </w:tcPr>
          <w:p w14:paraId="1D52692D" w14:textId="77777777" w:rsidR="00F02481" w:rsidRPr="00BE78CA" w:rsidRDefault="00F02481" w:rsidP="00DB1536">
            <w:pPr>
              <w:pStyle w:val="TableText"/>
              <w:spacing w:before="50" w:after="50"/>
              <w:jc w:val="center"/>
              <w:rPr>
                <w:rFonts w:cs="Calibri"/>
                <w:szCs w:val="16"/>
              </w:rPr>
            </w:pPr>
            <w:r w:rsidRPr="00BE78CA">
              <w:rPr>
                <w:rFonts w:cs="Calibri"/>
                <w:szCs w:val="16"/>
              </w:rPr>
              <w:t>11.9</w:t>
            </w:r>
          </w:p>
        </w:tc>
        <w:tc>
          <w:tcPr>
            <w:tcW w:w="1153" w:type="dxa"/>
            <w:tcBorders>
              <w:top w:val="single" w:sz="4" w:space="0" w:color="365F91"/>
              <w:left w:val="nil"/>
              <w:bottom w:val="single" w:sz="4" w:space="0" w:color="365F91"/>
              <w:right w:val="nil"/>
            </w:tcBorders>
            <w:shd w:val="clear" w:color="auto" w:fill="auto"/>
          </w:tcPr>
          <w:p w14:paraId="7D99B098" w14:textId="77777777" w:rsidR="00F02481" w:rsidRPr="00BE78CA" w:rsidRDefault="00F02481" w:rsidP="00DB1536">
            <w:pPr>
              <w:pStyle w:val="TableText"/>
              <w:spacing w:before="50" w:after="50"/>
              <w:jc w:val="center"/>
              <w:rPr>
                <w:rFonts w:cs="Calibri"/>
                <w:szCs w:val="16"/>
              </w:rPr>
            </w:pPr>
            <w:r w:rsidRPr="00BE78CA">
              <w:rPr>
                <w:rFonts w:cs="Calibri"/>
                <w:szCs w:val="16"/>
              </w:rPr>
              <w:t>2.3</w:t>
            </w:r>
          </w:p>
        </w:tc>
      </w:tr>
      <w:tr w:rsidR="00F02481" w:rsidRPr="00BE78CA" w14:paraId="6ACDD616" w14:textId="77777777" w:rsidTr="007D5931">
        <w:tc>
          <w:tcPr>
            <w:tcW w:w="816" w:type="dxa"/>
            <w:vMerge/>
            <w:tcBorders>
              <w:top w:val="nil"/>
              <w:left w:val="nil"/>
              <w:bottom w:val="nil"/>
              <w:right w:val="nil"/>
            </w:tcBorders>
            <w:shd w:val="clear" w:color="auto" w:fill="auto"/>
          </w:tcPr>
          <w:p w14:paraId="2CD10A15" w14:textId="77777777" w:rsidR="00F02481" w:rsidRPr="00BE78CA" w:rsidRDefault="00F02481" w:rsidP="00DB1536">
            <w:pPr>
              <w:pStyle w:val="TableText"/>
              <w:spacing w:before="50" w:after="50"/>
              <w:rPr>
                <w:rFonts w:cs="Calibri"/>
                <w:szCs w:val="16"/>
              </w:rPr>
            </w:pPr>
          </w:p>
        </w:tc>
        <w:tc>
          <w:tcPr>
            <w:tcW w:w="2303" w:type="dxa"/>
            <w:tcBorders>
              <w:top w:val="single" w:sz="4" w:space="0" w:color="365F91"/>
              <w:left w:val="nil"/>
              <w:bottom w:val="nil"/>
              <w:right w:val="nil"/>
            </w:tcBorders>
            <w:shd w:val="clear" w:color="auto" w:fill="auto"/>
          </w:tcPr>
          <w:p w14:paraId="6A7C8B36" w14:textId="77777777" w:rsidR="00F02481" w:rsidRPr="00BE78CA" w:rsidRDefault="00F02481" w:rsidP="00DB1536">
            <w:pPr>
              <w:pStyle w:val="TableText"/>
              <w:spacing w:before="50" w:after="50"/>
              <w:rPr>
                <w:rFonts w:cs="Calibri"/>
                <w:szCs w:val="16"/>
              </w:rPr>
            </w:pPr>
            <w:r w:rsidRPr="00BE78CA">
              <w:rPr>
                <w:rFonts w:cs="Calibri"/>
                <w:szCs w:val="16"/>
              </w:rPr>
              <w:t>Leaching and runoff</w:t>
            </w:r>
          </w:p>
        </w:tc>
        <w:tc>
          <w:tcPr>
            <w:tcW w:w="850" w:type="dxa"/>
            <w:tcBorders>
              <w:top w:val="single" w:sz="4" w:space="0" w:color="365F91"/>
              <w:left w:val="nil"/>
              <w:bottom w:val="nil"/>
              <w:right w:val="nil"/>
            </w:tcBorders>
            <w:shd w:val="clear" w:color="auto" w:fill="auto"/>
          </w:tcPr>
          <w:p w14:paraId="46F590AD" w14:textId="77777777" w:rsidR="00F02481" w:rsidRPr="00BE78CA" w:rsidRDefault="00F02481" w:rsidP="00DB1536">
            <w:pPr>
              <w:pStyle w:val="TableText"/>
              <w:spacing w:before="50" w:after="50"/>
              <w:jc w:val="center"/>
              <w:rPr>
                <w:rFonts w:cs="Calibri"/>
                <w:szCs w:val="16"/>
              </w:rPr>
            </w:pPr>
            <w:r w:rsidRPr="00BE78CA">
              <w:rPr>
                <w:rFonts w:cs="Calibri"/>
                <w:szCs w:val="16"/>
              </w:rPr>
              <w:t>395.2</w:t>
            </w:r>
          </w:p>
        </w:tc>
        <w:tc>
          <w:tcPr>
            <w:tcW w:w="722" w:type="dxa"/>
            <w:tcBorders>
              <w:top w:val="single" w:sz="4" w:space="0" w:color="365F91"/>
              <w:left w:val="nil"/>
              <w:bottom w:val="nil"/>
              <w:right w:val="nil"/>
            </w:tcBorders>
            <w:shd w:val="clear" w:color="auto" w:fill="auto"/>
          </w:tcPr>
          <w:p w14:paraId="55BC1291" w14:textId="77777777" w:rsidR="00F02481" w:rsidRPr="00BE78CA" w:rsidRDefault="00F02481" w:rsidP="00DB1536">
            <w:pPr>
              <w:pStyle w:val="TableText"/>
              <w:spacing w:before="50" w:after="50"/>
              <w:jc w:val="center"/>
              <w:rPr>
                <w:rFonts w:cs="Calibri"/>
                <w:szCs w:val="16"/>
              </w:rPr>
            </w:pPr>
            <w:r w:rsidRPr="00BE78CA">
              <w:rPr>
                <w:rFonts w:cs="Calibri"/>
                <w:szCs w:val="16"/>
              </w:rPr>
              <w:t>513.8</w:t>
            </w:r>
          </w:p>
        </w:tc>
        <w:tc>
          <w:tcPr>
            <w:tcW w:w="854" w:type="dxa"/>
            <w:tcBorders>
              <w:top w:val="single" w:sz="4" w:space="0" w:color="365F91"/>
              <w:left w:val="nil"/>
              <w:bottom w:val="nil"/>
              <w:right w:val="nil"/>
            </w:tcBorders>
            <w:shd w:val="clear" w:color="auto" w:fill="auto"/>
          </w:tcPr>
          <w:p w14:paraId="2B2116B9" w14:textId="77777777" w:rsidR="00F02481" w:rsidRPr="00BE78CA" w:rsidRDefault="00F02481" w:rsidP="00DB1536">
            <w:pPr>
              <w:pStyle w:val="TableText"/>
              <w:tabs>
                <w:tab w:val="center" w:pos="400"/>
                <w:tab w:val="right" w:pos="801"/>
              </w:tabs>
              <w:spacing w:before="50" w:after="50"/>
              <w:jc w:val="center"/>
              <w:rPr>
                <w:rFonts w:cs="Calibri"/>
                <w:szCs w:val="16"/>
              </w:rPr>
            </w:pPr>
            <w:r w:rsidRPr="00BE78CA">
              <w:rPr>
                <w:rFonts w:cs="Calibri"/>
                <w:szCs w:val="16"/>
              </w:rPr>
              <w:t>118.6</w:t>
            </w:r>
          </w:p>
        </w:tc>
        <w:tc>
          <w:tcPr>
            <w:tcW w:w="712" w:type="dxa"/>
            <w:tcBorders>
              <w:top w:val="single" w:sz="4" w:space="0" w:color="365F91"/>
              <w:left w:val="nil"/>
              <w:bottom w:val="nil"/>
              <w:right w:val="nil"/>
            </w:tcBorders>
            <w:shd w:val="clear" w:color="auto" w:fill="auto"/>
          </w:tcPr>
          <w:p w14:paraId="2F718D14" w14:textId="77777777" w:rsidR="00F02481" w:rsidRPr="00BE78CA" w:rsidRDefault="00F02481" w:rsidP="00DB1536">
            <w:pPr>
              <w:pStyle w:val="TableText"/>
              <w:spacing w:before="50" w:after="50"/>
              <w:jc w:val="center"/>
              <w:rPr>
                <w:rFonts w:cs="Calibri"/>
                <w:szCs w:val="16"/>
              </w:rPr>
            </w:pPr>
            <w:r w:rsidRPr="00BE78CA">
              <w:rPr>
                <w:rFonts w:cs="Calibri"/>
                <w:szCs w:val="16"/>
              </w:rPr>
              <w:t>30.0</w:t>
            </w:r>
          </w:p>
        </w:tc>
        <w:tc>
          <w:tcPr>
            <w:tcW w:w="1095" w:type="dxa"/>
            <w:tcBorders>
              <w:top w:val="single" w:sz="4" w:space="0" w:color="365F91"/>
              <w:left w:val="nil"/>
              <w:bottom w:val="nil"/>
              <w:right w:val="nil"/>
            </w:tcBorders>
            <w:shd w:val="clear" w:color="auto" w:fill="auto"/>
          </w:tcPr>
          <w:p w14:paraId="323DF1E3" w14:textId="77777777" w:rsidR="00F02481" w:rsidRPr="00BE78CA" w:rsidRDefault="00F02481" w:rsidP="00DB1536">
            <w:pPr>
              <w:pStyle w:val="TableText"/>
              <w:spacing w:before="50" w:after="50"/>
              <w:jc w:val="center"/>
              <w:rPr>
                <w:rFonts w:cs="Calibri"/>
                <w:szCs w:val="16"/>
              </w:rPr>
            </w:pPr>
            <w:r w:rsidRPr="00BE78CA">
              <w:rPr>
                <w:rFonts w:cs="Calibri"/>
                <w:szCs w:val="16"/>
              </w:rPr>
              <w:t>6.6</w:t>
            </w:r>
          </w:p>
        </w:tc>
        <w:tc>
          <w:tcPr>
            <w:tcW w:w="1153" w:type="dxa"/>
            <w:tcBorders>
              <w:top w:val="single" w:sz="4" w:space="0" w:color="365F91"/>
              <w:left w:val="nil"/>
              <w:bottom w:val="nil"/>
              <w:right w:val="nil"/>
            </w:tcBorders>
            <w:shd w:val="clear" w:color="auto" w:fill="auto"/>
          </w:tcPr>
          <w:p w14:paraId="0D755F18" w14:textId="77777777" w:rsidR="00F02481" w:rsidRPr="00BE78CA" w:rsidRDefault="00F02481" w:rsidP="00DB1536">
            <w:pPr>
              <w:pStyle w:val="TableText"/>
              <w:spacing w:before="50" w:after="50"/>
              <w:jc w:val="center"/>
              <w:rPr>
                <w:rFonts w:cs="Calibri"/>
                <w:szCs w:val="16"/>
              </w:rPr>
            </w:pPr>
            <w:r w:rsidRPr="00BE78CA">
              <w:rPr>
                <w:rFonts w:cs="Calibri"/>
                <w:szCs w:val="16"/>
              </w:rPr>
              <w:t>1.3</w:t>
            </w:r>
          </w:p>
        </w:tc>
      </w:tr>
      <w:tr w:rsidR="00F02481" w:rsidRPr="00BE78CA" w14:paraId="56A09B7C" w14:textId="77777777" w:rsidTr="007D5931">
        <w:tc>
          <w:tcPr>
            <w:tcW w:w="3119" w:type="dxa"/>
            <w:gridSpan w:val="2"/>
            <w:tcBorders>
              <w:top w:val="nil"/>
              <w:left w:val="nil"/>
              <w:bottom w:val="single" w:sz="4" w:space="0" w:color="365F91"/>
              <w:right w:val="nil"/>
            </w:tcBorders>
            <w:shd w:val="clear" w:color="auto" w:fill="auto"/>
          </w:tcPr>
          <w:p w14:paraId="759AF6EF" w14:textId="77777777" w:rsidR="00F02481" w:rsidRPr="00BE78CA" w:rsidRDefault="00F02481" w:rsidP="00DB1536">
            <w:pPr>
              <w:pStyle w:val="TableText"/>
              <w:spacing w:before="50" w:after="50"/>
              <w:rPr>
                <w:rFonts w:cs="Calibri"/>
                <w:szCs w:val="16"/>
              </w:rPr>
            </w:pPr>
            <w:r w:rsidRPr="00BE78CA">
              <w:rPr>
                <w:rFonts w:cs="Calibri"/>
                <w:szCs w:val="16"/>
              </w:rPr>
              <w:t>Total Agricultural soils</w:t>
            </w:r>
          </w:p>
        </w:tc>
        <w:tc>
          <w:tcPr>
            <w:tcW w:w="850" w:type="dxa"/>
            <w:tcBorders>
              <w:top w:val="nil"/>
              <w:left w:val="nil"/>
              <w:bottom w:val="single" w:sz="4" w:space="0" w:color="365F91"/>
              <w:right w:val="nil"/>
            </w:tcBorders>
            <w:shd w:val="clear" w:color="auto" w:fill="auto"/>
          </w:tcPr>
          <w:p w14:paraId="55003339" w14:textId="77777777" w:rsidR="00F02481" w:rsidRPr="00BE78CA" w:rsidRDefault="00F02481" w:rsidP="00DB1536">
            <w:pPr>
              <w:pStyle w:val="TableText"/>
              <w:spacing w:before="50" w:after="50"/>
              <w:jc w:val="center"/>
              <w:rPr>
                <w:rFonts w:cs="Calibri"/>
                <w:szCs w:val="16"/>
              </w:rPr>
            </w:pPr>
            <w:r w:rsidRPr="00BE78CA">
              <w:rPr>
                <w:rFonts w:cs="Calibri"/>
                <w:szCs w:val="16"/>
              </w:rPr>
              <w:t>5,284.8</w:t>
            </w:r>
          </w:p>
        </w:tc>
        <w:tc>
          <w:tcPr>
            <w:tcW w:w="722" w:type="dxa"/>
            <w:tcBorders>
              <w:top w:val="nil"/>
              <w:left w:val="nil"/>
              <w:bottom w:val="single" w:sz="4" w:space="0" w:color="365F91"/>
              <w:right w:val="nil"/>
            </w:tcBorders>
            <w:shd w:val="clear" w:color="auto" w:fill="auto"/>
          </w:tcPr>
          <w:p w14:paraId="03B9EA0D" w14:textId="77777777" w:rsidR="00F02481" w:rsidRPr="00BE78CA" w:rsidRDefault="00F02481" w:rsidP="00DB1536">
            <w:pPr>
              <w:pStyle w:val="TableText"/>
              <w:spacing w:before="50" w:after="50"/>
              <w:jc w:val="center"/>
              <w:rPr>
                <w:rFonts w:cs="Calibri"/>
                <w:szCs w:val="16"/>
              </w:rPr>
            </w:pPr>
            <w:r w:rsidRPr="00BE78CA">
              <w:rPr>
                <w:rFonts w:cs="Calibri"/>
                <w:szCs w:val="16"/>
              </w:rPr>
              <w:t>7,763.1</w:t>
            </w:r>
          </w:p>
        </w:tc>
        <w:tc>
          <w:tcPr>
            <w:tcW w:w="854" w:type="dxa"/>
            <w:tcBorders>
              <w:top w:val="nil"/>
              <w:left w:val="nil"/>
              <w:bottom w:val="single" w:sz="4" w:space="0" w:color="365F91"/>
              <w:right w:val="nil"/>
            </w:tcBorders>
            <w:shd w:val="clear" w:color="auto" w:fill="auto"/>
          </w:tcPr>
          <w:p w14:paraId="0E54AE1F" w14:textId="77777777" w:rsidR="00F02481" w:rsidRPr="00BE78CA" w:rsidRDefault="00F02481" w:rsidP="00DB1536">
            <w:pPr>
              <w:pStyle w:val="TableText"/>
              <w:tabs>
                <w:tab w:val="center" w:pos="400"/>
                <w:tab w:val="right" w:pos="801"/>
              </w:tabs>
              <w:spacing w:before="50" w:after="50"/>
              <w:jc w:val="center"/>
              <w:rPr>
                <w:rFonts w:cs="Calibri"/>
                <w:szCs w:val="16"/>
              </w:rPr>
            </w:pPr>
            <w:r w:rsidRPr="00BE78CA">
              <w:rPr>
                <w:rFonts w:cs="Calibri"/>
                <w:szCs w:val="16"/>
              </w:rPr>
              <w:t>2,478.3</w:t>
            </w:r>
          </w:p>
        </w:tc>
        <w:tc>
          <w:tcPr>
            <w:tcW w:w="712" w:type="dxa"/>
            <w:tcBorders>
              <w:top w:val="nil"/>
              <w:left w:val="nil"/>
              <w:bottom w:val="single" w:sz="4" w:space="0" w:color="365F91"/>
              <w:right w:val="nil"/>
            </w:tcBorders>
            <w:shd w:val="clear" w:color="auto" w:fill="auto"/>
          </w:tcPr>
          <w:p w14:paraId="61A893FB" w14:textId="77777777" w:rsidR="00F02481" w:rsidRPr="00BE78CA" w:rsidRDefault="00F02481" w:rsidP="00DB1536">
            <w:pPr>
              <w:pStyle w:val="TableText"/>
              <w:spacing w:before="50" w:after="50"/>
              <w:jc w:val="center"/>
              <w:rPr>
                <w:rFonts w:cs="Calibri"/>
                <w:szCs w:val="16"/>
              </w:rPr>
            </w:pPr>
            <w:r w:rsidRPr="00BE78CA">
              <w:rPr>
                <w:rFonts w:cs="Calibri"/>
                <w:szCs w:val="16"/>
              </w:rPr>
              <w:t>46.9</w:t>
            </w:r>
          </w:p>
        </w:tc>
        <w:tc>
          <w:tcPr>
            <w:tcW w:w="1095" w:type="dxa"/>
            <w:tcBorders>
              <w:top w:val="nil"/>
              <w:left w:val="nil"/>
              <w:bottom w:val="single" w:sz="4" w:space="0" w:color="365F91"/>
              <w:right w:val="nil"/>
            </w:tcBorders>
            <w:shd w:val="clear" w:color="auto" w:fill="auto"/>
          </w:tcPr>
          <w:p w14:paraId="1B41F148" w14:textId="77777777" w:rsidR="00F02481" w:rsidRPr="00BE78CA" w:rsidRDefault="00F02481" w:rsidP="00DB1536">
            <w:pPr>
              <w:pStyle w:val="TableText"/>
              <w:spacing w:before="50" w:after="50"/>
              <w:jc w:val="center"/>
              <w:rPr>
                <w:rFonts w:cs="Calibri"/>
                <w:szCs w:val="16"/>
              </w:rPr>
            </w:pPr>
          </w:p>
        </w:tc>
        <w:tc>
          <w:tcPr>
            <w:tcW w:w="1153" w:type="dxa"/>
            <w:tcBorders>
              <w:top w:val="nil"/>
              <w:left w:val="nil"/>
              <w:bottom w:val="single" w:sz="4" w:space="0" w:color="365F91"/>
              <w:right w:val="nil"/>
            </w:tcBorders>
            <w:shd w:val="clear" w:color="auto" w:fill="auto"/>
          </w:tcPr>
          <w:p w14:paraId="4BD21C9D" w14:textId="77777777" w:rsidR="00F02481" w:rsidRPr="00BE78CA" w:rsidRDefault="00F02481" w:rsidP="00DB1536">
            <w:pPr>
              <w:pStyle w:val="TableText"/>
              <w:spacing w:before="50" w:after="50"/>
              <w:jc w:val="center"/>
              <w:rPr>
                <w:rFonts w:cs="Calibri"/>
                <w:szCs w:val="16"/>
              </w:rPr>
            </w:pPr>
            <w:r w:rsidRPr="00BE78CA">
              <w:rPr>
                <w:rFonts w:cs="Calibri"/>
                <w:szCs w:val="16"/>
              </w:rPr>
              <w:t>19.6</w:t>
            </w:r>
          </w:p>
        </w:tc>
      </w:tr>
    </w:tbl>
    <w:p w14:paraId="6A79C5D3" w14:textId="77777777" w:rsidR="00F02481" w:rsidRPr="00BE78CA" w:rsidRDefault="00F02481" w:rsidP="00C26084">
      <w:pPr>
        <w:pStyle w:val="Noteundertable"/>
        <w:rPr>
          <w:rFonts w:cs="Calibri"/>
        </w:rPr>
      </w:pPr>
      <w:r w:rsidRPr="00BE78CA">
        <w:rPr>
          <w:rFonts w:cs="Calibri"/>
          <w:b/>
          <w:bCs/>
        </w:rPr>
        <w:t>Note:</w:t>
      </w:r>
      <w:r w:rsidRPr="00BE78CA">
        <w:rPr>
          <w:rFonts w:cs="Calibri"/>
        </w:rPr>
        <w:tab/>
        <w:t>Columns may not add due to rounding. Percentages presented are calculated from unrounded values.</w:t>
      </w:r>
    </w:p>
    <w:p w14:paraId="5CA7316D" w14:textId="77777777" w:rsidR="00F02481" w:rsidRPr="00BE78CA" w:rsidRDefault="00F02481" w:rsidP="00563C69">
      <w:pPr>
        <w:pStyle w:val="Heading3"/>
        <w:spacing w:before="240"/>
        <w:rPr>
          <w:rFonts w:cs="Calibri"/>
        </w:rPr>
      </w:pPr>
      <w:bookmarkStart w:id="834" w:name="_Toc139253934"/>
      <w:bookmarkStart w:id="835" w:name="_Toc32570668"/>
      <w:r w:rsidRPr="00BE78CA">
        <w:rPr>
          <w:rFonts w:cs="Calibri"/>
        </w:rPr>
        <w:t>5.5.2</w:t>
      </w:r>
      <w:r w:rsidRPr="00BE78CA">
        <w:rPr>
          <w:rFonts w:cs="Calibri"/>
        </w:rPr>
        <w:tab/>
        <w:t>Methodological issues</w:t>
      </w:r>
      <w:bookmarkEnd w:id="834"/>
      <w:bookmarkEnd w:id="835"/>
      <w:r w:rsidRPr="00BE78CA">
        <w:rPr>
          <w:rFonts w:cs="Calibri"/>
        </w:rPr>
        <w:t xml:space="preserve"> </w:t>
      </w:r>
    </w:p>
    <w:p w14:paraId="15201384" w14:textId="57238AD1" w:rsidR="00F02481" w:rsidRPr="00BE78CA" w:rsidRDefault="00F02481" w:rsidP="00DB1536">
      <w:pPr>
        <w:pStyle w:val="BodyText"/>
        <w:spacing w:before="100"/>
      </w:pPr>
      <w:r w:rsidRPr="00BE78CA">
        <w:t>New Zealand uses methodologies based on the IPCC Guidelines (IPCC, 2006), outputs of the</w:t>
      </w:r>
      <w:r w:rsidR="00DB1536" w:rsidRPr="00BE78CA">
        <w:t> </w:t>
      </w:r>
      <w:r w:rsidRPr="00BE78CA">
        <w:t>Tier 2 livestock population characterisation, modelling of the livestock nutrition and energy</w:t>
      </w:r>
      <w:r w:rsidR="00DB1536" w:rsidRPr="00BE78CA">
        <w:t> </w:t>
      </w:r>
      <w:r w:rsidRPr="00BE78CA">
        <w:t>requirements, and some country-specific equations to calculate N</w:t>
      </w:r>
      <w:r w:rsidRPr="00BE78CA">
        <w:rPr>
          <w:vertAlign w:val="subscript"/>
        </w:rPr>
        <w:t>2</w:t>
      </w:r>
      <w:r w:rsidRPr="00BE78CA">
        <w:t>O emissions from</w:t>
      </w:r>
      <w:r w:rsidR="00DB1536" w:rsidRPr="00BE78CA">
        <w:t> </w:t>
      </w:r>
      <w:r w:rsidRPr="00BE78CA">
        <w:rPr>
          <w:i/>
          <w:iCs/>
        </w:rPr>
        <w:t>Agricultural soils</w:t>
      </w:r>
      <w:r w:rsidRPr="00BE78CA">
        <w:t>. A combination of default and country-specific emission factors and parameters is also used to calculate emissions from this category. Details on these emission factors and parameters are listed in tables 5.5.2 and 5.5.3; tables A3.1.5, A3.1.6 and A3.1.7 (annex 3); and in table 5.5.5 for mitigation technologies.</w:t>
      </w:r>
    </w:p>
    <w:p w14:paraId="0A997E88" w14:textId="77777777" w:rsidR="00F02481" w:rsidRPr="00BE78CA" w:rsidRDefault="00F02481" w:rsidP="00DB1536">
      <w:pPr>
        <w:pStyle w:val="BodyText"/>
        <w:spacing w:before="100"/>
      </w:pPr>
      <w:r w:rsidRPr="00BE78CA">
        <w:t xml:space="preserve">The largest inputs of nitrogen to agricultural soils are manure (urine and dung) from grazing livestock and synthetic nitrogen fertilisers, which together contribute around three-quarters of emissions from the </w:t>
      </w:r>
      <w:r w:rsidRPr="00BE78CA">
        <w:rPr>
          <w:i/>
          <w:iCs/>
        </w:rPr>
        <w:t>Agricultural soils</w:t>
      </w:r>
      <w:r w:rsidRPr="00BE78CA">
        <w:t xml:space="preserve"> category. The following paragraphs provide an overview of the country-specific improvements made to the </w:t>
      </w:r>
      <w:r w:rsidRPr="00BE78CA">
        <w:rPr>
          <w:i/>
          <w:iCs/>
        </w:rPr>
        <w:t>Agricultural soils</w:t>
      </w:r>
      <w:r w:rsidRPr="00BE78CA">
        <w:t xml:space="preserve"> category.</w:t>
      </w:r>
    </w:p>
    <w:p w14:paraId="3D97D723" w14:textId="77777777" w:rsidR="00F02481" w:rsidRPr="00BE78CA" w:rsidRDefault="00F02481" w:rsidP="00C26084">
      <w:pPr>
        <w:pStyle w:val="Heading5"/>
      </w:pPr>
      <w:r w:rsidRPr="00BE78CA">
        <w:t>Overview of research and improvements in the Agricultural soils category</w:t>
      </w:r>
    </w:p>
    <w:p w14:paraId="0525283E" w14:textId="2072F610" w:rsidR="00F02481" w:rsidRPr="00BE78CA" w:rsidRDefault="00F02481" w:rsidP="00DB1536">
      <w:pPr>
        <w:pStyle w:val="BodyText"/>
        <w:spacing w:before="100"/>
      </w:pPr>
      <w:r w:rsidRPr="00BE78CA">
        <w:t>Considerable research effort has gone into establishing New Zealand-specific emission factors for emissions from manure on pasture from grazing livestock (EF3,PRP). In New Zealand, most livestock waste is excreted directly onto pasture during grazing (see</w:t>
      </w:r>
      <w:r w:rsidR="00D0286E" w:rsidRPr="00BE78CA">
        <w:t> </w:t>
      </w:r>
      <w:r w:rsidRPr="00BE78CA">
        <w:t>table 5.3.2). Research to date has included a disaggregation of emissions from urine and</w:t>
      </w:r>
      <w:r w:rsidR="00D0286E" w:rsidRPr="00BE78CA">
        <w:t> </w:t>
      </w:r>
      <w:r w:rsidRPr="00BE78CA">
        <w:t>dung for the major livestock categories (</w:t>
      </w:r>
      <w:r w:rsidRPr="00BE78CA">
        <w:rPr>
          <w:i/>
          <w:iCs/>
        </w:rPr>
        <w:t>Dairy cattle</w:t>
      </w:r>
      <w:r w:rsidRPr="00BE78CA">
        <w:t xml:space="preserve">, </w:t>
      </w:r>
      <w:r w:rsidRPr="00BE78CA">
        <w:rPr>
          <w:i/>
          <w:iCs/>
        </w:rPr>
        <w:t>Non-dairy (beef) cattle</w:t>
      </w:r>
      <w:r w:rsidRPr="00BE78CA">
        <w:t xml:space="preserve">, </w:t>
      </w:r>
      <w:r w:rsidRPr="00BE78CA">
        <w:rPr>
          <w:i/>
          <w:iCs/>
        </w:rPr>
        <w:t>Sheep</w:t>
      </w:r>
      <w:r w:rsidRPr="00BE78CA">
        <w:t xml:space="preserve"> and</w:t>
      </w:r>
      <w:r w:rsidR="00D0286E" w:rsidRPr="00BE78CA">
        <w:t> </w:t>
      </w:r>
      <w:r w:rsidRPr="00BE78CA">
        <w:rPr>
          <w:i/>
          <w:iCs/>
        </w:rPr>
        <w:t>Deer</w:t>
      </w:r>
      <w:r w:rsidRPr="00BE78CA">
        <w:t> (see table 5.5.2)).</w:t>
      </w:r>
    </w:p>
    <w:p w14:paraId="7D8593C8" w14:textId="7CD47A03" w:rsidR="00F02481" w:rsidRPr="00BE78CA" w:rsidRDefault="00F02481" w:rsidP="00DB1536">
      <w:pPr>
        <w:pStyle w:val="BodyText"/>
        <w:spacing w:before="100"/>
      </w:pPr>
      <w:r w:rsidRPr="00BE78CA">
        <w:t>Recently, direct N</w:t>
      </w:r>
      <w:r w:rsidRPr="00BE78CA">
        <w:rPr>
          <w:vertAlign w:val="subscript"/>
        </w:rPr>
        <w:t>2</w:t>
      </w:r>
      <w:r w:rsidRPr="00BE78CA">
        <w:t xml:space="preserve">O emission factors for dung and urine have been disaggregated based on livestock type (for </w:t>
      </w:r>
      <w:r w:rsidRPr="00BE78CA">
        <w:rPr>
          <w:i/>
          <w:iCs/>
        </w:rPr>
        <w:t>Dairy cattle</w:t>
      </w:r>
      <w:r w:rsidRPr="00BE78CA">
        <w:t xml:space="preserve">, </w:t>
      </w:r>
      <w:r w:rsidRPr="00BE78CA">
        <w:rPr>
          <w:i/>
          <w:iCs/>
        </w:rPr>
        <w:t>Non-dairy</w:t>
      </w:r>
      <w:r w:rsidRPr="00BE78CA">
        <w:t xml:space="preserve"> (beef) </w:t>
      </w:r>
      <w:r w:rsidRPr="00BE78CA">
        <w:rPr>
          <w:i/>
          <w:iCs/>
        </w:rPr>
        <w:t>cattle</w:t>
      </w:r>
      <w:r w:rsidRPr="00BE78CA">
        <w:t xml:space="preserve">, </w:t>
      </w:r>
      <w:r w:rsidRPr="00BE78CA">
        <w:rPr>
          <w:i/>
          <w:iCs/>
        </w:rPr>
        <w:t>Sheep</w:t>
      </w:r>
      <w:r w:rsidRPr="00BE78CA">
        <w:t xml:space="preserve"> and </w:t>
      </w:r>
      <w:r w:rsidRPr="00BE78CA">
        <w:rPr>
          <w:i/>
          <w:iCs/>
        </w:rPr>
        <w:t>Deer</w:t>
      </w:r>
      <w:r w:rsidRPr="00BE78CA">
        <w:t>) and hill slope category based on recent research by Saggar et al. (2015) and van der Weerden et al. (2019, 2020). A ‘nutrient transfer model’ developed by Saggar et al. (2015) is used to calculate the amount of dung and urine deposited onto different hill slope categories. Approximately 79 per cent of sloped land on sheep, beef and deer farms is classed as medium (12–24 degrees) or steep (greater than 24 degrees) sloped land (see annex 3, figure A3.1.3).</w:t>
      </w:r>
    </w:p>
    <w:p w14:paraId="088367E1" w14:textId="77777777" w:rsidR="00F02481" w:rsidRPr="00BE78CA" w:rsidRDefault="00F02481" w:rsidP="00C26084">
      <w:pPr>
        <w:pStyle w:val="BodyText"/>
      </w:pPr>
      <w:r w:rsidRPr="00BE78CA">
        <w:lastRenderedPageBreak/>
        <w:t>For minor livestock categories, such as Horses, Llamas and alpacas, Poultry, Swine, Goats, and Mules and asses, New Zealand uses IPCC default emission factors and methodology. Research conducted in New Zealand confirmed that the IPCC default emission factors and methodology for direct N</w:t>
      </w:r>
      <w:r w:rsidRPr="00BE78CA">
        <w:rPr>
          <w:vertAlign w:val="subscript"/>
        </w:rPr>
        <w:t>2</w:t>
      </w:r>
      <w:r w:rsidRPr="00BE78CA">
        <w:t>O emissions from manure deposited onto soil (EF3,PRP-MINOR) are appropriate for New Zealand conditions (Carran et al., 1995; de Klein et al., 2003; Muller et al., 1995).</w:t>
      </w:r>
    </w:p>
    <w:p w14:paraId="3434DEE8" w14:textId="77777777" w:rsidR="00F02481" w:rsidRPr="00BE78CA" w:rsidRDefault="00F02481" w:rsidP="00C26084">
      <w:pPr>
        <w:pStyle w:val="BodyText"/>
      </w:pPr>
      <w:r w:rsidRPr="00BE78CA">
        <w:t xml:space="preserve">New Zealand uses country-specific emission factors for urea fertiliser (0.0059) and dairy cattle effluent manure (0.0025) applied to soils (van der Weerden et.al., 2016a and 2016b). The IPCC default value of 0.01 is used for other nitrogen inputs including synthetic nitrogen fertiliser (excluding urea), animal manure from minor livestock species applied to soils, and crop residues. This emissions factor of 0.01 has been verified as suitable for New Zealand conditions by Kelliher and de Klein (unpublished). </w:t>
      </w:r>
    </w:p>
    <w:p w14:paraId="6B583EA6" w14:textId="77777777" w:rsidR="00F02481" w:rsidRPr="00BE78CA" w:rsidRDefault="00F02481" w:rsidP="00C26084">
      <w:pPr>
        <w:pStyle w:val="BodyText"/>
      </w:pPr>
      <w:r w:rsidRPr="00BE78CA">
        <w:t>The emissions factor for indirect N</w:t>
      </w:r>
      <w:r w:rsidRPr="00BE78CA">
        <w:rPr>
          <w:vertAlign w:val="subscript"/>
        </w:rPr>
        <w:t>2</w:t>
      </w:r>
      <w:r w:rsidRPr="00BE78CA">
        <w:t xml:space="preserve">O emissions from leaching and runoff (EF5) for rivers, lakes and estuaries has also been reviewed (Clough and Kelliher, unpublished). The review concluded that further research is required to develop a country-specific value, and that the IPCC (2006) default emissions factor (0.0075) is appropriate for New Zealand in the meantime. </w:t>
      </w:r>
    </w:p>
    <w:p w14:paraId="33685460" w14:textId="77777777" w:rsidR="00F02481" w:rsidRPr="00BE78CA" w:rsidRDefault="00F02481" w:rsidP="00C26084">
      <w:pPr>
        <w:pStyle w:val="BodyText"/>
      </w:pPr>
      <w:r w:rsidRPr="00BE78CA">
        <w:t>In addition to these coun</w:t>
      </w:r>
      <w:r w:rsidRPr="00BE78CA">
        <w:rPr>
          <w:spacing w:val="-2"/>
        </w:rPr>
        <w:t xml:space="preserve">try-specific emission factors, New Zealand has developed country-specific parameters for volatilisation, leaching, and nitrogen input from crop residue burning and pasture renewal (see table 5.5.4). New Zealand has also incorporated country-specific emission factors and country-specific parameters </w:t>
      </w:r>
      <w:r w:rsidRPr="00BE78CA">
        <w:t xml:space="preserve">for calculating emissions from the use of the following mitigation technologies </w:t>
      </w:r>
      <w:r w:rsidRPr="00BE78CA">
        <w:rPr>
          <w:spacing w:val="-2"/>
        </w:rPr>
        <w:t>(see table 5.5.5)</w:t>
      </w:r>
      <w:r w:rsidRPr="00BE78CA">
        <w:t>:</w:t>
      </w:r>
    </w:p>
    <w:p w14:paraId="4479BA45" w14:textId="77777777" w:rsidR="00F02481" w:rsidRPr="00BE78CA" w:rsidRDefault="00F02481" w:rsidP="00FA2314">
      <w:pPr>
        <w:pStyle w:val="Bullet"/>
        <w:numPr>
          <w:ilvl w:val="0"/>
          <w:numId w:val="25"/>
        </w:numPr>
      </w:pPr>
      <w:r w:rsidRPr="00BE78CA">
        <w:t xml:space="preserve">urease inhibitors such as N-butyl thiophosphoric triamide </w:t>
      </w:r>
    </w:p>
    <w:p w14:paraId="0CEBC947" w14:textId="77777777" w:rsidR="00F02481" w:rsidRPr="00BE78CA" w:rsidRDefault="00F02481" w:rsidP="00FA2314">
      <w:pPr>
        <w:pStyle w:val="Bullet"/>
        <w:numPr>
          <w:ilvl w:val="0"/>
          <w:numId w:val="25"/>
        </w:numPr>
        <w:rPr>
          <w:spacing w:val="-2"/>
        </w:rPr>
      </w:pPr>
      <w:r w:rsidRPr="00BE78CA">
        <w:t xml:space="preserve">dicyandiamide (DCD), a nitrification inhibitor. </w:t>
      </w:r>
    </w:p>
    <w:p w14:paraId="4C9564F6" w14:textId="77777777" w:rsidR="00F02481" w:rsidRPr="00BE78CA" w:rsidRDefault="00F02481" w:rsidP="00C26084">
      <w:pPr>
        <w:pStyle w:val="Table"/>
        <w:rPr>
          <w:rFonts w:cs="Calibri"/>
        </w:rPr>
      </w:pPr>
      <w:bookmarkStart w:id="836" w:name="_Toc441830880"/>
      <w:bookmarkStart w:id="837" w:name="_Toc451176094"/>
      <w:bookmarkStart w:id="838" w:name="_Toc481751522"/>
      <w:bookmarkStart w:id="839" w:name="_Toc507158610"/>
      <w:bookmarkStart w:id="840" w:name="_Toc511116744"/>
      <w:bookmarkStart w:id="841" w:name="_Toc5269486"/>
      <w:bookmarkStart w:id="842" w:name="_Toc32570928"/>
      <w:bookmarkStart w:id="843" w:name="_Toc36224563"/>
      <w:bookmarkStart w:id="844" w:name="_Toc68786448"/>
      <w:r w:rsidRPr="00BE78CA">
        <w:rPr>
          <w:rFonts w:cs="Calibri"/>
        </w:rPr>
        <w:t>Table 5.5.2</w:t>
      </w:r>
      <w:r w:rsidRPr="00BE78CA">
        <w:rPr>
          <w:rFonts w:cs="Calibri"/>
        </w:rPr>
        <w:tab/>
        <w:t>Nitrous oxide (N</w:t>
      </w:r>
      <w:r w:rsidRPr="00BE78CA">
        <w:rPr>
          <w:rFonts w:cs="Calibri"/>
          <w:vertAlign w:val="subscript"/>
        </w:rPr>
        <w:t>2</w:t>
      </w:r>
      <w:r w:rsidRPr="00BE78CA">
        <w:rPr>
          <w:rFonts w:cs="Calibri"/>
        </w:rPr>
        <w:t>O) emission factors for Agricultural soils in New Zealand</w:t>
      </w:r>
      <w:bookmarkEnd w:id="836"/>
      <w:bookmarkEnd w:id="837"/>
      <w:bookmarkEnd w:id="838"/>
      <w:bookmarkEnd w:id="839"/>
      <w:bookmarkEnd w:id="840"/>
      <w:bookmarkEnd w:id="841"/>
      <w:r w:rsidRPr="00BE78CA">
        <w:rPr>
          <w:rFonts w:cs="Calibri"/>
        </w:rPr>
        <w:t>,</w:t>
      </w:r>
      <w:r w:rsidRPr="00BE78CA">
        <w:rPr>
          <w:rFonts w:cs="Calibri"/>
        </w:rPr>
        <w:br/>
        <w:t>excluding EF</w:t>
      </w:r>
      <w:r w:rsidRPr="00BE78CA">
        <w:rPr>
          <w:rFonts w:cs="Calibri"/>
          <w:vertAlign w:val="subscript"/>
        </w:rPr>
        <w:t>3,PRP</w:t>
      </w:r>
      <w:r w:rsidRPr="00BE78CA">
        <w:rPr>
          <w:rFonts w:cs="Calibri"/>
          <w:vertAlign w:val="subscript"/>
        </w:rPr>
        <w:noBreakHyphen/>
        <w:t xml:space="preserve"> URINE)</w:t>
      </w:r>
      <w:r w:rsidRPr="00BE78CA">
        <w:rPr>
          <w:rFonts w:cs="Calibri"/>
        </w:rPr>
        <w:t xml:space="preserve"> for cattle, sheep and deer</w:t>
      </w:r>
      <w:bookmarkEnd w:id="842"/>
      <w:bookmarkEnd w:id="843"/>
      <w:bookmarkEnd w:id="844"/>
    </w:p>
    <w:tbl>
      <w:tblPr>
        <w:tblW w:w="8505" w:type="dxa"/>
        <w:tblBorders>
          <w:top w:val="single" w:sz="4" w:space="0" w:color="365F91"/>
          <w:bottom w:val="single" w:sz="4" w:space="0" w:color="365F91"/>
          <w:insideH w:val="single" w:sz="4" w:space="0" w:color="365F91"/>
        </w:tblBorders>
        <w:tblCellMar>
          <w:left w:w="85" w:type="dxa"/>
          <w:right w:w="85" w:type="dxa"/>
        </w:tblCellMar>
        <w:tblLook w:val="01E0" w:firstRow="1" w:lastRow="1" w:firstColumn="1" w:lastColumn="1" w:noHBand="0" w:noVBand="0"/>
      </w:tblPr>
      <w:tblGrid>
        <w:gridCol w:w="3234"/>
        <w:gridCol w:w="987"/>
        <w:gridCol w:w="708"/>
        <w:gridCol w:w="1407"/>
        <w:gridCol w:w="2169"/>
      </w:tblGrid>
      <w:tr w:rsidR="00477DE6" w:rsidRPr="00BE78CA" w14:paraId="6265FCD5" w14:textId="77777777" w:rsidTr="00477DE6">
        <w:trPr>
          <w:tblHeader/>
        </w:trPr>
        <w:tc>
          <w:tcPr>
            <w:tcW w:w="3261" w:type="dxa"/>
            <w:shd w:val="clear" w:color="auto" w:fill="365F91"/>
            <w:vAlign w:val="bottom"/>
          </w:tcPr>
          <w:p w14:paraId="1A4F05BD" w14:textId="77777777" w:rsidR="00F02481" w:rsidRPr="00BE78CA" w:rsidRDefault="00F02481" w:rsidP="00C26084">
            <w:pPr>
              <w:pStyle w:val="TableTextBold"/>
              <w:keepNext/>
              <w:rPr>
                <w:noProof w:val="0"/>
                <w:color w:val="FFFFFF" w:themeColor="background1"/>
                <w:szCs w:val="16"/>
              </w:rPr>
            </w:pPr>
            <w:r w:rsidRPr="00BE78CA">
              <w:rPr>
                <w:noProof w:val="0"/>
                <w:color w:val="FFFFFF" w:themeColor="background1"/>
                <w:szCs w:val="16"/>
              </w:rPr>
              <w:t>Category</w:t>
            </w:r>
          </w:p>
        </w:tc>
        <w:tc>
          <w:tcPr>
            <w:tcW w:w="3118" w:type="dxa"/>
            <w:gridSpan w:val="3"/>
            <w:shd w:val="clear" w:color="auto" w:fill="365F91"/>
            <w:vAlign w:val="bottom"/>
          </w:tcPr>
          <w:p w14:paraId="649BEB5D" w14:textId="77777777" w:rsidR="00F02481" w:rsidRPr="00BE78CA" w:rsidRDefault="00F02481" w:rsidP="00C26084">
            <w:pPr>
              <w:pStyle w:val="TableTextBold"/>
              <w:keepNext/>
              <w:jc w:val="center"/>
              <w:rPr>
                <w:noProof w:val="0"/>
                <w:color w:val="FFFFFF" w:themeColor="background1"/>
                <w:szCs w:val="16"/>
              </w:rPr>
            </w:pPr>
            <w:r w:rsidRPr="00BE78CA">
              <w:rPr>
                <w:noProof w:val="0"/>
                <w:color w:val="FFFFFF" w:themeColor="background1"/>
                <w:szCs w:val="16"/>
              </w:rPr>
              <w:t>Emission factor</w:t>
            </w:r>
          </w:p>
        </w:tc>
        <w:tc>
          <w:tcPr>
            <w:tcW w:w="2183" w:type="dxa"/>
            <w:shd w:val="clear" w:color="auto" w:fill="365F91"/>
            <w:vAlign w:val="bottom"/>
          </w:tcPr>
          <w:p w14:paraId="4CA14878" w14:textId="77777777" w:rsidR="00F02481" w:rsidRPr="00BE78CA" w:rsidRDefault="00F02481" w:rsidP="00C26084">
            <w:pPr>
              <w:pStyle w:val="TableTextBold"/>
              <w:keepNext/>
              <w:rPr>
                <w:noProof w:val="0"/>
                <w:color w:val="FFFFFF" w:themeColor="background1"/>
                <w:szCs w:val="16"/>
              </w:rPr>
            </w:pPr>
            <w:r w:rsidRPr="00BE78CA">
              <w:rPr>
                <w:noProof w:val="0"/>
                <w:color w:val="FFFFFF" w:themeColor="background1"/>
                <w:szCs w:val="16"/>
              </w:rPr>
              <w:t>Source</w:t>
            </w:r>
          </w:p>
        </w:tc>
      </w:tr>
      <w:tr w:rsidR="00F02481" w:rsidRPr="00BE78CA" w14:paraId="32A12CE7" w14:textId="77777777" w:rsidTr="00477DE6">
        <w:tc>
          <w:tcPr>
            <w:tcW w:w="0" w:type="auto"/>
            <w:gridSpan w:val="5"/>
          </w:tcPr>
          <w:p w14:paraId="7DA15E07" w14:textId="77777777" w:rsidR="00F02481" w:rsidRPr="00BE78CA" w:rsidRDefault="00F02481" w:rsidP="00C26084">
            <w:pPr>
              <w:pStyle w:val="TableText"/>
              <w:keepNext/>
              <w:spacing w:before="50" w:after="50"/>
              <w:rPr>
                <w:rFonts w:cs="Calibri"/>
                <w:b/>
                <w:bCs/>
                <w:szCs w:val="16"/>
              </w:rPr>
            </w:pPr>
            <w:r w:rsidRPr="00BE78CA">
              <w:rPr>
                <w:rFonts w:cs="Calibri"/>
                <w:b/>
                <w:bCs/>
                <w:szCs w:val="16"/>
              </w:rPr>
              <w:t>3.D.1 Direct N</w:t>
            </w:r>
            <w:r w:rsidRPr="00BE78CA">
              <w:rPr>
                <w:rFonts w:cs="Calibri"/>
                <w:b/>
                <w:bCs/>
                <w:szCs w:val="16"/>
                <w:vertAlign w:val="subscript"/>
              </w:rPr>
              <w:t>2</w:t>
            </w:r>
            <w:r w:rsidRPr="00BE78CA">
              <w:rPr>
                <w:rFonts w:cs="Calibri"/>
                <w:b/>
                <w:bCs/>
                <w:szCs w:val="16"/>
              </w:rPr>
              <w:t>O emissions</w:t>
            </w:r>
          </w:p>
        </w:tc>
      </w:tr>
      <w:tr w:rsidR="00F02481" w:rsidRPr="00BE78CA" w14:paraId="7020A392" w14:textId="77777777" w:rsidTr="00477DE6">
        <w:tc>
          <w:tcPr>
            <w:tcW w:w="3261" w:type="dxa"/>
          </w:tcPr>
          <w:p w14:paraId="6C446538" w14:textId="77777777" w:rsidR="00F02481" w:rsidRPr="00BE78CA" w:rsidRDefault="00F02481" w:rsidP="00C26084">
            <w:pPr>
              <w:pStyle w:val="TableText"/>
              <w:spacing w:before="50" w:after="50"/>
              <w:rPr>
                <w:rFonts w:cs="Calibri"/>
                <w:szCs w:val="16"/>
              </w:rPr>
            </w:pPr>
            <w:r w:rsidRPr="00BE78CA">
              <w:rPr>
                <w:rFonts w:cs="Calibri"/>
                <w:szCs w:val="16"/>
              </w:rPr>
              <w:t>Synthetic nitrogen fertiliser (urea)</w:t>
            </w:r>
          </w:p>
        </w:tc>
        <w:tc>
          <w:tcPr>
            <w:tcW w:w="992" w:type="dxa"/>
          </w:tcPr>
          <w:p w14:paraId="16EC043E" w14:textId="77777777" w:rsidR="00F02481" w:rsidRPr="00BE78CA" w:rsidRDefault="00F02481" w:rsidP="00C26084">
            <w:pPr>
              <w:pStyle w:val="TableText"/>
              <w:keepNext/>
              <w:spacing w:before="50" w:after="50"/>
              <w:rPr>
                <w:rFonts w:cs="Calibri"/>
                <w:szCs w:val="16"/>
              </w:rPr>
            </w:pPr>
            <w:r w:rsidRPr="00BE78CA">
              <w:rPr>
                <w:rFonts w:cs="Calibri"/>
                <w:szCs w:val="16"/>
              </w:rPr>
              <w:t>EF</w:t>
            </w:r>
            <w:r w:rsidRPr="00BE78CA">
              <w:rPr>
                <w:rFonts w:cs="Calibri"/>
                <w:szCs w:val="16"/>
                <w:vertAlign w:val="subscript"/>
              </w:rPr>
              <w:t>1-UREA</w:t>
            </w:r>
          </w:p>
        </w:tc>
        <w:tc>
          <w:tcPr>
            <w:tcW w:w="709" w:type="dxa"/>
          </w:tcPr>
          <w:p w14:paraId="776B6B67" w14:textId="77777777" w:rsidR="00F02481" w:rsidRPr="00BE78CA" w:rsidRDefault="00F02481" w:rsidP="00C26084">
            <w:pPr>
              <w:pStyle w:val="TableText"/>
              <w:keepNext/>
              <w:spacing w:before="50" w:after="50"/>
              <w:rPr>
                <w:rFonts w:cs="Calibri"/>
                <w:szCs w:val="16"/>
              </w:rPr>
            </w:pPr>
            <w:r w:rsidRPr="00BE78CA">
              <w:rPr>
                <w:rFonts w:cs="Calibri"/>
                <w:szCs w:val="16"/>
              </w:rPr>
              <w:t>0.0059</w:t>
            </w:r>
          </w:p>
        </w:tc>
        <w:tc>
          <w:tcPr>
            <w:tcW w:w="1417" w:type="dxa"/>
            <w:tcMar>
              <w:right w:w="28" w:type="dxa"/>
            </w:tcMar>
          </w:tcPr>
          <w:p w14:paraId="6F04470D" w14:textId="77777777" w:rsidR="00F02481" w:rsidRPr="00BE78CA" w:rsidRDefault="00F02481" w:rsidP="00C26084">
            <w:pPr>
              <w:pStyle w:val="TableText"/>
              <w:keepNext/>
              <w:spacing w:before="50" w:after="50"/>
              <w:rPr>
                <w:rFonts w:cs="Calibri"/>
                <w:szCs w:val="16"/>
              </w:rPr>
            </w:pPr>
            <w:r w:rsidRPr="00BE78CA">
              <w:rPr>
                <w:rFonts w:cs="Calibri"/>
                <w:szCs w:val="16"/>
              </w:rPr>
              <w:t>kg N</w:t>
            </w:r>
            <w:r w:rsidRPr="00BE78CA">
              <w:rPr>
                <w:rFonts w:cs="Calibri"/>
                <w:szCs w:val="16"/>
                <w:vertAlign w:val="subscript"/>
              </w:rPr>
              <w:t>2</w:t>
            </w:r>
            <w:r w:rsidRPr="00BE78CA">
              <w:rPr>
                <w:rFonts w:cs="Calibri"/>
                <w:szCs w:val="16"/>
              </w:rPr>
              <w:t>O-N/kg N</w:t>
            </w:r>
          </w:p>
        </w:tc>
        <w:tc>
          <w:tcPr>
            <w:tcW w:w="2183" w:type="dxa"/>
          </w:tcPr>
          <w:p w14:paraId="1226A8A6" w14:textId="77777777" w:rsidR="00F02481" w:rsidRPr="00BE78CA" w:rsidRDefault="00F02481" w:rsidP="00C26084">
            <w:pPr>
              <w:pStyle w:val="TableText"/>
              <w:keepNext/>
              <w:spacing w:before="50" w:after="50"/>
              <w:rPr>
                <w:rFonts w:cs="Calibri"/>
                <w:szCs w:val="16"/>
              </w:rPr>
            </w:pPr>
            <w:r w:rsidRPr="00BE78CA">
              <w:rPr>
                <w:rFonts w:cs="Calibri"/>
                <w:szCs w:val="16"/>
              </w:rPr>
              <w:t>van der Weerden et al. (2016a, 2016b)</w:t>
            </w:r>
          </w:p>
        </w:tc>
      </w:tr>
      <w:tr w:rsidR="00F02481" w:rsidRPr="00BE78CA" w14:paraId="7A2C7D93" w14:textId="77777777" w:rsidTr="00477DE6">
        <w:tc>
          <w:tcPr>
            <w:tcW w:w="3261" w:type="dxa"/>
          </w:tcPr>
          <w:p w14:paraId="2F300BE1" w14:textId="77777777" w:rsidR="00F02481" w:rsidRPr="00BE78CA" w:rsidRDefault="00F02481" w:rsidP="00C26084">
            <w:pPr>
              <w:pStyle w:val="TableText"/>
              <w:spacing w:before="50" w:after="50"/>
              <w:rPr>
                <w:rFonts w:cs="Calibri"/>
                <w:szCs w:val="16"/>
              </w:rPr>
            </w:pPr>
            <w:r w:rsidRPr="00BE78CA">
              <w:rPr>
                <w:rFonts w:cs="Calibri"/>
                <w:szCs w:val="16"/>
              </w:rPr>
              <w:t>Organic fertiliser (dairy cattle manure)</w:t>
            </w:r>
          </w:p>
        </w:tc>
        <w:tc>
          <w:tcPr>
            <w:tcW w:w="992" w:type="dxa"/>
          </w:tcPr>
          <w:p w14:paraId="614489AF" w14:textId="77777777" w:rsidR="00F02481" w:rsidRPr="00BE78CA" w:rsidRDefault="00F02481" w:rsidP="00C26084">
            <w:pPr>
              <w:pStyle w:val="TableText"/>
              <w:keepNext/>
              <w:spacing w:before="50" w:after="50"/>
              <w:rPr>
                <w:rFonts w:cs="Calibri"/>
                <w:szCs w:val="16"/>
              </w:rPr>
            </w:pPr>
            <w:r w:rsidRPr="00BE78CA">
              <w:rPr>
                <w:rFonts w:cs="Calibri"/>
                <w:szCs w:val="16"/>
              </w:rPr>
              <w:t>EF</w:t>
            </w:r>
            <w:r w:rsidRPr="00BE78CA">
              <w:rPr>
                <w:rFonts w:cs="Calibri"/>
                <w:szCs w:val="16"/>
                <w:vertAlign w:val="subscript"/>
              </w:rPr>
              <w:t>1-DAIRY</w:t>
            </w:r>
          </w:p>
        </w:tc>
        <w:tc>
          <w:tcPr>
            <w:tcW w:w="709" w:type="dxa"/>
          </w:tcPr>
          <w:p w14:paraId="1D62DB56" w14:textId="77777777" w:rsidR="00F02481" w:rsidRPr="00BE78CA" w:rsidRDefault="00F02481" w:rsidP="00C26084">
            <w:pPr>
              <w:pStyle w:val="TableText"/>
              <w:keepNext/>
              <w:spacing w:before="50" w:after="50"/>
              <w:rPr>
                <w:rFonts w:cs="Calibri"/>
                <w:szCs w:val="16"/>
              </w:rPr>
            </w:pPr>
            <w:r w:rsidRPr="00BE78CA">
              <w:rPr>
                <w:rFonts w:cs="Calibri"/>
                <w:szCs w:val="16"/>
              </w:rPr>
              <w:t>0.0025</w:t>
            </w:r>
          </w:p>
        </w:tc>
        <w:tc>
          <w:tcPr>
            <w:tcW w:w="1417" w:type="dxa"/>
            <w:tcMar>
              <w:right w:w="28" w:type="dxa"/>
            </w:tcMar>
          </w:tcPr>
          <w:p w14:paraId="74854722" w14:textId="77777777" w:rsidR="00F02481" w:rsidRPr="00BE78CA" w:rsidRDefault="00F02481" w:rsidP="00C26084">
            <w:pPr>
              <w:pStyle w:val="TableText"/>
              <w:keepNext/>
              <w:spacing w:before="50" w:after="50"/>
              <w:rPr>
                <w:rFonts w:cs="Calibri"/>
                <w:szCs w:val="16"/>
              </w:rPr>
            </w:pPr>
            <w:r w:rsidRPr="00BE78CA">
              <w:rPr>
                <w:rFonts w:cs="Calibri"/>
                <w:szCs w:val="16"/>
              </w:rPr>
              <w:t>kg N</w:t>
            </w:r>
            <w:r w:rsidRPr="00BE78CA">
              <w:rPr>
                <w:rFonts w:cs="Calibri"/>
                <w:szCs w:val="16"/>
                <w:vertAlign w:val="subscript"/>
              </w:rPr>
              <w:t>2</w:t>
            </w:r>
            <w:r w:rsidRPr="00BE78CA">
              <w:rPr>
                <w:rFonts w:cs="Calibri"/>
                <w:szCs w:val="16"/>
              </w:rPr>
              <w:t>O-N/kg N</w:t>
            </w:r>
          </w:p>
        </w:tc>
        <w:tc>
          <w:tcPr>
            <w:tcW w:w="2183" w:type="dxa"/>
          </w:tcPr>
          <w:p w14:paraId="3806DBD6" w14:textId="77777777" w:rsidR="00F02481" w:rsidRPr="00BE78CA" w:rsidRDefault="00F02481" w:rsidP="00C26084">
            <w:pPr>
              <w:pStyle w:val="TableText"/>
              <w:keepNext/>
              <w:spacing w:before="50" w:after="50"/>
              <w:rPr>
                <w:rFonts w:cs="Calibri"/>
                <w:szCs w:val="16"/>
              </w:rPr>
            </w:pPr>
            <w:r w:rsidRPr="00BE78CA">
              <w:rPr>
                <w:rFonts w:cs="Calibri"/>
                <w:szCs w:val="16"/>
              </w:rPr>
              <w:t>van der Weerden et al. (2016a, 2016b)</w:t>
            </w:r>
          </w:p>
        </w:tc>
      </w:tr>
      <w:tr w:rsidR="00F02481" w:rsidRPr="00BE78CA" w14:paraId="71ACD12D" w14:textId="77777777" w:rsidTr="00477DE6">
        <w:tc>
          <w:tcPr>
            <w:tcW w:w="3261" w:type="dxa"/>
          </w:tcPr>
          <w:p w14:paraId="17DA72A1" w14:textId="77777777" w:rsidR="00F02481" w:rsidRPr="00BE78CA" w:rsidRDefault="00F02481" w:rsidP="00C26084">
            <w:pPr>
              <w:pStyle w:val="TableText"/>
              <w:spacing w:before="50" w:after="50"/>
              <w:rPr>
                <w:rFonts w:cs="Calibri"/>
                <w:szCs w:val="16"/>
              </w:rPr>
            </w:pPr>
            <w:r w:rsidRPr="00BE78CA">
              <w:rPr>
                <w:rFonts w:cs="Calibri"/>
                <w:szCs w:val="16"/>
              </w:rPr>
              <w:t xml:space="preserve">Synthetic nitrogen fertiliser (other), organic fertiliser (swine and poultry manure) crop residue, nitrogen loss due to soil organic matter mineralisation, organic soil mineralisation due to cultivation </w:t>
            </w:r>
          </w:p>
        </w:tc>
        <w:tc>
          <w:tcPr>
            <w:tcW w:w="992" w:type="dxa"/>
          </w:tcPr>
          <w:p w14:paraId="326C58A4" w14:textId="77777777" w:rsidR="00F02481" w:rsidRPr="00BE78CA" w:rsidRDefault="00F02481" w:rsidP="00C26084">
            <w:pPr>
              <w:pStyle w:val="TableText"/>
              <w:keepNext/>
              <w:spacing w:before="50" w:after="50"/>
              <w:rPr>
                <w:rFonts w:cs="Calibri"/>
                <w:szCs w:val="16"/>
              </w:rPr>
            </w:pPr>
            <w:r w:rsidRPr="00BE78CA">
              <w:rPr>
                <w:rFonts w:cs="Calibri"/>
                <w:szCs w:val="16"/>
              </w:rPr>
              <w:t>EF</w:t>
            </w:r>
            <w:r w:rsidRPr="00BE78CA">
              <w:rPr>
                <w:rFonts w:cs="Calibri"/>
                <w:szCs w:val="16"/>
                <w:vertAlign w:val="subscript"/>
              </w:rPr>
              <w:t>1</w:t>
            </w:r>
          </w:p>
        </w:tc>
        <w:tc>
          <w:tcPr>
            <w:tcW w:w="709" w:type="dxa"/>
          </w:tcPr>
          <w:p w14:paraId="0191505E" w14:textId="77777777" w:rsidR="00F02481" w:rsidRPr="00BE78CA" w:rsidRDefault="00F02481" w:rsidP="00C26084">
            <w:pPr>
              <w:pStyle w:val="TableText"/>
              <w:keepNext/>
              <w:spacing w:before="50" w:after="50"/>
              <w:rPr>
                <w:rFonts w:cs="Calibri"/>
                <w:szCs w:val="16"/>
              </w:rPr>
            </w:pPr>
            <w:r w:rsidRPr="00BE78CA">
              <w:rPr>
                <w:rFonts w:cs="Calibri"/>
                <w:szCs w:val="16"/>
              </w:rPr>
              <w:t xml:space="preserve">0.01 </w:t>
            </w:r>
          </w:p>
        </w:tc>
        <w:tc>
          <w:tcPr>
            <w:tcW w:w="1417" w:type="dxa"/>
            <w:tcMar>
              <w:right w:w="28" w:type="dxa"/>
            </w:tcMar>
          </w:tcPr>
          <w:p w14:paraId="3EC4CFE2" w14:textId="77777777" w:rsidR="00F02481" w:rsidRPr="00BE78CA" w:rsidRDefault="00F02481" w:rsidP="00C26084">
            <w:pPr>
              <w:pStyle w:val="TableText"/>
              <w:keepNext/>
              <w:spacing w:before="50" w:after="50"/>
              <w:rPr>
                <w:rFonts w:cs="Calibri"/>
                <w:szCs w:val="16"/>
              </w:rPr>
            </w:pPr>
            <w:r w:rsidRPr="00BE78CA">
              <w:rPr>
                <w:rFonts w:cs="Calibri"/>
                <w:szCs w:val="16"/>
              </w:rPr>
              <w:t>kg N</w:t>
            </w:r>
            <w:r w:rsidRPr="00BE78CA">
              <w:rPr>
                <w:rFonts w:cs="Calibri"/>
                <w:szCs w:val="16"/>
                <w:vertAlign w:val="subscript"/>
              </w:rPr>
              <w:t>2</w:t>
            </w:r>
            <w:r w:rsidRPr="00BE78CA">
              <w:rPr>
                <w:rFonts w:cs="Calibri"/>
                <w:szCs w:val="16"/>
              </w:rPr>
              <w:t>O-N/kg N</w:t>
            </w:r>
          </w:p>
        </w:tc>
        <w:tc>
          <w:tcPr>
            <w:tcW w:w="2183" w:type="dxa"/>
          </w:tcPr>
          <w:p w14:paraId="1F67F19D" w14:textId="77777777" w:rsidR="00F02481" w:rsidRPr="00BE78CA" w:rsidRDefault="00F02481" w:rsidP="00C26084">
            <w:pPr>
              <w:pStyle w:val="TableText"/>
              <w:keepNext/>
              <w:spacing w:before="50" w:after="50"/>
              <w:rPr>
                <w:rFonts w:cs="Calibri"/>
                <w:szCs w:val="16"/>
              </w:rPr>
            </w:pPr>
            <w:r w:rsidRPr="00BE78CA">
              <w:rPr>
                <w:rFonts w:cs="Calibri"/>
                <w:szCs w:val="16"/>
              </w:rPr>
              <w:t>Kelliher and de Klein (unpublished), IPCC (2006, table 11.1)</w:t>
            </w:r>
          </w:p>
        </w:tc>
      </w:tr>
      <w:tr w:rsidR="00F02481" w:rsidRPr="00BE78CA" w14:paraId="3EF19F55" w14:textId="77777777" w:rsidTr="00477DE6">
        <w:tc>
          <w:tcPr>
            <w:tcW w:w="3261" w:type="dxa"/>
          </w:tcPr>
          <w:p w14:paraId="0DE18D95" w14:textId="77777777" w:rsidR="00F02481" w:rsidRPr="00BE78CA" w:rsidRDefault="00F02481" w:rsidP="00C26084">
            <w:pPr>
              <w:pStyle w:val="TableText"/>
              <w:spacing w:before="50" w:after="50"/>
              <w:rPr>
                <w:rFonts w:cs="Calibri"/>
                <w:szCs w:val="16"/>
              </w:rPr>
            </w:pPr>
            <w:r w:rsidRPr="00BE78CA">
              <w:rPr>
                <w:rFonts w:cs="Calibri"/>
                <w:szCs w:val="16"/>
              </w:rPr>
              <w:t>Cultivation of organic soils</w:t>
            </w:r>
          </w:p>
        </w:tc>
        <w:tc>
          <w:tcPr>
            <w:tcW w:w="992" w:type="dxa"/>
          </w:tcPr>
          <w:p w14:paraId="210145B4" w14:textId="77777777" w:rsidR="00F02481" w:rsidRPr="00BE78CA" w:rsidRDefault="00F02481" w:rsidP="00C26084">
            <w:pPr>
              <w:pStyle w:val="TableText"/>
              <w:spacing w:before="50" w:after="50"/>
              <w:rPr>
                <w:rFonts w:cs="Calibri"/>
                <w:szCs w:val="16"/>
              </w:rPr>
            </w:pPr>
            <w:r w:rsidRPr="00BE78CA">
              <w:rPr>
                <w:rFonts w:cs="Calibri"/>
                <w:szCs w:val="16"/>
              </w:rPr>
              <w:t>EF</w:t>
            </w:r>
            <w:r w:rsidRPr="00BE78CA">
              <w:rPr>
                <w:rFonts w:cs="Calibri"/>
                <w:szCs w:val="16"/>
                <w:vertAlign w:val="subscript"/>
              </w:rPr>
              <w:t>2</w:t>
            </w:r>
          </w:p>
        </w:tc>
        <w:tc>
          <w:tcPr>
            <w:tcW w:w="709" w:type="dxa"/>
          </w:tcPr>
          <w:p w14:paraId="48DBC330" w14:textId="77777777" w:rsidR="00F02481" w:rsidRPr="00BE78CA" w:rsidRDefault="00F02481" w:rsidP="00C26084">
            <w:pPr>
              <w:pStyle w:val="TableText"/>
              <w:spacing w:before="50" w:after="50"/>
              <w:rPr>
                <w:rFonts w:cs="Calibri"/>
                <w:szCs w:val="16"/>
              </w:rPr>
            </w:pPr>
            <w:r w:rsidRPr="00BE78CA">
              <w:rPr>
                <w:rFonts w:cs="Calibri"/>
                <w:szCs w:val="16"/>
              </w:rPr>
              <w:t xml:space="preserve">8 </w:t>
            </w:r>
          </w:p>
        </w:tc>
        <w:tc>
          <w:tcPr>
            <w:tcW w:w="1417" w:type="dxa"/>
            <w:tcMar>
              <w:right w:w="28" w:type="dxa"/>
            </w:tcMar>
          </w:tcPr>
          <w:p w14:paraId="31DBD624" w14:textId="77777777" w:rsidR="00F02481" w:rsidRPr="00BE78CA" w:rsidRDefault="00F02481" w:rsidP="00C26084">
            <w:pPr>
              <w:pStyle w:val="TableText"/>
              <w:spacing w:before="50" w:after="50"/>
              <w:rPr>
                <w:rFonts w:cs="Calibri"/>
                <w:szCs w:val="16"/>
              </w:rPr>
            </w:pPr>
            <w:r w:rsidRPr="00BE78CA">
              <w:rPr>
                <w:rFonts w:cs="Calibri"/>
                <w:szCs w:val="16"/>
              </w:rPr>
              <w:t>kg N</w:t>
            </w:r>
            <w:r w:rsidRPr="00BE78CA">
              <w:rPr>
                <w:rFonts w:cs="Calibri"/>
                <w:szCs w:val="16"/>
                <w:vertAlign w:val="subscript"/>
              </w:rPr>
              <w:t>2</w:t>
            </w:r>
            <w:r w:rsidRPr="00BE78CA">
              <w:rPr>
                <w:rFonts w:cs="Calibri"/>
                <w:szCs w:val="16"/>
              </w:rPr>
              <w:t>O-N/ha/kg N</w:t>
            </w:r>
          </w:p>
        </w:tc>
        <w:tc>
          <w:tcPr>
            <w:tcW w:w="2183" w:type="dxa"/>
          </w:tcPr>
          <w:p w14:paraId="59B2E46A" w14:textId="77777777" w:rsidR="00F02481" w:rsidRPr="00BE78CA" w:rsidRDefault="00F02481" w:rsidP="00C26084">
            <w:pPr>
              <w:pStyle w:val="TableText"/>
              <w:spacing w:before="50" w:after="50"/>
              <w:rPr>
                <w:rFonts w:cs="Calibri"/>
                <w:szCs w:val="16"/>
              </w:rPr>
            </w:pPr>
            <w:r w:rsidRPr="00BE78CA">
              <w:rPr>
                <w:rFonts w:cs="Calibri"/>
                <w:szCs w:val="16"/>
              </w:rPr>
              <w:t>IPCC (2006, table 11.1)</w:t>
            </w:r>
          </w:p>
        </w:tc>
      </w:tr>
      <w:tr w:rsidR="00F02481" w:rsidRPr="00BE78CA" w14:paraId="2925A6E8" w14:textId="77777777" w:rsidTr="00477DE6">
        <w:trPr>
          <w:trHeight w:val="605"/>
        </w:trPr>
        <w:tc>
          <w:tcPr>
            <w:tcW w:w="3261" w:type="dxa"/>
          </w:tcPr>
          <w:p w14:paraId="567A5E23" w14:textId="77777777" w:rsidR="00F02481" w:rsidRPr="00BE78CA" w:rsidRDefault="00F02481" w:rsidP="00C26084">
            <w:pPr>
              <w:pStyle w:val="TableText"/>
              <w:spacing w:before="50" w:after="50"/>
              <w:rPr>
                <w:rFonts w:cs="Calibri"/>
                <w:szCs w:val="16"/>
              </w:rPr>
            </w:pPr>
            <w:r w:rsidRPr="00BE78CA">
              <w:rPr>
                <w:rFonts w:cs="Calibri"/>
                <w:szCs w:val="16"/>
              </w:rPr>
              <w:t xml:space="preserve">Manure (dung and urine) from minor grazing animals (i.e., </w:t>
            </w:r>
            <w:r w:rsidRPr="00BE78CA">
              <w:rPr>
                <w:rFonts w:cs="Calibri"/>
                <w:i/>
                <w:szCs w:val="16"/>
              </w:rPr>
              <w:t>excluding</w:t>
            </w:r>
            <w:r w:rsidRPr="00BE78CA">
              <w:rPr>
                <w:rFonts w:cs="Calibri"/>
                <w:szCs w:val="16"/>
              </w:rPr>
              <w:t xml:space="preserve"> cattle, sheep and deer) in pasture, range and paddock systems</w:t>
            </w:r>
          </w:p>
        </w:tc>
        <w:tc>
          <w:tcPr>
            <w:tcW w:w="992" w:type="dxa"/>
          </w:tcPr>
          <w:p w14:paraId="2F7A51E3" w14:textId="77777777" w:rsidR="00F02481" w:rsidRPr="00BE78CA" w:rsidRDefault="00F02481" w:rsidP="00C26084">
            <w:pPr>
              <w:pStyle w:val="TableText"/>
              <w:spacing w:before="50" w:after="50"/>
              <w:rPr>
                <w:rFonts w:cs="Calibri"/>
                <w:szCs w:val="16"/>
              </w:rPr>
            </w:pPr>
            <w:r w:rsidRPr="00BE78CA">
              <w:rPr>
                <w:rFonts w:cs="Calibri"/>
                <w:szCs w:val="16"/>
              </w:rPr>
              <w:t>EF</w:t>
            </w:r>
            <w:r w:rsidRPr="00BE78CA">
              <w:rPr>
                <w:rFonts w:cs="Calibri"/>
                <w:szCs w:val="16"/>
                <w:vertAlign w:val="subscript"/>
              </w:rPr>
              <w:t>3,PRP-MINOR</w:t>
            </w:r>
          </w:p>
        </w:tc>
        <w:tc>
          <w:tcPr>
            <w:tcW w:w="709" w:type="dxa"/>
          </w:tcPr>
          <w:p w14:paraId="02A43DE5" w14:textId="77777777" w:rsidR="00F02481" w:rsidRPr="00BE78CA" w:rsidRDefault="00F02481" w:rsidP="00C26084">
            <w:pPr>
              <w:pStyle w:val="TableText"/>
              <w:spacing w:before="50" w:after="50"/>
              <w:rPr>
                <w:rFonts w:cs="Calibri"/>
                <w:szCs w:val="16"/>
              </w:rPr>
            </w:pPr>
            <w:r w:rsidRPr="00BE78CA">
              <w:rPr>
                <w:rFonts w:cs="Calibri"/>
                <w:szCs w:val="16"/>
              </w:rPr>
              <w:t>0.01</w:t>
            </w:r>
          </w:p>
        </w:tc>
        <w:tc>
          <w:tcPr>
            <w:tcW w:w="1417" w:type="dxa"/>
            <w:tcMar>
              <w:right w:w="28" w:type="dxa"/>
            </w:tcMar>
          </w:tcPr>
          <w:p w14:paraId="71E73828" w14:textId="77777777" w:rsidR="00F02481" w:rsidRPr="00BE78CA" w:rsidRDefault="00F02481" w:rsidP="00C26084">
            <w:pPr>
              <w:pStyle w:val="TableText"/>
              <w:spacing w:before="50" w:after="50"/>
              <w:rPr>
                <w:rFonts w:cs="Calibri"/>
                <w:szCs w:val="16"/>
              </w:rPr>
            </w:pPr>
            <w:r w:rsidRPr="00BE78CA">
              <w:rPr>
                <w:rFonts w:cs="Calibri"/>
                <w:szCs w:val="16"/>
              </w:rPr>
              <w:t>kg N</w:t>
            </w:r>
            <w:r w:rsidRPr="00BE78CA">
              <w:rPr>
                <w:rFonts w:cs="Calibri"/>
                <w:szCs w:val="16"/>
                <w:vertAlign w:val="subscript"/>
              </w:rPr>
              <w:t>2</w:t>
            </w:r>
            <w:r w:rsidRPr="00BE78CA">
              <w:rPr>
                <w:rFonts w:cs="Calibri"/>
                <w:szCs w:val="16"/>
              </w:rPr>
              <w:t>O-N/kg N</w:t>
            </w:r>
          </w:p>
        </w:tc>
        <w:tc>
          <w:tcPr>
            <w:tcW w:w="2183" w:type="dxa"/>
          </w:tcPr>
          <w:p w14:paraId="4E6238B0" w14:textId="77777777" w:rsidR="00F02481" w:rsidRPr="00BE78CA" w:rsidRDefault="00F02481" w:rsidP="00E3768D">
            <w:pPr>
              <w:pStyle w:val="TableText"/>
              <w:spacing w:before="50" w:after="50"/>
            </w:pPr>
            <w:r w:rsidRPr="00BE78CA">
              <w:t>Carran et al. (1995); Muller et al. (1995); de Klein et al. (2003)</w:t>
            </w:r>
          </w:p>
        </w:tc>
      </w:tr>
      <w:tr w:rsidR="00F02481" w:rsidRPr="00BE78CA" w14:paraId="1DE7DC59" w14:textId="77777777" w:rsidTr="00477DE6">
        <w:tc>
          <w:tcPr>
            <w:tcW w:w="3261" w:type="dxa"/>
          </w:tcPr>
          <w:p w14:paraId="2480EC7F" w14:textId="77777777" w:rsidR="00F02481" w:rsidRPr="00BE78CA" w:rsidRDefault="00F02481" w:rsidP="00C26084">
            <w:pPr>
              <w:pStyle w:val="TableText"/>
              <w:spacing w:before="50" w:after="50"/>
              <w:rPr>
                <w:rFonts w:cs="Calibri"/>
                <w:szCs w:val="16"/>
              </w:rPr>
            </w:pPr>
            <w:r w:rsidRPr="00BE78CA">
              <w:rPr>
                <w:rFonts w:cs="Calibri"/>
                <w:szCs w:val="16"/>
              </w:rPr>
              <w:t xml:space="preserve">Dung from grazing cattle, sheep and deer in pasture, range and paddock systems </w:t>
            </w:r>
          </w:p>
        </w:tc>
        <w:tc>
          <w:tcPr>
            <w:tcW w:w="992" w:type="dxa"/>
          </w:tcPr>
          <w:p w14:paraId="00FD924B" w14:textId="77777777" w:rsidR="00F02481" w:rsidRPr="00BE78CA" w:rsidRDefault="00F02481" w:rsidP="00C26084">
            <w:pPr>
              <w:pStyle w:val="TableText"/>
              <w:spacing w:before="50" w:after="50"/>
              <w:rPr>
                <w:rFonts w:cs="Calibri"/>
                <w:szCs w:val="16"/>
              </w:rPr>
            </w:pPr>
            <w:r w:rsidRPr="00BE78CA">
              <w:rPr>
                <w:rFonts w:cs="Calibri"/>
                <w:szCs w:val="16"/>
              </w:rPr>
              <w:t>EF</w:t>
            </w:r>
            <w:r w:rsidRPr="00BE78CA">
              <w:rPr>
                <w:rFonts w:cs="Calibri"/>
                <w:szCs w:val="16"/>
                <w:vertAlign w:val="subscript"/>
              </w:rPr>
              <w:t>3,PRP-DUNG</w:t>
            </w:r>
          </w:p>
        </w:tc>
        <w:tc>
          <w:tcPr>
            <w:tcW w:w="709" w:type="dxa"/>
          </w:tcPr>
          <w:p w14:paraId="1AE1E5AB" w14:textId="77777777" w:rsidR="00F02481" w:rsidRPr="00BE78CA" w:rsidRDefault="00F02481" w:rsidP="00C26084">
            <w:pPr>
              <w:pStyle w:val="TableText"/>
              <w:spacing w:before="50" w:after="50"/>
              <w:rPr>
                <w:rFonts w:cs="Calibri"/>
                <w:szCs w:val="16"/>
              </w:rPr>
            </w:pPr>
            <w:r w:rsidRPr="00BE78CA">
              <w:rPr>
                <w:rFonts w:cs="Calibri"/>
                <w:szCs w:val="16"/>
              </w:rPr>
              <w:t>0.0012</w:t>
            </w:r>
          </w:p>
        </w:tc>
        <w:tc>
          <w:tcPr>
            <w:tcW w:w="1417" w:type="dxa"/>
            <w:tcMar>
              <w:right w:w="28" w:type="dxa"/>
            </w:tcMar>
          </w:tcPr>
          <w:p w14:paraId="6734A138" w14:textId="77777777" w:rsidR="00F02481" w:rsidRPr="00BE78CA" w:rsidRDefault="00F02481" w:rsidP="00C26084">
            <w:pPr>
              <w:pStyle w:val="TableText"/>
              <w:spacing w:before="50" w:after="50"/>
              <w:rPr>
                <w:rFonts w:cs="Calibri"/>
                <w:szCs w:val="16"/>
              </w:rPr>
            </w:pPr>
            <w:r w:rsidRPr="00BE78CA">
              <w:rPr>
                <w:rFonts w:cs="Calibri"/>
                <w:szCs w:val="16"/>
              </w:rPr>
              <w:t>kg N</w:t>
            </w:r>
            <w:r w:rsidRPr="00BE78CA">
              <w:rPr>
                <w:rFonts w:cs="Calibri"/>
                <w:szCs w:val="16"/>
                <w:vertAlign w:val="subscript"/>
              </w:rPr>
              <w:t>2</w:t>
            </w:r>
            <w:r w:rsidRPr="00BE78CA">
              <w:rPr>
                <w:rFonts w:cs="Calibri"/>
                <w:szCs w:val="16"/>
              </w:rPr>
              <w:t>O-N/kg N</w:t>
            </w:r>
          </w:p>
        </w:tc>
        <w:tc>
          <w:tcPr>
            <w:tcW w:w="2183" w:type="dxa"/>
          </w:tcPr>
          <w:p w14:paraId="6919CD5A" w14:textId="77777777" w:rsidR="00F02481" w:rsidRPr="00BE78CA" w:rsidRDefault="00F02481" w:rsidP="00C26084">
            <w:pPr>
              <w:pStyle w:val="TableText"/>
              <w:spacing w:before="50" w:after="50"/>
              <w:rPr>
                <w:rFonts w:cs="Calibri"/>
                <w:szCs w:val="16"/>
              </w:rPr>
            </w:pPr>
            <w:r w:rsidRPr="00BE78CA">
              <w:rPr>
                <w:rFonts w:cs="Calibri"/>
                <w:szCs w:val="16"/>
              </w:rPr>
              <w:t>van der Weerden et al. (2019, 2020)</w:t>
            </w:r>
          </w:p>
        </w:tc>
      </w:tr>
      <w:tr w:rsidR="00F02481" w:rsidRPr="00BE78CA" w14:paraId="224E5FBF" w14:textId="77777777" w:rsidTr="00477DE6">
        <w:tc>
          <w:tcPr>
            <w:tcW w:w="0" w:type="auto"/>
            <w:gridSpan w:val="5"/>
            <w:tcMar>
              <w:right w:w="28" w:type="dxa"/>
            </w:tcMar>
          </w:tcPr>
          <w:p w14:paraId="62FD1653" w14:textId="77777777" w:rsidR="00F02481" w:rsidRPr="00BE78CA" w:rsidRDefault="00F02481" w:rsidP="00C26084">
            <w:pPr>
              <w:pStyle w:val="TableText"/>
              <w:spacing w:before="50" w:after="50"/>
              <w:rPr>
                <w:rFonts w:cs="Calibri"/>
                <w:b/>
                <w:bCs/>
                <w:szCs w:val="16"/>
              </w:rPr>
            </w:pPr>
            <w:r w:rsidRPr="00BE78CA">
              <w:rPr>
                <w:rFonts w:cs="Calibri"/>
                <w:b/>
                <w:bCs/>
                <w:szCs w:val="16"/>
              </w:rPr>
              <w:t>3.D.2 Indirect N</w:t>
            </w:r>
            <w:r w:rsidRPr="00BE78CA">
              <w:rPr>
                <w:rFonts w:cs="Calibri"/>
                <w:b/>
                <w:bCs/>
                <w:szCs w:val="16"/>
                <w:vertAlign w:val="subscript"/>
              </w:rPr>
              <w:t>2</w:t>
            </w:r>
            <w:r w:rsidRPr="00BE78CA">
              <w:rPr>
                <w:rFonts w:cs="Calibri"/>
                <w:b/>
                <w:bCs/>
                <w:szCs w:val="16"/>
              </w:rPr>
              <w:t>O emissions</w:t>
            </w:r>
          </w:p>
        </w:tc>
      </w:tr>
      <w:tr w:rsidR="00F02481" w:rsidRPr="00BE78CA" w14:paraId="579E6103" w14:textId="77777777" w:rsidTr="00477DE6">
        <w:tc>
          <w:tcPr>
            <w:tcW w:w="3261" w:type="dxa"/>
          </w:tcPr>
          <w:p w14:paraId="33BBE3F3" w14:textId="77777777" w:rsidR="00F02481" w:rsidRPr="00BE78CA" w:rsidRDefault="00F02481" w:rsidP="00C26084">
            <w:pPr>
              <w:pStyle w:val="TableText"/>
              <w:spacing w:before="50" w:after="50"/>
              <w:rPr>
                <w:rFonts w:cs="Calibri"/>
                <w:szCs w:val="16"/>
              </w:rPr>
            </w:pPr>
            <w:r w:rsidRPr="00BE78CA">
              <w:rPr>
                <w:rFonts w:cs="Calibri"/>
                <w:szCs w:val="16"/>
              </w:rPr>
              <w:t>Volatilisation</w:t>
            </w:r>
          </w:p>
        </w:tc>
        <w:tc>
          <w:tcPr>
            <w:tcW w:w="992" w:type="dxa"/>
          </w:tcPr>
          <w:p w14:paraId="4A24B8A5" w14:textId="77777777" w:rsidR="00F02481" w:rsidRPr="00BE78CA" w:rsidRDefault="00F02481" w:rsidP="00C26084">
            <w:pPr>
              <w:pStyle w:val="TableText"/>
              <w:spacing w:before="50" w:after="50"/>
              <w:rPr>
                <w:rFonts w:cs="Calibri"/>
                <w:szCs w:val="16"/>
              </w:rPr>
            </w:pPr>
            <w:r w:rsidRPr="00BE78CA">
              <w:rPr>
                <w:rFonts w:cs="Calibri"/>
                <w:szCs w:val="16"/>
              </w:rPr>
              <w:t>EF</w:t>
            </w:r>
            <w:r w:rsidRPr="00BE78CA">
              <w:rPr>
                <w:rFonts w:cs="Calibri"/>
                <w:szCs w:val="16"/>
                <w:vertAlign w:val="subscript"/>
              </w:rPr>
              <w:t>4</w:t>
            </w:r>
          </w:p>
        </w:tc>
        <w:tc>
          <w:tcPr>
            <w:tcW w:w="709" w:type="dxa"/>
          </w:tcPr>
          <w:p w14:paraId="7DCC63D6" w14:textId="77777777" w:rsidR="00F02481" w:rsidRPr="00BE78CA" w:rsidRDefault="00F02481" w:rsidP="00C26084">
            <w:pPr>
              <w:pStyle w:val="TableText"/>
              <w:spacing w:before="50" w:after="50"/>
              <w:rPr>
                <w:rFonts w:cs="Calibri"/>
                <w:szCs w:val="16"/>
              </w:rPr>
            </w:pPr>
            <w:r w:rsidRPr="00BE78CA">
              <w:rPr>
                <w:rFonts w:cs="Calibri"/>
                <w:szCs w:val="16"/>
              </w:rPr>
              <w:t xml:space="preserve">0.010 </w:t>
            </w:r>
          </w:p>
        </w:tc>
        <w:tc>
          <w:tcPr>
            <w:tcW w:w="1417" w:type="dxa"/>
            <w:tcMar>
              <w:right w:w="28" w:type="dxa"/>
            </w:tcMar>
          </w:tcPr>
          <w:p w14:paraId="251EF70A" w14:textId="77777777" w:rsidR="00F02481" w:rsidRPr="00BE78CA" w:rsidRDefault="00F02481" w:rsidP="00C26084">
            <w:pPr>
              <w:pStyle w:val="TableText"/>
              <w:spacing w:before="50" w:after="50"/>
              <w:rPr>
                <w:rFonts w:cs="Calibri"/>
                <w:szCs w:val="16"/>
              </w:rPr>
            </w:pPr>
            <w:r w:rsidRPr="00BE78CA">
              <w:rPr>
                <w:rFonts w:cs="Calibri"/>
                <w:szCs w:val="16"/>
              </w:rPr>
              <w:t>kg N</w:t>
            </w:r>
            <w:r w:rsidRPr="00BE78CA">
              <w:rPr>
                <w:rFonts w:cs="Calibri"/>
                <w:szCs w:val="16"/>
                <w:vertAlign w:val="subscript"/>
              </w:rPr>
              <w:t>2</w:t>
            </w:r>
            <w:r w:rsidRPr="00BE78CA">
              <w:rPr>
                <w:rFonts w:cs="Calibri"/>
                <w:szCs w:val="16"/>
              </w:rPr>
              <w:t>O-N/kg N</w:t>
            </w:r>
          </w:p>
        </w:tc>
        <w:tc>
          <w:tcPr>
            <w:tcW w:w="2183" w:type="dxa"/>
          </w:tcPr>
          <w:p w14:paraId="2FF7FC7F" w14:textId="77777777" w:rsidR="00F02481" w:rsidRPr="00BE78CA" w:rsidRDefault="00F02481" w:rsidP="00C26084">
            <w:pPr>
              <w:pStyle w:val="TableText"/>
              <w:spacing w:before="50" w:after="50"/>
              <w:rPr>
                <w:rFonts w:cs="Calibri"/>
                <w:szCs w:val="16"/>
              </w:rPr>
            </w:pPr>
            <w:r w:rsidRPr="00BE78CA">
              <w:rPr>
                <w:rFonts w:cs="Calibri"/>
                <w:szCs w:val="16"/>
              </w:rPr>
              <w:t>IPCC (2006, table 11.3)</w:t>
            </w:r>
          </w:p>
        </w:tc>
      </w:tr>
      <w:tr w:rsidR="00F02481" w:rsidRPr="00BE78CA" w14:paraId="24F8631C" w14:textId="77777777" w:rsidTr="00477DE6">
        <w:tc>
          <w:tcPr>
            <w:tcW w:w="3261" w:type="dxa"/>
          </w:tcPr>
          <w:p w14:paraId="71FC97DD" w14:textId="77777777" w:rsidR="00F02481" w:rsidRPr="00BE78CA" w:rsidRDefault="00F02481" w:rsidP="00C26084">
            <w:pPr>
              <w:pStyle w:val="TableText"/>
              <w:spacing w:before="50" w:after="50"/>
              <w:rPr>
                <w:rFonts w:cs="Calibri"/>
                <w:szCs w:val="16"/>
              </w:rPr>
            </w:pPr>
            <w:r w:rsidRPr="00BE78CA">
              <w:rPr>
                <w:rFonts w:cs="Calibri"/>
                <w:szCs w:val="16"/>
              </w:rPr>
              <w:t>Leaching and runoff</w:t>
            </w:r>
          </w:p>
        </w:tc>
        <w:tc>
          <w:tcPr>
            <w:tcW w:w="992" w:type="dxa"/>
          </w:tcPr>
          <w:p w14:paraId="025AE915" w14:textId="77777777" w:rsidR="00F02481" w:rsidRPr="00BE78CA" w:rsidRDefault="00F02481" w:rsidP="00C26084">
            <w:pPr>
              <w:pStyle w:val="TableText"/>
              <w:spacing w:before="50" w:after="50"/>
              <w:rPr>
                <w:rFonts w:cs="Calibri"/>
                <w:szCs w:val="16"/>
              </w:rPr>
            </w:pPr>
            <w:r w:rsidRPr="00BE78CA">
              <w:rPr>
                <w:rFonts w:cs="Calibri"/>
                <w:szCs w:val="16"/>
              </w:rPr>
              <w:t>EF</w:t>
            </w:r>
            <w:r w:rsidRPr="00BE78CA">
              <w:rPr>
                <w:rFonts w:cs="Calibri"/>
                <w:szCs w:val="16"/>
                <w:vertAlign w:val="subscript"/>
              </w:rPr>
              <w:t>5</w:t>
            </w:r>
          </w:p>
        </w:tc>
        <w:tc>
          <w:tcPr>
            <w:tcW w:w="709" w:type="dxa"/>
          </w:tcPr>
          <w:p w14:paraId="74AC7E67" w14:textId="77777777" w:rsidR="00F02481" w:rsidRPr="00BE78CA" w:rsidRDefault="00F02481" w:rsidP="00C26084">
            <w:pPr>
              <w:pStyle w:val="TableText"/>
              <w:spacing w:before="50" w:after="50"/>
              <w:rPr>
                <w:rFonts w:cs="Calibri"/>
                <w:szCs w:val="16"/>
              </w:rPr>
            </w:pPr>
            <w:r w:rsidRPr="00BE78CA">
              <w:rPr>
                <w:rFonts w:cs="Calibri"/>
                <w:szCs w:val="16"/>
              </w:rPr>
              <w:t xml:space="preserve">0.0075 </w:t>
            </w:r>
          </w:p>
        </w:tc>
        <w:tc>
          <w:tcPr>
            <w:tcW w:w="1417" w:type="dxa"/>
            <w:tcMar>
              <w:right w:w="28" w:type="dxa"/>
            </w:tcMar>
          </w:tcPr>
          <w:p w14:paraId="187A22F8" w14:textId="77777777" w:rsidR="00F02481" w:rsidRPr="00BE78CA" w:rsidRDefault="00F02481" w:rsidP="00C26084">
            <w:pPr>
              <w:pStyle w:val="TableText"/>
              <w:spacing w:before="50" w:after="50"/>
              <w:rPr>
                <w:rFonts w:cs="Calibri"/>
                <w:szCs w:val="16"/>
              </w:rPr>
            </w:pPr>
            <w:r w:rsidRPr="00BE78CA">
              <w:rPr>
                <w:rFonts w:cs="Calibri"/>
                <w:szCs w:val="16"/>
              </w:rPr>
              <w:t>kg N</w:t>
            </w:r>
            <w:r w:rsidRPr="00BE78CA">
              <w:rPr>
                <w:rFonts w:cs="Calibri"/>
                <w:szCs w:val="16"/>
                <w:vertAlign w:val="subscript"/>
              </w:rPr>
              <w:t>2</w:t>
            </w:r>
            <w:r w:rsidRPr="00BE78CA">
              <w:rPr>
                <w:rFonts w:cs="Calibri"/>
                <w:szCs w:val="16"/>
              </w:rPr>
              <w:t>O-N/kg N</w:t>
            </w:r>
          </w:p>
        </w:tc>
        <w:tc>
          <w:tcPr>
            <w:tcW w:w="2183" w:type="dxa"/>
          </w:tcPr>
          <w:p w14:paraId="209C3DB7" w14:textId="77777777" w:rsidR="00F02481" w:rsidRPr="00BE78CA" w:rsidRDefault="00F02481" w:rsidP="00C26084">
            <w:pPr>
              <w:pStyle w:val="TableText"/>
              <w:spacing w:before="50" w:after="50"/>
              <w:rPr>
                <w:rFonts w:cs="Calibri"/>
                <w:szCs w:val="16"/>
              </w:rPr>
            </w:pPr>
            <w:r w:rsidRPr="00BE78CA">
              <w:rPr>
                <w:rFonts w:cs="Calibri"/>
                <w:szCs w:val="16"/>
              </w:rPr>
              <w:t>IPCC (2006, table 11.3), confirmed by Clough and Kelliher (unpublished)</w:t>
            </w:r>
          </w:p>
        </w:tc>
      </w:tr>
    </w:tbl>
    <w:p w14:paraId="67FEE38A" w14:textId="77777777" w:rsidR="00F02481" w:rsidRPr="00BE78CA" w:rsidRDefault="00F02481" w:rsidP="00C26084">
      <w:pPr>
        <w:pStyle w:val="Table"/>
        <w:spacing w:before="240"/>
        <w:rPr>
          <w:rFonts w:cs="Calibri"/>
        </w:rPr>
      </w:pPr>
      <w:bookmarkStart w:id="845" w:name="_Toc32570929"/>
      <w:bookmarkStart w:id="846" w:name="_Toc36224564"/>
      <w:bookmarkStart w:id="847" w:name="_Toc68786449"/>
      <w:bookmarkStart w:id="848" w:name="_Toc441830881"/>
      <w:bookmarkStart w:id="849" w:name="_Toc451176095"/>
      <w:bookmarkStart w:id="850" w:name="_Toc481751523"/>
      <w:bookmarkStart w:id="851" w:name="_Toc507158611"/>
      <w:bookmarkStart w:id="852" w:name="_Toc511116745"/>
      <w:bookmarkStart w:id="853" w:name="_Toc5269487"/>
      <w:r w:rsidRPr="00BE78CA">
        <w:rPr>
          <w:rFonts w:cs="Calibri"/>
        </w:rPr>
        <w:lastRenderedPageBreak/>
        <w:t>Table 5.5.3</w:t>
      </w:r>
      <w:r w:rsidRPr="00BE78CA">
        <w:rPr>
          <w:rFonts w:cs="Calibri"/>
        </w:rPr>
        <w:tab/>
        <w:t>Direct nitrous oxide (N</w:t>
      </w:r>
      <w:r w:rsidRPr="00BE78CA">
        <w:rPr>
          <w:rFonts w:cs="Calibri"/>
          <w:vertAlign w:val="subscript"/>
        </w:rPr>
        <w:t>2</w:t>
      </w:r>
      <w:r w:rsidRPr="00BE78CA">
        <w:rPr>
          <w:rFonts w:cs="Calibri"/>
        </w:rPr>
        <w:t>O) emission factors for urine deposited by cattle, sheep and deer,</w:t>
      </w:r>
      <w:r w:rsidRPr="00BE78CA">
        <w:rPr>
          <w:rFonts w:cs="Calibri"/>
        </w:rPr>
        <w:br/>
        <w:t>by livestock type and slope, using values calculated by van der Weerden et al. (2019, 2020)</w:t>
      </w:r>
      <w:bookmarkEnd w:id="845"/>
      <w:bookmarkEnd w:id="846"/>
      <w:bookmarkEnd w:id="847"/>
    </w:p>
    <w:tbl>
      <w:tblPr>
        <w:tblW w:w="8505" w:type="dxa"/>
        <w:tblBorders>
          <w:top w:val="single" w:sz="4" w:space="0" w:color="365F91"/>
          <w:bottom w:val="single" w:sz="4" w:space="0" w:color="365F91"/>
          <w:insideH w:val="single" w:sz="4" w:space="0" w:color="365F91"/>
        </w:tblBorders>
        <w:tblCellMar>
          <w:left w:w="85" w:type="dxa"/>
          <w:right w:w="85" w:type="dxa"/>
        </w:tblCellMar>
        <w:tblLook w:val="01E0" w:firstRow="1" w:lastRow="1" w:firstColumn="1" w:lastColumn="1" w:noHBand="0" w:noVBand="0"/>
      </w:tblPr>
      <w:tblGrid>
        <w:gridCol w:w="3193"/>
        <w:gridCol w:w="2581"/>
        <w:gridCol w:w="2731"/>
      </w:tblGrid>
      <w:tr w:rsidR="00477DE6" w:rsidRPr="00BE78CA" w14:paraId="4EC80D7F" w14:textId="77777777" w:rsidTr="00477DE6">
        <w:trPr>
          <w:tblHeader/>
        </w:trPr>
        <w:tc>
          <w:tcPr>
            <w:tcW w:w="3153" w:type="dxa"/>
            <w:shd w:val="clear" w:color="auto" w:fill="365F91"/>
            <w:vAlign w:val="bottom"/>
          </w:tcPr>
          <w:p w14:paraId="386C1214" w14:textId="77777777" w:rsidR="00F02481" w:rsidRPr="00BE78CA" w:rsidRDefault="00F02481" w:rsidP="00C26084">
            <w:pPr>
              <w:pStyle w:val="TableTextBold"/>
              <w:keepNext/>
              <w:rPr>
                <w:noProof w:val="0"/>
                <w:color w:val="FFFFFF" w:themeColor="background1"/>
              </w:rPr>
            </w:pPr>
          </w:p>
        </w:tc>
        <w:tc>
          <w:tcPr>
            <w:tcW w:w="5244" w:type="dxa"/>
            <w:gridSpan w:val="2"/>
            <w:shd w:val="clear" w:color="auto" w:fill="365F91"/>
          </w:tcPr>
          <w:p w14:paraId="24FE6727" w14:textId="77777777" w:rsidR="00F02481" w:rsidRPr="00BE78CA" w:rsidRDefault="00F02481" w:rsidP="0038135F">
            <w:pPr>
              <w:pStyle w:val="TableTextBold"/>
              <w:keepNext/>
              <w:spacing w:after="0"/>
              <w:jc w:val="center"/>
              <w:rPr>
                <w:noProof w:val="0"/>
                <w:color w:val="FFFFFF" w:themeColor="background1"/>
              </w:rPr>
            </w:pPr>
            <w:r w:rsidRPr="00BE78CA">
              <w:rPr>
                <w:noProof w:val="0"/>
                <w:color w:val="FFFFFF" w:themeColor="background1"/>
              </w:rPr>
              <w:t>Emissions factor by slope</w:t>
            </w:r>
          </w:p>
        </w:tc>
      </w:tr>
      <w:tr w:rsidR="00477DE6" w:rsidRPr="00BE78CA" w14:paraId="0E1127C5" w14:textId="77777777" w:rsidTr="00477DE6">
        <w:trPr>
          <w:tblHeader/>
        </w:trPr>
        <w:tc>
          <w:tcPr>
            <w:tcW w:w="3153" w:type="dxa"/>
            <w:shd w:val="clear" w:color="auto" w:fill="365F91"/>
            <w:vAlign w:val="bottom"/>
          </w:tcPr>
          <w:p w14:paraId="6BBAA22B" w14:textId="77777777" w:rsidR="00F02481" w:rsidRPr="00BE78CA" w:rsidRDefault="00F02481" w:rsidP="0038135F">
            <w:pPr>
              <w:pStyle w:val="TableTextBold"/>
              <w:keepNext/>
              <w:spacing w:before="40" w:after="40"/>
              <w:rPr>
                <w:noProof w:val="0"/>
                <w:color w:val="FFFFFF" w:themeColor="background1"/>
              </w:rPr>
            </w:pPr>
            <w:r w:rsidRPr="00BE78CA">
              <w:rPr>
                <w:noProof w:val="0"/>
                <w:color w:val="FFFFFF" w:themeColor="background1"/>
              </w:rPr>
              <w:t>Livestock type</w:t>
            </w:r>
          </w:p>
        </w:tc>
        <w:tc>
          <w:tcPr>
            <w:tcW w:w="2548" w:type="dxa"/>
            <w:shd w:val="clear" w:color="auto" w:fill="365F91"/>
            <w:vAlign w:val="center"/>
          </w:tcPr>
          <w:p w14:paraId="71EC2E13" w14:textId="77777777" w:rsidR="00F02481" w:rsidRPr="00BE78CA" w:rsidRDefault="00F02481" w:rsidP="0038135F">
            <w:pPr>
              <w:pStyle w:val="TableTextBold"/>
              <w:keepNext/>
              <w:spacing w:before="0" w:after="0"/>
              <w:rPr>
                <w:noProof w:val="0"/>
                <w:color w:val="FFFFFF" w:themeColor="background1"/>
                <w:szCs w:val="21"/>
              </w:rPr>
            </w:pPr>
            <w:r w:rsidRPr="00BE78CA">
              <w:rPr>
                <w:noProof w:val="0"/>
                <w:color w:val="FFFFFF" w:themeColor="background1"/>
              </w:rPr>
              <w:t>Flat and low sloped land (less than 12</w:t>
            </w:r>
            <w:r w:rsidRPr="00BE78CA">
              <w:rPr>
                <w:noProof w:val="0"/>
                <w:color w:val="FFFFFF" w:themeColor="background1"/>
                <w:szCs w:val="21"/>
              </w:rPr>
              <w:t>° gradient)</w:t>
            </w:r>
          </w:p>
          <w:p w14:paraId="0CB082D2" w14:textId="77777777" w:rsidR="00F02481" w:rsidRPr="00BE78CA" w:rsidRDefault="00F02481" w:rsidP="0038135F">
            <w:pPr>
              <w:pStyle w:val="TableTextBold"/>
              <w:keepNext/>
              <w:spacing w:before="0" w:after="40"/>
              <w:rPr>
                <w:noProof w:val="0"/>
                <w:color w:val="FFFFFF" w:themeColor="background1"/>
              </w:rPr>
            </w:pPr>
            <w:r w:rsidRPr="00BE78CA">
              <w:rPr>
                <w:noProof w:val="0"/>
                <w:color w:val="FFFFFF" w:themeColor="background1"/>
              </w:rPr>
              <w:t>EF</w:t>
            </w:r>
            <w:r w:rsidRPr="00BE78CA">
              <w:rPr>
                <w:noProof w:val="0"/>
                <w:color w:val="FFFFFF" w:themeColor="background1"/>
                <w:vertAlign w:val="subscript"/>
              </w:rPr>
              <w:t>3,PRP-FLAT</w:t>
            </w:r>
          </w:p>
        </w:tc>
        <w:tc>
          <w:tcPr>
            <w:tcW w:w="2696" w:type="dxa"/>
            <w:shd w:val="clear" w:color="auto" w:fill="365F91"/>
            <w:vAlign w:val="center"/>
          </w:tcPr>
          <w:p w14:paraId="6A9765C3" w14:textId="77777777" w:rsidR="00F02481" w:rsidRPr="00BE78CA" w:rsidRDefault="00F02481" w:rsidP="0038135F">
            <w:pPr>
              <w:pStyle w:val="TableTextBold"/>
              <w:keepNext/>
              <w:spacing w:before="0" w:after="0"/>
              <w:rPr>
                <w:noProof w:val="0"/>
                <w:color w:val="FFFFFF" w:themeColor="background1"/>
                <w:szCs w:val="21"/>
              </w:rPr>
            </w:pPr>
            <w:r w:rsidRPr="00BE78CA">
              <w:rPr>
                <w:noProof w:val="0"/>
                <w:color w:val="FFFFFF" w:themeColor="background1"/>
              </w:rPr>
              <w:t>Medium and steep sloped land (greater than 12</w:t>
            </w:r>
            <w:r w:rsidRPr="00BE78CA">
              <w:rPr>
                <w:noProof w:val="0"/>
                <w:color w:val="FFFFFF" w:themeColor="background1"/>
                <w:szCs w:val="21"/>
              </w:rPr>
              <w:t>° gradient)</w:t>
            </w:r>
          </w:p>
          <w:p w14:paraId="4D27E1E0" w14:textId="77777777" w:rsidR="00F02481" w:rsidRPr="00BE78CA" w:rsidRDefault="00F02481" w:rsidP="0038135F">
            <w:pPr>
              <w:pStyle w:val="TableTextBold"/>
              <w:keepNext/>
              <w:spacing w:before="0" w:after="40"/>
              <w:rPr>
                <w:noProof w:val="0"/>
                <w:color w:val="FFFFFF" w:themeColor="background1"/>
              </w:rPr>
            </w:pPr>
            <w:r w:rsidRPr="00BE78CA">
              <w:rPr>
                <w:noProof w:val="0"/>
                <w:color w:val="FFFFFF" w:themeColor="background1"/>
              </w:rPr>
              <w:t>EF</w:t>
            </w:r>
            <w:r w:rsidRPr="00BE78CA">
              <w:rPr>
                <w:noProof w:val="0"/>
                <w:color w:val="FFFFFF" w:themeColor="background1"/>
                <w:vertAlign w:val="subscript"/>
              </w:rPr>
              <w:t>3,PRP-STEEP</w:t>
            </w:r>
          </w:p>
        </w:tc>
      </w:tr>
      <w:tr w:rsidR="00F02481" w:rsidRPr="00BE78CA" w14:paraId="261F3863" w14:textId="77777777" w:rsidTr="00477DE6">
        <w:tc>
          <w:tcPr>
            <w:tcW w:w="3153" w:type="dxa"/>
          </w:tcPr>
          <w:p w14:paraId="432F586E" w14:textId="77777777" w:rsidR="00F02481" w:rsidRPr="00BE78CA" w:rsidRDefault="00F02481" w:rsidP="0038135F">
            <w:pPr>
              <w:pStyle w:val="TableText"/>
              <w:spacing w:before="40" w:after="40"/>
              <w:rPr>
                <w:rFonts w:cs="Calibri"/>
              </w:rPr>
            </w:pPr>
            <w:r w:rsidRPr="00BE78CA">
              <w:rPr>
                <w:rFonts w:cs="Calibri"/>
              </w:rPr>
              <w:t>All cattle (includes dairy and non-dairy)</w:t>
            </w:r>
          </w:p>
        </w:tc>
        <w:tc>
          <w:tcPr>
            <w:tcW w:w="2548" w:type="dxa"/>
            <w:vAlign w:val="center"/>
          </w:tcPr>
          <w:p w14:paraId="0A603FB8" w14:textId="77777777" w:rsidR="00F02481" w:rsidRPr="00BE78CA" w:rsidRDefault="00F02481" w:rsidP="0038135F">
            <w:pPr>
              <w:pStyle w:val="TableText"/>
              <w:spacing w:before="40" w:after="40"/>
              <w:rPr>
                <w:rFonts w:cs="Calibri"/>
              </w:rPr>
            </w:pPr>
            <w:r w:rsidRPr="00BE78CA">
              <w:rPr>
                <w:rFonts w:cs="Calibri"/>
              </w:rPr>
              <w:t>0.0098</w:t>
            </w:r>
          </w:p>
        </w:tc>
        <w:tc>
          <w:tcPr>
            <w:tcW w:w="2696" w:type="dxa"/>
            <w:vAlign w:val="center"/>
          </w:tcPr>
          <w:p w14:paraId="29791B76" w14:textId="77777777" w:rsidR="00F02481" w:rsidRPr="00BE78CA" w:rsidRDefault="00F02481" w:rsidP="0038135F">
            <w:pPr>
              <w:pStyle w:val="TableText"/>
              <w:spacing w:before="40" w:after="40"/>
              <w:rPr>
                <w:rFonts w:cs="Calibri"/>
              </w:rPr>
            </w:pPr>
            <w:r w:rsidRPr="00BE78CA">
              <w:rPr>
                <w:rFonts w:cs="Calibri"/>
              </w:rPr>
              <w:t>0.0033</w:t>
            </w:r>
          </w:p>
        </w:tc>
      </w:tr>
      <w:tr w:rsidR="00F02481" w:rsidRPr="00BE78CA" w14:paraId="52B5143A" w14:textId="77777777" w:rsidTr="00477DE6">
        <w:tc>
          <w:tcPr>
            <w:tcW w:w="3153" w:type="dxa"/>
          </w:tcPr>
          <w:p w14:paraId="16C3027D" w14:textId="77777777" w:rsidR="00F02481" w:rsidRPr="00BE78CA" w:rsidRDefault="00F02481" w:rsidP="0038135F">
            <w:pPr>
              <w:pStyle w:val="TableText"/>
              <w:spacing w:before="40" w:after="40"/>
              <w:rPr>
                <w:rFonts w:cs="Calibri"/>
              </w:rPr>
            </w:pPr>
            <w:r w:rsidRPr="00BE78CA">
              <w:rPr>
                <w:rFonts w:cs="Calibri"/>
              </w:rPr>
              <w:t>Deer</w:t>
            </w:r>
          </w:p>
        </w:tc>
        <w:tc>
          <w:tcPr>
            <w:tcW w:w="2548" w:type="dxa"/>
            <w:vAlign w:val="center"/>
          </w:tcPr>
          <w:p w14:paraId="524324B0" w14:textId="77777777" w:rsidR="00F02481" w:rsidRPr="00BE78CA" w:rsidRDefault="00F02481" w:rsidP="0038135F">
            <w:pPr>
              <w:pStyle w:val="TableText"/>
              <w:spacing w:before="40" w:after="40"/>
              <w:rPr>
                <w:rFonts w:cs="Calibri"/>
              </w:rPr>
            </w:pPr>
            <w:r w:rsidRPr="00BE78CA">
              <w:rPr>
                <w:rFonts w:cs="Calibri"/>
              </w:rPr>
              <w:t>0.0074</w:t>
            </w:r>
          </w:p>
        </w:tc>
        <w:tc>
          <w:tcPr>
            <w:tcW w:w="2696" w:type="dxa"/>
            <w:vAlign w:val="center"/>
          </w:tcPr>
          <w:p w14:paraId="74E36560" w14:textId="77777777" w:rsidR="00F02481" w:rsidRPr="00BE78CA" w:rsidRDefault="00F02481" w:rsidP="0038135F">
            <w:pPr>
              <w:pStyle w:val="TableText"/>
              <w:spacing w:before="40" w:after="40"/>
              <w:rPr>
                <w:rFonts w:cs="Calibri"/>
              </w:rPr>
            </w:pPr>
            <w:r w:rsidRPr="00BE78CA">
              <w:rPr>
                <w:rFonts w:cs="Calibri"/>
              </w:rPr>
              <w:t>0.0020</w:t>
            </w:r>
          </w:p>
        </w:tc>
      </w:tr>
      <w:tr w:rsidR="00F02481" w:rsidRPr="00BE78CA" w14:paraId="7E4BBDF7" w14:textId="77777777" w:rsidTr="00477DE6">
        <w:tc>
          <w:tcPr>
            <w:tcW w:w="3153" w:type="dxa"/>
          </w:tcPr>
          <w:p w14:paraId="07D5D4C2" w14:textId="77777777" w:rsidR="00F02481" w:rsidRPr="00BE78CA" w:rsidRDefault="00F02481" w:rsidP="0038135F">
            <w:pPr>
              <w:pStyle w:val="TableText"/>
              <w:spacing w:before="40" w:after="40"/>
              <w:rPr>
                <w:rFonts w:cs="Calibri"/>
              </w:rPr>
            </w:pPr>
            <w:r w:rsidRPr="00BE78CA">
              <w:rPr>
                <w:rFonts w:cs="Calibri"/>
              </w:rPr>
              <w:t xml:space="preserve">Sheep </w:t>
            </w:r>
          </w:p>
        </w:tc>
        <w:tc>
          <w:tcPr>
            <w:tcW w:w="2548" w:type="dxa"/>
            <w:vAlign w:val="center"/>
          </w:tcPr>
          <w:p w14:paraId="314FC83B" w14:textId="77777777" w:rsidR="00F02481" w:rsidRPr="00BE78CA" w:rsidRDefault="00F02481" w:rsidP="0038135F">
            <w:pPr>
              <w:pStyle w:val="TableText"/>
              <w:spacing w:before="40" w:after="40"/>
              <w:rPr>
                <w:rFonts w:cs="Calibri"/>
              </w:rPr>
            </w:pPr>
            <w:r w:rsidRPr="00BE78CA">
              <w:rPr>
                <w:rFonts w:cs="Calibri"/>
              </w:rPr>
              <w:t>0.0050</w:t>
            </w:r>
          </w:p>
        </w:tc>
        <w:tc>
          <w:tcPr>
            <w:tcW w:w="2696" w:type="dxa"/>
            <w:vAlign w:val="center"/>
          </w:tcPr>
          <w:p w14:paraId="5CC14A49" w14:textId="77777777" w:rsidR="00F02481" w:rsidRPr="00BE78CA" w:rsidRDefault="00F02481" w:rsidP="0038135F">
            <w:pPr>
              <w:pStyle w:val="TableText"/>
              <w:spacing w:before="40" w:after="40"/>
              <w:rPr>
                <w:rFonts w:cs="Calibri"/>
              </w:rPr>
            </w:pPr>
            <w:r w:rsidRPr="00BE78CA">
              <w:rPr>
                <w:rFonts w:cs="Calibri"/>
              </w:rPr>
              <w:t>0.0008</w:t>
            </w:r>
          </w:p>
        </w:tc>
      </w:tr>
    </w:tbl>
    <w:p w14:paraId="3AC398B4" w14:textId="77777777" w:rsidR="00F02481" w:rsidRPr="00BE78CA" w:rsidRDefault="00F02481" w:rsidP="00C26084">
      <w:pPr>
        <w:pStyle w:val="Table"/>
        <w:spacing w:before="240"/>
        <w:rPr>
          <w:rFonts w:cs="Calibri"/>
        </w:rPr>
      </w:pPr>
      <w:bookmarkStart w:id="854" w:name="_Toc32570930"/>
      <w:bookmarkStart w:id="855" w:name="_Toc36224565"/>
      <w:bookmarkStart w:id="856" w:name="_Toc68786450"/>
      <w:r w:rsidRPr="00BE78CA">
        <w:rPr>
          <w:rFonts w:cs="Calibri"/>
        </w:rPr>
        <w:t>Table 5.5.4</w:t>
      </w:r>
      <w:r w:rsidRPr="00BE78CA">
        <w:rPr>
          <w:rFonts w:cs="Calibri"/>
        </w:rPr>
        <w:tab/>
        <w:t>Parameters for indirect nitrous oxide (N</w:t>
      </w:r>
      <w:r w:rsidRPr="00BE78CA">
        <w:rPr>
          <w:rFonts w:cs="Calibri"/>
          <w:vertAlign w:val="subscript"/>
        </w:rPr>
        <w:t>2</w:t>
      </w:r>
      <w:r w:rsidRPr="00BE78CA">
        <w:rPr>
          <w:rFonts w:cs="Calibri"/>
        </w:rPr>
        <w:t>O) emissions from agricultural soils in New Zealand</w:t>
      </w:r>
      <w:bookmarkEnd w:id="848"/>
      <w:bookmarkEnd w:id="849"/>
      <w:bookmarkEnd w:id="850"/>
      <w:bookmarkEnd w:id="851"/>
      <w:bookmarkEnd w:id="852"/>
      <w:bookmarkEnd w:id="853"/>
      <w:bookmarkEnd w:id="854"/>
      <w:bookmarkEnd w:id="855"/>
      <w:bookmarkEnd w:id="856"/>
    </w:p>
    <w:tbl>
      <w:tblPr>
        <w:tblW w:w="8505" w:type="dxa"/>
        <w:tblBorders>
          <w:top w:val="single" w:sz="4" w:space="0" w:color="365F91"/>
          <w:bottom w:val="single" w:sz="4" w:space="0" w:color="365F91"/>
          <w:insideH w:val="single" w:sz="4" w:space="0" w:color="365F91"/>
        </w:tblBorders>
        <w:tblCellMar>
          <w:right w:w="85" w:type="dxa"/>
        </w:tblCellMar>
        <w:tblLook w:val="01E0" w:firstRow="1" w:lastRow="1" w:firstColumn="1" w:lastColumn="1" w:noHBand="0" w:noVBand="0"/>
      </w:tblPr>
      <w:tblGrid>
        <w:gridCol w:w="2268"/>
        <w:gridCol w:w="993"/>
        <w:gridCol w:w="1559"/>
        <w:gridCol w:w="1701"/>
        <w:gridCol w:w="1984"/>
      </w:tblGrid>
      <w:tr w:rsidR="00477DE6" w:rsidRPr="00BE78CA" w14:paraId="57B1D164" w14:textId="77777777" w:rsidTr="00D0286E">
        <w:trPr>
          <w:tblHeader/>
        </w:trPr>
        <w:tc>
          <w:tcPr>
            <w:tcW w:w="2268" w:type="dxa"/>
            <w:shd w:val="clear" w:color="auto" w:fill="365F91"/>
            <w:vAlign w:val="bottom"/>
          </w:tcPr>
          <w:p w14:paraId="7CC6017C" w14:textId="77777777" w:rsidR="00F02481" w:rsidRPr="00BE78CA" w:rsidRDefault="00F02481" w:rsidP="00C26084">
            <w:pPr>
              <w:pStyle w:val="TableTextBold"/>
              <w:keepNext/>
              <w:spacing w:before="40" w:after="40"/>
              <w:rPr>
                <w:noProof w:val="0"/>
                <w:color w:val="FFFFFF" w:themeColor="background1"/>
              </w:rPr>
            </w:pPr>
            <w:r w:rsidRPr="00BE78CA">
              <w:rPr>
                <w:noProof w:val="0"/>
                <w:color w:val="FFFFFF" w:themeColor="background1"/>
              </w:rPr>
              <w:t>Category</w:t>
            </w:r>
          </w:p>
        </w:tc>
        <w:tc>
          <w:tcPr>
            <w:tcW w:w="4253" w:type="dxa"/>
            <w:gridSpan w:val="3"/>
            <w:shd w:val="clear" w:color="auto" w:fill="365F91"/>
            <w:vAlign w:val="bottom"/>
          </w:tcPr>
          <w:p w14:paraId="5333F8EB" w14:textId="77777777" w:rsidR="00F02481" w:rsidRPr="00BE78CA" w:rsidRDefault="00F02481" w:rsidP="00C26084">
            <w:pPr>
              <w:pStyle w:val="TableTextBold"/>
              <w:keepNext/>
              <w:spacing w:before="40" w:after="40"/>
              <w:jc w:val="center"/>
              <w:rPr>
                <w:noProof w:val="0"/>
                <w:color w:val="FFFFFF" w:themeColor="background1"/>
              </w:rPr>
            </w:pPr>
            <w:r w:rsidRPr="00BE78CA">
              <w:rPr>
                <w:noProof w:val="0"/>
                <w:color w:val="FFFFFF" w:themeColor="background1"/>
              </w:rPr>
              <w:t>Parameter</w:t>
            </w:r>
          </w:p>
        </w:tc>
        <w:tc>
          <w:tcPr>
            <w:tcW w:w="1984" w:type="dxa"/>
            <w:shd w:val="clear" w:color="auto" w:fill="365F91"/>
            <w:vAlign w:val="bottom"/>
          </w:tcPr>
          <w:p w14:paraId="0BE1276A" w14:textId="77777777" w:rsidR="00F02481" w:rsidRPr="00BE78CA" w:rsidRDefault="00F02481" w:rsidP="00C26084">
            <w:pPr>
              <w:pStyle w:val="TableTextBold"/>
              <w:keepNext/>
              <w:spacing w:before="40" w:after="40"/>
              <w:rPr>
                <w:noProof w:val="0"/>
                <w:color w:val="FFFFFF" w:themeColor="background1"/>
              </w:rPr>
            </w:pPr>
            <w:r w:rsidRPr="00BE78CA">
              <w:rPr>
                <w:noProof w:val="0"/>
                <w:color w:val="FFFFFF" w:themeColor="background1"/>
              </w:rPr>
              <w:t>Source</w:t>
            </w:r>
          </w:p>
        </w:tc>
      </w:tr>
      <w:tr w:rsidR="00F02481" w:rsidRPr="00BE78CA" w14:paraId="2A1FB4CA" w14:textId="77777777" w:rsidTr="00D0286E">
        <w:tc>
          <w:tcPr>
            <w:tcW w:w="8505" w:type="dxa"/>
            <w:gridSpan w:val="5"/>
          </w:tcPr>
          <w:p w14:paraId="5BBAD8E5" w14:textId="77777777" w:rsidR="00F02481" w:rsidRPr="00BE78CA" w:rsidRDefault="00F02481" w:rsidP="0038135F">
            <w:pPr>
              <w:pStyle w:val="TableText"/>
              <w:spacing w:before="40" w:after="40"/>
              <w:rPr>
                <w:rFonts w:cs="Calibri"/>
                <w:b/>
                <w:bCs/>
              </w:rPr>
            </w:pPr>
            <w:r w:rsidRPr="00BE78CA">
              <w:rPr>
                <w:rFonts w:cs="Calibri"/>
                <w:b/>
                <w:bCs/>
              </w:rPr>
              <w:t>3.D.2 Indirect N</w:t>
            </w:r>
            <w:r w:rsidRPr="00BE78CA">
              <w:rPr>
                <w:rFonts w:cs="Calibri"/>
                <w:b/>
                <w:bCs/>
                <w:vertAlign w:val="subscript"/>
              </w:rPr>
              <w:t>2</w:t>
            </w:r>
            <w:r w:rsidRPr="00BE78CA">
              <w:rPr>
                <w:rFonts w:cs="Calibri"/>
                <w:b/>
                <w:bCs/>
              </w:rPr>
              <w:t>O emissions</w:t>
            </w:r>
          </w:p>
        </w:tc>
      </w:tr>
      <w:tr w:rsidR="00F02481" w:rsidRPr="00BE78CA" w14:paraId="02BE58A3" w14:textId="77777777" w:rsidTr="00D0286E">
        <w:tc>
          <w:tcPr>
            <w:tcW w:w="2268" w:type="dxa"/>
          </w:tcPr>
          <w:p w14:paraId="1D677CEE" w14:textId="77777777" w:rsidR="00F02481" w:rsidRPr="00BE78CA" w:rsidRDefault="00F02481" w:rsidP="0038135F">
            <w:pPr>
              <w:pStyle w:val="TableText"/>
              <w:spacing w:before="40" w:after="40"/>
              <w:rPr>
                <w:rFonts w:cs="Calibri"/>
              </w:rPr>
            </w:pPr>
            <w:r w:rsidRPr="00BE78CA">
              <w:rPr>
                <w:rFonts w:cs="Calibri"/>
              </w:rPr>
              <w:t>Fraction of volatilisation from synthetic fertiliser</w:t>
            </w:r>
          </w:p>
        </w:tc>
        <w:tc>
          <w:tcPr>
            <w:tcW w:w="993" w:type="dxa"/>
          </w:tcPr>
          <w:p w14:paraId="26307E3F" w14:textId="77777777" w:rsidR="00F02481" w:rsidRPr="00BE78CA" w:rsidRDefault="00F02481" w:rsidP="0038135F">
            <w:pPr>
              <w:pStyle w:val="TableText"/>
              <w:spacing w:before="40" w:after="40"/>
              <w:rPr>
                <w:rFonts w:cs="Calibri"/>
              </w:rPr>
            </w:pPr>
            <w:r w:rsidRPr="00BE78CA">
              <w:rPr>
                <w:rFonts w:cs="Calibri"/>
              </w:rPr>
              <w:t>Frac</w:t>
            </w:r>
            <w:r w:rsidRPr="00BE78CA">
              <w:rPr>
                <w:rFonts w:cs="Calibri"/>
                <w:vertAlign w:val="subscript"/>
              </w:rPr>
              <w:t>GASF</w:t>
            </w:r>
          </w:p>
        </w:tc>
        <w:tc>
          <w:tcPr>
            <w:tcW w:w="1559" w:type="dxa"/>
          </w:tcPr>
          <w:p w14:paraId="2D67EAD0" w14:textId="77777777" w:rsidR="00F02481" w:rsidRPr="00BE78CA" w:rsidRDefault="00F02481" w:rsidP="0038135F">
            <w:pPr>
              <w:pStyle w:val="TableText"/>
              <w:spacing w:before="40" w:after="40"/>
              <w:rPr>
                <w:rFonts w:cs="Calibri"/>
              </w:rPr>
            </w:pPr>
            <w:r w:rsidRPr="00BE78CA">
              <w:rPr>
                <w:rFonts w:cs="Calibri"/>
              </w:rPr>
              <w:t xml:space="preserve">0.1 </w:t>
            </w:r>
          </w:p>
        </w:tc>
        <w:tc>
          <w:tcPr>
            <w:tcW w:w="1701" w:type="dxa"/>
          </w:tcPr>
          <w:p w14:paraId="06A802AF" w14:textId="77777777" w:rsidR="00F02481" w:rsidRPr="00BE78CA" w:rsidRDefault="00F02481" w:rsidP="0038135F">
            <w:pPr>
              <w:pStyle w:val="TableText"/>
              <w:spacing w:before="40" w:after="40"/>
              <w:rPr>
                <w:rFonts w:cs="Calibri"/>
              </w:rPr>
            </w:pPr>
            <w:r w:rsidRPr="00BE78CA">
              <w:rPr>
                <w:rFonts w:cs="Calibri"/>
              </w:rPr>
              <w:t>kg NH</w:t>
            </w:r>
            <w:r w:rsidRPr="00BE78CA">
              <w:rPr>
                <w:rFonts w:cs="Calibri"/>
                <w:vertAlign w:val="subscript"/>
              </w:rPr>
              <w:t>3</w:t>
            </w:r>
            <w:r w:rsidRPr="00BE78CA">
              <w:rPr>
                <w:rFonts w:cs="Calibri"/>
              </w:rPr>
              <w:t>-N + NO</w:t>
            </w:r>
            <w:r w:rsidRPr="00BE78CA">
              <w:rPr>
                <w:rFonts w:cs="Calibri"/>
                <w:vertAlign w:val="subscript"/>
              </w:rPr>
              <w:t>x</w:t>
            </w:r>
            <w:r w:rsidRPr="00BE78CA">
              <w:rPr>
                <w:rFonts w:cs="Calibri"/>
              </w:rPr>
              <w:t>-N/kg N</w:t>
            </w:r>
          </w:p>
        </w:tc>
        <w:tc>
          <w:tcPr>
            <w:tcW w:w="1984" w:type="dxa"/>
          </w:tcPr>
          <w:p w14:paraId="767BB43C" w14:textId="77777777" w:rsidR="00F02481" w:rsidRPr="00BE78CA" w:rsidRDefault="00F02481" w:rsidP="0038135F">
            <w:pPr>
              <w:pStyle w:val="TableText"/>
              <w:spacing w:before="40" w:after="40"/>
              <w:rPr>
                <w:rFonts w:cs="Calibri"/>
              </w:rPr>
            </w:pPr>
            <w:r w:rsidRPr="00BE78CA">
              <w:rPr>
                <w:rFonts w:cs="Calibri"/>
              </w:rPr>
              <w:t>IPCC (2006), verified by Sherlock et al. (2008)</w:t>
            </w:r>
          </w:p>
        </w:tc>
      </w:tr>
      <w:tr w:rsidR="00F02481" w:rsidRPr="00BE78CA" w14:paraId="76397AFF" w14:textId="77777777" w:rsidTr="00D0286E">
        <w:tc>
          <w:tcPr>
            <w:tcW w:w="2268" w:type="dxa"/>
          </w:tcPr>
          <w:p w14:paraId="5B5B1BFC" w14:textId="77777777" w:rsidR="00F02481" w:rsidRPr="00BE78CA" w:rsidRDefault="00F02481" w:rsidP="0038135F">
            <w:pPr>
              <w:pStyle w:val="TableText"/>
              <w:spacing w:before="40" w:after="40"/>
              <w:rPr>
                <w:rFonts w:cs="Calibri"/>
              </w:rPr>
            </w:pPr>
            <w:r w:rsidRPr="00BE78CA">
              <w:rPr>
                <w:rFonts w:cs="Calibri"/>
              </w:rPr>
              <w:t xml:space="preserve">Fraction of volatilisation from organic nitrogen additions including pasture manure </w:t>
            </w:r>
          </w:p>
        </w:tc>
        <w:tc>
          <w:tcPr>
            <w:tcW w:w="993" w:type="dxa"/>
          </w:tcPr>
          <w:p w14:paraId="514D8A49" w14:textId="77777777" w:rsidR="00F02481" w:rsidRPr="00BE78CA" w:rsidRDefault="00F02481" w:rsidP="0038135F">
            <w:pPr>
              <w:pStyle w:val="TableText"/>
              <w:spacing w:before="40" w:after="40"/>
              <w:rPr>
                <w:rFonts w:cs="Calibri"/>
              </w:rPr>
            </w:pPr>
            <w:r w:rsidRPr="00BE78CA">
              <w:rPr>
                <w:rFonts w:cs="Calibri"/>
              </w:rPr>
              <w:t>Frac</w:t>
            </w:r>
            <w:r w:rsidRPr="00BE78CA">
              <w:rPr>
                <w:rFonts w:cs="Calibri"/>
                <w:vertAlign w:val="subscript"/>
              </w:rPr>
              <w:t>GASM</w:t>
            </w:r>
          </w:p>
        </w:tc>
        <w:tc>
          <w:tcPr>
            <w:tcW w:w="1559" w:type="dxa"/>
          </w:tcPr>
          <w:p w14:paraId="26BEE70A" w14:textId="77777777" w:rsidR="00F02481" w:rsidRPr="00BE78CA" w:rsidRDefault="00F02481" w:rsidP="0038135F">
            <w:pPr>
              <w:pStyle w:val="TableText"/>
              <w:spacing w:before="40" w:after="40"/>
              <w:rPr>
                <w:rFonts w:cs="Calibri"/>
              </w:rPr>
            </w:pPr>
            <w:r w:rsidRPr="00BE78CA">
              <w:rPr>
                <w:rFonts w:cs="Calibri"/>
              </w:rPr>
              <w:t>0.1</w:t>
            </w:r>
          </w:p>
        </w:tc>
        <w:tc>
          <w:tcPr>
            <w:tcW w:w="1701" w:type="dxa"/>
          </w:tcPr>
          <w:p w14:paraId="04B24048" w14:textId="77777777" w:rsidR="00F02481" w:rsidRPr="00BE78CA" w:rsidRDefault="00F02481" w:rsidP="0038135F">
            <w:pPr>
              <w:pStyle w:val="TableText"/>
              <w:spacing w:before="40" w:after="40"/>
              <w:rPr>
                <w:rFonts w:cs="Calibri"/>
              </w:rPr>
            </w:pPr>
            <w:r w:rsidRPr="00BE78CA">
              <w:rPr>
                <w:rFonts w:cs="Calibri"/>
              </w:rPr>
              <w:t>kg NH</w:t>
            </w:r>
            <w:r w:rsidRPr="00BE78CA">
              <w:rPr>
                <w:rFonts w:cs="Calibri"/>
                <w:vertAlign w:val="subscript"/>
              </w:rPr>
              <w:t>3</w:t>
            </w:r>
            <w:r w:rsidRPr="00BE78CA">
              <w:rPr>
                <w:rFonts w:cs="Calibri"/>
              </w:rPr>
              <w:t>-N + NO</w:t>
            </w:r>
            <w:r w:rsidRPr="00BE78CA">
              <w:rPr>
                <w:rFonts w:cs="Calibri"/>
                <w:vertAlign w:val="subscript"/>
              </w:rPr>
              <w:t>x</w:t>
            </w:r>
            <w:r w:rsidRPr="00BE78CA">
              <w:rPr>
                <w:rFonts w:cs="Calibri"/>
              </w:rPr>
              <w:t>-N/kg N</w:t>
            </w:r>
          </w:p>
        </w:tc>
        <w:tc>
          <w:tcPr>
            <w:tcW w:w="1984" w:type="dxa"/>
          </w:tcPr>
          <w:p w14:paraId="4558AEDF" w14:textId="77777777" w:rsidR="00F02481" w:rsidRPr="00BE78CA" w:rsidRDefault="00F02481" w:rsidP="0038135F">
            <w:pPr>
              <w:pStyle w:val="TableText"/>
              <w:spacing w:before="40" w:after="40"/>
              <w:rPr>
                <w:rFonts w:cs="Calibri"/>
              </w:rPr>
            </w:pPr>
            <w:r w:rsidRPr="00BE78CA">
              <w:rPr>
                <w:rFonts w:cs="Calibri"/>
              </w:rPr>
              <w:t>Sherlock et al. (2008)</w:t>
            </w:r>
          </w:p>
        </w:tc>
      </w:tr>
      <w:tr w:rsidR="00F02481" w:rsidRPr="00BE78CA" w14:paraId="6CACA7D7" w14:textId="77777777" w:rsidTr="00D0286E">
        <w:tc>
          <w:tcPr>
            <w:tcW w:w="2268" w:type="dxa"/>
          </w:tcPr>
          <w:p w14:paraId="16308E9D" w14:textId="77777777" w:rsidR="00F02481" w:rsidRPr="00BE78CA" w:rsidRDefault="00F02481" w:rsidP="0038135F">
            <w:pPr>
              <w:pStyle w:val="TableText"/>
              <w:spacing w:before="40" w:after="40"/>
              <w:rPr>
                <w:rFonts w:cs="Calibri"/>
              </w:rPr>
            </w:pPr>
            <w:r w:rsidRPr="00BE78CA">
              <w:rPr>
                <w:rFonts w:cs="Calibri"/>
              </w:rPr>
              <w:t>Fraction of leaching and runoff from all nitrogen applied to soil</w:t>
            </w:r>
          </w:p>
        </w:tc>
        <w:tc>
          <w:tcPr>
            <w:tcW w:w="993" w:type="dxa"/>
          </w:tcPr>
          <w:p w14:paraId="5FDBC7D1" w14:textId="77777777" w:rsidR="00F02481" w:rsidRPr="00BE78CA" w:rsidRDefault="00F02481" w:rsidP="0038135F">
            <w:pPr>
              <w:pStyle w:val="TableText"/>
              <w:spacing w:before="40" w:after="40"/>
              <w:rPr>
                <w:rFonts w:cs="Calibri"/>
              </w:rPr>
            </w:pPr>
            <w:r w:rsidRPr="00BE78CA">
              <w:rPr>
                <w:rFonts w:cs="Calibri"/>
              </w:rPr>
              <w:t>Frac</w:t>
            </w:r>
            <w:r w:rsidRPr="00BE78CA">
              <w:rPr>
                <w:rFonts w:cs="Calibri"/>
                <w:vertAlign w:val="subscript"/>
              </w:rPr>
              <w:t>LEACH – (H)</w:t>
            </w:r>
          </w:p>
        </w:tc>
        <w:tc>
          <w:tcPr>
            <w:tcW w:w="1559" w:type="dxa"/>
          </w:tcPr>
          <w:p w14:paraId="0D8D9244" w14:textId="77777777" w:rsidR="00F02481" w:rsidRPr="00BE78CA" w:rsidRDefault="00F02481" w:rsidP="0038135F">
            <w:pPr>
              <w:pStyle w:val="TableText"/>
              <w:spacing w:before="40" w:after="40"/>
              <w:rPr>
                <w:rFonts w:cs="Calibri"/>
              </w:rPr>
            </w:pPr>
            <w:r w:rsidRPr="00BE78CA">
              <w:rPr>
                <w:rFonts w:cs="Calibri"/>
              </w:rPr>
              <w:t>0.07</w:t>
            </w:r>
          </w:p>
        </w:tc>
        <w:tc>
          <w:tcPr>
            <w:tcW w:w="1701" w:type="dxa"/>
          </w:tcPr>
          <w:p w14:paraId="0B30FF6A" w14:textId="77777777" w:rsidR="00F02481" w:rsidRPr="00BE78CA" w:rsidRDefault="00F02481" w:rsidP="0038135F">
            <w:pPr>
              <w:pStyle w:val="TableText"/>
              <w:spacing w:before="40" w:after="40"/>
              <w:rPr>
                <w:rFonts w:cs="Calibri"/>
              </w:rPr>
            </w:pPr>
            <w:r w:rsidRPr="00BE78CA">
              <w:rPr>
                <w:rFonts w:cs="Calibri"/>
              </w:rPr>
              <w:t>kg N/kg N</w:t>
            </w:r>
          </w:p>
        </w:tc>
        <w:tc>
          <w:tcPr>
            <w:tcW w:w="1984" w:type="dxa"/>
          </w:tcPr>
          <w:p w14:paraId="71C34EA3" w14:textId="77777777" w:rsidR="00F02481" w:rsidRPr="00BE78CA" w:rsidRDefault="00F02481" w:rsidP="0038135F">
            <w:pPr>
              <w:pStyle w:val="TableText"/>
              <w:spacing w:before="40" w:after="40"/>
              <w:rPr>
                <w:rFonts w:cs="Calibri"/>
              </w:rPr>
            </w:pPr>
            <w:r w:rsidRPr="00BE78CA">
              <w:rPr>
                <w:rFonts w:cs="Calibri"/>
              </w:rPr>
              <w:t>Thomas et al. (unpublished, 2005)</w:t>
            </w:r>
          </w:p>
        </w:tc>
      </w:tr>
      <w:tr w:rsidR="00F02481" w:rsidRPr="00BE78CA" w14:paraId="5342EF21" w14:textId="77777777" w:rsidTr="00D0286E">
        <w:tc>
          <w:tcPr>
            <w:tcW w:w="2268" w:type="dxa"/>
          </w:tcPr>
          <w:p w14:paraId="36AFE136" w14:textId="77777777" w:rsidR="00F02481" w:rsidRPr="00BE78CA" w:rsidRDefault="00F02481" w:rsidP="0038135F">
            <w:pPr>
              <w:pStyle w:val="TableText"/>
              <w:spacing w:before="40" w:after="40"/>
              <w:rPr>
                <w:rFonts w:cs="Calibri"/>
              </w:rPr>
            </w:pPr>
            <w:r w:rsidRPr="00BE78CA">
              <w:rPr>
                <w:rFonts w:cs="Calibri"/>
              </w:rPr>
              <w:t xml:space="preserve">Fraction of crop residue burned in the field </w:t>
            </w:r>
          </w:p>
        </w:tc>
        <w:tc>
          <w:tcPr>
            <w:tcW w:w="993" w:type="dxa"/>
          </w:tcPr>
          <w:p w14:paraId="145FA312" w14:textId="77777777" w:rsidR="00F02481" w:rsidRPr="00BE78CA" w:rsidRDefault="00F02481" w:rsidP="0038135F">
            <w:pPr>
              <w:pStyle w:val="TableText"/>
              <w:spacing w:before="40" w:after="40"/>
              <w:rPr>
                <w:rFonts w:cs="Calibri"/>
              </w:rPr>
            </w:pPr>
            <w:r w:rsidRPr="00BE78CA">
              <w:rPr>
                <w:rFonts w:cs="Calibri"/>
              </w:rPr>
              <w:t>Frac</w:t>
            </w:r>
            <w:r w:rsidRPr="00BE78CA">
              <w:rPr>
                <w:rFonts w:cs="Calibri"/>
                <w:vertAlign w:val="subscript"/>
              </w:rPr>
              <w:t>BURN</w:t>
            </w:r>
          </w:p>
        </w:tc>
        <w:tc>
          <w:tcPr>
            <w:tcW w:w="1559" w:type="dxa"/>
          </w:tcPr>
          <w:p w14:paraId="33FFA3D6" w14:textId="77777777" w:rsidR="00F02481" w:rsidRPr="00BE78CA" w:rsidRDefault="00F02481" w:rsidP="0038135F">
            <w:pPr>
              <w:pStyle w:val="TableText"/>
              <w:spacing w:before="40" w:after="40"/>
              <w:rPr>
                <w:rFonts w:cs="Calibri"/>
              </w:rPr>
            </w:pPr>
            <w:r w:rsidRPr="00BE78CA">
              <w:rPr>
                <w:rFonts w:cs="Calibri"/>
              </w:rPr>
              <w:t>Crop-specific</w:t>
            </w:r>
          </w:p>
        </w:tc>
        <w:tc>
          <w:tcPr>
            <w:tcW w:w="1701" w:type="dxa"/>
          </w:tcPr>
          <w:p w14:paraId="713D085B" w14:textId="77777777" w:rsidR="00F02481" w:rsidRPr="00BE78CA" w:rsidRDefault="00F02481" w:rsidP="0038135F">
            <w:pPr>
              <w:pStyle w:val="TableText"/>
              <w:spacing w:before="40" w:after="40"/>
              <w:rPr>
                <w:rFonts w:cs="Calibri"/>
              </w:rPr>
            </w:pPr>
            <w:r w:rsidRPr="00BE78CA">
              <w:rPr>
                <w:rFonts w:cs="Calibri"/>
              </w:rPr>
              <w:t>kg N/kg crop-N</w:t>
            </w:r>
          </w:p>
        </w:tc>
        <w:tc>
          <w:tcPr>
            <w:tcW w:w="1984" w:type="dxa"/>
          </w:tcPr>
          <w:p w14:paraId="4D766D10" w14:textId="77777777" w:rsidR="00F02481" w:rsidRPr="00BE78CA" w:rsidRDefault="00F02481" w:rsidP="0038135F">
            <w:pPr>
              <w:pStyle w:val="TableText"/>
              <w:spacing w:before="40" w:after="40"/>
              <w:rPr>
                <w:rFonts w:cs="Calibri"/>
              </w:rPr>
            </w:pPr>
            <w:r w:rsidRPr="00BE78CA">
              <w:rPr>
                <w:rFonts w:cs="Calibri"/>
              </w:rPr>
              <w:t>Thomas et al. (2008, table 14)</w:t>
            </w:r>
          </w:p>
        </w:tc>
      </w:tr>
      <w:tr w:rsidR="00F02481" w:rsidRPr="00BE78CA" w14:paraId="7C78EEC2" w14:textId="77777777" w:rsidTr="00D0286E">
        <w:tc>
          <w:tcPr>
            <w:tcW w:w="2268" w:type="dxa"/>
          </w:tcPr>
          <w:p w14:paraId="49DCA98B" w14:textId="77777777" w:rsidR="00F02481" w:rsidRPr="00BE78CA" w:rsidRDefault="00F02481" w:rsidP="0038135F">
            <w:pPr>
              <w:pStyle w:val="TableText"/>
              <w:keepNext/>
              <w:spacing w:before="40" w:after="40"/>
              <w:rPr>
                <w:rFonts w:cs="Calibri"/>
              </w:rPr>
            </w:pPr>
            <w:r w:rsidRPr="00BE78CA">
              <w:rPr>
                <w:rFonts w:cs="Calibri"/>
              </w:rPr>
              <w:t>Fraction of legume crop residue burning in the field</w:t>
            </w:r>
          </w:p>
        </w:tc>
        <w:tc>
          <w:tcPr>
            <w:tcW w:w="993" w:type="dxa"/>
          </w:tcPr>
          <w:p w14:paraId="31610A32" w14:textId="77777777" w:rsidR="00F02481" w:rsidRPr="00BE78CA" w:rsidRDefault="00F02481" w:rsidP="0038135F">
            <w:pPr>
              <w:pStyle w:val="TableText"/>
              <w:keepNext/>
              <w:spacing w:before="40" w:after="40"/>
              <w:rPr>
                <w:rFonts w:cs="Calibri"/>
              </w:rPr>
            </w:pPr>
            <w:r w:rsidRPr="00BE78CA">
              <w:rPr>
                <w:rFonts w:cs="Calibri"/>
              </w:rPr>
              <w:t>Frac</w:t>
            </w:r>
            <w:r w:rsidRPr="00BE78CA">
              <w:rPr>
                <w:rFonts w:cs="Calibri"/>
                <w:vertAlign w:val="subscript"/>
              </w:rPr>
              <w:t>BURNL</w:t>
            </w:r>
          </w:p>
        </w:tc>
        <w:tc>
          <w:tcPr>
            <w:tcW w:w="1559" w:type="dxa"/>
          </w:tcPr>
          <w:p w14:paraId="72D0EBB0" w14:textId="77777777" w:rsidR="00F02481" w:rsidRPr="00BE78CA" w:rsidRDefault="00F02481" w:rsidP="0038135F">
            <w:pPr>
              <w:pStyle w:val="TableText"/>
              <w:keepNext/>
              <w:spacing w:before="40" w:after="40"/>
              <w:rPr>
                <w:rFonts w:cs="Calibri"/>
              </w:rPr>
            </w:pPr>
            <w:r w:rsidRPr="00BE78CA">
              <w:rPr>
                <w:rFonts w:cs="Calibri"/>
              </w:rPr>
              <w:t>0 (not burned in NZ)</w:t>
            </w:r>
          </w:p>
        </w:tc>
        <w:tc>
          <w:tcPr>
            <w:tcW w:w="1701" w:type="dxa"/>
          </w:tcPr>
          <w:p w14:paraId="53EEC2BC" w14:textId="77777777" w:rsidR="00F02481" w:rsidRPr="00BE78CA" w:rsidRDefault="00F02481" w:rsidP="0038135F">
            <w:pPr>
              <w:pStyle w:val="TableText"/>
              <w:keepNext/>
              <w:spacing w:before="40" w:after="40"/>
              <w:rPr>
                <w:rFonts w:cs="Calibri"/>
              </w:rPr>
            </w:pPr>
            <w:r w:rsidRPr="00BE78CA">
              <w:rPr>
                <w:rFonts w:cs="Calibri"/>
              </w:rPr>
              <w:t>kg N/kg crop-N</w:t>
            </w:r>
          </w:p>
        </w:tc>
        <w:tc>
          <w:tcPr>
            <w:tcW w:w="1984" w:type="dxa"/>
          </w:tcPr>
          <w:p w14:paraId="09B1939F" w14:textId="77777777" w:rsidR="00F02481" w:rsidRPr="00BE78CA" w:rsidRDefault="00F02481" w:rsidP="0038135F">
            <w:pPr>
              <w:pStyle w:val="TableText"/>
              <w:keepNext/>
              <w:spacing w:before="40" w:after="40"/>
              <w:rPr>
                <w:rFonts w:cs="Calibri"/>
              </w:rPr>
            </w:pPr>
            <w:r w:rsidRPr="00BE78CA">
              <w:rPr>
                <w:rFonts w:cs="Calibri"/>
              </w:rPr>
              <w:t xml:space="preserve">Thomas et al. (2008) </w:t>
            </w:r>
          </w:p>
        </w:tc>
      </w:tr>
      <w:tr w:rsidR="00F02481" w:rsidRPr="00BE78CA" w14:paraId="5B16F4A7" w14:textId="77777777" w:rsidTr="00D0286E">
        <w:tc>
          <w:tcPr>
            <w:tcW w:w="2268" w:type="dxa"/>
          </w:tcPr>
          <w:p w14:paraId="466C8AED" w14:textId="77777777" w:rsidR="00F02481" w:rsidRPr="00BE78CA" w:rsidRDefault="00F02481" w:rsidP="0038135F">
            <w:pPr>
              <w:pStyle w:val="TableText"/>
              <w:spacing w:before="40" w:after="40"/>
              <w:rPr>
                <w:rFonts w:cs="Calibri"/>
              </w:rPr>
            </w:pPr>
            <w:r w:rsidRPr="00BE78CA">
              <w:rPr>
                <w:rFonts w:cs="Calibri"/>
              </w:rPr>
              <w:t>Fraction of land undergoing pasture renewal</w:t>
            </w:r>
          </w:p>
        </w:tc>
        <w:tc>
          <w:tcPr>
            <w:tcW w:w="993" w:type="dxa"/>
          </w:tcPr>
          <w:p w14:paraId="4D1A8914" w14:textId="77777777" w:rsidR="00F02481" w:rsidRPr="00BE78CA" w:rsidRDefault="00F02481" w:rsidP="0038135F">
            <w:pPr>
              <w:pStyle w:val="TableText"/>
              <w:spacing w:before="40" w:after="40"/>
              <w:rPr>
                <w:rFonts w:cs="Calibri"/>
              </w:rPr>
            </w:pPr>
            <w:r w:rsidRPr="00BE78CA">
              <w:rPr>
                <w:rFonts w:cs="Calibri"/>
              </w:rPr>
              <w:t>Frac</w:t>
            </w:r>
            <w:r w:rsidRPr="00BE78CA">
              <w:rPr>
                <w:rFonts w:cs="Calibri"/>
                <w:vertAlign w:val="subscript"/>
              </w:rPr>
              <w:t>RENEW</w:t>
            </w:r>
          </w:p>
        </w:tc>
        <w:tc>
          <w:tcPr>
            <w:tcW w:w="1559" w:type="dxa"/>
          </w:tcPr>
          <w:p w14:paraId="0E099C16" w14:textId="77777777" w:rsidR="00F02481" w:rsidRPr="00BE78CA" w:rsidRDefault="00F02481" w:rsidP="0038135F">
            <w:pPr>
              <w:pStyle w:val="TableText"/>
              <w:spacing w:before="40" w:after="40"/>
              <w:rPr>
                <w:rStyle w:val="CommentReference"/>
                <w:rFonts w:cs="Calibri"/>
              </w:rPr>
            </w:pPr>
            <w:r w:rsidRPr="00BE78CA">
              <w:rPr>
                <w:rStyle w:val="CommentReference"/>
                <w:rFonts w:cs="Calibri"/>
              </w:rPr>
              <w:t>Year-specific</w:t>
            </w:r>
          </w:p>
        </w:tc>
        <w:tc>
          <w:tcPr>
            <w:tcW w:w="1701" w:type="dxa"/>
          </w:tcPr>
          <w:p w14:paraId="21B5A6F9" w14:textId="77777777" w:rsidR="00F02481" w:rsidRPr="00BE78CA" w:rsidRDefault="00F02481" w:rsidP="0038135F">
            <w:pPr>
              <w:pStyle w:val="TableText"/>
              <w:spacing w:before="40" w:after="40"/>
              <w:rPr>
                <w:rFonts w:cs="Calibri"/>
              </w:rPr>
            </w:pPr>
          </w:p>
        </w:tc>
        <w:tc>
          <w:tcPr>
            <w:tcW w:w="1984" w:type="dxa"/>
          </w:tcPr>
          <w:p w14:paraId="50D37406" w14:textId="77777777" w:rsidR="00F02481" w:rsidRPr="00BE78CA" w:rsidRDefault="00F02481" w:rsidP="0038135F">
            <w:pPr>
              <w:pStyle w:val="TableText"/>
              <w:spacing w:before="40" w:after="40"/>
              <w:rPr>
                <w:rFonts w:cs="Calibri"/>
              </w:rPr>
            </w:pPr>
            <w:r w:rsidRPr="00BE78CA">
              <w:rPr>
                <w:rFonts w:cs="Calibri"/>
              </w:rPr>
              <w:t>Beare et al. (unpublished); Thomas et al. (2014)</w:t>
            </w:r>
          </w:p>
        </w:tc>
      </w:tr>
      <w:tr w:rsidR="00F02481" w:rsidRPr="00BE78CA" w14:paraId="58EAFF06" w14:textId="77777777" w:rsidTr="00D0286E">
        <w:tc>
          <w:tcPr>
            <w:tcW w:w="2268" w:type="dxa"/>
          </w:tcPr>
          <w:p w14:paraId="1AB488C8" w14:textId="77777777" w:rsidR="00F02481" w:rsidRPr="00BE78CA" w:rsidRDefault="00F02481" w:rsidP="0038135F">
            <w:pPr>
              <w:pStyle w:val="TableText"/>
              <w:spacing w:before="40" w:after="40"/>
              <w:rPr>
                <w:rFonts w:cs="Calibri"/>
              </w:rPr>
            </w:pPr>
            <w:r w:rsidRPr="00BE78CA">
              <w:rPr>
                <w:rFonts w:cs="Calibri"/>
              </w:rPr>
              <w:t>Fraction of nitrogen in above-ground residues removed for bedding, feed or construction</w:t>
            </w:r>
          </w:p>
        </w:tc>
        <w:tc>
          <w:tcPr>
            <w:tcW w:w="993" w:type="dxa"/>
          </w:tcPr>
          <w:p w14:paraId="1AF01988" w14:textId="77777777" w:rsidR="00F02481" w:rsidRPr="00BE78CA" w:rsidRDefault="00F02481" w:rsidP="0038135F">
            <w:pPr>
              <w:pStyle w:val="TableText"/>
              <w:spacing w:before="40" w:after="40"/>
              <w:rPr>
                <w:rFonts w:cs="Calibri"/>
              </w:rPr>
            </w:pPr>
            <w:r w:rsidRPr="00BE78CA">
              <w:rPr>
                <w:rFonts w:cs="Calibri"/>
              </w:rPr>
              <w:t>Frac</w:t>
            </w:r>
            <w:r w:rsidRPr="00BE78CA">
              <w:rPr>
                <w:rFonts w:cs="Calibri"/>
                <w:vertAlign w:val="subscript"/>
              </w:rPr>
              <w:t>REMOVE</w:t>
            </w:r>
          </w:p>
        </w:tc>
        <w:tc>
          <w:tcPr>
            <w:tcW w:w="1559" w:type="dxa"/>
          </w:tcPr>
          <w:p w14:paraId="081024B7" w14:textId="77777777" w:rsidR="00F02481" w:rsidRPr="00BE78CA" w:rsidRDefault="00F02481" w:rsidP="0038135F">
            <w:pPr>
              <w:pStyle w:val="TableText"/>
              <w:spacing w:before="40" w:after="40"/>
              <w:rPr>
                <w:rFonts w:cs="Calibri"/>
              </w:rPr>
            </w:pPr>
            <w:r w:rsidRPr="00BE78CA">
              <w:rPr>
                <w:rFonts w:cs="Calibri"/>
              </w:rPr>
              <w:t>0</w:t>
            </w:r>
          </w:p>
        </w:tc>
        <w:tc>
          <w:tcPr>
            <w:tcW w:w="1701" w:type="dxa"/>
          </w:tcPr>
          <w:p w14:paraId="6E5D3DB2" w14:textId="77777777" w:rsidR="00F02481" w:rsidRPr="00BE78CA" w:rsidRDefault="00F02481" w:rsidP="0038135F">
            <w:pPr>
              <w:pStyle w:val="TableText"/>
              <w:spacing w:before="40" w:after="40"/>
              <w:rPr>
                <w:rFonts w:cs="Calibri"/>
              </w:rPr>
            </w:pPr>
            <w:r w:rsidRPr="00BE78CA">
              <w:rPr>
                <w:rFonts w:cs="Calibri"/>
              </w:rPr>
              <w:t>kg N/kg crop-N</w:t>
            </w:r>
          </w:p>
        </w:tc>
        <w:tc>
          <w:tcPr>
            <w:tcW w:w="1984" w:type="dxa"/>
          </w:tcPr>
          <w:p w14:paraId="0A14BEDE" w14:textId="77777777" w:rsidR="00F02481" w:rsidRPr="00BE78CA" w:rsidRDefault="00F02481" w:rsidP="0038135F">
            <w:pPr>
              <w:pStyle w:val="TableText"/>
              <w:spacing w:before="40" w:after="40"/>
              <w:rPr>
                <w:rFonts w:cs="Calibri"/>
              </w:rPr>
            </w:pPr>
            <w:r w:rsidRPr="00BE78CA">
              <w:rPr>
                <w:rFonts w:cs="Calibri"/>
              </w:rPr>
              <w:t>Thomas et al. (2014)</w:t>
            </w:r>
          </w:p>
        </w:tc>
      </w:tr>
    </w:tbl>
    <w:p w14:paraId="4A4661BF" w14:textId="77777777" w:rsidR="00F02481" w:rsidRPr="00BE78CA" w:rsidRDefault="00F02481" w:rsidP="00C26084">
      <w:pPr>
        <w:pStyle w:val="Table"/>
        <w:spacing w:before="240"/>
        <w:rPr>
          <w:rFonts w:cs="Calibri"/>
        </w:rPr>
      </w:pPr>
      <w:bookmarkStart w:id="857" w:name="_Toc441830882"/>
      <w:bookmarkStart w:id="858" w:name="_Toc451176096"/>
      <w:bookmarkStart w:id="859" w:name="_Toc481751524"/>
      <w:bookmarkStart w:id="860" w:name="_Toc507158612"/>
      <w:bookmarkStart w:id="861" w:name="_Toc511116746"/>
      <w:bookmarkStart w:id="862" w:name="_Toc5269488"/>
      <w:bookmarkStart w:id="863" w:name="_Toc32570931"/>
      <w:bookmarkStart w:id="864" w:name="_Toc36224566"/>
      <w:bookmarkStart w:id="865" w:name="_Toc68786451"/>
      <w:r w:rsidRPr="00BE78CA">
        <w:rPr>
          <w:rFonts w:cs="Calibri"/>
        </w:rPr>
        <w:t>Table 5.5.5</w:t>
      </w:r>
      <w:r w:rsidRPr="00BE78CA">
        <w:rPr>
          <w:rFonts w:cs="Calibri"/>
        </w:rPr>
        <w:tab/>
        <w:t>Emission factors and parameter values for use of mitigation technologies</w:t>
      </w:r>
      <w:bookmarkEnd w:id="857"/>
      <w:bookmarkEnd w:id="858"/>
      <w:bookmarkEnd w:id="859"/>
      <w:bookmarkEnd w:id="860"/>
      <w:bookmarkEnd w:id="861"/>
      <w:bookmarkEnd w:id="862"/>
      <w:bookmarkEnd w:id="863"/>
      <w:bookmarkEnd w:id="864"/>
      <w:bookmarkEnd w:id="865"/>
    </w:p>
    <w:tbl>
      <w:tblPr>
        <w:tblW w:w="8505" w:type="dxa"/>
        <w:tblBorders>
          <w:top w:val="single" w:sz="4" w:space="0" w:color="365F91"/>
          <w:bottom w:val="single" w:sz="4" w:space="0" w:color="365F91"/>
          <w:insideH w:val="single" w:sz="4" w:space="0" w:color="365F91"/>
        </w:tblBorders>
        <w:tblLayout w:type="fixed"/>
        <w:tblLook w:val="01E0" w:firstRow="1" w:lastRow="1" w:firstColumn="1" w:lastColumn="1" w:noHBand="0" w:noVBand="0"/>
      </w:tblPr>
      <w:tblGrid>
        <w:gridCol w:w="4786"/>
        <w:gridCol w:w="1268"/>
        <w:gridCol w:w="845"/>
        <w:gridCol w:w="1606"/>
      </w:tblGrid>
      <w:tr w:rsidR="00477DE6" w:rsidRPr="00BE78CA" w14:paraId="0013DB83" w14:textId="77777777" w:rsidTr="00477DE6">
        <w:trPr>
          <w:tblHeader/>
        </w:trPr>
        <w:tc>
          <w:tcPr>
            <w:tcW w:w="4820" w:type="dxa"/>
            <w:shd w:val="clear" w:color="auto" w:fill="365F91"/>
            <w:vAlign w:val="bottom"/>
          </w:tcPr>
          <w:p w14:paraId="0920AAB1" w14:textId="77777777" w:rsidR="00F02481" w:rsidRPr="00BE78CA" w:rsidRDefault="00F02481" w:rsidP="00C26084">
            <w:pPr>
              <w:pStyle w:val="TableTextBold"/>
              <w:keepNext/>
              <w:rPr>
                <w:noProof w:val="0"/>
                <w:color w:val="FFFFFF" w:themeColor="background1"/>
              </w:rPr>
            </w:pPr>
            <w:r w:rsidRPr="00BE78CA">
              <w:rPr>
                <w:noProof w:val="0"/>
                <w:color w:val="FFFFFF" w:themeColor="background1"/>
              </w:rPr>
              <w:t>Category</w:t>
            </w:r>
          </w:p>
        </w:tc>
        <w:tc>
          <w:tcPr>
            <w:tcW w:w="2126" w:type="dxa"/>
            <w:gridSpan w:val="2"/>
            <w:shd w:val="clear" w:color="auto" w:fill="365F91"/>
            <w:vAlign w:val="bottom"/>
          </w:tcPr>
          <w:p w14:paraId="4540F4A9" w14:textId="77777777" w:rsidR="00F02481" w:rsidRPr="00BE78CA" w:rsidRDefault="00F02481" w:rsidP="00C26084">
            <w:pPr>
              <w:pStyle w:val="TableTextBold"/>
              <w:keepNext/>
              <w:jc w:val="center"/>
              <w:rPr>
                <w:noProof w:val="0"/>
                <w:color w:val="FFFFFF" w:themeColor="background1"/>
              </w:rPr>
            </w:pPr>
            <w:r w:rsidRPr="00BE78CA">
              <w:rPr>
                <w:noProof w:val="0"/>
                <w:color w:val="FFFFFF" w:themeColor="background1"/>
              </w:rPr>
              <w:t>Parameter and value (%)</w:t>
            </w:r>
          </w:p>
        </w:tc>
        <w:tc>
          <w:tcPr>
            <w:tcW w:w="1616" w:type="dxa"/>
            <w:shd w:val="clear" w:color="auto" w:fill="365F91"/>
            <w:vAlign w:val="bottom"/>
          </w:tcPr>
          <w:p w14:paraId="67F6BF40" w14:textId="77777777" w:rsidR="00F02481" w:rsidRPr="00BE78CA" w:rsidRDefault="00F02481" w:rsidP="00C26084">
            <w:pPr>
              <w:pStyle w:val="TableTextBold"/>
              <w:keepNext/>
              <w:rPr>
                <w:noProof w:val="0"/>
                <w:color w:val="FFFFFF" w:themeColor="background1"/>
              </w:rPr>
            </w:pPr>
            <w:r w:rsidRPr="00BE78CA">
              <w:rPr>
                <w:noProof w:val="0"/>
                <w:color w:val="FFFFFF" w:themeColor="background1"/>
              </w:rPr>
              <w:t>Source</w:t>
            </w:r>
          </w:p>
        </w:tc>
      </w:tr>
      <w:tr w:rsidR="00F02481" w:rsidRPr="00BE78CA" w14:paraId="7F463CB6" w14:textId="77777777" w:rsidTr="00477DE6">
        <w:tc>
          <w:tcPr>
            <w:tcW w:w="4820" w:type="dxa"/>
          </w:tcPr>
          <w:p w14:paraId="14D8DB3A" w14:textId="77777777" w:rsidR="00F02481" w:rsidRPr="00BE78CA" w:rsidRDefault="00F02481" w:rsidP="0038135F">
            <w:pPr>
              <w:pStyle w:val="TableText"/>
              <w:spacing w:before="40" w:after="40"/>
              <w:rPr>
                <w:rFonts w:cs="Calibri"/>
              </w:rPr>
            </w:pPr>
            <w:r w:rsidRPr="00BE78CA">
              <w:rPr>
                <w:rFonts w:cs="Calibri"/>
              </w:rPr>
              <w:t>Urine from grazing dairy cattle in pasture, range and paddock systems with application of dicyandiamide (DCD)</w:t>
            </w:r>
          </w:p>
        </w:tc>
        <w:tc>
          <w:tcPr>
            <w:tcW w:w="1276" w:type="dxa"/>
          </w:tcPr>
          <w:p w14:paraId="5E5F011C" w14:textId="77777777" w:rsidR="00F02481" w:rsidRPr="00BE78CA" w:rsidRDefault="00F02481" w:rsidP="0038135F">
            <w:pPr>
              <w:pStyle w:val="TableText"/>
              <w:spacing w:before="40" w:after="40"/>
              <w:rPr>
                <w:rFonts w:cs="Calibri"/>
              </w:rPr>
            </w:pPr>
            <w:r w:rsidRPr="00BE78CA">
              <w:rPr>
                <w:rFonts w:cs="Calibri"/>
              </w:rPr>
              <w:t>EF</w:t>
            </w:r>
            <w:r w:rsidRPr="00BE78CA">
              <w:rPr>
                <w:rFonts w:cs="Calibri"/>
                <w:vertAlign w:val="subscript"/>
              </w:rPr>
              <w:t>3(PRP-DCD)</w:t>
            </w:r>
          </w:p>
        </w:tc>
        <w:tc>
          <w:tcPr>
            <w:tcW w:w="850" w:type="dxa"/>
          </w:tcPr>
          <w:p w14:paraId="7DBA69C7" w14:textId="77777777" w:rsidR="00F02481" w:rsidRPr="00BE78CA" w:rsidRDefault="00F02481" w:rsidP="0038135F">
            <w:pPr>
              <w:pStyle w:val="TableText"/>
              <w:spacing w:before="40" w:after="40"/>
              <w:rPr>
                <w:rFonts w:cs="Calibri"/>
              </w:rPr>
            </w:pPr>
            <w:r w:rsidRPr="00BE78CA">
              <w:rPr>
                <w:rFonts w:cs="Calibri"/>
              </w:rPr>
              <w:t>0.67</w:t>
            </w:r>
          </w:p>
        </w:tc>
        <w:tc>
          <w:tcPr>
            <w:tcW w:w="1616" w:type="dxa"/>
          </w:tcPr>
          <w:p w14:paraId="7378E06A" w14:textId="77777777" w:rsidR="00F02481" w:rsidRPr="00BE78CA" w:rsidRDefault="00F02481" w:rsidP="0038135F">
            <w:pPr>
              <w:pStyle w:val="TableText"/>
              <w:spacing w:before="40" w:after="40"/>
              <w:rPr>
                <w:rFonts w:cs="Calibri"/>
              </w:rPr>
            </w:pPr>
            <w:r w:rsidRPr="00BE78CA">
              <w:rPr>
                <w:rFonts w:cs="Calibri"/>
              </w:rPr>
              <w:t>Clough et al. (2008)</w:t>
            </w:r>
          </w:p>
        </w:tc>
      </w:tr>
      <w:tr w:rsidR="00F02481" w:rsidRPr="00BE78CA" w14:paraId="4211AA0E" w14:textId="77777777" w:rsidTr="00477DE6">
        <w:tc>
          <w:tcPr>
            <w:tcW w:w="4820" w:type="dxa"/>
          </w:tcPr>
          <w:p w14:paraId="44941C36" w14:textId="77777777" w:rsidR="00F02481" w:rsidRPr="00BE78CA" w:rsidRDefault="00F02481" w:rsidP="0038135F">
            <w:pPr>
              <w:pStyle w:val="TableText"/>
              <w:spacing w:before="40" w:after="40"/>
              <w:rPr>
                <w:rFonts w:cs="Calibri"/>
              </w:rPr>
            </w:pPr>
            <w:r w:rsidRPr="00BE78CA">
              <w:rPr>
                <w:rFonts w:cs="Calibri"/>
              </w:rPr>
              <w:t>Fraction of nitrogen from leaching and runoff with application of DCD</w:t>
            </w:r>
          </w:p>
        </w:tc>
        <w:tc>
          <w:tcPr>
            <w:tcW w:w="1276" w:type="dxa"/>
          </w:tcPr>
          <w:p w14:paraId="010B1478" w14:textId="77777777" w:rsidR="00F02481" w:rsidRPr="00BE78CA" w:rsidRDefault="00F02481" w:rsidP="0038135F">
            <w:pPr>
              <w:pStyle w:val="TableText"/>
              <w:spacing w:before="40" w:after="40"/>
              <w:rPr>
                <w:rFonts w:cs="Calibri"/>
              </w:rPr>
            </w:pPr>
            <w:r w:rsidRPr="00BE78CA">
              <w:rPr>
                <w:rFonts w:cs="Calibri"/>
              </w:rPr>
              <w:t>Frac</w:t>
            </w:r>
            <w:r w:rsidRPr="00BE78CA">
              <w:rPr>
                <w:rFonts w:cs="Calibri"/>
                <w:vertAlign w:val="subscript"/>
              </w:rPr>
              <w:t>LEACH – (H)-DCD</w:t>
            </w:r>
          </w:p>
        </w:tc>
        <w:tc>
          <w:tcPr>
            <w:tcW w:w="850" w:type="dxa"/>
          </w:tcPr>
          <w:p w14:paraId="211CF2B2" w14:textId="77777777" w:rsidR="00F02481" w:rsidRPr="00BE78CA" w:rsidRDefault="00F02481" w:rsidP="0038135F">
            <w:pPr>
              <w:pStyle w:val="TableText"/>
              <w:spacing w:before="40" w:after="40"/>
              <w:rPr>
                <w:rFonts w:cs="Calibri"/>
              </w:rPr>
            </w:pPr>
            <w:r w:rsidRPr="00BE78CA">
              <w:rPr>
                <w:rFonts w:cs="Calibri"/>
              </w:rPr>
              <w:t>0.53</w:t>
            </w:r>
          </w:p>
        </w:tc>
        <w:tc>
          <w:tcPr>
            <w:tcW w:w="1616" w:type="dxa"/>
          </w:tcPr>
          <w:p w14:paraId="6E976BDB" w14:textId="77777777" w:rsidR="00F02481" w:rsidRPr="00BE78CA" w:rsidRDefault="00F02481" w:rsidP="0038135F">
            <w:pPr>
              <w:pStyle w:val="TableText"/>
              <w:spacing w:before="40" w:after="40"/>
              <w:rPr>
                <w:rFonts w:cs="Calibri"/>
              </w:rPr>
            </w:pPr>
            <w:r w:rsidRPr="00BE78CA">
              <w:rPr>
                <w:rFonts w:cs="Calibri"/>
              </w:rPr>
              <w:t>Clough et al. (2008)</w:t>
            </w:r>
          </w:p>
        </w:tc>
      </w:tr>
      <w:tr w:rsidR="00F02481" w:rsidRPr="00BE78CA" w14:paraId="60A5D517" w14:textId="77777777" w:rsidTr="00477DE6">
        <w:tc>
          <w:tcPr>
            <w:tcW w:w="4820" w:type="dxa"/>
          </w:tcPr>
          <w:p w14:paraId="3AB5B620" w14:textId="77777777" w:rsidR="00F02481" w:rsidRPr="00BE78CA" w:rsidRDefault="00F02481" w:rsidP="0038135F">
            <w:pPr>
              <w:pStyle w:val="TableText"/>
              <w:spacing w:before="40" w:after="40"/>
              <w:rPr>
                <w:rFonts w:cs="Calibri"/>
              </w:rPr>
            </w:pPr>
            <w:r w:rsidRPr="00BE78CA">
              <w:rPr>
                <w:rFonts w:cs="Calibri"/>
              </w:rPr>
              <w:t>Volatilisation from synthetic nitrogen fertiliser coated with urease inhibitor (nBTPT)</w:t>
            </w:r>
          </w:p>
        </w:tc>
        <w:tc>
          <w:tcPr>
            <w:tcW w:w="1276" w:type="dxa"/>
          </w:tcPr>
          <w:p w14:paraId="6818B7B3" w14:textId="77777777" w:rsidR="00F02481" w:rsidRPr="00BE78CA" w:rsidRDefault="00F02481" w:rsidP="0038135F">
            <w:pPr>
              <w:pStyle w:val="TableText"/>
              <w:spacing w:before="40" w:after="40"/>
              <w:rPr>
                <w:rFonts w:cs="Calibri"/>
              </w:rPr>
            </w:pPr>
            <w:r w:rsidRPr="00BE78CA">
              <w:rPr>
                <w:rFonts w:cs="Calibri"/>
              </w:rPr>
              <w:t>Frac</w:t>
            </w:r>
            <w:r w:rsidRPr="00BE78CA">
              <w:rPr>
                <w:rFonts w:cs="Calibri"/>
                <w:vertAlign w:val="subscript"/>
              </w:rPr>
              <w:t>GASF-UI</w:t>
            </w:r>
          </w:p>
        </w:tc>
        <w:tc>
          <w:tcPr>
            <w:tcW w:w="850" w:type="dxa"/>
          </w:tcPr>
          <w:p w14:paraId="174C3236" w14:textId="77777777" w:rsidR="00F02481" w:rsidRPr="00BE78CA" w:rsidRDefault="00F02481" w:rsidP="0038135F">
            <w:pPr>
              <w:pStyle w:val="TableText"/>
              <w:spacing w:before="40" w:after="40"/>
              <w:rPr>
                <w:rFonts w:cs="Calibri"/>
              </w:rPr>
            </w:pPr>
            <w:r w:rsidRPr="00BE78CA">
              <w:rPr>
                <w:rFonts w:cs="Calibri"/>
              </w:rPr>
              <w:t>0.055</w:t>
            </w:r>
          </w:p>
        </w:tc>
        <w:tc>
          <w:tcPr>
            <w:tcW w:w="1616" w:type="dxa"/>
          </w:tcPr>
          <w:p w14:paraId="612EEF79" w14:textId="77777777" w:rsidR="00F02481" w:rsidRPr="00BE78CA" w:rsidRDefault="00F02481" w:rsidP="0038135F">
            <w:pPr>
              <w:pStyle w:val="TableText"/>
              <w:spacing w:before="40" w:after="40"/>
              <w:rPr>
                <w:rFonts w:cs="Calibri"/>
              </w:rPr>
            </w:pPr>
            <w:r w:rsidRPr="00BE78CA">
              <w:rPr>
                <w:rFonts w:cs="Calibri"/>
              </w:rPr>
              <w:t>Saggar et al. (2013)</w:t>
            </w:r>
          </w:p>
        </w:tc>
      </w:tr>
    </w:tbl>
    <w:p w14:paraId="54ECAEEB" w14:textId="77777777" w:rsidR="00F02481" w:rsidRPr="00BE78CA" w:rsidRDefault="00F02481" w:rsidP="00C26084">
      <w:pPr>
        <w:pStyle w:val="Heading4"/>
        <w:spacing w:before="360"/>
      </w:pPr>
      <w:r w:rsidRPr="00BE78CA">
        <w:t>Direct nitrous oxide emissions from managed soils (CRF 3.D.1)</w:t>
      </w:r>
    </w:p>
    <w:p w14:paraId="16FF45DD" w14:textId="77777777" w:rsidR="00F02481" w:rsidRPr="00BE78CA" w:rsidRDefault="00F02481" w:rsidP="005D68F6">
      <w:pPr>
        <w:pStyle w:val="BodyText"/>
        <w:spacing w:after="100"/>
        <w:rPr>
          <w:rFonts w:cs="Calibri"/>
        </w:rPr>
      </w:pPr>
      <w:r w:rsidRPr="00BE78CA">
        <w:rPr>
          <w:rFonts w:cs="Calibri"/>
        </w:rPr>
        <w:t xml:space="preserve">Emissions from the </w:t>
      </w:r>
      <w:r w:rsidRPr="00BE78CA">
        <w:rPr>
          <w:rFonts w:cs="Calibri"/>
          <w:i/>
          <w:iCs/>
        </w:rPr>
        <w:t>Direct N</w:t>
      </w:r>
      <w:r w:rsidRPr="00BE78CA">
        <w:rPr>
          <w:rFonts w:cs="Calibri"/>
          <w:i/>
          <w:iCs/>
          <w:vertAlign w:val="subscript"/>
        </w:rPr>
        <w:t>2</w:t>
      </w:r>
      <w:r w:rsidRPr="00BE78CA">
        <w:rPr>
          <w:rFonts w:cs="Calibri"/>
          <w:i/>
          <w:iCs/>
        </w:rPr>
        <w:t xml:space="preserve">O emissions from managed soils </w:t>
      </w:r>
      <w:r w:rsidRPr="00BE78CA">
        <w:rPr>
          <w:rFonts w:cs="Calibri"/>
        </w:rPr>
        <w:t xml:space="preserve">category arise from: </w:t>
      </w:r>
    </w:p>
    <w:p w14:paraId="5A27F69E" w14:textId="77777777" w:rsidR="00F02481" w:rsidRPr="00BE78CA" w:rsidRDefault="00F02481" w:rsidP="00FA2314">
      <w:pPr>
        <w:pStyle w:val="Bullet"/>
        <w:numPr>
          <w:ilvl w:val="0"/>
          <w:numId w:val="25"/>
        </w:numPr>
        <w:spacing w:after="100"/>
      </w:pPr>
      <w:r w:rsidRPr="00BE78CA">
        <w:t>synthetic nitrogen fertiliser use (F</w:t>
      </w:r>
      <w:r w:rsidRPr="00BE78CA">
        <w:rPr>
          <w:vertAlign w:val="subscript"/>
        </w:rPr>
        <w:t>SN</w:t>
      </w:r>
      <w:r w:rsidRPr="00BE78CA">
        <w:t>)</w:t>
      </w:r>
    </w:p>
    <w:p w14:paraId="4A2CE23D" w14:textId="77777777" w:rsidR="00F02481" w:rsidRPr="00BE78CA" w:rsidRDefault="00F02481" w:rsidP="00FA2314">
      <w:pPr>
        <w:pStyle w:val="Bullet"/>
        <w:numPr>
          <w:ilvl w:val="0"/>
          <w:numId w:val="25"/>
        </w:numPr>
        <w:spacing w:after="100"/>
      </w:pPr>
      <w:r w:rsidRPr="00BE78CA">
        <w:t>organic fertilisers (which in New Zealand are solely the spreading of animal manure, F</w:t>
      </w:r>
      <w:r w:rsidRPr="00BE78CA">
        <w:rPr>
          <w:vertAlign w:val="subscript"/>
        </w:rPr>
        <w:t>AM</w:t>
      </w:r>
      <w:r w:rsidRPr="00BE78CA">
        <w:t>)</w:t>
      </w:r>
    </w:p>
    <w:p w14:paraId="36F02C02" w14:textId="77777777" w:rsidR="00F02481" w:rsidRPr="00BE78CA" w:rsidRDefault="00F02481" w:rsidP="00FA2314">
      <w:pPr>
        <w:pStyle w:val="Bullet"/>
        <w:numPr>
          <w:ilvl w:val="0"/>
          <w:numId w:val="25"/>
        </w:numPr>
        <w:spacing w:after="100"/>
      </w:pPr>
      <w:r w:rsidRPr="00BE78CA">
        <w:t>manure deposited by grazing livestock in pasture, range and paddock (F</w:t>
      </w:r>
      <w:r w:rsidRPr="00BE78CA">
        <w:rPr>
          <w:vertAlign w:val="subscript"/>
        </w:rPr>
        <w:t>PRP</w:t>
      </w:r>
      <w:r w:rsidRPr="00BE78CA">
        <w:t>)</w:t>
      </w:r>
    </w:p>
    <w:p w14:paraId="36D50725" w14:textId="77777777" w:rsidR="00F02481" w:rsidRPr="00BE78CA" w:rsidRDefault="00F02481" w:rsidP="00FA2314">
      <w:pPr>
        <w:pStyle w:val="Bullet"/>
        <w:numPr>
          <w:ilvl w:val="0"/>
          <w:numId w:val="25"/>
        </w:numPr>
        <w:spacing w:after="100"/>
      </w:pPr>
      <w:r w:rsidRPr="00BE78CA">
        <w:t>decomposition of crop residues left on fields (F</w:t>
      </w:r>
      <w:r w:rsidRPr="00BE78CA">
        <w:rPr>
          <w:vertAlign w:val="subscript"/>
        </w:rPr>
        <w:t>CR</w:t>
      </w:r>
      <w:r w:rsidRPr="00BE78CA">
        <w:t>)</w:t>
      </w:r>
    </w:p>
    <w:p w14:paraId="257FD5AF" w14:textId="77777777" w:rsidR="00F02481" w:rsidRPr="00BE78CA" w:rsidRDefault="00F02481" w:rsidP="00FA2314">
      <w:pPr>
        <w:pStyle w:val="Bullet"/>
        <w:numPr>
          <w:ilvl w:val="0"/>
          <w:numId w:val="25"/>
        </w:numPr>
        <w:spacing w:after="100"/>
      </w:pPr>
      <w:r w:rsidRPr="00BE78CA">
        <w:t>nitrogen mineralisation associated with loss of soil organic matter (F</w:t>
      </w:r>
      <w:r w:rsidRPr="00BE78CA">
        <w:rPr>
          <w:vertAlign w:val="subscript"/>
        </w:rPr>
        <w:t>SOM</w:t>
      </w:r>
      <w:r w:rsidRPr="00BE78CA">
        <w:t>)</w:t>
      </w:r>
    </w:p>
    <w:p w14:paraId="343559BD" w14:textId="77777777" w:rsidR="00F02481" w:rsidRPr="00BE78CA" w:rsidRDefault="00F02481" w:rsidP="00FA2314">
      <w:pPr>
        <w:pStyle w:val="Bullet"/>
        <w:numPr>
          <w:ilvl w:val="0"/>
          <w:numId w:val="25"/>
        </w:numPr>
      </w:pPr>
      <w:r w:rsidRPr="00BE78CA">
        <w:t>cultivation of organic soils.</w:t>
      </w:r>
    </w:p>
    <w:p w14:paraId="7DC08637" w14:textId="77777777" w:rsidR="00F02481" w:rsidRPr="00BE78CA" w:rsidRDefault="00F02481" w:rsidP="005D68F6">
      <w:pPr>
        <w:pStyle w:val="BodyText"/>
      </w:pPr>
      <w:r w:rsidRPr="00BE78CA">
        <w:t>Many of these sources of emissions</w:t>
      </w:r>
      <w:r w:rsidRPr="00BE78CA" w:rsidDel="00A44CC2">
        <w:t xml:space="preserve"> </w:t>
      </w:r>
      <w:r w:rsidRPr="00BE78CA">
        <w:t>have N</w:t>
      </w:r>
      <w:r w:rsidRPr="00BE78CA">
        <w:rPr>
          <w:vertAlign w:val="subscript"/>
        </w:rPr>
        <w:t>2</w:t>
      </w:r>
      <w:r w:rsidRPr="00BE78CA">
        <w:t>O emissions from indirect pathways as well, and these calculations are described in detail in the section on indirect N</w:t>
      </w:r>
      <w:r w:rsidRPr="00BE78CA">
        <w:rPr>
          <w:vertAlign w:val="subscript"/>
        </w:rPr>
        <w:t>2</w:t>
      </w:r>
      <w:r w:rsidRPr="00BE78CA">
        <w:t xml:space="preserve">O emissions from </w:t>
      </w:r>
      <w:r w:rsidRPr="00BE78CA">
        <w:rPr>
          <w:i/>
          <w:iCs/>
        </w:rPr>
        <w:t>Agricultural soils</w:t>
      </w:r>
      <w:r w:rsidRPr="00BE78CA">
        <w:t xml:space="preserve">. </w:t>
      </w:r>
    </w:p>
    <w:p w14:paraId="5DE9F506" w14:textId="77777777" w:rsidR="00F02481" w:rsidRPr="00BE78CA" w:rsidRDefault="00F02481" w:rsidP="004D30A5">
      <w:pPr>
        <w:pStyle w:val="BodyText"/>
        <w:spacing w:before="100" w:after="100"/>
      </w:pPr>
      <w:r w:rsidRPr="00BE78CA">
        <w:lastRenderedPageBreak/>
        <w:t>Emissions from the non-manure components of organic fertilisers (F</w:t>
      </w:r>
      <w:r w:rsidRPr="00BE78CA">
        <w:rPr>
          <w:vertAlign w:val="subscript"/>
        </w:rPr>
        <w:t>ON</w:t>
      </w:r>
      <w:r w:rsidRPr="00BE78CA">
        <w:t xml:space="preserve">) are not estimated in New Zealand’s inventory because they have been found to be insignificant. New Zealand commissioned research to review sources of organic waste and found that they are not of significant volume in New Zealand (van der Weerden et al., 2014). These components include sources such as dairy processing wastewater, compost sold to the rural sector, meat processing wastewater sand sludge, grape marc from the wine industry and vegetable processing wastewater applied to land. </w:t>
      </w:r>
    </w:p>
    <w:p w14:paraId="7369C98F" w14:textId="77777777" w:rsidR="00F02481" w:rsidRPr="00BE78CA" w:rsidRDefault="00F02481" w:rsidP="004D30A5">
      <w:pPr>
        <w:pStyle w:val="BodyText"/>
        <w:spacing w:before="100" w:after="100"/>
      </w:pPr>
      <w:r w:rsidRPr="00BE78CA">
        <w:t>New Zealand’s methodology for determining the values for nitrogen inputs to soils for F</w:t>
      </w:r>
      <w:r w:rsidRPr="00BE78CA">
        <w:rPr>
          <w:vertAlign w:val="subscript"/>
        </w:rPr>
        <w:t>AM</w:t>
      </w:r>
      <w:r w:rsidRPr="00BE78CA">
        <w:t xml:space="preserve"> and F</w:t>
      </w:r>
      <w:r w:rsidRPr="00BE78CA">
        <w:rPr>
          <w:vertAlign w:val="subscript"/>
        </w:rPr>
        <w:t>PRP</w:t>
      </w:r>
      <w:r w:rsidRPr="00BE78CA">
        <w:t xml:space="preserve"> is consistent with other parts of the inventory. The underlying values for N</w:t>
      </w:r>
      <w:r w:rsidRPr="00BE78CA">
        <w:rPr>
          <w:vertAlign w:val="subscript"/>
        </w:rPr>
        <w:t>ex</w:t>
      </w:r>
      <w:r w:rsidRPr="00BE78CA">
        <w:t xml:space="preserve"> and for the allocation of excreta to animal waste management systems are the same as in the </w:t>
      </w:r>
      <w:r w:rsidRPr="00BE78CA">
        <w:rPr>
          <w:i/>
          <w:iCs/>
        </w:rPr>
        <w:t>Manure management</w:t>
      </w:r>
      <w:r w:rsidRPr="00BE78CA">
        <w:t xml:space="preserve"> category. These N</w:t>
      </w:r>
      <w:r w:rsidRPr="00BE78CA">
        <w:rPr>
          <w:vertAlign w:val="subscript"/>
        </w:rPr>
        <w:t>ex</w:t>
      </w:r>
      <w:r w:rsidRPr="00BE78CA">
        <w:t xml:space="preserve"> values have been calculated based on the same animal intake and animal productivity values used for calculating CH</w:t>
      </w:r>
      <w:r w:rsidRPr="00BE78CA">
        <w:rPr>
          <w:vertAlign w:val="subscript"/>
        </w:rPr>
        <w:t>4</w:t>
      </w:r>
      <w:r w:rsidRPr="00BE78CA">
        <w:t xml:space="preserve"> emissions for the different animal categories and species in the Tier 2 model (see section 5.1.3). This ensures the same base DMI values are used for both the CH</w:t>
      </w:r>
      <w:r w:rsidRPr="00BE78CA">
        <w:rPr>
          <w:vertAlign w:val="subscript"/>
        </w:rPr>
        <w:t>4</w:t>
      </w:r>
      <w:r w:rsidRPr="00BE78CA">
        <w:t xml:space="preserve"> and N</w:t>
      </w:r>
      <w:r w:rsidRPr="00BE78CA">
        <w:rPr>
          <w:vertAlign w:val="subscript"/>
        </w:rPr>
        <w:t>2</w:t>
      </w:r>
      <w:r w:rsidRPr="00BE78CA">
        <w:t>O emission calculations. Further details can be found in the inventory methodology document on the MPI website (</w:t>
      </w:r>
      <w:hyperlink r:id="rId141" w:history="1">
        <w:r w:rsidRPr="00BE78CA">
          <w:t>mpi.govt.nz/news-and-resources/statistics-and-forecasting/greenhouse-gas-reporting</w:t>
        </w:r>
      </w:hyperlink>
      <w:r w:rsidRPr="00BE78CA">
        <w:t>).</w:t>
      </w:r>
    </w:p>
    <w:p w14:paraId="3C665FBF" w14:textId="77777777" w:rsidR="00F02481" w:rsidRPr="00BE78CA" w:rsidRDefault="00F02481" w:rsidP="00C26084">
      <w:pPr>
        <w:pStyle w:val="Heading5"/>
        <w:spacing w:before="160"/>
        <w:rPr>
          <w:rFonts w:cs="Calibri"/>
        </w:rPr>
      </w:pPr>
      <w:r w:rsidRPr="00BE78CA">
        <w:rPr>
          <w:rFonts w:cs="Calibri"/>
        </w:rPr>
        <w:t>Synthetic nitrogen fertiliser (CRF 3.D.1.1)</w:t>
      </w:r>
    </w:p>
    <w:p w14:paraId="3E73F256" w14:textId="77777777" w:rsidR="00F02481" w:rsidRPr="00BE78CA" w:rsidRDefault="00F02481" w:rsidP="004D30A5">
      <w:pPr>
        <w:pStyle w:val="BodyText"/>
        <w:spacing w:before="80" w:after="100"/>
      </w:pPr>
      <w:r w:rsidRPr="00BE78CA">
        <w:t>Anthropogenic N</w:t>
      </w:r>
      <w:r w:rsidRPr="00BE78CA">
        <w:rPr>
          <w:vertAlign w:val="subscript"/>
        </w:rPr>
        <w:t>2</w:t>
      </w:r>
      <w:r w:rsidRPr="00BE78CA">
        <w:t>O emissions from synthetic nitrogen fertiliser are a relatively small proportion of total N</w:t>
      </w:r>
      <w:r w:rsidRPr="00BE78CA">
        <w:rPr>
          <w:vertAlign w:val="subscript"/>
        </w:rPr>
        <w:t>2</w:t>
      </w:r>
      <w:r w:rsidRPr="00BE78CA">
        <w:t xml:space="preserve">O emissions, but they have grown significantly since 1990. Most synthetic nitrogen fertiliser used in New Zealand is urea fertiliser applied to dairy pasture land to increase pasture growth during spring (September to November) and autumn (March to May). </w:t>
      </w:r>
    </w:p>
    <w:p w14:paraId="01249FD1" w14:textId="77777777" w:rsidR="00F02481" w:rsidRPr="00BE78CA" w:rsidRDefault="00F02481" w:rsidP="004D30A5">
      <w:pPr>
        <w:pStyle w:val="BodyText"/>
        <w:spacing w:before="100" w:after="100"/>
      </w:pPr>
      <w:r w:rsidRPr="00BE78CA">
        <w:t>In accordance with IPCC Guidelines (IPCC, 2006), the following equation is used to determine direct N</w:t>
      </w:r>
      <w:r w:rsidRPr="00BE78CA">
        <w:rPr>
          <w:vertAlign w:val="subscript"/>
        </w:rPr>
        <w:t>2</w:t>
      </w:r>
      <w:r w:rsidRPr="00BE78CA">
        <w:t xml:space="preserve">O emissions from the application of nitrogen-based fertiliser: </w:t>
      </w:r>
    </w:p>
    <w:bookmarkStart w:id="866" w:name="_MON_1546322146"/>
    <w:bookmarkEnd w:id="866"/>
    <w:p w14:paraId="7513CED8" w14:textId="77777777" w:rsidR="00F02481" w:rsidRPr="00BE78CA" w:rsidRDefault="00F02481" w:rsidP="00C26084">
      <w:pPr>
        <w:pStyle w:val="BodyText"/>
        <w:spacing w:before="0" w:after="80"/>
        <w:rPr>
          <w:rFonts w:cs="Calibri"/>
        </w:rPr>
      </w:pPr>
      <w:r w:rsidRPr="00BE78CA">
        <w:rPr>
          <w:rFonts w:cs="Calibri"/>
        </w:rPr>
        <w:object w:dxaOrig="7889" w:dyaOrig="450" w14:anchorId="6386C433">
          <v:shape id="_x0000_i1053" type="#_x0000_t75" style="width:389.2pt;height:21.75pt" o:ole="">
            <v:imagedata r:id="rId142" o:title=""/>
          </v:shape>
          <o:OLEObject Type="Embed" ProgID="Word.Document.12" ShapeID="_x0000_i1053" DrawAspect="Content" ObjectID="_1679402772" r:id="rId143">
            <o:FieldCodes>\s</o:FieldCodes>
          </o:OLEObject>
        </w:object>
      </w:r>
    </w:p>
    <w:p w14:paraId="13F31DF9" w14:textId="77777777" w:rsidR="00F02481" w:rsidRPr="00BE78CA" w:rsidRDefault="00F02481" w:rsidP="004D30A5">
      <w:pPr>
        <w:pStyle w:val="BodyText"/>
        <w:spacing w:after="0"/>
        <w:ind w:left="964" w:hanging="964"/>
      </w:pPr>
      <w:r w:rsidRPr="00BE78CA">
        <w:t>Where:</w:t>
      </w:r>
      <w:r w:rsidRPr="00BE78CA">
        <w:tab/>
        <w:t>F</w:t>
      </w:r>
      <w:r w:rsidRPr="00BE78CA">
        <w:rPr>
          <w:vertAlign w:val="subscript"/>
        </w:rPr>
        <w:t>SN</w:t>
      </w:r>
      <w:r w:rsidRPr="00BE78CA">
        <w:t xml:space="preserve"> is the total annual amount of synthetic nitrogen fertiliser applied to soils (urea</w:t>
      </w:r>
      <w:r w:rsidRPr="00BE78CA">
        <w:noBreakHyphen/>
        <w:t>based and other fertilisers)</w:t>
      </w:r>
    </w:p>
    <w:p w14:paraId="70D18EE1" w14:textId="77777777" w:rsidR="00F02481" w:rsidRPr="00BE78CA" w:rsidRDefault="00F02481" w:rsidP="004D30A5">
      <w:pPr>
        <w:pStyle w:val="BodyText"/>
        <w:spacing w:before="40" w:after="40"/>
        <w:ind w:left="964" w:hanging="964"/>
      </w:pPr>
      <w:r w:rsidRPr="00BE78CA">
        <w:tab/>
        <w:t>EF</w:t>
      </w:r>
      <w:r w:rsidRPr="00BE78CA">
        <w:rPr>
          <w:vertAlign w:val="subscript"/>
        </w:rPr>
        <w:t>1(UREA)</w:t>
      </w:r>
      <w:r w:rsidRPr="00BE78CA">
        <w:t xml:space="preserve"> is the proportion of direct N</w:t>
      </w:r>
      <w:r w:rsidRPr="00BE78CA">
        <w:rPr>
          <w:vertAlign w:val="subscript"/>
        </w:rPr>
        <w:t>2</w:t>
      </w:r>
      <w:r w:rsidRPr="00BE78CA">
        <w:t>O emissions from nitrogen input to the soil for urea fertilisers (0.0059; table 5.5.2), and</w:t>
      </w:r>
    </w:p>
    <w:p w14:paraId="32633B22" w14:textId="77777777" w:rsidR="00F02481" w:rsidRPr="00BE78CA" w:rsidRDefault="00F02481" w:rsidP="004D30A5">
      <w:pPr>
        <w:pStyle w:val="BodyText"/>
        <w:spacing w:before="40" w:after="80"/>
        <w:ind w:left="964" w:hanging="964"/>
      </w:pPr>
      <w:r w:rsidRPr="00BE78CA">
        <w:tab/>
        <w:t>EF</w:t>
      </w:r>
      <w:r w:rsidRPr="00BE78CA">
        <w:rPr>
          <w:vertAlign w:val="subscript"/>
        </w:rPr>
        <w:t>1</w:t>
      </w:r>
      <w:r w:rsidRPr="00BE78CA">
        <w:t xml:space="preserve"> is the proportion of direct N</w:t>
      </w:r>
      <w:r w:rsidRPr="00BE78CA">
        <w:rPr>
          <w:vertAlign w:val="subscript"/>
        </w:rPr>
        <w:t>2</w:t>
      </w:r>
      <w:r w:rsidRPr="00BE78CA">
        <w:t>O emissions from nitrogen input to the soil (0.01; table 5.5.2).</w:t>
      </w:r>
    </w:p>
    <w:p w14:paraId="23E068AF" w14:textId="77777777" w:rsidR="00F02481" w:rsidRPr="00BE78CA" w:rsidRDefault="00F02481" w:rsidP="004D30A5">
      <w:pPr>
        <w:pStyle w:val="BodyText"/>
        <w:spacing w:before="80" w:after="100"/>
      </w:pPr>
      <w:r w:rsidRPr="00BE78CA">
        <w:t>Data on synthetic fertiliser use are provided by the Fertiliser Association of New Zealand from sales records from fertiliser companies for 1990 to 2019.</w:t>
      </w:r>
    </w:p>
    <w:p w14:paraId="731CD98A" w14:textId="77777777" w:rsidR="00F02481" w:rsidRPr="00BE78CA" w:rsidRDefault="00F02481" w:rsidP="004D30A5">
      <w:pPr>
        <w:pStyle w:val="BodyText"/>
        <w:spacing w:before="100" w:after="100"/>
      </w:pPr>
      <w:r w:rsidRPr="00BE78CA">
        <w:t>The EF</w:t>
      </w:r>
      <w:r w:rsidRPr="00BE78CA">
        <w:rPr>
          <w:vertAlign w:val="subscript"/>
        </w:rPr>
        <w:t>1(UREA)</w:t>
      </w:r>
      <w:r w:rsidRPr="00BE78CA">
        <w:t xml:space="preserve"> value was changed to 0.0059 in 2017, following a recommendation from the Agriculture Inventory Advisory Panel in 2016. The Panel agreed that the value of 0.0059, based on the research by van der Weerden et al. (2016a), was more representative of New Zealand farming practices and conditions, where only small (30–50 kg N/ha/application) urea dressings are applied but on several occasions during a year. The lower value of EF</w:t>
      </w:r>
      <w:r w:rsidRPr="00BE78CA">
        <w:rPr>
          <w:vertAlign w:val="subscript"/>
        </w:rPr>
        <w:t>1(UREA)</w:t>
      </w:r>
      <w:r w:rsidRPr="00BE78CA">
        <w:t>, compared with the IPCC default of 1 per cent, is comparable with studies conducted in Australia (Chen et al., 2010; Galbally et al., 2005) and the Netherlands (Kuikman et al., 2006), which have found EF</w:t>
      </w:r>
      <w:r w:rsidRPr="00BE78CA">
        <w:rPr>
          <w:vertAlign w:val="subscript"/>
        </w:rPr>
        <w:t>1</w:t>
      </w:r>
      <w:r w:rsidRPr="00BE78CA">
        <w:t xml:space="preserve"> urea fertiliser values of approximately 0.5 per cent. </w:t>
      </w:r>
    </w:p>
    <w:p w14:paraId="34D2666A" w14:textId="77777777" w:rsidR="00F02481" w:rsidRPr="00BE78CA" w:rsidRDefault="00F02481" w:rsidP="004D30A5">
      <w:pPr>
        <w:pStyle w:val="BodyText"/>
        <w:spacing w:before="100" w:after="100"/>
      </w:pPr>
      <w:r w:rsidRPr="00BE78CA">
        <w:t>Since 1990, there has been a large increase in nitrogen</w:t>
      </w:r>
      <w:r w:rsidRPr="00BE78CA" w:rsidDel="00384723">
        <w:t xml:space="preserve"> </w:t>
      </w:r>
      <w:r w:rsidRPr="00BE78CA">
        <w:t xml:space="preserve">applied through synthetic fertiliser, from 59,265 tonnes in 1990 to 452,000 tonnes in 2019 (see figure 5.5.2). At the same time, the proportion of urea fertiliser applied has increased from just over 41.5 per cent to 79.2 per cent of all synthetic nitrogen fertiliser (see figure 5.5.3). </w:t>
      </w:r>
    </w:p>
    <w:p w14:paraId="06AFBDEA" w14:textId="77777777" w:rsidR="00F02481" w:rsidRPr="00BE78CA" w:rsidRDefault="00F02481" w:rsidP="00C26084">
      <w:pPr>
        <w:pStyle w:val="Figure"/>
      </w:pPr>
      <w:bookmarkStart w:id="867" w:name="_Toc447275696"/>
      <w:bookmarkStart w:id="868" w:name="_Toc481752015"/>
      <w:bookmarkStart w:id="869" w:name="_Toc507158474"/>
      <w:bookmarkStart w:id="870" w:name="_Toc511116965"/>
      <w:bookmarkStart w:id="871" w:name="_Toc5269695"/>
      <w:bookmarkStart w:id="872" w:name="_Toc32570966"/>
      <w:bookmarkStart w:id="873" w:name="_Toc36292796"/>
      <w:bookmarkStart w:id="874" w:name="_Toc68786661"/>
      <w:r w:rsidRPr="00BE78CA">
        <w:lastRenderedPageBreak/>
        <w:t>Figure 5.5.2</w:t>
      </w:r>
      <w:r w:rsidRPr="00BE78CA">
        <w:tab/>
        <w:t>Synthetic nitrogen fertiliser use in New Zealand from 1990 to </w:t>
      </w:r>
      <w:bookmarkEnd w:id="867"/>
      <w:bookmarkEnd w:id="868"/>
      <w:bookmarkEnd w:id="869"/>
      <w:bookmarkEnd w:id="870"/>
      <w:bookmarkEnd w:id="871"/>
      <w:r w:rsidRPr="00BE78CA">
        <w:rPr>
          <w:color w:val="000000"/>
        </w:rPr>
        <w:t>201</w:t>
      </w:r>
      <w:bookmarkEnd w:id="872"/>
      <w:bookmarkEnd w:id="873"/>
      <w:r w:rsidRPr="00BE78CA">
        <w:rPr>
          <w:color w:val="000000"/>
        </w:rPr>
        <w:t>9</w:t>
      </w:r>
      <w:bookmarkEnd w:id="874"/>
    </w:p>
    <w:p w14:paraId="1F155F79" w14:textId="77777777" w:rsidR="00F02481" w:rsidRPr="00BE78CA" w:rsidRDefault="00087879" w:rsidP="00C26084">
      <w:pPr>
        <w:pStyle w:val="BodyText"/>
        <w:spacing w:before="0" w:after="60"/>
        <w:rPr>
          <w:rFonts w:cs="Calibri"/>
        </w:rPr>
      </w:pPr>
      <w:r>
        <w:pict w14:anchorId="4421C6D2">
          <v:shape id="_x0000_i1054" type="#_x0000_t75" style="width:417.75pt;height:267.6pt;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">
            <v:imagedata r:id="rId144" o:title="" cropbottom="-24f"/>
            <o:lock v:ext="edit" aspectratio="f"/>
          </v:shape>
        </w:pict>
      </w:r>
      <w:r w:rsidR="00F02481" w:rsidRPr="00BE78CA" w:rsidDel="00496D60">
        <w:rPr>
          <w:rFonts w:cs="Calibri"/>
        </w:rPr>
        <w:t xml:space="preserve"> </w:t>
      </w:r>
      <w:bookmarkStart w:id="875" w:name="_MON_1605429256"/>
      <w:bookmarkEnd w:id="875"/>
    </w:p>
    <w:p w14:paraId="11FC77E8" w14:textId="77777777" w:rsidR="00F02481" w:rsidRPr="00BE78CA" w:rsidRDefault="00F02481" w:rsidP="00477DE6">
      <w:pPr>
        <w:pStyle w:val="Source"/>
        <w:spacing w:after="120"/>
        <w:rPr>
          <w:rFonts w:cs="Calibri"/>
        </w:rPr>
      </w:pPr>
      <w:r w:rsidRPr="00BE78CA">
        <w:rPr>
          <w:rFonts w:cs="Calibri"/>
          <w:b/>
          <w:bCs/>
        </w:rPr>
        <w:t xml:space="preserve">Source: </w:t>
      </w:r>
      <w:r w:rsidRPr="00BE78CA">
        <w:rPr>
          <w:rFonts w:cs="Calibri"/>
        </w:rPr>
        <w:t>Fertiliser Association of New Zealand</w:t>
      </w:r>
    </w:p>
    <w:p w14:paraId="1D90B5AE" w14:textId="77777777" w:rsidR="00F02481" w:rsidRPr="00BE78CA" w:rsidRDefault="00F02481" w:rsidP="00477DE6">
      <w:pPr>
        <w:pStyle w:val="Figure"/>
      </w:pPr>
      <w:bookmarkStart w:id="876" w:name="_Toc447275697"/>
      <w:bookmarkStart w:id="877" w:name="_Toc481752016"/>
      <w:bookmarkStart w:id="878" w:name="_Toc507158475"/>
      <w:bookmarkStart w:id="879" w:name="_Toc511116966"/>
      <w:bookmarkStart w:id="880" w:name="_Toc5269696"/>
      <w:bookmarkStart w:id="881" w:name="_Toc32570967"/>
      <w:bookmarkStart w:id="882" w:name="_Toc36292797"/>
      <w:bookmarkStart w:id="883" w:name="_Toc68786662"/>
      <w:r w:rsidRPr="00BE78CA">
        <w:t>Figure 5.5.3</w:t>
      </w:r>
      <w:r w:rsidRPr="00BE78CA">
        <w:tab/>
        <w:t>Percentage of synthetic nitrogen fertiliser derived from urea from 1990 to</w:t>
      </w:r>
      <w:bookmarkEnd w:id="876"/>
      <w:bookmarkEnd w:id="877"/>
      <w:r w:rsidRPr="00BE78CA">
        <w:t> </w:t>
      </w:r>
      <w:bookmarkEnd w:id="878"/>
      <w:bookmarkEnd w:id="879"/>
      <w:bookmarkEnd w:id="880"/>
      <w:r w:rsidRPr="00BE78CA">
        <w:t>201</w:t>
      </w:r>
      <w:bookmarkEnd w:id="881"/>
      <w:bookmarkEnd w:id="882"/>
      <w:r w:rsidRPr="00BE78CA">
        <w:t>9</w:t>
      </w:r>
      <w:bookmarkEnd w:id="883"/>
    </w:p>
    <w:p w14:paraId="5396A91B" w14:textId="77777777" w:rsidR="00F02481" w:rsidRPr="00BE78CA" w:rsidRDefault="00087879" w:rsidP="00C26084">
      <w:pPr>
        <w:pStyle w:val="BodyText"/>
        <w:spacing w:before="0" w:after="60"/>
        <w:rPr>
          <w:rFonts w:cs="Calibri"/>
        </w:rPr>
      </w:pPr>
      <w:r>
        <w:pict w14:anchorId="5ED54E83">
          <v:shape id="_x0000_i1055" type="#_x0000_t75" style="width:409.6pt;height:252.7pt;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">
            <v:imagedata r:id="rId145" o:title=""/>
            <o:lock v:ext="edit" aspectratio="f"/>
          </v:shape>
        </w:pict>
      </w:r>
      <w:r w:rsidR="00F02481" w:rsidRPr="00BE78CA" w:rsidDel="00496D60">
        <w:rPr>
          <w:rFonts w:cs="Calibri"/>
        </w:rPr>
        <w:t xml:space="preserve"> </w:t>
      </w:r>
    </w:p>
    <w:p w14:paraId="55E242EE" w14:textId="77777777" w:rsidR="00F02481" w:rsidRPr="00BE78CA" w:rsidRDefault="00F02481" w:rsidP="00C26084">
      <w:pPr>
        <w:pStyle w:val="Source"/>
      </w:pPr>
      <w:r w:rsidRPr="00BE78CA">
        <w:rPr>
          <w:b/>
          <w:bCs/>
        </w:rPr>
        <w:t>Sources:</w:t>
      </w:r>
      <w:r w:rsidRPr="00BE78CA">
        <w:t xml:space="preserve"> International Fertiliser Industry Association, Fertiliser Association of New Zealand</w:t>
      </w:r>
    </w:p>
    <w:p w14:paraId="642E814C" w14:textId="77777777" w:rsidR="00F02481" w:rsidRPr="00BE78CA" w:rsidRDefault="00F02481" w:rsidP="00C26084">
      <w:pPr>
        <w:pStyle w:val="BodyText"/>
      </w:pPr>
      <w:r w:rsidRPr="00BE78CA">
        <w:t>The increase in synthetic nitrogen fertiliser use since 1990 has resulted in an increase in emissions from this category, from 230.3 kt CO</w:t>
      </w:r>
      <w:r w:rsidRPr="00BE78CA">
        <w:rPr>
          <w:vertAlign w:val="subscript"/>
        </w:rPr>
        <w:t>2</w:t>
      </w:r>
      <w:r w:rsidRPr="00BE78CA">
        <w:t>-e in 1990 (0.7 per cent of total agricultural emissions) to 1,429.3 kt CO</w:t>
      </w:r>
      <w:r w:rsidRPr="00BE78CA">
        <w:rPr>
          <w:vertAlign w:val="subscript"/>
        </w:rPr>
        <w:t>2</w:t>
      </w:r>
      <w:r w:rsidRPr="00BE78CA">
        <w:noBreakHyphen/>
        <w:t xml:space="preserve">e in 2019 (3.6 per cent of agricultural emissions). </w:t>
      </w:r>
    </w:p>
    <w:p w14:paraId="67231C78" w14:textId="77777777" w:rsidR="00F02481" w:rsidRPr="00BE78CA" w:rsidRDefault="00F02481" w:rsidP="00C26084">
      <w:pPr>
        <w:pStyle w:val="Heading5"/>
        <w:rPr>
          <w:rFonts w:cs="Calibri"/>
        </w:rPr>
      </w:pPr>
      <w:r w:rsidRPr="00BE78CA">
        <w:rPr>
          <w:rFonts w:cs="Calibri"/>
        </w:rPr>
        <w:lastRenderedPageBreak/>
        <w:t>Organic nitrogen fertilisers (CRF 3.D.1.2)</w:t>
      </w:r>
    </w:p>
    <w:p w14:paraId="49081BF5" w14:textId="77777777" w:rsidR="00F02481" w:rsidRPr="00BE78CA" w:rsidRDefault="00F02481" w:rsidP="004D30A5">
      <w:pPr>
        <w:pStyle w:val="BodyText"/>
        <w:spacing w:before="100"/>
      </w:pPr>
      <w:r w:rsidRPr="00BE78CA">
        <w:t>In New Zealand, emissions from organic nitrogen fertilisers are solely from animal manure that is spread on pasture after collection in manure management systems. Most animal manure in New Zealand is excreted directly onto pasture, but some manure from dairy farms is collected in manure management systems and applied to soils as an organic fertiliser (see table 5.3.2). Some manure is also collected but not stored; rather, it is spread directly onto pasture daily (e.g., swine manure and some dairy manure). The emissions calculation in this category (organic nitrogen fertilisers) excludes manure deposited directly on pasture by grazing livestock, which is covered in the next section (urine and dung deposited by grazing animals (CRF 3.D.1.3)). Animal manure is not used for fuel or construction in New Zealand.</w:t>
      </w:r>
    </w:p>
    <w:p w14:paraId="57256337" w14:textId="44696259" w:rsidR="00F02481" w:rsidRPr="00BE78CA" w:rsidRDefault="00F02481" w:rsidP="004D30A5">
      <w:pPr>
        <w:pStyle w:val="BodyText"/>
        <w:spacing w:before="100" w:after="100"/>
      </w:pPr>
      <w:r w:rsidRPr="00BE78CA">
        <w:t>New Zealand has developed a country-specific emissions factor for dairy cattle manure applied</w:t>
      </w:r>
      <w:r w:rsidR="00F63897" w:rsidRPr="00BE78CA">
        <w:t> </w:t>
      </w:r>
      <w:r w:rsidRPr="00BE78CA">
        <w:t>to soils of 0.0025 (van der Weerden et al., 2016a, 2016b). This value was based on a meta-analysis of field trials carried out in New Zealand that measured emissions from dairy cattle manure on soil. This emissions factor was changed to 0.0025 in 2017, following a recommendation from the Agriculture Inventory Advisory Panel in 2016. The Panel agreed that the new value was more representative of New Zealand farming practices and conditions. Given that dairy cattle manure is a mixture of urine and dung (combined with water), the value of 0.0025 is consistent with the EF</w:t>
      </w:r>
      <w:r w:rsidRPr="00BE78CA">
        <w:rPr>
          <w:vertAlign w:val="subscript"/>
        </w:rPr>
        <w:t>3</w:t>
      </w:r>
      <w:r w:rsidRPr="00BE78CA">
        <w:t xml:space="preserve"> emission factor values used in New Zealand for dairy cattle urine (0.0098 and 0.0033 for flat and medium to steep sloped land respectively) and dung (0.0012) (van der Weerden et al., 2016a). Direct N</w:t>
      </w:r>
      <w:r w:rsidRPr="00BE78CA">
        <w:rPr>
          <w:vertAlign w:val="subscript"/>
        </w:rPr>
        <w:t>2</w:t>
      </w:r>
      <w:r w:rsidRPr="00BE78CA">
        <w:t>O emissions from organic fertiliser (dairy cattle manure) in 2019 (using the EF of 0.0025) were 0.139 kt N</w:t>
      </w:r>
      <w:r w:rsidRPr="00BE78CA">
        <w:rPr>
          <w:vertAlign w:val="subscript"/>
        </w:rPr>
        <w:t>2</w:t>
      </w:r>
      <w:r w:rsidRPr="00BE78CA">
        <w:t>O. If the IPCC emissions factor was used, estimated direct N</w:t>
      </w:r>
      <w:r w:rsidRPr="00BE78CA">
        <w:rPr>
          <w:vertAlign w:val="subscript"/>
        </w:rPr>
        <w:t>2</w:t>
      </w:r>
      <w:r w:rsidRPr="00BE78CA">
        <w:t>O emissions from organic fertiliser (dairy cattle manure) would be 0.556 kt N</w:t>
      </w:r>
      <w:r w:rsidRPr="00BE78CA">
        <w:rPr>
          <w:vertAlign w:val="subscript"/>
        </w:rPr>
        <w:t>2</w:t>
      </w:r>
      <w:r w:rsidRPr="00BE78CA">
        <w:t>O.</w:t>
      </w:r>
    </w:p>
    <w:p w14:paraId="505C0D52" w14:textId="77777777" w:rsidR="00F02481" w:rsidRPr="00BE78CA" w:rsidRDefault="00F02481" w:rsidP="004D30A5">
      <w:pPr>
        <w:pStyle w:val="BodyText"/>
        <w:spacing w:before="100" w:after="100"/>
      </w:pPr>
      <w:r w:rsidRPr="00BE78CA">
        <w:t>Manure from poultry and swine spread onto soil has an emissions factor of 0.01, which is consistent with the IPCC default.</w:t>
      </w:r>
    </w:p>
    <w:p w14:paraId="7677E28B" w14:textId="77777777" w:rsidR="00F02481" w:rsidRPr="00BE78CA" w:rsidRDefault="00F02481" w:rsidP="004D30A5">
      <w:pPr>
        <w:pStyle w:val="BodyText"/>
        <w:spacing w:before="100" w:after="60"/>
      </w:pPr>
      <w:r w:rsidRPr="00BE78CA">
        <w:t>The following equation is used to determine direct N</w:t>
      </w:r>
      <w:r w:rsidRPr="00BE78CA">
        <w:rPr>
          <w:vertAlign w:val="subscript"/>
        </w:rPr>
        <w:t>2</w:t>
      </w:r>
      <w:r w:rsidRPr="00BE78CA">
        <w:t>O emissions from the application of animal manure to soil:</w:t>
      </w:r>
    </w:p>
    <w:bookmarkStart w:id="884" w:name="_MON_1543746072"/>
    <w:bookmarkEnd w:id="884"/>
    <w:p w14:paraId="703AF3F1" w14:textId="77777777" w:rsidR="00F02481" w:rsidRPr="00BE78CA" w:rsidRDefault="00F02481" w:rsidP="00C26084">
      <w:pPr>
        <w:pStyle w:val="BodyText"/>
        <w:spacing w:before="0" w:after="60"/>
        <w:jc w:val="center"/>
        <w:rPr>
          <w:rFonts w:cs="Calibri"/>
        </w:rPr>
      </w:pPr>
      <w:r w:rsidRPr="00BE78CA">
        <w:rPr>
          <w:rFonts w:cs="Calibri"/>
        </w:rPr>
        <w:object w:dxaOrig="6524" w:dyaOrig="450" w14:anchorId="3831EAD5">
          <v:shape id="_x0000_i1056" type="#_x0000_t75" style="width:323.3pt;height:21.75pt" o:ole="">
            <v:imagedata r:id="rId146" o:title="" cropright="6115f"/>
          </v:shape>
          <o:OLEObject Type="Embed" ProgID="Word.Document.12" ShapeID="_x0000_i1056" DrawAspect="Content" ObjectID="_1679402773" r:id="rId147">
            <o:FieldCodes>\s</o:FieldCodes>
          </o:OLEObject>
        </w:object>
      </w:r>
    </w:p>
    <w:p w14:paraId="20AD51B9" w14:textId="77777777" w:rsidR="00F02481" w:rsidRPr="00BE78CA" w:rsidRDefault="00F02481" w:rsidP="004D30A5">
      <w:pPr>
        <w:pStyle w:val="BodyText"/>
        <w:spacing w:after="40"/>
        <w:ind w:left="964" w:hanging="964"/>
      </w:pPr>
      <w:r w:rsidRPr="00BE78CA">
        <w:t>Where:</w:t>
      </w:r>
      <w:r w:rsidRPr="00BE78CA">
        <w:tab/>
        <w:t>F</w:t>
      </w:r>
      <w:r w:rsidRPr="00BE78CA">
        <w:rPr>
          <w:vertAlign w:val="subscript"/>
        </w:rPr>
        <w:t>AM</w:t>
      </w:r>
      <w:r w:rsidRPr="00BE78CA">
        <w:t xml:space="preserve"> is the total amount of animal manure nitrogen (swine and poultry) applied to soils from manure management systems (other than pasture, range and paddock), which is derived as a fraction of the nitrogen excretion rates, N</w:t>
      </w:r>
      <w:r w:rsidRPr="00BE78CA">
        <w:rPr>
          <w:vertAlign w:val="subscript"/>
        </w:rPr>
        <w:t>ex</w:t>
      </w:r>
      <w:r w:rsidRPr="00BE78CA">
        <w:t xml:space="preserve">, described in section 5.3.2 </w:t>
      </w:r>
    </w:p>
    <w:p w14:paraId="3424F2B6" w14:textId="77777777" w:rsidR="00F02481" w:rsidRPr="00BE78CA" w:rsidRDefault="00F02481" w:rsidP="004D30A5">
      <w:pPr>
        <w:pStyle w:val="BodyText"/>
        <w:spacing w:before="60" w:after="40"/>
        <w:ind w:left="964" w:hanging="964"/>
      </w:pPr>
      <w:r w:rsidRPr="00BE78CA">
        <w:tab/>
        <w:t>EF</w:t>
      </w:r>
      <w:r w:rsidRPr="00BE78CA">
        <w:rPr>
          <w:vertAlign w:val="subscript"/>
        </w:rPr>
        <w:t>1</w:t>
      </w:r>
      <w:r w:rsidRPr="00BE78CA">
        <w:t xml:space="preserve"> is the proportion of direct N</w:t>
      </w:r>
      <w:r w:rsidRPr="00BE78CA">
        <w:rPr>
          <w:vertAlign w:val="subscript"/>
        </w:rPr>
        <w:t>2</w:t>
      </w:r>
      <w:r w:rsidRPr="00BE78CA">
        <w:t>O emissions from animal manure (swine and poultry) applied to soils (0.01; table 5.5.2)</w:t>
      </w:r>
    </w:p>
    <w:p w14:paraId="087FF50E" w14:textId="77777777" w:rsidR="00F02481" w:rsidRPr="00BE78CA" w:rsidRDefault="00F02481" w:rsidP="004D30A5">
      <w:pPr>
        <w:pStyle w:val="BodyText"/>
        <w:spacing w:before="60" w:after="40"/>
        <w:ind w:left="964" w:hanging="964"/>
      </w:pPr>
      <w:r w:rsidRPr="00BE78CA">
        <w:tab/>
        <w:t>F</w:t>
      </w:r>
      <w:r w:rsidRPr="00BE78CA">
        <w:rPr>
          <w:vertAlign w:val="subscript"/>
        </w:rPr>
        <w:t>AM(DAIRY)</w:t>
      </w:r>
      <w:r w:rsidRPr="00BE78CA">
        <w:t xml:space="preserve"> is the total amount of animal manure nitrogen (dairy) applied to soils from manure management systems (other than pasture, range and paddock), which is derived as a fraction of the nitrogen excretion rates, N</w:t>
      </w:r>
      <w:r w:rsidRPr="00BE78CA">
        <w:rPr>
          <w:vertAlign w:val="subscript"/>
        </w:rPr>
        <w:t>ex</w:t>
      </w:r>
      <w:r w:rsidRPr="00BE78CA">
        <w:t>, described in section 5.3.2, and</w:t>
      </w:r>
    </w:p>
    <w:p w14:paraId="2FE8D1C2" w14:textId="77777777" w:rsidR="00F02481" w:rsidRPr="00BE78CA" w:rsidDel="00380393" w:rsidRDefault="00F02481" w:rsidP="004D30A5">
      <w:pPr>
        <w:pStyle w:val="BodyText"/>
        <w:spacing w:before="40"/>
        <w:ind w:left="964" w:hanging="964"/>
      </w:pPr>
      <w:r w:rsidRPr="00BE78CA">
        <w:tab/>
        <w:t>EF</w:t>
      </w:r>
      <w:r w:rsidRPr="00BE78CA">
        <w:rPr>
          <w:vertAlign w:val="subscript"/>
        </w:rPr>
        <w:t>1(DAIRY)</w:t>
      </w:r>
      <w:r w:rsidRPr="00BE78CA">
        <w:t xml:space="preserve"> is the proportion of direct N</w:t>
      </w:r>
      <w:r w:rsidRPr="00BE78CA">
        <w:rPr>
          <w:vertAlign w:val="subscript"/>
        </w:rPr>
        <w:t>2</w:t>
      </w:r>
      <w:r w:rsidRPr="00BE78CA">
        <w:t>O emissions from animal manure (dairy cattle) applied to soils (0.0025; table 5.5.2)</w:t>
      </w:r>
      <w:r w:rsidRPr="00BE78CA" w:rsidDel="00380393">
        <w:t xml:space="preserve">. </w:t>
      </w:r>
    </w:p>
    <w:p w14:paraId="11C3D7BF" w14:textId="77777777" w:rsidR="00F02481" w:rsidRPr="00BE78CA" w:rsidRDefault="00F02481" w:rsidP="00C26084">
      <w:pPr>
        <w:pStyle w:val="BodyText"/>
      </w:pPr>
      <w:r w:rsidRPr="00BE78CA">
        <w:t xml:space="preserve">The IPCC Guidelines (IPCC, 2006) recommend that non-manure components of organic nitrogen applied to agricultural soils, such as compost sewage sludge and rendering waste, are included under organic fertilisers. New Zealand commissioned research on sources of organic waste and found that these activities are not significant for New Zealand (van der Weerden et al., 2014). They account for approximately 0.025 per cent of national gross greenhouse gas emissions and, therefore, this category has been reported as ‘not estimated’ (NE). </w:t>
      </w:r>
    </w:p>
    <w:p w14:paraId="21386CD1" w14:textId="77777777" w:rsidR="00F02481" w:rsidRPr="00BE78CA" w:rsidRDefault="00F02481" w:rsidP="004D30A5">
      <w:pPr>
        <w:pStyle w:val="BodyText"/>
        <w:spacing w:before="100" w:after="100"/>
      </w:pPr>
      <w:r w:rsidRPr="00BE78CA">
        <w:lastRenderedPageBreak/>
        <w:t>The research assessed a range of potential sources including dairy processing wastewater, compost sold to the rural sector, blood and bone fertiliser, meat processing wastewater and sludge, grape marc from the wine industry, vegetable processing wastewater and sewage sludge applied to land. No brewery waste is applied to soils in New Zealand because spent yeast is used in the food industry to manufacture a yeast spread.</w:t>
      </w:r>
    </w:p>
    <w:p w14:paraId="0CB34AC5" w14:textId="77777777" w:rsidR="00F02481" w:rsidRPr="00BE78CA" w:rsidDel="00A405B4" w:rsidRDefault="00F02481" w:rsidP="004D30A5">
      <w:pPr>
        <w:pStyle w:val="BodyText"/>
        <w:spacing w:before="100" w:after="100"/>
      </w:pPr>
      <w:r w:rsidRPr="00BE78CA">
        <w:t>Because most livestock manure in New Zealand is excreted directly onto pasture, emissions from the organic nitrogen fertilisers category are relatively small. In 2019, N</w:t>
      </w:r>
      <w:r w:rsidRPr="00BE78CA">
        <w:rPr>
          <w:vertAlign w:val="subscript"/>
        </w:rPr>
        <w:t>2</w:t>
      </w:r>
      <w:r w:rsidRPr="00BE78CA">
        <w:t>O emissions from this source contributed 76.9 kt CO</w:t>
      </w:r>
      <w:r w:rsidRPr="00BE78CA">
        <w:rPr>
          <w:vertAlign w:val="subscript"/>
        </w:rPr>
        <w:t>2</w:t>
      </w:r>
      <w:r w:rsidRPr="00BE78CA">
        <w:t xml:space="preserve">-e (1.0 per cent of emissions from </w:t>
      </w:r>
      <w:r w:rsidRPr="00BE78CA">
        <w:rPr>
          <w:i/>
          <w:iCs/>
        </w:rPr>
        <w:t>Agricultural soils</w:t>
      </w:r>
      <w:r w:rsidRPr="00BE78CA">
        <w:t>, and 0.2 per cent of total agricultural emissions). This is an increase of 40.7 kt CO</w:t>
      </w:r>
      <w:r w:rsidRPr="00BE78CA">
        <w:rPr>
          <w:vertAlign w:val="subscript"/>
        </w:rPr>
        <w:t>2</w:t>
      </w:r>
      <w:r w:rsidRPr="00BE78CA">
        <w:t>-e (112.2 per cent) from the 1990 level of 36.3 kt CO</w:t>
      </w:r>
      <w:r w:rsidRPr="00BE78CA">
        <w:rPr>
          <w:vertAlign w:val="subscript"/>
        </w:rPr>
        <w:t>2</w:t>
      </w:r>
      <w:r w:rsidRPr="00BE78CA">
        <w:t xml:space="preserve">-e. </w:t>
      </w:r>
    </w:p>
    <w:p w14:paraId="55482DEC" w14:textId="77777777" w:rsidR="00F02481" w:rsidRPr="00BE78CA" w:rsidRDefault="00F02481" w:rsidP="00C26084">
      <w:pPr>
        <w:pStyle w:val="Heading5"/>
        <w:rPr>
          <w:rFonts w:cs="Calibri"/>
        </w:rPr>
      </w:pPr>
      <w:r w:rsidRPr="00BE78CA">
        <w:rPr>
          <w:rFonts w:cs="Calibri"/>
        </w:rPr>
        <w:t>Urine and dung deposited by grazing animals (CRF 3.D.1.3)</w:t>
      </w:r>
    </w:p>
    <w:p w14:paraId="4D16A614" w14:textId="52ED3745" w:rsidR="00F02481" w:rsidRPr="00BE78CA" w:rsidRDefault="00F02481" w:rsidP="004D30A5">
      <w:pPr>
        <w:pStyle w:val="BodyText"/>
        <w:spacing w:before="100"/>
      </w:pPr>
      <w:r w:rsidRPr="00BE78CA">
        <w:t>Most livestock in New Zealand are grazed outdoors on pasture, with around 92.7 per cent of dairy cattle excreta and 100 per cent of beef cattle, sheep, deer and other livestock excreta deposited on pasture (see table 5.3.2). In New Zealand, dairy cattle are kept close to the milking shed and dairy farming tends to be on flat land. Sheep, beef and deer farming predominantly occurs on hill country and rarely on flatland</w:t>
      </w:r>
    </w:p>
    <w:p w14:paraId="78EE23F4" w14:textId="77777777" w:rsidR="00F02481" w:rsidRPr="00BE78CA" w:rsidRDefault="00F02481" w:rsidP="004D30A5">
      <w:pPr>
        <w:pStyle w:val="BodyText"/>
        <w:spacing w:before="100"/>
      </w:pPr>
      <w:r w:rsidRPr="00BE78CA">
        <w:t>The following equations are used to determine direct N</w:t>
      </w:r>
      <w:r w:rsidRPr="00BE78CA">
        <w:rPr>
          <w:vertAlign w:val="subscript"/>
        </w:rPr>
        <w:t>2</w:t>
      </w:r>
      <w:r w:rsidRPr="00BE78CA">
        <w:t>O emissions from grazing livestock manure.</w:t>
      </w:r>
    </w:p>
    <w:p w14:paraId="62E64DE9" w14:textId="77777777" w:rsidR="00F02481" w:rsidRPr="00BE78CA" w:rsidRDefault="00F02481" w:rsidP="004D30A5">
      <w:pPr>
        <w:pStyle w:val="BodyText"/>
        <w:spacing w:before="100"/>
      </w:pPr>
      <w:r w:rsidRPr="00BE78CA">
        <w:t xml:space="preserve">For urine deposited on flatland and low slopes by sheep, cattle and deer only: </w:t>
      </w:r>
    </w:p>
    <w:bookmarkStart w:id="885" w:name="_MON_1608113144"/>
    <w:bookmarkEnd w:id="885"/>
    <w:p w14:paraId="3847D0AA" w14:textId="77777777" w:rsidR="00F02481" w:rsidRPr="00BE78CA" w:rsidRDefault="00F02481" w:rsidP="00DC38F7">
      <w:pPr>
        <w:pStyle w:val="BodyText"/>
        <w:spacing w:before="80" w:after="80"/>
      </w:pPr>
      <w:r w:rsidRPr="00BE78CA">
        <w:object w:dxaOrig="7709" w:dyaOrig="1087" w14:anchorId="6E0AAECA">
          <v:shape id="_x0000_i1057" type="#_x0000_t75" style="width:389.2pt;height:57.75pt" o:ole="">
            <v:imagedata r:id="rId148" o:title=""/>
          </v:shape>
          <o:OLEObject Type="Embed" ProgID="Word.Document.12" ShapeID="_x0000_i1057" DrawAspect="Content" ObjectID="_1679402774" r:id="rId149">
            <o:FieldCodes>\s</o:FieldCodes>
          </o:OLEObject>
        </w:object>
      </w:r>
    </w:p>
    <w:p w14:paraId="361CEE9D" w14:textId="77777777" w:rsidR="00F02481" w:rsidRPr="00BE78CA" w:rsidRDefault="00F02481" w:rsidP="00C26084">
      <w:pPr>
        <w:pStyle w:val="BodyText"/>
        <w:keepNext/>
        <w:rPr>
          <w:rFonts w:cs="Calibri"/>
        </w:rPr>
      </w:pPr>
      <w:r w:rsidRPr="00BE78CA">
        <w:rPr>
          <w:rFonts w:cs="Calibri"/>
        </w:rPr>
        <w:t xml:space="preserve">For urine deposited on medium and steep slopes by sheep, cattle and deer only: </w:t>
      </w:r>
    </w:p>
    <w:bookmarkStart w:id="886" w:name="_MON_1635763769"/>
    <w:bookmarkEnd w:id="886"/>
    <w:p w14:paraId="0EFAC33F" w14:textId="77777777" w:rsidR="00F02481" w:rsidRPr="00BE78CA" w:rsidRDefault="00F02481" w:rsidP="00DC38F7">
      <w:pPr>
        <w:pStyle w:val="BodyText"/>
        <w:keepNext/>
        <w:spacing w:before="80" w:after="80"/>
        <w:rPr>
          <w:rFonts w:cs="Calibri"/>
        </w:rPr>
      </w:pPr>
      <w:r w:rsidRPr="00BE78CA">
        <w:rPr>
          <w:rFonts w:cs="Calibri"/>
        </w:rPr>
        <w:object w:dxaOrig="7709" w:dyaOrig="1087" w14:anchorId="2AE06B2D">
          <v:shape id="_x0000_i1058" type="#_x0000_t75" style="width:389.2pt;height:57.75pt" o:ole="">
            <v:imagedata r:id="rId150" o:title=""/>
          </v:shape>
          <o:OLEObject Type="Embed" ProgID="Word.Document.12" ShapeID="_x0000_i1058" DrawAspect="Content" ObjectID="_1679402775" r:id="rId151">
            <o:FieldCodes>\s</o:FieldCodes>
          </o:OLEObject>
        </w:object>
      </w:r>
    </w:p>
    <w:p w14:paraId="452102EE" w14:textId="77777777" w:rsidR="00F02481" w:rsidRPr="00BE78CA" w:rsidRDefault="00F02481" w:rsidP="00C26084">
      <w:pPr>
        <w:pStyle w:val="BodyText"/>
        <w:rPr>
          <w:rFonts w:cs="Calibri"/>
        </w:rPr>
      </w:pPr>
      <w:r w:rsidRPr="00BE78CA">
        <w:rPr>
          <w:rFonts w:cs="Calibri"/>
        </w:rPr>
        <w:t>For all dung from sheep, cattle and deer:</w:t>
      </w:r>
    </w:p>
    <w:bookmarkStart w:id="887" w:name="_MON_1608112789"/>
    <w:bookmarkEnd w:id="887"/>
    <w:p w14:paraId="1E7A4366" w14:textId="77777777" w:rsidR="00F02481" w:rsidRPr="00BE78CA" w:rsidRDefault="00F02481" w:rsidP="00DC38F7">
      <w:pPr>
        <w:pStyle w:val="BodyText"/>
        <w:spacing w:before="80" w:after="80"/>
        <w:rPr>
          <w:rFonts w:cs="Calibri"/>
        </w:rPr>
      </w:pPr>
      <w:r w:rsidRPr="00BE78CA">
        <w:rPr>
          <w:rFonts w:cs="Calibri"/>
        </w:rPr>
        <w:object w:dxaOrig="7889" w:dyaOrig="637" w14:anchorId="7E7C777C">
          <v:shape id="_x0000_i1059" type="#_x0000_t75" style="width:396.7pt;height:36pt" o:ole="">
            <v:imagedata r:id="rId152" o:title=""/>
          </v:shape>
          <o:OLEObject Type="Embed" ProgID="Word.Document.12" ShapeID="_x0000_i1059" DrawAspect="Content" ObjectID="_1679402776" r:id="rId153">
            <o:FieldCodes>\s</o:FieldCodes>
          </o:OLEObject>
        </w:object>
      </w:r>
    </w:p>
    <w:p w14:paraId="537858D9" w14:textId="77777777" w:rsidR="00F02481" w:rsidRPr="00BE78CA" w:rsidRDefault="00F02481" w:rsidP="00C26084">
      <w:pPr>
        <w:pStyle w:val="BodyText"/>
        <w:keepNext/>
        <w:rPr>
          <w:rFonts w:cs="Calibri"/>
        </w:rPr>
      </w:pPr>
      <w:r w:rsidRPr="00BE78CA">
        <w:rPr>
          <w:rFonts w:cs="Calibri"/>
        </w:rPr>
        <w:t xml:space="preserve">For urine and dung from other livestock categories (swine, goats, horses, alpaca, mules, asses and poultry): </w:t>
      </w:r>
    </w:p>
    <w:bookmarkStart w:id="888" w:name="_MON_1635762384"/>
    <w:bookmarkEnd w:id="888"/>
    <w:p w14:paraId="4AF570E5" w14:textId="77777777" w:rsidR="00F02481" w:rsidRPr="00BE78CA" w:rsidRDefault="00F02481" w:rsidP="00DC38F7">
      <w:pPr>
        <w:pStyle w:val="BodyText"/>
        <w:spacing w:before="80" w:after="80"/>
      </w:pPr>
      <w:r w:rsidRPr="00BE78CA">
        <w:object w:dxaOrig="7934" w:dyaOrig="661" w14:anchorId="0800BD99">
          <v:shape id="_x0000_i1060" type="#_x0000_t75" style="width:395.3pt;height:35.3pt" o:ole="">
            <v:imagedata r:id="rId154" o:title=""/>
          </v:shape>
          <o:OLEObject Type="Embed" ProgID="Word.Document.12" ShapeID="_x0000_i1060" DrawAspect="Content" ObjectID="_1679402777" r:id="rId155">
            <o:FieldCodes>\s</o:FieldCodes>
          </o:OLEObject>
        </w:object>
      </w:r>
    </w:p>
    <w:p w14:paraId="44F8E8E4" w14:textId="77777777" w:rsidR="00F02481" w:rsidRPr="00BE78CA" w:rsidRDefault="00F02481" w:rsidP="00360857">
      <w:pPr>
        <w:pStyle w:val="BodyText"/>
        <w:keepNext/>
        <w:spacing w:before="60" w:after="40"/>
        <w:ind w:left="964" w:hanging="964"/>
      </w:pPr>
      <w:r w:rsidRPr="00BE78CA">
        <w:lastRenderedPageBreak/>
        <w:t xml:space="preserve">Where: </w:t>
      </w:r>
      <w:r w:rsidRPr="00BE78CA">
        <w:tab/>
        <w:t>N</w:t>
      </w:r>
      <w:r w:rsidRPr="00BE78CA">
        <w:rPr>
          <w:vertAlign w:val="subscript"/>
        </w:rPr>
        <w:t xml:space="preserve">T </w:t>
      </w:r>
      <w:r w:rsidRPr="00BE78CA">
        <w:t>is the population of the livestock category (sheep, cattle, deer or other); T (population as calculated in section 5.1.3)</w:t>
      </w:r>
    </w:p>
    <w:p w14:paraId="1C0B5BA8" w14:textId="77777777" w:rsidR="00F02481" w:rsidRPr="00BE78CA" w:rsidRDefault="00F02481" w:rsidP="00360857">
      <w:pPr>
        <w:pStyle w:val="BodyText"/>
        <w:spacing w:before="40" w:after="0"/>
        <w:ind w:left="964" w:hanging="964"/>
      </w:pPr>
      <w:r w:rsidRPr="00BE78CA">
        <w:tab/>
        <w:t>Nex</w:t>
      </w:r>
      <w:r w:rsidRPr="00BE78CA">
        <w:rPr>
          <w:vertAlign w:val="subscript"/>
        </w:rPr>
        <w:t>URINE,FLAT</w:t>
      </w:r>
      <w:r w:rsidRPr="00BE78CA">
        <w:t xml:space="preserve"> is the annual urinary N excretion per head deposited on flatland</w:t>
      </w:r>
      <w:r w:rsidRPr="00BE78CA">
        <w:rPr>
          <w:rStyle w:val="FootnoteReference"/>
          <w:rFonts w:cs="Calibri"/>
        </w:rPr>
        <w:footnoteReference w:id="55"/>
      </w:r>
      <w:r w:rsidRPr="00BE78CA">
        <w:t xml:space="preserve"> (kg N/head/year) </w:t>
      </w:r>
    </w:p>
    <w:p w14:paraId="7AC7F3ED" w14:textId="77777777" w:rsidR="00F02481" w:rsidRPr="00BE78CA" w:rsidRDefault="00F02481" w:rsidP="004D30A5">
      <w:pPr>
        <w:pStyle w:val="BodyText"/>
        <w:spacing w:before="40" w:after="40"/>
        <w:ind w:left="964" w:hanging="964"/>
      </w:pPr>
      <w:r w:rsidRPr="00BE78CA">
        <w:tab/>
        <w:t>Nex</w:t>
      </w:r>
      <w:r w:rsidRPr="00BE78CA">
        <w:rPr>
          <w:vertAlign w:val="subscript"/>
        </w:rPr>
        <w:t>URINE,LOW</w:t>
      </w:r>
      <w:r w:rsidRPr="00BE78CA">
        <w:t xml:space="preserve"> is the annual urinary N excretion per head deposited on low slopes</w:t>
      </w:r>
      <w:r w:rsidRPr="00BE78CA">
        <w:rPr>
          <w:rStyle w:val="FootnoteReference"/>
          <w:rFonts w:cs="Calibri"/>
        </w:rPr>
        <w:footnoteReference w:id="56"/>
      </w:r>
      <w:r w:rsidRPr="00BE78CA">
        <w:t xml:space="preserve"> (kg N/head/year) </w:t>
      </w:r>
    </w:p>
    <w:p w14:paraId="63E5B844" w14:textId="77777777" w:rsidR="00F02481" w:rsidRPr="00BE78CA" w:rsidRDefault="00F02481" w:rsidP="004D30A5">
      <w:pPr>
        <w:pStyle w:val="BodyText"/>
        <w:spacing w:before="40" w:after="40"/>
        <w:ind w:left="964" w:hanging="964"/>
      </w:pPr>
      <w:r w:rsidRPr="00BE78CA">
        <w:tab/>
        <w:t>Nex</w:t>
      </w:r>
      <w:r w:rsidRPr="00BE78CA">
        <w:rPr>
          <w:vertAlign w:val="subscript"/>
        </w:rPr>
        <w:t>URINE,MED</w:t>
      </w:r>
      <w:r w:rsidRPr="00BE78CA">
        <w:t xml:space="preserve"> is the annual urinary N excretion per head deposited on medium slopes</w:t>
      </w:r>
      <w:r w:rsidRPr="00BE78CA">
        <w:rPr>
          <w:rStyle w:val="FootnoteReference"/>
          <w:rFonts w:cs="Calibri"/>
        </w:rPr>
        <w:footnoteReference w:id="57"/>
      </w:r>
      <w:r w:rsidRPr="00BE78CA">
        <w:t xml:space="preserve"> (kg N/head/year) </w:t>
      </w:r>
    </w:p>
    <w:p w14:paraId="7EDAFB91" w14:textId="77777777" w:rsidR="00F02481" w:rsidRPr="00BE78CA" w:rsidRDefault="00F02481" w:rsidP="004D30A5">
      <w:pPr>
        <w:pStyle w:val="BodyText"/>
        <w:spacing w:before="40" w:after="40"/>
        <w:ind w:left="964" w:hanging="964"/>
      </w:pPr>
      <w:r w:rsidRPr="00BE78CA">
        <w:tab/>
        <w:t>Nex</w:t>
      </w:r>
      <w:r w:rsidRPr="00BE78CA">
        <w:rPr>
          <w:vertAlign w:val="subscript"/>
        </w:rPr>
        <w:t>URINE,STEEP</w:t>
      </w:r>
      <w:r w:rsidRPr="00BE78CA">
        <w:t xml:space="preserve"> is the annual urinary N excretion per head deposited on steep slopes</w:t>
      </w:r>
      <w:r w:rsidRPr="00BE78CA">
        <w:rPr>
          <w:rStyle w:val="FootnoteReference"/>
          <w:rFonts w:cs="Calibri"/>
        </w:rPr>
        <w:footnoteReference w:id="58"/>
      </w:r>
      <w:r w:rsidRPr="00BE78CA">
        <w:t xml:space="preserve"> (kg N/head/year) </w:t>
      </w:r>
    </w:p>
    <w:p w14:paraId="31F1D4F9" w14:textId="77777777" w:rsidR="00F02481" w:rsidRPr="00BE78CA" w:rsidRDefault="00F02481" w:rsidP="004D30A5">
      <w:pPr>
        <w:pStyle w:val="BodyText"/>
        <w:spacing w:before="40" w:after="40"/>
        <w:ind w:left="964" w:hanging="964"/>
      </w:pPr>
      <w:r w:rsidRPr="00BE78CA">
        <w:tab/>
        <w:t>Nex</w:t>
      </w:r>
      <w:r w:rsidRPr="00BE78CA">
        <w:rPr>
          <w:vertAlign w:val="subscript"/>
        </w:rPr>
        <w:t>DUNG,T</w:t>
      </w:r>
      <w:r w:rsidRPr="00BE78CA">
        <w:t xml:space="preserve"> is the annual average excretion per head (kg N/head/year) </w:t>
      </w:r>
    </w:p>
    <w:p w14:paraId="2584327E" w14:textId="77777777" w:rsidR="00F02481" w:rsidRPr="00BE78CA" w:rsidRDefault="00F02481" w:rsidP="004D30A5">
      <w:pPr>
        <w:pStyle w:val="BodyText"/>
        <w:spacing w:before="40" w:after="40"/>
        <w:ind w:left="964" w:hanging="964"/>
      </w:pPr>
      <w:r w:rsidRPr="00BE78CA">
        <w:tab/>
        <w:t>Nex</w:t>
      </w:r>
      <w:r w:rsidRPr="00BE78CA">
        <w:rPr>
          <w:vertAlign w:val="subscript"/>
        </w:rPr>
        <w:t>T</w:t>
      </w:r>
      <w:r w:rsidRPr="00BE78CA">
        <w:t xml:space="preserve"> is the annual average N excretion per head (kg N/head/year) (see section 5.3) </w:t>
      </w:r>
    </w:p>
    <w:p w14:paraId="5B91E40A" w14:textId="77777777" w:rsidR="00F02481" w:rsidRPr="00BE78CA" w:rsidRDefault="00F02481" w:rsidP="004D30A5">
      <w:pPr>
        <w:pStyle w:val="BodyText"/>
        <w:spacing w:before="40" w:after="40"/>
        <w:ind w:left="964" w:hanging="964"/>
      </w:pPr>
      <w:r w:rsidRPr="00BE78CA">
        <w:tab/>
        <w:t>MS</w:t>
      </w:r>
      <w:r w:rsidRPr="00BE78CA">
        <w:rPr>
          <w:vertAlign w:val="subscript"/>
        </w:rPr>
        <w:t>T</w:t>
      </w:r>
      <w:r w:rsidRPr="00BE78CA">
        <w:t xml:space="preserve"> is the proportion of manure excreted directly onto pasture, range and paddock (see table 5.3.2)</w:t>
      </w:r>
    </w:p>
    <w:p w14:paraId="06E62C6D" w14:textId="77777777" w:rsidR="00F02481" w:rsidRPr="00BE78CA" w:rsidRDefault="00F02481" w:rsidP="004D30A5">
      <w:pPr>
        <w:pStyle w:val="BodyText"/>
        <w:spacing w:before="40" w:after="40"/>
        <w:ind w:left="964" w:hanging="964"/>
      </w:pPr>
      <w:r w:rsidRPr="00BE78CA">
        <w:tab/>
        <w:t>EF</w:t>
      </w:r>
      <w:r w:rsidRPr="00BE78CA">
        <w:rPr>
          <w:vertAlign w:val="subscript"/>
        </w:rPr>
        <w:t>3(PRP-FLAT)</w:t>
      </w:r>
      <w:r w:rsidRPr="00BE78CA">
        <w:t xml:space="preserve"> is the emissions factor for urinary N deposited on flatland and low slopes by sheep, deer and cattle (note that emission factors vary by animal category, see table 5.5.2)</w:t>
      </w:r>
    </w:p>
    <w:p w14:paraId="47430E70" w14:textId="77777777" w:rsidR="00F02481" w:rsidRPr="00BE78CA" w:rsidRDefault="00F02481" w:rsidP="004D30A5">
      <w:pPr>
        <w:pStyle w:val="BodyText"/>
        <w:spacing w:before="40" w:after="40"/>
        <w:ind w:left="964" w:hanging="964"/>
      </w:pPr>
      <w:r w:rsidRPr="00BE78CA">
        <w:tab/>
        <w:t>EF</w:t>
      </w:r>
      <w:r w:rsidRPr="00BE78CA">
        <w:rPr>
          <w:vertAlign w:val="subscript"/>
        </w:rPr>
        <w:t>3(PRP-STEEP)</w:t>
      </w:r>
      <w:r w:rsidRPr="00BE78CA">
        <w:t xml:space="preserve"> is the emissions factor for urinary N deposited on medium and steep slopes, for sheep, deer and cattle (note emission factors vary by animal category, see table 5.5.2)</w:t>
      </w:r>
    </w:p>
    <w:p w14:paraId="728DCB68" w14:textId="77777777" w:rsidR="00F02481" w:rsidRPr="00BE78CA" w:rsidRDefault="00F02481" w:rsidP="004D30A5">
      <w:pPr>
        <w:pStyle w:val="BodyText"/>
        <w:spacing w:before="40" w:after="40"/>
        <w:ind w:left="964" w:hanging="964"/>
      </w:pPr>
      <w:r w:rsidRPr="00BE78CA">
        <w:tab/>
        <w:t>EF</w:t>
      </w:r>
      <w:r w:rsidRPr="00BE78CA">
        <w:rPr>
          <w:vertAlign w:val="subscript"/>
        </w:rPr>
        <w:t>3(PRP-DUNG)</w:t>
      </w:r>
      <w:r w:rsidRPr="00BE78CA">
        <w:t xml:space="preserve"> is the emissions factor for dung N excreta deposited by sheep, deer and cattle on pasture, range and paddock (0.0012, see table 5.5.2)</w:t>
      </w:r>
    </w:p>
    <w:p w14:paraId="44C14420" w14:textId="77777777" w:rsidR="00F02481" w:rsidRPr="00BE78CA" w:rsidRDefault="00F02481" w:rsidP="004D30A5">
      <w:pPr>
        <w:pStyle w:val="BodyText"/>
        <w:spacing w:before="40"/>
        <w:ind w:left="964" w:hanging="964"/>
      </w:pPr>
      <w:r w:rsidRPr="00BE78CA">
        <w:tab/>
        <w:t>EF</w:t>
      </w:r>
      <w:r w:rsidRPr="00BE78CA">
        <w:rPr>
          <w:vertAlign w:val="subscript"/>
        </w:rPr>
        <w:t>3(PRP-MINOR)</w:t>
      </w:r>
      <w:r w:rsidRPr="00BE78CA">
        <w:t xml:space="preserve"> is the emissions factor for dung from minor animal categories deposited on pasture, range and paddock (see table 5.5.2).</w:t>
      </w:r>
    </w:p>
    <w:p w14:paraId="455F5678" w14:textId="77777777" w:rsidR="00F02481" w:rsidRPr="00BE78CA" w:rsidRDefault="00F02481" w:rsidP="004D30A5">
      <w:pPr>
        <w:pStyle w:val="BodyText"/>
        <w:spacing w:before="100" w:after="100"/>
        <w:rPr>
          <w:rFonts w:cs="Calibri"/>
        </w:rPr>
      </w:pPr>
      <w:r w:rsidRPr="00BE78CA">
        <w:rPr>
          <w:rFonts w:cs="Calibri"/>
        </w:rPr>
        <w:t>For cattle, sheep and deer, the estimated N</w:t>
      </w:r>
      <w:r w:rsidRPr="00BE78CA">
        <w:rPr>
          <w:rFonts w:cs="Calibri"/>
          <w:vertAlign w:val="subscript"/>
        </w:rPr>
        <w:t>ex</w:t>
      </w:r>
      <w:r w:rsidRPr="00BE78CA">
        <w:rPr>
          <w:rFonts w:cs="Calibri"/>
        </w:rPr>
        <w:t xml:space="preserve"> values are separated into urine and dung components using the methodology outlined by Pacheco et al. (unpublished). </w:t>
      </w:r>
    </w:p>
    <w:p w14:paraId="75850113" w14:textId="77777777" w:rsidR="00F02481" w:rsidRPr="00BE78CA" w:rsidRDefault="00F02481" w:rsidP="004D30A5">
      <w:pPr>
        <w:pStyle w:val="BodyText"/>
        <w:spacing w:before="100" w:after="100"/>
        <w:rPr>
          <w:rFonts w:cs="Calibri"/>
        </w:rPr>
      </w:pPr>
      <w:r w:rsidRPr="00BE78CA">
        <w:rPr>
          <w:rFonts w:cs="Calibri"/>
        </w:rPr>
        <w:t>The inventory assumes that all dairy cattle graze on flatland, due to New Zealand farming practices, therefore,</w:t>
      </w:r>
      <w:r w:rsidRPr="00BE78CA" w:rsidDel="00FF398C">
        <w:rPr>
          <w:rFonts w:cs="Calibri"/>
        </w:rPr>
        <w:t xml:space="preserve"> </w:t>
      </w:r>
      <w:r w:rsidRPr="00BE78CA">
        <w:rPr>
          <w:rFonts w:cs="Calibri"/>
        </w:rPr>
        <w:t>all dairy urinary N is allocated to Nex</w:t>
      </w:r>
      <w:r w:rsidRPr="00BE78CA">
        <w:rPr>
          <w:rFonts w:cs="Calibri"/>
          <w:vertAlign w:val="subscript"/>
        </w:rPr>
        <w:t>URINE,FLAT</w:t>
      </w:r>
      <w:r w:rsidRPr="00BE78CA">
        <w:rPr>
          <w:rFonts w:cs="Calibri"/>
        </w:rPr>
        <w:t xml:space="preserve">. </w:t>
      </w:r>
    </w:p>
    <w:p w14:paraId="0A871AAF" w14:textId="77777777" w:rsidR="00F02481" w:rsidRPr="00BE78CA" w:rsidRDefault="00F02481" w:rsidP="004D30A5">
      <w:pPr>
        <w:pStyle w:val="BodyText"/>
        <w:spacing w:before="100" w:after="100"/>
        <w:rPr>
          <w:rFonts w:cs="Calibri"/>
        </w:rPr>
      </w:pPr>
      <w:r w:rsidRPr="00BE78CA">
        <w:rPr>
          <w:rFonts w:cs="Calibri"/>
        </w:rPr>
        <w:t>Urinary N from beef cattle, sheep and deer is allocated to the different slope types, Nex</w:t>
      </w:r>
      <w:r w:rsidRPr="00BE78CA">
        <w:rPr>
          <w:rFonts w:cs="Calibri"/>
          <w:vertAlign w:val="subscript"/>
        </w:rPr>
        <w:t>URINE,LOW</w:t>
      </w:r>
      <w:r w:rsidRPr="00BE78CA">
        <w:rPr>
          <w:rFonts w:cs="Calibri"/>
        </w:rPr>
        <w:t>, Nex</w:t>
      </w:r>
      <w:r w:rsidRPr="00BE78CA">
        <w:rPr>
          <w:rFonts w:cs="Calibri"/>
          <w:vertAlign w:val="subscript"/>
        </w:rPr>
        <w:t>URINE,MED</w:t>
      </w:r>
      <w:r w:rsidRPr="00BE78CA">
        <w:rPr>
          <w:rFonts w:cs="Calibri"/>
        </w:rPr>
        <w:t xml:space="preserve"> and Nex</w:t>
      </w:r>
      <w:r w:rsidRPr="00BE78CA">
        <w:rPr>
          <w:rFonts w:cs="Calibri"/>
          <w:vertAlign w:val="subscript"/>
        </w:rPr>
        <w:t>URINE,STEEP</w:t>
      </w:r>
      <w:r w:rsidRPr="00BE78CA">
        <w:rPr>
          <w:rFonts w:cs="Calibri"/>
        </w:rPr>
        <w:t>, however, there is zero land allocated to flatland, Nex</w:t>
      </w:r>
      <w:r w:rsidRPr="00BE78CA">
        <w:rPr>
          <w:rFonts w:cs="Calibri"/>
          <w:vertAlign w:val="subscript"/>
        </w:rPr>
        <w:t>URINE,FLAT</w:t>
      </w:r>
      <w:r w:rsidRPr="00BE78CA">
        <w:rPr>
          <w:rFonts w:cs="Calibri"/>
        </w:rPr>
        <w:t>, due to New Zealand farming practices (flatland is used for dairy systems).</w:t>
      </w:r>
    </w:p>
    <w:p w14:paraId="7C176AE3" w14:textId="77777777" w:rsidR="00F02481" w:rsidRPr="00BE78CA" w:rsidRDefault="00F02481" w:rsidP="00C26084">
      <w:pPr>
        <w:pStyle w:val="Heading5"/>
        <w:rPr>
          <w:rFonts w:cs="Calibri"/>
        </w:rPr>
      </w:pPr>
      <w:r w:rsidRPr="00BE78CA">
        <w:rPr>
          <w:rFonts w:cs="Calibri"/>
        </w:rPr>
        <w:t>New EF</w:t>
      </w:r>
      <w:r w:rsidRPr="00BE78CA">
        <w:rPr>
          <w:rFonts w:cs="Calibri"/>
          <w:vertAlign w:val="subscript"/>
        </w:rPr>
        <w:t>3</w:t>
      </w:r>
      <w:r w:rsidRPr="00BE78CA">
        <w:rPr>
          <w:rFonts w:cs="Calibri"/>
        </w:rPr>
        <w:t xml:space="preserve"> emission factors for excreta deposited by cattle, sheep and deer on sloped land</w:t>
      </w:r>
    </w:p>
    <w:p w14:paraId="296C72F6" w14:textId="77777777" w:rsidR="00F02481" w:rsidRPr="00BE78CA" w:rsidRDefault="00F02481" w:rsidP="004D30A5">
      <w:pPr>
        <w:pStyle w:val="BodyText"/>
        <w:spacing w:before="100" w:after="100"/>
        <w:rPr>
          <w:rFonts w:cs="Calibri"/>
        </w:rPr>
      </w:pPr>
      <w:r w:rsidRPr="00BE78CA">
        <w:rPr>
          <w:rFonts w:cs="Calibri"/>
        </w:rPr>
        <w:t>New EF</w:t>
      </w:r>
      <w:r w:rsidRPr="00BE78CA">
        <w:rPr>
          <w:rFonts w:cs="Calibri"/>
          <w:vertAlign w:val="subscript"/>
        </w:rPr>
        <w:t xml:space="preserve">3 </w:t>
      </w:r>
      <w:r w:rsidRPr="00BE78CA">
        <w:rPr>
          <w:rFonts w:cs="Calibri"/>
        </w:rPr>
        <w:t>emission factors were incorporated in the 2020 inventory and are detailed in table 5.5.2 (EF</w:t>
      </w:r>
      <w:r w:rsidRPr="00BE78CA">
        <w:rPr>
          <w:rFonts w:cs="Calibri"/>
          <w:vertAlign w:val="subscript"/>
        </w:rPr>
        <w:t>3(PRP-DUNG)</w:t>
      </w:r>
      <w:r w:rsidRPr="00BE78CA">
        <w:rPr>
          <w:rFonts w:cs="Calibri"/>
        </w:rPr>
        <w:t>) and table 5.5.3. These EF</w:t>
      </w:r>
      <w:r w:rsidRPr="00BE78CA">
        <w:rPr>
          <w:rFonts w:cs="Calibri"/>
          <w:vertAlign w:val="subscript"/>
        </w:rPr>
        <w:t>3</w:t>
      </w:r>
      <w:r w:rsidRPr="00BE78CA">
        <w:rPr>
          <w:rFonts w:cs="Calibri"/>
        </w:rPr>
        <w:t xml:space="preserve"> emission factors used to calculate N</w:t>
      </w:r>
      <w:r w:rsidRPr="00BE78CA">
        <w:rPr>
          <w:rFonts w:cs="Calibri"/>
          <w:vertAlign w:val="subscript"/>
        </w:rPr>
        <w:t>2</w:t>
      </w:r>
      <w:r w:rsidRPr="00BE78CA">
        <w:rPr>
          <w:rFonts w:cs="Calibri"/>
        </w:rPr>
        <w:t>O emissions from cattle (dairy and beef), sheep and deer are based on a meta-analysis undertaken by van der Weerden et al. (2019, 2020) based on field studies undertaken in the past decade (de Klein et al., 2014; Hoogendoorn et al., 2013; Luo et al., 2013, 2016, 2019; and Saggar et al., 2015). The research collectively shows (see table 5.5.6):</w:t>
      </w:r>
    </w:p>
    <w:p w14:paraId="408321CE" w14:textId="77777777" w:rsidR="00F02481" w:rsidRPr="00BE78CA" w:rsidRDefault="00F02481" w:rsidP="006F2841">
      <w:pPr>
        <w:pStyle w:val="Bullet"/>
        <w:spacing w:after="100"/>
      </w:pPr>
      <w:r w:rsidRPr="00BE78CA">
        <w:lastRenderedPageBreak/>
        <w:t>a statistically significant difference in urine emission factors between cattle and sheep</w:t>
      </w:r>
    </w:p>
    <w:p w14:paraId="01B4BEE5" w14:textId="77777777" w:rsidR="00F02481" w:rsidRPr="00BE78CA" w:rsidRDefault="00F02481" w:rsidP="00C26084">
      <w:pPr>
        <w:pStyle w:val="Bullet"/>
      </w:pPr>
      <w:r w:rsidRPr="00BE78CA">
        <w:t>that emissions from sheep, beef cattle and dairy cattle excreta deposited on low (between 0 degrees and 12 degrees), medium (between 12 degrees and 24 degrees) and steep (greater than 24 degrees) sloped land are significantly lower than corresponding emissions on land that is flat or of a low gradient.</w:t>
      </w:r>
    </w:p>
    <w:p w14:paraId="0E0C0F9E" w14:textId="77777777" w:rsidR="00F02481" w:rsidRPr="00BE78CA" w:rsidRDefault="00F02481" w:rsidP="00C26084">
      <w:pPr>
        <w:pStyle w:val="Heading5"/>
        <w:rPr>
          <w:rFonts w:cs="Calibri"/>
        </w:rPr>
      </w:pPr>
      <w:r w:rsidRPr="00BE78CA">
        <w:rPr>
          <w:rFonts w:cs="Calibri"/>
        </w:rPr>
        <w:t>Evidence and meta-analysis for new EF</w:t>
      </w:r>
      <w:r w:rsidRPr="00BE78CA">
        <w:rPr>
          <w:rFonts w:cs="Calibri"/>
          <w:vertAlign w:val="subscript"/>
        </w:rPr>
        <w:t>3</w:t>
      </w:r>
      <w:r w:rsidRPr="00BE78CA">
        <w:rPr>
          <w:rFonts w:cs="Calibri"/>
        </w:rPr>
        <w:t xml:space="preserve"> emission factors for excreta deposited on sloped land</w:t>
      </w:r>
    </w:p>
    <w:p w14:paraId="7FBFCB42" w14:textId="77777777" w:rsidR="00F02481" w:rsidRPr="00BE78CA" w:rsidRDefault="00F02481" w:rsidP="00C26084">
      <w:pPr>
        <w:pStyle w:val="BodyText"/>
        <w:rPr>
          <w:rFonts w:cs="Calibri"/>
        </w:rPr>
      </w:pPr>
      <w:r w:rsidRPr="00BE78CA">
        <w:rPr>
          <w:rFonts w:cs="Calibri"/>
        </w:rPr>
        <w:t>The meta-analysis (van der Weerden et al., 2020) built on a previous study by Kelliher et al. (2014), calculated new emission factors based on animal type, season and slope from an expanded data set of 1,217 replicate-level emission factors from 236 field experiments conducted over the past decade, largely measured using the same standardised experimental methods for N</w:t>
      </w:r>
      <w:r w:rsidRPr="00BE78CA">
        <w:rPr>
          <w:rFonts w:cs="Calibri"/>
          <w:vertAlign w:val="subscript"/>
        </w:rPr>
        <w:t>2</w:t>
      </w:r>
      <w:r w:rsidRPr="00BE78CA">
        <w:rPr>
          <w:rFonts w:cs="Calibri"/>
        </w:rPr>
        <w:t>O (see table 5.5.7).</w:t>
      </w:r>
    </w:p>
    <w:p w14:paraId="7BE58FEB" w14:textId="77777777" w:rsidR="00F02481" w:rsidRPr="00BE78CA" w:rsidRDefault="00F02481" w:rsidP="00C26084">
      <w:pPr>
        <w:pStyle w:val="BodyText"/>
        <w:rPr>
          <w:rFonts w:cs="Calibri"/>
        </w:rPr>
      </w:pPr>
      <w:r w:rsidRPr="00BE78CA">
        <w:rPr>
          <w:rFonts w:cs="Calibri"/>
        </w:rPr>
        <w:t>The meta-analysis included results of studies from dung and urine deposited onto flatland and steep sloped land published in scientific journals (Hoogendoorn et al., 2008; Ledgard et al., 2014; Luo et al., 2013; van der Weerden et al., 2011) and reported to MPI’s inventory reporting team (Hoogendoorn et al., 2013; Luo et al., 2016, 2019). These data were compiled to contribute to existing data on emissions from dung and urine deposited on low and medium sloped land from the Kelliher et al. (2014) study.</w:t>
      </w:r>
      <w:r w:rsidRPr="00BE78CA" w:rsidDel="00866057">
        <w:rPr>
          <w:rFonts w:cs="Calibri"/>
        </w:rPr>
        <w:t xml:space="preserve"> </w:t>
      </w:r>
    </w:p>
    <w:p w14:paraId="30CF2EC5" w14:textId="77777777" w:rsidR="00F02481" w:rsidRPr="00BE78CA" w:rsidRDefault="00F02481" w:rsidP="00C26084">
      <w:pPr>
        <w:pStyle w:val="BodyText"/>
        <w:rPr>
          <w:rFonts w:cs="Calibri"/>
        </w:rPr>
      </w:pPr>
      <w:r w:rsidRPr="00BE78CA">
        <w:rPr>
          <w:rFonts w:cs="Calibri"/>
        </w:rPr>
        <w:t>Additional evidence conducted overseas supporting the use of emission factors that vary by land slope has been provided in a study in the United Kingdom by Marsden et al. (2018), who found that sheep EF</w:t>
      </w:r>
      <w:r w:rsidRPr="00BE78CA">
        <w:rPr>
          <w:rFonts w:cs="Calibri"/>
          <w:vertAlign w:val="subscript"/>
        </w:rPr>
        <w:t>3</w:t>
      </w:r>
      <w:r w:rsidRPr="00BE78CA">
        <w:rPr>
          <w:rFonts w:cs="Calibri"/>
        </w:rPr>
        <w:t xml:space="preserve"> values are lower on upland and hill areas compared with intensively managed lowlands.</w:t>
      </w:r>
    </w:p>
    <w:p w14:paraId="174213E9" w14:textId="77777777" w:rsidR="00F02481" w:rsidRPr="00BE78CA" w:rsidRDefault="00F02481" w:rsidP="00C26084">
      <w:pPr>
        <w:pStyle w:val="Table"/>
        <w:rPr>
          <w:rFonts w:cs="Calibri"/>
        </w:rPr>
      </w:pPr>
      <w:bookmarkStart w:id="889" w:name="_Toc32570932"/>
      <w:bookmarkStart w:id="890" w:name="_Toc36224567"/>
      <w:bookmarkStart w:id="891" w:name="_Toc68786452"/>
      <w:r w:rsidRPr="00BE78CA">
        <w:rPr>
          <w:rFonts w:cs="Calibri"/>
        </w:rPr>
        <w:t>Table 5.5.6</w:t>
      </w:r>
      <w:r w:rsidRPr="00BE78CA">
        <w:rPr>
          <w:rFonts w:cs="Calibri"/>
        </w:rPr>
        <w:tab/>
        <w:t>Number of replicate-level EF</w:t>
      </w:r>
      <w:r w:rsidRPr="00BE78CA">
        <w:rPr>
          <w:rFonts w:cs="Calibri"/>
          <w:vertAlign w:val="subscript"/>
        </w:rPr>
        <w:t>3</w:t>
      </w:r>
      <w:r w:rsidRPr="00BE78CA">
        <w:rPr>
          <w:rFonts w:cs="Calibri"/>
        </w:rPr>
        <w:t xml:space="preserve"> values collated for van der Weerden et al. (2019, 2020) analysis,</w:t>
      </w:r>
      <w:r w:rsidRPr="00BE78CA">
        <w:rPr>
          <w:rFonts w:cs="Calibri"/>
        </w:rPr>
        <w:br/>
        <w:t>for each nitrogen source and topography (number of individual trials shown in brackets)</w:t>
      </w:r>
      <w:bookmarkEnd w:id="889"/>
      <w:bookmarkEnd w:id="890"/>
      <w:bookmarkEnd w:id="891"/>
    </w:p>
    <w:tbl>
      <w:tblPr>
        <w:tblW w:w="85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06"/>
        <w:gridCol w:w="1249"/>
        <w:gridCol w:w="1249"/>
        <w:gridCol w:w="1303"/>
        <w:gridCol w:w="1249"/>
        <w:gridCol w:w="1249"/>
      </w:tblGrid>
      <w:tr w:rsidR="00477DE6" w:rsidRPr="00BE78CA" w14:paraId="25BD847A" w14:textId="77777777" w:rsidTr="00477DE6">
        <w:trPr>
          <w:tblHeader/>
        </w:trPr>
        <w:tc>
          <w:tcPr>
            <w:tcW w:w="2313" w:type="dxa"/>
            <w:tcBorders>
              <w:top w:val="single" w:sz="4" w:space="0" w:color="365F91"/>
              <w:left w:val="nil"/>
              <w:bottom w:val="single" w:sz="4" w:space="0" w:color="365F91"/>
              <w:right w:val="nil"/>
            </w:tcBorders>
            <w:shd w:val="clear" w:color="auto" w:fill="365F91"/>
            <w:vAlign w:val="bottom"/>
          </w:tcPr>
          <w:p w14:paraId="5D028B0A" w14:textId="77777777" w:rsidR="00F02481" w:rsidRPr="00BE78CA" w:rsidRDefault="00F02481" w:rsidP="00C26084">
            <w:pPr>
              <w:pStyle w:val="TableTextBold"/>
              <w:keepNext/>
              <w:rPr>
                <w:noProof w:val="0"/>
                <w:color w:val="FFFFFF" w:themeColor="background1"/>
              </w:rPr>
            </w:pPr>
            <w:r w:rsidRPr="00BE78CA">
              <w:rPr>
                <w:noProof w:val="0"/>
                <w:color w:val="FFFFFF" w:themeColor="background1"/>
              </w:rPr>
              <w:t>Nitrogen source</w:t>
            </w:r>
          </w:p>
        </w:tc>
        <w:tc>
          <w:tcPr>
            <w:tcW w:w="1304" w:type="dxa"/>
            <w:tcBorders>
              <w:top w:val="single" w:sz="4" w:space="0" w:color="365F91"/>
              <w:left w:val="nil"/>
              <w:bottom w:val="single" w:sz="4" w:space="0" w:color="365F91"/>
              <w:right w:val="nil"/>
            </w:tcBorders>
            <w:shd w:val="clear" w:color="auto" w:fill="365F91"/>
            <w:vAlign w:val="bottom"/>
          </w:tcPr>
          <w:p w14:paraId="459CDDB8" w14:textId="77777777" w:rsidR="00F02481" w:rsidRPr="00BE78CA" w:rsidRDefault="00F02481" w:rsidP="00C26084">
            <w:pPr>
              <w:pStyle w:val="TableTextBold"/>
              <w:keepNext/>
              <w:jc w:val="right"/>
              <w:rPr>
                <w:noProof w:val="0"/>
                <w:color w:val="FFFFFF" w:themeColor="background1"/>
              </w:rPr>
            </w:pPr>
            <w:r w:rsidRPr="00BE78CA">
              <w:rPr>
                <w:noProof w:val="0"/>
                <w:color w:val="FFFFFF" w:themeColor="background1"/>
              </w:rPr>
              <w:t xml:space="preserve">Flatland </w:t>
            </w:r>
            <w:r w:rsidRPr="00BE78CA">
              <w:rPr>
                <w:noProof w:val="0"/>
                <w:color w:val="FFFFFF" w:themeColor="background1"/>
              </w:rPr>
              <w:br/>
              <w:t>(0–12</w:t>
            </w:r>
            <w:r w:rsidRPr="00BE78CA">
              <w:rPr>
                <w:noProof w:val="0"/>
                <w:color w:val="FFFFFF" w:themeColor="background1"/>
                <w:vertAlign w:val="superscript"/>
              </w:rPr>
              <w:t>o</w:t>
            </w:r>
            <w:r w:rsidRPr="00BE78CA">
              <w:rPr>
                <w:noProof w:val="0"/>
                <w:color w:val="FFFFFF" w:themeColor="background1"/>
              </w:rPr>
              <w:t>)</w:t>
            </w:r>
          </w:p>
        </w:tc>
        <w:tc>
          <w:tcPr>
            <w:tcW w:w="1304" w:type="dxa"/>
            <w:tcBorders>
              <w:top w:val="single" w:sz="4" w:space="0" w:color="365F91"/>
              <w:left w:val="nil"/>
              <w:bottom w:val="single" w:sz="4" w:space="0" w:color="365F91"/>
              <w:right w:val="nil"/>
            </w:tcBorders>
            <w:shd w:val="clear" w:color="auto" w:fill="365F91"/>
            <w:vAlign w:val="bottom"/>
          </w:tcPr>
          <w:p w14:paraId="2DF2A294" w14:textId="77777777" w:rsidR="00F02481" w:rsidRPr="00BE78CA" w:rsidRDefault="00F02481" w:rsidP="00C26084">
            <w:pPr>
              <w:pStyle w:val="TableTextBold"/>
              <w:keepNext/>
              <w:jc w:val="right"/>
              <w:rPr>
                <w:noProof w:val="0"/>
                <w:color w:val="FFFFFF" w:themeColor="background1"/>
              </w:rPr>
            </w:pPr>
            <w:r w:rsidRPr="00BE78CA">
              <w:rPr>
                <w:noProof w:val="0"/>
                <w:color w:val="FFFFFF" w:themeColor="background1"/>
              </w:rPr>
              <w:t>Low sloped land (0–12</w:t>
            </w:r>
            <w:r w:rsidRPr="00BE78CA">
              <w:rPr>
                <w:noProof w:val="0"/>
                <w:color w:val="FFFFFF" w:themeColor="background1"/>
                <w:vertAlign w:val="superscript"/>
              </w:rPr>
              <w:t>o</w:t>
            </w:r>
            <w:r w:rsidRPr="00BE78CA">
              <w:rPr>
                <w:noProof w:val="0"/>
                <w:color w:val="FFFFFF" w:themeColor="background1"/>
              </w:rPr>
              <w:t>)</w:t>
            </w:r>
          </w:p>
        </w:tc>
        <w:tc>
          <w:tcPr>
            <w:tcW w:w="1361" w:type="dxa"/>
            <w:tcBorders>
              <w:top w:val="single" w:sz="4" w:space="0" w:color="365F91"/>
              <w:left w:val="nil"/>
              <w:bottom w:val="single" w:sz="4" w:space="0" w:color="365F91"/>
              <w:right w:val="nil"/>
            </w:tcBorders>
            <w:shd w:val="clear" w:color="auto" w:fill="365F91"/>
            <w:vAlign w:val="bottom"/>
          </w:tcPr>
          <w:p w14:paraId="5053CD39" w14:textId="77777777" w:rsidR="00F02481" w:rsidRPr="00BE78CA" w:rsidRDefault="00F02481" w:rsidP="00C26084">
            <w:pPr>
              <w:pStyle w:val="TableTextBold"/>
              <w:keepNext/>
              <w:jc w:val="right"/>
              <w:rPr>
                <w:noProof w:val="0"/>
                <w:color w:val="FFFFFF" w:themeColor="background1"/>
              </w:rPr>
            </w:pPr>
            <w:r w:rsidRPr="00BE78CA">
              <w:rPr>
                <w:noProof w:val="0"/>
                <w:color w:val="FFFFFF" w:themeColor="background1"/>
              </w:rPr>
              <w:t>Medium sloped land (12–24</w:t>
            </w:r>
            <w:r w:rsidRPr="00BE78CA">
              <w:rPr>
                <w:noProof w:val="0"/>
                <w:color w:val="FFFFFF" w:themeColor="background1"/>
                <w:vertAlign w:val="superscript"/>
              </w:rPr>
              <w:t>o</w:t>
            </w:r>
            <w:r w:rsidRPr="00BE78CA">
              <w:rPr>
                <w:noProof w:val="0"/>
                <w:color w:val="FFFFFF" w:themeColor="background1"/>
              </w:rPr>
              <w:t>)</w:t>
            </w:r>
          </w:p>
        </w:tc>
        <w:tc>
          <w:tcPr>
            <w:tcW w:w="1304" w:type="dxa"/>
            <w:tcBorders>
              <w:top w:val="single" w:sz="4" w:space="0" w:color="365F91"/>
              <w:left w:val="nil"/>
              <w:bottom w:val="single" w:sz="4" w:space="0" w:color="365F91"/>
              <w:right w:val="nil"/>
            </w:tcBorders>
            <w:shd w:val="clear" w:color="auto" w:fill="365F91"/>
            <w:vAlign w:val="bottom"/>
          </w:tcPr>
          <w:p w14:paraId="39F4EC28" w14:textId="77777777" w:rsidR="00F02481" w:rsidRPr="00BE78CA" w:rsidRDefault="00F02481" w:rsidP="00C26084">
            <w:pPr>
              <w:pStyle w:val="TableTextBold"/>
              <w:keepNext/>
              <w:jc w:val="right"/>
              <w:rPr>
                <w:noProof w:val="0"/>
                <w:color w:val="FFFFFF" w:themeColor="background1"/>
              </w:rPr>
            </w:pPr>
            <w:r w:rsidRPr="00BE78CA">
              <w:rPr>
                <w:noProof w:val="0"/>
                <w:color w:val="FFFFFF" w:themeColor="background1"/>
              </w:rPr>
              <w:t>Steep sloped land (&gt;24</w:t>
            </w:r>
            <w:r w:rsidRPr="00BE78CA">
              <w:rPr>
                <w:noProof w:val="0"/>
                <w:color w:val="FFFFFF" w:themeColor="background1"/>
                <w:vertAlign w:val="superscript"/>
              </w:rPr>
              <w:t>o</w:t>
            </w:r>
            <w:r w:rsidRPr="00BE78CA">
              <w:rPr>
                <w:noProof w:val="0"/>
                <w:color w:val="FFFFFF" w:themeColor="background1"/>
              </w:rPr>
              <w:t xml:space="preserve">) </w:t>
            </w:r>
          </w:p>
        </w:tc>
        <w:tc>
          <w:tcPr>
            <w:tcW w:w="1304" w:type="dxa"/>
            <w:tcBorders>
              <w:top w:val="single" w:sz="4" w:space="0" w:color="365F91"/>
              <w:left w:val="nil"/>
              <w:bottom w:val="single" w:sz="4" w:space="0" w:color="365F91"/>
              <w:right w:val="nil"/>
            </w:tcBorders>
            <w:shd w:val="clear" w:color="auto" w:fill="365F91"/>
            <w:vAlign w:val="bottom"/>
          </w:tcPr>
          <w:p w14:paraId="04149C51" w14:textId="77777777" w:rsidR="00F02481" w:rsidRPr="00BE78CA" w:rsidRDefault="00F02481" w:rsidP="00C26084">
            <w:pPr>
              <w:pStyle w:val="TableTextBold"/>
              <w:keepNext/>
              <w:jc w:val="right"/>
              <w:rPr>
                <w:noProof w:val="0"/>
                <w:color w:val="FFFFFF" w:themeColor="background1"/>
              </w:rPr>
            </w:pPr>
            <w:r w:rsidRPr="00BE78CA">
              <w:rPr>
                <w:noProof w:val="0"/>
                <w:color w:val="FFFFFF" w:themeColor="background1"/>
              </w:rPr>
              <w:t xml:space="preserve">Total </w:t>
            </w:r>
          </w:p>
        </w:tc>
      </w:tr>
      <w:tr w:rsidR="00F02481" w:rsidRPr="00BE78CA" w14:paraId="15EC117B" w14:textId="77777777" w:rsidTr="00477DE6">
        <w:tc>
          <w:tcPr>
            <w:tcW w:w="2313" w:type="dxa"/>
            <w:tcBorders>
              <w:top w:val="single" w:sz="4" w:space="0" w:color="365F91"/>
              <w:left w:val="nil"/>
              <w:bottom w:val="single" w:sz="4" w:space="0" w:color="365F91"/>
              <w:right w:val="nil"/>
            </w:tcBorders>
            <w:shd w:val="clear" w:color="auto" w:fill="auto"/>
          </w:tcPr>
          <w:p w14:paraId="729006DF" w14:textId="77777777" w:rsidR="00F02481" w:rsidRPr="00BE78CA" w:rsidRDefault="00F02481" w:rsidP="00C26084">
            <w:pPr>
              <w:pStyle w:val="TableText"/>
              <w:spacing w:before="50" w:after="50"/>
              <w:rPr>
                <w:rFonts w:cs="Calibri"/>
              </w:rPr>
            </w:pPr>
            <w:r w:rsidRPr="00BE78CA">
              <w:rPr>
                <w:rFonts w:cs="Calibri"/>
              </w:rPr>
              <w:t>Dairy cattle urine</w:t>
            </w:r>
          </w:p>
        </w:tc>
        <w:tc>
          <w:tcPr>
            <w:tcW w:w="1304" w:type="dxa"/>
            <w:tcBorders>
              <w:top w:val="single" w:sz="4" w:space="0" w:color="365F91"/>
              <w:left w:val="nil"/>
              <w:bottom w:val="single" w:sz="4" w:space="0" w:color="365F91"/>
              <w:right w:val="nil"/>
            </w:tcBorders>
            <w:shd w:val="clear" w:color="auto" w:fill="auto"/>
          </w:tcPr>
          <w:p w14:paraId="1A648EF4" w14:textId="77777777" w:rsidR="00F02481" w:rsidRPr="00BE78CA" w:rsidRDefault="00F02481" w:rsidP="00C26084">
            <w:pPr>
              <w:pStyle w:val="TableText"/>
              <w:spacing w:before="50" w:after="50"/>
              <w:jc w:val="right"/>
              <w:rPr>
                <w:rFonts w:cs="Calibri"/>
              </w:rPr>
            </w:pPr>
            <w:r w:rsidRPr="00BE78CA">
              <w:rPr>
                <w:rFonts w:cs="Calibri"/>
              </w:rPr>
              <w:t>341 (57)</w:t>
            </w:r>
          </w:p>
        </w:tc>
        <w:tc>
          <w:tcPr>
            <w:tcW w:w="1304" w:type="dxa"/>
            <w:tcBorders>
              <w:top w:val="single" w:sz="4" w:space="0" w:color="365F91"/>
              <w:left w:val="nil"/>
              <w:bottom w:val="single" w:sz="4" w:space="0" w:color="365F91"/>
              <w:right w:val="nil"/>
            </w:tcBorders>
            <w:shd w:val="clear" w:color="auto" w:fill="auto"/>
          </w:tcPr>
          <w:p w14:paraId="1ECCD686" w14:textId="77777777" w:rsidR="00F02481" w:rsidRPr="00BE78CA" w:rsidRDefault="00F02481" w:rsidP="00C26084">
            <w:pPr>
              <w:pStyle w:val="TableText"/>
              <w:spacing w:before="50" w:after="50"/>
              <w:jc w:val="right"/>
              <w:rPr>
                <w:rFonts w:cs="Calibri"/>
              </w:rPr>
            </w:pPr>
            <w:r w:rsidRPr="00BE78CA">
              <w:rPr>
                <w:rFonts w:cs="Calibri"/>
              </w:rPr>
              <w:t>108 (22)</w:t>
            </w:r>
          </w:p>
        </w:tc>
        <w:tc>
          <w:tcPr>
            <w:tcW w:w="1361" w:type="dxa"/>
            <w:tcBorders>
              <w:top w:val="single" w:sz="4" w:space="0" w:color="365F91"/>
              <w:left w:val="nil"/>
              <w:bottom w:val="single" w:sz="4" w:space="0" w:color="365F91"/>
              <w:right w:val="nil"/>
            </w:tcBorders>
            <w:shd w:val="clear" w:color="auto" w:fill="auto"/>
          </w:tcPr>
          <w:p w14:paraId="334E88C7" w14:textId="77777777" w:rsidR="00F02481" w:rsidRPr="00BE78CA" w:rsidRDefault="00F02481" w:rsidP="00C26084">
            <w:pPr>
              <w:pStyle w:val="TableText"/>
              <w:spacing w:before="50" w:after="50"/>
              <w:jc w:val="right"/>
              <w:rPr>
                <w:rFonts w:cs="Calibri"/>
              </w:rPr>
            </w:pPr>
            <w:r w:rsidRPr="00BE78CA">
              <w:rPr>
                <w:rFonts w:cs="Calibri"/>
              </w:rPr>
              <w:t>20 (4)</w:t>
            </w:r>
          </w:p>
        </w:tc>
        <w:tc>
          <w:tcPr>
            <w:tcW w:w="1304" w:type="dxa"/>
            <w:tcBorders>
              <w:top w:val="single" w:sz="4" w:space="0" w:color="365F91"/>
              <w:left w:val="nil"/>
              <w:bottom w:val="single" w:sz="4" w:space="0" w:color="365F91"/>
              <w:right w:val="nil"/>
            </w:tcBorders>
            <w:shd w:val="clear" w:color="auto" w:fill="auto"/>
          </w:tcPr>
          <w:p w14:paraId="66E219AD" w14:textId="77777777" w:rsidR="00F02481" w:rsidRPr="00BE78CA" w:rsidRDefault="00F02481" w:rsidP="00C26084">
            <w:pPr>
              <w:pStyle w:val="TableText"/>
              <w:spacing w:before="50" w:after="50"/>
              <w:jc w:val="right"/>
              <w:rPr>
                <w:rFonts w:cs="Calibri"/>
              </w:rPr>
            </w:pPr>
            <w:r w:rsidRPr="00BE78CA">
              <w:rPr>
                <w:rFonts w:cs="Calibri"/>
              </w:rPr>
              <w:t xml:space="preserve"> </w:t>
            </w:r>
          </w:p>
        </w:tc>
        <w:tc>
          <w:tcPr>
            <w:tcW w:w="1304" w:type="dxa"/>
            <w:tcBorders>
              <w:top w:val="single" w:sz="4" w:space="0" w:color="365F91"/>
              <w:left w:val="nil"/>
              <w:bottom w:val="single" w:sz="4" w:space="0" w:color="365F91"/>
              <w:right w:val="nil"/>
            </w:tcBorders>
            <w:shd w:val="clear" w:color="auto" w:fill="auto"/>
          </w:tcPr>
          <w:p w14:paraId="0AFFE475" w14:textId="77777777" w:rsidR="00F02481" w:rsidRPr="00BE78CA" w:rsidRDefault="00F02481" w:rsidP="00C26084">
            <w:pPr>
              <w:pStyle w:val="TableText"/>
              <w:spacing w:before="50" w:after="50"/>
              <w:jc w:val="right"/>
              <w:rPr>
                <w:rFonts w:cs="Calibri"/>
              </w:rPr>
            </w:pPr>
            <w:r w:rsidRPr="00BE78CA">
              <w:rPr>
                <w:rFonts w:cs="Calibri"/>
              </w:rPr>
              <w:t>469 (83)</w:t>
            </w:r>
          </w:p>
        </w:tc>
      </w:tr>
      <w:tr w:rsidR="00F02481" w:rsidRPr="00BE78CA" w14:paraId="0CF57476" w14:textId="77777777" w:rsidTr="00477DE6">
        <w:tc>
          <w:tcPr>
            <w:tcW w:w="2313" w:type="dxa"/>
            <w:tcBorders>
              <w:top w:val="single" w:sz="4" w:space="0" w:color="365F91"/>
              <w:left w:val="nil"/>
              <w:bottom w:val="single" w:sz="4" w:space="0" w:color="365F91"/>
              <w:right w:val="nil"/>
            </w:tcBorders>
            <w:shd w:val="clear" w:color="auto" w:fill="auto"/>
          </w:tcPr>
          <w:p w14:paraId="1C675F45" w14:textId="77777777" w:rsidR="00F02481" w:rsidRPr="00BE78CA" w:rsidRDefault="00F02481" w:rsidP="00C26084">
            <w:pPr>
              <w:pStyle w:val="TableText"/>
              <w:spacing w:before="50" w:after="50"/>
              <w:rPr>
                <w:rFonts w:cs="Calibri"/>
              </w:rPr>
            </w:pPr>
            <w:r w:rsidRPr="00BE78CA">
              <w:rPr>
                <w:rFonts w:cs="Calibri"/>
              </w:rPr>
              <w:t>Dairy cattle dung</w:t>
            </w:r>
          </w:p>
        </w:tc>
        <w:tc>
          <w:tcPr>
            <w:tcW w:w="1304" w:type="dxa"/>
            <w:tcBorders>
              <w:top w:val="single" w:sz="4" w:space="0" w:color="365F91"/>
              <w:left w:val="nil"/>
              <w:bottom w:val="single" w:sz="4" w:space="0" w:color="365F91"/>
              <w:right w:val="nil"/>
            </w:tcBorders>
            <w:shd w:val="clear" w:color="auto" w:fill="auto"/>
          </w:tcPr>
          <w:p w14:paraId="44BEADC3" w14:textId="77777777" w:rsidR="00F02481" w:rsidRPr="00BE78CA" w:rsidRDefault="00F02481" w:rsidP="00C26084">
            <w:pPr>
              <w:pStyle w:val="TableText"/>
              <w:spacing w:before="50" w:after="50"/>
              <w:jc w:val="right"/>
              <w:rPr>
                <w:rFonts w:cs="Calibri"/>
              </w:rPr>
            </w:pPr>
            <w:r w:rsidRPr="00BE78CA">
              <w:rPr>
                <w:rFonts w:cs="Calibri"/>
              </w:rPr>
              <w:t>84 (19)</w:t>
            </w:r>
          </w:p>
        </w:tc>
        <w:tc>
          <w:tcPr>
            <w:tcW w:w="1304" w:type="dxa"/>
            <w:tcBorders>
              <w:top w:val="single" w:sz="4" w:space="0" w:color="365F91"/>
              <w:left w:val="nil"/>
              <w:bottom w:val="single" w:sz="4" w:space="0" w:color="365F91"/>
              <w:right w:val="nil"/>
            </w:tcBorders>
            <w:shd w:val="clear" w:color="auto" w:fill="auto"/>
          </w:tcPr>
          <w:p w14:paraId="621CE78E" w14:textId="77777777" w:rsidR="00F02481" w:rsidRPr="00BE78CA" w:rsidRDefault="00F02481" w:rsidP="00C26084">
            <w:pPr>
              <w:pStyle w:val="TableText"/>
              <w:spacing w:before="50" w:after="50"/>
              <w:jc w:val="right"/>
              <w:rPr>
                <w:rFonts w:cs="Calibri"/>
              </w:rPr>
            </w:pPr>
            <w:r w:rsidRPr="00BE78CA">
              <w:rPr>
                <w:rFonts w:cs="Calibri"/>
              </w:rPr>
              <w:t>46 (9)</w:t>
            </w:r>
          </w:p>
        </w:tc>
        <w:tc>
          <w:tcPr>
            <w:tcW w:w="1361" w:type="dxa"/>
            <w:tcBorders>
              <w:top w:val="single" w:sz="4" w:space="0" w:color="365F91"/>
              <w:left w:val="nil"/>
              <w:bottom w:val="single" w:sz="4" w:space="0" w:color="365F91"/>
              <w:right w:val="nil"/>
            </w:tcBorders>
            <w:shd w:val="clear" w:color="auto" w:fill="auto"/>
          </w:tcPr>
          <w:p w14:paraId="09EC2B00" w14:textId="77777777" w:rsidR="00F02481" w:rsidRPr="00BE78CA" w:rsidRDefault="00F02481" w:rsidP="00C26084">
            <w:pPr>
              <w:pStyle w:val="TableText"/>
              <w:spacing w:before="50" w:after="50"/>
              <w:jc w:val="right"/>
              <w:rPr>
                <w:rFonts w:cs="Calibri"/>
              </w:rPr>
            </w:pPr>
            <w:r w:rsidRPr="00BE78CA">
              <w:rPr>
                <w:rFonts w:cs="Calibri"/>
              </w:rPr>
              <w:t>20 (4)</w:t>
            </w:r>
          </w:p>
        </w:tc>
        <w:tc>
          <w:tcPr>
            <w:tcW w:w="1304" w:type="dxa"/>
            <w:tcBorders>
              <w:top w:val="single" w:sz="4" w:space="0" w:color="365F91"/>
              <w:left w:val="nil"/>
              <w:bottom w:val="single" w:sz="4" w:space="0" w:color="365F91"/>
              <w:right w:val="nil"/>
            </w:tcBorders>
            <w:shd w:val="clear" w:color="auto" w:fill="auto"/>
          </w:tcPr>
          <w:p w14:paraId="443A4E81" w14:textId="77777777" w:rsidR="00F02481" w:rsidRPr="00BE78CA" w:rsidRDefault="00F02481" w:rsidP="00C26084">
            <w:pPr>
              <w:pStyle w:val="TableText"/>
              <w:spacing w:before="50" w:after="50"/>
              <w:jc w:val="right"/>
              <w:rPr>
                <w:rFonts w:cs="Calibri"/>
              </w:rPr>
            </w:pPr>
            <w:r w:rsidRPr="00BE78CA">
              <w:rPr>
                <w:rFonts w:cs="Calibri"/>
              </w:rPr>
              <w:t xml:space="preserve"> </w:t>
            </w:r>
          </w:p>
        </w:tc>
        <w:tc>
          <w:tcPr>
            <w:tcW w:w="1304" w:type="dxa"/>
            <w:tcBorders>
              <w:top w:val="single" w:sz="4" w:space="0" w:color="365F91"/>
              <w:left w:val="nil"/>
              <w:bottom w:val="single" w:sz="4" w:space="0" w:color="365F91"/>
              <w:right w:val="nil"/>
            </w:tcBorders>
            <w:shd w:val="clear" w:color="auto" w:fill="auto"/>
          </w:tcPr>
          <w:p w14:paraId="0BE28ADA" w14:textId="77777777" w:rsidR="00F02481" w:rsidRPr="00BE78CA" w:rsidRDefault="00F02481" w:rsidP="00C26084">
            <w:pPr>
              <w:pStyle w:val="TableText"/>
              <w:spacing w:before="50" w:after="50"/>
              <w:jc w:val="right"/>
              <w:rPr>
                <w:rFonts w:cs="Calibri"/>
              </w:rPr>
            </w:pPr>
            <w:r w:rsidRPr="00BE78CA">
              <w:rPr>
                <w:rFonts w:cs="Calibri"/>
              </w:rPr>
              <w:t>150 (32)</w:t>
            </w:r>
          </w:p>
        </w:tc>
      </w:tr>
      <w:tr w:rsidR="00F02481" w:rsidRPr="00BE78CA" w14:paraId="43CDB50D" w14:textId="77777777" w:rsidTr="00477DE6">
        <w:tc>
          <w:tcPr>
            <w:tcW w:w="2313" w:type="dxa"/>
            <w:tcBorders>
              <w:top w:val="single" w:sz="4" w:space="0" w:color="365F91"/>
              <w:left w:val="nil"/>
              <w:bottom w:val="single" w:sz="4" w:space="0" w:color="365F91"/>
              <w:right w:val="nil"/>
            </w:tcBorders>
            <w:shd w:val="clear" w:color="auto" w:fill="auto"/>
          </w:tcPr>
          <w:p w14:paraId="3F818D3D" w14:textId="082494E1" w:rsidR="00F02481" w:rsidRPr="00BE78CA" w:rsidRDefault="00547F8C" w:rsidP="00C26084">
            <w:pPr>
              <w:pStyle w:val="TableText"/>
              <w:spacing w:before="50" w:after="50"/>
              <w:rPr>
                <w:rFonts w:cs="Calibri"/>
              </w:rPr>
            </w:pPr>
            <w:r w:rsidRPr="00BE78CA">
              <w:rPr>
                <w:rFonts w:cs="Calibri"/>
              </w:rPr>
              <w:t>B</w:t>
            </w:r>
            <w:r w:rsidR="00F02481" w:rsidRPr="00BE78CA">
              <w:rPr>
                <w:rFonts w:cs="Calibri"/>
              </w:rPr>
              <w:t>eef cattle urine</w:t>
            </w:r>
          </w:p>
        </w:tc>
        <w:tc>
          <w:tcPr>
            <w:tcW w:w="1304" w:type="dxa"/>
            <w:tcBorders>
              <w:top w:val="single" w:sz="4" w:space="0" w:color="365F91"/>
              <w:left w:val="nil"/>
              <w:bottom w:val="single" w:sz="4" w:space="0" w:color="365F91"/>
              <w:right w:val="nil"/>
            </w:tcBorders>
            <w:shd w:val="clear" w:color="auto" w:fill="auto"/>
          </w:tcPr>
          <w:p w14:paraId="681423BE" w14:textId="77777777" w:rsidR="00F02481" w:rsidRPr="00BE78CA" w:rsidRDefault="00F02481" w:rsidP="00C26084">
            <w:pPr>
              <w:pStyle w:val="TableText"/>
              <w:spacing w:before="50" w:after="50"/>
              <w:jc w:val="right"/>
              <w:rPr>
                <w:rFonts w:cs="Calibri"/>
              </w:rPr>
            </w:pPr>
            <w:r w:rsidRPr="00BE78CA">
              <w:rPr>
                <w:rFonts w:cs="Calibri"/>
              </w:rPr>
              <w:t>8 (1)</w:t>
            </w:r>
          </w:p>
        </w:tc>
        <w:tc>
          <w:tcPr>
            <w:tcW w:w="1304" w:type="dxa"/>
            <w:tcBorders>
              <w:top w:val="single" w:sz="4" w:space="0" w:color="365F91"/>
              <w:left w:val="nil"/>
              <w:bottom w:val="single" w:sz="4" w:space="0" w:color="365F91"/>
              <w:right w:val="nil"/>
            </w:tcBorders>
            <w:shd w:val="clear" w:color="auto" w:fill="auto"/>
          </w:tcPr>
          <w:p w14:paraId="67AC0DE8" w14:textId="77777777" w:rsidR="00F02481" w:rsidRPr="00BE78CA" w:rsidRDefault="00F02481" w:rsidP="00C26084">
            <w:pPr>
              <w:pStyle w:val="TableText"/>
              <w:spacing w:before="50" w:after="50"/>
              <w:jc w:val="right"/>
              <w:rPr>
                <w:rFonts w:cs="Calibri"/>
              </w:rPr>
            </w:pPr>
            <w:r w:rsidRPr="00BE78CA">
              <w:rPr>
                <w:rFonts w:cs="Calibri"/>
              </w:rPr>
              <w:t>40 (8)</w:t>
            </w:r>
          </w:p>
        </w:tc>
        <w:tc>
          <w:tcPr>
            <w:tcW w:w="1361" w:type="dxa"/>
            <w:tcBorders>
              <w:top w:val="single" w:sz="4" w:space="0" w:color="365F91"/>
              <w:left w:val="nil"/>
              <w:bottom w:val="single" w:sz="4" w:space="0" w:color="365F91"/>
              <w:right w:val="nil"/>
            </w:tcBorders>
            <w:shd w:val="clear" w:color="auto" w:fill="auto"/>
          </w:tcPr>
          <w:p w14:paraId="4E9E6DF9" w14:textId="77777777" w:rsidR="00F02481" w:rsidRPr="00BE78CA" w:rsidRDefault="00F02481" w:rsidP="00C26084">
            <w:pPr>
              <w:pStyle w:val="TableText"/>
              <w:spacing w:before="50" w:after="50"/>
              <w:jc w:val="right"/>
              <w:rPr>
                <w:rFonts w:cs="Calibri"/>
              </w:rPr>
            </w:pPr>
            <w:r w:rsidRPr="00BE78CA">
              <w:rPr>
                <w:rFonts w:cs="Calibri"/>
              </w:rPr>
              <w:t>60 (12)</w:t>
            </w:r>
          </w:p>
        </w:tc>
        <w:tc>
          <w:tcPr>
            <w:tcW w:w="1304" w:type="dxa"/>
            <w:tcBorders>
              <w:top w:val="single" w:sz="4" w:space="0" w:color="365F91"/>
              <w:left w:val="nil"/>
              <w:bottom w:val="single" w:sz="4" w:space="0" w:color="365F91"/>
              <w:right w:val="nil"/>
            </w:tcBorders>
            <w:shd w:val="clear" w:color="auto" w:fill="auto"/>
          </w:tcPr>
          <w:p w14:paraId="2EEDCA7E" w14:textId="77777777" w:rsidR="00F02481" w:rsidRPr="00BE78CA" w:rsidRDefault="00F02481" w:rsidP="00C26084">
            <w:pPr>
              <w:pStyle w:val="TableText"/>
              <w:spacing w:before="50" w:after="50"/>
              <w:jc w:val="right"/>
              <w:rPr>
                <w:rFonts w:cs="Calibri"/>
              </w:rPr>
            </w:pPr>
            <w:r w:rsidRPr="00BE78CA">
              <w:rPr>
                <w:rFonts w:cs="Calibri"/>
              </w:rPr>
              <w:t>20 (4)</w:t>
            </w:r>
          </w:p>
        </w:tc>
        <w:tc>
          <w:tcPr>
            <w:tcW w:w="1304" w:type="dxa"/>
            <w:tcBorders>
              <w:top w:val="single" w:sz="4" w:space="0" w:color="365F91"/>
              <w:left w:val="nil"/>
              <w:bottom w:val="single" w:sz="4" w:space="0" w:color="365F91"/>
              <w:right w:val="nil"/>
            </w:tcBorders>
            <w:shd w:val="clear" w:color="auto" w:fill="auto"/>
          </w:tcPr>
          <w:p w14:paraId="737DFFDD" w14:textId="77777777" w:rsidR="00F02481" w:rsidRPr="00BE78CA" w:rsidRDefault="00F02481" w:rsidP="00C26084">
            <w:pPr>
              <w:pStyle w:val="TableText"/>
              <w:spacing w:before="50" w:after="50"/>
              <w:jc w:val="right"/>
              <w:rPr>
                <w:rFonts w:cs="Calibri"/>
              </w:rPr>
            </w:pPr>
            <w:r w:rsidRPr="00BE78CA">
              <w:rPr>
                <w:rFonts w:cs="Calibri"/>
              </w:rPr>
              <w:t>128 (25)</w:t>
            </w:r>
          </w:p>
        </w:tc>
      </w:tr>
      <w:tr w:rsidR="00F02481" w:rsidRPr="00BE78CA" w14:paraId="7AF13E93" w14:textId="77777777" w:rsidTr="00477DE6">
        <w:tc>
          <w:tcPr>
            <w:tcW w:w="2313" w:type="dxa"/>
            <w:tcBorders>
              <w:top w:val="single" w:sz="4" w:space="0" w:color="365F91"/>
              <w:left w:val="nil"/>
              <w:bottom w:val="single" w:sz="4" w:space="0" w:color="365F91"/>
              <w:right w:val="nil"/>
            </w:tcBorders>
            <w:shd w:val="clear" w:color="auto" w:fill="auto"/>
          </w:tcPr>
          <w:p w14:paraId="45A77FA0" w14:textId="32BE8C69" w:rsidR="00F02481" w:rsidRPr="00BE78CA" w:rsidRDefault="00547F8C" w:rsidP="00C26084">
            <w:pPr>
              <w:pStyle w:val="TableText"/>
              <w:spacing w:before="50" w:after="50"/>
              <w:rPr>
                <w:rFonts w:cs="Calibri"/>
              </w:rPr>
            </w:pPr>
            <w:r w:rsidRPr="00BE78CA">
              <w:rPr>
                <w:rFonts w:cs="Calibri"/>
              </w:rPr>
              <w:t>B</w:t>
            </w:r>
            <w:r w:rsidR="00F02481" w:rsidRPr="00BE78CA">
              <w:rPr>
                <w:rFonts w:cs="Calibri"/>
              </w:rPr>
              <w:t>eef cattle dung</w:t>
            </w:r>
          </w:p>
        </w:tc>
        <w:tc>
          <w:tcPr>
            <w:tcW w:w="1304" w:type="dxa"/>
            <w:tcBorders>
              <w:top w:val="single" w:sz="4" w:space="0" w:color="365F91"/>
              <w:left w:val="nil"/>
              <w:bottom w:val="single" w:sz="4" w:space="0" w:color="365F91"/>
              <w:right w:val="nil"/>
            </w:tcBorders>
            <w:shd w:val="clear" w:color="auto" w:fill="auto"/>
          </w:tcPr>
          <w:p w14:paraId="45D7F70A" w14:textId="77777777" w:rsidR="00F02481" w:rsidRPr="00BE78CA" w:rsidRDefault="00F02481" w:rsidP="00C26084">
            <w:pPr>
              <w:pStyle w:val="TableText"/>
              <w:spacing w:before="50" w:after="50"/>
              <w:jc w:val="right"/>
              <w:rPr>
                <w:rFonts w:cs="Calibri"/>
              </w:rPr>
            </w:pPr>
            <w:r w:rsidRPr="00BE78CA">
              <w:rPr>
                <w:rFonts w:cs="Calibri"/>
              </w:rPr>
              <w:t xml:space="preserve"> </w:t>
            </w:r>
          </w:p>
        </w:tc>
        <w:tc>
          <w:tcPr>
            <w:tcW w:w="1304" w:type="dxa"/>
            <w:tcBorders>
              <w:top w:val="single" w:sz="4" w:space="0" w:color="365F91"/>
              <w:left w:val="nil"/>
              <w:bottom w:val="single" w:sz="4" w:space="0" w:color="365F91"/>
              <w:right w:val="nil"/>
            </w:tcBorders>
            <w:shd w:val="clear" w:color="auto" w:fill="auto"/>
          </w:tcPr>
          <w:p w14:paraId="092D1347" w14:textId="77777777" w:rsidR="00F02481" w:rsidRPr="00BE78CA" w:rsidRDefault="00F02481" w:rsidP="00C26084">
            <w:pPr>
              <w:pStyle w:val="TableText"/>
              <w:spacing w:before="50" w:after="50"/>
              <w:jc w:val="right"/>
              <w:rPr>
                <w:rFonts w:cs="Calibri"/>
              </w:rPr>
            </w:pPr>
            <w:r w:rsidRPr="00BE78CA">
              <w:rPr>
                <w:rFonts w:cs="Calibri"/>
              </w:rPr>
              <w:t>76 (16)</w:t>
            </w:r>
          </w:p>
        </w:tc>
        <w:tc>
          <w:tcPr>
            <w:tcW w:w="1361" w:type="dxa"/>
            <w:tcBorders>
              <w:top w:val="single" w:sz="4" w:space="0" w:color="365F91"/>
              <w:left w:val="nil"/>
              <w:bottom w:val="single" w:sz="4" w:space="0" w:color="365F91"/>
              <w:right w:val="nil"/>
            </w:tcBorders>
            <w:shd w:val="clear" w:color="auto" w:fill="auto"/>
          </w:tcPr>
          <w:p w14:paraId="214939B3" w14:textId="77777777" w:rsidR="00F02481" w:rsidRPr="00BE78CA" w:rsidRDefault="00F02481" w:rsidP="00C26084">
            <w:pPr>
              <w:pStyle w:val="TableText"/>
              <w:spacing w:before="50" w:after="50"/>
              <w:jc w:val="right"/>
              <w:rPr>
                <w:rFonts w:cs="Calibri"/>
              </w:rPr>
            </w:pPr>
            <w:r w:rsidRPr="00BE78CA">
              <w:rPr>
                <w:rFonts w:cs="Calibri"/>
              </w:rPr>
              <w:t>60 (12)</w:t>
            </w:r>
          </w:p>
        </w:tc>
        <w:tc>
          <w:tcPr>
            <w:tcW w:w="1304" w:type="dxa"/>
            <w:tcBorders>
              <w:top w:val="single" w:sz="4" w:space="0" w:color="365F91"/>
              <w:left w:val="nil"/>
              <w:bottom w:val="single" w:sz="4" w:space="0" w:color="365F91"/>
              <w:right w:val="nil"/>
            </w:tcBorders>
            <w:shd w:val="clear" w:color="auto" w:fill="auto"/>
          </w:tcPr>
          <w:p w14:paraId="113756A1" w14:textId="77777777" w:rsidR="00F02481" w:rsidRPr="00BE78CA" w:rsidRDefault="00F02481" w:rsidP="00C26084">
            <w:pPr>
              <w:pStyle w:val="TableText"/>
              <w:spacing w:before="50" w:after="50"/>
              <w:jc w:val="right"/>
              <w:rPr>
                <w:rFonts w:cs="Calibri"/>
              </w:rPr>
            </w:pPr>
            <w:r w:rsidRPr="00BE78CA">
              <w:rPr>
                <w:rFonts w:cs="Calibri"/>
              </w:rPr>
              <w:t>20 (4)</w:t>
            </w:r>
          </w:p>
        </w:tc>
        <w:tc>
          <w:tcPr>
            <w:tcW w:w="1304" w:type="dxa"/>
            <w:tcBorders>
              <w:top w:val="single" w:sz="4" w:space="0" w:color="365F91"/>
              <w:left w:val="nil"/>
              <w:bottom w:val="single" w:sz="4" w:space="0" w:color="365F91"/>
              <w:right w:val="nil"/>
            </w:tcBorders>
            <w:shd w:val="clear" w:color="auto" w:fill="auto"/>
          </w:tcPr>
          <w:p w14:paraId="130326B9" w14:textId="77777777" w:rsidR="00F02481" w:rsidRPr="00BE78CA" w:rsidRDefault="00F02481" w:rsidP="00C26084">
            <w:pPr>
              <w:pStyle w:val="TableText"/>
              <w:spacing w:before="50" w:after="50"/>
              <w:jc w:val="right"/>
              <w:rPr>
                <w:rFonts w:cs="Calibri"/>
              </w:rPr>
            </w:pPr>
            <w:r w:rsidRPr="00BE78CA">
              <w:rPr>
                <w:rFonts w:cs="Calibri"/>
              </w:rPr>
              <w:t>156 (32)</w:t>
            </w:r>
          </w:p>
        </w:tc>
      </w:tr>
      <w:tr w:rsidR="00F02481" w:rsidRPr="00BE78CA" w14:paraId="7D980E76" w14:textId="77777777" w:rsidTr="00477DE6">
        <w:tc>
          <w:tcPr>
            <w:tcW w:w="2313" w:type="dxa"/>
            <w:tcBorders>
              <w:top w:val="single" w:sz="4" w:space="0" w:color="365F91"/>
              <w:left w:val="nil"/>
              <w:bottom w:val="single" w:sz="4" w:space="0" w:color="365F91"/>
              <w:right w:val="nil"/>
            </w:tcBorders>
            <w:shd w:val="clear" w:color="auto" w:fill="auto"/>
          </w:tcPr>
          <w:p w14:paraId="13FA9686" w14:textId="77777777" w:rsidR="00F02481" w:rsidRPr="00BE78CA" w:rsidRDefault="00F02481" w:rsidP="00C26084">
            <w:pPr>
              <w:pStyle w:val="TableText"/>
              <w:spacing w:before="50" w:after="50"/>
              <w:rPr>
                <w:rFonts w:cs="Calibri"/>
              </w:rPr>
            </w:pPr>
            <w:r w:rsidRPr="00BE78CA">
              <w:rPr>
                <w:rFonts w:cs="Calibri"/>
              </w:rPr>
              <w:t>Sheep urine</w:t>
            </w:r>
          </w:p>
        </w:tc>
        <w:tc>
          <w:tcPr>
            <w:tcW w:w="1304" w:type="dxa"/>
            <w:tcBorders>
              <w:top w:val="single" w:sz="4" w:space="0" w:color="365F91"/>
              <w:left w:val="nil"/>
              <w:bottom w:val="single" w:sz="4" w:space="0" w:color="365F91"/>
              <w:right w:val="nil"/>
            </w:tcBorders>
            <w:shd w:val="clear" w:color="auto" w:fill="auto"/>
          </w:tcPr>
          <w:p w14:paraId="0F6D55BE" w14:textId="77777777" w:rsidR="00F02481" w:rsidRPr="00BE78CA" w:rsidRDefault="00F02481" w:rsidP="00C26084">
            <w:pPr>
              <w:pStyle w:val="TableText"/>
              <w:spacing w:before="50" w:after="50"/>
              <w:jc w:val="right"/>
              <w:rPr>
                <w:rFonts w:cs="Calibri"/>
              </w:rPr>
            </w:pPr>
            <w:r w:rsidRPr="00BE78CA">
              <w:rPr>
                <w:rFonts w:cs="Calibri"/>
              </w:rPr>
              <w:t>40 (7)</w:t>
            </w:r>
          </w:p>
        </w:tc>
        <w:tc>
          <w:tcPr>
            <w:tcW w:w="1304" w:type="dxa"/>
            <w:tcBorders>
              <w:top w:val="single" w:sz="4" w:space="0" w:color="365F91"/>
              <w:left w:val="nil"/>
              <w:bottom w:val="single" w:sz="4" w:space="0" w:color="365F91"/>
              <w:right w:val="nil"/>
            </w:tcBorders>
            <w:shd w:val="clear" w:color="auto" w:fill="auto"/>
          </w:tcPr>
          <w:p w14:paraId="707F234D" w14:textId="77777777" w:rsidR="00F02481" w:rsidRPr="00BE78CA" w:rsidRDefault="00F02481" w:rsidP="00C26084">
            <w:pPr>
              <w:pStyle w:val="TableText"/>
              <w:spacing w:before="50" w:after="50"/>
              <w:jc w:val="right"/>
              <w:rPr>
                <w:rFonts w:cs="Calibri"/>
              </w:rPr>
            </w:pPr>
            <w:r w:rsidRPr="00BE78CA">
              <w:rPr>
                <w:rFonts w:cs="Calibri"/>
              </w:rPr>
              <w:t>64 (12)</w:t>
            </w:r>
          </w:p>
        </w:tc>
        <w:tc>
          <w:tcPr>
            <w:tcW w:w="1361" w:type="dxa"/>
            <w:tcBorders>
              <w:top w:val="single" w:sz="4" w:space="0" w:color="365F91"/>
              <w:left w:val="nil"/>
              <w:bottom w:val="single" w:sz="4" w:space="0" w:color="365F91"/>
              <w:right w:val="nil"/>
            </w:tcBorders>
            <w:shd w:val="clear" w:color="auto" w:fill="auto"/>
          </w:tcPr>
          <w:p w14:paraId="587A3389" w14:textId="77777777" w:rsidR="00F02481" w:rsidRPr="00BE78CA" w:rsidRDefault="00F02481" w:rsidP="00C26084">
            <w:pPr>
              <w:pStyle w:val="TableText"/>
              <w:spacing w:before="50" w:after="50"/>
              <w:jc w:val="right"/>
              <w:rPr>
                <w:rFonts w:cs="Calibri"/>
              </w:rPr>
            </w:pPr>
            <w:r w:rsidRPr="00BE78CA">
              <w:rPr>
                <w:rFonts w:cs="Calibri"/>
              </w:rPr>
              <w:t>60 (12)</w:t>
            </w:r>
          </w:p>
        </w:tc>
        <w:tc>
          <w:tcPr>
            <w:tcW w:w="1304" w:type="dxa"/>
            <w:tcBorders>
              <w:top w:val="single" w:sz="4" w:space="0" w:color="365F91"/>
              <w:left w:val="nil"/>
              <w:bottom w:val="single" w:sz="4" w:space="0" w:color="365F91"/>
              <w:right w:val="nil"/>
            </w:tcBorders>
            <w:shd w:val="clear" w:color="auto" w:fill="auto"/>
          </w:tcPr>
          <w:p w14:paraId="631804A1" w14:textId="77777777" w:rsidR="00F02481" w:rsidRPr="00BE78CA" w:rsidRDefault="00F02481" w:rsidP="00C26084">
            <w:pPr>
              <w:pStyle w:val="TableText"/>
              <w:spacing w:before="50" w:after="50"/>
              <w:jc w:val="right"/>
              <w:rPr>
                <w:rFonts w:cs="Calibri"/>
              </w:rPr>
            </w:pPr>
            <w:r w:rsidRPr="00BE78CA">
              <w:rPr>
                <w:rFonts w:cs="Calibri"/>
              </w:rPr>
              <w:t>20 (4)</w:t>
            </w:r>
          </w:p>
        </w:tc>
        <w:tc>
          <w:tcPr>
            <w:tcW w:w="1304" w:type="dxa"/>
            <w:tcBorders>
              <w:top w:val="single" w:sz="4" w:space="0" w:color="365F91"/>
              <w:left w:val="nil"/>
              <w:bottom w:val="single" w:sz="4" w:space="0" w:color="365F91"/>
              <w:right w:val="nil"/>
            </w:tcBorders>
            <w:shd w:val="clear" w:color="auto" w:fill="auto"/>
          </w:tcPr>
          <w:p w14:paraId="2B7689FA" w14:textId="77777777" w:rsidR="00F02481" w:rsidRPr="00BE78CA" w:rsidRDefault="00F02481" w:rsidP="00C26084">
            <w:pPr>
              <w:pStyle w:val="TableText"/>
              <w:spacing w:before="50" w:after="50"/>
              <w:jc w:val="right"/>
              <w:rPr>
                <w:rFonts w:cs="Calibri"/>
              </w:rPr>
            </w:pPr>
            <w:r w:rsidRPr="00BE78CA">
              <w:rPr>
                <w:rFonts w:cs="Calibri"/>
              </w:rPr>
              <w:t>184 (35)</w:t>
            </w:r>
          </w:p>
        </w:tc>
      </w:tr>
      <w:tr w:rsidR="00F02481" w:rsidRPr="00BE78CA" w14:paraId="6684C876" w14:textId="77777777" w:rsidTr="00477DE6">
        <w:tc>
          <w:tcPr>
            <w:tcW w:w="2313" w:type="dxa"/>
            <w:tcBorders>
              <w:top w:val="single" w:sz="4" w:space="0" w:color="365F91"/>
              <w:left w:val="nil"/>
              <w:bottom w:val="single" w:sz="4" w:space="0" w:color="365F91"/>
              <w:right w:val="nil"/>
            </w:tcBorders>
            <w:shd w:val="clear" w:color="auto" w:fill="auto"/>
          </w:tcPr>
          <w:p w14:paraId="4D6FD27B" w14:textId="77777777" w:rsidR="00F02481" w:rsidRPr="00BE78CA" w:rsidRDefault="00F02481" w:rsidP="00C26084">
            <w:pPr>
              <w:pStyle w:val="TableText"/>
              <w:spacing w:before="50" w:after="50"/>
              <w:rPr>
                <w:rFonts w:cs="Calibri"/>
              </w:rPr>
            </w:pPr>
            <w:r w:rsidRPr="00BE78CA">
              <w:rPr>
                <w:rFonts w:cs="Calibri"/>
              </w:rPr>
              <w:t>Sheep dung</w:t>
            </w:r>
          </w:p>
        </w:tc>
        <w:tc>
          <w:tcPr>
            <w:tcW w:w="1304" w:type="dxa"/>
            <w:tcBorders>
              <w:top w:val="single" w:sz="4" w:space="0" w:color="365F91"/>
              <w:left w:val="nil"/>
              <w:bottom w:val="single" w:sz="4" w:space="0" w:color="365F91"/>
              <w:right w:val="nil"/>
            </w:tcBorders>
            <w:shd w:val="clear" w:color="auto" w:fill="auto"/>
          </w:tcPr>
          <w:p w14:paraId="55EA9E36" w14:textId="77777777" w:rsidR="00F02481" w:rsidRPr="00BE78CA" w:rsidRDefault="00F02481" w:rsidP="00C26084">
            <w:pPr>
              <w:pStyle w:val="TableText"/>
              <w:spacing w:before="50" w:after="50"/>
              <w:jc w:val="right"/>
              <w:rPr>
                <w:rFonts w:cs="Calibri"/>
              </w:rPr>
            </w:pPr>
            <w:r w:rsidRPr="00BE78CA">
              <w:rPr>
                <w:rFonts w:cs="Calibri"/>
              </w:rPr>
              <w:t>54 (13)</w:t>
            </w:r>
          </w:p>
        </w:tc>
        <w:tc>
          <w:tcPr>
            <w:tcW w:w="1304" w:type="dxa"/>
            <w:tcBorders>
              <w:top w:val="single" w:sz="4" w:space="0" w:color="365F91"/>
              <w:left w:val="nil"/>
              <w:bottom w:val="single" w:sz="4" w:space="0" w:color="365F91"/>
              <w:right w:val="nil"/>
            </w:tcBorders>
            <w:shd w:val="clear" w:color="auto" w:fill="auto"/>
          </w:tcPr>
          <w:p w14:paraId="24C45C2E" w14:textId="77777777" w:rsidR="00F02481" w:rsidRPr="00BE78CA" w:rsidRDefault="00F02481" w:rsidP="00C26084">
            <w:pPr>
              <w:pStyle w:val="TableText"/>
              <w:spacing w:before="50" w:after="50"/>
              <w:jc w:val="right"/>
              <w:rPr>
                <w:rFonts w:cs="Calibri"/>
              </w:rPr>
            </w:pPr>
            <w:r w:rsidRPr="00BE78CA">
              <w:rPr>
                <w:rFonts w:cs="Calibri"/>
              </w:rPr>
              <w:t>36 (8)</w:t>
            </w:r>
          </w:p>
        </w:tc>
        <w:tc>
          <w:tcPr>
            <w:tcW w:w="1361" w:type="dxa"/>
            <w:tcBorders>
              <w:top w:val="single" w:sz="4" w:space="0" w:color="365F91"/>
              <w:left w:val="nil"/>
              <w:bottom w:val="single" w:sz="4" w:space="0" w:color="365F91"/>
              <w:right w:val="nil"/>
            </w:tcBorders>
            <w:shd w:val="clear" w:color="auto" w:fill="auto"/>
          </w:tcPr>
          <w:p w14:paraId="1C110D08" w14:textId="77777777" w:rsidR="00F02481" w:rsidRPr="00BE78CA" w:rsidRDefault="00F02481" w:rsidP="00C26084">
            <w:pPr>
              <w:pStyle w:val="TableText"/>
              <w:spacing w:before="50" w:after="50"/>
              <w:jc w:val="right"/>
              <w:rPr>
                <w:rFonts w:cs="Calibri"/>
              </w:rPr>
            </w:pPr>
            <w:r w:rsidRPr="00BE78CA">
              <w:rPr>
                <w:rFonts w:cs="Calibri"/>
              </w:rPr>
              <w:t>20 (4)</w:t>
            </w:r>
          </w:p>
        </w:tc>
        <w:tc>
          <w:tcPr>
            <w:tcW w:w="1304" w:type="dxa"/>
            <w:tcBorders>
              <w:top w:val="single" w:sz="4" w:space="0" w:color="365F91"/>
              <w:left w:val="nil"/>
              <w:bottom w:val="single" w:sz="4" w:space="0" w:color="365F91"/>
              <w:right w:val="nil"/>
            </w:tcBorders>
            <w:shd w:val="clear" w:color="auto" w:fill="auto"/>
          </w:tcPr>
          <w:p w14:paraId="552DA7D9" w14:textId="77777777" w:rsidR="00F02481" w:rsidRPr="00BE78CA" w:rsidRDefault="00F02481" w:rsidP="00C26084">
            <w:pPr>
              <w:pStyle w:val="TableText"/>
              <w:spacing w:before="50" w:after="50"/>
              <w:jc w:val="right"/>
              <w:rPr>
                <w:rFonts w:cs="Calibri"/>
              </w:rPr>
            </w:pPr>
            <w:r w:rsidRPr="00BE78CA">
              <w:rPr>
                <w:rFonts w:cs="Calibri"/>
              </w:rPr>
              <w:t>20 (4)</w:t>
            </w:r>
          </w:p>
        </w:tc>
        <w:tc>
          <w:tcPr>
            <w:tcW w:w="1304" w:type="dxa"/>
            <w:tcBorders>
              <w:top w:val="single" w:sz="4" w:space="0" w:color="365F91"/>
              <w:left w:val="nil"/>
              <w:bottom w:val="single" w:sz="4" w:space="0" w:color="365F91"/>
              <w:right w:val="nil"/>
            </w:tcBorders>
            <w:shd w:val="clear" w:color="auto" w:fill="auto"/>
          </w:tcPr>
          <w:p w14:paraId="538D15A9" w14:textId="77777777" w:rsidR="00F02481" w:rsidRPr="00BE78CA" w:rsidRDefault="00F02481" w:rsidP="00C26084">
            <w:pPr>
              <w:pStyle w:val="TableText"/>
              <w:spacing w:before="50" w:after="50"/>
              <w:jc w:val="right"/>
              <w:rPr>
                <w:rFonts w:cs="Calibri"/>
              </w:rPr>
            </w:pPr>
            <w:r w:rsidRPr="00BE78CA">
              <w:rPr>
                <w:rFonts w:cs="Calibri"/>
              </w:rPr>
              <w:t>130 (29)</w:t>
            </w:r>
          </w:p>
        </w:tc>
      </w:tr>
      <w:tr w:rsidR="00F02481" w:rsidRPr="00BE78CA" w14:paraId="64C2993F" w14:textId="77777777" w:rsidTr="00477DE6">
        <w:tc>
          <w:tcPr>
            <w:tcW w:w="2313" w:type="dxa"/>
            <w:tcBorders>
              <w:top w:val="single" w:sz="4" w:space="0" w:color="365F91"/>
              <w:left w:val="nil"/>
              <w:bottom w:val="single" w:sz="4" w:space="0" w:color="365F91"/>
              <w:right w:val="nil"/>
            </w:tcBorders>
            <w:shd w:val="clear" w:color="auto" w:fill="auto"/>
          </w:tcPr>
          <w:p w14:paraId="0F0B4F6E" w14:textId="77777777" w:rsidR="00F02481" w:rsidRPr="00BE78CA" w:rsidRDefault="00F02481" w:rsidP="00C26084">
            <w:pPr>
              <w:pStyle w:val="Tableboldblue"/>
              <w:spacing w:before="50" w:after="50"/>
              <w:rPr>
                <w:rFonts w:cs="Calibri"/>
              </w:rPr>
            </w:pPr>
            <w:r w:rsidRPr="00BE78CA">
              <w:rPr>
                <w:rFonts w:cs="Calibri"/>
              </w:rPr>
              <w:t>Total urine</w:t>
            </w:r>
          </w:p>
        </w:tc>
        <w:tc>
          <w:tcPr>
            <w:tcW w:w="1304" w:type="dxa"/>
            <w:tcBorders>
              <w:top w:val="single" w:sz="4" w:space="0" w:color="365F91"/>
              <w:left w:val="nil"/>
              <w:bottom w:val="single" w:sz="4" w:space="0" w:color="365F91"/>
              <w:right w:val="nil"/>
            </w:tcBorders>
            <w:shd w:val="clear" w:color="auto" w:fill="auto"/>
          </w:tcPr>
          <w:p w14:paraId="3FF2EC67" w14:textId="77777777" w:rsidR="00F02481" w:rsidRPr="00BE78CA" w:rsidRDefault="00F02481" w:rsidP="00C26084">
            <w:pPr>
              <w:pStyle w:val="Tableboldblue"/>
              <w:spacing w:before="50" w:after="50"/>
              <w:jc w:val="right"/>
              <w:rPr>
                <w:rFonts w:cs="Calibri"/>
              </w:rPr>
            </w:pPr>
            <w:r w:rsidRPr="00BE78CA">
              <w:rPr>
                <w:rFonts w:cs="Calibri"/>
              </w:rPr>
              <w:t>389 (65)</w:t>
            </w:r>
          </w:p>
        </w:tc>
        <w:tc>
          <w:tcPr>
            <w:tcW w:w="1304" w:type="dxa"/>
            <w:tcBorders>
              <w:top w:val="single" w:sz="4" w:space="0" w:color="365F91"/>
              <w:left w:val="nil"/>
              <w:bottom w:val="single" w:sz="4" w:space="0" w:color="365F91"/>
              <w:right w:val="nil"/>
            </w:tcBorders>
            <w:shd w:val="clear" w:color="auto" w:fill="auto"/>
          </w:tcPr>
          <w:p w14:paraId="65640328" w14:textId="77777777" w:rsidR="00F02481" w:rsidRPr="00BE78CA" w:rsidRDefault="00F02481" w:rsidP="00C26084">
            <w:pPr>
              <w:pStyle w:val="Tableboldblue"/>
              <w:spacing w:before="50" w:after="50"/>
              <w:jc w:val="right"/>
              <w:rPr>
                <w:rFonts w:cs="Calibri"/>
              </w:rPr>
            </w:pPr>
            <w:r w:rsidRPr="00BE78CA">
              <w:rPr>
                <w:rFonts w:cs="Calibri"/>
              </w:rPr>
              <w:t>212 (42)</w:t>
            </w:r>
          </w:p>
        </w:tc>
        <w:tc>
          <w:tcPr>
            <w:tcW w:w="1361" w:type="dxa"/>
            <w:tcBorders>
              <w:top w:val="single" w:sz="4" w:space="0" w:color="365F91"/>
              <w:left w:val="nil"/>
              <w:bottom w:val="single" w:sz="4" w:space="0" w:color="365F91"/>
              <w:right w:val="nil"/>
            </w:tcBorders>
            <w:shd w:val="clear" w:color="auto" w:fill="auto"/>
          </w:tcPr>
          <w:p w14:paraId="48DA0A45" w14:textId="77777777" w:rsidR="00F02481" w:rsidRPr="00BE78CA" w:rsidRDefault="00F02481" w:rsidP="00C26084">
            <w:pPr>
              <w:pStyle w:val="Tableboldblue"/>
              <w:spacing w:before="50" w:after="50"/>
              <w:jc w:val="right"/>
              <w:rPr>
                <w:rFonts w:cs="Calibri"/>
              </w:rPr>
            </w:pPr>
            <w:r w:rsidRPr="00BE78CA">
              <w:rPr>
                <w:rFonts w:cs="Calibri"/>
              </w:rPr>
              <w:t>140 (28)</w:t>
            </w:r>
          </w:p>
        </w:tc>
        <w:tc>
          <w:tcPr>
            <w:tcW w:w="1304" w:type="dxa"/>
            <w:tcBorders>
              <w:top w:val="single" w:sz="4" w:space="0" w:color="365F91"/>
              <w:left w:val="nil"/>
              <w:bottom w:val="single" w:sz="4" w:space="0" w:color="365F91"/>
              <w:right w:val="nil"/>
            </w:tcBorders>
            <w:shd w:val="clear" w:color="auto" w:fill="auto"/>
          </w:tcPr>
          <w:p w14:paraId="6FC8D2C1" w14:textId="77777777" w:rsidR="00F02481" w:rsidRPr="00BE78CA" w:rsidRDefault="00F02481" w:rsidP="00C26084">
            <w:pPr>
              <w:pStyle w:val="Tableboldblue"/>
              <w:spacing w:before="50" w:after="50"/>
              <w:jc w:val="right"/>
              <w:rPr>
                <w:rFonts w:cs="Calibri"/>
              </w:rPr>
            </w:pPr>
            <w:r w:rsidRPr="00BE78CA">
              <w:rPr>
                <w:rFonts w:cs="Calibri"/>
              </w:rPr>
              <w:t>40 (8)</w:t>
            </w:r>
          </w:p>
        </w:tc>
        <w:tc>
          <w:tcPr>
            <w:tcW w:w="1304" w:type="dxa"/>
            <w:tcBorders>
              <w:top w:val="single" w:sz="4" w:space="0" w:color="365F91"/>
              <w:left w:val="nil"/>
              <w:bottom w:val="single" w:sz="4" w:space="0" w:color="365F91"/>
              <w:right w:val="nil"/>
            </w:tcBorders>
            <w:shd w:val="clear" w:color="auto" w:fill="auto"/>
          </w:tcPr>
          <w:p w14:paraId="064A2037" w14:textId="77777777" w:rsidR="00F02481" w:rsidRPr="00BE78CA" w:rsidRDefault="00F02481" w:rsidP="00C26084">
            <w:pPr>
              <w:pStyle w:val="Tableboldblue"/>
              <w:spacing w:before="50" w:after="50"/>
              <w:jc w:val="right"/>
              <w:rPr>
                <w:rFonts w:cs="Calibri"/>
              </w:rPr>
            </w:pPr>
            <w:r w:rsidRPr="00BE78CA">
              <w:rPr>
                <w:rFonts w:cs="Calibri"/>
              </w:rPr>
              <w:t>781 (143)</w:t>
            </w:r>
          </w:p>
        </w:tc>
      </w:tr>
      <w:tr w:rsidR="00F02481" w:rsidRPr="00BE78CA" w14:paraId="1EA77702" w14:textId="77777777" w:rsidTr="00477DE6">
        <w:tc>
          <w:tcPr>
            <w:tcW w:w="2313" w:type="dxa"/>
            <w:tcBorders>
              <w:top w:val="single" w:sz="4" w:space="0" w:color="365F91"/>
              <w:left w:val="nil"/>
              <w:bottom w:val="single" w:sz="4" w:space="0" w:color="365F91"/>
              <w:right w:val="nil"/>
            </w:tcBorders>
            <w:shd w:val="clear" w:color="auto" w:fill="auto"/>
          </w:tcPr>
          <w:p w14:paraId="187DF9BB" w14:textId="77777777" w:rsidR="00F02481" w:rsidRPr="00BE78CA" w:rsidRDefault="00F02481" w:rsidP="00C26084">
            <w:pPr>
              <w:pStyle w:val="Tableboldblue"/>
              <w:spacing w:before="50" w:after="50"/>
              <w:rPr>
                <w:rFonts w:cs="Calibri"/>
              </w:rPr>
            </w:pPr>
            <w:r w:rsidRPr="00BE78CA">
              <w:rPr>
                <w:rFonts w:cs="Calibri"/>
              </w:rPr>
              <w:t>Total dung</w:t>
            </w:r>
          </w:p>
        </w:tc>
        <w:tc>
          <w:tcPr>
            <w:tcW w:w="1304" w:type="dxa"/>
            <w:tcBorders>
              <w:top w:val="single" w:sz="4" w:space="0" w:color="365F91"/>
              <w:left w:val="nil"/>
              <w:bottom w:val="single" w:sz="4" w:space="0" w:color="365F91"/>
              <w:right w:val="nil"/>
            </w:tcBorders>
            <w:shd w:val="clear" w:color="auto" w:fill="auto"/>
          </w:tcPr>
          <w:p w14:paraId="33E2275E" w14:textId="77777777" w:rsidR="00F02481" w:rsidRPr="00BE78CA" w:rsidRDefault="00F02481" w:rsidP="00C26084">
            <w:pPr>
              <w:pStyle w:val="Tableboldblue"/>
              <w:spacing w:before="50" w:after="50"/>
              <w:jc w:val="right"/>
              <w:rPr>
                <w:rFonts w:cs="Calibri"/>
              </w:rPr>
            </w:pPr>
            <w:r w:rsidRPr="00BE78CA">
              <w:rPr>
                <w:rFonts w:cs="Calibri"/>
              </w:rPr>
              <w:t>138 (32)</w:t>
            </w:r>
          </w:p>
        </w:tc>
        <w:tc>
          <w:tcPr>
            <w:tcW w:w="1304" w:type="dxa"/>
            <w:tcBorders>
              <w:top w:val="single" w:sz="4" w:space="0" w:color="365F91"/>
              <w:left w:val="nil"/>
              <w:bottom w:val="single" w:sz="4" w:space="0" w:color="365F91"/>
              <w:right w:val="nil"/>
            </w:tcBorders>
            <w:shd w:val="clear" w:color="auto" w:fill="auto"/>
          </w:tcPr>
          <w:p w14:paraId="060D0FFA" w14:textId="77777777" w:rsidR="00F02481" w:rsidRPr="00BE78CA" w:rsidRDefault="00F02481" w:rsidP="00C26084">
            <w:pPr>
              <w:pStyle w:val="Tableboldblue"/>
              <w:spacing w:before="50" w:after="50"/>
              <w:jc w:val="right"/>
              <w:rPr>
                <w:rFonts w:cs="Calibri"/>
              </w:rPr>
            </w:pPr>
            <w:r w:rsidRPr="00BE78CA">
              <w:rPr>
                <w:rFonts w:cs="Calibri"/>
              </w:rPr>
              <w:t>158 (33)</w:t>
            </w:r>
          </w:p>
        </w:tc>
        <w:tc>
          <w:tcPr>
            <w:tcW w:w="1361" w:type="dxa"/>
            <w:tcBorders>
              <w:top w:val="single" w:sz="4" w:space="0" w:color="365F91"/>
              <w:left w:val="nil"/>
              <w:bottom w:val="single" w:sz="4" w:space="0" w:color="365F91"/>
              <w:right w:val="nil"/>
            </w:tcBorders>
            <w:shd w:val="clear" w:color="auto" w:fill="auto"/>
          </w:tcPr>
          <w:p w14:paraId="3E2AA098" w14:textId="77777777" w:rsidR="00F02481" w:rsidRPr="00BE78CA" w:rsidRDefault="00F02481" w:rsidP="00C26084">
            <w:pPr>
              <w:pStyle w:val="Tableboldblue"/>
              <w:spacing w:before="50" w:after="50"/>
              <w:jc w:val="right"/>
              <w:rPr>
                <w:rFonts w:cs="Calibri"/>
              </w:rPr>
            </w:pPr>
            <w:r w:rsidRPr="00BE78CA">
              <w:rPr>
                <w:rFonts w:cs="Calibri"/>
              </w:rPr>
              <w:t>100 (20)</w:t>
            </w:r>
          </w:p>
        </w:tc>
        <w:tc>
          <w:tcPr>
            <w:tcW w:w="1304" w:type="dxa"/>
            <w:tcBorders>
              <w:top w:val="single" w:sz="4" w:space="0" w:color="365F91"/>
              <w:left w:val="nil"/>
              <w:bottom w:val="single" w:sz="4" w:space="0" w:color="365F91"/>
              <w:right w:val="nil"/>
            </w:tcBorders>
            <w:shd w:val="clear" w:color="auto" w:fill="auto"/>
          </w:tcPr>
          <w:p w14:paraId="045FB898" w14:textId="77777777" w:rsidR="00F02481" w:rsidRPr="00BE78CA" w:rsidRDefault="00F02481" w:rsidP="00C26084">
            <w:pPr>
              <w:pStyle w:val="Tableboldblue"/>
              <w:spacing w:before="50" w:after="50"/>
              <w:jc w:val="right"/>
              <w:rPr>
                <w:rFonts w:cs="Calibri"/>
              </w:rPr>
            </w:pPr>
            <w:r w:rsidRPr="00BE78CA">
              <w:rPr>
                <w:rFonts w:cs="Calibri"/>
              </w:rPr>
              <w:t>40 (8)</w:t>
            </w:r>
          </w:p>
        </w:tc>
        <w:tc>
          <w:tcPr>
            <w:tcW w:w="1304" w:type="dxa"/>
            <w:tcBorders>
              <w:top w:val="single" w:sz="4" w:space="0" w:color="365F91"/>
              <w:left w:val="nil"/>
              <w:bottom w:val="single" w:sz="4" w:space="0" w:color="365F91"/>
              <w:right w:val="nil"/>
            </w:tcBorders>
            <w:shd w:val="clear" w:color="auto" w:fill="auto"/>
          </w:tcPr>
          <w:p w14:paraId="67395CBC" w14:textId="77777777" w:rsidR="00F02481" w:rsidRPr="00BE78CA" w:rsidRDefault="00F02481" w:rsidP="00C26084">
            <w:pPr>
              <w:pStyle w:val="Tableboldblue"/>
              <w:spacing w:before="50" w:after="50"/>
              <w:jc w:val="right"/>
              <w:rPr>
                <w:rFonts w:cs="Calibri"/>
              </w:rPr>
            </w:pPr>
            <w:r w:rsidRPr="00BE78CA">
              <w:rPr>
                <w:rFonts w:cs="Calibri"/>
              </w:rPr>
              <w:t>436 (93)</w:t>
            </w:r>
          </w:p>
        </w:tc>
      </w:tr>
      <w:tr w:rsidR="00F02481" w:rsidRPr="00BE78CA" w14:paraId="45603F47" w14:textId="77777777" w:rsidTr="00477DE6">
        <w:tc>
          <w:tcPr>
            <w:tcW w:w="2313" w:type="dxa"/>
            <w:tcBorders>
              <w:top w:val="single" w:sz="4" w:space="0" w:color="365F91"/>
              <w:left w:val="nil"/>
              <w:bottom w:val="single" w:sz="4" w:space="0" w:color="365F91"/>
              <w:right w:val="nil"/>
            </w:tcBorders>
            <w:shd w:val="clear" w:color="auto" w:fill="auto"/>
          </w:tcPr>
          <w:p w14:paraId="198D51FC" w14:textId="77777777" w:rsidR="00F02481" w:rsidRPr="00BE78CA" w:rsidRDefault="00F02481" w:rsidP="00C26084">
            <w:pPr>
              <w:pStyle w:val="Tableboldblue"/>
              <w:spacing w:before="50" w:after="50"/>
              <w:rPr>
                <w:rFonts w:cs="Calibri"/>
              </w:rPr>
            </w:pPr>
            <w:r w:rsidRPr="00BE78CA">
              <w:rPr>
                <w:rFonts w:cs="Calibri"/>
              </w:rPr>
              <w:t>Total excreta</w:t>
            </w:r>
          </w:p>
        </w:tc>
        <w:tc>
          <w:tcPr>
            <w:tcW w:w="1304" w:type="dxa"/>
            <w:tcBorders>
              <w:top w:val="single" w:sz="4" w:space="0" w:color="365F91"/>
              <w:left w:val="nil"/>
              <w:bottom w:val="single" w:sz="4" w:space="0" w:color="365F91"/>
              <w:right w:val="nil"/>
            </w:tcBorders>
            <w:shd w:val="clear" w:color="auto" w:fill="auto"/>
          </w:tcPr>
          <w:p w14:paraId="5D8EE43F" w14:textId="77777777" w:rsidR="00F02481" w:rsidRPr="00BE78CA" w:rsidRDefault="00F02481" w:rsidP="00C26084">
            <w:pPr>
              <w:pStyle w:val="Tableboldblue"/>
              <w:spacing w:before="50" w:after="50"/>
              <w:jc w:val="right"/>
              <w:rPr>
                <w:rFonts w:cs="Calibri"/>
              </w:rPr>
            </w:pPr>
            <w:r w:rsidRPr="00BE78CA">
              <w:rPr>
                <w:rFonts w:cs="Calibri"/>
              </w:rPr>
              <w:t>527 (97)</w:t>
            </w:r>
          </w:p>
        </w:tc>
        <w:tc>
          <w:tcPr>
            <w:tcW w:w="1304" w:type="dxa"/>
            <w:tcBorders>
              <w:top w:val="single" w:sz="4" w:space="0" w:color="365F91"/>
              <w:left w:val="nil"/>
              <w:bottom w:val="single" w:sz="4" w:space="0" w:color="365F91"/>
              <w:right w:val="nil"/>
            </w:tcBorders>
            <w:shd w:val="clear" w:color="auto" w:fill="auto"/>
          </w:tcPr>
          <w:p w14:paraId="4DD72B77" w14:textId="77777777" w:rsidR="00F02481" w:rsidRPr="00BE78CA" w:rsidRDefault="00F02481" w:rsidP="00C26084">
            <w:pPr>
              <w:pStyle w:val="Tableboldblue"/>
              <w:spacing w:before="50" w:after="50"/>
              <w:jc w:val="right"/>
              <w:rPr>
                <w:rFonts w:cs="Calibri"/>
              </w:rPr>
            </w:pPr>
            <w:r w:rsidRPr="00BE78CA">
              <w:rPr>
                <w:rFonts w:cs="Calibri"/>
              </w:rPr>
              <w:t>370 (75)</w:t>
            </w:r>
          </w:p>
        </w:tc>
        <w:tc>
          <w:tcPr>
            <w:tcW w:w="1361" w:type="dxa"/>
            <w:tcBorders>
              <w:top w:val="single" w:sz="4" w:space="0" w:color="365F91"/>
              <w:left w:val="nil"/>
              <w:bottom w:val="single" w:sz="4" w:space="0" w:color="365F91"/>
              <w:right w:val="nil"/>
            </w:tcBorders>
            <w:shd w:val="clear" w:color="auto" w:fill="auto"/>
          </w:tcPr>
          <w:p w14:paraId="52AB4142" w14:textId="77777777" w:rsidR="00F02481" w:rsidRPr="00BE78CA" w:rsidRDefault="00F02481" w:rsidP="00C26084">
            <w:pPr>
              <w:pStyle w:val="Tableboldblue"/>
              <w:spacing w:before="50" w:after="50"/>
              <w:jc w:val="right"/>
              <w:rPr>
                <w:rFonts w:cs="Calibri"/>
              </w:rPr>
            </w:pPr>
            <w:r w:rsidRPr="00BE78CA">
              <w:rPr>
                <w:rFonts w:cs="Calibri"/>
              </w:rPr>
              <w:t>240 (48)</w:t>
            </w:r>
          </w:p>
        </w:tc>
        <w:tc>
          <w:tcPr>
            <w:tcW w:w="1304" w:type="dxa"/>
            <w:tcBorders>
              <w:top w:val="single" w:sz="4" w:space="0" w:color="365F91"/>
              <w:left w:val="nil"/>
              <w:bottom w:val="single" w:sz="4" w:space="0" w:color="365F91"/>
              <w:right w:val="nil"/>
            </w:tcBorders>
            <w:shd w:val="clear" w:color="auto" w:fill="auto"/>
          </w:tcPr>
          <w:p w14:paraId="0EF35054" w14:textId="77777777" w:rsidR="00F02481" w:rsidRPr="00BE78CA" w:rsidRDefault="00F02481" w:rsidP="00C26084">
            <w:pPr>
              <w:pStyle w:val="Tableboldblue"/>
              <w:spacing w:before="50" w:after="50"/>
              <w:jc w:val="right"/>
              <w:rPr>
                <w:rFonts w:cs="Calibri"/>
              </w:rPr>
            </w:pPr>
            <w:r w:rsidRPr="00BE78CA">
              <w:rPr>
                <w:rFonts w:cs="Calibri"/>
              </w:rPr>
              <w:t>80 (16)</w:t>
            </w:r>
          </w:p>
        </w:tc>
        <w:tc>
          <w:tcPr>
            <w:tcW w:w="1304" w:type="dxa"/>
            <w:tcBorders>
              <w:top w:val="single" w:sz="4" w:space="0" w:color="365F91"/>
              <w:left w:val="nil"/>
              <w:bottom w:val="single" w:sz="4" w:space="0" w:color="365F91"/>
              <w:right w:val="nil"/>
            </w:tcBorders>
            <w:shd w:val="clear" w:color="auto" w:fill="auto"/>
          </w:tcPr>
          <w:p w14:paraId="275D67B4" w14:textId="77777777" w:rsidR="00F02481" w:rsidRPr="00BE78CA" w:rsidRDefault="00F02481" w:rsidP="00C26084">
            <w:pPr>
              <w:pStyle w:val="Tableboldblue"/>
              <w:spacing w:before="50" w:after="50"/>
              <w:jc w:val="right"/>
              <w:rPr>
                <w:rFonts w:cs="Calibri"/>
              </w:rPr>
            </w:pPr>
            <w:r w:rsidRPr="00BE78CA">
              <w:rPr>
                <w:rFonts w:cs="Calibri"/>
              </w:rPr>
              <w:t>1,217 (236)</w:t>
            </w:r>
          </w:p>
        </w:tc>
      </w:tr>
    </w:tbl>
    <w:p w14:paraId="7935C2AA" w14:textId="77777777" w:rsidR="00F02481" w:rsidRPr="00BE78CA" w:rsidRDefault="00F02481" w:rsidP="00477DE6">
      <w:pPr>
        <w:pStyle w:val="Table"/>
        <w:spacing w:before="240"/>
        <w:rPr>
          <w:rFonts w:cs="Calibri"/>
        </w:rPr>
      </w:pPr>
      <w:bookmarkStart w:id="892" w:name="_Toc32570933"/>
      <w:bookmarkStart w:id="893" w:name="_Toc36224568"/>
      <w:bookmarkStart w:id="894" w:name="_Toc68786453"/>
      <w:r w:rsidRPr="00BE78CA">
        <w:rPr>
          <w:rFonts w:cs="Calibri"/>
        </w:rPr>
        <w:t>Table 5.5.7</w:t>
      </w:r>
      <w:r w:rsidRPr="00BE78CA">
        <w:rPr>
          <w:rFonts w:cs="Calibri"/>
        </w:rPr>
        <w:tab/>
        <w:t>Number of replicate-level EF</w:t>
      </w:r>
      <w:r w:rsidRPr="00BE78CA">
        <w:rPr>
          <w:rFonts w:cs="Calibri"/>
          <w:vertAlign w:val="subscript"/>
        </w:rPr>
        <w:t>3</w:t>
      </w:r>
      <w:r w:rsidRPr="00BE78CA">
        <w:rPr>
          <w:rFonts w:cs="Calibri"/>
        </w:rPr>
        <w:t xml:space="preserve"> values collated for van der Weerden et al. (2019, 2020) analysis,</w:t>
      </w:r>
      <w:r w:rsidRPr="00BE78CA">
        <w:rPr>
          <w:rFonts w:cs="Calibri"/>
        </w:rPr>
        <w:br/>
        <w:t>for each nitrogen source, season that trial was undertaken, and topography</w:t>
      </w:r>
      <w:bookmarkEnd w:id="892"/>
      <w:bookmarkEnd w:id="893"/>
      <w:bookmarkEnd w:id="894"/>
    </w:p>
    <w:tbl>
      <w:tblPr>
        <w:tblW w:w="85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86"/>
        <w:gridCol w:w="1889"/>
        <w:gridCol w:w="886"/>
        <w:gridCol w:w="886"/>
        <w:gridCol w:w="886"/>
        <w:gridCol w:w="886"/>
        <w:gridCol w:w="886"/>
      </w:tblGrid>
      <w:tr w:rsidR="00477DE6" w:rsidRPr="00BE78CA" w14:paraId="25A5ECAF" w14:textId="77777777" w:rsidTr="00477DE6">
        <w:trPr>
          <w:tblHeader/>
        </w:trPr>
        <w:tc>
          <w:tcPr>
            <w:tcW w:w="2098" w:type="dxa"/>
            <w:tcBorders>
              <w:top w:val="single" w:sz="4" w:space="0" w:color="365F91"/>
              <w:left w:val="nil"/>
              <w:bottom w:val="single" w:sz="4" w:space="0" w:color="365F91"/>
              <w:right w:val="nil"/>
            </w:tcBorders>
            <w:shd w:val="clear" w:color="auto" w:fill="365F91"/>
            <w:vAlign w:val="bottom"/>
          </w:tcPr>
          <w:p w14:paraId="1E79ED98" w14:textId="77777777" w:rsidR="00F02481" w:rsidRPr="00BE78CA" w:rsidRDefault="00F02481" w:rsidP="00C26084">
            <w:pPr>
              <w:pStyle w:val="TableTextBold"/>
              <w:keepNext/>
              <w:rPr>
                <w:noProof w:val="0"/>
                <w:color w:val="FFFFFF" w:themeColor="background1"/>
                <w:szCs w:val="16"/>
              </w:rPr>
            </w:pPr>
            <w:r w:rsidRPr="00BE78CA">
              <w:rPr>
                <w:noProof w:val="0"/>
                <w:color w:val="FFFFFF" w:themeColor="background1"/>
                <w:szCs w:val="16"/>
              </w:rPr>
              <w:t>Nitrogen source</w:t>
            </w:r>
          </w:p>
        </w:tc>
        <w:tc>
          <w:tcPr>
            <w:tcW w:w="1814" w:type="dxa"/>
            <w:tcBorders>
              <w:top w:val="single" w:sz="4" w:space="0" w:color="365F91"/>
              <w:left w:val="nil"/>
              <w:bottom w:val="single" w:sz="4" w:space="0" w:color="365F91"/>
              <w:right w:val="nil"/>
            </w:tcBorders>
            <w:shd w:val="clear" w:color="auto" w:fill="365F91"/>
            <w:vAlign w:val="bottom"/>
          </w:tcPr>
          <w:p w14:paraId="469CA12E" w14:textId="77777777" w:rsidR="00F02481" w:rsidRPr="00BE78CA" w:rsidRDefault="00F02481" w:rsidP="00C26084">
            <w:pPr>
              <w:pStyle w:val="TableTextBold"/>
              <w:keepNext/>
              <w:rPr>
                <w:noProof w:val="0"/>
                <w:color w:val="FFFFFF" w:themeColor="background1"/>
                <w:szCs w:val="16"/>
              </w:rPr>
            </w:pPr>
            <w:r w:rsidRPr="00BE78CA">
              <w:rPr>
                <w:noProof w:val="0"/>
                <w:color w:val="FFFFFF" w:themeColor="background1"/>
                <w:szCs w:val="16"/>
              </w:rPr>
              <w:t>Topography class</w:t>
            </w:r>
          </w:p>
        </w:tc>
        <w:tc>
          <w:tcPr>
            <w:tcW w:w="851" w:type="dxa"/>
            <w:tcBorders>
              <w:top w:val="single" w:sz="4" w:space="0" w:color="365F91"/>
              <w:left w:val="nil"/>
              <w:bottom w:val="single" w:sz="4" w:space="0" w:color="365F91"/>
              <w:right w:val="nil"/>
            </w:tcBorders>
            <w:shd w:val="clear" w:color="auto" w:fill="365F91"/>
          </w:tcPr>
          <w:p w14:paraId="01E04E10" w14:textId="77777777" w:rsidR="00F02481" w:rsidRPr="00BE78CA" w:rsidRDefault="00F02481" w:rsidP="00C26084">
            <w:pPr>
              <w:pStyle w:val="TableTextBold"/>
              <w:keepNext/>
              <w:jc w:val="right"/>
              <w:rPr>
                <w:noProof w:val="0"/>
                <w:color w:val="FFFFFF" w:themeColor="background1"/>
                <w:szCs w:val="16"/>
              </w:rPr>
            </w:pPr>
            <w:r w:rsidRPr="00BE78CA">
              <w:rPr>
                <w:noProof w:val="0"/>
                <w:color w:val="FFFFFF" w:themeColor="background1"/>
                <w:szCs w:val="16"/>
              </w:rPr>
              <w:t>Autumn</w:t>
            </w:r>
          </w:p>
        </w:tc>
        <w:tc>
          <w:tcPr>
            <w:tcW w:w="851" w:type="dxa"/>
            <w:tcBorders>
              <w:top w:val="single" w:sz="4" w:space="0" w:color="365F91"/>
              <w:left w:val="nil"/>
              <w:bottom w:val="single" w:sz="4" w:space="0" w:color="365F91"/>
              <w:right w:val="nil"/>
            </w:tcBorders>
            <w:shd w:val="clear" w:color="auto" w:fill="365F91"/>
          </w:tcPr>
          <w:p w14:paraId="151F61F4" w14:textId="77777777" w:rsidR="00F02481" w:rsidRPr="00BE78CA" w:rsidRDefault="00F02481" w:rsidP="00C26084">
            <w:pPr>
              <w:pStyle w:val="TableTextBold"/>
              <w:keepNext/>
              <w:jc w:val="right"/>
              <w:rPr>
                <w:noProof w:val="0"/>
                <w:color w:val="FFFFFF" w:themeColor="background1"/>
                <w:szCs w:val="16"/>
              </w:rPr>
            </w:pPr>
            <w:r w:rsidRPr="00BE78CA">
              <w:rPr>
                <w:noProof w:val="0"/>
                <w:color w:val="FFFFFF" w:themeColor="background1"/>
                <w:szCs w:val="16"/>
              </w:rPr>
              <w:t>Winter</w:t>
            </w:r>
          </w:p>
        </w:tc>
        <w:tc>
          <w:tcPr>
            <w:tcW w:w="851" w:type="dxa"/>
            <w:tcBorders>
              <w:top w:val="single" w:sz="4" w:space="0" w:color="365F91"/>
              <w:left w:val="nil"/>
              <w:bottom w:val="single" w:sz="4" w:space="0" w:color="365F91"/>
              <w:right w:val="nil"/>
            </w:tcBorders>
            <w:shd w:val="clear" w:color="auto" w:fill="365F91"/>
          </w:tcPr>
          <w:p w14:paraId="6FFD9293" w14:textId="77777777" w:rsidR="00F02481" w:rsidRPr="00BE78CA" w:rsidRDefault="00F02481" w:rsidP="00C26084">
            <w:pPr>
              <w:pStyle w:val="TableTextBold"/>
              <w:keepNext/>
              <w:jc w:val="right"/>
              <w:rPr>
                <w:noProof w:val="0"/>
                <w:color w:val="FFFFFF" w:themeColor="background1"/>
                <w:szCs w:val="16"/>
              </w:rPr>
            </w:pPr>
            <w:r w:rsidRPr="00BE78CA">
              <w:rPr>
                <w:noProof w:val="0"/>
                <w:color w:val="FFFFFF" w:themeColor="background1"/>
                <w:szCs w:val="16"/>
              </w:rPr>
              <w:t>Spring</w:t>
            </w:r>
          </w:p>
        </w:tc>
        <w:tc>
          <w:tcPr>
            <w:tcW w:w="851" w:type="dxa"/>
            <w:tcBorders>
              <w:top w:val="single" w:sz="4" w:space="0" w:color="365F91"/>
              <w:left w:val="nil"/>
              <w:bottom w:val="single" w:sz="4" w:space="0" w:color="365F91"/>
              <w:right w:val="nil"/>
            </w:tcBorders>
            <w:shd w:val="clear" w:color="auto" w:fill="365F91"/>
          </w:tcPr>
          <w:p w14:paraId="6DED0670" w14:textId="77777777" w:rsidR="00F02481" w:rsidRPr="00BE78CA" w:rsidRDefault="00F02481" w:rsidP="00C26084">
            <w:pPr>
              <w:pStyle w:val="TableTextBold"/>
              <w:keepNext/>
              <w:jc w:val="right"/>
              <w:rPr>
                <w:noProof w:val="0"/>
                <w:color w:val="FFFFFF" w:themeColor="background1"/>
                <w:szCs w:val="16"/>
              </w:rPr>
            </w:pPr>
            <w:r w:rsidRPr="00BE78CA">
              <w:rPr>
                <w:noProof w:val="0"/>
                <w:color w:val="FFFFFF" w:themeColor="background1"/>
                <w:szCs w:val="16"/>
              </w:rPr>
              <w:t>Summer</w:t>
            </w:r>
          </w:p>
        </w:tc>
        <w:tc>
          <w:tcPr>
            <w:tcW w:w="851" w:type="dxa"/>
            <w:tcBorders>
              <w:top w:val="single" w:sz="4" w:space="0" w:color="365F91"/>
              <w:left w:val="nil"/>
              <w:bottom w:val="single" w:sz="4" w:space="0" w:color="365F91"/>
              <w:right w:val="nil"/>
            </w:tcBorders>
            <w:shd w:val="clear" w:color="auto" w:fill="365F91"/>
          </w:tcPr>
          <w:p w14:paraId="391CEC67" w14:textId="77777777" w:rsidR="00F02481" w:rsidRPr="00BE78CA" w:rsidRDefault="00F02481" w:rsidP="00C26084">
            <w:pPr>
              <w:pStyle w:val="TableTextBold"/>
              <w:keepNext/>
              <w:jc w:val="right"/>
              <w:rPr>
                <w:noProof w:val="0"/>
                <w:color w:val="FFFFFF" w:themeColor="background1"/>
                <w:szCs w:val="16"/>
              </w:rPr>
            </w:pPr>
            <w:r w:rsidRPr="00BE78CA">
              <w:rPr>
                <w:noProof w:val="0"/>
                <w:color w:val="FFFFFF" w:themeColor="background1"/>
                <w:szCs w:val="16"/>
              </w:rPr>
              <w:t>Total</w:t>
            </w:r>
          </w:p>
        </w:tc>
      </w:tr>
      <w:tr w:rsidR="00F02481" w:rsidRPr="00BE78CA" w14:paraId="4E1BA572" w14:textId="77777777" w:rsidTr="00477DE6">
        <w:tc>
          <w:tcPr>
            <w:tcW w:w="2098" w:type="dxa"/>
            <w:tcBorders>
              <w:top w:val="single" w:sz="4" w:space="0" w:color="365F91"/>
              <w:left w:val="nil"/>
              <w:bottom w:val="single" w:sz="4" w:space="0" w:color="365F91"/>
              <w:right w:val="nil"/>
            </w:tcBorders>
            <w:shd w:val="clear" w:color="auto" w:fill="auto"/>
          </w:tcPr>
          <w:p w14:paraId="6975B111" w14:textId="77777777" w:rsidR="00F02481" w:rsidRPr="00BE78CA" w:rsidRDefault="00F02481" w:rsidP="00C26084">
            <w:pPr>
              <w:pStyle w:val="TableText"/>
              <w:keepNext/>
              <w:spacing w:before="50" w:after="50"/>
              <w:rPr>
                <w:rFonts w:cs="Calibri"/>
                <w:szCs w:val="16"/>
              </w:rPr>
            </w:pPr>
            <w:r w:rsidRPr="00BE78CA">
              <w:rPr>
                <w:rFonts w:cs="Calibri"/>
                <w:szCs w:val="16"/>
              </w:rPr>
              <w:t>Dairy cattle urine</w:t>
            </w:r>
          </w:p>
        </w:tc>
        <w:tc>
          <w:tcPr>
            <w:tcW w:w="1814" w:type="dxa"/>
            <w:tcBorders>
              <w:top w:val="single" w:sz="4" w:space="0" w:color="365F91"/>
              <w:left w:val="nil"/>
              <w:bottom w:val="single" w:sz="4" w:space="0" w:color="365F91"/>
              <w:right w:val="nil"/>
            </w:tcBorders>
          </w:tcPr>
          <w:p w14:paraId="6316BB8E" w14:textId="77777777" w:rsidR="00F02481" w:rsidRPr="00BE78CA" w:rsidRDefault="00F02481" w:rsidP="00C26084">
            <w:pPr>
              <w:pStyle w:val="TableText"/>
              <w:keepNext/>
              <w:spacing w:before="50" w:after="50"/>
              <w:rPr>
                <w:rFonts w:cs="Calibri"/>
                <w:szCs w:val="16"/>
              </w:rPr>
            </w:pPr>
            <w:r w:rsidRPr="00BE78CA">
              <w:rPr>
                <w:rFonts w:cs="Calibri"/>
                <w:szCs w:val="16"/>
              </w:rPr>
              <w:t>Flatland (0</w:t>
            </w:r>
            <w:r w:rsidRPr="00BE78CA">
              <w:rPr>
                <w:rFonts w:cs="Calibri"/>
                <w:szCs w:val="16"/>
                <w:vertAlign w:val="superscript"/>
              </w:rPr>
              <w:t>o</w:t>
            </w:r>
            <w:r w:rsidRPr="00BE78CA">
              <w:rPr>
                <w:rFonts w:cs="Calibri"/>
                <w:szCs w:val="16"/>
              </w:rPr>
              <w:t>)</w:t>
            </w:r>
          </w:p>
        </w:tc>
        <w:tc>
          <w:tcPr>
            <w:tcW w:w="851" w:type="dxa"/>
            <w:tcBorders>
              <w:top w:val="single" w:sz="4" w:space="0" w:color="365F91"/>
              <w:left w:val="nil"/>
              <w:bottom w:val="single" w:sz="4" w:space="0" w:color="365F91"/>
              <w:right w:val="nil"/>
            </w:tcBorders>
            <w:shd w:val="clear" w:color="auto" w:fill="auto"/>
          </w:tcPr>
          <w:p w14:paraId="7A262361" w14:textId="77777777" w:rsidR="00F02481" w:rsidRPr="00BE78CA" w:rsidRDefault="00F02481" w:rsidP="00C26084">
            <w:pPr>
              <w:pStyle w:val="TableText"/>
              <w:keepNext/>
              <w:spacing w:before="50" w:after="50"/>
              <w:jc w:val="right"/>
              <w:rPr>
                <w:rFonts w:cs="Calibri"/>
                <w:szCs w:val="16"/>
              </w:rPr>
            </w:pPr>
            <w:r w:rsidRPr="00BE78CA">
              <w:rPr>
                <w:rFonts w:cs="Calibri"/>
                <w:szCs w:val="16"/>
              </w:rPr>
              <w:t>128</w:t>
            </w:r>
          </w:p>
        </w:tc>
        <w:tc>
          <w:tcPr>
            <w:tcW w:w="851" w:type="dxa"/>
            <w:tcBorders>
              <w:top w:val="single" w:sz="4" w:space="0" w:color="365F91"/>
              <w:left w:val="nil"/>
              <w:bottom w:val="single" w:sz="4" w:space="0" w:color="365F91"/>
              <w:right w:val="nil"/>
            </w:tcBorders>
            <w:shd w:val="clear" w:color="auto" w:fill="auto"/>
          </w:tcPr>
          <w:p w14:paraId="2428368D" w14:textId="77777777" w:rsidR="00F02481" w:rsidRPr="00BE78CA" w:rsidRDefault="00F02481" w:rsidP="00C26084">
            <w:pPr>
              <w:pStyle w:val="TableText"/>
              <w:keepNext/>
              <w:spacing w:before="50" w:after="50"/>
              <w:jc w:val="right"/>
              <w:rPr>
                <w:rFonts w:cs="Calibri"/>
                <w:szCs w:val="16"/>
              </w:rPr>
            </w:pPr>
            <w:r w:rsidRPr="00BE78CA">
              <w:rPr>
                <w:rFonts w:cs="Calibri"/>
                <w:szCs w:val="16"/>
              </w:rPr>
              <w:t>105</w:t>
            </w:r>
          </w:p>
        </w:tc>
        <w:tc>
          <w:tcPr>
            <w:tcW w:w="851" w:type="dxa"/>
            <w:tcBorders>
              <w:top w:val="single" w:sz="4" w:space="0" w:color="365F91"/>
              <w:left w:val="nil"/>
              <w:bottom w:val="single" w:sz="4" w:space="0" w:color="365F91"/>
              <w:right w:val="nil"/>
            </w:tcBorders>
            <w:shd w:val="clear" w:color="auto" w:fill="auto"/>
          </w:tcPr>
          <w:p w14:paraId="35C191DF" w14:textId="77777777" w:rsidR="00F02481" w:rsidRPr="00BE78CA" w:rsidRDefault="00F02481" w:rsidP="00C26084">
            <w:pPr>
              <w:pStyle w:val="TableText"/>
              <w:keepNext/>
              <w:spacing w:before="50" w:after="50"/>
              <w:jc w:val="right"/>
              <w:rPr>
                <w:rFonts w:cs="Calibri"/>
                <w:szCs w:val="16"/>
              </w:rPr>
            </w:pPr>
            <w:r w:rsidRPr="00BE78CA">
              <w:rPr>
                <w:rFonts w:cs="Calibri"/>
                <w:szCs w:val="16"/>
              </w:rPr>
              <w:t>88</w:t>
            </w:r>
          </w:p>
        </w:tc>
        <w:tc>
          <w:tcPr>
            <w:tcW w:w="851" w:type="dxa"/>
            <w:tcBorders>
              <w:top w:val="single" w:sz="4" w:space="0" w:color="365F91"/>
              <w:left w:val="nil"/>
              <w:bottom w:val="single" w:sz="4" w:space="0" w:color="365F91"/>
              <w:right w:val="nil"/>
            </w:tcBorders>
            <w:shd w:val="clear" w:color="auto" w:fill="auto"/>
          </w:tcPr>
          <w:p w14:paraId="5E05D8E6" w14:textId="77777777" w:rsidR="00F02481" w:rsidRPr="00BE78CA" w:rsidRDefault="00F02481" w:rsidP="00C26084">
            <w:pPr>
              <w:pStyle w:val="TableText"/>
              <w:keepNext/>
              <w:spacing w:before="50" w:after="50"/>
              <w:jc w:val="right"/>
              <w:rPr>
                <w:rFonts w:cs="Calibri"/>
                <w:szCs w:val="16"/>
              </w:rPr>
            </w:pPr>
            <w:r w:rsidRPr="00BE78CA">
              <w:rPr>
                <w:rFonts w:cs="Calibri"/>
                <w:szCs w:val="16"/>
              </w:rPr>
              <w:t>12</w:t>
            </w:r>
          </w:p>
        </w:tc>
        <w:tc>
          <w:tcPr>
            <w:tcW w:w="851" w:type="dxa"/>
            <w:tcBorders>
              <w:top w:val="single" w:sz="4" w:space="0" w:color="365F91"/>
              <w:left w:val="nil"/>
              <w:bottom w:val="single" w:sz="4" w:space="0" w:color="365F91"/>
              <w:right w:val="nil"/>
            </w:tcBorders>
            <w:shd w:val="clear" w:color="auto" w:fill="auto"/>
          </w:tcPr>
          <w:p w14:paraId="215ED4EF" w14:textId="77777777" w:rsidR="00F02481" w:rsidRPr="00BE78CA" w:rsidRDefault="00F02481" w:rsidP="00C26084">
            <w:pPr>
              <w:pStyle w:val="TableText"/>
              <w:keepNext/>
              <w:spacing w:before="50" w:after="50"/>
              <w:jc w:val="right"/>
              <w:rPr>
                <w:rFonts w:cs="Calibri"/>
                <w:szCs w:val="16"/>
              </w:rPr>
            </w:pPr>
            <w:r w:rsidRPr="00BE78CA">
              <w:rPr>
                <w:rFonts w:cs="Calibri"/>
                <w:szCs w:val="16"/>
              </w:rPr>
              <w:t>333</w:t>
            </w:r>
          </w:p>
        </w:tc>
      </w:tr>
      <w:tr w:rsidR="00F02481" w:rsidRPr="00BE78CA" w14:paraId="71910E18" w14:textId="77777777" w:rsidTr="00477DE6">
        <w:tc>
          <w:tcPr>
            <w:tcW w:w="2098" w:type="dxa"/>
            <w:tcBorders>
              <w:top w:val="single" w:sz="4" w:space="0" w:color="365F91"/>
              <w:left w:val="nil"/>
              <w:bottom w:val="single" w:sz="4" w:space="0" w:color="365F91"/>
              <w:right w:val="nil"/>
            </w:tcBorders>
            <w:shd w:val="clear" w:color="auto" w:fill="auto"/>
          </w:tcPr>
          <w:p w14:paraId="15A6F157" w14:textId="77777777" w:rsidR="00F02481" w:rsidRPr="00BE78CA" w:rsidRDefault="00F02481" w:rsidP="00C26084">
            <w:pPr>
              <w:pStyle w:val="TableText"/>
              <w:keepNext/>
              <w:spacing w:before="50" w:after="50"/>
              <w:jc w:val="right"/>
              <w:rPr>
                <w:rFonts w:cs="Calibri"/>
                <w:szCs w:val="16"/>
              </w:rPr>
            </w:pPr>
          </w:p>
        </w:tc>
        <w:tc>
          <w:tcPr>
            <w:tcW w:w="1814" w:type="dxa"/>
            <w:tcBorders>
              <w:top w:val="single" w:sz="4" w:space="0" w:color="365F91"/>
              <w:left w:val="nil"/>
              <w:bottom w:val="single" w:sz="4" w:space="0" w:color="365F91"/>
              <w:right w:val="nil"/>
            </w:tcBorders>
          </w:tcPr>
          <w:p w14:paraId="408551CD" w14:textId="77777777" w:rsidR="00F02481" w:rsidRPr="00BE78CA" w:rsidRDefault="00F02481" w:rsidP="00C26084">
            <w:pPr>
              <w:pStyle w:val="TableText"/>
              <w:keepNext/>
              <w:spacing w:before="50" w:after="50"/>
              <w:rPr>
                <w:rFonts w:cs="Calibri"/>
                <w:szCs w:val="16"/>
              </w:rPr>
            </w:pPr>
            <w:r w:rsidRPr="00BE78CA">
              <w:rPr>
                <w:rFonts w:cs="Calibri"/>
                <w:szCs w:val="16"/>
              </w:rPr>
              <w:t>Low slope (0–12</w:t>
            </w:r>
            <w:r w:rsidRPr="00BE78CA">
              <w:rPr>
                <w:rFonts w:cs="Calibri"/>
                <w:szCs w:val="16"/>
                <w:vertAlign w:val="superscript"/>
              </w:rPr>
              <w:t>o</w:t>
            </w:r>
            <w:r w:rsidRPr="00BE78CA">
              <w:rPr>
                <w:rFonts w:cs="Calibri"/>
                <w:szCs w:val="16"/>
              </w:rPr>
              <w:t>)</w:t>
            </w:r>
          </w:p>
        </w:tc>
        <w:tc>
          <w:tcPr>
            <w:tcW w:w="851" w:type="dxa"/>
            <w:tcBorders>
              <w:top w:val="single" w:sz="4" w:space="0" w:color="365F91"/>
              <w:left w:val="nil"/>
              <w:bottom w:val="single" w:sz="4" w:space="0" w:color="365F91"/>
              <w:right w:val="nil"/>
            </w:tcBorders>
            <w:shd w:val="clear" w:color="auto" w:fill="auto"/>
          </w:tcPr>
          <w:p w14:paraId="559FEBFB" w14:textId="77777777" w:rsidR="00F02481" w:rsidRPr="00BE78CA" w:rsidRDefault="00F02481" w:rsidP="00C26084">
            <w:pPr>
              <w:pStyle w:val="TableText"/>
              <w:keepNext/>
              <w:spacing w:before="50" w:after="50"/>
              <w:jc w:val="right"/>
              <w:rPr>
                <w:rFonts w:cs="Calibri"/>
                <w:szCs w:val="16"/>
              </w:rPr>
            </w:pPr>
            <w:r w:rsidRPr="00BE78CA">
              <w:rPr>
                <w:rFonts w:cs="Calibri"/>
                <w:szCs w:val="16"/>
              </w:rPr>
              <w:t>34</w:t>
            </w:r>
          </w:p>
        </w:tc>
        <w:tc>
          <w:tcPr>
            <w:tcW w:w="851" w:type="dxa"/>
            <w:tcBorders>
              <w:top w:val="single" w:sz="4" w:space="0" w:color="365F91"/>
              <w:left w:val="nil"/>
              <w:bottom w:val="single" w:sz="4" w:space="0" w:color="365F91"/>
              <w:right w:val="nil"/>
            </w:tcBorders>
            <w:shd w:val="clear" w:color="auto" w:fill="auto"/>
          </w:tcPr>
          <w:p w14:paraId="732CD319" w14:textId="77777777" w:rsidR="00F02481" w:rsidRPr="00BE78CA" w:rsidRDefault="00F02481" w:rsidP="00C26084">
            <w:pPr>
              <w:pStyle w:val="TableText"/>
              <w:keepNext/>
              <w:spacing w:before="50" w:after="50"/>
              <w:jc w:val="right"/>
              <w:rPr>
                <w:rFonts w:cs="Calibri"/>
                <w:szCs w:val="16"/>
              </w:rPr>
            </w:pPr>
            <w:r w:rsidRPr="00BE78CA">
              <w:rPr>
                <w:rFonts w:cs="Calibri"/>
                <w:szCs w:val="16"/>
              </w:rPr>
              <w:t>34</w:t>
            </w:r>
          </w:p>
        </w:tc>
        <w:tc>
          <w:tcPr>
            <w:tcW w:w="851" w:type="dxa"/>
            <w:tcBorders>
              <w:top w:val="single" w:sz="4" w:space="0" w:color="365F91"/>
              <w:left w:val="nil"/>
              <w:bottom w:val="single" w:sz="4" w:space="0" w:color="365F91"/>
              <w:right w:val="nil"/>
            </w:tcBorders>
            <w:shd w:val="clear" w:color="auto" w:fill="auto"/>
          </w:tcPr>
          <w:p w14:paraId="19AB5AE6" w14:textId="77777777" w:rsidR="00F02481" w:rsidRPr="00BE78CA" w:rsidRDefault="00F02481" w:rsidP="00C26084">
            <w:pPr>
              <w:pStyle w:val="TableText"/>
              <w:keepNext/>
              <w:spacing w:before="50" w:after="50"/>
              <w:jc w:val="right"/>
              <w:rPr>
                <w:rFonts w:cs="Calibri"/>
                <w:szCs w:val="16"/>
              </w:rPr>
            </w:pPr>
            <w:r w:rsidRPr="00BE78CA">
              <w:rPr>
                <w:rFonts w:cs="Calibri"/>
                <w:szCs w:val="16"/>
              </w:rPr>
              <w:t>28</w:t>
            </w:r>
          </w:p>
        </w:tc>
        <w:tc>
          <w:tcPr>
            <w:tcW w:w="851" w:type="dxa"/>
            <w:tcBorders>
              <w:top w:val="single" w:sz="4" w:space="0" w:color="365F91"/>
              <w:left w:val="nil"/>
              <w:bottom w:val="single" w:sz="4" w:space="0" w:color="365F91"/>
              <w:right w:val="nil"/>
            </w:tcBorders>
            <w:shd w:val="clear" w:color="auto" w:fill="auto"/>
          </w:tcPr>
          <w:p w14:paraId="5DCAE3EC" w14:textId="77777777" w:rsidR="00F02481" w:rsidRPr="00BE78CA" w:rsidRDefault="00F02481" w:rsidP="00C26084">
            <w:pPr>
              <w:pStyle w:val="TableText"/>
              <w:keepNext/>
              <w:spacing w:before="50" w:after="50"/>
              <w:jc w:val="right"/>
              <w:rPr>
                <w:rFonts w:cs="Calibri"/>
                <w:szCs w:val="16"/>
              </w:rPr>
            </w:pPr>
            <w:r w:rsidRPr="00BE78CA">
              <w:rPr>
                <w:rFonts w:cs="Calibri"/>
                <w:szCs w:val="16"/>
              </w:rPr>
              <w:t>20</w:t>
            </w:r>
          </w:p>
        </w:tc>
        <w:tc>
          <w:tcPr>
            <w:tcW w:w="851" w:type="dxa"/>
            <w:tcBorders>
              <w:top w:val="single" w:sz="4" w:space="0" w:color="365F91"/>
              <w:left w:val="nil"/>
              <w:bottom w:val="single" w:sz="4" w:space="0" w:color="365F91"/>
              <w:right w:val="nil"/>
            </w:tcBorders>
            <w:shd w:val="clear" w:color="auto" w:fill="auto"/>
          </w:tcPr>
          <w:p w14:paraId="4B96C1AE" w14:textId="77777777" w:rsidR="00F02481" w:rsidRPr="00BE78CA" w:rsidRDefault="00F02481" w:rsidP="00C26084">
            <w:pPr>
              <w:pStyle w:val="TableText"/>
              <w:keepNext/>
              <w:spacing w:before="50" w:after="50"/>
              <w:jc w:val="right"/>
              <w:rPr>
                <w:rFonts w:cs="Calibri"/>
                <w:szCs w:val="16"/>
              </w:rPr>
            </w:pPr>
            <w:r w:rsidRPr="00BE78CA">
              <w:rPr>
                <w:rFonts w:cs="Calibri"/>
                <w:szCs w:val="16"/>
              </w:rPr>
              <w:t>116</w:t>
            </w:r>
          </w:p>
        </w:tc>
      </w:tr>
      <w:tr w:rsidR="00F02481" w:rsidRPr="00BE78CA" w14:paraId="7326D7E2" w14:textId="77777777" w:rsidTr="00477DE6">
        <w:tc>
          <w:tcPr>
            <w:tcW w:w="2098" w:type="dxa"/>
            <w:tcBorders>
              <w:top w:val="single" w:sz="4" w:space="0" w:color="365F91"/>
              <w:left w:val="nil"/>
              <w:bottom w:val="single" w:sz="4" w:space="0" w:color="365F91"/>
              <w:right w:val="nil"/>
            </w:tcBorders>
            <w:shd w:val="clear" w:color="auto" w:fill="auto"/>
          </w:tcPr>
          <w:p w14:paraId="64D69F69" w14:textId="77777777" w:rsidR="00F02481" w:rsidRPr="00BE78CA" w:rsidRDefault="00F02481" w:rsidP="00C26084">
            <w:pPr>
              <w:pStyle w:val="TableText"/>
              <w:keepNext/>
              <w:spacing w:before="50" w:after="50"/>
              <w:jc w:val="right"/>
              <w:rPr>
                <w:rFonts w:cs="Calibri"/>
                <w:szCs w:val="16"/>
              </w:rPr>
            </w:pPr>
          </w:p>
        </w:tc>
        <w:tc>
          <w:tcPr>
            <w:tcW w:w="1814" w:type="dxa"/>
            <w:tcBorders>
              <w:top w:val="single" w:sz="4" w:space="0" w:color="365F91"/>
              <w:left w:val="nil"/>
              <w:bottom w:val="single" w:sz="4" w:space="0" w:color="365F91"/>
              <w:right w:val="nil"/>
            </w:tcBorders>
          </w:tcPr>
          <w:p w14:paraId="18AE602E" w14:textId="77777777" w:rsidR="00F02481" w:rsidRPr="00BE78CA" w:rsidRDefault="00F02481" w:rsidP="00C26084">
            <w:pPr>
              <w:pStyle w:val="TableText"/>
              <w:keepNext/>
              <w:spacing w:before="50" w:after="50"/>
              <w:rPr>
                <w:rFonts w:cs="Calibri"/>
                <w:szCs w:val="16"/>
              </w:rPr>
            </w:pPr>
            <w:r w:rsidRPr="00BE78CA">
              <w:rPr>
                <w:rFonts w:cs="Calibri"/>
                <w:szCs w:val="16"/>
              </w:rPr>
              <w:t>Medium slope (12–24</w:t>
            </w:r>
            <w:r w:rsidRPr="00BE78CA">
              <w:rPr>
                <w:rFonts w:cs="Calibri"/>
                <w:szCs w:val="16"/>
                <w:vertAlign w:val="superscript"/>
              </w:rPr>
              <w:t>o</w:t>
            </w:r>
            <w:r w:rsidRPr="00BE78CA">
              <w:rPr>
                <w:rFonts w:cs="Calibri"/>
                <w:szCs w:val="16"/>
              </w:rPr>
              <w:t>)</w:t>
            </w:r>
          </w:p>
        </w:tc>
        <w:tc>
          <w:tcPr>
            <w:tcW w:w="851" w:type="dxa"/>
            <w:tcBorders>
              <w:top w:val="single" w:sz="4" w:space="0" w:color="365F91"/>
              <w:left w:val="nil"/>
              <w:bottom w:val="single" w:sz="4" w:space="0" w:color="365F91"/>
              <w:right w:val="nil"/>
            </w:tcBorders>
            <w:shd w:val="clear" w:color="auto" w:fill="auto"/>
          </w:tcPr>
          <w:p w14:paraId="74AC80CD" w14:textId="77777777" w:rsidR="00F02481" w:rsidRPr="00BE78CA" w:rsidRDefault="00F02481" w:rsidP="00C26084">
            <w:pPr>
              <w:pStyle w:val="TableText"/>
              <w:keepNext/>
              <w:spacing w:before="50" w:after="50"/>
              <w:jc w:val="right"/>
              <w:rPr>
                <w:rFonts w:cs="Calibri"/>
                <w:szCs w:val="16"/>
              </w:rPr>
            </w:pPr>
          </w:p>
        </w:tc>
        <w:tc>
          <w:tcPr>
            <w:tcW w:w="851" w:type="dxa"/>
            <w:tcBorders>
              <w:top w:val="single" w:sz="4" w:space="0" w:color="365F91"/>
              <w:left w:val="nil"/>
              <w:bottom w:val="single" w:sz="4" w:space="0" w:color="365F91"/>
              <w:right w:val="nil"/>
            </w:tcBorders>
            <w:shd w:val="clear" w:color="auto" w:fill="auto"/>
          </w:tcPr>
          <w:p w14:paraId="18D62C3D" w14:textId="77777777" w:rsidR="00F02481" w:rsidRPr="00BE78CA" w:rsidRDefault="00F02481" w:rsidP="00C26084">
            <w:pPr>
              <w:pStyle w:val="TableText"/>
              <w:keepNext/>
              <w:spacing w:before="50" w:after="50"/>
              <w:jc w:val="right"/>
              <w:rPr>
                <w:rFonts w:cs="Calibri"/>
                <w:szCs w:val="16"/>
              </w:rPr>
            </w:pPr>
            <w:r w:rsidRPr="00BE78CA">
              <w:rPr>
                <w:rFonts w:cs="Calibri"/>
                <w:szCs w:val="16"/>
              </w:rPr>
              <w:t>20</w:t>
            </w:r>
          </w:p>
        </w:tc>
        <w:tc>
          <w:tcPr>
            <w:tcW w:w="851" w:type="dxa"/>
            <w:tcBorders>
              <w:top w:val="single" w:sz="4" w:space="0" w:color="365F91"/>
              <w:left w:val="nil"/>
              <w:bottom w:val="single" w:sz="4" w:space="0" w:color="365F91"/>
              <w:right w:val="nil"/>
            </w:tcBorders>
            <w:shd w:val="clear" w:color="auto" w:fill="auto"/>
          </w:tcPr>
          <w:p w14:paraId="6B6BEC0F" w14:textId="77777777" w:rsidR="00F02481" w:rsidRPr="00BE78CA" w:rsidRDefault="00F02481" w:rsidP="00C26084">
            <w:pPr>
              <w:pStyle w:val="TableText"/>
              <w:keepNext/>
              <w:spacing w:before="50" w:after="50"/>
              <w:jc w:val="right"/>
              <w:rPr>
                <w:rFonts w:cs="Calibri"/>
                <w:szCs w:val="16"/>
              </w:rPr>
            </w:pPr>
          </w:p>
        </w:tc>
        <w:tc>
          <w:tcPr>
            <w:tcW w:w="851" w:type="dxa"/>
            <w:tcBorders>
              <w:top w:val="single" w:sz="4" w:space="0" w:color="365F91"/>
              <w:left w:val="nil"/>
              <w:bottom w:val="single" w:sz="4" w:space="0" w:color="365F91"/>
              <w:right w:val="nil"/>
            </w:tcBorders>
            <w:shd w:val="clear" w:color="auto" w:fill="auto"/>
          </w:tcPr>
          <w:p w14:paraId="264BFBBA" w14:textId="77777777" w:rsidR="00F02481" w:rsidRPr="00BE78CA" w:rsidRDefault="00F02481" w:rsidP="00C26084">
            <w:pPr>
              <w:pStyle w:val="TableText"/>
              <w:keepNext/>
              <w:spacing w:before="50" w:after="50"/>
              <w:jc w:val="right"/>
              <w:rPr>
                <w:rFonts w:cs="Calibri"/>
                <w:szCs w:val="16"/>
              </w:rPr>
            </w:pPr>
          </w:p>
        </w:tc>
        <w:tc>
          <w:tcPr>
            <w:tcW w:w="851" w:type="dxa"/>
            <w:tcBorders>
              <w:top w:val="single" w:sz="4" w:space="0" w:color="365F91"/>
              <w:left w:val="nil"/>
              <w:bottom w:val="single" w:sz="4" w:space="0" w:color="365F91"/>
              <w:right w:val="nil"/>
            </w:tcBorders>
            <w:shd w:val="clear" w:color="auto" w:fill="auto"/>
          </w:tcPr>
          <w:p w14:paraId="4C04E736" w14:textId="77777777" w:rsidR="00F02481" w:rsidRPr="00BE78CA" w:rsidRDefault="00F02481" w:rsidP="00C26084">
            <w:pPr>
              <w:pStyle w:val="TableText"/>
              <w:keepNext/>
              <w:spacing w:before="50" w:after="50"/>
              <w:jc w:val="right"/>
              <w:rPr>
                <w:rFonts w:cs="Calibri"/>
                <w:szCs w:val="16"/>
              </w:rPr>
            </w:pPr>
            <w:r w:rsidRPr="00BE78CA">
              <w:rPr>
                <w:rFonts w:cs="Calibri"/>
                <w:szCs w:val="16"/>
              </w:rPr>
              <w:t>20</w:t>
            </w:r>
          </w:p>
        </w:tc>
      </w:tr>
      <w:tr w:rsidR="00F02481" w:rsidRPr="00BE78CA" w14:paraId="201D207F" w14:textId="77777777" w:rsidTr="00477DE6">
        <w:tc>
          <w:tcPr>
            <w:tcW w:w="2098" w:type="dxa"/>
            <w:tcBorders>
              <w:top w:val="single" w:sz="4" w:space="0" w:color="365F91"/>
              <w:left w:val="nil"/>
              <w:bottom w:val="single" w:sz="4" w:space="0" w:color="365F91"/>
              <w:right w:val="nil"/>
            </w:tcBorders>
            <w:shd w:val="clear" w:color="auto" w:fill="auto"/>
          </w:tcPr>
          <w:p w14:paraId="3434EE11" w14:textId="77777777" w:rsidR="00F02481" w:rsidRPr="00BE78CA" w:rsidRDefault="00F02481" w:rsidP="00C26084">
            <w:pPr>
              <w:pStyle w:val="TableText"/>
              <w:spacing w:before="50" w:after="50"/>
              <w:jc w:val="right"/>
              <w:rPr>
                <w:rFonts w:cs="Calibri"/>
                <w:szCs w:val="16"/>
              </w:rPr>
            </w:pPr>
          </w:p>
        </w:tc>
        <w:tc>
          <w:tcPr>
            <w:tcW w:w="1814" w:type="dxa"/>
            <w:tcBorders>
              <w:top w:val="single" w:sz="4" w:space="0" w:color="365F91"/>
              <w:left w:val="nil"/>
              <w:bottom w:val="single" w:sz="4" w:space="0" w:color="365F91"/>
              <w:right w:val="nil"/>
            </w:tcBorders>
          </w:tcPr>
          <w:p w14:paraId="6D9DCA7B" w14:textId="77777777" w:rsidR="00F02481" w:rsidRPr="00BE78CA" w:rsidRDefault="00F02481" w:rsidP="00C26084">
            <w:pPr>
              <w:pStyle w:val="TableText"/>
              <w:spacing w:before="50" w:after="50"/>
              <w:rPr>
                <w:rFonts w:cs="Calibri"/>
                <w:szCs w:val="16"/>
              </w:rPr>
            </w:pPr>
            <w:r w:rsidRPr="00BE78CA">
              <w:rPr>
                <w:rFonts w:cs="Calibri"/>
                <w:szCs w:val="16"/>
              </w:rPr>
              <w:t>Steep slope (&gt;24</w:t>
            </w:r>
            <w:r w:rsidRPr="00BE78CA">
              <w:rPr>
                <w:rFonts w:cs="Calibri"/>
                <w:szCs w:val="16"/>
                <w:vertAlign w:val="superscript"/>
              </w:rPr>
              <w:t>o</w:t>
            </w:r>
            <w:r w:rsidRPr="00BE78CA">
              <w:rPr>
                <w:rFonts w:cs="Calibri"/>
                <w:szCs w:val="16"/>
              </w:rPr>
              <w:t>)</w:t>
            </w:r>
          </w:p>
        </w:tc>
        <w:tc>
          <w:tcPr>
            <w:tcW w:w="851" w:type="dxa"/>
            <w:tcBorders>
              <w:top w:val="single" w:sz="4" w:space="0" w:color="365F91"/>
              <w:left w:val="nil"/>
              <w:bottom w:val="single" w:sz="4" w:space="0" w:color="365F91"/>
              <w:right w:val="nil"/>
            </w:tcBorders>
            <w:shd w:val="clear" w:color="auto" w:fill="auto"/>
          </w:tcPr>
          <w:p w14:paraId="596DB563" w14:textId="77777777" w:rsidR="00F02481" w:rsidRPr="00BE78CA" w:rsidRDefault="00F02481" w:rsidP="00C26084">
            <w:pPr>
              <w:pStyle w:val="TableText"/>
              <w:spacing w:before="50" w:after="50"/>
              <w:jc w:val="right"/>
              <w:rPr>
                <w:rFonts w:cs="Calibri"/>
                <w:szCs w:val="16"/>
              </w:rPr>
            </w:pPr>
          </w:p>
        </w:tc>
        <w:tc>
          <w:tcPr>
            <w:tcW w:w="851" w:type="dxa"/>
            <w:tcBorders>
              <w:top w:val="single" w:sz="4" w:space="0" w:color="365F91"/>
              <w:left w:val="nil"/>
              <w:bottom w:val="single" w:sz="4" w:space="0" w:color="365F91"/>
              <w:right w:val="nil"/>
            </w:tcBorders>
            <w:shd w:val="clear" w:color="auto" w:fill="auto"/>
          </w:tcPr>
          <w:p w14:paraId="60D47599" w14:textId="77777777" w:rsidR="00F02481" w:rsidRPr="00BE78CA" w:rsidRDefault="00F02481" w:rsidP="00C26084">
            <w:pPr>
              <w:pStyle w:val="TableText"/>
              <w:spacing w:before="50" w:after="50"/>
              <w:jc w:val="right"/>
              <w:rPr>
                <w:rFonts w:cs="Calibri"/>
                <w:szCs w:val="16"/>
              </w:rPr>
            </w:pPr>
          </w:p>
        </w:tc>
        <w:tc>
          <w:tcPr>
            <w:tcW w:w="851" w:type="dxa"/>
            <w:tcBorders>
              <w:top w:val="single" w:sz="4" w:space="0" w:color="365F91"/>
              <w:left w:val="nil"/>
              <w:bottom w:val="single" w:sz="4" w:space="0" w:color="365F91"/>
              <w:right w:val="nil"/>
            </w:tcBorders>
            <w:shd w:val="clear" w:color="auto" w:fill="auto"/>
          </w:tcPr>
          <w:p w14:paraId="51B0583B" w14:textId="77777777" w:rsidR="00F02481" w:rsidRPr="00BE78CA" w:rsidRDefault="00F02481" w:rsidP="00C26084">
            <w:pPr>
              <w:pStyle w:val="TableText"/>
              <w:spacing w:before="50" w:after="50"/>
              <w:jc w:val="right"/>
              <w:rPr>
                <w:rFonts w:cs="Calibri"/>
                <w:szCs w:val="16"/>
              </w:rPr>
            </w:pPr>
          </w:p>
        </w:tc>
        <w:tc>
          <w:tcPr>
            <w:tcW w:w="851" w:type="dxa"/>
            <w:tcBorders>
              <w:top w:val="single" w:sz="4" w:space="0" w:color="365F91"/>
              <w:left w:val="nil"/>
              <w:bottom w:val="single" w:sz="4" w:space="0" w:color="365F91"/>
              <w:right w:val="nil"/>
            </w:tcBorders>
            <w:shd w:val="clear" w:color="auto" w:fill="auto"/>
          </w:tcPr>
          <w:p w14:paraId="7535AD9E" w14:textId="77777777" w:rsidR="00F02481" w:rsidRPr="00BE78CA" w:rsidRDefault="00F02481" w:rsidP="00C26084">
            <w:pPr>
              <w:pStyle w:val="TableText"/>
              <w:spacing w:before="50" w:after="50"/>
              <w:jc w:val="right"/>
              <w:rPr>
                <w:rFonts w:cs="Calibri"/>
                <w:szCs w:val="16"/>
              </w:rPr>
            </w:pPr>
          </w:p>
        </w:tc>
        <w:tc>
          <w:tcPr>
            <w:tcW w:w="851" w:type="dxa"/>
            <w:tcBorders>
              <w:top w:val="single" w:sz="4" w:space="0" w:color="365F91"/>
              <w:left w:val="nil"/>
              <w:bottom w:val="single" w:sz="4" w:space="0" w:color="365F91"/>
              <w:right w:val="nil"/>
            </w:tcBorders>
            <w:shd w:val="clear" w:color="auto" w:fill="auto"/>
          </w:tcPr>
          <w:p w14:paraId="27526C9A" w14:textId="77777777" w:rsidR="00F02481" w:rsidRPr="00BE78CA" w:rsidRDefault="00F02481" w:rsidP="00C26084">
            <w:pPr>
              <w:pStyle w:val="TableText"/>
              <w:spacing w:before="50" w:after="50"/>
              <w:jc w:val="right"/>
              <w:rPr>
                <w:rFonts w:cs="Calibri"/>
                <w:szCs w:val="16"/>
              </w:rPr>
            </w:pPr>
          </w:p>
        </w:tc>
      </w:tr>
      <w:tr w:rsidR="00F02481" w:rsidRPr="00BE78CA" w14:paraId="0AF65157" w14:textId="77777777" w:rsidTr="00477DE6">
        <w:tc>
          <w:tcPr>
            <w:tcW w:w="2098" w:type="dxa"/>
            <w:tcBorders>
              <w:top w:val="single" w:sz="4" w:space="0" w:color="365F91"/>
              <w:left w:val="nil"/>
              <w:bottom w:val="single" w:sz="4" w:space="0" w:color="365F91"/>
              <w:right w:val="nil"/>
            </w:tcBorders>
            <w:shd w:val="clear" w:color="auto" w:fill="auto"/>
          </w:tcPr>
          <w:p w14:paraId="187465BB" w14:textId="77777777" w:rsidR="00F02481" w:rsidRPr="00BE78CA" w:rsidRDefault="00F02481" w:rsidP="00C26084">
            <w:pPr>
              <w:pStyle w:val="TableText"/>
              <w:spacing w:before="50" w:after="50"/>
              <w:rPr>
                <w:rFonts w:cs="Calibri"/>
                <w:szCs w:val="16"/>
              </w:rPr>
            </w:pPr>
            <w:r w:rsidRPr="00BE78CA">
              <w:rPr>
                <w:rFonts w:cs="Calibri"/>
                <w:szCs w:val="16"/>
              </w:rPr>
              <w:t>Dairy cattle dung</w:t>
            </w:r>
          </w:p>
        </w:tc>
        <w:tc>
          <w:tcPr>
            <w:tcW w:w="1814" w:type="dxa"/>
            <w:tcBorders>
              <w:top w:val="single" w:sz="4" w:space="0" w:color="365F91"/>
              <w:left w:val="nil"/>
              <w:bottom w:val="single" w:sz="4" w:space="0" w:color="365F91"/>
              <w:right w:val="nil"/>
            </w:tcBorders>
          </w:tcPr>
          <w:p w14:paraId="446F7640" w14:textId="77777777" w:rsidR="00F02481" w:rsidRPr="00BE78CA" w:rsidRDefault="00F02481" w:rsidP="00C26084">
            <w:pPr>
              <w:pStyle w:val="TableText"/>
              <w:spacing w:before="50" w:after="50"/>
              <w:rPr>
                <w:rFonts w:cs="Calibri"/>
                <w:szCs w:val="16"/>
              </w:rPr>
            </w:pPr>
            <w:r w:rsidRPr="00BE78CA">
              <w:rPr>
                <w:rFonts w:cs="Calibri"/>
                <w:szCs w:val="16"/>
              </w:rPr>
              <w:t>Flatland (0</w:t>
            </w:r>
            <w:r w:rsidRPr="00BE78CA">
              <w:rPr>
                <w:rFonts w:cs="Calibri"/>
                <w:szCs w:val="16"/>
                <w:vertAlign w:val="superscript"/>
              </w:rPr>
              <w:t>o</w:t>
            </w:r>
            <w:r w:rsidRPr="00BE78CA">
              <w:rPr>
                <w:rFonts w:cs="Calibri"/>
                <w:szCs w:val="16"/>
              </w:rPr>
              <w:t>)</w:t>
            </w:r>
          </w:p>
        </w:tc>
        <w:tc>
          <w:tcPr>
            <w:tcW w:w="851" w:type="dxa"/>
            <w:tcBorders>
              <w:top w:val="single" w:sz="4" w:space="0" w:color="365F91"/>
              <w:left w:val="nil"/>
              <w:bottom w:val="single" w:sz="4" w:space="0" w:color="365F91"/>
              <w:right w:val="nil"/>
            </w:tcBorders>
            <w:shd w:val="clear" w:color="auto" w:fill="auto"/>
          </w:tcPr>
          <w:p w14:paraId="03183B63" w14:textId="77777777" w:rsidR="00F02481" w:rsidRPr="00BE78CA" w:rsidRDefault="00F02481" w:rsidP="00C26084">
            <w:pPr>
              <w:pStyle w:val="TableText"/>
              <w:spacing w:before="50" w:after="50"/>
              <w:jc w:val="right"/>
              <w:rPr>
                <w:rFonts w:cs="Calibri"/>
                <w:szCs w:val="16"/>
              </w:rPr>
            </w:pPr>
            <w:r w:rsidRPr="00BE78CA">
              <w:rPr>
                <w:rFonts w:cs="Calibri"/>
                <w:szCs w:val="16"/>
              </w:rPr>
              <w:t>14</w:t>
            </w:r>
          </w:p>
        </w:tc>
        <w:tc>
          <w:tcPr>
            <w:tcW w:w="851" w:type="dxa"/>
            <w:tcBorders>
              <w:top w:val="single" w:sz="4" w:space="0" w:color="365F91"/>
              <w:left w:val="nil"/>
              <w:bottom w:val="single" w:sz="4" w:space="0" w:color="365F91"/>
              <w:right w:val="nil"/>
            </w:tcBorders>
            <w:shd w:val="clear" w:color="auto" w:fill="auto"/>
          </w:tcPr>
          <w:p w14:paraId="53AAF90A" w14:textId="77777777" w:rsidR="00F02481" w:rsidRPr="00BE78CA" w:rsidRDefault="00F02481" w:rsidP="00C26084">
            <w:pPr>
              <w:pStyle w:val="TableText"/>
              <w:spacing w:before="50" w:after="50"/>
              <w:jc w:val="right"/>
              <w:rPr>
                <w:rFonts w:cs="Calibri"/>
                <w:szCs w:val="16"/>
              </w:rPr>
            </w:pPr>
            <w:r w:rsidRPr="00BE78CA">
              <w:rPr>
                <w:rFonts w:cs="Calibri"/>
                <w:szCs w:val="16"/>
              </w:rPr>
              <w:t>34</w:t>
            </w:r>
          </w:p>
        </w:tc>
        <w:tc>
          <w:tcPr>
            <w:tcW w:w="851" w:type="dxa"/>
            <w:tcBorders>
              <w:top w:val="single" w:sz="4" w:space="0" w:color="365F91"/>
              <w:left w:val="nil"/>
              <w:bottom w:val="single" w:sz="4" w:space="0" w:color="365F91"/>
              <w:right w:val="nil"/>
            </w:tcBorders>
            <w:shd w:val="clear" w:color="auto" w:fill="auto"/>
          </w:tcPr>
          <w:p w14:paraId="6120D7B0" w14:textId="77777777" w:rsidR="00F02481" w:rsidRPr="00BE78CA" w:rsidRDefault="00F02481" w:rsidP="00C26084">
            <w:pPr>
              <w:pStyle w:val="TableText"/>
              <w:spacing w:before="50" w:after="50"/>
              <w:jc w:val="right"/>
              <w:rPr>
                <w:rFonts w:cs="Calibri"/>
                <w:szCs w:val="16"/>
              </w:rPr>
            </w:pPr>
            <w:r w:rsidRPr="00BE78CA">
              <w:rPr>
                <w:rFonts w:cs="Calibri"/>
                <w:szCs w:val="16"/>
              </w:rPr>
              <w:t>36</w:t>
            </w:r>
          </w:p>
        </w:tc>
        <w:tc>
          <w:tcPr>
            <w:tcW w:w="851" w:type="dxa"/>
            <w:tcBorders>
              <w:top w:val="single" w:sz="4" w:space="0" w:color="365F91"/>
              <w:left w:val="nil"/>
              <w:bottom w:val="single" w:sz="4" w:space="0" w:color="365F91"/>
              <w:right w:val="nil"/>
            </w:tcBorders>
            <w:shd w:val="clear" w:color="auto" w:fill="auto"/>
          </w:tcPr>
          <w:p w14:paraId="43FF70BA" w14:textId="77777777" w:rsidR="00F02481" w:rsidRPr="00BE78CA" w:rsidRDefault="00F02481" w:rsidP="00C26084">
            <w:pPr>
              <w:pStyle w:val="TableText"/>
              <w:spacing w:before="50" w:after="50"/>
              <w:jc w:val="right"/>
              <w:rPr>
                <w:rFonts w:cs="Calibri"/>
                <w:szCs w:val="16"/>
              </w:rPr>
            </w:pPr>
          </w:p>
        </w:tc>
        <w:tc>
          <w:tcPr>
            <w:tcW w:w="851" w:type="dxa"/>
            <w:tcBorders>
              <w:top w:val="single" w:sz="4" w:space="0" w:color="365F91"/>
              <w:left w:val="nil"/>
              <w:bottom w:val="single" w:sz="4" w:space="0" w:color="365F91"/>
              <w:right w:val="nil"/>
            </w:tcBorders>
            <w:shd w:val="clear" w:color="auto" w:fill="auto"/>
          </w:tcPr>
          <w:p w14:paraId="399457BA" w14:textId="77777777" w:rsidR="00F02481" w:rsidRPr="00BE78CA" w:rsidRDefault="00F02481" w:rsidP="00C26084">
            <w:pPr>
              <w:pStyle w:val="TableText"/>
              <w:spacing w:before="50" w:after="50"/>
              <w:jc w:val="right"/>
              <w:rPr>
                <w:rFonts w:cs="Calibri"/>
                <w:szCs w:val="16"/>
              </w:rPr>
            </w:pPr>
            <w:r w:rsidRPr="00BE78CA">
              <w:rPr>
                <w:rFonts w:cs="Calibri"/>
                <w:szCs w:val="16"/>
              </w:rPr>
              <w:t>84</w:t>
            </w:r>
          </w:p>
        </w:tc>
      </w:tr>
      <w:tr w:rsidR="00F02481" w:rsidRPr="00BE78CA" w14:paraId="59674527" w14:textId="77777777" w:rsidTr="00477DE6">
        <w:tc>
          <w:tcPr>
            <w:tcW w:w="2098" w:type="dxa"/>
            <w:tcBorders>
              <w:top w:val="single" w:sz="4" w:space="0" w:color="365F91"/>
              <w:left w:val="nil"/>
              <w:bottom w:val="single" w:sz="4" w:space="0" w:color="365F91"/>
              <w:right w:val="nil"/>
            </w:tcBorders>
            <w:shd w:val="clear" w:color="auto" w:fill="auto"/>
          </w:tcPr>
          <w:p w14:paraId="269B371F" w14:textId="77777777" w:rsidR="00F02481" w:rsidRPr="00BE78CA" w:rsidRDefault="00F02481" w:rsidP="00C26084">
            <w:pPr>
              <w:pStyle w:val="TableText"/>
              <w:spacing w:before="50" w:after="50"/>
              <w:jc w:val="right"/>
              <w:rPr>
                <w:rFonts w:cs="Calibri"/>
                <w:szCs w:val="16"/>
              </w:rPr>
            </w:pPr>
          </w:p>
        </w:tc>
        <w:tc>
          <w:tcPr>
            <w:tcW w:w="1814" w:type="dxa"/>
            <w:tcBorders>
              <w:top w:val="single" w:sz="4" w:space="0" w:color="365F91"/>
              <w:left w:val="nil"/>
              <w:bottom w:val="single" w:sz="4" w:space="0" w:color="365F91"/>
              <w:right w:val="nil"/>
            </w:tcBorders>
          </w:tcPr>
          <w:p w14:paraId="2B9E62CD" w14:textId="77777777" w:rsidR="00F02481" w:rsidRPr="00BE78CA" w:rsidRDefault="00F02481" w:rsidP="00C26084">
            <w:pPr>
              <w:pStyle w:val="TableText"/>
              <w:spacing w:before="50" w:after="50"/>
              <w:rPr>
                <w:rFonts w:cs="Calibri"/>
                <w:szCs w:val="16"/>
              </w:rPr>
            </w:pPr>
            <w:r w:rsidRPr="00BE78CA">
              <w:rPr>
                <w:rFonts w:cs="Calibri"/>
                <w:szCs w:val="16"/>
              </w:rPr>
              <w:t>Low slope (0–12</w:t>
            </w:r>
            <w:r w:rsidRPr="00BE78CA">
              <w:rPr>
                <w:rFonts w:cs="Calibri"/>
                <w:szCs w:val="16"/>
                <w:vertAlign w:val="superscript"/>
              </w:rPr>
              <w:t>o</w:t>
            </w:r>
            <w:r w:rsidRPr="00BE78CA">
              <w:rPr>
                <w:rFonts w:cs="Calibri"/>
                <w:szCs w:val="16"/>
              </w:rPr>
              <w:t>)</w:t>
            </w:r>
          </w:p>
        </w:tc>
        <w:tc>
          <w:tcPr>
            <w:tcW w:w="851" w:type="dxa"/>
            <w:tcBorders>
              <w:top w:val="single" w:sz="4" w:space="0" w:color="365F91"/>
              <w:left w:val="nil"/>
              <w:bottom w:val="single" w:sz="4" w:space="0" w:color="365F91"/>
              <w:right w:val="nil"/>
            </w:tcBorders>
            <w:shd w:val="clear" w:color="auto" w:fill="auto"/>
          </w:tcPr>
          <w:p w14:paraId="76411156" w14:textId="77777777" w:rsidR="00F02481" w:rsidRPr="00BE78CA" w:rsidRDefault="00F02481" w:rsidP="00C26084">
            <w:pPr>
              <w:pStyle w:val="TableText"/>
              <w:spacing w:before="50" w:after="50"/>
              <w:jc w:val="right"/>
              <w:rPr>
                <w:rFonts w:cs="Calibri"/>
                <w:szCs w:val="16"/>
              </w:rPr>
            </w:pPr>
          </w:p>
        </w:tc>
        <w:tc>
          <w:tcPr>
            <w:tcW w:w="851" w:type="dxa"/>
            <w:tcBorders>
              <w:top w:val="single" w:sz="4" w:space="0" w:color="365F91"/>
              <w:left w:val="nil"/>
              <w:bottom w:val="single" w:sz="4" w:space="0" w:color="365F91"/>
              <w:right w:val="nil"/>
            </w:tcBorders>
            <w:shd w:val="clear" w:color="auto" w:fill="auto"/>
          </w:tcPr>
          <w:p w14:paraId="3942F94B" w14:textId="77777777" w:rsidR="00F02481" w:rsidRPr="00BE78CA" w:rsidRDefault="00F02481" w:rsidP="00C26084">
            <w:pPr>
              <w:pStyle w:val="TableText"/>
              <w:spacing w:before="50" w:after="50"/>
              <w:jc w:val="right"/>
              <w:rPr>
                <w:rFonts w:cs="Calibri"/>
                <w:szCs w:val="16"/>
              </w:rPr>
            </w:pPr>
            <w:r w:rsidRPr="00BE78CA">
              <w:rPr>
                <w:rFonts w:cs="Calibri"/>
                <w:szCs w:val="16"/>
              </w:rPr>
              <w:t>26</w:t>
            </w:r>
          </w:p>
        </w:tc>
        <w:tc>
          <w:tcPr>
            <w:tcW w:w="851" w:type="dxa"/>
            <w:tcBorders>
              <w:top w:val="single" w:sz="4" w:space="0" w:color="365F91"/>
              <w:left w:val="nil"/>
              <w:bottom w:val="single" w:sz="4" w:space="0" w:color="365F91"/>
              <w:right w:val="nil"/>
            </w:tcBorders>
            <w:shd w:val="clear" w:color="auto" w:fill="auto"/>
          </w:tcPr>
          <w:p w14:paraId="59627F32" w14:textId="77777777" w:rsidR="00F02481" w:rsidRPr="00BE78CA" w:rsidRDefault="00F02481" w:rsidP="00C26084">
            <w:pPr>
              <w:pStyle w:val="TableText"/>
              <w:spacing w:before="50" w:after="50"/>
              <w:jc w:val="right"/>
              <w:rPr>
                <w:rFonts w:cs="Calibri"/>
                <w:szCs w:val="16"/>
              </w:rPr>
            </w:pPr>
          </w:p>
        </w:tc>
        <w:tc>
          <w:tcPr>
            <w:tcW w:w="851" w:type="dxa"/>
            <w:tcBorders>
              <w:top w:val="single" w:sz="4" w:space="0" w:color="365F91"/>
              <w:left w:val="nil"/>
              <w:bottom w:val="single" w:sz="4" w:space="0" w:color="365F91"/>
              <w:right w:val="nil"/>
            </w:tcBorders>
            <w:shd w:val="clear" w:color="auto" w:fill="auto"/>
          </w:tcPr>
          <w:p w14:paraId="32B68FE9" w14:textId="77777777" w:rsidR="00F02481" w:rsidRPr="00BE78CA" w:rsidRDefault="00F02481" w:rsidP="00C26084">
            <w:pPr>
              <w:pStyle w:val="TableText"/>
              <w:spacing w:before="50" w:after="50"/>
              <w:jc w:val="right"/>
              <w:rPr>
                <w:rFonts w:cs="Calibri"/>
                <w:szCs w:val="16"/>
              </w:rPr>
            </w:pPr>
            <w:r w:rsidRPr="00BE78CA">
              <w:rPr>
                <w:rFonts w:cs="Calibri"/>
                <w:szCs w:val="16"/>
              </w:rPr>
              <w:t>20</w:t>
            </w:r>
          </w:p>
        </w:tc>
        <w:tc>
          <w:tcPr>
            <w:tcW w:w="851" w:type="dxa"/>
            <w:tcBorders>
              <w:top w:val="single" w:sz="4" w:space="0" w:color="365F91"/>
              <w:left w:val="nil"/>
              <w:bottom w:val="single" w:sz="4" w:space="0" w:color="365F91"/>
              <w:right w:val="nil"/>
            </w:tcBorders>
            <w:shd w:val="clear" w:color="auto" w:fill="auto"/>
          </w:tcPr>
          <w:p w14:paraId="20BBA2F5" w14:textId="77777777" w:rsidR="00F02481" w:rsidRPr="00BE78CA" w:rsidRDefault="00F02481" w:rsidP="00C26084">
            <w:pPr>
              <w:pStyle w:val="TableText"/>
              <w:spacing w:before="50" w:after="50"/>
              <w:jc w:val="right"/>
              <w:rPr>
                <w:rFonts w:cs="Calibri"/>
                <w:szCs w:val="16"/>
              </w:rPr>
            </w:pPr>
            <w:r w:rsidRPr="00BE78CA">
              <w:rPr>
                <w:rFonts w:cs="Calibri"/>
                <w:szCs w:val="16"/>
              </w:rPr>
              <w:t>46</w:t>
            </w:r>
          </w:p>
        </w:tc>
      </w:tr>
      <w:tr w:rsidR="00F02481" w:rsidRPr="00BE78CA" w14:paraId="58CBB1F6" w14:textId="77777777" w:rsidTr="00477DE6">
        <w:tc>
          <w:tcPr>
            <w:tcW w:w="2098" w:type="dxa"/>
            <w:tcBorders>
              <w:top w:val="single" w:sz="4" w:space="0" w:color="365F91"/>
              <w:left w:val="nil"/>
              <w:bottom w:val="single" w:sz="4" w:space="0" w:color="365F91"/>
              <w:right w:val="nil"/>
            </w:tcBorders>
            <w:shd w:val="clear" w:color="auto" w:fill="auto"/>
          </w:tcPr>
          <w:p w14:paraId="69D4D330" w14:textId="77777777" w:rsidR="00F02481" w:rsidRPr="00BE78CA" w:rsidRDefault="00F02481" w:rsidP="00C26084">
            <w:pPr>
              <w:pStyle w:val="TableText"/>
              <w:spacing w:before="50" w:after="50"/>
              <w:jc w:val="right"/>
              <w:rPr>
                <w:rFonts w:cs="Calibri"/>
                <w:szCs w:val="16"/>
              </w:rPr>
            </w:pPr>
          </w:p>
        </w:tc>
        <w:tc>
          <w:tcPr>
            <w:tcW w:w="1814" w:type="dxa"/>
            <w:tcBorders>
              <w:top w:val="single" w:sz="4" w:space="0" w:color="365F91"/>
              <w:left w:val="nil"/>
              <w:bottom w:val="single" w:sz="4" w:space="0" w:color="365F91"/>
              <w:right w:val="nil"/>
            </w:tcBorders>
          </w:tcPr>
          <w:p w14:paraId="24B6D977" w14:textId="77777777" w:rsidR="00F02481" w:rsidRPr="00BE78CA" w:rsidRDefault="00F02481" w:rsidP="00C26084">
            <w:pPr>
              <w:pStyle w:val="TableText"/>
              <w:spacing w:before="50" w:after="50"/>
              <w:rPr>
                <w:rFonts w:cs="Calibri"/>
                <w:szCs w:val="16"/>
              </w:rPr>
            </w:pPr>
            <w:r w:rsidRPr="00BE78CA">
              <w:rPr>
                <w:rFonts w:cs="Calibri"/>
                <w:szCs w:val="16"/>
              </w:rPr>
              <w:t>Medium slope (12–24</w:t>
            </w:r>
            <w:r w:rsidRPr="00BE78CA">
              <w:rPr>
                <w:rFonts w:cs="Calibri"/>
                <w:szCs w:val="16"/>
                <w:vertAlign w:val="superscript"/>
              </w:rPr>
              <w:t>o</w:t>
            </w:r>
            <w:r w:rsidRPr="00BE78CA">
              <w:rPr>
                <w:rFonts w:cs="Calibri"/>
                <w:szCs w:val="16"/>
              </w:rPr>
              <w:t>)</w:t>
            </w:r>
          </w:p>
        </w:tc>
        <w:tc>
          <w:tcPr>
            <w:tcW w:w="851" w:type="dxa"/>
            <w:tcBorders>
              <w:top w:val="single" w:sz="4" w:space="0" w:color="365F91"/>
              <w:left w:val="nil"/>
              <w:bottom w:val="single" w:sz="4" w:space="0" w:color="365F91"/>
              <w:right w:val="nil"/>
            </w:tcBorders>
            <w:shd w:val="clear" w:color="auto" w:fill="auto"/>
          </w:tcPr>
          <w:p w14:paraId="15C17BD5" w14:textId="77777777" w:rsidR="00F02481" w:rsidRPr="00BE78CA" w:rsidRDefault="00F02481" w:rsidP="00C26084">
            <w:pPr>
              <w:pStyle w:val="TableText"/>
              <w:spacing w:before="50" w:after="50"/>
              <w:jc w:val="right"/>
              <w:rPr>
                <w:rFonts w:cs="Calibri"/>
                <w:szCs w:val="16"/>
              </w:rPr>
            </w:pPr>
          </w:p>
        </w:tc>
        <w:tc>
          <w:tcPr>
            <w:tcW w:w="851" w:type="dxa"/>
            <w:tcBorders>
              <w:top w:val="single" w:sz="4" w:space="0" w:color="365F91"/>
              <w:left w:val="nil"/>
              <w:bottom w:val="single" w:sz="4" w:space="0" w:color="365F91"/>
              <w:right w:val="nil"/>
            </w:tcBorders>
            <w:shd w:val="clear" w:color="auto" w:fill="auto"/>
          </w:tcPr>
          <w:p w14:paraId="3AB84670" w14:textId="77777777" w:rsidR="00F02481" w:rsidRPr="00BE78CA" w:rsidRDefault="00F02481" w:rsidP="00C26084">
            <w:pPr>
              <w:pStyle w:val="TableText"/>
              <w:spacing w:before="50" w:after="50"/>
              <w:jc w:val="right"/>
              <w:rPr>
                <w:rFonts w:cs="Calibri"/>
                <w:szCs w:val="16"/>
              </w:rPr>
            </w:pPr>
            <w:r w:rsidRPr="00BE78CA">
              <w:rPr>
                <w:rFonts w:cs="Calibri"/>
                <w:szCs w:val="16"/>
              </w:rPr>
              <w:t>20</w:t>
            </w:r>
          </w:p>
        </w:tc>
        <w:tc>
          <w:tcPr>
            <w:tcW w:w="851" w:type="dxa"/>
            <w:tcBorders>
              <w:top w:val="single" w:sz="4" w:space="0" w:color="365F91"/>
              <w:left w:val="nil"/>
              <w:bottom w:val="single" w:sz="4" w:space="0" w:color="365F91"/>
              <w:right w:val="nil"/>
            </w:tcBorders>
            <w:shd w:val="clear" w:color="auto" w:fill="auto"/>
          </w:tcPr>
          <w:p w14:paraId="4A730909" w14:textId="77777777" w:rsidR="00F02481" w:rsidRPr="00BE78CA" w:rsidRDefault="00F02481" w:rsidP="00C26084">
            <w:pPr>
              <w:pStyle w:val="TableText"/>
              <w:spacing w:before="50" w:after="50"/>
              <w:jc w:val="right"/>
              <w:rPr>
                <w:rFonts w:cs="Calibri"/>
                <w:szCs w:val="16"/>
              </w:rPr>
            </w:pPr>
          </w:p>
        </w:tc>
        <w:tc>
          <w:tcPr>
            <w:tcW w:w="851" w:type="dxa"/>
            <w:tcBorders>
              <w:top w:val="single" w:sz="4" w:space="0" w:color="365F91"/>
              <w:left w:val="nil"/>
              <w:bottom w:val="single" w:sz="4" w:space="0" w:color="365F91"/>
              <w:right w:val="nil"/>
            </w:tcBorders>
            <w:shd w:val="clear" w:color="auto" w:fill="auto"/>
          </w:tcPr>
          <w:p w14:paraId="3A2E69A6" w14:textId="77777777" w:rsidR="00F02481" w:rsidRPr="00BE78CA" w:rsidRDefault="00F02481" w:rsidP="00C26084">
            <w:pPr>
              <w:pStyle w:val="TableText"/>
              <w:spacing w:before="50" w:after="50"/>
              <w:jc w:val="right"/>
              <w:rPr>
                <w:rFonts w:cs="Calibri"/>
                <w:szCs w:val="16"/>
              </w:rPr>
            </w:pPr>
          </w:p>
        </w:tc>
        <w:tc>
          <w:tcPr>
            <w:tcW w:w="851" w:type="dxa"/>
            <w:tcBorders>
              <w:top w:val="single" w:sz="4" w:space="0" w:color="365F91"/>
              <w:left w:val="nil"/>
              <w:bottom w:val="single" w:sz="4" w:space="0" w:color="365F91"/>
              <w:right w:val="nil"/>
            </w:tcBorders>
            <w:shd w:val="clear" w:color="auto" w:fill="auto"/>
          </w:tcPr>
          <w:p w14:paraId="2197D4CE" w14:textId="77777777" w:rsidR="00F02481" w:rsidRPr="00BE78CA" w:rsidRDefault="00F02481" w:rsidP="00C26084">
            <w:pPr>
              <w:pStyle w:val="TableText"/>
              <w:spacing w:before="50" w:after="50"/>
              <w:jc w:val="right"/>
              <w:rPr>
                <w:rFonts w:cs="Calibri"/>
                <w:szCs w:val="16"/>
              </w:rPr>
            </w:pPr>
            <w:r w:rsidRPr="00BE78CA">
              <w:rPr>
                <w:rFonts w:cs="Calibri"/>
                <w:szCs w:val="16"/>
              </w:rPr>
              <w:t>20</w:t>
            </w:r>
          </w:p>
        </w:tc>
      </w:tr>
      <w:tr w:rsidR="00F02481" w:rsidRPr="00BE78CA" w14:paraId="1C9F0824" w14:textId="77777777" w:rsidTr="00477DE6">
        <w:tc>
          <w:tcPr>
            <w:tcW w:w="2098" w:type="dxa"/>
            <w:tcBorders>
              <w:top w:val="single" w:sz="4" w:space="0" w:color="365F91"/>
              <w:left w:val="nil"/>
              <w:bottom w:val="single" w:sz="4" w:space="0" w:color="365F91"/>
              <w:right w:val="nil"/>
            </w:tcBorders>
            <w:shd w:val="clear" w:color="auto" w:fill="auto"/>
          </w:tcPr>
          <w:p w14:paraId="1976FD04" w14:textId="77777777" w:rsidR="00F02481" w:rsidRPr="00BE78CA" w:rsidRDefault="00F02481" w:rsidP="00C26084">
            <w:pPr>
              <w:pStyle w:val="TableText"/>
              <w:spacing w:before="50" w:after="50"/>
              <w:jc w:val="right"/>
              <w:rPr>
                <w:rFonts w:cs="Calibri"/>
                <w:szCs w:val="16"/>
              </w:rPr>
            </w:pPr>
          </w:p>
        </w:tc>
        <w:tc>
          <w:tcPr>
            <w:tcW w:w="1814" w:type="dxa"/>
            <w:tcBorders>
              <w:top w:val="single" w:sz="4" w:space="0" w:color="365F91"/>
              <w:left w:val="nil"/>
              <w:bottom w:val="single" w:sz="4" w:space="0" w:color="365F91"/>
              <w:right w:val="nil"/>
            </w:tcBorders>
          </w:tcPr>
          <w:p w14:paraId="04D54358" w14:textId="77777777" w:rsidR="00F02481" w:rsidRPr="00BE78CA" w:rsidRDefault="00F02481" w:rsidP="00C26084">
            <w:pPr>
              <w:pStyle w:val="TableText"/>
              <w:spacing w:before="50" w:after="50"/>
              <w:rPr>
                <w:rFonts w:cs="Calibri"/>
                <w:szCs w:val="16"/>
              </w:rPr>
            </w:pPr>
            <w:r w:rsidRPr="00BE78CA">
              <w:rPr>
                <w:rFonts w:cs="Calibri"/>
                <w:szCs w:val="16"/>
              </w:rPr>
              <w:t>Steep slope (&gt;24</w:t>
            </w:r>
            <w:r w:rsidRPr="00BE78CA">
              <w:rPr>
                <w:rFonts w:cs="Calibri"/>
                <w:szCs w:val="16"/>
                <w:vertAlign w:val="superscript"/>
              </w:rPr>
              <w:t>o</w:t>
            </w:r>
            <w:r w:rsidRPr="00BE78CA">
              <w:rPr>
                <w:rFonts w:cs="Calibri"/>
                <w:szCs w:val="16"/>
              </w:rPr>
              <w:t>)</w:t>
            </w:r>
          </w:p>
        </w:tc>
        <w:tc>
          <w:tcPr>
            <w:tcW w:w="851" w:type="dxa"/>
            <w:tcBorders>
              <w:top w:val="single" w:sz="4" w:space="0" w:color="365F91"/>
              <w:left w:val="nil"/>
              <w:bottom w:val="single" w:sz="4" w:space="0" w:color="365F91"/>
              <w:right w:val="nil"/>
            </w:tcBorders>
            <w:shd w:val="clear" w:color="auto" w:fill="auto"/>
          </w:tcPr>
          <w:p w14:paraId="048545FD" w14:textId="77777777" w:rsidR="00F02481" w:rsidRPr="00BE78CA" w:rsidRDefault="00F02481" w:rsidP="00C26084">
            <w:pPr>
              <w:pStyle w:val="TableText"/>
              <w:spacing w:before="50" w:after="50"/>
              <w:jc w:val="right"/>
              <w:rPr>
                <w:rFonts w:cs="Calibri"/>
                <w:szCs w:val="16"/>
              </w:rPr>
            </w:pPr>
          </w:p>
        </w:tc>
        <w:tc>
          <w:tcPr>
            <w:tcW w:w="851" w:type="dxa"/>
            <w:tcBorders>
              <w:top w:val="single" w:sz="4" w:space="0" w:color="365F91"/>
              <w:left w:val="nil"/>
              <w:bottom w:val="single" w:sz="4" w:space="0" w:color="365F91"/>
              <w:right w:val="nil"/>
            </w:tcBorders>
            <w:shd w:val="clear" w:color="auto" w:fill="auto"/>
          </w:tcPr>
          <w:p w14:paraId="07DAA52C" w14:textId="77777777" w:rsidR="00F02481" w:rsidRPr="00BE78CA" w:rsidRDefault="00F02481" w:rsidP="00C26084">
            <w:pPr>
              <w:pStyle w:val="TableText"/>
              <w:spacing w:before="50" w:after="50"/>
              <w:jc w:val="right"/>
              <w:rPr>
                <w:rFonts w:cs="Calibri"/>
                <w:szCs w:val="16"/>
              </w:rPr>
            </w:pPr>
          </w:p>
        </w:tc>
        <w:tc>
          <w:tcPr>
            <w:tcW w:w="851" w:type="dxa"/>
            <w:tcBorders>
              <w:top w:val="single" w:sz="4" w:space="0" w:color="365F91"/>
              <w:left w:val="nil"/>
              <w:bottom w:val="single" w:sz="4" w:space="0" w:color="365F91"/>
              <w:right w:val="nil"/>
            </w:tcBorders>
            <w:shd w:val="clear" w:color="auto" w:fill="auto"/>
          </w:tcPr>
          <w:p w14:paraId="69FF4D8B" w14:textId="77777777" w:rsidR="00F02481" w:rsidRPr="00BE78CA" w:rsidRDefault="00F02481" w:rsidP="00C26084">
            <w:pPr>
              <w:pStyle w:val="TableText"/>
              <w:spacing w:before="50" w:after="50"/>
              <w:jc w:val="right"/>
              <w:rPr>
                <w:rFonts w:cs="Calibri"/>
                <w:szCs w:val="16"/>
              </w:rPr>
            </w:pPr>
          </w:p>
        </w:tc>
        <w:tc>
          <w:tcPr>
            <w:tcW w:w="851" w:type="dxa"/>
            <w:tcBorders>
              <w:top w:val="single" w:sz="4" w:space="0" w:color="365F91"/>
              <w:left w:val="nil"/>
              <w:bottom w:val="single" w:sz="4" w:space="0" w:color="365F91"/>
              <w:right w:val="nil"/>
            </w:tcBorders>
            <w:shd w:val="clear" w:color="auto" w:fill="auto"/>
          </w:tcPr>
          <w:p w14:paraId="024EAF0F" w14:textId="77777777" w:rsidR="00F02481" w:rsidRPr="00BE78CA" w:rsidRDefault="00F02481" w:rsidP="00C26084">
            <w:pPr>
              <w:pStyle w:val="TableText"/>
              <w:spacing w:before="50" w:after="50"/>
              <w:jc w:val="right"/>
              <w:rPr>
                <w:rFonts w:cs="Calibri"/>
                <w:szCs w:val="16"/>
              </w:rPr>
            </w:pPr>
          </w:p>
        </w:tc>
        <w:tc>
          <w:tcPr>
            <w:tcW w:w="851" w:type="dxa"/>
            <w:tcBorders>
              <w:top w:val="single" w:sz="4" w:space="0" w:color="365F91"/>
              <w:left w:val="nil"/>
              <w:bottom w:val="single" w:sz="4" w:space="0" w:color="365F91"/>
              <w:right w:val="nil"/>
            </w:tcBorders>
            <w:shd w:val="clear" w:color="auto" w:fill="auto"/>
          </w:tcPr>
          <w:p w14:paraId="1F9E7299" w14:textId="77777777" w:rsidR="00F02481" w:rsidRPr="00BE78CA" w:rsidRDefault="00F02481" w:rsidP="00C26084">
            <w:pPr>
              <w:pStyle w:val="TableText"/>
              <w:spacing w:before="50" w:after="50"/>
              <w:jc w:val="right"/>
              <w:rPr>
                <w:rFonts w:cs="Calibri"/>
                <w:szCs w:val="16"/>
              </w:rPr>
            </w:pPr>
          </w:p>
        </w:tc>
      </w:tr>
      <w:tr w:rsidR="00F02481" w:rsidRPr="00BE78CA" w14:paraId="1641BE23" w14:textId="77777777" w:rsidTr="00477DE6">
        <w:tc>
          <w:tcPr>
            <w:tcW w:w="2098" w:type="dxa"/>
            <w:tcBorders>
              <w:top w:val="single" w:sz="4" w:space="0" w:color="365F91"/>
              <w:left w:val="nil"/>
              <w:bottom w:val="single" w:sz="4" w:space="0" w:color="365F91"/>
              <w:right w:val="nil"/>
            </w:tcBorders>
            <w:shd w:val="clear" w:color="auto" w:fill="auto"/>
          </w:tcPr>
          <w:p w14:paraId="1C080C2C" w14:textId="28E1C24B" w:rsidR="00F02481" w:rsidRPr="00BE78CA" w:rsidRDefault="00D518ED" w:rsidP="00C26084">
            <w:pPr>
              <w:pStyle w:val="TableText"/>
              <w:spacing w:before="50" w:after="50"/>
              <w:rPr>
                <w:rFonts w:cs="Calibri"/>
                <w:szCs w:val="16"/>
              </w:rPr>
            </w:pPr>
            <w:r w:rsidRPr="00BE78CA">
              <w:rPr>
                <w:rFonts w:cs="Calibri"/>
                <w:szCs w:val="16"/>
              </w:rPr>
              <w:t>B</w:t>
            </w:r>
            <w:r w:rsidR="00F02481" w:rsidRPr="00BE78CA">
              <w:rPr>
                <w:rFonts w:cs="Calibri"/>
                <w:szCs w:val="16"/>
              </w:rPr>
              <w:t>eef cattle urine</w:t>
            </w:r>
          </w:p>
        </w:tc>
        <w:tc>
          <w:tcPr>
            <w:tcW w:w="1814" w:type="dxa"/>
            <w:tcBorders>
              <w:top w:val="single" w:sz="4" w:space="0" w:color="365F91"/>
              <w:left w:val="nil"/>
              <w:bottom w:val="single" w:sz="4" w:space="0" w:color="365F91"/>
              <w:right w:val="nil"/>
            </w:tcBorders>
          </w:tcPr>
          <w:p w14:paraId="7BC7A535" w14:textId="77777777" w:rsidR="00F02481" w:rsidRPr="00BE78CA" w:rsidRDefault="00F02481" w:rsidP="00C26084">
            <w:pPr>
              <w:pStyle w:val="TableText"/>
              <w:spacing w:before="50" w:after="50"/>
              <w:rPr>
                <w:rFonts w:cs="Calibri"/>
                <w:szCs w:val="16"/>
              </w:rPr>
            </w:pPr>
            <w:r w:rsidRPr="00BE78CA">
              <w:rPr>
                <w:rFonts w:cs="Calibri"/>
                <w:szCs w:val="16"/>
              </w:rPr>
              <w:t>Flatland (0</w:t>
            </w:r>
            <w:r w:rsidRPr="00BE78CA">
              <w:rPr>
                <w:rFonts w:cs="Calibri"/>
                <w:szCs w:val="16"/>
                <w:vertAlign w:val="superscript"/>
              </w:rPr>
              <w:t>o</w:t>
            </w:r>
            <w:r w:rsidRPr="00BE78CA">
              <w:rPr>
                <w:rFonts w:cs="Calibri"/>
                <w:szCs w:val="16"/>
              </w:rPr>
              <w:t>)</w:t>
            </w:r>
          </w:p>
        </w:tc>
        <w:tc>
          <w:tcPr>
            <w:tcW w:w="851" w:type="dxa"/>
            <w:tcBorders>
              <w:top w:val="single" w:sz="4" w:space="0" w:color="365F91"/>
              <w:left w:val="nil"/>
              <w:bottom w:val="single" w:sz="4" w:space="0" w:color="365F91"/>
              <w:right w:val="nil"/>
            </w:tcBorders>
            <w:shd w:val="clear" w:color="auto" w:fill="auto"/>
          </w:tcPr>
          <w:p w14:paraId="3519EF6B" w14:textId="77777777" w:rsidR="00F02481" w:rsidRPr="00BE78CA" w:rsidRDefault="00F02481" w:rsidP="00C26084">
            <w:pPr>
              <w:pStyle w:val="TableText"/>
              <w:spacing w:before="50" w:after="50"/>
              <w:jc w:val="right"/>
              <w:rPr>
                <w:rFonts w:cs="Calibri"/>
                <w:szCs w:val="16"/>
              </w:rPr>
            </w:pPr>
          </w:p>
        </w:tc>
        <w:tc>
          <w:tcPr>
            <w:tcW w:w="851" w:type="dxa"/>
            <w:tcBorders>
              <w:top w:val="single" w:sz="4" w:space="0" w:color="365F91"/>
              <w:left w:val="nil"/>
              <w:bottom w:val="single" w:sz="4" w:space="0" w:color="365F91"/>
              <w:right w:val="nil"/>
            </w:tcBorders>
            <w:shd w:val="clear" w:color="auto" w:fill="auto"/>
          </w:tcPr>
          <w:p w14:paraId="3F02BDCE" w14:textId="77777777" w:rsidR="00F02481" w:rsidRPr="00BE78CA" w:rsidRDefault="00F02481" w:rsidP="00C26084">
            <w:pPr>
              <w:pStyle w:val="TableText"/>
              <w:spacing w:before="50" w:after="50"/>
              <w:jc w:val="right"/>
              <w:rPr>
                <w:rFonts w:cs="Calibri"/>
                <w:szCs w:val="16"/>
              </w:rPr>
            </w:pPr>
            <w:r w:rsidRPr="00BE78CA">
              <w:rPr>
                <w:rFonts w:cs="Calibri"/>
                <w:szCs w:val="16"/>
              </w:rPr>
              <w:t>8</w:t>
            </w:r>
          </w:p>
        </w:tc>
        <w:tc>
          <w:tcPr>
            <w:tcW w:w="851" w:type="dxa"/>
            <w:tcBorders>
              <w:top w:val="single" w:sz="4" w:space="0" w:color="365F91"/>
              <w:left w:val="nil"/>
              <w:bottom w:val="single" w:sz="4" w:space="0" w:color="365F91"/>
              <w:right w:val="nil"/>
            </w:tcBorders>
            <w:shd w:val="clear" w:color="auto" w:fill="auto"/>
          </w:tcPr>
          <w:p w14:paraId="67384AD2" w14:textId="77777777" w:rsidR="00F02481" w:rsidRPr="00BE78CA" w:rsidRDefault="00F02481" w:rsidP="00C26084">
            <w:pPr>
              <w:pStyle w:val="TableText"/>
              <w:spacing w:before="50" w:after="50"/>
              <w:jc w:val="right"/>
              <w:rPr>
                <w:rFonts w:cs="Calibri"/>
                <w:szCs w:val="16"/>
              </w:rPr>
            </w:pPr>
          </w:p>
        </w:tc>
        <w:tc>
          <w:tcPr>
            <w:tcW w:w="851" w:type="dxa"/>
            <w:tcBorders>
              <w:top w:val="single" w:sz="4" w:space="0" w:color="365F91"/>
              <w:left w:val="nil"/>
              <w:bottom w:val="single" w:sz="4" w:space="0" w:color="365F91"/>
              <w:right w:val="nil"/>
            </w:tcBorders>
            <w:shd w:val="clear" w:color="auto" w:fill="auto"/>
          </w:tcPr>
          <w:p w14:paraId="759B42F6" w14:textId="77777777" w:rsidR="00F02481" w:rsidRPr="00BE78CA" w:rsidRDefault="00F02481" w:rsidP="00C26084">
            <w:pPr>
              <w:pStyle w:val="TableText"/>
              <w:spacing w:before="50" w:after="50"/>
              <w:jc w:val="right"/>
              <w:rPr>
                <w:rFonts w:cs="Calibri"/>
                <w:szCs w:val="16"/>
              </w:rPr>
            </w:pPr>
          </w:p>
        </w:tc>
        <w:tc>
          <w:tcPr>
            <w:tcW w:w="851" w:type="dxa"/>
            <w:tcBorders>
              <w:top w:val="single" w:sz="4" w:space="0" w:color="365F91"/>
              <w:left w:val="nil"/>
              <w:bottom w:val="single" w:sz="4" w:space="0" w:color="365F91"/>
              <w:right w:val="nil"/>
            </w:tcBorders>
            <w:shd w:val="clear" w:color="auto" w:fill="auto"/>
          </w:tcPr>
          <w:p w14:paraId="6064CE0D" w14:textId="77777777" w:rsidR="00F02481" w:rsidRPr="00BE78CA" w:rsidRDefault="00F02481" w:rsidP="00C26084">
            <w:pPr>
              <w:pStyle w:val="TableText"/>
              <w:spacing w:before="50" w:after="50"/>
              <w:jc w:val="right"/>
              <w:rPr>
                <w:rFonts w:cs="Calibri"/>
                <w:szCs w:val="16"/>
              </w:rPr>
            </w:pPr>
            <w:r w:rsidRPr="00BE78CA">
              <w:rPr>
                <w:rFonts w:cs="Calibri"/>
                <w:szCs w:val="16"/>
              </w:rPr>
              <w:t>8</w:t>
            </w:r>
          </w:p>
        </w:tc>
      </w:tr>
      <w:tr w:rsidR="00F02481" w:rsidRPr="00BE78CA" w14:paraId="107C197F" w14:textId="77777777" w:rsidTr="00477DE6">
        <w:tc>
          <w:tcPr>
            <w:tcW w:w="2098" w:type="dxa"/>
            <w:tcBorders>
              <w:top w:val="single" w:sz="4" w:space="0" w:color="365F91"/>
              <w:left w:val="nil"/>
              <w:bottom w:val="single" w:sz="4" w:space="0" w:color="365F91"/>
              <w:right w:val="nil"/>
            </w:tcBorders>
            <w:shd w:val="clear" w:color="auto" w:fill="auto"/>
          </w:tcPr>
          <w:p w14:paraId="73281064" w14:textId="77777777" w:rsidR="00F02481" w:rsidRPr="00BE78CA" w:rsidRDefault="00F02481" w:rsidP="00C26084">
            <w:pPr>
              <w:pStyle w:val="TableText"/>
              <w:spacing w:before="50" w:after="50"/>
              <w:jc w:val="right"/>
              <w:rPr>
                <w:rFonts w:cs="Calibri"/>
                <w:szCs w:val="16"/>
              </w:rPr>
            </w:pPr>
          </w:p>
        </w:tc>
        <w:tc>
          <w:tcPr>
            <w:tcW w:w="1814" w:type="dxa"/>
            <w:tcBorders>
              <w:top w:val="single" w:sz="4" w:space="0" w:color="365F91"/>
              <w:left w:val="nil"/>
              <w:bottom w:val="single" w:sz="4" w:space="0" w:color="365F91"/>
              <w:right w:val="nil"/>
            </w:tcBorders>
          </w:tcPr>
          <w:p w14:paraId="6309B7B3" w14:textId="77777777" w:rsidR="00F02481" w:rsidRPr="00BE78CA" w:rsidRDefault="00F02481" w:rsidP="00C26084">
            <w:pPr>
              <w:pStyle w:val="TableText"/>
              <w:spacing w:before="50" w:after="50"/>
              <w:rPr>
                <w:rFonts w:cs="Calibri"/>
                <w:szCs w:val="16"/>
              </w:rPr>
            </w:pPr>
            <w:r w:rsidRPr="00BE78CA">
              <w:rPr>
                <w:rFonts w:cs="Calibri"/>
                <w:szCs w:val="16"/>
              </w:rPr>
              <w:t>Low slope (0–12</w:t>
            </w:r>
            <w:r w:rsidRPr="00BE78CA">
              <w:rPr>
                <w:rFonts w:cs="Calibri"/>
                <w:szCs w:val="16"/>
                <w:vertAlign w:val="superscript"/>
              </w:rPr>
              <w:t>o</w:t>
            </w:r>
            <w:r w:rsidRPr="00BE78CA">
              <w:rPr>
                <w:rFonts w:cs="Calibri"/>
                <w:szCs w:val="16"/>
              </w:rPr>
              <w:t>)</w:t>
            </w:r>
          </w:p>
        </w:tc>
        <w:tc>
          <w:tcPr>
            <w:tcW w:w="851" w:type="dxa"/>
            <w:tcBorders>
              <w:top w:val="single" w:sz="4" w:space="0" w:color="365F91"/>
              <w:left w:val="nil"/>
              <w:bottom w:val="single" w:sz="4" w:space="0" w:color="365F91"/>
              <w:right w:val="nil"/>
            </w:tcBorders>
            <w:shd w:val="clear" w:color="auto" w:fill="auto"/>
          </w:tcPr>
          <w:p w14:paraId="06D9331C" w14:textId="77777777" w:rsidR="00F02481" w:rsidRPr="00BE78CA" w:rsidRDefault="00F02481" w:rsidP="00C26084">
            <w:pPr>
              <w:pStyle w:val="TableText"/>
              <w:spacing w:before="50" w:after="50"/>
              <w:jc w:val="right"/>
              <w:rPr>
                <w:rFonts w:cs="Calibri"/>
                <w:szCs w:val="16"/>
              </w:rPr>
            </w:pPr>
          </w:p>
        </w:tc>
        <w:tc>
          <w:tcPr>
            <w:tcW w:w="851" w:type="dxa"/>
            <w:tcBorders>
              <w:top w:val="single" w:sz="4" w:space="0" w:color="365F91"/>
              <w:left w:val="nil"/>
              <w:bottom w:val="single" w:sz="4" w:space="0" w:color="365F91"/>
              <w:right w:val="nil"/>
            </w:tcBorders>
            <w:shd w:val="clear" w:color="auto" w:fill="auto"/>
          </w:tcPr>
          <w:p w14:paraId="558A6DEC" w14:textId="77777777" w:rsidR="00F02481" w:rsidRPr="00BE78CA" w:rsidRDefault="00F02481" w:rsidP="00C26084">
            <w:pPr>
              <w:pStyle w:val="TableText"/>
              <w:spacing w:before="50" w:after="50"/>
              <w:jc w:val="right"/>
              <w:rPr>
                <w:rFonts w:cs="Calibri"/>
                <w:szCs w:val="16"/>
              </w:rPr>
            </w:pPr>
            <w:r w:rsidRPr="00BE78CA">
              <w:rPr>
                <w:rFonts w:cs="Calibri"/>
                <w:szCs w:val="16"/>
              </w:rPr>
              <w:t>20</w:t>
            </w:r>
          </w:p>
        </w:tc>
        <w:tc>
          <w:tcPr>
            <w:tcW w:w="851" w:type="dxa"/>
            <w:tcBorders>
              <w:top w:val="single" w:sz="4" w:space="0" w:color="365F91"/>
              <w:left w:val="nil"/>
              <w:bottom w:val="single" w:sz="4" w:space="0" w:color="365F91"/>
              <w:right w:val="nil"/>
            </w:tcBorders>
            <w:shd w:val="clear" w:color="auto" w:fill="auto"/>
          </w:tcPr>
          <w:p w14:paraId="3AA7CBC7" w14:textId="77777777" w:rsidR="00F02481" w:rsidRPr="00BE78CA" w:rsidRDefault="00F02481" w:rsidP="00C26084">
            <w:pPr>
              <w:pStyle w:val="TableText"/>
              <w:spacing w:before="50" w:after="50"/>
              <w:jc w:val="right"/>
              <w:rPr>
                <w:rFonts w:cs="Calibri"/>
                <w:szCs w:val="16"/>
              </w:rPr>
            </w:pPr>
          </w:p>
        </w:tc>
        <w:tc>
          <w:tcPr>
            <w:tcW w:w="851" w:type="dxa"/>
            <w:tcBorders>
              <w:top w:val="single" w:sz="4" w:space="0" w:color="365F91"/>
              <w:left w:val="nil"/>
              <w:bottom w:val="single" w:sz="4" w:space="0" w:color="365F91"/>
              <w:right w:val="nil"/>
            </w:tcBorders>
            <w:shd w:val="clear" w:color="auto" w:fill="auto"/>
          </w:tcPr>
          <w:p w14:paraId="5241715A" w14:textId="77777777" w:rsidR="00F02481" w:rsidRPr="00BE78CA" w:rsidRDefault="00F02481" w:rsidP="00C26084">
            <w:pPr>
              <w:pStyle w:val="TableText"/>
              <w:spacing w:before="50" w:after="50"/>
              <w:jc w:val="right"/>
              <w:rPr>
                <w:rFonts w:cs="Calibri"/>
                <w:szCs w:val="16"/>
              </w:rPr>
            </w:pPr>
            <w:r w:rsidRPr="00BE78CA">
              <w:rPr>
                <w:rFonts w:cs="Calibri"/>
                <w:szCs w:val="16"/>
              </w:rPr>
              <w:t>20</w:t>
            </w:r>
          </w:p>
        </w:tc>
        <w:tc>
          <w:tcPr>
            <w:tcW w:w="851" w:type="dxa"/>
            <w:tcBorders>
              <w:top w:val="single" w:sz="4" w:space="0" w:color="365F91"/>
              <w:left w:val="nil"/>
              <w:bottom w:val="single" w:sz="4" w:space="0" w:color="365F91"/>
              <w:right w:val="nil"/>
            </w:tcBorders>
            <w:shd w:val="clear" w:color="auto" w:fill="auto"/>
          </w:tcPr>
          <w:p w14:paraId="33A65E4A" w14:textId="77777777" w:rsidR="00F02481" w:rsidRPr="00BE78CA" w:rsidRDefault="00F02481" w:rsidP="00C26084">
            <w:pPr>
              <w:pStyle w:val="TableText"/>
              <w:spacing w:before="50" w:after="50"/>
              <w:jc w:val="right"/>
              <w:rPr>
                <w:rFonts w:cs="Calibri"/>
                <w:szCs w:val="16"/>
              </w:rPr>
            </w:pPr>
            <w:r w:rsidRPr="00BE78CA">
              <w:rPr>
                <w:rFonts w:cs="Calibri"/>
                <w:szCs w:val="16"/>
              </w:rPr>
              <w:t>40</w:t>
            </w:r>
          </w:p>
        </w:tc>
      </w:tr>
      <w:tr w:rsidR="00F02481" w:rsidRPr="00BE78CA" w14:paraId="51FF5D4A" w14:textId="77777777" w:rsidTr="00477DE6">
        <w:tc>
          <w:tcPr>
            <w:tcW w:w="2098" w:type="dxa"/>
            <w:tcBorders>
              <w:top w:val="single" w:sz="4" w:space="0" w:color="365F91"/>
              <w:left w:val="nil"/>
              <w:bottom w:val="single" w:sz="4" w:space="0" w:color="365F91"/>
              <w:right w:val="nil"/>
            </w:tcBorders>
            <w:shd w:val="clear" w:color="auto" w:fill="auto"/>
          </w:tcPr>
          <w:p w14:paraId="03EAE419" w14:textId="77777777" w:rsidR="00F02481" w:rsidRPr="00BE78CA" w:rsidRDefault="00F02481" w:rsidP="00C26084">
            <w:pPr>
              <w:pStyle w:val="TableText"/>
              <w:spacing w:before="50" w:after="50"/>
              <w:jc w:val="right"/>
              <w:rPr>
                <w:rFonts w:cs="Calibri"/>
                <w:szCs w:val="16"/>
              </w:rPr>
            </w:pPr>
          </w:p>
        </w:tc>
        <w:tc>
          <w:tcPr>
            <w:tcW w:w="1814" w:type="dxa"/>
            <w:tcBorders>
              <w:top w:val="single" w:sz="4" w:space="0" w:color="365F91"/>
              <w:left w:val="nil"/>
              <w:bottom w:val="single" w:sz="4" w:space="0" w:color="365F91"/>
              <w:right w:val="nil"/>
            </w:tcBorders>
          </w:tcPr>
          <w:p w14:paraId="653D4715" w14:textId="77777777" w:rsidR="00F02481" w:rsidRPr="00BE78CA" w:rsidRDefault="00F02481" w:rsidP="00C26084">
            <w:pPr>
              <w:pStyle w:val="TableText"/>
              <w:spacing w:before="50" w:after="50"/>
              <w:rPr>
                <w:rFonts w:cs="Calibri"/>
                <w:szCs w:val="16"/>
              </w:rPr>
            </w:pPr>
            <w:r w:rsidRPr="00BE78CA">
              <w:rPr>
                <w:rFonts w:cs="Calibri"/>
                <w:szCs w:val="16"/>
              </w:rPr>
              <w:t>Medium slope (12–24</w:t>
            </w:r>
            <w:r w:rsidRPr="00BE78CA">
              <w:rPr>
                <w:rFonts w:cs="Calibri"/>
                <w:szCs w:val="16"/>
                <w:vertAlign w:val="superscript"/>
              </w:rPr>
              <w:t>o</w:t>
            </w:r>
            <w:r w:rsidRPr="00BE78CA">
              <w:rPr>
                <w:rFonts w:cs="Calibri"/>
                <w:szCs w:val="16"/>
              </w:rPr>
              <w:t>)</w:t>
            </w:r>
          </w:p>
        </w:tc>
        <w:tc>
          <w:tcPr>
            <w:tcW w:w="851" w:type="dxa"/>
            <w:tcBorders>
              <w:top w:val="single" w:sz="4" w:space="0" w:color="365F91"/>
              <w:left w:val="nil"/>
              <w:bottom w:val="single" w:sz="4" w:space="0" w:color="365F91"/>
              <w:right w:val="nil"/>
            </w:tcBorders>
            <w:shd w:val="clear" w:color="auto" w:fill="auto"/>
          </w:tcPr>
          <w:p w14:paraId="7ADCCCB6" w14:textId="77777777" w:rsidR="00F02481" w:rsidRPr="00BE78CA" w:rsidRDefault="00F02481" w:rsidP="00C26084">
            <w:pPr>
              <w:pStyle w:val="TableText"/>
              <w:spacing w:before="50" w:after="50"/>
              <w:jc w:val="right"/>
              <w:rPr>
                <w:rFonts w:cs="Calibri"/>
                <w:szCs w:val="16"/>
              </w:rPr>
            </w:pPr>
            <w:r w:rsidRPr="00BE78CA">
              <w:rPr>
                <w:rFonts w:cs="Calibri"/>
                <w:szCs w:val="16"/>
              </w:rPr>
              <w:t>10</w:t>
            </w:r>
          </w:p>
        </w:tc>
        <w:tc>
          <w:tcPr>
            <w:tcW w:w="851" w:type="dxa"/>
            <w:tcBorders>
              <w:top w:val="single" w:sz="4" w:space="0" w:color="365F91"/>
              <w:left w:val="nil"/>
              <w:bottom w:val="single" w:sz="4" w:space="0" w:color="365F91"/>
              <w:right w:val="nil"/>
            </w:tcBorders>
            <w:shd w:val="clear" w:color="auto" w:fill="auto"/>
          </w:tcPr>
          <w:p w14:paraId="03A66B64" w14:textId="77777777" w:rsidR="00F02481" w:rsidRPr="00BE78CA" w:rsidRDefault="00F02481" w:rsidP="00C26084">
            <w:pPr>
              <w:pStyle w:val="TableText"/>
              <w:spacing w:before="50" w:after="50"/>
              <w:jc w:val="right"/>
              <w:rPr>
                <w:rFonts w:cs="Calibri"/>
                <w:szCs w:val="16"/>
              </w:rPr>
            </w:pPr>
            <w:r w:rsidRPr="00BE78CA">
              <w:rPr>
                <w:rFonts w:cs="Calibri"/>
                <w:szCs w:val="16"/>
              </w:rPr>
              <w:t>30</w:t>
            </w:r>
          </w:p>
        </w:tc>
        <w:tc>
          <w:tcPr>
            <w:tcW w:w="851" w:type="dxa"/>
            <w:tcBorders>
              <w:top w:val="single" w:sz="4" w:space="0" w:color="365F91"/>
              <w:left w:val="nil"/>
              <w:bottom w:val="single" w:sz="4" w:space="0" w:color="365F91"/>
              <w:right w:val="nil"/>
            </w:tcBorders>
            <w:shd w:val="clear" w:color="auto" w:fill="auto"/>
          </w:tcPr>
          <w:p w14:paraId="227285D1" w14:textId="77777777" w:rsidR="00F02481" w:rsidRPr="00BE78CA" w:rsidRDefault="00F02481" w:rsidP="00C26084">
            <w:pPr>
              <w:pStyle w:val="TableText"/>
              <w:spacing w:before="50" w:after="50"/>
              <w:jc w:val="right"/>
              <w:rPr>
                <w:rFonts w:cs="Calibri"/>
                <w:szCs w:val="16"/>
              </w:rPr>
            </w:pPr>
          </w:p>
        </w:tc>
        <w:tc>
          <w:tcPr>
            <w:tcW w:w="851" w:type="dxa"/>
            <w:tcBorders>
              <w:top w:val="single" w:sz="4" w:space="0" w:color="365F91"/>
              <w:left w:val="nil"/>
              <w:bottom w:val="single" w:sz="4" w:space="0" w:color="365F91"/>
              <w:right w:val="nil"/>
            </w:tcBorders>
            <w:shd w:val="clear" w:color="auto" w:fill="auto"/>
          </w:tcPr>
          <w:p w14:paraId="1E845607" w14:textId="77777777" w:rsidR="00F02481" w:rsidRPr="00BE78CA" w:rsidRDefault="00F02481" w:rsidP="00C26084">
            <w:pPr>
              <w:pStyle w:val="TableText"/>
              <w:spacing w:before="50" w:after="50"/>
              <w:jc w:val="right"/>
              <w:rPr>
                <w:rFonts w:cs="Calibri"/>
                <w:szCs w:val="16"/>
              </w:rPr>
            </w:pPr>
            <w:r w:rsidRPr="00BE78CA">
              <w:rPr>
                <w:rFonts w:cs="Calibri"/>
                <w:szCs w:val="16"/>
              </w:rPr>
              <w:t>20</w:t>
            </w:r>
          </w:p>
        </w:tc>
        <w:tc>
          <w:tcPr>
            <w:tcW w:w="851" w:type="dxa"/>
            <w:tcBorders>
              <w:top w:val="single" w:sz="4" w:space="0" w:color="365F91"/>
              <w:left w:val="nil"/>
              <w:bottom w:val="single" w:sz="4" w:space="0" w:color="365F91"/>
              <w:right w:val="nil"/>
            </w:tcBorders>
            <w:shd w:val="clear" w:color="auto" w:fill="auto"/>
          </w:tcPr>
          <w:p w14:paraId="55E51FBC" w14:textId="77777777" w:rsidR="00F02481" w:rsidRPr="00BE78CA" w:rsidRDefault="00F02481" w:rsidP="00C26084">
            <w:pPr>
              <w:pStyle w:val="TableText"/>
              <w:spacing w:before="50" w:after="50"/>
              <w:jc w:val="right"/>
              <w:rPr>
                <w:rFonts w:cs="Calibri"/>
                <w:szCs w:val="16"/>
              </w:rPr>
            </w:pPr>
            <w:r w:rsidRPr="00BE78CA">
              <w:rPr>
                <w:rFonts w:cs="Calibri"/>
                <w:szCs w:val="16"/>
              </w:rPr>
              <w:t>60</w:t>
            </w:r>
          </w:p>
        </w:tc>
      </w:tr>
      <w:tr w:rsidR="00F02481" w:rsidRPr="00BE78CA" w14:paraId="291B82CC" w14:textId="77777777" w:rsidTr="00477DE6">
        <w:tc>
          <w:tcPr>
            <w:tcW w:w="2098" w:type="dxa"/>
            <w:tcBorders>
              <w:top w:val="single" w:sz="4" w:space="0" w:color="365F91"/>
              <w:left w:val="nil"/>
              <w:bottom w:val="single" w:sz="4" w:space="0" w:color="365F91"/>
              <w:right w:val="nil"/>
            </w:tcBorders>
            <w:shd w:val="clear" w:color="auto" w:fill="auto"/>
          </w:tcPr>
          <w:p w14:paraId="4CAAD299" w14:textId="77777777" w:rsidR="00F02481" w:rsidRPr="00BE78CA" w:rsidRDefault="00F02481" w:rsidP="00C26084">
            <w:pPr>
              <w:pStyle w:val="TableText"/>
              <w:spacing w:before="50" w:after="50"/>
              <w:jc w:val="right"/>
              <w:rPr>
                <w:rFonts w:cs="Calibri"/>
                <w:szCs w:val="16"/>
              </w:rPr>
            </w:pPr>
          </w:p>
        </w:tc>
        <w:tc>
          <w:tcPr>
            <w:tcW w:w="1814" w:type="dxa"/>
            <w:tcBorders>
              <w:top w:val="single" w:sz="4" w:space="0" w:color="365F91"/>
              <w:left w:val="nil"/>
              <w:bottom w:val="single" w:sz="4" w:space="0" w:color="365F91"/>
              <w:right w:val="nil"/>
            </w:tcBorders>
          </w:tcPr>
          <w:p w14:paraId="505E14F1" w14:textId="77777777" w:rsidR="00F02481" w:rsidRPr="00BE78CA" w:rsidRDefault="00F02481" w:rsidP="00C26084">
            <w:pPr>
              <w:pStyle w:val="TableText"/>
              <w:spacing w:before="50" w:after="50"/>
              <w:rPr>
                <w:rFonts w:cs="Calibri"/>
                <w:szCs w:val="16"/>
              </w:rPr>
            </w:pPr>
            <w:r w:rsidRPr="00BE78CA">
              <w:rPr>
                <w:rFonts w:cs="Calibri"/>
                <w:szCs w:val="16"/>
              </w:rPr>
              <w:t>Steep slope (&gt;24</w:t>
            </w:r>
            <w:r w:rsidRPr="00BE78CA">
              <w:rPr>
                <w:rFonts w:cs="Calibri"/>
                <w:szCs w:val="16"/>
                <w:vertAlign w:val="superscript"/>
              </w:rPr>
              <w:t>o</w:t>
            </w:r>
            <w:r w:rsidRPr="00BE78CA">
              <w:rPr>
                <w:rFonts w:cs="Calibri"/>
                <w:szCs w:val="16"/>
              </w:rPr>
              <w:t>)</w:t>
            </w:r>
          </w:p>
        </w:tc>
        <w:tc>
          <w:tcPr>
            <w:tcW w:w="851" w:type="dxa"/>
            <w:tcBorders>
              <w:top w:val="single" w:sz="4" w:space="0" w:color="365F91"/>
              <w:left w:val="nil"/>
              <w:bottom w:val="single" w:sz="4" w:space="0" w:color="365F91"/>
              <w:right w:val="nil"/>
            </w:tcBorders>
            <w:shd w:val="clear" w:color="auto" w:fill="auto"/>
          </w:tcPr>
          <w:p w14:paraId="445647D4" w14:textId="77777777" w:rsidR="00F02481" w:rsidRPr="00BE78CA" w:rsidRDefault="00F02481" w:rsidP="00C26084">
            <w:pPr>
              <w:pStyle w:val="TableText"/>
              <w:spacing w:before="50" w:after="50"/>
              <w:jc w:val="right"/>
              <w:rPr>
                <w:rFonts w:cs="Calibri"/>
                <w:szCs w:val="16"/>
              </w:rPr>
            </w:pPr>
            <w:r w:rsidRPr="00BE78CA">
              <w:rPr>
                <w:rFonts w:cs="Calibri"/>
                <w:szCs w:val="16"/>
              </w:rPr>
              <w:t>10</w:t>
            </w:r>
          </w:p>
        </w:tc>
        <w:tc>
          <w:tcPr>
            <w:tcW w:w="851" w:type="dxa"/>
            <w:tcBorders>
              <w:top w:val="single" w:sz="4" w:space="0" w:color="365F91"/>
              <w:left w:val="nil"/>
              <w:bottom w:val="single" w:sz="4" w:space="0" w:color="365F91"/>
              <w:right w:val="nil"/>
            </w:tcBorders>
            <w:shd w:val="clear" w:color="auto" w:fill="auto"/>
          </w:tcPr>
          <w:p w14:paraId="3D0E6788" w14:textId="77777777" w:rsidR="00F02481" w:rsidRPr="00BE78CA" w:rsidRDefault="00F02481" w:rsidP="00C26084">
            <w:pPr>
              <w:pStyle w:val="TableText"/>
              <w:spacing w:before="50" w:after="50"/>
              <w:jc w:val="right"/>
              <w:rPr>
                <w:rFonts w:cs="Calibri"/>
                <w:szCs w:val="16"/>
              </w:rPr>
            </w:pPr>
            <w:r w:rsidRPr="00BE78CA">
              <w:rPr>
                <w:rFonts w:cs="Calibri"/>
                <w:szCs w:val="16"/>
              </w:rPr>
              <w:t>10</w:t>
            </w:r>
          </w:p>
        </w:tc>
        <w:tc>
          <w:tcPr>
            <w:tcW w:w="851" w:type="dxa"/>
            <w:tcBorders>
              <w:top w:val="single" w:sz="4" w:space="0" w:color="365F91"/>
              <w:left w:val="nil"/>
              <w:bottom w:val="single" w:sz="4" w:space="0" w:color="365F91"/>
              <w:right w:val="nil"/>
            </w:tcBorders>
            <w:shd w:val="clear" w:color="auto" w:fill="auto"/>
          </w:tcPr>
          <w:p w14:paraId="6CA6AC3D" w14:textId="77777777" w:rsidR="00F02481" w:rsidRPr="00BE78CA" w:rsidRDefault="00F02481" w:rsidP="00C26084">
            <w:pPr>
              <w:pStyle w:val="TableText"/>
              <w:spacing w:before="50" w:after="50"/>
              <w:jc w:val="right"/>
              <w:rPr>
                <w:rFonts w:cs="Calibri"/>
                <w:szCs w:val="16"/>
              </w:rPr>
            </w:pPr>
          </w:p>
        </w:tc>
        <w:tc>
          <w:tcPr>
            <w:tcW w:w="851" w:type="dxa"/>
            <w:tcBorders>
              <w:top w:val="single" w:sz="4" w:space="0" w:color="365F91"/>
              <w:left w:val="nil"/>
              <w:bottom w:val="single" w:sz="4" w:space="0" w:color="365F91"/>
              <w:right w:val="nil"/>
            </w:tcBorders>
            <w:shd w:val="clear" w:color="auto" w:fill="auto"/>
          </w:tcPr>
          <w:p w14:paraId="512A8636" w14:textId="77777777" w:rsidR="00F02481" w:rsidRPr="00BE78CA" w:rsidRDefault="00F02481" w:rsidP="00C26084">
            <w:pPr>
              <w:pStyle w:val="TableText"/>
              <w:spacing w:before="50" w:after="50"/>
              <w:jc w:val="right"/>
              <w:rPr>
                <w:rFonts w:cs="Calibri"/>
                <w:szCs w:val="16"/>
              </w:rPr>
            </w:pPr>
          </w:p>
        </w:tc>
        <w:tc>
          <w:tcPr>
            <w:tcW w:w="851" w:type="dxa"/>
            <w:tcBorders>
              <w:top w:val="single" w:sz="4" w:space="0" w:color="365F91"/>
              <w:left w:val="nil"/>
              <w:bottom w:val="single" w:sz="4" w:space="0" w:color="365F91"/>
              <w:right w:val="nil"/>
            </w:tcBorders>
            <w:shd w:val="clear" w:color="auto" w:fill="auto"/>
          </w:tcPr>
          <w:p w14:paraId="676BAEBD" w14:textId="77777777" w:rsidR="00F02481" w:rsidRPr="00BE78CA" w:rsidRDefault="00F02481" w:rsidP="00C26084">
            <w:pPr>
              <w:pStyle w:val="TableText"/>
              <w:spacing w:before="50" w:after="50"/>
              <w:jc w:val="right"/>
              <w:rPr>
                <w:rFonts w:cs="Calibri"/>
                <w:szCs w:val="16"/>
              </w:rPr>
            </w:pPr>
            <w:r w:rsidRPr="00BE78CA">
              <w:rPr>
                <w:rFonts w:cs="Calibri"/>
                <w:szCs w:val="16"/>
              </w:rPr>
              <w:t>20</w:t>
            </w:r>
          </w:p>
        </w:tc>
      </w:tr>
      <w:tr w:rsidR="00F02481" w:rsidRPr="00BE78CA" w14:paraId="097444F1" w14:textId="77777777" w:rsidTr="00477DE6">
        <w:tc>
          <w:tcPr>
            <w:tcW w:w="2098" w:type="dxa"/>
            <w:tcBorders>
              <w:top w:val="single" w:sz="4" w:space="0" w:color="365F91"/>
              <w:left w:val="nil"/>
              <w:bottom w:val="single" w:sz="4" w:space="0" w:color="365F91"/>
              <w:right w:val="nil"/>
            </w:tcBorders>
            <w:shd w:val="clear" w:color="auto" w:fill="auto"/>
          </w:tcPr>
          <w:p w14:paraId="1F75826F" w14:textId="0793A33D" w:rsidR="00F02481" w:rsidRPr="00BE78CA" w:rsidRDefault="00D518ED" w:rsidP="00C26084">
            <w:pPr>
              <w:pStyle w:val="TableText"/>
              <w:spacing w:before="50" w:after="50"/>
              <w:rPr>
                <w:rFonts w:cs="Calibri"/>
                <w:szCs w:val="16"/>
              </w:rPr>
            </w:pPr>
            <w:r w:rsidRPr="00BE78CA">
              <w:rPr>
                <w:rFonts w:cs="Calibri"/>
                <w:szCs w:val="16"/>
              </w:rPr>
              <w:t>B</w:t>
            </w:r>
            <w:r w:rsidR="00F02481" w:rsidRPr="00BE78CA">
              <w:rPr>
                <w:rFonts w:cs="Calibri"/>
                <w:szCs w:val="16"/>
              </w:rPr>
              <w:t>eef cattle dung</w:t>
            </w:r>
          </w:p>
        </w:tc>
        <w:tc>
          <w:tcPr>
            <w:tcW w:w="1814" w:type="dxa"/>
            <w:tcBorders>
              <w:top w:val="single" w:sz="4" w:space="0" w:color="365F91"/>
              <w:left w:val="nil"/>
              <w:bottom w:val="single" w:sz="4" w:space="0" w:color="365F91"/>
              <w:right w:val="nil"/>
            </w:tcBorders>
          </w:tcPr>
          <w:p w14:paraId="7A19AA3F" w14:textId="77777777" w:rsidR="00F02481" w:rsidRPr="00BE78CA" w:rsidRDefault="00F02481" w:rsidP="00C26084">
            <w:pPr>
              <w:pStyle w:val="TableText"/>
              <w:spacing w:before="50" w:after="50"/>
              <w:rPr>
                <w:rFonts w:cs="Calibri"/>
                <w:szCs w:val="16"/>
              </w:rPr>
            </w:pPr>
            <w:r w:rsidRPr="00BE78CA">
              <w:rPr>
                <w:rFonts w:cs="Calibri"/>
                <w:szCs w:val="16"/>
              </w:rPr>
              <w:t>Flatland (0</w:t>
            </w:r>
            <w:r w:rsidRPr="00BE78CA">
              <w:rPr>
                <w:rFonts w:cs="Calibri"/>
                <w:szCs w:val="16"/>
                <w:vertAlign w:val="superscript"/>
              </w:rPr>
              <w:t>o</w:t>
            </w:r>
            <w:r w:rsidRPr="00BE78CA">
              <w:rPr>
                <w:rFonts w:cs="Calibri"/>
                <w:szCs w:val="16"/>
              </w:rPr>
              <w:t>)</w:t>
            </w:r>
          </w:p>
        </w:tc>
        <w:tc>
          <w:tcPr>
            <w:tcW w:w="851" w:type="dxa"/>
            <w:tcBorders>
              <w:top w:val="single" w:sz="4" w:space="0" w:color="365F91"/>
              <w:left w:val="nil"/>
              <w:bottom w:val="single" w:sz="4" w:space="0" w:color="365F91"/>
              <w:right w:val="nil"/>
            </w:tcBorders>
            <w:shd w:val="clear" w:color="auto" w:fill="auto"/>
          </w:tcPr>
          <w:p w14:paraId="45A52F7E" w14:textId="77777777" w:rsidR="00F02481" w:rsidRPr="00BE78CA" w:rsidRDefault="00F02481" w:rsidP="00C26084">
            <w:pPr>
              <w:pStyle w:val="TableText"/>
              <w:spacing w:before="50" w:after="50"/>
              <w:jc w:val="right"/>
              <w:rPr>
                <w:rFonts w:cs="Calibri"/>
                <w:szCs w:val="16"/>
              </w:rPr>
            </w:pPr>
          </w:p>
        </w:tc>
        <w:tc>
          <w:tcPr>
            <w:tcW w:w="851" w:type="dxa"/>
            <w:tcBorders>
              <w:top w:val="single" w:sz="4" w:space="0" w:color="365F91"/>
              <w:left w:val="nil"/>
              <w:bottom w:val="single" w:sz="4" w:space="0" w:color="365F91"/>
              <w:right w:val="nil"/>
            </w:tcBorders>
            <w:shd w:val="clear" w:color="auto" w:fill="auto"/>
          </w:tcPr>
          <w:p w14:paraId="6D1BD14F" w14:textId="77777777" w:rsidR="00F02481" w:rsidRPr="00BE78CA" w:rsidRDefault="00F02481" w:rsidP="00C26084">
            <w:pPr>
              <w:pStyle w:val="TableText"/>
              <w:spacing w:before="50" w:after="50"/>
              <w:jc w:val="right"/>
              <w:rPr>
                <w:rFonts w:cs="Calibri"/>
                <w:szCs w:val="16"/>
              </w:rPr>
            </w:pPr>
          </w:p>
        </w:tc>
        <w:tc>
          <w:tcPr>
            <w:tcW w:w="851" w:type="dxa"/>
            <w:tcBorders>
              <w:top w:val="single" w:sz="4" w:space="0" w:color="365F91"/>
              <w:left w:val="nil"/>
              <w:bottom w:val="single" w:sz="4" w:space="0" w:color="365F91"/>
              <w:right w:val="nil"/>
            </w:tcBorders>
            <w:shd w:val="clear" w:color="auto" w:fill="auto"/>
          </w:tcPr>
          <w:p w14:paraId="5F39AA0D" w14:textId="77777777" w:rsidR="00F02481" w:rsidRPr="00BE78CA" w:rsidRDefault="00F02481" w:rsidP="00C26084">
            <w:pPr>
              <w:pStyle w:val="TableText"/>
              <w:spacing w:before="50" w:after="50"/>
              <w:jc w:val="right"/>
              <w:rPr>
                <w:rFonts w:cs="Calibri"/>
                <w:szCs w:val="16"/>
              </w:rPr>
            </w:pPr>
          </w:p>
        </w:tc>
        <w:tc>
          <w:tcPr>
            <w:tcW w:w="851" w:type="dxa"/>
            <w:tcBorders>
              <w:top w:val="single" w:sz="4" w:space="0" w:color="365F91"/>
              <w:left w:val="nil"/>
              <w:bottom w:val="single" w:sz="4" w:space="0" w:color="365F91"/>
              <w:right w:val="nil"/>
            </w:tcBorders>
            <w:shd w:val="clear" w:color="auto" w:fill="auto"/>
          </w:tcPr>
          <w:p w14:paraId="423D935B" w14:textId="77777777" w:rsidR="00F02481" w:rsidRPr="00BE78CA" w:rsidRDefault="00F02481" w:rsidP="00C26084">
            <w:pPr>
              <w:pStyle w:val="TableText"/>
              <w:spacing w:before="50" w:after="50"/>
              <w:jc w:val="right"/>
              <w:rPr>
                <w:rFonts w:cs="Calibri"/>
                <w:szCs w:val="16"/>
              </w:rPr>
            </w:pPr>
          </w:p>
        </w:tc>
        <w:tc>
          <w:tcPr>
            <w:tcW w:w="851" w:type="dxa"/>
            <w:tcBorders>
              <w:top w:val="single" w:sz="4" w:space="0" w:color="365F91"/>
              <w:left w:val="nil"/>
              <w:bottom w:val="single" w:sz="4" w:space="0" w:color="365F91"/>
              <w:right w:val="nil"/>
            </w:tcBorders>
            <w:shd w:val="clear" w:color="auto" w:fill="auto"/>
          </w:tcPr>
          <w:p w14:paraId="4F4AF3B5" w14:textId="77777777" w:rsidR="00F02481" w:rsidRPr="00BE78CA" w:rsidRDefault="00F02481" w:rsidP="00C26084">
            <w:pPr>
              <w:pStyle w:val="TableText"/>
              <w:spacing w:before="50" w:after="50"/>
              <w:jc w:val="right"/>
              <w:rPr>
                <w:rFonts w:cs="Calibri"/>
                <w:szCs w:val="16"/>
              </w:rPr>
            </w:pPr>
          </w:p>
        </w:tc>
      </w:tr>
      <w:tr w:rsidR="00F02481" w:rsidRPr="00BE78CA" w14:paraId="5BD8047E" w14:textId="77777777" w:rsidTr="00477DE6">
        <w:tc>
          <w:tcPr>
            <w:tcW w:w="2098" w:type="dxa"/>
            <w:tcBorders>
              <w:top w:val="single" w:sz="4" w:space="0" w:color="365F91"/>
              <w:left w:val="nil"/>
              <w:bottom w:val="single" w:sz="4" w:space="0" w:color="365F91"/>
              <w:right w:val="nil"/>
            </w:tcBorders>
            <w:shd w:val="clear" w:color="auto" w:fill="auto"/>
          </w:tcPr>
          <w:p w14:paraId="4C859164" w14:textId="77777777" w:rsidR="00F02481" w:rsidRPr="00BE78CA" w:rsidRDefault="00F02481" w:rsidP="00C26084">
            <w:pPr>
              <w:pStyle w:val="TableText"/>
              <w:spacing w:before="50" w:after="50"/>
              <w:jc w:val="right"/>
              <w:rPr>
                <w:rFonts w:cs="Calibri"/>
                <w:szCs w:val="16"/>
              </w:rPr>
            </w:pPr>
          </w:p>
        </w:tc>
        <w:tc>
          <w:tcPr>
            <w:tcW w:w="1814" w:type="dxa"/>
            <w:tcBorders>
              <w:top w:val="single" w:sz="4" w:space="0" w:color="365F91"/>
              <w:left w:val="nil"/>
              <w:bottom w:val="single" w:sz="4" w:space="0" w:color="365F91"/>
              <w:right w:val="nil"/>
            </w:tcBorders>
          </w:tcPr>
          <w:p w14:paraId="3B2779E0" w14:textId="77777777" w:rsidR="00F02481" w:rsidRPr="00BE78CA" w:rsidRDefault="00F02481" w:rsidP="00C26084">
            <w:pPr>
              <w:pStyle w:val="TableText"/>
              <w:spacing w:before="50" w:after="50"/>
              <w:rPr>
                <w:rFonts w:cs="Calibri"/>
                <w:szCs w:val="16"/>
              </w:rPr>
            </w:pPr>
            <w:r w:rsidRPr="00BE78CA">
              <w:rPr>
                <w:rFonts w:cs="Calibri"/>
                <w:szCs w:val="16"/>
              </w:rPr>
              <w:t>Low slope (0–12</w:t>
            </w:r>
            <w:r w:rsidRPr="00BE78CA">
              <w:rPr>
                <w:rFonts w:cs="Calibri"/>
                <w:szCs w:val="16"/>
                <w:vertAlign w:val="superscript"/>
              </w:rPr>
              <w:t>o</w:t>
            </w:r>
            <w:r w:rsidRPr="00BE78CA">
              <w:rPr>
                <w:rFonts w:cs="Calibri"/>
                <w:szCs w:val="16"/>
              </w:rPr>
              <w:t>)</w:t>
            </w:r>
          </w:p>
        </w:tc>
        <w:tc>
          <w:tcPr>
            <w:tcW w:w="851" w:type="dxa"/>
            <w:tcBorders>
              <w:top w:val="single" w:sz="4" w:space="0" w:color="365F91"/>
              <w:left w:val="nil"/>
              <w:bottom w:val="single" w:sz="4" w:space="0" w:color="365F91"/>
              <w:right w:val="nil"/>
            </w:tcBorders>
            <w:shd w:val="clear" w:color="auto" w:fill="auto"/>
          </w:tcPr>
          <w:p w14:paraId="747B6A54" w14:textId="77777777" w:rsidR="00F02481" w:rsidRPr="00BE78CA" w:rsidRDefault="00F02481" w:rsidP="00C26084">
            <w:pPr>
              <w:pStyle w:val="TableText"/>
              <w:spacing w:before="50" w:after="50"/>
              <w:jc w:val="right"/>
              <w:rPr>
                <w:rFonts w:cs="Calibri"/>
                <w:szCs w:val="16"/>
              </w:rPr>
            </w:pPr>
            <w:r w:rsidRPr="00BE78CA">
              <w:rPr>
                <w:rFonts w:cs="Calibri"/>
                <w:szCs w:val="16"/>
              </w:rPr>
              <w:t>20</w:t>
            </w:r>
          </w:p>
        </w:tc>
        <w:tc>
          <w:tcPr>
            <w:tcW w:w="851" w:type="dxa"/>
            <w:tcBorders>
              <w:top w:val="single" w:sz="4" w:space="0" w:color="365F91"/>
              <w:left w:val="nil"/>
              <w:bottom w:val="single" w:sz="4" w:space="0" w:color="365F91"/>
              <w:right w:val="nil"/>
            </w:tcBorders>
            <w:shd w:val="clear" w:color="auto" w:fill="auto"/>
          </w:tcPr>
          <w:p w14:paraId="3DAAFE32" w14:textId="77777777" w:rsidR="00F02481" w:rsidRPr="00BE78CA" w:rsidRDefault="00F02481" w:rsidP="00C26084">
            <w:pPr>
              <w:pStyle w:val="TableText"/>
              <w:spacing w:before="50" w:after="50"/>
              <w:jc w:val="right"/>
              <w:rPr>
                <w:rFonts w:cs="Calibri"/>
                <w:szCs w:val="16"/>
              </w:rPr>
            </w:pPr>
            <w:r w:rsidRPr="00BE78CA">
              <w:rPr>
                <w:rFonts w:cs="Calibri"/>
                <w:szCs w:val="16"/>
              </w:rPr>
              <w:t>28</w:t>
            </w:r>
          </w:p>
        </w:tc>
        <w:tc>
          <w:tcPr>
            <w:tcW w:w="851" w:type="dxa"/>
            <w:tcBorders>
              <w:top w:val="single" w:sz="4" w:space="0" w:color="365F91"/>
              <w:left w:val="nil"/>
              <w:bottom w:val="single" w:sz="4" w:space="0" w:color="365F91"/>
              <w:right w:val="nil"/>
            </w:tcBorders>
            <w:shd w:val="clear" w:color="auto" w:fill="auto"/>
          </w:tcPr>
          <w:p w14:paraId="63E68A5F" w14:textId="77777777" w:rsidR="00F02481" w:rsidRPr="00BE78CA" w:rsidRDefault="00F02481" w:rsidP="00C26084">
            <w:pPr>
              <w:pStyle w:val="TableText"/>
              <w:spacing w:before="50" w:after="50"/>
              <w:jc w:val="right"/>
              <w:rPr>
                <w:rFonts w:cs="Calibri"/>
                <w:szCs w:val="16"/>
              </w:rPr>
            </w:pPr>
            <w:r w:rsidRPr="00BE78CA">
              <w:rPr>
                <w:rFonts w:cs="Calibri"/>
                <w:szCs w:val="16"/>
              </w:rPr>
              <w:t>8</w:t>
            </w:r>
          </w:p>
        </w:tc>
        <w:tc>
          <w:tcPr>
            <w:tcW w:w="851" w:type="dxa"/>
            <w:tcBorders>
              <w:top w:val="single" w:sz="4" w:space="0" w:color="365F91"/>
              <w:left w:val="nil"/>
              <w:bottom w:val="single" w:sz="4" w:space="0" w:color="365F91"/>
              <w:right w:val="nil"/>
            </w:tcBorders>
            <w:shd w:val="clear" w:color="auto" w:fill="auto"/>
          </w:tcPr>
          <w:p w14:paraId="1E573FEC" w14:textId="77777777" w:rsidR="00F02481" w:rsidRPr="00BE78CA" w:rsidRDefault="00F02481" w:rsidP="00C26084">
            <w:pPr>
              <w:pStyle w:val="TableText"/>
              <w:spacing w:before="50" w:after="50"/>
              <w:jc w:val="right"/>
              <w:rPr>
                <w:rFonts w:cs="Calibri"/>
                <w:szCs w:val="16"/>
              </w:rPr>
            </w:pPr>
            <w:r w:rsidRPr="00BE78CA">
              <w:rPr>
                <w:rFonts w:cs="Calibri"/>
                <w:szCs w:val="16"/>
              </w:rPr>
              <w:t>20</w:t>
            </w:r>
          </w:p>
        </w:tc>
        <w:tc>
          <w:tcPr>
            <w:tcW w:w="851" w:type="dxa"/>
            <w:tcBorders>
              <w:top w:val="single" w:sz="4" w:space="0" w:color="365F91"/>
              <w:left w:val="nil"/>
              <w:bottom w:val="single" w:sz="4" w:space="0" w:color="365F91"/>
              <w:right w:val="nil"/>
            </w:tcBorders>
            <w:shd w:val="clear" w:color="auto" w:fill="auto"/>
          </w:tcPr>
          <w:p w14:paraId="143BF94F" w14:textId="77777777" w:rsidR="00F02481" w:rsidRPr="00BE78CA" w:rsidRDefault="00F02481" w:rsidP="00C26084">
            <w:pPr>
              <w:pStyle w:val="TableText"/>
              <w:spacing w:before="50" w:after="50"/>
              <w:jc w:val="right"/>
              <w:rPr>
                <w:rFonts w:cs="Calibri"/>
                <w:szCs w:val="16"/>
              </w:rPr>
            </w:pPr>
            <w:r w:rsidRPr="00BE78CA">
              <w:rPr>
                <w:rFonts w:cs="Calibri"/>
                <w:szCs w:val="16"/>
              </w:rPr>
              <w:t>76</w:t>
            </w:r>
          </w:p>
        </w:tc>
      </w:tr>
      <w:tr w:rsidR="00F02481" w:rsidRPr="00BE78CA" w14:paraId="5B98F35F" w14:textId="77777777" w:rsidTr="00477DE6">
        <w:tc>
          <w:tcPr>
            <w:tcW w:w="2098" w:type="dxa"/>
            <w:tcBorders>
              <w:top w:val="single" w:sz="4" w:space="0" w:color="365F91"/>
              <w:left w:val="nil"/>
              <w:bottom w:val="single" w:sz="4" w:space="0" w:color="365F91"/>
              <w:right w:val="nil"/>
            </w:tcBorders>
            <w:shd w:val="clear" w:color="auto" w:fill="auto"/>
          </w:tcPr>
          <w:p w14:paraId="093149D7" w14:textId="77777777" w:rsidR="00F02481" w:rsidRPr="00BE78CA" w:rsidRDefault="00F02481" w:rsidP="00C26084">
            <w:pPr>
              <w:pStyle w:val="TableText"/>
              <w:spacing w:before="50" w:after="50"/>
              <w:jc w:val="right"/>
              <w:rPr>
                <w:rFonts w:cs="Calibri"/>
                <w:szCs w:val="16"/>
              </w:rPr>
            </w:pPr>
          </w:p>
        </w:tc>
        <w:tc>
          <w:tcPr>
            <w:tcW w:w="1814" w:type="dxa"/>
            <w:tcBorders>
              <w:top w:val="single" w:sz="4" w:space="0" w:color="365F91"/>
              <w:left w:val="nil"/>
              <w:bottom w:val="single" w:sz="4" w:space="0" w:color="365F91"/>
              <w:right w:val="nil"/>
            </w:tcBorders>
          </w:tcPr>
          <w:p w14:paraId="42EA7E71" w14:textId="77777777" w:rsidR="00F02481" w:rsidRPr="00BE78CA" w:rsidRDefault="00F02481" w:rsidP="00C26084">
            <w:pPr>
              <w:pStyle w:val="TableText"/>
              <w:spacing w:before="50" w:after="50"/>
              <w:rPr>
                <w:rFonts w:cs="Calibri"/>
                <w:szCs w:val="16"/>
              </w:rPr>
            </w:pPr>
            <w:r w:rsidRPr="00BE78CA">
              <w:rPr>
                <w:rFonts w:cs="Calibri"/>
                <w:szCs w:val="16"/>
              </w:rPr>
              <w:t>Medium slope (12–24</w:t>
            </w:r>
            <w:r w:rsidRPr="00BE78CA">
              <w:rPr>
                <w:rFonts w:cs="Calibri"/>
                <w:szCs w:val="16"/>
                <w:vertAlign w:val="superscript"/>
              </w:rPr>
              <w:t>o</w:t>
            </w:r>
            <w:r w:rsidRPr="00BE78CA">
              <w:rPr>
                <w:rFonts w:cs="Calibri"/>
                <w:szCs w:val="16"/>
              </w:rPr>
              <w:t>)</w:t>
            </w:r>
          </w:p>
        </w:tc>
        <w:tc>
          <w:tcPr>
            <w:tcW w:w="851" w:type="dxa"/>
            <w:tcBorders>
              <w:top w:val="single" w:sz="4" w:space="0" w:color="365F91"/>
              <w:left w:val="nil"/>
              <w:bottom w:val="single" w:sz="4" w:space="0" w:color="365F91"/>
              <w:right w:val="nil"/>
            </w:tcBorders>
            <w:shd w:val="clear" w:color="auto" w:fill="auto"/>
          </w:tcPr>
          <w:p w14:paraId="39019DE0" w14:textId="77777777" w:rsidR="00F02481" w:rsidRPr="00BE78CA" w:rsidRDefault="00F02481" w:rsidP="00C26084">
            <w:pPr>
              <w:pStyle w:val="TableText"/>
              <w:spacing w:before="50" w:after="50"/>
              <w:jc w:val="right"/>
              <w:rPr>
                <w:rFonts w:cs="Calibri"/>
                <w:szCs w:val="16"/>
              </w:rPr>
            </w:pPr>
            <w:r w:rsidRPr="00BE78CA">
              <w:rPr>
                <w:rFonts w:cs="Calibri"/>
                <w:szCs w:val="16"/>
              </w:rPr>
              <w:t>10</w:t>
            </w:r>
          </w:p>
        </w:tc>
        <w:tc>
          <w:tcPr>
            <w:tcW w:w="851" w:type="dxa"/>
            <w:tcBorders>
              <w:top w:val="single" w:sz="4" w:space="0" w:color="365F91"/>
              <w:left w:val="nil"/>
              <w:bottom w:val="single" w:sz="4" w:space="0" w:color="365F91"/>
              <w:right w:val="nil"/>
            </w:tcBorders>
            <w:shd w:val="clear" w:color="auto" w:fill="auto"/>
          </w:tcPr>
          <w:p w14:paraId="0E1278A3" w14:textId="77777777" w:rsidR="00F02481" w:rsidRPr="00BE78CA" w:rsidRDefault="00F02481" w:rsidP="00C26084">
            <w:pPr>
              <w:pStyle w:val="TableText"/>
              <w:spacing w:before="50" w:after="50"/>
              <w:jc w:val="right"/>
              <w:rPr>
                <w:rFonts w:cs="Calibri"/>
                <w:szCs w:val="16"/>
              </w:rPr>
            </w:pPr>
            <w:r w:rsidRPr="00BE78CA">
              <w:rPr>
                <w:rFonts w:cs="Calibri"/>
                <w:szCs w:val="16"/>
              </w:rPr>
              <w:t>30</w:t>
            </w:r>
          </w:p>
        </w:tc>
        <w:tc>
          <w:tcPr>
            <w:tcW w:w="851" w:type="dxa"/>
            <w:tcBorders>
              <w:top w:val="single" w:sz="4" w:space="0" w:color="365F91"/>
              <w:left w:val="nil"/>
              <w:bottom w:val="single" w:sz="4" w:space="0" w:color="365F91"/>
              <w:right w:val="nil"/>
            </w:tcBorders>
            <w:shd w:val="clear" w:color="auto" w:fill="auto"/>
          </w:tcPr>
          <w:p w14:paraId="75AACC05" w14:textId="77777777" w:rsidR="00F02481" w:rsidRPr="00BE78CA" w:rsidRDefault="00F02481" w:rsidP="00C26084">
            <w:pPr>
              <w:pStyle w:val="TableText"/>
              <w:spacing w:before="50" w:after="50"/>
              <w:jc w:val="right"/>
              <w:rPr>
                <w:rFonts w:cs="Calibri"/>
                <w:szCs w:val="16"/>
              </w:rPr>
            </w:pPr>
          </w:p>
        </w:tc>
        <w:tc>
          <w:tcPr>
            <w:tcW w:w="851" w:type="dxa"/>
            <w:tcBorders>
              <w:top w:val="single" w:sz="4" w:space="0" w:color="365F91"/>
              <w:left w:val="nil"/>
              <w:bottom w:val="single" w:sz="4" w:space="0" w:color="365F91"/>
              <w:right w:val="nil"/>
            </w:tcBorders>
            <w:shd w:val="clear" w:color="auto" w:fill="auto"/>
          </w:tcPr>
          <w:p w14:paraId="3461CE9C" w14:textId="77777777" w:rsidR="00F02481" w:rsidRPr="00BE78CA" w:rsidRDefault="00F02481" w:rsidP="00C26084">
            <w:pPr>
              <w:pStyle w:val="TableText"/>
              <w:spacing w:before="50" w:after="50"/>
              <w:jc w:val="right"/>
              <w:rPr>
                <w:rFonts w:cs="Calibri"/>
                <w:szCs w:val="16"/>
              </w:rPr>
            </w:pPr>
            <w:r w:rsidRPr="00BE78CA">
              <w:rPr>
                <w:rFonts w:cs="Calibri"/>
                <w:szCs w:val="16"/>
              </w:rPr>
              <w:t>20</w:t>
            </w:r>
          </w:p>
        </w:tc>
        <w:tc>
          <w:tcPr>
            <w:tcW w:w="851" w:type="dxa"/>
            <w:tcBorders>
              <w:top w:val="single" w:sz="4" w:space="0" w:color="365F91"/>
              <w:left w:val="nil"/>
              <w:bottom w:val="single" w:sz="4" w:space="0" w:color="365F91"/>
              <w:right w:val="nil"/>
            </w:tcBorders>
            <w:shd w:val="clear" w:color="auto" w:fill="auto"/>
          </w:tcPr>
          <w:p w14:paraId="273FF4A4" w14:textId="77777777" w:rsidR="00F02481" w:rsidRPr="00BE78CA" w:rsidRDefault="00F02481" w:rsidP="00C26084">
            <w:pPr>
              <w:pStyle w:val="TableText"/>
              <w:spacing w:before="50" w:after="50"/>
              <w:jc w:val="right"/>
              <w:rPr>
                <w:rFonts w:cs="Calibri"/>
                <w:szCs w:val="16"/>
              </w:rPr>
            </w:pPr>
            <w:r w:rsidRPr="00BE78CA">
              <w:rPr>
                <w:rFonts w:cs="Calibri"/>
                <w:szCs w:val="16"/>
              </w:rPr>
              <w:t>60</w:t>
            </w:r>
          </w:p>
        </w:tc>
      </w:tr>
      <w:tr w:rsidR="00F02481" w:rsidRPr="00BE78CA" w14:paraId="09B00BCB" w14:textId="77777777" w:rsidTr="00477DE6">
        <w:tc>
          <w:tcPr>
            <w:tcW w:w="2098" w:type="dxa"/>
            <w:tcBorders>
              <w:top w:val="single" w:sz="4" w:space="0" w:color="365F91"/>
              <w:left w:val="nil"/>
              <w:bottom w:val="single" w:sz="4" w:space="0" w:color="365F91"/>
              <w:right w:val="nil"/>
            </w:tcBorders>
            <w:shd w:val="clear" w:color="auto" w:fill="auto"/>
          </w:tcPr>
          <w:p w14:paraId="15BD5B68" w14:textId="77777777" w:rsidR="00F02481" w:rsidRPr="00BE78CA" w:rsidRDefault="00F02481" w:rsidP="00C26084">
            <w:pPr>
              <w:pStyle w:val="TableText"/>
              <w:spacing w:before="50" w:after="50"/>
              <w:jc w:val="right"/>
              <w:rPr>
                <w:rFonts w:cs="Calibri"/>
                <w:szCs w:val="16"/>
              </w:rPr>
            </w:pPr>
          </w:p>
        </w:tc>
        <w:tc>
          <w:tcPr>
            <w:tcW w:w="1814" w:type="dxa"/>
            <w:tcBorders>
              <w:top w:val="single" w:sz="4" w:space="0" w:color="365F91"/>
              <w:left w:val="nil"/>
              <w:bottom w:val="single" w:sz="4" w:space="0" w:color="365F91"/>
              <w:right w:val="nil"/>
            </w:tcBorders>
          </w:tcPr>
          <w:p w14:paraId="1C685ABB" w14:textId="77777777" w:rsidR="00F02481" w:rsidRPr="00BE78CA" w:rsidRDefault="00F02481" w:rsidP="00C26084">
            <w:pPr>
              <w:pStyle w:val="TableText"/>
              <w:spacing w:before="50" w:after="50"/>
              <w:rPr>
                <w:rFonts w:cs="Calibri"/>
                <w:szCs w:val="16"/>
              </w:rPr>
            </w:pPr>
            <w:r w:rsidRPr="00BE78CA">
              <w:rPr>
                <w:rFonts w:cs="Calibri"/>
                <w:szCs w:val="16"/>
              </w:rPr>
              <w:t>Steep slope (&gt;24</w:t>
            </w:r>
            <w:r w:rsidRPr="00BE78CA">
              <w:rPr>
                <w:rFonts w:cs="Calibri"/>
                <w:szCs w:val="16"/>
                <w:vertAlign w:val="superscript"/>
              </w:rPr>
              <w:t>o</w:t>
            </w:r>
            <w:r w:rsidRPr="00BE78CA">
              <w:rPr>
                <w:rFonts w:cs="Calibri"/>
                <w:szCs w:val="16"/>
              </w:rPr>
              <w:t>)</w:t>
            </w:r>
          </w:p>
        </w:tc>
        <w:tc>
          <w:tcPr>
            <w:tcW w:w="851" w:type="dxa"/>
            <w:tcBorders>
              <w:top w:val="single" w:sz="4" w:space="0" w:color="365F91"/>
              <w:left w:val="nil"/>
              <w:bottom w:val="single" w:sz="4" w:space="0" w:color="365F91"/>
              <w:right w:val="nil"/>
            </w:tcBorders>
            <w:shd w:val="clear" w:color="auto" w:fill="auto"/>
          </w:tcPr>
          <w:p w14:paraId="6A6D8961" w14:textId="77777777" w:rsidR="00F02481" w:rsidRPr="00BE78CA" w:rsidRDefault="00F02481" w:rsidP="00C26084">
            <w:pPr>
              <w:pStyle w:val="TableText"/>
              <w:spacing w:before="50" w:after="50"/>
              <w:jc w:val="right"/>
              <w:rPr>
                <w:rFonts w:cs="Calibri"/>
                <w:szCs w:val="16"/>
              </w:rPr>
            </w:pPr>
            <w:r w:rsidRPr="00BE78CA">
              <w:rPr>
                <w:rFonts w:cs="Calibri"/>
                <w:szCs w:val="16"/>
              </w:rPr>
              <w:t>10</w:t>
            </w:r>
          </w:p>
        </w:tc>
        <w:tc>
          <w:tcPr>
            <w:tcW w:w="851" w:type="dxa"/>
            <w:tcBorders>
              <w:top w:val="single" w:sz="4" w:space="0" w:color="365F91"/>
              <w:left w:val="nil"/>
              <w:bottom w:val="single" w:sz="4" w:space="0" w:color="365F91"/>
              <w:right w:val="nil"/>
            </w:tcBorders>
            <w:shd w:val="clear" w:color="auto" w:fill="auto"/>
          </w:tcPr>
          <w:p w14:paraId="073C3917" w14:textId="77777777" w:rsidR="00F02481" w:rsidRPr="00BE78CA" w:rsidRDefault="00F02481" w:rsidP="00C26084">
            <w:pPr>
              <w:pStyle w:val="TableText"/>
              <w:spacing w:before="50" w:after="50"/>
              <w:jc w:val="right"/>
              <w:rPr>
                <w:rFonts w:cs="Calibri"/>
                <w:szCs w:val="16"/>
              </w:rPr>
            </w:pPr>
            <w:r w:rsidRPr="00BE78CA">
              <w:rPr>
                <w:rFonts w:cs="Calibri"/>
                <w:szCs w:val="16"/>
              </w:rPr>
              <w:t>10</w:t>
            </w:r>
          </w:p>
        </w:tc>
        <w:tc>
          <w:tcPr>
            <w:tcW w:w="851" w:type="dxa"/>
            <w:tcBorders>
              <w:top w:val="single" w:sz="4" w:space="0" w:color="365F91"/>
              <w:left w:val="nil"/>
              <w:bottom w:val="single" w:sz="4" w:space="0" w:color="365F91"/>
              <w:right w:val="nil"/>
            </w:tcBorders>
            <w:shd w:val="clear" w:color="auto" w:fill="auto"/>
          </w:tcPr>
          <w:p w14:paraId="2C66DB95" w14:textId="77777777" w:rsidR="00F02481" w:rsidRPr="00BE78CA" w:rsidRDefault="00F02481" w:rsidP="00C26084">
            <w:pPr>
              <w:pStyle w:val="TableText"/>
              <w:spacing w:before="50" w:after="50"/>
              <w:jc w:val="right"/>
              <w:rPr>
                <w:rFonts w:cs="Calibri"/>
                <w:szCs w:val="16"/>
              </w:rPr>
            </w:pPr>
          </w:p>
        </w:tc>
        <w:tc>
          <w:tcPr>
            <w:tcW w:w="851" w:type="dxa"/>
            <w:tcBorders>
              <w:top w:val="single" w:sz="4" w:space="0" w:color="365F91"/>
              <w:left w:val="nil"/>
              <w:bottom w:val="single" w:sz="4" w:space="0" w:color="365F91"/>
              <w:right w:val="nil"/>
            </w:tcBorders>
            <w:shd w:val="clear" w:color="auto" w:fill="auto"/>
          </w:tcPr>
          <w:p w14:paraId="0102ADC3" w14:textId="77777777" w:rsidR="00F02481" w:rsidRPr="00BE78CA" w:rsidRDefault="00F02481" w:rsidP="00C26084">
            <w:pPr>
              <w:pStyle w:val="TableText"/>
              <w:spacing w:before="50" w:after="50"/>
              <w:jc w:val="right"/>
              <w:rPr>
                <w:rFonts w:cs="Calibri"/>
                <w:szCs w:val="16"/>
              </w:rPr>
            </w:pPr>
          </w:p>
        </w:tc>
        <w:tc>
          <w:tcPr>
            <w:tcW w:w="851" w:type="dxa"/>
            <w:tcBorders>
              <w:top w:val="single" w:sz="4" w:space="0" w:color="365F91"/>
              <w:left w:val="nil"/>
              <w:bottom w:val="single" w:sz="4" w:space="0" w:color="365F91"/>
              <w:right w:val="nil"/>
            </w:tcBorders>
            <w:shd w:val="clear" w:color="auto" w:fill="auto"/>
          </w:tcPr>
          <w:p w14:paraId="5ED0C204" w14:textId="77777777" w:rsidR="00F02481" w:rsidRPr="00BE78CA" w:rsidRDefault="00F02481" w:rsidP="00C26084">
            <w:pPr>
              <w:pStyle w:val="TableText"/>
              <w:spacing w:before="50" w:after="50"/>
              <w:jc w:val="right"/>
              <w:rPr>
                <w:rFonts w:cs="Calibri"/>
                <w:szCs w:val="16"/>
              </w:rPr>
            </w:pPr>
            <w:r w:rsidRPr="00BE78CA">
              <w:rPr>
                <w:rFonts w:cs="Calibri"/>
                <w:szCs w:val="16"/>
              </w:rPr>
              <w:t>20</w:t>
            </w:r>
          </w:p>
        </w:tc>
      </w:tr>
      <w:tr w:rsidR="00F02481" w:rsidRPr="00BE78CA" w14:paraId="220BD96B" w14:textId="77777777" w:rsidTr="00477DE6">
        <w:tc>
          <w:tcPr>
            <w:tcW w:w="2098" w:type="dxa"/>
            <w:tcBorders>
              <w:top w:val="single" w:sz="4" w:space="0" w:color="365F91"/>
              <w:left w:val="nil"/>
              <w:bottom w:val="single" w:sz="4" w:space="0" w:color="365F91"/>
              <w:right w:val="nil"/>
            </w:tcBorders>
            <w:shd w:val="clear" w:color="auto" w:fill="auto"/>
          </w:tcPr>
          <w:p w14:paraId="41C11EBF" w14:textId="77777777" w:rsidR="00F02481" w:rsidRPr="00BE78CA" w:rsidRDefault="00F02481" w:rsidP="00C26084">
            <w:pPr>
              <w:pStyle w:val="TableText"/>
              <w:spacing w:before="50" w:after="50"/>
              <w:rPr>
                <w:rFonts w:cs="Calibri"/>
                <w:szCs w:val="16"/>
              </w:rPr>
            </w:pPr>
            <w:r w:rsidRPr="00BE78CA">
              <w:rPr>
                <w:rFonts w:cs="Calibri"/>
                <w:szCs w:val="16"/>
              </w:rPr>
              <w:t>Sheep urine</w:t>
            </w:r>
          </w:p>
        </w:tc>
        <w:tc>
          <w:tcPr>
            <w:tcW w:w="1814" w:type="dxa"/>
            <w:tcBorders>
              <w:top w:val="single" w:sz="4" w:space="0" w:color="365F91"/>
              <w:left w:val="nil"/>
              <w:bottom w:val="single" w:sz="4" w:space="0" w:color="365F91"/>
              <w:right w:val="nil"/>
            </w:tcBorders>
          </w:tcPr>
          <w:p w14:paraId="28C5617A" w14:textId="77777777" w:rsidR="00F02481" w:rsidRPr="00BE78CA" w:rsidRDefault="00F02481" w:rsidP="00C26084">
            <w:pPr>
              <w:pStyle w:val="TableText"/>
              <w:spacing w:before="50" w:after="50"/>
              <w:rPr>
                <w:rFonts w:cs="Calibri"/>
                <w:szCs w:val="16"/>
              </w:rPr>
            </w:pPr>
            <w:r w:rsidRPr="00BE78CA">
              <w:rPr>
                <w:rFonts w:cs="Calibri"/>
                <w:szCs w:val="16"/>
              </w:rPr>
              <w:t>Flatland (0</w:t>
            </w:r>
            <w:r w:rsidRPr="00BE78CA">
              <w:rPr>
                <w:rFonts w:cs="Calibri"/>
                <w:szCs w:val="16"/>
                <w:vertAlign w:val="superscript"/>
              </w:rPr>
              <w:t>o</w:t>
            </w:r>
            <w:r w:rsidRPr="00BE78CA">
              <w:rPr>
                <w:rFonts w:cs="Calibri"/>
                <w:szCs w:val="16"/>
              </w:rPr>
              <w:t>)</w:t>
            </w:r>
          </w:p>
        </w:tc>
        <w:tc>
          <w:tcPr>
            <w:tcW w:w="851" w:type="dxa"/>
            <w:tcBorders>
              <w:top w:val="single" w:sz="4" w:space="0" w:color="365F91"/>
              <w:left w:val="nil"/>
              <w:bottom w:val="single" w:sz="4" w:space="0" w:color="365F91"/>
              <w:right w:val="nil"/>
            </w:tcBorders>
            <w:shd w:val="clear" w:color="auto" w:fill="auto"/>
          </w:tcPr>
          <w:p w14:paraId="373941DD" w14:textId="77777777" w:rsidR="00F02481" w:rsidRPr="00BE78CA" w:rsidRDefault="00F02481" w:rsidP="00C26084">
            <w:pPr>
              <w:pStyle w:val="TableText"/>
              <w:spacing w:before="50" w:after="50"/>
              <w:jc w:val="right"/>
              <w:rPr>
                <w:rFonts w:cs="Calibri"/>
                <w:szCs w:val="16"/>
              </w:rPr>
            </w:pPr>
            <w:r w:rsidRPr="00BE78CA">
              <w:rPr>
                <w:rFonts w:cs="Calibri"/>
                <w:szCs w:val="16"/>
              </w:rPr>
              <w:t>8</w:t>
            </w:r>
          </w:p>
        </w:tc>
        <w:tc>
          <w:tcPr>
            <w:tcW w:w="851" w:type="dxa"/>
            <w:tcBorders>
              <w:top w:val="single" w:sz="4" w:space="0" w:color="365F91"/>
              <w:left w:val="nil"/>
              <w:bottom w:val="single" w:sz="4" w:space="0" w:color="365F91"/>
              <w:right w:val="nil"/>
            </w:tcBorders>
            <w:shd w:val="clear" w:color="auto" w:fill="auto"/>
          </w:tcPr>
          <w:p w14:paraId="2AA08C22" w14:textId="77777777" w:rsidR="00F02481" w:rsidRPr="00BE78CA" w:rsidRDefault="00F02481" w:rsidP="00C26084">
            <w:pPr>
              <w:pStyle w:val="TableText"/>
              <w:spacing w:before="50" w:after="50"/>
              <w:jc w:val="right"/>
              <w:rPr>
                <w:rFonts w:cs="Calibri"/>
                <w:szCs w:val="16"/>
              </w:rPr>
            </w:pPr>
            <w:r w:rsidRPr="00BE78CA">
              <w:rPr>
                <w:rFonts w:cs="Calibri"/>
                <w:szCs w:val="16"/>
              </w:rPr>
              <w:t>8</w:t>
            </w:r>
          </w:p>
        </w:tc>
        <w:tc>
          <w:tcPr>
            <w:tcW w:w="851" w:type="dxa"/>
            <w:tcBorders>
              <w:top w:val="single" w:sz="4" w:space="0" w:color="365F91"/>
              <w:left w:val="nil"/>
              <w:bottom w:val="single" w:sz="4" w:space="0" w:color="365F91"/>
              <w:right w:val="nil"/>
            </w:tcBorders>
            <w:shd w:val="clear" w:color="auto" w:fill="auto"/>
          </w:tcPr>
          <w:p w14:paraId="6C2CCDD0" w14:textId="77777777" w:rsidR="00F02481" w:rsidRPr="00BE78CA" w:rsidRDefault="00F02481" w:rsidP="00C26084">
            <w:pPr>
              <w:pStyle w:val="TableText"/>
              <w:spacing w:before="50" w:after="50"/>
              <w:jc w:val="right"/>
              <w:rPr>
                <w:rFonts w:cs="Calibri"/>
                <w:szCs w:val="16"/>
              </w:rPr>
            </w:pPr>
            <w:r w:rsidRPr="00BE78CA">
              <w:rPr>
                <w:rFonts w:cs="Calibri"/>
                <w:szCs w:val="16"/>
              </w:rPr>
              <w:t>20</w:t>
            </w:r>
          </w:p>
        </w:tc>
        <w:tc>
          <w:tcPr>
            <w:tcW w:w="851" w:type="dxa"/>
            <w:tcBorders>
              <w:top w:val="single" w:sz="4" w:space="0" w:color="365F91"/>
              <w:left w:val="nil"/>
              <w:bottom w:val="single" w:sz="4" w:space="0" w:color="365F91"/>
              <w:right w:val="nil"/>
            </w:tcBorders>
            <w:shd w:val="clear" w:color="auto" w:fill="auto"/>
          </w:tcPr>
          <w:p w14:paraId="0DE0A01F" w14:textId="77777777" w:rsidR="00F02481" w:rsidRPr="00BE78CA" w:rsidRDefault="00F02481" w:rsidP="00C26084">
            <w:pPr>
              <w:pStyle w:val="TableText"/>
              <w:spacing w:before="50" w:after="50"/>
              <w:jc w:val="right"/>
              <w:rPr>
                <w:rFonts w:cs="Calibri"/>
                <w:szCs w:val="16"/>
              </w:rPr>
            </w:pPr>
          </w:p>
        </w:tc>
        <w:tc>
          <w:tcPr>
            <w:tcW w:w="851" w:type="dxa"/>
            <w:tcBorders>
              <w:top w:val="single" w:sz="4" w:space="0" w:color="365F91"/>
              <w:left w:val="nil"/>
              <w:bottom w:val="single" w:sz="4" w:space="0" w:color="365F91"/>
              <w:right w:val="nil"/>
            </w:tcBorders>
            <w:shd w:val="clear" w:color="auto" w:fill="auto"/>
          </w:tcPr>
          <w:p w14:paraId="7D6B8CF7" w14:textId="77777777" w:rsidR="00F02481" w:rsidRPr="00BE78CA" w:rsidRDefault="00F02481" w:rsidP="00C26084">
            <w:pPr>
              <w:pStyle w:val="TableText"/>
              <w:spacing w:before="50" w:after="50"/>
              <w:jc w:val="right"/>
              <w:rPr>
                <w:rFonts w:cs="Calibri"/>
                <w:szCs w:val="16"/>
              </w:rPr>
            </w:pPr>
            <w:r w:rsidRPr="00BE78CA">
              <w:rPr>
                <w:rFonts w:cs="Calibri"/>
                <w:szCs w:val="16"/>
              </w:rPr>
              <w:t>36</w:t>
            </w:r>
          </w:p>
        </w:tc>
      </w:tr>
      <w:tr w:rsidR="00F02481" w:rsidRPr="00BE78CA" w14:paraId="5FF92952" w14:textId="77777777" w:rsidTr="00477DE6">
        <w:tc>
          <w:tcPr>
            <w:tcW w:w="2098" w:type="dxa"/>
            <w:tcBorders>
              <w:top w:val="single" w:sz="4" w:space="0" w:color="365F91"/>
              <w:left w:val="nil"/>
              <w:bottom w:val="single" w:sz="4" w:space="0" w:color="365F91"/>
              <w:right w:val="nil"/>
            </w:tcBorders>
            <w:shd w:val="clear" w:color="auto" w:fill="auto"/>
          </w:tcPr>
          <w:p w14:paraId="3BA090BF" w14:textId="77777777" w:rsidR="00F02481" w:rsidRPr="00BE78CA" w:rsidRDefault="00F02481" w:rsidP="00C26084">
            <w:pPr>
              <w:pStyle w:val="TableText"/>
              <w:spacing w:before="50" w:after="50"/>
              <w:jc w:val="right"/>
              <w:rPr>
                <w:rFonts w:cs="Calibri"/>
                <w:szCs w:val="16"/>
              </w:rPr>
            </w:pPr>
          </w:p>
        </w:tc>
        <w:tc>
          <w:tcPr>
            <w:tcW w:w="1814" w:type="dxa"/>
            <w:tcBorders>
              <w:top w:val="single" w:sz="4" w:space="0" w:color="365F91"/>
              <w:left w:val="nil"/>
              <w:bottom w:val="single" w:sz="4" w:space="0" w:color="365F91"/>
              <w:right w:val="nil"/>
            </w:tcBorders>
          </w:tcPr>
          <w:p w14:paraId="19DDD60B" w14:textId="77777777" w:rsidR="00F02481" w:rsidRPr="00BE78CA" w:rsidRDefault="00F02481" w:rsidP="00C26084">
            <w:pPr>
              <w:pStyle w:val="TableText"/>
              <w:spacing w:before="50" w:after="50"/>
              <w:rPr>
                <w:rFonts w:cs="Calibri"/>
                <w:szCs w:val="16"/>
              </w:rPr>
            </w:pPr>
            <w:r w:rsidRPr="00BE78CA">
              <w:rPr>
                <w:rFonts w:cs="Calibri"/>
                <w:szCs w:val="16"/>
              </w:rPr>
              <w:t>Low slope (0–12</w:t>
            </w:r>
            <w:r w:rsidRPr="00BE78CA">
              <w:rPr>
                <w:rFonts w:cs="Calibri"/>
                <w:szCs w:val="16"/>
                <w:vertAlign w:val="superscript"/>
              </w:rPr>
              <w:t>o</w:t>
            </w:r>
            <w:r w:rsidRPr="00BE78CA">
              <w:rPr>
                <w:rFonts w:cs="Calibri"/>
                <w:szCs w:val="16"/>
              </w:rPr>
              <w:t>)</w:t>
            </w:r>
          </w:p>
        </w:tc>
        <w:tc>
          <w:tcPr>
            <w:tcW w:w="851" w:type="dxa"/>
            <w:tcBorders>
              <w:top w:val="single" w:sz="4" w:space="0" w:color="365F91"/>
              <w:left w:val="nil"/>
              <w:bottom w:val="single" w:sz="4" w:space="0" w:color="365F91"/>
              <w:right w:val="nil"/>
            </w:tcBorders>
            <w:shd w:val="clear" w:color="auto" w:fill="auto"/>
          </w:tcPr>
          <w:p w14:paraId="6E6911A0" w14:textId="77777777" w:rsidR="00F02481" w:rsidRPr="00BE78CA" w:rsidRDefault="00F02481" w:rsidP="00C26084">
            <w:pPr>
              <w:pStyle w:val="TableText"/>
              <w:spacing w:before="50" w:after="50"/>
              <w:jc w:val="right"/>
              <w:rPr>
                <w:rFonts w:cs="Calibri"/>
                <w:szCs w:val="16"/>
              </w:rPr>
            </w:pPr>
            <w:r w:rsidRPr="00BE78CA">
              <w:rPr>
                <w:rFonts w:cs="Calibri"/>
                <w:szCs w:val="16"/>
              </w:rPr>
              <w:t>24</w:t>
            </w:r>
          </w:p>
        </w:tc>
        <w:tc>
          <w:tcPr>
            <w:tcW w:w="851" w:type="dxa"/>
            <w:tcBorders>
              <w:top w:val="single" w:sz="4" w:space="0" w:color="365F91"/>
              <w:left w:val="nil"/>
              <w:bottom w:val="single" w:sz="4" w:space="0" w:color="365F91"/>
              <w:right w:val="nil"/>
            </w:tcBorders>
            <w:shd w:val="clear" w:color="auto" w:fill="auto"/>
          </w:tcPr>
          <w:p w14:paraId="4FD618B7" w14:textId="77777777" w:rsidR="00F02481" w:rsidRPr="00BE78CA" w:rsidRDefault="00F02481" w:rsidP="00C26084">
            <w:pPr>
              <w:pStyle w:val="TableText"/>
              <w:spacing w:before="50" w:after="50"/>
              <w:jc w:val="right"/>
              <w:rPr>
                <w:rFonts w:cs="Calibri"/>
                <w:szCs w:val="16"/>
              </w:rPr>
            </w:pPr>
          </w:p>
        </w:tc>
        <w:tc>
          <w:tcPr>
            <w:tcW w:w="851" w:type="dxa"/>
            <w:tcBorders>
              <w:top w:val="single" w:sz="4" w:space="0" w:color="365F91"/>
              <w:left w:val="nil"/>
              <w:bottom w:val="single" w:sz="4" w:space="0" w:color="365F91"/>
              <w:right w:val="nil"/>
            </w:tcBorders>
            <w:shd w:val="clear" w:color="auto" w:fill="auto"/>
          </w:tcPr>
          <w:p w14:paraId="637F0C67" w14:textId="77777777" w:rsidR="00F02481" w:rsidRPr="00BE78CA" w:rsidRDefault="00F02481" w:rsidP="00C26084">
            <w:pPr>
              <w:pStyle w:val="TableText"/>
              <w:spacing w:before="50" w:after="50"/>
              <w:jc w:val="right"/>
              <w:rPr>
                <w:rFonts w:cs="Calibri"/>
                <w:szCs w:val="16"/>
              </w:rPr>
            </w:pPr>
            <w:r w:rsidRPr="00BE78CA">
              <w:rPr>
                <w:rFonts w:cs="Calibri"/>
                <w:szCs w:val="16"/>
              </w:rPr>
              <w:t>44</w:t>
            </w:r>
          </w:p>
        </w:tc>
        <w:tc>
          <w:tcPr>
            <w:tcW w:w="851" w:type="dxa"/>
            <w:tcBorders>
              <w:top w:val="single" w:sz="4" w:space="0" w:color="365F91"/>
              <w:left w:val="nil"/>
              <w:bottom w:val="single" w:sz="4" w:space="0" w:color="365F91"/>
              <w:right w:val="nil"/>
            </w:tcBorders>
            <w:shd w:val="clear" w:color="auto" w:fill="auto"/>
          </w:tcPr>
          <w:p w14:paraId="1C0BC926" w14:textId="77777777" w:rsidR="00F02481" w:rsidRPr="00BE78CA" w:rsidRDefault="00F02481" w:rsidP="00C26084">
            <w:pPr>
              <w:pStyle w:val="TableText"/>
              <w:spacing w:before="50" w:after="50"/>
              <w:jc w:val="right"/>
              <w:rPr>
                <w:rFonts w:cs="Calibri"/>
                <w:szCs w:val="16"/>
              </w:rPr>
            </w:pPr>
          </w:p>
        </w:tc>
        <w:tc>
          <w:tcPr>
            <w:tcW w:w="851" w:type="dxa"/>
            <w:tcBorders>
              <w:top w:val="single" w:sz="4" w:space="0" w:color="365F91"/>
              <w:left w:val="nil"/>
              <w:bottom w:val="single" w:sz="4" w:space="0" w:color="365F91"/>
              <w:right w:val="nil"/>
            </w:tcBorders>
            <w:shd w:val="clear" w:color="auto" w:fill="auto"/>
          </w:tcPr>
          <w:p w14:paraId="0B3088B4" w14:textId="77777777" w:rsidR="00F02481" w:rsidRPr="00BE78CA" w:rsidRDefault="00F02481" w:rsidP="00C26084">
            <w:pPr>
              <w:pStyle w:val="TableText"/>
              <w:spacing w:before="50" w:after="50"/>
              <w:jc w:val="right"/>
              <w:rPr>
                <w:rFonts w:cs="Calibri"/>
                <w:szCs w:val="16"/>
              </w:rPr>
            </w:pPr>
            <w:r w:rsidRPr="00BE78CA">
              <w:rPr>
                <w:rFonts w:cs="Calibri"/>
                <w:szCs w:val="16"/>
              </w:rPr>
              <w:t>68</w:t>
            </w:r>
          </w:p>
        </w:tc>
      </w:tr>
      <w:tr w:rsidR="00F02481" w:rsidRPr="00BE78CA" w14:paraId="28F06925" w14:textId="77777777" w:rsidTr="00477DE6">
        <w:tc>
          <w:tcPr>
            <w:tcW w:w="2098" w:type="dxa"/>
            <w:tcBorders>
              <w:top w:val="single" w:sz="4" w:space="0" w:color="365F91"/>
              <w:left w:val="nil"/>
              <w:bottom w:val="single" w:sz="4" w:space="0" w:color="365F91"/>
              <w:right w:val="nil"/>
            </w:tcBorders>
            <w:shd w:val="clear" w:color="auto" w:fill="auto"/>
          </w:tcPr>
          <w:p w14:paraId="74B31703" w14:textId="77777777" w:rsidR="00F02481" w:rsidRPr="00BE78CA" w:rsidRDefault="00F02481" w:rsidP="00C26084">
            <w:pPr>
              <w:pStyle w:val="TableText"/>
              <w:spacing w:before="50" w:after="50"/>
              <w:jc w:val="right"/>
              <w:rPr>
                <w:rFonts w:cs="Calibri"/>
                <w:szCs w:val="16"/>
              </w:rPr>
            </w:pPr>
          </w:p>
        </w:tc>
        <w:tc>
          <w:tcPr>
            <w:tcW w:w="1814" w:type="dxa"/>
            <w:tcBorders>
              <w:top w:val="single" w:sz="4" w:space="0" w:color="365F91"/>
              <w:left w:val="nil"/>
              <w:bottom w:val="single" w:sz="4" w:space="0" w:color="365F91"/>
              <w:right w:val="nil"/>
            </w:tcBorders>
          </w:tcPr>
          <w:p w14:paraId="1586C155" w14:textId="77777777" w:rsidR="00F02481" w:rsidRPr="00BE78CA" w:rsidRDefault="00F02481" w:rsidP="00C26084">
            <w:pPr>
              <w:pStyle w:val="TableText"/>
              <w:spacing w:before="50" w:after="50"/>
              <w:rPr>
                <w:rFonts w:cs="Calibri"/>
                <w:szCs w:val="16"/>
              </w:rPr>
            </w:pPr>
            <w:r w:rsidRPr="00BE78CA">
              <w:rPr>
                <w:rFonts w:cs="Calibri"/>
                <w:szCs w:val="16"/>
              </w:rPr>
              <w:t>Medium slope (12–24</w:t>
            </w:r>
            <w:r w:rsidRPr="00BE78CA">
              <w:rPr>
                <w:rFonts w:cs="Calibri"/>
                <w:szCs w:val="16"/>
                <w:vertAlign w:val="superscript"/>
              </w:rPr>
              <w:t>o</w:t>
            </w:r>
            <w:r w:rsidRPr="00BE78CA">
              <w:rPr>
                <w:rFonts w:cs="Calibri"/>
                <w:szCs w:val="16"/>
              </w:rPr>
              <w:t>)</w:t>
            </w:r>
          </w:p>
        </w:tc>
        <w:tc>
          <w:tcPr>
            <w:tcW w:w="851" w:type="dxa"/>
            <w:tcBorders>
              <w:top w:val="single" w:sz="4" w:space="0" w:color="365F91"/>
              <w:left w:val="nil"/>
              <w:bottom w:val="single" w:sz="4" w:space="0" w:color="365F91"/>
              <w:right w:val="nil"/>
            </w:tcBorders>
            <w:shd w:val="clear" w:color="auto" w:fill="auto"/>
          </w:tcPr>
          <w:p w14:paraId="6DB39B70" w14:textId="77777777" w:rsidR="00F02481" w:rsidRPr="00BE78CA" w:rsidRDefault="00F02481" w:rsidP="00C26084">
            <w:pPr>
              <w:pStyle w:val="TableText"/>
              <w:spacing w:before="50" w:after="50"/>
              <w:jc w:val="right"/>
              <w:rPr>
                <w:rFonts w:cs="Calibri"/>
                <w:szCs w:val="16"/>
              </w:rPr>
            </w:pPr>
            <w:r w:rsidRPr="00BE78CA">
              <w:rPr>
                <w:rFonts w:cs="Calibri"/>
                <w:szCs w:val="16"/>
              </w:rPr>
              <w:t>30</w:t>
            </w:r>
          </w:p>
        </w:tc>
        <w:tc>
          <w:tcPr>
            <w:tcW w:w="851" w:type="dxa"/>
            <w:tcBorders>
              <w:top w:val="single" w:sz="4" w:space="0" w:color="365F91"/>
              <w:left w:val="nil"/>
              <w:bottom w:val="single" w:sz="4" w:space="0" w:color="365F91"/>
              <w:right w:val="nil"/>
            </w:tcBorders>
            <w:shd w:val="clear" w:color="auto" w:fill="auto"/>
          </w:tcPr>
          <w:p w14:paraId="1E5F156B" w14:textId="77777777" w:rsidR="00F02481" w:rsidRPr="00BE78CA" w:rsidRDefault="00F02481" w:rsidP="00C26084">
            <w:pPr>
              <w:pStyle w:val="TableText"/>
              <w:spacing w:before="50" w:after="50"/>
              <w:jc w:val="right"/>
              <w:rPr>
                <w:rFonts w:cs="Calibri"/>
                <w:szCs w:val="16"/>
              </w:rPr>
            </w:pPr>
            <w:r w:rsidRPr="00BE78CA">
              <w:rPr>
                <w:rFonts w:cs="Calibri"/>
                <w:szCs w:val="16"/>
              </w:rPr>
              <w:t>10</w:t>
            </w:r>
          </w:p>
        </w:tc>
        <w:tc>
          <w:tcPr>
            <w:tcW w:w="851" w:type="dxa"/>
            <w:tcBorders>
              <w:top w:val="single" w:sz="4" w:space="0" w:color="365F91"/>
              <w:left w:val="nil"/>
              <w:bottom w:val="single" w:sz="4" w:space="0" w:color="365F91"/>
              <w:right w:val="nil"/>
            </w:tcBorders>
            <w:shd w:val="clear" w:color="auto" w:fill="auto"/>
          </w:tcPr>
          <w:p w14:paraId="40C57BEB" w14:textId="77777777" w:rsidR="00F02481" w:rsidRPr="00BE78CA" w:rsidRDefault="00F02481" w:rsidP="00C26084">
            <w:pPr>
              <w:pStyle w:val="TableText"/>
              <w:spacing w:before="50" w:after="50"/>
              <w:jc w:val="right"/>
              <w:rPr>
                <w:rFonts w:cs="Calibri"/>
                <w:szCs w:val="16"/>
              </w:rPr>
            </w:pPr>
            <w:r w:rsidRPr="00BE78CA">
              <w:rPr>
                <w:rFonts w:cs="Calibri"/>
                <w:szCs w:val="16"/>
              </w:rPr>
              <w:t>20</w:t>
            </w:r>
          </w:p>
        </w:tc>
        <w:tc>
          <w:tcPr>
            <w:tcW w:w="851" w:type="dxa"/>
            <w:tcBorders>
              <w:top w:val="single" w:sz="4" w:space="0" w:color="365F91"/>
              <w:left w:val="nil"/>
              <w:bottom w:val="single" w:sz="4" w:space="0" w:color="365F91"/>
              <w:right w:val="nil"/>
            </w:tcBorders>
            <w:shd w:val="clear" w:color="auto" w:fill="auto"/>
          </w:tcPr>
          <w:p w14:paraId="732FBC3C" w14:textId="77777777" w:rsidR="00F02481" w:rsidRPr="00BE78CA" w:rsidRDefault="00F02481" w:rsidP="00C26084">
            <w:pPr>
              <w:pStyle w:val="TableText"/>
              <w:spacing w:before="50" w:after="50"/>
              <w:jc w:val="right"/>
              <w:rPr>
                <w:rFonts w:cs="Calibri"/>
                <w:szCs w:val="16"/>
              </w:rPr>
            </w:pPr>
          </w:p>
        </w:tc>
        <w:tc>
          <w:tcPr>
            <w:tcW w:w="851" w:type="dxa"/>
            <w:tcBorders>
              <w:top w:val="single" w:sz="4" w:space="0" w:color="365F91"/>
              <w:left w:val="nil"/>
              <w:bottom w:val="single" w:sz="4" w:space="0" w:color="365F91"/>
              <w:right w:val="nil"/>
            </w:tcBorders>
            <w:shd w:val="clear" w:color="auto" w:fill="auto"/>
          </w:tcPr>
          <w:p w14:paraId="09555026" w14:textId="77777777" w:rsidR="00F02481" w:rsidRPr="00BE78CA" w:rsidRDefault="00F02481" w:rsidP="00C26084">
            <w:pPr>
              <w:pStyle w:val="TableText"/>
              <w:spacing w:before="50" w:after="50"/>
              <w:jc w:val="right"/>
              <w:rPr>
                <w:rFonts w:cs="Calibri"/>
                <w:szCs w:val="16"/>
              </w:rPr>
            </w:pPr>
            <w:r w:rsidRPr="00BE78CA">
              <w:rPr>
                <w:rFonts w:cs="Calibri"/>
                <w:szCs w:val="16"/>
              </w:rPr>
              <w:t>60</w:t>
            </w:r>
          </w:p>
        </w:tc>
      </w:tr>
      <w:tr w:rsidR="00F02481" w:rsidRPr="00BE78CA" w14:paraId="26C42BBD" w14:textId="77777777" w:rsidTr="00477DE6">
        <w:tc>
          <w:tcPr>
            <w:tcW w:w="2098" w:type="dxa"/>
            <w:tcBorders>
              <w:top w:val="single" w:sz="4" w:space="0" w:color="365F91"/>
              <w:left w:val="nil"/>
              <w:bottom w:val="single" w:sz="4" w:space="0" w:color="365F91"/>
              <w:right w:val="nil"/>
            </w:tcBorders>
            <w:shd w:val="clear" w:color="auto" w:fill="auto"/>
          </w:tcPr>
          <w:p w14:paraId="29FE71C8" w14:textId="77777777" w:rsidR="00F02481" w:rsidRPr="00BE78CA" w:rsidRDefault="00F02481" w:rsidP="00C26084">
            <w:pPr>
              <w:pStyle w:val="TableText"/>
              <w:spacing w:before="50" w:after="50"/>
              <w:jc w:val="right"/>
              <w:rPr>
                <w:rFonts w:cs="Calibri"/>
                <w:szCs w:val="16"/>
              </w:rPr>
            </w:pPr>
          </w:p>
        </w:tc>
        <w:tc>
          <w:tcPr>
            <w:tcW w:w="1814" w:type="dxa"/>
            <w:tcBorders>
              <w:top w:val="single" w:sz="4" w:space="0" w:color="365F91"/>
              <w:left w:val="nil"/>
              <w:bottom w:val="single" w:sz="4" w:space="0" w:color="365F91"/>
              <w:right w:val="nil"/>
            </w:tcBorders>
          </w:tcPr>
          <w:p w14:paraId="215FC81F" w14:textId="77777777" w:rsidR="00F02481" w:rsidRPr="00BE78CA" w:rsidRDefault="00F02481" w:rsidP="00C26084">
            <w:pPr>
              <w:pStyle w:val="TableText"/>
              <w:spacing w:before="50" w:after="50"/>
              <w:rPr>
                <w:rFonts w:cs="Calibri"/>
                <w:szCs w:val="16"/>
              </w:rPr>
            </w:pPr>
            <w:r w:rsidRPr="00BE78CA">
              <w:rPr>
                <w:rFonts w:cs="Calibri"/>
                <w:szCs w:val="16"/>
              </w:rPr>
              <w:t>Steep slope (&gt;24</w:t>
            </w:r>
            <w:r w:rsidRPr="00BE78CA">
              <w:rPr>
                <w:rFonts w:cs="Calibri"/>
                <w:szCs w:val="16"/>
                <w:vertAlign w:val="superscript"/>
              </w:rPr>
              <w:t>o</w:t>
            </w:r>
            <w:r w:rsidRPr="00BE78CA">
              <w:rPr>
                <w:rFonts w:cs="Calibri"/>
                <w:szCs w:val="16"/>
              </w:rPr>
              <w:t>)</w:t>
            </w:r>
          </w:p>
        </w:tc>
        <w:tc>
          <w:tcPr>
            <w:tcW w:w="851" w:type="dxa"/>
            <w:tcBorders>
              <w:top w:val="single" w:sz="4" w:space="0" w:color="365F91"/>
              <w:left w:val="nil"/>
              <w:bottom w:val="single" w:sz="4" w:space="0" w:color="365F91"/>
              <w:right w:val="nil"/>
            </w:tcBorders>
            <w:shd w:val="clear" w:color="auto" w:fill="auto"/>
          </w:tcPr>
          <w:p w14:paraId="728D0528" w14:textId="77777777" w:rsidR="00F02481" w:rsidRPr="00BE78CA" w:rsidRDefault="00F02481" w:rsidP="00C26084">
            <w:pPr>
              <w:pStyle w:val="TableText"/>
              <w:spacing w:before="50" w:after="50"/>
              <w:jc w:val="right"/>
              <w:rPr>
                <w:rFonts w:cs="Calibri"/>
                <w:szCs w:val="16"/>
              </w:rPr>
            </w:pPr>
            <w:r w:rsidRPr="00BE78CA">
              <w:rPr>
                <w:rFonts w:cs="Calibri"/>
                <w:szCs w:val="16"/>
              </w:rPr>
              <w:t>10</w:t>
            </w:r>
          </w:p>
        </w:tc>
        <w:tc>
          <w:tcPr>
            <w:tcW w:w="851" w:type="dxa"/>
            <w:tcBorders>
              <w:top w:val="single" w:sz="4" w:space="0" w:color="365F91"/>
              <w:left w:val="nil"/>
              <w:bottom w:val="single" w:sz="4" w:space="0" w:color="365F91"/>
              <w:right w:val="nil"/>
            </w:tcBorders>
            <w:shd w:val="clear" w:color="auto" w:fill="auto"/>
          </w:tcPr>
          <w:p w14:paraId="270BBCB4" w14:textId="77777777" w:rsidR="00F02481" w:rsidRPr="00BE78CA" w:rsidRDefault="00F02481" w:rsidP="00C26084">
            <w:pPr>
              <w:pStyle w:val="TableText"/>
              <w:spacing w:before="50" w:after="50"/>
              <w:jc w:val="right"/>
              <w:rPr>
                <w:rFonts w:cs="Calibri"/>
                <w:szCs w:val="16"/>
              </w:rPr>
            </w:pPr>
            <w:r w:rsidRPr="00BE78CA">
              <w:rPr>
                <w:rFonts w:cs="Calibri"/>
                <w:szCs w:val="16"/>
              </w:rPr>
              <w:t>10</w:t>
            </w:r>
          </w:p>
        </w:tc>
        <w:tc>
          <w:tcPr>
            <w:tcW w:w="851" w:type="dxa"/>
            <w:tcBorders>
              <w:top w:val="single" w:sz="4" w:space="0" w:color="365F91"/>
              <w:left w:val="nil"/>
              <w:bottom w:val="single" w:sz="4" w:space="0" w:color="365F91"/>
              <w:right w:val="nil"/>
            </w:tcBorders>
            <w:shd w:val="clear" w:color="auto" w:fill="auto"/>
          </w:tcPr>
          <w:p w14:paraId="085311E5" w14:textId="77777777" w:rsidR="00F02481" w:rsidRPr="00BE78CA" w:rsidRDefault="00F02481" w:rsidP="00C26084">
            <w:pPr>
              <w:pStyle w:val="TableText"/>
              <w:spacing w:before="50" w:after="50"/>
              <w:jc w:val="right"/>
              <w:rPr>
                <w:rFonts w:cs="Calibri"/>
                <w:szCs w:val="16"/>
              </w:rPr>
            </w:pPr>
          </w:p>
        </w:tc>
        <w:tc>
          <w:tcPr>
            <w:tcW w:w="851" w:type="dxa"/>
            <w:tcBorders>
              <w:top w:val="single" w:sz="4" w:space="0" w:color="365F91"/>
              <w:left w:val="nil"/>
              <w:bottom w:val="single" w:sz="4" w:space="0" w:color="365F91"/>
              <w:right w:val="nil"/>
            </w:tcBorders>
            <w:shd w:val="clear" w:color="auto" w:fill="auto"/>
          </w:tcPr>
          <w:p w14:paraId="75E2431F" w14:textId="77777777" w:rsidR="00F02481" w:rsidRPr="00BE78CA" w:rsidRDefault="00F02481" w:rsidP="00C26084">
            <w:pPr>
              <w:pStyle w:val="TableText"/>
              <w:spacing w:before="50" w:after="50"/>
              <w:jc w:val="right"/>
              <w:rPr>
                <w:rFonts w:cs="Calibri"/>
                <w:szCs w:val="16"/>
              </w:rPr>
            </w:pPr>
          </w:p>
        </w:tc>
        <w:tc>
          <w:tcPr>
            <w:tcW w:w="851" w:type="dxa"/>
            <w:tcBorders>
              <w:top w:val="single" w:sz="4" w:space="0" w:color="365F91"/>
              <w:left w:val="nil"/>
              <w:bottom w:val="single" w:sz="4" w:space="0" w:color="365F91"/>
              <w:right w:val="nil"/>
            </w:tcBorders>
            <w:shd w:val="clear" w:color="auto" w:fill="auto"/>
          </w:tcPr>
          <w:p w14:paraId="043600AA" w14:textId="77777777" w:rsidR="00F02481" w:rsidRPr="00BE78CA" w:rsidRDefault="00F02481" w:rsidP="00C26084">
            <w:pPr>
              <w:pStyle w:val="TableText"/>
              <w:spacing w:before="50" w:after="50"/>
              <w:jc w:val="right"/>
              <w:rPr>
                <w:rFonts w:cs="Calibri"/>
                <w:szCs w:val="16"/>
              </w:rPr>
            </w:pPr>
            <w:r w:rsidRPr="00BE78CA">
              <w:rPr>
                <w:rFonts w:cs="Calibri"/>
                <w:szCs w:val="16"/>
              </w:rPr>
              <w:t>20</w:t>
            </w:r>
          </w:p>
        </w:tc>
      </w:tr>
      <w:tr w:rsidR="00F02481" w:rsidRPr="00BE78CA" w14:paraId="6C2FE333" w14:textId="77777777" w:rsidTr="00477DE6">
        <w:tc>
          <w:tcPr>
            <w:tcW w:w="2098" w:type="dxa"/>
            <w:tcBorders>
              <w:top w:val="single" w:sz="4" w:space="0" w:color="365F91"/>
              <w:left w:val="nil"/>
              <w:bottom w:val="single" w:sz="4" w:space="0" w:color="365F91"/>
              <w:right w:val="nil"/>
            </w:tcBorders>
            <w:shd w:val="clear" w:color="auto" w:fill="auto"/>
          </w:tcPr>
          <w:p w14:paraId="4ECEAB0E" w14:textId="77777777" w:rsidR="00F02481" w:rsidRPr="00BE78CA" w:rsidRDefault="00F02481" w:rsidP="00C26084">
            <w:pPr>
              <w:pStyle w:val="TableText"/>
              <w:spacing w:before="50" w:after="50"/>
              <w:rPr>
                <w:rFonts w:cs="Calibri"/>
                <w:szCs w:val="16"/>
              </w:rPr>
            </w:pPr>
            <w:r w:rsidRPr="00BE78CA">
              <w:rPr>
                <w:rFonts w:cs="Calibri"/>
                <w:szCs w:val="16"/>
              </w:rPr>
              <w:t>Sheep dung</w:t>
            </w:r>
          </w:p>
        </w:tc>
        <w:tc>
          <w:tcPr>
            <w:tcW w:w="1814" w:type="dxa"/>
            <w:tcBorders>
              <w:top w:val="single" w:sz="4" w:space="0" w:color="365F91"/>
              <w:left w:val="nil"/>
              <w:bottom w:val="single" w:sz="4" w:space="0" w:color="365F91"/>
              <w:right w:val="nil"/>
            </w:tcBorders>
          </w:tcPr>
          <w:p w14:paraId="6985172B" w14:textId="77777777" w:rsidR="00F02481" w:rsidRPr="00BE78CA" w:rsidRDefault="00F02481" w:rsidP="00C26084">
            <w:pPr>
              <w:pStyle w:val="TableText"/>
              <w:spacing w:before="50" w:after="50"/>
              <w:rPr>
                <w:rFonts w:cs="Calibri"/>
                <w:szCs w:val="16"/>
              </w:rPr>
            </w:pPr>
            <w:r w:rsidRPr="00BE78CA">
              <w:rPr>
                <w:rFonts w:cs="Calibri"/>
                <w:szCs w:val="16"/>
              </w:rPr>
              <w:t>Flatland (0</w:t>
            </w:r>
            <w:r w:rsidRPr="00BE78CA">
              <w:rPr>
                <w:rFonts w:cs="Calibri"/>
                <w:szCs w:val="16"/>
                <w:vertAlign w:val="superscript"/>
              </w:rPr>
              <w:t>o</w:t>
            </w:r>
            <w:r w:rsidRPr="00BE78CA">
              <w:rPr>
                <w:rFonts w:cs="Calibri"/>
                <w:szCs w:val="16"/>
              </w:rPr>
              <w:t>)</w:t>
            </w:r>
          </w:p>
        </w:tc>
        <w:tc>
          <w:tcPr>
            <w:tcW w:w="851" w:type="dxa"/>
            <w:tcBorders>
              <w:top w:val="single" w:sz="4" w:space="0" w:color="365F91"/>
              <w:left w:val="nil"/>
              <w:bottom w:val="single" w:sz="4" w:space="0" w:color="365F91"/>
              <w:right w:val="nil"/>
            </w:tcBorders>
            <w:shd w:val="clear" w:color="auto" w:fill="auto"/>
          </w:tcPr>
          <w:p w14:paraId="31D6B9B8" w14:textId="77777777" w:rsidR="00F02481" w:rsidRPr="00BE78CA" w:rsidRDefault="00F02481" w:rsidP="00C26084">
            <w:pPr>
              <w:pStyle w:val="TableText"/>
              <w:spacing w:before="50" w:after="50"/>
              <w:jc w:val="right"/>
              <w:rPr>
                <w:rFonts w:cs="Calibri"/>
                <w:szCs w:val="16"/>
              </w:rPr>
            </w:pPr>
            <w:r w:rsidRPr="00BE78CA">
              <w:rPr>
                <w:rFonts w:cs="Calibri"/>
                <w:szCs w:val="16"/>
              </w:rPr>
              <w:t>10</w:t>
            </w:r>
          </w:p>
        </w:tc>
        <w:tc>
          <w:tcPr>
            <w:tcW w:w="851" w:type="dxa"/>
            <w:tcBorders>
              <w:top w:val="single" w:sz="4" w:space="0" w:color="365F91"/>
              <w:left w:val="nil"/>
              <w:bottom w:val="single" w:sz="4" w:space="0" w:color="365F91"/>
              <w:right w:val="nil"/>
            </w:tcBorders>
            <w:shd w:val="clear" w:color="auto" w:fill="auto"/>
          </w:tcPr>
          <w:p w14:paraId="159F8D4E" w14:textId="77777777" w:rsidR="00F02481" w:rsidRPr="00BE78CA" w:rsidRDefault="00F02481" w:rsidP="00C26084">
            <w:pPr>
              <w:pStyle w:val="TableText"/>
              <w:spacing w:before="50" w:after="50"/>
              <w:jc w:val="right"/>
              <w:rPr>
                <w:rFonts w:cs="Calibri"/>
                <w:szCs w:val="16"/>
              </w:rPr>
            </w:pPr>
            <w:r w:rsidRPr="00BE78CA">
              <w:rPr>
                <w:rFonts w:cs="Calibri"/>
                <w:szCs w:val="16"/>
              </w:rPr>
              <w:t>16</w:t>
            </w:r>
          </w:p>
        </w:tc>
        <w:tc>
          <w:tcPr>
            <w:tcW w:w="851" w:type="dxa"/>
            <w:tcBorders>
              <w:top w:val="single" w:sz="4" w:space="0" w:color="365F91"/>
              <w:left w:val="nil"/>
              <w:bottom w:val="single" w:sz="4" w:space="0" w:color="365F91"/>
              <w:right w:val="nil"/>
            </w:tcBorders>
            <w:shd w:val="clear" w:color="auto" w:fill="auto"/>
          </w:tcPr>
          <w:p w14:paraId="24FCAB6D" w14:textId="77777777" w:rsidR="00F02481" w:rsidRPr="00BE78CA" w:rsidRDefault="00F02481" w:rsidP="00C26084">
            <w:pPr>
              <w:pStyle w:val="TableText"/>
              <w:spacing w:before="50" w:after="50"/>
              <w:jc w:val="right"/>
              <w:rPr>
                <w:rFonts w:cs="Calibri"/>
                <w:szCs w:val="16"/>
              </w:rPr>
            </w:pPr>
            <w:r w:rsidRPr="00BE78CA">
              <w:rPr>
                <w:rFonts w:cs="Calibri"/>
                <w:szCs w:val="16"/>
              </w:rPr>
              <w:t>28</w:t>
            </w:r>
          </w:p>
        </w:tc>
        <w:tc>
          <w:tcPr>
            <w:tcW w:w="851" w:type="dxa"/>
            <w:tcBorders>
              <w:top w:val="single" w:sz="4" w:space="0" w:color="365F91"/>
              <w:left w:val="nil"/>
              <w:bottom w:val="single" w:sz="4" w:space="0" w:color="365F91"/>
              <w:right w:val="nil"/>
            </w:tcBorders>
            <w:shd w:val="clear" w:color="auto" w:fill="auto"/>
          </w:tcPr>
          <w:p w14:paraId="0C493005" w14:textId="77777777" w:rsidR="00F02481" w:rsidRPr="00BE78CA" w:rsidRDefault="00F02481" w:rsidP="00C26084">
            <w:pPr>
              <w:pStyle w:val="TableText"/>
              <w:spacing w:before="50" w:after="50"/>
              <w:jc w:val="right"/>
              <w:rPr>
                <w:rFonts w:cs="Calibri"/>
                <w:szCs w:val="16"/>
              </w:rPr>
            </w:pPr>
          </w:p>
        </w:tc>
        <w:tc>
          <w:tcPr>
            <w:tcW w:w="851" w:type="dxa"/>
            <w:tcBorders>
              <w:top w:val="single" w:sz="4" w:space="0" w:color="365F91"/>
              <w:left w:val="nil"/>
              <w:bottom w:val="single" w:sz="4" w:space="0" w:color="365F91"/>
              <w:right w:val="nil"/>
            </w:tcBorders>
            <w:shd w:val="clear" w:color="auto" w:fill="auto"/>
          </w:tcPr>
          <w:p w14:paraId="6EC3E4DD" w14:textId="77777777" w:rsidR="00F02481" w:rsidRPr="00BE78CA" w:rsidRDefault="00F02481" w:rsidP="00C26084">
            <w:pPr>
              <w:pStyle w:val="TableText"/>
              <w:spacing w:before="50" w:after="50"/>
              <w:jc w:val="right"/>
              <w:rPr>
                <w:rFonts w:cs="Calibri"/>
                <w:szCs w:val="16"/>
              </w:rPr>
            </w:pPr>
            <w:r w:rsidRPr="00BE78CA">
              <w:rPr>
                <w:rFonts w:cs="Calibri"/>
                <w:szCs w:val="16"/>
              </w:rPr>
              <w:t>54</w:t>
            </w:r>
          </w:p>
        </w:tc>
      </w:tr>
      <w:tr w:rsidR="00F02481" w:rsidRPr="00BE78CA" w14:paraId="3CAA5B90" w14:textId="77777777" w:rsidTr="00477DE6">
        <w:tc>
          <w:tcPr>
            <w:tcW w:w="2098" w:type="dxa"/>
            <w:tcBorders>
              <w:top w:val="single" w:sz="4" w:space="0" w:color="365F91"/>
              <w:left w:val="nil"/>
              <w:bottom w:val="single" w:sz="4" w:space="0" w:color="365F91"/>
              <w:right w:val="nil"/>
            </w:tcBorders>
            <w:shd w:val="clear" w:color="auto" w:fill="auto"/>
          </w:tcPr>
          <w:p w14:paraId="042C118B" w14:textId="77777777" w:rsidR="00F02481" w:rsidRPr="00BE78CA" w:rsidRDefault="00F02481" w:rsidP="00C26084">
            <w:pPr>
              <w:pStyle w:val="TableText"/>
              <w:spacing w:before="50" w:after="50"/>
              <w:jc w:val="right"/>
              <w:rPr>
                <w:rFonts w:cs="Calibri"/>
                <w:szCs w:val="16"/>
              </w:rPr>
            </w:pPr>
          </w:p>
        </w:tc>
        <w:tc>
          <w:tcPr>
            <w:tcW w:w="1814" w:type="dxa"/>
            <w:tcBorders>
              <w:top w:val="single" w:sz="4" w:space="0" w:color="365F91"/>
              <w:left w:val="nil"/>
              <w:bottom w:val="single" w:sz="4" w:space="0" w:color="365F91"/>
              <w:right w:val="nil"/>
            </w:tcBorders>
          </w:tcPr>
          <w:p w14:paraId="29A9B845" w14:textId="77777777" w:rsidR="00F02481" w:rsidRPr="00BE78CA" w:rsidRDefault="00F02481" w:rsidP="00C26084">
            <w:pPr>
              <w:pStyle w:val="TableText"/>
              <w:spacing w:before="50" w:after="50"/>
              <w:rPr>
                <w:rFonts w:cs="Calibri"/>
                <w:szCs w:val="16"/>
              </w:rPr>
            </w:pPr>
            <w:r w:rsidRPr="00BE78CA">
              <w:rPr>
                <w:rFonts w:cs="Calibri"/>
                <w:szCs w:val="16"/>
              </w:rPr>
              <w:t>Low slope (0–12</w:t>
            </w:r>
            <w:r w:rsidRPr="00BE78CA">
              <w:rPr>
                <w:rFonts w:cs="Calibri"/>
                <w:szCs w:val="16"/>
                <w:vertAlign w:val="superscript"/>
              </w:rPr>
              <w:t>o</w:t>
            </w:r>
            <w:r w:rsidRPr="00BE78CA">
              <w:rPr>
                <w:rFonts w:cs="Calibri"/>
                <w:szCs w:val="16"/>
              </w:rPr>
              <w:t>)</w:t>
            </w:r>
          </w:p>
        </w:tc>
        <w:tc>
          <w:tcPr>
            <w:tcW w:w="851" w:type="dxa"/>
            <w:tcBorders>
              <w:top w:val="single" w:sz="4" w:space="0" w:color="365F91"/>
              <w:left w:val="nil"/>
              <w:bottom w:val="single" w:sz="4" w:space="0" w:color="365F91"/>
              <w:right w:val="nil"/>
            </w:tcBorders>
            <w:shd w:val="clear" w:color="auto" w:fill="auto"/>
          </w:tcPr>
          <w:p w14:paraId="6F0F0070" w14:textId="77777777" w:rsidR="00F02481" w:rsidRPr="00BE78CA" w:rsidRDefault="00F02481" w:rsidP="00C26084">
            <w:pPr>
              <w:pStyle w:val="TableText"/>
              <w:spacing w:before="50" w:after="50"/>
              <w:jc w:val="right"/>
              <w:rPr>
                <w:rFonts w:cs="Calibri"/>
                <w:szCs w:val="16"/>
              </w:rPr>
            </w:pPr>
            <w:r w:rsidRPr="00BE78CA">
              <w:rPr>
                <w:rFonts w:cs="Calibri"/>
                <w:szCs w:val="16"/>
              </w:rPr>
              <w:t>20</w:t>
            </w:r>
          </w:p>
        </w:tc>
        <w:tc>
          <w:tcPr>
            <w:tcW w:w="851" w:type="dxa"/>
            <w:tcBorders>
              <w:top w:val="single" w:sz="4" w:space="0" w:color="365F91"/>
              <w:left w:val="nil"/>
              <w:bottom w:val="single" w:sz="4" w:space="0" w:color="365F91"/>
              <w:right w:val="nil"/>
            </w:tcBorders>
            <w:shd w:val="clear" w:color="auto" w:fill="auto"/>
          </w:tcPr>
          <w:p w14:paraId="2D90AC92" w14:textId="77777777" w:rsidR="00F02481" w:rsidRPr="00BE78CA" w:rsidRDefault="00F02481" w:rsidP="00C26084">
            <w:pPr>
              <w:pStyle w:val="TableText"/>
              <w:spacing w:before="50" w:after="50"/>
              <w:jc w:val="right"/>
              <w:rPr>
                <w:rFonts w:cs="Calibri"/>
                <w:szCs w:val="16"/>
              </w:rPr>
            </w:pPr>
            <w:r w:rsidRPr="00BE78CA">
              <w:rPr>
                <w:rFonts w:cs="Calibri"/>
                <w:szCs w:val="16"/>
              </w:rPr>
              <w:t>8</w:t>
            </w:r>
          </w:p>
        </w:tc>
        <w:tc>
          <w:tcPr>
            <w:tcW w:w="851" w:type="dxa"/>
            <w:tcBorders>
              <w:top w:val="single" w:sz="4" w:space="0" w:color="365F91"/>
              <w:left w:val="nil"/>
              <w:bottom w:val="single" w:sz="4" w:space="0" w:color="365F91"/>
              <w:right w:val="nil"/>
            </w:tcBorders>
            <w:shd w:val="clear" w:color="auto" w:fill="auto"/>
          </w:tcPr>
          <w:p w14:paraId="22391576" w14:textId="77777777" w:rsidR="00F02481" w:rsidRPr="00BE78CA" w:rsidRDefault="00F02481" w:rsidP="00C26084">
            <w:pPr>
              <w:pStyle w:val="TableText"/>
              <w:spacing w:before="50" w:after="50"/>
              <w:jc w:val="right"/>
              <w:rPr>
                <w:rFonts w:cs="Calibri"/>
                <w:szCs w:val="16"/>
              </w:rPr>
            </w:pPr>
            <w:r w:rsidRPr="00BE78CA">
              <w:rPr>
                <w:rFonts w:cs="Calibri"/>
                <w:szCs w:val="16"/>
              </w:rPr>
              <w:t>8</w:t>
            </w:r>
          </w:p>
        </w:tc>
        <w:tc>
          <w:tcPr>
            <w:tcW w:w="851" w:type="dxa"/>
            <w:tcBorders>
              <w:top w:val="single" w:sz="4" w:space="0" w:color="365F91"/>
              <w:left w:val="nil"/>
              <w:bottom w:val="single" w:sz="4" w:space="0" w:color="365F91"/>
              <w:right w:val="nil"/>
            </w:tcBorders>
            <w:shd w:val="clear" w:color="auto" w:fill="auto"/>
          </w:tcPr>
          <w:p w14:paraId="02F92118" w14:textId="77777777" w:rsidR="00F02481" w:rsidRPr="00BE78CA" w:rsidRDefault="00F02481" w:rsidP="00C26084">
            <w:pPr>
              <w:pStyle w:val="TableText"/>
              <w:spacing w:before="50" w:after="50"/>
              <w:jc w:val="right"/>
              <w:rPr>
                <w:rFonts w:cs="Calibri"/>
                <w:szCs w:val="16"/>
              </w:rPr>
            </w:pPr>
          </w:p>
        </w:tc>
        <w:tc>
          <w:tcPr>
            <w:tcW w:w="851" w:type="dxa"/>
            <w:tcBorders>
              <w:top w:val="single" w:sz="4" w:space="0" w:color="365F91"/>
              <w:left w:val="nil"/>
              <w:bottom w:val="single" w:sz="4" w:space="0" w:color="365F91"/>
              <w:right w:val="nil"/>
            </w:tcBorders>
            <w:shd w:val="clear" w:color="auto" w:fill="auto"/>
          </w:tcPr>
          <w:p w14:paraId="2A77454D" w14:textId="77777777" w:rsidR="00F02481" w:rsidRPr="00BE78CA" w:rsidRDefault="00F02481" w:rsidP="00C26084">
            <w:pPr>
              <w:pStyle w:val="TableText"/>
              <w:spacing w:before="50" w:after="50"/>
              <w:jc w:val="right"/>
              <w:rPr>
                <w:rFonts w:cs="Calibri"/>
                <w:szCs w:val="16"/>
              </w:rPr>
            </w:pPr>
            <w:r w:rsidRPr="00BE78CA">
              <w:rPr>
                <w:rFonts w:cs="Calibri"/>
                <w:szCs w:val="16"/>
              </w:rPr>
              <w:t>36</w:t>
            </w:r>
          </w:p>
        </w:tc>
      </w:tr>
      <w:tr w:rsidR="00F02481" w:rsidRPr="00BE78CA" w14:paraId="5C4F256D" w14:textId="77777777" w:rsidTr="00477DE6">
        <w:tc>
          <w:tcPr>
            <w:tcW w:w="2098" w:type="dxa"/>
            <w:tcBorders>
              <w:top w:val="single" w:sz="4" w:space="0" w:color="365F91"/>
              <w:left w:val="nil"/>
              <w:bottom w:val="single" w:sz="4" w:space="0" w:color="365F91"/>
              <w:right w:val="nil"/>
            </w:tcBorders>
            <w:shd w:val="clear" w:color="auto" w:fill="auto"/>
          </w:tcPr>
          <w:p w14:paraId="6E8783D1" w14:textId="77777777" w:rsidR="00F02481" w:rsidRPr="00BE78CA" w:rsidRDefault="00F02481" w:rsidP="00C26084">
            <w:pPr>
              <w:pStyle w:val="TableText"/>
              <w:spacing w:before="50" w:after="50"/>
              <w:jc w:val="right"/>
              <w:rPr>
                <w:rFonts w:cs="Calibri"/>
                <w:szCs w:val="16"/>
              </w:rPr>
            </w:pPr>
          </w:p>
        </w:tc>
        <w:tc>
          <w:tcPr>
            <w:tcW w:w="1814" w:type="dxa"/>
            <w:tcBorders>
              <w:top w:val="single" w:sz="4" w:space="0" w:color="365F91"/>
              <w:left w:val="nil"/>
              <w:bottom w:val="single" w:sz="4" w:space="0" w:color="365F91"/>
              <w:right w:val="nil"/>
            </w:tcBorders>
          </w:tcPr>
          <w:p w14:paraId="5FD8E754" w14:textId="77777777" w:rsidR="00F02481" w:rsidRPr="00BE78CA" w:rsidRDefault="00F02481" w:rsidP="00C26084">
            <w:pPr>
              <w:pStyle w:val="TableText"/>
              <w:spacing w:before="50" w:after="50"/>
              <w:rPr>
                <w:rFonts w:cs="Calibri"/>
                <w:szCs w:val="16"/>
              </w:rPr>
            </w:pPr>
            <w:r w:rsidRPr="00BE78CA">
              <w:rPr>
                <w:rFonts w:cs="Calibri"/>
                <w:szCs w:val="16"/>
              </w:rPr>
              <w:t>Medium slope (12–24</w:t>
            </w:r>
            <w:r w:rsidRPr="00BE78CA">
              <w:rPr>
                <w:rFonts w:cs="Calibri"/>
                <w:szCs w:val="16"/>
                <w:vertAlign w:val="superscript"/>
              </w:rPr>
              <w:t>o</w:t>
            </w:r>
            <w:r w:rsidRPr="00BE78CA">
              <w:rPr>
                <w:rFonts w:cs="Calibri"/>
                <w:szCs w:val="16"/>
              </w:rPr>
              <w:t>)</w:t>
            </w:r>
          </w:p>
        </w:tc>
        <w:tc>
          <w:tcPr>
            <w:tcW w:w="851" w:type="dxa"/>
            <w:tcBorders>
              <w:top w:val="single" w:sz="4" w:space="0" w:color="365F91"/>
              <w:left w:val="nil"/>
              <w:bottom w:val="single" w:sz="4" w:space="0" w:color="365F91"/>
              <w:right w:val="nil"/>
            </w:tcBorders>
            <w:shd w:val="clear" w:color="auto" w:fill="auto"/>
          </w:tcPr>
          <w:p w14:paraId="1F2F6BD7" w14:textId="77777777" w:rsidR="00F02481" w:rsidRPr="00BE78CA" w:rsidRDefault="00F02481" w:rsidP="00C26084">
            <w:pPr>
              <w:pStyle w:val="TableText"/>
              <w:spacing w:before="50" w:after="50"/>
              <w:jc w:val="right"/>
              <w:rPr>
                <w:rFonts w:cs="Calibri"/>
                <w:szCs w:val="16"/>
              </w:rPr>
            </w:pPr>
            <w:r w:rsidRPr="00BE78CA">
              <w:rPr>
                <w:rFonts w:cs="Calibri"/>
                <w:szCs w:val="16"/>
              </w:rPr>
              <w:t>10</w:t>
            </w:r>
          </w:p>
        </w:tc>
        <w:tc>
          <w:tcPr>
            <w:tcW w:w="851" w:type="dxa"/>
            <w:tcBorders>
              <w:top w:val="single" w:sz="4" w:space="0" w:color="365F91"/>
              <w:left w:val="nil"/>
              <w:bottom w:val="single" w:sz="4" w:space="0" w:color="365F91"/>
              <w:right w:val="nil"/>
            </w:tcBorders>
            <w:shd w:val="clear" w:color="auto" w:fill="auto"/>
          </w:tcPr>
          <w:p w14:paraId="7948E747" w14:textId="77777777" w:rsidR="00F02481" w:rsidRPr="00BE78CA" w:rsidRDefault="00F02481" w:rsidP="00C26084">
            <w:pPr>
              <w:pStyle w:val="TableText"/>
              <w:spacing w:before="50" w:after="50"/>
              <w:jc w:val="right"/>
              <w:rPr>
                <w:rFonts w:cs="Calibri"/>
                <w:szCs w:val="16"/>
              </w:rPr>
            </w:pPr>
            <w:r w:rsidRPr="00BE78CA">
              <w:rPr>
                <w:rFonts w:cs="Calibri"/>
                <w:szCs w:val="16"/>
              </w:rPr>
              <w:t>10</w:t>
            </w:r>
          </w:p>
        </w:tc>
        <w:tc>
          <w:tcPr>
            <w:tcW w:w="851" w:type="dxa"/>
            <w:tcBorders>
              <w:top w:val="single" w:sz="4" w:space="0" w:color="365F91"/>
              <w:left w:val="nil"/>
              <w:bottom w:val="single" w:sz="4" w:space="0" w:color="365F91"/>
              <w:right w:val="nil"/>
            </w:tcBorders>
            <w:shd w:val="clear" w:color="auto" w:fill="auto"/>
          </w:tcPr>
          <w:p w14:paraId="7CDD7644" w14:textId="77777777" w:rsidR="00F02481" w:rsidRPr="00BE78CA" w:rsidRDefault="00F02481" w:rsidP="00C26084">
            <w:pPr>
              <w:pStyle w:val="TableText"/>
              <w:spacing w:before="50" w:after="50"/>
              <w:jc w:val="right"/>
              <w:rPr>
                <w:rFonts w:cs="Calibri"/>
                <w:szCs w:val="16"/>
              </w:rPr>
            </w:pPr>
          </w:p>
        </w:tc>
        <w:tc>
          <w:tcPr>
            <w:tcW w:w="851" w:type="dxa"/>
            <w:tcBorders>
              <w:top w:val="single" w:sz="4" w:space="0" w:color="365F91"/>
              <w:left w:val="nil"/>
              <w:bottom w:val="single" w:sz="4" w:space="0" w:color="365F91"/>
              <w:right w:val="nil"/>
            </w:tcBorders>
            <w:shd w:val="clear" w:color="auto" w:fill="auto"/>
          </w:tcPr>
          <w:p w14:paraId="570F090F" w14:textId="77777777" w:rsidR="00F02481" w:rsidRPr="00BE78CA" w:rsidRDefault="00F02481" w:rsidP="00C26084">
            <w:pPr>
              <w:pStyle w:val="TableText"/>
              <w:spacing w:before="50" w:after="50"/>
              <w:jc w:val="right"/>
              <w:rPr>
                <w:rFonts w:cs="Calibri"/>
                <w:szCs w:val="16"/>
              </w:rPr>
            </w:pPr>
          </w:p>
        </w:tc>
        <w:tc>
          <w:tcPr>
            <w:tcW w:w="851" w:type="dxa"/>
            <w:tcBorders>
              <w:top w:val="single" w:sz="4" w:space="0" w:color="365F91"/>
              <w:left w:val="nil"/>
              <w:bottom w:val="single" w:sz="4" w:space="0" w:color="365F91"/>
              <w:right w:val="nil"/>
            </w:tcBorders>
            <w:shd w:val="clear" w:color="auto" w:fill="auto"/>
          </w:tcPr>
          <w:p w14:paraId="76DB761D" w14:textId="77777777" w:rsidR="00F02481" w:rsidRPr="00BE78CA" w:rsidRDefault="00F02481" w:rsidP="00C26084">
            <w:pPr>
              <w:pStyle w:val="TableText"/>
              <w:spacing w:before="50" w:after="50"/>
              <w:jc w:val="right"/>
              <w:rPr>
                <w:rFonts w:cs="Calibri"/>
                <w:szCs w:val="16"/>
              </w:rPr>
            </w:pPr>
            <w:r w:rsidRPr="00BE78CA">
              <w:rPr>
                <w:rFonts w:cs="Calibri"/>
                <w:szCs w:val="16"/>
              </w:rPr>
              <w:t>20</w:t>
            </w:r>
          </w:p>
        </w:tc>
      </w:tr>
      <w:tr w:rsidR="00F02481" w:rsidRPr="00BE78CA" w14:paraId="40ED4DFD" w14:textId="77777777" w:rsidTr="00477DE6">
        <w:tc>
          <w:tcPr>
            <w:tcW w:w="2098" w:type="dxa"/>
            <w:tcBorders>
              <w:top w:val="single" w:sz="4" w:space="0" w:color="365F91"/>
              <w:left w:val="nil"/>
              <w:bottom w:val="single" w:sz="4" w:space="0" w:color="365F91"/>
              <w:right w:val="nil"/>
            </w:tcBorders>
            <w:shd w:val="clear" w:color="auto" w:fill="auto"/>
          </w:tcPr>
          <w:p w14:paraId="635BC034" w14:textId="77777777" w:rsidR="00F02481" w:rsidRPr="00BE78CA" w:rsidRDefault="00F02481" w:rsidP="00C26084">
            <w:pPr>
              <w:pStyle w:val="TableText"/>
              <w:spacing w:before="50" w:after="50"/>
              <w:jc w:val="right"/>
              <w:rPr>
                <w:rFonts w:cs="Calibri"/>
                <w:szCs w:val="16"/>
              </w:rPr>
            </w:pPr>
          </w:p>
        </w:tc>
        <w:tc>
          <w:tcPr>
            <w:tcW w:w="1814" w:type="dxa"/>
            <w:tcBorders>
              <w:top w:val="single" w:sz="4" w:space="0" w:color="365F91"/>
              <w:left w:val="nil"/>
              <w:bottom w:val="single" w:sz="4" w:space="0" w:color="365F91"/>
              <w:right w:val="nil"/>
            </w:tcBorders>
          </w:tcPr>
          <w:p w14:paraId="51E98386" w14:textId="77777777" w:rsidR="00F02481" w:rsidRPr="00BE78CA" w:rsidRDefault="00F02481" w:rsidP="00C26084">
            <w:pPr>
              <w:pStyle w:val="TableText"/>
              <w:spacing w:before="50" w:after="50"/>
              <w:rPr>
                <w:rFonts w:cs="Calibri"/>
                <w:szCs w:val="16"/>
              </w:rPr>
            </w:pPr>
            <w:r w:rsidRPr="00BE78CA">
              <w:rPr>
                <w:rFonts w:cs="Calibri"/>
                <w:szCs w:val="16"/>
              </w:rPr>
              <w:t>Steep slope (&gt;24</w:t>
            </w:r>
            <w:r w:rsidRPr="00BE78CA">
              <w:rPr>
                <w:rFonts w:cs="Calibri"/>
                <w:szCs w:val="16"/>
                <w:vertAlign w:val="superscript"/>
              </w:rPr>
              <w:t>o</w:t>
            </w:r>
            <w:r w:rsidRPr="00BE78CA">
              <w:rPr>
                <w:rFonts w:cs="Calibri"/>
                <w:szCs w:val="16"/>
              </w:rPr>
              <w:t>)</w:t>
            </w:r>
          </w:p>
        </w:tc>
        <w:tc>
          <w:tcPr>
            <w:tcW w:w="851" w:type="dxa"/>
            <w:tcBorders>
              <w:top w:val="single" w:sz="4" w:space="0" w:color="365F91"/>
              <w:left w:val="nil"/>
              <w:bottom w:val="single" w:sz="4" w:space="0" w:color="365F91"/>
              <w:right w:val="nil"/>
            </w:tcBorders>
            <w:shd w:val="clear" w:color="auto" w:fill="auto"/>
          </w:tcPr>
          <w:p w14:paraId="06679675" w14:textId="77777777" w:rsidR="00F02481" w:rsidRPr="00BE78CA" w:rsidRDefault="00F02481" w:rsidP="00C26084">
            <w:pPr>
              <w:pStyle w:val="TableText"/>
              <w:spacing w:before="50" w:after="50"/>
              <w:jc w:val="right"/>
              <w:rPr>
                <w:rFonts w:cs="Calibri"/>
                <w:szCs w:val="16"/>
              </w:rPr>
            </w:pPr>
            <w:r w:rsidRPr="00BE78CA">
              <w:rPr>
                <w:rFonts w:cs="Calibri"/>
                <w:szCs w:val="16"/>
              </w:rPr>
              <w:t>10</w:t>
            </w:r>
          </w:p>
        </w:tc>
        <w:tc>
          <w:tcPr>
            <w:tcW w:w="851" w:type="dxa"/>
            <w:tcBorders>
              <w:top w:val="single" w:sz="4" w:space="0" w:color="365F91"/>
              <w:left w:val="nil"/>
              <w:bottom w:val="single" w:sz="4" w:space="0" w:color="365F91"/>
              <w:right w:val="nil"/>
            </w:tcBorders>
            <w:shd w:val="clear" w:color="auto" w:fill="auto"/>
          </w:tcPr>
          <w:p w14:paraId="4F03B3C3" w14:textId="77777777" w:rsidR="00F02481" w:rsidRPr="00BE78CA" w:rsidRDefault="00F02481" w:rsidP="00C26084">
            <w:pPr>
              <w:pStyle w:val="TableText"/>
              <w:spacing w:before="50" w:after="50"/>
              <w:jc w:val="right"/>
              <w:rPr>
                <w:rFonts w:cs="Calibri"/>
                <w:szCs w:val="16"/>
              </w:rPr>
            </w:pPr>
            <w:r w:rsidRPr="00BE78CA">
              <w:rPr>
                <w:rFonts w:cs="Calibri"/>
                <w:szCs w:val="16"/>
              </w:rPr>
              <w:t>10</w:t>
            </w:r>
          </w:p>
        </w:tc>
        <w:tc>
          <w:tcPr>
            <w:tcW w:w="851" w:type="dxa"/>
            <w:tcBorders>
              <w:top w:val="single" w:sz="4" w:space="0" w:color="365F91"/>
              <w:left w:val="nil"/>
              <w:bottom w:val="single" w:sz="4" w:space="0" w:color="365F91"/>
              <w:right w:val="nil"/>
            </w:tcBorders>
            <w:shd w:val="clear" w:color="auto" w:fill="auto"/>
          </w:tcPr>
          <w:p w14:paraId="5C140E97" w14:textId="77777777" w:rsidR="00F02481" w:rsidRPr="00BE78CA" w:rsidRDefault="00F02481" w:rsidP="00C26084">
            <w:pPr>
              <w:pStyle w:val="TableText"/>
              <w:spacing w:before="50" w:after="50"/>
              <w:jc w:val="right"/>
              <w:rPr>
                <w:rFonts w:cs="Calibri"/>
                <w:szCs w:val="16"/>
              </w:rPr>
            </w:pPr>
          </w:p>
        </w:tc>
        <w:tc>
          <w:tcPr>
            <w:tcW w:w="851" w:type="dxa"/>
            <w:tcBorders>
              <w:top w:val="single" w:sz="4" w:space="0" w:color="365F91"/>
              <w:left w:val="nil"/>
              <w:bottom w:val="single" w:sz="4" w:space="0" w:color="365F91"/>
              <w:right w:val="nil"/>
            </w:tcBorders>
            <w:shd w:val="clear" w:color="auto" w:fill="auto"/>
          </w:tcPr>
          <w:p w14:paraId="08808D07" w14:textId="77777777" w:rsidR="00F02481" w:rsidRPr="00BE78CA" w:rsidRDefault="00F02481" w:rsidP="00C26084">
            <w:pPr>
              <w:pStyle w:val="TableText"/>
              <w:spacing w:before="50" w:after="50"/>
              <w:jc w:val="right"/>
              <w:rPr>
                <w:rFonts w:cs="Calibri"/>
                <w:szCs w:val="16"/>
              </w:rPr>
            </w:pPr>
          </w:p>
        </w:tc>
        <w:tc>
          <w:tcPr>
            <w:tcW w:w="851" w:type="dxa"/>
            <w:tcBorders>
              <w:top w:val="single" w:sz="4" w:space="0" w:color="365F91"/>
              <w:left w:val="nil"/>
              <w:bottom w:val="single" w:sz="4" w:space="0" w:color="365F91"/>
              <w:right w:val="nil"/>
            </w:tcBorders>
            <w:shd w:val="clear" w:color="auto" w:fill="auto"/>
          </w:tcPr>
          <w:p w14:paraId="46AEF4AC" w14:textId="77777777" w:rsidR="00F02481" w:rsidRPr="00BE78CA" w:rsidRDefault="00F02481" w:rsidP="00C26084">
            <w:pPr>
              <w:pStyle w:val="TableText"/>
              <w:spacing w:before="50" w:after="50"/>
              <w:jc w:val="right"/>
              <w:rPr>
                <w:rFonts w:cs="Calibri"/>
                <w:szCs w:val="16"/>
              </w:rPr>
            </w:pPr>
            <w:r w:rsidRPr="00BE78CA">
              <w:rPr>
                <w:rFonts w:cs="Calibri"/>
                <w:szCs w:val="16"/>
              </w:rPr>
              <w:t>20</w:t>
            </w:r>
          </w:p>
        </w:tc>
      </w:tr>
      <w:tr w:rsidR="00F02481" w:rsidRPr="00BE78CA" w14:paraId="08A68040" w14:textId="77777777" w:rsidTr="00477DE6">
        <w:tc>
          <w:tcPr>
            <w:tcW w:w="2098" w:type="dxa"/>
            <w:tcBorders>
              <w:top w:val="single" w:sz="4" w:space="0" w:color="365F91"/>
              <w:left w:val="nil"/>
              <w:bottom w:val="single" w:sz="4" w:space="0" w:color="365F91"/>
              <w:right w:val="nil"/>
            </w:tcBorders>
            <w:shd w:val="clear" w:color="auto" w:fill="auto"/>
          </w:tcPr>
          <w:p w14:paraId="6AD5C524" w14:textId="77777777" w:rsidR="00F02481" w:rsidRPr="00BE78CA" w:rsidRDefault="00F02481" w:rsidP="00C26084">
            <w:pPr>
              <w:pStyle w:val="Tableboldblue"/>
              <w:spacing w:before="50" w:after="50"/>
              <w:rPr>
                <w:rFonts w:cs="Calibri"/>
                <w:szCs w:val="16"/>
              </w:rPr>
            </w:pPr>
            <w:r w:rsidRPr="00BE78CA">
              <w:rPr>
                <w:rFonts w:cs="Calibri"/>
                <w:szCs w:val="16"/>
              </w:rPr>
              <w:t>Total urine</w:t>
            </w:r>
          </w:p>
        </w:tc>
        <w:tc>
          <w:tcPr>
            <w:tcW w:w="1814" w:type="dxa"/>
            <w:tcBorders>
              <w:top w:val="single" w:sz="4" w:space="0" w:color="365F91"/>
              <w:left w:val="nil"/>
              <w:bottom w:val="single" w:sz="4" w:space="0" w:color="365F91"/>
              <w:right w:val="nil"/>
            </w:tcBorders>
          </w:tcPr>
          <w:p w14:paraId="25F8D4F0" w14:textId="77777777" w:rsidR="00F02481" w:rsidRPr="00BE78CA" w:rsidRDefault="00F02481" w:rsidP="00C26084">
            <w:pPr>
              <w:pStyle w:val="Tableboldblue"/>
              <w:spacing w:before="50" w:after="50"/>
              <w:rPr>
                <w:rFonts w:cs="Calibri"/>
                <w:szCs w:val="16"/>
              </w:rPr>
            </w:pPr>
          </w:p>
        </w:tc>
        <w:tc>
          <w:tcPr>
            <w:tcW w:w="851" w:type="dxa"/>
            <w:tcBorders>
              <w:top w:val="single" w:sz="4" w:space="0" w:color="365F91"/>
              <w:left w:val="nil"/>
              <w:bottom w:val="single" w:sz="4" w:space="0" w:color="365F91"/>
              <w:right w:val="nil"/>
            </w:tcBorders>
            <w:shd w:val="clear" w:color="auto" w:fill="auto"/>
          </w:tcPr>
          <w:p w14:paraId="560DD387" w14:textId="77777777" w:rsidR="00F02481" w:rsidRPr="00BE78CA" w:rsidRDefault="00F02481" w:rsidP="00C26084">
            <w:pPr>
              <w:pStyle w:val="Tableboldblue"/>
              <w:spacing w:before="50" w:after="50"/>
              <w:jc w:val="right"/>
              <w:rPr>
                <w:rFonts w:cs="Calibri"/>
                <w:szCs w:val="16"/>
              </w:rPr>
            </w:pPr>
            <w:r w:rsidRPr="00BE78CA">
              <w:rPr>
                <w:rFonts w:cs="Calibri"/>
                <w:szCs w:val="16"/>
              </w:rPr>
              <w:t>254</w:t>
            </w:r>
          </w:p>
        </w:tc>
        <w:tc>
          <w:tcPr>
            <w:tcW w:w="851" w:type="dxa"/>
            <w:tcBorders>
              <w:top w:val="single" w:sz="4" w:space="0" w:color="365F91"/>
              <w:left w:val="nil"/>
              <w:bottom w:val="single" w:sz="4" w:space="0" w:color="365F91"/>
              <w:right w:val="nil"/>
            </w:tcBorders>
            <w:shd w:val="clear" w:color="auto" w:fill="auto"/>
          </w:tcPr>
          <w:p w14:paraId="6B78C1CD" w14:textId="77777777" w:rsidR="00F02481" w:rsidRPr="00BE78CA" w:rsidRDefault="00F02481" w:rsidP="00C26084">
            <w:pPr>
              <w:pStyle w:val="Tableboldblue"/>
              <w:spacing w:before="50" w:after="50"/>
              <w:jc w:val="right"/>
              <w:rPr>
                <w:rFonts w:cs="Calibri"/>
                <w:szCs w:val="16"/>
              </w:rPr>
            </w:pPr>
            <w:r w:rsidRPr="00BE78CA">
              <w:rPr>
                <w:rFonts w:cs="Calibri"/>
                <w:szCs w:val="16"/>
              </w:rPr>
              <w:t>255</w:t>
            </w:r>
          </w:p>
        </w:tc>
        <w:tc>
          <w:tcPr>
            <w:tcW w:w="851" w:type="dxa"/>
            <w:tcBorders>
              <w:top w:val="single" w:sz="4" w:space="0" w:color="365F91"/>
              <w:left w:val="nil"/>
              <w:bottom w:val="single" w:sz="4" w:space="0" w:color="365F91"/>
              <w:right w:val="nil"/>
            </w:tcBorders>
            <w:shd w:val="clear" w:color="auto" w:fill="auto"/>
          </w:tcPr>
          <w:p w14:paraId="12AFB48F" w14:textId="77777777" w:rsidR="00F02481" w:rsidRPr="00BE78CA" w:rsidRDefault="00F02481" w:rsidP="00C26084">
            <w:pPr>
              <w:pStyle w:val="Tableboldblue"/>
              <w:spacing w:before="50" w:after="50"/>
              <w:jc w:val="right"/>
              <w:rPr>
                <w:rFonts w:cs="Calibri"/>
                <w:szCs w:val="16"/>
              </w:rPr>
            </w:pPr>
            <w:r w:rsidRPr="00BE78CA">
              <w:rPr>
                <w:rFonts w:cs="Calibri"/>
                <w:szCs w:val="16"/>
              </w:rPr>
              <w:t>200</w:t>
            </w:r>
          </w:p>
        </w:tc>
        <w:tc>
          <w:tcPr>
            <w:tcW w:w="851" w:type="dxa"/>
            <w:tcBorders>
              <w:top w:val="single" w:sz="4" w:space="0" w:color="365F91"/>
              <w:left w:val="nil"/>
              <w:bottom w:val="single" w:sz="4" w:space="0" w:color="365F91"/>
              <w:right w:val="nil"/>
            </w:tcBorders>
            <w:shd w:val="clear" w:color="auto" w:fill="auto"/>
          </w:tcPr>
          <w:p w14:paraId="79AE98C1" w14:textId="77777777" w:rsidR="00F02481" w:rsidRPr="00BE78CA" w:rsidRDefault="00F02481" w:rsidP="00C26084">
            <w:pPr>
              <w:pStyle w:val="Tableboldblue"/>
              <w:spacing w:before="50" w:after="50"/>
              <w:jc w:val="right"/>
              <w:rPr>
                <w:rFonts w:cs="Calibri"/>
                <w:szCs w:val="16"/>
              </w:rPr>
            </w:pPr>
            <w:r w:rsidRPr="00BE78CA">
              <w:rPr>
                <w:rFonts w:cs="Calibri"/>
                <w:szCs w:val="16"/>
              </w:rPr>
              <w:t>72</w:t>
            </w:r>
          </w:p>
        </w:tc>
        <w:tc>
          <w:tcPr>
            <w:tcW w:w="851" w:type="dxa"/>
            <w:tcBorders>
              <w:top w:val="single" w:sz="4" w:space="0" w:color="365F91"/>
              <w:left w:val="nil"/>
              <w:bottom w:val="single" w:sz="4" w:space="0" w:color="365F91"/>
              <w:right w:val="nil"/>
            </w:tcBorders>
            <w:shd w:val="clear" w:color="auto" w:fill="auto"/>
          </w:tcPr>
          <w:p w14:paraId="3A2716E7" w14:textId="77777777" w:rsidR="00F02481" w:rsidRPr="00BE78CA" w:rsidRDefault="00F02481" w:rsidP="00C26084">
            <w:pPr>
              <w:pStyle w:val="Tableboldblue"/>
              <w:spacing w:before="50" w:after="50"/>
              <w:jc w:val="right"/>
              <w:rPr>
                <w:rFonts w:cs="Calibri"/>
                <w:szCs w:val="16"/>
              </w:rPr>
            </w:pPr>
            <w:r w:rsidRPr="00BE78CA">
              <w:rPr>
                <w:rFonts w:cs="Calibri"/>
                <w:szCs w:val="16"/>
              </w:rPr>
              <w:t>781</w:t>
            </w:r>
          </w:p>
        </w:tc>
      </w:tr>
      <w:tr w:rsidR="00F02481" w:rsidRPr="00BE78CA" w14:paraId="20D40595" w14:textId="77777777" w:rsidTr="00477DE6">
        <w:tc>
          <w:tcPr>
            <w:tcW w:w="2098" w:type="dxa"/>
            <w:tcBorders>
              <w:top w:val="single" w:sz="4" w:space="0" w:color="365F91"/>
              <w:left w:val="nil"/>
              <w:bottom w:val="single" w:sz="4" w:space="0" w:color="365F91"/>
              <w:right w:val="nil"/>
            </w:tcBorders>
            <w:shd w:val="clear" w:color="auto" w:fill="auto"/>
          </w:tcPr>
          <w:p w14:paraId="7692D30A" w14:textId="77777777" w:rsidR="00F02481" w:rsidRPr="00BE78CA" w:rsidRDefault="00F02481" w:rsidP="00C26084">
            <w:pPr>
              <w:pStyle w:val="Tableboldblue"/>
              <w:spacing w:before="50" w:after="50"/>
              <w:rPr>
                <w:rFonts w:cs="Calibri"/>
                <w:szCs w:val="16"/>
              </w:rPr>
            </w:pPr>
            <w:r w:rsidRPr="00BE78CA">
              <w:rPr>
                <w:rFonts w:cs="Calibri"/>
                <w:szCs w:val="16"/>
              </w:rPr>
              <w:t>Total dung</w:t>
            </w:r>
          </w:p>
        </w:tc>
        <w:tc>
          <w:tcPr>
            <w:tcW w:w="1814" w:type="dxa"/>
            <w:tcBorders>
              <w:top w:val="single" w:sz="4" w:space="0" w:color="365F91"/>
              <w:left w:val="nil"/>
              <w:bottom w:val="single" w:sz="4" w:space="0" w:color="365F91"/>
              <w:right w:val="nil"/>
            </w:tcBorders>
          </w:tcPr>
          <w:p w14:paraId="79B724E2" w14:textId="77777777" w:rsidR="00F02481" w:rsidRPr="00BE78CA" w:rsidRDefault="00F02481" w:rsidP="00C26084">
            <w:pPr>
              <w:pStyle w:val="Tableboldblue"/>
              <w:spacing w:before="50" w:after="50"/>
              <w:rPr>
                <w:rFonts w:cs="Calibri"/>
                <w:szCs w:val="16"/>
              </w:rPr>
            </w:pPr>
          </w:p>
        </w:tc>
        <w:tc>
          <w:tcPr>
            <w:tcW w:w="851" w:type="dxa"/>
            <w:tcBorders>
              <w:top w:val="single" w:sz="4" w:space="0" w:color="365F91"/>
              <w:left w:val="nil"/>
              <w:bottom w:val="single" w:sz="4" w:space="0" w:color="365F91"/>
              <w:right w:val="nil"/>
            </w:tcBorders>
            <w:shd w:val="clear" w:color="auto" w:fill="auto"/>
          </w:tcPr>
          <w:p w14:paraId="020EF4DB" w14:textId="77777777" w:rsidR="00F02481" w:rsidRPr="00BE78CA" w:rsidRDefault="00F02481" w:rsidP="00C26084">
            <w:pPr>
              <w:pStyle w:val="Tableboldblue"/>
              <w:spacing w:before="50" w:after="50"/>
              <w:jc w:val="right"/>
              <w:rPr>
                <w:rFonts w:cs="Calibri"/>
                <w:szCs w:val="16"/>
              </w:rPr>
            </w:pPr>
            <w:r w:rsidRPr="00BE78CA">
              <w:rPr>
                <w:rFonts w:cs="Calibri"/>
                <w:szCs w:val="16"/>
              </w:rPr>
              <w:t>104</w:t>
            </w:r>
          </w:p>
        </w:tc>
        <w:tc>
          <w:tcPr>
            <w:tcW w:w="851" w:type="dxa"/>
            <w:tcBorders>
              <w:top w:val="single" w:sz="4" w:space="0" w:color="365F91"/>
              <w:left w:val="nil"/>
              <w:bottom w:val="single" w:sz="4" w:space="0" w:color="365F91"/>
              <w:right w:val="nil"/>
            </w:tcBorders>
            <w:shd w:val="clear" w:color="auto" w:fill="auto"/>
          </w:tcPr>
          <w:p w14:paraId="12D427B0" w14:textId="77777777" w:rsidR="00F02481" w:rsidRPr="00BE78CA" w:rsidRDefault="00F02481" w:rsidP="00C26084">
            <w:pPr>
              <w:pStyle w:val="Tableboldblue"/>
              <w:spacing w:before="50" w:after="50"/>
              <w:jc w:val="right"/>
              <w:rPr>
                <w:rFonts w:cs="Calibri"/>
                <w:szCs w:val="16"/>
              </w:rPr>
            </w:pPr>
            <w:r w:rsidRPr="00BE78CA">
              <w:rPr>
                <w:rFonts w:cs="Calibri"/>
                <w:szCs w:val="16"/>
              </w:rPr>
              <w:t>192</w:t>
            </w:r>
          </w:p>
        </w:tc>
        <w:tc>
          <w:tcPr>
            <w:tcW w:w="851" w:type="dxa"/>
            <w:tcBorders>
              <w:top w:val="single" w:sz="4" w:space="0" w:color="365F91"/>
              <w:left w:val="nil"/>
              <w:bottom w:val="single" w:sz="4" w:space="0" w:color="365F91"/>
              <w:right w:val="nil"/>
            </w:tcBorders>
            <w:shd w:val="clear" w:color="auto" w:fill="auto"/>
          </w:tcPr>
          <w:p w14:paraId="70035245" w14:textId="77777777" w:rsidR="00F02481" w:rsidRPr="00BE78CA" w:rsidRDefault="00F02481" w:rsidP="00C26084">
            <w:pPr>
              <w:pStyle w:val="Tableboldblue"/>
              <w:spacing w:before="50" w:after="50"/>
              <w:jc w:val="right"/>
              <w:rPr>
                <w:rFonts w:cs="Calibri"/>
                <w:szCs w:val="16"/>
              </w:rPr>
            </w:pPr>
            <w:r w:rsidRPr="00BE78CA">
              <w:rPr>
                <w:rFonts w:cs="Calibri"/>
                <w:szCs w:val="16"/>
              </w:rPr>
              <w:t>80</w:t>
            </w:r>
          </w:p>
        </w:tc>
        <w:tc>
          <w:tcPr>
            <w:tcW w:w="851" w:type="dxa"/>
            <w:tcBorders>
              <w:top w:val="single" w:sz="4" w:space="0" w:color="365F91"/>
              <w:left w:val="nil"/>
              <w:bottom w:val="single" w:sz="4" w:space="0" w:color="365F91"/>
              <w:right w:val="nil"/>
            </w:tcBorders>
            <w:shd w:val="clear" w:color="auto" w:fill="auto"/>
          </w:tcPr>
          <w:p w14:paraId="4A780EE9" w14:textId="77777777" w:rsidR="00F02481" w:rsidRPr="00BE78CA" w:rsidRDefault="00F02481" w:rsidP="00C26084">
            <w:pPr>
              <w:pStyle w:val="Tableboldblue"/>
              <w:spacing w:before="50" w:after="50"/>
              <w:jc w:val="right"/>
              <w:rPr>
                <w:rFonts w:cs="Calibri"/>
                <w:szCs w:val="16"/>
              </w:rPr>
            </w:pPr>
            <w:r w:rsidRPr="00BE78CA">
              <w:rPr>
                <w:rFonts w:cs="Calibri"/>
                <w:szCs w:val="16"/>
              </w:rPr>
              <w:t>60</w:t>
            </w:r>
          </w:p>
        </w:tc>
        <w:tc>
          <w:tcPr>
            <w:tcW w:w="851" w:type="dxa"/>
            <w:tcBorders>
              <w:top w:val="single" w:sz="4" w:space="0" w:color="365F91"/>
              <w:left w:val="nil"/>
              <w:bottom w:val="single" w:sz="4" w:space="0" w:color="365F91"/>
              <w:right w:val="nil"/>
            </w:tcBorders>
            <w:shd w:val="clear" w:color="auto" w:fill="auto"/>
          </w:tcPr>
          <w:p w14:paraId="7AE0E592" w14:textId="77777777" w:rsidR="00F02481" w:rsidRPr="00BE78CA" w:rsidRDefault="00F02481" w:rsidP="00C26084">
            <w:pPr>
              <w:pStyle w:val="Tableboldblue"/>
              <w:spacing w:before="50" w:after="50"/>
              <w:jc w:val="right"/>
              <w:rPr>
                <w:rFonts w:cs="Calibri"/>
                <w:szCs w:val="16"/>
              </w:rPr>
            </w:pPr>
            <w:r w:rsidRPr="00BE78CA">
              <w:rPr>
                <w:rFonts w:cs="Calibri"/>
                <w:szCs w:val="16"/>
              </w:rPr>
              <w:t>436</w:t>
            </w:r>
          </w:p>
        </w:tc>
      </w:tr>
      <w:tr w:rsidR="00F02481" w:rsidRPr="00BE78CA" w14:paraId="14F32E79" w14:textId="77777777" w:rsidTr="00477DE6">
        <w:tc>
          <w:tcPr>
            <w:tcW w:w="2098" w:type="dxa"/>
            <w:tcBorders>
              <w:top w:val="single" w:sz="4" w:space="0" w:color="365F91"/>
              <w:left w:val="nil"/>
              <w:bottom w:val="single" w:sz="4" w:space="0" w:color="365F91"/>
              <w:right w:val="nil"/>
            </w:tcBorders>
            <w:shd w:val="clear" w:color="auto" w:fill="auto"/>
          </w:tcPr>
          <w:p w14:paraId="00E6DC35" w14:textId="77777777" w:rsidR="00F02481" w:rsidRPr="00BE78CA" w:rsidRDefault="00F02481" w:rsidP="00C26084">
            <w:pPr>
              <w:pStyle w:val="Tableboldblue"/>
              <w:spacing w:before="50" w:after="50"/>
              <w:rPr>
                <w:rFonts w:cs="Calibri"/>
                <w:szCs w:val="16"/>
              </w:rPr>
            </w:pPr>
            <w:r w:rsidRPr="00BE78CA">
              <w:rPr>
                <w:rFonts w:cs="Calibri"/>
                <w:szCs w:val="16"/>
              </w:rPr>
              <w:t>Total excreta</w:t>
            </w:r>
          </w:p>
        </w:tc>
        <w:tc>
          <w:tcPr>
            <w:tcW w:w="1814" w:type="dxa"/>
            <w:tcBorders>
              <w:top w:val="single" w:sz="4" w:space="0" w:color="365F91"/>
              <w:left w:val="nil"/>
              <w:bottom w:val="single" w:sz="4" w:space="0" w:color="365F91"/>
              <w:right w:val="nil"/>
            </w:tcBorders>
          </w:tcPr>
          <w:p w14:paraId="339A7DC6" w14:textId="77777777" w:rsidR="00F02481" w:rsidRPr="00BE78CA" w:rsidRDefault="00F02481" w:rsidP="00C26084">
            <w:pPr>
              <w:pStyle w:val="Tableboldblue"/>
              <w:spacing w:before="50" w:after="50"/>
              <w:rPr>
                <w:rFonts w:cs="Calibri"/>
                <w:szCs w:val="16"/>
              </w:rPr>
            </w:pPr>
          </w:p>
        </w:tc>
        <w:tc>
          <w:tcPr>
            <w:tcW w:w="851" w:type="dxa"/>
            <w:tcBorders>
              <w:top w:val="single" w:sz="4" w:space="0" w:color="365F91"/>
              <w:left w:val="nil"/>
              <w:bottom w:val="single" w:sz="4" w:space="0" w:color="365F91"/>
              <w:right w:val="nil"/>
            </w:tcBorders>
            <w:shd w:val="clear" w:color="auto" w:fill="auto"/>
          </w:tcPr>
          <w:p w14:paraId="48D7E853" w14:textId="77777777" w:rsidR="00F02481" w:rsidRPr="00BE78CA" w:rsidRDefault="00F02481" w:rsidP="00C26084">
            <w:pPr>
              <w:pStyle w:val="Tableboldblue"/>
              <w:spacing w:before="50" w:after="50"/>
              <w:jc w:val="right"/>
              <w:rPr>
                <w:rFonts w:cs="Calibri"/>
                <w:szCs w:val="16"/>
              </w:rPr>
            </w:pPr>
            <w:r w:rsidRPr="00BE78CA">
              <w:rPr>
                <w:rFonts w:cs="Calibri"/>
                <w:szCs w:val="16"/>
              </w:rPr>
              <w:t>358</w:t>
            </w:r>
          </w:p>
        </w:tc>
        <w:tc>
          <w:tcPr>
            <w:tcW w:w="851" w:type="dxa"/>
            <w:tcBorders>
              <w:top w:val="single" w:sz="4" w:space="0" w:color="365F91"/>
              <w:left w:val="nil"/>
              <w:bottom w:val="single" w:sz="4" w:space="0" w:color="365F91"/>
              <w:right w:val="nil"/>
            </w:tcBorders>
            <w:shd w:val="clear" w:color="auto" w:fill="auto"/>
          </w:tcPr>
          <w:p w14:paraId="1DF8A3DD" w14:textId="77777777" w:rsidR="00F02481" w:rsidRPr="00BE78CA" w:rsidRDefault="00F02481" w:rsidP="00C26084">
            <w:pPr>
              <w:pStyle w:val="Tableboldblue"/>
              <w:spacing w:before="50" w:after="50"/>
              <w:jc w:val="right"/>
              <w:rPr>
                <w:rFonts w:cs="Calibri"/>
                <w:szCs w:val="16"/>
              </w:rPr>
            </w:pPr>
            <w:r w:rsidRPr="00BE78CA">
              <w:rPr>
                <w:rFonts w:cs="Calibri"/>
                <w:szCs w:val="16"/>
              </w:rPr>
              <w:t>447</w:t>
            </w:r>
          </w:p>
        </w:tc>
        <w:tc>
          <w:tcPr>
            <w:tcW w:w="851" w:type="dxa"/>
            <w:tcBorders>
              <w:top w:val="single" w:sz="4" w:space="0" w:color="365F91"/>
              <w:left w:val="nil"/>
              <w:bottom w:val="single" w:sz="4" w:space="0" w:color="365F91"/>
              <w:right w:val="nil"/>
            </w:tcBorders>
            <w:shd w:val="clear" w:color="auto" w:fill="auto"/>
          </w:tcPr>
          <w:p w14:paraId="66B32010" w14:textId="77777777" w:rsidR="00F02481" w:rsidRPr="00BE78CA" w:rsidRDefault="00F02481" w:rsidP="00C26084">
            <w:pPr>
              <w:pStyle w:val="Tableboldblue"/>
              <w:spacing w:before="50" w:after="50"/>
              <w:jc w:val="right"/>
              <w:rPr>
                <w:rFonts w:cs="Calibri"/>
                <w:szCs w:val="16"/>
              </w:rPr>
            </w:pPr>
            <w:r w:rsidRPr="00BE78CA">
              <w:rPr>
                <w:rFonts w:cs="Calibri"/>
                <w:szCs w:val="16"/>
              </w:rPr>
              <w:t>280</w:t>
            </w:r>
          </w:p>
        </w:tc>
        <w:tc>
          <w:tcPr>
            <w:tcW w:w="851" w:type="dxa"/>
            <w:tcBorders>
              <w:top w:val="single" w:sz="4" w:space="0" w:color="365F91"/>
              <w:left w:val="nil"/>
              <w:bottom w:val="single" w:sz="4" w:space="0" w:color="365F91"/>
              <w:right w:val="nil"/>
            </w:tcBorders>
            <w:shd w:val="clear" w:color="auto" w:fill="auto"/>
          </w:tcPr>
          <w:p w14:paraId="00E1EA4C" w14:textId="77777777" w:rsidR="00F02481" w:rsidRPr="00BE78CA" w:rsidRDefault="00F02481" w:rsidP="00C26084">
            <w:pPr>
              <w:pStyle w:val="Tableboldblue"/>
              <w:spacing w:before="50" w:after="50"/>
              <w:jc w:val="right"/>
              <w:rPr>
                <w:rFonts w:cs="Calibri"/>
                <w:szCs w:val="16"/>
              </w:rPr>
            </w:pPr>
            <w:r w:rsidRPr="00BE78CA">
              <w:rPr>
                <w:rFonts w:cs="Calibri"/>
                <w:szCs w:val="16"/>
              </w:rPr>
              <w:t>132</w:t>
            </w:r>
          </w:p>
        </w:tc>
        <w:tc>
          <w:tcPr>
            <w:tcW w:w="851" w:type="dxa"/>
            <w:tcBorders>
              <w:top w:val="single" w:sz="4" w:space="0" w:color="365F91"/>
              <w:left w:val="nil"/>
              <w:bottom w:val="single" w:sz="4" w:space="0" w:color="365F91"/>
              <w:right w:val="nil"/>
            </w:tcBorders>
            <w:shd w:val="clear" w:color="auto" w:fill="auto"/>
          </w:tcPr>
          <w:p w14:paraId="75E608F9" w14:textId="77777777" w:rsidR="00F02481" w:rsidRPr="00BE78CA" w:rsidRDefault="00F02481" w:rsidP="00C26084">
            <w:pPr>
              <w:pStyle w:val="Tableboldblue"/>
              <w:spacing w:before="50" w:after="50"/>
              <w:jc w:val="right"/>
              <w:rPr>
                <w:rFonts w:cs="Calibri"/>
                <w:szCs w:val="16"/>
              </w:rPr>
            </w:pPr>
            <w:r w:rsidRPr="00BE78CA">
              <w:rPr>
                <w:rFonts w:cs="Calibri"/>
                <w:szCs w:val="16"/>
              </w:rPr>
              <w:t>1,217</w:t>
            </w:r>
          </w:p>
        </w:tc>
      </w:tr>
    </w:tbl>
    <w:p w14:paraId="504A9A45" w14:textId="77777777" w:rsidR="00F02481" w:rsidRPr="00BE78CA" w:rsidRDefault="00F02481" w:rsidP="00C26084">
      <w:pPr>
        <w:pStyle w:val="BodyText"/>
        <w:spacing w:before="240" w:after="100"/>
      </w:pPr>
      <w:r w:rsidRPr="00BE78CA">
        <w:t>The meta-analysis used arithmetic means to calculate new average EF</w:t>
      </w:r>
      <w:r w:rsidRPr="00BE78CA">
        <w:rPr>
          <w:vertAlign w:val="subscript"/>
        </w:rPr>
        <w:t>3</w:t>
      </w:r>
      <w:r w:rsidRPr="00BE78CA">
        <w:t xml:space="preserve"> values (categorised by animal, slope and excreta type). Because the differences between some of these values were not statistically significant, it was recommended that some of the arithmetic means be pooled. This resulted in the dung EF</w:t>
      </w:r>
      <w:r w:rsidRPr="00BE78CA">
        <w:rPr>
          <w:vertAlign w:val="subscript"/>
        </w:rPr>
        <w:t>3</w:t>
      </w:r>
      <w:r w:rsidRPr="00BE78CA">
        <w:t xml:space="preserve"> averages being combined into a single value (0.0012). The urine EF</w:t>
      </w:r>
      <w:r w:rsidRPr="00BE78CA">
        <w:rPr>
          <w:vertAlign w:val="subscript"/>
        </w:rPr>
        <w:t>3</w:t>
      </w:r>
      <w:r w:rsidRPr="00BE78CA">
        <w:t xml:space="preserve"> values were pooled into four categories:</w:t>
      </w:r>
    </w:p>
    <w:p w14:paraId="590D1963" w14:textId="77777777" w:rsidR="00F02481" w:rsidRPr="00BE78CA" w:rsidRDefault="00F02481" w:rsidP="00FA2314">
      <w:pPr>
        <w:pStyle w:val="Bullet"/>
        <w:numPr>
          <w:ilvl w:val="0"/>
          <w:numId w:val="25"/>
        </w:numPr>
        <w:spacing w:after="100"/>
      </w:pPr>
      <w:r w:rsidRPr="00BE78CA">
        <w:t>cattle urine on flatland/low slopes (0.0098)</w:t>
      </w:r>
    </w:p>
    <w:p w14:paraId="6693E060" w14:textId="77777777" w:rsidR="00F02481" w:rsidRPr="00BE78CA" w:rsidRDefault="00F02481" w:rsidP="00FA2314">
      <w:pPr>
        <w:pStyle w:val="Bullet"/>
        <w:numPr>
          <w:ilvl w:val="0"/>
          <w:numId w:val="25"/>
        </w:numPr>
        <w:spacing w:after="100"/>
      </w:pPr>
      <w:r w:rsidRPr="00BE78CA">
        <w:t>cattle urine on medium/steep slopes (0.0033)</w:t>
      </w:r>
    </w:p>
    <w:p w14:paraId="5213B4EA" w14:textId="77777777" w:rsidR="00F02481" w:rsidRPr="00BE78CA" w:rsidRDefault="00F02481" w:rsidP="00FA2314">
      <w:pPr>
        <w:pStyle w:val="Bullet"/>
        <w:numPr>
          <w:ilvl w:val="0"/>
          <w:numId w:val="25"/>
        </w:numPr>
        <w:spacing w:after="100"/>
      </w:pPr>
      <w:r w:rsidRPr="00BE78CA">
        <w:t xml:space="preserve">sheep urine on flatland/low slopes (0.005) </w:t>
      </w:r>
    </w:p>
    <w:p w14:paraId="59106061" w14:textId="77777777" w:rsidR="00F02481" w:rsidRPr="00BE78CA" w:rsidRDefault="00F02481" w:rsidP="00FA2314">
      <w:pPr>
        <w:pStyle w:val="Bullet"/>
        <w:numPr>
          <w:ilvl w:val="0"/>
          <w:numId w:val="25"/>
        </w:numPr>
      </w:pPr>
      <w:r w:rsidRPr="00BE78CA">
        <w:t>sheep urine on medium/steep slopes (0.0008).</w:t>
      </w:r>
    </w:p>
    <w:p w14:paraId="644E4E3D" w14:textId="77777777" w:rsidR="00F02481" w:rsidRPr="00BE78CA" w:rsidRDefault="00F02481" w:rsidP="00C26084">
      <w:pPr>
        <w:pStyle w:val="BodyText"/>
        <w:spacing w:before="100" w:after="100"/>
        <w:rPr>
          <w:rFonts w:cs="Calibri"/>
        </w:rPr>
      </w:pPr>
      <w:r w:rsidRPr="00BE78CA">
        <w:rPr>
          <w:rFonts w:cs="Calibri"/>
        </w:rPr>
        <w:t>The lower emission factors observed for urine on steeper slopes are thought to be due to these soils having lower soil fertility and moisture content compared with less steep slopes (Luo et al., 2013).</w:t>
      </w:r>
    </w:p>
    <w:p w14:paraId="2B1C74AB" w14:textId="77777777" w:rsidR="00F02481" w:rsidRPr="00BE78CA" w:rsidRDefault="00F02481" w:rsidP="00C26084">
      <w:pPr>
        <w:pStyle w:val="BodyText"/>
        <w:spacing w:before="100" w:after="100"/>
      </w:pPr>
      <w:r w:rsidRPr="00BE78CA">
        <w:t>The new urine emission factor values for each livestock type by slope are lower than the current IPCC default EF</w:t>
      </w:r>
      <w:r w:rsidRPr="00BE78CA">
        <w:rPr>
          <w:vertAlign w:val="subscript"/>
        </w:rPr>
        <w:t>3</w:t>
      </w:r>
      <w:r w:rsidRPr="00BE78CA">
        <w:t xml:space="preserve"> value, which is based on common international farming systems where, on average, farmed land is on less hilly terrain than common farm land in New Zealand. In addition to the large proportion of farmed hill country, New Zealand’s climate and soil characteristics contribute to differences between international default emission factors and New Zealand’s country-specific emission factors. When using these emission factors, the IEF for direct N</w:t>
      </w:r>
      <w:r w:rsidRPr="00BE78CA">
        <w:rPr>
          <w:vertAlign w:val="subscript"/>
        </w:rPr>
        <w:t>2</w:t>
      </w:r>
      <w:r w:rsidRPr="00BE78CA">
        <w:t>O from dung and urine was 0.0054 in 2019. This value is comparable with that calculated for the United Kingdom (0.0047) and Australia (0.004) in their respective inventory submissions in 2020.</w:t>
      </w:r>
    </w:p>
    <w:p w14:paraId="7DB49D48" w14:textId="77777777" w:rsidR="00F02481" w:rsidRPr="00BE78CA" w:rsidRDefault="00F02481" w:rsidP="00C26084">
      <w:pPr>
        <w:pStyle w:val="BodyText"/>
        <w:spacing w:after="100"/>
        <w:rPr>
          <w:rFonts w:cs="Calibri"/>
        </w:rPr>
      </w:pPr>
      <w:r w:rsidRPr="00BE78CA">
        <w:rPr>
          <w:rFonts w:cs="Calibri"/>
        </w:rPr>
        <w:lastRenderedPageBreak/>
        <w:t>Nitrous oxide</w:t>
      </w:r>
      <w:r w:rsidRPr="00BE78CA" w:rsidDel="00271764">
        <w:rPr>
          <w:rFonts w:cs="Calibri"/>
        </w:rPr>
        <w:t xml:space="preserve"> </w:t>
      </w:r>
      <w:r w:rsidRPr="00BE78CA">
        <w:rPr>
          <w:rFonts w:cs="Calibri"/>
        </w:rPr>
        <w:t>emissions</w:t>
      </w:r>
      <w:r w:rsidRPr="00BE78CA" w:rsidDel="00271764">
        <w:rPr>
          <w:rFonts w:cs="Calibri"/>
        </w:rPr>
        <w:t xml:space="preserve"> </w:t>
      </w:r>
      <w:r w:rsidRPr="00BE78CA">
        <w:rPr>
          <w:rFonts w:cs="Calibri"/>
        </w:rPr>
        <w:t>have not been measured for deer excreta, therefore, deer EF</w:t>
      </w:r>
      <w:r w:rsidRPr="00BE78CA">
        <w:rPr>
          <w:rFonts w:cs="Calibri"/>
          <w:vertAlign w:val="subscript"/>
        </w:rPr>
        <w:t>3</w:t>
      </w:r>
      <w:r w:rsidRPr="00BE78CA">
        <w:rPr>
          <w:rFonts w:cs="Calibri"/>
        </w:rPr>
        <w:t xml:space="preserve"> values were calculated using average EF</w:t>
      </w:r>
      <w:r w:rsidRPr="00BE78CA">
        <w:rPr>
          <w:rFonts w:cs="Calibri"/>
          <w:vertAlign w:val="subscript"/>
        </w:rPr>
        <w:t>3</w:t>
      </w:r>
      <w:r w:rsidRPr="00BE78CA">
        <w:rPr>
          <w:rFonts w:cs="Calibri"/>
        </w:rPr>
        <w:t xml:space="preserve"> values from cattle and sheep. Based on animal liveweight, deer excreta characteristics (in terms of total deposition volume and weight) are assumed to be between the excreta characteristics of cattle and sheep (van der Weerden et al., 2019, 2020).</w:t>
      </w:r>
    </w:p>
    <w:p w14:paraId="1502D935" w14:textId="77777777" w:rsidR="00F02481" w:rsidRPr="00BE78CA" w:rsidRDefault="00F02481" w:rsidP="00C26084">
      <w:pPr>
        <w:pStyle w:val="BodyText"/>
        <w:spacing w:after="100"/>
        <w:rPr>
          <w:rFonts w:cs="Calibri"/>
        </w:rPr>
      </w:pPr>
      <w:r w:rsidRPr="00BE78CA">
        <w:rPr>
          <w:rFonts w:cs="Calibri"/>
        </w:rPr>
        <w:t>To apply these emission factors, estimates on the amount of urine and dung deposited onto separate slopes are needed. A nutrient transfer model developed by Saggar et al. (2015) is used to allocate total excreta (N</w:t>
      </w:r>
      <w:r w:rsidRPr="00BE78CA">
        <w:rPr>
          <w:rFonts w:cs="Calibri"/>
          <w:vertAlign w:val="subscript"/>
        </w:rPr>
        <w:t>ex</w:t>
      </w:r>
      <w:r w:rsidRPr="00BE78CA">
        <w:rPr>
          <w:rFonts w:cs="Calibri"/>
        </w:rPr>
        <w:t>,</w:t>
      </w:r>
      <w:r w:rsidRPr="00BE78CA">
        <w:rPr>
          <w:rFonts w:cs="Calibri"/>
          <w:vertAlign w:val="subscript"/>
        </w:rPr>
        <w:t xml:space="preserve"> </w:t>
      </w:r>
      <w:r w:rsidRPr="00BE78CA">
        <w:rPr>
          <w:rFonts w:cs="Calibri"/>
        </w:rPr>
        <w:t>calculated using the methods described in section 5.3) by livestock type to the different slope categories. The nutrient transfer model uses data on the area of farm land for each slope type, and accounts for animal behaviour where livestock spend relatively more time on lower slopes, and hence deposit more excreta on these lower slopes. For more information on this model, please refer to annex 3.1.3.</w:t>
      </w:r>
    </w:p>
    <w:p w14:paraId="29537815" w14:textId="77777777" w:rsidR="00F02481" w:rsidRPr="00BE78CA" w:rsidRDefault="00F02481" w:rsidP="00C26084">
      <w:pPr>
        <w:pStyle w:val="BodyText"/>
        <w:spacing w:after="100"/>
        <w:rPr>
          <w:rFonts w:cs="Calibri"/>
        </w:rPr>
      </w:pPr>
      <w:r w:rsidRPr="00BE78CA">
        <w:rPr>
          <w:rFonts w:cs="Calibri"/>
        </w:rPr>
        <w:t>The use of these revised EF</w:t>
      </w:r>
      <w:r w:rsidRPr="00BE78CA">
        <w:rPr>
          <w:rFonts w:cs="Calibri"/>
          <w:vertAlign w:val="subscript"/>
        </w:rPr>
        <w:t>3</w:t>
      </w:r>
      <w:r w:rsidRPr="00BE78CA">
        <w:rPr>
          <w:rFonts w:cs="Calibri"/>
        </w:rPr>
        <w:t xml:space="preserve"> emission factors and the nutrient transfer model was recommended by the Agriculture Inventory Advisory Panel in late 2019.</w:t>
      </w:r>
    </w:p>
    <w:p w14:paraId="02328F74" w14:textId="77777777" w:rsidR="00F02481" w:rsidRPr="00BE78CA" w:rsidRDefault="00F02481" w:rsidP="00C26084">
      <w:pPr>
        <w:pStyle w:val="Heading5"/>
        <w:rPr>
          <w:rFonts w:cs="Calibri"/>
        </w:rPr>
      </w:pPr>
      <w:r w:rsidRPr="00BE78CA">
        <w:rPr>
          <w:rFonts w:cs="Calibri"/>
        </w:rPr>
        <w:t>Direct nitrous oxide emission factors for minor livestock types</w:t>
      </w:r>
    </w:p>
    <w:p w14:paraId="68B6161A" w14:textId="77777777" w:rsidR="00F02481" w:rsidRPr="00BE78CA" w:rsidRDefault="00F02481" w:rsidP="00C26084">
      <w:pPr>
        <w:pStyle w:val="BodyText"/>
        <w:rPr>
          <w:rFonts w:cs="Calibri"/>
        </w:rPr>
      </w:pPr>
      <w:r w:rsidRPr="00BE78CA">
        <w:rPr>
          <w:rFonts w:cs="Calibri"/>
        </w:rPr>
        <w:t>Minor livestock types including swine, goats, horses, alpaca, mules, asses, lions and poultry, make up a small proportion of total agricultural emissions. New Zealand will therefore continue to use the previous emissions factor for minor livestock types (EF</w:t>
      </w:r>
      <w:r w:rsidRPr="00BE78CA">
        <w:rPr>
          <w:rFonts w:cs="Calibri"/>
          <w:vertAlign w:val="subscript"/>
        </w:rPr>
        <w:t>3(PRP-MINOR)</w:t>
      </w:r>
      <w:r w:rsidRPr="00BE78CA">
        <w:rPr>
          <w:rFonts w:cs="Calibri"/>
        </w:rPr>
        <w:t>) of 0.01, which is the IPCC default. Research conducted in New Zealand has confirmed this value is appropriate for New Zealand’s conditions (Carran et al., 1995; de Klein et al., 2003; Muller et al., 1995).</w:t>
      </w:r>
    </w:p>
    <w:p w14:paraId="2C7ACFCC" w14:textId="77777777" w:rsidR="00F02481" w:rsidRPr="00BE78CA" w:rsidRDefault="00F02481" w:rsidP="00C26084">
      <w:pPr>
        <w:pStyle w:val="BodyText"/>
        <w:rPr>
          <w:rFonts w:cs="Calibri"/>
        </w:rPr>
      </w:pPr>
      <w:r w:rsidRPr="00BE78CA">
        <w:rPr>
          <w:rFonts w:cs="Calibri"/>
        </w:rPr>
        <w:t xml:space="preserve">In 2019, direct </w:t>
      </w:r>
      <w:r w:rsidRPr="00BE78CA">
        <w:rPr>
          <w:rFonts w:cs="Calibri"/>
          <w:spacing w:val="-2"/>
        </w:rPr>
        <w:t>N</w:t>
      </w:r>
      <w:r w:rsidRPr="00BE78CA">
        <w:rPr>
          <w:rFonts w:cs="Calibri"/>
          <w:spacing w:val="-2"/>
          <w:vertAlign w:val="subscript"/>
        </w:rPr>
        <w:t>2</w:t>
      </w:r>
      <w:r w:rsidRPr="00BE78CA">
        <w:rPr>
          <w:rFonts w:cs="Calibri"/>
          <w:spacing w:val="-2"/>
        </w:rPr>
        <w:t>O</w:t>
      </w:r>
      <w:r w:rsidRPr="00BE78CA">
        <w:rPr>
          <w:rFonts w:cs="Calibri"/>
        </w:rPr>
        <w:t xml:space="preserve"> emissions from </w:t>
      </w:r>
      <w:r w:rsidRPr="00BE78CA">
        <w:rPr>
          <w:rFonts w:cs="Calibri"/>
          <w:i/>
          <w:iCs/>
        </w:rPr>
        <w:t>Urine and dung deposited by grazing animals</w:t>
      </w:r>
      <w:r w:rsidRPr="00BE78CA">
        <w:rPr>
          <w:rFonts w:cs="Calibri"/>
        </w:rPr>
        <w:t xml:space="preserve"> (pasture, range and paddock manure from all livestock categories) contributed 50.2 per cent (3,899.3 kt CO</w:t>
      </w:r>
      <w:r w:rsidRPr="00BE78CA">
        <w:rPr>
          <w:rFonts w:cs="Calibri"/>
          <w:vertAlign w:val="subscript"/>
        </w:rPr>
        <w:t>2</w:t>
      </w:r>
      <w:r w:rsidRPr="00BE78CA">
        <w:rPr>
          <w:rFonts w:cs="Calibri"/>
        </w:rPr>
        <w:t>-e) of</w:t>
      </w:r>
      <w:r w:rsidRPr="00BE78CA">
        <w:rPr>
          <w:rFonts w:cs="Calibri"/>
          <w:spacing w:val="-2"/>
        </w:rPr>
        <w:t xml:space="preserve"> emissions from </w:t>
      </w:r>
      <w:r w:rsidRPr="00BE78CA">
        <w:rPr>
          <w:rFonts w:cs="Calibri"/>
          <w:i/>
          <w:iCs/>
          <w:spacing w:val="-2"/>
        </w:rPr>
        <w:t>Agricultural soils</w:t>
      </w:r>
      <w:r w:rsidRPr="00BE78CA">
        <w:rPr>
          <w:rFonts w:cs="Calibri"/>
          <w:spacing w:val="-2"/>
        </w:rPr>
        <w:t xml:space="preserve">, or 9.8 per cent of total agricultural emissions). This is an increase of 27.1 per cent since 1990. </w:t>
      </w:r>
      <w:r w:rsidRPr="00BE78CA">
        <w:rPr>
          <w:rFonts w:cs="Calibri"/>
        </w:rPr>
        <w:t xml:space="preserve">Emissions for each livestock category are given in table 5.5.8. Emissions from </w:t>
      </w:r>
      <w:r w:rsidRPr="00BE78CA">
        <w:rPr>
          <w:rFonts w:cs="Calibri"/>
          <w:i/>
          <w:iCs/>
        </w:rPr>
        <w:t>Urine and dung deposited by grazing animals</w:t>
      </w:r>
      <w:r w:rsidRPr="00BE78CA">
        <w:rPr>
          <w:rFonts w:cs="Calibri"/>
        </w:rPr>
        <w:t xml:space="preserve"> were identified as a key category (level and trend assessment).</w:t>
      </w:r>
    </w:p>
    <w:p w14:paraId="7E82823F" w14:textId="77777777" w:rsidR="00F02481" w:rsidRPr="00BE78CA" w:rsidRDefault="00F02481" w:rsidP="00C26084">
      <w:pPr>
        <w:pStyle w:val="Table"/>
        <w:rPr>
          <w:rFonts w:cs="Calibri"/>
        </w:rPr>
      </w:pPr>
      <w:bookmarkStart w:id="895" w:name="_Toc441830883"/>
      <w:bookmarkStart w:id="896" w:name="_Toc451176097"/>
      <w:bookmarkStart w:id="897" w:name="_Toc481751525"/>
      <w:bookmarkStart w:id="898" w:name="_Toc507158613"/>
      <w:bookmarkStart w:id="899" w:name="_Toc511116747"/>
      <w:bookmarkStart w:id="900" w:name="_Toc5269489"/>
      <w:bookmarkStart w:id="901" w:name="_Toc32570934"/>
      <w:bookmarkStart w:id="902" w:name="_Toc36224569"/>
      <w:bookmarkStart w:id="903" w:name="_Toc68786454"/>
      <w:r w:rsidRPr="00BE78CA">
        <w:rPr>
          <w:rFonts w:cs="Calibri"/>
        </w:rPr>
        <w:t>Table 5.5.8</w:t>
      </w:r>
      <w:r w:rsidRPr="00BE78CA">
        <w:rPr>
          <w:rFonts w:cs="Calibri"/>
        </w:rPr>
        <w:tab/>
        <w:t>Trends and relative contribution of direct nitrous oxide emissions from urine and dung</w:t>
      </w:r>
      <w:r w:rsidRPr="00BE78CA">
        <w:rPr>
          <w:rFonts w:cs="Calibri"/>
        </w:rPr>
        <w:br/>
        <w:t xml:space="preserve">deposited by grazing animals per livestock category between 1990 and </w:t>
      </w:r>
      <w:bookmarkEnd w:id="895"/>
      <w:bookmarkEnd w:id="896"/>
      <w:bookmarkEnd w:id="897"/>
      <w:bookmarkEnd w:id="898"/>
      <w:bookmarkEnd w:id="899"/>
      <w:bookmarkEnd w:id="900"/>
      <w:r w:rsidRPr="00BE78CA">
        <w:rPr>
          <w:rFonts w:cs="Calibri"/>
        </w:rPr>
        <w:t>201</w:t>
      </w:r>
      <w:bookmarkEnd w:id="901"/>
      <w:bookmarkEnd w:id="902"/>
      <w:r w:rsidRPr="00BE78CA">
        <w:rPr>
          <w:rFonts w:cs="Calibri"/>
        </w:rPr>
        <w:t>9</w:t>
      </w:r>
      <w:bookmarkEnd w:id="903"/>
    </w:p>
    <w:tbl>
      <w:tblPr>
        <w:tblW w:w="8505" w:type="dxa"/>
        <w:tblBorders>
          <w:top w:val="single" w:sz="4" w:space="0" w:color="365F91"/>
          <w:left w:val="single" w:sz="4" w:space="0" w:color="365F91"/>
          <w:bottom w:val="single" w:sz="4" w:space="0" w:color="365F91"/>
          <w:right w:val="single" w:sz="4" w:space="0" w:color="365F91"/>
          <w:insideH w:val="single" w:sz="4" w:space="0" w:color="365F91"/>
        </w:tblBorders>
        <w:tblLayout w:type="fixed"/>
        <w:tblLook w:val="04A0" w:firstRow="1" w:lastRow="0" w:firstColumn="1" w:lastColumn="0" w:noHBand="0" w:noVBand="1"/>
      </w:tblPr>
      <w:tblGrid>
        <w:gridCol w:w="1746"/>
        <w:gridCol w:w="856"/>
        <w:gridCol w:w="856"/>
        <w:gridCol w:w="857"/>
        <w:gridCol w:w="784"/>
        <w:gridCol w:w="852"/>
        <w:gridCol w:w="851"/>
        <w:gridCol w:w="852"/>
        <w:gridCol w:w="851"/>
      </w:tblGrid>
      <w:tr w:rsidR="00FB3993" w:rsidRPr="00BE78CA" w14:paraId="34211448" w14:textId="77777777" w:rsidTr="00FB3993">
        <w:trPr>
          <w:tblHeader/>
        </w:trPr>
        <w:tc>
          <w:tcPr>
            <w:tcW w:w="1735" w:type="dxa"/>
            <w:vMerge w:val="restart"/>
            <w:tcBorders>
              <w:left w:val="nil"/>
            </w:tcBorders>
            <w:shd w:val="clear" w:color="auto" w:fill="365F91"/>
            <w:vAlign w:val="bottom"/>
          </w:tcPr>
          <w:p w14:paraId="6FCBB37A" w14:textId="77777777" w:rsidR="00F02481" w:rsidRPr="00BE78CA" w:rsidRDefault="00F02481" w:rsidP="00C26084">
            <w:pPr>
              <w:pStyle w:val="TableTextBold"/>
              <w:keepNext/>
              <w:spacing w:before="40" w:after="40"/>
              <w:rPr>
                <w:i/>
                <w:iCs/>
                <w:noProof w:val="0"/>
                <w:color w:val="FFFFFF" w:themeColor="background1"/>
                <w:szCs w:val="16"/>
              </w:rPr>
            </w:pPr>
            <w:bookmarkStart w:id="904" w:name="OLE_LINK1"/>
            <w:r w:rsidRPr="00BE78CA">
              <w:rPr>
                <w:noProof w:val="0"/>
                <w:color w:val="FFFFFF" w:themeColor="background1"/>
                <w:szCs w:val="16"/>
              </w:rPr>
              <w:t>Livestock category</w:t>
            </w:r>
          </w:p>
        </w:tc>
        <w:tc>
          <w:tcPr>
            <w:tcW w:w="1701" w:type="dxa"/>
            <w:gridSpan w:val="2"/>
            <w:shd w:val="clear" w:color="auto" w:fill="365F91"/>
            <w:vAlign w:val="bottom"/>
          </w:tcPr>
          <w:p w14:paraId="74B1549D" w14:textId="77777777" w:rsidR="00F02481" w:rsidRPr="00BE78CA" w:rsidRDefault="00F02481" w:rsidP="00C26084">
            <w:pPr>
              <w:pStyle w:val="TableTextBold"/>
              <w:keepNext/>
              <w:spacing w:before="40" w:after="0"/>
              <w:jc w:val="center"/>
              <w:rPr>
                <w:i/>
                <w:iCs/>
                <w:noProof w:val="0"/>
                <w:color w:val="FFFFFF" w:themeColor="background1"/>
                <w:szCs w:val="16"/>
              </w:rPr>
            </w:pPr>
            <w:r w:rsidRPr="00BE78CA">
              <w:rPr>
                <w:noProof w:val="0"/>
                <w:color w:val="FFFFFF" w:themeColor="background1"/>
                <w:szCs w:val="16"/>
              </w:rPr>
              <w:t xml:space="preserve">Emissions </w:t>
            </w:r>
            <w:r w:rsidRPr="00BE78CA">
              <w:rPr>
                <w:noProof w:val="0"/>
                <w:color w:val="FFFFFF" w:themeColor="background1"/>
                <w:szCs w:val="16"/>
              </w:rPr>
              <w:br/>
              <w:t>(kt CO</w:t>
            </w:r>
            <w:r w:rsidRPr="00BE78CA">
              <w:rPr>
                <w:noProof w:val="0"/>
                <w:color w:val="FFFFFF" w:themeColor="background1"/>
                <w:szCs w:val="16"/>
                <w:vertAlign w:val="subscript"/>
              </w:rPr>
              <w:t>2</w:t>
            </w:r>
            <w:r w:rsidRPr="00BE78CA">
              <w:rPr>
                <w:noProof w:val="0"/>
                <w:color w:val="FFFFFF" w:themeColor="background1"/>
                <w:szCs w:val="16"/>
              </w:rPr>
              <w:t>-e)</w:t>
            </w:r>
          </w:p>
        </w:tc>
        <w:tc>
          <w:tcPr>
            <w:tcW w:w="1630" w:type="dxa"/>
            <w:gridSpan w:val="2"/>
            <w:shd w:val="clear" w:color="auto" w:fill="365F91"/>
            <w:vAlign w:val="bottom"/>
          </w:tcPr>
          <w:p w14:paraId="520810A2" w14:textId="77777777" w:rsidR="00F02481" w:rsidRPr="00BE78CA" w:rsidRDefault="00F02481" w:rsidP="00C26084">
            <w:pPr>
              <w:pStyle w:val="TableTextBold"/>
              <w:keepNext/>
              <w:spacing w:before="40" w:after="0"/>
              <w:jc w:val="center"/>
              <w:rPr>
                <w:i/>
                <w:iCs/>
                <w:noProof w:val="0"/>
                <w:color w:val="FFFFFF" w:themeColor="background1"/>
                <w:szCs w:val="16"/>
              </w:rPr>
            </w:pPr>
            <w:r w:rsidRPr="00BE78CA">
              <w:rPr>
                <w:noProof w:val="0"/>
                <w:color w:val="FFFFFF" w:themeColor="background1"/>
                <w:szCs w:val="16"/>
              </w:rPr>
              <w:t xml:space="preserve">Change from </w:t>
            </w:r>
            <w:r w:rsidRPr="00BE78CA">
              <w:rPr>
                <w:noProof w:val="0"/>
                <w:color w:val="FFFFFF" w:themeColor="background1"/>
                <w:szCs w:val="16"/>
              </w:rPr>
              <w:br/>
              <w:t>1990–2019</w:t>
            </w:r>
          </w:p>
        </w:tc>
        <w:tc>
          <w:tcPr>
            <w:tcW w:w="1691" w:type="dxa"/>
            <w:gridSpan w:val="2"/>
            <w:shd w:val="clear" w:color="auto" w:fill="365F91"/>
            <w:vAlign w:val="bottom"/>
          </w:tcPr>
          <w:p w14:paraId="1A72EB99" w14:textId="77777777" w:rsidR="00F02481" w:rsidRPr="00BE78CA" w:rsidRDefault="00F02481" w:rsidP="00C26084">
            <w:pPr>
              <w:pStyle w:val="TableTextBold"/>
              <w:keepNext/>
              <w:spacing w:before="40" w:after="0"/>
              <w:jc w:val="center"/>
              <w:rPr>
                <w:i/>
                <w:iCs/>
                <w:noProof w:val="0"/>
                <w:color w:val="FFFFFF" w:themeColor="background1"/>
                <w:szCs w:val="16"/>
              </w:rPr>
            </w:pPr>
            <w:r w:rsidRPr="00BE78CA">
              <w:rPr>
                <w:noProof w:val="0"/>
                <w:color w:val="FFFFFF" w:themeColor="background1"/>
                <w:szCs w:val="16"/>
              </w:rPr>
              <w:t>Share of Agricultural soils category (%)</w:t>
            </w:r>
          </w:p>
        </w:tc>
        <w:tc>
          <w:tcPr>
            <w:tcW w:w="1691" w:type="dxa"/>
            <w:gridSpan w:val="2"/>
            <w:tcBorders>
              <w:right w:val="nil"/>
            </w:tcBorders>
            <w:shd w:val="clear" w:color="auto" w:fill="365F91"/>
            <w:vAlign w:val="bottom"/>
          </w:tcPr>
          <w:p w14:paraId="45C510C4" w14:textId="77777777" w:rsidR="00F02481" w:rsidRPr="00BE78CA" w:rsidRDefault="00F02481" w:rsidP="00C26084">
            <w:pPr>
              <w:pStyle w:val="TableTextBold"/>
              <w:keepNext/>
              <w:spacing w:before="40" w:after="0"/>
              <w:jc w:val="center"/>
              <w:rPr>
                <w:i/>
                <w:iCs/>
                <w:noProof w:val="0"/>
                <w:color w:val="FFFFFF" w:themeColor="background1"/>
                <w:szCs w:val="16"/>
              </w:rPr>
            </w:pPr>
            <w:r w:rsidRPr="00BE78CA">
              <w:rPr>
                <w:noProof w:val="0"/>
                <w:color w:val="FFFFFF" w:themeColor="background1"/>
                <w:szCs w:val="16"/>
              </w:rPr>
              <w:t>Share of total Agriculture sector (%)</w:t>
            </w:r>
          </w:p>
        </w:tc>
      </w:tr>
      <w:tr w:rsidR="00FB3993" w:rsidRPr="00BE78CA" w14:paraId="18734532" w14:textId="77777777" w:rsidTr="00FB3993">
        <w:trPr>
          <w:tblHeader/>
        </w:trPr>
        <w:tc>
          <w:tcPr>
            <w:tcW w:w="1735" w:type="dxa"/>
            <w:vMerge/>
            <w:tcBorders>
              <w:left w:val="nil"/>
            </w:tcBorders>
            <w:shd w:val="clear" w:color="auto" w:fill="365F91"/>
            <w:vAlign w:val="bottom"/>
          </w:tcPr>
          <w:p w14:paraId="7413E944" w14:textId="77777777" w:rsidR="00F02481" w:rsidRPr="00BE78CA" w:rsidRDefault="00F02481" w:rsidP="00C26084">
            <w:pPr>
              <w:pStyle w:val="TableTextBold"/>
              <w:keepNext/>
              <w:spacing w:before="40" w:after="40"/>
              <w:rPr>
                <w:i/>
                <w:noProof w:val="0"/>
                <w:color w:val="FFFFFF" w:themeColor="background1"/>
                <w:szCs w:val="16"/>
              </w:rPr>
            </w:pPr>
          </w:p>
        </w:tc>
        <w:tc>
          <w:tcPr>
            <w:tcW w:w="851" w:type="dxa"/>
            <w:shd w:val="clear" w:color="auto" w:fill="365F91"/>
            <w:vAlign w:val="bottom"/>
          </w:tcPr>
          <w:p w14:paraId="3AE8D11C" w14:textId="77777777" w:rsidR="00F02481" w:rsidRPr="00BE78CA" w:rsidRDefault="00F02481" w:rsidP="00C26084">
            <w:pPr>
              <w:pStyle w:val="TableTextBold"/>
              <w:keepNext/>
              <w:spacing w:before="40" w:after="40"/>
              <w:jc w:val="right"/>
              <w:rPr>
                <w:i/>
                <w:iCs/>
                <w:noProof w:val="0"/>
                <w:color w:val="FFFFFF" w:themeColor="background1"/>
                <w:szCs w:val="16"/>
              </w:rPr>
            </w:pPr>
            <w:r w:rsidRPr="00BE78CA">
              <w:rPr>
                <w:noProof w:val="0"/>
                <w:color w:val="FFFFFF" w:themeColor="background1"/>
                <w:szCs w:val="16"/>
              </w:rPr>
              <w:t>1990</w:t>
            </w:r>
          </w:p>
        </w:tc>
        <w:tc>
          <w:tcPr>
            <w:tcW w:w="850" w:type="dxa"/>
            <w:shd w:val="clear" w:color="auto" w:fill="365F91"/>
            <w:vAlign w:val="bottom"/>
          </w:tcPr>
          <w:p w14:paraId="10AAFF4F" w14:textId="77777777" w:rsidR="00F02481" w:rsidRPr="00BE78CA" w:rsidRDefault="00F02481" w:rsidP="00C26084">
            <w:pPr>
              <w:pStyle w:val="TableTextBold"/>
              <w:keepNext/>
              <w:spacing w:before="40" w:after="40"/>
              <w:jc w:val="right"/>
              <w:rPr>
                <w:i/>
                <w:iCs/>
                <w:noProof w:val="0"/>
                <w:color w:val="FFFFFF" w:themeColor="background1"/>
                <w:szCs w:val="16"/>
              </w:rPr>
            </w:pPr>
            <w:r w:rsidRPr="00BE78CA">
              <w:rPr>
                <w:noProof w:val="0"/>
                <w:color w:val="FFFFFF" w:themeColor="background1"/>
                <w:szCs w:val="16"/>
              </w:rPr>
              <w:t>2019</w:t>
            </w:r>
          </w:p>
        </w:tc>
        <w:tc>
          <w:tcPr>
            <w:tcW w:w="851" w:type="dxa"/>
            <w:shd w:val="clear" w:color="auto" w:fill="365F91"/>
            <w:vAlign w:val="bottom"/>
          </w:tcPr>
          <w:p w14:paraId="0B112EE7" w14:textId="77777777" w:rsidR="00F02481" w:rsidRPr="00BE78CA" w:rsidRDefault="00F02481" w:rsidP="00C26084">
            <w:pPr>
              <w:pStyle w:val="TableTextBold"/>
              <w:keepNext/>
              <w:spacing w:before="40" w:after="40"/>
              <w:jc w:val="right"/>
              <w:rPr>
                <w:i/>
                <w:iCs/>
                <w:noProof w:val="0"/>
                <w:color w:val="FFFFFF" w:themeColor="background1"/>
                <w:szCs w:val="16"/>
              </w:rPr>
            </w:pPr>
            <w:r w:rsidRPr="00BE78CA">
              <w:rPr>
                <w:noProof w:val="0"/>
                <w:color w:val="FFFFFF" w:themeColor="background1"/>
                <w:szCs w:val="16"/>
              </w:rPr>
              <w:t>kt CO</w:t>
            </w:r>
            <w:r w:rsidRPr="00BE78CA">
              <w:rPr>
                <w:noProof w:val="0"/>
                <w:color w:val="FFFFFF" w:themeColor="background1"/>
                <w:szCs w:val="16"/>
                <w:vertAlign w:val="subscript"/>
              </w:rPr>
              <w:t>2</w:t>
            </w:r>
            <w:r w:rsidRPr="00BE78CA">
              <w:rPr>
                <w:noProof w:val="0"/>
                <w:color w:val="FFFFFF" w:themeColor="background1"/>
                <w:szCs w:val="16"/>
              </w:rPr>
              <w:t>-e</w:t>
            </w:r>
          </w:p>
        </w:tc>
        <w:tc>
          <w:tcPr>
            <w:tcW w:w="779" w:type="dxa"/>
            <w:shd w:val="clear" w:color="auto" w:fill="365F91"/>
            <w:vAlign w:val="bottom"/>
          </w:tcPr>
          <w:p w14:paraId="2D41060C" w14:textId="77777777" w:rsidR="00F02481" w:rsidRPr="00BE78CA" w:rsidRDefault="00F02481" w:rsidP="00C26084">
            <w:pPr>
              <w:pStyle w:val="TableTextBold"/>
              <w:keepNext/>
              <w:spacing w:before="40" w:after="40"/>
              <w:jc w:val="right"/>
              <w:rPr>
                <w:i/>
                <w:iCs/>
                <w:noProof w:val="0"/>
                <w:color w:val="FFFFFF" w:themeColor="background1"/>
                <w:szCs w:val="16"/>
              </w:rPr>
            </w:pPr>
            <w:r w:rsidRPr="00BE78CA">
              <w:rPr>
                <w:noProof w:val="0"/>
                <w:color w:val="FFFFFF" w:themeColor="background1"/>
                <w:szCs w:val="16"/>
              </w:rPr>
              <w:t>%</w:t>
            </w:r>
          </w:p>
        </w:tc>
        <w:tc>
          <w:tcPr>
            <w:tcW w:w="846" w:type="dxa"/>
            <w:shd w:val="clear" w:color="auto" w:fill="365F91"/>
            <w:vAlign w:val="bottom"/>
          </w:tcPr>
          <w:p w14:paraId="3291C1B1" w14:textId="77777777" w:rsidR="00F02481" w:rsidRPr="00BE78CA" w:rsidRDefault="00F02481" w:rsidP="00C26084">
            <w:pPr>
              <w:pStyle w:val="TableTextBold"/>
              <w:keepNext/>
              <w:spacing w:before="40" w:after="40"/>
              <w:jc w:val="right"/>
              <w:rPr>
                <w:i/>
                <w:iCs/>
                <w:noProof w:val="0"/>
                <w:color w:val="FFFFFF" w:themeColor="background1"/>
                <w:szCs w:val="16"/>
              </w:rPr>
            </w:pPr>
            <w:r w:rsidRPr="00BE78CA">
              <w:rPr>
                <w:noProof w:val="0"/>
                <w:color w:val="FFFFFF" w:themeColor="background1"/>
                <w:szCs w:val="16"/>
              </w:rPr>
              <w:t xml:space="preserve">1990 </w:t>
            </w:r>
          </w:p>
        </w:tc>
        <w:tc>
          <w:tcPr>
            <w:tcW w:w="845" w:type="dxa"/>
            <w:shd w:val="clear" w:color="auto" w:fill="365F91"/>
            <w:vAlign w:val="bottom"/>
          </w:tcPr>
          <w:p w14:paraId="1CC07A25" w14:textId="77777777" w:rsidR="00F02481" w:rsidRPr="00BE78CA" w:rsidRDefault="00F02481" w:rsidP="00C26084">
            <w:pPr>
              <w:pStyle w:val="TableTextBold"/>
              <w:keepNext/>
              <w:spacing w:before="40" w:after="40"/>
              <w:jc w:val="right"/>
              <w:rPr>
                <w:i/>
                <w:iCs/>
                <w:noProof w:val="0"/>
                <w:color w:val="FFFFFF" w:themeColor="background1"/>
                <w:szCs w:val="16"/>
              </w:rPr>
            </w:pPr>
            <w:r w:rsidRPr="00BE78CA">
              <w:rPr>
                <w:noProof w:val="0"/>
                <w:color w:val="FFFFFF" w:themeColor="background1"/>
                <w:szCs w:val="16"/>
              </w:rPr>
              <w:t>2019</w:t>
            </w:r>
          </w:p>
        </w:tc>
        <w:tc>
          <w:tcPr>
            <w:tcW w:w="846" w:type="dxa"/>
            <w:shd w:val="clear" w:color="auto" w:fill="365F91"/>
            <w:vAlign w:val="bottom"/>
          </w:tcPr>
          <w:p w14:paraId="1F1AA4ED" w14:textId="77777777" w:rsidR="00F02481" w:rsidRPr="00BE78CA" w:rsidRDefault="00F02481" w:rsidP="00C26084">
            <w:pPr>
              <w:pStyle w:val="TableTextBold"/>
              <w:keepNext/>
              <w:spacing w:before="40" w:after="40"/>
              <w:jc w:val="right"/>
              <w:rPr>
                <w:i/>
                <w:iCs/>
                <w:noProof w:val="0"/>
                <w:color w:val="FFFFFF" w:themeColor="background1"/>
                <w:szCs w:val="16"/>
              </w:rPr>
            </w:pPr>
            <w:r w:rsidRPr="00BE78CA">
              <w:rPr>
                <w:noProof w:val="0"/>
                <w:color w:val="FFFFFF" w:themeColor="background1"/>
                <w:szCs w:val="16"/>
              </w:rPr>
              <w:t>1990</w:t>
            </w:r>
          </w:p>
        </w:tc>
        <w:tc>
          <w:tcPr>
            <w:tcW w:w="845" w:type="dxa"/>
            <w:tcBorders>
              <w:right w:val="nil"/>
            </w:tcBorders>
            <w:shd w:val="clear" w:color="auto" w:fill="365F91"/>
            <w:vAlign w:val="bottom"/>
          </w:tcPr>
          <w:p w14:paraId="5C35D683" w14:textId="77777777" w:rsidR="00F02481" w:rsidRPr="00BE78CA" w:rsidRDefault="00F02481" w:rsidP="00C26084">
            <w:pPr>
              <w:pStyle w:val="TableTextBold"/>
              <w:keepNext/>
              <w:spacing w:before="40" w:after="40"/>
              <w:jc w:val="right"/>
              <w:rPr>
                <w:i/>
                <w:iCs/>
                <w:noProof w:val="0"/>
                <w:color w:val="FFFFFF" w:themeColor="background1"/>
                <w:szCs w:val="16"/>
              </w:rPr>
            </w:pPr>
            <w:r w:rsidRPr="00BE78CA">
              <w:rPr>
                <w:noProof w:val="0"/>
                <w:color w:val="FFFFFF" w:themeColor="background1"/>
                <w:szCs w:val="16"/>
              </w:rPr>
              <w:t>2019</w:t>
            </w:r>
          </w:p>
        </w:tc>
      </w:tr>
      <w:tr w:rsidR="00F02481" w:rsidRPr="00BE78CA" w14:paraId="0FCF7954" w14:textId="77777777" w:rsidTr="00FB3993">
        <w:tc>
          <w:tcPr>
            <w:tcW w:w="1735" w:type="dxa"/>
            <w:tcBorders>
              <w:left w:val="nil"/>
            </w:tcBorders>
            <w:shd w:val="clear" w:color="auto" w:fill="auto"/>
          </w:tcPr>
          <w:p w14:paraId="19324E55" w14:textId="77777777" w:rsidR="00F02481" w:rsidRPr="00BE78CA" w:rsidRDefault="00F02481" w:rsidP="00C26084">
            <w:pPr>
              <w:pStyle w:val="TableText"/>
              <w:spacing w:before="50" w:after="50"/>
            </w:pPr>
            <w:r w:rsidRPr="00BE78CA">
              <w:t>Dairy cattle</w:t>
            </w:r>
          </w:p>
        </w:tc>
        <w:tc>
          <w:tcPr>
            <w:tcW w:w="851" w:type="dxa"/>
            <w:shd w:val="clear" w:color="auto" w:fill="auto"/>
          </w:tcPr>
          <w:p w14:paraId="39F3CB13" w14:textId="77777777" w:rsidR="00F02481" w:rsidRPr="00BE78CA" w:rsidRDefault="00F02481" w:rsidP="00C26084">
            <w:pPr>
              <w:pStyle w:val="TableText"/>
              <w:spacing w:before="50" w:after="50"/>
              <w:jc w:val="right"/>
              <w:rPr>
                <w:rFonts w:cs="Calibri"/>
              </w:rPr>
            </w:pPr>
            <w:r w:rsidRPr="00BE78CA">
              <w:t>1,163.7</w:t>
            </w:r>
          </w:p>
        </w:tc>
        <w:tc>
          <w:tcPr>
            <w:tcW w:w="850" w:type="dxa"/>
            <w:shd w:val="clear" w:color="auto" w:fill="auto"/>
          </w:tcPr>
          <w:p w14:paraId="58C27A95" w14:textId="77777777" w:rsidR="00F02481" w:rsidRPr="00BE78CA" w:rsidRDefault="00F02481" w:rsidP="00C26084">
            <w:pPr>
              <w:pStyle w:val="TableText"/>
              <w:spacing w:before="50" w:after="50"/>
              <w:jc w:val="right"/>
              <w:rPr>
                <w:rFonts w:cs="Calibri"/>
              </w:rPr>
            </w:pPr>
            <w:r w:rsidRPr="00BE78CA">
              <w:t>2,415.3</w:t>
            </w:r>
          </w:p>
        </w:tc>
        <w:tc>
          <w:tcPr>
            <w:tcW w:w="851" w:type="dxa"/>
            <w:shd w:val="clear" w:color="auto" w:fill="auto"/>
          </w:tcPr>
          <w:p w14:paraId="37E58870" w14:textId="77777777" w:rsidR="00F02481" w:rsidRPr="00BE78CA" w:rsidRDefault="00F02481" w:rsidP="00C26084">
            <w:pPr>
              <w:pStyle w:val="TableText"/>
              <w:spacing w:before="50" w:after="50"/>
              <w:jc w:val="right"/>
              <w:rPr>
                <w:rFonts w:cs="Calibri"/>
              </w:rPr>
            </w:pPr>
            <w:r w:rsidRPr="00BE78CA">
              <w:t>1,251.5</w:t>
            </w:r>
          </w:p>
        </w:tc>
        <w:tc>
          <w:tcPr>
            <w:tcW w:w="779" w:type="dxa"/>
            <w:shd w:val="clear" w:color="auto" w:fill="auto"/>
          </w:tcPr>
          <w:p w14:paraId="7BAFF026" w14:textId="77777777" w:rsidR="00F02481" w:rsidRPr="00BE78CA" w:rsidRDefault="00F02481" w:rsidP="00C26084">
            <w:pPr>
              <w:pStyle w:val="TableText"/>
              <w:spacing w:before="50" w:after="50"/>
              <w:jc w:val="right"/>
              <w:rPr>
                <w:rFonts w:cs="Calibri"/>
              </w:rPr>
            </w:pPr>
            <w:r w:rsidRPr="00BE78CA">
              <w:t>107.5</w:t>
            </w:r>
          </w:p>
        </w:tc>
        <w:tc>
          <w:tcPr>
            <w:tcW w:w="846" w:type="dxa"/>
            <w:shd w:val="clear" w:color="auto" w:fill="auto"/>
          </w:tcPr>
          <w:p w14:paraId="279CDC3D" w14:textId="77777777" w:rsidR="00F02481" w:rsidRPr="00BE78CA" w:rsidRDefault="00F02481" w:rsidP="00C26084">
            <w:pPr>
              <w:pStyle w:val="TableText"/>
              <w:spacing w:before="50" w:after="50"/>
              <w:jc w:val="right"/>
              <w:rPr>
                <w:rFonts w:cs="Calibri"/>
              </w:rPr>
            </w:pPr>
            <w:r w:rsidRPr="00BE78CA">
              <w:t>22.0</w:t>
            </w:r>
          </w:p>
        </w:tc>
        <w:tc>
          <w:tcPr>
            <w:tcW w:w="845" w:type="dxa"/>
            <w:shd w:val="clear" w:color="auto" w:fill="auto"/>
          </w:tcPr>
          <w:p w14:paraId="47B9E282" w14:textId="77777777" w:rsidR="00F02481" w:rsidRPr="00BE78CA" w:rsidRDefault="00F02481" w:rsidP="00C26084">
            <w:pPr>
              <w:pStyle w:val="TableText"/>
              <w:spacing w:before="50" w:after="50"/>
              <w:jc w:val="right"/>
              <w:rPr>
                <w:rFonts w:cs="Calibri"/>
              </w:rPr>
            </w:pPr>
            <w:r w:rsidRPr="00BE78CA">
              <w:t>31.1</w:t>
            </w:r>
          </w:p>
        </w:tc>
        <w:tc>
          <w:tcPr>
            <w:tcW w:w="846" w:type="dxa"/>
            <w:shd w:val="clear" w:color="auto" w:fill="auto"/>
          </w:tcPr>
          <w:p w14:paraId="4133609B" w14:textId="77777777" w:rsidR="00F02481" w:rsidRPr="00BE78CA" w:rsidRDefault="00F02481" w:rsidP="00C26084">
            <w:pPr>
              <w:pStyle w:val="TableText"/>
              <w:spacing w:before="50" w:after="50"/>
              <w:jc w:val="right"/>
              <w:rPr>
                <w:rFonts w:cs="Calibri"/>
              </w:rPr>
            </w:pPr>
            <w:r w:rsidRPr="00BE78CA">
              <w:t>3.4</w:t>
            </w:r>
          </w:p>
        </w:tc>
        <w:tc>
          <w:tcPr>
            <w:tcW w:w="845" w:type="dxa"/>
            <w:tcBorders>
              <w:right w:val="nil"/>
            </w:tcBorders>
            <w:shd w:val="clear" w:color="auto" w:fill="auto"/>
          </w:tcPr>
          <w:p w14:paraId="6B0DE9CE" w14:textId="77777777" w:rsidR="00F02481" w:rsidRPr="00BE78CA" w:rsidRDefault="00F02481" w:rsidP="00C26084">
            <w:pPr>
              <w:pStyle w:val="TableText"/>
              <w:spacing w:before="50" w:after="50"/>
              <w:jc w:val="right"/>
              <w:rPr>
                <w:rFonts w:cs="Calibri"/>
              </w:rPr>
            </w:pPr>
            <w:r w:rsidRPr="00BE78CA">
              <w:t>6.1</w:t>
            </w:r>
          </w:p>
        </w:tc>
      </w:tr>
      <w:tr w:rsidR="00F02481" w:rsidRPr="00BE78CA" w14:paraId="79573922" w14:textId="77777777" w:rsidTr="00FB3993">
        <w:tc>
          <w:tcPr>
            <w:tcW w:w="1735" w:type="dxa"/>
            <w:tcBorders>
              <w:left w:val="nil"/>
            </w:tcBorders>
            <w:shd w:val="clear" w:color="auto" w:fill="auto"/>
          </w:tcPr>
          <w:p w14:paraId="256E37CD" w14:textId="77777777" w:rsidR="00F02481" w:rsidRPr="00BE78CA" w:rsidRDefault="00F02481" w:rsidP="00C26084">
            <w:pPr>
              <w:pStyle w:val="TableText"/>
              <w:spacing w:before="50" w:after="50"/>
            </w:pPr>
            <w:r w:rsidRPr="00BE78CA">
              <w:t xml:space="preserve">Non-dairy </w:t>
            </w:r>
            <w:r w:rsidRPr="00BE78CA">
              <w:rPr>
                <w:i/>
                <w:iCs/>
              </w:rPr>
              <w:t>(beef)</w:t>
            </w:r>
            <w:r w:rsidRPr="00BE78CA">
              <w:t xml:space="preserve"> cattle</w:t>
            </w:r>
          </w:p>
        </w:tc>
        <w:tc>
          <w:tcPr>
            <w:tcW w:w="851" w:type="dxa"/>
            <w:shd w:val="clear" w:color="auto" w:fill="auto"/>
          </w:tcPr>
          <w:p w14:paraId="105F745D" w14:textId="77777777" w:rsidR="00F02481" w:rsidRPr="00BE78CA" w:rsidRDefault="00F02481" w:rsidP="00C26084">
            <w:pPr>
              <w:pStyle w:val="TableText"/>
              <w:spacing w:before="50" w:after="50"/>
              <w:jc w:val="right"/>
              <w:rPr>
                <w:rFonts w:cs="Calibri"/>
              </w:rPr>
            </w:pPr>
            <w:r w:rsidRPr="00BE78CA">
              <w:t>785.1</w:t>
            </w:r>
          </w:p>
        </w:tc>
        <w:tc>
          <w:tcPr>
            <w:tcW w:w="850" w:type="dxa"/>
            <w:shd w:val="clear" w:color="auto" w:fill="auto"/>
          </w:tcPr>
          <w:p w14:paraId="38FFD2CD" w14:textId="77777777" w:rsidR="00F02481" w:rsidRPr="00BE78CA" w:rsidRDefault="00F02481" w:rsidP="00C26084">
            <w:pPr>
              <w:pStyle w:val="TableText"/>
              <w:spacing w:before="50" w:after="50"/>
              <w:jc w:val="right"/>
              <w:rPr>
                <w:rFonts w:cs="Calibri"/>
              </w:rPr>
            </w:pPr>
            <w:r w:rsidRPr="00BE78CA">
              <w:t>803.6</w:t>
            </w:r>
          </w:p>
        </w:tc>
        <w:tc>
          <w:tcPr>
            <w:tcW w:w="851" w:type="dxa"/>
            <w:shd w:val="clear" w:color="auto" w:fill="auto"/>
          </w:tcPr>
          <w:p w14:paraId="4946D318" w14:textId="77777777" w:rsidR="00F02481" w:rsidRPr="00BE78CA" w:rsidRDefault="00F02481" w:rsidP="00C26084">
            <w:pPr>
              <w:pStyle w:val="TableText"/>
              <w:spacing w:before="50" w:after="50"/>
              <w:jc w:val="right"/>
              <w:rPr>
                <w:rFonts w:cs="Calibri"/>
              </w:rPr>
            </w:pPr>
            <w:r w:rsidRPr="00BE78CA">
              <w:t>18.5</w:t>
            </w:r>
          </w:p>
        </w:tc>
        <w:tc>
          <w:tcPr>
            <w:tcW w:w="779" w:type="dxa"/>
            <w:shd w:val="clear" w:color="auto" w:fill="auto"/>
          </w:tcPr>
          <w:p w14:paraId="3D1D2AA4" w14:textId="77777777" w:rsidR="00F02481" w:rsidRPr="00BE78CA" w:rsidRDefault="00F02481" w:rsidP="00C26084">
            <w:pPr>
              <w:pStyle w:val="TableText"/>
              <w:spacing w:before="50" w:after="50"/>
              <w:jc w:val="right"/>
              <w:rPr>
                <w:rFonts w:cs="Calibri"/>
              </w:rPr>
            </w:pPr>
            <w:r w:rsidRPr="00BE78CA">
              <w:t>2.4</w:t>
            </w:r>
          </w:p>
        </w:tc>
        <w:tc>
          <w:tcPr>
            <w:tcW w:w="846" w:type="dxa"/>
            <w:shd w:val="clear" w:color="auto" w:fill="auto"/>
          </w:tcPr>
          <w:p w14:paraId="22F9B723" w14:textId="77777777" w:rsidR="00F02481" w:rsidRPr="00BE78CA" w:rsidRDefault="00F02481" w:rsidP="00C26084">
            <w:pPr>
              <w:pStyle w:val="TableText"/>
              <w:spacing w:before="50" w:after="50"/>
              <w:jc w:val="right"/>
              <w:rPr>
                <w:rFonts w:cs="Calibri"/>
              </w:rPr>
            </w:pPr>
            <w:r w:rsidRPr="00BE78CA">
              <w:t>14.9</w:t>
            </w:r>
          </w:p>
        </w:tc>
        <w:tc>
          <w:tcPr>
            <w:tcW w:w="845" w:type="dxa"/>
            <w:shd w:val="clear" w:color="auto" w:fill="auto"/>
          </w:tcPr>
          <w:p w14:paraId="60F38038" w14:textId="77777777" w:rsidR="00F02481" w:rsidRPr="00BE78CA" w:rsidRDefault="00F02481" w:rsidP="00C26084">
            <w:pPr>
              <w:pStyle w:val="TableText"/>
              <w:spacing w:before="50" w:after="50"/>
              <w:jc w:val="right"/>
              <w:rPr>
                <w:rFonts w:cs="Calibri"/>
              </w:rPr>
            </w:pPr>
            <w:r w:rsidRPr="00BE78CA">
              <w:t>10.4</w:t>
            </w:r>
          </w:p>
        </w:tc>
        <w:tc>
          <w:tcPr>
            <w:tcW w:w="846" w:type="dxa"/>
            <w:shd w:val="clear" w:color="auto" w:fill="auto"/>
          </w:tcPr>
          <w:p w14:paraId="788AE19F" w14:textId="77777777" w:rsidR="00F02481" w:rsidRPr="00BE78CA" w:rsidRDefault="00F02481" w:rsidP="00C26084">
            <w:pPr>
              <w:pStyle w:val="TableText"/>
              <w:spacing w:before="50" w:after="50"/>
              <w:jc w:val="right"/>
              <w:rPr>
                <w:rFonts w:cs="Calibri"/>
              </w:rPr>
            </w:pPr>
            <w:r w:rsidRPr="00BE78CA">
              <w:t>2.3</w:t>
            </w:r>
          </w:p>
        </w:tc>
        <w:tc>
          <w:tcPr>
            <w:tcW w:w="845" w:type="dxa"/>
            <w:tcBorders>
              <w:right w:val="nil"/>
            </w:tcBorders>
            <w:shd w:val="clear" w:color="auto" w:fill="auto"/>
          </w:tcPr>
          <w:p w14:paraId="02FE8594" w14:textId="77777777" w:rsidR="00F02481" w:rsidRPr="00BE78CA" w:rsidRDefault="00F02481" w:rsidP="00C26084">
            <w:pPr>
              <w:pStyle w:val="TableText"/>
              <w:spacing w:before="50" w:after="50"/>
              <w:jc w:val="right"/>
              <w:rPr>
                <w:rFonts w:cs="Calibri"/>
              </w:rPr>
            </w:pPr>
            <w:r w:rsidRPr="00BE78CA">
              <w:t>2.0</w:t>
            </w:r>
          </w:p>
        </w:tc>
      </w:tr>
      <w:tr w:rsidR="00F02481" w:rsidRPr="00BE78CA" w14:paraId="7320368F" w14:textId="77777777" w:rsidTr="00FB3993">
        <w:tc>
          <w:tcPr>
            <w:tcW w:w="1735" w:type="dxa"/>
            <w:tcBorders>
              <w:left w:val="nil"/>
            </w:tcBorders>
            <w:shd w:val="clear" w:color="auto" w:fill="auto"/>
          </w:tcPr>
          <w:p w14:paraId="2237BA4D" w14:textId="77777777" w:rsidR="00F02481" w:rsidRPr="00BE78CA" w:rsidRDefault="00F02481" w:rsidP="00C26084">
            <w:pPr>
              <w:pStyle w:val="TableText"/>
              <w:spacing w:before="50" w:after="50"/>
            </w:pPr>
            <w:r w:rsidRPr="00BE78CA">
              <w:t>Sheep</w:t>
            </w:r>
          </w:p>
        </w:tc>
        <w:tc>
          <w:tcPr>
            <w:tcW w:w="851" w:type="dxa"/>
            <w:shd w:val="clear" w:color="auto" w:fill="auto"/>
          </w:tcPr>
          <w:p w14:paraId="4EF2EA92" w14:textId="77777777" w:rsidR="00F02481" w:rsidRPr="00BE78CA" w:rsidRDefault="00F02481" w:rsidP="00C26084">
            <w:pPr>
              <w:pStyle w:val="TableText"/>
              <w:spacing w:before="50" w:after="50"/>
              <w:jc w:val="right"/>
              <w:rPr>
                <w:rFonts w:cs="Calibri"/>
              </w:rPr>
            </w:pPr>
            <w:r w:rsidRPr="00BE78CA">
              <w:t>990.5</w:t>
            </w:r>
          </w:p>
        </w:tc>
        <w:tc>
          <w:tcPr>
            <w:tcW w:w="850" w:type="dxa"/>
            <w:shd w:val="clear" w:color="auto" w:fill="auto"/>
          </w:tcPr>
          <w:p w14:paraId="581DD1A2" w14:textId="77777777" w:rsidR="00F02481" w:rsidRPr="00BE78CA" w:rsidRDefault="00F02481" w:rsidP="00C26084">
            <w:pPr>
              <w:pStyle w:val="TableText"/>
              <w:spacing w:before="50" w:after="50"/>
              <w:jc w:val="right"/>
              <w:rPr>
                <w:rFonts w:cs="Calibri"/>
              </w:rPr>
            </w:pPr>
            <w:r w:rsidRPr="00BE78CA">
              <w:t>610.2</w:t>
            </w:r>
          </w:p>
        </w:tc>
        <w:tc>
          <w:tcPr>
            <w:tcW w:w="851" w:type="dxa"/>
            <w:shd w:val="clear" w:color="auto" w:fill="auto"/>
          </w:tcPr>
          <w:p w14:paraId="0B001197" w14:textId="77777777" w:rsidR="00F02481" w:rsidRPr="00BE78CA" w:rsidRDefault="00F02481" w:rsidP="00C26084">
            <w:pPr>
              <w:pStyle w:val="TableText"/>
              <w:spacing w:before="50" w:after="50"/>
              <w:jc w:val="right"/>
              <w:rPr>
                <w:rFonts w:cs="Calibri"/>
              </w:rPr>
            </w:pPr>
            <w:r w:rsidRPr="00BE78CA">
              <w:t>–380.3</w:t>
            </w:r>
          </w:p>
        </w:tc>
        <w:tc>
          <w:tcPr>
            <w:tcW w:w="779" w:type="dxa"/>
            <w:shd w:val="clear" w:color="auto" w:fill="auto"/>
          </w:tcPr>
          <w:p w14:paraId="1CAF8A40" w14:textId="77777777" w:rsidR="00F02481" w:rsidRPr="00BE78CA" w:rsidRDefault="00F02481" w:rsidP="00C26084">
            <w:pPr>
              <w:pStyle w:val="TableText"/>
              <w:spacing w:before="50" w:after="50"/>
              <w:jc w:val="right"/>
              <w:rPr>
                <w:rFonts w:cs="Calibri"/>
              </w:rPr>
            </w:pPr>
            <w:r w:rsidRPr="00BE78CA">
              <w:t>–38.4</w:t>
            </w:r>
          </w:p>
        </w:tc>
        <w:tc>
          <w:tcPr>
            <w:tcW w:w="846" w:type="dxa"/>
            <w:shd w:val="clear" w:color="auto" w:fill="auto"/>
          </w:tcPr>
          <w:p w14:paraId="15577C2A" w14:textId="77777777" w:rsidR="00F02481" w:rsidRPr="00BE78CA" w:rsidRDefault="00F02481" w:rsidP="00C26084">
            <w:pPr>
              <w:pStyle w:val="TableText"/>
              <w:spacing w:before="50" w:after="50"/>
              <w:jc w:val="right"/>
              <w:rPr>
                <w:rFonts w:cs="Calibri"/>
              </w:rPr>
            </w:pPr>
            <w:r w:rsidRPr="00BE78CA">
              <w:t>18.7</w:t>
            </w:r>
          </w:p>
        </w:tc>
        <w:tc>
          <w:tcPr>
            <w:tcW w:w="845" w:type="dxa"/>
            <w:shd w:val="clear" w:color="auto" w:fill="auto"/>
          </w:tcPr>
          <w:p w14:paraId="5843129A" w14:textId="77777777" w:rsidR="00F02481" w:rsidRPr="00BE78CA" w:rsidRDefault="00F02481" w:rsidP="00C26084">
            <w:pPr>
              <w:pStyle w:val="TableText"/>
              <w:spacing w:before="50" w:after="50"/>
              <w:jc w:val="right"/>
              <w:rPr>
                <w:rFonts w:cs="Calibri"/>
              </w:rPr>
            </w:pPr>
            <w:r w:rsidRPr="00BE78CA">
              <w:t>7.9</w:t>
            </w:r>
          </w:p>
        </w:tc>
        <w:tc>
          <w:tcPr>
            <w:tcW w:w="846" w:type="dxa"/>
            <w:shd w:val="clear" w:color="auto" w:fill="auto"/>
          </w:tcPr>
          <w:p w14:paraId="202D7264" w14:textId="77777777" w:rsidR="00F02481" w:rsidRPr="00BE78CA" w:rsidRDefault="00F02481" w:rsidP="00C26084">
            <w:pPr>
              <w:pStyle w:val="TableText"/>
              <w:spacing w:before="50" w:after="50"/>
              <w:jc w:val="right"/>
              <w:rPr>
                <w:rFonts w:cs="Calibri"/>
              </w:rPr>
            </w:pPr>
            <w:r w:rsidRPr="00BE78CA">
              <w:t>2.9</w:t>
            </w:r>
          </w:p>
        </w:tc>
        <w:tc>
          <w:tcPr>
            <w:tcW w:w="845" w:type="dxa"/>
            <w:tcBorders>
              <w:right w:val="nil"/>
            </w:tcBorders>
            <w:shd w:val="clear" w:color="auto" w:fill="auto"/>
          </w:tcPr>
          <w:p w14:paraId="0A8A3502" w14:textId="77777777" w:rsidR="00F02481" w:rsidRPr="00BE78CA" w:rsidRDefault="00F02481" w:rsidP="00C26084">
            <w:pPr>
              <w:pStyle w:val="TableText"/>
              <w:spacing w:before="50" w:after="50"/>
              <w:jc w:val="right"/>
              <w:rPr>
                <w:rFonts w:cs="Calibri"/>
              </w:rPr>
            </w:pPr>
            <w:r w:rsidRPr="00BE78CA">
              <w:t>1.5</w:t>
            </w:r>
          </w:p>
        </w:tc>
      </w:tr>
      <w:tr w:rsidR="00F02481" w:rsidRPr="00BE78CA" w14:paraId="5A735692" w14:textId="77777777" w:rsidTr="00FB3993">
        <w:tc>
          <w:tcPr>
            <w:tcW w:w="1735" w:type="dxa"/>
            <w:tcBorders>
              <w:left w:val="nil"/>
            </w:tcBorders>
            <w:shd w:val="clear" w:color="auto" w:fill="auto"/>
          </w:tcPr>
          <w:p w14:paraId="35DA0BED" w14:textId="77777777" w:rsidR="00F02481" w:rsidRPr="00BE78CA" w:rsidRDefault="00F02481" w:rsidP="00C26084">
            <w:pPr>
              <w:pStyle w:val="TableText"/>
              <w:spacing w:before="50" w:after="50"/>
            </w:pPr>
            <w:r w:rsidRPr="00BE78CA">
              <w:t>Deer</w:t>
            </w:r>
          </w:p>
        </w:tc>
        <w:tc>
          <w:tcPr>
            <w:tcW w:w="851" w:type="dxa"/>
            <w:shd w:val="clear" w:color="auto" w:fill="auto"/>
          </w:tcPr>
          <w:p w14:paraId="0908663B" w14:textId="77777777" w:rsidR="00F02481" w:rsidRPr="00BE78CA" w:rsidRDefault="00F02481" w:rsidP="00C26084">
            <w:pPr>
              <w:pStyle w:val="TableText"/>
              <w:spacing w:before="50" w:after="50"/>
              <w:jc w:val="right"/>
              <w:rPr>
                <w:rFonts w:cs="Calibri"/>
              </w:rPr>
            </w:pPr>
            <w:r w:rsidRPr="00BE78CA">
              <w:t>48.5</w:t>
            </w:r>
          </w:p>
        </w:tc>
        <w:tc>
          <w:tcPr>
            <w:tcW w:w="850" w:type="dxa"/>
            <w:shd w:val="clear" w:color="auto" w:fill="auto"/>
          </w:tcPr>
          <w:p w14:paraId="2246A4D3" w14:textId="77777777" w:rsidR="00F02481" w:rsidRPr="00BE78CA" w:rsidRDefault="00F02481" w:rsidP="00C26084">
            <w:pPr>
              <w:pStyle w:val="TableText"/>
              <w:spacing w:before="50" w:after="50"/>
              <w:jc w:val="right"/>
              <w:rPr>
                <w:rFonts w:cs="Calibri"/>
              </w:rPr>
            </w:pPr>
            <w:r w:rsidRPr="00BE78CA">
              <w:t>50.1</w:t>
            </w:r>
          </w:p>
        </w:tc>
        <w:tc>
          <w:tcPr>
            <w:tcW w:w="851" w:type="dxa"/>
            <w:shd w:val="clear" w:color="auto" w:fill="auto"/>
          </w:tcPr>
          <w:p w14:paraId="0B2DFFC2" w14:textId="77777777" w:rsidR="00F02481" w:rsidRPr="00BE78CA" w:rsidRDefault="00F02481" w:rsidP="00C26084">
            <w:pPr>
              <w:pStyle w:val="TableText"/>
              <w:spacing w:before="50" w:after="50"/>
              <w:jc w:val="right"/>
              <w:rPr>
                <w:rFonts w:cs="Calibri"/>
              </w:rPr>
            </w:pPr>
            <w:r w:rsidRPr="00BE78CA">
              <w:t>1.7</w:t>
            </w:r>
          </w:p>
        </w:tc>
        <w:tc>
          <w:tcPr>
            <w:tcW w:w="779" w:type="dxa"/>
            <w:shd w:val="clear" w:color="auto" w:fill="auto"/>
          </w:tcPr>
          <w:p w14:paraId="7EB9656D" w14:textId="77777777" w:rsidR="00F02481" w:rsidRPr="00BE78CA" w:rsidRDefault="00F02481" w:rsidP="00C26084">
            <w:pPr>
              <w:pStyle w:val="TableText"/>
              <w:spacing w:before="50" w:after="50"/>
              <w:jc w:val="right"/>
              <w:rPr>
                <w:rFonts w:cs="Calibri"/>
              </w:rPr>
            </w:pPr>
            <w:r w:rsidRPr="00BE78CA">
              <w:t>3.5</w:t>
            </w:r>
          </w:p>
        </w:tc>
        <w:tc>
          <w:tcPr>
            <w:tcW w:w="846" w:type="dxa"/>
            <w:shd w:val="clear" w:color="auto" w:fill="auto"/>
          </w:tcPr>
          <w:p w14:paraId="29751064" w14:textId="77777777" w:rsidR="00F02481" w:rsidRPr="00BE78CA" w:rsidRDefault="00F02481" w:rsidP="00C26084">
            <w:pPr>
              <w:pStyle w:val="TableText"/>
              <w:spacing w:before="50" w:after="50"/>
              <w:jc w:val="right"/>
              <w:rPr>
                <w:rFonts w:cs="Calibri"/>
              </w:rPr>
            </w:pPr>
            <w:r w:rsidRPr="00BE78CA">
              <w:t>0.9</w:t>
            </w:r>
          </w:p>
        </w:tc>
        <w:tc>
          <w:tcPr>
            <w:tcW w:w="845" w:type="dxa"/>
            <w:shd w:val="clear" w:color="auto" w:fill="auto"/>
          </w:tcPr>
          <w:p w14:paraId="0B02A7AB" w14:textId="77777777" w:rsidR="00F02481" w:rsidRPr="00BE78CA" w:rsidRDefault="00F02481" w:rsidP="00C26084">
            <w:pPr>
              <w:pStyle w:val="TableText"/>
              <w:spacing w:before="50" w:after="50"/>
              <w:jc w:val="right"/>
              <w:rPr>
                <w:rFonts w:cs="Calibri"/>
              </w:rPr>
            </w:pPr>
            <w:r w:rsidRPr="00BE78CA">
              <w:t>0.6</w:t>
            </w:r>
          </w:p>
        </w:tc>
        <w:tc>
          <w:tcPr>
            <w:tcW w:w="846" w:type="dxa"/>
            <w:shd w:val="clear" w:color="auto" w:fill="auto"/>
          </w:tcPr>
          <w:p w14:paraId="7FE70EB4" w14:textId="77777777" w:rsidR="00F02481" w:rsidRPr="00BE78CA" w:rsidRDefault="00F02481" w:rsidP="00C26084">
            <w:pPr>
              <w:pStyle w:val="TableText"/>
              <w:spacing w:before="50" w:after="50"/>
              <w:jc w:val="right"/>
              <w:rPr>
                <w:rFonts w:cs="Calibri"/>
              </w:rPr>
            </w:pPr>
            <w:r w:rsidRPr="00BE78CA">
              <w:t>0.1</w:t>
            </w:r>
          </w:p>
        </w:tc>
        <w:tc>
          <w:tcPr>
            <w:tcW w:w="845" w:type="dxa"/>
            <w:tcBorders>
              <w:right w:val="nil"/>
            </w:tcBorders>
            <w:shd w:val="clear" w:color="auto" w:fill="auto"/>
          </w:tcPr>
          <w:p w14:paraId="5E2C0973" w14:textId="77777777" w:rsidR="00F02481" w:rsidRPr="00BE78CA" w:rsidRDefault="00F02481" w:rsidP="00C26084">
            <w:pPr>
              <w:pStyle w:val="TableText"/>
              <w:spacing w:before="50" w:after="50"/>
              <w:jc w:val="right"/>
              <w:rPr>
                <w:rFonts w:cs="Calibri"/>
              </w:rPr>
            </w:pPr>
            <w:r w:rsidRPr="00BE78CA">
              <w:t>0.1</w:t>
            </w:r>
          </w:p>
        </w:tc>
      </w:tr>
      <w:tr w:rsidR="00F02481" w:rsidRPr="00BE78CA" w14:paraId="735DD85B" w14:textId="77777777" w:rsidTr="00FB3993">
        <w:tc>
          <w:tcPr>
            <w:tcW w:w="1735" w:type="dxa"/>
            <w:tcBorders>
              <w:left w:val="nil"/>
            </w:tcBorders>
            <w:shd w:val="clear" w:color="auto" w:fill="auto"/>
          </w:tcPr>
          <w:p w14:paraId="15CCF80F" w14:textId="77777777" w:rsidR="00F02481" w:rsidRPr="00BE78CA" w:rsidRDefault="00F02481" w:rsidP="00C26084">
            <w:pPr>
              <w:pStyle w:val="TableText"/>
              <w:spacing w:before="50" w:after="50"/>
              <w:rPr>
                <w:rFonts w:cs="Calibri"/>
                <w:i/>
                <w:iCs/>
                <w:szCs w:val="16"/>
              </w:rPr>
            </w:pPr>
            <w:r w:rsidRPr="00BE78CA">
              <w:rPr>
                <w:rFonts w:cs="Calibri"/>
                <w:szCs w:val="16"/>
              </w:rPr>
              <w:t>Minor livestock</w:t>
            </w:r>
          </w:p>
        </w:tc>
        <w:tc>
          <w:tcPr>
            <w:tcW w:w="851" w:type="dxa"/>
            <w:shd w:val="clear" w:color="auto" w:fill="auto"/>
          </w:tcPr>
          <w:p w14:paraId="735502D4" w14:textId="77777777" w:rsidR="00F02481" w:rsidRPr="00BE78CA" w:rsidRDefault="00F02481" w:rsidP="00C26084">
            <w:pPr>
              <w:pStyle w:val="TableText"/>
              <w:spacing w:before="50" w:after="50"/>
              <w:jc w:val="right"/>
              <w:rPr>
                <w:rFonts w:cs="Calibri"/>
              </w:rPr>
            </w:pPr>
            <w:r w:rsidRPr="00BE78CA">
              <w:t>80.8</w:t>
            </w:r>
          </w:p>
        </w:tc>
        <w:tc>
          <w:tcPr>
            <w:tcW w:w="850" w:type="dxa"/>
            <w:shd w:val="clear" w:color="auto" w:fill="auto"/>
          </w:tcPr>
          <w:p w14:paraId="1F5A85BD" w14:textId="77777777" w:rsidR="00F02481" w:rsidRPr="00BE78CA" w:rsidRDefault="00F02481" w:rsidP="00C26084">
            <w:pPr>
              <w:pStyle w:val="TableText"/>
              <w:spacing w:before="50" w:after="50"/>
              <w:jc w:val="right"/>
              <w:rPr>
                <w:rFonts w:cs="Calibri"/>
              </w:rPr>
            </w:pPr>
            <w:r w:rsidRPr="00BE78CA">
              <w:t>20.1</w:t>
            </w:r>
          </w:p>
        </w:tc>
        <w:tc>
          <w:tcPr>
            <w:tcW w:w="851" w:type="dxa"/>
            <w:shd w:val="clear" w:color="auto" w:fill="auto"/>
          </w:tcPr>
          <w:p w14:paraId="6EC96DE9" w14:textId="77777777" w:rsidR="00F02481" w:rsidRPr="00BE78CA" w:rsidRDefault="00F02481" w:rsidP="00C26084">
            <w:pPr>
              <w:pStyle w:val="TableText"/>
              <w:spacing w:before="50" w:after="50"/>
              <w:jc w:val="right"/>
              <w:rPr>
                <w:rFonts w:cs="Calibri"/>
              </w:rPr>
            </w:pPr>
            <w:r w:rsidRPr="00BE78CA">
              <w:t>–60.8</w:t>
            </w:r>
          </w:p>
        </w:tc>
        <w:tc>
          <w:tcPr>
            <w:tcW w:w="779" w:type="dxa"/>
            <w:shd w:val="clear" w:color="auto" w:fill="auto"/>
          </w:tcPr>
          <w:p w14:paraId="408A8412" w14:textId="77777777" w:rsidR="00F02481" w:rsidRPr="00BE78CA" w:rsidRDefault="00F02481" w:rsidP="00C26084">
            <w:pPr>
              <w:pStyle w:val="TableText"/>
              <w:spacing w:before="50" w:after="50"/>
              <w:jc w:val="right"/>
              <w:rPr>
                <w:rFonts w:cs="Calibri"/>
              </w:rPr>
            </w:pPr>
            <w:r w:rsidRPr="00BE78CA">
              <w:t>–75.2</w:t>
            </w:r>
          </w:p>
        </w:tc>
        <w:tc>
          <w:tcPr>
            <w:tcW w:w="846" w:type="dxa"/>
            <w:shd w:val="clear" w:color="auto" w:fill="auto"/>
          </w:tcPr>
          <w:p w14:paraId="1CF98D45" w14:textId="77777777" w:rsidR="00F02481" w:rsidRPr="00BE78CA" w:rsidRDefault="00F02481" w:rsidP="00C26084">
            <w:pPr>
              <w:pStyle w:val="TableText"/>
              <w:spacing w:before="50" w:after="50"/>
              <w:jc w:val="right"/>
              <w:rPr>
                <w:rFonts w:cs="Calibri"/>
              </w:rPr>
            </w:pPr>
            <w:r w:rsidRPr="00BE78CA">
              <w:t>1.5</w:t>
            </w:r>
          </w:p>
        </w:tc>
        <w:tc>
          <w:tcPr>
            <w:tcW w:w="845" w:type="dxa"/>
            <w:shd w:val="clear" w:color="auto" w:fill="auto"/>
          </w:tcPr>
          <w:p w14:paraId="2CAD44AB" w14:textId="77777777" w:rsidR="00F02481" w:rsidRPr="00BE78CA" w:rsidRDefault="00F02481" w:rsidP="00C26084">
            <w:pPr>
              <w:pStyle w:val="TableText"/>
              <w:spacing w:before="50" w:after="50"/>
              <w:jc w:val="right"/>
              <w:rPr>
                <w:rFonts w:cs="Calibri"/>
              </w:rPr>
            </w:pPr>
            <w:r w:rsidRPr="00BE78CA">
              <w:t>0.3</w:t>
            </w:r>
          </w:p>
        </w:tc>
        <w:tc>
          <w:tcPr>
            <w:tcW w:w="846" w:type="dxa"/>
            <w:shd w:val="clear" w:color="auto" w:fill="auto"/>
          </w:tcPr>
          <w:p w14:paraId="0E301B3B" w14:textId="77777777" w:rsidR="00F02481" w:rsidRPr="00BE78CA" w:rsidRDefault="00F02481" w:rsidP="00C26084">
            <w:pPr>
              <w:pStyle w:val="TableText"/>
              <w:spacing w:before="50" w:after="50"/>
              <w:jc w:val="right"/>
              <w:rPr>
                <w:rFonts w:cs="Calibri"/>
              </w:rPr>
            </w:pPr>
            <w:r w:rsidRPr="00BE78CA">
              <w:t>0.2</w:t>
            </w:r>
          </w:p>
        </w:tc>
        <w:tc>
          <w:tcPr>
            <w:tcW w:w="845" w:type="dxa"/>
            <w:tcBorders>
              <w:right w:val="nil"/>
            </w:tcBorders>
            <w:shd w:val="clear" w:color="auto" w:fill="auto"/>
          </w:tcPr>
          <w:p w14:paraId="6691685E" w14:textId="77777777" w:rsidR="00F02481" w:rsidRPr="00BE78CA" w:rsidRDefault="00F02481" w:rsidP="00C26084">
            <w:pPr>
              <w:pStyle w:val="TableText"/>
              <w:spacing w:before="50" w:after="50"/>
              <w:jc w:val="right"/>
              <w:rPr>
                <w:rFonts w:cs="Calibri"/>
              </w:rPr>
            </w:pPr>
            <w:r w:rsidRPr="00BE78CA">
              <w:t>0.1</w:t>
            </w:r>
          </w:p>
        </w:tc>
      </w:tr>
    </w:tbl>
    <w:p w14:paraId="7241FEB6" w14:textId="77777777" w:rsidR="00F02481" w:rsidRPr="00BE78CA" w:rsidRDefault="00F02481" w:rsidP="00C26084">
      <w:pPr>
        <w:pStyle w:val="Noteundertable"/>
        <w:spacing w:before="160"/>
        <w:rPr>
          <w:rFonts w:cs="Calibri"/>
        </w:rPr>
      </w:pPr>
      <w:bookmarkStart w:id="905" w:name="_Toc274046122"/>
      <w:bookmarkEnd w:id="904"/>
      <w:r w:rsidRPr="00BE78CA">
        <w:rPr>
          <w:rFonts w:cs="Calibri"/>
          <w:b/>
          <w:bCs/>
        </w:rPr>
        <w:t>Note:</w:t>
      </w:r>
      <w:r w:rsidRPr="00BE78CA">
        <w:rPr>
          <w:rFonts w:cs="Calibri"/>
        </w:rPr>
        <w:tab/>
        <w:t>Percentages presented are calculated from unrounded values.</w:t>
      </w:r>
    </w:p>
    <w:p w14:paraId="68D57C6F" w14:textId="77777777" w:rsidR="00F02481" w:rsidRPr="00BE78CA" w:rsidRDefault="00F02481" w:rsidP="00C26084">
      <w:pPr>
        <w:pStyle w:val="Heading5"/>
        <w:rPr>
          <w:rFonts w:cs="Calibri"/>
        </w:rPr>
      </w:pPr>
      <w:r w:rsidRPr="00BE78CA">
        <w:rPr>
          <w:rFonts w:cs="Calibri"/>
        </w:rPr>
        <w:t>Nitrous oxide from crop residue returned to soil</w:t>
      </w:r>
      <w:bookmarkEnd w:id="905"/>
      <w:r w:rsidRPr="00BE78CA">
        <w:rPr>
          <w:rFonts w:cs="Calibri"/>
        </w:rPr>
        <w:t xml:space="preserve"> (CRF 3.D.1.4)</w:t>
      </w:r>
    </w:p>
    <w:p w14:paraId="611392F4" w14:textId="77777777" w:rsidR="00F02481" w:rsidRPr="00BE78CA" w:rsidDel="005621A7" w:rsidRDefault="00F02481" w:rsidP="00C26084">
      <w:pPr>
        <w:pStyle w:val="BodyText"/>
        <w:rPr>
          <w:rFonts w:cs="Calibri"/>
        </w:rPr>
      </w:pPr>
      <w:r w:rsidRPr="00BE78CA">
        <w:rPr>
          <w:rFonts w:cs="Calibri"/>
        </w:rPr>
        <w:t xml:space="preserve">This emission category includes emissions from nitrogen added to soils by above- and below-ground crop residue (including residue left behind by crop burning), and the nitrogen added as a result of mineralisation of forages during pasture renewal. It includes both nitrogen-fixing and non-nitrogen-fixing crop species. Crop residues are materials left in an agricultural field after the crop has been harvested. Pasture renewal is the destruction of low quality pasture </w:t>
      </w:r>
      <w:r w:rsidRPr="00BE78CA">
        <w:rPr>
          <w:rFonts w:cs="Calibri"/>
        </w:rPr>
        <w:lastRenderedPageBreak/>
        <w:t xml:space="preserve">followed by the sowing of improved pasture species and/or varieties. It is promoted as a method to increase farm productivity. The direct emissions from agricultural residue burning are reported in section 5.7. </w:t>
      </w:r>
    </w:p>
    <w:p w14:paraId="46F9724E" w14:textId="77777777" w:rsidR="00F02481" w:rsidRPr="00BE78CA" w:rsidRDefault="00F02481" w:rsidP="00C26084">
      <w:pPr>
        <w:pStyle w:val="BodyText"/>
        <w:spacing w:before="100"/>
        <w:rPr>
          <w:rFonts w:cs="Calibri"/>
        </w:rPr>
      </w:pPr>
      <w:r w:rsidRPr="00BE78CA">
        <w:rPr>
          <w:rFonts w:cs="Calibri"/>
        </w:rPr>
        <w:t>New Zealand does not include an adjustment for crop residue removed for feed and bedding, which is assumed to be minor, as recommended by Thomas et al. (2008), who recommended that this be ignored until appropriate activity data are available.</w:t>
      </w:r>
    </w:p>
    <w:p w14:paraId="6AA3081B" w14:textId="77777777" w:rsidR="00F02481" w:rsidRPr="00BE78CA" w:rsidRDefault="00F02481" w:rsidP="00C26084">
      <w:pPr>
        <w:pStyle w:val="BodyText"/>
        <w:spacing w:before="100"/>
        <w:rPr>
          <w:rFonts w:cs="Calibri"/>
        </w:rPr>
      </w:pPr>
      <w:r w:rsidRPr="00BE78CA">
        <w:rPr>
          <w:rFonts w:cs="Calibri"/>
          <w:b/>
          <w:bCs/>
        </w:rPr>
        <w:t xml:space="preserve">Nitrogen from crop residue: </w:t>
      </w:r>
      <w:r w:rsidRPr="00BE78CA">
        <w:rPr>
          <w:rFonts w:cs="Calibri"/>
        </w:rPr>
        <w:t>The non-nitrogen-fixing crops grown in New Zealand are barley, wheat, oats, potatoes, maize for seed, and other seed crops. For the 2012 submission onwards, New Zealand has reported emissions from additional cropping activity not previously estimated, such as onions, squash and sweetcorn (Thomas et al., 2011). The nitrogen-fixing crops grown in New Zealand include peas grown for both processing and seed markets as well as lentil production, and forage legume seeds grown for pasture production.</w:t>
      </w:r>
    </w:p>
    <w:p w14:paraId="0B7AD19F" w14:textId="77777777" w:rsidR="00F02481" w:rsidRPr="00BE78CA" w:rsidRDefault="00F02481" w:rsidP="000F4164">
      <w:pPr>
        <w:pStyle w:val="BodyText"/>
        <w:spacing w:before="100" w:after="40"/>
        <w:rPr>
          <w:rFonts w:cs="Calibri"/>
        </w:rPr>
      </w:pPr>
      <w:r w:rsidRPr="00BE78CA">
        <w:rPr>
          <w:rFonts w:cs="Calibri"/>
        </w:rPr>
        <w:t>A country-specific methodology is used to calculate emissions from crop residue (Thomas et al., 2008):</w:t>
      </w:r>
    </w:p>
    <w:bookmarkStart w:id="906" w:name="_1640173609"/>
    <w:bookmarkEnd w:id="906"/>
    <w:p w14:paraId="01C88420" w14:textId="6552EB1C" w:rsidR="00F02481" w:rsidRPr="00BE78CA" w:rsidRDefault="004F0CC9" w:rsidP="00C26084">
      <w:pPr>
        <w:pStyle w:val="BodyText"/>
        <w:spacing w:before="80" w:after="60"/>
        <w:jc w:val="center"/>
        <w:rPr>
          <w:rFonts w:cs="Calibri"/>
        </w:rPr>
      </w:pPr>
      <w:r w:rsidRPr="00BE78CA">
        <w:rPr>
          <w:rFonts w:cs="Calibri"/>
        </w:rPr>
        <w:object w:dxaOrig="7196" w:dyaOrig="613" w14:anchorId="1F763947">
          <v:shape id="_x0000_i1061" type="#_x0000_t75" style="width:5in;height:30.55pt" o:ole="">
            <v:imagedata r:id="rId156" o:title="" cropbottom="10201f"/>
          </v:shape>
          <o:OLEObject Type="Embed" ProgID="Word.Document.12" ShapeID="_x0000_i1061" DrawAspect="Content" ObjectID="_1679402778" r:id="rId157">
            <o:FieldCodes>\s</o:FieldCodes>
          </o:OLEObject>
        </w:object>
      </w:r>
    </w:p>
    <w:p w14:paraId="04817E6B" w14:textId="77777777" w:rsidR="00F02481" w:rsidRPr="00BE78CA" w:rsidRDefault="00F02481" w:rsidP="000F4164">
      <w:pPr>
        <w:pStyle w:val="BodyText"/>
        <w:spacing w:before="60" w:after="80"/>
        <w:ind w:left="964" w:hanging="964"/>
      </w:pPr>
      <w:r w:rsidRPr="00BE78CA">
        <w:t>Where:</w:t>
      </w:r>
      <w:r w:rsidRPr="00BE78CA">
        <w:tab/>
        <w:t>AG</w:t>
      </w:r>
      <w:r w:rsidRPr="00BE78CA">
        <w:rPr>
          <w:vertAlign w:val="subscript"/>
        </w:rPr>
        <w:t>N</w:t>
      </w:r>
      <w:r w:rsidRPr="00BE78CA">
        <w:t xml:space="preserve"> and BG</w:t>
      </w:r>
      <w:r w:rsidRPr="00BE78CA">
        <w:rPr>
          <w:vertAlign w:val="subscript"/>
        </w:rPr>
        <w:t>N</w:t>
      </w:r>
      <w:r w:rsidRPr="00BE78CA">
        <w:t xml:space="preserve"> are the annual nitrogen residue returned to soils from above- and below-ground crop residue, and crop-specific values are given in annex 3, table A3.1.8, and the country-specific value of EF</w:t>
      </w:r>
      <w:r w:rsidRPr="00BE78CA">
        <w:rPr>
          <w:vertAlign w:val="subscript"/>
        </w:rPr>
        <w:t>1</w:t>
      </w:r>
      <w:r w:rsidRPr="00BE78CA">
        <w:t xml:space="preserve"> of 0.01 is used (see table 5.5.2).</w:t>
      </w:r>
    </w:p>
    <w:bookmarkStart w:id="907" w:name="_MON_1552215074"/>
    <w:bookmarkEnd w:id="907"/>
    <w:p w14:paraId="76DB8A97" w14:textId="77777777" w:rsidR="00F02481" w:rsidRPr="00BE78CA" w:rsidRDefault="00F02481" w:rsidP="00C26084">
      <w:pPr>
        <w:pStyle w:val="BodyText"/>
        <w:spacing w:before="80" w:after="0"/>
        <w:jc w:val="center"/>
        <w:rPr>
          <w:rFonts w:cs="Calibri"/>
        </w:rPr>
      </w:pPr>
      <w:r w:rsidRPr="00BE78CA">
        <w:rPr>
          <w:rFonts w:cs="Calibri"/>
        </w:rPr>
        <w:object w:dxaOrig="8201" w:dyaOrig="801" w14:anchorId="15801018">
          <v:shape id="_x0000_i1062" type="#_x0000_t75" style="width:409.6pt;height:44.15pt" o:ole="">
            <v:imagedata r:id="rId158" o:title="" cropleft="4520f" cropright="2002f"/>
          </v:shape>
          <o:OLEObject Type="Embed" ProgID="Word.Document.12" ShapeID="_x0000_i1062" DrawAspect="Content" ObjectID="_1679402779" r:id="rId159">
            <o:FieldCodes>\s</o:FieldCodes>
          </o:OLEObject>
        </w:object>
      </w:r>
    </w:p>
    <w:p w14:paraId="5F60AAC5" w14:textId="77777777" w:rsidR="00F02481" w:rsidRPr="00BE78CA" w:rsidRDefault="00F02481" w:rsidP="000F4164">
      <w:pPr>
        <w:pStyle w:val="BodyText"/>
        <w:spacing w:before="60" w:after="40"/>
        <w:ind w:left="964" w:hanging="964"/>
      </w:pPr>
      <w:r w:rsidRPr="00BE78CA">
        <w:t>Where:</w:t>
      </w:r>
      <w:r w:rsidRPr="00BE78CA">
        <w:tab/>
        <w:t>AG</w:t>
      </w:r>
      <w:r w:rsidRPr="00BE78CA">
        <w:rPr>
          <w:vertAlign w:val="subscript"/>
        </w:rPr>
        <w:t>DM</w:t>
      </w:r>
      <w:r w:rsidRPr="00BE78CA">
        <w:t xml:space="preserve"> is the mass of the above-ground residue dry matter (explained in the equation below)</w:t>
      </w:r>
    </w:p>
    <w:p w14:paraId="1A843617" w14:textId="77777777" w:rsidR="00F02481" w:rsidRPr="00BE78CA" w:rsidRDefault="00F02481" w:rsidP="000F4164">
      <w:pPr>
        <w:pStyle w:val="BodyText"/>
        <w:spacing w:before="60" w:after="40"/>
        <w:ind w:left="964" w:hanging="964"/>
      </w:pPr>
      <w:r w:rsidRPr="00BE78CA">
        <w:tab/>
        <w:t>Crop</w:t>
      </w:r>
      <w:r w:rsidRPr="00BE78CA">
        <w:rPr>
          <w:vertAlign w:val="subscript"/>
        </w:rPr>
        <w:t>T</w:t>
      </w:r>
      <w:r w:rsidRPr="00BE78CA">
        <w:t xml:space="preserve"> is the crop yield, or mass, removed during harvest</w:t>
      </w:r>
    </w:p>
    <w:p w14:paraId="5D1BC0C2" w14:textId="77777777" w:rsidR="00F02481" w:rsidRPr="00BE78CA" w:rsidRDefault="00F02481" w:rsidP="000F4164">
      <w:pPr>
        <w:pStyle w:val="BodyText"/>
        <w:spacing w:before="60" w:after="40"/>
        <w:ind w:left="964" w:hanging="964"/>
      </w:pPr>
      <w:r w:rsidRPr="00BE78CA">
        <w:tab/>
        <w:t>N</w:t>
      </w:r>
      <w:r w:rsidRPr="00BE78CA">
        <w:rPr>
          <w:vertAlign w:val="subscript"/>
        </w:rPr>
        <w:t>AG</w:t>
      </w:r>
      <w:r w:rsidRPr="00BE78CA">
        <w:t xml:space="preserve"> and N</w:t>
      </w:r>
      <w:r w:rsidRPr="00BE78CA">
        <w:rPr>
          <w:vertAlign w:val="subscript"/>
        </w:rPr>
        <w:t>BG</w:t>
      </w:r>
      <w:r w:rsidRPr="00BE78CA">
        <w:t xml:space="preserve"> are the above- and below-ground crop-specific nitrogen concentration factors, and</w:t>
      </w:r>
    </w:p>
    <w:p w14:paraId="0CBEB95B" w14:textId="77777777" w:rsidR="00F02481" w:rsidRPr="00BE78CA" w:rsidRDefault="00F02481" w:rsidP="00C26084">
      <w:pPr>
        <w:pStyle w:val="BodyText"/>
        <w:spacing w:before="60"/>
        <w:ind w:left="964" w:hanging="964"/>
      </w:pPr>
      <w:r w:rsidRPr="00BE78CA">
        <w:tab/>
        <w:t>R</w:t>
      </w:r>
      <w:r w:rsidRPr="00BE78CA">
        <w:rPr>
          <w:vertAlign w:val="subscript"/>
        </w:rPr>
        <w:t>BG</w:t>
      </w:r>
      <w:r w:rsidRPr="00BE78CA">
        <w:t xml:space="preserve"> is the crop-specific root:shoot ratio of below-ground dry matter against the total above-ground crop biomass (crop gathered, Crop</w:t>
      </w:r>
      <w:r w:rsidRPr="00BE78CA">
        <w:rPr>
          <w:vertAlign w:val="subscript"/>
        </w:rPr>
        <w:t>T</w:t>
      </w:r>
      <w:r w:rsidRPr="00BE78CA">
        <w:t>, plus above-ground residue dry matter, AG</w:t>
      </w:r>
      <w:r w:rsidRPr="00BE78CA">
        <w:rPr>
          <w:vertAlign w:val="subscript"/>
        </w:rPr>
        <w:t>DM</w:t>
      </w:r>
      <w:r w:rsidRPr="00BE78CA">
        <w:t>), 0.1 (see annex 3, table A3.1.8).</w:t>
      </w:r>
    </w:p>
    <w:bookmarkStart w:id="908" w:name="_MON_1644047455"/>
    <w:bookmarkEnd w:id="908"/>
    <w:p w14:paraId="0BD99A99" w14:textId="77777777" w:rsidR="00F02481" w:rsidRPr="00BE78CA" w:rsidRDefault="00F02481" w:rsidP="00C26084">
      <w:pPr>
        <w:pStyle w:val="BodyText"/>
        <w:spacing w:before="60" w:after="60"/>
        <w:jc w:val="center"/>
        <w:rPr>
          <w:rFonts w:cs="Calibri"/>
        </w:rPr>
      </w:pPr>
      <w:r w:rsidRPr="00BE78CA">
        <w:rPr>
          <w:rFonts w:cs="Calibri"/>
        </w:rPr>
        <w:object w:dxaOrig="6341" w:dyaOrig="502" w14:anchorId="6CF61E24">
          <v:shape id="_x0000_i1063" type="#_x0000_t75" style="width:316.55pt;height:28.55pt" o:ole="">
            <v:imagedata r:id="rId160" o:title=""/>
          </v:shape>
          <o:OLEObject Type="Embed" ProgID="Word.Document.12" ShapeID="_x0000_i1063" DrawAspect="Content" ObjectID="_1679402780" r:id="rId161">
            <o:FieldCodes>\s</o:FieldCodes>
          </o:OLEObject>
        </w:object>
      </w:r>
    </w:p>
    <w:p w14:paraId="360C9E73" w14:textId="77777777" w:rsidR="00F02481" w:rsidRPr="00BE78CA" w:rsidRDefault="00F02481" w:rsidP="00C26084">
      <w:pPr>
        <w:pStyle w:val="BodyText"/>
        <w:spacing w:after="60"/>
        <w:ind w:left="964" w:hanging="964"/>
      </w:pPr>
      <w:r w:rsidRPr="00BE78CA">
        <w:t>Where:</w:t>
      </w:r>
      <w:r w:rsidRPr="00BE78CA">
        <w:tab/>
        <w:t>HI is the crop-specific harvest index or fraction of the crop that is harvested (see annex 3, table A3.1.8)</w:t>
      </w:r>
    </w:p>
    <w:p w14:paraId="1D276477" w14:textId="77777777" w:rsidR="00F02481" w:rsidRPr="00BE78CA" w:rsidRDefault="00F02481" w:rsidP="00C26084">
      <w:pPr>
        <w:pStyle w:val="BodyText"/>
        <w:spacing w:before="60" w:after="60"/>
        <w:ind w:left="964" w:hanging="964"/>
      </w:pPr>
      <w:r w:rsidRPr="00BE78CA">
        <w:tab/>
        <w:t>Frac</w:t>
      </w:r>
      <w:r w:rsidRPr="00BE78CA">
        <w:rPr>
          <w:vertAlign w:val="subscript"/>
        </w:rPr>
        <w:t>BURN</w:t>
      </w:r>
      <w:r w:rsidRPr="00BE78CA">
        <w:t xml:space="preserve"> is the fraction of residue burned in the field (see table 5.5.4), and</w:t>
      </w:r>
    </w:p>
    <w:p w14:paraId="0B45F609" w14:textId="77777777" w:rsidR="00F02481" w:rsidRPr="00BE78CA" w:rsidRDefault="00F02481" w:rsidP="00C26084">
      <w:pPr>
        <w:pStyle w:val="BodyText"/>
        <w:spacing w:before="60" w:after="60"/>
        <w:ind w:left="964" w:hanging="964"/>
      </w:pPr>
      <w:r w:rsidRPr="00BE78CA">
        <w:tab/>
        <w:t>C</w:t>
      </w:r>
      <w:r w:rsidRPr="00BE78CA">
        <w:rPr>
          <w:vertAlign w:val="subscript"/>
        </w:rPr>
        <w:t>f</w:t>
      </w:r>
      <w:r w:rsidRPr="00BE78CA">
        <w:t xml:space="preserve"> is the combustion factor; a value of 0.7 is recommended (Thomas et al., 2008).</w:t>
      </w:r>
    </w:p>
    <w:p w14:paraId="15FC71B7" w14:textId="77777777" w:rsidR="00F02481" w:rsidRPr="00BE78CA" w:rsidRDefault="00F02481" w:rsidP="00C26084">
      <w:pPr>
        <w:pStyle w:val="BodyText"/>
      </w:pPr>
      <w:r w:rsidRPr="00BE78CA">
        <w:t>The country-specific value for Frac</w:t>
      </w:r>
      <w:r w:rsidRPr="00BE78CA">
        <w:rPr>
          <w:vertAlign w:val="subscript"/>
        </w:rPr>
        <w:t>BURN</w:t>
      </w:r>
      <w:r w:rsidRPr="00BE78CA">
        <w:t>, the fraction of residue burned in the field, was derived from Stats NZ data and farmer surveys (Thomas et al., 2011). The parameters used to estimate the nitrogen added by above- and below-ground crop residues were compiled from published and unpublished reports for New Zealand-grown crops (Cichota et al., 2010) and ‘typical’ values derived for use in the OVERSEER</w:t>
      </w:r>
      <w:r w:rsidRPr="00BE78CA">
        <w:rPr>
          <w:vertAlign w:val="superscript"/>
        </w:rPr>
        <w:t>®</w:t>
      </w:r>
      <w:r w:rsidRPr="00BE78CA">
        <w:t xml:space="preserve"> nutrient budget model for New Zealand. The OVERSEER</w:t>
      </w:r>
      <w:r w:rsidRPr="00BE78CA">
        <w:rPr>
          <w:vertAlign w:val="superscript"/>
        </w:rPr>
        <w:t>®</w:t>
      </w:r>
      <w:r w:rsidRPr="00BE78CA">
        <w:t xml:space="preserve"> model provides average estimates of the fate of nitrogen for a range of pastoral, arable and horticultural systems (www.overseer.org.nz). </w:t>
      </w:r>
    </w:p>
    <w:p w14:paraId="10A34709" w14:textId="77777777" w:rsidR="00F02481" w:rsidRPr="00BE78CA" w:rsidRDefault="00F02481" w:rsidP="00C26084">
      <w:pPr>
        <w:pStyle w:val="BodyText"/>
      </w:pPr>
      <w:r w:rsidRPr="00BE78CA">
        <w:lastRenderedPageBreak/>
        <w:t xml:space="preserve">The per-year harvested tonnage of most non-nitrogen-fixing crops in New Zealand is supplied by Stats NZ from its Agricultural Production census and survey. Additional information on potatoes is provided by Potatoes New Zealand, and updated information on seed crops is provided by AsureQuality, which provides verification and certification services for the seed industry (Thomas, unpublished; S Thomas, pers. comm., 2014). The tonnage of nitrogen-fixing crops is supplied by Stats NZ from its Agricultural Production census and survey (lentils and legumes) and Horticulture New Zealand (peas) (S Thomas, pers. comm., 2014). </w:t>
      </w:r>
    </w:p>
    <w:p w14:paraId="62E8D7AB" w14:textId="77777777" w:rsidR="00F02481" w:rsidRPr="00BE78CA" w:rsidRDefault="00F02481" w:rsidP="00C26084">
      <w:pPr>
        <w:pStyle w:val="BodyText"/>
        <w:rPr>
          <w:rFonts w:cs="Calibri"/>
          <w:spacing w:val="-2"/>
        </w:rPr>
      </w:pPr>
      <w:r w:rsidRPr="00BE78CA">
        <w:rPr>
          <w:rFonts w:cs="Calibri"/>
          <w:b/>
          <w:bCs/>
          <w:spacing w:val="-2"/>
        </w:rPr>
        <w:t xml:space="preserve">Nitrogen from pasture renewal: </w:t>
      </w:r>
      <w:r w:rsidRPr="00BE78CA">
        <w:rPr>
          <w:rFonts w:cs="Calibri"/>
          <w:spacing w:val="-2"/>
        </w:rPr>
        <w:t>Of the four categories of perennial forage that the IPCC (2006) lists for pasture renewal, only two categories are appropriate for New Zealand (Thomas et al., 2014): these are grass–clover pastures and lucerne, a nitrogen-fixing perennial forage. New Zealand has calculated emissions from pasture renewal per plant species type, T, separately:</w:t>
      </w:r>
    </w:p>
    <w:bookmarkStart w:id="909" w:name="_MON_1576650483"/>
    <w:bookmarkEnd w:id="909"/>
    <w:p w14:paraId="19A6AC31" w14:textId="77777777" w:rsidR="00F02481" w:rsidRPr="00BE78CA" w:rsidRDefault="00F02481" w:rsidP="00C26084">
      <w:pPr>
        <w:pStyle w:val="BodyText"/>
        <w:spacing w:before="60" w:after="0"/>
      </w:pPr>
      <w:r w:rsidRPr="00BE78CA">
        <w:object w:dxaOrig="8471" w:dyaOrig="796" w14:anchorId="38EF3879">
          <v:shape id="_x0000_i1064" type="#_x0000_t75" style="width:424.55pt;height:44.15pt" o:ole="">
            <v:imagedata r:id="rId162" o:title="" cropright="6217f"/>
          </v:shape>
          <o:OLEObject Type="Embed" ProgID="Word.Document.12" ShapeID="_x0000_i1064" DrawAspect="Content" ObjectID="_1679402781" r:id="rId163">
            <o:FieldCodes>\s</o:FieldCodes>
          </o:OLEObject>
        </w:object>
      </w:r>
    </w:p>
    <w:p w14:paraId="2A288AF3" w14:textId="77777777" w:rsidR="00F02481" w:rsidRPr="00BE78CA" w:rsidRDefault="00F02481" w:rsidP="000F4164">
      <w:pPr>
        <w:pStyle w:val="BodyText"/>
        <w:spacing w:after="40"/>
        <w:ind w:left="964" w:hanging="964"/>
      </w:pPr>
      <w:r w:rsidRPr="00BE78CA">
        <w:t>Where:</w:t>
      </w:r>
      <w:r w:rsidRPr="00BE78CA">
        <w:tab/>
        <w:t>Area</w:t>
      </w:r>
      <w:r w:rsidRPr="00BE78CA">
        <w:rPr>
          <w:vertAlign w:val="subscript"/>
        </w:rPr>
        <w:t>T</w:t>
      </w:r>
      <w:r w:rsidRPr="00BE78CA">
        <w:t xml:space="preserve"> is the total annual area harvested (hectares per year). No burning is used for pasture renewal in New Zealand</w:t>
      </w:r>
    </w:p>
    <w:p w14:paraId="70675A20" w14:textId="77777777" w:rsidR="00F02481" w:rsidRPr="00BE78CA" w:rsidRDefault="00F02481" w:rsidP="000F4164">
      <w:pPr>
        <w:pStyle w:val="BodyText"/>
        <w:spacing w:before="60" w:after="40"/>
        <w:ind w:left="964" w:hanging="964"/>
      </w:pPr>
      <w:r w:rsidRPr="00BE78CA">
        <w:tab/>
        <w:t>Frac</w:t>
      </w:r>
      <w:r w:rsidRPr="00BE78CA">
        <w:rPr>
          <w:vertAlign w:val="subscript"/>
        </w:rPr>
        <w:t>RENEW(T)</w:t>
      </w:r>
      <w:r w:rsidRPr="00BE78CA">
        <w:t xml:space="preserve"> is the fraction of the area under each crop that is renewed</w:t>
      </w:r>
    </w:p>
    <w:p w14:paraId="47F97343" w14:textId="77777777" w:rsidR="00F02481" w:rsidRPr="00BE78CA" w:rsidRDefault="00F02481" w:rsidP="000F4164">
      <w:pPr>
        <w:pStyle w:val="BodyText"/>
        <w:spacing w:before="60" w:after="40"/>
        <w:ind w:left="964" w:hanging="964"/>
      </w:pPr>
      <w:r w:rsidRPr="00BE78CA">
        <w:tab/>
        <w:t>R</w:t>
      </w:r>
      <w:r w:rsidRPr="00BE78CA">
        <w:rPr>
          <w:vertAlign w:val="subscript"/>
        </w:rPr>
        <w:t>AG(T)</w:t>
      </w:r>
      <w:r w:rsidRPr="00BE78CA">
        <w:t xml:space="preserve"> is the ratio of above-ground residue dry matter (DM) to harvested yield (kg N/kg DM)</w:t>
      </w:r>
    </w:p>
    <w:p w14:paraId="47C7B212" w14:textId="77777777" w:rsidR="00F02481" w:rsidRPr="00BE78CA" w:rsidRDefault="00F02481" w:rsidP="000F4164">
      <w:pPr>
        <w:pStyle w:val="BodyText"/>
        <w:spacing w:before="60" w:after="40"/>
        <w:ind w:left="964" w:hanging="964"/>
      </w:pPr>
      <w:r w:rsidRPr="00BE78CA">
        <w:tab/>
        <w:t>N</w:t>
      </w:r>
      <w:r w:rsidRPr="00BE78CA">
        <w:rPr>
          <w:vertAlign w:val="subscript"/>
        </w:rPr>
        <w:t>AG(T)</w:t>
      </w:r>
      <w:r w:rsidRPr="00BE78CA">
        <w:t xml:space="preserve"> is the nitrogen content of above-ground residue (kg N/kg DM)</w:t>
      </w:r>
    </w:p>
    <w:p w14:paraId="5307497C" w14:textId="77777777" w:rsidR="00F02481" w:rsidRPr="00BE78CA" w:rsidRDefault="00F02481" w:rsidP="000F4164">
      <w:pPr>
        <w:pStyle w:val="BodyText"/>
        <w:spacing w:before="60" w:after="40"/>
        <w:ind w:left="964" w:hanging="964"/>
      </w:pPr>
      <w:r w:rsidRPr="00BE78CA">
        <w:tab/>
        <w:t>Frac</w:t>
      </w:r>
      <w:r w:rsidRPr="00BE78CA">
        <w:rPr>
          <w:vertAlign w:val="subscript"/>
        </w:rPr>
        <w:t>REMOVE (T)</w:t>
      </w:r>
      <w:r w:rsidRPr="00BE78CA">
        <w:t xml:space="preserve"> is the fraction of above-ground residue removed annually for feed, assumed zero for New Zealand</w:t>
      </w:r>
    </w:p>
    <w:p w14:paraId="599AF7EE" w14:textId="77777777" w:rsidR="00F02481" w:rsidRPr="00BE78CA" w:rsidRDefault="00F02481" w:rsidP="000F4164">
      <w:pPr>
        <w:pStyle w:val="BodyText"/>
        <w:spacing w:before="60" w:after="40"/>
        <w:ind w:left="964" w:hanging="964"/>
      </w:pPr>
      <w:r w:rsidRPr="00BE78CA">
        <w:tab/>
        <w:t>R</w:t>
      </w:r>
      <w:r w:rsidRPr="00BE78CA">
        <w:rPr>
          <w:vertAlign w:val="subscript"/>
        </w:rPr>
        <w:t>BG(T)</w:t>
      </w:r>
      <w:r w:rsidRPr="00BE78CA">
        <w:t xml:space="preserve"> is the ratio of below-ground residue DM to harvest yield (kg N/kg DM), and</w:t>
      </w:r>
    </w:p>
    <w:p w14:paraId="29265628" w14:textId="77777777" w:rsidR="00F02481" w:rsidRPr="00BE78CA" w:rsidRDefault="00F02481" w:rsidP="00C26084">
      <w:pPr>
        <w:pStyle w:val="BodyText"/>
        <w:spacing w:before="60"/>
        <w:ind w:left="964" w:hanging="964"/>
      </w:pPr>
      <w:r w:rsidRPr="00BE78CA">
        <w:tab/>
        <w:t>N</w:t>
      </w:r>
      <w:r w:rsidRPr="00BE78CA">
        <w:rPr>
          <w:vertAlign w:val="subscript"/>
        </w:rPr>
        <w:t>BG(T)</w:t>
      </w:r>
      <w:r w:rsidRPr="00BE78CA">
        <w:t xml:space="preserve"> is the nitrogen content of below-ground residue (kg N/kg DM).</w:t>
      </w:r>
    </w:p>
    <w:p w14:paraId="3EC3F733" w14:textId="77777777" w:rsidR="00F02481" w:rsidRPr="00BE78CA" w:rsidRDefault="00F02481" w:rsidP="00C26084">
      <w:pPr>
        <w:pStyle w:val="BodyText"/>
        <w:rPr>
          <w:rFonts w:cs="Calibri"/>
        </w:rPr>
      </w:pPr>
      <w:r w:rsidRPr="00BE78CA">
        <w:rPr>
          <w:rFonts w:cs="Calibri"/>
        </w:rPr>
        <w:t>The areas for each perennial forage crop were obtained from the Stats NZ Agricultural Production census a</w:t>
      </w:r>
      <w:r w:rsidRPr="00BE78CA">
        <w:rPr>
          <w:rStyle w:val="BodyTextChar"/>
          <w:rFonts w:cs="Calibri"/>
        </w:rPr>
        <w:t>n</w:t>
      </w:r>
      <w:r w:rsidRPr="00BE78CA">
        <w:rPr>
          <w:rFonts w:cs="Calibri"/>
        </w:rPr>
        <w:t>d survey, which include the area of grassland and annual crops from 1990 to 2019. The disaggregation of grass–clover systems has been considered, but there is insufficient activity data for pastures of different compositions in New Zealand because the proportion of clover varies widely in high nitrogen input systems. This means that disaggregated data on the nitrogen content are not presently available.</w:t>
      </w:r>
    </w:p>
    <w:p w14:paraId="7EEF41FB" w14:textId="77777777" w:rsidR="00F02481" w:rsidRPr="00BE78CA" w:rsidRDefault="00F02481" w:rsidP="00C26084">
      <w:pPr>
        <w:pStyle w:val="BodyText"/>
        <w:rPr>
          <w:rFonts w:cs="Calibri"/>
        </w:rPr>
      </w:pPr>
      <w:r w:rsidRPr="00BE78CA">
        <w:rPr>
          <w:rFonts w:cs="Calibri"/>
        </w:rPr>
        <w:t>The contribution of crop residues and pasture renewal to overall agricultural emissions is small, with 175.5 kt CO</w:t>
      </w:r>
      <w:r w:rsidRPr="00BE78CA">
        <w:rPr>
          <w:rFonts w:cs="Calibri"/>
          <w:vertAlign w:val="subscript"/>
        </w:rPr>
        <w:t>2</w:t>
      </w:r>
      <w:r w:rsidRPr="00BE78CA">
        <w:rPr>
          <w:rFonts w:cs="Calibri"/>
        </w:rPr>
        <w:t>-e (0.5 per cent of total agricultural emissions) in 1990 and 265.4 kt CO</w:t>
      </w:r>
      <w:r w:rsidRPr="00BE78CA">
        <w:rPr>
          <w:rFonts w:cs="Calibri"/>
          <w:vertAlign w:val="subscript"/>
        </w:rPr>
        <w:t>2</w:t>
      </w:r>
      <w:r w:rsidRPr="00BE78CA">
        <w:rPr>
          <w:rFonts w:cs="Calibri"/>
        </w:rPr>
        <w:noBreakHyphen/>
        <w:t>e (0.7 per cent of total agricultural emissions) in 2019.</w:t>
      </w:r>
    </w:p>
    <w:p w14:paraId="3BC32DF3" w14:textId="77777777" w:rsidR="00F02481" w:rsidRPr="00BE78CA" w:rsidRDefault="00F02481" w:rsidP="00C26084">
      <w:pPr>
        <w:pStyle w:val="Heading5"/>
        <w:rPr>
          <w:rFonts w:cs="Calibri"/>
        </w:rPr>
      </w:pPr>
      <w:r w:rsidRPr="00BE78CA">
        <w:rPr>
          <w:rFonts w:cs="Calibri"/>
        </w:rPr>
        <w:t>Nitrogen mineralisation from loss of soil organic matter in mineral soils (CRF 3.D.1.5)</w:t>
      </w:r>
    </w:p>
    <w:p w14:paraId="49C68F2E" w14:textId="77777777" w:rsidR="00F02481" w:rsidRPr="00BE78CA" w:rsidRDefault="00F02481" w:rsidP="00C26084">
      <w:pPr>
        <w:pStyle w:val="BodyText"/>
        <w:rPr>
          <w:rFonts w:cs="Calibri"/>
        </w:rPr>
      </w:pPr>
      <w:r w:rsidRPr="00BE78CA">
        <w:rPr>
          <w:rFonts w:cs="Calibri"/>
        </w:rPr>
        <w:t>Nitrogen mineralisation is the process by which organic nitrogen is converted to plant-available inorganic forms. Nitrogen mineralisation occurs when soil carbon is lost due to land</w:t>
      </w:r>
      <w:r w:rsidRPr="00BE78CA">
        <w:rPr>
          <w:rFonts w:cs="Calibri"/>
        </w:rPr>
        <w:noBreakHyphen/>
        <w:t xml:space="preserve">use or management change. Most of New Zealand’s emissions from nitrogen mineralised during the loss of soil organic matter are covered under the LULUCF sector. The exception is for activities under the </w:t>
      </w:r>
      <w:r w:rsidRPr="00BE78CA">
        <w:rPr>
          <w:rFonts w:cs="Calibri"/>
          <w:i/>
          <w:iCs/>
        </w:rPr>
        <w:t>Cropland remaining cropland</w:t>
      </w:r>
      <w:r w:rsidRPr="00BE78CA">
        <w:rPr>
          <w:rFonts w:cs="Calibri"/>
        </w:rPr>
        <w:t xml:space="preserve"> land-use category, which are reported under the Agriculture sector (IPCC, 2006). </w:t>
      </w:r>
    </w:p>
    <w:p w14:paraId="616FB1A0" w14:textId="77777777" w:rsidR="00F02481" w:rsidRPr="00BE78CA" w:rsidRDefault="00F02481" w:rsidP="00C26084">
      <w:pPr>
        <w:pStyle w:val="BodyText"/>
        <w:spacing w:after="60"/>
        <w:rPr>
          <w:rFonts w:cs="Calibri"/>
        </w:rPr>
      </w:pPr>
      <w:r w:rsidRPr="00BE78CA">
        <w:rPr>
          <w:rFonts w:cs="Calibri"/>
        </w:rPr>
        <w:t>The following equations are used to determine emissions from this activity:</w:t>
      </w:r>
    </w:p>
    <w:p w14:paraId="14FE1FC5" w14:textId="146A2F59" w:rsidR="00F02481" w:rsidRPr="00BE78CA" w:rsidRDefault="0018147D" w:rsidP="0018147D">
      <w:pPr>
        <w:pStyle w:val="BodyText"/>
        <w:spacing w:before="20" w:after="20"/>
        <w:jc w:val="center"/>
        <w:rPr>
          <w:rFonts w:cs="Calibri"/>
        </w:rPr>
      </w:pPr>
      <w:r w:rsidRPr="00BE78CA">
        <w:rPr>
          <w:rFonts w:cs="Calibri"/>
        </w:rPr>
        <w:object w:dxaOrig="6221" w:dyaOrig="501" w14:anchorId="4C565B4A">
          <v:shape id="_x0000_i1065" type="#_x0000_t75" style="width:309.75pt;height:25.15pt" o:ole="">
            <v:imagedata r:id="rId164" o:title=""/>
          </v:shape>
          <o:OLEObject Type="Embed" ProgID="Word.Document.12" ShapeID="_x0000_i1065" DrawAspect="Content" ObjectID="_1679402782" r:id="rId165">
            <o:FieldCodes>\s</o:FieldCodes>
          </o:OLEObject>
        </w:object>
      </w:r>
    </w:p>
    <w:p w14:paraId="74157778" w14:textId="77777777" w:rsidR="00F02481" w:rsidRPr="00BE78CA" w:rsidRDefault="00F02481" w:rsidP="000F4164">
      <w:pPr>
        <w:pStyle w:val="BodyText"/>
        <w:spacing w:after="40"/>
        <w:ind w:left="964" w:hanging="964"/>
        <w:rPr>
          <w:rFonts w:cs="Calibri"/>
        </w:rPr>
      </w:pPr>
      <w:r w:rsidRPr="00BE78CA">
        <w:rPr>
          <w:rFonts w:cs="Calibri"/>
        </w:rPr>
        <w:t>Where:</w:t>
      </w:r>
      <w:r w:rsidRPr="00BE78CA">
        <w:rPr>
          <w:rFonts w:cs="Calibri"/>
        </w:rPr>
        <w:tab/>
        <w:t>N</w:t>
      </w:r>
      <w:r w:rsidRPr="00BE78CA">
        <w:rPr>
          <w:rFonts w:cs="Calibri"/>
          <w:vertAlign w:val="subscript"/>
        </w:rPr>
        <w:t>2</w:t>
      </w:r>
      <w:r w:rsidRPr="00BE78CA">
        <w:rPr>
          <w:rFonts w:cs="Calibri"/>
        </w:rPr>
        <w:t>O</w:t>
      </w:r>
      <w:r w:rsidRPr="00BE78CA">
        <w:rPr>
          <w:rFonts w:cs="Calibri"/>
          <w:vertAlign w:val="subscript"/>
        </w:rPr>
        <w:t>FSOM</w:t>
      </w:r>
      <w:r w:rsidRPr="00BE78CA">
        <w:rPr>
          <w:rFonts w:cs="Calibri"/>
        </w:rPr>
        <w:t xml:space="preserve"> is the N</w:t>
      </w:r>
      <w:r w:rsidRPr="00BE78CA">
        <w:rPr>
          <w:rFonts w:cs="Calibri"/>
          <w:vertAlign w:val="subscript"/>
        </w:rPr>
        <w:t>2</w:t>
      </w:r>
      <w:r w:rsidRPr="00BE78CA">
        <w:rPr>
          <w:rFonts w:cs="Calibri"/>
        </w:rPr>
        <w:t>O emitted as a result of nitrogen mineralisation from loss of soil organic matter in mineral soils (kt), and</w:t>
      </w:r>
    </w:p>
    <w:p w14:paraId="76952B8E" w14:textId="77777777" w:rsidR="00F02481" w:rsidRPr="00BE78CA" w:rsidRDefault="00F02481" w:rsidP="000F4164">
      <w:pPr>
        <w:pStyle w:val="BodyText"/>
        <w:spacing w:before="60" w:after="40"/>
        <w:ind w:left="964" w:hanging="964"/>
        <w:rPr>
          <w:rFonts w:cs="Calibri"/>
        </w:rPr>
      </w:pPr>
      <w:r w:rsidRPr="00BE78CA">
        <w:rPr>
          <w:rFonts w:cs="Calibri"/>
        </w:rPr>
        <w:tab/>
        <w:t>F</w:t>
      </w:r>
      <w:r w:rsidRPr="00BE78CA">
        <w:rPr>
          <w:rFonts w:cs="Calibri"/>
          <w:vertAlign w:val="subscript"/>
        </w:rPr>
        <w:t>SOM</w:t>
      </w:r>
      <w:r w:rsidRPr="00BE78CA">
        <w:rPr>
          <w:rFonts w:cs="Calibri"/>
        </w:rPr>
        <w:t xml:space="preserve"> is the nitrogen mineralisation from loss of soil organic matter in mineral soils through land management for Cropland remaining cropland (kg).</w:t>
      </w:r>
    </w:p>
    <w:p w14:paraId="53B4D541" w14:textId="77777777" w:rsidR="00F02481" w:rsidRPr="00BE78CA" w:rsidRDefault="00F02481" w:rsidP="00C26084">
      <w:pPr>
        <w:pStyle w:val="BodyText"/>
        <w:spacing w:before="60"/>
        <w:ind w:left="964" w:hanging="964"/>
        <w:rPr>
          <w:rFonts w:cs="Calibri"/>
        </w:rPr>
      </w:pPr>
      <w:r w:rsidRPr="00BE78CA">
        <w:rPr>
          <w:rFonts w:cs="Calibri"/>
        </w:rPr>
        <w:tab/>
        <w:t>The emissions factor EF</w:t>
      </w:r>
      <w:r w:rsidRPr="00BE78CA">
        <w:rPr>
          <w:rFonts w:cs="Calibri"/>
          <w:vertAlign w:val="subscript"/>
        </w:rPr>
        <w:t>1</w:t>
      </w:r>
      <w:r w:rsidRPr="00BE78CA">
        <w:rPr>
          <w:rFonts w:cs="Calibri"/>
        </w:rPr>
        <w:t xml:space="preserve"> is 0.01 (Kelliher and de Klein, unpublished).</w:t>
      </w:r>
    </w:p>
    <w:p w14:paraId="5B660364" w14:textId="77777777" w:rsidR="00F02481" w:rsidRPr="00BE78CA" w:rsidRDefault="00F02481" w:rsidP="00C26084">
      <w:pPr>
        <w:pStyle w:val="BodyText"/>
        <w:keepNext/>
        <w:spacing w:after="80"/>
        <w:rPr>
          <w:rFonts w:cs="Calibri"/>
        </w:rPr>
      </w:pPr>
      <w:r w:rsidRPr="00BE78CA">
        <w:rPr>
          <w:rFonts w:cs="Calibri"/>
        </w:rPr>
        <w:t>And:</w:t>
      </w:r>
    </w:p>
    <w:p w14:paraId="739CF8EE" w14:textId="166491E4" w:rsidR="00F02481" w:rsidRPr="00BE78CA" w:rsidRDefault="00C359B6" w:rsidP="002B17DA">
      <w:pPr>
        <w:pStyle w:val="BodyText"/>
        <w:spacing w:before="0"/>
        <w:jc w:val="center"/>
        <w:rPr>
          <w:rFonts w:cs="Calibri"/>
        </w:rPr>
      </w:pPr>
      <w:r w:rsidRPr="00BE78CA">
        <w:rPr>
          <w:rFonts w:cs="Calibri"/>
        </w:rPr>
        <w:object w:dxaOrig="5351" w:dyaOrig="494" w14:anchorId="27F8FDDA">
          <v:shape id="_x0000_i1066" type="#_x0000_t75" style="width:266.95pt;height:24.45pt" o:ole="">
            <v:imagedata r:id="rId166" o:title=""/>
          </v:shape>
          <o:OLEObject Type="Embed" ProgID="Word.Document.12" ShapeID="_x0000_i1066" DrawAspect="Content" ObjectID="_1679402783" r:id="rId167">
            <o:FieldCodes>\s</o:FieldCodes>
          </o:OLEObject>
        </w:object>
      </w:r>
    </w:p>
    <w:p w14:paraId="6806A7FD" w14:textId="77777777" w:rsidR="00F02481" w:rsidRPr="00BE78CA" w:rsidRDefault="00F02481" w:rsidP="000F4164">
      <w:pPr>
        <w:pStyle w:val="BodyText"/>
        <w:spacing w:after="40"/>
        <w:ind w:left="964" w:hanging="964"/>
        <w:rPr>
          <w:rFonts w:cs="Calibri"/>
        </w:rPr>
      </w:pPr>
      <w:r w:rsidRPr="00BE78CA">
        <w:rPr>
          <w:rFonts w:cs="Calibri"/>
        </w:rPr>
        <w:t>Where:</w:t>
      </w:r>
      <w:r w:rsidRPr="00BE78CA">
        <w:rPr>
          <w:rFonts w:cs="Calibri"/>
        </w:rPr>
        <w:tab/>
        <w:t>∆C</w:t>
      </w:r>
      <w:r w:rsidRPr="00BE78CA">
        <w:rPr>
          <w:rFonts w:cs="Calibri"/>
          <w:vertAlign w:val="subscript"/>
        </w:rPr>
        <w:t>Mineral,CrC</w:t>
      </w:r>
      <w:r w:rsidRPr="00BE78CA">
        <w:rPr>
          <w:rFonts w:cs="Calibri"/>
        </w:rPr>
        <w:t xml:space="preserve"> is the loss of soil carbon (C) in mineral soil during management of cropland (kt), and</w:t>
      </w:r>
    </w:p>
    <w:p w14:paraId="6267738B" w14:textId="77777777" w:rsidR="00F02481" w:rsidRPr="00BE78CA" w:rsidRDefault="00F02481" w:rsidP="00C26084">
      <w:pPr>
        <w:pStyle w:val="BodyText"/>
        <w:spacing w:before="60"/>
        <w:ind w:left="964" w:hanging="964"/>
        <w:rPr>
          <w:rFonts w:cs="Calibri"/>
        </w:rPr>
      </w:pPr>
      <w:r w:rsidRPr="00BE78CA">
        <w:rPr>
          <w:rFonts w:cs="Calibri"/>
        </w:rPr>
        <w:tab/>
        <w:t>R is the C:N ratio; the IPCC (2006) default value of 10 is used.</w:t>
      </w:r>
    </w:p>
    <w:p w14:paraId="35C88525" w14:textId="77777777" w:rsidR="00F02481" w:rsidRPr="00BE78CA" w:rsidRDefault="00F02481" w:rsidP="002B17DA">
      <w:pPr>
        <w:pStyle w:val="BodyText"/>
      </w:pPr>
      <w:r w:rsidRPr="00BE78CA">
        <w:t>Activity data on the soil carbon loss associated with cropland since 1990 were provided by calculations under the LULUCF sector (refer to chapter 6, section 6.5).</w:t>
      </w:r>
    </w:p>
    <w:p w14:paraId="68A8BAA0" w14:textId="77777777" w:rsidR="00F02481" w:rsidRPr="00BE78CA" w:rsidRDefault="00F02481" w:rsidP="002B17DA">
      <w:pPr>
        <w:pStyle w:val="BodyText"/>
      </w:pPr>
      <w:r w:rsidRPr="00BE78CA">
        <w:t>The contribution of nitrogen mineralisation from loss of soil organic matter to overall agricultural emissions is small, with 0.03 kt CO</w:t>
      </w:r>
      <w:r w:rsidRPr="00BE78CA">
        <w:rPr>
          <w:vertAlign w:val="subscript"/>
        </w:rPr>
        <w:t>2</w:t>
      </w:r>
      <w:r w:rsidRPr="00BE78CA">
        <w:t>-e in 1990 and 0.13 kt CO</w:t>
      </w:r>
      <w:r w:rsidRPr="00BE78CA">
        <w:rPr>
          <w:vertAlign w:val="subscript"/>
        </w:rPr>
        <w:t>2</w:t>
      </w:r>
      <w:r w:rsidRPr="00BE78CA">
        <w:t>-e in 2019.</w:t>
      </w:r>
    </w:p>
    <w:p w14:paraId="2C0C7254" w14:textId="77777777" w:rsidR="00F02481" w:rsidRPr="00BE78CA" w:rsidRDefault="00F02481" w:rsidP="00C26084">
      <w:pPr>
        <w:pStyle w:val="Heading5"/>
        <w:rPr>
          <w:rFonts w:cs="Calibri"/>
        </w:rPr>
      </w:pPr>
      <w:bookmarkStart w:id="910" w:name="_Hlk58833796"/>
      <w:r w:rsidRPr="00BE78CA">
        <w:rPr>
          <w:rFonts w:cs="Calibri"/>
        </w:rPr>
        <w:t xml:space="preserve">Cultivation of organic soils </w:t>
      </w:r>
      <w:bookmarkEnd w:id="910"/>
      <w:r w:rsidRPr="00BE78CA">
        <w:rPr>
          <w:rFonts w:cs="Calibri"/>
        </w:rPr>
        <w:t>(CRF 3.D.1.6)</w:t>
      </w:r>
    </w:p>
    <w:p w14:paraId="748AD110" w14:textId="77777777" w:rsidR="00F02481" w:rsidRPr="00BE78CA" w:rsidRDefault="00F02481" w:rsidP="002B17DA">
      <w:pPr>
        <w:pStyle w:val="BodyText"/>
      </w:pPr>
      <w:r w:rsidRPr="00BE78CA">
        <w:t>The management of organic soils is a source of N</w:t>
      </w:r>
      <w:r w:rsidRPr="00BE78CA">
        <w:rPr>
          <w:vertAlign w:val="subscript"/>
        </w:rPr>
        <w:t>2</w:t>
      </w:r>
      <w:r w:rsidRPr="00BE78CA">
        <w:t xml:space="preserve">O emissions. The area of managed organic soils (histosols) in New Zealand includes both the area of cultivated organic soils (as reported under the LULUCF sector) and the area of mineral agricultural soils with a peaty layer that is cultivated (Dresser et al., 2011). Mineral soils with a peaty layer are included in the definition of organic soils because these soils have similar emissions behaviour to that of organic soils (Dresser et al., 2011). The full definition used in the Agriculture sector for organic soils (plus mineral soils with a peaty layer) is: </w:t>
      </w:r>
    </w:p>
    <w:p w14:paraId="0C8336C5" w14:textId="77777777" w:rsidR="00F02481" w:rsidRPr="00BE78CA" w:rsidRDefault="00F02481" w:rsidP="00FA2314">
      <w:pPr>
        <w:pStyle w:val="Bullet"/>
        <w:numPr>
          <w:ilvl w:val="0"/>
          <w:numId w:val="25"/>
        </w:numPr>
      </w:pPr>
      <w:r w:rsidRPr="00BE78CA">
        <w:t xml:space="preserve">17 per cent organic matter content (includes slightly peaty, peaty and peat soils of </w:t>
      </w:r>
      <w:r w:rsidRPr="00BE78CA">
        <w:br/>
        <w:t>17–30 per cent, 30–50 per cent and greater than 50 per cent organic matter content)</w:t>
      </w:r>
    </w:p>
    <w:p w14:paraId="20D8E308" w14:textId="77777777" w:rsidR="00F02481" w:rsidRPr="00BE78CA" w:rsidRDefault="00F02481" w:rsidP="00FA2314">
      <w:pPr>
        <w:pStyle w:val="Bullet"/>
        <w:numPr>
          <w:ilvl w:val="0"/>
          <w:numId w:val="25"/>
        </w:numPr>
      </w:pPr>
      <w:r w:rsidRPr="00BE78CA">
        <w:t>0.1 metres of this depth occurring within 0.3 metres of the surface.</w:t>
      </w:r>
    </w:p>
    <w:p w14:paraId="3B8A7DFA" w14:textId="77777777" w:rsidR="00F02481" w:rsidRPr="00BE78CA" w:rsidRDefault="00F02481" w:rsidP="002B17DA">
      <w:pPr>
        <w:pStyle w:val="BodyText"/>
      </w:pPr>
      <w:r w:rsidRPr="00BE78CA">
        <w:t>The total area of managed cultivated organic soils in New Zealand in 2019 was 174,301.8 hectares, with 94.0 per cent of this area on grassland and 6.0 per cent on cropland. It is assumed that all of this area is managed. The estimate of managed cultivated organic soils on cropland and grassland is consistent with data and methodology used for the LULUCF sector. The total area of managed cultivated organic soils has increased slightly, by 1.4 per cent (2,448.4 hectares) since 1990.</w:t>
      </w:r>
    </w:p>
    <w:p w14:paraId="4B0FB204" w14:textId="77777777" w:rsidR="00F02481" w:rsidRPr="00BE78CA" w:rsidRDefault="00F02481" w:rsidP="002B17DA">
      <w:pPr>
        <w:pStyle w:val="BodyText"/>
      </w:pPr>
      <w:r w:rsidRPr="00BE78CA">
        <w:t>In 2021, the area used to calculate emissions from the cultivation of organic soils was changed to be more consistent with the wording in the 2006 IPCC guidelines (volume 4, chapter 11, page 11.16), and to match with the data used in chapter 6, LULUCF. For more information on this change see section 5.5.5 and chapter 10, section 10.1.3.</w:t>
      </w:r>
    </w:p>
    <w:p w14:paraId="342D2742" w14:textId="77777777" w:rsidR="00F02481" w:rsidRPr="00BE78CA" w:rsidRDefault="00F02481" w:rsidP="002B17DA">
      <w:pPr>
        <w:pStyle w:val="BodyText"/>
      </w:pPr>
      <w:r w:rsidRPr="00BE78CA">
        <w:t>Emissions from organic soils are calculated using the Tier 1 methodology for all years of the time series by multiplying the area of cultivated organic soils by the default value of emissions factor EF</w:t>
      </w:r>
      <w:r w:rsidRPr="00BE78CA">
        <w:rPr>
          <w:vertAlign w:val="subscript"/>
        </w:rPr>
        <w:t>2</w:t>
      </w:r>
      <w:r w:rsidRPr="00BE78CA">
        <w:t xml:space="preserve"> of 8 kg N</w:t>
      </w:r>
      <w:r w:rsidRPr="00BE78CA">
        <w:rPr>
          <w:vertAlign w:val="subscript"/>
        </w:rPr>
        <w:t>2</w:t>
      </w:r>
      <w:r w:rsidRPr="00BE78CA">
        <w:t>O</w:t>
      </w:r>
      <w:r w:rsidRPr="00BE78CA">
        <w:noBreakHyphen/>
        <w:t xml:space="preserve">N/ha (IPCC, 2006). </w:t>
      </w:r>
    </w:p>
    <w:p w14:paraId="4347E6B8" w14:textId="77777777" w:rsidR="00F02481" w:rsidRPr="00BE78CA" w:rsidRDefault="00F02481" w:rsidP="002B17DA">
      <w:pPr>
        <w:pStyle w:val="BodyText"/>
      </w:pPr>
      <w:r w:rsidRPr="00BE78CA">
        <w:lastRenderedPageBreak/>
        <w:t>In 2019, direct N</w:t>
      </w:r>
      <w:r w:rsidRPr="00BE78CA">
        <w:rPr>
          <w:vertAlign w:val="subscript"/>
        </w:rPr>
        <w:t>2</w:t>
      </w:r>
      <w:r w:rsidRPr="00BE78CA">
        <w:t xml:space="preserve">O emissions from </w:t>
      </w:r>
      <w:r w:rsidRPr="00BE78CA">
        <w:rPr>
          <w:i/>
          <w:iCs/>
        </w:rPr>
        <w:t>Cultivation of organic soils</w:t>
      </w:r>
      <w:r w:rsidRPr="00BE78CA">
        <w:t xml:space="preserve"> contributed 8.4 per cent (653.0 kt CO</w:t>
      </w:r>
      <w:r w:rsidRPr="00BE78CA">
        <w:rPr>
          <w:vertAlign w:val="subscript"/>
        </w:rPr>
        <w:t>2</w:t>
      </w:r>
      <w:r w:rsidRPr="00BE78CA">
        <w:t xml:space="preserve">-e) of emissions from </w:t>
      </w:r>
      <w:r w:rsidRPr="00BE78CA">
        <w:rPr>
          <w:i/>
          <w:iCs/>
        </w:rPr>
        <w:t>Agricultural soils</w:t>
      </w:r>
      <w:r w:rsidRPr="00BE78CA">
        <w:t xml:space="preserve">, or 1.6 per cent of total agricultural emissions). This is an increase of 1.4 per cent since 1990. Emissions from </w:t>
      </w:r>
      <w:r w:rsidRPr="00BE78CA">
        <w:rPr>
          <w:i/>
          <w:iCs/>
        </w:rPr>
        <w:t>Cultivation of organic soils</w:t>
      </w:r>
      <w:r w:rsidRPr="00BE78CA">
        <w:t xml:space="preserve"> were identified as a key category (level and trend assessment).</w:t>
      </w:r>
    </w:p>
    <w:p w14:paraId="386AEF38" w14:textId="77777777" w:rsidR="00F02481" w:rsidRPr="00BE78CA" w:rsidRDefault="00F02481" w:rsidP="00C26084">
      <w:pPr>
        <w:pStyle w:val="Heading4"/>
      </w:pPr>
      <w:r w:rsidRPr="00BE78CA">
        <w:t xml:space="preserve">Indirect </w:t>
      </w:r>
      <w:r w:rsidRPr="00BE78CA">
        <w:rPr>
          <w:spacing w:val="-2"/>
        </w:rPr>
        <w:t>nitrous oxide</w:t>
      </w:r>
      <w:r w:rsidRPr="00BE78CA">
        <w:t xml:space="preserve"> emissions from managed soils (CRF 3.D.2) </w:t>
      </w:r>
    </w:p>
    <w:p w14:paraId="79681108" w14:textId="77777777" w:rsidR="00F02481" w:rsidRPr="00BE78CA" w:rsidRDefault="00F02481" w:rsidP="00C26084">
      <w:pPr>
        <w:pStyle w:val="BodyText"/>
        <w:spacing w:before="100"/>
        <w:rPr>
          <w:rFonts w:cs="Calibri"/>
        </w:rPr>
      </w:pPr>
      <w:r w:rsidRPr="00BE78CA">
        <w:rPr>
          <w:rFonts w:cs="Calibri"/>
        </w:rPr>
        <w:t>In addition to direct N</w:t>
      </w:r>
      <w:r w:rsidRPr="00BE78CA">
        <w:rPr>
          <w:rFonts w:cs="Calibri"/>
          <w:vertAlign w:val="subscript"/>
        </w:rPr>
        <w:t>2</w:t>
      </w:r>
      <w:r w:rsidRPr="00BE78CA">
        <w:rPr>
          <w:rFonts w:cs="Calibri"/>
        </w:rPr>
        <w:t>O emissions from managed soils, emissions of N</w:t>
      </w:r>
      <w:r w:rsidRPr="00BE78CA">
        <w:rPr>
          <w:rFonts w:cs="Calibri"/>
          <w:vertAlign w:val="subscript"/>
        </w:rPr>
        <w:t>2</w:t>
      </w:r>
      <w:r w:rsidRPr="00BE78CA">
        <w:rPr>
          <w:rFonts w:cs="Calibri"/>
        </w:rPr>
        <w:t>O also occur through two indirect pathways: volatilisation, and leaching and runoff.</w:t>
      </w:r>
    </w:p>
    <w:p w14:paraId="28624A02" w14:textId="77777777" w:rsidR="00F02481" w:rsidRPr="00BE78CA" w:rsidRDefault="00F02481" w:rsidP="00C26084">
      <w:pPr>
        <w:pStyle w:val="Heading5"/>
        <w:rPr>
          <w:rFonts w:cs="Calibri"/>
        </w:rPr>
      </w:pPr>
      <w:r w:rsidRPr="00BE78CA">
        <w:rPr>
          <w:rFonts w:cs="Calibri"/>
        </w:rPr>
        <w:t>Volatilisation (CRF 3.D.2.1)</w:t>
      </w:r>
    </w:p>
    <w:p w14:paraId="5DBDE9FE" w14:textId="77777777" w:rsidR="00F02481" w:rsidRPr="00BE78CA" w:rsidRDefault="00F02481" w:rsidP="00C26084">
      <w:pPr>
        <w:pStyle w:val="BodyText"/>
        <w:spacing w:before="100" w:after="100"/>
        <w:rPr>
          <w:rFonts w:cs="Calibri"/>
        </w:rPr>
      </w:pPr>
      <w:r w:rsidRPr="00BE78CA">
        <w:rPr>
          <w:rFonts w:cs="Calibri"/>
        </w:rPr>
        <w:t>Some of the nitrogen deposited or spread on agricultural land is emitted into the atmosphere through volatilisation in the form of NH</w:t>
      </w:r>
      <w:r w:rsidRPr="00BE78CA">
        <w:rPr>
          <w:rFonts w:cs="Calibri"/>
          <w:vertAlign w:val="subscript"/>
        </w:rPr>
        <w:t>3</w:t>
      </w:r>
      <w:r w:rsidRPr="00BE78CA">
        <w:rPr>
          <w:rFonts w:cs="Calibri"/>
        </w:rPr>
        <w:t xml:space="preserve"> and NO</w:t>
      </w:r>
      <w:r w:rsidRPr="00BE78CA">
        <w:rPr>
          <w:rFonts w:cs="Calibri"/>
          <w:vertAlign w:val="subscript"/>
        </w:rPr>
        <w:t>x</w:t>
      </w:r>
      <w:r w:rsidRPr="00BE78CA">
        <w:rPr>
          <w:rFonts w:cs="Calibri"/>
        </w:rPr>
        <w:t xml:space="preserve">. A fraction of this volatilised nitrogen returns to the ground during rainfall and is then re-emitted as </w:t>
      </w:r>
      <w:r w:rsidRPr="00BE78CA">
        <w:rPr>
          <w:rFonts w:cs="Calibri"/>
          <w:spacing w:val="-2"/>
        </w:rPr>
        <w:t>N</w:t>
      </w:r>
      <w:r w:rsidRPr="00BE78CA">
        <w:rPr>
          <w:rFonts w:cs="Calibri"/>
          <w:spacing w:val="-2"/>
          <w:vertAlign w:val="subscript"/>
        </w:rPr>
        <w:t>2</w:t>
      </w:r>
      <w:r w:rsidRPr="00BE78CA">
        <w:rPr>
          <w:rFonts w:cs="Calibri"/>
          <w:spacing w:val="-2"/>
        </w:rPr>
        <w:t>O</w:t>
      </w:r>
      <w:r w:rsidRPr="00BE78CA">
        <w:rPr>
          <w:rFonts w:cs="Calibri"/>
        </w:rPr>
        <w:t>. The fraction of nitrogen that becomes N</w:t>
      </w:r>
      <w:r w:rsidRPr="00BE78CA">
        <w:rPr>
          <w:rFonts w:cs="Calibri"/>
          <w:vertAlign w:val="subscript"/>
        </w:rPr>
        <w:t>2</w:t>
      </w:r>
      <w:r w:rsidRPr="00BE78CA">
        <w:rPr>
          <w:rFonts w:cs="Calibri"/>
        </w:rPr>
        <w:t>O during this process is calculated using the parameters Frac</w:t>
      </w:r>
      <w:r w:rsidRPr="00BE78CA">
        <w:rPr>
          <w:rFonts w:cs="Calibri"/>
          <w:vertAlign w:val="subscript"/>
        </w:rPr>
        <w:t>GASF</w:t>
      </w:r>
      <w:r w:rsidRPr="00BE78CA">
        <w:rPr>
          <w:rFonts w:cs="Calibri"/>
        </w:rPr>
        <w:t xml:space="preserve"> for synthetic nitrogen fertiliser and Frac</w:t>
      </w:r>
      <w:r w:rsidRPr="00BE78CA">
        <w:rPr>
          <w:rFonts w:cs="Calibri"/>
          <w:vertAlign w:val="subscript"/>
        </w:rPr>
        <w:t>GASM</w:t>
      </w:r>
      <w:r w:rsidRPr="00BE78CA">
        <w:rPr>
          <w:rFonts w:cs="Calibri"/>
        </w:rPr>
        <w:t xml:space="preserve"> for organic inputs from animal excreta. New Zealand uses country-specific values for both of these parameters.</w:t>
      </w:r>
    </w:p>
    <w:p w14:paraId="59C6A91C" w14:textId="77777777" w:rsidR="00F02481" w:rsidRPr="00BE78CA" w:rsidRDefault="00F02481" w:rsidP="00C26084">
      <w:pPr>
        <w:pStyle w:val="BodyText"/>
        <w:spacing w:before="100" w:after="100"/>
        <w:rPr>
          <w:rFonts w:cs="Calibri"/>
        </w:rPr>
      </w:pPr>
      <w:r w:rsidRPr="00BE78CA">
        <w:rPr>
          <w:rFonts w:cs="Calibri"/>
        </w:rPr>
        <w:t>In New Zealand, nitrogen added to agricultural soils from synthetic nitrogen fertiliser (F</w:t>
      </w:r>
      <w:r w:rsidRPr="00BE78CA">
        <w:rPr>
          <w:rFonts w:cs="Calibri"/>
          <w:vertAlign w:val="subscript"/>
        </w:rPr>
        <w:t>SN</w:t>
      </w:r>
      <w:r w:rsidRPr="00BE78CA">
        <w:rPr>
          <w:rFonts w:cs="Calibri"/>
        </w:rPr>
        <w:t>), organic nitrogen fertiliser from the spreading of managed manure (F</w:t>
      </w:r>
      <w:r w:rsidRPr="00BE78CA">
        <w:rPr>
          <w:rFonts w:cs="Calibri"/>
          <w:vertAlign w:val="subscript"/>
        </w:rPr>
        <w:t>ON</w:t>
      </w:r>
      <w:r w:rsidRPr="00BE78CA">
        <w:rPr>
          <w:rFonts w:cs="Calibri"/>
        </w:rPr>
        <w:t>), and excreta from grazing livestock on pasture (F</w:t>
      </w:r>
      <w:r w:rsidRPr="00BE78CA">
        <w:rPr>
          <w:rFonts w:cs="Calibri"/>
          <w:vertAlign w:val="subscript"/>
        </w:rPr>
        <w:t>PRP</w:t>
      </w:r>
      <w:r w:rsidRPr="00BE78CA">
        <w:rPr>
          <w:rFonts w:cs="Calibri"/>
        </w:rPr>
        <w:t>) all contribute to N</w:t>
      </w:r>
      <w:r w:rsidRPr="00BE78CA">
        <w:rPr>
          <w:rFonts w:cs="Calibri"/>
          <w:vertAlign w:val="subscript"/>
        </w:rPr>
        <w:t>2</w:t>
      </w:r>
      <w:r w:rsidRPr="00BE78CA">
        <w:rPr>
          <w:rFonts w:cs="Calibri"/>
        </w:rPr>
        <w:t>O emissions from volatilisation. The collection of activity data for F</w:t>
      </w:r>
      <w:r w:rsidRPr="00BE78CA">
        <w:rPr>
          <w:rFonts w:cs="Calibri"/>
          <w:vertAlign w:val="subscript"/>
        </w:rPr>
        <w:t>SN</w:t>
      </w:r>
      <w:r w:rsidRPr="00BE78CA">
        <w:rPr>
          <w:rFonts w:cs="Calibri"/>
        </w:rPr>
        <w:t>, F</w:t>
      </w:r>
      <w:r w:rsidRPr="00BE78CA">
        <w:rPr>
          <w:rFonts w:cs="Calibri"/>
          <w:vertAlign w:val="subscript"/>
        </w:rPr>
        <w:t>ON</w:t>
      </w:r>
      <w:r w:rsidRPr="00BE78CA">
        <w:rPr>
          <w:rFonts w:cs="Calibri"/>
        </w:rPr>
        <w:t xml:space="preserve"> and F</w:t>
      </w:r>
      <w:r w:rsidRPr="00BE78CA">
        <w:rPr>
          <w:rFonts w:cs="Calibri"/>
          <w:vertAlign w:val="subscript"/>
        </w:rPr>
        <w:t xml:space="preserve">PRP </w:t>
      </w:r>
      <w:r w:rsidRPr="00BE78CA">
        <w:rPr>
          <w:rFonts w:cs="Calibri"/>
        </w:rPr>
        <w:t>is described above (see Direct N</w:t>
      </w:r>
      <w:r w:rsidRPr="00BE78CA">
        <w:rPr>
          <w:rFonts w:cs="Calibri"/>
          <w:vertAlign w:val="subscript"/>
        </w:rPr>
        <w:t>2</w:t>
      </w:r>
      <w:r w:rsidRPr="00BE78CA">
        <w:rPr>
          <w:rFonts w:cs="Calibri"/>
        </w:rPr>
        <w:t xml:space="preserve">O emissions from managed soils (CRF 3.D.1)). Volatilisation from manure stored in manure management systems (prior to application to land) is reported in the </w:t>
      </w:r>
      <w:r w:rsidRPr="00BE78CA">
        <w:rPr>
          <w:rFonts w:cs="Calibri"/>
          <w:i/>
          <w:iCs/>
        </w:rPr>
        <w:t>Manure management</w:t>
      </w:r>
      <w:r w:rsidRPr="00BE78CA">
        <w:rPr>
          <w:rFonts w:cs="Calibri"/>
        </w:rPr>
        <w:t xml:space="preserve"> category (see section 5.3.2).</w:t>
      </w:r>
    </w:p>
    <w:p w14:paraId="35529055" w14:textId="77777777" w:rsidR="00F02481" w:rsidRPr="00BE78CA" w:rsidRDefault="00F02481" w:rsidP="00C26084">
      <w:pPr>
        <w:pStyle w:val="BodyText"/>
        <w:spacing w:before="100" w:after="60"/>
        <w:rPr>
          <w:rFonts w:cs="Calibri"/>
        </w:rPr>
      </w:pPr>
      <w:r w:rsidRPr="00BE78CA">
        <w:rPr>
          <w:rFonts w:cs="Calibri"/>
        </w:rPr>
        <w:t>New Zealand uses a Tier 1 methodology with country-specific emission factors for Frac</w:t>
      </w:r>
      <w:r w:rsidRPr="00BE78CA">
        <w:rPr>
          <w:rFonts w:cs="Calibri"/>
          <w:vertAlign w:val="subscript"/>
        </w:rPr>
        <w:t>GASF</w:t>
      </w:r>
      <w:r w:rsidRPr="00BE78CA">
        <w:rPr>
          <w:rFonts w:cs="Calibri"/>
        </w:rPr>
        <w:t xml:space="preserve"> and Frac</w:t>
      </w:r>
      <w:r w:rsidRPr="00BE78CA">
        <w:rPr>
          <w:rFonts w:cs="Calibri"/>
          <w:vertAlign w:val="subscript"/>
        </w:rPr>
        <w:t>GASM</w:t>
      </w:r>
      <w:r w:rsidRPr="00BE78CA">
        <w:rPr>
          <w:rFonts w:cs="Calibri"/>
        </w:rPr>
        <w:t xml:space="preserve"> and a default value for the EF</w:t>
      </w:r>
      <w:r w:rsidRPr="00BE78CA">
        <w:rPr>
          <w:rFonts w:cs="Calibri"/>
          <w:vertAlign w:val="subscript"/>
        </w:rPr>
        <w:t>4</w:t>
      </w:r>
      <w:r w:rsidRPr="00BE78CA">
        <w:rPr>
          <w:rFonts w:cs="Calibri"/>
        </w:rPr>
        <w:t xml:space="preserve"> emissions factor to calculate emissions from volatilisation: </w:t>
      </w:r>
    </w:p>
    <w:bookmarkStart w:id="911" w:name="_MON_1545721563"/>
    <w:bookmarkEnd w:id="911"/>
    <w:p w14:paraId="3B77DBB4" w14:textId="77777777" w:rsidR="00F02481" w:rsidRPr="00BE78CA" w:rsidRDefault="00F02481" w:rsidP="00C26084">
      <w:pPr>
        <w:pStyle w:val="BodyText"/>
        <w:spacing w:before="0" w:after="60"/>
        <w:rPr>
          <w:rFonts w:cs="Calibri"/>
        </w:rPr>
      </w:pPr>
      <w:r w:rsidRPr="00BE78CA">
        <w:rPr>
          <w:rFonts w:cs="Calibri"/>
        </w:rPr>
        <w:object w:dxaOrig="8321" w:dyaOrig="727" w14:anchorId="162F511D">
          <v:shape id="_x0000_i1067" type="#_x0000_t75" style="width:417.75pt;height:35.3pt" o:ole="">
            <v:imagedata r:id="rId168" o:title="" cropbottom="11302f"/>
          </v:shape>
          <o:OLEObject Type="Embed" ProgID="Word.Document.12" ShapeID="_x0000_i1067" DrawAspect="Content" ObjectID="_1679402784" r:id="rId169">
            <o:FieldCodes>\s</o:FieldCodes>
          </o:OLEObject>
        </w:object>
      </w:r>
    </w:p>
    <w:p w14:paraId="00346588" w14:textId="77777777" w:rsidR="00F02481" w:rsidRPr="00BE78CA" w:rsidRDefault="00F02481" w:rsidP="000F4164">
      <w:pPr>
        <w:pStyle w:val="BodyText"/>
        <w:spacing w:after="40"/>
        <w:ind w:left="964" w:hanging="964"/>
      </w:pPr>
      <w:r w:rsidRPr="00BE78CA">
        <w:t>Where:</w:t>
      </w:r>
      <w:r w:rsidRPr="00BE78CA">
        <w:tab/>
        <w:t>N</w:t>
      </w:r>
      <w:r w:rsidRPr="00BE78CA">
        <w:rPr>
          <w:vertAlign w:val="subscript"/>
        </w:rPr>
        <w:t>2</w:t>
      </w:r>
      <w:r w:rsidRPr="00BE78CA">
        <w:t>O</w:t>
      </w:r>
      <w:r w:rsidRPr="00BE78CA">
        <w:rPr>
          <w:vertAlign w:val="subscript"/>
        </w:rPr>
        <w:t>ATD</w:t>
      </w:r>
      <w:r w:rsidRPr="00BE78CA">
        <w:t>–N is the annual amount of N</w:t>
      </w:r>
      <w:r w:rsidRPr="00BE78CA">
        <w:rPr>
          <w:vertAlign w:val="subscript"/>
        </w:rPr>
        <w:t>2</w:t>
      </w:r>
      <w:r w:rsidRPr="00BE78CA">
        <w:t>O-N produced by atmospheric deposition of volatilised nitrogen from agricultural soils (kg N</w:t>
      </w:r>
      <w:r w:rsidRPr="00BE78CA">
        <w:rPr>
          <w:vertAlign w:val="subscript"/>
        </w:rPr>
        <w:t>2</w:t>
      </w:r>
      <w:r w:rsidRPr="00BE78CA">
        <w:t>O-N/year)</w:t>
      </w:r>
    </w:p>
    <w:p w14:paraId="7527BD6A" w14:textId="77777777" w:rsidR="00F02481" w:rsidRPr="00BE78CA" w:rsidRDefault="00F02481" w:rsidP="000F4164">
      <w:pPr>
        <w:pStyle w:val="BodyText"/>
        <w:spacing w:before="60" w:after="40"/>
        <w:ind w:left="964" w:hanging="964"/>
      </w:pPr>
      <w:r w:rsidRPr="00BE78CA">
        <w:tab/>
        <w:t>F</w:t>
      </w:r>
      <w:r w:rsidRPr="00BE78CA">
        <w:rPr>
          <w:vertAlign w:val="subscript"/>
        </w:rPr>
        <w:t>SN</w:t>
      </w:r>
      <w:r w:rsidRPr="00BE78CA">
        <w:t>, F</w:t>
      </w:r>
      <w:r w:rsidRPr="00BE78CA">
        <w:rPr>
          <w:vertAlign w:val="subscript"/>
        </w:rPr>
        <w:t>ON</w:t>
      </w:r>
      <w:r w:rsidRPr="00BE78CA">
        <w:t xml:space="preserve"> and F</w:t>
      </w:r>
      <w:r w:rsidRPr="00BE78CA">
        <w:rPr>
          <w:vertAlign w:val="subscript"/>
        </w:rPr>
        <w:t>PRP</w:t>
      </w:r>
      <w:r w:rsidRPr="00BE78CA">
        <w:t xml:space="preserve"> are defined above (kg N/year)</w:t>
      </w:r>
    </w:p>
    <w:p w14:paraId="109A6F64" w14:textId="77777777" w:rsidR="00F02481" w:rsidRPr="00BE78CA" w:rsidRDefault="00F02481" w:rsidP="000F4164">
      <w:pPr>
        <w:pStyle w:val="BodyText"/>
        <w:spacing w:before="60" w:after="40"/>
        <w:ind w:left="964" w:hanging="964"/>
      </w:pPr>
      <w:r w:rsidRPr="00BE78CA">
        <w:tab/>
        <w:t>Frac</w:t>
      </w:r>
      <w:r w:rsidRPr="00BE78CA">
        <w:rPr>
          <w:vertAlign w:val="subscript"/>
        </w:rPr>
        <w:t>GASF</w:t>
      </w:r>
      <w:r w:rsidRPr="00BE78CA">
        <w:t xml:space="preserve"> is the fraction of nitrogen from synthetic fertiliser that volatilises as NH</w:t>
      </w:r>
      <w:r w:rsidRPr="00BE78CA">
        <w:rPr>
          <w:vertAlign w:val="subscript"/>
        </w:rPr>
        <w:t>3</w:t>
      </w:r>
      <w:r w:rsidRPr="00BE78CA">
        <w:t xml:space="preserve"> and NO</w:t>
      </w:r>
      <w:r w:rsidRPr="00BE78CA">
        <w:rPr>
          <w:vertAlign w:val="subscript"/>
        </w:rPr>
        <w:t>x</w:t>
      </w:r>
      <w:r w:rsidRPr="00BE78CA">
        <w:t xml:space="preserve"> (see table 5.5.4)</w:t>
      </w:r>
    </w:p>
    <w:p w14:paraId="0FB01623" w14:textId="77777777" w:rsidR="00F02481" w:rsidRPr="00BE78CA" w:rsidRDefault="00F02481" w:rsidP="000F4164">
      <w:pPr>
        <w:pStyle w:val="BodyText"/>
        <w:spacing w:before="60" w:after="40"/>
        <w:ind w:left="964" w:hanging="964"/>
      </w:pPr>
      <w:r w:rsidRPr="00BE78CA">
        <w:tab/>
        <w:t>Frac</w:t>
      </w:r>
      <w:r w:rsidRPr="00BE78CA">
        <w:rPr>
          <w:vertAlign w:val="subscript"/>
        </w:rPr>
        <w:t>GASM</w:t>
      </w:r>
      <w:r w:rsidRPr="00BE78CA">
        <w:t xml:space="preserve"> is the fraction of nitrogen</w:t>
      </w:r>
      <w:r w:rsidRPr="00BE78CA" w:rsidDel="009B1CDF">
        <w:t xml:space="preserve"> </w:t>
      </w:r>
      <w:r w:rsidRPr="00BE78CA">
        <w:t>from manure spreading and pasture, range and paddock manure that volatilises as NH</w:t>
      </w:r>
      <w:r w:rsidRPr="00BE78CA">
        <w:rPr>
          <w:vertAlign w:val="subscript"/>
        </w:rPr>
        <w:t>3</w:t>
      </w:r>
      <w:r w:rsidRPr="00BE78CA">
        <w:t xml:space="preserve"> and NO</w:t>
      </w:r>
      <w:r w:rsidRPr="00BE78CA">
        <w:rPr>
          <w:vertAlign w:val="subscript"/>
        </w:rPr>
        <w:t>x</w:t>
      </w:r>
      <w:r w:rsidRPr="00BE78CA">
        <w:t xml:space="preserve"> (see table 5.5.4), and</w:t>
      </w:r>
    </w:p>
    <w:p w14:paraId="714E0924" w14:textId="77777777" w:rsidR="00F02481" w:rsidRPr="00BE78CA" w:rsidRDefault="00F02481" w:rsidP="00C26084">
      <w:pPr>
        <w:pStyle w:val="BodyText"/>
        <w:spacing w:before="60"/>
        <w:ind w:left="964" w:hanging="964"/>
      </w:pPr>
      <w:r w:rsidRPr="00BE78CA">
        <w:tab/>
        <w:t>EF</w:t>
      </w:r>
      <w:r w:rsidRPr="00BE78CA">
        <w:rPr>
          <w:vertAlign w:val="subscript"/>
        </w:rPr>
        <w:t>4</w:t>
      </w:r>
      <w:r w:rsidRPr="00BE78CA">
        <w:t xml:space="preserve"> is the emissions factor for N</w:t>
      </w:r>
      <w:r w:rsidRPr="00BE78CA">
        <w:rPr>
          <w:vertAlign w:val="subscript"/>
        </w:rPr>
        <w:t>2</w:t>
      </w:r>
      <w:r w:rsidRPr="00BE78CA">
        <w:t>O emissions from atmospheric deposition of nitrogen on soils and water (kg N</w:t>
      </w:r>
      <w:r w:rsidRPr="00BE78CA">
        <w:rPr>
          <w:vertAlign w:val="subscript"/>
        </w:rPr>
        <w:t>2</w:t>
      </w:r>
      <w:r w:rsidRPr="00BE78CA">
        <w:t>O-N/kg N).</w:t>
      </w:r>
    </w:p>
    <w:p w14:paraId="59C18E68" w14:textId="77777777" w:rsidR="00F02481" w:rsidRPr="00BE78CA" w:rsidRDefault="00F02481" w:rsidP="000B369A">
      <w:pPr>
        <w:pStyle w:val="BodyText"/>
      </w:pPr>
      <w:r w:rsidRPr="00BE78CA">
        <w:t>New Zealand has a country-specific value of 0.1 for Frac</w:t>
      </w:r>
      <w:r w:rsidRPr="00BE78CA">
        <w:rPr>
          <w:vertAlign w:val="subscript"/>
        </w:rPr>
        <w:t>GASF</w:t>
      </w:r>
      <w:r w:rsidRPr="00BE78CA">
        <w:t>, the fraction of volatilised nitrogen from synthetic nitrogen fertiliser. This value is based on a review by Sherlock et al. (2008) of relevant New Zealand and international research. The review determined that a value of 0.096 for Frac</w:t>
      </w:r>
      <w:r w:rsidRPr="00BE78CA">
        <w:rPr>
          <w:vertAlign w:val="subscript"/>
        </w:rPr>
        <w:t>GASF</w:t>
      </w:r>
      <w:r w:rsidRPr="00BE78CA">
        <w:t xml:space="preserve"> was suitable for New Zealand conditions. Because this value of 0.096 is almost identical to the IPCC default value of 0.1, the value of 0.1 was adopted by New Zealand as a country-specific value for Frac</w:t>
      </w:r>
      <w:r w:rsidRPr="00BE78CA">
        <w:rPr>
          <w:vertAlign w:val="subscript"/>
        </w:rPr>
        <w:t>GASF</w:t>
      </w:r>
      <w:r w:rsidRPr="00BE78CA">
        <w:t xml:space="preserve">. </w:t>
      </w:r>
    </w:p>
    <w:p w14:paraId="71810E02" w14:textId="77777777" w:rsidR="00F02481" w:rsidRPr="00BE78CA" w:rsidRDefault="00F02481" w:rsidP="000B369A">
      <w:pPr>
        <w:pStyle w:val="BodyText"/>
      </w:pPr>
      <w:r w:rsidRPr="00BE78CA">
        <w:lastRenderedPageBreak/>
        <w:t>The review by Sherlock et al. (2008) also recommended a country-specific value of 0.1 for Frac</w:t>
      </w:r>
      <w:r w:rsidRPr="00BE78CA">
        <w:rPr>
          <w:vertAlign w:val="subscript"/>
        </w:rPr>
        <w:t>GASM</w:t>
      </w:r>
      <w:r w:rsidRPr="00BE78CA">
        <w:t>, the fraction of volatilised nitrogen from manure spreading and pasture, range and paddock manure. The review showed that the default value of 0.2 for Frac</w:t>
      </w:r>
      <w:r w:rsidRPr="00BE78CA">
        <w:rPr>
          <w:vertAlign w:val="subscript"/>
        </w:rPr>
        <w:t>GASM</w:t>
      </w:r>
      <w:r w:rsidRPr="00BE78CA">
        <w:t xml:space="preserve"> (IPCC, 2006) was too high for New Zealand conditions and that 0.1 was more appropriate. This value was also confirmed by subsequent field experiments (Laubach et al., 2012). </w:t>
      </w:r>
    </w:p>
    <w:p w14:paraId="7F0367F2" w14:textId="77777777" w:rsidR="00F02481" w:rsidRPr="00BE78CA" w:rsidRDefault="00F02481" w:rsidP="000B369A">
      <w:pPr>
        <w:pStyle w:val="BodyText"/>
      </w:pPr>
      <w:r w:rsidRPr="00BE78CA">
        <w:t xml:space="preserve">In 2019, </w:t>
      </w:r>
      <w:r w:rsidRPr="00BE78CA">
        <w:rPr>
          <w:spacing w:val="-2"/>
        </w:rPr>
        <w:t>N</w:t>
      </w:r>
      <w:r w:rsidRPr="00BE78CA">
        <w:rPr>
          <w:spacing w:val="-2"/>
          <w:vertAlign w:val="subscript"/>
        </w:rPr>
        <w:t>2</w:t>
      </w:r>
      <w:r w:rsidRPr="00BE78CA">
        <w:rPr>
          <w:spacing w:val="-2"/>
        </w:rPr>
        <w:t>O</w:t>
      </w:r>
      <w:r w:rsidRPr="00BE78CA">
        <w:t xml:space="preserve"> emissions from volatilisation contributed 2.3 per cent (925.3 kt CO</w:t>
      </w:r>
      <w:r w:rsidRPr="00BE78CA">
        <w:rPr>
          <w:vertAlign w:val="subscript"/>
        </w:rPr>
        <w:t>2</w:t>
      </w:r>
      <w:r w:rsidRPr="00BE78CA">
        <w:t>-e) to total agricultural emissions, an increase of 25.9 per cent from the 1990 value of 735.1 kt CO</w:t>
      </w:r>
      <w:r w:rsidRPr="00BE78CA">
        <w:rPr>
          <w:vertAlign w:val="subscript"/>
        </w:rPr>
        <w:t>2</w:t>
      </w:r>
      <w:r w:rsidRPr="00BE78CA">
        <w:t>-e.</w:t>
      </w:r>
    </w:p>
    <w:p w14:paraId="40B7AD9E" w14:textId="77777777" w:rsidR="00F02481" w:rsidRPr="00BE78CA" w:rsidRDefault="00F02481" w:rsidP="000B369A">
      <w:pPr>
        <w:pStyle w:val="Heading5"/>
      </w:pPr>
      <w:r w:rsidRPr="00BE78CA">
        <w:t>Leaching and runoff (CRF 3.D.2.2)</w:t>
      </w:r>
    </w:p>
    <w:p w14:paraId="618C663B" w14:textId="77777777" w:rsidR="00F02481" w:rsidRPr="00BE78CA" w:rsidRDefault="00F02481" w:rsidP="000B369A">
      <w:pPr>
        <w:pStyle w:val="BodyText"/>
      </w:pPr>
      <w:r w:rsidRPr="00BE78CA">
        <w:rPr>
          <w:spacing w:val="-2"/>
        </w:rPr>
        <w:t xml:space="preserve">Nitrous oxide </w:t>
      </w:r>
      <w:r w:rsidRPr="00BE78CA">
        <w:t>emissions from leaching and runoff originate from the following sources: synthetic nitrogen fertiliser (F</w:t>
      </w:r>
      <w:r w:rsidRPr="00BE78CA">
        <w:rPr>
          <w:vertAlign w:val="subscript"/>
        </w:rPr>
        <w:t>SN</w:t>
      </w:r>
      <w:r w:rsidRPr="00BE78CA">
        <w:t>), organic nitrogen additions from the spreading of animal manure (F</w:t>
      </w:r>
      <w:r w:rsidRPr="00BE78CA">
        <w:rPr>
          <w:vertAlign w:val="subscript"/>
        </w:rPr>
        <w:t>ON</w:t>
      </w:r>
      <w:r w:rsidRPr="00BE78CA">
        <w:t>), above- and below-ground crop residues (F</w:t>
      </w:r>
      <w:r w:rsidRPr="00BE78CA">
        <w:rPr>
          <w:vertAlign w:val="subscript"/>
        </w:rPr>
        <w:t>CR</w:t>
      </w:r>
      <w:r w:rsidRPr="00BE78CA">
        <w:t>), nitrogen mineralisation associated with loss of soil organic matter from cropland land management (F</w:t>
      </w:r>
      <w:r w:rsidRPr="00BE78CA">
        <w:rPr>
          <w:vertAlign w:val="subscript"/>
        </w:rPr>
        <w:t>SOM</w:t>
      </w:r>
      <w:r w:rsidRPr="00BE78CA">
        <w:t>) and excreta from grazing livestock on pasture, range and paddock (F</w:t>
      </w:r>
      <w:r w:rsidRPr="00BE78CA">
        <w:rPr>
          <w:vertAlign w:val="subscript"/>
        </w:rPr>
        <w:t>PRP</w:t>
      </w:r>
      <w:r w:rsidRPr="00BE78CA">
        <w:t>) (IPCC, 2006). The collection of activity data for F</w:t>
      </w:r>
      <w:r w:rsidRPr="00BE78CA">
        <w:rPr>
          <w:vertAlign w:val="subscript"/>
        </w:rPr>
        <w:t>SN</w:t>
      </w:r>
      <w:r w:rsidRPr="00BE78CA">
        <w:t>, F</w:t>
      </w:r>
      <w:r w:rsidRPr="00BE78CA">
        <w:rPr>
          <w:vertAlign w:val="subscript"/>
        </w:rPr>
        <w:t>ON</w:t>
      </w:r>
      <w:r w:rsidRPr="00BE78CA">
        <w:t>, F</w:t>
      </w:r>
      <w:r w:rsidRPr="00BE78CA">
        <w:rPr>
          <w:vertAlign w:val="subscript"/>
        </w:rPr>
        <w:t>CR</w:t>
      </w:r>
      <w:r w:rsidRPr="00BE78CA">
        <w:t>, F</w:t>
      </w:r>
      <w:r w:rsidRPr="00BE78CA">
        <w:rPr>
          <w:vertAlign w:val="subscript"/>
        </w:rPr>
        <w:t xml:space="preserve">PRP </w:t>
      </w:r>
      <w:r w:rsidRPr="00BE78CA">
        <w:t>and F</w:t>
      </w:r>
      <w:r w:rsidRPr="00BE78CA">
        <w:rPr>
          <w:vertAlign w:val="subscript"/>
        </w:rPr>
        <w:t>SOM</w:t>
      </w:r>
      <w:r w:rsidRPr="00BE78CA">
        <w:t xml:space="preserve"> is described above (see Direct N</w:t>
      </w:r>
      <w:r w:rsidRPr="00BE78CA">
        <w:rPr>
          <w:vertAlign w:val="subscript"/>
        </w:rPr>
        <w:t>2</w:t>
      </w:r>
      <w:r w:rsidRPr="00BE78CA">
        <w:t xml:space="preserve">O emissions from managed soils (CRF 3.D.1)). </w:t>
      </w:r>
    </w:p>
    <w:p w14:paraId="623ACB7C" w14:textId="77777777" w:rsidR="00F02481" w:rsidRPr="00BE78CA" w:rsidRDefault="00F02481" w:rsidP="000B369A">
      <w:pPr>
        <w:pStyle w:val="BodyText"/>
      </w:pPr>
      <w:r w:rsidRPr="00BE78CA">
        <w:t xml:space="preserve">New Zealand reports all emissions from leaching under the </w:t>
      </w:r>
      <w:r w:rsidRPr="00BE78CA">
        <w:rPr>
          <w:i/>
          <w:iCs/>
        </w:rPr>
        <w:t>Agricultural soils</w:t>
      </w:r>
      <w:r w:rsidRPr="00BE78CA">
        <w:t xml:space="preserve"> category. As discussed under</w:t>
      </w:r>
      <w:r w:rsidRPr="00BE78CA">
        <w:rPr>
          <w:i/>
          <w:iCs/>
        </w:rPr>
        <w:t xml:space="preserve"> Manure management </w:t>
      </w:r>
      <w:r w:rsidRPr="00BE78CA">
        <w:t>(see section 5.3.2), New Zealand livestock are predominantly grazed outdoors (see table 5.3.2). New Zealand uses a Tier 1 methodology with country-specific default parameters to calculate indirect N</w:t>
      </w:r>
      <w:r w:rsidRPr="00BE78CA">
        <w:rPr>
          <w:vertAlign w:val="subscript"/>
        </w:rPr>
        <w:t>2</w:t>
      </w:r>
      <w:r w:rsidRPr="00BE78CA">
        <w:t xml:space="preserve">O emissions from nitrogen leaching: </w:t>
      </w:r>
    </w:p>
    <w:p w14:paraId="049D3D06" w14:textId="27EF0C17" w:rsidR="00F02481" w:rsidRPr="00BE78CA" w:rsidRDefault="00750C83" w:rsidP="00750C83">
      <w:pPr>
        <w:pStyle w:val="BodyText"/>
        <w:spacing w:before="60"/>
        <w:rPr>
          <w:rFonts w:cs="Calibri"/>
        </w:rPr>
      </w:pPr>
      <w:r w:rsidRPr="00BE78CA">
        <w:rPr>
          <w:rFonts w:cs="Calibri"/>
        </w:rPr>
        <w:object w:dxaOrig="8381" w:dyaOrig="589" w14:anchorId="304792DD">
          <v:shape id="_x0000_i1068" type="#_x0000_t75" style="width:418.4pt;height:28.55pt" o:ole="">
            <v:imagedata r:id="rId170" o:title="" cropbottom="7859f"/>
          </v:shape>
          <o:OLEObject Type="Embed" ProgID="Word.Document.12" ShapeID="_x0000_i1068" DrawAspect="Content" ObjectID="_1679402785" r:id="rId171">
            <o:FieldCodes>\s</o:FieldCodes>
          </o:OLEObject>
        </w:object>
      </w:r>
    </w:p>
    <w:p w14:paraId="1F3AD504" w14:textId="77777777" w:rsidR="00F02481" w:rsidRPr="00BE78CA" w:rsidRDefault="00F02481" w:rsidP="000B369A">
      <w:pPr>
        <w:pStyle w:val="BodyText"/>
        <w:spacing w:before="60" w:after="60"/>
        <w:ind w:left="964" w:hanging="964"/>
        <w:rPr>
          <w:rFonts w:cs="Calibri"/>
        </w:rPr>
      </w:pPr>
      <w:r w:rsidRPr="00BE78CA">
        <w:rPr>
          <w:rFonts w:cs="Calibri"/>
        </w:rPr>
        <w:t>Where:</w:t>
      </w:r>
      <w:r w:rsidRPr="00BE78CA">
        <w:rPr>
          <w:rFonts w:cs="Calibri"/>
        </w:rPr>
        <w:tab/>
        <w:t>N</w:t>
      </w:r>
      <w:r w:rsidRPr="00BE78CA">
        <w:rPr>
          <w:rFonts w:cs="Calibri"/>
          <w:vertAlign w:val="subscript"/>
        </w:rPr>
        <w:t>2</w:t>
      </w:r>
      <w:r w:rsidRPr="00BE78CA">
        <w:rPr>
          <w:rFonts w:cs="Calibri"/>
        </w:rPr>
        <w:t>O</w:t>
      </w:r>
      <w:r w:rsidRPr="00BE78CA">
        <w:rPr>
          <w:rFonts w:cs="Calibri"/>
          <w:vertAlign w:val="subscript"/>
        </w:rPr>
        <w:t>L</w:t>
      </w:r>
      <w:r w:rsidRPr="00BE78CA">
        <w:rPr>
          <w:rFonts w:cs="Calibri"/>
        </w:rPr>
        <w:t>–N is the annual amount of N</w:t>
      </w:r>
      <w:r w:rsidRPr="00BE78CA">
        <w:rPr>
          <w:rFonts w:cs="Calibri"/>
          <w:vertAlign w:val="subscript"/>
        </w:rPr>
        <w:t>2</w:t>
      </w:r>
      <w:r w:rsidRPr="00BE78CA">
        <w:rPr>
          <w:rFonts w:cs="Calibri"/>
        </w:rPr>
        <w:t>O-N from runoff and leaching from agricultural soils (kg N</w:t>
      </w:r>
      <w:r w:rsidRPr="00BE78CA">
        <w:rPr>
          <w:rFonts w:cs="Calibri"/>
          <w:vertAlign w:val="subscript"/>
        </w:rPr>
        <w:t>2</w:t>
      </w:r>
      <w:r w:rsidRPr="00BE78CA">
        <w:rPr>
          <w:rFonts w:cs="Calibri"/>
        </w:rPr>
        <w:t>O-N/year)</w:t>
      </w:r>
    </w:p>
    <w:p w14:paraId="2F0AB905" w14:textId="77777777" w:rsidR="00F02481" w:rsidRPr="00BE78CA" w:rsidRDefault="00F02481" w:rsidP="000B369A">
      <w:pPr>
        <w:pStyle w:val="BodyText"/>
        <w:spacing w:before="60" w:after="60"/>
        <w:ind w:left="964"/>
      </w:pPr>
      <w:r w:rsidRPr="00BE78CA">
        <w:t>F</w:t>
      </w:r>
      <w:r w:rsidRPr="00BE78CA">
        <w:rPr>
          <w:vertAlign w:val="subscript"/>
        </w:rPr>
        <w:t>SN</w:t>
      </w:r>
      <w:r w:rsidRPr="00BE78CA">
        <w:t>, F</w:t>
      </w:r>
      <w:r w:rsidRPr="00BE78CA">
        <w:rPr>
          <w:vertAlign w:val="subscript"/>
        </w:rPr>
        <w:t>ON</w:t>
      </w:r>
      <w:r w:rsidRPr="00BE78CA">
        <w:t>, F</w:t>
      </w:r>
      <w:r w:rsidRPr="00BE78CA">
        <w:rPr>
          <w:vertAlign w:val="subscript"/>
        </w:rPr>
        <w:t>PRP</w:t>
      </w:r>
      <w:r w:rsidRPr="00BE78CA">
        <w:t>, F</w:t>
      </w:r>
      <w:r w:rsidRPr="00BE78CA">
        <w:rPr>
          <w:vertAlign w:val="subscript"/>
        </w:rPr>
        <w:t>CR</w:t>
      </w:r>
      <w:r w:rsidRPr="00BE78CA">
        <w:t xml:space="preserve"> and F</w:t>
      </w:r>
      <w:r w:rsidRPr="00BE78CA">
        <w:rPr>
          <w:vertAlign w:val="subscript"/>
        </w:rPr>
        <w:t>SOM</w:t>
      </w:r>
      <w:r w:rsidRPr="00BE78CA">
        <w:t xml:space="preserve"> are defined above (kg N/year)</w:t>
      </w:r>
    </w:p>
    <w:p w14:paraId="4968C1FE" w14:textId="77777777" w:rsidR="00F02481" w:rsidRPr="00BE78CA" w:rsidRDefault="00F02481" w:rsidP="000B369A">
      <w:pPr>
        <w:pStyle w:val="BodyText"/>
        <w:spacing w:before="60" w:after="60"/>
        <w:ind w:left="964"/>
      </w:pPr>
      <w:r w:rsidRPr="00BE78CA">
        <w:t>Frac</w:t>
      </w:r>
      <w:r w:rsidRPr="00BE78CA">
        <w:rPr>
          <w:vertAlign w:val="subscript"/>
        </w:rPr>
        <w:t>LEACH-H</w:t>
      </w:r>
      <w:r w:rsidRPr="00BE78CA">
        <w:t xml:space="preserve"> is the fraction of nitrogen added to, or mineralised from, agricultural soils where leaching and runoff occur that is lost through leaching and runoff (see table 5.5.4), and</w:t>
      </w:r>
    </w:p>
    <w:p w14:paraId="52E70A8F" w14:textId="77777777" w:rsidR="00F02481" w:rsidRPr="00BE78CA" w:rsidRDefault="00F02481" w:rsidP="00C26084">
      <w:pPr>
        <w:pStyle w:val="BodyText"/>
        <w:spacing w:before="60"/>
        <w:ind w:left="964"/>
      </w:pPr>
      <w:r w:rsidRPr="00BE78CA">
        <w:t>EF</w:t>
      </w:r>
      <w:r w:rsidRPr="00BE78CA">
        <w:rPr>
          <w:vertAlign w:val="subscript"/>
        </w:rPr>
        <w:t>5</w:t>
      </w:r>
      <w:r w:rsidRPr="00BE78CA">
        <w:t xml:space="preserve"> is the IPCC (2006) default factor for N</w:t>
      </w:r>
      <w:r w:rsidRPr="00BE78CA">
        <w:rPr>
          <w:vertAlign w:val="subscript"/>
        </w:rPr>
        <w:t>2</w:t>
      </w:r>
      <w:r w:rsidRPr="00BE78CA">
        <w:t xml:space="preserve">O emissions from leaching and runoff. </w:t>
      </w:r>
    </w:p>
    <w:p w14:paraId="048CEF43" w14:textId="77777777" w:rsidR="00F02481" w:rsidRPr="00BE78CA" w:rsidRDefault="00F02481" w:rsidP="00C359B6">
      <w:pPr>
        <w:pStyle w:val="BodyText"/>
        <w:spacing w:after="100"/>
        <w:rPr>
          <w:rFonts w:cs="Calibri"/>
        </w:rPr>
      </w:pPr>
      <w:r w:rsidRPr="00BE78CA">
        <w:rPr>
          <w:rFonts w:cs="Calibri"/>
        </w:rPr>
        <w:t>New Zealand uses a country-specific value for Frac</w:t>
      </w:r>
      <w:r w:rsidRPr="00BE78CA">
        <w:rPr>
          <w:rFonts w:cs="Calibri"/>
          <w:vertAlign w:val="subscript"/>
        </w:rPr>
        <w:t>LEACH</w:t>
      </w:r>
      <w:r w:rsidRPr="00BE78CA">
        <w:rPr>
          <w:rFonts w:cs="Calibri"/>
        </w:rPr>
        <w:t>, the fraction of nitrogen applied to agricultural land that is lost through leaching and runoff.</w:t>
      </w:r>
      <w:r w:rsidRPr="00BE78CA">
        <w:rPr>
          <w:rStyle w:val="FootnoteReference"/>
          <w:rFonts w:cs="Calibri"/>
        </w:rPr>
        <w:footnoteReference w:id="59"/>
      </w:r>
      <w:r w:rsidRPr="00BE78CA">
        <w:rPr>
          <w:rFonts w:cs="Calibri"/>
        </w:rPr>
        <w:t xml:space="preserve"> Research has indicated that a value of 0.07 for Frac</w:t>
      </w:r>
      <w:r w:rsidRPr="00BE78CA">
        <w:rPr>
          <w:rFonts w:cs="Calibri"/>
          <w:vertAlign w:val="subscript"/>
        </w:rPr>
        <w:t>LEACH</w:t>
      </w:r>
      <w:r w:rsidRPr="00BE78CA">
        <w:rPr>
          <w:rFonts w:cs="Calibri"/>
        </w:rPr>
        <w:t xml:space="preserve"> more closely reflects leaching in New Zealand. Thomas et al. (2005) compared nitrogen leaching estimates for different farm systems based on IPCC methodology (a value of 0.30 kg N/kg of fertiliser or manure) with estimates from a New Zealand-specific nutrient budgeting model, OVERSEER</w:t>
      </w:r>
      <w:r w:rsidRPr="00BE78CA">
        <w:rPr>
          <w:rFonts w:cs="Calibri"/>
          <w:vertAlign w:val="superscript"/>
        </w:rPr>
        <w:t>®</w:t>
      </w:r>
      <w:r w:rsidRPr="00BE78CA">
        <w:rPr>
          <w:rFonts w:cs="Calibri"/>
        </w:rPr>
        <w:t xml:space="preserve"> (Wheeler et al., 2003). The IPCC-based estimates were found, on average, to be 50 per cent higher than those estimated using the OVERSEER</w:t>
      </w:r>
      <w:r w:rsidRPr="00BE78CA">
        <w:rPr>
          <w:rFonts w:cs="Calibri"/>
          <w:vertAlign w:val="superscript"/>
        </w:rPr>
        <w:t>®</w:t>
      </w:r>
      <w:r w:rsidRPr="00BE78CA">
        <w:rPr>
          <w:rFonts w:cs="Calibri"/>
        </w:rPr>
        <w:t xml:space="preserve"> nutrient budget model (using a Frac</w:t>
      </w:r>
      <w:r w:rsidRPr="00BE78CA">
        <w:rPr>
          <w:rFonts w:cs="Calibri"/>
          <w:vertAlign w:val="subscript"/>
        </w:rPr>
        <w:t>LEACH</w:t>
      </w:r>
      <w:r w:rsidRPr="00BE78CA">
        <w:rPr>
          <w:rFonts w:cs="Calibri"/>
        </w:rPr>
        <w:t xml:space="preserve"> value of 0.15</w:t>
      </w:r>
      <w:r w:rsidRPr="00BE78CA">
        <w:rPr>
          <w:rStyle w:val="FootnoteReference"/>
          <w:rFonts w:cs="Calibri"/>
        </w:rPr>
        <w:footnoteReference w:id="60"/>
      </w:r>
      <w:r w:rsidRPr="00BE78CA">
        <w:rPr>
          <w:rFonts w:cs="Calibri"/>
        </w:rPr>
        <w:t xml:space="preserve">). </w:t>
      </w:r>
    </w:p>
    <w:p w14:paraId="2DC3929E" w14:textId="77777777" w:rsidR="00F02481" w:rsidRPr="00BE78CA" w:rsidRDefault="00F02481" w:rsidP="00C26084">
      <w:pPr>
        <w:pStyle w:val="BodyText"/>
      </w:pPr>
      <w:r w:rsidRPr="00BE78CA">
        <w:t>The OVERSEER</w:t>
      </w:r>
      <w:r w:rsidRPr="00BE78CA">
        <w:rPr>
          <w:vertAlign w:val="superscript"/>
        </w:rPr>
        <w:t>®</w:t>
      </w:r>
      <w:r w:rsidRPr="00BE78CA">
        <w:t xml:space="preserve"> model provides average estimates of the fate of nitrogen for a range of pastoral, arable and horticultural systems. In pastoral systems, nitrate (NO</w:t>
      </w:r>
      <w:r w:rsidRPr="00BE78CA">
        <w:rPr>
          <w:vertAlign w:val="subscript"/>
        </w:rPr>
        <w:t>3</w:t>
      </w:r>
      <w:r w:rsidRPr="00BE78CA">
        <w:t xml:space="preserve">) leaching is determined by rainfall, soil type and the amount of nitrogen entering the farm system (from </w:t>
      </w:r>
      <w:r w:rsidRPr="00BE78CA">
        <w:lastRenderedPageBreak/>
        <w:t xml:space="preserve">nitrogen-based fertilisers, dung and urine applied as dairy farm effluent or directly excreted by grazing animals). Dung and urine from animals is calculated from the difference between nitrogen intake by grazing animals and nitrogen retained in animal products – such as milk, meat, velvet. This is based on user inputs of stocking rates or production and an internal database with information on the nitrogen content of pasture and animal products, and is calibrated against field measurements. </w:t>
      </w:r>
    </w:p>
    <w:p w14:paraId="42DC707E" w14:textId="77777777" w:rsidR="00F02481" w:rsidRPr="00BE78CA" w:rsidRDefault="00F02481" w:rsidP="00C26084">
      <w:pPr>
        <w:pStyle w:val="BodyText"/>
      </w:pPr>
      <w:r w:rsidRPr="00BE78CA">
        <w:t xml:space="preserve">In 2019, </w:t>
      </w:r>
      <w:r w:rsidRPr="00BE78CA">
        <w:rPr>
          <w:spacing w:val="-2"/>
        </w:rPr>
        <w:t>N</w:t>
      </w:r>
      <w:r w:rsidRPr="00BE78CA">
        <w:rPr>
          <w:spacing w:val="-2"/>
          <w:vertAlign w:val="subscript"/>
        </w:rPr>
        <w:t>2</w:t>
      </w:r>
      <w:r w:rsidRPr="00BE78CA">
        <w:rPr>
          <w:spacing w:val="-2"/>
        </w:rPr>
        <w:t>O</w:t>
      </w:r>
      <w:r w:rsidRPr="00BE78CA">
        <w:t xml:space="preserve"> emissions from leaching and runoff made up 1.3 per cent (513.8 kt CO</w:t>
      </w:r>
      <w:r w:rsidRPr="00BE78CA">
        <w:rPr>
          <w:vertAlign w:val="subscript"/>
        </w:rPr>
        <w:t>2</w:t>
      </w:r>
      <w:r w:rsidRPr="00BE78CA">
        <w:t>-e) of total agricultural emissions, an increase of 30.0 per cent from the 1990 value of 395.2 kt CO</w:t>
      </w:r>
      <w:r w:rsidRPr="00BE78CA">
        <w:rPr>
          <w:vertAlign w:val="subscript"/>
        </w:rPr>
        <w:t>2</w:t>
      </w:r>
      <w:r w:rsidRPr="00BE78CA">
        <w:t>-e.</w:t>
      </w:r>
    </w:p>
    <w:p w14:paraId="1DD47B5A" w14:textId="77777777" w:rsidR="00F02481" w:rsidRPr="00BE78CA" w:rsidRDefault="00F02481" w:rsidP="00C26084">
      <w:pPr>
        <w:pStyle w:val="Heading4"/>
      </w:pPr>
      <w:r w:rsidRPr="00BE78CA">
        <w:t>Incorporation of nitrous oxide mitigation technologies into the Agriculture inventory</w:t>
      </w:r>
    </w:p>
    <w:p w14:paraId="7B8CDC8C" w14:textId="77777777" w:rsidR="00F02481" w:rsidRPr="00BE78CA" w:rsidRDefault="00F02481" w:rsidP="00C26084">
      <w:pPr>
        <w:pStyle w:val="Heading5"/>
        <w:spacing w:before="160"/>
        <w:rPr>
          <w:rFonts w:cs="Calibri"/>
        </w:rPr>
      </w:pPr>
      <w:r w:rsidRPr="00BE78CA">
        <w:rPr>
          <w:rFonts w:cs="Calibri"/>
        </w:rPr>
        <w:t xml:space="preserve">Urease inhibitors </w:t>
      </w:r>
    </w:p>
    <w:p w14:paraId="65F5D12E" w14:textId="77777777" w:rsidR="00F02481" w:rsidRPr="00BE78CA" w:rsidRDefault="00F02481" w:rsidP="00C26084">
      <w:pPr>
        <w:pStyle w:val="BodyText"/>
      </w:pPr>
      <w:r w:rsidRPr="00BE78CA">
        <w:t xml:space="preserve">The </w:t>
      </w:r>
      <w:r w:rsidRPr="00BE78CA">
        <w:rPr>
          <w:spacing w:val="-2"/>
        </w:rPr>
        <w:t>N</w:t>
      </w:r>
      <w:r w:rsidRPr="00BE78CA">
        <w:rPr>
          <w:spacing w:val="-2"/>
          <w:vertAlign w:val="subscript"/>
        </w:rPr>
        <w:t>2</w:t>
      </w:r>
      <w:r w:rsidRPr="00BE78CA">
        <w:rPr>
          <w:spacing w:val="-2"/>
        </w:rPr>
        <w:t>O</w:t>
      </w:r>
      <w:r w:rsidRPr="00BE78CA">
        <w:t xml:space="preserve"> emissions reported in the </w:t>
      </w:r>
      <w:r w:rsidRPr="00BE78CA">
        <w:rPr>
          <w:i/>
          <w:iCs/>
        </w:rPr>
        <w:t>Agricultural soils</w:t>
      </w:r>
      <w:r w:rsidRPr="00BE78CA">
        <w:t xml:space="preserve"> category take into account the use of urease inhibitors, a greenhouse gas mitigation technology. Urea is the main type of synthetic nitrogen </w:t>
      </w:r>
      <w:r w:rsidRPr="00BE78CA">
        <w:rPr>
          <w:spacing w:val="-2"/>
        </w:rPr>
        <w:t>fertiliser applied to pastures. Urease inhibitors restrict the action of the urease</w:t>
      </w:r>
      <w:r w:rsidRPr="00BE78CA">
        <w:t xml:space="preserve"> </w:t>
      </w:r>
      <w:r w:rsidRPr="00BE78CA">
        <w:rPr>
          <w:spacing w:val="-2"/>
        </w:rPr>
        <w:t>enzyme. Urease is a catalyst for the volatilisation of the nitrogen contained in urea fertiliser and urine into</w:t>
      </w:r>
      <w:r w:rsidRPr="00BE78CA">
        <w:t> </w:t>
      </w:r>
      <w:r w:rsidRPr="00BE78CA">
        <w:rPr>
          <w:spacing w:val="-2"/>
        </w:rPr>
        <w:t>NH</w:t>
      </w:r>
      <w:r w:rsidRPr="00BE78CA">
        <w:rPr>
          <w:spacing w:val="-2"/>
          <w:vertAlign w:val="subscript"/>
        </w:rPr>
        <w:t>3</w:t>
      </w:r>
      <w:r w:rsidRPr="00BE78CA">
        <w:rPr>
          <w:spacing w:val="-2"/>
        </w:rPr>
        <w:t xml:space="preserve"> gas. </w:t>
      </w:r>
    </w:p>
    <w:p w14:paraId="2266C853" w14:textId="77777777" w:rsidR="00F02481" w:rsidRPr="00BE78CA" w:rsidRDefault="00F02481" w:rsidP="00C26084">
      <w:pPr>
        <w:pStyle w:val="BodyText"/>
      </w:pPr>
      <w:r w:rsidRPr="00BE78CA">
        <w:t>Urease inhibitor mitigation is included in New Zealand’s Agriculture inventory by adjusting the value of the existing country-specific N</w:t>
      </w:r>
      <w:r w:rsidRPr="00BE78CA">
        <w:rPr>
          <w:vertAlign w:val="subscript"/>
        </w:rPr>
        <w:t>2</w:t>
      </w:r>
      <w:r w:rsidRPr="00BE78CA">
        <w:t>O parameter: Frac</w:t>
      </w:r>
      <w:r w:rsidRPr="00BE78CA">
        <w:rPr>
          <w:vertAlign w:val="subscript"/>
        </w:rPr>
        <w:t>GASF</w:t>
      </w:r>
      <w:r w:rsidRPr="00BE78CA">
        <w:t>. Saggar et al. (2013) assessed the mitigating effect of the urease inhibitor nBTPT (sold as ‘Agrotain’), the most widely used product. Saggar et al. (2013) showed that the presently recommended country-specific value of Frac</w:t>
      </w:r>
      <w:r w:rsidRPr="00BE78CA">
        <w:rPr>
          <w:vertAlign w:val="subscript"/>
        </w:rPr>
        <w:t>GASF</w:t>
      </w:r>
      <w:r w:rsidRPr="00BE78CA">
        <w:t xml:space="preserve"> of 0.1 should be reduced to 0.055. This finding was based on field and laboratory studies conducted both in New Zealand and worldwide.</w:t>
      </w:r>
    </w:p>
    <w:p w14:paraId="5C1FE03B" w14:textId="77777777" w:rsidR="00F02481" w:rsidRPr="00BE78CA" w:rsidRDefault="00F02481" w:rsidP="00C26084">
      <w:pPr>
        <w:pStyle w:val="BodyText"/>
      </w:pPr>
      <w:r w:rsidRPr="00BE78CA">
        <w:t>Indirect N</w:t>
      </w:r>
      <w:r w:rsidRPr="00BE78CA">
        <w:rPr>
          <w:vertAlign w:val="subscript"/>
        </w:rPr>
        <w:t>2</w:t>
      </w:r>
      <w:r w:rsidRPr="00BE78CA">
        <w:t>O emissions from volatilisation from all synthetic nitrogen fertilisers (including urea and other nitrogen fertilisers, with and without urease inhibitors applied to the urea component) are calculated as shown below:</w:t>
      </w:r>
    </w:p>
    <w:p w14:paraId="4DEA2D98" w14:textId="77777777" w:rsidR="00F02481" w:rsidRPr="00BE78CA" w:rsidRDefault="00F02481" w:rsidP="00C26084">
      <w:pPr>
        <w:pStyle w:val="BodyText"/>
        <w:spacing w:before="60" w:after="0"/>
      </w:pPr>
      <w:r w:rsidRPr="00BE78CA">
        <w:object w:dxaOrig="8186" w:dyaOrig="719" w14:anchorId="44D9ED25">
          <v:shape id="_x0000_i1069" type="#_x0000_t75" style="width:410.25pt;height:35.3pt" o:ole="">
            <v:imagedata r:id="rId172" o:title="" cropbottom="11442f"/>
          </v:shape>
          <o:OLEObject Type="Embed" ProgID="Word.Document.12" ShapeID="_x0000_i1069" DrawAspect="Content" ObjectID="_1679402786" r:id="rId173">
            <o:FieldCodes>\s</o:FieldCodes>
          </o:OLEObject>
        </w:object>
      </w:r>
    </w:p>
    <w:p w14:paraId="2BE40B38" w14:textId="77777777" w:rsidR="00F02481" w:rsidRPr="00BE78CA" w:rsidRDefault="00F02481" w:rsidP="000F4164">
      <w:pPr>
        <w:pStyle w:val="BodyText"/>
        <w:spacing w:after="40"/>
        <w:ind w:left="964" w:hanging="964"/>
      </w:pPr>
      <w:r w:rsidRPr="00BE78CA">
        <w:t>Where:</w:t>
      </w:r>
      <w:r w:rsidRPr="00BE78CA">
        <w:tab/>
        <w:t>N</w:t>
      </w:r>
      <w:r w:rsidRPr="00BE78CA">
        <w:rPr>
          <w:vertAlign w:val="subscript"/>
        </w:rPr>
        <w:t>2</w:t>
      </w:r>
      <w:r w:rsidRPr="00BE78CA">
        <w:t>O</w:t>
      </w:r>
      <w:r w:rsidRPr="00BE78CA">
        <w:rPr>
          <w:vertAlign w:val="subscript"/>
        </w:rPr>
        <w:t>ATD-FSN</w:t>
      </w:r>
      <w:r w:rsidRPr="00BE78CA">
        <w:t>–N is the annual amount of N</w:t>
      </w:r>
      <w:r w:rsidRPr="00BE78CA">
        <w:rPr>
          <w:vertAlign w:val="subscript"/>
        </w:rPr>
        <w:t>2</w:t>
      </w:r>
      <w:r w:rsidRPr="00BE78CA">
        <w:t>O-N produced by atmospheric deposition of volatilised nitrogen from all synthetic nitrogen fertiliser applied to agricultural soils (kg N</w:t>
      </w:r>
      <w:r w:rsidRPr="00BE78CA">
        <w:rPr>
          <w:vertAlign w:val="subscript"/>
        </w:rPr>
        <w:t>2</w:t>
      </w:r>
      <w:r w:rsidRPr="00BE78CA">
        <w:t>O-N/year)</w:t>
      </w:r>
    </w:p>
    <w:p w14:paraId="668F2581" w14:textId="77777777" w:rsidR="00F02481" w:rsidRPr="00BE78CA" w:rsidRDefault="00F02481" w:rsidP="000F4164">
      <w:pPr>
        <w:pStyle w:val="BodyText"/>
        <w:spacing w:before="60" w:after="40"/>
        <w:ind w:left="964"/>
      </w:pPr>
      <w:r w:rsidRPr="00BE78CA">
        <w:t xml:space="preserve">S is urea fertiliser (untreated), urea fertiliser (treated) or non-urea nitrogen fertiliser </w:t>
      </w:r>
    </w:p>
    <w:p w14:paraId="1C9EAE9E" w14:textId="77777777" w:rsidR="00F02481" w:rsidRPr="00BE78CA" w:rsidRDefault="00F02481" w:rsidP="000F4164">
      <w:pPr>
        <w:pStyle w:val="BodyText"/>
        <w:spacing w:before="60" w:after="40"/>
        <w:ind w:left="964"/>
      </w:pPr>
      <w:r w:rsidRPr="00BE78CA">
        <w:t>F</w:t>
      </w:r>
      <w:r w:rsidRPr="00BE78CA">
        <w:rPr>
          <w:vertAlign w:val="subscript"/>
        </w:rPr>
        <w:t>SN</w:t>
      </w:r>
      <w:r w:rsidRPr="00BE78CA">
        <w:t xml:space="preserve"> is the total annual amount of synthetic nitrogen fertiliser applied (kg N/year) per fertiliser type, S</w:t>
      </w:r>
    </w:p>
    <w:p w14:paraId="0E9D9454" w14:textId="77777777" w:rsidR="00F02481" w:rsidRPr="00BE78CA" w:rsidRDefault="00F02481" w:rsidP="000F4164">
      <w:pPr>
        <w:pStyle w:val="BodyText"/>
        <w:spacing w:before="60" w:after="40"/>
        <w:ind w:left="964"/>
      </w:pPr>
      <w:r w:rsidRPr="00BE78CA">
        <w:t>Frac</w:t>
      </w:r>
      <w:r w:rsidRPr="00BE78CA">
        <w:rPr>
          <w:vertAlign w:val="subscript"/>
        </w:rPr>
        <w:t>GASF</w:t>
      </w:r>
      <w:r w:rsidRPr="00BE78CA">
        <w:t xml:space="preserve"> is the fraction of nitrogen from synthetic nitrogen fertiliser that volatilises as NH</w:t>
      </w:r>
      <w:r w:rsidRPr="00BE78CA">
        <w:rPr>
          <w:vertAlign w:val="subscript"/>
        </w:rPr>
        <w:t>3</w:t>
      </w:r>
      <w:r w:rsidRPr="00BE78CA">
        <w:t xml:space="preserve"> and NO</w:t>
      </w:r>
      <w:r w:rsidRPr="00BE78CA">
        <w:rPr>
          <w:vertAlign w:val="subscript"/>
        </w:rPr>
        <w:t>x</w:t>
      </w:r>
      <w:r w:rsidRPr="00BE78CA">
        <w:t>; 0.055 for treated urea fertiliser and 0.1 for untreated urea and other nitrogen fertiliser, and</w:t>
      </w:r>
    </w:p>
    <w:p w14:paraId="4E502572" w14:textId="77777777" w:rsidR="00F02481" w:rsidRPr="00BE78CA" w:rsidRDefault="00F02481" w:rsidP="00C26084">
      <w:pPr>
        <w:pStyle w:val="BodyText"/>
        <w:spacing w:before="60"/>
        <w:ind w:left="964"/>
      </w:pPr>
      <w:r w:rsidRPr="00BE78CA">
        <w:t>EF</w:t>
      </w:r>
      <w:r w:rsidRPr="00BE78CA">
        <w:rPr>
          <w:vertAlign w:val="subscript"/>
        </w:rPr>
        <w:t>4</w:t>
      </w:r>
      <w:r w:rsidRPr="00BE78CA">
        <w:t xml:space="preserve"> is the emissions factor for N</w:t>
      </w:r>
      <w:r w:rsidRPr="00BE78CA">
        <w:rPr>
          <w:vertAlign w:val="subscript"/>
        </w:rPr>
        <w:t>2</w:t>
      </w:r>
      <w:r w:rsidRPr="00BE78CA">
        <w:t>O emissions from atmospheric deposition of nitrogen on soils and water; 0.01 per cent.</w:t>
      </w:r>
    </w:p>
    <w:p w14:paraId="73B95277" w14:textId="77777777" w:rsidR="00F02481" w:rsidRPr="00BE78CA" w:rsidRDefault="00F02481" w:rsidP="00C26084">
      <w:pPr>
        <w:pStyle w:val="BodyText"/>
        <w:spacing w:after="100"/>
        <w:rPr>
          <w:rFonts w:cs="Calibri"/>
        </w:rPr>
      </w:pPr>
      <w:r w:rsidRPr="00BE78CA">
        <w:rPr>
          <w:rFonts w:cs="Calibri"/>
        </w:rPr>
        <w:t>All other emission factors and parameters relating to animal excreta and synthetic nitrogen fertiliser use (Frac</w:t>
      </w:r>
      <w:r w:rsidRPr="00BE78CA">
        <w:rPr>
          <w:rFonts w:cs="Calibri"/>
          <w:vertAlign w:val="subscript"/>
        </w:rPr>
        <w:t>GASM</w:t>
      </w:r>
      <w:r w:rsidRPr="00BE78CA">
        <w:rPr>
          <w:rFonts w:cs="Calibri"/>
        </w:rPr>
        <w:t>, Frac</w:t>
      </w:r>
      <w:r w:rsidRPr="00BE78CA">
        <w:rPr>
          <w:rFonts w:cs="Calibri"/>
          <w:vertAlign w:val="subscript"/>
        </w:rPr>
        <w:t>LEACH</w:t>
      </w:r>
      <w:r w:rsidRPr="00BE78CA">
        <w:rPr>
          <w:rFonts w:cs="Calibri"/>
        </w:rPr>
        <w:t xml:space="preserve"> and EF</w:t>
      </w:r>
      <w:r w:rsidRPr="00BE78CA">
        <w:rPr>
          <w:rFonts w:cs="Calibri"/>
          <w:vertAlign w:val="subscript"/>
        </w:rPr>
        <w:t>1</w:t>
      </w:r>
      <w:r w:rsidRPr="00BE78CA">
        <w:rPr>
          <w:rFonts w:cs="Calibri"/>
        </w:rPr>
        <w:t>) do not change as a result of including urease inhibitors in the calculations. An adjustment for Frac</w:t>
      </w:r>
      <w:r w:rsidRPr="00BE78CA">
        <w:rPr>
          <w:rFonts w:cs="Calibri"/>
          <w:vertAlign w:val="subscript"/>
        </w:rPr>
        <w:t>GASM</w:t>
      </w:r>
      <w:r w:rsidRPr="00BE78CA">
        <w:rPr>
          <w:rFonts w:cs="Calibri"/>
        </w:rPr>
        <w:t xml:space="preserve"> was not recommended because the effect of urease inhibitors on reducing NH</w:t>
      </w:r>
      <w:r w:rsidRPr="00BE78CA">
        <w:rPr>
          <w:rFonts w:cs="Calibri"/>
          <w:vertAlign w:val="subscript"/>
        </w:rPr>
        <w:t>3</w:t>
      </w:r>
      <w:r w:rsidRPr="00BE78CA">
        <w:rPr>
          <w:rFonts w:cs="Calibri"/>
        </w:rPr>
        <w:t xml:space="preserve"> volatilisation from animal dung and urine could not be accurately assessed (Saggar et al., 2013).</w:t>
      </w:r>
    </w:p>
    <w:p w14:paraId="279D8715" w14:textId="77777777" w:rsidR="00F02481" w:rsidRPr="00BE78CA" w:rsidRDefault="00F02481" w:rsidP="00C26084">
      <w:pPr>
        <w:pStyle w:val="BodyText"/>
        <w:spacing w:after="100"/>
        <w:rPr>
          <w:rFonts w:cs="Calibri"/>
        </w:rPr>
      </w:pPr>
      <w:r w:rsidRPr="00BE78CA">
        <w:rPr>
          <w:rFonts w:cs="Calibri"/>
        </w:rPr>
        <w:lastRenderedPageBreak/>
        <w:t>Urea fertiliser coated with urease inhibitors was first used commercially in 2001 in New Zealand. Activity data on urease inhibitor usage are provided by the Fertiliser Association of New Zealand from sales records.</w:t>
      </w:r>
      <w:r w:rsidRPr="00BE78CA">
        <w:rPr>
          <w:rStyle w:val="FootnoteReference"/>
          <w:rFonts w:cs="Calibri"/>
        </w:rPr>
        <w:footnoteReference w:id="61"/>
      </w:r>
      <w:r w:rsidRPr="00BE78CA">
        <w:rPr>
          <w:rFonts w:cs="Calibri"/>
        </w:rPr>
        <w:t xml:space="preserve"> These activity data record the total amount of nitrogen in urea fertiliser that has been treated with a urease inhibitor. Some urea fertiliser coated with urease inhibitors is also blended into other non-nitrogen fertiliser products. </w:t>
      </w:r>
    </w:p>
    <w:p w14:paraId="6154012D" w14:textId="77777777" w:rsidR="00F02481" w:rsidRPr="00BE78CA" w:rsidRDefault="00F02481" w:rsidP="00C26084">
      <w:pPr>
        <w:pStyle w:val="BodyText"/>
        <w:spacing w:after="100"/>
        <w:rPr>
          <w:rFonts w:cs="Calibri"/>
        </w:rPr>
      </w:pPr>
      <w:r w:rsidRPr="00BE78CA">
        <w:rPr>
          <w:rFonts w:cs="Calibri"/>
        </w:rPr>
        <w:t>Estimates of the mitigation impact of urease inhibitors on N</w:t>
      </w:r>
      <w:r w:rsidRPr="00BE78CA">
        <w:rPr>
          <w:rFonts w:cs="Calibri"/>
          <w:vertAlign w:val="subscript"/>
        </w:rPr>
        <w:t>2</w:t>
      </w:r>
      <w:r w:rsidRPr="00BE78CA">
        <w:rPr>
          <w:rFonts w:cs="Calibri"/>
        </w:rPr>
        <w:t>O emissions from volatilisation for the calendar years 2001 to 2019 are shown in table 5.5.9. In 2014, 2016 and 2019, there were large increases in the use of urease inhibitors.</w:t>
      </w:r>
    </w:p>
    <w:p w14:paraId="6EBDFF4D" w14:textId="77777777" w:rsidR="00F02481" w:rsidRPr="00BE78CA" w:rsidRDefault="00F02481" w:rsidP="00C26084">
      <w:pPr>
        <w:pStyle w:val="Table"/>
        <w:rPr>
          <w:rFonts w:cs="Calibri"/>
        </w:rPr>
      </w:pPr>
      <w:bookmarkStart w:id="912" w:name="_Toc441830884"/>
      <w:bookmarkStart w:id="913" w:name="_Toc451176098"/>
      <w:bookmarkStart w:id="914" w:name="_Toc481751526"/>
      <w:bookmarkStart w:id="915" w:name="_Toc507158614"/>
      <w:bookmarkStart w:id="916" w:name="_Toc511116748"/>
      <w:bookmarkStart w:id="917" w:name="_Toc5269490"/>
      <w:bookmarkStart w:id="918" w:name="_Toc32570935"/>
      <w:bookmarkStart w:id="919" w:name="_Toc36224570"/>
      <w:bookmarkStart w:id="920" w:name="_Toc68786455"/>
      <w:r w:rsidRPr="00BE78CA">
        <w:rPr>
          <w:rFonts w:cs="Calibri"/>
        </w:rPr>
        <w:t>Table 5.5.9</w:t>
      </w:r>
      <w:r w:rsidRPr="00BE78CA">
        <w:rPr>
          <w:rFonts w:cs="Calibri"/>
        </w:rPr>
        <w:tab/>
        <w:t>Mitigation impact of urease inhibitors on nitrous oxide emissions from volatilisation,</w:t>
      </w:r>
      <w:r w:rsidRPr="00BE78CA">
        <w:rPr>
          <w:rFonts w:cs="Calibri"/>
        </w:rPr>
        <w:br/>
        <w:t xml:space="preserve">from 2001 to </w:t>
      </w:r>
      <w:bookmarkEnd w:id="912"/>
      <w:bookmarkEnd w:id="913"/>
      <w:bookmarkEnd w:id="914"/>
      <w:bookmarkEnd w:id="915"/>
      <w:bookmarkEnd w:id="916"/>
      <w:bookmarkEnd w:id="917"/>
      <w:r w:rsidRPr="00BE78CA">
        <w:rPr>
          <w:rFonts w:cs="Calibri"/>
        </w:rPr>
        <w:t>201</w:t>
      </w:r>
      <w:bookmarkEnd w:id="918"/>
      <w:bookmarkEnd w:id="919"/>
      <w:r w:rsidRPr="00BE78CA">
        <w:rPr>
          <w:rFonts w:cs="Calibri"/>
        </w:rPr>
        <w:t>9</w:t>
      </w:r>
      <w:bookmarkEnd w:id="920"/>
      <w:r w:rsidRPr="00BE78CA">
        <w:rPr>
          <w:rFonts w:cs="Calibri"/>
        </w:rPr>
        <w:t xml:space="preserve"> </w:t>
      </w:r>
    </w:p>
    <w:tbl>
      <w:tblPr>
        <w:tblW w:w="8505" w:type="dxa"/>
        <w:tblBorders>
          <w:top w:val="single" w:sz="4" w:space="0" w:color="365F91"/>
          <w:left w:val="single" w:sz="4" w:space="0" w:color="365F91"/>
          <w:bottom w:val="single" w:sz="4" w:space="0" w:color="365F91"/>
          <w:right w:val="single" w:sz="4" w:space="0" w:color="365F91"/>
          <w:insideH w:val="single" w:sz="4" w:space="0" w:color="365F91"/>
        </w:tblBorders>
        <w:tblLayout w:type="fixed"/>
        <w:tblCellMar>
          <w:left w:w="85" w:type="dxa"/>
          <w:right w:w="85" w:type="dxa"/>
        </w:tblCellMar>
        <w:tblLook w:val="00A0" w:firstRow="1" w:lastRow="0" w:firstColumn="1" w:lastColumn="0" w:noHBand="0" w:noVBand="0"/>
      </w:tblPr>
      <w:tblGrid>
        <w:gridCol w:w="1113"/>
        <w:gridCol w:w="3928"/>
        <w:gridCol w:w="3464"/>
      </w:tblGrid>
      <w:tr w:rsidR="00750C83" w:rsidRPr="00BE78CA" w14:paraId="2227C798" w14:textId="77777777" w:rsidTr="00750C83">
        <w:trPr>
          <w:tblHeader/>
        </w:trPr>
        <w:tc>
          <w:tcPr>
            <w:tcW w:w="1119" w:type="dxa"/>
            <w:tcBorders>
              <w:left w:val="nil"/>
            </w:tcBorders>
            <w:shd w:val="clear" w:color="auto" w:fill="365F91"/>
            <w:vAlign w:val="bottom"/>
          </w:tcPr>
          <w:p w14:paraId="09F812A7" w14:textId="77777777" w:rsidR="00F02481" w:rsidRPr="00BE78CA" w:rsidRDefault="00F02481" w:rsidP="000F4164">
            <w:pPr>
              <w:pStyle w:val="TableTextBold"/>
              <w:spacing w:before="50" w:after="50"/>
              <w:rPr>
                <w:noProof w:val="0"/>
                <w:color w:val="FFFFFF" w:themeColor="background1"/>
                <w:szCs w:val="16"/>
              </w:rPr>
            </w:pPr>
            <w:r w:rsidRPr="00BE78CA">
              <w:rPr>
                <w:noProof w:val="0"/>
                <w:color w:val="FFFFFF" w:themeColor="background1"/>
                <w:szCs w:val="16"/>
              </w:rPr>
              <w:t>Year</w:t>
            </w:r>
          </w:p>
        </w:tc>
        <w:tc>
          <w:tcPr>
            <w:tcW w:w="3955" w:type="dxa"/>
            <w:shd w:val="clear" w:color="auto" w:fill="365F91"/>
          </w:tcPr>
          <w:p w14:paraId="0CF056E1" w14:textId="77777777" w:rsidR="00F02481" w:rsidRPr="00BE78CA" w:rsidRDefault="00F02481" w:rsidP="000F4164">
            <w:pPr>
              <w:pStyle w:val="TableTextBold"/>
              <w:spacing w:before="50" w:after="50"/>
              <w:jc w:val="center"/>
              <w:rPr>
                <w:i/>
                <w:iCs/>
                <w:noProof w:val="0"/>
                <w:color w:val="FFFFFF" w:themeColor="background1"/>
                <w:szCs w:val="16"/>
              </w:rPr>
            </w:pPr>
            <w:r w:rsidRPr="00BE78CA">
              <w:rPr>
                <w:noProof w:val="0"/>
                <w:color w:val="FFFFFF" w:themeColor="background1"/>
                <w:szCs w:val="16"/>
              </w:rPr>
              <w:t>Percentage of urea fertiliser applied that included urease inhibitor (urea treated/total urea)</w:t>
            </w:r>
          </w:p>
        </w:tc>
        <w:tc>
          <w:tcPr>
            <w:tcW w:w="3488" w:type="dxa"/>
            <w:tcBorders>
              <w:right w:val="nil"/>
            </w:tcBorders>
            <w:shd w:val="clear" w:color="auto" w:fill="365F91"/>
          </w:tcPr>
          <w:p w14:paraId="7B41B0C7" w14:textId="77777777" w:rsidR="00F02481" w:rsidRPr="00BE78CA" w:rsidRDefault="00F02481" w:rsidP="000F4164">
            <w:pPr>
              <w:pStyle w:val="TableTextBold"/>
              <w:spacing w:before="50" w:after="50"/>
              <w:jc w:val="center"/>
              <w:rPr>
                <w:i/>
                <w:iCs/>
                <w:noProof w:val="0"/>
                <w:color w:val="FFFFFF" w:themeColor="background1"/>
                <w:szCs w:val="16"/>
              </w:rPr>
            </w:pPr>
            <w:r w:rsidRPr="00BE78CA">
              <w:rPr>
                <w:noProof w:val="0"/>
                <w:color w:val="FFFFFF" w:themeColor="background1"/>
                <w:szCs w:val="16"/>
              </w:rPr>
              <w:t>Estimated greenhouse gas mitigation from using urease inhibitor kt CO</w:t>
            </w:r>
            <w:r w:rsidRPr="00BE78CA">
              <w:rPr>
                <w:noProof w:val="0"/>
                <w:color w:val="FFFFFF" w:themeColor="background1"/>
                <w:szCs w:val="16"/>
                <w:vertAlign w:val="subscript"/>
              </w:rPr>
              <w:t>2</w:t>
            </w:r>
            <w:r w:rsidRPr="00BE78CA">
              <w:rPr>
                <w:noProof w:val="0"/>
                <w:color w:val="FFFFFF" w:themeColor="background1"/>
                <w:szCs w:val="16"/>
              </w:rPr>
              <w:t>-e</w:t>
            </w:r>
          </w:p>
        </w:tc>
      </w:tr>
      <w:tr w:rsidR="00F02481" w:rsidRPr="00BE78CA" w14:paraId="3F76766B" w14:textId="77777777" w:rsidTr="00750C83">
        <w:tc>
          <w:tcPr>
            <w:tcW w:w="1119" w:type="dxa"/>
            <w:tcBorders>
              <w:left w:val="nil"/>
            </w:tcBorders>
            <w:shd w:val="clear" w:color="auto" w:fill="auto"/>
          </w:tcPr>
          <w:p w14:paraId="6B20CB16" w14:textId="77777777" w:rsidR="00F02481" w:rsidRPr="00BE78CA" w:rsidRDefault="00F02481" w:rsidP="000F4164">
            <w:pPr>
              <w:pStyle w:val="TableText"/>
              <w:spacing w:before="40" w:after="50"/>
              <w:rPr>
                <w:rFonts w:cs="Calibri"/>
                <w:szCs w:val="16"/>
              </w:rPr>
            </w:pPr>
            <w:r w:rsidRPr="00BE78CA">
              <w:rPr>
                <w:rFonts w:cs="Calibri"/>
                <w:szCs w:val="16"/>
              </w:rPr>
              <w:t>2001</w:t>
            </w:r>
          </w:p>
        </w:tc>
        <w:tc>
          <w:tcPr>
            <w:tcW w:w="3955" w:type="dxa"/>
          </w:tcPr>
          <w:p w14:paraId="641C0606" w14:textId="77777777" w:rsidR="00F02481" w:rsidRPr="00BE78CA" w:rsidRDefault="00F02481" w:rsidP="000F4164">
            <w:pPr>
              <w:pStyle w:val="TableText"/>
              <w:spacing w:before="40" w:after="50"/>
              <w:jc w:val="center"/>
              <w:rPr>
                <w:rFonts w:cs="Calibri"/>
                <w:szCs w:val="16"/>
              </w:rPr>
            </w:pPr>
            <w:r w:rsidRPr="00BE78CA">
              <w:t>5.6</w:t>
            </w:r>
          </w:p>
        </w:tc>
        <w:tc>
          <w:tcPr>
            <w:tcW w:w="3488" w:type="dxa"/>
            <w:tcBorders>
              <w:right w:val="nil"/>
            </w:tcBorders>
          </w:tcPr>
          <w:p w14:paraId="221FF7E9" w14:textId="77777777" w:rsidR="00F02481" w:rsidRPr="00BE78CA" w:rsidRDefault="00F02481" w:rsidP="000F4164">
            <w:pPr>
              <w:pStyle w:val="TableText"/>
              <w:spacing w:before="40" w:after="50"/>
              <w:jc w:val="center"/>
              <w:rPr>
                <w:rFonts w:cs="Calibri"/>
                <w:szCs w:val="16"/>
              </w:rPr>
            </w:pPr>
            <w:r w:rsidRPr="00BE78CA">
              <w:t>2.2</w:t>
            </w:r>
          </w:p>
        </w:tc>
      </w:tr>
      <w:tr w:rsidR="00F02481" w:rsidRPr="00BE78CA" w14:paraId="48D77B49" w14:textId="77777777" w:rsidTr="00750C83">
        <w:tc>
          <w:tcPr>
            <w:tcW w:w="1119" w:type="dxa"/>
            <w:tcBorders>
              <w:left w:val="nil"/>
            </w:tcBorders>
            <w:shd w:val="clear" w:color="auto" w:fill="auto"/>
          </w:tcPr>
          <w:p w14:paraId="3EA9B95E" w14:textId="77777777" w:rsidR="00F02481" w:rsidRPr="00BE78CA" w:rsidRDefault="00F02481" w:rsidP="000F4164">
            <w:pPr>
              <w:pStyle w:val="TableText"/>
              <w:spacing w:before="40" w:after="50"/>
              <w:rPr>
                <w:rFonts w:cs="Calibri"/>
                <w:szCs w:val="16"/>
              </w:rPr>
            </w:pPr>
            <w:r w:rsidRPr="00BE78CA">
              <w:rPr>
                <w:rFonts w:cs="Calibri"/>
                <w:szCs w:val="16"/>
              </w:rPr>
              <w:t>2002</w:t>
            </w:r>
          </w:p>
        </w:tc>
        <w:tc>
          <w:tcPr>
            <w:tcW w:w="3955" w:type="dxa"/>
          </w:tcPr>
          <w:p w14:paraId="10392477" w14:textId="77777777" w:rsidR="00F02481" w:rsidRPr="00BE78CA" w:rsidRDefault="00F02481" w:rsidP="000F4164">
            <w:pPr>
              <w:pStyle w:val="TableText"/>
              <w:spacing w:before="40" w:after="50"/>
              <w:jc w:val="center"/>
              <w:rPr>
                <w:rFonts w:cs="Calibri"/>
                <w:szCs w:val="16"/>
              </w:rPr>
            </w:pPr>
            <w:r w:rsidRPr="00BE78CA">
              <w:t>3.8</w:t>
            </w:r>
          </w:p>
        </w:tc>
        <w:tc>
          <w:tcPr>
            <w:tcW w:w="3488" w:type="dxa"/>
            <w:tcBorders>
              <w:right w:val="nil"/>
            </w:tcBorders>
          </w:tcPr>
          <w:p w14:paraId="7B38B07C" w14:textId="77777777" w:rsidR="00F02481" w:rsidRPr="00BE78CA" w:rsidRDefault="00F02481" w:rsidP="000F4164">
            <w:pPr>
              <w:pStyle w:val="TableText"/>
              <w:spacing w:before="40" w:after="50"/>
              <w:jc w:val="center"/>
              <w:rPr>
                <w:rFonts w:cs="Calibri"/>
                <w:szCs w:val="16"/>
              </w:rPr>
            </w:pPr>
            <w:r w:rsidRPr="00BE78CA">
              <w:t>1.9</w:t>
            </w:r>
          </w:p>
        </w:tc>
      </w:tr>
      <w:tr w:rsidR="00F02481" w:rsidRPr="00BE78CA" w14:paraId="2BED9447" w14:textId="77777777" w:rsidTr="00750C83">
        <w:tc>
          <w:tcPr>
            <w:tcW w:w="1119" w:type="dxa"/>
            <w:tcBorders>
              <w:left w:val="nil"/>
            </w:tcBorders>
            <w:shd w:val="clear" w:color="auto" w:fill="auto"/>
          </w:tcPr>
          <w:p w14:paraId="0DA16B47" w14:textId="77777777" w:rsidR="00F02481" w:rsidRPr="00BE78CA" w:rsidDel="00E408EA" w:rsidRDefault="00F02481" w:rsidP="000F4164">
            <w:pPr>
              <w:pStyle w:val="TableText"/>
              <w:spacing w:before="40" w:after="50"/>
              <w:rPr>
                <w:rFonts w:cs="Calibri"/>
                <w:szCs w:val="16"/>
              </w:rPr>
            </w:pPr>
            <w:r w:rsidRPr="00BE78CA">
              <w:rPr>
                <w:rFonts w:cs="Calibri"/>
                <w:szCs w:val="16"/>
              </w:rPr>
              <w:t>2003</w:t>
            </w:r>
          </w:p>
        </w:tc>
        <w:tc>
          <w:tcPr>
            <w:tcW w:w="3955" w:type="dxa"/>
          </w:tcPr>
          <w:p w14:paraId="049D2869" w14:textId="77777777" w:rsidR="00F02481" w:rsidRPr="00BE78CA" w:rsidRDefault="00F02481" w:rsidP="000F4164">
            <w:pPr>
              <w:pStyle w:val="TableText"/>
              <w:spacing w:before="40" w:after="50"/>
              <w:jc w:val="center"/>
              <w:rPr>
                <w:rFonts w:cs="Calibri"/>
                <w:color w:val="000000"/>
                <w:szCs w:val="16"/>
              </w:rPr>
            </w:pPr>
            <w:r w:rsidRPr="00BE78CA">
              <w:t>4.6</w:t>
            </w:r>
          </w:p>
        </w:tc>
        <w:tc>
          <w:tcPr>
            <w:tcW w:w="3488" w:type="dxa"/>
            <w:tcBorders>
              <w:right w:val="nil"/>
            </w:tcBorders>
          </w:tcPr>
          <w:p w14:paraId="1C23FEAB" w14:textId="77777777" w:rsidR="00F02481" w:rsidRPr="00BE78CA" w:rsidRDefault="00F02481" w:rsidP="000F4164">
            <w:pPr>
              <w:pStyle w:val="TableText"/>
              <w:spacing w:before="40" w:after="50"/>
              <w:jc w:val="center"/>
              <w:rPr>
                <w:rFonts w:cs="Calibri"/>
                <w:color w:val="000000"/>
                <w:szCs w:val="16"/>
              </w:rPr>
            </w:pPr>
            <w:r w:rsidRPr="00BE78CA">
              <w:t>2.6</w:t>
            </w:r>
          </w:p>
        </w:tc>
      </w:tr>
      <w:tr w:rsidR="00F02481" w:rsidRPr="00BE78CA" w14:paraId="171F8869" w14:textId="77777777" w:rsidTr="00750C83">
        <w:tc>
          <w:tcPr>
            <w:tcW w:w="1119" w:type="dxa"/>
            <w:tcBorders>
              <w:left w:val="nil"/>
            </w:tcBorders>
            <w:shd w:val="clear" w:color="auto" w:fill="auto"/>
          </w:tcPr>
          <w:p w14:paraId="545E3D6F" w14:textId="77777777" w:rsidR="00F02481" w:rsidRPr="00BE78CA" w:rsidDel="00E408EA" w:rsidRDefault="00F02481" w:rsidP="000F4164">
            <w:pPr>
              <w:pStyle w:val="TableText"/>
              <w:spacing w:before="40" w:after="50"/>
              <w:rPr>
                <w:rFonts w:cs="Calibri"/>
                <w:szCs w:val="16"/>
              </w:rPr>
            </w:pPr>
            <w:r w:rsidRPr="00BE78CA">
              <w:rPr>
                <w:rFonts w:cs="Calibri"/>
                <w:szCs w:val="16"/>
              </w:rPr>
              <w:t>2004</w:t>
            </w:r>
          </w:p>
        </w:tc>
        <w:tc>
          <w:tcPr>
            <w:tcW w:w="3955" w:type="dxa"/>
          </w:tcPr>
          <w:p w14:paraId="3E67BCC4" w14:textId="77777777" w:rsidR="00F02481" w:rsidRPr="00BE78CA" w:rsidRDefault="00F02481" w:rsidP="000F4164">
            <w:pPr>
              <w:pStyle w:val="TableText"/>
              <w:spacing w:before="40" w:after="50"/>
              <w:jc w:val="center"/>
              <w:rPr>
                <w:rFonts w:cs="Calibri"/>
                <w:color w:val="000000"/>
                <w:szCs w:val="16"/>
              </w:rPr>
            </w:pPr>
            <w:r w:rsidRPr="00BE78CA">
              <w:t>8.1</w:t>
            </w:r>
          </w:p>
        </w:tc>
        <w:tc>
          <w:tcPr>
            <w:tcW w:w="3488" w:type="dxa"/>
            <w:tcBorders>
              <w:right w:val="nil"/>
            </w:tcBorders>
          </w:tcPr>
          <w:p w14:paraId="2CC18532" w14:textId="77777777" w:rsidR="00F02481" w:rsidRPr="00BE78CA" w:rsidRDefault="00F02481" w:rsidP="000F4164">
            <w:pPr>
              <w:pStyle w:val="TableText"/>
              <w:spacing w:before="40" w:after="50"/>
              <w:jc w:val="center"/>
              <w:rPr>
                <w:rFonts w:cs="Calibri"/>
                <w:color w:val="000000"/>
                <w:szCs w:val="16"/>
              </w:rPr>
            </w:pPr>
            <w:r w:rsidRPr="00BE78CA">
              <w:t>4.8</w:t>
            </w:r>
          </w:p>
        </w:tc>
      </w:tr>
      <w:tr w:rsidR="00F02481" w:rsidRPr="00BE78CA" w14:paraId="337EBA01" w14:textId="77777777" w:rsidTr="00750C83">
        <w:tc>
          <w:tcPr>
            <w:tcW w:w="1119" w:type="dxa"/>
            <w:tcBorders>
              <w:left w:val="nil"/>
            </w:tcBorders>
            <w:shd w:val="clear" w:color="auto" w:fill="auto"/>
          </w:tcPr>
          <w:p w14:paraId="2FC0F54B" w14:textId="77777777" w:rsidR="00F02481" w:rsidRPr="00BE78CA" w:rsidRDefault="00F02481" w:rsidP="000F4164">
            <w:pPr>
              <w:pStyle w:val="TableText"/>
              <w:spacing w:before="40" w:after="50"/>
              <w:rPr>
                <w:rFonts w:cs="Calibri"/>
                <w:szCs w:val="16"/>
              </w:rPr>
            </w:pPr>
            <w:r w:rsidRPr="00BE78CA">
              <w:rPr>
                <w:rFonts w:cs="Calibri"/>
                <w:szCs w:val="16"/>
              </w:rPr>
              <w:t>2005</w:t>
            </w:r>
          </w:p>
        </w:tc>
        <w:tc>
          <w:tcPr>
            <w:tcW w:w="3955" w:type="dxa"/>
          </w:tcPr>
          <w:p w14:paraId="188F0D39" w14:textId="77777777" w:rsidR="00F02481" w:rsidRPr="00BE78CA" w:rsidRDefault="00F02481" w:rsidP="000F4164">
            <w:pPr>
              <w:pStyle w:val="TableText"/>
              <w:spacing w:before="40" w:after="50"/>
              <w:jc w:val="center"/>
              <w:rPr>
                <w:rFonts w:cs="Calibri"/>
                <w:color w:val="000000"/>
                <w:szCs w:val="16"/>
              </w:rPr>
            </w:pPr>
            <w:r w:rsidRPr="00BE78CA">
              <w:t>1.6</w:t>
            </w:r>
          </w:p>
        </w:tc>
        <w:tc>
          <w:tcPr>
            <w:tcW w:w="3488" w:type="dxa"/>
            <w:tcBorders>
              <w:right w:val="nil"/>
            </w:tcBorders>
          </w:tcPr>
          <w:p w14:paraId="42FB086B" w14:textId="77777777" w:rsidR="00F02481" w:rsidRPr="00BE78CA" w:rsidRDefault="00F02481" w:rsidP="000F4164">
            <w:pPr>
              <w:pStyle w:val="TableText"/>
              <w:spacing w:before="40" w:after="50"/>
              <w:jc w:val="center"/>
              <w:rPr>
                <w:rFonts w:cs="Calibri"/>
                <w:color w:val="000000"/>
                <w:szCs w:val="16"/>
              </w:rPr>
            </w:pPr>
            <w:r w:rsidRPr="00BE78CA">
              <w:t>1.0</w:t>
            </w:r>
          </w:p>
        </w:tc>
      </w:tr>
      <w:tr w:rsidR="00F02481" w:rsidRPr="00BE78CA" w14:paraId="2A0B6C00" w14:textId="77777777" w:rsidTr="00750C83">
        <w:tc>
          <w:tcPr>
            <w:tcW w:w="1119" w:type="dxa"/>
            <w:tcBorders>
              <w:left w:val="nil"/>
            </w:tcBorders>
            <w:shd w:val="clear" w:color="auto" w:fill="auto"/>
          </w:tcPr>
          <w:p w14:paraId="1FB276A2" w14:textId="77777777" w:rsidR="00F02481" w:rsidRPr="00BE78CA" w:rsidRDefault="00F02481" w:rsidP="000F4164">
            <w:pPr>
              <w:pStyle w:val="TableText"/>
              <w:spacing w:before="40" w:after="50"/>
              <w:rPr>
                <w:rFonts w:cs="Calibri"/>
                <w:szCs w:val="16"/>
              </w:rPr>
            </w:pPr>
            <w:r w:rsidRPr="00BE78CA">
              <w:rPr>
                <w:rFonts w:cs="Calibri"/>
                <w:szCs w:val="16"/>
              </w:rPr>
              <w:t>2006</w:t>
            </w:r>
          </w:p>
        </w:tc>
        <w:tc>
          <w:tcPr>
            <w:tcW w:w="3955" w:type="dxa"/>
          </w:tcPr>
          <w:p w14:paraId="1C7DD628" w14:textId="77777777" w:rsidR="00F02481" w:rsidRPr="00BE78CA" w:rsidRDefault="00F02481" w:rsidP="000F4164">
            <w:pPr>
              <w:pStyle w:val="TableText"/>
              <w:spacing w:before="40" w:after="50"/>
              <w:jc w:val="center"/>
              <w:rPr>
                <w:rFonts w:cs="Calibri"/>
                <w:color w:val="000000"/>
                <w:szCs w:val="16"/>
              </w:rPr>
            </w:pPr>
            <w:r w:rsidRPr="00BE78CA">
              <w:t>8.4</w:t>
            </w:r>
          </w:p>
        </w:tc>
        <w:tc>
          <w:tcPr>
            <w:tcW w:w="3488" w:type="dxa"/>
            <w:tcBorders>
              <w:right w:val="nil"/>
            </w:tcBorders>
          </w:tcPr>
          <w:p w14:paraId="228D83F1" w14:textId="77777777" w:rsidR="00F02481" w:rsidRPr="00BE78CA" w:rsidRDefault="00F02481" w:rsidP="000F4164">
            <w:pPr>
              <w:pStyle w:val="TableText"/>
              <w:spacing w:before="40" w:after="50"/>
              <w:jc w:val="center"/>
              <w:rPr>
                <w:rFonts w:cs="Calibri"/>
                <w:color w:val="000000"/>
                <w:szCs w:val="16"/>
              </w:rPr>
            </w:pPr>
            <w:r w:rsidRPr="00BE78CA">
              <w:t>4.7</w:t>
            </w:r>
          </w:p>
        </w:tc>
      </w:tr>
      <w:tr w:rsidR="00F02481" w:rsidRPr="00BE78CA" w14:paraId="162BA3F9" w14:textId="77777777" w:rsidTr="00750C83">
        <w:tc>
          <w:tcPr>
            <w:tcW w:w="1119" w:type="dxa"/>
            <w:tcBorders>
              <w:left w:val="nil"/>
            </w:tcBorders>
            <w:shd w:val="clear" w:color="auto" w:fill="auto"/>
          </w:tcPr>
          <w:p w14:paraId="133AFF5D" w14:textId="77777777" w:rsidR="00F02481" w:rsidRPr="00BE78CA" w:rsidRDefault="00F02481" w:rsidP="000F4164">
            <w:pPr>
              <w:pStyle w:val="TableText"/>
              <w:spacing w:before="40" w:after="50"/>
              <w:rPr>
                <w:rFonts w:cs="Calibri"/>
                <w:szCs w:val="16"/>
              </w:rPr>
            </w:pPr>
            <w:r w:rsidRPr="00BE78CA">
              <w:rPr>
                <w:rFonts w:cs="Calibri"/>
                <w:szCs w:val="16"/>
              </w:rPr>
              <w:t>2007</w:t>
            </w:r>
          </w:p>
        </w:tc>
        <w:tc>
          <w:tcPr>
            <w:tcW w:w="3955" w:type="dxa"/>
          </w:tcPr>
          <w:p w14:paraId="59635193" w14:textId="77777777" w:rsidR="00F02481" w:rsidRPr="00BE78CA" w:rsidRDefault="00F02481" w:rsidP="000F4164">
            <w:pPr>
              <w:pStyle w:val="TableText"/>
              <w:spacing w:before="40" w:after="50"/>
              <w:jc w:val="center"/>
              <w:rPr>
                <w:rFonts w:cs="Calibri"/>
                <w:color w:val="000000"/>
                <w:szCs w:val="16"/>
              </w:rPr>
            </w:pPr>
            <w:r w:rsidRPr="00BE78CA">
              <w:t>5.0</w:t>
            </w:r>
          </w:p>
        </w:tc>
        <w:tc>
          <w:tcPr>
            <w:tcW w:w="3488" w:type="dxa"/>
            <w:tcBorders>
              <w:right w:val="nil"/>
            </w:tcBorders>
          </w:tcPr>
          <w:p w14:paraId="523D567C" w14:textId="77777777" w:rsidR="00F02481" w:rsidRPr="00BE78CA" w:rsidRDefault="00F02481" w:rsidP="000F4164">
            <w:pPr>
              <w:pStyle w:val="TableText"/>
              <w:spacing w:before="40" w:after="50"/>
              <w:jc w:val="center"/>
              <w:rPr>
                <w:rFonts w:cs="Calibri"/>
                <w:color w:val="000000"/>
                <w:szCs w:val="16"/>
              </w:rPr>
            </w:pPr>
            <w:r w:rsidRPr="00BE78CA">
              <w:t>3.0</w:t>
            </w:r>
          </w:p>
        </w:tc>
      </w:tr>
      <w:tr w:rsidR="00F02481" w:rsidRPr="00BE78CA" w14:paraId="0DA7AC1D" w14:textId="77777777" w:rsidTr="00750C83">
        <w:tc>
          <w:tcPr>
            <w:tcW w:w="1119" w:type="dxa"/>
            <w:tcBorders>
              <w:left w:val="nil"/>
            </w:tcBorders>
            <w:shd w:val="clear" w:color="auto" w:fill="auto"/>
          </w:tcPr>
          <w:p w14:paraId="233E4187" w14:textId="77777777" w:rsidR="00F02481" w:rsidRPr="00BE78CA" w:rsidRDefault="00F02481" w:rsidP="000F4164">
            <w:pPr>
              <w:pStyle w:val="TableText"/>
              <w:spacing w:before="40" w:after="50"/>
              <w:rPr>
                <w:rFonts w:cs="Calibri"/>
                <w:szCs w:val="16"/>
              </w:rPr>
            </w:pPr>
            <w:r w:rsidRPr="00BE78CA">
              <w:rPr>
                <w:rFonts w:cs="Calibri"/>
                <w:szCs w:val="16"/>
              </w:rPr>
              <w:t>2008</w:t>
            </w:r>
          </w:p>
        </w:tc>
        <w:tc>
          <w:tcPr>
            <w:tcW w:w="3955" w:type="dxa"/>
          </w:tcPr>
          <w:p w14:paraId="2664A91E" w14:textId="77777777" w:rsidR="00F02481" w:rsidRPr="00BE78CA" w:rsidRDefault="00F02481" w:rsidP="000F4164">
            <w:pPr>
              <w:pStyle w:val="TableText"/>
              <w:spacing w:before="40" w:after="50"/>
              <w:jc w:val="center"/>
              <w:rPr>
                <w:rFonts w:cs="Calibri"/>
                <w:color w:val="000000"/>
                <w:szCs w:val="16"/>
              </w:rPr>
            </w:pPr>
            <w:r w:rsidRPr="00BE78CA">
              <w:t>5.2</w:t>
            </w:r>
          </w:p>
        </w:tc>
        <w:tc>
          <w:tcPr>
            <w:tcW w:w="3488" w:type="dxa"/>
            <w:tcBorders>
              <w:right w:val="nil"/>
            </w:tcBorders>
          </w:tcPr>
          <w:p w14:paraId="7EB8ABE7" w14:textId="77777777" w:rsidR="00F02481" w:rsidRPr="00BE78CA" w:rsidRDefault="00F02481" w:rsidP="000F4164">
            <w:pPr>
              <w:pStyle w:val="TableText"/>
              <w:spacing w:before="40" w:after="50"/>
              <w:jc w:val="center"/>
              <w:rPr>
                <w:rFonts w:cs="Calibri"/>
                <w:color w:val="000000"/>
                <w:szCs w:val="16"/>
              </w:rPr>
            </w:pPr>
            <w:r w:rsidRPr="00BE78CA">
              <w:t>3.0</w:t>
            </w:r>
          </w:p>
        </w:tc>
      </w:tr>
      <w:tr w:rsidR="00F02481" w:rsidRPr="00BE78CA" w14:paraId="7E23F4FB" w14:textId="77777777" w:rsidTr="00750C83">
        <w:tc>
          <w:tcPr>
            <w:tcW w:w="1119" w:type="dxa"/>
            <w:tcBorders>
              <w:left w:val="nil"/>
            </w:tcBorders>
            <w:shd w:val="clear" w:color="auto" w:fill="auto"/>
          </w:tcPr>
          <w:p w14:paraId="74829D4A" w14:textId="77777777" w:rsidR="00F02481" w:rsidRPr="00BE78CA" w:rsidRDefault="00F02481" w:rsidP="000F4164">
            <w:pPr>
              <w:pStyle w:val="TableText"/>
              <w:spacing w:before="40" w:after="50"/>
              <w:rPr>
                <w:rFonts w:cs="Calibri"/>
                <w:szCs w:val="16"/>
              </w:rPr>
            </w:pPr>
            <w:r w:rsidRPr="00BE78CA">
              <w:rPr>
                <w:rFonts w:cs="Calibri"/>
                <w:szCs w:val="16"/>
              </w:rPr>
              <w:t>2009</w:t>
            </w:r>
          </w:p>
        </w:tc>
        <w:tc>
          <w:tcPr>
            <w:tcW w:w="3955" w:type="dxa"/>
          </w:tcPr>
          <w:p w14:paraId="51D90808" w14:textId="77777777" w:rsidR="00F02481" w:rsidRPr="00BE78CA" w:rsidRDefault="00F02481" w:rsidP="000F4164">
            <w:pPr>
              <w:pStyle w:val="TableText"/>
              <w:spacing w:before="40" w:after="50"/>
              <w:jc w:val="center"/>
              <w:rPr>
                <w:rFonts w:cs="Calibri"/>
                <w:color w:val="000000"/>
                <w:szCs w:val="16"/>
              </w:rPr>
            </w:pPr>
            <w:r w:rsidRPr="00BE78CA">
              <w:t>9.4</w:t>
            </w:r>
          </w:p>
        </w:tc>
        <w:tc>
          <w:tcPr>
            <w:tcW w:w="3488" w:type="dxa"/>
            <w:tcBorders>
              <w:right w:val="nil"/>
            </w:tcBorders>
          </w:tcPr>
          <w:p w14:paraId="0E160755" w14:textId="77777777" w:rsidR="00F02481" w:rsidRPr="00BE78CA" w:rsidRDefault="00F02481" w:rsidP="000F4164">
            <w:pPr>
              <w:pStyle w:val="TableText"/>
              <w:spacing w:before="40" w:after="50"/>
              <w:jc w:val="center"/>
              <w:rPr>
                <w:rFonts w:cs="Calibri"/>
                <w:color w:val="000000"/>
                <w:szCs w:val="16"/>
              </w:rPr>
            </w:pPr>
            <w:r w:rsidRPr="00BE78CA">
              <w:t>4.7</w:t>
            </w:r>
          </w:p>
        </w:tc>
      </w:tr>
      <w:tr w:rsidR="00F02481" w:rsidRPr="00BE78CA" w14:paraId="71950884" w14:textId="77777777" w:rsidTr="00750C83">
        <w:tc>
          <w:tcPr>
            <w:tcW w:w="1119" w:type="dxa"/>
            <w:tcBorders>
              <w:left w:val="nil"/>
            </w:tcBorders>
            <w:shd w:val="clear" w:color="auto" w:fill="auto"/>
          </w:tcPr>
          <w:p w14:paraId="447A4EB9" w14:textId="77777777" w:rsidR="00F02481" w:rsidRPr="00BE78CA" w:rsidRDefault="00F02481" w:rsidP="000F4164">
            <w:pPr>
              <w:pStyle w:val="TableText"/>
              <w:spacing w:before="40" w:after="50"/>
              <w:rPr>
                <w:rFonts w:cs="Calibri"/>
                <w:szCs w:val="16"/>
              </w:rPr>
            </w:pPr>
            <w:r w:rsidRPr="00BE78CA">
              <w:rPr>
                <w:rFonts w:cs="Calibri"/>
                <w:szCs w:val="16"/>
              </w:rPr>
              <w:t>2010</w:t>
            </w:r>
          </w:p>
        </w:tc>
        <w:tc>
          <w:tcPr>
            <w:tcW w:w="3955" w:type="dxa"/>
          </w:tcPr>
          <w:p w14:paraId="232AEDB2" w14:textId="77777777" w:rsidR="00F02481" w:rsidRPr="00BE78CA" w:rsidRDefault="00F02481" w:rsidP="000F4164">
            <w:pPr>
              <w:pStyle w:val="TableText"/>
              <w:spacing w:before="40" w:after="50"/>
              <w:jc w:val="center"/>
              <w:rPr>
                <w:rFonts w:cs="Calibri"/>
                <w:color w:val="000000"/>
                <w:szCs w:val="16"/>
              </w:rPr>
            </w:pPr>
            <w:r w:rsidRPr="00BE78CA">
              <w:t>6.9</w:t>
            </w:r>
          </w:p>
        </w:tc>
        <w:tc>
          <w:tcPr>
            <w:tcW w:w="3488" w:type="dxa"/>
            <w:tcBorders>
              <w:right w:val="nil"/>
            </w:tcBorders>
          </w:tcPr>
          <w:p w14:paraId="40ED7B03" w14:textId="77777777" w:rsidR="00F02481" w:rsidRPr="00BE78CA" w:rsidRDefault="00F02481" w:rsidP="000F4164">
            <w:pPr>
              <w:pStyle w:val="TableText"/>
              <w:spacing w:before="40" w:after="50"/>
              <w:jc w:val="center"/>
              <w:rPr>
                <w:rFonts w:cs="Calibri"/>
                <w:color w:val="000000"/>
                <w:szCs w:val="16"/>
              </w:rPr>
            </w:pPr>
            <w:r w:rsidRPr="00BE78CA">
              <w:t>4.1</w:t>
            </w:r>
          </w:p>
        </w:tc>
      </w:tr>
      <w:tr w:rsidR="00F02481" w:rsidRPr="00BE78CA" w14:paraId="472FC7B8" w14:textId="77777777" w:rsidTr="00750C83">
        <w:tc>
          <w:tcPr>
            <w:tcW w:w="1119" w:type="dxa"/>
            <w:tcBorders>
              <w:left w:val="nil"/>
            </w:tcBorders>
            <w:shd w:val="clear" w:color="auto" w:fill="auto"/>
          </w:tcPr>
          <w:p w14:paraId="7D749567" w14:textId="77777777" w:rsidR="00F02481" w:rsidRPr="00BE78CA" w:rsidRDefault="00F02481" w:rsidP="000F4164">
            <w:pPr>
              <w:pStyle w:val="TableText"/>
              <w:spacing w:before="40" w:after="50"/>
              <w:rPr>
                <w:rFonts w:cs="Calibri"/>
                <w:szCs w:val="16"/>
              </w:rPr>
            </w:pPr>
            <w:r w:rsidRPr="00BE78CA">
              <w:rPr>
                <w:rFonts w:cs="Calibri"/>
                <w:szCs w:val="16"/>
              </w:rPr>
              <w:t>2011</w:t>
            </w:r>
          </w:p>
        </w:tc>
        <w:tc>
          <w:tcPr>
            <w:tcW w:w="3955" w:type="dxa"/>
          </w:tcPr>
          <w:p w14:paraId="7C948E85" w14:textId="77777777" w:rsidR="00F02481" w:rsidRPr="00BE78CA" w:rsidRDefault="00F02481" w:rsidP="000F4164">
            <w:pPr>
              <w:pStyle w:val="TableText"/>
              <w:spacing w:before="40" w:after="50"/>
              <w:jc w:val="center"/>
              <w:rPr>
                <w:rFonts w:cs="Calibri"/>
                <w:color w:val="000000"/>
                <w:szCs w:val="16"/>
              </w:rPr>
            </w:pPr>
            <w:r w:rsidRPr="00BE78CA">
              <w:t>5.3</w:t>
            </w:r>
          </w:p>
        </w:tc>
        <w:tc>
          <w:tcPr>
            <w:tcW w:w="3488" w:type="dxa"/>
            <w:tcBorders>
              <w:right w:val="nil"/>
            </w:tcBorders>
          </w:tcPr>
          <w:p w14:paraId="6A2C7921" w14:textId="77777777" w:rsidR="00F02481" w:rsidRPr="00BE78CA" w:rsidRDefault="00F02481" w:rsidP="000F4164">
            <w:pPr>
              <w:pStyle w:val="TableText"/>
              <w:spacing w:before="40" w:after="50"/>
              <w:jc w:val="center"/>
              <w:rPr>
                <w:rFonts w:cs="Calibri"/>
                <w:color w:val="000000"/>
                <w:szCs w:val="16"/>
              </w:rPr>
            </w:pPr>
            <w:r w:rsidRPr="00BE78CA">
              <w:t>3.5</w:t>
            </w:r>
          </w:p>
        </w:tc>
      </w:tr>
      <w:tr w:rsidR="00F02481" w:rsidRPr="00BE78CA" w14:paraId="3B336DB9" w14:textId="77777777" w:rsidTr="00750C83">
        <w:tc>
          <w:tcPr>
            <w:tcW w:w="1119" w:type="dxa"/>
            <w:tcBorders>
              <w:left w:val="nil"/>
            </w:tcBorders>
            <w:shd w:val="clear" w:color="auto" w:fill="auto"/>
          </w:tcPr>
          <w:p w14:paraId="0F0DCACB" w14:textId="77777777" w:rsidR="00F02481" w:rsidRPr="00BE78CA" w:rsidRDefault="00F02481" w:rsidP="000F4164">
            <w:pPr>
              <w:pStyle w:val="TableText"/>
              <w:spacing w:before="40" w:after="50"/>
              <w:rPr>
                <w:rFonts w:cs="Calibri"/>
                <w:szCs w:val="16"/>
              </w:rPr>
            </w:pPr>
            <w:r w:rsidRPr="00BE78CA">
              <w:rPr>
                <w:rFonts w:cs="Calibri"/>
                <w:szCs w:val="16"/>
              </w:rPr>
              <w:t>2012</w:t>
            </w:r>
          </w:p>
        </w:tc>
        <w:tc>
          <w:tcPr>
            <w:tcW w:w="3955" w:type="dxa"/>
          </w:tcPr>
          <w:p w14:paraId="1F298545" w14:textId="77777777" w:rsidR="00F02481" w:rsidRPr="00BE78CA" w:rsidRDefault="00F02481" w:rsidP="000F4164">
            <w:pPr>
              <w:pStyle w:val="TableText"/>
              <w:spacing w:before="40" w:after="50"/>
              <w:jc w:val="center"/>
              <w:rPr>
                <w:rFonts w:cs="Calibri"/>
                <w:color w:val="000000"/>
                <w:szCs w:val="16"/>
              </w:rPr>
            </w:pPr>
            <w:r w:rsidRPr="00BE78CA">
              <w:t>7.0</w:t>
            </w:r>
          </w:p>
        </w:tc>
        <w:tc>
          <w:tcPr>
            <w:tcW w:w="3488" w:type="dxa"/>
            <w:tcBorders>
              <w:right w:val="nil"/>
            </w:tcBorders>
          </w:tcPr>
          <w:p w14:paraId="16EA7266" w14:textId="77777777" w:rsidR="00F02481" w:rsidRPr="00BE78CA" w:rsidRDefault="00F02481" w:rsidP="000F4164">
            <w:pPr>
              <w:pStyle w:val="TableText"/>
              <w:spacing w:before="40" w:after="50"/>
              <w:jc w:val="center"/>
              <w:rPr>
                <w:rFonts w:cs="Calibri"/>
                <w:color w:val="000000"/>
                <w:szCs w:val="16"/>
              </w:rPr>
            </w:pPr>
            <w:r w:rsidRPr="00BE78CA">
              <w:t>4.6</w:t>
            </w:r>
          </w:p>
        </w:tc>
      </w:tr>
      <w:tr w:rsidR="00F02481" w:rsidRPr="00BE78CA" w14:paraId="74DC7F26" w14:textId="77777777" w:rsidTr="00750C83">
        <w:tc>
          <w:tcPr>
            <w:tcW w:w="1119" w:type="dxa"/>
            <w:tcBorders>
              <w:left w:val="nil"/>
            </w:tcBorders>
            <w:shd w:val="clear" w:color="auto" w:fill="auto"/>
          </w:tcPr>
          <w:p w14:paraId="3F0534AA" w14:textId="77777777" w:rsidR="00F02481" w:rsidRPr="00BE78CA" w:rsidRDefault="00F02481" w:rsidP="000F4164">
            <w:pPr>
              <w:pStyle w:val="TableText"/>
              <w:spacing w:before="40" w:after="50"/>
              <w:rPr>
                <w:rFonts w:cs="Calibri"/>
                <w:szCs w:val="16"/>
              </w:rPr>
            </w:pPr>
            <w:r w:rsidRPr="00BE78CA">
              <w:rPr>
                <w:rFonts w:cs="Calibri"/>
                <w:szCs w:val="16"/>
              </w:rPr>
              <w:t>2013</w:t>
            </w:r>
          </w:p>
        </w:tc>
        <w:tc>
          <w:tcPr>
            <w:tcW w:w="3955" w:type="dxa"/>
          </w:tcPr>
          <w:p w14:paraId="45C22B29" w14:textId="77777777" w:rsidR="00F02481" w:rsidRPr="00BE78CA" w:rsidRDefault="00F02481" w:rsidP="000F4164">
            <w:pPr>
              <w:pStyle w:val="TableText"/>
              <w:spacing w:before="40" w:after="50"/>
              <w:jc w:val="center"/>
              <w:rPr>
                <w:rFonts w:cs="Calibri"/>
                <w:color w:val="000000"/>
                <w:szCs w:val="16"/>
              </w:rPr>
            </w:pPr>
            <w:r w:rsidRPr="00BE78CA">
              <w:t>8.6</w:t>
            </w:r>
          </w:p>
        </w:tc>
        <w:tc>
          <w:tcPr>
            <w:tcW w:w="3488" w:type="dxa"/>
            <w:tcBorders>
              <w:right w:val="nil"/>
            </w:tcBorders>
          </w:tcPr>
          <w:p w14:paraId="44FE8FB9" w14:textId="77777777" w:rsidR="00F02481" w:rsidRPr="00BE78CA" w:rsidRDefault="00F02481" w:rsidP="000F4164">
            <w:pPr>
              <w:pStyle w:val="TableText"/>
              <w:spacing w:before="40" w:after="50"/>
              <w:jc w:val="center"/>
              <w:rPr>
                <w:rFonts w:cs="Calibri"/>
                <w:color w:val="000000"/>
                <w:szCs w:val="16"/>
              </w:rPr>
            </w:pPr>
            <w:r w:rsidRPr="00BE78CA">
              <w:t>5.9</w:t>
            </w:r>
          </w:p>
        </w:tc>
      </w:tr>
      <w:tr w:rsidR="00F02481" w:rsidRPr="00BE78CA" w14:paraId="248C0055" w14:textId="77777777" w:rsidTr="00750C83">
        <w:tc>
          <w:tcPr>
            <w:tcW w:w="1119" w:type="dxa"/>
            <w:tcBorders>
              <w:left w:val="nil"/>
            </w:tcBorders>
            <w:shd w:val="clear" w:color="auto" w:fill="auto"/>
          </w:tcPr>
          <w:p w14:paraId="4A06D7EE" w14:textId="77777777" w:rsidR="00F02481" w:rsidRPr="00BE78CA" w:rsidRDefault="00F02481" w:rsidP="000F4164">
            <w:pPr>
              <w:pStyle w:val="TableText"/>
              <w:spacing w:before="40" w:after="50"/>
              <w:rPr>
                <w:rFonts w:cs="Calibri"/>
                <w:szCs w:val="16"/>
              </w:rPr>
            </w:pPr>
            <w:r w:rsidRPr="00BE78CA">
              <w:rPr>
                <w:rFonts w:cs="Calibri"/>
                <w:szCs w:val="16"/>
              </w:rPr>
              <w:t>2014</w:t>
            </w:r>
          </w:p>
        </w:tc>
        <w:tc>
          <w:tcPr>
            <w:tcW w:w="3955" w:type="dxa"/>
          </w:tcPr>
          <w:p w14:paraId="03969A82" w14:textId="77777777" w:rsidR="00F02481" w:rsidRPr="00BE78CA" w:rsidRDefault="00F02481" w:rsidP="000F4164">
            <w:pPr>
              <w:pStyle w:val="TableText"/>
              <w:spacing w:before="40" w:after="50"/>
              <w:jc w:val="center"/>
              <w:rPr>
                <w:rFonts w:cs="Calibri"/>
                <w:color w:val="000000"/>
                <w:szCs w:val="16"/>
              </w:rPr>
            </w:pPr>
            <w:r w:rsidRPr="00BE78CA">
              <w:t>20.2</w:t>
            </w:r>
          </w:p>
        </w:tc>
        <w:tc>
          <w:tcPr>
            <w:tcW w:w="3488" w:type="dxa"/>
            <w:tcBorders>
              <w:right w:val="nil"/>
            </w:tcBorders>
          </w:tcPr>
          <w:p w14:paraId="43B226EC" w14:textId="77777777" w:rsidR="00F02481" w:rsidRPr="00BE78CA" w:rsidRDefault="00F02481" w:rsidP="000F4164">
            <w:pPr>
              <w:pStyle w:val="TableText"/>
              <w:spacing w:before="40" w:after="50"/>
              <w:jc w:val="center"/>
              <w:rPr>
                <w:rFonts w:cs="Calibri"/>
                <w:color w:val="000000"/>
                <w:szCs w:val="16"/>
              </w:rPr>
            </w:pPr>
            <w:r w:rsidRPr="00BE78CA">
              <w:t>13.6</w:t>
            </w:r>
          </w:p>
        </w:tc>
      </w:tr>
      <w:tr w:rsidR="00F02481" w:rsidRPr="00BE78CA" w14:paraId="40C81CE1" w14:textId="77777777" w:rsidTr="00750C83">
        <w:tc>
          <w:tcPr>
            <w:tcW w:w="1119" w:type="dxa"/>
            <w:tcBorders>
              <w:left w:val="nil"/>
            </w:tcBorders>
            <w:shd w:val="clear" w:color="auto" w:fill="auto"/>
          </w:tcPr>
          <w:p w14:paraId="29F57321" w14:textId="77777777" w:rsidR="00F02481" w:rsidRPr="00BE78CA" w:rsidRDefault="00F02481" w:rsidP="000F4164">
            <w:pPr>
              <w:pStyle w:val="TableText"/>
              <w:spacing w:before="40" w:after="50"/>
              <w:rPr>
                <w:rFonts w:cs="Calibri"/>
                <w:szCs w:val="16"/>
              </w:rPr>
            </w:pPr>
            <w:r w:rsidRPr="00BE78CA">
              <w:rPr>
                <w:rFonts w:cs="Calibri"/>
                <w:szCs w:val="16"/>
              </w:rPr>
              <w:t>2015</w:t>
            </w:r>
          </w:p>
        </w:tc>
        <w:tc>
          <w:tcPr>
            <w:tcW w:w="3955" w:type="dxa"/>
          </w:tcPr>
          <w:p w14:paraId="484E7FF2" w14:textId="77777777" w:rsidR="00F02481" w:rsidRPr="00BE78CA" w:rsidRDefault="00F02481" w:rsidP="000F4164">
            <w:pPr>
              <w:pStyle w:val="TableText"/>
              <w:spacing w:before="40" w:after="50"/>
              <w:jc w:val="center"/>
              <w:rPr>
                <w:rFonts w:cs="Calibri"/>
                <w:color w:val="000000"/>
                <w:szCs w:val="16"/>
              </w:rPr>
            </w:pPr>
            <w:r w:rsidRPr="00BE78CA">
              <w:t>16.2</w:t>
            </w:r>
          </w:p>
        </w:tc>
        <w:tc>
          <w:tcPr>
            <w:tcW w:w="3488" w:type="dxa"/>
            <w:tcBorders>
              <w:right w:val="nil"/>
            </w:tcBorders>
          </w:tcPr>
          <w:p w14:paraId="068F4148" w14:textId="77777777" w:rsidR="00F02481" w:rsidRPr="00BE78CA" w:rsidRDefault="00F02481" w:rsidP="000F4164">
            <w:pPr>
              <w:pStyle w:val="TableText"/>
              <w:spacing w:before="40" w:after="50"/>
              <w:jc w:val="center"/>
              <w:rPr>
                <w:rFonts w:cs="Calibri"/>
                <w:color w:val="000000"/>
                <w:szCs w:val="16"/>
              </w:rPr>
            </w:pPr>
            <w:r w:rsidRPr="00BE78CA">
              <w:t>13.1</w:t>
            </w:r>
          </w:p>
        </w:tc>
      </w:tr>
      <w:tr w:rsidR="00F02481" w:rsidRPr="00BE78CA" w14:paraId="22827807" w14:textId="77777777" w:rsidTr="00750C83">
        <w:tc>
          <w:tcPr>
            <w:tcW w:w="1119" w:type="dxa"/>
            <w:tcBorders>
              <w:left w:val="nil"/>
            </w:tcBorders>
            <w:shd w:val="clear" w:color="auto" w:fill="auto"/>
          </w:tcPr>
          <w:p w14:paraId="5808C6A4" w14:textId="77777777" w:rsidR="00F02481" w:rsidRPr="00BE78CA" w:rsidRDefault="00F02481" w:rsidP="000F4164">
            <w:pPr>
              <w:pStyle w:val="TableText"/>
              <w:spacing w:before="40" w:after="50"/>
              <w:rPr>
                <w:rFonts w:cs="Calibri"/>
                <w:szCs w:val="16"/>
              </w:rPr>
            </w:pPr>
            <w:r w:rsidRPr="00BE78CA">
              <w:rPr>
                <w:rFonts w:cs="Calibri"/>
                <w:szCs w:val="16"/>
              </w:rPr>
              <w:t>2016</w:t>
            </w:r>
          </w:p>
        </w:tc>
        <w:tc>
          <w:tcPr>
            <w:tcW w:w="3955" w:type="dxa"/>
          </w:tcPr>
          <w:p w14:paraId="63B978CA" w14:textId="77777777" w:rsidR="00F02481" w:rsidRPr="00BE78CA" w:rsidRDefault="00F02481" w:rsidP="000F4164">
            <w:pPr>
              <w:pStyle w:val="TableText"/>
              <w:spacing w:before="40" w:after="50"/>
              <w:jc w:val="center"/>
              <w:rPr>
                <w:rFonts w:cs="Calibri"/>
                <w:color w:val="000000"/>
                <w:szCs w:val="16"/>
              </w:rPr>
            </w:pPr>
            <w:r w:rsidRPr="00BE78CA">
              <w:t>26.5</w:t>
            </w:r>
          </w:p>
        </w:tc>
        <w:tc>
          <w:tcPr>
            <w:tcW w:w="3488" w:type="dxa"/>
            <w:tcBorders>
              <w:right w:val="nil"/>
            </w:tcBorders>
          </w:tcPr>
          <w:p w14:paraId="5D5BB6D9" w14:textId="77777777" w:rsidR="00F02481" w:rsidRPr="00BE78CA" w:rsidRDefault="00F02481" w:rsidP="000F4164">
            <w:pPr>
              <w:pStyle w:val="TableText"/>
              <w:spacing w:before="40" w:after="50"/>
              <w:jc w:val="center"/>
              <w:rPr>
                <w:rFonts w:cs="Calibri"/>
                <w:color w:val="000000"/>
                <w:szCs w:val="16"/>
              </w:rPr>
            </w:pPr>
            <w:r w:rsidRPr="00BE78CA">
              <w:t>20.1</w:t>
            </w:r>
          </w:p>
        </w:tc>
      </w:tr>
      <w:tr w:rsidR="00F02481" w:rsidRPr="00BE78CA" w14:paraId="3D913952" w14:textId="77777777" w:rsidTr="00750C83">
        <w:tc>
          <w:tcPr>
            <w:tcW w:w="1119" w:type="dxa"/>
            <w:tcBorders>
              <w:left w:val="nil"/>
            </w:tcBorders>
            <w:shd w:val="clear" w:color="auto" w:fill="auto"/>
          </w:tcPr>
          <w:p w14:paraId="02436C2E" w14:textId="77777777" w:rsidR="00F02481" w:rsidRPr="00BE78CA" w:rsidRDefault="00F02481" w:rsidP="000F4164">
            <w:pPr>
              <w:pStyle w:val="TableText"/>
              <w:spacing w:before="40" w:after="50"/>
              <w:rPr>
                <w:rFonts w:cs="Calibri"/>
                <w:szCs w:val="16"/>
              </w:rPr>
            </w:pPr>
            <w:r w:rsidRPr="00BE78CA">
              <w:rPr>
                <w:rFonts w:cs="Calibri"/>
                <w:szCs w:val="16"/>
              </w:rPr>
              <w:t>2017</w:t>
            </w:r>
          </w:p>
        </w:tc>
        <w:tc>
          <w:tcPr>
            <w:tcW w:w="3955" w:type="dxa"/>
          </w:tcPr>
          <w:p w14:paraId="6F99C6B2" w14:textId="77777777" w:rsidR="00F02481" w:rsidRPr="00BE78CA" w:rsidRDefault="00F02481" w:rsidP="000F4164">
            <w:pPr>
              <w:pStyle w:val="TableText"/>
              <w:spacing w:before="40" w:after="50"/>
              <w:jc w:val="center"/>
              <w:rPr>
                <w:rFonts w:cs="Calibri"/>
                <w:szCs w:val="16"/>
              </w:rPr>
            </w:pPr>
            <w:r w:rsidRPr="00BE78CA">
              <w:t>27.8</w:t>
            </w:r>
          </w:p>
        </w:tc>
        <w:tc>
          <w:tcPr>
            <w:tcW w:w="3488" w:type="dxa"/>
            <w:tcBorders>
              <w:right w:val="nil"/>
            </w:tcBorders>
          </w:tcPr>
          <w:p w14:paraId="79689E63" w14:textId="77777777" w:rsidR="00F02481" w:rsidRPr="00BE78CA" w:rsidRDefault="00F02481" w:rsidP="000F4164">
            <w:pPr>
              <w:pStyle w:val="TableText"/>
              <w:spacing w:before="40" w:after="50"/>
              <w:jc w:val="center"/>
              <w:rPr>
                <w:rFonts w:cs="Calibri"/>
                <w:szCs w:val="16"/>
              </w:rPr>
            </w:pPr>
            <w:r w:rsidRPr="00BE78CA">
              <w:t>21.6</w:t>
            </w:r>
          </w:p>
        </w:tc>
      </w:tr>
      <w:tr w:rsidR="00F02481" w:rsidRPr="00BE78CA" w14:paraId="7D6812FB" w14:textId="77777777" w:rsidTr="00750C83">
        <w:tc>
          <w:tcPr>
            <w:tcW w:w="1119" w:type="dxa"/>
            <w:tcBorders>
              <w:left w:val="nil"/>
            </w:tcBorders>
            <w:shd w:val="clear" w:color="auto" w:fill="auto"/>
          </w:tcPr>
          <w:p w14:paraId="0750D449" w14:textId="77777777" w:rsidR="00F02481" w:rsidRPr="00BE78CA" w:rsidRDefault="00F02481" w:rsidP="000F4164">
            <w:pPr>
              <w:pStyle w:val="TableText"/>
              <w:spacing w:before="40" w:after="50"/>
              <w:rPr>
                <w:rFonts w:cs="Calibri"/>
                <w:szCs w:val="16"/>
              </w:rPr>
            </w:pPr>
            <w:r w:rsidRPr="00BE78CA">
              <w:rPr>
                <w:rFonts w:cs="Calibri"/>
                <w:szCs w:val="16"/>
              </w:rPr>
              <w:t>2018</w:t>
            </w:r>
          </w:p>
        </w:tc>
        <w:tc>
          <w:tcPr>
            <w:tcW w:w="3955" w:type="dxa"/>
          </w:tcPr>
          <w:p w14:paraId="42ECB1A9" w14:textId="77777777" w:rsidR="00F02481" w:rsidRPr="00BE78CA" w:rsidRDefault="00F02481" w:rsidP="000F4164">
            <w:pPr>
              <w:pStyle w:val="TableText"/>
              <w:spacing w:before="40" w:after="50"/>
              <w:jc w:val="center"/>
              <w:rPr>
                <w:rFonts w:cs="Calibri"/>
                <w:szCs w:val="16"/>
              </w:rPr>
            </w:pPr>
            <w:r w:rsidRPr="00BE78CA">
              <w:t>29.9</w:t>
            </w:r>
          </w:p>
        </w:tc>
        <w:tc>
          <w:tcPr>
            <w:tcW w:w="3488" w:type="dxa"/>
            <w:tcBorders>
              <w:right w:val="nil"/>
            </w:tcBorders>
          </w:tcPr>
          <w:p w14:paraId="0D6882A1" w14:textId="77777777" w:rsidR="00F02481" w:rsidRPr="00BE78CA" w:rsidRDefault="00F02481" w:rsidP="000F4164">
            <w:pPr>
              <w:pStyle w:val="TableText"/>
              <w:spacing w:before="40" w:after="50"/>
              <w:jc w:val="center"/>
              <w:rPr>
                <w:rFonts w:cs="Calibri"/>
                <w:szCs w:val="16"/>
              </w:rPr>
            </w:pPr>
            <w:r w:rsidRPr="00BE78CA">
              <w:t>24.0</w:t>
            </w:r>
          </w:p>
        </w:tc>
      </w:tr>
      <w:tr w:rsidR="00F02481" w:rsidRPr="00BE78CA" w14:paraId="6CA4DDF6" w14:textId="77777777" w:rsidTr="00750C83">
        <w:tc>
          <w:tcPr>
            <w:tcW w:w="1119" w:type="dxa"/>
            <w:tcBorders>
              <w:left w:val="nil"/>
            </w:tcBorders>
            <w:shd w:val="clear" w:color="auto" w:fill="auto"/>
          </w:tcPr>
          <w:p w14:paraId="1CAD25BD" w14:textId="77777777" w:rsidR="00F02481" w:rsidRPr="00BE78CA" w:rsidRDefault="00F02481" w:rsidP="000F4164">
            <w:pPr>
              <w:pStyle w:val="TableText"/>
              <w:spacing w:before="40" w:after="50"/>
              <w:rPr>
                <w:rFonts w:cs="Calibri"/>
                <w:szCs w:val="16"/>
              </w:rPr>
            </w:pPr>
            <w:r w:rsidRPr="00BE78CA">
              <w:rPr>
                <w:rFonts w:cs="Calibri"/>
                <w:szCs w:val="16"/>
              </w:rPr>
              <w:t>2019</w:t>
            </w:r>
          </w:p>
        </w:tc>
        <w:tc>
          <w:tcPr>
            <w:tcW w:w="3955" w:type="dxa"/>
          </w:tcPr>
          <w:p w14:paraId="398D958F" w14:textId="77777777" w:rsidR="00F02481" w:rsidRPr="00BE78CA" w:rsidRDefault="00F02481" w:rsidP="000F4164">
            <w:pPr>
              <w:pStyle w:val="TableText"/>
              <w:spacing w:before="40" w:after="50"/>
              <w:jc w:val="center"/>
              <w:rPr>
                <w:rFonts w:cs="Calibri"/>
                <w:szCs w:val="16"/>
              </w:rPr>
            </w:pPr>
            <w:r w:rsidRPr="00BE78CA">
              <w:t>35.5</w:t>
            </w:r>
          </w:p>
        </w:tc>
        <w:tc>
          <w:tcPr>
            <w:tcW w:w="3488" w:type="dxa"/>
            <w:tcBorders>
              <w:right w:val="nil"/>
            </w:tcBorders>
          </w:tcPr>
          <w:p w14:paraId="07AF56E2" w14:textId="77777777" w:rsidR="00F02481" w:rsidRPr="00BE78CA" w:rsidRDefault="00F02481" w:rsidP="000F4164">
            <w:pPr>
              <w:pStyle w:val="TableText"/>
              <w:spacing w:before="40" w:after="50"/>
              <w:jc w:val="center"/>
              <w:rPr>
                <w:rFonts w:cs="Calibri"/>
                <w:szCs w:val="16"/>
              </w:rPr>
            </w:pPr>
            <w:r w:rsidRPr="00BE78CA">
              <w:t>26.8</w:t>
            </w:r>
          </w:p>
        </w:tc>
      </w:tr>
    </w:tbl>
    <w:p w14:paraId="0BE4199C" w14:textId="77777777" w:rsidR="00F02481" w:rsidRPr="00BE78CA" w:rsidRDefault="00F02481" w:rsidP="00C26084">
      <w:pPr>
        <w:pStyle w:val="Source"/>
        <w:rPr>
          <w:rFonts w:cs="Calibri"/>
        </w:rPr>
      </w:pPr>
      <w:r w:rsidRPr="00BE78CA">
        <w:rPr>
          <w:rFonts w:cs="Calibri"/>
          <w:b/>
          <w:bCs/>
        </w:rPr>
        <w:t>Source:</w:t>
      </w:r>
      <w:r w:rsidRPr="00BE78CA">
        <w:rPr>
          <w:rFonts w:cs="Calibri"/>
        </w:rPr>
        <w:t xml:space="preserve"> Fertiliser Association of New Zealand and Ballance Agri-Nutrients Limited</w:t>
      </w:r>
    </w:p>
    <w:p w14:paraId="48B7373C" w14:textId="77777777" w:rsidR="00F02481" w:rsidRPr="00BE78CA" w:rsidRDefault="00F02481" w:rsidP="00C26084">
      <w:pPr>
        <w:pStyle w:val="Heading5"/>
      </w:pPr>
      <w:r w:rsidRPr="00BE78CA">
        <w:t xml:space="preserve">Nitrification inhibitor dicyandiamide </w:t>
      </w:r>
    </w:p>
    <w:p w14:paraId="37CED02A" w14:textId="77777777" w:rsidR="00F02481" w:rsidRPr="00BE78CA" w:rsidRDefault="00F02481" w:rsidP="000F4164">
      <w:pPr>
        <w:pStyle w:val="BodyText"/>
        <w:keepLines/>
        <w:spacing w:before="100"/>
        <w:rPr>
          <w:rFonts w:cs="Calibri"/>
        </w:rPr>
      </w:pPr>
      <w:r w:rsidRPr="00BE78CA">
        <w:rPr>
          <w:rFonts w:cs="Calibri"/>
        </w:rPr>
        <w:t xml:space="preserve">A methodology has been developed to incorporate the nitrification inhibitor DCD, an </w:t>
      </w:r>
      <w:r w:rsidRPr="00BE78CA">
        <w:rPr>
          <w:rFonts w:cs="Calibri"/>
          <w:spacing w:val="-2"/>
        </w:rPr>
        <w:t>N</w:t>
      </w:r>
      <w:r w:rsidRPr="00BE78CA">
        <w:rPr>
          <w:rFonts w:cs="Calibri"/>
          <w:spacing w:val="-2"/>
          <w:vertAlign w:val="subscript"/>
        </w:rPr>
        <w:t>2</w:t>
      </w:r>
      <w:r w:rsidRPr="00BE78CA">
        <w:rPr>
          <w:rFonts w:cs="Calibri"/>
          <w:spacing w:val="-2"/>
        </w:rPr>
        <w:t>O</w:t>
      </w:r>
      <w:r w:rsidRPr="00BE78CA">
        <w:rPr>
          <w:rFonts w:cs="Calibri"/>
        </w:rPr>
        <w:t xml:space="preserve"> mitigation technology, into the inventory. The </w:t>
      </w:r>
      <w:r w:rsidRPr="00BE78CA">
        <w:rPr>
          <w:rFonts w:cs="Calibri"/>
          <w:spacing w:val="-2"/>
        </w:rPr>
        <w:t>N</w:t>
      </w:r>
      <w:r w:rsidRPr="00BE78CA">
        <w:rPr>
          <w:rFonts w:cs="Calibri"/>
          <w:spacing w:val="-2"/>
          <w:vertAlign w:val="subscript"/>
        </w:rPr>
        <w:t>2</w:t>
      </w:r>
      <w:r w:rsidRPr="00BE78CA">
        <w:rPr>
          <w:rFonts w:cs="Calibri"/>
          <w:spacing w:val="-2"/>
        </w:rPr>
        <w:t>O</w:t>
      </w:r>
      <w:r w:rsidRPr="00BE78CA">
        <w:rPr>
          <w:rFonts w:cs="Calibri"/>
        </w:rPr>
        <w:t xml:space="preserve"> emissions reported in the </w:t>
      </w:r>
      <w:r w:rsidRPr="00BE78CA">
        <w:rPr>
          <w:rFonts w:cs="Calibri"/>
          <w:i/>
          <w:iCs/>
        </w:rPr>
        <w:t>Agricultural soils</w:t>
      </w:r>
      <w:r w:rsidRPr="00BE78CA">
        <w:rPr>
          <w:rFonts w:cs="Calibri"/>
        </w:rPr>
        <w:t> category take into account the use of nitrification inhibitors on dairy farms using the methodology described in Clough et al. (2008). Greenhouse gas mitigation estimates from DCD are reported in the inventory only up until 2012, because it was no longer used after this time. Sales were suspended due to the detection of low levels of DCD residues in milk.</w:t>
      </w:r>
    </w:p>
    <w:p w14:paraId="1414AD28" w14:textId="77777777" w:rsidR="00F02481" w:rsidRPr="00BE78CA" w:rsidRDefault="00F02481" w:rsidP="000F4164">
      <w:pPr>
        <w:pStyle w:val="BodyText"/>
        <w:spacing w:before="100"/>
        <w:rPr>
          <w:rFonts w:cs="Calibri"/>
        </w:rPr>
      </w:pPr>
      <w:r w:rsidRPr="00BE78CA">
        <w:rPr>
          <w:rFonts w:cs="Calibri"/>
        </w:rPr>
        <w:t xml:space="preserve">Research has shown that DCD reduces </w:t>
      </w:r>
      <w:r w:rsidRPr="00BE78CA">
        <w:rPr>
          <w:rFonts w:cs="Calibri"/>
          <w:spacing w:val="-2"/>
        </w:rPr>
        <w:t>N</w:t>
      </w:r>
      <w:r w:rsidRPr="00BE78CA">
        <w:rPr>
          <w:rFonts w:cs="Calibri"/>
          <w:spacing w:val="-2"/>
          <w:vertAlign w:val="subscript"/>
        </w:rPr>
        <w:t>2</w:t>
      </w:r>
      <w:r w:rsidRPr="00BE78CA">
        <w:rPr>
          <w:rFonts w:cs="Calibri"/>
          <w:spacing w:val="-2"/>
        </w:rPr>
        <w:t>O</w:t>
      </w:r>
      <w:r w:rsidRPr="00BE78CA">
        <w:rPr>
          <w:rFonts w:cs="Calibri"/>
        </w:rPr>
        <w:t xml:space="preserve"> emissions and nitrate (NO</w:t>
      </w:r>
      <w:r w:rsidRPr="00BE78CA">
        <w:rPr>
          <w:rFonts w:cs="Calibri"/>
          <w:vertAlign w:val="subscript"/>
        </w:rPr>
        <w:t>3</w:t>
      </w:r>
      <w:r w:rsidRPr="00BE78CA">
        <w:rPr>
          <w:rFonts w:cs="Calibri"/>
        </w:rPr>
        <w:t>–) leaching in pastoral grassland systems grazed by ruminant animals. The inventory methodology incorporates DCD use by modifying the emission factors EF</w:t>
      </w:r>
      <w:r w:rsidRPr="00BE78CA">
        <w:rPr>
          <w:rFonts w:cs="Calibri"/>
          <w:vertAlign w:val="subscript"/>
        </w:rPr>
        <w:t>3(PRP)</w:t>
      </w:r>
      <w:r w:rsidRPr="00BE78CA">
        <w:rPr>
          <w:rFonts w:cs="Calibri"/>
        </w:rPr>
        <w:t xml:space="preserve"> and the parameter Frac</w:t>
      </w:r>
      <w:r w:rsidRPr="00BE78CA">
        <w:rPr>
          <w:rFonts w:cs="Calibri"/>
          <w:vertAlign w:val="subscript"/>
        </w:rPr>
        <w:t>LEACH</w:t>
      </w:r>
      <w:r w:rsidRPr="00BE78CA">
        <w:rPr>
          <w:rFonts w:cs="Calibri"/>
        </w:rPr>
        <w:t xml:space="preserve"> (see table 5.5.5). These were modified based on comprehensive field-based research that showed significant </w:t>
      </w:r>
      <w:r w:rsidRPr="00BE78CA">
        <w:rPr>
          <w:rFonts w:cs="Calibri"/>
        </w:rPr>
        <w:lastRenderedPageBreak/>
        <w:t xml:space="preserve">reductions in direct and indirect </w:t>
      </w:r>
      <w:r w:rsidRPr="00BE78CA">
        <w:rPr>
          <w:rFonts w:cs="Calibri"/>
          <w:spacing w:val="-2"/>
        </w:rPr>
        <w:t>N</w:t>
      </w:r>
      <w:r w:rsidRPr="00BE78CA">
        <w:rPr>
          <w:rFonts w:cs="Calibri"/>
          <w:spacing w:val="-2"/>
          <w:vertAlign w:val="subscript"/>
        </w:rPr>
        <w:t>2</w:t>
      </w:r>
      <w:r w:rsidRPr="00BE78CA">
        <w:rPr>
          <w:rFonts w:cs="Calibri"/>
          <w:spacing w:val="-2"/>
        </w:rPr>
        <w:t>O</w:t>
      </w:r>
      <w:r w:rsidRPr="00BE78CA">
        <w:rPr>
          <w:rFonts w:cs="Calibri"/>
        </w:rPr>
        <w:t xml:space="preserve"> emissions and NO</w:t>
      </w:r>
      <w:r w:rsidRPr="00BE78CA">
        <w:rPr>
          <w:rFonts w:cs="Calibri"/>
          <w:vertAlign w:val="subscript"/>
        </w:rPr>
        <w:t>3</w:t>
      </w:r>
      <w:r w:rsidRPr="00BE78CA">
        <w:rPr>
          <w:rFonts w:cs="Calibri"/>
        </w:rPr>
        <w:t>– leaching where the DCD was applied. It was determined that, on a national basis, reductions in EF</w:t>
      </w:r>
      <w:r w:rsidRPr="00BE78CA">
        <w:rPr>
          <w:rFonts w:cs="Calibri"/>
          <w:vertAlign w:val="subscript"/>
        </w:rPr>
        <w:t>3(PRP)</w:t>
      </w:r>
      <w:r w:rsidRPr="00BE78CA">
        <w:rPr>
          <w:rFonts w:cs="Calibri"/>
        </w:rPr>
        <w:t xml:space="preserve"> and Frac</w:t>
      </w:r>
      <w:r w:rsidRPr="00BE78CA">
        <w:rPr>
          <w:rFonts w:cs="Calibri"/>
          <w:vertAlign w:val="subscript"/>
        </w:rPr>
        <w:t>LEACH</w:t>
      </w:r>
      <w:r w:rsidRPr="00BE78CA">
        <w:rPr>
          <w:rFonts w:cs="Calibri"/>
        </w:rPr>
        <w:t xml:space="preserve"> of 67 per cent and 53 per cent respectively could be made (Clough et al., 2008). </w:t>
      </w:r>
    </w:p>
    <w:p w14:paraId="78439F76" w14:textId="77777777" w:rsidR="00F02481" w:rsidRPr="00BE78CA" w:rsidRDefault="00F02481" w:rsidP="000F4164">
      <w:pPr>
        <w:pStyle w:val="BodyText"/>
        <w:spacing w:before="100"/>
        <w:rPr>
          <w:rFonts w:cs="Calibri"/>
        </w:rPr>
      </w:pPr>
      <w:r w:rsidRPr="00BE78CA">
        <w:rPr>
          <w:rFonts w:cs="Calibri"/>
        </w:rPr>
        <w:t>There has been some research into the effect of DCD on dung (EF</w:t>
      </w:r>
      <w:r w:rsidRPr="00BE78CA">
        <w:rPr>
          <w:rFonts w:cs="Calibri"/>
          <w:vertAlign w:val="subscript"/>
        </w:rPr>
        <w:t>3(PRP-DUNG)</w:t>
      </w:r>
      <w:r w:rsidRPr="00BE78CA">
        <w:rPr>
          <w:rFonts w:cs="Calibri"/>
        </w:rPr>
        <w:t>); however, this research was non-conclusive and further work needs to be carried out before incorporating this research into the inventory. Application of this inhibitor was found to have no effect on NH</w:t>
      </w:r>
      <w:r w:rsidRPr="00BE78CA">
        <w:rPr>
          <w:rFonts w:cs="Calibri"/>
          <w:vertAlign w:val="subscript"/>
        </w:rPr>
        <w:t>3</w:t>
      </w:r>
      <w:r w:rsidRPr="00BE78CA">
        <w:rPr>
          <w:rFonts w:cs="Calibri"/>
        </w:rPr>
        <w:t xml:space="preserve"> volatilisation, which is supported by the results of field studies (Clough et al., 2008; Sherlock et al., 2008). Therefore, the parameter for volatilisation remains unchanged.</w:t>
      </w:r>
    </w:p>
    <w:p w14:paraId="55495A17" w14:textId="77777777" w:rsidR="00F02481" w:rsidRPr="00BE78CA" w:rsidRDefault="00F02481" w:rsidP="00C26084">
      <w:pPr>
        <w:pStyle w:val="BodyText"/>
        <w:rPr>
          <w:rFonts w:cs="Calibri"/>
        </w:rPr>
      </w:pPr>
      <w:r w:rsidRPr="00BE78CA">
        <w:rPr>
          <w:rFonts w:cs="Calibri"/>
        </w:rPr>
        <w:t>The DCD weighting factors are calculated based on reductions in emission factors and parameters, and the fraction of dairy land treated with the inhibitor, as follows:</w:t>
      </w:r>
    </w:p>
    <w:p w14:paraId="7A1217AB" w14:textId="77777777" w:rsidR="00F02481" w:rsidRPr="00BE78CA" w:rsidRDefault="00F02481" w:rsidP="00C26084">
      <w:pPr>
        <w:pStyle w:val="BodyText"/>
      </w:pPr>
      <w:r w:rsidRPr="00BE78CA">
        <w:object w:dxaOrig="7391" w:dyaOrig="503" w14:anchorId="776B7B81">
          <v:shape id="_x0000_i1070" type="#_x0000_t75" style="width:374.25pt;height:28.55pt" o:ole="">
            <v:imagedata r:id="rId174" o:title="" cropright="4398f"/>
          </v:shape>
          <o:OLEObject Type="Embed" ProgID="Word.Document.12" ShapeID="_x0000_i1070" DrawAspect="Content" ObjectID="_1679402787" r:id="rId175">
            <o:FieldCodes>\s</o:FieldCodes>
          </o:OLEObject>
        </w:object>
      </w:r>
    </w:p>
    <w:p w14:paraId="2322E9DE" w14:textId="0439CE0D" w:rsidR="00F02481" w:rsidRPr="00BE78CA" w:rsidRDefault="00F02481" w:rsidP="00C26084">
      <w:pPr>
        <w:pStyle w:val="BodyText"/>
        <w:rPr>
          <w:rFonts w:cs="Calibri"/>
          <w:spacing w:val="-2"/>
        </w:rPr>
      </w:pPr>
      <w:r w:rsidRPr="00BE78CA">
        <w:rPr>
          <w:rFonts w:cs="Calibri"/>
          <w:spacing w:val="-2"/>
        </w:rPr>
        <w:t>The appropriate weighting factor is then used as an additional multiplier in the current methodology for calculating indirect and direct emissions of N</w:t>
      </w:r>
      <w:r w:rsidRPr="00BE78CA">
        <w:rPr>
          <w:rFonts w:cs="Calibri"/>
          <w:spacing w:val="-2"/>
          <w:vertAlign w:val="subscript"/>
        </w:rPr>
        <w:t>2</w:t>
      </w:r>
      <w:r w:rsidRPr="00BE78CA">
        <w:rPr>
          <w:rFonts w:cs="Calibri"/>
          <w:spacing w:val="-2"/>
        </w:rPr>
        <w:t>O from grazed pastures. The calculations use a modified EF</w:t>
      </w:r>
      <w:r w:rsidRPr="00BE78CA">
        <w:rPr>
          <w:rFonts w:cs="Calibri"/>
          <w:spacing w:val="-2"/>
          <w:vertAlign w:val="subscript"/>
        </w:rPr>
        <w:t xml:space="preserve">3(PRP) </w:t>
      </w:r>
      <w:r w:rsidRPr="00BE78CA">
        <w:rPr>
          <w:rFonts w:cs="Calibri"/>
          <w:spacing w:val="-2"/>
        </w:rPr>
        <w:t>of 0.0097 and Frac</w:t>
      </w:r>
      <w:r w:rsidRPr="00BE78CA">
        <w:rPr>
          <w:rFonts w:cs="Calibri"/>
          <w:spacing w:val="-2"/>
          <w:vertAlign w:val="subscript"/>
        </w:rPr>
        <w:t xml:space="preserve">LEACH </w:t>
      </w:r>
      <w:r w:rsidRPr="00BE78CA">
        <w:rPr>
          <w:rFonts w:cs="Calibri"/>
          <w:spacing w:val="-2"/>
        </w:rPr>
        <w:t>of 0.0696 for the dairy grazing area in the months that the inhibitor is applied (May to September). The modified emission factors (see table 5.5.10) are based on information from the Stats NZ Agricultural Production survey that</w:t>
      </w:r>
      <w:r w:rsidR="001E0748" w:rsidRPr="00BE78CA">
        <w:rPr>
          <w:rFonts w:cs="Calibri"/>
          <w:spacing w:val="-2"/>
        </w:rPr>
        <w:t> </w:t>
      </w:r>
      <w:r w:rsidRPr="00BE78CA">
        <w:rPr>
          <w:rFonts w:cs="Calibri"/>
          <w:spacing w:val="-2"/>
        </w:rPr>
        <w:t>2.9 per cent of the effective dairying area in New Zealand received DCD in 2012.</w:t>
      </w:r>
    </w:p>
    <w:p w14:paraId="0D72AF1C" w14:textId="36B0EBF6" w:rsidR="00F02481" w:rsidRPr="00BE78CA" w:rsidRDefault="00F02481" w:rsidP="00C26084">
      <w:pPr>
        <w:pStyle w:val="BodyText"/>
        <w:rPr>
          <w:rFonts w:cs="Calibri"/>
          <w:spacing w:val="-2"/>
        </w:rPr>
      </w:pPr>
      <w:r w:rsidRPr="00BE78CA">
        <w:rPr>
          <w:rFonts w:cs="Calibri"/>
          <w:spacing w:val="-2"/>
        </w:rPr>
        <w:t>Activity data on livestock numbers come from the Stats NZ Agricultural Production survey. The inhibitor is applied to pastures based on good management practice to maximise N</w:t>
      </w:r>
      <w:r w:rsidRPr="00BE78CA">
        <w:rPr>
          <w:rFonts w:cs="Calibri"/>
          <w:spacing w:val="-2"/>
          <w:vertAlign w:val="subscript"/>
        </w:rPr>
        <w:t>2</w:t>
      </w:r>
      <w:r w:rsidRPr="00BE78CA">
        <w:rPr>
          <w:rFonts w:cs="Calibri"/>
          <w:spacing w:val="-2"/>
        </w:rPr>
        <w:t>O</w:t>
      </w:r>
      <w:r w:rsidR="001E0748" w:rsidRPr="00BE78CA">
        <w:rPr>
          <w:rFonts w:cs="Calibri"/>
          <w:spacing w:val="-2"/>
        </w:rPr>
        <w:t xml:space="preserve"> </w:t>
      </w:r>
      <w:r w:rsidRPr="00BE78CA">
        <w:rPr>
          <w:rFonts w:cs="Calibri"/>
          <w:spacing w:val="-2"/>
        </w:rPr>
        <w:t>emission reductions. This is an application rate of 10 kilograms per hectare, applied twice per</w:t>
      </w:r>
      <w:r w:rsidR="00EF68A6" w:rsidRPr="00BE78CA">
        <w:rPr>
          <w:rFonts w:cs="Calibri"/>
          <w:spacing w:val="-2"/>
        </w:rPr>
        <w:t> </w:t>
      </w:r>
      <w:r w:rsidRPr="00BE78CA">
        <w:rPr>
          <w:rFonts w:cs="Calibri"/>
          <w:spacing w:val="-2"/>
        </w:rPr>
        <w:t>year in autumn (March to May) and early spring (September) within seven days of the application of animal</w:t>
      </w:r>
      <w:r w:rsidRPr="00BE78CA">
        <w:rPr>
          <w:rFonts w:cs="Calibri"/>
        </w:rPr>
        <w:t xml:space="preserve"> </w:t>
      </w:r>
      <w:r w:rsidRPr="00BE78CA">
        <w:rPr>
          <w:rFonts w:cs="Calibri"/>
          <w:spacing w:val="-2"/>
        </w:rPr>
        <w:t>excreta. ‘Good practice’ application methods of DCD can be by slurry or</w:t>
      </w:r>
      <w:r w:rsidR="00EF68A6" w:rsidRPr="00BE78CA">
        <w:rPr>
          <w:rFonts w:cs="Calibri"/>
          <w:spacing w:val="-2"/>
        </w:rPr>
        <w:t> </w:t>
      </w:r>
      <w:r w:rsidRPr="00BE78CA">
        <w:rPr>
          <w:rFonts w:cs="Calibri"/>
          <w:spacing w:val="-2"/>
        </w:rPr>
        <w:t>DCD-coated granule.</w:t>
      </w:r>
    </w:p>
    <w:p w14:paraId="03B48743" w14:textId="77777777" w:rsidR="00F02481" w:rsidRPr="00BE78CA" w:rsidRDefault="00F02481" w:rsidP="00C26084">
      <w:pPr>
        <w:pStyle w:val="BodyText"/>
        <w:rPr>
          <w:rFonts w:cs="Calibri"/>
        </w:rPr>
      </w:pPr>
      <w:r w:rsidRPr="00BE78CA">
        <w:rPr>
          <w:rFonts w:cs="Calibri"/>
        </w:rPr>
        <w:t xml:space="preserve">Mitigation estimates for the calendar years 2007 to 2012 are shown in table 5.5.10. </w:t>
      </w:r>
    </w:p>
    <w:p w14:paraId="3FB5D0C2" w14:textId="77777777" w:rsidR="00F02481" w:rsidRPr="00BE78CA" w:rsidRDefault="00F02481" w:rsidP="00C26084">
      <w:pPr>
        <w:pStyle w:val="Table"/>
        <w:rPr>
          <w:rFonts w:cs="Calibri"/>
        </w:rPr>
      </w:pPr>
      <w:bookmarkStart w:id="921" w:name="_Toc441830885"/>
      <w:bookmarkStart w:id="922" w:name="_Toc451176099"/>
      <w:bookmarkStart w:id="923" w:name="_Toc481751527"/>
      <w:bookmarkStart w:id="924" w:name="_Toc507158615"/>
      <w:bookmarkStart w:id="925" w:name="_Toc511116749"/>
      <w:bookmarkStart w:id="926" w:name="_Toc5269491"/>
      <w:bookmarkStart w:id="927" w:name="_Toc32570936"/>
      <w:bookmarkStart w:id="928" w:name="_Toc36224571"/>
      <w:bookmarkStart w:id="929" w:name="_Toc68786456"/>
      <w:r w:rsidRPr="00BE78CA">
        <w:rPr>
          <w:rFonts w:cs="Calibri"/>
        </w:rPr>
        <w:t>Table 5.5.10</w:t>
      </w:r>
      <w:r w:rsidRPr="00BE78CA">
        <w:rPr>
          <w:rFonts w:cs="Calibri"/>
        </w:rPr>
        <w:tab/>
        <w:t>Emission factors, parameters and mitigation for New Zealand’s DCD inhibitor calculations</w:t>
      </w:r>
      <w:bookmarkEnd w:id="921"/>
      <w:r w:rsidRPr="00BE78CA">
        <w:rPr>
          <w:rFonts w:cs="Calibri"/>
        </w:rPr>
        <w:br/>
        <w:t>from 2007 to 2012</w:t>
      </w:r>
      <w:bookmarkEnd w:id="922"/>
      <w:bookmarkEnd w:id="923"/>
      <w:bookmarkEnd w:id="924"/>
      <w:bookmarkEnd w:id="925"/>
      <w:bookmarkEnd w:id="926"/>
      <w:bookmarkEnd w:id="927"/>
      <w:bookmarkEnd w:id="928"/>
      <w:bookmarkEnd w:id="929"/>
    </w:p>
    <w:tbl>
      <w:tblPr>
        <w:tblW w:w="8505" w:type="dxa"/>
        <w:tblBorders>
          <w:top w:val="single" w:sz="4" w:space="0" w:color="365F91"/>
          <w:bottom w:val="single" w:sz="4" w:space="0" w:color="365F91"/>
          <w:insideH w:val="single" w:sz="4" w:space="0" w:color="365F91"/>
        </w:tblBorders>
        <w:tblLayout w:type="fixed"/>
        <w:tblCellMar>
          <w:left w:w="85" w:type="dxa"/>
          <w:right w:w="85" w:type="dxa"/>
        </w:tblCellMar>
        <w:tblLook w:val="00A0" w:firstRow="1" w:lastRow="0" w:firstColumn="1" w:lastColumn="0" w:noHBand="0" w:noVBand="0"/>
      </w:tblPr>
      <w:tblGrid>
        <w:gridCol w:w="3635"/>
        <w:gridCol w:w="728"/>
        <w:gridCol w:w="845"/>
        <w:gridCol w:w="846"/>
        <w:gridCol w:w="845"/>
        <w:gridCol w:w="846"/>
        <w:gridCol w:w="760"/>
      </w:tblGrid>
      <w:tr w:rsidR="00BC0477" w:rsidRPr="00BE78CA" w14:paraId="16EE8E97" w14:textId="77777777" w:rsidTr="004F28EB">
        <w:trPr>
          <w:tblHeader/>
        </w:trPr>
        <w:tc>
          <w:tcPr>
            <w:tcW w:w="3635" w:type="dxa"/>
            <w:shd w:val="clear" w:color="auto" w:fill="365F91"/>
          </w:tcPr>
          <w:p w14:paraId="3D167DE4" w14:textId="77777777" w:rsidR="00F02481" w:rsidRPr="00BE78CA" w:rsidRDefault="00F02481" w:rsidP="000F4164">
            <w:pPr>
              <w:pStyle w:val="TableTextBold"/>
              <w:keepNext/>
              <w:spacing w:before="50" w:after="50"/>
              <w:jc w:val="center"/>
              <w:rPr>
                <w:noProof w:val="0"/>
                <w:color w:val="FFFFFF" w:themeColor="background1"/>
              </w:rPr>
            </w:pPr>
          </w:p>
        </w:tc>
        <w:tc>
          <w:tcPr>
            <w:tcW w:w="728" w:type="dxa"/>
            <w:shd w:val="clear" w:color="auto" w:fill="365F91"/>
          </w:tcPr>
          <w:p w14:paraId="22E85E62" w14:textId="77777777" w:rsidR="00F02481" w:rsidRPr="00BE78CA" w:rsidRDefault="00F02481" w:rsidP="000F4164">
            <w:pPr>
              <w:pStyle w:val="TableTextBold"/>
              <w:spacing w:before="50" w:after="50"/>
              <w:jc w:val="right"/>
              <w:rPr>
                <w:i/>
                <w:iCs/>
                <w:noProof w:val="0"/>
                <w:color w:val="FFFFFF" w:themeColor="background1"/>
              </w:rPr>
            </w:pPr>
            <w:r w:rsidRPr="00BE78CA">
              <w:rPr>
                <w:noProof w:val="0"/>
                <w:color w:val="FFFFFF" w:themeColor="background1"/>
              </w:rPr>
              <w:t>2007</w:t>
            </w:r>
          </w:p>
        </w:tc>
        <w:tc>
          <w:tcPr>
            <w:tcW w:w="845" w:type="dxa"/>
            <w:shd w:val="clear" w:color="auto" w:fill="365F91"/>
          </w:tcPr>
          <w:p w14:paraId="4779A52D" w14:textId="77777777" w:rsidR="00F02481" w:rsidRPr="00BE78CA" w:rsidRDefault="00F02481" w:rsidP="000F4164">
            <w:pPr>
              <w:pStyle w:val="TableTextBold"/>
              <w:spacing w:before="50" w:after="50"/>
              <w:jc w:val="right"/>
              <w:rPr>
                <w:i/>
                <w:iCs/>
                <w:noProof w:val="0"/>
                <w:color w:val="FFFFFF" w:themeColor="background1"/>
              </w:rPr>
            </w:pPr>
            <w:r w:rsidRPr="00BE78CA">
              <w:rPr>
                <w:noProof w:val="0"/>
                <w:color w:val="FFFFFF" w:themeColor="background1"/>
              </w:rPr>
              <w:t>2008</w:t>
            </w:r>
          </w:p>
        </w:tc>
        <w:tc>
          <w:tcPr>
            <w:tcW w:w="846" w:type="dxa"/>
            <w:shd w:val="clear" w:color="auto" w:fill="365F91"/>
          </w:tcPr>
          <w:p w14:paraId="20C28571" w14:textId="77777777" w:rsidR="00F02481" w:rsidRPr="00BE78CA" w:rsidRDefault="00F02481" w:rsidP="000F4164">
            <w:pPr>
              <w:pStyle w:val="TableTextBold"/>
              <w:spacing w:before="50" w:after="50"/>
              <w:jc w:val="right"/>
              <w:rPr>
                <w:i/>
                <w:iCs/>
                <w:noProof w:val="0"/>
                <w:color w:val="FFFFFF" w:themeColor="background1"/>
              </w:rPr>
            </w:pPr>
            <w:r w:rsidRPr="00BE78CA">
              <w:rPr>
                <w:noProof w:val="0"/>
                <w:color w:val="FFFFFF" w:themeColor="background1"/>
              </w:rPr>
              <w:t>2009</w:t>
            </w:r>
          </w:p>
        </w:tc>
        <w:tc>
          <w:tcPr>
            <w:tcW w:w="845" w:type="dxa"/>
            <w:shd w:val="clear" w:color="auto" w:fill="365F91"/>
          </w:tcPr>
          <w:p w14:paraId="61860E93" w14:textId="77777777" w:rsidR="00F02481" w:rsidRPr="00BE78CA" w:rsidRDefault="00F02481" w:rsidP="000F4164">
            <w:pPr>
              <w:pStyle w:val="TableTextBold"/>
              <w:spacing w:before="50" w:after="50"/>
              <w:jc w:val="right"/>
              <w:rPr>
                <w:i/>
                <w:iCs/>
                <w:noProof w:val="0"/>
                <w:color w:val="FFFFFF" w:themeColor="background1"/>
              </w:rPr>
            </w:pPr>
            <w:r w:rsidRPr="00BE78CA">
              <w:rPr>
                <w:noProof w:val="0"/>
                <w:color w:val="FFFFFF" w:themeColor="background1"/>
              </w:rPr>
              <w:t>2010</w:t>
            </w:r>
          </w:p>
        </w:tc>
        <w:tc>
          <w:tcPr>
            <w:tcW w:w="846" w:type="dxa"/>
            <w:shd w:val="clear" w:color="auto" w:fill="365F91"/>
          </w:tcPr>
          <w:p w14:paraId="6EEA0507" w14:textId="77777777" w:rsidR="00F02481" w:rsidRPr="00BE78CA" w:rsidRDefault="00F02481" w:rsidP="000F4164">
            <w:pPr>
              <w:pStyle w:val="TableTextBold"/>
              <w:spacing w:before="50" w:after="50"/>
              <w:jc w:val="right"/>
              <w:rPr>
                <w:i/>
                <w:iCs/>
                <w:noProof w:val="0"/>
                <w:color w:val="FFFFFF" w:themeColor="background1"/>
              </w:rPr>
            </w:pPr>
            <w:r w:rsidRPr="00BE78CA">
              <w:rPr>
                <w:noProof w:val="0"/>
                <w:color w:val="FFFFFF" w:themeColor="background1"/>
              </w:rPr>
              <w:t>2011</w:t>
            </w:r>
          </w:p>
        </w:tc>
        <w:tc>
          <w:tcPr>
            <w:tcW w:w="760" w:type="dxa"/>
            <w:shd w:val="clear" w:color="auto" w:fill="365F91"/>
          </w:tcPr>
          <w:p w14:paraId="22CFBF67" w14:textId="77777777" w:rsidR="00F02481" w:rsidRPr="00BE78CA" w:rsidRDefault="00F02481" w:rsidP="000F4164">
            <w:pPr>
              <w:pStyle w:val="TableTextBold"/>
              <w:spacing w:before="50" w:after="50"/>
              <w:jc w:val="right"/>
              <w:rPr>
                <w:i/>
                <w:iCs/>
                <w:noProof w:val="0"/>
                <w:color w:val="FFFFFF" w:themeColor="background1"/>
              </w:rPr>
            </w:pPr>
            <w:r w:rsidRPr="00BE78CA">
              <w:rPr>
                <w:noProof w:val="0"/>
                <w:color w:val="FFFFFF" w:themeColor="background1"/>
              </w:rPr>
              <w:t>2012</w:t>
            </w:r>
          </w:p>
        </w:tc>
      </w:tr>
      <w:tr w:rsidR="00F02481" w:rsidRPr="00BE78CA" w14:paraId="494825C6" w14:textId="77777777" w:rsidTr="004F28EB">
        <w:tc>
          <w:tcPr>
            <w:tcW w:w="3635" w:type="dxa"/>
            <w:shd w:val="clear" w:color="auto" w:fill="auto"/>
          </w:tcPr>
          <w:p w14:paraId="58E0E4DC" w14:textId="77777777" w:rsidR="00F02481" w:rsidRPr="00BE78CA" w:rsidRDefault="00F02481" w:rsidP="000F4164">
            <w:pPr>
              <w:pStyle w:val="TableText"/>
              <w:keepNext/>
              <w:spacing w:before="50" w:after="50"/>
              <w:rPr>
                <w:rFonts w:cs="Calibri"/>
              </w:rPr>
            </w:pPr>
            <w:r w:rsidRPr="00BE78CA">
              <w:rPr>
                <w:rFonts w:cs="Calibri"/>
              </w:rPr>
              <w:t>Percentage of dairy area applied with inhibitor</w:t>
            </w:r>
          </w:p>
        </w:tc>
        <w:tc>
          <w:tcPr>
            <w:tcW w:w="728" w:type="dxa"/>
          </w:tcPr>
          <w:p w14:paraId="46B8B9FE" w14:textId="77777777" w:rsidR="00F02481" w:rsidRPr="00BE78CA" w:rsidRDefault="00F02481" w:rsidP="000F4164">
            <w:pPr>
              <w:pStyle w:val="TableText"/>
              <w:spacing w:before="50" w:after="50"/>
              <w:jc w:val="right"/>
              <w:rPr>
                <w:rFonts w:cs="Calibri"/>
              </w:rPr>
            </w:pPr>
            <w:r w:rsidRPr="00BE78CA">
              <w:rPr>
                <w:rFonts w:cs="Calibri"/>
              </w:rPr>
              <w:t>3.5</w:t>
            </w:r>
          </w:p>
        </w:tc>
        <w:tc>
          <w:tcPr>
            <w:tcW w:w="845" w:type="dxa"/>
          </w:tcPr>
          <w:p w14:paraId="37C41898" w14:textId="77777777" w:rsidR="00F02481" w:rsidRPr="00BE78CA" w:rsidRDefault="00F02481" w:rsidP="000F4164">
            <w:pPr>
              <w:pStyle w:val="TableText"/>
              <w:spacing w:before="50" w:after="50"/>
              <w:jc w:val="right"/>
              <w:rPr>
                <w:rFonts w:cs="Calibri"/>
              </w:rPr>
            </w:pPr>
            <w:r w:rsidRPr="00BE78CA">
              <w:rPr>
                <w:rFonts w:cs="Calibri"/>
              </w:rPr>
              <w:t>4.5</w:t>
            </w:r>
          </w:p>
        </w:tc>
        <w:tc>
          <w:tcPr>
            <w:tcW w:w="846" w:type="dxa"/>
          </w:tcPr>
          <w:p w14:paraId="78F05875" w14:textId="77777777" w:rsidR="00F02481" w:rsidRPr="00BE78CA" w:rsidRDefault="00F02481" w:rsidP="000F4164">
            <w:pPr>
              <w:pStyle w:val="TableText"/>
              <w:spacing w:before="50" w:after="50"/>
              <w:jc w:val="right"/>
              <w:rPr>
                <w:rFonts w:cs="Calibri"/>
              </w:rPr>
            </w:pPr>
            <w:r w:rsidRPr="00BE78CA">
              <w:rPr>
                <w:rFonts w:cs="Calibri"/>
              </w:rPr>
              <w:t>3.1</w:t>
            </w:r>
          </w:p>
        </w:tc>
        <w:tc>
          <w:tcPr>
            <w:tcW w:w="845" w:type="dxa"/>
          </w:tcPr>
          <w:p w14:paraId="377E6728" w14:textId="77777777" w:rsidR="00F02481" w:rsidRPr="00BE78CA" w:rsidRDefault="00F02481" w:rsidP="000F4164">
            <w:pPr>
              <w:pStyle w:val="TableText"/>
              <w:spacing w:before="50" w:after="50"/>
              <w:jc w:val="right"/>
              <w:rPr>
                <w:rFonts w:cs="Calibri"/>
              </w:rPr>
            </w:pPr>
            <w:r w:rsidRPr="00BE78CA">
              <w:rPr>
                <w:rFonts w:cs="Calibri"/>
              </w:rPr>
              <w:t>2.2</w:t>
            </w:r>
          </w:p>
        </w:tc>
        <w:tc>
          <w:tcPr>
            <w:tcW w:w="846" w:type="dxa"/>
          </w:tcPr>
          <w:p w14:paraId="07483DAE" w14:textId="77777777" w:rsidR="00F02481" w:rsidRPr="00BE78CA" w:rsidRDefault="00F02481" w:rsidP="000F4164">
            <w:pPr>
              <w:pStyle w:val="TableText"/>
              <w:spacing w:before="50" w:after="50"/>
              <w:jc w:val="right"/>
              <w:rPr>
                <w:rFonts w:cs="Calibri"/>
              </w:rPr>
            </w:pPr>
            <w:r w:rsidRPr="00BE78CA">
              <w:rPr>
                <w:rFonts w:cs="Calibri"/>
              </w:rPr>
              <w:t>3.0</w:t>
            </w:r>
          </w:p>
        </w:tc>
        <w:tc>
          <w:tcPr>
            <w:tcW w:w="760" w:type="dxa"/>
          </w:tcPr>
          <w:p w14:paraId="7972EF02" w14:textId="77777777" w:rsidR="00F02481" w:rsidRPr="00BE78CA" w:rsidRDefault="00F02481" w:rsidP="000F4164">
            <w:pPr>
              <w:pStyle w:val="TableText"/>
              <w:spacing w:before="50" w:after="50"/>
              <w:jc w:val="right"/>
              <w:rPr>
                <w:rFonts w:cs="Calibri"/>
              </w:rPr>
            </w:pPr>
            <w:r w:rsidRPr="00BE78CA">
              <w:rPr>
                <w:rFonts w:cs="Calibri"/>
              </w:rPr>
              <w:t>2.9</w:t>
            </w:r>
          </w:p>
        </w:tc>
      </w:tr>
      <w:tr w:rsidR="00F02481" w:rsidRPr="00BE78CA" w14:paraId="02735A56" w14:textId="77777777" w:rsidTr="004F28EB">
        <w:tc>
          <w:tcPr>
            <w:tcW w:w="3635" w:type="dxa"/>
            <w:shd w:val="clear" w:color="auto" w:fill="auto"/>
          </w:tcPr>
          <w:p w14:paraId="6FDDF51E" w14:textId="77777777" w:rsidR="00F02481" w:rsidRPr="00BE78CA" w:rsidRDefault="00F02481" w:rsidP="000F4164">
            <w:pPr>
              <w:pStyle w:val="TableText"/>
              <w:keepNext/>
              <w:spacing w:before="50" w:after="50"/>
              <w:rPr>
                <w:rFonts w:cs="Calibri"/>
              </w:rPr>
            </w:pPr>
            <w:r w:rsidRPr="00BE78CA">
              <w:rPr>
                <w:rFonts w:cs="Calibri"/>
              </w:rPr>
              <w:t>Final modified emissions factor or parameter for dairy cattle, EF</w:t>
            </w:r>
            <w:r w:rsidRPr="00BE78CA">
              <w:rPr>
                <w:rFonts w:cs="Calibri"/>
                <w:vertAlign w:val="subscript"/>
              </w:rPr>
              <w:t>3(PRP)</w:t>
            </w:r>
            <w:r w:rsidRPr="00BE78CA">
              <w:rPr>
                <w:rFonts w:cs="Calibri"/>
              </w:rPr>
              <w:t xml:space="preserve"> (kg N</w:t>
            </w:r>
            <w:r w:rsidRPr="00BE78CA">
              <w:rPr>
                <w:rFonts w:cs="Calibri"/>
                <w:vertAlign w:val="subscript"/>
              </w:rPr>
              <w:t>2</w:t>
            </w:r>
            <w:r w:rsidRPr="00BE78CA">
              <w:rPr>
                <w:rFonts w:cs="Calibri"/>
              </w:rPr>
              <w:t>O-N/kg N)</w:t>
            </w:r>
          </w:p>
        </w:tc>
        <w:tc>
          <w:tcPr>
            <w:tcW w:w="728" w:type="dxa"/>
          </w:tcPr>
          <w:p w14:paraId="31117816" w14:textId="77777777" w:rsidR="00F02481" w:rsidRPr="00BE78CA" w:rsidRDefault="00F02481" w:rsidP="000F4164">
            <w:pPr>
              <w:pStyle w:val="TableText"/>
              <w:spacing w:before="50" w:after="50"/>
              <w:jc w:val="right"/>
              <w:rPr>
                <w:rFonts w:cs="Calibri"/>
              </w:rPr>
            </w:pPr>
            <w:r w:rsidRPr="00BE78CA">
              <w:t>0.00971</w:t>
            </w:r>
          </w:p>
        </w:tc>
        <w:tc>
          <w:tcPr>
            <w:tcW w:w="845" w:type="dxa"/>
          </w:tcPr>
          <w:p w14:paraId="0638A4F5" w14:textId="77777777" w:rsidR="00F02481" w:rsidRPr="00BE78CA" w:rsidRDefault="00F02481" w:rsidP="000F4164">
            <w:pPr>
              <w:pStyle w:val="TableText"/>
              <w:spacing w:before="50" w:after="50"/>
              <w:jc w:val="right"/>
              <w:rPr>
                <w:rFonts w:cs="Calibri"/>
              </w:rPr>
            </w:pPr>
            <w:r w:rsidRPr="00BE78CA">
              <w:t>0.00968</w:t>
            </w:r>
          </w:p>
        </w:tc>
        <w:tc>
          <w:tcPr>
            <w:tcW w:w="846" w:type="dxa"/>
          </w:tcPr>
          <w:p w14:paraId="461D10FD" w14:textId="77777777" w:rsidR="00F02481" w:rsidRPr="00BE78CA" w:rsidRDefault="00F02481" w:rsidP="000F4164">
            <w:pPr>
              <w:pStyle w:val="TableText"/>
              <w:spacing w:before="50" w:after="50"/>
              <w:jc w:val="right"/>
              <w:rPr>
                <w:rFonts w:cs="Calibri"/>
              </w:rPr>
            </w:pPr>
            <w:r w:rsidRPr="00BE78CA">
              <w:t>0.00972</w:t>
            </w:r>
          </w:p>
        </w:tc>
        <w:tc>
          <w:tcPr>
            <w:tcW w:w="845" w:type="dxa"/>
          </w:tcPr>
          <w:p w14:paraId="64218669" w14:textId="77777777" w:rsidR="00F02481" w:rsidRPr="00BE78CA" w:rsidRDefault="00F02481" w:rsidP="000F4164">
            <w:pPr>
              <w:pStyle w:val="TableText"/>
              <w:spacing w:before="50" w:after="50"/>
              <w:jc w:val="right"/>
              <w:rPr>
                <w:rFonts w:cs="Calibri"/>
              </w:rPr>
            </w:pPr>
            <w:r w:rsidRPr="00BE78CA">
              <w:t>0.00974</w:t>
            </w:r>
          </w:p>
        </w:tc>
        <w:tc>
          <w:tcPr>
            <w:tcW w:w="846" w:type="dxa"/>
          </w:tcPr>
          <w:p w14:paraId="752E5570" w14:textId="77777777" w:rsidR="00F02481" w:rsidRPr="00BE78CA" w:rsidRDefault="00F02481" w:rsidP="000F4164">
            <w:pPr>
              <w:pStyle w:val="TableText"/>
              <w:spacing w:before="50" w:after="50"/>
              <w:jc w:val="right"/>
              <w:rPr>
                <w:rFonts w:cs="Calibri"/>
              </w:rPr>
            </w:pPr>
            <w:r w:rsidRPr="00BE78CA">
              <w:t>0.00972</w:t>
            </w:r>
          </w:p>
        </w:tc>
        <w:tc>
          <w:tcPr>
            <w:tcW w:w="760" w:type="dxa"/>
          </w:tcPr>
          <w:p w14:paraId="0D90AE17" w14:textId="77777777" w:rsidR="00F02481" w:rsidRPr="00BE78CA" w:rsidRDefault="00F02481" w:rsidP="000F4164">
            <w:pPr>
              <w:pStyle w:val="TableText"/>
              <w:spacing w:before="50" w:after="50"/>
              <w:jc w:val="right"/>
              <w:rPr>
                <w:rFonts w:cs="Calibri"/>
              </w:rPr>
            </w:pPr>
            <w:r w:rsidRPr="00BE78CA">
              <w:t>0.00972</w:t>
            </w:r>
          </w:p>
        </w:tc>
      </w:tr>
      <w:tr w:rsidR="00F02481" w:rsidRPr="00BE78CA" w14:paraId="7B736D03" w14:textId="77777777" w:rsidTr="004F28EB">
        <w:tc>
          <w:tcPr>
            <w:tcW w:w="3635" w:type="dxa"/>
            <w:shd w:val="clear" w:color="auto" w:fill="auto"/>
          </w:tcPr>
          <w:p w14:paraId="1E5D4EA4" w14:textId="77777777" w:rsidR="00F02481" w:rsidRPr="00BE78CA" w:rsidRDefault="00F02481" w:rsidP="000F4164">
            <w:pPr>
              <w:pStyle w:val="TableText"/>
              <w:keepNext/>
              <w:spacing w:before="50" w:after="50"/>
              <w:rPr>
                <w:rFonts w:cs="Calibri"/>
              </w:rPr>
            </w:pPr>
            <w:r w:rsidRPr="00BE78CA">
              <w:rPr>
                <w:rFonts w:cs="Calibri"/>
              </w:rPr>
              <w:t>Final modified emissions factor or parameter for dairy cattle, Frac</w:t>
            </w:r>
            <w:r w:rsidRPr="00BE78CA">
              <w:rPr>
                <w:rFonts w:cs="Calibri"/>
                <w:vertAlign w:val="subscript"/>
              </w:rPr>
              <w:t xml:space="preserve">LEACH </w:t>
            </w:r>
            <w:r w:rsidRPr="00BE78CA">
              <w:rPr>
                <w:rFonts w:cs="Calibri"/>
              </w:rPr>
              <w:t>(kg N</w:t>
            </w:r>
            <w:r w:rsidRPr="00BE78CA">
              <w:rPr>
                <w:rFonts w:cs="Calibri"/>
                <w:vertAlign w:val="subscript"/>
              </w:rPr>
              <w:t>2</w:t>
            </w:r>
            <w:r w:rsidRPr="00BE78CA">
              <w:rPr>
                <w:rFonts w:cs="Calibri"/>
              </w:rPr>
              <w:t>O-N/kg N)</w:t>
            </w:r>
          </w:p>
        </w:tc>
        <w:tc>
          <w:tcPr>
            <w:tcW w:w="728" w:type="dxa"/>
          </w:tcPr>
          <w:p w14:paraId="7C9EA24C" w14:textId="77777777" w:rsidR="00F02481" w:rsidRPr="00BE78CA" w:rsidRDefault="00F02481" w:rsidP="000F4164">
            <w:pPr>
              <w:pStyle w:val="TableText"/>
              <w:keepNext/>
              <w:spacing w:before="50" w:after="50"/>
              <w:jc w:val="right"/>
              <w:rPr>
                <w:rFonts w:cs="Calibri"/>
              </w:rPr>
            </w:pPr>
            <w:r w:rsidRPr="00BE78CA">
              <w:t>0.0695</w:t>
            </w:r>
          </w:p>
        </w:tc>
        <w:tc>
          <w:tcPr>
            <w:tcW w:w="845" w:type="dxa"/>
          </w:tcPr>
          <w:p w14:paraId="6CC541B5" w14:textId="77777777" w:rsidR="00F02481" w:rsidRPr="00BE78CA" w:rsidRDefault="00F02481" w:rsidP="000F4164">
            <w:pPr>
              <w:pStyle w:val="TableText"/>
              <w:keepNext/>
              <w:spacing w:before="50" w:after="50"/>
              <w:jc w:val="right"/>
              <w:rPr>
                <w:rFonts w:cs="Calibri"/>
              </w:rPr>
            </w:pPr>
            <w:r w:rsidRPr="00BE78CA">
              <w:t>0.0693</w:t>
            </w:r>
          </w:p>
        </w:tc>
        <w:tc>
          <w:tcPr>
            <w:tcW w:w="846" w:type="dxa"/>
          </w:tcPr>
          <w:p w14:paraId="66769F95" w14:textId="77777777" w:rsidR="00F02481" w:rsidRPr="00BE78CA" w:rsidRDefault="00F02481" w:rsidP="000F4164">
            <w:pPr>
              <w:pStyle w:val="TableText"/>
              <w:keepNext/>
              <w:spacing w:before="50" w:after="50"/>
              <w:jc w:val="right"/>
              <w:rPr>
                <w:rFonts w:cs="Calibri"/>
              </w:rPr>
            </w:pPr>
            <w:r w:rsidRPr="00BE78CA">
              <w:t>0.0695</w:t>
            </w:r>
          </w:p>
        </w:tc>
        <w:tc>
          <w:tcPr>
            <w:tcW w:w="845" w:type="dxa"/>
          </w:tcPr>
          <w:p w14:paraId="6FD50772" w14:textId="77777777" w:rsidR="00F02481" w:rsidRPr="00BE78CA" w:rsidRDefault="00F02481" w:rsidP="000F4164">
            <w:pPr>
              <w:pStyle w:val="TableText"/>
              <w:keepNext/>
              <w:spacing w:before="50" w:after="50"/>
              <w:jc w:val="right"/>
              <w:rPr>
                <w:rFonts w:cs="Calibri"/>
              </w:rPr>
            </w:pPr>
            <w:r w:rsidRPr="00BE78CA">
              <w:t>0.0697</w:t>
            </w:r>
          </w:p>
        </w:tc>
        <w:tc>
          <w:tcPr>
            <w:tcW w:w="846" w:type="dxa"/>
          </w:tcPr>
          <w:p w14:paraId="5A8B84F7" w14:textId="77777777" w:rsidR="00F02481" w:rsidRPr="00BE78CA" w:rsidRDefault="00F02481" w:rsidP="000F4164">
            <w:pPr>
              <w:pStyle w:val="TableText"/>
              <w:keepNext/>
              <w:spacing w:before="50" w:after="50"/>
              <w:jc w:val="right"/>
              <w:rPr>
                <w:rFonts w:cs="Calibri"/>
              </w:rPr>
            </w:pPr>
            <w:r w:rsidRPr="00BE78CA">
              <w:t>0.0696</w:t>
            </w:r>
          </w:p>
        </w:tc>
        <w:tc>
          <w:tcPr>
            <w:tcW w:w="760" w:type="dxa"/>
          </w:tcPr>
          <w:p w14:paraId="3578EEF1" w14:textId="77777777" w:rsidR="00F02481" w:rsidRPr="00BE78CA" w:rsidRDefault="00F02481" w:rsidP="000F4164">
            <w:pPr>
              <w:pStyle w:val="TableText"/>
              <w:keepNext/>
              <w:spacing w:before="50" w:after="50"/>
              <w:jc w:val="right"/>
              <w:rPr>
                <w:rFonts w:cs="Calibri"/>
              </w:rPr>
            </w:pPr>
            <w:r w:rsidRPr="00BE78CA">
              <w:t>0.0696</w:t>
            </w:r>
          </w:p>
        </w:tc>
      </w:tr>
      <w:tr w:rsidR="00F02481" w:rsidRPr="00BE78CA" w14:paraId="1AF7337C" w14:textId="77777777" w:rsidTr="004F28EB">
        <w:tc>
          <w:tcPr>
            <w:tcW w:w="3635" w:type="dxa"/>
            <w:shd w:val="clear" w:color="auto" w:fill="auto"/>
            <w:vAlign w:val="bottom"/>
          </w:tcPr>
          <w:p w14:paraId="162A07A6" w14:textId="77777777" w:rsidR="00F02481" w:rsidRPr="00BE78CA" w:rsidRDefault="00F02481" w:rsidP="000F4164">
            <w:pPr>
              <w:pStyle w:val="TableText"/>
              <w:spacing w:before="50" w:after="50"/>
              <w:rPr>
                <w:rFonts w:cs="Calibri"/>
              </w:rPr>
            </w:pPr>
            <w:r w:rsidRPr="00BE78CA">
              <w:rPr>
                <w:rFonts w:cs="Calibri"/>
              </w:rPr>
              <w:t>Mitigation (Gg CO</w:t>
            </w:r>
            <w:r w:rsidRPr="00BE78CA">
              <w:rPr>
                <w:rFonts w:cs="Calibri"/>
                <w:vertAlign w:val="subscript"/>
              </w:rPr>
              <w:t>2</w:t>
            </w:r>
            <w:r w:rsidRPr="00BE78CA">
              <w:rPr>
                <w:rFonts w:cs="Calibri"/>
              </w:rPr>
              <w:t>-e)</w:t>
            </w:r>
          </w:p>
        </w:tc>
        <w:tc>
          <w:tcPr>
            <w:tcW w:w="728" w:type="dxa"/>
          </w:tcPr>
          <w:p w14:paraId="65743302" w14:textId="77777777" w:rsidR="00F02481" w:rsidRPr="00BE78CA" w:rsidRDefault="00F02481" w:rsidP="000F4164">
            <w:pPr>
              <w:pStyle w:val="TableText"/>
              <w:spacing w:before="50" w:after="50"/>
              <w:jc w:val="right"/>
              <w:rPr>
                <w:rFonts w:cs="Calibri"/>
              </w:rPr>
            </w:pPr>
            <w:r w:rsidRPr="00BE78CA">
              <w:t>18.0</w:t>
            </w:r>
          </w:p>
        </w:tc>
        <w:tc>
          <w:tcPr>
            <w:tcW w:w="845" w:type="dxa"/>
          </w:tcPr>
          <w:p w14:paraId="35D5CD69" w14:textId="77777777" w:rsidR="00F02481" w:rsidRPr="00BE78CA" w:rsidRDefault="00F02481" w:rsidP="000F4164">
            <w:pPr>
              <w:pStyle w:val="TableText"/>
              <w:spacing w:before="50" w:after="50"/>
              <w:jc w:val="right"/>
              <w:rPr>
                <w:rFonts w:cs="Calibri"/>
              </w:rPr>
            </w:pPr>
            <w:r w:rsidRPr="00BE78CA">
              <w:t>24.4</w:t>
            </w:r>
          </w:p>
        </w:tc>
        <w:tc>
          <w:tcPr>
            <w:tcW w:w="846" w:type="dxa"/>
          </w:tcPr>
          <w:p w14:paraId="66360E62" w14:textId="77777777" w:rsidR="00F02481" w:rsidRPr="00BE78CA" w:rsidRDefault="00F02481" w:rsidP="000F4164">
            <w:pPr>
              <w:pStyle w:val="TableText"/>
              <w:spacing w:before="50" w:after="50"/>
              <w:jc w:val="right"/>
              <w:rPr>
                <w:rFonts w:cs="Calibri"/>
              </w:rPr>
            </w:pPr>
            <w:r w:rsidRPr="00BE78CA">
              <w:t>17.6</w:t>
            </w:r>
          </w:p>
        </w:tc>
        <w:tc>
          <w:tcPr>
            <w:tcW w:w="845" w:type="dxa"/>
          </w:tcPr>
          <w:p w14:paraId="42D2AC41" w14:textId="77777777" w:rsidR="00F02481" w:rsidRPr="00BE78CA" w:rsidRDefault="00F02481" w:rsidP="000F4164">
            <w:pPr>
              <w:pStyle w:val="TableText"/>
              <w:spacing w:before="50" w:after="50"/>
              <w:jc w:val="right"/>
              <w:rPr>
                <w:rFonts w:cs="Calibri"/>
              </w:rPr>
            </w:pPr>
            <w:r w:rsidRPr="00BE78CA">
              <w:t>13.1</w:t>
            </w:r>
          </w:p>
        </w:tc>
        <w:tc>
          <w:tcPr>
            <w:tcW w:w="846" w:type="dxa"/>
          </w:tcPr>
          <w:p w14:paraId="27270D9C" w14:textId="77777777" w:rsidR="00F02481" w:rsidRPr="00BE78CA" w:rsidRDefault="00F02481" w:rsidP="000F4164">
            <w:pPr>
              <w:pStyle w:val="TableText"/>
              <w:spacing w:before="50" w:after="50"/>
              <w:jc w:val="right"/>
              <w:rPr>
                <w:rFonts w:cs="Calibri"/>
              </w:rPr>
            </w:pPr>
            <w:r w:rsidRPr="00BE78CA">
              <w:t>18.6</w:t>
            </w:r>
          </w:p>
        </w:tc>
        <w:tc>
          <w:tcPr>
            <w:tcW w:w="760" w:type="dxa"/>
          </w:tcPr>
          <w:p w14:paraId="2041E4E7" w14:textId="77777777" w:rsidR="00F02481" w:rsidRPr="00BE78CA" w:rsidRDefault="00F02481" w:rsidP="000F4164">
            <w:pPr>
              <w:pStyle w:val="TableText"/>
              <w:spacing w:before="50" w:after="50"/>
              <w:jc w:val="right"/>
              <w:rPr>
                <w:rFonts w:cs="Calibri"/>
              </w:rPr>
            </w:pPr>
            <w:r w:rsidRPr="00BE78CA">
              <w:t>18.6</w:t>
            </w:r>
          </w:p>
        </w:tc>
      </w:tr>
    </w:tbl>
    <w:p w14:paraId="187ECD0D" w14:textId="77777777" w:rsidR="00F02481" w:rsidRPr="00BE78CA" w:rsidRDefault="00F02481" w:rsidP="00C26084">
      <w:pPr>
        <w:pStyle w:val="Noteundertable"/>
        <w:rPr>
          <w:rFonts w:cs="Calibri"/>
        </w:rPr>
      </w:pPr>
      <w:r w:rsidRPr="00BE78CA">
        <w:rPr>
          <w:rFonts w:cs="Calibri"/>
          <w:b/>
          <w:bCs/>
        </w:rPr>
        <w:t>Note:</w:t>
      </w:r>
      <w:r w:rsidRPr="00BE78CA">
        <w:rPr>
          <w:rFonts w:cs="Calibri"/>
        </w:rPr>
        <w:t xml:space="preserve"> </w:t>
      </w:r>
      <w:r w:rsidRPr="00BE78CA">
        <w:rPr>
          <w:rFonts w:cs="Calibri"/>
        </w:rPr>
        <w:tab/>
        <w:t>EF</w:t>
      </w:r>
      <w:r w:rsidRPr="00BE78CA">
        <w:rPr>
          <w:rFonts w:cs="Calibri"/>
          <w:vertAlign w:val="subscript"/>
        </w:rPr>
        <w:t>3(PRP)</w:t>
      </w:r>
      <w:r w:rsidRPr="00BE78CA">
        <w:rPr>
          <w:rFonts w:cs="Calibri"/>
        </w:rPr>
        <w:t xml:space="preserve"> = 0.01 and FRAC</w:t>
      </w:r>
      <w:r w:rsidRPr="00BE78CA">
        <w:rPr>
          <w:rFonts w:cs="Calibri"/>
          <w:vertAlign w:val="subscript"/>
        </w:rPr>
        <w:t>LEACH</w:t>
      </w:r>
      <w:r w:rsidRPr="00BE78CA">
        <w:rPr>
          <w:rFonts w:cs="Calibri"/>
        </w:rPr>
        <w:t xml:space="preserve"> = 0.07 when inhibitor is not applied. All other emission factors and parameters relating to animal excreta and fertiliser use (Frac</w:t>
      </w:r>
      <w:r w:rsidRPr="00BE78CA">
        <w:rPr>
          <w:rFonts w:cs="Calibri"/>
          <w:vertAlign w:val="subscript"/>
        </w:rPr>
        <w:t>GASM</w:t>
      </w:r>
      <w:r w:rsidRPr="00BE78CA">
        <w:rPr>
          <w:rFonts w:cs="Calibri"/>
        </w:rPr>
        <w:t>, Frac</w:t>
      </w:r>
      <w:r w:rsidRPr="00BE78CA">
        <w:rPr>
          <w:rFonts w:cs="Calibri"/>
          <w:vertAlign w:val="subscript"/>
        </w:rPr>
        <w:t>GASF</w:t>
      </w:r>
      <w:r w:rsidRPr="00BE78CA">
        <w:rPr>
          <w:rFonts w:cs="Calibri"/>
        </w:rPr>
        <w:t>, EF</w:t>
      </w:r>
      <w:r w:rsidRPr="00BE78CA">
        <w:rPr>
          <w:rFonts w:cs="Calibri"/>
          <w:vertAlign w:val="subscript"/>
        </w:rPr>
        <w:t>4</w:t>
      </w:r>
      <w:r w:rsidRPr="00BE78CA">
        <w:rPr>
          <w:rFonts w:cs="Calibri"/>
        </w:rPr>
        <w:t xml:space="preserve"> and EF</w:t>
      </w:r>
      <w:r w:rsidRPr="00BE78CA">
        <w:rPr>
          <w:rFonts w:cs="Calibri"/>
          <w:vertAlign w:val="subscript"/>
        </w:rPr>
        <w:t>5</w:t>
      </w:r>
      <w:r w:rsidRPr="00BE78CA">
        <w:rPr>
          <w:rFonts w:cs="Calibri"/>
        </w:rPr>
        <w:t xml:space="preserve">) remain unchanged when the inhibitor is used as an </w:t>
      </w:r>
      <w:r w:rsidRPr="00BE78CA">
        <w:rPr>
          <w:rFonts w:cs="Calibri"/>
          <w:spacing w:val="-2"/>
        </w:rPr>
        <w:t>N</w:t>
      </w:r>
      <w:r w:rsidRPr="00BE78CA">
        <w:rPr>
          <w:rFonts w:cs="Calibri"/>
          <w:spacing w:val="-2"/>
          <w:vertAlign w:val="subscript"/>
        </w:rPr>
        <w:t>2</w:t>
      </w:r>
      <w:r w:rsidRPr="00BE78CA">
        <w:rPr>
          <w:rFonts w:cs="Calibri"/>
          <w:spacing w:val="-2"/>
        </w:rPr>
        <w:t>O</w:t>
      </w:r>
      <w:r w:rsidRPr="00BE78CA">
        <w:rPr>
          <w:rFonts w:cs="Calibri"/>
        </w:rPr>
        <w:t xml:space="preserve"> mitigation technology. </w:t>
      </w:r>
    </w:p>
    <w:p w14:paraId="538D3D9E" w14:textId="77777777" w:rsidR="00F02481" w:rsidRPr="00BE78CA" w:rsidRDefault="00F02481" w:rsidP="00C26084">
      <w:pPr>
        <w:pStyle w:val="Heading3"/>
        <w:spacing w:before="240"/>
        <w:rPr>
          <w:rFonts w:cs="Calibri"/>
        </w:rPr>
      </w:pPr>
      <w:bookmarkStart w:id="930" w:name="_Toc139253935"/>
      <w:bookmarkStart w:id="931" w:name="_Toc32570669"/>
      <w:r w:rsidRPr="00BE78CA">
        <w:rPr>
          <w:rFonts w:cs="Calibri"/>
        </w:rPr>
        <w:t>5.5.3</w:t>
      </w:r>
      <w:r w:rsidRPr="00BE78CA">
        <w:rPr>
          <w:rFonts w:cs="Calibri"/>
        </w:rPr>
        <w:tab/>
        <w:t>Uncertainties and time-series consistency</w:t>
      </w:r>
      <w:bookmarkEnd w:id="930"/>
      <w:bookmarkEnd w:id="931"/>
    </w:p>
    <w:p w14:paraId="6C81C4B1" w14:textId="77777777" w:rsidR="00F02481" w:rsidRPr="00BE78CA" w:rsidRDefault="00F02481" w:rsidP="00C26084">
      <w:pPr>
        <w:pStyle w:val="BodyText"/>
        <w:rPr>
          <w:rFonts w:cs="Calibri"/>
        </w:rPr>
      </w:pPr>
      <w:r w:rsidRPr="00BE78CA">
        <w:rPr>
          <w:rFonts w:cs="Calibri"/>
        </w:rPr>
        <w:t>To ensure consistency in the calculations involving animal manure, a single enhanced livestock population characterisation and feed-intake estimate is produced by the Tier 2 model for the major livestock categories. This is used in different parts of the calculations for the inventory to estimate: CH</w:t>
      </w:r>
      <w:r w:rsidRPr="00BE78CA">
        <w:rPr>
          <w:rFonts w:cs="Calibri"/>
          <w:vertAlign w:val="subscript"/>
        </w:rPr>
        <w:t>4</w:t>
      </w:r>
      <w:r w:rsidRPr="00BE78CA">
        <w:rPr>
          <w:rFonts w:cs="Calibri"/>
        </w:rPr>
        <w:t xml:space="preserve"> emissions for the </w:t>
      </w:r>
      <w:r w:rsidRPr="00BE78CA">
        <w:rPr>
          <w:rFonts w:cs="Calibri"/>
          <w:i/>
          <w:iCs/>
        </w:rPr>
        <w:t>Enteric fermentation</w:t>
      </w:r>
      <w:r w:rsidRPr="00BE78CA">
        <w:rPr>
          <w:rFonts w:cs="Calibri"/>
        </w:rPr>
        <w:t xml:space="preserve"> category, CH</w:t>
      </w:r>
      <w:r w:rsidRPr="00BE78CA">
        <w:rPr>
          <w:rFonts w:cs="Calibri"/>
          <w:vertAlign w:val="subscript"/>
        </w:rPr>
        <w:t>4</w:t>
      </w:r>
      <w:r w:rsidRPr="00BE78CA">
        <w:rPr>
          <w:rFonts w:cs="Calibri"/>
        </w:rPr>
        <w:t xml:space="preserve"> and N</w:t>
      </w:r>
      <w:r w:rsidRPr="00BE78CA">
        <w:rPr>
          <w:rFonts w:cs="Calibri"/>
          <w:vertAlign w:val="subscript"/>
        </w:rPr>
        <w:t>2</w:t>
      </w:r>
      <w:r w:rsidRPr="00BE78CA">
        <w:rPr>
          <w:rFonts w:cs="Calibri"/>
        </w:rPr>
        <w:t xml:space="preserve">O emissions for the </w:t>
      </w:r>
      <w:r w:rsidRPr="00BE78CA">
        <w:rPr>
          <w:rFonts w:cs="Calibri"/>
          <w:i/>
          <w:iCs/>
        </w:rPr>
        <w:lastRenderedPageBreak/>
        <w:t>Manure management</w:t>
      </w:r>
      <w:r w:rsidRPr="00BE78CA">
        <w:rPr>
          <w:rFonts w:cs="Calibri"/>
        </w:rPr>
        <w:t xml:space="preserve"> category and N</w:t>
      </w:r>
      <w:r w:rsidRPr="00BE78CA">
        <w:rPr>
          <w:rFonts w:cs="Calibri"/>
          <w:vertAlign w:val="subscript"/>
        </w:rPr>
        <w:t>2</w:t>
      </w:r>
      <w:r w:rsidRPr="00BE78CA">
        <w:rPr>
          <w:rFonts w:cs="Calibri"/>
        </w:rPr>
        <w:t xml:space="preserve">O emissions for the </w:t>
      </w:r>
      <w:r w:rsidRPr="00BE78CA">
        <w:rPr>
          <w:rFonts w:cs="Calibri"/>
          <w:i/>
          <w:iCs/>
        </w:rPr>
        <w:t>Urine and dung deposited by grazing animals</w:t>
      </w:r>
      <w:r w:rsidRPr="00BE78CA">
        <w:rPr>
          <w:rFonts w:cs="Calibri"/>
        </w:rPr>
        <w:t xml:space="preserve"> </w:t>
      </w:r>
      <w:r w:rsidRPr="00BE78CA">
        <w:rPr>
          <w:rFonts w:cs="Calibri"/>
          <w:i/>
          <w:iCs/>
        </w:rPr>
        <w:t>(pasture, range and paddock manure)</w:t>
      </w:r>
      <w:r w:rsidRPr="00BE78CA">
        <w:rPr>
          <w:rFonts w:cs="Calibri"/>
        </w:rPr>
        <w:t xml:space="preserve"> category.</w:t>
      </w:r>
    </w:p>
    <w:p w14:paraId="4963A287" w14:textId="77777777" w:rsidR="00F02481" w:rsidRPr="00BE78CA" w:rsidRDefault="00F02481" w:rsidP="00C26084">
      <w:pPr>
        <w:pStyle w:val="BodyText"/>
        <w:rPr>
          <w:rFonts w:cs="Calibri"/>
        </w:rPr>
      </w:pPr>
      <w:r w:rsidRPr="00BE78CA">
        <w:rPr>
          <w:rFonts w:cs="Calibri"/>
        </w:rPr>
        <w:t xml:space="preserve">Uncertainties in </w:t>
      </w:r>
      <w:r w:rsidRPr="00BE78CA">
        <w:rPr>
          <w:rFonts w:cs="Calibri"/>
          <w:spacing w:val="-2"/>
        </w:rPr>
        <w:t>N</w:t>
      </w:r>
      <w:r w:rsidRPr="00BE78CA">
        <w:rPr>
          <w:rFonts w:cs="Calibri"/>
          <w:spacing w:val="-2"/>
          <w:vertAlign w:val="subscript"/>
        </w:rPr>
        <w:t>2</w:t>
      </w:r>
      <w:r w:rsidRPr="00BE78CA">
        <w:rPr>
          <w:rFonts w:cs="Calibri"/>
          <w:spacing w:val="-2"/>
        </w:rPr>
        <w:t>O</w:t>
      </w:r>
      <w:r w:rsidRPr="00BE78CA">
        <w:rPr>
          <w:rFonts w:cs="Calibri"/>
        </w:rPr>
        <w:t xml:space="preserve"> emissions from </w:t>
      </w:r>
      <w:r w:rsidRPr="00BE78CA">
        <w:rPr>
          <w:rFonts w:cs="Calibri"/>
          <w:i/>
          <w:iCs/>
        </w:rPr>
        <w:t>Agricultural soils</w:t>
      </w:r>
      <w:r w:rsidRPr="00BE78CA">
        <w:rPr>
          <w:rFonts w:cs="Calibri"/>
        </w:rPr>
        <w:t xml:space="preserve"> are calculated using an analytical method developed by Kelliher et al. (2017). This method estimated the uncertainty of the </w:t>
      </w:r>
      <w:r w:rsidRPr="00BE78CA">
        <w:rPr>
          <w:rFonts w:cs="Calibri"/>
          <w:i/>
          <w:iCs/>
        </w:rPr>
        <w:t>Agricultural soils</w:t>
      </w:r>
      <w:r w:rsidRPr="00BE78CA">
        <w:rPr>
          <w:rFonts w:cs="Calibri"/>
        </w:rPr>
        <w:t xml:space="preserve"> category to be ±55.3 per cent for 2019.</w:t>
      </w:r>
    </w:p>
    <w:p w14:paraId="0E5EE1FF" w14:textId="77777777" w:rsidR="00F02481" w:rsidRPr="00BE78CA" w:rsidRDefault="00F02481" w:rsidP="00C26084">
      <w:pPr>
        <w:pStyle w:val="BodyText"/>
        <w:rPr>
          <w:rFonts w:cs="Calibri"/>
        </w:rPr>
      </w:pPr>
      <w:r w:rsidRPr="00BE78CA">
        <w:rPr>
          <w:rFonts w:cs="Calibri"/>
        </w:rPr>
        <w:t>The benefit of using the analytical method is that it can be updated annually by the Agriculture sector inventory compilers. Kelliher et al. (2017) also compared the analytical method with the Monte Carlo method used for previous years and found that both produced similar results.</w:t>
      </w:r>
    </w:p>
    <w:p w14:paraId="6910BC04" w14:textId="77777777" w:rsidR="00F02481" w:rsidRPr="00BE78CA" w:rsidRDefault="00F02481" w:rsidP="00C26084">
      <w:pPr>
        <w:pStyle w:val="BodyText"/>
        <w:rPr>
          <w:rFonts w:cs="Calibri"/>
        </w:rPr>
      </w:pPr>
      <w:r w:rsidRPr="00BE78CA">
        <w:rPr>
          <w:rFonts w:cs="Calibri"/>
        </w:rPr>
        <w:t xml:space="preserve">Uncertainties were assessed for the 1990, 2002 and 2012 inventories using the Monte Carlo method. For the 1990 and 2002 inventories, the uncertainties were assessed using a Monte Carlo simulation of 5,000 scenarios with the @RISK software (Kelliher et al., unpublished(b)) (see table 5.5.11). For the 2012 inventory, the uncertainty in the annual estimate was calculated using the 95 per cent confidence interval determined from the 2002 Monte Carlo simulation as a percentage of the mean value (i.e., in 2002, the uncertainty in annual emissions was +74 per cent and –42 per cent). </w:t>
      </w:r>
    </w:p>
    <w:p w14:paraId="4209D120" w14:textId="77777777" w:rsidR="00F02481" w:rsidRPr="00BE78CA" w:rsidRDefault="00F02481" w:rsidP="00C26084">
      <w:pPr>
        <w:pStyle w:val="Table"/>
        <w:rPr>
          <w:rFonts w:cs="Calibri"/>
        </w:rPr>
      </w:pPr>
      <w:bookmarkStart w:id="932" w:name="_Toc144607408"/>
      <w:bookmarkStart w:id="933" w:name="_Toc144607685"/>
      <w:bookmarkStart w:id="934" w:name="_Toc235955630"/>
      <w:bookmarkStart w:id="935" w:name="_Toc288316757"/>
      <w:bookmarkStart w:id="936" w:name="_Toc352504975"/>
      <w:bookmarkStart w:id="937" w:name="_Toc441830886"/>
      <w:bookmarkStart w:id="938" w:name="_Toc451176100"/>
      <w:bookmarkStart w:id="939" w:name="_Toc481751528"/>
      <w:bookmarkStart w:id="940" w:name="_Toc507158616"/>
      <w:bookmarkStart w:id="941" w:name="_Toc511116750"/>
      <w:bookmarkStart w:id="942" w:name="_Toc5269492"/>
      <w:bookmarkStart w:id="943" w:name="_Toc32570937"/>
      <w:bookmarkStart w:id="944" w:name="_Toc36224572"/>
      <w:bookmarkStart w:id="945" w:name="_Toc68786457"/>
      <w:r w:rsidRPr="00BE78CA">
        <w:rPr>
          <w:rFonts w:cs="Calibri"/>
        </w:rPr>
        <w:t>Table 5.5.11</w:t>
      </w:r>
      <w:r w:rsidRPr="00BE78CA">
        <w:rPr>
          <w:rFonts w:cs="Calibri"/>
        </w:rPr>
        <w:tab/>
        <w:t xml:space="preserve">New Zealand’s uncertainties in </w:t>
      </w:r>
      <w:r w:rsidRPr="00BE78CA">
        <w:rPr>
          <w:rFonts w:cs="Calibri"/>
          <w:spacing w:val="-2"/>
        </w:rPr>
        <w:t>nitrous oxide</w:t>
      </w:r>
      <w:r w:rsidRPr="00BE78CA">
        <w:rPr>
          <w:rFonts w:cs="Calibri"/>
        </w:rPr>
        <w:t xml:space="preserve"> (N</w:t>
      </w:r>
      <w:r w:rsidRPr="00BE78CA">
        <w:rPr>
          <w:rFonts w:cs="Calibri"/>
          <w:vertAlign w:val="subscript"/>
        </w:rPr>
        <w:t>2</w:t>
      </w:r>
      <w:r w:rsidRPr="00BE78CA">
        <w:rPr>
          <w:rFonts w:cs="Calibri"/>
        </w:rPr>
        <w:t>O) emissions from Agricultural soils</w:t>
      </w:r>
      <w:r w:rsidRPr="00BE78CA">
        <w:rPr>
          <w:rFonts w:cs="Calibri"/>
        </w:rPr>
        <w:br/>
        <w:t>for 1990, 2002, 2012 and 2016 estimated using Monte Carlo simulation (1990, 2002),</w:t>
      </w:r>
      <w:r w:rsidRPr="00BE78CA">
        <w:rPr>
          <w:rFonts w:cs="Calibri"/>
        </w:rPr>
        <w:br/>
        <w:t>the 95 per cent confidence interval (2012)</w:t>
      </w:r>
      <w:bookmarkEnd w:id="932"/>
      <w:bookmarkEnd w:id="933"/>
      <w:bookmarkEnd w:id="934"/>
      <w:bookmarkEnd w:id="935"/>
      <w:bookmarkEnd w:id="936"/>
      <w:bookmarkEnd w:id="937"/>
      <w:bookmarkEnd w:id="938"/>
      <w:r w:rsidRPr="00BE78CA">
        <w:rPr>
          <w:rFonts w:cs="Calibri"/>
        </w:rPr>
        <w:t xml:space="preserve"> and the analytical method (2019)</w:t>
      </w:r>
      <w:bookmarkEnd w:id="939"/>
      <w:bookmarkEnd w:id="940"/>
      <w:bookmarkEnd w:id="941"/>
      <w:bookmarkEnd w:id="942"/>
      <w:bookmarkEnd w:id="943"/>
      <w:bookmarkEnd w:id="944"/>
      <w:bookmarkEnd w:id="945"/>
    </w:p>
    <w:tbl>
      <w:tblPr>
        <w:tblW w:w="8505" w:type="dxa"/>
        <w:tblBorders>
          <w:left w:val="single" w:sz="4" w:space="0" w:color="auto"/>
          <w:bottom w:val="single" w:sz="4" w:space="0" w:color="auto"/>
          <w:right w:val="single" w:sz="4" w:space="0" w:color="auto"/>
          <w:insideH w:val="single" w:sz="4" w:space="0" w:color="auto"/>
        </w:tblBorders>
        <w:tblLayout w:type="fixed"/>
        <w:tblLook w:val="01E0" w:firstRow="1" w:lastRow="1" w:firstColumn="1" w:lastColumn="1" w:noHBand="0" w:noVBand="0"/>
      </w:tblPr>
      <w:tblGrid>
        <w:gridCol w:w="1150"/>
        <w:gridCol w:w="2642"/>
        <w:gridCol w:w="2414"/>
        <w:gridCol w:w="2299"/>
      </w:tblGrid>
      <w:tr w:rsidR="00995D81" w:rsidRPr="00BE78CA" w14:paraId="07E95540" w14:textId="77777777" w:rsidTr="00995D81">
        <w:trPr>
          <w:trHeight w:val="434"/>
        </w:trPr>
        <w:tc>
          <w:tcPr>
            <w:tcW w:w="1081" w:type="dxa"/>
            <w:tcBorders>
              <w:top w:val="single" w:sz="4" w:space="0" w:color="365F91"/>
              <w:left w:val="nil"/>
              <w:bottom w:val="single" w:sz="4" w:space="0" w:color="365F91"/>
            </w:tcBorders>
            <w:shd w:val="clear" w:color="auto" w:fill="365F91"/>
            <w:vAlign w:val="bottom"/>
          </w:tcPr>
          <w:p w14:paraId="0DA89324" w14:textId="77777777" w:rsidR="00F02481" w:rsidRPr="00BE78CA" w:rsidRDefault="00F02481" w:rsidP="000F4164">
            <w:pPr>
              <w:pStyle w:val="TableTextBold"/>
              <w:keepNext/>
              <w:spacing w:before="50" w:after="50"/>
              <w:rPr>
                <w:noProof w:val="0"/>
                <w:color w:val="FFFFFF" w:themeColor="background1"/>
              </w:rPr>
            </w:pPr>
            <w:r w:rsidRPr="00BE78CA">
              <w:rPr>
                <w:noProof w:val="0"/>
                <w:color w:val="FFFFFF" w:themeColor="background1"/>
              </w:rPr>
              <w:t>Year</w:t>
            </w:r>
          </w:p>
        </w:tc>
        <w:tc>
          <w:tcPr>
            <w:tcW w:w="2484" w:type="dxa"/>
            <w:tcBorders>
              <w:top w:val="single" w:sz="4" w:space="0" w:color="365F91"/>
              <w:bottom w:val="single" w:sz="4" w:space="0" w:color="365F91"/>
            </w:tcBorders>
            <w:shd w:val="clear" w:color="auto" w:fill="365F91"/>
            <w:vAlign w:val="bottom"/>
          </w:tcPr>
          <w:p w14:paraId="17218FBE" w14:textId="77777777" w:rsidR="00F02481" w:rsidRPr="00BE78CA" w:rsidRDefault="00F02481" w:rsidP="000F4164">
            <w:pPr>
              <w:pStyle w:val="TableTextBold"/>
              <w:keepNext/>
              <w:spacing w:before="50" w:after="50"/>
              <w:jc w:val="center"/>
              <w:rPr>
                <w:noProof w:val="0"/>
                <w:color w:val="FFFFFF" w:themeColor="background1"/>
              </w:rPr>
            </w:pPr>
            <w:r w:rsidRPr="00BE78CA">
              <w:rPr>
                <w:noProof w:val="0"/>
                <w:color w:val="FFFFFF" w:themeColor="background1"/>
              </w:rPr>
              <w:t>N</w:t>
            </w:r>
            <w:r w:rsidRPr="00BE78CA">
              <w:rPr>
                <w:noProof w:val="0"/>
                <w:color w:val="FFFFFF" w:themeColor="background1"/>
                <w:vertAlign w:val="subscript"/>
              </w:rPr>
              <w:t>2</w:t>
            </w:r>
            <w:r w:rsidRPr="00BE78CA">
              <w:rPr>
                <w:noProof w:val="0"/>
                <w:color w:val="FFFFFF" w:themeColor="background1"/>
              </w:rPr>
              <w:t>O emissions from Agricultural soils (kt/annum)</w:t>
            </w:r>
          </w:p>
        </w:tc>
        <w:tc>
          <w:tcPr>
            <w:tcW w:w="2269" w:type="dxa"/>
            <w:tcBorders>
              <w:top w:val="single" w:sz="4" w:space="0" w:color="365F91"/>
              <w:bottom w:val="single" w:sz="4" w:space="0" w:color="365F91"/>
            </w:tcBorders>
            <w:shd w:val="clear" w:color="auto" w:fill="365F91"/>
            <w:vAlign w:val="bottom"/>
          </w:tcPr>
          <w:p w14:paraId="7D942052" w14:textId="77777777" w:rsidR="00F02481" w:rsidRPr="00BE78CA" w:rsidRDefault="00F02481" w:rsidP="000F4164">
            <w:pPr>
              <w:pStyle w:val="TableTextBold"/>
              <w:keepNext/>
              <w:spacing w:before="50" w:after="50"/>
              <w:jc w:val="center"/>
              <w:rPr>
                <w:noProof w:val="0"/>
                <w:color w:val="FFFFFF" w:themeColor="background1"/>
              </w:rPr>
            </w:pPr>
            <w:r w:rsidRPr="00BE78CA">
              <w:rPr>
                <w:noProof w:val="0"/>
                <w:color w:val="FFFFFF" w:themeColor="background1"/>
              </w:rPr>
              <w:t>95% confidence interval minimum (kt/annum)</w:t>
            </w:r>
          </w:p>
        </w:tc>
        <w:tc>
          <w:tcPr>
            <w:tcW w:w="2161" w:type="dxa"/>
            <w:tcBorders>
              <w:top w:val="single" w:sz="4" w:space="0" w:color="365F91"/>
              <w:bottom w:val="single" w:sz="4" w:space="0" w:color="365F91"/>
              <w:right w:val="nil"/>
            </w:tcBorders>
            <w:shd w:val="clear" w:color="auto" w:fill="365F91"/>
            <w:vAlign w:val="bottom"/>
          </w:tcPr>
          <w:p w14:paraId="36A8E1C0" w14:textId="77777777" w:rsidR="00F02481" w:rsidRPr="00BE78CA" w:rsidRDefault="00F02481" w:rsidP="000F4164">
            <w:pPr>
              <w:pStyle w:val="TableTextBold"/>
              <w:keepNext/>
              <w:spacing w:before="50" w:after="50"/>
              <w:jc w:val="center"/>
              <w:rPr>
                <w:noProof w:val="0"/>
                <w:color w:val="FFFFFF" w:themeColor="background1"/>
              </w:rPr>
            </w:pPr>
            <w:r w:rsidRPr="00BE78CA">
              <w:rPr>
                <w:noProof w:val="0"/>
                <w:color w:val="FFFFFF" w:themeColor="background1"/>
              </w:rPr>
              <w:t>95% confidence interval maximum (kt/annum)</w:t>
            </w:r>
          </w:p>
        </w:tc>
      </w:tr>
      <w:tr w:rsidR="00F02481" w:rsidRPr="00BE78CA" w14:paraId="1EE1F40B" w14:textId="77777777" w:rsidTr="00995D81">
        <w:trPr>
          <w:trHeight w:val="247"/>
        </w:trPr>
        <w:tc>
          <w:tcPr>
            <w:tcW w:w="1081" w:type="dxa"/>
            <w:tcBorders>
              <w:top w:val="single" w:sz="4" w:space="0" w:color="365F91"/>
              <w:left w:val="nil"/>
              <w:bottom w:val="single" w:sz="6" w:space="0" w:color="365F91"/>
            </w:tcBorders>
          </w:tcPr>
          <w:p w14:paraId="1D782B34" w14:textId="77777777" w:rsidR="00F02481" w:rsidRPr="00BE78CA" w:rsidRDefault="00F02481" w:rsidP="000F4164">
            <w:pPr>
              <w:pStyle w:val="TableText"/>
              <w:keepNext/>
              <w:spacing w:before="50" w:after="50"/>
              <w:rPr>
                <w:rFonts w:cs="Calibri"/>
              </w:rPr>
            </w:pPr>
            <w:r w:rsidRPr="00BE78CA">
              <w:rPr>
                <w:rFonts w:cs="Calibri"/>
              </w:rPr>
              <w:t>1990</w:t>
            </w:r>
          </w:p>
        </w:tc>
        <w:tc>
          <w:tcPr>
            <w:tcW w:w="2484" w:type="dxa"/>
            <w:tcBorders>
              <w:top w:val="single" w:sz="4" w:space="0" w:color="365F91"/>
              <w:bottom w:val="single" w:sz="6" w:space="0" w:color="365F91"/>
            </w:tcBorders>
          </w:tcPr>
          <w:p w14:paraId="261E3126" w14:textId="77777777" w:rsidR="00F02481" w:rsidRPr="00BE78CA" w:rsidRDefault="00F02481" w:rsidP="000F4164">
            <w:pPr>
              <w:pStyle w:val="TableText"/>
              <w:spacing w:before="50" w:after="50"/>
              <w:jc w:val="center"/>
              <w:rPr>
                <w:rFonts w:cs="Calibri"/>
              </w:rPr>
            </w:pPr>
            <w:r w:rsidRPr="00BE78CA">
              <w:rPr>
                <w:rFonts w:cs="Calibri"/>
              </w:rPr>
              <w:t>25.3</w:t>
            </w:r>
          </w:p>
        </w:tc>
        <w:tc>
          <w:tcPr>
            <w:tcW w:w="2269" w:type="dxa"/>
            <w:tcBorders>
              <w:top w:val="single" w:sz="4" w:space="0" w:color="365F91"/>
              <w:bottom w:val="single" w:sz="6" w:space="0" w:color="365F91"/>
            </w:tcBorders>
          </w:tcPr>
          <w:p w14:paraId="6F504EAD" w14:textId="77777777" w:rsidR="00F02481" w:rsidRPr="00BE78CA" w:rsidRDefault="00F02481" w:rsidP="000F4164">
            <w:pPr>
              <w:pStyle w:val="TableText"/>
              <w:spacing w:before="50" w:after="50"/>
              <w:jc w:val="center"/>
              <w:rPr>
                <w:rFonts w:cs="Calibri"/>
              </w:rPr>
            </w:pPr>
            <w:r w:rsidRPr="00BE78CA">
              <w:rPr>
                <w:rFonts w:cs="Calibri"/>
              </w:rPr>
              <w:t>14.7</w:t>
            </w:r>
          </w:p>
        </w:tc>
        <w:tc>
          <w:tcPr>
            <w:tcW w:w="2161" w:type="dxa"/>
            <w:tcBorders>
              <w:top w:val="single" w:sz="4" w:space="0" w:color="365F91"/>
              <w:bottom w:val="single" w:sz="6" w:space="0" w:color="365F91"/>
              <w:right w:val="nil"/>
            </w:tcBorders>
          </w:tcPr>
          <w:p w14:paraId="76E734D0" w14:textId="77777777" w:rsidR="00F02481" w:rsidRPr="00BE78CA" w:rsidRDefault="00F02481" w:rsidP="000F4164">
            <w:pPr>
              <w:pStyle w:val="TableText"/>
              <w:spacing w:before="50" w:after="50"/>
              <w:jc w:val="center"/>
              <w:rPr>
                <w:rFonts w:cs="Calibri"/>
              </w:rPr>
            </w:pPr>
            <w:r w:rsidRPr="00BE78CA">
              <w:rPr>
                <w:rFonts w:cs="Calibri"/>
              </w:rPr>
              <w:t>44.0</w:t>
            </w:r>
          </w:p>
        </w:tc>
      </w:tr>
      <w:tr w:rsidR="00F02481" w:rsidRPr="00BE78CA" w14:paraId="5644A171" w14:textId="77777777" w:rsidTr="00995D81">
        <w:trPr>
          <w:trHeight w:val="247"/>
        </w:trPr>
        <w:tc>
          <w:tcPr>
            <w:tcW w:w="1081" w:type="dxa"/>
            <w:tcBorders>
              <w:top w:val="single" w:sz="6" w:space="0" w:color="365F91"/>
              <w:left w:val="nil"/>
              <w:bottom w:val="single" w:sz="6" w:space="0" w:color="365F91"/>
            </w:tcBorders>
          </w:tcPr>
          <w:p w14:paraId="5D5C13CD" w14:textId="77777777" w:rsidR="00F02481" w:rsidRPr="00BE78CA" w:rsidRDefault="00F02481" w:rsidP="000F4164">
            <w:pPr>
              <w:pStyle w:val="TableText"/>
              <w:keepNext/>
              <w:spacing w:before="50" w:after="50"/>
              <w:rPr>
                <w:rFonts w:cs="Calibri"/>
              </w:rPr>
            </w:pPr>
            <w:r w:rsidRPr="00BE78CA">
              <w:rPr>
                <w:rFonts w:cs="Calibri"/>
              </w:rPr>
              <w:t>2002</w:t>
            </w:r>
          </w:p>
        </w:tc>
        <w:tc>
          <w:tcPr>
            <w:tcW w:w="2484" w:type="dxa"/>
            <w:tcBorders>
              <w:top w:val="single" w:sz="6" w:space="0" w:color="365F91"/>
              <w:bottom w:val="single" w:sz="6" w:space="0" w:color="365F91"/>
            </w:tcBorders>
          </w:tcPr>
          <w:p w14:paraId="30707617" w14:textId="77777777" w:rsidR="00F02481" w:rsidRPr="00BE78CA" w:rsidRDefault="00F02481" w:rsidP="000F4164">
            <w:pPr>
              <w:pStyle w:val="TableText"/>
              <w:spacing w:before="50" w:after="50"/>
              <w:jc w:val="center"/>
              <w:rPr>
                <w:rFonts w:cs="Calibri"/>
              </w:rPr>
            </w:pPr>
            <w:r w:rsidRPr="00BE78CA">
              <w:rPr>
                <w:rFonts w:cs="Calibri"/>
              </w:rPr>
              <w:t>32.2</w:t>
            </w:r>
          </w:p>
        </w:tc>
        <w:tc>
          <w:tcPr>
            <w:tcW w:w="2269" w:type="dxa"/>
            <w:tcBorders>
              <w:top w:val="single" w:sz="6" w:space="0" w:color="365F91"/>
              <w:bottom w:val="single" w:sz="6" w:space="0" w:color="365F91"/>
            </w:tcBorders>
          </w:tcPr>
          <w:p w14:paraId="656F294B" w14:textId="77777777" w:rsidR="00F02481" w:rsidRPr="00BE78CA" w:rsidRDefault="00F02481" w:rsidP="000F4164">
            <w:pPr>
              <w:pStyle w:val="TableText"/>
              <w:spacing w:before="50" w:after="50"/>
              <w:jc w:val="center"/>
              <w:rPr>
                <w:rFonts w:cs="Calibri"/>
              </w:rPr>
            </w:pPr>
            <w:r w:rsidRPr="00BE78CA">
              <w:rPr>
                <w:rFonts w:cs="Calibri"/>
              </w:rPr>
              <w:t>18.7</w:t>
            </w:r>
          </w:p>
        </w:tc>
        <w:tc>
          <w:tcPr>
            <w:tcW w:w="2161" w:type="dxa"/>
            <w:tcBorders>
              <w:top w:val="single" w:sz="6" w:space="0" w:color="365F91"/>
              <w:bottom w:val="single" w:sz="6" w:space="0" w:color="365F91"/>
              <w:right w:val="nil"/>
            </w:tcBorders>
          </w:tcPr>
          <w:p w14:paraId="74901363" w14:textId="77777777" w:rsidR="00F02481" w:rsidRPr="00BE78CA" w:rsidRDefault="00F02481" w:rsidP="000F4164">
            <w:pPr>
              <w:pStyle w:val="TableText"/>
              <w:spacing w:before="50" w:after="50"/>
              <w:jc w:val="center"/>
              <w:rPr>
                <w:rFonts w:cs="Calibri"/>
              </w:rPr>
            </w:pPr>
            <w:r w:rsidRPr="00BE78CA">
              <w:rPr>
                <w:rFonts w:cs="Calibri"/>
              </w:rPr>
              <w:t>56.0</w:t>
            </w:r>
          </w:p>
        </w:tc>
      </w:tr>
      <w:tr w:rsidR="00F02481" w:rsidRPr="00BE78CA" w14:paraId="16F8CDCD" w14:textId="77777777" w:rsidTr="00995D81">
        <w:trPr>
          <w:trHeight w:val="247"/>
        </w:trPr>
        <w:tc>
          <w:tcPr>
            <w:tcW w:w="1081" w:type="dxa"/>
            <w:tcBorders>
              <w:top w:val="single" w:sz="6" w:space="0" w:color="365F91"/>
              <w:left w:val="nil"/>
              <w:bottom w:val="single" w:sz="6" w:space="0" w:color="365F91"/>
            </w:tcBorders>
          </w:tcPr>
          <w:p w14:paraId="21F25C38" w14:textId="77777777" w:rsidR="00F02481" w:rsidRPr="00BE78CA" w:rsidRDefault="00F02481" w:rsidP="000F4164">
            <w:pPr>
              <w:pStyle w:val="TableText"/>
              <w:spacing w:before="50" w:after="50"/>
              <w:rPr>
                <w:rFonts w:cs="Calibri"/>
              </w:rPr>
            </w:pPr>
            <w:r w:rsidRPr="00BE78CA">
              <w:rPr>
                <w:rFonts w:cs="Calibri"/>
              </w:rPr>
              <w:t>2012</w:t>
            </w:r>
          </w:p>
        </w:tc>
        <w:tc>
          <w:tcPr>
            <w:tcW w:w="2484" w:type="dxa"/>
            <w:tcBorders>
              <w:top w:val="single" w:sz="6" w:space="0" w:color="365F91"/>
              <w:bottom w:val="single" w:sz="6" w:space="0" w:color="365F91"/>
            </w:tcBorders>
          </w:tcPr>
          <w:p w14:paraId="69C8A6F5" w14:textId="77777777" w:rsidR="00F02481" w:rsidRPr="00BE78CA" w:rsidRDefault="00F02481" w:rsidP="000F4164">
            <w:pPr>
              <w:pStyle w:val="TableText"/>
              <w:spacing w:before="50" w:after="50"/>
              <w:jc w:val="center"/>
              <w:rPr>
                <w:rFonts w:cs="Calibri"/>
              </w:rPr>
            </w:pPr>
            <w:r w:rsidRPr="00BE78CA">
              <w:rPr>
                <w:rFonts w:cs="Calibri"/>
              </w:rPr>
              <w:t>33.4</w:t>
            </w:r>
          </w:p>
        </w:tc>
        <w:tc>
          <w:tcPr>
            <w:tcW w:w="2269" w:type="dxa"/>
            <w:tcBorders>
              <w:top w:val="single" w:sz="6" w:space="0" w:color="365F91"/>
              <w:bottom w:val="single" w:sz="6" w:space="0" w:color="365F91"/>
            </w:tcBorders>
          </w:tcPr>
          <w:p w14:paraId="51BA044E" w14:textId="77777777" w:rsidR="00F02481" w:rsidRPr="00BE78CA" w:rsidRDefault="00F02481" w:rsidP="000F4164">
            <w:pPr>
              <w:pStyle w:val="TableText"/>
              <w:spacing w:before="50" w:after="50"/>
              <w:jc w:val="center"/>
              <w:rPr>
                <w:rFonts w:cs="Calibri"/>
              </w:rPr>
            </w:pPr>
            <w:r w:rsidRPr="00BE78CA">
              <w:rPr>
                <w:rFonts w:cs="Calibri"/>
              </w:rPr>
              <w:t>19.3</w:t>
            </w:r>
          </w:p>
        </w:tc>
        <w:tc>
          <w:tcPr>
            <w:tcW w:w="2161" w:type="dxa"/>
            <w:tcBorders>
              <w:top w:val="single" w:sz="6" w:space="0" w:color="365F91"/>
              <w:bottom w:val="single" w:sz="6" w:space="0" w:color="365F91"/>
              <w:right w:val="nil"/>
            </w:tcBorders>
          </w:tcPr>
          <w:p w14:paraId="6844157A" w14:textId="77777777" w:rsidR="00F02481" w:rsidRPr="00BE78CA" w:rsidRDefault="00F02481" w:rsidP="000F4164">
            <w:pPr>
              <w:pStyle w:val="TableText"/>
              <w:spacing w:before="50" w:after="50"/>
              <w:jc w:val="center"/>
              <w:rPr>
                <w:rFonts w:cs="Calibri"/>
              </w:rPr>
            </w:pPr>
            <w:r w:rsidRPr="00BE78CA">
              <w:rPr>
                <w:rFonts w:cs="Calibri"/>
              </w:rPr>
              <w:t>58.0</w:t>
            </w:r>
          </w:p>
        </w:tc>
      </w:tr>
      <w:tr w:rsidR="00F02481" w:rsidRPr="00BE78CA" w14:paraId="0891DAAE" w14:textId="77777777" w:rsidTr="00995D81">
        <w:trPr>
          <w:trHeight w:val="247"/>
        </w:trPr>
        <w:tc>
          <w:tcPr>
            <w:tcW w:w="1081" w:type="dxa"/>
            <w:tcBorders>
              <w:top w:val="single" w:sz="6" w:space="0" w:color="365F91"/>
              <w:left w:val="nil"/>
              <w:bottom w:val="single" w:sz="4" w:space="0" w:color="365F91"/>
            </w:tcBorders>
          </w:tcPr>
          <w:p w14:paraId="61FBFB33" w14:textId="77777777" w:rsidR="00F02481" w:rsidRPr="00BE78CA" w:rsidRDefault="00F02481" w:rsidP="000F4164">
            <w:pPr>
              <w:pStyle w:val="TableText"/>
              <w:spacing w:before="50" w:after="50"/>
              <w:rPr>
                <w:rFonts w:cs="Calibri"/>
              </w:rPr>
            </w:pPr>
            <w:r w:rsidRPr="00BE78CA">
              <w:rPr>
                <w:rFonts w:cs="Calibri"/>
              </w:rPr>
              <w:t>2019</w:t>
            </w:r>
          </w:p>
        </w:tc>
        <w:tc>
          <w:tcPr>
            <w:tcW w:w="2484" w:type="dxa"/>
            <w:tcBorders>
              <w:top w:val="single" w:sz="6" w:space="0" w:color="365F91"/>
              <w:bottom w:val="single" w:sz="4" w:space="0" w:color="365F91"/>
            </w:tcBorders>
          </w:tcPr>
          <w:p w14:paraId="1AE0C98B" w14:textId="77777777" w:rsidR="00F02481" w:rsidRPr="00BE78CA" w:rsidRDefault="00F02481" w:rsidP="000F4164">
            <w:pPr>
              <w:pStyle w:val="TableText"/>
              <w:spacing w:before="50" w:after="50"/>
              <w:jc w:val="center"/>
              <w:rPr>
                <w:rFonts w:cs="Calibri"/>
              </w:rPr>
            </w:pPr>
            <w:r w:rsidRPr="00BE78CA">
              <w:rPr>
                <w:rFonts w:cs="Calibri"/>
              </w:rPr>
              <w:t>26.1</w:t>
            </w:r>
          </w:p>
        </w:tc>
        <w:tc>
          <w:tcPr>
            <w:tcW w:w="2269" w:type="dxa"/>
            <w:tcBorders>
              <w:top w:val="single" w:sz="6" w:space="0" w:color="365F91"/>
              <w:bottom w:val="single" w:sz="4" w:space="0" w:color="365F91"/>
            </w:tcBorders>
          </w:tcPr>
          <w:p w14:paraId="3CA09032" w14:textId="77777777" w:rsidR="00F02481" w:rsidRPr="00BE78CA" w:rsidRDefault="00F02481" w:rsidP="000F4164">
            <w:pPr>
              <w:pStyle w:val="TableText"/>
              <w:spacing w:before="50" w:after="50"/>
              <w:jc w:val="center"/>
              <w:rPr>
                <w:rFonts w:cs="Calibri"/>
              </w:rPr>
            </w:pPr>
            <w:r w:rsidRPr="00BE78CA">
              <w:rPr>
                <w:rFonts w:cs="Calibri"/>
              </w:rPr>
              <w:t>18.7</w:t>
            </w:r>
          </w:p>
        </w:tc>
        <w:tc>
          <w:tcPr>
            <w:tcW w:w="2161" w:type="dxa"/>
            <w:tcBorders>
              <w:top w:val="single" w:sz="6" w:space="0" w:color="365F91"/>
              <w:bottom w:val="single" w:sz="4" w:space="0" w:color="365F91"/>
              <w:right w:val="nil"/>
            </w:tcBorders>
          </w:tcPr>
          <w:p w14:paraId="76C89891" w14:textId="77777777" w:rsidR="00F02481" w:rsidRPr="00BE78CA" w:rsidRDefault="00F02481" w:rsidP="000F4164">
            <w:pPr>
              <w:pStyle w:val="TableText"/>
              <w:spacing w:before="50" w:after="50"/>
              <w:jc w:val="center"/>
              <w:rPr>
                <w:rFonts w:cs="Calibri"/>
              </w:rPr>
            </w:pPr>
            <w:r w:rsidRPr="00BE78CA">
              <w:rPr>
                <w:rFonts w:cs="Calibri"/>
              </w:rPr>
              <w:t>33.4</w:t>
            </w:r>
          </w:p>
        </w:tc>
      </w:tr>
    </w:tbl>
    <w:p w14:paraId="5E7EFD2E" w14:textId="77777777" w:rsidR="00F02481" w:rsidRPr="00BE78CA" w:rsidRDefault="00F02481" w:rsidP="00C26084">
      <w:pPr>
        <w:pStyle w:val="Noteundertable"/>
        <w:rPr>
          <w:rFonts w:cs="Calibri"/>
        </w:rPr>
      </w:pPr>
      <w:r w:rsidRPr="00BE78CA">
        <w:rPr>
          <w:rFonts w:cs="Calibri"/>
          <w:b/>
          <w:bCs/>
        </w:rPr>
        <w:t>Note:</w:t>
      </w:r>
      <w:r w:rsidRPr="00BE78CA">
        <w:rPr>
          <w:rFonts w:cs="Calibri"/>
        </w:rPr>
        <w:t xml:space="preserve"> </w:t>
      </w:r>
      <w:r w:rsidRPr="00BE78CA">
        <w:rPr>
          <w:rFonts w:cs="Calibri"/>
        </w:rPr>
        <w:tab/>
        <w:t>The N</w:t>
      </w:r>
      <w:r w:rsidRPr="00BE78CA">
        <w:rPr>
          <w:rFonts w:cs="Calibri"/>
          <w:vertAlign w:val="subscript"/>
        </w:rPr>
        <w:t>2</w:t>
      </w:r>
      <w:r w:rsidRPr="00BE78CA">
        <w:rPr>
          <w:rFonts w:cs="Calibri"/>
        </w:rPr>
        <w:t>O emissions listed in this table for each year were calculated based on the reporting rules and methodologies used at that time.</w:t>
      </w:r>
    </w:p>
    <w:p w14:paraId="48C3C1D9" w14:textId="1575C243" w:rsidR="00F02481" w:rsidRPr="00BE78CA" w:rsidRDefault="00F02481" w:rsidP="00C26084">
      <w:pPr>
        <w:pStyle w:val="BodyText"/>
        <w:rPr>
          <w:rFonts w:cs="Calibri"/>
        </w:rPr>
      </w:pPr>
      <w:r w:rsidRPr="00BE78CA">
        <w:rPr>
          <w:rFonts w:cs="Calibri"/>
        </w:rPr>
        <w:t>The overall inventory uncertainty analysis shown in annex 2 demonstrates that the uncertainty</w:t>
      </w:r>
      <w:r w:rsidR="00434920" w:rsidRPr="00BE78CA">
        <w:rPr>
          <w:rFonts w:cs="Calibri"/>
        </w:rPr>
        <w:t> </w:t>
      </w:r>
      <w:r w:rsidRPr="00BE78CA">
        <w:rPr>
          <w:rFonts w:cs="Calibri"/>
        </w:rPr>
        <w:t xml:space="preserve">in annual emissions from </w:t>
      </w:r>
      <w:r w:rsidRPr="00BE78CA">
        <w:rPr>
          <w:rFonts w:cs="Calibri"/>
          <w:i/>
          <w:iCs/>
        </w:rPr>
        <w:t>Agricultural soils</w:t>
      </w:r>
      <w:r w:rsidRPr="00BE78CA">
        <w:rPr>
          <w:rFonts w:cs="Calibri"/>
        </w:rPr>
        <w:t xml:space="preserve"> is a major contributor to uncertainty in</w:t>
      </w:r>
      <w:r w:rsidR="00434920" w:rsidRPr="00BE78CA">
        <w:rPr>
          <w:rFonts w:cs="Calibri"/>
        </w:rPr>
        <w:t> </w:t>
      </w:r>
      <w:r w:rsidRPr="00BE78CA">
        <w:rPr>
          <w:rFonts w:cs="Calibri"/>
        </w:rPr>
        <w:t xml:space="preserve">New Zealand’s total greenhouse gas emissions and in the trend from 1990. The uncertainty between years was assumed to be correlated, and therefore the uncertainty is mostly associated with the emission factors. The uncertainty associated with the trend is much lower than the uncertainty for an annual estimate. </w:t>
      </w:r>
    </w:p>
    <w:p w14:paraId="18F09081" w14:textId="77777777" w:rsidR="00F02481" w:rsidRPr="00BE78CA" w:rsidRDefault="00F02481" w:rsidP="00C26084">
      <w:pPr>
        <w:pStyle w:val="BodyText"/>
        <w:rPr>
          <w:rFonts w:cs="Calibri"/>
        </w:rPr>
      </w:pPr>
      <w:r w:rsidRPr="00BE78CA">
        <w:rPr>
          <w:rFonts w:cs="Calibri"/>
        </w:rPr>
        <w:t xml:space="preserve">The uncertainty in emissions from </w:t>
      </w:r>
      <w:r w:rsidRPr="00BE78CA">
        <w:rPr>
          <w:rFonts w:cs="Calibri"/>
          <w:i/>
          <w:iCs/>
        </w:rPr>
        <w:t>Agricultural soils</w:t>
      </w:r>
      <w:r w:rsidRPr="00BE78CA">
        <w:rPr>
          <w:rFonts w:cs="Calibri"/>
        </w:rPr>
        <w:t xml:space="preserve"> is largely due to the parameter EF</w:t>
      </w:r>
      <w:r w:rsidRPr="00BE78CA">
        <w:rPr>
          <w:rFonts w:cs="Calibri"/>
          <w:vertAlign w:val="subscript"/>
        </w:rPr>
        <w:t>3(PRP)</w:t>
      </w:r>
      <w:r w:rsidRPr="00BE78CA">
        <w:rPr>
          <w:rFonts w:cs="Calibri"/>
        </w:rPr>
        <w:t xml:space="preserve"> and emissions from urine and dung deposited by grazing animals. This uncertainty reflects natural variance in EF</w:t>
      </w:r>
      <w:r w:rsidRPr="00BE78CA">
        <w:rPr>
          <w:rFonts w:cs="Calibri"/>
          <w:vertAlign w:val="subscript"/>
        </w:rPr>
        <w:t xml:space="preserve">3 </w:t>
      </w:r>
      <w:r w:rsidRPr="00BE78CA">
        <w:rPr>
          <w:rFonts w:cs="Calibri"/>
        </w:rPr>
        <w:t>due to weather, climate and soil type (Kelliher et al., unpublished(b)).</w:t>
      </w:r>
    </w:p>
    <w:p w14:paraId="5FE46334" w14:textId="77777777" w:rsidR="00F02481" w:rsidRPr="00BE78CA" w:rsidRDefault="00F02481" w:rsidP="00C26084">
      <w:pPr>
        <w:pStyle w:val="Heading3"/>
        <w:spacing w:before="240"/>
        <w:rPr>
          <w:rFonts w:cs="Calibri"/>
        </w:rPr>
      </w:pPr>
      <w:bookmarkStart w:id="946" w:name="_Toc139253936"/>
      <w:bookmarkStart w:id="947" w:name="_Toc32570670"/>
      <w:r w:rsidRPr="00BE78CA">
        <w:rPr>
          <w:rFonts w:cs="Calibri"/>
        </w:rPr>
        <w:t>5.5.4</w:t>
      </w:r>
      <w:r w:rsidRPr="00BE78CA">
        <w:rPr>
          <w:rFonts w:cs="Calibri"/>
        </w:rPr>
        <w:tab/>
        <w:t>Source-specific QA/QC and verification</w:t>
      </w:r>
      <w:bookmarkEnd w:id="946"/>
      <w:bookmarkEnd w:id="947"/>
    </w:p>
    <w:p w14:paraId="57BEA086" w14:textId="77777777" w:rsidR="00F02481" w:rsidRPr="00BE78CA" w:rsidRDefault="00F02481" w:rsidP="00C26084">
      <w:pPr>
        <w:pStyle w:val="BodyText"/>
        <w:rPr>
          <w:rFonts w:cs="Calibri"/>
        </w:rPr>
      </w:pPr>
      <w:r w:rsidRPr="00BE78CA">
        <w:rPr>
          <w:rFonts w:cs="Calibri"/>
        </w:rPr>
        <w:t>In preparation for this inventory submission, the data underwent Tier 1 and Tier 2 quality checks.</w:t>
      </w:r>
    </w:p>
    <w:p w14:paraId="47211E54" w14:textId="77777777" w:rsidR="00F02481" w:rsidRPr="00BE78CA" w:rsidRDefault="00F02481" w:rsidP="00C26084">
      <w:pPr>
        <w:pStyle w:val="Heading5"/>
        <w:spacing w:before="120"/>
        <w:rPr>
          <w:rFonts w:cs="Calibri"/>
        </w:rPr>
      </w:pPr>
      <w:r w:rsidRPr="00BE78CA">
        <w:rPr>
          <w:rFonts w:cs="Calibri"/>
        </w:rPr>
        <w:t>Verification of activity data</w:t>
      </w:r>
    </w:p>
    <w:p w14:paraId="5C955AB3" w14:textId="77777777" w:rsidR="00F02481" w:rsidRPr="00BE78CA" w:rsidRDefault="00F02481" w:rsidP="00C26084">
      <w:pPr>
        <w:pStyle w:val="BodyText"/>
        <w:spacing w:before="80"/>
        <w:rPr>
          <w:rFonts w:cs="Calibri"/>
        </w:rPr>
      </w:pPr>
      <w:r w:rsidRPr="00BE78CA">
        <w:rPr>
          <w:rFonts w:cs="Calibri"/>
        </w:rPr>
        <w:t xml:space="preserve">Research has been carried out to verify the activity data for crops. In 2008 and 2011, MPI commissioned reports investigating </w:t>
      </w:r>
      <w:r w:rsidRPr="00BE78CA">
        <w:rPr>
          <w:rFonts w:cs="Calibri"/>
          <w:spacing w:val="-2"/>
        </w:rPr>
        <w:t>N</w:t>
      </w:r>
      <w:r w:rsidRPr="00BE78CA">
        <w:rPr>
          <w:rFonts w:cs="Calibri"/>
          <w:spacing w:val="-2"/>
          <w:vertAlign w:val="subscript"/>
        </w:rPr>
        <w:t>2</w:t>
      </w:r>
      <w:r w:rsidRPr="00BE78CA">
        <w:rPr>
          <w:rFonts w:cs="Calibri"/>
          <w:spacing w:val="-2"/>
        </w:rPr>
        <w:t>O</w:t>
      </w:r>
      <w:r w:rsidRPr="00BE78CA">
        <w:rPr>
          <w:rFonts w:cs="Calibri"/>
        </w:rPr>
        <w:t xml:space="preserve"> emission factors and activity data for crops (Thomas et al., 2008, 2011). The reports compared activity data from Stats NZ’s Agricultural Production survey with the Foundation for Arable Research production database. Data for </w:t>
      </w:r>
      <w:r w:rsidRPr="00BE78CA">
        <w:rPr>
          <w:rFonts w:cs="Calibri"/>
        </w:rPr>
        <w:lastRenderedPageBreak/>
        <w:t>wheat and maize between the two data sources were very similar, although there were differences for some of the other crops.</w:t>
      </w:r>
    </w:p>
    <w:p w14:paraId="68C56B3A" w14:textId="77777777" w:rsidR="00F02481" w:rsidRPr="00BE78CA" w:rsidRDefault="00F02481" w:rsidP="00C26084">
      <w:pPr>
        <w:pStyle w:val="BodyText"/>
        <w:rPr>
          <w:rFonts w:cs="Calibri"/>
        </w:rPr>
      </w:pPr>
      <w:r w:rsidRPr="00BE78CA">
        <w:rPr>
          <w:rFonts w:cs="Calibri"/>
        </w:rPr>
        <w:t xml:space="preserve">The accuracy of synthetic nitrogen fertiliser data has also been assessed by comparing fertiliser sales data received from the Fertiliser Association of New Zealand with data collected from the Agricultural Production survey. </w:t>
      </w:r>
    </w:p>
    <w:p w14:paraId="78AF86FA" w14:textId="77777777" w:rsidR="00F02481" w:rsidRPr="00BE78CA" w:rsidRDefault="00F02481" w:rsidP="00C26084">
      <w:pPr>
        <w:pStyle w:val="BodyText"/>
        <w:rPr>
          <w:rFonts w:cs="Calibri"/>
        </w:rPr>
      </w:pPr>
      <w:r w:rsidRPr="00BE78CA">
        <w:rPr>
          <w:rFonts w:cs="Calibri"/>
        </w:rPr>
        <w:t xml:space="preserve">The Fertiliser Association sales data are used rather than the Agricultural Production survey data because the sales data are considered to be more accurate. Around 98 per cent of New Zealand synthetic nitrogen fertiliser is sold by two large companies that provide sales data to the Fertiliser Association. The Fertiliser Association provides an estimate of the additional synthetic nitrogen fertiliser sold by other companies (2 per cent). In contrast, the Agricultural Production survey data are collected from around 35,000 individual farmers. There are a large number of differently named fertilisers, and the survey respondents often have difficulty filling in the fertiliser component in the annual questionnaire. Some farmers use contract fertiliser spreading companies (including aerial spreading) and may not have an accurate estimate of the tonnes of fertiliser applied. The Agricultural Production census and survey data verified the long-term trend of the increasing use of synthetic nitrogen fertiliser. </w:t>
      </w:r>
    </w:p>
    <w:p w14:paraId="00DA2F24" w14:textId="77777777" w:rsidR="00F02481" w:rsidRPr="00BE78CA" w:rsidRDefault="00F02481" w:rsidP="00C26084">
      <w:pPr>
        <w:pStyle w:val="Heading5"/>
        <w:rPr>
          <w:rFonts w:cs="Calibri"/>
        </w:rPr>
      </w:pPr>
      <w:r w:rsidRPr="00BE78CA">
        <w:rPr>
          <w:rFonts w:cs="Calibri"/>
        </w:rPr>
        <w:t>Comparison of New Zealand emission factors and parameters with IPCC default values</w:t>
      </w:r>
    </w:p>
    <w:p w14:paraId="4D4F378B" w14:textId="77777777" w:rsidR="00F02481" w:rsidRPr="00BE78CA" w:rsidRDefault="00F02481" w:rsidP="00C26084">
      <w:pPr>
        <w:pStyle w:val="BodyText"/>
      </w:pPr>
      <w:r w:rsidRPr="00BE78CA">
        <w:t>Table 5.5.12 compares New Zealand’s IEFs for EF</w:t>
      </w:r>
      <w:r w:rsidRPr="00BE78CA">
        <w:rPr>
          <w:vertAlign w:val="subscript"/>
        </w:rPr>
        <w:t>1</w:t>
      </w:r>
      <w:r w:rsidRPr="00BE78CA">
        <w:t xml:space="preserve"> (synthetic nitrogen fertiliser) and EF</w:t>
      </w:r>
      <w:r w:rsidRPr="00BE78CA">
        <w:rPr>
          <w:vertAlign w:val="subscript"/>
        </w:rPr>
        <w:t>3(PRP)</w:t>
      </w:r>
      <w:r w:rsidRPr="00BE78CA">
        <w:t xml:space="preserve"> (urine and dung deposited by grazing animals) with the 2006 IPCC default values and emission factors used by Australia. The New Zealand IEF value is lower than the IPCC default due to the use of a country-specific emissions factor for urea fertiliser and the incorporation of effect of urease inhibitors. For EF</w:t>
      </w:r>
      <w:r w:rsidRPr="00BE78CA">
        <w:rPr>
          <w:vertAlign w:val="subscript"/>
        </w:rPr>
        <w:t>3</w:t>
      </w:r>
      <w:r w:rsidRPr="00BE78CA">
        <w:t>,</w:t>
      </w:r>
      <w:r w:rsidRPr="00BE78CA">
        <w:rPr>
          <w:vertAlign w:val="subscript"/>
        </w:rPr>
        <w:t xml:space="preserve"> </w:t>
      </w:r>
      <w:r w:rsidRPr="00BE78CA">
        <w:t xml:space="preserve">the New Zealand value is lower than the IPCC default. This reflects research that has developed country-specific emission factors for dung and urine from trials summarised by van der Weerden et al. (2019) (see section 5.5.2). </w:t>
      </w:r>
    </w:p>
    <w:p w14:paraId="7312A390" w14:textId="77777777" w:rsidR="00F02481" w:rsidRPr="00BE78CA" w:rsidRDefault="00F02481" w:rsidP="00C26084">
      <w:pPr>
        <w:pStyle w:val="Table"/>
        <w:rPr>
          <w:rFonts w:cs="Calibri"/>
        </w:rPr>
      </w:pPr>
      <w:bookmarkStart w:id="948" w:name="_Toc441830888"/>
      <w:bookmarkStart w:id="949" w:name="_Toc451176102"/>
      <w:bookmarkStart w:id="950" w:name="_Toc481751529"/>
      <w:bookmarkStart w:id="951" w:name="_Toc507158617"/>
      <w:bookmarkStart w:id="952" w:name="_Toc511116751"/>
      <w:bookmarkStart w:id="953" w:name="_Toc5269493"/>
      <w:bookmarkStart w:id="954" w:name="_Toc32570938"/>
      <w:bookmarkStart w:id="955" w:name="_Toc36224573"/>
      <w:bookmarkStart w:id="956" w:name="_Toc68786458"/>
      <w:bookmarkStart w:id="957" w:name="_Toc288316759"/>
      <w:bookmarkStart w:id="958" w:name="_Toc352504977"/>
      <w:r w:rsidRPr="00BE78CA">
        <w:rPr>
          <w:rFonts w:cs="Calibri"/>
        </w:rPr>
        <w:t>Table 5.5.12</w:t>
      </w:r>
      <w:r w:rsidRPr="00BE78CA">
        <w:rPr>
          <w:rFonts w:cs="Calibri"/>
        </w:rPr>
        <w:tab/>
        <w:t>Comparison of New Zealand’s implied emission factors (IEFs) for EF</w:t>
      </w:r>
      <w:r w:rsidRPr="00BE78CA">
        <w:rPr>
          <w:rFonts w:cs="Calibri"/>
          <w:vertAlign w:val="subscript"/>
        </w:rPr>
        <w:t>1</w:t>
      </w:r>
      <w:r w:rsidRPr="00BE78CA">
        <w:rPr>
          <w:rFonts w:cs="Calibri"/>
        </w:rPr>
        <w:t xml:space="preserve"> (synthetic nitrogen fertiliser) and EF</w:t>
      </w:r>
      <w:r w:rsidRPr="00BE78CA">
        <w:rPr>
          <w:rFonts w:cs="Calibri"/>
          <w:vertAlign w:val="subscript"/>
        </w:rPr>
        <w:t>3(PRP)</w:t>
      </w:r>
      <w:r w:rsidRPr="00BE78CA">
        <w:rPr>
          <w:rFonts w:cs="Calibri"/>
        </w:rPr>
        <w:t xml:space="preserve"> (pasture, range and paddock manure) with the IPCC default and the Australia</w:t>
      </w:r>
      <w:bookmarkEnd w:id="948"/>
      <w:r w:rsidRPr="00BE78CA">
        <w:rPr>
          <w:rFonts w:cs="Calibri"/>
        </w:rPr>
        <w:t>n-specific value</w:t>
      </w:r>
      <w:bookmarkEnd w:id="949"/>
      <w:bookmarkEnd w:id="950"/>
      <w:bookmarkEnd w:id="951"/>
      <w:bookmarkEnd w:id="952"/>
      <w:bookmarkEnd w:id="953"/>
      <w:bookmarkEnd w:id="954"/>
      <w:bookmarkEnd w:id="955"/>
      <w:bookmarkEnd w:id="956"/>
      <w:r w:rsidRPr="00BE78CA">
        <w:rPr>
          <w:rFonts w:cs="Calibri"/>
        </w:rPr>
        <w:t xml:space="preserve"> </w:t>
      </w:r>
      <w:bookmarkEnd w:id="957"/>
      <w:bookmarkEnd w:id="958"/>
    </w:p>
    <w:tbl>
      <w:tblPr>
        <w:tblW w:w="8505" w:type="dxa"/>
        <w:tblBorders>
          <w:top w:val="single" w:sz="4" w:space="0" w:color="365F91"/>
          <w:bottom w:val="single" w:sz="4" w:space="0" w:color="365F91"/>
          <w:insideH w:val="single" w:sz="4" w:space="0" w:color="365F91"/>
        </w:tblBorders>
        <w:tblLook w:val="01E0" w:firstRow="1" w:lastRow="1" w:firstColumn="1" w:lastColumn="1" w:noHBand="0" w:noVBand="0"/>
      </w:tblPr>
      <w:tblGrid>
        <w:gridCol w:w="3181"/>
        <w:gridCol w:w="2633"/>
        <w:gridCol w:w="2691"/>
      </w:tblGrid>
      <w:tr w:rsidR="002828F0" w:rsidRPr="00BE78CA" w14:paraId="513A234D" w14:textId="77777777" w:rsidTr="002828F0">
        <w:tc>
          <w:tcPr>
            <w:tcW w:w="1870" w:type="pct"/>
            <w:shd w:val="clear" w:color="auto" w:fill="365F91"/>
            <w:vAlign w:val="bottom"/>
          </w:tcPr>
          <w:p w14:paraId="2D19CF56" w14:textId="77777777" w:rsidR="00F02481" w:rsidRPr="00BE78CA" w:rsidRDefault="00F02481" w:rsidP="00C26084">
            <w:pPr>
              <w:pStyle w:val="TableTextBold"/>
              <w:rPr>
                <w:noProof w:val="0"/>
                <w:color w:val="FFFFFF" w:themeColor="background1"/>
                <w:szCs w:val="16"/>
              </w:rPr>
            </w:pPr>
          </w:p>
        </w:tc>
        <w:tc>
          <w:tcPr>
            <w:tcW w:w="1548" w:type="pct"/>
            <w:shd w:val="clear" w:color="auto" w:fill="365F91"/>
            <w:vAlign w:val="bottom"/>
          </w:tcPr>
          <w:p w14:paraId="5233F22E" w14:textId="77777777" w:rsidR="00F02481" w:rsidRPr="00BE78CA" w:rsidRDefault="00F02481" w:rsidP="00C26084">
            <w:pPr>
              <w:pStyle w:val="TableTextBold"/>
              <w:rPr>
                <w:noProof w:val="0"/>
                <w:color w:val="FFFFFF" w:themeColor="background1"/>
                <w:szCs w:val="16"/>
              </w:rPr>
            </w:pPr>
            <w:r w:rsidRPr="00BE78CA">
              <w:rPr>
                <w:noProof w:val="0"/>
                <w:color w:val="FFFFFF" w:themeColor="background1"/>
                <w:szCs w:val="16"/>
              </w:rPr>
              <w:t>EF</w:t>
            </w:r>
            <w:r w:rsidRPr="00BE78CA">
              <w:rPr>
                <w:noProof w:val="0"/>
                <w:color w:val="FFFFFF" w:themeColor="background1"/>
                <w:szCs w:val="16"/>
                <w:vertAlign w:val="subscript"/>
              </w:rPr>
              <w:t>1</w:t>
            </w:r>
            <w:r w:rsidRPr="00BE78CA">
              <w:rPr>
                <w:noProof w:val="0"/>
                <w:color w:val="FFFFFF" w:themeColor="background1"/>
                <w:szCs w:val="16"/>
              </w:rPr>
              <w:t xml:space="preserve"> (kg N</w:t>
            </w:r>
            <w:r w:rsidRPr="00BE78CA">
              <w:rPr>
                <w:noProof w:val="0"/>
                <w:color w:val="FFFFFF" w:themeColor="background1"/>
                <w:szCs w:val="16"/>
                <w:vertAlign w:val="subscript"/>
              </w:rPr>
              <w:t>2</w:t>
            </w:r>
            <w:r w:rsidRPr="00BE78CA">
              <w:rPr>
                <w:noProof w:val="0"/>
                <w:color w:val="FFFFFF" w:themeColor="background1"/>
                <w:szCs w:val="16"/>
              </w:rPr>
              <w:t>O-N/kg N)</w:t>
            </w:r>
          </w:p>
        </w:tc>
        <w:tc>
          <w:tcPr>
            <w:tcW w:w="1582" w:type="pct"/>
            <w:shd w:val="clear" w:color="auto" w:fill="365F91"/>
            <w:vAlign w:val="bottom"/>
          </w:tcPr>
          <w:p w14:paraId="2DDEA3AE" w14:textId="77777777" w:rsidR="00F02481" w:rsidRPr="00BE78CA" w:rsidRDefault="00F02481" w:rsidP="00C26084">
            <w:pPr>
              <w:pStyle w:val="TableTextBold"/>
              <w:rPr>
                <w:noProof w:val="0"/>
                <w:color w:val="FFFFFF" w:themeColor="background1"/>
                <w:szCs w:val="16"/>
              </w:rPr>
            </w:pPr>
            <w:r w:rsidRPr="00BE78CA">
              <w:rPr>
                <w:noProof w:val="0"/>
                <w:color w:val="FFFFFF" w:themeColor="background1"/>
                <w:szCs w:val="16"/>
              </w:rPr>
              <w:t>EF</w:t>
            </w:r>
            <w:r w:rsidRPr="00BE78CA">
              <w:rPr>
                <w:noProof w:val="0"/>
                <w:color w:val="FFFFFF" w:themeColor="background1"/>
                <w:szCs w:val="16"/>
                <w:vertAlign w:val="subscript"/>
              </w:rPr>
              <w:t>3</w:t>
            </w:r>
            <w:r w:rsidRPr="00BE78CA">
              <w:rPr>
                <w:noProof w:val="0"/>
                <w:color w:val="FFFFFF" w:themeColor="background1"/>
                <w:szCs w:val="16"/>
              </w:rPr>
              <w:t xml:space="preserve"> (kg N</w:t>
            </w:r>
            <w:r w:rsidRPr="00BE78CA">
              <w:rPr>
                <w:noProof w:val="0"/>
                <w:color w:val="FFFFFF" w:themeColor="background1"/>
                <w:szCs w:val="16"/>
                <w:vertAlign w:val="subscript"/>
              </w:rPr>
              <w:t>2</w:t>
            </w:r>
            <w:r w:rsidRPr="00BE78CA">
              <w:rPr>
                <w:noProof w:val="0"/>
                <w:color w:val="FFFFFF" w:themeColor="background1"/>
                <w:szCs w:val="16"/>
              </w:rPr>
              <w:t>O-N/kg N excreted)</w:t>
            </w:r>
          </w:p>
        </w:tc>
      </w:tr>
      <w:tr w:rsidR="00F02481" w:rsidRPr="00BE78CA" w14:paraId="3C8043FA" w14:textId="77777777" w:rsidTr="002828F0">
        <w:tc>
          <w:tcPr>
            <w:tcW w:w="1870" w:type="pct"/>
          </w:tcPr>
          <w:p w14:paraId="3E6919B0" w14:textId="77777777" w:rsidR="00F02481" w:rsidRPr="00BE78CA" w:rsidRDefault="00F02481" w:rsidP="000F4164">
            <w:pPr>
              <w:pStyle w:val="TableText"/>
              <w:spacing w:before="50" w:after="50"/>
              <w:rPr>
                <w:rFonts w:cs="Calibri"/>
                <w:szCs w:val="16"/>
              </w:rPr>
            </w:pPr>
            <w:r w:rsidRPr="00BE78CA">
              <w:rPr>
                <w:rFonts w:cs="Calibri"/>
                <w:szCs w:val="16"/>
              </w:rPr>
              <w:t>IPCC (2006) developed temperate climate/Oceania default value</w:t>
            </w:r>
          </w:p>
        </w:tc>
        <w:tc>
          <w:tcPr>
            <w:tcW w:w="1548" w:type="pct"/>
          </w:tcPr>
          <w:p w14:paraId="610B512C" w14:textId="77777777" w:rsidR="00F02481" w:rsidRPr="00BE78CA" w:rsidRDefault="00F02481" w:rsidP="000F4164">
            <w:pPr>
              <w:pStyle w:val="TableText"/>
              <w:spacing w:before="50" w:after="50"/>
              <w:rPr>
                <w:rFonts w:cs="Calibri"/>
                <w:szCs w:val="16"/>
              </w:rPr>
            </w:pPr>
            <w:r w:rsidRPr="00BE78CA">
              <w:rPr>
                <w:rFonts w:cs="Calibri"/>
                <w:szCs w:val="16"/>
              </w:rPr>
              <w:t>0.01</w:t>
            </w:r>
          </w:p>
        </w:tc>
        <w:tc>
          <w:tcPr>
            <w:tcW w:w="1582" w:type="pct"/>
          </w:tcPr>
          <w:p w14:paraId="0A35F5D4" w14:textId="77777777" w:rsidR="00F02481" w:rsidRPr="00BE78CA" w:rsidRDefault="00F02481" w:rsidP="000F4164">
            <w:pPr>
              <w:pStyle w:val="TableText"/>
              <w:spacing w:before="50" w:after="0"/>
              <w:rPr>
                <w:rFonts w:cs="Calibri"/>
                <w:szCs w:val="16"/>
              </w:rPr>
            </w:pPr>
            <w:r w:rsidRPr="00BE78CA">
              <w:rPr>
                <w:rFonts w:cs="Calibri"/>
                <w:szCs w:val="16"/>
              </w:rPr>
              <w:t>0.02 (cattle, poultry and pigs)</w:t>
            </w:r>
          </w:p>
          <w:p w14:paraId="53248E9F" w14:textId="77777777" w:rsidR="00F02481" w:rsidRPr="00BE78CA" w:rsidRDefault="00F02481" w:rsidP="000F4164">
            <w:pPr>
              <w:pStyle w:val="TableText"/>
              <w:spacing w:before="40" w:after="50"/>
              <w:rPr>
                <w:rFonts w:cs="Calibri"/>
                <w:szCs w:val="16"/>
              </w:rPr>
            </w:pPr>
            <w:r w:rsidRPr="00BE78CA">
              <w:rPr>
                <w:rFonts w:cs="Calibri"/>
                <w:szCs w:val="16"/>
              </w:rPr>
              <w:t>0.01 (sheep and other animals)</w:t>
            </w:r>
          </w:p>
        </w:tc>
      </w:tr>
      <w:tr w:rsidR="00F02481" w:rsidRPr="00BE78CA" w14:paraId="71A2AA44" w14:textId="77777777" w:rsidTr="002828F0">
        <w:tc>
          <w:tcPr>
            <w:tcW w:w="1870" w:type="pct"/>
          </w:tcPr>
          <w:p w14:paraId="1FBC9BF9" w14:textId="77777777" w:rsidR="00F02481" w:rsidRPr="00BE78CA" w:rsidRDefault="00F02481" w:rsidP="000F4164">
            <w:pPr>
              <w:pStyle w:val="TableText"/>
              <w:spacing w:before="50" w:after="50"/>
              <w:rPr>
                <w:rFonts w:cs="Calibri"/>
                <w:szCs w:val="16"/>
              </w:rPr>
            </w:pPr>
            <w:r w:rsidRPr="00BE78CA">
              <w:rPr>
                <w:rFonts w:cs="Calibri"/>
                <w:szCs w:val="16"/>
              </w:rPr>
              <w:t>Australian-specific IEF 2018 value</w:t>
            </w:r>
          </w:p>
        </w:tc>
        <w:tc>
          <w:tcPr>
            <w:tcW w:w="1548" w:type="pct"/>
          </w:tcPr>
          <w:p w14:paraId="21B8643E" w14:textId="77777777" w:rsidR="00F02481" w:rsidRPr="00BE78CA" w:rsidRDefault="00F02481" w:rsidP="000F4164">
            <w:pPr>
              <w:pStyle w:val="TableText"/>
              <w:spacing w:before="50" w:after="50"/>
              <w:rPr>
                <w:rFonts w:cs="Calibri"/>
                <w:szCs w:val="16"/>
              </w:rPr>
            </w:pPr>
            <w:r w:rsidRPr="00BE78CA">
              <w:rPr>
                <w:rFonts w:cs="Calibri"/>
                <w:szCs w:val="16"/>
              </w:rPr>
              <w:t>0.0037</w:t>
            </w:r>
          </w:p>
        </w:tc>
        <w:tc>
          <w:tcPr>
            <w:tcW w:w="1582" w:type="pct"/>
          </w:tcPr>
          <w:p w14:paraId="39EA6E9F" w14:textId="77777777" w:rsidR="00F02481" w:rsidRPr="00BE78CA" w:rsidRDefault="00F02481" w:rsidP="000F4164">
            <w:pPr>
              <w:pStyle w:val="TableText"/>
              <w:spacing w:before="50" w:after="50"/>
              <w:rPr>
                <w:rFonts w:cs="Calibri"/>
                <w:szCs w:val="16"/>
              </w:rPr>
            </w:pPr>
            <w:r w:rsidRPr="00BE78CA">
              <w:rPr>
                <w:rFonts w:cs="Calibri"/>
                <w:szCs w:val="16"/>
              </w:rPr>
              <w:t>0.0040</w:t>
            </w:r>
          </w:p>
        </w:tc>
      </w:tr>
      <w:tr w:rsidR="00F02481" w:rsidRPr="00BE78CA" w14:paraId="42601F28" w14:textId="77777777" w:rsidTr="002828F0">
        <w:tc>
          <w:tcPr>
            <w:tcW w:w="1870" w:type="pct"/>
          </w:tcPr>
          <w:p w14:paraId="086AF11C" w14:textId="77777777" w:rsidR="00F02481" w:rsidRPr="00BE78CA" w:rsidRDefault="00F02481" w:rsidP="000F4164">
            <w:pPr>
              <w:pStyle w:val="TableText"/>
              <w:spacing w:before="50" w:after="50"/>
              <w:rPr>
                <w:rFonts w:cs="Calibri"/>
                <w:szCs w:val="16"/>
              </w:rPr>
            </w:pPr>
            <w:r w:rsidRPr="00BE78CA">
              <w:rPr>
                <w:rFonts w:cs="Calibri"/>
                <w:szCs w:val="16"/>
              </w:rPr>
              <w:t>New Zealand-specific IEF 2019 value</w:t>
            </w:r>
          </w:p>
        </w:tc>
        <w:tc>
          <w:tcPr>
            <w:tcW w:w="1548" w:type="pct"/>
          </w:tcPr>
          <w:p w14:paraId="09B08323" w14:textId="77777777" w:rsidR="00F02481" w:rsidRPr="00BE78CA" w:rsidRDefault="00F02481" w:rsidP="000F4164">
            <w:pPr>
              <w:pStyle w:val="TableText"/>
              <w:spacing w:before="50" w:after="50"/>
              <w:rPr>
                <w:rFonts w:cs="Calibri"/>
                <w:szCs w:val="16"/>
              </w:rPr>
            </w:pPr>
            <w:r w:rsidRPr="00BE78CA">
              <w:rPr>
                <w:rFonts w:cs="Calibri"/>
                <w:szCs w:val="16"/>
              </w:rPr>
              <w:t>0.0068</w:t>
            </w:r>
          </w:p>
        </w:tc>
        <w:tc>
          <w:tcPr>
            <w:tcW w:w="1582" w:type="pct"/>
          </w:tcPr>
          <w:p w14:paraId="53A37F86" w14:textId="77777777" w:rsidR="00F02481" w:rsidRPr="00BE78CA" w:rsidRDefault="00F02481" w:rsidP="000F4164">
            <w:pPr>
              <w:pStyle w:val="TableText"/>
              <w:spacing w:before="50" w:after="50"/>
              <w:rPr>
                <w:rFonts w:cs="Calibri"/>
                <w:szCs w:val="16"/>
              </w:rPr>
            </w:pPr>
            <w:r w:rsidRPr="00BE78CA">
              <w:rPr>
                <w:rFonts w:cs="Calibri"/>
                <w:szCs w:val="16"/>
              </w:rPr>
              <w:t>0.0054</w:t>
            </w:r>
          </w:p>
        </w:tc>
      </w:tr>
    </w:tbl>
    <w:p w14:paraId="7C981573" w14:textId="77777777" w:rsidR="00F02481" w:rsidRPr="00BE78CA" w:rsidRDefault="00F02481" w:rsidP="002828F0">
      <w:pPr>
        <w:pStyle w:val="Source"/>
        <w:spacing w:after="120"/>
        <w:rPr>
          <w:rFonts w:cs="Calibri"/>
        </w:rPr>
      </w:pPr>
      <w:r w:rsidRPr="00BE78CA">
        <w:rPr>
          <w:rFonts w:cs="Calibri"/>
          <w:b/>
          <w:bCs/>
        </w:rPr>
        <w:t>Source:</w:t>
      </w:r>
      <w:r w:rsidRPr="00BE78CA">
        <w:rPr>
          <w:rFonts w:cs="Calibri"/>
        </w:rPr>
        <w:t xml:space="preserve"> </w:t>
      </w:r>
      <w:r w:rsidRPr="00BE78CA">
        <w:rPr>
          <w:rFonts w:cs="Calibri"/>
        </w:rPr>
        <w:tab/>
        <w:t>UNFCCC (https://unfccc.int/documents/65705)</w:t>
      </w:r>
      <w:r w:rsidRPr="00BE78CA" w:rsidDel="00D478FB">
        <w:rPr>
          <w:rFonts w:cs="Calibri"/>
        </w:rPr>
        <w:t xml:space="preserve"> </w:t>
      </w:r>
    </w:p>
    <w:p w14:paraId="717BC766" w14:textId="77777777" w:rsidR="00F02481" w:rsidRPr="00BE78CA" w:rsidRDefault="00F02481" w:rsidP="00C26084">
      <w:pPr>
        <w:pStyle w:val="BodyText"/>
        <w:rPr>
          <w:rFonts w:cs="Calibri"/>
        </w:rPr>
      </w:pPr>
      <w:r w:rsidRPr="00BE78CA">
        <w:rPr>
          <w:rFonts w:cs="Calibri"/>
        </w:rPr>
        <w:t>Table 5.5.13 compares the New Zealand-specific values Frac</w:t>
      </w:r>
      <w:r w:rsidRPr="00BE78CA">
        <w:rPr>
          <w:rFonts w:cs="Calibri"/>
          <w:vertAlign w:val="subscript"/>
        </w:rPr>
        <w:t>GASF</w:t>
      </w:r>
      <w:r w:rsidRPr="00BE78CA">
        <w:rPr>
          <w:rFonts w:cs="Calibri"/>
        </w:rPr>
        <w:t>, Frac</w:t>
      </w:r>
      <w:r w:rsidRPr="00BE78CA">
        <w:rPr>
          <w:rFonts w:cs="Calibri"/>
          <w:vertAlign w:val="subscript"/>
        </w:rPr>
        <w:t>GASM</w:t>
      </w:r>
      <w:r w:rsidRPr="00BE78CA">
        <w:rPr>
          <w:rFonts w:cs="Calibri"/>
        </w:rPr>
        <w:t xml:space="preserve"> and Frac</w:t>
      </w:r>
      <w:r w:rsidRPr="00BE78CA">
        <w:rPr>
          <w:rFonts w:cs="Calibri"/>
          <w:vertAlign w:val="subscript"/>
        </w:rPr>
        <w:t>LEACH-H</w:t>
      </w:r>
      <w:r w:rsidRPr="00BE78CA">
        <w:rPr>
          <w:rFonts w:cs="Calibri"/>
        </w:rPr>
        <w:t xml:space="preserve"> with the 2006 IPCC default and fractions used by Australia. New Zealand has taken a country</w:t>
      </w:r>
      <w:r w:rsidRPr="00BE78CA">
        <w:rPr>
          <w:rFonts w:cs="Calibri"/>
        </w:rPr>
        <w:noBreakHyphen/>
        <w:t>specific value for Frac</w:t>
      </w:r>
      <w:r w:rsidRPr="00BE78CA">
        <w:rPr>
          <w:rFonts w:cs="Calibri"/>
          <w:vertAlign w:val="subscript"/>
        </w:rPr>
        <w:t>GASF</w:t>
      </w:r>
      <w:r w:rsidRPr="00BE78CA">
        <w:rPr>
          <w:rFonts w:cs="Calibri"/>
        </w:rPr>
        <w:t xml:space="preserve"> of 0.1, and it is the same as the 2006 IPCC default and that of Australia. Research showed that the 0.1 value was appropriate for New Zealand conditions (Sherlock et al., 2008). </w:t>
      </w:r>
    </w:p>
    <w:p w14:paraId="349D802D" w14:textId="77777777" w:rsidR="00F02481" w:rsidRPr="00BE78CA" w:rsidRDefault="00F02481" w:rsidP="00C26084">
      <w:pPr>
        <w:pStyle w:val="BodyText"/>
        <w:rPr>
          <w:lang w:eastAsia="en-GB"/>
        </w:rPr>
      </w:pPr>
      <w:r w:rsidRPr="00BE78CA">
        <w:t>This research also showed that the previously used 2006 IPCC default value of 0.2 for Frac</w:t>
      </w:r>
      <w:r w:rsidRPr="00BE78CA">
        <w:rPr>
          <w:vertAlign w:val="subscript"/>
        </w:rPr>
        <w:t>GASM</w:t>
      </w:r>
      <w:r w:rsidRPr="00BE78CA">
        <w:t xml:space="preserve"> was too high and a lower value of 0.1 was adopted after an extensive review of scientific literature (Sherlock et al., 2008), which was also confirmed by subsequent field experiments (Laubach et al., 2012). The reduction in Frac</w:t>
      </w:r>
      <w:r w:rsidRPr="00BE78CA">
        <w:rPr>
          <w:vertAlign w:val="subscript"/>
        </w:rPr>
        <w:t>GASM</w:t>
      </w:r>
      <w:r w:rsidRPr="00BE78CA">
        <w:t xml:space="preserve"> is due to the proportion of the different sources that make up this value. In New Zealand, over 95 per cent of animal excreta is deposited onto pasture and only a small proportion is managed. In contrast, the 2006 IPCC default value was calculated based on systems where a much higher percentage of manure </w:t>
      </w:r>
      <w:r w:rsidRPr="00BE78CA">
        <w:lastRenderedPageBreak/>
        <w:t>management and storage is normal. Manure management and storage results in a much higher proportion of nitrogen being volatilised and, hence, the higher Frac</w:t>
      </w:r>
      <w:r w:rsidRPr="00BE78CA">
        <w:rPr>
          <w:vertAlign w:val="subscript"/>
        </w:rPr>
        <w:t>GASM</w:t>
      </w:r>
      <w:r w:rsidRPr="00BE78CA">
        <w:t xml:space="preserve"> for the default value compared with the country-specific New Zealand value. </w:t>
      </w:r>
    </w:p>
    <w:p w14:paraId="194B1C63" w14:textId="77777777" w:rsidR="00F02481" w:rsidRPr="00BE78CA" w:rsidRDefault="00F02481" w:rsidP="00C26084">
      <w:pPr>
        <w:pStyle w:val="BodyText"/>
      </w:pPr>
      <w:r w:rsidRPr="00BE78CA">
        <w:t>New Zealand also has a much lower value of Frac</w:t>
      </w:r>
      <w:r w:rsidRPr="00BE78CA">
        <w:rPr>
          <w:vertAlign w:val="subscript"/>
        </w:rPr>
        <w:t>LEACH</w:t>
      </w:r>
      <w:r w:rsidRPr="00BE78CA" w:rsidDel="009C0F97">
        <w:rPr>
          <w:vertAlign w:val="subscript"/>
        </w:rPr>
        <w:t>-H</w:t>
      </w:r>
      <w:r w:rsidRPr="00BE78CA" w:rsidDel="009C0F97">
        <w:t>.</w:t>
      </w:r>
      <w:r w:rsidRPr="00BE78CA">
        <w:t xml:space="preserve"> Research suggests that New Zealand applies a much lower rate of nitrogen fertiliser than what was assumed when the IPCC default value was developed (Thomas et al., unpublished, 2005). When the OVERSEER</w:t>
      </w:r>
      <w:r w:rsidRPr="00BE78CA">
        <w:rPr>
          <w:vertAlign w:val="superscript"/>
        </w:rPr>
        <w:t>®</w:t>
      </w:r>
      <w:r w:rsidRPr="00BE78CA">
        <w:t xml:space="preserve"> nutrient budget model (Wheeler et al., 2003) took this lower rate into account, the rate of leaching was much lower than when compared with farms with a high nitrogen fertiliser application rate, which can be typical in other developed countries. </w:t>
      </w:r>
    </w:p>
    <w:p w14:paraId="718CB3DD" w14:textId="77777777" w:rsidR="00F02481" w:rsidRPr="00BE78CA" w:rsidRDefault="00F02481" w:rsidP="00C26084">
      <w:pPr>
        <w:pStyle w:val="Table"/>
        <w:rPr>
          <w:rFonts w:cs="Calibri"/>
        </w:rPr>
      </w:pPr>
      <w:bookmarkStart w:id="959" w:name="_Toc441830889"/>
      <w:bookmarkStart w:id="960" w:name="_Toc288316760"/>
      <w:bookmarkStart w:id="961" w:name="_Toc352504978"/>
      <w:bookmarkStart w:id="962" w:name="_Toc451176103"/>
      <w:bookmarkStart w:id="963" w:name="_Toc481751530"/>
      <w:bookmarkStart w:id="964" w:name="_Toc507158618"/>
      <w:bookmarkStart w:id="965" w:name="_Toc511116752"/>
      <w:bookmarkStart w:id="966" w:name="_Toc5269494"/>
      <w:bookmarkStart w:id="967" w:name="_Toc32570939"/>
      <w:bookmarkStart w:id="968" w:name="_Toc36224574"/>
      <w:bookmarkStart w:id="969" w:name="_Toc68786459"/>
      <w:r w:rsidRPr="00BE78CA">
        <w:rPr>
          <w:rFonts w:cs="Calibri"/>
        </w:rPr>
        <w:t>Table 5.5.13</w:t>
      </w:r>
      <w:r w:rsidRPr="00BE78CA">
        <w:rPr>
          <w:rFonts w:cs="Calibri"/>
        </w:rPr>
        <w:tab/>
        <w:t>Comparison of New Zealand’s country-specific factors for volatilisation (Frac</w:t>
      </w:r>
      <w:r w:rsidRPr="00BE78CA">
        <w:rPr>
          <w:rFonts w:cs="Calibri"/>
          <w:vertAlign w:val="subscript"/>
        </w:rPr>
        <w:t>GASF</w:t>
      </w:r>
      <w:r w:rsidRPr="00BE78CA">
        <w:rPr>
          <w:rFonts w:cs="Calibri"/>
        </w:rPr>
        <w:t>, Frac</w:t>
      </w:r>
      <w:r w:rsidRPr="00BE78CA">
        <w:rPr>
          <w:rFonts w:cs="Calibri"/>
          <w:vertAlign w:val="subscript"/>
        </w:rPr>
        <w:t>GASM</w:t>
      </w:r>
      <w:r w:rsidRPr="00BE78CA">
        <w:rPr>
          <w:rFonts w:cs="Calibri"/>
        </w:rPr>
        <w:t>)</w:t>
      </w:r>
      <w:r w:rsidRPr="00BE78CA">
        <w:rPr>
          <w:rFonts w:cs="Calibri"/>
        </w:rPr>
        <w:br/>
        <w:t>and leaching and runoff (Frac</w:t>
      </w:r>
      <w:r w:rsidRPr="00BE78CA">
        <w:rPr>
          <w:rFonts w:cs="Calibri"/>
          <w:vertAlign w:val="subscript"/>
        </w:rPr>
        <w:t>LEACH-(H)</w:t>
      </w:r>
      <w:r w:rsidRPr="00BE78CA">
        <w:rPr>
          <w:rFonts w:cs="Calibri"/>
        </w:rPr>
        <w:t>) with the IPCC default value and the Australia</w:t>
      </w:r>
      <w:bookmarkEnd w:id="959"/>
      <w:r w:rsidRPr="00BE78CA">
        <w:rPr>
          <w:rFonts w:cs="Calibri"/>
        </w:rPr>
        <w:t>n</w:t>
      </w:r>
      <w:r w:rsidRPr="00BE78CA">
        <w:rPr>
          <w:rFonts w:cs="Calibri"/>
        </w:rPr>
        <w:br/>
        <w:t>implied emissions factor (IEF</w:t>
      </w:r>
      <w:bookmarkEnd w:id="960"/>
      <w:bookmarkEnd w:id="961"/>
      <w:bookmarkEnd w:id="962"/>
      <w:bookmarkEnd w:id="963"/>
      <w:r w:rsidRPr="00BE78CA">
        <w:rPr>
          <w:rFonts w:cs="Calibri"/>
        </w:rPr>
        <w:t>)</w:t>
      </w:r>
      <w:bookmarkEnd w:id="964"/>
      <w:bookmarkEnd w:id="965"/>
      <w:bookmarkEnd w:id="966"/>
      <w:bookmarkEnd w:id="967"/>
      <w:bookmarkEnd w:id="968"/>
      <w:bookmarkEnd w:id="969"/>
    </w:p>
    <w:tbl>
      <w:tblPr>
        <w:tblW w:w="8505" w:type="dxa"/>
        <w:tblBorders>
          <w:top w:val="single" w:sz="4" w:space="0" w:color="365F91"/>
          <w:bottom w:val="single" w:sz="4" w:space="0" w:color="365F91"/>
          <w:insideH w:val="single" w:sz="4" w:space="0" w:color="365F91"/>
        </w:tblBorders>
        <w:tblLook w:val="01E0" w:firstRow="1" w:lastRow="1" w:firstColumn="1" w:lastColumn="1" w:noHBand="0" w:noVBand="0"/>
      </w:tblPr>
      <w:tblGrid>
        <w:gridCol w:w="2977"/>
        <w:gridCol w:w="1985"/>
        <w:gridCol w:w="1842"/>
        <w:gridCol w:w="1701"/>
      </w:tblGrid>
      <w:tr w:rsidR="002828F0" w:rsidRPr="00BE78CA" w14:paraId="6895BDC9" w14:textId="77777777" w:rsidTr="002828F0">
        <w:tc>
          <w:tcPr>
            <w:tcW w:w="2977" w:type="dxa"/>
            <w:shd w:val="clear" w:color="auto" w:fill="365F91"/>
            <w:vAlign w:val="bottom"/>
          </w:tcPr>
          <w:p w14:paraId="3DDD2470" w14:textId="77777777" w:rsidR="00F02481" w:rsidRPr="00BE78CA" w:rsidRDefault="00F02481" w:rsidP="00A901BB">
            <w:pPr>
              <w:pStyle w:val="TableTextBold"/>
              <w:keepNext/>
              <w:spacing w:before="50" w:after="50"/>
              <w:rPr>
                <w:noProof w:val="0"/>
                <w:color w:val="FFFFFF" w:themeColor="background1"/>
              </w:rPr>
            </w:pPr>
          </w:p>
        </w:tc>
        <w:tc>
          <w:tcPr>
            <w:tcW w:w="1985" w:type="dxa"/>
            <w:shd w:val="clear" w:color="auto" w:fill="365F91"/>
            <w:vAlign w:val="bottom"/>
          </w:tcPr>
          <w:p w14:paraId="67CBBFF7" w14:textId="77777777" w:rsidR="00F02481" w:rsidRPr="00BE78CA" w:rsidRDefault="00F02481" w:rsidP="00A901BB">
            <w:pPr>
              <w:pStyle w:val="TableTextBold"/>
              <w:keepNext/>
              <w:spacing w:before="50" w:after="50"/>
              <w:rPr>
                <w:noProof w:val="0"/>
                <w:color w:val="FFFFFF" w:themeColor="background1"/>
              </w:rPr>
            </w:pPr>
            <w:r w:rsidRPr="00BE78CA">
              <w:rPr>
                <w:noProof w:val="0"/>
                <w:color w:val="FFFFFF" w:themeColor="background1"/>
              </w:rPr>
              <w:t>Frac</w:t>
            </w:r>
            <w:r w:rsidRPr="00BE78CA">
              <w:rPr>
                <w:noProof w:val="0"/>
                <w:color w:val="FFFFFF" w:themeColor="background1"/>
                <w:vertAlign w:val="subscript"/>
              </w:rPr>
              <w:t xml:space="preserve">GASF </w:t>
            </w:r>
            <w:r w:rsidRPr="00BE78CA">
              <w:rPr>
                <w:noProof w:val="0"/>
                <w:color w:val="FFFFFF" w:themeColor="background1"/>
                <w:vertAlign w:val="subscript"/>
              </w:rPr>
              <w:br/>
            </w:r>
            <w:r w:rsidRPr="00BE78CA">
              <w:rPr>
                <w:noProof w:val="0"/>
                <w:color w:val="FFFFFF" w:themeColor="background1"/>
              </w:rPr>
              <w:t>(kg NH</w:t>
            </w:r>
            <w:r w:rsidRPr="00BE78CA">
              <w:rPr>
                <w:noProof w:val="0"/>
                <w:color w:val="FFFFFF" w:themeColor="background1"/>
                <w:vertAlign w:val="subscript"/>
              </w:rPr>
              <w:t>3</w:t>
            </w:r>
            <w:r w:rsidRPr="00BE78CA">
              <w:rPr>
                <w:noProof w:val="0"/>
                <w:color w:val="FFFFFF" w:themeColor="background1"/>
              </w:rPr>
              <w:t>-N and NO</w:t>
            </w:r>
            <w:r w:rsidRPr="00BE78CA">
              <w:rPr>
                <w:noProof w:val="0"/>
                <w:color w:val="FFFFFF" w:themeColor="background1"/>
                <w:vertAlign w:val="subscript"/>
              </w:rPr>
              <w:t>x</w:t>
            </w:r>
            <w:r w:rsidRPr="00BE78CA">
              <w:rPr>
                <w:noProof w:val="0"/>
                <w:color w:val="FFFFFF" w:themeColor="background1"/>
              </w:rPr>
              <w:t>-N/kg of N input)</w:t>
            </w:r>
          </w:p>
        </w:tc>
        <w:tc>
          <w:tcPr>
            <w:tcW w:w="1842" w:type="dxa"/>
            <w:shd w:val="clear" w:color="auto" w:fill="365F91"/>
            <w:vAlign w:val="bottom"/>
          </w:tcPr>
          <w:p w14:paraId="0E905A6C" w14:textId="77777777" w:rsidR="00F02481" w:rsidRPr="00BE78CA" w:rsidRDefault="00F02481" w:rsidP="00A901BB">
            <w:pPr>
              <w:pStyle w:val="TableTextBold"/>
              <w:keepNext/>
              <w:spacing w:before="50" w:after="50"/>
              <w:rPr>
                <w:noProof w:val="0"/>
                <w:color w:val="FFFFFF" w:themeColor="background1"/>
              </w:rPr>
            </w:pPr>
            <w:r w:rsidRPr="00BE78CA">
              <w:rPr>
                <w:noProof w:val="0"/>
                <w:color w:val="FFFFFF" w:themeColor="background1"/>
              </w:rPr>
              <w:t>Frac</w:t>
            </w:r>
            <w:r w:rsidRPr="00BE78CA">
              <w:rPr>
                <w:noProof w:val="0"/>
                <w:color w:val="FFFFFF" w:themeColor="background1"/>
                <w:vertAlign w:val="subscript"/>
              </w:rPr>
              <w:t>GASM</w:t>
            </w:r>
            <w:r w:rsidRPr="00BE78CA">
              <w:rPr>
                <w:noProof w:val="0"/>
                <w:color w:val="FFFFFF" w:themeColor="background1"/>
                <w:vertAlign w:val="subscript"/>
              </w:rPr>
              <w:br/>
            </w:r>
            <w:r w:rsidRPr="00BE78CA">
              <w:rPr>
                <w:noProof w:val="0"/>
                <w:color w:val="FFFFFF" w:themeColor="background1"/>
              </w:rPr>
              <w:t>(kg NH</w:t>
            </w:r>
            <w:r w:rsidRPr="00BE78CA">
              <w:rPr>
                <w:noProof w:val="0"/>
                <w:color w:val="FFFFFF" w:themeColor="background1"/>
                <w:vertAlign w:val="subscript"/>
              </w:rPr>
              <w:t>3</w:t>
            </w:r>
            <w:r w:rsidRPr="00BE78CA">
              <w:rPr>
                <w:noProof w:val="0"/>
                <w:color w:val="FFFFFF" w:themeColor="background1"/>
              </w:rPr>
              <w:t>-N and NO</w:t>
            </w:r>
            <w:r w:rsidRPr="00BE78CA">
              <w:rPr>
                <w:noProof w:val="0"/>
                <w:color w:val="FFFFFF" w:themeColor="background1"/>
                <w:vertAlign w:val="subscript"/>
              </w:rPr>
              <w:t>x</w:t>
            </w:r>
            <w:r w:rsidRPr="00BE78CA">
              <w:rPr>
                <w:noProof w:val="0"/>
                <w:color w:val="FFFFFF" w:themeColor="background1"/>
              </w:rPr>
              <w:t>-N/kg of N excreted)</w:t>
            </w:r>
          </w:p>
        </w:tc>
        <w:tc>
          <w:tcPr>
            <w:tcW w:w="1701" w:type="dxa"/>
            <w:shd w:val="clear" w:color="auto" w:fill="365F91"/>
            <w:vAlign w:val="bottom"/>
          </w:tcPr>
          <w:p w14:paraId="52E9A618" w14:textId="77777777" w:rsidR="00F02481" w:rsidRPr="00BE78CA" w:rsidRDefault="00F02481" w:rsidP="00A901BB">
            <w:pPr>
              <w:pStyle w:val="TableTextBold"/>
              <w:keepNext/>
              <w:spacing w:before="50" w:after="50"/>
              <w:rPr>
                <w:noProof w:val="0"/>
                <w:color w:val="FFFFFF" w:themeColor="background1"/>
              </w:rPr>
            </w:pPr>
            <w:r w:rsidRPr="00BE78CA">
              <w:rPr>
                <w:noProof w:val="0"/>
                <w:color w:val="FFFFFF" w:themeColor="background1"/>
              </w:rPr>
              <w:t>Frac</w:t>
            </w:r>
            <w:r w:rsidRPr="00BE78CA">
              <w:rPr>
                <w:noProof w:val="0"/>
                <w:color w:val="FFFFFF" w:themeColor="background1"/>
                <w:vertAlign w:val="subscript"/>
              </w:rPr>
              <w:t>LEACH-(H)</w:t>
            </w:r>
            <w:r w:rsidRPr="00BE78CA">
              <w:rPr>
                <w:noProof w:val="0"/>
                <w:color w:val="FFFFFF" w:themeColor="background1"/>
                <w:vertAlign w:val="subscript"/>
              </w:rPr>
              <w:br/>
            </w:r>
            <w:r w:rsidRPr="00BE78CA">
              <w:rPr>
                <w:noProof w:val="0"/>
                <w:color w:val="FFFFFF" w:themeColor="background1"/>
              </w:rPr>
              <w:t>(kg N/kg fertiliser or manure N)</w:t>
            </w:r>
          </w:p>
        </w:tc>
      </w:tr>
      <w:tr w:rsidR="00F02481" w:rsidRPr="00BE78CA" w14:paraId="62D291DA" w14:textId="77777777" w:rsidTr="002828F0">
        <w:tc>
          <w:tcPr>
            <w:tcW w:w="2977" w:type="dxa"/>
            <w:shd w:val="clear" w:color="auto" w:fill="auto"/>
          </w:tcPr>
          <w:p w14:paraId="539EA468" w14:textId="77777777" w:rsidR="00F02481" w:rsidRPr="00BE78CA" w:rsidRDefault="00F02481" w:rsidP="00A901BB">
            <w:pPr>
              <w:pStyle w:val="TableText"/>
              <w:spacing w:before="50" w:after="50"/>
              <w:rPr>
                <w:rFonts w:cs="Calibri"/>
              </w:rPr>
            </w:pPr>
            <w:r w:rsidRPr="00BE78CA">
              <w:rPr>
                <w:rFonts w:cs="Calibri"/>
              </w:rPr>
              <w:t>IPCC (2006) default value</w:t>
            </w:r>
          </w:p>
        </w:tc>
        <w:tc>
          <w:tcPr>
            <w:tcW w:w="1985" w:type="dxa"/>
            <w:shd w:val="clear" w:color="auto" w:fill="auto"/>
          </w:tcPr>
          <w:p w14:paraId="08160233" w14:textId="77777777" w:rsidR="00F02481" w:rsidRPr="00BE78CA" w:rsidRDefault="00F02481" w:rsidP="00A901BB">
            <w:pPr>
              <w:pStyle w:val="TableText"/>
              <w:spacing w:before="50" w:after="50"/>
              <w:rPr>
                <w:rFonts w:cs="Calibri"/>
              </w:rPr>
            </w:pPr>
            <w:r w:rsidRPr="00BE78CA">
              <w:rPr>
                <w:rFonts w:cs="Calibri"/>
              </w:rPr>
              <w:t>0.1</w:t>
            </w:r>
          </w:p>
        </w:tc>
        <w:tc>
          <w:tcPr>
            <w:tcW w:w="1842" w:type="dxa"/>
            <w:shd w:val="clear" w:color="auto" w:fill="auto"/>
          </w:tcPr>
          <w:p w14:paraId="4F5F1EE4" w14:textId="77777777" w:rsidR="00F02481" w:rsidRPr="00BE78CA" w:rsidRDefault="00F02481" w:rsidP="00A901BB">
            <w:pPr>
              <w:pStyle w:val="TableText"/>
              <w:spacing w:before="50" w:after="50"/>
              <w:rPr>
                <w:rFonts w:cs="Calibri"/>
              </w:rPr>
            </w:pPr>
            <w:r w:rsidRPr="00BE78CA">
              <w:rPr>
                <w:rFonts w:cs="Calibri"/>
              </w:rPr>
              <w:t>0.2</w:t>
            </w:r>
          </w:p>
        </w:tc>
        <w:tc>
          <w:tcPr>
            <w:tcW w:w="1701" w:type="dxa"/>
            <w:shd w:val="clear" w:color="auto" w:fill="auto"/>
          </w:tcPr>
          <w:p w14:paraId="0F30EBCB" w14:textId="77777777" w:rsidR="00F02481" w:rsidRPr="00BE78CA" w:rsidRDefault="00F02481" w:rsidP="00A901BB">
            <w:pPr>
              <w:pStyle w:val="TableText"/>
              <w:spacing w:before="50" w:after="50"/>
              <w:rPr>
                <w:rFonts w:cs="Calibri"/>
              </w:rPr>
            </w:pPr>
            <w:r w:rsidRPr="00BE78CA">
              <w:rPr>
                <w:rFonts w:cs="Calibri"/>
              </w:rPr>
              <w:t>0.3</w:t>
            </w:r>
          </w:p>
        </w:tc>
      </w:tr>
      <w:tr w:rsidR="00F02481" w:rsidRPr="00BE78CA" w14:paraId="4B58E501" w14:textId="77777777" w:rsidTr="002828F0">
        <w:tc>
          <w:tcPr>
            <w:tcW w:w="2977" w:type="dxa"/>
          </w:tcPr>
          <w:p w14:paraId="4332407F" w14:textId="77777777" w:rsidR="00F02481" w:rsidRPr="00BE78CA" w:rsidRDefault="00F02481" w:rsidP="00A901BB">
            <w:pPr>
              <w:pStyle w:val="TableText"/>
              <w:spacing w:before="50" w:after="50"/>
              <w:rPr>
                <w:rFonts w:cs="Calibri"/>
              </w:rPr>
            </w:pPr>
            <w:r w:rsidRPr="00BE78CA">
              <w:rPr>
                <w:rFonts w:cs="Calibri"/>
              </w:rPr>
              <w:t>Australian-specific 2018 value</w:t>
            </w:r>
          </w:p>
        </w:tc>
        <w:tc>
          <w:tcPr>
            <w:tcW w:w="1985" w:type="dxa"/>
          </w:tcPr>
          <w:p w14:paraId="79E11BFA" w14:textId="77777777" w:rsidR="00F02481" w:rsidRPr="00BE78CA" w:rsidRDefault="00F02481" w:rsidP="00A901BB">
            <w:pPr>
              <w:pStyle w:val="TableText"/>
              <w:spacing w:before="50" w:after="50"/>
              <w:rPr>
                <w:rFonts w:cs="Calibri"/>
              </w:rPr>
            </w:pPr>
            <w:r w:rsidRPr="00BE78CA">
              <w:rPr>
                <w:rFonts w:cs="Calibri"/>
              </w:rPr>
              <w:t>0.1</w:t>
            </w:r>
          </w:p>
        </w:tc>
        <w:tc>
          <w:tcPr>
            <w:tcW w:w="1842" w:type="dxa"/>
          </w:tcPr>
          <w:p w14:paraId="4BFB4FD6" w14:textId="77777777" w:rsidR="00F02481" w:rsidRPr="00BE78CA" w:rsidRDefault="00F02481" w:rsidP="00A901BB">
            <w:pPr>
              <w:pStyle w:val="TableText"/>
              <w:spacing w:before="50" w:after="50"/>
              <w:rPr>
                <w:rFonts w:cs="Calibri"/>
              </w:rPr>
            </w:pPr>
            <w:r w:rsidRPr="00BE78CA">
              <w:rPr>
                <w:rFonts w:cs="Calibri"/>
              </w:rPr>
              <w:t>0.2</w:t>
            </w:r>
          </w:p>
        </w:tc>
        <w:tc>
          <w:tcPr>
            <w:tcW w:w="1701" w:type="dxa"/>
          </w:tcPr>
          <w:p w14:paraId="0332B510" w14:textId="77777777" w:rsidR="00F02481" w:rsidRPr="00BE78CA" w:rsidRDefault="00F02481" w:rsidP="00A901BB">
            <w:pPr>
              <w:pStyle w:val="TableText"/>
              <w:spacing w:before="50" w:after="50"/>
              <w:rPr>
                <w:rFonts w:cs="Calibri"/>
              </w:rPr>
            </w:pPr>
            <w:r w:rsidRPr="00BE78CA">
              <w:rPr>
                <w:rFonts w:cs="Calibri"/>
              </w:rPr>
              <w:t>0.3</w:t>
            </w:r>
          </w:p>
        </w:tc>
      </w:tr>
      <w:tr w:rsidR="00F02481" w:rsidRPr="00BE78CA" w14:paraId="6CDBFFD7" w14:textId="77777777" w:rsidTr="002828F0">
        <w:tc>
          <w:tcPr>
            <w:tcW w:w="2977" w:type="dxa"/>
          </w:tcPr>
          <w:p w14:paraId="2C562811" w14:textId="77777777" w:rsidR="00F02481" w:rsidRPr="00BE78CA" w:rsidRDefault="00F02481" w:rsidP="00A901BB">
            <w:pPr>
              <w:pStyle w:val="TableText"/>
              <w:spacing w:before="50" w:after="50"/>
              <w:rPr>
                <w:rFonts w:cs="Calibri"/>
              </w:rPr>
            </w:pPr>
            <w:r w:rsidRPr="00BE78CA">
              <w:rPr>
                <w:rFonts w:cs="Calibri"/>
              </w:rPr>
              <w:t>New Zealand-specific IEF 2019 value</w:t>
            </w:r>
          </w:p>
        </w:tc>
        <w:tc>
          <w:tcPr>
            <w:tcW w:w="1985" w:type="dxa"/>
          </w:tcPr>
          <w:p w14:paraId="004BD059" w14:textId="77777777" w:rsidR="00F02481" w:rsidRPr="00BE78CA" w:rsidRDefault="00F02481" w:rsidP="00A901BB">
            <w:pPr>
              <w:pStyle w:val="TableText"/>
              <w:spacing w:before="50" w:after="50"/>
              <w:rPr>
                <w:rFonts w:cs="Calibri"/>
              </w:rPr>
            </w:pPr>
            <w:r w:rsidRPr="00BE78CA">
              <w:rPr>
                <w:rFonts w:cs="Calibri"/>
              </w:rPr>
              <w:t>0.1</w:t>
            </w:r>
          </w:p>
        </w:tc>
        <w:tc>
          <w:tcPr>
            <w:tcW w:w="1842" w:type="dxa"/>
          </w:tcPr>
          <w:p w14:paraId="77849456" w14:textId="77777777" w:rsidR="00F02481" w:rsidRPr="00BE78CA" w:rsidRDefault="00F02481" w:rsidP="00A901BB">
            <w:pPr>
              <w:pStyle w:val="TableText"/>
              <w:spacing w:before="50" w:after="50"/>
              <w:rPr>
                <w:rFonts w:cs="Calibri"/>
              </w:rPr>
            </w:pPr>
            <w:r w:rsidRPr="00BE78CA">
              <w:rPr>
                <w:rFonts w:cs="Calibri"/>
              </w:rPr>
              <w:t>0.1</w:t>
            </w:r>
          </w:p>
        </w:tc>
        <w:tc>
          <w:tcPr>
            <w:tcW w:w="1701" w:type="dxa"/>
          </w:tcPr>
          <w:p w14:paraId="343B9550" w14:textId="77777777" w:rsidR="00F02481" w:rsidRPr="00BE78CA" w:rsidRDefault="00F02481" w:rsidP="00A901BB">
            <w:pPr>
              <w:pStyle w:val="TableText"/>
              <w:spacing w:before="50" w:after="50"/>
              <w:rPr>
                <w:rFonts w:cs="Calibri"/>
              </w:rPr>
            </w:pPr>
            <w:r w:rsidRPr="00BE78CA">
              <w:rPr>
                <w:rFonts w:cs="Calibri"/>
              </w:rPr>
              <w:t>0.07</w:t>
            </w:r>
          </w:p>
        </w:tc>
      </w:tr>
    </w:tbl>
    <w:p w14:paraId="4EF2DCE1" w14:textId="77777777" w:rsidR="00F02481" w:rsidRPr="00BE78CA" w:rsidRDefault="00F02481" w:rsidP="00C26084">
      <w:pPr>
        <w:pStyle w:val="Source"/>
        <w:rPr>
          <w:rFonts w:cs="Calibri"/>
        </w:rPr>
      </w:pPr>
      <w:r w:rsidRPr="00BE78CA">
        <w:rPr>
          <w:rFonts w:cs="Calibri"/>
          <w:b/>
          <w:bCs/>
        </w:rPr>
        <w:t>Source:</w:t>
      </w:r>
      <w:r w:rsidRPr="00BE78CA">
        <w:rPr>
          <w:rFonts w:cs="Calibri"/>
        </w:rPr>
        <w:t xml:space="preserve"> </w:t>
      </w:r>
      <w:r w:rsidRPr="00BE78CA">
        <w:rPr>
          <w:rFonts w:cs="Calibri"/>
        </w:rPr>
        <w:tab/>
        <w:t>UNFCCC (https://unfccc.int/documents/195780)</w:t>
      </w:r>
    </w:p>
    <w:p w14:paraId="561094A7" w14:textId="77777777" w:rsidR="00F02481" w:rsidRPr="00BE78CA" w:rsidRDefault="00F02481" w:rsidP="00C26084">
      <w:pPr>
        <w:pStyle w:val="Heading3"/>
        <w:rPr>
          <w:rFonts w:cs="Calibri"/>
        </w:rPr>
      </w:pPr>
      <w:bookmarkStart w:id="970" w:name="_Toc139253937"/>
      <w:bookmarkStart w:id="971" w:name="_Toc32570671"/>
      <w:r w:rsidRPr="00BE78CA">
        <w:rPr>
          <w:rFonts w:cs="Calibri"/>
        </w:rPr>
        <w:t>5.5.5</w:t>
      </w:r>
      <w:r w:rsidRPr="00BE78CA">
        <w:rPr>
          <w:rFonts w:cs="Calibri"/>
        </w:rPr>
        <w:tab/>
        <w:t>Source-specific recalculations</w:t>
      </w:r>
      <w:bookmarkEnd w:id="970"/>
      <w:bookmarkEnd w:id="971"/>
    </w:p>
    <w:p w14:paraId="5523C09B" w14:textId="77777777" w:rsidR="00F02481" w:rsidRPr="00BE78CA" w:rsidRDefault="00F02481" w:rsidP="00C26084">
      <w:pPr>
        <w:pStyle w:val="BodyText"/>
        <w:rPr>
          <w:rFonts w:cs="Calibri"/>
        </w:rPr>
      </w:pPr>
      <w:bookmarkStart w:id="972" w:name="_Toc139253938"/>
      <w:r w:rsidRPr="00BE78CA">
        <w:rPr>
          <w:rFonts w:cs="Calibri"/>
        </w:rPr>
        <w:t xml:space="preserve">Emissions estimates in the </w:t>
      </w:r>
      <w:r w:rsidRPr="00BE78CA">
        <w:rPr>
          <w:rFonts w:cs="Calibri"/>
          <w:i/>
          <w:iCs/>
        </w:rPr>
        <w:t>Agricultural soils</w:t>
      </w:r>
      <w:r w:rsidRPr="00BE78CA">
        <w:rPr>
          <w:rFonts w:cs="Calibri"/>
        </w:rPr>
        <w:t xml:space="preserve"> category in 2021 have been affected by the following methodological improvements and corrections:</w:t>
      </w:r>
    </w:p>
    <w:p w14:paraId="57A0D066" w14:textId="77777777" w:rsidR="00F02481" w:rsidRPr="00BE78CA" w:rsidRDefault="00F02481" w:rsidP="00FA2314">
      <w:pPr>
        <w:pStyle w:val="Bullet"/>
        <w:numPr>
          <w:ilvl w:val="0"/>
          <w:numId w:val="25"/>
        </w:numPr>
      </w:pPr>
      <w:r w:rsidRPr="00BE78CA">
        <w:t xml:space="preserve">use of LULUCF data on managed organic soils in cropland and grassland, which is used to estimate emissions from </w:t>
      </w:r>
      <w:r w:rsidRPr="00BE78CA">
        <w:rPr>
          <w:i/>
          <w:iCs/>
        </w:rPr>
        <w:t>Managed organic soils</w:t>
      </w:r>
      <w:r w:rsidRPr="00BE78CA">
        <w:t xml:space="preserve"> (CRF 3.D.1.6)</w:t>
      </w:r>
    </w:p>
    <w:p w14:paraId="4F67CDF1" w14:textId="77777777" w:rsidR="00F02481" w:rsidRPr="00BE78CA" w:rsidRDefault="00F02481" w:rsidP="00FA2314">
      <w:pPr>
        <w:pStyle w:val="Bullet"/>
        <w:numPr>
          <w:ilvl w:val="0"/>
          <w:numId w:val="25"/>
        </w:numPr>
      </w:pPr>
      <w:r w:rsidRPr="00BE78CA">
        <w:t xml:space="preserve">adoption of updated pasture quality data for </w:t>
      </w:r>
      <w:r w:rsidRPr="00BE78CA">
        <w:rPr>
          <w:i/>
          <w:iCs/>
        </w:rPr>
        <w:t>Dairy cattle</w:t>
      </w:r>
      <w:r w:rsidRPr="00BE78CA">
        <w:t xml:space="preserve">, </w:t>
      </w:r>
      <w:r w:rsidRPr="00BE78CA">
        <w:rPr>
          <w:i/>
          <w:iCs/>
        </w:rPr>
        <w:t xml:space="preserve">Non-dairy </w:t>
      </w:r>
      <w:r w:rsidRPr="00BE78CA">
        <w:t>(beef)</w:t>
      </w:r>
      <w:r w:rsidRPr="00BE78CA">
        <w:rPr>
          <w:i/>
          <w:iCs/>
        </w:rPr>
        <w:t xml:space="preserve"> cattle</w:t>
      </w:r>
      <w:r w:rsidRPr="00BE78CA">
        <w:t xml:space="preserve">, </w:t>
      </w:r>
      <w:r w:rsidRPr="00BE78CA">
        <w:rPr>
          <w:i/>
          <w:iCs/>
        </w:rPr>
        <w:t>Sheep</w:t>
      </w:r>
      <w:r w:rsidRPr="00BE78CA">
        <w:t xml:space="preserve"> and </w:t>
      </w:r>
      <w:r w:rsidRPr="00BE78CA">
        <w:rPr>
          <w:i/>
          <w:iCs/>
        </w:rPr>
        <w:t>Deer</w:t>
      </w:r>
      <w:r w:rsidRPr="00BE78CA">
        <w:t xml:space="preserve"> animal categories</w:t>
      </w:r>
    </w:p>
    <w:p w14:paraId="5C547E2D" w14:textId="77777777" w:rsidR="00F02481" w:rsidRPr="00BE78CA" w:rsidRDefault="00F02481" w:rsidP="00FA2314">
      <w:pPr>
        <w:pStyle w:val="Bullet"/>
        <w:numPr>
          <w:ilvl w:val="0"/>
          <w:numId w:val="25"/>
        </w:numPr>
      </w:pPr>
      <w:r w:rsidRPr="00BE78CA">
        <w:t xml:space="preserve">corrections to sheep nitrogen excretion calculations. </w:t>
      </w:r>
    </w:p>
    <w:p w14:paraId="30796635" w14:textId="77777777" w:rsidR="00F02481" w:rsidRPr="00BE78CA" w:rsidRDefault="00F02481" w:rsidP="00C26084">
      <w:pPr>
        <w:pStyle w:val="BodyText"/>
      </w:pPr>
      <w:r w:rsidRPr="00BE78CA">
        <w:t xml:space="preserve">Emissions estimates have also been updated using the latest available activity data from the sources described in section 5.1.4. </w:t>
      </w:r>
    </w:p>
    <w:p w14:paraId="3C52BB46" w14:textId="77777777" w:rsidR="00F02481" w:rsidRPr="00BE78CA" w:rsidRDefault="00F02481" w:rsidP="00C26084">
      <w:pPr>
        <w:pStyle w:val="Heading5"/>
      </w:pPr>
      <w:r w:rsidRPr="00BE78CA">
        <w:t xml:space="preserve">Use of LULUCF data on Managed organic soils </w:t>
      </w:r>
    </w:p>
    <w:p w14:paraId="4CE732DD" w14:textId="77777777" w:rsidR="00F02481" w:rsidRPr="00BE78CA" w:rsidRDefault="00F02481" w:rsidP="00A901BB">
      <w:pPr>
        <w:pStyle w:val="BodyText"/>
      </w:pPr>
      <w:r w:rsidRPr="00BE78CA">
        <w:t xml:space="preserve">For the 2021 inventory submission, a new set of figures for the category </w:t>
      </w:r>
      <w:r w:rsidRPr="00BE78CA">
        <w:rPr>
          <w:i/>
          <w:iCs/>
        </w:rPr>
        <w:t>Managed organic soils</w:t>
      </w:r>
      <w:r w:rsidRPr="00BE78CA">
        <w:t xml:space="preserve"> has been adopted. This new area is consistent with the area of organic soils on </w:t>
      </w:r>
      <w:r w:rsidRPr="00BE78CA">
        <w:rPr>
          <w:i/>
          <w:iCs/>
        </w:rPr>
        <w:t>Cropland</w:t>
      </w:r>
      <w:r w:rsidRPr="00BE78CA">
        <w:t xml:space="preserve"> and </w:t>
      </w:r>
      <w:r w:rsidRPr="00BE78CA">
        <w:rPr>
          <w:i/>
          <w:iCs/>
        </w:rPr>
        <w:t>Grassland</w:t>
      </w:r>
      <w:r w:rsidRPr="00BE78CA">
        <w:t xml:space="preserve"> reported in Chapter 6, LULUCF. This area is relatively constant, but is updated by MfE each year to account for land-use change, and was approximately 174,000 hectares in 2019. The use of these figures ensures the Agriculture inventory is using values that are up to date and aligned with the rest of the National Greenhouse Gas Inventory.</w:t>
      </w:r>
    </w:p>
    <w:p w14:paraId="5C97183B" w14:textId="77777777" w:rsidR="00F02481" w:rsidRPr="00BE78CA" w:rsidRDefault="00F02481" w:rsidP="00A901BB">
      <w:pPr>
        <w:pStyle w:val="BodyText"/>
      </w:pPr>
      <w:r w:rsidRPr="00BE78CA">
        <w:t xml:space="preserve">Previously, these emissions were calculated using data from research conducted in 2011 (Dresser et al., 2011). Based on this research, the inventory assumed there were 160,385 hectares of managed organic soils, with 5 per cent (8,019 hectares) of this area being cultivated annually through pasture renewal. New Zealand’s </w:t>
      </w:r>
      <w:r w:rsidRPr="00BE78CA">
        <w:rPr>
          <w:i/>
          <w:iCs/>
        </w:rPr>
        <w:t>Managed organic soils</w:t>
      </w:r>
      <w:r w:rsidRPr="00BE78CA">
        <w:t xml:space="preserve"> emissions were subsequently based on this 8,019 hectare area, which was assumed to be constant through time.</w:t>
      </w:r>
    </w:p>
    <w:p w14:paraId="2B89885F" w14:textId="77777777" w:rsidR="00F02481" w:rsidRPr="00BE78CA" w:rsidRDefault="00F02481" w:rsidP="00A901BB">
      <w:pPr>
        <w:pStyle w:val="BodyText"/>
      </w:pPr>
      <w:r w:rsidRPr="00BE78CA">
        <w:lastRenderedPageBreak/>
        <w:t xml:space="preserve">This inventory improvement was proposed and discussed at the 2020 Agriculture Inventory Advisory Panel meeting. During this meeting, the Panel agreed that the former definition used in the Agriculture inventory to determine the area for </w:t>
      </w:r>
      <w:r w:rsidRPr="00BE78CA">
        <w:rPr>
          <w:i/>
          <w:iCs/>
        </w:rPr>
        <w:t>Managed organic soils</w:t>
      </w:r>
      <w:r w:rsidRPr="00BE78CA">
        <w:t xml:space="preserve"> is inconsistent with the 2006 IPCC Guidelines. The Panel agreed that the area of organic soils under the </w:t>
      </w:r>
      <w:r w:rsidRPr="00BE78CA">
        <w:rPr>
          <w:i/>
          <w:iCs/>
        </w:rPr>
        <w:t>Grassland</w:t>
      </w:r>
      <w:r w:rsidRPr="00BE78CA">
        <w:t xml:space="preserve"> and </w:t>
      </w:r>
      <w:r w:rsidRPr="00BE78CA">
        <w:rPr>
          <w:i/>
          <w:iCs/>
        </w:rPr>
        <w:t>Cropland</w:t>
      </w:r>
      <w:r w:rsidRPr="00BE78CA">
        <w:t xml:space="preserve"> land-use categories can, under a reasonable interpretation of the 2006 IPCC Guidelines, be defined as managed.</w:t>
      </w:r>
    </w:p>
    <w:p w14:paraId="56415E6E" w14:textId="3A4DB3D4" w:rsidR="00F02481" w:rsidRPr="00BE78CA" w:rsidRDefault="00F02481" w:rsidP="00C26084">
      <w:pPr>
        <w:pStyle w:val="BodyText"/>
        <w:spacing w:after="100"/>
        <w:rPr>
          <w:rFonts w:cs="Calibri"/>
        </w:rPr>
      </w:pPr>
      <w:r w:rsidRPr="00BE78CA">
        <w:rPr>
          <w:rFonts w:cs="Calibri"/>
        </w:rPr>
        <w:t>Following the recommendation from the Advisory Panel (to change the area of managed organic soils used to calculate emissions in the Agriculture inventory), the organic soil area</w:t>
      </w:r>
      <w:r w:rsidR="002051F4" w:rsidRPr="00BE78CA">
        <w:rPr>
          <w:rFonts w:cs="Calibri"/>
        </w:rPr>
        <w:t> </w:t>
      </w:r>
      <w:r w:rsidRPr="00BE78CA">
        <w:rPr>
          <w:rFonts w:cs="Calibri"/>
        </w:rPr>
        <w:t xml:space="preserve">values have been changed to align with </w:t>
      </w:r>
      <w:r w:rsidRPr="00BE78CA">
        <w:rPr>
          <w:rFonts w:cs="Calibri"/>
          <w:i/>
          <w:iCs/>
        </w:rPr>
        <w:t>Grassland</w:t>
      </w:r>
      <w:r w:rsidRPr="00BE78CA">
        <w:rPr>
          <w:rFonts w:cs="Calibri"/>
        </w:rPr>
        <w:t xml:space="preserve"> and </w:t>
      </w:r>
      <w:r w:rsidRPr="00BE78CA">
        <w:rPr>
          <w:rFonts w:cs="Calibri"/>
          <w:i/>
          <w:iCs/>
        </w:rPr>
        <w:t>Cropland</w:t>
      </w:r>
      <w:r w:rsidRPr="00BE78CA">
        <w:rPr>
          <w:rFonts w:cs="Calibri"/>
        </w:rPr>
        <w:t xml:space="preserve"> categories in chapter</w:t>
      </w:r>
      <w:r w:rsidR="002051F4" w:rsidRPr="00BE78CA">
        <w:rPr>
          <w:rFonts w:cs="Calibri"/>
        </w:rPr>
        <w:t> </w:t>
      </w:r>
      <w:r w:rsidRPr="00BE78CA">
        <w:rPr>
          <w:rFonts w:cs="Calibri"/>
        </w:rPr>
        <w:t>6,</w:t>
      </w:r>
      <w:r w:rsidR="002051F4" w:rsidRPr="00BE78CA">
        <w:rPr>
          <w:rFonts w:cs="Calibri"/>
        </w:rPr>
        <w:t> </w:t>
      </w:r>
      <w:r w:rsidRPr="00BE78CA">
        <w:rPr>
          <w:rFonts w:cs="Calibri"/>
        </w:rPr>
        <w:t>LULUCF.</w:t>
      </w:r>
    </w:p>
    <w:p w14:paraId="24D08B76" w14:textId="77777777" w:rsidR="00F02481" w:rsidRPr="00BE78CA" w:rsidRDefault="00F02481" w:rsidP="00C26084">
      <w:pPr>
        <w:pStyle w:val="BodyText"/>
        <w:spacing w:after="100"/>
        <w:rPr>
          <w:rFonts w:cs="Calibri"/>
        </w:rPr>
      </w:pPr>
      <w:r w:rsidRPr="00BE78CA">
        <w:rPr>
          <w:rFonts w:cs="Calibri"/>
        </w:rPr>
        <w:t xml:space="preserve">The implementation of this improvement caused estimated emissions from </w:t>
      </w:r>
      <w:r w:rsidRPr="00BE78CA">
        <w:rPr>
          <w:rFonts w:cs="Calibri"/>
          <w:i/>
          <w:iCs/>
        </w:rPr>
        <w:t>Agricultural soils</w:t>
      </w:r>
      <w:r w:rsidRPr="00BE78CA">
        <w:rPr>
          <w:rFonts w:cs="Calibri"/>
        </w:rPr>
        <w:t xml:space="preserve"> to increase by 13.1 per cent in 1990 and 8.7 per cent in 2019 (see table 5.5.14). </w:t>
      </w:r>
    </w:p>
    <w:p w14:paraId="6F82FE1D" w14:textId="77777777" w:rsidR="00F02481" w:rsidRPr="00BE78CA" w:rsidRDefault="00F02481" w:rsidP="00C26084">
      <w:pPr>
        <w:pStyle w:val="Table"/>
        <w:rPr>
          <w:rFonts w:cs="Calibri"/>
        </w:rPr>
      </w:pPr>
      <w:bookmarkStart w:id="973" w:name="_Toc5269495"/>
      <w:bookmarkStart w:id="974" w:name="_Toc32570940"/>
      <w:bookmarkStart w:id="975" w:name="_Toc36224575"/>
      <w:bookmarkStart w:id="976" w:name="_Toc68786460"/>
      <w:r w:rsidRPr="00BE78CA">
        <w:rPr>
          <w:rFonts w:cs="Calibri"/>
        </w:rPr>
        <w:t>Table 5.5.14</w:t>
      </w:r>
      <w:r w:rsidRPr="00BE78CA">
        <w:rPr>
          <w:rFonts w:cs="Calibri"/>
        </w:rPr>
        <w:tab/>
      </w:r>
      <w:bookmarkStart w:id="977" w:name="_Hlk60994329"/>
      <w:r w:rsidRPr="00BE78CA">
        <w:rPr>
          <w:rFonts w:cs="Calibri"/>
        </w:rPr>
        <w:t xml:space="preserve">Comparison of current and previous emissions estimates before and after change to </w:t>
      </w:r>
      <w:bookmarkEnd w:id="973"/>
      <w:bookmarkEnd w:id="974"/>
      <w:bookmarkEnd w:id="975"/>
      <w:r w:rsidRPr="00BE78CA">
        <w:rPr>
          <w:rFonts w:cs="Calibri"/>
        </w:rPr>
        <w:t>the area of </w:t>
      </w:r>
      <w:r w:rsidRPr="00BE78CA">
        <w:rPr>
          <w:rFonts w:cs="Calibri"/>
          <w:i/>
          <w:iCs/>
        </w:rPr>
        <w:t>Managed organic soils</w:t>
      </w:r>
      <w:r w:rsidRPr="00BE78CA">
        <w:rPr>
          <w:rFonts w:cs="Calibri"/>
        </w:rPr>
        <w:t xml:space="preserve"> used in the Agriculture inventory</w:t>
      </w:r>
      <w:bookmarkEnd w:id="976"/>
      <w:bookmarkEnd w:id="977"/>
    </w:p>
    <w:tbl>
      <w:tblPr>
        <w:tblW w:w="8505" w:type="dxa"/>
        <w:tblBorders>
          <w:top w:val="single" w:sz="4" w:space="0" w:color="365F91"/>
          <w:bottom w:val="single" w:sz="4" w:space="0" w:color="365F91"/>
          <w:insideH w:val="single" w:sz="4" w:space="0" w:color="365F91"/>
        </w:tblBorders>
        <w:tblLayout w:type="fixed"/>
        <w:tblLook w:val="0000" w:firstRow="0" w:lastRow="0" w:firstColumn="0" w:lastColumn="0" w:noHBand="0" w:noVBand="0"/>
      </w:tblPr>
      <w:tblGrid>
        <w:gridCol w:w="1371"/>
        <w:gridCol w:w="2454"/>
        <w:gridCol w:w="799"/>
        <w:gridCol w:w="799"/>
        <w:gridCol w:w="1541"/>
        <w:gridCol w:w="1541"/>
      </w:tblGrid>
      <w:tr w:rsidR="002051F4" w:rsidRPr="00BE78CA" w14:paraId="4F86B9E9" w14:textId="77777777" w:rsidTr="002051F4">
        <w:trPr>
          <w:tblHeader/>
        </w:trPr>
        <w:tc>
          <w:tcPr>
            <w:tcW w:w="1361" w:type="dxa"/>
            <w:shd w:val="clear" w:color="auto" w:fill="365F91"/>
            <w:vAlign w:val="bottom"/>
          </w:tcPr>
          <w:p w14:paraId="0F5B8CFC" w14:textId="77777777" w:rsidR="00F02481" w:rsidRPr="00BE78CA" w:rsidRDefault="00F02481" w:rsidP="00C26084">
            <w:pPr>
              <w:pStyle w:val="TableTextBold"/>
              <w:spacing w:before="40" w:after="40"/>
              <w:rPr>
                <w:noProof w:val="0"/>
                <w:color w:val="FFFFFF" w:themeColor="background1"/>
                <w:szCs w:val="16"/>
              </w:rPr>
            </w:pPr>
            <w:r w:rsidRPr="00BE78CA">
              <w:rPr>
                <w:noProof w:val="0"/>
                <w:color w:val="FFFFFF" w:themeColor="background1"/>
                <w:szCs w:val="16"/>
              </w:rPr>
              <w:t xml:space="preserve">Emissions </w:t>
            </w:r>
            <w:r w:rsidRPr="00BE78CA">
              <w:rPr>
                <w:noProof w:val="0"/>
                <w:color w:val="FFFFFF" w:themeColor="background1"/>
                <w:szCs w:val="16"/>
              </w:rPr>
              <w:br/>
              <w:t>(kt CO</w:t>
            </w:r>
            <w:r w:rsidRPr="00BE78CA">
              <w:rPr>
                <w:noProof w:val="0"/>
                <w:color w:val="FFFFFF" w:themeColor="background1"/>
                <w:szCs w:val="16"/>
                <w:vertAlign w:val="subscript"/>
              </w:rPr>
              <w:t>2</w:t>
            </w:r>
            <w:r w:rsidRPr="00BE78CA">
              <w:rPr>
                <w:noProof w:val="0"/>
                <w:color w:val="FFFFFF" w:themeColor="background1"/>
                <w:szCs w:val="16"/>
              </w:rPr>
              <w:t>-e)</w:t>
            </w:r>
          </w:p>
        </w:tc>
        <w:tc>
          <w:tcPr>
            <w:tcW w:w="2438" w:type="dxa"/>
            <w:shd w:val="clear" w:color="auto" w:fill="365F91"/>
            <w:vAlign w:val="bottom"/>
          </w:tcPr>
          <w:p w14:paraId="463C4922" w14:textId="77777777" w:rsidR="00F02481" w:rsidRPr="00BE78CA" w:rsidRDefault="00F02481" w:rsidP="00C26084">
            <w:pPr>
              <w:pStyle w:val="TableTextBold"/>
              <w:spacing w:before="40" w:after="40"/>
              <w:rPr>
                <w:noProof w:val="0"/>
                <w:color w:val="FFFFFF" w:themeColor="background1"/>
                <w:szCs w:val="16"/>
              </w:rPr>
            </w:pPr>
          </w:p>
        </w:tc>
        <w:tc>
          <w:tcPr>
            <w:tcW w:w="794" w:type="dxa"/>
            <w:shd w:val="clear" w:color="auto" w:fill="365F91"/>
            <w:vAlign w:val="bottom"/>
          </w:tcPr>
          <w:p w14:paraId="11CE6FED" w14:textId="77777777" w:rsidR="00F02481" w:rsidRPr="00BE78CA" w:rsidRDefault="00F02481" w:rsidP="00C26084">
            <w:pPr>
              <w:pStyle w:val="TableTextBold"/>
              <w:spacing w:before="40" w:after="40"/>
              <w:jc w:val="center"/>
              <w:rPr>
                <w:noProof w:val="0"/>
                <w:color w:val="FFFFFF" w:themeColor="background1"/>
                <w:szCs w:val="16"/>
              </w:rPr>
            </w:pPr>
            <w:r w:rsidRPr="00BE78CA">
              <w:rPr>
                <w:noProof w:val="0"/>
                <w:color w:val="FFFFFF" w:themeColor="background1"/>
                <w:szCs w:val="16"/>
              </w:rPr>
              <w:t>1990</w:t>
            </w:r>
          </w:p>
        </w:tc>
        <w:tc>
          <w:tcPr>
            <w:tcW w:w="794" w:type="dxa"/>
            <w:shd w:val="clear" w:color="auto" w:fill="365F91"/>
            <w:vAlign w:val="bottom"/>
          </w:tcPr>
          <w:p w14:paraId="37A89105" w14:textId="77777777" w:rsidR="00F02481" w:rsidRPr="00BE78CA" w:rsidRDefault="00F02481" w:rsidP="00C26084">
            <w:pPr>
              <w:pStyle w:val="TableTextBold"/>
              <w:spacing w:before="40" w:after="40"/>
              <w:jc w:val="center"/>
              <w:rPr>
                <w:noProof w:val="0"/>
                <w:color w:val="FFFFFF" w:themeColor="background1"/>
                <w:szCs w:val="16"/>
              </w:rPr>
            </w:pPr>
            <w:r w:rsidRPr="00BE78CA">
              <w:rPr>
                <w:noProof w:val="0"/>
                <w:color w:val="FFFFFF" w:themeColor="background1"/>
                <w:szCs w:val="16"/>
              </w:rPr>
              <w:t>2019</w:t>
            </w:r>
          </w:p>
        </w:tc>
        <w:tc>
          <w:tcPr>
            <w:tcW w:w="1531" w:type="dxa"/>
            <w:shd w:val="clear" w:color="auto" w:fill="365F91"/>
            <w:vAlign w:val="bottom"/>
          </w:tcPr>
          <w:p w14:paraId="58D02FF3" w14:textId="77777777" w:rsidR="00F02481" w:rsidRPr="00BE78CA" w:rsidRDefault="00F02481" w:rsidP="00C26084">
            <w:pPr>
              <w:pStyle w:val="TableTextBold"/>
              <w:spacing w:before="40" w:after="40"/>
              <w:jc w:val="center"/>
              <w:rPr>
                <w:noProof w:val="0"/>
                <w:color w:val="FFFFFF" w:themeColor="background1"/>
                <w:szCs w:val="16"/>
              </w:rPr>
            </w:pPr>
            <w:r w:rsidRPr="00BE78CA">
              <w:rPr>
                <w:noProof w:val="0"/>
                <w:color w:val="FFFFFF" w:themeColor="background1"/>
                <w:szCs w:val="16"/>
              </w:rPr>
              <w:t xml:space="preserve">Change in emission outputs between 1990 and 2019 </w:t>
            </w:r>
            <w:r w:rsidRPr="00BE78CA">
              <w:rPr>
                <w:noProof w:val="0"/>
                <w:color w:val="FFFFFF" w:themeColor="background1"/>
                <w:szCs w:val="16"/>
              </w:rPr>
              <w:br/>
              <w:t>(kt CO</w:t>
            </w:r>
            <w:r w:rsidRPr="00BE78CA">
              <w:rPr>
                <w:noProof w:val="0"/>
                <w:color w:val="FFFFFF" w:themeColor="background1"/>
                <w:szCs w:val="16"/>
                <w:vertAlign w:val="subscript"/>
              </w:rPr>
              <w:t>2</w:t>
            </w:r>
            <w:r w:rsidRPr="00BE78CA">
              <w:rPr>
                <w:noProof w:val="0"/>
                <w:color w:val="FFFFFF" w:themeColor="background1"/>
                <w:szCs w:val="16"/>
              </w:rPr>
              <w:t xml:space="preserve">-e) </w:t>
            </w:r>
          </w:p>
        </w:tc>
        <w:tc>
          <w:tcPr>
            <w:tcW w:w="1531" w:type="dxa"/>
            <w:shd w:val="clear" w:color="auto" w:fill="365F91"/>
            <w:vAlign w:val="bottom"/>
          </w:tcPr>
          <w:p w14:paraId="45CC73E4" w14:textId="77777777" w:rsidR="00F02481" w:rsidRPr="00BE78CA" w:rsidRDefault="00F02481" w:rsidP="00C26084">
            <w:pPr>
              <w:pStyle w:val="TableTextBold"/>
              <w:spacing w:before="40" w:after="40"/>
              <w:jc w:val="center"/>
              <w:rPr>
                <w:noProof w:val="0"/>
                <w:color w:val="FFFFFF" w:themeColor="background1"/>
                <w:szCs w:val="16"/>
              </w:rPr>
            </w:pPr>
            <w:r w:rsidRPr="00BE78CA">
              <w:rPr>
                <w:noProof w:val="0"/>
                <w:color w:val="FFFFFF" w:themeColor="background1"/>
                <w:szCs w:val="16"/>
              </w:rPr>
              <w:t xml:space="preserve">Percentage change in emission outputs between </w:t>
            </w:r>
            <w:r w:rsidRPr="00BE78CA">
              <w:rPr>
                <w:noProof w:val="0"/>
                <w:color w:val="FFFFFF" w:themeColor="background1"/>
                <w:szCs w:val="16"/>
              </w:rPr>
              <w:br/>
              <w:t>1990 and 2019</w:t>
            </w:r>
          </w:p>
        </w:tc>
      </w:tr>
      <w:tr w:rsidR="00F02481" w:rsidRPr="00BE78CA" w14:paraId="3727A09A" w14:textId="77777777" w:rsidTr="002051F4">
        <w:tc>
          <w:tcPr>
            <w:tcW w:w="1361" w:type="dxa"/>
            <w:vMerge w:val="restart"/>
            <w:vAlign w:val="center"/>
          </w:tcPr>
          <w:p w14:paraId="7E96EF71" w14:textId="77777777" w:rsidR="00F02481" w:rsidRPr="00BE78CA" w:rsidRDefault="00F02481" w:rsidP="00C26084">
            <w:pPr>
              <w:pStyle w:val="TableText"/>
              <w:spacing w:before="40" w:after="40"/>
              <w:rPr>
                <w:rFonts w:cs="Calibri"/>
                <w:szCs w:val="16"/>
              </w:rPr>
            </w:pPr>
            <w:r w:rsidRPr="00BE78CA">
              <w:rPr>
                <w:rFonts w:cs="Calibri"/>
                <w:szCs w:val="16"/>
              </w:rPr>
              <w:t>Total emissions from Agricultural soils (kt CO</w:t>
            </w:r>
            <w:r w:rsidRPr="00BE78CA">
              <w:rPr>
                <w:rFonts w:cs="Calibri"/>
                <w:szCs w:val="16"/>
                <w:vertAlign w:val="subscript"/>
              </w:rPr>
              <w:t>2</w:t>
            </w:r>
            <w:r w:rsidRPr="00BE78CA">
              <w:rPr>
                <w:rFonts w:cs="Calibri"/>
                <w:szCs w:val="16"/>
              </w:rPr>
              <w:t>-e)</w:t>
            </w:r>
          </w:p>
        </w:tc>
        <w:tc>
          <w:tcPr>
            <w:tcW w:w="2438" w:type="dxa"/>
          </w:tcPr>
          <w:p w14:paraId="7F6CAD0B" w14:textId="77777777" w:rsidR="00F02481" w:rsidRPr="00BE78CA" w:rsidRDefault="00F02481" w:rsidP="00C26084">
            <w:pPr>
              <w:pStyle w:val="TableText"/>
              <w:spacing w:before="40" w:after="40"/>
              <w:rPr>
                <w:rFonts w:cs="Calibri"/>
                <w:szCs w:val="16"/>
              </w:rPr>
            </w:pPr>
            <w:r w:rsidRPr="00BE78CA">
              <w:rPr>
                <w:rFonts w:cs="Calibri"/>
                <w:szCs w:val="16"/>
              </w:rPr>
              <w:t>2021 (1990–2019) emissions estimate using</w:t>
            </w:r>
            <w:r w:rsidRPr="00BE78CA">
              <w:rPr>
                <w:rFonts w:cs="Calibri"/>
                <w:i/>
                <w:iCs/>
                <w:szCs w:val="16"/>
              </w:rPr>
              <w:t xml:space="preserve"> previous </w:t>
            </w:r>
            <w:r w:rsidRPr="00BE78CA">
              <w:rPr>
                <w:rFonts w:cs="Calibri"/>
              </w:rPr>
              <w:t>managed organic soils area</w:t>
            </w:r>
            <w:r w:rsidRPr="00BE78CA">
              <w:rPr>
                <w:rFonts w:cs="Calibri"/>
                <w:szCs w:val="16"/>
              </w:rPr>
              <w:t xml:space="preserve"> values</w:t>
            </w:r>
          </w:p>
        </w:tc>
        <w:tc>
          <w:tcPr>
            <w:tcW w:w="794" w:type="dxa"/>
            <w:vAlign w:val="center"/>
          </w:tcPr>
          <w:p w14:paraId="07378DE3" w14:textId="77777777" w:rsidR="00F02481" w:rsidRPr="00BE78CA" w:rsidRDefault="00F02481" w:rsidP="00C26084">
            <w:pPr>
              <w:pStyle w:val="TableText"/>
              <w:spacing w:before="40" w:after="40"/>
              <w:jc w:val="center"/>
              <w:rPr>
                <w:rFonts w:cs="Calibri"/>
                <w:szCs w:val="16"/>
              </w:rPr>
            </w:pPr>
            <w:r w:rsidRPr="00BE78CA">
              <w:t>4,671.0</w:t>
            </w:r>
          </w:p>
        </w:tc>
        <w:tc>
          <w:tcPr>
            <w:tcW w:w="794" w:type="dxa"/>
            <w:vAlign w:val="center"/>
          </w:tcPr>
          <w:p w14:paraId="794AFFEC" w14:textId="77777777" w:rsidR="00F02481" w:rsidRPr="00BE78CA" w:rsidRDefault="00F02481" w:rsidP="00C26084">
            <w:pPr>
              <w:pStyle w:val="TableText"/>
              <w:spacing w:before="40" w:after="40"/>
              <w:jc w:val="center"/>
              <w:rPr>
                <w:rFonts w:cs="Calibri"/>
                <w:szCs w:val="16"/>
              </w:rPr>
            </w:pPr>
            <w:r w:rsidRPr="00BE78CA">
              <w:t>7,140.2</w:t>
            </w:r>
          </w:p>
        </w:tc>
        <w:tc>
          <w:tcPr>
            <w:tcW w:w="1531" w:type="dxa"/>
            <w:vAlign w:val="center"/>
          </w:tcPr>
          <w:p w14:paraId="4D49055B" w14:textId="77777777" w:rsidR="00F02481" w:rsidRPr="00BE78CA" w:rsidRDefault="00F02481" w:rsidP="00C26084">
            <w:pPr>
              <w:pStyle w:val="TableText"/>
              <w:spacing w:before="40" w:after="40"/>
              <w:jc w:val="center"/>
              <w:rPr>
                <w:rFonts w:cs="Calibri"/>
                <w:szCs w:val="16"/>
              </w:rPr>
            </w:pPr>
            <w:r w:rsidRPr="00BE78CA">
              <w:t>2,469.2</w:t>
            </w:r>
          </w:p>
        </w:tc>
        <w:tc>
          <w:tcPr>
            <w:tcW w:w="1531" w:type="dxa"/>
            <w:vAlign w:val="center"/>
          </w:tcPr>
          <w:p w14:paraId="055F6162" w14:textId="77777777" w:rsidR="00F02481" w:rsidRPr="00BE78CA" w:rsidRDefault="00F02481" w:rsidP="00C26084">
            <w:pPr>
              <w:pStyle w:val="TableText"/>
              <w:spacing w:before="40" w:after="40"/>
              <w:jc w:val="center"/>
              <w:rPr>
                <w:rFonts w:cs="Calibri"/>
                <w:szCs w:val="16"/>
              </w:rPr>
            </w:pPr>
            <w:r w:rsidRPr="00BE78CA">
              <w:t>52.9</w:t>
            </w:r>
          </w:p>
        </w:tc>
      </w:tr>
      <w:tr w:rsidR="00F02481" w:rsidRPr="00BE78CA" w14:paraId="66043582" w14:textId="77777777" w:rsidTr="002051F4">
        <w:tc>
          <w:tcPr>
            <w:tcW w:w="1361" w:type="dxa"/>
            <w:vMerge/>
          </w:tcPr>
          <w:p w14:paraId="06491009" w14:textId="77777777" w:rsidR="00F02481" w:rsidRPr="00BE78CA" w:rsidRDefault="00F02481" w:rsidP="00C26084">
            <w:pPr>
              <w:pStyle w:val="TableText"/>
              <w:spacing w:before="40" w:after="40"/>
              <w:rPr>
                <w:rFonts w:cs="Calibri"/>
                <w:szCs w:val="16"/>
              </w:rPr>
            </w:pPr>
          </w:p>
        </w:tc>
        <w:tc>
          <w:tcPr>
            <w:tcW w:w="2438" w:type="dxa"/>
          </w:tcPr>
          <w:p w14:paraId="3BF8E5D0" w14:textId="77777777" w:rsidR="00F02481" w:rsidRPr="00BE78CA" w:rsidRDefault="00F02481" w:rsidP="00C26084">
            <w:pPr>
              <w:pStyle w:val="TableText"/>
              <w:spacing w:before="40" w:after="40"/>
              <w:rPr>
                <w:rFonts w:cs="Calibri"/>
                <w:szCs w:val="16"/>
              </w:rPr>
            </w:pPr>
            <w:r w:rsidRPr="00BE78CA">
              <w:rPr>
                <w:rFonts w:cs="Calibri"/>
                <w:szCs w:val="16"/>
              </w:rPr>
              <w:t xml:space="preserve">2021 (1990–2019) emissions estimate </w:t>
            </w:r>
            <w:r w:rsidRPr="00BE78CA">
              <w:rPr>
                <w:rFonts w:cs="Calibri"/>
                <w:i/>
                <w:iCs/>
                <w:szCs w:val="16"/>
              </w:rPr>
              <w:t>using new</w:t>
            </w:r>
            <w:r w:rsidRPr="00BE78CA">
              <w:rPr>
                <w:rFonts w:cs="Calibri"/>
                <w:szCs w:val="16"/>
              </w:rPr>
              <w:t xml:space="preserve"> </w:t>
            </w:r>
            <w:r w:rsidRPr="00BE78CA">
              <w:rPr>
                <w:rFonts w:cs="Calibri"/>
              </w:rPr>
              <w:t>managed organic soils area</w:t>
            </w:r>
            <w:r w:rsidRPr="00BE78CA">
              <w:rPr>
                <w:rFonts w:cs="Calibri"/>
                <w:szCs w:val="16"/>
              </w:rPr>
              <w:t xml:space="preserve"> values</w:t>
            </w:r>
          </w:p>
        </w:tc>
        <w:tc>
          <w:tcPr>
            <w:tcW w:w="794" w:type="dxa"/>
            <w:vAlign w:val="center"/>
          </w:tcPr>
          <w:p w14:paraId="56952D69" w14:textId="77777777" w:rsidR="00F02481" w:rsidRPr="00BE78CA" w:rsidRDefault="00F02481" w:rsidP="00C26084">
            <w:pPr>
              <w:pStyle w:val="TableText"/>
              <w:spacing w:before="40" w:after="40"/>
              <w:jc w:val="center"/>
              <w:rPr>
                <w:rFonts w:cs="Calibri"/>
                <w:szCs w:val="16"/>
              </w:rPr>
            </w:pPr>
            <w:r w:rsidRPr="00BE78CA">
              <w:t>5,284.8</w:t>
            </w:r>
          </w:p>
        </w:tc>
        <w:tc>
          <w:tcPr>
            <w:tcW w:w="794" w:type="dxa"/>
            <w:vAlign w:val="center"/>
          </w:tcPr>
          <w:p w14:paraId="33FBEE9C" w14:textId="77777777" w:rsidR="00F02481" w:rsidRPr="00BE78CA" w:rsidRDefault="00F02481" w:rsidP="00C26084">
            <w:pPr>
              <w:pStyle w:val="TableText"/>
              <w:spacing w:before="40" w:after="40"/>
              <w:jc w:val="center"/>
              <w:rPr>
                <w:rFonts w:cs="Calibri"/>
                <w:szCs w:val="16"/>
              </w:rPr>
            </w:pPr>
            <w:r w:rsidRPr="00BE78CA">
              <w:t>7,763.1</w:t>
            </w:r>
          </w:p>
        </w:tc>
        <w:tc>
          <w:tcPr>
            <w:tcW w:w="1531" w:type="dxa"/>
            <w:vAlign w:val="center"/>
          </w:tcPr>
          <w:p w14:paraId="62FDABDD" w14:textId="77777777" w:rsidR="00F02481" w:rsidRPr="00BE78CA" w:rsidRDefault="00F02481" w:rsidP="00C26084">
            <w:pPr>
              <w:pStyle w:val="TableText"/>
              <w:spacing w:before="40" w:after="40"/>
              <w:jc w:val="center"/>
              <w:rPr>
                <w:rFonts w:cs="Calibri"/>
                <w:szCs w:val="16"/>
              </w:rPr>
            </w:pPr>
            <w:r w:rsidRPr="00BE78CA">
              <w:t>2,478.3</w:t>
            </w:r>
          </w:p>
        </w:tc>
        <w:tc>
          <w:tcPr>
            <w:tcW w:w="1531" w:type="dxa"/>
            <w:vAlign w:val="center"/>
          </w:tcPr>
          <w:p w14:paraId="38B72B48" w14:textId="77777777" w:rsidR="00F02481" w:rsidRPr="00BE78CA" w:rsidRDefault="00F02481" w:rsidP="00C26084">
            <w:pPr>
              <w:pStyle w:val="TableText"/>
              <w:spacing w:before="40" w:after="40"/>
              <w:jc w:val="center"/>
              <w:rPr>
                <w:rFonts w:cs="Calibri"/>
                <w:szCs w:val="16"/>
              </w:rPr>
            </w:pPr>
            <w:r w:rsidRPr="00BE78CA">
              <w:t>46.9</w:t>
            </w:r>
          </w:p>
        </w:tc>
      </w:tr>
      <w:tr w:rsidR="00F02481" w:rsidRPr="00BE78CA" w14:paraId="4FFCD301" w14:textId="77777777" w:rsidTr="002051F4">
        <w:tc>
          <w:tcPr>
            <w:tcW w:w="1361" w:type="dxa"/>
            <w:vMerge/>
          </w:tcPr>
          <w:p w14:paraId="4A859996" w14:textId="77777777" w:rsidR="00F02481" w:rsidRPr="00BE78CA" w:rsidRDefault="00F02481" w:rsidP="00C26084">
            <w:pPr>
              <w:pStyle w:val="TableText"/>
              <w:spacing w:before="40" w:after="40"/>
              <w:rPr>
                <w:rFonts w:cs="Calibri"/>
                <w:szCs w:val="16"/>
              </w:rPr>
            </w:pPr>
          </w:p>
        </w:tc>
        <w:tc>
          <w:tcPr>
            <w:tcW w:w="2438" w:type="dxa"/>
          </w:tcPr>
          <w:p w14:paraId="0261F5C6" w14:textId="77777777" w:rsidR="00F02481" w:rsidRPr="00BE78CA" w:rsidRDefault="00F02481" w:rsidP="00C26084">
            <w:pPr>
              <w:pStyle w:val="TableText"/>
              <w:spacing w:before="40" w:after="40"/>
              <w:rPr>
                <w:rFonts w:cs="Calibri"/>
                <w:szCs w:val="16"/>
              </w:rPr>
            </w:pPr>
            <w:r w:rsidRPr="00BE78CA">
              <w:rPr>
                <w:rFonts w:cs="Calibri"/>
                <w:szCs w:val="16"/>
              </w:rPr>
              <w:t xml:space="preserve">Difference in emission estimates </w:t>
            </w:r>
          </w:p>
        </w:tc>
        <w:tc>
          <w:tcPr>
            <w:tcW w:w="794" w:type="dxa"/>
            <w:vAlign w:val="center"/>
          </w:tcPr>
          <w:p w14:paraId="031E5E16" w14:textId="77777777" w:rsidR="00F02481" w:rsidRPr="00BE78CA" w:rsidRDefault="00F02481" w:rsidP="00C26084">
            <w:pPr>
              <w:pStyle w:val="TableText"/>
              <w:spacing w:before="40" w:after="40"/>
              <w:jc w:val="center"/>
              <w:rPr>
                <w:rFonts w:cs="Calibri"/>
                <w:szCs w:val="16"/>
              </w:rPr>
            </w:pPr>
            <w:r w:rsidRPr="00BE78CA">
              <w:t>613.8</w:t>
            </w:r>
          </w:p>
        </w:tc>
        <w:tc>
          <w:tcPr>
            <w:tcW w:w="794" w:type="dxa"/>
            <w:vAlign w:val="center"/>
          </w:tcPr>
          <w:p w14:paraId="3F0C2B77" w14:textId="77777777" w:rsidR="00F02481" w:rsidRPr="00BE78CA" w:rsidRDefault="00F02481" w:rsidP="00C26084">
            <w:pPr>
              <w:pStyle w:val="TableText"/>
              <w:spacing w:before="40" w:after="40"/>
              <w:jc w:val="center"/>
              <w:rPr>
                <w:rFonts w:cs="Calibri"/>
                <w:szCs w:val="16"/>
              </w:rPr>
            </w:pPr>
            <w:r w:rsidRPr="00BE78CA">
              <w:t>622.9</w:t>
            </w:r>
          </w:p>
        </w:tc>
        <w:tc>
          <w:tcPr>
            <w:tcW w:w="1531" w:type="dxa"/>
            <w:vAlign w:val="center"/>
          </w:tcPr>
          <w:p w14:paraId="50EC4AEB" w14:textId="77777777" w:rsidR="00F02481" w:rsidRPr="00BE78CA" w:rsidRDefault="00F02481" w:rsidP="00C26084">
            <w:pPr>
              <w:pStyle w:val="TableText"/>
              <w:spacing w:before="40" w:after="40"/>
              <w:jc w:val="center"/>
              <w:rPr>
                <w:rFonts w:cs="Calibri"/>
                <w:szCs w:val="16"/>
              </w:rPr>
            </w:pPr>
            <w:r w:rsidRPr="00BE78CA">
              <w:t>9.2</w:t>
            </w:r>
          </w:p>
        </w:tc>
        <w:tc>
          <w:tcPr>
            <w:tcW w:w="1531" w:type="dxa"/>
            <w:vAlign w:val="center"/>
          </w:tcPr>
          <w:p w14:paraId="1402F1A4" w14:textId="77777777" w:rsidR="00F02481" w:rsidRPr="00BE78CA" w:rsidRDefault="00F02481" w:rsidP="00C26084">
            <w:pPr>
              <w:pStyle w:val="TableText"/>
              <w:spacing w:before="40" w:after="40"/>
              <w:jc w:val="center"/>
              <w:rPr>
                <w:rFonts w:cs="Calibri"/>
                <w:szCs w:val="16"/>
              </w:rPr>
            </w:pPr>
          </w:p>
        </w:tc>
      </w:tr>
      <w:tr w:rsidR="00F02481" w:rsidRPr="00BE78CA" w14:paraId="19426FA2" w14:textId="77777777" w:rsidTr="002051F4">
        <w:tc>
          <w:tcPr>
            <w:tcW w:w="1361" w:type="dxa"/>
            <w:vMerge/>
          </w:tcPr>
          <w:p w14:paraId="3137B092" w14:textId="77777777" w:rsidR="00F02481" w:rsidRPr="00BE78CA" w:rsidRDefault="00F02481" w:rsidP="00C26084">
            <w:pPr>
              <w:pStyle w:val="TableText"/>
              <w:spacing w:before="40" w:after="40"/>
              <w:rPr>
                <w:rFonts w:cs="Calibri"/>
                <w:szCs w:val="16"/>
              </w:rPr>
            </w:pPr>
          </w:p>
        </w:tc>
        <w:tc>
          <w:tcPr>
            <w:tcW w:w="2438" w:type="dxa"/>
          </w:tcPr>
          <w:p w14:paraId="407D9766" w14:textId="77777777" w:rsidR="00F02481" w:rsidRPr="00BE78CA" w:rsidRDefault="00F02481" w:rsidP="00C26084">
            <w:pPr>
              <w:pStyle w:val="TableText"/>
              <w:spacing w:before="40" w:after="40"/>
              <w:rPr>
                <w:rFonts w:cs="Calibri"/>
                <w:szCs w:val="16"/>
              </w:rPr>
            </w:pPr>
            <w:r w:rsidRPr="00BE78CA">
              <w:rPr>
                <w:rFonts w:cs="Calibri"/>
                <w:szCs w:val="16"/>
              </w:rPr>
              <w:t>Percentage difference in emission estimates</w:t>
            </w:r>
          </w:p>
        </w:tc>
        <w:tc>
          <w:tcPr>
            <w:tcW w:w="794" w:type="dxa"/>
            <w:vAlign w:val="center"/>
          </w:tcPr>
          <w:p w14:paraId="2D25ED09" w14:textId="77777777" w:rsidR="00F02481" w:rsidRPr="00BE78CA" w:rsidRDefault="00F02481" w:rsidP="00C26084">
            <w:pPr>
              <w:pStyle w:val="TableText"/>
              <w:spacing w:before="40" w:after="40"/>
              <w:jc w:val="center"/>
              <w:rPr>
                <w:rFonts w:cs="Calibri"/>
                <w:szCs w:val="16"/>
              </w:rPr>
            </w:pPr>
            <w:r w:rsidRPr="00BE78CA">
              <w:t>13.1</w:t>
            </w:r>
          </w:p>
        </w:tc>
        <w:tc>
          <w:tcPr>
            <w:tcW w:w="794" w:type="dxa"/>
            <w:vAlign w:val="center"/>
          </w:tcPr>
          <w:p w14:paraId="230348F7" w14:textId="77777777" w:rsidR="00F02481" w:rsidRPr="00BE78CA" w:rsidRDefault="00F02481" w:rsidP="00C26084">
            <w:pPr>
              <w:pStyle w:val="TableText"/>
              <w:spacing w:before="40" w:after="40"/>
              <w:jc w:val="center"/>
              <w:rPr>
                <w:rFonts w:cs="Calibri"/>
                <w:szCs w:val="16"/>
              </w:rPr>
            </w:pPr>
            <w:r w:rsidRPr="00BE78CA">
              <w:t>8.7</w:t>
            </w:r>
          </w:p>
        </w:tc>
        <w:tc>
          <w:tcPr>
            <w:tcW w:w="1531" w:type="dxa"/>
            <w:vAlign w:val="center"/>
          </w:tcPr>
          <w:p w14:paraId="5012E546" w14:textId="77777777" w:rsidR="00F02481" w:rsidRPr="00BE78CA" w:rsidRDefault="00F02481" w:rsidP="00C26084">
            <w:pPr>
              <w:pStyle w:val="TableText"/>
              <w:spacing w:before="40" w:after="40"/>
              <w:jc w:val="center"/>
              <w:rPr>
                <w:rFonts w:cs="Calibri"/>
                <w:szCs w:val="16"/>
              </w:rPr>
            </w:pPr>
          </w:p>
        </w:tc>
        <w:tc>
          <w:tcPr>
            <w:tcW w:w="1531" w:type="dxa"/>
            <w:vAlign w:val="center"/>
          </w:tcPr>
          <w:p w14:paraId="7FF29B72" w14:textId="77777777" w:rsidR="00F02481" w:rsidRPr="00BE78CA" w:rsidRDefault="00F02481" w:rsidP="00C26084">
            <w:pPr>
              <w:pStyle w:val="TableText"/>
              <w:spacing w:before="40" w:after="40"/>
              <w:jc w:val="center"/>
              <w:rPr>
                <w:rFonts w:cs="Calibri"/>
                <w:szCs w:val="16"/>
              </w:rPr>
            </w:pPr>
          </w:p>
        </w:tc>
      </w:tr>
    </w:tbl>
    <w:p w14:paraId="24C16036" w14:textId="77777777" w:rsidR="00F02481" w:rsidRPr="00BE78CA" w:rsidRDefault="00F02481" w:rsidP="00C26084">
      <w:pPr>
        <w:pStyle w:val="Heading5"/>
        <w:spacing w:before="360"/>
        <w:rPr>
          <w:rFonts w:cs="Calibri"/>
        </w:rPr>
      </w:pPr>
      <w:bookmarkStart w:id="978" w:name="_Hlk59197082"/>
      <w:r w:rsidRPr="00BE78CA">
        <w:rPr>
          <w:rFonts w:cs="Calibri"/>
        </w:rPr>
        <w:t>Adoption of updated pasture quality data</w:t>
      </w:r>
    </w:p>
    <w:p w14:paraId="2994C099" w14:textId="77777777" w:rsidR="00F02481" w:rsidRPr="00BE78CA" w:rsidRDefault="00F02481" w:rsidP="002051F4">
      <w:pPr>
        <w:pStyle w:val="BodyText"/>
      </w:pPr>
      <w:bookmarkStart w:id="979" w:name="_Hlk59197113"/>
      <w:bookmarkEnd w:id="978"/>
      <w:r w:rsidRPr="00BE78CA">
        <w:t>A revised set of figures on the ME content, nitrogen content and digestibility of pasture for the entire time series (1990 to 2019) has been implemented for the 2021 submission. These new values are based on recent research by Giltrap and McNeill (unpublished).</w:t>
      </w:r>
    </w:p>
    <w:p w14:paraId="4AAD8446" w14:textId="77777777" w:rsidR="00F02481" w:rsidRPr="00BE78CA" w:rsidRDefault="00F02481" w:rsidP="002051F4">
      <w:pPr>
        <w:pStyle w:val="BodyText"/>
      </w:pPr>
      <w:r w:rsidRPr="00BE78CA">
        <w:t>The Agriculture inventory requires pasture quality data to calculate CH</w:t>
      </w:r>
      <w:r w:rsidRPr="00BE78CA">
        <w:rPr>
          <w:vertAlign w:val="subscript"/>
        </w:rPr>
        <w:t>4</w:t>
      </w:r>
      <w:r w:rsidRPr="00BE78CA">
        <w:t xml:space="preserve"> and N</w:t>
      </w:r>
      <w:r w:rsidRPr="00BE78CA">
        <w:rPr>
          <w:vertAlign w:val="subscript"/>
        </w:rPr>
        <w:t>2</w:t>
      </w:r>
      <w:r w:rsidRPr="00BE78CA">
        <w:t>O emissions from cattle (dairy and beef), sheep and deer. For inventory purposes, there are three key components of pasture quality:</w:t>
      </w:r>
    </w:p>
    <w:p w14:paraId="7DB85156" w14:textId="77777777" w:rsidR="00F02481" w:rsidRPr="00BE78CA" w:rsidRDefault="00F02481" w:rsidP="00434920">
      <w:pPr>
        <w:pStyle w:val="Bullet"/>
      </w:pPr>
      <w:r w:rsidRPr="00BE78CA">
        <w:t>ME</w:t>
      </w:r>
    </w:p>
    <w:p w14:paraId="23153D44" w14:textId="77777777" w:rsidR="00F02481" w:rsidRPr="00BE78CA" w:rsidRDefault="00F02481" w:rsidP="002051F4">
      <w:pPr>
        <w:pStyle w:val="Bullet"/>
      </w:pPr>
      <w:r w:rsidRPr="00BE78CA">
        <w:t>nitrogen content</w:t>
      </w:r>
    </w:p>
    <w:p w14:paraId="00DC1846" w14:textId="77777777" w:rsidR="00F02481" w:rsidRPr="00BE78CA" w:rsidRDefault="00F02481" w:rsidP="00FA2314">
      <w:pPr>
        <w:pStyle w:val="Bullet"/>
        <w:numPr>
          <w:ilvl w:val="0"/>
          <w:numId w:val="25"/>
        </w:numPr>
        <w:spacing w:after="100"/>
      </w:pPr>
      <w:r w:rsidRPr="00BE78CA">
        <w:t>OMD.</w:t>
      </w:r>
    </w:p>
    <w:p w14:paraId="169BDC3F" w14:textId="77777777" w:rsidR="00F02481" w:rsidRPr="00BE78CA" w:rsidRDefault="00F02481" w:rsidP="002051F4">
      <w:pPr>
        <w:pStyle w:val="BodyText"/>
      </w:pPr>
      <w:r w:rsidRPr="00BE78CA">
        <w:t>Holding all else equal, higher ME pasture content will lower livestock emissions; higher nitrogen pasture content will increase N</w:t>
      </w:r>
      <w:r w:rsidRPr="00BE78CA">
        <w:rPr>
          <w:vertAlign w:val="subscript"/>
        </w:rPr>
        <w:t>2</w:t>
      </w:r>
      <w:r w:rsidRPr="00BE78CA">
        <w:t>O emissions; and a higher OMD value will lead to lower livestock emissions.</w:t>
      </w:r>
    </w:p>
    <w:p w14:paraId="745D13CF" w14:textId="77777777" w:rsidR="00F02481" w:rsidRPr="00BE78CA" w:rsidRDefault="00F02481" w:rsidP="002051F4">
      <w:pPr>
        <w:pStyle w:val="BodyText"/>
      </w:pPr>
      <w:r w:rsidRPr="00BE78CA">
        <w:t>Pasture quality data used in previous versions of the Agriculture inventory were based on data collected in the early 2000s from a small group of farms (10 and 19 for dairy and sheep and beef respectively).</w:t>
      </w:r>
    </w:p>
    <w:p w14:paraId="31CDD703" w14:textId="77777777" w:rsidR="00F02481" w:rsidRPr="00BE78CA" w:rsidRDefault="00F02481" w:rsidP="002051F4">
      <w:pPr>
        <w:pStyle w:val="BodyText"/>
      </w:pPr>
      <w:r w:rsidRPr="00BE78CA">
        <w:lastRenderedPageBreak/>
        <w:t xml:space="preserve">Over the past two decades, new pasture samples have been collected from around the country, with the revised data set now containing around 2,500 observations in total. Based on this extended data set, researchers calculated a revised set of national weighted averages for ME, OMD and nitrogen to be used in the Agriculture inventory (Giltrap and McNeill, unpublished). </w:t>
      </w:r>
    </w:p>
    <w:p w14:paraId="40BE520D" w14:textId="77777777" w:rsidR="00F02481" w:rsidRPr="00BE78CA" w:rsidRDefault="00F02481" w:rsidP="002051F4">
      <w:pPr>
        <w:pStyle w:val="BodyText"/>
      </w:pPr>
      <w:r w:rsidRPr="00BE78CA">
        <w:t>The new values were and discussed at the 2020 Agriculture Inventory Advisory Panel meeting, which recommended that they be implemented in the Agriculture inventory.</w:t>
      </w:r>
    </w:p>
    <w:p w14:paraId="605E8CE5" w14:textId="77777777" w:rsidR="00F02481" w:rsidRPr="00BE78CA" w:rsidRDefault="00F02481" w:rsidP="002051F4">
      <w:pPr>
        <w:pStyle w:val="BodyText"/>
      </w:pPr>
      <w:r w:rsidRPr="00BE78CA">
        <w:t>On average, the revised OMD and ME values are approximately 2 per cent lower than those previously used. The recommended nitrogen value (on average) for dairy is lower at 5.6 per cent, and 2.3 per cent higher for sheep and beef than the previous values (see chapter 10, section 10.1.3).</w:t>
      </w:r>
    </w:p>
    <w:bookmarkEnd w:id="979"/>
    <w:p w14:paraId="265014AB" w14:textId="77777777" w:rsidR="00F02481" w:rsidRPr="00BE78CA" w:rsidRDefault="00F02481" w:rsidP="002051F4">
      <w:pPr>
        <w:pStyle w:val="BodyText"/>
      </w:pPr>
      <w:r w:rsidRPr="00BE78CA">
        <w:t xml:space="preserve">The effect of this change on estimated emissions from </w:t>
      </w:r>
      <w:r w:rsidRPr="00BE78CA">
        <w:rPr>
          <w:i/>
          <w:iCs/>
        </w:rPr>
        <w:t>Agricultural soils</w:t>
      </w:r>
      <w:r w:rsidRPr="00BE78CA">
        <w:t xml:space="preserve"> is detailed in table 5.5.15. After the recommended new pasture values are applied, estimated emissions from </w:t>
      </w:r>
      <w:r w:rsidRPr="00BE78CA">
        <w:rPr>
          <w:i/>
          <w:iCs/>
        </w:rPr>
        <w:t>Agricultural soils</w:t>
      </w:r>
      <w:r w:rsidRPr="00BE78CA">
        <w:t xml:space="preserve"> are around 0.1 per cent (8.2 kt CO</w:t>
      </w:r>
      <w:r w:rsidRPr="00BE78CA">
        <w:rPr>
          <w:vertAlign w:val="subscript"/>
        </w:rPr>
        <w:t>2</w:t>
      </w:r>
      <w:r w:rsidRPr="00BE78CA">
        <w:t>-e) higher compared with previous model outputs.</w:t>
      </w:r>
    </w:p>
    <w:p w14:paraId="6935B80A" w14:textId="77777777" w:rsidR="00F02481" w:rsidRPr="00BE78CA" w:rsidRDefault="00F02481" w:rsidP="00C26084">
      <w:pPr>
        <w:pStyle w:val="BodyText"/>
        <w:rPr>
          <w:rFonts w:cs="Calibri"/>
        </w:rPr>
      </w:pPr>
      <w:r w:rsidRPr="00BE78CA">
        <w:rPr>
          <w:rFonts w:cs="Calibri"/>
        </w:rPr>
        <w:t xml:space="preserve">More information on the revision is provided in chapter 10, section 10.1.3. </w:t>
      </w:r>
    </w:p>
    <w:p w14:paraId="4CE24241" w14:textId="77777777" w:rsidR="00F02481" w:rsidRPr="00BE78CA" w:rsidRDefault="00F02481" w:rsidP="00C26084">
      <w:pPr>
        <w:pStyle w:val="Table"/>
        <w:rPr>
          <w:rFonts w:cs="Calibri"/>
        </w:rPr>
      </w:pPr>
      <w:bookmarkStart w:id="980" w:name="_Toc32570941"/>
      <w:bookmarkStart w:id="981" w:name="_Toc36224576"/>
      <w:bookmarkStart w:id="982" w:name="_Toc68786461"/>
      <w:r w:rsidRPr="00BE78CA">
        <w:rPr>
          <w:rFonts w:cs="Calibri"/>
        </w:rPr>
        <w:t>Table 5.5.15</w:t>
      </w:r>
      <w:bookmarkStart w:id="983" w:name="_Hlk59197819"/>
      <w:r w:rsidRPr="00BE78CA">
        <w:rPr>
          <w:rFonts w:cs="Calibri"/>
        </w:rPr>
        <w:tab/>
        <w:t>Comparison of current and previous emissions estimates before and after the adoption of updated pasture quality data</w:t>
      </w:r>
      <w:bookmarkEnd w:id="980"/>
      <w:bookmarkEnd w:id="981"/>
      <w:bookmarkEnd w:id="982"/>
      <w:r w:rsidRPr="00BE78CA">
        <w:rPr>
          <w:rFonts w:cs="Calibri"/>
        </w:rPr>
        <w:t xml:space="preserve"> </w:t>
      </w:r>
      <w:bookmarkEnd w:id="983"/>
    </w:p>
    <w:tbl>
      <w:tblPr>
        <w:tblW w:w="8505" w:type="dxa"/>
        <w:tblBorders>
          <w:top w:val="single" w:sz="4" w:space="0" w:color="365F91"/>
          <w:bottom w:val="single" w:sz="4" w:space="0" w:color="365F91"/>
          <w:insideH w:val="single" w:sz="4" w:space="0" w:color="365F91"/>
        </w:tblBorders>
        <w:tblLayout w:type="fixed"/>
        <w:tblLook w:val="0000" w:firstRow="0" w:lastRow="0" w:firstColumn="0" w:lastColumn="0" w:noHBand="0" w:noVBand="0"/>
      </w:tblPr>
      <w:tblGrid>
        <w:gridCol w:w="1399"/>
        <w:gridCol w:w="2446"/>
        <w:gridCol w:w="757"/>
        <w:gridCol w:w="757"/>
        <w:gridCol w:w="1573"/>
        <w:gridCol w:w="1573"/>
      </w:tblGrid>
      <w:tr w:rsidR="002051F4" w:rsidRPr="00BE78CA" w14:paraId="40FFA1D9" w14:textId="77777777" w:rsidTr="002051F4">
        <w:trPr>
          <w:trHeight w:val="608"/>
          <w:tblHeader/>
        </w:trPr>
        <w:tc>
          <w:tcPr>
            <w:tcW w:w="1361" w:type="dxa"/>
            <w:shd w:val="clear" w:color="auto" w:fill="365F91"/>
            <w:vAlign w:val="bottom"/>
          </w:tcPr>
          <w:p w14:paraId="1F14A3AA" w14:textId="77777777" w:rsidR="00F02481" w:rsidRPr="00BE78CA" w:rsidRDefault="00F02481" w:rsidP="00C26084">
            <w:pPr>
              <w:pStyle w:val="TableTextBold"/>
              <w:keepNext/>
              <w:spacing w:before="40" w:after="40"/>
              <w:rPr>
                <w:noProof w:val="0"/>
                <w:color w:val="FFFFFF" w:themeColor="background1"/>
                <w:szCs w:val="16"/>
              </w:rPr>
            </w:pPr>
            <w:r w:rsidRPr="00BE78CA">
              <w:rPr>
                <w:noProof w:val="0"/>
                <w:color w:val="FFFFFF" w:themeColor="background1"/>
                <w:szCs w:val="16"/>
              </w:rPr>
              <w:t xml:space="preserve">Emissions </w:t>
            </w:r>
            <w:r w:rsidRPr="00BE78CA">
              <w:rPr>
                <w:noProof w:val="0"/>
                <w:color w:val="FFFFFF" w:themeColor="background1"/>
                <w:szCs w:val="16"/>
              </w:rPr>
              <w:br/>
              <w:t>(kt CO</w:t>
            </w:r>
            <w:r w:rsidRPr="00BE78CA">
              <w:rPr>
                <w:noProof w:val="0"/>
                <w:color w:val="FFFFFF" w:themeColor="background1"/>
                <w:szCs w:val="16"/>
                <w:vertAlign w:val="subscript"/>
              </w:rPr>
              <w:t>2</w:t>
            </w:r>
            <w:r w:rsidRPr="00BE78CA">
              <w:rPr>
                <w:noProof w:val="0"/>
                <w:color w:val="FFFFFF" w:themeColor="background1"/>
                <w:szCs w:val="16"/>
              </w:rPr>
              <w:t>-e)</w:t>
            </w:r>
          </w:p>
        </w:tc>
        <w:tc>
          <w:tcPr>
            <w:tcW w:w="2381" w:type="dxa"/>
            <w:shd w:val="clear" w:color="auto" w:fill="365F91"/>
            <w:vAlign w:val="bottom"/>
          </w:tcPr>
          <w:p w14:paraId="75D76162" w14:textId="77777777" w:rsidR="00F02481" w:rsidRPr="00BE78CA" w:rsidRDefault="00F02481" w:rsidP="00C26084">
            <w:pPr>
              <w:pStyle w:val="TableTextBold"/>
              <w:keepNext/>
              <w:spacing w:before="40" w:after="40"/>
              <w:rPr>
                <w:noProof w:val="0"/>
                <w:color w:val="FFFFFF" w:themeColor="background1"/>
                <w:szCs w:val="16"/>
              </w:rPr>
            </w:pPr>
          </w:p>
        </w:tc>
        <w:tc>
          <w:tcPr>
            <w:tcW w:w="737" w:type="dxa"/>
            <w:shd w:val="clear" w:color="auto" w:fill="365F91"/>
            <w:vAlign w:val="bottom"/>
          </w:tcPr>
          <w:p w14:paraId="62BFE862" w14:textId="77777777" w:rsidR="00F02481" w:rsidRPr="00BE78CA" w:rsidRDefault="00F02481" w:rsidP="00C26084">
            <w:pPr>
              <w:pStyle w:val="TableTextBold"/>
              <w:keepNext/>
              <w:spacing w:before="40" w:after="40"/>
              <w:jc w:val="center"/>
              <w:rPr>
                <w:noProof w:val="0"/>
                <w:color w:val="FFFFFF" w:themeColor="background1"/>
                <w:szCs w:val="16"/>
              </w:rPr>
            </w:pPr>
            <w:r w:rsidRPr="00BE78CA">
              <w:rPr>
                <w:noProof w:val="0"/>
                <w:color w:val="FFFFFF" w:themeColor="background1"/>
                <w:szCs w:val="16"/>
              </w:rPr>
              <w:t>1990</w:t>
            </w:r>
          </w:p>
        </w:tc>
        <w:tc>
          <w:tcPr>
            <w:tcW w:w="737" w:type="dxa"/>
            <w:shd w:val="clear" w:color="auto" w:fill="365F91"/>
            <w:vAlign w:val="bottom"/>
          </w:tcPr>
          <w:p w14:paraId="7742D423" w14:textId="77777777" w:rsidR="00F02481" w:rsidRPr="00BE78CA" w:rsidRDefault="00F02481" w:rsidP="00C26084">
            <w:pPr>
              <w:pStyle w:val="TableTextBold"/>
              <w:spacing w:before="40" w:after="40"/>
              <w:jc w:val="center"/>
              <w:rPr>
                <w:noProof w:val="0"/>
                <w:color w:val="FFFFFF" w:themeColor="background1"/>
                <w:szCs w:val="16"/>
              </w:rPr>
            </w:pPr>
            <w:r w:rsidRPr="00BE78CA">
              <w:rPr>
                <w:noProof w:val="0"/>
                <w:color w:val="FFFFFF" w:themeColor="background1"/>
                <w:szCs w:val="16"/>
              </w:rPr>
              <w:t>2019</w:t>
            </w:r>
          </w:p>
        </w:tc>
        <w:tc>
          <w:tcPr>
            <w:tcW w:w="1531" w:type="dxa"/>
            <w:shd w:val="clear" w:color="auto" w:fill="365F91"/>
            <w:vAlign w:val="bottom"/>
          </w:tcPr>
          <w:p w14:paraId="59D12911" w14:textId="77777777" w:rsidR="00F02481" w:rsidRPr="00BE78CA" w:rsidRDefault="00F02481" w:rsidP="00C26084">
            <w:pPr>
              <w:pStyle w:val="TableTextBold"/>
              <w:spacing w:before="40" w:after="40"/>
              <w:jc w:val="center"/>
              <w:rPr>
                <w:noProof w:val="0"/>
                <w:color w:val="FFFFFF" w:themeColor="background1"/>
                <w:szCs w:val="16"/>
              </w:rPr>
            </w:pPr>
            <w:r w:rsidRPr="00BE78CA">
              <w:rPr>
                <w:noProof w:val="0"/>
                <w:color w:val="FFFFFF" w:themeColor="background1"/>
                <w:szCs w:val="16"/>
              </w:rPr>
              <w:t xml:space="preserve">Change in emission outputs between 1990 and 2019 </w:t>
            </w:r>
            <w:r w:rsidRPr="00BE78CA">
              <w:rPr>
                <w:noProof w:val="0"/>
                <w:color w:val="FFFFFF" w:themeColor="background1"/>
                <w:szCs w:val="16"/>
              </w:rPr>
              <w:br/>
              <w:t>(kt CO</w:t>
            </w:r>
            <w:r w:rsidRPr="00BE78CA">
              <w:rPr>
                <w:noProof w:val="0"/>
                <w:color w:val="FFFFFF" w:themeColor="background1"/>
                <w:szCs w:val="16"/>
                <w:vertAlign w:val="subscript"/>
              </w:rPr>
              <w:t>2</w:t>
            </w:r>
            <w:r w:rsidRPr="00BE78CA">
              <w:rPr>
                <w:noProof w:val="0"/>
                <w:color w:val="FFFFFF" w:themeColor="background1"/>
                <w:szCs w:val="16"/>
              </w:rPr>
              <w:t xml:space="preserve">-e) </w:t>
            </w:r>
          </w:p>
        </w:tc>
        <w:tc>
          <w:tcPr>
            <w:tcW w:w="1531" w:type="dxa"/>
            <w:shd w:val="clear" w:color="auto" w:fill="365F91"/>
            <w:vAlign w:val="bottom"/>
          </w:tcPr>
          <w:p w14:paraId="48214FCF" w14:textId="77777777" w:rsidR="00F02481" w:rsidRPr="00BE78CA" w:rsidRDefault="00F02481" w:rsidP="00C26084">
            <w:pPr>
              <w:pStyle w:val="TableTextBold"/>
              <w:spacing w:before="40" w:after="40"/>
              <w:jc w:val="center"/>
              <w:rPr>
                <w:noProof w:val="0"/>
                <w:color w:val="FFFFFF" w:themeColor="background1"/>
                <w:szCs w:val="16"/>
              </w:rPr>
            </w:pPr>
            <w:r w:rsidRPr="00BE78CA">
              <w:rPr>
                <w:noProof w:val="0"/>
                <w:color w:val="FFFFFF" w:themeColor="background1"/>
                <w:szCs w:val="16"/>
              </w:rPr>
              <w:t xml:space="preserve">Percentage change in emission outputs between </w:t>
            </w:r>
            <w:r w:rsidRPr="00BE78CA">
              <w:rPr>
                <w:noProof w:val="0"/>
                <w:color w:val="FFFFFF" w:themeColor="background1"/>
                <w:szCs w:val="16"/>
              </w:rPr>
              <w:br/>
              <w:t>1990 and 2019</w:t>
            </w:r>
          </w:p>
        </w:tc>
      </w:tr>
      <w:tr w:rsidR="00F02481" w:rsidRPr="00BE78CA" w14:paraId="09E3C501" w14:textId="77777777" w:rsidTr="00B934FD">
        <w:trPr>
          <w:trHeight w:val="454"/>
        </w:trPr>
        <w:tc>
          <w:tcPr>
            <w:tcW w:w="1361" w:type="dxa"/>
            <w:vMerge w:val="restart"/>
            <w:vAlign w:val="center"/>
          </w:tcPr>
          <w:p w14:paraId="29F0E005" w14:textId="77777777" w:rsidR="00F02481" w:rsidRPr="00BE78CA" w:rsidRDefault="00F02481" w:rsidP="002051F4">
            <w:pPr>
              <w:pStyle w:val="TableText"/>
              <w:keepNext/>
              <w:spacing w:before="40" w:after="40"/>
              <w:rPr>
                <w:rFonts w:cs="Calibri"/>
                <w:szCs w:val="16"/>
              </w:rPr>
            </w:pPr>
            <w:r w:rsidRPr="00BE78CA">
              <w:rPr>
                <w:rFonts w:cs="Calibri"/>
                <w:szCs w:val="16"/>
              </w:rPr>
              <w:t>Total emissions from Agricultural soils (kt CO</w:t>
            </w:r>
            <w:r w:rsidRPr="00BE78CA">
              <w:rPr>
                <w:rFonts w:cs="Calibri"/>
                <w:szCs w:val="16"/>
                <w:vertAlign w:val="subscript"/>
              </w:rPr>
              <w:t>2</w:t>
            </w:r>
            <w:r w:rsidRPr="00BE78CA">
              <w:rPr>
                <w:rFonts w:cs="Calibri"/>
                <w:szCs w:val="16"/>
              </w:rPr>
              <w:t>-e)</w:t>
            </w:r>
          </w:p>
        </w:tc>
        <w:tc>
          <w:tcPr>
            <w:tcW w:w="2381" w:type="dxa"/>
          </w:tcPr>
          <w:p w14:paraId="18CEDFA8" w14:textId="77777777" w:rsidR="00F02481" w:rsidRPr="00BE78CA" w:rsidRDefault="00F02481" w:rsidP="002051F4">
            <w:pPr>
              <w:pStyle w:val="TableText"/>
              <w:keepNext/>
              <w:spacing w:before="40" w:after="40"/>
              <w:rPr>
                <w:rFonts w:cs="Calibri"/>
                <w:szCs w:val="16"/>
              </w:rPr>
            </w:pPr>
            <w:r w:rsidRPr="00BE78CA">
              <w:rPr>
                <w:rFonts w:cs="Calibri"/>
                <w:szCs w:val="16"/>
              </w:rPr>
              <w:t xml:space="preserve">2021 (1990–2019) emissions estimate </w:t>
            </w:r>
            <w:r w:rsidRPr="00BE78CA">
              <w:rPr>
                <w:rFonts w:cs="Calibri"/>
                <w:i/>
                <w:iCs/>
                <w:szCs w:val="16"/>
              </w:rPr>
              <w:t xml:space="preserve">using previous </w:t>
            </w:r>
            <w:r w:rsidRPr="00BE78CA">
              <w:rPr>
                <w:rFonts w:cs="Calibri"/>
                <w:szCs w:val="16"/>
              </w:rPr>
              <w:t>pasture quality values</w:t>
            </w:r>
          </w:p>
        </w:tc>
        <w:tc>
          <w:tcPr>
            <w:tcW w:w="737" w:type="dxa"/>
          </w:tcPr>
          <w:p w14:paraId="53670094" w14:textId="77777777" w:rsidR="00F02481" w:rsidRPr="00BE78CA" w:rsidRDefault="00F02481" w:rsidP="002051F4">
            <w:pPr>
              <w:pStyle w:val="TableText"/>
              <w:keepNext/>
              <w:spacing w:before="40" w:after="40"/>
              <w:jc w:val="center"/>
              <w:rPr>
                <w:rFonts w:cs="Calibri"/>
                <w:szCs w:val="16"/>
              </w:rPr>
            </w:pPr>
            <w:r w:rsidRPr="00BE78CA">
              <w:t>5,165.8</w:t>
            </w:r>
          </w:p>
        </w:tc>
        <w:tc>
          <w:tcPr>
            <w:tcW w:w="737" w:type="dxa"/>
          </w:tcPr>
          <w:p w14:paraId="318E11B9" w14:textId="77777777" w:rsidR="00F02481" w:rsidRPr="00BE78CA" w:rsidRDefault="00F02481" w:rsidP="002051F4">
            <w:pPr>
              <w:pStyle w:val="TableText"/>
              <w:keepNext/>
              <w:spacing w:before="40" w:after="40"/>
              <w:jc w:val="center"/>
              <w:rPr>
                <w:rFonts w:cs="Calibri"/>
                <w:szCs w:val="16"/>
              </w:rPr>
            </w:pPr>
            <w:r w:rsidRPr="00BE78CA">
              <w:t>7,754.3</w:t>
            </w:r>
          </w:p>
        </w:tc>
        <w:tc>
          <w:tcPr>
            <w:tcW w:w="1531" w:type="dxa"/>
          </w:tcPr>
          <w:p w14:paraId="324AA586" w14:textId="77777777" w:rsidR="00F02481" w:rsidRPr="00BE78CA" w:rsidRDefault="00F02481" w:rsidP="002051F4">
            <w:pPr>
              <w:pStyle w:val="TableText"/>
              <w:keepNext/>
              <w:spacing w:before="40" w:after="40"/>
              <w:jc w:val="center"/>
              <w:rPr>
                <w:rFonts w:cs="Calibri"/>
                <w:szCs w:val="16"/>
              </w:rPr>
            </w:pPr>
            <w:r w:rsidRPr="00BE78CA">
              <w:t>2,588.5</w:t>
            </w:r>
          </w:p>
        </w:tc>
        <w:tc>
          <w:tcPr>
            <w:tcW w:w="1531" w:type="dxa"/>
          </w:tcPr>
          <w:p w14:paraId="74BCCBCF" w14:textId="77777777" w:rsidR="00F02481" w:rsidRPr="00BE78CA" w:rsidRDefault="00F02481" w:rsidP="002051F4">
            <w:pPr>
              <w:pStyle w:val="TableText"/>
              <w:keepNext/>
              <w:spacing w:before="40" w:after="40"/>
              <w:jc w:val="center"/>
              <w:rPr>
                <w:rFonts w:cs="Calibri"/>
                <w:szCs w:val="16"/>
              </w:rPr>
            </w:pPr>
            <w:r w:rsidRPr="00BE78CA">
              <w:t>50.1</w:t>
            </w:r>
          </w:p>
        </w:tc>
      </w:tr>
      <w:tr w:rsidR="00F02481" w:rsidRPr="00BE78CA" w14:paraId="6DD72862" w14:textId="77777777" w:rsidTr="00B934FD">
        <w:trPr>
          <w:trHeight w:val="454"/>
        </w:trPr>
        <w:tc>
          <w:tcPr>
            <w:tcW w:w="1361" w:type="dxa"/>
            <w:vMerge/>
          </w:tcPr>
          <w:p w14:paraId="02097422" w14:textId="77777777" w:rsidR="00F02481" w:rsidRPr="00BE78CA" w:rsidRDefault="00F02481" w:rsidP="00C26084">
            <w:pPr>
              <w:pStyle w:val="TableText"/>
              <w:spacing w:before="40" w:after="40"/>
              <w:rPr>
                <w:rFonts w:cs="Calibri"/>
                <w:szCs w:val="16"/>
              </w:rPr>
            </w:pPr>
          </w:p>
        </w:tc>
        <w:tc>
          <w:tcPr>
            <w:tcW w:w="2381" w:type="dxa"/>
          </w:tcPr>
          <w:p w14:paraId="3FB8FBBE" w14:textId="77777777" w:rsidR="00F02481" w:rsidRPr="00BE78CA" w:rsidRDefault="00F02481" w:rsidP="00C26084">
            <w:pPr>
              <w:pStyle w:val="TableText"/>
              <w:spacing w:before="40" w:after="40"/>
              <w:rPr>
                <w:rFonts w:cs="Calibri"/>
                <w:szCs w:val="16"/>
              </w:rPr>
            </w:pPr>
            <w:r w:rsidRPr="00BE78CA">
              <w:rPr>
                <w:rFonts w:cs="Calibri"/>
                <w:szCs w:val="16"/>
              </w:rPr>
              <w:t xml:space="preserve">2021 (1990–2019) emissions estimate </w:t>
            </w:r>
            <w:r w:rsidRPr="00BE78CA">
              <w:rPr>
                <w:rFonts w:cs="Calibri"/>
                <w:i/>
                <w:iCs/>
                <w:szCs w:val="16"/>
              </w:rPr>
              <w:t>using new</w:t>
            </w:r>
            <w:r w:rsidRPr="00BE78CA">
              <w:rPr>
                <w:rFonts w:cs="Calibri"/>
                <w:szCs w:val="16"/>
              </w:rPr>
              <w:t xml:space="preserve"> pasture quality data values</w:t>
            </w:r>
          </w:p>
        </w:tc>
        <w:tc>
          <w:tcPr>
            <w:tcW w:w="737" w:type="dxa"/>
          </w:tcPr>
          <w:p w14:paraId="369E7521" w14:textId="77777777" w:rsidR="00F02481" w:rsidRPr="00BE78CA" w:rsidRDefault="00F02481" w:rsidP="00C26084">
            <w:pPr>
              <w:pStyle w:val="TableText"/>
              <w:spacing w:before="40" w:after="40"/>
              <w:jc w:val="center"/>
              <w:rPr>
                <w:rFonts w:cs="Calibri"/>
                <w:szCs w:val="16"/>
              </w:rPr>
            </w:pPr>
            <w:r w:rsidRPr="00BE78CA">
              <w:t>5,284.8</w:t>
            </w:r>
          </w:p>
        </w:tc>
        <w:tc>
          <w:tcPr>
            <w:tcW w:w="737" w:type="dxa"/>
          </w:tcPr>
          <w:p w14:paraId="780039F1" w14:textId="77777777" w:rsidR="00F02481" w:rsidRPr="00BE78CA" w:rsidRDefault="00F02481" w:rsidP="00C26084">
            <w:pPr>
              <w:pStyle w:val="TableText"/>
              <w:spacing w:before="40" w:after="40"/>
              <w:jc w:val="center"/>
              <w:rPr>
                <w:rFonts w:cs="Calibri"/>
                <w:szCs w:val="16"/>
              </w:rPr>
            </w:pPr>
            <w:r w:rsidRPr="00BE78CA">
              <w:t>7,763.1</w:t>
            </w:r>
          </w:p>
        </w:tc>
        <w:tc>
          <w:tcPr>
            <w:tcW w:w="1531" w:type="dxa"/>
          </w:tcPr>
          <w:p w14:paraId="3BBBD347" w14:textId="77777777" w:rsidR="00F02481" w:rsidRPr="00BE78CA" w:rsidRDefault="00F02481" w:rsidP="00C26084">
            <w:pPr>
              <w:pStyle w:val="TableText"/>
              <w:spacing w:before="40" w:after="40"/>
              <w:jc w:val="center"/>
              <w:rPr>
                <w:rFonts w:cs="Calibri"/>
                <w:szCs w:val="16"/>
              </w:rPr>
            </w:pPr>
            <w:r w:rsidRPr="00BE78CA">
              <w:t>2,478.3</w:t>
            </w:r>
          </w:p>
        </w:tc>
        <w:tc>
          <w:tcPr>
            <w:tcW w:w="1531" w:type="dxa"/>
          </w:tcPr>
          <w:p w14:paraId="2FA52708" w14:textId="77777777" w:rsidR="00F02481" w:rsidRPr="00BE78CA" w:rsidRDefault="00F02481" w:rsidP="00C26084">
            <w:pPr>
              <w:pStyle w:val="TableText"/>
              <w:spacing w:before="40" w:after="40"/>
              <w:jc w:val="center"/>
              <w:rPr>
                <w:rFonts w:cs="Calibri"/>
                <w:szCs w:val="16"/>
              </w:rPr>
            </w:pPr>
            <w:r w:rsidRPr="00BE78CA">
              <w:t>46.9</w:t>
            </w:r>
          </w:p>
        </w:tc>
      </w:tr>
      <w:tr w:rsidR="00F02481" w:rsidRPr="00BE78CA" w14:paraId="7411A263" w14:textId="77777777" w:rsidTr="00B934FD">
        <w:tc>
          <w:tcPr>
            <w:tcW w:w="1361" w:type="dxa"/>
            <w:vMerge/>
          </w:tcPr>
          <w:p w14:paraId="72352691" w14:textId="77777777" w:rsidR="00F02481" w:rsidRPr="00BE78CA" w:rsidRDefault="00F02481" w:rsidP="00C26084">
            <w:pPr>
              <w:pStyle w:val="TableText"/>
              <w:spacing w:before="40" w:after="40"/>
              <w:rPr>
                <w:rFonts w:cs="Calibri"/>
                <w:szCs w:val="16"/>
              </w:rPr>
            </w:pPr>
          </w:p>
        </w:tc>
        <w:tc>
          <w:tcPr>
            <w:tcW w:w="2381" w:type="dxa"/>
          </w:tcPr>
          <w:p w14:paraId="7C158953" w14:textId="77777777" w:rsidR="00F02481" w:rsidRPr="00BE78CA" w:rsidRDefault="00F02481" w:rsidP="00C26084">
            <w:pPr>
              <w:pStyle w:val="TableText"/>
              <w:spacing w:before="40" w:after="40"/>
              <w:rPr>
                <w:rFonts w:cs="Calibri"/>
                <w:szCs w:val="16"/>
              </w:rPr>
            </w:pPr>
            <w:r w:rsidRPr="00BE78CA">
              <w:rPr>
                <w:rFonts w:cs="Calibri"/>
                <w:szCs w:val="16"/>
              </w:rPr>
              <w:t xml:space="preserve">Difference in emission estimates </w:t>
            </w:r>
          </w:p>
        </w:tc>
        <w:tc>
          <w:tcPr>
            <w:tcW w:w="737" w:type="dxa"/>
          </w:tcPr>
          <w:p w14:paraId="614230B5" w14:textId="77777777" w:rsidR="00F02481" w:rsidRPr="00BE78CA" w:rsidRDefault="00F02481" w:rsidP="00C26084">
            <w:pPr>
              <w:pStyle w:val="TableText"/>
              <w:spacing w:before="40" w:after="40"/>
              <w:jc w:val="center"/>
              <w:rPr>
                <w:rFonts w:cs="Calibri"/>
                <w:szCs w:val="16"/>
              </w:rPr>
            </w:pPr>
            <w:r w:rsidRPr="00BE78CA">
              <w:t>119.0</w:t>
            </w:r>
          </w:p>
        </w:tc>
        <w:tc>
          <w:tcPr>
            <w:tcW w:w="737" w:type="dxa"/>
          </w:tcPr>
          <w:p w14:paraId="43537DD3" w14:textId="77777777" w:rsidR="00F02481" w:rsidRPr="00BE78CA" w:rsidRDefault="00F02481" w:rsidP="00C26084">
            <w:pPr>
              <w:pStyle w:val="TableText"/>
              <w:spacing w:before="40" w:after="40"/>
              <w:jc w:val="center"/>
              <w:rPr>
                <w:rFonts w:cs="Calibri"/>
                <w:szCs w:val="16"/>
              </w:rPr>
            </w:pPr>
            <w:r w:rsidRPr="00BE78CA">
              <w:t>8.8</w:t>
            </w:r>
          </w:p>
        </w:tc>
        <w:tc>
          <w:tcPr>
            <w:tcW w:w="1531" w:type="dxa"/>
          </w:tcPr>
          <w:p w14:paraId="750EDAF8" w14:textId="77777777" w:rsidR="00F02481" w:rsidRPr="00BE78CA" w:rsidRDefault="00F02481" w:rsidP="00C26084">
            <w:pPr>
              <w:pStyle w:val="TableText"/>
              <w:spacing w:before="40" w:after="40"/>
              <w:jc w:val="center"/>
              <w:rPr>
                <w:rFonts w:cs="Calibri"/>
                <w:szCs w:val="16"/>
              </w:rPr>
            </w:pPr>
            <w:r w:rsidRPr="00BE78CA">
              <w:t>–110.1</w:t>
            </w:r>
          </w:p>
        </w:tc>
        <w:tc>
          <w:tcPr>
            <w:tcW w:w="1531" w:type="dxa"/>
          </w:tcPr>
          <w:p w14:paraId="55F35BB2" w14:textId="77777777" w:rsidR="00F02481" w:rsidRPr="00BE78CA" w:rsidRDefault="00F02481" w:rsidP="00C26084">
            <w:pPr>
              <w:pStyle w:val="TableText"/>
              <w:spacing w:before="40" w:after="40"/>
              <w:jc w:val="center"/>
              <w:rPr>
                <w:rFonts w:cs="Calibri"/>
                <w:szCs w:val="16"/>
              </w:rPr>
            </w:pPr>
          </w:p>
        </w:tc>
      </w:tr>
      <w:tr w:rsidR="00F02481" w:rsidRPr="00BE78CA" w14:paraId="3558F493" w14:textId="77777777" w:rsidTr="00B934FD">
        <w:tc>
          <w:tcPr>
            <w:tcW w:w="1361" w:type="dxa"/>
            <w:vMerge/>
          </w:tcPr>
          <w:p w14:paraId="638FB14A" w14:textId="77777777" w:rsidR="00F02481" w:rsidRPr="00BE78CA" w:rsidRDefault="00F02481" w:rsidP="00C26084">
            <w:pPr>
              <w:pStyle w:val="TableText"/>
              <w:spacing w:before="40" w:after="40"/>
              <w:rPr>
                <w:rFonts w:cs="Calibri"/>
                <w:szCs w:val="16"/>
              </w:rPr>
            </w:pPr>
          </w:p>
        </w:tc>
        <w:tc>
          <w:tcPr>
            <w:tcW w:w="2381" w:type="dxa"/>
          </w:tcPr>
          <w:p w14:paraId="1A915181" w14:textId="77777777" w:rsidR="00F02481" w:rsidRPr="00BE78CA" w:rsidRDefault="00F02481" w:rsidP="00C26084">
            <w:pPr>
              <w:pStyle w:val="TableText"/>
              <w:spacing w:before="40" w:after="40"/>
              <w:rPr>
                <w:rFonts w:cs="Calibri"/>
                <w:szCs w:val="16"/>
              </w:rPr>
            </w:pPr>
            <w:r w:rsidRPr="00BE78CA">
              <w:rPr>
                <w:rFonts w:cs="Calibri"/>
                <w:szCs w:val="16"/>
              </w:rPr>
              <w:t>Percentage difference in emission estimates</w:t>
            </w:r>
          </w:p>
        </w:tc>
        <w:tc>
          <w:tcPr>
            <w:tcW w:w="737" w:type="dxa"/>
          </w:tcPr>
          <w:p w14:paraId="53F091BC" w14:textId="77777777" w:rsidR="00F02481" w:rsidRPr="00BE78CA" w:rsidRDefault="00F02481" w:rsidP="00C26084">
            <w:pPr>
              <w:pStyle w:val="TableText"/>
              <w:spacing w:before="40" w:after="40"/>
              <w:jc w:val="center"/>
              <w:rPr>
                <w:rFonts w:cs="Calibri"/>
                <w:szCs w:val="16"/>
              </w:rPr>
            </w:pPr>
            <w:r w:rsidRPr="00BE78CA">
              <w:t>2.3</w:t>
            </w:r>
          </w:p>
        </w:tc>
        <w:tc>
          <w:tcPr>
            <w:tcW w:w="737" w:type="dxa"/>
          </w:tcPr>
          <w:p w14:paraId="4F13CB43" w14:textId="77777777" w:rsidR="00F02481" w:rsidRPr="00BE78CA" w:rsidRDefault="00F02481" w:rsidP="00C26084">
            <w:pPr>
              <w:pStyle w:val="TableText"/>
              <w:spacing w:before="40" w:after="40"/>
              <w:jc w:val="center"/>
              <w:rPr>
                <w:rFonts w:cs="Calibri"/>
                <w:szCs w:val="16"/>
              </w:rPr>
            </w:pPr>
            <w:r w:rsidRPr="00BE78CA">
              <w:t>0.1</w:t>
            </w:r>
          </w:p>
        </w:tc>
        <w:tc>
          <w:tcPr>
            <w:tcW w:w="1531" w:type="dxa"/>
          </w:tcPr>
          <w:p w14:paraId="4569ADBE" w14:textId="77777777" w:rsidR="00F02481" w:rsidRPr="00BE78CA" w:rsidRDefault="00F02481" w:rsidP="00C26084">
            <w:pPr>
              <w:pStyle w:val="TableText"/>
              <w:spacing w:before="40" w:after="40"/>
              <w:jc w:val="center"/>
              <w:rPr>
                <w:rFonts w:cs="Calibri"/>
                <w:szCs w:val="16"/>
              </w:rPr>
            </w:pPr>
          </w:p>
        </w:tc>
        <w:tc>
          <w:tcPr>
            <w:tcW w:w="1531" w:type="dxa"/>
          </w:tcPr>
          <w:p w14:paraId="023B3B27" w14:textId="77777777" w:rsidR="00F02481" w:rsidRPr="00BE78CA" w:rsidRDefault="00F02481" w:rsidP="00C26084">
            <w:pPr>
              <w:pStyle w:val="TableText"/>
              <w:spacing w:before="40" w:after="40"/>
              <w:jc w:val="center"/>
              <w:rPr>
                <w:rFonts w:cs="Calibri"/>
                <w:szCs w:val="16"/>
              </w:rPr>
            </w:pPr>
          </w:p>
        </w:tc>
      </w:tr>
    </w:tbl>
    <w:p w14:paraId="30AB8818" w14:textId="77777777" w:rsidR="00F02481" w:rsidRPr="00BE78CA" w:rsidRDefault="00F02481" w:rsidP="00C26084">
      <w:pPr>
        <w:pStyle w:val="Heading5"/>
        <w:spacing w:before="360"/>
      </w:pPr>
      <w:bookmarkStart w:id="984" w:name="_Hlk59198033"/>
      <w:r w:rsidRPr="00BE78CA">
        <w:t xml:space="preserve">Corrections to sheep nitrogen excretion calculations </w:t>
      </w:r>
    </w:p>
    <w:p w14:paraId="3F90BF49" w14:textId="2D829354" w:rsidR="00F02481" w:rsidRPr="00BE78CA" w:rsidRDefault="00F02481" w:rsidP="00C26084">
      <w:pPr>
        <w:pStyle w:val="BodyText"/>
        <w:rPr>
          <w:rFonts w:cs="Calibri"/>
        </w:rPr>
      </w:pPr>
      <w:r w:rsidRPr="00BE78CA">
        <w:rPr>
          <w:rFonts w:cs="Calibri"/>
        </w:rPr>
        <w:t>The Tier 2 component of the inventory model calculates N</w:t>
      </w:r>
      <w:r w:rsidRPr="00BE78CA">
        <w:rPr>
          <w:rFonts w:cs="Calibri"/>
          <w:vertAlign w:val="subscript"/>
        </w:rPr>
        <w:t>ex</w:t>
      </w:r>
      <w:r w:rsidRPr="00BE78CA">
        <w:rPr>
          <w:rFonts w:cs="Calibri"/>
        </w:rPr>
        <w:t xml:space="preserve"> for dairy cattle, beef cattle, sheep and deer, which are then used to calculate N</w:t>
      </w:r>
      <w:r w:rsidRPr="00BE78CA">
        <w:rPr>
          <w:rFonts w:cs="Calibri"/>
          <w:vertAlign w:val="subscript"/>
        </w:rPr>
        <w:t>2</w:t>
      </w:r>
      <w:r w:rsidRPr="00BE78CA">
        <w:rPr>
          <w:rFonts w:cs="Calibri"/>
        </w:rPr>
        <w:t>O emissions. In the current inventory model, these N</w:t>
      </w:r>
      <w:r w:rsidRPr="00BE78CA">
        <w:rPr>
          <w:rFonts w:cs="Calibri"/>
          <w:vertAlign w:val="subscript"/>
        </w:rPr>
        <w:t>ex</w:t>
      </w:r>
      <w:r w:rsidRPr="00BE78CA">
        <w:rPr>
          <w:rFonts w:cs="Calibri"/>
        </w:rPr>
        <w:t xml:space="preserve"> estimates are calculated by month and animal subcategory.</w:t>
      </w:r>
    </w:p>
    <w:p w14:paraId="2F0720B2" w14:textId="77777777" w:rsidR="00F02481" w:rsidRPr="00BE78CA" w:rsidRDefault="00F02481" w:rsidP="00C26084">
      <w:pPr>
        <w:pStyle w:val="BodyText"/>
        <w:rPr>
          <w:rFonts w:cs="Calibri"/>
        </w:rPr>
      </w:pPr>
      <w:r w:rsidRPr="00BE78CA">
        <w:rPr>
          <w:rFonts w:cs="Calibri"/>
        </w:rPr>
        <w:t>A review of the Agriculture inventory model in 2020 found that the N</w:t>
      </w:r>
      <w:r w:rsidRPr="00BE78CA">
        <w:rPr>
          <w:rFonts w:cs="Calibri"/>
          <w:vertAlign w:val="subscript"/>
        </w:rPr>
        <w:t>ex</w:t>
      </w:r>
      <w:r w:rsidRPr="00BE78CA">
        <w:rPr>
          <w:rFonts w:cs="Calibri"/>
        </w:rPr>
        <w:t xml:space="preserve"> figures calculated for sheep were incorrect. This error meant that the N</w:t>
      </w:r>
      <w:r w:rsidRPr="00BE78CA">
        <w:rPr>
          <w:rFonts w:cs="Calibri"/>
          <w:vertAlign w:val="subscript"/>
        </w:rPr>
        <w:t>ex</w:t>
      </w:r>
      <w:r w:rsidRPr="00BE78CA">
        <w:rPr>
          <w:rFonts w:cs="Calibri"/>
        </w:rPr>
        <w:t xml:space="preserve"> figure calculated for sheep was 4 per cent to 5 per cent lower than the correct value. The error did not occur for the dairy, beef or deer parts of the model.</w:t>
      </w:r>
    </w:p>
    <w:p w14:paraId="3F7E29F3" w14:textId="77777777" w:rsidR="00F02481" w:rsidRPr="00BE78CA" w:rsidRDefault="00F02481" w:rsidP="00C26084">
      <w:pPr>
        <w:pStyle w:val="BodyText"/>
        <w:spacing w:after="100"/>
        <w:rPr>
          <w:rFonts w:cs="Calibri"/>
        </w:rPr>
      </w:pPr>
      <w:r w:rsidRPr="00BE78CA">
        <w:rPr>
          <w:rFonts w:cs="Calibri"/>
        </w:rPr>
        <w:t xml:space="preserve">This error was corrected in the 2021 version of the Agriculture inventory. The correction had a small effect on estimated emissions from </w:t>
      </w:r>
      <w:r w:rsidRPr="00BE78CA">
        <w:rPr>
          <w:rFonts w:cs="Calibri"/>
          <w:i/>
          <w:iCs/>
        </w:rPr>
        <w:t>Agricultural soils</w:t>
      </w:r>
      <w:r w:rsidRPr="00BE78CA">
        <w:rPr>
          <w:rFonts w:cs="Calibri"/>
        </w:rPr>
        <w:t>, as shown in table 5.5.16.</w:t>
      </w:r>
    </w:p>
    <w:p w14:paraId="661C2E96" w14:textId="77777777" w:rsidR="00F02481" w:rsidRPr="00BE78CA" w:rsidRDefault="00F02481" w:rsidP="00C26084">
      <w:pPr>
        <w:pStyle w:val="Table"/>
        <w:rPr>
          <w:rFonts w:cs="Calibri"/>
        </w:rPr>
      </w:pPr>
      <w:bookmarkStart w:id="985" w:name="_Toc32570942"/>
      <w:bookmarkStart w:id="986" w:name="_Toc36224577"/>
      <w:bookmarkStart w:id="987" w:name="_Toc68786462"/>
      <w:bookmarkEnd w:id="984"/>
      <w:r w:rsidRPr="00BE78CA">
        <w:rPr>
          <w:rFonts w:cs="Calibri"/>
        </w:rPr>
        <w:lastRenderedPageBreak/>
        <w:t>Table 5.5.16</w:t>
      </w:r>
      <w:r w:rsidRPr="00BE78CA">
        <w:rPr>
          <w:rFonts w:cs="Calibri"/>
        </w:rPr>
        <w:tab/>
      </w:r>
      <w:bookmarkStart w:id="988" w:name="_Hlk59198409"/>
      <w:r w:rsidRPr="00BE78CA">
        <w:rPr>
          <w:rFonts w:cs="Calibri"/>
        </w:rPr>
        <w:t>Comparison of current and previous emissions estimates before and after</w:t>
      </w:r>
      <w:r w:rsidRPr="00BE78CA">
        <w:rPr>
          <w:rFonts w:cs="Calibri"/>
        </w:rPr>
        <w:br/>
        <w:t xml:space="preserve">corrections to </w:t>
      </w:r>
      <w:bookmarkEnd w:id="985"/>
      <w:bookmarkEnd w:id="986"/>
      <w:r w:rsidRPr="00BE78CA">
        <w:rPr>
          <w:rFonts w:cs="Calibri"/>
        </w:rPr>
        <w:t>sheep nitrogen excretion calculations</w:t>
      </w:r>
      <w:bookmarkEnd w:id="987"/>
      <w:bookmarkEnd w:id="988"/>
    </w:p>
    <w:tbl>
      <w:tblPr>
        <w:tblW w:w="8505" w:type="dxa"/>
        <w:tblBorders>
          <w:top w:val="single" w:sz="4" w:space="0" w:color="365F91"/>
          <w:bottom w:val="single" w:sz="4" w:space="0" w:color="365F91"/>
          <w:insideH w:val="single" w:sz="4" w:space="0" w:color="365F91"/>
        </w:tblBorders>
        <w:tblLayout w:type="fixed"/>
        <w:tblLook w:val="0000" w:firstRow="0" w:lastRow="0" w:firstColumn="0" w:lastColumn="0" w:noHBand="0" w:noVBand="0"/>
      </w:tblPr>
      <w:tblGrid>
        <w:gridCol w:w="1370"/>
        <w:gridCol w:w="2569"/>
        <w:gridCol w:w="742"/>
        <w:gridCol w:w="742"/>
        <w:gridCol w:w="1541"/>
        <w:gridCol w:w="1541"/>
      </w:tblGrid>
      <w:tr w:rsidR="00B934FD" w:rsidRPr="00BE78CA" w14:paraId="6DD91AAF" w14:textId="77777777" w:rsidTr="00B934FD">
        <w:trPr>
          <w:tblHeader/>
        </w:trPr>
        <w:tc>
          <w:tcPr>
            <w:tcW w:w="1361" w:type="dxa"/>
            <w:shd w:val="clear" w:color="auto" w:fill="365F91"/>
            <w:vAlign w:val="bottom"/>
          </w:tcPr>
          <w:p w14:paraId="62340C21" w14:textId="77777777" w:rsidR="00F02481" w:rsidRPr="00BE78CA" w:rsidRDefault="00F02481" w:rsidP="000F4164">
            <w:pPr>
              <w:pStyle w:val="TableTextBold"/>
              <w:rPr>
                <w:noProof w:val="0"/>
                <w:color w:val="FFFFFF" w:themeColor="background1"/>
                <w:szCs w:val="16"/>
              </w:rPr>
            </w:pPr>
            <w:r w:rsidRPr="00BE78CA">
              <w:rPr>
                <w:noProof w:val="0"/>
                <w:color w:val="FFFFFF" w:themeColor="background1"/>
                <w:szCs w:val="16"/>
              </w:rPr>
              <w:t xml:space="preserve">Emissions </w:t>
            </w:r>
            <w:r w:rsidRPr="00BE78CA">
              <w:rPr>
                <w:noProof w:val="0"/>
                <w:color w:val="FFFFFF" w:themeColor="background1"/>
                <w:szCs w:val="16"/>
              </w:rPr>
              <w:br/>
              <w:t>(kt CO</w:t>
            </w:r>
            <w:r w:rsidRPr="00BE78CA">
              <w:rPr>
                <w:noProof w:val="0"/>
                <w:color w:val="FFFFFF" w:themeColor="background1"/>
                <w:szCs w:val="16"/>
                <w:vertAlign w:val="subscript"/>
              </w:rPr>
              <w:t>2</w:t>
            </w:r>
            <w:r w:rsidRPr="00BE78CA">
              <w:rPr>
                <w:noProof w:val="0"/>
                <w:color w:val="FFFFFF" w:themeColor="background1"/>
                <w:szCs w:val="16"/>
              </w:rPr>
              <w:t>-e)</w:t>
            </w:r>
          </w:p>
        </w:tc>
        <w:tc>
          <w:tcPr>
            <w:tcW w:w="2552" w:type="dxa"/>
            <w:shd w:val="clear" w:color="auto" w:fill="365F91"/>
            <w:vAlign w:val="bottom"/>
          </w:tcPr>
          <w:p w14:paraId="01C22D73" w14:textId="77777777" w:rsidR="00F02481" w:rsidRPr="00BE78CA" w:rsidRDefault="00F02481" w:rsidP="000F4164">
            <w:pPr>
              <w:pStyle w:val="TableTextBold"/>
              <w:rPr>
                <w:noProof w:val="0"/>
                <w:color w:val="FFFFFF" w:themeColor="background1"/>
                <w:szCs w:val="16"/>
              </w:rPr>
            </w:pPr>
          </w:p>
        </w:tc>
        <w:tc>
          <w:tcPr>
            <w:tcW w:w="737" w:type="dxa"/>
            <w:shd w:val="clear" w:color="auto" w:fill="365F91"/>
            <w:vAlign w:val="bottom"/>
          </w:tcPr>
          <w:p w14:paraId="115657FE" w14:textId="77777777" w:rsidR="00F02481" w:rsidRPr="00BE78CA" w:rsidRDefault="00F02481" w:rsidP="000F4164">
            <w:pPr>
              <w:pStyle w:val="TableTextBold"/>
              <w:jc w:val="center"/>
              <w:rPr>
                <w:noProof w:val="0"/>
                <w:color w:val="FFFFFF" w:themeColor="background1"/>
                <w:szCs w:val="16"/>
              </w:rPr>
            </w:pPr>
            <w:r w:rsidRPr="00BE78CA">
              <w:rPr>
                <w:noProof w:val="0"/>
                <w:color w:val="FFFFFF" w:themeColor="background1"/>
                <w:szCs w:val="16"/>
              </w:rPr>
              <w:t>1990</w:t>
            </w:r>
          </w:p>
        </w:tc>
        <w:tc>
          <w:tcPr>
            <w:tcW w:w="737" w:type="dxa"/>
            <w:shd w:val="clear" w:color="auto" w:fill="365F91"/>
            <w:vAlign w:val="bottom"/>
          </w:tcPr>
          <w:p w14:paraId="387A5C21" w14:textId="77777777" w:rsidR="00F02481" w:rsidRPr="00BE78CA" w:rsidRDefault="00F02481" w:rsidP="000F4164">
            <w:pPr>
              <w:pStyle w:val="TableTextBold"/>
              <w:jc w:val="center"/>
              <w:rPr>
                <w:noProof w:val="0"/>
                <w:color w:val="FFFFFF" w:themeColor="background1"/>
                <w:szCs w:val="16"/>
              </w:rPr>
            </w:pPr>
            <w:r w:rsidRPr="00BE78CA">
              <w:rPr>
                <w:noProof w:val="0"/>
                <w:color w:val="FFFFFF" w:themeColor="background1"/>
                <w:szCs w:val="16"/>
              </w:rPr>
              <w:t>2019</w:t>
            </w:r>
          </w:p>
        </w:tc>
        <w:tc>
          <w:tcPr>
            <w:tcW w:w="1531" w:type="dxa"/>
            <w:shd w:val="clear" w:color="auto" w:fill="365F91"/>
            <w:vAlign w:val="bottom"/>
          </w:tcPr>
          <w:p w14:paraId="492D38F3" w14:textId="77777777" w:rsidR="00F02481" w:rsidRPr="00BE78CA" w:rsidRDefault="00F02481" w:rsidP="000F4164">
            <w:pPr>
              <w:pStyle w:val="TableTextBold"/>
              <w:jc w:val="center"/>
              <w:rPr>
                <w:noProof w:val="0"/>
                <w:color w:val="FFFFFF" w:themeColor="background1"/>
                <w:szCs w:val="16"/>
              </w:rPr>
            </w:pPr>
            <w:r w:rsidRPr="00BE78CA">
              <w:rPr>
                <w:noProof w:val="0"/>
                <w:color w:val="FFFFFF" w:themeColor="background1"/>
                <w:szCs w:val="16"/>
              </w:rPr>
              <w:t xml:space="preserve">Change in emission outputs between 1990 and 2019 </w:t>
            </w:r>
            <w:r w:rsidRPr="00BE78CA">
              <w:rPr>
                <w:noProof w:val="0"/>
                <w:color w:val="FFFFFF" w:themeColor="background1"/>
                <w:szCs w:val="16"/>
              </w:rPr>
              <w:br/>
              <w:t>(kt CO</w:t>
            </w:r>
            <w:r w:rsidRPr="00BE78CA">
              <w:rPr>
                <w:noProof w:val="0"/>
                <w:color w:val="FFFFFF" w:themeColor="background1"/>
                <w:szCs w:val="16"/>
                <w:vertAlign w:val="subscript"/>
              </w:rPr>
              <w:t>2</w:t>
            </w:r>
            <w:r w:rsidRPr="00BE78CA">
              <w:rPr>
                <w:noProof w:val="0"/>
                <w:color w:val="FFFFFF" w:themeColor="background1"/>
                <w:szCs w:val="16"/>
              </w:rPr>
              <w:t xml:space="preserve">-e) </w:t>
            </w:r>
          </w:p>
        </w:tc>
        <w:tc>
          <w:tcPr>
            <w:tcW w:w="1531" w:type="dxa"/>
            <w:shd w:val="clear" w:color="auto" w:fill="365F91"/>
            <w:vAlign w:val="bottom"/>
          </w:tcPr>
          <w:p w14:paraId="66EEAFBF" w14:textId="77777777" w:rsidR="00F02481" w:rsidRPr="00BE78CA" w:rsidRDefault="00F02481" w:rsidP="000F4164">
            <w:pPr>
              <w:pStyle w:val="TableTextBold"/>
              <w:jc w:val="center"/>
              <w:rPr>
                <w:noProof w:val="0"/>
                <w:color w:val="FFFFFF" w:themeColor="background1"/>
                <w:szCs w:val="16"/>
              </w:rPr>
            </w:pPr>
            <w:r w:rsidRPr="00BE78CA">
              <w:rPr>
                <w:noProof w:val="0"/>
                <w:color w:val="FFFFFF" w:themeColor="background1"/>
                <w:szCs w:val="16"/>
              </w:rPr>
              <w:t xml:space="preserve">Percentage change in emission outputs between </w:t>
            </w:r>
            <w:r w:rsidRPr="00BE78CA">
              <w:rPr>
                <w:noProof w:val="0"/>
                <w:color w:val="FFFFFF" w:themeColor="background1"/>
                <w:szCs w:val="16"/>
              </w:rPr>
              <w:br/>
              <w:t>1990 and 2019</w:t>
            </w:r>
          </w:p>
        </w:tc>
      </w:tr>
      <w:tr w:rsidR="00F02481" w:rsidRPr="00BE78CA" w14:paraId="1DBBB53B" w14:textId="77777777" w:rsidTr="00B934FD">
        <w:tc>
          <w:tcPr>
            <w:tcW w:w="1361" w:type="dxa"/>
            <w:vMerge w:val="restart"/>
            <w:vAlign w:val="center"/>
          </w:tcPr>
          <w:p w14:paraId="3CE1A5C8" w14:textId="77777777" w:rsidR="00F02481" w:rsidRPr="00BE78CA" w:rsidRDefault="00F02481" w:rsidP="000F4164">
            <w:pPr>
              <w:pStyle w:val="TableText"/>
              <w:spacing w:before="40" w:after="40"/>
            </w:pPr>
            <w:r w:rsidRPr="00BE78CA">
              <w:t>Total emissions from Agricultural soils (kt CO</w:t>
            </w:r>
            <w:r w:rsidRPr="00BE78CA">
              <w:rPr>
                <w:vertAlign w:val="subscript"/>
              </w:rPr>
              <w:t>2</w:t>
            </w:r>
            <w:r w:rsidRPr="00BE78CA">
              <w:t>-e)</w:t>
            </w:r>
          </w:p>
        </w:tc>
        <w:tc>
          <w:tcPr>
            <w:tcW w:w="2552" w:type="dxa"/>
          </w:tcPr>
          <w:p w14:paraId="37A1CD63" w14:textId="77777777" w:rsidR="00F02481" w:rsidRPr="00BE78CA" w:rsidRDefault="00F02481" w:rsidP="000F4164">
            <w:pPr>
              <w:pStyle w:val="TableText"/>
              <w:spacing w:before="40" w:after="40"/>
              <w:rPr>
                <w:rFonts w:cs="Calibri"/>
                <w:szCs w:val="16"/>
              </w:rPr>
            </w:pPr>
            <w:r w:rsidRPr="00BE78CA">
              <w:rPr>
                <w:rFonts w:cs="Calibri"/>
                <w:szCs w:val="16"/>
              </w:rPr>
              <w:t xml:space="preserve">2021 (1990–2019) emissions estimate </w:t>
            </w:r>
            <w:r w:rsidRPr="00BE78CA">
              <w:rPr>
                <w:rFonts w:cs="Calibri"/>
                <w:i/>
                <w:iCs/>
                <w:szCs w:val="16"/>
              </w:rPr>
              <w:t xml:space="preserve">before </w:t>
            </w:r>
            <w:r w:rsidRPr="00BE78CA">
              <w:rPr>
                <w:rFonts w:cs="Calibri"/>
                <w:szCs w:val="16"/>
              </w:rPr>
              <w:t>sheep N</w:t>
            </w:r>
            <w:r w:rsidRPr="00BE78CA">
              <w:rPr>
                <w:rFonts w:cs="Calibri"/>
                <w:szCs w:val="16"/>
                <w:vertAlign w:val="subscript"/>
              </w:rPr>
              <w:t>ex</w:t>
            </w:r>
            <w:r w:rsidRPr="00BE78CA">
              <w:rPr>
                <w:rFonts w:cs="Calibri"/>
                <w:szCs w:val="16"/>
              </w:rPr>
              <w:t xml:space="preserve"> correction </w:t>
            </w:r>
          </w:p>
        </w:tc>
        <w:tc>
          <w:tcPr>
            <w:tcW w:w="737" w:type="dxa"/>
          </w:tcPr>
          <w:p w14:paraId="55511FBD" w14:textId="77777777" w:rsidR="00F02481" w:rsidRPr="00BE78CA" w:rsidRDefault="00F02481" w:rsidP="000F4164">
            <w:pPr>
              <w:pStyle w:val="TableText"/>
              <w:spacing w:before="40" w:after="40"/>
              <w:jc w:val="center"/>
              <w:rPr>
                <w:rFonts w:cs="Calibri"/>
                <w:color w:val="000000"/>
                <w:szCs w:val="16"/>
              </w:rPr>
            </w:pPr>
            <w:r w:rsidRPr="00BE78CA">
              <w:rPr>
                <w:rFonts w:cs="Calibri"/>
                <w:color w:val="000000"/>
                <w:szCs w:val="16"/>
              </w:rPr>
              <w:t>5,222.3</w:t>
            </w:r>
          </w:p>
        </w:tc>
        <w:tc>
          <w:tcPr>
            <w:tcW w:w="737" w:type="dxa"/>
          </w:tcPr>
          <w:p w14:paraId="243B6829" w14:textId="77777777" w:rsidR="00F02481" w:rsidRPr="00BE78CA" w:rsidRDefault="00F02481" w:rsidP="000F4164">
            <w:pPr>
              <w:pStyle w:val="TableText"/>
              <w:spacing w:before="40" w:after="40"/>
              <w:jc w:val="center"/>
              <w:rPr>
                <w:rFonts w:cs="Calibri"/>
                <w:color w:val="000000"/>
                <w:szCs w:val="16"/>
              </w:rPr>
            </w:pPr>
            <w:r w:rsidRPr="00BE78CA">
              <w:rPr>
                <w:rFonts w:cs="Calibri"/>
                <w:color w:val="000000"/>
                <w:szCs w:val="16"/>
              </w:rPr>
              <w:t>7,715.7</w:t>
            </w:r>
          </w:p>
        </w:tc>
        <w:tc>
          <w:tcPr>
            <w:tcW w:w="1531" w:type="dxa"/>
          </w:tcPr>
          <w:p w14:paraId="16179FD9" w14:textId="77777777" w:rsidR="00F02481" w:rsidRPr="00BE78CA" w:rsidRDefault="00F02481" w:rsidP="000F4164">
            <w:pPr>
              <w:pStyle w:val="TableText"/>
              <w:spacing w:before="40" w:after="40"/>
              <w:jc w:val="center"/>
              <w:rPr>
                <w:rFonts w:cs="Calibri"/>
                <w:color w:val="000000"/>
                <w:szCs w:val="16"/>
              </w:rPr>
            </w:pPr>
            <w:r w:rsidRPr="00BE78CA">
              <w:rPr>
                <w:rFonts w:cs="Calibri"/>
                <w:color w:val="000000"/>
                <w:szCs w:val="16"/>
              </w:rPr>
              <w:t>2,493.4</w:t>
            </w:r>
          </w:p>
        </w:tc>
        <w:tc>
          <w:tcPr>
            <w:tcW w:w="1531" w:type="dxa"/>
          </w:tcPr>
          <w:p w14:paraId="235C0F17" w14:textId="77777777" w:rsidR="00F02481" w:rsidRPr="00BE78CA" w:rsidRDefault="00F02481" w:rsidP="000F4164">
            <w:pPr>
              <w:pStyle w:val="TableText"/>
              <w:spacing w:before="40" w:after="40"/>
              <w:jc w:val="center"/>
              <w:rPr>
                <w:rFonts w:cs="Calibri"/>
                <w:color w:val="000000"/>
                <w:szCs w:val="16"/>
              </w:rPr>
            </w:pPr>
            <w:r w:rsidRPr="00BE78CA">
              <w:rPr>
                <w:rFonts w:cs="Calibri"/>
                <w:color w:val="000000"/>
                <w:szCs w:val="16"/>
              </w:rPr>
              <w:t>47.7</w:t>
            </w:r>
          </w:p>
        </w:tc>
      </w:tr>
      <w:tr w:rsidR="00F02481" w:rsidRPr="00BE78CA" w14:paraId="563273BC" w14:textId="77777777" w:rsidTr="00B934FD">
        <w:tc>
          <w:tcPr>
            <w:tcW w:w="1361" w:type="dxa"/>
            <w:vMerge/>
          </w:tcPr>
          <w:p w14:paraId="45246409" w14:textId="77777777" w:rsidR="00F02481" w:rsidRPr="00BE78CA" w:rsidRDefault="00F02481" w:rsidP="000F4164">
            <w:pPr>
              <w:pStyle w:val="TableText"/>
              <w:spacing w:before="40" w:after="40"/>
              <w:rPr>
                <w:rFonts w:cs="Calibri"/>
                <w:szCs w:val="16"/>
              </w:rPr>
            </w:pPr>
          </w:p>
        </w:tc>
        <w:tc>
          <w:tcPr>
            <w:tcW w:w="2552" w:type="dxa"/>
          </w:tcPr>
          <w:p w14:paraId="201E91AD" w14:textId="77777777" w:rsidR="00F02481" w:rsidRPr="00BE78CA" w:rsidRDefault="00F02481" w:rsidP="000F4164">
            <w:pPr>
              <w:pStyle w:val="TableText"/>
              <w:spacing w:before="40" w:after="40"/>
              <w:rPr>
                <w:rFonts w:cs="Calibri"/>
                <w:szCs w:val="16"/>
              </w:rPr>
            </w:pPr>
            <w:r w:rsidRPr="00BE78CA">
              <w:rPr>
                <w:rFonts w:cs="Calibri"/>
                <w:szCs w:val="16"/>
              </w:rPr>
              <w:t xml:space="preserve">2021 (1990–2019) emissions estimate </w:t>
            </w:r>
            <w:r w:rsidRPr="00BE78CA">
              <w:rPr>
                <w:rFonts w:cs="Calibri"/>
                <w:i/>
                <w:iCs/>
                <w:szCs w:val="16"/>
              </w:rPr>
              <w:t xml:space="preserve">after </w:t>
            </w:r>
            <w:r w:rsidRPr="00BE78CA">
              <w:rPr>
                <w:rFonts w:cs="Calibri"/>
                <w:szCs w:val="16"/>
              </w:rPr>
              <w:t>sheep N</w:t>
            </w:r>
            <w:r w:rsidRPr="00BE78CA">
              <w:rPr>
                <w:rFonts w:cs="Calibri"/>
                <w:szCs w:val="16"/>
                <w:vertAlign w:val="subscript"/>
              </w:rPr>
              <w:t>ex</w:t>
            </w:r>
            <w:r w:rsidRPr="00BE78CA">
              <w:rPr>
                <w:rFonts w:cs="Calibri"/>
                <w:szCs w:val="16"/>
              </w:rPr>
              <w:t xml:space="preserve"> correction</w:t>
            </w:r>
          </w:p>
        </w:tc>
        <w:tc>
          <w:tcPr>
            <w:tcW w:w="737" w:type="dxa"/>
          </w:tcPr>
          <w:p w14:paraId="4FC75C9C" w14:textId="77777777" w:rsidR="00F02481" w:rsidRPr="00BE78CA" w:rsidRDefault="00F02481" w:rsidP="000F4164">
            <w:pPr>
              <w:pStyle w:val="TableText"/>
              <w:spacing w:before="40" w:after="40"/>
              <w:jc w:val="center"/>
              <w:rPr>
                <w:rFonts w:cs="Calibri"/>
                <w:color w:val="000000"/>
                <w:szCs w:val="16"/>
              </w:rPr>
            </w:pPr>
            <w:r w:rsidRPr="00BE78CA">
              <w:rPr>
                <w:rFonts w:cs="Calibri"/>
                <w:color w:val="000000"/>
                <w:szCs w:val="16"/>
              </w:rPr>
              <w:t>5,284.8</w:t>
            </w:r>
          </w:p>
        </w:tc>
        <w:tc>
          <w:tcPr>
            <w:tcW w:w="737" w:type="dxa"/>
          </w:tcPr>
          <w:p w14:paraId="2E38A071" w14:textId="77777777" w:rsidR="00F02481" w:rsidRPr="00BE78CA" w:rsidRDefault="00F02481" w:rsidP="000F4164">
            <w:pPr>
              <w:pStyle w:val="TableText"/>
              <w:spacing w:before="40" w:after="40"/>
              <w:jc w:val="center"/>
              <w:rPr>
                <w:rFonts w:cs="Calibri"/>
                <w:color w:val="000000"/>
                <w:szCs w:val="16"/>
              </w:rPr>
            </w:pPr>
            <w:r w:rsidRPr="00BE78CA">
              <w:rPr>
                <w:rFonts w:cs="Calibri"/>
                <w:color w:val="000000"/>
                <w:szCs w:val="16"/>
              </w:rPr>
              <w:t>7,763.1</w:t>
            </w:r>
          </w:p>
        </w:tc>
        <w:tc>
          <w:tcPr>
            <w:tcW w:w="1531" w:type="dxa"/>
          </w:tcPr>
          <w:p w14:paraId="4D6FEBBD" w14:textId="77777777" w:rsidR="00F02481" w:rsidRPr="00BE78CA" w:rsidRDefault="00F02481" w:rsidP="000F4164">
            <w:pPr>
              <w:pStyle w:val="TableText"/>
              <w:spacing w:before="40" w:after="40"/>
              <w:jc w:val="center"/>
              <w:rPr>
                <w:rFonts w:cs="Calibri"/>
                <w:color w:val="000000"/>
                <w:szCs w:val="16"/>
              </w:rPr>
            </w:pPr>
            <w:r w:rsidRPr="00BE78CA">
              <w:rPr>
                <w:rFonts w:cs="Calibri"/>
                <w:color w:val="000000"/>
                <w:szCs w:val="16"/>
              </w:rPr>
              <w:t>2,478.3</w:t>
            </w:r>
          </w:p>
        </w:tc>
        <w:tc>
          <w:tcPr>
            <w:tcW w:w="1531" w:type="dxa"/>
          </w:tcPr>
          <w:p w14:paraId="59B37F96" w14:textId="77777777" w:rsidR="00F02481" w:rsidRPr="00BE78CA" w:rsidRDefault="00F02481" w:rsidP="000F4164">
            <w:pPr>
              <w:pStyle w:val="TableText"/>
              <w:spacing w:before="40" w:after="40"/>
              <w:jc w:val="center"/>
              <w:rPr>
                <w:rFonts w:cs="Calibri"/>
                <w:color w:val="000000"/>
                <w:szCs w:val="16"/>
              </w:rPr>
            </w:pPr>
            <w:r w:rsidRPr="00BE78CA">
              <w:rPr>
                <w:rFonts w:cs="Calibri"/>
                <w:color w:val="000000"/>
                <w:szCs w:val="16"/>
              </w:rPr>
              <w:t>46.9</w:t>
            </w:r>
          </w:p>
        </w:tc>
      </w:tr>
      <w:tr w:rsidR="00F02481" w:rsidRPr="00BE78CA" w14:paraId="3376C612" w14:textId="77777777" w:rsidTr="00B934FD">
        <w:tc>
          <w:tcPr>
            <w:tcW w:w="1361" w:type="dxa"/>
            <w:vMerge/>
          </w:tcPr>
          <w:p w14:paraId="688ECFC2" w14:textId="77777777" w:rsidR="00F02481" w:rsidRPr="00BE78CA" w:rsidRDefault="00F02481" w:rsidP="000F4164">
            <w:pPr>
              <w:pStyle w:val="TableText"/>
              <w:spacing w:before="40" w:after="40"/>
              <w:rPr>
                <w:rFonts w:cs="Calibri"/>
                <w:szCs w:val="16"/>
              </w:rPr>
            </w:pPr>
          </w:p>
        </w:tc>
        <w:tc>
          <w:tcPr>
            <w:tcW w:w="2552" w:type="dxa"/>
          </w:tcPr>
          <w:p w14:paraId="49C524DC" w14:textId="77777777" w:rsidR="00F02481" w:rsidRPr="00BE78CA" w:rsidRDefault="00F02481" w:rsidP="000F4164">
            <w:pPr>
              <w:pStyle w:val="TableText"/>
              <w:spacing w:before="40" w:after="40"/>
              <w:rPr>
                <w:rFonts w:cs="Calibri"/>
                <w:szCs w:val="16"/>
              </w:rPr>
            </w:pPr>
            <w:r w:rsidRPr="00BE78CA">
              <w:rPr>
                <w:rFonts w:cs="Calibri"/>
                <w:szCs w:val="16"/>
              </w:rPr>
              <w:t xml:space="preserve">Difference in emission estimates </w:t>
            </w:r>
          </w:p>
        </w:tc>
        <w:tc>
          <w:tcPr>
            <w:tcW w:w="737" w:type="dxa"/>
          </w:tcPr>
          <w:p w14:paraId="2B23EE87" w14:textId="77777777" w:rsidR="00F02481" w:rsidRPr="00BE78CA" w:rsidRDefault="00F02481" w:rsidP="000F4164">
            <w:pPr>
              <w:pStyle w:val="TableText"/>
              <w:spacing w:before="40" w:after="40"/>
              <w:jc w:val="center"/>
              <w:rPr>
                <w:rFonts w:cs="Calibri"/>
                <w:color w:val="000000"/>
                <w:szCs w:val="16"/>
              </w:rPr>
            </w:pPr>
            <w:r w:rsidRPr="00BE78CA">
              <w:rPr>
                <w:rFonts w:cs="Calibri"/>
                <w:color w:val="000000"/>
                <w:szCs w:val="16"/>
              </w:rPr>
              <w:t>62.5</w:t>
            </w:r>
          </w:p>
        </w:tc>
        <w:tc>
          <w:tcPr>
            <w:tcW w:w="737" w:type="dxa"/>
          </w:tcPr>
          <w:p w14:paraId="1C828C62" w14:textId="77777777" w:rsidR="00F02481" w:rsidRPr="00BE78CA" w:rsidRDefault="00F02481" w:rsidP="000F4164">
            <w:pPr>
              <w:pStyle w:val="TableText"/>
              <w:spacing w:before="40" w:after="40"/>
              <w:jc w:val="center"/>
              <w:rPr>
                <w:rFonts w:cs="Calibri"/>
                <w:color w:val="000000"/>
                <w:szCs w:val="16"/>
              </w:rPr>
            </w:pPr>
            <w:r w:rsidRPr="00BE78CA">
              <w:rPr>
                <w:rFonts w:cs="Calibri"/>
                <w:color w:val="000000"/>
                <w:szCs w:val="16"/>
              </w:rPr>
              <w:t>47.4</w:t>
            </w:r>
          </w:p>
        </w:tc>
        <w:tc>
          <w:tcPr>
            <w:tcW w:w="1531" w:type="dxa"/>
          </w:tcPr>
          <w:p w14:paraId="57504F30" w14:textId="77777777" w:rsidR="00F02481" w:rsidRPr="00BE78CA" w:rsidRDefault="00F02481" w:rsidP="000F4164">
            <w:pPr>
              <w:pStyle w:val="TableText"/>
              <w:spacing w:before="40" w:after="40"/>
              <w:jc w:val="center"/>
              <w:rPr>
                <w:rFonts w:cs="Calibri"/>
                <w:color w:val="000000"/>
                <w:szCs w:val="16"/>
              </w:rPr>
            </w:pPr>
            <w:r w:rsidRPr="00BE78CA">
              <w:rPr>
                <w:rFonts w:cs="Calibri"/>
                <w:color w:val="000000"/>
                <w:szCs w:val="16"/>
              </w:rPr>
              <w:t>–15.0</w:t>
            </w:r>
          </w:p>
        </w:tc>
        <w:tc>
          <w:tcPr>
            <w:tcW w:w="1531" w:type="dxa"/>
          </w:tcPr>
          <w:p w14:paraId="3EFAB822" w14:textId="77777777" w:rsidR="00F02481" w:rsidRPr="00BE78CA" w:rsidRDefault="00F02481" w:rsidP="000F4164">
            <w:pPr>
              <w:pStyle w:val="TableText"/>
              <w:spacing w:before="40" w:after="40"/>
              <w:jc w:val="center"/>
              <w:rPr>
                <w:rFonts w:cs="Calibri"/>
                <w:color w:val="000000"/>
                <w:szCs w:val="16"/>
              </w:rPr>
            </w:pPr>
          </w:p>
        </w:tc>
      </w:tr>
      <w:tr w:rsidR="00F02481" w:rsidRPr="00BE78CA" w14:paraId="197A4A57" w14:textId="77777777" w:rsidTr="00B934FD">
        <w:tc>
          <w:tcPr>
            <w:tcW w:w="1361" w:type="dxa"/>
            <w:vMerge/>
          </w:tcPr>
          <w:p w14:paraId="6E997295" w14:textId="77777777" w:rsidR="00F02481" w:rsidRPr="00BE78CA" w:rsidRDefault="00F02481" w:rsidP="000F4164">
            <w:pPr>
              <w:pStyle w:val="TableText"/>
              <w:spacing w:before="40" w:after="40"/>
              <w:rPr>
                <w:rFonts w:cs="Calibri"/>
                <w:szCs w:val="16"/>
              </w:rPr>
            </w:pPr>
          </w:p>
        </w:tc>
        <w:tc>
          <w:tcPr>
            <w:tcW w:w="2552" w:type="dxa"/>
          </w:tcPr>
          <w:p w14:paraId="0FCDBA5D" w14:textId="77777777" w:rsidR="00F02481" w:rsidRPr="00BE78CA" w:rsidRDefault="00F02481" w:rsidP="000F4164">
            <w:pPr>
              <w:pStyle w:val="TableText"/>
              <w:spacing w:before="40" w:after="40"/>
              <w:rPr>
                <w:rFonts w:cs="Calibri"/>
                <w:szCs w:val="16"/>
              </w:rPr>
            </w:pPr>
            <w:r w:rsidRPr="00BE78CA">
              <w:rPr>
                <w:rFonts w:cs="Calibri"/>
                <w:szCs w:val="16"/>
              </w:rPr>
              <w:t>Percentage difference in emission estimates</w:t>
            </w:r>
          </w:p>
        </w:tc>
        <w:tc>
          <w:tcPr>
            <w:tcW w:w="737" w:type="dxa"/>
          </w:tcPr>
          <w:p w14:paraId="62733B8E" w14:textId="77777777" w:rsidR="00F02481" w:rsidRPr="00BE78CA" w:rsidRDefault="00F02481" w:rsidP="000F4164">
            <w:pPr>
              <w:pStyle w:val="TableText"/>
              <w:spacing w:before="40" w:after="40"/>
              <w:jc w:val="center"/>
              <w:rPr>
                <w:rFonts w:cs="Calibri"/>
                <w:color w:val="000000"/>
                <w:szCs w:val="16"/>
              </w:rPr>
            </w:pPr>
            <w:r w:rsidRPr="00BE78CA">
              <w:rPr>
                <w:rFonts w:cs="Calibri"/>
                <w:color w:val="000000"/>
                <w:szCs w:val="16"/>
              </w:rPr>
              <w:t>1.2</w:t>
            </w:r>
          </w:p>
        </w:tc>
        <w:tc>
          <w:tcPr>
            <w:tcW w:w="737" w:type="dxa"/>
          </w:tcPr>
          <w:p w14:paraId="79C09225" w14:textId="77777777" w:rsidR="00F02481" w:rsidRPr="00BE78CA" w:rsidRDefault="00F02481" w:rsidP="000F4164">
            <w:pPr>
              <w:pStyle w:val="TableText"/>
              <w:spacing w:before="40" w:after="40"/>
              <w:jc w:val="center"/>
              <w:rPr>
                <w:rFonts w:cs="Calibri"/>
                <w:color w:val="000000"/>
                <w:szCs w:val="16"/>
              </w:rPr>
            </w:pPr>
            <w:r w:rsidRPr="00BE78CA">
              <w:rPr>
                <w:rFonts w:cs="Calibri"/>
                <w:color w:val="000000"/>
                <w:szCs w:val="16"/>
              </w:rPr>
              <w:t>0.6</w:t>
            </w:r>
          </w:p>
        </w:tc>
        <w:tc>
          <w:tcPr>
            <w:tcW w:w="1531" w:type="dxa"/>
          </w:tcPr>
          <w:p w14:paraId="6BB3944B" w14:textId="77777777" w:rsidR="00F02481" w:rsidRPr="00BE78CA" w:rsidRDefault="00F02481" w:rsidP="000F4164">
            <w:pPr>
              <w:pStyle w:val="TableText"/>
              <w:spacing w:before="40" w:after="40"/>
              <w:jc w:val="center"/>
              <w:rPr>
                <w:rFonts w:cs="Calibri"/>
                <w:color w:val="000000"/>
                <w:szCs w:val="16"/>
              </w:rPr>
            </w:pPr>
          </w:p>
        </w:tc>
        <w:tc>
          <w:tcPr>
            <w:tcW w:w="1531" w:type="dxa"/>
          </w:tcPr>
          <w:p w14:paraId="634CEF04" w14:textId="77777777" w:rsidR="00F02481" w:rsidRPr="00BE78CA" w:rsidRDefault="00F02481" w:rsidP="000F4164">
            <w:pPr>
              <w:pStyle w:val="TableText"/>
              <w:spacing w:before="40" w:after="40"/>
              <w:jc w:val="center"/>
              <w:rPr>
                <w:rFonts w:cs="Calibri"/>
                <w:color w:val="000000"/>
                <w:szCs w:val="16"/>
              </w:rPr>
            </w:pPr>
          </w:p>
        </w:tc>
      </w:tr>
    </w:tbl>
    <w:p w14:paraId="0382B5F0" w14:textId="77777777" w:rsidR="00F02481" w:rsidRPr="00BE78CA" w:rsidRDefault="00F02481" w:rsidP="008153E3">
      <w:pPr>
        <w:pStyle w:val="Heading3"/>
        <w:spacing w:before="400"/>
        <w:rPr>
          <w:rFonts w:cs="Calibri"/>
        </w:rPr>
      </w:pPr>
      <w:bookmarkStart w:id="989" w:name="_Toc32570672"/>
      <w:bookmarkEnd w:id="972"/>
      <w:r w:rsidRPr="00BE78CA">
        <w:rPr>
          <w:rFonts w:cs="Calibri"/>
        </w:rPr>
        <w:t>5.5.6</w:t>
      </w:r>
      <w:r w:rsidRPr="00BE78CA">
        <w:rPr>
          <w:rFonts w:cs="Calibri"/>
        </w:rPr>
        <w:tab/>
        <w:t>Source-specific planned improvements</w:t>
      </w:r>
      <w:bookmarkEnd w:id="989"/>
      <w:r w:rsidRPr="00BE78CA">
        <w:rPr>
          <w:rFonts w:cs="Calibri"/>
        </w:rPr>
        <w:t xml:space="preserve"> </w:t>
      </w:r>
    </w:p>
    <w:p w14:paraId="488A72DB" w14:textId="77777777" w:rsidR="00F02481" w:rsidRPr="00BE78CA" w:rsidRDefault="00F02481" w:rsidP="00C26084">
      <w:pPr>
        <w:pStyle w:val="BodyText"/>
        <w:rPr>
          <w:rFonts w:cs="Calibri"/>
        </w:rPr>
      </w:pPr>
      <w:r w:rsidRPr="00BE78CA">
        <w:rPr>
          <w:rFonts w:cs="Calibri"/>
        </w:rPr>
        <w:t>New Zealand is carrying out ongoing research to improve estimates of N</w:t>
      </w:r>
      <w:r w:rsidRPr="00BE78CA">
        <w:rPr>
          <w:rFonts w:cs="Calibri"/>
          <w:vertAlign w:val="subscript"/>
        </w:rPr>
        <w:t>2</w:t>
      </w:r>
      <w:r w:rsidRPr="00BE78CA">
        <w:rPr>
          <w:rFonts w:cs="Calibri"/>
        </w:rPr>
        <w:t>O emissions from the </w:t>
      </w:r>
      <w:r w:rsidRPr="00BE78CA">
        <w:rPr>
          <w:rFonts w:cs="Calibri"/>
          <w:i/>
          <w:iCs/>
        </w:rPr>
        <w:t>Agricultural soils</w:t>
      </w:r>
      <w:r w:rsidRPr="00BE78CA">
        <w:rPr>
          <w:rFonts w:cs="Calibri"/>
        </w:rPr>
        <w:t xml:space="preserve"> category. </w:t>
      </w:r>
      <w:bookmarkStart w:id="990" w:name="_Hlk61527169"/>
      <w:r w:rsidRPr="00BE78CA">
        <w:rPr>
          <w:rFonts w:cs="Calibri"/>
        </w:rPr>
        <w:t xml:space="preserve">The projects described below outline research focused specifically on the </w:t>
      </w:r>
      <w:r w:rsidRPr="00BE78CA">
        <w:rPr>
          <w:rFonts w:cs="Calibri"/>
          <w:i/>
          <w:iCs/>
        </w:rPr>
        <w:t>Agricultural soils</w:t>
      </w:r>
      <w:r w:rsidRPr="00BE78CA">
        <w:rPr>
          <w:rFonts w:cs="Calibri"/>
        </w:rPr>
        <w:t xml:space="preserve"> component of the Agriculture inventory, although several cross-cutting, broader projects will improve the accuracy of emissions in multiple categories (including </w:t>
      </w:r>
      <w:r w:rsidRPr="00BE78CA">
        <w:rPr>
          <w:rFonts w:cs="Calibri"/>
          <w:i/>
        </w:rPr>
        <w:t>Enteric fermentation</w:t>
      </w:r>
      <w:r w:rsidRPr="00BE78CA">
        <w:rPr>
          <w:rFonts w:cs="Calibri"/>
        </w:rPr>
        <w:t xml:space="preserve">, </w:t>
      </w:r>
      <w:r w:rsidRPr="00BE78CA">
        <w:rPr>
          <w:rFonts w:cs="Calibri"/>
          <w:i/>
        </w:rPr>
        <w:t>Manure management</w:t>
      </w:r>
      <w:r w:rsidRPr="00BE78CA">
        <w:rPr>
          <w:rFonts w:cs="Calibri"/>
        </w:rPr>
        <w:t xml:space="preserve"> and </w:t>
      </w:r>
      <w:r w:rsidRPr="00BE78CA">
        <w:rPr>
          <w:rFonts w:cs="Calibri"/>
          <w:i/>
          <w:iCs/>
        </w:rPr>
        <w:t>Agricultural soils</w:t>
      </w:r>
      <w:r w:rsidRPr="00BE78CA">
        <w:rPr>
          <w:rFonts w:cs="Calibri"/>
        </w:rPr>
        <w:t>) that are described in section 5.1.7.</w:t>
      </w:r>
      <w:bookmarkEnd w:id="990"/>
    </w:p>
    <w:p w14:paraId="02651E05" w14:textId="77777777" w:rsidR="00F02481" w:rsidRPr="00BE78CA" w:rsidRDefault="00F02481" w:rsidP="008153E3">
      <w:pPr>
        <w:pStyle w:val="Heading5"/>
        <w:spacing w:before="200"/>
        <w:rPr>
          <w:rFonts w:cs="Calibri"/>
        </w:rPr>
      </w:pPr>
      <w:r w:rsidRPr="00BE78CA">
        <w:rPr>
          <w:rFonts w:cs="Calibri"/>
        </w:rPr>
        <w:t>Review and update Frac</w:t>
      </w:r>
      <w:r w:rsidRPr="00BE78CA">
        <w:rPr>
          <w:rFonts w:cs="Calibri"/>
          <w:vertAlign w:val="subscript"/>
        </w:rPr>
        <w:t>Leach</w:t>
      </w:r>
      <w:r w:rsidRPr="00BE78CA">
        <w:rPr>
          <w:rFonts w:cs="Calibri"/>
        </w:rPr>
        <w:t xml:space="preserve"> parameter</w:t>
      </w:r>
    </w:p>
    <w:p w14:paraId="7C3D4CDA" w14:textId="77777777" w:rsidR="00F02481" w:rsidRPr="00BE78CA" w:rsidRDefault="00F02481" w:rsidP="00C26084">
      <w:pPr>
        <w:pStyle w:val="BodyText"/>
        <w:rPr>
          <w:rFonts w:cs="Calibri"/>
        </w:rPr>
      </w:pPr>
      <w:r w:rsidRPr="00BE78CA">
        <w:rPr>
          <w:rFonts w:cs="Calibri"/>
        </w:rPr>
        <w:t>This project will review the Frac</w:t>
      </w:r>
      <w:r w:rsidRPr="00BE78CA">
        <w:rPr>
          <w:rFonts w:cs="Calibri"/>
          <w:vertAlign w:val="subscript"/>
        </w:rPr>
        <w:t>Leach</w:t>
      </w:r>
      <w:r w:rsidRPr="00BE78CA">
        <w:rPr>
          <w:rFonts w:cs="Calibri"/>
        </w:rPr>
        <w:t xml:space="preserve"> parameter and provide recommendations as to whether it should be changed to improve the accuracy of New Zealand’s N</w:t>
      </w:r>
      <w:r w:rsidRPr="00BE78CA">
        <w:rPr>
          <w:rFonts w:cs="Calibri"/>
          <w:vertAlign w:val="subscript"/>
        </w:rPr>
        <w:t>2</w:t>
      </w:r>
      <w:r w:rsidRPr="00BE78CA">
        <w:rPr>
          <w:rFonts w:cs="Calibri"/>
        </w:rPr>
        <w:t>O emissions estimates. The project will provide recommendations as to whether the Agriculture inventory should use a single Frac</w:t>
      </w:r>
      <w:r w:rsidRPr="00BE78CA">
        <w:rPr>
          <w:rFonts w:cs="Calibri"/>
          <w:vertAlign w:val="subscript"/>
        </w:rPr>
        <w:t>Leach</w:t>
      </w:r>
      <w:r w:rsidRPr="00BE78CA">
        <w:rPr>
          <w:rFonts w:cs="Calibri"/>
        </w:rPr>
        <w:t xml:space="preserve"> value or a set of disaggregated values.</w:t>
      </w:r>
    </w:p>
    <w:p w14:paraId="56BA3963" w14:textId="77777777" w:rsidR="00F02481" w:rsidRPr="00BE78CA" w:rsidRDefault="00F02481" w:rsidP="008153E3">
      <w:pPr>
        <w:pStyle w:val="Heading5"/>
        <w:spacing w:before="200"/>
        <w:rPr>
          <w:rFonts w:cs="Calibri"/>
        </w:rPr>
      </w:pPr>
      <w:r w:rsidRPr="00BE78CA">
        <w:rPr>
          <w:rFonts w:cs="Calibri"/>
        </w:rPr>
        <w:t>Estimation of nitrous oxide emission factors for dairy urine using soil data and soil moisture content</w:t>
      </w:r>
    </w:p>
    <w:p w14:paraId="413874FD" w14:textId="77777777" w:rsidR="00F02481" w:rsidRPr="00BE78CA" w:rsidRDefault="00F02481" w:rsidP="00C26084">
      <w:pPr>
        <w:pStyle w:val="BodyText"/>
      </w:pPr>
      <w:r w:rsidRPr="00BE78CA">
        <w:t>This is a proof of concept study aiming to incorporate an N</w:t>
      </w:r>
      <w:r w:rsidRPr="00BE78CA">
        <w:rPr>
          <w:vertAlign w:val="subscript"/>
        </w:rPr>
        <w:t>2</w:t>
      </w:r>
      <w:r w:rsidRPr="00BE78CA">
        <w:t xml:space="preserve">O emissions factor regression model for dairy urine into a soil water balance model being developed by </w:t>
      </w:r>
      <w:r w:rsidRPr="00BE78CA">
        <w:rPr>
          <w:rFonts w:cs="Calibri"/>
        </w:rPr>
        <w:t xml:space="preserve">the </w:t>
      </w:r>
      <w:r w:rsidRPr="00BE78CA">
        <w:t>National Institute of Water and Atmospheric Research. Using modelled soil volumetric water content, in association with soil bulk density, soil clay content and soil organic carbon content, dairy urine EF</w:t>
      </w:r>
      <w:r w:rsidRPr="00BE78CA">
        <w:rPr>
          <w:vertAlign w:val="subscript"/>
        </w:rPr>
        <w:t>3</w:t>
      </w:r>
      <w:r w:rsidRPr="00BE78CA">
        <w:t xml:space="preserve"> values at a 5 km </w:t>
      </w:r>
      <w:r w:rsidRPr="00BE78CA">
        <w:rPr>
          <w:rFonts w:cs="Calibri"/>
        </w:rPr>
        <w:t>×</w:t>
      </w:r>
      <w:r w:rsidRPr="00BE78CA">
        <w:t xml:space="preserve"> 5 km resolution will be estimated on a daily time-step. The results of the estimated EF</w:t>
      </w:r>
      <w:r w:rsidRPr="00BE78CA">
        <w:rPr>
          <w:vertAlign w:val="subscript"/>
        </w:rPr>
        <w:t>3</w:t>
      </w:r>
      <w:r w:rsidRPr="00BE78CA">
        <w:t xml:space="preserve"> values will then be validated against other N</w:t>
      </w:r>
      <w:r w:rsidRPr="00BE78CA">
        <w:rPr>
          <w:vertAlign w:val="subscript"/>
        </w:rPr>
        <w:t>2</w:t>
      </w:r>
      <w:r w:rsidRPr="00BE78CA">
        <w:t>O emissions factor research.</w:t>
      </w:r>
    </w:p>
    <w:p w14:paraId="2DECE893" w14:textId="77777777" w:rsidR="00F02481" w:rsidRPr="00BE78CA" w:rsidRDefault="00F02481" w:rsidP="00C26084">
      <w:pPr>
        <w:pStyle w:val="BodyText"/>
      </w:pPr>
      <w:r w:rsidRPr="00BE78CA">
        <w:t>The emission factor estimates will be restricted to areas of dairy pasture where most field measurements underpinning the regression model have been made and gridded S-map physical soil properties of soil bulk density, soil clay content and soil organic carbon content are available to feed the regression model.</w:t>
      </w:r>
    </w:p>
    <w:p w14:paraId="74A320FF" w14:textId="77777777" w:rsidR="00F02481" w:rsidRPr="00BE78CA" w:rsidRDefault="00F02481" w:rsidP="008153E3">
      <w:pPr>
        <w:pStyle w:val="Heading5"/>
        <w:spacing w:before="200"/>
        <w:rPr>
          <w:rFonts w:cs="Calibri"/>
        </w:rPr>
      </w:pPr>
      <w:r w:rsidRPr="00BE78CA">
        <w:rPr>
          <w:rFonts w:cs="Calibri"/>
        </w:rPr>
        <w:t>Review and update of the nutrient transfer model</w:t>
      </w:r>
    </w:p>
    <w:p w14:paraId="3135CF6C" w14:textId="77777777" w:rsidR="00F02481" w:rsidRPr="00BE78CA" w:rsidRDefault="00F02481" w:rsidP="00C26084">
      <w:pPr>
        <w:pStyle w:val="BodyText"/>
      </w:pPr>
      <w:r w:rsidRPr="00BE78CA">
        <w:t>This project will review and improve the nutrient transfer model, which is used in the Agriculture inventory to calculate the amount of N</w:t>
      </w:r>
      <w:r w:rsidRPr="00BE78CA">
        <w:rPr>
          <w:vertAlign w:val="subscript"/>
        </w:rPr>
        <w:t>ex</w:t>
      </w:r>
      <w:r w:rsidRPr="00BE78CA">
        <w:t xml:space="preserve"> deposited on different slope categories across the landscape for the major ruminant classes in New Zealand (dairy and beef cattle, sheep and deer). The outputs from the nutrient transfer model are needed to calculate N</w:t>
      </w:r>
      <w:r w:rsidRPr="00BE78CA">
        <w:rPr>
          <w:vertAlign w:val="subscript"/>
        </w:rPr>
        <w:t>2</w:t>
      </w:r>
      <w:r w:rsidRPr="00BE78CA">
        <w:t>O emissions from these livestock categories and slopes.</w:t>
      </w:r>
    </w:p>
    <w:p w14:paraId="78633494" w14:textId="77777777" w:rsidR="00F02481" w:rsidRPr="00BE78CA" w:rsidRDefault="00F02481" w:rsidP="008153E3">
      <w:pPr>
        <w:pStyle w:val="Heading5"/>
        <w:spacing w:before="200"/>
        <w:rPr>
          <w:rFonts w:cs="Calibri"/>
        </w:rPr>
      </w:pPr>
      <w:r w:rsidRPr="00BE78CA">
        <w:rPr>
          <w:rFonts w:cs="Calibri"/>
        </w:rPr>
        <w:lastRenderedPageBreak/>
        <w:t>Nitrous oxide</w:t>
      </w:r>
      <w:r w:rsidRPr="00BE78CA" w:rsidDel="00637A3F">
        <w:rPr>
          <w:rFonts w:cs="Calibri"/>
        </w:rPr>
        <w:t xml:space="preserve"> </w:t>
      </w:r>
      <w:r w:rsidRPr="00BE78CA">
        <w:rPr>
          <w:rFonts w:cs="Calibri"/>
        </w:rPr>
        <w:t>emissions from nitrogen fertilisers</w:t>
      </w:r>
    </w:p>
    <w:p w14:paraId="10E50383" w14:textId="77777777" w:rsidR="00F02481" w:rsidRPr="00BE78CA" w:rsidRDefault="00F02481" w:rsidP="00C26084">
      <w:pPr>
        <w:pStyle w:val="BodyText"/>
      </w:pPr>
      <w:r w:rsidRPr="00BE78CA">
        <w:t>This project will investigate whether more disaggregated emission factors for nitrogen fertilisers are needed. The Agriculture inventory estimates direct N</w:t>
      </w:r>
      <w:r w:rsidRPr="00BE78CA">
        <w:rPr>
          <w:vertAlign w:val="subscript"/>
        </w:rPr>
        <w:t>2</w:t>
      </w:r>
      <w:r w:rsidRPr="00BE78CA">
        <w:t>O emissions from the application of synthetic nitrogen fertiliser, and currently has separate emission factor (EF</w:t>
      </w:r>
      <w:r w:rsidRPr="00BE78CA">
        <w:rPr>
          <w:vertAlign w:val="subscript"/>
        </w:rPr>
        <w:t>1</w:t>
      </w:r>
      <w:r w:rsidRPr="00BE78CA">
        <w:t>) values for urea and non-urea fertiliser. Field trials will be conducted to determine whether EF</w:t>
      </w:r>
      <w:r w:rsidRPr="00BE78CA">
        <w:rPr>
          <w:vertAlign w:val="subscript"/>
        </w:rPr>
        <w:t>1</w:t>
      </w:r>
      <w:r w:rsidRPr="00BE78CA">
        <w:t xml:space="preserve"> values for different types of non-urea nitrogen fertilisers are similar or different.</w:t>
      </w:r>
    </w:p>
    <w:p w14:paraId="3CC461E0" w14:textId="77777777" w:rsidR="00F02481" w:rsidRPr="00BE78CA" w:rsidRDefault="00F02481" w:rsidP="00C26084">
      <w:pPr>
        <w:pStyle w:val="Heading5"/>
        <w:rPr>
          <w:rFonts w:cs="Calibri"/>
        </w:rPr>
      </w:pPr>
      <w:r w:rsidRPr="00BE78CA">
        <w:rPr>
          <w:rFonts w:cs="Calibri"/>
        </w:rPr>
        <w:t>Temporal and spatial trends in dairying on slopes across New Zealand</w:t>
      </w:r>
    </w:p>
    <w:p w14:paraId="54EBAB6F" w14:textId="20842400" w:rsidR="00F02481" w:rsidRPr="00BE78CA" w:rsidRDefault="00F02481" w:rsidP="00C26084">
      <w:pPr>
        <w:pStyle w:val="BodyText"/>
        <w:rPr>
          <w:rFonts w:cs="Calibri"/>
        </w:rPr>
      </w:pPr>
      <w:r w:rsidRPr="00BE78CA">
        <w:rPr>
          <w:rFonts w:cs="Calibri"/>
        </w:rPr>
        <w:t xml:space="preserve">New Zealand’s </w:t>
      </w:r>
      <w:r w:rsidRPr="00BE78CA">
        <w:t>N</w:t>
      </w:r>
      <w:r w:rsidRPr="00BE78CA">
        <w:rPr>
          <w:vertAlign w:val="subscript"/>
        </w:rPr>
        <w:t>2</w:t>
      </w:r>
      <w:r w:rsidRPr="00BE78CA">
        <w:t>O</w:t>
      </w:r>
      <w:r w:rsidRPr="00BE78CA">
        <w:rPr>
          <w:rFonts w:cs="Calibri"/>
        </w:rPr>
        <w:t xml:space="preserve"> emission factors for urine (EF</w:t>
      </w:r>
      <w:r w:rsidRPr="00BE78CA">
        <w:rPr>
          <w:rFonts w:cs="Calibri"/>
          <w:vertAlign w:val="subscript"/>
        </w:rPr>
        <w:t>3</w:t>
      </w:r>
      <w:r w:rsidRPr="00BE78CA">
        <w:rPr>
          <w:rFonts w:cs="Calibri"/>
        </w:rPr>
        <w:t>) are disaggregated by hill slope (as well as livestock type). These hill slope emission factors are combined with activity data on the estimated slope class within each typology to estimate emissions N</w:t>
      </w:r>
      <w:r w:rsidRPr="00BE78CA">
        <w:rPr>
          <w:rFonts w:cs="Calibri"/>
          <w:vertAlign w:val="subscript"/>
        </w:rPr>
        <w:t>2</w:t>
      </w:r>
      <w:r w:rsidRPr="00BE78CA">
        <w:rPr>
          <w:rFonts w:cs="Calibri"/>
        </w:rPr>
        <w:t xml:space="preserve">O emissions for sheep, beef cattle and deer. </w:t>
      </w:r>
    </w:p>
    <w:p w14:paraId="701CB217" w14:textId="77777777" w:rsidR="00F02481" w:rsidRPr="00BE78CA" w:rsidRDefault="00F02481" w:rsidP="00C26084">
      <w:pPr>
        <w:pStyle w:val="BodyText"/>
        <w:rPr>
          <w:rFonts w:cs="Calibri"/>
        </w:rPr>
      </w:pPr>
      <w:r w:rsidRPr="00BE78CA">
        <w:rPr>
          <w:rFonts w:cs="Calibri"/>
        </w:rPr>
        <w:t>Hill slope EF</w:t>
      </w:r>
      <w:r w:rsidRPr="00BE78CA">
        <w:rPr>
          <w:rFonts w:cs="Calibri"/>
          <w:vertAlign w:val="subscript"/>
        </w:rPr>
        <w:t>3</w:t>
      </w:r>
      <w:r w:rsidRPr="00BE78CA">
        <w:rPr>
          <w:rFonts w:cs="Calibri"/>
        </w:rPr>
        <w:t xml:space="preserve"> values could also be applied to dairy cattle. However, due to a lack of activity data, all dairy cattle are currently assumed to be on flatland. This project aims to provide maps and regional summaries describing the distribution of dairy cattle across slope classes, which will be used to improve the accuracy of N</w:t>
      </w:r>
      <w:r w:rsidRPr="00BE78CA">
        <w:rPr>
          <w:rFonts w:cs="Calibri"/>
          <w:vertAlign w:val="subscript"/>
        </w:rPr>
        <w:t>2</w:t>
      </w:r>
      <w:r w:rsidRPr="00BE78CA">
        <w:rPr>
          <w:rFonts w:cs="Calibri"/>
        </w:rPr>
        <w:t>O emissions from dairy cattle.</w:t>
      </w:r>
    </w:p>
    <w:p w14:paraId="17E9045C" w14:textId="77777777" w:rsidR="00F02481" w:rsidRPr="00BE78CA" w:rsidRDefault="00F02481" w:rsidP="00C26084">
      <w:pPr>
        <w:pStyle w:val="Heading2"/>
        <w:rPr>
          <w:rFonts w:cs="Calibri"/>
        </w:rPr>
      </w:pPr>
      <w:bookmarkStart w:id="991" w:name="_Toc69611743"/>
      <w:bookmarkStart w:id="992" w:name="_Toc69612699"/>
      <w:bookmarkStart w:id="993" w:name="_Toc69612898"/>
      <w:bookmarkStart w:id="994" w:name="_Toc69613158"/>
      <w:bookmarkStart w:id="995" w:name="_Toc69633322"/>
      <w:bookmarkStart w:id="996" w:name="_Toc69717487"/>
      <w:bookmarkStart w:id="997" w:name="_Toc69802969"/>
      <w:bookmarkStart w:id="998" w:name="_Toc69815106"/>
      <w:bookmarkStart w:id="999" w:name="_Toc70492399"/>
      <w:bookmarkStart w:id="1000" w:name="_Toc101310606"/>
      <w:bookmarkStart w:id="1001" w:name="_Toc101318466"/>
      <w:bookmarkStart w:id="1002" w:name="_Toc101318571"/>
      <w:bookmarkStart w:id="1003" w:name="_Toc101318755"/>
      <w:bookmarkStart w:id="1004" w:name="_Toc101334031"/>
      <w:bookmarkStart w:id="1005" w:name="_Toc134847209"/>
      <w:bookmarkStart w:id="1006" w:name="_Toc139253939"/>
      <w:bookmarkStart w:id="1007" w:name="_Toc144710417"/>
      <w:bookmarkStart w:id="1008" w:name="_Toc165890371"/>
      <w:bookmarkStart w:id="1009" w:name="_Toc195322665"/>
      <w:bookmarkStart w:id="1010" w:name="_Toc235955531"/>
      <w:bookmarkStart w:id="1011" w:name="_Toc288316644"/>
      <w:bookmarkStart w:id="1012" w:name="_Toc352504864"/>
      <w:bookmarkStart w:id="1013" w:name="_Toc448321527"/>
      <w:bookmarkStart w:id="1014" w:name="_Toc481751389"/>
      <w:bookmarkStart w:id="1015" w:name="_Toc511116604"/>
      <w:bookmarkStart w:id="1016" w:name="_Toc5269366"/>
      <w:bookmarkStart w:id="1017" w:name="_Toc32570673"/>
      <w:bookmarkStart w:id="1018" w:name="_Toc36224406"/>
      <w:bookmarkStart w:id="1019" w:name="_Toc68786326"/>
      <w:r w:rsidRPr="00BE78CA">
        <w:rPr>
          <w:rFonts w:cs="Calibri"/>
        </w:rPr>
        <w:t>5.6</w:t>
      </w:r>
      <w:r w:rsidRPr="00BE78CA">
        <w:rPr>
          <w:rFonts w:cs="Calibri"/>
        </w:rPr>
        <w:tab/>
        <w:t>Prescribed burning of savanna (CRF 3.E)</w:t>
      </w:r>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p>
    <w:p w14:paraId="6158F564" w14:textId="77777777" w:rsidR="00F02481" w:rsidRPr="00BE78CA" w:rsidRDefault="00F02481" w:rsidP="00C26084">
      <w:pPr>
        <w:pStyle w:val="Heading3"/>
        <w:spacing w:before="120"/>
        <w:rPr>
          <w:rFonts w:cs="Calibri"/>
        </w:rPr>
      </w:pPr>
      <w:bookmarkStart w:id="1020" w:name="_Toc32570674"/>
      <w:bookmarkStart w:id="1021" w:name="_Toc139253940"/>
      <w:r w:rsidRPr="00BE78CA">
        <w:rPr>
          <w:rFonts w:cs="Calibri"/>
        </w:rPr>
        <w:t>5.6.1</w:t>
      </w:r>
      <w:r w:rsidRPr="00BE78CA">
        <w:rPr>
          <w:rFonts w:cs="Calibri"/>
        </w:rPr>
        <w:tab/>
        <w:t>Description</w:t>
      </w:r>
      <w:bookmarkEnd w:id="1020"/>
    </w:p>
    <w:p w14:paraId="2CCAF178" w14:textId="77777777" w:rsidR="00F02481" w:rsidRPr="00BE78CA" w:rsidRDefault="00F02481" w:rsidP="00C26084">
      <w:pPr>
        <w:pStyle w:val="BodyText"/>
        <w:rPr>
          <w:rFonts w:cs="Calibri"/>
        </w:rPr>
      </w:pPr>
      <w:r w:rsidRPr="00BE78CA">
        <w:rPr>
          <w:rFonts w:cs="Calibri"/>
        </w:rPr>
        <w:t>Prescribed burning of savanna is reported under the LULUCF sector from the 2016 submission onwards.</w:t>
      </w:r>
    </w:p>
    <w:p w14:paraId="009E50E7" w14:textId="77777777" w:rsidR="00F02481" w:rsidRPr="00BE78CA" w:rsidRDefault="00F02481" w:rsidP="00C26084">
      <w:pPr>
        <w:pStyle w:val="Heading2"/>
        <w:rPr>
          <w:rFonts w:cs="Calibri"/>
        </w:rPr>
      </w:pPr>
      <w:bookmarkStart w:id="1022" w:name="_Toc69611744"/>
      <w:bookmarkStart w:id="1023" w:name="_Toc69612700"/>
      <w:bookmarkStart w:id="1024" w:name="_Toc69612899"/>
      <w:bookmarkStart w:id="1025" w:name="_Toc69613159"/>
      <w:bookmarkStart w:id="1026" w:name="_Toc69633323"/>
      <w:bookmarkStart w:id="1027" w:name="_Toc69717488"/>
      <w:bookmarkStart w:id="1028" w:name="_Toc69802970"/>
      <w:bookmarkStart w:id="1029" w:name="_Toc69815107"/>
      <w:bookmarkStart w:id="1030" w:name="_Toc70492400"/>
      <w:bookmarkStart w:id="1031" w:name="_Toc101310607"/>
      <w:bookmarkStart w:id="1032" w:name="_Toc101318467"/>
      <w:bookmarkStart w:id="1033" w:name="_Toc101318572"/>
      <w:bookmarkStart w:id="1034" w:name="_Toc101318756"/>
      <w:bookmarkStart w:id="1035" w:name="_Toc101334032"/>
      <w:bookmarkStart w:id="1036" w:name="_Toc134847210"/>
      <w:bookmarkStart w:id="1037" w:name="_Toc139253945"/>
      <w:bookmarkStart w:id="1038" w:name="_Toc144710418"/>
      <w:bookmarkStart w:id="1039" w:name="_Toc165890372"/>
      <w:bookmarkStart w:id="1040" w:name="_Toc195322666"/>
      <w:bookmarkStart w:id="1041" w:name="_Toc235955532"/>
      <w:bookmarkStart w:id="1042" w:name="_Toc288316645"/>
      <w:bookmarkStart w:id="1043" w:name="_Toc352504865"/>
      <w:bookmarkStart w:id="1044" w:name="_Toc448321528"/>
      <w:bookmarkStart w:id="1045" w:name="_Toc481751390"/>
      <w:bookmarkStart w:id="1046" w:name="_Toc511116605"/>
      <w:bookmarkStart w:id="1047" w:name="_Toc5269367"/>
      <w:bookmarkStart w:id="1048" w:name="_Toc32570675"/>
      <w:bookmarkStart w:id="1049" w:name="_Toc36224407"/>
      <w:bookmarkStart w:id="1050" w:name="_Toc68786327"/>
      <w:bookmarkEnd w:id="1021"/>
      <w:r w:rsidRPr="00BE78CA">
        <w:rPr>
          <w:rFonts w:cs="Calibri"/>
        </w:rPr>
        <w:t>5.7</w:t>
      </w:r>
      <w:r w:rsidRPr="00BE78CA">
        <w:rPr>
          <w:rFonts w:cs="Calibri"/>
        </w:rPr>
        <w:tab/>
        <w:t>Field burning of agricultural residues (CRF 3.F)</w:t>
      </w:r>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p>
    <w:p w14:paraId="54926C42" w14:textId="77777777" w:rsidR="00F02481" w:rsidRPr="00BE78CA" w:rsidRDefault="00F02481" w:rsidP="00C26084">
      <w:pPr>
        <w:pStyle w:val="Heading3"/>
        <w:spacing w:before="120"/>
        <w:rPr>
          <w:rFonts w:cs="Calibri"/>
        </w:rPr>
      </w:pPr>
      <w:bookmarkStart w:id="1051" w:name="_Toc139253946"/>
      <w:bookmarkStart w:id="1052" w:name="_Toc32570676"/>
      <w:r w:rsidRPr="00BE78CA">
        <w:rPr>
          <w:rFonts w:cs="Calibri"/>
        </w:rPr>
        <w:t>5.7.1</w:t>
      </w:r>
      <w:r w:rsidRPr="00BE78CA">
        <w:rPr>
          <w:rFonts w:cs="Calibri"/>
        </w:rPr>
        <w:tab/>
        <w:t>Description</w:t>
      </w:r>
      <w:bookmarkEnd w:id="1051"/>
      <w:bookmarkEnd w:id="1052"/>
    </w:p>
    <w:p w14:paraId="104FFE9E" w14:textId="77777777" w:rsidR="00F02481" w:rsidRPr="00BE78CA" w:rsidRDefault="00F02481" w:rsidP="00C26084">
      <w:pPr>
        <w:pStyle w:val="BodyText"/>
        <w:rPr>
          <w:rFonts w:cs="Calibri"/>
        </w:rPr>
      </w:pPr>
      <w:r w:rsidRPr="00BE78CA">
        <w:rPr>
          <w:rFonts w:cs="Calibri"/>
          <w:i/>
          <w:iCs/>
        </w:rPr>
        <w:t>Field burning of agricultural residues</w:t>
      </w:r>
      <w:r w:rsidRPr="00BE78CA">
        <w:rPr>
          <w:rFonts w:cs="Calibri"/>
        </w:rPr>
        <w:t xml:space="preserve"> contributed an estimated 24.2 kt CO</w:t>
      </w:r>
      <w:r w:rsidRPr="00BE78CA">
        <w:rPr>
          <w:rFonts w:cs="Calibri"/>
          <w:vertAlign w:val="subscript"/>
        </w:rPr>
        <w:t>2</w:t>
      </w:r>
      <w:r w:rsidRPr="00BE78CA">
        <w:rPr>
          <w:rFonts w:cs="Calibri"/>
        </w:rPr>
        <w:t>-e, this is 0.06 per cent of Agriculture</w:t>
      </w:r>
      <w:r w:rsidRPr="00BE78CA">
        <w:rPr>
          <w:rFonts w:cs="Calibri"/>
          <w:i/>
          <w:iCs/>
        </w:rPr>
        <w:t xml:space="preserve"> </w:t>
      </w:r>
      <w:r w:rsidRPr="00BE78CA">
        <w:rPr>
          <w:rFonts w:cs="Calibri"/>
        </w:rPr>
        <w:t xml:space="preserve">emissions in 2018. Emissions from </w:t>
      </w:r>
      <w:r w:rsidRPr="00BE78CA">
        <w:rPr>
          <w:rFonts w:cs="Calibri"/>
          <w:i/>
          <w:iCs/>
        </w:rPr>
        <w:t>Field burning of agricultural residues</w:t>
      </w:r>
      <w:r w:rsidRPr="00BE78CA">
        <w:rPr>
          <w:rFonts w:cs="Calibri"/>
        </w:rPr>
        <w:t xml:space="preserve"> decreased 11.7 per cent (3.2 kt CO</w:t>
      </w:r>
      <w:r w:rsidRPr="00BE78CA">
        <w:rPr>
          <w:rFonts w:cs="Calibri"/>
          <w:vertAlign w:val="subscript"/>
        </w:rPr>
        <w:t>2</w:t>
      </w:r>
      <w:r w:rsidRPr="00BE78CA">
        <w:rPr>
          <w:rFonts w:cs="Calibri"/>
        </w:rPr>
        <w:t xml:space="preserve">-e) between 1990 and 2019. </w:t>
      </w:r>
    </w:p>
    <w:p w14:paraId="67E79BC8" w14:textId="77777777" w:rsidR="00F02481" w:rsidRPr="00BE78CA" w:rsidRDefault="00F02481" w:rsidP="00C26084">
      <w:pPr>
        <w:pStyle w:val="BodyText"/>
        <w:rPr>
          <w:rFonts w:cs="Calibri"/>
        </w:rPr>
      </w:pPr>
      <w:r w:rsidRPr="00BE78CA">
        <w:rPr>
          <w:rFonts w:cs="Calibri"/>
        </w:rPr>
        <w:t xml:space="preserve">New Zealand reports emissions from burning barley, wheat and oats residue in this category. Maize, legume and other crop residues are not usually burned in New Zealand. </w:t>
      </w:r>
    </w:p>
    <w:p w14:paraId="3B504430" w14:textId="77777777" w:rsidR="00F02481" w:rsidRPr="00BE78CA" w:rsidRDefault="00F02481" w:rsidP="00C26084">
      <w:pPr>
        <w:pStyle w:val="BodyText"/>
        <w:rPr>
          <w:rFonts w:cs="Calibri"/>
        </w:rPr>
      </w:pPr>
      <w:r w:rsidRPr="00BE78CA">
        <w:rPr>
          <w:rFonts w:cs="Calibri"/>
        </w:rPr>
        <w:t>The area of burning of residues varies between years due to climatic conditions, fire risk restrictions and the amount of residue removed before burning straw (Thomas et al., 2011). Burning of crop residues is not considered to be a net source of CO</w:t>
      </w:r>
      <w:r w:rsidRPr="00BE78CA">
        <w:rPr>
          <w:rFonts w:cs="Calibri"/>
          <w:vertAlign w:val="subscript"/>
        </w:rPr>
        <w:t>2</w:t>
      </w:r>
      <w:r w:rsidRPr="00BE78CA">
        <w:rPr>
          <w:rFonts w:cs="Calibri"/>
        </w:rPr>
        <w:t>, because the CO</w:t>
      </w:r>
      <w:r w:rsidRPr="00BE78CA">
        <w:rPr>
          <w:rFonts w:cs="Calibri"/>
          <w:vertAlign w:val="subscript"/>
        </w:rPr>
        <w:t>2</w:t>
      </w:r>
      <w:r w:rsidRPr="00BE78CA">
        <w:rPr>
          <w:rFonts w:cs="Calibri"/>
        </w:rPr>
        <w:t xml:space="preserve"> released into the atmosphere was absorbed by those crops earlier in the year. However, burning is a source of emissions of CH</w:t>
      </w:r>
      <w:r w:rsidRPr="00BE78CA">
        <w:rPr>
          <w:rFonts w:cs="Calibri"/>
          <w:vertAlign w:val="subscript"/>
        </w:rPr>
        <w:t>4</w:t>
      </w:r>
      <w:r w:rsidRPr="00BE78CA">
        <w:rPr>
          <w:rFonts w:cs="Calibri"/>
        </w:rPr>
        <w:t>, carbon monoxide (CO), N</w:t>
      </w:r>
      <w:r w:rsidRPr="00BE78CA">
        <w:rPr>
          <w:rFonts w:cs="Calibri"/>
          <w:vertAlign w:val="subscript"/>
        </w:rPr>
        <w:t>2</w:t>
      </w:r>
      <w:r w:rsidRPr="00BE78CA">
        <w:rPr>
          <w:rFonts w:cs="Calibri"/>
        </w:rPr>
        <w:t>O and NO</w:t>
      </w:r>
      <w:r w:rsidRPr="00BE78CA">
        <w:rPr>
          <w:rFonts w:cs="Calibri"/>
          <w:vertAlign w:val="subscript"/>
        </w:rPr>
        <w:t>x</w:t>
      </w:r>
      <w:r w:rsidRPr="00BE78CA">
        <w:rPr>
          <w:rFonts w:cs="Calibri"/>
        </w:rPr>
        <w:t xml:space="preserve"> (IPCC, 2006).</w:t>
      </w:r>
    </w:p>
    <w:p w14:paraId="1154BAEF" w14:textId="77777777" w:rsidR="00F02481" w:rsidRPr="00BE78CA" w:rsidRDefault="00F02481" w:rsidP="00C26084">
      <w:pPr>
        <w:pStyle w:val="BodyText"/>
        <w:rPr>
          <w:rFonts w:cs="Calibri"/>
        </w:rPr>
      </w:pPr>
      <w:r w:rsidRPr="00BE78CA">
        <w:rPr>
          <w:rFonts w:cs="Calibri"/>
        </w:rPr>
        <w:t xml:space="preserve">Burning of agricultural residues was not identified as a key category in 2019. </w:t>
      </w:r>
    </w:p>
    <w:p w14:paraId="7A941FF6" w14:textId="77777777" w:rsidR="00F02481" w:rsidRPr="00BE78CA" w:rsidRDefault="00F02481" w:rsidP="00C26084">
      <w:pPr>
        <w:pStyle w:val="Heading3"/>
        <w:rPr>
          <w:rFonts w:cs="Calibri"/>
        </w:rPr>
      </w:pPr>
      <w:bookmarkStart w:id="1053" w:name="_Toc32570677"/>
      <w:r w:rsidRPr="00BE78CA">
        <w:rPr>
          <w:rFonts w:cs="Calibri"/>
        </w:rPr>
        <w:t>5.7.2</w:t>
      </w:r>
      <w:r w:rsidRPr="00BE78CA">
        <w:rPr>
          <w:rFonts w:cs="Calibri"/>
        </w:rPr>
        <w:tab/>
        <w:t>Methodological issues</w:t>
      </w:r>
      <w:bookmarkEnd w:id="1053"/>
      <w:r w:rsidRPr="00BE78CA">
        <w:rPr>
          <w:rFonts w:cs="Calibri"/>
        </w:rPr>
        <w:t xml:space="preserve"> </w:t>
      </w:r>
    </w:p>
    <w:p w14:paraId="1F9B28F7" w14:textId="77777777" w:rsidR="00F02481" w:rsidRPr="00BE78CA" w:rsidRDefault="00F02481" w:rsidP="00C26084">
      <w:pPr>
        <w:pStyle w:val="BodyText"/>
        <w:rPr>
          <w:rFonts w:cs="Calibri"/>
        </w:rPr>
      </w:pPr>
      <w:r w:rsidRPr="00BE78CA">
        <w:rPr>
          <w:rFonts w:cs="Calibri"/>
        </w:rPr>
        <w:t xml:space="preserve">The emissions from burning agricultural residues are estimated using country-specific methodology and parameters (Thomas et al., 2008, 2011). A modification of the IPCC (1996) methodology considers differences in the available crop activity data between 1990 and 2004 and 2005 and 2016. </w:t>
      </w:r>
    </w:p>
    <w:p w14:paraId="1E7F444E" w14:textId="77777777" w:rsidR="00F02481" w:rsidRPr="00BE78CA" w:rsidRDefault="00F02481" w:rsidP="007F51E2">
      <w:pPr>
        <w:pStyle w:val="BodyText"/>
        <w:spacing w:after="100"/>
        <w:rPr>
          <w:rFonts w:cs="Calibri"/>
        </w:rPr>
      </w:pPr>
      <w:r w:rsidRPr="00BE78CA">
        <w:rPr>
          <w:rFonts w:cs="Calibri"/>
        </w:rPr>
        <w:lastRenderedPageBreak/>
        <w:t>Following the IPCC (1996) methodology, CH</w:t>
      </w:r>
      <w:r w:rsidRPr="00BE78CA">
        <w:rPr>
          <w:rFonts w:cs="Calibri"/>
          <w:vertAlign w:val="subscript"/>
        </w:rPr>
        <w:t>4</w:t>
      </w:r>
      <w:r w:rsidRPr="00BE78CA">
        <w:rPr>
          <w:rFonts w:cs="Calibri"/>
        </w:rPr>
        <w:t>, CO, N</w:t>
      </w:r>
      <w:r w:rsidRPr="00BE78CA">
        <w:rPr>
          <w:rFonts w:cs="Calibri"/>
          <w:vertAlign w:val="subscript"/>
        </w:rPr>
        <w:t>2</w:t>
      </w:r>
      <w:r w:rsidRPr="00BE78CA">
        <w:rPr>
          <w:rFonts w:cs="Calibri"/>
        </w:rPr>
        <w:t>O and NO</w:t>
      </w:r>
      <w:r w:rsidRPr="00BE78CA">
        <w:rPr>
          <w:rFonts w:cs="Calibri"/>
          <w:vertAlign w:val="subscript"/>
        </w:rPr>
        <w:t xml:space="preserve">x </w:t>
      </w:r>
      <w:r w:rsidRPr="00BE78CA">
        <w:rPr>
          <w:rFonts w:cs="Calibri"/>
        </w:rPr>
        <w:t>emissions are calculated from the carbon and nitrogen released from the burned live and dead biomass residue using the ratios in table 5.7.1; the nitrogen released is derived from the carbon released using a carbon</w:t>
      </w:r>
      <w:r w:rsidRPr="00BE78CA">
        <w:rPr>
          <w:rFonts w:cs="Calibri"/>
        </w:rPr>
        <w:noBreakHyphen/>
        <w:t>to-nitrogen ratio.</w:t>
      </w:r>
    </w:p>
    <w:p w14:paraId="136C1D22" w14:textId="77777777" w:rsidR="00F02481" w:rsidRPr="00BE78CA" w:rsidRDefault="00F02481" w:rsidP="00C26084">
      <w:pPr>
        <w:pStyle w:val="Table"/>
        <w:rPr>
          <w:rFonts w:cs="Calibri"/>
        </w:rPr>
      </w:pPr>
      <w:bookmarkStart w:id="1054" w:name="_Toc352504981"/>
      <w:bookmarkStart w:id="1055" w:name="_Toc441830890"/>
      <w:bookmarkStart w:id="1056" w:name="_Toc451176104"/>
      <w:bookmarkStart w:id="1057" w:name="_Toc481751534"/>
      <w:bookmarkStart w:id="1058" w:name="_Toc507158620"/>
      <w:bookmarkStart w:id="1059" w:name="_Toc511116754"/>
      <w:bookmarkStart w:id="1060" w:name="_Toc5269496"/>
      <w:bookmarkStart w:id="1061" w:name="_Toc32570943"/>
      <w:bookmarkStart w:id="1062" w:name="_Toc36224578"/>
      <w:bookmarkStart w:id="1063" w:name="_Toc68786463"/>
      <w:r w:rsidRPr="00BE78CA">
        <w:rPr>
          <w:rFonts w:cs="Calibri"/>
        </w:rPr>
        <w:t>Table 5.7.1</w:t>
      </w:r>
      <w:r w:rsidRPr="00BE78CA">
        <w:rPr>
          <w:rFonts w:cs="Calibri"/>
        </w:rPr>
        <w:tab/>
        <w:t>Emission ratios for agricultural residue burning</w:t>
      </w:r>
      <w:bookmarkEnd w:id="1054"/>
      <w:bookmarkEnd w:id="1055"/>
      <w:bookmarkEnd w:id="1056"/>
      <w:bookmarkEnd w:id="1057"/>
      <w:bookmarkEnd w:id="1058"/>
      <w:bookmarkEnd w:id="1059"/>
      <w:bookmarkEnd w:id="1060"/>
      <w:bookmarkEnd w:id="1061"/>
      <w:bookmarkEnd w:id="1062"/>
      <w:bookmarkEnd w:id="1063"/>
    </w:p>
    <w:tbl>
      <w:tblPr>
        <w:tblW w:w="8505" w:type="dxa"/>
        <w:tblBorders>
          <w:top w:val="single" w:sz="4" w:space="0" w:color="365F91"/>
          <w:bottom w:val="single" w:sz="4" w:space="0" w:color="365F91"/>
          <w:insideH w:val="single" w:sz="4" w:space="0" w:color="365F91"/>
        </w:tblBorders>
        <w:tblLook w:val="01E0" w:firstRow="1" w:lastRow="1" w:firstColumn="1" w:lastColumn="1" w:noHBand="0" w:noVBand="0"/>
      </w:tblPr>
      <w:tblGrid>
        <w:gridCol w:w="1726"/>
        <w:gridCol w:w="3204"/>
        <w:gridCol w:w="3575"/>
      </w:tblGrid>
      <w:tr w:rsidR="00DC704C" w:rsidRPr="00BE78CA" w14:paraId="31C42AB6" w14:textId="77777777" w:rsidTr="00DC704C">
        <w:tc>
          <w:tcPr>
            <w:tcW w:w="1611" w:type="dxa"/>
            <w:shd w:val="clear" w:color="auto" w:fill="365F91"/>
            <w:vAlign w:val="bottom"/>
          </w:tcPr>
          <w:p w14:paraId="35A66F0E" w14:textId="77777777" w:rsidR="00F02481" w:rsidRPr="00BE78CA" w:rsidRDefault="00F02481" w:rsidP="000F4164">
            <w:pPr>
              <w:pStyle w:val="TableTextBold"/>
              <w:keepNext/>
              <w:spacing w:before="50" w:after="50"/>
              <w:rPr>
                <w:noProof w:val="0"/>
                <w:color w:val="FFFFFF" w:themeColor="background1"/>
              </w:rPr>
            </w:pPr>
            <w:r w:rsidRPr="00BE78CA">
              <w:rPr>
                <w:noProof w:val="0"/>
                <w:color w:val="FFFFFF" w:themeColor="background1"/>
              </w:rPr>
              <w:t>Gas</w:t>
            </w:r>
          </w:p>
        </w:tc>
        <w:tc>
          <w:tcPr>
            <w:tcW w:w="2990" w:type="dxa"/>
            <w:shd w:val="clear" w:color="auto" w:fill="365F91"/>
            <w:vAlign w:val="bottom"/>
          </w:tcPr>
          <w:p w14:paraId="4CFF2D6C" w14:textId="77777777" w:rsidR="00F02481" w:rsidRPr="00BE78CA" w:rsidRDefault="00F02481" w:rsidP="000F4164">
            <w:pPr>
              <w:pStyle w:val="TableTextBold"/>
              <w:keepNext/>
              <w:spacing w:before="50" w:after="50"/>
              <w:rPr>
                <w:noProof w:val="0"/>
                <w:color w:val="FFFFFF" w:themeColor="background1"/>
              </w:rPr>
            </w:pPr>
            <w:r w:rsidRPr="00BE78CA">
              <w:rPr>
                <w:noProof w:val="0"/>
                <w:color w:val="FFFFFF" w:themeColor="background1"/>
              </w:rPr>
              <w:t xml:space="preserve">Emission ratio </w:t>
            </w:r>
            <w:r w:rsidRPr="00BE78CA">
              <w:rPr>
                <w:b w:val="0"/>
                <w:noProof w:val="0"/>
                <w:color w:val="FFFFFF" w:themeColor="background1"/>
              </w:rPr>
              <w:br/>
            </w:r>
            <w:r w:rsidRPr="00BE78CA">
              <w:rPr>
                <w:bCs/>
                <w:noProof w:val="0"/>
                <w:color w:val="FFFFFF" w:themeColor="background1"/>
              </w:rPr>
              <w:t>(Revised</w:t>
            </w:r>
            <w:r w:rsidRPr="00BE78CA">
              <w:rPr>
                <w:b w:val="0"/>
                <w:noProof w:val="0"/>
                <w:color w:val="FFFFFF" w:themeColor="background1"/>
              </w:rPr>
              <w:t xml:space="preserve"> </w:t>
            </w:r>
            <w:r w:rsidRPr="00BE78CA">
              <w:rPr>
                <w:noProof w:val="0"/>
                <w:color w:val="FFFFFF" w:themeColor="background1"/>
              </w:rPr>
              <w:t>IPCC 1996 Guidelines)</w:t>
            </w:r>
          </w:p>
        </w:tc>
        <w:tc>
          <w:tcPr>
            <w:tcW w:w="3337" w:type="dxa"/>
            <w:shd w:val="clear" w:color="auto" w:fill="365F91"/>
          </w:tcPr>
          <w:p w14:paraId="747E710E" w14:textId="77777777" w:rsidR="00F02481" w:rsidRPr="00BE78CA" w:rsidRDefault="00F02481" w:rsidP="000F4164">
            <w:pPr>
              <w:pStyle w:val="TableTextBold"/>
              <w:keepNext/>
              <w:spacing w:before="50" w:after="50"/>
              <w:rPr>
                <w:noProof w:val="0"/>
                <w:color w:val="FFFFFF" w:themeColor="background1"/>
              </w:rPr>
            </w:pPr>
            <w:r w:rsidRPr="00BE78CA">
              <w:rPr>
                <w:noProof w:val="0"/>
                <w:color w:val="FFFFFF" w:themeColor="background1"/>
              </w:rPr>
              <w:t>Conversion ratio from carbon or nitrogen to specified greenhouse gas</w:t>
            </w:r>
            <w:r w:rsidRPr="00BE78CA">
              <w:rPr>
                <w:noProof w:val="0"/>
                <w:color w:val="FFFFFF" w:themeColor="background1"/>
              </w:rPr>
              <w:br/>
              <w:t>(Revised IPCC 1996 Guidelines)</w:t>
            </w:r>
          </w:p>
        </w:tc>
      </w:tr>
      <w:tr w:rsidR="00F02481" w:rsidRPr="00BE78CA" w14:paraId="18C99A4A" w14:textId="77777777" w:rsidTr="00DC704C">
        <w:tc>
          <w:tcPr>
            <w:tcW w:w="1611" w:type="dxa"/>
          </w:tcPr>
          <w:p w14:paraId="4DA74F13" w14:textId="77777777" w:rsidR="00F02481" w:rsidRPr="00BE78CA" w:rsidRDefault="00F02481" w:rsidP="007F51E2">
            <w:pPr>
              <w:pStyle w:val="TableText"/>
              <w:spacing w:before="40" w:after="40"/>
              <w:rPr>
                <w:rFonts w:cs="Calibri"/>
              </w:rPr>
            </w:pPr>
            <w:r w:rsidRPr="00BE78CA">
              <w:rPr>
                <w:rFonts w:cs="Calibri"/>
              </w:rPr>
              <w:t>CH</w:t>
            </w:r>
            <w:r w:rsidRPr="00BE78CA">
              <w:rPr>
                <w:rFonts w:cs="Calibri"/>
                <w:vertAlign w:val="subscript"/>
              </w:rPr>
              <w:t>4</w:t>
            </w:r>
          </w:p>
        </w:tc>
        <w:tc>
          <w:tcPr>
            <w:tcW w:w="2990" w:type="dxa"/>
          </w:tcPr>
          <w:p w14:paraId="26916645" w14:textId="77777777" w:rsidR="00F02481" w:rsidRPr="00BE78CA" w:rsidRDefault="00F02481" w:rsidP="007F51E2">
            <w:pPr>
              <w:pStyle w:val="TableText"/>
              <w:spacing w:before="40" w:after="40"/>
              <w:rPr>
                <w:rFonts w:cs="Calibri"/>
              </w:rPr>
            </w:pPr>
            <w:r w:rsidRPr="00BE78CA">
              <w:rPr>
                <w:rFonts w:cs="Calibri"/>
              </w:rPr>
              <w:t>0.005</w:t>
            </w:r>
          </w:p>
        </w:tc>
        <w:tc>
          <w:tcPr>
            <w:tcW w:w="3337" w:type="dxa"/>
          </w:tcPr>
          <w:p w14:paraId="330D1ACB" w14:textId="77777777" w:rsidR="00F02481" w:rsidRPr="00BE78CA" w:rsidRDefault="00F02481" w:rsidP="007F51E2">
            <w:pPr>
              <w:pStyle w:val="TableText"/>
              <w:spacing w:before="40" w:after="40"/>
              <w:rPr>
                <w:rFonts w:cs="Calibri"/>
              </w:rPr>
            </w:pPr>
            <w:r w:rsidRPr="00BE78CA">
              <w:rPr>
                <w:rFonts w:cs="Calibri"/>
              </w:rPr>
              <w:t>16/12</w:t>
            </w:r>
          </w:p>
        </w:tc>
      </w:tr>
      <w:tr w:rsidR="00F02481" w:rsidRPr="00BE78CA" w14:paraId="33F798E2" w14:textId="77777777" w:rsidTr="00DC704C">
        <w:tc>
          <w:tcPr>
            <w:tcW w:w="1611" w:type="dxa"/>
          </w:tcPr>
          <w:p w14:paraId="0930D9BC" w14:textId="77777777" w:rsidR="00F02481" w:rsidRPr="00BE78CA" w:rsidRDefault="00F02481" w:rsidP="007F51E2">
            <w:pPr>
              <w:pStyle w:val="TableText"/>
              <w:spacing w:before="40" w:after="40"/>
              <w:rPr>
                <w:rFonts w:cs="Calibri"/>
              </w:rPr>
            </w:pPr>
            <w:r w:rsidRPr="00BE78CA">
              <w:rPr>
                <w:rFonts w:cs="Calibri"/>
              </w:rPr>
              <w:t>CO</w:t>
            </w:r>
          </w:p>
        </w:tc>
        <w:tc>
          <w:tcPr>
            <w:tcW w:w="2990" w:type="dxa"/>
          </w:tcPr>
          <w:p w14:paraId="321DB466" w14:textId="77777777" w:rsidR="00F02481" w:rsidRPr="00BE78CA" w:rsidRDefault="00F02481" w:rsidP="007F51E2">
            <w:pPr>
              <w:pStyle w:val="TableText"/>
              <w:spacing w:before="40" w:after="40"/>
              <w:rPr>
                <w:rFonts w:cs="Calibri"/>
              </w:rPr>
            </w:pPr>
            <w:r w:rsidRPr="00BE78CA">
              <w:rPr>
                <w:rFonts w:cs="Calibri"/>
              </w:rPr>
              <w:t>0.06</w:t>
            </w:r>
          </w:p>
        </w:tc>
        <w:tc>
          <w:tcPr>
            <w:tcW w:w="3337" w:type="dxa"/>
          </w:tcPr>
          <w:p w14:paraId="389E8240" w14:textId="77777777" w:rsidR="00F02481" w:rsidRPr="00BE78CA" w:rsidRDefault="00F02481" w:rsidP="007F51E2">
            <w:pPr>
              <w:pStyle w:val="TableText"/>
              <w:spacing w:before="40" w:after="40"/>
              <w:rPr>
                <w:rFonts w:cs="Calibri"/>
              </w:rPr>
            </w:pPr>
            <w:r w:rsidRPr="00BE78CA">
              <w:rPr>
                <w:rFonts w:cs="Calibri"/>
              </w:rPr>
              <w:t>28/12</w:t>
            </w:r>
          </w:p>
        </w:tc>
      </w:tr>
      <w:tr w:rsidR="00F02481" w:rsidRPr="00BE78CA" w14:paraId="7F10CECE" w14:textId="77777777" w:rsidTr="00DC704C">
        <w:tc>
          <w:tcPr>
            <w:tcW w:w="1611" w:type="dxa"/>
          </w:tcPr>
          <w:p w14:paraId="3CB0E274" w14:textId="77777777" w:rsidR="00F02481" w:rsidRPr="00BE78CA" w:rsidRDefault="00F02481" w:rsidP="007F51E2">
            <w:pPr>
              <w:pStyle w:val="TableText"/>
              <w:spacing w:before="40" w:after="40"/>
              <w:rPr>
                <w:rFonts w:cs="Calibri"/>
              </w:rPr>
            </w:pPr>
            <w:r w:rsidRPr="00BE78CA">
              <w:rPr>
                <w:rFonts w:cs="Calibri"/>
              </w:rPr>
              <w:t>N</w:t>
            </w:r>
            <w:r w:rsidRPr="00BE78CA">
              <w:rPr>
                <w:rFonts w:cs="Calibri"/>
                <w:vertAlign w:val="subscript"/>
              </w:rPr>
              <w:t>2</w:t>
            </w:r>
            <w:r w:rsidRPr="00BE78CA">
              <w:rPr>
                <w:rFonts w:cs="Calibri"/>
              </w:rPr>
              <w:t>O</w:t>
            </w:r>
          </w:p>
        </w:tc>
        <w:tc>
          <w:tcPr>
            <w:tcW w:w="2990" w:type="dxa"/>
          </w:tcPr>
          <w:p w14:paraId="68EC5980" w14:textId="77777777" w:rsidR="00F02481" w:rsidRPr="00BE78CA" w:rsidRDefault="00F02481" w:rsidP="007F51E2">
            <w:pPr>
              <w:pStyle w:val="TableText"/>
              <w:spacing w:before="40" w:after="40"/>
              <w:rPr>
                <w:rFonts w:cs="Calibri"/>
              </w:rPr>
            </w:pPr>
            <w:r w:rsidRPr="00BE78CA">
              <w:rPr>
                <w:rFonts w:cs="Calibri"/>
              </w:rPr>
              <w:t>0.007</w:t>
            </w:r>
          </w:p>
        </w:tc>
        <w:tc>
          <w:tcPr>
            <w:tcW w:w="3337" w:type="dxa"/>
          </w:tcPr>
          <w:p w14:paraId="4E3269C7" w14:textId="77777777" w:rsidR="00F02481" w:rsidRPr="00BE78CA" w:rsidRDefault="00F02481" w:rsidP="007F51E2">
            <w:pPr>
              <w:pStyle w:val="TableText"/>
              <w:spacing w:before="40" w:after="40"/>
              <w:rPr>
                <w:rFonts w:cs="Calibri"/>
              </w:rPr>
            </w:pPr>
            <w:r w:rsidRPr="00BE78CA">
              <w:rPr>
                <w:rFonts w:cs="Calibri"/>
              </w:rPr>
              <w:t>44/28</w:t>
            </w:r>
          </w:p>
        </w:tc>
      </w:tr>
      <w:tr w:rsidR="00F02481" w:rsidRPr="00BE78CA" w14:paraId="27400EE9" w14:textId="77777777" w:rsidTr="00DC704C">
        <w:tc>
          <w:tcPr>
            <w:tcW w:w="1611" w:type="dxa"/>
          </w:tcPr>
          <w:p w14:paraId="42DABB08" w14:textId="77777777" w:rsidR="00F02481" w:rsidRPr="00BE78CA" w:rsidRDefault="00F02481" w:rsidP="007F51E2">
            <w:pPr>
              <w:pStyle w:val="TableText"/>
              <w:spacing w:before="40" w:after="40"/>
              <w:rPr>
                <w:rFonts w:cs="Calibri"/>
              </w:rPr>
            </w:pPr>
            <w:r w:rsidRPr="00BE78CA">
              <w:rPr>
                <w:rFonts w:cs="Calibri"/>
              </w:rPr>
              <w:t>NO</w:t>
            </w:r>
            <w:r w:rsidRPr="00BE78CA">
              <w:rPr>
                <w:rFonts w:cs="Calibri"/>
                <w:vertAlign w:val="subscript"/>
              </w:rPr>
              <w:t>x</w:t>
            </w:r>
          </w:p>
        </w:tc>
        <w:tc>
          <w:tcPr>
            <w:tcW w:w="2990" w:type="dxa"/>
          </w:tcPr>
          <w:p w14:paraId="5C460808" w14:textId="77777777" w:rsidR="00F02481" w:rsidRPr="00BE78CA" w:rsidRDefault="00F02481" w:rsidP="007F51E2">
            <w:pPr>
              <w:pStyle w:val="TableText"/>
              <w:spacing w:before="40" w:after="40"/>
              <w:rPr>
                <w:rFonts w:cs="Calibri"/>
              </w:rPr>
            </w:pPr>
            <w:r w:rsidRPr="00BE78CA">
              <w:rPr>
                <w:rFonts w:cs="Calibri"/>
              </w:rPr>
              <w:t>0.121</w:t>
            </w:r>
          </w:p>
        </w:tc>
        <w:tc>
          <w:tcPr>
            <w:tcW w:w="3337" w:type="dxa"/>
          </w:tcPr>
          <w:p w14:paraId="05AF0ADA" w14:textId="77777777" w:rsidR="00F02481" w:rsidRPr="00BE78CA" w:rsidRDefault="00F02481" w:rsidP="007F51E2">
            <w:pPr>
              <w:pStyle w:val="TableText"/>
              <w:spacing w:before="40" w:after="40"/>
              <w:rPr>
                <w:rFonts w:cs="Calibri"/>
              </w:rPr>
            </w:pPr>
            <w:r w:rsidRPr="00BE78CA">
              <w:rPr>
                <w:rFonts w:cs="Calibri"/>
              </w:rPr>
              <w:t>46/14</w:t>
            </w:r>
          </w:p>
        </w:tc>
      </w:tr>
    </w:tbl>
    <w:p w14:paraId="5F88BF95" w14:textId="77777777" w:rsidR="00F02481" w:rsidRPr="00BE78CA" w:rsidRDefault="00F02481" w:rsidP="00C26084">
      <w:pPr>
        <w:pStyle w:val="BodyText"/>
        <w:keepNext/>
        <w:spacing w:before="360"/>
        <w:rPr>
          <w:rFonts w:cs="Calibri"/>
        </w:rPr>
      </w:pPr>
      <w:r w:rsidRPr="00BE78CA">
        <w:rPr>
          <w:rFonts w:cs="Calibri"/>
        </w:rPr>
        <w:t>The total emissions (CH</w:t>
      </w:r>
      <w:r w:rsidRPr="00BE78CA">
        <w:rPr>
          <w:rFonts w:cs="Calibri"/>
          <w:vertAlign w:val="subscript"/>
        </w:rPr>
        <w:t>4</w:t>
      </w:r>
      <w:r w:rsidRPr="00BE78CA">
        <w:rPr>
          <w:rFonts w:cs="Calibri"/>
        </w:rPr>
        <w:t>, CO, N</w:t>
      </w:r>
      <w:r w:rsidRPr="00BE78CA">
        <w:rPr>
          <w:rFonts w:cs="Calibri"/>
          <w:vertAlign w:val="subscript"/>
        </w:rPr>
        <w:t>2</w:t>
      </w:r>
      <w:r w:rsidRPr="00BE78CA">
        <w:rPr>
          <w:rFonts w:cs="Calibri"/>
        </w:rPr>
        <w:t>O and NO</w:t>
      </w:r>
      <w:r w:rsidRPr="00BE78CA">
        <w:rPr>
          <w:rFonts w:cs="Calibri"/>
          <w:vertAlign w:val="subscript"/>
        </w:rPr>
        <w:t>x</w:t>
      </w:r>
      <w:r w:rsidRPr="00BE78CA">
        <w:rPr>
          <w:rFonts w:cs="Calibri"/>
        </w:rPr>
        <w:t>) are calculated:</w:t>
      </w:r>
    </w:p>
    <w:bookmarkStart w:id="1064" w:name="_MON_1552216075"/>
    <w:bookmarkEnd w:id="1064"/>
    <w:p w14:paraId="1C2AA726" w14:textId="77777777" w:rsidR="00F02481" w:rsidRPr="00BE78CA" w:rsidRDefault="00F02481" w:rsidP="00BD215B">
      <w:pPr>
        <w:pStyle w:val="BodyText"/>
        <w:keepNext/>
        <w:spacing w:before="60" w:after="0"/>
      </w:pPr>
      <w:r w:rsidRPr="00BE78CA">
        <w:object w:dxaOrig="6491" w:dyaOrig="397" w14:anchorId="716E069C">
          <v:shape id="_x0000_i1071" type="#_x0000_t75" style="width:323.3pt;height:21.05pt" o:ole="">
            <v:imagedata r:id="rId176" o:title=""/>
            <o:lock v:ext="edit" aspectratio="f"/>
          </v:shape>
          <o:OLEObject Type="Embed" ProgID="Word.Document.12" ShapeID="_x0000_i1071" DrawAspect="Content" ObjectID="_1679402788" r:id="rId177">
            <o:FieldCodes>\s</o:FieldCodes>
          </o:OLEObject>
        </w:object>
      </w:r>
    </w:p>
    <w:p w14:paraId="2B5B257D" w14:textId="77777777" w:rsidR="00F02481" w:rsidRPr="00BE78CA" w:rsidRDefault="00F02481" w:rsidP="007F51E2">
      <w:pPr>
        <w:pStyle w:val="BodyText"/>
        <w:spacing w:after="20"/>
        <w:ind w:left="964" w:hanging="964"/>
      </w:pPr>
      <w:r w:rsidRPr="00BE78CA">
        <w:t>Where:</w:t>
      </w:r>
      <w:r w:rsidRPr="00BE78CA">
        <w:tab/>
        <w:t>AG</w:t>
      </w:r>
      <w:r w:rsidRPr="00BE78CA">
        <w:rPr>
          <w:vertAlign w:val="subscript"/>
        </w:rPr>
        <w:t>BURN</w:t>
      </w:r>
      <w:r w:rsidRPr="00BE78CA">
        <w:t xml:space="preserve"> is the above-ground biomass burned (kt)</w:t>
      </w:r>
    </w:p>
    <w:p w14:paraId="62B9E73A" w14:textId="77777777" w:rsidR="00F02481" w:rsidRPr="00BE78CA" w:rsidRDefault="00F02481" w:rsidP="007F51E2">
      <w:pPr>
        <w:pStyle w:val="BodyText"/>
        <w:spacing w:before="60" w:after="20"/>
        <w:ind w:left="964"/>
      </w:pPr>
      <w:r w:rsidRPr="00BE78CA">
        <w:t>Frac</w:t>
      </w:r>
      <w:r w:rsidRPr="00BE78CA">
        <w:rPr>
          <w:vertAlign w:val="subscript"/>
        </w:rPr>
        <w:t>OX</w:t>
      </w:r>
      <w:r w:rsidRPr="00BE78CA">
        <w:t xml:space="preserve"> is the fraction oxidised (see table 5.7.2) </w:t>
      </w:r>
    </w:p>
    <w:p w14:paraId="10E88C77" w14:textId="77777777" w:rsidR="00F02481" w:rsidRPr="00BE78CA" w:rsidRDefault="00F02481" w:rsidP="007F51E2">
      <w:pPr>
        <w:pStyle w:val="BodyText"/>
        <w:spacing w:before="60" w:after="20"/>
        <w:ind w:left="964"/>
      </w:pPr>
      <w:r w:rsidRPr="00BE78CA">
        <w:t xml:space="preserve">ER is the gas-specific emission ratio, and </w:t>
      </w:r>
    </w:p>
    <w:p w14:paraId="44617664" w14:textId="77777777" w:rsidR="00F02481" w:rsidRPr="00BE78CA" w:rsidRDefault="00F02481" w:rsidP="00C26084">
      <w:pPr>
        <w:pStyle w:val="BodyText"/>
        <w:spacing w:before="60"/>
        <w:ind w:left="964"/>
      </w:pPr>
      <w:r w:rsidRPr="00BE78CA">
        <w:t xml:space="preserve">GCR is the gas-conversion ratio (see table 5.7.1). </w:t>
      </w:r>
    </w:p>
    <w:p w14:paraId="6A07A6E7" w14:textId="73D72BCC" w:rsidR="00F02481" w:rsidRPr="00BE78CA" w:rsidRDefault="00F02481" w:rsidP="00C26084">
      <w:pPr>
        <w:pStyle w:val="BodyText"/>
        <w:spacing w:after="60"/>
        <w:rPr>
          <w:rFonts w:cs="Calibri"/>
        </w:rPr>
      </w:pPr>
      <w:r w:rsidRPr="00BE78CA">
        <w:rPr>
          <w:rFonts w:cs="Calibri"/>
        </w:rPr>
        <w:t>The calculation for AG</w:t>
      </w:r>
      <w:r w:rsidRPr="00BE78CA">
        <w:rPr>
          <w:rFonts w:cs="Calibri"/>
          <w:vertAlign w:val="subscript"/>
        </w:rPr>
        <w:t xml:space="preserve">BURN </w:t>
      </w:r>
      <w:r w:rsidRPr="00BE78CA">
        <w:rPr>
          <w:rFonts w:cs="Calibri"/>
        </w:rPr>
        <w:t>is different for 1990 to 2004 and 2005 to 2019, to account for changes in the availability of activity data over these periods. Stats NZ did not collect data on crop residue burning prior to 2005. Therefore, from 1990 to 2004, calculation of the amount of</w:t>
      </w:r>
      <w:r w:rsidR="00D15A34" w:rsidRPr="00BE78CA">
        <w:rPr>
          <w:rFonts w:cs="Calibri"/>
        </w:rPr>
        <w:t> </w:t>
      </w:r>
      <w:r w:rsidRPr="00BE78CA">
        <w:rPr>
          <w:rFonts w:cs="Calibri"/>
        </w:rPr>
        <w:t>biomass residue burned (AG</w:t>
      </w:r>
      <w:r w:rsidRPr="00BE78CA">
        <w:rPr>
          <w:rFonts w:cs="Calibri"/>
          <w:vertAlign w:val="subscript"/>
        </w:rPr>
        <w:t>BURN</w:t>
      </w:r>
      <w:r w:rsidRPr="00BE78CA">
        <w:rPr>
          <w:rFonts w:cs="Calibri"/>
        </w:rPr>
        <w:t>) was based on the total mass of crop production (from the Stats NZ Agricultural Production census and survey) and assumed fractions burned for each crop, where:</w:t>
      </w:r>
    </w:p>
    <w:p w14:paraId="429ADE2F" w14:textId="77777777" w:rsidR="00F02481" w:rsidRPr="00BE78CA" w:rsidRDefault="00F02481" w:rsidP="00C26084">
      <w:pPr>
        <w:pStyle w:val="BodyText"/>
        <w:spacing w:before="60" w:after="60"/>
        <w:jc w:val="center"/>
        <w:rPr>
          <w:rFonts w:cs="Calibri"/>
        </w:rPr>
      </w:pPr>
      <w:r w:rsidRPr="00BE78CA">
        <w:rPr>
          <w:rFonts w:cs="Calibri"/>
        </w:rPr>
        <w:object w:dxaOrig="6971" w:dyaOrig="441" w14:anchorId="25008D87">
          <v:shape id="_x0000_i1072" type="#_x0000_t75" style="width:345.75pt;height:21.75pt" o:ole="">
            <v:imagedata r:id="rId178" o:title="" cropleft="3144f" cropright="5109f"/>
          </v:shape>
          <o:OLEObject Type="Embed" ProgID="Word.Document.12" ShapeID="_x0000_i1072" DrawAspect="Content" ObjectID="_1679402789" r:id="rId179">
            <o:FieldCodes>\s</o:FieldCodes>
          </o:OLEObject>
        </w:object>
      </w:r>
    </w:p>
    <w:p w14:paraId="4A4A8AFD" w14:textId="77777777" w:rsidR="00F02481" w:rsidRPr="00BE78CA" w:rsidRDefault="00F02481" w:rsidP="007F51E2">
      <w:pPr>
        <w:pStyle w:val="BodyText"/>
        <w:spacing w:after="20"/>
        <w:ind w:left="964" w:hanging="964"/>
        <w:rPr>
          <w:rFonts w:cs="Calibri"/>
        </w:rPr>
      </w:pPr>
      <w:r w:rsidRPr="00BE78CA">
        <w:rPr>
          <w:rFonts w:cs="Calibri"/>
        </w:rPr>
        <w:t>Where:</w:t>
      </w:r>
      <w:r w:rsidRPr="00BE78CA">
        <w:rPr>
          <w:rFonts w:cs="Calibri"/>
        </w:rPr>
        <w:tab/>
        <w:t>AG</w:t>
      </w:r>
      <w:r w:rsidRPr="00BE78CA">
        <w:rPr>
          <w:rFonts w:cs="Calibri"/>
          <w:vertAlign w:val="subscript"/>
        </w:rPr>
        <w:t>DM</w:t>
      </w:r>
      <w:r w:rsidRPr="00BE78CA">
        <w:rPr>
          <w:rFonts w:cs="Calibri"/>
        </w:rPr>
        <w:t xml:space="preserve"> is the above-ground residue (defined below)</w:t>
      </w:r>
    </w:p>
    <w:p w14:paraId="28C2E48D" w14:textId="77777777" w:rsidR="00F02481" w:rsidRPr="00BE78CA" w:rsidRDefault="00F02481" w:rsidP="007F51E2">
      <w:pPr>
        <w:pStyle w:val="BodyText"/>
        <w:spacing w:before="60" w:after="0"/>
        <w:ind w:left="964"/>
      </w:pPr>
      <w:r w:rsidRPr="00BE78CA">
        <w:rPr>
          <w:rFonts w:cs="Calibri"/>
        </w:rPr>
        <w:t>Frac</w:t>
      </w:r>
      <w:r w:rsidRPr="00BE78CA">
        <w:rPr>
          <w:rFonts w:cs="Calibri"/>
          <w:vertAlign w:val="subscript"/>
        </w:rPr>
        <w:t xml:space="preserve">AREA–BURN </w:t>
      </w:r>
      <w:r w:rsidRPr="00BE78CA">
        <w:rPr>
          <w:rFonts w:cs="Calibri"/>
        </w:rPr>
        <w:t>is the proportion of crop area burned of the total production area (discussed further below)</w:t>
      </w:r>
    </w:p>
    <w:p w14:paraId="57C6CA7D" w14:textId="77777777" w:rsidR="00F02481" w:rsidRPr="00BE78CA" w:rsidRDefault="00F02481" w:rsidP="007F51E2">
      <w:pPr>
        <w:pStyle w:val="BodyText"/>
        <w:spacing w:before="60" w:after="0"/>
        <w:ind w:left="964"/>
        <w:rPr>
          <w:rFonts w:cs="Calibri"/>
        </w:rPr>
      </w:pPr>
      <w:r w:rsidRPr="00BE78CA">
        <w:rPr>
          <w:rFonts w:cs="Calibri"/>
        </w:rPr>
        <w:t>Frac</w:t>
      </w:r>
      <w:r w:rsidRPr="00BE78CA">
        <w:rPr>
          <w:rFonts w:cs="Calibri"/>
          <w:vertAlign w:val="subscript"/>
        </w:rPr>
        <w:t>RESIDUE</w:t>
      </w:r>
      <w:r w:rsidRPr="00BE78CA">
        <w:rPr>
          <w:rFonts w:cs="Calibri"/>
        </w:rPr>
        <w:t xml:space="preserve"> is the proportion of residue remaining after harvest (see table 5.7.2), and</w:t>
      </w:r>
    </w:p>
    <w:p w14:paraId="00531261" w14:textId="77777777" w:rsidR="00F02481" w:rsidRPr="00BE78CA" w:rsidRDefault="00F02481" w:rsidP="00C26084">
      <w:pPr>
        <w:pStyle w:val="BodyText"/>
        <w:spacing w:before="60"/>
        <w:ind w:left="964"/>
        <w:rPr>
          <w:rFonts w:cs="Calibri"/>
        </w:rPr>
      </w:pPr>
      <w:r w:rsidRPr="00BE78CA">
        <w:rPr>
          <w:rFonts w:cs="Calibri"/>
        </w:rPr>
        <w:t>Frac</w:t>
      </w:r>
      <w:r w:rsidRPr="00BE78CA">
        <w:rPr>
          <w:rFonts w:cs="Calibri"/>
          <w:vertAlign w:val="subscript"/>
        </w:rPr>
        <w:t>BURN</w:t>
      </w:r>
      <w:r w:rsidRPr="00BE78CA">
        <w:rPr>
          <w:rFonts w:cs="Calibri"/>
        </w:rPr>
        <w:t xml:space="preserve"> is the proportion of remaining residue burned (see table 5.7.2).</w:t>
      </w:r>
    </w:p>
    <w:p w14:paraId="0DF4B51C" w14:textId="77777777" w:rsidR="00F02481" w:rsidRPr="00BE78CA" w:rsidRDefault="00F02481" w:rsidP="00C26084">
      <w:pPr>
        <w:pStyle w:val="BodyText"/>
        <w:spacing w:after="60"/>
      </w:pPr>
      <w:r w:rsidRPr="00BE78CA">
        <w:t>The above-ground residue, AG</w:t>
      </w:r>
      <w:r w:rsidRPr="00BE78CA">
        <w:rPr>
          <w:vertAlign w:val="subscript"/>
        </w:rPr>
        <w:t>DM</w:t>
      </w:r>
      <w:r w:rsidRPr="00BE78CA">
        <w:t xml:space="preserve"> (tonnes), is:</w:t>
      </w:r>
    </w:p>
    <w:p w14:paraId="7FD4AA8B" w14:textId="77777777" w:rsidR="00F02481" w:rsidRPr="00BE78CA" w:rsidRDefault="00F02481" w:rsidP="007F51E2">
      <w:pPr>
        <w:pStyle w:val="BodyText"/>
        <w:spacing w:before="80" w:after="60"/>
        <w:rPr>
          <w:rFonts w:cs="Calibri"/>
        </w:rPr>
      </w:pPr>
      <w:r w:rsidRPr="00BE78CA">
        <w:rPr>
          <w:rFonts w:cs="Calibri"/>
        </w:rPr>
        <w:object w:dxaOrig="7916" w:dyaOrig="499" w14:anchorId="21423B74">
          <v:shape id="_x0000_i1073" type="#_x0000_t75" style="width:396pt;height:21.75pt" o:ole="">
            <v:imagedata r:id="rId180" o:title=""/>
          </v:shape>
          <o:OLEObject Type="Embed" ProgID="Word.Document.12" ShapeID="_x0000_i1073" DrawAspect="Content" ObjectID="_1679402790" r:id="rId181">
            <o:FieldCodes>\s</o:FieldCodes>
          </o:OLEObject>
        </w:object>
      </w:r>
    </w:p>
    <w:p w14:paraId="1C9F879F" w14:textId="77777777" w:rsidR="00F02481" w:rsidRPr="00BE78CA" w:rsidRDefault="00F02481" w:rsidP="00C26084">
      <w:pPr>
        <w:pStyle w:val="BodyText"/>
        <w:spacing w:after="60"/>
        <w:ind w:left="964" w:hanging="964"/>
        <w:rPr>
          <w:rFonts w:cs="Calibri"/>
        </w:rPr>
      </w:pPr>
      <w:r w:rsidRPr="00BE78CA">
        <w:rPr>
          <w:rFonts w:cs="Calibri"/>
        </w:rPr>
        <w:t>Where:</w:t>
      </w:r>
      <w:r w:rsidRPr="00BE78CA">
        <w:rPr>
          <w:rFonts w:cs="Calibri"/>
        </w:rPr>
        <w:tab/>
        <w:t>HI is the harvest index (crop-specific, table 5.7.2), that is, the mass harvested over the total mass of above-ground biomass.</w:t>
      </w:r>
    </w:p>
    <w:p w14:paraId="2F22A4D2" w14:textId="77777777" w:rsidR="00F02481" w:rsidRPr="00BE78CA" w:rsidRDefault="00F02481" w:rsidP="00C26084">
      <w:pPr>
        <w:pStyle w:val="BodyText"/>
        <w:keepNext/>
        <w:spacing w:after="60"/>
        <w:rPr>
          <w:rFonts w:cs="Calibri"/>
        </w:rPr>
      </w:pPr>
      <w:r w:rsidRPr="00BE78CA">
        <w:rPr>
          <w:rFonts w:cs="Calibri"/>
        </w:rPr>
        <w:t>The dry matter, Prod</w:t>
      </w:r>
      <w:r w:rsidRPr="00BE78CA">
        <w:rPr>
          <w:rFonts w:cs="Calibri"/>
          <w:vertAlign w:val="subscript"/>
        </w:rPr>
        <w:t>DM</w:t>
      </w:r>
      <w:r w:rsidRPr="00BE78CA">
        <w:rPr>
          <w:rFonts w:cs="Calibri"/>
        </w:rPr>
        <w:t xml:space="preserve"> (tonnes), available to be burned is:</w:t>
      </w:r>
    </w:p>
    <w:p w14:paraId="5F19DFC2" w14:textId="77777777" w:rsidR="00F02481" w:rsidRPr="00BE78CA" w:rsidRDefault="00F02481" w:rsidP="007F51E2">
      <w:pPr>
        <w:pStyle w:val="BodyText"/>
        <w:spacing w:before="80" w:after="60"/>
        <w:rPr>
          <w:rFonts w:cs="Calibri"/>
        </w:rPr>
      </w:pPr>
      <w:r w:rsidRPr="00BE78CA">
        <w:rPr>
          <w:rFonts w:cs="Calibri"/>
        </w:rPr>
        <w:object w:dxaOrig="7181" w:dyaOrig="354" w14:anchorId="04EF8897">
          <v:shape id="_x0000_i1074" type="#_x0000_t75" style="width:5in;height:14.25pt" o:ole="">
            <v:imagedata r:id="rId182" o:title=""/>
          </v:shape>
          <o:OLEObject Type="Embed" ProgID="Word.Document.12" ShapeID="_x0000_i1074" DrawAspect="Content" ObjectID="_1679402791" r:id="rId183">
            <o:FieldCodes>\s</o:FieldCodes>
          </o:OLEObject>
        </w:object>
      </w:r>
    </w:p>
    <w:p w14:paraId="7EA9FCA6" w14:textId="77777777" w:rsidR="00F02481" w:rsidRPr="00BE78CA" w:rsidRDefault="00F02481" w:rsidP="007F51E2">
      <w:pPr>
        <w:pStyle w:val="BodyText"/>
        <w:spacing w:before="60" w:after="40"/>
        <w:ind w:left="964" w:hanging="964"/>
        <w:rPr>
          <w:rFonts w:cs="Calibri"/>
        </w:rPr>
      </w:pPr>
      <w:r w:rsidRPr="00BE78CA">
        <w:rPr>
          <w:rFonts w:cs="Calibri"/>
        </w:rPr>
        <w:t>Where:</w:t>
      </w:r>
      <w:r w:rsidRPr="00BE78CA">
        <w:rPr>
          <w:rFonts w:cs="Calibri"/>
        </w:rPr>
        <w:tab/>
        <w:t>Crop</w:t>
      </w:r>
      <w:r w:rsidRPr="00BE78CA">
        <w:rPr>
          <w:rFonts w:cs="Calibri"/>
          <w:vertAlign w:val="subscript"/>
        </w:rPr>
        <w:t>PROD</w:t>
      </w:r>
      <w:r w:rsidRPr="00BE78CA">
        <w:rPr>
          <w:rFonts w:cs="Calibri"/>
        </w:rPr>
        <w:t xml:space="preserve"> is the annual crop production (tonnes) (Stats NZ Agricultural Production census and survey), and</w:t>
      </w:r>
    </w:p>
    <w:p w14:paraId="5A4E7114" w14:textId="77777777" w:rsidR="00F02481" w:rsidRPr="00BE78CA" w:rsidRDefault="00F02481" w:rsidP="007F51E2">
      <w:pPr>
        <w:pStyle w:val="BodyText"/>
        <w:spacing w:before="0"/>
        <w:ind w:left="964"/>
        <w:rPr>
          <w:rFonts w:cs="Calibri"/>
        </w:rPr>
      </w:pPr>
      <w:r w:rsidRPr="00BE78CA">
        <w:rPr>
          <w:rFonts w:cs="Calibri"/>
        </w:rPr>
        <w:t>Frac</w:t>
      </w:r>
      <w:r w:rsidRPr="00BE78CA">
        <w:rPr>
          <w:rFonts w:cs="Calibri"/>
          <w:vertAlign w:val="subscript"/>
        </w:rPr>
        <w:t>DM</w:t>
      </w:r>
      <w:r w:rsidRPr="00BE78CA">
        <w:rPr>
          <w:rFonts w:cs="Calibri"/>
        </w:rPr>
        <w:t xml:space="preserve"> is the fraction of crop that is dry matter (crop specific, table 5.7.2).</w:t>
      </w:r>
    </w:p>
    <w:p w14:paraId="0E54E103" w14:textId="77777777" w:rsidR="00F02481" w:rsidRPr="00BE78CA" w:rsidRDefault="00F02481" w:rsidP="00C26084">
      <w:pPr>
        <w:pStyle w:val="Table"/>
        <w:rPr>
          <w:rFonts w:cs="Calibri"/>
        </w:rPr>
      </w:pPr>
      <w:bookmarkStart w:id="1065" w:name="_Toc352504980"/>
      <w:bookmarkStart w:id="1066" w:name="_Toc441830891"/>
      <w:bookmarkStart w:id="1067" w:name="_Toc451176105"/>
      <w:bookmarkStart w:id="1068" w:name="_Toc481751535"/>
      <w:bookmarkStart w:id="1069" w:name="_Toc507158621"/>
      <w:bookmarkStart w:id="1070" w:name="_Toc511116755"/>
      <w:bookmarkStart w:id="1071" w:name="_Toc5269497"/>
      <w:bookmarkStart w:id="1072" w:name="_Toc32570944"/>
      <w:bookmarkStart w:id="1073" w:name="_Toc36224579"/>
      <w:bookmarkStart w:id="1074" w:name="_Toc68786464"/>
      <w:r w:rsidRPr="00BE78CA">
        <w:rPr>
          <w:rFonts w:cs="Calibri"/>
        </w:rPr>
        <w:lastRenderedPageBreak/>
        <w:t xml:space="preserve">Table 5.7.2 </w:t>
      </w:r>
      <w:r w:rsidRPr="00BE78CA">
        <w:rPr>
          <w:rFonts w:cs="Calibri"/>
        </w:rPr>
        <w:tab/>
        <w:t>Values used to calculate New Zealand emissions from burning of agricultural residues</w:t>
      </w:r>
      <w:bookmarkEnd w:id="1065"/>
      <w:bookmarkEnd w:id="1066"/>
      <w:bookmarkEnd w:id="1067"/>
      <w:bookmarkEnd w:id="1068"/>
      <w:bookmarkEnd w:id="1069"/>
      <w:bookmarkEnd w:id="1070"/>
      <w:bookmarkEnd w:id="1071"/>
      <w:bookmarkEnd w:id="1072"/>
      <w:bookmarkEnd w:id="1073"/>
      <w:bookmarkEnd w:id="1074"/>
    </w:p>
    <w:tbl>
      <w:tblPr>
        <w:tblW w:w="8505" w:type="dxa"/>
        <w:tblBorders>
          <w:top w:val="single" w:sz="4" w:space="0" w:color="365F91"/>
          <w:bottom w:val="single" w:sz="4" w:space="0" w:color="365F91"/>
          <w:insideH w:val="single" w:sz="4" w:space="0" w:color="365F91"/>
        </w:tblBorders>
        <w:tblLook w:val="0000" w:firstRow="0" w:lastRow="0" w:firstColumn="0" w:lastColumn="0" w:noHBand="0" w:noVBand="0"/>
      </w:tblPr>
      <w:tblGrid>
        <w:gridCol w:w="4695"/>
        <w:gridCol w:w="1270"/>
        <w:gridCol w:w="1270"/>
        <w:gridCol w:w="1270"/>
      </w:tblGrid>
      <w:tr w:rsidR="00BD215B" w:rsidRPr="00BE78CA" w14:paraId="01210A71" w14:textId="77777777" w:rsidTr="00BD215B">
        <w:trPr>
          <w:tblHeader/>
        </w:trPr>
        <w:tc>
          <w:tcPr>
            <w:tcW w:w="4480" w:type="dxa"/>
            <w:shd w:val="clear" w:color="auto" w:fill="365F91"/>
            <w:noWrap/>
            <w:vAlign w:val="bottom"/>
          </w:tcPr>
          <w:p w14:paraId="6948F446" w14:textId="77777777" w:rsidR="00F02481" w:rsidRPr="00BE78CA" w:rsidRDefault="00F02481" w:rsidP="00D15A34">
            <w:pPr>
              <w:pStyle w:val="TableTextBold"/>
              <w:keepNext/>
              <w:spacing w:before="50" w:after="50"/>
              <w:rPr>
                <w:noProof w:val="0"/>
                <w:color w:val="FFFFFF" w:themeColor="background1"/>
                <w:szCs w:val="16"/>
              </w:rPr>
            </w:pPr>
          </w:p>
        </w:tc>
        <w:tc>
          <w:tcPr>
            <w:tcW w:w="1211" w:type="dxa"/>
            <w:shd w:val="clear" w:color="auto" w:fill="365F91"/>
            <w:noWrap/>
            <w:vAlign w:val="bottom"/>
          </w:tcPr>
          <w:p w14:paraId="2ED00682" w14:textId="77777777" w:rsidR="00F02481" w:rsidRPr="00BE78CA" w:rsidRDefault="00F02481" w:rsidP="00D15A34">
            <w:pPr>
              <w:pStyle w:val="TableTextBold"/>
              <w:keepNext/>
              <w:spacing w:before="50" w:after="50"/>
              <w:rPr>
                <w:noProof w:val="0"/>
                <w:color w:val="FFFFFF" w:themeColor="background1"/>
                <w:szCs w:val="16"/>
              </w:rPr>
            </w:pPr>
            <w:r w:rsidRPr="00BE78CA">
              <w:rPr>
                <w:noProof w:val="0"/>
                <w:color w:val="FFFFFF" w:themeColor="background1"/>
                <w:szCs w:val="16"/>
              </w:rPr>
              <w:t>Barley</w:t>
            </w:r>
          </w:p>
        </w:tc>
        <w:tc>
          <w:tcPr>
            <w:tcW w:w="1211" w:type="dxa"/>
            <w:shd w:val="clear" w:color="auto" w:fill="365F91"/>
            <w:noWrap/>
            <w:vAlign w:val="bottom"/>
          </w:tcPr>
          <w:p w14:paraId="7D968456" w14:textId="77777777" w:rsidR="00F02481" w:rsidRPr="00BE78CA" w:rsidRDefault="00F02481" w:rsidP="00D15A34">
            <w:pPr>
              <w:pStyle w:val="TableTextBold"/>
              <w:keepNext/>
              <w:spacing w:before="50" w:after="50"/>
              <w:rPr>
                <w:noProof w:val="0"/>
                <w:color w:val="FFFFFF" w:themeColor="background1"/>
                <w:szCs w:val="16"/>
              </w:rPr>
            </w:pPr>
            <w:r w:rsidRPr="00BE78CA">
              <w:rPr>
                <w:noProof w:val="0"/>
                <w:color w:val="FFFFFF" w:themeColor="background1"/>
                <w:szCs w:val="16"/>
              </w:rPr>
              <w:t>Wheat</w:t>
            </w:r>
          </w:p>
        </w:tc>
        <w:tc>
          <w:tcPr>
            <w:tcW w:w="1211" w:type="dxa"/>
            <w:shd w:val="clear" w:color="auto" w:fill="365F91"/>
            <w:noWrap/>
            <w:vAlign w:val="bottom"/>
          </w:tcPr>
          <w:p w14:paraId="125FD2A7" w14:textId="77777777" w:rsidR="00F02481" w:rsidRPr="00BE78CA" w:rsidRDefault="00F02481" w:rsidP="00D15A34">
            <w:pPr>
              <w:pStyle w:val="TableTextBold"/>
              <w:keepNext/>
              <w:spacing w:before="50" w:after="50"/>
              <w:rPr>
                <w:noProof w:val="0"/>
                <w:color w:val="FFFFFF" w:themeColor="background1"/>
                <w:szCs w:val="16"/>
              </w:rPr>
            </w:pPr>
            <w:r w:rsidRPr="00BE78CA">
              <w:rPr>
                <w:noProof w:val="0"/>
                <w:color w:val="FFFFFF" w:themeColor="background1"/>
                <w:szCs w:val="16"/>
              </w:rPr>
              <w:t>Oats</w:t>
            </w:r>
          </w:p>
        </w:tc>
      </w:tr>
      <w:tr w:rsidR="00F02481" w:rsidRPr="00BE78CA" w14:paraId="644E0873" w14:textId="77777777" w:rsidTr="00BD215B">
        <w:tc>
          <w:tcPr>
            <w:tcW w:w="4480" w:type="dxa"/>
            <w:noWrap/>
            <w:vAlign w:val="bottom"/>
          </w:tcPr>
          <w:p w14:paraId="6B9A463F" w14:textId="77777777" w:rsidR="00F02481" w:rsidRPr="00BE78CA" w:rsidRDefault="00F02481" w:rsidP="00D15A34">
            <w:pPr>
              <w:pStyle w:val="TableText"/>
              <w:spacing w:before="50" w:after="50"/>
              <w:rPr>
                <w:rFonts w:cs="Calibri"/>
                <w:szCs w:val="16"/>
              </w:rPr>
            </w:pPr>
            <w:r w:rsidRPr="00BE78CA">
              <w:rPr>
                <w:rFonts w:cs="Calibri"/>
                <w:szCs w:val="16"/>
              </w:rPr>
              <w:t>Fraction oxidised</w:t>
            </w:r>
          </w:p>
        </w:tc>
        <w:tc>
          <w:tcPr>
            <w:tcW w:w="1211" w:type="dxa"/>
            <w:noWrap/>
            <w:vAlign w:val="bottom"/>
          </w:tcPr>
          <w:p w14:paraId="1885DDBF" w14:textId="77777777" w:rsidR="00F02481" w:rsidRPr="00BE78CA" w:rsidRDefault="00F02481" w:rsidP="00D15A34">
            <w:pPr>
              <w:pStyle w:val="TableText"/>
              <w:spacing w:before="50" w:after="50"/>
              <w:rPr>
                <w:rFonts w:cs="Calibri"/>
                <w:szCs w:val="16"/>
              </w:rPr>
            </w:pPr>
            <w:r w:rsidRPr="00BE78CA">
              <w:rPr>
                <w:rFonts w:cs="Calibri"/>
                <w:szCs w:val="16"/>
              </w:rPr>
              <w:t>0.9</w:t>
            </w:r>
          </w:p>
        </w:tc>
        <w:tc>
          <w:tcPr>
            <w:tcW w:w="1211" w:type="dxa"/>
            <w:noWrap/>
            <w:vAlign w:val="bottom"/>
          </w:tcPr>
          <w:p w14:paraId="629894F8" w14:textId="77777777" w:rsidR="00F02481" w:rsidRPr="00BE78CA" w:rsidRDefault="00F02481" w:rsidP="00D15A34">
            <w:pPr>
              <w:pStyle w:val="TableText"/>
              <w:spacing w:before="50" w:after="50"/>
              <w:rPr>
                <w:rFonts w:cs="Calibri"/>
                <w:szCs w:val="16"/>
              </w:rPr>
            </w:pPr>
            <w:r w:rsidRPr="00BE78CA">
              <w:rPr>
                <w:rFonts w:cs="Calibri"/>
                <w:szCs w:val="16"/>
              </w:rPr>
              <w:t>0.9</w:t>
            </w:r>
          </w:p>
        </w:tc>
        <w:tc>
          <w:tcPr>
            <w:tcW w:w="1211" w:type="dxa"/>
            <w:noWrap/>
            <w:vAlign w:val="bottom"/>
          </w:tcPr>
          <w:p w14:paraId="1297CADC" w14:textId="77777777" w:rsidR="00F02481" w:rsidRPr="00BE78CA" w:rsidRDefault="00F02481" w:rsidP="00D15A34">
            <w:pPr>
              <w:pStyle w:val="TableText"/>
              <w:spacing w:before="50" w:after="50"/>
              <w:rPr>
                <w:rFonts w:cs="Calibri"/>
                <w:szCs w:val="16"/>
              </w:rPr>
            </w:pPr>
            <w:r w:rsidRPr="00BE78CA">
              <w:rPr>
                <w:rFonts w:cs="Calibri"/>
                <w:szCs w:val="16"/>
              </w:rPr>
              <w:t>0.9</w:t>
            </w:r>
          </w:p>
        </w:tc>
      </w:tr>
      <w:tr w:rsidR="00F02481" w:rsidRPr="00BE78CA" w14:paraId="626C049C" w14:textId="77777777" w:rsidTr="00BD215B">
        <w:tc>
          <w:tcPr>
            <w:tcW w:w="4480" w:type="dxa"/>
            <w:noWrap/>
            <w:vAlign w:val="bottom"/>
          </w:tcPr>
          <w:p w14:paraId="20A71C44" w14:textId="77777777" w:rsidR="00F02481" w:rsidRPr="00BE78CA" w:rsidRDefault="00F02481" w:rsidP="00D15A34">
            <w:pPr>
              <w:pStyle w:val="TableText"/>
              <w:spacing w:before="50" w:after="50"/>
              <w:rPr>
                <w:rFonts w:cs="Calibri"/>
                <w:szCs w:val="16"/>
              </w:rPr>
            </w:pPr>
            <w:r w:rsidRPr="00BE78CA">
              <w:rPr>
                <w:rFonts w:cs="Calibri"/>
                <w:szCs w:val="16"/>
              </w:rPr>
              <w:t>Residue remaining in field</w:t>
            </w:r>
          </w:p>
        </w:tc>
        <w:tc>
          <w:tcPr>
            <w:tcW w:w="1211" w:type="dxa"/>
            <w:noWrap/>
            <w:vAlign w:val="bottom"/>
          </w:tcPr>
          <w:p w14:paraId="45F4132D" w14:textId="77777777" w:rsidR="00F02481" w:rsidRPr="00BE78CA" w:rsidRDefault="00F02481" w:rsidP="00D15A34">
            <w:pPr>
              <w:pStyle w:val="TableText"/>
              <w:spacing w:before="50" w:after="50"/>
              <w:rPr>
                <w:rFonts w:cs="Calibri"/>
                <w:szCs w:val="16"/>
              </w:rPr>
            </w:pPr>
            <w:r w:rsidRPr="00BE78CA">
              <w:rPr>
                <w:rFonts w:cs="Calibri"/>
                <w:szCs w:val="16"/>
              </w:rPr>
              <w:t>1</w:t>
            </w:r>
          </w:p>
        </w:tc>
        <w:tc>
          <w:tcPr>
            <w:tcW w:w="1211" w:type="dxa"/>
            <w:noWrap/>
            <w:vAlign w:val="bottom"/>
          </w:tcPr>
          <w:p w14:paraId="3F908136" w14:textId="77777777" w:rsidR="00F02481" w:rsidRPr="00BE78CA" w:rsidRDefault="00F02481" w:rsidP="00D15A34">
            <w:pPr>
              <w:pStyle w:val="TableText"/>
              <w:spacing w:before="50" w:after="50"/>
              <w:rPr>
                <w:rFonts w:cs="Calibri"/>
                <w:szCs w:val="16"/>
              </w:rPr>
            </w:pPr>
            <w:r w:rsidRPr="00BE78CA">
              <w:rPr>
                <w:rFonts w:cs="Calibri"/>
                <w:szCs w:val="16"/>
              </w:rPr>
              <w:t>1</w:t>
            </w:r>
          </w:p>
        </w:tc>
        <w:tc>
          <w:tcPr>
            <w:tcW w:w="1211" w:type="dxa"/>
            <w:noWrap/>
            <w:vAlign w:val="bottom"/>
          </w:tcPr>
          <w:p w14:paraId="25B9C29F" w14:textId="77777777" w:rsidR="00F02481" w:rsidRPr="00BE78CA" w:rsidRDefault="00F02481" w:rsidP="00D15A34">
            <w:pPr>
              <w:pStyle w:val="TableText"/>
              <w:spacing w:before="50" w:after="50"/>
              <w:rPr>
                <w:rFonts w:cs="Calibri"/>
                <w:szCs w:val="16"/>
              </w:rPr>
            </w:pPr>
            <w:r w:rsidRPr="00BE78CA">
              <w:rPr>
                <w:rFonts w:cs="Calibri"/>
                <w:szCs w:val="16"/>
              </w:rPr>
              <w:t>1</w:t>
            </w:r>
          </w:p>
        </w:tc>
      </w:tr>
      <w:tr w:rsidR="00F02481" w:rsidRPr="00BE78CA" w14:paraId="5AB1A944" w14:textId="77777777" w:rsidTr="00BD215B">
        <w:tc>
          <w:tcPr>
            <w:tcW w:w="4480" w:type="dxa"/>
            <w:noWrap/>
            <w:vAlign w:val="bottom"/>
          </w:tcPr>
          <w:p w14:paraId="64F9AD03" w14:textId="77777777" w:rsidR="00F02481" w:rsidRPr="00BE78CA" w:rsidRDefault="00F02481" w:rsidP="00D15A34">
            <w:pPr>
              <w:pStyle w:val="TableText"/>
              <w:spacing w:before="50" w:after="50"/>
              <w:rPr>
                <w:rFonts w:cs="Calibri"/>
                <w:szCs w:val="16"/>
              </w:rPr>
            </w:pPr>
            <w:r w:rsidRPr="00BE78CA">
              <w:rPr>
                <w:rFonts w:cs="Calibri"/>
                <w:szCs w:val="16"/>
              </w:rPr>
              <w:t>Fraction of residue actually burned</w:t>
            </w:r>
          </w:p>
        </w:tc>
        <w:tc>
          <w:tcPr>
            <w:tcW w:w="1211" w:type="dxa"/>
            <w:noWrap/>
            <w:vAlign w:val="bottom"/>
          </w:tcPr>
          <w:p w14:paraId="596F2BD9" w14:textId="77777777" w:rsidR="00F02481" w:rsidRPr="00BE78CA" w:rsidRDefault="00F02481" w:rsidP="00D15A34">
            <w:pPr>
              <w:pStyle w:val="TableText"/>
              <w:spacing w:before="50" w:after="50"/>
              <w:rPr>
                <w:rFonts w:cs="Calibri"/>
                <w:szCs w:val="16"/>
              </w:rPr>
            </w:pPr>
            <w:r w:rsidRPr="00BE78CA">
              <w:rPr>
                <w:rFonts w:cs="Calibri"/>
                <w:szCs w:val="16"/>
              </w:rPr>
              <w:t>0.7</w:t>
            </w:r>
          </w:p>
        </w:tc>
        <w:tc>
          <w:tcPr>
            <w:tcW w:w="1211" w:type="dxa"/>
            <w:noWrap/>
            <w:vAlign w:val="bottom"/>
          </w:tcPr>
          <w:p w14:paraId="18F202EB" w14:textId="77777777" w:rsidR="00F02481" w:rsidRPr="00BE78CA" w:rsidRDefault="00F02481" w:rsidP="00D15A34">
            <w:pPr>
              <w:pStyle w:val="TableText"/>
              <w:spacing w:before="50" w:after="50"/>
              <w:rPr>
                <w:rFonts w:cs="Calibri"/>
                <w:szCs w:val="16"/>
              </w:rPr>
            </w:pPr>
            <w:r w:rsidRPr="00BE78CA">
              <w:rPr>
                <w:rFonts w:cs="Calibri"/>
                <w:szCs w:val="16"/>
              </w:rPr>
              <w:t>0.7</w:t>
            </w:r>
          </w:p>
        </w:tc>
        <w:tc>
          <w:tcPr>
            <w:tcW w:w="1211" w:type="dxa"/>
            <w:noWrap/>
            <w:vAlign w:val="bottom"/>
          </w:tcPr>
          <w:p w14:paraId="1766B81B" w14:textId="77777777" w:rsidR="00F02481" w:rsidRPr="00BE78CA" w:rsidRDefault="00F02481" w:rsidP="00D15A34">
            <w:pPr>
              <w:pStyle w:val="TableText"/>
              <w:spacing w:before="50" w:after="50"/>
              <w:rPr>
                <w:rFonts w:cs="Calibri"/>
                <w:szCs w:val="16"/>
              </w:rPr>
            </w:pPr>
            <w:r w:rsidRPr="00BE78CA">
              <w:rPr>
                <w:rFonts w:cs="Calibri"/>
                <w:szCs w:val="16"/>
              </w:rPr>
              <w:t>0.7</w:t>
            </w:r>
          </w:p>
        </w:tc>
      </w:tr>
      <w:tr w:rsidR="00F02481" w:rsidRPr="00BE78CA" w14:paraId="69A1C305" w14:textId="77777777" w:rsidTr="00BD215B">
        <w:tc>
          <w:tcPr>
            <w:tcW w:w="4480" w:type="dxa"/>
            <w:noWrap/>
            <w:vAlign w:val="bottom"/>
          </w:tcPr>
          <w:p w14:paraId="6CB77E27" w14:textId="77777777" w:rsidR="00F02481" w:rsidRPr="00BE78CA" w:rsidRDefault="00F02481" w:rsidP="00D15A34">
            <w:pPr>
              <w:pStyle w:val="TableText"/>
              <w:spacing w:before="50" w:after="50"/>
              <w:rPr>
                <w:rFonts w:cs="Calibri"/>
                <w:szCs w:val="16"/>
              </w:rPr>
            </w:pPr>
            <w:r w:rsidRPr="00BE78CA">
              <w:rPr>
                <w:rFonts w:cs="Calibri"/>
                <w:szCs w:val="16"/>
              </w:rPr>
              <w:t>Harvest index</w:t>
            </w:r>
          </w:p>
        </w:tc>
        <w:tc>
          <w:tcPr>
            <w:tcW w:w="1211" w:type="dxa"/>
            <w:noWrap/>
            <w:vAlign w:val="bottom"/>
          </w:tcPr>
          <w:p w14:paraId="566F7FF3" w14:textId="77777777" w:rsidR="00F02481" w:rsidRPr="00BE78CA" w:rsidRDefault="00F02481" w:rsidP="00D15A34">
            <w:pPr>
              <w:pStyle w:val="TableText"/>
              <w:spacing w:before="50" w:after="50"/>
              <w:rPr>
                <w:rFonts w:cs="Calibri"/>
                <w:szCs w:val="16"/>
              </w:rPr>
            </w:pPr>
            <w:r w:rsidRPr="00BE78CA">
              <w:rPr>
                <w:rFonts w:cs="Calibri"/>
                <w:szCs w:val="16"/>
              </w:rPr>
              <w:t>0.46</w:t>
            </w:r>
          </w:p>
        </w:tc>
        <w:tc>
          <w:tcPr>
            <w:tcW w:w="1211" w:type="dxa"/>
            <w:noWrap/>
            <w:vAlign w:val="bottom"/>
          </w:tcPr>
          <w:p w14:paraId="0E8C68C5" w14:textId="77777777" w:rsidR="00F02481" w:rsidRPr="00BE78CA" w:rsidRDefault="00F02481" w:rsidP="00D15A34">
            <w:pPr>
              <w:pStyle w:val="TableText"/>
              <w:spacing w:before="50" w:after="50"/>
              <w:rPr>
                <w:rFonts w:cs="Calibri"/>
                <w:szCs w:val="16"/>
              </w:rPr>
            </w:pPr>
            <w:r w:rsidRPr="00BE78CA">
              <w:rPr>
                <w:rFonts w:cs="Calibri"/>
                <w:szCs w:val="16"/>
              </w:rPr>
              <w:t>0.41</w:t>
            </w:r>
          </w:p>
        </w:tc>
        <w:tc>
          <w:tcPr>
            <w:tcW w:w="1211" w:type="dxa"/>
            <w:noWrap/>
            <w:vAlign w:val="bottom"/>
          </w:tcPr>
          <w:p w14:paraId="3B9BF8BA" w14:textId="77777777" w:rsidR="00F02481" w:rsidRPr="00BE78CA" w:rsidRDefault="00F02481" w:rsidP="00D15A34">
            <w:pPr>
              <w:pStyle w:val="TableText"/>
              <w:spacing w:before="50" w:after="50"/>
              <w:rPr>
                <w:rFonts w:cs="Calibri"/>
                <w:szCs w:val="16"/>
              </w:rPr>
            </w:pPr>
            <w:r w:rsidRPr="00BE78CA">
              <w:rPr>
                <w:rFonts w:cs="Calibri"/>
                <w:szCs w:val="16"/>
              </w:rPr>
              <w:t>0.30</w:t>
            </w:r>
          </w:p>
        </w:tc>
      </w:tr>
      <w:tr w:rsidR="00F02481" w:rsidRPr="00BE78CA" w14:paraId="1DE62B11" w14:textId="77777777" w:rsidTr="00BD215B">
        <w:trPr>
          <w:trHeight w:val="165"/>
        </w:trPr>
        <w:tc>
          <w:tcPr>
            <w:tcW w:w="4480" w:type="dxa"/>
            <w:noWrap/>
            <w:vAlign w:val="bottom"/>
          </w:tcPr>
          <w:p w14:paraId="7DC393A5" w14:textId="77777777" w:rsidR="00F02481" w:rsidRPr="00BE78CA" w:rsidRDefault="00F02481" w:rsidP="00D15A34">
            <w:pPr>
              <w:pStyle w:val="TableText"/>
              <w:spacing w:before="50" w:after="50"/>
              <w:rPr>
                <w:rFonts w:cs="Calibri"/>
                <w:szCs w:val="16"/>
              </w:rPr>
            </w:pPr>
            <w:r w:rsidRPr="00BE78CA">
              <w:rPr>
                <w:rFonts w:cs="Calibri"/>
                <w:szCs w:val="16"/>
              </w:rPr>
              <w:t>Dry-matter fraction</w:t>
            </w:r>
          </w:p>
        </w:tc>
        <w:tc>
          <w:tcPr>
            <w:tcW w:w="1211" w:type="dxa"/>
            <w:noWrap/>
            <w:vAlign w:val="bottom"/>
          </w:tcPr>
          <w:p w14:paraId="5304124F" w14:textId="77777777" w:rsidR="00F02481" w:rsidRPr="00BE78CA" w:rsidRDefault="00F02481" w:rsidP="00D15A34">
            <w:pPr>
              <w:pStyle w:val="TableText"/>
              <w:spacing w:before="50" w:after="50"/>
              <w:rPr>
                <w:rFonts w:cs="Calibri"/>
                <w:szCs w:val="16"/>
              </w:rPr>
            </w:pPr>
            <w:r w:rsidRPr="00BE78CA">
              <w:rPr>
                <w:rFonts w:cs="Calibri"/>
                <w:szCs w:val="16"/>
              </w:rPr>
              <w:t>0.86</w:t>
            </w:r>
          </w:p>
        </w:tc>
        <w:tc>
          <w:tcPr>
            <w:tcW w:w="1211" w:type="dxa"/>
            <w:noWrap/>
            <w:vAlign w:val="bottom"/>
          </w:tcPr>
          <w:p w14:paraId="5E3F33CB" w14:textId="77777777" w:rsidR="00F02481" w:rsidRPr="00BE78CA" w:rsidRDefault="00F02481" w:rsidP="00D15A34">
            <w:pPr>
              <w:pStyle w:val="TableText"/>
              <w:spacing w:before="50" w:after="50"/>
              <w:rPr>
                <w:rFonts w:cs="Calibri"/>
                <w:szCs w:val="16"/>
              </w:rPr>
            </w:pPr>
            <w:r w:rsidRPr="00BE78CA">
              <w:rPr>
                <w:rFonts w:cs="Calibri"/>
                <w:szCs w:val="16"/>
              </w:rPr>
              <w:t>0.86</w:t>
            </w:r>
          </w:p>
        </w:tc>
        <w:tc>
          <w:tcPr>
            <w:tcW w:w="1211" w:type="dxa"/>
            <w:noWrap/>
            <w:vAlign w:val="bottom"/>
          </w:tcPr>
          <w:p w14:paraId="39B2DD72" w14:textId="77777777" w:rsidR="00F02481" w:rsidRPr="00BE78CA" w:rsidRDefault="00F02481" w:rsidP="00D15A34">
            <w:pPr>
              <w:pStyle w:val="TableText"/>
              <w:spacing w:before="50" w:after="50"/>
              <w:rPr>
                <w:rFonts w:cs="Calibri"/>
                <w:szCs w:val="16"/>
              </w:rPr>
            </w:pPr>
            <w:r w:rsidRPr="00BE78CA">
              <w:rPr>
                <w:rFonts w:cs="Calibri"/>
                <w:szCs w:val="16"/>
              </w:rPr>
              <w:t>0.86</w:t>
            </w:r>
          </w:p>
        </w:tc>
      </w:tr>
      <w:tr w:rsidR="00F02481" w:rsidRPr="00BE78CA" w14:paraId="13ADC5BA" w14:textId="77777777" w:rsidTr="00BD215B">
        <w:tc>
          <w:tcPr>
            <w:tcW w:w="4480" w:type="dxa"/>
            <w:noWrap/>
            <w:vAlign w:val="bottom"/>
          </w:tcPr>
          <w:p w14:paraId="220EFE0C" w14:textId="77777777" w:rsidR="00F02481" w:rsidRPr="00BE78CA" w:rsidRDefault="00F02481" w:rsidP="00D15A34">
            <w:pPr>
              <w:pStyle w:val="TableText"/>
              <w:spacing w:before="50" w:after="50"/>
              <w:rPr>
                <w:rFonts w:cs="Calibri"/>
                <w:szCs w:val="16"/>
              </w:rPr>
            </w:pPr>
            <w:r w:rsidRPr="00BE78CA">
              <w:rPr>
                <w:rFonts w:cs="Calibri"/>
                <w:szCs w:val="16"/>
              </w:rPr>
              <w:t>Fraction of nitrogen in biomass</w:t>
            </w:r>
          </w:p>
        </w:tc>
        <w:tc>
          <w:tcPr>
            <w:tcW w:w="1211" w:type="dxa"/>
            <w:noWrap/>
            <w:vAlign w:val="bottom"/>
          </w:tcPr>
          <w:p w14:paraId="3434E827" w14:textId="77777777" w:rsidR="00F02481" w:rsidRPr="00BE78CA" w:rsidRDefault="00F02481" w:rsidP="00D15A34">
            <w:pPr>
              <w:pStyle w:val="TableText"/>
              <w:spacing w:before="50" w:after="50"/>
              <w:rPr>
                <w:rFonts w:cs="Calibri"/>
                <w:szCs w:val="16"/>
              </w:rPr>
            </w:pPr>
            <w:r w:rsidRPr="00BE78CA">
              <w:rPr>
                <w:rFonts w:cs="Calibri"/>
                <w:szCs w:val="16"/>
              </w:rPr>
              <w:t>0.005</w:t>
            </w:r>
          </w:p>
        </w:tc>
        <w:tc>
          <w:tcPr>
            <w:tcW w:w="1211" w:type="dxa"/>
            <w:noWrap/>
            <w:vAlign w:val="bottom"/>
          </w:tcPr>
          <w:p w14:paraId="6CBAF92E" w14:textId="77777777" w:rsidR="00F02481" w:rsidRPr="00BE78CA" w:rsidRDefault="00F02481" w:rsidP="00D15A34">
            <w:pPr>
              <w:pStyle w:val="TableText"/>
              <w:spacing w:before="50" w:after="50"/>
              <w:rPr>
                <w:rFonts w:cs="Calibri"/>
                <w:szCs w:val="16"/>
              </w:rPr>
            </w:pPr>
            <w:r w:rsidRPr="00BE78CA">
              <w:rPr>
                <w:rFonts w:cs="Calibri"/>
                <w:szCs w:val="16"/>
              </w:rPr>
              <w:t>0.005</w:t>
            </w:r>
          </w:p>
        </w:tc>
        <w:tc>
          <w:tcPr>
            <w:tcW w:w="1211" w:type="dxa"/>
            <w:noWrap/>
            <w:vAlign w:val="bottom"/>
          </w:tcPr>
          <w:p w14:paraId="5BF651D2" w14:textId="77777777" w:rsidR="00F02481" w:rsidRPr="00BE78CA" w:rsidRDefault="00F02481" w:rsidP="00D15A34">
            <w:pPr>
              <w:pStyle w:val="TableText"/>
              <w:spacing w:before="50" w:after="50"/>
              <w:rPr>
                <w:rFonts w:cs="Calibri"/>
                <w:szCs w:val="16"/>
              </w:rPr>
            </w:pPr>
            <w:r w:rsidRPr="00BE78CA">
              <w:rPr>
                <w:rFonts w:cs="Calibri"/>
                <w:szCs w:val="16"/>
              </w:rPr>
              <w:t>0.005</w:t>
            </w:r>
          </w:p>
        </w:tc>
      </w:tr>
      <w:tr w:rsidR="00F02481" w:rsidRPr="00BE78CA" w14:paraId="5A272252" w14:textId="77777777" w:rsidTr="00BD215B">
        <w:tc>
          <w:tcPr>
            <w:tcW w:w="4480" w:type="dxa"/>
            <w:noWrap/>
            <w:vAlign w:val="bottom"/>
          </w:tcPr>
          <w:p w14:paraId="0C871B48" w14:textId="77777777" w:rsidR="00F02481" w:rsidRPr="00BE78CA" w:rsidRDefault="00F02481" w:rsidP="00D15A34">
            <w:pPr>
              <w:pStyle w:val="TableText"/>
              <w:spacing w:before="50" w:after="50"/>
              <w:rPr>
                <w:rFonts w:cs="Calibri"/>
                <w:szCs w:val="16"/>
              </w:rPr>
            </w:pPr>
            <w:r w:rsidRPr="00BE78CA">
              <w:rPr>
                <w:rFonts w:cs="Calibri"/>
                <w:szCs w:val="16"/>
              </w:rPr>
              <w:t>Fraction of carbon in biomass</w:t>
            </w:r>
          </w:p>
        </w:tc>
        <w:tc>
          <w:tcPr>
            <w:tcW w:w="1211" w:type="dxa"/>
            <w:noWrap/>
            <w:vAlign w:val="bottom"/>
          </w:tcPr>
          <w:p w14:paraId="362E612A" w14:textId="77777777" w:rsidR="00F02481" w:rsidRPr="00BE78CA" w:rsidRDefault="00F02481" w:rsidP="00D15A34">
            <w:pPr>
              <w:pStyle w:val="TableText"/>
              <w:spacing w:before="50" w:after="50"/>
              <w:rPr>
                <w:rFonts w:cs="Calibri"/>
                <w:szCs w:val="16"/>
              </w:rPr>
            </w:pPr>
            <w:r w:rsidRPr="00BE78CA">
              <w:rPr>
                <w:rFonts w:cs="Calibri"/>
                <w:szCs w:val="16"/>
              </w:rPr>
              <w:t>0.4567</w:t>
            </w:r>
          </w:p>
        </w:tc>
        <w:tc>
          <w:tcPr>
            <w:tcW w:w="1211" w:type="dxa"/>
            <w:noWrap/>
            <w:vAlign w:val="bottom"/>
          </w:tcPr>
          <w:p w14:paraId="2C525117" w14:textId="77777777" w:rsidR="00F02481" w:rsidRPr="00BE78CA" w:rsidRDefault="00F02481" w:rsidP="00D15A34">
            <w:pPr>
              <w:pStyle w:val="TableText"/>
              <w:spacing w:before="50" w:after="50"/>
              <w:rPr>
                <w:rFonts w:cs="Calibri"/>
                <w:szCs w:val="16"/>
              </w:rPr>
            </w:pPr>
            <w:r w:rsidRPr="00BE78CA">
              <w:rPr>
                <w:rFonts w:cs="Calibri"/>
                <w:szCs w:val="16"/>
              </w:rPr>
              <w:t>0.4853</w:t>
            </w:r>
          </w:p>
        </w:tc>
        <w:tc>
          <w:tcPr>
            <w:tcW w:w="1211" w:type="dxa"/>
            <w:noWrap/>
            <w:vAlign w:val="bottom"/>
          </w:tcPr>
          <w:p w14:paraId="6CFDA81C" w14:textId="77777777" w:rsidR="00F02481" w:rsidRPr="00BE78CA" w:rsidRDefault="00F02481" w:rsidP="00D15A34">
            <w:pPr>
              <w:pStyle w:val="TableText"/>
              <w:spacing w:before="50" w:after="50"/>
              <w:rPr>
                <w:rFonts w:cs="Calibri"/>
                <w:szCs w:val="16"/>
              </w:rPr>
            </w:pPr>
            <w:r w:rsidRPr="00BE78CA">
              <w:rPr>
                <w:rFonts w:cs="Calibri"/>
                <w:szCs w:val="16"/>
              </w:rPr>
              <w:t>0.4567</w:t>
            </w:r>
          </w:p>
        </w:tc>
      </w:tr>
    </w:tbl>
    <w:p w14:paraId="2A5C9036" w14:textId="77777777" w:rsidR="00F02481" w:rsidRPr="00BE78CA" w:rsidRDefault="00F02481" w:rsidP="00CA00CF">
      <w:pPr>
        <w:pStyle w:val="Source"/>
        <w:spacing w:after="60"/>
        <w:rPr>
          <w:rFonts w:cs="Calibri"/>
        </w:rPr>
      </w:pPr>
      <w:r w:rsidRPr="00BE78CA">
        <w:rPr>
          <w:rFonts w:cs="Calibri"/>
          <w:b/>
        </w:rPr>
        <w:t>Source:</w:t>
      </w:r>
      <w:r w:rsidRPr="00BE78CA">
        <w:rPr>
          <w:rFonts w:cs="Calibri"/>
          <w:b/>
        </w:rPr>
        <w:tab/>
      </w:r>
      <w:r w:rsidRPr="00BE78CA">
        <w:rPr>
          <w:rFonts w:cs="Calibri"/>
        </w:rPr>
        <w:t xml:space="preserve"> Thomas et al. (2011)</w:t>
      </w:r>
    </w:p>
    <w:p w14:paraId="3C153B16" w14:textId="77777777" w:rsidR="00F02481" w:rsidRPr="00BE78CA" w:rsidRDefault="00F02481" w:rsidP="00CA00CF">
      <w:pPr>
        <w:pStyle w:val="BodyText"/>
        <w:spacing w:after="100"/>
        <w:rPr>
          <w:rFonts w:cs="Calibri"/>
        </w:rPr>
      </w:pPr>
      <w:r w:rsidRPr="00BE78CA">
        <w:rPr>
          <w:rFonts w:cs="Calibri"/>
        </w:rPr>
        <w:t>From 2005 to 2019, calculation of the amount of biomass residue burned was based on information about the area of crop residue burning from the Stats NZ Agricultural Production census and surveys. These are the first New Zealand-wide data for the area of crop residues burned.</w:t>
      </w:r>
    </w:p>
    <w:p w14:paraId="1588A22C" w14:textId="77777777" w:rsidR="00F02481" w:rsidRPr="00BE78CA" w:rsidRDefault="00F02481" w:rsidP="00CA00CF">
      <w:pPr>
        <w:pStyle w:val="BodyText"/>
        <w:keepNext/>
        <w:spacing w:before="100"/>
        <w:rPr>
          <w:rFonts w:cs="Calibri"/>
        </w:rPr>
      </w:pPr>
      <w:r w:rsidRPr="00BE78CA">
        <w:rPr>
          <w:rFonts w:cs="Calibri"/>
        </w:rPr>
        <w:t>Biomass burned after 2004, AG</w:t>
      </w:r>
      <w:r w:rsidRPr="00BE78CA">
        <w:rPr>
          <w:rFonts w:cs="Calibri"/>
          <w:vertAlign w:val="subscript"/>
        </w:rPr>
        <w:t xml:space="preserve">BURN </w:t>
      </w:r>
      <w:r w:rsidRPr="00BE78CA">
        <w:rPr>
          <w:rFonts w:cs="Calibri"/>
        </w:rPr>
        <w:t>(as previously defined), is:</w:t>
      </w:r>
    </w:p>
    <w:p w14:paraId="35C22A08" w14:textId="77777777" w:rsidR="00F02481" w:rsidRPr="00BE78CA" w:rsidRDefault="00F02481" w:rsidP="002A72F7">
      <w:pPr>
        <w:pStyle w:val="BodyText"/>
        <w:spacing w:before="40" w:after="40"/>
        <w:jc w:val="center"/>
        <w:rPr>
          <w:rFonts w:cs="Calibri"/>
        </w:rPr>
      </w:pPr>
      <w:r w:rsidRPr="00BE78CA">
        <w:rPr>
          <w:rFonts w:cs="Calibri"/>
        </w:rPr>
        <w:object w:dxaOrig="5651" w:dyaOrig="302" w14:anchorId="7457CC37">
          <v:shape id="_x0000_i1075" type="#_x0000_t75" style="width:281.2pt;height:14.25pt" o:ole="">
            <v:imagedata r:id="rId184" o:title=""/>
          </v:shape>
          <o:OLEObject Type="Embed" ProgID="Word.Document.12" ShapeID="_x0000_i1075" DrawAspect="Content" ObjectID="_1679402792" r:id="rId185">
            <o:FieldCodes>\s</o:FieldCodes>
          </o:OLEObject>
        </w:object>
      </w:r>
    </w:p>
    <w:p w14:paraId="74D349A6" w14:textId="77777777" w:rsidR="00F02481" w:rsidRPr="00BE78CA" w:rsidRDefault="00F02481" w:rsidP="00CA00CF">
      <w:pPr>
        <w:pStyle w:val="BodyText"/>
        <w:keepNext/>
        <w:spacing w:before="100" w:after="40"/>
        <w:ind w:left="964" w:hanging="964"/>
        <w:rPr>
          <w:rFonts w:cs="Calibri"/>
        </w:rPr>
      </w:pPr>
      <w:r w:rsidRPr="00BE78CA">
        <w:rPr>
          <w:rFonts w:cs="Calibri"/>
        </w:rPr>
        <w:t>Where:</w:t>
      </w:r>
      <w:r w:rsidRPr="00BE78CA">
        <w:rPr>
          <w:rFonts w:cs="Calibri"/>
        </w:rPr>
        <w:tab/>
        <w:t>AG</w:t>
      </w:r>
      <w:r w:rsidRPr="00BE78CA">
        <w:rPr>
          <w:rFonts w:cs="Calibri"/>
          <w:vertAlign w:val="subscript"/>
        </w:rPr>
        <w:t>DM</w:t>
      </w:r>
      <w:r w:rsidRPr="00BE78CA">
        <w:rPr>
          <w:rFonts w:cs="Calibri"/>
        </w:rPr>
        <w:t xml:space="preserve"> is the amount of above-ground residue (tonnes)</w:t>
      </w:r>
    </w:p>
    <w:p w14:paraId="68BD4FDA" w14:textId="77777777" w:rsidR="00F02481" w:rsidRPr="00BE78CA" w:rsidRDefault="00F02481" w:rsidP="00CA00CF">
      <w:pPr>
        <w:pStyle w:val="BodyText"/>
        <w:spacing w:before="40" w:after="40"/>
        <w:ind w:left="964"/>
        <w:rPr>
          <w:rFonts w:cs="Calibri"/>
        </w:rPr>
      </w:pPr>
      <w:r w:rsidRPr="00BE78CA">
        <w:rPr>
          <w:rFonts w:cs="Calibri"/>
        </w:rPr>
        <w:t>Frac</w:t>
      </w:r>
      <w:r w:rsidRPr="00BE78CA">
        <w:rPr>
          <w:rFonts w:cs="Calibri"/>
          <w:vertAlign w:val="subscript"/>
        </w:rPr>
        <w:t>RESIDUE</w:t>
      </w:r>
      <w:r w:rsidRPr="00BE78CA">
        <w:rPr>
          <w:rFonts w:cs="Calibri"/>
        </w:rPr>
        <w:t xml:space="preserve"> is the proportion of residue remaining after harvest (see table 5.7.2), and</w:t>
      </w:r>
    </w:p>
    <w:p w14:paraId="41AD436C" w14:textId="77777777" w:rsidR="00F02481" w:rsidRPr="00BE78CA" w:rsidRDefault="00F02481" w:rsidP="00CA00CF">
      <w:pPr>
        <w:pStyle w:val="BodyText"/>
        <w:spacing w:before="40"/>
        <w:ind w:left="964"/>
        <w:rPr>
          <w:rFonts w:cs="Calibri"/>
        </w:rPr>
      </w:pPr>
      <w:r w:rsidRPr="00BE78CA">
        <w:rPr>
          <w:rFonts w:cs="Calibri"/>
        </w:rPr>
        <w:t>Frac</w:t>
      </w:r>
      <w:r w:rsidRPr="00BE78CA">
        <w:rPr>
          <w:rFonts w:cs="Calibri"/>
          <w:vertAlign w:val="subscript"/>
        </w:rPr>
        <w:t>BURN</w:t>
      </w:r>
      <w:r w:rsidRPr="00BE78CA">
        <w:rPr>
          <w:rFonts w:cs="Calibri"/>
        </w:rPr>
        <w:t xml:space="preserve"> is the proportion of remaining residue burned.</w:t>
      </w:r>
    </w:p>
    <w:p w14:paraId="2F006F49" w14:textId="77777777" w:rsidR="00F02481" w:rsidRPr="00BE78CA" w:rsidRDefault="00F02481" w:rsidP="00CA00CF">
      <w:pPr>
        <w:pStyle w:val="BodyText"/>
        <w:spacing w:before="100"/>
      </w:pPr>
      <w:r w:rsidRPr="00BE78CA">
        <w:t>The above-ground residue, AG</w:t>
      </w:r>
      <w:r w:rsidRPr="00BE78CA">
        <w:rPr>
          <w:vertAlign w:val="subscript"/>
        </w:rPr>
        <w:t xml:space="preserve">DM </w:t>
      </w:r>
      <w:r w:rsidRPr="00BE78CA">
        <w:t>(tonnes), is:</w:t>
      </w:r>
    </w:p>
    <w:p w14:paraId="3EBA1052" w14:textId="77777777" w:rsidR="00F02481" w:rsidRPr="00BE78CA" w:rsidRDefault="00F02481" w:rsidP="002A72F7">
      <w:pPr>
        <w:pStyle w:val="BodyText"/>
        <w:spacing w:before="40" w:after="40"/>
      </w:pPr>
      <w:r w:rsidRPr="00BE78CA">
        <w:object w:dxaOrig="7916" w:dyaOrig="499" w14:anchorId="67423F22">
          <v:shape id="_x0000_i1076" type="#_x0000_t75" style="width:396pt;height:21.75pt" o:ole="">
            <v:imagedata r:id="rId180" o:title=""/>
          </v:shape>
          <o:OLEObject Type="Embed" ProgID="Word.Document.12" ShapeID="_x0000_i1076" DrawAspect="Content" ObjectID="_1679402793" r:id="rId186">
            <o:FieldCodes>\s</o:FieldCodes>
          </o:OLEObject>
        </w:object>
      </w:r>
    </w:p>
    <w:p w14:paraId="0310FA9A" w14:textId="77777777" w:rsidR="00F02481" w:rsidRPr="00BE78CA" w:rsidRDefault="00F02481" w:rsidP="00CA00CF">
      <w:pPr>
        <w:pStyle w:val="BodyText"/>
        <w:spacing w:after="0"/>
        <w:ind w:left="964" w:hanging="964"/>
        <w:rPr>
          <w:rFonts w:cs="Calibri"/>
        </w:rPr>
      </w:pPr>
      <w:r w:rsidRPr="00BE78CA">
        <w:rPr>
          <w:rFonts w:cs="Calibri"/>
        </w:rPr>
        <w:t>Where:</w:t>
      </w:r>
      <w:r w:rsidRPr="00BE78CA">
        <w:rPr>
          <w:rFonts w:cs="Calibri"/>
        </w:rPr>
        <w:tab/>
        <w:t>HI is the harvest index (crop specific, table 5.7.2); that is, the mass harvested over the total mass of above-ground biomass, and</w:t>
      </w:r>
    </w:p>
    <w:p w14:paraId="3D6A8D22" w14:textId="77777777" w:rsidR="00F02481" w:rsidRPr="00BE78CA" w:rsidRDefault="00F02481" w:rsidP="00C26084">
      <w:pPr>
        <w:pStyle w:val="BodyText"/>
        <w:spacing w:before="60"/>
        <w:ind w:left="964"/>
        <w:rPr>
          <w:rFonts w:cs="Calibri"/>
        </w:rPr>
      </w:pPr>
      <w:r w:rsidRPr="00BE78CA">
        <w:rPr>
          <w:rFonts w:cs="Calibri"/>
        </w:rPr>
        <w:t>Prod</w:t>
      </w:r>
      <w:r w:rsidRPr="00BE78CA">
        <w:rPr>
          <w:rFonts w:cs="Calibri"/>
          <w:vertAlign w:val="subscript"/>
        </w:rPr>
        <w:t>DM</w:t>
      </w:r>
      <w:r w:rsidRPr="00BE78CA">
        <w:rPr>
          <w:rFonts w:cs="Calibri"/>
        </w:rPr>
        <w:t xml:space="preserve"> (measured in tonnes) is the dry-matter production of the area burned and is determined as follows:</w:t>
      </w:r>
    </w:p>
    <w:p w14:paraId="3BB52B1E" w14:textId="77777777" w:rsidR="00F02481" w:rsidRPr="00BE78CA" w:rsidRDefault="00087879" w:rsidP="002A72F7">
      <w:pPr>
        <w:pStyle w:val="BodyText"/>
        <w:spacing w:before="40" w:after="40"/>
        <w:rPr>
          <w:rFonts w:cs="Calibri"/>
        </w:rPr>
      </w:pPr>
      <w:bookmarkStart w:id="1075" w:name="_MON_1548661704"/>
      <w:bookmarkEnd w:id="1075"/>
      <w:r>
        <w:rPr>
          <w:rFonts w:cs="Calibri"/>
        </w:rPr>
        <w:pict w14:anchorId="737CDD94">
          <v:shape id="_x0000_i1077" type="#_x0000_t75" style="width:374.25pt;height:14.25pt">
            <v:imagedata r:id="rId187" o:title=""/>
          </v:shape>
        </w:pict>
      </w:r>
    </w:p>
    <w:p w14:paraId="3043FF9B" w14:textId="77777777" w:rsidR="00F02481" w:rsidRPr="00BE78CA" w:rsidRDefault="00F02481" w:rsidP="000F4164">
      <w:pPr>
        <w:pStyle w:val="BodyText"/>
        <w:spacing w:after="40"/>
        <w:ind w:left="964" w:hanging="964"/>
        <w:rPr>
          <w:rFonts w:cs="Calibri"/>
        </w:rPr>
      </w:pPr>
      <w:r w:rsidRPr="00BE78CA">
        <w:rPr>
          <w:rFonts w:cs="Calibri"/>
        </w:rPr>
        <w:t>Where:</w:t>
      </w:r>
      <w:r w:rsidRPr="00BE78CA">
        <w:rPr>
          <w:rFonts w:cs="Calibri"/>
        </w:rPr>
        <w:tab/>
        <w:t>Area</w:t>
      </w:r>
      <w:r w:rsidRPr="00BE78CA">
        <w:rPr>
          <w:rFonts w:cs="Calibri"/>
          <w:vertAlign w:val="subscript"/>
        </w:rPr>
        <w:t>BURN</w:t>
      </w:r>
      <w:r w:rsidRPr="00BE78CA">
        <w:rPr>
          <w:rFonts w:cs="Calibri"/>
        </w:rPr>
        <w:t xml:space="preserve"> is the annual area burned (hectare)</w:t>
      </w:r>
    </w:p>
    <w:p w14:paraId="3BB1B1C1" w14:textId="77777777" w:rsidR="00F02481" w:rsidRPr="00BE78CA" w:rsidRDefault="00F02481" w:rsidP="00CA00CF">
      <w:pPr>
        <w:pStyle w:val="BodyText"/>
        <w:spacing w:before="40" w:after="40"/>
        <w:ind w:left="964"/>
        <w:rPr>
          <w:rFonts w:cs="Calibri"/>
        </w:rPr>
      </w:pPr>
      <w:r w:rsidRPr="00BE78CA">
        <w:rPr>
          <w:rFonts w:cs="Calibri"/>
        </w:rPr>
        <w:t xml:space="preserve">Y is the average crop yield (tonnes per hectare), and </w:t>
      </w:r>
    </w:p>
    <w:p w14:paraId="2AFD07CA" w14:textId="77777777" w:rsidR="00F02481" w:rsidRPr="00BE78CA" w:rsidRDefault="00F02481" w:rsidP="00CA00CF">
      <w:pPr>
        <w:pStyle w:val="BodyText"/>
        <w:spacing w:before="40"/>
        <w:ind w:left="964"/>
        <w:rPr>
          <w:rFonts w:cs="Calibri"/>
        </w:rPr>
      </w:pPr>
      <w:r w:rsidRPr="00BE78CA">
        <w:rPr>
          <w:rFonts w:cs="Calibri"/>
        </w:rPr>
        <w:t>Frac</w:t>
      </w:r>
      <w:r w:rsidRPr="00BE78CA">
        <w:rPr>
          <w:rFonts w:cs="Calibri"/>
          <w:vertAlign w:val="subscript"/>
        </w:rPr>
        <w:t>DM</w:t>
      </w:r>
      <w:r w:rsidRPr="00BE78CA">
        <w:rPr>
          <w:rFonts w:cs="Calibri"/>
        </w:rPr>
        <w:t xml:space="preserve"> is the fraction of crop that is dry matter (crop specific, table 5.7.2).</w:t>
      </w:r>
    </w:p>
    <w:p w14:paraId="48209F95" w14:textId="77777777" w:rsidR="00F02481" w:rsidRPr="00BE78CA" w:rsidRDefault="00F02481" w:rsidP="00CA00CF">
      <w:pPr>
        <w:pStyle w:val="BodyText"/>
        <w:spacing w:before="100" w:after="100"/>
        <w:rPr>
          <w:rFonts w:cs="Calibri"/>
        </w:rPr>
      </w:pPr>
      <w:r w:rsidRPr="00BE78CA">
        <w:rPr>
          <w:rFonts w:cs="Calibri"/>
        </w:rPr>
        <w:t>The country-specific parameters for the proportion of residue actually burned, harvest indices, dry-matter fractions, the fraction oxidised and the carbon and nitrogen fractions of the residue (see table 5.7.2) are derived from the OVERSEER</w:t>
      </w:r>
      <w:r w:rsidRPr="00BE78CA">
        <w:rPr>
          <w:rFonts w:cs="Calibri"/>
          <w:vertAlign w:val="superscript"/>
        </w:rPr>
        <w:t>®</w:t>
      </w:r>
      <w:r w:rsidRPr="00BE78CA">
        <w:rPr>
          <w:rFonts w:cs="Calibri"/>
        </w:rPr>
        <w:t xml:space="preserve"> nutrient budget model for New Zealand (Wheeler et al., 2003) and are the same as those used for estimates of emissions from crop residues (see section 5.5.2). Further detail is provided in Thomas et al. (2011).</w:t>
      </w:r>
    </w:p>
    <w:p w14:paraId="2696F0BF" w14:textId="77777777" w:rsidR="00F02481" w:rsidRPr="00BE78CA" w:rsidRDefault="00F02481" w:rsidP="00CA00CF">
      <w:pPr>
        <w:pStyle w:val="BodyText"/>
        <w:spacing w:before="100" w:after="100"/>
        <w:rPr>
          <w:rFonts w:cs="Calibri"/>
        </w:rPr>
      </w:pPr>
      <w:r w:rsidRPr="00BE78CA">
        <w:rPr>
          <w:rFonts w:cs="Calibri"/>
        </w:rPr>
        <w:t xml:space="preserve">The recommended proportion of crop area burned for 1990 to 2004 was determined by a farmer survey and assumed to be 70 per cent of wheat, 50 per cent of barley and 50 per cent of oat crops (Thomas et al., 2011). These values are in alignment with Stats NZ data for 2005 to 2007 (2005 being the first year Stats NZ gathered these data) and are, therefore, applied to the years 1990 to 2004. From 2005, data on the total area of crop residues burned in New Zealand were collected but, while the data show total residue burned at a regional and national level, they do not differentiate between cereal crop types. </w:t>
      </w:r>
    </w:p>
    <w:p w14:paraId="079E8C28" w14:textId="77777777" w:rsidR="00F02481" w:rsidRPr="00BE78CA" w:rsidRDefault="00F02481" w:rsidP="002A72F7">
      <w:pPr>
        <w:pStyle w:val="BodyText"/>
        <w:spacing w:after="60"/>
      </w:pPr>
      <w:r w:rsidRPr="00BE78CA">
        <w:lastRenderedPageBreak/>
        <w:t xml:space="preserve">For 2005 onwards, the same proportions of crop area burned for wheat (70 per cent), barley (50 per cent) and oats (50 per cent) were used. However, these areas were then multiplied by a constant factor </w:t>
      </w:r>
      <w:r w:rsidRPr="00BE78CA">
        <w:rPr>
          <w:i/>
        </w:rPr>
        <w:t>K</w:t>
      </w:r>
      <w:r w:rsidRPr="00BE78CA">
        <w:t xml:space="preserve"> such that the total area burned is consistent with the Agricultural Production survey. This captures year-to-year variability, such as reduced burning during very dry and very wet years.</w:t>
      </w:r>
    </w:p>
    <w:p w14:paraId="687399EB" w14:textId="77777777" w:rsidR="00F02481" w:rsidRPr="00BE78CA" w:rsidRDefault="00087879" w:rsidP="002A72F7">
      <w:pPr>
        <w:pStyle w:val="BodyText"/>
        <w:spacing w:before="40" w:after="40"/>
        <w:jc w:val="center"/>
        <w:rPr>
          <w:rFonts w:cs="Calibri"/>
        </w:rPr>
      </w:pPr>
      <w:r>
        <w:pict w14:anchorId="184D7BFE">
          <v:shape id="_x0000_i1078" type="#_x0000_t75" style="width:338.95pt;height:27.85pt"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16sdtdh=&quot;http://schemas.microsoft.com/office/word/2020/wordml/sdtdatahash&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doNotEmbedSystemFonts/&gt;&lt;w:activeWritingStyle w:lang=&quot;EN-NZ&quot; w:vendorID=&quot;64&quot; w:dllVersion=&quot;6&quot; w:nlCheck=&quot;on&quot; w:optionSet=&quot;1&quot;/&gt;&lt;w:stylePaneFormatFilter w:val=&quot;5804&quot;/&gt;&lt;w:defaultTabStop w:val=&quot;397&quot;/&gt;&lt;w:evenAndOddHeaders/&gt;&lt;w:drawingGridHorizontalSpacing w:val=&quot;187&quot;/&gt;&lt;w:displayVerticalDrawingGridEvery w:val=&quot;2&quot;/&gt;&lt;w:characterSpacingControl w:val=&quot;DontCompress&quot;/&gt;&lt;w:optimizeForBrowser/&gt;&lt;w:validateAgainstSchema/&gt;&lt;w:saveInvalidXML w:val=&quot;off&quot;/&gt;&lt;w:ignoreMixedContent w:val=&quot;off&quot;/&gt;&lt;w:alwaysShowPlaceholderText w:val=&quot;off&quot;/&gt;&lt;w:compat&gt;&lt;w:suppressBottomSpacing/&gt;&lt;w:suppressTopSpacing/&gt;&lt;w:doNotUseHTMLParagraphAutoSpacing/&gt;&lt;w:breakWrappedTables/&gt;&lt;w:snapToGridInCell/&gt;&lt;w:wrapTextWithPunct/&gt;&lt;w:useAsianBreakRules/&gt;&lt;w:useWord2002TableStyleRules/&gt;&lt;/w:compat&gt;&lt;wsp:rsids&gt;&lt;wsp:rsidRoot wsp:val=&quot;001F1707&quot;/&gt;&lt;wsp:rsid wsp:val=&quot;00001716&quot;/&gt;&lt;wsp:rsid wsp:val=&quot;00007ABB&quot;/&gt;&lt;wsp:rsid wsp:val=&quot;00021ACF&quot;/&gt;&lt;wsp:rsid wsp:val=&quot;00027E55&quot;/&gt;&lt;wsp:rsid wsp:val=&quot;00032A28&quot;/&gt;&lt;wsp:rsid wsp:val=&quot;00035185&quot;/&gt;&lt;wsp:rsid wsp:val=&quot;00050008&quot;/&gt;&lt;wsp:rsid wsp:val=&quot;000576EC&quot;/&gt;&lt;wsp:rsid wsp:val=&quot;000959CB&quot;/&gt;&lt;wsp:rsid wsp:val=&quot;000C20A6&quot;/&gt;&lt;wsp:rsid wsp:val=&quot;000F4DEF&quot;/&gt;&lt;wsp:rsid wsp:val=&quot;00116E1B&quot;/&gt;&lt;wsp:rsid wsp:val=&quot;001221C3&quot;/&gt;&lt;wsp:rsid wsp:val=&quot;00153F5A&quot;/&gt;&lt;wsp:rsid wsp:val=&quot;001970E1&quot;/&gt;&lt;wsp:rsid wsp:val=&quot;001A1997&quot;/&gt;&lt;wsp:rsid wsp:val=&quot;001B6FD2&quot;/&gt;&lt;wsp:rsid wsp:val=&quot;001F1707&quot;/&gt;&lt;wsp:rsid wsp:val=&quot;00207ABF&quot;/&gt;&lt;wsp:rsid wsp:val=&quot;00240B42&quot;/&gt;&lt;wsp:rsid wsp:val=&quot;00260B48&quot;/&gt;&lt;wsp:rsid wsp:val=&quot;0028581A&quot;/&gt;&lt;wsp:rsid wsp:val=&quot;002868D3&quot;/&gt;&lt;wsp:rsid wsp:val=&quot;00295B2A&quot;/&gt;&lt;wsp:rsid wsp:val=&quot;002A1361&quot;/&gt;&lt;wsp:rsid wsp:val=&quot;002A49D7&quot;/&gt;&lt;wsp:rsid wsp:val=&quot;002B1C5A&quot;/&gt;&lt;wsp:rsid wsp:val=&quot;002B3284&quot;/&gt;&lt;wsp:rsid wsp:val=&quot;002D60DB&quot;/&gt;&lt;wsp:rsid wsp:val=&quot;002D6A54&quot;/&gt;&lt;wsp:rsid wsp:val=&quot;002F134A&quot;/&gt;&lt;wsp:rsid wsp:val=&quot;00302D84&quot;/&gt;&lt;wsp:rsid wsp:val=&quot;00315760&quot;/&gt;&lt;wsp:rsid wsp:val=&quot;0032349D&quot;/&gt;&lt;wsp:rsid wsp:val=&quot;00354FB3&quot;/&gt;&lt;wsp:rsid wsp:val=&quot;0037590E&quot;/&gt;&lt;wsp:rsid wsp:val=&quot;00377186&quot;/&gt;&lt;wsp:rsid wsp:val=&quot;00383207&quot;/&gt;&lt;wsp:rsid wsp:val=&quot;003972EF&quot;/&gt;&lt;wsp:rsid wsp:val=&quot;00397D2B&quot;/&gt;&lt;wsp:rsid wsp:val=&quot;003A5006&quot;/&gt;&lt;wsp:rsid wsp:val=&quot;003C2615&quot;/&gt;&lt;wsp:rsid wsp:val=&quot;003D0318&quot;/&gt;&lt;wsp:rsid wsp:val=&quot;003D5417&quot;/&gt;&lt;wsp:rsid wsp:val=&quot;00400F92&quot;/&gt;&lt;wsp:rsid wsp:val=&quot;004044F1&quot;/&gt;&lt;wsp:rsid wsp:val=&quot;0042424B&quot;/&gt;&lt;wsp:rsid wsp:val=&quot;00430D5D&quot;/&gt;&lt;wsp:rsid wsp:val=&quot;0045652C&quot;/&gt;&lt;wsp:rsid wsp:val=&quot;00462497&quot;/&gt;&lt;wsp:rsid wsp:val=&quot;004805A3&quot;/&gt;&lt;wsp:rsid wsp:val=&quot;00490EB0&quot;/&gt;&lt;wsp:rsid wsp:val=&quot;004A618E&quot;/&gt;&lt;wsp:rsid wsp:val=&quot;004E4B2C&quot;/&gt;&lt;wsp:rsid wsp:val=&quot;004F1572&quot;/&gt;&lt;wsp:rsid wsp:val=&quot;00526270&quot;/&gt;&lt;wsp:rsid wsp:val=&quot;00534210&quot;/&gt;&lt;wsp:rsid wsp:val=&quot;00543478&quot;/&gt;&lt;wsp:rsid wsp:val=&quot;00545600&quot;/&gt;&lt;wsp:rsid wsp:val=&quot;00546A6A&quot;/&gt;&lt;wsp:rsid wsp:val=&quot;005630B0&quot;/&gt;&lt;wsp:rsid wsp:val=&quot;005660CD&quot;/&gt;&lt;wsp:rsid wsp:val=&quot;005720F2&quot;/&gt;&lt;wsp:rsid wsp:val=&quot;00596603&quot;/&gt;&lt;wsp:rsid wsp:val=&quot;005B76A4&quot;/&gt;&lt;wsp:rsid wsp:val=&quot;005C3384&quot;/&gt;&lt;wsp:rsid wsp:val=&quot;005C416E&quot;/&gt;&lt;wsp:rsid wsp:val=&quot;005D1C3A&quot;/&gt;&lt;wsp:rsid wsp:val=&quot;005E43DD&quot;/&gt;&lt;wsp:rsid wsp:val=&quot;00600179&quot;/&gt;&lt;wsp:rsid wsp:val=&quot;00603FC0&quot;/&gt;&lt;wsp:rsid wsp:val=&quot;00636BF0&quot;/&gt;&lt;wsp:rsid wsp:val=&quot;00646B6D&quot;/&gt;&lt;wsp:rsid wsp:val=&quot;00655908&quot;/&gt;&lt;wsp:rsid wsp:val=&quot;006654F8&quot;/&gt;&lt;wsp:rsid wsp:val=&quot;00665768&quot;/&gt;&lt;wsp:rsid wsp:val=&quot;00667291&quot;/&gt;&lt;wsp:rsid wsp:val=&quot;00686249&quot;/&gt;&lt;wsp:rsid wsp:val=&quot;00687504&quot;/&gt;&lt;wsp:rsid wsp:val=&quot;006A171F&quot;/&gt;&lt;wsp:rsid wsp:val=&quot;006A4E5F&quot;/&gt;&lt;wsp:rsid wsp:val=&quot;006D3FAE&quot;/&gt;&lt;wsp:rsid wsp:val=&quot;006D4600&quot;/&gt;&lt;wsp:rsid wsp:val=&quot;006E0A2C&quot;/&gt;&lt;wsp:rsid wsp:val=&quot;006E202B&quot;/&gt;&lt;wsp:rsid wsp:val=&quot;006E57B5&quot;/&gt;&lt;wsp:rsid wsp:val=&quot;00702FA0&quot;/&gt;&lt;wsp:rsid wsp:val=&quot;00715D39&quot;/&gt;&lt;wsp:rsid wsp:val=&quot;00724218&quot;/&gt;&lt;wsp:rsid wsp:val=&quot;00737E65&quot;/&gt;&lt;wsp:rsid wsp:val=&quot;0074030A&quot;/&gt;&lt;wsp:rsid wsp:val=&quot;007409A3&quot;/&gt;&lt;wsp:rsid wsp:val=&quot;00762043&quot;/&gt;&lt;wsp:rsid wsp:val=&quot;007633C2&quot;/&gt;&lt;wsp:rsid wsp:val=&quot;00765A47&quot;/&gt;&lt;wsp:rsid wsp:val=&quot;00770E82&quot;/&gt;&lt;wsp:rsid wsp:val=&quot;00772E94&quot;/&gt;&lt;wsp:rsid wsp:val=&quot;007B028B&quot;/&gt;&lt;wsp:rsid wsp:val=&quot;007B1D71&quot;/&gt;&lt;wsp:rsid wsp:val=&quot;007C00D0&quot;/&gt;&lt;wsp:rsid wsp:val=&quot;007C2186&quot;/&gt;&lt;wsp:rsid wsp:val=&quot;007F2233&quot;/&gt;&lt;wsp:rsid wsp:val=&quot;0080694B&quot;/&gt;&lt;wsp:rsid wsp:val=&quot;0081779C&quot;/&gt;&lt;wsp:rsid wsp:val=&quot;00831D0D&quot;/&gt;&lt;wsp:rsid wsp:val=&quot;00832DEE&quot;/&gt;&lt;wsp:rsid wsp:val=&quot;00854B9D&quot;/&gt;&lt;wsp:rsid wsp:val=&quot;00855A8A&quot;/&gt;&lt;wsp:rsid wsp:val=&quot;00872795&quot;/&gt;&lt;wsp:rsid wsp:val=&quot;008A2EC5&quot;/&gt;&lt;wsp:rsid wsp:val=&quot;008B77F5&quot;/&gt;&lt;wsp:rsid wsp:val=&quot;008C0279&quot;/&gt;&lt;wsp:rsid wsp:val=&quot;008C7F68&quot;/&gt;&lt;wsp:rsid wsp:val=&quot;008E380C&quot;/&gt;&lt;wsp:rsid wsp:val=&quot;008F25D2&quot;/&gt;&lt;wsp:rsid wsp:val=&quot;008F50EC&quot;/&gt;&lt;wsp:rsid wsp:val=&quot;00914CC6&quot;/&gt;&lt;wsp:rsid wsp:val=&quot;0092751F&quot;/&gt;&lt;wsp:rsid wsp:val=&quot;00932067&quot;/&gt;&lt;wsp:rsid wsp:val=&quot;0093594A&quot;/&gt;&lt;wsp:rsid wsp:val=&quot;00955D73&quot;/&gt;&lt;wsp:rsid wsp:val=&quot;0096512C&quot;/&gt;&lt;wsp:rsid wsp:val=&quot;0096540A&quot;/&gt;&lt;wsp:rsid wsp:val=&quot;009C5D2A&quot;/&gt;&lt;wsp:rsid wsp:val=&quot;00A06700&quot;/&gt;&lt;wsp:rsid wsp:val=&quot;00A331E7&quot;/&gt;&lt;wsp:rsid wsp:val=&quot;00A34169&quot;/&gt;&lt;wsp:rsid wsp:val=&quot;00A41C3C&quot;/&gt;&lt;wsp:rsid wsp:val=&quot;00AB2710&quot;/&gt;&lt;wsp:rsid wsp:val=&quot;00AD184B&quot;/&gt;&lt;wsp:rsid wsp:val=&quot;00B0566D&quot;/&gt;&lt;wsp:rsid wsp:val=&quot;00B35BD9&quot;/&gt;&lt;wsp:rsid wsp:val=&quot;00B37DE8&quot;/&gt;&lt;wsp:rsid wsp:val=&quot;00B44BA5&quot;/&gt;&lt;wsp:rsid wsp:val=&quot;00B928E7&quot;/&gt;&lt;wsp:rsid wsp:val=&quot;00BA5F7E&quot;/&gt;&lt;wsp:rsid wsp:val=&quot;00BC7E76&quot;/&gt;&lt;wsp:rsid wsp:val=&quot;00BF12F6&quot;/&gt;&lt;wsp:rsid wsp:val=&quot;00C00765&quot;/&gt;&lt;wsp:rsid wsp:val=&quot;00C10464&quot;/&gt;&lt;wsp:rsid wsp:val=&quot;00C119C2&quot;/&gt;&lt;wsp:rsid wsp:val=&quot;00C21B54&quot;/&gt;&lt;wsp:rsid wsp:val=&quot;00C40967&quot;/&gt;&lt;wsp:rsid wsp:val=&quot;00C42C64&quot;/&gt;&lt;wsp:rsid wsp:val=&quot;00C600E2&quot;/&gt;&lt;wsp:rsid wsp:val=&quot;00C63D43&quot;/&gt;&lt;wsp:rsid wsp:val=&quot;00C74134&quot;/&gt;&lt;wsp:rsid wsp:val=&quot;00C823B1&quot;/&gt;&lt;wsp:rsid wsp:val=&quot;00CA271E&quot;/&gt;&lt;wsp:rsid wsp:val=&quot;00CB1488&quot;/&gt;&lt;wsp:rsid wsp:val=&quot;00CB7414&quot;/&gt;&lt;wsp:rsid wsp:val=&quot;00CE19C1&quot;/&gt;&lt;wsp:rsid wsp:val=&quot;00D01CFE&quot;/&gt;&lt;wsp:rsid wsp:val=&quot;00D07C4B&quot;/&gt;&lt;wsp:rsid wsp:val=&quot;00D225D8&quot;/&gt;&lt;wsp:rsid wsp:val=&quot;00D33A2E&quot;/&gt;&lt;wsp:rsid wsp:val=&quot;00D41862&quot;/&gt;&lt;wsp:rsid wsp:val=&quot;00D511A1&quot;/&gt;&lt;wsp:rsid wsp:val=&quot;00D872BF&quot;/&gt;&lt;wsp:rsid wsp:val=&quot;00DE01F6&quot;/&gt;&lt;wsp:rsid wsp:val=&quot;00DE2998&quot;/&gt;&lt;wsp:rsid wsp:val=&quot;00DE4223&quot;/&gt;&lt;wsp:rsid wsp:val=&quot;00DE6B60&quot;/&gt;&lt;wsp:rsid wsp:val=&quot;00E06D10&quot;/&gt;&lt;wsp:rsid wsp:val=&quot;00E20458&quot;/&gt;&lt;wsp:rsid wsp:val=&quot;00E56487&quot;/&gt;&lt;wsp:rsid wsp:val=&quot;00E853F3&quot;/&gt;&lt;wsp:rsid wsp:val=&quot;00EC2491&quot;/&gt;&lt;wsp:rsid wsp:val=&quot;00ED2C42&quot;/&gt;&lt;wsp:rsid wsp:val=&quot;00EF3B2B&quot;/&gt;&lt;wsp:rsid wsp:val=&quot;00F00EE9&quot;/&gt;&lt;wsp:rsid wsp:val=&quot;00F379DD&quot;/&gt;&lt;wsp:rsid wsp:val=&quot;00F47244&quot;/&gt;&lt;wsp:rsid wsp:val=&quot;00F511A7&quot;/&gt;&lt;wsp:rsid wsp:val=&quot;00F660F9&quot;/&gt;&lt;wsp:rsid wsp:val=&quot;00FA5F45&quot;/&gt;&lt;wsp:rsid wsp:val=&quot;00FA7522&quot;/&gt;&lt;wsp:rsid wsp:val=&quot;00FC2C59&quot;/&gt;&lt;wsp:rsid wsp:val=&quot;00FD178C&quot;/&gt;&lt;/wsp:rsids&gt;&lt;/w:docPr&gt;&lt;w:body&gt;&lt;wx:sect&gt;&lt;w:p wsp:rsidR=&quot;00000000&quot; wsp:rsidRPr=&quot;00354FB3&quot; wsp:rsidRDefault=&quot;00354FB3&quot; wsp:rsidP=&quot;00354FB3&quot;&gt;&lt;m:oMathPara&gt;&lt;m:oMath&gt;&lt;m:r&gt;&lt;w:rPr&gt;&lt;w:rFonts w:ascii=&quot;Cambria Math&quot; w:h-ansi=&quot;Cambria Math&quot; w:cs=&quot;Calibri&quot;/&gt;&lt;wx:font wx:val=&quot;Cambria Math&quot;/&gt;&lt;w:i/&gt;&lt;/w:rPr&gt;&lt;m:t&gt;K= &lt;/m:t&gt;&lt;/m:r&gt;&lt;m:f&gt;&lt;m:fPr&gt;&lt;m:ctrlPr&gt;&lt;w:rPr&gt;&lt;w:rFonts w:ascii=&quot;Cambria Math&quot; w:h-ansi=&quot;Cambria Math&quot; w:cs=&quot;Calibri&quot;/&gt;&lt;wx:font wx:val=&quot;Cambria Math&quot;/&gt;&lt;w:i/&gt;&lt;/w:rPr&gt;&lt;/m:ctrlPr&gt;&lt;/m:fPr&gt;&lt;m:num&gt;&lt;m:r&gt;&lt;w:rPr&gt;&lt;w:rFonts w:ascii=&quot;Cambria Math&quot; w:h-ansi=&quot;Cambria Math&quot; w:cs=&quot;Calibri&quot;/&gt;&lt;wx:font wx:val=&quot;Cambria Math&quot;/&gt;&lt;w:i/&gt;&lt;/w:rPr&gt;&lt;m:t&gt;Total Area Burnt&lt;/m:t&gt;&lt;/m:r&gt;&lt;/m:num&gt;&lt;m:den&gt;&lt;m:sSub&gt;&lt;m:sSubPr&gt;&lt;m:ctrlPr&gt;&lt;w:rPr&gt;&lt;w:rFonts w:ascii=&quot;Cambria Math&quot; w:h-ansi=&quot;Cambria Math&quot; w:cs=&quot;Calibri&quot;/&gt;&lt;wx:font wx:val=&quot;Cambria Math&quot;/&gt;&lt;w:i/&gt;&lt;/w:rPr&gt;&lt;/m:ctrlPr&gt;&lt;/m:sSubPr&gt;&lt;m:e&gt;&lt;m:r&gt;&lt;w:rPr&gt;&lt;w:rFonts w:ascii=&quot;Cambria Math&quot; w:h-ansi=&quot;Cambria Math&quot; w:cs=&quot;Calibri&quot;/&gt;&lt;wx:font wx:val=&quot;Cambria Math&quot;/&gt;&lt;w:i/&gt;&lt;/w:rPr&gt;&lt;m:t&gt;0.7Ã—Area Burnt&lt;/m:t&gt;&lt;/m:r&gt;&lt;/m:e&gt;&lt;m:sub&gt;&lt;m:r&gt;&lt;w:rPr&gt;&lt;w:rFonts w:ascii=&quot;Cambria Math&quot; w:h-ansi=&quot;Cambria Math&quot; w:cs=&quot;Calibri&quot;/&gt;&lt;wx:font wx:val=&quot;Cambria Math&quot;/&gt;&lt;w:i/&gt;&lt;/w:rPr&gt;&lt;m:t&gt;Wheat&lt;/m:t&gt;&lt;/m:r&gt;&lt;/m:sub&gt;&lt;/m:sSub&gt;&lt;m:r&gt;&lt;w:rPr&gt;&lt;w:rFonts w:ascii=&quot;Cambria Math&quot; w:h-ansi=&quot;Cambria Math&quot; w:cs=&quot;Calibri&quot;/&gt;&lt;wx:font wx:val=&quot;Cambria Math&quot;/&gt;&lt;w:i/&gt;&lt;/w:rPr&gt;&lt;m:t&gt;+&lt;/m:t&gt;&lt;/m:r&gt;&lt;m:sSub&gt;&lt;m:sSubPr&gt;&lt;m:ctrlPr&gt;&lt;w:rPr&gt;&lt;w:rFonts w:ascii=&quot;Cambria Math&quot; w:h-ansi=&quot;Cambria Math&quot; w:cs=&quot;Calibri&quot;/&gt;&lt;wx:font wx:val=&quot;Cambria Math&quot;/&gt;&lt;w:i/&gt;&lt;/w:rPr&gt;&lt;/m:ctrlPr&gt;&lt;/m:sSubPr&gt;&lt;m:e&gt;&lt;m:r&gt;&lt;w:rPr&gt;&lt;w:rFonts w:ascii=&quot;Cambria Math&quot; w:h-ansi=&quot;Cambria Math&quot; w:cs=&quot;Calibri&quot;/&gt;&lt;wx:font wx:val=&quot;Cambria Math&quot;/&gt;&lt;w:i/&gt;&lt;/w:rPr&gt;&lt;m:t&gt;0.5Ã—Area Burnt&lt;/m:t&gt;&lt;/m:r&gt;&lt;/m:e&gt;&lt;m:sub&gt;&lt;m:r&gt;&lt;w:rPr&gt;&lt;w:rFonts w:ascii=&quot;Cambria Math&quot; w:h-ansi=&quot;Cambria Math&quot; w:cs=&quot;Calibri&quot;/&gt;&lt;wx:font wx:val=&quot;Cambria Math&quot;/&gt;&lt;w:i/&gt;&lt;/w:rPr&gt;&lt;m:t&gt;Barley&lt;/m:t&gt;&lt;/m:r&gt;&lt;/m:sub&gt;&lt;/m:sSub&gt;&lt;m:r&gt;&lt;w:rPr&gt;&lt;w:rFonts w:ascii=&quot;Cambria Math&quot; w:h-ansi=&quot;Cambria Math&quot; w:cs=&quot;Calibri&quot;/&gt;&lt;wx:font wx:val=&quot;Cambria Math&quot;/&gt;&lt;w:i/&gt;&lt;/w:rPr&gt;&lt;m:t&gt;+&lt;/m:t&gt;&lt;/m:r&gt;&lt;m:sSub&gt;&lt;m:sSubPr&gt;&lt;m:ctrlPr&gt;&lt;w:rPr&gt;&lt;w:rFonts w:ascii=&quot;Cambria Math&quot; w:h-ansi=&quot;Cambria Math&quot; w:cs=&quot;Calibri&quot;/&gt;&lt;wx:font wx:val=&quot;Cambria Math&quot;/&gt;&lt;w:i/&gt;&lt;/w:rPr&gt;&lt;/m:ctrlPr&gt;&lt;/m:sSubPr&gt;&lt;m:e&gt;&lt;m:r&gt;&lt;w:rPr&gt;&lt;w:rFonts w:ascii=&quot;Cambria Math&quot; w:h-ansi=&quot;Cambria Math&quot; w:cs=&quot;Calibri&quot;/&gt;&lt;wx:font wx:val=&quot;Cambria Math&quot;/&gt;&lt;w:i/&gt;&lt;/w:rPr&gt;&lt;m:t&gt;0.5Ã—Area Burnt&lt;/m:t&gt;&lt;/m:r&gt;&lt;/m:e&gt;&lt;m:sub&gt;&lt;m:r&gt;&lt;w:rPr&gt;&lt;w:rFonts w:ascii=&quot;Cambria Math&quot; w:h-ansi=&quot;Cambria Math&quot; w:cs=&quot;Calibri&quot;/&gt;&lt;wx:font wx:val=&quot;Cambria Math&quot;/&gt;&lt;w:i/&gt;&lt;/w:rPr&gt;&lt;m:t&gt;Oats&lt;/m:t&gt;&lt;/m:r&gt;&lt;/m:sub&gt;&lt;/m:sSub&gt;&lt;/m:den&gt;&lt;/m:f&gt;&lt;/m:oMath&gt;&lt;/m:oMathPara&gt;&lt;/w:p&gt;&lt;w:sectPr wsp:rsidR=&quot;00000000&quot; wsp:rsidRPr=&quot;00354FB3&quot;&gt;&lt;w:pgSz w:w=&quot;12240&quot; w:h=&quot;15840&quot;/&gt;&lt;w:pgMar w:top=&quot;1440&quot; w:right=&quot;1440&quot; w:bottom=&quot;1440&quot; w:left=&quot;1440&quot; w:header=&quot;720&quot; w:footer=&quot;720&quot; w:gutter=&quot;0&quot;/&gt;&lt;w:cols w:space=&quot;720&quot;/&gt;&lt;/w:sectPr&gt;&lt;/wx:sect&gt;&lt;/w:body&gt;&lt;/w:wordDocument&gt;">
            <v:imagedata r:id="rId188" o:title="" chromakey="white"/>
          </v:shape>
        </w:pict>
      </w:r>
    </w:p>
    <w:p w14:paraId="35E4BFD6" w14:textId="77777777" w:rsidR="00F02481" w:rsidRPr="00BE78CA" w:rsidRDefault="00F02481" w:rsidP="00C26084">
      <w:pPr>
        <w:pStyle w:val="BodyText"/>
        <w:rPr>
          <w:rFonts w:cs="Calibri"/>
        </w:rPr>
      </w:pPr>
      <w:r w:rsidRPr="00BE78CA">
        <w:rPr>
          <w:rFonts w:cs="Calibri"/>
        </w:rPr>
        <w:t>Expert opinion suggests that, if crop residue is to be burned, there is generally no prior removal for feed and bedding. Therefore, 100 per cent of residue is left for burning after the harvested proportion has been removed (i.e., Frac</w:t>
      </w:r>
      <w:r w:rsidRPr="00BE78CA">
        <w:rPr>
          <w:rFonts w:cs="Calibri"/>
          <w:vertAlign w:val="subscript"/>
        </w:rPr>
        <w:t>REMOVE</w:t>
      </w:r>
      <w:r w:rsidRPr="00BE78CA">
        <w:rPr>
          <w:rFonts w:cs="Calibri"/>
        </w:rPr>
        <w:t xml:space="preserve"> is assumed to be zero; Thomas et al., 2011). This is consistent with section 5.5.2. </w:t>
      </w:r>
    </w:p>
    <w:p w14:paraId="23A04B10" w14:textId="77777777" w:rsidR="00F02481" w:rsidRPr="00BE78CA" w:rsidRDefault="00F02481" w:rsidP="00C26084">
      <w:pPr>
        <w:pStyle w:val="Heading3"/>
        <w:spacing w:before="280"/>
        <w:rPr>
          <w:rFonts w:cs="Calibri"/>
        </w:rPr>
      </w:pPr>
      <w:bookmarkStart w:id="1076" w:name="_Toc32570678"/>
      <w:r w:rsidRPr="00BE78CA">
        <w:rPr>
          <w:rFonts w:cs="Calibri"/>
        </w:rPr>
        <w:t>5.7.3</w:t>
      </w:r>
      <w:r w:rsidRPr="00BE78CA">
        <w:rPr>
          <w:rFonts w:cs="Calibri"/>
        </w:rPr>
        <w:tab/>
        <w:t>Uncertainties and time-series consistency</w:t>
      </w:r>
      <w:bookmarkEnd w:id="1076"/>
    </w:p>
    <w:p w14:paraId="576C61E1" w14:textId="77777777" w:rsidR="00F02481" w:rsidRPr="00BE78CA" w:rsidRDefault="00F02481" w:rsidP="00C26084">
      <w:pPr>
        <w:pStyle w:val="BodyText"/>
        <w:spacing w:after="100"/>
        <w:rPr>
          <w:rFonts w:cs="Calibri"/>
        </w:rPr>
      </w:pPr>
      <w:r w:rsidRPr="00BE78CA">
        <w:rPr>
          <w:rFonts w:cs="Calibri"/>
        </w:rPr>
        <w:t xml:space="preserve">The largest contributor to uncertainty in the estimated emissions is considered to be the fraction of agricultural residue burned in the field. Expert opinion for the fraction of crops burned in fields between 1990 and 2004 was taken from farmer surveys in the Canterbury area, where 80 per cent of cereal production occurs. Between 2005 and 2009, an average of 86 per cent of total residue burning occurred in Canterbury. Estimates of crop burning for 2019 were 41.7 per cent (calculated as a percentage of total crop area) and have ranged from a high in 2006 of 61.5 per cent to a low in 2015 of 29.3 per cent, reflecting variations in annual weather patterns. </w:t>
      </w:r>
    </w:p>
    <w:p w14:paraId="73F3D000" w14:textId="77777777" w:rsidR="00F02481" w:rsidRPr="00BE78CA" w:rsidRDefault="00F02481" w:rsidP="00C26084">
      <w:pPr>
        <w:pStyle w:val="BodyText"/>
        <w:spacing w:after="100"/>
        <w:rPr>
          <w:rFonts w:cs="Calibri"/>
        </w:rPr>
      </w:pPr>
      <w:r w:rsidRPr="00BE78CA">
        <w:rPr>
          <w:rFonts w:cs="Calibri"/>
        </w:rPr>
        <w:t>The country-specific values for these parameters are those from the OVERSEER® nutrient budget model for New Zealand (Wheeler et al., 2003) and are the same as those used for estimates of emissions from crop residues. This provides consistency between the two emissions estimates for crop residue and crop burning.</w:t>
      </w:r>
    </w:p>
    <w:p w14:paraId="6B7F72FA" w14:textId="77777777" w:rsidR="00F02481" w:rsidRPr="00BE78CA" w:rsidRDefault="00F02481" w:rsidP="00C26084">
      <w:pPr>
        <w:pStyle w:val="BodyText"/>
        <w:spacing w:after="100"/>
        <w:rPr>
          <w:rFonts w:cs="Calibri"/>
        </w:rPr>
      </w:pPr>
      <w:r w:rsidRPr="00BE78CA">
        <w:rPr>
          <w:rFonts w:cs="Calibri"/>
        </w:rPr>
        <w:t>IPCC good practice guidance suggests that an estimate of 10 per cent of residue burned may be appropriate for developed countries but also notes that the IPCC default values: “are very speculative and should be used with caution. The actual percentage burned varies substantially by country and crop type. This is an area where locally developed, country-specific data are highly desirable” (IPCC, 2000). The proportion of residue burned has been estimated as 70 per cent for the years 1990 to 2004 because this takes into account required fire break areas and differences in the methods used. It is also assumed that the farmers will generally be aiming to have as close to complete combustion as possible.</w:t>
      </w:r>
    </w:p>
    <w:p w14:paraId="136ADF14" w14:textId="77777777" w:rsidR="00F02481" w:rsidRPr="00BE78CA" w:rsidRDefault="00F02481" w:rsidP="00C26084">
      <w:pPr>
        <w:pStyle w:val="BodyText"/>
        <w:spacing w:after="100"/>
        <w:rPr>
          <w:rFonts w:cs="Calibri"/>
        </w:rPr>
      </w:pPr>
      <w:r w:rsidRPr="00BE78CA">
        <w:rPr>
          <w:rFonts w:cs="Calibri"/>
        </w:rPr>
        <w:t>Although country-specific parameters have been developed, a conservative approach to uncertainty is taken, using the IPCC (2000) value of ±20 per cent. Given that emissions from field burning are low, compared with emissions from the rest of Agriculture inventory, the uncertainties from field burning have little impact on total emission uncertainties.</w:t>
      </w:r>
    </w:p>
    <w:p w14:paraId="05FCB84B" w14:textId="77777777" w:rsidR="00F02481" w:rsidRPr="00BE78CA" w:rsidRDefault="00F02481" w:rsidP="00C26084">
      <w:pPr>
        <w:pStyle w:val="Heading3"/>
        <w:spacing w:before="280"/>
      </w:pPr>
      <w:bookmarkStart w:id="1077" w:name="_Toc32570679"/>
      <w:r w:rsidRPr="00BE78CA">
        <w:t>5.7.4</w:t>
      </w:r>
      <w:r w:rsidRPr="00BE78CA">
        <w:tab/>
        <w:t>Source-specific QA/QC and verification</w:t>
      </w:r>
      <w:bookmarkEnd w:id="1077"/>
    </w:p>
    <w:p w14:paraId="4B36C74C" w14:textId="77777777" w:rsidR="00F02481" w:rsidRPr="00BE78CA" w:rsidRDefault="00F02481" w:rsidP="00C26084">
      <w:pPr>
        <w:pStyle w:val="BodyText"/>
        <w:rPr>
          <w:rFonts w:cs="Calibri"/>
        </w:rPr>
      </w:pPr>
      <w:r w:rsidRPr="00BE78CA">
        <w:rPr>
          <w:rFonts w:cs="Calibri"/>
        </w:rPr>
        <w:t xml:space="preserve">Plant and Food Research reviewed the implementation of the methodology to estimate emissions of </w:t>
      </w:r>
      <w:r w:rsidRPr="00BE78CA">
        <w:rPr>
          <w:rFonts w:cs="Calibri"/>
          <w:spacing w:val="-2"/>
        </w:rPr>
        <w:t>N</w:t>
      </w:r>
      <w:r w:rsidRPr="00BE78CA">
        <w:rPr>
          <w:rFonts w:cs="Calibri"/>
          <w:spacing w:val="-2"/>
          <w:vertAlign w:val="subscript"/>
        </w:rPr>
        <w:t>2</w:t>
      </w:r>
      <w:r w:rsidRPr="00BE78CA">
        <w:rPr>
          <w:rFonts w:cs="Calibri"/>
          <w:spacing w:val="-2"/>
        </w:rPr>
        <w:t>O</w:t>
      </w:r>
      <w:r w:rsidRPr="00BE78CA">
        <w:rPr>
          <w:rFonts w:cs="Calibri"/>
        </w:rPr>
        <w:t xml:space="preserve"> from crop residues, nitrogen-fixing crops and field burning of agricultural residues. This analysis is detailed in Thomas et al. (2008, 2011). </w:t>
      </w:r>
    </w:p>
    <w:p w14:paraId="0F889557" w14:textId="77777777" w:rsidR="00F02481" w:rsidRPr="00BE78CA" w:rsidRDefault="00F02481" w:rsidP="00C26084">
      <w:pPr>
        <w:pStyle w:val="Heading3"/>
        <w:spacing w:before="280"/>
      </w:pPr>
      <w:bookmarkStart w:id="1078" w:name="_Toc32570680"/>
      <w:r w:rsidRPr="00BE78CA">
        <w:t>5.7.5</w:t>
      </w:r>
      <w:r w:rsidRPr="00BE78CA">
        <w:tab/>
        <w:t>Source-specific recalculations</w:t>
      </w:r>
      <w:bookmarkEnd w:id="1078"/>
    </w:p>
    <w:p w14:paraId="05D5DF36" w14:textId="77777777" w:rsidR="00F02481" w:rsidRPr="00BE78CA" w:rsidRDefault="00F02481" w:rsidP="00C26084">
      <w:pPr>
        <w:pStyle w:val="BodyText"/>
        <w:rPr>
          <w:rFonts w:cs="Calibri"/>
        </w:rPr>
      </w:pPr>
      <w:r w:rsidRPr="00BE78CA">
        <w:rPr>
          <w:rFonts w:cs="Calibri"/>
        </w:rPr>
        <w:t>All activity data were updated with the latest available Stats NZ data.</w:t>
      </w:r>
    </w:p>
    <w:p w14:paraId="78E0BB5C" w14:textId="77777777" w:rsidR="00F02481" w:rsidRPr="00BE78CA" w:rsidRDefault="00F02481" w:rsidP="00C26084">
      <w:pPr>
        <w:pStyle w:val="Heading3"/>
        <w:spacing w:before="280"/>
      </w:pPr>
      <w:bookmarkStart w:id="1079" w:name="_Toc32570681"/>
      <w:r w:rsidRPr="00BE78CA">
        <w:lastRenderedPageBreak/>
        <w:t>5.7.6</w:t>
      </w:r>
      <w:r w:rsidRPr="00BE78CA">
        <w:tab/>
        <w:t>Source-specific planned improvements</w:t>
      </w:r>
      <w:bookmarkEnd w:id="1079"/>
      <w:r w:rsidRPr="00BE78CA">
        <w:t xml:space="preserve"> </w:t>
      </w:r>
    </w:p>
    <w:p w14:paraId="6080A0B8" w14:textId="77777777" w:rsidR="00F02481" w:rsidRPr="00BE78CA" w:rsidRDefault="00F02481" w:rsidP="00C26084">
      <w:pPr>
        <w:pStyle w:val="BodyText"/>
        <w:rPr>
          <w:rFonts w:cs="Calibri"/>
        </w:rPr>
      </w:pPr>
      <w:r w:rsidRPr="00BE78CA">
        <w:rPr>
          <w:rFonts w:cs="Calibri"/>
        </w:rPr>
        <w:t xml:space="preserve">No improvements are currently planned. </w:t>
      </w:r>
    </w:p>
    <w:p w14:paraId="41A2AD0D" w14:textId="77777777" w:rsidR="00F02481" w:rsidRPr="00BE78CA" w:rsidRDefault="00F02481" w:rsidP="00C26084">
      <w:pPr>
        <w:pStyle w:val="Heading2"/>
        <w:rPr>
          <w:rFonts w:cs="Calibri"/>
        </w:rPr>
      </w:pPr>
      <w:bookmarkStart w:id="1080" w:name="_Toc448321529"/>
      <w:bookmarkStart w:id="1081" w:name="_Toc481751391"/>
      <w:bookmarkStart w:id="1082" w:name="_Toc511116606"/>
      <w:bookmarkStart w:id="1083" w:name="_Toc5269368"/>
      <w:bookmarkStart w:id="1084" w:name="_Toc32570682"/>
      <w:bookmarkStart w:id="1085" w:name="_Toc36224408"/>
      <w:bookmarkStart w:id="1086" w:name="_Toc68786328"/>
      <w:r w:rsidRPr="00BE78CA">
        <w:rPr>
          <w:rFonts w:cs="Calibri"/>
        </w:rPr>
        <w:t>5.8</w:t>
      </w:r>
      <w:r w:rsidRPr="00BE78CA">
        <w:rPr>
          <w:rFonts w:cs="Calibri"/>
        </w:rPr>
        <w:tab/>
        <w:t>Liming (CRF 3.G)</w:t>
      </w:r>
      <w:bookmarkEnd w:id="1080"/>
      <w:bookmarkEnd w:id="1081"/>
      <w:bookmarkEnd w:id="1082"/>
      <w:bookmarkEnd w:id="1083"/>
      <w:bookmarkEnd w:id="1084"/>
      <w:bookmarkEnd w:id="1085"/>
      <w:bookmarkEnd w:id="1086"/>
      <w:r w:rsidRPr="00BE78CA">
        <w:rPr>
          <w:rFonts w:cs="Calibri"/>
        </w:rPr>
        <w:t xml:space="preserve"> </w:t>
      </w:r>
    </w:p>
    <w:p w14:paraId="18D5AF61" w14:textId="77777777" w:rsidR="00F02481" w:rsidRPr="00BE78CA" w:rsidRDefault="00F02481" w:rsidP="00BD215B">
      <w:pPr>
        <w:pStyle w:val="Heading3"/>
        <w:spacing w:before="160"/>
        <w:rPr>
          <w:rFonts w:cs="Calibri"/>
        </w:rPr>
      </w:pPr>
      <w:bookmarkStart w:id="1087" w:name="_Toc32570683"/>
      <w:r w:rsidRPr="00BE78CA">
        <w:rPr>
          <w:rFonts w:cs="Calibri"/>
        </w:rPr>
        <w:t>5.8.1</w:t>
      </w:r>
      <w:r w:rsidRPr="00BE78CA">
        <w:rPr>
          <w:rFonts w:cs="Calibri"/>
        </w:rPr>
        <w:tab/>
        <w:t>Description</w:t>
      </w:r>
      <w:bookmarkEnd w:id="1087"/>
    </w:p>
    <w:p w14:paraId="58B5E60B" w14:textId="77777777" w:rsidR="00F02481" w:rsidRPr="00BE78CA" w:rsidRDefault="00F02481" w:rsidP="00C26084">
      <w:pPr>
        <w:pStyle w:val="BodyText"/>
        <w:rPr>
          <w:rFonts w:cs="Calibri"/>
        </w:rPr>
      </w:pPr>
      <w:r w:rsidRPr="00BE78CA">
        <w:rPr>
          <w:rFonts w:cs="Calibri"/>
        </w:rPr>
        <w:t>Emissions from the application of lime contributed an estimated 546.1</w:t>
      </w:r>
      <w:r w:rsidRPr="00BE78CA" w:rsidDel="00636508">
        <w:rPr>
          <w:rFonts w:cs="Calibri"/>
        </w:rPr>
        <w:t xml:space="preserve"> </w:t>
      </w:r>
      <w:r w:rsidRPr="00BE78CA">
        <w:rPr>
          <w:rFonts w:cs="Calibri"/>
        </w:rPr>
        <w:t>kt CO</w:t>
      </w:r>
      <w:r w:rsidRPr="00BE78CA">
        <w:rPr>
          <w:rFonts w:cs="Calibri"/>
          <w:vertAlign w:val="subscript"/>
        </w:rPr>
        <w:t>2</w:t>
      </w:r>
      <w:r w:rsidRPr="00BE78CA">
        <w:rPr>
          <w:rFonts w:cs="Calibri"/>
        </w:rPr>
        <w:t xml:space="preserve">, representing 0.7 per cent of New Zealand’s gross emissions and 1.4 per cent of </w:t>
      </w:r>
      <w:r w:rsidRPr="00BE78CA">
        <w:rPr>
          <w:rFonts w:cs="Calibri"/>
          <w:iCs/>
        </w:rPr>
        <w:t>Agriculture</w:t>
      </w:r>
      <w:r w:rsidRPr="00BE78CA">
        <w:rPr>
          <w:rFonts w:cs="Calibri"/>
          <w:i/>
        </w:rPr>
        <w:t xml:space="preserve"> </w:t>
      </w:r>
      <w:r w:rsidRPr="00BE78CA">
        <w:rPr>
          <w:rFonts w:cs="Calibri"/>
        </w:rPr>
        <w:t xml:space="preserve">emissions in 2019. </w:t>
      </w:r>
    </w:p>
    <w:p w14:paraId="55470A9D" w14:textId="77777777" w:rsidR="00F02481" w:rsidRPr="00BE78CA" w:rsidRDefault="00F02481" w:rsidP="00C26084">
      <w:pPr>
        <w:pStyle w:val="BodyText"/>
        <w:rPr>
          <w:rFonts w:cs="Calibri"/>
        </w:rPr>
      </w:pPr>
      <w:r w:rsidRPr="00BE78CA">
        <w:rPr>
          <w:rFonts w:cs="Calibri"/>
        </w:rPr>
        <w:t>In New Zealand, lime and dolomite fertilisers are mainly applied to acidic grassland and cropland soils to reduce soil acidity and to maintain or increase production of pasture and crops. Prior to the 2015 submission, emissions from lime and dolomite fertilisers were reported under Chapter 6, LULUCF.</w:t>
      </w:r>
    </w:p>
    <w:p w14:paraId="216F01FA" w14:textId="0865D1AC" w:rsidR="00F02481" w:rsidRPr="00BE78CA" w:rsidRDefault="00F02481" w:rsidP="00C26084">
      <w:pPr>
        <w:pStyle w:val="BodyText"/>
        <w:rPr>
          <w:rFonts w:cs="Calibri"/>
        </w:rPr>
      </w:pPr>
      <w:r w:rsidRPr="00BE78CA">
        <w:rPr>
          <w:rFonts w:cs="Calibri"/>
          <w:i/>
        </w:rPr>
        <w:t>Liming</w:t>
      </w:r>
      <w:r w:rsidRPr="00BE78CA">
        <w:rPr>
          <w:rFonts w:cs="Calibri"/>
        </w:rPr>
        <w:t xml:space="preserve"> was identified as a key category for the Agriculture sector in 2019 (level assessment).</w:t>
      </w:r>
    </w:p>
    <w:p w14:paraId="3AAB9E99" w14:textId="77777777" w:rsidR="00F02481" w:rsidRPr="00BE78CA" w:rsidRDefault="00F02481" w:rsidP="00C26084">
      <w:pPr>
        <w:pStyle w:val="BodyText"/>
        <w:rPr>
          <w:rFonts w:cs="Calibri"/>
        </w:rPr>
      </w:pPr>
      <w:r w:rsidRPr="00BE78CA">
        <w:rPr>
          <w:rFonts w:cs="Calibri"/>
        </w:rPr>
        <w:t xml:space="preserve">Emissions from </w:t>
      </w:r>
      <w:r w:rsidRPr="00BE78CA">
        <w:rPr>
          <w:rFonts w:cs="Calibri"/>
          <w:i/>
        </w:rPr>
        <w:t xml:space="preserve">Liming </w:t>
      </w:r>
      <w:r w:rsidRPr="00BE78CA">
        <w:rPr>
          <w:rFonts w:cs="Calibri"/>
        </w:rPr>
        <w:t>increased 51.7 per cent (186.1 kt CO</w:t>
      </w:r>
      <w:r w:rsidRPr="00BE78CA">
        <w:rPr>
          <w:rFonts w:cs="Calibri"/>
          <w:vertAlign w:val="subscript"/>
        </w:rPr>
        <w:t>2</w:t>
      </w:r>
      <w:r w:rsidRPr="00BE78CA">
        <w:rPr>
          <w:rFonts w:cs="Calibri"/>
        </w:rPr>
        <w:t>) between 1990 and 2019.</w:t>
      </w:r>
    </w:p>
    <w:p w14:paraId="64F0380F" w14:textId="77777777" w:rsidR="00F02481" w:rsidRPr="00BE78CA" w:rsidRDefault="00F02481" w:rsidP="00BD215B">
      <w:pPr>
        <w:pStyle w:val="Heading3"/>
      </w:pPr>
      <w:bookmarkStart w:id="1088" w:name="_Toc32570684"/>
      <w:r w:rsidRPr="00BE78CA">
        <w:t>5.8.2</w:t>
      </w:r>
      <w:r w:rsidRPr="00BE78CA">
        <w:tab/>
        <w:t>Methodological issues</w:t>
      </w:r>
      <w:bookmarkEnd w:id="1088"/>
    </w:p>
    <w:p w14:paraId="6EA3878A" w14:textId="54C72D63" w:rsidR="00F02481" w:rsidRPr="00BE78CA" w:rsidRDefault="00F02481" w:rsidP="00C26084">
      <w:pPr>
        <w:pStyle w:val="BodyText"/>
        <w:rPr>
          <w:rFonts w:cs="Calibri"/>
        </w:rPr>
      </w:pPr>
      <w:r w:rsidRPr="00BE78CA">
        <w:rPr>
          <w:rFonts w:cs="Calibri"/>
        </w:rPr>
        <w:t>Data on agricultural lime (limestone and dolomite) application are collected by Stats NZ,</w:t>
      </w:r>
      <w:r w:rsidR="00252B82" w:rsidRPr="00BE78CA">
        <w:rPr>
          <w:rFonts w:cs="Calibri"/>
        </w:rPr>
        <w:t> </w:t>
      </w:r>
      <w:r w:rsidRPr="00BE78CA">
        <w:rPr>
          <w:rFonts w:cs="Calibri"/>
        </w:rPr>
        <w:t>as a part of its five-yearly Agricultural Production census and annual surveys in the intervening years. Analysis of the data indicates that, each year, around 90 per cent of</w:t>
      </w:r>
      <w:r w:rsidR="00252B82" w:rsidRPr="00BE78CA">
        <w:rPr>
          <w:rFonts w:cs="Calibri"/>
        </w:rPr>
        <w:t> </w:t>
      </w:r>
      <w:r w:rsidRPr="00BE78CA">
        <w:rPr>
          <w:rFonts w:cs="Calibri"/>
        </w:rPr>
        <w:t>agricultural lime used in New Zealand is applied to grassland, with the remaining 10</w:t>
      </w:r>
      <w:r w:rsidR="00252B82" w:rsidRPr="00BE78CA">
        <w:rPr>
          <w:rFonts w:cs="Calibri"/>
        </w:rPr>
        <w:t> </w:t>
      </w:r>
      <w:r w:rsidRPr="00BE78CA">
        <w:rPr>
          <w:rFonts w:cs="Calibri"/>
        </w:rPr>
        <w:t>per</w:t>
      </w:r>
      <w:r w:rsidR="00252B82" w:rsidRPr="00BE78CA">
        <w:rPr>
          <w:rFonts w:cs="Calibri"/>
        </w:rPr>
        <w:t> </w:t>
      </w:r>
      <w:r w:rsidRPr="00BE78CA">
        <w:rPr>
          <w:rFonts w:cs="Calibri"/>
        </w:rPr>
        <w:t>cent applied to cropland.</w:t>
      </w:r>
    </w:p>
    <w:p w14:paraId="1293AF26" w14:textId="77777777" w:rsidR="00F02481" w:rsidRPr="00BE78CA" w:rsidRDefault="00F02481" w:rsidP="00C26084">
      <w:pPr>
        <w:pStyle w:val="BodyText"/>
        <w:rPr>
          <w:rFonts w:cs="Calibri"/>
          <w:spacing w:val="-2"/>
        </w:rPr>
      </w:pPr>
      <w:r w:rsidRPr="00BE78CA">
        <w:rPr>
          <w:rFonts w:cs="Calibri"/>
          <w:spacing w:val="-2"/>
        </w:rPr>
        <w:t>There is no country-specific methodology on CO</w:t>
      </w:r>
      <w:r w:rsidRPr="00BE78CA">
        <w:rPr>
          <w:rFonts w:cs="Calibri"/>
          <w:spacing w:val="-2"/>
          <w:vertAlign w:val="subscript"/>
        </w:rPr>
        <w:t>2</w:t>
      </w:r>
      <w:r w:rsidRPr="00BE78CA">
        <w:rPr>
          <w:rFonts w:cs="Calibri"/>
          <w:spacing w:val="-2"/>
        </w:rPr>
        <w:t xml:space="preserve"> emissions from liming and dolomite fertilisers that has been developed in New Zealand. Emissions associated with liming are estimated by following the Tier 1 methodology (equation 11.12; IPCC, 2006), using default emission factors for carbon conversion of 0.12 and 0.13 for limestone and dolomite respectively. </w:t>
      </w:r>
    </w:p>
    <w:p w14:paraId="46B2FB94" w14:textId="77777777" w:rsidR="00F02481" w:rsidRPr="00BE78CA" w:rsidRDefault="00F02481" w:rsidP="00BD215B">
      <w:pPr>
        <w:pStyle w:val="Heading3"/>
      </w:pPr>
      <w:bookmarkStart w:id="1089" w:name="_Toc32570685"/>
      <w:r w:rsidRPr="00BE78CA">
        <w:t>5.8.3</w:t>
      </w:r>
      <w:r w:rsidRPr="00BE78CA">
        <w:tab/>
        <w:t>Activity data</w:t>
      </w:r>
      <w:bookmarkEnd w:id="1089"/>
    </w:p>
    <w:p w14:paraId="5B6A2E23" w14:textId="77777777" w:rsidR="00F02481" w:rsidRPr="00BE78CA" w:rsidRDefault="00F02481" w:rsidP="00C26084">
      <w:pPr>
        <w:pStyle w:val="BodyText"/>
        <w:rPr>
          <w:rFonts w:cs="Calibri"/>
        </w:rPr>
      </w:pPr>
      <w:r w:rsidRPr="00BE78CA">
        <w:rPr>
          <w:rFonts w:cs="Calibri"/>
        </w:rPr>
        <w:t>Limestone is more commonly applied than dolomite in New Zealand. Limestone occurs and is extracted widely in New Zealand whereas dolomite is only available from a smaller, localised source. Activity data sourced from the Stats NZ Agricultural Production census show that limestone application has declined since 2002, while dolomite use peaked in 2010 and has fallen since then. The quantity of lime applied as limestone and dolomite varies each year and is influenced by a number of factors, including farm profitability (see figures 5.8.1 and 5.8.2). The quality of the lime applied is assumed to be 100 per cent calcium carbonate.</w:t>
      </w:r>
    </w:p>
    <w:p w14:paraId="1378D899" w14:textId="77777777" w:rsidR="00F02481" w:rsidRPr="00BE78CA" w:rsidRDefault="00F02481" w:rsidP="00C26084">
      <w:pPr>
        <w:pStyle w:val="Figure"/>
      </w:pPr>
      <w:bookmarkStart w:id="1090" w:name="_Toc447275698"/>
      <w:bookmarkStart w:id="1091" w:name="_Toc481752017"/>
      <w:bookmarkStart w:id="1092" w:name="_Toc507158476"/>
      <w:bookmarkStart w:id="1093" w:name="_Toc511116967"/>
      <w:bookmarkStart w:id="1094" w:name="_Toc5269697"/>
      <w:bookmarkStart w:id="1095" w:name="_Toc32570968"/>
      <w:bookmarkStart w:id="1096" w:name="_Toc36292798"/>
      <w:bookmarkStart w:id="1097" w:name="_Toc68786663"/>
      <w:r w:rsidRPr="00BE78CA">
        <w:lastRenderedPageBreak/>
        <w:t>Figure 5.8.1</w:t>
      </w:r>
      <w:r w:rsidRPr="00BE78CA">
        <w:tab/>
        <w:t>Limestone usage on agricultural land in New Zealand from 1990 to </w:t>
      </w:r>
      <w:bookmarkEnd w:id="1090"/>
      <w:bookmarkEnd w:id="1091"/>
      <w:bookmarkEnd w:id="1092"/>
      <w:bookmarkEnd w:id="1093"/>
      <w:bookmarkEnd w:id="1094"/>
      <w:r w:rsidRPr="00BE78CA">
        <w:t>201</w:t>
      </w:r>
      <w:bookmarkEnd w:id="1095"/>
      <w:bookmarkEnd w:id="1096"/>
      <w:r w:rsidRPr="00BE78CA">
        <w:t>9</w:t>
      </w:r>
      <w:bookmarkEnd w:id="1097"/>
    </w:p>
    <w:p w14:paraId="1E1A1DEE" w14:textId="433205CE" w:rsidR="00F02481" w:rsidRPr="00BE78CA" w:rsidRDefault="00087879" w:rsidP="00BD215B">
      <w:pPr>
        <w:pStyle w:val="BodyText"/>
        <w:spacing w:before="0"/>
        <w:rPr>
          <w:rFonts w:cs="Calibri"/>
        </w:rPr>
      </w:pPr>
      <w:r>
        <w:pict w14:anchorId="6F9A713F">
          <v:shape id="_x0000_i1079" type="#_x0000_t75" style="width:410.25pt;height:219.4pt;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">
            <v:imagedata r:id="rId189" o:title="" croptop="1901f" cropbottom="3277f"/>
            <o:lock v:ext="edit" aspectratio="f"/>
          </v:shape>
        </w:pict>
      </w:r>
    </w:p>
    <w:p w14:paraId="6AFAFDB6" w14:textId="77777777" w:rsidR="00F02481" w:rsidRPr="00BE78CA" w:rsidRDefault="00F02481" w:rsidP="00F82038">
      <w:pPr>
        <w:pStyle w:val="Figure"/>
        <w:spacing w:before="240"/>
      </w:pPr>
      <w:bookmarkStart w:id="1098" w:name="_Toc507158477"/>
      <w:bookmarkStart w:id="1099" w:name="_Toc511116968"/>
      <w:bookmarkStart w:id="1100" w:name="_Toc5269698"/>
      <w:bookmarkStart w:id="1101" w:name="_Toc32570969"/>
      <w:bookmarkStart w:id="1102" w:name="_Toc36292799"/>
      <w:bookmarkStart w:id="1103" w:name="_Toc68786664"/>
      <w:r w:rsidRPr="00BE78CA">
        <w:t>Figure 5.8.2</w:t>
      </w:r>
      <w:r w:rsidRPr="00BE78CA">
        <w:tab/>
        <w:t>Dolomite usage on agricultural land in New Zealand from 1990 to </w:t>
      </w:r>
      <w:bookmarkEnd w:id="1098"/>
      <w:bookmarkEnd w:id="1099"/>
      <w:bookmarkEnd w:id="1100"/>
      <w:r w:rsidRPr="00BE78CA">
        <w:t>201</w:t>
      </w:r>
      <w:bookmarkEnd w:id="1101"/>
      <w:bookmarkEnd w:id="1102"/>
      <w:r w:rsidRPr="00BE78CA">
        <w:t>9</w:t>
      </w:r>
      <w:bookmarkEnd w:id="1103"/>
    </w:p>
    <w:p w14:paraId="39E42F8C" w14:textId="60AEB645" w:rsidR="00F02481" w:rsidRPr="00BE78CA" w:rsidRDefault="00087879" w:rsidP="00BD215B">
      <w:pPr>
        <w:pStyle w:val="BodyText"/>
        <w:spacing w:before="0" w:after="0"/>
        <w:rPr>
          <w:rFonts w:cs="Calibri"/>
        </w:rPr>
      </w:pPr>
      <w:r>
        <w:pict w14:anchorId="12F78403">
          <v:shape id="_x0000_i1080" type="#_x0000_t75" style="width:417.75pt;height:226.85pt;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">
            <v:imagedata r:id="rId190" o:title="" croptop="2016f" cropbottom="3004f"/>
            <o:lock v:ext="edit" aspectratio="f"/>
          </v:shape>
        </w:pict>
      </w:r>
    </w:p>
    <w:p w14:paraId="0200CE3A" w14:textId="77777777" w:rsidR="00F02481" w:rsidRPr="00BE78CA" w:rsidRDefault="00F02481" w:rsidP="00BD215B">
      <w:pPr>
        <w:pStyle w:val="Heading3"/>
      </w:pPr>
      <w:bookmarkStart w:id="1104" w:name="_Toc32570686"/>
      <w:r w:rsidRPr="00BE78CA">
        <w:t>5.8.4</w:t>
      </w:r>
      <w:r w:rsidRPr="00BE78CA">
        <w:tab/>
        <w:t>Uncertainties and time-series consistency</w:t>
      </w:r>
      <w:bookmarkEnd w:id="1104"/>
    </w:p>
    <w:p w14:paraId="73F43BAB" w14:textId="77777777" w:rsidR="00F02481" w:rsidRPr="00BE78CA" w:rsidRDefault="00F02481" w:rsidP="00C26084">
      <w:pPr>
        <w:pStyle w:val="BodyText"/>
        <w:rPr>
          <w:rFonts w:cs="Calibri"/>
        </w:rPr>
      </w:pPr>
      <w:r w:rsidRPr="00BE78CA">
        <w:rPr>
          <w:rFonts w:cs="Calibri"/>
        </w:rPr>
        <w:t>Using the IPCC (2006) Tier 1 methodology, default emission factors are used, which are based on the chemical formulae of lime and assume all carbon in lime is emitted as CO</w:t>
      </w:r>
      <w:r w:rsidRPr="00BE78CA">
        <w:rPr>
          <w:rFonts w:cs="Calibri"/>
          <w:vertAlign w:val="subscript"/>
        </w:rPr>
        <w:t>2</w:t>
      </w:r>
      <w:r w:rsidRPr="00BE78CA">
        <w:rPr>
          <w:rFonts w:cs="Calibri"/>
        </w:rPr>
        <w:t xml:space="preserve"> into the atmosphere. However, the 2006 IPCC Guidelines state that the maximum available carbon is not necessarily lost and that the emissions could be up to 50 per cent lower than estimated. </w:t>
      </w:r>
    </w:p>
    <w:p w14:paraId="7BA1FC97" w14:textId="77777777" w:rsidR="00F02481" w:rsidRPr="00BE78CA" w:rsidRDefault="00F02481" w:rsidP="00C26084">
      <w:pPr>
        <w:pStyle w:val="BodyText"/>
        <w:rPr>
          <w:rFonts w:cs="Calibri"/>
        </w:rPr>
      </w:pPr>
      <w:r w:rsidRPr="00BE78CA">
        <w:rPr>
          <w:rFonts w:cs="Calibri"/>
        </w:rPr>
        <w:t>The Agricultural Production census and survey data used in the inventory have gaps in the time series: no data are available for 1991 or between 1997 and 2001. In the absence of other supporting data, linear interpolation has been used to estimate the data for these years.</w:t>
      </w:r>
    </w:p>
    <w:p w14:paraId="10642C29" w14:textId="77777777" w:rsidR="00F02481" w:rsidRPr="00BE78CA" w:rsidRDefault="00F02481" w:rsidP="00C26084">
      <w:pPr>
        <w:pStyle w:val="Heading3"/>
        <w:rPr>
          <w:rFonts w:cs="Calibri"/>
        </w:rPr>
      </w:pPr>
      <w:bookmarkStart w:id="1105" w:name="_Toc32570687"/>
      <w:r w:rsidRPr="00BE78CA">
        <w:rPr>
          <w:rFonts w:cs="Calibri"/>
        </w:rPr>
        <w:lastRenderedPageBreak/>
        <w:t>5.8.5</w:t>
      </w:r>
      <w:r w:rsidRPr="00BE78CA">
        <w:rPr>
          <w:rFonts w:cs="Calibri"/>
        </w:rPr>
        <w:tab/>
        <w:t>Source-specific QA/QC and verification</w:t>
      </w:r>
      <w:bookmarkEnd w:id="1105"/>
    </w:p>
    <w:p w14:paraId="6DFEEBBF" w14:textId="77777777" w:rsidR="00F02481" w:rsidRPr="00BE78CA" w:rsidRDefault="00F02481" w:rsidP="0003467F">
      <w:pPr>
        <w:pStyle w:val="BodyText"/>
        <w:spacing w:before="100" w:after="100"/>
        <w:rPr>
          <w:rFonts w:cs="Calibri"/>
        </w:rPr>
      </w:pPr>
      <w:r w:rsidRPr="00BE78CA">
        <w:rPr>
          <w:rFonts w:cs="Calibri"/>
        </w:rPr>
        <w:t xml:space="preserve">In the preparation of this inventory, the data for </w:t>
      </w:r>
      <w:r w:rsidRPr="00BE78CA">
        <w:rPr>
          <w:rFonts w:cs="Calibri"/>
          <w:i/>
        </w:rPr>
        <w:t>Liming</w:t>
      </w:r>
      <w:r w:rsidRPr="00BE78CA">
        <w:rPr>
          <w:rFonts w:cs="Calibri"/>
        </w:rPr>
        <w:t xml:space="preserve"> underwent Tier 1 quality checks. Stats NZ, the agency that collects the activity data for </w:t>
      </w:r>
      <w:r w:rsidRPr="00BE78CA">
        <w:rPr>
          <w:rFonts w:cs="Calibri"/>
          <w:i/>
        </w:rPr>
        <w:t>Liming</w:t>
      </w:r>
      <w:r w:rsidRPr="00BE78CA">
        <w:rPr>
          <w:rFonts w:cs="Calibri"/>
        </w:rPr>
        <w:t>, also carries out a series of quality-assurance and quality-control procedures as part of the data collection carried out each year.</w:t>
      </w:r>
    </w:p>
    <w:p w14:paraId="67A6E9D5" w14:textId="77777777" w:rsidR="00F02481" w:rsidRPr="00BE78CA" w:rsidRDefault="00F02481" w:rsidP="00C26084">
      <w:pPr>
        <w:pStyle w:val="Heading3"/>
        <w:spacing w:before="240"/>
        <w:rPr>
          <w:rFonts w:cs="Calibri"/>
        </w:rPr>
      </w:pPr>
      <w:bookmarkStart w:id="1106" w:name="_Toc32570688"/>
      <w:r w:rsidRPr="00BE78CA">
        <w:rPr>
          <w:rFonts w:cs="Calibri"/>
        </w:rPr>
        <w:t>5.8.6</w:t>
      </w:r>
      <w:r w:rsidRPr="00BE78CA">
        <w:rPr>
          <w:rFonts w:cs="Calibri"/>
        </w:rPr>
        <w:tab/>
        <w:t>Source-specific recalculations</w:t>
      </w:r>
      <w:bookmarkEnd w:id="1106"/>
    </w:p>
    <w:p w14:paraId="09657C81" w14:textId="04C35F85" w:rsidR="00F02481" w:rsidRPr="00BE78CA" w:rsidRDefault="00F02481" w:rsidP="0003467F">
      <w:pPr>
        <w:pStyle w:val="BodyText"/>
        <w:spacing w:before="100" w:after="100"/>
        <w:rPr>
          <w:rFonts w:cs="Calibri"/>
        </w:rPr>
      </w:pPr>
      <w:r w:rsidRPr="00BE78CA">
        <w:rPr>
          <w:rFonts w:cs="Calibri"/>
        </w:rPr>
        <w:t xml:space="preserve">No changes in activity data for lime and dolomite fertilisers were reported and therefore no source-specific recalculations were performed for </w:t>
      </w:r>
      <w:r w:rsidRPr="00BE78CA">
        <w:rPr>
          <w:rFonts w:cs="Calibri"/>
          <w:i/>
        </w:rPr>
        <w:t>Liming</w:t>
      </w:r>
      <w:r w:rsidRPr="00BE78CA">
        <w:rPr>
          <w:rFonts w:cs="Calibri"/>
        </w:rPr>
        <w:t xml:space="preserve"> in the 2021 (1990</w:t>
      </w:r>
      <w:r w:rsidR="00F82038" w:rsidRPr="00BE78CA">
        <w:rPr>
          <w:rFonts w:cs="Calibri"/>
        </w:rPr>
        <w:t>–</w:t>
      </w:r>
      <w:r w:rsidRPr="00BE78CA">
        <w:rPr>
          <w:rFonts w:cs="Calibri"/>
        </w:rPr>
        <w:t>2019) submission.</w:t>
      </w:r>
    </w:p>
    <w:p w14:paraId="15661877" w14:textId="77777777" w:rsidR="00F02481" w:rsidRPr="00BE78CA" w:rsidRDefault="00F02481" w:rsidP="00C26084">
      <w:pPr>
        <w:pStyle w:val="Heading3"/>
        <w:spacing w:before="240"/>
        <w:rPr>
          <w:rFonts w:cs="Calibri"/>
        </w:rPr>
      </w:pPr>
      <w:bookmarkStart w:id="1107" w:name="_Toc32570689"/>
      <w:r w:rsidRPr="00BE78CA">
        <w:rPr>
          <w:rFonts w:cs="Calibri"/>
        </w:rPr>
        <w:t>5.8.7</w:t>
      </w:r>
      <w:r w:rsidRPr="00BE78CA">
        <w:rPr>
          <w:rFonts w:cs="Calibri"/>
        </w:rPr>
        <w:tab/>
        <w:t>Source-specific planned improvements</w:t>
      </w:r>
      <w:bookmarkEnd w:id="1107"/>
    </w:p>
    <w:p w14:paraId="08C5382B" w14:textId="77777777" w:rsidR="00F02481" w:rsidRPr="00BE78CA" w:rsidRDefault="00F02481" w:rsidP="0003467F">
      <w:pPr>
        <w:pStyle w:val="BodyText"/>
        <w:spacing w:before="100" w:after="100"/>
        <w:rPr>
          <w:rFonts w:cs="Calibri"/>
        </w:rPr>
      </w:pPr>
      <w:r w:rsidRPr="00BE78CA">
        <w:rPr>
          <w:rFonts w:cs="Calibri"/>
        </w:rPr>
        <w:t xml:space="preserve">New Zealand will continue to update activity data on </w:t>
      </w:r>
      <w:r w:rsidRPr="00BE78CA">
        <w:rPr>
          <w:rFonts w:cs="Calibri"/>
          <w:i/>
        </w:rPr>
        <w:t>Liming</w:t>
      </w:r>
      <w:r w:rsidRPr="00BE78CA">
        <w:rPr>
          <w:rFonts w:cs="Calibri"/>
        </w:rPr>
        <w:t xml:space="preserve"> as the data become available from Stats NZ. The project described below outlines research focused specifically on the </w:t>
      </w:r>
      <w:r w:rsidRPr="00BE78CA">
        <w:rPr>
          <w:rFonts w:cs="Calibri"/>
          <w:i/>
          <w:iCs/>
        </w:rPr>
        <w:t>Liming</w:t>
      </w:r>
      <w:r w:rsidRPr="00BE78CA">
        <w:rPr>
          <w:rFonts w:cs="Calibri"/>
        </w:rPr>
        <w:t> component of the Agriculture inventory, although there are several cross-cutting broader projects that will improve the accuracy of emissions in multiple categories (including </w:t>
      </w:r>
      <w:r w:rsidRPr="00BE78CA">
        <w:rPr>
          <w:rFonts w:cs="Calibri"/>
          <w:i/>
          <w:iCs/>
        </w:rPr>
        <w:t>Enteric fermentation</w:t>
      </w:r>
      <w:r w:rsidRPr="00BE78CA">
        <w:rPr>
          <w:rFonts w:cs="Calibri"/>
        </w:rPr>
        <w:t>,</w:t>
      </w:r>
      <w:r w:rsidRPr="00BE78CA">
        <w:rPr>
          <w:rFonts w:cs="Calibri"/>
          <w:i/>
          <w:iCs/>
        </w:rPr>
        <w:t xml:space="preserve"> Manure management </w:t>
      </w:r>
      <w:r w:rsidRPr="00BE78CA">
        <w:rPr>
          <w:rFonts w:cs="Calibri"/>
        </w:rPr>
        <w:t>and</w:t>
      </w:r>
      <w:r w:rsidRPr="00BE78CA">
        <w:rPr>
          <w:rFonts w:cs="Calibri"/>
          <w:i/>
          <w:iCs/>
        </w:rPr>
        <w:t xml:space="preserve"> Agricultural soils</w:t>
      </w:r>
      <w:r w:rsidRPr="00BE78CA">
        <w:rPr>
          <w:rFonts w:cs="Calibri"/>
        </w:rPr>
        <w:t>),</w:t>
      </w:r>
      <w:r w:rsidRPr="00BE78CA">
        <w:rPr>
          <w:rFonts w:cs="Calibri"/>
          <w:i/>
          <w:iCs/>
        </w:rPr>
        <w:t xml:space="preserve"> </w:t>
      </w:r>
      <w:r w:rsidRPr="00BE78CA">
        <w:rPr>
          <w:rFonts w:cs="Calibri"/>
        </w:rPr>
        <w:t>which are described in section 5.1.7.</w:t>
      </w:r>
    </w:p>
    <w:p w14:paraId="1108802C" w14:textId="77777777" w:rsidR="00F02481" w:rsidRPr="00BE78CA" w:rsidRDefault="00F02481" w:rsidP="0003467F">
      <w:pPr>
        <w:pStyle w:val="Heading5"/>
        <w:spacing w:before="200"/>
        <w:rPr>
          <w:rFonts w:cs="Calibri"/>
        </w:rPr>
      </w:pPr>
      <w:r w:rsidRPr="00BE78CA">
        <w:rPr>
          <w:rFonts w:cs="Calibri"/>
        </w:rPr>
        <w:t>Purity of agricultural lime and dolomite</w:t>
      </w:r>
    </w:p>
    <w:p w14:paraId="0E29D474" w14:textId="77777777" w:rsidR="00F02481" w:rsidRPr="00BE78CA" w:rsidRDefault="00F02481" w:rsidP="0003467F">
      <w:pPr>
        <w:pStyle w:val="BodyText"/>
        <w:spacing w:before="100" w:after="100"/>
        <w:rPr>
          <w:rFonts w:cs="Calibri"/>
        </w:rPr>
      </w:pPr>
      <w:r w:rsidRPr="00BE78CA">
        <w:rPr>
          <w:rFonts w:cs="Calibri"/>
        </w:rPr>
        <w:t>This project will obtain accurate data on the purity of limestone and dolomite. The current inventory assumes that limestone products have a 100 per cent purity, however, available evidence suggests that much of the limestone currently applied may actually be of a lower purity. Accurately accounting for this will likely reduce New Zealand’s estimated emissions.</w:t>
      </w:r>
    </w:p>
    <w:p w14:paraId="75C83004" w14:textId="77777777" w:rsidR="00F02481" w:rsidRPr="00BE78CA" w:rsidRDefault="00F02481" w:rsidP="00C26084">
      <w:pPr>
        <w:pStyle w:val="Heading2"/>
      </w:pPr>
      <w:bookmarkStart w:id="1108" w:name="_Toc448321530"/>
      <w:bookmarkStart w:id="1109" w:name="_Toc481751392"/>
      <w:bookmarkStart w:id="1110" w:name="_Toc511116607"/>
      <w:bookmarkStart w:id="1111" w:name="_Toc5269369"/>
      <w:bookmarkStart w:id="1112" w:name="_Toc32570690"/>
      <w:bookmarkStart w:id="1113" w:name="_Toc36224409"/>
      <w:bookmarkStart w:id="1114" w:name="_Toc68786329"/>
      <w:r w:rsidRPr="00BE78CA">
        <w:t>5.9</w:t>
      </w:r>
      <w:r w:rsidRPr="00BE78CA">
        <w:tab/>
        <w:t>Urea application (CRF 3.H)</w:t>
      </w:r>
      <w:bookmarkEnd w:id="1108"/>
      <w:bookmarkEnd w:id="1109"/>
      <w:bookmarkEnd w:id="1110"/>
      <w:bookmarkEnd w:id="1111"/>
      <w:bookmarkEnd w:id="1112"/>
      <w:bookmarkEnd w:id="1113"/>
      <w:bookmarkEnd w:id="1114"/>
    </w:p>
    <w:p w14:paraId="1BE70D68" w14:textId="77777777" w:rsidR="00F02481" w:rsidRPr="00BE78CA" w:rsidRDefault="00F02481" w:rsidP="0003467F">
      <w:pPr>
        <w:pStyle w:val="Heading3"/>
        <w:spacing w:before="160"/>
      </w:pPr>
      <w:bookmarkStart w:id="1115" w:name="_Toc32570691"/>
      <w:r w:rsidRPr="00BE78CA">
        <w:t>5.9.1</w:t>
      </w:r>
      <w:r w:rsidRPr="00BE78CA">
        <w:tab/>
        <w:t>Description</w:t>
      </w:r>
      <w:bookmarkEnd w:id="1115"/>
    </w:p>
    <w:p w14:paraId="09F9FD51" w14:textId="77777777" w:rsidR="00F02481" w:rsidRPr="00BE78CA" w:rsidRDefault="00F02481" w:rsidP="0003467F">
      <w:pPr>
        <w:pStyle w:val="BodyText"/>
        <w:spacing w:before="100" w:after="100"/>
        <w:rPr>
          <w:rFonts w:cs="Calibri"/>
        </w:rPr>
      </w:pPr>
      <w:r w:rsidRPr="00BE78CA">
        <w:rPr>
          <w:rFonts w:cs="Calibri"/>
        </w:rPr>
        <w:t xml:space="preserve">Urea fertiliser accounts for the majority of synthetic nitrogen fertiliser used in New Zealand. It is mainly applied to dairy pasture land to boost pasture growth during the autumn and spring months. </w:t>
      </w:r>
    </w:p>
    <w:p w14:paraId="5677B82F" w14:textId="77777777" w:rsidR="00F02481" w:rsidRPr="00BE78CA" w:rsidRDefault="00F02481" w:rsidP="0003467F">
      <w:pPr>
        <w:pStyle w:val="BodyText"/>
        <w:spacing w:before="100" w:after="100"/>
        <w:rPr>
          <w:rFonts w:cs="Calibri"/>
        </w:rPr>
      </w:pPr>
      <w:r w:rsidRPr="00BE78CA">
        <w:rPr>
          <w:rFonts w:cs="Calibri"/>
          <w:i/>
        </w:rPr>
        <w:t>Urea application</w:t>
      </w:r>
      <w:r w:rsidRPr="00BE78CA">
        <w:rPr>
          <w:rFonts w:cs="Calibri"/>
        </w:rPr>
        <w:t xml:space="preserve"> was identified as a key category for the Agriculture sector in 2019 (level and trend assessment).</w:t>
      </w:r>
    </w:p>
    <w:p w14:paraId="49E1BFE9" w14:textId="77777777" w:rsidR="00F02481" w:rsidRPr="00BE78CA" w:rsidRDefault="00F02481" w:rsidP="0003467F">
      <w:pPr>
        <w:pStyle w:val="BodyText"/>
        <w:spacing w:before="100" w:after="100"/>
        <w:rPr>
          <w:rFonts w:cs="Calibri"/>
        </w:rPr>
      </w:pPr>
      <w:r w:rsidRPr="00BE78CA">
        <w:rPr>
          <w:rFonts w:cs="Calibri"/>
          <w:i/>
        </w:rPr>
        <w:t>Urea application</w:t>
      </w:r>
      <w:r w:rsidRPr="00BE78CA">
        <w:rPr>
          <w:rFonts w:cs="Calibri"/>
        </w:rPr>
        <w:t xml:space="preserve"> contributed an estimated 570.7 kt CO</w:t>
      </w:r>
      <w:r w:rsidRPr="00BE78CA">
        <w:rPr>
          <w:rFonts w:cs="Calibri"/>
          <w:vertAlign w:val="subscript"/>
        </w:rPr>
        <w:t>2</w:t>
      </w:r>
      <w:r w:rsidRPr="00BE78CA">
        <w:rPr>
          <w:rFonts w:cs="Calibri"/>
        </w:rPr>
        <w:t>,</w:t>
      </w:r>
      <w:r w:rsidRPr="00BE78CA">
        <w:rPr>
          <w:rFonts w:cs="Calibri"/>
          <w:vertAlign w:val="subscript"/>
        </w:rPr>
        <w:t xml:space="preserve"> </w:t>
      </w:r>
      <w:r w:rsidRPr="00BE78CA">
        <w:rPr>
          <w:rFonts w:cs="Calibri"/>
        </w:rPr>
        <w:t xml:space="preserve">representing 0.7 per cent of New Zealand’s gross emissions and 1.4 per cent of </w:t>
      </w:r>
      <w:r w:rsidRPr="00BE78CA">
        <w:rPr>
          <w:rFonts w:cs="Calibri"/>
          <w:iCs/>
        </w:rPr>
        <w:t xml:space="preserve">Agriculture </w:t>
      </w:r>
      <w:r w:rsidRPr="00BE78CA">
        <w:rPr>
          <w:rFonts w:cs="Calibri"/>
        </w:rPr>
        <w:t>emissions in 2019.</w:t>
      </w:r>
    </w:p>
    <w:p w14:paraId="748C2981" w14:textId="77777777" w:rsidR="00F02481" w:rsidRPr="00BE78CA" w:rsidRDefault="00F02481" w:rsidP="0003467F">
      <w:pPr>
        <w:pStyle w:val="BodyText"/>
        <w:spacing w:before="100" w:after="100"/>
        <w:rPr>
          <w:rFonts w:cs="Calibri"/>
        </w:rPr>
      </w:pPr>
      <w:r w:rsidRPr="00BE78CA">
        <w:rPr>
          <w:rFonts w:cs="Calibri"/>
        </w:rPr>
        <w:t xml:space="preserve">Emissions from </w:t>
      </w:r>
      <w:r w:rsidRPr="00BE78CA">
        <w:rPr>
          <w:rFonts w:cs="Calibri"/>
          <w:i/>
        </w:rPr>
        <w:t>Urea application</w:t>
      </w:r>
      <w:r w:rsidRPr="00BE78CA">
        <w:rPr>
          <w:rFonts w:cs="Calibri"/>
        </w:rPr>
        <w:t xml:space="preserve"> increased 1,356.1 per cent between 1990 and 2019. The increase in emissions from </w:t>
      </w:r>
      <w:r w:rsidRPr="00BE78CA">
        <w:rPr>
          <w:rFonts w:cs="Calibri"/>
          <w:i/>
        </w:rPr>
        <w:t>Urea application</w:t>
      </w:r>
      <w:r w:rsidRPr="00BE78CA">
        <w:rPr>
          <w:rFonts w:cs="Calibri"/>
        </w:rPr>
        <w:t xml:space="preserve"> is driven by the increase in urea fertiliser applied. Since 1990, the proportion of urea fertiliser applied (relative to total synthetic nitrogen fertiliser use) has increased from 41.5 per cent to 79.2 per cent.</w:t>
      </w:r>
    </w:p>
    <w:p w14:paraId="40212E3A" w14:textId="77777777" w:rsidR="00F02481" w:rsidRPr="00BE78CA" w:rsidRDefault="00F02481" w:rsidP="00C26084">
      <w:pPr>
        <w:pStyle w:val="Heading3"/>
        <w:spacing w:before="240"/>
        <w:rPr>
          <w:rFonts w:cs="Calibri"/>
        </w:rPr>
      </w:pPr>
      <w:bookmarkStart w:id="1116" w:name="_Toc32570692"/>
      <w:r w:rsidRPr="00BE78CA">
        <w:rPr>
          <w:rFonts w:cs="Calibri"/>
        </w:rPr>
        <w:t>5.9.2</w:t>
      </w:r>
      <w:r w:rsidRPr="00BE78CA">
        <w:rPr>
          <w:rFonts w:cs="Calibri"/>
        </w:rPr>
        <w:tab/>
        <w:t>Methodological issues</w:t>
      </w:r>
      <w:bookmarkEnd w:id="1116"/>
    </w:p>
    <w:p w14:paraId="53F7445B" w14:textId="77777777" w:rsidR="00F02481" w:rsidRPr="00BE78CA" w:rsidRDefault="00F02481" w:rsidP="0003467F">
      <w:pPr>
        <w:pStyle w:val="BodyText"/>
        <w:spacing w:before="100"/>
        <w:rPr>
          <w:rFonts w:cs="Calibri"/>
        </w:rPr>
      </w:pPr>
      <w:r w:rsidRPr="00BE78CA">
        <w:rPr>
          <w:rFonts w:cs="Calibri"/>
        </w:rPr>
        <w:t>There is no country-specific methodology on CO</w:t>
      </w:r>
      <w:r w:rsidRPr="00BE78CA">
        <w:rPr>
          <w:rFonts w:cs="Calibri"/>
          <w:vertAlign w:val="subscript"/>
        </w:rPr>
        <w:t>2</w:t>
      </w:r>
      <w:r w:rsidRPr="00BE78CA">
        <w:rPr>
          <w:rFonts w:cs="Calibri"/>
        </w:rPr>
        <w:t xml:space="preserve"> emissions from </w:t>
      </w:r>
      <w:r w:rsidRPr="00BE78CA">
        <w:rPr>
          <w:rFonts w:cs="Calibri"/>
          <w:i/>
        </w:rPr>
        <w:t>Urea application</w:t>
      </w:r>
      <w:r w:rsidRPr="00BE78CA">
        <w:rPr>
          <w:rFonts w:cs="Calibri"/>
        </w:rPr>
        <w:t xml:space="preserve"> for New Zealand. Emissions associated with the application of urea are estimated using a Tier 1 methodology (equation 11.13; IPCC, 2006), using the default emissions factor for carbon conversion of 0.20. </w:t>
      </w:r>
    </w:p>
    <w:p w14:paraId="5006365E" w14:textId="77777777" w:rsidR="00F02481" w:rsidRPr="00BE78CA" w:rsidRDefault="00F02481" w:rsidP="00C26084">
      <w:pPr>
        <w:pStyle w:val="BodyText"/>
        <w:rPr>
          <w:rFonts w:cs="Calibri"/>
        </w:rPr>
      </w:pPr>
      <w:r w:rsidRPr="00BE78CA">
        <w:rPr>
          <w:rFonts w:cs="Calibri"/>
        </w:rPr>
        <w:lastRenderedPageBreak/>
        <w:t>Research into urease inhibitors (see section 5.5.2) has demonstrated that they are effective in slowing down the activity of the urease enzyme that hydrolyses urea to ammonium (as reported in section 5.5.2), but they do not reduce the release of CO</w:t>
      </w:r>
      <w:r w:rsidRPr="00BE78CA">
        <w:rPr>
          <w:rFonts w:cs="Calibri"/>
          <w:vertAlign w:val="subscript"/>
        </w:rPr>
        <w:t>2</w:t>
      </w:r>
      <w:r w:rsidRPr="00BE78CA">
        <w:rPr>
          <w:rFonts w:cs="Calibri"/>
        </w:rPr>
        <w:t xml:space="preserve"> (S Saggar, pers. comm., 2014).</w:t>
      </w:r>
    </w:p>
    <w:p w14:paraId="19608FCA" w14:textId="77777777" w:rsidR="00F02481" w:rsidRPr="00BE78CA" w:rsidRDefault="00F02481" w:rsidP="00C26084">
      <w:pPr>
        <w:pStyle w:val="Heading3"/>
        <w:spacing w:before="240"/>
        <w:rPr>
          <w:rFonts w:cs="Calibri"/>
        </w:rPr>
      </w:pPr>
      <w:bookmarkStart w:id="1117" w:name="_Toc32570693"/>
      <w:r w:rsidRPr="00BE78CA">
        <w:rPr>
          <w:rFonts w:cs="Calibri"/>
        </w:rPr>
        <w:t>5.9.3</w:t>
      </w:r>
      <w:r w:rsidRPr="00BE78CA">
        <w:rPr>
          <w:rFonts w:cs="Calibri"/>
        </w:rPr>
        <w:tab/>
        <w:t>Activity data</w:t>
      </w:r>
      <w:bookmarkEnd w:id="1117"/>
    </w:p>
    <w:p w14:paraId="2878F17B" w14:textId="77777777" w:rsidR="00F02481" w:rsidRPr="00BE78CA" w:rsidRDefault="00F02481" w:rsidP="00C26084">
      <w:pPr>
        <w:pStyle w:val="BodyText"/>
        <w:rPr>
          <w:rFonts w:cs="Calibri"/>
        </w:rPr>
      </w:pPr>
      <w:r w:rsidRPr="00BE78CA">
        <w:rPr>
          <w:rFonts w:cs="Calibri"/>
        </w:rPr>
        <w:t xml:space="preserve">Data on synthetic nitrogen fertiliser use are provided by the Fertiliser Association of New Zealand from fertiliser company sales records from 1990 to 2019. From 1990 to 2013, data on the percentage of synthetic nitrogen fertiliser derived from urea were sourced from the International Fertilizer Industry Association online database and are used to calculate the amount of applied urea fertiliser. Since 2014, data for total nitrogen from synthetic nitrogen fertiliser derived from urea have been provided by the Fertiliser Association of New Zealand. </w:t>
      </w:r>
    </w:p>
    <w:p w14:paraId="42D4BEE5" w14:textId="77777777" w:rsidR="00F02481" w:rsidRPr="00BE78CA" w:rsidRDefault="00F02481" w:rsidP="00C26084">
      <w:pPr>
        <w:pStyle w:val="BodyText"/>
        <w:rPr>
          <w:rFonts w:cs="Calibri"/>
        </w:rPr>
      </w:pPr>
      <w:r w:rsidRPr="00BE78CA">
        <w:rPr>
          <w:rFonts w:cs="Calibri"/>
        </w:rPr>
        <w:t xml:space="preserve">There has been a substantial increase in nitrogen applied to agricultural land as urea fertiliser, from 24,586 tonnes in 1990 to 358,000 tonnes in 2019. This is consistent with the increase in the total amount of synthetic nitrogen fertiliser, which is 662.7 per cent greater than that used in 1990 (see reporting on </w:t>
      </w:r>
      <w:r w:rsidRPr="00BE78CA">
        <w:rPr>
          <w:rFonts w:cs="Calibri"/>
          <w:i/>
          <w:iCs/>
        </w:rPr>
        <w:t>Agricultural soils</w:t>
      </w:r>
      <w:r w:rsidRPr="00BE78CA">
        <w:rPr>
          <w:rFonts w:cs="Calibri"/>
        </w:rPr>
        <w:t xml:space="preserve"> category and figure 5.5.2). </w:t>
      </w:r>
    </w:p>
    <w:p w14:paraId="76AC2E68" w14:textId="77777777" w:rsidR="00F02481" w:rsidRPr="00BE78CA" w:rsidRDefault="00F02481" w:rsidP="00C26084">
      <w:pPr>
        <w:pStyle w:val="Heading3"/>
        <w:spacing w:before="240"/>
        <w:rPr>
          <w:rFonts w:cs="Calibri"/>
        </w:rPr>
      </w:pPr>
      <w:bookmarkStart w:id="1118" w:name="_Toc32570694"/>
      <w:r w:rsidRPr="00BE78CA">
        <w:rPr>
          <w:rFonts w:cs="Calibri"/>
        </w:rPr>
        <w:t>5.9.4</w:t>
      </w:r>
      <w:r w:rsidRPr="00BE78CA">
        <w:rPr>
          <w:rFonts w:cs="Calibri"/>
        </w:rPr>
        <w:tab/>
        <w:t>Uncertainties and time-series consistency</w:t>
      </w:r>
      <w:bookmarkEnd w:id="1118"/>
    </w:p>
    <w:p w14:paraId="467D361B" w14:textId="77777777" w:rsidR="00F02481" w:rsidRPr="00BE78CA" w:rsidRDefault="00F02481" w:rsidP="00C26084">
      <w:pPr>
        <w:pStyle w:val="BodyText"/>
        <w:rPr>
          <w:rFonts w:cs="Calibri"/>
        </w:rPr>
      </w:pPr>
      <w:r w:rsidRPr="00BE78CA">
        <w:rPr>
          <w:rFonts w:cs="Calibri"/>
        </w:rPr>
        <w:t>Under the IPCC (2006) Tier 1 methodology, default emission factors are used, which are based on the chemical formulae of urea and assume all carbon in urea is emitted as CO</w:t>
      </w:r>
      <w:r w:rsidRPr="00BE78CA">
        <w:rPr>
          <w:rFonts w:cs="Calibri"/>
          <w:vertAlign w:val="subscript"/>
        </w:rPr>
        <w:t>2</w:t>
      </w:r>
      <w:r w:rsidRPr="00BE78CA">
        <w:rPr>
          <w:rFonts w:cs="Calibri"/>
        </w:rPr>
        <w:t xml:space="preserve"> into the atmosphere. However, the 2006 IPCC Guidelines state that the maximum available carbon is not necessarily lost and that the emissions could be up to 50 per cent lower. This gives a lower uncertainty estimate of –50 per cent and an upper uncertainty estimate of 0 per cent.</w:t>
      </w:r>
      <w:r w:rsidRPr="00BE78CA" w:rsidDel="00D42FD1">
        <w:rPr>
          <w:rFonts w:cs="Calibri"/>
        </w:rPr>
        <w:t xml:space="preserve"> </w:t>
      </w:r>
    </w:p>
    <w:p w14:paraId="4C917A0E" w14:textId="77777777" w:rsidR="00F02481" w:rsidRPr="00BE78CA" w:rsidRDefault="00F02481" w:rsidP="00C26084">
      <w:pPr>
        <w:pStyle w:val="BodyText"/>
        <w:rPr>
          <w:rFonts w:cs="Calibri"/>
        </w:rPr>
      </w:pPr>
      <w:r w:rsidRPr="00BE78CA">
        <w:rPr>
          <w:rFonts w:cs="Calibri"/>
        </w:rPr>
        <w:t xml:space="preserve">Sales data for synthetic nitrogen fertiliser have been supplied for all years by the Fertiliser Association of New Zealand, but the uncertainties in this data are not known. In general, it is difficult to obtain information on the actual timing and rates of application of nitrogen fertiliser on farm. As outlined above (section 5.9.3), sales data on synthetic nitrogen fertiliser derived from urea were not available before 2014. </w:t>
      </w:r>
    </w:p>
    <w:p w14:paraId="04045989" w14:textId="77777777" w:rsidR="00F02481" w:rsidRPr="00BE78CA" w:rsidRDefault="00F02481" w:rsidP="00C26084">
      <w:pPr>
        <w:pStyle w:val="Heading3"/>
        <w:spacing w:before="240"/>
        <w:rPr>
          <w:rFonts w:cs="Calibri"/>
        </w:rPr>
      </w:pPr>
      <w:bookmarkStart w:id="1119" w:name="_Toc32570695"/>
      <w:r w:rsidRPr="00BE78CA">
        <w:rPr>
          <w:rFonts w:cs="Calibri"/>
        </w:rPr>
        <w:t>5.9.5</w:t>
      </w:r>
      <w:r w:rsidRPr="00BE78CA">
        <w:rPr>
          <w:rFonts w:cs="Calibri"/>
        </w:rPr>
        <w:tab/>
        <w:t>Source-specific QA/QC and verification</w:t>
      </w:r>
      <w:bookmarkEnd w:id="1119"/>
    </w:p>
    <w:p w14:paraId="35EB8635" w14:textId="77777777" w:rsidR="00F02481" w:rsidRPr="00BE78CA" w:rsidRDefault="00F02481" w:rsidP="00C26084">
      <w:pPr>
        <w:pStyle w:val="BodyText"/>
        <w:rPr>
          <w:rFonts w:cs="Calibri"/>
        </w:rPr>
      </w:pPr>
      <w:r w:rsidRPr="00BE78CA">
        <w:rPr>
          <w:rFonts w:cs="Calibri"/>
        </w:rPr>
        <w:t>In the preparation of this inventory, the data for urea fertiliser underwent Tier 1 quality checks. The Fertiliser Association of New Zealand, the organisation that collects the sales activity information for synthetic nitrogen fertiliser, also carries out a series of quality</w:t>
      </w:r>
      <w:r w:rsidRPr="00BE78CA">
        <w:rPr>
          <w:rFonts w:cs="Calibri"/>
        </w:rPr>
        <w:noBreakHyphen/>
        <w:t>assurance and quality-control procedures as a part of the data collection carried out each year and provides this data to the International Fertilizer Industry Association.</w:t>
      </w:r>
    </w:p>
    <w:p w14:paraId="278863E4" w14:textId="77777777" w:rsidR="00F02481" w:rsidRPr="00BE78CA" w:rsidRDefault="00F02481" w:rsidP="00C26084">
      <w:pPr>
        <w:pStyle w:val="Heading3"/>
        <w:spacing w:before="240"/>
        <w:rPr>
          <w:rFonts w:cs="Calibri"/>
        </w:rPr>
      </w:pPr>
      <w:bookmarkStart w:id="1120" w:name="_Toc32570696"/>
      <w:r w:rsidRPr="00BE78CA">
        <w:rPr>
          <w:rFonts w:cs="Calibri"/>
        </w:rPr>
        <w:t>5.9.6</w:t>
      </w:r>
      <w:r w:rsidRPr="00BE78CA">
        <w:rPr>
          <w:rFonts w:cs="Calibri"/>
        </w:rPr>
        <w:tab/>
        <w:t>Source-specific recalculations</w:t>
      </w:r>
      <w:bookmarkEnd w:id="1120"/>
    </w:p>
    <w:p w14:paraId="366CE3FE" w14:textId="77777777" w:rsidR="00F02481" w:rsidRPr="00BE78CA" w:rsidRDefault="00F02481" w:rsidP="00C26084">
      <w:pPr>
        <w:pStyle w:val="BodyText"/>
        <w:rPr>
          <w:rFonts w:cs="Calibri"/>
        </w:rPr>
      </w:pPr>
      <w:r w:rsidRPr="00BE78CA">
        <w:rPr>
          <w:rFonts w:cs="Calibri"/>
        </w:rPr>
        <w:t>No recalculations have been performed for CO</w:t>
      </w:r>
      <w:r w:rsidRPr="00BE78CA">
        <w:rPr>
          <w:rFonts w:cs="Calibri"/>
          <w:vertAlign w:val="subscript"/>
        </w:rPr>
        <w:t>2</w:t>
      </w:r>
      <w:r w:rsidRPr="00BE78CA">
        <w:rPr>
          <w:rFonts w:cs="Calibri"/>
        </w:rPr>
        <w:t xml:space="preserve"> emissions from urea in the 2021 (1990 to 2019) submission.</w:t>
      </w:r>
    </w:p>
    <w:p w14:paraId="0A7349AA" w14:textId="77777777" w:rsidR="00F02481" w:rsidRPr="00BE78CA" w:rsidRDefault="00F02481" w:rsidP="00C26084">
      <w:pPr>
        <w:pStyle w:val="Heading3"/>
        <w:spacing w:before="240"/>
        <w:rPr>
          <w:rFonts w:cs="Calibri"/>
        </w:rPr>
      </w:pPr>
      <w:bookmarkStart w:id="1121" w:name="_Toc32570697"/>
      <w:r w:rsidRPr="00BE78CA">
        <w:rPr>
          <w:rFonts w:cs="Calibri"/>
        </w:rPr>
        <w:t>5.9.7</w:t>
      </w:r>
      <w:r w:rsidRPr="00BE78CA">
        <w:rPr>
          <w:rFonts w:cs="Calibri"/>
        </w:rPr>
        <w:tab/>
        <w:t>Source-specific planned improvements</w:t>
      </w:r>
      <w:bookmarkEnd w:id="1121"/>
    </w:p>
    <w:p w14:paraId="03DDAFB1" w14:textId="77777777" w:rsidR="00F02481" w:rsidRPr="00BE78CA" w:rsidRDefault="00F02481" w:rsidP="00C26084">
      <w:pPr>
        <w:pStyle w:val="BodyText"/>
        <w:rPr>
          <w:rFonts w:cs="Calibri"/>
        </w:rPr>
      </w:pPr>
      <w:r w:rsidRPr="00BE78CA">
        <w:rPr>
          <w:rFonts w:cs="Calibri"/>
        </w:rPr>
        <w:t>New Zealand will continue to update activity data on urea as the data become available from the Fertiliser Association of New Zealand.</w:t>
      </w:r>
    </w:p>
    <w:p w14:paraId="6AA9BDDD" w14:textId="77777777" w:rsidR="00F02481" w:rsidRPr="00BE78CA" w:rsidRDefault="00F02481" w:rsidP="00C26084">
      <w:pPr>
        <w:pStyle w:val="Heading2"/>
        <w:rPr>
          <w:rFonts w:cs="Calibri"/>
        </w:rPr>
      </w:pPr>
      <w:bookmarkStart w:id="1122" w:name="_Toc448321531"/>
      <w:bookmarkStart w:id="1123" w:name="_Toc481751393"/>
      <w:bookmarkStart w:id="1124" w:name="_Toc511116608"/>
      <w:bookmarkStart w:id="1125" w:name="_Toc5269370"/>
      <w:bookmarkStart w:id="1126" w:name="_Toc32570698"/>
      <w:bookmarkStart w:id="1127" w:name="_Toc36224410"/>
      <w:bookmarkStart w:id="1128" w:name="_Toc68786330"/>
      <w:r w:rsidRPr="00BE78CA">
        <w:rPr>
          <w:rFonts w:cs="Calibri"/>
        </w:rPr>
        <w:lastRenderedPageBreak/>
        <w:t xml:space="preserve">5.10 </w:t>
      </w:r>
      <w:r w:rsidRPr="00BE78CA">
        <w:rPr>
          <w:rFonts w:cs="Calibri"/>
        </w:rPr>
        <w:tab/>
        <w:t>Other carbon-containing fertilisers (CRF 3.I)</w:t>
      </w:r>
      <w:bookmarkEnd w:id="1122"/>
      <w:bookmarkEnd w:id="1123"/>
      <w:bookmarkEnd w:id="1124"/>
      <w:bookmarkEnd w:id="1125"/>
      <w:bookmarkEnd w:id="1126"/>
      <w:bookmarkEnd w:id="1127"/>
      <w:bookmarkEnd w:id="1128"/>
    </w:p>
    <w:p w14:paraId="0CE5B9B4" w14:textId="77777777" w:rsidR="00F02481" w:rsidRPr="00BE78CA" w:rsidRDefault="00F02481" w:rsidP="00C26084">
      <w:pPr>
        <w:pStyle w:val="Heading3"/>
        <w:spacing w:before="240"/>
      </w:pPr>
      <w:bookmarkStart w:id="1129" w:name="_Toc32570699"/>
      <w:r w:rsidRPr="00BE78CA">
        <w:t>5.10.1</w:t>
      </w:r>
      <w:r w:rsidRPr="00BE78CA">
        <w:tab/>
        <w:t>Description</w:t>
      </w:r>
      <w:bookmarkEnd w:id="1129"/>
    </w:p>
    <w:p w14:paraId="6411EFE0" w14:textId="77777777" w:rsidR="00F02481" w:rsidRPr="00BE78CA" w:rsidRDefault="00F02481" w:rsidP="00C26084">
      <w:pPr>
        <w:pStyle w:val="BodyText"/>
      </w:pPr>
      <w:r w:rsidRPr="00BE78CA">
        <w:t xml:space="preserve">The IPCC (2006) Guidelines do not provide guidance for reporting on other carbon-containing fertilisers. Other carbon-containing synthetic fertilisers besides limestone, dolomite and urea (see sections 5.8 and 5.9) are not applied to agricultural land in New Zealand (T van der Weerden and C de Klein, pers. comm., 2015). </w:t>
      </w:r>
    </w:p>
    <w:p w14:paraId="1F2C5B23" w14:textId="77777777" w:rsidR="00F02481" w:rsidRPr="00BE78CA" w:rsidRDefault="00F02481" w:rsidP="00C26084">
      <w:pPr>
        <w:pStyle w:val="Heading2"/>
        <w:spacing w:before="0"/>
      </w:pPr>
      <w:bookmarkStart w:id="1130" w:name="_Toc352504866"/>
      <w:bookmarkStart w:id="1131" w:name="_Toc448321532"/>
      <w:bookmarkStart w:id="1132" w:name="_Toc481751394"/>
      <w:bookmarkStart w:id="1133" w:name="_Toc511116609"/>
      <w:bookmarkStart w:id="1134" w:name="_Toc5269371"/>
      <w:bookmarkStart w:id="1135" w:name="_Toc32570700"/>
      <w:r w:rsidRPr="00BE78CA">
        <w:rPr>
          <w:rStyle w:val="BodyTextChar"/>
        </w:rPr>
        <w:br w:type="page"/>
      </w:r>
      <w:bookmarkStart w:id="1136" w:name="_Toc36224411"/>
      <w:bookmarkStart w:id="1137" w:name="_Toc68786331"/>
      <w:r w:rsidRPr="00BE78CA">
        <w:lastRenderedPageBreak/>
        <w:t>Chapter 5: References</w:t>
      </w:r>
      <w:bookmarkEnd w:id="1130"/>
      <w:bookmarkEnd w:id="1131"/>
      <w:bookmarkEnd w:id="1132"/>
      <w:bookmarkEnd w:id="1133"/>
      <w:bookmarkEnd w:id="1134"/>
      <w:bookmarkEnd w:id="1135"/>
      <w:bookmarkEnd w:id="1136"/>
      <w:bookmarkEnd w:id="1137"/>
    </w:p>
    <w:p w14:paraId="03B123BD" w14:textId="77777777" w:rsidR="00F02481" w:rsidRPr="00BE78CA" w:rsidRDefault="00F02481" w:rsidP="00C26084">
      <w:pPr>
        <w:pStyle w:val="BodyText"/>
        <w:rPr>
          <w:rFonts w:cs="Calibri"/>
        </w:rPr>
      </w:pPr>
      <w:r w:rsidRPr="00BE78CA">
        <w:rPr>
          <w:rFonts w:cs="Calibri"/>
        </w:rPr>
        <w:t xml:space="preserve">Some references may be downloaded </w:t>
      </w:r>
      <w:r w:rsidRPr="00BE78CA">
        <w:t xml:space="preserve">directly from: </w:t>
      </w:r>
      <w:hyperlink r:id="rId191" w:history="1">
        <w:r w:rsidRPr="00BE78CA">
          <w:rPr>
            <w:rStyle w:val="Hyperlink"/>
          </w:rPr>
          <w:t>http://mpi.govt.nz/news-and-resources/statistics-and-forecasting/greenhouse-gas-reporting/agriculture-greenhouse-gas-inventory-reports</w:t>
        </w:r>
      </w:hyperlink>
      <w:r w:rsidRPr="00BE78CA">
        <w:rPr>
          <w:rFonts w:cs="Calibri"/>
        </w:rPr>
        <w:t>.</w:t>
      </w:r>
    </w:p>
    <w:p w14:paraId="3DB4AADB" w14:textId="77777777" w:rsidR="00F02481" w:rsidRPr="00BE78CA" w:rsidRDefault="00F02481" w:rsidP="00C26084">
      <w:pPr>
        <w:pStyle w:val="BodyText"/>
        <w:rPr>
          <w:rFonts w:cs="Calibri"/>
        </w:rPr>
      </w:pPr>
      <w:r w:rsidRPr="00BE78CA">
        <w:rPr>
          <w:rFonts w:cs="Calibri"/>
        </w:rPr>
        <w:t xml:space="preserve">MPI is progressively making reports used for the inventory available on this page, where copyright permits. </w:t>
      </w:r>
    </w:p>
    <w:p w14:paraId="570B58F1" w14:textId="77777777" w:rsidR="00F02481" w:rsidRPr="00BE78CA" w:rsidRDefault="00F02481" w:rsidP="00C26084">
      <w:pPr>
        <w:pStyle w:val="References"/>
        <w:spacing w:before="120"/>
        <w:rPr>
          <w:rFonts w:cs="Calibri"/>
        </w:rPr>
      </w:pPr>
      <w:r w:rsidRPr="00BE78CA">
        <w:rPr>
          <w:rFonts w:cs="Calibri"/>
        </w:rPr>
        <w:t xml:space="preserve">Australian Government. Unpublished. Mutual Review of Components of National Inventory Systems: A Review between Australia and New Zealand. Provided by the Australian Government in 2014. </w:t>
      </w:r>
    </w:p>
    <w:p w14:paraId="695FF708" w14:textId="77777777" w:rsidR="00F02481" w:rsidRPr="00BE78CA" w:rsidRDefault="00F02481" w:rsidP="00C26084">
      <w:pPr>
        <w:pStyle w:val="References"/>
        <w:rPr>
          <w:rFonts w:cs="Calibri"/>
        </w:rPr>
      </w:pPr>
      <w:r w:rsidRPr="00BE78CA">
        <w:rPr>
          <w:rFonts w:cs="Calibri"/>
        </w:rPr>
        <w:t xml:space="preserve">AUSTREX (Australian Rural Exports). 2021. </w:t>
      </w:r>
      <w:r w:rsidRPr="00BE78CA">
        <w:rPr>
          <w:rFonts w:cs="Calibri"/>
          <w:i/>
        </w:rPr>
        <w:t>Dairy Cattle</w:t>
      </w:r>
      <w:r w:rsidRPr="00BE78CA">
        <w:rPr>
          <w:rFonts w:cs="Calibri"/>
        </w:rPr>
        <w:t xml:space="preserve">. Retrieved from </w:t>
      </w:r>
      <w:hyperlink r:id="rId192" w:history="1">
        <w:r w:rsidRPr="00BE78CA">
          <w:rPr>
            <w:rStyle w:val="Hyperlink"/>
          </w:rPr>
          <w:t>www.austrex.com/what-we-do/livestock/dairy/</w:t>
        </w:r>
      </w:hyperlink>
      <w:r w:rsidRPr="00BE78CA" w:rsidDel="00176609">
        <w:rPr>
          <w:rFonts w:cs="Calibri"/>
        </w:rPr>
        <w:t xml:space="preserve"> </w:t>
      </w:r>
      <w:r w:rsidRPr="00BE78CA">
        <w:rPr>
          <w:rFonts w:cs="Calibri"/>
        </w:rPr>
        <w:t>(7 January 2021).</w:t>
      </w:r>
    </w:p>
    <w:p w14:paraId="2194D3D0" w14:textId="77777777" w:rsidR="00F02481" w:rsidRPr="00BE78CA" w:rsidRDefault="00F02481" w:rsidP="00C26084">
      <w:pPr>
        <w:pStyle w:val="References"/>
        <w:rPr>
          <w:rFonts w:cs="Calibri"/>
          <w:i/>
        </w:rPr>
      </w:pPr>
      <w:r w:rsidRPr="00BE78CA">
        <w:rPr>
          <w:rFonts w:cs="Calibri"/>
        </w:rPr>
        <w:t>Beare M, Thomas S, Clemens G, Hernandez-Ramirez G. Unpublished. Contributions of Pasture Renewal and N Mineralisation to N</w:t>
      </w:r>
      <w:r w:rsidRPr="00BE78CA">
        <w:rPr>
          <w:rFonts w:cs="Calibri"/>
          <w:vertAlign w:val="subscript"/>
        </w:rPr>
        <w:t>2</w:t>
      </w:r>
      <w:r w:rsidRPr="00BE78CA">
        <w:rPr>
          <w:rFonts w:cs="Calibri"/>
        </w:rPr>
        <w:t>O Emissions from Pastoral Farming Systems. Report prepared for the Ministry for Primary Industries by Plant and Food Research in 2012.</w:t>
      </w:r>
    </w:p>
    <w:p w14:paraId="658E873C" w14:textId="77777777" w:rsidR="00F02481" w:rsidRPr="00BE78CA" w:rsidRDefault="00F02481" w:rsidP="00C26084">
      <w:pPr>
        <w:pStyle w:val="References"/>
        <w:rPr>
          <w:rFonts w:cs="Calibri"/>
        </w:rPr>
      </w:pPr>
      <w:r w:rsidRPr="00BE78CA">
        <w:rPr>
          <w:rFonts w:cs="Calibri"/>
        </w:rPr>
        <w:t xml:space="preserve">Beef + Lamb New Zealand Ltd. 2020. </w:t>
      </w:r>
      <w:r w:rsidRPr="00BE78CA">
        <w:rPr>
          <w:rFonts w:cs="Calibri"/>
          <w:i/>
        </w:rPr>
        <w:t>Mid-Season Update 2019–20</w:t>
      </w:r>
      <w:r w:rsidRPr="00BE78CA">
        <w:rPr>
          <w:rFonts w:cs="Calibri"/>
        </w:rPr>
        <w:t>. Wellington: Beef + Lamb New Zealand Ltd.</w:t>
      </w:r>
    </w:p>
    <w:p w14:paraId="27E6FD3D" w14:textId="77777777" w:rsidR="00F02481" w:rsidRPr="00BE78CA" w:rsidRDefault="00F02481" w:rsidP="00C26084">
      <w:pPr>
        <w:pStyle w:val="References"/>
        <w:rPr>
          <w:rFonts w:cs="Calibri"/>
        </w:rPr>
      </w:pPr>
      <w:r w:rsidRPr="00BE78CA">
        <w:rPr>
          <w:rFonts w:cs="Calibri"/>
        </w:rPr>
        <w:t xml:space="preserve">Bown MD, Thomson BC, Muir PD. 2013. </w:t>
      </w:r>
      <w:r w:rsidRPr="00BE78CA">
        <w:rPr>
          <w:rFonts w:cs="Calibri"/>
          <w:i/>
        </w:rPr>
        <w:t>Evaluation of the Values for Pasture ME and N Content used in the National Greenhouse Gas Inventory</w:t>
      </w:r>
      <w:r w:rsidRPr="00BE78CA">
        <w:rPr>
          <w:rFonts w:cs="Calibri"/>
        </w:rPr>
        <w:t>. Report prepared for the Ministry for Primary Industries by On-Farm Research. Wellington: Ministry for Primary Industries.</w:t>
      </w:r>
    </w:p>
    <w:p w14:paraId="638DCAF9" w14:textId="77777777" w:rsidR="00F02481" w:rsidRPr="00BE78CA" w:rsidRDefault="00F02481" w:rsidP="00C26084">
      <w:pPr>
        <w:pStyle w:val="References"/>
        <w:rPr>
          <w:rFonts w:cs="Calibri"/>
        </w:rPr>
      </w:pPr>
      <w:r w:rsidRPr="00BE78CA">
        <w:rPr>
          <w:rFonts w:cs="Calibri"/>
        </w:rPr>
        <w:t>Carran RA, Dewar D, Theobald PW. Unpublished. Methane and Nitrous Oxide Emissions from Sheep Dung. Report prepared for the Ministry of Agriculture and Forestry by the New Zealand Pastoral Agricultural Research Institute in 2003.</w:t>
      </w:r>
    </w:p>
    <w:p w14:paraId="51B0AD0A" w14:textId="77777777" w:rsidR="00F02481" w:rsidRPr="00BE78CA" w:rsidRDefault="00F02481" w:rsidP="00C26084">
      <w:pPr>
        <w:pStyle w:val="References"/>
      </w:pPr>
      <w:r w:rsidRPr="00BE78CA">
        <w:rPr>
          <w:rFonts w:cs="Calibri"/>
        </w:rPr>
        <w:t>Carran RA, Theobold PW, Evans JP. 1995. Emissions of nitrous oxide from some grazed pasture soils in </w:t>
      </w:r>
      <w:r w:rsidRPr="00BE78CA">
        <w:rPr>
          <w:rFonts w:cs="Calibri"/>
          <w:iCs/>
        </w:rPr>
        <w:t xml:space="preserve">New Zealand. </w:t>
      </w:r>
      <w:r w:rsidRPr="00BE78CA">
        <w:rPr>
          <w:rFonts w:cs="Calibri"/>
          <w:i/>
          <w:iCs/>
        </w:rPr>
        <w:t>Australian</w:t>
      </w:r>
      <w:r w:rsidRPr="00BE78CA">
        <w:rPr>
          <w:rFonts w:cs="Calibri"/>
          <w:iCs/>
        </w:rPr>
        <w:t xml:space="preserve"> </w:t>
      </w:r>
      <w:r w:rsidRPr="00BE78CA">
        <w:rPr>
          <w:rFonts w:cs="Calibri"/>
          <w:i/>
          <w:iCs/>
        </w:rPr>
        <w:t>Journal of Soil Research</w:t>
      </w:r>
      <w:r w:rsidRPr="00BE78CA">
        <w:rPr>
          <w:rFonts w:cs="Calibri"/>
        </w:rPr>
        <w:t xml:space="preserve"> 33: 341–352.</w:t>
      </w:r>
    </w:p>
    <w:p w14:paraId="01EB38C5" w14:textId="77777777" w:rsidR="00F02481" w:rsidRPr="00BE78CA" w:rsidRDefault="00F02481" w:rsidP="00C26084">
      <w:pPr>
        <w:pStyle w:val="References"/>
        <w:rPr>
          <w:rFonts w:cs="Calibri"/>
        </w:rPr>
      </w:pPr>
      <w:r w:rsidRPr="00BE78CA">
        <w:rPr>
          <w:rFonts w:cs="Calibri"/>
        </w:rPr>
        <w:t>Chen D, Li Y, Kelly K, Eckard R. 2010. Simulation of N</w:t>
      </w:r>
      <w:r w:rsidRPr="00BE78CA">
        <w:rPr>
          <w:rFonts w:cs="Calibri"/>
          <w:vertAlign w:val="subscript"/>
        </w:rPr>
        <w:t>2</w:t>
      </w:r>
      <w:r w:rsidRPr="00BE78CA">
        <w:rPr>
          <w:rFonts w:cs="Calibri"/>
        </w:rPr>
        <w:t xml:space="preserve">O emissions from an irrigated dairy pasture treated with urea and urine in Southeastern Australia. </w:t>
      </w:r>
      <w:r w:rsidRPr="00BE78CA">
        <w:rPr>
          <w:rFonts w:cs="Calibri"/>
          <w:i/>
        </w:rPr>
        <w:t>Agriculture, Ecosystems &amp; Environment</w:t>
      </w:r>
      <w:r w:rsidRPr="00BE78CA">
        <w:rPr>
          <w:rFonts w:cs="Calibri"/>
        </w:rPr>
        <w:t xml:space="preserve"> </w:t>
      </w:r>
      <w:r w:rsidRPr="00BE78CA">
        <w:rPr>
          <w:rFonts w:cs="Calibri"/>
        </w:rPr>
        <w:br/>
        <w:t>136(3–4): 333–342.</w:t>
      </w:r>
    </w:p>
    <w:p w14:paraId="37ED92C4" w14:textId="77777777" w:rsidR="00F02481" w:rsidRPr="00BE78CA" w:rsidRDefault="00F02481" w:rsidP="00C26084">
      <w:pPr>
        <w:pStyle w:val="References"/>
        <w:rPr>
          <w:rFonts w:cs="Calibri"/>
        </w:rPr>
      </w:pPr>
      <w:r w:rsidRPr="00BE78CA">
        <w:rPr>
          <w:rFonts w:cs="Calibri"/>
        </w:rPr>
        <w:t xml:space="preserve">Cichota R, Brown H, Snow VO, Wheeler DM, Hedderley D, Zyskowski R, Thomas S. 2010. A nitrogen balance model for environmental accountability in cropping systems. </w:t>
      </w:r>
      <w:r w:rsidRPr="00BE78CA">
        <w:rPr>
          <w:rFonts w:cs="Calibri"/>
          <w:i/>
        </w:rPr>
        <w:t xml:space="preserve">New Zealand Journal of Crop and Horticultural Science </w:t>
      </w:r>
      <w:r w:rsidRPr="00BE78CA">
        <w:rPr>
          <w:rFonts w:cs="Calibri"/>
        </w:rPr>
        <w:t xml:space="preserve">38: 189–207. </w:t>
      </w:r>
    </w:p>
    <w:p w14:paraId="302441B2" w14:textId="77777777" w:rsidR="00F02481" w:rsidRPr="00BE78CA" w:rsidRDefault="00F02481" w:rsidP="00C26084">
      <w:pPr>
        <w:pStyle w:val="References"/>
        <w:rPr>
          <w:rFonts w:cs="Calibri"/>
          <w:i/>
        </w:rPr>
      </w:pPr>
      <w:r w:rsidRPr="00BE78CA">
        <w:rPr>
          <w:rFonts w:cs="Calibri"/>
        </w:rPr>
        <w:t xml:space="preserve">Clark H. 2008a. </w:t>
      </w:r>
      <w:r w:rsidRPr="00BE78CA">
        <w:rPr>
          <w:rFonts w:cs="Calibri"/>
          <w:i/>
        </w:rPr>
        <w:t>A Comparison of Greenhouse Gas Emissions from the New Zealand Dairy Sector Calculated Using either a National or a Regional Approach</w:t>
      </w:r>
      <w:r w:rsidRPr="00BE78CA">
        <w:rPr>
          <w:rFonts w:cs="Calibri"/>
        </w:rPr>
        <w:t>. Report prepared for the Ministry of Agriculture and Forestry by AgResearch. Wellington: Ministry of Agriculture and Forestry.</w:t>
      </w:r>
    </w:p>
    <w:p w14:paraId="79F927FF" w14:textId="77777777" w:rsidR="00F02481" w:rsidRPr="00BE78CA" w:rsidRDefault="00F02481" w:rsidP="00C26084">
      <w:pPr>
        <w:pStyle w:val="References"/>
        <w:rPr>
          <w:rFonts w:cs="Calibri"/>
        </w:rPr>
      </w:pPr>
      <w:r w:rsidRPr="00BE78CA">
        <w:rPr>
          <w:rFonts w:cs="Calibri"/>
        </w:rPr>
        <w:t xml:space="preserve">Clark H. 2008b. </w:t>
      </w:r>
      <w:r w:rsidRPr="00BE78CA">
        <w:rPr>
          <w:rFonts w:cs="Calibri"/>
          <w:i/>
        </w:rPr>
        <w:t>Guidelines to Accompany Computerised Inventory</w:t>
      </w:r>
      <w:r w:rsidRPr="00BE78CA">
        <w:rPr>
          <w:rFonts w:cs="Calibri"/>
        </w:rPr>
        <w:t>. Report prepared for the Ministry of Agriculture and Forestry by AgResearch. Wellington: Ministry of Agriculture and Forestry.</w:t>
      </w:r>
    </w:p>
    <w:p w14:paraId="668055C6" w14:textId="77777777" w:rsidR="00F02481" w:rsidRPr="00BE78CA" w:rsidRDefault="00F02481" w:rsidP="00C26084">
      <w:pPr>
        <w:pStyle w:val="References"/>
        <w:rPr>
          <w:rFonts w:cs="Calibri"/>
        </w:rPr>
      </w:pPr>
      <w:r w:rsidRPr="00BE78CA">
        <w:rPr>
          <w:rFonts w:cs="Calibri"/>
        </w:rPr>
        <w:t xml:space="preserve">Clark H, Brookes I, Walcroft A. 2003. </w:t>
      </w:r>
      <w:r w:rsidRPr="00BE78CA">
        <w:rPr>
          <w:rFonts w:cs="Calibri"/>
          <w:i/>
        </w:rPr>
        <w:t xml:space="preserve">Enteric Methane Emissions from New Zealand Ruminants </w:t>
      </w:r>
      <w:r w:rsidRPr="00BE78CA">
        <w:rPr>
          <w:rFonts w:cs="Calibri"/>
          <w:i/>
        </w:rPr>
        <w:br/>
        <w:t>1990–2001 Calculated Using an IPCC Tier 2 Approach</w:t>
      </w:r>
      <w:r w:rsidRPr="00BE78CA">
        <w:rPr>
          <w:rFonts w:cs="Calibri"/>
        </w:rPr>
        <w:t>. Report prepared for the Ministry of Agriculture and Forestry by AgResearch and Massey University. Wellington: Ministry of Agriculture and Forestry.</w:t>
      </w:r>
    </w:p>
    <w:p w14:paraId="64677BBF" w14:textId="77777777" w:rsidR="00F02481" w:rsidRPr="00BE78CA" w:rsidRDefault="00F02481" w:rsidP="00C26084">
      <w:pPr>
        <w:pStyle w:val="References"/>
      </w:pPr>
      <w:r w:rsidRPr="00BE78CA">
        <w:t xml:space="preserve">Climate Change Response (Zero Carbon) Amendment Act 2019 (as at 13 November 2019) </w:t>
      </w:r>
      <w:hyperlink r:id="rId193" w:history="1">
        <w:r w:rsidRPr="00BE78CA">
          <w:rPr>
            <w:rStyle w:val="Hyperlink"/>
          </w:rPr>
          <w:t>www.legislation.govt.nz/act/public/2019/0061/latest/LMS183736.html</w:t>
        </w:r>
      </w:hyperlink>
      <w:r w:rsidRPr="00BE78CA">
        <w:t>.</w:t>
      </w:r>
    </w:p>
    <w:p w14:paraId="71034106" w14:textId="77777777" w:rsidR="00F02481" w:rsidRPr="00BE78CA" w:rsidRDefault="00F02481" w:rsidP="0003467F">
      <w:pPr>
        <w:pStyle w:val="References"/>
      </w:pPr>
      <w:r w:rsidRPr="00BE78CA">
        <w:t>Clough TJ, Kelliher FM. Unpublished. Indirect Nitrous Oxide Emissions EF</w:t>
      </w:r>
      <w:r w:rsidRPr="00BE78CA">
        <w:rPr>
          <w:vertAlign w:val="subscript"/>
        </w:rPr>
        <w:t>5</w:t>
      </w:r>
      <w:r w:rsidRPr="00BE78CA">
        <w:t>. Report prepared for the Ministry for Primary Industries by Lincoln University in 2014.</w:t>
      </w:r>
    </w:p>
    <w:p w14:paraId="24E27FF0" w14:textId="77777777" w:rsidR="00F02481" w:rsidRPr="00BE78CA" w:rsidRDefault="00F02481" w:rsidP="00C26084">
      <w:pPr>
        <w:pStyle w:val="References"/>
        <w:rPr>
          <w:rFonts w:cs="Calibri"/>
        </w:rPr>
      </w:pPr>
      <w:r w:rsidRPr="00BE78CA">
        <w:rPr>
          <w:rFonts w:cs="Calibri"/>
        </w:rPr>
        <w:t xml:space="preserve">Clough TJ, Kelliher FM, Clark H, van der Weerden TJ. 2008. </w:t>
      </w:r>
      <w:r w:rsidRPr="00BE78CA">
        <w:rPr>
          <w:rFonts w:cs="Calibri"/>
          <w:i/>
        </w:rPr>
        <w:t>Incorporation of the Nitrification Inhibitor DCD into New Zealand’s 2009 National Inventory</w:t>
      </w:r>
      <w:r w:rsidRPr="00BE78CA">
        <w:rPr>
          <w:rFonts w:cs="Calibri"/>
        </w:rPr>
        <w:t>. Report prepared for the Ministry of Agriculture and Forestry by Lincoln University and AgResearch. Wellington: Ministry of Agriculture and Forestry.</w:t>
      </w:r>
    </w:p>
    <w:p w14:paraId="2052DE4D" w14:textId="77777777" w:rsidR="00F02481" w:rsidRPr="00BE78CA" w:rsidRDefault="00F02481" w:rsidP="00C26084">
      <w:pPr>
        <w:pStyle w:val="References"/>
        <w:rPr>
          <w:rFonts w:cs="Calibri"/>
        </w:rPr>
      </w:pPr>
      <w:r w:rsidRPr="00BE78CA">
        <w:rPr>
          <w:rFonts w:cs="Calibri"/>
        </w:rPr>
        <w:lastRenderedPageBreak/>
        <w:t>Commonwealth of Australia. 2020.</w:t>
      </w:r>
      <w:r w:rsidRPr="00BE78CA">
        <w:rPr>
          <w:rFonts w:cs="Calibri"/>
          <w:i/>
        </w:rPr>
        <w:t xml:space="preserve"> National Inventory Report 2018 Volume 1</w:t>
      </w:r>
      <w:r w:rsidRPr="00BE78CA">
        <w:rPr>
          <w:rFonts w:cs="Calibri"/>
        </w:rPr>
        <w:t xml:space="preserve">. Retrieved from </w:t>
      </w:r>
      <w:hyperlink r:id="rId194" w:history="1">
        <w:r w:rsidRPr="00BE78CA">
          <w:rPr>
            <w:rStyle w:val="Hyperlink"/>
          </w:rPr>
          <w:t>www.industry.gov.au/sites/default/files/2020-05/nga-national-inventory-report-2018-volume-1.pdf</w:t>
        </w:r>
      </w:hyperlink>
      <w:r w:rsidRPr="00BE78CA" w:rsidDel="00E62A89">
        <w:rPr>
          <w:rStyle w:val="Hyperlink"/>
        </w:rPr>
        <w:t xml:space="preserve"> </w:t>
      </w:r>
      <w:r w:rsidRPr="00BE78CA">
        <w:rPr>
          <w:rFonts w:cs="Calibri"/>
        </w:rPr>
        <w:t>(12</w:t>
      </w:r>
      <w:r w:rsidRPr="00BE78CA">
        <w:rPr>
          <w:rFonts w:cs="Calibri"/>
          <w:szCs w:val="16"/>
        </w:rPr>
        <w:t> January 2021).</w:t>
      </w:r>
      <w:r w:rsidRPr="00BE78CA">
        <w:rPr>
          <w:rFonts w:cs="Calibri"/>
        </w:rPr>
        <w:t xml:space="preserve"> </w:t>
      </w:r>
    </w:p>
    <w:p w14:paraId="2626E7B9" w14:textId="77777777" w:rsidR="00F02481" w:rsidRPr="00BE78CA" w:rsidRDefault="00F02481" w:rsidP="00C26084">
      <w:pPr>
        <w:pStyle w:val="References"/>
        <w:rPr>
          <w:rFonts w:cs="Calibri"/>
        </w:rPr>
      </w:pPr>
      <w:r w:rsidRPr="00BE78CA">
        <w:rPr>
          <w:rFonts w:cs="Calibri"/>
        </w:rPr>
        <w:t xml:space="preserve">CSIRO. 1990. </w:t>
      </w:r>
      <w:r w:rsidRPr="00BE78CA">
        <w:rPr>
          <w:rFonts w:cs="Calibri"/>
          <w:i/>
        </w:rPr>
        <w:t>Ruminants: Feeding Standards for Australian Livestock</w:t>
      </w:r>
      <w:r w:rsidRPr="00BE78CA">
        <w:rPr>
          <w:rFonts w:cs="Calibri"/>
        </w:rPr>
        <w:t>. Victoria, Australia: Commonwealth Scientific and Industrial Research Organisation.</w:t>
      </w:r>
    </w:p>
    <w:p w14:paraId="3D945D14" w14:textId="77777777" w:rsidR="00F02481" w:rsidRPr="00BE78CA" w:rsidRDefault="00F02481" w:rsidP="00C26084">
      <w:pPr>
        <w:pStyle w:val="References"/>
        <w:rPr>
          <w:rFonts w:cs="Calibri"/>
        </w:rPr>
      </w:pPr>
      <w:r w:rsidRPr="00BE78CA">
        <w:rPr>
          <w:rFonts w:cs="Calibri"/>
        </w:rPr>
        <w:t xml:space="preserve">CSIRO. 2007. </w:t>
      </w:r>
      <w:r w:rsidRPr="00BE78CA">
        <w:rPr>
          <w:rFonts w:cs="Calibri"/>
          <w:i/>
          <w:iCs/>
        </w:rPr>
        <w:t>Nutrient Requirements of Domesticated Ruminants.</w:t>
      </w:r>
      <w:r w:rsidRPr="00BE78CA">
        <w:rPr>
          <w:rFonts w:cs="Calibri"/>
        </w:rPr>
        <w:t xml:space="preserve"> Victoria, Australia: Australian Agricultural Council, Ruminants Sub Committee</w:t>
      </w:r>
    </w:p>
    <w:p w14:paraId="7FC39CEE" w14:textId="77777777" w:rsidR="00F02481" w:rsidRPr="00BE78CA" w:rsidRDefault="00F02481" w:rsidP="00C26084">
      <w:pPr>
        <w:pStyle w:val="References"/>
        <w:rPr>
          <w:rFonts w:cs="Calibri"/>
          <w:i/>
          <w:iCs/>
        </w:rPr>
      </w:pPr>
      <w:r w:rsidRPr="00BE78CA">
        <w:rPr>
          <w:rFonts w:cs="Calibri"/>
        </w:rPr>
        <w:t xml:space="preserve">Dairy Companies Association of New Zealand. 2019. </w:t>
      </w:r>
      <w:r w:rsidRPr="00BE78CA">
        <w:rPr>
          <w:rFonts w:cs="Calibri"/>
          <w:i/>
        </w:rPr>
        <w:t xml:space="preserve">Latest </w:t>
      </w:r>
      <w:r w:rsidRPr="00BE78CA">
        <w:rPr>
          <w:rFonts w:cs="Calibri"/>
          <w:i/>
          <w:iCs/>
        </w:rPr>
        <w:t>New Zealand Milk Production Data Report</w:t>
      </w:r>
      <w:r w:rsidRPr="00BE78CA">
        <w:rPr>
          <w:rFonts w:cs="Calibri"/>
        </w:rPr>
        <w:t xml:space="preserve">. Retrieved from </w:t>
      </w:r>
      <w:hyperlink r:id="rId195" w:history="1">
        <w:r w:rsidRPr="00BE78CA">
          <w:rPr>
            <w:rStyle w:val="Hyperlink"/>
          </w:rPr>
          <w:t>www.dcanz.com</w:t>
        </w:r>
      </w:hyperlink>
      <w:r w:rsidRPr="00BE78CA">
        <w:rPr>
          <w:rFonts w:cs="Calibri"/>
        </w:rPr>
        <w:t xml:space="preserve"> (7 January 2020).</w:t>
      </w:r>
    </w:p>
    <w:p w14:paraId="0E686068" w14:textId="77777777" w:rsidR="00F02481" w:rsidRPr="00BE78CA" w:rsidRDefault="00F02481" w:rsidP="00C26084">
      <w:pPr>
        <w:pStyle w:val="References"/>
        <w:rPr>
          <w:rFonts w:cs="Calibri"/>
        </w:rPr>
      </w:pPr>
      <w:r w:rsidRPr="00BE78CA">
        <w:rPr>
          <w:rFonts w:cs="Calibri"/>
        </w:rPr>
        <w:t xml:space="preserve">de Klein CAM, Barton L, Sherlock RR, Li Z, Littlejohn RP. 2003. Estimating a nitrous oxide emission factor for animal urine from some New Zealand pastoral soils. </w:t>
      </w:r>
      <w:r w:rsidRPr="00BE78CA">
        <w:rPr>
          <w:rFonts w:cs="Calibri"/>
          <w:i/>
        </w:rPr>
        <w:t>Australian Journal of Soil Research</w:t>
      </w:r>
      <w:r w:rsidRPr="00BE78CA">
        <w:rPr>
          <w:rFonts w:cs="Calibri"/>
        </w:rPr>
        <w:t xml:space="preserve"> 41: 381–399.</w:t>
      </w:r>
    </w:p>
    <w:p w14:paraId="554738B1" w14:textId="77777777" w:rsidR="00F02481" w:rsidRPr="00BE78CA" w:rsidRDefault="00F02481" w:rsidP="00C26084">
      <w:pPr>
        <w:pStyle w:val="References"/>
        <w:rPr>
          <w:rFonts w:cs="Calibri"/>
        </w:rPr>
      </w:pPr>
      <w:r w:rsidRPr="00BE78CA">
        <w:rPr>
          <w:rFonts w:cs="Calibri"/>
        </w:rPr>
        <w:t xml:space="preserve">de Klein CAM, Luo J, Woodward KB, Styles T, Wise B, Lindsey S, Cox N. 2014. The effect of nitrogen concentration in synthetic cattle urine on nitrous oxide emissions. </w:t>
      </w:r>
      <w:r w:rsidRPr="00BE78CA">
        <w:rPr>
          <w:rFonts w:cs="Calibri"/>
          <w:i/>
        </w:rPr>
        <w:t>Agriculture Ecosystems &amp; Environment</w:t>
      </w:r>
      <w:r w:rsidRPr="00BE78CA">
        <w:rPr>
          <w:rFonts w:cs="Calibri"/>
        </w:rPr>
        <w:t xml:space="preserve"> 188: 8–92.</w:t>
      </w:r>
    </w:p>
    <w:p w14:paraId="2856C002" w14:textId="77777777" w:rsidR="00F02481" w:rsidRPr="00BE78CA" w:rsidRDefault="00F02481" w:rsidP="00C26084">
      <w:pPr>
        <w:pStyle w:val="References"/>
        <w:rPr>
          <w:rFonts w:cs="Calibri"/>
        </w:rPr>
      </w:pPr>
      <w:r w:rsidRPr="00BE78CA">
        <w:rPr>
          <w:rFonts w:cs="Calibri"/>
        </w:rPr>
        <w:t xml:space="preserve">Dresser M, Hewitt A, Willoughby J, Bellis S. 2011. </w:t>
      </w:r>
      <w:r w:rsidRPr="00BE78CA">
        <w:rPr>
          <w:rFonts w:cs="Calibri"/>
          <w:i/>
        </w:rPr>
        <w:t>Area of Organic Soils</w:t>
      </w:r>
      <w:r w:rsidRPr="00BE78CA">
        <w:rPr>
          <w:rFonts w:cs="Calibri"/>
        </w:rPr>
        <w:t>. Report prepared for the Ministry of Agriculture and Forestry by Landcare Research. Wellington: Ministry of Agriculture and Forestry.</w:t>
      </w:r>
    </w:p>
    <w:p w14:paraId="2310E12C" w14:textId="77777777" w:rsidR="00F02481" w:rsidRPr="00BE78CA" w:rsidRDefault="00F02481" w:rsidP="00C26084">
      <w:pPr>
        <w:pStyle w:val="References"/>
        <w:rPr>
          <w:rFonts w:cs="Calibri"/>
        </w:rPr>
      </w:pPr>
      <w:r w:rsidRPr="00BE78CA">
        <w:rPr>
          <w:rFonts w:cs="Calibri"/>
        </w:rPr>
        <w:t xml:space="preserve">Fick J. 2010. </w:t>
      </w:r>
      <w:r w:rsidRPr="00BE78CA">
        <w:rPr>
          <w:rFonts w:cs="Calibri"/>
          <w:bCs/>
          <w:i/>
          <w:color w:val="000000"/>
        </w:rPr>
        <w:t>Emission Estimations for the Commercial Chicken, Non-chicken and Layer Industries within New Zealand</w:t>
      </w:r>
      <w:r w:rsidRPr="00BE78CA">
        <w:rPr>
          <w:rFonts w:cs="Calibri"/>
          <w:bCs/>
          <w:color w:val="000000"/>
        </w:rPr>
        <w:t>. Report prepared for the Ministry of Agriculture and Forestry by the Poultry Industry Association and Egg Producers Federation of New Zealand. Wellington: Ministry of Agriculture and Forestry.</w:t>
      </w:r>
    </w:p>
    <w:p w14:paraId="599B23A8" w14:textId="77777777" w:rsidR="00F02481" w:rsidRPr="00BE78CA" w:rsidRDefault="00F02481" w:rsidP="00C26084">
      <w:pPr>
        <w:pStyle w:val="References"/>
        <w:rPr>
          <w:rFonts w:cs="Calibri"/>
        </w:rPr>
      </w:pPr>
      <w:r w:rsidRPr="00BE78CA">
        <w:rPr>
          <w:rFonts w:cs="Calibri"/>
        </w:rPr>
        <w:t xml:space="preserve">Fick J, Saggar S, Hill J, Giltrap D. 2011. </w:t>
      </w:r>
      <w:r w:rsidRPr="00BE78CA">
        <w:rPr>
          <w:rFonts w:cs="Calibri"/>
          <w:i/>
        </w:rPr>
        <w:t>Poultry Management in New Zealand: Production, Manure Management and Emissions Estimations for the Commercial Chicken, Turkey, Duck and Layer Industries within New Zealand</w:t>
      </w:r>
      <w:r w:rsidRPr="00BE78CA">
        <w:rPr>
          <w:rFonts w:cs="Calibri"/>
        </w:rPr>
        <w:t xml:space="preserve">. Report prepared for the Ministry of Agriculture and Forestry by Poultry Industry Association, Egg Producers Association, Landcare Research and Massey University. Wellington: Ministry of Agriculture and Forestry. </w:t>
      </w:r>
    </w:p>
    <w:p w14:paraId="2FB3D998" w14:textId="77777777" w:rsidR="00F02481" w:rsidRPr="00BE78CA" w:rsidRDefault="00F02481" w:rsidP="00C26084">
      <w:pPr>
        <w:pStyle w:val="References"/>
        <w:rPr>
          <w:rFonts w:cs="Calibri"/>
        </w:rPr>
      </w:pPr>
      <w:r w:rsidRPr="00BE78CA">
        <w:rPr>
          <w:rFonts w:cs="Calibri"/>
        </w:rPr>
        <w:t>Galbally I, Meyer C, Bentley S, Weeks I, Leuning R, Kelly K, Phillips F, Barker-Reid F, Gates W, Baigent R, Eckard R, Grace P. 2005. A study of environmental and management drivers of non-CO</w:t>
      </w:r>
      <w:r w:rsidRPr="00BE78CA">
        <w:rPr>
          <w:rFonts w:cs="Calibri"/>
          <w:vertAlign w:val="subscript"/>
        </w:rPr>
        <w:t>2</w:t>
      </w:r>
      <w:r w:rsidRPr="00BE78CA">
        <w:rPr>
          <w:rFonts w:cs="Calibri"/>
        </w:rPr>
        <w:t xml:space="preserve"> greenhouse gas emissions in Australian agroecosystems. </w:t>
      </w:r>
      <w:r w:rsidRPr="00BE78CA">
        <w:rPr>
          <w:rFonts w:cs="Calibri"/>
          <w:i/>
        </w:rPr>
        <w:t>Environmental Sciences</w:t>
      </w:r>
      <w:r w:rsidRPr="00BE78CA">
        <w:rPr>
          <w:rFonts w:cs="Calibri"/>
        </w:rPr>
        <w:t xml:space="preserve"> 2(2</w:t>
      </w:r>
      <w:r w:rsidRPr="00BE78CA">
        <w:rPr>
          <w:rFonts w:cs="Calibri"/>
        </w:rPr>
        <w:softHyphen/>
        <w:t>3): 133–142.</w:t>
      </w:r>
    </w:p>
    <w:p w14:paraId="21AF75D6" w14:textId="77777777" w:rsidR="00F02481" w:rsidRPr="00BE78CA" w:rsidRDefault="00F02481" w:rsidP="00C26084">
      <w:pPr>
        <w:pStyle w:val="References"/>
      </w:pPr>
      <w:r w:rsidRPr="00BE78CA">
        <w:t xml:space="preserve">Geddes A, Mikaloff-Fletcher S, Schaefer H, Smale D, Brailsford G, Law R, Ausseil A. Unpublished. Atmospheric methane modelling. Report prepared for the Ministry for Primary Industries by NIWA and Landcare Research in 2020. </w:t>
      </w:r>
    </w:p>
    <w:p w14:paraId="63484F82" w14:textId="77777777" w:rsidR="00F02481" w:rsidRPr="00BE78CA" w:rsidRDefault="00F02481" w:rsidP="00C26084">
      <w:pPr>
        <w:pStyle w:val="References"/>
        <w:rPr>
          <w:rFonts w:cs="Calibri"/>
        </w:rPr>
      </w:pPr>
      <w:r w:rsidRPr="00BE78CA">
        <w:rPr>
          <w:rFonts w:cs="Calibri"/>
        </w:rPr>
        <w:t>Giltrap D, McNeill S. Unpublished. Revised pasture quality analysis in the agricultural greenhouse gas inventory. Report prepared for the Ministry for Primary Industries by Manaaki Whenua – Landcare Research in 2020.</w:t>
      </w:r>
    </w:p>
    <w:p w14:paraId="681F13FA" w14:textId="77777777" w:rsidR="00F02481" w:rsidRPr="00BE78CA" w:rsidRDefault="00F02481" w:rsidP="00C26084">
      <w:pPr>
        <w:pStyle w:val="References"/>
        <w:rPr>
          <w:rFonts w:cs="Calibri"/>
        </w:rPr>
      </w:pPr>
      <w:r w:rsidRPr="00BE78CA">
        <w:rPr>
          <w:rFonts w:cs="Calibri"/>
        </w:rPr>
        <w:t>Giltrap D, McNeill S, Vickers S. Unpublished. Development of infrastructure to calculate agricultural greenhouse gas inventory emissions uncertainty in-house. Report prepared for the Ministry for Primary Industries by Landcare Research and RSV Consulting Ltd in 2016.</w:t>
      </w:r>
    </w:p>
    <w:p w14:paraId="0B4E514A" w14:textId="77777777" w:rsidR="00F02481" w:rsidRPr="00BE78CA" w:rsidRDefault="00F02481" w:rsidP="00C26084">
      <w:pPr>
        <w:pStyle w:val="References"/>
        <w:rPr>
          <w:rFonts w:cs="Calibri"/>
          <w:i/>
        </w:rPr>
      </w:pPr>
      <w:r w:rsidRPr="00BE78CA">
        <w:rPr>
          <w:rFonts w:cs="Calibri"/>
        </w:rPr>
        <w:t>Grainger C, Clarke T, McGinn SM, Auldist MJ, Beauchemin KA, Hannah MC, Waghorn GC, Clark H, Eckard RJ. 2007. Methane emissions from dairy cows measured with sulphur hexafluoride (SF</w:t>
      </w:r>
      <w:r w:rsidRPr="00BE78CA">
        <w:rPr>
          <w:rFonts w:cs="Calibri"/>
          <w:vertAlign w:val="subscript"/>
        </w:rPr>
        <w:t>6</w:t>
      </w:r>
      <w:r w:rsidRPr="00BE78CA">
        <w:rPr>
          <w:rFonts w:cs="Calibri"/>
        </w:rPr>
        <w:t xml:space="preserve">) tracer and chamber techniques. </w:t>
      </w:r>
      <w:r w:rsidRPr="00BE78CA">
        <w:rPr>
          <w:rFonts w:cs="Calibri"/>
          <w:i/>
        </w:rPr>
        <w:t>Journal of Dairy Science</w:t>
      </w:r>
      <w:r w:rsidRPr="00BE78CA">
        <w:rPr>
          <w:rFonts w:cs="Calibri"/>
          <w:color w:val="5F497A"/>
        </w:rPr>
        <w:t xml:space="preserve"> </w:t>
      </w:r>
      <w:r w:rsidRPr="00BE78CA">
        <w:rPr>
          <w:rFonts w:cs="Calibri"/>
        </w:rPr>
        <w:t>90(6): 2755–2766.</w:t>
      </w:r>
    </w:p>
    <w:p w14:paraId="569133D6" w14:textId="77777777" w:rsidR="00F02481" w:rsidRPr="00BE78CA" w:rsidRDefault="00F02481" w:rsidP="00C26084">
      <w:pPr>
        <w:pStyle w:val="References"/>
        <w:rPr>
          <w:rFonts w:cs="Calibri"/>
        </w:rPr>
      </w:pPr>
      <w:r w:rsidRPr="00BE78CA">
        <w:rPr>
          <w:rFonts w:cs="Calibri"/>
        </w:rPr>
        <w:t>Henderson H, Cameron C. Unpublished. Review of the Methodology for Alpaca Population Estimations Used in the National Greenhouse Gas Inventory. Report prepared for the Ministry of Agriculture and Forestry in 2010.</w:t>
      </w:r>
    </w:p>
    <w:p w14:paraId="1B7E7C2D" w14:textId="77777777" w:rsidR="00F02481" w:rsidRPr="00BE78CA" w:rsidRDefault="00F02481" w:rsidP="00C26084">
      <w:pPr>
        <w:pStyle w:val="References"/>
        <w:rPr>
          <w:rFonts w:cs="Calibri"/>
        </w:rPr>
      </w:pPr>
      <w:r w:rsidRPr="00BE78CA">
        <w:rPr>
          <w:rFonts w:cs="Calibri"/>
        </w:rPr>
        <w:t xml:space="preserve">Hill, J. 2012. </w:t>
      </w:r>
      <w:r w:rsidRPr="00BE78CA">
        <w:rPr>
          <w:rFonts w:cs="Calibri"/>
          <w:i/>
        </w:rPr>
        <w:t>Recalculate Pork Industry Emissions Inventory</w:t>
      </w:r>
      <w:r w:rsidRPr="00BE78CA">
        <w:rPr>
          <w:rFonts w:cs="Calibri"/>
        </w:rPr>
        <w:t>. Report prepared for the Ministry of Agriculture and Forestry by Massey University and the New Zealand Pork Industry Board. Wellington: Ministry of Agriculture and Forestry.</w:t>
      </w:r>
    </w:p>
    <w:p w14:paraId="5E6E7F3F" w14:textId="77777777" w:rsidR="00F02481" w:rsidRPr="00BE78CA" w:rsidRDefault="00F02481" w:rsidP="00C26084">
      <w:pPr>
        <w:pStyle w:val="References"/>
        <w:rPr>
          <w:rFonts w:cs="Calibri"/>
        </w:rPr>
      </w:pPr>
      <w:r w:rsidRPr="00BE78CA">
        <w:rPr>
          <w:rFonts w:cs="Calibri"/>
        </w:rPr>
        <w:t xml:space="preserve">Hoogendoorn CJ, de Klein CAM, Rutherford AJ, Letica S, Devantier BP. 2008. The effect of increasing rates of nitrogen fertiliser and a nitrification inhibitor on the nitrous oxide emissions from urine patches on sheep grazed hill country pasture. </w:t>
      </w:r>
      <w:r w:rsidRPr="00BE78CA">
        <w:rPr>
          <w:rFonts w:cs="Calibri"/>
          <w:i/>
        </w:rPr>
        <w:t>Australian Journal of Experimental Agriculture</w:t>
      </w:r>
      <w:r w:rsidRPr="00BE78CA">
        <w:rPr>
          <w:rFonts w:cs="Calibri"/>
        </w:rPr>
        <w:t xml:space="preserve"> 48(2): 147–151.</w:t>
      </w:r>
    </w:p>
    <w:p w14:paraId="501476DE" w14:textId="77777777" w:rsidR="00F02481" w:rsidRPr="00BE78CA" w:rsidRDefault="00F02481" w:rsidP="00C26084">
      <w:pPr>
        <w:pStyle w:val="References"/>
        <w:rPr>
          <w:rFonts w:cs="Calibri"/>
        </w:rPr>
      </w:pPr>
      <w:r w:rsidRPr="00BE78CA">
        <w:rPr>
          <w:rFonts w:cs="Calibri"/>
        </w:rPr>
        <w:lastRenderedPageBreak/>
        <w:t>Hoogendoorn CJ, Luo J, van der Weerden T, Saggar S, Wise B, Lloyd-West C, Judge A. 2013. Evaluation of beef cattle excreta nitrous oxide emission factors. Report prepared for the Ministry for Primary Industries by AgResearch in 2013. Wellington: Ministry for Primary Industries.</w:t>
      </w:r>
    </w:p>
    <w:p w14:paraId="3C20FA77" w14:textId="77777777" w:rsidR="00F02481" w:rsidRPr="00BE78CA" w:rsidRDefault="00F02481" w:rsidP="00C26084">
      <w:pPr>
        <w:pStyle w:val="References"/>
        <w:rPr>
          <w:rFonts w:cs="Calibri"/>
        </w:rPr>
      </w:pPr>
      <w:r w:rsidRPr="00BE78CA">
        <w:rPr>
          <w:rFonts w:cs="Calibri"/>
        </w:rPr>
        <w:t xml:space="preserve">Inland Revenue Department. 2021. </w:t>
      </w:r>
      <w:r w:rsidRPr="00BE78CA">
        <w:rPr>
          <w:rFonts w:cs="Calibri"/>
          <w:i/>
          <w:iCs/>
        </w:rPr>
        <w:t>Registering for GST</w:t>
      </w:r>
      <w:r w:rsidRPr="00BE78CA">
        <w:rPr>
          <w:rFonts w:cs="Calibri"/>
        </w:rPr>
        <w:t xml:space="preserve">. Retrieved from </w:t>
      </w:r>
      <w:hyperlink r:id="rId196" w:history="1">
        <w:r w:rsidRPr="00BE78CA">
          <w:rPr>
            <w:rStyle w:val="Hyperlink"/>
          </w:rPr>
          <w:t>www.ird.govt.nz/gst/registering-for-gst</w:t>
        </w:r>
      </w:hyperlink>
      <w:r w:rsidRPr="00BE78CA">
        <w:rPr>
          <w:rFonts w:cs="Calibri"/>
        </w:rPr>
        <w:t xml:space="preserve"> (27 January 2021).</w:t>
      </w:r>
    </w:p>
    <w:p w14:paraId="58357C93" w14:textId="77777777" w:rsidR="00F02481" w:rsidRPr="00BE78CA" w:rsidRDefault="00F02481" w:rsidP="00C26084">
      <w:pPr>
        <w:pStyle w:val="References"/>
        <w:rPr>
          <w:rFonts w:cs="Calibri"/>
        </w:rPr>
      </w:pPr>
      <w:r w:rsidRPr="00BE78CA">
        <w:rPr>
          <w:rFonts w:cs="Calibri"/>
        </w:rPr>
        <w:t xml:space="preserve">IPCC. 1996. Houghton JT, Meira Filho LG, Lim B, Treanton K, Mamaty I, Bonduki Y, Griggs DJ, Callender BA (eds). </w:t>
      </w:r>
      <w:r w:rsidRPr="00BE78CA">
        <w:rPr>
          <w:rFonts w:cs="Calibri"/>
          <w:i/>
        </w:rPr>
        <w:t>IPCC/OECD/IEA. Revised 1996 IPCC Guidelines for National Greenhouse Gas Inventories</w:t>
      </w:r>
      <w:r w:rsidRPr="00BE78CA">
        <w:rPr>
          <w:rFonts w:cs="Calibri"/>
        </w:rPr>
        <w:t>. Bracknell: United Kingdom Meteorological Office.</w:t>
      </w:r>
    </w:p>
    <w:p w14:paraId="16F8E8F9" w14:textId="77777777" w:rsidR="00F02481" w:rsidRPr="00BE78CA" w:rsidRDefault="00F02481" w:rsidP="00C26084">
      <w:pPr>
        <w:pStyle w:val="References"/>
        <w:rPr>
          <w:rFonts w:cs="Calibri"/>
        </w:rPr>
      </w:pPr>
      <w:r w:rsidRPr="00BE78CA">
        <w:rPr>
          <w:rFonts w:cs="Calibri"/>
        </w:rPr>
        <w:t xml:space="preserve">IPCC. 2000. Penman J, Kruger D, Galbally I, Hiraishi T, Nyenzi B, Emmanuel S, Buendia L, Hoppaus R, Martinsen T, Meijer J, Miwa K, Tanabe K (eds). </w:t>
      </w:r>
      <w:r w:rsidRPr="00BE78CA">
        <w:rPr>
          <w:rFonts w:cs="Calibri"/>
          <w:i/>
        </w:rPr>
        <w:t>Good Practice Guidance and Uncertainty Management in National Greenhouse Gas Inventories</w:t>
      </w:r>
      <w:r w:rsidRPr="00BE78CA">
        <w:rPr>
          <w:rFonts w:cs="Calibri"/>
        </w:rPr>
        <w:t>. IPCC National Greenhouse Gas Inventories Programme. Published for the IPCC by the Institute for Global Environmental Strategies: Japan.</w:t>
      </w:r>
    </w:p>
    <w:p w14:paraId="660E5C91" w14:textId="77777777" w:rsidR="00F02481" w:rsidRPr="00BE78CA" w:rsidRDefault="00F02481" w:rsidP="00C26084">
      <w:pPr>
        <w:pStyle w:val="References"/>
        <w:rPr>
          <w:rFonts w:cs="Calibri"/>
        </w:rPr>
      </w:pPr>
      <w:r w:rsidRPr="00BE78CA">
        <w:rPr>
          <w:rFonts w:cs="Calibri"/>
        </w:rPr>
        <w:t xml:space="preserve">IPCC. 2006. Eggleston HS, Buendia L, Miwa K, Ngara T, Tanabe K (eds). </w:t>
      </w:r>
      <w:r w:rsidRPr="00BE78CA">
        <w:rPr>
          <w:rFonts w:cs="Calibri"/>
          <w:i/>
        </w:rPr>
        <w:t>2006 IPCC Guidelines for National Greenhouse Gas Inventories. Volume 4. Agriculture, Forestry and Other Land Use</w:t>
      </w:r>
      <w:r w:rsidRPr="00BE78CA">
        <w:rPr>
          <w:rFonts w:cs="Calibri"/>
        </w:rPr>
        <w:t>. IPCC National Greenhouse Gas Inventories Programme. Published for the IPCC by the Institute for Global Environmental Strategies: Japan.</w:t>
      </w:r>
    </w:p>
    <w:p w14:paraId="500204C9" w14:textId="77777777" w:rsidR="00F02481" w:rsidRPr="00BE78CA" w:rsidRDefault="00F02481" w:rsidP="00C26084">
      <w:pPr>
        <w:pStyle w:val="References"/>
        <w:rPr>
          <w:rFonts w:cs="Calibri"/>
        </w:rPr>
      </w:pPr>
      <w:r w:rsidRPr="00BE78CA">
        <w:rPr>
          <w:rFonts w:cs="Calibri"/>
        </w:rPr>
        <w:t xml:space="preserve">IPCC. 2019. Calvo Buendia E, Tanabe K, Kranjc A, Baasansuren J, Fukuda M, Ngarize S, Osako A, Pyrozhenko Y, Shermanau P, Federici S (eds). </w:t>
      </w:r>
      <w:r w:rsidRPr="00BE78CA">
        <w:rPr>
          <w:rFonts w:cs="Calibri"/>
          <w:i/>
          <w:iCs/>
        </w:rPr>
        <w:t>2019 Refinement to the 2006 IPCC Guidelines for National Greenhouse Gas Inventories</w:t>
      </w:r>
      <w:r w:rsidRPr="00BE78CA">
        <w:rPr>
          <w:rFonts w:cs="Calibri"/>
        </w:rPr>
        <w:t>.. Switzerland: IPCC.</w:t>
      </w:r>
    </w:p>
    <w:p w14:paraId="787E7240" w14:textId="77777777" w:rsidR="00F02481" w:rsidRPr="00BE78CA" w:rsidRDefault="00F02481" w:rsidP="00C26084">
      <w:pPr>
        <w:pStyle w:val="References"/>
        <w:rPr>
          <w:rFonts w:cs="Calibri"/>
        </w:rPr>
      </w:pPr>
      <w:r w:rsidRPr="00BE78CA">
        <w:rPr>
          <w:rFonts w:cs="Calibri"/>
        </w:rPr>
        <w:t>Kelliher FM, Clark H, Smith MH, Lassey KR, Sedcole R. 2009.</w:t>
      </w:r>
      <w:r w:rsidRPr="00BE78CA">
        <w:rPr>
          <w:rFonts w:cs="Calibri"/>
          <w:szCs w:val="54"/>
        </w:rPr>
        <w:t xml:space="preserve"> </w:t>
      </w:r>
      <w:r w:rsidRPr="00BE78CA">
        <w:rPr>
          <w:rFonts w:cs="Calibri"/>
          <w:i/>
          <w:szCs w:val="54"/>
        </w:rPr>
        <w:t>Reducing Uncertainty of the Enteric Methane Emissions Inventory</w:t>
      </w:r>
      <w:r w:rsidRPr="00BE78CA">
        <w:rPr>
          <w:rFonts w:cs="Calibri"/>
          <w:szCs w:val="54"/>
        </w:rPr>
        <w:t xml:space="preserve">. </w:t>
      </w:r>
      <w:r w:rsidRPr="00BE78CA">
        <w:rPr>
          <w:rFonts w:cs="Calibri"/>
        </w:rPr>
        <w:t>Report prepared for the Ministry of Agriculture and Forestry by Lincoln University, National Institute of Water and Atmospheric Research and AgResearch. Wellington: Ministry of Agriculture and Forestry.</w:t>
      </w:r>
    </w:p>
    <w:p w14:paraId="25F1FC49" w14:textId="77777777" w:rsidR="00F02481" w:rsidRPr="00BE78CA" w:rsidRDefault="00F02481" w:rsidP="00C26084">
      <w:pPr>
        <w:pStyle w:val="References"/>
        <w:rPr>
          <w:rFonts w:cs="Calibri"/>
        </w:rPr>
      </w:pPr>
      <w:r w:rsidRPr="00BE78CA">
        <w:rPr>
          <w:rFonts w:cs="Calibri"/>
        </w:rPr>
        <w:t xml:space="preserve">Kelliher FM, Cox N, van der Weerden TJ, de Klein CAM, Luo J, Cameron KC, Di HJ, Giltrap D, Rys G. 2014. Statistical analysis of nitrous oxide emission factors from pastoral agriculture field trials conducted in New Zealand. </w:t>
      </w:r>
      <w:r w:rsidRPr="00BE78CA">
        <w:rPr>
          <w:rFonts w:cs="Calibri"/>
          <w:i/>
        </w:rPr>
        <w:t>Environmental Pollution</w:t>
      </w:r>
      <w:r w:rsidRPr="00BE78CA">
        <w:rPr>
          <w:rFonts w:cs="Calibri"/>
        </w:rPr>
        <w:t xml:space="preserve"> 186: 63–66.</w:t>
      </w:r>
    </w:p>
    <w:p w14:paraId="4F6839E3" w14:textId="77777777" w:rsidR="00F02481" w:rsidRPr="00BE78CA" w:rsidRDefault="00F02481" w:rsidP="00C26084">
      <w:pPr>
        <w:pStyle w:val="References"/>
        <w:rPr>
          <w:rFonts w:cs="Calibri"/>
        </w:rPr>
      </w:pPr>
      <w:r w:rsidRPr="00BE78CA">
        <w:rPr>
          <w:rFonts w:cs="Calibri"/>
        </w:rPr>
        <w:t>Kelliher FM, de Klein CAM. Unpublished. Review of New Zealand’s Fertiliser Nitrous Oxide Emission Factor (EF</w:t>
      </w:r>
      <w:r w:rsidRPr="00BE78CA">
        <w:rPr>
          <w:rFonts w:cs="Calibri"/>
          <w:vertAlign w:val="subscript"/>
        </w:rPr>
        <w:t>1</w:t>
      </w:r>
      <w:r w:rsidRPr="00BE78CA">
        <w:rPr>
          <w:rFonts w:cs="Calibri"/>
        </w:rPr>
        <w:t>) Data. Report prepared for the Ministry for the Environment by Landcare Research and AgResearch in 2006.</w:t>
      </w:r>
    </w:p>
    <w:p w14:paraId="6C818A3C" w14:textId="77777777" w:rsidR="00F02481" w:rsidRPr="00BE78CA" w:rsidRDefault="00F02481" w:rsidP="00C26084">
      <w:pPr>
        <w:pStyle w:val="References"/>
        <w:rPr>
          <w:rFonts w:cs="Calibri"/>
        </w:rPr>
      </w:pPr>
      <w:r w:rsidRPr="00BE78CA">
        <w:rPr>
          <w:rFonts w:cs="Calibri"/>
        </w:rPr>
        <w:t xml:space="preserve">Kelliher FM, Henderson H and Cox N. 2017. The uncertainty of nitrous oxide emissions from grazed grasslands: A New Zealand case study. </w:t>
      </w:r>
      <w:r w:rsidRPr="00BE78CA">
        <w:rPr>
          <w:rFonts w:cs="Calibri"/>
          <w:i/>
        </w:rPr>
        <w:t>Atmospheric Environment</w:t>
      </w:r>
      <w:r w:rsidRPr="00BE78CA">
        <w:rPr>
          <w:rFonts w:cs="Calibri"/>
        </w:rPr>
        <w:t xml:space="preserve"> 148: 329–336.</w:t>
      </w:r>
    </w:p>
    <w:p w14:paraId="40A118A8" w14:textId="77777777" w:rsidR="00F02481" w:rsidRPr="00BE78CA" w:rsidRDefault="00F02481" w:rsidP="00C26084">
      <w:pPr>
        <w:pStyle w:val="References"/>
        <w:rPr>
          <w:rFonts w:cs="Calibri"/>
        </w:rPr>
      </w:pPr>
      <w:r w:rsidRPr="00BE78CA">
        <w:rPr>
          <w:rFonts w:cs="Calibri"/>
        </w:rPr>
        <w:t>Kelliher FM, Ledgard SF, Clark H, Walcroft AS, Buchan M, Sherlock RR. Unpublished(b). A Revised Nitrous Oxide Emissions Inventory for New Zealand 1990–2001. Report prepared for the Ministry of Agriculture and Forestry by Lincoln University, Landcare Research and AgResearch in 2003.</w:t>
      </w:r>
    </w:p>
    <w:p w14:paraId="7F3BBE6B" w14:textId="77777777" w:rsidR="00F02481" w:rsidRPr="00BE78CA" w:rsidRDefault="00F02481" w:rsidP="00C26084">
      <w:pPr>
        <w:pStyle w:val="References"/>
        <w:rPr>
          <w:rFonts w:cs="Calibri"/>
        </w:rPr>
      </w:pPr>
      <w:r w:rsidRPr="00BE78CA">
        <w:rPr>
          <w:rFonts w:cs="Calibri"/>
        </w:rPr>
        <w:t xml:space="preserve">Kuikman PJ, van der Hoek KW, Smit A, Zwart K. 2006. </w:t>
      </w:r>
      <w:r w:rsidRPr="00BE78CA">
        <w:rPr>
          <w:rFonts w:cs="Calibri"/>
          <w:i/>
        </w:rPr>
        <w:t>Update of emission factors for nitrous oxide from agricultural soils on the basis of measurements in the Netherlands</w:t>
      </w:r>
      <w:r w:rsidRPr="00BE78CA">
        <w:rPr>
          <w:rFonts w:cs="Calibri"/>
        </w:rPr>
        <w:t>. Alterra Report 1217. Wageningen, The Netherlands: Alterra.</w:t>
      </w:r>
    </w:p>
    <w:p w14:paraId="32050376" w14:textId="77777777" w:rsidR="00F02481" w:rsidRPr="00BE78CA" w:rsidRDefault="00F02481" w:rsidP="00C26084">
      <w:pPr>
        <w:pStyle w:val="References"/>
        <w:rPr>
          <w:rFonts w:cs="Calibri"/>
          <w:i/>
        </w:rPr>
      </w:pPr>
      <w:r w:rsidRPr="00BE78CA">
        <w:rPr>
          <w:rFonts w:cs="Calibri"/>
        </w:rPr>
        <w:t xml:space="preserve">Lassey K. 2011. </w:t>
      </w:r>
      <w:r w:rsidRPr="00BE78CA">
        <w:rPr>
          <w:rFonts w:cs="Calibri"/>
          <w:i/>
        </w:rPr>
        <w:t>Methane Emissions and Nitrogen Excretion Rates for New Zealand Goats</w:t>
      </w:r>
      <w:r w:rsidRPr="00BE78CA">
        <w:rPr>
          <w:rFonts w:cs="Calibri"/>
        </w:rPr>
        <w:t xml:space="preserve">. Report for the Ministry of Agriculture and Forestry, National Institute of Water and Atmospheric Research. Wellington: National Institute of Water and Atmospheric Research. </w:t>
      </w:r>
    </w:p>
    <w:p w14:paraId="056291A0" w14:textId="77777777" w:rsidR="00F02481" w:rsidRPr="00BE78CA" w:rsidRDefault="00F02481" w:rsidP="00C26084">
      <w:pPr>
        <w:pStyle w:val="References"/>
        <w:rPr>
          <w:rFonts w:cs="Calibri"/>
          <w:i/>
        </w:rPr>
      </w:pPr>
      <w:r w:rsidRPr="00BE78CA">
        <w:rPr>
          <w:rFonts w:cs="Calibri"/>
        </w:rPr>
        <w:t xml:space="preserve">Lassey KR, Ulyatt MJ, Martin RJ, Walker CF, Shelton ID. 1997. Methane emissions measured directly from grazing livestock in New Zealand. </w:t>
      </w:r>
      <w:r w:rsidRPr="00BE78CA">
        <w:rPr>
          <w:rFonts w:cs="Calibri"/>
          <w:i/>
          <w:iCs/>
        </w:rPr>
        <w:t>Atmospheric Environment</w:t>
      </w:r>
      <w:r w:rsidRPr="00BE78CA">
        <w:rPr>
          <w:rFonts w:cs="Calibri"/>
        </w:rPr>
        <w:t xml:space="preserve"> </w:t>
      </w:r>
      <w:r w:rsidRPr="00BE78CA">
        <w:rPr>
          <w:rFonts w:cs="Calibri"/>
          <w:bCs/>
        </w:rPr>
        <w:t>31</w:t>
      </w:r>
      <w:r w:rsidRPr="00BE78CA">
        <w:rPr>
          <w:rFonts w:cs="Calibri"/>
        </w:rPr>
        <w:t>: 2905–2914.</w:t>
      </w:r>
    </w:p>
    <w:p w14:paraId="31794CBD" w14:textId="77777777" w:rsidR="00F02481" w:rsidRPr="00BE78CA" w:rsidRDefault="00F02481" w:rsidP="00C26084">
      <w:pPr>
        <w:pStyle w:val="References"/>
        <w:rPr>
          <w:rFonts w:cs="Calibri"/>
        </w:rPr>
      </w:pPr>
      <w:r w:rsidRPr="00BE78CA">
        <w:rPr>
          <w:rFonts w:cs="Calibri"/>
        </w:rPr>
        <w:t xml:space="preserve">Laubach J, Grover SPP, Taghizadeh-Toosi A, Sherlock RR, Gibbs J, Kelliher FM. 2012. </w:t>
      </w:r>
      <w:r w:rsidRPr="00BE78CA">
        <w:rPr>
          <w:rFonts w:cs="Calibri"/>
          <w:i/>
        </w:rPr>
        <w:t>Ammonium from Animal Excreta.</w:t>
      </w:r>
      <w:r w:rsidRPr="00BE78CA">
        <w:rPr>
          <w:rFonts w:cs="Calibri"/>
        </w:rPr>
        <w:t xml:space="preserve"> MPI Technical Paper No: 2012/41. Wellington: Ministry for Primary Industries. </w:t>
      </w:r>
    </w:p>
    <w:p w14:paraId="1581CF8C" w14:textId="77777777" w:rsidR="00F02481" w:rsidRPr="00BE78CA" w:rsidRDefault="00F02481" w:rsidP="00C26084">
      <w:pPr>
        <w:pStyle w:val="References"/>
        <w:rPr>
          <w:rFonts w:cs="Calibri"/>
        </w:rPr>
      </w:pPr>
      <w:r w:rsidRPr="00BE78CA">
        <w:rPr>
          <w:rFonts w:cs="Calibri"/>
        </w:rPr>
        <w:t xml:space="preserve">Laubach J, Kelliher FM. 2004. Measuring methane emission rates of a dairy cow herd by two micrometeorological techniques. </w:t>
      </w:r>
      <w:r w:rsidRPr="00BE78CA">
        <w:rPr>
          <w:rFonts w:cs="Calibri"/>
          <w:i/>
        </w:rPr>
        <w:t>Agricultural and Forest Meteorology</w:t>
      </w:r>
      <w:r w:rsidRPr="00BE78CA">
        <w:rPr>
          <w:rFonts w:cs="Calibri"/>
        </w:rPr>
        <w:t xml:space="preserve"> 125: 279–303.</w:t>
      </w:r>
    </w:p>
    <w:p w14:paraId="3003DC04" w14:textId="77777777" w:rsidR="00F02481" w:rsidRPr="00BE78CA" w:rsidRDefault="00F02481" w:rsidP="00C26084">
      <w:pPr>
        <w:pStyle w:val="References"/>
        <w:rPr>
          <w:rFonts w:cs="Calibri"/>
        </w:rPr>
      </w:pPr>
      <w:r w:rsidRPr="00BE78CA">
        <w:rPr>
          <w:rFonts w:cs="Calibri"/>
        </w:rPr>
        <w:t xml:space="preserve">Ledgard SF, Luo J, Sprosen MS, Wyatt J, Balvert S, Lindsey S. 2014. Effects of the nitrification inhibitor dicyandiamide (DCD) on pasture production, nitrous oxide emissions and nitrate leaching in Waikato, New Zealand. </w:t>
      </w:r>
      <w:r w:rsidRPr="00BE78CA">
        <w:rPr>
          <w:rFonts w:cs="Calibri"/>
          <w:i/>
        </w:rPr>
        <w:t>New Zealand Journal of Agricultural Research</w:t>
      </w:r>
      <w:r w:rsidRPr="00BE78CA">
        <w:rPr>
          <w:rFonts w:cs="Calibri"/>
        </w:rPr>
        <w:t xml:space="preserve"> 57(4): 294–315.</w:t>
      </w:r>
    </w:p>
    <w:p w14:paraId="1F1C5B19" w14:textId="77777777" w:rsidR="00F02481" w:rsidRPr="00BE78CA" w:rsidRDefault="00F02481" w:rsidP="00C26084">
      <w:pPr>
        <w:pStyle w:val="References"/>
        <w:rPr>
          <w:rFonts w:cs="Calibri"/>
          <w:bCs/>
        </w:rPr>
      </w:pPr>
      <w:r w:rsidRPr="00BE78CA">
        <w:rPr>
          <w:rFonts w:cs="Calibri"/>
        </w:rPr>
        <w:lastRenderedPageBreak/>
        <w:t>Ledgard SF, Webby R, Hawke M. Unpublished. Improved Estimation of N Excretion by Grazing Animals to Improve N</w:t>
      </w:r>
      <w:r w:rsidRPr="00BE78CA">
        <w:rPr>
          <w:rFonts w:cs="Calibri"/>
          <w:vertAlign w:val="subscript"/>
        </w:rPr>
        <w:t>2</w:t>
      </w:r>
      <w:r w:rsidRPr="00BE78CA">
        <w:rPr>
          <w:rFonts w:cs="Calibri"/>
        </w:rPr>
        <w:t>O Emission Inventories. Report prepared for the Ministry of Agriculture and Forestry by AgResearch in 2003.</w:t>
      </w:r>
    </w:p>
    <w:p w14:paraId="1DDF992A" w14:textId="77777777" w:rsidR="00F02481" w:rsidRPr="00BE78CA" w:rsidRDefault="00F02481" w:rsidP="00C26084">
      <w:pPr>
        <w:pStyle w:val="References"/>
      </w:pPr>
      <w:r w:rsidRPr="00BE78CA">
        <w:t xml:space="preserve">LIC (Livestock Improvement Corporation Limited) and DairyNZ. 2020. </w:t>
      </w:r>
      <w:r w:rsidRPr="00BE78CA">
        <w:rPr>
          <w:i/>
        </w:rPr>
        <w:t xml:space="preserve">New Zealand Dairy Statistics </w:t>
      </w:r>
      <w:r w:rsidRPr="00BE78CA">
        <w:rPr>
          <w:i/>
        </w:rPr>
        <w:br/>
        <w:t>2019–2020</w:t>
      </w:r>
      <w:r w:rsidRPr="00BE78CA">
        <w:t xml:space="preserve">. Hamilton: DairyNZ. Retrieved from </w:t>
      </w:r>
      <w:hyperlink r:id="rId197" w:history="1">
        <w:r w:rsidRPr="00BE78CA">
          <w:rPr>
            <w:rStyle w:val="Hyperlink"/>
          </w:rPr>
          <w:t>www.dairynz.co.nz/media/5793910/nz-dairy-statistics-2019-20-web.pdf</w:t>
        </w:r>
      </w:hyperlink>
      <w:r w:rsidRPr="00BE78CA" w:rsidDel="00A46026">
        <w:t xml:space="preserve"> </w:t>
      </w:r>
      <w:r w:rsidRPr="00BE78CA">
        <w:t>(14 December 2020).</w:t>
      </w:r>
    </w:p>
    <w:p w14:paraId="260393E3" w14:textId="77777777" w:rsidR="00F02481" w:rsidRPr="00BE78CA" w:rsidRDefault="00F02481" w:rsidP="00C26084">
      <w:pPr>
        <w:pStyle w:val="References"/>
        <w:rPr>
          <w:rFonts w:cs="Calibri"/>
        </w:rPr>
      </w:pPr>
      <w:r w:rsidRPr="00BE78CA">
        <w:rPr>
          <w:rFonts w:cs="Calibri"/>
        </w:rPr>
        <w:t xml:space="preserve">LIC. 2009. </w:t>
      </w:r>
      <w:r w:rsidRPr="00BE78CA">
        <w:rPr>
          <w:rFonts w:cs="Calibri"/>
          <w:i/>
        </w:rPr>
        <w:t>100 Years of Herd Testing</w:t>
      </w:r>
      <w:r w:rsidRPr="00BE78CA">
        <w:rPr>
          <w:rFonts w:cs="Calibri"/>
        </w:rPr>
        <w:t xml:space="preserve">. Hamilton: Livestock Improvement Corporation Limited. Retrieved from </w:t>
      </w:r>
      <w:hyperlink r:id="rId198" w:history="1">
        <w:r w:rsidRPr="00BE78CA">
          <w:rPr>
            <w:rStyle w:val="Hyperlink"/>
          </w:rPr>
          <w:t>www.lic.co.nz/documents/275/100_years_of_Herd_Testing.pdf</w:t>
        </w:r>
      </w:hyperlink>
      <w:r w:rsidRPr="00BE78CA">
        <w:rPr>
          <w:rFonts w:cs="Calibri"/>
        </w:rPr>
        <w:t xml:space="preserve"> (7 January 2020).</w:t>
      </w:r>
    </w:p>
    <w:p w14:paraId="724D24B5" w14:textId="77777777" w:rsidR="00F02481" w:rsidRPr="00BE78CA" w:rsidRDefault="00F02481" w:rsidP="00C26084">
      <w:pPr>
        <w:pStyle w:val="References"/>
        <w:rPr>
          <w:rFonts w:cs="Calibri"/>
        </w:rPr>
      </w:pPr>
      <w:r w:rsidRPr="00BE78CA">
        <w:rPr>
          <w:rFonts w:cs="Calibri"/>
        </w:rPr>
        <w:t xml:space="preserve">Luo J, Hoogendoorn C, van der Weerden T, Saggar S, de Klein C, Giltrap D. 2016. </w:t>
      </w:r>
      <w:r w:rsidRPr="00BE78CA">
        <w:rPr>
          <w:rFonts w:cs="Calibri"/>
          <w:i/>
          <w:iCs/>
        </w:rPr>
        <w:t>Nitrous oxide emission factors for animal excreta deposited on hill country steep slopes</w:t>
      </w:r>
      <w:r w:rsidRPr="00BE78CA">
        <w:rPr>
          <w:rFonts w:cs="Calibri"/>
        </w:rPr>
        <w:t>. Report prepared for the Ministry for Primary Industries by AgResearch in 2016. Wellington: Ministry for Primary Industries.</w:t>
      </w:r>
    </w:p>
    <w:p w14:paraId="14862B44" w14:textId="77777777" w:rsidR="00F02481" w:rsidRPr="00BE78CA" w:rsidRDefault="00F02481" w:rsidP="00C26084">
      <w:pPr>
        <w:pStyle w:val="References"/>
        <w:rPr>
          <w:rFonts w:cs="Calibri"/>
        </w:rPr>
      </w:pPr>
      <w:r w:rsidRPr="00BE78CA">
        <w:rPr>
          <w:rFonts w:cs="Calibri"/>
        </w:rPr>
        <w:t xml:space="preserve">Luo J, Hoogendoorn C, van der Weerden TJ, Saggar S, de Klein CAM, Giltrap D, Rollo M, Rys G. 2013. Nitrous oxide emissions from grazed hill land in New Zealand. </w:t>
      </w:r>
      <w:r w:rsidRPr="00BE78CA">
        <w:rPr>
          <w:rFonts w:cs="Calibri"/>
          <w:i/>
        </w:rPr>
        <w:t>Agriculture Ecosystems &amp; Environment</w:t>
      </w:r>
      <w:r w:rsidRPr="00BE78CA">
        <w:rPr>
          <w:rFonts w:cs="Calibri"/>
        </w:rPr>
        <w:t xml:space="preserve"> 181: 58–68.</w:t>
      </w:r>
    </w:p>
    <w:p w14:paraId="7A369EC0" w14:textId="77777777" w:rsidR="00F02481" w:rsidRPr="00BE78CA" w:rsidRDefault="00F02481" w:rsidP="00C26084">
      <w:pPr>
        <w:pStyle w:val="References"/>
        <w:rPr>
          <w:rFonts w:cs="Calibri"/>
        </w:rPr>
      </w:pPr>
      <w:r w:rsidRPr="00BE78CA">
        <w:rPr>
          <w:rFonts w:cs="Calibri"/>
        </w:rPr>
        <w:t xml:space="preserve">Luo J, Saggar S, van der Weerden T, de Klein C. 2019. Quantification of nitrous oxide emissions and emission factors from beef and dairy cattle excreta deposited on grazed pastoral hill lands. </w:t>
      </w:r>
      <w:r w:rsidRPr="00BE78CA">
        <w:rPr>
          <w:rFonts w:cs="Calibri"/>
          <w:i/>
        </w:rPr>
        <w:t>Agriculture, Ecosystems &amp; Environment</w:t>
      </w:r>
      <w:r w:rsidRPr="00BE78CA">
        <w:rPr>
          <w:rFonts w:cs="Calibri"/>
        </w:rPr>
        <w:t xml:space="preserve"> 270–271: 103–113.</w:t>
      </w:r>
    </w:p>
    <w:p w14:paraId="1C751DCB" w14:textId="77777777" w:rsidR="00F02481" w:rsidRPr="00BE78CA" w:rsidRDefault="00F02481" w:rsidP="00C26084">
      <w:pPr>
        <w:pStyle w:val="References"/>
        <w:rPr>
          <w:rFonts w:cs="Calibri"/>
        </w:rPr>
      </w:pPr>
      <w:r w:rsidRPr="00BE78CA">
        <w:rPr>
          <w:rFonts w:cs="Calibri"/>
        </w:rPr>
        <w:t>Marsden KA, Holmberg JA, Jones DL, Chadwick DR. 2018. Sheep urine patch N</w:t>
      </w:r>
      <w:r w:rsidRPr="00BE78CA">
        <w:rPr>
          <w:rFonts w:cs="Calibri"/>
          <w:vertAlign w:val="subscript"/>
        </w:rPr>
        <w:t>2</w:t>
      </w:r>
      <w:r w:rsidRPr="00BE78CA">
        <w:rPr>
          <w:rFonts w:cs="Calibri"/>
        </w:rPr>
        <w:t xml:space="preserve">O emissions are lower from extensively-managed than intensively-managed grasslands. </w:t>
      </w:r>
      <w:r w:rsidRPr="00BE78CA">
        <w:rPr>
          <w:rFonts w:cs="Calibri"/>
          <w:i/>
        </w:rPr>
        <w:t>Agriculture Ecosystems &amp; Environment</w:t>
      </w:r>
      <w:r w:rsidRPr="00BE78CA">
        <w:rPr>
          <w:rFonts w:cs="Calibri"/>
        </w:rPr>
        <w:t xml:space="preserve"> 265: 264–274.</w:t>
      </w:r>
    </w:p>
    <w:p w14:paraId="5404B9E7" w14:textId="77777777" w:rsidR="00F02481" w:rsidRPr="00BE78CA" w:rsidRDefault="00F02481" w:rsidP="00C26084">
      <w:pPr>
        <w:pStyle w:val="References"/>
        <w:rPr>
          <w:rFonts w:cs="Calibri"/>
        </w:rPr>
      </w:pPr>
      <w:r w:rsidRPr="00BE78CA">
        <w:rPr>
          <w:rFonts w:cs="Calibri"/>
        </w:rPr>
        <w:t xml:space="preserve">MPI (Ministry for Primary Industries). 2021. Livestock slaughter statistics for sheep, cattle, goats, horses and pigs. Retrieved from </w:t>
      </w:r>
      <w:hyperlink r:id="rId199" w:history="1">
        <w:r w:rsidRPr="00BE78CA">
          <w:rPr>
            <w:rStyle w:val="Hyperlink"/>
          </w:rPr>
          <w:t>www.mpi.govt.nz/dmsdocument/1018-Livestock-slaughter-statistics-for-sheep-cattle-goats-horses-and-pigs</w:t>
        </w:r>
      </w:hyperlink>
      <w:r w:rsidRPr="00BE78CA">
        <w:t xml:space="preserve"> </w:t>
      </w:r>
      <w:r w:rsidRPr="00BE78CA">
        <w:rPr>
          <w:rFonts w:cs="Calibri"/>
        </w:rPr>
        <w:t>(25 January 2021).</w:t>
      </w:r>
    </w:p>
    <w:p w14:paraId="545CC5DB" w14:textId="77777777" w:rsidR="00F02481" w:rsidRPr="00BE78CA" w:rsidRDefault="00F02481" w:rsidP="00C26084">
      <w:pPr>
        <w:pStyle w:val="References"/>
        <w:rPr>
          <w:rFonts w:cs="Calibri"/>
        </w:rPr>
      </w:pPr>
      <w:r w:rsidRPr="00BE78CA">
        <w:rPr>
          <w:rFonts w:cs="Calibri"/>
        </w:rPr>
        <w:t xml:space="preserve">Ministry for the Environment. 2017. </w:t>
      </w:r>
      <w:r w:rsidRPr="00BE78CA">
        <w:rPr>
          <w:rFonts w:cs="Calibri"/>
          <w:i/>
        </w:rPr>
        <w:t>New Zealand’s Seventh National Communication –</w:t>
      </w:r>
      <w:r w:rsidRPr="00BE78CA" w:rsidDel="008B7BF6">
        <w:rPr>
          <w:rFonts w:cs="Calibri"/>
          <w:i/>
        </w:rPr>
        <w:t xml:space="preserve"> </w:t>
      </w:r>
      <w:r w:rsidRPr="00BE78CA">
        <w:rPr>
          <w:rFonts w:cs="Calibri"/>
          <w:i/>
        </w:rPr>
        <w:t>Fulfilling reporting requirements under the United Nations Framework Convention on Climate Change and the Kyoto Protocol.</w:t>
      </w:r>
      <w:r w:rsidRPr="00BE78CA">
        <w:rPr>
          <w:rFonts w:cs="Calibri"/>
        </w:rPr>
        <w:t xml:space="preserve"> Wellington: Ministry for the Environment. Retrieved from</w:t>
      </w:r>
      <w:r w:rsidRPr="00BE78CA" w:rsidDel="008B7BF6">
        <w:rPr>
          <w:rFonts w:cs="Calibri"/>
        </w:rPr>
        <w:t xml:space="preserve"> </w:t>
      </w:r>
      <w:hyperlink r:id="rId200" w:history="1">
        <w:r w:rsidRPr="00BE78CA">
          <w:rPr>
            <w:rStyle w:val="Hyperlink"/>
          </w:rPr>
          <w:t>www.mfe.govt.nz/sites/default/files/media/Climate%20Change/21-12-17%20Web%20FINAL%20-%20Seventh%20National%20Communication%202017.pdf</w:t>
        </w:r>
      </w:hyperlink>
      <w:r w:rsidRPr="00BE78CA" w:rsidDel="007B7D8B">
        <w:rPr>
          <w:rFonts w:cs="Calibri"/>
        </w:rPr>
        <w:t xml:space="preserve"> </w:t>
      </w:r>
      <w:r w:rsidRPr="00BE78CA">
        <w:rPr>
          <w:rFonts w:cs="Calibri"/>
        </w:rPr>
        <w:t>(7 January 2020).</w:t>
      </w:r>
    </w:p>
    <w:p w14:paraId="061F54D4" w14:textId="77777777" w:rsidR="00F02481" w:rsidRPr="00BE78CA" w:rsidRDefault="00F02481" w:rsidP="00C26084">
      <w:pPr>
        <w:pStyle w:val="References"/>
        <w:rPr>
          <w:rFonts w:eastAsia="Arial Unicode MS"/>
        </w:rPr>
      </w:pPr>
      <w:r w:rsidRPr="00BE78CA">
        <w:rPr>
          <w:rFonts w:cs="Calibri"/>
        </w:rPr>
        <w:t xml:space="preserve">Muir PD, Thomson BC. 2010. </w:t>
      </w:r>
      <w:r w:rsidRPr="00BE78CA">
        <w:rPr>
          <w:rFonts w:cs="Calibri"/>
          <w:i/>
        </w:rPr>
        <w:t>Better Estimation of National Ewe and Beef Cow Liveweights</w:t>
      </w:r>
      <w:r w:rsidRPr="00BE78CA">
        <w:rPr>
          <w:rFonts w:cs="Calibri"/>
        </w:rPr>
        <w:t>. Report prepared for the Ministry of Agriculture and Forestry by On-Farm Research. Wellington: Ministry of Agriculture and Forestry.</w:t>
      </w:r>
    </w:p>
    <w:p w14:paraId="7B05FC90" w14:textId="77777777" w:rsidR="00F02481" w:rsidRPr="00BE78CA" w:rsidRDefault="00F02481" w:rsidP="00C26084">
      <w:pPr>
        <w:pStyle w:val="References"/>
        <w:rPr>
          <w:rFonts w:cs="Calibri"/>
          <w:i/>
        </w:rPr>
      </w:pPr>
      <w:r w:rsidRPr="00BE78CA">
        <w:rPr>
          <w:rFonts w:cs="Calibri"/>
        </w:rPr>
        <w:t xml:space="preserve">Muir PD, Thomson BC, Askin DC. 2008. </w:t>
      </w:r>
      <w:r w:rsidRPr="00BE78CA">
        <w:rPr>
          <w:rFonts w:cs="Calibri"/>
          <w:i/>
        </w:rPr>
        <w:t>A Review of Dressing Out Percentage in New Zealand Livestock</w:t>
      </w:r>
      <w:r w:rsidRPr="00BE78CA">
        <w:rPr>
          <w:rFonts w:cs="Calibri"/>
        </w:rPr>
        <w:t>. Report prepared for the Ministry of Agriculture and Forestry by On-Farm Research and Kilu Consulting. Wellington: Ministry of Agriculture and Forestry.</w:t>
      </w:r>
    </w:p>
    <w:p w14:paraId="2FB71F51" w14:textId="77777777" w:rsidR="00F02481" w:rsidRPr="00BE78CA" w:rsidRDefault="00F02481" w:rsidP="00C26084">
      <w:pPr>
        <w:pStyle w:val="References"/>
        <w:rPr>
          <w:rFonts w:cs="Calibri"/>
        </w:rPr>
      </w:pPr>
      <w:r w:rsidRPr="00BE78CA">
        <w:rPr>
          <w:rFonts w:cs="Calibri"/>
        </w:rPr>
        <w:t xml:space="preserve">Muller C, Sherlock RR, Williams PH. 1995. Direct field measurements of nitrous oxide emissions from urine-affected and urine-unaffected pasture in Canterbury. In: </w:t>
      </w:r>
      <w:r w:rsidRPr="00BE78CA">
        <w:rPr>
          <w:rFonts w:cs="Calibri"/>
          <w:i/>
        </w:rPr>
        <w:t>P</w:t>
      </w:r>
      <w:r w:rsidRPr="00BE78CA">
        <w:rPr>
          <w:rFonts w:cs="Calibri"/>
          <w:i/>
          <w:iCs/>
        </w:rPr>
        <w:t>roceedings of the Workshop on Fertilizer Requirements of Grazed Pasture and Field Crops: Macro and Micronutrients</w:t>
      </w:r>
      <w:r w:rsidRPr="00BE78CA">
        <w:rPr>
          <w:rFonts w:cs="Calibri"/>
          <w:iCs/>
        </w:rPr>
        <w:t xml:space="preserve">. </w:t>
      </w:r>
      <w:r w:rsidRPr="00BE78CA">
        <w:rPr>
          <w:rFonts w:cs="Calibri"/>
        </w:rPr>
        <w:t>Currie LD, Loganathan P (eds). Occasional Report No. 8. Palmerston North: Massey University. pp 243–34.</w:t>
      </w:r>
    </w:p>
    <w:p w14:paraId="1F393BC5" w14:textId="77777777" w:rsidR="00F02481" w:rsidRPr="00BE78CA" w:rsidRDefault="00F02481" w:rsidP="00C26084">
      <w:pPr>
        <w:pStyle w:val="References"/>
        <w:rPr>
          <w:rFonts w:cs="Calibri"/>
        </w:rPr>
      </w:pPr>
      <w:r w:rsidRPr="00BE78CA">
        <w:rPr>
          <w:rFonts w:cs="Calibri"/>
        </w:rPr>
        <w:t>Pacheco D, Waghorn G, Rollo M. Unpublished. Methodology for Splitting Nitrogen between Livestock Dung and Urine</w:t>
      </w:r>
      <w:r w:rsidRPr="00BE78CA">
        <w:rPr>
          <w:rFonts w:cs="Calibri"/>
          <w:i/>
        </w:rPr>
        <w:t>.</w:t>
      </w:r>
      <w:r w:rsidRPr="00BE78CA">
        <w:rPr>
          <w:rFonts w:cs="Calibri"/>
        </w:rPr>
        <w:t xml:space="preserve"> Report prepared for the Ministry for Primary Industries by AgResearch in 2018.</w:t>
      </w:r>
    </w:p>
    <w:p w14:paraId="71B6CA22" w14:textId="77777777" w:rsidR="00F02481" w:rsidRPr="00BE78CA" w:rsidRDefault="00F02481" w:rsidP="00C26084">
      <w:pPr>
        <w:pStyle w:val="References"/>
        <w:rPr>
          <w:rFonts w:cs="Calibri"/>
        </w:rPr>
      </w:pPr>
      <w:r w:rsidRPr="00BE78CA">
        <w:rPr>
          <w:rFonts w:cs="Calibri"/>
          <w:spacing w:val="-2"/>
          <w:lang w:eastAsia="en-GB"/>
        </w:rPr>
        <w:t xml:space="preserve">Pickering A, Gibbs J, Wear S, Fick J, Tomlin H. 2020. </w:t>
      </w:r>
      <w:r w:rsidRPr="00BE78CA">
        <w:rPr>
          <w:rFonts w:cs="Calibri"/>
          <w:i/>
          <w:spacing w:val="-2"/>
          <w:lang w:eastAsia="en-GB"/>
        </w:rPr>
        <w:t>Methodology for Calculation of New Zealand’s Agricultural Greenhouse Gas Emissions</w:t>
      </w:r>
      <w:r w:rsidRPr="00BE78CA">
        <w:rPr>
          <w:rFonts w:cs="Calibri"/>
          <w:spacing w:val="-2"/>
          <w:lang w:eastAsia="en-GB"/>
        </w:rPr>
        <w:t>.</w:t>
      </w:r>
      <w:r w:rsidRPr="00BE78CA">
        <w:rPr>
          <w:rFonts w:cs="Calibri"/>
          <w:lang w:eastAsia="en-GB"/>
        </w:rPr>
        <w:t xml:space="preserve"> Version 6. Wellington: Ministry for Primary Industries. Retrieved from </w:t>
      </w:r>
      <w:hyperlink r:id="rId201" w:history="1">
        <w:r w:rsidRPr="00BE78CA">
          <w:rPr>
            <w:rStyle w:val="Hyperlink"/>
          </w:rPr>
          <w:t>www.mpi.govt.nz/dmsdocument/13906-Detailed-methodologies-for-agricultural-greenhouse-gas-emission-calculation</w:t>
        </w:r>
      </w:hyperlink>
      <w:r w:rsidRPr="00BE78CA" w:rsidDel="004F79B3">
        <w:rPr>
          <w:rFonts w:cs="Calibri"/>
          <w:lang w:eastAsia="en-GB"/>
        </w:rPr>
        <w:t xml:space="preserve"> </w:t>
      </w:r>
      <w:r w:rsidRPr="00BE78CA">
        <w:rPr>
          <w:rFonts w:cs="Calibri"/>
        </w:rPr>
        <w:t xml:space="preserve">(7 January 2021). </w:t>
      </w:r>
    </w:p>
    <w:p w14:paraId="0C7564D4" w14:textId="77777777" w:rsidR="00F02481" w:rsidRPr="00BE78CA" w:rsidRDefault="00F02481" w:rsidP="00C26084">
      <w:pPr>
        <w:pStyle w:val="References"/>
        <w:rPr>
          <w:rFonts w:cs="Calibri"/>
        </w:rPr>
      </w:pPr>
      <w:r w:rsidRPr="00BE78CA">
        <w:rPr>
          <w:rFonts w:cs="Calibri"/>
        </w:rPr>
        <w:t xml:space="preserve">Pinares-Patino CS, Ulyatt MJ, Waghorn GC, Lassey KR, Barry TN, Holmes CW, Johnson DE. 2003. Methane emission by alpaca and sheep fed on lucerne hay or grazed on pastures of perennial ryegrass/white clover or birdsfoot trefoil. </w:t>
      </w:r>
      <w:r w:rsidRPr="00BE78CA">
        <w:rPr>
          <w:rFonts w:cs="Calibri"/>
          <w:i/>
        </w:rPr>
        <w:t>Journal of Agricultural Science</w:t>
      </w:r>
      <w:r w:rsidRPr="00BE78CA">
        <w:rPr>
          <w:rFonts w:cs="Calibri"/>
        </w:rPr>
        <w:t xml:space="preserve"> 140: 215–226.</w:t>
      </w:r>
    </w:p>
    <w:p w14:paraId="0EA9D0D7" w14:textId="77777777" w:rsidR="00F02481" w:rsidRPr="00BE78CA" w:rsidRDefault="00F02481" w:rsidP="00C26084">
      <w:pPr>
        <w:pStyle w:val="References"/>
        <w:keepLines/>
        <w:rPr>
          <w:rFonts w:cs="Calibri"/>
        </w:rPr>
      </w:pPr>
      <w:r w:rsidRPr="00BE78CA">
        <w:rPr>
          <w:rFonts w:cs="Calibri"/>
        </w:rPr>
        <w:lastRenderedPageBreak/>
        <w:t>Pratt C, Walcroft A, Shilton A, Guieysse B, Chung M, Craggs R, Heubeck S. Unpublished. Revised Methane Emission Factors and Parameters for Dairy Effluent Ponds. Report prepared for the Ministry for Primary Industries by Landcare Research, Massey University and the National Institute of Water and Atmospheric Research in 2012.</w:t>
      </w:r>
    </w:p>
    <w:p w14:paraId="23BD87F2" w14:textId="77777777" w:rsidR="00F02481" w:rsidRPr="00BE78CA" w:rsidRDefault="00F02481" w:rsidP="00C26084">
      <w:pPr>
        <w:pStyle w:val="References"/>
        <w:rPr>
          <w:rFonts w:cs="Calibri"/>
        </w:rPr>
      </w:pPr>
      <w:r w:rsidRPr="00BE78CA">
        <w:rPr>
          <w:rFonts w:cs="Calibri"/>
        </w:rPr>
        <w:t>Rollo M, Ledgard S, Longhurst B. Unpublished. Final Report: Trends in Dairy Effluent Management. Report prepared for the Ministry for Primary Industries by AgResearch in 2017.</w:t>
      </w:r>
    </w:p>
    <w:p w14:paraId="39151F76" w14:textId="77777777" w:rsidR="00F02481" w:rsidRPr="00BE78CA" w:rsidRDefault="00F02481" w:rsidP="00C26084">
      <w:pPr>
        <w:pStyle w:val="References"/>
        <w:rPr>
          <w:rFonts w:cs="Calibri"/>
        </w:rPr>
      </w:pPr>
      <w:r w:rsidRPr="00BE78CA">
        <w:rPr>
          <w:rFonts w:cs="Calibri"/>
        </w:rPr>
        <w:t>Saggar S, Clark H, Hedley C, Tate K, Carran A, Cosgrove G. Unpublished. Methane Emissions from Animal Dung and Waste Management Systems, and its Contribution to National Budget. Landcare Research Contract Report: LC0301/02. Prepared for the Ministry of Agriculture and Forestry by Landcare Research in 2003.</w:t>
      </w:r>
    </w:p>
    <w:p w14:paraId="7A64D5D1" w14:textId="77777777" w:rsidR="00F02481" w:rsidRPr="00BE78CA" w:rsidRDefault="00F02481" w:rsidP="00C26084">
      <w:pPr>
        <w:pStyle w:val="References"/>
        <w:rPr>
          <w:rFonts w:cs="Calibri"/>
        </w:rPr>
      </w:pPr>
      <w:r w:rsidRPr="00BE78CA">
        <w:rPr>
          <w:rFonts w:cs="Calibri"/>
        </w:rPr>
        <w:t>Saggar S, Giltrap DL, Davison R, Gibson R, de Klein C, Rollo M, Ettema P, Rys G. 2015. Estimating direct N</w:t>
      </w:r>
      <w:r w:rsidRPr="00BE78CA">
        <w:rPr>
          <w:rFonts w:cs="Calibri"/>
          <w:vertAlign w:val="subscript"/>
        </w:rPr>
        <w:t>2</w:t>
      </w:r>
      <w:r w:rsidRPr="00BE78CA">
        <w:rPr>
          <w:rFonts w:cs="Calibri"/>
        </w:rPr>
        <w:t>O emissions from sheep, beef, and deer grazed pastures in New Zealand hill country: Accounting for the effect of land slope on the N</w:t>
      </w:r>
      <w:r w:rsidRPr="00BE78CA">
        <w:rPr>
          <w:rFonts w:cs="Calibri"/>
          <w:vertAlign w:val="subscript"/>
        </w:rPr>
        <w:t>2</w:t>
      </w:r>
      <w:r w:rsidRPr="00BE78CA">
        <w:rPr>
          <w:rFonts w:cs="Calibri"/>
        </w:rPr>
        <w:t xml:space="preserve">O emission factors from urine and dung. </w:t>
      </w:r>
      <w:r w:rsidRPr="00BE78CA">
        <w:rPr>
          <w:rFonts w:cs="Calibri"/>
          <w:i/>
        </w:rPr>
        <w:t>Agriculture Ecosystems &amp; Environment</w:t>
      </w:r>
      <w:r w:rsidRPr="00BE78CA">
        <w:rPr>
          <w:rFonts w:cs="Calibri"/>
        </w:rPr>
        <w:t xml:space="preserve"> 205: 70–78.</w:t>
      </w:r>
    </w:p>
    <w:p w14:paraId="096BBEF8" w14:textId="77777777" w:rsidR="00F02481" w:rsidRPr="00BE78CA" w:rsidRDefault="00F02481" w:rsidP="00C26084">
      <w:pPr>
        <w:pStyle w:val="References"/>
        <w:rPr>
          <w:rFonts w:cs="Calibri"/>
        </w:rPr>
      </w:pPr>
      <w:r w:rsidRPr="00BE78CA">
        <w:rPr>
          <w:rFonts w:cs="Calibri"/>
        </w:rPr>
        <w:t xml:space="preserve">Saggar S, Singh J, Giltrap DL, Zaman M, Luo J, Rollo M, Kim D-G, Rys G, van der Weerden TJ. 2013. Quantification of reductions in ammonia emissions from fertiliser urea and animal urine in grazed pastures with urease inhibitors for Agriculture inventory: New Zealand as a case study. </w:t>
      </w:r>
      <w:r w:rsidRPr="00BE78CA">
        <w:rPr>
          <w:rFonts w:cs="Calibri"/>
          <w:i/>
        </w:rPr>
        <w:t>Science of the Total Environment</w:t>
      </w:r>
      <w:r w:rsidRPr="00BE78CA">
        <w:rPr>
          <w:rFonts w:cs="Calibri"/>
        </w:rPr>
        <w:t xml:space="preserve"> 465: 136–146.</w:t>
      </w:r>
    </w:p>
    <w:p w14:paraId="0589F64E" w14:textId="77777777" w:rsidR="00F02481" w:rsidRPr="00BE78CA" w:rsidRDefault="00F02481" w:rsidP="00C26084">
      <w:pPr>
        <w:pStyle w:val="References"/>
      </w:pPr>
      <w:r w:rsidRPr="00BE78CA">
        <w:rPr>
          <w:rFonts w:cs="Calibri"/>
        </w:rPr>
        <w:t>Sherlock RR, de Klein C, Li Z. Unpublished. Determination of N</w:t>
      </w:r>
      <w:r w:rsidRPr="00BE78CA">
        <w:rPr>
          <w:rFonts w:cs="Calibri"/>
          <w:vertAlign w:val="subscript"/>
        </w:rPr>
        <w:t>2</w:t>
      </w:r>
      <w:r w:rsidRPr="00BE78CA">
        <w:rPr>
          <w:rFonts w:cs="Calibri"/>
        </w:rPr>
        <w:t>O and CH</w:t>
      </w:r>
      <w:r w:rsidRPr="00BE78CA">
        <w:rPr>
          <w:rFonts w:cs="Calibri"/>
          <w:vertAlign w:val="subscript"/>
        </w:rPr>
        <w:t>4</w:t>
      </w:r>
      <w:r w:rsidRPr="00BE78CA">
        <w:rPr>
          <w:rFonts w:cs="Calibri"/>
        </w:rPr>
        <w:t xml:space="preserve"> Emission Factors from Animal Excreta, following a Summer Application in Three Regions of New Zealand. A final report of an NzOnet study prepared for the Ministry of Agriculture and Forestry by Landcare Research, AgResearch and Lincoln University in 2003.</w:t>
      </w:r>
    </w:p>
    <w:p w14:paraId="18BAC962" w14:textId="77777777" w:rsidR="00F02481" w:rsidRPr="00BE78CA" w:rsidRDefault="00F02481" w:rsidP="00C26084">
      <w:pPr>
        <w:pStyle w:val="References"/>
        <w:rPr>
          <w:rFonts w:cs="Calibri"/>
        </w:rPr>
      </w:pPr>
      <w:r w:rsidRPr="00BE78CA">
        <w:rPr>
          <w:rFonts w:cs="Calibri"/>
        </w:rPr>
        <w:t xml:space="preserve">Sherlock RR, Jewell P, Clough T. 2008. </w:t>
      </w:r>
      <w:r w:rsidRPr="00BE78CA">
        <w:rPr>
          <w:rFonts w:cs="Calibri"/>
          <w:i/>
        </w:rPr>
        <w:t>Review of New Zealand Specific Frac</w:t>
      </w:r>
      <w:r w:rsidRPr="00BE78CA">
        <w:rPr>
          <w:rFonts w:cs="Calibri"/>
          <w:i/>
          <w:vertAlign w:val="subscript"/>
        </w:rPr>
        <w:t>GASM</w:t>
      </w:r>
      <w:r w:rsidRPr="00BE78CA">
        <w:rPr>
          <w:rFonts w:cs="Calibri"/>
          <w:i/>
        </w:rPr>
        <w:t xml:space="preserve"> and Frac</w:t>
      </w:r>
      <w:r w:rsidRPr="00BE78CA">
        <w:rPr>
          <w:rFonts w:cs="Calibri"/>
          <w:i/>
          <w:vertAlign w:val="subscript"/>
        </w:rPr>
        <w:t>GASF</w:t>
      </w:r>
      <w:r w:rsidRPr="00BE78CA">
        <w:rPr>
          <w:rFonts w:cs="Calibri"/>
          <w:i/>
        </w:rPr>
        <w:t xml:space="preserve"> Emissions Factors</w:t>
      </w:r>
      <w:r w:rsidRPr="00BE78CA">
        <w:rPr>
          <w:rFonts w:cs="Calibri"/>
        </w:rPr>
        <w:t>. Report prepared for the Ministry of Agriculture and Forestry by Landcare Research and AgResearch. Wellington: Ministry of Agriculture and Forestry.</w:t>
      </w:r>
    </w:p>
    <w:p w14:paraId="50CC6D2C" w14:textId="77777777" w:rsidR="00F02481" w:rsidRPr="00BE78CA" w:rsidRDefault="00F02481" w:rsidP="00C26084">
      <w:pPr>
        <w:pStyle w:val="References"/>
        <w:rPr>
          <w:rFonts w:cs="Calibri"/>
        </w:rPr>
      </w:pPr>
      <w:r w:rsidRPr="00BE78CA">
        <w:rPr>
          <w:rFonts w:cs="Calibri"/>
        </w:rPr>
        <w:t xml:space="preserve">Statistics New Zealand (Stats NZ). 2017. Agricultural Production Census: June 2017 (Final). Retrieved </w:t>
      </w:r>
      <w:r w:rsidRPr="00BE78CA">
        <w:t xml:space="preserve">from </w:t>
      </w:r>
      <w:hyperlink r:id="rId202" w:history="1">
        <w:r w:rsidRPr="00BE78CA">
          <w:rPr>
            <w:rStyle w:val="Hyperlink"/>
          </w:rPr>
          <w:t>www.stats.govt.nz/information-releases/agricultural-production-statistics-june-2017-final</w:t>
        </w:r>
      </w:hyperlink>
      <w:r w:rsidRPr="00BE78CA">
        <w:rPr>
          <w:rFonts w:cs="Calibri"/>
        </w:rPr>
        <w:t xml:space="preserve"> (December 2020).</w:t>
      </w:r>
    </w:p>
    <w:p w14:paraId="4D851025" w14:textId="77777777" w:rsidR="00F02481" w:rsidRPr="00BE78CA" w:rsidRDefault="00F02481" w:rsidP="00C26084">
      <w:pPr>
        <w:pStyle w:val="References"/>
        <w:rPr>
          <w:rFonts w:cs="Calibri"/>
        </w:rPr>
      </w:pPr>
      <w:r w:rsidRPr="00BE78CA">
        <w:rPr>
          <w:rFonts w:cs="Calibri"/>
        </w:rPr>
        <w:t xml:space="preserve">Stats NZ. 2020. </w:t>
      </w:r>
      <w:r w:rsidRPr="00BE78CA">
        <w:rPr>
          <w:rFonts w:cs="Calibri"/>
          <w:i/>
        </w:rPr>
        <w:t>Infoshare database</w:t>
      </w:r>
      <w:r w:rsidRPr="00BE78CA">
        <w:rPr>
          <w:rFonts w:cs="Calibri"/>
        </w:rPr>
        <w:t xml:space="preserve">. Retrieved from </w:t>
      </w:r>
      <w:hyperlink r:id="rId203" w:history="1">
        <w:r w:rsidRPr="00BE78CA">
          <w:t>www.stats.govt.nz/infoshare</w:t>
        </w:r>
      </w:hyperlink>
      <w:r w:rsidRPr="00BE78CA">
        <w:t xml:space="preserve"> (Janu</w:t>
      </w:r>
      <w:r w:rsidRPr="00BE78CA">
        <w:rPr>
          <w:rFonts w:cs="Calibri"/>
        </w:rPr>
        <w:t>ary 2021).</w:t>
      </w:r>
    </w:p>
    <w:p w14:paraId="04C92925" w14:textId="77777777" w:rsidR="00F02481" w:rsidRPr="00BE78CA" w:rsidRDefault="00F02481" w:rsidP="00C26084">
      <w:pPr>
        <w:pStyle w:val="References"/>
        <w:rPr>
          <w:rFonts w:cs="Calibri"/>
        </w:rPr>
      </w:pPr>
      <w:r w:rsidRPr="00BE78CA">
        <w:rPr>
          <w:rFonts w:cs="Calibri"/>
        </w:rPr>
        <w:t xml:space="preserve">Suttie J. 2012. </w:t>
      </w:r>
      <w:r w:rsidRPr="00BE78CA">
        <w:rPr>
          <w:rFonts w:cs="Calibri"/>
          <w:i/>
        </w:rPr>
        <w:t>Report to the Deer Industry New Zealand: Estimation of Deer Population and Productivity Data 1990 to 2012</w:t>
      </w:r>
      <w:r w:rsidRPr="00BE78CA">
        <w:rPr>
          <w:rFonts w:cs="Calibri"/>
        </w:rPr>
        <w:t xml:space="preserve">. Dunedin: Suttie Consulting Limited. </w:t>
      </w:r>
    </w:p>
    <w:p w14:paraId="343C31C8" w14:textId="77777777" w:rsidR="00F02481" w:rsidRPr="00BE78CA" w:rsidRDefault="00F02481" w:rsidP="00C26084">
      <w:pPr>
        <w:pStyle w:val="References"/>
        <w:rPr>
          <w:rFonts w:cs="Calibri"/>
        </w:rPr>
      </w:pPr>
      <w:r w:rsidRPr="00BE78CA">
        <w:rPr>
          <w:rFonts w:cs="Calibri"/>
        </w:rPr>
        <w:t xml:space="preserve">Swainson, N, Muetzel, S, Clark, H. 2016. Updated predictions of enteric methane emissions from sheep suitable for use in the New Zealand national greenhouse gas inventory. </w:t>
      </w:r>
      <w:r w:rsidRPr="00BE78CA">
        <w:rPr>
          <w:rFonts w:cs="Calibri"/>
          <w:i/>
        </w:rPr>
        <w:t xml:space="preserve">Animal Production Science </w:t>
      </w:r>
      <w:r w:rsidRPr="00BE78CA">
        <w:rPr>
          <w:rFonts w:cs="Calibri"/>
          <w:spacing w:val="-2"/>
        </w:rPr>
        <w:t xml:space="preserve">58: </w:t>
      </w:r>
      <w:r w:rsidRPr="00BE78CA">
        <w:rPr>
          <w:rFonts w:cs="Calibri"/>
        </w:rPr>
        <w:t xml:space="preserve">973–979. Retrieved from </w:t>
      </w:r>
      <w:hyperlink r:id="rId204" w:history="1">
        <w:r w:rsidRPr="00BE78CA">
          <w:rPr>
            <w:rStyle w:val="Hyperlink"/>
          </w:rPr>
          <w:t>www.publish.csiro.au/AN/pdf/AN15766</w:t>
        </w:r>
        <w:r w:rsidRPr="00BE78CA">
          <w:rPr>
            <w:rFonts w:cs="Calibri"/>
          </w:rPr>
          <w:t xml:space="preserve"> (13</w:t>
        </w:r>
      </w:hyperlink>
      <w:r w:rsidRPr="00BE78CA">
        <w:rPr>
          <w:rFonts w:cs="Calibri"/>
        </w:rPr>
        <w:t xml:space="preserve"> February 2020).</w:t>
      </w:r>
    </w:p>
    <w:p w14:paraId="044E881F" w14:textId="77777777" w:rsidR="00F02481" w:rsidRPr="00BE78CA" w:rsidRDefault="00F02481" w:rsidP="00C26084">
      <w:pPr>
        <w:pStyle w:val="References"/>
        <w:rPr>
          <w:rFonts w:cs="Calibri"/>
          <w:i/>
        </w:rPr>
      </w:pPr>
      <w:r w:rsidRPr="00BE78CA">
        <w:rPr>
          <w:rFonts w:cs="Calibri"/>
        </w:rPr>
        <w:t xml:space="preserve">Thomas S, Hume E, Fraser T Curtin D. 2011. </w:t>
      </w:r>
      <w:r w:rsidRPr="00BE78CA">
        <w:rPr>
          <w:rFonts w:cs="Calibri"/>
          <w:i/>
        </w:rPr>
        <w:t>Factors and Activity Data to Estimate Nitrous Oxide Emissions from Cropping Systems, and Stubble and Tussock Burning</w:t>
      </w:r>
      <w:r w:rsidRPr="00BE78CA">
        <w:rPr>
          <w:rFonts w:cs="Calibri"/>
        </w:rPr>
        <w:t xml:space="preserve">. Technical paper no. 2012/16. Report prepared for the Ministry of Agriculture and Forestry by Plant and Food Research (formerly Crop and Food Research). Wellington: Ministry of Agriculture and Forestry. </w:t>
      </w:r>
    </w:p>
    <w:p w14:paraId="53C8C528" w14:textId="77777777" w:rsidR="00F02481" w:rsidRPr="00BE78CA" w:rsidRDefault="00F02481" w:rsidP="00C26084">
      <w:pPr>
        <w:pStyle w:val="References"/>
        <w:rPr>
          <w:rFonts w:cs="Calibri"/>
        </w:rPr>
      </w:pPr>
      <w:r w:rsidRPr="00BE78CA">
        <w:rPr>
          <w:rFonts w:cs="Calibri"/>
        </w:rPr>
        <w:t xml:space="preserve">Thomas S, Wallace D, Beare M. 2014. </w:t>
      </w:r>
      <w:r w:rsidRPr="00BE78CA">
        <w:rPr>
          <w:rFonts w:cs="Calibri"/>
          <w:i/>
        </w:rPr>
        <w:t>Pasture Renewal Activity Data and Factors for New Zealand</w:t>
      </w:r>
      <w:r w:rsidRPr="00BE78CA">
        <w:rPr>
          <w:rFonts w:cs="Calibri"/>
        </w:rPr>
        <w:t>. Report prepared for the Ministry for Primary Industries by Plant and Food Research. Wellington: Ministry for Primary Industries.</w:t>
      </w:r>
    </w:p>
    <w:p w14:paraId="58407CB3" w14:textId="77777777" w:rsidR="00F02481" w:rsidRPr="00BE78CA" w:rsidRDefault="00F02481" w:rsidP="00C26084">
      <w:pPr>
        <w:pStyle w:val="References"/>
        <w:rPr>
          <w:rFonts w:cs="Calibri"/>
        </w:rPr>
      </w:pPr>
      <w:r w:rsidRPr="00BE78CA">
        <w:rPr>
          <w:rFonts w:cs="Calibri"/>
        </w:rPr>
        <w:t xml:space="preserve">Thomas SM, Fraser T, Curtin D, Brown H, Lawrence E. 2008. </w:t>
      </w:r>
      <w:r w:rsidRPr="00BE78CA">
        <w:rPr>
          <w:rFonts w:cs="Calibri"/>
          <w:i/>
        </w:rPr>
        <w:t>Review of Nitrous Oxide Emission Factors and Activity Data for Crops</w:t>
      </w:r>
      <w:r w:rsidRPr="00BE78CA">
        <w:rPr>
          <w:rFonts w:cs="Calibri"/>
        </w:rPr>
        <w:t>. Report prepared for the Ministry of Agriculture and Forestry by Plant and Food Research. Wellington: Ministry of Agriculture and Forestry.</w:t>
      </w:r>
    </w:p>
    <w:p w14:paraId="3CFCD1D1" w14:textId="77777777" w:rsidR="00F02481" w:rsidRPr="00BE78CA" w:rsidRDefault="00F02481" w:rsidP="00C26084">
      <w:pPr>
        <w:pStyle w:val="References"/>
        <w:rPr>
          <w:rFonts w:cs="Calibri"/>
        </w:rPr>
      </w:pPr>
      <w:r w:rsidRPr="00BE78CA">
        <w:rPr>
          <w:rFonts w:cs="Calibri"/>
        </w:rPr>
        <w:t>Thomas SM, Ledgard SF, Francis GS. Unpublished. Appropriateness of IPCC Default Values for Estimating New Zealand’s Indirect Nitrous Oxide Emissions. Report prepared for the Ministry of Agriculture and Forestry in 2003.</w:t>
      </w:r>
    </w:p>
    <w:p w14:paraId="4A0A2341" w14:textId="77777777" w:rsidR="00F02481" w:rsidRPr="00BE78CA" w:rsidRDefault="00F02481" w:rsidP="00C26084">
      <w:pPr>
        <w:pStyle w:val="References"/>
        <w:rPr>
          <w:rFonts w:cs="Calibri"/>
        </w:rPr>
      </w:pPr>
      <w:r w:rsidRPr="00BE78CA">
        <w:rPr>
          <w:rFonts w:cs="Calibri"/>
        </w:rPr>
        <w:t xml:space="preserve">Thomas SM, Ledgard SF, Francis GS. 2005. Improving estimates of nitrate leaching for quantifying New Zealand’s indirect nitrous oxide emissions. </w:t>
      </w:r>
      <w:r w:rsidRPr="00BE78CA">
        <w:rPr>
          <w:rFonts w:cs="Calibri"/>
          <w:i/>
        </w:rPr>
        <w:t>Nutrient Cycling in Agroecosystems</w:t>
      </w:r>
      <w:r w:rsidRPr="00BE78CA">
        <w:rPr>
          <w:rFonts w:cs="Calibri"/>
        </w:rPr>
        <w:t xml:space="preserve"> 73: 213–226.</w:t>
      </w:r>
    </w:p>
    <w:p w14:paraId="01F756C6" w14:textId="77777777" w:rsidR="00F02481" w:rsidRPr="00BE78CA" w:rsidRDefault="00F02481" w:rsidP="00C26084">
      <w:pPr>
        <w:pStyle w:val="References"/>
        <w:rPr>
          <w:rFonts w:cs="Calibri"/>
        </w:rPr>
      </w:pPr>
      <w:r w:rsidRPr="00BE78CA">
        <w:rPr>
          <w:rFonts w:cs="Calibri"/>
        </w:rPr>
        <w:lastRenderedPageBreak/>
        <w:t>Thomas T. Unpublished. Assessment of the Methodology of Potato Area and Yield Activity Estimations used in the NZ National GHG Inventory. Report prepared for the Ministry of Agriculture and Forestry by Plant and Food Research in 2010.</w:t>
      </w:r>
    </w:p>
    <w:p w14:paraId="08C89B76" w14:textId="77777777" w:rsidR="00F02481" w:rsidRPr="00BE78CA" w:rsidRDefault="00F02481" w:rsidP="00C26084">
      <w:pPr>
        <w:pStyle w:val="References"/>
        <w:rPr>
          <w:rFonts w:cs="Calibri"/>
        </w:rPr>
      </w:pPr>
      <w:r w:rsidRPr="00BE78CA">
        <w:rPr>
          <w:rFonts w:cs="Calibri"/>
        </w:rPr>
        <w:t>Thomson BC, Muir PD, Davison R. Unpublished. Review of Beef Population Models within the National Methane Inventory (2012). MPI Technical Report in 2012.</w:t>
      </w:r>
    </w:p>
    <w:p w14:paraId="1300B3D2" w14:textId="77777777" w:rsidR="00F02481" w:rsidRPr="00BE78CA" w:rsidRDefault="00F02481" w:rsidP="00C26084">
      <w:pPr>
        <w:pStyle w:val="References"/>
        <w:rPr>
          <w:rFonts w:cs="Calibri"/>
        </w:rPr>
      </w:pPr>
      <w:r w:rsidRPr="00BE78CA">
        <w:rPr>
          <w:rFonts w:cs="Calibri"/>
        </w:rPr>
        <w:t xml:space="preserve">Thomson BC, Muir PD, Davison R, Clark H. 2010. </w:t>
      </w:r>
      <w:r w:rsidRPr="00BE78CA">
        <w:rPr>
          <w:rFonts w:cs="Calibri"/>
          <w:i/>
        </w:rPr>
        <w:t>Review of Population Models within the National Methane Inventory (2010)</w:t>
      </w:r>
      <w:r w:rsidRPr="00BE78CA">
        <w:rPr>
          <w:rFonts w:cs="Calibri"/>
        </w:rPr>
        <w:t>. Technical paper prepared for the Ministry of Agriculture and Forestry by On</w:t>
      </w:r>
      <w:r w:rsidRPr="00BE78CA">
        <w:rPr>
          <w:rFonts w:cs="Calibri"/>
        </w:rPr>
        <w:noBreakHyphen/>
        <w:t>Farm Research (with cooperation by Meat and Wool New Zealand and AgResearch Ltd). Wellington: Ministry of Agriculture and Forestry.</w:t>
      </w:r>
    </w:p>
    <w:p w14:paraId="1CFF415E" w14:textId="77777777" w:rsidR="00F02481" w:rsidRPr="00BE78CA" w:rsidRDefault="00F02481" w:rsidP="00C26084">
      <w:pPr>
        <w:pStyle w:val="References"/>
        <w:rPr>
          <w:rFonts w:cs="Calibri"/>
        </w:rPr>
      </w:pPr>
      <w:r w:rsidRPr="00BE78CA">
        <w:rPr>
          <w:rFonts w:cs="Calibri"/>
        </w:rPr>
        <w:t>Ulyatt MJ, Baker SK, McCrabb GJ, Lassey KR. 1999. Accuracy of the SF</w:t>
      </w:r>
      <w:r w:rsidRPr="00BE78CA">
        <w:rPr>
          <w:rFonts w:cs="Calibri"/>
          <w:vertAlign w:val="subscript"/>
        </w:rPr>
        <w:t>6</w:t>
      </w:r>
      <w:r w:rsidRPr="00BE78CA">
        <w:rPr>
          <w:rFonts w:cs="Calibri"/>
        </w:rPr>
        <w:t xml:space="preserve"> tracer technology and alternatives for field measurements. </w:t>
      </w:r>
      <w:r w:rsidRPr="00BE78CA">
        <w:rPr>
          <w:rFonts w:cs="Calibri"/>
          <w:i/>
        </w:rPr>
        <w:t>Australian Journal of Agricultural Research</w:t>
      </w:r>
      <w:r w:rsidRPr="00BE78CA">
        <w:rPr>
          <w:rFonts w:cs="Calibri"/>
        </w:rPr>
        <w:t xml:space="preserve"> 50: 1329–1334.</w:t>
      </w:r>
    </w:p>
    <w:p w14:paraId="077B85B0" w14:textId="77777777" w:rsidR="00F02481" w:rsidRPr="00BE78CA" w:rsidRDefault="00F02481" w:rsidP="00C26084">
      <w:pPr>
        <w:pStyle w:val="References"/>
        <w:rPr>
          <w:rFonts w:cs="Calibri"/>
        </w:rPr>
      </w:pPr>
      <w:r w:rsidRPr="00BE78CA">
        <w:rPr>
          <w:rFonts w:cs="Calibri"/>
        </w:rPr>
        <w:t xml:space="preserve">van der Weerden A, de Klein C, Kelliher F, Rollo M. 2014. </w:t>
      </w:r>
      <w:r w:rsidRPr="00BE78CA">
        <w:rPr>
          <w:rFonts w:cs="Calibri"/>
          <w:i/>
        </w:rPr>
        <w:t>Reporting to 2006 IPCC Guidelines for N</w:t>
      </w:r>
      <w:r w:rsidRPr="00BE78CA">
        <w:rPr>
          <w:rFonts w:cs="Calibri"/>
          <w:i/>
          <w:vertAlign w:val="subscript"/>
        </w:rPr>
        <w:t>2</w:t>
      </w:r>
      <w:r w:rsidRPr="00BE78CA">
        <w:rPr>
          <w:rFonts w:cs="Calibri"/>
          <w:i/>
        </w:rPr>
        <w:t>O Emissions from Additional Sources of Organic N: Final Report</w:t>
      </w:r>
      <w:r w:rsidRPr="00BE78CA">
        <w:rPr>
          <w:rFonts w:cs="Calibri"/>
        </w:rPr>
        <w:t>. MPI Technical Report. Wellington: Ministry for Primary Industries.</w:t>
      </w:r>
    </w:p>
    <w:p w14:paraId="28C45431" w14:textId="77777777" w:rsidR="00F02481" w:rsidRPr="00BE78CA" w:rsidRDefault="00F02481" w:rsidP="00C26084">
      <w:pPr>
        <w:pStyle w:val="References"/>
        <w:rPr>
          <w:rFonts w:cs="Calibri"/>
        </w:rPr>
      </w:pPr>
      <w:r w:rsidRPr="00BE78CA">
        <w:rPr>
          <w:rFonts w:cs="Calibri"/>
        </w:rPr>
        <w:t>van der Weerden T, Cox N, Luo J, Di HJ, Podolyan A, Phillips RL, Saggar S, de Klein CAM, Ettema P, Rys G. 2016a. Refining the New Zealand nitrous oxide emission factor for urea fertiliser and farm dairy effluent.</w:t>
      </w:r>
      <w:r w:rsidRPr="00BE78CA">
        <w:rPr>
          <w:rFonts w:cs="Calibri"/>
          <w:i/>
        </w:rPr>
        <w:t xml:space="preserve"> Agriculture Ecosystems &amp; Environment </w:t>
      </w:r>
      <w:r w:rsidRPr="00BE78CA">
        <w:rPr>
          <w:rFonts w:cs="Calibri"/>
        </w:rPr>
        <w:t>222: 133–137.</w:t>
      </w:r>
    </w:p>
    <w:p w14:paraId="0EDEB42F" w14:textId="77777777" w:rsidR="00F02481" w:rsidRPr="00BE78CA" w:rsidRDefault="00F02481" w:rsidP="00C26084">
      <w:pPr>
        <w:pStyle w:val="References"/>
        <w:rPr>
          <w:rFonts w:cs="Calibri"/>
        </w:rPr>
      </w:pPr>
      <w:r w:rsidRPr="00BE78CA">
        <w:rPr>
          <w:rFonts w:cs="Calibri"/>
        </w:rPr>
        <w:t xml:space="preserve">van der Weerden T, Luo J, Cox N, Di HJ, Podolyan A, Phillips RL, Saggar S, de Klein CA, Ettema P, Rys G. 2016b. Nitrous oxide emissions from urea fertiliser and effluent with and without inhibitors applied to pasture. </w:t>
      </w:r>
      <w:r w:rsidRPr="00BE78CA">
        <w:rPr>
          <w:rFonts w:cs="Calibri"/>
          <w:i/>
        </w:rPr>
        <w:t xml:space="preserve">Agriculture Ecosystems &amp; Environment </w:t>
      </w:r>
      <w:r w:rsidRPr="00BE78CA">
        <w:rPr>
          <w:rFonts w:cs="Calibri"/>
        </w:rPr>
        <w:t>219: 58–70.</w:t>
      </w:r>
    </w:p>
    <w:p w14:paraId="10B318C6" w14:textId="77777777" w:rsidR="00F02481" w:rsidRPr="00BE78CA" w:rsidRDefault="00F02481" w:rsidP="00C26084">
      <w:pPr>
        <w:pStyle w:val="References"/>
        <w:rPr>
          <w:rFonts w:cs="Calibri"/>
        </w:rPr>
      </w:pPr>
      <w:r w:rsidRPr="00BE78CA">
        <w:rPr>
          <w:rFonts w:cs="Calibri"/>
        </w:rPr>
        <w:t xml:space="preserve">van der Weerden T, Noble A, Giltrap D, Luo S, Saggar S. 2019. Meta-analysis of nitrous oxide emission factors for excreta deposited onto pasture: final report. Report prepared for the Ministry for Primary Industries by AgResearch in 2019. </w:t>
      </w:r>
    </w:p>
    <w:p w14:paraId="41CA2DC6" w14:textId="4738134F" w:rsidR="00F02481" w:rsidRPr="00BE78CA" w:rsidRDefault="00F02481" w:rsidP="00C26084">
      <w:pPr>
        <w:pStyle w:val="References"/>
        <w:rPr>
          <w:rFonts w:cs="Calibri"/>
          <w:sz w:val="18"/>
          <w:szCs w:val="20"/>
        </w:rPr>
      </w:pPr>
      <w:r w:rsidRPr="00BE78CA">
        <w:rPr>
          <w:rFonts w:cs="Calibri"/>
          <w:szCs w:val="20"/>
        </w:rPr>
        <w:t>van der Weerden TJ, Noble AN, Luo J, de Klein CAM, Saggar S, Giltrap D,</w:t>
      </w:r>
      <w:r w:rsidRPr="00BE78CA">
        <w:rPr>
          <w:rFonts w:cs="Calibri"/>
          <w:b/>
          <w:szCs w:val="20"/>
        </w:rPr>
        <w:t xml:space="preserve"> </w:t>
      </w:r>
      <w:r w:rsidRPr="00BE78CA">
        <w:rPr>
          <w:rFonts w:cs="Calibri"/>
          <w:szCs w:val="20"/>
        </w:rPr>
        <w:t>Gibbs J, G. Rys G. 2020. Meta-analysis of New Zealand</w:t>
      </w:r>
      <w:r w:rsidR="00C66B4C">
        <w:rPr>
          <w:rFonts w:cs="Calibri"/>
          <w:szCs w:val="20"/>
        </w:rPr>
        <w:t>’</w:t>
      </w:r>
      <w:r w:rsidRPr="00BE78CA">
        <w:rPr>
          <w:rFonts w:cs="Calibri"/>
          <w:szCs w:val="20"/>
        </w:rPr>
        <w:t xml:space="preserve">s nitrous oxide emission factors for ruminant excreta supports disaggregation based on excreta form, livestock type and slope class. </w:t>
      </w:r>
      <w:r w:rsidRPr="00BE78CA">
        <w:rPr>
          <w:rFonts w:cs="Calibri"/>
          <w:i/>
          <w:szCs w:val="20"/>
        </w:rPr>
        <w:t xml:space="preserve">Science of The Total Environment </w:t>
      </w:r>
      <w:r w:rsidRPr="00BE78CA">
        <w:rPr>
          <w:rFonts w:cs="Calibri"/>
          <w:szCs w:val="20"/>
        </w:rPr>
        <w:t xml:space="preserve">732. </w:t>
      </w:r>
    </w:p>
    <w:p w14:paraId="044ACBDA" w14:textId="77777777" w:rsidR="00F02481" w:rsidRPr="00BE78CA" w:rsidRDefault="00F02481" w:rsidP="00C26084">
      <w:pPr>
        <w:pStyle w:val="References"/>
        <w:rPr>
          <w:rFonts w:cs="Calibri"/>
        </w:rPr>
      </w:pPr>
      <w:r w:rsidRPr="00BE78CA">
        <w:rPr>
          <w:rFonts w:cs="Calibri"/>
        </w:rPr>
        <w:t xml:space="preserve">van der Weerden TJ, Luo J, de Klein CA, Hoogendoorn CJ, Littlejohn RP, Rys GJ. 2011. Disaggregating nitrous oxide emission factors for ruminant urine and dung deposited onto pastoral soils. </w:t>
      </w:r>
      <w:r w:rsidRPr="00BE78CA">
        <w:rPr>
          <w:rFonts w:cs="Calibri"/>
          <w:i/>
        </w:rPr>
        <w:t>Agriculture Ecosystems &amp; Environment</w:t>
      </w:r>
      <w:r w:rsidRPr="00BE78CA">
        <w:rPr>
          <w:rFonts w:cs="Calibri"/>
        </w:rPr>
        <w:t xml:space="preserve"> 141, 426-436.</w:t>
      </w:r>
    </w:p>
    <w:p w14:paraId="447B2DEE" w14:textId="77777777" w:rsidR="00F02481" w:rsidRPr="00BE78CA" w:rsidRDefault="00F02481" w:rsidP="00C26084">
      <w:pPr>
        <w:pStyle w:val="References"/>
        <w:rPr>
          <w:rFonts w:cs="Calibri"/>
        </w:rPr>
      </w:pPr>
      <w:r w:rsidRPr="00BE78CA">
        <w:rPr>
          <w:rFonts w:cs="Calibri"/>
        </w:rPr>
        <w:t>Waghorn G, Molano G, Cavanagh A. Unpublished(a). An Estimate of Whole Herd Methane Production from Cows at the Lincoln University Dairy Farm in October 2003. Final report prepared for Landcare Research NZ Ltd in 2003.</w:t>
      </w:r>
    </w:p>
    <w:p w14:paraId="449DE518" w14:textId="77777777" w:rsidR="00F02481" w:rsidRPr="00BE78CA" w:rsidRDefault="00F02481" w:rsidP="00C26084">
      <w:pPr>
        <w:pStyle w:val="References"/>
        <w:rPr>
          <w:rFonts w:cs="Calibri"/>
        </w:rPr>
      </w:pPr>
      <w:r w:rsidRPr="00BE78CA">
        <w:rPr>
          <w:rFonts w:cs="Calibri"/>
        </w:rPr>
        <w:t>Waghorn G, Molano G, Lassey K. Unpublished(b). Estimates of Whole Herd Methane Production from Cows at the Lincoln University Dairy Farm in January and March 2002. A preliminary report prepared for Landcare Research NZ Ltd in 2002.</w:t>
      </w:r>
    </w:p>
    <w:p w14:paraId="786A9731" w14:textId="77777777" w:rsidR="00F02481" w:rsidRPr="00BE78CA" w:rsidRDefault="00F02481" w:rsidP="00C26084">
      <w:pPr>
        <w:pStyle w:val="References"/>
        <w:rPr>
          <w:rFonts w:cs="Calibri"/>
        </w:rPr>
      </w:pPr>
      <w:r w:rsidRPr="00BE78CA">
        <w:rPr>
          <w:rFonts w:cs="Calibri"/>
        </w:rPr>
        <w:t xml:space="preserve">Wheeler DM, Ledgard SF, de Klein CAM, Monaghan PL, Carey PL, McDowell RW, Johns KL. 2003. OVERSEER® Nutrient budgets – moving towards on-farm resource accounting. In: </w:t>
      </w:r>
      <w:r w:rsidRPr="00BE78CA">
        <w:rPr>
          <w:rFonts w:cs="Calibri"/>
          <w:i/>
        </w:rPr>
        <w:t>Proceedings of the New Zealand Grassland Association 2003</w:t>
      </w:r>
      <w:r w:rsidRPr="00BE78CA">
        <w:rPr>
          <w:rFonts w:cs="Calibri"/>
        </w:rPr>
        <w:t>. Palmerston North: New Zealand Grassland Association Inc.</w:t>
      </w:r>
      <w:bookmarkStart w:id="1138" w:name="statsNZref"/>
      <w:bookmarkEnd w:id="1138"/>
    </w:p>
    <w:p w14:paraId="2C372BF6" w14:textId="66D27323" w:rsidR="00F02481" w:rsidRPr="00BE78CA" w:rsidRDefault="00F02481" w:rsidP="005A2CAB">
      <w:pPr>
        <w:pStyle w:val="References"/>
      </w:pPr>
    </w:p>
    <w:p w14:paraId="4B86F0BF" w14:textId="77777777" w:rsidR="000C3907" w:rsidRPr="00BE78CA" w:rsidRDefault="000C3907" w:rsidP="005A2CAB">
      <w:pPr>
        <w:pStyle w:val="References"/>
        <w:sectPr w:rsidR="000C3907" w:rsidRPr="00BE78CA" w:rsidSect="00F5700C">
          <w:footerReference w:type="even" r:id="rId205"/>
          <w:footerReference w:type="default" r:id="rId206"/>
          <w:pgSz w:w="11907" w:h="16840" w:code="9"/>
          <w:pgMar w:top="1418" w:right="1701" w:bottom="1418" w:left="1701" w:header="567" w:footer="567" w:gutter="0"/>
          <w:cols w:space="720"/>
        </w:sectPr>
      </w:pPr>
    </w:p>
    <w:p w14:paraId="5DF816AF" w14:textId="77777777" w:rsidR="00333601" w:rsidRPr="00BE78CA" w:rsidRDefault="00333601" w:rsidP="00333601">
      <w:pPr>
        <w:pStyle w:val="Heading1"/>
      </w:pPr>
      <w:bookmarkStart w:id="1139" w:name="_Toc391024696"/>
      <w:bookmarkStart w:id="1140" w:name="_Toc414531313"/>
      <w:bookmarkStart w:id="1141" w:name="_Toc474335455"/>
      <w:bookmarkStart w:id="1142" w:name="_Toc481751395"/>
      <w:bookmarkStart w:id="1143" w:name="_Toc522013947"/>
      <w:bookmarkStart w:id="1144" w:name="_Toc5269372"/>
      <w:bookmarkStart w:id="1145" w:name="_Toc36224412"/>
      <w:bookmarkStart w:id="1146" w:name="_Toc68786332"/>
      <w:r w:rsidRPr="00BE78CA">
        <w:lastRenderedPageBreak/>
        <w:t>Chapter 6: Land Use, Land-Use Change and Forestry (LULUCF)</w:t>
      </w:r>
      <w:bookmarkEnd w:id="1139"/>
      <w:bookmarkEnd w:id="1140"/>
      <w:bookmarkEnd w:id="1141"/>
      <w:bookmarkEnd w:id="1142"/>
      <w:bookmarkEnd w:id="1143"/>
      <w:bookmarkEnd w:id="1144"/>
      <w:bookmarkEnd w:id="1145"/>
      <w:bookmarkEnd w:id="1146"/>
    </w:p>
    <w:p w14:paraId="118B1F0E" w14:textId="77777777" w:rsidR="00333601" w:rsidRPr="00BE78CA" w:rsidRDefault="00333601" w:rsidP="00333601">
      <w:pPr>
        <w:pStyle w:val="Heading2"/>
        <w:spacing w:before="240"/>
      </w:pPr>
      <w:bookmarkStart w:id="1147" w:name="_Toc391024697"/>
      <w:bookmarkStart w:id="1148" w:name="_Toc414531314"/>
      <w:bookmarkStart w:id="1149" w:name="_Toc474335456"/>
      <w:bookmarkStart w:id="1150" w:name="_Toc481751396"/>
      <w:bookmarkStart w:id="1151" w:name="_Toc522013948"/>
      <w:bookmarkStart w:id="1152" w:name="_Toc5269373"/>
      <w:bookmarkStart w:id="1153" w:name="_Toc36224413"/>
      <w:bookmarkStart w:id="1154" w:name="_Toc68786333"/>
      <w:r w:rsidRPr="00BE78CA">
        <w:t>6.1</w:t>
      </w:r>
      <w:r w:rsidRPr="00BE78CA">
        <w:tab/>
        <w:t>Sector overview</w:t>
      </w:r>
      <w:bookmarkEnd w:id="1147"/>
      <w:bookmarkEnd w:id="1148"/>
      <w:bookmarkEnd w:id="1149"/>
      <w:bookmarkEnd w:id="1150"/>
      <w:bookmarkEnd w:id="1151"/>
      <w:bookmarkEnd w:id="1152"/>
      <w:bookmarkEnd w:id="1153"/>
      <w:bookmarkEnd w:id="1154"/>
    </w:p>
    <w:p w14:paraId="213309A5" w14:textId="77777777" w:rsidR="00333601" w:rsidRPr="00BE78CA" w:rsidRDefault="00333601" w:rsidP="00333601">
      <w:pPr>
        <w:pStyle w:val="Heading4"/>
        <w:spacing w:before="160"/>
      </w:pPr>
      <w:r w:rsidRPr="00BE78CA">
        <w:t>Net emissions summary</w:t>
      </w:r>
    </w:p>
    <w:p w14:paraId="3E05C334" w14:textId="77777777" w:rsidR="00333601" w:rsidRPr="00BE78CA" w:rsidRDefault="00333601" w:rsidP="00333601">
      <w:pPr>
        <w:pStyle w:val="Heading5"/>
        <w:spacing w:before="160"/>
      </w:pPr>
      <w:r w:rsidRPr="00BE78CA">
        <w:t>2019</w:t>
      </w:r>
    </w:p>
    <w:p w14:paraId="7E1E6792" w14:textId="6C5649EC" w:rsidR="00333601" w:rsidRPr="00BE78CA" w:rsidRDefault="00333601" w:rsidP="00333601">
      <w:pPr>
        <w:pStyle w:val="BodyText"/>
      </w:pPr>
      <w:r w:rsidRPr="00BE78CA">
        <w:t>In 2019, net emissions from the Land Use, Land-Use Change and Forestry (LULUCF) sector were</w:t>
      </w:r>
      <w:r w:rsidR="007B60F0" w:rsidRPr="00BE78CA">
        <w:t> </w:t>
      </w:r>
      <w:r w:rsidRPr="00BE78CA">
        <w:t>–27,425.1 kilotonnes carbon dioxide equivalent (kt CO</w:t>
      </w:r>
      <w:r w:rsidRPr="00BE78CA">
        <w:rPr>
          <w:vertAlign w:val="subscript"/>
        </w:rPr>
        <w:t>2</w:t>
      </w:r>
      <w:r w:rsidRPr="00BE78CA">
        <w:t>-e) or –33.3 per cent of New Zealand’s gross greenhouse gas emissions. This comprises net removals of 27,612.53 kt CO</w:t>
      </w:r>
      <w:r w:rsidRPr="00BE78CA">
        <w:rPr>
          <w:vertAlign w:val="subscript"/>
        </w:rPr>
        <w:t>2</w:t>
      </w:r>
      <w:r w:rsidRPr="00BE78CA">
        <w:t>, emissions of 76.6 kt CO</w:t>
      </w:r>
      <w:r w:rsidRPr="00BE78CA">
        <w:rPr>
          <w:vertAlign w:val="subscript"/>
        </w:rPr>
        <w:t>2</w:t>
      </w:r>
      <w:r w:rsidRPr="00BE78CA">
        <w:t>-e of methane (CH</w:t>
      </w:r>
      <w:r w:rsidRPr="00BE78CA">
        <w:rPr>
          <w:vertAlign w:val="subscript"/>
        </w:rPr>
        <w:t>4</w:t>
      </w:r>
      <w:r w:rsidRPr="00BE78CA">
        <w:t>) and 110.9 kt CO</w:t>
      </w:r>
      <w:r w:rsidRPr="00BE78CA">
        <w:rPr>
          <w:vertAlign w:val="subscript"/>
        </w:rPr>
        <w:t>2</w:t>
      </w:r>
      <w:r w:rsidRPr="00BE78CA">
        <w:t>-e of nitrous oxide (N</w:t>
      </w:r>
      <w:r w:rsidRPr="00BE78CA">
        <w:rPr>
          <w:vertAlign w:val="subscript"/>
        </w:rPr>
        <w:t>2</w:t>
      </w:r>
      <w:r w:rsidRPr="00BE78CA">
        <w:t xml:space="preserve">O). The category contributing the most to both removals and emissions is </w:t>
      </w:r>
      <w:r w:rsidRPr="00BE78CA">
        <w:rPr>
          <w:i/>
        </w:rPr>
        <w:t>Forest land remaining forest land</w:t>
      </w:r>
      <w:r w:rsidRPr="00BE78CA">
        <w:t xml:space="preserve">. This is because large removals result from the growth of all forests on this land and there are also large emissions from the sustainable harvest of New Zealand’s plantation forests. </w:t>
      </w:r>
    </w:p>
    <w:p w14:paraId="6F784964" w14:textId="77777777" w:rsidR="00333601" w:rsidRPr="00BE78CA" w:rsidRDefault="00333601" w:rsidP="00333601">
      <w:pPr>
        <w:pStyle w:val="Heading5"/>
      </w:pPr>
      <w:r w:rsidRPr="00BE78CA">
        <w:t>1990–2019</w:t>
      </w:r>
    </w:p>
    <w:p w14:paraId="74A47D2F" w14:textId="77777777" w:rsidR="00333601" w:rsidRPr="00BE78CA" w:rsidRDefault="00333601" w:rsidP="00333601">
      <w:pPr>
        <w:pStyle w:val="BodyText"/>
        <w:rPr>
          <w:spacing w:val="-2"/>
        </w:rPr>
      </w:pPr>
      <w:r w:rsidRPr="00BE78CA">
        <w:rPr>
          <w:spacing w:val="-2"/>
        </w:rPr>
        <w:t>Net emissions in 2019 have decreased by 3,410.6 kt CO</w:t>
      </w:r>
      <w:r w:rsidRPr="00BE78CA">
        <w:rPr>
          <w:spacing w:val="-2"/>
          <w:vertAlign w:val="subscript"/>
        </w:rPr>
        <w:t>2</w:t>
      </w:r>
      <w:r w:rsidRPr="00BE78CA">
        <w:rPr>
          <w:spacing w:val="-2"/>
        </w:rPr>
        <w:t>-e (</w:t>
      </w:r>
      <w:r w:rsidRPr="00BE78CA">
        <w:rPr>
          <w:rFonts w:cs="Arial"/>
          <w:color w:val="000000"/>
          <w:spacing w:val="-2"/>
          <w:szCs w:val="16"/>
        </w:rPr>
        <w:t xml:space="preserve">14.2 </w:t>
      </w:r>
      <w:r w:rsidRPr="00BE78CA">
        <w:rPr>
          <w:spacing w:val="-2"/>
        </w:rPr>
        <w:t>per cent) from the 1990 level of –24,014.5 kt CO</w:t>
      </w:r>
      <w:r w:rsidRPr="00BE78CA">
        <w:rPr>
          <w:spacing w:val="-2"/>
          <w:vertAlign w:val="subscript"/>
        </w:rPr>
        <w:t>2</w:t>
      </w:r>
      <w:r w:rsidRPr="00BE78CA">
        <w:rPr>
          <w:spacing w:val="-2"/>
        </w:rPr>
        <w:t xml:space="preserve">-e (see table 6.1.1, and figures 6.1.1 and 6.1.2). This is largely due to increasing yields in plantation forests from improved genetics and management practices, the rapid expansion of afforestation in the 1990s and an increase in the production of harvested wood products, which have compensated for the emissions from the increase in forest harvesting. Increased emissions in the </w:t>
      </w:r>
      <w:r w:rsidRPr="00BE78CA">
        <w:rPr>
          <w:i/>
          <w:spacing w:val="-2"/>
        </w:rPr>
        <w:t>Grassland</w:t>
      </w:r>
      <w:r w:rsidRPr="00BE78CA">
        <w:rPr>
          <w:spacing w:val="-2"/>
        </w:rPr>
        <w:t xml:space="preserve"> category are primarily due to the conversion of forests to grassland that has been occurring since 2000. The biomass emissions from land-use change are reported in the </w:t>
      </w:r>
      <w:r w:rsidRPr="00BE78CA">
        <w:rPr>
          <w:i/>
          <w:spacing w:val="-2"/>
        </w:rPr>
        <w:t>Land converted to</w:t>
      </w:r>
      <w:r w:rsidRPr="00BE78CA">
        <w:rPr>
          <w:spacing w:val="-2"/>
        </w:rPr>
        <w:t xml:space="preserve"> category from the year of the event. Changes in the mineral soil carbon stock from land-use change are estimated as occurring over a 20-year period.</w:t>
      </w:r>
    </w:p>
    <w:p w14:paraId="656357A7" w14:textId="77777777" w:rsidR="00333601" w:rsidRPr="00BE78CA" w:rsidRDefault="00333601" w:rsidP="00333601">
      <w:pPr>
        <w:pStyle w:val="Table"/>
        <w:rPr>
          <w:szCs w:val="18"/>
        </w:rPr>
      </w:pPr>
      <w:bookmarkStart w:id="1155" w:name="_Toc481751536"/>
      <w:bookmarkStart w:id="1156" w:name="_Toc522010593"/>
      <w:bookmarkStart w:id="1157" w:name="_Toc5269498"/>
      <w:bookmarkStart w:id="1158" w:name="_Toc33529374"/>
      <w:bookmarkStart w:id="1159" w:name="_Toc36224580"/>
      <w:bookmarkStart w:id="1160" w:name="_Toc65243575"/>
      <w:bookmarkStart w:id="1161" w:name="_Toc68786465"/>
      <w:r w:rsidRPr="00BE78CA">
        <w:rPr>
          <w:szCs w:val="18"/>
        </w:rPr>
        <w:t xml:space="preserve">Table 6.1.1 </w:t>
      </w:r>
      <w:r w:rsidRPr="00BE78CA">
        <w:rPr>
          <w:szCs w:val="18"/>
        </w:rPr>
        <w:tab/>
        <w:t>New Zealand’s greenhouse gas net emissions for the LULUCF sector by land use category</w:t>
      </w:r>
      <w:r w:rsidRPr="00BE78CA">
        <w:rPr>
          <w:szCs w:val="18"/>
        </w:rPr>
        <w:br/>
        <w:t>in 1990 and 201</w:t>
      </w:r>
      <w:bookmarkEnd w:id="1155"/>
      <w:r w:rsidRPr="00BE78CA">
        <w:rPr>
          <w:szCs w:val="18"/>
        </w:rPr>
        <w:t>9</w:t>
      </w:r>
      <w:bookmarkEnd w:id="1156"/>
      <w:bookmarkEnd w:id="1157"/>
      <w:bookmarkEnd w:id="1158"/>
      <w:bookmarkEnd w:id="1159"/>
      <w:bookmarkEnd w:id="1160"/>
      <w:bookmarkEnd w:id="1161"/>
    </w:p>
    <w:tbl>
      <w:tblPr>
        <w:tblW w:w="8505" w:type="dxa"/>
        <w:tblLook w:val="04A0" w:firstRow="1" w:lastRow="0" w:firstColumn="1" w:lastColumn="0" w:noHBand="0" w:noVBand="1"/>
      </w:tblPr>
      <w:tblGrid>
        <w:gridCol w:w="2507"/>
        <w:gridCol w:w="1313"/>
        <w:gridCol w:w="1313"/>
        <w:gridCol w:w="1995"/>
        <w:gridCol w:w="1377"/>
      </w:tblGrid>
      <w:tr w:rsidR="00333601" w:rsidRPr="00BE78CA" w14:paraId="51209FB7" w14:textId="77777777" w:rsidTr="00B13AF1">
        <w:tc>
          <w:tcPr>
            <w:tcW w:w="2444" w:type="dxa"/>
            <w:tcBorders>
              <w:top w:val="single" w:sz="4" w:space="0" w:color="365F91"/>
              <w:left w:val="nil"/>
              <w:bottom w:val="single" w:sz="4" w:space="0" w:color="365F91"/>
              <w:right w:val="nil"/>
            </w:tcBorders>
            <w:shd w:val="clear" w:color="auto" w:fill="376092"/>
            <w:vAlign w:val="center"/>
            <w:hideMark/>
          </w:tcPr>
          <w:p w14:paraId="2F268AF2" w14:textId="77777777" w:rsidR="00333601" w:rsidRPr="00BE78CA" w:rsidRDefault="00333601" w:rsidP="00C26084">
            <w:pPr>
              <w:pStyle w:val="TableTextBold"/>
              <w:jc w:val="right"/>
              <w:rPr>
                <w:noProof w:val="0"/>
                <w:color w:val="FFFFFF" w:themeColor="background1"/>
              </w:rPr>
            </w:pPr>
          </w:p>
        </w:tc>
        <w:tc>
          <w:tcPr>
            <w:tcW w:w="2562" w:type="dxa"/>
            <w:gridSpan w:val="2"/>
            <w:tcBorders>
              <w:top w:val="single" w:sz="4" w:space="0" w:color="365F91"/>
              <w:left w:val="nil"/>
              <w:bottom w:val="single" w:sz="4" w:space="0" w:color="365F91"/>
              <w:right w:val="nil"/>
            </w:tcBorders>
            <w:shd w:val="clear" w:color="auto" w:fill="376092"/>
            <w:vAlign w:val="center"/>
            <w:hideMark/>
          </w:tcPr>
          <w:p w14:paraId="74AD2141" w14:textId="77777777" w:rsidR="00333601" w:rsidRPr="00BE78CA" w:rsidRDefault="00333601" w:rsidP="00C26084">
            <w:pPr>
              <w:pStyle w:val="TableTextBold"/>
              <w:jc w:val="right"/>
              <w:rPr>
                <w:noProof w:val="0"/>
                <w:color w:val="FFFFFF" w:themeColor="background1"/>
              </w:rPr>
            </w:pPr>
            <w:r w:rsidRPr="00BE78CA">
              <w:rPr>
                <w:noProof w:val="0"/>
                <w:color w:val="FFFFFF" w:themeColor="background1"/>
              </w:rPr>
              <w:t>Net emissions (kt CO</w:t>
            </w:r>
            <w:r w:rsidRPr="00BE78CA">
              <w:rPr>
                <w:noProof w:val="0"/>
                <w:color w:val="FFFFFF" w:themeColor="background1"/>
                <w:vertAlign w:val="subscript"/>
              </w:rPr>
              <w:t>2</w:t>
            </w:r>
            <w:r w:rsidRPr="00BE78CA">
              <w:rPr>
                <w:noProof w:val="0"/>
                <w:color w:val="FFFFFF" w:themeColor="background1"/>
              </w:rPr>
              <w:t>-e)</w:t>
            </w:r>
          </w:p>
        </w:tc>
        <w:tc>
          <w:tcPr>
            <w:tcW w:w="1946" w:type="dxa"/>
            <w:tcBorders>
              <w:top w:val="single" w:sz="4" w:space="0" w:color="365F91"/>
              <w:left w:val="nil"/>
              <w:bottom w:val="single" w:sz="4" w:space="0" w:color="365F91"/>
              <w:right w:val="nil"/>
            </w:tcBorders>
            <w:shd w:val="clear" w:color="auto" w:fill="376092"/>
            <w:vAlign w:val="center"/>
            <w:hideMark/>
          </w:tcPr>
          <w:p w14:paraId="30E1B56C" w14:textId="77777777" w:rsidR="00333601" w:rsidRPr="00BE78CA" w:rsidRDefault="00333601" w:rsidP="00C26084">
            <w:pPr>
              <w:pStyle w:val="TableTextBold"/>
              <w:jc w:val="right"/>
              <w:rPr>
                <w:noProof w:val="0"/>
                <w:color w:val="FFFFFF" w:themeColor="background1"/>
              </w:rPr>
            </w:pPr>
            <w:r w:rsidRPr="00BE78CA">
              <w:rPr>
                <w:noProof w:val="0"/>
                <w:color w:val="FFFFFF" w:themeColor="background1"/>
              </w:rPr>
              <w:t>Difference (kt CO</w:t>
            </w:r>
            <w:r w:rsidRPr="00BE78CA">
              <w:rPr>
                <w:noProof w:val="0"/>
                <w:color w:val="FFFFFF" w:themeColor="background1"/>
                <w:vertAlign w:val="subscript"/>
              </w:rPr>
              <w:t>2</w:t>
            </w:r>
            <w:r w:rsidRPr="00BE78CA">
              <w:rPr>
                <w:noProof w:val="0"/>
                <w:color w:val="FFFFFF" w:themeColor="background1"/>
              </w:rPr>
              <w:t>-e)</w:t>
            </w:r>
          </w:p>
        </w:tc>
        <w:tc>
          <w:tcPr>
            <w:tcW w:w="1343" w:type="dxa"/>
            <w:tcBorders>
              <w:top w:val="single" w:sz="4" w:space="0" w:color="365F91"/>
              <w:left w:val="nil"/>
              <w:bottom w:val="single" w:sz="4" w:space="0" w:color="365F91"/>
              <w:right w:val="nil"/>
            </w:tcBorders>
            <w:shd w:val="clear" w:color="auto" w:fill="376092"/>
            <w:vAlign w:val="center"/>
            <w:hideMark/>
          </w:tcPr>
          <w:p w14:paraId="5DF9BEFC" w14:textId="77777777" w:rsidR="00333601" w:rsidRPr="00BE78CA" w:rsidRDefault="00333601" w:rsidP="00C26084">
            <w:pPr>
              <w:pStyle w:val="TableTextBold"/>
              <w:jc w:val="right"/>
              <w:rPr>
                <w:noProof w:val="0"/>
                <w:color w:val="FFFFFF" w:themeColor="background1"/>
              </w:rPr>
            </w:pPr>
            <w:r w:rsidRPr="00BE78CA">
              <w:rPr>
                <w:noProof w:val="0"/>
                <w:color w:val="FFFFFF" w:themeColor="background1"/>
              </w:rPr>
              <w:t>Change (%)</w:t>
            </w:r>
          </w:p>
        </w:tc>
      </w:tr>
      <w:tr w:rsidR="00333601" w:rsidRPr="00BE78CA" w14:paraId="5439A558" w14:textId="77777777" w:rsidTr="00B13AF1">
        <w:tc>
          <w:tcPr>
            <w:tcW w:w="2444" w:type="dxa"/>
            <w:tcBorders>
              <w:top w:val="single" w:sz="4" w:space="0" w:color="365F91"/>
              <w:left w:val="nil"/>
              <w:bottom w:val="single" w:sz="8" w:space="0" w:color="365F91"/>
              <w:right w:val="nil"/>
            </w:tcBorders>
            <w:shd w:val="clear" w:color="auto" w:fill="auto"/>
            <w:vAlign w:val="center"/>
            <w:hideMark/>
          </w:tcPr>
          <w:p w14:paraId="6B9C04F9" w14:textId="77777777" w:rsidR="00333601" w:rsidRPr="00BE78CA" w:rsidRDefault="00333601" w:rsidP="00C26084">
            <w:pPr>
              <w:pStyle w:val="TableTextBold"/>
              <w:rPr>
                <w:rFonts w:cs="Calibri"/>
                <w:noProof w:val="0"/>
                <w:szCs w:val="16"/>
              </w:rPr>
            </w:pPr>
            <w:r w:rsidRPr="00BE78CA">
              <w:rPr>
                <w:rFonts w:cs="Calibri"/>
                <w:noProof w:val="0"/>
                <w:szCs w:val="16"/>
              </w:rPr>
              <w:t>Land use category</w:t>
            </w:r>
          </w:p>
        </w:tc>
        <w:tc>
          <w:tcPr>
            <w:tcW w:w="1281" w:type="dxa"/>
            <w:tcBorders>
              <w:top w:val="single" w:sz="4" w:space="0" w:color="365F91"/>
              <w:left w:val="nil"/>
              <w:bottom w:val="single" w:sz="8" w:space="0" w:color="365F91"/>
              <w:right w:val="nil"/>
            </w:tcBorders>
            <w:shd w:val="clear" w:color="auto" w:fill="auto"/>
            <w:vAlign w:val="center"/>
            <w:hideMark/>
          </w:tcPr>
          <w:p w14:paraId="5B77A7F6" w14:textId="77777777" w:rsidR="00333601" w:rsidRPr="00BE78CA" w:rsidRDefault="00333601" w:rsidP="00C26084">
            <w:pPr>
              <w:pStyle w:val="TableTextBold"/>
              <w:jc w:val="right"/>
              <w:rPr>
                <w:rFonts w:cs="Calibri"/>
                <w:noProof w:val="0"/>
                <w:szCs w:val="16"/>
              </w:rPr>
            </w:pPr>
            <w:r w:rsidRPr="00BE78CA">
              <w:rPr>
                <w:rFonts w:cs="Calibri"/>
                <w:noProof w:val="0"/>
                <w:szCs w:val="16"/>
              </w:rPr>
              <w:t>1990</w:t>
            </w:r>
          </w:p>
        </w:tc>
        <w:tc>
          <w:tcPr>
            <w:tcW w:w="1281" w:type="dxa"/>
            <w:tcBorders>
              <w:top w:val="single" w:sz="4" w:space="0" w:color="365F91"/>
              <w:left w:val="nil"/>
              <w:bottom w:val="single" w:sz="8" w:space="0" w:color="365F91"/>
              <w:right w:val="nil"/>
            </w:tcBorders>
            <w:shd w:val="clear" w:color="auto" w:fill="auto"/>
            <w:vAlign w:val="center"/>
            <w:hideMark/>
          </w:tcPr>
          <w:p w14:paraId="18736A9A" w14:textId="77777777" w:rsidR="00333601" w:rsidRPr="00BE78CA" w:rsidRDefault="00333601" w:rsidP="00C26084">
            <w:pPr>
              <w:pStyle w:val="TableTextBold"/>
              <w:jc w:val="right"/>
              <w:rPr>
                <w:rFonts w:cs="Calibri"/>
                <w:noProof w:val="0"/>
                <w:szCs w:val="16"/>
              </w:rPr>
            </w:pPr>
            <w:r w:rsidRPr="00BE78CA">
              <w:rPr>
                <w:rFonts w:cs="Calibri"/>
                <w:noProof w:val="0"/>
                <w:szCs w:val="16"/>
              </w:rPr>
              <w:t>2019</w:t>
            </w:r>
          </w:p>
        </w:tc>
        <w:tc>
          <w:tcPr>
            <w:tcW w:w="1946" w:type="dxa"/>
            <w:tcBorders>
              <w:top w:val="single" w:sz="4" w:space="0" w:color="365F91"/>
              <w:left w:val="nil"/>
              <w:bottom w:val="single" w:sz="8" w:space="0" w:color="365F91"/>
              <w:right w:val="nil"/>
            </w:tcBorders>
            <w:shd w:val="clear" w:color="auto" w:fill="auto"/>
            <w:vAlign w:val="center"/>
            <w:hideMark/>
          </w:tcPr>
          <w:p w14:paraId="1ECD4E72" w14:textId="77777777" w:rsidR="00333601" w:rsidRPr="00BE78CA" w:rsidRDefault="00333601" w:rsidP="00C26084">
            <w:pPr>
              <w:pStyle w:val="TableTextBold"/>
              <w:jc w:val="right"/>
              <w:rPr>
                <w:rFonts w:cs="Calibri"/>
                <w:noProof w:val="0"/>
                <w:szCs w:val="16"/>
              </w:rPr>
            </w:pPr>
            <w:r w:rsidRPr="00BE78CA">
              <w:rPr>
                <w:rFonts w:cs="Calibri"/>
                <w:noProof w:val="0"/>
                <w:szCs w:val="16"/>
              </w:rPr>
              <w:t>1990–2019</w:t>
            </w:r>
          </w:p>
        </w:tc>
        <w:tc>
          <w:tcPr>
            <w:tcW w:w="1343" w:type="dxa"/>
            <w:tcBorders>
              <w:top w:val="single" w:sz="4" w:space="0" w:color="365F91"/>
              <w:left w:val="nil"/>
              <w:bottom w:val="single" w:sz="8" w:space="0" w:color="365F91"/>
              <w:right w:val="nil"/>
            </w:tcBorders>
            <w:shd w:val="clear" w:color="auto" w:fill="auto"/>
            <w:vAlign w:val="center"/>
            <w:hideMark/>
          </w:tcPr>
          <w:p w14:paraId="45471D3E" w14:textId="77777777" w:rsidR="00333601" w:rsidRPr="00BE78CA" w:rsidRDefault="00333601" w:rsidP="00C26084">
            <w:pPr>
              <w:pStyle w:val="TableTextBold"/>
              <w:jc w:val="right"/>
              <w:rPr>
                <w:rFonts w:cs="Calibri"/>
                <w:noProof w:val="0"/>
                <w:szCs w:val="16"/>
              </w:rPr>
            </w:pPr>
            <w:r w:rsidRPr="00BE78CA">
              <w:rPr>
                <w:rFonts w:cs="Calibri"/>
                <w:noProof w:val="0"/>
                <w:szCs w:val="16"/>
              </w:rPr>
              <w:t>1990–2019</w:t>
            </w:r>
          </w:p>
        </w:tc>
      </w:tr>
      <w:tr w:rsidR="00333601" w:rsidRPr="00BE78CA" w14:paraId="7DF535CC" w14:textId="77777777" w:rsidTr="00B13AF1">
        <w:tc>
          <w:tcPr>
            <w:tcW w:w="2444" w:type="dxa"/>
            <w:tcBorders>
              <w:top w:val="nil"/>
              <w:left w:val="nil"/>
              <w:bottom w:val="single" w:sz="8" w:space="0" w:color="365F91"/>
              <w:right w:val="nil"/>
            </w:tcBorders>
            <w:shd w:val="clear" w:color="auto" w:fill="auto"/>
            <w:vAlign w:val="center"/>
            <w:hideMark/>
          </w:tcPr>
          <w:p w14:paraId="4289084C" w14:textId="77777777" w:rsidR="00333601" w:rsidRPr="00BE78CA" w:rsidRDefault="00333601" w:rsidP="00C26084">
            <w:pPr>
              <w:pStyle w:val="TableText"/>
              <w:rPr>
                <w:rFonts w:cs="Calibri"/>
                <w:szCs w:val="16"/>
              </w:rPr>
            </w:pPr>
            <w:r w:rsidRPr="00BE78CA">
              <w:rPr>
                <w:rFonts w:cs="Calibri"/>
                <w:b/>
                <w:szCs w:val="16"/>
              </w:rPr>
              <w:t>Forest land</w:t>
            </w:r>
          </w:p>
        </w:tc>
        <w:tc>
          <w:tcPr>
            <w:tcW w:w="1281" w:type="dxa"/>
            <w:tcBorders>
              <w:top w:val="nil"/>
              <w:left w:val="nil"/>
              <w:bottom w:val="single" w:sz="8" w:space="0" w:color="365F91"/>
              <w:right w:val="nil"/>
            </w:tcBorders>
            <w:shd w:val="clear" w:color="auto" w:fill="auto"/>
          </w:tcPr>
          <w:p w14:paraId="1E101198" w14:textId="77777777" w:rsidR="00333601" w:rsidRPr="00BE78CA" w:rsidRDefault="00333601" w:rsidP="00C26084">
            <w:pPr>
              <w:pStyle w:val="TableText"/>
              <w:jc w:val="right"/>
              <w:rPr>
                <w:rFonts w:cs="Calibri"/>
                <w:szCs w:val="16"/>
              </w:rPr>
            </w:pPr>
            <w:r w:rsidRPr="00BE78CA">
              <w:t>–23,174.2</w:t>
            </w:r>
          </w:p>
        </w:tc>
        <w:tc>
          <w:tcPr>
            <w:tcW w:w="1281" w:type="dxa"/>
            <w:tcBorders>
              <w:top w:val="nil"/>
              <w:left w:val="nil"/>
              <w:bottom w:val="single" w:sz="8" w:space="0" w:color="365F91"/>
              <w:right w:val="nil"/>
            </w:tcBorders>
            <w:shd w:val="clear" w:color="auto" w:fill="auto"/>
          </w:tcPr>
          <w:p w14:paraId="697FC0B8" w14:textId="77777777" w:rsidR="00333601" w:rsidRPr="00BE78CA" w:rsidRDefault="00333601" w:rsidP="00C26084">
            <w:pPr>
              <w:pStyle w:val="TableText"/>
              <w:jc w:val="right"/>
              <w:rPr>
                <w:rFonts w:cs="Calibri"/>
                <w:szCs w:val="16"/>
              </w:rPr>
            </w:pPr>
            <w:r w:rsidRPr="00BE78CA">
              <w:t>–22,176.8</w:t>
            </w:r>
          </w:p>
        </w:tc>
        <w:tc>
          <w:tcPr>
            <w:tcW w:w="1946" w:type="dxa"/>
            <w:tcBorders>
              <w:top w:val="nil"/>
              <w:left w:val="nil"/>
              <w:bottom w:val="single" w:sz="8" w:space="0" w:color="365F91"/>
              <w:right w:val="nil"/>
            </w:tcBorders>
            <w:shd w:val="clear" w:color="auto" w:fill="auto"/>
          </w:tcPr>
          <w:p w14:paraId="65113E24" w14:textId="77777777" w:rsidR="00333601" w:rsidRPr="00BE78CA" w:rsidRDefault="00333601" w:rsidP="00C26084">
            <w:pPr>
              <w:pStyle w:val="TableText"/>
              <w:jc w:val="right"/>
              <w:rPr>
                <w:rFonts w:cs="Calibri"/>
                <w:szCs w:val="16"/>
              </w:rPr>
            </w:pPr>
            <w:r w:rsidRPr="00BE78CA">
              <w:t>997.4</w:t>
            </w:r>
          </w:p>
        </w:tc>
        <w:tc>
          <w:tcPr>
            <w:tcW w:w="1343" w:type="dxa"/>
            <w:tcBorders>
              <w:top w:val="nil"/>
              <w:left w:val="nil"/>
              <w:bottom w:val="single" w:sz="8" w:space="0" w:color="365F91"/>
              <w:right w:val="nil"/>
            </w:tcBorders>
            <w:shd w:val="clear" w:color="auto" w:fill="auto"/>
          </w:tcPr>
          <w:p w14:paraId="6189C91D" w14:textId="77777777" w:rsidR="00333601" w:rsidRPr="00BE78CA" w:rsidRDefault="00333601" w:rsidP="00C26084">
            <w:pPr>
              <w:pStyle w:val="TableText"/>
              <w:jc w:val="right"/>
              <w:rPr>
                <w:rFonts w:cs="Calibri"/>
                <w:szCs w:val="16"/>
              </w:rPr>
            </w:pPr>
            <w:r w:rsidRPr="00BE78CA">
              <w:t xml:space="preserve"> 4.3 </w:t>
            </w:r>
          </w:p>
        </w:tc>
      </w:tr>
      <w:tr w:rsidR="00333601" w:rsidRPr="00BE78CA" w14:paraId="689084BE" w14:textId="77777777" w:rsidTr="00B13AF1">
        <w:tc>
          <w:tcPr>
            <w:tcW w:w="2444" w:type="dxa"/>
            <w:tcBorders>
              <w:top w:val="nil"/>
              <w:left w:val="nil"/>
              <w:bottom w:val="single" w:sz="8" w:space="0" w:color="365F91"/>
              <w:right w:val="nil"/>
            </w:tcBorders>
            <w:shd w:val="clear" w:color="auto" w:fill="auto"/>
            <w:vAlign w:val="center"/>
            <w:hideMark/>
          </w:tcPr>
          <w:p w14:paraId="431DD243" w14:textId="77777777" w:rsidR="00333601" w:rsidRPr="00BE78CA" w:rsidRDefault="00333601" w:rsidP="00C26084">
            <w:pPr>
              <w:pStyle w:val="TableText"/>
              <w:rPr>
                <w:rFonts w:cs="Calibri"/>
                <w:szCs w:val="16"/>
              </w:rPr>
            </w:pPr>
            <w:r w:rsidRPr="00BE78CA">
              <w:rPr>
                <w:rFonts w:cs="Calibri"/>
                <w:b/>
                <w:szCs w:val="16"/>
              </w:rPr>
              <w:t>Cropland</w:t>
            </w:r>
          </w:p>
        </w:tc>
        <w:tc>
          <w:tcPr>
            <w:tcW w:w="1281" w:type="dxa"/>
            <w:tcBorders>
              <w:top w:val="nil"/>
              <w:left w:val="nil"/>
              <w:bottom w:val="single" w:sz="8" w:space="0" w:color="365F91"/>
              <w:right w:val="nil"/>
            </w:tcBorders>
            <w:shd w:val="clear" w:color="auto" w:fill="auto"/>
          </w:tcPr>
          <w:p w14:paraId="6A18379E" w14:textId="77777777" w:rsidR="00333601" w:rsidRPr="00BE78CA" w:rsidRDefault="00333601" w:rsidP="00C26084">
            <w:pPr>
              <w:pStyle w:val="TableText"/>
              <w:jc w:val="right"/>
              <w:rPr>
                <w:rFonts w:cs="Calibri"/>
                <w:szCs w:val="16"/>
              </w:rPr>
            </w:pPr>
            <w:r w:rsidRPr="00BE78CA">
              <w:t>476.0</w:t>
            </w:r>
          </w:p>
        </w:tc>
        <w:tc>
          <w:tcPr>
            <w:tcW w:w="1281" w:type="dxa"/>
            <w:tcBorders>
              <w:top w:val="nil"/>
              <w:left w:val="nil"/>
              <w:bottom w:val="single" w:sz="8" w:space="0" w:color="365F91"/>
              <w:right w:val="nil"/>
            </w:tcBorders>
            <w:shd w:val="clear" w:color="auto" w:fill="auto"/>
          </w:tcPr>
          <w:p w14:paraId="3E1A9C17" w14:textId="77777777" w:rsidR="00333601" w:rsidRPr="00BE78CA" w:rsidRDefault="00333601" w:rsidP="00C26084">
            <w:pPr>
              <w:pStyle w:val="TableText"/>
              <w:jc w:val="right"/>
              <w:rPr>
                <w:rFonts w:cs="Calibri"/>
                <w:szCs w:val="16"/>
              </w:rPr>
            </w:pPr>
            <w:r w:rsidRPr="00BE78CA">
              <w:t>386.8</w:t>
            </w:r>
          </w:p>
        </w:tc>
        <w:tc>
          <w:tcPr>
            <w:tcW w:w="1946" w:type="dxa"/>
            <w:tcBorders>
              <w:top w:val="nil"/>
              <w:left w:val="nil"/>
              <w:bottom w:val="single" w:sz="8" w:space="0" w:color="365F91"/>
              <w:right w:val="nil"/>
            </w:tcBorders>
            <w:shd w:val="clear" w:color="auto" w:fill="auto"/>
          </w:tcPr>
          <w:p w14:paraId="1DE2E338" w14:textId="77777777" w:rsidR="00333601" w:rsidRPr="00BE78CA" w:rsidRDefault="00333601" w:rsidP="00C26084">
            <w:pPr>
              <w:pStyle w:val="TableText"/>
              <w:jc w:val="right"/>
              <w:rPr>
                <w:rFonts w:cs="Calibri"/>
                <w:szCs w:val="16"/>
              </w:rPr>
            </w:pPr>
            <w:r w:rsidRPr="00BE78CA">
              <w:t>–89.1</w:t>
            </w:r>
          </w:p>
        </w:tc>
        <w:tc>
          <w:tcPr>
            <w:tcW w:w="1343" w:type="dxa"/>
            <w:tcBorders>
              <w:top w:val="nil"/>
              <w:left w:val="nil"/>
              <w:bottom w:val="single" w:sz="8" w:space="0" w:color="365F91"/>
              <w:right w:val="nil"/>
            </w:tcBorders>
            <w:shd w:val="clear" w:color="auto" w:fill="auto"/>
          </w:tcPr>
          <w:p w14:paraId="24338C0D" w14:textId="77777777" w:rsidR="00333601" w:rsidRPr="00BE78CA" w:rsidRDefault="00333601" w:rsidP="00C26084">
            <w:pPr>
              <w:pStyle w:val="TableText"/>
              <w:jc w:val="right"/>
              <w:rPr>
                <w:rFonts w:cs="Calibri"/>
                <w:szCs w:val="16"/>
              </w:rPr>
            </w:pPr>
            <w:r w:rsidRPr="00BE78CA">
              <w:t xml:space="preserve">–18.7 </w:t>
            </w:r>
          </w:p>
        </w:tc>
      </w:tr>
      <w:tr w:rsidR="00333601" w:rsidRPr="00BE78CA" w14:paraId="6CFC9459" w14:textId="77777777" w:rsidTr="00B13AF1">
        <w:tc>
          <w:tcPr>
            <w:tcW w:w="2444" w:type="dxa"/>
            <w:tcBorders>
              <w:top w:val="nil"/>
              <w:left w:val="nil"/>
              <w:bottom w:val="single" w:sz="8" w:space="0" w:color="365F91"/>
              <w:right w:val="nil"/>
            </w:tcBorders>
            <w:shd w:val="clear" w:color="auto" w:fill="auto"/>
            <w:vAlign w:val="center"/>
            <w:hideMark/>
          </w:tcPr>
          <w:p w14:paraId="0B416BCE" w14:textId="77777777" w:rsidR="00333601" w:rsidRPr="00BE78CA" w:rsidRDefault="00333601" w:rsidP="00C26084">
            <w:pPr>
              <w:pStyle w:val="TableText"/>
              <w:rPr>
                <w:rFonts w:cs="Calibri"/>
                <w:szCs w:val="16"/>
              </w:rPr>
            </w:pPr>
            <w:r w:rsidRPr="00BE78CA">
              <w:rPr>
                <w:rFonts w:cs="Calibri"/>
                <w:b/>
                <w:szCs w:val="16"/>
              </w:rPr>
              <w:t>Grassland</w:t>
            </w:r>
          </w:p>
        </w:tc>
        <w:tc>
          <w:tcPr>
            <w:tcW w:w="1281" w:type="dxa"/>
            <w:tcBorders>
              <w:top w:val="nil"/>
              <w:left w:val="nil"/>
              <w:bottom w:val="single" w:sz="8" w:space="0" w:color="365F91"/>
              <w:right w:val="nil"/>
            </w:tcBorders>
            <w:shd w:val="clear" w:color="auto" w:fill="auto"/>
          </w:tcPr>
          <w:p w14:paraId="67D17E32" w14:textId="77777777" w:rsidR="00333601" w:rsidRPr="00BE78CA" w:rsidRDefault="00333601" w:rsidP="00C26084">
            <w:pPr>
              <w:pStyle w:val="TableText"/>
              <w:jc w:val="right"/>
              <w:rPr>
                <w:rFonts w:cs="Calibri"/>
                <w:szCs w:val="16"/>
              </w:rPr>
            </w:pPr>
            <w:r w:rsidRPr="00BE78CA">
              <w:t>680.2</w:t>
            </w:r>
          </w:p>
        </w:tc>
        <w:tc>
          <w:tcPr>
            <w:tcW w:w="1281" w:type="dxa"/>
            <w:tcBorders>
              <w:top w:val="nil"/>
              <w:left w:val="nil"/>
              <w:bottom w:val="single" w:sz="8" w:space="0" w:color="365F91"/>
              <w:right w:val="nil"/>
            </w:tcBorders>
            <w:shd w:val="clear" w:color="auto" w:fill="auto"/>
          </w:tcPr>
          <w:p w14:paraId="6AE3457D" w14:textId="77777777" w:rsidR="00333601" w:rsidRPr="00BE78CA" w:rsidRDefault="00333601" w:rsidP="00C26084">
            <w:pPr>
              <w:pStyle w:val="TableText"/>
              <w:jc w:val="right"/>
              <w:rPr>
                <w:rFonts w:cs="Calibri"/>
                <w:szCs w:val="16"/>
              </w:rPr>
            </w:pPr>
            <w:r w:rsidRPr="00BE78CA">
              <w:t>4,253.6</w:t>
            </w:r>
          </w:p>
        </w:tc>
        <w:tc>
          <w:tcPr>
            <w:tcW w:w="1946" w:type="dxa"/>
            <w:tcBorders>
              <w:top w:val="nil"/>
              <w:left w:val="nil"/>
              <w:bottom w:val="single" w:sz="8" w:space="0" w:color="365F91"/>
              <w:right w:val="nil"/>
            </w:tcBorders>
            <w:shd w:val="clear" w:color="auto" w:fill="auto"/>
          </w:tcPr>
          <w:p w14:paraId="2BEDB9E2" w14:textId="77777777" w:rsidR="00333601" w:rsidRPr="00BE78CA" w:rsidRDefault="00333601" w:rsidP="00C26084">
            <w:pPr>
              <w:pStyle w:val="TableText"/>
              <w:jc w:val="right"/>
              <w:rPr>
                <w:rFonts w:cs="Calibri"/>
                <w:szCs w:val="16"/>
              </w:rPr>
            </w:pPr>
            <w:r w:rsidRPr="00BE78CA">
              <w:t>3,573.4</w:t>
            </w:r>
          </w:p>
        </w:tc>
        <w:tc>
          <w:tcPr>
            <w:tcW w:w="1343" w:type="dxa"/>
            <w:tcBorders>
              <w:top w:val="nil"/>
              <w:left w:val="nil"/>
              <w:bottom w:val="single" w:sz="8" w:space="0" w:color="365F91"/>
              <w:right w:val="nil"/>
            </w:tcBorders>
            <w:shd w:val="clear" w:color="auto" w:fill="auto"/>
          </w:tcPr>
          <w:p w14:paraId="5A00D51D" w14:textId="77777777" w:rsidR="00333601" w:rsidRPr="00BE78CA" w:rsidRDefault="00333601" w:rsidP="00C26084">
            <w:pPr>
              <w:pStyle w:val="TableText"/>
              <w:jc w:val="right"/>
              <w:rPr>
                <w:rFonts w:cs="Calibri"/>
                <w:szCs w:val="16"/>
              </w:rPr>
            </w:pPr>
            <w:r w:rsidRPr="00BE78CA">
              <w:t>525.4</w:t>
            </w:r>
          </w:p>
        </w:tc>
      </w:tr>
      <w:tr w:rsidR="00333601" w:rsidRPr="00BE78CA" w14:paraId="5FCCE5DE" w14:textId="77777777" w:rsidTr="00B13AF1">
        <w:tc>
          <w:tcPr>
            <w:tcW w:w="2444" w:type="dxa"/>
            <w:tcBorders>
              <w:top w:val="nil"/>
              <w:left w:val="nil"/>
              <w:bottom w:val="single" w:sz="8" w:space="0" w:color="365F91"/>
              <w:right w:val="nil"/>
            </w:tcBorders>
            <w:shd w:val="clear" w:color="auto" w:fill="auto"/>
            <w:vAlign w:val="center"/>
            <w:hideMark/>
          </w:tcPr>
          <w:p w14:paraId="30D3F9DE" w14:textId="77777777" w:rsidR="00333601" w:rsidRPr="00BE78CA" w:rsidRDefault="00333601" w:rsidP="00C26084">
            <w:pPr>
              <w:pStyle w:val="TableText"/>
              <w:rPr>
                <w:rFonts w:cs="Calibri"/>
                <w:szCs w:val="16"/>
              </w:rPr>
            </w:pPr>
            <w:r w:rsidRPr="00BE78CA">
              <w:rPr>
                <w:rFonts w:cs="Calibri"/>
                <w:b/>
                <w:szCs w:val="16"/>
              </w:rPr>
              <w:t>Wetlands</w:t>
            </w:r>
          </w:p>
        </w:tc>
        <w:tc>
          <w:tcPr>
            <w:tcW w:w="1281" w:type="dxa"/>
            <w:tcBorders>
              <w:top w:val="nil"/>
              <w:left w:val="nil"/>
              <w:bottom w:val="single" w:sz="8" w:space="0" w:color="365F91"/>
              <w:right w:val="nil"/>
            </w:tcBorders>
            <w:shd w:val="clear" w:color="auto" w:fill="auto"/>
          </w:tcPr>
          <w:p w14:paraId="4F2583E7" w14:textId="77777777" w:rsidR="00333601" w:rsidRPr="00BE78CA" w:rsidRDefault="00333601" w:rsidP="00C26084">
            <w:pPr>
              <w:pStyle w:val="TableText"/>
              <w:jc w:val="right"/>
              <w:rPr>
                <w:rFonts w:cs="Calibri"/>
                <w:szCs w:val="16"/>
              </w:rPr>
            </w:pPr>
            <w:r w:rsidRPr="00BE78CA">
              <w:t>–10.7</w:t>
            </w:r>
          </w:p>
        </w:tc>
        <w:tc>
          <w:tcPr>
            <w:tcW w:w="1281" w:type="dxa"/>
            <w:tcBorders>
              <w:top w:val="nil"/>
              <w:left w:val="nil"/>
              <w:bottom w:val="single" w:sz="8" w:space="0" w:color="365F91"/>
              <w:right w:val="nil"/>
            </w:tcBorders>
            <w:shd w:val="clear" w:color="auto" w:fill="auto"/>
          </w:tcPr>
          <w:p w14:paraId="6D420EFB" w14:textId="77777777" w:rsidR="00333601" w:rsidRPr="00BE78CA" w:rsidRDefault="00333601" w:rsidP="00C26084">
            <w:pPr>
              <w:pStyle w:val="TableText"/>
              <w:jc w:val="right"/>
              <w:rPr>
                <w:rFonts w:cs="Calibri"/>
                <w:szCs w:val="16"/>
              </w:rPr>
            </w:pPr>
            <w:r w:rsidRPr="00BE78CA">
              <w:t>13.4</w:t>
            </w:r>
          </w:p>
        </w:tc>
        <w:tc>
          <w:tcPr>
            <w:tcW w:w="1946" w:type="dxa"/>
            <w:tcBorders>
              <w:top w:val="nil"/>
              <w:left w:val="nil"/>
              <w:bottom w:val="single" w:sz="8" w:space="0" w:color="365F91"/>
              <w:right w:val="nil"/>
            </w:tcBorders>
            <w:shd w:val="clear" w:color="auto" w:fill="auto"/>
          </w:tcPr>
          <w:p w14:paraId="1A4599C3" w14:textId="77777777" w:rsidR="00333601" w:rsidRPr="00BE78CA" w:rsidRDefault="00333601" w:rsidP="00C26084">
            <w:pPr>
              <w:pStyle w:val="TableText"/>
              <w:jc w:val="right"/>
              <w:rPr>
                <w:rFonts w:cs="Calibri"/>
                <w:szCs w:val="16"/>
              </w:rPr>
            </w:pPr>
            <w:r w:rsidRPr="00BE78CA">
              <w:t>24.1</w:t>
            </w:r>
          </w:p>
        </w:tc>
        <w:tc>
          <w:tcPr>
            <w:tcW w:w="1343" w:type="dxa"/>
            <w:tcBorders>
              <w:top w:val="nil"/>
              <w:left w:val="nil"/>
              <w:bottom w:val="single" w:sz="8" w:space="0" w:color="365F91"/>
              <w:right w:val="nil"/>
            </w:tcBorders>
            <w:shd w:val="clear" w:color="auto" w:fill="auto"/>
          </w:tcPr>
          <w:p w14:paraId="7B289AF0" w14:textId="77777777" w:rsidR="00333601" w:rsidRPr="00BE78CA" w:rsidRDefault="00333601" w:rsidP="00C26084">
            <w:pPr>
              <w:pStyle w:val="TableText"/>
              <w:jc w:val="right"/>
              <w:rPr>
                <w:rFonts w:cs="Calibri"/>
                <w:szCs w:val="16"/>
              </w:rPr>
            </w:pPr>
            <w:r w:rsidRPr="00BE78CA">
              <w:t xml:space="preserve"> 225.2 </w:t>
            </w:r>
          </w:p>
        </w:tc>
      </w:tr>
      <w:tr w:rsidR="00333601" w:rsidRPr="00BE78CA" w14:paraId="5C9BCBC0" w14:textId="77777777" w:rsidTr="00B13AF1">
        <w:tc>
          <w:tcPr>
            <w:tcW w:w="2444" w:type="dxa"/>
            <w:tcBorders>
              <w:top w:val="nil"/>
              <w:left w:val="nil"/>
              <w:bottom w:val="single" w:sz="8" w:space="0" w:color="365F91"/>
              <w:right w:val="nil"/>
            </w:tcBorders>
            <w:shd w:val="clear" w:color="auto" w:fill="auto"/>
            <w:vAlign w:val="center"/>
            <w:hideMark/>
          </w:tcPr>
          <w:p w14:paraId="529B5914" w14:textId="77777777" w:rsidR="00333601" w:rsidRPr="00BE78CA" w:rsidRDefault="00333601" w:rsidP="00C26084">
            <w:pPr>
              <w:pStyle w:val="TableText"/>
              <w:rPr>
                <w:rFonts w:cs="Calibri"/>
                <w:szCs w:val="16"/>
              </w:rPr>
            </w:pPr>
            <w:r w:rsidRPr="00BE78CA">
              <w:rPr>
                <w:rFonts w:cs="Calibri"/>
                <w:b/>
                <w:szCs w:val="16"/>
              </w:rPr>
              <w:t>Settlements</w:t>
            </w:r>
          </w:p>
        </w:tc>
        <w:tc>
          <w:tcPr>
            <w:tcW w:w="1281" w:type="dxa"/>
            <w:tcBorders>
              <w:top w:val="nil"/>
              <w:left w:val="nil"/>
              <w:bottom w:val="single" w:sz="8" w:space="0" w:color="365F91"/>
              <w:right w:val="nil"/>
            </w:tcBorders>
            <w:shd w:val="clear" w:color="auto" w:fill="auto"/>
          </w:tcPr>
          <w:p w14:paraId="2CB52F88" w14:textId="77777777" w:rsidR="00333601" w:rsidRPr="00BE78CA" w:rsidRDefault="00333601" w:rsidP="00C26084">
            <w:pPr>
              <w:pStyle w:val="TableText"/>
              <w:jc w:val="right"/>
              <w:rPr>
                <w:rFonts w:cs="Calibri"/>
                <w:szCs w:val="16"/>
              </w:rPr>
            </w:pPr>
            <w:r w:rsidRPr="00BE78CA">
              <w:t>74.4</w:t>
            </w:r>
          </w:p>
        </w:tc>
        <w:tc>
          <w:tcPr>
            <w:tcW w:w="1281" w:type="dxa"/>
            <w:tcBorders>
              <w:top w:val="nil"/>
              <w:left w:val="nil"/>
              <w:bottom w:val="single" w:sz="8" w:space="0" w:color="365F91"/>
              <w:right w:val="nil"/>
            </w:tcBorders>
            <w:shd w:val="clear" w:color="auto" w:fill="auto"/>
          </w:tcPr>
          <w:p w14:paraId="3DED3106" w14:textId="77777777" w:rsidR="00333601" w:rsidRPr="00BE78CA" w:rsidRDefault="00333601" w:rsidP="00C26084">
            <w:pPr>
              <w:pStyle w:val="TableText"/>
              <w:jc w:val="right"/>
              <w:rPr>
                <w:rFonts w:cs="Calibri"/>
                <w:szCs w:val="16"/>
              </w:rPr>
            </w:pPr>
            <w:r w:rsidRPr="00BE78CA">
              <w:t>112.7</w:t>
            </w:r>
          </w:p>
        </w:tc>
        <w:tc>
          <w:tcPr>
            <w:tcW w:w="1946" w:type="dxa"/>
            <w:tcBorders>
              <w:top w:val="nil"/>
              <w:left w:val="nil"/>
              <w:bottom w:val="single" w:sz="8" w:space="0" w:color="365F91"/>
              <w:right w:val="nil"/>
            </w:tcBorders>
            <w:shd w:val="clear" w:color="auto" w:fill="auto"/>
          </w:tcPr>
          <w:p w14:paraId="4F7E8AFF" w14:textId="77777777" w:rsidR="00333601" w:rsidRPr="00BE78CA" w:rsidRDefault="00333601" w:rsidP="00C26084">
            <w:pPr>
              <w:pStyle w:val="TableText"/>
              <w:jc w:val="right"/>
              <w:rPr>
                <w:rFonts w:cs="Calibri"/>
                <w:szCs w:val="16"/>
              </w:rPr>
            </w:pPr>
            <w:r w:rsidRPr="00BE78CA">
              <w:t>38.2</w:t>
            </w:r>
          </w:p>
        </w:tc>
        <w:tc>
          <w:tcPr>
            <w:tcW w:w="1343" w:type="dxa"/>
            <w:tcBorders>
              <w:top w:val="nil"/>
              <w:left w:val="nil"/>
              <w:bottom w:val="single" w:sz="8" w:space="0" w:color="365F91"/>
              <w:right w:val="nil"/>
            </w:tcBorders>
            <w:shd w:val="clear" w:color="auto" w:fill="auto"/>
          </w:tcPr>
          <w:p w14:paraId="44A72DFB" w14:textId="77777777" w:rsidR="00333601" w:rsidRPr="00BE78CA" w:rsidRDefault="00333601" w:rsidP="00C26084">
            <w:pPr>
              <w:pStyle w:val="TableText"/>
              <w:jc w:val="right"/>
              <w:rPr>
                <w:rFonts w:cs="Calibri"/>
                <w:szCs w:val="16"/>
              </w:rPr>
            </w:pPr>
            <w:r w:rsidRPr="00BE78CA">
              <w:t xml:space="preserve"> 51.4 </w:t>
            </w:r>
          </w:p>
        </w:tc>
      </w:tr>
      <w:tr w:rsidR="00333601" w:rsidRPr="00BE78CA" w14:paraId="438E7007" w14:textId="77777777" w:rsidTr="00B13AF1">
        <w:tc>
          <w:tcPr>
            <w:tcW w:w="2444" w:type="dxa"/>
            <w:tcBorders>
              <w:top w:val="nil"/>
              <w:left w:val="nil"/>
              <w:bottom w:val="single" w:sz="8" w:space="0" w:color="365F91"/>
              <w:right w:val="nil"/>
            </w:tcBorders>
            <w:shd w:val="clear" w:color="auto" w:fill="auto"/>
            <w:vAlign w:val="center"/>
            <w:hideMark/>
          </w:tcPr>
          <w:p w14:paraId="5FE46F39" w14:textId="77777777" w:rsidR="00333601" w:rsidRPr="00BE78CA" w:rsidRDefault="00333601" w:rsidP="00C26084">
            <w:pPr>
              <w:pStyle w:val="TableText"/>
              <w:rPr>
                <w:rFonts w:cs="Calibri"/>
                <w:szCs w:val="16"/>
              </w:rPr>
            </w:pPr>
            <w:r w:rsidRPr="00BE78CA">
              <w:rPr>
                <w:rFonts w:cs="Calibri"/>
                <w:b/>
                <w:szCs w:val="16"/>
              </w:rPr>
              <w:t>Other land</w:t>
            </w:r>
          </w:p>
        </w:tc>
        <w:tc>
          <w:tcPr>
            <w:tcW w:w="1281" w:type="dxa"/>
            <w:tcBorders>
              <w:top w:val="nil"/>
              <w:left w:val="nil"/>
              <w:bottom w:val="single" w:sz="8" w:space="0" w:color="365F91"/>
              <w:right w:val="nil"/>
            </w:tcBorders>
            <w:shd w:val="clear" w:color="auto" w:fill="auto"/>
          </w:tcPr>
          <w:p w14:paraId="598BBBD1" w14:textId="77777777" w:rsidR="00333601" w:rsidRPr="00BE78CA" w:rsidRDefault="00333601" w:rsidP="00C26084">
            <w:pPr>
              <w:pStyle w:val="TableText"/>
              <w:jc w:val="right"/>
              <w:rPr>
                <w:rFonts w:cs="Calibri"/>
                <w:szCs w:val="16"/>
              </w:rPr>
            </w:pPr>
            <w:r w:rsidRPr="00BE78CA">
              <w:t>12.8</w:t>
            </w:r>
          </w:p>
        </w:tc>
        <w:tc>
          <w:tcPr>
            <w:tcW w:w="1281" w:type="dxa"/>
            <w:tcBorders>
              <w:top w:val="nil"/>
              <w:left w:val="nil"/>
              <w:bottom w:val="single" w:sz="8" w:space="0" w:color="365F91"/>
              <w:right w:val="nil"/>
            </w:tcBorders>
            <w:shd w:val="clear" w:color="auto" w:fill="auto"/>
          </w:tcPr>
          <w:p w14:paraId="60B12028" w14:textId="77777777" w:rsidR="00333601" w:rsidRPr="00BE78CA" w:rsidRDefault="00333601" w:rsidP="00C26084">
            <w:pPr>
              <w:pStyle w:val="TableText"/>
              <w:jc w:val="right"/>
              <w:rPr>
                <w:rFonts w:cs="Calibri"/>
                <w:szCs w:val="16"/>
              </w:rPr>
            </w:pPr>
            <w:r w:rsidRPr="00BE78CA">
              <w:t>52.5</w:t>
            </w:r>
          </w:p>
        </w:tc>
        <w:tc>
          <w:tcPr>
            <w:tcW w:w="1946" w:type="dxa"/>
            <w:tcBorders>
              <w:top w:val="nil"/>
              <w:left w:val="nil"/>
              <w:bottom w:val="single" w:sz="8" w:space="0" w:color="365F91"/>
              <w:right w:val="nil"/>
            </w:tcBorders>
            <w:shd w:val="clear" w:color="auto" w:fill="auto"/>
          </w:tcPr>
          <w:p w14:paraId="062B9991" w14:textId="77777777" w:rsidR="00333601" w:rsidRPr="00BE78CA" w:rsidRDefault="00333601" w:rsidP="00C26084">
            <w:pPr>
              <w:pStyle w:val="TableText"/>
              <w:jc w:val="right"/>
              <w:rPr>
                <w:rFonts w:cs="Calibri"/>
                <w:szCs w:val="16"/>
              </w:rPr>
            </w:pPr>
            <w:r w:rsidRPr="00BE78CA">
              <w:t>39.7</w:t>
            </w:r>
          </w:p>
        </w:tc>
        <w:tc>
          <w:tcPr>
            <w:tcW w:w="1343" w:type="dxa"/>
            <w:tcBorders>
              <w:top w:val="nil"/>
              <w:left w:val="nil"/>
              <w:bottom w:val="single" w:sz="8" w:space="0" w:color="365F91"/>
              <w:right w:val="nil"/>
            </w:tcBorders>
            <w:shd w:val="clear" w:color="auto" w:fill="auto"/>
          </w:tcPr>
          <w:p w14:paraId="51AF0CE4" w14:textId="77777777" w:rsidR="00333601" w:rsidRPr="00BE78CA" w:rsidRDefault="00333601" w:rsidP="00C26084">
            <w:pPr>
              <w:pStyle w:val="TableText"/>
              <w:jc w:val="right"/>
              <w:rPr>
                <w:rFonts w:cs="Calibri"/>
                <w:szCs w:val="16"/>
              </w:rPr>
            </w:pPr>
            <w:r w:rsidRPr="00BE78CA">
              <w:t xml:space="preserve"> 311.6 </w:t>
            </w:r>
          </w:p>
        </w:tc>
      </w:tr>
      <w:tr w:rsidR="00333601" w:rsidRPr="00BE78CA" w14:paraId="7FBA489B" w14:textId="77777777" w:rsidTr="00B13AF1">
        <w:tc>
          <w:tcPr>
            <w:tcW w:w="2444" w:type="dxa"/>
            <w:tcBorders>
              <w:top w:val="nil"/>
              <w:left w:val="nil"/>
              <w:bottom w:val="single" w:sz="8" w:space="0" w:color="365F91"/>
              <w:right w:val="nil"/>
            </w:tcBorders>
            <w:shd w:val="clear" w:color="auto" w:fill="auto"/>
            <w:noWrap/>
            <w:vAlign w:val="center"/>
            <w:hideMark/>
          </w:tcPr>
          <w:p w14:paraId="4A6C9748" w14:textId="77777777" w:rsidR="00333601" w:rsidRPr="00BE78CA" w:rsidRDefault="00333601" w:rsidP="00C26084">
            <w:pPr>
              <w:pStyle w:val="TableText"/>
              <w:rPr>
                <w:rFonts w:cs="Calibri"/>
                <w:szCs w:val="16"/>
              </w:rPr>
            </w:pPr>
            <w:r w:rsidRPr="00BE78CA">
              <w:rPr>
                <w:rFonts w:cs="Calibri"/>
                <w:b/>
                <w:szCs w:val="16"/>
              </w:rPr>
              <w:t>Harvested wood products</w:t>
            </w:r>
          </w:p>
        </w:tc>
        <w:tc>
          <w:tcPr>
            <w:tcW w:w="1281" w:type="dxa"/>
            <w:tcBorders>
              <w:top w:val="nil"/>
              <w:left w:val="nil"/>
              <w:bottom w:val="single" w:sz="8" w:space="0" w:color="365F91"/>
              <w:right w:val="nil"/>
            </w:tcBorders>
            <w:shd w:val="clear" w:color="auto" w:fill="auto"/>
          </w:tcPr>
          <w:p w14:paraId="42F47DB9" w14:textId="77777777" w:rsidR="00333601" w:rsidRPr="00BE78CA" w:rsidRDefault="00333601" w:rsidP="00C26084">
            <w:pPr>
              <w:pStyle w:val="TableText"/>
              <w:jc w:val="right"/>
              <w:rPr>
                <w:rFonts w:cs="Calibri"/>
                <w:szCs w:val="16"/>
              </w:rPr>
            </w:pPr>
            <w:r w:rsidRPr="00BE78CA">
              <w:t>–2,072.9</w:t>
            </w:r>
          </w:p>
        </w:tc>
        <w:tc>
          <w:tcPr>
            <w:tcW w:w="1281" w:type="dxa"/>
            <w:tcBorders>
              <w:top w:val="nil"/>
              <w:left w:val="nil"/>
              <w:bottom w:val="single" w:sz="8" w:space="0" w:color="365F91"/>
              <w:right w:val="nil"/>
            </w:tcBorders>
            <w:shd w:val="clear" w:color="auto" w:fill="auto"/>
          </w:tcPr>
          <w:p w14:paraId="3887F082" w14:textId="77777777" w:rsidR="00333601" w:rsidRPr="00BE78CA" w:rsidRDefault="00333601" w:rsidP="00C26084">
            <w:pPr>
              <w:pStyle w:val="TableText"/>
              <w:jc w:val="right"/>
              <w:rPr>
                <w:rFonts w:cs="Calibri"/>
                <w:szCs w:val="16"/>
              </w:rPr>
            </w:pPr>
            <w:r w:rsidRPr="00BE78CA">
              <w:t>–10,067.3</w:t>
            </w:r>
          </w:p>
        </w:tc>
        <w:tc>
          <w:tcPr>
            <w:tcW w:w="1946" w:type="dxa"/>
            <w:tcBorders>
              <w:top w:val="nil"/>
              <w:left w:val="nil"/>
              <w:bottom w:val="single" w:sz="8" w:space="0" w:color="365F91"/>
              <w:right w:val="nil"/>
            </w:tcBorders>
            <w:shd w:val="clear" w:color="auto" w:fill="auto"/>
          </w:tcPr>
          <w:p w14:paraId="52227DF2" w14:textId="77777777" w:rsidR="00333601" w:rsidRPr="00BE78CA" w:rsidRDefault="00333601" w:rsidP="00C26084">
            <w:pPr>
              <w:pStyle w:val="TableText"/>
              <w:jc w:val="right"/>
              <w:rPr>
                <w:rFonts w:cs="Calibri"/>
                <w:szCs w:val="16"/>
              </w:rPr>
            </w:pPr>
            <w:r w:rsidRPr="00BE78CA">
              <w:t>–7,994.4</w:t>
            </w:r>
          </w:p>
        </w:tc>
        <w:tc>
          <w:tcPr>
            <w:tcW w:w="1343" w:type="dxa"/>
            <w:tcBorders>
              <w:top w:val="nil"/>
              <w:left w:val="nil"/>
              <w:bottom w:val="single" w:sz="8" w:space="0" w:color="365F91"/>
              <w:right w:val="nil"/>
            </w:tcBorders>
            <w:shd w:val="clear" w:color="auto" w:fill="auto"/>
          </w:tcPr>
          <w:p w14:paraId="10469B23" w14:textId="77777777" w:rsidR="00333601" w:rsidRPr="00BE78CA" w:rsidRDefault="00333601" w:rsidP="00C26084">
            <w:pPr>
              <w:pStyle w:val="TableText"/>
              <w:jc w:val="right"/>
              <w:rPr>
                <w:rFonts w:cs="Calibri"/>
                <w:szCs w:val="16"/>
              </w:rPr>
            </w:pPr>
            <w:r w:rsidRPr="00BE78CA">
              <w:t xml:space="preserve">–385.7 </w:t>
            </w:r>
          </w:p>
        </w:tc>
      </w:tr>
      <w:tr w:rsidR="00333601" w:rsidRPr="00BE78CA" w14:paraId="04175CB2" w14:textId="77777777" w:rsidTr="00B13AF1">
        <w:tc>
          <w:tcPr>
            <w:tcW w:w="2444" w:type="dxa"/>
            <w:tcBorders>
              <w:top w:val="nil"/>
              <w:left w:val="nil"/>
              <w:bottom w:val="single" w:sz="8" w:space="0" w:color="365F91"/>
              <w:right w:val="nil"/>
            </w:tcBorders>
            <w:shd w:val="clear" w:color="auto" w:fill="auto"/>
            <w:vAlign w:val="center"/>
            <w:hideMark/>
          </w:tcPr>
          <w:p w14:paraId="288059AC" w14:textId="77777777" w:rsidR="00333601" w:rsidRPr="00BE78CA" w:rsidRDefault="00333601" w:rsidP="00C26084">
            <w:pPr>
              <w:pStyle w:val="Tableboldblue"/>
              <w:jc w:val="right"/>
            </w:pPr>
            <w:r w:rsidRPr="00BE78CA">
              <w:t>Total LULUCF</w:t>
            </w:r>
          </w:p>
        </w:tc>
        <w:tc>
          <w:tcPr>
            <w:tcW w:w="1281" w:type="dxa"/>
            <w:tcBorders>
              <w:top w:val="nil"/>
              <w:left w:val="nil"/>
              <w:bottom w:val="single" w:sz="8" w:space="0" w:color="365F91"/>
              <w:right w:val="nil"/>
            </w:tcBorders>
            <w:shd w:val="clear" w:color="auto" w:fill="auto"/>
          </w:tcPr>
          <w:p w14:paraId="5EFCDC98" w14:textId="77777777" w:rsidR="00333601" w:rsidRPr="00BE78CA" w:rsidRDefault="00333601" w:rsidP="00C26084">
            <w:pPr>
              <w:pStyle w:val="Tableboldblue"/>
              <w:jc w:val="right"/>
            </w:pPr>
            <w:r w:rsidRPr="00BE78CA">
              <w:t>–24,014.5</w:t>
            </w:r>
          </w:p>
        </w:tc>
        <w:tc>
          <w:tcPr>
            <w:tcW w:w="1281" w:type="dxa"/>
            <w:tcBorders>
              <w:top w:val="nil"/>
              <w:left w:val="nil"/>
              <w:bottom w:val="single" w:sz="8" w:space="0" w:color="365F91"/>
              <w:right w:val="nil"/>
            </w:tcBorders>
            <w:shd w:val="clear" w:color="auto" w:fill="auto"/>
          </w:tcPr>
          <w:p w14:paraId="25A7AD81" w14:textId="77777777" w:rsidR="00333601" w:rsidRPr="00BE78CA" w:rsidRDefault="00333601" w:rsidP="00C26084">
            <w:pPr>
              <w:pStyle w:val="Tableboldblue"/>
              <w:jc w:val="right"/>
            </w:pPr>
            <w:r w:rsidRPr="00BE78CA">
              <w:t>–27,425.1</w:t>
            </w:r>
          </w:p>
        </w:tc>
        <w:tc>
          <w:tcPr>
            <w:tcW w:w="1946" w:type="dxa"/>
            <w:tcBorders>
              <w:top w:val="nil"/>
              <w:left w:val="nil"/>
              <w:bottom w:val="single" w:sz="8" w:space="0" w:color="365F91"/>
              <w:right w:val="nil"/>
            </w:tcBorders>
            <w:shd w:val="clear" w:color="auto" w:fill="auto"/>
          </w:tcPr>
          <w:p w14:paraId="2CB7F220" w14:textId="77777777" w:rsidR="00333601" w:rsidRPr="00BE78CA" w:rsidRDefault="00333601" w:rsidP="00C26084">
            <w:pPr>
              <w:pStyle w:val="Tableboldblue"/>
              <w:jc w:val="right"/>
            </w:pPr>
            <w:r w:rsidRPr="00BE78CA">
              <w:t>–3,410.6</w:t>
            </w:r>
          </w:p>
        </w:tc>
        <w:tc>
          <w:tcPr>
            <w:tcW w:w="1343" w:type="dxa"/>
            <w:tcBorders>
              <w:top w:val="nil"/>
              <w:left w:val="nil"/>
              <w:bottom w:val="single" w:sz="8" w:space="0" w:color="365F91"/>
              <w:right w:val="nil"/>
            </w:tcBorders>
            <w:shd w:val="clear" w:color="auto" w:fill="auto"/>
          </w:tcPr>
          <w:p w14:paraId="27D07B4F" w14:textId="77777777" w:rsidR="00333601" w:rsidRPr="00BE78CA" w:rsidRDefault="00333601" w:rsidP="00C26084">
            <w:pPr>
              <w:pStyle w:val="Tableboldblue"/>
              <w:jc w:val="right"/>
            </w:pPr>
            <w:r w:rsidRPr="00BE78CA">
              <w:t xml:space="preserve">–14.2 </w:t>
            </w:r>
          </w:p>
        </w:tc>
      </w:tr>
    </w:tbl>
    <w:p w14:paraId="0F4BC7B9" w14:textId="77777777" w:rsidR="00333601" w:rsidRPr="00BE78CA" w:rsidRDefault="00333601" w:rsidP="00333601">
      <w:pPr>
        <w:pStyle w:val="Noteundertable"/>
      </w:pPr>
      <w:r w:rsidRPr="00BE78CA">
        <w:rPr>
          <w:b/>
        </w:rPr>
        <w:t>Note:</w:t>
      </w:r>
      <w:r w:rsidRPr="00BE78CA">
        <w:tab/>
        <w:t>Net removals are expressed as a negative value in the table to help the reader in clarifying that the value is a removal (of CO</w:t>
      </w:r>
      <w:r w:rsidRPr="00BE78CA">
        <w:rPr>
          <w:vertAlign w:val="subscript"/>
        </w:rPr>
        <w:t>2</w:t>
      </w:r>
      <w:r w:rsidRPr="00BE78CA">
        <w:t>-e from the atmosphere) and not an emission. Columns may not total due to rounding. Percentages presented are calculated from unrounded values.</w:t>
      </w:r>
    </w:p>
    <w:p w14:paraId="6939BA61" w14:textId="77777777" w:rsidR="00333601" w:rsidRPr="00BE78CA" w:rsidRDefault="00333601" w:rsidP="00333601">
      <w:pPr>
        <w:pStyle w:val="BodyText"/>
        <w:keepLines/>
      </w:pPr>
      <w:r w:rsidRPr="00BE78CA">
        <w:lastRenderedPageBreak/>
        <w:t>Emissions in the LULUCF sector are primarily driven by the harvest of production forests, deforestation, and the decomposition of organic material following these activities. Removals are primarily from the sequestration of carbon that occurs due to plant growth and increases in the size of the harvested wood products pool. Nitrous oxide can be emitted from the ecosystem as a by-product of nitrification and de</w:t>
      </w:r>
      <w:r w:rsidRPr="00BE78CA">
        <w:noBreakHyphen/>
        <w:t>nitrification, and the burning of organic matter. Other gases released during biomass burning include CH</w:t>
      </w:r>
      <w:r w:rsidRPr="00BE78CA">
        <w:rPr>
          <w:vertAlign w:val="subscript"/>
        </w:rPr>
        <w:t>4</w:t>
      </w:r>
      <w:r w:rsidRPr="00BE78CA">
        <w:t>, carbon monoxide (CO), other oxides of nitrogen (NO</w:t>
      </w:r>
      <w:r w:rsidRPr="00BE78CA">
        <w:rPr>
          <w:vertAlign w:val="subscript"/>
        </w:rPr>
        <w:t>x</w:t>
      </w:r>
      <w:r w:rsidRPr="00BE78CA">
        <w:t xml:space="preserve">) and non-methane volatile organic compounds (NMVOCs). </w:t>
      </w:r>
    </w:p>
    <w:p w14:paraId="66B00197" w14:textId="77777777" w:rsidR="00333601" w:rsidRPr="00BE78CA" w:rsidRDefault="00333601" w:rsidP="00333601">
      <w:pPr>
        <w:pStyle w:val="Heading5"/>
      </w:pPr>
      <w:r w:rsidRPr="00BE78CA">
        <w:t>2018–2019</w:t>
      </w:r>
    </w:p>
    <w:p w14:paraId="0939DC58" w14:textId="77777777" w:rsidR="00333601" w:rsidRPr="00BE78CA" w:rsidRDefault="00333601" w:rsidP="00333601">
      <w:pPr>
        <w:pStyle w:val="BodyText"/>
      </w:pPr>
      <w:r w:rsidRPr="00BE78CA">
        <w:rPr>
          <w:spacing w:val="-2"/>
        </w:rPr>
        <w:t>Net emissions from the LULUCF sector decreased between 2018 and 2019 by 668.7 kt CO</w:t>
      </w:r>
      <w:r w:rsidRPr="00BE78CA">
        <w:rPr>
          <w:spacing w:val="-2"/>
          <w:vertAlign w:val="subscript"/>
        </w:rPr>
        <w:t>2</w:t>
      </w:r>
      <w:r w:rsidRPr="00BE78CA">
        <w:rPr>
          <w:spacing w:val="-2"/>
        </w:rPr>
        <w:t>-e (</w:t>
      </w:r>
      <w:r w:rsidRPr="00BE78CA">
        <w:t xml:space="preserve">2.5 per cent). </w:t>
      </w:r>
    </w:p>
    <w:p w14:paraId="0BC6D152" w14:textId="77777777" w:rsidR="00333601" w:rsidRPr="00BE78CA" w:rsidRDefault="00333601" w:rsidP="00333601">
      <w:pPr>
        <w:pStyle w:val="BodyText"/>
      </w:pPr>
      <w:r w:rsidRPr="00BE78CA">
        <w:t xml:space="preserve">The largest change occurred in the </w:t>
      </w:r>
      <w:r w:rsidRPr="00BE78CA">
        <w:rPr>
          <w:i/>
        </w:rPr>
        <w:t>Harvested wood products </w:t>
      </w:r>
      <w:r w:rsidRPr="00BE78CA">
        <w:t>category, with a decrease in emissions of 691.7 kt CO</w:t>
      </w:r>
      <w:r w:rsidRPr="00BE78CA">
        <w:rPr>
          <w:vertAlign w:val="subscript"/>
        </w:rPr>
        <w:t>2</w:t>
      </w:r>
      <w:r w:rsidRPr="00BE78CA">
        <w:t xml:space="preserve">-e due to an increase in the production of harvested wood products. The </w:t>
      </w:r>
      <w:r w:rsidRPr="00BE78CA">
        <w:rPr>
          <w:i/>
          <w:iCs/>
        </w:rPr>
        <w:t>Grassland</w:t>
      </w:r>
      <w:r w:rsidRPr="00BE78CA">
        <w:t xml:space="preserve"> category had the second largest change, with an increase in emissions of 317.2 kt CO</w:t>
      </w:r>
      <w:r w:rsidRPr="00BE78CA">
        <w:rPr>
          <w:vertAlign w:val="subscript"/>
        </w:rPr>
        <w:t>2</w:t>
      </w:r>
      <w:r w:rsidRPr="00BE78CA">
        <w:t xml:space="preserve">-e, driven by a small area of land conversion from </w:t>
      </w:r>
      <w:r w:rsidRPr="00BE78CA">
        <w:rPr>
          <w:i/>
          <w:iCs/>
        </w:rPr>
        <w:t>Forest land</w:t>
      </w:r>
      <w:r w:rsidRPr="00BE78CA">
        <w:t xml:space="preserve"> to </w:t>
      </w:r>
      <w:r w:rsidRPr="00BE78CA">
        <w:rPr>
          <w:i/>
          <w:iCs/>
        </w:rPr>
        <w:t>Grassland</w:t>
      </w:r>
      <w:r w:rsidRPr="00BE78CA">
        <w:t xml:space="preserve">. </w:t>
      </w:r>
    </w:p>
    <w:p w14:paraId="6558F6DA" w14:textId="77777777" w:rsidR="00333601" w:rsidRPr="00BE78CA" w:rsidRDefault="00333601" w:rsidP="00333601">
      <w:pPr>
        <w:pStyle w:val="BodyText"/>
      </w:pPr>
      <w:r w:rsidRPr="00BE78CA">
        <w:t xml:space="preserve">New Zealand has adopted the six broad categories of land use as described in the </w:t>
      </w:r>
      <w:r w:rsidRPr="00BE78CA">
        <w:rPr>
          <w:i/>
        </w:rPr>
        <w:t>IPCC Guidelines for National Greenhouse Gas Inventories, Volume 4,</w:t>
      </w:r>
      <w:r w:rsidRPr="00BE78CA">
        <w:t xml:space="preserve"> </w:t>
      </w:r>
      <w:r w:rsidRPr="00BE78CA">
        <w:rPr>
          <w:i/>
        </w:rPr>
        <w:t>Agriculture, Forestry and Other Land Use</w:t>
      </w:r>
      <w:r w:rsidRPr="00BE78CA">
        <w:t xml:space="preserve"> (2006 IPCC Guidelines) (IPCC, 2006a), and also reports for the </w:t>
      </w:r>
      <w:r w:rsidRPr="00BE78CA">
        <w:rPr>
          <w:i/>
        </w:rPr>
        <w:t xml:space="preserve">Harvested wood products </w:t>
      </w:r>
      <w:r w:rsidRPr="00BE78CA">
        <w:t>category.</w:t>
      </w:r>
    </w:p>
    <w:p w14:paraId="2102EEA7" w14:textId="77777777" w:rsidR="00333601" w:rsidRPr="00BE78CA" w:rsidRDefault="00333601" w:rsidP="00333601">
      <w:pPr>
        <w:pStyle w:val="BodyText"/>
      </w:pPr>
      <w:r w:rsidRPr="00BE78CA">
        <w:t xml:space="preserve">The land use categories </w:t>
      </w:r>
      <w:r w:rsidRPr="00BE78CA">
        <w:rPr>
          <w:i/>
        </w:rPr>
        <w:t>Forest land remaining forest land</w:t>
      </w:r>
      <w:r w:rsidRPr="00BE78CA">
        <w:t xml:space="preserve">, </w:t>
      </w:r>
      <w:r w:rsidRPr="00BE78CA">
        <w:rPr>
          <w:i/>
        </w:rPr>
        <w:t>Land converted to forest land</w:t>
      </w:r>
      <w:r w:rsidRPr="00BE78CA">
        <w:t xml:space="preserve">, </w:t>
      </w:r>
      <w:r w:rsidRPr="00BE78CA">
        <w:rPr>
          <w:i/>
        </w:rPr>
        <w:t>Cropland remaining cropland</w:t>
      </w:r>
      <w:r w:rsidRPr="00BE78CA">
        <w:t xml:space="preserve">, </w:t>
      </w:r>
      <w:r w:rsidRPr="00BE78CA">
        <w:rPr>
          <w:i/>
        </w:rPr>
        <w:t>Grassland remaining grassland</w:t>
      </w:r>
      <w:r w:rsidRPr="00BE78CA">
        <w:t xml:space="preserve">, </w:t>
      </w:r>
      <w:r w:rsidRPr="00BE78CA">
        <w:rPr>
          <w:i/>
        </w:rPr>
        <w:t>Land converted to grassland</w:t>
      </w:r>
      <w:r w:rsidRPr="00BE78CA">
        <w:t xml:space="preserve"> and </w:t>
      </w:r>
      <w:r w:rsidRPr="00BE78CA">
        <w:rPr>
          <w:i/>
        </w:rPr>
        <w:t>Harvested wood products</w:t>
      </w:r>
      <w:r w:rsidRPr="00BE78CA">
        <w:t xml:space="preserve"> are key categories for New Zealand in 2019.</w:t>
      </w:r>
    </w:p>
    <w:p w14:paraId="088A2DE6" w14:textId="77777777" w:rsidR="00333601" w:rsidRPr="00BE78CA" w:rsidRDefault="00333601" w:rsidP="00333601">
      <w:pPr>
        <w:pStyle w:val="Figure"/>
      </w:pPr>
      <w:bookmarkStart w:id="1162" w:name="_Toc405448081"/>
      <w:bookmarkStart w:id="1163" w:name="_Toc414531613"/>
      <w:bookmarkStart w:id="1164" w:name="_Toc474914636"/>
      <w:bookmarkStart w:id="1165" w:name="_Toc481752018"/>
      <w:bookmarkStart w:id="1166" w:name="_Toc522010696"/>
      <w:bookmarkStart w:id="1167" w:name="_Toc5269699"/>
      <w:bookmarkStart w:id="1168" w:name="_Toc33529470"/>
      <w:bookmarkStart w:id="1169" w:name="_Toc36292800"/>
      <w:bookmarkStart w:id="1170" w:name="_Toc65244092"/>
      <w:bookmarkStart w:id="1171" w:name="_Toc68786665"/>
      <w:r w:rsidRPr="00BE78CA">
        <w:t>Figure 6.1.1</w:t>
      </w:r>
      <w:r w:rsidRPr="00BE78CA">
        <w:tab/>
        <w:t>New Zealand’s annual emissions from the LULUCF sector from 1990 to </w:t>
      </w:r>
      <w:bookmarkEnd w:id="1162"/>
      <w:bookmarkEnd w:id="1163"/>
      <w:bookmarkEnd w:id="1164"/>
      <w:bookmarkEnd w:id="1165"/>
      <w:bookmarkEnd w:id="1166"/>
      <w:r w:rsidRPr="00BE78CA">
        <w:t>201</w:t>
      </w:r>
      <w:bookmarkEnd w:id="1167"/>
      <w:r w:rsidRPr="00BE78CA">
        <w:t>9</w:t>
      </w:r>
      <w:bookmarkEnd w:id="1168"/>
      <w:bookmarkEnd w:id="1169"/>
      <w:bookmarkEnd w:id="1170"/>
      <w:bookmarkEnd w:id="1171"/>
    </w:p>
    <w:p w14:paraId="380F90FE" w14:textId="77777777" w:rsidR="00333601" w:rsidRPr="00BE78CA" w:rsidRDefault="00333601" w:rsidP="00333601">
      <w:pPr>
        <w:spacing w:after="120"/>
      </w:pPr>
      <w:r w:rsidRPr="00BE78CA">
        <w:rPr>
          <w:noProof/>
        </w:rPr>
        <w:drawing>
          <wp:inline distT="0" distB="0" distL="0" distR="0" wp14:anchorId="3B7E2249" wp14:editId="70F6191E">
            <wp:extent cx="5400675" cy="3459193"/>
            <wp:effectExtent l="0" t="0" r="0" b="8255"/>
            <wp:docPr id="37" name="Chart 37">
              <a:extLst xmlns:a="http://schemas.openxmlformats.org/drawingml/2006/main">
                <a:ext uri="{FF2B5EF4-FFF2-40B4-BE49-F238E27FC236}">
                  <a16:creationId xmlns:a16="http://schemas.microsoft.com/office/drawing/2014/main" id="{00000000-0008-0000-0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7"/>
              </a:graphicData>
            </a:graphic>
          </wp:inline>
        </w:drawing>
      </w:r>
      <w:r w:rsidRPr="00BE78CA">
        <w:fldChar w:fldCharType="begin"/>
      </w:r>
      <w:r w:rsidRPr="00BE78CA">
        <w:fldChar w:fldCharType="end"/>
      </w:r>
    </w:p>
    <w:p w14:paraId="483A4234" w14:textId="77777777" w:rsidR="00333601" w:rsidRPr="00BE78CA" w:rsidRDefault="00333601" w:rsidP="00333601">
      <w:pPr>
        <w:pStyle w:val="Figure"/>
        <w:spacing w:after="0"/>
      </w:pPr>
      <w:bookmarkStart w:id="1172" w:name="_Toc474914637"/>
      <w:bookmarkStart w:id="1173" w:name="_Toc481752019"/>
      <w:bookmarkStart w:id="1174" w:name="_Toc522010697"/>
      <w:bookmarkStart w:id="1175" w:name="_Toc5269700"/>
      <w:bookmarkStart w:id="1176" w:name="_Toc33529471"/>
      <w:bookmarkStart w:id="1177" w:name="_Toc36292801"/>
      <w:bookmarkStart w:id="1178" w:name="_Toc65244093"/>
      <w:bookmarkStart w:id="1179" w:name="_Toc68786666"/>
      <w:r w:rsidRPr="00BE78CA">
        <w:lastRenderedPageBreak/>
        <w:t>Figure 6.1.2</w:t>
      </w:r>
      <w:r w:rsidRPr="00BE78CA">
        <w:tab/>
        <w:t>Change in New Zealand’s emissions from the LULUCF sector from 1990 to </w:t>
      </w:r>
      <w:bookmarkEnd w:id="1172"/>
      <w:bookmarkEnd w:id="1173"/>
      <w:bookmarkEnd w:id="1174"/>
      <w:r w:rsidRPr="00BE78CA">
        <w:t>201</w:t>
      </w:r>
      <w:bookmarkEnd w:id="1175"/>
      <w:bookmarkEnd w:id="1176"/>
      <w:bookmarkEnd w:id="1177"/>
      <w:r w:rsidRPr="00BE78CA">
        <w:t>9</w:t>
      </w:r>
      <w:bookmarkEnd w:id="1178"/>
      <w:bookmarkEnd w:id="1179"/>
      <w:r w:rsidRPr="00BE78CA">
        <w:t xml:space="preserve"> </w:t>
      </w:r>
    </w:p>
    <w:p w14:paraId="7E0AAE3D" w14:textId="77777777" w:rsidR="00333601" w:rsidRPr="00BE78CA" w:rsidRDefault="00333601" w:rsidP="00CF21FE">
      <w:pPr>
        <w:pStyle w:val="BodyText"/>
        <w:spacing w:before="0" w:after="0"/>
      </w:pPr>
      <w:r w:rsidRPr="00BE78CA">
        <w:rPr>
          <w:noProof/>
        </w:rPr>
        <w:drawing>
          <wp:inline distT="0" distB="0" distL="0" distR="0" wp14:anchorId="2C2E827E" wp14:editId="0F50F983">
            <wp:extent cx="5319423" cy="3164619"/>
            <wp:effectExtent l="0" t="0" r="0" b="0"/>
            <wp:docPr id="38" name="Chart 38">
              <a:extLst xmlns:a="http://schemas.openxmlformats.org/drawingml/2006/main">
                <a:ext uri="{FF2B5EF4-FFF2-40B4-BE49-F238E27FC236}">
                  <a16:creationId xmlns:a16="http://schemas.microsoft.com/office/drawing/2014/main" id="{00000000-0008-0000-0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8"/>
              </a:graphicData>
            </a:graphic>
          </wp:inline>
        </w:drawing>
      </w:r>
    </w:p>
    <w:p w14:paraId="7ACB42D5" w14:textId="77777777" w:rsidR="00333601" w:rsidRPr="00BE78CA" w:rsidRDefault="00333601" w:rsidP="00333601">
      <w:pPr>
        <w:pStyle w:val="Heading3"/>
      </w:pPr>
      <w:r w:rsidRPr="00BE78CA">
        <w:t>6.1.1</w:t>
      </w:r>
      <w:r w:rsidRPr="00BE78CA">
        <w:tab/>
      </w:r>
      <w:bookmarkStart w:id="1180" w:name="_Toc280630204"/>
      <w:r w:rsidRPr="00BE78CA">
        <w:t>Land use, land-use change and forestry in New Zealand</w:t>
      </w:r>
      <w:bookmarkEnd w:id="1180"/>
    </w:p>
    <w:p w14:paraId="62CFDC23" w14:textId="77777777" w:rsidR="00333601" w:rsidRPr="00BE78CA" w:rsidRDefault="00333601" w:rsidP="00333601">
      <w:pPr>
        <w:pStyle w:val="BodyText"/>
      </w:pPr>
      <w:r w:rsidRPr="00BE78CA">
        <w:t>New Zealand has a land area of nearly 270,000 square kilometres with extensive coastlines (approximately 19,800 kilometres). New Zealand has a temperate climate, highly influenced by the surrounding ocean. Around 60 per cent of the land is hilly or mountainous, with many lakes and fast-flowing rivers and streams.</w:t>
      </w:r>
    </w:p>
    <w:p w14:paraId="5B3D272B" w14:textId="77777777" w:rsidR="00333601" w:rsidRPr="00BE78CA" w:rsidRDefault="00333601" w:rsidP="00333601">
      <w:pPr>
        <w:pStyle w:val="BodyText"/>
      </w:pPr>
      <w:r w:rsidRPr="00BE78CA">
        <w:t>Since 1990, approximately 9.1 per cent of New Zealand’s total land area has undergone land</w:t>
      </w:r>
      <w:r w:rsidRPr="00BE78CA">
        <w:noBreakHyphen/>
        <w:t xml:space="preserve">use change. </w:t>
      </w:r>
    </w:p>
    <w:p w14:paraId="54149182" w14:textId="77777777" w:rsidR="00333601" w:rsidRPr="00BE78CA" w:rsidRDefault="00333601" w:rsidP="00333601">
      <w:pPr>
        <w:pStyle w:val="BodyText"/>
        <w:rPr>
          <w:spacing w:val="-2"/>
        </w:rPr>
      </w:pPr>
      <w:r w:rsidRPr="00BE78CA">
        <w:rPr>
          <w:spacing w:val="-2"/>
        </w:rPr>
        <w:t>Before human settlement, natural forests were New Zealand’s predominant land cover, estimated at 85 per cent to 90 per cent of total land area (McGlone, 2009). In 2019, pre-1990 natural forest covers around 28.8 per cent of the total land area of New Zealand (see table 6.1.2). Nearly all lowland areas have been cleared of indigenous vegetation for agriculture, horticulture, plantation forestry and urban development. Much of the remaining indigenous vegetation, however, is now legally protected, whether in private ownership or on public conservation land.</w:t>
      </w:r>
    </w:p>
    <w:p w14:paraId="341F0FDA" w14:textId="77777777" w:rsidR="00333601" w:rsidRPr="00BE78CA" w:rsidRDefault="00333601" w:rsidP="00333601">
      <w:pPr>
        <w:pStyle w:val="Table"/>
      </w:pPr>
      <w:bookmarkStart w:id="1181" w:name="_Toc443645354"/>
      <w:bookmarkStart w:id="1182" w:name="_Toc474914573"/>
      <w:bookmarkStart w:id="1183" w:name="_Toc481751537"/>
      <w:bookmarkStart w:id="1184" w:name="_Toc522010594"/>
      <w:bookmarkStart w:id="1185" w:name="_Toc5269499"/>
      <w:bookmarkStart w:id="1186" w:name="_Toc33529375"/>
      <w:bookmarkStart w:id="1187" w:name="_Toc36224581"/>
      <w:bookmarkStart w:id="1188" w:name="_Toc65243576"/>
      <w:bookmarkStart w:id="1189" w:name="_Toc68786466"/>
      <w:r w:rsidRPr="00BE78CA">
        <w:t xml:space="preserve">Table 6.1.2 </w:t>
      </w:r>
      <w:r w:rsidRPr="00BE78CA">
        <w:tab/>
        <w:t>Land use in New Zealand in 201</w:t>
      </w:r>
      <w:bookmarkEnd w:id="1181"/>
      <w:bookmarkEnd w:id="1182"/>
      <w:bookmarkEnd w:id="1183"/>
      <w:bookmarkEnd w:id="1184"/>
      <w:bookmarkEnd w:id="1185"/>
      <w:bookmarkEnd w:id="1186"/>
      <w:bookmarkEnd w:id="1187"/>
      <w:r w:rsidRPr="00BE78CA">
        <w:t>9</w:t>
      </w:r>
      <w:bookmarkEnd w:id="1188"/>
      <w:bookmarkEnd w:id="1189"/>
    </w:p>
    <w:tbl>
      <w:tblPr>
        <w:tblW w:w="8505" w:type="dxa"/>
        <w:tblBorders>
          <w:top w:val="single" w:sz="4" w:space="0" w:color="365F91"/>
          <w:bottom w:val="single" w:sz="4" w:space="0" w:color="365F91"/>
          <w:insideH w:val="single" w:sz="4" w:space="0" w:color="365F91"/>
          <w:insideV w:val="single" w:sz="4" w:space="0" w:color="365F91"/>
        </w:tblBorders>
        <w:tblLook w:val="04A0" w:firstRow="1" w:lastRow="0" w:firstColumn="1" w:lastColumn="0" w:noHBand="0" w:noVBand="1"/>
      </w:tblPr>
      <w:tblGrid>
        <w:gridCol w:w="1832"/>
        <w:gridCol w:w="2252"/>
        <w:gridCol w:w="1973"/>
        <w:gridCol w:w="2448"/>
      </w:tblGrid>
      <w:tr w:rsidR="00333601" w:rsidRPr="00BE78CA" w14:paraId="25A3719B" w14:textId="77777777" w:rsidTr="00CF21FE">
        <w:trPr>
          <w:tblHeader/>
        </w:trPr>
        <w:tc>
          <w:tcPr>
            <w:tcW w:w="1843" w:type="dxa"/>
            <w:shd w:val="clear" w:color="auto" w:fill="365F91"/>
          </w:tcPr>
          <w:p w14:paraId="26B0000E" w14:textId="77777777" w:rsidR="00333601" w:rsidRPr="00BE78CA" w:rsidRDefault="00333601" w:rsidP="00C26084">
            <w:pPr>
              <w:pStyle w:val="TableTextBold"/>
              <w:spacing w:before="50" w:after="50"/>
              <w:rPr>
                <w:noProof w:val="0"/>
                <w:color w:val="FFFFFF"/>
              </w:rPr>
            </w:pPr>
            <w:r w:rsidRPr="00BE78CA">
              <w:rPr>
                <w:noProof w:val="0"/>
                <w:color w:val="FFFFFF"/>
              </w:rPr>
              <w:t xml:space="preserve">Category </w:t>
            </w:r>
          </w:p>
        </w:tc>
        <w:tc>
          <w:tcPr>
            <w:tcW w:w="2268" w:type="dxa"/>
            <w:shd w:val="clear" w:color="auto" w:fill="365F91"/>
          </w:tcPr>
          <w:p w14:paraId="48FED51A" w14:textId="77777777" w:rsidR="00333601" w:rsidRPr="00BE78CA" w:rsidRDefault="00333601" w:rsidP="00C26084">
            <w:pPr>
              <w:pStyle w:val="TableTextBold"/>
              <w:spacing w:before="50" w:after="50"/>
              <w:rPr>
                <w:noProof w:val="0"/>
                <w:color w:val="FFFFFF"/>
              </w:rPr>
            </w:pPr>
            <w:r w:rsidRPr="00BE78CA">
              <w:rPr>
                <w:noProof w:val="0"/>
                <w:color w:val="FFFFFF"/>
              </w:rPr>
              <w:t>Land use</w:t>
            </w:r>
          </w:p>
        </w:tc>
        <w:tc>
          <w:tcPr>
            <w:tcW w:w="1985" w:type="dxa"/>
            <w:shd w:val="clear" w:color="auto" w:fill="365F91"/>
          </w:tcPr>
          <w:p w14:paraId="7342333D" w14:textId="77777777" w:rsidR="00333601" w:rsidRPr="00BE78CA" w:rsidRDefault="00333601" w:rsidP="00C26084">
            <w:pPr>
              <w:pStyle w:val="TableTextBold"/>
              <w:spacing w:before="50" w:after="50"/>
              <w:jc w:val="right"/>
              <w:rPr>
                <w:noProof w:val="0"/>
                <w:color w:val="FFFFFF"/>
              </w:rPr>
            </w:pPr>
            <w:r w:rsidRPr="00BE78CA">
              <w:rPr>
                <w:noProof w:val="0"/>
                <w:color w:val="FFFFFF"/>
              </w:rPr>
              <w:t>Area (kha)</w:t>
            </w:r>
          </w:p>
        </w:tc>
        <w:tc>
          <w:tcPr>
            <w:tcW w:w="2466" w:type="dxa"/>
            <w:shd w:val="clear" w:color="auto" w:fill="365F91"/>
          </w:tcPr>
          <w:p w14:paraId="4DB4A179" w14:textId="77777777" w:rsidR="00333601" w:rsidRPr="00BE78CA" w:rsidRDefault="00333601" w:rsidP="00C26084">
            <w:pPr>
              <w:pStyle w:val="TableTextBold"/>
              <w:spacing w:before="50" w:after="50"/>
              <w:jc w:val="right"/>
              <w:rPr>
                <w:noProof w:val="0"/>
                <w:color w:val="FFFFFF"/>
              </w:rPr>
            </w:pPr>
            <w:r w:rsidRPr="00BE78CA">
              <w:rPr>
                <w:noProof w:val="0"/>
                <w:color w:val="FFFFFF"/>
              </w:rPr>
              <w:t>Proportion of total area (%)</w:t>
            </w:r>
          </w:p>
        </w:tc>
      </w:tr>
      <w:tr w:rsidR="00333601" w:rsidRPr="00BE78CA" w14:paraId="02B782DA" w14:textId="77777777" w:rsidTr="00CF21FE">
        <w:tc>
          <w:tcPr>
            <w:tcW w:w="1843" w:type="dxa"/>
          </w:tcPr>
          <w:p w14:paraId="0A4A0833" w14:textId="77777777" w:rsidR="00333601" w:rsidRPr="00BE78CA" w:rsidRDefault="00333601" w:rsidP="00C26084">
            <w:pPr>
              <w:pStyle w:val="TableText"/>
              <w:spacing w:before="50" w:after="50"/>
              <w:rPr>
                <w:rFonts w:cs="Arial"/>
                <w:szCs w:val="16"/>
              </w:rPr>
            </w:pPr>
            <w:r w:rsidRPr="00BE78CA">
              <w:rPr>
                <w:rFonts w:cs="Arial"/>
                <w:szCs w:val="16"/>
              </w:rPr>
              <w:t>Forest land</w:t>
            </w:r>
          </w:p>
        </w:tc>
        <w:tc>
          <w:tcPr>
            <w:tcW w:w="2268" w:type="dxa"/>
          </w:tcPr>
          <w:p w14:paraId="55294B8B" w14:textId="77777777" w:rsidR="00333601" w:rsidRPr="00BE78CA" w:rsidRDefault="00333601" w:rsidP="00C26084">
            <w:pPr>
              <w:pStyle w:val="TableText"/>
              <w:spacing w:before="50" w:after="50"/>
              <w:rPr>
                <w:rFonts w:cs="Arial"/>
                <w:szCs w:val="16"/>
              </w:rPr>
            </w:pPr>
            <w:r w:rsidRPr="00BE78CA">
              <w:rPr>
                <w:rFonts w:cs="Arial"/>
                <w:szCs w:val="16"/>
              </w:rPr>
              <w:t>Pre-1990 natural forest</w:t>
            </w:r>
          </w:p>
        </w:tc>
        <w:tc>
          <w:tcPr>
            <w:tcW w:w="1985" w:type="dxa"/>
          </w:tcPr>
          <w:p w14:paraId="2C43E41F" w14:textId="77777777" w:rsidR="00333601" w:rsidRPr="00BE78CA" w:rsidRDefault="00333601" w:rsidP="00C26084">
            <w:pPr>
              <w:pStyle w:val="TableText"/>
              <w:spacing w:before="50" w:after="50"/>
              <w:jc w:val="right"/>
              <w:rPr>
                <w:rFonts w:cs="Arial"/>
                <w:szCs w:val="16"/>
              </w:rPr>
            </w:pPr>
            <w:r w:rsidRPr="00BE78CA">
              <w:t>7,755.947</w:t>
            </w:r>
          </w:p>
        </w:tc>
        <w:tc>
          <w:tcPr>
            <w:tcW w:w="2466" w:type="dxa"/>
          </w:tcPr>
          <w:p w14:paraId="43933DD2" w14:textId="77777777" w:rsidR="00333601" w:rsidRPr="00BE78CA" w:rsidRDefault="00333601" w:rsidP="00C26084">
            <w:pPr>
              <w:pStyle w:val="TableText"/>
              <w:spacing w:before="50" w:after="50"/>
              <w:jc w:val="right"/>
              <w:rPr>
                <w:rFonts w:cs="Arial"/>
                <w:szCs w:val="16"/>
              </w:rPr>
            </w:pPr>
            <w:r w:rsidRPr="00BE78CA">
              <w:t>28.8</w:t>
            </w:r>
          </w:p>
        </w:tc>
      </w:tr>
      <w:tr w:rsidR="00333601" w:rsidRPr="00BE78CA" w14:paraId="10A9165B" w14:textId="77777777" w:rsidTr="00CF21FE">
        <w:tc>
          <w:tcPr>
            <w:tcW w:w="1843" w:type="dxa"/>
          </w:tcPr>
          <w:p w14:paraId="55238557" w14:textId="77777777" w:rsidR="00333601" w:rsidRPr="00BE78CA" w:rsidRDefault="00333601" w:rsidP="00C26084">
            <w:pPr>
              <w:pStyle w:val="TableText"/>
              <w:spacing w:before="50" w:after="50"/>
              <w:rPr>
                <w:rFonts w:cs="Arial"/>
                <w:szCs w:val="16"/>
              </w:rPr>
            </w:pPr>
          </w:p>
        </w:tc>
        <w:tc>
          <w:tcPr>
            <w:tcW w:w="2268" w:type="dxa"/>
          </w:tcPr>
          <w:p w14:paraId="4EBF3186" w14:textId="77777777" w:rsidR="00333601" w:rsidRPr="00BE78CA" w:rsidRDefault="00333601" w:rsidP="00C26084">
            <w:pPr>
              <w:pStyle w:val="TableText"/>
              <w:spacing w:before="50" w:after="50"/>
              <w:rPr>
                <w:rFonts w:cs="Arial"/>
                <w:szCs w:val="16"/>
              </w:rPr>
            </w:pPr>
            <w:r w:rsidRPr="00BE78CA">
              <w:rPr>
                <w:rFonts w:cs="Arial"/>
                <w:szCs w:val="16"/>
              </w:rPr>
              <w:t>Pre-1990 planted forest</w:t>
            </w:r>
          </w:p>
        </w:tc>
        <w:tc>
          <w:tcPr>
            <w:tcW w:w="1985" w:type="dxa"/>
          </w:tcPr>
          <w:p w14:paraId="17DBC723" w14:textId="77777777" w:rsidR="00333601" w:rsidRPr="00BE78CA" w:rsidRDefault="00333601" w:rsidP="00C26084">
            <w:pPr>
              <w:pStyle w:val="TableText"/>
              <w:spacing w:before="50" w:after="50"/>
              <w:jc w:val="right"/>
              <w:rPr>
                <w:rFonts w:cs="Arial"/>
                <w:szCs w:val="16"/>
              </w:rPr>
            </w:pPr>
            <w:r w:rsidRPr="00BE78CA">
              <w:t>1,438.413</w:t>
            </w:r>
          </w:p>
        </w:tc>
        <w:tc>
          <w:tcPr>
            <w:tcW w:w="2466" w:type="dxa"/>
          </w:tcPr>
          <w:p w14:paraId="65733AF1" w14:textId="77777777" w:rsidR="00333601" w:rsidRPr="00BE78CA" w:rsidRDefault="00333601" w:rsidP="00C26084">
            <w:pPr>
              <w:pStyle w:val="TableText"/>
              <w:spacing w:before="50" w:after="50"/>
              <w:jc w:val="right"/>
              <w:rPr>
                <w:rFonts w:cs="Arial"/>
                <w:szCs w:val="16"/>
              </w:rPr>
            </w:pPr>
            <w:r w:rsidRPr="00BE78CA">
              <w:t>5.3</w:t>
            </w:r>
          </w:p>
        </w:tc>
      </w:tr>
      <w:tr w:rsidR="00333601" w:rsidRPr="00BE78CA" w14:paraId="1FD24D66" w14:textId="77777777" w:rsidTr="00CF21FE">
        <w:tc>
          <w:tcPr>
            <w:tcW w:w="1843" w:type="dxa"/>
          </w:tcPr>
          <w:p w14:paraId="41CB5CA0" w14:textId="77777777" w:rsidR="00333601" w:rsidRPr="00BE78CA" w:rsidRDefault="00333601" w:rsidP="00C26084">
            <w:pPr>
              <w:pStyle w:val="TableText"/>
              <w:spacing w:before="50" w:after="50"/>
              <w:rPr>
                <w:rFonts w:cs="Arial"/>
                <w:szCs w:val="16"/>
              </w:rPr>
            </w:pPr>
          </w:p>
        </w:tc>
        <w:tc>
          <w:tcPr>
            <w:tcW w:w="2268" w:type="dxa"/>
          </w:tcPr>
          <w:p w14:paraId="31AD4F7A" w14:textId="77777777" w:rsidR="00333601" w:rsidRPr="00BE78CA" w:rsidRDefault="00333601" w:rsidP="00C26084">
            <w:pPr>
              <w:pStyle w:val="TableText"/>
              <w:spacing w:before="50" w:after="50"/>
              <w:rPr>
                <w:rFonts w:cs="Arial"/>
                <w:szCs w:val="16"/>
              </w:rPr>
            </w:pPr>
            <w:r w:rsidRPr="00BE78CA">
              <w:rPr>
                <w:rFonts w:cs="Arial"/>
                <w:szCs w:val="16"/>
              </w:rPr>
              <w:t>Post-1989 planted forest</w:t>
            </w:r>
          </w:p>
        </w:tc>
        <w:tc>
          <w:tcPr>
            <w:tcW w:w="1985" w:type="dxa"/>
          </w:tcPr>
          <w:p w14:paraId="60CEBDA1" w14:textId="77777777" w:rsidR="00333601" w:rsidRPr="00BE78CA" w:rsidRDefault="00333601" w:rsidP="00C26084">
            <w:pPr>
              <w:pStyle w:val="TableText"/>
              <w:spacing w:before="50" w:after="50"/>
              <w:jc w:val="right"/>
            </w:pPr>
            <w:r w:rsidRPr="00BE78CA">
              <w:t>657.438</w:t>
            </w:r>
          </w:p>
        </w:tc>
        <w:tc>
          <w:tcPr>
            <w:tcW w:w="2466" w:type="dxa"/>
          </w:tcPr>
          <w:p w14:paraId="764DC02C" w14:textId="77777777" w:rsidR="00333601" w:rsidRPr="00BE78CA" w:rsidRDefault="00333601" w:rsidP="00C26084">
            <w:pPr>
              <w:pStyle w:val="TableText"/>
              <w:spacing w:before="50" w:after="50"/>
              <w:jc w:val="right"/>
            </w:pPr>
            <w:r w:rsidRPr="00BE78CA">
              <w:t>2.4</w:t>
            </w:r>
          </w:p>
        </w:tc>
      </w:tr>
      <w:tr w:rsidR="00333601" w:rsidRPr="00BE78CA" w14:paraId="39960E49" w14:textId="77777777" w:rsidTr="00CF21FE">
        <w:tc>
          <w:tcPr>
            <w:tcW w:w="1843" w:type="dxa"/>
          </w:tcPr>
          <w:p w14:paraId="61F00DCE" w14:textId="77777777" w:rsidR="00333601" w:rsidRPr="00BE78CA" w:rsidRDefault="00333601" w:rsidP="00C26084">
            <w:pPr>
              <w:pStyle w:val="TableText"/>
              <w:spacing w:before="50" w:after="50"/>
              <w:rPr>
                <w:rFonts w:cs="Arial"/>
                <w:szCs w:val="16"/>
              </w:rPr>
            </w:pPr>
          </w:p>
        </w:tc>
        <w:tc>
          <w:tcPr>
            <w:tcW w:w="2268" w:type="dxa"/>
          </w:tcPr>
          <w:p w14:paraId="514E8A2D" w14:textId="77777777" w:rsidR="00333601" w:rsidRPr="00BE78CA" w:rsidRDefault="00333601" w:rsidP="00C26084">
            <w:pPr>
              <w:pStyle w:val="TableText"/>
              <w:spacing w:before="50" w:after="50"/>
              <w:rPr>
                <w:rFonts w:cs="Arial"/>
                <w:szCs w:val="16"/>
              </w:rPr>
            </w:pPr>
            <w:r w:rsidRPr="00BE78CA">
              <w:rPr>
                <w:rFonts w:cs="Arial"/>
                <w:szCs w:val="16"/>
              </w:rPr>
              <w:t>Post-1989 natural forest</w:t>
            </w:r>
          </w:p>
        </w:tc>
        <w:tc>
          <w:tcPr>
            <w:tcW w:w="1985" w:type="dxa"/>
          </w:tcPr>
          <w:p w14:paraId="4D17C13B" w14:textId="77777777" w:rsidR="00333601" w:rsidRPr="00BE78CA" w:rsidRDefault="00333601" w:rsidP="00C26084">
            <w:pPr>
              <w:pStyle w:val="TableText"/>
              <w:spacing w:before="50" w:after="50"/>
              <w:jc w:val="right"/>
            </w:pPr>
            <w:r w:rsidRPr="00BE78CA">
              <w:t>86.689</w:t>
            </w:r>
          </w:p>
        </w:tc>
        <w:tc>
          <w:tcPr>
            <w:tcW w:w="2466" w:type="dxa"/>
          </w:tcPr>
          <w:p w14:paraId="235CC8F4" w14:textId="77777777" w:rsidR="00333601" w:rsidRPr="00BE78CA" w:rsidRDefault="00333601" w:rsidP="00C26084">
            <w:pPr>
              <w:pStyle w:val="TableText"/>
              <w:spacing w:before="50" w:after="50"/>
              <w:jc w:val="right"/>
            </w:pPr>
            <w:r w:rsidRPr="00BE78CA">
              <w:t>0.3</w:t>
            </w:r>
          </w:p>
        </w:tc>
      </w:tr>
      <w:tr w:rsidR="00333601" w:rsidRPr="00BE78CA" w14:paraId="5718C230" w14:textId="77777777" w:rsidTr="00CF21FE">
        <w:tc>
          <w:tcPr>
            <w:tcW w:w="1843" w:type="dxa"/>
          </w:tcPr>
          <w:p w14:paraId="4CAED199" w14:textId="77777777" w:rsidR="00333601" w:rsidRPr="00BE78CA" w:rsidRDefault="00333601" w:rsidP="00C26084">
            <w:pPr>
              <w:pStyle w:val="TableText"/>
              <w:spacing w:before="50" w:after="50"/>
              <w:rPr>
                <w:rFonts w:cs="Arial"/>
                <w:szCs w:val="16"/>
              </w:rPr>
            </w:pPr>
          </w:p>
        </w:tc>
        <w:tc>
          <w:tcPr>
            <w:tcW w:w="2268" w:type="dxa"/>
          </w:tcPr>
          <w:p w14:paraId="69ABB492" w14:textId="77777777" w:rsidR="00333601" w:rsidRPr="00BE78CA" w:rsidRDefault="00333601" w:rsidP="00C26084">
            <w:pPr>
              <w:pStyle w:val="TableText"/>
              <w:spacing w:before="50" w:after="50"/>
              <w:rPr>
                <w:rFonts w:cs="Arial"/>
                <w:i/>
                <w:szCs w:val="16"/>
              </w:rPr>
            </w:pPr>
            <w:r w:rsidRPr="00BE78CA">
              <w:rPr>
                <w:rFonts w:cs="Arial"/>
                <w:i/>
                <w:szCs w:val="16"/>
              </w:rPr>
              <w:t>Subtotal</w:t>
            </w:r>
          </w:p>
        </w:tc>
        <w:tc>
          <w:tcPr>
            <w:tcW w:w="1985" w:type="dxa"/>
          </w:tcPr>
          <w:p w14:paraId="7B3B24A5" w14:textId="77777777" w:rsidR="00333601" w:rsidRPr="00BE78CA" w:rsidRDefault="00333601" w:rsidP="00C26084">
            <w:pPr>
              <w:pStyle w:val="TableText"/>
              <w:spacing w:before="50" w:after="50"/>
              <w:jc w:val="right"/>
              <w:rPr>
                <w:rFonts w:cs="Arial"/>
                <w:i/>
                <w:szCs w:val="16"/>
              </w:rPr>
            </w:pPr>
            <w:r w:rsidRPr="00BE78CA">
              <w:t>9,938.487</w:t>
            </w:r>
          </w:p>
        </w:tc>
        <w:tc>
          <w:tcPr>
            <w:tcW w:w="2466" w:type="dxa"/>
          </w:tcPr>
          <w:p w14:paraId="26F9C574" w14:textId="77777777" w:rsidR="00333601" w:rsidRPr="00BE78CA" w:rsidRDefault="00333601" w:rsidP="00C26084">
            <w:pPr>
              <w:pStyle w:val="TableText"/>
              <w:spacing w:before="50" w:after="50"/>
              <w:jc w:val="right"/>
              <w:rPr>
                <w:rFonts w:cs="Arial"/>
                <w:i/>
                <w:szCs w:val="16"/>
              </w:rPr>
            </w:pPr>
            <w:r w:rsidRPr="00BE78CA">
              <w:t>36.9</w:t>
            </w:r>
          </w:p>
        </w:tc>
      </w:tr>
      <w:tr w:rsidR="00333601" w:rsidRPr="00BE78CA" w14:paraId="7834D4BC" w14:textId="77777777" w:rsidTr="00CF21FE">
        <w:tc>
          <w:tcPr>
            <w:tcW w:w="1843" w:type="dxa"/>
          </w:tcPr>
          <w:p w14:paraId="6BDE9D7A" w14:textId="77777777" w:rsidR="00333601" w:rsidRPr="00BE78CA" w:rsidRDefault="00333601" w:rsidP="00C26084">
            <w:pPr>
              <w:pStyle w:val="TableText"/>
              <w:keepNext/>
              <w:spacing w:before="50" w:after="50"/>
              <w:rPr>
                <w:rFonts w:cs="Arial"/>
                <w:szCs w:val="16"/>
              </w:rPr>
            </w:pPr>
            <w:r w:rsidRPr="00BE78CA">
              <w:rPr>
                <w:rFonts w:cs="Arial"/>
                <w:szCs w:val="16"/>
              </w:rPr>
              <w:t>Cropland</w:t>
            </w:r>
          </w:p>
        </w:tc>
        <w:tc>
          <w:tcPr>
            <w:tcW w:w="2268" w:type="dxa"/>
          </w:tcPr>
          <w:p w14:paraId="564C3CB1" w14:textId="77777777" w:rsidR="00333601" w:rsidRPr="00BE78CA" w:rsidRDefault="00333601" w:rsidP="00C26084">
            <w:pPr>
              <w:pStyle w:val="TableText"/>
              <w:keepNext/>
              <w:spacing w:before="50" w:after="50"/>
              <w:rPr>
                <w:rFonts w:cs="Arial"/>
                <w:szCs w:val="16"/>
              </w:rPr>
            </w:pPr>
            <w:r w:rsidRPr="00BE78CA">
              <w:rPr>
                <w:rFonts w:cs="Arial"/>
                <w:szCs w:val="16"/>
              </w:rPr>
              <w:t>Annual</w:t>
            </w:r>
          </w:p>
        </w:tc>
        <w:tc>
          <w:tcPr>
            <w:tcW w:w="1985" w:type="dxa"/>
          </w:tcPr>
          <w:p w14:paraId="45C13761" w14:textId="77777777" w:rsidR="00333601" w:rsidRPr="00BE78CA" w:rsidRDefault="00333601" w:rsidP="00C26084">
            <w:pPr>
              <w:pStyle w:val="TableText"/>
              <w:keepNext/>
              <w:spacing w:before="50" w:after="50"/>
              <w:jc w:val="right"/>
              <w:rPr>
                <w:rFonts w:cs="Arial"/>
                <w:szCs w:val="16"/>
              </w:rPr>
            </w:pPr>
            <w:r w:rsidRPr="00BE78CA">
              <w:t>371.283</w:t>
            </w:r>
          </w:p>
        </w:tc>
        <w:tc>
          <w:tcPr>
            <w:tcW w:w="2466" w:type="dxa"/>
          </w:tcPr>
          <w:p w14:paraId="20765F5A" w14:textId="77777777" w:rsidR="00333601" w:rsidRPr="00BE78CA" w:rsidRDefault="00333601" w:rsidP="00C26084">
            <w:pPr>
              <w:pStyle w:val="TableText"/>
              <w:keepNext/>
              <w:spacing w:before="50" w:after="50"/>
              <w:jc w:val="right"/>
              <w:rPr>
                <w:rFonts w:cs="Arial"/>
                <w:szCs w:val="16"/>
              </w:rPr>
            </w:pPr>
            <w:r w:rsidRPr="00BE78CA">
              <w:t>1.4</w:t>
            </w:r>
          </w:p>
        </w:tc>
      </w:tr>
      <w:tr w:rsidR="00333601" w:rsidRPr="00BE78CA" w14:paraId="072FDB3C" w14:textId="77777777" w:rsidTr="00CF21FE">
        <w:tc>
          <w:tcPr>
            <w:tcW w:w="1843" w:type="dxa"/>
          </w:tcPr>
          <w:p w14:paraId="1DD236B8" w14:textId="77777777" w:rsidR="00333601" w:rsidRPr="00BE78CA" w:rsidRDefault="00333601" w:rsidP="00C26084">
            <w:pPr>
              <w:pStyle w:val="TableText"/>
              <w:keepNext/>
              <w:spacing w:before="50" w:after="50"/>
              <w:rPr>
                <w:rFonts w:cs="Arial"/>
                <w:szCs w:val="16"/>
              </w:rPr>
            </w:pPr>
          </w:p>
        </w:tc>
        <w:tc>
          <w:tcPr>
            <w:tcW w:w="2268" w:type="dxa"/>
          </w:tcPr>
          <w:p w14:paraId="248A0597" w14:textId="77777777" w:rsidR="00333601" w:rsidRPr="00BE78CA" w:rsidRDefault="00333601" w:rsidP="00C26084">
            <w:pPr>
              <w:pStyle w:val="TableText"/>
              <w:keepNext/>
              <w:spacing w:before="50" w:after="50"/>
              <w:rPr>
                <w:rFonts w:cs="Arial"/>
                <w:szCs w:val="16"/>
              </w:rPr>
            </w:pPr>
            <w:r w:rsidRPr="00BE78CA">
              <w:rPr>
                <w:rFonts w:cs="Arial"/>
                <w:szCs w:val="16"/>
              </w:rPr>
              <w:t>Perennial</w:t>
            </w:r>
          </w:p>
        </w:tc>
        <w:tc>
          <w:tcPr>
            <w:tcW w:w="1985" w:type="dxa"/>
          </w:tcPr>
          <w:p w14:paraId="5E05360A" w14:textId="77777777" w:rsidR="00333601" w:rsidRPr="00BE78CA" w:rsidRDefault="00333601" w:rsidP="00C26084">
            <w:pPr>
              <w:pStyle w:val="TableText"/>
              <w:keepNext/>
              <w:spacing w:before="50" w:after="50"/>
              <w:jc w:val="right"/>
              <w:rPr>
                <w:rFonts w:cs="Arial"/>
                <w:szCs w:val="16"/>
              </w:rPr>
            </w:pPr>
            <w:r w:rsidRPr="00BE78CA">
              <w:t>104.953</w:t>
            </w:r>
          </w:p>
        </w:tc>
        <w:tc>
          <w:tcPr>
            <w:tcW w:w="2466" w:type="dxa"/>
          </w:tcPr>
          <w:p w14:paraId="08F702B7" w14:textId="77777777" w:rsidR="00333601" w:rsidRPr="00BE78CA" w:rsidRDefault="00333601" w:rsidP="00C26084">
            <w:pPr>
              <w:pStyle w:val="TableText"/>
              <w:keepNext/>
              <w:spacing w:before="50" w:after="50"/>
              <w:jc w:val="right"/>
              <w:rPr>
                <w:rFonts w:cs="Arial"/>
                <w:szCs w:val="16"/>
              </w:rPr>
            </w:pPr>
            <w:r w:rsidRPr="00BE78CA">
              <w:t>0.4</w:t>
            </w:r>
          </w:p>
        </w:tc>
      </w:tr>
      <w:tr w:rsidR="00333601" w:rsidRPr="00BE78CA" w14:paraId="51091A3B" w14:textId="77777777" w:rsidTr="00CF21FE">
        <w:tc>
          <w:tcPr>
            <w:tcW w:w="1843" w:type="dxa"/>
          </w:tcPr>
          <w:p w14:paraId="51FA3B7A" w14:textId="77777777" w:rsidR="00333601" w:rsidRPr="00BE78CA" w:rsidRDefault="00333601" w:rsidP="00C26084">
            <w:pPr>
              <w:pStyle w:val="TableText"/>
              <w:spacing w:before="50" w:after="50"/>
              <w:rPr>
                <w:rFonts w:cs="Arial"/>
                <w:szCs w:val="16"/>
              </w:rPr>
            </w:pPr>
          </w:p>
        </w:tc>
        <w:tc>
          <w:tcPr>
            <w:tcW w:w="2268" w:type="dxa"/>
          </w:tcPr>
          <w:p w14:paraId="07C89762" w14:textId="77777777" w:rsidR="00333601" w:rsidRPr="00BE78CA" w:rsidRDefault="00333601" w:rsidP="00C26084">
            <w:pPr>
              <w:pStyle w:val="TableText"/>
              <w:spacing w:before="50" w:after="50"/>
              <w:rPr>
                <w:rFonts w:cs="Arial"/>
                <w:i/>
                <w:szCs w:val="16"/>
              </w:rPr>
            </w:pPr>
            <w:r w:rsidRPr="00BE78CA">
              <w:rPr>
                <w:rFonts w:cs="Arial"/>
                <w:i/>
                <w:szCs w:val="16"/>
              </w:rPr>
              <w:t>Subtotal</w:t>
            </w:r>
          </w:p>
        </w:tc>
        <w:tc>
          <w:tcPr>
            <w:tcW w:w="1985" w:type="dxa"/>
          </w:tcPr>
          <w:p w14:paraId="356438D5" w14:textId="77777777" w:rsidR="00333601" w:rsidRPr="00BE78CA" w:rsidRDefault="00333601" w:rsidP="00C26084">
            <w:pPr>
              <w:pStyle w:val="TableText"/>
              <w:spacing w:before="50" w:after="50"/>
              <w:jc w:val="right"/>
              <w:rPr>
                <w:rFonts w:cs="Arial"/>
                <w:i/>
                <w:szCs w:val="16"/>
              </w:rPr>
            </w:pPr>
            <w:r w:rsidRPr="00BE78CA">
              <w:t>476.236</w:t>
            </w:r>
          </w:p>
        </w:tc>
        <w:tc>
          <w:tcPr>
            <w:tcW w:w="2466" w:type="dxa"/>
          </w:tcPr>
          <w:p w14:paraId="60E51FFD" w14:textId="77777777" w:rsidR="00333601" w:rsidRPr="00BE78CA" w:rsidRDefault="00333601" w:rsidP="00C26084">
            <w:pPr>
              <w:pStyle w:val="TableText"/>
              <w:spacing w:before="50" w:after="50"/>
              <w:jc w:val="right"/>
              <w:rPr>
                <w:rFonts w:cs="Arial"/>
                <w:i/>
                <w:szCs w:val="16"/>
              </w:rPr>
            </w:pPr>
            <w:r w:rsidRPr="00BE78CA">
              <w:t>1.8</w:t>
            </w:r>
          </w:p>
        </w:tc>
      </w:tr>
      <w:tr w:rsidR="00333601" w:rsidRPr="00BE78CA" w14:paraId="6208286D" w14:textId="77777777" w:rsidTr="00CF21FE">
        <w:tc>
          <w:tcPr>
            <w:tcW w:w="1843" w:type="dxa"/>
          </w:tcPr>
          <w:p w14:paraId="654023CC" w14:textId="77777777" w:rsidR="00333601" w:rsidRPr="00BE78CA" w:rsidRDefault="00333601" w:rsidP="00C26084">
            <w:pPr>
              <w:pStyle w:val="TableText"/>
              <w:keepNext/>
              <w:spacing w:before="50" w:after="50"/>
              <w:rPr>
                <w:rFonts w:cs="Arial"/>
                <w:szCs w:val="16"/>
              </w:rPr>
            </w:pPr>
            <w:r w:rsidRPr="00BE78CA">
              <w:rPr>
                <w:rFonts w:cs="Arial"/>
                <w:szCs w:val="16"/>
              </w:rPr>
              <w:t>Grassland</w:t>
            </w:r>
          </w:p>
        </w:tc>
        <w:tc>
          <w:tcPr>
            <w:tcW w:w="2268" w:type="dxa"/>
          </w:tcPr>
          <w:p w14:paraId="68AA2532" w14:textId="77777777" w:rsidR="00333601" w:rsidRPr="00BE78CA" w:rsidRDefault="00333601" w:rsidP="00C26084">
            <w:pPr>
              <w:pStyle w:val="TableText"/>
              <w:keepNext/>
              <w:spacing w:before="50" w:after="50"/>
              <w:rPr>
                <w:rFonts w:cs="Arial"/>
                <w:szCs w:val="16"/>
              </w:rPr>
            </w:pPr>
            <w:r w:rsidRPr="00BE78CA">
              <w:rPr>
                <w:rFonts w:cs="Arial"/>
                <w:szCs w:val="16"/>
              </w:rPr>
              <w:t>High producing</w:t>
            </w:r>
          </w:p>
        </w:tc>
        <w:tc>
          <w:tcPr>
            <w:tcW w:w="1985" w:type="dxa"/>
          </w:tcPr>
          <w:p w14:paraId="6261D211" w14:textId="77777777" w:rsidR="00333601" w:rsidRPr="00BE78CA" w:rsidRDefault="00333601" w:rsidP="00C26084">
            <w:pPr>
              <w:pStyle w:val="TableText"/>
              <w:keepNext/>
              <w:spacing w:before="50" w:after="50"/>
              <w:jc w:val="right"/>
              <w:rPr>
                <w:rFonts w:cs="Arial"/>
                <w:szCs w:val="16"/>
              </w:rPr>
            </w:pPr>
            <w:r w:rsidRPr="00BE78CA">
              <w:t>6,881.070</w:t>
            </w:r>
          </w:p>
        </w:tc>
        <w:tc>
          <w:tcPr>
            <w:tcW w:w="2466" w:type="dxa"/>
          </w:tcPr>
          <w:p w14:paraId="5DC4CD63" w14:textId="77777777" w:rsidR="00333601" w:rsidRPr="00BE78CA" w:rsidRDefault="00333601" w:rsidP="00C26084">
            <w:pPr>
              <w:pStyle w:val="TableText"/>
              <w:keepNext/>
              <w:spacing w:before="50" w:after="50"/>
              <w:jc w:val="right"/>
              <w:rPr>
                <w:rFonts w:cs="Arial"/>
                <w:szCs w:val="16"/>
              </w:rPr>
            </w:pPr>
            <w:r w:rsidRPr="00BE78CA">
              <w:t>25.6</w:t>
            </w:r>
          </w:p>
        </w:tc>
      </w:tr>
      <w:tr w:rsidR="00333601" w:rsidRPr="00BE78CA" w14:paraId="3CE5B52F" w14:textId="77777777" w:rsidTr="00CF21FE">
        <w:tc>
          <w:tcPr>
            <w:tcW w:w="1843" w:type="dxa"/>
          </w:tcPr>
          <w:p w14:paraId="6E03D927" w14:textId="77777777" w:rsidR="00333601" w:rsidRPr="00BE78CA" w:rsidRDefault="00333601" w:rsidP="00C26084">
            <w:pPr>
              <w:pStyle w:val="TableText"/>
              <w:spacing w:before="50" w:after="50"/>
              <w:rPr>
                <w:rFonts w:cs="Arial"/>
                <w:szCs w:val="16"/>
              </w:rPr>
            </w:pPr>
          </w:p>
        </w:tc>
        <w:tc>
          <w:tcPr>
            <w:tcW w:w="2268" w:type="dxa"/>
          </w:tcPr>
          <w:p w14:paraId="24AE9B2A" w14:textId="77777777" w:rsidR="00333601" w:rsidRPr="00BE78CA" w:rsidRDefault="00333601" w:rsidP="00C26084">
            <w:pPr>
              <w:pStyle w:val="TableText"/>
              <w:spacing w:before="50" w:after="50"/>
              <w:rPr>
                <w:rFonts w:cs="Arial"/>
                <w:szCs w:val="16"/>
              </w:rPr>
            </w:pPr>
            <w:r w:rsidRPr="00BE78CA">
              <w:rPr>
                <w:rFonts w:cs="Arial"/>
                <w:szCs w:val="16"/>
              </w:rPr>
              <w:t>Low producing</w:t>
            </w:r>
          </w:p>
        </w:tc>
        <w:tc>
          <w:tcPr>
            <w:tcW w:w="1985" w:type="dxa"/>
          </w:tcPr>
          <w:p w14:paraId="5983669C" w14:textId="77777777" w:rsidR="00333601" w:rsidRPr="00BE78CA" w:rsidRDefault="00333601" w:rsidP="00C26084">
            <w:pPr>
              <w:pStyle w:val="TableText"/>
              <w:spacing w:before="50" w:after="50"/>
              <w:jc w:val="right"/>
              <w:rPr>
                <w:rFonts w:cs="Arial"/>
                <w:szCs w:val="16"/>
              </w:rPr>
            </w:pPr>
            <w:r w:rsidRPr="00BE78CA">
              <w:t>6,364.328</w:t>
            </w:r>
          </w:p>
        </w:tc>
        <w:tc>
          <w:tcPr>
            <w:tcW w:w="2466" w:type="dxa"/>
          </w:tcPr>
          <w:p w14:paraId="21044C09" w14:textId="77777777" w:rsidR="00333601" w:rsidRPr="00BE78CA" w:rsidRDefault="00333601" w:rsidP="00C26084">
            <w:pPr>
              <w:pStyle w:val="TableText"/>
              <w:spacing w:before="50" w:after="50"/>
              <w:jc w:val="right"/>
              <w:rPr>
                <w:rFonts w:cs="Arial"/>
                <w:szCs w:val="16"/>
              </w:rPr>
            </w:pPr>
            <w:r w:rsidRPr="00BE78CA">
              <w:t>23.6</w:t>
            </w:r>
          </w:p>
        </w:tc>
      </w:tr>
      <w:tr w:rsidR="00333601" w:rsidRPr="00BE78CA" w14:paraId="0906D44D" w14:textId="77777777" w:rsidTr="00CF21FE">
        <w:tc>
          <w:tcPr>
            <w:tcW w:w="1843" w:type="dxa"/>
          </w:tcPr>
          <w:p w14:paraId="5364A397" w14:textId="77777777" w:rsidR="00333601" w:rsidRPr="00BE78CA" w:rsidRDefault="00333601" w:rsidP="00C26084">
            <w:pPr>
              <w:pStyle w:val="TableText"/>
              <w:spacing w:before="50" w:after="50"/>
              <w:rPr>
                <w:rFonts w:cs="Arial"/>
                <w:szCs w:val="16"/>
              </w:rPr>
            </w:pPr>
          </w:p>
        </w:tc>
        <w:tc>
          <w:tcPr>
            <w:tcW w:w="2268" w:type="dxa"/>
          </w:tcPr>
          <w:p w14:paraId="56E4B7B0" w14:textId="77777777" w:rsidR="00333601" w:rsidRPr="00BE78CA" w:rsidRDefault="00333601" w:rsidP="00C26084">
            <w:pPr>
              <w:pStyle w:val="TableText"/>
              <w:spacing w:before="50" w:after="50"/>
              <w:rPr>
                <w:rFonts w:cs="Arial"/>
                <w:szCs w:val="16"/>
              </w:rPr>
            </w:pPr>
            <w:r w:rsidRPr="00BE78CA">
              <w:rPr>
                <w:rFonts w:cs="Arial"/>
                <w:szCs w:val="16"/>
              </w:rPr>
              <w:t>With woody biomass</w:t>
            </w:r>
          </w:p>
        </w:tc>
        <w:tc>
          <w:tcPr>
            <w:tcW w:w="1985" w:type="dxa"/>
          </w:tcPr>
          <w:p w14:paraId="1F67C0FE" w14:textId="77777777" w:rsidR="00333601" w:rsidRPr="00BE78CA" w:rsidRDefault="00333601" w:rsidP="00C26084">
            <w:pPr>
              <w:pStyle w:val="TableText"/>
              <w:spacing w:before="50" w:after="50"/>
              <w:jc w:val="right"/>
              <w:rPr>
                <w:rFonts w:cs="Arial"/>
                <w:szCs w:val="16"/>
              </w:rPr>
            </w:pPr>
            <w:r w:rsidRPr="00BE78CA">
              <w:t>1,373.642</w:t>
            </w:r>
          </w:p>
        </w:tc>
        <w:tc>
          <w:tcPr>
            <w:tcW w:w="2466" w:type="dxa"/>
          </w:tcPr>
          <w:p w14:paraId="6A6392E2" w14:textId="77777777" w:rsidR="00333601" w:rsidRPr="00BE78CA" w:rsidRDefault="00333601" w:rsidP="00C26084">
            <w:pPr>
              <w:pStyle w:val="TableText"/>
              <w:spacing w:before="50" w:after="50"/>
              <w:jc w:val="right"/>
              <w:rPr>
                <w:rFonts w:cs="Arial"/>
                <w:szCs w:val="16"/>
              </w:rPr>
            </w:pPr>
            <w:r w:rsidRPr="00BE78CA">
              <w:t>5.1</w:t>
            </w:r>
          </w:p>
        </w:tc>
      </w:tr>
      <w:tr w:rsidR="00333601" w:rsidRPr="00BE78CA" w14:paraId="7BB68531" w14:textId="77777777" w:rsidTr="00CF21FE">
        <w:tc>
          <w:tcPr>
            <w:tcW w:w="1843" w:type="dxa"/>
          </w:tcPr>
          <w:p w14:paraId="660B4C89" w14:textId="77777777" w:rsidR="00333601" w:rsidRPr="00BE78CA" w:rsidRDefault="00333601" w:rsidP="00C26084">
            <w:pPr>
              <w:pStyle w:val="TableText"/>
              <w:spacing w:before="50" w:after="50"/>
              <w:rPr>
                <w:rFonts w:cs="Arial"/>
                <w:szCs w:val="16"/>
              </w:rPr>
            </w:pPr>
          </w:p>
        </w:tc>
        <w:tc>
          <w:tcPr>
            <w:tcW w:w="2268" w:type="dxa"/>
          </w:tcPr>
          <w:p w14:paraId="5A84174F" w14:textId="77777777" w:rsidR="00333601" w:rsidRPr="00BE78CA" w:rsidRDefault="00333601" w:rsidP="00C26084">
            <w:pPr>
              <w:pStyle w:val="TableText"/>
              <w:spacing w:before="50" w:after="50"/>
              <w:rPr>
                <w:rFonts w:cs="Arial"/>
                <w:i/>
                <w:szCs w:val="16"/>
              </w:rPr>
            </w:pPr>
            <w:r w:rsidRPr="00BE78CA">
              <w:rPr>
                <w:rFonts w:cs="Arial"/>
                <w:i/>
                <w:szCs w:val="16"/>
              </w:rPr>
              <w:t>Subtotal</w:t>
            </w:r>
          </w:p>
        </w:tc>
        <w:tc>
          <w:tcPr>
            <w:tcW w:w="1985" w:type="dxa"/>
          </w:tcPr>
          <w:p w14:paraId="187F0EFD" w14:textId="77777777" w:rsidR="00333601" w:rsidRPr="00BE78CA" w:rsidRDefault="00333601" w:rsidP="00C26084">
            <w:pPr>
              <w:pStyle w:val="TableText"/>
              <w:spacing w:before="50" w:after="50"/>
              <w:jc w:val="right"/>
              <w:rPr>
                <w:rFonts w:cs="Arial"/>
                <w:i/>
                <w:szCs w:val="16"/>
              </w:rPr>
            </w:pPr>
            <w:r w:rsidRPr="00BE78CA">
              <w:t>14,619.040</w:t>
            </w:r>
          </w:p>
        </w:tc>
        <w:tc>
          <w:tcPr>
            <w:tcW w:w="2466" w:type="dxa"/>
          </w:tcPr>
          <w:p w14:paraId="5D6EB8DB" w14:textId="77777777" w:rsidR="00333601" w:rsidRPr="00BE78CA" w:rsidRDefault="00333601" w:rsidP="00C26084">
            <w:pPr>
              <w:pStyle w:val="TableText"/>
              <w:spacing w:before="50" w:after="50"/>
              <w:jc w:val="right"/>
              <w:rPr>
                <w:rFonts w:cs="Arial"/>
                <w:i/>
                <w:szCs w:val="16"/>
              </w:rPr>
            </w:pPr>
            <w:r w:rsidRPr="00BE78CA">
              <w:t>54.3</w:t>
            </w:r>
          </w:p>
        </w:tc>
      </w:tr>
      <w:tr w:rsidR="00333601" w:rsidRPr="00BE78CA" w14:paraId="73556897" w14:textId="77777777" w:rsidTr="00CF21FE">
        <w:tc>
          <w:tcPr>
            <w:tcW w:w="1843" w:type="dxa"/>
          </w:tcPr>
          <w:p w14:paraId="2420AEA0" w14:textId="77777777" w:rsidR="00333601" w:rsidRPr="00BE78CA" w:rsidRDefault="00333601" w:rsidP="00C26084">
            <w:pPr>
              <w:pStyle w:val="TableText"/>
              <w:spacing w:before="50" w:after="50"/>
              <w:rPr>
                <w:rFonts w:cs="Arial"/>
                <w:szCs w:val="16"/>
              </w:rPr>
            </w:pPr>
            <w:r w:rsidRPr="00BE78CA">
              <w:rPr>
                <w:rFonts w:cs="Arial"/>
                <w:szCs w:val="16"/>
              </w:rPr>
              <w:t>Wetlands</w:t>
            </w:r>
          </w:p>
        </w:tc>
        <w:tc>
          <w:tcPr>
            <w:tcW w:w="2268" w:type="dxa"/>
          </w:tcPr>
          <w:p w14:paraId="14D7F37D" w14:textId="77777777" w:rsidR="00333601" w:rsidRPr="00BE78CA" w:rsidRDefault="00333601" w:rsidP="00C26084">
            <w:pPr>
              <w:pStyle w:val="TableText"/>
              <w:spacing w:before="50" w:after="50"/>
              <w:rPr>
                <w:rFonts w:cs="Arial"/>
                <w:szCs w:val="16"/>
              </w:rPr>
            </w:pPr>
            <w:r w:rsidRPr="00BE78CA">
              <w:rPr>
                <w:rFonts w:cs="Arial"/>
                <w:szCs w:val="16"/>
              </w:rPr>
              <w:t>Open water</w:t>
            </w:r>
          </w:p>
        </w:tc>
        <w:tc>
          <w:tcPr>
            <w:tcW w:w="1985" w:type="dxa"/>
          </w:tcPr>
          <w:p w14:paraId="3BA4C133" w14:textId="77777777" w:rsidR="00333601" w:rsidRPr="00BE78CA" w:rsidRDefault="00333601" w:rsidP="00C26084">
            <w:pPr>
              <w:pStyle w:val="TableText"/>
              <w:spacing w:before="50" w:after="50"/>
              <w:jc w:val="right"/>
              <w:rPr>
                <w:rFonts w:cs="Arial"/>
                <w:szCs w:val="16"/>
              </w:rPr>
            </w:pPr>
            <w:r w:rsidRPr="00BE78CA">
              <w:t>534.798</w:t>
            </w:r>
          </w:p>
        </w:tc>
        <w:tc>
          <w:tcPr>
            <w:tcW w:w="2466" w:type="dxa"/>
          </w:tcPr>
          <w:p w14:paraId="3A94A39C" w14:textId="77777777" w:rsidR="00333601" w:rsidRPr="00BE78CA" w:rsidRDefault="00333601" w:rsidP="00C26084">
            <w:pPr>
              <w:pStyle w:val="TableText"/>
              <w:spacing w:before="50" w:after="50"/>
              <w:jc w:val="right"/>
              <w:rPr>
                <w:rFonts w:cs="Arial"/>
                <w:szCs w:val="16"/>
              </w:rPr>
            </w:pPr>
            <w:r w:rsidRPr="00BE78CA">
              <w:t>2.0</w:t>
            </w:r>
          </w:p>
        </w:tc>
      </w:tr>
      <w:tr w:rsidR="00333601" w:rsidRPr="00BE78CA" w14:paraId="28A5355D" w14:textId="77777777" w:rsidTr="00CF21FE">
        <w:tc>
          <w:tcPr>
            <w:tcW w:w="1843" w:type="dxa"/>
          </w:tcPr>
          <w:p w14:paraId="2E9A6FA7" w14:textId="77777777" w:rsidR="00333601" w:rsidRPr="00BE78CA" w:rsidRDefault="00333601" w:rsidP="00C26084">
            <w:pPr>
              <w:pStyle w:val="TableText"/>
              <w:spacing w:before="50" w:after="50"/>
              <w:rPr>
                <w:rFonts w:cs="Arial"/>
                <w:szCs w:val="16"/>
              </w:rPr>
            </w:pPr>
          </w:p>
        </w:tc>
        <w:tc>
          <w:tcPr>
            <w:tcW w:w="2268" w:type="dxa"/>
          </w:tcPr>
          <w:p w14:paraId="75BA2AD0" w14:textId="77777777" w:rsidR="00333601" w:rsidRPr="00BE78CA" w:rsidRDefault="00333601" w:rsidP="00C26084">
            <w:pPr>
              <w:pStyle w:val="TableText"/>
              <w:spacing w:before="50" w:after="50"/>
              <w:rPr>
                <w:rFonts w:cs="Arial"/>
                <w:szCs w:val="16"/>
              </w:rPr>
            </w:pPr>
            <w:r w:rsidRPr="00BE78CA">
              <w:rPr>
                <w:rFonts w:cs="Arial"/>
                <w:szCs w:val="16"/>
              </w:rPr>
              <w:t>Vegetated</w:t>
            </w:r>
          </w:p>
        </w:tc>
        <w:tc>
          <w:tcPr>
            <w:tcW w:w="1985" w:type="dxa"/>
          </w:tcPr>
          <w:p w14:paraId="020962E8" w14:textId="77777777" w:rsidR="00333601" w:rsidRPr="00BE78CA" w:rsidRDefault="00333601" w:rsidP="00C26084">
            <w:pPr>
              <w:pStyle w:val="TableText"/>
              <w:spacing w:before="50" w:after="50"/>
              <w:jc w:val="right"/>
              <w:rPr>
                <w:rFonts w:cs="Arial"/>
                <w:color w:val="000000"/>
                <w:szCs w:val="16"/>
              </w:rPr>
            </w:pPr>
            <w:r w:rsidRPr="00BE78CA">
              <w:t>223.827</w:t>
            </w:r>
          </w:p>
        </w:tc>
        <w:tc>
          <w:tcPr>
            <w:tcW w:w="2466" w:type="dxa"/>
          </w:tcPr>
          <w:p w14:paraId="3D23FCC7" w14:textId="77777777" w:rsidR="00333601" w:rsidRPr="00BE78CA" w:rsidRDefault="00333601" w:rsidP="00C26084">
            <w:pPr>
              <w:pStyle w:val="TableText"/>
              <w:spacing w:before="50" w:after="50"/>
              <w:jc w:val="right"/>
              <w:rPr>
                <w:rFonts w:cs="Arial"/>
                <w:szCs w:val="16"/>
              </w:rPr>
            </w:pPr>
            <w:r w:rsidRPr="00BE78CA">
              <w:t>0.8</w:t>
            </w:r>
          </w:p>
        </w:tc>
      </w:tr>
      <w:tr w:rsidR="00333601" w:rsidRPr="00BE78CA" w14:paraId="18C07F3A" w14:textId="77777777" w:rsidTr="00CF21FE">
        <w:tc>
          <w:tcPr>
            <w:tcW w:w="1843" w:type="dxa"/>
          </w:tcPr>
          <w:p w14:paraId="64FCFDCF" w14:textId="77777777" w:rsidR="00333601" w:rsidRPr="00BE78CA" w:rsidRDefault="00333601" w:rsidP="00C26084">
            <w:pPr>
              <w:pStyle w:val="TableText"/>
              <w:spacing w:before="50" w:after="50"/>
              <w:rPr>
                <w:rFonts w:cs="Arial"/>
                <w:szCs w:val="16"/>
              </w:rPr>
            </w:pPr>
          </w:p>
        </w:tc>
        <w:tc>
          <w:tcPr>
            <w:tcW w:w="2268" w:type="dxa"/>
          </w:tcPr>
          <w:p w14:paraId="58A1E3E9" w14:textId="77777777" w:rsidR="00333601" w:rsidRPr="00BE78CA" w:rsidRDefault="00333601" w:rsidP="00C26084">
            <w:pPr>
              <w:pStyle w:val="TableText"/>
              <w:spacing w:before="50" w:after="50"/>
              <w:rPr>
                <w:rFonts w:cs="Arial"/>
                <w:i/>
                <w:szCs w:val="16"/>
              </w:rPr>
            </w:pPr>
            <w:r w:rsidRPr="00BE78CA">
              <w:rPr>
                <w:rFonts w:cs="Arial"/>
                <w:i/>
                <w:szCs w:val="16"/>
              </w:rPr>
              <w:t>Subtotal</w:t>
            </w:r>
          </w:p>
        </w:tc>
        <w:tc>
          <w:tcPr>
            <w:tcW w:w="1985" w:type="dxa"/>
          </w:tcPr>
          <w:p w14:paraId="55B14932" w14:textId="77777777" w:rsidR="00333601" w:rsidRPr="00BE78CA" w:rsidRDefault="00333601" w:rsidP="00C26084">
            <w:pPr>
              <w:pStyle w:val="TableText"/>
              <w:spacing w:before="50" w:after="50"/>
              <w:jc w:val="right"/>
              <w:rPr>
                <w:rFonts w:cs="Arial"/>
                <w:i/>
                <w:color w:val="000000"/>
                <w:szCs w:val="16"/>
              </w:rPr>
            </w:pPr>
            <w:r w:rsidRPr="00BE78CA">
              <w:t>758.625</w:t>
            </w:r>
          </w:p>
        </w:tc>
        <w:tc>
          <w:tcPr>
            <w:tcW w:w="2466" w:type="dxa"/>
          </w:tcPr>
          <w:p w14:paraId="0D51DE0E" w14:textId="77777777" w:rsidR="00333601" w:rsidRPr="00BE78CA" w:rsidRDefault="00333601" w:rsidP="00C26084">
            <w:pPr>
              <w:pStyle w:val="TableText"/>
              <w:spacing w:before="50" w:after="50"/>
              <w:jc w:val="right"/>
              <w:rPr>
                <w:rFonts w:cs="Arial"/>
                <w:i/>
                <w:szCs w:val="16"/>
              </w:rPr>
            </w:pPr>
            <w:r w:rsidRPr="00BE78CA">
              <w:t>2.8</w:t>
            </w:r>
          </w:p>
        </w:tc>
      </w:tr>
      <w:tr w:rsidR="00333601" w:rsidRPr="00BE78CA" w14:paraId="550CCF60" w14:textId="77777777" w:rsidTr="00CF21FE">
        <w:tc>
          <w:tcPr>
            <w:tcW w:w="1843" w:type="dxa"/>
          </w:tcPr>
          <w:p w14:paraId="2BDD9A21" w14:textId="77777777" w:rsidR="00333601" w:rsidRPr="00BE78CA" w:rsidRDefault="00333601" w:rsidP="00C26084">
            <w:pPr>
              <w:pStyle w:val="TableText"/>
              <w:spacing w:before="50" w:after="50"/>
              <w:rPr>
                <w:rFonts w:cs="Arial"/>
                <w:szCs w:val="16"/>
              </w:rPr>
            </w:pPr>
            <w:r w:rsidRPr="00BE78CA">
              <w:rPr>
                <w:rFonts w:cs="Arial"/>
                <w:szCs w:val="16"/>
              </w:rPr>
              <w:t>Settlements</w:t>
            </w:r>
          </w:p>
        </w:tc>
        <w:tc>
          <w:tcPr>
            <w:tcW w:w="2268" w:type="dxa"/>
          </w:tcPr>
          <w:p w14:paraId="6F6EB775" w14:textId="77777777" w:rsidR="00333601" w:rsidRPr="00BE78CA" w:rsidRDefault="00333601" w:rsidP="00C26084">
            <w:pPr>
              <w:pStyle w:val="TableText"/>
              <w:spacing w:before="50" w:after="50"/>
              <w:rPr>
                <w:rFonts w:cs="Arial"/>
                <w:szCs w:val="16"/>
              </w:rPr>
            </w:pPr>
          </w:p>
        </w:tc>
        <w:tc>
          <w:tcPr>
            <w:tcW w:w="1985" w:type="dxa"/>
          </w:tcPr>
          <w:p w14:paraId="0580EAAF" w14:textId="77777777" w:rsidR="00333601" w:rsidRPr="00BE78CA" w:rsidRDefault="00333601" w:rsidP="00C26084">
            <w:pPr>
              <w:pStyle w:val="TableText"/>
              <w:spacing w:before="50" w:after="50"/>
              <w:jc w:val="right"/>
              <w:rPr>
                <w:rFonts w:cs="Arial"/>
                <w:szCs w:val="16"/>
              </w:rPr>
            </w:pPr>
            <w:r w:rsidRPr="00BE78CA">
              <w:t>236.708</w:t>
            </w:r>
          </w:p>
        </w:tc>
        <w:tc>
          <w:tcPr>
            <w:tcW w:w="2466" w:type="dxa"/>
          </w:tcPr>
          <w:p w14:paraId="3DB7F3B2" w14:textId="77777777" w:rsidR="00333601" w:rsidRPr="00BE78CA" w:rsidRDefault="00333601" w:rsidP="00C26084">
            <w:pPr>
              <w:pStyle w:val="TableText"/>
              <w:spacing w:before="50" w:after="50"/>
              <w:jc w:val="right"/>
              <w:rPr>
                <w:rFonts w:cs="Arial"/>
                <w:szCs w:val="16"/>
              </w:rPr>
            </w:pPr>
            <w:r w:rsidRPr="00BE78CA">
              <w:t>0.9</w:t>
            </w:r>
          </w:p>
        </w:tc>
      </w:tr>
      <w:tr w:rsidR="00333601" w:rsidRPr="00BE78CA" w14:paraId="01CB7A18" w14:textId="77777777" w:rsidTr="00CF21FE">
        <w:tc>
          <w:tcPr>
            <w:tcW w:w="1843" w:type="dxa"/>
          </w:tcPr>
          <w:p w14:paraId="677C7C4D" w14:textId="77777777" w:rsidR="00333601" w:rsidRPr="00BE78CA" w:rsidRDefault="00333601" w:rsidP="00C26084">
            <w:pPr>
              <w:pStyle w:val="TableText"/>
              <w:spacing w:before="50" w:after="50"/>
              <w:rPr>
                <w:rFonts w:cs="Arial"/>
                <w:szCs w:val="16"/>
              </w:rPr>
            </w:pPr>
            <w:r w:rsidRPr="00BE78CA">
              <w:rPr>
                <w:rFonts w:cs="Arial"/>
                <w:szCs w:val="16"/>
              </w:rPr>
              <w:t>Other land</w:t>
            </w:r>
          </w:p>
        </w:tc>
        <w:tc>
          <w:tcPr>
            <w:tcW w:w="2268" w:type="dxa"/>
          </w:tcPr>
          <w:p w14:paraId="2DB97B6D" w14:textId="77777777" w:rsidR="00333601" w:rsidRPr="00BE78CA" w:rsidRDefault="00333601" w:rsidP="00C26084">
            <w:pPr>
              <w:pStyle w:val="TableText"/>
              <w:spacing w:before="50" w:after="50"/>
              <w:rPr>
                <w:rFonts w:cs="Arial"/>
                <w:szCs w:val="16"/>
              </w:rPr>
            </w:pPr>
          </w:p>
        </w:tc>
        <w:tc>
          <w:tcPr>
            <w:tcW w:w="1985" w:type="dxa"/>
          </w:tcPr>
          <w:p w14:paraId="3FC0DC30" w14:textId="77777777" w:rsidR="00333601" w:rsidRPr="00BE78CA" w:rsidRDefault="00333601" w:rsidP="00C26084">
            <w:pPr>
              <w:pStyle w:val="TableText"/>
              <w:spacing w:before="50" w:after="50"/>
              <w:jc w:val="right"/>
              <w:rPr>
                <w:rFonts w:cs="Arial"/>
                <w:szCs w:val="16"/>
              </w:rPr>
            </w:pPr>
            <w:r w:rsidRPr="00BE78CA">
              <w:t>896.071</w:t>
            </w:r>
          </w:p>
        </w:tc>
        <w:tc>
          <w:tcPr>
            <w:tcW w:w="2466" w:type="dxa"/>
          </w:tcPr>
          <w:p w14:paraId="64CC043D" w14:textId="77777777" w:rsidR="00333601" w:rsidRPr="00BE78CA" w:rsidRDefault="00333601" w:rsidP="00C26084">
            <w:pPr>
              <w:pStyle w:val="TableText"/>
              <w:spacing w:before="50" w:after="50"/>
              <w:jc w:val="right"/>
              <w:rPr>
                <w:rFonts w:cs="Arial"/>
                <w:szCs w:val="16"/>
              </w:rPr>
            </w:pPr>
            <w:r w:rsidRPr="00BE78CA">
              <w:t>3.3</w:t>
            </w:r>
          </w:p>
        </w:tc>
      </w:tr>
      <w:tr w:rsidR="00333601" w:rsidRPr="00BE78CA" w14:paraId="3401B556" w14:textId="77777777" w:rsidTr="00CF21FE">
        <w:tc>
          <w:tcPr>
            <w:tcW w:w="1843" w:type="dxa"/>
          </w:tcPr>
          <w:p w14:paraId="7617ADB4" w14:textId="77777777" w:rsidR="00333601" w:rsidRPr="00BE78CA" w:rsidRDefault="00333601" w:rsidP="00C26084">
            <w:pPr>
              <w:pStyle w:val="Tableboldblue"/>
              <w:jc w:val="right"/>
            </w:pPr>
            <w:r w:rsidRPr="00BE78CA">
              <w:t>Total</w:t>
            </w:r>
          </w:p>
        </w:tc>
        <w:tc>
          <w:tcPr>
            <w:tcW w:w="2268" w:type="dxa"/>
          </w:tcPr>
          <w:p w14:paraId="056FBB12" w14:textId="77777777" w:rsidR="00333601" w:rsidRPr="00BE78CA" w:rsidRDefault="00333601" w:rsidP="00C26084">
            <w:pPr>
              <w:pStyle w:val="Tableboldblue"/>
              <w:jc w:val="right"/>
            </w:pPr>
          </w:p>
        </w:tc>
        <w:tc>
          <w:tcPr>
            <w:tcW w:w="1985" w:type="dxa"/>
          </w:tcPr>
          <w:p w14:paraId="2A686281" w14:textId="77777777" w:rsidR="00333601" w:rsidRPr="00BE78CA" w:rsidRDefault="00333601" w:rsidP="00C26084">
            <w:pPr>
              <w:pStyle w:val="Tableboldblue"/>
              <w:jc w:val="right"/>
              <w:rPr>
                <w:rFonts w:cs="Arial"/>
              </w:rPr>
            </w:pPr>
            <w:r w:rsidRPr="00BE78CA">
              <w:t>26,925.168</w:t>
            </w:r>
          </w:p>
        </w:tc>
        <w:tc>
          <w:tcPr>
            <w:tcW w:w="2466" w:type="dxa"/>
          </w:tcPr>
          <w:p w14:paraId="0197B4DA" w14:textId="77777777" w:rsidR="00333601" w:rsidRPr="00BE78CA" w:rsidRDefault="00333601" w:rsidP="00C26084">
            <w:pPr>
              <w:pStyle w:val="Tableboldblue"/>
              <w:jc w:val="right"/>
              <w:rPr>
                <w:rFonts w:cs="Arial"/>
              </w:rPr>
            </w:pPr>
            <w:r w:rsidRPr="00BE78CA">
              <w:t>100.0</w:t>
            </w:r>
          </w:p>
        </w:tc>
      </w:tr>
    </w:tbl>
    <w:p w14:paraId="4096692D" w14:textId="77777777" w:rsidR="00333601" w:rsidRPr="00BE78CA" w:rsidRDefault="00333601" w:rsidP="00333601">
      <w:pPr>
        <w:pStyle w:val="Noteundertable"/>
      </w:pPr>
      <w:r w:rsidRPr="00BE78CA">
        <w:rPr>
          <w:b/>
        </w:rPr>
        <w:t>Note:</w:t>
      </w:r>
      <w:r w:rsidRPr="00BE78CA">
        <w:tab/>
        <w:t>Areas as at 31 December 2019. Columns may not total due to rounding. Percentages presented are calculated from unrounded values.</w:t>
      </w:r>
    </w:p>
    <w:p w14:paraId="654DCCE2" w14:textId="77777777" w:rsidR="00333601" w:rsidRPr="00BE78CA" w:rsidRDefault="00333601" w:rsidP="00333601">
      <w:pPr>
        <w:pStyle w:val="BodyText"/>
      </w:pPr>
      <w:r w:rsidRPr="00BE78CA">
        <w:t>Forestry and agriculture industries form the core of New Zealand’s economy and are the main determinants of New Zealand’s LULUCF emissions profile. Intensive forest management, combined with a temperate climate, fertile soils and high rainfall, means New Zealand has one of the highest rates of exotic forest growth among Annex I countries.</w:t>
      </w:r>
    </w:p>
    <w:p w14:paraId="74B9E10D" w14:textId="77777777" w:rsidR="00333601" w:rsidRPr="00BE78CA" w:rsidRDefault="00333601" w:rsidP="00333601">
      <w:pPr>
        <w:pStyle w:val="BodyText"/>
      </w:pPr>
      <w:r w:rsidRPr="00BE78CA">
        <w:t>New Zealand’s exotic forest plantation estate is intensively managed for production forestry, with rapid-growing genotypes selected and enhanced for optimum growth. In 2019, plantation forests covered approximately 2.10 million hectares, around 7.8 per cent of New Zealand’s total land area. This also includes areas not managed for timber supply, for instance, areas planted for erosion control.</w:t>
      </w:r>
    </w:p>
    <w:p w14:paraId="19FB9F98" w14:textId="77777777" w:rsidR="00333601" w:rsidRPr="00BE78CA" w:rsidRDefault="00333601" w:rsidP="00333601">
      <w:pPr>
        <w:pStyle w:val="BodyText"/>
      </w:pPr>
      <w:r w:rsidRPr="00BE78CA">
        <w:t>The terms ‘post-1989’ and ‘pre-1990’ are used throughout this inventory to distinguish between forests that existed at 31 December 1989 and those that did not. The terms ‘natural’ and ‘planted’ forest are used to distinguish between the different species compositions of the forests.</w:t>
      </w:r>
    </w:p>
    <w:p w14:paraId="65264509" w14:textId="77777777" w:rsidR="00333601" w:rsidRPr="00BE78CA" w:rsidRDefault="00333601" w:rsidP="00333601">
      <w:pPr>
        <w:pStyle w:val="Heading3"/>
      </w:pPr>
      <w:r w:rsidRPr="00BE78CA">
        <w:t>6.1.2</w:t>
      </w:r>
      <w:r w:rsidRPr="00BE78CA">
        <w:tab/>
        <w:t>Methodological issues for the LULUCF sector</w:t>
      </w:r>
    </w:p>
    <w:p w14:paraId="08335AAA" w14:textId="77777777" w:rsidR="00333601" w:rsidRPr="00BE78CA" w:rsidRDefault="00333601" w:rsidP="00333601">
      <w:pPr>
        <w:pStyle w:val="BodyText"/>
        <w:spacing w:before="100" w:after="100"/>
      </w:pPr>
      <w:r w:rsidRPr="00BE78CA">
        <w:t xml:space="preserve">New Zealand uses a combination of Tier 1, Tier 2 and Tier 3 methods for estimating net emissions for the LULUCF sector. A Tier 1 approach has been used to estimate carbon stock change in the four biomass pools (above-ground and below-ground biomass, dead wood and litter) for all land uses except </w:t>
      </w:r>
      <w:r w:rsidRPr="00BE78CA">
        <w:rPr>
          <w:i/>
        </w:rPr>
        <w:t>Forest land</w:t>
      </w:r>
      <w:r w:rsidRPr="00BE78CA">
        <w:t>, perennial cropland and grassland with woody biomass, which use Tier 2 or Tier 3 approaches.</w:t>
      </w:r>
    </w:p>
    <w:p w14:paraId="3529F0EB" w14:textId="77777777" w:rsidR="00333601" w:rsidRPr="00BE78CA" w:rsidRDefault="00333601" w:rsidP="00333601">
      <w:pPr>
        <w:pStyle w:val="BodyText"/>
        <w:spacing w:before="100" w:after="100"/>
        <w:rPr>
          <w:spacing w:val="-2"/>
        </w:rPr>
      </w:pPr>
      <w:r w:rsidRPr="00BE78CA">
        <w:rPr>
          <w:spacing w:val="-2"/>
        </w:rPr>
        <w:t xml:space="preserve">For all land uses, Tier 1 approaches are used to estimate carbon stock changes in organic soils, and a Tier 2 modelling approach is applied to estimate soil organic carbon changes from mineral soils. </w:t>
      </w:r>
    </w:p>
    <w:p w14:paraId="250C33F3" w14:textId="77777777" w:rsidR="00333601" w:rsidRPr="00BE78CA" w:rsidRDefault="00333601" w:rsidP="00333601">
      <w:pPr>
        <w:pStyle w:val="BodyText"/>
        <w:spacing w:before="100" w:after="100"/>
      </w:pPr>
      <w:r w:rsidRPr="00BE78CA">
        <w:t xml:space="preserve">Different methods are used to obtain emission factors when estimating emissions and removals from post-1989 natural forest and post-1989 planted forest. This ensures the different growth characteristics are reflected in the estimates and are reported separately when reporting emissions in the common reporting format (CRF) tables. </w:t>
      </w:r>
    </w:p>
    <w:p w14:paraId="6031BD2E" w14:textId="77777777" w:rsidR="00333601" w:rsidRPr="00BE78CA" w:rsidRDefault="00333601" w:rsidP="00333601">
      <w:pPr>
        <w:pStyle w:val="BodyText"/>
        <w:spacing w:before="100" w:after="100"/>
      </w:pPr>
      <w:r w:rsidRPr="00BE78CA">
        <w:rPr>
          <w:i/>
          <w:iCs/>
        </w:rPr>
        <w:t>Grassland</w:t>
      </w:r>
      <w:r w:rsidRPr="00BE78CA">
        <w:t xml:space="preserve"> covers 54.3 per cent of New Zealand’s land area. The species compositions reported in the </w:t>
      </w:r>
      <w:r w:rsidRPr="00BE78CA">
        <w:rPr>
          <w:i/>
          <w:iCs/>
        </w:rPr>
        <w:t>Grassland</w:t>
      </w:r>
      <w:r w:rsidRPr="00BE78CA">
        <w:t xml:space="preserve"> category are diverse, ranging from different grass types to woody trees that do not meet New Zealand’s forest definition. To allow for this, the </w:t>
      </w:r>
      <w:r w:rsidRPr="00BE78CA">
        <w:rPr>
          <w:i/>
          <w:iCs/>
        </w:rPr>
        <w:t>Grassland</w:t>
      </w:r>
      <w:r w:rsidRPr="00BE78CA">
        <w:t xml:space="preserve"> category is divided into four types for modelling the emissions from land-use change. </w:t>
      </w:r>
    </w:p>
    <w:p w14:paraId="6F33679F" w14:textId="77777777" w:rsidR="00333601" w:rsidRPr="00BE78CA" w:rsidRDefault="00333601" w:rsidP="00333601">
      <w:pPr>
        <w:pStyle w:val="Heading4"/>
      </w:pPr>
      <w:bookmarkStart w:id="1190" w:name="_Toc280630206"/>
      <w:r w:rsidRPr="00BE78CA">
        <w:lastRenderedPageBreak/>
        <w:t>Emission factors</w:t>
      </w:r>
      <w:bookmarkEnd w:id="1190"/>
    </w:p>
    <w:p w14:paraId="221B3DC4" w14:textId="77777777" w:rsidR="00333601" w:rsidRPr="00BE78CA" w:rsidRDefault="00333601" w:rsidP="00333601">
      <w:pPr>
        <w:pStyle w:val="BodyText"/>
      </w:pPr>
      <w:r w:rsidRPr="00BE78CA">
        <w:t>The emission factors required to estimate carbon stock changes are provided in tables 6.1.3 and 6.1.4. Table 6.1.3 contains biomass carbon stocks in each land use prior to conversion, and table 6.1.4 contains the annual growth in biomass carbon stock after land-use change.</w:t>
      </w:r>
    </w:p>
    <w:p w14:paraId="0A1D5D8D" w14:textId="77777777" w:rsidR="00333601" w:rsidRPr="00BE78CA" w:rsidRDefault="00333601" w:rsidP="00333601">
      <w:pPr>
        <w:pStyle w:val="Table"/>
      </w:pPr>
      <w:bookmarkStart w:id="1191" w:name="_Toc280630448"/>
      <w:bookmarkStart w:id="1192" w:name="_Toc310423390"/>
      <w:bookmarkStart w:id="1193" w:name="_Toc318362683"/>
      <w:bookmarkStart w:id="1194" w:name="_Toc342470745"/>
      <w:bookmarkStart w:id="1195" w:name="_Toc352504985"/>
      <w:bookmarkStart w:id="1196" w:name="_Toc378853274"/>
      <w:bookmarkStart w:id="1197" w:name="_Toc391024072"/>
      <w:bookmarkStart w:id="1198" w:name="_Toc410028815"/>
      <w:bookmarkStart w:id="1199" w:name="_Toc414531443"/>
      <w:bookmarkStart w:id="1200" w:name="_Toc443645355"/>
      <w:bookmarkStart w:id="1201" w:name="_Toc474914574"/>
      <w:bookmarkStart w:id="1202" w:name="_Toc481751538"/>
      <w:bookmarkStart w:id="1203" w:name="_Toc522010595"/>
      <w:bookmarkStart w:id="1204" w:name="_Toc5269500"/>
      <w:bookmarkStart w:id="1205" w:name="_Toc33529376"/>
      <w:bookmarkStart w:id="1206" w:name="_Toc36224582"/>
      <w:bookmarkStart w:id="1207" w:name="_Toc65243577"/>
      <w:bookmarkStart w:id="1208" w:name="_Toc68786467"/>
      <w:r w:rsidRPr="00BE78CA">
        <w:t>Table 6.1.3</w:t>
      </w:r>
      <w:r w:rsidRPr="00BE78CA">
        <w:tab/>
        <w:t>New Zealand’s biomass carbon stock emission factors in land use before conversion</w:t>
      </w:r>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p>
    <w:tbl>
      <w:tblPr>
        <w:tblW w:w="8505" w:type="dxa"/>
        <w:tblLayout w:type="fixed"/>
        <w:tblLook w:val="04A0" w:firstRow="1" w:lastRow="0" w:firstColumn="1" w:lastColumn="0" w:noHBand="0" w:noVBand="1"/>
      </w:tblPr>
      <w:tblGrid>
        <w:gridCol w:w="1120"/>
        <w:gridCol w:w="1732"/>
        <w:gridCol w:w="1856"/>
        <w:gridCol w:w="1954"/>
        <w:gridCol w:w="1843"/>
      </w:tblGrid>
      <w:tr w:rsidR="00333601" w:rsidRPr="00BE78CA" w14:paraId="63348233" w14:textId="77777777" w:rsidTr="00943494">
        <w:trPr>
          <w:tblHeader/>
        </w:trPr>
        <w:tc>
          <w:tcPr>
            <w:tcW w:w="1134" w:type="dxa"/>
            <w:tcBorders>
              <w:top w:val="single" w:sz="4" w:space="0" w:color="365F91"/>
              <w:bottom w:val="single" w:sz="4" w:space="0" w:color="365F91"/>
            </w:tcBorders>
            <w:shd w:val="clear" w:color="auto" w:fill="365F91"/>
            <w:vAlign w:val="bottom"/>
          </w:tcPr>
          <w:p w14:paraId="239A996E" w14:textId="77777777" w:rsidR="00333601" w:rsidRPr="00BE78CA" w:rsidRDefault="00333601" w:rsidP="00C26084">
            <w:pPr>
              <w:pStyle w:val="TableTextBold"/>
              <w:keepNext/>
              <w:rPr>
                <w:rFonts w:cs="Calibri"/>
                <w:noProof w:val="0"/>
                <w:color w:val="FFFFFF"/>
                <w:szCs w:val="16"/>
              </w:rPr>
            </w:pPr>
            <w:r w:rsidRPr="00BE78CA">
              <w:rPr>
                <w:rFonts w:cs="Calibri"/>
                <w:noProof w:val="0"/>
                <w:color w:val="FFFFFF"/>
                <w:szCs w:val="16"/>
              </w:rPr>
              <w:t>Land use category</w:t>
            </w:r>
          </w:p>
        </w:tc>
        <w:tc>
          <w:tcPr>
            <w:tcW w:w="1758" w:type="dxa"/>
            <w:tcBorders>
              <w:top w:val="single" w:sz="4" w:space="0" w:color="365F91"/>
              <w:bottom w:val="single" w:sz="4" w:space="0" w:color="365F91"/>
            </w:tcBorders>
            <w:shd w:val="clear" w:color="auto" w:fill="365F91"/>
            <w:vAlign w:val="bottom"/>
          </w:tcPr>
          <w:p w14:paraId="7CFCD511" w14:textId="77777777" w:rsidR="00333601" w:rsidRPr="00BE78CA" w:rsidRDefault="00333601" w:rsidP="00C26084">
            <w:pPr>
              <w:pStyle w:val="TableTextBold"/>
              <w:keepNext/>
              <w:rPr>
                <w:rFonts w:cs="Calibri"/>
                <w:noProof w:val="0"/>
                <w:color w:val="FFFFFF"/>
                <w:szCs w:val="16"/>
              </w:rPr>
            </w:pPr>
            <w:r w:rsidRPr="00BE78CA">
              <w:rPr>
                <w:rFonts w:cs="Calibri"/>
                <w:noProof w:val="0"/>
                <w:color w:val="FFFFFF"/>
                <w:szCs w:val="16"/>
              </w:rPr>
              <w:t>Land use type</w:t>
            </w:r>
          </w:p>
        </w:tc>
        <w:tc>
          <w:tcPr>
            <w:tcW w:w="1884" w:type="dxa"/>
            <w:tcBorders>
              <w:top w:val="single" w:sz="4" w:space="0" w:color="365F91"/>
              <w:bottom w:val="single" w:sz="4" w:space="0" w:color="365F91"/>
            </w:tcBorders>
            <w:shd w:val="clear" w:color="auto" w:fill="365F91"/>
            <w:vAlign w:val="bottom"/>
          </w:tcPr>
          <w:p w14:paraId="0A86F1A7" w14:textId="77777777" w:rsidR="00333601" w:rsidRPr="00BE78CA" w:rsidRDefault="00333601" w:rsidP="00C26084">
            <w:pPr>
              <w:pStyle w:val="TableTextBold"/>
              <w:keepNext/>
              <w:rPr>
                <w:rFonts w:cs="Calibri"/>
                <w:noProof w:val="0"/>
                <w:color w:val="FFFFFF"/>
                <w:szCs w:val="16"/>
              </w:rPr>
            </w:pPr>
            <w:r w:rsidRPr="00BE78CA">
              <w:rPr>
                <w:rFonts w:cs="Calibri"/>
                <w:noProof w:val="0"/>
                <w:color w:val="FFFFFF"/>
                <w:szCs w:val="16"/>
              </w:rPr>
              <w:t>Reference carbon stock values (t C ha</w:t>
            </w:r>
            <w:r w:rsidRPr="00BE78CA">
              <w:rPr>
                <w:rFonts w:cs="Calibri"/>
                <w:noProof w:val="0"/>
                <w:color w:val="FFFFFF"/>
                <w:szCs w:val="16"/>
                <w:vertAlign w:val="superscript"/>
              </w:rPr>
              <w:t>–1</w:t>
            </w:r>
            <w:r w:rsidRPr="00BE78CA">
              <w:rPr>
                <w:rFonts w:cs="Calibri"/>
                <w:noProof w:val="0"/>
                <w:color w:val="FFFFFF"/>
                <w:szCs w:val="16"/>
              </w:rPr>
              <w:t>)</w:t>
            </w:r>
          </w:p>
        </w:tc>
        <w:tc>
          <w:tcPr>
            <w:tcW w:w="1984" w:type="dxa"/>
            <w:tcBorders>
              <w:top w:val="single" w:sz="4" w:space="0" w:color="365F91"/>
              <w:bottom w:val="single" w:sz="4" w:space="0" w:color="365F91"/>
            </w:tcBorders>
            <w:shd w:val="clear" w:color="auto" w:fill="365F91"/>
            <w:vAlign w:val="bottom"/>
          </w:tcPr>
          <w:p w14:paraId="75F14C89" w14:textId="77777777" w:rsidR="00333601" w:rsidRPr="00BE78CA" w:rsidRDefault="00333601" w:rsidP="00C26084">
            <w:pPr>
              <w:pStyle w:val="TableTextBold"/>
              <w:keepNext/>
              <w:rPr>
                <w:rFonts w:cs="Calibri"/>
                <w:noProof w:val="0"/>
                <w:color w:val="FFFFFF"/>
                <w:szCs w:val="16"/>
              </w:rPr>
            </w:pPr>
            <w:r w:rsidRPr="00BE78CA">
              <w:rPr>
                <w:rFonts w:cs="Calibri"/>
                <w:noProof w:val="0"/>
                <w:color w:val="FFFFFF"/>
                <w:szCs w:val="16"/>
              </w:rPr>
              <w:t>Carbon pools</w:t>
            </w:r>
          </w:p>
        </w:tc>
        <w:tc>
          <w:tcPr>
            <w:tcW w:w="1871" w:type="dxa"/>
            <w:tcBorders>
              <w:top w:val="single" w:sz="4" w:space="0" w:color="365F91"/>
              <w:bottom w:val="single" w:sz="4" w:space="0" w:color="365F91"/>
            </w:tcBorders>
            <w:shd w:val="clear" w:color="auto" w:fill="365F91"/>
            <w:vAlign w:val="bottom"/>
          </w:tcPr>
          <w:p w14:paraId="45121ECD" w14:textId="77777777" w:rsidR="00333601" w:rsidRPr="00BE78CA" w:rsidRDefault="00333601" w:rsidP="00C26084">
            <w:pPr>
              <w:pStyle w:val="TableTextBold"/>
              <w:keepNext/>
              <w:rPr>
                <w:rFonts w:cs="Calibri"/>
                <w:noProof w:val="0"/>
                <w:color w:val="FFFFFF"/>
                <w:szCs w:val="16"/>
              </w:rPr>
            </w:pPr>
            <w:r w:rsidRPr="00BE78CA">
              <w:rPr>
                <w:rFonts w:cs="Calibri"/>
                <w:noProof w:val="0"/>
                <w:color w:val="FFFFFF"/>
                <w:szCs w:val="16"/>
              </w:rPr>
              <w:t>Reference</w:t>
            </w:r>
          </w:p>
        </w:tc>
      </w:tr>
      <w:tr w:rsidR="00333601" w:rsidRPr="00BE78CA" w14:paraId="39432CA6" w14:textId="77777777" w:rsidTr="00943494">
        <w:tc>
          <w:tcPr>
            <w:tcW w:w="1134" w:type="dxa"/>
            <w:vMerge w:val="restart"/>
            <w:tcBorders>
              <w:top w:val="single" w:sz="4" w:space="0" w:color="365F91"/>
            </w:tcBorders>
          </w:tcPr>
          <w:p w14:paraId="7073D5A9" w14:textId="77777777" w:rsidR="00333601" w:rsidRPr="00BE78CA" w:rsidRDefault="00333601" w:rsidP="00C26084">
            <w:pPr>
              <w:pStyle w:val="TableText"/>
              <w:keepNext/>
              <w:rPr>
                <w:rFonts w:cs="Calibri"/>
                <w:szCs w:val="16"/>
              </w:rPr>
            </w:pPr>
            <w:r w:rsidRPr="00BE78CA">
              <w:rPr>
                <w:rFonts w:cs="Calibri"/>
                <w:szCs w:val="16"/>
              </w:rPr>
              <w:t>Forest land</w:t>
            </w:r>
          </w:p>
        </w:tc>
        <w:tc>
          <w:tcPr>
            <w:tcW w:w="1758" w:type="dxa"/>
            <w:tcBorders>
              <w:top w:val="single" w:sz="4" w:space="0" w:color="365F91"/>
              <w:bottom w:val="single" w:sz="4" w:space="0" w:color="365F91"/>
            </w:tcBorders>
          </w:tcPr>
          <w:p w14:paraId="26D8AD41" w14:textId="77777777" w:rsidR="00333601" w:rsidRPr="00BE78CA" w:rsidRDefault="00333601" w:rsidP="00C26084">
            <w:pPr>
              <w:pStyle w:val="TableText"/>
              <w:keepNext/>
              <w:rPr>
                <w:rFonts w:cs="Calibri"/>
                <w:szCs w:val="16"/>
              </w:rPr>
            </w:pPr>
            <w:r w:rsidRPr="00BE78CA">
              <w:rPr>
                <w:rFonts w:cs="Calibri"/>
                <w:szCs w:val="16"/>
              </w:rPr>
              <w:t>Pre-1990 natural forest: regenerating*</w:t>
            </w:r>
          </w:p>
        </w:tc>
        <w:tc>
          <w:tcPr>
            <w:tcW w:w="1884" w:type="dxa"/>
            <w:tcBorders>
              <w:top w:val="single" w:sz="4" w:space="0" w:color="365F91"/>
              <w:bottom w:val="single" w:sz="4" w:space="0" w:color="365F91"/>
            </w:tcBorders>
          </w:tcPr>
          <w:p w14:paraId="617B7000" w14:textId="77777777" w:rsidR="00333601" w:rsidRPr="00BE78CA" w:rsidRDefault="00333601" w:rsidP="00C26084">
            <w:pPr>
              <w:pStyle w:val="TableText"/>
              <w:keepNext/>
              <w:rPr>
                <w:rFonts w:cs="Calibri"/>
                <w:szCs w:val="16"/>
              </w:rPr>
            </w:pPr>
            <w:r w:rsidRPr="00BE78CA">
              <w:rPr>
                <w:rFonts w:cs="Calibri"/>
                <w:szCs w:val="16"/>
              </w:rPr>
              <w:t>Based on an annual carbon stock yield table</w:t>
            </w:r>
          </w:p>
        </w:tc>
        <w:tc>
          <w:tcPr>
            <w:tcW w:w="1984" w:type="dxa"/>
            <w:tcBorders>
              <w:top w:val="single" w:sz="4" w:space="0" w:color="365F91"/>
              <w:bottom w:val="single" w:sz="4" w:space="0" w:color="365F91"/>
            </w:tcBorders>
          </w:tcPr>
          <w:p w14:paraId="5784A496" w14:textId="77777777" w:rsidR="00333601" w:rsidRPr="00BE78CA" w:rsidRDefault="00333601" w:rsidP="00C26084">
            <w:pPr>
              <w:pStyle w:val="TableText"/>
              <w:keepNext/>
              <w:rPr>
                <w:rFonts w:cs="Calibri"/>
                <w:szCs w:val="16"/>
              </w:rPr>
            </w:pPr>
            <w:r w:rsidRPr="00BE78CA">
              <w:rPr>
                <w:rFonts w:cs="Calibri"/>
                <w:szCs w:val="16"/>
              </w:rPr>
              <w:t>All biomass pools</w:t>
            </w:r>
          </w:p>
        </w:tc>
        <w:tc>
          <w:tcPr>
            <w:tcW w:w="1871" w:type="dxa"/>
            <w:tcBorders>
              <w:top w:val="single" w:sz="4" w:space="0" w:color="365F91"/>
              <w:bottom w:val="single" w:sz="4" w:space="0" w:color="365F91"/>
            </w:tcBorders>
          </w:tcPr>
          <w:p w14:paraId="16AB009C" w14:textId="77777777" w:rsidR="00333601" w:rsidRPr="00BE78CA" w:rsidRDefault="00333601" w:rsidP="00C26084">
            <w:pPr>
              <w:pStyle w:val="TableText"/>
              <w:keepNext/>
              <w:rPr>
                <w:rFonts w:cs="Calibri"/>
                <w:szCs w:val="16"/>
              </w:rPr>
            </w:pPr>
            <w:r w:rsidRPr="00BE78CA">
              <w:rPr>
                <w:rFonts w:cs="Calibri"/>
                <w:szCs w:val="16"/>
              </w:rPr>
              <w:t>Paul et al. (2020, submitted)</w:t>
            </w:r>
          </w:p>
        </w:tc>
      </w:tr>
      <w:tr w:rsidR="00333601" w:rsidRPr="00BE78CA" w14:paraId="29479C4D" w14:textId="77777777" w:rsidTr="00943494">
        <w:tc>
          <w:tcPr>
            <w:tcW w:w="1134" w:type="dxa"/>
            <w:vMerge/>
          </w:tcPr>
          <w:p w14:paraId="6114BD2F" w14:textId="77777777" w:rsidR="00333601" w:rsidRPr="00BE78CA" w:rsidRDefault="00333601" w:rsidP="00C26084">
            <w:pPr>
              <w:pStyle w:val="TableText"/>
              <w:keepNext/>
              <w:rPr>
                <w:rFonts w:cs="Calibri"/>
                <w:szCs w:val="16"/>
              </w:rPr>
            </w:pPr>
          </w:p>
        </w:tc>
        <w:tc>
          <w:tcPr>
            <w:tcW w:w="1758" w:type="dxa"/>
            <w:tcBorders>
              <w:top w:val="single" w:sz="4" w:space="0" w:color="365F91"/>
              <w:bottom w:val="single" w:sz="4" w:space="0" w:color="365F91"/>
            </w:tcBorders>
          </w:tcPr>
          <w:p w14:paraId="73AAAEF4" w14:textId="77777777" w:rsidR="00333601" w:rsidRPr="00BE78CA" w:rsidRDefault="00333601" w:rsidP="00C26084">
            <w:pPr>
              <w:pStyle w:val="TableText"/>
              <w:keepNext/>
              <w:rPr>
                <w:rFonts w:cs="Calibri"/>
                <w:szCs w:val="16"/>
              </w:rPr>
            </w:pPr>
            <w:r w:rsidRPr="00BE78CA">
              <w:rPr>
                <w:rFonts w:cs="Calibri"/>
                <w:szCs w:val="16"/>
              </w:rPr>
              <w:t>Pre-1990 natural forest: tall forest*</w:t>
            </w:r>
          </w:p>
        </w:tc>
        <w:tc>
          <w:tcPr>
            <w:tcW w:w="1884" w:type="dxa"/>
            <w:tcBorders>
              <w:top w:val="single" w:sz="4" w:space="0" w:color="365F91"/>
              <w:bottom w:val="single" w:sz="4" w:space="0" w:color="365F91"/>
            </w:tcBorders>
          </w:tcPr>
          <w:p w14:paraId="7606C2A5" w14:textId="77777777" w:rsidR="00333601" w:rsidRPr="00BE78CA" w:rsidRDefault="00333601" w:rsidP="00C26084">
            <w:pPr>
              <w:pStyle w:val="TableText"/>
              <w:keepNext/>
              <w:rPr>
                <w:rFonts w:cs="Calibri"/>
                <w:szCs w:val="16"/>
              </w:rPr>
            </w:pPr>
            <w:r w:rsidRPr="00BE78CA">
              <w:rPr>
                <w:rFonts w:cs="Calibri"/>
                <w:szCs w:val="16"/>
              </w:rPr>
              <w:t>252.05</w:t>
            </w:r>
          </w:p>
        </w:tc>
        <w:tc>
          <w:tcPr>
            <w:tcW w:w="1984" w:type="dxa"/>
            <w:tcBorders>
              <w:top w:val="single" w:sz="4" w:space="0" w:color="365F91"/>
              <w:bottom w:val="single" w:sz="4" w:space="0" w:color="365F91"/>
            </w:tcBorders>
          </w:tcPr>
          <w:p w14:paraId="7C662574" w14:textId="77777777" w:rsidR="00333601" w:rsidRPr="00BE78CA" w:rsidRDefault="00333601" w:rsidP="00C26084">
            <w:pPr>
              <w:pStyle w:val="TableText"/>
              <w:keepNext/>
              <w:rPr>
                <w:rFonts w:cs="Calibri"/>
                <w:szCs w:val="16"/>
              </w:rPr>
            </w:pPr>
            <w:r w:rsidRPr="00BE78CA">
              <w:rPr>
                <w:rFonts w:cs="Calibri"/>
                <w:szCs w:val="16"/>
              </w:rPr>
              <w:t>All biomass pools</w:t>
            </w:r>
          </w:p>
        </w:tc>
        <w:tc>
          <w:tcPr>
            <w:tcW w:w="1871" w:type="dxa"/>
            <w:tcBorders>
              <w:top w:val="single" w:sz="4" w:space="0" w:color="365F91"/>
              <w:bottom w:val="single" w:sz="4" w:space="0" w:color="365F91"/>
            </w:tcBorders>
          </w:tcPr>
          <w:p w14:paraId="75B7DA88" w14:textId="77777777" w:rsidR="00333601" w:rsidRPr="00BE78CA" w:rsidRDefault="00333601" w:rsidP="00C26084">
            <w:pPr>
              <w:pStyle w:val="TableText"/>
              <w:keepNext/>
              <w:rPr>
                <w:rFonts w:cs="Calibri"/>
                <w:szCs w:val="16"/>
              </w:rPr>
            </w:pPr>
            <w:r w:rsidRPr="00BE78CA">
              <w:rPr>
                <w:rFonts w:cs="Calibri"/>
                <w:szCs w:val="16"/>
              </w:rPr>
              <w:t>Derived from Paul et al. (2020, submitted)</w:t>
            </w:r>
          </w:p>
        </w:tc>
      </w:tr>
      <w:tr w:rsidR="00333601" w:rsidRPr="00BE78CA" w14:paraId="6998874D" w14:textId="77777777" w:rsidTr="00943494">
        <w:tc>
          <w:tcPr>
            <w:tcW w:w="1134" w:type="dxa"/>
            <w:vMerge/>
          </w:tcPr>
          <w:p w14:paraId="3B440A6B" w14:textId="77777777" w:rsidR="00333601" w:rsidRPr="00BE78CA" w:rsidRDefault="00333601" w:rsidP="00C26084">
            <w:pPr>
              <w:pStyle w:val="TableText"/>
              <w:keepNext/>
              <w:rPr>
                <w:rFonts w:cs="Calibri"/>
                <w:szCs w:val="16"/>
              </w:rPr>
            </w:pPr>
          </w:p>
        </w:tc>
        <w:tc>
          <w:tcPr>
            <w:tcW w:w="1758" w:type="dxa"/>
            <w:tcBorders>
              <w:top w:val="single" w:sz="4" w:space="0" w:color="365F91"/>
              <w:bottom w:val="single" w:sz="4" w:space="0" w:color="365F91"/>
            </w:tcBorders>
          </w:tcPr>
          <w:p w14:paraId="3C50798C" w14:textId="77777777" w:rsidR="00333601" w:rsidRPr="00BE78CA" w:rsidRDefault="00333601" w:rsidP="00C26084">
            <w:pPr>
              <w:pStyle w:val="TableText"/>
              <w:keepNext/>
              <w:rPr>
                <w:rFonts w:cs="Calibri"/>
                <w:szCs w:val="16"/>
              </w:rPr>
            </w:pPr>
            <w:r w:rsidRPr="00BE78CA">
              <w:rPr>
                <w:rFonts w:cs="Calibri"/>
                <w:szCs w:val="16"/>
              </w:rPr>
              <w:t>Pre-1990 planted forest</w:t>
            </w:r>
          </w:p>
        </w:tc>
        <w:tc>
          <w:tcPr>
            <w:tcW w:w="1884" w:type="dxa"/>
            <w:tcBorders>
              <w:top w:val="single" w:sz="4" w:space="0" w:color="365F91"/>
              <w:bottom w:val="single" w:sz="4" w:space="0" w:color="365F91"/>
            </w:tcBorders>
          </w:tcPr>
          <w:p w14:paraId="7653BF0E" w14:textId="77777777" w:rsidR="00333601" w:rsidRPr="00BE78CA" w:rsidRDefault="00333601" w:rsidP="00C26084">
            <w:pPr>
              <w:pStyle w:val="TableText"/>
              <w:keepNext/>
              <w:rPr>
                <w:rFonts w:cs="Calibri"/>
                <w:szCs w:val="16"/>
              </w:rPr>
            </w:pPr>
            <w:r w:rsidRPr="00BE78CA">
              <w:rPr>
                <w:rFonts w:cs="Calibri"/>
                <w:szCs w:val="16"/>
              </w:rPr>
              <w:t>Based on age-based carbon yield tables</w:t>
            </w:r>
          </w:p>
        </w:tc>
        <w:tc>
          <w:tcPr>
            <w:tcW w:w="1984" w:type="dxa"/>
            <w:tcBorders>
              <w:top w:val="single" w:sz="4" w:space="0" w:color="365F91"/>
              <w:bottom w:val="single" w:sz="4" w:space="0" w:color="365F91"/>
            </w:tcBorders>
          </w:tcPr>
          <w:p w14:paraId="05D57C11" w14:textId="77777777" w:rsidR="00333601" w:rsidRPr="00BE78CA" w:rsidRDefault="00333601" w:rsidP="00C26084">
            <w:pPr>
              <w:pStyle w:val="TableText"/>
              <w:keepNext/>
              <w:rPr>
                <w:rFonts w:cs="Calibri"/>
                <w:szCs w:val="16"/>
              </w:rPr>
            </w:pPr>
            <w:r w:rsidRPr="00BE78CA">
              <w:rPr>
                <w:rFonts w:cs="Calibri"/>
                <w:szCs w:val="16"/>
              </w:rPr>
              <w:t>All biomass pools</w:t>
            </w:r>
          </w:p>
        </w:tc>
        <w:tc>
          <w:tcPr>
            <w:tcW w:w="1871" w:type="dxa"/>
            <w:tcBorders>
              <w:top w:val="single" w:sz="4" w:space="0" w:color="365F91"/>
              <w:bottom w:val="single" w:sz="4" w:space="0" w:color="365F91"/>
            </w:tcBorders>
          </w:tcPr>
          <w:p w14:paraId="6A0554F1" w14:textId="77777777" w:rsidR="00333601" w:rsidRPr="00BE78CA" w:rsidRDefault="00333601" w:rsidP="00C26084">
            <w:pPr>
              <w:pStyle w:val="TableText"/>
              <w:keepNext/>
              <w:rPr>
                <w:rFonts w:cs="Calibri"/>
                <w:szCs w:val="16"/>
              </w:rPr>
            </w:pPr>
            <w:r w:rsidRPr="00BE78CA">
              <w:rPr>
                <w:rFonts w:cs="Calibri"/>
                <w:szCs w:val="16"/>
              </w:rPr>
              <w:t>Paul and Wakelin (unpublished)</w:t>
            </w:r>
          </w:p>
        </w:tc>
      </w:tr>
      <w:tr w:rsidR="00333601" w:rsidRPr="00BE78CA" w14:paraId="1CD56D50" w14:textId="77777777" w:rsidTr="00943494">
        <w:tc>
          <w:tcPr>
            <w:tcW w:w="1134" w:type="dxa"/>
            <w:vMerge/>
          </w:tcPr>
          <w:p w14:paraId="1B8B8871" w14:textId="77777777" w:rsidR="00333601" w:rsidRPr="00BE78CA" w:rsidRDefault="00333601" w:rsidP="00C26084">
            <w:pPr>
              <w:pStyle w:val="TableText"/>
              <w:rPr>
                <w:rFonts w:cs="Calibri"/>
                <w:szCs w:val="16"/>
              </w:rPr>
            </w:pPr>
          </w:p>
        </w:tc>
        <w:tc>
          <w:tcPr>
            <w:tcW w:w="1758" w:type="dxa"/>
            <w:tcBorders>
              <w:top w:val="single" w:sz="4" w:space="0" w:color="365F91"/>
              <w:bottom w:val="single" w:sz="4" w:space="0" w:color="365F91"/>
            </w:tcBorders>
          </w:tcPr>
          <w:p w14:paraId="52FE0701" w14:textId="77777777" w:rsidR="00333601" w:rsidRPr="00BE78CA" w:rsidRDefault="00333601" w:rsidP="00C26084">
            <w:pPr>
              <w:pStyle w:val="TableText"/>
              <w:rPr>
                <w:rFonts w:cs="Calibri"/>
                <w:szCs w:val="16"/>
              </w:rPr>
            </w:pPr>
            <w:r w:rsidRPr="00BE78CA">
              <w:rPr>
                <w:rFonts w:cs="Calibri"/>
                <w:szCs w:val="16"/>
              </w:rPr>
              <w:t>Post-1989 natural forest</w:t>
            </w:r>
          </w:p>
        </w:tc>
        <w:tc>
          <w:tcPr>
            <w:tcW w:w="1884" w:type="dxa"/>
            <w:tcBorders>
              <w:top w:val="single" w:sz="4" w:space="0" w:color="365F91"/>
              <w:bottom w:val="single" w:sz="4" w:space="0" w:color="365F91"/>
            </w:tcBorders>
          </w:tcPr>
          <w:p w14:paraId="765F94CA" w14:textId="77777777" w:rsidR="00333601" w:rsidRPr="00BE78CA" w:rsidRDefault="00333601" w:rsidP="00C26084">
            <w:pPr>
              <w:pStyle w:val="TableText"/>
              <w:rPr>
                <w:rFonts w:cs="Calibri"/>
                <w:szCs w:val="16"/>
              </w:rPr>
            </w:pPr>
            <w:r w:rsidRPr="00BE78CA">
              <w:rPr>
                <w:rFonts w:cs="Calibri"/>
                <w:szCs w:val="16"/>
              </w:rPr>
              <w:t>Based on an age-based carbon yield table</w:t>
            </w:r>
          </w:p>
        </w:tc>
        <w:tc>
          <w:tcPr>
            <w:tcW w:w="1984" w:type="dxa"/>
            <w:tcBorders>
              <w:top w:val="single" w:sz="4" w:space="0" w:color="365F91"/>
              <w:bottom w:val="single" w:sz="4" w:space="0" w:color="365F91"/>
            </w:tcBorders>
          </w:tcPr>
          <w:p w14:paraId="4BDC0B02" w14:textId="77777777" w:rsidR="00333601" w:rsidRPr="00BE78CA" w:rsidRDefault="00333601" w:rsidP="00C26084">
            <w:pPr>
              <w:pStyle w:val="TableText"/>
              <w:rPr>
                <w:rFonts w:cs="Calibri"/>
                <w:szCs w:val="16"/>
              </w:rPr>
            </w:pPr>
            <w:r w:rsidRPr="00BE78CA">
              <w:rPr>
                <w:rFonts w:cs="Calibri"/>
                <w:szCs w:val="16"/>
              </w:rPr>
              <w:t>All biomass pools</w:t>
            </w:r>
          </w:p>
        </w:tc>
        <w:tc>
          <w:tcPr>
            <w:tcW w:w="1871" w:type="dxa"/>
            <w:tcBorders>
              <w:top w:val="single" w:sz="4" w:space="0" w:color="365F91"/>
              <w:bottom w:val="single" w:sz="4" w:space="0" w:color="365F91"/>
            </w:tcBorders>
          </w:tcPr>
          <w:p w14:paraId="539F2EDB" w14:textId="77777777" w:rsidR="00333601" w:rsidRPr="00BE78CA" w:rsidRDefault="00333601" w:rsidP="00C26084">
            <w:pPr>
              <w:pStyle w:val="TableText"/>
              <w:rPr>
                <w:rFonts w:cs="Calibri"/>
                <w:szCs w:val="16"/>
              </w:rPr>
            </w:pPr>
            <w:r w:rsidRPr="00BE78CA">
              <w:rPr>
                <w:rFonts w:cs="Calibri"/>
                <w:szCs w:val="16"/>
              </w:rPr>
              <w:t>Paul et al. (unpublished(b))</w:t>
            </w:r>
          </w:p>
        </w:tc>
      </w:tr>
      <w:tr w:rsidR="00333601" w:rsidRPr="00BE78CA" w14:paraId="2FADC3C4" w14:textId="77777777" w:rsidTr="00943494">
        <w:tc>
          <w:tcPr>
            <w:tcW w:w="1134" w:type="dxa"/>
            <w:vMerge/>
            <w:tcBorders>
              <w:bottom w:val="single" w:sz="4" w:space="0" w:color="365F91"/>
            </w:tcBorders>
          </w:tcPr>
          <w:p w14:paraId="42CF632A" w14:textId="77777777" w:rsidR="00333601" w:rsidRPr="00BE78CA" w:rsidRDefault="00333601" w:rsidP="00C26084">
            <w:pPr>
              <w:pStyle w:val="TableText"/>
              <w:rPr>
                <w:rFonts w:cs="Calibri"/>
                <w:szCs w:val="16"/>
              </w:rPr>
            </w:pPr>
          </w:p>
        </w:tc>
        <w:tc>
          <w:tcPr>
            <w:tcW w:w="1758" w:type="dxa"/>
            <w:tcBorders>
              <w:top w:val="single" w:sz="4" w:space="0" w:color="365F91"/>
              <w:bottom w:val="single" w:sz="4" w:space="0" w:color="365F91"/>
            </w:tcBorders>
          </w:tcPr>
          <w:p w14:paraId="291C1894" w14:textId="77777777" w:rsidR="00333601" w:rsidRPr="00BE78CA" w:rsidRDefault="00333601" w:rsidP="00C26084">
            <w:pPr>
              <w:pStyle w:val="TableText"/>
              <w:rPr>
                <w:rFonts w:cs="Calibri"/>
                <w:szCs w:val="16"/>
              </w:rPr>
            </w:pPr>
            <w:r w:rsidRPr="00BE78CA">
              <w:rPr>
                <w:rFonts w:cs="Calibri"/>
                <w:szCs w:val="16"/>
              </w:rPr>
              <w:t>Post-1989 planted forest</w:t>
            </w:r>
          </w:p>
        </w:tc>
        <w:tc>
          <w:tcPr>
            <w:tcW w:w="1884" w:type="dxa"/>
            <w:tcBorders>
              <w:top w:val="single" w:sz="4" w:space="0" w:color="365F91"/>
              <w:bottom w:val="single" w:sz="4" w:space="0" w:color="365F91"/>
            </w:tcBorders>
          </w:tcPr>
          <w:p w14:paraId="35E7A2D5" w14:textId="77777777" w:rsidR="00333601" w:rsidRPr="00BE78CA" w:rsidRDefault="00333601" w:rsidP="00C26084">
            <w:pPr>
              <w:pStyle w:val="TableText"/>
              <w:rPr>
                <w:rFonts w:cs="Calibri"/>
                <w:szCs w:val="16"/>
              </w:rPr>
            </w:pPr>
            <w:r w:rsidRPr="00BE78CA">
              <w:rPr>
                <w:rFonts w:cs="Calibri"/>
                <w:szCs w:val="16"/>
              </w:rPr>
              <w:t>Based on an age-based carbon yield table</w:t>
            </w:r>
          </w:p>
        </w:tc>
        <w:tc>
          <w:tcPr>
            <w:tcW w:w="1984" w:type="dxa"/>
            <w:tcBorders>
              <w:top w:val="single" w:sz="4" w:space="0" w:color="365F91"/>
              <w:bottom w:val="single" w:sz="4" w:space="0" w:color="365F91"/>
            </w:tcBorders>
          </w:tcPr>
          <w:p w14:paraId="125EA0A5" w14:textId="77777777" w:rsidR="00333601" w:rsidRPr="00BE78CA" w:rsidRDefault="00333601" w:rsidP="00C26084">
            <w:pPr>
              <w:pStyle w:val="TableText"/>
              <w:rPr>
                <w:rFonts w:cs="Calibri"/>
                <w:szCs w:val="16"/>
              </w:rPr>
            </w:pPr>
            <w:r w:rsidRPr="00BE78CA">
              <w:rPr>
                <w:rFonts w:cs="Calibri"/>
                <w:szCs w:val="16"/>
              </w:rPr>
              <w:t>All biomass pools</w:t>
            </w:r>
          </w:p>
        </w:tc>
        <w:tc>
          <w:tcPr>
            <w:tcW w:w="1871" w:type="dxa"/>
            <w:tcBorders>
              <w:top w:val="single" w:sz="4" w:space="0" w:color="365F91"/>
              <w:bottom w:val="single" w:sz="4" w:space="0" w:color="365F91"/>
            </w:tcBorders>
          </w:tcPr>
          <w:p w14:paraId="5345968F" w14:textId="77777777" w:rsidR="00333601" w:rsidRPr="00BE78CA" w:rsidRDefault="00333601" w:rsidP="00C26084">
            <w:pPr>
              <w:pStyle w:val="TableText"/>
              <w:rPr>
                <w:rFonts w:cs="Calibri"/>
                <w:szCs w:val="16"/>
              </w:rPr>
            </w:pPr>
            <w:r w:rsidRPr="00BE78CA">
              <w:rPr>
                <w:rFonts w:cs="Calibri"/>
                <w:szCs w:val="16"/>
              </w:rPr>
              <w:t>Paul et al. (unpublished(d))</w:t>
            </w:r>
          </w:p>
        </w:tc>
      </w:tr>
      <w:tr w:rsidR="00333601" w:rsidRPr="00BE78CA" w14:paraId="31879EB2" w14:textId="77777777" w:rsidTr="00943494">
        <w:tc>
          <w:tcPr>
            <w:tcW w:w="1134" w:type="dxa"/>
            <w:vMerge w:val="restart"/>
            <w:tcBorders>
              <w:top w:val="single" w:sz="4" w:space="0" w:color="365F91"/>
            </w:tcBorders>
          </w:tcPr>
          <w:p w14:paraId="383C0B8C" w14:textId="77777777" w:rsidR="00333601" w:rsidRPr="00BE78CA" w:rsidRDefault="00333601" w:rsidP="00C26084">
            <w:pPr>
              <w:pStyle w:val="TableText"/>
              <w:rPr>
                <w:rFonts w:cs="Calibri"/>
                <w:szCs w:val="16"/>
              </w:rPr>
            </w:pPr>
            <w:r w:rsidRPr="00BE78CA">
              <w:rPr>
                <w:rFonts w:cs="Calibri"/>
                <w:szCs w:val="16"/>
              </w:rPr>
              <w:t>Cropland</w:t>
            </w:r>
          </w:p>
        </w:tc>
        <w:tc>
          <w:tcPr>
            <w:tcW w:w="1758" w:type="dxa"/>
            <w:tcBorders>
              <w:top w:val="single" w:sz="4" w:space="0" w:color="365F91"/>
              <w:bottom w:val="single" w:sz="4" w:space="0" w:color="365F91"/>
            </w:tcBorders>
          </w:tcPr>
          <w:p w14:paraId="7293CF6D" w14:textId="77777777" w:rsidR="00333601" w:rsidRPr="00BE78CA" w:rsidRDefault="00333601" w:rsidP="00C26084">
            <w:pPr>
              <w:pStyle w:val="TableText"/>
              <w:rPr>
                <w:rFonts w:cs="Calibri"/>
                <w:szCs w:val="16"/>
              </w:rPr>
            </w:pPr>
            <w:r w:rsidRPr="00BE78CA">
              <w:rPr>
                <w:rFonts w:cs="Calibri"/>
                <w:szCs w:val="16"/>
              </w:rPr>
              <w:t>Annual</w:t>
            </w:r>
          </w:p>
        </w:tc>
        <w:tc>
          <w:tcPr>
            <w:tcW w:w="1884" w:type="dxa"/>
            <w:tcBorders>
              <w:top w:val="single" w:sz="4" w:space="0" w:color="365F91"/>
              <w:bottom w:val="single" w:sz="4" w:space="0" w:color="365F91"/>
            </w:tcBorders>
          </w:tcPr>
          <w:p w14:paraId="2B897313" w14:textId="77777777" w:rsidR="00333601" w:rsidRPr="00BE78CA" w:rsidRDefault="00333601" w:rsidP="00C26084">
            <w:pPr>
              <w:pStyle w:val="TableText"/>
              <w:rPr>
                <w:rFonts w:cs="Calibri"/>
                <w:szCs w:val="16"/>
              </w:rPr>
            </w:pPr>
            <w:r w:rsidRPr="00BE78CA">
              <w:rPr>
                <w:rFonts w:cs="Calibri"/>
                <w:szCs w:val="16"/>
              </w:rPr>
              <w:t>5</w:t>
            </w:r>
          </w:p>
        </w:tc>
        <w:tc>
          <w:tcPr>
            <w:tcW w:w="1984" w:type="dxa"/>
            <w:tcBorders>
              <w:top w:val="single" w:sz="4" w:space="0" w:color="365F91"/>
              <w:bottom w:val="single" w:sz="4" w:space="0" w:color="365F91"/>
            </w:tcBorders>
          </w:tcPr>
          <w:p w14:paraId="531057B9" w14:textId="77777777" w:rsidR="00333601" w:rsidRPr="00BE78CA" w:rsidRDefault="00333601" w:rsidP="00C26084">
            <w:pPr>
              <w:pStyle w:val="TableText"/>
              <w:rPr>
                <w:rFonts w:cs="Calibri"/>
                <w:szCs w:val="16"/>
              </w:rPr>
            </w:pPr>
            <w:r w:rsidRPr="00BE78CA">
              <w:rPr>
                <w:rFonts w:cs="Calibri"/>
                <w:szCs w:val="16"/>
              </w:rPr>
              <w:t>Above- and below-ground biomass</w:t>
            </w:r>
          </w:p>
        </w:tc>
        <w:tc>
          <w:tcPr>
            <w:tcW w:w="1871" w:type="dxa"/>
            <w:tcBorders>
              <w:top w:val="single" w:sz="4" w:space="0" w:color="365F91"/>
              <w:bottom w:val="single" w:sz="4" w:space="0" w:color="365F91"/>
            </w:tcBorders>
          </w:tcPr>
          <w:p w14:paraId="35023A69" w14:textId="77777777" w:rsidR="00333601" w:rsidRPr="00BE78CA" w:rsidRDefault="00333601" w:rsidP="00C26084">
            <w:pPr>
              <w:pStyle w:val="TableText"/>
              <w:rPr>
                <w:rFonts w:cs="Calibri"/>
                <w:bCs/>
                <w:i/>
                <w:iCs/>
                <w:szCs w:val="16"/>
              </w:rPr>
            </w:pPr>
            <w:r w:rsidRPr="00BE78CA">
              <w:rPr>
                <w:rFonts w:cs="Calibri"/>
                <w:szCs w:val="16"/>
              </w:rPr>
              <w:t>IPCC (table 5.9, 2006a)</w:t>
            </w:r>
          </w:p>
        </w:tc>
      </w:tr>
      <w:tr w:rsidR="00333601" w:rsidRPr="00BE78CA" w14:paraId="3270FC93" w14:textId="77777777" w:rsidTr="00943494">
        <w:tc>
          <w:tcPr>
            <w:tcW w:w="1134" w:type="dxa"/>
            <w:vMerge/>
            <w:tcBorders>
              <w:bottom w:val="single" w:sz="4" w:space="0" w:color="365F91"/>
            </w:tcBorders>
          </w:tcPr>
          <w:p w14:paraId="3ADFD041" w14:textId="77777777" w:rsidR="00333601" w:rsidRPr="00BE78CA" w:rsidRDefault="00333601" w:rsidP="00C26084">
            <w:pPr>
              <w:pStyle w:val="TableText"/>
              <w:rPr>
                <w:rFonts w:cs="Calibri"/>
                <w:szCs w:val="16"/>
              </w:rPr>
            </w:pPr>
          </w:p>
        </w:tc>
        <w:tc>
          <w:tcPr>
            <w:tcW w:w="1758" w:type="dxa"/>
            <w:tcBorders>
              <w:top w:val="single" w:sz="4" w:space="0" w:color="365F91"/>
              <w:bottom w:val="single" w:sz="4" w:space="0" w:color="365F91"/>
            </w:tcBorders>
          </w:tcPr>
          <w:p w14:paraId="3745334B" w14:textId="77777777" w:rsidR="00333601" w:rsidRPr="00BE78CA" w:rsidRDefault="00333601" w:rsidP="00C26084">
            <w:pPr>
              <w:pStyle w:val="TableText"/>
              <w:rPr>
                <w:rFonts w:cs="Calibri"/>
                <w:szCs w:val="16"/>
              </w:rPr>
            </w:pPr>
            <w:r w:rsidRPr="00BE78CA">
              <w:rPr>
                <w:rFonts w:cs="Calibri"/>
                <w:szCs w:val="16"/>
              </w:rPr>
              <w:t>Perennial</w:t>
            </w:r>
          </w:p>
        </w:tc>
        <w:tc>
          <w:tcPr>
            <w:tcW w:w="1884" w:type="dxa"/>
            <w:tcBorders>
              <w:top w:val="single" w:sz="4" w:space="0" w:color="365F91"/>
              <w:bottom w:val="single" w:sz="4" w:space="0" w:color="365F91"/>
            </w:tcBorders>
          </w:tcPr>
          <w:p w14:paraId="74CD8A60" w14:textId="77777777" w:rsidR="00333601" w:rsidRPr="00BE78CA" w:rsidRDefault="00333601" w:rsidP="00C26084">
            <w:pPr>
              <w:pStyle w:val="TableText"/>
              <w:rPr>
                <w:rFonts w:cs="Calibri"/>
                <w:szCs w:val="16"/>
              </w:rPr>
            </w:pPr>
            <w:r w:rsidRPr="00BE78CA">
              <w:rPr>
                <w:rFonts w:cs="Calibri"/>
                <w:szCs w:val="16"/>
              </w:rPr>
              <w:t>18.76</w:t>
            </w:r>
          </w:p>
        </w:tc>
        <w:tc>
          <w:tcPr>
            <w:tcW w:w="1984" w:type="dxa"/>
            <w:tcBorders>
              <w:top w:val="single" w:sz="4" w:space="0" w:color="365F91"/>
              <w:bottom w:val="single" w:sz="4" w:space="0" w:color="365F91"/>
            </w:tcBorders>
          </w:tcPr>
          <w:p w14:paraId="0C4285AE" w14:textId="77777777" w:rsidR="00333601" w:rsidRPr="00BE78CA" w:rsidRDefault="00333601" w:rsidP="00C26084">
            <w:pPr>
              <w:pStyle w:val="TableText"/>
              <w:rPr>
                <w:rFonts w:cs="Calibri"/>
                <w:szCs w:val="16"/>
              </w:rPr>
            </w:pPr>
            <w:r w:rsidRPr="00BE78CA">
              <w:rPr>
                <w:rFonts w:cs="Calibri"/>
                <w:szCs w:val="16"/>
              </w:rPr>
              <w:t>Above-ground biomass</w:t>
            </w:r>
          </w:p>
        </w:tc>
        <w:tc>
          <w:tcPr>
            <w:tcW w:w="1871" w:type="dxa"/>
            <w:tcBorders>
              <w:top w:val="single" w:sz="4" w:space="0" w:color="365F91"/>
              <w:bottom w:val="single" w:sz="4" w:space="0" w:color="365F91"/>
            </w:tcBorders>
          </w:tcPr>
          <w:p w14:paraId="6F0F20FA" w14:textId="77777777" w:rsidR="00333601" w:rsidRPr="00BE78CA" w:rsidRDefault="00333601" w:rsidP="00C26084">
            <w:pPr>
              <w:pStyle w:val="TableText"/>
              <w:rPr>
                <w:rFonts w:cs="Calibri"/>
                <w:szCs w:val="16"/>
              </w:rPr>
            </w:pPr>
            <w:r w:rsidRPr="00BE78CA">
              <w:rPr>
                <w:rFonts w:cs="Calibri"/>
                <w:szCs w:val="16"/>
              </w:rPr>
              <w:t>Davis and Wakelin (unpublished)</w:t>
            </w:r>
          </w:p>
        </w:tc>
      </w:tr>
      <w:tr w:rsidR="00333601" w:rsidRPr="00BE78CA" w14:paraId="12E0B720" w14:textId="77777777" w:rsidTr="00943494">
        <w:tc>
          <w:tcPr>
            <w:tcW w:w="1134" w:type="dxa"/>
            <w:vMerge w:val="restart"/>
            <w:tcBorders>
              <w:top w:val="single" w:sz="4" w:space="0" w:color="365F91"/>
            </w:tcBorders>
          </w:tcPr>
          <w:p w14:paraId="339660A8" w14:textId="77777777" w:rsidR="00333601" w:rsidRPr="00BE78CA" w:rsidRDefault="00333601" w:rsidP="00C26084">
            <w:pPr>
              <w:pStyle w:val="TableText"/>
              <w:rPr>
                <w:rFonts w:cs="Calibri"/>
                <w:szCs w:val="16"/>
              </w:rPr>
            </w:pPr>
            <w:r w:rsidRPr="00BE78CA">
              <w:rPr>
                <w:rFonts w:cs="Calibri"/>
                <w:szCs w:val="16"/>
              </w:rPr>
              <w:t>Grassland</w:t>
            </w:r>
          </w:p>
        </w:tc>
        <w:tc>
          <w:tcPr>
            <w:tcW w:w="1758" w:type="dxa"/>
            <w:tcBorders>
              <w:top w:val="single" w:sz="4" w:space="0" w:color="365F91"/>
              <w:bottom w:val="single" w:sz="4" w:space="0" w:color="365F91"/>
            </w:tcBorders>
          </w:tcPr>
          <w:p w14:paraId="2B06CAEC" w14:textId="77777777" w:rsidR="00333601" w:rsidRPr="00BE78CA" w:rsidRDefault="00333601" w:rsidP="00C26084">
            <w:pPr>
              <w:pStyle w:val="TableText"/>
              <w:rPr>
                <w:rFonts w:cs="Calibri"/>
                <w:szCs w:val="16"/>
              </w:rPr>
            </w:pPr>
            <w:r w:rsidRPr="00BE78CA">
              <w:rPr>
                <w:rFonts w:cs="Calibri"/>
                <w:szCs w:val="16"/>
              </w:rPr>
              <w:t>High producing</w:t>
            </w:r>
          </w:p>
        </w:tc>
        <w:tc>
          <w:tcPr>
            <w:tcW w:w="1884" w:type="dxa"/>
            <w:tcBorders>
              <w:top w:val="single" w:sz="4" w:space="0" w:color="365F91"/>
              <w:bottom w:val="single" w:sz="4" w:space="0" w:color="365F91"/>
            </w:tcBorders>
          </w:tcPr>
          <w:p w14:paraId="3EA39AEC" w14:textId="77777777" w:rsidR="00333601" w:rsidRPr="00BE78CA" w:rsidRDefault="00333601" w:rsidP="00C26084">
            <w:pPr>
              <w:pStyle w:val="TableText"/>
              <w:rPr>
                <w:rFonts w:cs="Calibri"/>
                <w:szCs w:val="16"/>
              </w:rPr>
            </w:pPr>
            <w:r w:rsidRPr="00BE78CA">
              <w:rPr>
                <w:rFonts w:cs="Calibri"/>
                <w:szCs w:val="16"/>
              </w:rPr>
              <w:t>6.345</w:t>
            </w:r>
          </w:p>
        </w:tc>
        <w:tc>
          <w:tcPr>
            <w:tcW w:w="1984" w:type="dxa"/>
            <w:tcBorders>
              <w:top w:val="single" w:sz="4" w:space="0" w:color="365F91"/>
              <w:bottom w:val="single" w:sz="4" w:space="0" w:color="365F91"/>
            </w:tcBorders>
          </w:tcPr>
          <w:p w14:paraId="257B2BC0" w14:textId="77777777" w:rsidR="00333601" w:rsidRPr="00BE78CA" w:rsidRDefault="00333601" w:rsidP="00C26084">
            <w:pPr>
              <w:pStyle w:val="TableText"/>
              <w:rPr>
                <w:rFonts w:cs="Calibri"/>
                <w:szCs w:val="16"/>
              </w:rPr>
            </w:pPr>
            <w:r w:rsidRPr="00BE78CA">
              <w:rPr>
                <w:rFonts w:cs="Calibri"/>
                <w:szCs w:val="16"/>
              </w:rPr>
              <w:t>Above- and below-ground biomass</w:t>
            </w:r>
          </w:p>
        </w:tc>
        <w:tc>
          <w:tcPr>
            <w:tcW w:w="1871" w:type="dxa"/>
            <w:tcBorders>
              <w:top w:val="single" w:sz="4" w:space="0" w:color="365F91"/>
              <w:bottom w:val="single" w:sz="4" w:space="0" w:color="365F91"/>
            </w:tcBorders>
          </w:tcPr>
          <w:p w14:paraId="014A1A54" w14:textId="77777777" w:rsidR="00333601" w:rsidRPr="00BE78CA" w:rsidRDefault="00333601" w:rsidP="00C26084">
            <w:pPr>
              <w:pStyle w:val="TableText"/>
              <w:rPr>
                <w:rFonts w:cs="Calibri"/>
                <w:szCs w:val="16"/>
              </w:rPr>
            </w:pPr>
            <w:r w:rsidRPr="00BE78CA">
              <w:rPr>
                <w:rFonts w:cs="Calibri"/>
                <w:szCs w:val="16"/>
              </w:rPr>
              <w:t>Calculated based on table 6.4, IPCC (2006a)</w:t>
            </w:r>
          </w:p>
        </w:tc>
      </w:tr>
      <w:tr w:rsidR="00333601" w:rsidRPr="00BE78CA" w14:paraId="26FFF50D" w14:textId="77777777" w:rsidTr="00943494">
        <w:tc>
          <w:tcPr>
            <w:tcW w:w="1134" w:type="dxa"/>
            <w:vMerge/>
          </w:tcPr>
          <w:p w14:paraId="51DDF95A" w14:textId="77777777" w:rsidR="00333601" w:rsidRPr="00BE78CA" w:rsidRDefault="00333601" w:rsidP="00C26084">
            <w:pPr>
              <w:pStyle w:val="TableText"/>
              <w:rPr>
                <w:rFonts w:cs="Calibri"/>
                <w:szCs w:val="16"/>
              </w:rPr>
            </w:pPr>
          </w:p>
        </w:tc>
        <w:tc>
          <w:tcPr>
            <w:tcW w:w="1758" w:type="dxa"/>
            <w:tcBorders>
              <w:top w:val="single" w:sz="4" w:space="0" w:color="365F91"/>
              <w:bottom w:val="single" w:sz="4" w:space="0" w:color="365F91"/>
            </w:tcBorders>
          </w:tcPr>
          <w:p w14:paraId="4BB3D5E9" w14:textId="77777777" w:rsidR="00333601" w:rsidRPr="00BE78CA" w:rsidRDefault="00333601" w:rsidP="00C26084">
            <w:pPr>
              <w:pStyle w:val="TableText"/>
              <w:rPr>
                <w:rFonts w:cs="Calibri"/>
                <w:szCs w:val="16"/>
              </w:rPr>
            </w:pPr>
            <w:r w:rsidRPr="00BE78CA">
              <w:rPr>
                <w:rFonts w:cs="Calibri"/>
                <w:szCs w:val="16"/>
              </w:rPr>
              <w:t>Low producing</w:t>
            </w:r>
          </w:p>
        </w:tc>
        <w:tc>
          <w:tcPr>
            <w:tcW w:w="1884" w:type="dxa"/>
            <w:tcBorders>
              <w:top w:val="single" w:sz="4" w:space="0" w:color="365F91"/>
              <w:bottom w:val="single" w:sz="4" w:space="0" w:color="365F91"/>
            </w:tcBorders>
          </w:tcPr>
          <w:p w14:paraId="4D22367E" w14:textId="77777777" w:rsidR="00333601" w:rsidRPr="00BE78CA" w:rsidRDefault="00333601" w:rsidP="00C26084">
            <w:pPr>
              <w:pStyle w:val="TableText"/>
              <w:rPr>
                <w:rFonts w:cs="Calibri"/>
                <w:szCs w:val="16"/>
              </w:rPr>
            </w:pPr>
            <w:r w:rsidRPr="00BE78CA">
              <w:rPr>
                <w:rFonts w:cs="Calibri"/>
                <w:szCs w:val="16"/>
              </w:rPr>
              <w:t>2.867</w:t>
            </w:r>
          </w:p>
        </w:tc>
        <w:tc>
          <w:tcPr>
            <w:tcW w:w="1984" w:type="dxa"/>
            <w:tcBorders>
              <w:top w:val="single" w:sz="4" w:space="0" w:color="365F91"/>
              <w:bottom w:val="single" w:sz="4" w:space="0" w:color="365F91"/>
            </w:tcBorders>
          </w:tcPr>
          <w:p w14:paraId="34915A5D" w14:textId="77777777" w:rsidR="00333601" w:rsidRPr="00BE78CA" w:rsidRDefault="00333601" w:rsidP="00C26084">
            <w:pPr>
              <w:pStyle w:val="TableText"/>
              <w:rPr>
                <w:rFonts w:cs="Calibri"/>
                <w:szCs w:val="16"/>
              </w:rPr>
            </w:pPr>
            <w:r w:rsidRPr="00BE78CA">
              <w:rPr>
                <w:rFonts w:cs="Calibri"/>
                <w:szCs w:val="16"/>
              </w:rPr>
              <w:t>Above- and below-ground biomass</w:t>
            </w:r>
          </w:p>
        </w:tc>
        <w:tc>
          <w:tcPr>
            <w:tcW w:w="1871" w:type="dxa"/>
            <w:tcBorders>
              <w:top w:val="single" w:sz="4" w:space="0" w:color="365F91"/>
              <w:bottom w:val="single" w:sz="4" w:space="0" w:color="365F91"/>
            </w:tcBorders>
          </w:tcPr>
          <w:p w14:paraId="47446C6A" w14:textId="77777777" w:rsidR="00333601" w:rsidRPr="00BE78CA" w:rsidRDefault="00333601" w:rsidP="00C26084">
            <w:pPr>
              <w:pStyle w:val="TableText"/>
              <w:rPr>
                <w:rFonts w:cs="Calibri"/>
                <w:szCs w:val="16"/>
              </w:rPr>
            </w:pPr>
            <w:r w:rsidRPr="00BE78CA">
              <w:rPr>
                <w:rFonts w:cs="Calibri"/>
                <w:szCs w:val="16"/>
              </w:rPr>
              <w:t>Calculated based on table 6.4, IPCC (2006a)</w:t>
            </w:r>
          </w:p>
        </w:tc>
      </w:tr>
      <w:tr w:rsidR="00333601" w:rsidRPr="00BE78CA" w14:paraId="42B90A70" w14:textId="77777777" w:rsidTr="00943494">
        <w:tc>
          <w:tcPr>
            <w:tcW w:w="1134" w:type="dxa"/>
            <w:vMerge/>
          </w:tcPr>
          <w:p w14:paraId="4468C5B2" w14:textId="77777777" w:rsidR="00333601" w:rsidRPr="00BE78CA" w:rsidRDefault="00333601" w:rsidP="00C26084">
            <w:pPr>
              <w:pStyle w:val="TableText"/>
              <w:rPr>
                <w:rFonts w:cs="Calibri"/>
                <w:szCs w:val="16"/>
              </w:rPr>
            </w:pPr>
          </w:p>
        </w:tc>
        <w:tc>
          <w:tcPr>
            <w:tcW w:w="1758" w:type="dxa"/>
            <w:tcBorders>
              <w:top w:val="single" w:sz="4" w:space="0" w:color="365F91"/>
              <w:bottom w:val="single" w:sz="4" w:space="0" w:color="365F91"/>
            </w:tcBorders>
          </w:tcPr>
          <w:p w14:paraId="02750C91" w14:textId="77777777" w:rsidR="00333601" w:rsidRPr="00BE78CA" w:rsidRDefault="00333601" w:rsidP="00C26084">
            <w:pPr>
              <w:pStyle w:val="TableText"/>
              <w:rPr>
                <w:rFonts w:cs="Calibri"/>
                <w:szCs w:val="16"/>
              </w:rPr>
            </w:pPr>
            <w:r w:rsidRPr="00BE78CA">
              <w:rPr>
                <w:rFonts w:cs="Calibri"/>
                <w:szCs w:val="16"/>
              </w:rPr>
              <w:t xml:space="preserve">With woody biomass </w:t>
            </w:r>
            <w:r w:rsidRPr="00BE78CA">
              <w:rPr>
                <w:rFonts w:cs="Calibri"/>
                <w:szCs w:val="16"/>
              </w:rPr>
              <w:br/>
              <w:t>– transitional</w:t>
            </w:r>
          </w:p>
        </w:tc>
        <w:tc>
          <w:tcPr>
            <w:tcW w:w="1884" w:type="dxa"/>
            <w:tcBorders>
              <w:top w:val="single" w:sz="4" w:space="0" w:color="365F91"/>
              <w:bottom w:val="single" w:sz="4" w:space="0" w:color="365F91"/>
            </w:tcBorders>
          </w:tcPr>
          <w:p w14:paraId="5F6FD46A" w14:textId="77777777" w:rsidR="00333601" w:rsidRPr="00BE78CA" w:rsidRDefault="00333601" w:rsidP="00C26084">
            <w:pPr>
              <w:pStyle w:val="TableText"/>
              <w:rPr>
                <w:rFonts w:cs="Calibri"/>
                <w:szCs w:val="16"/>
              </w:rPr>
            </w:pPr>
            <w:r w:rsidRPr="00BE78CA">
              <w:rPr>
                <w:rFonts w:cs="Calibri"/>
                <w:szCs w:val="16"/>
              </w:rPr>
              <w:t>13.05</w:t>
            </w:r>
          </w:p>
        </w:tc>
        <w:tc>
          <w:tcPr>
            <w:tcW w:w="1984" w:type="dxa"/>
            <w:tcBorders>
              <w:top w:val="single" w:sz="4" w:space="0" w:color="365F91"/>
              <w:bottom w:val="single" w:sz="4" w:space="0" w:color="365F91"/>
            </w:tcBorders>
          </w:tcPr>
          <w:p w14:paraId="6034DA1F" w14:textId="77777777" w:rsidR="00333601" w:rsidRPr="00BE78CA" w:rsidRDefault="00333601" w:rsidP="00C26084">
            <w:pPr>
              <w:pStyle w:val="TableText"/>
              <w:rPr>
                <w:rFonts w:cs="Calibri"/>
                <w:szCs w:val="16"/>
              </w:rPr>
            </w:pPr>
            <w:r w:rsidRPr="00BE78CA">
              <w:rPr>
                <w:rFonts w:cs="Calibri"/>
                <w:szCs w:val="16"/>
              </w:rPr>
              <w:t>All biomass pools</w:t>
            </w:r>
          </w:p>
        </w:tc>
        <w:tc>
          <w:tcPr>
            <w:tcW w:w="1871" w:type="dxa"/>
            <w:tcBorders>
              <w:top w:val="single" w:sz="4" w:space="0" w:color="365F91"/>
              <w:bottom w:val="single" w:sz="4" w:space="0" w:color="365F91"/>
            </w:tcBorders>
          </w:tcPr>
          <w:p w14:paraId="66A0D284" w14:textId="77777777" w:rsidR="00333601" w:rsidRPr="00BE78CA" w:rsidRDefault="00333601" w:rsidP="00C26084">
            <w:pPr>
              <w:pStyle w:val="TableText"/>
              <w:rPr>
                <w:rFonts w:cs="Calibri"/>
                <w:szCs w:val="16"/>
              </w:rPr>
            </w:pPr>
            <w:r w:rsidRPr="00BE78CA">
              <w:rPr>
                <w:rFonts w:cs="Calibri"/>
                <w:szCs w:val="16"/>
              </w:rPr>
              <w:t>Wakelin and Beets (unpublished)</w:t>
            </w:r>
          </w:p>
        </w:tc>
      </w:tr>
      <w:tr w:rsidR="00333601" w:rsidRPr="00BE78CA" w14:paraId="5814FE51" w14:textId="77777777" w:rsidTr="00943494">
        <w:tc>
          <w:tcPr>
            <w:tcW w:w="1134" w:type="dxa"/>
            <w:vMerge/>
            <w:tcBorders>
              <w:bottom w:val="single" w:sz="4" w:space="0" w:color="365F91"/>
            </w:tcBorders>
          </w:tcPr>
          <w:p w14:paraId="4FD24786" w14:textId="77777777" w:rsidR="00333601" w:rsidRPr="00BE78CA" w:rsidRDefault="00333601" w:rsidP="00C26084">
            <w:pPr>
              <w:pStyle w:val="TableText"/>
              <w:rPr>
                <w:rFonts w:cs="Calibri"/>
                <w:szCs w:val="16"/>
              </w:rPr>
            </w:pPr>
          </w:p>
        </w:tc>
        <w:tc>
          <w:tcPr>
            <w:tcW w:w="1758" w:type="dxa"/>
            <w:tcBorders>
              <w:top w:val="single" w:sz="4" w:space="0" w:color="365F91"/>
              <w:bottom w:val="single" w:sz="4" w:space="0" w:color="365F91"/>
            </w:tcBorders>
          </w:tcPr>
          <w:p w14:paraId="510EBB8B" w14:textId="77777777" w:rsidR="00333601" w:rsidRPr="00BE78CA" w:rsidRDefault="00333601" w:rsidP="00C26084">
            <w:pPr>
              <w:pStyle w:val="TableText"/>
              <w:rPr>
                <w:rFonts w:cs="Calibri"/>
                <w:szCs w:val="16"/>
              </w:rPr>
            </w:pPr>
            <w:r w:rsidRPr="00BE78CA">
              <w:rPr>
                <w:rFonts w:cs="Calibri"/>
                <w:szCs w:val="16"/>
              </w:rPr>
              <w:t xml:space="preserve">With woody biomass </w:t>
            </w:r>
            <w:r w:rsidRPr="00BE78CA">
              <w:rPr>
                <w:rFonts w:cs="Calibri"/>
                <w:szCs w:val="16"/>
              </w:rPr>
              <w:br/>
              <w:t>– permanent</w:t>
            </w:r>
          </w:p>
        </w:tc>
        <w:tc>
          <w:tcPr>
            <w:tcW w:w="1884" w:type="dxa"/>
            <w:tcBorders>
              <w:top w:val="single" w:sz="4" w:space="0" w:color="365F91"/>
              <w:bottom w:val="single" w:sz="4" w:space="0" w:color="365F91"/>
            </w:tcBorders>
          </w:tcPr>
          <w:p w14:paraId="3D3D917F" w14:textId="77777777" w:rsidR="00333601" w:rsidRPr="00BE78CA" w:rsidRDefault="00333601" w:rsidP="00C26084">
            <w:pPr>
              <w:pStyle w:val="TableText"/>
              <w:rPr>
                <w:rFonts w:cs="Calibri"/>
                <w:szCs w:val="16"/>
              </w:rPr>
            </w:pPr>
            <w:r w:rsidRPr="00BE78CA">
              <w:rPr>
                <w:rFonts w:cs="Calibri"/>
                <w:szCs w:val="16"/>
              </w:rPr>
              <w:t>60.57</w:t>
            </w:r>
          </w:p>
        </w:tc>
        <w:tc>
          <w:tcPr>
            <w:tcW w:w="1984" w:type="dxa"/>
            <w:tcBorders>
              <w:top w:val="single" w:sz="4" w:space="0" w:color="365F91"/>
              <w:bottom w:val="single" w:sz="4" w:space="0" w:color="365F91"/>
            </w:tcBorders>
          </w:tcPr>
          <w:p w14:paraId="7E039258" w14:textId="77777777" w:rsidR="00333601" w:rsidRPr="00BE78CA" w:rsidRDefault="00333601" w:rsidP="00C26084">
            <w:pPr>
              <w:pStyle w:val="TableText"/>
              <w:rPr>
                <w:rFonts w:cs="Calibri"/>
                <w:szCs w:val="16"/>
              </w:rPr>
            </w:pPr>
            <w:r w:rsidRPr="00BE78CA">
              <w:rPr>
                <w:rFonts w:cs="Calibri"/>
                <w:szCs w:val="16"/>
              </w:rPr>
              <w:t>All biomass pools</w:t>
            </w:r>
          </w:p>
        </w:tc>
        <w:tc>
          <w:tcPr>
            <w:tcW w:w="1871" w:type="dxa"/>
            <w:tcBorders>
              <w:top w:val="single" w:sz="4" w:space="0" w:color="365F91"/>
              <w:bottom w:val="single" w:sz="4" w:space="0" w:color="365F91"/>
            </w:tcBorders>
          </w:tcPr>
          <w:p w14:paraId="6A1238AC" w14:textId="77777777" w:rsidR="00333601" w:rsidRPr="00BE78CA" w:rsidRDefault="00333601" w:rsidP="00C26084">
            <w:pPr>
              <w:pStyle w:val="TableText"/>
              <w:rPr>
                <w:rFonts w:cs="Calibri"/>
                <w:szCs w:val="16"/>
              </w:rPr>
            </w:pPr>
            <w:r w:rsidRPr="00BE78CA">
              <w:rPr>
                <w:rFonts w:cs="Calibri"/>
                <w:szCs w:val="16"/>
              </w:rPr>
              <w:t>Wakelin and Beets (unpublished)</w:t>
            </w:r>
          </w:p>
        </w:tc>
      </w:tr>
      <w:tr w:rsidR="00333601" w:rsidRPr="00BE78CA" w14:paraId="6D3DC4B5" w14:textId="77777777" w:rsidTr="00943494">
        <w:tc>
          <w:tcPr>
            <w:tcW w:w="1134" w:type="dxa"/>
            <w:tcBorders>
              <w:top w:val="single" w:sz="4" w:space="0" w:color="365F91"/>
              <w:bottom w:val="single" w:sz="4" w:space="0" w:color="365F91"/>
            </w:tcBorders>
          </w:tcPr>
          <w:p w14:paraId="386D4F7B" w14:textId="77777777" w:rsidR="00333601" w:rsidRPr="00BE78CA" w:rsidRDefault="00333601" w:rsidP="00C26084">
            <w:pPr>
              <w:pStyle w:val="TableText"/>
              <w:rPr>
                <w:rFonts w:cs="Calibri"/>
                <w:szCs w:val="16"/>
              </w:rPr>
            </w:pPr>
            <w:r w:rsidRPr="00BE78CA">
              <w:rPr>
                <w:rFonts w:cs="Calibri"/>
                <w:szCs w:val="16"/>
              </w:rPr>
              <w:t>Wetlands</w:t>
            </w:r>
          </w:p>
        </w:tc>
        <w:tc>
          <w:tcPr>
            <w:tcW w:w="1758" w:type="dxa"/>
            <w:tcBorders>
              <w:top w:val="single" w:sz="4" w:space="0" w:color="365F91"/>
              <w:bottom w:val="single" w:sz="4" w:space="0" w:color="365F91"/>
            </w:tcBorders>
          </w:tcPr>
          <w:p w14:paraId="548EE44B" w14:textId="77777777" w:rsidR="00333601" w:rsidRPr="00BE78CA" w:rsidRDefault="00333601" w:rsidP="00C26084">
            <w:pPr>
              <w:pStyle w:val="TableText"/>
              <w:rPr>
                <w:rFonts w:cs="Calibri"/>
                <w:szCs w:val="16"/>
              </w:rPr>
            </w:pPr>
          </w:p>
        </w:tc>
        <w:tc>
          <w:tcPr>
            <w:tcW w:w="1884" w:type="dxa"/>
            <w:tcBorders>
              <w:top w:val="single" w:sz="4" w:space="0" w:color="365F91"/>
              <w:bottom w:val="single" w:sz="4" w:space="0" w:color="365F91"/>
            </w:tcBorders>
          </w:tcPr>
          <w:p w14:paraId="08D8FD72" w14:textId="77777777" w:rsidR="00333601" w:rsidRPr="00BE78CA" w:rsidRDefault="00333601" w:rsidP="00C26084">
            <w:pPr>
              <w:pStyle w:val="TableText"/>
              <w:rPr>
                <w:rFonts w:cs="Calibri"/>
                <w:szCs w:val="16"/>
              </w:rPr>
            </w:pPr>
            <w:r w:rsidRPr="00BE78CA">
              <w:rPr>
                <w:rFonts w:cs="Calibri"/>
                <w:szCs w:val="16"/>
              </w:rPr>
              <w:t>0</w:t>
            </w:r>
          </w:p>
        </w:tc>
        <w:tc>
          <w:tcPr>
            <w:tcW w:w="1984" w:type="dxa"/>
            <w:tcBorders>
              <w:top w:val="single" w:sz="4" w:space="0" w:color="365F91"/>
              <w:bottom w:val="single" w:sz="4" w:space="0" w:color="365F91"/>
            </w:tcBorders>
          </w:tcPr>
          <w:p w14:paraId="077FBCFC" w14:textId="77777777" w:rsidR="00333601" w:rsidRPr="00BE78CA" w:rsidRDefault="00333601" w:rsidP="00C26084">
            <w:pPr>
              <w:pStyle w:val="TableText"/>
              <w:rPr>
                <w:rFonts w:cs="Calibri"/>
                <w:szCs w:val="16"/>
              </w:rPr>
            </w:pPr>
            <w:r w:rsidRPr="00BE78CA">
              <w:rPr>
                <w:rFonts w:cs="Calibri"/>
                <w:szCs w:val="16"/>
              </w:rPr>
              <w:t>All biomass pools</w:t>
            </w:r>
          </w:p>
        </w:tc>
        <w:tc>
          <w:tcPr>
            <w:tcW w:w="1871" w:type="dxa"/>
            <w:tcBorders>
              <w:top w:val="single" w:sz="4" w:space="0" w:color="365F91"/>
              <w:bottom w:val="single" w:sz="4" w:space="0" w:color="365F91"/>
            </w:tcBorders>
          </w:tcPr>
          <w:p w14:paraId="4A81B65C" w14:textId="77777777" w:rsidR="00333601" w:rsidRPr="00BE78CA" w:rsidRDefault="00333601" w:rsidP="00C26084">
            <w:pPr>
              <w:pStyle w:val="TableText"/>
              <w:rPr>
                <w:rFonts w:cs="Calibri"/>
                <w:szCs w:val="16"/>
              </w:rPr>
            </w:pPr>
            <w:r w:rsidRPr="00BE78CA">
              <w:rPr>
                <w:rFonts w:cs="Calibri"/>
                <w:szCs w:val="16"/>
              </w:rPr>
              <w:t>IPCC (section 7.2.1.1, 2006a)</w:t>
            </w:r>
          </w:p>
        </w:tc>
      </w:tr>
      <w:tr w:rsidR="00333601" w:rsidRPr="00BE78CA" w14:paraId="70B72F2B" w14:textId="77777777" w:rsidTr="00943494">
        <w:tc>
          <w:tcPr>
            <w:tcW w:w="1134" w:type="dxa"/>
            <w:tcBorders>
              <w:top w:val="single" w:sz="4" w:space="0" w:color="365F91"/>
              <w:bottom w:val="single" w:sz="4" w:space="0" w:color="365F91"/>
            </w:tcBorders>
          </w:tcPr>
          <w:p w14:paraId="75B0330F" w14:textId="77777777" w:rsidR="00333601" w:rsidRPr="00BE78CA" w:rsidRDefault="00333601" w:rsidP="00C26084">
            <w:pPr>
              <w:pStyle w:val="TableText"/>
              <w:rPr>
                <w:rFonts w:cs="Calibri"/>
                <w:szCs w:val="16"/>
              </w:rPr>
            </w:pPr>
            <w:r w:rsidRPr="00BE78CA">
              <w:rPr>
                <w:rFonts w:cs="Calibri"/>
                <w:szCs w:val="16"/>
              </w:rPr>
              <w:t>Settlements</w:t>
            </w:r>
          </w:p>
        </w:tc>
        <w:tc>
          <w:tcPr>
            <w:tcW w:w="1758" w:type="dxa"/>
            <w:tcBorders>
              <w:top w:val="single" w:sz="4" w:space="0" w:color="365F91"/>
              <w:bottom w:val="single" w:sz="4" w:space="0" w:color="365F91"/>
            </w:tcBorders>
          </w:tcPr>
          <w:p w14:paraId="03A3C874" w14:textId="77777777" w:rsidR="00333601" w:rsidRPr="00BE78CA" w:rsidRDefault="00333601" w:rsidP="00C26084">
            <w:pPr>
              <w:pStyle w:val="TableText"/>
              <w:rPr>
                <w:rFonts w:cs="Calibri"/>
                <w:szCs w:val="16"/>
              </w:rPr>
            </w:pPr>
          </w:p>
        </w:tc>
        <w:tc>
          <w:tcPr>
            <w:tcW w:w="1884" w:type="dxa"/>
            <w:tcBorders>
              <w:top w:val="single" w:sz="4" w:space="0" w:color="365F91"/>
              <w:bottom w:val="single" w:sz="4" w:space="0" w:color="365F91"/>
            </w:tcBorders>
          </w:tcPr>
          <w:p w14:paraId="3D4DC350" w14:textId="77777777" w:rsidR="00333601" w:rsidRPr="00BE78CA" w:rsidRDefault="00333601" w:rsidP="00C26084">
            <w:pPr>
              <w:pStyle w:val="TableText"/>
              <w:rPr>
                <w:rFonts w:cs="Calibri"/>
                <w:szCs w:val="16"/>
              </w:rPr>
            </w:pPr>
            <w:r w:rsidRPr="00BE78CA">
              <w:rPr>
                <w:rFonts w:cs="Calibri"/>
                <w:szCs w:val="16"/>
              </w:rPr>
              <w:t>0</w:t>
            </w:r>
          </w:p>
        </w:tc>
        <w:tc>
          <w:tcPr>
            <w:tcW w:w="1984" w:type="dxa"/>
            <w:tcBorders>
              <w:top w:val="single" w:sz="4" w:space="0" w:color="365F91"/>
              <w:bottom w:val="single" w:sz="4" w:space="0" w:color="365F91"/>
            </w:tcBorders>
          </w:tcPr>
          <w:p w14:paraId="6B4A9E3D" w14:textId="77777777" w:rsidR="00333601" w:rsidRPr="00BE78CA" w:rsidRDefault="00333601" w:rsidP="00C26084">
            <w:pPr>
              <w:pStyle w:val="TableText"/>
              <w:rPr>
                <w:rFonts w:cs="Calibri"/>
                <w:szCs w:val="16"/>
              </w:rPr>
            </w:pPr>
            <w:r w:rsidRPr="00BE78CA">
              <w:rPr>
                <w:rFonts w:cs="Calibri"/>
                <w:szCs w:val="16"/>
              </w:rPr>
              <w:t>All biomass pools</w:t>
            </w:r>
          </w:p>
        </w:tc>
        <w:tc>
          <w:tcPr>
            <w:tcW w:w="1871" w:type="dxa"/>
            <w:tcBorders>
              <w:top w:val="single" w:sz="4" w:space="0" w:color="365F91"/>
              <w:bottom w:val="single" w:sz="4" w:space="0" w:color="365F91"/>
            </w:tcBorders>
          </w:tcPr>
          <w:p w14:paraId="28A5839F" w14:textId="77777777" w:rsidR="00333601" w:rsidRPr="00BE78CA" w:rsidRDefault="00333601" w:rsidP="00C26084">
            <w:pPr>
              <w:pStyle w:val="TableText"/>
              <w:rPr>
                <w:rFonts w:cs="Calibri"/>
                <w:szCs w:val="16"/>
              </w:rPr>
            </w:pPr>
            <w:r w:rsidRPr="00BE78CA">
              <w:rPr>
                <w:rFonts w:cs="Calibri"/>
                <w:szCs w:val="16"/>
              </w:rPr>
              <w:t>IPCC (section 8.2.1.1, 2006a)</w:t>
            </w:r>
          </w:p>
        </w:tc>
      </w:tr>
      <w:tr w:rsidR="00333601" w:rsidRPr="00BE78CA" w14:paraId="70492F1B" w14:textId="77777777" w:rsidTr="00943494">
        <w:tc>
          <w:tcPr>
            <w:tcW w:w="1134" w:type="dxa"/>
            <w:tcBorders>
              <w:top w:val="single" w:sz="4" w:space="0" w:color="365F91"/>
              <w:bottom w:val="single" w:sz="4" w:space="0" w:color="365F91"/>
            </w:tcBorders>
          </w:tcPr>
          <w:p w14:paraId="3E997E9B" w14:textId="77777777" w:rsidR="00333601" w:rsidRPr="00BE78CA" w:rsidRDefault="00333601" w:rsidP="00C26084">
            <w:pPr>
              <w:pStyle w:val="TableText"/>
              <w:rPr>
                <w:rFonts w:cs="Calibri"/>
                <w:szCs w:val="16"/>
              </w:rPr>
            </w:pPr>
            <w:r w:rsidRPr="00BE78CA">
              <w:rPr>
                <w:rFonts w:cs="Calibri"/>
                <w:szCs w:val="16"/>
              </w:rPr>
              <w:t>Other land</w:t>
            </w:r>
          </w:p>
        </w:tc>
        <w:tc>
          <w:tcPr>
            <w:tcW w:w="1758" w:type="dxa"/>
            <w:tcBorders>
              <w:top w:val="single" w:sz="4" w:space="0" w:color="365F91"/>
              <w:bottom w:val="single" w:sz="4" w:space="0" w:color="365F91"/>
            </w:tcBorders>
          </w:tcPr>
          <w:p w14:paraId="219ACF0F" w14:textId="77777777" w:rsidR="00333601" w:rsidRPr="00BE78CA" w:rsidRDefault="00333601" w:rsidP="00C26084">
            <w:pPr>
              <w:pStyle w:val="TableText"/>
              <w:rPr>
                <w:rFonts w:cs="Calibri"/>
                <w:szCs w:val="16"/>
              </w:rPr>
            </w:pPr>
          </w:p>
        </w:tc>
        <w:tc>
          <w:tcPr>
            <w:tcW w:w="1884" w:type="dxa"/>
            <w:tcBorders>
              <w:top w:val="single" w:sz="4" w:space="0" w:color="365F91"/>
              <w:bottom w:val="single" w:sz="4" w:space="0" w:color="365F91"/>
            </w:tcBorders>
          </w:tcPr>
          <w:p w14:paraId="4B06489E" w14:textId="77777777" w:rsidR="00333601" w:rsidRPr="00BE78CA" w:rsidRDefault="00333601" w:rsidP="00C26084">
            <w:pPr>
              <w:pStyle w:val="TableText"/>
              <w:rPr>
                <w:rFonts w:cs="Calibri"/>
                <w:szCs w:val="16"/>
              </w:rPr>
            </w:pPr>
            <w:r w:rsidRPr="00BE78CA">
              <w:rPr>
                <w:rFonts w:cs="Calibri"/>
                <w:szCs w:val="16"/>
              </w:rPr>
              <w:t>0</w:t>
            </w:r>
          </w:p>
        </w:tc>
        <w:tc>
          <w:tcPr>
            <w:tcW w:w="1984" w:type="dxa"/>
            <w:tcBorders>
              <w:top w:val="single" w:sz="4" w:space="0" w:color="365F91"/>
              <w:bottom w:val="single" w:sz="4" w:space="0" w:color="365F91"/>
            </w:tcBorders>
          </w:tcPr>
          <w:p w14:paraId="4B1CAAE4" w14:textId="77777777" w:rsidR="00333601" w:rsidRPr="00BE78CA" w:rsidRDefault="00333601" w:rsidP="00C26084">
            <w:pPr>
              <w:pStyle w:val="TableText"/>
              <w:rPr>
                <w:rFonts w:cs="Calibri"/>
                <w:szCs w:val="16"/>
              </w:rPr>
            </w:pPr>
            <w:r w:rsidRPr="00BE78CA">
              <w:rPr>
                <w:rFonts w:cs="Calibri"/>
                <w:szCs w:val="16"/>
              </w:rPr>
              <w:t>All biomass pools</w:t>
            </w:r>
          </w:p>
        </w:tc>
        <w:tc>
          <w:tcPr>
            <w:tcW w:w="1871" w:type="dxa"/>
            <w:tcBorders>
              <w:top w:val="single" w:sz="4" w:space="0" w:color="365F91"/>
              <w:bottom w:val="single" w:sz="4" w:space="0" w:color="365F91"/>
            </w:tcBorders>
          </w:tcPr>
          <w:p w14:paraId="25D4D056" w14:textId="77777777" w:rsidR="00333601" w:rsidRPr="00BE78CA" w:rsidRDefault="00333601" w:rsidP="00C26084">
            <w:pPr>
              <w:pStyle w:val="TableText"/>
              <w:rPr>
                <w:rFonts w:cs="Calibri"/>
                <w:szCs w:val="16"/>
              </w:rPr>
            </w:pPr>
            <w:r w:rsidRPr="00BE78CA">
              <w:rPr>
                <w:rFonts w:cs="Calibri"/>
                <w:szCs w:val="16"/>
              </w:rPr>
              <w:t>IPCC (section 9.2, 2006a)</w:t>
            </w:r>
          </w:p>
        </w:tc>
      </w:tr>
    </w:tbl>
    <w:p w14:paraId="42A12408" w14:textId="77777777" w:rsidR="00333601" w:rsidRPr="00BE78CA" w:rsidRDefault="00333601" w:rsidP="00333601">
      <w:pPr>
        <w:pStyle w:val="Noteundertable"/>
      </w:pPr>
      <w:r w:rsidRPr="00BE78CA">
        <w:rPr>
          <w:b/>
        </w:rPr>
        <w:t>Note:</w:t>
      </w:r>
      <w:r w:rsidRPr="00BE78CA">
        <w:tab/>
        <w:t>* For conversions from natural forest, the carbon stock emitted instantaneously depends on the vegetation present (tall forest or regenerating) immediately before conversion; this is described later in this section. ‘All biomass pools’ includes above- and below-ground biomass, litter and dead organic matter. See section 6.3 and each category-specific section under ‘Methodological issues’ for further details on how emissions are estimated.</w:t>
      </w:r>
    </w:p>
    <w:p w14:paraId="3AF01F3F" w14:textId="77777777" w:rsidR="00333601" w:rsidRPr="00BE78CA" w:rsidRDefault="00333601" w:rsidP="00333601">
      <w:pPr>
        <w:pStyle w:val="Table"/>
      </w:pPr>
      <w:bookmarkStart w:id="1209" w:name="_Toc310423391"/>
      <w:bookmarkStart w:id="1210" w:name="_Toc318362684"/>
      <w:bookmarkStart w:id="1211" w:name="_Toc342470746"/>
      <w:bookmarkStart w:id="1212" w:name="_Toc352504986"/>
      <w:bookmarkStart w:id="1213" w:name="_Toc378853275"/>
      <w:bookmarkStart w:id="1214" w:name="_Toc391024073"/>
      <w:bookmarkStart w:id="1215" w:name="_Toc410028816"/>
      <w:bookmarkStart w:id="1216" w:name="_Toc414531444"/>
      <w:bookmarkStart w:id="1217" w:name="_Toc443645356"/>
      <w:bookmarkStart w:id="1218" w:name="_Toc474914575"/>
      <w:bookmarkStart w:id="1219" w:name="_Toc481751539"/>
      <w:bookmarkStart w:id="1220" w:name="_Toc522010596"/>
      <w:bookmarkStart w:id="1221" w:name="_Toc5269501"/>
      <w:bookmarkStart w:id="1222" w:name="_Toc33529377"/>
      <w:bookmarkStart w:id="1223" w:name="_Toc36224583"/>
      <w:bookmarkStart w:id="1224" w:name="_Toc65243578"/>
      <w:bookmarkStart w:id="1225" w:name="_Toc68786468"/>
      <w:r w:rsidRPr="00BE78CA">
        <w:lastRenderedPageBreak/>
        <w:t>Table 6.1.4</w:t>
      </w:r>
      <w:r w:rsidRPr="00BE78CA">
        <w:tab/>
        <w:t xml:space="preserve">New Zealand’s emission factors for annual growth in biomass </w:t>
      </w:r>
      <w:bookmarkEnd w:id="1209"/>
      <w:bookmarkEnd w:id="1210"/>
      <w:bookmarkEnd w:id="1211"/>
      <w:bookmarkEnd w:id="1212"/>
      <w:r w:rsidRPr="00BE78CA">
        <w:t>carbon stock in land after conversion</w:t>
      </w:r>
      <w:bookmarkEnd w:id="1213"/>
      <w:bookmarkEnd w:id="1214"/>
      <w:bookmarkEnd w:id="1215"/>
      <w:bookmarkEnd w:id="1216"/>
      <w:bookmarkEnd w:id="1217"/>
      <w:bookmarkEnd w:id="1218"/>
      <w:bookmarkEnd w:id="1219"/>
      <w:bookmarkEnd w:id="1220"/>
      <w:bookmarkEnd w:id="1221"/>
      <w:bookmarkEnd w:id="1222"/>
      <w:bookmarkEnd w:id="1223"/>
      <w:bookmarkEnd w:id="1224"/>
      <w:bookmarkEnd w:id="1225"/>
    </w:p>
    <w:tbl>
      <w:tblPr>
        <w:tblW w:w="8505" w:type="dxa"/>
        <w:tblLayout w:type="fixed"/>
        <w:tblLook w:val="04A0" w:firstRow="1" w:lastRow="0" w:firstColumn="1" w:lastColumn="0" w:noHBand="0" w:noVBand="1"/>
      </w:tblPr>
      <w:tblGrid>
        <w:gridCol w:w="1093"/>
        <w:gridCol w:w="1601"/>
        <w:gridCol w:w="1559"/>
        <w:gridCol w:w="1092"/>
        <w:gridCol w:w="1494"/>
        <w:gridCol w:w="1666"/>
      </w:tblGrid>
      <w:tr w:rsidR="00333601" w:rsidRPr="00BE78CA" w14:paraId="63044B9C" w14:textId="77777777" w:rsidTr="00FA2314">
        <w:trPr>
          <w:tblHeader/>
        </w:trPr>
        <w:tc>
          <w:tcPr>
            <w:tcW w:w="1093" w:type="dxa"/>
            <w:tcBorders>
              <w:top w:val="single" w:sz="4" w:space="0" w:color="365F91"/>
              <w:bottom w:val="single" w:sz="4" w:space="0" w:color="365F91"/>
            </w:tcBorders>
            <w:shd w:val="clear" w:color="auto" w:fill="365F91"/>
            <w:vAlign w:val="bottom"/>
          </w:tcPr>
          <w:p w14:paraId="28EB93A6" w14:textId="77777777" w:rsidR="00333601" w:rsidRPr="00BE78CA" w:rsidRDefault="00333601" w:rsidP="00C26084">
            <w:pPr>
              <w:pStyle w:val="TableTextBold"/>
              <w:keepNext/>
              <w:rPr>
                <w:noProof w:val="0"/>
                <w:color w:val="FFFFFF"/>
                <w:szCs w:val="16"/>
              </w:rPr>
            </w:pPr>
            <w:r w:rsidRPr="00BE78CA">
              <w:rPr>
                <w:noProof w:val="0"/>
                <w:color w:val="FFFFFF"/>
                <w:szCs w:val="16"/>
              </w:rPr>
              <w:t>Land use category</w:t>
            </w:r>
          </w:p>
        </w:tc>
        <w:tc>
          <w:tcPr>
            <w:tcW w:w="1601" w:type="dxa"/>
            <w:tcBorders>
              <w:top w:val="single" w:sz="4" w:space="0" w:color="365F91"/>
              <w:bottom w:val="single" w:sz="4" w:space="0" w:color="365F91"/>
            </w:tcBorders>
            <w:shd w:val="clear" w:color="auto" w:fill="365F91"/>
            <w:vAlign w:val="bottom"/>
          </w:tcPr>
          <w:p w14:paraId="708C0006" w14:textId="77777777" w:rsidR="00333601" w:rsidRPr="00BE78CA" w:rsidRDefault="00333601" w:rsidP="00C26084">
            <w:pPr>
              <w:pStyle w:val="TableTextBold"/>
              <w:keepNext/>
              <w:rPr>
                <w:noProof w:val="0"/>
                <w:color w:val="FFFFFF"/>
                <w:szCs w:val="16"/>
              </w:rPr>
            </w:pPr>
            <w:r w:rsidRPr="00BE78CA">
              <w:rPr>
                <w:noProof w:val="0"/>
                <w:color w:val="FFFFFF"/>
                <w:szCs w:val="16"/>
              </w:rPr>
              <w:t>Land use type</w:t>
            </w:r>
          </w:p>
        </w:tc>
        <w:tc>
          <w:tcPr>
            <w:tcW w:w="1559" w:type="dxa"/>
            <w:tcBorders>
              <w:top w:val="single" w:sz="4" w:space="0" w:color="365F91"/>
              <w:bottom w:val="single" w:sz="4" w:space="0" w:color="365F91"/>
            </w:tcBorders>
            <w:shd w:val="clear" w:color="auto" w:fill="365F91"/>
            <w:vAlign w:val="bottom"/>
          </w:tcPr>
          <w:p w14:paraId="45E9D346" w14:textId="77777777" w:rsidR="00333601" w:rsidRPr="00BE78CA" w:rsidRDefault="00333601" w:rsidP="00C26084">
            <w:pPr>
              <w:pStyle w:val="TableTextBold"/>
              <w:keepNext/>
              <w:rPr>
                <w:noProof w:val="0"/>
                <w:color w:val="FFFFFF"/>
                <w:szCs w:val="16"/>
              </w:rPr>
            </w:pPr>
            <w:r w:rsidRPr="00BE78CA">
              <w:rPr>
                <w:noProof w:val="0"/>
                <w:color w:val="FFFFFF"/>
                <w:szCs w:val="16"/>
              </w:rPr>
              <w:t>Average annual carbon stock change (t C ha</w:t>
            </w:r>
            <w:r w:rsidRPr="00BE78CA">
              <w:rPr>
                <w:noProof w:val="0"/>
                <w:color w:val="FFFFFF"/>
                <w:szCs w:val="16"/>
                <w:vertAlign w:val="superscript"/>
              </w:rPr>
              <w:t>–1</w:t>
            </w:r>
            <w:r w:rsidRPr="00BE78CA">
              <w:rPr>
                <w:noProof w:val="0"/>
                <w:color w:val="FFFFFF"/>
                <w:szCs w:val="16"/>
              </w:rPr>
              <w:t>)</w:t>
            </w:r>
          </w:p>
        </w:tc>
        <w:tc>
          <w:tcPr>
            <w:tcW w:w="1092" w:type="dxa"/>
            <w:tcBorders>
              <w:top w:val="single" w:sz="4" w:space="0" w:color="365F91"/>
              <w:bottom w:val="single" w:sz="4" w:space="0" w:color="365F91"/>
            </w:tcBorders>
            <w:shd w:val="clear" w:color="auto" w:fill="365F91"/>
            <w:vAlign w:val="bottom"/>
          </w:tcPr>
          <w:p w14:paraId="365B1041" w14:textId="77777777" w:rsidR="00333601" w:rsidRPr="00BE78CA" w:rsidRDefault="00333601" w:rsidP="00C26084">
            <w:pPr>
              <w:pStyle w:val="TableTextBold"/>
              <w:keepNext/>
              <w:rPr>
                <w:noProof w:val="0"/>
                <w:color w:val="FFFFFF"/>
                <w:szCs w:val="16"/>
              </w:rPr>
            </w:pPr>
            <w:r w:rsidRPr="00BE78CA">
              <w:rPr>
                <w:noProof w:val="0"/>
                <w:color w:val="FFFFFF"/>
                <w:szCs w:val="16"/>
              </w:rPr>
              <w:t>Carbon stock maturity cycle</w:t>
            </w:r>
          </w:p>
        </w:tc>
        <w:tc>
          <w:tcPr>
            <w:tcW w:w="1494" w:type="dxa"/>
            <w:tcBorders>
              <w:top w:val="single" w:sz="4" w:space="0" w:color="365F91"/>
              <w:bottom w:val="single" w:sz="4" w:space="0" w:color="365F91"/>
            </w:tcBorders>
            <w:shd w:val="clear" w:color="auto" w:fill="365F91"/>
            <w:vAlign w:val="bottom"/>
          </w:tcPr>
          <w:p w14:paraId="5E8B4FB3" w14:textId="77777777" w:rsidR="00333601" w:rsidRPr="00BE78CA" w:rsidRDefault="00333601" w:rsidP="00C26084">
            <w:pPr>
              <w:pStyle w:val="TableTextBold"/>
              <w:keepNext/>
              <w:rPr>
                <w:noProof w:val="0"/>
                <w:color w:val="FFFFFF"/>
                <w:szCs w:val="16"/>
              </w:rPr>
            </w:pPr>
            <w:r w:rsidRPr="00BE78CA">
              <w:rPr>
                <w:noProof w:val="0"/>
                <w:color w:val="FFFFFF"/>
                <w:szCs w:val="16"/>
              </w:rPr>
              <w:t>Carbon pools</w:t>
            </w:r>
          </w:p>
        </w:tc>
        <w:tc>
          <w:tcPr>
            <w:tcW w:w="1666" w:type="dxa"/>
            <w:tcBorders>
              <w:top w:val="single" w:sz="4" w:space="0" w:color="365F91"/>
              <w:bottom w:val="single" w:sz="4" w:space="0" w:color="365F91"/>
            </w:tcBorders>
            <w:shd w:val="clear" w:color="auto" w:fill="365F91"/>
            <w:vAlign w:val="bottom"/>
          </w:tcPr>
          <w:p w14:paraId="217D67D0" w14:textId="77777777" w:rsidR="00333601" w:rsidRPr="00BE78CA" w:rsidRDefault="00333601" w:rsidP="00C26084">
            <w:pPr>
              <w:pStyle w:val="TableTextBold"/>
              <w:keepNext/>
              <w:rPr>
                <w:noProof w:val="0"/>
                <w:color w:val="FFFFFF"/>
                <w:szCs w:val="16"/>
              </w:rPr>
            </w:pPr>
            <w:r w:rsidRPr="00BE78CA">
              <w:rPr>
                <w:noProof w:val="0"/>
                <w:color w:val="FFFFFF"/>
                <w:szCs w:val="16"/>
              </w:rPr>
              <w:t>Reference</w:t>
            </w:r>
          </w:p>
        </w:tc>
      </w:tr>
      <w:tr w:rsidR="00333601" w:rsidRPr="00BE78CA" w14:paraId="136F658F" w14:textId="77777777" w:rsidTr="00FA2314">
        <w:tc>
          <w:tcPr>
            <w:tcW w:w="1093" w:type="dxa"/>
            <w:vMerge w:val="restart"/>
            <w:tcBorders>
              <w:top w:val="single" w:sz="4" w:space="0" w:color="365F91"/>
              <w:bottom w:val="single" w:sz="4" w:space="0" w:color="365F91"/>
            </w:tcBorders>
          </w:tcPr>
          <w:p w14:paraId="36D59097" w14:textId="77777777" w:rsidR="00333601" w:rsidRPr="00BE78CA" w:rsidRDefault="00333601" w:rsidP="00C26084">
            <w:pPr>
              <w:pStyle w:val="TableText"/>
              <w:keepNext/>
              <w:rPr>
                <w:szCs w:val="16"/>
              </w:rPr>
            </w:pPr>
            <w:r w:rsidRPr="00BE78CA">
              <w:rPr>
                <w:szCs w:val="16"/>
              </w:rPr>
              <w:t>Forest land</w:t>
            </w:r>
          </w:p>
        </w:tc>
        <w:tc>
          <w:tcPr>
            <w:tcW w:w="1601" w:type="dxa"/>
            <w:tcBorders>
              <w:top w:val="single" w:sz="4" w:space="0" w:color="365F91"/>
              <w:bottom w:val="single" w:sz="4" w:space="0" w:color="365F91"/>
            </w:tcBorders>
          </w:tcPr>
          <w:p w14:paraId="3A18C06E" w14:textId="77777777" w:rsidR="00333601" w:rsidRPr="00BE78CA" w:rsidRDefault="00333601" w:rsidP="00C26084">
            <w:pPr>
              <w:pStyle w:val="TableText"/>
              <w:keepNext/>
              <w:rPr>
                <w:szCs w:val="16"/>
              </w:rPr>
            </w:pPr>
            <w:r w:rsidRPr="00BE78CA">
              <w:rPr>
                <w:szCs w:val="16"/>
              </w:rPr>
              <w:t>Pre-1990 natural forest: regenerating</w:t>
            </w:r>
          </w:p>
        </w:tc>
        <w:tc>
          <w:tcPr>
            <w:tcW w:w="1559" w:type="dxa"/>
            <w:tcBorders>
              <w:top w:val="single" w:sz="4" w:space="0" w:color="365F91"/>
              <w:bottom w:val="single" w:sz="4" w:space="0" w:color="365F91"/>
            </w:tcBorders>
          </w:tcPr>
          <w:p w14:paraId="629B120D" w14:textId="77777777" w:rsidR="00333601" w:rsidRPr="00BE78CA" w:rsidRDefault="00333601" w:rsidP="00C26084">
            <w:pPr>
              <w:pStyle w:val="TableText"/>
              <w:keepNext/>
              <w:rPr>
                <w:szCs w:val="16"/>
              </w:rPr>
            </w:pPr>
            <w:r w:rsidRPr="00BE78CA">
              <w:rPr>
                <w:szCs w:val="16"/>
              </w:rPr>
              <w:t>0.63</w:t>
            </w:r>
          </w:p>
        </w:tc>
        <w:tc>
          <w:tcPr>
            <w:tcW w:w="1092" w:type="dxa"/>
            <w:tcBorders>
              <w:top w:val="single" w:sz="4" w:space="0" w:color="365F91"/>
              <w:bottom w:val="single" w:sz="4" w:space="0" w:color="365F91"/>
            </w:tcBorders>
          </w:tcPr>
          <w:p w14:paraId="7210719C" w14:textId="77777777" w:rsidR="00333601" w:rsidRPr="00BE78CA" w:rsidRDefault="00333601" w:rsidP="00C26084">
            <w:pPr>
              <w:pStyle w:val="TableText"/>
              <w:keepNext/>
              <w:rPr>
                <w:szCs w:val="16"/>
              </w:rPr>
            </w:pPr>
            <w:r w:rsidRPr="00BE78CA">
              <w:rPr>
                <w:szCs w:val="16"/>
              </w:rPr>
              <w:t>NA</w:t>
            </w:r>
          </w:p>
        </w:tc>
        <w:tc>
          <w:tcPr>
            <w:tcW w:w="1494" w:type="dxa"/>
            <w:tcBorders>
              <w:top w:val="single" w:sz="4" w:space="0" w:color="365F91"/>
              <w:bottom w:val="single" w:sz="4" w:space="0" w:color="365F91"/>
            </w:tcBorders>
          </w:tcPr>
          <w:p w14:paraId="7BE3554B" w14:textId="77777777" w:rsidR="00333601" w:rsidRPr="00BE78CA" w:rsidRDefault="00333601" w:rsidP="00C26084">
            <w:pPr>
              <w:pStyle w:val="TableText"/>
              <w:keepNext/>
              <w:rPr>
                <w:szCs w:val="16"/>
              </w:rPr>
            </w:pPr>
            <w:r w:rsidRPr="00BE78CA">
              <w:rPr>
                <w:szCs w:val="16"/>
              </w:rPr>
              <w:t xml:space="preserve">All biomass pools </w:t>
            </w:r>
          </w:p>
        </w:tc>
        <w:tc>
          <w:tcPr>
            <w:tcW w:w="1666" w:type="dxa"/>
            <w:tcBorders>
              <w:top w:val="single" w:sz="4" w:space="0" w:color="365F91"/>
              <w:bottom w:val="single" w:sz="4" w:space="0" w:color="365F91"/>
            </w:tcBorders>
          </w:tcPr>
          <w:p w14:paraId="5B4C268A" w14:textId="77777777" w:rsidR="00333601" w:rsidRPr="00BE78CA" w:rsidRDefault="00333601" w:rsidP="00C26084">
            <w:pPr>
              <w:pStyle w:val="TableText"/>
              <w:keepNext/>
              <w:rPr>
                <w:szCs w:val="16"/>
              </w:rPr>
            </w:pPr>
            <w:r w:rsidRPr="00BE78CA">
              <w:rPr>
                <w:szCs w:val="16"/>
              </w:rPr>
              <w:t>Paul et al. (2020, submitted)</w:t>
            </w:r>
          </w:p>
        </w:tc>
      </w:tr>
      <w:tr w:rsidR="00333601" w:rsidRPr="00BE78CA" w14:paraId="27D691D7" w14:textId="77777777" w:rsidTr="00FA2314">
        <w:tc>
          <w:tcPr>
            <w:tcW w:w="1093" w:type="dxa"/>
            <w:vMerge/>
            <w:tcBorders>
              <w:top w:val="single" w:sz="4" w:space="0" w:color="365F91"/>
              <w:bottom w:val="single" w:sz="4" w:space="0" w:color="365F91"/>
            </w:tcBorders>
          </w:tcPr>
          <w:p w14:paraId="3397E83B" w14:textId="77777777" w:rsidR="00333601" w:rsidRPr="00BE78CA" w:rsidRDefault="00333601" w:rsidP="00C26084">
            <w:pPr>
              <w:pStyle w:val="TableText"/>
              <w:keepNext/>
              <w:rPr>
                <w:szCs w:val="16"/>
              </w:rPr>
            </w:pPr>
          </w:p>
        </w:tc>
        <w:tc>
          <w:tcPr>
            <w:tcW w:w="1601" w:type="dxa"/>
            <w:tcBorders>
              <w:top w:val="single" w:sz="4" w:space="0" w:color="365F91"/>
              <w:bottom w:val="single" w:sz="4" w:space="0" w:color="365F91"/>
            </w:tcBorders>
          </w:tcPr>
          <w:p w14:paraId="65B4EBA2" w14:textId="77777777" w:rsidR="00333601" w:rsidRPr="00BE78CA" w:rsidRDefault="00333601" w:rsidP="00C26084">
            <w:pPr>
              <w:pStyle w:val="TableText"/>
              <w:keepNext/>
              <w:rPr>
                <w:szCs w:val="16"/>
              </w:rPr>
            </w:pPr>
            <w:r w:rsidRPr="00BE78CA">
              <w:rPr>
                <w:szCs w:val="16"/>
              </w:rPr>
              <w:t>Pre-1990 natural forest: tall forest</w:t>
            </w:r>
          </w:p>
        </w:tc>
        <w:tc>
          <w:tcPr>
            <w:tcW w:w="1559" w:type="dxa"/>
            <w:tcBorders>
              <w:top w:val="single" w:sz="4" w:space="0" w:color="365F91"/>
              <w:bottom w:val="single" w:sz="4" w:space="0" w:color="365F91"/>
            </w:tcBorders>
          </w:tcPr>
          <w:p w14:paraId="68C09BA3" w14:textId="77777777" w:rsidR="00333601" w:rsidRPr="00BE78CA" w:rsidRDefault="00333601" w:rsidP="00C26084">
            <w:pPr>
              <w:pStyle w:val="TableText"/>
              <w:keepNext/>
              <w:rPr>
                <w:szCs w:val="16"/>
              </w:rPr>
            </w:pPr>
            <w:r w:rsidRPr="00BE78CA">
              <w:rPr>
                <w:szCs w:val="16"/>
              </w:rPr>
              <w:t>0</w:t>
            </w:r>
          </w:p>
        </w:tc>
        <w:tc>
          <w:tcPr>
            <w:tcW w:w="1092" w:type="dxa"/>
            <w:tcBorders>
              <w:top w:val="single" w:sz="4" w:space="0" w:color="365F91"/>
              <w:bottom w:val="single" w:sz="4" w:space="0" w:color="365F91"/>
            </w:tcBorders>
          </w:tcPr>
          <w:p w14:paraId="401FAABC" w14:textId="77777777" w:rsidR="00333601" w:rsidRPr="00BE78CA" w:rsidRDefault="00333601" w:rsidP="00C26084">
            <w:pPr>
              <w:pStyle w:val="TableText"/>
              <w:keepNext/>
              <w:rPr>
                <w:szCs w:val="16"/>
              </w:rPr>
            </w:pPr>
            <w:r w:rsidRPr="00BE78CA">
              <w:rPr>
                <w:szCs w:val="16"/>
              </w:rPr>
              <w:t>NA</w:t>
            </w:r>
          </w:p>
        </w:tc>
        <w:tc>
          <w:tcPr>
            <w:tcW w:w="1494" w:type="dxa"/>
            <w:tcBorders>
              <w:top w:val="single" w:sz="4" w:space="0" w:color="365F91"/>
              <w:bottom w:val="single" w:sz="4" w:space="0" w:color="365F91"/>
            </w:tcBorders>
          </w:tcPr>
          <w:p w14:paraId="19E5C511" w14:textId="77777777" w:rsidR="00333601" w:rsidRPr="00BE78CA" w:rsidRDefault="00333601" w:rsidP="00C26084">
            <w:pPr>
              <w:pStyle w:val="TableText"/>
              <w:keepNext/>
              <w:rPr>
                <w:szCs w:val="16"/>
              </w:rPr>
            </w:pPr>
            <w:r w:rsidRPr="00BE78CA">
              <w:rPr>
                <w:szCs w:val="16"/>
              </w:rPr>
              <w:t>All biomass pools</w:t>
            </w:r>
          </w:p>
        </w:tc>
        <w:tc>
          <w:tcPr>
            <w:tcW w:w="1666" w:type="dxa"/>
            <w:tcBorders>
              <w:top w:val="single" w:sz="4" w:space="0" w:color="365F91"/>
              <w:bottom w:val="single" w:sz="4" w:space="0" w:color="365F91"/>
            </w:tcBorders>
          </w:tcPr>
          <w:p w14:paraId="1EC5DDB1" w14:textId="77777777" w:rsidR="00333601" w:rsidRPr="00BE78CA" w:rsidDel="00F52B35" w:rsidRDefault="00333601" w:rsidP="00C26084">
            <w:pPr>
              <w:pStyle w:val="TableText"/>
              <w:keepNext/>
              <w:rPr>
                <w:szCs w:val="16"/>
              </w:rPr>
            </w:pPr>
            <w:r w:rsidRPr="00BE78CA">
              <w:rPr>
                <w:szCs w:val="16"/>
              </w:rPr>
              <w:t>Paul et al. (2020, submitted)</w:t>
            </w:r>
          </w:p>
        </w:tc>
      </w:tr>
      <w:tr w:rsidR="00333601" w:rsidRPr="00BE78CA" w14:paraId="0FF4C504" w14:textId="77777777" w:rsidTr="00FA2314">
        <w:tc>
          <w:tcPr>
            <w:tcW w:w="1093" w:type="dxa"/>
            <w:vMerge/>
            <w:tcBorders>
              <w:top w:val="single" w:sz="4" w:space="0" w:color="365F91"/>
              <w:bottom w:val="single" w:sz="4" w:space="0" w:color="365F91"/>
            </w:tcBorders>
          </w:tcPr>
          <w:p w14:paraId="6DA5A3F8" w14:textId="77777777" w:rsidR="00333601" w:rsidRPr="00BE78CA" w:rsidRDefault="00333601" w:rsidP="00C26084">
            <w:pPr>
              <w:pStyle w:val="TableText"/>
              <w:keepNext/>
              <w:rPr>
                <w:szCs w:val="16"/>
              </w:rPr>
            </w:pPr>
          </w:p>
        </w:tc>
        <w:tc>
          <w:tcPr>
            <w:tcW w:w="1601" w:type="dxa"/>
            <w:tcBorders>
              <w:top w:val="single" w:sz="4" w:space="0" w:color="365F91"/>
              <w:bottom w:val="single" w:sz="4" w:space="0" w:color="365F91"/>
            </w:tcBorders>
          </w:tcPr>
          <w:p w14:paraId="06904A26" w14:textId="77777777" w:rsidR="00333601" w:rsidRPr="00BE78CA" w:rsidRDefault="00333601" w:rsidP="00C26084">
            <w:pPr>
              <w:pStyle w:val="TableText"/>
              <w:keepNext/>
              <w:rPr>
                <w:szCs w:val="16"/>
              </w:rPr>
            </w:pPr>
            <w:r w:rsidRPr="00BE78CA">
              <w:rPr>
                <w:szCs w:val="16"/>
              </w:rPr>
              <w:t>Pre-1990 planted forest</w:t>
            </w:r>
          </w:p>
        </w:tc>
        <w:tc>
          <w:tcPr>
            <w:tcW w:w="1559" w:type="dxa"/>
            <w:tcBorders>
              <w:top w:val="single" w:sz="4" w:space="0" w:color="365F91"/>
              <w:bottom w:val="single" w:sz="4" w:space="0" w:color="365F91"/>
            </w:tcBorders>
          </w:tcPr>
          <w:p w14:paraId="68793A64" w14:textId="77777777" w:rsidR="00333601" w:rsidRPr="00BE78CA" w:rsidRDefault="00333601" w:rsidP="00C26084">
            <w:pPr>
              <w:pStyle w:val="TableText"/>
              <w:keepNext/>
              <w:rPr>
                <w:szCs w:val="16"/>
              </w:rPr>
            </w:pPr>
            <w:r w:rsidRPr="00BE78CA">
              <w:rPr>
                <w:szCs w:val="16"/>
              </w:rPr>
              <w:t>Based on age-based carbon yield tables</w:t>
            </w:r>
          </w:p>
        </w:tc>
        <w:tc>
          <w:tcPr>
            <w:tcW w:w="1092" w:type="dxa"/>
            <w:tcBorders>
              <w:top w:val="single" w:sz="4" w:space="0" w:color="365F91"/>
              <w:bottom w:val="single" w:sz="4" w:space="0" w:color="365F91"/>
            </w:tcBorders>
          </w:tcPr>
          <w:p w14:paraId="0DC1FD13" w14:textId="77777777" w:rsidR="00333601" w:rsidRPr="00BE78CA" w:rsidRDefault="00333601" w:rsidP="00C26084">
            <w:pPr>
              <w:pStyle w:val="TableText"/>
              <w:keepNext/>
              <w:rPr>
                <w:szCs w:val="16"/>
              </w:rPr>
            </w:pPr>
            <w:r w:rsidRPr="00BE78CA">
              <w:rPr>
                <w:szCs w:val="16"/>
              </w:rPr>
              <w:t>NA</w:t>
            </w:r>
          </w:p>
        </w:tc>
        <w:tc>
          <w:tcPr>
            <w:tcW w:w="1494" w:type="dxa"/>
            <w:tcBorders>
              <w:top w:val="single" w:sz="4" w:space="0" w:color="365F91"/>
              <w:bottom w:val="single" w:sz="4" w:space="0" w:color="365F91"/>
            </w:tcBorders>
          </w:tcPr>
          <w:p w14:paraId="66168736" w14:textId="77777777" w:rsidR="00333601" w:rsidRPr="00BE78CA" w:rsidRDefault="00333601" w:rsidP="00C26084">
            <w:pPr>
              <w:pStyle w:val="TableText"/>
              <w:keepNext/>
              <w:rPr>
                <w:szCs w:val="16"/>
              </w:rPr>
            </w:pPr>
            <w:r w:rsidRPr="00BE78CA">
              <w:rPr>
                <w:szCs w:val="16"/>
              </w:rPr>
              <w:t xml:space="preserve">All biomass pools </w:t>
            </w:r>
          </w:p>
        </w:tc>
        <w:tc>
          <w:tcPr>
            <w:tcW w:w="1666" w:type="dxa"/>
            <w:tcBorders>
              <w:top w:val="single" w:sz="4" w:space="0" w:color="365F91"/>
              <w:bottom w:val="single" w:sz="4" w:space="0" w:color="365F91"/>
            </w:tcBorders>
          </w:tcPr>
          <w:p w14:paraId="094DFD22" w14:textId="77777777" w:rsidR="00333601" w:rsidRPr="00BE78CA" w:rsidRDefault="00333601" w:rsidP="00C26084">
            <w:pPr>
              <w:pStyle w:val="TableText"/>
              <w:keepNext/>
              <w:rPr>
                <w:szCs w:val="16"/>
              </w:rPr>
            </w:pPr>
            <w:r w:rsidRPr="00BE78CA">
              <w:rPr>
                <w:szCs w:val="16"/>
              </w:rPr>
              <w:t>Paul and Wakelin (unpublished)</w:t>
            </w:r>
          </w:p>
        </w:tc>
      </w:tr>
      <w:tr w:rsidR="00333601" w:rsidRPr="00BE78CA" w14:paraId="600A562F" w14:textId="77777777" w:rsidTr="00FA2314">
        <w:tc>
          <w:tcPr>
            <w:tcW w:w="1093" w:type="dxa"/>
            <w:vMerge/>
            <w:tcBorders>
              <w:top w:val="single" w:sz="4" w:space="0" w:color="365F91"/>
              <w:bottom w:val="single" w:sz="4" w:space="0" w:color="365F91"/>
            </w:tcBorders>
          </w:tcPr>
          <w:p w14:paraId="3C36DEC1" w14:textId="77777777" w:rsidR="00333601" w:rsidRPr="00BE78CA" w:rsidRDefault="00333601" w:rsidP="00C26084">
            <w:pPr>
              <w:pStyle w:val="TableText"/>
              <w:keepNext/>
              <w:rPr>
                <w:szCs w:val="16"/>
              </w:rPr>
            </w:pPr>
          </w:p>
        </w:tc>
        <w:tc>
          <w:tcPr>
            <w:tcW w:w="1601" w:type="dxa"/>
            <w:tcBorders>
              <w:top w:val="single" w:sz="4" w:space="0" w:color="365F91"/>
              <w:bottom w:val="single" w:sz="4" w:space="0" w:color="365F91"/>
            </w:tcBorders>
          </w:tcPr>
          <w:p w14:paraId="200C63B6" w14:textId="77777777" w:rsidR="00333601" w:rsidRPr="00BE78CA" w:rsidRDefault="00333601" w:rsidP="00C26084">
            <w:pPr>
              <w:pStyle w:val="TableText"/>
              <w:keepNext/>
              <w:rPr>
                <w:szCs w:val="16"/>
              </w:rPr>
            </w:pPr>
            <w:r w:rsidRPr="00BE78CA">
              <w:rPr>
                <w:szCs w:val="16"/>
              </w:rPr>
              <w:t>Post-1989 natural forest</w:t>
            </w:r>
          </w:p>
        </w:tc>
        <w:tc>
          <w:tcPr>
            <w:tcW w:w="1559" w:type="dxa"/>
            <w:tcBorders>
              <w:top w:val="single" w:sz="4" w:space="0" w:color="365F91"/>
              <w:bottom w:val="single" w:sz="4" w:space="0" w:color="365F91"/>
            </w:tcBorders>
          </w:tcPr>
          <w:p w14:paraId="165A0F8B" w14:textId="77777777" w:rsidR="00333601" w:rsidRPr="00BE78CA" w:rsidRDefault="00333601" w:rsidP="00C26084">
            <w:pPr>
              <w:pStyle w:val="TableText"/>
              <w:keepNext/>
              <w:rPr>
                <w:szCs w:val="16"/>
              </w:rPr>
            </w:pPr>
            <w:r w:rsidRPr="00BE78CA">
              <w:rPr>
                <w:szCs w:val="16"/>
              </w:rPr>
              <w:t>Based on an age-based carbon yield table</w:t>
            </w:r>
          </w:p>
        </w:tc>
        <w:tc>
          <w:tcPr>
            <w:tcW w:w="1092" w:type="dxa"/>
            <w:tcBorders>
              <w:top w:val="single" w:sz="4" w:space="0" w:color="365F91"/>
              <w:bottom w:val="single" w:sz="4" w:space="0" w:color="365F91"/>
            </w:tcBorders>
          </w:tcPr>
          <w:p w14:paraId="1812F37B" w14:textId="77777777" w:rsidR="00333601" w:rsidRPr="00BE78CA" w:rsidRDefault="00333601" w:rsidP="00C26084">
            <w:pPr>
              <w:pStyle w:val="TableText"/>
              <w:keepNext/>
              <w:rPr>
                <w:szCs w:val="16"/>
              </w:rPr>
            </w:pPr>
            <w:r w:rsidRPr="00BE78CA">
              <w:rPr>
                <w:szCs w:val="16"/>
              </w:rPr>
              <w:t>NA</w:t>
            </w:r>
          </w:p>
        </w:tc>
        <w:tc>
          <w:tcPr>
            <w:tcW w:w="1494" w:type="dxa"/>
            <w:tcBorders>
              <w:top w:val="single" w:sz="4" w:space="0" w:color="365F91"/>
              <w:bottom w:val="single" w:sz="4" w:space="0" w:color="365F91"/>
            </w:tcBorders>
          </w:tcPr>
          <w:p w14:paraId="2A138110" w14:textId="77777777" w:rsidR="00333601" w:rsidRPr="00BE78CA" w:rsidRDefault="00333601" w:rsidP="00C26084">
            <w:pPr>
              <w:pStyle w:val="TableText"/>
              <w:keepNext/>
              <w:rPr>
                <w:szCs w:val="16"/>
              </w:rPr>
            </w:pPr>
            <w:r w:rsidRPr="00BE78CA">
              <w:rPr>
                <w:szCs w:val="16"/>
              </w:rPr>
              <w:t xml:space="preserve">All biomass pools </w:t>
            </w:r>
          </w:p>
        </w:tc>
        <w:tc>
          <w:tcPr>
            <w:tcW w:w="1666" w:type="dxa"/>
            <w:tcBorders>
              <w:top w:val="single" w:sz="4" w:space="0" w:color="365F91"/>
              <w:bottom w:val="single" w:sz="4" w:space="0" w:color="365F91"/>
            </w:tcBorders>
          </w:tcPr>
          <w:p w14:paraId="494B1250" w14:textId="77777777" w:rsidR="00333601" w:rsidRPr="00BE78CA" w:rsidRDefault="00333601" w:rsidP="00C26084">
            <w:pPr>
              <w:pStyle w:val="TableText"/>
              <w:keepNext/>
              <w:rPr>
                <w:szCs w:val="16"/>
              </w:rPr>
            </w:pPr>
            <w:r w:rsidRPr="00BE78CA">
              <w:rPr>
                <w:szCs w:val="16"/>
              </w:rPr>
              <w:t>Paul et al. (unpublished(b))</w:t>
            </w:r>
          </w:p>
        </w:tc>
      </w:tr>
      <w:tr w:rsidR="00333601" w:rsidRPr="00BE78CA" w14:paraId="736FD180" w14:textId="77777777" w:rsidTr="00FA2314">
        <w:tc>
          <w:tcPr>
            <w:tcW w:w="1093" w:type="dxa"/>
            <w:vMerge/>
            <w:tcBorders>
              <w:top w:val="single" w:sz="4" w:space="0" w:color="365F91"/>
              <w:bottom w:val="single" w:sz="4" w:space="0" w:color="365F91"/>
            </w:tcBorders>
          </w:tcPr>
          <w:p w14:paraId="07994216" w14:textId="77777777" w:rsidR="00333601" w:rsidRPr="00BE78CA" w:rsidRDefault="00333601" w:rsidP="00C26084">
            <w:pPr>
              <w:pStyle w:val="TableText"/>
              <w:rPr>
                <w:szCs w:val="16"/>
              </w:rPr>
            </w:pPr>
          </w:p>
        </w:tc>
        <w:tc>
          <w:tcPr>
            <w:tcW w:w="1601" w:type="dxa"/>
            <w:tcBorders>
              <w:top w:val="single" w:sz="4" w:space="0" w:color="365F91"/>
              <w:bottom w:val="single" w:sz="4" w:space="0" w:color="365F91"/>
            </w:tcBorders>
          </w:tcPr>
          <w:p w14:paraId="1D8906E2" w14:textId="77777777" w:rsidR="00333601" w:rsidRPr="00BE78CA" w:rsidRDefault="00333601" w:rsidP="00C26084">
            <w:pPr>
              <w:pStyle w:val="TableText"/>
              <w:rPr>
                <w:szCs w:val="16"/>
              </w:rPr>
            </w:pPr>
            <w:r w:rsidRPr="00BE78CA">
              <w:rPr>
                <w:szCs w:val="16"/>
              </w:rPr>
              <w:t>Post-1989 planted forest</w:t>
            </w:r>
          </w:p>
        </w:tc>
        <w:tc>
          <w:tcPr>
            <w:tcW w:w="1559" w:type="dxa"/>
            <w:tcBorders>
              <w:top w:val="single" w:sz="4" w:space="0" w:color="365F91"/>
              <w:bottom w:val="single" w:sz="4" w:space="0" w:color="365F91"/>
            </w:tcBorders>
          </w:tcPr>
          <w:p w14:paraId="2CD9CB1E" w14:textId="77777777" w:rsidR="00333601" w:rsidRPr="00BE78CA" w:rsidRDefault="00333601" w:rsidP="00C26084">
            <w:pPr>
              <w:pStyle w:val="TableText"/>
              <w:rPr>
                <w:szCs w:val="16"/>
              </w:rPr>
            </w:pPr>
            <w:r w:rsidRPr="00BE78CA">
              <w:rPr>
                <w:szCs w:val="16"/>
              </w:rPr>
              <w:t>Based on an age-based carbon yield table</w:t>
            </w:r>
          </w:p>
        </w:tc>
        <w:tc>
          <w:tcPr>
            <w:tcW w:w="1092" w:type="dxa"/>
            <w:tcBorders>
              <w:top w:val="single" w:sz="4" w:space="0" w:color="365F91"/>
              <w:bottom w:val="single" w:sz="4" w:space="0" w:color="365F91"/>
            </w:tcBorders>
          </w:tcPr>
          <w:p w14:paraId="3A520E86" w14:textId="77777777" w:rsidR="00333601" w:rsidRPr="00BE78CA" w:rsidRDefault="00333601" w:rsidP="00C26084">
            <w:pPr>
              <w:pStyle w:val="TableText"/>
              <w:rPr>
                <w:szCs w:val="16"/>
              </w:rPr>
            </w:pPr>
            <w:r w:rsidRPr="00BE78CA">
              <w:rPr>
                <w:szCs w:val="16"/>
              </w:rPr>
              <w:t>NA</w:t>
            </w:r>
          </w:p>
        </w:tc>
        <w:tc>
          <w:tcPr>
            <w:tcW w:w="1494" w:type="dxa"/>
            <w:tcBorders>
              <w:top w:val="single" w:sz="4" w:space="0" w:color="365F91"/>
              <w:bottom w:val="single" w:sz="4" w:space="0" w:color="365F91"/>
            </w:tcBorders>
          </w:tcPr>
          <w:p w14:paraId="7903EF3C" w14:textId="77777777" w:rsidR="00333601" w:rsidRPr="00BE78CA" w:rsidRDefault="00333601" w:rsidP="00C26084">
            <w:pPr>
              <w:pStyle w:val="TableText"/>
              <w:rPr>
                <w:szCs w:val="16"/>
              </w:rPr>
            </w:pPr>
            <w:r w:rsidRPr="00BE78CA">
              <w:rPr>
                <w:szCs w:val="16"/>
              </w:rPr>
              <w:t xml:space="preserve">All biomass pools </w:t>
            </w:r>
          </w:p>
        </w:tc>
        <w:tc>
          <w:tcPr>
            <w:tcW w:w="1666" w:type="dxa"/>
            <w:tcBorders>
              <w:top w:val="single" w:sz="4" w:space="0" w:color="365F91"/>
              <w:bottom w:val="single" w:sz="4" w:space="0" w:color="365F91"/>
            </w:tcBorders>
          </w:tcPr>
          <w:p w14:paraId="26FDD8B8" w14:textId="77777777" w:rsidR="00333601" w:rsidRPr="00BE78CA" w:rsidRDefault="00333601" w:rsidP="00C26084">
            <w:pPr>
              <w:pStyle w:val="TableText"/>
              <w:rPr>
                <w:szCs w:val="16"/>
              </w:rPr>
            </w:pPr>
            <w:r w:rsidRPr="00BE78CA">
              <w:rPr>
                <w:szCs w:val="16"/>
              </w:rPr>
              <w:t>Paul et al. (unpublished(d))</w:t>
            </w:r>
          </w:p>
        </w:tc>
      </w:tr>
      <w:tr w:rsidR="00333601" w:rsidRPr="00BE78CA" w14:paraId="394F8A43" w14:textId="77777777" w:rsidTr="00FA2314">
        <w:tc>
          <w:tcPr>
            <w:tcW w:w="1093" w:type="dxa"/>
            <w:vMerge w:val="restart"/>
            <w:tcBorders>
              <w:top w:val="single" w:sz="4" w:space="0" w:color="365F91"/>
              <w:bottom w:val="single" w:sz="4" w:space="0" w:color="365F91"/>
            </w:tcBorders>
          </w:tcPr>
          <w:p w14:paraId="23C5005B" w14:textId="77777777" w:rsidR="00333601" w:rsidRPr="00BE78CA" w:rsidRDefault="00333601" w:rsidP="00C26084">
            <w:pPr>
              <w:pStyle w:val="TableText"/>
              <w:rPr>
                <w:szCs w:val="16"/>
              </w:rPr>
            </w:pPr>
            <w:r w:rsidRPr="00BE78CA">
              <w:rPr>
                <w:szCs w:val="16"/>
              </w:rPr>
              <w:t>Cropland</w:t>
            </w:r>
          </w:p>
        </w:tc>
        <w:tc>
          <w:tcPr>
            <w:tcW w:w="1601" w:type="dxa"/>
            <w:tcBorders>
              <w:top w:val="single" w:sz="4" w:space="0" w:color="365F91"/>
              <w:bottom w:val="single" w:sz="4" w:space="0" w:color="365F91"/>
            </w:tcBorders>
          </w:tcPr>
          <w:p w14:paraId="57AB696A" w14:textId="77777777" w:rsidR="00333601" w:rsidRPr="00BE78CA" w:rsidRDefault="00333601" w:rsidP="00C26084">
            <w:pPr>
              <w:pStyle w:val="TableText"/>
              <w:rPr>
                <w:szCs w:val="16"/>
              </w:rPr>
            </w:pPr>
            <w:r w:rsidRPr="00BE78CA">
              <w:rPr>
                <w:szCs w:val="16"/>
              </w:rPr>
              <w:t>Annual</w:t>
            </w:r>
          </w:p>
        </w:tc>
        <w:tc>
          <w:tcPr>
            <w:tcW w:w="1559" w:type="dxa"/>
            <w:tcBorders>
              <w:top w:val="single" w:sz="4" w:space="0" w:color="365F91"/>
              <w:bottom w:val="single" w:sz="4" w:space="0" w:color="365F91"/>
            </w:tcBorders>
          </w:tcPr>
          <w:p w14:paraId="65F7F6D9" w14:textId="77777777" w:rsidR="00333601" w:rsidRPr="00BE78CA" w:rsidRDefault="00333601" w:rsidP="00C26084">
            <w:pPr>
              <w:pStyle w:val="TableText"/>
              <w:rPr>
                <w:szCs w:val="16"/>
              </w:rPr>
            </w:pPr>
            <w:r w:rsidRPr="00BE78CA">
              <w:rPr>
                <w:szCs w:val="16"/>
              </w:rPr>
              <w:t>5</w:t>
            </w:r>
          </w:p>
        </w:tc>
        <w:tc>
          <w:tcPr>
            <w:tcW w:w="1092" w:type="dxa"/>
            <w:tcBorders>
              <w:top w:val="single" w:sz="4" w:space="0" w:color="365F91"/>
              <w:bottom w:val="single" w:sz="4" w:space="0" w:color="365F91"/>
            </w:tcBorders>
          </w:tcPr>
          <w:p w14:paraId="74C5DFE2" w14:textId="77777777" w:rsidR="00333601" w:rsidRPr="00BE78CA" w:rsidRDefault="00333601" w:rsidP="00C26084">
            <w:pPr>
              <w:pStyle w:val="TableText"/>
              <w:rPr>
                <w:szCs w:val="16"/>
              </w:rPr>
            </w:pPr>
            <w:r w:rsidRPr="00BE78CA">
              <w:rPr>
                <w:szCs w:val="16"/>
              </w:rPr>
              <w:t>1</w:t>
            </w:r>
          </w:p>
        </w:tc>
        <w:tc>
          <w:tcPr>
            <w:tcW w:w="1494" w:type="dxa"/>
            <w:tcBorders>
              <w:top w:val="single" w:sz="4" w:space="0" w:color="365F91"/>
              <w:bottom w:val="single" w:sz="4" w:space="0" w:color="365F91"/>
            </w:tcBorders>
          </w:tcPr>
          <w:p w14:paraId="662AE75F" w14:textId="77777777" w:rsidR="00333601" w:rsidRPr="00BE78CA" w:rsidRDefault="00333601" w:rsidP="00C26084">
            <w:pPr>
              <w:pStyle w:val="TableText"/>
              <w:rPr>
                <w:szCs w:val="16"/>
              </w:rPr>
            </w:pPr>
            <w:r w:rsidRPr="00BE78CA">
              <w:rPr>
                <w:szCs w:val="16"/>
              </w:rPr>
              <w:t>Above- and below-ground biomass</w:t>
            </w:r>
          </w:p>
        </w:tc>
        <w:tc>
          <w:tcPr>
            <w:tcW w:w="1666" w:type="dxa"/>
            <w:tcBorders>
              <w:top w:val="single" w:sz="4" w:space="0" w:color="365F91"/>
              <w:bottom w:val="single" w:sz="4" w:space="0" w:color="365F91"/>
            </w:tcBorders>
          </w:tcPr>
          <w:p w14:paraId="16FB1489" w14:textId="77777777" w:rsidR="00333601" w:rsidRPr="00BE78CA" w:rsidRDefault="00333601" w:rsidP="00C26084">
            <w:pPr>
              <w:pStyle w:val="TableText"/>
              <w:rPr>
                <w:szCs w:val="16"/>
              </w:rPr>
            </w:pPr>
            <w:r w:rsidRPr="00BE78CA">
              <w:rPr>
                <w:szCs w:val="16"/>
              </w:rPr>
              <w:t>IPCC (table 5.9, 2006a)</w:t>
            </w:r>
          </w:p>
        </w:tc>
      </w:tr>
      <w:tr w:rsidR="00333601" w:rsidRPr="00BE78CA" w14:paraId="663A5A45" w14:textId="77777777" w:rsidTr="00FA2314">
        <w:tc>
          <w:tcPr>
            <w:tcW w:w="1093" w:type="dxa"/>
            <w:vMerge/>
            <w:tcBorders>
              <w:top w:val="single" w:sz="4" w:space="0" w:color="365F91"/>
              <w:bottom w:val="single" w:sz="4" w:space="0" w:color="365F91"/>
            </w:tcBorders>
          </w:tcPr>
          <w:p w14:paraId="3B77F28C" w14:textId="77777777" w:rsidR="00333601" w:rsidRPr="00BE78CA" w:rsidRDefault="00333601" w:rsidP="00C26084">
            <w:pPr>
              <w:pStyle w:val="TableText"/>
              <w:rPr>
                <w:szCs w:val="16"/>
              </w:rPr>
            </w:pPr>
          </w:p>
        </w:tc>
        <w:tc>
          <w:tcPr>
            <w:tcW w:w="1601" w:type="dxa"/>
            <w:tcBorders>
              <w:top w:val="single" w:sz="4" w:space="0" w:color="365F91"/>
              <w:bottom w:val="single" w:sz="4" w:space="0" w:color="365F91"/>
            </w:tcBorders>
          </w:tcPr>
          <w:p w14:paraId="03A0C645" w14:textId="77777777" w:rsidR="00333601" w:rsidRPr="00BE78CA" w:rsidRDefault="00333601" w:rsidP="00C26084">
            <w:pPr>
              <w:pStyle w:val="TableText"/>
              <w:rPr>
                <w:szCs w:val="16"/>
              </w:rPr>
            </w:pPr>
            <w:r w:rsidRPr="00BE78CA">
              <w:rPr>
                <w:szCs w:val="16"/>
              </w:rPr>
              <w:t>Perennial</w:t>
            </w:r>
          </w:p>
        </w:tc>
        <w:tc>
          <w:tcPr>
            <w:tcW w:w="1559" w:type="dxa"/>
            <w:tcBorders>
              <w:top w:val="single" w:sz="4" w:space="0" w:color="365F91"/>
              <w:bottom w:val="single" w:sz="4" w:space="0" w:color="365F91"/>
            </w:tcBorders>
          </w:tcPr>
          <w:p w14:paraId="49E2FDA3" w14:textId="77777777" w:rsidR="00333601" w:rsidRPr="00BE78CA" w:rsidRDefault="00333601" w:rsidP="00C26084">
            <w:pPr>
              <w:pStyle w:val="TableText"/>
              <w:rPr>
                <w:szCs w:val="16"/>
              </w:rPr>
            </w:pPr>
            <w:r w:rsidRPr="00BE78CA">
              <w:rPr>
                <w:szCs w:val="16"/>
              </w:rPr>
              <w:t>0.67</w:t>
            </w:r>
          </w:p>
        </w:tc>
        <w:tc>
          <w:tcPr>
            <w:tcW w:w="1092" w:type="dxa"/>
            <w:tcBorders>
              <w:top w:val="single" w:sz="4" w:space="0" w:color="365F91"/>
              <w:bottom w:val="single" w:sz="4" w:space="0" w:color="365F91"/>
            </w:tcBorders>
          </w:tcPr>
          <w:p w14:paraId="24293560" w14:textId="77777777" w:rsidR="00333601" w:rsidRPr="00BE78CA" w:rsidRDefault="00333601" w:rsidP="00C26084">
            <w:pPr>
              <w:pStyle w:val="TableText"/>
              <w:rPr>
                <w:szCs w:val="16"/>
              </w:rPr>
            </w:pPr>
            <w:r w:rsidRPr="00BE78CA">
              <w:rPr>
                <w:szCs w:val="16"/>
              </w:rPr>
              <w:t>28</w:t>
            </w:r>
          </w:p>
        </w:tc>
        <w:tc>
          <w:tcPr>
            <w:tcW w:w="1494" w:type="dxa"/>
            <w:tcBorders>
              <w:top w:val="single" w:sz="4" w:space="0" w:color="365F91"/>
              <w:bottom w:val="single" w:sz="4" w:space="0" w:color="365F91"/>
            </w:tcBorders>
          </w:tcPr>
          <w:p w14:paraId="5BF17193" w14:textId="77777777" w:rsidR="00333601" w:rsidRPr="00BE78CA" w:rsidRDefault="00333601" w:rsidP="00C26084">
            <w:pPr>
              <w:pStyle w:val="TableText"/>
              <w:rPr>
                <w:szCs w:val="16"/>
              </w:rPr>
            </w:pPr>
            <w:r w:rsidRPr="00BE78CA">
              <w:rPr>
                <w:szCs w:val="16"/>
              </w:rPr>
              <w:t>Above-ground biomass</w:t>
            </w:r>
          </w:p>
        </w:tc>
        <w:tc>
          <w:tcPr>
            <w:tcW w:w="1666" w:type="dxa"/>
            <w:tcBorders>
              <w:top w:val="single" w:sz="4" w:space="0" w:color="365F91"/>
              <w:bottom w:val="single" w:sz="4" w:space="0" w:color="365F91"/>
            </w:tcBorders>
          </w:tcPr>
          <w:p w14:paraId="589EFC1A" w14:textId="77777777" w:rsidR="00333601" w:rsidRPr="00BE78CA" w:rsidRDefault="00333601" w:rsidP="00C26084">
            <w:pPr>
              <w:pStyle w:val="TableText"/>
              <w:rPr>
                <w:szCs w:val="16"/>
              </w:rPr>
            </w:pPr>
            <w:r w:rsidRPr="00BE78CA">
              <w:rPr>
                <w:szCs w:val="16"/>
              </w:rPr>
              <w:t>Davis and Wakelin (unpublished)</w:t>
            </w:r>
          </w:p>
        </w:tc>
      </w:tr>
      <w:tr w:rsidR="00333601" w:rsidRPr="00BE78CA" w14:paraId="21F963E8" w14:textId="77777777" w:rsidTr="00FA2314">
        <w:tc>
          <w:tcPr>
            <w:tcW w:w="1093" w:type="dxa"/>
            <w:vMerge w:val="restart"/>
            <w:tcBorders>
              <w:top w:val="single" w:sz="4" w:space="0" w:color="365F91"/>
              <w:bottom w:val="single" w:sz="4" w:space="0" w:color="365F91"/>
            </w:tcBorders>
          </w:tcPr>
          <w:p w14:paraId="67A5E753" w14:textId="77777777" w:rsidR="00333601" w:rsidRPr="00BE78CA" w:rsidRDefault="00333601" w:rsidP="00C26084">
            <w:pPr>
              <w:pStyle w:val="TableText"/>
              <w:keepNext/>
              <w:rPr>
                <w:szCs w:val="16"/>
              </w:rPr>
            </w:pPr>
            <w:r w:rsidRPr="00BE78CA">
              <w:rPr>
                <w:szCs w:val="16"/>
              </w:rPr>
              <w:t>Grassland</w:t>
            </w:r>
          </w:p>
        </w:tc>
        <w:tc>
          <w:tcPr>
            <w:tcW w:w="1601" w:type="dxa"/>
            <w:tcBorders>
              <w:top w:val="single" w:sz="4" w:space="0" w:color="365F91"/>
              <w:bottom w:val="single" w:sz="4" w:space="0" w:color="365F91"/>
            </w:tcBorders>
          </w:tcPr>
          <w:p w14:paraId="62A84852" w14:textId="77777777" w:rsidR="00333601" w:rsidRPr="00BE78CA" w:rsidRDefault="00333601" w:rsidP="00C26084">
            <w:pPr>
              <w:pStyle w:val="TableText"/>
              <w:rPr>
                <w:szCs w:val="16"/>
              </w:rPr>
            </w:pPr>
            <w:r w:rsidRPr="00BE78CA">
              <w:rPr>
                <w:szCs w:val="16"/>
              </w:rPr>
              <w:t>High producing</w:t>
            </w:r>
          </w:p>
        </w:tc>
        <w:tc>
          <w:tcPr>
            <w:tcW w:w="1559" w:type="dxa"/>
            <w:tcBorders>
              <w:top w:val="single" w:sz="4" w:space="0" w:color="365F91"/>
              <w:bottom w:val="single" w:sz="4" w:space="0" w:color="365F91"/>
            </w:tcBorders>
          </w:tcPr>
          <w:p w14:paraId="6CEB6494" w14:textId="77777777" w:rsidR="00333601" w:rsidRPr="00BE78CA" w:rsidRDefault="00333601" w:rsidP="00C26084">
            <w:pPr>
              <w:pStyle w:val="TableText"/>
              <w:rPr>
                <w:szCs w:val="16"/>
              </w:rPr>
            </w:pPr>
            <w:r w:rsidRPr="00BE78CA">
              <w:rPr>
                <w:szCs w:val="16"/>
              </w:rPr>
              <w:t>6.345</w:t>
            </w:r>
          </w:p>
        </w:tc>
        <w:tc>
          <w:tcPr>
            <w:tcW w:w="1092" w:type="dxa"/>
            <w:tcBorders>
              <w:top w:val="single" w:sz="4" w:space="0" w:color="365F91"/>
              <w:bottom w:val="single" w:sz="4" w:space="0" w:color="365F91"/>
            </w:tcBorders>
          </w:tcPr>
          <w:p w14:paraId="1D7E6619" w14:textId="77777777" w:rsidR="00333601" w:rsidRPr="00BE78CA" w:rsidRDefault="00333601" w:rsidP="00C26084">
            <w:pPr>
              <w:pStyle w:val="TableText"/>
              <w:rPr>
                <w:szCs w:val="16"/>
              </w:rPr>
            </w:pPr>
            <w:r w:rsidRPr="00BE78CA">
              <w:rPr>
                <w:szCs w:val="16"/>
              </w:rPr>
              <w:t>1</w:t>
            </w:r>
          </w:p>
        </w:tc>
        <w:tc>
          <w:tcPr>
            <w:tcW w:w="1494" w:type="dxa"/>
            <w:tcBorders>
              <w:top w:val="single" w:sz="4" w:space="0" w:color="365F91"/>
              <w:bottom w:val="single" w:sz="4" w:space="0" w:color="365F91"/>
            </w:tcBorders>
          </w:tcPr>
          <w:p w14:paraId="151F88F4" w14:textId="77777777" w:rsidR="00333601" w:rsidRPr="00BE78CA" w:rsidRDefault="00333601" w:rsidP="00C26084">
            <w:pPr>
              <w:pStyle w:val="TableText"/>
              <w:rPr>
                <w:szCs w:val="16"/>
              </w:rPr>
            </w:pPr>
            <w:r w:rsidRPr="00BE78CA">
              <w:rPr>
                <w:szCs w:val="16"/>
              </w:rPr>
              <w:t>Above- and below-ground biomass</w:t>
            </w:r>
          </w:p>
        </w:tc>
        <w:tc>
          <w:tcPr>
            <w:tcW w:w="1666" w:type="dxa"/>
            <w:tcBorders>
              <w:top w:val="single" w:sz="4" w:space="0" w:color="365F91"/>
              <w:bottom w:val="single" w:sz="4" w:space="0" w:color="365F91"/>
            </w:tcBorders>
          </w:tcPr>
          <w:p w14:paraId="75D5B122" w14:textId="77777777" w:rsidR="00333601" w:rsidRPr="00BE78CA" w:rsidRDefault="00333601" w:rsidP="00C26084">
            <w:pPr>
              <w:pStyle w:val="TableText"/>
              <w:rPr>
                <w:szCs w:val="16"/>
              </w:rPr>
            </w:pPr>
            <w:r w:rsidRPr="00BE78CA">
              <w:rPr>
                <w:szCs w:val="16"/>
              </w:rPr>
              <w:t>IPCC (table 6.4, 2006a)</w:t>
            </w:r>
          </w:p>
        </w:tc>
      </w:tr>
      <w:tr w:rsidR="00333601" w:rsidRPr="00BE78CA" w14:paraId="267B17C6" w14:textId="77777777" w:rsidTr="00FA2314">
        <w:tc>
          <w:tcPr>
            <w:tcW w:w="1093" w:type="dxa"/>
            <w:vMerge/>
            <w:tcBorders>
              <w:top w:val="single" w:sz="4" w:space="0" w:color="365F91"/>
              <w:bottom w:val="single" w:sz="4" w:space="0" w:color="365F91"/>
            </w:tcBorders>
          </w:tcPr>
          <w:p w14:paraId="777A8D2D" w14:textId="77777777" w:rsidR="00333601" w:rsidRPr="00BE78CA" w:rsidRDefault="00333601" w:rsidP="00C26084">
            <w:pPr>
              <w:pStyle w:val="TableText"/>
              <w:rPr>
                <w:szCs w:val="16"/>
              </w:rPr>
            </w:pPr>
          </w:p>
        </w:tc>
        <w:tc>
          <w:tcPr>
            <w:tcW w:w="1601" w:type="dxa"/>
            <w:tcBorders>
              <w:top w:val="single" w:sz="4" w:space="0" w:color="365F91"/>
              <w:bottom w:val="single" w:sz="4" w:space="0" w:color="365F91"/>
            </w:tcBorders>
          </w:tcPr>
          <w:p w14:paraId="3386E5A5" w14:textId="77777777" w:rsidR="00333601" w:rsidRPr="00BE78CA" w:rsidRDefault="00333601" w:rsidP="00C26084">
            <w:pPr>
              <w:pStyle w:val="TableText"/>
              <w:rPr>
                <w:szCs w:val="16"/>
              </w:rPr>
            </w:pPr>
            <w:r w:rsidRPr="00BE78CA">
              <w:rPr>
                <w:szCs w:val="16"/>
              </w:rPr>
              <w:t>Low producing</w:t>
            </w:r>
          </w:p>
        </w:tc>
        <w:tc>
          <w:tcPr>
            <w:tcW w:w="1559" w:type="dxa"/>
            <w:tcBorders>
              <w:top w:val="single" w:sz="4" w:space="0" w:color="365F91"/>
              <w:bottom w:val="single" w:sz="4" w:space="0" w:color="365F91"/>
            </w:tcBorders>
          </w:tcPr>
          <w:p w14:paraId="5924ACCD" w14:textId="77777777" w:rsidR="00333601" w:rsidRPr="00BE78CA" w:rsidRDefault="00333601" w:rsidP="00C26084">
            <w:pPr>
              <w:pStyle w:val="TableText"/>
              <w:rPr>
                <w:szCs w:val="16"/>
              </w:rPr>
            </w:pPr>
            <w:r w:rsidRPr="00BE78CA">
              <w:rPr>
                <w:szCs w:val="16"/>
              </w:rPr>
              <w:t>2.867</w:t>
            </w:r>
          </w:p>
        </w:tc>
        <w:tc>
          <w:tcPr>
            <w:tcW w:w="1092" w:type="dxa"/>
            <w:tcBorders>
              <w:top w:val="single" w:sz="4" w:space="0" w:color="365F91"/>
              <w:bottom w:val="single" w:sz="4" w:space="0" w:color="365F91"/>
            </w:tcBorders>
          </w:tcPr>
          <w:p w14:paraId="6F0627B6" w14:textId="77777777" w:rsidR="00333601" w:rsidRPr="00BE78CA" w:rsidRDefault="00333601" w:rsidP="00C26084">
            <w:pPr>
              <w:pStyle w:val="TableText"/>
              <w:rPr>
                <w:szCs w:val="16"/>
              </w:rPr>
            </w:pPr>
            <w:r w:rsidRPr="00BE78CA">
              <w:rPr>
                <w:szCs w:val="16"/>
              </w:rPr>
              <w:t>1</w:t>
            </w:r>
          </w:p>
        </w:tc>
        <w:tc>
          <w:tcPr>
            <w:tcW w:w="1494" w:type="dxa"/>
            <w:tcBorders>
              <w:top w:val="single" w:sz="4" w:space="0" w:color="365F91"/>
              <w:bottom w:val="single" w:sz="4" w:space="0" w:color="365F91"/>
            </w:tcBorders>
          </w:tcPr>
          <w:p w14:paraId="5A2E58E4" w14:textId="77777777" w:rsidR="00333601" w:rsidRPr="00BE78CA" w:rsidRDefault="00333601" w:rsidP="00C26084">
            <w:pPr>
              <w:pStyle w:val="TableText"/>
              <w:rPr>
                <w:szCs w:val="16"/>
              </w:rPr>
            </w:pPr>
            <w:r w:rsidRPr="00BE78CA">
              <w:rPr>
                <w:szCs w:val="16"/>
              </w:rPr>
              <w:t>Above- and below-ground biomass</w:t>
            </w:r>
          </w:p>
        </w:tc>
        <w:tc>
          <w:tcPr>
            <w:tcW w:w="1666" w:type="dxa"/>
            <w:tcBorders>
              <w:top w:val="single" w:sz="4" w:space="0" w:color="365F91"/>
              <w:bottom w:val="single" w:sz="4" w:space="0" w:color="365F91"/>
            </w:tcBorders>
          </w:tcPr>
          <w:p w14:paraId="3F1512B2" w14:textId="77777777" w:rsidR="00333601" w:rsidRPr="00BE78CA" w:rsidRDefault="00333601" w:rsidP="00C26084">
            <w:pPr>
              <w:pStyle w:val="TableText"/>
              <w:rPr>
                <w:szCs w:val="16"/>
              </w:rPr>
            </w:pPr>
            <w:r w:rsidRPr="00BE78CA">
              <w:rPr>
                <w:szCs w:val="16"/>
              </w:rPr>
              <w:t>IPCC (table 6.4, 2006a)</w:t>
            </w:r>
          </w:p>
        </w:tc>
      </w:tr>
      <w:tr w:rsidR="00333601" w:rsidRPr="00BE78CA" w14:paraId="5693BC66" w14:textId="77777777" w:rsidTr="00FA2314">
        <w:tc>
          <w:tcPr>
            <w:tcW w:w="1093" w:type="dxa"/>
            <w:vMerge/>
            <w:tcBorders>
              <w:top w:val="single" w:sz="4" w:space="0" w:color="365F91"/>
              <w:bottom w:val="single" w:sz="4" w:space="0" w:color="365F91"/>
            </w:tcBorders>
          </w:tcPr>
          <w:p w14:paraId="5B4BC9FD" w14:textId="77777777" w:rsidR="00333601" w:rsidRPr="00BE78CA" w:rsidRDefault="00333601" w:rsidP="00C26084">
            <w:pPr>
              <w:pStyle w:val="TableText"/>
              <w:rPr>
                <w:szCs w:val="16"/>
              </w:rPr>
            </w:pPr>
          </w:p>
        </w:tc>
        <w:tc>
          <w:tcPr>
            <w:tcW w:w="1601" w:type="dxa"/>
            <w:tcBorders>
              <w:top w:val="single" w:sz="4" w:space="0" w:color="365F91"/>
              <w:bottom w:val="single" w:sz="4" w:space="0" w:color="365F91"/>
            </w:tcBorders>
          </w:tcPr>
          <w:p w14:paraId="0590DE8F" w14:textId="77777777" w:rsidR="00333601" w:rsidRPr="00BE78CA" w:rsidRDefault="00333601" w:rsidP="00C26084">
            <w:pPr>
              <w:pStyle w:val="TableText"/>
              <w:rPr>
                <w:szCs w:val="16"/>
              </w:rPr>
            </w:pPr>
            <w:r w:rsidRPr="00BE78CA">
              <w:rPr>
                <w:szCs w:val="16"/>
              </w:rPr>
              <w:t>With woody biomass – transitional</w:t>
            </w:r>
          </w:p>
        </w:tc>
        <w:tc>
          <w:tcPr>
            <w:tcW w:w="1559" w:type="dxa"/>
            <w:tcBorders>
              <w:top w:val="single" w:sz="4" w:space="0" w:color="365F91"/>
              <w:bottom w:val="single" w:sz="4" w:space="0" w:color="365F91"/>
            </w:tcBorders>
          </w:tcPr>
          <w:p w14:paraId="21B6B9CA" w14:textId="77777777" w:rsidR="00333601" w:rsidRPr="00BE78CA" w:rsidRDefault="00333601" w:rsidP="00C26084">
            <w:pPr>
              <w:pStyle w:val="TableText"/>
              <w:rPr>
                <w:szCs w:val="16"/>
              </w:rPr>
            </w:pPr>
            <w:r w:rsidRPr="00BE78CA">
              <w:rPr>
                <w:szCs w:val="16"/>
              </w:rPr>
              <w:t>0.65</w:t>
            </w:r>
          </w:p>
        </w:tc>
        <w:tc>
          <w:tcPr>
            <w:tcW w:w="1092" w:type="dxa"/>
            <w:tcBorders>
              <w:top w:val="single" w:sz="4" w:space="0" w:color="365F91"/>
              <w:bottom w:val="single" w:sz="4" w:space="0" w:color="365F91"/>
            </w:tcBorders>
          </w:tcPr>
          <w:p w14:paraId="7A0249CE" w14:textId="77777777" w:rsidR="00333601" w:rsidRPr="00BE78CA" w:rsidRDefault="00333601" w:rsidP="00C26084">
            <w:pPr>
              <w:pStyle w:val="TableText"/>
              <w:rPr>
                <w:szCs w:val="16"/>
              </w:rPr>
            </w:pPr>
            <w:r w:rsidRPr="00BE78CA">
              <w:rPr>
                <w:szCs w:val="16"/>
              </w:rPr>
              <w:t>20</w:t>
            </w:r>
          </w:p>
        </w:tc>
        <w:tc>
          <w:tcPr>
            <w:tcW w:w="1494" w:type="dxa"/>
            <w:tcBorders>
              <w:top w:val="single" w:sz="4" w:space="0" w:color="365F91"/>
              <w:bottom w:val="single" w:sz="4" w:space="0" w:color="365F91"/>
            </w:tcBorders>
          </w:tcPr>
          <w:p w14:paraId="44D6525B" w14:textId="77777777" w:rsidR="00333601" w:rsidRPr="00BE78CA" w:rsidRDefault="00333601" w:rsidP="00C26084">
            <w:pPr>
              <w:pStyle w:val="TableText"/>
              <w:rPr>
                <w:szCs w:val="16"/>
              </w:rPr>
            </w:pPr>
            <w:r w:rsidRPr="00BE78CA">
              <w:rPr>
                <w:szCs w:val="16"/>
              </w:rPr>
              <w:t>All biomass pools</w:t>
            </w:r>
          </w:p>
        </w:tc>
        <w:tc>
          <w:tcPr>
            <w:tcW w:w="1666" w:type="dxa"/>
            <w:tcBorders>
              <w:top w:val="single" w:sz="4" w:space="0" w:color="365F91"/>
              <w:bottom w:val="single" w:sz="4" w:space="0" w:color="365F91"/>
            </w:tcBorders>
          </w:tcPr>
          <w:p w14:paraId="6D2243E6" w14:textId="77777777" w:rsidR="00333601" w:rsidRPr="00BE78CA" w:rsidRDefault="00333601" w:rsidP="00C26084">
            <w:pPr>
              <w:pStyle w:val="TableText"/>
              <w:rPr>
                <w:szCs w:val="16"/>
              </w:rPr>
            </w:pPr>
            <w:r w:rsidRPr="00BE78CA">
              <w:rPr>
                <w:szCs w:val="16"/>
              </w:rPr>
              <w:t>Wakelin and Beets (unpublished)</w:t>
            </w:r>
          </w:p>
        </w:tc>
      </w:tr>
      <w:tr w:rsidR="00333601" w:rsidRPr="00BE78CA" w14:paraId="3495027C" w14:textId="77777777" w:rsidTr="00FA2314">
        <w:tc>
          <w:tcPr>
            <w:tcW w:w="1093" w:type="dxa"/>
            <w:vMerge/>
            <w:tcBorders>
              <w:top w:val="single" w:sz="4" w:space="0" w:color="365F91"/>
              <w:bottom w:val="single" w:sz="4" w:space="0" w:color="365F91"/>
            </w:tcBorders>
          </w:tcPr>
          <w:p w14:paraId="7CAF79FB" w14:textId="77777777" w:rsidR="00333601" w:rsidRPr="00BE78CA" w:rsidRDefault="00333601" w:rsidP="00C26084">
            <w:pPr>
              <w:pStyle w:val="TableText"/>
              <w:rPr>
                <w:szCs w:val="16"/>
              </w:rPr>
            </w:pPr>
          </w:p>
        </w:tc>
        <w:tc>
          <w:tcPr>
            <w:tcW w:w="1601" w:type="dxa"/>
            <w:tcBorders>
              <w:top w:val="single" w:sz="4" w:space="0" w:color="365F91"/>
              <w:bottom w:val="single" w:sz="4" w:space="0" w:color="365F91"/>
            </w:tcBorders>
          </w:tcPr>
          <w:p w14:paraId="72E785B8" w14:textId="77777777" w:rsidR="00333601" w:rsidRPr="00BE78CA" w:rsidRDefault="00333601" w:rsidP="00C26084">
            <w:pPr>
              <w:pStyle w:val="TableText"/>
              <w:rPr>
                <w:szCs w:val="16"/>
              </w:rPr>
            </w:pPr>
            <w:r w:rsidRPr="00BE78CA">
              <w:rPr>
                <w:szCs w:val="16"/>
              </w:rPr>
              <w:t>With woody biomass – permanent</w:t>
            </w:r>
          </w:p>
        </w:tc>
        <w:tc>
          <w:tcPr>
            <w:tcW w:w="1559" w:type="dxa"/>
            <w:tcBorders>
              <w:top w:val="single" w:sz="4" w:space="0" w:color="365F91"/>
              <w:bottom w:val="single" w:sz="4" w:space="0" w:color="365F91"/>
            </w:tcBorders>
          </w:tcPr>
          <w:p w14:paraId="3701E7A5" w14:textId="77777777" w:rsidR="00333601" w:rsidRPr="00BE78CA" w:rsidRDefault="00333601" w:rsidP="00C26084">
            <w:pPr>
              <w:pStyle w:val="TableText"/>
              <w:rPr>
                <w:szCs w:val="16"/>
              </w:rPr>
            </w:pPr>
            <w:r w:rsidRPr="00BE78CA">
              <w:rPr>
                <w:szCs w:val="16"/>
              </w:rPr>
              <w:t>NO</w:t>
            </w:r>
          </w:p>
        </w:tc>
        <w:tc>
          <w:tcPr>
            <w:tcW w:w="1092" w:type="dxa"/>
            <w:tcBorders>
              <w:top w:val="single" w:sz="4" w:space="0" w:color="365F91"/>
              <w:bottom w:val="single" w:sz="4" w:space="0" w:color="365F91"/>
            </w:tcBorders>
          </w:tcPr>
          <w:p w14:paraId="5F206BE6" w14:textId="77777777" w:rsidR="00333601" w:rsidRPr="00BE78CA" w:rsidRDefault="00333601" w:rsidP="00C26084">
            <w:pPr>
              <w:pStyle w:val="TableText"/>
              <w:rPr>
                <w:szCs w:val="16"/>
              </w:rPr>
            </w:pPr>
            <w:r w:rsidRPr="00BE78CA">
              <w:rPr>
                <w:szCs w:val="16"/>
              </w:rPr>
              <w:t>NA</w:t>
            </w:r>
          </w:p>
        </w:tc>
        <w:tc>
          <w:tcPr>
            <w:tcW w:w="1494" w:type="dxa"/>
            <w:tcBorders>
              <w:top w:val="single" w:sz="4" w:space="0" w:color="365F91"/>
              <w:bottom w:val="single" w:sz="4" w:space="0" w:color="365F91"/>
            </w:tcBorders>
          </w:tcPr>
          <w:p w14:paraId="79D830EA" w14:textId="77777777" w:rsidR="00333601" w:rsidRPr="00BE78CA" w:rsidRDefault="00333601" w:rsidP="00C26084">
            <w:pPr>
              <w:pStyle w:val="TableText"/>
              <w:rPr>
                <w:szCs w:val="16"/>
              </w:rPr>
            </w:pPr>
            <w:r w:rsidRPr="00BE78CA">
              <w:rPr>
                <w:szCs w:val="16"/>
              </w:rPr>
              <w:t>NA</w:t>
            </w:r>
          </w:p>
        </w:tc>
        <w:tc>
          <w:tcPr>
            <w:tcW w:w="1666" w:type="dxa"/>
            <w:tcBorders>
              <w:top w:val="single" w:sz="4" w:space="0" w:color="365F91"/>
              <w:bottom w:val="single" w:sz="4" w:space="0" w:color="365F91"/>
            </w:tcBorders>
          </w:tcPr>
          <w:p w14:paraId="75D98374" w14:textId="77777777" w:rsidR="00333601" w:rsidRPr="00BE78CA" w:rsidRDefault="00333601" w:rsidP="00C26084">
            <w:pPr>
              <w:pStyle w:val="TableText"/>
              <w:rPr>
                <w:szCs w:val="16"/>
              </w:rPr>
            </w:pPr>
            <w:r w:rsidRPr="00BE78CA">
              <w:rPr>
                <w:szCs w:val="16"/>
              </w:rPr>
              <w:t>NA</w:t>
            </w:r>
          </w:p>
        </w:tc>
      </w:tr>
      <w:tr w:rsidR="00333601" w:rsidRPr="00BE78CA" w14:paraId="27A7F266" w14:textId="77777777" w:rsidTr="00FA2314">
        <w:tc>
          <w:tcPr>
            <w:tcW w:w="1093" w:type="dxa"/>
            <w:tcBorders>
              <w:top w:val="single" w:sz="4" w:space="0" w:color="365F91"/>
              <w:bottom w:val="single" w:sz="4" w:space="0" w:color="365F91"/>
            </w:tcBorders>
          </w:tcPr>
          <w:p w14:paraId="538D26F0" w14:textId="77777777" w:rsidR="00333601" w:rsidRPr="00BE78CA" w:rsidRDefault="00333601" w:rsidP="00C26084">
            <w:pPr>
              <w:pStyle w:val="TableText"/>
              <w:rPr>
                <w:szCs w:val="16"/>
              </w:rPr>
            </w:pPr>
            <w:r w:rsidRPr="00BE78CA">
              <w:rPr>
                <w:szCs w:val="16"/>
              </w:rPr>
              <w:t>Wetlands</w:t>
            </w:r>
          </w:p>
        </w:tc>
        <w:tc>
          <w:tcPr>
            <w:tcW w:w="1601" w:type="dxa"/>
            <w:tcBorders>
              <w:top w:val="single" w:sz="4" w:space="0" w:color="365F91"/>
              <w:bottom w:val="single" w:sz="4" w:space="0" w:color="365F91"/>
            </w:tcBorders>
          </w:tcPr>
          <w:p w14:paraId="691BA17F" w14:textId="77777777" w:rsidR="00333601" w:rsidRPr="00BE78CA" w:rsidRDefault="00333601" w:rsidP="00C26084">
            <w:pPr>
              <w:pStyle w:val="TableText"/>
              <w:rPr>
                <w:szCs w:val="16"/>
              </w:rPr>
            </w:pPr>
          </w:p>
        </w:tc>
        <w:tc>
          <w:tcPr>
            <w:tcW w:w="1559" w:type="dxa"/>
            <w:tcBorders>
              <w:top w:val="single" w:sz="4" w:space="0" w:color="365F91"/>
              <w:bottom w:val="single" w:sz="4" w:space="0" w:color="365F91"/>
            </w:tcBorders>
          </w:tcPr>
          <w:p w14:paraId="640F7CF2" w14:textId="77777777" w:rsidR="00333601" w:rsidRPr="00BE78CA" w:rsidRDefault="00333601" w:rsidP="00C26084">
            <w:pPr>
              <w:pStyle w:val="TableText"/>
              <w:rPr>
                <w:szCs w:val="16"/>
              </w:rPr>
            </w:pPr>
            <w:r w:rsidRPr="00BE78CA">
              <w:rPr>
                <w:szCs w:val="16"/>
              </w:rPr>
              <w:t>0</w:t>
            </w:r>
          </w:p>
        </w:tc>
        <w:tc>
          <w:tcPr>
            <w:tcW w:w="1092" w:type="dxa"/>
            <w:tcBorders>
              <w:top w:val="single" w:sz="4" w:space="0" w:color="365F91"/>
              <w:bottom w:val="single" w:sz="4" w:space="0" w:color="365F91"/>
            </w:tcBorders>
          </w:tcPr>
          <w:p w14:paraId="41393AC3" w14:textId="77777777" w:rsidR="00333601" w:rsidRPr="00BE78CA" w:rsidRDefault="00333601" w:rsidP="00C26084">
            <w:pPr>
              <w:pStyle w:val="TableText"/>
              <w:rPr>
                <w:szCs w:val="16"/>
              </w:rPr>
            </w:pPr>
            <w:r w:rsidRPr="00BE78CA">
              <w:rPr>
                <w:szCs w:val="16"/>
              </w:rPr>
              <w:t>NA</w:t>
            </w:r>
          </w:p>
        </w:tc>
        <w:tc>
          <w:tcPr>
            <w:tcW w:w="1494" w:type="dxa"/>
            <w:tcBorders>
              <w:top w:val="single" w:sz="4" w:space="0" w:color="365F91"/>
              <w:bottom w:val="single" w:sz="4" w:space="0" w:color="365F91"/>
            </w:tcBorders>
          </w:tcPr>
          <w:p w14:paraId="4B90256E" w14:textId="77777777" w:rsidR="00333601" w:rsidRPr="00BE78CA" w:rsidRDefault="00333601" w:rsidP="00C26084">
            <w:pPr>
              <w:pStyle w:val="TableText"/>
              <w:rPr>
                <w:szCs w:val="16"/>
              </w:rPr>
            </w:pPr>
            <w:r w:rsidRPr="00BE78CA">
              <w:rPr>
                <w:szCs w:val="16"/>
              </w:rPr>
              <w:t>All biomass pools</w:t>
            </w:r>
          </w:p>
        </w:tc>
        <w:tc>
          <w:tcPr>
            <w:tcW w:w="1666" w:type="dxa"/>
            <w:tcBorders>
              <w:top w:val="single" w:sz="4" w:space="0" w:color="365F91"/>
              <w:bottom w:val="single" w:sz="4" w:space="0" w:color="365F91"/>
            </w:tcBorders>
          </w:tcPr>
          <w:p w14:paraId="73F8B796" w14:textId="77777777" w:rsidR="00333601" w:rsidRPr="00BE78CA" w:rsidRDefault="00333601" w:rsidP="00C26084">
            <w:pPr>
              <w:pStyle w:val="TableText"/>
              <w:rPr>
                <w:szCs w:val="16"/>
              </w:rPr>
            </w:pPr>
            <w:r w:rsidRPr="00BE78CA">
              <w:rPr>
                <w:szCs w:val="16"/>
              </w:rPr>
              <w:t>IPCC (section 7.2.1.1, 2006a)</w:t>
            </w:r>
          </w:p>
        </w:tc>
      </w:tr>
      <w:tr w:rsidR="00333601" w:rsidRPr="00BE78CA" w14:paraId="6C2DF948" w14:textId="77777777" w:rsidTr="00FA2314">
        <w:tc>
          <w:tcPr>
            <w:tcW w:w="1093" w:type="dxa"/>
            <w:tcBorders>
              <w:top w:val="single" w:sz="4" w:space="0" w:color="365F91"/>
              <w:bottom w:val="single" w:sz="4" w:space="0" w:color="365F91"/>
            </w:tcBorders>
          </w:tcPr>
          <w:p w14:paraId="710B0519" w14:textId="77777777" w:rsidR="00333601" w:rsidRPr="00BE78CA" w:rsidRDefault="00333601" w:rsidP="00C26084">
            <w:pPr>
              <w:pStyle w:val="TableText"/>
              <w:rPr>
                <w:szCs w:val="16"/>
              </w:rPr>
            </w:pPr>
            <w:r w:rsidRPr="00BE78CA">
              <w:rPr>
                <w:szCs w:val="16"/>
              </w:rPr>
              <w:t>Settlements</w:t>
            </w:r>
          </w:p>
        </w:tc>
        <w:tc>
          <w:tcPr>
            <w:tcW w:w="1601" w:type="dxa"/>
            <w:tcBorders>
              <w:top w:val="single" w:sz="4" w:space="0" w:color="365F91"/>
              <w:bottom w:val="single" w:sz="4" w:space="0" w:color="365F91"/>
            </w:tcBorders>
          </w:tcPr>
          <w:p w14:paraId="4ECF8C50" w14:textId="77777777" w:rsidR="00333601" w:rsidRPr="00BE78CA" w:rsidRDefault="00333601" w:rsidP="00C26084">
            <w:pPr>
              <w:pStyle w:val="TableText"/>
              <w:rPr>
                <w:szCs w:val="16"/>
              </w:rPr>
            </w:pPr>
          </w:p>
        </w:tc>
        <w:tc>
          <w:tcPr>
            <w:tcW w:w="1559" w:type="dxa"/>
            <w:tcBorders>
              <w:top w:val="single" w:sz="4" w:space="0" w:color="365F91"/>
              <w:bottom w:val="single" w:sz="4" w:space="0" w:color="365F91"/>
            </w:tcBorders>
          </w:tcPr>
          <w:p w14:paraId="0B46B933" w14:textId="77777777" w:rsidR="00333601" w:rsidRPr="00BE78CA" w:rsidRDefault="00333601" w:rsidP="00C26084">
            <w:pPr>
              <w:pStyle w:val="TableText"/>
              <w:rPr>
                <w:szCs w:val="16"/>
              </w:rPr>
            </w:pPr>
            <w:r w:rsidRPr="00BE78CA">
              <w:rPr>
                <w:szCs w:val="16"/>
              </w:rPr>
              <w:t>0</w:t>
            </w:r>
          </w:p>
        </w:tc>
        <w:tc>
          <w:tcPr>
            <w:tcW w:w="1092" w:type="dxa"/>
            <w:tcBorders>
              <w:top w:val="single" w:sz="4" w:space="0" w:color="365F91"/>
              <w:bottom w:val="single" w:sz="4" w:space="0" w:color="365F91"/>
            </w:tcBorders>
          </w:tcPr>
          <w:p w14:paraId="333B8EBA" w14:textId="77777777" w:rsidR="00333601" w:rsidRPr="00BE78CA" w:rsidRDefault="00333601" w:rsidP="00C26084">
            <w:pPr>
              <w:pStyle w:val="TableText"/>
              <w:rPr>
                <w:szCs w:val="16"/>
              </w:rPr>
            </w:pPr>
            <w:r w:rsidRPr="00BE78CA">
              <w:rPr>
                <w:szCs w:val="16"/>
              </w:rPr>
              <w:t>NA</w:t>
            </w:r>
          </w:p>
        </w:tc>
        <w:tc>
          <w:tcPr>
            <w:tcW w:w="1494" w:type="dxa"/>
            <w:tcBorders>
              <w:top w:val="single" w:sz="4" w:space="0" w:color="365F91"/>
              <w:bottom w:val="single" w:sz="4" w:space="0" w:color="365F91"/>
            </w:tcBorders>
          </w:tcPr>
          <w:p w14:paraId="0EDF4E10" w14:textId="77777777" w:rsidR="00333601" w:rsidRPr="00BE78CA" w:rsidRDefault="00333601" w:rsidP="00C26084">
            <w:pPr>
              <w:pStyle w:val="TableText"/>
              <w:rPr>
                <w:szCs w:val="16"/>
              </w:rPr>
            </w:pPr>
            <w:r w:rsidRPr="00BE78CA">
              <w:rPr>
                <w:szCs w:val="16"/>
              </w:rPr>
              <w:t>All biomass pools</w:t>
            </w:r>
          </w:p>
        </w:tc>
        <w:tc>
          <w:tcPr>
            <w:tcW w:w="1666" w:type="dxa"/>
            <w:tcBorders>
              <w:top w:val="single" w:sz="4" w:space="0" w:color="365F91"/>
              <w:bottom w:val="single" w:sz="4" w:space="0" w:color="365F91"/>
            </w:tcBorders>
          </w:tcPr>
          <w:p w14:paraId="27C28325" w14:textId="77777777" w:rsidR="00333601" w:rsidRPr="00BE78CA" w:rsidRDefault="00333601" w:rsidP="00C26084">
            <w:pPr>
              <w:pStyle w:val="TableText"/>
              <w:rPr>
                <w:szCs w:val="16"/>
              </w:rPr>
            </w:pPr>
            <w:r w:rsidRPr="00BE78CA">
              <w:rPr>
                <w:szCs w:val="16"/>
              </w:rPr>
              <w:t>IPCC (section 8.2.1.1, 2006a)</w:t>
            </w:r>
          </w:p>
        </w:tc>
      </w:tr>
      <w:tr w:rsidR="00333601" w:rsidRPr="00BE78CA" w14:paraId="6CE99833" w14:textId="77777777" w:rsidTr="00FA2314">
        <w:tc>
          <w:tcPr>
            <w:tcW w:w="1093" w:type="dxa"/>
            <w:tcBorders>
              <w:top w:val="single" w:sz="4" w:space="0" w:color="365F91"/>
              <w:bottom w:val="single" w:sz="4" w:space="0" w:color="365F91"/>
            </w:tcBorders>
          </w:tcPr>
          <w:p w14:paraId="3AC12D00" w14:textId="77777777" w:rsidR="00333601" w:rsidRPr="00BE78CA" w:rsidRDefault="00333601" w:rsidP="00C26084">
            <w:pPr>
              <w:pStyle w:val="TableText"/>
              <w:rPr>
                <w:szCs w:val="16"/>
              </w:rPr>
            </w:pPr>
            <w:r w:rsidRPr="00BE78CA">
              <w:rPr>
                <w:szCs w:val="16"/>
              </w:rPr>
              <w:t>Other land</w:t>
            </w:r>
          </w:p>
        </w:tc>
        <w:tc>
          <w:tcPr>
            <w:tcW w:w="1601" w:type="dxa"/>
            <w:tcBorders>
              <w:top w:val="single" w:sz="4" w:space="0" w:color="365F91"/>
              <w:bottom w:val="single" w:sz="4" w:space="0" w:color="365F91"/>
            </w:tcBorders>
          </w:tcPr>
          <w:p w14:paraId="1FE83DEE" w14:textId="77777777" w:rsidR="00333601" w:rsidRPr="00BE78CA" w:rsidRDefault="00333601" w:rsidP="00C26084">
            <w:pPr>
              <w:pStyle w:val="TableText"/>
              <w:rPr>
                <w:szCs w:val="16"/>
              </w:rPr>
            </w:pPr>
          </w:p>
        </w:tc>
        <w:tc>
          <w:tcPr>
            <w:tcW w:w="1559" w:type="dxa"/>
            <w:tcBorders>
              <w:top w:val="single" w:sz="4" w:space="0" w:color="365F91"/>
              <w:bottom w:val="single" w:sz="4" w:space="0" w:color="365F91"/>
            </w:tcBorders>
          </w:tcPr>
          <w:p w14:paraId="2B9CA0A3" w14:textId="77777777" w:rsidR="00333601" w:rsidRPr="00BE78CA" w:rsidRDefault="00333601" w:rsidP="00C26084">
            <w:pPr>
              <w:pStyle w:val="TableText"/>
              <w:rPr>
                <w:szCs w:val="16"/>
              </w:rPr>
            </w:pPr>
            <w:r w:rsidRPr="00BE78CA">
              <w:rPr>
                <w:szCs w:val="16"/>
              </w:rPr>
              <w:t>0</w:t>
            </w:r>
          </w:p>
        </w:tc>
        <w:tc>
          <w:tcPr>
            <w:tcW w:w="1092" w:type="dxa"/>
            <w:tcBorders>
              <w:top w:val="single" w:sz="4" w:space="0" w:color="365F91"/>
              <w:bottom w:val="single" w:sz="4" w:space="0" w:color="365F91"/>
            </w:tcBorders>
          </w:tcPr>
          <w:p w14:paraId="32CB6A80" w14:textId="77777777" w:rsidR="00333601" w:rsidRPr="00BE78CA" w:rsidRDefault="00333601" w:rsidP="00C26084">
            <w:pPr>
              <w:pStyle w:val="TableText"/>
              <w:rPr>
                <w:szCs w:val="16"/>
              </w:rPr>
            </w:pPr>
            <w:r w:rsidRPr="00BE78CA">
              <w:rPr>
                <w:szCs w:val="16"/>
              </w:rPr>
              <w:t>NA</w:t>
            </w:r>
          </w:p>
        </w:tc>
        <w:tc>
          <w:tcPr>
            <w:tcW w:w="1494" w:type="dxa"/>
            <w:tcBorders>
              <w:top w:val="single" w:sz="4" w:space="0" w:color="365F91"/>
              <w:bottom w:val="single" w:sz="4" w:space="0" w:color="365F91"/>
            </w:tcBorders>
          </w:tcPr>
          <w:p w14:paraId="40C18FCF" w14:textId="77777777" w:rsidR="00333601" w:rsidRPr="00BE78CA" w:rsidRDefault="00333601" w:rsidP="00C26084">
            <w:pPr>
              <w:pStyle w:val="TableText"/>
              <w:rPr>
                <w:szCs w:val="16"/>
              </w:rPr>
            </w:pPr>
            <w:r w:rsidRPr="00BE78CA">
              <w:rPr>
                <w:szCs w:val="16"/>
              </w:rPr>
              <w:t>All biomass pools</w:t>
            </w:r>
          </w:p>
        </w:tc>
        <w:tc>
          <w:tcPr>
            <w:tcW w:w="1666" w:type="dxa"/>
            <w:tcBorders>
              <w:top w:val="single" w:sz="4" w:space="0" w:color="365F91"/>
              <w:bottom w:val="single" w:sz="4" w:space="0" w:color="365F91"/>
            </w:tcBorders>
          </w:tcPr>
          <w:p w14:paraId="5CB6D3D6" w14:textId="77777777" w:rsidR="00333601" w:rsidRPr="00BE78CA" w:rsidRDefault="00333601" w:rsidP="00C26084">
            <w:pPr>
              <w:pStyle w:val="TableText"/>
              <w:rPr>
                <w:szCs w:val="16"/>
              </w:rPr>
            </w:pPr>
            <w:r w:rsidRPr="00BE78CA">
              <w:rPr>
                <w:szCs w:val="16"/>
              </w:rPr>
              <w:t>IPCC (section 9.2, 2006a)</w:t>
            </w:r>
          </w:p>
        </w:tc>
      </w:tr>
    </w:tbl>
    <w:p w14:paraId="5880C61A" w14:textId="77777777" w:rsidR="00333601" w:rsidRPr="00BE78CA" w:rsidRDefault="00333601" w:rsidP="00333601">
      <w:pPr>
        <w:pStyle w:val="Noteundertable"/>
      </w:pPr>
      <w:r w:rsidRPr="00BE78CA">
        <w:rPr>
          <w:b/>
        </w:rPr>
        <w:t>Note:</w:t>
      </w:r>
      <w:r w:rsidRPr="00BE78CA">
        <w:tab/>
        <w:t>NA = not applicable; NO = not occurring. ‘All biomass pools’ includes above- and below-ground biomass, litter and dead organic matter.</w:t>
      </w:r>
    </w:p>
    <w:p w14:paraId="5F3CAABC" w14:textId="77777777" w:rsidR="00333601" w:rsidRPr="00BE78CA" w:rsidRDefault="00333601" w:rsidP="00333601">
      <w:pPr>
        <w:pStyle w:val="BodyText"/>
      </w:pPr>
      <w:r w:rsidRPr="00BE78CA">
        <w:t>New Zealand estimates carbon stock change for each of the five Kyoto Protocol carbon pools (to meet Kyoto Protocol reporting requirements) and aggregates the results to the three pools required for reporting under the United Nations Framework Convention on Climate Change (the Convention). Table 6.1.5 summarises the methods being used to estimate carbon (C) by pool for each land use.</w:t>
      </w:r>
    </w:p>
    <w:p w14:paraId="356EDF97" w14:textId="77777777" w:rsidR="00333601" w:rsidRPr="00BE78CA" w:rsidRDefault="00333601" w:rsidP="00333601">
      <w:pPr>
        <w:pStyle w:val="Table"/>
      </w:pPr>
      <w:bookmarkStart w:id="1226" w:name="_Toc280630449"/>
      <w:bookmarkStart w:id="1227" w:name="_Toc310423392"/>
      <w:bookmarkStart w:id="1228" w:name="_Toc318362685"/>
      <w:bookmarkStart w:id="1229" w:name="_Toc342470747"/>
      <w:bookmarkStart w:id="1230" w:name="_Toc352504987"/>
      <w:bookmarkStart w:id="1231" w:name="_Toc378853276"/>
      <w:bookmarkStart w:id="1232" w:name="_Toc391024074"/>
      <w:bookmarkStart w:id="1233" w:name="_Toc410028817"/>
      <w:bookmarkStart w:id="1234" w:name="_Toc414531445"/>
      <w:bookmarkStart w:id="1235" w:name="_Toc443645357"/>
      <w:bookmarkStart w:id="1236" w:name="_Toc474914576"/>
      <w:bookmarkStart w:id="1237" w:name="_Toc481751540"/>
      <w:bookmarkStart w:id="1238" w:name="_Toc522010597"/>
      <w:bookmarkStart w:id="1239" w:name="_Toc5269502"/>
      <w:bookmarkStart w:id="1240" w:name="_Toc33529378"/>
      <w:bookmarkStart w:id="1241" w:name="_Toc36224584"/>
      <w:bookmarkStart w:id="1242" w:name="_Toc65243579"/>
      <w:bookmarkStart w:id="1243" w:name="_Toc68786469"/>
      <w:r w:rsidRPr="00BE78CA">
        <w:lastRenderedPageBreak/>
        <w:t>Table 6.1.5</w:t>
      </w:r>
      <w:r w:rsidRPr="00BE78CA">
        <w:tab/>
        <w:t>Relationships between land-use, carbon pool and method of calculation used by New Zealand</w:t>
      </w:r>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p>
    <w:tbl>
      <w:tblPr>
        <w:tblW w:w="8505"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426"/>
        <w:gridCol w:w="1350"/>
        <w:gridCol w:w="1039"/>
        <w:gridCol w:w="12"/>
        <w:gridCol w:w="717"/>
        <w:gridCol w:w="432"/>
        <w:gridCol w:w="1055"/>
        <w:gridCol w:w="1055"/>
        <w:gridCol w:w="1206"/>
        <w:gridCol w:w="1213"/>
      </w:tblGrid>
      <w:tr w:rsidR="00333601" w:rsidRPr="00BE78CA" w14:paraId="7C4392E7" w14:textId="77777777" w:rsidTr="00FA2314">
        <w:trPr>
          <w:tblHeader/>
        </w:trPr>
        <w:tc>
          <w:tcPr>
            <w:tcW w:w="1776" w:type="dxa"/>
            <w:gridSpan w:val="2"/>
            <w:tcBorders>
              <w:top w:val="single" w:sz="4" w:space="0" w:color="365F91"/>
              <w:left w:val="nil"/>
              <w:bottom w:val="single" w:sz="4" w:space="0" w:color="365F91"/>
              <w:right w:val="single" w:sz="4" w:space="0" w:color="365F91"/>
            </w:tcBorders>
            <w:shd w:val="clear" w:color="auto" w:fill="365F91"/>
            <w:vAlign w:val="bottom"/>
          </w:tcPr>
          <w:p w14:paraId="79846FE8" w14:textId="77777777" w:rsidR="00333601" w:rsidRPr="00BE78CA" w:rsidRDefault="00333601" w:rsidP="00C26084">
            <w:pPr>
              <w:pStyle w:val="TableTextBold"/>
              <w:keepNext/>
              <w:rPr>
                <w:rFonts w:cs="Calibri"/>
                <w:noProof w:val="0"/>
                <w:color w:val="FFFFFF"/>
                <w:szCs w:val="16"/>
              </w:rPr>
            </w:pPr>
            <w:r w:rsidRPr="00BE78CA">
              <w:rPr>
                <w:rFonts w:cs="Calibri"/>
                <w:noProof w:val="0"/>
                <w:color w:val="FFFFFF"/>
                <w:szCs w:val="16"/>
              </w:rPr>
              <w:t>Convention reporting pool</w:t>
            </w:r>
          </w:p>
        </w:tc>
        <w:tc>
          <w:tcPr>
            <w:tcW w:w="2200" w:type="dxa"/>
            <w:gridSpan w:val="4"/>
            <w:tcBorders>
              <w:top w:val="single" w:sz="4" w:space="0" w:color="365F91"/>
              <w:left w:val="single" w:sz="4" w:space="0" w:color="365F91"/>
              <w:bottom w:val="single" w:sz="4" w:space="0" w:color="365F91"/>
              <w:right w:val="single" w:sz="4" w:space="0" w:color="365F91"/>
            </w:tcBorders>
            <w:shd w:val="clear" w:color="auto" w:fill="365F91"/>
            <w:vAlign w:val="bottom"/>
          </w:tcPr>
          <w:p w14:paraId="68C5FF21" w14:textId="77777777" w:rsidR="00333601" w:rsidRPr="00BE78CA" w:rsidRDefault="00333601" w:rsidP="00C26084">
            <w:pPr>
              <w:pStyle w:val="TableTextBold"/>
              <w:keepNext/>
              <w:jc w:val="center"/>
              <w:rPr>
                <w:rFonts w:cs="Calibri"/>
                <w:noProof w:val="0"/>
                <w:color w:val="FFFFFF"/>
                <w:szCs w:val="16"/>
              </w:rPr>
            </w:pPr>
            <w:r w:rsidRPr="00BE78CA">
              <w:rPr>
                <w:rFonts w:cs="Calibri"/>
                <w:noProof w:val="0"/>
                <w:color w:val="FFFFFF"/>
                <w:szCs w:val="16"/>
              </w:rPr>
              <w:t>Living biomass</w:t>
            </w:r>
          </w:p>
        </w:tc>
        <w:tc>
          <w:tcPr>
            <w:tcW w:w="2110" w:type="dxa"/>
            <w:gridSpan w:val="2"/>
            <w:tcBorders>
              <w:top w:val="single" w:sz="4" w:space="0" w:color="365F91"/>
              <w:left w:val="single" w:sz="4" w:space="0" w:color="365F91"/>
              <w:bottom w:val="single" w:sz="4" w:space="0" w:color="365F91"/>
              <w:right w:val="single" w:sz="4" w:space="0" w:color="365F91"/>
            </w:tcBorders>
            <w:shd w:val="clear" w:color="auto" w:fill="365F91"/>
            <w:vAlign w:val="bottom"/>
          </w:tcPr>
          <w:p w14:paraId="0ED98BE7" w14:textId="77777777" w:rsidR="00333601" w:rsidRPr="00BE78CA" w:rsidRDefault="00333601" w:rsidP="00C26084">
            <w:pPr>
              <w:pStyle w:val="TableTextBold"/>
              <w:keepNext/>
              <w:jc w:val="center"/>
              <w:rPr>
                <w:rFonts w:cs="Calibri"/>
                <w:noProof w:val="0"/>
                <w:color w:val="FFFFFF"/>
                <w:szCs w:val="16"/>
              </w:rPr>
            </w:pPr>
            <w:r w:rsidRPr="00BE78CA">
              <w:rPr>
                <w:rFonts w:cs="Calibri"/>
                <w:noProof w:val="0"/>
                <w:color w:val="FFFFFF"/>
                <w:szCs w:val="16"/>
              </w:rPr>
              <w:t>Dead organic matter</w:t>
            </w:r>
          </w:p>
        </w:tc>
        <w:tc>
          <w:tcPr>
            <w:tcW w:w="2419" w:type="dxa"/>
            <w:gridSpan w:val="2"/>
            <w:tcBorders>
              <w:top w:val="single" w:sz="4" w:space="0" w:color="365F91"/>
              <w:left w:val="single" w:sz="4" w:space="0" w:color="365F91"/>
              <w:bottom w:val="single" w:sz="4" w:space="0" w:color="365F91"/>
              <w:right w:val="single" w:sz="4" w:space="0" w:color="365F91"/>
            </w:tcBorders>
            <w:shd w:val="clear" w:color="auto" w:fill="365F91"/>
            <w:vAlign w:val="bottom"/>
          </w:tcPr>
          <w:p w14:paraId="4AD8DA82" w14:textId="77777777" w:rsidR="00333601" w:rsidRPr="00BE78CA" w:rsidRDefault="00333601" w:rsidP="00C26084">
            <w:pPr>
              <w:pStyle w:val="TableTextBold"/>
              <w:keepNext/>
              <w:jc w:val="center"/>
              <w:rPr>
                <w:rFonts w:cs="Calibri"/>
                <w:noProof w:val="0"/>
                <w:color w:val="FFFFFF"/>
                <w:szCs w:val="16"/>
              </w:rPr>
            </w:pPr>
            <w:r w:rsidRPr="00BE78CA">
              <w:rPr>
                <w:rFonts w:cs="Calibri"/>
                <w:noProof w:val="0"/>
                <w:color w:val="FFFFFF"/>
                <w:szCs w:val="16"/>
              </w:rPr>
              <w:t>Soils</w:t>
            </w:r>
          </w:p>
        </w:tc>
      </w:tr>
      <w:tr w:rsidR="00333601" w:rsidRPr="00BE78CA" w14:paraId="7DEDDB0E" w14:textId="77777777" w:rsidTr="00FA2314">
        <w:trPr>
          <w:tblHeader/>
        </w:trPr>
        <w:tc>
          <w:tcPr>
            <w:tcW w:w="1776" w:type="dxa"/>
            <w:gridSpan w:val="2"/>
            <w:vMerge w:val="restart"/>
            <w:tcBorders>
              <w:top w:val="single" w:sz="4" w:space="0" w:color="365F91"/>
              <w:left w:val="nil"/>
              <w:bottom w:val="single" w:sz="4" w:space="0" w:color="365F91"/>
              <w:right w:val="single" w:sz="4" w:space="0" w:color="365F91"/>
            </w:tcBorders>
            <w:vAlign w:val="bottom"/>
          </w:tcPr>
          <w:p w14:paraId="4767946A" w14:textId="77777777" w:rsidR="00333601" w:rsidRPr="00BE78CA" w:rsidRDefault="00333601" w:rsidP="00C26084">
            <w:pPr>
              <w:pStyle w:val="TableTextBold"/>
              <w:keepNext/>
              <w:rPr>
                <w:rFonts w:cs="Calibri"/>
                <w:noProof w:val="0"/>
                <w:szCs w:val="16"/>
              </w:rPr>
            </w:pPr>
            <w:r w:rsidRPr="00BE78CA">
              <w:rPr>
                <w:rFonts w:cs="Calibri"/>
                <w:noProof w:val="0"/>
                <w:szCs w:val="16"/>
              </w:rPr>
              <w:t>Kyoto Protocol reporting pool</w:t>
            </w:r>
          </w:p>
        </w:tc>
        <w:tc>
          <w:tcPr>
            <w:tcW w:w="1039" w:type="dxa"/>
            <w:vMerge w:val="restart"/>
            <w:tcBorders>
              <w:top w:val="single" w:sz="4" w:space="0" w:color="365F91"/>
              <w:left w:val="single" w:sz="4" w:space="0" w:color="365F91"/>
              <w:bottom w:val="single" w:sz="4" w:space="0" w:color="365F91"/>
              <w:right w:val="nil"/>
            </w:tcBorders>
            <w:vAlign w:val="bottom"/>
          </w:tcPr>
          <w:p w14:paraId="6BB580F2" w14:textId="77777777" w:rsidR="00333601" w:rsidRPr="00BE78CA" w:rsidRDefault="00333601" w:rsidP="00C26084">
            <w:pPr>
              <w:pStyle w:val="TableTextBold"/>
              <w:keepNext/>
              <w:jc w:val="center"/>
              <w:rPr>
                <w:rFonts w:cs="Calibri"/>
                <w:noProof w:val="0"/>
                <w:szCs w:val="16"/>
              </w:rPr>
            </w:pPr>
            <w:r w:rsidRPr="00BE78CA">
              <w:rPr>
                <w:rFonts w:cs="Calibri"/>
                <w:noProof w:val="0"/>
                <w:szCs w:val="16"/>
              </w:rPr>
              <w:t>Above-ground biomass</w:t>
            </w:r>
          </w:p>
        </w:tc>
        <w:tc>
          <w:tcPr>
            <w:tcW w:w="1161" w:type="dxa"/>
            <w:gridSpan w:val="3"/>
            <w:vMerge w:val="restart"/>
            <w:tcBorders>
              <w:top w:val="single" w:sz="4" w:space="0" w:color="365F91"/>
              <w:left w:val="nil"/>
              <w:bottom w:val="single" w:sz="4" w:space="0" w:color="365F91"/>
              <w:right w:val="single" w:sz="4" w:space="0" w:color="365F91"/>
            </w:tcBorders>
            <w:vAlign w:val="bottom"/>
          </w:tcPr>
          <w:p w14:paraId="2D20A6F9" w14:textId="77777777" w:rsidR="00333601" w:rsidRPr="00BE78CA" w:rsidRDefault="00333601" w:rsidP="00C26084">
            <w:pPr>
              <w:pStyle w:val="TableTextBold"/>
              <w:keepNext/>
              <w:jc w:val="center"/>
              <w:rPr>
                <w:rFonts w:cs="Calibri"/>
                <w:noProof w:val="0"/>
                <w:szCs w:val="16"/>
              </w:rPr>
            </w:pPr>
            <w:r w:rsidRPr="00BE78CA">
              <w:rPr>
                <w:rFonts w:cs="Calibri"/>
                <w:noProof w:val="0"/>
                <w:szCs w:val="16"/>
              </w:rPr>
              <w:t>Below-ground biomass</w:t>
            </w:r>
          </w:p>
        </w:tc>
        <w:tc>
          <w:tcPr>
            <w:tcW w:w="1055" w:type="dxa"/>
            <w:vMerge w:val="restart"/>
            <w:tcBorders>
              <w:top w:val="single" w:sz="4" w:space="0" w:color="365F91"/>
              <w:left w:val="single" w:sz="4" w:space="0" w:color="365F91"/>
              <w:bottom w:val="single" w:sz="4" w:space="0" w:color="365F91"/>
              <w:right w:val="nil"/>
            </w:tcBorders>
            <w:vAlign w:val="bottom"/>
          </w:tcPr>
          <w:p w14:paraId="58B25707" w14:textId="77777777" w:rsidR="00333601" w:rsidRPr="00BE78CA" w:rsidRDefault="00333601" w:rsidP="00C26084">
            <w:pPr>
              <w:pStyle w:val="TableTextBold"/>
              <w:keepNext/>
              <w:jc w:val="center"/>
              <w:rPr>
                <w:rFonts w:cs="Calibri"/>
                <w:noProof w:val="0"/>
                <w:szCs w:val="16"/>
              </w:rPr>
            </w:pPr>
            <w:r w:rsidRPr="00BE78CA">
              <w:rPr>
                <w:rFonts w:cs="Calibri"/>
                <w:noProof w:val="0"/>
                <w:szCs w:val="16"/>
              </w:rPr>
              <w:t>Dead wood</w:t>
            </w:r>
          </w:p>
        </w:tc>
        <w:tc>
          <w:tcPr>
            <w:tcW w:w="1055" w:type="dxa"/>
            <w:vMerge w:val="restart"/>
            <w:tcBorders>
              <w:top w:val="single" w:sz="4" w:space="0" w:color="365F91"/>
              <w:left w:val="nil"/>
              <w:bottom w:val="single" w:sz="4" w:space="0" w:color="365F91"/>
              <w:right w:val="single" w:sz="4" w:space="0" w:color="365F91"/>
            </w:tcBorders>
            <w:vAlign w:val="bottom"/>
          </w:tcPr>
          <w:p w14:paraId="4CC186B4" w14:textId="77777777" w:rsidR="00333601" w:rsidRPr="00BE78CA" w:rsidRDefault="00333601" w:rsidP="00C26084">
            <w:pPr>
              <w:pStyle w:val="TableTextBold"/>
              <w:keepNext/>
              <w:jc w:val="center"/>
              <w:rPr>
                <w:rFonts w:cs="Calibri"/>
                <w:noProof w:val="0"/>
                <w:szCs w:val="16"/>
              </w:rPr>
            </w:pPr>
            <w:r w:rsidRPr="00BE78CA">
              <w:rPr>
                <w:rFonts w:cs="Calibri"/>
                <w:noProof w:val="0"/>
                <w:szCs w:val="16"/>
              </w:rPr>
              <w:t>Litter</w:t>
            </w:r>
          </w:p>
        </w:tc>
        <w:tc>
          <w:tcPr>
            <w:tcW w:w="2419" w:type="dxa"/>
            <w:gridSpan w:val="2"/>
            <w:tcBorders>
              <w:top w:val="single" w:sz="4" w:space="0" w:color="365F91"/>
              <w:left w:val="single" w:sz="4" w:space="0" w:color="365F91"/>
              <w:bottom w:val="single" w:sz="4" w:space="0" w:color="365F91"/>
              <w:right w:val="nil"/>
            </w:tcBorders>
            <w:vAlign w:val="bottom"/>
          </w:tcPr>
          <w:p w14:paraId="37597518" w14:textId="77777777" w:rsidR="00333601" w:rsidRPr="00BE78CA" w:rsidRDefault="00333601" w:rsidP="00C26084">
            <w:pPr>
              <w:pStyle w:val="TableTextBold"/>
              <w:keepNext/>
              <w:jc w:val="center"/>
              <w:rPr>
                <w:rFonts w:cs="Calibri"/>
                <w:noProof w:val="0"/>
                <w:szCs w:val="16"/>
              </w:rPr>
            </w:pPr>
            <w:r w:rsidRPr="00BE78CA">
              <w:rPr>
                <w:rFonts w:cs="Calibri"/>
                <w:noProof w:val="0"/>
                <w:szCs w:val="16"/>
              </w:rPr>
              <w:t>Soil organic matter</w:t>
            </w:r>
          </w:p>
        </w:tc>
      </w:tr>
      <w:tr w:rsidR="00333601" w:rsidRPr="00BE78CA" w14:paraId="43A021D3" w14:textId="77777777" w:rsidTr="00FA2314">
        <w:tc>
          <w:tcPr>
            <w:tcW w:w="1776" w:type="dxa"/>
            <w:gridSpan w:val="2"/>
            <w:vMerge/>
            <w:tcBorders>
              <w:top w:val="single" w:sz="4" w:space="0" w:color="365F91"/>
              <w:left w:val="nil"/>
              <w:bottom w:val="single" w:sz="4" w:space="0" w:color="365F91"/>
              <w:right w:val="single" w:sz="4" w:space="0" w:color="365F91"/>
            </w:tcBorders>
            <w:vAlign w:val="bottom"/>
          </w:tcPr>
          <w:p w14:paraId="28F990EA" w14:textId="77777777" w:rsidR="00333601" w:rsidRPr="00BE78CA" w:rsidRDefault="00333601" w:rsidP="00C26084">
            <w:pPr>
              <w:pStyle w:val="TableTextBold"/>
              <w:keepNext/>
              <w:jc w:val="center"/>
              <w:rPr>
                <w:rFonts w:cs="Calibri"/>
                <w:noProof w:val="0"/>
                <w:szCs w:val="16"/>
              </w:rPr>
            </w:pPr>
          </w:p>
        </w:tc>
        <w:tc>
          <w:tcPr>
            <w:tcW w:w="1039" w:type="dxa"/>
            <w:vMerge/>
            <w:tcBorders>
              <w:top w:val="single" w:sz="4" w:space="0" w:color="365F91"/>
              <w:left w:val="single" w:sz="4" w:space="0" w:color="365F91"/>
              <w:bottom w:val="single" w:sz="4" w:space="0" w:color="365F91"/>
            </w:tcBorders>
            <w:vAlign w:val="bottom"/>
          </w:tcPr>
          <w:p w14:paraId="093918FC" w14:textId="77777777" w:rsidR="00333601" w:rsidRPr="00BE78CA" w:rsidRDefault="00333601" w:rsidP="00C26084">
            <w:pPr>
              <w:pStyle w:val="TableTextBold"/>
              <w:keepNext/>
              <w:jc w:val="center"/>
              <w:rPr>
                <w:rFonts w:cs="Calibri"/>
                <w:noProof w:val="0"/>
                <w:szCs w:val="16"/>
              </w:rPr>
            </w:pPr>
          </w:p>
        </w:tc>
        <w:tc>
          <w:tcPr>
            <w:tcW w:w="1161" w:type="dxa"/>
            <w:gridSpan w:val="3"/>
            <w:vMerge/>
            <w:tcBorders>
              <w:top w:val="single" w:sz="4" w:space="0" w:color="365F91"/>
              <w:bottom w:val="single" w:sz="4" w:space="0" w:color="365F91"/>
              <w:right w:val="single" w:sz="4" w:space="0" w:color="auto"/>
            </w:tcBorders>
            <w:vAlign w:val="bottom"/>
          </w:tcPr>
          <w:p w14:paraId="6E8022F5" w14:textId="77777777" w:rsidR="00333601" w:rsidRPr="00BE78CA" w:rsidRDefault="00333601" w:rsidP="00C26084">
            <w:pPr>
              <w:pStyle w:val="TableTextBold"/>
              <w:keepNext/>
              <w:jc w:val="center"/>
              <w:rPr>
                <w:rFonts w:cs="Calibri"/>
                <w:noProof w:val="0"/>
                <w:szCs w:val="16"/>
              </w:rPr>
            </w:pPr>
          </w:p>
        </w:tc>
        <w:tc>
          <w:tcPr>
            <w:tcW w:w="1055" w:type="dxa"/>
            <w:vMerge/>
            <w:tcBorders>
              <w:top w:val="single" w:sz="4" w:space="0" w:color="365F91"/>
              <w:left w:val="single" w:sz="4" w:space="0" w:color="auto"/>
              <w:bottom w:val="single" w:sz="4" w:space="0" w:color="365F91"/>
            </w:tcBorders>
            <w:vAlign w:val="bottom"/>
          </w:tcPr>
          <w:p w14:paraId="44C9FFAC" w14:textId="77777777" w:rsidR="00333601" w:rsidRPr="00BE78CA" w:rsidRDefault="00333601" w:rsidP="00C26084">
            <w:pPr>
              <w:pStyle w:val="TableTextBold"/>
              <w:keepNext/>
              <w:jc w:val="center"/>
              <w:rPr>
                <w:rFonts w:cs="Calibri"/>
                <w:noProof w:val="0"/>
                <w:szCs w:val="16"/>
              </w:rPr>
            </w:pPr>
          </w:p>
        </w:tc>
        <w:tc>
          <w:tcPr>
            <w:tcW w:w="1055" w:type="dxa"/>
            <w:vMerge/>
            <w:tcBorders>
              <w:top w:val="single" w:sz="4" w:space="0" w:color="365F91"/>
              <w:bottom w:val="single" w:sz="4" w:space="0" w:color="365F91"/>
              <w:right w:val="single" w:sz="4" w:space="0" w:color="auto"/>
            </w:tcBorders>
            <w:vAlign w:val="bottom"/>
          </w:tcPr>
          <w:p w14:paraId="14624E44" w14:textId="77777777" w:rsidR="00333601" w:rsidRPr="00BE78CA" w:rsidRDefault="00333601" w:rsidP="00C26084">
            <w:pPr>
              <w:pStyle w:val="TableTextBold"/>
              <w:keepNext/>
              <w:jc w:val="center"/>
              <w:rPr>
                <w:rFonts w:cs="Calibri"/>
                <w:noProof w:val="0"/>
                <w:szCs w:val="16"/>
              </w:rPr>
            </w:pPr>
          </w:p>
        </w:tc>
        <w:tc>
          <w:tcPr>
            <w:tcW w:w="1206" w:type="dxa"/>
            <w:tcBorders>
              <w:top w:val="single" w:sz="4" w:space="0" w:color="365F91"/>
              <w:bottom w:val="single" w:sz="4" w:space="0" w:color="365F91"/>
              <w:right w:val="single" w:sz="4" w:space="0" w:color="auto"/>
            </w:tcBorders>
            <w:vAlign w:val="bottom"/>
          </w:tcPr>
          <w:p w14:paraId="1A6145F2" w14:textId="77777777" w:rsidR="00333601" w:rsidRPr="00BE78CA" w:rsidRDefault="00333601" w:rsidP="00C26084">
            <w:pPr>
              <w:pStyle w:val="TableTextBold"/>
              <w:keepNext/>
              <w:jc w:val="center"/>
              <w:rPr>
                <w:rFonts w:cs="Calibri"/>
                <w:noProof w:val="0"/>
                <w:szCs w:val="16"/>
              </w:rPr>
            </w:pPr>
            <w:r w:rsidRPr="00BE78CA">
              <w:rPr>
                <w:rFonts w:cs="Calibri"/>
                <w:noProof w:val="0"/>
                <w:szCs w:val="16"/>
              </w:rPr>
              <w:t>Mineral soils</w:t>
            </w:r>
          </w:p>
        </w:tc>
        <w:tc>
          <w:tcPr>
            <w:tcW w:w="1213" w:type="dxa"/>
            <w:tcBorders>
              <w:top w:val="single" w:sz="4" w:space="0" w:color="365F91"/>
              <w:left w:val="single" w:sz="4" w:space="0" w:color="auto"/>
              <w:bottom w:val="single" w:sz="4" w:space="0" w:color="365F91"/>
              <w:right w:val="nil"/>
            </w:tcBorders>
            <w:tcMar>
              <w:right w:w="57" w:type="dxa"/>
            </w:tcMar>
            <w:vAlign w:val="bottom"/>
          </w:tcPr>
          <w:p w14:paraId="20C51415" w14:textId="77777777" w:rsidR="00333601" w:rsidRPr="00BE78CA" w:rsidRDefault="00333601" w:rsidP="00C26084">
            <w:pPr>
              <w:pStyle w:val="TableTextBold"/>
              <w:keepNext/>
              <w:jc w:val="center"/>
              <w:rPr>
                <w:rFonts w:cs="Calibri"/>
                <w:noProof w:val="0"/>
                <w:szCs w:val="16"/>
              </w:rPr>
            </w:pPr>
            <w:r w:rsidRPr="00BE78CA">
              <w:rPr>
                <w:rFonts w:cs="Calibri"/>
                <w:noProof w:val="0"/>
                <w:szCs w:val="16"/>
              </w:rPr>
              <w:t>Organic soils</w:t>
            </w:r>
          </w:p>
        </w:tc>
      </w:tr>
      <w:tr w:rsidR="00333601" w:rsidRPr="00BE78CA" w14:paraId="32875D1C" w14:textId="77777777" w:rsidTr="00FA2314">
        <w:tc>
          <w:tcPr>
            <w:tcW w:w="426" w:type="dxa"/>
            <w:vMerge w:val="restart"/>
            <w:tcBorders>
              <w:top w:val="single" w:sz="4" w:space="0" w:color="365F91"/>
              <w:left w:val="nil"/>
              <w:bottom w:val="single" w:sz="4" w:space="0" w:color="365F91"/>
              <w:right w:val="single" w:sz="4" w:space="0" w:color="365F91"/>
            </w:tcBorders>
            <w:textDirection w:val="btLr"/>
            <w:vAlign w:val="center"/>
          </w:tcPr>
          <w:p w14:paraId="713E7E55" w14:textId="77777777" w:rsidR="00333601" w:rsidRPr="00BE78CA" w:rsidRDefault="00333601" w:rsidP="00C26084">
            <w:pPr>
              <w:pStyle w:val="TableTextBold"/>
              <w:keepNext/>
              <w:jc w:val="center"/>
              <w:rPr>
                <w:rFonts w:cs="Calibri"/>
                <w:b w:val="0"/>
                <w:noProof w:val="0"/>
                <w:szCs w:val="16"/>
              </w:rPr>
            </w:pPr>
            <w:r w:rsidRPr="00BE78CA">
              <w:rPr>
                <w:rFonts w:cs="Calibri"/>
                <w:b w:val="0"/>
                <w:noProof w:val="0"/>
                <w:szCs w:val="16"/>
              </w:rPr>
              <w:t>Land uses</w:t>
            </w:r>
          </w:p>
        </w:tc>
        <w:tc>
          <w:tcPr>
            <w:tcW w:w="1350" w:type="dxa"/>
            <w:tcBorders>
              <w:top w:val="single" w:sz="4" w:space="0" w:color="365F91"/>
              <w:left w:val="single" w:sz="4" w:space="0" w:color="365F91"/>
              <w:bottom w:val="nil"/>
              <w:right w:val="single" w:sz="4" w:space="0" w:color="365F91"/>
            </w:tcBorders>
          </w:tcPr>
          <w:p w14:paraId="05816530" w14:textId="77777777" w:rsidR="00333601" w:rsidRPr="00BE78CA" w:rsidRDefault="00333601" w:rsidP="00C26084">
            <w:pPr>
              <w:pStyle w:val="TableText"/>
              <w:keepNext/>
              <w:rPr>
                <w:rFonts w:cs="Calibri"/>
                <w:szCs w:val="16"/>
              </w:rPr>
            </w:pPr>
            <w:r w:rsidRPr="00BE78CA">
              <w:rPr>
                <w:rFonts w:cs="Calibri"/>
                <w:szCs w:val="16"/>
              </w:rPr>
              <w:t xml:space="preserve">Pre-1990 natural forest </w:t>
            </w:r>
          </w:p>
        </w:tc>
        <w:tc>
          <w:tcPr>
            <w:tcW w:w="1039" w:type="dxa"/>
            <w:tcBorders>
              <w:top w:val="single" w:sz="4" w:space="0" w:color="365F91"/>
              <w:left w:val="single" w:sz="4" w:space="0" w:color="365F91"/>
              <w:bottom w:val="nil"/>
              <w:right w:val="nil"/>
            </w:tcBorders>
            <w:tcMar>
              <w:right w:w="28" w:type="dxa"/>
            </w:tcMar>
          </w:tcPr>
          <w:p w14:paraId="5013A1E7" w14:textId="77777777" w:rsidR="00333601" w:rsidRPr="00BE78CA" w:rsidRDefault="00333601" w:rsidP="00C26084">
            <w:pPr>
              <w:pStyle w:val="TableText"/>
              <w:keepNext/>
              <w:rPr>
                <w:rFonts w:cs="Calibri"/>
                <w:szCs w:val="16"/>
              </w:rPr>
            </w:pPr>
            <w:r w:rsidRPr="00BE78CA">
              <w:rPr>
                <w:rFonts w:cs="Calibri"/>
                <w:szCs w:val="16"/>
              </w:rPr>
              <w:t>Allometric equations</w:t>
            </w:r>
          </w:p>
        </w:tc>
        <w:tc>
          <w:tcPr>
            <w:tcW w:w="1161" w:type="dxa"/>
            <w:gridSpan w:val="3"/>
            <w:tcBorders>
              <w:top w:val="single" w:sz="4" w:space="0" w:color="365F91"/>
              <w:left w:val="nil"/>
              <w:bottom w:val="nil"/>
              <w:right w:val="nil"/>
            </w:tcBorders>
            <w:tcMar>
              <w:right w:w="28" w:type="dxa"/>
            </w:tcMar>
          </w:tcPr>
          <w:p w14:paraId="1C36EEFD" w14:textId="77777777" w:rsidR="00333601" w:rsidRPr="00BE78CA" w:rsidRDefault="00333601" w:rsidP="00C26084">
            <w:pPr>
              <w:pStyle w:val="TableText"/>
              <w:keepNext/>
              <w:rPr>
                <w:rFonts w:cs="Calibri"/>
                <w:szCs w:val="16"/>
              </w:rPr>
            </w:pPr>
            <w:r w:rsidRPr="00BE78CA">
              <w:rPr>
                <w:rFonts w:cs="Calibri"/>
                <w:szCs w:val="16"/>
              </w:rPr>
              <w:t>Percentage of above-ground biomass</w:t>
            </w:r>
          </w:p>
        </w:tc>
        <w:tc>
          <w:tcPr>
            <w:tcW w:w="1055" w:type="dxa"/>
            <w:tcBorders>
              <w:top w:val="single" w:sz="4" w:space="0" w:color="365F91"/>
              <w:left w:val="nil"/>
              <w:bottom w:val="nil"/>
              <w:right w:val="nil"/>
            </w:tcBorders>
            <w:tcMar>
              <w:right w:w="28" w:type="dxa"/>
            </w:tcMar>
          </w:tcPr>
          <w:p w14:paraId="027B321C" w14:textId="77777777" w:rsidR="00333601" w:rsidRPr="00BE78CA" w:rsidRDefault="00333601" w:rsidP="00C26084">
            <w:pPr>
              <w:pStyle w:val="TableText"/>
              <w:keepNext/>
              <w:rPr>
                <w:rFonts w:cs="Calibri"/>
                <w:szCs w:val="16"/>
              </w:rPr>
            </w:pPr>
            <w:r w:rsidRPr="00BE78CA">
              <w:rPr>
                <w:rFonts w:cs="Calibri"/>
                <w:szCs w:val="16"/>
              </w:rPr>
              <w:t>Allometric equations and modelling</w:t>
            </w:r>
          </w:p>
        </w:tc>
        <w:tc>
          <w:tcPr>
            <w:tcW w:w="1055" w:type="dxa"/>
            <w:tcBorders>
              <w:top w:val="single" w:sz="4" w:space="0" w:color="365F91"/>
              <w:left w:val="nil"/>
              <w:bottom w:val="nil"/>
              <w:right w:val="single" w:sz="4" w:space="0" w:color="365F91"/>
            </w:tcBorders>
            <w:tcMar>
              <w:right w:w="28" w:type="dxa"/>
            </w:tcMar>
          </w:tcPr>
          <w:p w14:paraId="4B3E199D" w14:textId="77777777" w:rsidR="00333601" w:rsidRPr="00BE78CA" w:rsidRDefault="00333601" w:rsidP="00C26084">
            <w:pPr>
              <w:pStyle w:val="TableText"/>
              <w:keepNext/>
              <w:rPr>
                <w:rFonts w:cs="Calibri"/>
                <w:szCs w:val="16"/>
              </w:rPr>
            </w:pPr>
            <w:r w:rsidRPr="00BE78CA">
              <w:rPr>
                <w:rFonts w:cs="Calibri"/>
                <w:szCs w:val="16"/>
              </w:rPr>
              <w:t>Lab analysis</w:t>
            </w:r>
          </w:p>
        </w:tc>
        <w:tc>
          <w:tcPr>
            <w:tcW w:w="1206" w:type="dxa"/>
            <w:vMerge w:val="restart"/>
            <w:tcBorders>
              <w:top w:val="single" w:sz="4" w:space="0" w:color="365F91"/>
              <w:left w:val="single" w:sz="4" w:space="0" w:color="365F91"/>
              <w:bottom w:val="single" w:sz="4" w:space="0" w:color="365F91"/>
              <w:right w:val="single" w:sz="4" w:space="0" w:color="365F91"/>
            </w:tcBorders>
          </w:tcPr>
          <w:p w14:paraId="286973C8" w14:textId="77777777" w:rsidR="00333601" w:rsidRPr="00BE78CA" w:rsidRDefault="00333601" w:rsidP="00C26084">
            <w:pPr>
              <w:pStyle w:val="TableText"/>
              <w:keepNext/>
              <w:rPr>
                <w:rFonts w:cs="Calibri"/>
                <w:szCs w:val="16"/>
              </w:rPr>
            </w:pPr>
            <w:r w:rsidRPr="00BE78CA">
              <w:rPr>
                <w:rFonts w:cs="Calibri"/>
                <w:szCs w:val="16"/>
              </w:rPr>
              <w:t>Tier 2, country-specific data and model</w:t>
            </w:r>
          </w:p>
        </w:tc>
        <w:tc>
          <w:tcPr>
            <w:tcW w:w="1213" w:type="dxa"/>
            <w:vMerge w:val="restart"/>
            <w:tcBorders>
              <w:top w:val="single" w:sz="4" w:space="0" w:color="365F91"/>
              <w:left w:val="single" w:sz="4" w:space="0" w:color="365F91"/>
              <w:bottom w:val="single" w:sz="4" w:space="0" w:color="365F91"/>
              <w:right w:val="nil"/>
            </w:tcBorders>
          </w:tcPr>
          <w:p w14:paraId="708B7EAB" w14:textId="77777777" w:rsidR="00333601" w:rsidRPr="00BE78CA" w:rsidRDefault="00333601" w:rsidP="00C26084">
            <w:pPr>
              <w:pStyle w:val="TableText"/>
              <w:keepNext/>
              <w:rPr>
                <w:rFonts w:cs="Calibri"/>
                <w:szCs w:val="16"/>
              </w:rPr>
            </w:pPr>
            <w:r w:rsidRPr="00BE78CA">
              <w:rPr>
                <w:rFonts w:cs="Calibri"/>
                <w:szCs w:val="16"/>
              </w:rPr>
              <w:t>Not applicable</w:t>
            </w:r>
          </w:p>
        </w:tc>
      </w:tr>
      <w:tr w:rsidR="00333601" w:rsidRPr="00BE78CA" w14:paraId="369C8D3F" w14:textId="77777777" w:rsidTr="00FA2314">
        <w:tc>
          <w:tcPr>
            <w:tcW w:w="426" w:type="dxa"/>
            <w:vMerge/>
            <w:tcBorders>
              <w:top w:val="single" w:sz="4" w:space="0" w:color="365F91"/>
              <w:left w:val="nil"/>
              <w:bottom w:val="single" w:sz="4" w:space="0" w:color="365F91"/>
              <w:right w:val="single" w:sz="4" w:space="0" w:color="365F91"/>
            </w:tcBorders>
          </w:tcPr>
          <w:p w14:paraId="0E0BBFBC" w14:textId="77777777" w:rsidR="00333601" w:rsidRPr="00BE78CA" w:rsidRDefault="00333601" w:rsidP="00C26084">
            <w:pPr>
              <w:rPr>
                <w:rFonts w:cs="Calibri"/>
                <w:sz w:val="16"/>
                <w:szCs w:val="16"/>
              </w:rPr>
            </w:pPr>
          </w:p>
        </w:tc>
        <w:tc>
          <w:tcPr>
            <w:tcW w:w="1350" w:type="dxa"/>
            <w:tcBorders>
              <w:top w:val="nil"/>
              <w:left w:val="single" w:sz="4" w:space="0" w:color="365F91"/>
              <w:bottom w:val="single" w:sz="4" w:space="0" w:color="365F91"/>
              <w:right w:val="single" w:sz="4" w:space="0" w:color="365F91"/>
            </w:tcBorders>
          </w:tcPr>
          <w:p w14:paraId="73C74A7D" w14:textId="77777777" w:rsidR="00333601" w:rsidRPr="00BE78CA" w:rsidRDefault="00333601" w:rsidP="00C26084">
            <w:pPr>
              <w:pStyle w:val="TableText"/>
              <w:rPr>
                <w:rFonts w:cs="Calibri"/>
                <w:szCs w:val="16"/>
              </w:rPr>
            </w:pPr>
            <w:r w:rsidRPr="00BE78CA">
              <w:rPr>
                <w:rFonts w:cs="Calibri"/>
                <w:szCs w:val="16"/>
              </w:rPr>
              <w:t>Pre-1990 natural forest [D]</w:t>
            </w:r>
          </w:p>
        </w:tc>
        <w:tc>
          <w:tcPr>
            <w:tcW w:w="4310" w:type="dxa"/>
            <w:gridSpan w:val="6"/>
            <w:tcBorders>
              <w:top w:val="nil"/>
              <w:left w:val="single" w:sz="4" w:space="0" w:color="365F91"/>
              <w:bottom w:val="single" w:sz="4" w:space="0" w:color="365F91"/>
              <w:right w:val="single" w:sz="4" w:space="0" w:color="365F91"/>
            </w:tcBorders>
          </w:tcPr>
          <w:p w14:paraId="3F818A48" w14:textId="77777777" w:rsidR="00333601" w:rsidRPr="00BE78CA" w:rsidRDefault="00333601" w:rsidP="00C26084">
            <w:pPr>
              <w:pStyle w:val="TableText"/>
              <w:rPr>
                <w:rFonts w:cs="Calibri"/>
                <w:szCs w:val="16"/>
              </w:rPr>
            </w:pPr>
            <w:r w:rsidRPr="00BE78CA">
              <w:rPr>
                <w:rFonts w:cs="Calibri"/>
                <w:szCs w:val="16"/>
              </w:rPr>
              <w:t>Emission factor based on the vegetation type present (tall forest or regenerating) before deforestation occurring since 1 January 1990</w:t>
            </w:r>
          </w:p>
        </w:tc>
        <w:tc>
          <w:tcPr>
            <w:tcW w:w="1206" w:type="dxa"/>
            <w:vMerge/>
            <w:tcBorders>
              <w:top w:val="single" w:sz="4" w:space="0" w:color="365F91"/>
              <w:left w:val="single" w:sz="4" w:space="0" w:color="365F91"/>
              <w:bottom w:val="single" w:sz="4" w:space="0" w:color="365F91"/>
              <w:right w:val="single" w:sz="4" w:space="0" w:color="365F91"/>
            </w:tcBorders>
          </w:tcPr>
          <w:p w14:paraId="67A2C325" w14:textId="77777777" w:rsidR="00333601" w:rsidRPr="00BE78CA" w:rsidRDefault="00333601" w:rsidP="00C26084">
            <w:pPr>
              <w:pStyle w:val="TableText"/>
              <w:rPr>
                <w:rFonts w:cs="Calibri"/>
                <w:szCs w:val="16"/>
              </w:rPr>
            </w:pPr>
          </w:p>
        </w:tc>
        <w:tc>
          <w:tcPr>
            <w:tcW w:w="1213" w:type="dxa"/>
            <w:vMerge/>
            <w:tcBorders>
              <w:top w:val="single" w:sz="4" w:space="0" w:color="365F91"/>
              <w:left w:val="single" w:sz="4" w:space="0" w:color="365F91"/>
              <w:bottom w:val="single" w:sz="4" w:space="0" w:color="365F91"/>
              <w:right w:val="nil"/>
            </w:tcBorders>
          </w:tcPr>
          <w:p w14:paraId="6A255E38" w14:textId="77777777" w:rsidR="00333601" w:rsidRPr="00BE78CA" w:rsidRDefault="00333601" w:rsidP="00C26084">
            <w:pPr>
              <w:pStyle w:val="TableText"/>
              <w:rPr>
                <w:rFonts w:cs="Calibri"/>
                <w:szCs w:val="16"/>
              </w:rPr>
            </w:pPr>
          </w:p>
        </w:tc>
      </w:tr>
      <w:tr w:rsidR="00333601" w:rsidRPr="00BE78CA" w14:paraId="0B58355A" w14:textId="77777777" w:rsidTr="00FA2314">
        <w:tc>
          <w:tcPr>
            <w:tcW w:w="426" w:type="dxa"/>
            <w:vMerge/>
            <w:tcBorders>
              <w:top w:val="single" w:sz="4" w:space="0" w:color="365F91"/>
              <w:left w:val="nil"/>
              <w:bottom w:val="single" w:sz="4" w:space="0" w:color="365F91"/>
              <w:right w:val="single" w:sz="4" w:space="0" w:color="365F91"/>
            </w:tcBorders>
          </w:tcPr>
          <w:p w14:paraId="2EE369E0" w14:textId="77777777" w:rsidR="00333601" w:rsidRPr="00BE78CA" w:rsidRDefault="00333601" w:rsidP="00C26084">
            <w:pPr>
              <w:rPr>
                <w:rFonts w:cs="Calibri"/>
                <w:sz w:val="16"/>
                <w:szCs w:val="16"/>
              </w:rPr>
            </w:pPr>
          </w:p>
        </w:tc>
        <w:tc>
          <w:tcPr>
            <w:tcW w:w="1350" w:type="dxa"/>
            <w:tcBorders>
              <w:top w:val="single" w:sz="4" w:space="0" w:color="365F91"/>
              <w:left w:val="single" w:sz="4" w:space="0" w:color="365F91"/>
              <w:bottom w:val="single" w:sz="4" w:space="0" w:color="365F91"/>
              <w:right w:val="single" w:sz="4" w:space="0" w:color="365F91"/>
            </w:tcBorders>
          </w:tcPr>
          <w:p w14:paraId="656194DC" w14:textId="77777777" w:rsidR="00333601" w:rsidRPr="00BE78CA" w:rsidRDefault="00333601" w:rsidP="00C26084">
            <w:pPr>
              <w:pStyle w:val="TableText"/>
              <w:rPr>
                <w:rFonts w:cs="Calibri"/>
                <w:szCs w:val="16"/>
              </w:rPr>
            </w:pPr>
            <w:r w:rsidRPr="00BE78CA">
              <w:rPr>
                <w:rFonts w:cs="Calibri"/>
                <w:szCs w:val="16"/>
              </w:rPr>
              <w:t>Pre-1990 planted forest</w:t>
            </w:r>
          </w:p>
        </w:tc>
        <w:tc>
          <w:tcPr>
            <w:tcW w:w="4310" w:type="dxa"/>
            <w:gridSpan w:val="6"/>
            <w:tcBorders>
              <w:top w:val="single" w:sz="4" w:space="0" w:color="365F91"/>
              <w:left w:val="single" w:sz="4" w:space="0" w:color="365F91"/>
              <w:bottom w:val="single" w:sz="4" w:space="0" w:color="365F91"/>
              <w:right w:val="single" w:sz="4" w:space="0" w:color="365F91"/>
            </w:tcBorders>
          </w:tcPr>
          <w:p w14:paraId="6B9897A2" w14:textId="77777777" w:rsidR="00333601" w:rsidRPr="00BE78CA" w:rsidRDefault="00333601" w:rsidP="00C26084">
            <w:pPr>
              <w:pStyle w:val="TableText"/>
              <w:rPr>
                <w:rFonts w:cs="Calibri"/>
                <w:szCs w:val="16"/>
              </w:rPr>
            </w:pPr>
            <w:r w:rsidRPr="00BE78CA">
              <w:rPr>
                <w:rFonts w:cs="Calibri"/>
                <w:szCs w:val="16"/>
              </w:rPr>
              <w:t>Age-based carbon yield tables by biomass pool derived from the LUCAS plot network and the Forest Carbon Predictor model</w:t>
            </w:r>
          </w:p>
        </w:tc>
        <w:tc>
          <w:tcPr>
            <w:tcW w:w="1206" w:type="dxa"/>
            <w:tcBorders>
              <w:top w:val="single" w:sz="4" w:space="0" w:color="365F91"/>
              <w:left w:val="single" w:sz="4" w:space="0" w:color="365F91"/>
              <w:bottom w:val="single" w:sz="4" w:space="0" w:color="365F91"/>
              <w:right w:val="single" w:sz="4" w:space="0" w:color="365F91"/>
            </w:tcBorders>
          </w:tcPr>
          <w:p w14:paraId="57FE0847" w14:textId="77777777" w:rsidR="00333601" w:rsidRPr="00BE78CA" w:rsidRDefault="00333601" w:rsidP="00C26084">
            <w:pPr>
              <w:pStyle w:val="TableText"/>
              <w:rPr>
                <w:rFonts w:cs="Calibri"/>
                <w:szCs w:val="16"/>
              </w:rPr>
            </w:pPr>
            <w:r w:rsidRPr="00BE78CA">
              <w:rPr>
                <w:rFonts w:cs="Calibri"/>
                <w:szCs w:val="16"/>
              </w:rPr>
              <w:t>Tier 2, country-specific data and model</w:t>
            </w:r>
          </w:p>
        </w:tc>
        <w:tc>
          <w:tcPr>
            <w:tcW w:w="1213" w:type="dxa"/>
            <w:tcBorders>
              <w:top w:val="single" w:sz="4" w:space="0" w:color="365F91"/>
              <w:left w:val="single" w:sz="4" w:space="0" w:color="365F91"/>
              <w:bottom w:val="single" w:sz="4" w:space="0" w:color="365F91"/>
              <w:right w:val="nil"/>
            </w:tcBorders>
          </w:tcPr>
          <w:p w14:paraId="47907152" w14:textId="77777777" w:rsidR="00333601" w:rsidRPr="00BE78CA" w:rsidRDefault="00333601" w:rsidP="00C26084">
            <w:pPr>
              <w:pStyle w:val="TableText"/>
              <w:rPr>
                <w:rFonts w:cs="Calibri"/>
                <w:szCs w:val="16"/>
              </w:rPr>
            </w:pPr>
            <w:r w:rsidRPr="00BE78CA">
              <w:rPr>
                <w:rFonts w:cs="Calibri"/>
                <w:szCs w:val="16"/>
              </w:rPr>
              <w:t>IPCC Tier 1 default parameters</w:t>
            </w:r>
          </w:p>
        </w:tc>
      </w:tr>
      <w:tr w:rsidR="00333601" w:rsidRPr="00BE78CA" w14:paraId="541C4D71" w14:textId="77777777" w:rsidTr="00FA2314">
        <w:tc>
          <w:tcPr>
            <w:tcW w:w="426" w:type="dxa"/>
            <w:vMerge/>
            <w:tcBorders>
              <w:top w:val="single" w:sz="4" w:space="0" w:color="365F91"/>
              <w:left w:val="nil"/>
              <w:bottom w:val="single" w:sz="4" w:space="0" w:color="365F91"/>
              <w:right w:val="single" w:sz="4" w:space="0" w:color="365F91"/>
            </w:tcBorders>
          </w:tcPr>
          <w:p w14:paraId="52037A03" w14:textId="77777777" w:rsidR="00333601" w:rsidRPr="00BE78CA" w:rsidRDefault="00333601" w:rsidP="00C26084">
            <w:pPr>
              <w:rPr>
                <w:rFonts w:cs="Calibri"/>
                <w:sz w:val="16"/>
                <w:szCs w:val="16"/>
              </w:rPr>
            </w:pPr>
          </w:p>
        </w:tc>
        <w:tc>
          <w:tcPr>
            <w:tcW w:w="1350" w:type="dxa"/>
            <w:tcBorders>
              <w:top w:val="single" w:sz="4" w:space="0" w:color="365F91"/>
              <w:left w:val="single" w:sz="4" w:space="0" w:color="365F91"/>
              <w:bottom w:val="nil"/>
              <w:right w:val="single" w:sz="4" w:space="0" w:color="365F91"/>
            </w:tcBorders>
          </w:tcPr>
          <w:p w14:paraId="6A6CA765" w14:textId="77777777" w:rsidR="00333601" w:rsidRPr="00BE78CA" w:rsidRDefault="00333601" w:rsidP="00C26084">
            <w:pPr>
              <w:pStyle w:val="TableText"/>
              <w:rPr>
                <w:rFonts w:cs="Calibri"/>
                <w:szCs w:val="16"/>
              </w:rPr>
            </w:pPr>
            <w:r w:rsidRPr="00BE78CA">
              <w:rPr>
                <w:rFonts w:cs="Calibri"/>
                <w:szCs w:val="16"/>
              </w:rPr>
              <w:t>Post-1989 natural forest [AR and D]</w:t>
            </w:r>
          </w:p>
        </w:tc>
        <w:tc>
          <w:tcPr>
            <w:tcW w:w="1051" w:type="dxa"/>
            <w:gridSpan w:val="2"/>
            <w:tcBorders>
              <w:top w:val="single" w:sz="4" w:space="0" w:color="365F91"/>
              <w:left w:val="single" w:sz="4" w:space="0" w:color="365F91"/>
              <w:bottom w:val="nil"/>
              <w:right w:val="nil"/>
            </w:tcBorders>
          </w:tcPr>
          <w:p w14:paraId="655EB384" w14:textId="77777777" w:rsidR="00333601" w:rsidRPr="00BE78CA" w:rsidRDefault="00333601" w:rsidP="00C26084">
            <w:pPr>
              <w:pStyle w:val="TableText"/>
              <w:rPr>
                <w:rFonts w:cs="Calibri"/>
                <w:szCs w:val="16"/>
              </w:rPr>
            </w:pPr>
            <w:r w:rsidRPr="00BE78CA">
              <w:rPr>
                <w:rFonts w:cs="Calibri"/>
                <w:szCs w:val="16"/>
              </w:rPr>
              <w:t>Allometric model</w:t>
            </w:r>
          </w:p>
        </w:tc>
        <w:tc>
          <w:tcPr>
            <w:tcW w:w="1149" w:type="dxa"/>
            <w:gridSpan w:val="2"/>
            <w:tcBorders>
              <w:top w:val="single" w:sz="4" w:space="0" w:color="365F91"/>
              <w:left w:val="nil"/>
              <w:bottom w:val="nil"/>
              <w:right w:val="nil"/>
            </w:tcBorders>
          </w:tcPr>
          <w:p w14:paraId="7D19C962" w14:textId="77777777" w:rsidR="00333601" w:rsidRPr="00BE78CA" w:rsidRDefault="00333601" w:rsidP="00C26084">
            <w:pPr>
              <w:pStyle w:val="TableText"/>
              <w:rPr>
                <w:rFonts w:cs="Calibri"/>
                <w:szCs w:val="16"/>
              </w:rPr>
            </w:pPr>
            <w:r w:rsidRPr="00BE78CA">
              <w:rPr>
                <w:rFonts w:cs="Calibri"/>
                <w:szCs w:val="16"/>
              </w:rPr>
              <w:t>Percentage of above-ground biomass</w:t>
            </w:r>
          </w:p>
        </w:tc>
        <w:tc>
          <w:tcPr>
            <w:tcW w:w="1055" w:type="dxa"/>
            <w:tcBorders>
              <w:top w:val="single" w:sz="4" w:space="0" w:color="365F91"/>
              <w:left w:val="nil"/>
              <w:bottom w:val="nil"/>
              <w:right w:val="nil"/>
            </w:tcBorders>
            <w:tcMar>
              <w:right w:w="57" w:type="dxa"/>
            </w:tcMar>
          </w:tcPr>
          <w:p w14:paraId="614FAD29" w14:textId="77777777" w:rsidR="00333601" w:rsidRPr="00BE78CA" w:rsidRDefault="00333601" w:rsidP="00C26084">
            <w:pPr>
              <w:pStyle w:val="TableText"/>
              <w:rPr>
                <w:rFonts w:cs="Calibri"/>
                <w:szCs w:val="16"/>
              </w:rPr>
            </w:pPr>
            <w:r w:rsidRPr="00BE78CA">
              <w:rPr>
                <w:rFonts w:cs="Calibri"/>
                <w:szCs w:val="16"/>
              </w:rPr>
              <w:t>Allometric model</w:t>
            </w:r>
          </w:p>
        </w:tc>
        <w:tc>
          <w:tcPr>
            <w:tcW w:w="1055" w:type="dxa"/>
            <w:tcBorders>
              <w:top w:val="single" w:sz="4" w:space="0" w:color="365F91"/>
              <w:left w:val="nil"/>
              <w:bottom w:val="nil"/>
              <w:right w:val="single" w:sz="4" w:space="0" w:color="365F91"/>
            </w:tcBorders>
            <w:tcMar>
              <w:right w:w="57" w:type="dxa"/>
            </w:tcMar>
          </w:tcPr>
          <w:p w14:paraId="48B2E1C6" w14:textId="77777777" w:rsidR="00333601" w:rsidRPr="00BE78CA" w:rsidRDefault="00333601" w:rsidP="00C26084">
            <w:pPr>
              <w:pStyle w:val="TableText"/>
              <w:rPr>
                <w:rFonts w:cs="Calibri"/>
                <w:szCs w:val="16"/>
              </w:rPr>
            </w:pPr>
            <w:r w:rsidRPr="00BE78CA">
              <w:rPr>
                <w:rFonts w:cs="Calibri"/>
                <w:szCs w:val="16"/>
              </w:rPr>
              <w:t>Allometric model and percentage of above-ground biomass</w:t>
            </w:r>
          </w:p>
        </w:tc>
        <w:tc>
          <w:tcPr>
            <w:tcW w:w="1206" w:type="dxa"/>
            <w:tcBorders>
              <w:top w:val="single" w:sz="4" w:space="0" w:color="365F91"/>
              <w:left w:val="single" w:sz="4" w:space="0" w:color="365F91"/>
              <w:bottom w:val="single" w:sz="4" w:space="0" w:color="365F91"/>
              <w:right w:val="single" w:sz="4" w:space="0" w:color="365F91"/>
            </w:tcBorders>
          </w:tcPr>
          <w:p w14:paraId="118C47A4" w14:textId="77777777" w:rsidR="00333601" w:rsidRPr="00BE78CA" w:rsidRDefault="00333601" w:rsidP="00C26084">
            <w:pPr>
              <w:pStyle w:val="TableText"/>
              <w:rPr>
                <w:rFonts w:cs="Calibri"/>
                <w:szCs w:val="16"/>
              </w:rPr>
            </w:pPr>
            <w:r w:rsidRPr="00BE78CA">
              <w:rPr>
                <w:rFonts w:cs="Calibri"/>
                <w:szCs w:val="16"/>
              </w:rPr>
              <w:t>Tier 2, country-specific data and model</w:t>
            </w:r>
          </w:p>
        </w:tc>
        <w:tc>
          <w:tcPr>
            <w:tcW w:w="1213" w:type="dxa"/>
            <w:tcBorders>
              <w:top w:val="single" w:sz="4" w:space="0" w:color="365F91"/>
              <w:left w:val="single" w:sz="4" w:space="0" w:color="365F91"/>
              <w:bottom w:val="single" w:sz="4" w:space="0" w:color="365F91"/>
              <w:right w:val="nil"/>
            </w:tcBorders>
          </w:tcPr>
          <w:p w14:paraId="4DA528D5" w14:textId="77777777" w:rsidR="00333601" w:rsidRPr="00BE78CA" w:rsidRDefault="00333601" w:rsidP="00C26084">
            <w:pPr>
              <w:pStyle w:val="TableText"/>
              <w:rPr>
                <w:rFonts w:cs="Calibri"/>
                <w:szCs w:val="16"/>
              </w:rPr>
            </w:pPr>
            <w:r w:rsidRPr="00BE78CA">
              <w:rPr>
                <w:rFonts w:cs="Calibri"/>
                <w:szCs w:val="16"/>
              </w:rPr>
              <w:t>IPCC Tier 1 default parameters</w:t>
            </w:r>
          </w:p>
        </w:tc>
      </w:tr>
      <w:tr w:rsidR="00333601" w:rsidRPr="00BE78CA" w14:paraId="10AA532E" w14:textId="77777777" w:rsidTr="00FA2314">
        <w:tc>
          <w:tcPr>
            <w:tcW w:w="426" w:type="dxa"/>
            <w:vMerge/>
            <w:tcBorders>
              <w:top w:val="single" w:sz="4" w:space="0" w:color="365F91"/>
              <w:left w:val="nil"/>
              <w:bottom w:val="single" w:sz="4" w:space="0" w:color="365F91"/>
              <w:right w:val="single" w:sz="4" w:space="0" w:color="365F91"/>
            </w:tcBorders>
          </w:tcPr>
          <w:p w14:paraId="5CD3CEA0" w14:textId="77777777" w:rsidR="00333601" w:rsidRPr="00BE78CA" w:rsidRDefault="00333601" w:rsidP="00C26084">
            <w:pPr>
              <w:rPr>
                <w:rFonts w:cs="Calibri"/>
                <w:sz w:val="16"/>
                <w:szCs w:val="16"/>
              </w:rPr>
            </w:pPr>
          </w:p>
        </w:tc>
        <w:tc>
          <w:tcPr>
            <w:tcW w:w="1350" w:type="dxa"/>
            <w:tcBorders>
              <w:top w:val="nil"/>
              <w:left w:val="single" w:sz="4" w:space="0" w:color="365F91"/>
              <w:bottom w:val="single" w:sz="4" w:space="0" w:color="365F91"/>
              <w:right w:val="single" w:sz="4" w:space="0" w:color="365F91"/>
            </w:tcBorders>
          </w:tcPr>
          <w:p w14:paraId="44AAC384" w14:textId="77777777" w:rsidR="00333601" w:rsidRPr="00BE78CA" w:rsidRDefault="00333601" w:rsidP="00C26084">
            <w:pPr>
              <w:pStyle w:val="TableText"/>
              <w:rPr>
                <w:rFonts w:cs="Calibri"/>
                <w:szCs w:val="16"/>
              </w:rPr>
            </w:pPr>
            <w:r w:rsidRPr="00BE78CA">
              <w:rPr>
                <w:rFonts w:cs="Calibri"/>
                <w:szCs w:val="16"/>
              </w:rPr>
              <w:t>Post-1989 planted forest [AR and D]</w:t>
            </w:r>
          </w:p>
        </w:tc>
        <w:tc>
          <w:tcPr>
            <w:tcW w:w="4310" w:type="dxa"/>
            <w:gridSpan w:val="6"/>
            <w:tcBorders>
              <w:top w:val="nil"/>
              <w:left w:val="single" w:sz="4" w:space="0" w:color="365F91"/>
              <w:bottom w:val="single" w:sz="4" w:space="0" w:color="365F91"/>
              <w:right w:val="single" w:sz="4" w:space="0" w:color="365F91"/>
            </w:tcBorders>
          </w:tcPr>
          <w:p w14:paraId="661B6E4D" w14:textId="77777777" w:rsidR="00333601" w:rsidRPr="00BE78CA" w:rsidRDefault="00333601" w:rsidP="00C26084">
            <w:pPr>
              <w:pStyle w:val="TableText"/>
              <w:rPr>
                <w:rFonts w:cs="Calibri"/>
                <w:szCs w:val="16"/>
              </w:rPr>
            </w:pPr>
            <w:r w:rsidRPr="00BE78CA">
              <w:rPr>
                <w:rFonts w:cs="Calibri"/>
                <w:szCs w:val="16"/>
              </w:rPr>
              <w:t>Age-based carbon yield table by biomass pool derived from the LUCAS plot network and the Forest Carbon Predictor model</w:t>
            </w:r>
          </w:p>
        </w:tc>
        <w:tc>
          <w:tcPr>
            <w:tcW w:w="1206" w:type="dxa"/>
            <w:tcBorders>
              <w:top w:val="single" w:sz="4" w:space="0" w:color="365F91"/>
              <w:left w:val="single" w:sz="4" w:space="0" w:color="365F91"/>
              <w:bottom w:val="single" w:sz="4" w:space="0" w:color="365F91"/>
              <w:right w:val="single" w:sz="4" w:space="0" w:color="365F91"/>
            </w:tcBorders>
          </w:tcPr>
          <w:p w14:paraId="45636786" w14:textId="77777777" w:rsidR="00333601" w:rsidRPr="00BE78CA" w:rsidRDefault="00333601" w:rsidP="00C26084">
            <w:pPr>
              <w:pStyle w:val="TableText"/>
              <w:rPr>
                <w:rFonts w:cs="Calibri"/>
                <w:szCs w:val="16"/>
              </w:rPr>
            </w:pPr>
            <w:r w:rsidRPr="00BE78CA">
              <w:rPr>
                <w:rFonts w:cs="Calibri"/>
                <w:szCs w:val="16"/>
              </w:rPr>
              <w:t>Tier 2, country-specific data and model</w:t>
            </w:r>
          </w:p>
        </w:tc>
        <w:tc>
          <w:tcPr>
            <w:tcW w:w="1213" w:type="dxa"/>
            <w:tcBorders>
              <w:top w:val="single" w:sz="4" w:space="0" w:color="365F91"/>
              <w:left w:val="single" w:sz="4" w:space="0" w:color="365F91"/>
              <w:bottom w:val="single" w:sz="4" w:space="0" w:color="365F91"/>
              <w:right w:val="nil"/>
            </w:tcBorders>
          </w:tcPr>
          <w:p w14:paraId="11875A92" w14:textId="77777777" w:rsidR="00333601" w:rsidRPr="00BE78CA" w:rsidRDefault="00333601" w:rsidP="00C26084">
            <w:pPr>
              <w:pStyle w:val="TableText"/>
              <w:rPr>
                <w:rFonts w:cs="Calibri"/>
                <w:szCs w:val="16"/>
              </w:rPr>
            </w:pPr>
            <w:r w:rsidRPr="00BE78CA">
              <w:rPr>
                <w:rFonts w:cs="Calibri"/>
                <w:szCs w:val="16"/>
              </w:rPr>
              <w:t>IPCC Tier 1 default parameters</w:t>
            </w:r>
          </w:p>
        </w:tc>
      </w:tr>
      <w:tr w:rsidR="00333601" w:rsidRPr="00BE78CA" w14:paraId="444588FA" w14:textId="77777777" w:rsidTr="00FA2314">
        <w:tc>
          <w:tcPr>
            <w:tcW w:w="426" w:type="dxa"/>
            <w:vMerge/>
            <w:tcBorders>
              <w:top w:val="single" w:sz="4" w:space="0" w:color="365F91"/>
              <w:left w:val="nil"/>
              <w:bottom w:val="single" w:sz="4" w:space="0" w:color="365F91"/>
              <w:right w:val="single" w:sz="4" w:space="0" w:color="365F91"/>
            </w:tcBorders>
          </w:tcPr>
          <w:p w14:paraId="7145D1C4" w14:textId="77777777" w:rsidR="00333601" w:rsidRPr="00BE78CA" w:rsidRDefault="00333601" w:rsidP="00C26084">
            <w:pPr>
              <w:rPr>
                <w:rFonts w:cs="Calibri"/>
                <w:sz w:val="16"/>
                <w:szCs w:val="16"/>
              </w:rPr>
            </w:pPr>
          </w:p>
        </w:tc>
        <w:tc>
          <w:tcPr>
            <w:tcW w:w="1350" w:type="dxa"/>
            <w:tcBorders>
              <w:top w:val="single" w:sz="4" w:space="0" w:color="365F91"/>
              <w:left w:val="single" w:sz="4" w:space="0" w:color="365F91"/>
              <w:bottom w:val="single" w:sz="4" w:space="0" w:color="365F91"/>
              <w:right w:val="single" w:sz="4" w:space="0" w:color="365F91"/>
            </w:tcBorders>
          </w:tcPr>
          <w:p w14:paraId="1E8D460A" w14:textId="77777777" w:rsidR="00333601" w:rsidRPr="00BE78CA" w:rsidRDefault="00333601" w:rsidP="00C26084">
            <w:pPr>
              <w:pStyle w:val="TableText"/>
              <w:keepNext/>
              <w:rPr>
                <w:rFonts w:cs="Calibri"/>
                <w:szCs w:val="16"/>
              </w:rPr>
            </w:pPr>
            <w:r w:rsidRPr="00BE78CA">
              <w:rPr>
                <w:rFonts w:cs="Calibri"/>
                <w:szCs w:val="16"/>
              </w:rPr>
              <w:t>Cropland –annual</w:t>
            </w:r>
          </w:p>
        </w:tc>
        <w:tc>
          <w:tcPr>
            <w:tcW w:w="1768" w:type="dxa"/>
            <w:gridSpan w:val="3"/>
            <w:tcBorders>
              <w:top w:val="single" w:sz="4" w:space="0" w:color="365F91"/>
              <w:left w:val="single" w:sz="4" w:space="0" w:color="365F91"/>
              <w:bottom w:val="single" w:sz="4" w:space="0" w:color="365F91"/>
              <w:right w:val="nil"/>
            </w:tcBorders>
          </w:tcPr>
          <w:p w14:paraId="2CC4AE99" w14:textId="77777777" w:rsidR="00333601" w:rsidRPr="00BE78CA" w:rsidRDefault="00333601" w:rsidP="00C26084">
            <w:pPr>
              <w:pStyle w:val="TableText"/>
              <w:keepNext/>
              <w:rPr>
                <w:rFonts w:cs="Calibri"/>
                <w:szCs w:val="16"/>
              </w:rPr>
            </w:pPr>
            <w:r w:rsidRPr="00BE78CA">
              <w:rPr>
                <w:rFonts w:cs="Calibri"/>
                <w:szCs w:val="16"/>
              </w:rPr>
              <w:t>IPCC Tier 1 default parameters</w:t>
            </w:r>
          </w:p>
        </w:tc>
        <w:tc>
          <w:tcPr>
            <w:tcW w:w="2542" w:type="dxa"/>
            <w:gridSpan w:val="3"/>
            <w:tcBorders>
              <w:top w:val="single" w:sz="4" w:space="0" w:color="365F91"/>
              <w:left w:val="nil"/>
              <w:bottom w:val="single" w:sz="4" w:space="0" w:color="365F91"/>
              <w:right w:val="single" w:sz="4" w:space="0" w:color="365F91"/>
            </w:tcBorders>
          </w:tcPr>
          <w:p w14:paraId="106AE991" w14:textId="77777777" w:rsidR="00333601" w:rsidRPr="00BE78CA" w:rsidRDefault="00333601" w:rsidP="00C26084">
            <w:pPr>
              <w:pStyle w:val="TableText"/>
              <w:keepNext/>
              <w:rPr>
                <w:rFonts w:cs="Calibri"/>
                <w:szCs w:val="16"/>
              </w:rPr>
            </w:pPr>
            <w:r w:rsidRPr="00BE78CA">
              <w:rPr>
                <w:rFonts w:cs="Calibri"/>
                <w:szCs w:val="16"/>
              </w:rPr>
              <w:t>IPCC Tier 1 default parameters (NE)</w:t>
            </w:r>
          </w:p>
        </w:tc>
        <w:tc>
          <w:tcPr>
            <w:tcW w:w="1206" w:type="dxa"/>
            <w:tcBorders>
              <w:top w:val="single" w:sz="4" w:space="0" w:color="365F91"/>
              <w:left w:val="single" w:sz="4" w:space="0" w:color="365F91"/>
              <w:bottom w:val="single" w:sz="4" w:space="0" w:color="365F91"/>
              <w:right w:val="single" w:sz="4" w:space="0" w:color="365F91"/>
            </w:tcBorders>
          </w:tcPr>
          <w:p w14:paraId="708F2C2D" w14:textId="77777777" w:rsidR="00333601" w:rsidRPr="00BE78CA" w:rsidRDefault="00333601" w:rsidP="00C26084">
            <w:pPr>
              <w:pStyle w:val="TableText"/>
              <w:keepNext/>
              <w:rPr>
                <w:rFonts w:cs="Calibri"/>
                <w:szCs w:val="16"/>
              </w:rPr>
            </w:pPr>
            <w:r w:rsidRPr="00BE78CA">
              <w:rPr>
                <w:rFonts w:cs="Calibri"/>
                <w:szCs w:val="16"/>
              </w:rPr>
              <w:t>Tier 2, country-specific data and model</w:t>
            </w:r>
          </w:p>
        </w:tc>
        <w:tc>
          <w:tcPr>
            <w:tcW w:w="1213" w:type="dxa"/>
            <w:tcBorders>
              <w:top w:val="single" w:sz="4" w:space="0" w:color="365F91"/>
              <w:left w:val="single" w:sz="4" w:space="0" w:color="365F91"/>
              <w:bottom w:val="single" w:sz="4" w:space="0" w:color="365F91"/>
              <w:right w:val="nil"/>
            </w:tcBorders>
          </w:tcPr>
          <w:p w14:paraId="3F9EA5A5" w14:textId="77777777" w:rsidR="00333601" w:rsidRPr="00BE78CA" w:rsidRDefault="00333601" w:rsidP="00C26084">
            <w:pPr>
              <w:pStyle w:val="TableText"/>
              <w:keepNext/>
              <w:rPr>
                <w:rFonts w:cs="Calibri"/>
                <w:szCs w:val="16"/>
              </w:rPr>
            </w:pPr>
            <w:r w:rsidRPr="00BE78CA">
              <w:rPr>
                <w:rFonts w:cs="Calibri"/>
                <w:szCs w:val="16"/>
              </w:rPr>
              <w:t>IPCC Tier 1 default parameters</w:t>
            </w:r>
          </w:p>
        </w:tc>
      </w:tr>
      <w:tr w:rsidR="00333601" w:rsidRPr="00BE78CA" w14:paraId="3F0B9D95" w14:textId="77777777" w:rsidTr="00FA2314">
        <w:tc>
          <w:tcPr>
            <w:tcW w:w="426" w:type="dxa"/>
            <w:vMerge/>
            <w:tcBorders>
              <w:top w:val="single" w:sz="4" w:space="0" w:color="365F91"/>
              <w:left w:val="nil"/>
              <w:bottom w:val="single" w:sz="4" w:space="0" w:color="365F91"/>
              <w:right w:val="single" w:sz="4" w:space="0" w:color="365F91"/>
            </w:tcBorders>
          </w:tcPr>
          <w:p w14:paraId="3AA4B716" w14:textId="77777777" w:rsidR="00333601" w:rsidRPr="00BE78CA" w:rsidRDefault="00333601" w:rsidP="00C26084">
            <w:pPr>
              <w:rPr>
                <w:rFonts w:cs="Calibri"/>
                <w:sz w:val="16"/>
                <w:szCs w:val="16"/>
              </w:rPr>
            </w:pPr>
          </w:p>
        </w:tc>
        <w:tc>
          <w:tcPr>
            <w:tcW w:w="1350" w:type="dxa"/>
            <w:tcBorders>
              <w:top w:val="single" w:sz="4" w:space="0" w:color="365F91"/>
              <w:left w:val="single" w:sz="4" w:space="0" w:color="365F91"/>
              <w:bottom w:val="single" w:sz="4" w:space="0" w:color="365F91"/>
              <w:right w:val="single" w:sz="4" w:space="0" w:color="365F91"/>
            </w:tcBorders>
          </w:tcPr>
          <w:p w14:paraId="5C109FC8" w14:textId="77777777" w:rsidR="00333601" w:rsidRPr="00BE78CA" w:rsidRDefault="00333601" w:rsidP="00C26084">
            <w:pPr>
              <w:pStyle w:val="TableText"/>
              <w:rPr>
                <w:rFonts w:cs="Calibri"/>
                <w:szCs w:val="16"/>
              </w:rPr>
            </w:pPr>
            <w:r w:rsidRPr="00BE78CA">
              <w:rPr>
                <w:rFonts w:cs="Calibri"/>
                <w:szCs w:val="16"/>
              </w:rPr>
              <w:t>Cropland – perennial</w:t>
            </w:r>
          </w:p>
        </w:tc>
        <w:tc>
          <w:tcPr>
            <w:tcW w:w="1768" w:type="dxa"/>
            <w:gridSpan w:val="3"/>
            <w:tcBorders>
              <w:top w:val="single" w:sz="4" w:space="0" w:color="365F91"/>
              <w:left w:val="single" w:sz="4" w:space="0" w:color="365F91"/>
              <w:bottom w:val="single" w:sz="4" w:space="0" w:color="365F91"/>
              <w:right w:val="nil"/>
            </w:tcBorders>
          </w:tcPr>
          <w:p w14:paraId="04CE9EDE" w14:textId="77777777" w:rsidR="00333601" w:rsidRPr="00BE78CA" w:rsidRDefault="00333601" w:rsidP="00C26084">
            <w:pPr>
              <w:pStyle w:val="TableText"/>
              <w:rPr>
                <w:rFonts w:cs="Calibri"/>
                <w:szCs w:val="16"/>
              </w:rPr>
            </w:pPr>
            <w:r w:rsidRPr="00BE78CA">
              <w:rPr>
                <w:rFonts w:cs="Calibri"/>
                <w:szCs w:val="16"/>
              </w:rPr>
              <w:t>Country-specific emission factor</w:t>
            </w:r>
          </w:p>
        </w:tc>
        <w:tc>
          <w:tcPr>
            <w:tcW w:w="2542" w:type="dxa"/>
            <w:gridSpan w:val="3"/>
            <w:tcBorders>
              <w:top w:val="single" w:sz="4" w:space="0" w:color="365F91"/>
              <w:left w:val="nil"/>
              <w:bottom w:val="single" w:sz="4" w:space="0" w:color="365F91"/>
              <w:right w:val="single" w:sz="4" w:space="0" w:color="365F91"/>
            </w:tcBorders>
          </w:tcPr>
          <w:p w14:paraId="05B14AA6" w14:textId="77777777" w:rsidR="00333601" w:rsidRPr="00BE78CA" w:rsidRDefault="00333601" w:rsidP="00C26084">
            <w:pPr>
              <w:pStyle w:val="TableText"/>
              <w:rPr>
                <w:rFonts w:cs="Calibri"/>
                <w:szCs w:val="16"/>
              </w:rPr>
            </w:pPr>
            <w:r w:rsidRPr="00BE78CA">
              <w:rPr>
                <w:rFonts w:cs="Calibri"/>
                <w:szCs w:val="16"/>
              </w:rPr>
              <w:t>IPCC Tier 1 default parameters (NE)</w:t>
            </w:r>
          </w:p>
        </w:tc>
        <w:tc>
          <w:tcPr>
            <w:tcW w:w="1206" w:type="dxa"/>
            <w:tcBorders>
              <w:top w:val="single" w:sz="4" w:space="0" w:color="365F91"/>
              <w:left w:val="single" w:sz="4" w:space="0" w:color="365F91"/>
              <w:bottom w:val="single" w:sz="4" w:space="0" w:color="365F91"/>
              <w:right w:val="single" w:sz="4" w:space="0" w:color="365F91"/>
            </w:tcBorders>
          </w:tcPr>
          <w:p w14:paraId="7D8964EB" w14:textId="77777777" w:rsidR="00333601" w:rsidRPr="00BE78CA" w:rsidRDefault="00333601" w:rsidP="00C26084">
            <w:pPr>
              <w:pStyle w:val="TableText"/>
              <w:rPr>
                <w:rFonts w:cs="Calibri"/>
                <w:szCs w:val="16"/>
              </w:rPr>
            </w:pPr>
            <w:r w:rsidRPr="00BE78CA">
              <w:rPr>
                <w:rFonts w:cs="Calibri"/>
                <w:szCs w:val="16"/>
              </w:rPr>
              <w:t>Tier 2, country-specific data and model</w:t>
            </w:r>
          </w:p>
        </w:tc>
        <w:tc>
          <w:tcPr>
            <w:tcW w:w="1213" w:type="dxa"/>
            <w:tcBorders>
              <w:top w:val="single" w:sz="4" w:space="0" w:color="365F91"/>
              <w:left w:val="single" w:sz="4" w:space="0" w:color="365F91"/>
              <w:bottom w:val="single" w:sz="4" w:space="0" w:color="365F91"/>
              <w:right w:val="nil"/>
            </w:tcBorders>
          </w:tcPr>
          <w:p w14:paraId="1AF1886E" w14:textId="77777777" w:rsidR="00333601" w:rsidRPr="00BE78CA" w:rsidRDefault="00333601" w:rsidP="00C26084">
            <w:pPr>
              <w:pStyle w:val="TableText"/>
              <w:rPr>
                <w:rFonts w:cs="Calibri"/>
                <w:szCs w:val="16"/>
              </w:rPr>
            </w:pPr>
            <w:r w:rsidRPr="00BE78CA">
              <w:rPr>
                <w:rFonts w:cs="Calibri"/>
                <w:szCs w:val="16"/>
              </w:rPr>
              <w:t>IPCC Tier 1 default parameters</w:t>
            </w:r>
          </w:p>
        </w:tc>
      </w:tr>
      <w:tr w:rsidR="00333601" w:rsidRPr="00BE78CA" w14:paraId="4CA48D4A" w14:textId="77777777" w:rsidTr="00FA2314">
        <w:tc>
          <w:tcPr>
            <w:tcW w:w="426" w:type="dxa"/>
            <w:vMerge/>
            <w:tcBorders>
              <w:top w:val="single" w:sz="4" w:space="0" w:color="365F91"/>
              <w:left w:val="nil"/>
              <w:bottom w:val="single" w:sz="4" w:space="0" w:color="365F91"/>
              <w:right w:val="single" w:sz="4" w:space="0" w:color="365F91"/>
            </w:tcBorders>
          </w:tcPr>
          <w:p w14:paraId="3BA92AC1" w14:textId="77777777" w:rsidR="00333601" w:rsidRPr="00BE78CA" w:rsidRDefault="00333601" w:rsidP="00C26084">
            <w:pPr>
              <w:rPr>
                <w:rFonts w:cs="Calibri"/>
                <w:sz w:val="16"/>
                <w:szCs w:val="16"/>
              </w:rPr>
            </w:pPr>
          </w:p>
        </w:tc>
        <w:tc>
          <w:tcPr>
            <w:tcW w:w="1350" w:type="dxa"/>
            <w:tcBorders>
              <w:top w:val="single" w:sz="4" w:space="0" w:color="365F91"/>
              <w:left w:val="single" w:sz="4" w:space="0" w:color="365F91"/>
              <w:bottom w:val="single" w:sz="4" w:space="0" w:color="365F91"/>
              <w:right w:val="single" w:sz="4" w:space="0" w:color="365F91"/>
            </w:tcBorders>
          </w:tcPr>
          <w:p w14:paraId="63DA0ED8" w14:textId="77777777" w:rsidR="00333601" w:rsidRPr="00BE78CA" w:rsidRDefault="00333601" w:rsidP="00C26084">
            <w:pPr>
              <w:pStyle w:val="TableText"/>
              <w:rPr>
                <w:rFonts w:cs="Calibri"/>
                <w:szCs w:val="16"/>
              </w:rPr>
            </w:pPr>
            <w:r w:rsidRPr="00BE78CA">
              <w:rPr>
                <w:rFonts w:cs="Calibri"/>
                <w:szCs w:val="16"/>
              </w:rPr>
              <w:t>Grassland (high and low producing)</w:t>
            </w:r>
          </w:p>
        </w:tc>
        <w:tc>
          <w:tcPr>
            <w:tcW w:w="1768" w:type="dxa"/>
            <w:gridSpan w:val="3"/>
            <w:tcBorders>
              <w:top w:val="single" w:sz="4" w:space="0" w:color="365F91"/>
              <w:left w:val="single" w:sz="4" w:space="0" w:color="365F91"/>
              <w:bottom w:val="single" w:sz="4" w:space="0" w:color="365F91"/>
              <w:right w:val="nil"/>
            </w:tcBorders>
          </w:tcPr>
          <w:p w14:paraId="3F78616A" w14:textId="77777777" w:rsidR="00333601" w:rsidRPr="00BE78CA" w:rsidRDefault="00333601" w:rsidP="00C26084">
            <w:pPr>
              <w:pStyle w:val="TableText"/>
              <w:rPr>
                <w:rFonts w:cs="Calibri"/>
                <w:szCs w:val="16"/>
              </w:rPr>
            </w:pPr>
            <w:r w:rsidRPr="00BE78CA">
              <w:rPr>
                <w:rFonts w:cs="Calibri"/>
                <w:szCs w:val="16"/>
              </w:rPr>
              <w:t>IPCC Tier 1 default parameters</w:t>
            </w:r>
          </w:p>
        </w:tc>
        <w:tc>
          <w:tcPr>
            <w:tcW w:w="2542" w:type="dxa"/>
            <w:gridSpan w:val="3"/>
            <w:tcBorders>
              <w:top w:val="single" w:sz="4" w:space="0" w:color="365F91"/>
              <w:left w:val="nil"/>
              <w:bottom w:val="single" w:sz="4" w:space="0" w:color="365F91"/>
              <w:right w:val="single" w:sz="4" w:space="0" w:color="365F91"/>
            </w:tcBorders>
          </w:tcPr>
          <w:p w14:paraId="083DFD66" w14:textId="77777777" w:rsidR="00333601" w:rsidRPr="00BE78CA" w:rsidRDefault="00333601" w:rsidP="00C26084">
            <w:pPr>
              <w:pStyle w:val="TableText"/>
              <w:rPr>
                <w:rFonts w:cs="Calibri"/>
                <w:szCs w:val="16"/>
              </w:rPr>
            </w:pPr>
            <w:r w:rsidRPr="00BE78CA">
              <w:rPr>
                <w:rFonts w:cs="Calibri"/>
                <w:szCs w:val="16"/>
              </w:rPr>
              <w:t>IPCC Tier 1 default parameters (NE)</w:t>
            </w:r>
          </w:p>
        </w:tc>
        <w:tc>
          <w:tcPr>
            <w:tcW w:w="1206" w:type="dxa"/>
            <w:tcBorders>
              <w:top w:val="single" w:sz="4" w:space="0" w:color="365F91"/>
              <w:left w:val="single" w:sz="4" w:space="0" w:color="365F91"/>
              <w:bottom w:val="single" w:sz="4" w:space="0" w:color="365F91"/>
              <w:right w:val="single" w:sz="4" w:space="0" w:color="365F91"/>
            </w:tcBorders>
          </w:tcPr>
          <w:p w14:paraId="4D2ED605" w14:textId="77777777" w:rsidR="00333601" w:rsidRPr="00BE78CA" w:rsidRDefault="00333601" w:rsidP="00C26084">
            <w:pPr>
              <w:pStyle w:val="TableText"/>
              <w:rPr>
                <w:rFonts w:cs="Calibri"/>
                <w:szCs w:val="16"/>
              </w:rPr>
            </w:pPr>
            <w:r w:rsidRPr="00BE78CA">
              <w:rPr>
                <w:rFonts w:cs="Calibri"/>
                <w:szCs w:val="16"/>
              </w:rPr>
              <w:t>Tier 2, country-specific data and model</w:t>
            </w:r>
          </w:p>
        </w:tc>
        <w:tc>
          <w:tcPr>
            <w:tcW w:w="1213" w:type="dxa"/>
            <w:tcBorders>
              <w:top w:val="single" w:sz="4" w:space="0" w:color="365F91"/>
              <w:left w:val="single" w:sz="4" w:space="0" w:color="365F91"/>
              <w:bottom w:val="single" w:sz="4" w:space="0" w:color="365F91"/>
              <w:right w:val="nil"/>
            </w:tcBorders>
          </w:tcPr>
          <w:p w14:paraId="18D55EDA" w14:textId="77777777" w:rsidR="00333601" w:rsidRPr="00BE78CA" w:rsidRDefault="00333601" w:rsidP="00C26084">
            <w:pPr>
              <w:pStyle w:val="TableText"/>
              <w:rPr>
                <w:rFonts w:cs="Calibri"/>
                <w:szCs w:val="16"/>
              </w:rPr>
            </w:pPr>
            <w:r w:rsidRPr="00BE78CA">
              <w:rPr>
                <w:rFonts w:cs="Calibri"/>
                <w:szCs w:val="16"/>
              </w:rPr>
              <w:t>IPCC Tier 1 default parameters</w:t>
            </w:r>
          </w:p>
        </w:tc>
      </w:tr>
      <w:tr w:rsidR="00333601" w:rsidRPr="00BE78CA" w14:paraId="1B5E0ECF" w14:textId="77777777" w:rsidTr="00FA2314">
        <w:tc>
          <w:tcPr>
            <w:tcW w:w="426" w:type="dxa"/>
            <w:vMerge/>
            <w:tcBorders>
              <w:top w:val="single" w:sz="4" w:space="0" w:color="365F91"/>
              <w:left w:val="nil"/>
              <w:bottom w:val="single" w:sz="4" w:space="0" w:color="365F91"/>
              <w:right w:val="single" w:sz="4" w:space="0" w:color="365F91"/>
            </w:tcBorders>
          </w:tcPr>
          <w:p w14:paraId="5FCD1D48" w14:textId="77777777" w:rsidR="00333601" w:rsidRPr="00BE78CA" w:rsidRDefault="00333601" w:rsidP="00C26084">
            <w:pPr>
              <w:rPr>
                <w:rFonts w:cs="Calibri"/>
                <w:sz w:val="16"/>
                <w:szCs w:val="16"/>
              </w:rPr>
            </w:pPr>
          </w:p>
        </w:tc>
        <w:tc>
          <w:tcPr>
            <w:tcW w:w="1350" w:type="dxa"/>
            <w:tcBorders>
              <w:top w:val="single" w:sz="4" w:space="0" w:color="365F91"/>
              <w:left w:val="single" w:sz="4" w:space="0" w:color="365F91"/>
              <w:bottom w:val="single" w:sz="4" w:space="0" w:color="365F91"/>
              <w:right w:val="single" w:sz="4" w:space="0" w:color="365F91"/>
            </w:tcBorders>
          </w:tcPr>
          <w:p w14:paraId="5AE94558" w14:textId="77777777" w:rsidR="00333601" w:rsidRPr="00BE78CA" w:rsidRDefault="00333601" w:rsidP="00C26084">
            <w:pPr>
              <w:pStyle w:val="TableText"/>
              <w:rPr>
                <w:rFonts w:cs="Calibri"/>
                <w:szCs w:val="16"/>
              </w:rPr>
            </w:pPr>
            <w:r w:rsidRPr="00BE78CA">
              <w:rPr>
                <w:rFonts w:cs="Calibri"/>
                <w:szCs w:val="16"/>
              </w:rPr>
              <w:t>Grassland with woody biomass – transitional and permanent</w:t>
            </w:r>
          </w:p>
        </w:tc>
        <w:tc>
          <w:tcPr>
            <w:tcW w:w="4310" w:type="dxa"/>
            <w:gridSpan w:val="6"/>
            <w:tcBorders>
              <w:top w:val="single" w:sz="4" w:space="0" w:color="365F91"/>
              <w:left w:val="single" w:sz="4" w:space="0" w:color="365F91"/>
              <w:bottom w:val="single" w:sz="4" w:space="0" w:color="365F91"/>
              <w:right w:val="single" w:sz="4" w:space="0" w:color="365F91"/>
            </w:tcBorders>
          </w:tcPr>
          <w:p w14:paraId="42163A47" w14:textId="77777777" w:rsidR="00333601" w:rsidRPr="00BE78CA" w:rsidRDefault="00333601" w:rsidP="00C26084">
            <w:pPr>
              <w:pStyle w:val="TableText"/>
              <w:rPr>
                <w:rFonts w:cs="Calibri"/>
                <w:szCs w:val="16"/>
              </w:rPr>
            </w:pPr>
            <w:r w:rsidRPr="00BE78CA">
              <w:rPr>
                <w:rFonts w:cs="Calibri"/>
                <w:szCs w:val="16"/>
              </w:rPr>
              <w:t>Country-specific emission factor</w:t>
            </w:r>
          </w:p>
        </w:tc>
        <w:tc>
          <w:tcPr>
            <w:tcW w:w="1206" w:type="dxa"/>
            <w:tcBorders>
              <w:top w:val="single" w:sz="4" w:space="0" w:color="365F91"/>
              <w:left w:val="single" w:sz="4" w:space="0" w:color="365F91"/>
              <w:bottom w:val="single" w:sz="4" w:space="0" w:color="365F91"/>
              <w:right w:val="single" w:sz="4" w:space="0" w:color="365F91"/>
            </w:tcBorders>
          </w:tcPr>
          <w:p w14:paraId="69C6928D" w14:textId="77777777" w:rsidR="00333601" w:rsidRPr="00BE78CA" w:rsidRDefault="00333601" w:rsidP="00C26084">
            <w:pPr>
              <w:pStyle w:val="TableText"/>
              <w:rPr>
                <w:rFonts w:cs="Calibri"/>
                <w:szCs w:val="16"/>
              </w:rPr>
            </w:pPr>
            <w:r w:rsidRPr="00BE78CA">
              <w:rPr>
                <w:rFonts w:cs="Calibri"/>
                <w:szCs w:val="16"/>
              </w:rPr>
              <w:t>Tier 2, country-specific data and model</w:t>
            </w:r>
          </w:p>
        </w:tc>
        <w:tc>
          <w:tcPr>
            <w:tcW w:w="1213" w:type="dxa"/>
            <w:tcBorders>
              <w:top w:val="single" w:sz="4" w:space="0" w:color="365F91"/>
              <w:left w:val="single" w:sz="4" w:space="0" w:color="365F91"/>
              <w:bottom w:val="single" w:sz="4" w:space="0" w:color="365F91"/>
              <w:right w:val="nil"/>
            </w:tcBorders>
          </w:tcPr>
          <w:p w14:paraId="01F1267C" w14:textId="77777777" w:rsidR="00333601" w:rsidRPr="00BE78CA" w:rsidRDefault="00333601" w:rsidP="00C26084">
            <w:pPr>
              <w:pStyle w:val="TableText"/>
              <w:rPr>
                <w:rFonts w:cs="Calibri"/>
                <w:szCs w:val="16"/>
              </w:rPr>
            </w:pPr>
            <w:r w:rsidRPr="00BE78CA">
              <w:rPr>
                <w:rFonts w:cs="Calibri"/>
                <w:szCs w:val="16"/>
              </w:rPr>
              <w:t>IPCC Tier 1 default parameters</w:t>
            </w:r>
          </w:p>
        </w:tc>
      </w:tr>
      <w:tr w:rsidR="00333601" w:rsidRPr="00BE78CA" w14:paraId="71E80E23" w14:textId="77777777" w:rsidTr="00FA2314">
        <w:tc>
          <w:tcPr>
            <w:tcW w:w="426" w:type="dxa"/>
            <w:vMerge/>
            <w:tcBorders>
              <w:top w:val="single" w:sz="4" w:space="0" w:color="365F91"/>
              <w:left w:val="nil"/>
              <w:bottom w:val="single" w:sz="4" w:space="0" w:color="365F91"/>
              <w:right w:val="single" w:sz="4" w:space="0" w:color="365F91"/>
            </w:tcBorders>
          </w:tcPr>
          <w:p w14:paraId="026AD1AE" w14:textId="77777777" w:rsidR="00333601" w:rsidRPr="00BE78CA" w:rsidRDefault="00333601" w:rsidP="00C26084">
            <w:pPr>
              <w:rPr>
                <w:rFonts w:cs="Calibri"/>
                <w:sz w:val="16"/>
                <w:szCs w:val="16"/>
              </w:rPr>
            </w:pPr>
          </w:p>
        </w:tc>
        <w:tc>
          <w:tcPr>
            <w:tcW w:w="1350" w:type="dxa"/>
            <w:tcBorders>
              <w:top w:val="single" w:sz="4" w:space="0" w:color="365F91"/>
              <w:left w:val="single" w:sz="4" w:space="0" w:color="365F91"/>
              <w:bottom w:val="single" w:sz="4" w:space="0" w:color="365F91"/>
              <w:right w:val="single" w:sz="4" w:space="0" w:color="365F91"/>
            </w:tcBorders>
          </w:tcPr>
          <w:p w14:paraId="56FAA659" w14:textId="77777777" w:rsidR="00333601" w:rsidRPr="00BE78CA" w:rsidRDefault="00333601" w:rsidP="00C26084">
            <w:pPr>
              <w:pStyle w:val="TableText"/>
              <w:rPr>
                <w:rFonts w:cs="Calibri"/>
                <w:szCs w:val="16"/>
              </w:rPr>
            </w:pPr>
            <w:r w:rsidRPr="00BE78CA">
              <w:rPr>
                <w:rFonts w:cs="Calibri"/>
                <w:szCs w:val="16"/>
              </w:rPr>
              <w:t>Wetlands</w:t>
            </w:r>
          </w:p>
        </w:tc>
        <w:tc>
          <w:tcPr>
            <w:tcW w:w="4310" w:type="dxa"/>
            <w:gridSpan w:val="6"/>
            <w:tcBorders>
              <w:top w:val="single" w:sz="4" w:space="0" w:color="365F91"/>
              <w:left w:val="single" w:sz="4" w:space="0" w:color="365F91"/>
              <w:bottom w:val="single" w:sz="4" w:space="0" w:color="365F91"/>
              <w:right w:val="single" w:sz="4" w:space="0" w:color="365F91"/>
            </w:tcBorders>
          </w:tcPr>
          <w:p w14:paraId="68CC8FA1" w14:textId="77777777" w:rsidR="00333601" w:rsidRPr="00BE78CA" w:rsidRDefault="00333601" w:rsidP="00C26084">
            <w:pPr>
              <w:pStyle w:val="TableText"/>
              <w:rPr>
                <w:rFonts w:cs="Calibri"/>
                <w:szCs w:val="16"/>
              </w:rPr>
            </w:pPr>
            <w:r w:rsidRPr="00BE78CA">
              <w:rPr>
                <w:rFonts w:cs="Calibri"/>
                <w:szCs w:val="16"/>
              </w:rPr>
              <w:t>IPCC Tier 1 default parameters (NE)</w:t>
            </w:r>
          </w:p>
        </w:tc>
        <w:tc>
          <w:tcPr>
            <w:tcW w:w="1206" w:type="dxa"/>
            <w:tcBorders>
              <w:top w:val="single" w:sz="4" w:space="0" w:color="365F91"/>
              <w:left w:val="single" w:sz="4" w:space="0" w:color="365F91"/>
              <w:bottom w:val="single" w:sz="4" w:space="0" w:color="365F91"/>
              <w:right w:val="single" w:sz="4" w:space="0" w:color="365F91"/>
            </w:tcBorders>
          </w:tcPr>
          <w:p w14:paraId="0AAF0888" w14:textId="77777777" w:rsidR="00333601" w:rsidRPr="00BE78CA" w:rsidRDefault="00333601" w:rsidP="00C26084">
            <w:pPr>
              <w:pStyle w:val="TableText"/>
              <w:rPr>
                <w:rFonts w:cs="Calibri"/>
                <w:szCs w:val="16"/>
              </w:rPr>
            </w:pPr>
            <w:r w:rsidRPr="00BE78CA">
              <w:rPr>
                <w:rFonts w:cs="Calibri"/>
                <w:szCs w:val="16"/>
              </w:rPr>
              <w:t>Tier 2, country-specific data and model</w:t>
            </w:r>
          </w:p>
        </w:tc>
        <w:tc>
          <w:tcPr>
            <w:tcW w:w="1213" w:type="dxa"/>
            <w:tcBorders>
              <w:top w:val="single" w:sz="4" w:space="0" w:color="365F91"/>
              <w:left w:val="single" w:sz="4" w:space="0" w:color="365F91"/>
              <w:bottom w:val="single" w:sz="4" w:space="0" w:color="365F91"/>
              <w:right w:val="nil"/>
            </w:tcBorders>
          </w:tcPr>
          <w:p w14:paraId="77E6F23D" w14:textId="77777777" w:rsidR="00333601" w:rsidRPr="00BE78CA" w:rsidRDefault="00333601" w:rsidP="00C26084">
            <w:pPr>
              <w:pStyle w:val="TableText"/>
              <w:rPr>
                <w:rFonts w:cs="Calibri"/>
                <w:szCs w:val="16"/>
              </w:rPr>
            </w:pPr>
            <w:r w:rsidRPr="00BE78CA">
              <w:rPr>
                <w:rFonts w:cs="Calibri"/>
                <w:szCs w:val="16"/>
              </w:rPr>
              <w:t xml:space="preserve">IPCC Tier 1 default parameters </w:t>
            </w:r>
          </w:p>
        </w:tc>
      </w:tr>
      <w:tr w:rsidR="00333601" w:rsidRPr="00BE78CA" w14:paraId="0227E671" w14:textId="77777777" w:rsidTr="00FA2314">
        <w:tc>
          <w:tcPr>
            <w:tcW w:w="426" w:type="dxa"/>
            <w:vMerge/>
            <w:tcBorders>
              <w:top w:val="single" w:sz="4" w:space="0" w:color="365F91"/>
              <w:left w:val="nil"/>
              <w:bottom w:val="single" w:sz="4" w:space="0" w:color="365F91"/>
              <w:right w:val="single" w:sz="4" w:space="0" w:color="365F91"/>
            </w:tcBorders>
          </w:tcPr>
          <w:p w14:paraId="6E7337D8" w14:textId="77777777" w:rsidR="00333601" w:rsidRPr="00BE78CA" w:rsidRDefault="00333601" w:rsidP="00C26084">
            <w:pPr>
              <w:rPr>
                <w:rFonts w:cs="Calibri"/>
                <w:sz w:val="16"/>
                <w:szCs w:val="16"/>
              </w:rPr>
            </w:pPr>
          </w:p>
        </w:tc>
        <w:tc>
          <w:tcPr>
            <w:tcW w:w="1350" w:type="dxa"/>
            <w:tcBorders>
              <w:top w:val="single" w:sz="4" w:space="0" w:color="365F91"/>
              <w:left w:val="single" w:sz="4" w:space="0" w:color="365F91"/>
              <w:bottom w:val="single" w:sz="4" w:space="0" w:color="365F91"/>
              <w:right w:val="single" w:sz="4" w:space="0" w:color="365F91"/>
            </w:tcBorders>
          </w:tcPr>
          <w:p w14:paraId="55323F4C" w14:textId="77777777" w:rsidR="00333601" w:rsidRPr="00BE78CA" w:rsidRDefault="00333601" w:rsidP="00C26084">
            <w:pPr>
              <w:pStyle w:val="TableText"/>
              <w:rPr>
                <w:rFonts w:cs="Calibri"/>
                <w:szCs w:val="16"/>
              </w:rPr>
            </w:pPr>
            <w:r w:rsidRPr="00BE78CA">
              <w:rPr>
                <w:rFonts w:cs="Calibri"/>
                <w:szCs w:val="16"/>
              </w:rPr>
              <w:t>Settlements</w:t>
            </w:r>
          </w:p>
        </w:tc>
        <w:tc>
          <w:tcPr>
            <w:tcW w:w="4310" w:type="dxa"/>
            <w:gridSpan w:val="6"/>
            <w:tcBorders>
              <w:top w:val="single" w:sz="4" w:space="0" w:color="365F91"/>
              <w:left w:val="single" w:sz="4" w:space="0" w:color="365F91"/>
              <w:bottom w:val="single" w:sz="4" w:space="0" w:color="365F91"/>
              <w:right w:val="single" w:sz="4" w:space="0" w:color="365F91"/>
            </w:tcBorders>
          </w:tcPr>
          <w:p w14:paraId="03B31AC2" w14:textId="77777777" w:rsidR="00333601" w:rsidRPr="00BE78CA" w:rsidRDefault="00333601" w:rsidP="00C26084">
            <w:pPr>
              <w:pStyle w:val="TableText"/>
              <w:rPr>
                <w:rFonts w:cs="Calibri"/>
                <w:szCs w:val="16"/>
              </w:rPr>
            </w:pPr>
            <w:r w:rsidRPr="00BE78CA">
              <w:rPr>
                <w:rFonts w:cs="Calibri"/>
                <w:szCs w:val="16"/>
              </w:rPr>
              <w:t>IPCC Tier 1 default parameter (NE)</w:t>
            </w:r>
          </w:p>
        </w:tc>
        <w:tc>
          <w:tcPr>
            <w:tcW w:w="1206" w:type="dxa"/>
            <w:tcBorders>
              <w:top w:val="single" w:sz="4" w:space="0" w:color="365F91"/>
              <w:left w:val="single" w:sz="4" w:space="0" w:color="365F91"/>
              <w:bottom w:val="single" w:sz="4" w:space="0" w:color="365F91"/>
              <w:right w:val="single" w:sz="4" w:space="0" w:color="365F91"/>
            </w:tcBorders>
          </w:tcPr>
          <w:p w14:paraId="09163748" w14:textId="77777777" w:rsidR="00333601" w:rsidRPr="00BE78CA" w:rsidRDefault="00333601" w:rsidP="00C26084">
            <w:pPr>
              <w:pStyle w:val="TableText"/>
              <w:rPr>
                <w:rFonts w:cs="Calibri"/>
                <w:szCs w:val="16"/>
              </w:rPr>
            </w:pPr>
            <w:r w:rsidRPr="00BE78CA">
              <w:rPr>
                <w:rFonts w:cs="Calibri"/>
                <w:szCs w:val="16"/>
              </w:rPr>
              <w:t>Tier 2, country-specific data and model</w:t>
            </w:r>
          </w:p>
        </w:tc>
        <w:tc>
          <w:tcPr>
            <w:tcW w:w="1213" w:type="dxa"/>
            <w:tcBorders>
              <w:top w:val="single" w:sz="4" w:space="0" w:color="365F91"/>
              <w:left w:val="single" w:sz="4" w:space="0" w:color="365F91"/>
              <w:bottom w:val="single" w:sz="4" w:space="0" w:color="365F91"/>
              <w:right w:val="nil"/>
            </w:tcBorders>
          </w:tcPr>
          <w:p w14:paraId="34537E7A" w14:textId="77777777" w:rsidR="00333601" w:rsidRPr="00BE78CA" w:rsidRDefault="00333601" w:rsidP="00C26084">
            <w:pPr>
              <w:pStyle w:val="TableText"/>
              <w:rPr>
                <w:rFonts w:cs="Calibri"/>
                <w:szCs w:val="16"/>
              </w:rPr>
            </w:pPr>
            <w:r w:rsidRPr="00BE78CA">
              <w:rPr>
                <w:rFonts w:cs="Calibri"/>
                <w:szCs w:val="16"/>
              </w:rPr>
              <w:t>Not estimated</w:t>
            </w:r>
          </w:p>
        </w:tc>
      </w:tr>
      <w:tr w:rsidR="00333601" w:rsidRPr="00BE78CA" w14:paraId="7D4DEEF1" w14:textId="77777777" w:rsidTr="00FA2314">
        <w:tc>
          <w:tcPr>
            <w:tcW w:w="426" w:type="dxa"/>
            <w:vMerge/>
            <w:tcBorders>
              <w:top w:val="single" w:sz="4" w:space="0" w:color="365F91"/>
              <w:left w:val="nil"/>
              <w:bottom w:val="single" w:sz="4" w:space="0" w:color="365F91"/>
              <w:right w:val="single" w:sz="4" w:space="0" w:color="365F91"/>
            </w:tcBorders>
          </w:tcPr>
          <w:p w14:paraId="4FC0218A" w14:textId="77777777" w:rsidR="00333601" w:rsidRPr="00BE78CA" w:rsidRDefault="00333601" w:rsidP="00C26084">
            <w:pPr>
              <w:rPr>
                <w:rFonts w:cs="Calibri"/>
                <w:sz w:val="16"/>
                <w:szCs w:val="16"/>
              </w:rPr>
            </w:pPr>
          </w:p>
        </w:tc>
        <w:tc>
          <w:tcPr>
            <w:tcW w:w="1350" w:type="dxa"/>
            <w:tcBorders>
              <w:top w:val="single" w:sz="4" w:space="0" w:color="365F91"/>
              <w:left w:val="single" w:sz="4" w:space="0" w:color="365F91"/>
              <w:bottom w:val="single" w:sz="4" w:space="0" w:color="365F91"/>
              <w:right w:val="single" w:sz="4" w:space="0" w:color="365F91"/>
            </w:tcBorders>
          </w:tcPr>
          <w:p w14:paraId="18D39696" w14:textId="77777777" w:rsidR="00333601" w:rsidRPr="00BE78CA" w:rsidRDefault="00333601" w:rsidP="00C26084">
            <w:pPr>
              <w:pStyle w:val="TableText"/>
              <w:rPr>
                <w:rFonts w:cs="Calibri"/>
                <w:szCs w:val="16"/>
              </w:rPr>
            </w:pPr>
            <w:r w:rsidRPr="00BE78CA">
              <w:rPr>
                <w:rFonts w:cs="Calibri"/>
                <w:szCs w:val="16"/>
              </w:rPr>
              <w:t>Other land</w:t>
            </w:r>
          </w:p>
        </w:tc>
        <w:tc>
          <w:tcPr>
            <w:tcW w:w="4310" w:type="dxa"/>
            <w:gridSpan w:val="6"/>
            <w:tcBorders>
              <w:top w:val="single" w:sz="4" w:space="0" w:color="365F91"/>
              <w:left w:val="single" w:sz="4" w:space="0" w:color="365F91"/>
              <w:bottom w:val="single" w:sz="4" w:space="0" w:color="365F91"/>
              <w:right w:val="single" w:sz="4" w:space="0" w:color="365F91"/>
            </w:tcBorders>
          </w:tcPr>
          <w:p w14:paraId="0844AEBE" w14:textId="77777777" w:rsidR="00333601" w:rsidRPr="00BE78CA" w:rsidRDefault="00333601" w:rsidP="00C26084">
            <w:pPr>
              <w:pStyle w:val="TableText"/>
              <w:rPr>
                <w:rFonts w:cs="Calibri"/>
                <w:szCs w:val="16"/>
              </w:rPr>
            </w:pPr>
            <w:r w:rsidRPr="00BE78CA">
              <w:rPr>
                <w:rFonts w:cs="Calibri"/>
                <w:szCs w:val="16"/>
              </w:rPr>
              <w:t>IPCC Tier 1 default parameter (NE)</w:t>
            </w:r>
          </w:p>
        </w:tc>
        <w:tc>
          <w:tcPr>
            <w:tcW w:w="1206" w:type="dxa"/>
            <w:tcBorders>
              <w:top w:val="single" w:sz="4" w:space="0" w:color="365F91"/>
              <w:left w:val="single" w:sz="4" w:space="0" w:color="365F91"/>
              <w:bottom w:val="single" w:sz="4" w:space="0" w:color="365F91"/>
              <w:right w:val="single" w:sz="4" w:space="0" w:color="365F91"/>
            </w:tcBorders>
          </w:tcPr>
          <w:p w14:paraId="4DF075FB" w14:textId="77777777" w:rsidR="00333601" w:rsidRPr="00BE78CA" w:rsidRDefault="00333601" w:rsidP="00C26084">
            <w:pPr>
              <w:pStyle w:val="TableText"/>
              <w:rPr>
                <w:rFonts w:cs="Calibri"/>
                <w:szCs w:val="16"/>
              </w:rPr>
            </w:pPr>
            <w:r w:rsidRPr="00BE78CA">
              <w:rPr>
                <w:rFonts w:cs="Calibri"/>
                <w:szCs w:val="16"/>
              </w:rPr>
              <w:t>Tier 2, country-specific data and model</w:t>
            </w:r>
          </w:p>
        </w:tc>
        <w:tc>
          <w:tcPr>
            <w:tcW w:w="1213" w:type="dxa"/>
            <w:tcBorders>
              <w:top w:val="single" w:sz="4" w:space="0" w:color="365F91"/>
              <w:left w:val="single" w:sz="4" w:space="0" w:color="365F91"/>
              <w:bottom w:val="single" w:sz="4" w:space="0" w:color="365F91"/>
              <w:right w:val="nil"/>
            </w:tcBorders>
          </w:tcPr>
          <w:p w14:paraId="1CEAF88D" w14:textId="77777777" w:rsidR="00333601" w:rsidRPr="00BE78CA" w:rsidRDefault="00333601" w:rsidP="00C26084">
            <w:pPr>
              <w:pStyle w:val="TableText"/>
              <w:rPr>
                <w:rFonts w:cs="Calibri"/>
                <w:szCs w:val="16"/>
              </w:rPr>
            </w:pPr>
            <w:r w:rsidRPr="00BE78CA">
              <w:rPr>
                <w:rFonts w:cs="Calibri"/>
                <w:szCs w:val="16"/>
              </w:rPr>
              <w:t xml:space="preserve">Not estimated </w:t>
            </w:r>
          </w:p>
        </w:tc>
      </w:tr>
    </w:tbl>
    <w:p w14:paraId="31D49CD2" w14:textId="77777777" w:rsidR="00333601" w:rsidRPr="00BE78CA" w:rsidRDefault="00333601" w:rsidP="00333601">
      <w:pPr>
        <w:pStyle w:val="Noteundertable"/>
      </w:pPr>
      <w:r w:rsidRPr="00BE78CA">
        <w:rPr>
          <w:b/>
        </w:rPr>
        <w:t>Note:</w:t>
      </w:r>
      <w:r w:rsidRPr="00BE78CA">
        <w:tab/>
        <w:t xml:space="preserve">AR = afforestation/reforestation; D = deforestation; LUCAS = Land Use Carbon Analysis System; NE = not estimated. See the methodology sections for an explanation of soil carbon calculations (section 6.3) and forest models, C_Change and Forest Carbon Predictor (section 6.4.2). </w:t>
      </w:r>
    </w:p>
    <w:p w14:paraId="4490F523" w14:textId="77777777" w:rsidR="00333601" w:rsidRPr="00BE78CA" w:rsidRDefault="00333601" w:rsidP="00333601">
      <w:pPr>
        <w:pStyle w:val="Heading5"/>
      </w:pPr>
      <w:bookmarkStart w:id="1244" w:name="_Toc255466296"/>
      <w:bookmarkStart w:id="1245" w:name="_Toc261513103"/>
      <w:bookmarkStart w:id="1246" w:name="_Toc261513716"/>
      <w:bookmarkStart w:id="1247" w:name="_Toc280630207"/>
      <w:r w:rsidRPr="00BE78CA">
        <w:lastRenderedPageBreak/>
        <w:t>Pre-1990 natural forest</w:t>
      </w:r>
    </w:p>
    <w:p w14:paraId="0819192F" w14:textId="77777777" w:rsidR="00333601" w:rsidRPr="00BE78CA" w:rsidRDefault="00333601" w:rsidP="00333601">
      <w:pPr>
        <w:pStyle w:val="BodyText"/>
      </w:pPr>
      <w:r w:rsidRPr="00BE78CA">
        <w:t xml:space="preserve">As described in table 6.1.3, the methods for calculating emissions from </w:t>
      </w:r>
      <w:r w:rsidRPr="00BE78CA">
        <w:rPr>
          <w:i/>
        </w:rPr>
        <w:t>Forest land</w:t>
      </w:r>
      <w:r w:rsidRPr="00BE78CA">
        <w:t xml:space="preserve"> biomass differ from those that apply a single reference carbon stock value. </w:t>
      </w:r>
    </w:p>
    <w:p w14:paraId="45E7CEE8" w14:textId="77777777" w:rsidR="00333601" w:rsidRPr="00BE78CA" w:rsidRDefault="00333601" w:rsidP="00333601">
      <w:pPr>
        <w:pStyle w:val="BodyText"/>
        <w:spacing w:before="100" w:after="100"/>
      </w:pPr>
      <w:r w:rsidRPr="00BE78CA">
        <w:t>Estimates of deforestation emissions for pre-1990 natural forest are based on the type of vegetation deforested (tall forest or regenerating). The area of pre-1990 natural forest deforestation is sub-classified as tall forest or regenerating using spatial data on land cover, sourced from the national land cover database (LCDB).</w:t>
      </w:r>
    </w:p>
    <w:p w14:paraId="68F961E9" w14:textId="77777777" w:rsidR="00333601" w:rsidRPr="00BE78CA" w:rsidRDefault="00333601" w:rsidP="00333601">
      <w:pPr>
        <w:pStyle w:val="BodyText"/>
        <w:spacing w:before="100" w:after="100"/>
      </w:pPr>
      <w:r w:rsidRPr="00BE78CA">
        <w:t xml:space="preserve">Tall forest deforestation emissions are determined from the average carbon stock per hectare in biomass for tall forests. Regenerating forest deforestation emissions are determined from the average carbon stock per hectare in biomass for regenerating forests. All carbon in biomass, for both tall and regenerating forest, is assumed to be an instantaneous emission at the time of deforestation (see the Deforestation section in 6.4, for further information on this assumption). </w:t>
      </w:r>
    </w:p>
    <w:p w14:paraId="422E1A5C" w14:textId="77777777" w:rsidR="00333601" w:rsidRPr="00BE78CA" w:rsidRDefault="00333601" w:rsidP="00333601">
      <w:pPr>
        <w:pStyle w:val="BodyText"/>
        <w:spacing w:before="100" w:after="100"/>
      </w:pPr>
      <w:r w:rsidRPr="00BE78CA">
        <w:t>Table 6.1.6 shows the areas of pre-1990 natural forest deforestation split by these two types (tall forest and regenerating).</w:t>
      </w:r>
    </w:p>
    <w:p w14:paraId="7DB618C7" w14:textId="0E4C5783" w:rsidR="00333601" w:rsidRPr="00BE78CA" w:rsidRDefault="00333601" w:rsidP="00333601">
      <w:pPr>
        <w:pStyle w:val="Table"/>
        <w:spacing w:before="100" w:after="100"/>
      </w:pPr>
      <w:bookmarkStart w:id="1248" w:name="_Toc310423443"/>
      <w:bookmarkStart w:id="1249" w:name="_Toc318362736"/>
      <w:bookmarkStart w:id="1250" w:name="_Toc342470815"/>
      <w:bookmarkStart w:id="1251" w:name="_Toc352505068"/>
      <w:bookmarkStart w:id="1252" w:name="_Toc377043704"/>
      <w:bookmarkStart w:id="1253" w:name="_Toc391023556"/>
      <w:bookmarkStart w:id="1254" w:name="_Toc414531530"/>
      <w:bookmarkStart w:id="1255" w:name="_Toc443645358"/>
      <w:bookmarkStart w:id="1256" w:name="_Toc474914577"/>
      <w:bookmarkStart w:id="1257" w:name="_Toc481751541"/>
      <w:bookmarkStart w:id="1258" w:name="_Toc522010598"/>
      <w:bookmarkStart w:id="1259" w:name="_Toc5269503"/>
      <w:bookmarkStart w:id="1260" w:name="_Toc33529379"/>
      <w:bookmarkStart w:id="1261" w:name="_Toc36224585"/>
      <w:bookmarkStart w:id="1262" w:name="_Toc65243580"/>
      <w:bookmarkStart w:id="1263" w:name="_Toc68786470"/>
      <w:r w:rsidRPr="00BE78CA">
        <w:t>Table 6.1.6</w:t>
      </w:r>
      <w:r w:rsidRPr="00BE78CA">
        <w:tab/>
        <w:t>New Zealand’s areas of pre-1990 natural forest deforestation estimated by type</w:t>
      </w:r>
      <w:bookmarkEnd w:id="1248"/>
      <w:bookmarkEnd w:id="1249"/>
      <w:bookmarkEnd w:id="1250"/>
      <w:bookmarkEnd w:id="1251"/>
      <w:bookmarkEnd w:id="1252"/>
      <w:bookmarkEnd w:id="1253"/>
      <w:bookmarkEnd w:id="1254"/>
      <w:bookmarkEnd w:id="1255"/>
      <w:bookmarkEnd w:id="1256"/>
      <w:bookmarkEnd w:id="1257"/>
      <w:r w:rsidRPr="00BE78CA">
        <w:br/>
        <w:t>from 1990 to 201</w:t>
      </w:r>
      <w:bookmarkEnd w:id="1258"/>
      <w:bookmarkEnd w:id="1259"/>
      <w:r w:rsidRPr="00BE78CA">
        <w:t>9</w:t>
      </w:r>
      <w:bookmarkEnd w:id="1260"/>
      <w:bookmarkEnd w:id="1261"/>
      <w:bookmarkEnd w:id="1262"/>
      <w:bookmarkEnd w:id="1263"/>
    </w:p>
    <w:tbl>
      <w:tblPr>
        <w:tblW w:w="8505" w:type="dxa"/>
        <w:tblLayout w:type="fixed"/>
        <w:tblCellMar>
          <w:left w:w="57" w:type="dxa"/>
          <w:right w:w="57" w:type="dxa"/>
        </w:tblCellMar>
        <w:tblLook w:val="04A0" w:firstRow="1" w:lastRow="0" w:firstColumn="1" w:lastColumn="0" w:noHBand="0" w:noVBand="1"/>
      </w:tblPr>
      <w:tblGrid>
        <w:gridCol w:w="1512"/>
        <w:gridCol w:w="1141"/>
        <w:gridCol w:w="856"/>
        <w:gridCol w:w="714"/>
        <w:gridCol w:w="714"/>
        <w:gridCol w:w="713"/>
        <w:gridCol w:w="714"/>
        <w:gridCol w:w="714"/>
        <w:gridCol w:w="714"/>
        <w:gridCol w:w="713"/>
      </w:tblGrid>
      <w:tr w:rsidR="00333601" w:rsidRPr="00BE78CA" w14:paraId="3C3793A2" w14:textId="77777777" w:rsidTr="00FA2314">
        <w:trPr>
          <w:tblHeader/>
        </w:trPr>
        <w:tc>
          <w:tcPr>
            <w:tcW w:w="1503" w:type="dxa"/>
            <w:tcBorders>
              <w:top w:val="single" w:sz="4" w:space="0" w:color="365F91"/>
              <w:bottom w:val="single" w:sz="4" w:space="0" w:color="365F91"/>
            </w:tcBorders>
            <w:shd w:val="clear" w:color="auto" w:fill="365F91"/>
          </w:tcPr>
          <w:p w14:paraId="4DE196EF" w14:textId="77777777" w:rsidR="00333601" w:rsidRPr="00BE78CA" w:rsidRDefault="00333601" w:rsidP="00C26084">
            <w:pPr>
              <w:pStyle w:val="TableTextBold"/>
              <w:spacing w:before="40" w:after="0"/>
              <w:rPr>
                <w:rFonts w:cs="Arial"/>
                <w:noProof w:val="0"/>
                <w:color w:val="FFFFFF"/>
                <w:szCs w:val="16"/>
              </w:rPr>
            </w:pPr>
          </w:p>
        </w:tc>
        <w:tc>
          <w:tcPr>
            <w:tcW w:w="6237" w:type="dxa"/>
            <w:gridSpan w:val="8"/>
            <w:tcBorders>
              <w:top w:val="single" w:sz="4" w:space="0" w:color="365F91"/>
              <w:bottom w:val="single" w:sz="4" w:space="0" w:color="365F91"/>
            </w:tcBorders>
            <w:shd w:val="clear" w:color="auto" w:fill="365F91"/>
            <w:vAlign w:val="bottom"/>
          </w:tcPr>
          <w:p w14:paraId="6268266A" w14:textId="77777777" w:rsidR="00333601" w:rsidRPr="00BE78CA" w:rsidRDefault="00333601" w:rsidP="00C26084">
            <w:pPr>
              <w:pStyle w:val="TableTextBold"/>
              <w:spacing w:after="0"/>
              <w:jc w:val="center"/>
              <w:rPr>
                <w:rFonts w:cs="Arial"/>
                <w:bCs/>
                <w:noProof w:val="0"/>
                <w:color w:val="FFFFFF"/>
                <w:szCs w:val="16"/>
              </w:rPr>
            </w:pPr>
            <w:r w:rsidRPr="00BE78CA">
              <w:rPr>
                <w:rFonts w:cs="Arial"/>
                <w:bCs/>
                <w:noProof w:val="0"/>
                <w:color w:val="FFFFFF"/>
                <w:szCs w:val="16"/>
              </w:rPr>
              <w:t>Area of natural forest deforestation (ha)</w:t>
            </w:r>
          </w:p>
        </w:tc>
        <w:tc>
          <w:tcPr>
            <w:tcW w:w="708" w:type="dxa"/>
            <w:tcBorders>
              <w:top w:val="single" w:sz="4" w:space="0" w:color="365F91"/>
              <w:bottom w:val="single" w:sz="4" w:space="0" w:color="365F91"/>
            </w:tcBorders>
            <w:shd w:val="clear" w:color="auto" w:fill="365F91"/>
          </w:tcPr>
          <w:p w14:paraId="5096974F" w14:textId="77777777" w:rsidR="00333601" w:rsidRPr="00BE78CA" w:rsidRDefault="00333601" w:rsidP="00C26084">
            <w:pPr>
              <w:pStyle w:val="TableTextBold"/>
              <w:spacing w:before="40" w:after="0"/>
              <w:jc w:val="center"/>
              <w:rPr>
                <w:rFonts w:cs="Arial"/>
                <w:bCs/>
                <w:noProof w:val="0"/>
                <w:color w:val="FFFFFF"/>
                <w:szCs w:val="16"/>
              </w:rPr>
            </w:pPr>
          </w:p>
        </w:tc>
      </w:tr>
      <w:tr w:rsidR="00333601" w:rsidRPr="00BE78CA" w14:paraId="77D85473" w14:textId="77777777" w:rsidTr="00FA2314">
        <w:trPr>
          <w:tblHeader/>
        </w:trPr>
        <w:tc>
          <w:tcPr>
            <w:tcW w:w="1503" w:type="dxa"/>
            <w:tcBorders>
              <w:top w:val="single" w:sz="4" w:space="0" w:color="365F91"/>
              <w:bottom w:val="single" w:sz="4" w:space="0" w:color="365F91"/>
            </w:tcBorders>
            <w:shd w:val="clear" w:color="auto" w:fill="365F91"/>
            <w:vAlign w:val="bottom"/>
          </w:tcPr>
          <w:p w14:paraId="3B2770D7" w14:textId="77777777" w:rsidR="00333601" w:rsidRPr="00BE78CA" w:rsidRDefault="00333601" w:rsidP="00C26084">
            <w:pPr>
              <w:pStyle w:val="TableTextBold"/>
              <w:spacing w:before="40"/>
              <w:rPr>
                <w:rFonts w:cs="Arial"/>
                <w:noProof w:val="0"/>
                <w:color w:val="FFFFFF"/>
                <w:szCs w:val="16"/>
              </w:rPr>
            </w:pPr>
            <w:r w:rsidRPr="00BE78CA">
              <w:rPr>
                <w:rFonts w:cs="Arial"/>
                <w:noProof w:val="0"/>
                <w:color w:val="FFFFFF"/>
                <w:szCs w:val="16"/>
              </w:rPr>
              <w:t>Natural forest type</w:t>
            </w:r>
          </w:p>
        </w:tc>
        <w:tc>
          <w:tcPr>
            <w:tcW w:w="1134" w:type="dxa"/>
            <w:tcBorders>
              <w:top w:val="single" w:sz="4" w:space="0" w:color="365F91"/>
              <w:bottom w:val="single" w:sz="4" w:space="0" w:color="365F91"/>
            </w:tcBorders>
            <w:shd w:val="clear" w:color="auto" w:fill="365F91"/>
            <w:vAlign w:val="bottom"/>
          </w:tcPr>
          <w:p w14:paraId="7320AA6A" w14:textId="77777777" w:rsidR="00333601" w:rsidRPr="00BE78CA" w:rsidRDefault="00333601" w:rsidP="00C26084">
            <w:pPr>
              <w:pStyle w:val="TableTextBold"/>
              <w:spacing w:before="40"/>
              <w:jc w:val="center"/>
              <w:rPr>
                <w:rFonts w:cs="Arial"/>
                <w:noProof w:val="0"/>
                <w:color w:val="FFFFFF"/>
                <w:szCs w:val="16"/>
              </w:rPr>
            </w:pPr>
            <w:r w:rsidRPr="00BE78CA">
              <w:rPr>
                <w:rFonts w:cs="Arial"/>
                <w:noProof w:val="0"/>
                <w:color w:val="FFFFFF"/>
                <w:szCs w:val="16"/>
              </w:rPr>
              <w:t>1990–2007</w:t>
            </w:r>
          </w:p>
        </w:tc>
        <w:tc>
          <w:tcPr>
            <w:tcW w:w="850" w:type="dxa"/>
            <w:tcBorders>
              <w:top w:val="single" w:sz="4" w:space="0" w:color="365F91"/>
              <w:bottom w:val="single" w:sz="4" w:space="0" w:color="365F91"/>
            </w:tcBorders>
            <w:shd w:val="clear" w:color="auto" w:fill="365F91"/>
            <w:vAlign w:val="bottom"/>
          </w:tcPr>
          <w:p w14:paraId="47369B32" w14:textId="77777777" w:rsidR="00333601" w:rsidRPr="00BE78CA" w:rsidRDefault="00333601" w:rsidP="00C26084">
            <w:pPr>
              <w:pStyle w:val="TableTextBold"/>
              <w:spacing w:before="40"/>
              <w:jc w:val="center"/>
              <w:rPr>
                <w:rFonts w:cs="Arial"/>
                <w:noProof w:val="0"/>
                <w:color w:val="FFFFFF"/>
                <w:szCs w:val="16"/>
              </w:rPr>
            </w:pPr>
            <w:r w:rsidRPr="00BE78CA">
              <w:rPr>
                <w:rFonts w:cs="Arial"/>
                <w:noProof w:val="0"/>
                <w:color w:val="FFFFFF"/>
                <w:szCs w:val="16"/>
              </w:rPr>
              <w:t>2008–12</w:t>
            </w:r>
          </w:p>
        </w:tc>
        <w:tc>
          <w:tcPr>
            <w:tcW w:w="709" w:type="dxa"/>
            <w:tcBorders>
              <w:top w:val="single" w:sz="4" w:space="0" w:color="365F91"/>
              <w:bottom w:val="single" w:sz="4" w:space="0" w:color="365F91"/>
            </w:tcBorders>
            <w:shd w:val="clear" w:color="auto" w:fill="365F91"/>
            <w:vAlign w:val="bottom"/>
          </w:tcPr>
          <w:p w14:paraId="14EC9C37" w14:textId="77777777" w:rsidR="00333601" w:rsidRPr="00BE78CA" w:rsidRDefault="00333601" w:rsidP="00C26084">
            <w:pPr>
              <w:pStyle w:val="TableTextBold"/>
              <w:spacing w:before="40"/>
              <w:jc w:val="center"/>
              <w:rPr>
                <w:rFonts w:cs="Arial"/>
                <w:noProof w:val="0"/>
                <w:color w:val="FFFFFF"/>
                <w:szCs w:val="16"/>
              </w:rPr>
            </w:pPr>
            <w:r w:rsidRPr="00BE78CA">
              <w:rPr>
                <w:rFonts w:cs="Arial"/>
                <w:noProof w:val="0"/>
                <w:color w:val="FFFFFF"/>
                <w:szCs w:val="16"/>
              </w:rPr>
              <w:t>2013</w:t>
            </w:r>
          </w:p>
        </w:tc>
        <w:tc>
          <w:tcPr>
            <w:tcW w:w="709" w:type="dxa"/>
            <w:tcBorders>
              <w:top w:val="single" w:sz="4" w:space="0" w:color="365F91"/>
              <w:bottom w:val="single" w:sz="4" w:space="0" w:color="365F91"/>
            </w:tcBorders>
            <w:shd w:val="clear" w:color="auto" w:fill="365F91"/>
            <w:vAlign w:val="bottom"/>
          </w:tcPr>
          <w:p w14:paraId="5431B5A8" w14:textId="77777777" w:rsidR="00333601" w:rsidRPr="00BE78CA" w:rsidRDefault="00333601" w:rsidP="00C26084">
            <w:pPr>
              <w:pStyle w:val="TableTextBold"/>
              <w:spacing w:before="40"/>
              <w:jc w:val="center"/>
              <w:rPr>
                <w:rFonts w:cs="Arial"/>
                <w:noProof w:val="0"/>
                <w:color w:val="FFFFFF"/>
                <w:szCs w:val="16"/>
              </w:rPr>
            </w:pPr>
            <w:r w:rsidRPr="00BE78CA">
              <w:rPr>
                <w:rFonts w:cs="Arial"/>
                <w:noProof w:val="0"/>
                <w:color w:val="FFFFFF"/>
                <w:szCs w:val="16"/>
              </w:rPr>
              <w:t>2014</w:t>
            </w:r>
          </w:p>
        </w:tc>
        <w:tc>
          <w:tcPr>
            <w:tcW w:w="708" w:type="dxa"/>
            <w:tcBorders>
              <w:top w:val="single" w:sz="4" w:space="0" w:color="365F91"/>
              <w:bottom w:val="single" w:sz="4" w:space="0" w:color="365F91"/>
            </w:tcBorders>
            <w:shd w:val="clear" w:color="auto" w:fill="365F91"/>
            <w:vAlign w:val="bottom"/>
          </w:tcPr>
          <w:p w14:paraId="1212D968" w14:textId="77777777" w:rsidR="00333601" w:rsidRPr="00BE78CA" w:rsidRDefault="00333601" w:rsidP="00C26084">
            <w:pPr>
              <w:pStyle w:val="TableTextBold"/>
              <w:spacing w:before="40"/>
              <w:jc w:val="center"/>
              <w:rPr>
                <w:rFonts w:cs="Arial"/>
                <w:noProof w:val="0"/>
                <w:color w:val="FFFFFF"/>
                <w:szCs w:val="16"/>
              </w:rPr>
            </w:pPr>
            <w:r w:rsidRPr="00BE78CA">
              <w:rPr>
                <w:rFonts w:cs="Arial"/>
                <w:noProof w:val="0"/>
                <w:color w:val="FFFFFF"/>
                <w:szCs w:val="16"/>
              </w:rPr>
              <w:t>2015</w:t>
            </w:r>
          </w:p>
        </w:tc>
        <w:tc>
          <w:tcPr>
            <w:tcW w:w="709" w:type="dxa"/>
            <w:tcBorders>
              <w:top w:val="single" w:sz="4" w:space="0" w:color="365F91"/>
              <w:bottom w:val="single" w:sz="4" w:space="0" w:color="365F91"/>
            </w:tcBorders>
            <w:shd w:val="clear" w:color="auto" w:fill="365F91"/>
            <w:vAlign w:val="bottom"/>
          </w:tcPr>
          <w:p w14:paraId="782B296B" w14:textId="77777777" w:rsidR="00333601" w:rsidRPr="00BE78CA" w:rsidRDefault="00333601" w:rsidP="00C26084">
            <w:pPr>
              <w:pStyle w:val="TableTextBold"/>
              <w:spacing w:before="40"/>
              <w:jc w:val="center"/>
              <w:rPr>
                <w:rFonts w:cs="Arial"/>
                <w:noProof w:val="0"/>
                <w:color w:val="FFFFFF"/>
                <w:szCs w:val="16"/>
              </w:rPr>
            </w:pPr>
            <w:r w:rsidRPr="00BE78CA">
              <w:rPr>
                <w:rFonts w:cs="Arial"/>
                <w:noProof w:val="0"/>
                <w:color w:val="FFFFFF"/>
                <w:szCs w:val="16"/>
              </w:rPr>
              <w:t>2016</w:t>
            </w:r>
          </w:p>
        </w:tc>
        <w:tc>
          <w:tcPr>
            <w:tcW w:w="709" w:type="dxa"/>
            <w:tcBorders>
              <w:top w:val="single" w:sz="4" w:space="0" w:color="365F91"/>
              <w:bottom w:val="single" w:sz="4" w:space="0" w:color="365F91"/>
            </w:tcBorders>
            <w:shd w:val="clear" w:color="auto" w:fill="365F91"/>
            <w:vAlign w:val="bottom"/>
          </w:tcPr>
          <w:p w14:paraId="2AE0E861" w14:textId="77777777" w:rsidR="00333601" w:rsidRPr="00BE78CA" w:rsidRDefault="00333601" w:rsidP="00C26084">
            <w:pPr>
              <w:pStyle w:val="TableTextBold"/>
              <w:spacing w:before="40"/>
              <w:jc w:val="center"/>
              <w:rPr>
                <w:rFonts w:cs="Arial"/>
                <w:noProof w:val="0"/>
                <w:color w:val="FFFFFF"/>
                <w:szCs w:val="16"/>
              </w:rPr>
            </w:pPr>
            <w:r w:rsidRPr="00BE78CA">
              <w:rPr>
                <w:rFonts w:cs="Arial"/>
                <w:noProof w:val="0"/>
                <w:color w:val="FFFFFF"/>
                <w:szCs w:val="16"/>
              </w:rPr>
              <w:t>2017</w:t>
            </w:r>
            <w:r w:rsidRPr="00BE78CA">
              <w:rPr>
                <w:rFonts w:cs="Arial"/>
                <w:noProof w:val="0"/>
                <w:color w:val="FFFFFF"/>
                <w:szCs w:val="16"/>
                <w:vertAlign w:val="superscript"/>
              </w:rPr>
              <w:t>P</w:t>
            </w:r>
          </w:p>
        </w:tc>
        <w:tc>
          <w:tcPr>
            <w:tcW w:w="709" w:type="dxa"/>
            <w:tcBorders>
              <w:top w:val="single" w:sz="4" w:space="0" w:color="365F91"/>
              <w:bottom w:val="single" w:sz="4" w:space="0" w:color="365F91"/>
            </w:tcBorders>
            <w:shd w:val="clear" w:color="auto" w:fill="365F91"/>
            <w:vAlign w:val="bottom"/>
          </w:tcPr>
          <w:p w14:paraId="113FAA7B" w14:textId="77777777" w:rsidR="00333601" w:rsidRPr="00BE78CA" w:rsidRDefault="00333601" w:rsidP="00C26084">
            <w:pPr>
              <w:pStyle w:val="TableTextBold"/>
              <w:spacing w:before="40"/>
              <w:jc w:val="center"/>
              <w:rPr>
                <w:rFonts w:cs="Arial"/>
                <w:noProof w:val="0"/>
                <w:color w:val="FFFFFF"/>
                <w:szCs w:val="16"/>
              </w:rPr>
            </w:pPr>
            <w:r w:rsidRPr="00BE78CA">
              <w:rPr>
                <w:rFonts w:cs="Arial"/>
                <w:noProof w:val="0"/>
                <w:color w:val="FFFFFF"/>
                <w:szCs w:val="16"/>
              </w:rPr>
              <w:t>2018</w:t>
            </w:r>
            <w:r w:rsidRPr="00BE78CA">
              <w:rPr>
                <w:rFonts w:cs="Arial"/>
                <w:noProof w:val="0"/>
                <w:color w:val="FFFFFF"/>
                <w:szCs w:val="16"/>
                <w:vertAlign w:val="superscript"/>
              </w:rPr>
              <w:t>P</w:t>
            </w:r>
          </w:p>
        </w:tc>
        <w:tc>
          <w:tcPr>
            <w:tcW w:w="708" w:type="dxa"/>
            <w:tcBorders>
              <w:top w:val="single" w:sz="4" w:space="0" w:color="365F91"/>
              <w:bottom w:val="single" w:sz="4" w:space="0" w:color="365F91"/>
            </w:tcBorders>
            <w:shd w:val="clear" w:color="auto" w:fill="365F91"/>
            <w:vAlign w:val="bottom"/>
          </w:tcPr>
          <w:p w14:paraId="527BF0F9" w14:textId="77777777" w:rsidR="00333601" w:rsidRPr="00BE78CA" w:rsidRDefault="00333601" w:rsidP="00C26084">
            <w:pPr>
              <w:pStyle w:val="TableTextBold"/>
              <w:spacing w:before="40"/>
              <w:jc w:val="center"/>
              <w:rPr>
                <w:rFonts w:cs="Arial"/>
                <w:noProof w:val="0"/>
                <w:color w:val="FFFFFF"/>
                <w:szCs w:val="16"/>
              </w:rPr>
            </w:pPr>
            <w:r w:rsidRPr="00BE78CA">
              <w:rPr>
                <w:rFonts w:cs="Arial"/>
                <w:noProof w:val="0"/>
                <w:color w:val="FFFFFF"/>
                <w:szCs w:val="16"/>
              </w:rPr>
              <w:t>2019</w:t>
            </w:r>
            <w:r w:rsidRPr="00BE78CA">
              <w:rPr>
                <w:rFonts w:cs="Arial"/>
                <w:noProof w:val="0"/>
                <w:color w:val="FFFFFF"/>
                <w:szCs w:val="16"/>
                <w:vertAlign w:val="superscript"/>
              </w:rPr>
              <w:t>P</w:t>
            </w:r>
          </w:p>
        </w:tc>
      </w:tr>
      <w:tr w:rsidR="00333601" w:rsidRPr="00BE78CA" w14:paraId="20247D97" w14:textId="77777777" w:rsidTr="00FA2314">
        <w:tc>
          <w:tcPr>
            <w:tcW w:w="1503" w:type="dxa"/>
            <w:tcBorders>
              <w:top w:val="single" w:sz="4" w:space="0" w:color="365F91"/>
              <w:bottom w:val="single" w:sz="4" w:space="0" w:color="365F91"/>
            </w:tcBorders>
          </w:tcPr>
          <w:p w14:paraId="412CB15E" w14:textId="77777777" w:rsidR="00333601" w:rsidRPr="00BE78CA" w:rsidRDefault="00333601" w:rsidP="00C26084">
            <w:pPr>
              <w:pStyle w:val="TableText"/>
              <w:spacing w:after="50"/>
              <w:rPr>
                <w:rFonts w:cs="Arial"/>
                <w:szCs w:val="16"/>
              </w:rPr>
            </w:pPr>
            <w:r w:rsidRPr="00BE78CA">
              <w:rPr>
                <w:rFonts w:cs="Arial"/>
                <w:szCs w:val="16"/>
              </w:rPr>
              <w:t xml:space="preserve">Tall forest </w:t>
            </w:r>
          </w:p>
        </w:tc>
        <w:tc>
          <w:tcPr>
            <w:tcW w:w="1134" w:type="dxa"/>
            <w:tcBorders>
              <w:top w:val="single" w:sz="4" w:space="0" w:color="365F91"/>
              <w:bottom w:val="single" w:sz="4" w:space="0" w:color="365F91"/>
            </w:tcBorders>
          </w:tcPr>
          <w:p w14:paraId="6A9D4B12" w14:textId="77777777" w:rsidR="00333601" w:rsidRPr="00BE78CA" w:rsidRDefault="00333601" w:rsidP="00C26084">
            <w:pPr>
              <w:pStyle w:val="TableText"/>
              <w:spacing w:after="50"/>
              <w:jc w:val="center"/>
              <w:rPr>
                <w:rFonts w:cs="Arial"/>
                <w:szCs w:val="16"/>
              </w:rPr>
            </w:pPr>
            <w:r w:rsidRPr="00BE78CA">
              <w:t>8,636</w:t>
            </w:r>
          </w:p>
        </w:tc>
        <w:tc>
          <w:tcPr>
            <w:tcW w:w="850" w:type="dxa"/>
            <w:tcBorders>
              <w:top w:val="single" w:sz="4" w:space="0" w:color="365F91"/>
              <w:bottom w:val="single" w:sz="4" w:space="0" w:color="365F91"/>
            </w:tcBorders>
          </w:tcPr>
          <w:p w14:paraId="2F55EF45" w14:textId="77777777" w:rsidR="00333601" w:rsidRPr="00BE78CA" w:rsidRDefault="00333601" w:rsidP="00C26084">
            <w:pPr>
              <w:pStyle w:val="TableText"/>
              <w:spacing w:after="50"/>
              <w:jc w:val="center"/>
              <w:rPr>
                <w:rFonts w:cs="Arial"/>
                <w:szCs w:val="16"/>
              </w:rPr>
            </w:pPr>
            <w:r w:rsidRPr="00BE78CA">
              <w:t>2431</w:t>
            </w:r>
          </w:p>
        </w:tc>
        <w:tc>
          <w:tcPr>
            <w:tcW w:w="709" w:type="dxa"/>
            <w:tcBorders>
              <w:top w:val="single" w:sz="4" w:space="0" w:color="365F91"/>
              <w:bottom w:val="single" w:sz="4" w:space="0" w:color="365F91"/>
            </w:tcBorders>
          </w:tcPr>
          <w:p w14:paraId="0EC8FBF7" w14:textId="77777777" w:rsidR="00333601" w:rsidRPr="00BE78CA" w:rsidRDefault="00333601" w:rsidP="00C26084">
            <w:pPr>
              <w:pStyle w:val="TableText"/>
              <w:spacing w:after="50"/>
              <w:jc w:val="center"/>
              <w:rPr>
                <w:rFonts w:cs="Arial"/>
                <w:szCs w:val="16"/>
              </w:rPr>
            </w:pPr>
            <w:r w:rsidRPr="00BE78CA">
              <w:t>371</w:t>
            </w:r>
          </w:p>
        </w:tc>
        <w:tc>
          <w:tcPr>
            <w:tcW w:w="709" w:type="dxa"/>
            <w:tcBorders>
              <w:top w:val="single" w:sz="4" w:space="0" w:color="365F91"/>
              <w:bottom w:val="single" w:sz="4" w:space="0" w:color="365F91"/>
            </w:tcBorders>
          </w:tcPr>
          <w:p w14:paraId="4F76FAA9" w14:textId="77777777" w:rsidR="00333601" w:rsidRPr="00BE78CA" w:rsidRDefault="00333601" w:rsidP="00C26084">
            <w:pPr>
              <w:pStyle w:val="TableText"/>
              <w:spacing w:after="50"/>
              <w:jc w:val="center"/>
              <w:rPr>
                <w:rFonts w:cs="Arial"/>
                <w:szCs w:val="16"/>
              </w:rPr>
            </w:pPr>
            <w:r w:rsidRPr="00BE78CA">
              <w:t>260</w:t>
            </w:r>
          </w:p>
        </w:tc>
        <w:tc>
          <w:tcPr>
            <w:tcW w:w="708" w:type="dxa"/>
            <w:tcBorders>
              <w:top w:val="single" w:sz="4" w:space="0" w:color="365F91"/>
              <w:bottom w:val="single" w:sz="4" w:space="0" w:color="365F91"/>
            </w:tcBorders>
          </w:tcPr>
          <w:p w14:paraId="227B0D9F" w14:textId="77777777" w:rsidR="00333601" w:rsidRPr="00BE78CA" w:rsidRDefault="00333601" w:rsidP="00C26084">
            <w:pPr>
              <w:pStyle w:val="TableText"/>
              <w:spacing w:after="50"/>
              <w:jc w:val="center"/>
              <w:rPr>
                <w:rFonts w:cs="Arial"/>
                <w:szCs w:val="16"/>
              </w:rPr>
            </w:pPr>
            <w:r w:rsidRPr="00BE78CA">
              <w:t>334</w:t>
            </w:r>
          </w:p>
        </w:tc>
        <w:tc>
          <w:tcPr>
            <w:tcW w:w="709" w:type="dxa"/>
            <w:tcBorders>
              <w:top w:val="single" w:sz="4" w:space="0" w:color="365F91"/>
              <w:bottom w:val="single" w:sz="4" w:space="0" w:color="365F91"/>
            </w:tcBorders>
          </w:tcPr>
          <w:p w14:paraId="65C659A3" w14:textId="77777777" w:rsidR="00333601" w:rsidRPr="00BE78CA" w:rsidRDefault="00333601" w:rsidP="00C26084">
            <w:pPr>
              <w:pStyle w:val="TableText"/>
              <w:spacing w:after="50"/>
              <w:jc w:val="center"/>
              <w:rPr>
                <w:rFonts w:cs="Arial"/>
                <w:szCs w:val="16"/>
              </w:rPr>
            </w:pPr>
            <w:r w:rsidRPr="00BE78CA">
              <w:t>258</w:t>
            </w:r>
          </w:p>
        </w:tc>
        <w:tc>
          <w:tcPr>
            <w:tcW w:w="709" w:type="dxa"/>
            <w:tcBorders>
              <w:top w:val="single" w:sz="4" w:space="0" w:color="365F91"/>
              <w:bottom w:val="single" w:sz="4" w:space="0" w:color="365F91"/>
            </w:tcBorders>
          </w:tcPr>
          <w:p w14:paraId="0569A9FF" w14:textId="77777777" w:rsidR="00333601" w:rsidRPr="00BE78CA" w:rsidRDefault="00333601" w:rsidP="00C26084">
            <w:pPr>
              <w:pStyle w:val="TableText"/>
              <w:spacing w:after="50"/>
              <w:jc w:val="center"/>
              <w:rPr>
                <w:rFonts w:cs="Arial"/>
                <w:szCs w:val="16"/>
              </w:rPr>
            </w:pPr>
            <w:r w:rsidRPr="00BE78CA">
              <w:t>349</w:t>
            </w:r>
          </w:p>
        </w:tc>
        <w:tc>
          <w:tcPr>
            <w:tcW w:w="709" w:type="dxa"/>
            <w:tcBorders>
              <w:top w:val="single" w:sz="4" w:space="0" w:color="365F91"/>
              <w:bottom w:val="single" w:sz="4" w:space="0" w:color="365F91"/>
            </w:tcBorders>
          </w:tcPr>
          <w:p w14:paraId="41AB3EB4" w14:textId="77777777" w:rsidR="00333601" w:rsidRPr="00BE78CA" w:rsidRDefault="00333601" w:rsidP="00C26084">
            <w:pPr>
              <w:pStyle w:val="TableText"/>
              <w:spacing w:after="50"/>
              <w:jc w:val="center"/>
              <w:rPr>
                <w:rFonts w:cs="Arial"/>
                <w:szCs w:val="16"/>
              </w:rPr>
            </w:pPr>
            <w:r w:rsidRPr="00BE78CA">
              <w:t>349</w:t>
            </w:r>
          </w:p>
        </w:tc>
        <w:tc>
          <w:tcPr>
            <w:tcW w:w="708" w:type="dxa"/>
            <w:tcBorders>
              <w:top w:val="single" w:sz="4" w:space="0" w:color="365F91"/>
              <w:bottom w:val="single" w:sz="4" w:space="0" w:color="365F91"/>
            </w:tcBorders>
          </w:tcPr>
          <w:p w14:paraId="61915987" w14:textId="77777777" w:rsidR="00333601" w:rsidRPr="00BE78CA" w:rsidRDefault="00333601" w:rsidP="00C26084">
            <w:pPr>
              <w:pStyle w:val="TableText"/>
              <w:spacing w:after="50"/>
              <w:jc w:val="center"/>
              <w:rPr>
                <w:szCs w:val="16"/>
              </w:rPr>
            </w:pPr>
            <w:r w:rsidRPr="00BE78CA">
              <w:t>349</w:t>
            </w:r>
          </w:p>
        </w:tc>
      </w:tr>
      <w:tr w:rsidR="00333601" w:rsidRPr="00BE78CA" w14:paraId="1652CB8D" w14:textId="77777777" w:rsidTr="00FA2314">
        <w:tc>
          <w:tcPr>
            <w:tcW w:w="1503" w:type="dxa"/>
            <w:tcBorders>
              <w:top w:val="single" w:sz="4" w:space="0" w:color="365F91"/>
              <w:bottom w:val="single" w:sz="4" w:space="0" w:color="365F91"/>
            </w:tcBorders>
          </w:tcPr>
          <w:p w14:paraId="32F2D2C3" w14:textId="77777777" w:rsidR="00333601" w:rsidRPr="00BE78CA" w:rsidRDefault="00333601" w:rsidP="00C26084">
            <w:pPr>
              <w:pStyle w:val="TableText"/>
              <w:spacing w:after="50"/>
              <w:rPr>
                <w:rFonts w:cs="Arial"/>
                <w:szCs w:val="16"/>
              </w:rPr>
            </w:pPr>
            <w:r w:rsidRPr="00BE78CA">
              <w:rPr>
                <w:rFonts w:cs="Arial"/>
                <w:szCs w:val="16"/>
              </w:rPr>
              <w:t>Regenerating</w:t>
            </w:r>
          </w:p>
        </w:tc>
        <w:tc>
          <w:tcPr>
            <w:tcW w:w="1134" w:type="dxa"/>
            <w:tcBorders>
              <w:top w:val="single" w:sz="4" w:space="0" w:color="365F91"/>
              <w:bottom w:val="single" w:sz="4" w:space="0" w:color="365F91"/>
            </w:tcBorders>
          </w:tcPr>
          <w:p w14:paraId="288C5291" w14:textId="77777777" w:rsidR="00333601" w:rsidRPr="00BE78CA" w:rsidRDefault="00333601" w:rsidP="00C26084">
            <w:pPr>
              <w:pStyle w:val="TableText"/>
              <w:spacing w:after="50"/>
              <w:jc w:val="center"/>
              <w:rPr>
                <w:rFonts w:cs="Arial"/>
                <w:szCs w:val="16"/>
              </w:rPr>
            </w:pPr>
            <w:r w:rsidRPr="00BE78CA">
              <w:t>24,563</w:t>
            </w:r>
          </w:p>
        </w:tc>
        <w:tc>
          <w:tcPr>
            <w:tcW w:w="850" w:type="dxa"/>
            <w:tcBorders>
              <w:top w:val="single" w:sz="4" w:space="0" w:color="365F91"/>
              <w:bottom w:val="single" w:sz="4" w:space="0" w:color="365F91"/>
            </w:tcBorders>
          </w:tcPr>
          <w:p w14:paraId="2A484258" w14:textId="77777777" w:rsidR="00333601" w:rsidRPr="00BE78CA" w:rsidRDefault="00333601" w:rsidP="00C26084">
            <w:pPr>
              <w:pStyle w:val="TableText"/>
              <w:spacing w:after="50"/>
              <w:jc w:val="center"/>
              <w:rPr>
                <w:rFonts w:cs="Arial"/>
                <w:szCs w:val="16"/>
              </w:rPr>
            </w:pPr>
            <w:r w:rsidRPr="00BE78CA">
              <w:t>4855</w:t>
            </w:r>
          </w:p>
        </w:tc>
        <w:tc>
          <w:tcPr>
            <w:tcW w:w="709" w:type="dxa"/>
            <w:tcBorders>
              <w:top w:val="single" w:sz="4" w:space="0" w:color="365F91"/>
              <w:bottom w:val="single" w:sz="4" w:space="0" w:color="365F91"/>
            </w:tcBorders>
          </w:tcPr>
          <w:p w14:paraId="3125F041" w14:textId="77777777" w:rsidR="00333601" w:rsidRPr="00BE78CA" w:rsidRDefault="00333601" w:rsidP="00C26084">
            <w:pPr>
              <w:pStyle w:val="TableText"/>
              <w:spacing w:after="50"/>
              <w:jc w:val="center"/>
              <w:rPr>
                <w:rFonts w:cs="Arial"/>
                <w:szCs w:val="16"/>
              </w:rPr>
            </w:pPr>
            <w:r w:rsidRPr="00BE78CA">
              <w:t>726</w:t>
            </w:r>
          </w:p>
        </w:tc>
        <w:tc>
          <w:tcPr>
            <w:tcW w:w="709" w:type="dxa"/>
            <w:tcBorders>
              <w:top w:val="single" w:sz="4" w:space="0" w:color="365F91"/>
              <w:bottom w:val="single" w:sz="4" w:space="0" w:color="365F91"/>
            </w:tcBorders>
          </w:tcPr>
          <w:p w14:paraId="177EAFA1" w14:textId="77777777" w:rsidR="00333601" w:rsidRPr="00BE78CA" w:rsidRDefault="00333601" w:rsidP="00C26084">
            <w:pPr>
              <w:pStyle w:val="TableText"/>
              <w:spacing w:after="50"/>
              <w:jc w:val="center"/>
              <w:rPr>
                <w:rFonts w:cs="Arial"/>
                <w:szCs w:val="16"/>
              </w:rPr>
            </w:pPr>
            <w:r w:rsidRPr="00BE78CA">
              <w:t>218</w:t>
            </w:r>
          </w:p>
        </w:tc>
        <w:tc>
          <w:tcPr>
            <w:tcW w:w="708" w:type="dxa"/>
            <w:tcBorders>
              <w:top w:val="single" w:sz="4" w:space="0" w:color="365F91"/>
              <w:bottom w:val="single" w:sz="4" w:space="0" w:color="365F91"/>
            </w:tcBorders>
          </w:tcPr>
          <w:p w14:paraId="722467EF" w14:textId="77777777" w:rsidR="00333601" w:rsidRPr="00BE78CA" w:rsidRDefault="00333601" w:rsidP="00C26084">
            <w:pPr>
              <w:pStyle w:val="TableText"/>
              <w:spacing w:after="50"/>
              <w:jc w:val="center"/>
              <w:rPr>
                <w:rFonts w:cs="Arial"/>
                <w:szCs w:val="16"/>
              </w:rPr>
            </w:pPr>
            <w:r w:rsidRPr="00BE78CA">
              <w:t>312</w:t>
            </w:r>
          </w:p>
        </w:tc>
        <w:tc>
          <w:tcPr>
            <w:tcW w:w="709" w:type="dxa"/>
            <w:tcBorders>
              <w:top w:val="single" w:sz="4" w:space="0" w:color="365F91"/>
              <w:bottom w:val="single" w:sz="4" w:space="0" w:color="365F91"/>
            </w:tcBorders>
          </w:tcPr>
          <w:p w14:paraId="79B441B8" w14:textId="77777777" w:rsidR="00333601" w:rsidRPr="00BE78CA" w:rsidRDefault="00333601" w:rsidP="00C26084">
            <w:pPr>
              <w:pStyle w:val="TableText"/>
              <w:spacing w:after="50"/>
              <w:jc w:val="center"/>
              <w:rPr>
                <w:rFonts w:cs="Arial"/>
                <w:szCs w:val="16"/>
              </w:rPr>
            </w:pPr>
            <w:r w:rsidRPr="00BE78CA">
              <w:t>149</w:t>
            </w:r>
          </w:p>
        </w:tc>
        <w:tc>
          <w:tcPr>
            <w:tcW w:w="709" w:type="dxa"/>
            <w:tcBorders>
              <w:top w:val="single" w:sz="4" w:space="0" w:color="365F91"/>
              <w:bottom w:val="single" w:sz="4" w:space="0" w:color="365F91"/>
            </w:tcBorders>
          </w:tcPr>
          <w:p w14:paraId="134A2077" w14:textId="77777777" w:rsidR="00333601" w:rsidRPr="00BE78CA" w:rsidRDefault="00333601" w:rsidP="00C26084">
            <w:pPr>
              <w:pStyle w:val="TableText"/>
              <w:spacing w:after="50"/>
              <w:jc w:val="center"/>
              <w:rPr>
                <w:rFonts w:cs="Arial"/>
                <w:szCs w:val="16"/>
              </w:rPr>
            </w:pPr>
            <w:r w:rsidRPr="00BE78CA">
              <w:t>401</w:t>
            </w:r>
          </w:p>
        </w:tc>
        <w:tc>
          <w:tcPr>
            <w:tcW w:w="709" w:type="dxa"/>
            <w:tcBorders>
              <w:top w:val="single" w:sz="4" w:space="0" w:color="365F91"/>
              <w:bottom w:val="single" w:sz="4" w:space="0" w:color="365F91"/>
            </w:tcBorders>
          </w:tcPr>
          <w:p w14:paraId="1DCC2902" w14:textId="77777777" w:rsidR="00333601" w:rsidRPr="00BE78CA" w:rsidRDefault="00333601" w:rsidP="00C26084">
            <w:pPr>
              <w:pStyle w:val="TableText"/>
              <w:spacing w:after="50"/>
              <w:jc w:val="center"/>
              <w:rPr>
                <w:rFonts w:cs="Arial"/>
                <w:szCs w:val="16"/>
              </w:rPr>
            </w:pPr>
            <w:r w:rsidRPr="00BE78CA">
              <w:t>401</w:t>
            </w:r>
          </w:p>
        </w:tc>
        <w:tc>
          <w:tcPr>
            <w:tcW w:w="708" w:type="dxa"/>
            <w:tcBorders>
              <w:top w:val="single" w:sz="4" w:space="0" w:color="365F91"/>
              <w:bottom w:val="single" w:sz="4" w:space="0" w:color="365F91"/>
            </w:tcBorders>
          </w:tcPr>
          <w:p w14:paraId="3C4DF8E9" w14:textId="77777777" w:rsidR="00333601" w:rsidRPr="00BE78CA" w:rsidRDefault="00333601" w:rsidP="00C26084">
            <w:pPr>
              <w:pStyle w:val="TableText"/>
              <w:spacing w:after="50"/>
              <w:jc w:val="center"/>
              <w:rPr>
                <w:szCs w:val="16"/>
              </w:rPr>
            </w:pPr>
            <w:r w:rsidRPr="00BE78CA">
              <w:t>401</w:t>
            </w:r>
          </w:p>
        </w:tc>
      </w:tr>
      <w:tr w:rsidR="00333601" w:rsidRPr="00BE78CA" w14:paraId="3F2A54D2" w14:textId="77777777" w:rsidTr="00FA2314">
        <w:tc>
          <w:tcPr>
            <w:tcW w:w="1503" w:type="dxa"/>
            <w:tcBorders>
              <w:top w:val="single" w:sz="4" w:space="0" w:color="365F91"/>
              <w:bottom w:val="single" w:sz="4" w:space="0" w:color="365F91"/>
            </w:tcBorders>
            <w:shd w:val="clear" w:color="auto" w:fill="FFFFFF"/>
          </w:tcPr>
          <w:p w14:paraId="0157AFF3" w14:textId="77777777" w:rsidR="00333601" w:rsidRPr="00BE78CA" w:rsidRDefault="00333601" w:rsidP="00C26084">
            <w:pPr>
              <w:pStyle w:val="Tableboldblue"/>
            </w:pPr>
            <w:r w:rsidRPr="00BE78CA">
              <w:t>Total</w:t>
            </w:r>
          </w:p>
        </w:tc>
        <w:tc>
          <w:tcPr>
            <w:tcW w:w="1134" w:type="dxa"/>
            <w:tcBorders>
              <w:top w:val="single" w:sz="4" w:space="0" w:color="365F91"/>
              <w:bottom w:val="single" w:sz="4" w:space="0" w:color="365F91"/>
            </w:tcBorders>
            <w:shd w:val="clear" w:color="auto" w:fill="auto"/>
          </w:tcPr>
          <w:p w14:paraId="1C05BAF2" w14:textId="77777777" w:rsidR="00333601" w:rsidRPr="00BE78CA" w:rsidRDefault="00333601" w:rsidP="00C26084">
            <w:pPr>
              <w:pStyle w:val="Tableboldblue"/>
              <w:jc w:val="center"/>
              <w:rPr>
                <w:rFonts w:cs="Arial"/>
              </w:rPr>
            </w:pPr>
            <w:r w:rsidRPr="00BE78CA">
              <w:t>33,199</w:t>
            </w:r>
          </w:p>
        </w:tc>
        <w:tc>
          <w:tcPr>
            <w:tcW w:w="850" w:type="dxa"/>
            <w:tcBorders>
              <w:top w:val="single" w:sz="4" w:space="0" w:color="365F91"/>
              <w:bottom w:val="single" w:sz="4" w:space="0" w:color="365F91"/>
            </w:tcBorders>
            <w:shd w:val="clear" w:color="auto" w:fill="auto"/>
          </w:tcPr>
          <w:p w14:paraId="22E19C33" w14:textId="77777777" w:rsidR="00333601" w:rsidRPr="00BE78CA" w:rsidRDefault="00333601" w:rsidP="00C26084">
            <w:pPr>
              <w:pStyle w:val="Tableboldblue"/>
              <w:jc w:val="center"/>
              <w:rPr>
                <w:rFonts w:eastAsia="Calibri" w:cs="Arial"/>
              </w:rPr>
            </w:pPr>
            <w:r w:rsidRPr="00BE78CA">
              <w:t>7,286</w:t>
            </w:r>
          </w:p>
        </w:tc>
        <w:tc>
          <w:tcPr>
            <w:tcW w:w="709" w:type="dxa"/>
            <w:tcBorders>
              <w:top w:val="single" w:sz="4" w:space="0" w:color="365F91"/>
              <w:bottom w:val="single" w:sz="4" w:space="0" w:color="365F91"/>
            </w:tcBorders>
          </w:tcPr>
          <w:p w14:paraId="44321E0A" w14:textId="77777777" w:rsidR="00333601" w:rsidRPr="00BE78CA" w:rsidRDefault="00333601" w:rsidP="00C26084">
            <w:pPr>
              <w:pStyle w:val="Tableboldblue"/>
              <w:jc w:val="center"/>
              <w:rPr>
                <w:rFonts w:eastAsia="Calibri" w:cs="Arial"/>
              </w:rPr>
            </w:pPr>
            <w:r w:rsidRPr="00BE78CA">
              <w:t>1,096</w:t>
            </w:r>
          </w:p>
        </w:tc>
        <w:tc>
          <w:tcPr>
            <w:tcW w:w="709" w:type="dxa"/>
            <w:tcBorders>
              <w:top w:val="single" w:sz="4" w:space="0" w:color="365F91"/>
              <w:bottom w:val="single" w:sz="4" w:space="0" w:color="365F91"/>
            </w:tcBorders>
          </w:tcPr>
          <w:p w14:paraId="51B74F18" w14:textId="77777777" w:rsidR="00333601" w:rsidRPr="00BE78CA" w:rsidRDefault="00333601" w:rsidP="00C26084">
            <w:pPr>
              <w:pStyle w:val="Tableboldblue"/>
              <w:jc w:val="center"/>
              <w:rPr>
                <w:rFonts w:eastAsia="Calibri" w:cs="Arial"/>
              </w:rPr>
            </w:pPr>
            <w:r w:rsidRPr="00BE78CA">
              <w:t>478</w:t>
            </w:r>
          </w:p>
        </w:tc>
        <w:tc>
          <w:tcPr>
            <w:tcW w:w="708" w:type="dxa"/>
            <w:tcBorders>
              <w:top w:val="single" w:sz="4" w:space="0" w:color="365F91"/>
              <w:bottom w:val="single" w:sz="4" w:space="0" w:color="365F91"/>
            </w:tcBorders>
          </w:tcPr>
          <w:p w14:paraId="00622BA2" w14:textId="77777777" w:rsidR="00333601" w:rsidRPr="00BE78CA" w:rsidRDefault="00333601" w:rsidP="00C26084">
            <w:pPr>
              <w:pStyle w:val="Tableboldblue"/>
              <w:jc w:val="center"/>
              <w:rPr>
                <w:rFonts w:eastAsia="Calibri" w:cs="Arial"/>
              </w:rPr>
            </w:pPr>
            <w:r w:rsidRPr="00BE78CA">
              <w:t>646</w:t>
            </w:r>
          </w:p>
        </w:tc>
        <w:tc>
          <w:tcPr>
            <w:tcW w:w="709" w:type="dxa"/>
            <w:tcBorders>
              <w:top w:val="single" w:sz="4" w:space="0" w:color="365F91"/>
              <w:bottom w:val="single" w:sz="4" w:space="0" w:color="365F91"/>
            </w:tcBorders>
          </w:tcPr>
          <w:p w14:paraId="51308625" w14:textId="77777777" w:rsidR="00333601" w:rsidRPr="00BE78CA" w:rsidRDefault="00333601" w:rsidP="00C26084">
            <w:pPr>
              <w:pStyle w:val="Tableboldblue"/>
              <w:jc w:val="center"/>
              <w:rPr>
                <w:rFonts w:eastAsia="Calibri" w:cs="Arial"/>
              </w:rPr>
            </w:pPr>
            <w:r w:rsidRPr="00BE78CA">
              <w:t>406</w:t>
            </w:r>
          </w:p>
        </w:tc>
        <w:tc>
          <w:tcPr>
            <w:tcW w:w="709" w:type="dxa"/>
            <w:tcBorders>
              <w:top w:val="single" w:sz="4" w:space="0" w:color="365F91"/>
              <w:bottom w:val="single" w:sz="4" w:space="0" w:color="365F91"/>
            </w:tcBorders>
            <w:shd w:val="clear" w:color="auto" w:fill="auto"/>
          </w:tcPr>
          <w:p w14:paraId="4D971E4C" w14:textId="77777777" w:rsidR="00333601" w:rsidRPr="00BE78CA" w:rsidRDefault="00333601" w:rsidP="00C26084">
            <w:pPr>
              <w:pStyle w:val="Tableboldblue"/>
              <w:jc w:val="center"/>
              <w:rPr>
                <w:rFonts w:eastAsia="Calibri" w:cs="Arial"/>
              </w:rPr>
            </w:pPr>
            <w:r w:rsidRPr="00BE78CA">
              <w:t>750</w:t>
            </w:r>
          </w:p>
        </w:tc>
        <w:tc>
          <w:tcPr>
            <w:tcW w:w="709" w:type="dxa"/>
            <w:tcBorders>
              <w:top w:val="single" w:sz="4" w:space="0" w:color="365F91"/>
              <w:bottom w:val="single" w:sz="4" w:space="0" w:color="365F91"/>
            </w:tcBorders>
            <w:shd w:val="clear" w:color="auto" w:fill="auto"/>
          </w:tcPr>
          <w:p w14:paraId="39721E34" w14:textId="77777777" w:rsidR="00333601" w:rsidRPr="00BE78CA" w:rsidRDefault="00333601" w:rsidP="00C26084">
            <w:pPr>
              <w:pStyle w:val="Tableboldblue"/>
              <w:jc w:val="center"/>
              <w:rPr>
                <w:rFonts w:eastAsia="Calibri" w:cs="Arial"/>
              </w:rPr>
            </w:pPr>
            <w:r w:rsidRPr="00BE78CA">
              <w:t>750</w:t>
            </w:r>
          </w:p>
        </w:tc>
        <w:tc>
          <w:tcPr>
            <w:tcW w:w="708" w:type="dxa"/>
            <w:tcBorders>
              <w:top w:val="single" w:sz="4" w:space="0" w:color="365F91"/>
              <w:bottom w:val="single" w:sz="4" w:space="0" w:color="365F91"/>
            </w:tcBorders>
          </w:tcPr>
          <w:p w14:paraId="69FD8D80" w14:textId="77777777" w:rsidR="00333601" w:rsidRPr="00BE78CA" w:rsidRDefault="00333601" w:rsidP="00C26084">
            <w:pPr>
              <w:pStyle w:val="Tableboldblue"/>
              <w:jc w:val="center"/>
            </w:pPr>
            <w:r w:rsidRPr="00BE78CA">
              <w:t>750</w:t>
            </w:r>
          </w:p>
        </w:tc>
      </w:tr>
    </w:tbl>
    <w:p w14:paraId="5604D6A7" w14:textId="77777777" w:rsidR="00333601" w:rsidRPr="00BE78CA" w:rsidRDefault="00333601" w:rsidP="00333601">
      <w:pPr>
        <w:pStyle w:val="Noteundertable"/>
      </w:pPr>
      <w:r w:rsidRPr="00BE78CA">
        <w:rPr>
          <w:b/>
          <w:bCs/>
        </w:rPr>
        <w:t>Note</w:t>
      </w:r>
      <w:r w:rsidRPr="00BE78CA">
        <w:t>:</w:t>
      </w:r>
      <w:r w:rsidRPr="00BE78CA">
        <w:tab/>
        <w:t>P = provisional figure (all figures for 2017, 2018 and 2019 are provisional). Columns may not total due to rounding.</w:t>
      </w:r>
    </w:p>
    <w:p w14:paraId="12ABA0C2" w14:textId="77777777" w:rsidR="00333601" w:rsidRPr="00BE78CA" w:rsidRDefault="00333601" w:rsidP="00333601">
      <w:pPr>
        <w:pStyle w:val="Heading5"/>
      </w:pPr>
      <w:r w:rsidRPr="00BE78CA">
        <w:t>Pre-1990 planted forest</w:t>
      </w:r>
    </w:p>
    <w:p w14:paraId="5D42EF04" w14:textId="77777777" w:rsidR="00333601" w:rsidRPr="00BE78CA" w:rsidRDefault="00333601" w:rsidP="00333601">
      <w:pPr>
        <w:pStyle w:val="BodyText"/>
      </w:pPr>
      <w:r w:rsidRPr="00BE78CA">
        <w:t xml:space="preserve">Deforestation emissions for pre-1990 planted forest are calculated based, where possible, on the planting date from Ministry for Primary Industries’ Emissions Trading Scheme data and/or estimated from historical imagery. In the absence of date information, the deforestation age is based on the average age at which the forests are harvested, which is derived from the National Exotic Forest Description (NEFD) (Ministry for Primary Industries, 2019b). In the absence of historical imagery deforestation, area estimates from the Deforestation Intentions Survey are used (Manley, 2019). </w:t>
      </w:r>
    </w:p>
    <w:p w14:paraId="6BD863A9" w14:textId="77777777" w:rsidR="00333601" w:rsidRPr="00BE78CA" w:rsidRDefault="00333601" w:rsidP="00333601">
      <w:pPr>
        <w:pStyle w:val="Heading5"/>
      </w:pPr>
      <w:r w:rsidRPr="00BE78CA">
        <w:t>Post-1989 planted forest</w:t>
      </w:r>
    </w:p>
    <w:p w14:paraId="67744A38" w14:textId="77777777" w:rsidR="00333601" w:rsidRPr="00BE78CA" w:rsidRDefault="00333601" w:rsidP="00333601">
      <w:pPr>
        <w:pStyle w:val="BodyText"/>
      </w:pPr>
      <w:r w:rsidRPr="00BE78CA">
        <w:t>Harvest and deforestation in post-1989 planted forests include a small area of short rotation crops and the harvest of longer rotation crops up to the maximum age of 29 years in 2019. The harvest age profile in post-1989 forests is derived from the NEFD (Ministry for Primary Industries, 2019b).</w:t>
      </w:r>
    </w:p>
    <w:p w14:paraId="7350420C" w14:textId="77777777" w:rsidR="00333601" w:rsidRPr="00BE78CA" w:rsidRDefault="00333601" w:rsidP="00333601">
      <w:pPr>
        <w:pStyle w:val="Heading5"/>
      </w:pPr>
      <w:r w:rsidRPr="00BE78CA">
        <w:t>Post-1989 natural forest</w:t>
      </w:r>
    </w:p>
    <w:p w14:paraId="6902C24A" w14:textId="77777777" w:rsidR="00333601" w:rsidRPr="00BE78CA" w:rsidRDefault="00333601" w:rsidP="00333601">
      <w:pPr>
        <w:pStyle w:val="BodyText"/>
      </w:pPr>
      <w:r w:rsidRPr="00BE78CA">
        <w:t xml:space="preserve">No data are available on the deforestation profile of post-1989 natural forests between 1990 and 2007 and, as a result, the total area of deforestation detected over this period is allocated evenly across these years. The rate of pre-1990 and post-1989 natural forest deforestation has been confirmed between 2008 and 2016 through satellite image mapping of deforestation. </w:t>
      </w:r>
    </w:p>
    <w:p w14:paraId="29E47B82" w14:textId="77777777" w:rsidR="00333601" w:rsidRPr="00BE78CA" w:rsidRDefault="00333601" w:rsidP="00333601">
      <w:pPr>
        <w:pStyle w:val="Heading4"/>
      </w:pPr>
      <w:r w:rsidRPr="00BE78CA">
        <w:lastRenderedPageBreak/>
        <w:t>Calculation of national emission estimates</w:t>
      </w:r>
      <w:bookmarkEnd w:id="1244"/>
      <w:bookmarkEnd w:id="1245"/>
      <w:bookmarkEnd w:id="1246"/>
      <w:bookmarkEnd w:id="1247"/>
    </w:p>
    <w:p w14:paraId="3D62EFE9" w14:textId="77777777" w:rsidR="00333601" w:rsidRPr="00BE78CA" w:rsidRDefault="00333601" w:rsidP="00333601">
      <w:pPr>
        <w:pStyle w:val="BodyText"/>
      </w:pPr>
      <w:r w:rsidRPr="00BE78CA">
        <w:t xml:space="preserve">To calculate emissions for the New Zealand LULUCF sector, the following data are used: </w:t>
      </w:r>
    </w:p>
    <w:p w14:paraId="179A94A4" w14:textId="77777777" w:rsidR="00333601" w:rsidRPr="00BE78CA" w:rsidRDefault="00333601" w:rsidP="00FA2314">
      <w:pPr>
        <w:pStyle w:val="Bullet"/>
        <w:numPr>
          <w:ilvl w:val="0"/>
          <w:numId w:val="25"/>
        </w:numPr>
      </w:pPr>
      <w:r w:rsidRPr="00BE78CA">
        <w:t>land use and land-use change area data from 1962 to 1989, which provide land in a transition state as at 1990 for each land use</w:t>
      </w:r>
    </w:p>
    <w:p w14:paraId="204506A3" w14:textId="77777777" w:rsidR="00333601" w:rsidRPr="00BE78CA" w:rsidRDefault="00333601" w:rsidP="00FA2314">
      <w:pPr>
        <w:pStyle w:val="Bullet"/>
        <w:numPr>
          <w:ilvl w:val="0"/>
          <w:numId w:val="25"/>
        </w:numPr>
      </w:pPr>
      <w:r w:rsidRPr="00BE78CA">
        <w:t>annual land use and land-use change area data from 1990 to 2019 (see section 6.2)</w:t>
      </w:r>
    </w:p>
    <w:p w14:paraId="131C5164" w14:textId="77777777" w:rsidR="00333601" w:rsidRPr="00BE78CA" w:rsidRDefault="00333601" w:rsidP="00FA2314">
      <w:pPr>
        <w:pStyle w:val="Bullet"/>
        <w:numPr>
          <w:ilvl w:val="0"/>
          <w:numId w:val="25"/>
        </w:numPr>
      </w:pPr>
      <w:r w:rsidRPr="00BE78CA">
        <w:t>biomass carbon stocks per hectare prior to land-use conversion, and annual growth in biomass carbon stocks per hectare following conversion (see tables 6.1.3 and 6.1.4)</w:t>
      </w:r>
    </w:p>
    <w:p w14:paraId="406B2951" w14:textId="77777777" w:rsidR="00333601" w:rsidRPr="00BE78CA" w:rsidRDefault="00333601" w:rsidP="00FA2314">
      <w:pPr>
        <w:pStyle w:val="Bullet"/>
        <w:numPr>
          <w:ilvl w:val="0"/>
          <w:numId w:val="25"/>
        </w:numPr>
      </w:pPr>
      <w:r w:rsidRPr="00BE78CA">
        <w:t xml:space="preserve">estimates of planted forest harvest area and harvest age class distribution (see section 6.2) </w:t>
      </w:r>
    </w:p>
    <w:p w14:paraId="6A1CE6E8" w14:textId="77777777" w:rsidR="00333601" w:rsidRPr="00BE78CA" w:rsidRDefault="00333601" w:rsidP="00FA2314">
      <w:pPr>
        <w:pStyle w:val="Bullet"/>
        <w:numPr>
          <w:ilvl w:val="0"/>
          <w:numId w:val="25"/>
        </w:numPr>
      </w:pPr>
      <w:r w:rsidRPr="00BE78CA">
        <w:t>a forest age profile for pre-1990 planted forests and post-1989 planted forests</w:t>
      </w:r>
    </w:p>
    <w:p w14:paraId="71D3545B" w14:textId="77777777" w:rsidR="00333601" w:rsidRPr="00BE78CA" w:rsidRDefault="00333601" w:rsidP="00FA2314">
      <w:pPr>
        <w:pStyle w:val="Bullet"/>
        <w:numPr>
          <w:ilvl w:val="0"/>
          <w:numId w:val="25"/>
        </w:numPr>
      </w:pPr>
      <w:r w:rsidRPr="00BE78CA">
        <w:t>age-based biomass carbon yield tables for pre-1990 planted forests and post-1989 forests (see section 6.4.2)</w:t>
      </w:r>
    </w:p>
    <w:p w14:paraId="53580D7C" w14:textId="77777777" w:rsidR="00333601" w:rsidRPr="00BE78CA" w:rsidRDefault="00333601" w:rsidP="00FA2314">
      <w:pPr>
        <w:pStyle w:val="Bullet"/>
        <w:numPr>
          <w:ilvl w:val="0"/>
          <w:numId w:val="25"/>
        </w:numPr>
      </w:pPr>
      <w:r w:rsidRPr="00BE78CA">
        <w:t>growth increment for pre-1990 natural forest (see section 6.4.2)</w:t>
      </w:r>
    </w:p>
    <w:p w14:paraId="740A3392" w14:textId="77777777" w:rsidR="00333601" w:rsidRPr="00BE78CA" w:rsidRDefault="00333601" w:rsidP="00FA2314">
      <w:pPr>
        <w:pStyle w:val="Bullet"/>
        <w:numPr>
          <w:ilvl w:val="0"/>
          <w:numId w:val="25"/>
        </w:numPr>
      </w:pPr>
      <w:r w:rsidRPr="00BE78CA">
        <w:t>emission factors and country-level activity data on biomass burning (see section 6.11.5)</w:t>
      </w:r>
    </w:p>
    <w:p w14:paraId="46696CF6" w14:textId="77777777" w:rsidR="00333601" w:rsidRPr="00BE78CA" w:rsidRDefault="00333601" w:rsidP="00FA2314">
      <w:pPr>
        <w:pStyle w:val="Bullet"/>
        <w:numPr>
          <w:ilvl w:val="0"/>
          <w:numId w:val="25"/>
        </w:numPr>
      </w:pPr>
      <w:r w:rsidRPr="00BE78CA">
        <w:t>IPCC default conversion factors for converting C to CO</w:t>
      </w:r>
      <w:r w:rsidRPr="00BE78CA">
        <w:rPr>
          <w:vertAlign w:val="subscript"/>
        </w:rPr>
        <w:t>2</w:t>
      </w:r>
      <w:r w:rsidRPr="00BE78CA">
        <w:t xml:space="preserve">. </w:t>
      </w:r>
    </w:p>
    <w:p w14:paraId="5585FC32" w14:textId="77777777" w:rsidR="00333601" w:rsidRPr="00BE78CA" w:rsidRDefault="00333601" w:rsidP="00333601">
      <w:pPr>
        <w:pStyle w:val="BodyText"/>
        <w:spacing w:after="0"/>
      </w:pPr>
      <w:r w:rsidRPr="00BE78CA">
        <w:t>The formula used to calculate emissions from biomass changes on land-use conversion is:</w:t>
      </w:r>
    </w:p>
    <w:tbl>
      <w:tblPr>
        <w:tblW w:w="7700" w:type="dxa"/>
        <w:jc w:val="center"/>
        <w:tblLayout w:type="fixed"/>
        <w:tblCellMar>
          <w:left w:w="28" w:type="dxa"/>
          <w:right w:w="28" w:type="dxa"/>
        </w:tblCellMar>
        <w:tblLook w:val="04A0" w:firstRow="1" w:lastRow="0" w:firstColumn="1" w:lastColumn="0" w:noHBand="0" w:noVBand="1"/>
      </w:tblPr>
      <w:tblGrid>
        <w:gridCol w:w="310"/>
        <w:gridCol w:w="1420"/>
        <w:gridCol w:w="283"/>
        <w:gridCol w:w="1134"/>
        <w:gridCol w:w="284"/>
        <w:gridCol w:w="290"/>
        <w:gridCol w:w="284"/>
        <w:gridCol w:w="1694"/>
        <w:gridCol w:w="290"/>
        <w:gridCol w:w="992"/>
        <w:gridCol w:w="284"/>
        <w:gridCol w:w="435"/>
      </w:tblGrid>
      <w:tr w:rsidR="00333601" w:rsidRPr="00BE78CA" w14:paraId="67A42E16" w14:textId="77777777" w:rsidTr="00C26084">
        <w:trPr>
          <w:trHeight w:val="1130"/>
          <w:jc w:val="center"/>
        </w:trPr>
        <w:tc>
          <w:tcPr>
            <w:tcW w:w="310" w:type="dxa"/>
            <w:vAlign w:val="center"/>
          </w:tcPr>
          <w:p w14:paraId="1028FA69" w14:textId="77777777" w:rsidR="00333601" w:rsidRPr="00BE78CA" w:rsidRDefault="00333601" w:rsidP="00C26084">
            <w:pPr>
              <w:spacing w:after="120"/>
              <w:rPr>
                <w:rFonts w:cs="Calibri"/>
                <w:sz w:val="144"/>
                <w:szCs w:val="144"/>
              </w:rPr>
            </w:pPr>
            <w:r w:rsidRPr="00BE78CA">
              <w:rPr>
                <w:rFonts w:cs="Calibri"/>
                <w:sz w:val="56"/>
                <w:szCs w:val="144"/>
              </w:rPr>
              <w:t>(</w:t>
            </w:r>
          </w:p>
        </w:tc>
        <w:tc>
          <w:tcPr>
            <w:tcW w:w="1420" w:type="dxa"/>
            <w:vAlign w:val="center"/>
          </w:tcPr>
          <w:p w14:paraId="0F1B455F" w14:textId="77777777" w:rsidR="00333601" w:rsidRPr="00BE78CA" w:rsidRDefault="00333601" w:rsidP="00C26084">
            <w:pPr>
              <w:spacing w:after="120"/>
              <w:jc w:val="center"/>
              <w:rPr>
                <w:rFonts w:cs="Calibri"/>
                <w:i/>
                <w:sz w:val="18"/>
              </w:rPr>
            </w:pPr>
            <w:r w:rsidRPr="00BE78CA">
              <w:rPr>
                <w:rFonts w:cs="Calibri"/>
                <w:i/>
                <w:sz w:val="18"/>
              </w:rPr>
              <w:t>Loss of biomass present in previous crop</w:t>
            </w:r>
          </w:p>
        </w:tc>
        <w:tc>
          <w:tcPr>
            <w:tcW w:w="283" w:type="dxa"/>
            <w:vAlign w:val="center"/>
          </w:tcPr>
          <w:p w14:paraId="2440FBF8" w14:textId="77777777" w:rsidR="00333601" w:rsidRPr="00BE78CA" w:rsidRDefault="00333601" w:rsidP="00C26084">
            <w:pPr>
              <w:spacing w:after="120"/>
              <w:rPr>
                <w:rFonts w:cs="Calibri"/>
                <w:i/>
                <w:sz w:val="18"/>
              </w:rPr>
            </w:pPr>
            <w:r w:rsidRPr="00BE78CA">
              <w:rPr>
                <w:rFonts w:cs="Calibri"/>
                <w:i/>
                <w:sz w:val="18"/>
              </w:rPr>
              <w:t xml:space="preserve"> ×</w:t>
            </w:r>
          </w:p>
        </w:tc>
        <w:tc>
          <w:tcPr>
            <w:tcW w:w="1134" w:type="dxa"/>
            <w:vAlign w:val="center"/>
          </w:tcPr>
          <w:p w14:paraId="6C0F243F" w14:textId="77777777" w:rsidR="00333601" w:rsidRPr="00BE78CA" w:rsidRDefault="00333601" w:rsidP="00C26084">
            <w:pPr>
              <w:spacing w:after="120"/>
              <w:jc w:val="center"/>
              <w:rPr>
                <w:rFonts w:cs="Calibri"/>
                <w:i/>
                <w:sz w:val="18"/>
              </w:rPr>
            </w:pPr>
            <w:r w:rsidRPr="00BE78CA">
              <w:rPr>
                <w:rFonts w:cs="Calibri"/>
                <w:i/>
                <w:sz w:val="18"/>
              </w:rPr>
              <w:t>Activity data (Area)</w:t>
            </w:r>
          </w:p>
        </w:tc>
        <w:tc>
          <w:tcPr>
            <w:tcW w:w="284" w:type="dxa"/>
            <w:vAlign w:val="center"/>
          </w:tcPr>
          <w:p w14:paraId="1BEE65D9" w14:textId="77777777" w:rsidR="00333601" w:rsidRPr="00BE78CA" w:rsidRDefault="00333601" w:rsidP="00C26084">
            <w:pPr>
              <w:spacing w:after="120"/>
              <w:rPr>
                <w:rFonts w:cs="Calibri"/>
                <w:i/>
              </w:rPr>
            </w:pPr>
            <w:r w:rsidRPr="00BE78CA">
              <w:rPr>
                <w:rFonts w:cs="Calibri"/>
                <w:sz w:val="56"/>
                <w:szCs w:val="144"/>
              </w:rPr>
              <w:t>)</w:t>
            </w:r>
          </w:p>
        </w:tc>
        <w:tc>
          <w:tcPr>
            <w:tcW w:w="290" w:type="dxa"/>
            <w:vAlign w:val="center"/>
          </w:tcPr>
          <w:p w14:paraId="23C5EB1C" w14:textId="77777777" w:rsidR="00333601" w:rsidRPr="00BE78CA" w:rsidRDefault="00333601" w:rsidP="00C26084">
            <w:pPr>
              <w:spacing w:after="120"/>
              <w:rPr>
                <w:rFonts w:cs="Calibri"/>
                <w:i/>
              </w:rPr>
            </w:pPr>
            <w:r w:rsidRPr="00BE78CA">
              <w:rPr>
                <w:rFonts w:cs="Calibri"/>
                <w:i/>
              </w:rPr>
              <w:t>+</w:t>
            </w:r>
          </w:p>
        </w:tc>
        <w:tc>
          <w:tcPr>
            <w:tcW w:w="284" w:type="dxa"/>
            <w:vAlign w:val="center"/>
          </w:tcPr>
          <w:p w14:paraId="7AD94A44" w14:textId="77777777" w:rsidR="00333601" w:rsidRPr="00BE78CA" w:rsidRDefault="00333601" w:rsidP="00C26084">
            <w:pPr>
              <w:spacing w:after="120"/>
              <w:rPr>
                <w:rFonts w:cs="Calibri"/>
                <w:i/>
              </w:rPr>
            </w:pPr>
            <w:r w:rsidRPr="00BE78CA">
              <w:rPr>
                <w:rFonts w:cs="Calibri"/>
                <w:sz w:val="56"/>
                <w:szCs w:val="144"/>
              </w:rPr>
              <w:t>(</w:t>
            </w:r>
          </w:p>
        </w:tc>
        <w:tc>
          <w:tcPr>
            <w:tcW w:w="1694" w:type="dxa"/>
            <w:vAlign w:val="center"/>
          </w:tcPr>
          <w:p w14:paraId="7D02FC46" w14:textId="77777777" w:rsidR="00333601" w:rsidRPr="00BE78CA" w:rsidRDefault="00333601" w:rsidP="00C26084">
            <w:pPr>
              <w:spacing w:after="120"/>
              <w:jc w:val="center"/>
              <w:rPr>
                <w:rFonts w:cs="Calibri"/>
                <w:i/>
                <w:sz w:val="18"/>
              </w:rPr>
            </w:pPr>
            <w:r w:rsidRPr="00BE78CA">
              <w:rPr>
                <w:rFonts w:cs="Calibri"/>
                <w:i/>
                <w:sz w:val="18"/>
              </w:rPr>
              <w:t>Annual growth in biomass carbon stocks in new land use</w:t>
            </w:r>
          </w:p>
        </w:tc>
        <w:tc>
          <w:tcPr>
            <w:tcW w:w="290" w:type="dxa"/>
            <w:vAlign w:val="center"/>
          </w:tcPr>
          <w:p w14:paraId="76950715" w14:textId="77777777" w:rsidR="00333601" w:rsidRPr="00BE78CA" w:rsidRDefault="00333601" w:rsidP="00C26084">
            <w:pPr>
              <w:spacing w:after="120"/>
              <w:jc w:val="center"/>
              <w:rPr>
                <w:rFonts w:cs="Calibri"/>
                <w:i/>
                <w:sz w:val="18"/>
              </w:rPr>
            </w:pPr>
            <w:r w:rsidRPr="00BE78CA">
              <w:rPr>
                <w:rFonts w:cs="Calibri"/>
                <w:i/>
                <w:sz w:val="18"/>
              </w:rPr>
              <w:t>×</w:t>
            </w:r>
          </w:p>
        </w:tc>
        <w:tc>
          <w:tcPr>
            <w:tcW w:w="992" w:type="dxa"/>
            <w:vAlign w:val="center"/>
          </w:tcPr>
          <w:p w14:paraId="4E3DA1FF" w14:textId="77777777" w:rsidR="00333601" w:rsidRPr="00BE78CA" w:rsidRDefault="00333601" w:rsidP="00C26084">
            <w:pPr>
              <w:spacing w:before="120" w:after="120"/>
              <w:jc w:val="center"/>
              <w:rPr>
                <w:rFonts w:cs="Calibri"/>
                <w:i/>
                <w:iCs/>
                <w:sz w:val="18"/>
              </w:rPr>
            </w:pPr>
            <w:r w:rsidRPr="00BE78CA">
              <w:rPr>
                <w:rFonts w:cs="Calibri"/>
                <w:i/>
                <w:iCs/>
                <w:sz w:val="18"/>
              </w:rPr>
              <w:t>Activity data (Area)</w:t>
            </w:r>
          </w:p>
        </w:tc>
        <w:tc>
          <w:tcPr>
            <w:tcW w:w="284" w:type="dxa"/>
            <w:vAlign w:val="center"/>
          </w:tcPr>
          <w:p w14:paraId="2D7C86BC" w14:textId="77777777" w:rsidR="00333601" w:rsidRPr="00BE78CA" w:rsidRDefault="00333601" w:rsidP="00C26084">
            <w:pPr>
              <w:spacing w:after="120"/>
              <w:jc w:val="center"/>
              <w:rPr>
                <w:rFonts w:cs="Calibri"/>
                <w:i/>
              </w:rPr>
            </w:pPr>
            <w:r w:rsidRPr="00BE78CA">
              <w:rPr>
                <w:rFonts w:cs="Calibri"/>
                <w:sz w:val="56"/>
                <w:szCs w:val="144"/>
              </w:rPr>
              <w:t>)</w:t>
            </w:r>
          </w:p>
        </w:tc>
        <w:tc>
          <w:tcPr>
            <w:tcW w:w="435" w:type="dxa"/>
          </w:tcPr>
          <w:p w14:paraId="1D499EA2" w14:textId="77777777" w:rsidR="00333601" w:rsidRPr="00BE78CA" w:rsidRDefault="00333601" w:rsidP="00C26084">
            <w:pPr>
              <w:pStyle w:val="BodyText"/>
              <w:spacing w:after="0"/>
            </w:pPr>
          </w:p>
          <w:p w14:paraId="2C577981" w14:textId="77777777" w:rsidR="00333601" w:rsidRPr="00BE78CA" w:rsidRDefault="00333601" w:rsidP="00C26084">
            <w:pPr>
              <w:spacing w:after="120"/>
              <w:rPr>
                <w:rFonts w:cs="Calibri"/>
                <w:i/>
              </w:rPr>
            </w:pPr>
          </w:p>
          <w:p w14:paraId="32DD1CBC" w14:textId="77777777" w:rsidR="00333601" w:rsidRPr="00BE78CA" w:rsidRDefault="00333601" w:rsidP="00C26084">
            <w:pPr>
              <w:spacing w:after="120"/>
              <w:rPr>
                <w:rFonts w:cs="Calibri"/>
                <w:sz w:val="56"/>
                <w:szCs w:val="144"/>
              </w:rPr>
            </w:pPr>
            <w:r w:rsidRPr="00BE78CA">
              <w:rPr>
                <w:rFonts w:cs="Calibri"/>
                <w:i/>
              </w:rPr>
              <w:t>(1)</w:t>
            </w:r>
          </w:p>
        </w:tc>
      </w:tr>
    </w:tbl>
    <w:p w14:paraId="2089015F" w14:textId="77777777" w:rsidR="00333601" w:rsidRPr="00BE78CA" w:rsidRDefault="00333601" w:rsidP="00333601">
      <w:pPr>
        <w:pStyle w:val="BodyText"/>
        <w:spacing w:before="240" w:after="240"/>
      </w:pPr>
      <w:r w:rsidRPr="00BE78CA">
        <w:t xml:space="preserve">The formula used to calculate emissions from mineral soil changes on land-use conversion is: </w:t>
      </w:r>
    </w:p>
    <w:tbl>
      <w:tblPr>
        <w:tblW w:w="7479" w:type="dxa"/>
        <w:jc w:val="center"/>
        <w:tblLayout w:type="fixed"/>
        <w:tblLook w:val="04A0" w:firstRow="1" w:lastRow="0" w:firstColumn="1" w:lastColumn="0" w:noHBand="0" w:noVBand="1"/>
      </w:tblPr>
      <w:tblGrid>
        <w:gridCol w:w="2093"/>
        <w:gridCol w:w="425"/>
        <w:gridCol w:w="2268"/>
        <w:gridCol w:w="284"/>
        <w:gridCol w:w="425"/>
        <w:gridCol w:w="850"/>
        <w:gridCol w:w="426"/>
        <w:gridCol w:w="708"/>
      </w:tblGrid>
      <w:tr w:rsidR="00333601" w:rsidRPr="00BE78CA" w14:paraId="3F864DDC" w14:textId="77777777" w:rsidTr="00C26084">
        <w:trPr>
          <w:jc w:val="center"/>
        </w:trPr>
        <w:tc>
          <w:tcPr>
            <w:tcW w:w="2093" w:type="dxa"/>
          </w:tcPr>
          <w:p w14:paraId="43066B42" w14:textId="77777777" w:rsidR="00333601" w:rsidRPr="00BE78CA" w:rsidRDefault="00333601" w:rsidP="00C26084">
            <w:pPr>
              <w:spacing w:after="120"/>
              <w:jc w:val="center"/>
              <w:rPr>
                <w:rFonts w:cs="Calibri"/>
                <w:i/>
                <w:sz w:val="18"/>
              </w:rPr>
            </w:pPr>
            <w:r w:rsidRPr="00BE78CA">
              <w:rPr>
                <w:rFonts w:cs="Calibri"/>
                <w:i/>
                <w:sz w:val="18"/>
              </w:rPr>
              <w:t>Mineral soil carbon at steady state in the new land use</w:t>
            </w:r>
          </w:p>
        </w:tc>
        <w:tc>
          <w:tcPr>
            <w:tcW w:w="425" w:type="dxa"/>
            <w:vAlign w:val="center"/>
          </w:tcPr>
          <w:p w14:paraId="684DA355" w14:textId="77777777" w:rsidR="00333601" w:rsidRPr="00BE78CA" w:rsidRDefault="00333601" w:rsidP="00C26084">
            <w:pPr>
              <w:spacing w:after="120"/>
              <w:jc w:val="center"/>
              <w:rPr>
                <w:rFonts w:cs="Calibri"/>
                <w:i/>
                <w:sz w:val="18"/>
              </w:rPr>
            </w:pPr>
            <w:r w:rsidRPr="00BE78CA">
              <w:rPr>
                <w:rFonts w:cs="Calibri"/>
                <w:i/>
                <w:sz w:val="18"/>
              </w:rPr>
              <w:t>—</w:t>
            </w:r>
          </w:p>
        </w:tc>
        <w:tc>
          <w:tcPr>
            <w:tcW w:w="2268" w:type="dxa"/>
          </w:tcPr>
          <w:p w14:paraId="057FE45A" w14:textId="77777777" w:rsidR="00333601" w:rsidRPr="00BE78CA" w:rsidRDefault="00333601" w:rsidP="00C26084">
            <w:pPr>
              <w:spacing w:after="120"/>
              <w:jc w:val="center"/>
              <w:rPr>
                <w:rFonts w:cs="Calibri"/>
                <w:i/>
                <w:sz w:val="18"/>
              </w:rPr>
            </w:pPr>
            <w:r w:rsidRPr="00BE78CA">
              <w:rPr>
                <w:rFonts w:cs="Calibri"/>
                <w:i/>
                <w:sz w:val="18"/>
              </w:rPr>
              <w:t>Mineral soil carbon at steady state in the previous land use</w:t>
            </w:r>
          </w:p>
        </w:tc>
        <w:tc>
          <w:tcPr>
            <w:tcW w:w="284" w:type="dxa"/>
            <w:vMerge w:val="restart"/>
            <w:vAlign w:val="center"/>
          </w:tcPr>
          <w:p w14:paraId="1667F676" w14:textId="77777777" w:rsidR="00333601" w:rsidRPr="00BE78CA" w:rsidRDefault="00333601" w:rsidP="00C26084">
            <w:pPr>
              <w:spacing w:after="120"/>
              <w:jc w:val="center"/>
              <w:rPr>
                <w:rFonts w:cs="Calibri"/>
                <w:i/>
                <w:sz w:val="18"/>
              </w:rPr>
            </w:pPr>
            <w:r w:rsidRPr="00BE78CA">
              <w:rPr>
                <w:rFonts w:cs="Calibri"/>
                <w:i/>
                <w:sz w:val="18"/>
              </w:rPr>
              <w:t>×</w:t>
            </w:r>
          </w:p>
        </w:tc>
        <w:tc>
          <w:tcPr>
            <w:tcW w:w="425" w:type="dxa"/>
            <w:vMerge w:val="restart"/>
            <w:vAlign w:val="center"/>
          </w:tcPr>
          <w:p w14:paraId="2D66D553" w14:textId="77777777" w:rsidR="00333601" w:rsidRPr="00BE78CA" w:rsidRDefault="00333601" w:rsidP="00C26084">
            <w:pPr>
              <w:spacing w:after="120"/>
              <w:jc w:val="center"/>
              <w:rPr>
                <w:rFonts w:cs="Calibri"/>
                <w:i/>
                <w:sz w:val="18"/>
              </w:rPr>
            </w:pPr>
            <w:r w:rsidRPr="00BE78CA">
              <w:rPr>
                <w:rFonts w:cs="Calibri"/>
                <w:sz w:val="56"/>
                <w:szCs w:val="144"/>
              </w:rPr>
              <w:t>(</w:t>
            </w:r>
          </w:p>
        </w:tc>
        <w:tc>
          <w:tcPr>
            <w:tcW w:w="850" w:type="dxa"/>
            <w:vMerge w:val="restart"/>
            <w:vAlign w:val="center"/>
          </w:tcPr>
          <w:p w14:paraId="5D129D6E" w14:textId="77777777" w:rsidR="00333601" w:rsidRPr="00BE78CA" w:rsidRDefault="00333601" w:rsidP="00C26084">
            <w:pPr>
              <w:spacing w:after="120"/>
              <w:jc w:val="center"/>
              <w:rPr>
                <w:rFonts w:cs="Calibri"/>
                <w:i/>
                <w:sz w:val="18"/>
              </w:rPr>
            </w:pPr>
            <w:r w:rsidRPr="00BE78CA">
              <w:rPr>
                <w:rFonts w:cs="Calibri"/>
                <w:i/>
                <w:sz w:val="18"/>
              </w:rPr>
              <w:t>Activity data (Area)</w:t>
            </w:r>
          </w:p>
        </w:tc>
        <w:tc>
          <w:tcPr>
            <w:tcW w:w="426" w:type="dxa"/>
            <w:vMerge w:val="restart"/>
            <w:vAlign w:val="center"/>
          </w:tcPr>
          <w:p w14:paraId="2E2E5B5B" w14:textId="77777777" w:rsidR="00333601" w:rsidRPr="00BE78CA" w:rsidRDefault="00333601" w:rsidP="00C26084">
            <w:pPr>
              <w:spacing w:after="120"/>
              <w:jc w:val="center"/>
              <w:rPr>
                <w:rFonts w:cs="Calibri"/>
                <w:i/>
                <w:sz w:val="18"/>
              </w:rPr>
            </w:pPr>
            <w:r w:rsidRPr="00BE78CA">
              <w:rPr>
                <w:rFonts w:cs="Calibri"/>
                <w:sz w:val="56"/>
                <w:szCs w:val="144"/>
              </w:rPr>
              <w:t>)</w:t>
            </w:r>
          </w:p>
        </w:tc>
        <w:tc>
          <w:tcPr>
            <w:tcW w:w="708" w:type="dxa"/>
            <w:vMerge w:val="restart"/>
            <w:vAlign w:val="center"/>
          </w:tcPr>
          <w:p w14:paraId="43737618" w14:textId="77777777" w:rsidR="00333601" w:rsidRPr="00BE78CA" w:rsidRDefault="00333601" w:rsidP="00C26084">
            <w:pPr>
              <w:spacing w:after="120"/>
              <w:jc w:val="right"/>
              <w:rPr>
                <w:rFonts w:cs="Calibri"/>
                <w:sz w:val="56"/>
                <w:szCs w:val="144"/>
              </w:rPr>
            </w:pPr>
            <w:r w:rsidRPr="00BE78CA">
              <w:rPr>
                <w:rFonts w:cs="Calibri"/>
                <w:i/>
              </w:rPr>
              <w:t>(2)</w:t>
            </w:r>
          </w:p>
        </w:tc>
      </w:tr>
      <w:tr w:rsidR="00333601" w:rsidRPr="00BE78CA" w14:paraId="231C98E8" w14:textId="77777777" w:rsidTr="00C26084">
        <w:trPr>
          <w:trHeight w:val="99"/>
          <w:jc w:val="center"/>
        </w:trPr>
        <w:tc>
          <w:tcPr>
            <w:tcW w:w="4786" w:type="dxa"/>
            <w:gridSpan w:val="3"/>
          </w:tcPr>
          <w:p w14:paraId="1E65D447" w14:textId="77777777" w:rsidR="00333601" w:rsidRPr="00BE78CA" w:rsidRDefault="00333601" w:rsidP="00C26084">
            <w:pPr>
              <w:jc w:val="center"/>
              <w:rPr>
                <w:rFonts w:cs="Calibri"/>
                <w:i/>
                <w:sz w:val="18"/>
                <w:szCs w:val="16"/>
              </w:rPr>
            </w:pPr>
            <w:r w:rsidRPr="00BE78CA">
              <w:rPr>
                <w:rFonts w:cs="Calibri"/>
                <w:i/>
                <w:sz w:val="18"/>
                <w:szCs w:val="16"/>
              </w:rPr>
              <w:t>________________________________________________</w:t>
            </w:r>
          </w:p>
        </w:tc>
        <w:tc>
          <w:tcPr>
            <w:tcW w:w="284" w:type="dxa"/>
            <w:vMerge/>
          </w:tcPr>
          <w:p w14:paraId="438D7C16" w14:textId="77777777" w:rsidR="00333601" w:rsidRPr="00BE78CA" w:rsidRDefault="00333601" w:rsidP="00C26084">
            <w:pPr>
              <w:jc w:val="center"/>
              <w:rPr>
                <w:rFonts w:cs="Calibri"/>
                <w:i/>
                <w:sz w:val="18"/>
              </w:rPr>
            </w:pPr>
          </w:p>
        </w:tc>
        <w:tc>
          <w:tcPr>
            <w:tcW w:w="425" w:type="dxa"/>
            <w:vMerge/>
          </w:tcPr>
          <w:p w14:paraId="25DE3F18" w14:textId="77777777" w:rsidR="00333601" w:rsidRPr="00BE78CA" w:rsidRDefault="00333601" w:rsidP="00C26084">
            <w:pPr>
              <w:jc w:val="center"/>
              <w:rPr>
                <w:rFonts w:cs="Calibri"/>
                <w:i/>
                <w:sz w:val="18"/>
              </w:rPr>
            </w:pPr>
          </w:p>
        </w:tc>
        <w:tc>
          <w:tcPr>
            <w:tcW w:w="850" w:type="dxa"/>
            <w:vMerge/>
          </w:tcPr>
          <w:p w14:paraId="5A275329" w14:textId="77777777" w:rsidR="00333601" w:rsidRPr="00BE78CA" w:rsidRDefault="00333601" w:rsidP="00C26084">
            <w:pPr>
              <w:jc w:val="center"/>
              <w:rPr>
                <w:rFonts w:cs="Calibri"/>
                <w:i/>
                <w:sz w:val="18"/>
              </w:rPr>
            </w:pPr>
          </w:p>
        </w:tc>
        <w:tc>
          <w:tcPr>
            <w:tcW w:w="426" w:type="dxa"/>
            <w:vMerge/>
          </w:tcPr>
          <w:p w14:paraId="31AE24C3" w14:textId="77777777" w:rsidR="00333601" w:rsidRPr="00BE78CA" w:rsidRDefault="00333601" w:rsidP="00C26084">
            <w:pPr>
              <w:jc w:val="center"/>
              <w:rPr>
                <w:rFonts w:cs="Calibri"/>
                <w:i/>
                <w:sz w:val="18"/>
              </w:rPr>
            </w:pPr>
          </w:p>
        </w:tc>
        <w:tc>
          <w:tcPr>
            <w:tcW w:w="708" w:type="dxa"/>
            <w:vMerge/>
          </w:tcPr>
          <w:p w14:paraId="00C510A7" w14:textId="77777777" w:rsidR="00333601" w:rsidRPr="00BE78CA" w:rsidRDefault="00333601" w:rsidP="00C26084">
            <w:pPr>
              <w:jc w:val="center"/>
              <w:rPr>
                <w:rFonts w:cs="Calibri"/>
                <w:i/>
                <w:sz w:val="18"/>
              </w:rPr>
            </w:pPr>
          </w:p>
        </w:tc>
      </w:tr>
      <w:tr w:rsidR="00333601" w:rsidRPr="00BE78CA" w14:paraId="6CED5260" w14:textId="77777777" w:rsidTr="00C26084">
        <w:trPr>
          <w:jc w:val="center"/>
        </w:trPr>
        <w:tc>
          <w:tcPr>
            <w:tcW w:w="4786" w:type="dxa"/>
            <w:gridSpan w:val="3"/>
            <w:vAlign w:val="bottom"/>
          </w:tcPr>
          <w:p w14:paraId="1B22C5A4" w14:textId="77777777" w:rsidR="00333601" w:rsidRPr="00BE78CA" w:rsidRDefault="00333601" w:rsidP="00C26084">
            <w:pPr>
              <w:spacing w:before="120" w:after="120"/>
              <w:jc w:val="center"/>
              <w:rPr>
                <w:rFonts w:cs="Calibri"/>
                <w:i/>
                <w:sz w:val="18"/>
              </w:rPr>
            </w:pPr>
            <w:r w:rsidRPr="00BE78CA">
              <w:rPr>
                <w:rFonts w:cs="Calibri"/>
                <w:i/>
                <w:sz w:val="18"/>
              </w:rPr>
              <w:t>20 years (transition period)</w:t>
            </w:r>
          </w:p>
        </w:tc>
        <w:tc>
          <w:tcPr>
            <w:tcW w:w="284" w:type="dxa"/>
            <w:vMerge/>
          </w:tcPr>
          <w:p w14:paraId="2004DCE4" w14:textId="77777777" w:rsidR="00333601" w:rsidRPr="00BE78CA" w:rsidRDefault="00333601" w:rsidP="00C26084">
            <w:pPr>
              <w:spacing w:after="120"/>
              <w:jc w:val="center"/>
              <w:rPr>
                <w:rFonts w:cs="Calibri"/>
                <w:i/>
                <w:sz w:val="18"/>
              </w:rPr>
            </w:pPr>
          </w:p>
        </w:tc>
        <w:tc>
          <w:tcPr>
            <w:tcW w:w="425" w:type="dxa"/>
            <w:vMerge/>
          </w:tcPr>
          <w:p w14:paraId="759ACA6A" w14:textId="77777777" w:rsidR="00333601" w:rsidRPr="00BE78CA" w:rsidRDefault="00333601" w:rsidP="00C26084">
            <w:pPr>
              <w:spacing w:after="120"/>
              <w:jc w:val="center"/>
              <w:rPr>
                <w:rFonts w:cs="Calibri"/>
                <w:i/>
                <w:sz w:val="18"/>
              </w:rPr>
            </w:pPr>
          </w:p>
        </w:tc>
        <w:tc>
          <w:tcPr>
            <w:tcW w:w="850" w:type="dxa"/>
            <w:vMerge/>
          </w:tcPr>
          <w:p w14:paraId="4E5433D0" w14:textId="77777777" w:rsidR="00333601" w:rsidRPr="00BE78CA" w:rsidRDefault="00333601" w:rsidP="00C26084">
            <w:pPr>
              <w:spacing w:after="120"/>
              <w:jc w:val="center"/>
              <w:rPr>
                <w:rFonts w:cs="Calibri"/>
                <w:i/>
                <w:sz w:val="18"/>
              </w:rPr>
            </w:pPr>
          </w:p>
        </w:tc>
        <w:tc>
          <w:tcPr>
            <w:tcW w:w="426" w:type="dxa"/>
            <w:vMerge/>
          </w:tcPr>
          <w:p w14:paraId="0F5498FE" w14:textId="77777777" w:rsidR="00333601" w:rsidRPr="00BE78CA" w:rsidRDefault="00333601" w:rsidP="00C26084">
            <w:pPr>
              <w:spacing w:after="120"/>
              <w:jc w:val="center"/>
              <w:rPr>
                <w:rFonts w:cs="Calibri"/>
                <w:i/>
                <w:sz w:val="18"/>
              </w:rPr>
            </w:pPr>
          </w:p>
        </w:tc>
        <w:tc>
          <w:tcPr>
            <w:tcW w:w="708" w:type="dxa"/>
            <w:vMerge/>
          </w:tcPr>
          <w:p w14:paraId="3B7E075D" w14:textId="77777777" w:rsidR="00333601" w:rsidRPr="00BE78CA" w:rsidRDefault="00333601" w:rsidP="00C26084">
            <w:pPr>
              <w:spacing w:after="120"/>
              <w:jc w:val="center"/>
              <w:rPr>
                <w:rFonts w:cs="Calibri"/>
                <w:i/>
                <w:sz w:val="18"/>
              </w:rPr>
            </w:pPr>
          </w:p>
        </w:tc>
      </w:tr>
    </w:tbl>
    <w:p w14:paraId="677E13AD" w14:textId="77777777" w:rsidR="00333601" w:rsidRPr="00BE78CA" w:rsidRDefault="00333601" w:rsidP="00333601">
      <w:pPr>
        <w:pStyle w:val="BodyText"/>
      </w:pPr>
      <w:r w:rsidRPr="00BE78CA">
        <w:t>For example, the annual change in carbon stock in the first year of conversion of 100 hectares of low</w:t>
      </w:r>
      <w:r w:rsidRPr="00BE78CA">
        <w:rPr>
          <w:i/>
        </w:rPr>
        <w:t xml:space="preserve"> </w:t>
      </w:r>
      <w:r w:rsidRPr="00BE78CA">
        <w:t>producing grassland to perennial cropland would be calculated as follows:</w:t>
      </w:r>
    </w:p>
    <w:p w14:paraId="6AC5B5C7" w14:textId="77777777" w:rsidR="00333601" w:rsidRPr="00BE78CA" w:rsidRDefault="00333601" w:rsidP="00333601">
      <w:pPr>
        <w:pStyle w:val="BodyText"/>
        <w:tabs>
          <w:tab w:val="right" w:pos="7938"/>
        </w:tabs>
        <w:spacing w:before="60" w:after="0"/>
        <w:ind w:left="851"/>
      </w:pPr>
      <w:r w:rsidRPr="00BE78CA">
        <w:t xml:space="preserve">Biomass change = (–2.867 </w:t>
      </w:r>
      <w:r w:rsidRPr="00BE78CA">
        <w:rPr>
          <w:i/>
          <w:sz w:val="18"/>
        </w:rPr>
        <w:t>×</w:t>
      </w:r>
      <w:r w:rsidRPr="00BE78CA">
        <w:t xml:space="preserve"> 100) + (0.67 </w:t>
      </w:r>
      <w:r w:rsidRPr="00BE78CA">
        <w:rPr>
          <w:i/>
          <w:sz w:val="18"/>
        </w:rPr>
        <w:t>×</w:t>
      </w:r>
      <w:r w:rsidRPr="00BE78CA">
        <w:t xml:space="preserve"> 100) = –219.7 tonnes C</w:t>
      </w:r>
      <w:r w:rsidRPr="00BE78CA">
        <w:tab/>
      </w:r>
      <w:r w:rsidRPr="00BE78CA">
        <w:rPr>
          <w:i/>
        </w:rPr>
        <w:t>(1)</w:t>
      </w:r>
    </w:p>
    <w:p w14:paraId="3DDB7CA5" w14:textId="77777777" w:rsidR="00333601" w:rsidRPr="00BE78CA" w:rsidRDefault="00333601" w:rsidP="00333601">
      <w:pPr>
        <w:pStyle w:val="BodyText"/>
        <w:tabs>
          <w:tab w:val="right" w:pos="7938"/>
        </w:tabs>
        <w:spacing w:after="0"/>
        <w:ind w:left="851"/>
      </w:pPr>
      <w:r w:rsidRPr="00BE78CA">
        <w:t xml:space="preserve">Mineral soil change = ((88.44 – 105.98) / 20) </w:t>
      </w:r>
      <w:r w:rsidRPr="00BE78CA">
        <w:rPr>
          <w:i/>
          <w:sz w:val="18"/>
        </w:rPr>
        <w:t>×</w:t>
      </w:r>
      <w:r w:rsidRPr="00BE78CA">
        <w:t xml:space="preserve"> 100 = –87.7 tonnes C </w:t>
      </w:r>
      <w:r w:rsidRPr="00BE78CA">
        <w:tab/>
      </w:r>
      <w:r w:rsidRPr="00BE78CA">
        <w:rPr>
          <w:i/>
        </w:rPr>
        <w:t>(2)</w:t>
      </w:r>
    </w:p>
    <w:p w14:paraId="28498868" w14:textId="77777777" w:rsidR="00333601" w:rsidRPr="00BE78CA" w:rsidRDefault="00333601" w:rsidP="00333601">
      <w:pPr>
        <w:pStyle w:val="BodyText"/>
        <w:tabs>
          <w:tab w:val="right" w:pos="7938"/>
        </w:tabs>
        <w:spacing w:after="0"/>
        <w:ind w:left="851"/>
      </w:pPr>
      <w:r w:rsidRPr="00BE78CA">
        <w:t>Total carbon stock change = –307.4 tonnes C</w:t>
      </w:r>
    </w:p>
    <w:p w14:paraId="2802B5AE" w14:textId="77777777" w:rsidR="00333601" w:rsidRPr="00BE78CA" w:rsidRDefault="00333601" w:rsidP="00333601">
      <w:pPr>
        <w:pStyle w:val="BodyText"/>
        <w:tabs>
          <w:tab w:val="right" w:pos="7938"/>
        </w:tabs>
        <w:spacing w:after="0"/>
        <w:ind w:left="851"/>
      </w:pPr>
      <w:r w:rsidRPr="00BE78CA">
        <w:t xml:space="preserve">Total emissions = (carbon stock change / 1,000 </w:t>
      </w:r>
      <w:r w:rsidRPr="00BE78CA">
        <w:rPr>
          <w:i/>
          <w:sz w:val="18"/>
        </w:rPr>
        <w:t>×</w:t>
      </w:r>
      <w:r w:rsidRPr="00BE78CA">
        <w:t xml:space="preserve"> –1) </w:t>
      </w:r>
      <w:r w:rsidRPr="00BE78CA">
        <w:rPr>
          <w:i/>
          <w:sz w:val="18"/>
        </w:rPr>
        <w:t>×</w:t>
      </w:r>
      <w:r w:rsidRPr="00BE78CA">
        <w:t xml:space="preserve"> (44/12)</w:t>
      </w:r>
    </w:p>
    <w:p w14:paraId="0B009B06" w14:textId="77777777" w:rsidR="00333601" w:rsidRPr="00BE78CA" w:rsidRDefault="00333601" w:rsidP="00333601">
      <w:pPr>
        <w:pStyle w:val="BodyText"/>
        <w:tabs>
          <w:tab w:val="right" w:pos="7938"/>
        </w:tabs>
        <w:ind w:left="851"/>
      </w:pPr>
      <w:r w:rsidRPr="00BE78CA">
        <w:t>Total emissions = 1.127 kt CO</w:t>
      </w:r>
      <w:r w:rsidRPr="00BE78CA">
        <w:rPr>
          <w:vertAlign w:val="subscript"/>
        </w:rPr>
        <w:t>2</w:t>
      </w:r>
    </w:p>
    <w:p w14:paraId="3147DB3F" w14:textId="77777777" w:rsidR="00333601" w:rsidRPr="00BE78CA" w:rsidRDefault="00333601" w:rsidP="00333601">
      <w:pPr>
        <w:pStyle w:val="BodyText"/>
      </w:pPr>
      <w:r w:rsidRPr="00BE78CA">
        <w:t>Note: New Zealand follows the Tier 1 guidance in the 2006 IPCC Guidelines for calculating emissions for organic soils (IPCC, 2006a).</w:t>
      </w:r>
    </w:p>
    <w:p w14:paraId="2CB2BDDB" w14:textId="77777777" w:rsidR="00333601" w:rsidRPr="00BE78CA" w:rsidRDefault="00333601" w:rsidP="00333601">
      <w:pPr>
        <w:pStyle w:val="BodyText"/>
      </w:pPr>
      <w:r w:rsidRPr="00BE78CA">
        <w:t xml:space="preserve">These calculations have been performed to produce estimates of annual carbon stock and carbon stock changes since 1990 to inform the Convention and Kyoto Protocol reporting. </w:t>
      </w:r>
    </w:p>
    <w:p w14:paraId="602A365A" w14:textId="77777777" w:rsidR="00333601" w:rsidRPr="00BE78CA" w:rsidRDefault="00333601" w:rsidP="00333601">
      <w:pPr>
        <w:pStyle w:val="Heading4"/>
      </w:pPr>
      <w:bookmarkStart w:id="1264" w:name="_Toc280630208"/>
      <w:bookmarkStart w:id="1265" w:name="_Toc255466297"/>
      <w:bookmarkStart w:id="1266" w:name="_Toc261513104"/>
      <w:bookmarkStart w:id="1267" w:name="_Toc261513717"/>
      <w:r w:rsidRPr="00BE78CA">
        <w:lastRenderedPageBreak/>
        <w:t>New Zealand Land Use and Carbon Analysis System</w:t>
      </w:r>
      <w:bookmarkEnd w:id="1264"/>
    </w:p>
    <w:p w14:paraId="4E73F296" w14:textId="77777777" w:rsidR="00333601" w:rsidRPr="00BE78CA" w:rsidRDefault="00333601" w:rsidP="00333601">
      <w:pPr>
        <w:pStyle w:val="BodyText"/>
      </w:pPr>
      <w:r w:rsidRPr="00BE78CA">
        <w:t>New Zealand’s LULUCF estimates are calculated using a programme of data collection and modelling called the Land Use Carbon Analysis System (LUCAS)</w:t>
      </w:r>
      <w:r w:rsidRPr="00BE78CA">
        <w:rPr>
          <w:color w:val="000000"/>
        </w:rPr>
        <w:t>.</w:t>
      </w:r>
      <w:r w:rsidRPr="00BE78CA">
        <w:t xml:space="preserve"> The LUCAS data management system stores, manages and retrieves data for international greenhouse gas reporting for the LULUCF sector. The data management system comprises: the Geospatial System, a data warehousing ‘Gateway’ and the Calculation and Reporting Application. These systems are used for managing the land use spatial databases and the plot and reference data, and for combining the two sets of data to calculate the numbers required for reporting under the Convention and the Kyoto Protocol. Details on these databases and applications are provided in annex 3.2.5. </w:t>
      </w:r>
      <w:bookmarkEnd w:id="1265"/>
      <w:bookmarkEnd w:id="1266"/>
      <w:bookmarkEnd w:id="1267"/>
    </w:p>
    <w:p w14:paraId="512E40CE" w14:textId="77777777" w:rsidR="00333601" w:rsidRPr="00BE78CA" w:rsidRDefault="00333601" w:rsidP="00333601">
      <w:pPr>
        <w:pStyle w:val="Heading3"/>
      </w:pPr>
      <w:bookmarkStart w:id="1268" w:name="_Toc280630220"/>
      <w:r w:rsidRPr="00BE78CA">
        <w:t>6.1.3</w:t>
      </w:r>
      <w:r w:rsidRPr="00BE78CA">
        <w:tab/>
        <w:t>Uncertainties in LULUCF</w:t>
      </w:r>
      <w:bookmarkEnd w:id="1268"/>
    </w:p>
    <w:p w14:paraId="7678F048" w14:textId="77777777" w:rsidR="00333601" w:rsidRPr="00BE78CA" w:rsidRDefault="00333601" w:rsidP="00333601">
      <w:pPr>
        <w:pStyle w:val="BodyText"/>
      </w:pPr>
      <w:r w:rsidRPr="00BE78CA">
        <w:t xml:space="preserve">Uncertainty for the LULUCF sector has been calculated as 67.7 per cent using the Approach 1 </w:t>
      </w:r>
      <w:r w:rsidRPr="00BE78CA">
        <w:br/>
        <w:t xml:space="preserve">– propagation of error method as specified in volume 1, chapter 3 of the 2006 IPCC Guidelines (IPCC, 2006b). Given this uncertainty, net emissions from the LULUCF sector could range from </w:t>
      </w:r>
      <w:r w:rsidRPr="00BE78CA">
        <w:br/>
        <w:t>–8,845.4 kt CO</w:t>
      </w:r>
      <w:r w:rsidRPr="00BE78CA">
        <w:rPr>
          <w:vertAlign w:val="subscript"/>
        </w:rPr>
        <w:t>2</w:t>
      </w:r>
      <w:r w:rsidRPr="00BE78CA">
        <w:t>-e to –46,004.8 kt CO</w:t>
      </w:r>
      <w:r w:rsidRPr="00BE78CA">
        <w:rPr>
          <w:vertAlign w:val="subscript"/>
        </w:rPr>
        <w:t>2</w:t>
      </w:r>
      <w:r w:rsidRPr="00BE78CA">
        <w:t xml:space="preserve">-e. Table 6.1.7 shows the three land use categories within the LULUCF sector that make the greatest contribution to uncertainty in the net carbon emissions for the sector. These are given in descending order. </w:t>
      </w:r>
    </w:p>
    <w:p w14:paraId="18A6E502" w14:textId="77777777" w:rsidR="00333601" w:rsidRPr="00BE78CA" w:rsidRDefault="00333601" w:rsidP="00333601">
      <w:pPr>
        <w:pStyle w:val="Table"/>
      </w:pPr>
      <w:bookmarkStart w:id="1269" w:name="_Toc310423396"/>
      <w:bookmarkStart w:id="1270" w:name="_Toc318362689"/>
      <w:bookmarkStart w:id="1271" w:name="_Toc342470751"/>
      <w:bookmarkStart w:id="1272" w:name="_Toc352504991"/>
      <w:bookmarkStart w:id="1273" w:name="_Toc378853277"/>
      <w:bookmarkStart w:id="1274" w:name="_Toc391024075"/>
      <w:bookmarkStart w:id="1275" w:name="_Toc410028818"/>
      <w:bookmarkStart w:id="1276" w:name="_Toc414531446"/>
      <w:bookmarkStart w:id="1277" w:name="_Toc443645359"/>
      <w:bookmarkStart w:id="1278" w:name="_Toc474914578"/>
      <w:bookmarkStart w:id="1279" w:name="_Toc481751542"/>
      <w:bookmarkStart w:id="1280" w:name="_Toc522010599"/>
      <w:bookmarkStart w:id="1281" w:name="_Toc5269504"/>
      <w:bookmarkStart w:id="1282" w:name="_Toc33529380"/>
      <w:bookmarkStart w:id="1283" w:name="_Toc36224586"/>
      <w:bookmarkStart w:id="1284" w:name="_Toc65243581"/>
      <w:bookmarkStart w:id="1285" w:name="_Toc68786471"/>
      <w:r w:rsidRPr="00BE78CA">
        <w:t>Table 6.1.7</w:t>
      </w:r>
      <w:r w:rsidRPr="00BE78CA">
        <w:tab/>
        <w:t>Land use categories making the greatest contribution to uncertainty in the LULUCF sector</w:t>
      </w:r>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p>
    <w:tbl>
      <w:tblPr>
        <w:tblW w:w="8505" w:type="dxa"/>
        <w:tblBorders>
          <w:bottom w:val="single" w:sz="8" w:space="0" w:color="365F91"/>
          <w:insideH w:val="single" w:sz="8" w:space="0" w:color="365F91"/>
        </w:tblBorders>
        <w:tblLook w:val="04A0" w:firstRow="1" w:lastRow="0" w:firstColumn="1" w:lastColumn="0" w:noHBand="0" w:noVBand="1"/>
      </w:tblPr>
      <w:tblGrid>
        <w:gridCol w:w="4287"/>
        <w:gridCol w:w="1809"/>
        <w:gridCol w:w="2409"/>
      </w:tblGrid>
      <w:tr w:rsidR="00333601" w:rsidRPr="00BE78CA" w14:paraId="2E6A940D" w14:textId="77777777" w:rsidTr="00530FA4">
        <w:tc>
          <w:tcPr>
            <w:tcW w:w="4287" w:type="dxa"/>
            <w:tcBorders>
              <w:top w:val="single" w:sz="4" w:space="0" w:color="365F91"/>
              <w:bottom w:val="single" w:sz="4" w:space="0" w:color="365F91"/>
            </w:tcBorders>
            <w:shd w:val="clear" w:color="auto" w:fill="365F91"/>
            <w:noWrap/>
            <w:vAlign w:val="bottom"/>
            <w:hideMark/>
          </w:tcPr>
          <w:p w14:paraId="55AC321A" w14:textId="77777777" w:rsidR="00333601" w:rsidRPr="00BE78CA" w:rsidRDefault="00333601" w:rsidP="00C26084">
            <w:pPr>
              <w:pStyle w:val="TableTextBold"/>
              <w:keepNext/>
              <w:rPr>
                <w:rFonts w:eastAsia="Arial"/>
                <w:noProof w:val="0"/>
                <w:color w:val="FFFFFF"/>
              </w:rPr>
            </w:pPr>
            <w:r w:rsidRPr="00BE78CA">
              <w:rPr>
                <w:rFonts w:eastAsia="Arial"/>
                <w:noProof w:val="0"/>
                <w:color w:val="FFFFFF"/>
              </w:rPr>
              <w:t>Land use category</w:t>
            </w:r>
          </w:p>
        </w:tc>
        <w:tc>
          <w:tcPr>
            <w:tcW w:w="1809" w:type="dxa"/>
            <w:tcBorders>
              <w:top w:val="single" w:sz="4" w:space="0" w:color="365F91"/>
              <w:bottom w:val="single" w:sz="4" w:space="0" w:color="365F91"/>
            </w:tcBorders>
            <w:shd w:val="clear" w:color="auto" w:fill="365F91"/>
            <w:noWrap/>
            <w:vAlign w:val="bottom"/>
            <w:hideMark/>
          </w:tcPr>
          <w:p w14:paraId="4A0AE803" w14:textId="77777777" w:rsidR="00333601" w:rsidRPr="00BE78CA" w:rsidRDefault="00333601" w:rsidP="00C26084">
            <w:pPr>
              <w:pStyle w:val="TableTextBold"/>
              <w:keepNext/>
              <w:jc w:val="center"/>
              <w:rPr>
                <w:rFonts w:eastAsia="Arial"/>
                <w:noProof w:val="0"/>
                <w:color w:val="FFFFFF"/>
              </w:rPr>
            </w:pPr>
            <w:r w:rsidRPr="00BE78CA">
              <w:rPr>
                <w:rFonts w:eastAsia="Arial"/>
                <w:noProof w:val="0"/>
                <w:color w:val="FFFFFF"/>
              </w:rPr>
              <w:t>Absolute emissions by category (kt CO</w:t>
            </w:r>
            <w:r w:rsidRPr="00BE78CA">
              <w:rPr>
                <w:rFonts w:eastAsia="Arial"/>
                <w:noProof w:val="0"/>
                <w:color w:val="FFFFFF"/>
                <w:vertAlign w:val="subscript"/>
              </w:rPr>
              <w:t>2</w:t>
            </w:r>
            <w:r w:rsidRPr="00BE78CA">
              <w:rPr>
                <w:rFonts w:eastAsia="Arial"/>
                <w:noProof w:val="0"/>
                <w:color w:val="FFFFFF"/>
              </w:rPr>
              <w:t>)</w:t>
            </w:r>
          </w:p>
        </w:tc>
        <w:tc>
          <w:tcPr>
            <w:tcW w:w="2409" w:type="dxa"/>
            <w:tcBorders>
              <w:top w:val="single" w:sz="4" w:space="0" w:color="365F91"/>
              <w:bottom w:val="single" w:sz="4" w:space="0" w:color="365F91"/>
            </w:tcBorders>
            <w:shd w:val="clear" w:color="auto" w:fill="365F91"/>
            <w:noWrap/>
            <w:vAlign w:val="bottom"/>
            <w:hideMark/>
          </w:tcPr>
          <w:p w14:paraId="1F738964" w14:textId="77777777" w:rsidR="00333601" w:rsidRPr="00BE78CA" w:rsidRDefault="00333601" w:rsidP="00C26084">
            <w:pPr>
              <w:pStyle w:val="TableTextBold"/>
              <w:keepNext/>
              <w:jc w:val="center"/>
              <w:rPr>
                <w:rFonts w:eastAsia="Arial"/>
                <w:noProof w:val="0"/>
                <w:color w:val="FFFFFF"/>
              </w:rPr>
            </w:pPr>
            <w:r w:rsidRPr="00BE78CA">
              <w:rPr>
                <w:rFonts w:eastAsia="Arial"/>
                <w:noProof w:val="0"/>
                <w:color w:val="FFFFFF"/>
              </w:rPr>
              <w:t>Uncertainty introduced into emissions for LULUCF (%)</w:t>
            </w:r>
          </w:p>
        </w:tc>
      </w:tr>
      <w:tr w:rsidR="00333601" w:rsidRPr="00BE78CA" w14:paraId="76FB5DBF" w14:textId="77777777" w:rsidTr="00530FA4">
        <w:tc>
          <w:tcPr>
            <w:tcW w:w="4287" w:type="dxa"/>
            <w:tcBorders>
              <w:top w:val="single" w:sz="4" w:space="0" w:color="365F91"/>
              <w:left w:val="nil"/>
              <w:bottom w:val="single" w:sz="8" w:space="0" w:color="365F91"/>
              <w:right w:val="nil"/>
            </w:tcBorders>
            <w:shd w:val="clear" w:color="auto" w:fill="auto"/>
            <w:noWrap/>
            <w:hideMark/>
          </w:tcPr>
          <w:p w14:paraId="49BE7E94" w14:textId="77777777" w:rsidR="00333601" w:rsidRPr="00BE78CA" w:rsidRDefault="00333601" w:rsidP="00C26084">
            <w:pPr>
              <w:pStyle w:val="TableText"/>
              <w:keepNext/>
              <w:rPr>
                <w:rFonts w:eastAsia="Arial"/>
              </w:rPr>
            </w:pPr>
            <w:r w:rsidRPr="00BE78CA">
              <w:rPr>
                <w:rFonts w:eastAsia="Arial"/>
              </w:rPr>
              <w:t xml:space="preserve">Pre-1990 planted forest remaining pre-1990 planted forest </w:t>
            </w:r>
          </w:p>
        </w:tc>
        <w:tc>
          <w:tcPr>
            <w:tcW w:w="1809" w:type="dxa"/>
            <w:tcBorders>
              <w:top w:val="single" w:sz="4" w:space="0" w:color="365F91"/>
              <w:left w:val="nil"/>
              <w:bottom w:val="single" w:sz="8" w:space="0" w:color="365F91"/>
              <w:right w:val="nil"/>
            </w:tcBorders>
            <w:shd w:val="clear" w:color="auto" w:fill="auto"/>
            <w:noWrap/>
            <w:vAlign w:val="bottom"/>
            <w:hideMark/>
          </w:tcPr>
          <w:p w14:paraId="2C0AD506" w14:textId="77777777" w:rsidR="00333601" w:rsidRPr="00BE78CA" w:rsidRDefault="00333601" w:rsidP="00C26084">
            <w:pPr>
              <w:pStyle w:val="TableText"/>
              <w:keepNext/>
              <w:tabs>
                <w:tab w:val="decimal" w:pos="511"/>
              </w:tabs>
              <w:jc w:val="center"/>
              <w:rPr>
                <w:rFonts w:eastAsia="Arial" w:cs="Arial"/>
                <w:szCs w:val="16"/>
              </w:rPr>
            </w:pPr>
            <w:r w:rsidRPr="00BE78CA">
              <w:rPr>
                <w:rFonts w:cs="Arial"/>
                <w:szCs w:val="16"/>
              </w:rPr>
              <w:t>8,351.6</w:t>
            </w:r>
          </w:p>
        </w:tc>
        <w:tc>
          <w:tcPr>
            <w:tcW w:w="2409" w:type="dxa"/>
            <w:tcBorders>
              <w:top w:val="single" w:sz="4" w:space="0" w:color="365F91"/>
              <w:left w:val="nil"/>
              <w:bottom w:val="single" w:sz="8" w:space="0" w:color="365F91"/>
              <w:right w:val="nil"/>
            </w:tcBorders>
            <w:shd w:val="clear" w:color="auto" w:fill="auto"/>
            <w:noWrap/>
            <w:vAlign w:val="bottom"/>
            <w:hideMark/>
          </w:tcPr>
          <w:p w14:paraId="369B182E" w14:textId="77777777" w:rsidR="00333601" w:rsidRPr="00BE78CA" w:rsidRDefault="00333601" w:rsidP="00C26084">
            <w:pPr>
              <w:pStyle w:val="TableText"/>
              <w:keepNext/>
              <w:tabs>
                <w:tab w:val="decimal" w:pos="511"/>
              </w:tabs>
              <w:jc w:val="center"/>
              <w:rPr>
                <w:rFonts w:eastAsia="Arial"/>
              </w:rPr>
            </w:pPr>
            <w:r w:rsidRPr="00BE78CA">
              <w:rPr>
                <w:rFonts w:eastAsia="Arial"/>
              </w:rPr>
              <w:t>±</w:t>
            </w:r>
            <w:r w:rsidRPr="00BE78CA">
              <w:t xml:space="preserve"> </w:t>
            </w:r>
            <w:r w:rsidRPr="00BE78CA">
              <w:rPr>
                <w:rFonts w:cs="Arial"/>
                <w:szCs w:val="16"/>
              </w:rPr>
              <w:t>61.4</w:t>
            </w:r>
          </w:p>
        </w:tc>
      </w:tr>
      <w:tr w:rsidR="00333601" w:rsidRPr="00BE78CA" w14:paraId="1CC2C591" w14:textId="77777777" w:rsidTr="00530FA4">
        <w:tc>
          <w:tcPr>
            <w:tcW w:w="4287" w:type="dxa"/>
            <w:tcBorders>
              <w:top w:val="single" w:sz="4" w:space="0" w:color="365F91"/>
              <w:left w:val="nil"/>
              <w:bottom w:val="single" w:sz="8" w:space="0" w:color="2E74B5"/>
              <w:right w:val="nil"/>
              <w:tl2br w:val="nil"/>
              <w:tr2bl w:val="nil"/>
            </w:tcBorders>
            <w:shd w:val="clear" w:color="auto" w:fill="auto"/>
            <w:noWrap/>
            <w:hideMark/>
          </w:tcPr>
          <w:p w14:paraId="24485BB4" w14:textId="77777777" w:rsidR="00333601" w:rsidRPr="00BE78CA" w:rsidRDefault="00333601" w:rsidP="00C26084">
            <w:pPr>
              <w:pStyle w:val="TableText"/>
              <w:keepNext/>
              <w:rPr>
                <w:rFonts w:eastAsia="Arial"/>
              </w:rPr>
            </w:pPr>
            <w:r w:rsidRPr="00BE78CA">
              <w:rPr>
                <w:rFonts w:eastAsia="Arial"/>
              </w:rPr>
              <w:t>Harvested wood products</w:t>
            </w:r>
          </w:p>
        </w:tc>
        <w:tc>
          <w:tcPr>
            <w:tcW w:w="1809" w:type="dxa"/>
            <w:tcBorders>
              <w:top w:val="single" w:sz="4" w:space="0" w:color="365F91"/>
              <w:left w:val="nil"/>
              <w:bottom w:val="single" w:sz="8" w:space="0" w:color="2E74B5"/>
              <w:right w:val="nil"/>
              <w:tl2br w:val="nil"/>
              <w:tr2bl w:val="nil"/>
            </w:tcBorders>
            <w:shd w:val="clear" w:color="auto" w:fill="auto"/>
            <w:noWrap/>
            <w:vAlign w:val="bottom"/>
            <w:hideMark/>
          </w:tcPr>
          <w:p w14:paraId="06F2D0DA" w14:textId="77777777" w:rsidR="00333601" w:rsidRPr="00BE78CA" w:rsidRDefault="00333601" w:rsidP="00C26084">
            <w:pPr>
              <w:pStyle w:val="TableText"/>
              <w:keepNext/>
              <w:tabs>
                <w:tab w:val="decimal" w:pos="511"/>
              </w:tabs>
              <w:jc w:val="center"/>
              <w:rPr>
                <w:rFonts w:eastAsia="Arial" w:cs="Arial"/>
                <w:szCs w:val="16"/>
              </w:rPr>
            </w:pPr>
            <w:r w:rsidRPr="00BE78CA">
              <w:rPr>
                <w:rFonts w:cs="Arial"/>
                <w:szCs w:val="16"/>
              </w:rPr>
              <w:t>10,067.3</w:t>
            </w:r>
          </w:p>
        </w:tc>
        <w:tc>
          <w:tcPr>
            <w:tcW w:w="2409" w:type="dxa"/>
            <w:tcBorders>
              <w:top w:val="single" w:sz="4" w:space="0" w:color="365F91"/>
              <w:left w:val="nil"/>
              <w:bottom w:val="single" w:sz="8" w:space="0" w:color="2E74B5"/>
              <w:right w:val="nil"/>
              <w:tl2br w:val="nil"/>
              <w:tr2bl w:val="nil"/>
            </w:tcBorders>
            <w:shd w:val="clear" w:color="auto" w:fill="auto"/>
            <w:noWrap/>
            <w:vAlign w:val="bottom"/>
            <w:hideMark/>
          </w:tcPr>
          <w:p w14:paraId="2C42E11C" w14:textId="77777777" w:rsidR="00333601" w:rsidRPr="00BE78CA" w:rsidRDefault="00333601" w:rsidP="00C26084">
            <w:pPr>
              <w:pStyle w:val="TableText"/>
              <w:keepNext/>
              <w:tabs>
                <w:tab w:val="decimal" w:pos="511"/>
              </w:tabs>
              <w:jc w:val="center"/>
              <w:rPr>
                <w:rFonts w:eastAsia="Arial"/>
              </w:rPr>
            </w:pPr>
            <w:r w:rsidRPr="00BE78CA">
              <w:rPr>
                <w:rFonts w:eastAsia="Arial"/>
              </w:rPr>
              <w:t>±</w:t>
            </w:r>
            <w:r w:rsidRPr="00BE78CA">
              <w:rPr>
                <w:rFonts w:cs="Arial"/>
                <w:szCs w:val="16"/>
              </w:rPr>
              <w:t>25.0</w:t>
            </w:r>
          </w:p>
        </w:tc>
      </w:tr>
      <w:tr w:rsidR="00333601" w:rsidRPr="00BE78CA" w14:paraId="3336CC1F" w14:textId="77777777" w:rsidTr="00530FA4">
        <w:tc>
          <w:tcPr>
            <w:tcW w:w="4287" w:type="dxa"/>
            <w:tcBorders>
              <w:top w:val="nil"/>
              <w:left w:val="nil"/>
              <w:bottom w:val="single" w:sz="8" w:space="0" w:color="365F91"/>
              <w:right w:val="nil"/>
              <w:tl2br w:val="nil"/>
              <w:tr2bl w:val="nil"/>
            </w:tcBorders>
            <w:shd w:val="clear" w:color="auto" w:fill="auto"/>
            <w:noWrap/>
            <w:hideMark/>
          </w:tcPr>
          <w:p w14:paraId="77220FB5" w14:textId="77777777" w:rsidR="00333601" w:rsidRPr="00BE78CA" w:rsidRDefault="00333601" w:rsidP="00C26084">
            <w:pPr>
              <w:pStyle w:val="TableText"/>
              <w:rPr>
                <w:rFonts w:eastAsia="Arial"/>
              </w:rPr>
            </w:pPr>
            <w:r w:rsidRPr="00BE78CA">
              <w:rPr>
                <w:rFonts w:eastAsia="Arial"/>
              </w:rPr>
              <w:t>Post-1989 planted forest remaining post-1989 planted forest</w:t>
            </w:r>
          </w:p>
        </w:tc>
        <w:tc>
          <w:tcPr>
            <w:tcW w:w="1809" w:type="dxa"/>
            <w:tcBorders>
              <w:top w:val="nil"/>
              <w:left w:val="nil"/>
              <w:bottom w:val="single" w:sz="8" w:space="0" w:color="365F91"/>
              <w:right w:val="nil"/>
              <w:tl2br w:val="nil"/>
              <w:tr2bl w:val="nil"/>
            </w:tcBorders>
            <w:shd w:val="clear" w:color="auto" w:fill="auto"/>
            <w:noWrap/>
            <w:vAlign w:val="bottom"/>
            <w:hideMark/>
          </w:tcPr>
          <w:p w14:paraId="70C19042" w14:textId="77777777" w:rsidR="00333601" w:rsidRPr="00BE78CA" w:rsidRDefault="00333601" w:rsidP="00C26084">
            <w:pPr>
              <w:pStyle w:val="TableText"/>
              <w:tabs>
                <w:tab w:val="decimal" w:pos="511"/>
              </w:tabs>
              <w:jc w:val="center"/>
              <w:rPr>
                <w:rFonts w:eastAsia="Arial" w:cs="Arial"/>
                <w:szCs w:val="16"/>
              </w:rPr>
            </w:pPr>
            <w:r w:rsidRPr="00BE78CA">
              <w:rPr>
                <w:rFonts w:cs="Arial"/>
                <w:szCs w:val="16"/>
              </w:rPr>
              <w:t>5,920.9</w:t>
            </w:r>
          </w:p>
        </w:tc>
        <w:tc>
          <w:tcPr>
            <w:tcW w:w="2409" w:type="dxa"/>
            <w:tcBorders>
              <w:top w:val="nil"/>
              <w:left w:val="nil"/>
              <w:bottom w:val="single" w:sz="8" w:space="0" w:color="365F91"/>
              <w:right w:val="nil"/>
              <w:tl2br w:val="nil"/>
              <w:tr2bl w:val="nil"/>
            </w:tcBorders>
            <w:shd w:val="clear" w:color="auto" w:fill="auto"/>
            <w:noWrap/>
            <w:vAlign w:val="bottom"/>
            <w:hideMark/>
          </w:tcPr>
          <w:p w14:paraId="4CC81768" w14:textId="77777777" w:rsidR="00333601" w:rsidRPr="00BE78CA" w:rsidRDefault="00333601" w:rsidP="00C26084">
            <w:pPr>
              <w:pStyle w:val="TableText"/>
              <w:tabs>
                <w:tab w:val="decimal" w:pos="511"/>
              </w:tabs>
              <w:jc w:val="center"/>
              <w:rPr>
                <w:rFonts w:eastAsia="Arial"/>
              </w:rPr>
            </w:pPr>
            <w:r w:rsidRPr="00BE78CA">
              <w:rPr>
                <w:rFonts w:eastAsia="Arial"/>
              </w:rPr>
              <w:t>±</w:t>
            </w:r>
            <w:r w:rsidRPr="00BE78CA">
              <w:rPr>
                <w:rFonts w:cs="Arial"/>
                <w:szCs w:val="16"/>
              </w:rPr>
              <w:t>12.1</w:t>
            </w:r>
          </w:p>
        </w:tc>
      </w:tr>
    </w:tbl>
    <w:p w14:paraId="584184D9" w14:textId="77777777" w:rsidR="00333601" w:rsidRPr="00BE78CA" w:rsidRDefault="00333601" w:rsidP="00333601">
      <w:pPr>
        <w:pStyle w:val="BodyText"/>
        <w:spacing w:before="240"/>
      </w:pPr>
      <w:r w:rsidRPr="00BE78CA">
        <w:t>The greatest contribution of uncertainty to the LULUCF sector arises from pre-1990 planted forest remaining pre-1990 planted forest in the</w:t>
      </w:r>
      <w:r w:rsidRPr="00BE78CA">
        <w:rPr>
          <w:i/>
        </w:rPr>
        <w:t xml:space="preserve"> Forest land </w:t>
      </w:r>
      <w:r w:rsidRPr="00BE78CA">
        <w:t>category</w:t>
      </w:r>
      <w:r w:rsidRPr="00BE78CA">
        <w:rPr>
          <w:i/>
        </w:rPr>
        <w:t>.</w:t>
      </w:r>
      <w:r w:rsidRPr="00BE78CA">
        <w:t xml:space="preserve"> The age structure of the pre-1990 planted forest estate results in large removals from growth and large emissions from harvesting. The uncertainty is calculated by combining both the uncertainty of the emissions from harvest and those from forest growth. This results in a high uncertainty relative to the net emissions estimate from both the carbon gains and losses. </w:t>
      </w:r>
    </w:p>
    <w:p w14:paraId="64924C86" w14:textId="77777777" w:rsidR="00333601" w:rsidRPr="00BE78CA" w:rsidRDefault="00333601" w:rsidP="00333601">
      <w:pPr>
        <w:pStyle w:val="BodyText"/>
      </w:pPr>
      <w:r w:rsidRPr="00BE78CA">
        <w:rPr>
          <w:i/>
        </w:rPr>
        <w:t>Harvested wood products</w:t>
      </w:r>
      <w:r w:rsidRPr="00BE78CA">
        <w:t xml:space="preserve"> provides the second-greatest contribution to uncertainty in the LULUCF sector. This is driven by large removals in the category and relatively high uncertainty associated with the end-use and discard rates of New Zealand wood (±67.4 per cent). </w:t>
      </w:r>
    </w:p>
    <w:p w14:paraId="5B8EACC2" w14:textId="77777777" w:rsidR="00333601" w:rsidRPr="00BE78CA" w:rsidRDefault="00333601" w:rsidP="00333601">
      <w:pPr>
        <w:pStyle w:val="BodyText"/>
        <w:spacing w:before="240"/>
      </w:pPr>
      <w:r w:rsidRPr="00BE78CA">
        <w:t xml:space="preserve">The third largest contribution to uncertainty in the LULUCF sector comes from post-1989 planted forest remaining post-1989 planted forest. The uncertainty for this category is derived from emissions from harvesting and relatively large removals from forest growth, which overall contribute to large net removals. </w:t>
      </w:r>
    </w:p>
    <w:p w14:paraId="0B8686E4" w14:textId="77777777" w:rsidR="00333601" w:rsidRPr="00BE78CA" w:rsidRDefault="00333601" w:rsidP="00333601">
      <w:pPr>
        <w:pStyle w:val="BodyText"/>
      </w:pPr>
      <w:r w:rsidRPr="00BE78CA">
        <w:t>Further details on the emission factor and activity data uncertainties for specific land uses and non-carbon emissions are given within the relevant sections of this chapter. Further detailed analysis of LULUCF uncertainties are presented in annex 3.2.4.</w:t>
      </w:r>
    </w:p>
    <w:p w14:paraId="42F18855" w14:textId="77777777" w:rsidR="00333601" w:rsidRPr="00BE78CA" w:rsidRDefault="00333601" w:rsidP="00333601">
      <w:pPr>
        <w:pStyle w:val="Heading3"/>
      </w:pPr>
      <w:bookmarkStart w:id="1286" w:name="_Toc280630221"/>
      <w:r w:rsidRPr="00BE78CA">
        <w:lastRenderedPageBreak/>
        <w:t>6.1.4</w:t>
      </w:r>
      <w:r w:rsidRPr="00BE78CA">
        <w:tab/>
        <w:t>Recalculations in LULUCF</w:t>
      </w:r>
      <w:bookmarkEnd w:id="1286"/>
    </w:p>
    <w:p w14:paraId="470804DD" w14:textId="77777777" w:rsidR="00333601" w:rsidRPr="00BE78CA" w:rsidRDefault="00333601" w:rsidP="00333601">
      <w:pPr>
        <w:pStyle w:val="BodyText"/>
      </w:pPr>
      <w:r w:rsidRPr="00BE78CA">
        <w:t xml:space="preserve">For the 2021 submission, New Zealand has recalculated its emission estimates for the LULUCF sector from 1990 to 2018, to incorporate new activity data from the creation of a new land use map and updated emission factors. Furthermore, this year, New Zealand has changed the transition period reported for biomass stocks from 28 years to the IPCC default conversion period of 20 years. This change has been made following the expert review team (ERT) recommendation L.14, 2019 </w:t>
      </w:r>
      <w:r w:rsidRPr="00BE78CA">
        <w:rPr>
          <w:spacing w:val="-2"/>
        </w:rPr>
        <w:t xml:space="preserve">(FCCC/ARR/2019/NZL, UNFCCC, 2020). </w:t>
      </w:r>
      <w:r w:rsidRPr="00BE78CA">
        <w:t xml:space="preserve">These recalculations have improved the accuracy, consistency and completeness of the LULUCF estimates. </w:t>
      </w:r>
    </w:p>
    <w:p w14:paraId="19AF5FEA" w14:textId="77777777" w:rsidR="00333601" w:rsidRPr="00BE78CA" w:rsidRDefault="00333601" w:rsidP="00333601">
      <w:pPr>
        <w:pStyle w:val="BodyText"/>
      </w:pPr>
      <w:r w:rsidRPr="00BE78CA">
        <w:t>As a result of the recalculations, estimates of net emissions in 1990 have increased by 15.1 per cent, and net emissions in 2018 have decreased by 14.4 per cent (see table 6.1.8).</w:t>
      </w:r>
    </w:p>
    <w:p w14:paraId="77FF4E60" w14:textId="77777777" w:rsidR="00333601" w:rsidRPr="00BE78CA" w:rsidRDefault="00333601" w:rsidP="00333601">
      <w:pPr>
        <w:pStyle w:val="Table"/>
      </w:pPr>
      <w:bookmarkStart w:id="1287" w:name="_Toc310423397"/>
      <w:bookmarkStart w:id="1288" w:name="_Toc318362690"/>
      <w:bookmarkStart w:id="1289" w:name="_Toc342470752"/>
      <w:bookmarkStart w:id="1290" w:name="_Toc352504992"/>
      <w:bookmarkStart w:id="1291" w:name="_Toc378853278"/>
      <w:bookmarkStart w:id="1292" w:name="_Toc391024076"/>
      <w:bookmarkStart w:id="1293" w:name="_Toc410028819"/>
      <w:bookmarkStart w:id="1294" w:name="_Toc414531447"/>
      <w:bookmarkStart w:id="1295" w:name="_Toc443645360"/>
      <w:bookmarkStart w:id="1296" w:name="_Toc474914579"/>
      <w:bookmarkStart w:id="1297" w:name="_Toc481751543"/>
      <w:bookmarkStart w:id="1298" w:name="_Toc522010600"/>
      <w:bookmarkStart w:id="1299" w:name="_Toc5269505"/>
      <w:bookmarkStart w:id="1300" w:name="_Toc33529381"/>
      <w:bookmarkStart w:id="1301" w:name="_Toc36224587"/>
      <w:bookmarkStart w:id="1302" w:name="_Toc65243582"/>
      <w:bookmarkStart w:id="1303" w:name="_Toc68786472"/>
      <w:r w:rsidRPr="00BE78CA">
        <w:t>Table 6.1.8</w:t>
      </w:r>
      <w:r w:rsidRPr="00BE78CA">
        <w:tab/>
        <w:t>Recalculations to New Zealand’s total net LULUCF emissions</w:t>
      </w:r>
      <w:bookmarkEnd w:id="1287"/>
      <w:bookmarkEnd w:id="1288"/>
      <w:bookmarkEnd w:id="1289"/>
      <w:bookmarkEnd w:id="1290"/>
      <w:bookmarkEnd w:id="1291"/>
      <w:r w:rsidRPr="00BE78CA">
        <w:t xml:space="preserve"> for 1990 and</w:t>
      </w:r>
      <w:bookmarkEnd w:id="1292"/>
      <w:r w:rsidRPr="00BE78CA">
        <w:t> 201</w:t>
      </w:r>
      <w:bookmarkEnd w:id="1293"/>
      <w:bookmarkEnd w:id="1294"/>
      <w:bookmarkEnd w:id="1295"/>
      <w:bookmarkEnd w:id="1296"/>
      <w:bookmarkEnd w:id="1297"/>
      <w:r w:rsidRPr="00BE78CA">
        <w:t>8</w:t>
      </w:r>
      <w:bookmarkEnd w:id="1298"/>
      <w:bookmarkEnd w:id="1299"/>
      <w:bookmarkEnd w:id="1300"/>
      <w:bookmarkEnd w:id="1301"/>
      <w:bookmarkEnd w:id="1302"/>
      <w:bookmarkEnd w:id="1303"/>
    </w:p>
    <w:tbl>
      <w:tblPr>
        <w:tblW w:w="8505" w:type="dxa"/>
        <w:tblLook w:val="04A0" w:firstRow="1" w:lastRow="0" w:firstColumn="1" w:lastColumn="0" w:noHBand="0" w:noVBand="1"/>
      </w:tblPr>
      <w:tblGrid>
        <w:gridCol w:w="1683"/>
        <w:gridCol w:w="1880"/>
        <w:gridCol w:w="1881"/>
        <w:gridCol w:w="1531"/>
        <w:gridCol w:w="1530"/>
      </w:tblGrid>
      <w:tr w:rsidR="00333601" w:rsidRPr="00BE78CA" w14:paraId="595AC8A9" w14:textId="77777777" w:rsidTr="00530FA4">
        <w:tc>
          <w:tcPr>
            <w:tcW w:w="1696" w:type="dxa"/>
            <w:tcBorders>
              <w:top w:val="single" w:sz="4" w:space="0" w:color="365F91"/>
            </w:tcBorders>
            <w:shd w:val="clear" w:color="auto" w:fill="365F91"/>
          </w:tcPr>
          <w:p w14:paraId="186EA5D3" w14:textId="77777777" w:rsidR="00333601" w:rsidRPr="00BE78CA" w:rsidRDefault="00333601" w:rsidP="00C26084">
            <w:pPr>
              <w:pStyle w:val="TableTextBold"/>
              <w:spacing w:after="0"/>
              <w:rPr>
                <w:noProof w:val="0"/>
                <w:color w:val="FFFFFF"/>
              </w:rPr>
            </w:pPr>
          </w:p>
        </w:tc>
        <w:tc>
          <w:tcPr>
            <w:tcW w:w="3783" w:type="dxa"/>
            <w:gridSpan w:val="2"/>
            <w:tcBorders>
              <w:top w:val="single" w:sz="4" w:space="0" w:color="365F91"/>
            </w:tcBorders>
            <w:shd w:val="clear" w:color="auto" w:fill="365F91"/>
          </w:tcPr>
          <w:p w14:paraId="67DC4752" w14:textId="77777777" w:rsidR="00333601" w:rsidRPr="00BE78CA" w:rsidRDefault="00333601" w:rsidP="00C26084">
            <w:pPr>
              <w:pStyle w:val="TableTextBold"/>
              <w:spacing w:after="0"/>
              <w:jc w:val="center"/>
              <w:rPr>
                <w:noProof w:val="0"/>
                <w:color w:val="FFFFFF"/>
              </w:rPr>
            </w:pPr>
            <w:r w:rsidRPr="00BE78CA">
              <w:rPr>
                <w:noProof w:val="0"/>
                <w:color w:val="FFFFFF"/>
              </w:rPr>
              <w:t>Reported net emissions</w:t>
            </w:r>
          </w:p>
        </w:tc>
        <w:tc>
          <w:tcPr>
            <w:tcW w:w="3083" w:type="dxa"/>
            <w:gridSpan w:val="2"/>
            <w:tcBorders>
              <w:top w:val="single" w:sz="4" w:space="0" w:color="365F91"/>
            </w:tcBorders>
            <w:shd w:val="clear" w:color="auto" w:fill="365F91"/>
          </w:tcPr>
          <w:p w14:paraId="08A9136C" w14:textId="77777777" w:rsidR="00333601" w:rsidRPr="00BE78CA" w:rsidRDefault="00333601" w:rsidP="00C26084">
            <w:pPr>
              <w:pStyle w:val="TableTextBold"/>
              <w:spacing w:after="0"/>
              <w:jc w:val="center"/>
              <w:rPr>
                <w:noProof w:val="0"/>
                <w:color w:val="FFFFFF"/>
              </w:rPr>
            </w:pPr>
            <w:r w:rsidRPr="00BE78CA">
              <w:rPr>
                <w:noProof w:val="0"/>
                <w:color w:val="FFFFFF"/>
              </w:rPr>
              <w:t>Change in estimate</w:t>
            </w:r>
          </w:p>
        </w:tc>
      </w:tr>
      <w:tr w:rsidR="00333601" w:rsidRPr="00BE78CA" w14:paraId="420018DB" w14:textId="77777777" w:rsidTr="00530FA4">
        <w:tc>
          <w:tcPr>
            <w:tcW w:w="1696" w:type="dxa"/>
            <w:tcBorders>
              <w:bottom w:val="single" w:sz="4" w:space="0" w:color="365F91"/>
            </w:tcBorders>
            <w:shd w:val="clear" w:color="auto" w:fill="365F91"/>
            <w:vAlign w:val="bottom"/>
          </w:tcPr>
          <w:p w14:paraId="0AD0DE9A" w14:textId="77777777" w:rsidR="00333601" w:rsidRPr="00BE78CA" w:rsidRDefault="00333601" w:rsidP="00C26084">
            <w:pPr>
              <w:pStyle w:val="TableTextBold"/>
              <w:spacing w:before="40" w:after="40"/>
              <w:rPr>
                <w:noProof w:val="0"/>
                <w:color w:val="FFFFFF"/>
              </w:rPr>
            </w:pPr>
            <w:r w:rsidRPr="00BE78CA">
              <w:rPr>
                <w:noProof w:val="0"/>
                <w:color w:val="FFFFFF"/>
              </w:rPr>
              <w:t>Year</w:t>
            </w:r>
          </w:p>
        </w:tc>
        <w:tc>
          <w:tcPr>
            <w:tcW w:w="1891" w:type="dxa"/>
            <w:tcBorders>
              <w:bottom w:val="single" w:sz="4" w:space="0" w:color="365F91"/>
            </w:tcBorders>
            <w:shd w:val="clear" w:color="auto" w:fill="365F91"/>
            <w:vAlign w:val="bottom"/>
          </w:tcPr>
          <w:p w14:paraId="09F8804E" w14:textId="77777777" w:rsidR="00333601" w:rsidRPr="00BE78CA" w:rsidRDefault="00333601" w:rsidP="00C26084">
            <w:pPr>
              <w:pStyle w:val="TableTextBold"/>
              <w:spacing w:before="40" w:after="40"/>
              <w:jc w:val="center"/>
              <w:rPr>
                <w:noProof w:val="0"/>
                <w:color w:val="FFFFFF"/>
              </w:rPr>
            </w:pPr>
            <w:r w:rsidRPr="00BE78CA">
              <w:rPr>
                <w:noProof w:val="0"/>
                <w:color w:val="FFFFFF"/>
              </w:rPr>
              <w:t xml:space="preserve">2020 submission </w:t>
            </w:r>
            <w:r w:rsidRPr="00BE78CA">
              <w:rPr>
                <w:noProof w:val="0"/>
                <w:color w:val="FFFFFF"/>
              </w:rPr>
              <w:br/>
              <w:t>(kt CO</w:t>
            </w:r>
            <w:r w:rsidRPr="00BE78CA">
              <w:rPr>
                <w:noProof w:val="0"/>
                <w:color w:val="FFFFFF"/>
                <w:vertAlign w:val="subscript"/>
              </w:rPr>
              <w:t>2</w:t>
            </w:r>
            <w:r w:rsidRPr="00BE78CA">
              <w:rPr>
                <w:noProof w:val="0"/>
                <w:color w:val="FFFFFF"/>
              </w:rPr>
              <w:t>-e)</w:t>
            </w:r>
          </w:p>
        </w:tc>
        <w:tc>
          <w:tcPr>
            <w:tcW w:w="1892" w:type="dxa"/>
            <w:tcBorders>
              <w:bottom w:val="single" w:sz="4" w:space="0" w:color="365F91"/>
            </w:tcBorders>
            <w:shd w:val="clear" w:color="auto" w:fill="365F91"/>
            <w:vAlign w:val="bottom"/>
          </w:tcPr>
          <w:p w14:paraId="1D5EF952" w14:textId="77777777" w:rsidR="00333601" w:rsidRPr="00BE78CA" w:rsidRDefault="00333601" w:rsidP="00C26084">
            <w:pPr>
              <w:pStyle w:val="TableTextBold"/>
              <w:spacing w:before="40" w:after="40"/>
              <w:jc w:val="center"/>
              <w:rPr>
                <w:noProof w:val="0"/>
                <w:color w:val="FFFFFF"/>
              </w:rPr>
            </w:pPr>
            <w:r w:rsidRPr="00BE78CA">
              <w:rPr>
                <w:noProof w:val="0"/>
                <w:color w:val="FFFFFF"/>
              </w:rPr>
              <w:t xml:space="preserve">2021 submission </w:t>
            </w:r>
            <w:r w:rsidRPr="00BE78CA">
              <w:rPr>
                <w:noProof w:val="0"/>
                <w:color w:val="FFFFFF"/>
              </w:rPr>
              <w:br/>
              <w:t>(kt CO</w:t>
            </w:r>
            <w:r w:rsidRPr="00BE78CA">
              <w:rPr>
                <w:noProof w:val="0"/>
                <w:color w:val="FFFFFF"/>
                <w:vertAlign w:val="subscript"/>
              </w:rPr>
              <w:t>2</w:t>
            </w:r>
            <w:r w:rsidRPr="00BE78CA">
              <w:rPr>
                <w:noProof w:val="0"/>
                <w:color w:val="FFFFFF"/>
              </w:rPr>
              <w:t>-e)</w:t>
            </w:r>
          </w:p>
        </w:tc>
        <w:tc>
          <w:tcPr>
            <w:tcW w:w="1541" w:type="dxa"/>
            <w:tcBorders>
              <w:bottom w:val="single" w:sz="4" w:space="0" w:color="365F91"/>
            </w:tcBorders>
            <w:shd w:val="clear" w:color="auto" w:fill="365F91"/>
            <w:vAlign w:val="bottom"/>
          </w:tcPr>
          <w:p w14:paraId="5F8F6F1E" w14:textId="77777777" w:rsidR="00333601" w:rsidRPr="00BE78CA" w:rsidRDefault="00333601" w:rsidP="00C26084">
            <w:pPr>
              <w:pStyle w:val="TableTextBold"/>
              <w:spacing w:before="40" w:after="40"/>
              <w:jc w:val="center"/>
              <w:rPr>
                <w:noProof w:val="0"/>
                <w:color w:val="FFFFFF"/>
              </w:rPr>
            </w:pPr>
            <w:r w:rsidRPr="00BE78CA">
              <w:rPr>
                <w:noProof w:val="0"/>
                <w:color w:val="FFFFFF"/>
              </w:rPr>
              <w:t>(kt CO</w:t>
            </w:r>
            <w:r w:rsidRPr="00BE78CA">
              <w:rPr>
                <w:noProof w:val="0"/>
                <w:color w:val="FFFFFF"/>
                <w:vertAlign w:val="subscript"/>
              </w:rPr>
              <w:t>2</w:t>
            </w:r>
            <w:r w:rsidRPr="00BE78CA">
              <w:rPr>
                <w:noProof w:val="0"/>
                <w:color w:val="FFFFFF"/>
              </w:rPr>
              <w:t>-e)</w:t>
            </w:r>
          </w:p>
        </w:tc>
        <w:tc>
          <w:tcPr>
            <w:tcW w:w="1542" w:type="dxa"/>
            <w:tcBorders>
              <w:bottom w:val="single" w:sz="4" w:space="0" w:color="365F91"/>
            </w:tcBorders>
            <w:shd w:val="clear" w:color="auto" w:fill="365F91"/>
            <w:vAlign w:val="bottom"/>
          </w:tcPr>
          <w:p w14:paraId="1CA6B1CF" w14:textId="77777777" w:rsidR="00333601" w:rsidRPr="00BE78CA" w:rsidRDefault="00333601" w:rsidP="00C26084">
            <w:pPr>
              <w:pStyle w:val="TableTextBold"/>
              <w:spacing w:before="40" w:after="40"/>
              <w:jc w:val="center"/>
              <w:rPr>
                <w:noProof w:val="0"/>
                <w:color w:val="FFFFFF"/>
              </w:rPr>
            </w:pPr>
            <w:r w:rsidRPr="00BE78CA">
              <w:rPr>
                <w:noProof w:val="0"/>
                <w:color w:val="FFFFFF"/>
              </w:rPr>
              <w:t>(%)</w:t>
            </w:r>
          </w:p>
        </w:tc>
      </w:tr>
      <w:tr w:rsidR="00333601" w:rsidRPr="00BE78CA" w14:paraId="06114DAF" w14:textId="77777777" w:rsidTr="00530FA4">
        <w:tc>
          <w:tcPr>
            <w:tcW w:w="1696" w:type="dxa"/>
            <w:tcBorders>
              <w:top w:val="single" w:sz="4" w:space="0" w:color="365F91"/>
              <w:bottom w:val="single" w:sz="4" w:space="0" w:color="365F91"/>
            </w:tcBorders>
          </w:tcPr>
          <w:p w14:paraId="18C66E6A" w14:textId="77777777" w:rsidR="00333601" w:rsidRPr="00BE78CA" w:rsidRDefault="00333601" w:rsidP="00C26084">
            <w:pPr>
              <w:pStyle w:val="TableText"/>
            </w:pPr>
            <w:r w:rsidRPr="00BE78CA">
              <w:t>1990</w:t>
            </w:r>
          </w:p>
        </w:tc>
        <w:tc>
          <w:tcPr>
            <w:tcW w:w="1891" w:type="dxa"/>
            <w:tcBorders>
              <w:top w:val="single" w:sz="4" w:space="0" w:color="365F91"/>
              <w:bottom w:val="single" w:sz="4" w:space="0" w:color="365F91"/>
            </w:tcBorders>
          </w:tcPr>
          <w:p w14:paraId="0F869EB8" w14:textId="77777777" w:rsidR="00333601" w:rsidRPr="00BE78CA" w:rsidRDefault="00333601" w:rsidP="00C26084">
            <w:pPr>
              <w:pStyle w:val="TableText"/>
              <w:jc w:val="center"/>
            </w:pPr>
            <w:r w:rsidRPr="00BE78CA">
              <w:t>–28,297.0</w:t>
            </w:r>
          </w:p>
        </w:tc>
        <w:tc>
          <w:tcPr>
            <w:tcW w:w="1892" w:type="dxa"/>
            <w:tcBorders>
              <w:top w:val="single" w:sz="4" w:space="0" w:color="365F91"/>
              <w:bottom w:val="single" w:sz="4" w:space="0" w:color="365F91"/>
            </w:tcBorders>
          </w:tcPr>
          <w:p w14:paraId="3A83B3E3" w14:textId="77777777" w:rsidR="00333601" w:rsidRPr="00BE78CA" w:rsidRDefault="00333601" w:rsidP="00C26084">
            <w:pPr>
              <w:pStyle w:val="TableText"/>
              <w:jc w:val="center"/>
            </w:pPr>
            <w:r w:rsidRPr="00BE78CA">
              <w:t>–24,014.5</w:t>
            </w:r>
          </w:p>
        </w:tc>
        <w:tc>
          <w:tcPr>
            <w:tcW w:w="1541" w:type="dxa"/>
            <w:tcBorders>
              <w:top w:val="single" w:sz="4" w:space="0" w:color="365F91"/>
              <w:bottom w:val="single" w:sz="4" w:space="0" w:color="365F91"/>
            </w:tcBorders>
          </w:tcPr>
          <w:p w14:paraId="6998EA66" w14:textId="77777777" w:rsidR="00333601" w:rsidRPr="00BE78CA" w:rsidRDefault="00333601" w:rsidP="00C26084">
            <w:pPr>
              <w:pStyle w:val="TableText"/>
              <w:jc w:val="center"/>
            </w:pPr>
            <w:r w:rsidRPr="00BE78CA">
              <w:t>4,282.6</w:t>
            </w:r>
          </w:p>
        </w:tc>
        <w:tc>
          <w:tcPr>
            <w:tcW w:w="1542" w:type="dxa"/>
            <w:tcBorders>
              <w:top w:val="single" w:sz="4" w:space="0" w:color="365F91"/>
              <w:bottom w:val="single" w:sz="4" w:space="0" w:color="365F91"/>
            </w:tcBorders>
          </w:tcPr>
          <w:p w14:paraId="2A652A37" w14:textId="77777777" w:rsidR="00333601" w:rsidRPr="00BE78CA" w:rsidRDefault="00333601" w:rsidP="00C26084">
            <w:pPr>
              <w:pStyle w:val="TableText"/>
              <w:jc w:val="center"/>
            </w:pPr>
            <w:r w:rsidRPr="00BE78CA">
              <w:t>15.1</w:t>
            </w:r>
          </w:p>
        </w:tc>
      </w:tr>
      <w:tr w:rsidR="00333601" w:rsidRPr="00BE78CA" w14:paraId="7B77D4BA" w14:textId="77777777" w:rsidTr="00530FA4">
        <w:tc>
          <w:tcPr>
            <w:tcW w:w="1696" w:type="dxa"/>
            <w:tcBorders>
              <w:top w:val="single" w:sz="4" w:space="0" w:color="365F91"/>
              <w:bottom w:val="single" w:sz="4" w:space="0" w:color="365F91"/>
            </w:tcBorders>
          </w:tcPr>
          <w:p w14:paraId="60DDF3E9" w14:textId="77777777" w:rsidR="00333601" w:rsidRPr="00BE78CA" w:rsidRDefault="00333601" w:rsidP="00C26084">
            <w:pPr>
              <w:pStyle w:val="TableText"/>
            </w:pPr>
            <w:r w:rsidRPr="00BE78CA">
              <w:t>2018</w:t>
            </w:r>
          </w:p>
        </w:tc>
        <w:tc>
          <w:tcPr>
            <w:tcW w:w="1891" w:type="dxa"/>
            <w:tcBorders>
              <w:top w:val="single" w:sz="4" w:space="0" w:color="365F91"/>
              <w:bottom w:val="single" w:sz="4" w:space="0" w:color="365F91"/>
            </w:tcBorders>
          </w:tcPr>
          <w:p w14:paraId="3DE31A78" w14:textId="77777777" w:rsidR="00333601" w:rsidRPr="00BE78CA" w:rsidRDefault="00333601" w:rsidP="00C26084">
            <w:pPr>
              <w:pStyle w:val="TableText"/>
              <w:jc w:val="center"/>
            </w:pPr>
            <w:r w:rsidRPr="00BE78CA">
              <w:t>–23,394.1</w:t>
            </w:r>
          </w:p>
        </w:tc>
        <w:tc>
          <w:tcPr>
            <w:tcW w:w="1892" w:type="dxa"/>
            <w:tcBorders>
              <w:top w:val="single" w:sz="4" w:space="0" w:color="365F91"/>
              <w:bottom w:val="single" w:sz="4" w:space="0" w:color="365F91"/>
            </w:tcBorders>
          </w:tcPr>
          <w:p w14:paraId="4C7B4BDA" w14:textId="77777777" w:rsidR="00333601" w:rsidRPr="00BE78CA" w:rsidRDefault="00333601" w:rsidP="00C26084">
            <w:pPr>
              <w:pStyle w:val="TableText"/>
              <w:jc w:val="center"/>
            </w:pPr>
            <w:r w:rsidRPr="00BE78CA">
              <w:t>–26,756.4</w:t>
            </w:r>
          </w:p>
        </w:tc>
        <w:tc>
          <w:tcPr>
            <w:tcW w:w="1541" w:type="dxa"/>
            <w:tcBorders>
              <w:top w:val="single" w:sz="4" w:space="0" w:color="365F91"/>
              <w:bottom w:val="single" w:sz="4" w:space="0" w:color="365F91"/>
            </w:tcBorders>
          </w:tcPr>
          <w:p w14:paraId="3119D75E" w14:textId="77777777" w:rsidR="00333601" w:rsidRPr="00BE78CA" w:rsidRDefault="00333601" w:rsidP="00C26084">
            <w:pPr>
              <w:pStyle w:val="TableText"/>
              <w:jc w:val="center"/>
            </w:pPr>
            <w:r w:rsidRPr="00BE78CA">
              <w:t>–3,362.3</w:t>
            </w:r>
          </w:p>
        </w:tc>
        <w:tc>
          <w:tcPr>
            <w:tcW w:w="1542" w:type="dxa"/>
            <w:tcBorders>
              <w:top w:val="single" w:sz="4" w:space="0" w:color="365F91"/>
              <w:bottom w:val="single" w:sz="4" w:space="0" w:color="365F91"/>
            </w:tcBorders>
          </w:tcPr>
          <w:p w14:paraId="4767FD93" w14:textId="77777777" w:rsidR="00333601" w:rsidRPr="00BE78CA" w:rsidRDefault="00333601" w:rsidP="00C26084">
            <w:pPr>
              <w:pStyle w:val="TableText"/>
              <w:jc w:val="center"/>
            </w:pPr>
            <w:r w:rsidRPr="00BE78CA">
              <w:t>–14.4</w:t>
            </w:r>
          </w:p>
        </w:tc>
      </w:tr>
    </w:tbl>
    <w:p w14:paraId="3F28EC17" w14:textId="77777777" w:rsidR="00333601" w:rsidRPr="00BE78CA" w:rsidRDefault="00333601" w:rsidP="00333601">
      <w:pPr>
        <w:pStyle w:val="BodyText"/>
        <w:spacing w:before="240"/>
      </w:pPr>
      <w:r w:rsidRPr="00BE78CA">
        <w:t>The main differences between this submission and previous estimates of New Zealand’s LULUCF emissions reported in the 2020 submission are the result of the changes made to the </w:t>
      </w:r>
      <w:r w:rsidRPr="00BE78CA">
        <w:rPr>
          <w:i/>
          <w:iCs/>
        </w:rPr>
        <w:t>Forest land</w:t>
      </w:r>
      <w:r w:rsidRPr="00BE78CA">
        <w:t xml:space="preserve"> category. Note that </w:t>
      </w:r>
      <w:r w:rsidRPr="00BE78CA">
        <w:rPr>
          <w:i/>
          <w:iCs/>
        </w:rPr>
        <w:t>Forest land</w:t>
      </w:r>
      <w:r w:rsidRPr="00BE78CA">
        <w:t xml:space="preserve"> contributes the greatest net emissions to the LULUCF sector and also contributes the greatest uncertainty, therefore, inventory improvements to </w:t>
      </w:r>
      <w:r w:rsidRPr="00BE78CA">
        <w:rPr>
          <w:i/>
          <w:iCs/>
        </w:rPr>
        <w:t>Forest land</w:t>
      </w:r>
      <w:r w:rsidRPr="00BE78CA">
        <w:t xml:space="preserve"> are generally prioritised. The three improvements that have contributed the greatest change to the recalculations are as follows (in decreasing order of magnitude).</w:t>
      </w:r>
    </w:p>
    <w:p w14:paraId="1FF60666" w14:textId="77777777" w:rsidR="00333601" w:rsidRPr="00BE78CA" w:rsidRDefault="00333601" w:rsidP="00333601">
      <w:pPr>
        <w:pStyle w:val="BodyText"/>
      </w:pPr>
      <w:r w:rsidRPr="00BE78CA">
        <w:t>The pre-1990 planted forest yield table has been updated to improve accuracy. Previously, only one yield table was applied to all pre-1990 planted forest. However, due to improved genetics and management practices, a single yield table is not representative of the entire pre</w:t>
      </w:r>
      <w:r w:rsidRPr="00BE78CA">
        <w:noBreakHyphen/>
        <w:t xml:space="preserve">1990 planted forest estate through time and over multiple rotations. </w:t>
      </w:r>
      <w:bookmarkStart w:id="1304" w:name="_Hlk60900664"/>
      <w:r w:rsidRPr="00BE78CA">
        <w:t>Therefore, in this submission, three period-specific yield tables have been applied; one for all cohorts planted in years prior to 1990, one for all cohorts planted between 1990 and 2009, and a third for those planted between 2010 and 2019. This results in significant changes to net emissions through time. The improvement results in a decrease of removals of approximately 2,000 kt CO</w:t>
      </w:r>
      <w:r w:rsidRPr="00BE78CA">
        <w:rPr>
          <w:vertAlign w:val="subscript"/>
        </w:rPr>
        <w:t>2</w:t>
      </w:r>
      <w:r w:rsidRPr="00BE78CA">
        <w:t>-e in 1990 and an increase of removals of approximately 5,000 kt CO</w:t>
      </w:r>
      <w:r w:rsidRPr="00BE78CA">
        <w:rPr>
          <w:vertAlign w:val="subscript"/>
        </w:rPr>
        <w:t>2</w:t>
      </w:r>
      <w:r w:rsidRPr="00BE78CA">
        <w:t xml:space="preserve">-e in 2018, compared with the previous submission. </w:t>
      </w:r>
      <w:bookmarkEnd w:id="1304"/>
      <w:r w:rsidRPr="00BE78CA">
        <w:t xml:space="preserve">Further justification and details on the use of multiple yield tables can be found in section 6.4.2 under </w:t>
      </w:r>
      <w:r w:rsidRPr="00BE78CA">
        <w:rPr>
          <w:i/>
        </w:rPr>
        <w:t>Forest land</w:t>
      </w:r>
      <w:r w:rsidRPr="00BE78CA">
        <w:t xml:space="preserve">. </w:t>
      </w:r>
    </w:p>
    <w:p w14:paraId="3C603AF1" w14:textId="77777777" w:rsidR="00333601" w:rsidRPr="00BE78CA" w:rsidRDefault="00333601" w:rsidP="00333601">
      <w:pPr>
        <w:pStyle w:val="BodyText"/>
      </w:pPr>
      <w:r w:rsidRPr="00BE78CA">
        <w:t xml:space="preserve">New Zealand has an estate of actively managed pine plantations that have been predominantly planted for timber harvest. Wind dispersal of conifer seeds from these managed estates has led to a growing infestation of unwanted conifers, otherwise known as wilding pines. Improved mapping of wilding pines has led to the reclassification of approximately 20,000 hectares of forest previously classified as post-1989 planted forest to post-1989 natural forest. This has led to a reduction in removals from the post-1989 forest estate because of the difference in yields applied to post-1989 natural and planted forest. </w:t>
      </w:r>
    </w:p>
    <w:p w14:paraId="52C1F8C1" w14:textId="5FDE4653" w:rsidR="00333601" w:rsidRPr="00BE78CA" w:rsidRDefault="00333601" w:rsidP="00333601">
      <w:pPr>
        <w:pStyle w:val="BodyText"/>
        <w:rPr>
          <w:rFonts w:asciiTheme="minorHAnsi" w:hAnsiTheme="minorHAnsi" w:cstheme="minorHAnsi"/>
        </w:rPr>
      </w:pPr>
      <w:r w:rsidRPr="00BE78CA">
        <w:rPr>
          <w:rFonts w:asciiTheme="minorHAnsi" w:hAnsiTheme="minorHAnsi" w:cstheme="minorHAnsi"/>
        </w:rPr>
        <w:t xml:space="preserve">The harvest age profile of the post-1989 planted forest estate has been improved to increase accuracy. In previous submissions, a single age cohort was applied to the harvest area of the post-1989 planted forest estate each year. However, this is not representative of the actual stand ages that are being harvested and can result in a skewed age profile of trees still </w:t>
      </w:r>
      <w:r w:rsidRPr="00BE78CA">
        <w:rPr>
          <w:rFonts w:asciiTheme="minorHAnsi" w:hAnsiTheme="minorHAnsi" w:cstheme="minorHAnsi"/>
        </w:rPr>
        <w:lastRenderedPageBreak/>
        <w:t xml:space="preserve">standing in the forest. To correct for this, the same method used to calculate the harvest age profile in the pre-1990 planted forest estate has been applied to the post-1989 planted forest estate. </w:t>
      </w:r>
      <w:r w:rsidRPr="00BE78CA">
        <w:t xml:space="preserve">The harvest profile for post-1989 planted forest is derived from the NEFD (Ministry for Primary Industries, 2019b). </w:t>
      </w:r>
      <w:r w:rsidRPr="00BE78CA">
        <w:rPr>
          <w:rFonts w:asciiTheme="minorHAnsi" w:hAnsiTheme="minorHAnsi" w:cstheme="minorHAnsi"/>
        </w:rPr>
        <w:t>This improvement results in a small decrease in emissions, as</w:t>
      </w:r>
      <w:r w:rsidR="006846D8" w:rsidRPr="00BE78CA">
        <w:rPr>
          <w:rFonts w:asciiTheme="minorHAnsi" w:hAnsiTheme="minorHAnsi" w:cstheme="minorHAnsi"/>
        </w:rPr>
        <w:t> </w:t>
      </w:r>
      <w:r w:rsidRPr="00BE78CA">
        <w:rPr>
          <w:rFonts w:asciiTheme="minorHAnsi" w:hAnsiTheme="minorHAnsi" w:cstheme="minorHAnsi"/>
        </w:rPr>
        <w:t>a result of the simultaneous changes to carbon gains and carbon losses from harvesting.</w:t>
      </w:r>
    </w:p>
    <w:p w14:paraId="7670EFB5" w14:textId="77777777" w:rsidR="00333601" w:rsidRPr="00BE78CA" w:rsidRDefault="00333601" w:rsidP="00333601">
      <w:pPr>
        <w:pStyle w:val="BodyText"/>
      </w:pPr>
      <w:r w:rsidRPr="00BE78CA">
        <w:t>The impact of these recalculations on net CO</w:t>
      </w:r>
      <w:r w:rsidRPr="00BE78CA">
        <w:rPr>
          <w:vertAlign w:val="subscript"/>
        </w:rPr>
        <w:t>2</w:t>
      </w:r>
      <w:r w:rsidRPr="00BE78CA">
        <w:t xml:space="preserve">-e emissions in each land use category is provided in table 6.1.9. </w:t>
      </w:r>
    </w:p>
    <w:p w14:paraId="65A8ECA9" w14:textId="750A1537" w:rsidR="00333601" w:rsidRPr="00BE78CA" w:rsidRDefault="00333601" w:rsidP="00333601">
      <w:pPr>
        <w:pStyle w:val="Table"/>
      </w:pPr>
      <w:bookmarkStart w:id="1305" w:name="_Toc310423398"/>
      <w:bookmarkStart w:id="1306" w:name="_Toc318362691"/>
      <w:bookmarkStart w:id="1307" w:name="_Toc342470753"/>
      <w:bookmarkStart w:id="1308" w:name="_Toc352504993"/>
      <w:bookmarkStart w:id="1309" w:name="_Toc378853279"/>
      <w:bookmarkStart w:id="1310" w:name="_Toc391024077"/>
      <w:bookmarkStart w:id="1311" w:name="_Toc410028820"/>
      <w:bookmarkStart w:id="1312" w:name="_Toc414531448"/>
      <w:bookmarkStart w:id="1313" w:name="_Toc443645361"/>
      <w:bookmarkStart w:id="1314" w:name="_Toc474914580"/>
      <w:bookmarkStart w:id="1315" w:name="_Toc481751544"/>
      <w:bookmarkStart w:id="1316" w:name="_Toc522010601"/>
      <w:bookmarkStart w:id="1317" w:name="_Toc5269506"/>
      <w:bookmarkStart w:id="1318" w:name="_Toc33529382"/>
      <w:bookmarkStart w:id="1319" w:name="_Toc36224588"/>
      <w:bookmarkStart w:id="1320" w:name="_Toc65243583"/>
      <w:bookmarkStart w:id="1321" w:name="_Toc68786473"/>
      <w:r w:rsidRPr="00BE78CA">
        <w:t>Table 6.1.9</w:t>
      </w:r>
      <w:r w:rsidRPr="00BE78CA">
        <w:tab/>
        <w:t>Recalculations to New Zealand’s net LULUCF emissions for 1990 and</w:t>
      </w:r>
      <w:bookmarkEnd w:id="1305"/>
      <w:bookmarkEnd w:id="1306"/>
      <w:bookmarkEnd w:id="1307"/>
      <w:bookmarkEnd w:id="1308"/>
      <w:r w:rsidRPr="00BE78CA">
        <w:t> 201</w:t>
      </w:r>
      <w:bookmarkEnd w:id="1309"/>
      <w:bookmarkEnd w:id="1310"/>
      <w:bookmarkEnd w:id="1311"/>
      <w:bookmarkEnd w:id="1312"/>
      <w:r w:rsidRPr="00BE78CA">
        <w:t>8 by</w:t>
      </w:r>
      <w:bookmarkEnd w:id="1313"/>
      <w:r w:rsidR="00E21442" w:rsidRPr="00BE78CA">
        <w:t> </w:t>
      </w:r>
      <w:r w:rsidRPr="00BE78CA">
        <w:t>category</w:t>
      </w:r>
      <w:bookmarkEnd w:id="1314"/>
      <w:bookmarkEnd w:id="1315"/>
      <w:bookmarkEnd w:id="1316"/>
      <w:bookmarkEnd w:id="1317"/>
      <w:bookmarkEnd w:id="1318"/>
      <w:bookmarkEnd w:id="1319"/>
      <w:bookmarkEnd w:id="1320"/>
      <w:bookmarkEnd w:id="1321"/>
    </w:p>
    <w:tbl>
      <w:tblPr>
        <w:tblW w:w="8505" w:type="dxa"/>
        <w:tblBorders>
          <w:bottom w:val="single" w:sz="8" w:space="0" w:color="365F91"/>
          <w:insideH w:val="single" w:sz="8" w:space="0" w:color="365F91"/>
        </w:tblBorders>
        <w:tblLayout w:type="fixed"/>
        <w:tblCellMar>
          <w:left w:w="85" w:type="dxa"/>
          <w:right w:w="85" w:type="dxa"/>
        </w:tblCellMar>
        <w:tblLook w:val="04A0" w:firstRow="1" w:lastRow="0" w:firstColumn="1" w:lastColumn="0" w:noHBand="0" w:noVBand="1"/>
      </w:tblPr>
      <w:tblGrid>
        <w:gridCol w:w="1905"/>
        <w:gridCol w:w="1132"/>
        <w:gridCol w:w="1133"/>
        <w:gridCol w:w="1144"/>
        <w:gridCol w:w="1122"/>
        <w:gridCol w:w="1020"/>
        <w:gridCol w:w="1049"/>
      </w:tblGrid>
      <w:tr w:rsidR="00333601" w:rsidRPr="00BE78CA" w14:paraId="29C9B10D" w14:textId="77777777" w:rsidTr="00530FA4">
        <w:tc>
          <w:tcPr>
            <w:tcW w:w="1928" w:type="dxa"/>
            <w:vMerge w:val="restart"/>
            <w:tcBorders>
              <w:top w:val="single" w:sz="4" w:space="0" w:color="365F91"/>
              <w:bottom w:val="nil"/>
            </w:tcBorders>
            <w:shd w:val="clear" w:color="auto" w:fill="365F91"/>
            <w:vAlign w:val="bottom"/>
          </w:tcPr>
          <w:p w14:paraId="1C8BFD9E" w14:textId="77777777" w:rsidR="00333601" w:rsidRPr="00BE78CA" w:rsidRDefault="00333601" w:rsidP="00C26084">
            <w:pPr>
              <w:pStyle w:val="TableTextBold"/>
              <w:keepNext/>
              <w:spacing w:before="40" w:after="40"/>
              <w:rPr>
                <w:rFonts w:cs="Calibri"/>
                <w:noProof w:val="0"/>
                <w:color w:val="FFFFFF"/>
                <w:szCs w:val="16"/>
              </w:rPr>
            </w:pPr>
            <w:r w:rsidRPr="00BE78CA">
              <w:rPr>
                <w:rFonts w:cs="Calibri"/>
                <w:noProof w:val="0"/>
                <w:color w:val="FFFFFF"/>
                <w:szCs w:val="16"/>
              </w:rPr>
              <w:t>Land use category</w:t>
            </w:r>
          </w:p>
        </w:tc>
        <w:tc>
          <w:tcPr>
            <w:tcW w:w="4580" w:type="dxa"/>
            <w:gridSpan w:val="4"/>
            <w:tcBorders>
              <w:top w:val="single" w:sz="4" w:space="0" w:color="365F91"/>
              <w:bottom w:val="nil"/>
            </w:tcBorders>
            <w:shd w:val="clear" w:color="auto" w:fill="365F91"/>
            <w:noWrap/>
            <w:vAlign w:val="bottom"/>
          </w:tcPr>
          <w:p w14:paraId="418D514B" w14:textId="77777777" w:rsidR="00333601" w:rsidRPr="00BE78CA" w:rsidRDefault="00333601" w:rsidP="00C26084">
            <w:pPr>
              <w:pStyle w:val="TableTextBold"/>
              <w:keepNext/>
              <w:spacing w:after="0"/>
              <w:jc w:val="center"/>
              <w:rPr>
                <w:rFonts w:cs="Calibri"/>
                <w:noProof w:val="0"/>
                <w:color w:val="FFFFFF"/>
                <w:szCs w:val="16"/>
              </w:rPr>
            </w:pPr>
            <w:r w:rsidRPr="00BE78CA">
              <w:rPr>
                <w:rFonts w:cs="Calibri"/>
                <w:noProof w:val="0"/>
                <w:color w:val="FFFFFF"/>
                <w:szCs w:val="16"/>
              </w:rPr>
              <w:t>Net emissions (kt CO</w:t>
            </w:r>
            <w:r w:rsidRPr="00BE78CA">
              <w:rPr>
                <w:rFonts w:cs="Calibri"/>
                <w:noProof w:val="0"/>
                <w:color w:val="FFFFFF"/>
                <w:szCs w:val="16"/>
                <w:vertAlign w:val="subscript"/>
              </w:rPr>
              <w:t>2</w:t>
            </w:r>
            <w:r w:rsidRPr="00BE78CA">
              <w:rPr>
                <w:rFonts w:cs="Calibri"/>
                <w:noProof w:val="0"/>
                <w:color w:val="FFFFFF"/>
                <w:szCs w:val="16"/>
              </w:rPr>
              <w:t>-e)</w:t>
            </w:r>
          </w:p>
        </w:tc>
        <w:tc>
          <w:tcPr>
            <w:tcW w:w="1031" w:type="dxa"/>
            <w:vMerge w:val="restart"/>
            <w:tcBorders>
              <w:top w:val="single" w:sz="4" w:space="0" w:color="365F91"/>
              <w:bottom w:val="nil"/>
            </w:tcBorders>
            <w:shd w:val="clear" w:color="auto" w:fill="365F91"/>
            <w:vAlign w:val="bottom"/>
          </w:tcPr>
          <w:p w14:paraId="65747B3E" w14:textId="77777777" w:rsidR="00333601" w:rsidRPr="00BE78CA" w:rsidRDefault="00333601" w:rsidP="00C26084">
            <w:pPr>
              <w:pStyle w:val="TableTextBold"/>
              <w:keepNext/>
              <w:spacing w:before="40" w:after="40"/>
              <w:jc w:val="right"/>
              <w:rPr>
                <w:rFonts w:cs="Calibri"/>
                <w:noProof w:val="0"/>
                <w:color w:val="FFFFFF"/>
                <w:szCs w:val="16"/>
              </w:rPr>
            </w:pPr>
            <w:r w:rsidRPr="00BE78CA">
              <w:rPr>
                <w:rFonts w:cs="Calibri"/>
                <w:noProof w:val="0"/>
                <w:color w:val="FFFFFF"/>
                <w:szCs w:val="16"/>
              </w:rPr>
              <w:t xml:space="preserve">Change in 1990 </w:t>
            </w:r>
            <w:r w:rsidRPr="00BE78CA">
              <w:rPr>
                <w:rFonts w:cs="Calibri"/>
                <w:noProof w:val="0"/>
                <w:color w:val="FFFFFF"/>
                <w:szCs w:val="16"/>
              </w:rPr>
              <w:br/>
              <w:t>estimate (%)</w:t>
            </w:r>
          </w:p>
        </w:tc>
        <w:tc>
          <w:tcPr>
            <w:tcW w:w="1060" w:type="dxa"/>
            <w:vMerge w:val="restart"/>
            <w:tcBorders>
              <w:top w:val="single" w:sz="4" w:space="0" w:color="365F91"/>
              <w:bottom w:val="nil"/>
            </w:tcBorders>
            <w:shd w:val="clear" w:color="auto" w:fill="365F91"/>
            <w:vAlign w:val="bottom"/>
          </w:tcPr>
          <w:p w14:paraId="40A8E0ED" w14:textId="77777777" w:rsidR="00333601" w:rsidRPr="00BE78CA" w:rsidRDefault="00333601" w:rsidP="00C26084">
            <w:pPr>
              <w:pStyle w:val="TableTextBold"/>
              <w:keepNext/>
              <w:spacing w:before="40" w:after="40"/>
              <w:jc w:val="right"/>
              <w:rPr>
                <w:rFonts w:cs="Calibri"/>
                <w:noProof w:val="0"/>
                <w:color w:val="FFFFFF"/>
                <w:szCs w:val="16"/>
              </w:rPr>
            </w:pPr>
            <w:r w:rsidRPr="00BE78CA">
              <w:rPr>
                <w:rFonts w:cs="Calibri"/>
                <w:noProof w:val="0"/>
                <w:color w:val="FFFFFF"/>
                <w:szCs w:val="16"/>
              </w:rPr>
              <w:t>Change in 2018 estimate (%)</w:t>
            </w:r>
          </w:p>
        </w:tc>
      </w:tr>
      <w:tr w:rsidR="00333601" w:rsidRPr="00BE78CA" w14:paraId="28335323" w14:textId="77777777" w:rsidTr="00530FA4">
        <w:tc>
          <w:tcPr>
            <w:tcW w:w="1928" w:type="dxa"/>
            <w:vMerge/>
            <w:tcBorders>
              <w:top w:val="nil"/>
              <w:left w:val="nil"/>
              <w:bottom w:val="nil"/>
              <w:right w:val="nil"/>
              <w:tl2br w:val="nil"/>
              <w:tr2bl w:val="nil"/>
            </w:tcBorders>
            <w:shd w:val="clear" w:color="auto" w:fill="365F91"/>
            <w:noWrap/>
            <w:vAlign w:val="bottom"/>
          </w:tcPr>
          <w:p w14:paraId="399A081B" w14:textId="77777777" w:rsidR="00333601" w:rsidRPr="00BE78CA" w:rsidRDefault="00333601" w:rsidP="00C26084">
            <w:pPr>
              <w:pStyle w:val="TableTextBold"/>
              <w:keepNext/>
              <w:spacing w:before="40" w:after="40"/>
              <w:rPr>
                <w:rFonts w:eastAsia="Arial" w:cs="Calibri"/>
                <w:noProof w:val="0"/>
                <w:color w:val="FFFFFF"/>
                <w:szCs w:val="16"/>
              </w:rPr>
            </w:pPr>
          </w:p>
        </w:tc>
        <w:tc>
          <w:tcPr>
            <w:tcW w:w="1144" w:type="dxa"/>
            <w:tcBorders>
              <w:top w:val="nil"/>
              <w:left w:val="nil"/>
              <w:bottom w:val="single" w:sz="4" w:space="0" w:color="365F91"/>
              <w:right w:val="nil"/>
              <w:tl2br w:val="nil"/>
              <w:tr2bl w:val="nil"/>
            </w:tcBorders>
            <w:shd w:val="clear" w:color="auto" w:fill="365F91"/>
            <w:vAlign w:val="bottom"/>
          </w:tcPr>
          <w:p w14:paraId="6535B91E" w14:textId="77777777" w:rsidR="00333601" w:rsidRPr="00BE78CA" w:rsidRDefault="00333601" w:rsidP="00C26084">
            <w:pPr>
              <w:pStyle w:val="TableTextBold"/>
              <w:keepNext/>
              <w:spacing w:before="40" w:after="40"/>
              <w:jc w:val="right"/>
              <w:rPr>
                <w:rFonts w:cs="Calibri"/>
                <w:noProof w:val="0"/>
                <w:color w:val="FFFFFF"/>
                <w:szCs w:val="16"/>
              </w:rPr>
            </w:pPr>
            <w:r w:rsidRPr="00BE78CA">
              <w:rPr>
                <w:rFonts w:cs="Calibri"/>
                <w:noProof w:val="0"/>
                <w:color w:val="FFFFFF"/>
                <w:szCs w:val="16"/>
              </w:rPr>
              <w:t>2020 submission:</w:t>
            </w:r>
            <w:r w:rsidRPr="00BE78CA">
              <w:rPr>
                <w:rFonts w:cs="Calibri"/>
                <w:noProof w:val="0"/>
                <w:color w:val="FFFFFF"/>
                <w:szCs w:val="16"/>
              </w:rPr>
              <w:br/>
              <w:t>1990 estimate</w:t>
            </w:r>
          </w:p>
        </w:tc>
        <w:tc>
          <w:tcPr>
            <w:tcW w:w="1145" w:type="dxa"/>
            <w:tcBorders>
              <w:top w:val="nil"/>
              <w:left w:val="nil"/>
              <w:bottom w:val="single" w:sz="4" w:space="0" w:color="365F91"/>
              <w:right w:val="nil"/>
              <w:tl2br w:val="nil"/>
              <w:tr2bl w:val="nil"/>
            </w:tcBorders>
            <w:shd w:val="clear" w:color="auto" w:fill="365F91"/>
            <w:vAlign w:val="bottom"/>
          </w:tcPr>
          <w:p w14:paraId="590B8E69" w14:textId="77777777" w:rsidR="00333601" w:rsidRPr="00BE78CA" w:rsidRDefault="00333601" w:rsidP="00C26084">
            <w:pPr>
              <w:pStyle w:val="TableTextBold"/>
              <w:keepNext/>
              <w:spacing w:before="40" w:after="40"/>
              <w:jc w:val="right"/>
              <w:rPr>
                <w:rFonts w:cs="Calibri"/>
                <w:noProof w:val="0"/>
                <w:color w:val="FFFFFF"/>
                <w:szCs w:val="16"/>
              </w:rPr>
            </w:pPr>
            <w:r w:rsidRPr="00BE78CA">
              <w:rPr>
                <w:rFonts w:cs="Calibri"/>
                <w:noProof w:val="0"/>
                <w:color w:val="FFFFFF"/>
                <w:szCs w:val="16"/>
              </w:rPr>
              <w:t xml:space="preserve">2021 submission: </w:t>
            </w:r>
            <w:r w:rsidRPr="00BE78CA">
              <w:rPr>
                <w:rFonts w:cs="Calibri"/>
                <w:noProof w:val="0"/>
                <w:color w:val="FFFFFF"/>
                <w:szCs w:val="16"/>
              </w:rPr>
              <w:br/>
              <w:t>1990 estimate</w:t>
            </w:r>
          </w:p>
        </w:tc>
        <w:tc>
          <w:tcPr>
            <w:tcW w:w="1157" w:type="dxa"/>
            <w:tcBorders>
              <w:top w:val="nil"/>
              <w:left w:val="nil"/>
              <w:bottom w:val="single" w:sz="4" w:space="0" w:color="365F91"/>
              <w:right w:val="nil"/>
              <w:tl2br w:val="nil"/>
              <w:tr2bl w:val="nil"/>
            </w:tcBorders>
            <w:shd w:val="clear" w:color="auto" w:fill="365F91"/>
            <w:vAlign w:val="bottom"/>
          </w:tcPr>
          <w:p w14:paraId="2B633C2B" w14:textId="77777777" w:rsidR="00333601" w:rsidRPr="00BE78CA" w:rsidRDefault="00333601" w:rsidP="00C26084">
            <w:pPr>
              <w:pStyle w:val="TableTextBold"/>
              <w:keepNext/>
              <w:spacing w:before="40" w:after="40"/>
              <w:jc w:val="right"/>
              <w:rPr>
                <w:rFonts w:cs="Calibri"/>
                <w:noProof w:val="0"/>
                <w:color w:val="FFFFFF"/>
                <w:szCs w:val="16"/>
              </w:rPr>
            </w:pPr>
            <w:r w:rsidRPr="00BE78CA">
              <w:rPr>
                <w:rFonts w:cs="Calibri"/>
                <w:noProof w:val="0"/>
                <w:color w:val="FFFFFF"/>
                <w:szCs w:val="16"/>
              </w:rPr>
              <w:t>2020 submission:</w:t>
            </w:r>
            <w:r w:rsidRPr="00BE78CA">
              <w:rPr>
                <w:rFonts w:cs="Calibri"/>
                <w:noProof w:val="0"/>
                <w:color w:val="FFFFFF"/>
                <w:szCs w:val="16"/>
              </w:rPr>
              <w:br/>
              <w:t>2018 estimate</w:t>
            </w:r>
          </w:p>
        </w:tc>
        <w:tc>
          <w:tcPr>
            <w:tcW w:w="1134" w:type="dxa"/>
            <w:tcBorders>
              <w:top w:val="nil"/>
              <w:left w:val="nil"/>
              <w:bottom w:val="single" w:sz="4" w:space="0" w:color="365F91"/>
              <w:right w:val="nil"/>
              <w:tl2br w:val="nil"/>
              <w:tr2bl w:val="nil"/>
            </w:tcBorders>
            <w:shd w:val="clear" w:color="auto" w:fill="365F91"/>
            <w:vAlign w:val="bottom"/>
          </w:tcPr>
          <w:p w14:paraId="19081849" w14:textId="77777777" w:rsidR="00333601" w:rsidRPr="00BE78CA" w:rsidRDefault="00333601" w:rsidP="00C26084">
            <w:pPr>
              <w:pStyle w:val="TableTextBold"/>
              <w:keepNext/>
              <w:spacing w:before="0" w:after="40"/>
              <w:jc w:val="right"/>
              <w:rPr>
                <w:rFonts w:cs="Calibri"/>
                <w:noProof w:val="0"/>
                <w:color w:val="FFFFFF"/>
                <w:szCs w:val="16"/>
              </w:rPr>
            </w:pPr>
            <w:r w:rsidRPr="00BE78CA">
              <w:rPr>
                <w:rFonts w:cs="Calibri"/>
                <w:noProof w:val="0"/>
                <w:color w:val="FFFFFF"/>
                <w:szCs w:val="16"/>
              </w:rPr>
              <w:t xml:space="preserve">2021 submission: </w:t>
            </w:r>
            <w:r w:rsidRPr="00BE78CA">
              <w:rPr>
                <w:rFonts w:cs="Calibri"/>
                <w:noProof w:val="0"/>
                <w:color w:val="FFFFFF"/>
                <w:szCs w:val="16"/>
              </w:rPr>
              <w:br/>
              <w:t>2018 estimate</w:t>
            </w:r>
          </w:p>
        </w:tc>
        <w:tc>
          <w:tcPr>
            <w:tcW w:w="1031" w:type="dxa"/>
            <w:vMerge/>
            <w:tcBorders>
              <w:top w:val="nil"/>
              <w:left w:val="nil"/>
              <w:bottom w:val="nil"/>
              <w:right w:val="nil"/>
              <w:tl2br w:val="nil"/>
              <w:tr2bl w:val="nil"/>
            </w:tcBorders>
            <w:shd w:val="clear" w:color="auto" w:fill="365F91"/>
            <w:noWrap/>
            <w:vAlign w:val="bottom"/>
          </w:tcPr>
          <w:p w14:paraId="66987A1D" w14:textId="77777777" w:rsidR="00333601" w:rsidRPr="00BE78CA" w:rsidRDefault="00333601" w:rsidP="00C26084">
            <w:pPr>
              <w:pStyle w:val="TableTextBold"/>
              <w:keepNext/>
              <w:spacing w:before="40" w:after="40"/>
              <w:jc w:val="right"/>
              <w:rPr>
                <w:rFonts w:eastAsia="Arial" w:cs="Calibri"/>
                <w:noProof w:val="0"/>
                <w:color w:val="FFFFFF"/>
                <w:szCs w:val="16"/>
              </w:rPr>
            </w:pPr>
          </w:p>
        </w:tc>
        <w:tc>
          <w:tcPr>
            <w:tcW w:w="1060" w:type="dxa"/>
            <w:vMerge/>
            <w:tcBorders>
              <w:top w:val="nil"/>
              <w:left w:val="nil"/>
              <w:bottom w:val="nil"/>
              <w:right w:val="nil"/>
              <w:tl2br w:val="nil"/>
              <w:tr2bl w:val="nil"/>
            </w:tcBorders>
            <w:shd w:val="clear" w:color="auto" w:fill="365F91"/>
            <w:noWrap/>
            <w:vAlign w:val="bottom"/>
          </w:tcPr>
          <w:p w14:paraId="0291A353" w14:textId="77777777" w:rsidR="00333601" w:rsidRPr="00BE78CA" w:rsidRDefault="00333601" w:rsidP="00C26084">
            <w:pPr>
              <w:pStyle w:val="TableTextBold"/>
              <w:keepNext/>
              <w:spacing w:before="40" w:after="40"/>
              <w:jc w:val="right"/>
              <w:rPr>
                <w:rFonts w:eastAsia="Arial" w:cs="Calibri"/>
                <w:noProof w:val="0"/>
                <w:color w:val="FFFFFF"/>
                <w:szCs w:val="16"/>
              </w:rPr>
            </w:pPr>
          </w:p>
        </w:tc>
      </w:tr>
      <w:tr w:rsidR="00333601" w:rsidRPr="00BE78CA" w14:paraId="0490D257" w14:textId="77777777" w:rsidTr="00530FA4">
        <w:tc>
          <w:tcPr>
            <w:tcW w:w="1928" w:type="dxa"/>
            <w:tcBorders>
              <w:top w:val="single" w:sz="8" w:space="0" w:color="365F91"/>
              <w:left w:val="nil"/>
              <w:bottom w:val="single" w:sz="4" w:space="0" w:color="2E74B5"/>
              <w:right w:val="nil"/>
            </w:tcBorders>
            <w:shd w:val="clear" w:color="auto" w:fill="auto"/>
          </w:tcPr>
          <w:p w14:paraId="54093118" w14:textId="77777777" w:rsidR="00333601" w:rsidRPr="00BE78CA" w:rsidRDefault="00333601" w:rsidP="003E73F4">
            <w:pPr>
              <w:pStyle w:val="TableText"/>
              <w:keepNext/>
              <w:spacing w:before="50" w:after="50"/>
              <w:rPr>
                <w:rFonts w:eastAsia="Arial" w:cs="Calibri"/>
                <w:szCs w:val="16"/>
              </w:rPr>
            </w:pPr>
            <w:r w:rsidRPr="00BE78CA">
              <w:rPr>
                <w:rFonts w:eastAsia="Arial" w:cs="Calibri"/>
                <w:szCs w:val="16"/>
              </w:rPr>
              <w:t>Forest land</w:t>
            </w:r>
          </w:p>
        </w:tc>
        <w:tc>
          <w:tcPr>
            <w:tcW w:w="1144" w:type="dxa"/>
            <w:tcBorders>
              <w:top w:val="single" w:sz="4" w:space="0" w:color="365F91"/>
              <w:left w:val="nil"/>
              <w:bottom w:val="single" w:sz="4" w:space="0" w:color="2E74B5"/>
              <w:right w:val="nil"/>
            </w:tcBorders>
            <w:shd w:val="clear" w:color="auto" w:fill="auto"/>
          </w:tcPr>
          <w:p w14:paraId="7FAD4C38" w14:textId="77777777" w:rsidR="00333601" w:rsidRPr="00BE78CA" w:rsidRDefault="00333601" w:rsidP="003E73F4">
            <w:pPr>
              <w:pStyle w:val="TableText"/>
              <w:spacing w:before="50" w:after="50"/>
              <w:jc w:val="right"/>
              <w:rPr>
                <w:rFonts w:cs="Calibri"/>
                <w:szCs w:val="16"/>
              </w:rPr>
            </w:pPr>
            <w:r w:rsidRPr="00BE78CA">
              <w:t xml:space="preserve">–26,961.3 </w:t>
            </w:r>
          </w:p>
        </w:tc>
        <w:tc>
          <w:tcPr>
            <w:tcW w:w="1145" w:type="dxa"/>
            <w:tcBorders>
              <w:top w:val="single" w:sz="4" w:space="0" w:color="365F91"/>
              <w:left w:val="nil"/>
              <w:bottom w:val="single" w:sz="4" w:space="0" w:color="2E74B5"/>
              <w:right w:val="nil"/>
            </w:tcBorders>
            <w:shd w:val="clear" w:color="auto" w:fill="auto"/>
          </w:tcPr>
          <w:p w14:paraId="3651ECC4" w14:textId="77777777" w:rsidR="00333601" w:rsidRPr="00BE78CA" w:rsidRDefault="00333601" w:rsidP="003E73F4">
            <w:pPr>
              <w:pStyle w:val="TableText"/>
              <w:spacing w:before="50" w:after="50"/>
              <w:jc w:val="right"/>
              <w:rPr>
                <w:rFonts w:cs="Calibri"/>
                <w:szCs w:val="16"/>
              </w:rPr>
            </w:pPr>
            <w:r w:rsidRPr="00BE78CA">
              <w:t xml:space="preserve">–23,174.2 </w:t>
            </w:r>
          </w:p>
        </w:tc>
        <w:tc>
          <w:tcPr>
            <w:tcW w:w="1157" w:type="dxa"/>
            <w:tcBorders>
              <w:top w:val="single" w:sz="4" w:space="0" w:color="365F91"/>
              <w:left w:val="nil"/>
              <w:bottom w:val="single" w:sz="4" w:space="0" w:color="2E74B5"/>
              <w:right w:val="nil"/>
            </w:tcBorders>
            <w:shd w:val="clear" w:color="auto" w:fill="auto"/>
          </w:tcPr>
          <w:p w14:paraId="7FF4EEBF" w14:textId="77777777" w:rsidR="00333601" w:rsidRPr="00BE78CA" w:rsidRDefault="00333601" w:rsidP="003E73F4">
            <w:pPr>
              <w:pStyle w:val="TableText"/>
              <w:spacing w:before="50" w:after="50"/>
              <w:jc w:val="right"/>
              <w:rPr>
                <w:rFonts w:cs="Calibri"/>
                <w:szCs w:val="16"/>
              </w:rPr>
            </w:pPr>
            <w:r w:rsidRPr="00BE78CA">
              <w:t xml:space="preserve">–16,907.2 </w:t>
            </w:r>
          </w:p>
        </w:tc>
        <w:tc>
          <w:tcPr>
            <w:tcW w:w="1134" w:type="dxa"/>
            <w:tcBorders>
              <w:top w:val="single" w:sz="4" w:space="0" w:color="365F91"/>
              <w:left w:val="nil"/>
              <w:bottom w:val="single" w:sz="4" w:space="0" w:color="2E74B5"/>
              <w:right w:val="nil"/>
            </w:tcBorders>
            <w:shd w:val="clear" w:color="auto" w:fill="auto"/>
          </w:tcPr>
          <w:p w14:paraId="72780387" w14:textId="77777777" w:rsidR="00333601" w:rsidRPr="00BE78CA" w:rsidRDefault="00333601" w:rsidP="003E73F4">
            <w:pPr>
              <w:pStyle w:val="TableText"/>
              <w:spacing w:before="50" w:after="50"/>
              <w:jc w:val="right"/>
              <w:rPr>
                <w:rFonts w:cs="Calibri"/>
                <w:szCs w:val="16"/>
              </w:rPr>
            </w:pPr>
            <w:r w:rsidRPr="00BE78CA">
              <w:t>–21,885.0</w:t>
            </w:r>
          </w:p>
        </w:tc>
        <w:tc>
          <w:tcPr>
            <w:tcW w:w="1031" w:type="dxa"/>
            <w:tcBorders>
              <w:top w:val="single" w:sz="8" w:space="0" w:color="365F91"/>
              <w:left w:val="nil"/>
              <w:bottom w:val="single" w:sz="4" w:space="0" w:color="2E74B5"/>
              <w:right w:val="nil"/>
            </w:tcBorders>
            <w:shd w:val="clear" w:color="auto" w:fill="auto"/>
          </w:tcPr>
          <w:p w14:paraId="012C52D9" w14:textId="77777777" w:rsidR="00333601" w:rsidRPr="00BE78CA" w:rsidRDefault="00333601" w:rsidP="003E73F4">
            <w:pPr>
              <w:pStyle w:val="TableText"/>
              <w:spacing w:before="50" w:after="50"/>
              <w:jc w:val="right"/>
              <w:rPr>
                <w:rFonts w:cs="Calibri"/>
                <w:szCs w:val="16"/>
              </w:rPr>
            </w:pPr>
            <w:r w:rsidRPr="00BE78CA">
              <w:t>14.0</w:t>
            </w:r>
          </w:p>
        </w:tc>
        <w:tc>
          <w:tcPr>
            <w:tcW w:w="1060" w:type="dxa"/>
            <w:tcBorders>
              <w:top w:val="single" w:sz="8" w:space="0" w:color="365F91"/>
              <w:left w:val="nil"/>
              <w:bottom w:val="single" w:sz="4" w:space="0" w:color="2E74B5"/>
              <w:right w:val="nil"/>
            </w:tcBorders>
            <w:shd w:val="clear" w:color="auto" w:fill="auto"/>
          </w:tcPr>
          <w:p w14:paraId="1C730B9A" w14:textId="77777777" w:rsidR="00333601" w:rsidRPr="00BE78CA" w:rsidRDefault="00333601" w:rsidP="003E73F4">
            <w:pPr>
              <w:pStyle w:val="TableText"/>
              <w:spacing w:before="50" w:after="50"/>
              <w:jc w:val="right"/>
              <w:rPr>
                <w:rFonts w:cs="Calibri"/>
                <w:szCs w:val="16"/>
              </w:rPr>
            </w:pPr>
            <w:r w:rsidRPr="00BE78CA">
              <w:t>–29.4</w:t>
            </w:r>
          </w:p>
        </w:tc>
      </w:tr>
      <w:tr w:rsidR="00333601" w:rsidRPr="00BE78CA" w14:paraId="43775664" w14:textId="77777777" w:rsidTr="00530FA4">
        <w:tc>
          <w:tcPr>
            <w:tcW w:w="1928" w:type="dxa"/>
            <w:tcBorders>
              <w:top w:val="single" w:sz="4" w:space="0" w:color="2E74B5"/>
              <w:left w:val="nil"/>
              <w:bottom w:val="single" w:sz="4" w:space="0" w:color="2E74B5"/>
              <w:right w:val="nil"/>
              <w:tl2br w:val="nil"/>
              <w:tr2bl w:val="nil"/>
            </w:tcBorders>
            <w:shd w:val="clear" w:color="auto" w:fill="auto"/>
          </w:tcPr>
          <w:p w14:paraId="42E205D8" w14:textId="77777777" w:rsidR="00333601" w:rsidRPr="00BE78CA" w:rsidRDefault="00333601" w:rsidP="003E73F4">
            <w:pPr>
              <w:pStyle w:val="TableText"/>
              <w:keepNext/>
              <w:spacing w:before="50" w:after="50"/>
              <w:rPr>
                <w:rFonts w:eastAsia="Arial" w:cs="Calibri"/>
                <w:szCs w:val="16"/>
              </w:rPr>
            </w:pPr>
            <w:r w:rsidRPr="00BE78CA">
              <w:rPr>
                <w:rFonts w:eastAsia="Arial" w:cs="Calibri"/>
                <w:szCs w:val="16"/>
              </w:rPr>
              <w:t>Cropland</w:t>
            </w:r>
          </w:p>
        </w:tc>
        <w:tc>
          <w:tcPr>
            <w:tcW w:w="1144" w:type="dxa"/>
            <w:tcBorders>
              <w:top w:val="single" w:sz="4" w:space="0" w:color="2E74B5"/>
              <w:left w:val="nil"/>
              <w:bottom w:val="single" w:sz="4" w:space="0" w:color="2E74B5"/>
              <w:right w:val="nil"/>
              <w:tl2br w:val="nil"/>
              <w:tr2bl w:val="nil"/>
            </w:tcBorders>
            <w:shd w:val="clear" w:color="auto" w:fill="auto"/>
          </w:tcPr>
          <w:p w14:paraId="7407146F" w14:textId="77777777" w:rsidR="00333601" w:rsidRPr="00BE78CA" w:rsidRDefault="00333601" w:rsidP="003E73F4">
            <w:pPr>
              <w:pStyle w:val="TableText"/>
              <w:spacing w:before="50" w:after="50"/>
              <w:jc w:val="right"/>
              <w:rPr>
                <w:rFonts w:cs="Calibri"/>
                <w:szCs w:val="16"/>
              </w:rPr>
            </w:pPr>
            <w:r w:rsidRPr="00BE78CA">
              <w:t xml:space="preserve">476.2 </w:t>
            </w:r>
          </w:p>
        </w:tc>
        <w:tc>
          <w:tcPr>
            <w:tcW w:w="1145" w:type="dxa"/>
            <w:tcBorders>
              <w:top w:val="single" w:sz="4" w:space="0" w:color="2E74B5"/>
              <w:left w:val="nil"/>
              <w:bottom w:val="single" w:sz="4" w:space="0" w:color="2E74B5"/>
              <w:right w:val="nil"/>
              <w:tl2br w:val="nil"/>
              <w:tr2bl w:val="nil"/>
            </w:tcBorders>
            <w:shd w:val="clear" w:color="auto" w:fill="auto"/>
          </w:tcPr>
          <w:p w14:paraId="4EA7CA21" w14:textId="77777777" w:rsidR="00333601" w:rsidRPr="00BE78CA" w:rsidRDefault="00333601" w:rsidP="003E73F4">
            <w:pPr>
              <w:pStyle w:val="TableText"/>
              <w:spacing w:before="50" w:after="50"/>
              <w:jc w:val="right"/>
              <w:rPr>
                <w:rFonts w:cs="Calibri"/>
                <w:szCs w:val="16"/>
              </w:rPr>
            </w:pPr>
            <w:r w:rsidRPr="00BE78CA">
              <w:t xml:space="preserve">476.0 </w:t>
            </w:r>
          </w:p>
        </w:tc>
        <w:tc>
          <w:tcPr>
            <w:tcW w:w="1157" w:type="dxa"/>
            <w:tcBorders>
              <w:top w:val="single" w:sz="4" w:space="0" w:color="2E74B5"/>
              <w:left w:val="nil"/>
              <w:bottom w:val="single" w:sz="4" w:space="0" w:color="2E74B5"/>
              <w:right w:val="nil"/>
              <w:tl2br w:val="nil"/>
              <w:tr2bl w:val="nil"/>
            </w:tcBorders>
            <w:shd w:val="clear" w:color="auto" w:fill="auto"/>
          </w:tcPr>
          <w:p w14:paraId="16022BBB" w14:textId="77777777" w:rsidR="00333601" w:rsidRPr="00BE78CA" w:rsidRDefault="00333601" w:rsidP="003E73F4">
            <w:pPr>
              <w:pStyle w:val="TableText"/>
              <w:spacing w:before="50" w:after="50"/>
              <w:jc w:val="right"/>
              <w:rPr>
                <w:rFonts w:cs="Calibri"/>
                <w:szCs w:val="16"/>
              </w:rPr>
            </w:pPr>
            <w:r w:rsidRPr="00BE78CA">
              <w:t xml:space="preserve">391.3 </w:t>
            </w:r>
          </w:p>
        </w:tc>
        <w:tc>
          <w:tcPr>
            <w:tcW w:w="1134" w:type="dxa"/>
            <w:tcBorders>
              <w:top w:val="single" w:sz="4" w:space="0" w:color="2E74B5"/>
              <w:left w:val="nil"/>
              <w:bottom w:val="single" w:sz="4" w:space="0" w:color="2E74B5"/>
              <w:right w:val="nil"/>
              <w:tl2br w:val="nil"/>
              <w:tr2bl w:val="nil"/>
            </w:tcBorders>
            <w:shd w:val="clear" w:color="auto" w:fill="auto"/>
          </w:tcPr>
          <w:p w14:paraId="6C54734E" w14:textId="77777777" w:rsidR="00333601" w:rsidRPr="00BE78CA" w:rsidRDefault="00333601" w:rsidP="003E73F4">
            <w:pPr>
              <w:pStyle w:val="TableText"/>
              <w:spacing w:before="50" w:after="50"/>
              <w:jc w:val="right"/>
              <w:rPr>
                <w:rFonts w:cs="Calibri"/>
                <w:szCs w:val="16"/>
              </w:rPr>
            </w:pPr>
            <w:r w:rsidRPr="00BE78CA">
              <w:t xml:space="preserve">391.3 </w:t>
            </w:r>
          </w:p>
        </w:tc>
        <w:tc>
          <w:tcPr>
            <w:tcW w:w="1031" w:type="dxa"/>
            <w:tcBorders>
              <w:top w:val="single" w:sz="4" w:space="0" w:color="2E74B5"/>
              <w:left w:val="nil"/>
              <w:bottom w:val="single" w:sz="4" w:space="0" w:color="2E74B5"/>
              <w:right w:val="nil"/>
              <w:tl2br w:val="nil"/>
              <w:tr2bl w:val="nil"/>
            </w:tcBorders>
            <w:shd w:val="clear" w:color="auto" w:fill="auto"/>
          </w:tcPr>
          <w:p w14:paraId="7ED87763" w14:textId="77777777" w:rsidR="00333601" w:rsidRPr="00BE78CA" w:rsidRDefault="00333601" w:rsidP="003E73F4">
            <w:pPr>
              <w:pStyle w:val="TableText"/>
              <w:spacing w:before="50" w:after="50"/>
              <w:jc w:val="right"/>
              <w:rPr>
                <w:rFonts w:cs="Calibri"/>
                <w:szCs w:val="16"/>
              </w:rPr>
            </w:pPr>
            <w:r w:rsidRPr="00BE78CA">
              <w:t>–0.0</w:t>
            </w:r>
          </w:p>
        </w:tc>
        <w:tc>
          <w:tcPr>
            <w:tcW w:w="1060" w:type="dxa"/>
            <w:tcBorders>
              <w:top w:val="single" w:sz="4" w:space="0" w:color="2E74B5"/>
              <w:left w:val="nil"/>
              <w:bottom w:val="single" w:sz="4" w:space="0" w:color="2E74B5"/>
              <w:right w:val="nil"/>
              <w:tl2br w:val="nil"/>
              <w:tr2bl w:val="nil"/>
            </w:tcBorders>
            <w:shd w:val="clear" w:color="auto" w:fill="auto"/>
          </w:tcPr>
          <w:p w14:paraId="5168FB23" w14:textId="77777777" w:rsidR="00333601" w:rsidRPr="00BE78CA" w:rsidRDefault="00333601" w:rsidP="003E73F4">
            <w:pPr>
              <w:pStyle w:val="TableText"/>
              <w:spacing w:before="50" w:after="50"/>
              <w:jc w:val="right"/>
              <w:rPr>
                <w:rFonts w:cs="Calibri"/>
                <w:szCs w:val="16"/>
              </w:rPr>
            </w:pPr>
            <w:r w:rsidRPr="00BE78CA">
              <w:t>–0.0</w:t>
            </w:r>
          </w:p>
        </w:tc>
      </w:tr>
      <w:tr w:rsidR="00333601" w:rsidRPr="00BE78CA" w14:paraId="6AA650B2" w14:textId="77777777" w:rsidTr="00530FA4">
        <w:tc>
          <w:tcPr>
            <w:tcW w:w="1928" w:type="dxa"/>
            <w:tcBorders>
              <w:top w:val="single" w:sz="4" w:space="0" w:color="2E74B5"/>
              <w:left w:val="nil"/>
              <w:bottom w:val="single" w:sz="4" w:space="0" w:color="2E74B5"/>
              <w:right w:val="nil"/>
            </w:tcBorders>
            <w:shd w:val="clear" w:color="auto" w:fill="auto"/>
          </w:tcPr>
          <w:p w14:paraId="543A0AA6" w14:textId="77777777" w:rsidR="00333601" w:rsidRPr="00BE78CA" w:rsidRDefault="00333601" w:rsidP="003E73F4">
            <w:pPr>
              <w:pStyle w:val="TableText"/>
              <w:spacing w:before="50" w:after="50"/>
              <w:rPr>
                <w:rFonts w:eastAsia="Arial" w:cs="Calibri"/>
                <w:szCs w:val="16"/>
              </w:rPr>
            </w:pPr>
            <w:r w:rsidRPr="00BE78CA">
              <w:rPr>
                <w:rFonts w:eastAsia="Arial" w:cs="Calibri"/>
                <w:szCs w:val="16"/>
              </w:rPr>
              <w:t>Grassland</w:t>
            </w:r>
          </w:p>
        </w:tc>
        <w:tc>
          <w:tcPr>
            <w:tcW w:w="1144" w:type="dxa"/>
            <w:tcBorders>
              <w:top w:val="single" w:sz="4" w:space="0" w:color="2E74B5"/>
              <w:left w:val="nil"/>
              <w:bottom w:val="single" w:sz="4" w:space="0" w:color="2E74B5"/>
              <w:right w:val="nil"/>
            </w:tcBorders>
            <w:shd w:val="clear" w:color="auto" w:fill="auto"/>
          </w:tcPr>
          <w:p w14:paraId="51B777B7" w14:textId="77777777" w:rsidR="00333601" w:rsidRPr="00BE78CA" w:rsidRDefault="00333601" w:rsidP="003E73F4">
            <w:pPr>
              <w:pStyle w:val="TableText"/>
              <w:spacing w:before="50" w:after="50"/>
              <w:jc w:val="right"/>
              <w:rPr>
                <w:rFonts w:cs="Calibri"/>
                <w:szCs w:val="16"/>
              </w:rPr>
            </w:pPr>
            <w:r w:rsidRPr="00BE78CA">
              <w:t xml:space="preserve">186.3 </w:t>
            </w:r>
          </w:p>
        </w:tc>
        <w:tc>
          <w:tcPr>
            <w:tcW w:w="1145" w:type="dxa"/>
            <w:tcBorders>
              <w:top w:val="single" w:sz="4" w:space="0" w:color="2E74B5"/>
              <w:left w:val="nil"/>
              <w:bottom w:val="single" w:sz="4" w:space="0" w:color="2E74B5"/>
              <w:right w:val="nil"/>
            </w:tcBorders>
            <w:shd w:val="clear" w:color="auto" w:fill="auto"/>
          </w:tcPr>
          <w:p w14:paraId="06789986" w14:textId="77777777" w:rsidR="00333601" w:rsidRPr="00BE78CA" w:rsidRDefault="00333601" w:rsidP="003E73F4">
            <w:pPr>
              <w:pStyle w:val="TableText"/>
              <w:spacing w:before="50" w:after="50"/>
              <w:jc w:val="right"/>
              <w:rPr>
                <w:rFonts w:cs="Calibri"/>
                <w:szCs w:val="16"/>
              </w:rPr>
            </w:pPr>
            <w:r w:rsidRPr="00BE78CA">
              <w:t xml:space="preserve">680.2 </w:t>
            </w:r>
          </w:p>
        </w:tc>
        <w:tc>
          <w:tcPr>
            <w:tcW w:w="1157" w:type="dxa"/>
            <w:tcBorders>
              <w:top w:val="single" w:sz="4" w:space="0" w:color="2E74B5"/>
              <w:left w:val="nil"/>
              <w:bottom w:val="single" w:sz="4" w:space="0" w:color="2E74B5"/>
              <w:right w:val="nil"/>
            </w:tcBorders>
            <w:shd w:val="clear" w:color="auto" w:fill="auto"/>
          </w:tcPr>
          <w:p w14:paraId="5BA66EB0" w14:textId="77777777" w:rsidR="00333601" w:rsidRPr="00BE78CA" w:rsidRDefault="00333601" w:rsidP="003E73F4">
            <w:pPr>
              <w:pStyle w:val="TableText"/>
              <w:spacing w:before="50" w:after="50"/>
              <w:jc w:val="right"/>
              <w:rPr>
                <w:rFonts w:cs="Calibri"/>
                <w:szCs w:val="16"/>
              </w:rPr>
            </w:pPr>
            <w:r w:rsidRPr="00BE78CA">
              <w:t xml:space="preserve">3,699.9 </w:t>
            </w:r>
          </w:p>
        </w:tc>
        <w:tc>
          <w:tcPr>
            <w:tcW w:w="1134" w:type="dxa"/>
            <w:tcBorders>
              <w:top w:val="single" w:sz="4" w:space="0" w:color="2E74B5"/>
              <w:left w:val="nil"/>
              <w:bottom w:val="single" w:sz="4" w:space="0" w:color="2E74B5"/>
              <w:right w:val="nil"/>
            </w:tcBorders>
            <w:shd w:val="clear" w:color="auto" w:fill="auto"/>
          </w:tcPr>
          <w:p w14:paraId="1AF13AF2" w14:textId="77777777" w:rsidR="00333601" w:rsidRPr="00BE78CA" w:rsidRDefault="00333601" w:rsidP="003E73F4">
            <w:pPr>
              <w:pStyle w:val="TableText"/>
              <w:spacing w:before="50" w:after="50"/>
              <w:jc w:val="right"/>
              <w:rPr>
                <w:rFonts w:cs="Calibri"/>
                <w:szCs w:val="16"/>
              </w:rPr>
            </w:pPr>
            <w:r w:rsidRPr="00BE78CA">
              <w:t xml:space="preserve">3,936.5 </w:t>
            </w:r>
          </w:p>
        </w:tc>
        <w:tc>
          <w:tcPr>
            <w:tcW w:w="1031" w:type="dxa"/>
            <w:tcBorders>
              <w:top w:val="single" w:sz="4" w:space="0" w:color="2E74B5"/>
              <w:left w:val="nil"/>
              <w:bottom w:val="single" w:sz="4" w:space="0" w:color="2E74B5"/>
              <w:right w:val="nil"/>
            </w:tcBorders>
            <w:shd w:val="clear" w:color="auto" w:fill="auto"/>
          </w:tcPr>
          <w:p w14:paraId="336F03B2" w14:textId="77777777" w:rsidR="00333601" w:rsidRPr="00BE78CA" w:rsidRDefault="00333601" w:rsidP="003E73F4">
            <w:pPr>
              <w:pStyle w:val="TableText"/>
              <w:spacing w:before="50" w:after="50"/>
              <w:jc w:val="right"/>
              <w:rPr>
                <w:rFonts w:cs="Calibri"/>
                <w:szCs w:val="16"/>
              </w:rPr>
            </w:pPr>
            <w:r w:rsidRPr="00BE78CA">
              <w:t>265.1</w:t>
            </w:r>
          </w:p>
        </w:tc>
        <w:tc>
          <w:tcPr>
            <w:tcW w:w="1060" w:type="dxa"/>
            <w:tcBorders>
              <w:top w:val="single" w:sz="4" w:space="0" w:color="2E74B5"/>
              <w:left w:val="nil"/>
              <w:bottom w:val="single" w:sz="4" w:space="0" w:color="2E74B5"/>
              <w:right w:val="nil"/>
            </w:tcBorders>
            <w:shd w:val="clear" w:color="auto" w:fill="auto"/>
          </w:tcPr>
          <w:p w14:paraId="44ED9CD4" w14:textId="77777777" w:rsidR="00333601" w:rsidRPr="00BE78CA" w:rsidRDefault="00333601" w:rsidP="003E73F4">
            <w:pPr>
              <w:pStyle w:val="TableText"/>
              <w:spacing w:before="50" w:after="50"/>
              <w:jc w:val="right"/>
              <w:rPr>
                <w:rFonts w:cs="Calibri"/>
                <w:szCs w:val="16"/>
              </w:rPr>
            </w:pPr>
            <w:r w:rsidRPr="00BE78CA">
              <w:t>6.4</w:t>
            </w:r>
          </w:p>
        </w:tc>
      </w:tr>
      <w:tr w:rsidR="00333601" w:rsidRPr="00BE78CA" w14:paraId="4739A463" w14:textId="77777777" w:rsidTr="00530FA4">
        <w:tc>
          <w:tcPr>
            <w:tcW w:w="1928" w:type="dxa"/>
            <w:tcBorders>
              <w:top w:val="single" w:sz="4" w:space="0" w:color="2E74B5"/>
              <w:left w:val="nil"/>
              <w:bottom w:val="single" w:sz="4" w:space="0" w:color="2E74B5"/>
              <w:right w:val="nil"/>
              <w:tl2br w:val="nil"/>
              <w:tr2bl w:val="nil"/>
            </w:tcBorders>
            <w:shd w:val="clear" w:color="auto" w:fill="auto"/>
          </w:tcPr>
          <w:p w14:paraId="0972BB26" w14:textId="77777777" w:rsidR="00333601" w:rsidRPr="00BE78CA" w:rsidRDefault="00333601" w:rsidP="003E73F4">
            <w:pPr>
              <w:pStyle w:val="TableText"/>
              <w:spacing w:before="50" w:after="50"/>
              <w:rPr>
                <w:rFonts w:eastAsia="Arial" w:cs="Calibri"/>
                <w:szCs w:val="16"/>
              </w:rPr>
            </w:pPr>
            <w:r w:rsidRPr="00BE78CA">
              <w:rPr>
                <w:rFonts w:eastAsia="Arial" w:cs="Calibri"/>
                <w:szCs w:val="16"/>
              </w:rPr>
              <w:t>Wetlands</w:t>
            </w:r>
          </w:p>
        </w:tc>
        <w:tc>
          <w:tcPr>
            <w:tcW w:w="1144" w:type="dxa"/>
            <w:tcBorders>
              <w:top w:val="single" w:sz="4" w:space="0" w:color="2E74B5"/>
              <w:left w:val="nil"/>
              <w:bottom w:val="single" w:sz="4" w:space="0" w:color="2E74B5"/>
              <w:right w:val="nil"/>
              <w:tl2br w:val="nil"/>
              <w:tr2bl w:val="nil"/>
            </w:tcBorders>
            <w:shd w:val="clear" w:color="auto" w:fill="auto"/>
          </w:tcPr>
          <w:p w14:paraId="1182454C" w14:textId="77777777" w:rsidR="00333601" w:rsidRPr="00BE78CA" w:rsidRDefault="00333601" w:rsidP="003E73F4">
            <w:pPr>
              <w:pStyle w:val="TableText"/>
              <w:spacing w:before="50" w:after="50"/>
              <w:jc w:val="right"/>
              <w:rPr>
                <w:rFonts w:cs="Calibri"/>
                <w:szCs w:val="16"/>
              </w:rPr>
            </w:pPr>
            <w:r w:rsidRPr="00BE78CA">
              <w:t xml:space="preserve">–10.7 </w:t>
            </w:r>
          </w:p>
        </w:tc>
        <w:tc>
          <w:tcPr>
            <w:tcW w:w="1145" w:type="dxa"/>
            <w:tcBorders>
              <w:top w:val="single" w:sz="4" w:space="0" w:color="2E74B5"/>
              <w:left w:val="nil"/>
              <w:bottom w:val="single" w:sz="4" w:space="0" w:color="2E74B5"/>
              <w:right w:val="nil"/>
              <w:tl2br w:val="nil"/>
              <w:tr2bl w:val="nil"/>
            </w:tcBorders>
            <w:shd w:val="clear" w:color="auto" w:fill="auto"/>
            <w:noWrap/>
          </w:tcPr>
          <w:p w14:paraId="4DA939B1" w14:textId="77777777" w:rsidR="00333601" w:rsidRPr="00BE78CA" w:rsidRDefault="00333601" w:rsidP="003E73F4">
            <w:pPr>
              <w:pStyle w:val="TableText"/>
              <w:spacing w:before="50" w:after="50"/>
              <w:jc w:val="right"/>
              <w:rPr>
                <w:rFonts w:cs="Calibri"/>
                <w:szCs w:val="16"/>
              </w:rPr>
            </w:pPr>
            <w:r w:rsidRPr="00BE78CA">
              <w:t xml:space="preserve">–10.7 </w:t>
            </w:r>
          </w:p>
        </w:tc>
        <w:tc>
          <w:tcPr>
            <w:tcW w:w="1157" w:type="dxa"/>
            <w:tcBorders>
              <w:top w:val="single" w:sz="4" w:space="0" w:color="2E74B5"/>
              <w:left w:val="nil"/>
              <w:bottom w:val="single" w:sz="4" w:space="0" w:color="2E74B5"/>
              <w:right w:val="nil"/>
              <w:tl2br w:val="nil"/>
              <w:tr2bl w:val="nil"/>
            </w:tcBorders>
            <w:shd w:val="clear" w:color="auto" w:fill="auto"/>
            <w:noWrap/>
          </w:tcPr>
          <w:p w14:paraId="70172745" w14:textId="77777777" w:rsidR="00333601" w:rsidRPr="00BE78CA" w:rsidRDefault="00333601" w:rsidP="003E73F4">
            <w:pPr>
              <w:pStyle w:val="TableText"/>
              <w:spacing w:before="50" w:after="50"/>
              <w:jc w:val="right"/>
              <w:rPr>
                <w:rFonts w:cs="Calibri"/>
                <w:szCs w:val="16"/>
              </w:rPr>
            </w:pPr>
            <w:r w:rsidRPr="00BE78CA">
              <w:t xml:space="preserve">13.6 </w:t>
            </w:r>
          </w:p>
        </w:tc>
        <w:tc>
          <w:tcPr>
            <w:tcW w:w="1134" w:type="dxa"/>
            <w:tcBorders>
              <w:top w:val="single" w:sz="4" w:space="0" w:color="2E74B5"/>
              <w:left w:val="nil"/>
              <w:bottom w:val="single" w:sz="4" w:space="0" w:color="2E74B5"/>
              <w:right w:val="nil"/>
              <w:tl2br w:val="nil"/>
              <w:tr2bl w:val="nil"/>
            </w:tcBorders>
            <w:shd w:val="clear" w:color="auto" w:fill="auto"/>
          </w:tcPr>
          <w:p w14:paraId="434A7874" w14:textId="77777777" w:rsidR="00333601" w:rsidRPr="00BE78CA" w:rsidRDefault="00333601" w:rsidP="003E73F4">
            <w:pPr>
              <w:pStyle w:val="TableText"/>
              <w:spacing w:before="50" w:after="50"/>
              <w:jc w:val="right"/>
              <w:rPr>
                <w:rFonts w:cs="Calibri"/>
                <w:szCs w:val="16"/>
              </w:rPr>
            </w:pPr>
            <w:r w:rsidRPr="00BE78CA">
              <w:t xml:space="preserve">13.4 </w:t>
            </w:r>
          </w:p>
        </w:tc>
        <w:tc>
          <w:tcPr>
            <w:tcW w:w="1031" w:type="dxa"/>
            <w:tcBorders>
              <w:top w:val="single" w:sz="4" w:space="0" w:color="2E74B5"/>
              <w:left w:val="nil"/>
              <w:bottom w:val="single" w:sz="4" w:space="0" w:color="2E74B5"/>
              <w:right w:val="nil"/>
              <w:tl2br w:val="nil"/>
              <w:tr2bl w:val="nil"/>
            </w:tcBorders>
            <w:shd w:val="clear" w:color="auto" w:fill="auto"/>
          </w:tcPr>
          <w:p w14:paraId="1AFBD3AF" w14:textId="77777777" w:rsidR="00333601" w:rsidRPr="00BE78CA" w:rsidRDefault="00333601" w:rsidP="003E73F4">
            <w:pPr>
              <w:pStyle w:val="TableText"/>
              <w:spacing w:before="50" w:after="50"/>
              <w:jc w:val="right"/>
              <w:rPr>
                <w:rFonts w:cs="Calibri"/>
                <w:szCs w:val="16"/>
              </w:rPr>
            </w:pPr>
            <w:r w:rsidRPr="00BE78CA">
              <w:t>–0.2</w:t>
            </w:r>
          </w:p>
        </w:tc>
        <w:tc>
          <w:tcPr>
            <w:tcW w:w="1060" w:type="dxa"/>
            <w:tcBorders>
              <w:top w:val="single" w:sz="4" w:space="0" w:color="2E74B5"/>
              <w:left w:val="nil"/>
              <w:bottom w:val="single" w:sz="4" w:space="0" w:color="2E74B5"/>
              <w:right w:val="nil"/>
              <w:tl2br w:val="nil"/>
              <w:tr2bl w:val="nil"/>
            </w:tcBorders>
            <w:shd w:val="clear" w:color="auto" w:fill="auto"/>
          </w:tcPr>
          <w:p w14:paraId="49F4965F" w14:textId="77777777" w:rsidR="00333601" w:rsidRPr="00BE78CA" w:rsidRDefault="00333601" w:rsidP="003E73F4">
            <w:pPr>
              <w:pStyle w:val="TableText"/>
              <w:spacing w:before="50" w:after="50"/>
              <w:jc w:val="right"/>
              <w:rPr>
                <w:rFonts w:cs="Calibri"/>
                <w:szCs w:val="16"/>
              </w:rPr>
            </w:pPr>
            <w:r w:rsidRPr="00BE78CA">
              <w:t>–1.1</w:t>
            </w:r>
          </w:p>
        </w:tc>
      </w:tr>
      <w:tr w:rsidR="00333601" w:rsidRPr="00BE78CA" w14:paraId="28AB69F7" w14:textId="77777777" w:rsidTr="00530FA4">
        <w:tc>
          <w:tcPr>
            <w:tcW w:w="1928" w:type="dxa"/>
            <w:tcBorders>
              <w:top w:val="single" w:sz="4" w:space="0" w:color="2E74B5"/>
              <w:left w:val="nil"/>
              <w:bottom w:val="single" w:sz="4" w:space="0" w:color="2E74B5"/>
              <w:right w:val="nil"/>
            </w:tcBorders>
            <w:shd w:val="clear" w:color="auto" w:fill="auto"/>
          </w:tcPr>
          <w:p w14:paraId="096436B2" w14:textId="77777777" w:rsidR="00333601" w:rsidRPr="00BE78CA" w:rsidRDefault="00333601" w:rsidP="003E73F4">
            <w:pPr>
              <w:pStyle w:val="TableText"/>
              <w:spacing w:before="50" w:after="50"/>
              <w:rPr>
                <w:rFonts w:eastAsia="Arial" w:cs="Calibri"/>
                <w:szCs w:val="16"/>
              </w:rPr>
            </w:pPr>
            <w:r w:rsidRPr="00BE78CA">
              <w:rPr>
                <w:rFonts w:eastAsia="Arial" w:cs="Calibri"/>
                <w:szCs w:val="16"/>
              </w:rPr>
              <w:t>Settlements</w:t>
            </w:r>
          </w:p>
        </w:tc>
        <w:tc>
          <w:tcPr>
            <w:tcW w:w="1144" w:type="dxa"/>
            <w:tcBorders>
              <w:top w:val="single" w:sz="4" w:space="0" w:color="2E74B5"/>
              <w:left w:val="nil"/>
              <w:bottom w:val="single" w:sz="4" w:space="0" w:color="2E74B5"/>
              <w:right w:val="nil"/>
            </w:tcBorders>
            <w:shd w:val="clear" w:color="auto" w:fill="auto"/>
          </w:tcPr>
          <w:p w14:paraId="6492FE23" w14:textId="77777777" w:rsidR="00333601" w:rsidRPr="00BE78CA" w:rsidRDefault="00333601" w:rsidP="003E73F4">
            <w:pPr>
              <w:pStyle w:val="TableText"/>
              <w:spacing w:before="50" w:after="50"/>
              <w:jc w:val="right"/>
              <w:rPr>
                <w:rFonts w:cs="Calibri"/>
                <w:szCs w:val="16"/>
              </w:rPr>
            </w:pPr>
            <w:r w:rsidRPr="00BE78CA">
              <w:t xml:space="preserve">72.4 </w:t>
            </w:r>
          </w:p>
        </w:tc>
        <w:tc>
          <w:tcPr>
            <w:tcW w:w="1145" w:type="dxa"/>
            <w:tcBorders>
              <w:top w:val="single" w:sz="4" w:space="0" w:color="2E74B5"/>
              <w:left w:val="nil"/>
              <w:bottom w:val="single" w:sz="4" w:space="0" w:color="2E74B5"/>
              <w:right w:val="nil"/>
            </w:tcBorders>
            <w:shd w:val="clear" w:color="auto" w:fill="auto"/>
          </w:tcPr>
          <w:p w14:paraId="762C7CBF" w14:textId="77777777" w:rsidR="00333601" w:rsidRPr="00BE78CA" w:rsidRDefault="00333601" w:rsidP="003E73F4">
            <w:pPr>
              <w:pStyle w:val="TableText"/>
              <w:spacing w:before="50" w:after="50"/>
              <w:jc w:val="right"/>
              <w:rPr>
                <w:rFonts w:cs="Calibri"/>
                <w:szCs w:val="16"/>
              </w:rPr>
            </w:pPr>
            <w:r w:rsidRPr="00BE78CA">
              <w:t xml:space="preserve">74.4 </w:t>
            </w:r>
          </w:p>
        </w:tc>
        <w:tc>
          <w:tcPr>
            <w:tcW w:w="1157" w:type="dxa"/>
            <w:tcBorders>
              <w:top w:val="single" w:sz="4" w:space="0" w:color="2E74B5"/>
              <w:left w:val="nil"/>
              <w:bottom w:val="single" w:sz="4" w:space="0" w:color="2E74B5"/>
              <w:right w:val="nil"/>
            </w:tcBorders>
            <w:shd w:val="clear" w:color="auto" w:fill="auto"/>
          </w:tcPr>
          <w:p w14:paraId="23BAAB24" w14:textId="77777777" w:rsidR="00333601" w:rsidRPr="00BE78CA" w:rsidRDefault="00333601" w:rsidP="003E73F4">
            <w:pPr>
              <w:pStyle w:val="TableText"/>
              <w:spacing w:before="50" w:after="50"/>
              <w:jc w:val="right"/>
              <w:rPr>
                <w:rFonts w:cs="Calibri"/>
                <w:szCs w:val="16"/>
              </w:rPr>
            </w:pPr>
            <w:r w:rsidRPr="00BE78CA">
              <w:t xml:space="preserve">103.4 </w:t>
            </w:r>
          </w:p>
        </w:tc>
        <w:tc>
          <w:tcPr>
            <w:tcW w:w="1134" w:type="dxa"/>
            <w:tcBorders>
              <w:top w:val="single" w:sz="4" w:space="0" w:color="2E74B5"/>
              <w:left w:val="nil"/>
              <w:bottom w:val="single" w:sz="4" w:space="0" w:color="2E74B5"/>
              <w:right w:val="nil"/>
            </w:tcBorders>
            <w:shd w:val="clear" w:color="auto" w:fill="auto"/>
          </w:tcPr>
          <w:p w14:paraId="4B445261" w14:textId="77777777" w:rsidR="00333601" w:rsidRPr="00BE78CA" w:rsidRDefault="00333601" w:rsidP="003E73F4">
            <w:pPr>
              <w:pStyle w:val="TableText"/>
              <w:spacing w:before="50" w:after="50"/>
              <w:jc w:val="right"/>
              <w:rPr>
                <w:rFonts w:cs="Calibri"/>
                <w:szCs w:val="16"/>
              </w:rPr>
            </w:pPr>
            <w:r w:rsidRPr="00BE78CA">
              <w:t xml:space="preserve">110.6 </w:t>
            </w:r>
          </w:p>
        </w:tc>
        <w:tc>
          <w:tcPr>
            <w:tcW w:w="1031" w:type="dxa"/>
            <w:tcBorders>
              <w:top w:val="single" w:sz="4" w:space="0" w:color="2E74B5"/>
              <w:left w:val="nil"/>
              <w:bottom w:val="single" w:sz="4" w:space="0" w:color="2E74B5"/>
              <w:right w:val="nil"/>
            </w:tcBorders>
            <w:shd w:val="clear" w:color="auto" w:fill="auto"/>
          </w:tcPr>
          <w:p w14:paraId="171925F6" w14:textId="77777777" w:rsidR="00333601" w:rsidRPr="00BE78CA" w:rsidRDefault="00333601" w:rsidP="003E73F4">
            <w:pPr>
              <w:pStyle w:val="TableText"/>
              <w:spacing w:before="50" w:after="50"/>
              <w:jc w:val="right"/>
              <w:rPr>
                <w:rFonts w:cs="Calibri"/>
                <w:szCs w:val="16"/>
              </w:rPr>
            </w:pPr>
            <w:r w:rsidRPr="00BE78CA">
              <w:t>2.8</w:t>
            </w:r>
          </w:p>
        </w:tc>
        <w:tc>
          <w:tcPr>
            <w:tcW w:w="1060" w:type="dxa"/>
            <w:tcBorders>
              <w:top w:val="single" w:sz="4" w:space="0" w:color="2E74B5"/>
              <w:left w:val="nil"/>
              <w:bottom w:val="single" w:sz="4" w:space="0" w:color="2E74B5"/>
              <w:right w:val="nil"/>
            </w:tcBorders>
            <w:shd w:val="clear" w:color="auto" w:fill="auto"/>
          </w:tcPr>
          <w:p w14:paraId="3AD21639" w14:textId="77777777" w:rsidR="00333601" w:rsidRPr="00BE78CA" w:rsidRDefault="00333601" w:rsidP="003E73F4">
            <w:pPr>
              <w:pStyle w:val="TableText"/>
              <w:spacing w:before="50" w:after="50"/>
              <w:jc w:val="right"/>
              <w:rPr>
                <w:rFonts w:cs="Calibri"/>
                <w:szCs w:val="16"/>
              </w:rPr>
            </w:pPr>
            <w:r w:rsidRPr="00BE78CA">
              <w:t>7.0</w:t>
            </w:r>
          </w:p>
        </w:tc>
      </w:tr>
      <w:tr w:rsidR="00333601" w:rsidRPr="00BE78CA" w14:paraId="3F92BC75" w14:textId="77777777" w:rsidTr="00530FA4">
        <w:tc>
          <w:tcPr>
            <w:tcW w:w="1928" w:type="dxa"/>
            <w:tcBorders>
              <w:top w:val="single" w:sz="4" w:space="0" w:color="2E74B5"/>
              <w:left w:val="nil"/>
              <w:bottom w:val="single" w:sz="4" w:space="0" w:color="2E74B5"/>
              <w:right w:val="nil"/>
              <w:tl2br w:val="nil"/>
              <w:tr2bl w:val="nil"/>
            </w:tcBorders>
            <w:shd w:val="clear" w:color="auto" w:fill="auto"/>
          </w:tcPr>
          <w:p w14:paraId="530CF9BA" w14:textId="77777777" w:rsidR="00333601" w:rsidRPr="00BE78CA" w:rsidRDefault="00333601" w:rsidP="003E73F4">
            <w:pPr>
              <w:pStyle w:val="TableText"/>
              <w:spacing w:before="50" w:after="50"/>
              <w:rPr>
                <w:rFonts w:eastAsia="Arial" w:cs="Calibri"/>
                <w:szCs w:val="16"/>
              </w:rPr>
            </w:pPr>
            <w:r w:rsidRPr="00BE78CA">
              <w:rPr>
                <w:rFonts w:eastAsia="Arial" w:cs="Calibri"/>
                <w:szCs w:val="16"/>
              </w:rPr>
              <w:t>Other land</w:t>
            </w:r>
          </w:p>
        </w:tc>
        <w:tc>
          <w:tcPr>
            <w:tcW w:w="1144" w:type="dxa"/>
            <w:tcBorders>
              <w:top w:val="single" w:sz="4" w:space="0" w:color="2E74B5"/>
              <w:left w:val="nil"/>
              <w:bottom w:val="single" w:sz="4" w:space="0" w:color="2E74B5"/>
              <w:right w:val="nil"/>
              <w:tl2br w:val="nil"/>
              <w:tr2bl w:val="nil"/>
            </w:tcBorders>
            <w:shd w:val="clear" w:color="auto" w:fill="auto"/>
            <w:noWrap/>
          </w:tcPr>
          <w:p w14:paraId="33D53BF9" w14:textId="77777777" w:rsidR="00333601" w:rsidRPr="00BE78CA" w:rsidRDefault="00333601" w:rsidP="003E73F4">
            <w:pPr>
              <w:pStyle w:val="TableText"/>
              <w:spacing w:before="50" w:after="50"/>
              <w:jc w:val="right"/>
              <w:rPr>
                <w:rFonts w:cs="Calibri"/>
                <w:szCs w:val="16"/>
              </w:rPr>
            </w:pPr>
            <w:r w:rsidRPr="00BE78CA">
              <w:t xml:space="preserve">12.9 </w:t>
            </w:r>
          </w:p>
        </w:tc>
        <w:tc>
          <w:tcPr>
            <w:tcW w:w="1145" w:type="dxa"/>
            <w:tcBorders>
              <w:top w:val="single" w:sz="4" w:space="0" w:color="2E74B5"/>
              <w:left w:val="nil"/>
              <w:bottom w:val="single" w:sz="4" w:space="0" w:color="2E74B5"/>
              <w:right w:val="nil"/>
              <w:tl2br w:val="nil"/>
              <w:tr2bl w:val="nil"/>
            </w:tcBorders>
            <w:shd w:val="clear" w:color="auto" w:fill="auto"/>
          </w:tcPr>
          <w:p w14:paraId="166A8C69" w14:textId="77777777" w:rsidR="00333601" w:rsidRPr="00BE78CA" w:rsidRDefault="00333601" w:rsidP="003E73F4">
            <w:pPr>
              <w:pStyle w:val="TableText"/>
              <w:spacing w:before="50" w:after="50"/>
              <w:jc w:val="right"/>
              <w:rPr>
                <w:rFonts w:cs="Calibri"/>
                <w:szCs w:val="16"/>
              </w:rPr>
            </w:pPr>
            <w:r w:rsidRPr="00BE78CA">
              <w:t xml:space="preserve">12.8 </w:t>
            </w:r>
          </w:p>
        </w:tc>
        <w:tc>
          <w:tcPr>
            <w:tcW w:w="1157" w:type="dxa"/>
            <w:tcBorders>
              <w:top w:val="single" w:sz="4" w:space="0" w:color="2E74B5"/>
              <w:left w:val="nil"/>
              <w:bottom w:val="single" w:sz="4" w:space="0" w:color="2E74B5"/>
              <w:right w:val="nil"/>
              <w:tl2br w:val="nil"/>
              <w:tr2bl w:val="nil"/>
            </w:tcBorders>
            <w:shd w:val="clear" w:color="auto" w:fill="auto"/>
          </w:tcPr>
          <w:p w14:paraId="10996087" w14:textId="77777777" w:rsidR="00333601" w:rsidRPr="00BE78CA" w:rsidRDefault="00333601" w:rsidP="003E73F4">
            <w:pPr>
              <w:pStyle w:val="TableText"/>
              <w:spacing w:before="50" w:after="50"/>
              <w:jc w:val="right"/>
              <w:rPr>
                <w:rFonts w:cs="Calibri"/>
                <w:szCs w:val="16"/>
              </w:rPr>
            </w:pPr>
            <w:r w:rsidRPr="00BE78CA">
              <w:t xml:space="preserve">51.6 </w:t>
            </w:r>
          </w:p>
        </w:tc>
        <w:tc>
          <w:tcPr>
            <w:tcW w:w="1134" w:type="dxa"/>
            <w:tcBorders>
              <w:top w:val="single" w:sz="4" w:space="0" w:color="2E74B5"/>
              <w:left w:val="nil"/>
              <w:bottom w:val="single" w:sz="4" w:space="0" w:color="2E74B5"/>
              <w:right w:val="nil"/>
              <w:tl2br w:val="nil"/>
              <w:tr2bl w:val="nil"/>
            </w:tcBorders>
            <w:shd w:val="clear" w:color="auto" w:fill="auto"/>
          </w:tcPr>
          <w:p w14:paraId="6718E059" w14:textId="77777777" w:rsidR="00333601" w:rsidRPr="00BE78CA" w:rsidRDefault="00333601" w:rsidP="003E73F4">
            <w:pPr>
              <w:pStyle w:val="TableText"/>
              <w:spacing w:before="50" w:after="50"/>
              <w:jc w:val="right"/>
              <w:rPr>
                <w:rFonts w:cs="Calibri"/>
                <w:szCs w:val="16"/>
              </w:rPr>
            </w:pPr>
            <w:r w:rsidRPr="00BE78CA">
              <w:t xml:space="preserve">52.5 </w:t>
            </w:r>
          </w:p>
        </w:tc>
        <w:tc>
          <w:tcPr>
            <w:tcW w:w="1031" w:type="dxa"/>
            <w:tcBorders>
              <w:top w:val="single" w:sz="4" w:space="0" w:color="2E74B5"/>
              <w:left w:val="nil"/>
              <w:bottom w:val="single" w:sz="4" w:space="0" w:color="2E74B5"/>
              <w:right w:val="nil"/>
              <w:tl2br w:val="nil"/>
              <w:tr2bl w:val="nil"/>
            </w:tcBorders>
            <w:shd w:val="clear" w:color="auto" w:fill="auto"/>
          </w:tcPr>
          <w:p w14:paraId="4063B736" w14:textId="77777777" w:rsidR="00333601" w:rsidRPr="00BE78CA" w:rsidRDefault="00333601" w:rsidP="003E73F4">
            <w:pPr>
              <w:pStyle w:val="TableText"/>
              <w:spacing w:before="50" w:after="50"/>
              <w:jc w:val="right"/>
              <w:rPr>
                <w:rFonts w:cs="Calibri"/>
                <w:szCs w:val="16"/>
              </w:rPr>
            </w:pPr>
            <w:r w:rsidRPr="00BE78CA">
              <w:t>–1.3</w:t>
            </w:r>
          </w:p>
        </w:tc>
        <w:tc>
          <w:tcPr>
            <w:tcW w:w="1060" w:type="dxa"/>
            <w:tcBorders>
              <w:top w:val="single" w:sz="4" w:space="0" w:color="2E74B5"/>
              <w:left w:val="nil"/>
              <w:bottom w:val="single" w:sz="4" w:space="0" w:color="2E74B5"/>
              <w:right w:val="nil"/>
              <w:tl2br w:val="nil"/>
              <w:tr2bl w:val="nil"/>
            </w:tcBorders>
            <w:shd w:val="clear" w:color="auto" w:fill="auto"/>
          </w:tcPr>
          <w:p w14:paraId="4C785647" w14:textId="77777777" w:rsidR="00333601" w:rsidRPr="00BE78CA" w:rsidRDefault="00333601" w:rsidP="003E73F4">
            <w:pPr>
              <w:pStyle w:val="TableText"/>
              <w:spacing w:before="50" w:after="50"/>
              <w:jc w:val="right"/>
              <w:rPr>
                <w:rFonts w:cs="Calibri"/>
                <w:szCs w:val="16"/>
              </w:rPr>
            </w:pPr>
            <w:r w:rsidRPr="00BE78CA">
              <w:t>1.7</w:t>
            </w:r>
          </w:p>
        </w:tc>
      </w:tr>
      <w:tr w:rsidR="00333601" w:rsidRPr="00BE78CA" w14:paraId="23942C74" w14:textId="77777777" w:rsidTr="00530FA4">
        <w:tc>
          <w:tcPr>
            <w:tcW w:w="1928" w:type="dxa"/>
            <w:tcBorders>
              <w:top w:val="single" w:sz="4" w:space="0" w:color="2E74B5"/>
              <w:left w:val="nil"/>
              <w:bottom w:val="single" w:sz="4" w:space="0" w:color="2E74B5"/>
              <w:right w:val="nil"/>
            </w:tcBorders>
            <w:shd w:val="clear" w:color="auto" w:fill="auto"/>
          </w:tcPr>
          <w:p w14:paraId="7B54A619" w14:textId="77777777" w:rsidR="00333601" w:rsidRPr="00BE78CA" w:rsidRDefault="00333601" w:rsidP="003E73F4">
            <w:pPr>
              <w:pStyle w:val="Tableboldblue"/>
              <w:spacing w:before="50" w:after="50"/>
              <w:rPr>
                <w:rFonts w:eastAsia="Arial" w:cs="Calibri"/>
                <w:szCs w:val="16"/>
              </w:rPr>
            </w:pPr>
            <w:r w:rsidRPr="00BE78CA">
              <w:rPr>
                <w:rFonts w:eastAsia="Arial" w:cs="Calibri"/>
                <w:szCs w:val="16"/>
              </w:rPr>
              <w:t>Harvested wood products</w:t>
            </w:r>
          </w:p>
        </w:tc>
        <w:tc>
          <w:tcPr>
            <w:tcW w:w="1144" w:type="dxa"/>
            <w:tcBorders>
              <w:top w:val="single" w:sz="4" w:space="0" w:color="2E74B5"/>
              <w:left w:val="nil"/>
              <w:bottom w:val="single" w:sz="4" w:space="0" w:color="2E74B5"/>
              <w:right w:val="nil"/>
            </w:tcBorders>
            <w:shd w:val="clear" w:color="auto" w:fill="auto"/>
            <w:noWrap/>
          </w:tcPr>
          <w:p w14:paraId="797505DD" w14:textId="77777777" w:rsidR="00333601" w:rsidRPr="00BE78CA" w:rsidRDefault="00333601" w:rsidP="003E73F4">
            <w:pPr>
              <w:pStyle w:val="TableText"/>
              <w:spacing w:before="50" w:after="50"/>
              <w:jc w:val="right"/>
              <w:rPr>
                <w:rFonts w:cs="Calibri"/>
                <w:szCs w:val="16"/>
              </w:rPr>
            </w:pPr>
            <w:r w:rsidRPr="00BE78CA">
              <w:t xml:space="preserve">–2,072.9 </w:t>
            </w:r>
          </w:p>
        </w:tc>
        <w:tc>
          <w:tcPr>
            <w:tcW w:w="1145" w:type="dxa"/>
            <w:tcBorders>
              <w:top w:val="single" w:sz="4" w:space="0" w:color="2E74B5"/>
              <w:left w:val="nil"/>
              <w:bottom w:val="single" w:sz="4" w:space="0" w:color="2E74B5"/>
              <w:right w:val="nil"/>
            </w:tcBorders>
            <w:shd w:val="clear" w:color="auto" w:fill="auto"/>
            <w:noWrap/>
          </w:tcPr>
          <w:p w14:paraId="196EE7FF" w14:textId="77777777" w:rsidR="00333601" w:rsidRPr="00BE78CA" w:rsidRDefault="00333601" w:rsidP="003E73F4">
            <w:pPr>
              <w:pStyle w:val="TableText"/>
              <w:spacing w:before="50" w:after="50"/>
              <w:jc w:val="right"/>
              <w:rPr>
                <w:rFonts w:cs="Calibri"/>
                <w:szCs w:val="16"/>
              </w:rPr>
            </w:pPr>
            <w:r w:rsidRPr="00BE78CA">
              <w:t xml:space="preserve">–2,072.9 </w:t>
            </w:r>
          </w:p>
        </w:tc>
        <w:tc>
          <w:tcPr>
            <w:tcW w:w="1157" w:type="dxa"/>
            <w:tcBorders>
              <w:top w:val="single" w:sz="4" w:space="0" w:color="2E74B5"/>
              <w:left w:val="nil"/>
              <w:bottom w:val="single" w:sz="4" w:space="0" w:color="2E74B5"/>
              <w:right w:val="nil"/>
            </w:tcBorders>
            <w:shd w:val="clear" w:color="auto" w:fill="auto"/>
            <w:noWrap/>
          </w:tcPr>
          <w:p w14:paraId="4EC6ED17" w14:textId="77777777" w:rsidR="00333601" w:rsidRPr="00BE78CA" w:rsidRDefault="00333601" w:rsidP="003E73F4">
            <w:pPr>
              <w:pStyle w:val="TableText"/>
              <w:spacing w:before="50" w:after="50"/>
              <w:jc w:val="right"/>
              <w:rPr>
                <w:rFonts w:cs="Calibri"/>
                <w:szCs w:val="16"/>
              </w:rPr>
            </w:pPr>
            <w:r w:rsidRPr="00BE78CA">
              <w:t xml:space="preserve">–10,746.7 </w:t>
            </w:r>
          </w:p>
        </w:tc>
        <w:tc>
          <w:tcPr>
            <w:tcW w:w="1134" w:type="dxa"/>
            <w:tcBorders>
              <w:top w:val="single" w:sz="4" w:space="0" w:color="2E74B5"/>
              <w:left w:val="nil"/>
              <w:bottom w:val="single" w:sz="4" w:space="0" w:color="2E74B5"/>
              <w:right w:val="nil"/>
            </w:tcBorders>
            <w:shd w:val="clear" w:color="auto" w:fill="auto"/>
            <w:noWrap/>
          </w:tcPr>
          <w:p w14:paraId="408261D3" w14:textId="77777777" w:rsidR="00333601" w:rsidRPr="00BE78CA" w:rsidRDefault="00333601" w:rsidP="003E73F4">
            <w:pPr>
              <w:pStyle w:val="TableText"/>
              <w:spacing w:before="50" w:after="50"/>
              <w:jc w:val="right"/>
              <w:rPr>
                <w:rFonts w:cs="Calibri"/>
                <w:szCs w:val="16"/>
              </w:rPr>
            </w:pPr>
            <w:r w:rsidRPr="00BE78CA">
              <w:t xml:space="preserve">–9,375.6 </w:t>
            </w:r>
          </w:p>
        </w:tc>
        <w:tc>
          <w:tcPr>
            <w:tcW w:w="1031" w:type="dxa"/>
            <w:tcBorders>
              <w:top w:val="single" w:sz="4" w:space="0" w:color="2E74B5"/>
              <w:left w:val="nil"/>
              <w:bottom w:val="single" w:sz="4" w:space="0" w:color="2E74B5"/>
              <w:right w:val="nil"/>
            </w:tcBorders>
            <w:shd w:val="clear" w:color="auto" w:fill="auto"/>
          </w:tcPr>
          <w:p w14:paraId="64EFA6A7" w14:textId="77777777" w:rsidR="00333601" w:rsidRPr="00BE78CA" w:rsidRDefault="00333601" w:rsidP="003E73F4">
            <w:pPr>
              <w:pStyle w:val="TableText"/>
              <w:spacing w:before="50" w:after="50"/>
              <w:jc w:val="right"/>
              <w:rPr>
                <w:rFonts w:cs="Calibri"/>
                <w:szCs w:val="16"/>
              </w:rPr>
            </w:pPr>
            <w:r w:rsidRPr="00BE78CA">
              <w:t>0.0</w:t>
            </w:r>
          </w:p>
        </w:tc>
        <w:tc>
          <w:tcPr>
            <w:tcW w:w="1060" w:type="dxa"/>
            <w:tcBorders>
              <w:top w:val="single" w:sz="4" w:space="0" w:color="2E74B5"/>
              <w:left w:val="nil"/>
              <w:bottom w:val="single" w:sz="4" w:space="0" w:color="2E74B5"/>
              <w:right w:val="nil"/>
            </w:tcBorders>
            <w:shd w:val="clear" w:color="auto" w:fill="auto"/>
          </w:tcPr>
          <w:p w14:paraId="58D94E0D" w14:textId="77777777" w:rsidR="00333601" w:rsidRPr="00BE78CA" w:rsidRDefault="00333601" w:rsidP="003E73F4">
            <w:pPr>
              <w:pStyle w:val="TableText"/>
              <w:spacing w:before="50" w:after="50"/>
              <w:jc w:val="right"/>
              <w:rPr>
                <w:rFonts w:cs="Calibri"/>
                <w:szCs w:val="16"/>
              </w:rPr>
            </w:pPr>
            <w:r w:rsidRPr="00BE78CA">
              <w:t>12.8</w:t>
            </w:r>
          </w:p>
        </w:tc>
      </w:tr>
      <w:tr w:rsidR="00333601" w:rsidRPr="00BE78CA" w14:paraId="4F575E2C" w14:textId="77777777" w:rsidTr="00530FA4">
        <w:tc>
          <w:tcPr>
            <w:tcW w:w="1928" w:type="dxa"/>
            <w:tcBorders>
              <w:top w:val="single" w:sz="4" w:space="0" w:color="2E74B5"/>
              <w:left w:val="nil"/>
              <w:bottom w:val="single" w:sz="4" w:space="0" w:color="2E74B5"/>
              <w:right w:val="nil"/>
            </w:tcBorders>
            <w:shd w:val="clear" w:color="auto" w:fill="auto"/>
          </w:tcPr>
          <w:p w14:paraId="067A2EEB" w14:textId="77777777" w:rsidR="00333601" w:rsidRPr="00BE78CA" w:rsidRDefault="00333601" w:rsidP="003E73F4">
            <w:pPr>
              <w:pStyle w:val="Tableboldblue"/>
              <w:spacing w:before="50" w:after="50"/>
              <w:jc w:val="right"/>
              <w:rPr>
                <w:rFonts w:eastAsia="Arial" w:cs="Calibri"/>
                <w:szCs w:val="16"/>
              </w:rPr>
            </w:pPr>
            <w:r w:rsidRPr="00BE78CA">
              <w:rPr>
                <w:rFonts w:eastAsia="Arial" w:cs="Calibri"/>
                <w:szCs w:val="16"/>
              </w:rPr>
              <w:t>Total</w:t>
            </w:r>
          </w:p>
        </w:tc>
        <w:tc>
          <w:tcPr>
            <w:tcW w:w="1144" w:type="dxa"/>
            <w:tcBorders>
              <w:top w:val="single" w:sz="4" w:space="0" w:color="2E74B5"/>
              <w:left w:val="nil"/>
              <w:bottom w:val="single" w:sz="4" w:space="0" w:color="2E74B5"/>
              <w:right w:val="nil"/>
            </w:tcBorders>
            <w:shd w:val="clear" w:color="auto" w:fill="auto"/>
            <w:noWrap/>
          </w:tcPr>
          <w:p w14:paraId="18669982" w14:textId="77777777" w:rsidR="00333601" w:rsidRPr="00BE78CA" w:rsidRDefault="00333601" w:rsidP="003E73F4">
            <w:pPr>
              <w:pStyle w:val="Tableboldblue"/>
              <w:spacing w:before="50" w:after="50"/>
              <w:jc w:val="right"/>
              <w:rPr>
                <w:rFonts w:eastAsia="Arial" w:cs="Calibri"/>
                <w:szCs w:val="16"/>
              </w:rPr>
            </w:pPr>
            <w:r w:rsidRPr="00BE78CA">
              <w:t xml:space="preserve">–28,297.0 </w:t>
            </w:r>
          </w:p>
        </w:tc>
        <w:tc>
          <w:tcPr>
            <w:tcW w:w="1145" w:type="dxa"/>
            <w:tcBorders>
              <w:top w:val="single" w:sz="4" w:space="0" w:color="2E74B5"/>
              <w:left w:val="nil"/>
              <w:bottom w:val="single" w:sz="4" w:space="0" w:color="2E74B5"/>
              <w:right w:val="nil"/>
            </w:tcBorders>
            <w:shd w:val="clear" w:color="auto" w:fill="auto"/>
            <w:noWrap/>
          </w:tcPr>
          <w:p w14:paraId="331BC32E" w14:textId="77777777" w:rsidR="00333601" w:rsidRPr="00BE78CA" w:rsidRDefault="00333601" w:rsidP="003E73F4">
            <w:pPr>
              <w:pStyle w:val="Tableboldblue"/>
              <w:spacing w:before="50" w:after="50"/>
              <w:jc w:val="right"/>
              <w:rPr>
                <w:rFonts w:eastAsia="Arial" w:cs="Calibri"/>
                <w:szCs w:val="16"/>
              </w:rPr>
            </w:pPr>
            <w:r w:rsidRPr="00BE78CA">
              <w:t xml:space="preserve">–24,014.5 </w:t>
            </w:r>
          </w:p>
        </w:tc>
        <w:tc>
          <w:tcPr>
            <w:tcW w:w="1157" w:type="dxa"/>
            <w:tcBorders>
              <w:top w:val="single" w:sz="4" w:space="0" w:color="2E74B5"/>
              <w:left w:val="nil"/>
              <w:bottom w:val="single" w:sz="4" w:space="0" w:color="2E74B5"/>
              <w:right w:val="nil"/>
            </w:tcBorders>
            <w:shd w:val="clear" w:color="auto" w:fill="auto"/>
            <w:noWrap/>
          </w:tcPr>
          <w:p w14:paraId="4B1B82F8" w14:textId="77777777" w:rsidR="00333601" w:rsidRPr="00BE78CA" w:rsidRDefault="00333601" w:rsidP="003E73F4">
            <w:pPr>
              <w:pStyle w:val="Tableboldblue"/>
              <w:spacing w:before="50" w:after="50"/>
              <w:jc w:val="right"/>
              <w:rPr>
                <w:rFonts w:eastAsia="Arial" w:cs="Calibri"/>
                <w:szCs w:val="16"/>
              </w:rPr>
            </w:pPr>
            <w:r w:rsidRPr="00BE78CA">
              <w:t xml:space="preserve">–23,394.1 </w:t>
            </w:r>
          </w:p>
        </w:tc>
        <w:tc>
          <w:tcPr>
            <w:tcW w:w="1134" w:type="dxa"/>
            <w:tcBorders>
              <w:top w:val="single" w:sz="4" w:space="0" w:color="2E74B5"/>
              <w:left w:val="nil"/>
              <w:bottom w:val="single" w:sz="4" w:space="0" w:color="2E74B5"/>
              <w:right w:val="nil"/>
            </w:tcBorders>
            <w:shd w:val="clear" w:color="auto" w:fill="auto"/>
            <w:noWrap/>
          </w:tcPr>
          <w:p w14:paraId="797C33F7" w14:textId="77777777" w:rsidR="00333601" w:rsidRPr="00BE78CA" w:rsidRDefault="00333601" w:rsidP="003E73F4">
            <w:pPr>
              <w:pStyle w:val="Tableboldblue"/>
              <w:spacing w:before="50" w:after="50"/>
              <w:jc w:val="right"/>
              <w:rPr>
                <w:rFonts w:eastAsia="Arial" w:cs="Calibri"/>
                <w:szCs w:val="16"/>
              </w:rPr>
            </w:pPr>
            <w:r w:rsidRPr="00BE78CA">
              <w:t>–26,756.4</w:t>
            </w:r>
          </w:p>
        </w:tc>
        <w:tc>
          <w:tcPr>
            <w:tcW w:w="1031" w:type="dxa"/>
            <w:tcBorders>
              <w:top w:val="single" w:sz="4" w:space="0" w:color="2E74B5"/>
              <w:left w:val="nil"/>
              <w:bottom w:val="single" w:sz="4" w:space="0" w:color="2E74B5"/>
              <w:right w:val="nil"/>
            </w:tcBorders>
            <w:shd w:val="clear" w:color="auto" w:fill="auto"/>
          </w:tcPr>
          <w:p w14:paraId="2CE27CB3" w14:textId="77777777" w:rsidR="00333601" w:rsidRPr="00BE78CA" w:rsidRDefault="00333601" w:rsidP="003E73F4">
            <w:pPr>
              <w:pStyle w:val="Tableboldblue"/>
              <w:spacing w:before="50" w:after="50"/>
              <w:jc w:val="right"/>
              <w:rPr>
                <w:rFonts w:eastAsia="Arial" w:cs="Calibri"/>
                <w:szCs w:val="16"/>
              </w:rPr>
            </w:pPr>
            <w:r w:rsidRPr="00BE78CA">
              <w:t>15.1</w:t>
            </w:r>
          </w:p>
        </w:tc>
        <w:tc>
          <w:tcPr>
            <w:tcW w:w="1060" w:type="dxa"/>
            <w:tcBorders>
              <w:top w:val="single" w:sz="4" w:space="0" w:color="2E74B5"/>
              <w:left w:val="nil"/>
              <w:bottom w:val="single" w:sz="4" w:space="0" w:color="2E74B5"/>
              <w:right w:val="nil"/>
            </w:tcBorders>
            <w:shd w:val="clear" w:color="auto" w:fill="auto"/>
          </w:tcPr>
          <w:p w14:paraId="07D69D26" w14:textId="77777777" w:rsidR="00333601" w:rsidRPr="00BE78CA" w:rsidRDefault="00333601" w:rsidP="003E73F4">
            <w:pPr>
              <w:pStyle w:val="Tableboldblue"/>
              <w:spacing w:before="50" w:after="50"/>
              <w:jc w:val="right"/>
              <w:rPr>
                <w:rFonts w:eastAsia="Arial" w:cs="Calibri"/>
                <w:szCs w:val="16"/>
              </w:rPr>
            </w:pPr>
            <w:r w:rsidRPr="00BE78CA">
              <w:t>–14.4</w:t>
            </w:r>
          </w:p>
        </w:tc>
      </w:tr>
    </w:tbl>
    <w:p w14:paraId="65C48DA2" w14:textId="77777777" w:rsidR="00333601" w:rsidRPr="00BE78CA" w:rsidRDefault="00333601" w:rsidP="00333601">
      <w:pPr>
        <w:pStyle w:val="Noteundertable"/>
      </w:pPr>
      <w:r w:rsidRPr="00BE78CA">
        <w:rPr>
          <w:b/>
        </w:rPr>
        <w:t>Note:</w:t>
      </w:r>
      <w:r w:rsidRPr="00BE78CA">
        <w:tab/>
        <w:t>Net removals are expressed as a negative value in the table to help clarify that the value is a removal (of CO</w:t>
      </w:r>
      <w:r w:rsidRPr="00BE78CA">
        <w:rPr>
          <w:vertAlign w:val="subscript"/>
        </w:rPr>
        <w:t>2</w:t>
      </w:r>
      <w:r w:rsidRPr="00BE78CA">
        <w:t xml:space="preserve">-e from the atmosphere) and not an emission. Columns may not total due to rounding. </w:t>
      </w:r>
    </w:p>
    <w:p w14:paraId="407A5CEA" w14:textId="77777777" w:rsidR="00333601" w:rsidRPr="00BE78CA" w:rsidRDefault="00333601" w:rsidP="00C96DA7">
      <w:pPr>
        <w:pStyle w:val="BodyText"/>
        <w:spacing w:after="60"/>
      </w:pPr>
      <w:r w:rsidRPr="00BE78CA">
        <w:t>Detailed information on the recalculations is provided below in the relevant source-specific recalculations sections and in chapter 10.</w:t>
      </w:r>
    </w:p>
    <w:p w14:paraId="314B476A" w14:textId="77777777" w:rsidR="00333601" w:rsidRPr="00BE78CA" w:rsidRDefault="00333601" w:rsidP="00333601">
      <w:pPr>
        <w:pStyle w:val="Heading3"/>
      </w:pPr>
      <w:bookmarkStart w:id="1322" w:name="_Toc280630222"/>
      <w:r w:rsidRPr="00BE78CA">
        <w:t>6.1.5</w:t>
      </w:r>
      <w:r w:rsidRPr="00BE78CA">
        <w:tab/>
        <w:t>LULUCF planned improvements</w:t>
      </w:r>
      <w:bookmarkEnd w:id="1322"/>
    </w:p>
    <w:p w14:paraId="2FFF6F25" w14:textId="77777777" w:rsidR="00333601" w:rsidRPr="00BE78CA" w:rsidRDefault="00333601" w:rsidP="00C96DA7">
      <w:pPr>
        <w:pStyle w:val="BodyText"/>
      </w:pPr>
      <w:r w:rsidRPr="00BE78CA">
        <w:t>The LULUCF sector has introduced several planned improvements in this submission. The sector has a plan of continuous improvement. Once a year, potential category-specific, improvements are ranked in order of priority according to ERT recommendations, key category analysis and contribution to uncertainty in the sector. The improvement priority list is then compared to available resources and capability before a final improvements plan, for the current National Inventory Report and the long-term improvements for future national inventory reports, is agreed upon.</w:t>
      </w:r>
    </w:p>
    <w:p w14:paraId="7557BCC6" w14:textId="77777777" w:rsidR="00333601" w:rsidRPr="00BE78CA" w:rsidRDefault="00333601" w:rsidP="00E5032D">
      <w:pPr>
        <w:pStyle w:val="BodyText"/>
      </w:pPr>
      <w:r w:rsidRPr="00BE78CA">
        <w:t>Category-specific planned improvements for the 2021 and future submissions are reported separately under each of the relevant sections of this chapter. The major themes are to:</w:t>
      </w:r>
    </w:p>
    <w:p w14:paraId="41F1EC12" w14:textId="77777777" w:rsidR="00333601" w:rsidRPr="00BE78CA" w:rsidRDefault="00333601" w:rsidP="00FA2314">
      <w:pPr>
        <w:pStyle w:val="Bullet"/>
        <w:numPr>
          <w:ilvl w:val="0"/>
          <w:numId w:val="25"/>
        </w:numPr>
      </w:pPr>
      <w:r w:rsidRPr="00BE78CA">
        <w:t xml:space="preserve">continue with method development to implement the 2006 IPCC Guidelines (IPCC, 2006a) </w:t>
      </w:r>
    </w:p>
    <w:p w14:paraId="78FA36FE" w14:textId="77777777" w:rsidR="00333601" w:rsidRPr="00BE78CA" w:rsidRDefault="00333601" w:rsidP="00FA2314">
      <w:pPr>
        <w:pStyle w:val="Bullet"/>
        <w:numPr>
          <w:ilvl w:val="0"/>
          <w:numId w:val="25"/>
        </w:numPr>
      </w:pPr>
      <w:r w:rsidRPr="00BE78CA">
        <w:t>continue to re-measure the pre-1990 natural forest ground plot inventory on a continuous basis (on a 10-year cycle). These data will be analysed and incorporated into the National Inventory Report on a periodic basis</w:t>
      </w:r>
    </w:p>
    <w:p w14:paraId="321CA0EA" w14:textId="77777777" w:rsidR="00333601" w:rsidRPr="00BE78CA" w:rsidRDefault="00333601" w:rsidP="00FA2314">
      <w:pPr>
        <w:pStyle w:val="Bullet"/>
        <w:numPr>
          <w:ilvl w:val="0"/>
          <w:numId w:val="25"/>
        </w:numPr>
      </w:pPr>
      <w:r w:rsidRPr="00BE78CA">
        <w:t>continue to re-measure the complete planted forest plot network (pre-1990 and post</w:t>
      </w:r>
      <w:r w:rsidRPr="00BE78CA">
        <w:noBreakHyphen/>
        <w:t>1989) on a continuous basis (on a five-year cycle). These data will be incorporated into the National Inventory Report as they become available and on a regular basis</w:t>
      </w:r>
    </w:p>
    <w:p w14:paraId="0F56078E" w14:textId="77777777" w:rsidR="00333601" w:rsidRPr="00BE78CA" w:rsidRDefault="00333601" w:rsidP="00FA2314">
      <w:pPr>
        <w:pStyle w:val="Bullet"/>
        <w:numPr>
          <w:ilvl w:val="0"/>
          <w:numId w:val="25"/>
        </w:numPr>
      </w:pPr>
      <w:r w:rsidRPr="00BE78CA">
        <w:t xml:space="preserve">continue to improve mapping land use by using information collected through the New Zealand Emissions Trading Scheme (NZ ETS). The NZ ETS provides an ongoing source </w:t>
      </w:r>
      <w:r w:rsidRPr="00BE78CA">
        <w:lastRenderedPageBreak/>
        <w:t xml:space="preserve">of mapping information on forest extent and age along with information on deforestation activity and carbon equivalent forest activities. This will be used as part of a continuous improvement programme to update the 1990, 2008, 2012 and 2016 land use maps </w:t>
      </w:r>
    </w:p>
    <w:p w14:paraId="726C7E31" w14:textId="77777777" w:rsidR="00333601" w:rsidRPr="00BE78CA" w:rsidRDefault="00333601" w:rsidP="00FA2314">
      <w:pPr>
        <w:pStyle w:val="Bullet"/>
        <w:numPr>
          <w:ilvl w:val="0"/>
          <w:numId w:val="25"/>
        </w:numPr>
      </w:pPr>
      <w:r w:rsidRPr="00BE78CA">
        <w:t xml:space="preserve">identify information, data and resource requirements to assess whether New Zealand can apply the 2013 Wetlands supplement. </w:t>
      </w:r>
    </w:p>
    <w:p w14:paraId="47321310" w14:textId="77777777" w:rsidR="00333601" w:rsidRPr="00BE78CA" w:rsidRDefault="00333601" w:rsidP="00333601">
      <w:pPr>
        <w:pStyle w:val="Heading2"/>
        <w:spacing w:before="280"/>
      </w:pPr>
      <w:bookmarkStart w:id="1323" w:name="_Toc361645361"/>
      <w:bookmarkStart w:id="1324" w:name="_Toc391024698"/>
      <w:bookmarkStart w:id="1325" w:name="_Toc414531315"/>
      <w:bookmarkStart w:id="1326" w:name="_Toc474335457"/>
      <w:bookmarkStart w:id="1327" w:name="_Toc481751397"/>
      <w:bookmarkStart w:id="1328" w:name="_Toc522013949"/>
      <w:bookmarkStart w:id="1329" w:name="_Toc5269374"/>
      <w:bookmarkStart w:id="1330" w:name="_Toc36224414"/>
      <w:bookmarkStart w:id="1331" w:name="_Toc68786334"/>
      <w:r w:rsidRPr="00BE78CA">
        <w:t>6.2</w:t>
      </w:r>
      <w:r w:rsidRPr="00BE78CA">
        <w:tab/>
        <w:t>Representation of land areas</w:t>
      </w:r>
      <w:bookmarkEnd w:id="1323"/>
      <w:bookmarkEnd w:id="1324"/>
      <w:bookmarkEnd w:id="1325"/>
      <w:bookmarkEnd w:id="1326"/>
      <w:bookmarkEnd w:id="1327"/>
      <w:bookmarkEnd w:id="1328"/>
      <w:bookmarkEnd w:id="1329"/>
      <w:bookmarkEnd w:id="1330"/>
      <w:bookmarkEnd w:id="1331"/>
    </w:p>
    <w:p w14:paraId="671230FD" w14:textId="77777777" w:rsidR="00333601" w:rsidRPr="00BE78CA" w:rsidRDefault="00333601" w:rsidP="00333601">
      <w:pPr>
        <w:pStyle w:val="BodyText"/>
      </w:pPr>
      <w:r w:rsidRPr="00BE78CA">
        <w:t xml:space="preserve">The total land area of New Zealand is 26,925.2 kilohectares. This includes all significant New Zealand land masses: the two main islands, the North Island and South Island, as well as Stewart Island, Great Barrier Island, Little Barrier Island, the Chatham Islands, the Subantarctic Islands and other small outlying islands. </w:t>
      </w:r>
    </w:p>
    <w:p w14:paraId="3FEE547E" w14:textId="77777777" w:rsidR="00333601" w:rsidRPr="00BE78CA" w:rsidRDefault="00333601" w:rsidP="00333601">
      <w:pPr>
        <w:pStyle w:val="BodyText"/>
      </w:pPr>
      <w:r w:rsidRPr="00BE78CA">
        <w:t>New Zealand has used a combination of Reporting Methods 1 and 2, and Approaches 2 and 3 to determine land-use changes occurring between 1 January 1990 and 31 December 2019 (section 3.1.1, IPCC, 2006a). The total land use areas as at 31 December 1989, 31 December 2007, 31 December 2012 and 31 December 2016 are based on wall-to-wall mapping of satellite and aircraft remotely sensed imagery taken in, or close to the end of 1989, 2007, 2012 and 2016 respectively, as described in section 6.2.2. The mapping of forest areas in these four maps includes improvements made up to August 2020 using aerial photography and data from the NZ ETS. Deforestation occurring between 2008 and 2016 has been mapped by year using ancillary satellite imagery and aerial photography. All other land-use changes occurring between the four major mapping years have been interpolated from other sources. This is described in further detail in section 6.2.3.</w:t>
      </w:r>
    </w:p>
    <w:p w14:paraId="352C45E8" w14:textId="77777777" w:rsidR="00333601" w:rsidRPr="00BE78CA" w:rsidRDefault="00333601" w:rsidP="00333601">
      <w:pPr>
        <w:pStyle w:val="Heading3"/>
      </w:pPr>
      <w:bookmarkStart w:id="1332" w:name="_Toc280630224"/>
      <w:bookmarkStart w:id="1333" w:name="_Toc361645362"/>
      <w:r w:rsidRPr="00BE78CA">
        <w:t>6.2.1</w:t>
      </w:r>
      <w:r w:rsidRPr="00BE78CA">
        <w:tab/>
        <w:t>Land use category definitions</w:t>
      </w:r>
      <w:bookmarkEnd w:id="1332"/>
      <w:bookmarkEnd w:id="1333"/>
    </w:p>
    <w:p w14:paraId="7E82B0D7" w14:textId="77777777" w:rsidR="00333601" w:rsidRPr="00BE78CA" w:rsidRDefault="00333601" w:rsidP="00333601">
      <w:pPr>
        <w:pStyle w:val="BodyText"/>
      </w:pPr>
      <w:r w:rsidRPr="00BE78CA">
        <w:t>The land use categories and matching land uses New Zealand reports for are shown in table 6.2.1.</w:t>
      </w:r>
    </w:p>
    <w:p w14:paraId="76C726F5" w14:textId="77777777" w:rsidR="00333601" w:rsidRPr="00BE78CA" w:rsidRDefault="00333601" w:rsidP="00333601">
      <w:pPr>
        <w:pStyle w:val="Table"/>
      </w:pPr>
      <w:bookmarkStart w:id="1334" w:name="_Toc310423399"/>
      <w:bookmarkStart w:id="1335" w:name="_Toc318362692"/>
      <w:bookmarkStart w:id="1336" w:name="_Toc342470754"/>
      <w:bookmarkStart w:id="1337" w:name="_Toc352504994"/>
      <w:bookmarkStart w:id="1338" w:name="_Toc361645342"/>
      <w:bookmarkStart w:id="1339" w:name="_Toc378853280"/>
      <w:bookmarkStart w:id="1340" w:name="_Toc391024078"/>
      <w:bookmarkStart w:id="1341" w:name="_Toc410028821"/>
      <w:bookmarkStart w:id="1342" w:name="_Toc414531449"/>
      <w:bookmarkStart w:id="1343" w:name="_Toc443645362"/>
      <w:bookmarkStart w:id="1344" w:name="_Toc474914581"/>
      <w:bookmarkStart w:id="1345" w:name="_Toc481751545"/>
      <w:bookmarkStart w:id="1346" w:name="_Toc522010602"/>
      <w:bookmarkStart w:id="1347" w:name="_Toc5269507"/>
      <w:bookmarkStart w:id="1348" w:name="_Toc33529383"/>
      <w:bookmarkStart w:id="1349" w:name="_Toc36224589"/>
      <w:bookmarkStart w:id="1350" w:name="_Toc65243584"/>
      <w:bookmarkStart w:id="1351" w:name="_Toc68786474"/>
      <w:r w:rsidRPr="00BE78CA">
        <w:t>Table 6.2.1</w:t>
      </w:r>
      <w:r w:rsidRPr="00BE78CA">
        <w:tab/>
        <w:t xml:space="preserve">New Zealand’s land use categories and </w:t>
      </w:r>
      <w:bookmarkEnd w:id="1334"/>
      <w:bookmarkEnd w:id="1335"/>
      <w:bookmarkEnd w:id="1336"/>
      <w:bookmarkEnd w:id="1337"/>
      <w:bookmarkEnd w:id="1338"/>
      <w:bookmarkEnd w:id="1339"/>
      <w:bookmarkEnd w:id="1340"/>
      <w:bookmarkEnd w:id="1341"/>
      <w:bookmarkEnd w:id="1342"/>
      <w:bookmarkEnd w:id="1343"/>
      <w:r w:rsidRPr="00BE78CA">
        <w:t>land uses</w:t>
      </w:r>
      <w:bookmarkEnd w:id="1344"/>
      <w:bookmarkEnd w:id="1345"/>
      <w:bookmarkEnd w:id="1346"/>
      <w:bookmarkEnd w:id="1347"/>
      <w:bookmarkEnd w:id="1348"/>
      <w:bookmarkEnd w:id="1349"/>
      <w:bookmarkEnd w:id="1350"/>
      <w:bookmarkEnd w:id="1351"/>
    </w:p>
    <w:tbl>
      <w:tblPr>
        <w:tblW w:w="8505" w:type="dxa"/>
        <w:tblBorders>
          <w:bottom w:val="single" w:sz="8" w:space="0" w:color="365F91"/>
        </w:tblBorders>
        <w:tblLook w:val="04A0" w:firstRow="1" w:lastRow="0" w:firstColumn="1" w:lastColumn="0" w:noHBand="0" w:noVBand="1"/>
      </w:tblPr>
      <w:tblGrid>
        <w:gridCol w:w="3114"/>
        <w:gridCol w:w="5391"/>
      </w:tblGrid>
      <w:tr w:rsidR="00333601" w:rsidRPr="00BE78CA" w14:paraId="5F976341" w14:textId="77777777" w:rsidTr="00C96DA7">
        <w:trPr>
          <w:tblHeader/>
        </w:trPr>
        <w:tc>
          <w:tcPr>
            <w:tcW w:w="2427" w:type="dxa"/>
            <w:tcBorders>
              <w:top w:val="single" w:sz="4" w:space="0" w:color="365F91"/>
              <w:bottom w:val="single" w:sz="4" w:space="0" w:color="365F91"/>
              <w:right w:val="nil"/>
            </w:tcBorders>
            <w:shd w:val="clear" w:color="auto" w:fill="365F91"/>
          </w:tcPr>
          <w:p w14:paraId="512E72C6" w14:textId="77777777" w:rsidR="00333601" w:rsidRPr="00BE78CA" w:rsidRDefault="00333601" w:rsidP="00C26084">
            <w:pPr>
              <w:pStyle w:val="TableTextBold"/>
              <w:keepNext/>
              <w:spacing w:before="50" w:after="40"/>
              <w:rPr>
                <w:rFonts w:eastAsia="Arial"/>
                <w:noProof w:val="0"/>
                <w:color w:val="FFFFFF"/>
              </w:rPr>
            </w:pPr>
            <w:r w:rsidRPr="00BE78CA">
              <w:rPr>
                <w:rFonts w:eastAsia="Arial"/>
                <w:noProof w:val="0"/>
                <w:color w:val="FFFFFF"/>
              </w:rPr>
              <w:t xml:space="preserve">IPCC category </w:t>
            </w:r>
          </w:p>
        </w:tc>
        <w:tc>
          <w:tcPr>
            <w:tcW w:w="4202" w:type="dxa"/>
            <w:tcBorders>
              <w:top w:val="single" w:sz="4" w:space="0" w:color="365F91"/>
              <w:bottom w:val="single" w:sz="4" w:space="0" w:color="365F91"/>
            </w:tcBorders>
            <w:shd w:val="clear" w:color="auto" w:fill="365F91"/>
          </w:tcPr>
          <w:p w14:paraId="7DF5F3D0" w14:textId="77777777" w:rsidR="00333601" w:rsidRPr="00BE78CA" w:rsidRDefault="00333601" w:rsidP="00C26084">
            <w:pPr>
              <w:pStyle w:val="TableTextBold"/>
              <w:spacing w:before="50" w:after="40"/>
              <w:rPr>
                <w:rFonts w:eastAsia="Arial"/>
                <w:noProof w:val="0"/>
                <w:color w:val="FFFFFF"/>
              </w:rPr>
            </w:pPr>
            <w:r w:rsidRPr="00BE78CA">
              <w:rPr>
                <w:rFonts w:eastAsia="Arial"/>
                <w:noProof w:val="0"/>
                <w:color w:val="FFFFFF"/>
              </w:rPr>
              <w:t xml:space="preserve">New Zealand land use </w:t>
            </w:r>
          </w:p>
        </w:tc>
      </w:tr>
      <w:tr w:rsidR="00333601" w:rsidRPr="00BE78CA" w14:paraId="22A2BF75" w14:textId="77777777" w:rsidTr="00C96DA7">
        <w:tc>
          <w:tcPr>
            <w:tcW w:w="2427" w:type="dxa"/>
            <w:tcBorders>
              <w:top w:val="single" w:sz="4" w:space="0" w:color="365F91"/>
              <w:bottom w:val="nil"/>
              <w:right w:val="nil"/>
            </w:tcBorders>
            <w:shd w:val="clear" w:color="auto" w:fill="auto"/>
          </w:tcPr>
          <w:p w14:paraId="4DC795A5" w14:textId="77777777" w:rsidR="00333601" w:rsidRPr="00BE78CA" w:rsidRDefault="00333601" w:rsidP="00C26084">
            <w:pPr>
              <w:pStyle w:val="TableText"/>
              <w:spacing w:before="40" w:after="40"/>
              <w:rPr>
                <w:rFonts w:eastAsia="Arial"/>
              </w:rPr>
            </w:pPr>
            <w:r w:rsidRPr="00BE78CA">
              <w:rPr>
                <w:rFonts w:eastAsia="Arial"/>
              </w:rPr>
              <w:t xml:space="preserve">Forest land </w:t>
            </w:r>
          </w:p>
        </w:tc>
        <w:tc>
          <w:tcPr>
            <w:tcW w:w="4202" w:type="dxa"/>
            <w:tcBorders>
              <w:top w:val="single" w:sz="4" w:space="0" w:color="365F91"/>
            </w:tcBorders>
            <w:shd w:val="clear" w:color="auto" w:fill="auto"/>
          </w:tcPr>
          <w:p w14:paraId="7CC4BD65" w14:textId="77777777" w:rsidR="00333601" w:rsidRPr="00BE78CA" w:rsidRDefault="00333601" w:rsidP="00C26084">
            <w:pPr>
              <w:pStyle w:val="TableText"/>
              <w:spacing w:before="40" w:after="40"/>
              <w:rPr>
                <w:rFonts w:eastAsia="Arial"/>
              </w:rPr>
            </w:pPr>
            <w:r w:rsidRPr="00BE78CA">
              <w:rPr>
                <w:rFonts w:eastAsia="Arial"/>
              </w:rPr>
              <w:t xml:space="preserve">Pre-1990 natural forest </w:t>
            </w:r>
          </w:p>
        </w:tc>
      </w:tr>
      <w:tr w:rsidR="00333601" w:rsidRPr="00BE78CA" w14:paraId="472F874E" w14:textId="77777777" w:rsidTr="00C96DA7">
        <w:tc>
          <w:tcPr>
            <w:tcW w:w="2427" w:type="dxa"/>
            <w:tcBorders>
              <w:top w:val="nil"/>
              <w:bottom w:val="nil"/>
              <w:right w:val="nil"/>
            </w:tcBorders>
            <w:shd w:val="clear" w:color="auto" w:fill="auto"/>
          </w:tcPr>
          <w:p w14:paraId="5897B768" w14:textId="77777777" w:rsidR="00333601" w:rsidRPr="00BE78CA" w:rsidRDefault="00333601" w:rsidP="00C26084">
            <w:pPr>
              <w:pStyle w:val="TableText"/>
              <w:spacing w:before="40" w:after="40"/>
              <w:rPr>
                <w:rFonts w:eastAsia="Arial"/>
              </w:rPr>
            </w:pPr>
          </w:p>
        </w:tc>
        <w:tc>
          <w:tcPr>
            <w:tcW w:w="4202" w:type="dxa"/>
            <w:tcBorders>
              <w:top w:val="single" w:sz="8" w:space="0" w:color="365F91"/>
              <w:bottom w:val="single" w:sz="8" w:space="0" w:color="365F91"/>
            </w:tcBorders>
            <w:shd w:val="clear" w:color="auto" w:fill="auto"/>
          </w:tcPr>
          <w:p w14:paraId="4F63EAB2" w14:textId="77777777" w:rsidR="00333601" w:rsidRPr="00BE78CA" w:rsidRDefault="00333601" w:rsidP="00C26084">
            <w:pPr>
              <w:pStyle w:val="TableText"/>
              <w:spacing w:before="40" w:after="40"/>
              <w:rPr>
                <w:rFonts w:eastAsia="Arial"/>
              </w:rPr>
            </w:pPr>
            <w:r w:rsidRPr="00BE78CA">
              <w:rPr>
                <w:rFonts w:eastAsia="Arial"/>
              </w:rPr>
              <w:t>Pre-1990 planted forest</w:t>
            </w:r>
          </w:p>
        </w:tc>
      </w:tr>
      <w:tr w:rsidR="00333601" w:rsidRPr="00BE78CA" w14:paraId="364DAAE0" w14:textId="77777777" w:rsidTr="00C96DA7">
        <w:tc>
          <w:tcPr>
            <w:tcW w:w="2427" w:type="dxa"/>
            <w:tcBorders>
              <w:bottom w:val="nil"/>
              <w:right w:val="nil"/>
            </w:tcBorders>
            <w:shd w:val="clear" w:color="auto" w:fill="auto"/>
          </w:tcPr>
          <w:p w14:paraId="0566909C" w14:textId="77777777" w:rsidR="00333601" w:rsidRPr="00BE78CA" w:rsidRDefault="00333601" w:rsidP="00C26084">
            <w:pPr>
              <w:pStyle w:val="TableText"/>
              <w:spacing w:before="40" w:after="40"/>
              <w:rPr>
                <w:rFonts w:eastAsia="Arial"/>
              </w:rPr>
            </w:pPr>
          </w:p>
        </w:tc>
        <w:tc>
          <w:tcPr>
            <w:tcW w:w="4202" w:type="dxa"/>
            <w:tcBorders>
              <w:bottom w:val="single" w:sz="2" w:space="0" w:color="365F91"/>
            </w:tcBorders>
            <w:shd w:val="clear" w:color="auto" w:fill="auto"/>
          </w:tcPr>
          <w:p w14:paraId="4AC658E8" w14:textId="77777777" w:rsidR="00333601" w:rsidRPr="00BE78CA" w:rsidRDefault="00333601" w:rsidP="00C26084">
            <w:pPr>
              <w:pStyle w:val="TableText"/>
              <w:spacing w:before="40" w:after="40"/>
              <w:rPr>
                <w:rFonts w:eastAsia="Arial"/>
              </w:rPr>
            </w:pPr>
            <w:r w:rsidRPr="00BE78CA">
              <w:rPr>
                <w:rFonts w:eastAsia="Arial"/>
              </w:rPr>
              <w:t>Post-1989 natural forest</w:t>
            </w:r>
            <w:r w:rsidRPr="00BE78CA">
              <w:rPr>
                <w:rFonts w:eastAsia="Arial"/>
                <w:vertAlign w:val="superscript"/>
              </w:rPr>
              <w:t>(1)</w:t>
            </w:r>
          </w:p>
        </w:tc>
      </w:tr>
      <w:tr w:rsidR="00333601" w:rsidRPr="00BE78CA" w14:paraId="44192A5F" w14:textId="77777777" w:rsidTr="00C96DA7">
        <w:tc>
          <w:tcPr>
            <w:tcW w:w="2427" w:type="dxa"/>
            <w:tcBorders>
              <w:bottom w:val="single" w:sz="8" w:space="0" w:color="365F91"/>
              <w:right w:val="nil"/>
            </w:tcBorders>
            <w:shd w:val="clear" w:color="auto" w:fill="auto"/>
          </w:tcPr>
          <w:p w14:paraId="5CA1311C" w14:textId="77777777" w:rsidR="00333601" w:rsidRPr="00BE78CA" w:rsidRDefault="00333601" w:rsidP="00C26084">
            <w:pPr>
              <w:pStyle w:val="TableText"/>
              <w:spacing w:before="40" w:after="40"/>
              <w:rPr>
                <w:rFonts w:eastAsia="Arial"/>
              </w:rPr>
            </w:pPr>
          </w:p>
        </w:tc>
        <w:tc>
          <w:tcPr>
            <w:tcW w:w="4202" w:type="dxa"/>
            <w:tcBorders>
              <w:top w:val="single" w:sz="2" w:space="0" w:color="365F91"/>
              <w:bottom w:val="single" w:sz="2" w:space="0" w:color="365F91"/>
            </w:tcBorders>
            <w:shd w:val="clear" w:color="auto" w:fill="auto"/>
          </w:tcPr>
          <w:p w14:paraId="2EE5E1EE" w14:textId="77777777" w:rsidR="00333601" w:rsidRPr="00BE78CA" w:rsidRDefault="00333601" w:rsidP="00C26084">
            <w:pPr>
              <w:pStyle w:val="TableText"/>
              <w:spacing w:before="40" w:after="40"/>
              <w:rPr>
                <w:rFonts w:eastAsia="Arial"/>
              </w:rPr>
            </w:pPr>
            <w:r w:rsidRPr="00BE78CA">
              <w:rPr>
                <w:rFonts w:eastAsia="Arial"/>
              </w:rPr>
              <w:t>Post-1989 planted forest</w:t>
            </w:r>
            <w:r w:rsidRPr="00BE78CA">
              <w:rPr>
                <w:rFonts w:eastAsia="Arial"/>
                <w:vertAlign w:val="superscript"/>
              </w:rPr>
              <w:t>(1)</w:t>
            </w:r>
          </w:p>
        </w:tc>
      </w:tr>
      <w:tr w:rsidR="00333601" w:rsidRPr="00BE78CA" w14:paraId="62EECC0E" w14:textId="77777777" w:rsidTr="00C96DA7">
        <w:tc>
          <w:tcPr>
            <w:tcW w:w="2427" w:type="dxa"/>
            <w:tcBorders>
              <w:top w:val="single" w:sz="8" w:space="0" w:color="365F91"/>
              <w:bottom w:val="nil"/>
              <w:right w:val="nil"/>
            </w:tcBorders>
            <w:shd w:val="clear" w:color="auto" w:fill="auto"/>
          </w:tcPr>
          <w:p w14:paraId="147B6039" w14:textId="77777777" w:rsidR="00333601" w:rsidRPr="00BE78CA" w:rsidRDefault="00333601" w:rsidP="00C26084">
            <w:pPr>
              <w:pStyle w:val="TableText"/>
              <w:spacing w:before="40" w:after="40"/>
              <w:rPr>
                <w:rFonts w:eastAsia="Arial"/>
              </w:rPr>
            </w:pPr>
            <w:r w:rsidRPr="00BE78CA">
              <w:rPr>
                <w:rFonts w:eastAsia="Arial"/>
              </w:rPr>
              <w:t xml:space="preserve">Cropland </w:t>
            </w:r>
          </w:p>
        </w:tc>
        <w:tc>
          <w:tcPr>
            <w:tcW w:w="4202" w:type="dxa"/>
            <w:tcBorders>
              <w:top w:val="single" w:sz="2" w:space="0" w:color="365F91"/>
              <w:bottom w:val="single" w:sz="8" w:space="0" w:color="365F91"/>
            </w:tcBorders>
            <w:shd w:val="clear" w:color="auto" w:fill="auto"/>
          </w:tcPr>
          <w:p w14:paraId="5C2718C9" w14:textId="77777777" w:rsidR="00333601" w:rsidRPr="00BE78CA" w:rsidRDefault="00333601" w:rsidP="00C26084">
            <w:pPr>
              <w:pStyle w:val="TableText"/>
              <w:spacing w:before="40" w:after="40"/>
              <w:rPr>
                <w:rFonts w:eastAsia="Arial"/>
              </w:rPr>
            </w:pPr>
            <w:r w:rsidRPr="00BE78CA">
              <w:rPr>
                <w:rFonts w:eastAsia="Arial"/>
              </w:rPr>
              <w:t>Annual cropland</w:t>
            </w:r>
          </w:p>
        </w:tc>
      </w:tr>
      <w:tr w:rsidR="00333601" w:rsidRPr="00BE78CA" w14:paraId="018C4981" w14:textId="77777777" w:rsidTr="00C96DA7">
        <w:tc>
          <w:tcPr>
            <w:tcW w:w="2427" w:type="dxa"/>
            <w:tcBorders>
              <w:bottom w:val="single" w:sz="8" w:space="0" w:color="365F91"/>
              <w:right w:val="nil"/>
            </w:tcBorders>
            <w:shd w:val="clear" w:color="auto" w:fill="auto"/>
          </w:tcPr>
          <w:p w14:paraId="7E172AA5" w14:textId="77777777" w:rsidR="00333601" w:rsidRPr="00BE78CA" w:rsidRDefault="00333601" w:rsidP="00C26084">
            <w:pPr>
              <w:pStyle w:val="TableText"/>
              <w:spacing w:before="40" w:after="40"/>
              <w:rPr>
                <w:rFonts w:eastAsia="Arial"/>
              </w:rPr>
            </w:pPr>
          </w:p>
        </w:tc>
        <w:tc>
          <w:tcPr>
            <w:tcW w:w="4202" w:type="dxa"/>
            <w:shd w:val="clear" w:color="auto" w:fill="auto"/>
          </w:tcPr>
          <w:p w14:paraId="59CBFBEB" w14:textId="77777777" w:rsidR="00333601" w:rsidRPr="00BE78CA" w:rsidRDefault="00333601" w:rsidP="00C26084">
            <w:pPr>
              <w:pStyle w:val="TableText"/>
              <w:spacing w:before="40" w:after="40"/>
              <w:rPr>
                <w:rFonts w:eastAsia="Arial"/>
              </w:rPr>
            </w:pPr>
            <w:r w:rsidRPr="00BE78CA">
              <w:rPr>
                <w:rFonts w:eastAsia="Arial"/>
              </w:rPr>
              <w:t xml:space="preserve">Perennial cropland </w:t>
            </w:r>
          </w:p>
        </w:tc>
      </w:tr>
      <w:tr w:rsidR="00333601" w:rsidRPr="00BE78CA" w14:paraId="7D8D9169" w14:textId="77777777" w:rsidTr="00C96DA7">
        <w:tc>
          <w:tcPr>
            <w:tcW w:w="2427" w:type="dxa"/>
            <w:tcBorders>
              <w:top w:val="single" w:sz="8" w:space="0" w:color="365F91"/>
              <w:bottom w:val="nil"/>
              <w:right w:val="nil"/>
            </w:tcBorders>
            <w:shd w:val="clear" w:color="auto" w:fill="auto"/>
          </w:tcPr>
          <w:p w14:paraId="7DEC9940" w14:textId="77777777" w:rsidR="00333601" w:rsidRPr="00BE78CA" w:rsidRDefault="00333601" w:rsidP="00C26084">
            <w:pPr>
              <w:pStyle w:val="TableText"/>
              <w:spacing w:before="40" w:after="40"/>
              <w:rPr>
                <w:rFonts w:eastAsia="Arial"/>
              </w:rPr>
            </w:pPr>
            <w:r w:rsidRPr="00BE78CA">
              <w:rPr>
                <w:rFonts w:eastAsia="Arial"/>
              </w:rPr>
              <w:t xml:space="preserve">Grassland </w:t>
            </w:r>
          </w:p>
        </w:tc>
        <w:tc>
          <w:tcPr>
            <w:tcW w:w="4202" w:type="dxa"/>
            <w:tcBorders>
              <w:top w:val="single" w:sz="8" w:space="0" w:color="365F91"/>
              <w:bottom w:val="single" w:sz="8" w:space="0" w:color="365F91"/>
            </w:tcBorders>
            <w:shd w:val="clear" w:color="auto" w:fill="auto"/>
          </w:tcPr>
          <w:p w14:paraId="78C01FB6" w14:textId="77777777" w:rsidR="00333601" w:rsidRPr="00BE78CA" w:rsidRDefault="00333601" w:rsidP="00C26084">
            <w:pPr>
              <w:pStyle w:val="TableText"/>
              <w:spacing w:before="40" w:after="40"/>
              <w:rPr>
                <w:rFonts w:eastAsia="Arial"/>
              </w:rPr>
            </w:pPr>
            <w:r w:rsidRPr="00BE78CA">
              <w:rPr>
                <w:rFonts w:eastAsia="Arial"/>
              </w:rPr>
              <w:t>High producing grassland</w:t>
            </w:r>
          </w:p>
        </w:tc>
      </w:tr>
      <w:tr w:rsidR="00333601" w:rsidRPr="00BE78CA" w14:paraId="364A19DD" w14:textId="77777777" w:rsidTr="00C96DA7">
        <w:tc>
          <w:tcPr>
            <w:tcW w:w="2427" w:type="dxa"/>
            <w:tcBorders>
              <w:bottom w:val="nil"/>
              <w:right w:val="nil"/>
            </w:tcBorders>
            <w:shd w:val="clear" w:color="auto" w:fill="auto"/>
          </w:tcPr>
          <w:p w14:paraId="3B105292" w14:textId="77777777" w:rsidR="00333601" w:rsidRPr="00BE78CA" w:rsidRDefault="00333601" w:rsidP="00C26084">
            <w:pPr>
              <w:pStyle w:val="TableText"/>
              <w:spacing w:before="40" w:after="40"/>
              <w:rPr>
                <w:rFonts w:eastAsia="Arial"/>
              </w:rPr>
            </w:pPr>
          </w:p>
        </w:tc>
        <w:tc>
          <w:tcPr>
            <w:tcW w:w="4202" w:type="dxa"/>
            <w:shd w:val="clear" w:color="auto" w:fill="auto"/>
          </w:tcPr>
          <w:p w14:paraId="7C3C7464" w14:textId="77777777" w:rsidR="00333601" w:rsidRPr="00BE78CA" w:rsidRDefault="00333601" w:rsidP="00C26084">
            <w:pPr>
              <w:pStyle w:val="TableText"/>
              <w:spacing w:before="40" w:after="40"/>
              <w:rPr>
                <w:rFonts w:eastAsia="Arial"/>
              </w:rPr>
            </w:pPr>
            <w:r w:rsidRPr="00BE78CA">
              <w:rPr>
                <w:rFonts w:eastAsia="Arial"/>
              </w:rPr>
              <w:t>Low producing grassland</w:t>
            </w:r>
          </w:p>
        </w:tc>
      </w:tr>
      <w:tr w:rsidR="00333601" w:rsidRPr="00BE78CA" w14:paraId="36270FFE" w14:textId="77777777" w:rsidTr="00C96DA7">
        <w:tc>
          <w:tcPr>
            <w:tcW w:w="2427" w:type="dxa"/>
            <w:tcBorders>
              <w:top w:val="nil"/>
              <w:bottom w:val="single" w:sz="8" w:space="0" w:color="365F91"/>
              <w:right w:val="nil"/>
            </w:tcBorders>
            <w:shd w:val="clear" w:color="auto" w:fill="auto"/>
          </w:tcPr>
          <w:p w14:paraId="53CEFEBD" w14:textId="77777777" w:rsidR="00333601" w:rsidRPr="00BE78CA" w:rsidRDefault="00333601" w:rsidP="00C26084">
            <w:pPr>
              <w:pStyle w:val="TableText"/>
              <w:spacing w:before="40" w:after="40"/>
              <w:rPr>
                <w:rFonts w:eastAsia="Arial"/>
              </w:rPr>
            </w:pPr>
          </w:p>
        </w:tc>
        <w:tc>
          <w:tcPr>
            <w:tcW w:w="4202" w:type="dxa"/>
            <w:tcBorders>
              <w:top w:val="single" w:sz="8" w:space="0" w:color="365F91"/>
              <w:bottom w:val="single" w:sz="8" w:space="0" w:color="365F91"/>
            </w:tcBorders>
            <w:shd w:val="clear" w:color="auto" w:fill="auto"/>
          </w:tcPr>
          <w:p w14:paraId="470F6F21" w14:textId="77777777" w:rsidR="00333601" w:rsidRPr="00BE78CA" w:rsidRDefault="00333601" w:rsidP="00C26084">
            <w:pPr>
              <w:pStyle w:val="TableText"/>
              <w:spacing w:before="40" w:after="40"/>
              <w:rPr>
                <w:rFonts w:eastAsia="Arial"/>
              </w:rPr>
            </w:pPr>
            <w:r w:rsidRPr="00BE78CA">
              <w:rPr>
                <w:rFonts w:eastAsia="Arial"/>
              </w:rPr>
              <w:t>Grassland with woody biomass</w:t>
            </w:r>
          </w:p>
        </w:tc>
      </w:tr>
      <w:tr w:rsidR="00333601" w:rsidRPr="00BE78CA" w14:paraId="40BC6D98" w14:textId="77777777" w:rsidTr="00C96DA7">
        <w:tc>
          <w:tcPr>
            <w:tcW w:w="2427" w:type="dxa"/>
            <w:tcBorders>
              <w:top w:val="single" w:sz="8" w:space="0" w:color="365F91"/>
              <w:bottom w:val="nil"/>
              <w:right w:val="nil"/>
            </w:tcBorders>
            <w:shd w:val="clear" w:color="auto" w:fill="auto"/>
          </w:tcPr>
          <w:p w14:paraId="139D564C" w14:textId="77777777" w:rsidR="00333601" w:rsidRPr="00BE78CA" w:rsidRDefault="00333601" w:rsidP="00C26084">
            <w:pPr>
              <w:pStyle w:val="TableText"/>
              <w:keepNext/>
              <w:spacing w:before="40" w:after="40"/>
              <w:rPr>
                <w:rFonts w:eastAsia="Arial"/>
              </w:rPr>
            </w:pPr>
            <w:r w:rsidRPr="00BE78CA">
              <w:rPr>
                <w:rFonts w:eastAsia="Arial"/>
              </w:rPr>
              <w:t>Wetlands</w:t>
            </w:r>
          </w:p>
        </w:tc>
        <w:tc>
          <w:tcPr>
            <w:tcW w:w="4202" w:type="dxa"/>
            <w:shd w:val="clear" w:color="auto" w:fill="auto"/>
          </w:tcPr>
          <w:p w14:paraId="16045EFB" w14:textId="77777777" w:rsidR="00333601" w:rsidRPr="00BE78CA" w:rsidRDefault="00333601" w:rsidP="00C26084">
            <w:pPr>
              <w:pStyle w:val="TableText"/>
              <w:keepNext/>
              <w:spacing w:before="40" w:after="40"/>
              <w:rPr>
                <w:rFonts w:eastAsia="Arial"/>
              </w:rPr>
            </w:pPr>
            <w:r w:rsidRPr="00BE78CA">
              <w:rPr>
                <w:rFonts w:eastAsia="Arial"/>
              </w:rPr>
              <w:t xml:space="preserve">Open water </w:t>
            </w:r>
          </w:p>
        </w:tc>
      </w:tr>
      <w:tr w:rsidR="00333601" w:rsidRPr="00BE78CA" w14:paraId="00C8AC5F" w14:textId="77777777" w:rsidTr="00C96DA7">
        <w:tc>
          <w:tcPr>
            <w:tcW w:w="2427" w:type="dxa"/>
            <w:tcBorders>
              <w:top w:val="nil"/>
              <w:bottom w:val="single" w:sz="8" w:space="0" w:color="365F91"/>
              <w:right w:val="nil"/>
            </w:tcBorders>
            <w:shd w:val="clear" w:color="auto" w:fill="auto"/>
          </w:tcPr>
          <w:p w14:paraId="17C532B8" w14:textId="77777777" w:rsidR="00333601" w:rsidRPr="00BE78CA" w:rsidRDefault="00333601" w:rsidP="00C26084">
            <w:pPr>
              <w:pStyle w:val="TableText"/>
              <w:keepNext/>
              <w:spacing w:before="40" w:after="40"/>
              <w:rPr>
                <w:rFonts w:eastAsia="Arial"/>
              </w:rPr>
            </w:pPr>
          </w:p>
        </w:tc>
        <w:tc>
          <w:tcPr>
            <w:tcW w:w="4202" w:type="dxa"/>
            <w:tcBorders>
              <w:top w:val="single" w:sz="8" w:space="0" w:color="365F91"/>
              <w:bottom w:val="single" w:sz="8" w:space="0" w:color="365F91"/>
            </w:tcBorders>
            <w:shd w:val="clear" w:color="auto" w:fill="auto"/>
          </w:tcPr>
          <w:p w14:paraId="03376FCD" w14:textId="77777777" w:rsidR="00333601" w:rsidRPr="00BE78CA" w:rsidRDefault="00333601" w:rsidP="00C26084">
            <w:pPr>
              <w:pStyle w:val="TableText"/>
              <w:keepNext/>
              <w:spacing w:before="40" w:after="40"/>
              <w:rPr>
                <w:rFonts w:eastAsia="Arial"/>
              </w:rPr>
            </w:pPr>
            <w:r w:rsidRPr="00BE78CA">
              <w:rPr>
                <w:rFonts w:eastAsia="Arial"/>
              </w:rPr>
              <w:t>Vegetated wetland</w:t>
            </w:r>
          </w:p>
        </w:tc>
      </w:tr>
      <w:tr w:rsidR="00333601" w:rsidRPr="00BE78CA" w14:paraId="47145AD9" w14:textId="77777777" w:rsidTr="00C96DA7">
        <w:tc>
          <w:tcPr>
            <w:tcW w:w="2427" w:type="dxa"/>
            <w:tcBorders>
              <w:right w:val="nil"/>
            </w:tcBorders>
            <w:shd w:val="clear" w:color="auto" w:fill="auto"/>
          </w:tcPr>
          <w:p w14:paraId="2D896207" w14:textId="77777777" w:rsidR="00333601" w:rsidRPr="00BE78CA" w:rsidRDefault="00333601" w:rsidP="00C26084">
            <w:pPr>
              <w:pStyle w:val="TableText"/>
              <w:spacing w:before="40" w:after="40"/>
              <w:rPr>
                <w:rFonts w:eastAsia="Arial"/>
              </w:rPr>
            </w:pPr>
            <w:r w:rsidRPr="00BE78CA">
              <w:rPr>
                <w:rFonts w:eastAsia="Arial"/>
              </w:rPr>
              <w:t>Settlements</w:t>
            </w:r>
          </w:p>
        </w:tc>
        <w:tc>
          <w:tcPr>
            <w:tcW w:w="4202" w:type="dxa"/>
            <w:shd w:val="clear" w:color="auto" w:fill="auto"/>
          </w:tcPr>
          <w:p w14:paraId="0A8262C8" w14:textId="77777777" w:rsidR="00333601" w:rsidRPr="00BE78CA" w:rsidRDefault="00333601" w:rsidP="00C26084">
            <w:pPr>
              <w:pStyle w:val="TableText"/>
              <w:spacing w:before="40" w:after="40"/>
              <w:rPr>
                <w:rFonts w:eastAsia="Arial"/>
              </w:rPr>
            </w:pPr>
            <w:r w:rsidRPr="00BE78CA">
              <w:rPr>
                <w:rFonts w:eastAsia="Arial"/>
              </w:rPr>
              <w:t>Settlements</w:t>
            </w:r>
          </w:p>
        </w:tc>
      </w:tr>
      <w:tr w:rsidR="00333601" w:rsidRPr="00BE78CA" w14:paraId="46513A6A" w14:textId="77777777" w:rsidTr="00C96DA7">
        <w:tc>
          <w:tcPr>
            <w:tcW w:w="2427" w:type="dxa"/>
            <w:tcBorders>
              <w:top w:val="single" w:sz="8" w:space="0" w:color="365F91"/>
              <w:bottom w:val="single" w:sz="8" w:space="0" w:color="365F91"/>
              <w:right w:val="nil"/>
            </w:tcBorders>
            <w:shd w:val="clear" w:color="auto" w:fill="auto"/>
          </w:tcPr>
          <w:p w14:paraId="72EE2443" w14:textId="77777777" w:rsidR="00333601" w:rsidRPr="00BE78CA" w:rsidRDefault="00333601" w:rsidP="00C26084">
            <w:pPr>
              <w:pStyle w:val="TableText"/>
              <w:spacing w:before="40" w:after="40"/>
              <w:rPr>
                <w:rFonts w:eastAsia="Arial"/>
              </w:rPr>
            </w:pPr>
            <w:r w:rsidRPr="00BE78CA">
              <w:rPr>
                <w:rFonts w:eastAsia="Arial"/>
              </w:rPr>
              <w:t>Other land</w:t>
            </w:r>
          </w:p>
        </w:tc>
        <w:tc>
          <w:tcPr>
            <w:tcW w:w="4202" w:type="dxa"/>
            <w:tcBorders>
              <w:top w:val="single" w:sz="8" w:space="0" w:color="365F91"/>
              <w:bottom w:val="single" w:sz="8" w:space="0" w:color="365F91"/>
            </w:tcBorders>
            <w:shd w:val="clear" w:color="auto" w:fill="auto"/>
          </w:tcPr>
          <w:p w14:paraId="34F21660" w14:textId="77777777" w:rsidR="00333601" w:rsidRPr="00BE78CA" w:rsidRDefault="00333601" w:rsidP="00C26084">
            <w:pPr>
              <w:pStyle w:val="TableText"/>
              <w:spacing w:before="40" w:after="40"/>
              <w:rPr>
                <w:rFonts w:eastAsia="Arial"/>
              </w:rPr>
            </w:pPr>
            <w:r w:rsidRPr="00BE78CA">
              <w:rPr>
                <w:rFonts w:eastAsia="Arial"/>
              </w:rPr>
              <w:t>Other land</w:t>
            </w:r>
          </w:p>
        </w:tc>
      </w:tr>
    </w:tbl>
    <w:p w14:paraId="353AD0AC" w14:textId="77777777" w:rsidR="00333601" w:rsidRPr="00BE78CA" w:rsidRDefault="00333601" w:rsidP="00333601">
      <w:pPr>
        <w:pStyle w:val="Noteundertable"/>
      </w:pPr>
      <w:r w:rsidRPr="00BE78CA">
        <w:rPr>
          <w:b/>
        </w:rPr>
        <w:t>Note:</w:t>
      </w:r>
      <w:r w:rsidRPr="00BE78CA">
        <w:tab/>
        <w:t>(1) Mapped as a single land use but stratified into ‘post-1989 natural forest’ and ‘post-1989 planted forest’ for calculating carbon using data from the plot network.</w:t>
      </w:r>
    </w:p>
    <w:p w14:paraId="2C6419FF" w14:textId="77777777" w:rsidR="00333601" w:rsidRPr="00BE78CA" w:rsidRDefault="00333601" w:rsidP="00333601">
      <w:pPr>
        <w:pStyle w:val="BodyText"/>
      </w:pPr>
      <w:r w:rsidRPr="00BE78CA">
        <w:lastRenderedPageBreak/>
        <w:t>The land uses were chosen for their conformance with the dominant types in New Zealand, while still enabling reporting under the land use categories specified in the 2006 IPCC Guidelines</w:t>
      </w:r>
      <w:r w:rsidRPr="00BE78CA" w:rsidDel="00663F9D">
        <w:t xml:space="preserve"> </w:t>
      </w:r>
      <w:r w:rsidRPr="00BE78CA">
        <w:t xml:space="preserve">(IPCC, 2006a). </w:t>
      </w:r>
    </w:p>
    <w:p w14:paraId="1746185E" w14:textId="77777777" w:rsidR="00333601" w:rsidRPr="00BE78CA" w:rsidRDefault="00333601" w:rsidP="00333601">
      <w:pPr>
        <w:pStyle w:val="BodyText"/>
        <w:spacing w:after="100"/>
      </w:pPr>
      <w:r w:rsidRPr="00BE78CA">
        <w:t xml:space="preserve">The national thresholds used by New Zealand to define </w:t>
      </w:r>
      <w:r w:rsidRPr="00BE78CA">
        <w:rPr>
          <w:i/>
        </w:rPr>
        <w:t>Forest land</w:t>
      </w:r>
      <w:r w:rsidRPr="00BE78CA">
        <w:t xml:space="preserve"> for both the Convention and Kyoto Protocol reporting are: </w:t>
      </w:r>
    </w:p>
    <w:p w14:paraId="7721819F" w14:textId="77777777" w:rsidR="00333601" w:rsidRPr="00BE78CA" w:rsidRDefault="00333601" w:rsidP="00FA2314">
      <w:pPr>
        <w:pStyle w:val="Bullet"/>
        <w:numPr>
          <w:ilvl w:val="0"/>
          <w:numId w:val="25"/>
        </w:numPr>
      </w:pPr>
      <w:r w:rsidRPr="00BE78CA">
        <w:t>a minimum area of 1 hectare</w:t>
      </w:r>
    </w:p>
    <w:p w14:paraId="5B76A8CC" w14:textId="77777777" w:rsidR="00333601" w:rsidRPr="00BE78CA" w:rsidRDefault="00333601" w:rsidP="00FA2314">
      <w:pPr>
        <w:pStyle w:val="Bullet"/>
        <w:numPr>
          <w:ilvl w:val="0"/>
          <w:numId w:val="25"/>
        </w:numPr>
      </w:pPr>
      <w:r w:rsidRPr="00BE78CA">
        <w:t>a crown cover of at least 30 per cent</w:t>
      </w:r>
    </w:p>
    <w:p w14:paraId="723673A5" w14:textId="77777777" w:rsidR="00333601" w:rsidRPr="00BE78CA" w:rsidRDefault="00333601" w:rsidP="00FA2314">
      <w:pPr>
        <w:pStyle w:val="Bullet"/>
        <w:numPr>
          <w:ilvl w:val="0"/>
          <w:numId w:val="25"/>
        </w:numPr>
      </w:pPr>
      <w:r w:rsidRPr="00BE78CA">
        <w:t xml:space="preserve">a minimum height of 5 metres at maturity </w:t>
      </w:r>
      <w:r w:rsidRPr="00BE78CA">
        <w:rPr>
          <w:i/>
        </w:rPr>
        <w:t>in situ</w:t>
      </w:r>
      <w:r w:rsidRPr="00BE78CA">
        <w:t xml:space="preserve"> (Ministry for the Environment, 2006).</w:t>
      </w:r>
    </w:p>
    <w:p w14:paraId="2DFF8378" w14:textId="77777777" w:rsidR="00333601" w:rsidRPr="00BE78CA" w:rsidRDefault="00333601" w:rsidP="00333601">
      <w:pPr>
        <w:pStyle w:val="BodyText"/>
      </w:pPr>
      <w:r w:rsidRPr="00BE78CA">
        <w:t xml:space="preserve">The definitions of New Zealand’s land uses, as they have been mapped, are provided in table 6.2.2. Further details are included in </w:t>
      </w:r>
      <w:r w:rsidRPr="00BE78CA">
        <w:rPr>
          <w:i/>
        </w:rPr>
        <w:t>Land Use and Carbon Analysis System:</w:t>
      </w:r>
      <w:r w:rsidRPr="00BE78CA">
        <w:t xml:space="preserve"> </w:t>
      </w:r>
      <w:r w:rsidRPr="00BE78CA">
        <w:rPr>
          <w:i/>
        </w:rPr>
        <w:t xml:space="preserve">Satellite imagery interpretation guide for land use classes </w:t>
      </w:r>
      <w:r w:rsidRPr="00BE78CA">
        <w:t>(2nd edition) (Ministry for the Environment, 2012).</w:t>
      </w:r>
    </w:p>
    <w:p w14:paraId="3E635641" w14:textId="77777777" w:rsidR="00333601" w:rsidRPr="00BE78CA" w:rsidRDefault="00333601" w:rsidP="00333601">
      <w:pPr>
        <w:pStyle w:val="Table"/>
      </w:pPr>
      <w:bookmarkStart w:id="1352" w:name="_Toc280630452"/>
      <w:bookmarkStart w:id="1353" w:name="_Toc310423400"/>
      <w:bookmarkStart w:id="1354" w:name="_Toc318362693"/>
      <w:bookmarkStart w:id="1355" w:name="_Toc342470755"/>
      <w:bookmarkStart w:id="1356" w:name="_Toc352504995"/>
      <w:bookmarkStart w:id="1357" w:name="_Toc361645343"/>
      <w:bookmarkStart w:id="1358" w:name="_Toc378853281"/>
      <w:bookmarkStart w:id="1359" w:name="_Toc391024079"/>
      <w:bookmarkStart w:id="1360" w:name="_Toc410028822"/>
      <w:bookmarkStart w:id="1361" w:name="_Toc414531450"/>
      <w:bookmarkStart w:id="1362" w:name="_Toc443645363"/>
      <w:bookmarkStart w:id="1363" w:name="_Toc474914582"/>
      <w:bookmarkStart w:id="1364" w:name="_Toc481751546"/>
      <w:bookmarkStart w:id="1365" w:name="_Toc522010603"/>
      <w:bookmarkStart w:id="1366" w:name="_Toc5269508"/>
      <w:bookmarkStart w:id="1367" w:name="_Toc33529384"/>
      <w:bookmarkStart w:id="1368" w:name="_Toc36224590"/>
      <w:bookmarkStart w:id="1369" w:name="_Toc65243585"/>
      <w:bookmarkStart w:id="1370" w:name="_Toc68786475"/>
      <w:r w:rsidRPr="00BE78CA">
        <w:t>Table 6.2.2</w:t>
      </w:r>
      <w:r w:rsidRPr="00BE78CA">
        <w:tab/>
        <w:t>New Zealand’s mapping definitions for each land use</w:t>
      </w:r>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p>
    <w:tbl>
      <w:tblPr>
        <w:tblW w:w="8505" w:type="dxa"/>
        <w:tblLook w:val="01E0" w:firstRow="1" w:lastRow="1" w:firstColumn="1" w:lastColumn="1" w:noHBand="0" w:noVBand="0"/>
      </w:tblPr>
      <w:tblGrid>
        <w:gridCol w:w="1276"/>
        <w:gridCol w:w="7229"/>
      </w:tblGrid>
      <w:tr w:rsidR="00333601" w:rsidRPr="00BE78CA" w14:paraId="7E1555BF" w14:textId="77777777" w:rsidTr="003E73F4">
        <w:trPr>
          <w:tblHeader/>
        </w:trPr>
        <w:tc>
          <w:tcPr>
            <w:tcW w:w="1276" w:type="dxa"/>
            <w:tcBorders>
              <w:top w:val="single" w:sz="4" w:space="0" w:color="365F91"/>
              <w:bottom w:val="single" w:sz="4" w:space="0" w:color="365F91"/>
            </w:tcBorders>
            <w:shd w:val="clear" w:color="auto" w:fill="365F91"/>
          </w:tcPr>
          <w:p w14:paraId="03F0D648" w14:textId="77777777" w:rsidR="00333601" w:rsidRPr="00BE78CA" w:rsidRDefault="00333601" w:rsidP="00C26084">
            <w:pPr>
              <w:pStyle w:val="TableTextBold"/>
              <w:spacing w:before="40" w:after="40"/>
              <w:rPr>
                <w:noProof w:val="0"/>
                <w:color w:val="FFFFFF"/>
              </w:rPr>
            </w:pPr>
            <w:r w:rsidRPr="00BE78CA">
              <w:rPr>
                <w:noProof w:val="0"/>
                <w:color w:val="FFFFFF"/>
              </w:rPr>
              <w:t>Land use</w:t>
            </w:r>
          </w:p>
        </w:tc>
        <w:tc>
          <w:tcPr>
            <w:tcW w:w="7229" w:type="dxa"/>
            <w:tcBorders>
              <w:top w:val="single" w:sz="4" w:space="0" w:color="365F91"/>
              <w:bottom w:val="single" w:sz="4" w:space="0" w:color="365F91"/>
            </w:tcBorders>
            <w:shd w:val="clear" w:color="auto" w:fill="365F91"/>
            <w:vAlign w:val="bottom"/>
          </w:tcPr>
          <w:p w14:paraId="49593364" w14:textId="77777777" w:rsidR="00333601" w:rsidRPr="00BE78CA" w:rsidRDefault="00333601" w:rsidP="00C26084">
            <w:pPr>
              <w:pStyle w:val="TableTextBold"/>
              <w:spacing w:before="40" w:after="40"/>
              <w:rPr>
                <w:noProof w:val="0"/>
                <w:color w:val="FFFFFF"/>
              </w:rPr>
            </w:pPr>
            <w:r w:rsidRPr="00BE78CA">
              <w:rPr>
                <w:noProof w:val="0"/>
                <w:color w:val="FFFFFF"/>
              </w:rPr>
              <w:t>Definition</w:t>
            </w:r>
          </w:p>
        </w:tc>
      </w:tr>
      <w:tr w:rsidR="00333601" w:rsidRPr="00BE78CA" w14:paraId="4F0CB446" w14:textId="77777777" w:rsidTr="003E73F4">
        <w:tc>
          <w:tcPr>
            <w:tcW w:w="1276" w:type="dxa"/>
            <w:tcBorders>
              <w:top w:val="single" w:sz="4" w:space="0" w:color="365F91"/>
              <w:bottom w:val="single" w:sz="4" w:space="0" w:color="365F91"/>
            </w:tcBorders>
          </w:tcPr>
          <w:p w14:paraId="13877919" w14:textId="77777777" w:rsidR="00333601" w:rsidRPr="00BE78CA" w:rsidRDefault="00333601" w:rsidP="00C26084">
            <w:pPr>
              <w:pStyle w:val="TableText"/>
              <w:rPr>
                <w:b/>
              </w:rPr>
            </w:pPr>
            <w:r w:rsidRPr="00BE78CA">
              <w:rPr>
                <w:b/>
              </w:rPr>
              <w:t xml:space="preserve">Pre-1990 natural forest </w:t>
            </w:r>
          </w:p>
        </w:tc>
        <w:tc>
          <w:tcPr>
            <w:tcW w:w="7229" w:type="dxa"/>
            <w:tcBorders>
              <w:top w:val="single" w:sz="4" w:space="0" w:color="365F91"/>
              <w:bottom w:val="single" w:sz="4" w:space="0" w:color="365F91"/>
            </w:tcBorders>
          </w:tcPr>
          <w:p w14:paraId="4F3D7F89" w14:textId="77777777" w:rsidR="00333601" w:rsidRPr="00BE78CA" w:rsidRDefault="00333601" w:rsidP="00C26084">
            <w:pPr>
              <w:pStyle w:val="TableText"/>
              <w:spacing w:after="0"/>
            </w:pPr>
            <w:r w:rsidRPr="00BE78CA">
              <w:t>Areas that, on 1 January 1990, were and presently include:</w:t>
            </w:r>
          </w:p>
          <w:p w14:paraId="0552813E" w14:textId="77777777" w:rsidR="00333601" w:rsidRPr="00BE78CA" w:rsidRDefault="00333601" w:rsidP="00FA2314">
            <w:pPr>
              <w:pStyle w:val="TableBullet"/>
              <w:numPr>
                <w:ilvl w:val="0"/>
                <w:numId w:val="26"/>
              </w:numPr>
              <w:tabs>
                <w:tab w:val="clear" w:pos="360"/>
                <w:tab w:val="left" w:pos="284"/>
              </w:tabs>
              <w:spacing w:before="40" w:after="0"/>
              <w:ind w:left="284" w:hanging="284"/>
            </w:pPr>
            <w:r w:rsidRPr="00BE78CA">
              <w:t xml:space="preserve">tall indigenous forest </w:t>
            </w:r>
          </w:p>
          <w:p w14:paraId="4934CC2A" w14:textId="77777777" w:rsidR="00333601" w:rsidRPr="00BE78CA" w:rsidRDefault="00333601" w:rsidP="00FA2314">
            <w:pPr>
              <w:pStyle w:val="TableBullet"/>
              <w:numPr>
                <w:ilvl w:val="0"/>
                <w:numId w:val="26"/>
              </w:numPr>
              <w:tabs>
                <w:tab w:val="clear" w:pos="360"/>
                <w:tab w:val="left" w:pos="284"/>
              </w:tabs>
              <w:spacing w:before="40" w:after="0"/>
              <w:ind w:left="284" w:hanging="284"/>
            </w:pPr>
            <w:r w:rsidRPr="00BE78CA">
              <w:t>self-sown exotic trees, such as wilding pines and grey willows (where managed as forest)</w:t>
            </w:r>
          </w:p>
          <w:p w14:paraId="09893A48" w14:textId="77777777" w:rsidR="00333601" w:rsidRPr="00BE78CA" w:rsidRDefault="00333601" w:rsidP="00FA2314">
            <w:pPr>
              <w:pStyle w:val="TableBullet"/>
              <w:numPr>
                <w:ilvl w:val="0"/>
                <w:numId w:val="26"/>
              </w:numPr>
              <w:tabs>
                <w:tab w:val="clear" w:pos="360"/>
                <w:tab w:val="left" w:pos="284"/>
              </w:tabs>
              <w:spacing w:before="40" w:after="0"/>
              <w:ind w:left="284" w:hanging="284"/>
            </w:pPr>
            <w:r w:rsidRPr="00BE78CA">
              <w:t>broadleaved hardwood shrubland, m</w:t>
            </w:r>
            <w:r w:rsidRPr="00BE78CA">
              <w:rPr>
                <w:rFonts w:cs="Arial"/>
              </w:rPr>
              <w:t>ā</w:t>
            </w:r>
            <w:r w:rsidRPr="00BE78CA">
              <w:t>nuka–k</w:t>
            </w:r>
            <w:r w:rsidRPr="00BE78CA">
              <w:rPr>
                <w:rFonts w:cs="Arial"/>
              </w:rPr>
              <w:t>ā</w:t>
            </w:r>
            <w:r w:rsidRPr="00BE78CA">
              <w:t>nuka (</w:t>
            </w:r>
            <w:r w:rsidRPr="00BE78CA">
              <w:rPr>
                <w:i/>
              </w:rPr>
              <w:t>Leptospermum</w:t>
            </w:r>
            <w:r w:rsidRPr="00BE78CA">
              <w:t xml:space="preserve"> </w:t>
            </w:r>
            <w:r w:rsidRPr="00BE78CA">
              <w:rPr>
                <w:i/>
              </w:rPr>
              <w:t>scoparium</w:t>
            </w:r>
            <w:r w:rsidRPr="00BE78CA">
              <w:t>–</w:t>
            </w:r>
            <w:r w:rsidRPr="00BE78CA">
              <w:rPr>
                <w:i/>
              </w:rPr>
              <w:t>Kunzea</w:t>
            </w:r>
            <w:r w:rsidRPr="00BE78CA">
              <w:t xml:space="preserve"> spp.) shrubland and other woody shrubland (≥30 per cent cover, with potential to reach ≥5 metres at maturity </w:t>
            </w:r>
            <w:r w:rsidRPr="00BE78CA">
              <w:rPr>
                <w:i/>
              </w:rPr>
              <w:t>in situ</w:t>
            </w:r>
            <w:r w:rsidRPr="00BE78CA">
              <w:t xml:space="preserve"> under current land management within 30–40 years)</w:t>
            </w:r>
          </w:p>
          <w:p w14:paraId="708D9985" w14:textId="77777777" w:rsidR="00333601" w:rsidRPr="00BE78CA" w:rsidRDefault="00333601" w:rsidP="00FA2314">
            <w:pPr>
              <w:pStyle w:val="TableBullet"/>
              <w:numPr>
                <w:ilvl w:val="0"/>
                <w:numId w:val="26"/>
              </w:numPr>
              <w:tabs>
                <w:tab w:val="clear" w:pos="360"/>
                <w:tab w:val="left" w:pos="284"/>
              </w:tabs>
              <w:spacing w:before="40" w:after="0"/>
              <w:ind w:left="284" w:hanging="284"/>
            </w:pPr>
            <w:r w:rsidRPr="00BE78CA">
              <w:t xml:space="preserve">areas of bare ground of any size that were previously forested but, due to natural disturbances (e.g., erosion, storms, fire), have temporarily lost vegetation cover </w:t>
            </w:r>
          </w:p>
          <w:p w14:paraId="03477A75" w14:textId="77777777" w:rsidR="00333601" w:rsidRPr="00BE78CA" w:rsidRDefault="00333601" w:rsidP="00FA2314">
            <w:pPr>
              <w:pStyle w:val="TableBullet"/>
              <w:numPr>
                <w:ilvl w:val="0"/>
                <w:numId w:val="26"/>
              </w:numPr>
              <w:tabs>
                <w:tab w:val="clear" w:pos="360"/>
                <w:tab w:val="left" w:pos="284"/>
              </w:tabs>
              <w:spacing w:before="40" w:after="0"/>
              <w:ind w:left="284" w:hanging="284"/>
            </w:pPr>
            <w:r w:rsidRPr="00BE78CA">
              <w:t xml:space="preserve">areas that were planted forest at 1990 but are subsequently managed to regenerate with natural species that will meet the forest definition </w:t>
            </w:r>
          </w:p>
          <w:p w14:paraId="683186C9" w14:textId="77777777" w:rsidR="00333601" w:rsidRPr="00BE78CA" w:rsidRDefault="00333601" w:rsidP="00FA2314">
            <w:pPr>
              <w:pStyle w:val="TableBullet"/>
              <w:numPr>
                <w:ilvl w:val="0"/>
                <w:numId w:val="26"/>
              </w:numPr>
              <w:tabs>
                <w:tab w:val="clear" w:pos="360"/>
                <w:tab w:val="left" w:pos="284"/>
              </w:tabs>
              <w:spacing w:before="40"/>
              <w:ind w:left="284" w:hanging="284"/>
            </w:pPr>
            <w:r w:rsidRPr="00BE78CA">
              <w:t>roads and tracks less than 30 metres in width and other temporarily unstocked areas associated with a forest land use.</w:t>
            </w:r>
          </w:p>
        </w:tc>
      </w:tr>
      <w:tr w:rsidR="00333601" w:rsidRPr="00BE78CA" w14:paraId="60E9FB34" w14:textId="77777777" w:rsidTr="006846D8">
        <w:tc>
          <w:tcPr>
            <w:tcW w:w="1276" w:type="dxa"/>
            <w:tcBorders>
              <w:top w:val="single" w:sz="4" w:space="0" w:color="365F91"/>
              <w:bottom w:val="single" w:sz="4" w:space="0" w:color="365F91"/>
            </w:tcBorders>
          </w:tcPr>
          <w:p w14:paraId="356CB773" w14:textId="77777777" w:rsidR="00333601" w:rsidRPr="00BE78CA" w:rsidRDefault="00333601" w:rsidP="00C26084">
            <w:pPr>
              <w:pStyle w:val="TableText"/>
              <w:rPr>
                <w:b/>
              </w:rPr>
            </w:pPr>
            <w:r w:rsidRPr="00BE78CA">
              <w:rPr>
                <w:b/>
              </w:rPr>
              <w:t>Pre-1990 planted forest</w:t>
            </w:r>
          </w:p>
        </w:tc>
        <w:tc>
          <w:tcPr>
            <w:tcW w:w="7229" w:type="dxa"/>
            <w:tcBorders>
              <w:top w:val="single" w:sz="4" w:space="0" w:color="365F91"/>
              <w:bottom w:val="single" w:sz="4" w:space="0" w:color="365F91"/>
            </w:tcBorders>
          </w:tcPr>
          <w:p w14:paraId="26C67E56" w14:textId="77777777" w:rsidR="00333601" w:rsidRPr="00BE78CA" w:rsidRDefault="00333601" w:rsidP="00C26084">
            <w:pPr>
              <w:pStyle w:val="TableText"/>
              <w:spacing w:after="0"/>
            </w:pPr>
            <w:r w:rsidRPr="00BE78CA">
              <w:t>Areas that, on 1 January 1990, were and presently include:</w:t>
            </w:r>
          </w:p>
          <w:p w14:paraId="27E96EA1" w14:textId="77777777" w:rsidR="00333601" w:rsidRPr="00BE78CA" w:rsidRDefault="00333601" w:rsidP="00C26084">
            <w:pPr>
              <w:pStyle w:val="TableBullet"/>
              <w:spacing w:before="40" w:after="0"/>
            </w:pPr>
            <w:r w:rsidRPr="00BE78CA">
              <w:t>radiata pine (</w:t>
            </w:r>
            <w:r w:rsidRPr="00BE78CA">
              <w:rPr>
                <w:i/>
              </w:rPr>
              <w:t>Pinus radiata</w:t>
            </w:r>
            <w:r w:rsidRPr="00BE78CA">
              <w:t>), Douglas fir (</w:t>
            </w:r>
            <w:r w:rsidRPr="00BE78CA">
              <w:rPr>
                <w:i/>
              </w:rPr>
              <w:t>Pseudotsuga menziesii</w:t>
            </w:r>
            <w:r w:rsidRPr="00BE78CA">
              <w:t>), eucalypts (</w:t>
            </w:r>
            <w:r w:rsidRPr="00BE78CA">
              <w:rPr>
                <w:i/>
              </w:rPr>
              <w:t xml:space="preserve">Eucalyptus </w:t>
            </w:r>
            <w:r w:rsidRPr="00BE78CA">
              <w:t xml:space="preserve">spp.) or other planted species (with potential to reach ≥5 metre height at maturity </w:t>
            </w:r>
            <w:r w:rsidRPr="00BE78CA">
              <w:rPr>
                <w:i/>
              </w:rPr>
              <w:t>in situ</w:t>
            </w:r>
            <w:r w:rsidRPr="00BE78CA">
              <w:t>) established before 1 January 1990 or replanted on land that was forest land as at 31 December 1989</w:t>
            </w:r>
          </w:p>
          <w:p w14:paraId="4145D19B" w14:textId="77777777" w:rsidR="00333601" w:rsidRPr="00BE78CA" w:rsidRDefault="00333601" w:rsidP="00C26084">
            <w:pPr>
              <w:pStyle w:val="TableBullet"/>
              <w:spacing w:before="40" w:after="0"/>
            </w:pPr>
            <w:r w:rsidRPr="00BE78CA">
              <w:t>exotic forest species that were planted after 31 December 1989 on land that was natural forest</w:t>
            </w:r>
          </w:p>
          <w:p w14:paraId="2E870D36" w14:textId="77777777" w:rsidR="00333601" w:rsidRPr="00BE78CA" w:rsidRDefault="00333601" w:rsidP="00FA2314">
            <w:pPr>
              <w:pStyle w:val="TableBullet"/>
              <w:numPr>
                <w:ilvl w:val="0"/>
                <w:numId w:val="26"/>
              </w:numPr>
              <w:tabs>
                <w:tab w:val="clear" w:pos="360"/>
                <w:tab w:val="left" w:pos="284"/>
              </w:tabs>
              <w:spacing w:before="40" w:after="0"/>
              <w:ind w:left="284" w:hanging="284"/>
            </w:pPr>
            <w:r w:rsidRPr="00BE78CA">
              <w:t>riparian or erosion control plantings that meet the forest definition and that were planted before 1 January 1990</w:t>
            </w:r>
          </w:p>
          <w:p w14:paraId="0E12ABA9" w14:textId="77777777" w:rsidR="00333601" w:rsidRPr="00BE78CA" w:rsidRDefault="00333601" w:rsidP="00C26084">
            <w:pPr>
              <w:pStyle w:val="TableBullet"/>
              <w:spacing w:before="40"/>
            </w:pPr>
            <w:r w:rsidRPr="00BE78CA">
              <w:t>harvested areas within pre-1990 planted forest (assumes these will be replanted, unless deforestation is later detected)</w:t>
            </w:r>
          </w:p>
          <w:p w14:paraId="7D501A1A" w14:textId="77777777" w:rsidR="00333601" w:rsidRPr="00BE78CA" w:rsidRDefault="00333601" w:rsidP="00FA2314">
            <w:pPr>
              <w:pStyle w:val="TableBullet"/>
              <w:numPr>
                <w:ilvl w:val="0"/>
                <w:numId w:val="26"/>
              </w:numPr>
              <w:tabs>
                <w:tab w:val="clear" w:pos="360"/>
              </w:tabs>
              <w:spacing w:before="40" w:after="0"/>
              <w:ind w:left="284" w:hanging="284"/>
            </w:pPr>
            <w:r w:rsidRPr="00BE78CA">
              <w:t xml:space="preserve">roads, tracks, skid sites and other temporarily unstocked areas less than 30 metres in width associated with a forest land use </w:t>
            </w:r>
          </w:p>
          <w:p w14:paraId="050661FE" w14:textId="77777777" w:rsidR="00333601" w:rsidRPr="00BE78CA" w:rsidRDefault="00333601" w:rsidP="00FA2314">
            <w:pPr>
              <w:pStyle w:val="TableBullet"/>
              <w:numPr>
                <w:ilvl w:val="0"/>
                <w:numId w:val="26"/>
              </w:numPr>
              <w:tabs>
                <w:tab w:val="clear" w:pos="360"/>
              </w:tabs>
              <w:spacing w:before="40"/>
              <w:ind w:left="284" w:hanging="284"/>
            </w:pPr>
            <w:r w:rsidRPr="00BE78CA">
              <w:t>areas of bare ground of any size that were previously forested at 31 December 1989 but, due to natural disturbances (e.g., erosion, storms, fire), have lost vegetation cover.</w:t>
            </w:r>
          </w:p>
        </w:tc>
      </w:tr>
      <w:tr w:rsidR="00333601" w:rsidRPr="00BE78CA" w14:paraId="6B899751" w14:textId="77777777" w:rsidTr="006846D8">
        <w:trPr>
          <w:trHeight w:val="2930"/>
        </w:trPr>
        <w:tc>
          <w:tcPr>
            <w:tcW w:w="1276" w:type="dxa"/>
            <w:tcBorders>
              <w:top w:val="single" w:sz="4" w:space="0" w:color="365F91"/>
              <w:bottom w:val="single" w:sz="4" w:space="0" w:color="365F91"/>
            </w:tcBorders>
          </w:tcPr>
          <w:p w14:paraId="0B56E0FF" w14:textId="77777777" w:rsidR="00333601" w:rsidRPr="00BE78CA" w:rsidRDefault="00333601" w:rsidP="00C26084">
            <w:pPr>
              <w:pStyle w:val="TableText"/>
              <w:rPr>
                <w:b/>
              </w:rPr>
            </w:pPr>
            <w:r w:rsidRPr="00BE78CA">
              <w:rPr>
                <w:b/>
              </w:rPr>
              <w:t xml:space="preserve">Post-1989 forest </w:t>
            </w:r>
          </w:p>
        </w:tc>
        <w:tc>
          <w:tcPr>
            <w:tcW w:w="7229" w:type="dxa"/>
            <w:tcBorders>
              <w:top w:val="single" w:sz="4" w:space="0" w:color="365F91"/>
              <w:bottom w:val="single" w:sz="4" w:space="0" w:color="365F91"/>
            </w:tcBorders>
          </w:tcPr>
          <w:p w14:paraId="1F0247B8" w14:textId="77777777" w:rsidR="00333601" w:rsidRPr="00BE78CA" w:rsidRDefault="00333601" w:rsidP="00C26084">
            <w:pPr>
              <w:pStyle w:val="TableText"/>
              <w:spacing w:after="0"/>
            </w:pPr>
            <w:r w:rsidRPr="00BE78CA">
              <w:t>Includes post-1989 planted forest, which consists of:</w:t>
            </w:r>
          </w:p>
          <w:p w14:paraId="35861059" w14:textId="77777777" w:rsidR="00333601" w:rsidRPr="00BE78CA" w:rsidRDefault="00333601" w:rsidP="00FA2314">
            <w:pPr>
              <w:pStyle w:val="TableBullet"/>
              <w:numPr>
                <w:ilvl w:val="0"/>
                <w:numId w:val="26"/>
              </w:numPr>
              <w:tabs>
                <w:tab w:val="clear" w:pos="360"/>
                <w:tab w:val="left" w:pos="284"/>
              </w:tabs>
              <w:spacing w:before="40" w:after="0"/>
              <w:ind w:left="284" w:hanging="284"/>
            </w:pPr>
            <w:r w:rsidRPr="00BE78CA">
              <w:t>exotic forest (with the potential to reach ≥5 metre height at maturity</w:t>
            </w:r>
            <w:r w:rsidRPr="00BE78CA">
              <w:rPr>
                <w:i/>
              </w:rPr>
              <w:t xml:space="preserve"> in situ</w:t>
            </w:r>
            <w:r w:rsidRPr="00BE78CA">
              <w:t>) planted or established on land that was non-forest land as at 31 December 1989 (e.g., radiata pine, Douglas fir, eucalypts or other planted species)</w:t>
            </w:r>
          </w:p>
          <w:p w14:paraId="732DEA24" w14:textId="77777777" w:rsidR="00333601" w:rsidRPr="00BE78CA" w:rsidRDefault="00333601" w:rsidP="00FA2314">
            <w:pPr>
              <w:pStyle w:val="TableBullet"/>
              <w:numPr>
                <w:ilvl w:val="0"/>
                <w:numId w:val="26"/>
              </w:numPr>
              <w:tabs>
                <w:tab w:val="clear" w:pos="360"/>
                <w:tab w:val="left" w:pos="284"/>
              </w:tabs>
              <w:spacing w:before="40" w:after="0"/>
              <w:ind w:left="284" w:hanging="284"/>
            </w:pPr>
            <w:r w:rsidRPr="00BE78CA">
              <w:t>riparian or erosion control plantings that meet the forest definition and that were planted after 31 December 1989</w:t>
            </w:r>
          </w:p>
          <w:p w14:paraId="437C4FAE" w14:textId="77777777" w:rsidR="00333601" w:rsidRPr="00BE78CA" w:rsidRDefault="00333601" w:rsidP="00FA2314">
            <w:pPr>
              <w:pStyle w:val="TableBullet"/>
              <w:numPr>
                <w:ilvl w:val="0"/>
                <w:numId w:val="26"/>
              </w:numPr>
              <w:tabs>
                <w:tab w:val="clear" w:pos="360"/>
                <w:tab w:val="left" w:pos="284"/>
              </w:tabs>
              <w:spacing w:before="40" w:after="0"/>
              <w:ind w:left="284" w:hanging="284"/>
            </w:pPr>
            <w:r w:rsidRPr="00BE78CA">
              <w:t>harvested areas within post-1989 forest land (assuming these will be replanted, unless deforestation is later detected).</w:t>
            </w:r>
          </w:p>
          <w:p w14:paraId="13098F92" w14:textId="77777777" w:rsidR="00333601" w:rsidRPr="00BE78CA" w:rsidRDefault="00333601" w:rsidP="00C26084">
            <w:pPr>
              <w:pStyle w:val="TableText"/>
              <w:spacing w:after="0"/>
            </w:pPr>
            <w:r w:rsidRPr="00BE78CA">
              <w:t>Includes post-1989 natural forest, which consists of:</w:t>
            </w:r>
          </w:p>
          <w:p w14:paraId="70D580D8" w14:textId="77777777" w:rsidR="00333601" w:rsidRPr="00BE78CA" w:rsidRDefault="00333601" w:rsidP="00FA2314">
            <w:pPr>
              <w:pStyle w:val="TableBullet"/>
              <w:numPr>
                <w:ilvl w:val="0"/>
                <w:numId w:val="26"/>
              </w:numPr>
              <w:tabs>
                <w:tab w:val="clear" w:pos="360"/>
                <w:tab w:val="left" w:pos="284"/>
              </w:tabs>
              <w:spacing w:before="40" w:after="0"/>
              <w:ind w:left="284" w:hanging="284"/>
            </w:pPr>
            <w:r w:rsidRPr="00BE78CA">
              <w:t>forests arising from natural regeneration of indigenous tree species as a result of management change after 31 December 1989</w:t>
            </w:r>
          </w:p>
          <w:p w14:paraId="49BCD022" w14:textId="77777777" w:rsidR="00333601" w:rsidRPr="00BE78CA" w:rsidRDefault="00333601" w:rsidP="00FA2314">
            <w:pPr>
              <w:pStyle w:val="TableBullet"/>
              <w:numPr>
                <w:ilvl w:val="0"/>
                <w:numId w:val="26"/>
              </w:numPr>
              <w:tabs>
                <w:tab w:val="clear" w:pos="360"/>
                <w:tab w:val="left" w:pos="284"/>
              </w:tabs>
              <w:spacing w:before="40" w:after="0"/>
              <w:ind w:left="284" w:hanging="284"/>
            </w:pPr>
            <w:r w:rsidRPr="00BE78CA">
              <w:t>self-sown exotic trees, such as wilding conifers or grey willows, established after 31 December 1989 (where managed as forest)</w:t>
            </w:r>
          </w:p>
        </w:tc>
      </w:tr>
      <w:tr w:rsidR="00333601" w:rsidRPr="00BE78CA" w14:paraId="16392BFD" w14:textId="77777777" w:rsidTr="006846D8">
        <w:trPr>
          <w:trHeight w:val="426"/>
        </w:trPr>
        <w:tc>
          <w:tcPr>
            <w:tcW w:w="1276" w:type="dxa"/>
            <w:tcBorders>
              <w:top w:val="single" w:sz="4" w:space="0" w:color="365F91"/>
              <w:bottom w:val="single" w:sz="4" w:space="0" w:color="365F91"/>
            </w:tcBorders>
          </w:tcPr>
          <w:p w14:paraId="187EFF01" w14:textId="77777777" w:rsidR="00333601" w:rsidRPr="00BE78CA" w:rsidRDefault="00333601" w:rsidP="00C26084">
            <w:pPr>
              <w:pStyle w:val="TableText"/>
              <w:keepNext/>
              <w:rPr>
                <w:b/>
              </w:rPr>
            </w:pPr>
          </w:p>
        </w:tc>
        <w:tc>
          <w:tcPr>
            <w:tcW w:w="7229" w:type="dxa"/>
            <w:tcBorders>
              <w:top w:val="single" w:sz="4" w:space="0" w:color="365F91"/>
              <w:bottom w:val="single" w:sz="4" w:space="0" w:color="365F91"/>
            </w:tcBorders>
          </w:tcPr>
          <w:p w14:paraId="5B099783" w14:textId="77777777" w:rsidR="00333601" w:rsidRPr="00BE78CA" w:rsidRDefault="00333601" w:rsidP="00C26084">
            <w:pPr>
              <w:pStyle w:val="TableText"/>
              <w:keepNext/>
              <w:spacing w:after="0"/>
            </w:pPr>
            <w:r w:rsidRPr="00BE78CA">
              <w:t>Includes areas within post-1989 natural forest or post-1989 planted forest that are:</w:t>
            </w:r>
          </w:p>
          <w:p w14:paraId="1A0667BD" w14:textId="77777777" w:rsidR="00333601" w:rsidRPr="00BE78CA" w:rsidRDefault="00333601" w:rsidP="00C26084">
            <w:pPr>
              <w:pStyle w:val="TableBullet"/>
              <w:spacing w:before="40" w:after="0"/>
            </w:pPr>
            <w:r w:rsidRPr="00BE78CA">
              <w:t>roads, tracks, skid sites and other temporarily unstocked areas associated with a forest land use</w:t>
            </w:r>
          </w:p>
          <w:p w14:paraId="02C68DC3" w14:textId="77777777" w:rsidR="00333601" w:rsidRPr="00BE78CA" w:rsidRDefault="00333601" w:rsidP="00C26084">
            <w:pPr>
              <w:pStyle w:val="TableBullet"/>
              <w:spacing w:before="40"/>
            </w:pPr>
            <w:r w:rsidRPr="00BE78CA">
              <w:t>areas of bare ground of any size that were previously forested (established after 31 December 1989) but, due to natural disturbances (e.g., erosion, storms, fire), have lost vegetation cover.</w:t>
            </w:r>
          </w:p>
        </w:tc>
      </w:tr>
      <w:tr w:rsidR="00333601" w:rsidRPr="00BE78CA" w14:paraId="71E7912E" w14:textId="77777777" w:rsidTr="003E73F4">
        <w:tc>
          <w:tcPr>
            <w:tcW w:w="1276" w:type="dxa"/>
            <w:tcBorders>
              <w:top w:val="single" w:sz="4" w:space="0" w:color="365F91"/>
              <w:bottom w:val="single" w:sz="4" w:space="0" w:color="365F91"/>
            </w:tcBorders>
          </w:tcPr>
          <w:p w14:paraId="2A593A97" w14:textId="77777777" w:rsidR="00333601" w:rsidRPr="00BE78CA" w:rsidRDefault="00333601" w:rsidP="00C26084">
            <w:pPr>
              <w:pStyle w:val="TableText"/>
              <w:rPr>
                <w:b/>
              </w:rPr>
            </w:pPr>
            <w:r w:rsidRPr="00BE78CA">
              <w:rPr>
                <w:b/>
              </w:rPr>
              <w:t>Annual cropland</w:t>
            </w:r>
          </w:p>
        </w:tc>
        <w:tc>
          <w:tcPr>
            <w:tcW w:w="7229" w:type="dxa"/>
            <w:tcBorders>
              <w:top w:val="single" w:sz="4" w:space="0" w:color="365F91"/>
              <w:bottom w:val="single" w:sz="4" w:space="0" w:color="365F91"/>
            </w:tcBorders>
          </w:tcPr>
          <w:p w14:paraId="3C298DBE" w14:textId="77777777" w:rsidR="00333601" w:rsidRPr="00BE78CA" w:rsidRDefault="00333601" w:rsidP="00C26084">
            <w:pPr>
              <w:pStyle w:val="TableBullet"/>
              <w:numPr>
                <w:ilvl w:val="0"/>
                <w:numId w:val="0"/>
              </w:numPr>
              <w:spacing w:after="0"/>
            </w:pPr>
            <w:r w:rsidRPr="00BE78CA">
              <w:t>Includes:</w:t>
            </w:r>
          </w:p>
          <w:p w14:paraId="212F9887" w14:textId="77777777" w:rsidR="00333601" w:rsidRPr="00BE78CA" w:rsidRDefault="00333601" w:rsidP="00FA2314">
            <w:pPr>
              <w:pStyle w:val="TableBullet"/>
              <w:numPr>
                <w:ilvl w:val="0"/>
                <w:numId w:val="26"/>
              </w:numPr>
              <w:tabs>
                <w:tab w:val="left" w:pos="284"/>
              </w:tabs>
              <w:spacing w:before="0" w:after="40"/>
              <w:ind w:left="284" w:hanging="284"/>
            </w:pPr>
            <w:r w:rsidRPr="00BE78CA">
              <w:t>all annual crops</w:t>
            </w:r>
          </w:p>
          <w:p w14:paraId="39FB391A" w14:textId="77777777" w:rsidR="00333601" w:rsidRPr="00BE78CA" w:rsidRDefault="00333601" w:rsidP="00FA2314">
            <w:pPr>
              <w:pStyle w:val="TableBullet"/>
              <w:numPr>
                <w:ilvl w:val="0"/>
                <w:numId w:val="26"/>
              </w:numPr>
              <w:tabs>
                <w:tab w:val="left" w:pos="284"/>
              </w:tabs>
              <w:spacing w:before="0" w:after="40"/>
              <w:ind w:left="284" w:hanging="284"/>
            </w:pPr>
            <w:r w:rsidRPr="00BE78CA">
              <w:t>all cultivated bare ground</w:t>
            </w:r>
          </w:p>
          <w:p w14:paraId="75CA6DEA" w14:textId="77777777" w:rsidR="00333601" w:rsidRPr="00BE78CA" w:rsidRDefault="00333601" w:rsidP="00FA2314">
            <w:pPr>
              <w:pStyle w:val="TableBullet"/>
              <w:numPr>
                <w:ilvl w:val="0"/>
                <w:numId w:val="26"/>
              </w:numPr>
              <w:tabs>
                <w:tab w:val="left" w:pos="284"/>
              </w:tabs>
              <w:spacing w:before="0"/>
              <w:ind w:left="284" w:hanging="284"/>
            </w:pPr>
            <w:r w:rsidRPr="00BE78CA">
              <w:t>linear shelterbelts associated with annual cropland.</w:t>
            </w:r>
          </w:p>
        </w:tc>
      </w:tr>
      <w:tr w:rsidR="00333601" w:rsidRPr="00BE78CA" w14:paraId="6D0A0DE4" w14:textId="77777777" w:rsidTr="003E73F4">
        <w:tc>
          <w:tcPr>
            <w:tcW w:w="1276" w:type="dxa"/>
            <w:tcBorders>
              <w:top w:val="single" w:sz="4" w:space="0" w:color="365F91"/>
              <w:bottom w:val="single" w:sz="4" w:space="0" w:color="365F91"/>
            </w:tcBorders>
          </w:tcPr>
          <w:p w14:paraId="5BB9968F" w14:textId="77777777" w:rsidR="00333601" w:rsidRPr="00BE78CA" w:rsidRDefault="00333601" w:rsidP="00C26084">
            <w:pPr>
              <w:pStyle w:val="TableText"/>
              <w:rPr>
                <w:b/>
              </w:rPr>
            </w:pPr>
            <w:r w:rsidRPr="00BE78CA">
              <w:rPr>
                <w:b/>
              </w:rPr>
              <w:t>Perennial cropland</w:t>
            </w:r>
          </w:p>
        </w:tc>
        <w:tc>
          <w:tcPr>
            <w:tcW w:w="7229" w:type="dxa"/>
            <w:tcBorders>
              <w:top w:val="single" w:sz="4" w:space="0" w:color="365F91"/>
              <w:bottom w:val="single" w:sz="4" w:space="0" w:color="365F91"/>
            </w:tcBorders>
          </w:tcPr>
          <w:p w14:paraId="79D1C7BC" w14:textId="77777777" w:rsidR="00333601" w:rsidRPr="00BE78CA" w:rsidRDefault="00333601" w:rsidP="00C26084">
            <w:pPr>
              <w:pStyle w:val="TableBullet"/>
              <w:numPr>
                <w:ilvl w:val="0"/>
                <w:numId w:val="0"/>
              </w:numPr>
              <w:spacing w:after="0"/>
            </w:pPr>
            <w:r w:rsidRPr="00BE78CA">
              <w:t>Includes:</w:t>
            </w:r>
          </w:p>
          <w:p w14:paraId="7FE864B0" w14:textId="77777777" w:rsidR="00333601" w:rsidRPr="00BE78CA" w:rsidRDefault="00333601" w:rsidP="00FA2314">
            <w:pPr>
              <w:pStyle w:val="TableBullet"/>
              <w:numPr>
                <w:ilvl w:val="0"/>
                <w:numId w:val="26"/>
              </w:numPr>
              <w:tabs>
                <w:tab w:val="left" w:pos="284"/>
              </w:tabs>
              <w:spacing w:before="0" w:after="40"/>
              <w:ind w:left="284" w:hanging="284"/>
            </w:pPr>
            <w:r w:rsidRPr="00BE78CA">
              <w:t>all orchards and vineyards</w:t>
            </w:r>
          </w:p>
          <w:p w14:paraId="116BBBA3" w14:textId="77777777" w:rsidR="00333601" w:rsidRPr="00BE78CA" w:rsidRDefault="00333601" w:rsidP="00FA2314">
            <w:pPr>
              <w:pStyle w:val="TableBullet"/>
              <w:numPr>
                <w:ilvl w:val="0"/>
                <w:numId w:val="26"/>
              </w:numPr>
              <w:tabs>
                <w:tab w:val="left" w:pos="284"/>
              </w:tabs>
              <w:spacing w:before="0"/>
              <w:ind w:left="284" w:hanging="284"/>
            </w:pPr>
            <w:r w:rsidRPr="00BE78CA">
              <w:t>linear shelterbelts associated with perennial cropland.</w:t>
            </w:r>
          </w:p>
        </w:tc>
      </w:tr>
      <w:tr w:rsidR="00333601" w:rsidRPr="00BE78CA" w14:paraId="34D30B90" w14:textId="77777777" w:rsidTr="003E73F4">
        <w:tc>
          <w:tcPr>
            <w:tcW w:w="1276" w:type="dxa"/>
            <w:tcBorders>
              <w:top w:val="single" w:sz="4" w:space="0" w:color="365F91"/>
              <w:bottom w:val="single" w:sz="4" w:space="0" w:color="365F91"/>
            </w:tcBorders>
          </w:tcPr>
          <w:p w14:paraId="35C3CE14" w14:textId="77777777" w:rsidR="00333601" w:rsidRPr="00BE78CA" w:rsidRDefault="00333601" w:rsidP="00C26084">
            <w:pPr>
              <w:pStyle w:val="TableText"/>
              <w:rPr>
                <w:b/>
              </w:rPr>
            </w:pPr>
            <w:r w:rsidRPr="00BE78CA">
              <w:rPr>
                <w:b/>
              </w:rPr>
              <w:t>High producing grassland</w:t>
            </w:r>
          </w:p>
        </w:tc>
        <w:tc>
          <w:tcPr>
            <w:tcW w:w="7229" w:type="dxa"/>
            <w:tcBorders>
              <w:top w:val="single" w:sz="4" w:space="0" w:color="365F91"/>
              <w:bottom w:val="single" w:sz="4" w:space="0" w:color="365F91"/>
            </w:tcBorders>
          </w:tcPr>
          <w:p w14:paraId="33C59E9F" w14:textId="77777777" w:rsidR="00333601" w:rsidRPr="00BE78CA" w:rsidRDefault="00333601" w:rsidP="00C26084">
            <w:pPr>
              <w:pStyle w:val="TableBullet"/>
              <w:numPr>
                <w:ilvl w:val="0"/>
                <w:numId w:val="0"/>
              </w:numPr>
              <w:spacing w:before="40" w:after="0"/>
            </w:pPr>
            <w:r w:rsidRPr="00BE78CA">
              <w:t>Includes:</w:t>
            </w:r>
          </w:p>
          <w:p w14:paraId="3F630CEF" w14:textId="77777777" w:rsidR="00333601" w:rsidRPr="00BE78CA" w:rsidRDefault="00333601" w:rsidP="00FA2314">
            <w:pPr>
              <w:pStyle w:val="TableBullet"/>
              <w:numPr>
                <w:ilvl w:val="0"/>
                <w:numId w:val="26"/>
              </w:numPr>
              <w:tabs>
                <w:tab w:val="left" w:pos="284"/>
              </w:tabs>
              <w:spacing w:before="0" w:after="40"/>
              <w:ind w:left="284" w:hanging="284"/>
            </w:pPr>
            <w:r w:rsidRPr="00BE78CA">
              <w:t>grassland with high-quality pasture species</w:t>
            </w:r>
          </w:p>
          <w:p w14:paraId="55F3F820" w14:textId="77777777" w:rsidR="00333601" w:rsidRPr="00BE78CA" w:rsidRDefault="00333601" w:rsidP="00FA2314">
            <w:pPr>
              <w:pStyle w:val="TableBullet"/>
              <w:numPr>
                <w:ilvl w:val="0"/>
                <w:numId w:val="26"/>
              </w:numPr>
              <w:tabs>
                <w:tab w:val="left" w:pos="284"/>
              </w:tabs>
              <w:spacing w:before="0" w:after="40"/>
              <w:ind w:left="284" w:hanging="284"/>
            </w:pPr>
            <w:r w:rsidRPr="00BE78CA">
              <w:t>linear shelterbelts that are &lt;1 hectare in area or &lt;30 metres in mean width (larger shelterbelts are mapped separately as grassland with woody biomass)</w:t>
            </w:r>
          </w:p>
          <w:p w14:paraId="0B82D286" w14:textId="77777777" w:rsidR="00333601" w:rsidRPr="00BE78CA" w:rsidRDefault="00333601" w:rsidP="00FA2314">
            <w:pPr>
              <w:pStyle w:val="TableBullet"/>
              <w:numPr>
                <w:ilvl w:val="0"/>
                <w:numId w:val="26"/>
              </w:numPr>
              <w:tabs>
                <w:tab w:val="left" w:pos="284"/>
              </w:tabs>
              <w:spacing w:before="0" w:after="40"/>
              <w:ind w:left="284" w:hanging="284"/>
            </w:pPr>
            <w:r w:rsidRPr="00BE78CA">
              <w:t>areas of bare ground of any size that were previously grassland but, due to natural disturbances (e.g., erosion), have lost vegetation cover.</w:t>
            </w:r>
          </w:p>
        </w:tc>
      </w:tr>
      <w:tr w:rsidR="00333601" w:rsidRPr="00BE78CA" w14:paraId="77A6AB76" w14:textId="77777777" w:rsidTr="003E73F4">
        <w:tc>
          <w:tcPr>
            <w:tcW w:w="1276" w:type="dxa"/>
            <w:tcBorders>
              <w:top w:val="single" w:sz="4" w:space="0" w:color="365F91"/>
              <w:bottom w:val="single" w:sz="4" w:space="0" w:color="365F91"/>
            </w:tcBorders>
          </w:tcPr>
          <w:p w14:paraId="1F6F6596" w14:textId="77777777" w:rsidR="00333601" w:rsidRPr="00BE78CA" w:rsidRDefault="00333601" w:rsidP="00C26084">
            <w:pPr>
              <w:pStyle w:val="TableText"/>
              <w:rPr>
                <w:b/>
              </w:rPr>
            </w:pPr>
            <w:r w:rsidRPr="00BE78CA">
              <w:rPr>
                <w:b/>
              </w:rPr>
              <w:t>Low producing grassland</w:t>
            </w:r>
          </w:p>
        </w:tc>
        <w:tc>
          <w:tcPr>
            <w:tcW w:w="7229" w:type="dxa"/>
            <w:tcBorders>
              <w:top w:val="single" w:sz="4" w:space="0" w:color="365F91"/>
              <w:bottom w:val="single" w:sz="4" w:space="0" w:color="365F91"/>
            </w:tcBorders>
          </w:tcPr>
          <w:p w14:paraId="0F98EFE8" w14:textId="77777777" w:rsidR="00333601" w:rsidRPr="00BE78CA" w:rsidRDefault="00333601" w:rsidP="00C26084">
            <w:pPr>
              <w:pStyle w:val="TableBullet"/>
              <w:numPr>
                <w:ilvl w:val="0"/>
                <w:numId w:val="0"/>
              </w:numPr>
              <w:spacing w:before="40" w:after="0"/>
            </w:pPr>
            <w:r w:rsidRPr="00BE78CA">
              <w:t>Includes:</w:t>
            </w:r>
          </w:p>
          <w:p w14:paraId="79384489" w14:textId="77777777" w:rsidR="00333601" w:rsidRPr="00BE78CA" w:rsidRDefault="00333601" w:rsidP="00FA2314">
            <w:pPr>
              <w:pStyle w:val="TableBullet"/>
              <w:numPr>
                <w:ilvl w:val="0"/>
                <w:numId w:val="26"/>
              </w:numPr>
              <w:tabs>
                <w:tab w:val="left" w:pos="284"/>
              </w:tabs>
              <w:spacing w:before="0" w:after="40"/>
              <w:ind w:left="284" w:hanging="284"/>
            </w:pPr>
            <w:r w:rsidRPr="00BE78CA">
              <w:t xml:space="preserve">low-fertility grassland and tussock grasslands (e.g., </w:t>
            </w:r>
            <w:r w:rsidRPr="00BE78CA">
              <w:rPr>
                <w:i/>
              </w:rPr>
              <w:t>Chionochloa</w:t>
            </w:r>
            <w:r w:rsidRPr="00BE78CA">
              <w:t xml:space="preserve"> and </w:t>
            </w:r>
            <w:r w:rsidRPr="00BE78CA">
              <w:rPr>
                <w:i/>
              </w:rPr>
              <w:t xml:space="preserve">Festuca </w:t>
            </w:r>
            <w:r w:rsidRPr="00BE78CA">
              <w:t>spp.)</w:t>
            </w:r>
          </w:p>
          <w:p w14:paraId="7EAA30E1" w14:textId="77777777" w:rsidR="00333601" w:rsidRPr="00BE78CA" w:rsidRDefault="00333601" w:rsidP="00FA2314">
            <w:pPr>
              <w:pStyle w:val="TableBullet"/>
              <w:numPr>
                <w:ilvl w:val="0"/>
                <w:numId w:val="26"/>
              </w:numPr>
              <w:tabs>
                <w:tab w:val="left" w:pos="284"/>
              </w:tabs>
              <w:spacing w:before="0" w:after="40"/>
              <w:ind w:left="284" w:hanging="284"/>
            </w:pPr>
            <w:r w:rsidRPr="00BE78CA">
              <w:t>mostly hill country</w:t>
            </w:r>
          </w:p>
          <w:p w14:paraId="62222458" w14:textId="77777777" w:rsidR="00333601" w:rsidRPr="00BE78CA" w:rsidRDefault="00333601" w:rsidP="00FA2314">
            <w:pPr>
              <w:pStyle w:val="TableBullet"/>
              <w:numPr>
                <w:ilvl w:val="0"/>
                <w:numId w:val="26"/>
              </w:numPr>
              <w:tabs>
                <w:tab w:val="left" w:pos="284"/>
              </w:tabs>
              <w:spacing w:before="0" w:after="40"/>
              <w:ind w:left="284" w:hanging="284"/>
            </w:pPr>
            <w:r w:rsidRPr="00BE78CA">
              <w:t>montane herbfields either at an altitude higher than above-timberline vegetation or where the herbfields are not mixed up with woody vegetation</w:t>
            </w:r>
          </w:p>
          <w:p w14:paraId="52D92081" w14:textId="77777777" w:rsidR="00333601" w:rsidRPr="00BE78CA" w:rsidRDefault="00333601" w:rsidP="00FA2314">
            <w:pPr>
              <w:pStyle w:val="TableBullet"/>
              <w:numPr>
                <w:ilvl w:val="0"/>
                <w:numId w:val="26"/>
              </w:numPr>
              <w:tabs>
                <w:tab w:val="left" w:pos="284"/>
              </w:tabs>
              <w:spacing w:before="0" w:after="40"/>
              <w:ind w:left="284" w:hanging="284"/>
            </w:pPr>
            <w:r w:rsidRPr="00BE78CA">
              <w:t>linear shelterbelts that are &lt;1 hectare in area or &lt;30 metres in mean width (larger shelterbelts are mapped separately as grassland with woody biomass)</w:t>
            </w:r>
          </w:p>
          <w:p w14:paraId="6EC0DB36" w14:textId="77777777" w:rsidR="00333601" w:rsidRPr="00BE78CA" w:rsidRDefault="00333601" w:rsidP="00FA2314">
            <w:pPr>
              <w:pStyle w:val="TableBullet"/>
              <w:numPr>
                <w:ilvl w:val="0"/>
                <w:numId w:val="26"/>
              </w:numPr>
              <w:tabs>
                <w:tab w:val="left" w:pos="284"/>
              </w:tabs>
              <w:spacing w:before="0"/>
              <w:ind w:left="284" w:hanging="284"/>
            </w:pPr>
            <w:r w:rsidRPr="00BE78CA">
              <w:t>other areas of limited vegetation cover and significant bare soil, including erosion and coastal herbaceous sand-dune vegetation.</w:t>
            </w:r>
          </w:p>
        </w:tc>
      </w:tr>
      <w:tr w:rsidR="00333601" w:rsidRPr="00BE78CA" w14:paraId="315968C9" w14:textId="77777777" w:rsidTr="003E73F4">
        <w:tc>
          <w:tcPr>
            <w:tcW w:w="1276" w:type="dxa"/>
            <w:tcBorders>
              <w:top w:val="single" w:sz="4" w:space="0" w:color="365F91"/>
              <w:bottom w:val="single" w:sz="4" w:space="0" w:color="365F91"/>
            </w:tcBorders>
          </w:tcPr>
          <w:p w14:paraId="500CD004" w14:textId="77777777" w:rsidR="00333601" w:rsidRPr="00BE78CA" w:rsidRDefault="00333601" w:rsidP="00C26084">
            <w:pPr>
              <w:pStyle w:val="TableText"/>
              <w:rPr>
                <w:b/>
              </w:rPr>
            </w:pPr>
            <w:r w:rsidRPr="00BE78CA">
              <w:rPr>
                <w:b/>
              </w:rPr>
              <w:t>Grassland with woody biomass</w:t>
            </w:r>
          </w:p>
        </w:tc>
        <w:tc>
          <w:tcPr>
            <w:tcW w:w="7229" w:type="dxa"/>
            <w:tcBorders>
              <w:top w:val="single" w:sz="4" w:space="0" w:color="365F91"/>
              <w:bottom w:val="single" w:sz="4" w:space="0" w:color="365F91"/>
            </w:tcBorders>
          </w:tcPr>
          <w:p w14:paraId="169516ED" w14:textId="77777777" w:rsidR="00333601" w:rsidRPr="00BE78CA" w:rsidRDefault="00333601" w:rsidP="00C26084">
            <w:pPr>
              <w:pStyle w:val="TableBullet"/>
              <w:numPr>
                <w:ilvl w:val="0"/>
                <w:numId w:val="0"/>
              </w:numPr>
              <w:spacing w:before="40" w:after="0"/>
            </w:pPr>
            <w:r w:rsidRPr="00BE78CA">
              <w:t>Includes:</w:t>
            </w:r>
          </w:p>
          <w:p w14:paraId="709D4408" w14:textId="77777777" w:rsidR="00333601" w:rsidRPr="00BE78CA" w:rsidRDefault="00333601" w:rsidP="00FA2314">
            <w:pPr>
              <w:pStyle w:val="TableBullet"/>
              <w:numPr>
                <w:ilvl w:val="0"/>
                <w:numId w:val="26"/>
              </w:numPr>
              <w:tabs>
                <w:tab w:val="left" w:pos="284"/>
              </w:tabs>
              <w:spacing w:before="0" w:after="40"/>
              <w:ind w:left="284" w:hanging="284"/>
            </w:pPr>
            <w:r w:rsidRPr="00BE78CA">
              <w:t>grassland with matagouri (</w:t>
            </w:r>
            <w:r w:rsidRPr="00BE78CA">
              <w:rPr>
                <w:i/>
              </w:rPr>
              <w:t>Discaria toumatou</w:t>
            </w:r>
            <w:r w:rsidRPr="00BE78CA">
              <w:t>) and sweet briar (</w:t>
            </w:r>
            <w:r w:rsidRPr="00BE78CA">
              <w:rPr>
                <w:i/>
              </w:rPr>
              <w:t>Rosa rubiginosa</w:t>
            </w:r>
            <w:r w:rsidRPr="00BE78CA">
              <w:t>), broadleaved hardwood shrubland (e.g., m</w:t>
            </w:r>
            <w:r w:rsidRPr="00BE78CA">
              <w:rPr>
                <w:rFonts w:cs="Arial"/>
              </w:rPr>
              <w:t>ā</w:t>
            </w:r>
            <w:r w:rsidRPr="00BE78CA">
              <w:t xml:space="preserve">hoe – </w:t>
            </w:r>
            <w:r w:rsidRPr="00BE78CA">
              <w:rPr>
                <w:i/>
              </w:rPr>
              <w:t>Melicytus ramiflorus</w:t>
            </w:r>
            <w:r w:rsidRPr="00BE78CA">
              <w:t>), wineberry (</w:t>
            </w:r>
            <w:r w:rsidRPr="00BE78CA">
              <w:rPr>
                <w:i/>
              </w:rPr>
              <w:t>Aristotelia serrata</w:t>
            </w:r>
            <w:r w:rsidRPr="00BE78CA">
              <w:t xml:space="preserve">), </w:t>
            </w:r>
            <w:r w:rsidRPr="00BE78CA">
              <w:rPr>
                <w:i/>
              </w:rPr>
              <w:t>Pseudopanax</w:t>
            </w:r>
            <w:r w:rsidRPr="00BE78CA">
              <w:t xml:space="preserve"> spp., </w:t>
            </w:r>
            <w:r w:rsidRPr="00BE78CA">
              <w:rPr>
                <w:i/>
              </w:rPr>
              <w:t>Pittosporum</w:t>
            </w:r>
            <w:r w:rsidRPr="00BE78CA">
              <w:t xml:space="preserve"> spp.), mānuka–kānuka (</w:t>
            </w:r>
            <w:r w:rsidRPr="00BE78CA">
              <w:rPr>
                <w:i/>
              </w:rPr>
              <w:t>Leptospermum</w:t>
            </w:r>
            <w:r w:rsidRPr="00BE78CA">
              <w:t xml:space="preserve"> </w:t>
            </w:r>
            <w:r w:rsidRPr="00BE78CA">
              <w:rPr>
                <w:i/>
              </w:rPr>
              <w:t>scoparium</w:t>
            </w:r>
            <w:r w:rsidRPr="00BE78CA">
              <w:t>–</w:t>
            </w:r>
            <w:r w:rsidRPr="00BE78CA">
              <w:rPr>
                <w:i/>
              </w:rPr>
              <w:t>Kunzea</w:t>
            </w:r>
            <w:r w:rsidRPr="00BE78CA">
              <w:t xml:space="preserve"> </w:t>
            </w:r>
            <w:r w:rsidRPr="00BE78CA">
              <w:rPr>
                <w:i/>
              </w:rPr>
              <w:t>ericoides</w:t>
            </w:r>
            <w:r w:rsidRPr="00BE78CA">
              <w:t>) shrubland, coastal and other woody shrubland (&lt;5 metres tall and any percentage of cover) where, under current management or environmental conditions (climate and/or soil), it is expected that the forest criteria will not be met over a 30- to 40-year period</w:t>
            </w:r>
          </w:p>
          <w:p w14:paraId="5C47E11D" w14:textId="77777777" w:rsidR="00333601" w:rsidRPr="00BE78CA" w:rsidRDefault="00333601" w:rsidP="00FA2314">
            <w:pPr>
              <w:pStyle w:val="TableBullet"/>
              <w:numPr>
                <w:ilvl w:val="0"/>
                <w:numId w:val="26"/>
              </w:numPr>
              <w:tabs>
                <w:tab w:val="left" w:pos="284"/>
              </w:tabs>
              <w:spacing w:before="0" w:after="40"/>
              <w:ind w:left="284" w:hanging="284"/>
            </w:pPr>
            <w:r w:rsidRPr="00BE78CA">
              <w:t>above-timberline shrubland vegetation intermixed with montane herbfields (does not have the potential to reach &gt;5 metres in height</w:t>
            </w:r>
            <w:r w:rsidRPr="00BE78CA">
              <w:rPr>
                <w:i/>
              </w:rPr>
              <w:t xml:space="preserve"> in situ</w:t>
            </w:r>
            <w:r w:rsidRPr="00BE78CA">
              <w:t>)</w:t>
            </w:r>
          </w:p>
          <w:p w14:paraId="4C93F944" w14:textId="77777777" w:rsidR="00333601" w:rsidRPr="00BE78CA" w:rsidRDefault="00333601" w:rsidP="00FA2314">
            <w:pPr>
              <w:pStyle w:val="TableBullet"/>
              <w:numPr>
                <w:ilvl w:val="0"/>
                <w:numId w:val="26"/>
              </w:numPr>
              <w:tabs>
                <w:tab w:val="left" w:pos="284"/>
              </w:tabs>
              <w:spacing w:before="0" w:after="40"/>
              <w:ind w:left="284" w:hanging="284"/>
            </w:pPr>
            <w:r w:rsidRPr="00BE78CA">
              <w:t>grassland with tall tree species (&lt;30 per cent cover), such as golf courses in rural areas (except where the Land Cover Database has classified these as settlements)</w:t>
            </w:r>
          </w:p>
          <w:p w14:paraId="63CE7679" w14:textId="77777777" w:rsidR="00333601" w:rsidRPr="00BE78CA" w:rsidRDefault="00333601" w:rsidP="00FA2314">
            <w:pPr>
              <w:pStyle w:val="TableBullet"/>
              <w:numPr>
                <w:ilvl w:val="0"/>
                <w:numId w:val="26"/>
              </w:numPr>
              <w:tabs>
                <w:tab w:val="left" w:pos="284"/>
              </w:tabs>
              <w:spacing w:before="0" w:after="40"/>
              <w:ind w:left="284" w:hanging="284"/>
            </w:pPr>
            <w:r w:rsidRPr="00BE78CA">
              <w:t>grassland with riparian or erosion control plantings (&lt;30 per cent cover)</w:t>
            </w:r>
          </w:p>
          <w:p w14:paraId="02A3F8D2" w14:textId="77777777" w:rsidR="00333601" w:rsidRPr="00BE78CA" w:rsidRDefault="00333601" w:rsidP="00FA2314">
            <w:pPr>
              <w:pStyle w:val="TableBullet"/>
              <w:numPr>
                <w:ilvl w:val="0"/>
                <w:numId w:val="26"/>
              </w:numPr>
              <w:tabs>
                <w:tab w:val="left" w:pos="284"/>
              </w:tabs>
              <w:spacing w:before="0" w:after="40"/>
              <w:ind w:left="284" w:hanging="284"/>
            </w:pPr>
            <w:r w:rsidRPr="00BE78CA">
              <w:t>linear shelterbelts that are &gt;1 hectare in area and &lt;30 metres in mean width</w:t>
            </w:r>
          </w:p>
          <w:p w14:paraId="678D433D" w14:textId="77777777" w:rsidR="00333601" w:rsidRPr="00BE78CA" w:rsidRDefault="00333601" w:rsidP="00FA2314">
            <w:pPr>
              <w:pStyle w:val="TableBullet"/>
              <w:numPr>
                <w:ilvl w:val="0"/>
                <w:numId w:val="26"/>
              </w:numPr>
              <w:tabs>
                <w:tab w:val="left" w:pos="284"/>
              </w:tabs>
              <w:spacing w:before="0"/>
              <w:ind w:left="284" w:hanging="284"/>
            </w:pPr>
            <w:r w:rsidRPr="00BE78CA">
              <w:t>areas of bare ground of any size that previously contained grassland with woody biomass but, due to natural disturbances (e.g., erosion, fire), have lost vegetation cover.</w:t>
            </w:r>
          </w:p>
        </w:tc>
      </w:tr>
      <w:tr w:rsidR="00333601" w:rsidRPr="00BE78CA" w14:paraId="09D2EB97" w14:textId="77777777" w:rsidTr="003E73F4">
        <w:tc>
          <w:tcPr>
            <w:tcW w:w="1276" w:type="dxa"/>
            <w:tcBorders>
              <w:top w:val="single" w:sz="4" w:space="0" w:color="365F91"/>
              <w:bottom w:val="single" w:sz="4" w:space="0" w:color="365F91"/>
            </w:tcBorders>
          </w:tcPr>
          <w:p w14:paraId="4E15A788" w14:textId="77777777" w:rsidR="00333601" w:rsidRPr="00BE78CA" w:rsidRDefault="00333601" w:rsidP="00C26084">
            <w:pPr>
              <w:pStyle w:val="TableText"/>
              <w:rPr>
                <w:b/>
              </w:rPr>
            </w:pPr>
            <w:r w:rsidRPr="00BE78CA">
              <w:rPr>
                <w:b/>
              </w:rPr>
              <w:t>Open water</w:t>
            </w:r>
          </w:p>
        </w:tc>
        <w:tc>
          <w:tcPr>
            <w:tcW w:w="7229" w:type="dxa"/>
            <w:tcBorders>
              <w:top w:val="single" w:sz="4" w:space="0" w:color="365F91"/>
              <w:bottom w:val="single" w:sz="4" w:space="0" w:color="365F91"/>
            </w:tcBorders>
          </w:tcPr>
          <w:p w14:paraId="2FC8F54F" w14:textId="77777777" w:rsidR="00333601" w:rsidRPr="00BE78CA" w:rsidRDefault="00333601" w:rsidP="00C26084">
            <w:pPr>
              <w:pStyle w:val="TableBullet"/>
              <w:numPr>
                <w:ilvl w:val="0"/>
                <w:numId w:val="0"/>
              </w:numPr>
              <w:spacing w:before="40" w:after="0"/>
            </w:pPr>
            <w:r w:rsidRPr="00BE78CA">
              <w:t>Includes:</w:t>
            </w:r>
          </w:p>
          <w:p w14:paraId="4B779690" w14:textId="77777777" w:rsidR="00333601" w:rsidRPr="00BE78CA" w:rsidRDefault="00333601" w:rsidP="00FA2314">
            <w:pPr>
              <w:pStyle w:val="TableBullet"/>
              <w:numPr>
                <w:ilvl w:val="0"/>
                <w:numId w:val="26"/>
              </w:numPr>
              <w:tabs>
                <w:tab w:val="left" w:pos="284"/>
              </w:tabs>
              <w:spacing w:before="0" w:after="20"/>
              <w:ind w:left="284" w:hanging="284"/>
            </w:pPr>
            <w:r w:rsidRPr="00BE78CA">
              <w:t xml:space="preserve">lakes, rivers, dams and reservoirs </w:t>
            </w:r>
          </w:p>
          <w:p w14:paraId="45D7FB5D" w14:textId="77777777" w:rsidR="00333601" w:rsidRPr="00BE78CA" w:rsidRDefault="00333601" w:rsidP="00FA2314">
            <w:pPr>
              <w:pStyle w:val="TableBullet"/>
              <w:numPr>
                <w:ilvl w:val="0"/>
                <w:numId w:val="26"/>
              </w:numPr>
              <w:tabs>
                <w:tab w:val="left" w:pos="284"/>
              </w:tabs>
              <w:spacing w:before="0"/>
              <w:ind w:left="284" w:hanging="284"/>
            </w:pPr>
            <w:r w:rsidRPr="00BE78CA">
              <w:t>estuarine–tidal areas including mangroves.</w:t>
            </w:r>
          </w:p>
        </w:tc>
      </w:tr>
      <w:tr w:rsidR="00333601" w:rsidRPr="00BE78CA" w14:paraId="00076F18" w14:textId="77777777" w:rsidTr="003E73F4">
        <w:tc>
          <w:tcPr>
            <w:tcW w:w="1276" w:type="dxa"/>
            <w:tcBorders>
              <w:top w:val="single" w:sz="4" w:space="0" w:color="365F91"/>
              <w:bottom w:val="single" w:sz="4" w:space="0" w:color="365F91"/>
            </w:tcBorders>
          </w:tcPr>
          <w:p w14:paraId="7BA4BA4C" w14:textId="77777777" w:rsidR="00333601" w:rsidRPr="00BE78CA" w:rsidRDefault="00333601" w:rsidP="00C26084">
            <w:pPr>
              <w:pStyle w:val="TableText"/>
              <w:rPr>
                <w:b/>
              </w:rPr>
            </w:pPr>
            <w:r w:rsidRPr="00BE78CA">
              <w:rPr>
                <w:b/>
              </w:rPr>
              <w:t>Vegetated wetland</w:t>
            </w:r>
          </w:p>
        </w:tc>
        <w:tc>
          <w:tcPr>
            <w:tcW w:w="7229" w:type="dxa"/>
            <w:tcBorders>
              <w:top w:val="single" w:sz="4" w:space="0" w:color="365F91"/>
              <w:bottom w:val="single" w:sz="4" w:space="0" w:color="365F91"/>
            </w:tcBorders>
          </w:tcPr>
          <w:p w14:paraId="798BE985" w14:textId="77777777" w:rsidR="00333601" w:rsidRPr="00BE78CA" w:rsidRDefault="00333601" w:rsidP="00C26084">
            <w:pPr>
              <w:pStyle w:val="TableBullet"/>
              <w:numPr>
                <w:ilvl w:val="0"/>
                <w:numId w:val="0"/>
              </w:numPr>
              <w:spacing w:before="40" w:after="0"/>
            </w:pPr>
            <w:r w:rsidRPr="00BE78CA">
              <w:t>Includes:</w:t>
            </w:r>
          </w:p>
          <w:p w14:paraId="078A9386" w14:textId="77777777" w:rsidR="00333601" w:rsidRPr="00BE78CA" w:rsidRDefault="00333601" w:rsidP="00FA2314">
            <w:pPr>
              <w:pStyle w:val="TableBullet"/>
              <w:numPr>
                <w:ilvl w:val="0"/>
                <w:numId w:val="26"/>
              </w:numPr>
              <w:tabs>
                <w:tab w:val="left" w:pos="284"/>
              </w:tabs>
              <w:spacing w:before="0" w:after="0"/>
              <w:ind w:left="284" w:hanging="284"/>
            </w:pPr>
            <w:r w:rsidRPr="00BE78CA">
              <w:t xml:space="preserve">herbaceous and/or non-forest woody vegetation, including trees of any stature, in a wetland context (periodically or permanently flooded) </w:t>
            </w:r>
          </w:p>
          <w:p w14:paraId="6A4A2710" w14:textId="77777777" w:rsidR="00333601" w:rsidRPr="00BE78CA" w:rsidRDefault="00333601" w:rsidP="00FA2314">
            <w:pPr>
              <w:pStyle w:val="TableBullet"/>
              <w:numPr>
                <w:ilvl w:val="0"/>
                <w:numId w:val="26"/>
              </w:numPr>
              <w:tabs>
                <w:tab w:val="left" w:pos="284"/>
              </w:tabs>
              <w:spacing w:before="40" w:after="0"/>
              <w:ind w:left="284" w:hanging="284"/>
            </w:pPr>
            <w:r w:rsidRPr="00BE78CA">
              <w:t>areas under peat extraction</w:t>
            </w:r>
          </w:p>
          <w:p w14:paraId="39C9712C" w14:textId="77777777" w:rsidR="00333601" w:rsidRPr="00BE78CA" w:rsidRDefault="00333601" w:rsidP="00FA2314">
            <w:pPr>
              <w:pStyle w:val="TableBullet"/>
              <w:numPr>
                <w:ilvl w:val="0"/>
                <w:numId w:val="26"/>
              </w:numPr>
              <w:tabs>
                <w:tab w:val="left" w:pos="284"/>
              </w:tabs>
              <w:spacing w:before="40"/>
              <w:ind w:left="284" w:hanging="284"/>
            </w:pPr>
            <w:r w:rsidRPr="00BE78CA">
              <w:t>estuarine–tidal areas including mangroves.</w:t>
            </w:r>
          </w:p>
        </w:tc>
      </w:tr>
      <w:tr w:rsidR="00333601" w:rsidRPr="00BE78CA" w14:paraId="47D869FB" w14:textId="77777777" w:rsidTr="003E73F4">
        <w:tc>
          <w:tcPr>
            <w:tcW w:w="1276" w:type="dxa"/>
            <w:tcBorders>
              <w:top w:val="single" w:sz="4" w:space="0" w:color="365F91"/>
              <w:bottom w:val="single" w:sz="4" w:space="0" w:color="365F91"/>
            </w:tcBorders>
          </w:tcPr>
          <w:p w14:paraId="383D917C" w14:textId="77777777" w:rsidR="00333601" w:rsidRPr="00BE78CA" w:rsidRDefault="00333601" w:rsidP="00C26084">
            <w:pPr>
              <w:pStyle w:val="TableText"/>
              <w:rPr>
                <w:b/>
              </w:rPr>
            </w:pPr>
            <w:r w:rsidRPr="00BE78CA">
              <w:rPr>
                <w:b/>
              </w:rPr>
              <w:t>Settlements</w:t>
            </w:r>
          </w:p>
        </w:tc>
        <w:tc>
          <w:tcPr>
            <w:tcW w:w="7229" w:type="dxa"/>
            <w:tcBorders>
              <w:top w:val="single" w:sz="4" w:space="0" w:color="365F91"/>
              <w:bottom w:val="single" w:sz="4" w:space="0" w:color="365F91"/>
            </w:tcBorders>
          </w:tcPr>
          <w:p w14:paraId="2D030A81" w14:textId="77777777" w:rsidR="00333601" w:rsidRPr="00BE78CA" w:rsidRDefault="00333601" w:rsidP="00C26084">
            <w:pPr>
              <w:pStyle w:val="TableBullet"/>
              <w:numPr>
                <w:ilvl w:val="0"/>
                <w:numId w:val="0"/>
              </w:numPr>
              <w:spacing w:before="40" w:after="0"/>
            </w:pPr>
            <w:r w:rsidRPr="00BE78CA">
              <w:t>Includes:</w:t>
            </w:r>
          </w:p>
          <w:p w14:paraId="68B6D0C6" w14:textId="77777777" w:rsidR="00333601" w:rsidRPr="00BE78CA" w:rsidRDefault="00333601" w:rsidP="00FA2314">
            <w:pPr>
              <w:pStyle w:val="TableBullet"/>
              <w:numPr>
                <w:ilvl w:val="0"/>
                <w:numId w:val="26"/>
              </w:numPr>
              <w:tabs>
                <w:tab w:val="left" w:pos="284"/>
              </w:tabs>
              <w:spacing w:before="0" w:after="0"/>
              <w:ind w:left="284" w:hanging="284"/>
            </w:pPr>
            <w:r w:rsidRPr="00BE78CA">
              <w:t>built-up areas and impervious surfaces</w:t>
            </w:r>
          </w:p>
          <w:p w14:paraId="48743AEF" w14:textId="77777777" w:rsidR="00333601" w:rsidRPr="00BE78CA" w:rsidRDefault="00333601" w:rsidP="00FA2314">
            <w:pPr>
              <w:pStyle w:val="TableBullet"/>
              <w:numPr>
                <w:ilvl w:val="0"/>
                <w:numId w:val="26"/>
              </w:numPr>
              <w:tabs>
                <w:tab w:val="left" w:pos="284"/>
              </w:tabs>
              <w:spacing w:before="40" w:after="0"/>
              <w:ind w:left="284" w:hanging="284"/>
            </w:pPr>
            <w:r w:rsidRPr="00BE78CA">
              <w:t>grassland within ‘settlements’ including recreational areas, urban parklands and open spaces that do not meet the forest definition</w:t>
            </w:r>
          </w:p>
          <w:p w14:paraId="2E05B818" w14:textId="77777777" w:rsidR="00333601" w:rsidRPr="00BE78CA" w:rsidRDefault="00333601" w:rsidP="00FA2314">
            <w:pPr>
              <w:pStyle w:val="TableBullet"/>
              <w:numPr>
                <w:ilvl w:val="0"/>
                <w:numId w:val="26"/>
              </w:numPr>
              <w:tabs>
                <w:tab w:val="left" w:pos="284"/>
              </w:tabs>
              <w:spacing w:before="40" w:after="0"/>
              <w:ind w:left="284" w:hanging="284"/>
            </w:pPr>
            <w:r w:rsidRPr="00BE78CA">
              <w:t>major roading infrastructure</w:t>
            </w:r>
          </w:p>
          <w:p w14:paraId="2C743F52" w14:textId="77777777" w:rsidR="00333601" w:rsidRPr="00BE78CA" w:rsidRDefault="00333601" w:rsidP="00FA2314">
            <w:pPr>
              <w:pStyle w:val="TableBullet"/>
              <w:numPr>
                <w:ilvl w:val="0"/>
                <w:numId w:val="26"/>
              </w:numPr>
              <w:tabs>
                <w:tab w:val="left" w:pos="284"/>
              </w:tabs>
              <w:spacing w:before="40" w:after="0"/>
              <w:ind w:left="284" w:hanging="284"/>
            </w:pPr>
            <w:r w:rsidRPr="00BE78CA">
              <w:t>airports and runways</w:t>
            </w:r>
          </w:p>
          <w:p w14:paraId="02ADF506" w14:textId="77777777" w:rsidR="00333601" w:rsidRPr="00BE78CA" w:rsidRDefault="00333601" w:rsidP="00FA2314">
            <w:pPr>
              <w:pStyle w:val="TableBullet"/>
              <w:numPr>
                <w:ilvl w:val="0"/>
                <w:numId w:val="26"/>
              </w:numPr>
              <w:tabs>
                <w:tab w:val="left" w:pos="284"/>
              </w:tabs>
              <w:spacing w:before="40" w:after="0"/>
              <w:ind w:left="284" w:hanging="284"/>
            </w:pPr>
            <w:r w:rsidRPr="00BE78CA">
              <w:t xml:space="preserve">dam infrastructure </w:t>
            </w:r>
          </w:p>
          <w:p w14:paraId="669D9E8D" w14:textId="77777777" w:rsidR="00333601" w:rsidRPr="00BE78CA" w:rsidRDefault="00333601" w:rsidP="00FA2314">
            <w:pPr>
              <w:pStyle w:val="TableBullet"/>
              <w:numPr>
                <w:ilvl w:val="0"/>
                <w:numId w:val="26"/>
              </w:numPr>
              <w:tabs>
                <w:tab w:val="left" w:pos="284"/>
              </w:tabs>
              <w:spacing w:before="40"/>
              <w:ind w:left="284" w:hanging="284"/>
            </w:pPr>
            <w:r w:rsidRPr="00BE78CA">
              <w:t>urban subdivisions under construction.</w:t>
            </w:r>
          </w:p>
        </w:tc>
      </w:tr>
      <w:tr w:rsidR="00333601" w:rsidRPr="00BE78CA" w14:paraId="21688578" w14:textId="77777777" w:rsidTr="003E73F4">
        <w:tc>
          <w:tcPr>
            <w:tcW w:w="1276" w:type="dxa"/>
            <w:tcBorders>
              <w:top w:val="single" w:sz="4" w:space="0" w:color="365F91"/>
              <w:bottom w:val="single" w:sz="4" w:space="0" w:color="365F91"/>
            </w:tcBorders>
          </w:tcPr>
          <w:p w14:paraId="54669C19" w14:textId="77777777" w:rsidR="00333601" w:rsidRPr="00BE78CA" w:rsidRDefault="00333601" w:rsidP="00C26084">
            <w:pPr>
              <w:pStyle w:val="TableText"/>
              <w:keepNext/>
              <w:rPr>
                <w:b/>
              </w:rPr>
            </w:pPr>
            <w:r w:rsidRPr="00BE78CA">
              <w:rPr>
                <w:b/>
              </w:rPr>
              <w:lastRenderedPageBreak/>
              <w:t>Other land</w:t>
            </w:r>
          </w:p>
        </w:tc>
        <w:tc>
          <w:tcPr>
            <w:tcW w:w="7229" w:type="dxa"/>
            <w:tcBorders>
              <w:top w:val="single" w:sz="4" w:space="0" w:color="365F91"/>
              <w:bottom w:val="single" w:sz="4" w:space="0" w:color="365F91"/>
            </w:tcBorders>
          </w:tcPr>
          <w:p w14:paraId="7F7F43B8" w14:textId="77777777" w:rsidR="00333601" w:rsidRPr="00BE78CA" w:rsidRDefault="00333601" w:rsidP="00C26084">
            <w:pPr>
              <w:pStyle w:val="TableBullet"/>
              <w:keepNext/>
              <w:numPr>
                <w:ilvl w:val="0"/>
                <w:numId w:val="0"/>
              </w:numPr>
              <w:spacing w:before="40" w:after="0"/>
            </w:pPr>
            <w:r w:rsidRPr="00BE78CA">
              <w:t>Includes:</w:t>
            </w:r>
          </w:p>
          <w:p w14:paraId="5055E57A" w14:textId="77777777" w:rsidR="00333601" w:rsidRPr="00BE78CA" w:rsidRDefault="00333601" w:rsidP="00FA2314">
            <w:pPr>
              <w:pStyle w:val="TableBullet"/>
              <w:keepNext/>
              <w:numPr>
                <w:ilvl w:val="0"/>
                <w:numId w:val="26"/>
              </w:numPr>
              <w:tabs>
                <w:tab w:val="left" w:pos="284"/>
              </w:tabs>
              <w:spacing w:before="0" w:after="0"/>
              <w:ind w:left="284" w:hanging="284"/>
            </w:pPr>
            <w:r w:rsidRPr="00BE78CA">
              <w:t>montane rock and/or scree</w:t>
            </w:r>
          </w:p>
          <w:p w14:paraId="0A514813" w14:textId="77777777" w:rsidR="00333601" w:rsidRPr="00BE78CA" w:rsidRDefault="00333601" w:rsidP="00FA2314">
            <w:pPr>
              <w:pStyle w:val="TableBullet"/>
              <w:keepNext/>
              <w:numPr>
                <w:ilvl w:val="0"/>
                <w:numId w:val="26"/>
              </w:numPr>
              <w:tabs>
                <w:tab w:val="left" w:pos="284"/>
              </w:tabs>
              <w:spacing w:before="40" w:after="0"/>
              <w:ind w:left="284" w:hanging="284"/>
            </w:pPr>
            <w:r w:rsidRPr="00BE78CA">
              <w:t>river gravels, rocky outcrops, sand dunes and beaches, coastal cliffs, mines (including spoil), quarries</w:t>
            </w:r>
          </w:p>
          <w:p w14:paraId="6B46B0B4" w14:textId="77777777" w:rsidR="00333601" w:rsidRPr="00BE78CA" w:rsidRDefault="00333601" w:rsidP="00FA2314">
            <w:pPr>
              <w:pStyle w:val="TableBullet"/>
              <w:keepNext/>
              <w:numPr>
                <w:ilvl w:val="0"/>
                <w:numId w:val="26"/>
              </w:numPr>
              <w:tabs>
                <w:tab w:val="left" w:pos="284"/>
              </w:tabs>
              <w:spacing w:before="40" w:after="0"/>
              <w:ind w:left="284" w:hanging="284"/>
            </w:pPr>
            <w:r w:rsidRPr="00BE78CA">
              <w:t>permanent ice and/or snow and glaciers</w:t>
            </w:r>
          </w:p>
          <w:p w14:paraId="11F5E540" w14:textId="77777777" w:rsidR="00333601" w:rsidRPr="00BE78CA" w:rsidRDefault="00333601" w:rsidP="00C26084">
            <w:pPr>
              <w:pStyle w:val="TableBullet"/>
            </w:pPr>
            <w:r w:rsidRPr="00BE78CA">
              <w:t>any other remaining land that does not fall into any of the other land use categories as described in volume 4, section 3.2 of the IPCC 2006 Guidelines (IPCC, 2006a).</w:t>
            </w:r>
          </w:p>
        </w:tc>
      </w:tr>
    </w:tbl>
    <w:p w14:paraId="41D50F6E" w14:textId="77777777" w:rsidR="00333601" w:rsidRPr="00BE78CA" w:rsidRDefault="00333601" w:rsidP="003E73F4">
      <w:pPr>
        <w:pStyle w:val="BodyText"/>
        <w:spacing w:before="240"/>
      </w:pPr>
      <w:r w:rsidRPr="00BE78CA">
        <w:t xml:space="preserve">Further refinements are planned to improve New Zealand’s estimates of land-use change, as stated in section 6.2.7. Land areas reported as ‘converted’ and ‘remaining’ within each land use category are the best current estimates and will be improved, should additional activity data become available. </w:t>
      </w:r>
    </w:p>
    <w:p w14:paraId="25BDC9B3" w14:textId="77777777" w:rsidR="00333601" w:rsidRPr="00BE78CA" w:rsidRDefault="00333601" w:rsidP="00333601">
      <w:pPr>
        <w:pStyle w:val="Heading3"/>
        <w:spacing w:before="280"/>
      </w:pPr>
      <w:bookmarkStart w:id="1371" w:name="_Toc255466299"/>
      <w:bookmarkStart w:id="1372" w:name="_Toc261513106"/>
      <w:bookmarkStart w:id="1373" w:name="_Toc261513719"/>
      <w:bookmarkStart w:id="1374" w:name="_Toc280630225"/>
      <w:bookmarkStart w:id="1375" w:name="_Ref308792794"/>
      <w:bookmarkStart w:id="1376" w:name="_Ref308792807"/>
      <w:bookmarkStart w:id="1377" w:name="_Toc361645363"/>
      <w:r w:rsidRPr="00BE78CA">
        <w:t>6.2.2</w:t>
      </w:r>
      <w:r w:rsidRPr="00BE78CA">
        <w:tab/>
        <w:t>Land use mapping</w:t>
      </w:r>
      <w:bookmarkEnd w:id="1371"/>
      <w:bookmarkEnd w:id="1372"/>
      <w:bookmarkEnd w:id="1373"/>
      <w:bookmarkEnd w:id="1374"/>
      <w:bookmarkEnd w:id="1375"/>
      <w:bookmarkEnd w:id="1376"/>
      <w:bookmarkEnd w:id="1377"/>
      <w:r w:rsidRPr="00BE78CA">
        <w:t xml:space="preserve"> methodology</w:t>
      </w:r>
    </w:p>
    <w:p w14:paraId="7CEFB097" w14:textId="77777777" w:rsidR="00333601" w:rsidRPr="00BE78CA" w:rsidRDefault="00333601" w:rsidP="00333601">
      <w:pPr>
        <w:pStyle w:val="BodyText"/>
      </w:pPr>
      <w:r w:rsidRPr="00BE78CA">
        <w:t>Areas of land use and land-use change between 1990 and 2019 are based on four wall-to-wall land use maps derived from satellite imagery at nominal mapping dates of 31 December 1989, 31 December 2007, 31 December 2012 and 31 December 2016. Area information from these maps is interpolated and extrapolated to obtain a complete time series of land-use change occurring between 1990 and 2019 (see section 6.2.3).</w:t>
      </w:r>
    </w:p>
    <w:p w14:paraId="12568586" w14:textId="77777777" w:rsidR="00333601" w:rsidRPr="00BE78CA" w:rsidRDefault="00333601" w:rsidP="00333601">
      <w:pPr>
        <w:pStyle w:val="Heading4"/>
        <w:rPr>
          <w:rFonts w:asciiTheme="minorHAnsi" w:hAnsiTheme="minorHAnsi" w:cstheme="minorHAnsi"/>
        </w:rPr>
      </w:pPr>
      <w:r w:rsidRPr="00BE78CA">
        <w:rPr>
          <w:rFonts w:asciiTheme="minorHAnsi" w:hAnsiTheme="minorHAnsi" w:cstheme="minorHAnsi"/>
        </w:rPr>
        <w:t>Satellite image acquisition and pre-processing</w:t>
      </w:r>
    </w:p>
    <w:p w14:paraId="1C4D121D" w14:textId="77777777" w:rsidR="00333601" w:rsidRPr="00BE78CA" w:rsidRDefault="00333601" w:rsidP="00333601">
      <w:pPr>
        <w:pStyle w:val="BodyText"/>
      </w:pPr>
      <w:r w:rsidRPr="00BE78CA">
        <w:t>Each of the national land use maps is based on a collection of either Landsat, SPOT or Sentinel-2 satellite imagery acquired over the summer periods (October to March) as described in table 6.2.3.</w:t>
      </w:r>
      <w:r w:rsidRPr="00BE78CA">
        <w:rPr>
          <w:color w:val="1F497D"/>
        </w:rPr>
        <w:t xml:space="preserve"> </w:t>
      </w:r>
      <w:r w:rsidRPr="00BE78CA">
        <w:t>Acquisition is limited to the summer months because a high sun angle is required to reduce shadowing and increase the dynamic range of the signal received from the ground.</w:t>
      </w:r>
    </w:p>
    <w:p w14:paraId="53BCB15C" w14:textId="77777777" w:rsidR="00333601" w:rsidRPr="00BE78CA" w:rsidRDefault="00333601" w:rsidP="00333601">
      <w:pPr>
        <w:pStyle w:val="Table"/>
      </w:pPr>
      <w:bookmarkStart w:id="1378" w:name="_Toc378853282"/>
      <w:bookmarkStart w:id="1379" w:name="_Toc391024080"/>
      <w:bookmarkStart w:id="1380" w:name="_Toc410028823"/>
      <w:bookmarkStart w:id="1381" w:name="_Toc414531451"/>
      <w:bookmarkStart w:id="1382" w:name="_Toc443645364"/>
      <w:bookmarkStart w:id="1383" w:name="_Toc474914583"/>
      <w:bookmarkStart w:id="1384" w:name="_Toc481751547"/>
      <w:bookmarkStart w:id="1385" w:name="_Toc522010604"/>
      <w:bookmarkStart w:id="1386" w:name="_Toc5269509"/>
      <w:bookmarkStart w:id="1387" w:name="_Toc33529385"/>
      <w:bookmarkStart w:id="1388" w:name="_Toc36224591"/>
      <w:bookmarkStart w:id="1389" w:name="_Toc65243586"/>
      <w:bookmarkStart w:id="1390" w:name="_Toc68786476"/>
      <w:r w:rsidRPr="00BE78CA">
        <w:t>Table 6.2.3</w:t>
      </w:r>
      <w:r w:rsidRPr="00BE78CA">
        <w:tab/>
        <w:t>Satellite imagery used for land use mapping</w:t>
      </w:r>
      <w:bookmarkEnd w:id="1378"/>
      <w:r w:rsidRPr="00BE78CA">
        <w:t xml:space="preserve"> in 1990, 2008 and 2012</w:t>
      </w:r>
      <w:bookmarkEnd w:id="1379"/>
      <w:bookmarkEnd w:id="1380"/>
      <w:bookmarkEnd w:id="1381"/>
      <w:bookmarkEnd w:id="1382"/>
      <w:bookmarkEnd w:id="1383"/>
      <w:bookmarkEnd w:id="1384"/>
      <w:bookmarkEnd w:id="1385"/>
      <w:bookmarkEnd w:id="1386"/>
      <w:bookmarkEnd w:id="1387"/>
      <w:bookmarkEnd w:id="1388"/>
      <w:bookmarkEnd w:id="1389"/>
      <w:bookmarkEnd w:id="1390"/>
    </w:p>
    <w:tbl>
      <w:tblPr>
        <w:tblW w:w="8505" w:type="dxa"/>
        <w:tblLook w:val="04A0" w:firstRow="1" w:lastRow="0" w:firstColumn="1" w:lastColumn="0" w:noHBand="0" w:noVBand="1"/>
      </w:tblPr>
      <w:tblGrid>
        <w:gridCol w:w="1562"/>
        <w:gridCol w:w="2124"/>
        <w:gridCol w:w="1875"/>
        <w:gridCol w:w="2944"/>
      </w:tblGrid>
      <w:tr w:rsidR="00333601" w:rsidRPr="00BE78CA" w14:paraId="53F46EA2" w14:textId="77777777" w:rsidTr="003E73F4">
        <w:tc>
          <w:tcPr>
            <w:tcW w:w="1468" w:type="dxa"/>
            <w:tcBorders>
              <w:top w:val="single" w:sz="4" w:space="0" w:color="365F91"/>
              <w:bottom w:val="single" w:sz="4" w:space="0" w:color="365F91"/>
            </w:tcBorders>
            <w:shd w:val="clear" w:color="auto" w:fill="365F91"/>
          </w:tcPr>
          <w:p w14:paraId="08ECF390" w14:textId="77777777" w:rsidR="00333601" w:rsidRPr="00BE78CA" w:rsidRDefault="00333601" w:rsidP="00C26084">
            <w:pPr>
              <w:pStyle w:val="TableTextBold"/>
              <w:keepNext/>
              <w:rPr>
                <w:noProof w:val="0"/>
                <w:color w:val="FFFFFF"/>
              </w:rPr>
            </w:pPr>
            <w:r w:rsidRPr="00BE78CA">
              <w:rPr>
                <w:noProof w:val="0"/>
                <w:color w:val="FFFFFF"/>
              </w:rPr>
              <w:t>Land use map</w:t>
            </w:r>
          </w:p>
        </w:tc>
        <w:tc>
          <w:tcPr>
            <w:tcW w:w="1997" w:type="dxa"/>
            <w:tcBorders>
              <w:top w:val="single" w:sz="4" w:space="0" w:color="365F91"/>
              <w:bottom w:val="single" w:sz="4" w:space="0" w:color="365F91"/>
            </w:tcBorders>
            <w:shd w:val="clear" w:color="auto" w:fill="365F91"/>
          </w:tcPr>
          <w:p w14:paraId="05488653" w14:textId="77777777" w:rsidR="00333601" w:rsidRPr="00BE78CA" w:rsidRDefault="00333601" w:rsidP="00C26084">
            <w:pPr>
              <w:pStyle w:val="TableTextBold"/>
              <w:keepNext/>
              <w:rPr>
                <w:noProof w:val="0"/>
                <w:color w:val="FFFFFF"/>
              </w:rPr>
            </w:pPr>
            <w:r w:rsidRPr="00BE78CA">
              <w:rPr>
                <w:noProof w:val="0"/>
                <w:color w:val="FFFFFF"/>
              </w:rPr>
              <w:t>Satellite imagery</w:t>
            </w:r>
          </w:p>
        </w:tc>
        <w:tc>
          <w:tcPr>
            <w:tcW w:w="1763" w:type="dxa"/>
            <w:tcBorders>
              <w:top w:val="single" w:sz="4" w:space="0" w:color="365F91"/>
              <w:bottom w:val="single" w:sz="4" w:space="0" w:color="365F91"/>
            </w:tcBorders>
            <w:shd w:val="clear" w:color="auto" w:fill="365F91"/>
          </w:tcPr>
          <w:p w14:paraId="4A55DBAB" w14:textId="77777777" w:rsidR="00333601" w:rsidRPr="00BE78CA" w:rsidRDefault="00333601" w:rsidP="00C26084">
            <w:pPr>
              <w:pStyle w:val="TableTextBold"/>
              <w:keepNext/>
              <w:rPr>
                <w:noProof w:val="0"/>
                <w:color w:val="FFFFFF"/>
              </w:rPr>
            </w:pPr>
            <w:r w:rsidRPr="00BE78CA">
              <w:rPr>
                <w:noProof w:val="0"/>
                <w:color w:val="FFFFFF"/>
              </w:rPr>
              <w:t>Resolution (metres)</w:t>
            </w:r>
          </w:p>
        </w:tc>
        <w:tc>
          <w:tcPr>
            <w:tcW w:w="2767" w:type="dxa"/>
            <w:tcBorders>
              <w:top w:val="single" w:sz="4" w:space="0" w:color="365F91"/>
              <w:bottom w:val="single" w:sz="4" w:space="0" w:color="365F91"/>
            </w:tcBorders>
            <w:shd w:val="clear" w:color="auto" w:fill="365F91"/>
          </w:tcPr>
          <w:p w14:paraId="5AD90DD4" w14:textId="77777777" w:rsidR="00333601" w:rsidRPr="00BE78CA" w:rsidRDefault="00333601" w:rsidP="00C26084">
            <w:pPr>
              <w:pStyle w:val="TableTextBold"/>
              <w:keepNext/>
              <w:rPr>
                <w:noProof w:val="0"/>
                <w:color w:val="FFFFFF"/>
              </w:rPr>
            </w:pPr>
            <w:r w:rsidRPr="00BE78CA">
              <w:rPr>
                <w:noProof w:val="0"/>
                <w:color w:val="FFFFFF"/>
              </w:rPr>
              <w:t>Acquisition period</w:t>
            </w:r>
          </w:p>
        </w:tc>
      </w:tr>
      <w:tr w:rsidR="00333601" w:rsidRPr="00BE78CA" w14:paraId="525F9262" w14:textId="77777777" w:rsidTr="003E73F4">
        <w:tc>
          <w:tcPr>
            <w:tcW w:w="1468" w:type="dxa"/>
            <w:tcBorders>
              <w:top w:val="single" w:sz="4" w:space="0" w:color="365F91"/>
              <w:bottom w:val="single" w:sz="4" w:space="0" w:color="365F91"/>
            </w:tcBorders>
          </w:tcPr>
          <w:p w14:paraId="634516EA" w14:textId="77777777" w:rsidR="00333601" w:rsidRPr="00BE78CA" w:rsidRDefault="00333601" w:rsidP="00C26084">
            <w:pPr>
              <w:pStyle w:val="TableText"/>
            </w:pPr>
            <w:r w:rsidRPr="00BE78CA">
              <w:t>1990</w:t>
            </w:r>
          </w:p>
        </w:tc>
        <w:tc>
          <w:tcPr>
            <w:tcW w:w="1997" w:type="dxa"/>
            <w:tcBorders>
              <w:top w:val="single" w:sz="4" w:space="0" w:color="365F91"/>
              <w:bottom w:val="single" w:sz="4" w:space="0" w:color="365F91"/>
            </w:tcBorders>
          </w:tcPr>
          <w:p w14:paraId="6C8CF595" w14:textId="77777777" w:rsidR="00333601" w:rsidRPr="00BE78CA" w:rsidRDefault="00333601" w:rsidP="00C26084">
            <w:pPr>
              <w:pStyle w:val="TableText"/>
            </w:pPr>
            <w:r w:rsidRPr="00BE78CA">
              <w:t>Landsat 4 and Landsat 5</w:t>
            </w:r>
          </w:p>
        </w:tc>
        <w:tc>
          <w:tcPr>
            <w:tcW w:w="1763" w:type="dxa"/>
            <w:tcBorders>
              <w:top w:val="single" w:sz="4" w:space="0" w:color="365F91"/>
              <w:bottom w:val="single" w:sz="4" w:space="0" w:color="365F91"/>
            </w:tcBorders>
          </w:tcPr>
          <w:p w14:paraId="76B64884" w14:textId="77777777" w:rsidR="00333601" w:rsidRPr="00BE78CA" w:rsidRDefault="00333601" w:rsidP="00C26084">
            <w:pPr>
              <w:pStyle w:val="TableText"/>
            </w:pPr>
            <w:r w:rsidRPr="00BE78CA">
              <w:t>30</w:t>
            </w:r>
          </w:p>
        </w:tc>
        <w:tc>
          <w:tcPr>
            <w:tcW w:w="2767" w:type="dxa"/>
            <w:tcBorders>
              <w:top w:val="single" w:sz="4" w:space="0" w:color="365F91"/>
              <w:bottom w:val="single" w:sz="4" w:space="0" w:color="365F91"/>
            </w:tcBorders>
          </w:tcPr>
          <w:p w14:paraId="4A08E5AA" w14:textId="77777777" w:rsidR="00333601" w:rsidRPr="00BE78CA" w:rsidRDefault="00333601" w:rsidP="00C26084">
            <w:pPr>
              <w:pStyle w:val="TableText"/>
            </w:pPr>
            <w:r w:rsidRPr="00BE78CA">
              <w:t>November 1988 – February 1993</w:t>
            </w:r>
          </w:p>
        </w:tc>
      </w:tr>
      <w:tr w:rsidR="00333601" w:rsidRPr="00BE78CA" w14:paraId="47A8296F" w14:textId="77777777" w:rsidTr="003E73F4">
        <w:tc>
          <w:tcPr>
            <w:tcW w:w="1468" w:type="dxa"/>
            <w:tcBorders>
              <w:top w:val="single" w:sz="4" w:space="0" w:color="365F91"/>
              <w:bottom w:val="single" w:sz="4" w:space="0" w:color="365F91"/>
            </w:tcBorders>
          </w:tcPr>
          <w:p w14:paraId="377F9B75" w14:textId="77777777" w:rsidR="00333601" w:rsidRPr="00BE78CA" w:rsidRDefault="00333601" w:rsidP="00C26084">
            <w:pPr>
              <w:pStyle w:val="TableText"/>
            </w:pPr>
            <w:r w:rsidRPr="00BE78CA">
              <w:t>2008</w:t>
            </w:r>
          </w:p>
        </w:tc>
        <w:tc>
          <w:tcPr>
            <w:tcW w:w="1997" w:type="dxa"/>
            <w:tcBorders>
              <w:top w:val="single" w:sz="4" w:space="0" w:color="365F91"/>
              <w:bottom w:val="single" w:sz="4" w:space="0" w:color="365F91"/>
            </w:tcBorders>
          </w:tcPr>
          <w:p w14:paraId="357BB9E3" w14:textId="77777777" w:rsidR="00333601" w:rsidRPr="00BE78CA" w:rsidRDefault="00333601" w:rsidP="00C26084">
            <w:pPr>
              <w:pStyle w:val="TableText"/>
            </w:pPr>
            <w:r w:rsidRPr="00BE78CA">
              <w:t>SPOT 5</w:t>
            </w:r>
          </w:p>
        </w:tc>
        <w:tc>
          <w:tcPr>
            <w:tcW w:w="1763" w:type="dxa"/>
            <w:tcBorders>
              <w:top w:val="single" w:sz="4" w:space="0" w:color="365F91"/>
              <w:bottom w:val="single" w:sz="4" w:space="0" w:color="365F91"/>
            </w:tcBorders>
          </w:tcPr>
          <w:p w14:paraId="6696FFE5" w14:textId="77777777" w:rsidR="00333601" w:rsidRPr="00BE78CA" w:rsidRDefault="00333601" w:rsidP="00C26084">
            <w:pPr>
              <w:pStyle w:val="TableText"/>
            </w:pPr>
            <w:r w:rsidRPr="00BE78CA">
              <w:t>10</w:t>
            </w:r>
          </w:p>
        </w:tc>
        <w:tc>
          <w:tcPr>
            <w:tcW w:w="2767" w:type="dxa"/>
            <w:tcBorders>
              <w:top w:val="single" w:sz="4" w:space="0" w:color="365F91"/>
              <w:bottom w:val="single" w:sz="4" w:space="0" w:color="365F91"/>
            </w:tcBorders>
          </w:tcPr>
          <w:p w14:paraId="49E3EA81" w14:textId="77777777" w:rsidR="00333601" w:rsidRPr="00BE78CA" w:rsidRDefault="00333601" w:rsidP="00C26084">
            <w:pPr>
              <w:pStyle w:val="TableText"/>
            </w:pPr>
            <w:r w:rsidRPr="00BE78CA">
              <w:t>November 2006 – April 2008</w:t>
            </w:r>
          </w:p>
        </w:tc>
      </w:tr>
      <w:tr w:rsidR="00333601" w:rsidRPr="00BE78CA" w14:paraId="176DE1E0" w14:textId="77777777" w:rsidTr="003E73F4">
        <w:tc>
          <w:tcPr>
            <w:tcW w:w="1468" w:type="dxa"/>
            <w:tcBorders>
              <w:top w:val="single" w:sz="4" w:space="0" w:color="365F91"/>
              <w:bottom w:val="single" w:sz="4" w:space="0" w:color="365F91"/>
            </w:tcBorders>
          </w:tcPr>
          <w:p w14:paraId="194A679C" w14:textId="77777777" w:rsidR="00333601" w:rsidRPr="00BE78CA" w:rsidRDefault="00333601" w:rsidP="00C26084">
            <w:pPr>
              <w:pStyle w:val="TableText"/>
            </w:pPr>
            <w:r w:rsidRPr="00BE78CA">
              <w:t>2012</w:t>
            </w:r>
          </w:p>
        </w:tc>
        <w:tc>
          <w:tcPr>
            <w:tcW w:w="1997" w:type="dxa"/>
            <w:tcBorders>
              <w:top w:val="single" w:sz="4" w:space="0" w:color="365F91"/>
              <w:bottom w:val="single" w:sz="4" w:space="0" w:color="365F91"/>
            </w:tcBorders>
          </w:tcPr>
          <w:p w14:paraId="56758ECE" w14:textId="77777777" w:rsidR="00333601" w:rsidRPr="00BE78CA" w:rsidRDefault="00333601" w:rsidP="00C26084">
            <w:pPr>
              <w:pStyle w:val="TableText"/>
            </w:pPr>
            <w:r w:rsidRPr="00BE78CA">
              <w:t>SPOT 5</w:t>
            </w:r>
          </w:p>
        </w:tc>
        <w:tc>
          <w:tcPr>
            <w:tcW w:w="1763" w:type="dxa"/>
            <w:tcBorders>
              <w:top w:val="single" w:sz="4" w:space="0" w:color="365F91"/>
              <w:bottom w:val="single" w:sz="4" w:space="0" w:color="365F91"/>
            </w:tcBorders>
          </w:tcPr>
          <w:p w14:paraId="76F46B72" w14:textId="77777777" w:rsidR="00333601" w:rsidRPr="00BE78CA" w:rsidRDefault="00333601" w:rsidP="00C26084">
            <w:pPr>
              <w:pStyle w:val="TableText"/>
            </w:pPr>
            <w:r w:rsidRPr="00BE78CA">
              <w:t>10</w:t>
            </w:r>
          </w:p>
        </w:tc>
        <w:tc>
          <w:tcPr>
            <w:tcW w:w="2767" w:type="dxa"/>
            <w:tcBorders>
              <w:top w:val="single" w:sz="4" w:space="0" w:color="365F91"/>
              <w:bottom w:val="single" w:sz="4" w:space="0" w:color="365F91"/>
            </w:tcBorders>
          </w:tcPr>
          <w:p w14:paraId="19CAE2DC" w14:textId="77777777" w:rsidR="00333601" w:rsidRPr="00BE78CA" w:rsidRDefault="00333601" w:rsidP="00C26084">
            <w:pPr>
              <w:pStyle w:val="TableText"/>
            </w:pPr>
            <w:r w:rsidRPr="00BE78CA">
              <w:t>October 2011 – March 2013</w:t>
            </w:r>
          </w:p>
        </w:tc>
      </w:tr>
      <w:tr w:rsidR="00333601" w:rsidRPr="00BE78CA" w14:paraId="225856C6" w14:textId="77777777" w:rsidTr="003E73F4">
        <w:tc>
          <w:tcPr>
            <w:tcW w:w="1468" w:type="dxa"/>
            <w:tcBorders>
              <w:top w:val="single" w:sz="4" w:space="0" w:color="365F91"/>
              <w:bottom w:val="single" w:sz="4" w:space="0" w:color="365F91"/>
            </w:tcBorders>
          </w:tcPr>
          <w:p w14:paraId="6D7EFA95" w14:textId="77777777" w:rsidR="00333601" w:rsidRPr="00BE78CA" w:rsidRDefault="00333601" w:rsidP="00C26084">
            <w:pPr>
              <w:pStyle w:val="TableText"/>
            </w:pPr>
            <w:r w:rsidRPr="00BE78CA">
              <w:t>2016</w:t>
            </w:r>
          </w:p>
        </w:tc>
        <w:tc>
          <w:tcPr>
            <w:tcW w:w="1997" w:type="dxa"/>
            <w:tcBorders>
              <w:top w:val="single" w:sz="4" w:space="0" w:color="365F91"/>
              <w:bottom w:val="single" w:sz="4" w:space="0" w:color="365F91"/>
            </w:tcBorders>
          </w:tcPr>
          <w:p w14:paraId="3B60066A" w14:textId="77777777" w:rsidR="00333601" w:rsidRPr="00BE78CA" w:rsidRDefault="00333601" w:rsidP="00C26084">
            <w:pPr>
              <w:pStyle w:val="TableText"/>
            </w:pPr>
            <w:r w:rsidRPr="00BE78CA">
              <w:t>Sentinel-2</w:t>
            </w:r>
          </w:p>
        </w:tc>
        <w:tc>
          <w:tcPr>
            <w:tcW w:w="1763" w:type="dxa"/>
            <w:tcBorders>
              <w:top w:val="single" w:sz="4" w:space="0" w:color="365F91"/>
              <w:bottom w:val="single" w:sz="4" w:space="0" w:color="365F91"/>
            </w:tcBorders>
          </w:tcPr>
          <w:p w14:paraId="6DE2D3B7" w14:textId="77777777" w:rsidR="00333601" w:rsidRPr="00BE78CA" w:rsidRDefault="00333601" w:rsidP="00C26084">
            <w:pPr>
              <w:pStyle w:val="TableText"/>
            </w:pPr>
            <w:r w:rsidRPr="00BE78CA">
              <w:t>10</w:t>
            </w:r>
          </w:p>
        </w:tc>
        <w:tc>
          <w:tcPr>
            <w:tcW w:w="2767" w:type="dxa"/>
            <w:tcBorders>
              <w:top w:val="single" w:sz="4" w:space="0" w:color="365F91"/>
              <w:bottom w:val="single" w:sz="4" w:space="0" w:color="365F91"/>
            </w:tcBorders>
          </w:tcPr>
          <w:p w14:paraId="31E11110" w14:textId="77777777" w:rsidR="00333601" w:rsidRPr="00BE78CA" w:rsidRDefault="00333601" w:rsidP="00C26084">
            <w:pPr>
              <w:pStyle w:val="TableText"/>
            </w:pPr>
            <w:r w:rsidRPr="00BE78CA">
              <w:t>October 2016 – March 2017</w:t>
            </w:r>
          </w:p>
        </w:tc>
      </w:tr>
    </w:tbl>
    <w:p w14:paraId="3205BA1B" w14:textId="77777777" w:rsidR="00333601" w:rsidRPr="00BE78CA" w:rsidRDefault="00333601" w:rsidP="00333601">
      <w:pPr>
        <w:pStyle w:val="BodyText"/>
        <w:spacing w:before="240"/>
      </w:pPr>
      <w:r w:rsidRPr="00BE78CA">
        <w:t>All the imagery was orthorectified and atmospherically corrected and then standardised for spectral reflectance using the Ecosat algorithms documented in Dymond et al. (2001), Shepherd and Dymond (2003) and Dymond and Shepherd (2004). This standardisation process removes the effect of terrain slope from the imagery, effectively ‘flattening’ it, so that individual land cover types are a more consistent colour across the whole image. By minimising the effects of terrain, a more accurate and consistent classification of land use is possible. This is particularly important in New Zealand, due to the extensive areas of steep terrain.</w:t>
      </w:r>
    </w:p>
    <w:p w14:paraId="20C15EEC" w14:textId="77777777" w:rsidR="00333601" w:rsidRPr="00BE78CA" w:rsidRDefault="00333601" w:rsidP="00333601">
      <w:pPr>
        <w:pStyle w:val="BodyText"/>
      </w:pPr>
      <w:r w:rsidRPr="00BE78CA">
        <w:t>The final step in image preparation was the mosaicking of the satellite image scenes into a seamless national image. To minimise the effect of cloud and cloud shadows in the mosaic, cloud masks were generated for each scene. These masks were then used to prioritise the order of inclusion of each scene in the mosaic to obtain a near cloud-free image of New Zealand at each mapping date.</w:t>
      </w:r>
    </w:p>
    <w:p w14:paraId="356357A8" w14:textId="77777777" w:rsidR="00333601" w:rsidRPr="00BE78CA" w:rsidRDefault="00333601" w:rsidP="00333601">
      <w:pPr>
        <w:pStyle w:val="Heading4"/>
      </w:pPr>
      <w:r w:rsidRPr="00BE78CA">
        <w:lastRenderedPageBreak/>
        <w:t>Creating the first two land use maps: 1990 and 2008</w:t>
      </w:r>
    </w:p>
    <w:p w14:paraId="3F268C4B" w14:textId="77777777" w:rsidR="00333601" w:rsidRPr="00BE78CA" w:rsidRDefault="00333601" w:rsidP="00333601">
      <w:pPr>
        <w:pStyle w:val="Heading5"/>
        <w:spacing w:before="160"/>
      </w:pPr>
      <w:r w:rsidRPr="00BE78CA">
        <w:t>Mapping approach</w:t>
      </w:r>
    </w:p>
    <w:p w14:paraId="44E0DEEE" w14:textId="77777777" w:rsidR="00333601" w:rsidRPr="00BE78CA" w:rsidRDefault="00333601" w:rsidP="00333601">
      <w:pPr>
        <w:pStyle w:val="BodyText"/>
      </w:pPr>
      <w:r w:rsidRPr="00BE78CA">
        <w:t>The 1990 and 2008 land use maps were created using a common mapping approach based on difference detection from an intermediate reference land-cover layer that was derived from Landsat 7 ETM+ imagery acquired in 2000 to 2001. A semi-automated approach was used to classify woody land cover</w:t>
      </w:r>
      <w:r w:rsidRPr="00BE78CA">
        <w:rPr>
          <w:rStyle w:val="FootnoteReference"/>
        </w:rPr>
        <w:footnoteReference w:id="62"/>
      </w:r>
      <w:r w:rsidRPr="00BE78CA">
        <w:t xml:space="preserve"> in the 1990 and 2008 image mosaics. These layers were then differenced from the 2001 reference layer to create a 1990 to 2001 potential woody change layer and a 2001 to 2008 potential woody change layer.</w:t>
      </w:r>
    </w:p>
    <w:p w14:paraId="01D52775" w14:textId="77777777" w:rsidR="00333601" w:rsidRPr="00BE78CA" w:rsidRDefault="00333601" w:rsidP="00333601">
      <w:pPr>
        <w:pStyle w:val="BodyText"/>
        <w:spacing w:before="100" w:after="100"/>
      </w:pPr>
      <w:r w:rsidRPr="00BE78CA">
        <w:t xml:space="preserve">The potential woody change layers were visually checked to confirm change and then the changes were combined with the 2001 reference layer to create the 1990 and 2008 woody land cover layers. By using this approach, it was possible to obtain a consistent resolution of change detection even though there was a significant difference between the resolutions of the source imagery at the two mapping dates: 30 metres at 1990 versus 10 metres at 2008. </w:t>
      </w:r>
    </w:p>
    <w:p w14:paraId="6957628F" w14:textId="77777777" w:rsidR="00333601" w:rsidRPr="00BE78CA" w:rsidRDefault="00333601" w:rsidP="00333601">
      <w:pPr>
        <w:pStyle w:val="BodyText"/>
        <w:spacing w:before="100" w:after="100"/>
      </w:pPr>
      <w:r w:rsidRPr="00BE78CA">
        <w:t>Area and proximity rules were used to convert these layers from woody land cover to woody land use, making allowances for unstocked areas within forest extents and areas of regenerating vegetation in a forest context. This process is described in Shepherd and Newsome (unpublished(b)).</w:t>
      </w:r>
    </w:p>
    <w:p w14:paraId="586CE47D" w14:textId="77777777" w:rsidR="00333601" w:rsidRPr="00BE78CA" w:rsidRDefault="00333601" w:rsidP="00333601">
      <w:pPr>
        <w:pStyle w:val="BodyText"/>
        <w:spacing w:before="100" w:after="100"/>
      </w:pPr>
      <w:r w:rsidRPr="00BE78CA">
        <w:t>To determine the spatial location of the other land uses</w:t>
      </w:r>
      <w:r w:rsidRPr="00BE78CA" w:rsidDel="004A6701">
        <w:t xml:space="preserve"> </w:t>
      </w:r>
      <w:r w:rsidRPr="00BE78CA">
        <w:t>as at 1990 and 2008, information from two Land Cover Databases, LCDB1 (1996) and LCDB2 (2001) (Thompson et al., 2004), hydrological data from Land Information New Zealand (a government agency) and the New Zealand Land Resource Inventory (NZLRI) (Eyles, 1977) were used (Shepherd and Newsome, unpublished(a)).</w:t>
      </w:r>
    </w:p>
    <w:p w14:paraId="64866666" w14:textId="77777777" w:rsidR="00333601" w:rsidRPr="00BE78CA" w:rsidRDefault="00333601" w:rsidP="00333601">
      <w:pPr>
        <w:pStyle w:val="BodyText"/>
        <w:spacing w:before="100" w:after="100"/>
      </w:pPr>
      <w:r w:rsidRPr="00BE78CA">
        <w:t>The NZLRI database defined the area of high and low producing grassland. Areas tagged as ‘improved pasture’ in the NZLRI vegetation records were classified as high producing grassland in the land use maps. All other areas were classified as low producing grassland. Figure 6.2.1 illustrates this mapping process.</w:t>
      </w:r>
    </w:p>
    <w:p w14:paraId="131352D7" w14:textId="77777777" w:rsidR="00333601" w:rsidRPr="00BE78CA" w:rsidRDefault="00333601" w:rsidP="00333601">
      <w:pPr>
        <w:pStyle w:val="Figure"/>
      </w:pPr>
      <w:bookmarkStart w:id="1391" w:name="_Toc378853333"/>
      <w:bookmarkStart w:id="1392" w:name="_Toc405448083"/>
      <w:bookmarkStart w:id="1393" w:name="_Toc414531615"/>
      <w:bookmarkStart w:id="1394" w:name="_Toc474914638"/>
      <w:bookmarkStart w:id="1395" w:name="_Toc481752020"/>
      <w:bookmarkStart w:id="1396" w:name="_Toc522010698"/>
      <w:bookmarkStart w:id="1397" w:name="_Toc5269701"/>
      <w:bookmarkStart w:id="1398" w:name="_Toc33529472"/>
      <w:bookmarkStart w:id="1399" w:name="_Toc36292802"/>
      <w:bookmarkStart w:id="1400" w:name="_Toc65244094"/>
      <w:bookmarkStart w:id="1401" w:name="_Toc68786667"/>
      <w:r w:rsidRPr="00BE78CA">
        <w:lastRenderedPageBreak/>
        <w:t>Figure 6.2.1</w:t>
      </w:r>
      <w:r w:rsidRPr="00BE78CA">
        <w:tab/>
        <w:t>New Zealand’s land use mapping process</w:t>
      </w:r>
      <w:bookmarkEnd w:id="1391"/>
      <w:bookmarkEnd w:id="1392"/>
      <w:bookmarkEnd w:id="1393"/>
      <w:bookmarkEnd w:id="1394"/>
      <w:bookmarkEnd w:id="1395"/>
      <w:bookmarkEnd w:id="1396"/>
      <w:bookmarkEnd w:id="1397"/>
      <w:r w:rsidRPr="00BE78CA">
        <w:t xml:space="preserve"> for 1990 and 2008 land use maps</w:t>
      </w:r>
      <w:bookmarkEnd w:id="1398"/>
      <w:bookmarkEnd w:id="1399"/>
      <w:bookmarkEnd w:id="1400"/>
      <w:bookmarkEnd w:id="1401"/>
    </w:p>
    <w:p w14:paraId="675DB847" w14:textId="77777777" w:rsidR="00333601" w:rsidRPr="00BE78CA" w:rsidRDefault="00333601" w:rsidP="00333601">
      <w:pPr>
        <w:pStyle w:val="BodyText"/>
        <w:spacing w:before="40"/>
      </w:pPr>
      <w:r w:rsidRPr="00BE78CA">
        <w:rPr>
          <w:noProof/>
        </w:rPr>
        <w:drawing>
          <wp:inline distT="0" distB="0" distL="0" distR="0" wp14:anchorId="3080D2FC" wp14:editId="592AD075">
            <wp:extent cx="5343525" cy="6629400"/>
            <wp:effectExtent l="0" t="0" r="0" b="0"/>
            <wp:docPr id="98" name="Picture 98" descr="!990_2008_mapping_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990_2008_mapping_process"/>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343525" cy="6629400"/>
                    </a:xfrm>
                    <a:prstGeom prst="rect">
                      <a:avLst/>
                    </a:prstGeom>
                    <a:noFill/>
                    <a:ln>
                      <a:noFill/>
                    </a:ln>
                  </pic:spPr>
                </pic:pic>
              </a:graphicData>
            </a:graphic>
          </wp:inline>
        </w:drawing>
      </w:r>
    </w:p>
    <w:p w14:paraId="11736226" w14:textId="77777777" w:rsidR="00333601" w:rsidRPr="00BE78CA" w:rsidRDefault="00333601" w:rsidP="00333601">
      <w:pPr>
        <w:pStyle w:val="Noteundertable"/>
        <w:spacing w:before="240"/>
      </w:pPr>
      <w:r w:rsidRPr="00BE78CA">
        <w:rPr>
          <w:b/>
          <w:bCs/>
        </w:rPr>
        <w:t>Note:</w:t>
      </w:r>
      <w:r w:rsidRPr="00BE78CA">
        <w:t xml:space="preserve"> LINZ = Land Information New Zealand.</w:t>
      </w:r>
    </w:p>
    <w:p w14:paraId="128903EE" w14:textId="77777777" w:rsidR="00333601" w:rsidRPr="00BE78CA" w:rsidRDefault="00333601" w:rsidP="00333601">
      <w:pPr>
        <w:pStyle w:val="BodyText"/>
      </w:pPr>
      <w:r w:rsidRPr="00BE78CA">
        <w:t xml:space="preserve">An interpretation guide for automated and visual interpretation of satellite imagery was prepared and used to ensure a consistent basis for all mapping processes (Ministry for the Environment, 2012). During the mapping process, independent quality control checks were performed to ensure consistent image interpretation. This involved an independent agency looking at randomly selected points across New Zealand and using the same data as the original operator to decide within what land use the point fell. The two operators were in agreement at least 95 per cent of the time. This is described in more detail in Joyce (unpublished). </w:t>
      </w:r>
    </w:p>
    <w:p w14:paraId="2D6876D0" w14:textId="77777777" w:rsidR="00333601" w:rsidRPr="00BE78CA" w:rsidRDefault="00333601" w:rsidP="00333601">
      <w:pPr>
        <w:pStyle w:val="BodyText"/>
      </w:pPr>
      <w:r w:rsidRPr="00BE78CA">
        <w:lastRenderedPageBreak/>
        <w:t>Figure 6.2.2 and figure 6.2.3 show the land use map of New Zealand as at 1 January 1990 and 1 January 2008 respectively.</w:t>
      </w:r>
    </w:p>
    <w:p w14:paraId="1BA2C9A1" w14:textId="77777777" w:rsidR="00333601" w:rsidRPr="00BE78CA" w:rsidRDefault="00333601" w:rsidP="00333601">
      <w:pPr>
        <w:pStyle w:val="Figure"/>
      </w:pPr>
      <w:bookmarkStart w:id="1402" w:name="_Toc378853334"/>
      <w:bookmarkStart w:id="1403" w:name="_Toc405448084"/>
      <w:bookmarkStart w:id="1404" w:name="_Toc414531616"/>
      <w:bookmarkStart w:id="1405" w:name="_Toc474914639"/>
      <w:bookmarkStart w:id="1406" w:name="_Toc481752021"/>
      <w:bookmarkStart w:id="1407" w:name="_Toc522010699"/>
      <w:bookmarkStart w:id="1408" w:name="_Toc5269702"/>
      <w:bookmarkStart w:id="1409" w:name="_Toc33529473"/>
      <w:bookmarkStart w:id="1410" w:name="_Toc36292803"/>
      <w:bookmarkStart w:id="1411" w:name="_Toc65244095"/>
      <w:bookmarkStart w:id="1412" w:name="_Toc68786668"/>
      <w:r w:rsidRPr="00BE78CA">
        <w:t>Figure 6.2.2</w:t>
      </w:r>
      <w:r w:rsidRPr="00BE78CA">
        <w:tab/>
        <w:t>Land use map of New Zealand as at 1 January 1990</w:t>
      </w:r>
      <w:bookmarkEnd w:id="1402"/>
      <w:bookmarkEnd w:id="1403"/>
      <w:bookmarkEnd w:id="1404"/>
      <w:bookmarkEnd w:id="1405"/>
      <w:bookmarkEnd w:id="1406"/>
      <w:bookmarkEnd w:id="1407"/>
      <w:bookmarkEnd w:id="1408"/>
      <w:bookmarkEnd w:id="1409"/>
      <w:bookmarkEnd w:id="1410"/>
      <w:bookmarkEnd w:id="1411"/>
      <w:bookmarkEnd w:id="1412"/>
    </w:p>
    <w:p w14:paraId="4F1DE494" w14:textId="77777777" w:rsidR="00333601" w:rsidRPr="00BE78CA" w:rsidRDefault="00333601" w:rsidP="00333601">
      <w:pPr>
        <w:spacing w:before="120" w:after="60"/>
      </w:pPr>
      <w:r w:rsidRPr="00BE78CA">
        <w:rPr>
          <w:noProof/>
        </w:rPr>
        <w:drawing>
          <wp:inline distT="0" distB="0" distL="0" distR="0" wp14:anchorId="5A8BFA36" wp14:editId="470ABE10">
            <wp:extent cx="5191125" cy="716280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191125" cy="7162800"/>
                    </a:xfrm>
                    <a:prstGeom prst="rect">
                      <a:avLst/>
                    </a:prstGeom>
                    <a:noFill/>
                    <a:ln>
                      <a:noFill/>
                    </a:ln>
                  </pic:spPr>
                </pic:pic>
              </a:graphicData>
            </a:graphic>
          </wp:inline>
        </w:drawing>
      </w:r>
    </w:p>
    <w:p w14:paraId="48D6D95B" w14:textId="77777777" w:rsidR="00333601" w:rsidRPr="00BE78CA" w:rsidRDefault="00333601" w:rsidP="00333601">
      <w:pPr>
        <w:pStyle w:val="Noteundertable"/>
      </w:pPr>
      <w:r w:rsidRPr="00BE78CA">
        <w:rPr>
          <w:b/>
        </w:rPr>
        <w:t>Note:</w:t>
      </w:r>
      <w:r w:rsidRPr="00BE78CA">
        <w:tab/>
        <w:t>The inset map is of the Chatham Islands, which lie approximately 660 kilometres south-east of the south</w:t>
      </w:r>
      <w:r w:rsidRPr="00BE78CA">
        <w:noBreakHyphen/>
        <w:t>eastern corner of the North Island.</w:t>
      </w:r>
    </w:p>
    <w:p w14:paraId="755D5EDB" w14:textId="77777777" w:rsidR="00333601" w:rsidRPr="00BE78CA" w:rsidRDefault="00333601" w:rsidP="00333601">
      <w:pPr>
        <w:pStyle w:val="Figure"/>
      </w:pPr>
      <w:bookmarkStart w:id="1413" w:name="_Toc378853335"/>
      <w:bookmarkStart w:id="1414" w:name="_Toc405448085"/>
      <w:bookmarkStart w:id="1415" w:name="_Toc414531617"/>
      <w:bookmarkStart w:id="1416" w:name="_Toc474914640"/>
      <w:bookmarkStart w:id="1417" w:name="_Toc481752022"/>
      <w:bookmarkStart w:id="1418" w:name="_Toc522010700"/>
      <w:bookmarkStart w:id="1419" w:name="_Toc5269703"/>
      <w:bookmarkStart w:id="1420" w:name="_Toc33529474"/>
      <w:bookmarkStart w:id="1421" w:name="_Toc36292804"/>
      <w:bookmarkStart w:id="1422" w:name="_Toc65244096"/>
      <w:bookmarkStart w:id="1423" w:name="_Toc68786669"/>
      <w:r w:rsidRPr="00BE78CA">
        <w:lastRenderedPageBreak/>
        <w:t>Figure 6.2.3</w:t>
      </w:r>
      <w:r w:rsidRPr="00BE78CA">
        <w:tab/>
        <w:t>Land use map of New Zealand as at 1 January 2008</w:t>
      </w:r>
      <w:bookmarkEnd w:id="1413"/>
      <w:bookmarkEnd w:id="1414"/>
      <w:bookmarkEnd w:id="1415"/>
      <w:bookmarkEnd w:id="1416"/>
      <w:bookmarkEnd w:id="1417"/>
      <w:bookmarkEnd w:id="1418"/>
      <w:bookmarkEnd w:id="1419"/>
      <w:bookmarkEnd w:id="1420"/>
      <w:bookmarkEnd w:id="1421"/>
      <w:bookmarkEnd w:id="1422"/>
      <w:bookmarkEnd w:id="1423"/>
    </w:p>
    <w:p w14:paraId="1A0CFFDB" w14:textId="77777777" w:rsidR="00333601" w:rsidRPr="00BE78CA" w:rsidRDefault="00333601" w:rsidP="00333601">
      <w:pPr>
        <w:spacing w:before="120" w:after="60"/>
      </w:pPr>
      <w:r w:rsidRPr="00BE78CA">
        <w:rPr>
          <w:noProof/>
        </w:rPr>
        <w:drawing>
          <wp:inline distT="0" distB="0" distL="0" distR="0" wp14:anchorId="022A3A7E" wp14:editId="29129C9C">
            <wp:extent cx="5210175" cy="718185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210175" cy="7181850"/>
                    </a:xfrm>
                    <a:prstGeom prst="rect">
                      <a:avLst/>
                    </a:prstGeom>
                    <a:noFill/>
                    <a:ln>
                      <a:noFill/>
                    </a:ln>
                  </pic:spPr>
                </pic:pic>
              </a:graphicData>
            </a:graphic>
          </wp:inline>
        </w:drawing>
      </w:r>
    </w:p>
    <w:p w14:paraId="7FC0379E" w14:textId="77777777" w:rsidR="00333601" w:rsidRPr="00BE78CA" w:rsidRDefault="00333601" w:rsidP="00333601">
      <w:pPr>
        <w:pStyle w:val="Noteundertable"/>
      </w:pPr>
      <w:r w:rsidRPr="00BE78CA">
        <w:rPr>
          <w:b/>
        </w:rPr>
        <w:t>Note:</w:t>
      </w:r>
      <w:r w:rsidRPr="00BE78CA">
        <w:tab/>
        <w:t>The inset map is of the Chatham Islands, which lie approximately 660 kilometres south-east of the south</w:t>
      </w:r>
      <w:r w:rsidRPr="00BE78CA">
        <w:noBreakHyphen/>
        <w:t>eastern corner of the North Island.</w:t>
      </w:r>
    </w:p>
    <w:p w14:paraId="0C22980C" w14:textId="77777777" w:rsidR="00333601" w:rsidRPr="00BE78CA" w:rsidRDefault="00333601" w:rsidP="00333601">
      <w:pPr>
        <w:pStyle w:val="Heading5"/>
      </w:pPr>
      <w:r w:rsidRPr="00BE78CA">
        <w:lastRenderedPageBreak/>
        <w:t>Decision process for mapping post-1989 forests</w:t>
      </w:r>
    </w:p>
    <w:p w14:paraId="262FAA5A" w14:textId="77777777" w:rsidR="00333601" w:rsidRPr="00BE78CA" w:rsidRDefault="00333601" w:rsidP="00333601">
      <w:pPr>
        <w:pStyle w:val="BodyText"/>
        <w:keepLines/>
      </w:pPr>
      <w:r w:rsidRPr="00BE78CA">
        <w:t>The use of remotely sensed imagery has some limitations; in particular, a limited ability to map young planted forest of less than three years of age. Where trees are planted within three years of the image acquisition date, they (and their surrounding vegetation) are unlikely to show a distinguishable spectral signature in satellite imagery. This occurs particularly with coarse-resolution (30 metres) Landsat 4 and 5 imagery captured around 1990. This situation is compounded by the lack of ancillary data at 1990 to support land use classification decisions. However, since 2009, the NZ ETS has provided valuable spatial information that has been used to confirm 1990 forest land use classifications.</w:t>
      </w:r>
    </w:p>
    <w:p w14:paraId="0DA6F5B2" w14:textId="77777777" w:rsidR="00333601" w:rsidRPr="00BE78CA" w:rsidRDefault="00333601" w:rsidP="00333601">
      <w:pPr>
        <w:pStyle w:val="BodyText"/>
      </w:pPr>
      <w:r w:rsidRPr="00BE78CA">
        <w:t>Owners of post-1989 forest are able to lodge their forests with the NZ ETS to obtain credit for increases in carbon stock since 1 January 2008. Mapping received by the Ministry for Primary Industries for these applications is used to improve LUCAS land use maps.</w:t>
      </w:r>
    </w:p>
    <w:p w14:paraId="592C6D94" w14:textId="77777777" w:rsidR="00333601" w:rsidRPr="00BE78CA" w:rsidRDefault="00333601" w:rsidP="00333601">
      <w:pPr>
        <w:pStyle w:val="BodyText"/>
      </w:pPr>
      <w:r w:rsidRPr="00BE78CA">
        <w:t>Mapping from the NZ ETS (and other post-1989 forestry schemes) has also provided a significant source of planting date information, which helps determine the correct classification of planted forest. The Forestry Allocation Plan, which forms part of the NZ ETS, compensates private owners of pre-1990 planted forest for the loss in land value arising from the introduction of penalties for deforesting pre-1990 forest land. Forest owners must apply for this compensation, providing detailed mapping and evidence of their forest planting date. These mapping data are used regularly to improve the classification accuracy of the LUCAS land use maps.</w:t>
      </w:r>
    </w:p>
    <w:p w14:paraId="18749E49" w14:textId="77777777" w:rsidR="00333601" w:rsidRPr="00BE78CA" w:rsidRDefault="00333601" w:rsidP="00333601">
      <w:pPr>
        <w:pStyle w:val="BodyText"/>
      </w:pPr>
      <w:r w:rsidRPr="00BE78CA">
        <w:t>To help the decision-making process, nationwide cloud-free 1996 SPOT and 2001 Landsat 7 satellite image mosaics are also used to determine the age of forests that have been planted within two to three years of 1990. Figure 6.2.4 shows how mapping operators use the spectral signature in later imagery and ancillary information, to determine the status of an area of planted forest established around 1990.</w:t>
      </w:r>
    </w:p>
    <w:p w14:paraId="4CE90FFD" w14:textId="77777777" w:rsidR="00333601" w:rsidRPr="00BE78CA" w:rsidRDefault="00333601" w:rsidP="00333601">
      <w:pPr>
        <w:pStyle w:val="BodyText"/>
      </w:pPr>
      <w:r w:rsidRPr="00BE78CA">
        <w:t>Where possible, information obtained directly from forest owners and the national planted forest plot network is also used to improve the accuracy of the pre-1990 and post-1989 forest classification.</w:t>
      </w:r>
    </w:p>
    <w:p w14:paraId="241742F7" w14:textId="77777777" w:rsidR="00333601" w:rsidRPr="00BE78CA" w:rsidRDefault="00333601" w:rsidP="00333601">
      <w:pPr>
        <w:pStyle w:val="Figure"/>
      </w:pPr>
      <w:bookmarkStart w:id="1424" w:name="_Toc33529475"/>
      <w:bookmarkStart w:id="1425" w:name="_Toc36292805"/>
      <w:bookmarkStart w:id="1426" w:name="_Toc65244097"/>
      <w:bookmarkStart w:id="1427" w:name="_Toc68786670"/>
      <w:r w:rsidRPr="00BE78CA">
        <w:lastRenderedPageBreak/>
        <w:t>Figure 6.2.4</w:t>
      </w:r>
      <w:r w:rsidRPr="00BE78CA">
        <w:tab/>
        <w:t>Identification of post-1989 forest in New Zealand</w:t>
      </w:r>
      <w:bookmarkEnd w:id="1424"/>
      <w:bookmarkEnd w:id="1425"/>
      <w:bookmarkEnd w:id="1426"/>
      <w:bookmarkEnd w:id="1427"/>
    </w:p>
    <w:p w14:paraId="2B70C058" w14:textId="77777777" w:rsidR="00333601" w:rsidRPr="00BE78CA" w:rsidRDefault="00333601" w:rsidP="00333601">
      <w:pPr>
        <w:keepNext/>
        <w:spacing w:before="80" w:after="80"/>
        <w:jc w:val="center"/>
      </w:pPr>
      <w:r w:rsidRPr="00BE78CA">
        <w:rPr>
          <w:noProof/>
        </w:rPr>
        <w:drawing>
          <wp:inline distT="0" distB="0" distL="0" distR="0" wp14:anchorId="4A0EE64A" wp14:editId="38A578A7">
            <wp:extent cx="2114550" cy="1924050"/>
            <wp:effectExtent l="0" t="0" r="0" b="0"/>
            <wp:docPr id="101" name="Picture 101" descr="1990 - P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1990 - P89"/>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114550" cy="1924050"/>
                    </a:xfrm>
                    <a:prstGeom prst="rect">
                      <a:avLst/>
                    </a:prstGeom>
                    <a:noFill/>
                    <a:ln>
                      <a:noFill/>
                    </a:ln>
                  </pic:spPr>
                </pic:pic>
              </a:graphicData>
            </a:graphic>
          </wp:inline>
        </w:drawing>
      </w:r>
      <w:r w:rsidRPr="00BE78CA">
        <w:rPr>
          <w:noProof/>
        </w:rPr>
        <w:drawing>
          <wp:inline distT="0" distB="0" distL="0" distR="0" wp14:anchorId="3F127B5B" wp14:editId="43131FFC">
            <wp:extent cx="2124075" cy="1924050"/>
            <wp:effectExtent l="0" t="0" r="0" b="0"/>
            <wp:docPr id="102" name="Picture 102" descr="1996 - P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1996 - P89.jpg"/>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2124075" cy="1924050"/>
                    </a:xfrm>
                    <a:prstGeom prst="rect">
                      <a:avLst/>
                    </a:prstGeom>
                    <a:noFill/>
                    <a:ln>
                      <a:noFill/>
                    </a:ln>
                  </pic:spPr>
                </pic:pic>
              </a:graphicData>
            </a:graphic>
          </wp:inline>
        </w:drawing>
      </w:r>
    </w:p>
    <w:p w14:paraId="1F8FB5CE" w14:textId="77777777" w:rsidR="00333601" w:rsidRPr="00BE78CA" w:rsidRDefault="00333601" w:rsidP="00333601">
      <w:pPr>
        <w:pStyle w:val="BodyText"/>
        <w:keepNext/>
        <w:tabs>
          <w:tab w:val="left" w:pos="2127"/>
          <w:tab w:val="left" w:pos="5245"/>
        </w:tabs>
        <w:spacing w:before="80" w:after="80"/>
        <w:rPr>
          <w:rFonts w:cs="Calibri"/>
          <w:sz w:val="18"/>
          <w:szCs w:val="18"/>
        </w:rPr>
      </w:pPr>
      <w:r w:rsidRPr="00BE78CA">
        <w:rPr>
          <w:rFonts w:cs="Calibri"/>
          <w:sz w:val="18"/>
          <w:szCs w:val="18"/>
        </w:rPr>
        <w:tab/>
        <w:t>1990</w:t>
      </w:r>
      <w:r w:rsidRPr="00BE78CA">
        <w:rPr>
          <w:rFonts w:cs="Calibri"/>
          <w:sz w:val="18"/>
          <w:szCs w:val="18"/>
        </w:rPr>
        <w:tab/>
        <w:t>1996</w:t>
      </w:r>
    </w:p>
    <w:p w14:paraId="673E5E66" w14:textId="77777777" w:rsidR="00333601" w:rsidRPr="00BE78CA" w:rsidRDefault="00333601" w:rsidP="00333601">
      <w:pPr>
        <w:keepNext/>
        <w:spacing w:after="80"/>
        <w:jc w:val="center"/>
      </w:pPr>
      <w:r w:rsidRPr="00BE78CA">
        <w:rPr>
          <w:noProof/>
        </w:rPr>
        <w:drawing>
          <wp:inline distT="0" distB="0" distL="0" distR="0" wp14:anchorId="4FBEDCCA" wp14:editId="68290DD8">
            <wp:extent cx="2114550" cy="1924050"/>
            <wp:effectExtent l="0" t="0" r="0" b="0"/>
            <wp:docPr id="103" name="Picture 103" descr="2001 -P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2001 -P89.jpg"/>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2114550" cy="1924050"/>
                    </a:xfrm>
                    <a:prstGeom prst="rect">
                      <a:avLst/>
                    </a:prstGeom>
                    <a:noFill/>
                    <a:ln>
                      <a:noFill/>
                    </a:ln>
                  </pic:spPr>
                </pic:pic>
              </a:graphicData>
            </a:graphic>
          </wp:inline>
        </w:drawing>
      </w:r>
      <w:r w:rsidRPr="00BE78CA">
        <w:rPr>
          <w:noProof/>
        </w:rPr>
        <w:drawing>
          <wp:inline distT="0" distB="0" distL="0" distR="0" wp14:anchorId="0A04F6DB" wp14:editId="7B7EEBCC">
            <wp:extent cx="2114550" cy="1924050"/>
            <wp:effectExtent l="0" t="0" r="0" b="0"/>
            <wp:docPr id="104" name="Picture 104" descr="2008 - P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2008 - P89.jpg"/>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2114550" cy="1924050"/>
                    </a:xfrm>
                    <a:prstGeom prst="rect">
                      <a:avLst/>
                    </a:prstGeom>
                    <a:noFill/>
                    <a:ln>
                      <a:noFill/>
                    </a:ln>
                  </pic:spPr>
                </pic:pic>
              </a:graphicData>
            </a:graphic>
          </wp:inline>
        </w:drawing>
      </w:r>
    </w:p>
    <w:p w14:paraId="5EB86298" w14:textId="77777777" w:rsidR="00333601" w:rsidRPr="00BE78CA" w:rsidRDefault="00333601" w:rsidP="00333601">
      <w:pPr>
        <w:tabs>
          <w:tab w:val="left" w:pos="2127"/>
          <w:tab w:val="left" w:pos="5245"/>
        </w:tabs>
        <w:spacing w:before="80" w:after="80"/>
        <w:rPr>
          <w:rFonts w:cs="Calibri"/>
          <w:sz w:val="18"/>
          <w:szCs w:val="18"/>
        </w:rPr>
      </w:pPr>
      <w:r w:rsidRPr="00BE78CA">
        <w:rPr>
          <w:rFonts w:cs="Calibri"/>
          <w:sz w:val="18"/>
          <w:szCs w:val="18"/>
        </w:rPr>
        <w:tab/>
        <w:t>2000</w:t>
      </w:r>
      <w:r w:rsidRPr="00BE78CA">
        <w:rPr>
          <w:rFonts w:cs="Calibri"/>
          <w:sz w:val="18"/>
          <w:szCs w:val="18"/>
        </w:rPr>
        <w:tab/>
        <w:t>2008</w:t>
      </w:r>
    </w:p>
    <w:tbl>
      <w:tblPr>
        <w:tblW w:w="0" w:type="auto"/>
        <w:jc w:val="center"/>
        <w:shd w:val="clear" w:color="auto" w:fill="D6E3BC"/>
        <w:tblLook w:val="04A0" w:firstRow="1" w:lastRow="0" w:firstColumn="1" w:lastColumn="0" w:noHBand="0" w:noVBand="1"/>
      </w:tblPr>
      <w:tblGrid>
        <w:gridCol w:w="1560"/>
        <w:gridCol w:w="5386"/>
      </w:tblGrid>
      <w:tr w:rsidR="00333601" w:rsidRPr="00BE78CA" w14:paraId="6AD2AB96" w14:textId="77777777" w:rsidTr="00C26084">
        <w:trPr>
          <w:jc w:val="center"/>
        </w:trPr>
        <w:tc>
          <w:tcPr>
            <w:tcW w:w="1560" w:type="dxa"/>
            <w:shd w:val="clear" w:color="auto" w:fill="D6E3BC"/>
          </w:tcPr>
          <w:p w14:paraId="62AB3E81" w14:textId="77777777" w:rsidR="00333601" w:rsidRPr="00BE78CA" w:rsidRDefault="00333601" w:rsidP="00C26084">
            <w:pPr>
              <w:pStyle w:val="TableTextBold"/>
              <w:spacing w:before="120" w:after="40"/>
              <w:rPr>
                <w:noProof w:val="0"/>
                <w:sz w:val="17"/>
                <w:szCs w:val="17"/>
              </w:rPr>
            </w:pPr>
            <w:r w:rsidRPr="00BE78CA">
              <w:rPr>
                <w:noProof w:val="0"/>
                <w:sz w:val="17"/>
                <w:szCs w:val="17"/>
              </w:rPr>
              <w:t>Images:</w:t>
            </w:r>
          </w:p>
        </w:tc>
        <w:tc>
          <w:tcPr>
            <w:tcW w:w="5386" w:type="dxa"/>
            <w:shd w:val="clear" w:color="auto" w:fill="D6E3BC"/>
          </w:tcPr>
          <w:p w14:paraId="5E89BA2C" w14:textId="77777777" w:rsidR="00333601" w:rsidRPr="00BE78CA" w:rsidRDefault="00333601" w:rsidP="00C26084">
            <w:pPr>
              <w:pStyle w:val="TableText"/>
              <w:spacing w:before="120" w:after="40"/>
              <w:rPr>
                <w:sz w:val="17"/>
                <w:szCs w:val="17"/>
              </w:rPr>
            </w:pPr>
            <w:r w:rsidRPr="00BE78CA">
              <w:rPr>
                <w:sz w:val="17"/>
                <w:szCs w:val="17"/>
              </w:rPr>
              <w:t xml:space="preserve">1990 Landsat 4 (top left) </w:t>
            </w:r>
          </w:p>
          <w:p w14:paraId="64B8059F" w14:textId="77777777" w:rsidR="00333601" w:rsidRPr="00BE78CA" w:rsidRDefault="00333601" w:rsidP="00C26084">
            <w:pPr>
              <w:pStyle w:val="TableText"/>
              <w:spacing w:before="40" w:after="40"/>
              <w:rPr>
                <w:sz w:val="17"/>
                <w:szCs w:val="17"/>
              </w:rPr>
            </w:pPr>
            <w:r w:rsidRPr="00BE78CA">
              <w:rPr>
                <w:sz w:val="17"/>
                <w:szCs w:val="17"/>
              </w:rPr>
              <w:t xml:space="preserve">1996 SPOT 2 (top right) </w:t>
            </w:r>
          </w:p>
          <w:p w14:paraId="02BC8439" w14:textId="77777777" w:rsidR="00333601" w:rsidRPr="00BE78CA" w:rsidRDefault="00333601" w:rsidP="00C26084">
            <w:pPr>
              <w:pStyle w:val="TableText"/>
              <w:spacing w:before="40" w:after="40"/>
              <w:rPr>
                <w:sz w:val="17"/>
                <w:szCs w:val="17"/>
              </w:rPr>
            </w:pPr>
            <w:r w:rsidRPr="00BE78CA">
              <w:rPr>
                <w:sz w:val="17"/>
                <w:szCs w:val="17"/>
              </w:rPr>
              <w:t xml:space="preserve">2000 Landsat 7 ETM+ (bottom left) </w:t>
            </w:r>
          </w:p>
          <w:p w14:paraId="152941EC" w14:textId="77777777" w:rsidR="00333601" w:rsidRPr="00BE78CA" w:rsidRDefault="00333601" w:rsidP="00C26084">
            <w:pPr>
              <w:pStyle w:val="TableText"/>
              <w:spacing w:before="40" w:after="40"/>
              <w:rPr>
                <w:sz w:val="17"/>
                <w:szCs w:val="17"/>
              </w:rPr>
            </w:pPr>
            <w:r w:rsidRPr="00BE78CA">
              <w:rPr>
                <w:sz w:val="17"/>
                <w:szCs w:val="17"/>
              </w:rPr>
              <w:t>2008 SPOT 5 (bottom right)</w:t>
            </w:r>
          </w:p>
        </w:tc>
      </w:tr>
      <w:tr w:rsidR="00333601" w:rsidRPr="00BE78CA" w14:paraId="6DEE97BB" w14:textId="77777777" w:rsidTr="00C26084">
        <w:trPr>
          <w:jc w:val="center"/>
        </w:trPr>
        <w:tc>
          <w:tcPr>
            <w:tcW w:w="1560" w:type="dxa"/>
            <w:shd w:val="clear" w:color="auto" w:fill="D6E3BC"/>
          </w:tcPr>
          <w:p w14:paraId="2F0D9AD2" w14:textId="77777777" w:rsidR="00333601" w:rsidRPr="00BE78CA" w:rsidRDefault="00333601" w:rsidP="00C26084">
            <w:pPr>
              <w:pStyle w:val="TableTextBold"/>
              <w:spacing w:before="120"/>
              <w:rPr>
                <w:noProof w:val="0"/>
                <w:sz w:val="17"/>
                <w:szCs w:val="17"/>
              </w:rPr>
            </w:pPr>
            <w:r w:rsidRPr="00BE78CA">
              <w:rPr>
                <w:noProof w:val="0"/>
                <w:sz w:val="17"/>
                <w:szCs w:val="17"/>
              </w:rPr>
              <w:t>Location:</w:t>
            </w:r>
          </w:p>
        </w:tc>
        <w:tc>
          <w:tcPr>
            <w:tcW w:w="5386" w:type="dxa"/>
            <w:shd w:val="clear" w:color="auto" w:fill="D6E3BC"/>
          </w:tcPr>
          <w:p w14:paraId="37F9318C" w14:textId="77777777" w:rsidR="00333601" w:rsidRPr="00BE78CA" w:rsidRDefault="00333601" w:rsidP="00C26084">
            <w:pPr>
              <w:pStyle w:val="TableText"/>
              <w:spacing w:before="120"/>
              <w:rPr>
                <w:sz w:val="17"/>
                <w:szCs w:val="17"/>
              </w:rPr>
            </w:pPr>
            <w:r w:rsidRPr="00BE78CA">
              <w:rPr>
                <w:sz w:val="17"/>
                <w:szCs w:val="17"/>
              </w:rPr>
              <w:t>2,017,800, 5,730,677 (NZTM)</w:t>
            </w:r>
          </w:p>
        </w:tc>
      </w:tr>
      <w:tr w:rsidR="00333601" w:rsidRPr="00BE78CA" w14:paraId="5E107113" w14:textId="77777777" w:rsidTr="00C26084">
        <w:trPr>
          <w:jc w:val="center"/>
        </w:trPr>
        <w:tc>
          <w:tcPr>
            <w:tcW w:w="1560" w:type="dxa"/>
            <w:shd w:val="clear" w:color="auto" w:fill="D6E3BC"/>
          </w:tcPr>
          <w:p w14:paraId="753FD2E6" w14:textId="77777777" w:rsidR="00333601" w:rsidRPr="00BE78CA" w:rsidRDefault="00333601" w:rsidP="00C26084">
            <w:pPr>
              <w:pStyle w:val="TableTextBold"/>
              <w:spacing w:before="120"/>
              <w:rPr>
                <w:noProof w:val="0"/>
                <w:sz w:val="17"/>
                <w:szCs w:val="17"/>
              </w:rPr>
            </w:pPr>
            <w:r w:rsidRPr="00BE78CA">
              <w:rPr>
                <w:noProof w:val="0"/>
                <w:sz w:val="17"/>
                <w:szCs w:val="17"/>
              </w:rPr>
              <w:t>1990 land use:</w:t>
            </w:r>
          </w:p>
        </w:tc>
        <w:tc>
          <w:tcPr>
            <w:tcW w:w="5386" w:type="dxa"/>
            <w:shd w:val="clear" w:color="auto" w:fill="D6E3BC"/>
          </w:tcPr>
          <w:p w14:paraId="2C8AA609" w14:textId="77777777" w:rsidR="00333601" w:rsidRPr="00BE78CA" w:rsidRDefault="00333601" w:rsidP="00C26084">
            <w:pPr>
              <w:pStyle w:val="TableText"/>
              <w:spacing w:before="120"/>
              <w:rPr>
                <w:sz w:val="17"/>
                <w:szCs w:val="17"/>
              </w:rPr>
            </w:pPr>
            <w:r w:rsidRPr="00BE78CA">
              <w:rPr>
                <w:sz w:val="17"/>
                <w:szCs w:val="17"/>
              </w:rPr>
              <w:t>Low producing grassland</w:t>
            </w:r>
          </w:p>
        </w:tc>
      </w:tr>
      <w:tr w:rsidR="00333601" w:rsidRPr="00BE78CA" w14:paraId="09A695C2" w14:textId="77777777" w:rsidTr="00C26084">
        <w:trPr>
          <w:jc w:val="center"/>
        </w:trPr>
        <w:tc>
          <w:tcPr>
            <w:tcW w:w="1560" w:type="dxa"/>
            <w:shd w:val="clear" w:color="auto" w:fill="D6E3BC"/>
          </w:tcPr>
          <w:p w14:paraId="37CEBC85" w14:textId="77777777" w:rsidR="00333601" w:rsidRPr="00BE78CA" w:rsidRDefault="00333601" w:rsidP="00C26084">
            <w:pPr>
              <w:pStyle w:val="TableTextBold"/>
              <w:spacing w:before="120"/>
              <w:rPr>
                <w:noProof w:val="0"/>
                <w:sz w:val="17"/>
                <w:szCs w:val="17"/>
              </w:rPr>
            </w:pPr>
            <w:r w:rsidRPr="00BE78CA">
              <w:rPr>
                <w:noProof w:val="0"/>
                <w:sz w:val="17"/>
                <w:szCs w:val="17"/>
              </w:rPr>
              <w:t>2008 land use:</w:t>
            </w:r>
          </w:p>
        </w:tc>
        <w:tc>
          <w:tcPr>
            <w:tcW w:w="5386" w:type="dxa"/>
            <w:shd w:val="clear" w:color="auto" w:fill="D6E3BC"/>
          </w:tcPr>
          <w:p w14:paraId="11231342" w14:textId="77777777" w:rsidR="00333601" w:rsidRPr="00BE78CA" w:rsidRDefault="00333601" w:rsidP="00C26084">
            <w:pPr>
              <w:pStyle w:val="TableText"/>
              <w:spacing w:before="120"/>
              <w:rPr>
                <w:sz w:val="17"/>
                <w:szCs w:val="17"/>
              </w:rPr>
            </w:pPr>
            <w:r w:rsidRPr="00BE78CA">
              <w:rPr>
                <w:sz w:val="17"/>
                <w:szCs w:val="17"/>
              </w:rPr>
              <w:t>Post-1989 forest</w:t>
            </w:r>
          </w:p>
        </w:tc>
      </w:tr>
      <w:tr w:rsidR="00333601" w:rsidRPr="00BE78CA" w14:paraId="4489C2ED" w14:textId="77777777" w:rsidTr="00C26084">
        <w:trPr>
          <w:jc w:val="center"/>
        </w:trPr>
        <w:tc>
          <w:tcPr>
            <w:tcW w:w="1560" w:type="dxa"/>
            <w:shd w:val="clear" w:color="auto" w:fill="D6E3BC"/>
          </w:tcPr>
          <w:p w14:paraId="56CBF197" w14:textId="77777777" w:rsidR="00333601" w:rsidRPr="00BE78CA" w:rsidRDefault="00333601" w:rsidP="00C26084">
            <w:pPr>
              <w:pStyle w:val="TableTextBold"/>
              <w:spacing w:before="120"/>
              <w:rPr>
                <w:noProof w:val="0"/>
                <w:sz w:val="17"/>
                <w:szCs w:val="17"/>
              </w:rPr>
            </w:pPr>
            <w:r w:rsidRPr="00BE78CA">
              <w:rPr>
                <w:noProof w:val="0"/>
                <w:sz w:val="17"/>
                <w:szCs w:val="17"/>
              </w:rPr>
              <w:t>Explanation:</w:t>
            </w:r>
          </w:p>
        </w:tc>
        <w:tc>
          <w:tcPr>
            <w:tcW w:w="5386" w:type="dxa"/>
            <w:shd w:val="clear" w:color="auto" w:fill="D6E3BC"/>
            <w:tcMar>
              <w:left w:w="142" w:type="dxa"/>
              <w:right w:w="142" w:type="dxa"/>
            </w:tcMar>
          </w:tcPr>
          <w:p w14:paraId="69001DF2" w14:textId="77777777" w:rsidR="00333601" w:rsidRPr="00BE78CA" w:rsidRDefault="00333601" w:rsidP="00C26084">
            <w:pPr>
              <w:pStyle w:val="TableText"/>
              <w:spacing w:before="120" w:after="120"/>
              <w:rPr>
                <w:sz w:val="17"/>
                <w:szCs w:val="17"/>
              </w:rPr>
            </w:pPr>
            <w:r w:rsidRPr="00BE78CA">
              <w:rPr>
                <w:sz w:val="17"/>
                <w:szCs w:val="17"/>
              </w:rPr>
              <w:t>In the Landsat 1990 imagery acquired on 2 December 1990, there is little evidence of the forest within the blue box that is clearly apparent in later imagery. The strength of the spectral response in the SPOT 1996 imagery suggests that the forest must have been planted near to 1990. Final confirmation of the planting date is provided via the NZ ETS application (delineated in green in the 2008 imagery), which states that the forest was planted in 1990 and, therefore, is classed as a post-1989 forest.</w:t>
            </w:r>
          </w:p>
        </w:tc>
      </w:tr>
    </w:tbl>
    <w:p w14:paraId="7407DB28" w14:textId="77777777" w:rsidR="00333601" w:rsidRPr="00BE78CA" w:rsidRDefault="00333601" w:rsidP="00333601">
      <w:pPr>
        <w:pStyle w:val="Heading4"/>
        <w:spacing w:before="360"/>
      </w:pPr>
      <w:r w:rsidRPr="00BE78CA">
        <w:t>Adding land use maps to the time series: 2012 and 2016 land use maps</w:t>
      </w:r>
    </w:p>
    <w:p w14:paraId="6C6F7E4C" w14:textId="77777777" w:rsidR="00333601" w:rsidRPr="00BE78CA" w:rsidRDefault="00333601" w:rsidP="00333601">
      <w:pPr>
        <w:pStyle w:val="BodyText"/>
      </w:pPr>
      <w:r w:rsidRPr="00BE78CA">
        <w:t>The 2012 and 2016 land use maps were created by detecting change between satellite imagery acquired for each mapping year (2008, 2012 and 2016) (Newsome et al., 2013, 2018). The 2012 map was created by using the 2008 map as a starting point and mapping in all the change detected between 2008 and 2012. Similarly, the 2012 map was used as a starting point for the 2016 map, with all areas of change detected between 2012 and 2016 mapped in to the 2012 map to create a snapshot of land use as at 2016. Figure 6.2.5 illustrates this mapping process.</w:t>
      </w:r>
    </w:p>
    <w:p w14:paraId="0C4D11B0" w14:textId="77777777" w:rsidR="00333601" w:rsidRPr="00BE78CA" w:rsidRDefault="00333601" w:rsidP="00333601">
      <w:pPr>
        <w:pStyle w:val="Figure"/>
      </w:pPr>
      <w:bookmarkStart w:id="1428" w:name="_Toc33529476"/>
      <w:bookmarkStart w:id="1429" w:name="_Toc36292806"/>
      <w:bookmarkStart w:id="1430" w:name="_Toc65244098"/>
      <w:bookmarkStart w:id="1431" w:name="_Toc68786671"/>
      <w:r w:rsidRPr="00BE78CA">
        <w:lastRenderedPageBreak/>
        <w:t>Figure 6.2.5</w:t>
      </w:r>
      <w:r w:rsidRPr="00BE78CA">
        <w:tab/>
        <w:t>New Zealand’s land use mapping process for 2012 and 2016 land use maps</w:t>
      </w:r>
      <w:bookmarkEnd w:id="1428"/>
      <w:bookmarkEnd w:id="1429"/>
      <w:bookmarkEnd w:id="1430"/>
      <w:bookmarkEnd w:id="1431"/>
    </w:p>
    <w:p w14:paraId="03AC4BF5" w14:textId="77777777" w:rsidR="00333601" w:rsidRPr="00BE78CA" w:rsidRDefault="00333601" w:rsidP="00333601">
      <w:pPr>
        <w:pStyle w:val="BodyText"/>
      </w:pPr>
      <w:r w:rsidRPr="00BE78CA">
        <w:rPr>
          <w:noProof/>
        </w:rPr>
        <w:drawing>
          <wp:inline distT="0" distB="0" distL="0" distR="0" wp14:anchorId="4F28F2CF" wp14:editId="70F7D938">
            <wp:extent cx="5314950" cy="3324225"/>
            <wp:effectExtent l="0" t="0" r="0" b="0"/>
            <wp:docPr id="105" name="Picture 105" descr="2012_2016_mapping_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2012_2016_mapping_process"/>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314950" cy="3324225"/>
                    </a:xfrm>
                    <a:prstGeom prst="rect">
                      <a:avLst/>
                    </a:prstGeom>
                    <a:noFill/>
                    <a:ln>
                      <a:noFill/>
                    </a:ln>
                  </pic:spPr>
                </pic:pic>
              </a:graphicData>
            </a:graphic>
          </wp:inline>
        </w:drawing>
      </w:r>
    </w:p>
    <w:p w14:paraId="03EAA044" w14:textId="77777777" w:rsidR="00333601" w:rsidRPr="00BE78CA" w:rsidRDefault="00333601" w:rsidP="00333601">
      <w:pPr>
        <w:pStyle w:val="BodyText"/>
        <w:spacing w:before="240" w:after="100"/>
      </w:pPr>
      <w:r w:rsidRPr="00BE78CA">
        <w:t>A multi-date image segmentation process was used to identify areas of potential change. This process is described in Shepherd et al. (2019). These areas of potential change were confirmed using two separate approaches: one for areas mapped as non-forest at the start of the period and one for areas mapped as forest at the start of the period.</w:t>
      </w:r>
    </w:p>
    <w:p w14:paraId="5B131543" w14:textId="77777777" w:rsidR="00333601" w:rsidRPr="00BE78CA" w:rsidRDefault="00333601" w:rsidP="00333601">
      <w:pPr>
        <w:pStyle w:val="Heading5"/>
        <w:spacing w:before="160"/>
      </w:pPr>
      <w:r w:rsidRPr="00BE78CA">
        <w:t>Mapping approach: non-forest areas</w:t>
      </w:r>
    </w:p>
    <w:p w14:paraId="06238CE6" w14:textId="77777777" w:rsidR="00333601" w:rsidRPr="00BE78CA" w:rsidRDefault="00333601" w:rsidP="00333601">
      <w:pPr>
        <w:pStyle w:val="BodyText"/>
        <w:spacing w:before="100" w:after="100"/>
      </w:pPr>
      <w:r w:rsidRPr="00BE78CA">
        <w:t>Potential changes in areas mapped as non-forest were manually checked in the satellite imagery to determine whether a land-use change had occurred since the previous land use map. Operators used the 2008 and 2012 SPOT imagery and 2016 Sentinel-2 imagery, along with other imagery data sets as listed in table 6.2.4, to establish whether land-use change had occurred. Once change was confirmed, the area of change was delineated in the land use map.</w:t>
      </w:r>
    </w:p>
    <w:p w14:paraId="1CE11A11" w14:textId="77777777" w:rsidR="00333601" w:rsidRPr="00BE78CA" w:rsidRDefault="00333601" w:rsidP="00333601">
      <w:pPr>
        <w:pStyle w:val="Table"/>
      </w:pPr>
      <w:bookmarkStart w:id="1432" w:name="_Toc378853283"/>
      <w:bookmarkStart w:id="1433" w:name="_Toc391024081"/>
      <w:bookmarkStart w:id="1434" w:name="_Toc410028824"/>
      <w:bookmarkStart w:id="1435" w:name="_Toc414531452"/>
      <w:bookmarkStart w:id="1436" w:name="_Toc443645365"/>
      <w:bookmarkStart w:id="1437" w:name="_Toc474914584"/>
      <w:bookmarkStart w:id="1438" w:name="_Toc481751548"/>
      <w:bookmarkStart w:id="1439" w:name="_Toc522010605"/>
      <w:bookmarkStart w:id="1440" w:name="_Toc5269510"/>
      <w:bookmarkStart w:id="1441" w:name="_Toc33529386"/>
      <w:bookmarkStart w:id="1442" w:name="_Toc36224592"/>
      <w:bookmarkStart w:id="1443" w:name="_Toc65243587"/>
      <w:bookmarkStart w:id="1444" w:name="_Toc68786477"/>
      <w:r w:rsidRPr="00BE78CA">
        <w:t>Table 6.2.4</w:t>
      </w:r>
      <w:r w:rsidRPr="00BE78CA">
        <w:tab/>
        <w:t>Ancillary mosaicked imagery data sets used in land use mapping</w:t>
      </w:r>
      <w:bookmarkEnd w:id="1432"/>
      <w:bookmarkEnd w:id="1433"/>
      <w:bookmarkEnd w:id="1434"/>
      <w:bookmarkEnd w:id="1435"/>
      <w:bookmarkEnd w:id="1436"/>
      <w:bookmarkEnd w:id="1437"/>
      <w:bookmarkEnd w:id="1438"/>
      <w:bookmarkEnd w:id="1439"/>
      <w:bookmarkEnd w:id="1440"/>
      <w:bookmarkEnd w:id="1441"/>
      <w:bookmarkEnd w:id="1442"/>
      <w:bookmarkEnd w:id="1443"/>
      <w:bookmarkEnd w:id="1444"/>
    </w:p>
    <w:tbl>
      <w:tblPr>
        <w:tblW w:w="8448" w:type="dxa"/>
        <w:tblInd w:w="57" w:type="dxa"/>
        <w:tblLook w:val="04A0" w:firstRow="1" w:lastRow="0" w:firstColumn="1" w:lastColumn="0" w:noHBand="0" w:noVBand="1"/>
      </w:tblPr>
      <w:tblGrid>
        <w:gridCol w:w="1591"/>
        <w:gridCol w:w="1223"/>
        <w:gridCol w:w="3206"/>
        <w:gridCol w:w="2428"/>
      </w:tblGrid>
      <w:tr w:rsidR="00333601" w:rsidRPr="00BE78CA" w14:paraId="033511D2" w14:textId="77777777" w:rsidTr="00C26084">
        <w:trPr>
          <w:tblHeader/>
        </w:trPr>
        <w:tc>
          <w:tcPr>
            <w:tcW w:w="1604" w:type="dxa"/>
            <w:tcBorders>
              <w:top w:val="single" w:sz="4" w:space="0" w:color="365F91"/>
              <w:bottom w:val="single" w:sz="4" w:space="0" w:color="365F91"/>
            </w:tcBorders>
            <w:shd w:val="clear" w:color="auto" w:fill="365F91"/>
          </w:tcPr>
          <w:p w14:paraId="02B1AEBC" w14:textId="77777777" w:rsidR="00333601" w:rsidRPr="00BE78CA" w:rsidRDefault="00333601" w:rsidP="00C26084">
            <w:pPr>
              <w:pStyle w:val="TableTextBold"/>
              <w:keepNext/>
              <w:spacing w:before="40" w:after="40"/>
              <w:rPr>
                <w:noProof w:val="0"/>
                <w:color w:val="FFFFFF"/>
              </w:rPr>
            </w:pPr>
            <w:r w:rsidRPr="00BE78CA">
              <w:rPr>
                <w:noProof w:val="0"/>
                <w:color w:val="FFFFFF"/>
              </w:rPr>
              <w:t>Satellite imagery</w:t>
            </w:r>
          </w:p>
        </w:tc>
        <w:tc>
          <w:tcPr>
            <w:tcW w:w="1231" w:type="dxa"/>
            <w:tcBorders>
              <w:top w:val="single" w:sz="4" w:space="0" w:color="365F91"/>
              <w:bottom w:val="single" w:sz="4" w:space="0" w:color="365F91"/>
            </w:tcBorders>
            <w:shd w:val="clear" w:color="auto" w:fill="365F91"/>
          </w:tcPr>
          <w:p w14:paraId="75890A61" w14:textId="77777777" w:rsidR="00333601" w:rsidRPr="00BE78CA" w:rsidRDefault="00333601" w:rsidP="00C26084">
            <w:pPr>
              <w:pStyle w:val="TableTextBold"/>
              <w:keepNext/>
              <w:spacing w:before="40" w:after="40"/>
              <w:jc w:val="center"/>
              <w:rPr>
                <w:noProof w:val="0"/>
                <w:color w:val="FFFFFF"/>
              </w:rPr>
            </w:pPr>
            <w:r w:rsidRPr="00BE78CA">
              <w:rPr>
                <w:noProof w:val="0"/>
                <w:color w:val="FFFFFF"/>
              </w:rPr>
              <w:t>Resolution (m)</w:t>
            </w:r>
          </w:p>
        </w:tc>
        <w:tc>
          <w:tcPr>
            <w:tcW w:w="3261" w:type="dxa"/>
            <w:tcBorders>
              <w:top w:val="single" w:sz="4" w:space="0" w:color="365F91"/>
              <w:bottom w:val="single" w:sz="4" w:space="0" w:color="365F91"/>
            </w:tcBorders>
            <w:shd w:val="clear" w:color="auto" w:fill="365F91"/>
          </w:tcPr>
          <w:p w14:paraId="25603243" w14:textId="77777777" w:rsidR="00333601" w:rsidRPr="00BE78CA" w:rsidRDefault="00333601" w:rsidP="00C26084">
            <w:pPr>
              <w:pStyle w:val="TableTextBold"/>
              <w:keepNext/>
              <w:spacing w:before="40" w:after="40"/>
              <w:rPr>
                <w:noProof w:val="0"/>
                <w:color w:val="FFFFFF"/>
              </w:rPr>
            </w:pPr>
            <w:r w:rsidRPr="00BE78CA">
              <w:rPr>
                <w:noProof w:val="0"/>
                <w:color w:val="FFFFFF"/>
              </w:rPr>
              <w:t>Coverage</w:t>
            </w:r>
          </w:p>
        </w:tc>
        <w:tc>
          <w:tcPr>
            <w:tcW w:w="2466" w:type="dxa"/>
            <w:tcBorders>
              <w:top w:val="single" w:sz="4" w:space="0" w:color="365F91"/>
              <w:bottom w:val="single" w:sz="4" w:space="0" w:color="365F91"/>
            </w:tcBorders>
            <w:shd w:val="clear" w:color="auto" w:fill="365F91"/>
          </w:tcPr>
          <w:p w14:paraId="76750B07" w14:textId="77777777" w:rsidR="00333601" w:rsidRPr="00BE78CA" w:rsidRDefault="00333601" w:rsidP="00C26084">
            <w:pPr>
              <w:pStyle w:val="TableTextBold"/>
              <w:keepNext/>
              <w:spacing w:before="40" w:after="40"/>
              <w:rPr>
                <w:noProof w:val="0"/>
                <w:color w:val="FFFFFF"/>
              </w:rPr>
            </w:pPr>
            <w:r w:rsidRPr="00BE78CA">
              <w:rPr>
                <w:noProof w:val="0"/>
                <w:color w:val="FFFFFF"/>
              </w:rPr>
              <w:t>Acquisition period</w:t>
            </w:r>
          </w:p>
        </w:tc>
      </w:tr>
      <w:tr w:rsidR="00333601" w:rsidRPr="00BE78CA" w14:paraId="2547D1F2" w14:textId="77777777" w:rsidTr="00C26084">
        <w:tc>
          <w:tcPr>
            <w:tcW w:w="1604" w:type="dxa"/>
            <w:tcBorders>
              <w:top w:val="single" w:sz="4" w:space="0" w:color="365F91"/>
              <w:bottom w:val="single" w:sz="4" w:space="0" w:color="365F91"/>
            </w:tcBorders>
          </w:tcPr>
          <w:p w14:paraId="25F94596" w14:textId="77777777" w:rsidR="00333601" w:rsidRPr="00BE78CA" w:rsidRDefault="00333601" w:rsidP="00C26084">
            <w:pPr>
              <w:pStyle w:val="TableText"/>
              <w:spacing w:before="40"/>
            </w:pPr>
            <w:r w:rsidRPr="00BE78CA">
              <w:t>Landsat 7</w:t>
            </w:r>
          </w:p>
        </w:tc>
        <w:tc>
          <w:tcPr>
            <w:tcW w:w="1231" w:type="dxa"/>
            <w:tcBorders>
              <w:top w:val="single" w:sz="4" w:space="0" w:color="365F91"/>
              <w:bottom w:val="single" w:sz="4" w:space="0" w:color="365F91"/>
            </w:tcBorders>
          </w:tcPr>
          <w:p w14:paraId="66EF49FC" w14:textId="77777777" w:rsidR="00333601" w:rsidRPr="00BE78CA" w:rsidRDefault="00333601" w:rsidP="00C26084">
            <w:pPr>
              <w:pStyle w:val="TableText"/>
              <w:keepNext/>
              <w:spacing w:before="40"/>
              <w:jc w:val="center"/>
            </w:pPr>
            <w:r w:rsidRPr="00BE78CA">
              <w:t>30</w:t>
            </w:r>
          </w:p>
        </w:tc>
        <w:tc>
          <w:tcPr>
            <w:tcW w:w="3261" w:type="dxa"/>
            <w:tcBorders>
              <w:top w:val="single" w:sz="4" w:space="0" w:color="365F91"/>
              <w:bottom w:val="single" w:sz="4" w:space="0" w:color="365F91"/>
            </w:tcBorders>
          </w:tcPr>
          <w:p w14:paraId="04F625C3" w14:textId="77777777" w:rsidR="00333601" w:rsidRPr="00BE78CA" w:rsidRDefault="00333601" w:rsidP="00C26084">
            <w:pPr>
              <w:pStyle w:val="TableText"/>
              <w:keepNext/>
              <w:spacing w:before="40"/>
            </w:pPr>
            <w:r w:rsidRPr="00BE78CA">
              <w:t>North Island, South Island and Stewart Island</w:t>
            </w:r>
          </w:p>
        </w:tc>
        <w:tc>
          <w:tcPr>
            <w:tcW w:w="2466" w:type="dxa"/>
            <w:tcBorders>
              <w:top w:val="single" w:sz="4" w:space="0" w:color="365F91"/>
              <w:bottom w:val="single" w:sz="4" w:space="0" w:color="365F91"/>
            </w:tcBorders>
          </w:tcPr>
          <w:p w14:paraId="72135BD0" w14:textId="77777777" w:rsidR="00333601" w:rsidRPr="00BE78CA" w:rsidRDefault="00333601" w:rsidP="00C26084">
            <w:pPr>
              <w:pStyle w:val="TableText"/>
              <w:keepNext/>
              <w:spacing w:before="40"/>
            </w:pPr>
            <w:r w:rsidRPr="00BE78CA">
              <w:t xml:space="preserve">September 1999 – February 2003 </w:t>
            </w:r>
          </w:p>
          <w:p w14:paraId="6BB640AF" w14:textId="77777777" w:rsidR="00333601" w:rsidRPr="00BE78CA" w:rsidRDefault="00333601" w:rsidP="00C26084">
            <w:pPr>
              <w:pStyle w:val="TableText"/>
              <w:keepNext/>
              <w:spacing w:before="0" w:after="0"/>
            </w:pPr>
            <w:r w:rsidRPr="00BE78CA">
              <w:t>October 2011 – February 2012</w:t>
            </w:r>
          </w:p>
          <w:p w14:paraId="49DC58CF" w14:textId="77777777" w:rsidR="00333601" w:rsidRPr="00BE78CA" w:rsidRDefault="00333601" w:rsidP="00C26084">
            <w:pPr>
              <w:pStyle w:val="TableText"/>
              <w:keepNext/>
              <w:spacing w:before="40"/>
            </w:pPr>
            <w:r w:rsidRPr="00BE78CA">
              <w:t>October 2012 – March 2013</w:t>
            </w:r>
          </w:p>
        </w:tc>
      </w:tr>
      <w:tr w:rsidR="00333601" w:rsidRPr="00BE78CA" w14:paraId="2D3E1DB8" w14:textId="77777777" w:rsidTr="00C26084">
        <w:tc>
          <w:tcPr>
            <w:tcW w:w="1604" w:type="dxa"/>
            <w:tcBorders>
              <w:top w:val="single" w:sz="4" w:space="0" w:color="365F91"/>
              <w:bottom w:val="single" w:sz="4" w:space="0" w:color="365F91"/>
            </w:tcBorders>
          </w:tcPr>
          <w:p w14:paraId="4F4DF519" w14:textId="77777777" w:rsidR="00333601" w:rsidRPr="00BE78CA" w:rsidRDefault="00333601" w:rsidP="00C26084">
            <w:pPr>
              <w:pStyle w:val="TableText"/>
              <w:spacing w:before="40"/>
            </w:pPr>
            <w:r w:rsidRPr="00BE78CA">
              <w:t>SPOT maps products</w:t>
            </w:r>
          </w:p>
        </w:tc>
        <w:tc>
          <w:tcPr>
            <w:tcW w:w="1231" w:type="dxa"/>
            <w:tcBorders>
              <w:top w:val="single" w:sz="4" w:space="0" w:color="365F91"/>
              <w:bottom w:val="single" w:sz="4" w:space="0" w:color="365F91"/>
            </w:tcBorders>
          </w:tcPr>
          <w:p w14:paraId="7CC0A528" w14:textId="77777777" w:rsidR="00333601" w:rsidRPr="00BE78CA" w:rsidRDefault="00333601" w:rsidP="00C26084">
            <w:pPr>
              <w:pStyle w:val="TableText"/>
              <w:keepNext/>
              <w:spacing w:before="40" w:after="40"/>
              <w:jc w:val="center"/>
            </w:pPr>
            <w:r w:rsidRPr="00BE78CA">
              <w:t>2.5 and 1.5</w:t>
            </w:r>
          </w:p>
        </w:tc>
        <w:tc>
          <w:tcPr>
            <w:tcW w:w="3261" w:type="dxa"/>
            <w:tcBorders>
              <w:top w:val="single" w:sz="4" w:space="0" w:color="365F91"/>
              <w:bottom w:val="single" w:sz="4" w:space="0" w:color="365F91"/>
            </w:tcBorders>
          </w:tcPr>
          <w:p w14:paraId="058CF103" w14:textId="77777777" w:rsidR="00333601" w:rsidRPr="00BE78CA" w:rsidRDefault="00333601" w:rsidP="00C26084">
            <w:pPr>
              <w:pStyle w:val="TableText"/>
              <w:keepNext/>
              <w:spacing w:before="40" w:after="40"/>
            </w:pPr>
            <w:r w:rsidRPr="00BE78CA">
              <w:t>North Island, South Island and Stewart Island</w:t>
            </w:r>
          </w:p>
        </w:tc>
        <w:tc>
          <w:tcPr>
            <w:tcW w:w="2466" w:type="dxa"/>
            <w:tcBorders>
              <w:top w:val="single" w:sz="4" w:space="0" w:color="365F91"/>
              <w:bottom w:val="single" w:sz="4" w:space="0" w:color="365F91"/>
            </w:tcBorders>
          </w:tcPr>
          <w:p w14:paraId="0B06AEC6" w14:textId="77777777" w:rsidR="00333601" w:rsidRPr="00BE78CA" w:rsidRDefault="00333601" w:rsidP="00C26084">
            <w:pPr>
              <w:pStyle w:val="TableText"/>
              <w:keepNext/>
              <w:spacing w:before="40" w:after="40"/>
            </w:pPr>
            <w:r w:rsidRPr="00BE78CA">
              <w:t>January 2008 – June 2009</w:t>
            </w:r>
          </w:p>
          <w:p w14:paraId="1A6B9BA1" w14:textId="77777777" w:rsidR="00333601" w:rsidRPr="00BE78CA" w:rsidRDefault="00333601" w:rsidP="00C26084">
            <w:pPr>
              <w:pStyle w:val="TableText"/>
              <w:keepNext/>
              <w:spacing w:before="0" w:after="40"/>
            </w:pPr>
            <w:r w:rsidRPr="00BE78CA">
              <w:t>October 2012 – April 2014</w:t>
            </w:r>
          </w:p>
        </w:tc>
      </w:tr>
      <w:tr w:rsidR="00333601" w:rsidRPr="00BE78CA" w14:paraId="10812BF7" w14:textId="77777777" w:rsidTr="00C26084">
        <w:tc>
          <w:tcPr>
            <w:tcW w:w="1604" w:type="dxa"/>
            <w:tcBorders>
              <w:top w:val="single" w:sz="4" w:space="0" w:color="365F91"/>
              <w:bottom w:val="single" w:sz="4" w:space="0" w:color="365F91"/>
            </w:tcBorders>
          </w:tcPr>
          <w:p w14:paraId="4306F875" w14:textId="77777777" w:rsidR="00333601" w:rsidRPr="00BE78CA" w:rsidRDefault="00333601" w:rsidP="00C26084">
            <w:pPr>
              <w:pStyle w:val="TableText"/>
              <w:spacing w:before="40" w:after="40"/>
            </w:pPr>
            <w:r w:rsidRPr="00BE78CA">
              <w:t xml:space="preserve">Disaster Monitoring Constellation </w:t>
            </w:r>
          </w:p>
        </w:tc>
        <w:tc>
          <w:tcPr>
            <w:tcW w:w="1231" w:type="dxa"/>
            <w:tcBorders>
              <w:top w:val="single" w:sz="4" w:space="0" w:color="365F91"/>
              <w:bottom w:val="single" w:sz="4" w:space="0" w:color="365F91"/>
            </w:tcBorders>
          </w:tcPr>
          <w:p w14:paraId="7D766775" w14:textId="77777777" w:rsidR="00333601" w:rsidRPr="00BE78CA" w:rsidRDefault="00333601" w:rsidP="00C26084">
            <w:pPr>
              <w:pStyle w:val="TableText"/>
              <w:spacing w:before="40" w:after="40"/>
              <w:jc w:val="center"/>
            </w:pPr>
            <w:r w:rsidRPr="00BE78CA">
              <w:t>22</w:t>
            </w:r>
          </w:p>
        </w:tc>
        <w:tc>
          <w:tcPr>
            <w:tcW w:w="3261" w:type="dxa"/>
            <w:tcBorders>
              <w:top w:val="single" w:sz="4" w:space="0" w:color="365F91"/>
              <w:bottom w:val="single" w:sz="4" w:space="0" w:color="365F91"/>
            </w:tcBorders>
          </w:tcPr>
          <w:p w14:paraId="426BF43B" w14:textId="77777777" w:rsidR="00333601" w:rsidRPr="00BE78CA" w:rsidRDefault="00333601" w:rsidP="00C26084">
            <w:pPr>
              <w:pStyle w:val="TableText"/>
              <w:spacing w:before="40" w:after="40"/>
            </w:pPr>
            <w:r w:rsidRPr="00BE78CA">
              <w:t>North Island, South Island and Stewart Island</w:t>
            </w:r>
          </w:p>
        </w:tc>
        <w:tc>
          <w:tcPr>
            <w:tcW w:w="2466" w:type="dxa"/>
            <w:tcBorders>
              <w:top w:val="single" w:sz="4" w:space="0" w:color="365F91"/>
              <w:bottom w:val="single" w:sz="4" w:space="0" w:color="365F91"/>
            </w:tcBorders>
          </w:tcPr>
          <w:p w14:paraId="428557AC" w14:textId="77777777" w:rsidR="00333601" w:rsidRPr="00BE78CA" w:rsidRDefault="00333601" w:rsidP="00C26084">
            <w:pPr>
              <w:pStyle w:val="TableText"/>
              <w:spacing w:before="40" w:after="40"/>
            </w:pPr>
            <w:r w:rsidRPr="00BE78CA">
              <w:t>November 2009 – March 2010</w:t>
            </w:r>
          </w:p>
        </w:tc>
      </w:tr>
      <w:tr w:rsidR="00333601" w:rsidRPr="00BE78CA" w14:paraId="78174105" w14:textId="77777777" w:rsidTr="00C26084">
        <w:tc>
          <w:tcPr>
            <w:tcW w:w="1604" w:type="dxa"/>
            <w:tcBorders>
              <w:top w:val="single" w:sz="4" w:space="0" w:color="365F91"/>
              <w:bottom w:val="single" w:sz="4" w:space="0" w:color="365F91"/>
            </w:tcBorders>
          </w:tcPr>
          <w:p w14:paraId="46806B56" w14:textId="77777777" w:rsidR="00333601" w:rsidRPr="00BE78CA" w:rsidRDefault="00333601" w:rsidP="00C26084">
            <w:pPr>
              <w:pStyle w:val="TableText"/>
              <w:spacing w:before="40" w:after="40"/>
            </w:pPr>
            <w:r w:rsidRPr="00BE78CA">
              <w:t xml:space="preserve">SPOT 5 </w:t>
            </w:r>
          </w:p>
        </w:tc>
        <w:tc>
          <w:tcPr>
            <w:tcW w:w="1231" w:type="dxa"/>
            <w:tcBorders>
              <w:top w:val="single" w:sz="4" w:space="0" w:color="365F91"/>
              <w:bottom w:val="single" w:sz="4" w:space="0" w:color="365F91"/>
            </w:tcBorders>
          </w:tcPr>
          <w:p w14:paraId="47A29C75" w14:textId="77777777" w:rsidR="00333601" w:rsidRPr="00BE78CA" w:rsidRDefault="00333601" w:rsidP="00C26084">
            <w:pPr>
              <w:pStyle w:val="TableText"/>
              <w:spacing w:before="40" w:after="40"/>
              <w:jc w:val="center"/>
            </w:pPr>
            <w:r w:rsidRPr="00BE78CA">
              <w:t>10</w:t>
            </w:r>
          </w:p>
        </w:tc>
        <w:tc>
          <w:tcPr>
            <w:tcW w:w="3261" w:type="dxa"/>
            <w:tcBorders>
              <w:top w:val="single" w:sz="4" w:space="0" w:color="365F91"/>
              <w:bottom w:val="single" w:sz="4" w:space="0" w:color="365F91"/>
            </w:tcBorders>
          </w:tcPr>
          <w:p w14:paraId="445902A7" w14:textId="77777777" w:rsidR="00333601" w:rsidRPr="00BE78CA" w:rsidRDefault="00333601" w:rsidP="00C26084">
            <w:pPr>
              <w:pStyle w:val="TableText"/>
              <w:spacing w:before="40" w:after="40"/>
            </w:pPr>
            <w:r w:rsidRPr="00BE78CA">
              <w:t>Four priority areas: Northland, Waikato, Marlborough and Southland</w:t>
            </w:r>
          </w:p>
        </w:tc>
        <w:tc>
          <w:tcPr>
            <w:tcW w:w="2466" w:type="dxa"/>
            <w:tcBorders>
              <w:top w:val="single" w:sz="4" w:space="0" w:color="365F91"/>
              <w:bottom w:val="single" w:sz="4" w:space="0" w:color="365F91"/>
            </w:tcBorders>
          </w:tcPr>
          <w:p w14:paraId="25C7ABD1" w14:textId="77777777" w:rsidR="00333601" w:rsidRPr="00BE78CA" w:rsidRDefault="00333601" w:rsidP="00C26084">
            <w:pPr>
              <w:pStyle w:val="TableText"/>
              <w:spacing w:before="40" w:after="40"/>
            </w:pPr>
            <w:r w:rsidRPr="00BE78CA">
              <w:t>October 2010 – March 2011</w:t>
            </w:r>
          </w:p>
        </w:tc>
      </w:tr>
      <w:tr w:rsidR="00333601" w:rsidRPr="00BE78CA" w14:paraId="128E9BF7" w14:textId="77777777" w:rsidTr="00C26084">
        <w:tc>
          <w:tcPr>
            <w:tcW w:w="1604" w:type="dxa"/>
            <w:tcBorders>
              <w:top w:val="single" w:sz="4" w:space="0" w:color="365F91"/>
              <w:bottom w:val="single" w:sz="4" w:space="0" w:color="365F91"/>
            </w:tcBorders>
          </w:tcPr>
          <w:p w14:paraId="2F2663B0" w14:textId="77777777" w:rsidR="00333601" w:rsidRPr="00BE78CA" w:rsidRDefault="00333601" w:rsidP="00C26084">
            <w:pPr>
              <w:pStyle w:val="TableText"/>
              <w:spacing w:before="40" w:after="40"/>
            </w:pPr>
            <w:r w:rsidRPr="00BE78CA">
              <w:t>Landsat 8</w:t>
            </w:r>
          </w:p>
        </w:tc>
        <w:tc>
          <w:tcPr>
            <w:tcW w:w="1231" w:type="dxa"/>
            <w:tcBorders>
              <w:top w:val="single" w:sz="4" w:space="0" w:color="365F91"/>
              <w:bottom w:val="single" w:sz="4" w:space="0" w:color="365F91"/>
            </w:tcBorders>
          </w:tcPr>
          <w:p w14:paraId="6ECB2EFA" w14:textId="77777777" w:rsidR="00333601" w:rsidRPr="00BE78CA" w:rsidRDefault="00333601" w:rsidP="00C26084">
            <w:pPr>
              <w:pStyle w:val="TableText"/>
              <w:spacing w:before="40" w:after="40"/>
              <w:jc w:val="center"/>
            </w:pPr>
            <w:r w:rsidRPr="00BE78CA">
              <w:t>30</w:t>
            </w:r>
          </w:p>
        </w:tc>
        <w:tc>
          <w:tcPr>
            <w:tcW w:w="3261" w:type="dxa"/>
            <w:tcBorders>
              <w:top w:val="single" w:sz="4" w:space="0" w:color="365F91"/>
              <w:bottom w:val="single" w:sz="4" w:space="0" w:color="365F91"/>
            </w:tcBorders>
          </w:tcPr>
          <w:p w14:paraId="03D61713" w14:textId="77777777" w:rsidR="00333601" w:rsidRPr="00BE78CA" w:rsidRDefault="00333601" w:rsidP="00C26084">
            <w:pPr>
              <w:pStyle w:val="TableText"/>
              <w:spacing w:before="40" w:after="40"/>
            </w:pPr>
            <w:r w:rsidRPr="00BE78CA">
              <w:t>North Island, South Island and Stewart Island</w:t>
            </w:r>
          </w:p>
        </w:tc>
        <w:tc>
          <w:tcPr>
            <w:tcW w:w="2466" w:type="dxa"/>
            <w:tcBorders>
              <w:top w:val="single" w:sz="4" w:space="0" w:color="365F91"/>
              <w:bottom w:val="single" w:sz="4" w:space="0" w:color="365F91"/>
            </w:tcBorders>
          </w:tcPr>
          <w:p w14:paraId="473FD6E5" w14:textId="77777777" w:rsidR="00333601" w:rsidRPr="00BE78CA" w:rsidRDefault="00333601" w:rsidP="00C26084">
            <w:pPr>
              <w:pStyle w:val="TableText"/>
              <w:spacing w:before="40" w:after="40"/>
            </w:pPr>
            <w:r w:rsidRPr="00BE78CA">
              <w:t>November 2013 – February 2014</w:t>
            </w:r>
          </w:p>
          <w:p w14:paraId="7723E25C" w14:textId="77777777" w:rsidR="00333601" w:rsidRPr="00BE78CA" w:rsidRDefault="00333601" w:rsidP="00C26084">
            <w:pPr>
              <w:pStyle w:val="TableText"/>
              <w:spacing w:before="0" w:after="40"/>
            </w:pPr>
            <w:r w:rsidRPr="00BE78CA">
              <w:t>October 2014 – March 2015</w:t>
            </w:r>
          </w:p>
          <w:p w14:paraId="36AFD517" w14:textId="77777777" w:rsidR="00333601" w:rsidRPr="00BE78CA" w:rsidRDefault="00333601" w:rsidP="00C26084">
            <w:pPr>
              <w:pStyle w:val="TableText"/>
              <w:spacing w:before="0" w:after="40"/>
            </w:pPr>
            <w:r w:rsidRPr="00BE78CA">
              <w:t>October 2015 – March 2016</w:t>
            </w:r>
          </w:p>
        </w:tc>
      </w:tr>
      <w:tr w:rsidR="00333601" w:rsidRPr="00BE78CA" w14:paraId="30BEE7D0" w14:textId="77777777" w:rsidTr="00C26084">
        <w:tc>
          <w:tcPr>
            <w:tcW w:w="1604" w:type="dxa"/>
            <w:tcBorders>
              <w:top w:val="single" w:sz="4" w:space="0" w:color="365F91"/>
              <w:bottom w:val="single" w:sz="4" w:space="0" w:color="365F91"/>
            </w:tcBorders>
          </w:tcPr>
          <w:p w14:paraId="04020696" w14:textId="77777777" w:rsidR="00333601" w:rsidRPr="00BE78CA" w:rsidRDefault="00333601" w:rsidP="00C26084">
            <w:pPr>
              <w:pStyle w:val="TableText"/>
              <w:spacing w:before="40" w:after="40"/>
            </w:pPr>
            <w:r w:rsidRPr="00BE78CA">
              <w:t>Sentinel-2</w:t>
            </w:r>
          </w:p>
        </w:tc>
        <w:tc>
          <w:tcPr>
            <w:tcW w:w="1231" w:type="dxa"/>
            <w:tcBorders>
              <w:top w:val="single" w:sz="4" w:space="0" w:color="365F91"/>
              <w:bottom w:val="single" w:sz="4" w:space="0" w:color="365F91"/>
            </w:tcBorders>
          </w:tcPr>
          <w:p w14:paraId="5CC35047" w14:textId="77777777" w:rsidR="00333601" w:rsidRPr="00BE78CA" w:rsidRDefault="00333601" w:rsidP="00C26084">
            <w:pPr>
              <w:pStyle w:val="TableText"/>
              <w:spacing w:before="40" w:after="40"/>
              <w:jc w:val="center"/>
            </w:pPr>
            <w:r w:rsidRPr="00BE78CA">
              <w:t>10</w:t>
            </w:r>
          </w:p>
        </w:tc>
        <w:tc>
          <w:tcPr>
            <w:tcW w:w="3261" w:type="dxa"/>
            <w:tcBorders>
              <w:top w:val="single" w:sz="4" w:space="0" w:color="365F91"/>
              <w:bottom w:val="single" w:sz="4" w:space="0" w:color="365F91"/>
            </w:tcBorders>
          </w:tcPr>
          <w:p w14:paraId="4BEB9EF1" w14:textId="77777777" w:rsidR="00333601" w:rsidRPr="00BE78CA" w:rsidRDefault="00333601" w:rsidP="00C26084">
            <w:pPr>
              <w:pStyle w:val="TableText"/>
              <w:spacing w:before="40" w:after="40"/>
            </w:pPr>
            <w:r w:rsidRPr="00BE78CA">
              <w:t>North Island, South Island and Stewart Island</w:t>
            </w:r>
          </w:p>
        </w:tc>
        <w:tc>
          <w:tcPr>
            <w:tcW w:w="2466" w:type="dxa"/>
            <w:tcBorders>
              <w:top w:val="single" w:sz="4" w:space="0" w:color="365F91"/>
              <w:bottom w:val="single" w:sz="4" w:space="0" w:color="365F91"/>
            </w:tcBorders>
          </w:tcPr>
          <w:p w14:paraId="293D53A7" w14:textId="77777777" w:rsidR="00333601" w:rsidRPr="00BE78CA" w:rsidRDefault="00333601" w:rsidP="00C26084">
            <w:pPr>
              <w:pStyle w:val="TableText"/>
              <w:spacing w:before="40" w:after="40"/>
            </w:pPr>
            <w:r w:rsidRPr="00BE78CA">
              <w:t>November 2015 – March 2016</w:t>
            </w:r>
          </w:p>
        </w:tc>
      </w:tr>
      <w:tr w:rsidR="00333601" w:rsidRPr="00BE78CA" w14:paraId="431CD2EF" w14:textId="77777777" w:rsidTr="00C26084">
        <w:tc>
          <w:tcPr>
            <w:tcW w:w="1604" w:type="dxa"/>
            <w:tcBorders>
              <w:top w:val="single" w:sz="4" w:space="0" w:color="365F91"/>
              <w:bottom w:val="single" w:sz="4" w:space="0" w:color="365F91"/>
            </w:tcBorders>
          </w:tcPr>
          <w:p w14:paraId="26CFEE9B" w14:textId="77777777" w:rsidR="00333601" w:rsidRPr="00BE78CA" w:rsidRDefault="00333601" w:rsidP="00C26084">
            <w:pPr>
              <w:pStyle w:val="TableText"/>
              <w:spacing w:before="40" w:after="40"/>
            </w:pPr>
            <w:r w:rsidRPr="00BE78CA">
              <w:t>Aerial photography</w:t>
            </w:r>
          </w:p>
        </w:tc>
        <w:tc>
          <w:tcPr>
            <w:tcW w:w="1231" w:type="dxa"/>
            <w:tcBorders>
              <w:top w:val="single" w:sz="4" w:space="0" w:color="365F91"/>
              <w:bottom w:val="single" w:sz="4" w:space="0" w:color="365F91"/>
            </w:tcBorders>
          </w:tcPr>
          <w:p w14:paraId="12017432" w14:textId="77777777" w:rsidR="00333601" w:rsidRPr="00BE78CA" w:rsidRDefault="00333601" w:rsidP="00C26084">
            <w:pPr>
              <w:pStyle w:val="TableText"/>
              <w:spacing w:before="40" w:after="40"/>
              <w:jc w:val="center"/>
            </w:pPr>
            <w:r w:rsidRPr="00BE78CA">
              <w:t>Variable</w:t>
            </w:r>
          </w:p>
        </w:tc>
        <w:tc>
          <w:tcPr>
            <w:tcW w:w="3261" w:type="dxa"/>
            <w:tcBorders>
              <w:top w:val="single" w:sz="4" w:space="0" w:color="365F91"/>
              <w:bottom w:val="single" w:sz="4" w:space="0" w:color="365F91"/>
            </w:tcBorders>
          </w:tcPr>
          <w:p w14:paraId="5CD36B5E" w14:textId="77777777" w:rsidR="00333601" w:rsidRPr="00BE78CA" w:rsidRDefault="00333601" w:rsidP="00C26084">
            <w:pPr>
              <w:pStyle w:val="TableText"/>
              <w:spacing w:before="40" w:after="40"/>
            </w:pPr>
            <w:r w:rsidRPr="00BE78CA">
              <w:t>All of North Island and Stewart Island and most of South Island</w:t>
            </w:r>
          </w:p>
        </w:tc>
        <w:tc>
          <w:tcPr>
            <w:tcW w:w="2466" w:type="dxa"/>
            <w:tcBorders>
              <w:top w:val="single" w:sz="4" w:space="0" w:color="365F91"/>
              <w:bottom w:val="single" w:sz="4" w:space="0" w:color="365F91"/>
            </w:tcBorders>
          </w:tcPr>
          <w:p w14:paraId="35CAE0BF" w14:textId="77777777" w:rsidR="00333601" w:rsidRPr="00BE78CA" w:rsidRDefault="00333601" w:rsidP="00C26084">
            <w:pPr>
              <w:pStyle w:val="TableText"/>
              <w:spacing w:before="40" w:after="40"/>
            </w:pPr>
            <w:r w:rsidRPr="00BE78CA">
              <w:t>Various</w:t>
            </w:r>
          </w:p>
        </w:tc>
      </w:tr>
    </w:tbl>
    <w:p w14:paraId="43D4E29B" w14:textId="77777777" w:rsidR="00333601" w:rsidRPr="00BE78CA" w:rsidRDefault="00333601" w:rsidP="00333601">
      <w:pPr>
        <w:pStyle w:val="BodyText"/>
        <w:spacing w:before="240" w:after="100"/>
      </w:pPr>
      <w:r w:rsidRPr="00BE78CA">
        <w:lastRenderedPageBreak/>
        <w:t xml:space="preserve">As part of the 2016 mapping process, high and low producing grassland classes were mapped at 2008, 2012 and 2016 using a data fusion technique described in Manderson et al. (2018). This technique brought together a range of biophysical and land use data sets to create a probability map for high producing grassland at each mapping date. This map was used to classify grassland into high and low producing areas in the 2016 land use map and back-correct the 2012 and 2008 maps to maintain time-series consistency. (The 1990 land use map was assumed to contain a fair representation of the split between high and low producing grassland, based on the original mapping of this data set using the NZLRI as described in section 6.2.2.) </w:t>
      </w:r>
    </w:p>
    <w:p w14:paraId="59062E99" w14:textId="77777777" w:rsidR="00333601" w:rsidRPr="00BE78CA" w:rsidRDefault="00333601" w:rsidP="00333601">
      <w:pPr>
        <w:pStyle w:val="Heading5"/>
        <w:spacing w:before="160"/>
      </w:pPr>
      <w:r w:rsidRPr="00BE78CA">
        <w:t>Mapping approach: forest areas</w:t>
      </w:r>
    </w:p>
    <w:p w14:paraId="5D3678B3" w14:textId="77777777" w:rsidR="00333601" w:rsidRPr="00BE78CA" w:rsidRDefault="00333601" w:rsidP="00333601">
      <w:pPr>
        <w:pStyle w:val="BodyText"/>
        <w:spacing w:before="100" w:after="100"/>
      </w:pPr>
      <w:r w:rsidRPr="00BE78CA">
        <w:t>Areas of potential change within the forest extent were considered to be potential destocking.</w:t>
      </w:r>
      <w:r w:rsidRPr="00BE78CA">
        <w:rPr>
          <w:rStyle w:val="FootnoteReference"/>
        </w:rPr>
        <w:footnoteReference w:id="63"/>
      </w:r>
      <w:r w:rsidRPr="00BE78CA">
        <w:t xml:space="preserve"> These areas were first screened, to ensure they represented actual change as opposed to false change due to cloud contamination or image misregistration.</w:t>
      </w:r>
    </w:p>
    <w:p w14:paraId="0DC1520F" w14:textId="77777777" w:rsidR="00333601" w:rsidRPr="00BE78CA" w:rsidRDefault="00333601" w:rsidP="00333601">
      <w:pPr>
        <w:pStyle w:val="BodyText"/>
        <w:spacing w:before="100" w:after="100"/>
      </w:pPr>
      <w:r w:rsidRPr="00BE78CA">
        <w:t xml:space="preserve">The next step was to determine which areas of destocking represented land-use change (deforestation) as opposed to temporary forest loss (e.g., harvesting activity occurring as part of ongoing forestry land use). </w:t>
      </w:r>
    </w:p>
    <w:p w14:paraId="4C75B38F" w14:textId="77777777" w:rsidR="00333601" w:rsidRPr="00BE78CA" w:rsidRDefault="00333601" w:rsidP="00333601">
      <w:pPr>
        <w:pStyle w:val="BodyText"/>
        <w:spacing w:before="100" w:after="100"/>
      </w:pPr>
      <w:r w:rsidRPr="00BE78CA">
        <w:t>Where possible, areas of destocking were first checked in available aerial photography to determine whether replanting had occurred. Cases of replanting were then removed from the destocking layer.</w:t>
      </w:r>
    </w:p>
    <w:p w14:paraId="5A7651EF" w14:textId="77777777" w:rsidR="00333601" w:rsidRPr="00BE78CA" w:rsidRDefault="00333601" w:rsidP="00333601">
      <w:pPr>
        <w:pStyle w:val="BodyText"/>
        <w:spacing w:before="100" w:after="100"/>
      </w:pPr>
      <w:r w:rsidRPr="00BE78CA">
        <w:t>Because it is rarely possible to determine whether deforestation has occurred using currently available satellite imagery alone, high-resolution vertical or oblique aerial photography is obtained to provide a high-resolution view of land use activity occurring on the ground.</w:t>
      </w:r>
    </w:p>
    <w:p w14:paraId="083227A0" w14:textId="77777777" w:rsidR="00333601" w:rsidRPr="00BE78CA" w:rsidRDefault="00333601" w:rsidP="00333601">
      <w:pPr>
        <w:pStyle w:val="BodyText"/>
        <w:spacing w:before="100" w:after="100"/>
      </w:pPr>
      <w:r w:rsidRPr="00BE78CA">
        <w:t xml:space="preserve">All remaining areas were field checked, with vertical or aerial photography acquired over each site, to determine the current land use for each area. </w:t>
      </w:r>
    </w:p>
    <w:p w14:paraId="0726EAE3" w14:textId="77777777" w:rsidR="00333601" w:rsidRPr="00BE78CA" w:rsidRDefault="00333601" w:rsidP="00333601">
      <w:pPr>
        <w:pStyle w:val="BodyText"/>
        <w:spacing w:before="100" w:after="100"/>
      </w:pPr>
      <w:r w:rsidRPr="00BE78CA">
        <w:t>Based on the aerial photographic evidence and supporting evidence from the NZ ETS, each area was given one of the following destock classifications.</w:t>
      </w:r>
    </w:p>
    <w:p w14:paraId="7B0DBE0F" w14:textId="77777777" w:rsidR="00333601" w:rsidRPr="00BE78CA" w:rsidRDefault="00333601" w:rsidP="00FA2314">
      <w:pPr>
        <w:pStyle w:val="Bullet"/>
        <w:numPr>
          <w:ilvl w:val="0"/>
          <w:numId w:val="25"/>
        </w:numPr>
        <w:spacing w:after="100"/>
      </w:pPr>
      <w:r w:rsidRPr="00BE78CA">
        <w:t>Harvested: the area shows evidence of ongoing forestry land use such as replanting, preparation for planting or a context consistent with replanting, such as being surrounded by plantation forestry.</w:t>
      </w:r>
    </w:p>
    <w:p w14:paraId="59413D1C" w14:textId="77777777" w:rsidR="00333601" w:rsidRPr="00BE78CA" w:rsidRDefault="00333601" w:rsidP="00FA2314">
      <w:pPr>
        <w:pStyle w:val="Bullet"/>
        <w:numPr>
          <w:ilvl w:val="0"/>
          <w:numId w:val="25"/>
        </w:numPr>
        <w:spacing w:after="100"/>
      </w:pPr>
      <w:r w:rsidRPr="00BE78CA">
        <w:t>Harvested and converted: the forest stand is registered in the NZ ETS using the Carbon Equivalent Forest option to harvest, but replanted in a different location.</w:t>
      </w:r>
    </w:p>
    <w:p w14:paraId="36D23829" w14:textId="77777777" w:rsidR="00333601" w:rsidRPr="00BE78CA" w:rsidRDefault="00333601" w:rsidP="00FA2314">
      <w:pPr>
        <w:pStyle w:val="Bullet"/>
        <w:numPr>
          <w:ilvl w:val="0"/>
          <w:numId w:val="25"/>
        </w:numPr>
        <w:spacing w:after="100"/>
      </w:pPr>
      <w:r w:rsidRPr="00BE78CA">
        <w:t>Deforested: the area shows evidence of land-use change such as the removal of stumps, pasture establishment, fencing and stock.</w:t>
      </w:r>
    </w:p>
    <w:p w14:paraId="39C14055" w14:textId="77777777" w:rsidR="00333601" w:rsidRPr="00BE78CA" w:rsidRDefault="00333601" w:rsidP="00FA2314">
      <w:pPr>
        <w:pStyle w:val="Bullet"/>
        <w:numPr>
          <w:ilvl w:val="0"/>
          <w:numId w:val="25"/>
        </w:numPr>
        <w:spacing w:after="100"/>
      </w:pPr>
      <w:r w:rsidRPr="00BE78CA">
        <w:t>Awaiting: the area has been destocked for less than four years</w:t>
      </w:r>
      <w:r w:rsidRPr="00BE78CA">
        <w:rPr>
          <w:rStyle w:val="FootnoteReference"/>
        </w:rPr>
        <w:footnoteReference w:id="64"/>
      </w:r>
      <w:r w:rsidRPr="00BE78CA">
        <w:t xml:space="preserve"> and/or there is no evidence of land-use change. That is, the area is lying fallow or, in the case of natural forest areas, the vegetation has been sprayed, but not cleared.</w:t>
      </w:r>
      <w:r w:rsidRPr="00BE78CA">
        <w:rPr>
          <w:rStyle w:val="FootnoteReference"/>
        </w:rPr>
        <w:footnoteReference w:id="65"/>
      </w:r>
    </w:p>
    <w:p w14:paraId="45CDC2A3" w14:textId="77777777" w:rsidR="00333601" w:rsidRPr="00BE78CA" w:rsidRDefault="00333601" w:rsidP="00FA2314">
      <w:pPr>
        <w:pStyle w:val="Bullet"/>
        <w:numPr>
          <w:ilvl w:val="0"/>
          <w:numId w:val="25"/>
        </w:numPr>
      </w:pPr>
      <w:r w:rsidRPr="00BE78CA">
        <w:lastRenderedPageBreak/>
        <w:t>No change: the area has not been destocked and was incorrectly identified as change (may include thinning activity).</w:t>
      </w:r>
    </w:p>
    <w:p w14:paraId="01B0C52E" w14:textId="77777777" w:rsidR="00333601" w:rsidRPr="00BE78CA" w:rsidRDefault="00333601" w:rsidP="00FA2314">
      <w:pPr>
        <w:pStyle w:val="Bullet"/>
        <w:numPr>
          <w:ilvl w:val="0"/>
          <w:numId w:val="25"/>
        </w:numPr>
      </w:pPr>
      <w:r w:rsidRPr="00BE78CA">
        <w:t>Never forest: the area was not forested at the beginning of the change period. These areas required correction to a non-forest land use in the land use map from the beginning of the change period.</w:t>
      </w:r>
    </w:p>
    <w:p w14:paraId="758920A4" w14:textId="77777777" w:rsidR="00333601" w:rsidRPr="00BE78CA" w:rsidRDefault="00333601" w:rsidP="00FA2314">
      <w:pPr>
        <w:pStyle w:val="Bullet"/>
        <w:numPr>
          <w:ilvl w:val="0"/>
          <w:numId w:val="25"/>
        </w:numPr>
      </w:pPr>
      <w:r w:rsidRPr="00BE78CA">
        <w:t xml:space="preserve">Non-anthropogenic change: destocking was not human induced – for example, erosion </w:t>
      </w:r>
      <w:r w:rsidRPr="00BE78CA">
        <w:br/>
        <w:t>– and there has been no land-use change.</w:t>
      </w:r>
    </w:p>
    <w:p w14:paraId="28B636DB" w14:textId="77777777" w:rsidR="00333601" w:rsidRPr="00BE78CA" w:rsidRDefault="00333601" w:rsidP="00333601">
      <w:pPr>
        <w:pStyle w:val="BodyText"/>
      </w:pPr>
      <w:r w:rsidRPr="00BE78CA">
        <w:t xml:space="preserve">For each deforested area, further information was then recorded, such as the year in which the deforestation occurred. This was determined by examining the ancillary imagery data sets listed in table 6.2.4. Figure 6.2.6 shows the process of confirming deforestation and establishing the year in which it occurred. Further information on the mapping of forest change can be found in Indufor Asia Pacific (2018). </w:t>
      </w:r>
    </w:p>
    <w:p w14:paraId="7163431A" w14:textId="77777777" w:rsidR="00333601" w:rsidRPr="00BE78CA" w:rsidRDefault="00333601" w:rsidP="00333601">
      <w:pPr>
        <w:pStyle w:val="BodyText"/>
      </w:pPr>
      <w:r w:rsidRPr="00BE78CA">
        <w:t>The final step in the 2012 and 2016 land use mapping process was to add the confirmed areas of deforestation into the land use map. Figure 6.2.7 shows the land use map of New Zealand as at 31 December 2016.</w:t>
      </w:r>
    </w:p>
    <w:p w14:paraId="08122A98" w14:textId="77777777" w:rsidR="00333601" w:rsidRPr="00BE78CA" w:rsidRDefault="00333601" w:rsidP="00333601">
      <w:pPr>
        <w:pStyle w:val="Figure"/>
      </w:pPr>
      <w:bookmarkStart w:id="1445" w:name="_Toc378853337"/>
      <w:bookmarkStart w:id="1446" w:name="_Toc405448087"/>
      <w:bookmarkStart w:id="1447" w:name="_Toc414531619"/>
      <w:bookmarkStart w:id="1448" w:name="_Toc474914642"/>
      <w:bookmarkStart w:id="1449" w:name="_Toc481752024"/>
      <w:bookmarkStart w:id="1450" w:name="_Toc522010702"/>
      <w:bookmarkStart w:id="1451" w:name="_Toc5269705"/>
      <w:bookmarkStart w:id="1452" w:name="_Toc33529477"/>
      <w:bookmarkStart w:id="1453" w:name="_Toc36292807"/>
      <w:bookmarkStart w:id="1454" w:name="_Toc65244099"/>
      <w:bookmarkStart w:id="1455" w:name="_Toc68786672"/>
      <w:r w:rsidRPr="00BE78CA">
        <w:lastRenderedPageBreak/>
        <w:t>Figure 6.2.6</w:t>
      </w:r>
      <w:r w:rsidRPr="00BE78CA">
        <w:tab/>
        <w:t>New Zealand’s identification of deforestation</w:t>
      </w:r>
      <w:bookmarkEnd w:id="1445"/>
      <w:bookmarkEnd w:id="1446"/>
      <w:bookmarkEnd w:id="1447"/>
      <w:bookmarkEnd w:id="1448"/>
      <w:bookmarkEnd w:id="1449"/>
      <w:bookmarkEnd w:id="1450"/>
      <w:bookmarkEnd w:id="1451"/>
      <w:bookmarkEnd w:id="1452"/>
      <w:bookmarkEnd w:id="1453"/>
      <w:bookmarkEnd w:id="1454"/>
      <w:bookmarkEnd w:id="1455"/>
    </w:p>
    <w:p w14:paraId="3BF8BD4B" w14:textId="77777777" w:rsidR="00333601" w:rsidRPr="00BE78CA" w:rsidRDefault="00333601" w:rsidP="00333601">
      <w:pPr>
        <w:pStyle w:val="BodyText"/>
        <w:jc w:val="center"/>
      </w:pPr>
      <w:r w:rsidRPr="00BE78CA">
        <w:rPr>
          <w:noProof/>
        </w:rPr>
        <w:drawing>
          <wp:inline distT="0" distB="0" distL="0" distR="0" wp14:anchorId="6F553A5E" wp14:editId="33AD2042">
            <wp:extent cx="5048250" cy="7343775"/>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048250" cy="7343775"/>
                    </a:xfrm>
                    <a:prstGeom prst="rect">
                      <a:avLst/>
                    </a:prstGeom>
                    <a:noFill/>
                    <a:ln>
                      <a:noFill/>
                    </a:ln>
                  </pic:spPr>
                </pic:pic>
              </a:graphicData>
            </a:graphic>
          </wp:inline>
        </w:drawing>
      </w:r>
    </w:p>
    <w:p w14:paraId="5082C94D" w14:textId="77777777" w:rsidR="00333601" w:rsidRPr="00BE78CA" w:rsidRDefault="00333601" w:rsidP="00333601">
      <w:pPr>
        <w:pStyle w:val="Noteundertable"/>
      </w:pPr>
      <w:r w:rsidRPr="00BE78CA">
        <w:rPr>
          <w:b/>
        </w:rPr>
        <w:t>Note:</w:t>
      </w:r>
      <w:r w:rsidRPr="00BE78CA">
        <w:t xml:space="preserve"> </w:t>
      </w:r>
      <w:r w:rsidRPr="00BE78CA">
        <w:tab/>
        <w:t>DMC = Disaster Monitoring Constellation.</w:t>
      </w:r>
    </w:p>
    <w:p w14:paraId="44716DC2" w14:textId="77777777" w:rsidR="00333601" w:rsidRPr="00BE78CA" w:rsidRDefault="00333601" w:rsidP="00333601">
      <w:pPr>
        <w:pStyle w:val="Figure"/>
      </w:pPr>
      <w:bookmarkStart w:id="1456" w:name="_Toc378853338"/>
      <w:bookmarkStart w:id="1457" w:name="_Toc405448088"/>
      <w:bookmarkStart w:id="1458" w:name="_Toc414531620"/>
      <w:bookmarkStart w:id="1459" w:name="_Toc474914643"/>
      <w:bookmarkStart w:id="1460" w:name="_Toc481752025"/>
      <w:bookmarkStart w:id="1461" w:name="_Toc522010703"/>
      <w:bookmarkStart w:id="1462" w:name="_Toc5269706"/>
      <w:bookmarkStart w:id="1463" w:name="_Toc33529478"/>
      <w:bookmarkStart w:id="1464" w:name="_Toc36292808"/>
      <w:bookmarkStart w:id="1465" w:name="_Toc65244100"/>
      <w:bookmarkStart w:id="1466" w:name="_Toc68786673"/>
      <w:r w:rsidRPr="00BE78CA">
        <w:lastRenderedPageBreak/>
        <w:t>Figure 6.2.7</w:t>
      </w:r>
      <w:r w:rsidRPr="00BE78CA">
        <w:tab/>
        <w:t>Land use map of New Zealand as at 31 December 2016</w:t>
      </w:r>
      <w:bookmarkEnd w:id="1456"/>
      <w:bookmarkEnd w:id="1457"/>
      <w:bookmarkEnd w:id="1458"/>
      <w:bookmarkEnd w:id="1459"/>
      <w:bookmarkEnd w:id="1460"/>
      <w:bookmarkEnd w:id="1461"/>
      <w:bookmarkEnd w:id="1462"/>
      <w:bookmarkEnd w:id="1463"/>
      <w:bookmarkEnd w:id="1464"/>
      <w:bookmarkEnd w:id="1465"/>
      <w:bookmarkEnd w:id="1466"/>
    </w:p>
    <w:p w14:paraId="4E8C7CB3" w14:textId="77777777" w:rsidR="00333601" w:rsidRPr="00BE78CA" w:rsidRDefault="00333601" w:rsidP="00333601">
      <w:pPr>
        <w:pStyle w:val="BodyText"/>
        <w:spacing w:after="60"/>
      </w:pPr>
      <w:r w:rsidRPr="00BE78CA">
        <w:rPr>
          <w:noProof/>
        </w:rPr>
        <w:drawing>
          <wp:inline distT="0" distB="0" distL="0" distR="0" wp14:anchorId="13BB646A" wp14:editId="1707E138">
            <wp:extent cx="5314950" cy="7414404"/>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rotWithShape="1">
                    <a:blip r:embed="rId218">
                      <a:extLst>
                        <a:ext uri="{28A0092B-C50C-407E-A947-70E740481C1C}">
                          <a14:useLocalDpi xmlns:a14="http://schemas.microsoft.com/office/drawing/2010/main" val="0"/>
                        </a:ext>
                      </a:extLst>
                    </a:blip>
                    <a:srcRect t="1716"/>
                    <a:stretch/>
                  </pic:blipFill>
                  <pic:spPr bwMode="auto">
                    <a:xfrm>
                      <a:off x="0" y="0"/>
                      <a:ext cx="5314950" cy="7414404"/>
                    </a:xfrm>
                    <a:prstGeom prst="rect">
                      <a:avLst/>
                    </a:prstGeom>
                    <a:noFill/>
                    <a:ln>
                      <a:noFill/>
                    </a:ln>
                    <a:extLst>
                      <a:ext uri="{53640926-AAD7-44D8-BBD7-CCE9431645EC}">
                        <a14:shadowObscured xmlns:a14="http://schemas.microsoft.com/office/drawing/2010/main"/>
                      </a:ext>
                    </a:extLst>
                  </pic:spPr>
                </pic:pic>
              </a:graphicData>
            </a:graphic>
          </wp:inline>
        </w:drawing>
      </w:r>
    </w:p>
    <w:p w14:paraId="7E98B4F7" w14:textId="77777777" w:rsidR="00333601" w:rsidRPr="00BE78CA" w:rsidRDefault="00333601" w:rsidP="00333601">
      <w:pPr>
        <w:pStyle w:val="Noteundertable"/>
      </w:pPr>
      <w:r w:rsidRPr="00BE78CA">
        <w:rPr>
          <w:b/>
        </w:rPr>
        <w:t>Note:</w:t>
      </w:r>
      <w:r w:rsidRPr="00BE78CA">
        <w:tab/>
        <w:t>The inset map is of the Chatham Islands, which lie approximately 660 kilometres south-east of the south eastern corner of the North Island.</w:t>
      </w:r>
    </w:p>
    <w:p w14:paraId="4363750C" w14:textId="77777777" w:rsidR="00333601" w:rsidRPr="00BE78CA" w:rsidRDefault="00333601" w:rsidP="00333601">
      <w:pPr>
        <w:pStyle w:val="Heading3"/>
      </w:pPr>
      <w:bookmarkStart w:id="1467" w:name="_Toc255466303"/>
      <w:bookmarkStart w:id="1468" w:name="_Toc261513110"/>
      <w:bookmarkStart w:id="1469" w:name="_Toc261513723"/>
      <w:bookmarkStart w:id="1470" w:name="_Toc280630232"/>
      <w:bookmarkStart w:id="1471" w:name="_Toc361645364"/>
      <w:r w:rsidRPr="00BE78CA">
        <w:lastRenderedPageBreak/>
        <w:t>6.2.3</w:t>
      </w:r>
      <w:r w:rsidRPr="00BE78CA">
        <w:tab/>
        <w:t>Annual land-use change</w:t>
      </w:r>
      <w:bookmarkEnd w:id="1467"/>
      <w:bookmarkEnd w:id="1468"/>
      <w:bookmarkEnd w:id="1469"/>
      <w:bookmarkEnd w:id="1470"/>
      <w:bookmarkEnd w:id="1471"/>
    </w:p>
    <w:p w14:paraId="598E1703" w14:textId="77777777" w:rsidR="00333601" w:rsidRPr="00BE78CA" w:rsidRDefault="00333601" w:rsidP="00333601">
      <w:pPr>
        <w:pStyle w:val="BodyText"/>
      </w:pPr>
      <w:bookmarkStart w:id="1472" w:name="_Toc280630233"/>
      <w:bookmarkStart w:id="1473" w:name="_Toc255466304"/>
      <w:bookmarkStart w:id="1474" w:name="_Toc261513111"/>
      <w:bookmarkStart w:id="1475" w:name="_Toc261513724"/>
      <w:r w:rsidRPr="00BE78CA">
        <w:t>Annual land-use change areas are interpolated and extrapolated from the four national land use maps using a number of supporting data sets to inform the trends occurring between the wall-to-wall mapping dates of 1990, 2008, 2012 and 2016.</w:t>
      </w:r>
    </w:p>
    <w:p w14:paraId="3B15BD22" w14:textId="77777777" w:rsidR="00333601" w:rsidRPr="00BE78CA" w:rsidRDefault="00333601" w:rsidP="00333601">
      <w:pPr>
        <w:pStyle w:val="Heading4"/>
      </w:pPr>
      <w:r w:rsidRPr="00BE78CA">
        <w:t>Land-use change prior to 1990</w:t>
      </w:r>
    </w:p>
    <w:p w14:paraId="4C05A288" w14:textId="77777777" w:rsidR="00333601" w:rsidRPr="00BE78CA" w:rsidRDefault="00333601" w:rsidP="00333601">
      <w:pPr>
        <w:pStyle w:val="BodyText"/>
      </w:pPr>
      <w:r w:rsidRPr="00BE78CA">
        <w:t>Data from a variety of sources were used to determine land areas prior to 1990. Data sources suitable for determining land use at a national level typically comprise one of the following:</w:t>
      </w:r>
    </w:p>
    <w:p w14:paraId="0F392BCD" w14:textId="77777777" w:rsidR="00333601" w:rsidRPr="00BE78CA" w:rsidRDefault="00333601" w:rsidP="00333601">
      <w:pPr>
        <w:pStyle w:val="Bullet"/>
        <w:tabs>
          <w:tab w:val="num" w:pos="567"/>
        </w:tabs>
      </w:pPr>
      <w:r w:rsidRPr="00BE78CA">
        <w:t xml:space="preserve">maps or scaled images depicting land use or proxies for land use (e.g., a ‘map of forest areas’) </w:t>
      </w:r>
    </w:p>
    <w:p w14:paraId="1F521CA2" w14:textId="77777777" w:rsidR="00333601" w:rsidRPr="00BE78CA" w:rsidRDefault="00333601" w:rsidP="00333601">
      <w:pPr>
        <w:pStyle w:val="Bullet"/>
        <w:tabs>
          <w:tab w:val="num" w:pos="567"/>
        </w:tabs>
      </w:pPr>
      <w:r w:rsidRPr="00BE78CA">
        <w:t xml:space="preserve">tabulated land use area data collected for an administrative area (e.g., county, district or region) </w:t>
      </w:r>
    </w:p>
    <w:p w14:paraId="2C213F6E" w14:textId="77777777" w:rsidR="00333601" w:rsidRPr="00BE78CA" w:rsidRDefault="00333601" w:rsidP="00333601">
      <w:pPr>
        <w:pStyle w:val="Bullet"/>
        <w:tabs>
          <w:tab w:val="num" w:pos="567"/>
        </w:tabs>
      </w:pPr>
      <w:r w:rsidRPr="00BE78CA">
        <w:t>production sector (e.g., the area of orchard crops).</w:t>
      </w:r>
    </w:p>
    <w:p w14:paraId="128B2ADE" w14:textId="77777777" w:rsidR="00333601" w:rsidRPr="00BE78CA" w:rsidRDefault="00333601" w:rsidP="00333601">
      <w:pPr>
        <w:pStyle w:val="BodyText"/>
      </w:pPr>
      <w:r w:rsidRPr="00BE78CA">
        <w:t xml:space="preserve">This methodology was peer reviewed by Hunter and McNeill (unpublished), who provided independent subject-matter expertise. </w:t>
      </w:r>
    </w:p>
    <w:p w14:paraId="7FF83A32" w14:textId="77777777" w:rsidR="00333601" w:rsidRPr="00BE78CA" w:rsidRDefault="00333601" w:rsidP="00333601">
      <w:pPr>
        <w:pStyle w:val="Heading4"/>
      </w:pPr>
      <w:bookmarkStart w:id="1476" w:name="_Toc255466305"/>
      <w:bookmarkStart w:id="1477" w:name="_Toc261513112"/>
      <w:bookmarkStart w:id="1478" w:name="_Toc261513725"/>
      <w:bookmarkStart w:id="1479" w:name="_Toc280630234"/>
      <w:bookmarkEnd w:id="1472"/>
      <w:bookmarkEnd w:id="1473"/>
      <w:bookmarkEnd w:id="1474"/>
      <w:bookmarkEnd w:id="1475"/>
      <w:r w:rsidRPr="00BE78CA">
        <w:t xml:space="preserve">Annual land-use changes from 1990 to </w:t>
      </w:r>
      <w:bookmarkEnd w:id="1476"/>
      <w:bookmarkEnd w:id="1477"/>
      <w:bookmarkEnd w:id="1478"/>
      <w:r w:rsidRPr="00BE78CA">
        <w:t>2007</w:t>
      </w:r>
      <w:bookmarkEnd w:id="1479"/>
    </w:p>
    <w:p w14:paraId="70DD8F2A" w14:textId="77777777" w:rsidR="00333601" w:rsidRPr="00BE78CA" w:rsidRDefault="00333601" w:rsidP="00333601">
      <w:pPr>
        <w:pStyle w:val="BodyText"/>
        <w:spacing w:after="100"/>
      </w:pPr>
      <w:r w:rsidRPr="00BE78CA">
        <w:t>Annual land-use changes from 1990 to 2007 are interpolated between the 1990 and 2008 land use maps, which provide the total area of change over that period. Most of the land-use changes are interpolated linearly between mapping dates; however, some of the land-use changes make use of surrogate data sets to better reflect land-use change trends within this period. This approach follows methodology outlined in section 3.3.1 of the 2006 IPCC Guidelines</w:t>
      </w:r>
      <w:r w:rsidRPr="00BE78CA" w:rsidDel="00663F9D">
        <w:t xml:space="preserve"> </w:t>
      </w:r>
      <w:r w:rsidRPr="00BE78CA">
        <w:t>(IPCC, 2006a).</w:t>
      </w:r>
    </w:p>
    <w:p w14:paraId="7ECA39F6" w14:textId="77777777" w:rsidR="00333601" w:rsidRPr="00BE78CA" w:rsidRDefault="00333601" w:rsidP="00333601">
      <w:pPr>
        <w:pStyle w:val="BodyText"/>
        <w:spacing w:after="100"/>
      </w:pPr>
      <w:r w:rsidRPr="00BE78CA">
        <w:t>The surrogate data sets used between 1 January 1990 and 31 December 2007 are as follows.</w:t>
      </w:r>
    </w:p>
    <w:p w14:paraId="2F1E8E60" w14:textId="77777777" w:rsidR="00333601" w:rsidRPr="00BE78CA" w:rsidRDefault="00333601" w:rsidP="00333601">
      <w:pPr>
        <w:pStyle w:val="Bullet"/>
        <w:tabs>
          <w:tab w:val="num" w:pos="567"/>
        </w:tabs>
      </w:pPr>
      <w:r w:rsidRPr="00BE78CA">
        <w:t>Deforestation trends between 1990 and 1 January 2008 for pre-1990 planted forest and post-1989 forest are based on the 2008 Deforestation Intentions Survey (Manley, 2009) and unpublished work by Scion (the New Zealand Forest Research Institute). The work by Scion is referred to in Wakelin (unpublished(c)).</w:t>
      </w:r>
    </w:p>
    <w:p w14:paraId="4248C407" w14:textId="77777777" w:rsidR="00333601" w:rsidRPr="00BE78CA" w:rsidRDefault="00333601" w:rsidP="00333601">
      <w:pPr>
        <w:pStyle w:val="Bullet"/>
        <w:tabs>
          <w:tab w:val="num" w:pos="567"/>
        </w:tabs>
      </w:pPr>
      <w:r w:rsidRPr="00BE78CA">
        <w:t>Afforestation trends for post-1989 planted forest are based on estimates from the NEFD (Ministry for Primary Industries, 2019b).</w:t>
      </w:r>
    </w:p>
    <w:p w14:paraId="7C95217F" w14:textId="77777777" w:rsidR="00333601" w:rsidRPr="00BE78CA" w:rsidRDefault="00333601" w:rsidP="00333601">
      <w:pPr>
        <w:pStyle w:val="Bullet"/>
        <w:tabs>
          <w:tab w:val="num" w:pos="567"/>
        </w:tabs>
      </w:pPr>
      <w:r w:rsidRPr="00BE78CA">
        <w:t>Afforestation trends for post-1989 natural forest are based on plot analysis as described in Beets et al. (unpublished).</w:t>
      </w:r>
    </w:p>
    <w:p w14:paraId="003306FE" w14:textId="77777777" w:rsidR="00333601" w:rsidRPr="00BE78CA" w:rsidRDefault="00333601" w:rsidP="00333601">
      <w:pPr>
        <w:pStyle w:val="Heading4"/>
      </w:pPr>
      <w:r w:rsidRPr="00BE78CA">
        <w:t>Annual land-use changes from 2008 to 2016</w:t>
      </w:r>
    </w:p>
    <w:p w14:paraId="409FE982" w14:textId="77777777" w:rsidR="00333601" w:rsidRPr="00BE78CA" w:rsidRDefault="00333601" w:rsidP="00333601">
      <w:pPr>
        <w:pStyle w:val="BodyText"/>
        <w:spacing w:after="100"/>
      </w:pPr>
      <w:r w:rsidRPr="00BE78CA">
        <w:t>Annual land-use changes from 2008 to 2016 are generally linearly interpolated between the 2008, 2012 and 2016 land use maps. The only exceptions to this are:</w:t>
      </w:r>
    </w:p>
    <w:p w14:paraId="51CDF2A6" w14:textId="77777777" w:rsidR="00333601" w:rsidRPr="00BE78CA" w:rsidRDefault="00333601" w:rsidP="00333601">
      <w:pPr>
        <w:pStyle w:val="Bullet"/>
        <w:tabs>
          <w:tab w:val="num" w:pos="567"/>
        </w:tabs>
      </w:pPr>
      <w:r w:rsidRPr="00BE78CA">
        <w:t>deforestation occurring between 2008 and 2016, which is mapped annually (see section 6.2.2 for a description of annual deforestation mapping)</w:t>
      </w:r>
    </w:p>
    <w:p w14:paraId="64E2AB09" w14:textId="77777777" w:rsidR="00333601" w:rsidRPr="00BE78CA" w:rsidRDefault="00333601" w:rsidP="00333601">
      <w:pPr>
        <w:pStyle w:val="Bullet"/>
        <w:tabs>
          <w:tab w:val="num" w:pos="567"/>
        </w:tabs>
      </w:pPr>
      <w:r w:rsidRPr="00BE78CA">
        <w:t>afforestation, which uses a mixture of mapped and surveyed data as detailed in table 6.2.5. This is because not all new planting will have been detected in satellite imagery and mapped into the 2016 map yet. New planting can take up to four years to be visible in satellite imagery, therefore, afforestation mapping up to 2016 will not be finalised until 2020.</w:t>
      </w:r>
    </w:p>
    <w:p w14:paraId="66C86537" w14:textId="1B408892" w:rsidR="00333601" w:rsidRPr="00BE78CA" w:rsidRDefault="00333601" w:rsidP="00333601">
      <w:pPr>
        <w:pStyle w:val="Table"/>
      </w:pPr>
      <w:bookmarkStart w:id="1480" w:name="_Toc33529387"/>
      <w:bookmarkStart w:id="1481" w:name="_Toc36224593"/>
      <w:bookmarkStart w:id="1482" w:name="_Toc65243588"/>
      <w:bookmarkStart w:id="1483" w:name="_Toc68786478"/>
      <w:r w:rsidRPr="00BE78CA">
        <w:lastRenderedPageBreak/>
        <w:t>Table 6.2.5</w:t>
      </w:r>
      <w:r w:rsidRPr="00BE78CA">
        <w:tab/>
        <w:t xml:space="preserve">Methods used to estimate </w:t>
      </w:r>
      <w:r w:rsidR="00501AC4" w:rsidRPr="00BE78CA">
        <w:t>a</w:t>
      </w:r>
      <w:r w:rsidRPr="00BE78CA">
        <w:t>fforestation total area and trends between 2008 and 2016</w:t>
      </w:r>
      <w:bookmarkEnd w:id="1480"/>
      <w:bookmarkEnd w:id="1481"/>
      <w:bookmarkEnd w:id="1482"/>
      <w:bookmarkEnd w:id="1483"/>
    </w:p>
    <w:tbl>
      <w:tblPr>
        <w:tblW w:w="8505" w:type="dxa"/>
        <w:tblBorders>
          <w:top w:val="single" w:sz="4" w:space="0" w:color="auto"/>
          <w:bottom w:val="single" w:sz="4" w:space="0" w:color="auto"/>
          <w:insideH w:val="single" w:sz="4" w:space="0" w:color="auto"/>
        </w:tblBorders>
        <w:tblCellMar>
          <w:left w:w="85" w:type="dxa"/>
          <w:right w:w="85" w:type="dxa"/>
        </w:tblCellMar>
        <w:tblLook w:val="04A0" w:firstRow="1" w:lastRow="0" w:firstColumn="1" w:lastColumn="0" w:noHBand="0" w:noVBand="1"/>
      </w:tblPr>
      <w:tblGrid>
        <w:gridCol w:w="1418"/>
        <w:gridCol w:w="1701"/>
        <w:gridCol w:w="1984"/>
        <w:gridCol w:w="1843"/>
        <w:gridCol w:w="1559"/>
      </w:tblGrid>
      <w:tr w:rsidR="00333601" w:rsidRPr="00BE78CA" w14:paraId="2E9F22A7" w14:textId="77777777" w:rsidTr="00195BD5">
        <w:tc>
          <w:tcPr>
            <w:tcW w:w="1418" w:type="dxa"/>
            <w:tcBorders>
              <w:top w:val="single" w:sz="4" w:space="0" w:color="365F91"/>
              <w:bottom w:val="single" w:sz="4" w:space="0" w:color="365F91"/>
              <w:right w:val="single" w:sz="4" w:space="0" w:color="365F91"/>
            </w:tcBorders>
            <w:shd w:val="clear" w:color="auto" w:fill="365F91"/>
          </w:tcPr>
          <w:p w14:paraId="30DFCCDE" w14:textId="77777777" w:rsidR="00333601" w:rsidRPr="00BE78CA" w:rsidRDefault="00333601" w:rsidP="00C26084">
            <w:pPr>
              <w:pStyle w:val="TableTextBold"/>
              <w:jc w:val="both"/>
              <w:rPr>
                <w:noProof w:val="0"/>
                <w:color w:val="FFFFFF"/>
              </w:rPr>
            </w:pPr>
          </w:p>
        </w:tc>
        <w:tc>
          <w:tcPr>
            <w:tcW w:w="3685" w:type="dxa"/>
            <w:gridSpan w:val="2"/>
            <w:tcBorders>
              <w:top w:val="single" w:sz="4" w:space="0" w:color="365F91"/>
              <w:left w:val="single" w:sz="4" w:space="0" w:color="365F91"/>
              <w:bottom w:val="single" w:sz="4" w:space="0" w:color="365F91"/>
              <w:right w:val="single" w:sz="4" w:space="0" w:color="365F91"/>
            </w:tcBorders>
            <w:shd w:val="clear" w:color="auto" w:fill="365F91"/>
          </w:tcPr>
          <w:p w14:paraId="14C32AFB" w14:textId="77777777" w:rsidR="00333601" w:rsidRPr="00BE78CA" w:rsidRDefault="00333601" w:rsidP="00C26084">
            <w:pPr>
              <w:pStyle w:val="TableTextBold"/>
              <w:jc w:val="center"/>
              <w:rPr>
                <w:noProof w:val="0"/>
                <w:color w:val="FFFFFF"/>
              </w:rPr>
            </w:pPr>
            <w:r w:rsidRPr="00BE78CA">
              <w:rPr>
                <w:noProof w:val="0"/>
                <w:color w:val="FFFFFF"/>
              </w:rPr>
              <w:t>Reporting years: 2008 to 2012</w:t>
            </w:r>
          </w:p>
        </w:tc>
        <w:tc>
          <w:tcPr>
            <w:tcW w:w="3402" w:type="dxa"/>
            <w:gridSpan w:val="2"/>
            <w:tcBorders>
              <w:top w:val="single" w:sz="4" w:space="0" w:color="365F91"/>
              <w:left w:val="single" w:sz="4" w:space="0" w:color="365F91"/>
              <w:bottom w:val="single" w:sz="4" w:space="0" w:color="365F91"/>
            </w:tcBorders>
            <w:shd w:val="clear" w:color="auto" w:fill="365F91"/>
          </w:tcPr>
          <w:p w14:paraId="1E5499DB" w14:textId="77777777" w:rsidR="00333601" w:rsidRPr="00BE78CA" w:rsidRDefault="00333601" w:rsidP="00C26084">
            <w:pPr>
              <w:pStyle w:val="TableTextBold"/>
              <w:jc w:val="center"/>
              <w:rPr>
                <w:noProof w:val="0"/>
                <w:color w:val="FFFFFF"/>
              </w:rPr>
            </w:pPr>
            <w:r w:rsidRPr="00BE78CA">
              <w:rPr>
                <w:noProof w:val="0"/>
                <w:color w:val="FFFFFF"/>
              </w:rPr>
              <w:t>Reporting years: 2013 to 2016</w:t>
            </w:r>
          </w:p>
        </w:tc>
      </w:tr>
      <w:tr w:rsidR="00333601" w:rsidRPr="00BE78CA" w14:paraId="7B8334E2" w14:textId="77777777" w:rsidTr="00195BD5">
        <w:tc>
          <w:tcPr>
            <w:tcW w:w="1418" w:type="dxa"/>
            <w:tcBorders>
              <w:top w:val="single" w:sz="4" w:space="0" w:color="365F91"/>
            </w:tcBorders>
            <w:shd w:val="clear" w:color="auto" w:fill="auto"/>
          </w:tcPr>
          <w:p w14:paraId="2A012E12" w14:textId="77777777" w:rsidR="00333601" w:rsidRPr="00BE78CA" w:rsidRDefault="00333601" w:rsidP="00195BD5">
            <w:pPr>
              <w:pStyle w:val="TableText"/>
              <w:spacing w:before="50" w:after="50"/>
            </w:pPr>
            <w:r w:rsidRPr="00BE78CA">
              <w:t>Afforestation type</w:t>
            </w:r>
          </w:p>
        </w:tc>
        <w:tc>
          <w:tcPr>
            <w:tcW w:w="1701" w:type="dxa"/>
            <w:tcBorders>
              <w:top w:val="single" w:sz="4" w:space="0" w:color="365F91"/>
            </w:tcBorders>
            <w:shd w:val="clear" w:color="auto" w:fill="auto"/>
          </w:tcPr>
          <w:p w14:paraId="0A51345F" w14:textId="77777777" w:rsidR="00333601" w:rsidRPr="00BE78CA" w:rsidRDefault="00333601" w:rsidP="00195BD5">
            <w:pPr>
              <w:pStyle w:val="TableText"/>
              <w:spacing w:before="50" w:after="50"/>
            </w:pPr>
            <w:r w:rsidRPr="00BE78CA">
              <w:t>Estimate of total afforestation for the period</w:t>
            </w:r>
          </w:p>
        </w:tc>
        <w:tc>
          <w:tcPr>
            <w:tcW w:w="1984" w:type="dxa"/>
            <w:tcBorders>
              <w:top w:val="single" w:sz="4" w:space="0" w:color="365F91"/>
            </w:tcBorders>
            <w:shd w:val="clear" w:color="auto" w:fill="auto"/>
          </w:tcPr>
          <w:p w14:paraId="6852CD18" w14:textId="77777777" w:rsidR="00333601" w:rsidRPr="00BE78CA" w:rsidRDefault="00333601" w:rsidP="00195BD5">
            <w:pPr>
              <w:pStyle w:val="TableText"/>
              <w:spacing w:before="50" w:after="50"/>
            </w:pPr>
            <w:r w:rsidRPr="00BE78CA">
              <w:t>Trend in afforestation within the period</w:t>
            </w:r>
          </w:p>
        </w:tc>
        <w:tc>
          <w:tcPr>
            <w:tcW w:w="1843" w:type="dxa"/>
            <w:tcBorders>
              <w:top w:val="single" w:sz="4" w:space="0" w:color="365F91"/>
            </w:tcBorders>
            <w:shd w:val="clear" w:color="auto" w:fill="auto"/>
          </w:tcPr>
          <w:p w14:paraId="4B92EE7B" w14:textId="77777777" w:rsidR="00333601" w:rsidRPr="00BE78CA" w:rsidRDefault="00333601" w:rsidP="00195BD5">
            <w:pPr>
              <w:pStyle w:val="TableText"/>
              <w:spacing w:before="50" w:after="50"/>
            </w:pPr>
            <w:r w:rsidRPr="00BE78CA">
              <w:t>Estimate of total afforestation for the period</w:t>
            </w:r>
          </w:p>
        </w:tc>
        <w:tc>
          <w:tcPr>
            <w:tcW w:w="1559" w:type="dxa"/>
            <w:tcBorders>
              <w:top w:val="single" w:sz="4" w:space="0" w:color="365F91"/>
            </w:tcBorders>
            <w:shd w:val="clear" w:color="auto" w:fill="auto"/>
          </w:tcPr>
          <w:p w14:paraId="5ED3B993" w14:textId="77777777" w:rsidR="00333601" w:rsidRPr="00BE78CA" w:rsidRDefault="00333601" w:rsidP="00195BD5">
            <w:pPr>
              <w:pStyle w:val="TableText"/>
              <w:spacing w:before="50" w:after="50"/>
            </w:pPr>
            <w:r w:rsidRPr="00BE78CA">
              <w:t>Trend in afforestation within the period</w:t>
            </w:r>
          </w:p>
        </w:tc>
      </w:tr>
      <w:tr w:rsidR="00333601" w:rsidRPr="00BE78CA" w14:paraId="61FCBB1E" w14:textId="77777777" w:rsidTr="00195BD5">
        <w:tc>
          <w:tcPr>
            <w:tcW w:w="1418" w:type="dxa"/>
            <w:shd w:val="clear" w:color="auto" w:fill="auto"/>
          </w:tcPr>
          <w:p w14:paraId="7390C54C" w14:textId="77777777" w:rsidR="00333601" w:rsidRPr="00BE78CA" w:rsidRDefault="00333601" w:rsidP="00195BD5">
            <w:pPr>
              <w:pStyle w:val="TableText"/>
              <w:spacing w:before="50" w:after="50"/>
            </w:pPr>
            <w:r w:rsidRPr="00BE78CA">
              <w:t>Post-1989 planted forest</w:t>
            </w:r>
          </w:p>
        </w:tc>
        <w:tc>
          <w:tcPr>
            <w:tcW w:w="1701" w:type="dxa"/>
            <w:shd w:val="clear" w:color="auto" w:fill="auto"/>
          </w:tcPr>
          <w:p w14:paraId="13EDF6EA" w14:textId="77777777" w:rsidR="00333601" w:rsidRPr="00BE78CA" w:rsidRDefault="00333601" w:rsidP="00195BD5">
            <w:pPr>
              <w:pStyle w:val="TableText"/>
              <w:spacing w:before="50" w:after="50"/>
            </w:pPr>
            <w:r w:rsidRPr="00BE78CA">
              <w:t>Based on afforestation mapped between 2008 and 2012</w:t>
            </w:r>
          </w:p>
        </w:tc>
        <w:tc>
          <w:tcPr>
            <w:tcW w:w="1984" w:type="dxa"/>
            <w:shd w:val="clear" w:color="auto" w:fill="auto"/>
          </w:tcPr>
          <w:p w14:paraId="2B261DB1" w14:textId="77777777" w:rsidR="00333601" w:rsidRPr="00BE78CA" w:rsidRDefault="00333601" w:rsidP="00195BD5">
            <w:pPr>
              <w:pStyle w:val="TableText"/>
              <w:spacing w:before="50" w:after="50"/>
            </w:pPr>
            <w:r w:rsidRPr="00BE78CA">
              <w:t xml:space="preserve">Based on an age profile derived from the post-1989 forest plot data </w:t>
            </w:r>
          </w:p>
        </w:tc>
        <w:tc>
          <w:tcPr>
            <w:tcW w:w="1843" w:type="dxa"/>
            <w:shd w:val="clear" w:color="auto" w:fill="auto"/>
          </w:tcPr>
          <w:p w14:paraId="704DC8FE" w14:textId="77777777" w:rsidR="00333601" w:rsidRPr="00BE78CA" w:rsidRDefault="00333601" w:rsidP="00195BD5">
            <w:pPr>
              <w:pStyle w:val="TableText"/>
              <w:spacing w:before="50" w:after="50"/>
            </w:pPr>
            <w:r w:rsidRPr="00BE78CA">
              <w:t>Based on afforestation change between 2003 and 2016</w:t>
            </w:r>
          </w:p>
        </w:tc>
        <w:tc>
          <w:tcPr>
            <w:tcW w:w="1559" w:type="dxa"/>
            <w:shd w:val="clear" w:color="auto" w:fill="auto"/>
          </w:tcPr>
          <w:p w14:paraId="7324B33A" w14:textId="77777777" w:rsidR="00333601" w:rsidRPr="00BE78CA" w:rsidRDefault="00333601" w:rsidP="00195BD5">
            <w:pPr>
              <w:pStyle w:val="TableText"/>
              <w:spacing w:before="50" w:after="50"/>
            </w:pPr>
            <w:r w:rsidRPr="00BE78CA">
              <w:t>Based on an age profile derived from the post-1989 forest plot data</w:t>
            </w:r>
            <w:r w:rsidRPr="00BE78CA" w:rsidDel="00902D70">
              <w:t xml:space="preserve"> </w:t>
            </w:r>
          </w:p>
        </w:tc>
      </w:tr>
      <w:tr w:rsidR="00333601" w:rsidRPr="00BE78CA" w14:paraId="2512AFDC" w14:textId="77777777" w:rsidTr="00195BD5">
        <w:tc>
          <w:tcPr>
            <w:tcW w:w="1418" w:type="dxa"/>
            <w:shd w:val="clear" w:color="auto" w:fill="auto"/>
          </w:tcPr>
          <w:p w14:paraId="37A36243" w14:textId="77777777" w:rsidR="00333601" w:rsidRPr="00BE78CA" w:rsidRDefault="00333601" w:rsidP="00195BD5">
            <w:pPr>
              <w:pStyle w:val="TableText"/>
              <w:spacing w:before="50" w:after="50"/>
            </w:pPr>
            <w:r w:rsidRPr="00BE78CA">
              <w:t>Post-1989 natural forest</w:t>
            </w:r>
          </w:p>
        </w:tc>
        <w:tc>
          <w:tcPr>
            <w:tcW w:w="1701" w:type="dxa"/>
            <w:shd w:val="clear" w:color="auto" w:fill="auto"/>
          </w:tcPr>
          <w:p w14:paraId="11FD818E" w14:textId="77777777" w:rsidR="00333601" w:rsidRPr="00BE78CA" w:rsidRDefault="00333601" w:rsidP="00195BD5">
            <w:pPr>
              <w:pStyle w:val="TableText"/>
              <w:spacing w:before="50" w:after="50"/>
            </w:pPr>
            <w:r w:rsidRPr="00BE78CA">
              <w:t>Based on afforestation mapped between 2008 and 2012</w:t>
            </w:r>
          </w:p>
        </w:tc>
        <w:tc>
          <w:tcPr>
            <w:tcW w:w="1984" w:type="dxa"/>
            <w:shd w:val="clear" w:color="auto" w:fill="auto"/>
          </w:tcPr>
          <w:p w14:paraId="455FD690" w14:textId="77777777" w:rsidR="00333601" w:rsidRPr="00BE78CA" w:rsidRDefault="00333601" w:rsidP="00195BD5">
            <w:pPr>
              <w:pStyle w:val="TableText"/>
              <w:spacing w:before="50" w:after="50"/>
            </w:pPr>
            <w:r w:rsidRPr="00BE78CA">
              <w:t>Linear interpolation</w:t>
            </w:r>
          </w:p>
        </w:tc>
        <w:tc>
          <w:tcPr>
            <w:tcW w:w="1843" w:type="dxa"/>
            <w:shd w:val="clear" w:color="auto" w:fill="auto"/>
          </w:tcPr>
          <w:p w14:paraId="08B73213" w14:textId="77777777" w:rsidR="00333601" w:rsidRPr="00BE78CA" w:rsidRDefault="00333601" w:rsidP="00195BD5">
            <w:pPr>
              <w:pStyle w:val="TableText"/>
              <w:spacing w:before="50" w:after="50"/>
            </w:pPr>
            <w:r w:rsidRPr="00BE78CA">
              <w:t>Based on afforestation mapped between 2013 and 2016</w:t>
            </w:r>
          </w:p>
        </w:tc>
        <w:tc>
          <w:tcPr>
            <w:tcW w:w="1559" w:type="dxa"/>
            <w:shd w:val="clear" w:color="auto" w:fill="auto"/>
          </w:tcPr>
          <w:p w14:paraId="7708BB9F" w14:textId="77777777" w:rsidR="00333601" w:rsidRPr="00BE78CA" w:rsidRDefault="00333601" w:rsidP="00195BD5">
            <w:pPr>
              <w:pStyle w:val="TableText"/>
              <w:spacing w:before="50" w:after="50"/>
            </w:pPr>
            <w:r w:rsidRPr="00BE78CA">
              <w:t>Linear interpolation</w:t>
            </w:r>
            <w:r w:rsidRPr="00BE78CA" w:rsidDel="00902D70">
              <w:t xml:space="preserve"> </w:t>
            </w:r>
          </w:p>
        </w:tc>
      </w:tr>
    </w:tbl>
    <w:p w14:paraId="58F15061" w14:textId="77777777" w:rsidR="00333601" w:rsidRPr="00BE78CA" w:rsidRDefault="00333601" w:rsidP="00333601">
      <w:pPr>
        <w:pStyle w:val="Heading4"/>
        <w:spacing w:before="360"/>
      </w:pPr>
      <w:r w:rsidRPr="00BE78CA">
        <w:t>Estimating land-use change from 2017 to 2019</w:t>
      </w:r>
    </w:p>
    <w:p w14:paraId="3CA581B0" w14:textId="77777777" w:rsidR="00333601" w:rsidRPr="00BE78CA" w:rsidRDefault="00333601" w:rsidP="00195BD5">
      <w:pPr>
        <w:pStyle w:val="BodyText"/>
        <w:spacing w:before="100" w:after="100"/>
      </w:pPr>
      <w:r w:rsidRPr="00BE78CA">
        <w:t>Activity data for the three most recent years of this inventory, from 2017 to 2019, have been estimated from surveys for deforestation (Manley, 2019) and afforestation (Ministry for Primary Industries, 2019b) and extrapolated from the most recent mapped period of 2012 to 2016 for all other land-use changes.</w:t>
      </w:r>
    </w:p>
    <w:p w14:paraId="346D1EB8" w14:textId="77777777" w:rsidR="00333601" w:rsidRPr="00BE78CA" w:rsidRDefault="00333601" w:rsidP="00333601">
      <w:pPr>
        <w:pStyle w:val="Heading5"/>
        <w:spacing w:before="160"/>
      </w:pPr>
      <w:r w:rsidRPr="00BE78CA">
        <w:t>Deforestation</w:t>
      </w:r>
    </w:p>
    <w:p w14:paraId="59405441" w14:textId="77777777" w:rsidR="00333601" w:rsidRPr="00BE78CA" w:rsidRDefault="00333601" w:rsidP="00195BD5">
      <w:pPr>
        <w:pStyle w:val="BodyText"/>
        <w:spacing w:before="100" w:after="100"/>
      </w:pPr>
      <w:r w:rsidRPr="00BE78CA">
        <w:t>Deforestation of pre-1990 planted forest and post-1989 planted forest occurring during 2017, 2018 and 2019 has been estimated based on the Deforestation Intentions Survey for 2018 (Manley, 2019). This report does not distinguish between pre-1990 and post-1989 forest deforestation, therefore, the proportion of deforestation from each forest type has been estimated based on the relative proportions of deforestation of these forest types in the most recently mapped five-year period (2012–16). This ratio provides the most up-to-date estimate of the ratio of deforestation of these forest types.</w:t>
      </w:r>
    </w:p>
    <w:p w14:paraId="13ED3289" w14:textId="77777777" w:rsidR="00333601" w:rsidRPr="00BE78CA" w:rsidRDefault="00333601" w:rsidP="00195BD5">
      <w:pPr>
        <w:pStyle w:val="BodyText"/>
        <w:spacing w:before="100" w:after="100"/>
      </w:pPr>
      <w:r w:rsidRPr="00BE78CA">
        <w:t>Deforestation of pre-1990 natural forest for 2017, 2018 and 2019 has been estimated as occurring at the same annual rate as the most recently mapped five-year period (2012–16). The destination land use has been estimated in the same manner as for pre-1990 planted forest and post-1989 forest deforestation (described above).</w:t>
      </w:r>
    </w:p>
    <w:p w14:paraId="0DB85AFC" w14:textId="77777777" w:rsidR="00333601" w:rsidRPr="00BE78CA" w:rsidRDefault="00333601" w:rsidP="00195BD5">
      <w:pPr>
        <w:pStyle w:val="BodyText"/>
        <w:spacing w:before="100" w:after="100"/>
      </w:pPr>
      <w:r w:rsidRPr="00BE78CA">
        <w:t xml:space="preserve">Deforestation of post-1989 natural forest for 2017, 2018 and 2019 has been estimated based on the assumption that the area of deforestation occurring for this class will be the same proportion of the total forest class area as deforestation of post-1989 planted forest over the same period. </w:t>
      </w:r>
    </w:p>
    <w:p w14:paraId="74872546" w14:textId="77777777" w:rsidR="00333601" w:rsidRPr="00BE78CA" w:rsidRDefault="00333601" w:rsidP="00195BD5">
      <w:pPr>
        <w:pStyle w:val="BodyText"/>
        <w:spacing w:before="100" w:after="100"/>
      </w:pPr>
      <w:r w:rsidRPr="00BE78CA">
        <w:t xml:space="preserve">The destination land use for areas of estimated deforestation has been pro-rated between the low producing and high producing grassland classes in the same proportion as the mapped destination land uses of deforestation occurring in the period 2012 to 2016. </w:t>
      </w:r>
    </w:p>
    <w:p w14:paraId="7FADE350" w14:textId="77777777" w:rsidR="00333601" w:rsidRPr="00BE78CA" w:rsidRDefault="00333601" w:rsidP="00333601">
      <w:pPr>
        <w:pStyle w:val="Heading5"/>
        <w:spacing w:before="160"/>
      </w:pPr>
      <w:r w:rsidRPr="00BE78CA">
        <w:t>Afforestation</w:t>
      </w:r>
    </w:p>
    <w:p w14:paraId="4CF6820D" w14:textId="36AB0894" w:rsidR="00333601" w:rsidRPr="00BE78CA" w:rsidRDefault="00333601" w:rsidP="00195BD5">
      <w:pPr>
        <w:pStyle w:val="BodyText"/>
        <w:spacing w:before="100"/>
      </w:pPr>
      <w:r w:rsidRPr="00BE78CA">
        <w:t>The annual area of afforestation of post-1989 planted forest for 2017, 2018 and 2019 is based on estimates from the NEFD (Ministry for Primary Industries, 2019b). The annual area of afforestation of post-1989 natural forest for 2017, 2018 and 2019 is estimated from the Ministry for Primary Industries afforestation scheme data, plus a linear extrapolation of the mapped area of land</w:t>
      </w:r>
      <w:r w:rsidR="00754D3F" w:rsidRPr="00BE78CA">
        <w:t>-</w:t>
      </w:r>
      <w:r w:rsidRPr="00BE78CA">
        <w:t xml:space="preserve">use change between 2012 and 2016 for wilding pines. </w:t>
      </w:r>
    </w:p>
    <w:p w14:paraId="27E80EA8" w14:textId="77777777" w:rsidR="00333601" w:rsidRPr="00BE78CA" w:rsidRDefault="00333601" w:rsidP="00195BD5">
      <w:pPr>
        <w:pStyle w:val="BodyText"/>
        <w:spacing w:before="100"/>
      </w:pPr>
      <w:r w:rsidRPr="00BE78CA">
        <w:t>The land use prior to afforestation has been pro-rated across all non-forest land uses in the same proportions as for post-1989 afforestation that has been mapped between 2012 and 2016.</w:t>
      </w:r>
    </w:p>
    <w:p w14:paraId="0C870605" w14:textId="77777777" w:rsidR="00333601" w:rsidRPr="00BE78CA" w:rsidRDefault="00333601" w:rsidP="00333601">
      <w:pPr>
        <w:pStyle w:val="Heading5"/>
      </w:pPr>
      <w:r w:rsidRPr="00BE78CA">
        <w:lastRenderedPageBreak/>
        <w:t>Other land-use changes</w:t>
      </w:r>
    </w:p>
    <w:p w14:paraId="32FEB021" w14:textId="77777777" w:rsidR="00333601" w:rsidRPr="00BE78CA" w:rsidRDefault="00333601" w:rsidP="00333601">
      <w:pPr>
        <w:pStyle w:val="BodyText"/>
      </w:pPr>
      <w:r w:rsidRPr="00BE78CA">
        <w:t xml:space="preserve">All other land-use changes for 2017, 2018 and 2019 have been linearly extrapolated from the changes mapped between 2012 and 2016. </w:t>
      </w:r>
    </w:p>
    <w:p w14:paraId="6FB7B24F" w14:textId="77777777" w:rsidR="00333601" w:rsidRPr="00BE78CA" w:rsidRDefault="00333601" w:rsidP="00333601">
      <w:pPr>
        <w:pStyle w:val="Heading4"/>
      </w:pPr>
      <w:r w:rsidRPr="00BE78CA">
        <w:t>Prominent land-use changes from 1990 to 2019</w:t>
      </w:r>
    </w:p>
    <w:p w14:paraId="7540761C" w14:textId="77777777" w:rsidR="00333601" w:rsidRPr="00BE78CA" w:rsidRDefault="00333601" w:rsidP="00333601">
      <w:pPr>
        <w:pStyle w:val="BodyText"/>
        <w:spacing w:after="100"/>
      </w:pPr>
      <w:r w:rsidRPr="00BE78CA">
        <w:t>Prominent land-use changes between 1 January 1990 and 31 December 2019 include:</w:t>
      </w:r>
    </w:p>
    <w:p w14:paraId="4500024A" w14:textId="77777777" w:rsidR="00333601" w:rsidRPr="00BE78CA" w:rsidRDefault="00333601" w:rsidP="00FA2314">
      <w:pPr>
        <w:pStyle w:val="Bullet"/>
        <w:numPr>
          <w:ilvl w:val="0"/>
          <w:numId w:val="25"/>
        </w:numPr>
      </w:pPr>
      <w:r w:rsidRPr="00BE78CA">
        <w:t>forest establishment of 774,375 hectares (classified as post-1989 forest) that has occurred mostly on land that was previously grassland, primarily low producing grassland. Of this area, 30,248 hectares have since been deforested</w:t>
      </w:r>
    </w:p>
    <w:p w14:paraId="2C649CF0" w14:textId="77777777" w:rsidR="00333601" w:rsidRPr="00BE78CA" w:rsidRDefault="00333601" w:rsidP="00FA2314">
      <w:pPr>
        <w:pStyle w:val="Bullet"/>
        <w:numPr>
          <w:ilvl w:val="0"/>
          <w:numId w:val="25"/>
        </w:numPr>
      </w:pPr>
      <w:r w:rsidRPr="00BE78CA">
        <w:t>deforestation of 206,350 hectares. This includes the 30,248 hectares of post-1989 forest that were planted and then deforested between 1990 and 2019. Deforestation has occurred mainly in planted forests since 2004. Between 1990 and 2004, there was little deforestation of planted forests in New Zealand, due to favourable market conditions for forestry.</w:t>
      </w:r>
    </w:p>
    <w:p w14:paraId="2AE564AD" w14:textId="77777777" w:rsidR="00333601" w:rsidRPr="00BE78CA" w:rsidRDefault="00333601" w:rsidP="00333601">
      <w:pPr>
        <w:pStyle w:val="Heading3"/>
      </w:pPr>
      <w:bookmarkStart w:id="1484" w:name="_Toc361645365"/>
      <w:r w:rsidRPr="00BE78CA">
        <w:t>6.2.4</w:t>
      </w:r>
      <w:r w:rsidRPr="00BE78CA">
        <w:tab/>
        <w:t>Methodological change</w:t>
      </w:r>
      <w:bookmarkEnd w:id="1484"/>
    </w:p>
    <w:p w14:paraId="3D54113F" w14:textId="77777777" w:rsidR="00333601" w:rsidRPr="00BE78CA" w:rsidRDefault="00333601" w:rsidP="00333601">
      <w:pPr>
        <w:pStyle w:val="BodyText"/>
      </w:pPr>
      <w:r w:rsidRPr="00BE78CA">
        <w:t>For this submission, improvements have been made to the 1990, 2008, 2012 and 2016 land use maps. This year, improvements have focused on:</w:t>
      </w:r>
    </w:p>
    <w:p w14:paraId="5D2673E7" w14:textId="77777777" w:rsidR="00333601" w:rsidRPr="00BE78CA" w:rsidRDefault="00333601" w:rsidP="00FA2314">
      <w:pPr>
        <w:pStyle w:val="Bullet"/>
        <w:numPr>
          <w:ilvl w:val="0"/>
          <w:numId w:val="25"/>
        </w:numPr>
      </w:pPr>
      <w:r w:rsidRPr="00BE78CA">
        <w:t>updates to the extent of forest areas based on information from the NZ ETS and other forestry schemes, the latest version of the national LCDB and deforestation mapping</w:t>
      </w:r>
    </w:p>
    <w:p w14:paraId="273952D7" w14:textId="77777777" w:rsidR="00333601" w:rsidRPr="00BE78CA" w:rsidRDefault="00333601" w:rsidP="00FA2314">
      <w:pPr>
        <w:pStyle w:val="Bullet"/>
        <w:numPr>
          <w:ilvl w:val="0"/>
          <w:numId w:val="25"/>
        </w:numPr>
      </w:pPr>
      <w:r w:rsidRPr="00BE78CA">
        <w:t>better delineation of the extent of vegetated wetland and wetland loss</w:t>
      </w:r>
    </w:p>
    <w:p w14:paraId="5D2BC77D" w14:textId="77777777" w:rsidR="00333601" w:rsidRPr="00BE78CA" w:rsidRDefault="00333601" w:rsidP="00FA2314">
      <w:pPr>
        <w:pStyle w:val="Bullet"/>
        <w:numPr>
          <w:ilvl w:val="0"/>
          <w:numId w:val="25"/>
        </w:numPr>
      </w:pPr>
      <w:r w:rsidRPr="00BE78CA">
        <w:t>continuation of identification of tree weed areas. These areas are mapped as pre-1990 natural forest or, if the infestation grew after 1989, post-1989 natural forest. This sub-classification is mapped primarily from temporal and spatial patterns and less so from spectral reflectance, since most examples have spread from neighbouring plantation forest. This improvement of accuracy has resulted in approximately 20,000 hectares of post-1989 planted forest being reclassified as post-1989 natural forest.</w:t>
      </w:r>
    </w:p>
    <w:p w14:paraId="7390E7E4" w14:textId="77777777" w:rsidR="00333601" w:rsidRPr="00BE78CA" w:rsidRDefault="00333601" w:rsidP="00333601">
      <w:pPr>
        <w:pStyle w:val="Heading3"/>
      </w:pPr>
      <w:bookmarkStart w:id="1485" w:name="_Toc255466307"/>
      <w:bookmarkStart w:id="1486" w:name="_Toc261513114"/>
      <w:bookmarkStart w:id="1487" w:name="_Toc261513727"/>
      <w:bookmarkStart w:id="1488" w:name="_Toc280630237"/>
      <w:bookmarkStart w:id="1489" w:name="_Toc361645366"/>
      <w:r w:rsidRPr="00BE78CA">
        <w:t>6.2.5</w:t>
      </w:r>
      <w:r w:rsidRPr="00BE78CA">
        <w:tab/>
        <w:t>Uncertainties and time-series consistency</w:t>
      </w:r>
      <w:bookmarkEnd w:id="1485"/>
      <w:bookmarkEnd w:id="1486"/>
      <w:bookmarkEnd w:id="1487"/>
      <w:bookmarkEnd w:id="1488"/>
      <w:bookmarkEnd w:id="1489"/>
    </w:p>
    <w:p w14:paraId="191CFBBC" w14:textId="77777777" w:rsidR="00333601" w:rsidRPr="00BE78CA" w:rsidRDefault="00333601" w:rsidP="00333601">
      <w:pPr>
        <w:pStyle w:val="BodyText"/>
      </w:pPr>
      <w:r w:rsidRPr="00BE78CA">
        <w:t>In 2014 an accuracy assessment was completed for the 2012 land use map. A stratified random sample of 2,000 points was made, and the land use classification was independently assessed at each point location. SPOT-6 natural colour 1.5-metre resolution imagery was used as the reference data source. This imagery met the criteria for a reference data source, having better resolution than the SPOT-5 10-metre resolution imagery used to create the 2012 land use map, and being acquired over a similar period.</w:t>
      </w:r>
      <w:r w:rsidRPr="00BE78CA">
        <w:rPr>
          <w:rStyle w:val="FootnoteReference"/>
        </w:rPr>
        <w:footnoteReference w:id="66"/>
      </w:r>
      <w:r w:rsidRPr="00BE78CA">
        <w:t xml:space="preserve"> </w:t>
      </w:r>
    </w:p>
    <w:p w14:paraId="07F20FFA" w14:textId="77777777" w:rsidR="00333601" w:rsidRPr="00BE78CA" w:rsidRDefault="00333601" w:rsidP="00333601">
      <w:pPr>
        <w:pStyle w:val="BodyText"/>
      </w:pPr>
      <w:r w:rsidRPr="00BE78CA">
        <w:t>The overall map accuracy was found to be 95.2 per cent (Poyry Management Consulting (NZ) Ltd, unpublished). The user and producer accuracies for the three forest classes were all over 94 per cent. For all forest classes, the total mapped area fell within the 95 per cent confidence interval of the total class area as determined by the accuracy assessment.</w:t>
      </w:r>
    </w:p>
    <w:p w14:paraId="6C5B9188" w14:textId="77777777" w:rsidR="00333601" w:rsidRPr="00BE78CA" w:rsidRDefault="00333601" w:rsidP="00333601">
      <w:pPr>
        <w:pStyle w:val="BodyText"/>
      </w:pPr>
      <w:r w:rsidRPr="00BE78CA">
        <w:lastRenderedPageBreak/>
        <w:t xml:space="preserve">Non-forest land uses generally had user and producer accuracies of over 90 per cent. Exceptions were the </w:t>
      </w:r>
      <w:r w:rsidRPr="00BE78CA">
        <w:rPr>
          <w:i/>
        </w:rPr>
        <w:t>Wetlands</w:t>
      </w:r>
      <w:r w:rsidRPr="00BE78CA">
        <w:t xml:space="preserve"> and </w:t>
      </w:r>
      <w:r w:rsidRPr="00BE78CA">
        <w:rPr>
          <w:i/>
        </w:rPr>
        <w:t xml:space="preserve">Grassland with woody biomass </w:t>
      </w:r>
      <w:r w:rsidRPr="00BE78CA">
        <w:t xml:space="preserve">categories, for which producer accuracies were 85 per cent and 60 per cent respectively (Poyry Management Consulting (NZ) Ltd, unpublished). The </w:t>
      </w:r>
      <w:r w:rsidRPr="00BE78CA">
        <w:rPr>
          <w:i/>
        </w:rPr>
        <w:t>Wetlands</w:t>
      </w:r>
      <w:r w:rsidRPr="00BE78CA">
        <w:t xml:space="preserve"> category was slightly under-mapped. This is because vegetated wetland</w:t>
      </w:r>
      <w:r w:rsidRPr="00BE78CA">
        <w:rPr>
          <w:i/>
        </w:rPr>
        <w:t xml:space="preserve"> </w:t>
      </w:r>
      <w:r w:rsidRPr="00BE78CA">
        <w:t>and grassland with woody biomass are sometimes difficult to distinguish in imagery where the extent of flooding varies seasonally. Grassland with woody biomass</w:t>
      </w:r>
      <w:r w:rsidRPr="00BE78CA">
        <w:rPr>
          <w:i/>
        </w:rPr>
        <w:t xml:space="preserve"> </w:t>
      </w:r>
      <w:r w:rsidRPr="00BE78CA">
        <w:t>appears to be more substantially under-mapped, with accuracy assessment operators identifying areas of high and low producing grassland that should have been mapped as grassland with woody biomass. This is also a difficult judgement call, because the boundary between areas of low producing and high producing grassland and grassland with woody biomass can be hard to define and can shift with grazing.</w:t>
      </w:r>
    </w:p>
    <w:p w14:paraId="0FEAF297" w14:textId="77777777" w:rsidR="00333601" w:rsidRPr="00BE78CA" w:rsidRDefault="00333601" w:rsidP="00333601">
      <w:pPr>
        <w:pStyle w:val="Heading3"/>
      </w:pPr>
      <w:bookmarkStart w:id="1490" w:name="_Toc255466308"/>
      <w:bookmarkStart w:id="1491" w:name="_Toc261513115"/>
      <w:bookmarkStart w:id="1492" w:name="_Toc261513728"/>
      <w:bookmarkStart w:id="1493" w:name="_Toc280630238"/>
      <w:bookmarkStart w:id="1494" w:name="_Toc361645367"/>
      <w:r w:rsidRPr="00BE78CA">
        <w:t>6.2.6</w:t>
      </w:r>
      <w:r w:rsidRPr="00BE78CA">
        <w:tab/>
        <w:t>Quality assurance and quality control (QA/QC) and verification</w:t>
      </w:r>
      <w:bookmarkEnd w:id="1490"/>
      <w:bookmarkEnd w:id="1491"/>
      <w:bookmarkEnd w:id="1492"/>
      <w:bookmarkEnd w:id="1493"/>
      <w:bookmarkEnd w:id="1494"/>
    </w:p>
    <w:p w14:paraId="436938C9" w14:textId="77777777" w:rsidR="00333601" w:rsidRPr="00BE78CA" w:rsidRDefault="00333601" w:rsidP="00333601">
      <w:pPr>
        <w:pStyle w:val="BodyText"/>
      </w:pPr>
      <w:r w:rsidRPr="00BE78CA">
        <w:t>Quality-control and quality-assurance procedures have been adopted for all data collection and data analyses, consistent with the 2006 IPCC Guidelines</w:t>
      </w:r>
      <w:r w:rsidRPr="00BE78CA" w:rsidDel="00663F9D">
        <w:t xml:space="preserve"> </w:t>
      </w:r>
      <w:r w:rsidRPr="00BE78CA">
        <w:t>(IPCC, 2006a) and New Zealand’s inventory quality-control and quality-assurance plan. Data quality and data assurance plans are established for each type of data used to determine carbon stock and stock changes, as well as for the mapping of the areal extent and spatial location of land-use changes.</w:t>
      </w:r>
    </w:p>
    <w:p w14:paraId="36B45E1F" w14:textId="77777777" w:rsidR="00333601" w:rsidRPr="00BE78CA" w:rsidRDefault="00333601" w:rsidP="00333601">
      <w:pPr>
        <w:pStyle w:val="BodyText"/>
      </w:pPr>
      <w:r w:rsidRPr="00BE78CA">
        <w:t xml:space="preserve">The 1990, 2008, 2012 and 2016 land use mapping data have been checked to determine the level of consistency in satellite image classification with the requirements set out in </w:t>
      </w:r>
      <w:r w:rsidRPr="00BE78CA">
        <w:rPr>
          <w:i/>
        </w:rPr>
        <w:t>Land Use and Carbon Analysis System: Satellite imagery interpretation guide for land use classes</w:t>
      </w:r>
      <w:r w:rsidRPr="00BE78CA">
        <w:t xml:space="preserve"> (Ministry for the Environment, 2012). </w:t>
      </w:r>
    </w:p>
    <w:p w14:paraId="408BA2B4" w14:textId="77777777" w:rsidR="00333601" w:rsidRPr="00BE78CA" w:rsidRDefault="00333601" w:rsidP="00333601">
      <w:pPr>
        <w:pStyle w:val="BodyText"/>
      </w:pPr>
      <w:r w:rsidRPr="00BE78CA">
        <w:t>The quality-control checks performed on the 1990 and 2008 land use maps included checking approximately 28,000 randomly selected points in areas mapped as forest and grassland with woody biomass. These were evaluated by independent assessors. In this exercise, independent assessors agreed with the original classification 91 per cent of the time. Where there was disagreement, the points were recorded in a register and this was used to plan improvements to the 1990 and 2008 land use maps. These improvements were subsequently completed.</w:t>
      </w:r>
    </w:p>
    <w:p w14:paraId="47EDAC41" w14:textId="77777777" w:rsidR="00333601" w:rsidRPr="00BE78CA" w:rsidRDefault="00333601" w:rsidP="00333601">
      <w:pPr>
        <w:pStyle w:val="BodyText"/>
      </w:pPr>
      <w:r w:rsidRPr="00BE78CA">
        <w:t xml:space="preserve">Two distinct quality-control checks were performed on the 2012 land use map. The first of these checked every polygon where land-use change had occurred from a non-forest land use between 2008 and 2012. The acceptance criterion for this check was that the land use classification had to be correct at both mapping dates at least 90 per cent of the time. This means that the land use both at the start of the land-use change event and at the end of the land-use change event had to be correct. The second quality-control measure was to check the accuracy of destock detection in areas that were in a forest land use at 2008. Sampling for this check was designed to test that at least 90 per cent of the destocking had been detected at the 95 per cent confidence level. Checks were completed on each of the 16 regions of New Zealand individually and all regions passed. During this process, 14,443 points were checked. </w:t>
      </w:r>
    </w:p>
    <w:p w14:paraId="03F623CA" w14:textId="77777777" w:rsidR="00333601" w:rsidRPr="00BE78CA" w:rsidRDefault="00333601" w:rsidP="00333601">
      <w:pPr>
        <w:pStyle w:val="BodyText"/>
      </w:pPr>
      <w:r w:rsidRPr="00BE78CA">
        <w:t>Quality-control checking for the 2016 land use map was carried out region-by-region looking at all areas of expected change (based on mapping targets sent to the mapping supplier) and actual change supplied in the map. Checks were also made for invalid change, for example, a pre-1990 planted forest cannot change to a post-1989 forest. Spatial checks were performed to ensure that the integrity of the map had been maintained. These included checking for gaps and overlaps as well as that the total area of the map had not changed.</w:t>
      </w:r>
    </w:p>
    <w:p w14:paraId="14C7BE9F" w14:textId="77777777" w:rsidR="00333601" w:rsidRPr="00BE78CA" w:rsidRDefault="00333601" w:rsidP="00333601">
      <w:pPr>
        <w:pStyle w:val="BodyText"/>
      </w:pPr>
      <w:r w:rsidRPr="00BE78CA">
        <w:t xml:space="preserve">Each mapping improvement activity carried out on the 1990, 2008, 2012 and 2016 maps has been subjected to quality-assurance checks to ensure accuracy and consistency. </w:t>
      </w:r>
      <w:r w:rsidRPr="00BE78CA">
        <w:lastRenderedPageBreak/>
        <w:t>Quality</w:t>
      </w:r>
      <w:r w:rsidRPr="00BE78CA">
        <w:noBreakHyphen/>
        <w:t>assurance strategies have been tailored to each improvement activity, usually including a combination of random sampling of updated areas and analysis of the changes in land use areas.</w:t>
      </w:r>
    </w:p>
    <w:p w14:paraId="4DE8A31E" w14:textId="77777777" w:rsidR="00333601" w:rsidRPr="00BE78CA" w:rsidRDefault="00333601" w:rsidP="00333601">
      <w:pPr>
        <w:pStyle w:val="BodyText"/>
        <w:spacing w:before="100" w:after="100"/>
      </w:pPr>
      <w:r w:rsidRPr="00BE78CA">
        <w:t xml:space="preserve">The approach used to implement quality-assurance processes is documented in the LUCAS Data Quality Framework (PricewaterhouseCoopers, unpublished). </w:t>
      </w:r>
    </w:p>
    <w:p w14:paraId="70C68911" w14:textId="77777777" w:rsidR="00333601" w:rsidRPr="00BE78CA" w:rsidRDefault="00333601" w:rsidP="00333601">
      <w:pPr>
        <w:pStyle w:val="Heading3"/>
        <w:spacing w:before="280"/>
      </w:pPr>
      <w:bookmarkStart w:id="1495" w:name="_Toc255466309"/>
      <w:bookmarkStart w:id="1496" w:name="_Toc261513116"/>
      <w:bookmarkStart w:id="1497" w:name="_Toc261513729"/>
      <w:bookmarkStart w:id="1498" w:name="_Toc280630239"/>
      <w:bookmarkStart w:id="1499" w:name="_Toc361645368"/>
      <w:r w:rsidRPr="00BE78CA">
        <w:t>6.2.7</w:t>
      </w:r>
      <w:r w:rsidRPr="00BE78CA">
        <w:tab/>
        <w:t>Planned improvements</w:t>
      </w:r>
      <w:bookmarkEnd w:id="1495"/>
      <w:bookmarkEnd w:id="1496"/>
      <w:bookmarkEnd w:id="1497"/>
      <w:bookmarkEnd w:id="1498"/>
      <w:bookmarkEnd w:id="1499"/>
    </w:p>
    <w:p w14:paraId="0B8542D8" w14:textId="77777777" w:rsidR="00333601" w:rsidRPr="00BE78CA" w:rsidRDefault="00333601" w:rsidP="00333601">
      <w:pPr>
        <w:pStyle w:val="BodyText"/>
      </w:pPr>
      <w:r w:rsidRPr="00BE78CA">
        <w:t>The following mapping improvements will be undertaken:</w:t>
      </w:r>
    </w:p>
    <w:p w14:paraId="12622114" w14:textId="516D0E90" w:rsidR="00333601" w:rsidRPr="00BE78CA" w:rsidRDefault="00333601" w:rsidP="00FA2314">
      <w:pPr>
        <w:pStyle w:val="Bullet"/>
        <w:numPr>
          <w:ilvl w:val="0"/>
          <w:numId w:val="25"/>
        </w:numPr>
      </w:pPr>
      <w:r w:rsidRPr="00BE78CA">
        <w:t>during the first half of 2020, an aerial deforestation survey was undertaken to complete mapping of deforestation for forest loss events occurring in 2017 and 2018. This mapped area will replace the deforestation estimates for those years that are included in this</w:t>
      </w:r>
      <w:r w:rsidR="0005561F" w:rsidRPr="00BE78CA">
        <w:t xml:space="preserve"> </w:t>
      </w:r>
      <w:r w:rsidRPr="00BE78CA">
        <w:t>inventory. The results of this survey were not available at the time of the Inventory preparation</w:t>
      </w:r>
    </w:p>
    <w:p w14:paraId="599BB01D" w14:textId="0C9C1C66" w:rsidR="00333601" w:rsidRPr="00BE78CA" w:rsidRDefault="00333601" w:rsidP="00FA2314">
      <w:pPr>
        <w:pStyle w:val="Bullet"/>
        <w:numPr>
          <w:ilvl w:val="0"/>
          <w:numId w:val="25"/>
        </w:numPr>
      </w:pPr>
      <w:r w:rsidRPr="00BE78CA">
        <w:t>the Land Use Map (LUM) schema will be modernised to permit mapping land</w:t>
      </w:r>
      <w:r w:rsidR="005E62DA" w:rsidRPr="00BE78CA">
        <w:t>-</w:t>
      </w:r>
      <w:r w:rsidRPr="00BE78CA">
        <w:t>use change beyond the last nominal mapping date</w:t>
      </w:r>
    </w:p>
    <w:p w14:paraId="44C03D0C" w14:textId="77777777" w:rsidR="00333601" w:rsidRPr="00BE78CA" w:rsidRDefault="00333601" w:rsidP="00FA2314">
      <w:pPr>
        <w:pStyle w:val="Bullet"/>
        <w:numPr>
          <w:ilvl w:val="0"/>
          <w:numId w:val="25"/>
        </w:numPr>
      </w:pPr>
      <w:r w:rsidRPr="00BE78CA">
        <w:t>early in 2021, plans will start to be made for the production of the next wall-to-wall map to be added to the time series. This map is likely to be based on Sentinel-2 imagery acquired over the summer of 2020/21.</w:t>
      </w:r>
    </w:p>
    <w:p w14:paraId="1DF2E082" w14:textId="77777777" w:rsidR="00333601" w:rsidRPr="00BE78CA" w:rsidRDefault="00333601" w:rsidP="00333601">
      <w:pPr>
        <w:pStyle w:val="Heading2"/>
        <w:spacing w:before="320"/>
      </w:pPr>
      <w:bookmarkStart w:id="1500" w:name="_Toc361644862"/>
      <w:bookmarkStart w:id="1501" w:name="_Toc391024699"/>
      <w:bookmarkStart w:id="1502" w:name="_Toc414531316"/>
      <w:bookmarkStart w:id="1503" w:name="_Toc474335458"/>
      <w:bookmarkStart w:id="1504" w:name="_Toc481751398"/>
      <w:bookmarkStart w:id="1505" w:name="_Toc522013950"/>
      <w:bookmarkStart w:id="1506" w:name="_Toc5269375"/>
      <w:bookmarkStart w:id="1507" w:name="_Toc36224415"/>
      <w:bookmarkStart w:id="1508" w:name="_Toc68786335"/>
      <w:r w:rsidRPr="00BE78CA">
        <w:t>6.3</w:t>
      </w:r>
      <w:r w:rsidRPr="00BE78CA">
        <w:tab/>
        <w:t>Soils</w:t>
      </w:r>
      <w:bookmarkEnd w:id="1500"/>
      <w:bookmarkEnd w:id="1501"/>
      <w:bookmarkEnd w:id="1502"/>
      <w:bookmarkEnd w:id="1503"/>
      <w:bookmarkEnd w:id="1504"/>
      <w:bookmarkEnd w:id="1505"/>
      <w:bookmarkEnd w:id="1506"/>
      <w:bookmarkEnd w:id="1507"/>
      <w:bookmarkEnd w:id="1508"/>
    </w:p>
    <w:p w14:paraId="099BAB54" w14:textId="77777777" w:rsidR="00333601" w:rsidRPr="00BE78CA" w:rsidRDefault="00333601" w:rsidP="00333601">
      <w:pPr>
        <w:pStyle w:val="BodyText"/>
        <w:spacing w:after="100"/>
      </w:pPr>
      <w:r w:rsidRPr="00BE78CA">
        <w:t>In this submission, New Zealand uses a Tier 2 method to estimate soil carbon changes in mineral soils and follows the Tier 1 approach for organic soils.</w:t>
      </w:r>
    </w:p>
    <w:p w14:paraId="34086FA9" w14:textId="77777777" w:rsidR="00333601" w:rsidRPr="00BE78CA" w:rsidRDefault="00333601" w:rsidP="00333601">
      <w:pPr>
        <w:pStyle w:val="Heading3"/>
        <w:spacing w:before="280"/>
      </w:pPr>
      <w:bookmarkStart w:id="1509" w:name="_Toc280630210"/>
      <w:r w:rsidRPr="00BE78CA">
        <w:t>6.3.1</w:t>
      </w:r>
      <w:r w:rsidRPr="00BE78CA">
        <w:tab/>
        <w:t>Mineral soils</w:t>
      </w:r>
      <w:bookmarkEnd w:id="1509"/>
    </w:p>
    <w:p w14:paraId="42B07E6F" w14:textId="77777777" w:rsidR="00333601" w:rsidRPr="00BE78CA" w:rsidRDefault="00333601" w:rsidP="00333601">
      <w:pPr>
        <w:pStyle w:val="BodyText"/>
        <w:spacing w:after="60"/>
      </w:pPr>
      <w:r w:rsidRPr="00BE78CA">
        <w:t>New Zealand’s Tier 2 method for mineral soils involves estimating steady state soil organic carbon (SOC) stocks for each land use based on New Zealand soil data (described in more detail below). Changes in SOC stocks associated with land-use change are calculated according to the IPCC default method (IPCC, 2006a) using the equation:</w:t>
      </w:r>
    </w:p>
    <w:p w14:paraId="07EF5294" w14:textId="77777777" w:rsidR="00333601" w:rsidRPr="00BE78CA" w:rsidRDefault="00333601" w:rsidP="00333601">
      <w:pPr>
        <w:pStyle w:val="BodyText"/>
        <w:jc w:val="center"/>
        <w:rPr>
          <w:rFonts w:ascii="Cambria Math" w:hAnsi="Cambria Math" w:cs="Calibri"/>
          <w:i/>
        </w:rPr>
      </w:pPr>
      <w:r w:rsidRPr="00BE78CA">
        <w:rPr>
          <w:rFonts w:ascii="Cambria Math" w:hAnsi="Cambria Math" w:cs="Calibri"/>
          <w:sz w:val="24"/>
          <w:szCs w:val="24"/>
        </w:rPr>
        <w:t>∆</w:t>
      </w:r>
      <w:r w:rsidRPr="00BE78CA">
        <w:rPr>
          <w:rFonts w:ascii="Cambria Math" w:hAnsi="Cambria Math" w:cs="Calibri"/>
          <w:i/>
          <w:sz w:val="24"/>
          <w:szCs w:val="24"/>
        </w:rPr>
        <w:t>C</w:t>
      </w:r>
      <w:r w:rsidRPr="00BE78CA">
        <w:rPr>
          <w:rFonts w:ascii="Cambria Math" w:hAnsi="Cambria Math" w:cs="Calibri"/>
          <w:sz w:val="24"/>
          <w:szCs w:val="24"/>
        </w:rPr>
        <w:t xml:space="preserve"> = [(SOC</w:t>
      </w:r>
      <w:r w:rsidRPr="00BE78CA">
        <w:rPr>
          <w:rFonts w:ascii="Cambria Math" w:hAnsi="Cambria Math" w:cs="Calibri"/>
          <w:sz w:val="24"/>
          <w:szCs w:val="24"/>
          <w:vertAlign w:val="subscript"/>
        </w:rPr>
        <w:t xml:space="preserve">0 </w:t>
      </w:r>
      <w:r w:rsidRPr="00BE78CA">
        <w:rPr>
          <w:rFonts w:ascii="Cambria Math" w:hAnsi="Cambria Math" w:cs="Calibri"/>
          <w:sz w:val="24"/>
          <w:szCs w:val="24"/>
        </w:rPr>
        <w:t>– SOC</w:t>
      </w:r>
      <w:r w:rsidRPr="00BE78CA">
        <w:rPr>
          <w:rFonts w:ascii="Cambria Math" w:hAnsi="Cambria Math" w:cs="Calibri"/>
          <w:sz w:val="24"/>
          <w:szCs w:val="24"/>
          <w:vertAlign w:val="subscript"/>
        </w:rPr>
        <w:t>(0-T)</w:t>
      </w:r>
      <w:r w:rsidRPr="00BE78CA">
        <w:rPr>
          <w:rFonts w:ascii="Cambria Math" w:hAnsi="Cambria Math" w:cs="Calibri"/>
          <w:sz w:val="24"/>
          <w:szCs w:val="24"/>
        </w:rPr>
        <w:t xml:space="preserve">)/20] </w:t>
      </w:r>
      <w:r w:rsidRPr="00BE78CA">
        <w:rPr>
          <w:rFonts w:ascii="Cambria Math" w:hAnsi="Cambria Math" w:cs="Calibri"/>
          <w:i/>
          <w:sz w:val="24"/>
          <w:szCs w:val="24"/>
        </w:rPr>
        <w:t>×</w:t>
      </w:r>
      <w:r w:rsidRPr="00BE78CA">
        <w:rPr>
          <w:rFonts w:ascii="Cambria Math" w:hAnsi="Cambria Math" w:cs="Calibri"/>
          <w:sz w:val="24"/>
          <w:szCs w:val="24"/>
        </w:rPr>
        <w:t xml:space="preserve"> </w:t>
      </w:r>
      <w:r w:rsidRPr="00BE78CA">
        <w:rPr>
          <w:rFonts w:ascii="Cambria Math" w:hAnsi="Cambria Math" w:cs="Calibri"/>
          <w:i/>
          <w:sz w:val="24"/>
          <w:szCs w:val="24"/>
        </w:rPr>
        <w:t>A</w:t>
      </w:r>
      <w:r w:rsidRPr="00BE78CA">
        <w:rPr>
          <w:rFonts w:ascii="Cambria Math" w:hAnsi="Cambria Math" w:cs="Calibri"/>
        </w:rPr>
        <w:t xml:space="preserve"> </w:t>
      </w:r>
      <w:r w:rsidRPr="00BE78CA">
        <w:rPr>
          <w:rFonts w:ascii="Cambria Math" w:hAnsi="Cambria Math" w:cs="Calibri"/>
        </w:rPr>
        <w:tab/>
      </w:r>
      <w:r w:rsidRPr="00BE78CA">
        <w:rPr>
          <w:rFonts w:cs="Calibri"/>
          <w:i/>
        </w:rPr>
        <w:t>(3)</w:t>
      </w:r>
    </w:p>
    <w:p w14:paraId="033F9A9C" w14:textId="77777777" w:rsidR="00333601" w:rsidRPr="00BE78CA" w:rsidRDefault="00333601" w:rsidP="00333601">
      <w:pPr>
        <w:pStyle w:val="BodyText"/>
        <w:spacing w:after="0"/>
        <w:ind w:left="964" w:hanging="964"/>
      </w:pPr>
      <w:r w:rsidRPr="00BE78CA">
        <w:t xml:space="preserve">Where: </w:t>
      </w:r>
      <w:r w:rsidRPr="00BE78CA">
        <w:tab/>
        <w:t>∆</w:t>
      </w:r>
      <w:r w:rsidRPr="00BE78CA">
        <w:rPr>
          <w:i/>
        </w:rPr>
        <w:t>C</w:t>
      </w:r>
      <w:r w:rsidRPr="00BE78CA">
        <w:t xml:space="preserve"> = change in carbon stocks (tonnes)</w:t>
      </w:r>
    </w:p>
    <w:p w14:paraId="3A1B17E8" w14:textId="77777777" w:rsidR="00333601" w:rsidRPr="00BE78CA" w:rsidRDefault="00333601" w:rsidP="00333601">
      <w:pPr>
        <w:pStyle w:val="BodyText"/>
        <w:spacing w:before="100" w:after="0"/>
        <w:ind w:left="964" w:hanging="964"/>
      </w:pPr>
      <w:r w:rsidRPr="00BE78CA">
        <w:tab/>
        <w:t>SOC</w:t>
      </w:r>
      <w:r w:rsidRPr="00BE78CA">
        <w:rPr>
          <w:vertAlign w:val="subscript"/>
        </w:rPr>
        <w:t xml:space="preserve">0 </w:t>
      </w:r>
      <w:r w:rsidRPr="00BE78CA">
        <w:t>= stable SOC stock in the inventory year (tonnes C ha</w:t>
      </w:r>
      <w:r w:rsidRPr="00BE78CA">
        <w:rPr>
          <w:vertAlign w:val="superscript"/>
        </w:rPr>
        <w:t>–1</w:t>
      </w:r>
      <w:r w:rsidRPr="00BE78CA">
        <w:t>)</w:t>
      </w:r>
    </w:p>
    <w:p w14:paraId="3C70F2D4" w14:textId="77777777" w:rsidR="00333601" w:rsidRPr="00BE78CA" w:rsidRDefault="00333601" w:rsidP="00333601">
      <w:pPr>
        <w:pStyle w:val="BodyText"/>
        <w:spacing w:before="100" w:after="0"/>
        <w:ind w:left="964" w:hanging="964"/>
      </w:pPr>
      <w:r w:rsidRPr="00BE78CA">
        <w:tab/>
        <w:t>SOC</w:t>
      </w:r>
      <w:r w:rsidRPr="00BE78CA">
        <w:rPr>
          <w:vertAlign w:val="subscript"/>
        </w:rPr>
        <w:t xml:space="preserve">(0-T) </w:t>
      </w:r>
      <w:r w:rsidRPr="00BE78CA">
        <w:t>= stable SOC stock T years prior to the inventory year (tonnes C ha</w:t>
      </w:r>
      <w:r w:rsidRPr="00BE78CA">
        <w:rPr>
          <w:vertAlign w:val="superscript"/>
        </w:rPr>
        <w:t>–1</w:t>
      </w:r>
      <w:r w:rsidRPr="00BE78CA">
        <w:t>)</w:t>
      </w:r>
    </w:p>
    <w:p w14:paraId="54208DCD" w14:textId="77777777" w:rsidR="00333601" w:rsidRPr="00BE78CA" w:rsidRDefault="00333601" w:rsidP="00333601">
      <w:pPr>
        <w:pStyle w:val="BodyText"/>
        <w:spacing w:before="100" w:after="0"/>
        <w:ind w:left="964" w:hanging="964"/>
      </w:pPr>
      <w:r w:rsidRPr="00BE78CA">
        <w:tab/>
      </w:r>
      <w:r w:rsidRPr="00BE78CA">
        <w:rPr>
          <w:i/>
        </w:rPr>
        <w:t>A</w:t>
      </w:r>
      <w:r w:rsidRPr="00BE78CA">
        <w:t xml:space="preserve"> = land area of parcels with these SOC terms (hectares)</w:t>
      </w:r>
    </w:p>
    <w:p w14:paraId="7FECC2B1" w14:textId="77777777" w:rsidR="00333601" w:rsidRPr="00BE78CA" w:rsidRDefault="00333601" w:rsidP="00333601">
      <w:pPr>
        <w:pStyle w:val="BodyText"/>
        <w:ind w:left="964" w:hanging="964"/>
      </w:pPr>
      <w:r w:rsidRPr="00BE78CA">
        <w:tab/>
        <w:t>20 = default SOC stock transition period (year).</w:t>
      </w:r>
    </w:p>
    <w:p w14:paraId="38F5FC9C" w14:textId="77777777" w:rsidR="00333601" w:rsidRPr="00BE78CA" w:rsidRDefault="00333601" w:rsidP="00333601">
      <w:pPr>
        <w:pStyle w:val="BodyText"/>
      </w:pPr>
      <w:r w:rsidRPr="00BE78CA">
        <w:t>The SOC stock for each land use is characterised with country-specific data via the Soil Carbon Monitoring System (Soil CMS) model (McNeill and Barringer, unpublished; McNeill et al., unpublished</w:t>
      </w:r>
      <w:r w:rsidRPr="00BE78CA">
        <w:rPr>
          <w:b/>
        </w:rPr>
        <w:t>)</w:t>
      </w:r>
      <w:r w:rsidRPr="00BE78CA">
        <w:t xml:space="preserve">. The correct operation of the Soil CMS model involves fitting the model to the soil carbon data set and then using the coefficients for the different land use categories for each land use transition (equation 3). The interpretation of the different land use effects is informed by multi-comparison significance. </w:t>
      </w:r>
    </w:p>
    <w:p w14:paraId="4FE8AD56" w14:textId="77777777" w:rsidR="00333601" w:rsidRPr="00BE78CA" w:rsidRDefault="00333601" w:rsidP="00333601">
      <w:pPr>
        <w:pStyle w:val="Heading5"/>
      </w:pPr>
      <w:r w:rsidRPr="00BE78CA">
        <w:lastRenderedPageBreak/>
        <w:t>Characterising soil organic carbon stocks: New Zealand’s Soil Carbon Monitoring System</w:t>
      </w:r>
    </w:p>
    <w:p w14:paraId="2C4E8CB7" w14:textId="6751EF7F" w:rsidR="00333601" w:rsidRPr="00BE78CA" w:rsidRDefault="00333601" w:rsidP="007A56FC">
      <w:pPr>
        <w:pStyle w:val="BodyText"/>
        <w:spacing w:before="100" w:after="100"/>
      </w:pPr>
      <w:r w:rsidRPr="00BE78CA">
        <w:t>Unbiased estimates of SOC stocks associated with each land use in New Zealand are calculated by using country-specific data in the Soil CMS model. The operation of the Soil CMS model involves applying a linear statistical model to predict SOC stocks from land use, climate and soil</w:t>
      </w:r>
      <w:r w:rsidR="007A56FC" w:rsidRPr="00BE78CA">
        <w:t> </w:t>
      </w:r>
      <w:r w:rsidRPr="00BE78CA">
        <w:t xml:space="preserve">order that, together, regulate net SOC storage. The model also includes an additional environmental factor consisting of the product of slope and rainfall (hereafter, slope </w:t>
      </w:r>
      <w:r w:rsidRPr="00BE78CA">
        <w:rPr>
          <w:i/>
          <w:sz w:val="18"/>
        </w:rPr>
        <w:t>×</w:t>
      </w:r>
      <w:r w:rsidRPr="00BE78CA">
        <w:t xml:space="preserve"> rainfall) – a term used as a proxy for erosivity, the potential for surface soil erosion to occur (Giltrap et al., unpublished). This allows for the explanatory effect of the land use category on SOC stocks to be isolated from other factors that affect SOC.</w:t>
      </w:r>
    </w:p>
    <w:p w14:paraId="5C792577" w14:textId="77777777" w:rsidR="00333601" w:rsidRPr="00BE78CA" w:rsidRDefault="00333601" w:rsidP="007A56FC">
      <w:pPr>
        <w:pStyle w:val="BodyText"/>
        <w:spacing w:before="100" w:after="100"/>
      </w:pPr>
      <w:r w:rsidRPr="00BE78CA">
        <w:t>Two key assumptions underpin the operation of the Soil CMS model: first, the SOC values in the sample data set represent equilibrium SOC values for each stratified soil, climate and land use cell, and erosivity index; and, second, changes in land use are the key drivers of change in SOC at the decadal scale, while all other changes due to soil type, climate or erosivity are assumed to be constant (McNeill et al., 2014). The model allows for an explanatory effect by land use category, so that estimates grouped by land use are unbiased where a specific land use category has an effect significantly different from the pooled soil carbon value from all land use categories. Where land use category is a significant explanatory variable of SOC, incorporating land use in the model reduces the overall residual standard error associated with soil carbon</w:t>
      </w:r>
      <w:r w:rsidRPr="00BE78CA" w:rsidDel="00C55BF0">
        <w:t xml:space="preserve"> </w:t>
      </w:r>
      <w:r w:rsidRPr="00BE78CA">
        <w:t>(McNeill and Barringer, unpublished).</w:t>
      </w:r>
    </w:p>
    <w:p w14:paraId="2E9F3008" w14:textId="77777777" w:rsidR="00333601" w:rsidRPr="00BE78CA" w:rsidRDefault="00333601" w:rsidP="007A56FC">
      <w:pPr>
        <w:pStyle w:val="Heading5"/>
        <w:spacing w:before="200"/>
      </w:pPr>
      <w:r w:rsidRPr="00BE78CA">
        <w:t>Soil carbon linear parametric model</w:t>
      </w:r>
    </w:p>
    <w:p w14:paraId="2C0268AB" w14:textId="77777777" w:rsidR="00333601" w:rsidRPr="00BE78CA" w:rsidRDefault="00333601" w:rsidP="007A56FC">
      <w:pPr>
        <w:pStyle w:val="BodyText"/>
        <w:spacing w:before="100" w:after="100"/>
      </w:pPr>
      <w:r w:rsidRPr="00BE78CA">
        <w:t>The generalised least squares model used for the Soil CMS is a minimum variance unbiased estimator (Draper and Smith, 1998). This approach is consistent with the physically based soil carbon model outlined in the literature (Baisden et al., unpublished(b); Kirschbaum et al., unpublished; Scott et al., 2002; Tate et al., 2005).</w:t>
      </w:r>
    </w:p>
    <w:p w14:paraId="73761FB7" w14:textId="77777777" w:rsidR="00333601" w:rsidRPr="00BE78CA" w:rsidRDefault="00333601" w:rsidP="007A56FC">
      <w:pPr>
        <w:pStyle w:val="BodyText"/>
        <w:spacing w:before="100" w:after="100"/>
      </w:pPr>
      <w:r w:rsidRPr="00BE78CA">
        <w:rPr>
          <w:rFonts w:eastAsia="Calibri"/>
        </w:rPr>
        <w:t xml:space="preserve">The </w:t>
      </w:r>
      <w:r w:rsidRPr="00BE78CA">
        <w:t>generalised least squares</w:t>
      </w:r>
      <w:r w:rsidRPr="00BE78CA">
        <w:rPr>
          <w:rFonts w:eastAsia="Calibri"/>
        </w:rPr>
        <w:t xml:space="preserve"> regression model for soil carbon in the 0–30-centimetre layer uses explanatory variables of the soil–climate factor, the land use category and slope </w:t>
      </w:r>
      <w:r w:rsidRPr="00BE78CA">
        <w:rPr>
          <w:rFonts w:eastAsia="Calibri"/>
          <w:i/>
          <w:sz w:val="18"/>
        </w:rPr>
        <w:t>×</w:t>
      </w:r>
      <w:r w:rsidRPr="00BE78CA">
        <w:rPr>
          <w:rFonts w:eastAsia="Calibri"/>
        </w:rPr>
        <w:t xml:space="preserve"> rainfall. This model is represented as an equation for the soil carbon </w:t>
      </w:r>
      <m:oMath>
        <m:sSubSup>
          <m:sSubSupPr>
            <m:ctrlPr>
              <w:rPr>
                <w:rFonts w:ascii="Cambria Math" w:eastAsia="Calibri" w:hAnsi="Cambria Math"/>
                <w:i/>
              </w:rPr>
            </m:ctrlPr>
          </m:sSubSupPr>
          <m:e>
            <m:r>
              <w:rPr>
                <w:rFonts w:ascii="Cambria Math" w:eastAsia="Calibri" w:hAnsi="Cambria Math"/>
              </w:rPr>
              <m:t>C</m:t>
            </m:r>
          </m:e>
          <m:sub>
            <m:r>
              <w:rPr>
                <w:rFonts w:ascii="Cambria Math" w:eastAsia="Calibri" w:hAnsi="Cambria Math"/>
              </w:rPr>
              <m:t>i,j</m:t>
            </m:r>
          </m:sub>
          <m:sup>
            <m:r>
              <w:rPr>
                <w:rFonts w:ascii="Cambria Math" w:eastAsia="Calibri" w:hAnsi="Cambria Math"/>
              </w:rPr>
              <m:t>0-30cm</m:t>
            </m:r>
          </m:sup>
        </m:sSubSup>
      </m:oMath>
      <w:r w:rsidRPr="00BE78CA">
        <w:t xml:space="preserve"> </w:t>
      </w:r>
      <w:r w:rsidRPr="00BE78CA">
        <w:rPr>
          <w:rFonts w:eastAsia="Calibri"/>
        </w:rPr>
        <w:t xml:space="preserve">in land use category </w:t>
      </w:r>
      <w:r w:rsidRPr="00BE78CA">
        <w:rPr>
          <w:rFonts w:eastAsia="Calibri"/>
          <w:i/>
        </w:rPr>
        <w:t>i</w:t>
      </w:r>
      <w:r w:rsidRPr="00BE78CA">
        <w:rPr>
          <w:rFonts w:eastAsia="Calibri"/>
        </w:rPr>
        <w:t xml:space="preserve"> and soil–climate class </w:t>
      </w:r>
      <w:r w:rsidRPr="00BE78CA">
        <w:rPr>
          <w:rFonts w:eastAsia="Calibri"/>
          <w:i/>
        </w:rPr>
        <w:t>j</w:t>
      </w:r>
      <w:r w:rsidRPr="00BE78CA">
        <w:rPr>
          <w:rFonts w:eastAsia="Calibri"/>
        </w:rPr>
        <w:t xml:space="preserve"> as:</w:t>
      </w:r>
    </w:p>
    <w:tbl>
      <w:tblPr>
        <w:tblW w:w="7655" w:type="dxa"/>
        <w:tblInd w:w="199" w:type="dxa"/>
        <w:tblLook w:val="04A0" w:firstRow="1" w:lastRow="0" w:firstColumn="1" w:lastColumn="0" w:noHBand="0" w:noVBand="1"/>
      </w:tblPr>
      <w:tblGrid>
        <w:gridCol w:w="648"/>
        <w:gridCol w:w="6015"/>
        <w:gridCol w:w="992"/>
      </w:tblGrid>
      <w:tr w:rsidR="00333601" w:rsidRPr="00BE78CA" w14:paraId="5B5014CB" w14:textId="77777777" w:rsidTr="00C26084">
        <w:tc>
          <w:tcPr>
            <w:tcW w:w="423" w:type="pct"/>
            <w:shd w:val="clear" w:color="auto" w:fill="auto"/>
            <w:tcMar>
              <w:top w:w="57" w:type="dxa"/>
              <w:left w:w="57" w:type="dxa"/>
              <w:bottom w:w="57" w:type="dxa"/>
              <w:right w:w="57" w:type="dxa"/>
            </w:tcMar>
          </w:tcPr>
          <w:p w14:paraId="15ABA725" w14:textId="77777777" w:rsidR="00333601" w:rsidRPr="00BE78CA" w:rsidRDefault="00333601" w:rsidP="007C7B31">
            <w:pPr>
              <w:pStyle w:val="BodyText"/>
              <w:spacing w:before="100" w:after="100"/>
              <w:rPr>
                <w:rFonts w:eastAsia="Calibri"/>
              </w:rPr>
            </w:pPr>
          </w:p>
        </w:tc>
        <w:tc>
          <w:tcPr>
            <w:tcW w:w="3929" w:type="pct"/>
            <w:shd w:val="clear" w:color="auto" w:fill="auto"/>
            <w:tcMar>
              <w:top w:w="57" w:type="dxa"/>
              <w:left w:w="57" w:type="dxa"/>
              <w:bottom w:w="57" w:type="dxa"/>
              <w:right w:w="57" w:type="dxa"/>
            </w:tcMar>
          </w:tcPr>
          <w:p w14:paraId="7537ED10" w14:textId="77777777" w:rsidR="00333601" w:rsidRPr="00BE78CA" w:rsidRDefault="00087879" w:rsidP="007C7B31">
            <w:pPr>
              <w:pStyle w:val="BodyText"/>
              <w:spacing w:before="100" w:after="100"/>
              <w:jc w:val="center"/>
              <w:rPr>
                <w:rFonts w:eastAsia="Calibri" w:cs="Calibri"/>
                <w:i/>
                <w:sz w:val="24"/>
                <w:szCs w:val="24"/>
              </w:rPr>
            </w:pPr>
            <m:oMathPara>
              <m:oMath>
                <m:sSubSup>
                  <m:sSubSupPr>
                    <m:ctrlPr>
                      <w:rPr>
                        <w:rFonts w:ascii="Cambria Math" w:eastAsia="Calibri" w:hAnsi="Cambria Math" w:cs="Calibri"/>
                        <w:i/>
                        <w:sz w:val="24"/>
                        <w:szCs w:val="24"/>
                      </w:rPr>
                    </m:ctrlPr>
                  </m:sSubSupPr>
                  <m:e>
                    <m:r>
                      <w:rPr>
                        <w:rFonts w:ascii="Cambria Math" w:eastAsia="Calibri" w:hAnsi="Cambria Math" w:cs="Calibri"/>
                        <w:sz w:val="24"/>
                        <w:szCs w:val="24"/>
                      </w:rPr>
                      <m:t>C</m:t>
                    </m:r>
                  </m:e>
                  <m:sub>
                    <m:r>
                      <w:rPr>
                        <w:rFonts w:ascii="Cambria Math" w:eastAsia="Calibri" w:hAnsi="Cambria Math" w:cs="Calibri"/>
                        <w:sz w:val="24"/>
                        <w:szCs w:val="24"/>
                      </w:rPr>
                      <m:t>i,j</m:t>
                    </m:r>
                  </m:sub>
                  <m:sup>
                    <m:r>
                      <w:rPr>
                        <w:rFonts w:ascii="Cambria Math" w:eastAsia="Calibri" w:hAnsi="Cambria Math" w:cs="Calibri"/>
                        <w:sz w:val="24"/>
                        <w:szCs w:val="24"/>
                      </w:rPr>
                      <m:t>0-30</m:t>
                    </m:r>
                    <m:r>
                      <m:rPr>
                        <m:sty m:val="p"/>
                      </m:rPr>
                      <w:rPr>
                        <w:rFonts w:ascii="Cambria Math" w:eastAsia="Calibri" w:hAnsi="Cambria Math" w:cs="Calibri"/>
                        <w:sz w:val="24"/>
                        <w:szCs w:val="24"/>
                      </w:rPr>
                      <m:t>cm</m:t>
                    </m:r>
                  </m:sup>
                </m:sSubSup>
                <m:r>
                  <w:rPr>
                    <w:rFonts w:ascii="Cambria Math" w:eastAsia="Calibri" w:hAnsi="Cambria Math" w:cs="Calibri"/>
                    <w:sz w:val="24"/>
                    <w:szCs w:val="24"/>
                  </w:rPr>
                  <m:t>=M+</m:t>
                </m:r>
                <m:sSub>
                  <m:sSubPr>
                    <m:ctrlPr>
                      <w:rPr>
                        <w:rFonts w:ascii="Cambria Math" w:eastAsia="Calibri" w:hAnsi="Cambria Math" w:cs="Calibri"/>
                        <w:i/>
                        <w:sz w:val="24"/>
                        <w:szCs w:val="24"/>
                      </w:rPr>
                    </m:ctrlPr>
                  </m:sSubPr>
                  <m:e>
                    <m:r>
                      <w:rPr>
                        <w:rFonts w:ascii="Cambria Math" w:eastAsia="Calibri" w:hAnsi="Cambria Math" w:cs="Calibri"/>
                        <w:sz w:val="24"/>
                        <w:szCs w:val="24"/>
                      </w:rPr>
                      <m:t>L</m:t>
                    </m:r>
                  </m:e>
                  <m:sub>
                    <m:r>
                      <w:rPr>
                        <w:rFonts w:ascii="Cambria Math" w:eastAsia="Calibri" w:hAnsi="Cambria Math" w:cs="Calibri"/>
                        <w:sz w:val="24"/>
                        <w:szCs w:val="24"/>
                      </w:rPr>
                      <m:t>i</m:t>
                    </m:r>
                  </m:sub>
                </m:sSub>
                <m:r>
                  <w:rPr>
                    <w:rFonts w:ascii="Cambria Math" w:eastAsia="Calibri" w:hAnsi="Cambria Math" w:cs="Calibri"/>
                    <w:sz w:val="24"/>
                    <w:szCs w:val="24"/>
                  </w:rPr>
                  <m:t>+</m:t>
                </m:r>
                <m:sSub>
                  <m:sSubPr>
                    <m:ctrlPr>
                      <w:rPr>
                        <w:rFonts w:ascii="Cambria Math" w:eastAsia="Calibri" w:hAnsi="Cambria Math" w:cs="Calibri"/>
                        <w:i/>
                        <w:sz w:val="24"/>
                        <w:szCs w:val="24"/>
                      </w:rPr>
                    </m:ctrlPr>
                  </m:sSubPr>
                  <m:e>
                    <m:r>
                      <w:rPr>
                        <w:rFonts w:ascii="Cambria Math" w:eastAsia="Calibri" w:hAnsi="Cambria Math" w:cs="Calibri"/>
                        <w:sz w:val="24"/>
                        <w:szCs w:val="24"/>
                      </w:rPr>
                      <m:t>S</m:t>
                    </m:r>
                  </m:e>
                  <m:sub>
                    <m:r>
                      <w:rPr>
                        <w:rFonts w:ascii="Cambria Math" w:eastAsia="Calibri" w:hAnsi="Cambria Math" w:cs="Calibri"/>
                        <w:sz w:val="24"/>
                        <w:szCs w:val="24"/>
                      </w:rPr>
                      <m:t>j</m:t>
                    </m:r>
                  </m:sub>
                </m:sSub>
                <m:r>
                  <w:rPr>
                    <w:rFonts w:ascii="Cambria Math" w:eastAsia="Calibri" w:hAnsi="Cambria Math" w:cs="Calibri"/>
                    <w:sz w:val="24"/>
                    <w:szCs w:val="24"/>
                  </w:rPr>
                  <m:t>+b.SR+ε</m:t>
                </m:r>
              </m:oMath>
            </m:oMathPara>
          </w:p>
        </w:tc>
        <w:tc>
          <w:tcPr>
            <w:tcW w:w="648" w:type="pct"/>
            <w:shd w:val="clear" w:color="auto" w:fill="auto"/>
            <w:tcMar>
              <w:top w:w="57" w:type="dxa"/>
              <w:left w:w="57" w:type="dxa"/>
              <w:bottom w:w="57" w:type="dxa"/>
              <w:right w:w="57" w:type="dxa"/>
            </w:tcMar>
            <w:vAlign w:val="center"/>
          </w:tcPr>
          <w:p w14:paraId="7D8E689C" w14:textId="77777777" w:rsidR="00333601" w:rsidRPr="00BE78CA" w:rsidRDefault="00333601" w:rsidP="007C7B31">
            <w:pPr>
              <w:pStyle w:val="BodyText"/>
              <w:spacing w:before="100" w:after="100"/>
              <w:rPr>
                <w:rFonts w:eastAsia="Calibri" w:cs="Calibri"/>
                <w:i/>
              </w:rPr>
            </w:pPr>
            <w:r w:rsidRPr="00BE78CA">
              <w:rPr>
                <w:rFonts w:eastAsia="Calibri" w:cs="Calibri"/>
                <w:i/>
              </w:rPr>
              <w:t>(4)</w:t>
            </w:r>
          </w:p>
        </w:tc>
      </w:tr>
    </w:tbl>
    <w:p w14:paraId="2A3A8DC8" w14:textId="77777777" w:rsidR="00333601" w:rsidRPr="00BE78CA" w:rsidRDefault="00333601" w:rsidP="00333601">
      <w:pPr>
        <w:pStyle w:val="BodyText"/>
        <w:spacing w:after="0" w:line="240" w:lineRule="atLeast"/>
        <w:ind w:left="851" w:hanging="851"/>
        <w:rPr>
          <w:rFonts w:eastAsia="Calibri"/>
        </w:rPr>
      </w:pPr>
      <w:r w:rsidRPr="00BE78CA">
        <w:rPr>
          <w:rFonts w:eastAsia="Calibri"/>
        </w:rPr>
        <w:t>Where:</w:t>
      </w:r>
      <w:r w:rsidRPr="00BE78CA">
        <w:rPr>
          <w:rFonts w:eastAsia="Calibri"/>
        </w:rPr>
        <w:tab/>
      </w:r>
      <w:r w:rsidRPr="00BE78CA">
        <w:rPr>
          <w:rFonts w:eastAsia="Calibri"/>
          <w:i/>
        </w:rPr>
        <w:t>M</w:t>
      </w:r>
      <w:r w:rsidRPr="00BE78CA">
        <w:rPr>
          <w:rFonts w:eastAsia="Calibri"/>
        </w:rPr>
        <w:t xml:space="preserve"> = </w:t>
      </w:r>
      <w:r w:rsidRPr="00BE78CA">
        <w:t>the mean soil carbon in the 0–30-centimetre layer for the combination of the reference level of land use (low producing grassland), the reference level for soil climate (MstTempHAC, i.e., ‘moist temperate high activity clay’), and level ground</w:t>
      </w:r>
    </w:p>
    <w:p w14:paraId="235E09ED" w14:textId="77777777" w:rsidR="00333601" w:rsidRPr="00BE78CA" w:rsidRDefault="00333601" w:rsidP="007C7B31">
      <w:pPr>
        <w:pStyle w:val="BodyText"/>
        <w:spacing w:before="100" w:after="0" w:line="240" w:lineRule="atLeast"/>
        <w:ind w:left="851" w:hanging="851"/>
        <w:rPr>
          <w:rFonts w:eastAsia="Calibri"/>
          <w:spacing w:val="-2"/>
        </w:rPr>
      </w:pPr>
      <w:r w:rsidRPr="00BE78CA">
        <w:rPr>
          <w:rFonts w:eastAsia="Calibri"/>
          <w:i/>
        </w:rPr>
        <w:tab/>
      </w:r>
      <w:r w:rsidRPr="00BE78CA">
        <w:rPr>
          <w:rFonts w:eastAsia="Calibri"/>
          <w:i/>
          <w:spacing w:val="-2"/>
        </w:rPr>
        <w:t>L</w:t>
      </w:r>
      <w:r w:rsidRPr="00BE78CA">
        <w:rPr>
          <w:rFonts w:eastAsia="Calibri"/>
          <w:i/>
          <w:spacing w:val="-2"/>
          <w:vertAlign w:val="subscript"/>
        </w:rPr>
        <w:t xml:space="preserve">i </w:t>
      </w:r>
      <w:r w:rsidRPr="00BE78CA">
        <w:rPr>
          <w:rFonts w:eastAsia="Calibri"/>
          <w:spacing w:val="-2"/>
        </w:rPr>
        <w:t xml:space="preserve">= the effect of the </w:t>
      </w:r>
      <w:r w:rsidRPr="00BE78CA">
        <w:rPr>
          <w:rFonts w:eastAsia="Calibri"/>
          <w:i/>
          <w:spacing w:val="-2"/>
        </w:rPr>
        <w:t>i</w:t>
      </w:r>
      <w:r w:rsidRPr="00BE78CA">
        <w:rPr>
          <w:rFonts w:eastAsia="Calibri"/>
          <w:spacing w:val="-2"/>
        </w:rPr>
        <w:t>-th land use, specifying the difference in soil carbon relative to the reference land use (low producing grassland), in tonnes per hectare</w:t>
      </w:r>
    </w:p>
    <w:p w14:paraId="69AF7B86" w14:textId="77777777" w:rsidR="00333601" w:rsidRPr="00BE78CA" w:rsidRDefault="00333601" w:rsidP="007C7B31">
      <w:pPr>
        <w:pStyle w:val="BodyText"/>
        <w:spacing w:before="100" w:after="0" w:line="240" w:lineRule="atLeast"/>
        <w:ind w:left="851" w:hanging="851"/>
        <w:rPr>
          <w:rFonts w:eastAsia="Calibri"/>
        </w:rPr>
      </w:pPr>
      <w:r w:rsidRPr="00BE78CA">
        <w:rPr>
          <w:rFonts w:eastAsia="Calibri"/>
          <w:i/>
        </w:rPr>
        <w:tab/>
        <w:t>S</w:t>
      </w:r>
      <w:r w:rsidRPr="00BE78CA">
        <w:rPr>
          <w:rFonts w:eastAsia="Calibri"/>
          <w:i/>
          <w:vertAlign w:val="subscript"/>
        </w:rPr>
        <w:t>j</w:t>
      </w:r>
      <w:r w:rsidRPr="00BE78CA">
        <w:rPr>
          <w:rFonts w:eastAsia="Calibri"/>
        </w:rPr>
        <w:t xml:space="preserve"> = the effect of the </w:t>
      </w:r>
      <w:r w:rsidRPr="00BE78CA">
        <w:rPr>
          <w:rFonts w:eastAsia="Calibri"/>
          <w:i/>
        </w:rPr>
        <w:t>j</w:t>
      </w:r>
      <w:r w:rsidRPr="00BE78CA">
        <w:rPr>
          <w:rFonts w:eastAsia="Calibri"/>
        </w:rPr>
        <w:t xml:space="preserve">-th soil–climate class relative to the reference level </w:t>
      </w:r>
    </w:p>
    <w:p w14:paraId="0C22A6E3" w14:textId="77777777" w:rsidR="00333601" w:rsidRPr="00BE78CA" w:rsidRDefault="00333601" w:rsidP="007C7B31">
      <w:pPr>
        <w:pStyle w:val="BodyText"/>
        <w:spacing w:before="100" w:after="0" w:line="240" w:lineRule="atLeast"/>
        <w:ind w:left="851" w:hanging="851"/>
        <w:rPr>
          <w:rFonts w:eastAsia="Calibri"/>
        </w:rPr>
      </w:pPr>
      <w:r w:rsidRPr="00BE78CA">
        <w:rPr>
          <w:rFonts w:eastAsia="Calibri"/>
          <w:i/>
        </w:rPr>
        <w:tab/>
        <w:t>b.SR</w:t>
      </w:r>
      <w:r w:rsidRPr="00BE78CA">
        <w:rPr>
          <w:rFonts w:eastAsia="Calibri"/>
        </w:rPr>
        <w:t xml:space="preserve"> = the additional soil carbon for each unit of erosivity (slope </w:t>
      </w:r>
      <w:r w:rsidRPr="00BE78CA">
        <w:rPr>
          <w:rFonts w:eastAsia="Calibri"/>
          <w:i/>
        </w:rPr>
        <w:t>×</w:t>
      </w:r>
      <w:r w:rsidRPr="00BE78CA">
        <w:rPr>
          <w:rFonts w:eastAsia="Calibri"/>
        </w:rPr>
        <w:t xml:space="preserve"> rainfall)</w:t>
      </w:r>
      <w:r w:rsidRPr="00BE78CA">
        <w:rPr>
          <w:rFonts w:eastAsia="Calibri"/>
          <w:i/>
        </w:rPr>
        <w:t xml:space="preserve"> </w:t>
      </w:r>
      <w:r w:rsidRPr="00BE78CA">
        <w:rPr>
          <w:rFonts w:eastAsia="Calibri"/>
        </w:rPr>
        <w:t xml:space="preserve">(millidegree </w:t>
      </w:r>
      <w:r w:rsidRPr="00BE78CA">
        <w:rPr>
          <w:rFonts w:eastAsia="Calibri"/>
          <w:i/>
        </w:rPr>
        <w:t>×</w:t>
      </w:r>
      <w:r w:rsidRPr="00BE78CA">
        <w:rPr>
          <w:rFonts w:eastAsia="Calibri"/>
        </w:rPr>
        <w:t xml:space="preserve"> 10</w:t>
      </w:r>
      <w:r w:rsidRPr="00BE78CA">
        <w:rPr>
          <w:rFonts w:eastAsia="Calibri"/>
          <w:vertAlign w:val="superscript"/>
        </w:rPr>
        <w:t>–1</w:t>
      </w:r>
      <w:r w:rsidRPr="00BE78CA">
        <w:rPr>
          <w:rFonts w:eastAsia="Calibri"/>
        </w:rPr>
        <w:t>)</w:t>
      </w:r>
    </w:p>
    <w:p w14:paraId="286918D3" w14:textId="77777777" w:rsidR="00333601" w:rsidRPr="00BE78CA" w:rsidRDefault="00333601" w:rsidP="007C7B31">
      <w:pPr>
        <w:pStyle w:val="BodyText"/>
        <w:spacing w:before="100" w:line="240" w:lineRule="atLeast"/>
        <w:ind w:left="851" w:hanging="851"/>
        <w:rPr>
          <w:rFonts w:eastAsia="Calibri"/>
        </w:rPr>
      </w:pPr>
      <w:r w:rsidRPr="00BE78CA">
        <w:rPr>
          <w:rFonts w:eastAsia="Calibri"/>
          <w:i/>
          <w:sz w:val="20"/>
        </w:rPr>
        <w:tab/>
        <w:t>Ɛ</w:t>
      </w:r>
      <w:r w:rsidRPr="00BE78CA">
        <w:rPr>
          <w:rFonts w:eastAsia="Calibri"/>
        </w:rPr>
        <w:t xml:space="preserve"> = the model uncertainty.</w:t>
      </w:r>
    </w:p>
    <w:p w14:paraId="62EA1FA1" w14:textId="77777777" w:rsidR="00333601" w:rsidRPr="00BE78CA" w:rsidRDefault="00333601" w:rsidP="007C7B31">
      <w:pPr>
        <w:pStyle w:val="BodyText"/>
        <w:spacing w:before="100"/>
        <w:rPr>
          <w:rFonts w:eastAsia="Calibri"/>
        </w:rPr>
      </w:pPr>
      <w:r w:rsidRPr="00BE78CA">
        <w:rPr>
          <w:rFonts w:eastAsia="Calibri"/>
        </w:rPr>
        <w:t xml:space="preserve">The quantities </w:t>
      </w:r>
      <w:r w:rsidRPr="00BE78CA">
        <w:rPr>
          <w:rFonts w:eastAsia="Calibri"/>
          <w:i/>
        </w:rPr>
        <w:t>M</w:t>
      </w:r>
      <w:r w:rsidRPr="00BE78CA">
        <w:rPr>
          <w:rFonts w:eastAsia="Calibri"/>
        </w:rPr>
        <w:t xml:space="preserve">, </w:t>
      </w:r>
      <w:r w:rsidRPr="00BE78CA">
        <w:rPr>
          <w:rFonts w:eastAsia="Calibri"/>
          <w:i/>
        </w:rPr>
        <w:t>L</w:t>
      </w:r>
      <w:r w:rsidRPr="00BE78CA">
        <w:rPr>
          <w:rFonts w:eastAsia="Calibri"/>
          <w:i/>
          <w:vertAlign w:val="subscript"/>
        </w:rPr>
        <w:t>i</w:t>
      </w:r>
      <w:r w:rsidRPr="00BE78CA">
        <w:rPr>
          <w:rFonts w:eastAsia="Calibri"/>
        </w:rPr>
        <w:t xml:space="preserve">, </w:t>
      </w:r>
      <w:r w:rsidRPr="00BE78CA">
        <w:rPr>
          <w:rFonts w:eastAsia="Calibri"/>
          <w:i/>
        </w:rPr>
        <w:t>S</w:t>
      </w:r>
      <w:r w:rsidRPr="00BE78CA">
        <w:rPr>
          <w:rFonts w:eastAsia="Calibri"/>
          <w:i/>
          <w:vertAlign w:val="subscript"/>
        </w:rPr>
        <w:t>j</w:t>
      </w:r>
      <w:r w:rsidRPr="00BE78CA">
        <w:rPr>
          <w:rFonts w:eastAsia="Calibri"/>
        </w:rPr>
        <w:t xml:space="preserve">, as well as the slope </w:t>
      </w:r>
      <w:r w:rsidRPr="00BE78CA">
        <w:rPr>
          <w:rFonts w:eastAsia="Calibri"/>
          <w:i/>
        </w:rPr>
        <w:t>×</w:t>
      </w:r>
      <w:r w:rsidRPr="00BE78CA">
        <w:rPr>
          <w:rFonts w:eastAsia="Calibri"/>
        </w:rPr>
        <w:t xml:space="preserve"> rainfall coefficient </w:t>
      </w:r>
      <w:r w:rsidRPr="00BE78CA">
        <w:rPr>
          <w:rFonts w:eastAsia="Calibri"/>
          <w:i/>
        </w:rPr>
        <w:t>b.SR</w:t>
      </w:r>
      <w:r w:rsidRPr="00BE78CA">
        <w:rPr>
          <w:rFonts w:eastAsia="Calibri"/>
        </w:rPr>
        <w:t xml:space="preserve">, are obtained by fitting a statistical model to the Soil CMS calibration data set; all other quantities are obtained from other data sets or from separate analyses (McNeill and Barringer, </w:t>
      </w:r>
      <w:r w:rsidRPr="00BE78CA">
        <w:t>unpublished</w:t>
      </w:r>
      <w:r w:rsidRPr="00BE78CA">
        <w:rPr>
          <w:rFonts w:eastAsia="Calibri"/>
        </w:rPr>
        <w:t xml:space="preserve">). For example, the mean value of the slope </w:t>
      </w:r>
      <w:r w:rsidRPr="00BE78CA">
        <w:rPr>
          <w:rFonts w:eastAsia="Calibri"/>
          <w:i/>
        </w:rPr>
        <w:t>×</w:t>
      </w:r>
      <w:r w:rsidRPr="00BE78CA">
        <w:rPr>
          <w:rFonts w:eastAsia="Calibri"/>
        </w:rPr>
        <w:t xml:space="preserve"> rainfall must be obtained from national statistics of rainfall and a terrain slope map, which has been calculated from geographic information system (GIS) layers (Giltrap et al., </w:t>
      </w:r>
      <w:r w:rsidRPr="00BE78CA">
        <w:t>unpublished</w:t>
      </w:r>
      <w:r w:rsidRPr="00BE78CA">
        <w:rPr>
          <w:rFonts w:eastAsia="Calibri"/>
        </w:rPr>
        <w:t>).</w:t>
      </w:r>
    </w:p>
    <w:p w14:paraId="4ACC608B" w14:textId="459431E1" w:rsidR="00333601" w:rsidRPr="00BE78CA" w:rsidRDefault="00333601" w:rsidP="009B1379">
      <w:pPr>
        <w:pStyle w:val="BodyText"/>
        <w:spacing w:before="100" w:after="100"/>
      </w:pPr>
      <w:r w:rsidRPr="00BE78CA">
        <w:lastRenderedPageBreak/>
        <w:t>More elaborate alternatives to the model have been considered but were not found to</w:t>
      </w:r>
      <w:r w:rsidR="005D31D8" w:rsidRPr="00BE78CA">
        <w:t> </w:t>
      </w:r>
      <w:r w:rsidRPr="00BE78CA">
        <w:t>be significantly better than the model given in equation 4 above (McNeill and Barringer,</w:t>
      </w:r>
      <w:r w:rsidR="005D31D8" w:rsidRPr="00BE78CA">
        <w:t> </w:t>
      </w:r>
      <w:r w:rsidRPr="00BE78CA">
        <w:t xml:space="preserve">unpublished). </w:t>
      </w:r>
    </w:p>
    <w:p w14:paraId="1DA09468" w14:textId="77777777" w:rsidR="00333601" w:rsidRPr="00BE78CA" w:rsidRDefault="00333601" w:rsidP="009B1379">
      <w:pPr>
        <w:pStyle w:val="Heading5"/>
        <w:spacing w:before="200"/>
      </w:pPr>
      <w:r w:rsidRPr="00BE78CA">
        <w:t>Soil data sets</w:t>
      </w:r>
    </w:p>
    <w:p w14:paraId="346A2071" w14:textId="77777777" w:rsidR="00333601" w:rsidRPr="00BE78CA" w:rsidRDefault="00333601" w:rsidP="009B1379">
      <w:pPr>
        <w:pStyle w:val="BodyText"/>
        <w:spacing w:before="100" w:after="100"/>
      </w:pPr>
      <w:r w:rsidRPr="00BE78CA">
        <w:t xml:space="preserve">Soil data for the Soil CMS inventory model come from five sources. </w:t>
      </w:r>
    </w:p>
    <w:p w14:paraId="666B4D8A" w14:textId="77777777" w:rsidR="00333601" w:rsidRPr="00BE78CA" w:rsidRDefault="00333601" w:rsidP="009B1379">
      <w:pPr>
        <w:pStyle w:val="BodyText"/>
        <w:spacing w:before="100" w:after="100"/>
      </w:pPr>
      <w:r w:rsidRPr="00BE78CA">
        <w:rPr>
          <w:b/>
        </w:rPr>
        <w:t>Historic soils</w:t>
      </w:r>
      <w:r w:rsidRPr="00BE78CA">
        <w:t xml:space="preserve">: This data set is derived primarily from the National Soils Database (NSD, </w:t>
      </w:r>
      <w:hyperlink r:id="rId219" w:history="1">
        <w:r w:rsidRPr="00BE78CA">
          <w:rPr>
            <w:rStyle w:val="Hyperlink"/>
          </w:rPr>
          <w:t>www.soils.landcareresearch.co.nz/soil-data/national-soils-data-repository-and-the-national-soils-database</w:t>
        </w:r>
      </w:hyperlink>
      <w:r w:rsidRPr="00BE78CA">
        <w:t xml:space="preserve">), with a small number of samples from various supplementary data sets; data from all sources were collected between 1935 and 2005. The NSD represents soil profile data for over 1,500 soil pits scattered throughout New Zealand. These data contain the soil description following either the Soil Survey Method (Taylor and Pohlen, 1962) or </w:t>
      </w:r>
      <w:r w:rsidRPr="00BE78CA">
        <w:rPr>
          <w:i/>
        </w:rPr>
        <w:t xml:space="preserve">Soil Description Handbook </w:t>
      </w:r>
      <w:r w:rsidRPr="00BE78CA">
        <w:t xml:space="preserve">(Milne et al., 1995), as well as physical and chemical analyses from either the Landcare Research Environmental Chemistry Laboratory or the Department of Scientific and Industrial Research Soil Bureau Laboratory. This data set was collated as the first stocktake of available soil data for national greenhouse gas reporting and, as such, underwent substantial quality-assurance and quality-control checks (Baisden et al., unpublished(b); Scott et al., 2002; Tate et al., 2005). </w:t>
      </w:r>
    </w:p>
    <w:p w14:paraId="3D8A93B4" w14:textId="77777777" w:rsidR="00333601" w:rsidRPr="00BE78CA" w:rsidRDefault="00333601" w:rsidP="009B1379">
      <w:pPr>
        <w:pStyle w:val="BodyText"/>
        <w:spacing w:before="100" w:after="100"/>
      </w:pPr>
      <w:r w:rsidRPr="00BE78CA">
        <w:rPr>
          <w:b/>
        </w:rPr>
        <w:t>Natural forest soils</w:t>
      </w:r>
      <w:r w:rsidRPr="00BE78CA">
        <w:t xml:space="preserve">: This data set was gathered between 2001 and 2007 as part of the Natural Forest Survey, with soil subsampled on an 8-kilometre grid across the country (Garrett, unpublished; see section 6.4.2 for more details of the 8-kilometre national grid system). The natural forest soils were important in the development of the Soil CMS model because they provided spatial balancing in areas of New Zealand not adequately covered by the historic soils data set. </w:t>
      </w:r>
    </w:p>
    <w:p w14:paraId="085141CD" w14:textId="77777777" w:rsidR="00333601" w:rsidRPr="00BE78CA" w:rsidRDefault="00333601" w:rsidP="009B1379">
      <w:pPr>
        <w:pStyle w:val="BodyText"/>
        <w:spacing w:before="100" w:after="100"/>
      </w:pPr>
      <w:r w:rsidRPr="00BE78CA">
        <w:rPr>
          <w:b/>
        </w:rPr>
        <w:t>Cropland data set</w:t>
      </w:r>
      <w:r w:rsidRPr="00BE78CA">
        <w:t>: The third source of data originated as a set of intensively spatially sampled high</w:t>
      </w:r>
      <w:r w:rsidRPr="00BE78CA">
        <w:rPr>
          <w:i/>
        </w:rPr>
        <w:t xml:space="preserve"> </w:t>
      </w:r>
      <w:r w:rsidRPr="00BE78CA">
        <w:t>producing grassland, annual cropland and perennial cropland records collected for other purposes, referred to as the cropland data set (Lawrence-Smith et al., 2010).</w:t>
      </w:r>
    </w:p>
    <w:p w14:paraId="30560E0B" w14:textId="77777777" w:rsidR="00333601" w:rsidRPr="00BE78CA" w:rsidRDefault="00333601" w:rsidP="009B1379">
      <w:pPr>
        <w:pStyle w:val="BodyText"/>
        <w:spacing w:before="100" w:after="100"/>
      </w:pPr>
      <w:r w:rsidRPr="00BE78CA">
        <w:rPr>
          <w:b/>
        </w:rPr>
        <w:t>Wetlands</w:t>
      </w:r>
      <w:r w:rsidRPr="00BE78CA">
        <w:t>: The fourth source of data comprises wetland soil data from a recent research effort to combine field data with analysis of the spatial distribution of current wetlands in New Zealand (Ausseil et al., 2015). This resulted in the addition of 21 wetland mineral soil samples to the Soil CMS data set (McNeill et al., 2014).</w:t>
      </w:r>
    </w:p>
    <w:p w14:paraId="70659B27" w14:textId="77777777" w:rsidR="00333601" w:rsidRPr="00BE78CA" w:rsidRDefault="00333601" w:rsidP="009B1379">
      <w:pPr>
        <w:pStyle w:val="BodyText"/>
        <w:spacing w:before="100" w:after="100"/>
      </w:pPr>
      <w:r w:rsidRPr="00BE78CA">
        <w:rPr>
          <w:b/>
        </w:rPr>
        <w:t>Post-1989 forest data</w:t>
      </w:r>
      <w:r w:rsidRPr="00BE78CA">
        <w:t xml:space="preserve">: This data set was added to the analysis in 2014. It contains data collected specifically for Convention reporting from 90 post-1989 forest sites across New Zealand (Basher et al., unpublished; Interpine Forestry Limited, unpublished). </w:t>
      </w:r>
    </w:p>
    <w:p w14:paraId="04FE1B3C" w14:textId="77777777" w:rsidR="00333601" w:rsidRPr="00BE78CA" w:rsidRDefault="00333601" w:rsidP="009B1379">
      <w:pPr>
        <w:pStyle w:val="BodyText"/>
        <w:spacing w:before="100" w:after="100"/>
      </w:pPr>
      <w:r w:rsidRPr="00BE78CA">
        <w:t>Together, the five combined data sets cover most of New Zealand (see figure 6.3.1), including Stewart Island. Coverage does not extend to the Chatham Islands and other offshore islands. In addition to soil data, each record contains the site-specific climate, slope and rainfall attributes that are used in the analysis.</w:t>
      </w:r>
    </w:p>
    <w:p w14:paraId="23678E36" w14:textId="77777777" w:rsidR="00333601" w:rsidRPr="00BE78CA" w:rsidRDefault="00333601" w:rsidP="009B1379">
      <w:pPr>
        <w:pStyle w:val="BodyText"/>
        <w:spacing w:before="100" w:after="100"/>
      </w:pPr>
      <w:r w:rsidRPr="00BE78CA">
        <w:t>Due to a reliance on available data, coverage is dense in areas of agricultural activity, and the density of points varies widely between different regions (see figure 6.3.1). In addition, types of land use vary geographically: some are widespread (e.g., high</w:t>
      </w:r>
      <w:r w:rsidRPr="00BE78CA">
        <w:rPr>
          <w:i/>
        </w:rPr>
        <w:t xml:space="preserve"> </w:t>
      </w:r>
      <w:r w:rsidRPr="00BE78CA">
        <w:t xml:space="preserve">producing grassland), whereas others are spatially constrained (e.g., cropland), so that the number of soil samples needed varies by land use (McNeill et al., unpublished). </w:t>
      </w:r>
    </w:p>
    <w:p w14:paraId="56C7770C" w14:textId="77777777" w:rsidR="00333601" w:rsidRPr="00BE78CA" w:rsidRDefault="00333601" w:rsidP="009B1379">
      <w:pPr>
        <w:pStyle w:val="BodyText"/>
        <w:spacing w:before="100"/>
      </w:pPr>
      <w:r w:rsidRPr="00BE78CA">
        <w:t xml:space="preserve">The number of records associated with the different land use categories and soil orders varies widely, with the largest land use category </w:t>
      </w:r>
      <w:r w:rsidRPr="00BE78CA">
        <w:rPr>
          <w:i/>
        </w:rPr>
        <w:t>Grassland</w:t>
      </w:r>
      <w:r w:rsidRPr="00BE78CA">
        <w:t xml:space="preserve"> having 1,216 samples and the smallest </w:t>
      </w:r>
      <w:r w:rsidRPr="00BE78CA">
        <w:lastRenderedPageBreak/>
        <w:t>(</w:t>
      </w:r>
      <w:r w:rsidRPr="00BE78CA">
        <w:rPr>
          <w:i/>
        </w:rPr>
        <w:t>Other land</w:t>
      </w:r>
      <w:r w:rsidRPr="00BE78CA">
        <w:t xml:space="preserve">) only three samples. While efforts to collect or obtain additional data in under-sampled land use categories have been made since LUCAS was established, helping to reduce uncertainties, the effect on uncertainty due to the considerable variability of sampling points among the different land use types remains. </w:t>
      </w:r>
    </w:p>
    <w:p w14:paraId="3D2EE180" w14:textId="77777777" w:rsidR="00333601" w:rsidRPr="00BE78CA" w:rsidRDefault="00333601" w:rsidP="00333601">
      <w:pPr>
        <w:pStyle w:val="Figure"/>
        <w:spacing w:after="0"/>
      </w:pPr>
      <w:bookmarkStart w:id="1510" w:name="_Toc378853339"/>
      <w:bookmarkStart w:id="1511" w:name="_Toc405448089"/>
      <w:bookmarkStart w:id="1512" w:name="_Toc414531621"/>
      <w:bookmarkStart w:id="1513" w:name="_Toc474914644"/>
      <w:bookmarkStart w:id="1514" w:name="_Toc481752026"/>
      <w:bookmarkStart w:id="1515" w:name="_Toc522010704"/>
      <w:bookmarkStart w:id="1516" w:name="_Toc5269707"/>
      <w:bookmarkStart w:id="1517" w:name="_Toc33529479"/>
      <w:bookmarkStart w:id="1518" w:name="_Toc36292809"/>
      <w:bookmarkStart w:id="1519" w:name="_Toc65244101"/>
      <w:bookmarkStart w:id="1520" w:name="_Toc68786674"/>
      <w:r w:rsidRPr="00BE78CA">
        <w:t>Figure 6.3.1</w:t>
      </w:r>
      <w:r w:rsidRPr="00BE78CA">
        <w:tab/>
        <w:t>Soil samples in the Soil CMS model calibration data set</w:t>
      </w:r>
      <w:bookmarkEnd w:id="1510"/>
      <w:bookmarkEnd w:id="1511"/>
      <w:bookmarkEnd w:id="1512"/>
      <w:bookmarkEnd w:id="1513"/>
      <w:bookmarkEnd w:id="1514"/>
      <w:bookmarkEnd w:id="1515"/>
      <w:bookmarkEnd w:id="1516"/>
      <w:bookmarkEnd w:id="1517"/>
      <w:bookmarkEnd w:id="1518"/>
      <w:bookmarkEnd w:id="1519"/>
      <w:bookmarkEnd w:id="1520"/>
    </w:p>
    <w:p w14:paraId="4A8DB2AE" w14:textId="77777777" w:rsidR="00333601" w:rsidRPr="00BE78CA" w:rsidRDefault="00333601" w:rsidP="00333601">
      <w:pPr>
        <w:pStyle w:val="BodyText"/>
        <w:jc w:val="center"/>
      </w:pPr>
      <w:r w:rsidRPr="00BE78CA">
        <w:rPr>
          <w:noProof/>
        </w:rPr>
        <w:drawing>
          <wp:inline distT="0" distB="0" distL="0" distR="0" wp14:anchorId="2457E95A" wp14:editId="5282E64A">
            <wp:extent cx="4848303" cy="6211019"/>
            <wp:effectExtent l="0" t="0" r="9525"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4852943" cy="6216963"/>
                    </a:xfrm>
                    <a:prstGeom prst="rect">
                      <a:avLst/>
                    </a:prstGeom>
                    <a:noFill/>
                    <a:ln>
                      <a:noFill/>
                    </a:ln>
                  </pic:spPr>
                </pic:pic>
              </a:graphicData>
            </a:graphic>
          </wp:inline>
        </w:drawing>
      </w:r>
    </w:p>
    <w:p w14:paraId="390CAC7B" w14:textId="77777777" w:rsidR="00333601" w:rsidRPr="00BE78CA" w:rsidRDefault="00333601" w:rsidP="009B1379">
      <w:pPr>
        <w:pStyle w:val="BodyText"/>
        <w:spacing w:after="100"/>
      </w:pPr>
      <w:r w:rsidRPr="00BE78CA">
        <w:rPr>
          <w:i/>
        </w:rPr>
        <w:t>Settlements</w:t>
      </w:r>
      <w:r w:rsidRPr="00BE78CA">
        <w:t xml:space="preserve"> and the open water component of </w:t>
      </w:r>
      <w:r w:rsidRPr="00BE78CA">
        <w:rPr>
          <w:i/>
        </w:rPr>
        <w:t>Wetlands</w:t>
      </w:r>
      <w:r w:rsidRPr="00BE78CA">
        <w:t xml:space="preserve"> were not used in the model due to lack of soil carbon data. Both land uses are assigned the reference level carbon stock, which is the same as low producing grassland, because no data are available for these land uses. The basis for using the reference level for </w:t>
      </w:r>
      <w:r w:rsidRPr="00BE78CA">
        <w:rPr>
          <w:i/>
        </w:rPr>
        <w:t>Settlements</w:t>
      </w:r>
      <w:r w:rsidRPr="00BE78CA">
        <w:t xml:space="preserve"> is supported by the land use definition used for the category because it includes not only impervious surfaces but also green spaces (urban park land, golf courses and other recreational areas, as explained in table 6.2.2). These areas are likely to have elevated carbon stock levels compared with low producing grassland</w:t>
      </w:r>
      <w:r w:rsidRPr="00BE78CA">
        <w:rPr>
          <w:i/>
        </w:rPr>
        <w:t xml:space="preserve"> </w:t>
      </w:r>
      <w:r w:rsidRPr="00BE78CA">
        <w:t xml:space="preserve">due to the treatments they receive. The </w:t>
      </w:r>
      <w:r w:rsidRPr="00BE78CA">
        <w:rPr>
          <w:i/>
        </w:rPr>
        <w:t>Settlements</w:t>
      </w:r>
      <w:r w:rsidRPr="00BE78CA">
        <w:t xml:space="preserve"> category makes up only 0.9 per cent of </w:t>
      </w:r>
      <w:r w:rsidRPr="00BE78CA">
        <w:lastRenderedPageBreak/>
        <w:t xml:space="preserve">New Zealand’s total land area and is not a key category for New Zealand (in either the level or trend analysis); therefore, it is not an area prioritised for improvement within the National Inventory Report. </w:t>
      </w:r>
    </w:p>
    <w:p w14:paraId="3641BA69" w14:textId="77777777" w:rsidR="00333601" w:rsidRPr="00BE78CA" w:rsidRDefault="00333601" w:rsidP="009B1379">
      <w:pPr>
        <w:pStyle w:val="Heading5"/>
        <w:spacing w:before="200"/>
      </w:pPr>
      <w:r w:rsidRPr="00BE78CA">
        <w:t>Ancillary data</w:t>
      </w:r>
    </w:p>
    <w:p w14:paraId="12990BD0" w14:textId="77777777" w:rsidR="00333601" w:rsidRPr="00BE78CA" w:rsidRDefault="00333601" w:rsidP="009B1379">
      <w:pPr>
        <w:pStyle w:val="BodyText"/>
        <w:spacing w:before="100" w:after="100"/>
      </w:pPr>
      <w:r w:rsidRPr="00BE78CA">
        <w:t>In addition to the soil data, the following ancillary data are used in the Soil CMS Model.</w:t>
      </w:r>
    </w:p>
    <w:p w14:paraId="1466F0D9" w14:textId="77777777" w:rsidR="00333601" w:rsidRPr="00BE78CA" w:rsidRDefault="00333601" w:rsidP="009B1379">
      <w:pPr>
        <w:pStyle w:val="BodyText"/>
        <w:spacing w:before="100" w:after="100"/>
      </w:pPr>
      <w:r w:rsidRPr="00BE78CA">
        <w:rPr>
          <w:b/>
        </w:rPr>
        <w:t>S-map</w:t>
      </w:r>
      <w:r w:rsidRPr="00BE78CA">
        <w:t xml:space="preserve">: S-map is a contemporary digital soil spatial information system for New Zealand (Lilburne et al., 2012), which provides the best-available knowledge of the classification of the soil order consistent with the </w:t>
      </w:r>
      <w:r w:rsidRPr="00BE78CA">
        <w:rPr>
          <w:i/>
        </w:rPr>
        <w:t>New Zealand Soil Classification</w:t>
      </w:r>
      <w:r w:rsidRPr="00BE78CA">
        <w:t xml:space="preserve"> (Hewitt, 2010). S</w:t>
      </w:r>
      <w:r w:rsidRPr="00BE78CA">
        <w:noBreakHyphen/>
        <w:t xml:space="preserve">map coverage is not available for all the land area, because its focus is on regions of intensive agricultural use. </w:t>
      </w:r>
    </w:p>
    <w:p w14:paraId="4C3276D8" w14:textId="77777777" w:rsidR="00333601" w:rsidRPr="00BE78CA" w:rsidRDefault="00333601" w:rsidP="009B1379">
      <w:pPr>
        <w:pStyle w:val="BodyText"/>
        <w:spacing w:before="100" w:after="100"/>
      </w:pPr>
      <w:r w:rsidRPr="00BE78CA">
        <w:rPr>
          <w:b/>
        </w:rPr>
        <w:t>Fundamental Soils Layer</w:t>
      </w:r>
      <w:r w:rsidRPr="00BE78CA">
        <w:t>: Where data on soil order were unavailable in S-map, data from the Fundamental Soils Layer were used instead. The Fundamental Soils Layer (</w:t>
      </w:r>
      <w:hyperlink r:id="rId221" w:history="1">
        <w:r w:rsidRPr="00BE78CA">
          <w:rPr>
            <w:rStyle w:val="Hyperlink"/>
          </w:rPr>
          <w:t>soils.landcareresearch.co.nz/soil-data/fundamental-soil-layers</w:t>
        </w:r>
      </w:hyperlink>
      <w:r w:rsidRPr="00BE78CA">
        <w:t>) provides GIS information on the expert-assessed classification of soil order and other soil or landscape attributes over New Zealand. It is generated from the NZLRI and NSD.</w:t>
      </w:r>
    </w:p>
    <w:p w14:paraId="47061748" w14:textId="77777777" w:rsidR="00333601" w:rsidRPr="00BE78CA" w:rsidRDefault="00333601" w:rsidP="009B1379">
      <w:pPr>
        <w:pStyle w:val="BodyText"/>
        <w:spacing w:before="100" w:after="100"/>
      </w:pPr>
      <w:r w:rsidRPr="00BE78CA">
        <w:rPr>
          <w:b/>
        </w:rPr>
        <w:t>Topographic information</w:t>
      </w:r>
      <w:r w:rsidRPr="00BE78CA">
        <w:t>: Topographic slope information was estimated from a digital elevation model generated from Land Information New Zealand 1:50,000 scale topographic data layers including 20-metre contours, spot heights, lake shorelines and coastline.</w:t>
      </w:r>
    </w:p>
    <w:p w14:paraId="4FB804B0" w14:textId="77777777" w:rsidR="00333601" w:rsidRPr="00BE78CA" w:rsidRDefault="00333601" w:rsidP="009B1379">
      <w:pPr>
        <w:pStyle w:val="Heading5"/>
        <w:spacing w:before="200"/>
      </w:pPr>
      <w:r w:rsidRPr="00BE78CA">
        <w:t>Land use effects: Characterising soil carbon stocks</w:t>
      </w:r>
    </w:p>
    <w:p w14:paraId="6198C47A" w14:textId="77777777" w:rsidR="00333601" w:rsidRPr="00BE78CA" w:rsidRDefault="00333601" w:rsidP="00333601">
      <w:pPr>
        <w:pStyle w:val="BodyText"/>
        <w:spacing w:after="160"/>
      </w:pPr>
      <w:r w:rsidRPr="00BE78CA">
        <w:t>The 2014 version of the Soil CMS model used in this report builds on previous model versions (McNeill and Barringer, unpublished). The ‘land use effect’ (LUE) denotes the influence of land use on SOC stocks and corresponds to the model coefficients calculated for each land use. The LUE for a transition from low</w:t>
      </w:r>
      <w:r w:rsidRPr="00BE78CA">
        <w:rPr>
          <w:i/>
        </w:rPr>
        <w:t xml:space="preserve"> </w:t>
      </w:r>
      <w:r w:rsidRPr="00BE78CA">
        <w:t>producing grassland to one of the other land uses can be obtained by using the coefficients of the soil carbon model (see table 6.3.1). Steady state SOC stocks for each land use (see table 6.3.2) are derived from the LUE coefficient in relation to the intercept (the reference of low producing grassland on high activity soils in a moist temperate climate – table 6.3.1). These values are used in equation 3 (as SOC</w:t>
      </w:r>
      <w:r w:rsidRPr="00BE78CA">
        <w:rPr>
          <w:vertAlign w:val="subscript"/>
        </w:rPr>
        <w:t>0</w:t>
      </w:r>
      <w:r w:rsidRPr="00BE78CA">
        <w:t xml:space="preserve"> and SOC</w:t>
      </w:r>
      <w:r w:rsidRPr="00BE78CA">
        <w:rPr>
          <w:vertAlign w:val="subscript"/>
        </w:rPr>
        <w:t>(0-T)</w:t>
      </w:r>
      <w:r w:rsidRPr="00BE78CA">
        <w:t>) to calculate soil carbon changes due to land-use change.</w:t>
      </w:r>
    </w:p>
    <w:p w14:paraId="3CB675C8" w14:textId="77777777" w:rsidR="00333601" w:rsidRPr="00BE78CA" w:rsidRDefault="00333601" w:rsidP="00333601">
      <w:pPr>
        <w:pStyle w:val="Table"/>
      </w:pPr>
      <w:bookmarkStart w:id="1521" w:name="_Toc378853287"/>
      <w:bookmarkStart w:id="1522" w:name="_Toc391024085"/>
      <w:bookmarkStart w:id="1523" w:name="_Toc410028828"/>
      <w:bookmarkStart w:id="1524" w:name="_Toc414531456"/>
      <w:bookmarkStart w:id="1525" w:name="_Toc443645369"/>
      <w:bookmarkStart w:id="1526" w:name="_Toc474914588"/>
      <w:bookmarkStart w:id="1527" w:name="_Toc481751552"/>
      <w:bookmarkStart w:id="1528" w:name="_Toc522010609"/>
      <w:bookmarkStart w:id="1529" w:name="_Toc5269514"/>
      <w:bookmarkStart w:id="1530" w:name="_Toc33529388"/>
      <w:bookmarkStart w:id="1531" w:name="_Toc36224594"/>
      <w:bookmarkStart w:id="1532" w:name="_Toc65243589"/>
      <w:bookmarkStart w:id="1533" w:name="_Toc68786479"/>
      <w:r w:rsidRPr="00BE78CA">
        <w:t>Table 6.3.1</w:t>
      </w:r>
      <w:r w:rsidRPr="00BE78CA">
        <w:tab/>
        <w:t xml:space="preserve">Land use effect coefficients with standard errors, </w:t>
      </w:r>
      <w:r w:rsidRPr="00BE78CA">
        <w:rPr>
          <w:i/>
        </w:rPr>
        <w:t>t</w:t>
      </w:r>
      <w:r w:rsidRPr="00BE78CA">
        <w:t>-values, and corresponding</w:t>
      </w:r>
      <w:r w:rsidRPr="00BE78CA">
        <w:br/>
      </w:r>
      <w:r w:rsidRPr="00BE78CA">
        <w:rPr>
          <w:i/>
        </w:rPr>
        <w:t>p</w:t>
      </w:r>
      <w:r w:rsidRPr="00BE78CA">
        <w:noBreakHyphen/>
        <w:t>value significance estimates, extracted from full model results</w:t>
      </w:r>
      <w:bookmarkEnd w:id="1521"/>
      <w:bookmarkEnd w:id="1522"/>
      <w:bookmarkEnd w:id="1523"/>
      <w:bookmarkEnd w:id="1524"/>
      <w:bookmarkEnd w:id="1525"/>
      <w:bookmarkEnd w:id="1526"/>
      <w:bookmarkEnd w:id="1527"/>
      <w:bookmarkEnd w:id="1528"/>
      <w:bookmarkEnd w:id="1529"/>
      <w:bookmarkEnd w:id="1530"/>
      <w:bookmarkEnd w:id="1531"/>
      <w:bookmarkEnd w:id="1532"/>
      <w:bookmarkEnd w:id="1533"/>
    </w:p>
    <w:tbl>
      <w:tblPr>
        <w:tblW w:w="8505" w:type="dxa"/>
        <w:tblBorders>
          <w:bottom w:val="single" w:sz="8" w:space="0" w:color="365F91"/>
        </w:tblBorders>
        <w:tblLook w:val="04A0" w:firstRow="1" w:lastRow="0" w:firstColumn="1" w:lastColumn="0" w:noHBand="0" w:noVBand="1"/>
      </w:tblPr>
      <w:tblGrid>
        <w:gridCol w:w="2921"/>
        <w:gridCol w:w="1356"/>
        <w:gridCol w:w="1685"/>
        <w:gridCol w:w="1271"/>
        <w:gridCol w:w="1272"/>
      </w:tblGrid>
      <w:tr w:rsidR="00333601" w:rsidRPr="00BE78CA" w14:paraId="6FB15736" w14:textId="77777777" w:rsidTr="009B1379">
        <w:trPr>
          <w:tblHeader/>
        </w:trPr>
        <w:tc>
          <w:tcPr>
            <w:tcW w:w="2745" w:type="dxa"/>
            <w:tcBorders>
              <w:top w:val="single" w:sz="4" w:space="0" w:color="365F91"/>
              <w:bottom w:val="single" w:sz="4" w:space="0" w:color="365F91"/>
              <w:right w:val="nil"/>
            </w:tcBorders>
            <w:shd w:val="clear" w:color="auto" w:fill="376092"/>
            <w:vAlign w:val="bottom"/>
          </w:tcPr>
          <w:p w14:paraId="3ED13DFE" w14:textId="77777777" w:rsidR="00333601" w:rsidRPr="00BE78CA" w:rsidRDefault="00333601" w:rsidP="00C26084">
            <w:pPr>
              <w:pStyle w:val="TableTextBold"/>
              <w:keepNext/>
              <w:rPr>
                <w:rFonts w:eastAsia="Arial" w:cs="Calibri"/>
                <w:noProof w:val="0"/>
                <w:color w:val="FFFFFF"/>
                <w:szCs w:val="16"/>
              </w:rPr>
            </w:pPr>
            <w:r w:rsidRPr="00BE78CA">
              <w:rPr>
                <w:rFonts w:eastAsia="Arial" w:cs="Calibri"/>
                <w:noProof w:val="0"/>
                <w:color w:val="FFFFFF"/>
                <w:szCs w:val="16"/>
              </w:rPr>
              <w:t>Land use</w:t>
            </w:r>
          </w:p>
        </w:tc>
        <w:tc>
          <w:tcPr>
            <w:tcW w:w="1275" w:type="dxa"/>
            <w:tcBorders>
              <w:top w:val="single" w:sz="4" w:space="0" w:color="365F91"/>
              <w:bottom w:val="single" w:sz="4" w:space="0" w:color="365F91"/>
            </w:tcBorders>
            <w:shd w:val="clear" w:color="auto" w:fill="376092"/>
            <w:vAlign w:val="bottom"/>
          </w:tcPr>
          <w:p w14:paraId="7C4405EC" w14:textId="77777777" w:rsidR="00333601" w:rsidRPr="00BE78CA" w:rsidRDefault="00333601" w:rsidP="00C26084">
            <w:pPr>
              <w:pStyle w:val="TableTextBold"/>
              <w:keepNext/>
              <w:jc w:val="center"/>
              <w:rPr>
                <w:rFonts w:eastAsia="Arial" w:cs="Calibri"/>
                <w:noProof w:val="0"/>
                <w:color w:val="FFFFFF"/>
                <w:szCs w:val="16"/>
              </w:rPr>
            </w:pPr>
            <w:r w:rsidRPr="00BE78CA">
              <w:rPr>
                <w:rFonts w:eastAsia="Arial" w:cs="Calibri"/>
                <w:noProof w:val="0"/>
                <w:color w:val="FFFFFF"/>
                <w:szCs w:val="16"/>
              </w:rPr>
              <w:t>Value</w:t>
            </w:r>
          </w:p>
        </w:tc>
        <w:tc>
          <w:tcPr>
            <w:tcW w:w="1584" w:type="dxa"/>
            <w:tcBorders>
              <w:top w:val="single" w:sz="4" w:space="0" w:color="365F91"/>
              <w:bottom w:val="single" w:sz="4" w:space="0" w:color="365F91"/>
            </w:tcBorders>
            <w:shd w:val="clear" w:color="auto" w:fill="376092"/>
            <w:vAlign w:val="bottom"/>
          </w:tcPr>
          <w:p w14:paraId="58A427F8" w14:textId="77777777" w:rsidR="00333601" w:rsidRPr="00BE78CA" w:rsidRDefault="00333601" w:rsidP="00C26084">
            <w:pPr>
              <w:pStyle w:val="TableTextBold"/>
              <w:keepNext/>
              <w:jc w:val="center"/>
              <w:rPr>
                <w:rFonts w:eastAsia="Arial" w:cs="Calibri"/>
                <w:noProof w:val="0"/>
                <w:color w:val="FFFFFF"/>
                <w:szCs w:val="16"/>
              </w:rPr>
            </w:pPr>
            <w:r w:rsidRPr="00BE78CA">
              <w:rPr>
                <w:rFonts w:eastAsia="Arial" w:cs="Calibri"/>
                <w:noProof w:val="0"/>
                <w:color w:val="FFFFFF"/>
                <w:szCs w:val="16"/>
              </w:rPr>
              <w:t>Standard error</w:t>
            </w:r>
          </w:p>
        </w:tc>
        <w:tc>
          <w:tcPr>
            <w:tcW w:w="1195" w:type="dxa"/>
            <w:tcBorders>
              <w:top w:val="single" w:sz="4" w:space="0" w:color="365F91"/>
              <w:bottom w:val="single" w:sz="4" w:space="0" w:color="365F91"/>
            </w:tcBorders>
            <w:shd w:val="clear" w:color="auto" w:fill="376092"/>
            <w:vAlign w:val="bottom"/>
          </w:tcPr>
          <w:p w14:paraId="2C9E2B0A" w14:textId="77777777" w:rsidR="00333601" w:rsidRPr="00BE78CA" w:rsidRDefault="00333601" w:rsidP="00C26084">
            <w:pPr>
              <w:pStyle w:val="TableTextBold"/>
              <w:keepNext/>
              <w:jc w:val="center"/>
              <w:rPr>
                <w:rFonts w:eastAsia="Arial" w:cs="Calibri"/>
                <w:noProof w:val="0"/>
                <w:color w:val="FFFFFF"/>
                <w:szCs w:val="16"/>
              </w:rPr>
            </w:pPr>
            <w:r w:rsidRPr="00BE78CA">
              <w:rPr>
                <w:rFonts w:eastAsia="Arial" w:cs="Calibri"/>
                <w:i/>
                <w:noProof w:val="0"/>
                <w:color w:val="FFFFFF"/>
                <w:szCs w:val="16"/>
              </w:rPr>
              <w:t>t</w:t>
            </w:r>
            <w:r w:rsidRPr="00BE78CA">
              <w:rPr>
                <w:rFonts w:eastAsia="Arial" w:cs="Calibri"/>
                <w:noProof w:val="0"/>
                <w:color w:val="FFFFFF"/>
                <w:szCs w:val="16"/>
              </w:rPr>
              <w:t>-value</w:t>
            </w:r>
          </w:p>
        </w:tc>
        <w:tc>
          <w:tcPr>
            <w:tcW w:w="1196" w:type="dxa"/>
            <w:tcBorders>
              <w:top w:val="single" w:sz="4" w:space="0" w:color="365F91"/>
              <w:bottom w:val="single" w:sz="4" w:space="0" w:color="365F91"/>
            </w:tcBorders>
            <w:shd w:val="clear" w:color="auto" w:fill="376092"/>
            <w:vAlign w:val="bottom"/>
          </w:tcPr>
          <w:p w14:paraId="4AE5DF38" w14:textId="77777777" w:rsidR="00333601" w:rsidRPr="00BE78CA" w:rsidRDefault="00333601" w:rsidP="00C26084">
            <w:pPr>
              <w:pStyle w:val="TableTextBold"/>
              <w:keepNext/>
              <w:jc w:val="center"/>
              <w:rPr>
                <w:rFonts w:eastAsia="Arial" w:cs="Calibri"/>
                <w:noProof w:val="0"/>
                <w:color w:val="FFFFFF"/>
                <w:szCs w:val="16"/>
              </w:rPr>
            </w:pPr>
            <w:r w:rsidRPr="00BE78CA">
              <w:rPr>
                <w:rFonts w:eastAsia="Arial" w:cs="Calibri"/>
                <w:i/>
                <w:noProof w:val="0"/>
                <w:color w:val="FFFFFF"/>
                <w:szCs w:val="16"/>
              </w:rPr>
              <w:t>p</w:t>
            </w:r>
            <w:r w:rsidRPr="00BE78CA">
              <w:rPr>
                <w:rFonts w:eastAsia="Arial" w:cs="Calibri"/>
                <w:noProof w:val="0"/>
                <w:color w:val="FFFFFF"/>
                <w:szCs w:val="16"/>
              </w:rPr>
              <w:t>-value</w:t>
            </w:r>
          </w:p>
        </w:tc>
      </w:tr>
      <w:tr w:rsidR="00333601" w:rsidRPr="00BE78CA" w14:paraId="63923165" w14:textId="77777777" w:rsidTr="009B1379">
        <w:tc>
          <w:tcPr>
            <w:tcW w:w="2745" w:type="dxa"/>
            <w:tcBorders>
              <w:top w:val="single" w:sz="4" w:space="0" w:color="365F91"/>
              <w:bottom w:val="single" w:sz="4" w:space="0" w:color="365F91"/>
              <w:right w:val="nil"/>
            </w:tcBorders>
            <w:shd w:val="clear" w:color="auto" w:fill="auto"/>
          </w:tcPr>
          <w:p w14:paraId="016B93BA" w14:textId="77777777" w:rsidR="00333601" w:rsidRPr="00BE78CA" w:rsidRDefault="00333601" w:rsidP="00C26084">
            <w:pPr>
              <w:pStyle w:val="TableText"/>
              <w:keepNext/>
              <w:rPr>
                <w:rFonts w:eastAsia="Arial" w:cs="Calibri"/>
                <w:szCs w:val="16"/>
              </w:rPr>
            </w:pPr>
            <w:r w:rsidRPr="00BE78CA">
              <w:rPr>
                <w:rFonts w:eastAsia="Arial" w:cs="Calibri"/>
                <w:szCs w:val="16"/>
              </w:rPr>
              <w:t>Intercept: Low producing grassland</w:t>
            </w:r>
          </w:p>
        </w:tc>
        <w:tc>
          <w:tcPr>
            <w:tcW w:w="1275" w:type="dxa"/>
            <w:tcBorders>
              <w:top w:val="single" w:sz="4" w:space="0" w:color="365F91"/>
              <w:left w:val="nil"/>
              <w:bottom w:val="single" w:sz="4" w:space="0" w:color="365F91"/>
              <w:right w:val="nil"/>
            </w:tcBorders>
            <w:shd w:val="clear" w:color="auto" w:fill="auto"/>
          </w:tcPr>
          <w:p w14:paraId="170F09A2" w14:textId="77777777" w:rsidR="00333601" w:rsidRPr="00BE78CA" w:rsidRDefault="00333601" w:rsidP="00C26084">
            <w:pPr>
              <w:pStyle w:val="TableText"/>
              <w:keepNext/>
              <w:jc w:val="right"/>
              <w:rPr>
                <w:rFonts w:eastAsia="Arial" w:cs="Calibri"/>
                <w:szCs w:val="16"/>
              </w:rPr>
            </w:pPr>
            <w:r w:rsidRPr="00BE78CA">
              <w:rPr>
                <w:rFonts w:eastAsia="Arial" w:cs="Calibri"/>
                <w:szCs w:val="16"/>
              </w:rPr>
              <w:t>105.98</w:t>
            </w:r>
          </w:p>
        </w:tc>
        <w:tc>
          <w:tcPr>
            <w:tcW w:w="1584" w:type="dxa"/>
            <w:tcBorders>
              <w:top w:val="single" w:sz="4" w:space="0" w:color="365F91"/>
              <w:left w:val="nil"/>
              <w:bottom w:val="single" w:sz="4" w:space="0" w:color="365F91"/>
              <w:right w:val="nil"/>
            </w:tcBorders>
            <w:shd w:val="clear" w:color="auto" w:fill="auto"/>
          </w:tcPr>
          <w:p w14:paraId="36F15522" w14:textId="77777777" w:rsidR="00333601" w:rsidRPr="00BE78CA" w:rsidRDefault="00333601" w:rsidP="00C26084">
            <w:pPr>
              <w:pStyle w:val="TableText"/>
              <w:keepNext/>
              <w:jc w:val="right"/>
              <w:rPr>
                <w:rFonts w:eastAsia="Arial" w:cs="Calibri"/>
                <w:szCs w:val="16"/>
              </w:rPr>
            </w:pPr>
            <w:r w:rsidRPr="00BE78CA">
              <w:rPr>
                <w:rFonts w:eastAsia="Arial" w:cs="Calibri"/>
                <w:szCs w:val="16"/>
              </w:rPr>
              <w:t>3.96</w:t>
            </w:r>
          </w:p>
        </w:tc>
        <w:tc>
          <w:tcPr>
            <w:tcW w:w="1195" w:type="dxa"/>
            <w:tcBorders>
              <w:top w:val="single" w:sz="4" w:space="0" w:color="365F91"/>
              <w:left w:val="nil"/>
              <w:bottom w:val="single" w:sz="4" w:space="0" w:color="365F91"/>
              <w:right w:val="nil"/>
            </w:tcBorders>
            <w:shd w:val="clear" w:color="auto" w:fill="auto"/>
          </w:tcPr>
          <w:p w14:paraId="635BD10E" w14:textId="77777777" w:rsidR="00333601" w:rsidRPr="00BE78CA" w:rsidRDefault="00333601" w:rsidP="00C26084">
            <w:pPr>
              <w:pStyle w:val="TableText"/>
              <w:keepNext/>
              <w:jc w:val="right"/>
              <w:rPr>
                <w:rFonts w:eastAsia="Arial" w:cs="Calibri"/>
                <w:szCs w:val="16"/>
              </w:rPr>
            </w:pPr>
            <w:r w:rsidRPr="00BE78CA">
              <w:rPr>
                <w:rFonts w:eastAsia="Arial" w:cs="Calibri"/>
                <w:szCs w:val="16"/>
              </w:rPr>
              <w:t>26.79</w:t>
            </w:r>
          </w:p>
        </w:tc>
        <w:tc>
          <w:tcPr>
            <w:tcW w:w="1196" w:type="dxa"/>
            <w:tcBorders>
              <w:top w:val="single" w:sz="4" w:space="0" w:color="365F91"/>
              <w:left w:val="nil"/>
              <w:bottom w:val="single" w:sz="4" w:space="0" w:color="365F91"/>
            </w:tcBorders>
            <w:shd w:val="clear" w:color="auto" w:fill="auto"/>
          </w:tcPr>
          <w:p w14:paraId="546FE432" w14:textId="77777777" w:rsidR="00333601" w:rsidRPr="00BE78CA" w:rsidRDefault="00333601" w:rsidP="00C26084">
            <w:pPr>
              <w:pStyle w:val="TableText"/>
              <w:keepNext/>
              <w:jc w:val="right"/>
              <w:rPr>
                <w:rFonts w:eastAsia="Arial" w:cs="Calibri"/>
                <w:szCs w:val="16"/>
              </w:rPr>
            </w:pPr>
            <w:r w:rsidRPr="00BE78CA">
              <w:rPr>
                <w:rFonts w:eastAsia="Arial" w:cs="Calibri"/>
                <w:szCs w:val="16"/>
              </w:rPr>
              <w:t>0.000</w:t>
            </w:r>
          </w:p>
        </w:tc>
      </w:tr>
      <w:tr w:rsidR="00333601" w:rsidRPr="00BE78CA" w14:paraId="72817FAA" w14:textId="77777777" w:rsidTr="009B1379">
        <w:tc>
          <w:tcPr>
            <w:tcW w:w="2745" w:type="dxa"/>
            <w:tcBorders>
              <w:top w:val="single" w:sz="4" w:space="0" w:color="365F91"/>
              <w:bottom w:val="single" w:sz="4" w:space="0" w:color="365F91"/>
              <w:right w:val="nil"/>
            </w:tcBorders>
            <w:shd w:val="clear" w:color="auto" w:fill="auto"/>
          </w:tcPr>
          <w:p w14:paraId="7A7DEAB8" w14:textId="77777777" w:rsidR="00333601" w:rsidRPr="00BE78CA" w:rsidRDefault="00333601" w:rsidP="00C26084">
            <w:pPr>
              <w:pStyle w:val="TableText"/>
              <w:rPr>
                <w:rFonts w:eastAsia="Arial" w:cs="Calibri"/>
                <w:szCs w:val="16"/>
              </w:rPr>
            </w:pPr>
            <w:r w:rsidRPr="00BE78CA">
              <w:rPr>
                <w:rFonts w:eastAsia="Arial" w:cs="Calibri"/>
                <w:szCs w:val="16"/>
              </w:rPr>
              <w:t>High producing grassland</w:t>
            </w:r>
          </w:p>
        </w:tc>
        <w:tc>
          <w:tcPr>
            <w:tcW w:w="1275" w:type="dxa"/>
            <w:tcBorders>
              <w:top w:val="single" w:sz="4" w:space="0" w:color="365F91"/>
              <w:left w:val="nil"/>
              <w:bottom w:val="single" w:sz="4" w:space="0" w:color="365F91"/>
              <w:right w:val="nil"/>
            </w:tcBorders>
            <w:shd w:val="clear" w:color="auto" w:fill="auto"/>
          </w:tcPr>
          <w:p w14:paraId="4BA29EC9" w14:textId="77777777" w:rsidR="00333601" w:rsidRPr="00BE78CA" w:rsidRDefault="00333601" w:rsidP="00C26084">
            <w:pPr>
              <w:pStyle w:val="TableText"/>
              <w:jc w:val="right"/>
              <w:rPr>
                <w:rFonts w:eastAsia="Arial" w:cs="Calibri"/>
                <w:szCs w:val="16"/>
              </w:rPr>
            </w:pPr>
            <w:r w:rsidRPr="00BE78CA">
              <w:rPr>
                <w:rFonts w:eastAsia="Arial" w:cs="Calibri"/>
                <w:szCs w:val="16"/>
              </w:rPr>
              <w:t>–0.64</w:t>
            </w:r>
          </w:p>
        </w:tc>
        <w:tc>
          <w:tcPr>
            <w:tcW w:w="1584" w:type="dxa"/>
            <w:tcBorders>
              <w:top w:val="single" w:sz="4" w:space="0" w:color="365F91"/>
              <w:left w:val="nil"/>
              <w:bottom w:val="single" w:sz="4" w:space="0" w:color="365F91"/>
              <w:right w:val="nil"/>
            </w:tcBorders>
            <w:shd w:val="clear" w:color="auto" w:fill="auto"/>
          </w:tcPr>
          <w:p w14:paraId="38B26E4B" w14:textId="77777777" w:rsidR="00333601" w:rsidRPr="00BE78CA" w:rsidRDefault="00333601" w:rsidP="00C26084">
            <w:pPr>
              <w:pStyle w:val="TableText"/>
              <w:jc w:val="right"/>
              <w:rPr>
                <w:rFonts w:eastAsia="Arial" w:cs="Calibri"/>
                <w:szCs w:val="16"/>
              </w:rPr>
            </w:pPr>
            <w:r w:rsidRPr="00BE78CA">
              <w:rPr>
                <w:rFonts w:eastAsia="Arial" w:cs="Calibri"/>
                <w:szCs w:val="16"/>
              </w:rPr>
              <w:t>3.13</w:t>
            </w:r>
          </w:p>
        </w:tc>
        <w:tc>
          <w:tcPr>
            <w:tcW w:w="1195" w:type="dxa"/>
            <w:tcBorders>
              <w:top w:val="single" w:sz="4" w:space="0" w:color="365F91"/>
              <w:left w:val="nil"/>
              <w:bottom w:val="single" w:sz="4" w:space="0" w:color="365F91"/>
              <w:right w:val="nil"/>
            </w:tcBorders>
            <w:shd w:val="clear" w:color="auto" w:fill="auto"/>
          </w:tcPr>
          <w:p w14:paraId="303E14F4" w14:textId="77777777" w:rsidR="00333601" w:rsidRPr="00BE78CA" w:rsidRDefault="00333601" w:rsidP="00C26084">
            <w:pPr>
              <w:pStyle w:val="TableText"/>
              <w:jc w:val="right"/>
              <w:rPr>
                <w:rFonts w:eastAsia="Arial" w:cs="Calibri"/>
                <w:szCs w:val="16"/>
              </w:rPr>
            </w:pPr>
            <w:r w:rsidRPr="00BE78CA">
              <w:rPr>
                <w:rFonts w:eastAsia="Arial" w:cs="Calibri"/>
                <w:szCs w:val="16"/>
              </w:rPr>
              <w:t>–0.21</w:t>
            </w:r>
          </w:p>
        </w:tc>
        <w:tc>
          <w:tcPr>
            <w:tcW w:w="1196" w:type="dxa"/>
            <w:tcBorders>
              <w:top w:val="single" w:sz="4" w:space="0" w:color="365F91"/>
              <w:left w:val="nil"/>
              <w:bottom w:val="single" w:sz="4" w:space="0" w:color="365F91"/>
            </w:tcBorders>
            <w:shd w:val="clear" w:color="auto" w:fill="auto"/>
          </w:tcPr>
          <w:p w14:paraId="58B6A915" w14:textId="77777777" w:rsidR="00333601" w:rsidRPr="00BE78CA" w:rsidRDefault="00333601" w:rsidP="00C26084">
            <w:pPr>
              <w:pStyle w:val="TableText"/>
              <w:jc w:val="right"/>
              <w:rPr>
                <w:rFonts w:eastAsia="Arial" w:cs="Calibri"/>
                <w:szCs w:val="16"/>
              </w:rPr>
            </w:pPr>
            <w:r w:rsidRPr="00BE78CA">
              <w:rPr>
                <w:rFonts w:eastAsia="Arial" w:cs="Calibri"/>
                <w:szCs w:val="16"/>
              </w:rPr>
              <w:t>0.8370</w:t>
            </w:r>
          </w:p>
        </w:tc>
      </w:tr>
      <w:tr w:rsidR="00333601" w:rsidRPr="00BE78CA" w14:paraId="4D0F617F" w14:textId="77777777" w:rsidTr="009B1379">
        <w:tc>
          <w:tcPr>
            <w:tcW w:w="2745" w:type="dxa"/>
            <w:tcBorders>
              <w:top w:val="single" w:sz="4" w:space="0" w:color="365F91"/>
              <w:bottom w:val="single" w:sz="4" w:space="0" w:color="365F91"/>
              <w:right w:val="nil"/>
            </w:tcBorders>
            <w:shd w:val="clear" w:color="auto" w:fill="auto"/>
          </w:tcPr>
          <w:p w14:paraId="6D0B9251" w14:textId="77777777" w:rsidR="00333601" w:rsidRPr="00BE78CA" w:rsidRDefault="00333601" w:rsidP="00C26084">
            <w:pPr>
              <w:pStyle w:val="TableText"/>
              <w:rPr>
                <w:rFonts w:eastAsia="Arial" w:cs="Calibri"/>
                <w:szCs w:val="16"/>
              </w:rPr>
            </w:pPr>
            <w:r w:rsidRPr="00BE78CA">
              <w:rPr>
                <w:rFonts w:eastAsia="Arial" w:cs="Calibri"/>
                <w:szCs w:val="16"/>
              </w:rPr>
              <w:t>Grassland with woody biomass</w:t>
            </w:r>
          </w:p>
        </w:tc>
        <w:tc>
          <w:tcPr>
            <w:tcW w:w="1275" w:type="dxa"/>
            <w:tcBorders>
              <w:top w:val="single" w:sz="4" w:space="0" w:color="365F91"/>
              <w:left w:val="nil"/>
              <w:bottom w:val="single" w:sz="4" w:space="0" w:color="365F91"/>
              <w:right w:val="nil"/>
            </w:tcBorders>
            <w:shd w:val="clear" w:color="auto" w:fill="auto"/>
          </w:tcPr>
          <w:p w14:paraId="6FF92D7A" w14:textId="77777777" w:rsidR="00333601" w:rsidRPr="00BE78CA" w:rsidRDefault="00333601" w:rsidP="00C26084">
            <w:pPr>
              <w:pStyle w:val="TableText"/>
              <w:jc w:val="right"/>
              <w:rPr>
                <w:rFonts w:eastAsia="Arial" w:cs="Calibri"/>
                <w:szCs w:val="16"/>
              </w:rPr>
            </w:pPr>
            <w:r w:rsidRPr="00BE78CA">
              <w:rPr>
                <w:rFonts w:eastAsia="Arial" w:cs="Calibri"/>
                <w:szCs w:val="16"/>
              </w:rPr>
              <w:t>–7.75</w:t>
            </w:r>
          </w:p>
        </w:tc>
        <w:tc>
          <w:tcPr>
            <w:tcW w:w="1584" w:type="dxa"/>
            <w:tcBorders>
              <w:top w:val="single" w:sz="4" w:space="0" w:color="365F91"/>
              <w:left w:val="nil"/>
              <w:bottom w:val="single" w:sz="4" w:space="0" w:color="365F91"/>
              <w:right w:val="nil"/>
            </w:tcBorders>
            <w:shd w:val="clear" w:color="auto" w:fill="auto"/>
          </w:tcPr>
          <w:p w14:paraId="45528B7E" w14:textId="77777777" w:rsidR="00333601" w:rsidRPr="00BE78CA" w:rsidRDefault="00333601" w:rsidP="00C26084">
            <w:pPr>
              <w:pStyle w:val="TableText"/>
              <w:jc w:val="right"/>
              <w:rPr>
                <w:rFonts w:eastAsia="Arial" w:cs="Calibri"/>
                <w:szCs w:val="16"/>
              </w:rPr>
            </w:pPr>
            <w:r w:rsidRPr="00BE78CA">
              <w:rPr>
                <w:rFonts w:eastAsia="Arial" w:cs="Calibri"/>
                <w:szCs w:val="16"/>
              </w:rPr>
              <w:t>3.68</w:t>
            </w:r>
          </w:p>
        </w:tc>
        <w:tc>
          <w:tcPr>
            <w:tcW w:w="1195" w:type="dxa"/>
            <w:tcBorders>
              <w:top w:val="single" w:sz="4" w:space="0" w:color="365F91"/>
              <w:left w:val="nil"/>
              <w:bottom w:val="single" w:sz="4" w:space="0" w:color="365F91"/>
              <w:right w:val="nil"/>
            </w:tcBorders>
            <w:shd w:val="clear" w:color="auto" w:fill="auto"/>
          </w:tcPr>
          <w:p w14:paraId="0ABE4974" w14:textId="77777777" w:rsidR="00333601" w:rsidRPr="00BE78CA" w:rsidRDefault="00333601" w:rsidP="00C26084">
            <w:pPr>
              <w:pStyle w:val="TableText"/>
              <w:jc w:val="right"/>
              <w:rPr>
                <w:rFonts w:eastAsia="Arial" w:cs="Calibri"/>
                <w:szCs w:val="16"/>
              </w:rPr>
            </w:pPr>
            <w:r w:rsidRPr="00BE78CA">
              <w:rPr>
                <w:rFonts w:eastAsia="Arial" w:cs="Calibri"/>
                <w:szCs w:val="16"/>
              </w:rPr>
              <w:t>–2.11</w:t>
            </w:r>
          </w:p>
        </w:tc>
        <w:tc>
          <w:tcPr>
            <w:tcW w:w="1196" w:type="dxa"/>
            <w:tcBorders>
              <w:top w:val="single" w:sz="4" w:space="0" w:color="365F91"/>
              <w:left w:val="nil"/>
              <w:bottom w:val="single" w:sz="4" w:space="0" w:color="365F91"/>
            </w:tcBorders>
            <w:shd w:val="clear" w:color="auto" w:fill="auto"/>
          </w:tcPr>
          <w:p w14:paraId="4114911A" w14:textId="77777777" w:rsidR="00333601" w:rsidRPr="00BE78CA" w:rsidRDefault="00333601" w:rsidP="00C26084">
            <w:pPr>
              <w:pStyle w:val="TableText"/>
              <w:jc w:val="right"/>
              <w:rPr>
                <w:rFonts w:eastAsia="Arial" w:cs="Calibri"/>
                <w:szCs w:val="16"/>
              </w:rPr>
            </w:pPr>
            <w:r w:rsidRPr="00BE78CA">
              <w:rPr>
                <w:rFonts w:eastAsia="Arial" w:cs="Calibri"/>
                <w:szCs w:val="16"/>
              </w:rPr>
              <w:t>0.0350</w:t>
            </w:r>
          </w:p>
        </w:tc>
      </w:tr>
      <w:tr w:rsidR="00333601" w:rsidRPr="00BE78CA" w14:paraId="6C90D521" w14:textId="77777777" w:rsidTr="009B1379">
        <w:tc>
          <w:tcPr>
            <w:tcW w:w="2745" w:type="dxa"/>
            <w:tcBorders>
              <w:top w:val="single" w:sz="4" w:space="0" w:color="365F91"/>
              <w:bottom w:val="single" w:sz="4" w:space="0" w:color="365F91"/>
              <w:right w:val="nil"/>
            </w:tcBorders>
            <w:shd w:val="clear" w:color="auto" w:fill="auto"/>
          </w:tcPr>
          <w:p w14:paraId="621C10D0" w14:textId="77777777" w:rsidR="00333601" w:rsidRPr="00BE78CA" w:rsidRDefault="00333601" w:rsidP="00C26084">
            <w:pPr>
              <w:pStyle w:val="TableText"/>
              <w:rPr>
                <w:rFonts w:eastAsia="Arial" w:cs="Calibri"/>
                <w:szCs w:val="16"/>
              </w:rPr>
            </w:pPr>
            <w:r w:rsidRPr="00BE78CA">
              <w:rPr>
                <w:rFonts w:eastAsia="Arial" w:cs="Calibri"/>
                <w:szCs w:val="16"/>
              </w:rPr>
              <w:t>Perennial cropland</w:t>
            </w:r>
          </w:p>
        </w:tc>
        <w:tc>
          <w:tcPr>
            <w:tcW w:w="1275" w:type="dxa"/>
            <w:tcBorders>
              <w:top w:val="single" w:sz="4" w:space="0" w:color="365F91"/>
              <w:left w:val="nil"/>
              <w:bottom w:val="single" w:sz="4" w:space="0" w:color="365F91"/>
              <w:right w:val="nil"/>
            </w:tcBorders>
            <w:shd w:val="clear" w:color="auto" w:fill="auto"/>
          </w:tcPr>
          <w:p w14:paraId="69BDE6EF" w14:textId="77777777" w:rsidR="00333601" w:rsidRPr="00BE78CA" w:rsidRDefault="00333601" w:rsidP="00C26084">
            <w:pPr>
              <w:pStyle w:val="TableText"/>
              <w:jc w:val="right"/>
              <w:rPr>
                <w:rFonts w:eastAsia="Arial" w:cs="Calibri"/>
                <w:szCs w:val="16"/>
              </w:rPr>
            </w:pPr>
            <w:r w:rsidRPr="00BE78CA">
              <w:rPr>
                <w:rFonts w:eastAsia="Arial" w:cs="Calibri"/>
                <w:szCs w:val="16"/>
              </w:rPr>
              <w:t>–17.54</w:t>
            </w:r>
          </w:p>
        </w:tc>
        <w:tc>
          <w:tcPr>
            <w:tcW w:w="1584" w:type="dxa"/>
            <w:tcBorders>
              <w:top w:val="single" w:sz="4" w:space="0" w:color="365F91"/>
              <w:left w:val="nil"/>
              <w:bottom w:val="single" w:sz="4" w:space="0" w:color="365F91"/>
              <w:right w:val="nil"/>
            </w:tcBorders>
            <w:shd w:val="clear" w:color="auto" w:fill="auto"/>
          </w:tcPr>
          <w:p w14:paraId="355143D4" w14:textId="77777777" w:rsidR="00333601" w:rsidRPr="00BE78CA" w:rsidRDefault="00333601" w:rsidP="00C26084">
            <w:pPr>
              <w:pStyle w:val="TableText"/>
              <w:jc w:val="right"/>
              <w:rPr>
                <w:rFonts w:eastAsia="Arial" w:cs="Calibri"/>
                <w:szCs w:val="16"/>
              </w:rPr>
            </w:pPr>
            <w:r w:rsidRPr="00BE78CA">
              <w:rPr>
                <w:rFonts w:eastAsia="Arial" w:cs="Calibri"/>
                <w:szCs w:val="16"/>
              </w:rPr>
              <w:t>6.37</w:t>
            </w:r>
          </w:p>
        </w:tc>
        <w:tc>
          <w:tcPr>
            <w:tcW w:w="1195" w:type="dxa"/>
            <w:tcBorders>
              <w:top w:val="single" w:sz="4" w:space="0" w:color="365F91"/>
              <w:left w:val="nil"/>
              <w:bottom w:val="single" w:sz="4" w:space="0" w:color="365F91"/>
              <w:right w:val="nil"/>
            </w:tcBorders>
            <w:shd w:val="clear" w:color="auto" w:fill="auto"/>
          </w:tcPr>
          <w:p w14:paraId="09A3F02A" w14:textId="77777777" w:rsidR="00333601" w:rsidRPr="00BE78CA" w:rsidRDefault="00333601" w:rsidP="00C26084">
            <w:pPr>
              <w:pStyle w:val="TableText"/>
              <w:jc w:val="right"/>
              <w:rPr>
                <w:rFonts w:eastAsia="Arial" w:cs="Calibri"/>
                <w:szCs w:val="16"/>
              </w:rPr>
            </w:pPr>
            <w:r w:rsidRPr="00BE78CA">
              <w:rPr>
                <w:rFonts w:eastAsia="Arial" w:cs="Calibri"/>
                <w:szCs w:val="16"/>
              </w:rPr>
              <w:t>–2.76</w:t>
            </w:r>
          </w:p>
        </w:tc>
        <w:tc>
          <w:tcPr>
            <w:tcW w:w="1196" w:type="dxa"/>
            <w:tcBorders>
              <w:top w:val="single" w:sz="4" w:space="0" w:color="365F91"/>
              <w:left w:val="nil"/>
              <w:bottom w:val="single" w:sz="4" w:space="0" w:color="365F91"/>
            </w:tcBorders>
            <w:shd w:val="clear" w:color="auto" w:fill="auto"/>
          </w:tcPr>
          <w:p w14:paraId="71412E0E" w14:textId="77777777" w:rsidR="00333601" w:rsidRPr="00BE78CA" w:rsidRDefault="00333601" w:rsidP="00C26084">
            <w:pPr>
              <w:pStyle w:val="TableText"/>
              <w:jc w:val="right"/>
              <w:rPr>
                <w:rFonts w:eastAsia="Arial" w:cs="Calibri"/>
                <w:szCs w:val="16"/>
              </w:rPr>
            </w:pPr>
            <w:r w:rsidRPr="00BE78CA">
              <w:rPr>
                <w:rFonts w:eastAsia="Arial" w:cs="Calibri"/>
                <w:szCs w:val="16"/>
              </w:rPr>
              <w:t>0.0059</w:t>
            </w:r>
          </w:p>
        </w:tc>
      </w:tr>
      <w:tr w:rsidR="00333601" w:rsidRPr="00BE78CA" w14:paraId="672F0CF1" w14:textId="77777777" w:rsidTr="009B1379">
        <w:tc>
          <w:tcPr>
            <w:tcW w:w="2745" w:type="dxa"/>
            <w:tcBorders>
              <w:top w:val="single" w:sz="4" w:space="0" w:color="365F91"/>
              <w:bottom w:val="single" w:sz="4" w:space="0" w:color="365F91"/>
              <w:right w:val="nil"/>
            </w:tcBorders>
            <w:shd w:val="clear" w:color="auto" w:fill="auto"/>
          </w:tcPr>
          <w:p w14:paraId="0B4D518C" w14:textId="77777777" w:rsidR="00333601" w:rsidRPr="00BE78CA" w:rsidRDefault="00333601" w:rsidP="00C26084">
            <w:pPr>
              <w:pStyle w:val="TableText"/>
              <w:rPr>
                <w:rFonts w:eastAsia="Arial" w:cs="Calibri"/>
                <w:szCs w:val="16"/>
              </w:rPr>
            </w:pPr>
            <w:r w:rsidRPr="00BE78CA">
              <w:rPr>
                <w:rFonts w:eastAsia="Arial" w:cs="Calibri"/>
                <w:szCs w:val="16"/>
              </w:rPr>
              <w:t>Annual cropland</w:t>
            </w:r>
          </w:p>
        </w:tc>
        <w:tc>
          <w:tcPr>
            <w:tcW w:w="1275" w:type="dxa"/>
            <w:tcBorders>
              <w:top w:val="single" w:sz="4" w:space="0" w:color="365F91"/>
              <w:left w:val="nil"/>
              <w:bottom w:val="single" w:sz="4" w:space="0" w:color="365F91"/>
              <w:right w:val="nil"/>
            </w:tcBorders>
            <w:shd w:val="clear" w:color="auto" w:fill="auto"/>
          </w:tcPr>
          <w:p w14:paraId="303E1365" w14:textId="77777777" w:rsidR="00333601" w:rsidRPr="00BE78CA" w:rsidRDefault="00333601" w:rsidP="00C26084">
            <w:pPr>
              <w:pStyle w:val="TableText"/>
              <w:jc w:val="right"/>
              <w:rPr>
                <w:rFonts w:eastAsia="Arial" w:cs="Calibri"/>
                <w:szCs w:val="16"/>
              </w:rPr>
            </w:pPr>
            <w:r w:rsidRPr="00BE78CA">
              <w:rPr>
                <w:rFonts w:eastAsia="Arial" w:cs="Calibri"/>
                <w:szCs w:val="16"/>
              </w:rPr>
              <w:t>–16.21</w:t>
            </w:r>
          </w:p>
        </w:tc>
        <w:tc>
          <w:tcPr>
            <w:tcW w:w="1584" w:type="dxa"/>
            <w:tcBorders>
              <w:top w:val="single" w:sz="4" w:space="0" w:color="365F91"/>
              <w:left w:val="nil"/>
              <w:bottom w:val="single" w:sz="4" w:space="0" w:color="365F91"/>
              <w:right w:val="nil"/>
            </w:tcBorders>
            <w:shd w:val="clear" w:color="auto" w:fill="auto"/>
          </w:tcPr>
          <w:p w14:paraId="587AD19F" w14:textId="77777777" w:rsidR="00333601" w:rsidRPr="00BE78CA" w:rsidRDefault="00333601" w:rsidP="00C26084">
            <w:pPr>
              <w:pStyle w:val="TableText"/>
              <w:jc w:val="right"/>
              <w:rPr>
                <w:rFonts w:eastAsia="Arial" w:cs="Calibri"/>
                <w:szCs w:val="16"/>
              </w:rPr>
            </w:pPr>
            <w:r w:rsidRPr="00BE78CA">
              <w:rPr>
                <w:rFonts w:eastAsia="Arial" w:cs="Calibri"/>
                <w:szCs w:val="16"/>
              </w:rPr>
              <w:t>4.45</w:t>
            </w:r>
          </w:p>
        </w:tc>
        <w:tc>
          <w:tcPr>
            <w:tcW w:w="1195" w:type="dxa"/>
            <w:tcBorders>
              <w:top w:val="single" w:sz="4" w:space="0" w:color="365F91"/>
              <w:left w:val="nil"/>
              <w:bottom w:val="single" w:sz="4" w:space="0" w:color="365F91"/>
              <w:right w:val="nil"/>
            </w:tcBorders>
            <w:shd w:val="clear" w:color="auto" w:fill="auto"/>
          </w:tcPr>
          <w:p w14:paraId="7AC8A8FC" w14:textId="77777777" w:rsidR="00333601" w:rsidRPr="00BE78CA" w:rsidRDefault="00333601" w:rsidP="00C26084">
            <w:pPr>
              <w:pStyle w:val="TableText"/>
              <w:jc w:val="right"/>
              <w:rPr>
                <w:rFonts w:eastAsia="Arial" w:cs="Calibri"/>
                <w:szCs w:val="16"/>
              </w:rPr>
            </w:pPr>
            <w:r w:rsidRPr="00BE78CA">
              <w:rPr>
                <w:rFonts w:eastAsia="Arial" w:cs="Calibri"/>
                <w:szCs w:val="16"/>
              </w:rPr>
              <w:t>–3.64</w:t>
            </w:r>
          </w:p>
        </w:tc>
        <w:tc>
          <w:tcPr>
            <w:tcW w:w="1196" w:type="dxa"/>
            <w:tcBorders>
              <w:top w:val="single" w:sz="4" w:space="0" w:color="365F91"/>
              <w:left w:val="nil"/>
              <w:bottom w:val="single" w:sz="4" w:space="0" w:color="365F91"/>
            </w:tcBorders>
            <w:shd w:val="clear" w:color="auto" w:fill="auto"/>
          </w:tcPr>
          <w:p w14:paraId="7F07BEC8" w14:textId="77777777" w:rsidR="00333601" w:rsidRPr="00BE78CA" w:rsidRDefault="00333601" w:rsidP="00C26084">
            <w:pPr>
              <w:pStyle w:val="TableText"/>
              <w:jc w:val="right"/>
              <w:rPr>
                <w:rFonts w:eastAsia="Arial" w:cs="Calibri"/>
                <w:szCs w:val="16"/>
              </w:rPr>
            </w:pPr>
            <w:r w:rsidRPr="00BE78CA">
              <w:rPr>
                <w:rFonts w:eastAsia="Arial" w:cs="Calibri"/>
                <w:szCs w:val="16"/>
              </w:rPr>
              <w:t>0.0003</w:t>
            </w:r>
          </w:p>
        </w:tc>
      </w:tr>
      <w:tr w:rsidR="00333601" w:rsidRPr="00BE78CA" w14:paraId="40B27591" w14:textId="77777777" w:rsidTr="009B1379">
        <w:tc>
          <w:tcPr>
            <w:tcW w:w="2745" w:type="dxa"/>
            <w:tcBorders>
              <w:top w:val="single" w:sz="4" w:space="0" w:color="365F91"/>
              <w:bottom w:val="single" w:sz="4" w:space="0" w:color="365F91"/>
              <w:right w:val="nil"/>
            </w:tcBorders>
            <w:shd w:val="clear" w:color="auto" w:fill="auto"/>
          </w:tcPr>
          <w:p w14:paraId="1310775C" w14:textId="77777777" w:rsidR="00333601" w:rsidRPr="00BE78CA" w:rsidRDefault="00333601" w:rsidP="00C26084">
            <w:pPr>
              <w:pStyle w:val="TableText"/>
              <w:rPr>
                <w:rFonts w:eastAsia="Arial" w:cs="Calibri"/>
                <w:szCs w:val="16"/>
              </w:rPr>
            </w:pPr>
            <w:r w:rsidRPr="00BE78CA">
              <w:rPr>
                <w:rFonts w:eastAsia="Arial" w:cs="Calibri"/>
                <w:szCs w:val="16"/>
              </w:rPr>
              <w:t>Vegetated wetland</w:t>
            </w:r>
          </w:p>
        </w:tc>
        <w:tc>
          <w:tcPr>
            <w:tcW w:w="1275" w:type="dxa"/>
            <w:tcBorders>
              <w:top w:val="single" w:sz="4" w:space="0" w:color="365F91"/>
              <w:left w:val="nil"/>
              <w:bottom w:val="single" w:sz="4" w:space="0" w:color="365F91"/>
              <w:right w:val="nil"/>
            </w:tcBorders>
            <w:shd w:val="clear" w:color="auto" w:fill="auto"/>
          </w:tcPr>
          <w:p w14:paraId="79BFB6EC" w14:textId="77777777" w:rsidR="00333601" w:rsidRPr="00BE78CA" w:rsidRDefault="00333601" w:rsidP="00C26084">
            <w:pPr>
              <w:pStyle w:val="TableText"/>
              <w:jc w:val="right"/>
              <w:rPr>
                <w:rFonts w:eastAsia="Arial" w:cs="Calibri"/>
                <w:szCs w:val="16"/>
              </w:rPr>
            </w:pPr>
            <w:r w:rsidRPr="00BE78CA">
              <w:rPr>
                <w:rFonts w:eastAsia="Arial" w:cs="Calibri"/>
                <w:szCs w:val="16"/>
              </w:rPr>
              <w:t>30.08</w:t>
            </w:r>
          </w:p>
        </w:tc>
        <w:tc>
          <w:tcPr>
            <w:tcW w:w="1584" w:type="dxa"/>
            <w:tcBorders>
              <w:top w:val="single" w:sz="4" w:space="0" w:color="365F91"/>
              <w:left w:val="nil"/>
              <w:bottom w:val="single" w:sz="4" w:space="0" w:color="365F91"/>
              <w:right w:val="nil"/>
            </w:tcBorders>
            <w:shd w:val="clear" w:color="auto" w:fill="auto"/>
          </w:tcPr>
          <w:p w14:paraId="4AD965E8" w14:textId="77777777" w:rsidR="00333601" w:rsidRPr="00BE78CA" w:rsidRDefault="00333601" w:rsidP="00C26084">
            <w:pPr>
              <w:pStyle w:val="TableText"/>
              <w:jc w:val="right"/>
              <w:rPr>
                <w:rFonts w:eastAsia="Arial" w:cs="Calibri"/>
                <w:szCs w:val="16"/>
              </w:rPr>
            </w:pPr>
            <w:r w:rsidRPr="00BE78CA">
              <w:rPr>
                <w:rFonts w:eastAsia="Arial" w:cs="Calibri"/>
                <w:szCs w:val="16"/>
              </w:rPr>
              <w:t>8.53</w:t>
            </w:r>
          </w:p>
        </w:tc>
        <w:tc>
          <w:tcPr>
            <w:tcW w:w="1195" w:type="dxa"/>
            <w:tcBorders>
              <w:top w:val="single" w:sz="4" w:space="0" w:color="365F91"/>
              <w:left w:val="nil"/>
              <w:bottom w:val="single" w:sz="4" w:space="0" w:color="365F91"/>
              <w:right w:val="nil"/>
            </w:tcBorders>
            <w:shd w:val="clear" w:color="auto" w:fill="auto"/>
          </w:tcPr>
          <w:p w14:paraId="11275DF6" w14:textId="77777777" w:rsidR="00333601" w:rsidRPr="00BE78CA" w:rsidRDefault="00333601" w:rsidP="00C26084">
            <w:pPr>
              <w:pStyle w:val="TableText"/>
              <w:jc w:val="right"/>
              <w:rPr>
                <w:rFonts w:eastAsia="Arial" w:cs="Calibri"/>
                <w:szCs w:val="16"/>
              </w:rPr>
            </w:pPr>
            <w:r w:rsidRPr="00BE78CA">
              <w:rPr>
                <w:rFonts w:eastAsia="Arial" w:cs="Calibri"/>
                <w:szCs w:val="16"/>
              </w:rPr>
              <w:t>3.52</w:t>
            </w:r>
          </w:p>
        </w:tc>
        <w:tc>
          <w:tcPr>
            <w:tcW w:w="1196" w:type="dxa"/>
            <w:tcBorders>
              <w:top w:val="single" w:sz="4" w:space="0" w:color="365F91"/>
              <w:left w:val="nil"/>
              <w:bottom w:val="single" w:sz="4" w:space="0" w:color="365F91"/>
            </w:tcBorders>
            <w:shd w:val="clear" w:color="auto" w:fill="auto"/>
          </w:tcPr>
          <w:p w14:paraId="2E4C5054" w14:textId="77777777" w:rsidR="00333601" w:rsidRPr="00BE78CA" w:rsidRDefault="00333601" w:rsidP="00C26084">
            <w:pPr>
              <w:pStyle w:val="TableText"/>
              <w:jc w:val="right"/>
              <w:rPr>
                <w:rFonts w:eastAsia="Arial" w:cs="Calibri"/>
                <w:szCs w:val="16"/>
              </w:rPr>
            </w:pPr>
            <w:r w:rsidRPr="00BE78CA">
              <w:rPr>
                <w:rFonts w:eastAsia="Arial" w:cs="Calibri"/>
                <w:szCs w:val="16"/>
              </w:rPr>
              <w:t>0.0004</w:t>
            </w:r>
          </w:p>
        </w:tc>
      </w:tr>
      <w:tr w:rsidR="00333601" w:rsidRPr="00BE78CA" w14:paraId="7D266AE3" w14:textId="77777777" w:rsidTr="009B1379">
        <w:tc>
          <w:tcPr>
            <w:tcW w:w="2745" w:type="dxa"/>
            <w:tcBorders>
              <w:top w:val="single" w:sz="4" w:space="0" w:color="365F91"/>
              <w:bottom w:val="single" w:sz="4" w:space="0" w:color="365F91"/>
              <w:right w:val="nil"/>
            </w:tcBorders>
            <w:shd w:val="clear" w:color="auto" w:fill="auto"/>
          </w:tcPr>
          <w:p w14:paraId="1955075B" w14:textId="77777777" w:rsidR="00333601" w:rsidRPr="00BE78CA" w:rsidRDefault="00333601" w:rsidP="00C26084">
            <w:pPr>
              <w:pStyle w:val="TableText"/>
              <w:rPr>
                <w:rFonts w:eastAsia="Arial" w:cs="Calibri"/>
                <w:szCs w:val="16"/>
              </w:rPr>
            </w:pPr>
            <w:r w:rsidRPr="00BE78CA">
              <w:rPr>
                <w:rFonts w:eastAsia="Arial" w:cs="Calibri"/>
                <w:szCs w:val="16"/>
              </w:rPr>
              <w:t>Pre-1990 planted forest</w:t>
            </w:r>
          </w:p>
        </w:tc>
        <w:tc>
          <w:tcPr>
            <w:tcW w:w="1275" w:type="dxa"/>
            <w:tcBorders>
              <w:top w:val="single" w:sz="4" w:space="0" w:color="365F91"/>
              <w:left w:val="nil"/>
              <w:bottom w:val="single" w:sz="4" w:space="0" w:color="365F91"/>
              <w:right w:val="nil"/>
            </w:tcBorders>
            <w:shd w:val="clear" w:color="auto" w:fill="auto"/>
          </w:tcPr>
          <w:p w14:paraId="6E07F311" w14:textId="77777777" w:rsidR="00333601" w:rsidRPr="00BE78CA" w:rsidRDefault="00333601" w:rsidP="00C26084">
            <w:pPr>
              <w:pStyle w:val="TableText"/>
              <w:jc w:val="right"/>
              <w:rPr>
                <w:rFonts w:eastAsia="Arial" w:cs="Calibri"/>
                <w:szCs w:val="16"/>
              </w:rPr>
            </w:pPr>
            <w:r w:rsidRPr="00BE78CA">
              <w:rPr>
                <w:rFonts w:eastAsia="Arial" w:cs="Calibri"/>
                <w:szCs w:val="16"/>
              </w:rPr>
              <w:t>–13.54</w:t>
            </w:r>
          </w:p>
        </w:tc>
        <w:tc>
          <w:tcPr>
            <w:tcW w:w="1584" w:type="dxa"/>
            <w:tcBorders>
              <w:top w:val="single" w:sz="4" w:space="0" w:color="365F91"/>
              <w:left w:val="nil"/>
              <w:bottom w:val="single" w:sz="4" w:space="0" w:color="365F91"/>
              <w:right w:val="nil"/>
            </w:tcBorders>
            <w:shd w:val="clear" w:color="auto" w:fill="auto"/>
          </w:tcPr>
          <w:p w14:paraId="4204B82E" w14:textId="77777777" w:rsidR="00333601" w:rsidRPr="00BE78CA" w:rsidRDefault="00333601" w:rsidP="00C26084">
            <w:pPr>
              <w:pStyle w:val="TableText"/>
              <w:jc w:val="right"/>
              <w:rPr>
                <w:rFonts w:eastAsia="Arial" w:cs="Calibri"/>
                <w:szCs w:val="16"/>
              </w:rPr>
            </w:pPr>
            <w:r w:rsidRPr="00BE78CA">
              <w:rPr>
                <w:rFonts w:eastAsia="Arial" w:cs="Calibri"/>
                <w:szCs w:val="16"/>
              </w:rPr>
              <w:t>5.78</w:t>
            </w:r>
          </w:p>
        </w:tc>
        <w:tc>
          <w:tcPr>
            <w:tcW w:w="1195" w:type="dxa"/>
            <w:tcBorders>
              <w:top w:val="single" w:sz="4" w:space="0" w:color="365F91"/>
              <w:left w:val="nil"/>
              <w:bottom w:val="single" w:sz="4" w:space="0" w:color="365F91"/>
              <w:right w:val="nil"/>
            </w:tcBorders>
            <w:shd w:val="clear" w:color="auto" w:fill="auto"/>
          </w:tcPr>
          <w:p w14:paraId="4A1A90DB" w14:textId="77777777" w:rsidR="00333601" w:rsidRPr="00BE78CA" w:rsidRDefault="00333601" w:rsidP="00C26084">
            <w:pPr>
              <w:pStyle w:val="TableText"/>
              <w:jc w:val="right"/>
              <w:rPr>
                <w:rFonts w:eastAsia="Arial" w:cs="Calibri"/>
                <w:szCs w:val="16"/>
              </w:rPr>
            </w:pPr>
            <w:r w:rsidRPr="00BE78CA">
              <w:rPr>
                <w:rFonts w:eastAsia="Arial" w:cs="Calibri"/>
                <w:szCs w:val="16"/>
              </w:rPr>
              <w:t>–2.34</w:t>
            </w:r>
          </w:p>
        </w:tc>
        <w:tc>
          <w:tcPr>
            <w:tcW w:w="1196" w:type="dxa"/>
            <w:tcBorders>
              <w:top w:val="single" w:sz="4" w:space="0" w:color="365F91"/>
              <w:left w:val="nil"/>
              <w:bottom w:val="single" w:sz="4" w:space="0" w:color="365F91"/>
            </w:tcBorders>
            <w:shd w:val="clear" w:color="auto" w:fill="auto"/>
          </w:tcPr>
          <w:p w14:paraId="7833FAB8" w14:textId="77777777" w:rsidR="00333601" w:rsidRPr="00BE78CA" w:rsidRDefault="00333601" w:rsidP="00C26084">
            <w:pPr>
              <w:pStyle w:val="TableText"/>
              <w:jc w:val="right"/>
              <w:rPr>
                <w:rFonts w:eastAsia="Arial" w:cs="Calibri"/>
                <w:szCs w:val="16"/>
              </w:rPr>
            </w:pPr>
            <w:r w:rsidRPr="00BE78CA">
              <w:rPr>
                <w:rFonts w:eastAsia="Arial" w:cs="Calibri"/>
                <w:szCs w:val="16"/>
              </w:rPr>
              <w:t>0.0193</w:t>
            </w:r>
          </w:p>
        </w:tc>
      </w:tr>
      <w:tr w:rsidR="00333601" w:rsidRPr="00BE78CA" w14:paraId="75424CE3" w14:textId="77777777" w:rsidTr="009B1379">
        <w:tc>
          <w:tcPr>
            <w:tcW w:w="2745" w:type="dxa"/>
            <w:tcBorders>
              <w:top w:val="single" w:sz="4" w:space="0" w:color="365F91"/>
              <w:bottom w:val="single" w:sz="4" w:space="0" w:color="365F91"/>
              <w:right w:val="nil"/>
            </w:tcBorders>
            <w:shd w:val="clear" w:color="auto" w:fill="auto"/>
          </w:tcPr>
          <w:p w14:paraId="45DF8505" w14:textId="77777777" w:rsidR="00333601" w:rsidRPr="00BE78CA" w:rsidRDefault="00333601" w:rsidP="00C26084">
            <w:pPr>
              <w:pStyle w:val="TableText"/>
              <w:rPr>
                <w:rFonts w:eastAsia="Arial" w:cs="Calibri"/>
                <w:szCs w:val="16"/>
              </w:rPr>
            </w:pPr>
            <w:r w:rsidRPr="00BE78CA">
              <w:rPr>
                <w:rFonts w:eastAsia="Arial" w:cs="Calibri"/>
                <w:szCs w:val="16"/>
              </w:rPr>
              <w:t>Post-1989 planted forest</w:t>
            </w:r>
          </w:p>
        </w:tc>
        <w:tc>
          <w:tcPr>
            <w:tcW w:w="1275" w:type="dxa"/>
            <w:tcBorders>
              <w:top w:val="single" w:sz="4" w:space="0" w:color="365F91"/>
              <w:left w:val="nil"/>
              <w:bottom w:val="single" w:sz="4" w:space="0" w:color="365F91"/>
              <w:right w:val="nil"/>
            </w:tcBorders>
            <w:shd w:val="clear" w:color="auto" w:fill="auto"/>
          </w:tcPr>
          <w:p w14:paraId="2AFEE2B7" w14:textId="77777777" w:rsidR="00333601" w:rsidRPr="00BE78CA" w:rsidRDefault="00333601" w:rsidP="00C26084">
            <w:pPr>
              <w:pStyle w:val="TableText"/>
              <w:jc w:val="right"/>
              <w:rPr>
                <w:rFonts w:eastAsia="Arial" w:cs="Calibri"/>
                <w:szCs w:val="16"/>
              </w:rPr>
            </w:pPr>
            <w:r w:rsidRPr="00BE78CA">
              <w:rPr>
                <w:rFonts w:eastAsia="Arial" w:cs="Calibri"/>
                <w:szCs w:val="16"/>
              </w:rPr>
              <w:t>–14.06</w:t>
            </w:r>
          </w:p>
        </w:tc>
        <w:tc>
          <w:tcPr>
            <w:tcW w:w="1584" w:type="dxa"/>
            <w:tcBorders>
              <w:top w:val="single" w:sz="4" w:space="0" w:color="365F91"/>
              <w:left w:val="nil"/>
              <w:bottom w:val="single" w:sz="4" w:space="0" w:color="365F91"/>
              <w:right w:val="nil"/>
            </w:tcBorders>
            <w:shd w:val="clear" w:color="auto" w:fill="auto"/>
          </w:tcPr>
          <w:p w14:paraId="0F4C4E6A" w14:textId="77777777" w:rsidR="00333601" w:rsidRPr="00BE78CA" w:rsidRDefault="00333601" w:rsidP="00C26084">
            <w:pPr>
              <w:pStyle w:val="TableText"/>
              <w:jc w:val="right"/>
              <w:rPr>
                <w:rFonts w:eastAsia="Arial" w:cs="Calibri"/>
                <w:szCs w:val="16"/>
              </w:rPr>
            </w:pPr>
            <w:r w:rsidRPr="00BE78CA">
              <w:rPr>
                <w:rFonts w:eastAsia="Arial" w:cs="Calibri"/>
                <w:szCs w:val="16"/>
              </w:rPr>
              <w:t>4.86</w:t>
            </w:r>
          </w:p>
        </w:tc>
        <w:tc>
          <w:tcPr>
            <w:tcW w:w="1195" w:type="dxa"/>
            <w:tcBorders>
              <w:top w:val="single" w:sz="4" w:space="0" w:color="365F91"/>
              <w:left w:val="nil"/>
              <w:bottom w:val="single" w:sz="4" w:space="0" w:color="365F91"/>
              <w:right w:val="nil"/>
            </w:tcBorders>
            <w:shd w:val="clear" w:color="auto" w:fill="auto"/>
          </w:tcPr>
          <w:p w14:paraId="7D68FA5E" w14:textId="77777777" w:rsidR="00333601" w:rsidRPr="00BE78CA" w:rsidRDefault="00333601" w:rsidP="00C26084">
            <w:pPr>
              <w:pStyle w:val="TableText"/>
              <w:jc w:val="right"/>
              <w:rPr>
                <w:rFonts w:eastAsia="Arial" w:cs="Calibri"/>
                <w:szCs w:val="16"/>
              </w:rPr>
            </w:pPr>
            <w:r w:rsidRPr="00BE78CA">
              <w:rPr>
                <w:rFonts w:eastAsia="Arial" w:cs="Calibri"/>
                <w:szCs w:val="16"/>
              </w:rPr>
              <w:t>–2.90</w:t>
            </w:r>
          </w:p>
        </w:tc>
        <w:tc>
          <w:tcPr>
            <w:tcW w:w="1196" w:type="dxa"/>
            <w:tcBorders>
              <w:top w:val="single" w:sz="4" w:space="0" w:color="365F91"/>
              <w:left w:val="nil"/>
              <w:bottom w:val="single" w:sz="4" w:space="0" w:color="365F91"/>
            </w:tcBorders>
            <w:shd w:val="clear" w:color="auto" w:fill="auto"/>
          </w:tcPr>
          <w:p w14:paraId="3F59DB63" w14:textId="77777777" w:rsidR="00333601" w:rsidRPr="00BE78CA" w:rsidRDefault="00333601" w:rsidP="00C26084">
            <w:pPr>
              <w:pStyle w:val="TableText"/>
              <w:jc w:val="right"/>
              <w:rPr>
                <w:rFonts w:eastAsia="Arial" w:cs="Calibri"/>
                <w:szCs w:val="16"/>
              </w:rPr>
            </w:pPr>
            <w:r w:rsidRPr="00BE78CA">
              <w:rPr>
                <w:rFonts w:eastAsia="Arial" w:cs="Calibri"/>
                <w:szCs w:val="16"/>
              </w:rPr>
              <w:t>0.0038</w:t>
            </w:r>
          </w:p>
        </w:tc>
      </w:tr>
      <w:tr w:rsidR="00333601" w:rsidRPr="00BE78CA" w14:paraId="2BD75624" w14:textId="77777777" w:rsidTr="009B1379">
        <w:tc>
          <w:tcPr>
            <w:tcW w:w="2745" w:type="dxa"/>
            <w:tcBorders>
              <w:top w:val="single" w:sz="4" w:space="0" w:color="365F91"/>
              <w:bottom w:val="single" w:sz="4" w:space="0" w:color="365F91"/>
              <w:right w:val="nil"/>
            </w:tcBorders>
            <w:shd w:val="clear" w:color="auto" w:fill="auto"/>
          </w:tcPr>
          <w:p w14:paraId="0B8C9E33" w14:textId="77777777" w:rsidR="00333601" w:rsidRPr="00BE78CA" w:rsidRDefault="00333601" w:rsidP="00C26084">
            <w:pPr>
              <w:pStyle w:val="TableText"/>
              <w:rPr>
                <w:rFonts w:eastAsia="Arial" w:cs="Calibri"/>
                <w:szCs w:val="16"/>
              </w:rPr>
            </w:pPr>
            <w:r w:rsidRPr="00BE78CA">
              <w:rPr>
                <w:rFonts w:eastAsia="Arial" w:cs="Calibri"/>
                <w:szCs w:val="16"/>
              </w:rPr>
              <w:t>Pre-1990 natural forest</w:t>
            </w:r>
          </w:p>
        </w:tc>
        <w:tc>
          <w:tcPr>
            <w:tcW w:w="1275" w:type="dxa"/>
            <w:tcBorders>
              <w:top w:val="single" w:sz="4" w:space="0" w:color="365F91"/>
              <w:left w:val="nil"/>
              <w:bottom w:val="single" w:sz="4" w:space="0" w:color="365F91"/>
              <w:right w:val="nil"/>
            </w:tcBorders>
            <w:shd w:val="clear" w:color="auto" w:fill="auto"/>
          </w:tcPr>
          <w:p w14:paraId="2C9DB636" w14:textId="77777777" w:rsidR="00333601" w:rsidRPr="00BE78CA" w:rsidRDefault="00333601" w:rsidP="00C26084">
            <w:pPr>
              <w:pStyle w:val="TableText"/>
              <w:jc w:val="right"/>
              <w:rPr>
                <w:rFonts w:eastAsia="Arial" w:cs="Calibri"/>
                <w:szCs w:val="16"/>
              </w:rPr>
            </w:pPr>
            <w:r w:rsidRPr="00BE78CA">
              <w:rPr>
                <w:rFonts w:eastAsia="Arial" w:cs="Calibri"/>
                <w:szCs w:val="16"/>
              </w:rPr>
              <w:t>–13.73</w:t>
            </w:r>
          </w:p>
        </w:tc>
        <w:tc>
          <w:tcPr>
            <w:tcW w:w="1584" w:type="dxa"/>
            <w:tcBorders>
              <w:top w:val="single" w:sz="4" w:space="0" w:color="365F91"/>
              <w:left w:val="nil"/>
              <w:bottom w:val="single" w:sz="4" w:space="0" w:color="365F91"/>
              <w:right w:val="nil"/>
            </w:tcBorders>
            <w:shd w:val="clear" w:color="auto" w:fill="auto"/>
          </w:tcPr>
          <w:p w14:paraId="39640B7C" w14:textId="77777777" w:rsidR="00333601" w:rsidRPr="00BE78CA" w:rsidRDefault="00333601" w:rsidP="00C26084">
            <w:pPr>
              <w:pStyle w:val="TableText"/>
              <w:jc w:val="right"/>
              <w:rPr>
                <w:rFonts w:eastAsia="Arial" w:cs="Calibri"/>
                <w:szCs w:val="16"/>
              </w:rPr>
            </w:pPr>
            <w:r w:rsidRPr="00BE78CA">
              <w:rPr>
                <w:rFonts w:eastAsia="Arial" w:cs="Calibri"/>
                <w:szCs w:val="16"/>
              </w:rPr>
              <w:t>3.70</w:t>
            </w:r>
          </w:p>
        </w:tc>
        <w:tc>
          <w:tcPr>
            <w:tcW w:w="1195" w:type="dxa"/>
            <w:tcBorders>
              <w:top w:val="single" w:sz="4" w:space="0" w:color="365F91"/>
              <w:left w:val="nil"/>
              <w:bottom w:val="single" w:sz="4" w:space="0" w:color="365F91"/>
              <w:right w:val="nil"/>
            </w:tcBorders>
            <w:shd w:val="clear" w:color="auto" w:fill="auto"/>
          </w:tcPr>
          <w:p w14:paraId="4E197408" w14:textId="77777777" w:rsidR="00333601" w:rsidRPr="00BE78CA" w:rsidRDefault="00333601" w:rsidP="00C26084">
            <w:pPr>
              <w:pStyle w:val="TableText"/>
              <w:jc w:val="right"/>
              <w:rPr>
                <w:rFonts w:eastAsia="Arial" w:cs="Calibri"/>
                <w:szCs w:val="16"/>
              </w:rPr>
            </w:pPr>
            <w:r w:rsidRPr="00BE78CA">
              <w:rPr>
                <w:rFonts w:eastAsia="Arial" w:cs="Calibri"/>
                <w:szCs w:val="16"/>
              </w:rPr>
              <w:t>–3.71</w:t>
            </w:r>
          </w:p>
        </w:tc>
        <w:tc>
          <w:tcPr>
            <w:tcW w:w="1196" w:type="dxa"/>
            <w:tcBorders>
              <w:top w:val="single" w:sz="4" w:space="0" w:color="365F91"/>
              <w:left w:val="nil"/>
              <w:bottom w:val="single" w:sz="4" w:space="0" w:color="365F91"/>
            </w:tcBorders>
            <w:shd w:val="clear" w:color="auto" w:fill="auto"/>
          </w:tcPr>
          <w:p w14:paraId="41852488" w14:textId="77777777" w:rsidR="00333601" w:rsidRPr="00BE78CA" w:rsidRDefault="00333601" w:rsidP="00C26084">
            <w:pPr>
              <w:pStyle w:val="TableText"/>
              <w:jc w:val="right"/>
              <w:rPr>
                <w:rFonts w:eastAsia="Arial" w:cs="Calibri"/>
                <w:szCs w:val="16"/>
              </w:rPr>
            </w:pPr>
            <w:r w:rsidRPr="00BE78CA">
              <w:rPr>
                <w:rFonts w:eastAsia="Arial" w:cs="Calibri"/>
                <w:szCs w:val="16"/>
              </w:rPr>
              <w:t>0.0002</w:t>
            </w:r>
          </w:p>
        </w:tc>
      </w:tr>
      <w:tr w:rsidR="00333601" w:rsidRPr="00BE78CA" w14:paraId="02B953D1" w14:textId="77777777" w:rsidTr="009B1379">
        <w:tc>
          <w:tcPr>
            <w:tcW w:w="2745" w:type="dxa"/>
            <w:tcBorders>
              <w:top w:val="single" w:sz="4" w:space="0" w:color="365F91"/>
              <w:bottom w:val="single" w:sz="4" w:space="0" w:color="365F91"/>
              <w:right w:val="nil"/>
            </w:tcBorders>
            <w:shd w:val="clear" w:color="auto" w:fill="auto"/>
          </w:tcPr>
          <w:p w14:paraId="7F1069A8" w14:textId="77777777" w:rsidR="00333601" w:rsidRPr="00BE78CA" w:rsidRDefault="00333601" w:rsidP="00C26084">
            <w:pPr>
              <w:pStyle w:val="TableText"/>
              <w:rPr>
                <w:rFonts w:eastAsia="Arial" w:cs="Calibri"/>
                <w:szCs w:val="16"/>
              </w:rPr>
            </w:pPr>
            <w:r w:rsidRPr="00BE78CA">
              <w:rPr>
                <w:rFonts w:eastAsia="Arial" w:cs="Calibri"/>
                <w:szCs w:val="16"/>
              </w:rPr>
              <w:t>Other land</w:t>
            </w:r>
          </w:p>
        </w:tc>
        <w:tc>
          <w:tcPr>
            <w:tcW w:w="1275" w:type="dxa"/>
            <w:tcBorders>
              <w:top w:val="single" w:sz="4" w:space="0" w:color="365F91"/>
              <w:left w:val="nil"/>
              <w:bottom w:val="single" w:sz="4" w:space="0" w:color="365F91"/>
              <w:right w:val="nil"/>
            </w:tcBorders>
            <w:shd w:val="clear" w:color="auto" w:fill="auto"/>
          </w:tcPr>
          <w:p w14:paraId="33B25648" w14:textId="77777777" w:rsidR="00333601" w:rsidRPr="00BE78CA" w:rsidRDefault="00333601" w:rsidP="00C26084">
            <w:pPr>
              <w:pStyle w:val="TableText"/>
              <w:jc w:val="right"/>
              <w:rPr>
                <w:rFonts w:eastAsia="Arial" w:cs="Calibri"/>
                <w:szCs w:val="16"/>
              </w:rPr>
            </w:pPr>
            <w:r w:rsidRPr="00BE78CA">
              <w:rPr>
                <w:rFonts w:eastAsia="Arial" w:cs="Calibri"/>
                <w:szCs w:val="16"/>
              </w:rPr>
              <w:t>–47.61</w:t>
            </w:r>
          </w:p>
        </w:tc>
        <w:tc>
          <w:tcPr>
            <w:tcW w:w="1584" w:type="dxa"/>
            <w:tcBorders>
              <w:top w:val="single" w:sz="4" w:space="0" w:color="365F91"/>
              <w:left w:val="nil"/>
              <w:bottom w:val="single" w:sz="4" w:space="0" w:color="365F91"/>
              <w:right w:val="nil"/>
            </w:tcBorders>
            <w:shd w:val="clear" w:color="auto" w:fill="auto"/>
          </w:tcPr>
          <w:p w14:paraId="5BA4D28F" w14:textId="77777777" w:rsidR="00333601" w:rsidRPr="00BE78CA" w:rsidRDefault="00333601" w:rsidP="00C26084">
            <w:pPr>
              <w:pStyle w:val="TableText"/>
              <w:jc w:val="right"/>
              <w:rPr>
                <w:rFonts w:eastAsia="Arial" w:cs="Calibri"/>
                <w:szCs w:val="16"/>
              </w:rPr>
            </w:pPr>
            <w:r w:rsidRPr="00BE78CA">
              <w:rPr>
                <w:rFonts w:eastAsia="Arial" w:cs="Calibri"/>
                <w:szCs w:val="16"/>
              </w:rPr>
              <w:t>21.05</w:t>
            </w:r>
          </w:p>
        </w:tc>
        <w:tc>
          <w:tcPr>
            <w:tcW w:w="1195" w:type="dxa"/>
            <w:tcBorders>
              <w:top w:val="single" w:sz="4" w:space="0" w:color="365F91"/>
              <w:left w:val="nil"/>
              <w:bottom w:val="single" w:sz="4" w:space="0" w:color="365F91"/>
              <w:right w:val="nil"/>
            </w:tcBorders>
            <w:shd w:val="clear" w:color="auto" w:fill="auto"/>
          </w:tcPr>
          <w:p w14:paraId="5D2E9FF3" w14:textId="77777777" w:rsidR="00333601" w:rsidRPr="00BE78CA" w:rsidRDefault="00333601" w:rsidP="00C26084">
            <w:pPr>
              <w:pStyle w:val="TableText"/>
              <w:jc w:val="right"/>
              <w:rPr>
                <w:rFonts w:eastAsia="Arial" w:cs="Calibri"/>
                <w:szCs w:val="16"/>
              </w:rPr>
            </w:pPr>
            <w:r w:rsidRPr="00BE78CA">
              <w:rPr>
                <w:rFonts w:eastAsia="Arial" w:cs="Calibri"/>
                <w:szCs w:val="16"/>
              </w:rPr>
              <w:t>–2.26</w:t>
            </w:r>
          </w:p>
        </w:tc>
        <w:tc>
          <w:tcPr>
            <w:tcW w:w="1196" w:type="dxa"/>
            <w:tcBorders>
              <w:top w:val="single" w:sz="4" w:space="0" w:color="365F91"/>
              <w:left w:val="nil"/>
              <w:bottom w:val="single" w:sz="4" w:space="0" w:color="365F91"/>
            </w:tcBorders>
            <w:shd w:val="clear" w:color="auto" w:fill="auto"/>
          </w:tcPr>
          <w:p w14:paraId="60BB0B9C" w14:textId="77777777" w:rsidR="00333601" w:rsidRPr="00BE78CA" w:rsidRDefault="00333601" w:rsidP="00C26084">
            <w:pPr>
              <w:pStyle w:val="TableText"/>
              <w:jc w:val="right"/>
              <w:rPr>
                <w:rFonts w:eastAsia="Arial" w:cs="Calibri"/>
                <w:szCs w:val="16"/>
              </w:rPr>
            </w:pPr>
            <w:r w:rsidRPr="00BE78CA">
              <w:rPr>
                <w:rFonts w:eastAsia="Arial" w:cs="Calibri"/>
                <w:szCs w:val="16"/>
              </w:rPr>
              <w:t>0.0238</w:t>
            </w:r>
          </w:p>
        </w:tc>
      </w:tr>
    </w:tbl>
    <w:p w14:paraId="1AD11ADF" w14:textId="77777777" w:rsidR="00333601" w:rsidRPr="00BE78CA" w:rsidRDefault="00333601" w:rsidP="00333601">
      <w:pPr>
        <w:pStyle w:val="Source"/>
      </w:pPr>
      <w:r w:rsidRPr="00BE78CA">
        <w:rPr>
          <w:b/>
          <w:bCs/>
        </w:rPr>
        <w:t>Source</w:t>
      </w:r>
      <w:r w:rsidRPr="00BE78CA">
        <w:rPr>
          <w:b/>
        </w:rPr>
        <w:t xml:space="preserve">: </w:t>
      </w:r>
      <w:r w:rsidRPr="00BE78CA">
        <w:t>McNeill and Barringer (unpublished)</w:t>
      </w:r>
    </w:p>
    <w:p w14:paraId="63009B5A" w14:textId="77777777" w:rsidR="00333601" w:rsidRPr="00BE78CA" w:rsidRDefault="00333601" w:rsidP="00333601">
      <w:pPr>
        <w:pStyle w:val="Noteundertable"/>
      </w:pPr>
      <w:r w:rsidRPr="00BE78CA">
        <w:rPr>
          <w:b/>
        </w:rPr>
        <w:t>Note:</w:t>
      </w:r>
      <w:r w:rsidRPr="00BE78CA">
        <w:tab/>
        <w:t xml:space="preserve">The model intercept (estimate for low producing grassland) is used for </w:t>
      </w:r>
      <w:r w:rsidRPr="00BE78CA">
        <w:rPr>
          <w:i/>
        </w:rPr>
        <w:t>Settlements</w:t>
      </w:r>
      <w:r w:rsidRPr="00BE78CA">
        <w:t xml:space="preserve"> and </w:t>
      </w:r>
      <w:r w:rsidRPr="00BE78CA">
        <w:rPr>
          <w:i/>
        </w:rPr>
        <w:t>Wetlands – open water</w:t>
      </w:r>
      <w:r w:rsidRPr="00BE78CA">
        <w:t xml:space="preserve"> land use categories due to lack of data.</w:t>
      </w:r>
    </w:p>
    <w:p w14:paraId="2954C156" w14:textId="77777777" w:rsidR="00333601" w:rsidRPr="00BE78CA" w:rsidRDefault="00333601" w:rsidP="00333601">
      <w:pPr>
        <w:pStyle w:val="Table"/>
      </w:pPr>
      <w:bookmarkStart w:id="1534" w:name="_Toc443645370"/>
      <w:bookmarkStart w:id="1535" w:name="_Toc474914589"/>
      <w:bookmarkStart w:id="1536" w:name="_Toc481751553"/>
      <w:bookmarkStart w:id="1537" w:name="_Toc522010610"/>
      <w:bookmarkStart w:id="1538" w:name="_Toc5269515"/>
      <w:bookmarkStart w:id="1539" w:name="_Toc33529389"/>
      <w:bookmarkStart w:id="1540" w:name="_Toc36224595"/>
      <w:bookmarkStart w:id="1541" w:name="_Toc65243590"/>
      <w:bookmarkStart w:id="1542" w:name="_Toc68786480"/>
      <w:bookmarkStart w:id="1543" w:name="_Toc378853288"/>
      <w:bookmarkStart w:id="1544" w:name="_Toc391024086"/>
      <w:bookmarkStart w:id="1545" w:name="_Toc410028829"/>
      <w:bookmarkStart w:id="1546" w:name="_Toc414531457"/>
      <w:r w:rsidRPr="00BE78CA">
        <w:lastRenderedPageBreak/>
        <w:t>Table 6.3.2</w:t>
      </w:r>
      <w:r w:rsidRPr="00BE78CA">
        <w:tab/>
        <w:t>Steady state soil organic carbon stocks, with 95 per cent confidence intervals,</w:t>
      </w:r>
      <w:r w:rsidRPr="00BE78CA">
        <w:br/>
        <w:t>calculated from Soil CMS model</w:t>
      </w:r>
      <w:bookmarkEnd w:id="1534"/>
      <w:bookmarkEnd w:id="1535"/>
      <w:bookmarkEnd w:id="1536"/>
      <w:bookmarkEnd w:id="1537"/>
      <w:bookmarkEnd w:id="1538"/>
      <w:bookmarkEnd w:id="1539"/>
      <w:bookmarkEnd w:id="1540"/>
      <w:bookmarkEnd w:id="1541"/>
      <w:bookmarkEnd w:id="1542"/>
      <w:r w:rsidRPr="00BE78CA">
        <w:t xml:space="preserve"> </w:t>
      </w:r>
      <w:bookmarkEnd w:id="1543"/>
      <w:bookmarkEnd w:id="1544"/>
      <w:bookmarkEnd w:id="1545"/>
      <w:bookmarkEnd w:id="1546"/>
    </w:p>
    <w:tbl>
      <w:tblPr>
        <w:tblW w:w="8505" w:type="dxa"/>
        <w:tblLayout w:type="fixed"/>
        <w:tblLook w:val="04A0" w:firstRow="1" w:lastRow="0" w:firstColumn="1" w:lastColumn="0" w:noHBand="0" w:noVBand="1"/>
      </w:tblPr>
      <w:tblGrid>
        <w:gridCol w:w="2552"/>
        <w:gridCol w:w="1701"/>
        <w:gridCol w:w="2126"/>
        <w:gridCol w:w="2126"/>
      </w:tblGrid>
      <w:tr w:rsidR="00333601" w:rsidRPr="00BE78CA" w14:paraId="55C1B071" w14:textId="77777777" w:rsidTr="00AB7F2E">
        <w:tc>
          <w:tcPr>
            <w:tcW w:w="2552" w:type="dxa"/>
            <w:vMerge w:val="restart"/>
            <w:tcBorders>
              <w:top w:val="single" w:sz="4" w:space="0" w:color="365F91"/>
            </w:tcBorders>
            <w:shd w:val="clear" w:color="auto" w:fill="376092"/>
            <w:noWrap/>
            <w:vAlign w:val="bottom"/>
          </w:tcPr>
          <w:p w14:paraId="3389BA76" w14:textId="77777777" w:rsidR="00333601" w:rsidRPr="00BE78CA" w:rsidRDefault="00333601" w:rsidP="00C26084">
            <w:pPr>
              <w:pStyle w:val="TableTextBold"/>
              <w:keepNext/>
              <w:rPr>
                <w:rFonts w:cs="Calibri"/>
                <w:noProof w:val="0"/>
                <w:color w:val="FFFFFF"/>
                <w:szCs w:val="16"/>
              </w:rPr>
            </w:pPr>
            <w:r w:rsidRPr="00BE78CA">
              <w:rPr>
                <w:rFonts w:cs="Calibri"/>
                <w:noProof w:val="0"/>
                <w:color w:val="FFFFFF"/>
                <w:szCs w:val="16"/>
              </w:rPr>
              <w:t>Land use</w:t>
            </w:r>
          </w:p>
        </w:tc>
        <w:tc>
          <w:tcPr>
            <w:tcW w:w="1701" w:type="dxa"/>
            <w:vMerge w:val="restart"/>
            <w:tcBorders>
              <w:top w:val="single" w:sz="4" w:space="0" w:color="365F91"/>
            </w:tcBorders>
            <w:shd w:val="clear" w:color="auto" w:fill="376092"/>
            <w:noWrap/>
            <w:vAlign w:val="bottom"/>
          </w:tcPr>
          <w:p w14:paraId="45C31FE0" w14:textId="77777777" w:rsidR="00333601" w:rsidRPr="00BE78CA" w:rsidRDefault="00333601" w:rsidP="00C26084">
            <w:pPr>
              <w:pStyle w:val="TableTextBold"/>
              <w:keepNext/>
              <w:jc w:val="center"/>
              <w:rPr>
                <w:rFonts w:cs="Calibri"/>
                <w:noProof w:val="0"/>
                <w:color w:val="FFFFFF"/>
                <w:szCs w:val="16"/>
              </w:rPr>
            </w:pPr>
            <w:r w:rsidRPr="00BE78CA">
              <w:rPr>
                <w:rFonts w:cs="Calibri"/>
                <w:noProof w:val="0"/>
                <w:color w:val="FFFFFF"/>
                <w:szCs w:val="16"/>
              </w:rPr>
              <w:t>Steady state carbon SOC stock (t C ha</w:t>
            </w:r>
            <w:r w:rsidRPr="00BE78CA">
              <w:rPr>
                <w:rFonts w:cs="Calibri"/>
                <w:noProof w:val="0"/>
                <w:color w:val="FFFFFF"/>
                <w:szCs w:val="16"/>
                <w:vertAlign w:val="superscript"/>
              </w:rPr>
              <w:t>-1</w:t>
            </w:r>
            <w:r w:rsidRPr="00BE78CA">
              <w:rPr>
                <w:rFonts w:cs="Calibri"/>
                <w:noProof w:val="0"/>
                <w:color w:val="FFFFFF"/>
                <w:szCs w:val="16"/>
              </w:rPr>
              <w:t>)</w:t>
            </w:r>
          </w:p>
        </w:tc>
        <w:tc>
          <w:tcPr>
            <w:tcW w:w="4252" w:type="dxa"/>
            <w:gridSpan w:val="2"/>
            <w:tcBorders>
              <w:top w:val="single" w:sz="4" w:space="0" w:color="365F91"/>
            </w:tcBorders>
            <w:shd w:val="clear" w:color="auto" w:fill="376092"/>
            <w:noWrap/>
            <w:vAlign w:val="bottom"/>
          </w:tcPr>
          <w:p w14:paraId="69AABA80" w14:textId="77777777" w:rsidR="00333601" w:rsidRPr="00BE78CA" w:rsidRDefault="00333601" w:rsidP="00C26084">
            <w:pPr>
              <w:pStyle w:val="TableTextBold"/>
              <w:keepNext/>
              <w:spacing w:after="0"/>
              <w:jc w:val="center"/>
              <w:rPr>
                <w:rFonts w:cs="Calibri"/>
                <w:noProof w:val="0"/>
                <w:color w:val="FFFFFF"/>
                <w:szCs w:val="16"/>
              </w:rPr>
            </w:pPr>
            <w:r w:rsidRPr="00BE78CA">
              <w:rPr>
                <w:rFonts w:cs="Calibri"/>
                <w:noProof w:val="0"/>
                <w:color w:val="FFFFFF"/>
                <w:szCs w:val="16"/>
              </w:rPr>
              <w:t>95% confidence intervals (CI)</w:t>
            </w:r>
          </w:p>
        </w:tc>
      </w:tr>
      <w:tr w:rsidR="00333601" w:rsidRPr="00BE78CA" w14:paraId="5E5AF13B" w14:textId="77777777" w:rsidTr="00AB7F2E">
        <w:tc>
          <w:tcPr>
            <w:tcW w:w="2552" w:type="dxa"/>
            <w:vMerge/>
            <w:tcBorders>
              <w:bottom w:val="single" w:sz="4" w:space="0" w:color="365F91"/>
            </w:tcBorders>
            <w:shd w:val="clear" w:color="auto" w:fill="376092"/>
            <w:noWrap/>
            <w:vAlign w:val="bottom"/>
            <w:hideMark/>
          </w:tcPr>
          <w:p w14:paraId="029AC721" w14:textId="77777777" w:rsidR="00333601" w:rsidRPr="00BE78CA" w:rsidRDefault="00333601" w:rsidP="00C26084">
            <w:pPr>
              <w:pStyle w:val="TableTextBold"/>
              <w:keepNext/>
              <w:rPr>
                <w:rFonts w:cs="Calibri"/>
                <w:noProof w:val="0"/>
                <w:color w:val="FFFFFF"/>
                <w:szCs w:val="16"/>
              </w:rPr>
            </w:pPr>
          </w:p>
        </w:tc>
        <w:tc>
          <w:tcPr>
            <w:tcW w:w="1701" w:type="dxa"/>
            <w:vMerge/>
            <w:tcBorders>
              <w:bottom w:val="single" w:sz="4" w:space="0" w:color="365F91"/>
            </w:tcBorders>
            <w:shd w:val="clear" w:color="auto" w:fill="376092"/>
            <w:noWrap/>
            <w:vAlign w:val="bottom"/>
            <w:hideMark/>
          </w:tcPr>
          <w:p w14:paraId="06D5FBEF" w14:textId="77777777" w:rsidR="00333601" w:rsidRPr="00BE78CA" w:rsidRDefault="00333601" w:rsidP="00C26084">
            <w:pPr>
              <w:pStyle w:val="TableTextBold"/>
              <w:keepNext/>
              <w:jc w:val="center"/>
              <w:rPr>
                <w:rFonts w:cs="Calibri"/>
                <w:noProof w:val="0"/>
                <w:color w:val="FFFFFF"/>
                <w:szCs w:val="16"/>
              </w:rPr>
            </w:pPr>
          </w:p>
        </w:tc>
        <w:tc>
          <w:tcPr>
            <w:tcW w:w="2126" w:type="dxa"/>
            <w:tcBorders>
              <w:bottom w:val="single" w:sz="4" w:space="0" w:color="365F91"/>
            </w:tcBorders>
            <w:shd w:val="clear" w:color="auto" w:fill="376092"/>
            <w:noWrap/>
            <w:vAlign w:val="bottom"/>
            <w:hideMark/>
          </w:tcPr>
          <w:p w14:paraId="5A2EA31E" w14:textId="77777777" w:rsidR="00333601" w:rsidRPr="00BE78CA" w:rsidRDefault="00333601" w:rsidP="00C26084">
            <w:pPr>
              <w:pStyle w:val="TableTextBold"/>
              <w:keepNext/>
              <w:jc w:val="center"/>
              <w:rPr>
                <w:rFonts w:cs="Calibri"/>
                <w:noProof w:val="0"/>
                <w:color w:val="FFFFFF"/>
                <w:szCs w:val="16"/>
              </w:rPr>
            </w:pPr>
            <w:r w:rsidRPr="00BE78CA">
              <w:rPr>
                <w:rFonts w:cs="Calibri"/>
                <w:noProof w:val="0"/>
                <w:color w:val="FFFFFF"/>
                <w:szCs w:val="16"/>
              </w:rPr>
              <w:t>2.5% CI SOC stock (t C ha</w:t>
            </w:r>
            <w:r w:rsidRPr="00BE78CA">
              <w:rPr>
                <w:rFonts w:cs="Calibri"/>
                <w:noProof w:val="0"/>
                <w:color w:val="FFFFFF"/>
                <w:szCs w:val="16"/>
                <w:vertAlign w:val="superscript"/>
              </w:rPr>
              <w:t>-1</w:t>
            </w:r>
            <w:r w:rsidRPr="00BE78CA">
              <w:rPr>
                <w:rFonts w:cs="Calibri"/>
                <w:noProof w:val="0"/>
                <w:color w:val="FFFFFF"/>
                <w:szCs w:val="16"/>
              </w:rPr>
              <w:t>)</w:t>
            </w:r>
          </w:p>
        </w:tc>
        <w:tc>
          <w:tcPr>
            <w:tcW w:w="2126" w:type="dxa"/>
            <w:tcBorders>
              <w:bottom w:val="single" w:sz="4" w:space="0" w:color="365F91"/>
            </w:tcBorders>
            <w:shd w:val="clear" w:color="auto" w:fill="376092"/>
            <w:noWrap/>
            <w:vAlign w:val="bottom"/>
            <w:hideMark/>
          </w:tcPr>
          <w:p w14:paraId="4A349592" w14:textId="77777777" w:rsidR="00333601" w:rsidRPr="00BE78CA" w:rsidRDefault="00333601" w:rsidP="00C26084">
            <w:pPr>
              <w:pStyle w:val="TableTextBold"/>
              <w:keepNext/>
              <w:jc w:val="center"/>
              <w:rPr>
                <w:rFonts w:cs="Calibri"/>
                <w:noProof w:val="0"/>
                <w:color w:val="FFFFFF"/>
                <w:szCs w:val="16"/>
              </w:rPr>
            </w:pPr>
            <w:r w:rsidRPr="00BE78CA">
              <w:rPr>
                <w:rFonts w:cs="Calibri"/>
                <w:noProof w:val="0"/>
                <w:color w:val="FFFFFF"/>
                <w:szCs w:val="16"/>
              </w:rPr>
              <w:t>97.5% CI SOC stock (t C ha</w:t>
            </w:r>
            <w:r w:rsidRPr="00BE78CA">
              <w:rPr>
                <w:rFonts w:cs="Calibri"/>
                <w:noProof w:val="0"/>
                <w:color w:val="FFFFFF"/>
                <w:szCs w:val="16"/>
                <w:vertAlign w:val="superscript"/>
              </w:rPr>
              <w:t>-1</w:t>
            </w:r>
            <w:r w:rsidRPr="00BE78CA">
              <w:rPr>
                <w:rFonts w:cs="Calibri"/>
                <w:noProof w:val="0"/>
                <w:color w:val="FFFFFF"/>
                <w:szCs w:val="16"/>
              </w:rPr>
              <w:t>)</w:t>
            </w:r>
          </w:p>
        </w:tc>
      </w:tr>
      <w:tr w:rsidR="00333601" w:rsidRPr="00BE78CA" w14:paraId="1EB93CA5" w14:textId="77777777" w:rsidTr="00AB7F2E">
        <w:tc>
          <w:tcPr>
            <w:tcW w:w="2552" w:type="dxa"/>
            <w:tcBorders>
              <w:top w:val="single" w:sz="4" w:space="0" w:color="365F91"/>
              <w:bottom w:val="single" w:sz="4" w:space="0" w:color="365F91"/>
            </w:tcBorders>
            <w:noWrap/>
            <w:hideMark/>
          </w:tcPr>
          <w:p w14:paraId="61E5538D" w14:textId="77777777" w:rsidR="00333601" w:rsidRPr="00BE78CA" w:rsidRDefault="00333601" w:rsidP="00C26084">
            <w:pPr>
              <w:pStyle w:val="TableText"/>
              <w:rPr>
                <w:rFonts w:cs="Calibri"/>
                <w:szCs w:val="16"/>
              </w:rPr>
            </w:pPr>
            <w:r w:rsidRPr="00BE78CA">
              <w:rPr>
                <w:rFonts w:cs="Calibri"/>
                <w:szCs w:val="16"/>
              </w:rPr>
              <w:t>Pre-1990 natural forest</w:t>
            </w:r>
          </w:p>
        </w:tc>
        <w:tc>
          <w:tcPr>
            <w:tcW w:w="1701" w:type="dxa"/>
            <w:tcBorders>
              <w:top w:val="single" w:sz="4" w:space="0" w:color="365F91"/>
              <w:bottom w:val="single" w:sz="4" w:space="0" w:color="365F91"/>
            </w:tcBorders>
            <w:noWrap/>
            <w:hideMark/>
          </w:tcPr>
          <w:p w14:paraId="35C33060" w14:textId="77777777" w:rsidR="00333601" w:rsidRPr="00BE78CA" w:rsidRDefault="00333601" w:rsidP="00C26084">
            <w:pPr>
              <w:pStyle w:val="TableText"/>
              <w:tabs>
                <w:tab w:val="decimal" w:pos="577"/>
              </w:tabs>
              <w:jc w:val="center"/>
              <w:rPr>
                <w:rFonts w:cs="Calibri"/>
                <w:szCs w:val="16"/>
              </w:rPr>
            </w:pPr>
            <w:r w:rsidRPr="00BE78CA">
              <w:rPr>
                <w:rFonts w:cs="Calibri"/>
                <w:szCs w:val="16"/>
              </w:rPr>
              <w:t>92.25</w:t>
            </w:r>
          </w:p>
        </w:tc>
        <w:tc>
          <w:tcPr>
            <w:tcW w:w="2126" w:type="dxa"/>
            <w:tcBorders>
              <w:top w:val="single" w:sz="4" w:space="0" w:color="365F91"/>
              <w:bottom w:val="single" w:sz="4" w:space="0" w:color="365F91"/>
            </w:tcBorders>
            <w:noWrap/>
            <w:hideMark/>
          </w:tcPr>
          <w:p w14:paraId="1C2398C9" w14:textId="77777777" w:rsidR="00333601" w:rsidRPr="00BE78CA" w:rsidRDefault="00333601" w:rsidP="00C26084">
            <w:pPr>
              <w:pStyle w:val="TableText"/>
              <w:tabs>
                <w:tab w:val="decimal" w:pos="577"/>
              </w:tabs>
              <w:jc w:val="center"/>
              <w:rPr>
                <w:rFonts w:cs="Calibri"/>
                <w:szCs w:val="16"/>
              </w:rPr>
            </w:pPr>
            <w:r w:rsidRPr="00BE78CA">
              <w:rPr>
                <w:rFonts w:cs="Calibri"/>
                <w:szCs w:val="16"/>
              </w:rPr>
              <w:t>84.99</w:t>
            </w:r>
          </w:p>
        </w:tc>
        <w:tc>
          <w:tcPr>
            <w:tcW w:w="2126" w:type="dxa"/>
            <w:tcBorders>
              <w:top w:val="single" w:sz="4" w:space="0" w:color="365F91"/>
              <w:bottom w:val="single" w:sz="4" w:space="0" w:color="365F91"/>
            </w:tcBorders>
            <w:noWrap/>
            <w:hideMark/>
          </w:tcPr>
          <w:p w14:paraId="1CA91C8E" w14:textId="77777777" w:rsidR="00333601" w:rsidRPr="00BE78CA" w:rsidRDefault="00333601" w:rsidP="00C26084">
            <w:pPr>
              <w:pStyle w:val="TableText"/>
              <w:tabs>
                <w:tab w:val="decimal" w:pos="577"/>
              </w:tabs>
              <w:jc w:val="center"/>
              <w:rPr>
                <w:rFonts w:cs="Calibri"/>
                <w:szCs w:val="16"/>
              </w:rPr>
            </w:pPr>
            <w:r w:rsidRPr="00BE78CA">
              <w:rPr>
                <w:rFonts w:cs="Calibri"/>
                <w:szCs w:val="16"/>
              </w:rPr>
              <w:t>99.51</w:t>
            </w:r>
          </w:p>
        </w:tc>
      </w:tr>
      <w:tr w:rsidR="00333601" w:rsidRPr="00BE78CA" w14:paraId="576023DF" w14:textId="77777777" w:rsidTr="00AB7F2E">
        <w:tc>
          <w:tcPr>
            <w:tcW w:w="2552" w:type="dxa"/>
            <w:tcBorders>
              <w:top w:val="single" w:sz="4" w:space="0" w:color="365F91"/>
              <w:bottom w:val="single" w:sz="4" w:space="0" w:color="365F91"/>
            </w:tcBorders>
            <w:noWrap/>
            <w:hideMark/>
          </w:tcPr>
          <w:p w14:paraId="43583D3D" w14:textId="77777777" w:rsidR="00333601" w:rsidRPr="00BE78CA" w:rsidRDefault="00333601" w:rsidP="00C26084">
            <w:pPr>
              <w:pStyle w:val="TableText"/>
              <w:rPr>
                <w:rFonts w:cs="Calibri"/>
                <w:szCs w:val="16"/>
              </w:rPr>
            </w:pPr>
            <w:r w:rsidRPr="00BE78CA">
              <w:rPr>
                <w:rFonts w:cs="Calibri"/>
                <w:szCs w:val="16"/>
              </w:rPr>
              <w:t>Pre-1990 planted forest</w:t>
            </w:r>
          </w:p>
        </w:tc>
        <w:tc>
          <w:tcPr>
            <w:tcW w:w="1701" w:type="dxa"/>
            <w:tcBorders>
              <w:top w:val="single" w:sz="4" w:space="0" w:color="365F91"/>
              <w:bottom w:val="single" w:sz="4" w:space="0" w:color="365F91"/>
            </w:tcBorders>
            <w:noWrap/>
            <w:hideMark/>
          </w:tcPr>
          <w:p w14:paraId="2B3228F3" w14:textId="77777777" w:rsidR="00333601" w:rsidRPr="00BE78CA" w:rsidRDefault="00333601" w:rsidP="00C26084">
            <w:pPr>
              <w:pStyle w:val="TableText"/>
              <w:tabs>
                <w:tab w:val="decimal" w:pos="577"/>
              </w:tabs>
              <w:jc w:val="center"/>
              <w:rPr>
                <w:rFonts w:cs="Calibri"/>
                <w:szCs w:val="16"/>
              </w:rPr>
            </w:pPr>
            <w:r w:rsidRPr="00BE78CA">
              <w:rPr>
                <w:rFonts w:cs="Calibri"/>
                <w:szCs w:val="16"/>
              </w:rPr>
              <w:t>92.44</w:t>
            </w:r>
          </w:p>
        </w:tc>
        <w:tc>
          <w:tcPr>
            <w:tcW w:w="2126" w:type="dxa"/>
            <w:tcBorders>
              <w:top w:val="single" w:sz="4" w:space="0" w:color="365F91"/>
              <w:bottom w:val="single" w:sz="4" w:space="0" w:color="365F91"/>
            </w:tcBorders>
            <w:noWrap/>
            <w:hideMark/>
          </w:tcPr>
          <w:p w14:paraId="3E59B94F" w14:textId="77777777" w:rsidR="00333601" w:rsidRPr="00BE78CA" w:rsidRDefault="00333601" w:rsidP="00C26084">
            <w:pPr>
              <w:pStyle w:val="TableText"/>
              <w:tabs>
                <w:tab w:val="decimal" w:pos="577"/>
              </w:tabs>
              <w:jc w:val="center"/>
              <w:rPr>
                <w:rFonts w:cs="Calibri"/>
                <w:szCs w:val="16"/>
              </w:rPr>
            </w:pPr>
            <w:r w:rsidRPr="00BE78CA">
              <w:rPr>
                <w:rFonts w:cs="Calibri"/>
                <w:szCs w:val="16"/>
              </w:rPr>
              <w:t>81.12</w:t>
            </w:r>
          </w:p>
        </w:tc>
        <w:tc>
          <w:tcPr>
            <w:tcW w:w="2126" w:type="dxa"/>
            <w:tcBorders>
              <w:top w:val="single" w:sz="4" w:space="0" w:color="365F91"/>
              <w:bottom w:val="single" w:sz="4" w:space="0" w:color="365F91"/>
            </w:tcBorders>
            <w:noWrap/>
            <w:hideMark/>
          </w:tcPr>
          <w:p w14:paraId="1326ED09" w14:textId="77777777" w:rsidR="00333601" w:rsidRPr="00BE78CA" w:rsidRDefault="00333601" w:rsidP="00C26084">
            <w:pPr>
              <w:pStyle w:val="TableText"/>
              <w:tabs>
                <w:tab w:val="decimal" w:pos="577"/>
              </w:tabs>
              <w:jc w:val="center"/>
              <w:rPr>
                <w:rFonts w:cs="Calibri"/>
                <w:szCs w:val="16"/>
              </w:rPr>
            </w:pPr>
            <w:r w:rsidRPr="00BE78CA">
              <w:rPr>
                <w:rFonts w:cs="Calibri"/>
                <w:szCs w:val="16"/>
              </w:rPr>
              <w:t>103.77</w:t>
            </w:r>
          </w:p>
        </w:tc>
      </w:tr>
      <w:tr w:rsidR="00333601" w:rsidRPr="00BE78CA" w14:paraId="71ECA22A" w14:textId="77777777" w:rsidTr="00AB7F2E">
        <w:tc>
          <w:tcPr>
            <w:tcW w:w="2552" w:type="dxa"/>
            <w:tcBorders>
              <w:top w:val="single" w:sz="4" w:space="0" w:color="365F91"/>
              <w:bottom w:val="single" w:sz="4" w:space="0" w:color="365F91"/>
            </w:tcBorders>
            <w:noWrap/>
            <w:hideMark/>
          </w:tcPr>
          <w:p w14:paraId="1E4D054B" w14:textId="77777777" w:rsidR="00333601" w:rsidRPr="00BE78CA" w:rsidRDefault="00333601" w:rsidP="00C26084">
            <w:pPr>
              <w:pStyle w:val="TableText"/>
              <w:rPr>
                <w:rFonts w:cs="Calibri"/>
                <w:szCs w:val="16"/>
              </w:rPr>
            </w:pPr>
            <w:r w:rsidRPr="00BE78CA">
              <w:rPr>
                <w:rFonts w:cs="Calibri"/>
                <w:szCs w:val="16"/>
              </w:rPr>
              <w:t>Post-1989 planted forest</w:t>
            </w:r>
          </w:p>
        </w:tc>
        <w:tc>
          <w:tcPr>
            <w:tcW w:w="1701" w:type="dxa"/>
            <w:tcBorders>
              <w:top w:val="single" w:sz="4" w:space="0" w:color="365F91"/>
              <w:bottom w:val="single" w:sz="4" w:space="0" w:color="365F91"/>
            </w:tcBorders>
            <w:noWrap/>
            <w:hideMark/>
          </w:tcPr>
          <w:p w14:paraId="0BD0DB93" w14:textId="77777777" w:rsidR="00333601" w:rsidRPr="00BE78CA" w:rsidRDefault="00333601" w:rsidP="00C26084">
            <w:pPr>
              <w:pStyle w:val="TableText"/>
              <w:tabs>
                <w:tab w:val="decimal" w:pos="577"/>
              </w:tabs>
              <w:jc w:val="center"/>
              <w:rPr>
                <w:rFonts w:cs="Calibri"/>
                <w:szCs w:val="16"/>
              </w:rPr>
            </w:pPr>
            <w:r w:rsidRPr="00BE78CA">
              <w:rPr>
                <w:rFonts w:cs="Calibri"/>
                <w:szCs w:val="16"/>
              </w:rPr>
              <w:t>91.92</w:t>
            </w:r>
          </w:p>
        </w:tc>
        <w:tc>
          <w:tcPr>
            <w:tcW w:w="2126" w:type="dxa"/>
            <w:tcBorders>
              <w:top w:val="single" w:sz="4" w:space="0" w:color="365F91"/>
              <w:bottom w:val="single" w:sz="4" w:space="0" w:color="365F91"/>
            </w:tcBorders>
            <w:noWrap/>
            <w:hideMark/>
          </w:tcPr>
          <w:p w14:paraId="66845B42" w14:textId="77777777" w:rsidR="00333601" w:rsidRPr="00BE78CA" w:rsidRDefault="00333601" w:rsidP="00C26084">
            <w:pPr>
              <w:pStyle w:val="TableText"/>
              <w:tabs>
                <w:tab w:val="decimal" w:pos="577"/>
              </w:tabs>
              <w:jc w:val="center"/>
              <w:rPr>
                <w:rFonts w:cs="Calibri"/>
                <w:szCs w:val="16"/>
              </w:rPr>
            </w:pPr>
            <w:r w:rsidRPr="00BE78CA">
              <w:rPr>
                <w:rFonts w:cs="Calibri"/>
                <w:szCs w:val="16"/>
              </w:rPr>
              <w:t>82.40</w:t>
            </w:r>
          </w:p>
        </w:tc>
        <w:tc>
          <w:tcPr>
            <w:tcW w:w="2126" w:type="dxa"/>
            <w:tcBorders>
              <w:top w:val="single" w:sz="4" w:space="0" w:color="365F91"/>
              <w:bottom w:val="single" w:sz="4" w:space="0" w:color="365F91"/>
            </w:tcBorders>
            <w:noWrap/>
            <w:hideMark/>
          </w:tcPr>
          <w:p w14:paraId="7EADF067" w14:textId="77777777" w:rsidR="00333601" w:rsidRPr="00BE78CA" w:rsidRDefault="00333601" w:rsidP="00C26084">
            <w:pPr>
              <w:pStyle w:val="TableText"/>
              <w:tabs>
                <w:tab w:val="decimal" w:pos="577"/>
              </w:tabs>
              <w:jc w:val="center"/>
              <w:rPr>
                <w:rFonts w:cs="Calibri"/>
                <w:szCs w:val="16"/>
              </w:rPr>
            </w:pPr>
            <w:r w:rsidRPr="00BE78CA">
              <w:rPr>
                <w:rFonts w:cs="Calibri"/>
                <w:szCs w:val="16"/>
              </w:rPr>
              <w:t>101.44</w:t>
            </w:r>
          </w:p>
        </w:tc>
      </w:tr>
      <w:tr w:rsidR="00333601" w:rsidRPr="00BE78CA" w14:paraId="1F388999" w14:textId="77777777" w:rsidTr="00AB7F2E">
        <w:tc>
          <w:tcPr>
            <w:tcW w:w="2552" w:type="dxa"/>
            <w:tcBorders>
              <w:top w:val="single" w:sz="4" w:space="0" w:color="365F91"/>
              <w:bottom w:val="single" w:sz="4" w:space="0" w:color="365F91"/>
            </w:tcBorders>
            <w:noWrap/>
          </w:tcPr>
          <w:p w14:paraId="1E16241D" w14:textId="77777777" w:rsidR="00333601" w:rsidRPr="00BE78CA" w:rsidRDefault="00333601" w:rsidP="00C26084">
            <w:pPr>
              <w:pStyle w:val="TableText"/>
              <w:rPr>
                <w:rFonts w:cs="Calibri"/>
                <w:szCs w:val="16"/>
              </w:rPr>
            </w:pPr>
            <w:r w:rsidRPr="00BE78CA">
              <w:rPr>
                <w:rFonts w:cs="Calibri"/>
                <w:szCs w:val="16"/>
              </w:rPr>
              <w:t>Post-1989 natural forest</w:t>
            </w:r>
          </w:p>
        </w:tc>
        <w:tc>
          <w:tcPr>
            <w:tcW w:w="1701" w:type="dxa"/>
            <w:tcBorders>
              <w:top w:val="single" w:sz="4" w:space="0" w:color="365F91"/>
              <w:bottom w:val="single" w:sz="4" w:space="0" w:color="365F91"/>
            </w:tcBorders>
            <w:noWrap/>
          </w:tcPr>
          <w:p w14:paraId="527433F1" w14:textId="77777777" w:rsidR="00333601" w:rsidRPr="00BE78CA" w:rsidRDefault="00333601" w:rsidP="00C26084">
            <w:pPr>
              <w:pStyle w:val="TableText"/>
              <w:tabs>
                <w:tab w:val="decimal" w:pos="577"/>
              </w:tabs>
              <w:jc w:val="center"/>
              <w:rPr>
                <w:rFonts w:cs="Calibri"/>
                <w:szCs w:val="16"/>
              </w:rPr>
            </w:pPr>
            <w:r w:rsidRPr="00BE78CA">
              <w:rPr>
                <w:rFonts w:cs="Calibri"/>
                <w:szCs w:val="16"/>
              </w:rPr>
              <w:t>91.92</w:t>
            </w:r>
          </w:p>
        </w:tc>
        <w:tc>
          <w:tcPr>
            <w:tcW w:w="2126" w:type="dxa"/>
            <w:tcBorders>
              <w:top w:val="single" w:sz="4" w:space="0" w:color="365F91"/>
              <w:bottom w:val="single" w:sz="4" w:space="0" w:color="365F91"/>
            </w:tcBorders>
            <w:noWrap/>
          </w:tcPr>
          <w:p w14:paraId="4EF9825C" w14:textId="77777777" w:rsidR="00333601" w:rsidRPr="00BE78CA" w:rsidRDefault="00333601" w:rsidP="00C26084">
            <w:pPr>
              <w:pStyle w:val="TableText"/>
              <w:tabs>
                <w:tab w:val="decimal" w:pos="577"/>
              </w:tabs>
              <w:jc w:val="center"/>
              <w:rPr>
                <w:rFonts w:cs="Calibri"/>
                <w:szCs w:val="16"/>
              </w:rPr>
            </w:pPr>
            <w:r w:rsidRPr="00BE78CA">
              <w:rPr>
                <w:rFonts w:cs="Calibri"/>
                <w:szCs w:val="16"/>
              </w:rPr>
              <w:t>82.40</w:t>
            </w:r>
          </w:p>
        </w:tc>
        <w:tc>
          <w:tcPr>
            <w:tcW w:w="2126" w:type="dxa"/>
            <w:tcBorders>
              <w:top w:val="single" w:sz="4" w:space="0" w:color="365F91"/>
              <w:bottom w:val="single" w:sz="4" w:space="0" w:color="365F91"/>
            </w:tcBorders>
            <w:noWrap/>
          </w:tcPr>
          <w:p w14:paraId="550AED25" w14:textId="77777777" w:rsidR="00333601" w:rsidRPr="00BE78CA" w:rsidRDefault="00333601" w:rsidP="00C26084">
            <w:pPr>
              <w:pStyle w:val="TableText"/>
              <w:tabs>
                <w:tab w:val="decimal" w:pos="577"/>
              </w:tabs>
              <w:jc w:val="center"/>
              <w:rPr>
                <w:rFonts w:cs="Calibri"/>
                <w:szCs w:val="16"/>
              </w:rPr>
            </w:pPr>
            <w:r w:rsidRPr="00BE78CA">
              <w:rPr>
                <w:rFonts w:cs="Calibri"/>
                <w:szCs w:val="16"/>
              </w:rPr>
              <w:t>101.44</w:t>
            </w:r>
          </w:p>
        </w:tc>
      </w:tr>
      <w:tr w:rsidR="00333601" w:rsidRPr="00BE78CA" w14:paraId="12A734B0" w14:textId="77777777" w:rsidTr="00AB7F2E">
        <w:tc>
          <w:tcPr>
            <w:tcW w:w="2552" w:type="dxa"/>
            <w:tcBorders>
              <w:top w:val="single" w:sz="4" w:space="0" w:color="365F91"/>
              <w:bottom w:val="single" w:sz="4" w:space="0" w:color="365F91"/>
            </w:tcBorders>
            <w:noWrap/>
            <w:hideMark/>
          </w:tcPr>
          <w:p w14:paraId="57036E4C" w14:textId="77777777" w:rsidR="00333601" w:rsidRPr="00BE78CA" w:rsidRDefault="00333601" w:rsidP="00C26084">
            <w:pPr>
              <w:pStyle w:val="TableText"/>
              <w:rPr>
                <w:rFonts w:cs="Calibri"/>
                <w:szCs w:val="16"/>
              </w:rPr>
            </w:pPr>
            <w:r w:rsidRPr="00BE78CA">
              <w:rPr>
                <w:rFonts w:cs="Calibri"/>
                <w:szCs w:val="16"/>
              </w:rPr>
              <w:t>Grassland with woody biomass</w:t>
            </w:r>
          </w:p>
        </w:tc>
        <w:tc>
          <w:tcPr>
            <w:tcW w:w="1701" w:type="dxa"/>
            <w:tcBorders>
              <w:top w:val="single" w:sz="4" w:space="0" w:color="365F91"/>
              <w:bottom w:val="single" w:sz="4" w:space="0" w:color="365F91"/>
            </w:tcBorders>
            <w:noWrap/>
            <w:hideMark/>
          </w:tcPr>
          <w:p w14:paraId="39AB50E5" w14:textId="77777777" w:rsidR="00333601" w:rsidRPr="00BE78CA" w:rsidRDefault="00333601" w:rsidP="00C26084">
            <w:pPr>
              <w:pStyle w:val="TableText"/>
              <w:tabs>
                <w:tab w:val="decimal" w:pos="577"/>
              </w:tabs>
              <w:jc w:val="center"/>
              <w:rPr>
                <w:rFonts w:cs="Calibri"/>
                <w:szCs w:val="16"/>
              </w:rPr>
            </w:pPr>
            <w:r w:rsidRPr="00BE78CA">
              <w:rPr>
                <w:rFonts w:cs="Calibri"/>
                <w:szCs w:val="16"/>
              </w:rPr>
              <w:t>98.23</w:t>
            </w:r>
          </w:p>
        </w:tc>
        <w:tc>
          <w:tcPr>
            <w:tcW w:w="2126" w:type="dxa"/>
            <w:tcBorders>
              <w:top w:val="single" w:sz="4" w:space="0" w:color="365F91"/>
              <w:bottom w:val="single" w:sz="4" w:space="0" w:color="365F91"/>
            </w:tcBorders>
            <w:noWrap/>
            <w:hideMark/>
          </w:tcPr>
          <w:p w14:paraId="7C4B419F" w14:textId="77777777" w:rsidR="00333601" w:rsidRPr="00BE78CA" w:rsidRDefault="00333601" w:rsidP="00C26084">
            <w:pPr>
              <w:pStyle w:val="TableText"/>
              <w:tabs>
                <w:tab w:val="decimal" w:pos="577"/>
              </w:tabs>
              <w:jc w:val="center"/>
              <w:rPr>
                <w:rFonts w:cs="Calibri"/>
                <w:szCs w:val="16"/>
              </w:rPr>
            </w:pPr>
            <w:r w:rsidRPr="00BE78CA">
              <w:rPr>
                <w:rFonts w:cs="Calibri"/>
                <w:szCs w:val="16"/>
              </w:rPr>
              <w:t>91.02</w:t>
            </w:r>
          </w:p>
        </w:tc>
        <w:tc>
          <w:tcPr>
            <w:tcW w:w="2126" w:type="dxa"/>
            <w:tcBorders>
              <w:top w:val="single" w:sz="4" w:space="0" w:color="365F91"/>
              <w:bottom w:val="single" w:sz="4" w:space="0" w:color="365F91"/>
            </w:tcBorders>
            <w:noWrap/>
            <w:hideMark/>
          </w:tcPr>
          <w:p w14:paraId="6E216832" w14:textId="77777777" w:rsidR="00333601" w:rsidRPr="00BE78CA" w:rsidRDefault="00333601" w:rsidP="00C26084">
            <w:pPr>
              <w:pStyle w:val="TableText"/>
              <w:tabs>
                <w:tab w:val="decimal" w:pos="577"/>
              </w:tabs>
              <w:jc w:val="center"/>
              <w:rPr>
                <w:rFonts w:cs="Calibri"/>
                <w:szCs w:val="16"/>
              </w:rPr>
            </w:pPr>
            <w:r w:rsidRPr="00BE78CA">
              <w:rPr>
                <w:rFonts w:cs="Calibri"/>
                <w:szCs w:val="16"/>
              </w:rPr>
              <w:t>105.43</w:t>
            </w:r>
          </w:p>
        </w:tc>
      </w:tr>
      <w:tr w:rsidR="00333601" w:rsidRPr="00BE78CA" w14:paraId="74244B79" w14:textId="77777777" w:rsidTr="00AB7F2E">
        <w:tc>
          <w:tcPr>
            <w:tcW w:w="2552" w:type="dxa"/>
            <w:tcBorders>
              <w:top w:val="single" w:sz="4" w:space="0" w:color="365F91"/>
              <w:bottom w:val="single" w:sz="4" w:space="0" w:color="365F91"/>
            </w:tcBorders>
            <w:noWrap/>
            <w:hideMark/>
          </w:tcPr>
          <w:p w14:paraId="339CF46B" w14:textId="77777777" w:rsidR="00333601" w:rsidRPr="00BE78CA" w:rsidRDefault="00333601" w:rsidP="00C26084">
            <w:pPr>
              <w:pStyle w:val="TableText"/>
              <w:rPr>
                <w:rFonts w:cs="Calibri"/>
                <w:szCs w:val="16"/>
              </w:rPr>
            </w:pPr>
            <w:r w:rsidRPr="00BE78CA">
              <w:rPr>
                <w:rFonts w:cs="Calibri"/>
                <w:szCs w:val="16"/>
              </w:rPr>
              <w:t>High producing grassland</w:t>
            </w:r>
          </w:p>
        </w:tc>
        <w:tc>
          <w:tcPr>
            <w:tcW w:w="1701" w:type="dxa"/>
            <w:tcBorders>
              <w:top w:val="single" w:sz="4" w:space="0" w:color="365F91"/>
              <w:bottom w:val="single" w:sz="4" w:space="0" w:color="365F91"/>
            </w:tcBorders>
            <w:noWrap/>
            <w:hideMark/>
          </w:tcPr>
          <w:p w14:paraId="2759745B" w14:textId="77777777" w:rsidR="00333601" w:rsidRPr="00BE78CA" w:rsidRDefault="00333601" w:rsidP="00C26084">
            <w:pPr>
              <w:pStyle w:val="TableText"/>
              <w:tabs>
                <w:tab w:val="decimal" w:pos="577"/>
              </w:tabs>
              <w:jc w:val="center"/>
              <w:rPr>
                <w:rFonts w:cs="Calibri"/>
                <w:szCs w:val="16"/>
              </w:rPr>
            </w:pPr>
            <w:r w:rsidRPr="00BE78CA">
              <w:rPr>
                <w:rFonts w:cs="Calibri"/>
                <w:szCs w:val="16"/>
              </w:rPr>
              <w:t>105.34</w:t>
            </w:r>
          </w:p>
        </w:tc>
        <w:tc>
          <w:tcPr>
            <w:tcW w:w="2126" w:type="dxa"/>
            <w:tcBorders>
              <w:top w:val="single" w:sz="4" w:space="0" w:color="365F91"/>
              <w:bottom w:val="single" w:sz="4" w:space="0" w:color="365F91"/>
            </w:tcBorders>
            <w:noWrap/>
            <w:hideMark/>
          </w:tcPr>
          <w:p w14:paraId="2DD1857A" w14:textId="77777777" w:rsidR="00333601" w:rsidRPr="00BE78CA" w:rsidRDefault="00333601" w:rsidP="00C26084">
            <w:pPr>
              <w:pStyle w:val="TableText"/>
              <w:tabs>
                <w:tab w:val="decimal" w:pos="577"/>
              </w:tabs>
              <w:jc w:val="center"/>
              <w:rPr>
                <w:rFonts w:cs="Calibri"/>
                <w:szCs w:val="16"/>
              </w:rPr>
            </w:pPr>
            <w:r w:rsidRPr="00BE78CA">
              <w:rPr>
                <w:rFonts w:cs="Calibri"/>
                <w:szCs w:val="16"/>
              </w:rPr>
              <w:t>99.21</w:t>
            </w:r>
          </w:p>
        </w:tc>
        <w:tc>
          <w:tcPr>
            <w:tcW w:w="2126" w:type="dxa"/>
            <w:tcBorders>
              <w:top w:val="single" w:sz="4" w:space="0" w:color="365F91"/>
              <w:bottom w:val="single" w:sz="4" w:space="0" w:color="365F91"/>
            </w:tcBorders>
            <w:noWrap/>
            <w:hideMark/>
          </w:tcPr>
          <w:p w14:paraId="59FA588F" w14:textId="77777777" w:rsidR="00333601" w:rsidRPr="00BE78CA" w:rsidRDefault="00333601" w:rsidP="00C26084">
            <w:pPr>
              <w:pStyle w:val="TableText"/>
              <w:tabs>
                <w:tab w:val="decimal" w:pos="577"/>
              </w:tabs>
              <w:jc w:val="center"/>
              <w:rPr>
                <w:rFonts w:cs="Calibri"/>
                <w:szCs w:val="16"/>
              </w:rPr>
            </w:pPr>
            <w:r w:rsidRPr="00BE78CA">
              <w:rPr>
                <w:rFonts w:cs="Calibri"/>
                <w:szCs w:val="16"/>
              </w:rPr>
              <w:t>111.47</w:t>
            </w:r>
          </w:p>
        </w:tc>
      </w:tr>
      <w:tr w:rsidR="00333601" w:rsidRPr="00BE78CA" w14:paraId="4BF8C0E6" w14:textId="77777777" w:rsidTr="00AB7F2E">
        <w:tc>
          <w:tcPr>
            <w:tcW w:w="2552" w:type="dxa"/>
            <w:tcBorders>
              <w:top w:val="single" w:sz="4" w:space="0" w:color="365F91"/>
              <w:bottom w:val="single" w:sz="4" w:space="0" w:color="365F91"/>
            </w:tcBorders>
            <w:noWrap/>
            <w:hideMark/>
          </w:tcPr>
          <w:p w14:paraId="2F7065E2" w14:textId="77777777" w:rsidR="00333601" w:rsidRPr="00BE78CA" w:rsidRDefault="00333601" w:rsidP="00C26084">
            <w:pPr>
              <w:pStyle w:val="TableText"/>
              <w:rPr>
                <w:rFonts w:cs="Calibri"/>
                <w:szCs w:val="16"/>
              </w:rPr>
            </w:pPr>
            <w:r w:rsidRPr="00BE78CA">
              <w:rPr>
                <w:rFonts w:cs="Calibri"/>
                <w:szCs w:val="16"/>
              </w:rPr>
              <w:t>Low producing grassland</w:t>
            </w:r>
          </w:p>
        </w:tc>
        <w:tc>
          <w:tcPr>
            <w:tcW w:w="1701" w:type="dxa"/>
            <w:tcBorders>
              <w:top w:val="single" w:sz="4" w:space="0" w:color="365F91"/>
              <w:bottom w:val="single" w:sz="4" w:space="0" w:color="365F91"/>
            </w:tcBorders>
            <w:noWrap/>
            <w:hideMark/>
          </w:tcPr>
          <w:p w14:paraId="06014B93" w14:textId="77777777" w:rsidR="00333601" w:rsidRPr="00BE78CA" w:rsidRDefault="00333601" w:rsidP="00C26084">
            <w:pPr>
              <w:pStyle w:val="TableText"/>
              <w:tabs>
                <w:tab w:val="decimal" w:pos="577"/>
              </w:tabs>
              <w:jc w:val="center"/>
              <w:rPr>
                <w:rFonts w:cs="Calibri"/>
                <w:szCs w:val="16"/>
              </w:rPr>
            </w:pPr>
            <w:r w:rsidRPr="00BE78CA">
              <w:rPr>
                <w:rFonts w:cs="Calibri"/>
                <w:szCs w:val="16"/>
              </w:rPr>
              <w:t>105.98</w:t>
            </w:r>
          </w:p>
        </w:tc>
        <w:tc>
          <w:tcPr>
            <w:tcW w:w="2126" w:type="dxa"/>
            <w:tcBorders>
              <w:top w:val="single" w:sz="4" w:space="0" w:color="365F91"/>
              <w:bottom w:val="single" w:sz="4" w:space="0" w:color="365F91"/>
            </w:tcBorders>
            <w:noWrap/>
            <w:hideMark/>
          </w:tcPr>
          <w:p w14:paraId="7ABCE9EA" w14:textId="77777777" w:rsidR="00333601" w:rsidRPr="00BE78CA" w:rsidRDefault="00333601" w:rsidP="00C26084">
            <w:pPr>
              <w:pStyle w:val="TableText"/>
              <w:tabs>
                <w:tab w:val="decimal" w:pos="577"/>
              </w:tabs>
              <w:jc w:val="center"/>
              <w:rPr>
                <w:rFonts w:cs="Calibri"/>
                <w:szCs w:val="16"/>
              </w:rPr>
            </w:pPr>
            <w:r w:rsidRPr="00BE78CA">
              <w:rPr>
                <w:rFonts w:cs="Calibri"/>
                <w:szCs w:val="16"/>
              </w:rPr>
              <w:t>98.23</w:t>
            </w:r>
          </w:p>
        </w:tc>
        <w:tc>
          <w:tcPr>
            <w:tcW w:w="2126" w:type="dxa"/>
            <w:tcBorders>
              <w:top w:val="single" w:sz="4" w:space="0" w:color="365F91"/>
              <w:bottom w:val="single" w:sz="4" w:space="0" w:color="365F91"/>
            </w:tcBorders>
            <w:noWrap/>
            <w:hideMark/>
          </w:tcPr>
          <w:p w14:paraId="3C66B9F5" w14:textId="77777777" w:rsidR="00333601" w:rsidRPr="00BE78CA" w:rsidRDefault="00333601" w:rsidP="00C26084">
            <w:pPr>
              <w:pStyle w:val="TableText"/>
              <w:tabs>
                <w:tab w:val="decimal" w:pos="577"/>
              </w:tabs>
              <w:jc w:val="center"/>
              <w:rPr>
                <w:rFonts w:cs="Calibri"/>
                <w:szCs w:val="16"/>
              </w:rPr>
            </w:pPr>
            <w:r w:rsidRPr="00BE78CA">
              <w:rPr>
                <w:rFonts w:cs="Calibri"/>
                <w:szCs w:val="16"/>
              </w:rPr>
              <w:t>113.73</w:t>
            </w:r>
          </w:p>
        </w:tc>
      </w:tr>
      <w:tr w:rsidR="00333601" w:rsidRPr="00BE78CA" w14:paraId="0A687E27" w14:textId="77777777" w:rsidTr="00AB7F2E">
        <w:tc>
          <w:tcPr>
            <w:tcW w:w="2552" w:type="dxa"/>
            <w:tcBorders>
              <w:top w:val="single" w:sz="4" w:space="0" w:color="365F91"/>
              <w:bottom w:val="single" w:sz="4" w:space="0" w:color="365F91"/>
            </w:tcBorders>
            <w:noWrap/>
            <w:hideMark/>
          </w:tcPr>
          <w:p w14:paraId="210D09AE" w14:textId="77777777" w:rsidR="00333601" w:rsidRPr="00BE78CA" w:rsidRDefault="00333601" w:rsidP="00C26084">
            <w:pPr>
              <w:pStyle w:val="TableText"/>
              <w:rPr>
                <w:rFonts w:cs="Calibri"/>
                <w:szCs w:val="16"/>
              </w:rPr>
            </w:pPr>
            <w:r w:rsidRPr="00BE78CA">
              <w:rPr>
                <w:rFonts w:cs="Calibri"/>
                <w:szCs w:val="16"/>
              </w:rPr>
              <w:t>Perennial cropland</w:t>
            </w:r>
          </w:p>
        </w:tc>
        <w:tc>
          <w:tcPr>
            <w:tcW w:w="1701" w:type="dxa"/>
            <w:tcBorders>
              <w:top w:val="single" w:sz="4" w:space="0" w:color="365F91"/>
              <w:bottom w:val="single" w:sz="4" w:space="0" w:color="365F91"/>
            </w:tcBorders>
            <w:noWrap/>
            <w:hideMark/>
          </w:tcPr>
          <w:p w14:paraId="0C390EB0" w14:textId="77777777" w:rsidR="00333601" w:rsidRPr="00BE78CA" w:rsidRDefault="00333601" w:rsidP="00C26084">
            <w:pPr>
              <w:pStyle w:val="TableText"/>
              <w:tabs>
                <w:tab w:val="decimal" w:pos="577"/>
              </w:tabs>
              <w:jc w:val="center"/>
              <w:rPr>
                <w:rFonts w:cs="Calibri"/>
                <w:szCs w:val="16"/>
              </w:rPr>
            </w:pPr>
            <w:r w:rsidRPr="00BE78CA">
              <w:rPr>
                <w:rFonts w:cs="Calibri"/>
                <w:szCs w:val="16"/>
              </w:rPr>
              <w:t>88.44</w:t>
            </w:r>
          </w:p>
        </w:tc>
        <w:tc>
          <w:tcPr>
            <w:tcW w:w="2126" w:type="dxa"/>
            <w:tcBorders>
              <w:top w:val="single" w:sz="4" w:space="0" w:color="365F91"/>
              <w:bottom w:val="single" w:sz="4" w:space="0" w:color="365F91"/>
            </w:tcBorders>
            <w:noWrap/>
            <w:hideMark/>
          </w:tcPr>
          <w:p w14:paraId="03F52B71" w14:textId="77777777" w:rsidR="00333601" w:rsidRPr="00BE78CA" w:rsidRDefault="00333601" w:rsidP="00C26084">
            <w:pPr>
              <w:pStyle w:val="TableText"/>
              <w:tabs>
                <w:tab w:val="decimal" w:pos="577"/>
              </w:tabs>
              <w:jc w:val="center"/>
              <w:rPr>
                <w:rFonts w:cs="Calibri"/>
                <w:szCs w:val="16"/>
              </w:rPr>
            </w:pPr>
            <w:r w:rsidRPr="00BE78CA">
              <w:rPr>
                <w:rFonts w:cs="Calibri"/>
                <w:szCs w:val="16"/>
              </w:rPr>
              <w:t>75.96</w:t>
            </w:r>
          </w:p>
        </w:tc>
        <w:tc>
          <w:tcPr>
            <w:tcW w:w="2126" w:type="dxa"/>
            <w:tcBorders>
              <w:top w:val="single" w:sz="4" w:space="0" w:color="365F91"/>
              <w:bottom w:val="single" w:sz="4" w:space="0" w:color="365F91"/>
            </w:tcBorders>
            <w:noWrap/>
            <w:hideMark/>
          </w:tcPr>
          <w:p w14:paraId="6F9035AF" w14:textId="77777777" w:rsidR="00333601" w:rsidRPr="00BE78CA" w:rsidRDefault="00333601" w:rsidP="00C26084">
            <w:pPr>
              <w:pStyle w:val="TableText"/>
              <w:tabs>
                <w:tab w:val="decimal" w:pos="577"/>
              </w:tabs>
              <w:jc w:val="center"/>
              <w:rPr>
                <w:rFonts w:cs="Calibri"/>
                <w:szCs w:val="16"/>
              </w:rPr>
            </w:pPr>
            <w:r w:rsidRPr="00BE78CA">
              <w:rPr>
                <w:rFonts w:cs="Calibri"/>
                <w:szCs w:val="16"/>
              </w:rPr>
              <w:t>100.92</w:t>
            </w:r>
          </w:p>
        </w:tc>
      </w:tr>
      <w:tr w:rsidR="00333601" w:rsidRPr="00BE78CA" w14:paraId="6E7B8606" w14:textId="77777777" w:rsidTr="00AB7F2E">
        <w:tc>
          <w:tcPr>
            <w:tcW w:w="2552" w:type="dxa"/>
            <w:tcBorders>
              <w:top w:val="single" w:sz="4" w:space="0" w:color="365F91"/>
              <w:bottom w:val="single" w:sz="4" w:space="0" w:color="365F91"/>
            </w:tcBorders>
            <w:noWrap/>
            <w:hideMark/>
          </w:tcPr>
          <w:p w14:paraId="65BC5025" w14:textId="77777777" w:rsidR="00333601" w:rsidRPr="00BE78CA" w:rsidRDefault="00333601" w:rsidP="00C26084">
            <w:pPr>
              <w:pStyle w:val="TableText"/>
              <w:rPr>
                <w:rFonts w:cs="Calibri"/>
                <w:szCs w:val="16"/>
              </w:rPr>
            </w:pPr>
            <w:r w:rsidRPr="00BE78CA">
              <w:rPr>
                <w:rFonts w:cs="Calibri"/>
                <w:szCs w:val="16"/>
              </w:rPr>
              <w:t>Annual cropland</w:t>
            </w:r>
          </w:p>
        </w:tc>
        <w:tc>
          <w:tcPr>
            <w:tcW w:w="1701" w:type="dxa"/>
            <w:tcBorders>
              <w:top w:val="single" w:sz="4" w:space="0" w:color="365F91"/>
              <w:bottom w:val="single" w:sz="4" w:space="0" w:color="365F91"/>
            </w:tcBorders>
            <w:noWrap/>
            <w:hideMark/>
          </w:tcPr>
          <w:p w14:paraId="045B7B34" w14:textId="77777777" w:rsidR="00333601" w:rsidRPr="00BE78CA" w:rsidRDefault="00333601" w:rsidP="00C26084">
            <w:pPr>
              <w:pStyle w:val="TableText"/>
              <w:tabs>
                <w:tab w:val="decimal" w:pos="577"/>
              </w:tabs>
              <w:jc w:val="center"/>
              <w:rPr>
                <w:rFonts w:cs="Calibri"/>
                <w:szCs w:val="16"/>
              </w:rPr>
            </w:pPr>
            <w:r w:rsidRPr="00BE78CA">
              <w:rPr>
                <w:rFonts w:cs="Calibri"/>
                <w:szCs w:val="16"/>
              </w:rPr>
              <w:t>89.77</w:t>
            </w:r>
          </w:p>
        </w:tc>
        <w:tc>
          <w:tcPr>
            <w:tcW w:w="2126" w:type="dxa"/>
            <w:tcBorders>
              <w:top w:val="single" w:sz="4" w:space="0" w:color="365F91"/>
              <w:bottom w:val="single" w:sz="4" w:space="0" w:color="365F91"/>
            </w:tcBorders>
            <w:noWrap/>
            <w:hideMark/>
          </w:tcPr>
          <w:p w14:paraId="4492329D" w14:textId="77777777" w:rsidR="00333601" w:rsidRPr="00BE78CA" w:rsidRDefault="00333601" w:rsidP="00C26084">
            <w:pPr>
              <w:pStyle w:val="TableText"/>
              <w:tabs>
                <w:tab w:val="decimal" w:pos="577"/>
              </w:tabs>
              <w:jc w:val="center"/>
              <w:rPr>
                <w:rFonts w:cs="Calibri"/>
                <w:szCs w:val="16"/>
              </w:rPr>
            </w:pPr>
            <w:r w:rsidRPr="00BE78CA">
              <w:rPr>
                <w:rFonts w:cs="Calibri"/>
                <w:szCs w:val="16"/>
              </w:rPr>
              <w:t>81.04</w:t>
            </w:r>
          </w:p>
        </w:tc>
        <w:tc>
          <w:tcPr>
            <w:tcW w:w="2126" w:type="dxa"/>
            <w:tcBorders>
              <w:top w:val="single" w:sz="4" w:space="0" w:color="365F91"/>
              <w:bottom w:val="single" w:sz="4" w:space="0" w:color="365F91"/>
            </w:tcBorders>
            <w:noWrap/>
            <w:hideMark/>
          </w:tcPr>
          <w:p w14:paraId="37AC77C5" w14:textId="77777777" w:rsidR="00333601" w:rsidRPr="00BE78CA" w:rsidRDefault="00333601" w:rsidP="00C26084">
            <w:pPr>
              <w:pStyle w:val="TableText"/>
              <w:tabs>
                <w:tab w:val="decimal" w:pos="577"/>
              </w:tabs>
              <w:jc w:val="center"/>
              <w:rPr>
                <w:rFonts w:cs="Calibri"/>
                <w:szCs w:val="16"/>
              </w:rPr>
            </w:pPr>
            <w:r w:rsidRPr="00BE78CA">
              <w:rPr>
                <w:rFonts w:cs="Calibri"/>
                <w:szCs w:val="16"/>
              </w:rPr>
              <w:t>98.49</w:t>
            </w:r>
          </w:p>
        </w:tc>
      </w:tr>
      <w:tr w:rsidR="00333601" w:rsidRPr="00BE78CA" w14:paraId="5FCFD123" w14:textId="77777777" w:rsidTr="00AB7F2E">
        <w:tc>
          <w:tcPr>
            <w:tcW w:w="2552" w:type="dxa"/>
            <w:tcBorders>
              <w:top w:val="single" w:sz="4" w:space="0" w:color="365F91"/>
              <w:bottom w:val="single" w:sz="4" w:space="0" w:color="365F91"/>
            </w:tcBorders>
            <w:noWrap/>
            <w:hideMark/>
          </w:tcPr>
          <w:p w14:paraId="13D17CA2" w14:textId="77777777" w:rsidR="00333601" w:rsidRPr="00BE78CA" w:rsidRDefault="00333601" w:rsidP="00C26084">
            <w:pPr>
              <w:pStyle w:val="TableText"/>
              <w:rPr>
                <w:rFonts w:cs="Calibri"/>
                <w:szCs w:val="16"/>
              </w:rPr>
            </w:pPr>
            <w:r w:rsidRPr="00BE78CA">
              <w:rPr>
                <w:rFonts w:cs="Calibri"/>
                <w:szCs w:val="16"/>
              </w:rPr>
              <w:t xml:space="preserve">Wetlands – open water </w:t>
            </w:r>
          </w:p>
        </w:tc>
        <w:tc>
          <w:tcPr>
            <w:tcW w:w="1701" w:type="dxa"/>
            <w:tcBorders>
              <w:top w:val="single" w:sz="4" w:space="0" w:color="365F91"/>
              <w:bottom w:val="single" w:sz="4" w:space="0" w:color="365F91"/>
            </w:tcBorders>
            <w:noWrap/>
            <w:hideMark/>
          </w:tcPr>
          <w:p w14:paraId="66A70E6B" w14:textId="77777777" w:rsidR="00333601" w:rsidRPr="00BE78CA" w:rsidRDefault="00333601" w:rsidP="00C26084">
            <w:pPr>
              <w:pStyle w:val="TableText"/>
              <w:tabs>
                <w:tab w:val="decimal" w:pos="577"/>
              </w:tabs>
              <w:jc w:val="center"/>
              <w:rPr>
                <w:rFonts w:cs="Calibri"/>
                <w:szCs w:val="16"/>
              </w:rPr>
            </w:pPr>
            <w:r w:rsidRPr="00BE78CA">
              <w:rPr>
                <w:rFonts w:cs="Calibri"/>
                <w:szCs w:val="16"/>
              </w:rPr>
              <w:t>105.98</w:t>
            </w:r>
          </w:p>
        </w:tc>
        <w:tc>
          <w:tcPr>
            <w:tcW w:w="2126" w:type="dxa"/>
            <w:tcBorders>
              <w:top w:val="single" w:sz="4" w:space="0" w:color="365F91"/>
              <w:bottom w:val="single" w:sz="4" w:space="0" w:color="365F91"/>
            </w:tcBorders>
            <w:noWrap/>
            <w:hideMark/>
          </w:tcPr>
          <w:p w14:paraId="31E10839" w14:textId="77777777" w:rsidR="00333601" w:rsidRPr="00BE78CA" w:rsidRDefault="00333601" w:rsidP="00C26084">
            <w:pPr>
              <w:pStyle w:val="TableText"/>
              <w:tabs>
                <w:tab w:val="decimal" w:pos="577"/>
              </w:tabs>
              <w:jc w:val="center"/>
              <w:rPr>
                <w:rFonts w:cs="Calibri"/>
                <w:szCs w:val="16"/>
              </w:rPr>
            </w:pPr>
            <w:r w:rsidRPr="00BE78CA">
              <w:rPr>
                <w:rFonts w:cs="Calibri"/>
                <w:szCs w:val="16"/>
              </w:rPr>
              <w:t>98.23</w:t>
            </w:r>
          </w:p>
        </w:tc>
        <w:tc>
          <w:tcPr>
            <w:tcW w:w="2126" w:type="dxa"/>
            <w:tcBorders>
              <w:top w:val="single" w:sz="4" w:space="0" w:color="365F91"/>
              <w:bottom w:val="single" w:sz="4" w:space="0" w:color="365F91"/>
            </w:tcBorders>
            <w:noWrap/>
            <w:hideMark/>
          </w:tcPr>
          <w:p w14:paraId="21053505" w14:textId="77777777" w:rsidR="00333601" w:rsidRPr="00BE78CA" w:rsidRDefault="00333601" w:rsidP="00C26084">
            <w:pPr>
              <w:pStyle w:val="TableText"/>
              <w:tabs>
                <w:tab w:val="decimal" w:pos="577"/>
              </w:tabs>
              <w:jc w:val="center"/>
              <w:rPr>
                <w:rFonts w:cs="Calibri"/>
                <w:szCs w:val="16"/>
              </w:rPr>
            </w:pPr>
            <w:r w:rsidRPr="00BE78CA">
              <w:rPr>
                <w:rFonts w:cs="Calibri"/>
                <w:szCs w:val="16"/>
              </w:rPr>
              <w:t>113.73</w:t>
            </w:r>
          </w:p>
        </w:tc>
      </w:tr>
      <w:tr w:rsidR="00333601" w:rsidRPr="00BE78CA" w14:paraId="10D1916C" w14:textId="77777777" w:rsidTr="00AB7F2E">
        <w:tc>
          <w:tcPr>
            <w:tcW w:w="2552" w:type="dxa"/>
            <w:tcBorders>
              <w:top w:val="single" w:sz="4" w:space="0" w:color="365F91"/>
              <w:bottom w:val="single" w:sz="4" w:space="0" w:color="365F91"/>
            </w:tcBorders>
            <w:noWrap/>
            <w:hideMark/>
          </w:tcPr>
          <w:p w14:paraId="42972121" w14:textId="77777777" w:rsidR="00333601" w:rsidRPr="00BE78CA" w:rsidRDefault="00333601" w:rsidP="00C26084">
            <w:pPr>
              <w:pStyle w:val="TableText"/>
              <w:rPr>
                <w:rFonts w:cs="Calibri"/>
                <w:szCs w:val="16"/>
              </w:rPr>
            </w:pPr>
            <w:r w:rsidRPr="00BE78CA">
              <w:rPr>
                <w:rFonts w:cs="Calibri"/>
                <w:szCs w:val="16"/>
              </w:rPr>
              <w:t>Wetlands – vegetated</w:t>
            </w:r>
          </w:p>
        </w:tc>
        <w:tc>
          <w:tcPr>
            <w:tcW w:w="1701" w:type="dxa"/>
            <w:tcBorders>
              <w:top w:val="single" w:sz="4" w:space="0" w:color="365F91"/>
              <w:bottom w:val="single" w:sz="4" w:space="0" w:color="365F91"/>
            </w:tcBorders>
            <w:noWrap/>
            <w:hideMark/>
          </w:tcPr>
          <w:p w14:paraId="3ADEBAAB" w14:textId="77777777" w:rsidR="00333601" w:rsidRPr="00BE78CA" w:rsidRDefault="00333601" w:rsidP="00C26084">
            <w:pPr>
              <w:pStyle w:val="TableText"/>
              <w:tabs>
                <w:tab w:val="decimal" w:pos="577"/>
              </w:tabs>
              <w:jc w:val="center"/>
              <w:rPr>
                <w:rFonts w:cs="Calibri"/>
                <w:szCs w:val="16"/>
              </w:rPr>
            </w:pPr>
            <w:r w:rsidRPr="00BE78CA">
              <w:rPr>
                <w:rFonts w:cs="Calibri"/>
                <w:szCs w:val="16"/>
              </w:rPr>
              <w:t>136.06</w:t>
            </w:r>
          </w:p>
        </w:tc>
        <w:tc>
          <w:tcPr>
            <w:tcW w:w="2126" w:type="dxa"/>
            <w:tcBorders>
              <w:top w:val="single" w:sz="4" w:space="0" w:color="365F91"/>
              <w:bottom w:val="single" w:sz="4" w:space="0" w:color="365F91"/>
            </w:tcBorders>
            <w:noWrap/>
            <w:hideMark/>
          </w:tcPr>
          <w:p w14:paraId="0DABF722" w14:textId="77777777" w:rsidR="00333601" w:rsidRPr="00BE78CA" w:rsidRDefault="00333601" w:rsidP="00C26084">
            <w:pPr>
              <w:pStyle w:val="TableText"/>
              <w:tabs>
                <w:tab w:val="decimal" w:pos="577"/>
              </w:tabs>
              <w:jc w:val="center"/>
              <w:rPr>
                <w:rFonts w:cs="Calibri"/>
                <w:szCs w:val="16"/>
              </w:rPr>
            </w:pPr>
            <w:r w:rsidRPr="00BE78CA">
              <w:rPr>
                <w:rFonts w:cs="Calibri"/>
                <w:szCs w:val="16"/>
              </w:rPr>
              <w:t>119.33</w:t>
            </w:r>
          </w:p>
        </w:tc>
        <w:tc>
          <w:tcPr>
            <w:tcW w:w="2126" w:type="dxa"/>
            <w:tcBorders>
              <w:top w:val="single" w:sz="4" w:space="0" w:color="365F91"/>
              <w:bottom w:val="single" w:sz="4" w:space="0" w:color="365F91"/>
            </w:tcBorders>
            <w:noWrap/>
            <w:hideMark/>
          </w:tcPr>
          <w:p w14:paraId="193491FF" w14:textId="77777777" w:rsidR="00333601" w:rsidRPr="00BE78CA" w:rsidRDefault="00333601" w:rsidP="00C26084">
            <w:pPr>
              <w:pStyle w:val="TableText"/>
              <w:tabs>
                <w:tab w:val="decimal" w:pos="577"/>
              </w:tabs>
              <w:jc w:val="center"/>
              <w:rPr>
                <w:rFonts w:cs="Calibri"/>
                <w:szCs w:val="16"/>
              </w:rPr>
            </w:pPr>
            <w:r w:rsidRPr="00BE78CA">
              <w:rPr>
                <w:rFonts w:cs="Calibri"/>
                <w:szCs w:val="16"/>
              </w:rPr>
              <w:t>152.78</w:t>
            </w:r>
          </w:p>
        </w:tc>
      </w:tr>
      <w:tr w:rsidR="00333601" w:rsidRPr="00BE78CA" w14:paraId="6EB849F6" w14:textId="77777777" w:rsidTr="00AB7F2E">
        <w:tc>
          <w:tcPr>
            <w:tcW w:w="2552" w:type="dxa"/>
            <w:tcBorders>
              <w:top w:val="single" w:sz="4" w:space="0" w:color="365F91"/>
              <w:bottom w:val="single" w:sz="4" w:space="0" w:color="365F91"/>
            </w:tcBorders>
            <w:noWrap/>
            <w:hideMark/>
          </w:tcPr>
          <w:p w14:paraId="52C48F09" w14:textId="77777777" w:rsidR="00333601" w:rsidRPr="00BE78CA" w:rsidRDefault="00333601" w:rsidP="00C26084">
            <w:pPr>
              <w:pStyle w:val="TableText"/>
              <w:rPr>
                <w:rFonts w:cs="Calibri"/>
                <w:szCs w:val="16"/>
              </w:rPr>
            </w:pPr>
            <w:r w:rsidRPr="00BE78CA">
              <w:rPr>
                <w:rFonts w:cs="Calibri"/>
                <w:szCs w:val="16"/>
              </w:rPr>
              <w:t>Settlements</w:t>
            </w:r>
          </w:p>
        </w:tc>
        <w:tc>
          <w:tcPr>
            <w:tcW w:w="1701" w:type="dxa"/>
            <w:tcBorders>
              <w:top w:val="single" w:sz="4" w:space="0" w:color="365F91"/>
              <w:bottom w:val="single" w:sz="4" w:space="0" w:color="365F91"/>
            </w:tcBorders>
            <w:noWrap/>
            <w:hideMark/>
          </w:tcPr>
          <w:p w14:paraId="59B02BF4" w14:textId="77777777" w:rsidR="00333601" w:rsidRPr="00BE78CA" w:rsidRDefault="00333601" w:rsidP="00C26084">
            <w:pPr>
              <w:pStyle w:val="TableText"/>
              <w:tabs>
                <w:tab w:val="decimal" w:pos="577"/>
              </w:tabs>
              <w:jc w:val="center"/>
              <w:rPr>
                <w:rFonts w:cs="Calibri"/>
                <w:szCs w:val="16"/>
              </w:rPr>
            </w:pPr>
            <w:r w:rsidRPr="00BE78CA">
              <w:rPr>
                <w:rFonts w:cs="Calibri"/>
                <w:szCs w:val="16"/>
              </w:rPr>
              <w:t>105.98</w:t>
            </w:r>
          </w:p>
        </w:tc>
        <w:tc>
          <w:tcPr>
            <w:tcW w:w="2126" w:type="dxa"/>
            <w:tcBorders>
              <w:top w:val="single" w:sz="4" w:space="0" w:color="365F91"/>
              <w:bottom w:val="single" w:sz="4" w:space="0" w:color="365F91"/>
            </w:tcBorders>
            <w:noWrap/>
            <w:hideMark/>
          </w:tcPr>
          <w:p w14:paraId="569307C1" w14:textId="77777777" w:rsidR="00333601" w:rsidRPr="00BE78CA" w:rsidRDefault="00333601" w:rsidP="00C26084">
            <w:pPr>
              <w:pStyle w:val="TableText"/>
              <w:tabs>
                <w:tab w:val="decimal" w:pos="577"/>
              </w:tabs>
              <w:jc w:val="center"/>
              <w:rPr>
                <w:rFonts w:cs="Calibri"/>
                <w:szCs w:val="16"/>
              </w:rPr>
            </w:pPr>
            <w:r w:rsidRPr="00BE78CA">
              <w:rPr>
                <w:rFonts w:cs="Calibri"/>
                <w:szCs w:val="16"/>
              </w:rPr>
              <w:t>98.23</w:t>
            </w:r>
          </w:p>
        </w:tc>
        <w:tc>
          <w:tcPr>
            <w:tcW w:w="2126" w:type="dxa"/>
            <w:tcBorders>
              <w:top w:val="single" w:sz="4" w:space="0" w:color="365F91"/>
              <w:bottom w:val="single" w:sz="4" w:space="0" w:color="365F91"/>
            </w:tcBorders>
            <w:noWrap/>
            <w:hideMark/>
          </w:tcPr>
          <w:p w14:paraId="619D6854" w14:textId="77777777" w:rsidR="00333601" w:rsidRPr="00BE78CA" w:rsidRDefault="00333601" w:rsidP="00C26084">
            <w:pPr>
              <w:pStyle w:val="TableText"/>
              <w:tabs>
                <w:tab w:val="decimal" w:pos="577"/>
              </w:tabs>
              <w:jc w:val="center"/>
              <w:rPr>
                <w:rFonts w:cs="Calibri"/>
                <w:szCs w:val="16"/>
              </w:rPr>
            </w:pPr>
            <w:r w:rsidRPr="00BE78CA">
              <w:rPr>
                <w:rFonts w:cs="Calibri"/>
                <w:szCs w:val="16"/>
              </w:rPr>
              <w:t>113.73</w:t>
            </w:r>
          </w:p>
        </w:tc>
      </w:tr>
      <w:tr w:rsidR="00333601" w:rsidRPr="00BE78CA" w14:paraId="0950B079" w14:textId="77777777" w:rsidTr="00AB7F2E">
        <w:tc>
          <w:tcPr>
            <w:tcW w:w="2552" w:type="dxa"/>
            <w:tcBorders>
              <w:top w:val="single" w:sz="4" w:space="0" w:color="365F91"/>
              <w:bottom w:val="single" w:sz="4" w:space="0" w:color="365F91"/>
            </w:tcBorders>
            <w:noWrap/>
            <w:hideMark/>
          </w:tcPr>
          <w:p w14:paraId="2EFA4E57" w14:textId="77777777" w:rsidR="00333601" w:rsidRPr="00BE78CA" w:rsidRDefault="00333601" w:rsidP="00C26084">
            <w:pPr>
              <w:pStyle w:val="TableText"/>
              <w:rPr>
                <w:rFonts w:cs="Calibri"/>
                <w:szCs w:val="16"/>
              </w:rPr>
            </w:pPr>
            <w:r w:rsidRPr="00BE78CA">
              <w:rPr>
                <w:rFonts w:cs="Calibri"/>
                <w:szCs w:val="16"/>
              </w:rPr>
              <w:t>Other land</w:t>
            </w:r>
          </w:p>
        </w:tc>
        <w:tc>
          <w:tcPr>
            <w:tcW w:w="1701" w:type="dxa"/>
            <w:tcBorders>
              <w:top w:val="single" w:sz="4" w:space="0" w:color="365F91"/>
              <w:bottom w:val="single" w:sz="4" w:space="0" w:color="365F91"/>
            </w:tcBorders>
            <w:noWrap/>
            <w:hideMark/>
          </w:tcPr>
          <w:p w14:paraId="539C2FB4" w14:textId="77777777" w:rsidR="00333601" w:rsidRPr="00BE78CA" w:rsidRDefault="00333601" w:rsidP="00C26084">
            <w:pPr>
              <w:pStyle w:val="TableText"/>
              <w:tabs>
                <w:tab w:val="decimal" w:pos="577"/>
              </w:tabs>
              <w:jc w:val="center"/>
              <w:rPr>
                <w:rFonts w:cs="Calibri"/>
                <w:szCs w:val="16"/>
              </w:rPr>
            </w:pPr>
            <w:r w:rsidRPr="00BE78CA">
              <w:rPr>
                <w:rFonts w:cs="Calibri"/>
                <w:szCs w:val="16"/>
              </w:rPr>
              <w:t>58.37</w:t>
            </w:r>
          </w:p>
        </w:tc>
        <w:tc>
          <w:tcPr>
            <w:tcW w:w="2126" w:type="dxa"/>
            <w:tcBorders>
              <w:top w:val="single" w:sz="4" w:space="0" w:color="365F91"/>
              <w:bottom w:val="single" w:sz="4" w:space="0" w:color="365F91"/>
            </w:tcBorders>
            <w:noWrap/>
            <w:hideMark/>
          </w:tcPr>
          <w:p w14:paraId="29DEECE6" w14:textId="77777777" w:rsidR="00333601" w:rsidRPr="00BE78CA" w:rsidRDefault="00333601" w:rsidP="00C26084">
            <w:pPr>
              <w:pStyle w:val="TableText"/>
              <w:tabs>
                <w:tab w:val="decimal" w:pos="577"/>
              </w:tabs>
              <w:jc w:val="center"/>
              <w:rPr>
                <w:rFonts w:cs="Calibri"/>
                <w:szCs w:val="16"/>
              </w:rPr>
            </w:pPr>
            <w:r w:rsidRPr="00BE78CA">
              <w:rPr>
                <w:rFonts w:cs="Calibri"/>
                <w:szCs w:val="16"/>
              </w:rPr>
              <w:t>17.12</w:t>
            </w:r>
          </w:p>
        </w:tc>
        <w:tc>
          <w:tcPr>
            <w:tcW w:w="2126" w:type="dxa"/>
            <w:tcBorders>
              <w:top w:val="single" w:sz="4" w:space="0" w:color="365F91"/>
              <w:bottom w:val="single" w:sz="4" w:space="0" w:color="365F91"/>
            </w:tcBorders>
            <w:noWrap/>
            <w:hideMark/>
          </w:tcPr>
          <w:p w14:paraId="68330B98" w14:textId="77777777" w:rsidR="00333601" w:rsidRPr="00BE78CA" w:rsidRDefault="00333601" w:rsidP="00C26084">
            <w:pPr>
              <w:pStyle w:val="TableText"/>
              <w:tabs>
                <w:tab w:val="decimal" w:pos="577"/>
              </w:tabs>
              <w:jc w:val="center"/>
              <w:rPr>
                <w:rFonts w:cs="Calibri"/>
                <w:szCs w:val="16"/>
              </w:rPr>
            </w:pPr>
            <w:r w:rsidRPr="00BE78CA">
              <w:rPr>
                <w:rFonts w:cs="Calibri"/>
                <w:szCs w:val="16"/>
              </w:rPr>
              <w:t>99.62</w:t>
            </w:r>
          </w:p>
        </w:tc>
      </w:tr>
    </w:tbl>
    <w:p w14:paraId="778EB4CC" w14:textId="77777777" w:rsidR="00333601" w:rsidRPr="00BE78CA" w:rsidRDefault="00333601" w:rsidP="00333601">
      <w:pPr>
        <w:pStyle w:val="Source"/>
        <w:spacing w:after="120"/>
      </w:pPr>
      <w:r w:rsidRPr="00BE78CA">
        <w:rPr>
          <w:b/>
        </w:rPr>
        <w:t>Source</w:t>
      </w:r>
      <w:r w:rsidRPr="00BE78CA">
        <w:t>: Calculated from McNeill and Barringer (unpublished)</w:t>
      </w:r>
    </w:p>
    <w:p w14:paraId="38BAE1B5" w14:textId="77777777" w:rsidR="00333601" w:rsidRPr="00BE78CA" w:rsidRDefault="00333601" w:rsidP="00333601">
      <w:pPr>
        <w:pStyle w:val="BodyText"/>
      </w:pPr>
      <w:r w:rsidRPr="00BE78CA">
        <w:t>An Akaike information criterion (AIC) model selection procedure was used for the Soil CMS model. AIC is used to select the model that is the best trade-off between the complexity of the model and the goodness of fit. The use of the AIC value as a model selection and comparison mechanism is widely supported in the literature in soil modelling (Burnham and Anderson, 2002; Elsgaard et al., 2012; Ogle et al., 2007).</w:t>
      </w:r>
    </w:p>
    <w:p w14:paraId="7471B04C" w14:textId="77777777" w:rsidR="00333601" w:rsidRPr="00BE78CA" w:rsidRDefault="00333601" w:rsidP="00333601">
      <w:pPr>
        <w:pStyle w:val="BodyText"/>
        <w:rPr>
          <w:bCs/>
          <w:i/>
          <w:iCs/>
        </w:rPr>
      </w:pPr>
      <w:r w:rsidRPr="00BE78CA">
        <w:t xml:space="preserve">The selected model residual standard error is 41.3 tonnes per hectare. The spatial autocorrelation scale distance is 18.1 kilometres, with a nugget of 0.47 (McNeill and Barringer, unpublished). A correction for spatial correlation is necessary to reduce the potential spatial bias in SOC stock values that may occur from multiple samples that are located close to one another. These values are consistent with earlier analyses (McNeill, unpublished(a), (b)). </w:t>
      </w:r>
    </w:p>
    <w:p w14:paraId="488541C1" w14:textId="77777777" w:rsidR="00333601" w:rsidRPr="00BE78CA" w:rsidRDefault="00333601" w:rsidP="00333601">
      <w:pPr>
        <w:pStyle w:val="BodyText"/>
        <w:rPr>
          <w:rFonts w:eastAsia="Arial"/>
        </w:rPr>
      </w:pPr>
      <w:r w:rsidRPr="00BE78CA">
        <w:rPr>
          <w:rFonts w:eastAsia="Arial"/>
        </w:rPr>
        <w:t xml:space="preserve">The uncertainty of the LUE (the change in soil carbon, assuming the transition is stable) between two land use categories in isolation is conceptually straightforward: two estimates of LUE are more likely to be significantly separated if their point estimates are farther apart after taking account of the covariance between the two land use effects. The standard error </w:t>
      </w:r>
      <w:r w:rsidRPr="00BE78CA">
        <w:rPr>
          <w:rFonts w:eastAsia="Arial"/>
          <w:i/>
        </w:rPr>
        <w:t>ơ</w:t>
      </w:r>
      <w:r w:rsidRPr="00BE78CA">
        <w:rPr>
          <w:rFonts w:eastAsia="Arial"/>
          <w:i/>
          <w:vertAlign w:val="subscript"/>
        </w:rPr>
        <w:t>i,j</w:t>
      </w:r>
      <w:r w:rsidRPr="00BE78CA">
        <w:rPr>
          <w:rFonts w:eastAsia="Arial"/>
        </w:rPr>
        <w:t> of the LUE change for a transition between two land use categories with effects</w:t>
      </w:r>
      <w:r w:rsidRPr="00BE78CA">
        <w:rPr>
          <w:rFonts w:eastAsia="Arial"/>
          <w:i/>
        </w:rPr>
        <w:t xml:space="preserve"> L</w:t>
      </w:r>
      <w:r w:rsidRPr="00BE78CA">
        <w:rPr>
          <w:rFonts w:eastAsia="Arial"/>
          <w:i/>
          <w:vertAlign w:val="subscript"/>
        </w:rPr>
        <w:t>i</w:t>
      </w:r>
      <w:r w:rsidRPr="00BE78CA">
        <w:rPr>
          <w:rFonts w:eastAsia="Arial"/>
        </w:rPr>
        <w:t xml:space="preserve"> and </w:t>
      </w:r>
      <w:r w:rsidRPr="00BE78CA">
        <w:rPr>
          <w:rFonts w:eastAsia="Arial"/>
          <w:i/>
        </w:rPr>
        <w:t>L</w:t>
      </w:r>
      <w:r w:rsidRPr="00BE78CA">
        <w:rPr>
          <w:rFonts w:eastAsia="Arial"/>
          <w:i/>
          <w:vertAlign w:val="subscript"/>
        </w:rPr>
        <w:t>j</w:t>
      </w:r>
      <w:r w:rsidRPr="00BE78CA">
        <w:rPr>
          <w:rFonts w:eastAsia="Arial"/>
        </w:rPr>
        <w:t xml:space="preserve"> is then estimated from:</w:t>
      </w:r>
    </w:p>
    <w:tbl>
      <w:tblPr>
        <w:tblW w:w="5000" w:type="pct"/>
        <w:tblLook w:val="04A0" w:firstRow="1" w:lastRow="0" w:firstColumn="1" w:lastColumn="0" w:noHBand="0" w:noVBand="1"/>
      </w:tblPr>
      <w:tblGrid>
        <w:gridCol w:w="851"/>
        <w:gridCol w:w="6803"/>
        <w:gridCol w:w="850"/>
      </w:tblGrid>
      <w:tr w:rsidR="00333601" w:rsidRPr="00BE78CA" w14:paraId="25144C11" w14:textId="77777777" w:rsidTr="00C26084">
        <w:tc>
          <w:tcPr>
            <w:tcW w:w="500" w:type="pct"/>
            <w:shd w:val="clear" w:color="auto" w:fill="auto"/>
            <w:tcMar>
              <w:top w:w="57" w:type="dxa"/>
              <w:left w:w="57" w:type="dxa"/>
              <w:bottom w:w="57" w:type="dxa"/>
              <w:right w:w="57" w:type="dxa"/>
            </w:tcMar>
            <w:vAlign w:val="center"/>
          </w:tcPr>
          <w:p w14:paraId="3B38638D" w14:textId="77777777" w:rsidR="00333601" w:rsidRPr="00BE78CA" w:rsidRDefault="00333601" w:rsidP="00C26084">
            <w:pPr>
              <w:pStyle w:val="BodyText"/>
              <w:rPr>
                <w:rFonts w:eastAsia="Calibri"/>
              </w:rPr>
            </w:pPr>
          </w:p>
        </w:tc>
        <w:tc>
          <w:tcPr>
            <w:tcW w:w="4000" w:type="pct"/>
            <w:shd w:val="clear" w:color="auto" w:fill="auto"/>
            <w:tcMar>
              <w:top w:w="57" w:type="dxa"/>
              <w:left w:w="57" w:type="dxa"/>
              <w:bottom w:w="57" w:type="dxa"/>
              <w:right w:w="57" w:type="dxa"/>
            </w:tcMar>
            <w:vAlign w:val="center"/>
          </w:tcPr>
          <w:p w14:paraId="7D4FFB46" w14:textId="77777777" w:rsidR="00333601" w:rsidRPr="00BE78CA" w:rsidRDefault="00087879" w:rsidP="00AB7F2E">
            <w:pPr>
              <w:pStyle w:val="BodyText"/>
              <w:spacing w:before="80" w:after="80"/>
              <w:rPr>
                <w:rFonts w:eastAsia="Calibri"/>
                <w:sz w:val="24"/>
                <w:szCs w:val="24"/>
              </w:rPr>
            </w:pPr>
            <m:oMathPara>
              <m:oMathParaPr>
                <m:jc m:val="left"/>
              </m:oMathParaPr>
              <m:oMath>
                <m:sSub>
                  <m:sSubPr>
                    <m:ctrlPr>
                      <w:rPr>
                        <w:rFonts w:ascii="Cambria Math" w:eastAsia="Calibri" w:hAnsi="Cambria Math"/>
                        <w:sz w:val="24"/>
                        <w:szCs w:val="24"/>
                      </w:rPr>
                    </m:ctrlPr>
                  </m:sSubPr>
                  <m:e>
                    <m:r>
                      <w:rPr>
                        <w:rFonts w:ascii="Cambria Math" w:eastAsia="Calibri" w:hAnsi="Cambria Math"/>
                        <w:sz w:val="24"/>
                        <w:szCs w:val="24"/>
                      </w:rPr>
                      <m:t>σ</m:t>
                    </m:r>
                  </m:e>
                  <m:sub>
                    <m:r>
                      <w:rPr>
                        <w:rFonts w:ascii="Cambria Math" w:eastAsia="Calibri" w:hAnsi="Cambria Math"/>
                        <w:sz w:val="24"/>
                        <w:szCs w:val="24"/>
                      </w:rPr>
                      <m:t>i</m:t>
                    </m:r>
                    <m:r>
                      <m:rPr>
                        <m:sty m:val="p"/>
                      </m:rPr>
                      <w:rPr>
                        <w:rFonts w:ascii="Cambria Math" w:eastAsia="Calibri" w:hAnsi="Cambria Math"/>
                        <w:sz w:val="24"/>
                        <w:szCs w:val="24"/>
                      </w:rPr>
                      <m:t>,</m:t>
                    </m:r>
                    <m:r>
                      <w:rPr>
                        <w:rFonts w:ascii="Cambria Math" w:eastAsia="Calibri" w:hAnsi="Cambria Math"/>
                        <w:sz w:val="24"/>
                        <w:szCs w:val="24"/>
                      </w:rPr>
                      <m:t>j</m:t>
                    </m:r>
                  </m:sub>
                </m:sSub>
                <m:r>
                  <m:rPr>
                    <m:sty m:val="p"/>
                  </m:rPr>
                  <w:rPr>
                    <w:rFonts w:ascii="Cambria Math" w:eastAsia="Calibri" w:hAnsi="Cambria Math"/>
                    <w:sz w:val="24"/>
                    <w:szCs w:val="24"/>
                  </w:rPr>
                  <m:t>=</m:t>
                </m:r>
                <m:rad>
                  <m:radPr>
                    <m:degHide m:val="1"/>
                    <m:ctrlPr>
                      <w:rPr>
                        <w:rFonts w:ascii="Cambria Math" w:eastAsia="Calibri" w:hAnsi="Cambria Math"/>
                        <w:sz w:val="24"/>
                        <w:szCs w:val="24"/>
                      </w:rPr>
                    </m:ctrlPr>
                  </m:radPr>
                  <m:deg/>
                  <m:e>
                    <m:r>
                      <w:rPr>
                        <w:rFonts w:ascii="Cambria Math" w:eastAsia="Calibri" w:hAnsi="Cambria Math"/>
                        <w:sz w:val="24"/>
                        <w:szCs w:val="24"/>
                      </w:rPr>
                      <m:t>Var</m:t>
                    </m:r>
                    <m:r>
                      <m:rPr>
                        <m:sty m:val="p"/>
                      </m:rPr>
                      <w:rPr>
                        <w:rFonts w:ascii="Cambria Math" w:eastAsia="Calibri" w:hAnsi="Cambria Math"/>
                        <w:sz w:val="24"/>
                        <w:szCs w:val="24"/>
                      </w:rPr>
                      <m:t xml:space="preserve"> </m:t>
                    </m:r>
                    <m:d>
                      <m:dPr>
                        <m:ctrlPr>
                          <w:rPr>
                            <w:rFonts w:ascii="Cambria Math" w:eastAsia="Calibri" w:hAnsi="Cambria Math"/>
                            <w:sz w:val="24"/>
                            <w:szCs w:val="24"/>
                          </w:rPr>
                        </m:ctrlPr>
                      </m:dPr>
                      <m:e>
                        <m:sSub>
                          <m:sSubPr>
                            <m:ctrlPr>
                              <w:rPr>
                                <w:rFonts w:ascii="Cambria Math" w:eastAsia="Calibri" w:hAnsi="Cambria Math"/>
                                <w:sz w:val="24"/>
                                <w:szCs w:val="24"/>
                              </w:rPr>
                            </m:ctrlPr>
                          </m:sSubPr>
                          <m:e>
                            <m:r>
                              <w:rPr>
                                <w:rFonts w:ascii="Cambria Math" w:eastAsia="Calibri" w:hAnsi="Cambria Math"/>
                                <w:sz w:val="24"/>
                                <w:szCs w:val="24"/>
                              </w:rPr>
                              <m:t>L</m:t>
                            </m:r>
                          </m:e>
                          <m:sub>
                            <m:r>
                              <w:rPr>
                                <w:rFonts w:ascii="Cambria Math" w:eastAsia="Calibri" w:hAnsi="Cambria Math"/>
                                <w:sz w:val="24"/>
                                <w:szCs w:val="24"/>
                              </w:rPr>
                              <m:t>i</m:t>
                            </m:r>
                          </m:sub>
                        </m:sSub>
                      </m:e>
                    </m:d>
                    <m:r>
                      <m:rPr>
                        <m:sty m:val="p"/>
                      </m:rPr>
                      <w:rPr>
                        <w:rFonts w:ascii="Cambria Math" w:eastAsia="Calibri" w:hAnsi="Cambria Math"/>
                        <w:sz w:val="24"/>
                        <w:szCs w:val="24"/>
                      </w:rPr>
                      <m:t>+</m:t>
                    </m:r>
                    <m:r>
                      <w:rPr>
                        <w:rFonts w:ascii="Cambria Math" w:eastAsia="Calibri" w:hAnsi="Cambria Math"/>
                        <w:sz w:val="24"/>
                        <w:szCs w:val="24"/>
                      </w:rPr>
                      <m:t>Var</m:t>
                    </m:r>
                    <m:r>
                      <m:rPr>
                        <m:sty m:val="p"/>
                      </m:rPr>
                      <w:rPr>
                        <w:rFonts w:ascii="Cambria Math" w:eastAsia="Calibri" w:hAnsi="Cambria Math"/>
                        <w:sz w:val="24"/>
                        <w:szCs w:val="24"/>
                      </w:rPr>
                      <m:t xml:space="preserve"> </m:t>
                    </m:r>
                    <m:d>
                      <m:dPr>
                        <m:ctrlPr>
                          <w:rPr>
                            <w:rFonts w:ascii="Cambria Math" w:eastAsia="Calibri" w:hAnsi="Cambria Math"/>
                            <w:sz w:val="24"/>
                            <w:szCs w:val="24"/>
                          </w:rPr>
                        </m:ctrlPr>
                      </m:dPr>
                      <m:e>
                        <m:sSub>
                          <m:sSubPr>
                            <m:ctrlPr>
                              <w:rPr>
                                <w:rFonts w:ascii="Cambria Math" w:eastAsia="Calibri" w:hAnsi="Cambria Math"/>
                                <w:sz w:val="24"/>
                                <w:szCs w:val="24"/>
                              </w:rPr>
                            </m:ctrlPr>
                          </m:sSubPr>
                          <m:e>
                            <m:r>
                              <w:rPr>
                                <w:rFonts w:ascii="Cambria Math" w:eastAsia="Calibri" w:hAnsi="Cambria Math"/>
                                <w:sz w:val="24"/>
                                <w:szCs w:val="24"/>
                              </w:rPr>
                              <m:t>L</m:t>
                            </m:r>
                          </m:e>
                          <m:sub>
                            <m:r>
                              <w:rPr>
                                <w:rFonts w:ascii="Cambria Math" w:eastAsia="Calibri" w:hAnsi="Cambria Math"/>
                                <w:sz w:val="24"/>
                                <w:szCs w:val="24"/>
                              </w:rPr>
                              <m:t>j</m:t>
                            </m:r>
                          </m:sub>
                        </m:sSub>
                      </m:e>
                    </m:d>
                    <m:r>
                      <m:rPr>
                        <m:sty m:val="p"/>
                      </m:rPr>
                      <w:rPr>
                        <w:rFonts w:ascii="Cambria Math" w:eastAsia="Calibri" w:hAnsi="Cambria Math"/>
                        <w:sz w:val="24"/>
                        <w:szCs w:val="24"/>
                      </w:rPr>
                      <m:t>-2.</m:t>
                    </m:r>
                    <m:r>
                      <w:rPr>
                        <w:rFonts w:ascii="Cambria Math" w:eastAsia="Calibri" w:hAnsi="Cambria Math"/>
                        <w:sz w:val="24"/>
                        <w:szCs w:val="24"/>
                      </w:rPr>
                      <m:t>Cov</m:t>
                    </m:r>
                    <m:r>
                      <m:rPr>
                        <m:sty m:val="p"/>
                      </m:rPr>
                      <w:rPr>
                        <w:rFonts w:ascii="Cambria Math" w:eastAsia="Calibri" w:hAnsi="Cambria Math"/>
                        <w:sz w:val="24"/>
                        <w:szCs w:val="24"/>
                      </w:rPr>
                      <m:t xml:space="preserve"> </m:t>
                    </m:r>
                    <m:d>
                      <m:dPr>
                        <m:ctrlPr>
                          <w:rPr>
                            <w:rFonts w:ascii="Cambria Math" w:eastAsia="Calibri" w:hAnsi="Cambria Math"/>
                            <w:sz w:val="24"/>
                            <w:szCs w:val="24"/>
                          </w:rPr>
                        </m:ctrlPr>
                      </m:dPr>
                      <m:e>
                        <m:sSub>
                          <m:sSubPr>
                            <m:ctrlPr>
                              <w:rPr>
                                <w:rFonts w:ascii="Cambria Math" w:eastAsia="Calibri" w:hAnsi="Cambria Math"/>
                                <w:sz w:val="24"/>
                                <w:szCs w:val="24"/>
                              </w:rPr>
                            </m:ctrlPr>
                          </m:sSubPr>
                          <m:e>
                            <m:r>
                              <w:rPr>
                                <w:rFonts w:ascii="Cambria Math" w:eastAsia="Calibri" w:hAnsi="Cambria Math"/>
                                <w:sz w:val="24"/>
                                <w:szCs w:val="24"/>
                              </w:rPr>
                              <m:t>L</m:t>
                            </m:r>
                          </m:e>
                          <m:sub>
                            <m:r>
                              <w:rPr>
                                <w:rFonts w:ascii="Cambria Math" w:eastAsia="Calibri" w:hAnsi="Cambria Math"/>
                                <w:sz w:val="24"/>
                                <w:szCs w:val="24"/>
                              </w:rPr>
                              <m:t>i</m:t>
                            </m:r>
                          </m:sub>
                        </m:sSub>
                        <m:r>
                          <m:rPr>
                            <m:sty m:val="p"/>
                          </m:rPr>
                          <w:rPr>
                            <w:rFonts w:ascii="Cambria Math" w:eastAsia="Calibri" w:hAnsi="Cambria Math"/>
                            <w:sz w:val="24"/>
                            <w:szCs w:val="24"/>
                          </w:rPr>
                          <m:t>,</m:t>
                        </m:r>
                        <m:sSub>
                          <m:sSubPr>
                            <m:ctrlPr>
                              <w:rPr>
                                <w:rFonts w:ascii="Cambria Math" w:eastAsia="Calibri" w:hAnsi="Cambria Math"/>
                                <w:sz w:val="24"/>
                                <w:szCs w:val="24"/>
                              </w:rPr>
                            </m:ctrlPr>
                          </m:sSubPr>
                          <m:e>
                            <m:r>
                              <w:rPr>
                                <w:rFonts w:ascii="Cambria Math" w:eastAsia="Calibri" w:hAnsi="Cambria Math"/>
                                <w:sz w:val="24"/>
                                <w:szCs w:val="24"/>
                              </w:rPr>
                              <m:t>L</m:t>
                            </m:r>
                          </m:e>
                          <m:sub>
                            <m:r>
                              <w:rPr>
                                <w:rFonts w:ascii="Cambria Math" w:eastAsia="Calibri" w:hAnsi="Cambria Math"/>
                                <w:sz w:val="24"/>
                                <w:szCs w:val="24"/>
                              </w:rPr>
                              <m:t>j</m:t>
                            </m:r>
                          </m:sub>
                        </m:sSub>
                      </m:e>
                    </m:d>
                  </m:e>
                </m:rad>
              </m:oMath>
            </m:oMathPara>
          </w:p>
        </w:tc>
        <w:tc>
          <w:tcPr>
            <w:tcW w:w="500" w:type="pct"/>
            <w:shd w:val="clear" w:color="auto" w:fill="auto"/>
            <w:tcMar>
              <w:top w:w="57" w:type="dxa"/>
              <w:left w:w="57" w:type="dxa"/>
              <w:bottom w:w="57" w:type="dxa"/>
              <w:right w:w="57" w:type="dxa"/>
            </w:tcMar>
            <w:vAlign w:val="center"/>
          </w:tcPr>
          <w:p w14:paraId="0067B195" w14:textId="77777777" w:rsidR="00333601" w:rsidRPr="00BE78CA" w:rsidRDefault="00333601" w:rsidP="00C26084">
            <w:pPr>
              <w:pStyle w:val="BodyText"/>
              <w:rPr>
                <w:rFonts w:eastAsia="Calibri"/>
                <w:i/>
                <w:iCs/>
              </w:rPr>
            </w:pPr>
            <w:r w:rsidRPr="00BE78CA">
              <w:rPr>
                <w:rFonts w:eastAsia="Calibri"/>
                <w:i/>
                <w:iCs/>
              </w:rPr>
              <w:t>(5)</w:t>
            </w:r>
          </w:p>
        </w:tc>
      </w:tr>
    </w:tbl>
    <w:p w14:paraId="16B6DEBA" w14:textId="77777777" w:rsidR="00333601" w:rsidRPr="00BE78CA" w:rsidRDefault="00333601" w:rsidP="00AB7F2E">
      <w:pPr>
        <w:pStyle w:val="BodyText"/>
        <w:spacing w:after="60"/>
        <w:ind w:left="964" w:hanging="964"/>
        <w:rPr>
          <w:rFonts w:eastAsia="Arial"/>
        </w:rPr>
      </w:pPr>
      <w:r w:rsidRPr="00BE78CA">
        <w:rPr>
          <w:rFonts w:eastAsia="Arial"/>
        </w:rPr>
        <w:t>Where:</w:t>
      </w:r>
      <w:r w:rsidRPr="00BE78CA">
        <w:rPr>
          <w:rFonts w:eastAsia="Arial"/>
        </w:rPr>
        <w:tab/>
      </w:r>
      <w:r w:rsidRPr="00BE78CA">
        <w:rPr>
          <w:rFonts w:eastAsia="Arial"/>
          <w:i/>
        </w:rPr>
        <w:t>Var(L</w:t>
      </w:r>
      <w:r w:rsidRPr="00BE78CA">
        <w:rPr>
          <w:rFonts w:eastAsia="Arial"/>
          <w:i/>
          <w:vertAlign w:val="subscript"/>
        </w:rPr>
        <w:t>i</w:t>
      </w:r>
      <w:r w:rsidRPr="00BE78CA">
        <w:rPr>
          <w:rFonts w:eastAsia="Arial"/>
          <w:i/>
        </w:rPr>
        <w:t>)</w:t>
      </w:r>
      <w:r w:rsidRPr="00BE78CA">
        <w:rPr>
          <w:rFonts w:eastAsia="Arial"/>
        </w:rPr>
        <w:t xml:space="preserve"> = the variance of land use effect</w:t>
      </w:r>
      <m:oMath>
        <m:r>
          <w:rPr>
            <w:rFonts w:ascii="Cambria Math" w:eastAsia="Arial" w:hAnsi="Cambria Math"/>
          </w:rPr>
          <m:t xml:space="preserve"> i</m:t>
        </m:r>
      </m:oMath>
    </w:p>
    <w:p w14:paraId="008B506E" w14:textId="77777777" w:rsidR="00333601" w:rsidRPr="00BE78CA" w:rsidRDefault="00333601" w:rsidP="00333601">
      <w:pPr>
        <w:pStyle w:val="BodyText"/>
        <w:spacing w:before="0"/>
        <w:ind w:left="964" w:hanging="964"/>
        <w:rPr>
          <w:rFonts w:eastAsia="Arial"/>
        </w:rPr>
      </w:pPr>
      <w:r w:rsidRPr="00BE78CA">
        <w:rPr>
          <w:rFonts w:eastAsia="Arial"/>
          <w:i/>
        </w:rPr>
        <w:tab/>
        <w:t>Cov(L</w:t>
      </w:r>
      <w:r w:rsidRPr="00BE78CA">
        <w:rPr>
          <w:rFonts w:eastAsia="Arial"/>
          <w:i/>
          <w:vertAlign w:val="subscript"/>
        </w:rPr>
        <w:t>i</w:t>
      </w:r>
      <w:r w:rsidRPr="00BE78CA">
        <w:rPr>
          <w:rFonts w:eastAsia="Arial"/>
          <w:i/>
        </w:rPr>
        <w:t>,L</w:t>
      </w:r>
      <w:r w:rsidRPr="00BE78CA">
        <w:rPr>
          <w:rFonts w:eastAsia="Arial"/>
          <w:i/>
          <w:vertAlign w:val="subscript"/>
        </w:rPr>
        <w:t>j</w:t>
      </w:r>
      <w:r w:rsidRPr="00BE78CA">
        <w:rPr>
          <w:rFonts w:eastAsia="Arial"/>
          <w:i/>
        </w:rPr>
        <w:t>)</w:t>
      </w:r>
      <w:r w:rsidRPr="00BE78CA">
        <w:rPr>
          <w:rFonts w:eastAsia="Arial"/>
        </w:rPr>
        <w:t xml:space="preserve"> = the covariance between land use effects </w:t>
      </w:r>
      <w:r w:rsidRPr="00BE78CA">
        <w:rPr>
          <w:rFonts w:eastAsia="Arial"/>
          <w:i/>
        </w:rPr>
        <w:t>L</w:t>
      </w:r>
      <w:r w:rsidRPr="00BE78CA">
        <w:rPr>
          <w:rFonts w:eastAsia="Arial"/>
          <w:i/>
          <w:vertAlign w:val="subscript"/>
        </w:rPr>
        <w:t>i</w:t>
      </w:r>
      <w:r w:rsidRPr="00BE78CA">
        <w:rPr>
          <w:rFonts w:eastAsia="Arial"/>
        </w:rPr>
        <w:t xml:space="preserve"> and </w:t>
      </w:r>
      <w:r w:rsidRPr="00BE78CA">
        <w:rPr>
          <w:rFonts w:eastAsia="Arial"/>
          <w:i/>
        </w:rPr>
        <w:t>L</w:t>
      </w:r>
      <w:r w:rsidRPr="00BE78CA">
        <w:rPr>
          <w:rFonts w:eastAsia="Arial"/>
          <w:i/>
          <w:vertAlign w:val="subscript"/>
        </w:rPr>
        <w:t>j</w:t>
      </w:r>
      <w:r w:rsidRPr="00BE78CA">
        <w:rPr>
          <w:rFonts w:eastAsia="Arial"/>
        </w:rPr>
        <w:t xml:space="preserve"> (McNeill and Barringer, </w:t>
      </w:r>
      <w:r w:rsidRPr="00BE78CA">
        <w:t>unpublished</w:t>
      </w:r>
      <w:r w:rsidRPr="00BE78CA">
        <w:rPr>
          <w:rFonts w:eastAsia="Arial"/>
        </w:rPr>
        <w:t>; McNeill et al., unpublished).</w:t>
      </w:r>
    </w:p>
    <w:p w14:paraId="7B992AAE" w14:textId="77777777" w:rsidR="00333601" w:rsidRPr="00BE78CA" w:rsidRDefault="00333601" w:rsidP="00AB7F2E">
      <w:pPr>
        <w:pStyle w:val="BodyText"/>
        <w:spacing w:before="100" w:after="100"/>
      </w:pPr>
      <w:r w:rsidRPr="00BE78CA">
        <w:t xml:space="preserve">Although equation 5 provides a mathematically straightforward way to estimate the significance of a single transition from one land use category to another (a comparison-wise significance), it is often desirable to be able to determine whether a number of land use categories are likely to be significantly different or essentially the same as an ensemble. </w:t>
      </w:r>
      <w:r w:rsidRPr="00BE78CA">
        <w:lastRenderedPageBreak/>
        <w:t>As more comparisons are made between many different land use types, it becomes more likely that at least one of the LUE changes will be different as a result of random chance alone, resulting in an increase in the Type 1 error. Thus, the significance of all possible land use transitions must be calculated as a family of simultaneous comparisons (multiple comparison significance), rather than one at a time (McNeill and Barringer, unpublished).</w:t>
      </w:r>
    </w:p>
    <w:p w14:paraId="3E07412F" w14:textId="77777777" w:rsidR="00333601" w:rsidRPr="00BE78CA" w:rsidRDefault="00333601" w:rsidP="00AB7F2E">
      <w:pPr>
        <w:pStyle w:val="BodyText"/>
        <w:spacing w:before="100" w:after="100"/>
      </w:pPr>
      <w:r w:rsidRPr="00BE78CA">
        <w:t>To control the Type 1 error rate in multiple comparison significance testing for the soil carbon change model, all possible combinations of the land use categories were tested for equality (a two-sided test) simultaneously. For the Soil CMS model (McNeill and Barringer, unpublished), a closed-testing procedure described by Marcus et al. (1976) was used; this procedure is a general method for performing a number of hypothesis tests simultaneously implemented in the multi-comparison package in R (Bretz et al., 2010).</w:t>
      </w:r>
    </w:p>
    <w:p w14:paraId="375C83B6" w14:textId="77777777" w:rsidR="00333601" w:rsidRPr="00BE78CA" w:rsidRDefault="00333601" w:rsidP="00AB7F2E">
      <w:pPr>
        <w:pStyle w:val="BodyText"/>
        <w:spacing w:before="100" w:after="100"/>
      </w:pPr>
      <w:r w:rsidRPr="00BE78CA">
        <w:t xml:space="preserve">The closed-testing procedure described by Marcus et al. (1976) yielded point estimates and confidence intervals of a test statistic for each distinct combination of land use transitions, and the critical test is whether the confidence intervals include zero. All land use transition pairs were significant, except those involving </w:t>
      </w:r>
      <w:r w:rsidRPr="00BE78CA">
        <w:rPr>
          <w:i/>
        </w:rPr>
        <w:t>Other land</w:t>
      </w:r>
      <w:r w:rsidRPr="00BE78CA">
        <w:t xml:space="preserve"> (see figure 6.3.2).</w:t>
      </w:r>
    </w:p>
    <w:p w14:paraId="7335BC93" w14:textId="77777777" w:rsidR="00333601" w:rsidRPr="00BE78CA" w:rsidRDefault="00333601" w:rsidP="00333601">
      <w:pPr>
        <w:pStyle w:val="Figure"/>
      </w:pPr>
      <w:bookmarkStart w:id="1547" w:name="_Toc378853340"/>
      <w:bookmarkStart w:id="1548" w:name="_Toc405448090"/>
      <w:bookmarkStart w:id="1549" w:name="_Toc414531622"/>
      <w:bookmarkStart w:id="1550" w:name="_Toc474914645"/>
      <w:bookmarkStart w:id="1551" w:name="_Toc481752027"/>
      <w:bookmarkStart w:id="1552" w:name="_Toc522010705"/>
      <w:bookmarkStart w:id="1553" w:name="_Toc5269708"/>
      <w:bookmarkStart w:id="1554" w:name="_Toc33529480"/>
      <w:bookmarkStart w:id="1555" w:name="_Toc36292810"/>
      <w:bookmarkStart w:id="1556" w:name="_Toc65244102"/>
      <w:bookmarkStart w:id="1557" w:name="_Toc68786675"/>
      <w:r w:rsidRPr="00BE78CA">
        <w:t>Figure 6.3.2</w:t>
      </w:r>
      <w:r w:rsidRPr="00BE78CA">
        <w:tab/>
        <w:t>Result of applying the Marcus multi-comparison test to the adopted model</w:t>
      </w:r>
      <w:bookmarkEnd w:id="1547"/>
      <w:bookmarkEnd w:id="1548"/>
      <w:bookmarkEnd w:id="1549"/>
      <w:bookmarkEnd w:id="1550"/>
      <w:bookmarkEnd w:id="1551"/>
      <w:bookmarkEnd w:id="1552"/>
      <w:bookmarkEnd w:id="1553"/>
      <w:bookmarkEnd w:id="1554"/>
      <w:bookmarkEnd w:id="1555"/>
      <w:bookmarkEnd w:id="1556"/>
      <w:bookmarkEnd w:id="1557"/>
    </w:p>
    <w:p w14:paraId="6F903CF9" w14:textId="77777777" w:rsidR="00333601" w:rsidRPr="00BE78CA" w:rsidRDefault="00333601" w:rsidP="00333601">
      <w:pPr>
        <w:pStyle w:val="BodyText"/>
        <w:spacing w:before="0"/>
        <w:jc w:val="center"/>
      </w:pPr>
      <w:r w:rsidRPr="00BE78CA">
        <w:rPr>
          <w:noProof/>
        </w:rPr>
        <w:drawing>
          <wp:inline distT="0" distB="0" distL="0" distR="0" wp14:anchorId="20F505CD" wp14:editId="0E63199D">
            <wp:extent cx="5248194" cy="3994030"/>
            <wp:effectExtent l="0" t="0" r="0" b="698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256310" cy="4000207"/>
                    </a:xfrm>
                    <a:prstGeom prst="rect">
                      <a:avLst/>
                    </a:prstGeom>
                    <a:noFill/>
                    <a:ln>
                      <a:noFill/>
                    </a:ln>
                  </pic:spPr>
                </pic:pic>
              </a:graphicData>
            </a:graphic>
          </wp:inline>
        </w:drawing>
      </w:r>
    </w:p>
    <w:p w14:paraId="0B801A1E" w14:textId="77777777" w:rsidR="00333601" w:rsidRPr="00BE78CA" w:rsidRDefault="00333601" w:rsidP="00AB7F2E">
      <w:pPr>
        <w:pStyle w:val="Source"/>
        <w:spacing w:before="80"/>
      </w:pPr>
      <w:r w:rsidRPr="00BE78CA">
        <w:rPr>
          <w:b/>
          <w:bCs/>
        </w:rPr>
        <w:t>Source</w:t>
      </w:r>
      <w:r w:rsidRPr="00BE78CA">
        <w:t>: McNeill and Barringer (unpublished)</w:t>
      </w:r>
    </w:p>
    <w:p w14:paraId="4C76958A" w14:textId="77777777" w:rsidR="00333601" w:rsidRPr="00BE78CA" w:rsidRDefault="00333601" w:rsidP="00AB7F2E">
      <w:pPr>
        <w:pStyle w:val="Noteundertable"/>
        <w:spacing w:after="80"/>
      </w:pPr>
      <w:r w:rsidRPr="00BE78CA">
        <w:rPr>
          <w:b/>
          <w:bCs/>
        </w:rPr>
        <w:t>Note:</w:t>
      </w:r>
      <w:r w:rsidRPr="00BE78CA">
        <w:tab/>
        <w:t>The marker is the estimated value for the specified transition to indicate significance, and the error bars represent the 95 per cent confidence interval of the test statistic. Land use transitions with point estimates and confidence intervals marked with a grey square are considered highly significant differences within the set of all possible land use transitions.</w:t>
      </w:r>
    </w:p>
    <w:p w14:paraId="7C53A226" w14:textId="77777777" w:rsidR="00333601" w:rsidRPr="00BE78CA" w:rsidRDefault="00333601" w:rsidP="00333601">
      <w:pPr>
        <w:pStyle w:val="BodyText"/>
      </w:pPr>
      <w:r w:rsidRPr="00BE78CA">
        <w:rPr>
          <w:rFonts w:eastAsia="Arial"/>
        </w:rPr>
        <w:t xml:space="preserve">As the model results show (see figure 6.3.2), all transitions are significant in the multi-comparison sense, except those involving </w:t>
      </w:r>
      <w:r w:rsidRPr="00BE78CA">
        <w:rPr>
          <w:rFonts w:eastAsia="Arial"/>
          <w:i/>
        </w:rPr>
        <w:t>Other land</w:t>
      </w:r>
      <w:r w:rsidRPr="00BE78CA">
        <w:rPr>
          <w:rFonts w:eastAsia="Arial"/>
        </w:rPr>
        <w:t xml:space="preserve">. </w:t>
      </w:r>
      <w:r w:rsidRPr="00BE78CA">
        <w:t xml:space="preserve">Land use transitions involving </w:t>
      </w:r>
      <w:r w:rsidRPr="00BE78CA">
        <w:rPr>
          <w:i/>
        </w:rPr>
        <w:t>Other land</w:t>
      </w:r>
      <w:r w:rsidRPr="00BE78CA">
        <w:t xml:space="preserve"> contribute relatively little to the carbon change estimates, because they make up approximately 1.0 per cent of all land-use change detected between 1990 and 2016. </w:t>
      </w:r>
    </w:p>
    <w:p w14:paraId="2F8095E6" w14:textId="77777777" w:rsidR="00333601" w:rsidRPr="00BE78CA" w:rsidRDefault="00333601" w:rsidP="00333601">
      <w:pPr>
        <w:pStyle w:val="BodyText"/>
      </w:pPr>
      <w:r w:rsidRPr="00BE78CA">
        <w:lastRenderedPageBreak/>
        <w:t>It is important to note that this interpretation of significance does not alter the method of calculation of the soil carbon change as a result of land use transition. In particular, it would not be correct to substitute a value of zero for the effect of a land use transition where the transition itself is not significant in the multi-comparison sense, because, if such a substitution were to be carried out, the calculation of the soil carbon would no longer be unbiased. Avoiding the bias in this manner also reduces the residual uncertainty of the soil carbon estimates. For this reason, the effect of all land use transitions ought to be included in calculations of soil carbon change (McNeill and Barringer, unpublished; McNeill et al., 2014).</w:t>
      </w:r>
    </w:p>
    <w:p w14:paraId="73036966" w14:textId="77777777" w:rsidR="00333601" w:rsidRPr="00BE78CA" w:rsidRDefault="00333601" w:rsidP="00333601">
      <w:pPr>
        <w:pStyle w:val="Heading3"/>
      </w:pPr>
      <w:r w:rsidRPr="00BE78CA">
        <w:t>6.3.2</w:t>
      </w:r>
      <w:r w:rsidRPr="00BE78CA">
        <w:tab/>
        <w:t>Organic soils</w:t>
      </w:r>
    </w:p>
    <w:p w14:paraId="64EF6DE1" w14:textId="77777777" w:rsidR="00333601" w:rsidRPr="00BE78CA" w:rsidRDefault="00333601" w:rsidP="00333601">
      <w:pPr>
        <w:pStyle w:val="BodyText"/>
        <w:rPr>
          <w:spacing w:val="-2"/>
        </w:rPr>
      </w:pPr>
      <w:r w:rsidRPr="00BE78CA">
        <w:rPr>
          <w:bCs/>
          <w:spacing w:val="-2"/>
        </w:rPr>
        <w:t>Organic soils occupy a small proportion of New Zealand’s total land area (</w:t>
      </w:r>
      <w:r w:rsidRPr="00BE78CA">
        <w:rPr>
          <w:spacing w:val="-2"/>
        </w:rPr>
        <w:t>1.0 per cent), and the area of organic soils subject to land-use change is approximately 0.7 per cent of New Zealand’s total land area. New Zealand uses a Tier 1 method to estimate SOC stock change in organic soils.</w:t>
      </w:r>
    </w:p>
    <w:p w14:paraId="50574C72" w14:textId="77777777" w:rsidR="00333601" w:rsidRPr="00BE78CA" w:rsidRDefault="00333601" w:rsidP="00333601">
      <w:pPr>
        <w:pStyle w:val="BodyText"/>
      </w:pPr>
      <w:r w:rsidRPr="00BE78CA">
        <w:t xml:space="preserve">The definition of organic soils is derived from the </w:t>
      </w:r>
      <w:r w:rsidRPr="00BE78CA">
        <w:rPr>
          <w:i/>
        </w:rPr>
        <w:t>New Zealand Soil Classification</w:t>
      </w:r>
      <w:r w:rsidRPr="00BE78CA">
        <w:t xml:space="preserve"> (Hewitt, 2010), which defines organic soils as those soils with at least 18 per cent organic carbon in horizons at least 30 centimetres thick and within 60 centimetres of the soil surface. New Zealand-specific climate and soil data are used to estimate the areas of organic soil found in each climate zone. Climate data are based on the temperature data layer of the Land Environments New Zealand classification (Leathwick et al., 2002). Soil-type data are based on the Fundamental Soils Layer associated with the NZLRI (Newsome et al., 2008) and converted to the IPCC classification (Daly and Wilde, unpublished). These data layers have been analysed in a GIS system to determine the areas of organic soils in warm and cold climatic zones. These areas are compared with the land use to determine the area of organic soils in each. </w:t>
      </w:r>
    </w:p>
    <w:p w14:paraId="401C86FC" w14:textId="77777777" w:rsidR="00333601" w:rsidRPr="00BE78CA" w:rsidRDefault="00333601" w:rsidP="00333601">
      <w:pPr>
        <w:pStyle w:val="BodyText"/>
      </w:pPr>
      <w:r w:rsidRPr="00BE78CA">
        <w:t xml:space="preserve">The LULUCF organic soils definition is the same as that used for reporting under the Agriculture sector (Dresser et al., 2011). </w:t>
      </w:r>
    </w:p>
    <w:p w14:paraId="217335A9" w14:textId="77777777" w:rsidR="00333601" w:rsidRPr="00BE78CA" w:rsidRDefault="00333601" w:rsidP="00333601">
      <w:pPr>
        <w:pStyle w:val="BodyText"/>
      </w:pPr>
      <w:r w:rsidRPr="00BE78CA">
        <w:t xml:space="preserve">New Zealand has used IPCC default emission factors for organic soils under the </w:t>
      </w:r>
      <w:r w:rsidRPr="00BE78CA">
        <w:rPr>
          <w:i/>
        </w:rPr>
        <w:t>Forest land</w:t>
      </w:r>
      <w:r w:rsidRPr="00BE78CA">
        <w:t xml:space="preserve">, </w:t>
      </w:r>
      <w:r w:rsidRPr="00BE78CA">
        <w:rPr>
          <w:i/>
        </w:rPr>
        <w:t>Grassland</w:t>
      </w:r>
      <w:r w:rsidRPr="00BE78CA">
        <w:t xml:space="preserve">, </w:t>
      </w:r>
      <w:r w:rsidRPr="00BE78CA">
        <w:rPr>
          <w:i/>
        </w:rPr>
        <w:t>Cropland, Wetlands</w:t>
      </w:r>
      <w:r w:rsidRPr="00BE78CA">
        <w:t xml:space="preserve"> and </w:t>
      </w:r>
      <w:r w:rsidRPr="00BE78CA">
        <w:rPr>
          <w:i/>
        </w:rPr>
        <w:t>Settlements</w:t>
      </w:r>
      <w:r w:rsidRPr="00BE78CA">
        <w:t xml:space="preserve"> categories (IPCC, 2006a) to estimate organic soil emissions (see table 6.3.3). IPCC guidance for organic soils under forest is limited to estimates associated with the drainage of organic soils in managed forests. In New Zealand, the drainage of pre-1990 natural forests does not occur and therefore no emissions are estimated from organic soils under natural forest. It is assumed that all planted forests on organic soils are drained prior to forest establishment. The temperate default for forest land is applied to the area of organic soils under planted forests to estimate emissions. The warm temperate and cold temperate defaults for the </w:t>
      </w:r>
      <w:r w:rsidRPr="00BE78CA">
        <w:rPr>
          <w:i/>
        </w:rPr>
        <w:t>Grassland</w:t>
      </w:r>
      <w:r w:rsidRPr="00BE78CA">
        <w:t xml:space="preserve">, </w:t>
      </w:r>
      <w:r w:rsidRPr="00BE78CA">
        <w:rPr>
          <w:i/>
        </w:rPr>
        <w:t>Cropland</w:t>
      </w:r>
      <w:r w:rsidRPr="00BE78CA">
        <w:t xml:space="preserve"> and </w:t>
      </w:r>
      <w:r w:rsidRPr="00BE78CA">
        <w:rPr>
          <w:i/>
        </w:rPr>
        <w:t>Settlements</w:t>
      </w:r>
      <w:r w:rsidRPr="00BE78CA">
        <w:t xml:space="preserve"> categories are applied in proportion to the area of land in New Zealand where the mean annual temperature is above or below 10</w:t>
      </w:r>
      <w:r w:rsidRPr="00BE78CA">
        <w:sym w:font="Symbol" w:char="F0B0"/>
      </w:r>
      <w:r w:rsidRPr="00BE78CA">
        <w:t xml:space="preserve">C respectively. New Zealand applies IPCC default emission factors for organic soils in the </w:t>
      </w:r>
      <w:r w:rsidRPr="00BE78CA">
        <w:rPr>
          <w:i/>
        </w:rPr>
        <w:t>Wetlands</w:t>
      </w:r>
      <w:r w:rsidRPr="00BE78CA">
        <w:t xml:space="preserve"> category for areas under peat extraction. There are no default emission factors for organic soils under </w:t>
      </w:r>
      <w:r w:rsidRPr="00BE78CA">
        <w:rPr>
          <w:i/>
        </w:rPr>
        <w:t>Other land</w:t>
      </w:r>
      <w:r w:rsidRPr="00BE78CA">
        <w:t xml:space="preserve">; therefore, emissions from organic soils under this land use category are not estimated. </w:t>
      </w:r>
    </w:p>
    <w:p w14:paraId="5BDE4C24" w14:textId="77777777" w:rsidR="00333601" w:rsidRPr="00BE78CA" w:rsidRDefault="00333601" w:rsidP="00333601">
      <w:pPr>
        <w:pStyle w:val="Table"/>
      </w:pPr>
      <w:bookmarkStart w:id="1558" w:name="_Toc310423395"/>
      <w:bookmarkStart w:id="1559" w:name="_Toc318362688"/>
      <w:bookmarkStart w:id="1560" w:name="_Toc342470750"/>
      <w:bookmarkStart w:id="1561" w:name="_Toc352504990"/>
      <w:bookmarkStart w:id="1562" w:name="_Toc361644888"/>
      <w:bookmarkStart w:id="1563" w:name="_Toc378853289"/>
      <w:bookmarkStart w:id="1564" w:name="_Toc391024087"/>
      <w:bookmarkStart w:id="1565" w:name="_Toc410028830"/>
      <w:bookmarkStart w:id="1566" w:name="_Toc414531458"/>
      <w:bookmarkStart w:id="1567" w:name="_Toc443645371"/>
      <w:bookmarkStart w:id="1568" w:name="_Toc474914590"/>
      <w:bookmarkStart w:id="1569" w:name="_Toc481751554"/>
      <w:bookmarkStart w:id="1570" w:name="_Toc522010611"/>
      <w:bookmarkStart w:id="1571" w:name="_Toc5269516"/>
      <w:bookmarkStart w:id="1572" w:name="_Toc33529390"/>
      <w:bookmarkStart w:id="1573" w:name="_Toc36224596"/>
      <w:bookmarkStart w:id="1574" w:name="_Toc65243591"/>
      <w:bookmarkStart w:id="1575" w:name="_Toc68786481"/>
      <w:r w:rsidRPr="00BE78CA">
        <w:lastRenderedPageBreak/>
        <w:t>Table 6.3.3</w:t>
      </w:r>
      <w:r w:rsidRPr="00BE78CA">
        <w:tab/>
        <w:t>New Zealand emission factors for organic soils</w:t>
      </w:r>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p>
    <w:tbl>
      <w:tblPr>
        <w:tblW w:w="8448" w:type="dxa"/>
        <w:tblInd w:w="57" w:type="dxa"/>
        <w:tblBorders>
          <w:bottom w:val="single" w:sz="8" w:space="0" w:color="365F91"/>
        </w:tblBorders>
        <w:tblLook w:val="04A0" w:firstRow="1" w:lastRow="0" w:firstColumn="1" w:lastColumn="0" w:noHBand="0" w:noVBand="1"/>
      </w:tblPr>
      <w:tblGrid>
        <w:gridCol w:w="1928"/>
        <w:gridCol w:w="1417"/>
        <w:gridCol w:w="1871"/>
        <w:gridCol w:w="3232"/>
      </w:tblGrid>
      <w:tr w:rsidR="00333601" w:rsidRPr="00BE78CA" w14:paraId="1ACFFBE8" w14:textId="77777777" w:rsidTr="00CB1F6D">
        <w:trPr>
          <w:tblHeader/>
        </w:trPr>
        <w:tc>
          <w:tcPr>
            <w:tcW w:w="1928" w:type="dxa"/>
            <w:tcBorders>
              <w:top w:val="single" w:sz="4" w:space="0" w:color="365F91"/>
              <w:bottom w:val="single" w:sz="4" w:space="0" w:color="365F91"/>
              <w:right w:val="nil"/>
            </w:tcBorders>
            <w:shd w:val="clear" w:color="auto" w:fill="365F91"/>
            <w:vAlign w:val="bottom"/>
          </w:tcPr>
          <w:p w14:paraId="7A1BE04F" w14:textId="77777777" w:rsidR="00333601" w:rsidRPr="00BE78CA" w:rsidRDefault="00333601" w:rsidP="00E27608">
            <w:pPr>
              <w:pStyle w:val="TableTextBold"/>
              <w:keepNext/>
              <w:spacing w:before="40" w:after="50"/>
              <w:rPr>
                <w:rFonts w:eastAsia="Arial"/>
                <w:noProof w:val="0"/>
                <w:color w:val="FFFFFF"/>
              </w:rPr>
            </w:pPr>
            <w:r w:rsidRPr="00BE78CA">
              <w:rPr>
                <w:rFonts w:eastAsia="Arial"/>
                <w:noProof w:val="0"/>
                <w:color w:val="FFFFFF"/>
              </w:rPr>
              <w:t>Land use</w:t>
            </w:r>
          </w:p>
        </w:tc>
        <w:tc>
          <w:tcPr>
            <w:tcW w:w="1417" w:type="dxa"/>
            <w:tcBorders>
              <w:top w:val="single" w:sz="4" w:space="0" w:color="365F91"/>
              <w:bottom w:val="single" w:sz="4" w:space="0" w:color="365F91"/>
            </w:tcBorders>
            <w:shd w:val="clear" w:color="auto" w:fill="365F91"/>
            <w:vAlign w:val="bottom"/>
          </w:tcPr>
          <w:p w14:paraId="1A7931BC" w14:textId="77777777" w:rsidR="00333601" w:rsidRPr="00BE78CA" w:rsidRDefault="00333601" w:rsidP="00E27608">
            <w:pPr>
              <w:pStyle w:val="TableTextBold"/>
              <w:keepNext/>
              <w:spacing w:before="40" w:after="50"/>
              <w:rPr>
                <w:rFonts w:eastAsia="Arial"/>
                <w:noProof w:val="0"/>
                <w:color w:val="FFFFFF"/>
              </w:rPr>
            </w:pPr>
            <w:r w:rsidRPr="00BE78CA">
              <w:rPr>
                <w:rFonts w:eastAsia="Arial"/>
                <w:noProof w:val="0"/>
                <w:color w:val="FFFFFF"/>
              </w:rPr>
              <w:t xml:space="preserve">Climatic </w:t>
            </w:r>
            <w:r w:rsidRPr="00BE78CA">
              <w:rPr>
                <w:rFonts w:eastAsia="Arial"/>
                <w:noProof w:val="0"/>
                <w:color w:val="FFFFFF"/>
              </w:rPr>
              <w:br/>
              <w:t>temperature regime</w:t>
            </w:r>
          </w:p>
        </w:tc>
        <w:tc>
          <w:tcPr>
            <w:tcW w:w="1871" w:type="dxa"/>
            <w:tcBorders>
              <w:top w:val="single" w:sz="4" w:space="0" w:color="365F91"/>
              <w:bottom w:val="single" w:sz="4" w:space="0" w:color="365F91"/>
            </w:tcBorders>
            <w:shd w:val="clear" w:color="auto" w:fill="365F91"/>
            <w:vAlign w:val="bottom"/>
          </w:tcPr>
          <w:p w14:paraId="3675B6AA" w14:textId="77777777" w:rsidR="00333601" w:rsidRPr="00BE78CA" w:rsidRDefault="00333601" w:rsidP="00E27608">
            <w:pPr>
              <w:pStyle w:val="TableTextBold"/>
              <w:keepNext/>
              <w:spacing w:before="40" w:after="50"/>
              <w:rPr>
                <w:rFonts w:eastAsia="Arial"/>
                <w:noProof w:val="0"/>
                <w:color w:val="FFFFFF"/>
              </w:rPr>
            </w:pPr>
            <w:r w:rsidRPr="00BE78CA">
              <w:rPr>
                <w:rFonts w:eastAsia="Arial"/>
                <w:noProof w:val="0"/>
                <w:color w:val="FFFFFF"/>
              </w:rPr>
              <w:t>IPCC Tier 1 default emission factor applied and ranges (t C ha</w:t>
            </w:r>
            <w:r w:rsidRPr="00BE78CA">
              <w:rPr>
                <w:rFonts w:eastAsia="Arial"/>
                <w:noProof w:val="0"/>
                <w:color w:val="FFFFFF"/>
                <w:vertAlign w:val="superscript"/>
              </w:rPr>
              <w:t xml:space="preserve">–1 </w:t>
            </w:r>
            <w:r w:rsidRPr="00BE78CA">
              <w:rPr>
                <w:rFonts w:eastAsia="Arial"/>
                <w:noProof w:val="0"/>
                <w:color w:val="FFFFFF"/>
              </w:rPr>
              <w:t>yr</w:t>
            </w:r>
            <w:r w:rsidRPr="00BE78CA">
              <w:rPr>
                <w:rFonts w:eastAsia="Arial"/>
                <w:noProof w:val="0"/>
                <w:color w:val="FFFFFF"/>
                <w:vertAlign w:val="superscript"/>
              </w:rPr>
              <w:t>–1</w:t>
            </w:r>
            <w:r w:rsidRPr="00BE78CA">
              <w:rPr>
                <w:rFonts w:eastAsia="Arial"/>
                <w:noProof w:val="0"/>
                <w:color w:val="FFFFFF"/>
              </w:rPr>
              <w:t>)</w:t>
            </w:r>
          </w:p>
        </w:tc>
        <w:tc>
          <w:tcPr>
            <w:tcW w:w="3232" w:type="dxa"/>
            <w:tcBorders>
              <w:top w:val="single" w:sz="4" w:space="0" w:color="365F91"/>
              <w:bottom w:val="single" w:sz="4" w:space="0" w:color="365F91"/>
            </w:tcBorders>
            <w:shd w:val="clear" w:color="auto" w:fill="365F91"/>
            <w:vAlign w:val="bottom"/>
          </w:tcPr>
          <w:p w14:paraId="5CED6887" w14:textId="77777777" w:rsidR="00333601" w:rsidRPr="00BE78CA" w:rsidRDefault="00333601" w:rsidP="00E27608">
            <w:pPr>
              <w:pStyle w:val="TableTextBold"/>
              <w:keepNext/>
              <w:spacing w:before="40" w:after="50"/>
              <w:rPr>
                <w:rFonts w:eastAsia="Arial"/>
                <w:noProof w:val="0"/>
                <w:color w:val="FFFFFF"/>
              </w:rPr>
            </w:pPr>
            <w:r w:rsidRPr="00BE78CA">
              <w:rPr>
                <w:rFonts w:eastAsia="Arial"/>
                <w:noProof w:val="0"/>
                <w:color w:val="FFFFFF"/>
              </w:rPr>
              <w:t>Reference</w:t>
            </w:r>
          </w:p>
        </w:tc>
      </w:tr>
      <w:tr w:rsidR="00333601" w:rsidRPr="00BE78CA" w14:paraId="6EFD9D7F" w14:textId="77777777" w:rsidTr="00CB1F6D">
        <w:tc>
          <w:tcPr>
            <w:tcW w:w="1928" w:type="dxa"/>
            <w:tcBorders>
              <w:top w:val="single" w:sz="4" w:space="0" w:color="365F91"/>
              <w:right w:val="nil"/>
            </w:tcBorders>
            <w:shd w:val="clear" w:color="auto" w:fill="auto"/>
          </w:tcPr>
          <w:p w14:paraId="37FFA63C" w14:textId="77777777" w:rsidR="00333601" w:rsidRPr="00BE78CA" w:rsidRDefault="00333601" w:rsidP="00C26084">
            <w:pPr>
              <w:pStyle w:val="TableText"/>
              <w:keepNext/>
              <w:spacing w:before="50" w:after="50"/>
              <w:rPr>
                <w:rFonts w:eastAsia="Arial"/>
              </w:rPr>
            </w:pPr>
            <w:r w:rsidRPr="00BE78CA">
              <w:rPr>
                <w:rFonts w:eastAsia="Arial"/>
              </w:rPr>
              <w:t>Pre-1990 natural forest</w:t>
            </w:r>
          </w:p>
        </w:tc>
        <w:tc>
          <w:tcPr>
            <w:tcW w:w="1417" w:type="dxa"/>
            <w:tcBorders>
              <w:top w:val="single" w:sz="4" w:space="0" w:color="365F91"/>
            </w:tcBorders>
            <w:shd w:val="clear" w:color="auto" w:fill="auto"/>
          </w:tcPr>
          <w:p w14:paraId="6599130D" w14:textId="77777777" w:rsidR="00333601" w:rsidRPr="00BE78CA" w:rsidRDefault="00333601" w:rsidP="00C26084">
            <w:pPr>
              <w:pStyle w:val="TableText"/>
              <w:spacing w:before="50" w:after="50"/>
              <w:rPr>
                <w:rFonts w:eastAsia="Arial"/>
              </w:rPr>
            </w:pPr>
            <w:r w:rsidRPr="00BE78CA">
              <w:rPr>
                <w:rFonts w:eastAsia="Arial"/>
              </w:rPr>
              <w:t>Temperate</w:t>
            </w:r>
          </w:p>
        </w:tc>
        <w:tc>
          <w:tcPr>
            <w:tcW w:w="1871" w:type="dxa"/>
            <w:tcBorders>
              <w:top w:val="single" w:sz="4" w:space="0" w:color="365F91"/>
            </w:tcBorders>
            <w:shd w:val="clear" w:color="auto" w:fill="auto"/>
          </w:tcPr>
          <w:p w14:paraId="3C7CCFF6" w14:textId="77777777" w:rsidR="00333601" w:rsidRPr="00BE78CA" w:rsidRDefault="00333601" w:rsidP="00C26084">
            <w:pPr>
              <w:pStyle w:val="TableText"/>
              <w:spacing w:before="50" w:after="50"/>
              <w:rPr>
                <w:rFonts w:eastAsia="Arial"/>
              </w:rPr>
            </w:pPr>
            <w:r w:rsidRPr="00BE78CA">
              <w:rPr>
                <w:rFonts w:eastAsia="Arial"/>
              </w:rPr>
              <w:t>NA</w:t>
            </w:r>
          </w:p>
        </w:tc>
        <w:tc>
          <w:tcPr>
            <w:tcW w:w="3232" w:type="dxa"/>
            <w:tcBorders>
              <w:top w:val="single" w:sz="4" w:space="0" w:color="365F91"/>
            </w:tcBorders>
            <w:shd w:val="clear" w:color="auto" w:fill="auto"/>
          </w:tcPr>
          <w:p w14:paraId="1B42DBF9" w14:textId="77777777" w:rsidR="00333601" w:rsidRPr="00BE78CA" w:rsidDel="008E37A0" w:rsidRDefault="00333601" w:rsidP="00C26084">
            <w:pPr>
              <w:pStyle w:val="TableText"/>
              <w:spacing w:before="50" w:after="50"/>
              <w:rPr>
                <w:rFonts w:eastAsia="Arial"/>
              </w:rPr>
            </w:pPr>
            <w:r w:rsidRPr="00BE78CA">
              <w:rPr>
                <w:rFonts w:eastAsia="Arial"/>
              </w:rPr>
              <w:t>IPCC guidance applies only to drained forest organic soils, which do not occur in natural forests in New Zealand (IPCC, 2006a,</w:t>
            </w:r>
            <w:r w:rsidRPr="00BE78CA">
              <w:rPr>
                <w:rFonts w:eastAsia="Arial"/>
              </w:rPr>
              <w:fldChar w:fldCharType="begin"/>
            </w:r>
            <w:r w:rsidRPr="00BE78CA">
              <w:rPr>
                <w:rFonts w:eastAsia="Arial"/>
              </w:rPr>
              <w:fldChar w:fldCharType="begin"/>
            </w:r>
            <w:r w:rsidRPr="00BE78CA">
              <w:rPr>
                <w:rFonts w:eastAsia="Arial"/>
              </w:rPr>
              <w:instrText xml:space="preserve"> CITATION Pen03 \l 5129 </w:instrText>
            </w:r>
            <w:r w:rsidRPr="00BE78CA">
              <w:rPr>
                <w:rFonts w:eastAsia="Arial"/>
              </w:rPr>
              <w:fldChar w:fldCharType="separate"/>
            </w:r>
            <w:r w:rsidRPr="00BE78CA">
              <w:rPr>
                <w:rFonts w:eastAsia="Arial"/>
              </w:rPr>
              <w:instrText xml:space="preserve"> IPCC, 2003</w:instrText>
            </w:r>
            <w:r w:rsidRPr="00BE78CA">
              <w:rPr>
                <w:rFonts w:eastAsia="Arial"/>
              </w:rPr>
              <w:fldChar w:fldCharType="end"/>
            </w:r>
            <w:r w:rsidRPr="00BE78CA">
              <w:rPr>
                <w:rFonts w:eastAsia="Arial"/>
              </w:rPr>
              <w:fldChar w:fldCharType="end"/>
            </w:r>
            <w:r w:rsidRPr="00BE78CA">
              <w:rPr>
                <w:rFonts w:eastAsia="Arial"/>
              </w:rPr>
              <w:t xml:space="preserve"> section 4.2.3.2).</w:t>
            </w:r>
          </w:p>
        </w:tc>
      </w:tr>
      <w:tr w:rsidR="00333601" w:rsidRPr="00BE78CA" w14:paraId="4715AA47" w14:textId="77777777" w:rsidTr="00CB1F6D">
        <w:tc>
          <w:tcPr>
            <w:tcW w:w="1928" w:type="dxa"/>
            <w:tcBorders>
              <w:top w:val="single" w:sz="8" w:space="0" w:color="365F91"/>
              <w:bottom w:val="single" w:sz="8" w:space="0" w:color="365F91"/>
              <w:right w:val="nil"/>
            </w:tcBorders>
            <w:shd w:val="clear" w:color="auto" w:fill="auto"/>
          </w:tcPr>
          <w:p w14:paraId="128FFA44" w14:textId="77777777" w:rsidR="00333601" w:rsidRPr="00BE78CA" w:rsidRDefault="00333601" w:rsidP="00C26084">
            <w:pPr>
              <w:pStyle w:val="TableText"/>
              <w:spacing w:before="50" w:after="50"/>
              <w:rPr>
                <w:rFonts w:eastAsia="Arial"/>
              </w:rPr>
            </w:pPr>
            <w:r w:rsidRPr="00BE78CA">
              <w:rPr>
                <w:rFonts w:eastAsia="Arial"/>
              </w:rPr>
              <w:t xml:space="preserve">Pre-1990 and post-1989 planted and natural forest </w:t>
            </w:r>
          </w:p>
        </w:tc>
        <w:tc>
          <w:tcPr>
            <w:tcW w:w="1417" w:type="dxa"/>
            <w:tcBorders>
              <w:top w:val="single" w:sz="8" w:space="0" w:color="365F91"/>
              <w:bottom w:val="single" w:sz="8" w:space="0" w:color="365F91"/>
            </w:tcBorders>
            <w:shd w:val="clear" w:color="auto" w:fill="auto"/>
          </w:tcPr>
          <w:p w14:paraId="3880B02F" w14:textId="77777777" w:rsidR="00333601" w:rsidRPr="00BE78CA" w:rsidRDefault="00333601" w:rsidP="00C26084">
            <w:pPr>
              <w:pStyle w:val="TableText"/>
              <w:spacing w:before="50" w:after="50"/>
              <w:rPr>
                <w:rFonts w:eastAsia="Arial"/>
              </w:rPr>
            </w:pPr>
            <w:r w:rsidRPr="00BE78CA">
              <w:rPr>
                <w:rFonts w:eastAsia="Arial"/>
              </w:rPr>
              <w:t>Temperate</w:t>
            </w:r>
          </w:p>
        </w:tc>
        <w:tc>
          <w:tcPr>
            <w:tcW w:w="1871" w:type="dxa"/>
            <w:tcBorders>
              <w:top w:val="single" w:sz="8" w:space="0" w:color="365F91"/>
              <w:bottom w:val="single" w:sz="8" w:space="0" w:color="365F91"/>
            </w:tcBorders>
            <w:shd w:val="clear" w:color="auto" w:fill="auto"/>
          </w:tcPr>
          <w:p w14:paraId="3BF3DEBB" w14:textId="77777777" w:rsidR="00333601" w:rsidRPr="00BE78CA" w:rsidRDefault="00333601" w:rsidP="00C26084">
            <w:pPr>
              <w:pStyle w:val="TableText"/>
              <w:spacing w:before="50" w:after="50"/>
              <w:rPr>
                <w:rFonts w:eastAsia="Arial"/>
              </w:rPr>
            </w:pPr>
            <w:r w:rsidRPr="00BE78CA">
              <w:rPr>
                <w:rFonts w:eastAsia="Arial"/>
              </w:rPr>
              <w:t>0.68 (range 0.41–1.91)</w:t>
            </w:r>
          </w:p>
        </w:tc>
        <w:tc>
          <w:tcPr>
            <w:tcW w:w="3232" w:type="dxa"/>
            <w:tcBorders>
              <w:top w:val="single" w:sz="8" w:space="0" w:color="365F91"/>
              <w:bottom w:val="single" w:sz="8" w:space="0" w:color="365F91"/>
            </w:tcBorders>
            <w:shd w:val="clear" w:color="auto" w:fill="auto"/>
          </w:tcPr>
          <w:p w14:paraId="15B475BE" w14:textId="77777777" w:rsidR="00333601" w:rsidRPr="00BE78CA" w:rsidRDefault="00333601" w:rsidP="00C26084">
            <w:pPr>
              <w:pStyle w:val="TableText"/>
              <w:spacing w:before="50" w:after="50"/>
              <w:rPr>
                <w:rFonts w:eastAsia="Arial"/>
              </w:rPr>
            </w:pPr>
            <w:r w:rsidRPr="00BE78CA">
              <w:rPr>
                <w:rFonts w:eastAsia="Arial"/>
              </w:rPr>
              <w:t>IPCC (2006a, section 4.2.3.2, table 4.6)</w:t>
            </w:r>
          </w:p>
        </w:tc>
      </w:tr>
      <w:tr w:rsidR="00333601" w:rsidRPr="00BE78CA" w14:paraId="039FDD37" w14:textId="77777777" w:rsidTr="00CB1F6D">
        <w:tc>
          <w:tcPr>
            <w:tcW w:w="1928" w:type="dxa"/>
            <w:tcBorders>
              <w:right w:val="nil"/>
            </w:tcBorders>
            <w:shd w:val="clear" w:color="auto" w:fill="auto"/>
          </w:tcPr>
          <w:p w14:paraId="25323EBC" w14:textId="77777777" w:rsidR="00333601" w:rsidRPr="00BE78CA" w:rsidRDefault="00333601" w:rsidP="00C26084">
            <w:pPr>
              <w:pStyle w:val="TableText"/>
              <w:spacing w:before="50" w:after="50"/>
              <w:rPr>
                <w:rFonts w:eastAsia="Arial"/>
              </w:rPr>
            </w:pPr>
            <w:r w:rsidRPr="00BE78CA">
              <w:rPr>
                <w:rFonts w:eastAsia="Arial"/>
              </w:rPr>
              <w:t>Cropland</w:t>
            </w:r>
          </w:p>
        </w:tc>
        <w:tc>
          <w:tcPr>
            <w:tcW w:w="1417" w:type="dxa"/>
            <w:shd w:val="clear" w:color="auto" w:fill="auto"/>
          </w:tcPr>
          <w:p w14:paraId="139D7D14" w14:textId="77777777" w:rsidR="00333601" w:rsidRPr="00BE78CA" w:rsidRDefault="00333601" w:rsidP="001D7DAC">
            <w:pPr>
              <w:pStyle w:val="TableText"/>
              <w:spacing w:before="50" w:after="0"/>
              <w:rPr>
                <w:rFonts w:eastAsia="Arial"/>
              </w:rPr>
            </w:pPr>
            <w:r w:rsidRPr="00BE78CA">
              <w:rPr>
                <w:rFonts w:eastAsia="Arial"/>
              </w:rPr>
              <w:t>Cold temperate</w:t>
            </w:r>
          </w:p>
          <w:p w14:paraId="1BD42662" w14:textId="77777777" w:rsidR="00333601" w:rsidRPr="00BE78CA" w:rsidRDefault="00333601" w:rsidP="00C26084">
            <w:pPr>
              <w:pStyle w:val="TableText"/>
              <w:spacing w:before="50" w:after="50"/>
              <w:rPr>
                <w:rFonts w:eastAsia="Arial"/>
              </w:rPr>
            </w:pPr>
            <w:r w:rsidRPr="00BE78CA">
              <w:rPr>
                <w:rFonts w:eastAsia="Arial"/>
              </w:rPr>
              <w:t>Warm temperate</w:t>
            </w:r>
          </w:p>
        </w:tc>
        <w:tc>
          <w:tcPr>
            <w:tcW w:w="1871" w:type="dxa"/>
            <w:shd w:val="clear" w:color="auto" w:fill="auto"/>
          </w:tcPr>
          <w:p w14:paraId="34D14755" w14:textId="77777777" w:rsidR="00333601" w:rsidRPr="00BE78CA" w:rsidRDefault="00333601" w:rsidP="001D7DAC">
            <w:pPr>
              <w:pStyle w:val="TableText"/>
              <w:spacing w:before="50" w:after="0"/>
              <w:rPr>
                <w:rFonts w:eastAsia="Arial"/>
              </w:rPr>
            </w:pPr>
            <w:r w:rsidRPr="00BE78CA">
              <w:rPr>
                <w:rFonts w:eastAsia="Arial"/>
              </w:rPr>
              <w:t>5.0 ± 90%</w:t>
            </w:r>
          </w:p>
          <w:p w14:paraId="5BAA5787" w14:textId="77777777" w:rsidR="00333601" w:rsidRPr="00BE78CA" w:rsidRDefault="00333601" w:rsidP="00C26084">
            <w:pPr>
              <w:pStyle w:val="TableText"/>
              <w:spacing w:before="50" w:after="50"/>
              <w:rPr>
                <w:rFonts w:eastAsia="Arial"/>
              </w:rPr>
            </w:pPr>
            <w:r w:rsidRPr="00BE78CA">
              <w:rPr>
                <w:rFonts w:eastAsia="Arial"/>
              </w:rPr>
              <w:t>10.0 ± 90%</w:t>
            </w:r>
          </w:p>
        </w:tc>
        <w:tc>
          <w:tcPr>
            <w:tcW w:w="3232" w:type="dxa"/>
            <w:shd w:val="clear" w:color="auto" w:fill="auto"/>
          </w:tcPr>
          <w:p w14:paraId="30ECB31B" w14:textId="77777777" w:rsidR="00333601" w:rsidRPr="00BE78CA" w:rsidRDefault="00333601" w:rsidP="00C26084">
            <w:pPr>
              <w:pStyle w:val="TableText"/>
              <w:spacing w:before="50" w:after="50"/>
              <w:rPr>
                <w:rFonts w:eastAsia="Arial"/>
              </w:rPr>
            </w:pPr>
            <w:r w:rsidRPr="00BE78CA">
              <w:rPr>
                <w:rFonts w:eastAsia="Arial"/>
              </w:rPr>
              <w:t>IPCC (2006a, section 5.2.3.2, table 5.6)</w:t>
            </w:r>
          </w:p>
        </w:tc>
      </w:tr>
      <w:tr w:rsidR="00333601" w:rsidRPr="00BE78CA" w14:paraId="0278AADE" w14:textId="77777777" w:rsidTr="00CB1F6D">
        <w:tc>
          <w:tcPr>
            <w:tcW w:w="1928" w:type="dxa"/>
            <w:tcBorders>
              <w:top w:val="single" w:sz="8" w:space="0" w:color="365F91"/>
              <w:bottom w:val="single" w:sz="8" w:space="0" w:color="365F91"/>
              <w:right w:val="nil"/>
            </w:tcBorders>
            <w:shd w:val="clear" w:color="auto" w:fill="auto"/>
          </w:tcPr>
          <w:p w14:paraId="26F6489F" w14:textId="77777777" w:rsidR="00333601" w:rsidRPr="00BE78CA" w:rsidRDefault="00333601" w:rsidP="00C26084">
            <w:pPr>
              <w:pStyle w:val="TableText"/>
              <w:spacing w:before="50" w:after="50"/>
              <w:rPr>
                <w:rFonts w:eastAsia="Arial"/>
              </w:rPr>
            </w:pPr>
            <w:r w:rsidRPr="00BE78CA">
              <w:rPr>
                <w:rFonts w:eastAsia="Arial"/>
              </w:rPr>
              <w:t>Grassland</w:t>
            </w:r>
          </w:p>
        </w:tc>
        <w:tc>
          <w:tcPr>
            <w:tcW w:w="1417" w:type="dxa"/>
            <w:tcBorders>
              <w:top w:val="single" w:sz="8" w:space="0" w:color="365F91"/>
              <w:bottom w:val="single" w:sz="8" w:space="0" w:color="365F91"/>
            </w:tcBorders>
            <w:shd w:val="clear" w:color="auto" w:fill="auto"/>
          </w:tcPr>
          <w:p w14:paraId="514CB3BC" w14:textId="77777777" w:rsidR="00333601" w:rsidRPr="00BE78CA" w:rsidRDefault="00333601" w:rsidP="001D7DAC">
            <w:pPr>
              <w:pStyle w:val="TableText"/>
              <w:spacing w:before="50" w:after="0"/>
              <w:rPr>
                <w:rFonts w:eastAsia="Arial"/>
              </w:rPr>
            </w:pPr>
            <w:r w:rsidRPr="00BE78CA">
              <w:rPr>
                <w:rFonts w:eastAsia="Arial"/>
              </w:rPr>
              <w:t>Cold temperate</w:t>
            </w:r>
          </w:p>
          <w:p w14:paraId="06980114" w14:textId="77777777" w:rsidR="00333601" w:rsidRPr="00BE78CA" w:rsidRDefault="00333601" w:rsidP="00C26084">
            <w:pPr>
              <w:pStyle w:val="TableText"/>
              <w:spacing w:before="50" w:after="50"/>
              <w:rPr>
                <w:rFonts w:eastAsia="Arial"/>
              </w:rPr>
            </w:pPr>
            <w:r w:rsidRPr="00BE78CA">
              <w:rPr>
                <w:rFonts w:eastAsia="Arial"/>
              </w:rPr>
              <w:t>Warm temperate</w:t>
            </w:r>
          </w:p>
        </w:tc>
        <w:tc>
          <w:tcPr>
            <w:tcW w:w="1871" w:type="dxa"/>
            <w:tcBorders>
              <w:top w:val="single" w:sz="8" w:space="0" w:color="365F91"/>
              <w:bottom w:val="single" w:sz="8" w:space="0" w:color="365F91"/>
            </w:tcBorders>
            <w:shd w:val="clear" w:color="auto" w:fill="auto"/>
          </w:tcPr>
          <w:p w14:paraId="106DFE36" w14:textId="77777777" w:rsidR="00333601" w:rsidRPr="00BE78CA" w:rsidRDefault="00333601" w:rsidP="001D7DAC">
            <w:pPr>
              <w:pStyle w:val="TableText"/>
              <w:spacing w:before="50" w:after="0"/>
              <w:rPr>
                <w:rFonts w:eastAsia="Arial"/>
              </w:rPr>
            </w:pPr>
            <w:r w:rsidRPr="00BE78CA">
              <w:rPr>
                <w:rFonts w:eastAsia="Arial"/>
              </w:rPr>
              <w:t>0.25 ± 90%</w:t>
            </w:r>
          </w:p>
          <w:p w14:paraId="66BE1BF5" w14:textId="77777777" w:rsidR="00333601" w:rsidRPr="00BE78CA" w:rsidRDefault="00333601" w:rsidP="00C26084">
            <w:pPr>
              <w:pStyle w:val="TableText"/>
              <w:spacing w:before="50" w:after="50"/>
              <w:rPr>
                <w:rFonts w:eastAsia="Arial"/>
              </w:rPr>
            </w:pPr>
            <w:r w:rsidRPr="00BE78CA">
              <w:rPr>
                <w:rFonts w:eastAsia="Arial"/>
              </w:rPr>
              <w:t>2.5 ± 90%</w:t>
            </w:r>
          </w:p>
        </w:tc>
        <w:tc>
          <w:tcPr>
            <w:tcW w:w="3232" w:type="dxa"/>
            <w:tcBorders>
              <w:top w:val="single" w:sz="8" w:space="0" w:color="365F91"/>
              <w:bottom w:val="single" w:sz="8" w:space="0" w:color="365F91"/>
            </w:tcBorders>
            <w:shd w:val="clear" w:color="auto" w:fill="auto"/>
          </w:tcPr>
          <w:p w14:paraId="264364A4" w14:textId="77777777" w:rsidR="00333601" w:rsidRPr="00BE78CA" w:rsidRDefault="00333601" w:rsidP="00C26084">
            <w:pPr>
              <w:pStyle w:val="TableText"/>
              <w:spacing w:before="50" w:after="50"/>
              <w:rPr>
                <w:rFonts w:eastAsia="Arial"/>
              </w:rPr>
            </w:pPr>
            <w:r w:rsidRPr="00BE78CA">
              <w:rPr>
                <w:rFonts w:eastAsia="Arial"/>
              </w:rPr>
              <w:t>IPCC (2006a, section 6.2.3.2, table 6.3)</w:t>
            </w:r>
          </w:p>
        </w:tc>
      </w:tr>
      <w:tr w:rsidR="00333601" w:rsidRPr="00BE78CA" w14:paraId="151FEAA9" w14:textId="77777777" w:rsidTr="00CB1F6D">
        <w:tc>
          <w:tcPr>
            <w:tcW w:w="1928" w:type="dxa"/>
            <w:tcBorders>
              <w:right w:val="nil"/>
            </w:tcBorders>
            <w:shd w:val="clear" w:color="auto" w:fill="auto"/>
          </w:tcPr>
          <w:p w14:paraId="6A3FBE78" w14:textId="77777777" w:rsidR="00333601" w:rsidRPr="00BE78CA" w:rsidRDefault="00333601" w:rsidP="00C26084">
            <w:pPr>
              <w:pStyle w:val="TableText"/>
              <w:spacing w:before="50" w:after="50"/>
              <w:rPr>
                <w:rFonts w:eastAsia="Arial"/>
              </w:rPr>
            </w:pPr>
            <w:r w:rsidRPr="00BE78CA">
              <w:rPr>
                <w:rFonts w:eastAsia="Arial"/>
              </w:rPr>
              <w:t xml:space="preserve">Wetlands </w:t>
            </w:r>
          </w:p>
        </w:tc>
        <w:tc>
          <w:tcPr>
            <w:tcW w:w="1417" w:type="dxa"/>
            <w:shd w:val="clear" w:color="auto" w:fill="auto"/>
          </w:tcPr>
          <w:p w14:paraId="2A7AE7CD" w14:textId="77777777" w:rsidR="00333601" w:rsidRPr="00BE78CA" w:rsidRDefault="00333601" w:rsidP="00C26084">
            <w:pPr>
              <w:pStyle w:val="TableText"/>
              <w:spacing w:before="50" w:after="50"/>
              <w:rPr>
                <w:rFonts w:eastAsia="Arial"/>
              </w:rPr>
            </w:pPr>
            <w:r w:rsidRPr="00BE78CA">
              <w:rPr>
                <w:rFonts w:eastAsia="Arial"/>
              </w:rPr>
              <w:t>NA</w:t>
            </w:r>
          </w:p>
        </w:tc>
        <w:tc>
          <w:tcPr>
            <w:tcW w:w="1871" w:type="dxa"/>
            <w:shd w:val="clear" w:color="auto" w:fill="auto"/>
          </w:tcPr>
          <w:p w14:paraId="481B64A9" w14:textId="77777777" w:rsidR="00333601" w:rsidRPr="00BE78CA" w:rsidRDefault="00333601" w:rsidP="00C26084">
            <w:pPr>
              <w:pStyle w:val="TableText"/>
              <w:spacing w:before="50" w:after="50"/>
              <w:rPr>
                <w:rFonts w:eastAsia="Arial"/>
              </w:rPr>
            </w:pPr>
            <w:r w:rsidRPr="00BE78CA">
              <w:rPr>
                <w:rFonts w:eastAsia="Arial"/>
              </w:rPr>
              <w:t>0.2 ± 90%</w:t>
            </w:r>
          </w:p>
        </w:tc>
        <w:tc>
          <w:tcPr>
            <w:tcW w:w="3232" w:type="dxa"/>
            <w:shd w:val="clear" w:color="auto" w:fill="auto"/>
          </w:tcPr>
          <w:p w14:paraId="5DF18248" w14:textId="77777777" w:rsidR="00333601" w:rsidRPr="00BE78CA" w:rsidRDefault="00333601" w:rsidP="00C26084">
            <w:pPr>
              <w:pStyle w:val="TableText"/>
              <w:spacing w:before="50" w:after="50"/>
              <w:rPr>
                <w:rFonts w:eastAsia="Arial"/>
              </w:rPr>
            </w:pPr>
            <w:r w:rsidRPr="00BE78CA">
              <w:rPr>
                <w:rFonts w:eastAsia="Arial"/>
              </w:rPr>
              <w:t>IPCC guidance applies to managed peatlands and flooded lands to which separate methodologies apply for soils. See IPCC, 2006a, chapter 7.</w:t>
            </w:r>
          </w:p>
        </w:tc>
      </w:tr>
      <w:tr w:rsidR="00333601" w:rsidRPr="00BE78CA" w14:paraId="4EE83C54" w14:textId="77777777" w:rsidTr="00CB1F6D">
        <w:tc>
          <w:tcPr>
            <w:tcW w:w="1928" w:type="dxa"/>
            <w:tcBorders>
              <w:top w:val="single" w:sz="8" w:space="0" w:color="365F91"/>
              <w:bottom w:val="single" w:sz="8" w:space="0" w:color="365F91"/>
              <w:right w:val="nil"/>
            </w:tcBorders>
            <w:shd w:val="clear" w:color="auto" w:fill="auto"/>
          </w:tcPr>
          <w:p w14:paraId="047A1B75" w14:textId="77777777" w:rsidR="00333601" w:rsidRPr="00BE78CA" w:rsidRDefault="00333601" w:rsidP="00C26084">
            <w:pPr>
              <w:pStyle w:val="TableText"/>
              <w:spacing w:before="50" w:after="50"/>
              <w:rPr>
                <w:rFonts w:eastAsia="Arial"/>
              </w:rPr>
            </w:pPr>
            <w:r w:rsidRPr="00BE78CA">
              <w:rPr>
                <w:rFonts w:eastAsia="Arial"/>
              </w:rPr>
              <w:t xml:space="preserve">Settlements </w:t>
            </w:r>
          </w:p>
        </w:tc>
        <w:tc>
          <w:tcPr>
            <w:tcW w:w="1417" w:type="dxa"/>
            <w:tcBorders>
              <w:top w:val="single" w:sz="8" w:space="0" w:color="365F91"/>
              <w:bottom w:val="single" w:sz="8" w:space="0" w:color="365F91"/>
            </w:tcBorders>
            <w:shd w:val="clear" w:color="auto" w:fill="auto"/>
          </w:tcPr>
          <w:p w14:paraId="5B7C049C" w14:textId="77777777" w:rsidR="00333601" w:rsidRPr="00BE78CA" w:rsidRDefault="00333601" w:rsidP="001D7DAC">
            <w:pPr>
              <w:pStyle w:val="TableText"/>
              <w:spacing w:before="50" w:after="0"/>
              <w:rPr>
                <w:rFonts w:eastAsia="Arial"/>
              </w:rPr>
            </w:pPr>
            <w:r w:rsidRPr="00BE78CA">
              <w:rPr>
                <w:rFonts w:eastAsia="Arial"/>
              </w:rPr>
              <w:t>Cold temperate</w:t>
            </w:r>
          </w:p>
          <w:p w14:paraId="3FC9BBD9" w14:textId="77777777" w:rsidR="00333601" w:rsidRPr="00BE78CA" w:rsidRDefault="00333601" w:rsidP="00C26084">
            <w:pPr>
              <w:pStyle w:val="TableText"/>
              <w:spacing w:before="50" w:after="50"/>
              <w:rPr>
                <w:rFonts w:eastAsia="Arial"/>
              </w:rPr>
            </w:pPr>
            <w:r w:rsidRPr="00BE78CA">
              <w:rPr>
                <w:rFonts w:eastAsia="Arial"/>
              </w:rPr>
              <w:t>Warm temperate</w:t>
            </w:r>
          </w:p>
        </w:tc>
        <w:tc>
          <w:tcPr>
            <w:tcW w:w="1871" w:type="dxa"/>
            <w:tcBorders>
              <w:top w:val="single" w:sz="8" w:space="0" w:color="365F91"/>
              <w:bottom w:val="single" w:sz="8" w:space="0" w:color="365F91"/>
            </w:tcBorders>
            <w:shd w:val="clear" w:color="auto" w:fill="auto"/>
          </w:tcPr>
          <w:p w14:paraId="3938523E" w14:textId="77777777" w:rsidR="00333601" w:rsidRPr="00BE78CA" w:rsidRDefault="00333601" w:rsidP="001D7DAC">
            <w:pPr>
              <w:pStyle w:val="TableText"/>
              <w:spacing w:before="50" w:after="0"/>
              <w:rPr>
                <w:rFonts w:eastAsia="Arial"/>
              </w:rPr>
            </w:pPr>
            <w:r w:rsidRPr="00BE78CA">
              <w:rPr>
                <w:rFonts w:eastAsia="Arial"/>
              </w:rPr>
              <w:t>5.0 ± 90%</w:t>
            </w:r>
          </w:p>
          <w:p w14:paraId="40B7E945" w14:textId="77777777" w:rsidR="00333601" w:rsidRPr="00BE78CA" w:rsidRDefault="00333601" w:rsidP="00C26084">
            <w:pPr>
              <w:pStyle w:val="TableText"/>
              <w:spacing w:before="50" w:after="50"/>
              <w:rPr>
                <w:rFonts w:eastAsia="Arial"/>
              </w:rPr>
            </w:pPr>
            <w:r w:rsidRPr="00BE78CA">
              <w:rPr>
                <w:rFonts w:eastAsia="Arial"/>
              </w:rPr>
              <w:t>10.0 ± 90%</w:t>
            </w:r>
          </w:p>
        </w:tc>
        <w:tc>
          <w:tcPr>
            <w:tcW w:w="3232" w:type="dxa"/>
            <w:tcBorders>
              <w:top w:val="single" w:sz="8" w:space="0" w:color="365F91"/>
              <w:bottom w:val="single" w:sz="8" w:space="0" w:color="365F91"/>
            </w:tcBorders>
            <w:shd w:val="clear" w:color="auto" w:fill="auto"/>
          </w:tcPr>
          <w:p w14:paraId="6A7CC040" w14:textId="77777777" w:rsidR="00333601" w:rsidRPr="00BE78CA" w:rsidRDefault="00333601" w:rsidP="00C26084">
            <w:pPr>
              <w:pStyle w:val="TableText"/>
              <w:spacing w:before="50" w:after="50"/>
              <w:rPr>
                <w:rFonts w:eastAsia="Arial"/>
              </w:rPr>
            </w:pPr>
            <w:r w:rsidRPr="00BE78CA">
              <w:rPr>
                <w:rFonts w:eastAsia="Arial"/>
              </w:rPr>
              <w:t>Cropland emission factors used (IPCC, 2006a, section 8.2.3.2)</w:t>
            </w:r>
          </w:p>
        </w:tc>
      </w:tr>
      <w:tr w:rsidR="00333601" w:rsidRPr="00BE78CA" w14:paraId="0EEB7F44" w14:textId="77777777" w:rsidTr="00CB1F6D">
        <w:tc>
          <w:tcPr>
            <w:tcW w:w="1928" w:type="dxa"/>
            <w:tcBorders>
              <w:right w:val="nil"/>
            </w:tcBorders>
            <w:shd w:val="clear" w:color="auto" w:fill="auto"/>
          </w:tcPr>
          <w:p w14:paraId="3E5F3DA1" w14:textId="77777777" w:rsidR="00333601" w:rsidRPr="00BE78CA" w:rsidRDefault="00333601" w:rsidP="00C26084">
            <w:pPr>
              <w:pStyle w:val="TableText"/>
              <w:spacing w:before="50" w:after="50"/>
              <w:rPr>
                <w:rFonts w:eastAsia="Arial"/>
              </w:rPr>
            </w:pPr>
            <w:r w:rsidRPr="00BE78CA">
              <w:rPr>
                <w:rFonts w:eastAsia="Arial"/>
              </w:rPr>
              <w:t>Other land</w:t>
            </w:r>
          </w:p>
        </w:tc>
        <w:tc>
          <w:tcPr>
            <w:tcW w:w="1417" w:type="dxa"/>
            <w:shd w:val="clear" w:color="auto" w:fill="auto"/>
          </w:tcPr>
          <w:p w14:paraId="66CC1E88" w14:textId="77777777" w:rsidR="00333601" w:rsidRPr="00BE78CA" w:rsidRDefault="00333601" w:rsidP="00C26084">
            <w:pPr>
              <w:pStyle w:val="TableText"/>
              <w:spacing w:before="50" w:after="50"/>
              <w:rPr>
                <w:rFonts w:eastAsia="Arial"/>
              </w:rPr>
            </w:pPr>
            <w:r w:rsidRPr="00BE78CA">
              <w:rPr>
                <w:rFonts w:eastAsia="Arial"/>
              </w:rPr>
              <w:t>NA</w:t>
            </w:r>
          </w:p>
        </w:tc>
        <w:tc>
          <w:tcPr>
            <w:tcW w:w="1871" w:type="dxa"/>
            <w:shd w:val="clear" w:color="auto" w:fill="auto"/>
          </w:tcPr>
          <w:p w14:paraId="3FBC2777" w14:textId="77777777" w:rsidR="00333601" w:rsidRPr="00BE78CA" w:rsidRDefault="00333601" w:rsidP="00C26084">
            <w:pPr>
              <w:pStyle w:val="TableText"/>
              <w:spacing w:before="50" w:after="50"/>
              <w:rPr>
                <w:rFonts w:eastAsia="Arial"/>
              </w:rPr>
            </w:pPr>
            <w:r w:rsidRPr="00BE78CA">
              <w:rPr>
                <w:rFonts w:eastAsia="Arial"/>
              </w:rPr>
              <w:t>NE</w:t>
            </w:r>
          </w:p>
        </w:tc>
        <w:tc>
          <w:tcPr>
            <w:tcW w:w="3232" w:type="dxa"/>
            <w:shd w:val="clear" w:color="auto" w:fill="auto"/>
          </w:tcPr>
          <w:p w14:paraId="3042D4D3" w14:textId="77777777" w:rsidR="00333601" w:rsidRPr="00BE78CA" w:rsidRDefault="00333601" w:rsidP="00C26084">
            <w:pPr>
              <w:pStyle w:val="TableText"/>
              <w:spacing w:before="50" w:after="50"/>
              <w:rPr>
                <w:rFonts w:eastAsia="Arial"/>
              </w:rPr>
            </w:pPr>
            <w:r w:rsidRPr="00BE78CA">
              <w:rPr>
                <w:rFonts w:eastAsia="Arial"/>
              </w:rPr>
              <w:t>No IPCC guidance is available (IPCC, 2006a, chapter 9.3.3)</w:t>
            </w:r>
          </w:p>
        </w:tc>
      </w:tr>
    </w:tbl>
    <w:p w14:paraId="7B7E1AA8" w14:textId="77777777" w:rsidR="00333601" w:rsidRPr="00BE78CA" w:rsidRDefault="00333601" w:rsidP="00333601">
      <w:pPr>
        <w:pStyle w:val="Noteundertable"/>
      </w:pPr>
      <w:r w:rsidRPr="00BE78CA">
        <w:rPr>
          <w:b/>
        </w:rPr>
        <w:t>Note:</w:t>
      </w:r>
      <w:r w:rsidRPr="00BE78CA">
        <w:tab/>
        <w:t xml:space="preserve">NA = not applicable; NE = not estimated. </w:t>
      </w:r>
    </w:p>
    <w:p w14:paraId="2FD19FC2" w14:textId="77777777" w:rsidR="00333601" w:rsidRPr="00BE78CA" w:rsidRDefault="00333601" w:rsidP="00333601">
      <w:pPr>
        <w:pStyle w:val="Heading3"/>
        <w:spacing w:before="240"/>
      </w:pPr>
      <w:bookmarkStart w:id="1576" w:name="_Toc255466316"/>
      <w:bookmarkStart w:id="1577" w:name="_Toc261513123"/>
      <w:bookmarkStart w:id="1578" w:name="_Toc261513736"/>
      <w:bookmarkStart w:id="1579" w:name="_Toc280630217"/>
      <w:r w:rsidRPr="00BE78CA">
        <w:t>6.3.3</w:t>
      </w:r>
      <w:r w:rsidRPr="00BE78CA">
        <w:tab/>
        <w:t>Uncertainties and time-series consistency</w:t>
      </w:r>
      <w:bookmarkEnd w:id="1576"/>
      <w:bookmarkEnd w:id="1577"/>
      <w:bookmarkEnd w:id="1578"/>
      <w:bookmarkEnd w:id="1579"/>
    </w:p>
    <w:p w14:paraId="17EAB1B7" w14:textId="77777777" w:rsidR="00333601" w:rsidRPr="00BE78CA" w:rsidRDefault="00333601" w:rsidP="00333601">
      <w:pPr>
        <w:pStyle w:val="Heading5"/>
        <w:spacing w:before="160"/>
        <w:rPr>
          <w:rFonts w:eastAsia="Calibri"/>
        </w:rPr>
      </w:pPr>
      <w:r w:rsidRPr="00BE78CA">
        <w:rPr>
          <w:rFonts w:eastAsia="Calibri"/>
        </w:rPr>
        <w:t>Mineral soils</w:t>
      </w:r>
    </w:p>
    <w:p w14:paraId="21B083F6" w14:textId="77777777" w:rsidR="00333601" w:rsidRPr="00BE78CA" w:rsidRDefault="00333601" w:rsidP="006A5253">
      <w:pPr>
        <w:pStyle w:val="BodyText"/>
      </w:pPr>
      <w:r w:rsidRPr="00BE78CA">
        <w:t xml:space="preserve">For the most part, uncertainties associated with the model coefficients (see table 6.3.2) are substantially reduced from the Tier 1 default value of 95 per cent. Land uses with higher uncertainties are those with few data points, such as </w:t>
      </w:r>
      <w:r w:rsidRPr="00BE78CA">
        <w:rPr>
          <w:i/>
          <w:iCs/>
        </w:rPr>
        <w:t>Other land</w:t>
      </w:r>
      <w:r w:rsidRPr="00BE78CA">
        <w:t xml:space="preserve">, or are dominant land uses in the country and, thus, occur across a wide range of environmental conditions, such as low producing grassland. </w:t>
      </w:r>
    </w:p>
    <w:p w14:paraId="0BC33CFA" w14:textId="77777777" w:rsidR="00333601" w:rsidRPr="00BE78CA" w:rsidRDefault="00333601" w:rsidP="006A5253">
      <w:pPr>
        <w:pStyle w:val="BodyText"/>
      </w:pPr>
      <w:r w:rsidRPr="00BE78CA">
        <w:t>Uncertainties also arise from lack of soil carbon data for some soil, climate and land use combinations (Scott et al., 2002), and from variations in site selection, sample collection and laboratory analysis with data from different sources and time periods (Baisden et al., unpublished(b)). Other uncertainties in the Soil CMS model include: the assumption that soil carbon reaches steady state in all land uses and that there is a 20-year linear transition period to reach steady state; lack of soil carbon data and soil carbon change estimates below 0.3 metres; potential carbon losses from mass-movement erosion; and a possible interaction between land use and the soil–climate classification (Tate et al., 2004, 2005).</w:t>
      </w:r>
    </w:p>
    <w:p w14:paraId="5C06F6AB" w14:textId="3A2C89A4" w:rsidR="00333601" w:rsidRPr="00BE78CA" w:rsidRDefault="00333601" w:rsidP="006A5253">
      <w:pPr>
        <w:pStyle w:val="BodyText"/>
      </w:pPr>
      <w:r w:rsidRPr="00BE78CA">
        <w:t>The inclusion of additional samples collected across a wider distribution has led to a reduction in the uncertainties for the land use effects, meaning all land use transitions, except for those</w:t>
      </w:r>
      <w:r w:rsidR="000D3702" w:rsidRPr="00BE78CA">
        <w:t> </w:t>
      </w:r>
      <w:r w:rsidRPr="00BE78CA">
        <w:t xml:space="preserve">involving </w:t>
      </w:r>
      <w:r w:rsidRPr="00BE78CA">
        <w:rPr>
          <w:i/>
        </w:rPr>
        <w:t>Other land</w:t>
      </w:r>
      <w:r w:rsidRPr="00BE78CA">
        <w:t xml:space="preserve">, are now significant in the multi-comparison sense (McNeill and Barringer, unpublished). </w:t>
      </w:r>
    </w:p>
    <w:p w14:paraId="1231F2A3" w14:textId="77777777" w:rsidR="00333601" w:rsidRPr="00BE78CA" w:rsidRDefault="00333601" w:rsidP="00333601">
      <w:pPr>
        <w:pStyle w:val="Heading5"/>
        <w:spacing w:before="160"/>
        <w:rPr>
          <w:rFonts w:eastAsia="Calibri"/>
        </w:rPr>
      </w:pPr>
      <w:r w:rsidRPr="00BE78CA">
        <w:rPr>
          <w:rFonts w:eastAsia="Calibri"/>
        </w:rPr>
        <w:t>Organic soils</w:t>
      </w:r>
    </w:p>
    <w:p w14:paraId="21361C00" w14:textId="77777777" w:rsidR="00333601" w:rsidRPr="00BE78CA" w:rsidRDefault="00333601" w:rsidP="006A5253">
      <w:pPr>
        <w:pStyle w:val="BodyText"/>
      </w:pPr>
      <w:r w:rsidRPr="00BE78CA">
        <w:t xml:space="preserve">New Zealand uses the IPCC Tier 1 default value for uncertainty of organic soils under the categories </w:t>
      </w:r>
      <w:r w:rsidRPr="00BE78CA">
        <w:rPr>
          <w:i/>
          <w:iCs/>
        </w:rPr>
        <w:t>Forest</w:t>
      </w:r>
      <w:r w:rsidRPr="00BE78CA">
        <w:t xml:space="preserve"> </w:t>
      </w:r>
      <w:r w:rsidRPr="00BE78CA">
        <w:rPr>
          <w:i/>
        </w:rPr>
        <w:t>land</w:t>
      </w:r>
      <w:r w:rsidRPr="00BE78CA">
        <w:t xml:space="preserve">, </w:t>
      </w:r>
      <w:r w:rsidRPr="00BE78CA">
        <w:rPr>
          <w:i/>
        </w:rPr>
        <w:t>Grassland</w:t>
      </w:r>
      <w:r w:rsidRPr="00BE78CA">
        <w:t xml:space="preserve">, </w:t>
      </w:r>
      <w:r w:rsidRPr="00BE78CA">
        <w:rPr>
          <w:i/>
        </w:rPr>
        <w:t>Cropland, Wetlands</w:t>
      </w:r>
      <w:r w:rsidRPr="00BE78CA">
        <w:t xml:space="preserve"> and </w:t>
      </w:r>
      <w:r w:rsidRPr="00BE78CA">
        <w:rPr>
          <w:i/>
        </w:rPr>
        <w:t>Settlements</w:t>
      </w:r>
      <w:r w:rsidRPr="00BE78CA">
        <w:t>, as given in the 2006 IPCC Guidelines (2006a, tables 4.6, 5.6, 6.3 and 7.4). These values vary from 40 per cent for managed forests to 90 per cent for the other land uses.</w:t>
      </w:r>
    </w:p>
    <w:p w14:paraId="33DCFC19" w14:textId="77777777" w:rsidR="00333601" w:rsidRPr="00BE78CA" w:rsidRDefault="00333601" w:rsidP="006A5253">
      <w:pPr>
        <w:pStyle w:val="BodyText"/>
      </w:pPr>
      <w:r w:rsidRPr="00BE78CA">
        <w:lastRenderedPageBreak/>
        <w:t>Further detail on uncertainty for each land use is discussed in the appropriate category sections. The same method is used for all years of reporting to ensure time-series consistency.</w:t>
      </w:r>
    </w:p>
    <w:p w14:paraId="3FC02B97" w14:textId="77777777" w:rsidR="00333601" w:rsidRPr="00BE78CA" w:rsidRDefault="00333601" w:rsidP="00333601">
      <w:pPr>
        <w:pStyle w:val="Heading3"/>
        <w:spacing w:before="280"/>
      </w:pPr>
      <w:bookmarkStart w:id="1580" w:name="_Toc255466317"/>
      <w:bookmarkStart w:id="1581" w:name="_Toc261513124"/>
      <w:bookmarkStart w:id="1582" w:name="_Toc261513737"/>
      <w:bookmarkStart w:id="1583" w:name="_Toc280630218"/>
      <w:r w:rsidRPr="00BE78CA">
        <w:t>6.3.4</w:t>
      </w:r>
      <w:r w:rsidRPr="00BE78CA">
        <w:tab/>
        <w:t>Source-specific QA/QC and verification</w:t>
      </w:r>
      <w:bookmarkEnd w:id="1580"/>
      <w:bookmarkEnd w:id="1581"/>
      <w:bookmarkEnd w:id="1582"/>
      <w:bookmarkEnd w:id="1583"/>
    </w:p>
    <w:p w14:paraId="4A5517E5" w14:textId="77777777" w:rsidR="00333601" w:rsidRPr="00BE78CA" w:rsidRDefault="00333601" w:rsidP="001D7DAC">
      <w:pPr>
        <w:pStyle w:val="BodyText"/>
      </w:pPr>
      <w:r w:rsidRPr="00BE78CA">
        <w:t>Quality-control and quality-assurance procedures have been adopted for all data collection and data analyses, to be consistent with 2006 IPCC Guidelines</w:t>
      </w:r>
      <w:r w:rsidRPr="00BE78CA" w:rsidDel="00663F9D">
        <w:t xml:space="preserve"> </w:t>
      </w:r>
      <w:r w:rsidRPr="00BE78CA">
        <w:t>(IPCC, 2006a) and New Zealand’s inventory quality-control and quality-assurance plan:</w:t>
      </w:r>
    </w:p>
    <w:p w14:paraId="3D829671" w14:textId="77777777" w:rsidR="00333601" w:rsidRPr="00BE78CA" w:rsidRDefault="00333601" w:rsidP="00E27608">
      <w:pPr>
        <w:pStyle w:val="Bullet"/>
      </w:pPr>
      <w:r w:rsidRPr="00BE78CA">
        <w:t>details of the quality-management system for data collection, laboratory analyses and database management of the NSD are given in Wilde (2003)</w:t>
      </w:r>
    </w:p>
    <w:p w14:paraId="55D23641" w14:textId="77777777" w:rsidR="00333601" w:rsidRPr="00BE78CA" w:rsidRDefault="00333601" w:rsidP="00E27608">
      <w:pPr>
        <w:pStyle w:val="Bullet"/>
      </w:pPr>
      <w:r w:rsidRPr="00BE78CA">
        <w:t>recent data collection, analyses and management methods are subject to the soils quality-control and quality-assurance plan</w:t>
      </w:r>
    </w:p>
    <w:p w14:paraId="7C784735" w14:textId="77777777" w:rsidR="00333601" w:rsidRPr="00BE78CA" w:rsidRDefault="00333601" w:rsidP="00E27608">
      <w:pPr>
        <w:pStyle w:val="Bullet"/>
        <w:rPr>
          <w:rFonts w:eastAsia="Calibri"/>
        </w:rPr>
      </w:pPr>
      <w:r w:rsidRPr="00BE78CA">
        <w:t>the consolidated soils data set used within the Soil CMS model has been subject to further quality-assurance</w:t>
      </w:r>
      <w:r w:rsidRPr="00BE78CA">
        <w:rPr>
          <w:rFonts w:eastAsia="Calibri"/>
        </w:rPr>
        <w:t xml:space="preserve"> procedures (Fraser et al., </w:t>
      </w:r>
      <w:r w:rsidRPr="00BE78CA">
        <w:t>unpublished</w:t>
      </w:r>
      <w:r w:rsidRPr="00BE78CA">
        <w:rPr>
          <w:rFonts w:eastAsia="Calibri"/>
        </w:rPr>
        <w:t>).</w:t>
      </w:r>
    </w:p>
    <w:p w14:paraId="2D50B62A" w14:textId="77777777" w:rsidR="00333601" w:rsidRPr="00BE78CA" w:rsidRDefault="00333601" w:rsidP="006A5253">
      <w:pPr>
        <w:pStyle w:val="BodyText"/>
      </w:pPr>
      <w:r w:rsidRPr="00BE78CA">
        <w:t>The Soil CMS model has been subject to various forms of testing, validation and recalibration. Testing of the Soil CMS model was completed to evaluate its ability to predict SOC stocks at regional and local scales. The results from the Soil CMS have been compared against independent, stratified soil sampling for South Island low</w:t>
      </w:r>
      <w:r w:rsidRPr="00BE78CA">
        <w:rPr>
          <w:i/>
        </w:rPr>
        <w:t xml:space="preserve"> </w:t>
      </w:r>
      <w:r w:rsidRPr="00BE78CA">
        <w:t>producing grassland (Scott et al., 2002) and for an area of the South Island containing a range of land-cover and soil-climate categories (Tate et al., 2003a, 2003b). A regional-scale validation exercise has also been performed using the largest climate–soil–land use combination cell, moist temperate and volcanic × high producing grassland, within dependent random sampling of 12 profiles taken on a fixed grid over a large area (2,000 square kilometres). Mean values derived from the random sampling were well within the 95 per cent confidence limits of the database values (Tate et al., 2005; Wilde et al., 2004). A second study validated the Soil CMS model for a different cell, dry temperate – high-activity clay – low</w:t>
      </w:r>
      <w:r w:rsidRPr="00BE78CA">
        <w:rPr>
          <w:i/>
        </w:rPr>
        <w:t xml:space="preserve"> </w:t>
      </w:r>
      <w:r w:rsidRPr="00BE78CA">
        <w:t>producing grassland, finding no significant differences among field data, calibration data and model estimates (Hedley et al., 2012). Overall, tests have indicated that the Soil CMS model estimates SOC stocks reasonably well at a range of scales (Tate et al., 2005).</w:t>
      </w:r>
    </w:p>
    <w:p w14:paraId="0C69311E" w14:textId="77777777" w:rsidR="00333601" w:rsidRPr="00BE78CA" w:rsidRDefault="00333601" w:rsidP="006A5253">
      <w:pPr>
        <w:pStyle w:val="BodyText"/>
      </w:pPr>
      <w:r w:rsidRPr="00BE78CA">
        <w:t xml:space="preserve">The system has also been validated for its ability to predict soil carbon changes between land uses at steady state for New Zealand’s mainland-use change, grassland converted to planted forest. This was done by comparing the Soil CMS results with estimates based on paired sites (Baisden et al., unpublished(a); Tate et al., 2003a). This validation approach compares two nearby sites that have reasonably uniform morphological properties and were previously under a single land use, for which one site has changed to a different land use and sufficient time has elapsed for it to reach steady state values for soil carbon (Baisden et al., unpublished(a), unpublished(b)). This removes the influence that differing soil types, differing climatic conditions and previous land use regimes may have on soil carbon. Therefore, any resulting changes in soil carbon can be attributed to the most recent change in land use. In one study, results indicated that, once a weighting for forest species type was applied to the paired-site data set (to remove potential bias because </w:t>
      </w:r>
      <w:r w:rsidRPr="00BE78CA">
        <w:rPr>
          <w:i/>
          <w:iCs/>
        </w:rPr>
        <w:t xml:space="preserve">Pinus radiata </w:t>
      </w:r>
      <w:r w:rsidRPr="00BE78CA">
        <w:t>was under</w:t>
      </w:r>
      <w:r w:rsidRPr="00BE78CA">
        <w:noBreakHyphen/>
        <w:t>represented in the analysis), the predictions of mean soil carbon from the Soil CMS model and paired sites were in agreement within 95 per cent confidence intervals (Baisden et al., unpublished(a), unpublished(b)). In a more recent study comparing low</w:t>
      </w:r>
      <w:r w:rsidRPr="00BE78CA">
        <w:rPr>
          <w:i/>
        </w:rPr>
        <w:t xml:space="preserve"> </w:t>
      </w:r>
      <w:r w:rsidRPr="00BE78CA">
        <w:t>producing grassland and pre-1990 planted forests (Hewitt et al., 2012), the measured decrease in SOC under pre</w:t>
      </w:r>
      <w:r w:rsidRPr="00BE78CA">
        <w:noBreakHyphen/>
        <w:t>1990 planted forest (–17.4 tonnes ha</w:t>
      </w:r>
      <w:r w:rsidRPr="00BE78CA">
        <w:rPr>
          <w:vertAlign w:val="superscript"/>
        </w:rPr>
        <w:t>–1</w:t>
      </w:r>
      <w:r w:rsidRPr="00BE78CA">
        <w:t xml:space="preserve">) matched that determined by the Soil CMS model (McNeill et al., unpublished). This supported the Soil CMS model estimate (both in magnitude and direction) that forests planted pre-1990 have significantly lower </w:t>
      </w:r>
      <w:r w:rsidRPr="00BE78CA">
        <w:lastRenderedPageBreak/>
        <w:t>SOC stocks than the low</w:t>
      </w:r>
      <w:r w:rsidRPr="00BE78CA">
        <w:rPr>
          <w:i/>
        </w:rPr>
        <w:t xml:space="preserve"> </w:t>
      </w:r>
      <w:r w:rsidRPr="00BE78CA">
        <w:t>producing grassland and that the sampling depth of 0.3 metres was adequate for the estimation of SOC stock change.</w:t>
      </w:r>
    </w:p>
    <w:p w14:paraId="3A8E06CB" w14:textId="77777777" w:rsidR="00333601" w:rsidRPr="00BE78CA" w:rsidRDefault="00333601" w:rsidP="00333601">
      <w:pPr>
        <w:pStyle w:val="BodyText"/>
        <w:spacing w:before="100" w:after="100"/>
      </w:pPr>
      <w:r w:rsidRPr="00BE78CA">
        <w:t xml:space="preserve">The carbon stock estimates produced by the Soil CMS model reflect the type of soils in New Zealand (over 50 per cent being high activity clay soils) and the history of land use (fairly recent human settlement and forest clearance when compared with many other countries). As a comparison, when New Zealand reported using the Tier 1 default methodology (as in the 2011 submission), low producing grassland had the second highest SOC stock of all land uses (the highest being high producing grassland). The SOC stock for low producing grassland was also higher than for pre-1990 natural forests in that analysis. </w:t>
      </w:r>
    </w:p>
    <w:p w14:paraId="75A76ABE" w14:textId="77777777" w:rsidR="00333601" w:rsidRPr="00BE78CA" w:rsidRDefault="00333601" w:rsidP="00333601">
      <w:pPr>
        <w:pStyle w:val="Heading3"/>
        <w:spacing w:before="280"/>
      </w:pPr>
      <w:bookmarkStart w:id="1584" w:name="_Toc255466318"/>
      <w:bookmarkStart w:id="1585" w:name="_Toc261513125"/>
      <w:bookmarkStart w:id="1586" w:name="_Toc261513738"/>
      <w:bookmarkStart w:id="1587" w:name="_Toc280630219"/>
      <w:r w:rsidRPr="00BE78CA">
        <w:t>6.3.5</w:t>
      </w:r>
      <w:r w:rsidRPr="00BE78CA">
        <w:tab/>
        <w:t>Source-specific planned improvements</w:t>
      </w:r>
      <w:bookmarkEnd w:id="1584"/>
      <w:bookmarkEnd w:id="1585"/>
      <w:bookmarkEnd w:id="1586"/>
      <w:bookmarkEnd w:id="1587"/>
    </w:p>
    <w:p w14:paraId="32B6E26D" w14:textId="5BFA2E00" w:rsidR="00333601" w:rsidRPr="00BE78CA" w:rsidRDefault="00333601" w:rsidP="00E553D1">
      <w:pPr>
        <w:pStyle w:val="BodyText"/>
        <w:spacing w:before="100" w:after="100"/>
      </w:pPr>
      <w:r w:rsidRPr="00BE78CA">
        <w:t>The in-country review of the 2019 inventory submission questioned whether the estimated SOC reference values were systematically overestimated or underestimated given that land</w:t>
      </w:r>
      <w:r w:rsidR="00754D3F" w:rsidRPr="00BE78CA">
        <w:t>-</w:t>
      </w:r>
      <w:r w:rsidRPr="00BE78CA">
        <w:t xml:space="preserve">use change is most likely to occur on a subset of each land use category (FCCC/ARR/2019/NZL, UNFCCC, 2020). It was recommended that either New Zealand proves there is no systematic bias or replaces the current method for estimating SOC with one more closely aligned with the 2006 IPCC Guidelines (IPCC, 2006a). </w:t>
      </w:r>
    </w:p>
    <w:p w14:paraId="2D193C8D" w14:textId="77777777" w:rsidR="00333601" w:rsidRPr="00BE78CA" w:rsidRDefault="00333601" w:rsidP="00E553D1">
      <w:pPr>
        <w:pStyle w:val="BodyText"/>
        <w:spacing w:before="100" w:after="100"/>
      </w:pPr>
      <w:r w:rsidRPr="00BE78CA">
        <w:t>To evaluate whether spatial bias exists in the SOC estimates, a map of the land use soil-climate class will be intersected with individual categories to determine if a land-use change event occurred in the past 20 years. This intersect will provide the area of each soil-climate land-use change class, and analysis of these data should determine whether certain soil-climate classes within a given land use have experienced more frequent land-use change events.</w:t>
      </w:r>
    </w:p>
    <w:p w14:paraId="3C34B59B" w14:textId="77777777" w:rsidR="00333601" w:rsidRPr="00BE78CA" w:rsidRDefault="00333601" w:rsidP="00E553D1">
      <w:pPr>
        <w:pStyle w:val="BodyText"/>
        <w:spacing w:before="100" w:after="100"/>
      </w:pPr>
      <w:r w:rsidRPr="00BE78CA">
        <w:t xml:space="preserve">If a bias is found to exist, New Zealand will need to further stratify the SOC estimate for each land use category by climate and soil type, to report the change in carbon stocks for each of these strata. An estimate on the effect of management practices on SOC will also need to be incorporated. It is anticipated these improvements will require further soil samples to estimate SOC in these strata, in addition to annual activity on management practices. </w:t>
      </w:r>
    </w:p>
    <w:p w14:paraId="4D27C09E" w14:textId="77777777" w:rsidR="00333601" w:rsidRPr="00BE78CA" w:rsidRDefault="00333601" w:rsidP="00E553D1">
      <w:pPr>
        <w:pStyle w:val="BodyText"/>
        <w:spacing w:before="100" w:after="100"/>
      </w:pPr>
      <w:r w:rsidRPr="00BE78CA">
        <w:t xml:space="preserve">A longitudinal study on the impact of management practices on grasslands and cropland is under way (Manaaki Whenua Landcare Research, 2020). This study will collect time-series data on a network of 500 sample plots over 12 years. It is anticipated that soil sample data could be included within New Zealand’s soils CMS model in the future. However, this study does not cover </w:t>
      </w:r>
      <w:r w:rsidRPr="00BE78CA">
        <w:rPr>
          <w:i/>
          <w:iCs/>
        </w:rPr>
        <w:t>Forest land</w:t>
      </w:r>
      <w:r w:rsidRPr="00BE78CA">
        <w:t xml:space="preserve">. To undertake a similar study on </w:t>
      </w:r>
      <w:r w:rsidRPr="00BE78CA">
        <w:rPr>
          <w:i/>
          <w:iCs/>
        </w:rPr>
        <w:t>Forest land</w:t>
      </w:r>
      <w:r w:rsidRPr="00BE78CA">
        <w:t xml:space="preserve"> in New Zealand, it would likely cost between $400,000 to $600,000 per year. At a minimum, this is more than five times the annual research budget for the LULUCF sector. Following decision tree 2.4 in volume 4 of the 2006 IPCC Guidelines, there are insufficient resources to implement such research in the near future.</w:t>
      </w:r>
    </w:p>
    <w:p w14:paraId="091547EA" w14:textId="77777777" w:rsidR="00333601" w:rsidRPr="00BE78CA" w:rsidRDefault="00333601" w:rsidP="00333601">
      <w:pPr>
        <w:pStyle w:val="Heading2"/>
        <w:spacing w:before="280"/>
      </w:pPr>
      <w:bookmarkStart w:id="1588" w:name="_Toc373395710"/>
      <w:bookmarkStart w:id="1589" w:name="_Toc391024700"/>
      <w:bookmarkStart w:id="1590" w:name="_Toc414531317"/>
      <w:bookmarkStart w:id="1591" w:name="_Toc474335459"/>
      <w:bookmarkStart w:id="1592" w:name="_Toc481751399"/>
      <w:bookmarkStart w:id="1593" w:name="_Toc522013951"/>
      <w:bookmarkStart w:id="1594" w:name="_Toc5269376"/>
      <w:bookmarkStart w:id="1595" w:name="_Toc36224416"/>
      <w:bookmarkStart w:id="1596" w:name="_Toc68786336"/>
      <w:r w:rsidRPr="00BE78CA">
        <w:t>6.4</w:t>
      </w:r>
      <w:r w:rsidRPr="00BE78CA">
        <w:tab/>
        <w:t>Forest land (CRF 4A)</w:t>
      </w:r>
      <w:bookmarkEnd w:id="1588"/>
      <w:bookmarkEnd w:id="1589"/>
      <w:bookmarkEnd w:id="1590"/>
      <w:bookmarkEnd w:id="1591"/>
      <w:bookmarkEnd w:id="1592"/>
      <w:bookmarkEnd w:id="1593"/>
      <w:bookmarkEnd w:id="1594"/>
      <w:bookmarkEnd w:id="1595"/>
      <w:bookmarkEnd w:id="1596"/>
    </w:p>
    <w:p w14:paraId="10749FAC" w14:textId="77777777" w:rsidR="00333601" w:rsidRPr="00BE78CA" w:rsidRDefault="00333601" w:rsidP="00333601">
      <w:pPr>
        <w:pStyle w:val="Heading3"/>
        <w:spacing w:before="160"/>
      </w:pPr>
      <w:bookmarkStart w:id="1597" w:name="_Toc255466325"/>
      <w:bookmarkStart w:id="1598" w:name="_Toc261513132"/>
      <w:bookmarkStart w:id="1599" w:name="_Toc261513745"/>
      <w:bookmarkStart w:id="1600" w:name="_Toc280630241"/>
      <w:bookmarkStart w:id="1601" w:name="_Toc373395711"/>
      <w:r w:rsidRPr="00BE78CA">
        <w:t>6.4.1</w:t>
      </w:r>
      <w:r w:rsidRPr="00BE78CA">
        <w:tab/>
        <w:t>Description</w:t>
      </w:r>
      <w:bookmarkEnd w:id="1597"/>
      <w:bookmarkEnd w:id="1598"/>
      <w:bookmarkEnd w:id="1599"/>
      <w:bookmarkEnd w:id="1600"/>
      <w:bookmarkEnd w:id="1601"/>
    </w:p>
    <w:p w14:paraId="651E3DC8" w14:textId="77777777" w:rsidR="00333601" w:rsidRPr="00BE78CA" w:rsidRDefault="00333601" w:rsidP="00333601">
      <w:pPr>
        <w:pStyle w:val="BodyText"/>
        <w:spacing w:before="100" w:after="100"/>
      </w:pPr>
      <w:r w:rsidRPr="00BE78CA">
        <w:t xml:space="preserve">In </w:t>
      </w:r>
      <w:r w:rsidRPr="00BE78CA">
        <w:rPr>
          <w:i/>
        </w:rPr>
        <w:t>New Zealand’s</w:t>
      </w:r>
      <w:r w:rsidRPr="00BE78CA">
        <w:t xml:space="preserve"> </w:t>
      </w:r>
      <w:r w:rsidRPr="00BE78CA">
        <w:rPr>
          <w:i/>
        </w:rPr>
        <w:t>Initial Report under the Kyoto Protocol</w:t>
      </w:r>
      <w:r w:rsidRPr="00BE78CA">
        <w:t xml:space="preserve"> (Ministry for the Environment, 2006), national forest definition parameters were specified as required by Decision 16/CMP.1 (UNFCCC, 2006). The New Zealand parameters are a minimum area of 1 hectare, the potential to reach a minimum height of 5 metres and a minimum crown cover of 30 per cent. Where the height and canopy cover parameters are not met at the time of mapping, the land has been classified as </w:t>
      </w:r>
      <w:r w:rsidRPr="00BE78CA">
        <w:rPr>
          <w:i/>
        </w:rPr>
        <w:t>Forest land</w:t>
      </w:r>
      <w:r w:rsidRPr="00BE78CA">
        <w:t xml:space="preserve"> if the land-management practice(s) and local site conditions (including climate) are such that the forest parameters will be met over a 30- to 40-year timeframe. </w:t>
      </w:r>
    </w:p>
    <w:p w14:paraId="5435199E" w14:textId="77777777" w:rsidR="00333601" w:rsidRPr="00BE78CA" w:rsidRDefault="00333601" w:rsidP="007901C0">
      <w:pPr>
        <w:pStyle w:val="BodyText"/>
        <w:spacing w:before="100" w:after="100"/>
      </w:pPr>
      <w:r w:rsidRPr="00BE78CA">
        <w:lastRenderedPageBreak/>
        <w:t>New Zealand also uses a minimum forest width of 30 metres from canopy edge to canopy edge. This removes linear shelterbelts from the Forest</w:t>
      </w:r>
      <w:r w:rsidRPr="00BE78CA">
        <w:rPr>
          <w:i/>
        </w:rPr>
        <w:t xml:space="preserve"> land</w:t>
      </w:r>
      <w:r w:rsidRPr="00BE78CA">
        <w:t xml:space="preserve"> category because they are not on land managed as forest. The width and height of linear shelterbelts can vary because they are trimmed and topped from time to time. Furthermore, they form part of non-forest land uses, namely </w:t>
      </w:r>
      <w:r w:rsidRPr="00BE78CA">
        <w:rPr>
          <w:i/>
        </w:rPr>
        <w:t>Cropland</w:t>
      </w:r>
      <w:r w:rsidRPr="00BE78CA">
        <w:t xml:space="preserve"> and </w:t>
      </w:r>
      <w:r w:rsidRPr="00BE78CA">
        <w:rPr>
          <w:i/>
        </w:rPr>
        <w:t>Grassland</w:t>
      </w:r>
      <w:r w:rsidRPr="00BE78CA">
        <w:t xml:space="preserve"> (as shelter to crops and/or animals). </w:t>
      </w:r>
    </w:p>
    <w:p w14:paraId="142494D3" w14:textId="77777777" w:rsidR="00333601" w:rsidRPr="00BE78CA" w:rsidRDefault="00333601" w:rsidP="007901C0">
      <w:pPr>
        <w:pStyle w:val="BodyText"/>
        <w:spacing w:after="100"/>
      </w:pPr>
      <w:r w:rsidRPr="00BE78CA">
        <w:t xml:space="preserve">New Zealand has adopted the definition of managed </w:t>
      </w:r>
      <w:r w:rsidRPr="00BE78CA">
        <w:rPr>
          <w:i/>
        </w:rPr>
        <w:t>Forest land</w:t>
      </w:r>
      <w:r w:rsidRPr="00BE78CA">
        <w:t xml:space="preserve"> as provided in the 2006 IPCC Guidelines (IPCC, 2006a, p 1.5): “Managed land is land where human interventions and practices have been applied to perform production, ecological or social functions”. Accordingly, all of New Zealand’s forests, both those planted for timber production and natural forests managed for conservation values, are considered managed forests.</w:t>
      </w:r>
    </w:p>
    <w:p w14:paraId="5A6E0EA2" w14:textId="77777777" w:rsidR="00333601" w:rsidRPr="00BE78CA" w:rsidRDefault="00333601" w:rsidP="007901C0">
      <w:pPr>
        <w:pStyle w:val="BodyText"/>
        <w:spacing w:after="100"/>
      </w:pPr>
      <w:r w:rsidRPr="00BE78CA">
        <w:t>Between 1990 and 2019,</w:t>
      </w:r>
      <w:r w:rsidRPr="00BE78CA">
        <w:rPr>
          <w:i/>
        </w:rPr>
        <w:t xml:space="preserve"> Forest land</w:t>
      </w:r>
      <w:r w:rsidRPr="00BE78CA">
        <w:t xml:space="preserve"> is the most significant contributor to carbon stock changes in the LULUCF sector. In 2019, forests covered 36.9 per cent (9.9 million hectares) of New Zealand’s total land area. In 2019, </w:t>
      </w:r>
      <w:r w:rsidRPr="00BE78CA">
        <w:rPr>
          <w:i/>
        </w:rPr>
        <w:t>Forest land</w:t>
      </w:r>
      <w:r w:rsidRPr="00BE78CA">
        <w:t xml:space="preserve"> contributed –22,176.8 kt CO</w:t>
      </w:r>
      <w:r w:rsidRPr="00BE78CA">
        <w:rPr>
          <w:vertAlign w:val="subscript"/>
        </w:rPr>
        <w:t>2</w:t>
      </w:r>
      <w:r w:rsidRPr="00BE78CA">
        <w:t xml:space="preserve">-e of net emissions. This does not include emissions for the </w:t>
      </w:r>
      <w:r w:rsidRPr="00BE78CA">
        <w:rPr>
          <w:i/>
        </w:rPr>
        <w:t>Harvested wood products</w:t>
      </w:r>
      <w:r w:rsidRPr="00BE78CA">
        <w:t xml:space="preserve"> category, which are reported separately within the CRF Reporter. The </w:t>
      </w:r>
      <w:r w:rsidRPr="00BE78CA">
        <w:rPr>
          <w:i/>
        </w:rPr>
        <w:t>Harvested wood products</w:t>
      </w:r>
      <w:r w:rsidRPr="00BE78CA">
        <w:t xml:space="preserve"> category and calculation of emissions are reported in section 6.10. </w:t>
      </w:r>
    </w:p>
    <w:p w14:paraId="4B344E98" w14:textId="77777777" w:rsidR="00333601" w:rsidRPr="00BE78CA" w:rsidRDefault="00333601" w:rsidP="007901C0">
      <w:pPr>
        <w:pStyle w:val="BodyText"/>
        <w:spacing w:after="100"/>
      </w:pPr>
      <w:r w:rsidRPr="00BE78CA">
        <w:t xml:space="preserve">Net emissions from </w:t>
      </w:r>
      <w:r w:rsidRPr="00BE78CA">
        <w:rPr>
          <w:i/>
        </w:rPr>
        <w:t>Forest land</w:t>
      </w:r>
      <w:r w:rsidRPr="00BE78CA">
        <w:t xml:space="preserve"> have increased by 997.4 kt CO</w:t>
      </w:r>
      <w:r w:rsidRPr="00BE78CA">
        <w:rPr>
          <w:vertAlign w:val="subscript"/>
        </w:rPr>
        <w:t>2</w:t>
      </w:r>
      <w:r w:rsidRPr="00BE78CA">
        <w:t>-e (4.3 per cent) from the 1990 level of –23,174.2 kt CO</w:t>
      </w:r>
      <w:r w:rsidRPr="00BE78CA">
        <w:rPr>
          <w:vertAlign w:val="subscript"/>
        </w:rPr>
        <w:t>2</w:t>
      </w:r>
      <w:r w:rsidRPr="00BE78CA">
        <w:t xml:space="preserve">-e (see table 6.4.1). </w:t>
      </w:r>
    </w:p>
    <w:p w14:paraId="30B7ECB8" w14:textId="77777777" w:rsidR="00333601" w:rsidRPr="00BE78CA" w:rsidRDefault="00333601" w:rsidP="007901C0">
      <w:pPr>
        <w:pStyle w:val="BodyText"/>
        <w:spacing w:after="100"/>
      </w:pPr>
      <w:r w:rsidRPr="00BE78CA">
        <w:t xml:space="preserve">In 2019, </w:t>
      </w:r>
      <w:r w:rsidRPr="00BE78CA">
        <w:rPr>
          <w:i/>
        </w:rPr>
        <w:t>Forest land remaining forest land</w:t>
      </w:r>
      <w:r w:rsidRPr="00BE78CA">
        <w:t xml:space="preserve"> and </w:t>
      </w:r>
      <w:r w:rsidRPr="00BE78CA">
        <w:rPr>
          <w:i/>
        </w:rPr>
        <w:t>Land converted to forest land</w:t>
      </w:r>
      <w:r w:rsidRPr="00BE78CA">
        <w:t xml:space="preserve"> were key categories (trend and level assessment). </w:t>
      </w:r>
    </w:p>
    <w:p w14:paraId="1B011DF8" w14:textId="77777777" w:rsidR="00333601" w:rsidRPr="00BE78CA" w:rsidRDefault="00333601" w:rsidP="00333601">
      <w:pPr>
        <w:pStyle w:val="Table"/>
      </w:pPr>
      <w:bookmarkStart w:id="1602" w:name="_Toc280630453"/>
      <w:bookmarkStart w:id="1603" w:name="_Toc310423404"/>
      <w:bookmarkStart w:id="1604" w:name="_Toc318362697"/>
      <w:bookmarkStart w:id="1605" w:name="_Toc342470759"/>
      <w:bookmarkStart w:id="1606" w:name="_Toc352504999"/>
      <w:bookmarkStart w:id="1607" w:name="_Toc373395724"/>
      <w:bookmarkStart w:id="1608" w:name="_Toc378853290"/>
      <w:bookmarkStart w:id="1609" w:name="_Toc391024088"/>
      <w:bookmarkStart w:id="1610" w:name="_Toc410028831"/>
      <w:bookmarkStart w:id="1611" w:name="_Toc414531459"/>
      <w:bookmarkStart w:id="1612" w:name="_Toc443645372"/>
      <w:bookmarkStart w:id="1613" w:name="_Toc474914591"/>
      <w:bookmarkStart w:id="1614" w:name="_Toc481751555"/>
      <w:bookmarkStart w:id="1615" w:name="_Toc522010612"/>
      <w:bookmarkStart w:id="1616" w:name="_Toc5269517"/>
      <w:bookmarkStart w:id="1617" w:name="_Toc33529391"/>
      <w:bookmarkStart w:id="1618" w:name="_Toc36224597"/>
      <w:bookmarkStart w:id="1619" w:name="_Toc65243592"/>
      <w:bookmarkStart w:id="1620" w:name="_Toc68786482"/>
      <w:r w:rsidRPr="00BE78CA">
        <w:t>Table 6.4.1</w:t>
      </w:r>
      <w:r w:rsidRPr="00BE78CA">
        <w:tab/>
        <w:t>New Zealand’s land-use change for the Forest land category, and associated</w:t>
      </w:r>
      <w:r w:rsidRPr="00BE78CA">
        <w:br/>
        <w:t>CO</w:t>
      </w:r>
      <w:r w:rsidRPr="00BE78CA">
        <w:rPr>
          <w:vertAlign w:val="subscript"/>
        </w:rPr>
        <w:t>2</w:t>
      </w:r>
      <w:r w:rsidRPr="00BE78CA">
        <w:t>-e emissions</w:t>
      </w:r>
      <w:bookmarkEnd w:id="1602"/>
      <w:bookmarkEnd w:id="1603"/>
      <w:bookmarkEnd w:id="1604"/>
      <w:bookmarkEnd w:id="1605"/>
      <w:bookmarkEnd w:id="1606"/>
      <w:bookmarkEnd w:id="1607"/>
      <w:bookmarkEnd w:id="1608"/>
      <w:r w:rsidRPr="00BE78CA">
        <w:t>, in 1990 and 201</w:t>
      </w:r>
      <w:bookmarkEnd w:id="1609"/>
      <w:bookmarkEnd w:id="1610"/>
      <w:bookmarkEnd w:id="1611"/>
      <w:bookmarkEnd w:id="1612"/>
      <w:bookmarkEnd w:id="1613"/>
      <w:bookmarkEnd w:id="1614"/>
      <w:bookmarkEnd w:id="1615"/>
      <w:bookmarkEnd w:id="1616"/>
      <w:r w:rsidRPr="00BE78CA">
        <w:t>9</w:t>
      </w:r>
      <w:bookmarkEnd w:id="1617"/>
      <w:bookmarkEnd w:id="1618"/>
      <w:bookmarkEnd w:id="1619"/>
      <w:bookmarkEnd w:id="1620"/>
    </w:p>
    <w:tbl>
      <w:tblPr>
        <w:tblW w:w="8505" w:type="dxa"/>
        <w:tblBorders>
          <w:bottom w:val="single" w:sz="8" w:space="0" w:color="365F91"/>
        </w:tblBorders>
        <w:tblLayout w:type="fixed"/>
        <w:tblLook w:val="04A0" w:firstRow="1" w:lastRow="0" w:firstColumn="1" w:lastColumn="0" w:noHBand="0" w:noVBand="1"/>
      </w:tblPr>
      <w:tblGrid>
        <w:gridCol w:w="2694"/>
        <w:gridCol w:w="1275"/>
        <w:gridCol w:w="1276"/>
        <w:gridCol w:w="992"/>
        <w:gridCol w:w="993"/>
        <w:gridCol w:w="1275"/>
      </w:tblGrid>
      <w:tr w:rsidR="00333601" w:rsidRPr="00BE78CA" w14:paraId="1651DB40" w14:textId="77777777" w:rsidTr="00E553D1">
        <w:tc>
          <w:tcPr>
            <w:tcW w:w="2694" w:type="dxa"/>
            <w:vMerge w:val="restart"/>
            <w:tcBorders>
              <w:top w:val="single" w:sz="4" w:space="0" w:color="365F91"/>
              <w:bottom w:val="nil"/>
              <w:right w:val="nil"/>
            </w:tcBorders>
            <w:shd w:val="clear" w:color="auto" w:fill="365F91"/>
            <w:noWrap/>
            <w:vAlign w:val="bottom"/>
          </w:tcPr>
          <w:p w14:paraId="14E785BE" w14:textId="77777777" w:rsidR="00333601" w:rsidRPr="00BE78CA" w:rsidRDefault="00333601" w:rsidP="007901C0">
            <w:pPr>
              <w:pStyle w:val="TableTextBold"/>
              <w:keepNext/>
              <w:keepLines/>
              <w:spacing w:before="40" w:after="40"/>
              <w:rPr>
                <w:rFonts w:eastAsia="Arial"/>
                <w:noProof w:val="0"/>
                <w:color w:val="FFFFFF"/>
              </w:rPr>
            </w:pPr>
            <w:r w:rsidRPr="00BE78CA">
              <w:rPr>
                <w:rFonts w:eastAsia="Arial"/>
                <w:noProof w:val="0"/>
                <w:color w:val="FFFFFF"/>
              </w:rPr>
              <w:t>Land use category</w:t>
            </w:r>
          </w:p>
        </w:tc>
        <w:tc>
          <w:tcPr>
            <w:tcW w:w="1275" w:type="dxa"/>
            <w:vMerge w:val="restart"/>
            <w:tcBorders>
              <w:top w:val="single" w:sz="4" w:space="0" w:color="365F91"/>
              <w:bottom w:val="nil"/>
            </w:tcBorders>
            <w:shd w:val="clear" w:color="auto" w:fill="365F91"/>
            <w:noWrap/>
            <w:vAlign w:val="bottom"/>
          </w:tcPr>
          <w:p w14:paraId="11028AEA" w14:textId="77777777" w:rsidR="00333601" w:rsidRPr="00BE78CA" w:rsidRDefault="00333601" w:rsidP="007901C0">
            <w:pPr>
              <w:pStyle w:val="TableTextBold"/>
              <w:keepNext/>
              <w:keepLines/>
              <w:spacing w:before="40" w:after="40"/>
              <w:jc w:val="right"/>
              <w:rPr>
                <w:rFonts w:eastAsia="Arial"/>
                <w:noProof w:val="0"/>
                <w:color w:val="FFFFFF"/>
              </w:rPr>
            </w:pPr>
            <w:r w:rsidRPr="00BE78CA">
              <w:rPr>
                <w:rFonts w:eastAsia="Arial"/>
                <w:noProof w:val="0"/>
                <w:color w:val="FFFFFF"/>
              </w:rPr>
              <w:t>Net area as at 1990 (ha)</w:t>
            </w:r>
          </w:p>
        </w:tc>
        <w:tc>
          <w:tcPr>
            <w:tcW w:w="1276" w:type="dxa"/>
            <w:vMerge w:val="restart"/>
            <w:tcBorders>
              <w:top w:val="single" w:sz="4" w:space="0" w:color="365F91"/>
              <w:bottom w:val="nil"/>
            </w:tcBorders>
            <w:shd w:val="clear" w:color="auto" w:fill="365F91"/>
            <w:noWrap/>
            <w:vAlign w:val="bottom"/>
          </w:tcPr>
          <w:p w14:paraId="2997F206" w14:textId="77777777" w:rsidR="00333601" w:rsidRPr="00BE78CA" w:rsidRDefault="00333601" w:rsidP="007901C0">
            <w:pPr>
              <w:pStyle w:val="TableTextBold"/>
              <w:keepNext/>
              <w:keepLines/>
              <w:spacing w:before="40" w:after="40"/>
              <w:jc w:val="right"/>
              <w:rPr>
                <w:rFonts w:eastAsia="Arial"/>
                <w:noProof w:val="0"/>
                <w:color w:val="FFFFFF"/>
              </w:rPr>
            </w:pPr>
            <w:r w:rsidRPr="00BE78CA">
              <w:rPr>
                <w:rFonts w:eastAsia="Arial"/>
                <w:noProof w:val="0"/>
                <w:color w:val="FFFFFF"/>
              </w:rPr>
              <w:t>Net area as at 2019 (ha)</w:t>
            </w:r>
          </w:p>
        </w:tc>
        <w:tc>
          <w:tcPr>
            <w:tcW w:w="1985" w:type="dxa"/>
            <w:gridSpan w:val="2"/>
            <w:tcBorders>
              <w:top w:val="single" w:sz="4" w:space="0" w:color="365F91"/>
              <w:bottom w:val="nil"/>
            </w:tcBorders>
            <w:shd w:val="clear" w:color="auto" w:fill="365F91"/>
            <w:noWrap/>
            <w:vAlign w:val="bottom"/>
          </w:tcPr>
          <w:p w14:paraId="452CA0CD" w14:textId="77777777" w:rsidR="00333601" w:rsidRPr="00BE78CA" w:rsidRDefault="00333601" w:rsidP="007901C0">
            <w:pPr>
              <w:pStyle w:val="TableTextBold"/>
              <w:keepNext/>
              <w:keepLines/>
              <w:spacing w:before="40" w:after="40"/>
              <w:jc w:val="center"/>
              <w:rPr>
                <w:rFonts w:eastAsia="Arial"/>
                <w:noProof w:val="0"/>
                <w:color w:val="FFFFFF"/>
              </w:rPr>
            </w:pPr>
            <w:r w:rsidRPr="00BE78CA">
              <w:rPr>
                <w:rFonts w:eastAsia="Arial"/>
                <w:noProof w:val="0"/>
                <w:color w:val="FFFFFF"/>
              </w:rPr>
              <w:t xml:space="preserve">Net emissions </w:t>
            </w:r>
            <w:r w:rsidRPr="00BE78CA">
              <w:rPr>
                <w:rFonts w:eastAsia="Arial"/>
                <w:noProof w:val="0"/>
                <w:color w:val="FFFFFF"/>
              </w:rPr>
              <w:br/>
              <w:t>(kt CO</w:t>
            </w:r>
            <w:r w:rsidRPr="00BE78CA">
              <w:rPr>
                <w:rFonts w:eastAsia="Arial"/>
                <w:noProof w:val="0"/>
                <w:color w:val="FFFFFF"/>
                <w:vertAlign w:val="subscript"/>
              </w:rPr>
              <w:t>2</w:t>
            </w:r>
            <w:r w:rsidRPr="00BE78CA">
              <w:rPr>
                <w:rFonts w:eastAsia="Arial"/>
                <w:noProof w:val="0"/>
                <w:color w:val="FFFFFF"/>
              </w:rPr>
              <w:t>-e)</w:t>
            </w:r>
          </w:p>
        </w:tc>
        <w:tc>
          <w:tcPr>
            <w:tcW w:w="1275" w:type="dxa"/>
            <w:vMerge w:val="restart"/>
            <w:tcBorders>
              <w:top w:val="single" w:sz="4" w:space="0" w:color="365F91"/>
              <w:bottom w:val="nil"/>
            </w:tcBorders>
            <w:shd w:val="clear" w:color="auto" w:fill="365F91"/>
            <w:noWrap/>
            <w:vAlign w:val="bottom"/>
          </w:tcPr>
          <w:p w14:paraId="5C21C365" w14:textId="77777777" w:rsidR="00333601" w:rsidRPr="00BE78CA" w:rsidRDefault="00333601" w:rsidP="007901C0">
            <w:pPr>
              <w:pStyle w:val="TableTextBold"/>
              <w:keepNext/>
              <w:keepLines/>
              <w:spacing w:before="40" w:after="40"/>
              <w:jc w:val="right"/>
              <w:rPr>
                <w:rFonts w:eastAsia="Arial"/>
                <w:noProof w:val="0"/>
                <w:color w:val="FFFFFF"/>
              </w:rPr>
            </w:pPr>
            <w:r w:rsidRPr="00BE78CA">
              <w:rPr>
                <w:rFonts w:eastAsia="Arial"/>
                <w:noProof w:val="0"/>
                <w:color w:val="FFFFFF"/>
              </w:rPr>
              <w:t>Change from 1990 (%)</w:t>
            </w:r>
          </w:p>
        </w:tc>
      </w:tr>
      <w:tr w:rsidR="00333601" w:rsidRPr="00BE78CA" w14:paraId="2E3C12A5" w14:textId="77777777" w:rsidTr="00E553D1">
        <w:tc>
          <w:tcPr>
            <w:tcW w:w="2694" w:type="dxa"/>
            <w:vMerge/>
            <w:tcBorders>
              <w:top w:val="nil"/>
              <w:bottom w:val="nil"/>
              <w:right w:val="nil"/>
            </w:tcBorders>
            <w:shd w:val="clear" w:color="auto" w:fill="376092"/>
            <w:noWrap/>
            <w:vAlign w:val="bottom"/>
          </w:tcPr>
          <w:p w14:paraId="5D54ECC2" w14:textId="77777777" w:rsidR="00333601" w:rsidRPr="00BE78CA" w:rsidRDefault="00333601" w:rsidP="00C26084">
            <w:pPr>
              <w:pStyle w:val="TableTextBold"/>
              <w:keepNext/>
              <w:jc w:val="center"/>
              <w:rPr>
                <w:rFonts w:eastAsia="Arial"/>
                <w:noProof w:val="0"/>
                <w:color w:val="FFFFFF"/>
              </w:rPr>
            </w:pPr>
          </w:p>
        </w:tc>
        <w:tc>
          <w:tcPr>
            <w:tcW w:w="1275" w:type="dxa"/>
            <w:vMerge/>
            <w:tcBorders>
              <w:top w:val="nil"/>
              <w:bottom w:val="nil"/>
            </w:tcBorders>
            <w:shd w:val="clear" w:color="auto" w:fill="376092"/>
            <w:noWrap/>
            <w:vAlign w:val="bottom"/>
          </w:tcPr>
          <w:p w14:paraId="1E0BA565" w14:textId="77777777" w:rsidR="00333601" w:rsidRPr="00BE78CA" w:rsidRDefault="00333601" w:rsidP="00C26084">
            <w:pPr>
              <w:pStyle w:val="TableTextBold"/>
              <w:jc w:val="right"/>
              <w:rPr>
                <w:rFonts w:eastAsia="Arial"/>
                <w:noProof w:val="0"/>
                <w:color w:val="FFFFFF"/>
              </w:rPr>
            </w:pPr>
          </w:p>
        </w:tc>
        <w:tc>
          <w:tcPr>
            <w:tcW w:w="1276" w:type="dxa"/>
            <w:vMerge/>
            <w:tcBorders>
              <w:top w:val="nil"/>
              <w:bottom w:val="nil"/>
            </w:tcBorders>
            <w:shd w:val="clear" w:color="auto" w:fill="376092"/>
            <w:noWrap/>
            <w:vAlign w:val="bottom"/>
          </w:tcPr>
          <w:p w14:paraId="3FD4E224" w14:textId="77777777" w:rsidR="00333601" w:rsidRPr="00BE78CA" w:rsidRDefault="00333601" w:rsidP="00C26084">
            <w:pPr>
              <w:pStyle w:val="TableTextBold"/>
              <w:jc w:val="right"/>
              <w:rPr>
                <w:rFonts w:eastAsia="Arial"/>
                <w:noProof w:val="0"/>
                <w:color w:val="FFFFFF"/>
              </w:rPr>
            </w:pPr>
          </w:p>
        </w:tc>
        <w:tc>
          <w:tcPr>
            <w:tcW w:w="992" w:type="dxa"/>
            <w:tcBorders>
              <w:top w:val="nil"/>
              <w:bottom w:val="nil"/>
            </w:tcBorders>
            <w:shd w:val="clear" w:color="auto" w:fill="376092"/>
            <w:noWrap/>
            <w:vAlign w:val="bottom"/>
          </w:tcPr>
          <w:p w14:paraId="64F45FBC" w14:textId="77777777" w:rsidR="00333601" w:rsidRPr="00BE78CA" w:rsidRDefault="00333601" w:rsidP="00C26084">
            <w:pPr>
              <w:pStyle w:val="TableTextBold"/>
              <w:jc w:val="right"/>
              <w:rPr>
                <w:rFonts w:eastAsia="Arial"/>
                <w:noProof w:val="0"/>
                <w:color w:val="FFFFFF"/>
              </w:rPr>
            </w:pPr>
            <w:r w:rsidRPr="00BE78CA">
              <w:rPr>
                <w:rFonts w:eastAsia="Arial"/>
                <w:noProof w:val="0"/>
                <w:color w:val="FFFFFF"/>
              </w:rPr>
              <w:t>1990</w:t>
            </w:r>
          </w:p>
        </w:tc>
        <w:tc>
          <w:tcPr>
            <w:tcW w:w="993" w:type="dxa"/>
            <w:tcBorders>
              <w:top w:val="nil"/>
              <w:bottom w:val="nil"/>
            </w:tcBorders>
            <w:shd w:val="clear" w:color="auto" w:fill="376092"/>
            <w:noWrap/>
            <w:vAlign w:val="bottom"/>
          </w:tcPr>
          <w:p w14:paraId="0E099547" w14:textId="77777777" w:rsidR="00333601" w:rsidRPr="00BE78CA" w:rsidRDefault="00333601" w:rsidP="00C26084">
            <w:pPr>
              <w:pStyle w:val="TableTextBold"/>
              <w:jc w:val="right"/>
              <w:rPr>
                <w:rFonts w:eastAsia="Arial"/>
                <w:noProof w:val="0"/>
                <w:color w:val="FFFFFF"/>
              </w:rPr>
            </w:pPr>
            <w:r w:rsidRPr="00BE78CA">
              <w:rPr>
                <w:rFonts w:eastAsia="Arial"/>
                <w:noProof w:val="0"/>
                <w:color w:val="FFFFFF"/>
              </w:rPr>
              <w:t>2019</w:t>
            </w:r>
          </w:p>
        </w:tc>
        <w:tc>
          <w:tcPr>
            <w:tcW w:w="1275" w:type="dxa"/>
            <w:vMerge/>
            <w:tcBorders>
              <w:top w:val="nil"/>
              <w:bottom w:val="nil"/>
            </w:tcBorders>
            <w:shd w:val="clear" w:color="auto" w:fill="376092"/>
            <w:noWrap/>
            <w:vAlign w:val="bottom"/>
          </w:tcPr>
          <w:p w14:paraId="20B08070" w14:textId="77777777" w:rsidR="00333601" w:rsidRPr="00BE78CA" w:rsidRDefault="00333601" w:rsidP="00C26084">
            <w:pPr>
              <w:pStyle w:val="TableTextBold"/>
              <w:jc w:val="right"/>
              <w:rPr>
                <w:rFonts w:eastAsia="Arial"/>
                <w:noProof w:val="0"/>
                <w:color w:val="FFFFFF"/>
              </w:rPr>
            </w:pPr>
          </w:p>
        </w:tc>
      </w:tr>
      <w:tr w:rsidR="00333601" w:rsidRPr="00BE78CA" w14:paraId="6D0B77C8" w14:textId="77777777" w:rsidTr="00E553D1">
        <w:tc>
          <w:tcPr>
            <w:tcW w:w="2694" w:type="dxa"/>
            <w:tcBorders>
              <w:top w:val="nil"/>
              <w:bottom w:val="single" w:sz="8" w:space="0" w:color="365F91"/>
              <w:right w:val="nil"/>
            </w:tcBorders>
            <w:shd w:val="clear" w:color="auto" w:fill="auto"/>
            <w:noWrap/>
          </w:tcPr>
          <w:p w14:paraId="51A40222" w14:textId="77777777" w:rsidR="00333601" w:rsidRPr="00BE78CA" w:rsidRDefault="00333601" w:rsidP="007901C0">
            <w:pPr>
              <w:pStyle w:val="TableText"/>
              <w:keepNext/>
              <w:spacing w:before="40" w:after="40"/>
              <w:rPr>
                <w:rFonts w:eastAsia="Arial"/>
              </w:rPr>
            </w:pPr>
            <w:bookmarkStart w:id="1621" w:name="_Hlk311101605"/>
            <w:r w:rsidRPr="00BE78CA">
              <w:rPr>
                <w:rFonts w:eastAsia="Arial"/>
              </w:rPr>
              <w:t>Forest land remaining forest land</w:t>
            </w:r>
          </w:p>
        </w:tc>
        <w:tc>
          <w:tcPr>
            <w:tcW w:w="1275" w:type="dxa"/>
            <w:tcBorders>
              <w:top w:val="nil"/>
              <w:bottom w:val="single" w:sz="8" w:space="0" w:color="365F91"/>
            </w:tcBorders>
            <w:shd w:val="clear" w:color="auto" w:fill="auto"/>
            <w:noWrap/>
          </w:tcPr>
          <w:p w14:paraId="1BF2A30D" w14:textId="77777777" w:rsidR="00333601" w:rsidRPr="00BE78CA" w:rsidRDefault="00333601" w:rsidP="007901C0">
            <w:pPr>
              <w:pStyle w:val="TableText"/>
              <w:keepNext/>
              <w:spacing w:before="40" w:after="40"/>
              <w:jc w:val="right"/>
              <w:rPr>
                <w:rFonts w:eastAsia="Arial"/>
              </w:rPr>
            </w:pPr>
            <w:r w:rsidRPr="00BE78CA">
              <w:t>8,548,027</w:t>
            </w:r>
          </w:p>
        </w:tc>
        <w:tc>
          <w:tcPr>
            <w:tcW w:w="1276" w:type="dxa"/>
            <w:tcBorders>
              <w:top w:val="nil"/>
              <w:bottom w:val="single" w:sz="8" w:space="0" w:color="365F91"/>
            </w:tcBorders>
            <w:shd w:val="clear" w:color="auto" w:fill="auto"/>
            <w:noWrap/>
          </w:tcPr>
          <w:p w14:paraId="4665F540" w14:textId="77777777" w:rsidR="00333601" w:rsidRPr="00BE78CA" w:rsidRDefault="00333601" w:rsidP="007901C0">
            <w:pPr>
              <w:pStyle w:val="TableText"/>
              <w:keepNext/>
              <w:spacing w:before="40" w:after="40"/>
              <w:jc w:val="right"/>
              <w:rPr>
                <w:rFonts w:eastAsia="Arial"/>
              </w:rPr>
            </w:pPr>
            <w:r w:rsidRPr="00BE78CA">
              <w:t>9,655,386</w:t>
            </w:r>
          </w:p>
        </w:tc>
        <w:tc>
          <w:tcPr>
            <w:tcW w:w="992" w:type="dxa"/>
            <w:tcBorders>
              <w:top w:val="nil"/>
              <w:bottom w:val="single" w:sz="8" w:space="0" w:color="365F91"/>
            </w:tcBorders>
            <w:shd w:val="clear" w:color="auto" w:fill="auto"/>
            <w:noWrap/>
          </w:tcPr>
          <w:p w14:paraId="507E75AF" w14:textId="77777777" w:rsidR="00333601" w:rsidRPr="00BE78CA" w:rsidRDefault="00333601" w:rsidP="007901C0">
            <w:pPr>
              <w:pStyle w:val="TableText"/>
              <w:keepNext/>
              <w:spacing w:before="40" w:after="40"/>
              <w:jc w:val="right"/>
              <w:rPr>
                <w:rFonts w:eastAsia="Arial"/>
              </w:rPr>
            </w:pPr>
            <w:r w:rsidRPr="00BE78CA">
              <w:t xml:space="preserve">–4,782.5 </w:t>
            </w:r>
          </w:p>
        </w:tc>
        <w:tc>
          <w:tcPr>
            <w:tcW w:w="993" w:type="dxa"/>
            <w:tcBorders>
              <w:top w:val="nil"/>
              <w:bottom w:val="single" w:sz="8" w:space="0" w:color="365F91"/>
            </w:tcBorders>
            <w:shd w:val="clear" w:color="auto" w:fill="auto"/>
            <w:noWrap/>
          </w:tcPr>
          <w:p w14:paraId="1E75A7D2" w14:textId="77777777" w:rsidR="00333601" w:rsidRPr="00BE78CA" w:rsidRDefault="00333601" w:rsidP="007901C0">
            <w:pPr>
              <w:pStyle w:val="TableText"/>
              <w:keepNext/>
              <w:spacing w:before="40" w:after="40"/>
              <w:jc w:val="right"/>
              <w:rPr>
                <w:rFonts w:eastAsia="Arial"/>
              </w:rPr>
            </w:pPr>
            <w:r w:rsidRPr="00BE78CA">
              <w:t xml:space="preserve">–17,505.2 </w:t>
            </w:r>
          </w:p>
        </w:tc>
        <w:tc>
          <w:tcPr>
            <w:tcW w:w="1275" w:type="dxa"/>
            <w:tcBorders>
              <w:top w:val="nil"/>
              <w:bottom w:val="single" w:sz="8" w:space="0" w:color="365F91"/>
            </w:tcBorders>
            <w:shd w:val="clear" w:color="auto" w:fill="auto"/>
            <w:noWrap/>
          </w:tcPr>
          <w:p w14:paraId="22B3F6B0" w14:textId="77777777" w:rsidR="00333601" w:rsidRPr="00BE78CA" w:rsidRDefault="00333601" w:rsidP="007901C0">
            <w:pPr>
              <w:pStyle w:val="TableText"/>
              <w:keepNext/>
              <w:spacing w:before="40" w:after="40"/>
              <w:jc w:val="right"/>
              <w:rPr>
                <w:rFonts w:eastAsia="Arial"/>
              </w:rPr>
            </w:pPr>
            <w:r w:rsidRPr="00BE78CA">
              <w:t>–266.0</w:t>
            </w:r>
          </w:p>
        </w:tc>
      </w:tr>
      <w:bookmarkEnd w:id="1621"/>
      <w:tr w:rsidR="00333601" w:rsidRPr="00BE78CA" w14:paraId="1AA889A0" w14:textId="77777777" w:rsidTr="00E553D1">
        <w:tc>
          <w:tcPr>
            <w:tcW w:w="2694" w:type="dxa"/>
            <w:tcBorders>
              <w:right w:val="nil"/>
            </w:tcBorders>
            <w:shd w:val="clear" w:color="auto" w:fill="auto"/>
            <w:noWrap/>
          </w:tcPr>
          <w:p w14:paraId="6BFF162F" w14:textId="77777777" w:rsidR="00333601" w:rsidRPr="00BE78CA" w:rsidRDefault="00333601" w:rsidP="007901C0">
            <w:pPr>
              <w:pStyle w:val="TableText"/>
              <w:keepNext/>
              <w:spacing w:before="40" w:after="40"/>
              <w:rPr>
                <w:rFonts w:eastAsia="Arial"/>
              </w:rPr>
            </w:pPr>
            <w:r w:rsidRPr="00BE78CA">
              <w:rPr>
                <w:rFonts w:eastAsia="Arial"/>
              </w:rPr>
              <w:t>Land converted to forest land</w:t>
            </w:r>
          </w:p>
        </w:tc>
        <w:tc>
          <w:tcPr>
            <w:tcW w:w="1275" w:type="dxa"/>
            <w:shd w:val="clear" w:color="auto" w:fill="auto"/>
            <w:noWrap/>
          </w:tcPr>
          <w:p w14:paraId="340303E2" w14:textId="77777777" w:rsidR="00333601" w:rsidRPr="00BE78CA" w:rsidRDefault="00333601" w:rsidP="007901C0">
            <w:pPr>
              <w:pStyle w:val="TableText"/>
              <w:keepNext/>
              <w:spacing w:before="40" w:after="40"/>
              <w:jc w:val="right"/>
              <w:rPr>
                <w:rFonts w:eastAsia="Arial"/>
              </w:rPr>
            </w:pPr>
            <w:r w:rsidRPr="00BE78CA">
              <w:t>821,154</w:t>
            </w:r>
          </w:p>
        </w:tc>
        <w:tc>
          <w:tcPr>
            <w:tcW w:w="1276" w:type="dxa"/>
            <w:shd w:val="clear" w:color="auto" w:fill="auto"/>
            <w:noWrap/>
          </w:tcPr>
          <w:p w14:paraId="72B8C3D9" w14:textId="77777777" w:rsidR="00333601" w:rsidRPr="00BE78CA" w:rsidRDefault="00333601" w:rsidP="007901C0">
            <w:pPr>
              <w:pStyle w:val="TableText"/>
              <w:keepNext/>
              <w:spacing w:before="40" w:after="40"/>
              <w:jc w:val="right"/>
              <w:rPr>
                <w:rFonts w:eastAsia="Arial"/>
              </w:rPr>
            </w:pPr>
            <w:r w:rsidRPr="00BE78CA">
              <w:t>283,101</w:t>
            </w:r>
          </w:p>
        </w:tc>
        <w:tc>
          <w:tcPr>
            <w:tcW w:w="992" w:type="dxa"/>
            <w:shd w:val="clear" w:color="auto" w:fill="auto"/>
            <w:noWrap/>
          </w:tcPr>
          <w:p w14:paraId="353E585D" w14:textId="77777777" w:rsidR="00333601" w:rsidRPr="00BE78CA" w:rsidRDefault="00333601" w:rsidP="007901C0">
            <w:pPr>
              <w:pStyle w:val="TableText"/>
              <w:keepNext/>
              <w:spacing w:before="40" w:after="40"/>
              <w:jc w:val="right"/>
              <w:rPr>
                <w:rFonts w:eastAsia="Arial"/>
              </w:rPr>
            </w:pPr>
            <w:r w:rsidRPr="00BE78CA">
              <w:t xml:space="preserve">–18,391.7 </w:t>
            </w:r>
          </w:p>
        </w:tc>
        <w:tc>
          <w:tcPr>
            <w:tcW w:w="993" w:type="dxa"/>
            <w:shd w:val="clear" w:color="auto" w:fill="auto"/>
            <w:noWrap/>
          </w:tcPr>
          <w:p w14:paraId="33D0BD6E" w14:textId="77777777" w:rsidR="00333601" w:rsidRPr="00BE78CA" w:rsidRDefault="00333601" w:rsidP="007901C0">
            <w:pPr>
              <w:pStyle w:val="TableText"/>
              <w:keepNext/>
              <w:spacing w:before="40" w:after="40"/>
              <w:jc w:val="right"/>
              <w:rPr>
                <w:rFonts w:eastAsia="Arial"/>
              </w:rPr>
            </w:pPr>
            <w:r w:rsidRPr="00BE78CA">
              <w:t xml:space="preserve">–4,671.6 </w:t>
            </w:r>
          </w:p>
        </w:tc>
        <w:tc>
          <w:tcPr>
            <w:tcW w:w="1275" w:type="dxa"/>
            <w:shd w:val="clear" w:color="auto" w:fill="auto"/>
            <w:noWrap/>
          </w:tcPr>
          <w:p w14:paraId="69FFF009" w14:textId="77777777" w:rsidR="00333601" w:rsidRPr="00BE78CA" w:rsidRDefault="00333601" w:rsidP="007901C0">
            <w:pPr>
              <w:pStyle w:val="TableText"/>
              <w:keepNext/>
              <w:spacing w:before="40" w:after="40"/>
              <w:jc w:val="right"/>
              <w:rPr>
                <w:rFonts w:eastAsia="Arial"/>
              </w:rPr>
            </w:pPr>
            <w:r w:rsidRPr="00BE78CA">
              <w:t>+74.6</w:t>
            </w:r>
          </w:p>
        </w:tc>
      </w:tr>
      <w:tr w:rsidR="00333601" w:rsidRPr="00BE78CA" w14:paraId="4667C595" w14:textId="77777777" w:rsidTr="00E553D1">
        <w:tc>
          <w:tcPr>
            <w:tcW w:w="2694" w:type="dxa"/>
            <w:tcBorders>
              <w:top w:val="single" w:sz="8" w:space="0" w:color="365F91"/>
              <w:bottom w:val="single" w:sz="8" w:space="0" w:color="365F91"/>
              <w:right w:val="nil"/>
            </w:tcBorders>
            <w:shd w:val="clear" w:color="auto" w:fill="auto"/>
            <w:noWrap/>
          </w:tcPr>
          <w:p w14:paraId="4EB4785F" w14:textId="77777777" w:rsidR="00333601" w:rsidRPr="00BE78CA" w:rsidRDefault="00333601" w:rsidP="007901C0">
            <w:pPr>
              <w:pStyle w:val="Tableboldblue"/>
              <w:spacing w:before="40" w:after="40"/>
              <w:jc w:val="right"/>
              <w:rPr>
                <w:rFonts w:eastAsia="Arial"/>
              </w:rPr>
            </w:pPr>
            <w:r w:rsidRPr="00BE78CA">
              <w:rPr>
                <w:rFonts w:eastAsia="Arial"/>
              </w:rPr>
              <w:t>Total</w:t>
            </w:r>
          </w:p>
        </w:tc>
        <w:tc>
          <w:tcPr>
            <w:tcW w:w="1275" w:type="dxa"/>
            <w:tcBorders>
              <w:top w:val="single" w:sz="8" w:space="0" w:color="365F91"/>
              <w:bottom w:val="single" w:sz="8" w:space="0" w:color="365F91"/>
            </w:tcBorders>
            <w:shd w:val="clear" w:color="auto" w:fill="auto"/>
            <w:noWrap/>
          </w:tcPr>
          <w:p w14:paraId="7C7AA5A8" w14:textId="77777777" w:rsidR="00333601" w:rsidRPr="00BE78CA" w:rsidRDefault="00333601" w:rsidP="007901C0">
            <w:pPr>
              <w:pStyle w:val="Tableboldblue"/>
              <w:spacing w:before="40" w:after="40"/>
              <w:jc w:val="right"/>
              <w:rPr>
                <w:rFonts w:eastAsia="Arial"/>
              </w:rPr>
            </w:pPr>
            <w:r w:rsidRPr="00BE78CA">
              <w:t>9,369,181</w:t>
            </w:r>
          </w:p>
        </w:tc>
        <w:tc>
          <w:tcPr>
            <w:tcW w:w="1276" w:type="dxa"/>
            <w:tcBorders>
              <w:top w:val="single" w:sz="8" w:space="0" w:color="365F91"/>
              <w:bottom w:val="single" w:sz="8" w:space="0" w:color="365F91"/>
            </w:tcBorders>
            <w:shd w:val="clear" w:color="auto" w:fill="auto"/>
            <w:noWrap/>
          </w:tcPr>
          <w:p w14:paraId="0832135F" w14:textId="77777777" w:rsidR="00333601" w:rsidRPr="00BE78CA" w:rsidRDefault="00333601" w:rsidP="007901C0">
            <w:pPr>
              <w:pStyle w:val="Tableboldblue"/>
              <w:spacing w:before="40" w:after="40"/>
              <w:jc w:val="right"/>
              <w:rPr>
                <w:rFonts w:eastAsia="Arial"/>
              </w:rPr>
            </w:pPr>
            <w:r w:rsidRPr="00BE78CA">
              <w:t>9,938,487</w:t>
            </w:r>
          </w:p>
        </w:tc>
        <w:tc>
          <w:tcPr>
            <w:tcW w:w="992" w:type="dxa"/>
            <w:tcBorders>
              <w:top w:val="single" w:sz="8" w:space="0" w:color="365F91"/>
              <w:bottom w:val="single" w:sz="8" w:space="0" w:color="365F91"/>
            </w:tcBorders>
            <w:shd w:val="clear" w:color="auto" w:fill="auto"/>
            <w:noWrap/>
          </w:tcPr>
          <w:p w14:paraId="041DE860" w14:textId="77777777" w:rsidR="00333601" w:rsidRPr="00BE78CA" w:rsidRDefault="00333601" w:rsidP="007901C0">
            <w:pPr>
              <w:pStyle w:val="Tableboldblue"/>
              <w:spacing w:before="40" w:after="40"/>
              <w:jc w:val="right"/>
              <w:rPr>
                <w:rFonts w:eastAsia="Arial"/>
              </w:rPr>
            </w:pPr>
            <w:r w:rsidRPr="00BE78CA">
              <w:t xml:space="preserve">–23,174.2 </w:t>
            </w:r>
          </w:p>
        </w:tc>
        <w:tc>
          <w:tcPr>
            <w:tcW w:w="993" w:type="dxa"/>
            <w:tcBorders>
              <w:top w:val="single" w:sz="8" w:space="0" w:color="365F91"/>
              <w:bottom w:val="single" w:sz="8" w:space="0" w:color="365F91"/>
            </w:tcBorders>
            <w:shd w:val="clear" w:color="auto" w:fill="auto"/>
            <w:noWrap/>
          </w:tcPr>
          <w:p w14:paraId="0A685B95" w14:textId="77777777" w:rsidR="00333601" w:rsidRPr="00BE78CA" w:rsidRDefault="00333601" w:rsidP="007901C0">
            <w:pPr>
              <w:pStyle w:val="Tableboldblue"/>
              <w:spacing w:before="40" w:after="40"/>
              <w:jc w:val="right"/>
              <w:rPr>
                <w:rFonts w:eastAsia="Arial"/>
              </w:rPr>
            </w:pPr>
            <w:r w:rsidRPr="00BE78CA">
              <w:t xml:space="preserve">–22,176.8 </w:t>
            </w:r>
          </w:p>
        </w:tc>
        <w:tc>
          <w:tcPr>
            <w:tcW w:w="1275" w:type="dxa"/>
            <w:tcBorders>
              <w:top w:val="single" w:sz="8" w:space="0" w:color="365F91"/>
              <w:bottom w:val="single" w:sz="8" w:space="0" w:color="365F91"/>
            </w:tcBorders>
            <w:shd w:val="clear" w:color="auto" w:fill="auto"/>
            <w:noWrap/>
          </w:tcPr>
          <w:p w14:paraId="608E1927" w14:textId="77777777" w:rsidR="00333601" w:rsidRPr="00BE78CA" w:rsidRDefault="00333601" w:rsidP="007901C0">
            <w:pPr>
              <w:pStyle w:val="Tableboldblue"/>
              <w:spacing w:before="40" w:after="40"/>
              <w:jc w:val="right"/>
              <w:rPr>
                <w:rFonts w:eastAsia="Arial"/>
              </w:rPr>
            </w:pPr>
            <w:r w:rsidRPr="00BE78CA">
              <w:t>+4.3</w:t>
            </w:r>
          </w:p>
        </w:tc>
      </w:tr>
    </w:tbl>
    <w:p w14:paraId="1613CBDC" w14:textId="77777777" w:rsidR="00333601" w:rsidRPr="00BE78CA" w:rsidRDefault="00333601" w:rsidP="007901C0">
      <w:pPr>
        <w:pStyle w:val="Noteundertable"/>
        <w:spacing w:after="80"/>
      </w:pPr>
      <w:r w:rsidRPr="00BE78CA">
        <w:rPr>
          <w:b/>
        </w:rPr>
        <w:t>Note:</w:t>
      </w:r>
      <w:r w:rsidRPr="00BE78CA">
        <w:tab/>
        <w:t xml:space="preserve">Net area in 1990 is as at 1 January 1990; net area in 2019 is as at 31 December. The area of </w:t>
      </w:r>
      <w:r w:rsidRPr="00BE78CA">
        <w:rPr>
          <w:i/>
        </w:rPr>
        <w:t>Land converted to forest</w:t>
      </w:r>
      <w:r w:rsidRPr="00BE78CA">
        <w:t xml:space="preserve"> includes land converted up to 20 years prior, and net area values include land in a state of conversion (due to land-use change prior to 1990) and afforestation since 1990. Net emission estimates are for the whole year indicated. Columns may not total due to rounding, and percentages presented are calculated from unrounded values.</w:t>
      </w:r>
    </w:p>
    <w:p w14:paraId="10806B86" w14:textId="77777777" w:rsidR="00333601" w:rsidRPr="00BE78CA" w:rsidRDefault="00333601" w:rsidP="00F273CE">
      <w:pPr>
        <w:pStyle w:val="BodyText"/>
      </w:pPr>
      <w:r w:rsidRPr="00BE78CA">
        <w:t xml:space="preserve">When reporting under the Convention and the Kyoto Protocol for </w:t>
      </w:r>
      <w:r w:rsidRPr="00BE78CA">
        <w:rPr>
          <w:i/>
        </w:rPr>
        <w:t>Forest land</w:t>
      </w:r>
      <w:r w:rsidRPr="00BE78CA">
        <w:t xml:space="preserve">, New Zealand uses four </w:t>
      </w:r>
      <w:r w:rsidRPr="00BE78CA">
        <w:rPr>
          <w:i/>
        </w:rPr>
        <w:t>Forest land</w:t>
      </w:r>
      <w:r w:rsidRPr="00BE78CA">
        <w:t xml:space="preserve"> types: pre-1990 natural forest (predominantly native forest), pre-1990 planted forest (predominantly </w:t>
      </w:r>
      <w:r w:rsidRPr="00BE78CA">
        <w:rPr>
          <w:i/>
        </w:rPr>
        <w:t>Pinus radiata</w:t>
      </w:r>
      <w:r w:rsidRPr="00BE78CA">
        <w:t>), post-1989 planted forest and post-1989 natural forest (where post-1989 forests are those established after 31 December 1989). The definitions used for mapping these land uses are given in table 6.2.2.</w:t>
      </w:r>
    </w:p>
    <w:p w14:paraId="29A9BACA" w14:textId="77777777" w:rsidR="00333601" w:rsidRPr="00BE78CA" w:rsidRDefault="00333601" w:rsidP="00F273CE">
      <w:pPr>
        <w:pStyle w:val="BodyText"/>
      </w:pPr>
      <w:r w:rsidRPr="00BE78CA">
        <w:t>New Zealand’s emissions profile in the LULUCF sector is predominantly influenced by plantation forestry. The timing of afforestation, crop rotation and harvesting cycles drive the emissions profile and will continue to do so in the future, especially as the post-1989 forest estate is now reaching harvesting age. Afforestation since 1990 is shown in figure 6.4.1 and the change in the amount of harvesting is displayed in figure 6.4.4.</w:t>
      </w:r>
    </w:p>
    <w:p w14:paraId="6F6F9951" w14:textId="267252ED" w:rsidR="00333601" w:rsidRPr="00BE78CA" w:rsidRDefault="00333601" w:rsidP="007901C0">
      <w:pPr>
        <w:pStyle w:val="BodyText"/>
        <w:spacing w:after="80"/>
      </w:pPr>
      <w:r w:rsidRPr="00BE78CA">
        <w:t>Table 6.4.2 shows land-use change by forest land type since 1990 and the associated CO</w:t>
      </w:r>
      <w:r w:rsidRPr="00BE78CA">
        <w:rPr>
          <w:vertAlign w:val="subscript"/>
        </w:rPr>
        <w:t>2</w:t>
      </w:r>
      <w:r w:rsidRPr="00BE78CA">
        <w:t xml:space="preserve"> emissions from carbon stock change (note: non-CO</w:t>
      </w:r>
      <w:r w:rsidRPr="00BE78CA">
        <w:rPr>
          <w:vertAlign w:val="subscript"/>
        </w:rPr>
        <w:t>2</w:t>
      </w:r>
      <w:r w:rsidRPr="00BE78CA">
        <w:t xml:space="preserve"> emissions are reported elsewhere). The </w:t>
      </w:r>
      <w:r w:rsidRPr="00BE78CA">
        <w:lastRenderedPageBreak/>
        <w:t>change in the amount of harvesting is reflected in the change in net emissions from 1990 in</w:t>
      </w:r>
      <w:r w:rsidR="007901C0" w:rsidRPr="00BE78CA">
        <w:t> </w:t>
      </w:r>
      <w:r w:rsidRPr="00BE78CA">
        <w:t>the pre-1990 planted forest land use. The figures for post-1989 forest also vary greatly between 1990 and 2019 because, in 1990, only one year’s worth of planting was contributing to the emissions figures whereas, by 2019, there is much more land included and a greater biomass on this land.</w:t>
      </w:r>
    </w:p>
    <w:p w14:paraId="2759B2A3" w14:textId="77777777" w:rsidR="00333601" w:rsidRPr="00BE78CA" w:rsidRDefault="00333601" w:rsidP="00333601">
      <w:pPr>
        <w:pStyle w:val="Table"/>
      </w:pPr>
      <w:bookmarkStart w:id="1622" w:name="_Toc310423405"/>
      <w:bookmarkStart w:id="1623" w:name="_Toc318362698"/>
      <w:bookmarkStart w:id="1624" w:name="_Toc342470760"/>
      <w:bookmarkStart w:id="1625" w:name="_Toc352505000"/>
      <w:bookmarkStart w:id="1626" w:name="_Toc373395725"/>
      <w:bookmarkStart w:id="1627" w:name="_Toc378853291"/>
      <w:bookmarkStart w:id="1628" w:name="_Toc474914592"/>
      <w:bookmarkStart w:id="1629" w:name="_Toc481751556"/>
      <w:bookmarkStart w:id="1630" w:name="_Toc522010613"/>
      <w:bookmarkStart w:id="1631" w:name="_Toc5269518"/>
      <w:bookmarkStart w:id="1632" w:name="_Toc33529392"/>
      <w:bookmarkStart w:id="1633" w:name="_Toc36224598"/>
      <w:bookmarkStart w:id="1634" w:name="_Toc65243593"/>
      <w:bookmarkStart w:id="1635" w:name="_Toc68786483"/>
      <w:bookmarkStart w:id="1636" w:name="_Toc391024089"/>
      <w:bookmarkStart w:id="1637" w:name="_Toc410028832"/>
      <w:bookmarkStart w:id="1638" w:name="_Toc414531460"/>
      <w:bookmarkStart w:id="1639" w:name="_Toc443645373"/>
      <w:r w:rsidRPr="00BE78CA">
        <w:t>Table 6.4.2</w:t>
      </w:r>
      <w:r w:rsidRPr="00BE78CA">
        <w:tab/>
        <w:t>Change in land area and associated CO</w:t>
      </w:r>
      <w:r w:rsidRPr="00BE78CA">
        <w:rPr>
          <w:vertAlign w:val="subscript"/>
        </w:rPr>
        <w:t>2</w:t>
      </w:r>
      <w:r w:rsidRPr="00BE78CA">
        <w:t xml:space="preserve"> emissions from carbon stock change</w:t>
      </w:r>
      <w:bookmarkEnd w:id="1622"/>
      <w:bookmarkEnd w:id="1623"/>
      <w:bookmarkEnd w:id="1624"/>
      <w:bookmarkEnd w:id="1625"/>
      <w:bookmarkEnd w:id="1626"/>
      <w:bookmarkEnd w:id="1627"/>
      <w:r w:rsidRPr="00BE78CA">
        <w:br/>
        <w:t>between 1990 and 2019 for New Zealand’s Forest land</w:t>
      </w:r>
      <w:bookmarkEnd w:id="1628"/>
      <w:bookmarkEnd w:id="1629"/>
      <w:bookmarkEnd w:id="1630"/>
      <w:bookmarkEnd w:id="1631"/>
      <w:bookmarkEnd w:id="1632"/>
      <w:bookmarkEnd w:id="1633"/>
      <w:bookmarkEnd w:id="1634"/>
      <w:bookmarkEnd w:id="1635"/>
      <w:r w:rsidRPr="00BE78CA">
        <w:t xml:space="preserve"> </w:t>
      </w:r>
      <w:bookmarkEnd w:id="1636"/>
      <w:bookmarkEnd w:id="1637"/>
      <w:bookmarkEnd w:id="1638"/>
      <w:bookmarkEnd w:id="1639"/>
    </w:p>
    <w:tbl>
      <w:tblPr>
        <w:tblW w:w="8505" w:type="dxa"/>
        <w:tblLayout w:type="fixed"/>
        <w:tblLook w:val="04A0" w:firstRow="1" w:lastRow="0" w:firstColumn="1" w:lastColumn="0" w:noHBand="0" w:noVBand="1"/>
      </w:tblPr>
      <w:tblGrid>
        <w:gridCol w:w="1985"/>
        <w:gridCol w:w="1134"/>
        <w:gridCol w:w="1134"/>
        <w:gridCol w:w="1134"/>
        <w:gridCol w:w="992"/>
        <w:gridCol w:w="992"/>
        <w:gridCol w:w="1134"/>
      </w:tblGrid>
      <w:tr w:rsidR="00333601" w:rsidRPr="00BE78CA" w14:paraId="63F4B811" w14:textId="77777777" w:rsidTr="00F273CE">
        <w:trPr>
          <w:tblHeader/>
        </w:trPr>
        <w:tc>
          <w:tcPr>
            <w:tcW w:w="1985" w:type="dxa"/>
            <w:vMerge w:val="restart"/>
            <w:tcBorders>
              <w:top w:val="single" w:sz="4" w:space="0" w:color="365F91"/>
            </w:tcBorders>
            <w:shd w:val="clear" w:color="auto" w:fill="376092"/>
            <w:vAlign w:val="bottom"/>
          </w:tcPr>
          <w:p w14:paraId="3726D495" w14:textId="77777777" w:rsidR="00333601" w:rsidRPr="00BE78CA" w:rsidRDefault="00333601" w:rsidP="00C26084">
            <w:pPr>
              <w:pStyle w:val="TableTextBold"/>
              <w:spacing w:before="40" w:after="40"/>
              <w:rPr>
                <w:rFonts w:eastAsia="Arial"/>
                <w:noProof w:val="0"/>
                <w:color w:val="FFFFFF"/>
              </w:rPr>
            </w:pPr>
            <w:r w:rsidRPr="00BE78CA">
              <w:rPr>
                <w:rFonts w:eastAsia="Arial"/>
                <w:noProof w:val="0"/>
                <w:color w:val="FFFFFF"/>
              </w:rPr>
              <w:t xml:space="preserve">Land use </w:t>
            </w:r>
          </w:p>
        </w:tc>
        <w:tc>
          <w:tcPr>
            <w:tcW w:w="1134" w:type="dxa"/>
            <w:tcBorders>
              <w:top w:val="single" w:sz="4" w:space="0" w:color="365F91"/>
            </w:tcBorders>
            <w:shd w:val="clear" w:color="auto" w:fill="376092"/>
            <w:vAlign w:val="bottom"/>
          </w:tcPr>
          <w:p w14:paraId="67B628E6" w14:textId="77777777" w:rsidR="00333601" w:rsidRPr="00BE78CA" w:rsidRDefault="00333601" w:rsidP="00C26084">
            <w:pPr>
              <w:pStyle w:val="TableTextBold"/>
              <w:jc w:val="center"/>
              <w:rPr>
                <w:rFonts w:eastAsia="Arial"/>
                <w:noProof w:val="0"/>
                <w:color w:val="FFFFFF"/>
              </w:rPr>
            </w:pPr>
            <w:r w:rsidRPr="00BE78CA">
              <w:rPr>
                <w:rFonts w:eastAsia="Arial"/>
                <w:noProof w:val="0"/>
                <w:color w:val="FFFFFF"/>
              </w:rPr>
              <w:t>Net area (ha)</w:t>
            </w:r>
          </w:p>
        </w:tc>
        <w:tc>
          <w:tcPr>
            <w:tcW w:w="1134" w:type="dxa"/>
            <w:tcBorders>
              <w:top w:val="single" w:sz="4" w:space="0" w:color="365F91"/>
            </w:tcBorders>
            <w:shd w:val="clear" w:color="auto" w:fill="376092"/>
            <w:vAlign w:val="bottom"/>
          </w:tcPr>
          <w:p w14:paraId="524BF86A" w14:textId="77777777" w:rsidR="00333601" w:rsidRPr="00BE78CA" w:rsidRDefault="00333601" w:rsidP="00C26084">
            <w:pPr>
              <w:pStyle w:val="TableTextBold"/>
              <w:jc w:val="center"/>
              <w:rPr>
                <w:rFonts w:eastAsia="Arial"/>
                <w:noProof w:val="0"/>
                <w:color w:val="FFFFFF"/>
              </w:rPr>
            </w:pPr>
            <w:r w:rsidRPr="00BE78CA">
              <w:rPr>
                <w:rFonts w:eastAsia="Arial"/>
                <w:noProof w:val="0"/>
                <w:color w:val="FFFFFF"/>
              </w:rPr>
              <w:t>Net area (ha)</w:t>
            </w:r>
          </w:p>
        </w:tc>
        <w:tc>
          <w:tcPr>
            <w:tcW w:w="1134" w:type="dxa"/>
            <w:vMerge w:val="restart"/>
            <w:tcBorders>
              <w:top w:val="single" w:sz="4" w:space="0" w:color="365F91"/>
            </w:tcBorders>
            <w:shd w:val="clear" w:color="auto" w:fill="376092"/>
            <w:vAlign w:val="bottom"/>
          </w:tcPr>
          <w:p w14:paraId="4785D3D2" w14:textId="77777777" w:rsidR="00333601" w:rsidRPr="00BE78CA" w:rsidRDefault="00333601" w:rsidP="00C26084">
            <w:pPr>
              <w:pStyle w:val="TableTextBold"/>
              <w:jc w:val="center"/>
              <w:rPr>
                <w:rFonts w:eastAsia="Arial"/>
                <w:noProof w:val="0"/>
                <w:color w:val="FFFFFF"/>
              </w:rPr>
            </w:pPr>
            <w:r w:rsidRPr="00BE78CA">
              <w:rPr>
                <w:rFonts w:eastAsia="Arial"/>
                <w:noProof w:val="0"/>
                <w:color w:val="FFFFFF"/>
              </w:rPr>
              <w:t>Change from 1990 (%)</w:t>
            </w:r>
          </w:p>
        </w:tc>
        <w:tc>
          <w:tcPr>
            <w:tcW w:w="1984" w:type="dxa"/>
            <w:gridSpan w:val="2"/>
            <w:tcBorders>
              <w:top w:val="single" w:sz="4" w:space="0" w:color="365F91"/>
            </w:tcBorders>
            <w:shd w:val="clear" w:color="auto" w:fill="376092"/>
            <w:vAlign w:val="bottom"/>
          </w:tcPr>
          <w:p w14:paraId="741C0CE8" w14:textId="77777777" w:rsidR="00333601" w:rsidRPr="00BE78CA" w:rsidRDefault="00333601" w:rsidP="00C26084">
            <w:pPr>
              <w:pStyle w:val="TableTextBold"/>
              <w:jc w:val="center"/>
              <w:rPr>
                <w:rFonts w:eastAsia="Arial"/>
                <w:noProof w:val="0"/>
                <w:color w:val="FFFFFF"/>
              </w:rPr>
            </w:pPr>
            <w:r w:rsidRPr="00BE78CA">
              <w:rPr>
                <w:rFonts w:eastAsia="Arial"/>
                <w:noProof w:val="0"/>
                <w:color w:val="FFFFFF"/>
              </w:rPr>
              <w:t xml:space="preserve">Net emissions </w:t>
            </w:r>
            <w:r w:rsidRPr="00BE78CA">
              <w:rPr>
                <w:rFonts w:eastAsia="Arial"/>
                <w:noProof w:val="0"/>
                <w:color w:val="FFFFFF"/>
              </w:rPr>
              <w:br/>
              <w:t>(kt CO</w:t>
            </w:r>
            <w:r w:rsidRPr="00BE78CA">
              <w:rPr>
                <w:rFonts w:eastAsia="Arial"/>
                <w:noProof w:val="0"/>
                <w:color w:val="FFFFFF"/>
                <w:vertAlign w:val="subscript"/>
              </w:rPr>
              <w:t xml:space="preserve">2 </w:t>
            </w:r>
            <w:r w:rsidRPr="00BE78CA">
              <w:rPr>
                <w:rFonts w:eastAsia="Arial"/>
                <w:noProof w:val="0"/>
                <w:color w:val="FFFFFF"/>
              </w:rPr>
              <w:t>only)</w:t>
            </w:r>
          </w:p>
        </w:tc>
        <w:tc>
          <w:tcPr>
            <w:tcW w:w="1134" w:type="dxa"/>
            <w:vMerge w:val="restart"/>
            <w:tcBorders>
              <w:top w:val="single" w:sz="4" w:space="0" w:color="365F91"/>
            </w:tcBorders>
            <w:shd w:val="clear" w:color="auto" w:fill="376092"/>
            <w:vAlign w:val="bottom"/>
          </w:tcPr>
          <w:p w14:paraId="73281684" w14:textId="77777777" w:rsidR="00333601" w:rsidRPr="00BE78CA" w:rsidRDefault="00333601" w:rsidP="00C26084">
            <w:pPr>
              <w:pStyle w:val="TableTextBold"/>
              <w:jc w:val="center"/>
              <w:rPr>
                <w:rFonts w:eastAsia="Arial"/>
                <w:noProof w:val="0"/>
                <w:color w:val="FFFFFF"/>
              </w:rPr>
            </w:pPr>
            <w:r w:rsidRPr="00BE78CA">
              <w:rPr>
                <w:rFonts w:eastAsia="Arial"/>
                <w:noProof w:val="0"/>
                <w:color w:val="FFFFFF"/>
              </w:rPr>
              <w:t>Change from 1990 (%)</w:t>
            </w:r>
          </w:p>
        </w:tc>
      </w:tr>
      <w:tr w:rsidR="00333601" w:rsidRPr="00BE78CA" w14:paraId="63327867" w14:textId="77777777" w:rsidTr="00F273CE">
        <w:tc>
          <w:tcPr>
            <w:tcW w:w="1985" w:type="dxa"/>
            <w:vMerge/>
            <w:tcBorders>
              <w:bottom w:val="single" w:sz="4" w:space="0" w:color="365F91"/>
            </w:tcBorders>
            <w:shd w:val="clear" w:color="auto" w:fill="376092"/>
          </w:tcPr>
          <w:p w14:paraId="3E465697" w14:textId="77777777" w:rsidR="00333601" w:rsidRPr="00BE78CA" w:rsidRDefault="00333601" w:rsidP="00C26084">
            <w:pPr>
              <w:pStyle w:val="TableTextBold"/>
              <w:spacing w:before="40" w:after="40"/>
              <w:jc w:val="center"/>
              <w:rPr>
                <w:rFonts w:eastAsia="Arial"/>
                <w:noProof w:val="0"/>
                <w:color w:val="FFFFFF"/>
              </w:rPr>
            </w:pPr>
          </w:p>
        </w:tc>
        <w:tc>
          <w:tcPr>
            <w:tcW w:w="1134" w:type="dxa"/>
            <w:tcBorders>
              <w:bottom w:val="single" w:sz="4" w:space="0" w:color="365F91"/>
            </w:tcBorders>
            <w:shd w:val="clear" w:color="auto" w:fill="376092"/>
          </w:tcPr>
          <w:p w14:paraId="2B74C6B5" w14:textId="77777777" w:rsidR="00333601" w:rsidRPr="00BE78CA" w:rsidRDefault="00333601" w:rsidP="00C26084">
            <w:pPr>
              <w:pStyle w:val="TableTextBold"/>
              <w:spacing w:before="40" w:after="40"/>
              <w:jc w:val="center"/>
              <w:rPr>
                <w:rFonts w:eastAsia="Arial"/>
                <w:noProof w:val="0"/>
                <w:color w:val="FFFFFF"/>
              </w:rPr>
            </w:pPr>
            <w:r w:rsidRPr="00BE78CA">
              <w:rPr>
                <w:rFonts w:eastAsia="Arial"/>
                <w:noProof w:val="0"/>
                <w:color w:val="FFFFFF"/>
              </w:rPr>
              <w:t>1990</w:t>
            </w:r>
          </w:p>
        </w:tc>
        <w:tc>
          <w:tcPr>
            <w:tcW w:w="1134" w:type="dxa"/>
            <w:tcBorders>
              <w:bottom w:val="single" w:sz="4" w:space="0" w:color="365F91"/>
            </w:tcBorders>
            <w:shd w:val="clear" w:color="auto" w:fill="376092"/>
          </w:tcPr>
          <w:p w14:paraId="39F7DE27" w14:textId="77777777" w:rsidR="00333601" w:rsidRPr="00BE78CA" w:rsidRDefault="00333601" w:rsidP="00C26084">
            <w:pPr>
              <w:pStyle w:val="TableTextBold"/>
              <w:spacing w:before="40" w:after="40"/>
              <w:jc w:val="center"/>
              <w:rPr>
                <w:rFonts w:eastAsia="Arial"/>
                <w:noProof w:val="0"/>
                <w:color w:val="FFFFFF"/>
              </w:rPr>
            </w:pPr>
            <w:r w:rsidRPr="00BE78CA">
              <w:rPr>
                <w:rFonts w:eastAsia="Arial"/>
                <w:noProof w:val="0"/>
                <w:color w:val="FFFFFF"/>
              </w:rPr>
              <w:t>2019</w:t>
            </w:r>
          </w:p>
        </w:tc>
        <w:tc>
          <w:tcPr>
            <w:tcW w:w="1134" w:type="dxa"/>
            <w:vMerge/>
            <w:tcBorders>
              <w:bottom w:val="single" w:sz="4" w:space="0" w:color="365F91"/>
            </w:tcBorders>
            <w:shd w:val="clear" w:color="auto" w:fill="376092"/>
          </w:tcPr>
          <w:p w14:paraId="7512542F" w14:textId="77777777" w:rsidR="00333601" w:rsidRPr="00BE78CA" w:rsidRDefault="00333601" w:rsidP="00C26084">
            <w:pPr>
              <w:pStyle w:val="TableTextBold"/>
              <w:spacing w:before="40" w:after="40"/>
              <w:jc w:val="center"/>
              <w:rPr>
                <w:rFonts w:eastAsia="Arial"/>
                <w:noProof w:val="0"/>
                <w:color w:val="FFFFFF"/>
              </w:rPr>
            </w:pPr>
          </w:p>
        </w:tc>
        <w:tc>
          <w:tcPr>
            <w:tcW w:w="992" w:type="dxa"/>
            <w:tcBorders>
              <w:bottom w:val="single" w:sz="4" w:space="0" w:color="365F91"/>
            </w:tcBorders>
            <w:shd w:val="clear" w:color="auto" w:fill="376092"/>
          </w:tcPr>
          <w:p w14:paraId="5B347CFE" w14:textId="77777777" w:rsidR="00333601" w:rsidRPr="00BE78CA" w:rsidRDefault="00333601" w:rsidP="00C26084">
            <w:pPr>
              <w:pStyle w:val="TableTextBold"/>
              <w:spacing w:before="40" w:after="40"/>
              <w:jc w:val="center"/>
              <w:rPr>
                <w:rFonts w:eastAsia="Arial"/>
                <w:noProof w:val="0"/>
                <w:color w:val="FFFFFF"/>
              </w:rPr>
            </w:pPr>
            <w:r w:rsidRPr="00BE78CA">
              <w:rPr>
                <w:rFonts w:eastAsia="Arial"/>
                <w:noProof w:val="0"/>
                <w:color w:val="FFFFFF"/>
              </w:rPr>
              <w:t>1990</w:t>
            </w:r>
          </w:p>
        </w:tc>
        <w:tc>
          <w:tcPr>
            <w:tcW w:w="992" w:type="dxa"/>
            <w:tcBorders>
              <w:bottom w:val="single" w:sz="4" w:space="0" w:color="365F91"/>
            </w:tcBorders>
            <w:shd w:val="clear" w:color="auto" w:fill="376092"/>
          </w:tcPr>
          <w:p w14:paraId="07AC0819" w14:textId="77777777" w:rsidR="00333601" w:rsidRPr="00BE78CA" w:rsidRDefault="00333601" w:rsidP="00C26084">
            <w:pPr>
              <w:pStyle w:val="TableTextBold"/>
              <w:spacing w:before="40" w:after="40"/>
              <w:jc w:val="center"/>
              <w:rPr>
                <w:rFonts w:eastAsia="Arial"/>
                <w:noProof w:val="0"/>
                <w:color w:val="FFFFFF"/>
              </w:rPr>
            </w:pPr>
            <w:r w:rsidRPr="00BE78CA">
              <w:rPr>
                <w:rFonts w:eastAsia="Arial"/>
                <w:noProof w:val="0"/>
                <w:color w:val="FFFFFF"/>
              </w:rPr>
              <w:t>2019</w:t>
            </w:r>
          </w:p>
        </w:tc>
        <w:tc>
          <w:tcPr>
            <w:tcW w:w="1134" w:type="dxa"/>
            <w:vMerge/>
            <w:tcBorders>
              <w:bottom w:val="single" w:sz="4" w:space="0" w:color="365F91"/>
            </w:tcBorders>
            <w:shd w:val="clear" w:color="auto" w:fill="376092"/>
          </w:tcPr>
          <w:p w14:paraId="6DBF692B" w14:textId="77777777" w:rsidR="00333601" w:rsidRPr="00BE78CA" w:rsidRDefault="00333601" w:rsidP="00C26084">
            <w:pPr>
              <w:pStyle w:val="TableTextBold"/>
              <w:spacing w:before="40" w:after="40"/>
              <w:jc w:val="center"/>
              <w:rPr>
                <w:rFonts w:eastAsia="Arial"/>
                <w:noProof w:val="0"/>
                <w:color w:val="FFFFFF"/>
              </w:rPr>
            </w:pPr>
          </w:p>
        </w:tc>
      </w:tr>
      <w:tr w:rsidR="00333601" w:rsidRPr="00BE78CA" w14:paraId="2433E221" w14:textId="77777777" w:rsidTr="00F273CE">
        <w:tc>
          <w:tcPr>
            <w:tcW w:w="1985" w:type="dxa"/>
            <w:tcBorders>
              <w:top w:val="single" w:sz="4" w:space="0" w:color="365F91"/>
              <w:bottom w:val="single" w:sz="4" w:space="0" w:color="365F91"/>
            </w:tcBorders>
            <w:shd w:val="clear" w:color="auto" w:fill="auto"/>
          </w:tcPr>
          <w:p w14:paraId="2241E2E8" w14:textId="77777777" w:rsidR="00333601" w:rsidRPr="00BE78CA" w:rsidRDefault="00333601" w:rsidP="007901C0">
            <w:pPr>
              <w:pStyle w:val="TableText"/>
              <w:spacing w:before="40" w:after="40"/>
              <w:rPr>
                <w:rFonts w:eastAsia="Arial"/>
              </w:rPr>
            </w:pPr>
            <w:r w:rsidRPr="00BE78CA">
              <w:rPr>
                <w:rFonts w:eastAsia="Arial"/>
              </w:rPr>
              <w:t>Pre-1990 natural forest</w:t>
            </w:r>
          </w:p>
        </w:tc>
        <w:tc>
          <w:tcPr>
            <w:tcW w:w="1134" w:type="dxa"/>
            <w:tcBorders>
              <w:top w:val="single" w:sz="4" w:space="0" w:color="365F91"/>
              <w:bottom w:val="single" w:sz="4" w:space="0" w:color="365F91"/>
            </w:tcBorders>
            <w:shd w:val="clear" w:color="auto" w:fill="auto"/>
          </w:tcPr>
          <w:p w14:paraId="54AAAFCD" w14:textId="77777777" w:rsidR="00333601" w:rsidRPr="00BE78CA" w:rsidRDefault="00333601" w:rsidP="007901C0">
            <w:pPr>
              <w:pStyle w:val="TableText"/>
              <w:spacing w:before="40" w:after="40"/>
              <w:jc w:val="center"/>
              <w:rPr>
                <w:rFonts w:eastAsia="Arial"/>
              </w:rPr>
            </w:pPr>
            <w:r w:rsidRPr="00BE78CA">
              <w:t>7,822,817</w:t>
            </w:r>
          </w:p>
        </w:tc>
        <w:tc>
          <w:tcPr>
            <w:tcW w:w="1134" w:type="dxa"/>
            <w:tcBorders>
              <w:top w:val="single" w:sz="4" w:space="0" w:color="365F91"/>
              <w:bottom w:val="single" w:sz="4" w:space="0" w:color="365F91"/>
            </w:tcBorders>
            <w:shd w:val="clear" w:color="auto" w:fill="auto"/>
          </w:tcPr>
          <w:p w14:paraId="33273D4A" w14:textId="77777777" w:rsidR="00333601" w:rsidRPr="00BE78CA" w:rsidRDefault="00333601" w:rsidP="007901C0">
            <w:pPr>
              <w:pStyle w:val="TableText"/>
              <w:spacing w:before="40" w:after="40"/>
              <w:jc w:val="center"/>
              <w:rPr>
                <w:rFonts w:eastAsia="Arial"/>
              </w:rPr>
            </w:pPr>
            <w:r w:rsidRPr="00BE78CA">
              <w:t>7,755,947</w:t>
            </w:r>
          </w:p>
        </w:tc>
        <w:tc>
          <w:tcPr>
            <w:tcW w:w="1134" w:type="dxa"/>
            <w:tcBorders>
              <w:top w:val="single" w:sz="4" w:space="0" w:color="365F91"/>
              <w:bottom w:val="single" w:sz="4" w:space="0" w:color="365F91"/>
            </w:tcBorders>
            <w:shd w:val="clear" w:color="auto" w:fill="auto"/>
          </w:tcPr>
          <w:p w14:paraId="0367165B" w14:textId="77777777" w:rsidR="00333601" w:rsidRPr="00BE78CA" w:rsidRDefault="00333601" w:rsidP="007901C0">
            <w:pPr>
              <w:pStyle w:val="TableText"/>
              <w:spacing w:before="40" w:after="40"/>
              <w:jc w:val="center"/>
              <w:rPr>
                <w:rFonts w:eastAsia="Arial"/>
              </w:rPr>
            </w:pPr>
            <w:r w:rsidRPr="00BE78CA">
              <w:t>–0.9</w:t>
            </w:r>
          </w:p>
        </w:tc>
        <w:tc>
          <w:tcPr>
            <w:tcW w:w="992" w:type="dxa"/>
            <w:tcBorders>
              <w:top w:val="single" w:sz="4" w:space="0" w:color="365F91"/>
              <w:bottom w:val="single" w:sz="4" w:space="0" w:color="365F91"/>
            </w:tcBorders>
            <w:shd w:val="clear" w:color="auto" w:fill="auto"/>
          </w:tcPr>
          <w:p w14:paraId="24D145B3" w14:textId="77777777" w:rsidR="00333601" w:rsidRPr="00BE78CA" w:rsidRDefault="00333601" w:rsidP="007901C0">
            <w:pPr>
              <w:pStyle w:val="TableText"/>
              <w:spacing w:before="40" w:after="40"/>
              <w:jc w:val="center"/>
              <w:rPr>
                <w:rFonts w:eastAsia="Arial"/>
              </w:rPr>
            </w:pPr>
            <w:r w:rsidRPr="00BE78CA">
              <w:t>–2,711.3</w:t>
            </w:r>
          </w:p>
        </w:tc>
        <w:tc>
          <w:tcPr>
            <w:tcW w:w="992" w:type="dxa"/>
            <w:tcBorders>
              <w:top w:val="single" w:sz="4" w:space="0" w:color="365F91"/>
              <w:bottom w:val="single" w:sz="4" w:space="0" w:color="365F91"/>
            </w:tcBorders>
            <w:shd w:val="clear" w:color="auto" w:fill="auto"/>
          </w:tcPr>
          <w:p w14:paraId="0B6BB70D" w14:textId="77777777" w:rsidR="00333601" w:rsidRPr="00BE78CA" w:rsidRDefault="00333601" w:rsidP="007901C0">
            <w:pPr>
              <w:pStyle w:val="TableText"/>
              <w:spacing w:before="40" w:after="40"/>
              <w:jc w:val="center"/>
              <w:rPr>
                <w:rFonts w:eastAsia="Arial"/>
              </w:rPr>
            </w:pPr>
            <w:r w:rsidRPr="00BE78CA">
              <w:t>–2,666.3</w:t>
            </w:r>
          </w:p>
        </w:tc>
        <w:tc>
          <w:tcPr>
            <w:tcW w:w="1134" w:type="dxa"/>
            <w:tcBorders>
              <w:top w:val="single" w:sz="4" w:space="0" w:color="365F91"/>
              <w:bottom w:val="single" w:sz="4" w:space="0" w:color="365F91"/>
            </w:tcBorders>
            <w:shd w:val="clear" w:color="auto" w:fill="auto"/>
          </w:tcPr>
          <w:p w14:paraId="3E5A2B17" w14:textId="77777777" w:rsidR="00333601" w:rsidRPr="00BE78CA" w:rsidRDefault="00333601" w:rsidP="007901C0">
            <w:pPr>
              <w:pStyle w:val="TableText"/>
              <w:spacing w:before="40" w:after="40"/>
              <w:jc w:val="center"/>
              <w:rPr>
                <w:rFonts w:eastAsia="Arial"/>
              </w:rPr>
            </w:pPr>
            <w:r w:rsidRPr="00BE78CA">
              <w:t>1.7</w:t>
            </w:r>
          </w:p>
        </w:tc>
      </w:tr>
      <w:tr w:rsidR="00333601" w:rsidRPr="00BE78CA" w14:paraId="563E18B3" w14:textId="77777777" w:rsidTr="00F273CE">
        <w:tc>
          <w:tcPr>
            <w:tcW w:w="1985" w:type="dxa"/>
            <w:tcBorders>
              <w:top w:val="single" w:sz="4" w:space="0" w:color="365F91"/>
              <w:bottom w:val="single" w:sz="4" w:space="0" w:color="365F91"/>
            </w:tcBorders>
            <w:shd w:val="clear" w:color="auto" w:fill="auto"/>
          </w:tcPr>
          <w:p w14:paraId="7576DE7B" w14:textId="77777777" w:rsidR="00333601" w:rsidRPr="00BE78CA" w:rsidRDefault="00333601" w:rsidP="007901C0">
            <w:pPr>
              <w:pStyle w:val="TableText"/>
              <w:spacing w:before="40" w:after="40"/>
              <w:rPr>
                <w:rFonts w:eastAsia="Arial"/>
              </w:rPr>
            </w:pPr>
            <w:r w:rsidRPr="00BE78CA">
              <w:rPr>
                <w:rFonts w:eastAsia="Arial"/>
              </w:rPr>
              <w:t>Pre-1990 planted forest</w:t>
            </w:r>
          </w:p>
        </w:tc>
        <w:tc>
          <w:tcPr>
            <w:tcW w:w="1134" w:type="dxa"/>
            <w:tcBorders>
              <w:top w:val="single" w:sz="4" w:space="0" w:color="365F91"/>
              <w:bottom w:val="single" w:sz="4" w:space="0" w:color="365F91"/>
            </w:tcBorders>
            <w:shd w:val="clear" w:color="auto" w:fill="auto"/>
          </w:tcPr>
          <w:p w14:paraId="6C42145C" w14:textId="77777777" w:rsidR="00333601" w:rsidRPr="00BE78CA" w:rsidRDefault="00333601" w:rsidP="007901C0">
            <w:pPr>
              <w:pStyle w:val="TableText"/>
              <w:spacing w:before="40" w:after="40"/>
              <w:jc w:val="center"/>
            </w:pPr>
            <w:r w:rsidRPr="00BE78CA">
              <w:t>1,546,364</w:t>
            </w:r>
          </w:p>
        </w:tc>
        <w:tc>
          <w:tcPr>
            <w:tcW w:w="1134" w:type="dxa"/>
            <w:tcBorders>
              <w:top w:val="single" w:sz="4" w:space="0" w:color="365F91"/>
              <w:bottom w:val="single" w:sz="4" w:space="0" w:color="365F91"/>
            </w:tcBorders>
            <w:shd w:val="clear" w:color="auto" w:fill="auto"/>
          </w:tcPr>
          <w:p w14:paraId="3E13FB0B" w14:textId="77777777" w:rsidR="00333601" w:rsidRPr="00BE78CA" w:rsidRDefault="00333601" w:rsidP="007901C0">
            <w:pPr>
              <w:pStyle w:val="TableText"/>
              <w:spacing w:before="40" w:after="40"/>
              <w:jc w:val="center"/>
            </w:pPr>
            <w:r w:rsidRPr="00BE78CA">
              <w:t>1,438,413</w:t>
            </w:r>
          </w:p>
        </w:tc>
        <w:tc>
          <w:tcPr>
            <w:tcW w:w="1134" w:type="dxa"/>
            <w:tcBorders>
              <w:top w:val="single" w:sz="4" w:space="0" w:color="365F91"/>
              <w:bottom w:val="single" w:sz="4" w:space="0" w:color="365F91"/>
            </w:tcBorders>
            <w:shd w:val="clear" w:color="auto" w:fill="auto"/>
          </w:tcPr>
          <w:p w14:paraId="1F92A4F2" w14:textId="77777777" w:rsidR="00333601" w:rsidRPr="00BE78CA" w:rsidRDefault="00333601" w:rsidP="007901C0">
            <w:pPr>
              <w:pStyle w:val="TableText"/>
              <w:spacing w:before="40" w:after="40"/>
              <w:jc w:val="center"/>
            </w:pPr>
            <w:r w:rsidRPr="00BE78CA">
              <w:t>–7.0</w:t>
            </w:r>
          </w:p>
        </w:tc>
        <w:tc>
          <w:tcPr>
            <w:tcW w:w="992" w:type="dxa"/>
            <w:tcBorders>
              <w:top w:val="single" w:sz="4" w:space="0" w:color="365F91"/>
              <w:bottom w:val="single" w:sz="4" w:space="0" w:color="365F91"/>
            </w:tcBorders>
            <w:shd w:val="clear" w:color="auto" w:fill="auto"/>
          </w:tcPr>
          <w:p w14:paraId="57CEAA7C" w14:textId="77777777" w:rsidR="00333601" w:rsidRPr="00BE78CA" w:rsidRDefault="00333601" w:rsidP="007901C0">
            <w:pPr>
              <w:pStyle w:val="TableText"/>
              <w:spacing w:before="40" w:after="40"/>
              <w:jc w:val="center"/>
            </w:pPr>
            <w:r w:rsidRPr="00BE78CA">
              <w:t>–20,715.8</w:t>
            </w:r>
          </w:p>
        </w:tc>
        <w:tc>
          <w:tcPr>
            <w:tcW w:w="992" w:type="dxa"/>
            <w:tcBorders>
              <w:top w:val="single" w:sz="4" w:space="0" w:color="365F91"/>
              <w:bottom w:val="single" w:sz="4" w:space="0" w:color="365F91"/>
            </w:tcBorders>
            <w:shd w:val="clear" w:color="auto" w:fill="auto"/>
          </w:tcPr>
          <w:p w14:paraId="2E6F3755" w14:textId="77777777" w:rsidR="00333601" w:rsidRPr="00BE78CA" w:rsidRDefault="00333601" w:rsidP="007901C0">
            <w:pPr>
              <w:pStyle w:val="TableText"/>
              <w:spacing w:before="40" w:after="40"/>
              <w:jc w:val="center"/>
            </w:pPr>
            <w:r w:rsidRPr="00BE78CA">
              <w:t>–8,833.8</w:t>
            </w:r>
          </w:p>
        </w:tc>
        <w:tc>
          <w:tcPr>
            <w:tcW w:w="1134" w:type="dxa"/>
            <w:tcBorders>
              <w:top w:val="single" w:sz="4" w:space="0" w:color="365F91"/>
              <w:bottom w:val="single" w:sz="4" w:space="0" w:color="365F91"/>
            </w:tcBorders>
            <w:shd w:val="clear" w:color="auto" w:fill="auto"/>
          </w:tcPr>
          <w:p w14:paraId="7BAA7B03" w14:textId="77777777" w:rsidR="00333601" w:rsidRPr="00BE78CA" w:rsidRDefault="00333601" w:rsidP="007901C0">
            <w:pPr>
              <w:pStyle w:val="TableText"/>
              <w:spacing w:before="40" w:after="40"/>
              <w:jc w:val="center"/>
            </w:pPr>
            <w:r w:rsidRPr="00BE78CA">
              <w:t>57.4</w:t>
            </w:r>
          </w:p>
        </w:tc>
      </w:tr>
      <w:tr w:rsidR="00333601" w:rsidRPr="00BE78CA" w14:paraId="35BD6465" w14:textId="77777777" w:rsidTr="00F273CE">
        <w:tc>
          <w:tcPr>
            <w:tcW w:w="1985" w:type="dxa"/>
            <w:tcBorders>
              <w:top w:val="single" w:sz="4" w:space="0" w:color="365F91"/>
              <w:bottom w:val="single" w:sz="4" w:space="0" w:color="365F91"/>
            </w:tcBorders>
            <w:shd w:val="clear" w:color="auto" w:fill="auto"/>
          </w:tcPr>
          <w:p w14:paraId="2746798C" w14:textId="77777777" w:rsidR="00333601" w:rsidRPr="00BE78CA" w:rsidRDefault="00333601" w:rsidP="007901C0">
            <w:pPr>
              <w:pStyle w:val="TableText"/>
              <w:spacing w:before="40" w:after="40"/>
              <w:rPr>
                <w:rFonts w:eastAsia="Arial"/>
              </w:rPr>
            </w:pPr>
            <w:r w:rsidRPr="00BE78CA">
              <w:rPr>
                <w:rFonts w:eastAsia="Arial"/>
              </w:rPr>
              <w:t>Post-1989 planted forest</w:t>
            </w:r>
          </w:p>
        </w:tc>
        <w:tc>
          <w:tcPr>
            <w:tcW w:w="1134" w:type="dxa"/>
            <w:tcBorders>
              <w:top w:val="single" w:sz="4" w:space="0" w:color="365F91"/>
              <w:bottom w:val="single" w:sz="4" w:space="0" w:color="365F91"/>
            </w:tcBorders>
            <w:shd w:val="clear" w:color="auto" w:fill="auto"/>
          </w:tcPr>
          <w:p w14:paraId="55B1C6A0" w14:textId="77777777" w:rsidR="00333601" w:rsidRPr="00BE78CA" w:rsidRDefault="00333601" w:rsidP="007901C0">
            <w:pPr>
              <w:pStyle w:val="TableText"/>
              <w:spacing w:before="40" w:after="40"/>
              <w:jc w:val="center"/>
              <w:rPr>
                <w:rFonts w:eastAsia="Arial"/>
              </w:rPr>
            </w:pPr>
            <w:r w:rsidRPr="00BE78CA">
              <w:t>0</w:t>
            </w:r>
          </w:p>
        </w:tc>
        <w:tc>
          <w:tcPr>
            <w:tcW w:w="1134" w:type="dxa"/>
            <w:tcBorders>
              <w:top w:val="single" w:sz="4" w:space="0" w:color="365F91"/>
              <w:bottom w:val="single" w:sz="4" w:space="0" w:color="365F91"/>
            </w:tcBorders>
            <w:shd w:val="clear" w:color="auto" w:fill="auto"/>
          </w:tcPr>
          <w:p w14:paraId="201DCF01" w14:textId="77777777" w:rsidR="00333601" w:rsidRPr="00BE78CA" w:rsidRDefault="00333601" w:rsidP="007901C0">
            <w:pPr>
              <w:pStyle w:val="TableText"/>
              <w:spacing w:before="40" w:after="40"/>
              <w:jc w:val="center"/>
              <w:rPr>
                <w:rFonts w:eastAsia="Arial"/>
              </w:rPr>
            </w:pPr>
            <w:r w:rsidRPr="00BE78CA">
              <w:t>657,438</w:t>
            </w:r>
          </w:p>
        </w:tc>
        <w:tc>
          <w:tcPr>
            <w:tcW w:w="1134" w:type="dxa"/>
            <w:tcBorders>
              <w:top w:val="single" w:sz="4" w:space="0" w:color="365F91"/>
              <w:bottom w:val="single" w:sz="4" w:space="0" w:color="365F91"/>
            </w:tcBorders>
            <w:shd w:val="clear" w:color="auto" w:fill="auto"/>
          </w:tcPr>
          <w:p w14:paraId="329B1BE7" w14:textId="77777777" w:rsidR="00333601" w:rsidRPr="00BE78CA" w:rsidRDefault="00333601" w:rsidP="007901C0">
            <w:pPr>
              <w:pStyle w:val="TableText"/>
              <w:spacing w:before="40" w:after="40"/>
              <w:jc w:val="center"/>
              <w:rPr>
                <w:rFonts w:eastAsia="Arial"/>
              </w:rPr>
            </w:pPr>
            <w:r w:rsidRPr="00BE78CA">
              <w:t>NA</w:t>
            </w:r>
          </w:p>
        </w:tc>
        <w:tc>
          <w:tcPr>
            <w:tcW w:w="992" w:type="dxa"/>
            <w:tcBorders>
              <w:top w:val="single" w:sz="4" w:space="0" w:color="365F91"/>
              <w:bottom w:val="single" w:sz="4" w:space="0" w:color="365F91"/>
            </w:tcBorders>
            <w:shd w:val="clear" w:color="auto" w:fill="auto"/>
          </w:tcPr>
          <w:p w14:paraId="038A2BC9" w14:textId="77777777" w:rsidR="00333601" w:rsidRPr="00BE78CA" w:rsidRDefault="00333601" w:rsidP="007901C0">
            <w:pPr>
              <w:pStyle w:val="TableText"/>
              <w:spacing w:before="40" w:after="40"/>
              <w:jc w:val="center"/>
              <w:rPr>
                <w:rFonts w:eastAsia="Arial"/>
              </w:rPr>
            </w:pPr>
            <w:r w:rsidRPr="00BE78CA">
              <w:t>78.1</w:t>
            </w:r>
          </w:p>
        </w:tc>
        <w:tc>
          <w:tcPr>
            <w:tcW w:w="992" w:type="dxa"/>
            <w:tcBorders>
              <w:top w:val="single" w:sz="4" w:space="0" w:color="365F91"/>
              <w:bottom w:val="single" w:sz="4" w:space="0" w:color="365F91"/>
            </w:tcBorders>
            <w:shd w:val="clear" w:color="auto" w:fill="auto"/>
          </w:tcPr>
          <w:p w14:paraId="66BE80B4" w14:textId="77777777" w:rsidR="00333601" w:rsidRPr="00BE78CA" w:rsidRDefault="00333601" w:rsidP="007901C0">
            <w:pPr>
              <w:pStyle w:val="TableText"/>
              <w:spacing w:before="40" w:after="40"/>
              <w:jc w:val="center"/>
              <w:rPr>
                <w:rFonts w:eastAsia="Arial"/>
              </w:rPr>
            </w:pPr>
            <w:r w:rsidRPr="00BE78CA">
              <w:t>–10,067.1</w:t>
            </w:r>
          </w:p>
        </w:tc>
        <w:tc>
          <w:tcPr>
            <w:tcW w:w="1134" w:type="dxa"/>
            <w:tcBorders>
              <w:top w:val="single" w:sz="4" w:space="0" w:color="365F91"/>
              <w:bottom w:val="single" w:sz="4" w:space="0" w:color="365F91"/>
            </w:tcBorders>
            <w:shd w:val="clear" w:color="auto" w:fill="auto"/>
          </w:tcPr>
          <w:p w14:paraId="355C6C8E" w14:textId="77777777" w:rsidR="00333601" w:rsidRPr="00BE78CA" w:rsidRDefault="00333601" w:rsidP="007901C0">
            <w:pPr>
              <w:pStyle w:val="TableText"/>
              <w:spacing w:before="40" w:after="40"/>
              <w:jc w:val="center"/>
              <w:rPr>
                <w:rFonts w:eastAsia="Arial"/>
              </w:rPr>
            </w:pPr>
            <w:r w:rsidRPr="00BE78CA">
              <w:t>–12,988.2</w:t>
            </w:r>
          </w:p>
        </w:tc>
      </w:tr>
      <w:tr w:rsidR="00333601" w:rsidRPr="00BE78CA" w14:paraId="089AF92D" w14:textId="77777777" w:rsidTr="00F273CE">
        <w:tc>
          <w:tcPr>
            <w:tcW w:w="1985" w:type="dxa"/>
            <w:tcBorders>
              <w:top w:val="single" w:sz="4" w:space="0" w:color="365F91"/>
              <w:bottom w:val="single" w:sz="4" w:space="0" w:color="365F91"/>
            </w:tcBorders>
            <w:shd w:val="clear" w:color="auto" w:fill="auto"/>
          </w:tcPr>
          <w:p w14:paraId="3DC1443E" w14:textId="77777777" w:rsidR="00333601" w:rsidRPr="00BE78CA" w:rsidRDefault="00333601" w:rsidP="007901C0">
            <w:pPr>
              <w:pStyle w:val="TableText"/>
              <w:spacing w:before="40" w:after="40"/>
              <w:rPr>
                <w:rFonts w:eastAsia="Arial"/>
              </w:rPr>
            </w:pPr>
            <w:r w:rsidRPr="00BE78CA">
              <w:rPr>
                <w:rFonts w:eastAsia="Arial"/>
              </w:rPr>
              <w:t>Post-1989 natural forest</w:t>
            </w:r>
          </w:p>
        </w:tc>
        <w:tc>
          <w:tcPr>
            <w:tcW w:w="1134" w:type="dxa"/>
            <w:tcBorders>
              <w:top w:val="single" w:sz="4" w:space="0" w:color="365F91"/>
              <w:bottom w:val="single" w:sz="4" w:space="0" w:color="365F91"/>
            </w:tcBorders>
            <w:shd w:val="clear" w:color="auto" w:fill="auto"/>
          </w:tcPr>
          <w:p w14:paraId="3A63D84A" w14:textId="77777777" w:rsidR="00333601" w:rsidRPr="00BE78CA" w:rsidRDefault="00333601" w:rsidP="007901C0">
            <w:pPr>
              <w:pStyle w:val="TableText"/>
              <w:spacing w:before="40" w:after="40"/>
              <w:jc w:val="center"/>
            </w:pPr>
            <w:r w:rsidRPr="00BE78CA">
              <w:t>0</w:t>
            </w:r>
          </w:p>
        </w:tc>
        <w:tc>
          <w:tcPr>
            <w:tcW w:w="1134" w:type="dxa"/>
            <w:tcBorders>
              <w:top w:val="single" w:sz="4" w:space="0" w:color="365F91"/>
              <w:bottom w:val="single" w:sz="4" w:space="0" w:color="365F91"/>
            </w:tcBorders>
            <w:shd w:val="clear" w:color="auto" w:fill="auto"/>
          </w:tcPr>
          <w:p w14:paraId="236D5997" w14:textId="77777777" w:rsidR="00333601" w:rsidRPr="00BE78CA" w:rsidRDefault="00333601" w:rsidP="007901C0">
            <w:pPr>
              <w:pStyle w:val="TableText"/>
              <w:spacing w:before="40" w:after="40"/>
              <w:jc w:val="center"/>
            </w:pPr>
            <w:r w:rsidRPr="00BE78CA">
              <w:t>86,689</w:t>
            </w:r>
          </w:p>
        </w:tc>
        <w:tc>
          <w:tcPr>
            <w:tcW w:w="1134" w:type="dxa"/>
            <w:tcBorders>
              <w:top w:val="single" w:sz="4" w:space="0" w:color="365F91"/>
              <w:bottom w:val="single" w:sz="4" w:space="0" w:color="365F91"/>
            </w:tcBorders>
            <w:shd w:val="clear" w:color="auto" w:fill="auto"/>
          </w:tcPr>
          <w:p w14:paraId="3512AD01" w14:textId="77777777" w:rsidR="00333601" w:rsidRPr="00BE78CA" w:rsidRDefault="00333601" w:rsidP="007901C0">
            <w:pPr>
              <w:pStyle w:val="TableText"/>
              <w:spacing w:before="40" w:after="40"/>
              <w:jc w:val="center"/>
            </w:pPr>
            <w:r w:rsidRPr="00BE78CA">
              <w:t>NA</w:t>
            </w:r>
          </w:p>
        </w:tc>
        <w:tc>
          <w:tcPr>
            <w:tcW w:w="992" w:type="dxa"/>
            <w:tcBorders>
              <w:top w:val="single" w:sz="4" w:space="0" w:color="365F91"/>
              <w:bottom w:val="single" w:sz="4" w:space="0" w:color="365F91"/>
            </w:tcBorders>
            <w:shd w:val="clear" w:color="auto" w:fill="auto"/>
          </w:tcPr>
          <w:p w14:paraId="2883CD37" w14:textId="77777777" w:rsidR="00333601" w:rsidRPr="00BE78CA" w:rsidRDefault="00333601" w:rsidP="007901C0">
            <w:pPr>
              <w:pStyle w:val="TableText"/>
              <w:spacing w:before="40" w:after="40"/>
              <w:jc w:val="center"/>
            </w:pPr>
            <w:r w:rsidRPr="00BE78CA">
              <w:t>23.7</w:t>
            </w:r>
          </w:p>
        </w:tc>
        <w:tc>
          <w:tcPr>
            <w:tcW w:w="992" w:type="dxa"/>
            <w:tcBorders>
              <w:top w:val="single" w:sz="4" w:space="0" w:color="365F91"/>
              <w:bottom w:val="single" w:sz="4" w:space="0" w:color="365F91"/>
            </w:tcBorders>
            <w:shd w:val="clear" w:color="auto" w:fill="auto"/>
          </w:tcPr>
          <w:p w14:paraId="63648641" w14:textId="77777777" w:rsidR="00333601" w:rsidRPr="00BE78CA" w:rsidRDefault="00333601" w:rsidP="007901C0">
            <w:pPr>
              <w:pStyle w:val="TableText"/>
              <w:spacing w:before="40" w:after="40"/>
              <w:jc w:val="center"/>
            </w:pPr>
            <w:r w:rsidRPr="00BE78CA">
              <w:t>–713.2</w:t>
            </w:r>
          </w:p>
        </w:tc>
        <w:tc>
          <w:tcPr>
            <w:tcW w:w="1134" w:type="dxa"/>
            <w:tcBorders>
              <w:top w:val="single" w:sz="4" w:space="0" w:color="365F91"/>
              <w:bottom w:val="single" w:sz="4" w:space="0" w:color="365F91"/>
            </w:tcBorders>
            <w:shd w:val="clear" w:color="auto" w:fill="auto"/>
          </w:tcPr>
          <w:p w14:paraId="227F4C33" w14:textId="77777777" w:rsidR="00333601" w:rsidRPr="00BE78CA" w:rsidRDefault="00333601" w:rsidP="007901C0">
            <w:pPr>
              <w:pStyle w:val="TableText"/>
              <w:spacing w:before="40" w:after="40"/>
              <w:jc w:val="center"/>
            </w:pPr>
            <w:r w:rsidRPr="00BE78CA">
              <w:t>–3,108.9</w:t>
            </w:r>
          </w:p>
        </w:tc>
      </w:tr>
      <w:tr w:rsidR="00333601" w:rsidRPr="00BE78CA" w14:paraId="19C2011B" w14:textId="77777777" w:rsidTr="00F273CE">
        <w:tc>
          <w:tcPr>
            <w:tcW w:w="1985" w:type="dxa"/>
            <w:tcBorders>
              <w:top w:val="single" w:sz="4" w:space="0" w:color="365F91"/>
              <w:bottom w:val="single" w:sz="4" w:space="0" w:color="365F91"/>
            </w:tcBorders>
            <w:shd w:val="clear" w:color="auto" w:fill="auto"/>
          </w:tcPr>
          <w:p w14:paraId="3C55F31D" w14:textId="77777777" w:rsidR="00333601" w:rsidRPr="00BE78CA" w:rsidRDefault="00333601" w:rsidP="007901C0">
            <w:pPr>
              <w:pStyle w:val="Tableboldblue"/>
              <w:spacing w:before="40" w:after="40"/>
              <w:jc w:val="right"/>
              <w:rPr>
                <w:rFonts w:eastAsia="Arial"/>
              </w:rPr>
            </w:pPr>
            <w:r w:rsidRPr="00BE78CA">
              <w:rPr>
                <w:rFonts w:eastAsia="Arial"/>
              </w:rPr>
              <w:t>Total</w:t>
            </w:r>
          </w:p>
        </w:tc>
        <w:tc>
          <w:tcPr>
            <w:tcW w:w="1134" w:type="dxa"/>
            <w:tcBorders>
              <w:top w:val="single" w:sz="4" w:space="0" w:color="365F91"/>
              <w:bottom w:val="single" w:sz="4" w:space="0" w:color="365F91"/>
            </w:tcBorders>
            <w:shd w:val="clear" w:color="auto" w:fill="auto"/>
          </w:tcPr>
          <w:p w14:paraId="485C691D" w14:textId="77777777" w:rsidR="00333601" w:rsidRPr="00BE78CA" w:rsidRDefault="00333601" w:rsidP="007901C0">
            <w:pPr>
              <w:pStyle w:val="Tableboldblue"/>
              <w:spacing w:before="40" w:after="40"/>
              <w:jc w:val="center"/>
            </w:pPr>
            <w:r w:rsidRPr="00BE78CA">
              <w:t>9,369,181</w:t>
            </w:r>
          </w:p>
        </w:tc>
        <w:tc>
          <w:tcPr>
            <w:tcW w:w="1134" w:type="dxa"/>
            <w:tcBorders>
              <w:top w:val="single" w:sz="4" w:space="0" w:color="365F91"/>
              <w:bottom w:val="single" w:sz="4" w:space="0" w:color="365F91"/>
            </w:tcBorders>
            <w:shd w:val="clear" w:color="auto" w:fill="auto"/>
          </w:tcPr>
          <w:p w14:paraId="1C39659D" w14:textId="77777777" w:rsidR="00333601" w:rsidRPr="00BE78CA" w:rsidRDefault="00333601" w:rsidP="007901C0">
            <w:pPr>
              <w:pStyle w:val="Tableboldblue"/>
              <w:spacing w:before="40" w:after="40"/>
              <w:jc w:val="center"/>
            </w:pPr>
            <w:r w:rsidRPr="00BE78CA">
              <w:t>9,938,487</w:t>
            </w:r>
          </w:p>
        </w:tc>
        <w:tc>
          <w:tcPr>
            <w:tcW w:w="1134" w:type="dxa"/>
            <w:tcBorders>
              <w:top w:val="single" w:sz="4" w:space="0" w:color="365F91"/>
              <w:bottom w:val="single" w:sz="4" w:space="0" w:color="365F91"/>
            </w:tcBorders>
            <w:shd w:val="clear" w:color="auto" w:fill="auto"/>
          </w:tcPr>
          <w:p w14:paraId="60FBF6F9" w14:textId="77777777" w:rsidR="00333601" w:rsidRPr="00BE78CA" w:rsidRDefault="00333601" w:rsidP="007901C0">
            <w:pPr>
              <w:pStyle w:val="Tableboldblue"/>
              <w:spacing w:before="40" w:after="40"/>
              <w:jc w:val="center"/>
            </w:pPr>
            <w:r w:rsidRPr="00BE78CA">
              <w:t>6.1</w:t>
            </w:r>
          </w:p>
        </w:tc>
        <w:tc>
          <w:tcPr>
            <w:tcW w:w="992" w:type="dxa"/>
            <w:tcBorders>
              <w:top w:val="single" w:sz="4" w:space="0" w:color="365F91"/>
              <w:bottom w:val="single" w:sz="4" w:space="0" w:color="365F91"/>
            </w:tcBorders>
            <w:shd w:val="clear" w:color="auto" w:fill="auto"/>
          </w:tcPr>
          <w:p w14:paraId="3D3E9E7A" w14:textId="77777777" w:rsidR="00333601" w:rsidRPr="00BE78CA" w:rsidRDefault="00333601" w:rsidP="007901C0">
            <w:pPr>
              <w:pStyle w:val="Tableboldblue"/>
              <w:spacing w:before="40" w:after="40"/>
              <w:jc w:val="center"/>
              <w:rPr>
                <w:rFonts w:eastAsia="Arial"/>
              </w:rPr>
            </w:pPr>
            <w:r w:rsidRPr="00BE78CA">
              <w:t>–23,325.3</w:t>
            </w:r>
          </w:p>
        </w:tc>
        <w:tc>
          <w:tcPr>
            <w:tcW w:w="992" w:type="dxa"/>
            <w:tcBorders>
              <w:top w:val="single" w:sz="4" w:space="0" w:color="365F91"/>
              <w:bottom w:val="single" w:sz="4" w:space="0" w:color="365F91"/>
            </w:tcBorders>
            <w:shd w:val="clear" w:color="auto" w:fill="auto"/>
          </w:tcPr>
          <w:p w14:paraId="26527701" w14:textId="77777777" w:rsidR="00333601" w:rsidRPr="00BE78CA" w:rsidRDefault="00333601" w:rsidP="007901C0">
            <w:pPr>
              <w:pStyle w:val="Tableboldblue"/>
              <w:spacing w:before="40" w:after="40"/>
              <w:jc w:val="center"/>
              <w:rPr>
                <w:rFonts w:eastAsia="Arial"/>
              </w:rPr>
            </w:pPr>
            <w:r w:rsidRPr="00BE78CA">
              <w:t>–22,280.4</w:t>
            </w:r>
          </w:p>
        </w:tc>
        <w:tc>
          <w:tcPr>
            <w:tcW w:w="1134" w:type="dxa"/>
            <w:tcBorders>
              <w:top w:val="single" w:sz="4" w:space="0" w:color="365F91"/>
              <w:bottom w:val="single" w:sz="4" w:space="0" w:color="365F91"/>
            </w:tcBorders>
            <w:shd w:val="clear" w:color="auto" w:fill="auto"/>
          </w:tcPr>
          <w:p w14:paraId="44AC1C2F" w14:textId="77777777" w:rsidR="00333601" w:rsidRPr="00BE78CA" w:rsidRDefault="00333601" w:rsidP="007901C0">
            <w:pPr>
              <w:pStyle w:val="Tableboldblue"/>
              <w:spacing w:before="40" w:after="40"/>
              <w:jc w:val="center"/>
              <w:rPr>
                <w:rFonts w:eastAsia="Arial"/>
              </w:rPr>
            </w:pPr>
            <w:r w:rsidRPr="00BE78CA">
              <w:t>4.5</w:t>
            </w:r>
          </w:p>
        </w:tc>
      </w:tr>
    </w:tbl>
    <w:p w14:paraId="42B12DF8" w14:textId="77777777" w:rsidR="00333601" w:rsidRPr="00BE78CA" w:rsidRDefault="00333601" w:rsidP="007901C0">
      <w:pPr>
        <w:pStyle w:val="Noteundertable"/>
        <w:spacing w:after="80"/>
      </w:pPr>
      <w:r w:rsidRPr="00BE78CA">
        <w:rPr>
          <w:b/>
        </w:rPr>
        <w:t>Note:</w:t>
      </w:r>
      <w:r w:rsidRPr="00BE78CA">
        <w:tab/>
        <w:t>NA = not applicable. Net area in 1990 is as at 1 January 1990; net area in 2019 is as at 31 December. Net area values include land in a state of conversion to forest (due to land-use change prior to 1990) and afforestation since 1990. Net emissions estimates are for the whole year indicated. Columns may not total due to rounding. Emissions associated with the conversion of forest to other land uses are reported in the land use category the land is converted to.</w:t>
      </w:r>
    </w:p>
    <w:p w14:paraId="223D4FAC" w14:textId="77777777" w:rsidR="00333601" w:rsidRPr="00BE78CA" w:rsidRDefault="00333601" w:rsidP="007901C0">
      <w:pPr>
        <w:pStyle w:val="BodyText"/>
        <w:spacing w:before="100" w:after="100"/>
      </w:pPr>
      <w:r w:rsidRPr="00BE78CA">
        <w:t>Table 6.4.3 shows New Zealand’s carbon stock change by carbon pool within the</w:t>
      </w:r>
      <w:r w:rsidRPr="00BE78CA">
        <w:rPr>
          <w:rFonts w:cs="Arial"/>
        </w:rPr>
        <w:t xml:space="preserve"> </w:t>
      </w:r>
      <w:r w:rsidRPr="00BE78CA">
        <w:rPr>
          <w:rFonts w:cs="Arial"/>
          <w:i/>
        </w:rPr>
        <w:t>Forest</w:t>
      </w:r>
      <w:r w:rsidRPr="00BE78CA">
        <w:rPr>
          <w:i/>
        </w:rPr>
        <w:t xml:space="preserve"> land</w:t>
      </w:r>
      <w:r w:rsidRPr="00BE78CA">
        <w:t xml:space="preserve"> category from 1990 to 2019. Over this period, the total carbon stock stored in </w:t>
      </w:r>
      <w:r w:rsidRPr="00BE78CA">
        <w:rPr>
          <w:i/>
        </w:rPr>
        <w:t>Forest land</w:t>
      </w:r>
      <w:r w:rsidRPr="00BE78CA">
        <w:t xml:space="preserve"> has increased by 209,425.8 kt C, equivalent to emissions of –767,894.6 tonnes CO</w:t>
      </w:r>
      <w:r w:rsidRPr="00BE78CA">
        <w:rPr>
          <w:vertAlign w:val="subscript"/>
        </w:rPr>
        <w:t>2</w:t>
      </w:r>
      <w:r w:rsidRPr="00BE78CA">
        <w:t xml:space="preserve"> since 1990.</w:t>
      </w:r>
    </w:p>
    <w:p w14:paraId="25264564" w14:textId="77777777" w:rsidR="00333601" w:rsidRPr="00BE78CA" w:rsidRDefault="00333601" w:rsidP="00333601">
      <w:pPr>
        <w:pStyle w:val="Table"/>
      </w:pPr>
      <w:bookmarkStart w:id="1640" w:name="_Toc280630454"/>
      <w:bookmarkStart w:id="1641" w:name="_Toc310423406"/>
      <w:bookmarkStart w:id="1642" w:name="_Toc318362699"/>
      <w:bookmarkStart w:id="1643" w:name="_Toc342470761"/>
      <w:bookmarkStart w:id="1644" w:name="_Toc352505001"/>
      <w:bookmarkStart w:id="1645" w:name="_Toc373395726"/>
      <w:bookmarkStart w:id="1646" w:name="_Toc378853292"/>
      <w:bookmarkStart w:id="1647" w:name="_Toc391024090"/>
      <w:bookmarkStart w:id="1648" w:name="_Toc410028833"/>
      <w:bookmarkStart w:id="1649" w:name="_Toc414531461"/>
      <w:bookmarkStart w:id="1650" w:name="_Toc443645374"/>
      <w:bookmarkStart w:id="1651" w:name="_Toc474914593"/>
      <w:bookmarkStart w:id="1652" w:name="_Toc481751557"/>
      <w:bookmarkStart w:id="1653" w:name="_Toc522010614"/>
      <w:bookmarkStart w:id="1654" w:name="_Toc5269519"/>
      <w:bookmarkStart w:id="1655" w:name="_Toc33529393"/>
      <w:bookmarkStart w:id="1656" w:name="_Toc36224599"/>
      <w:bookmarkStart w:id="1657" w:name="_Toc65243594"/>
      <w:bookmarkStart w:id="1658" w:name="_Toc68786484"/>
      <w:r w:rsidRPr="00BE78CA">
        <w:t>Table 6.4.3</w:t>
      </w:r>
      <w:r w:rsidRPr="00BE78CA">
        <w:tab/>
        <w:t>New Zealand’s net carbon stock change by carbon pool for the</w:t>
      </w:r>
      <w:r w:rsidRPr="00BE78CA">
        <w:rPr>
          <w:rFonts w:cs="Arial"/>
        </w:rPr>
        <w:t xml:space="preserve"> Forest</w:t>
      </w:r>
      <w:r w:rsidRPr="00BE78CA">
        <w:t xml:space="preserve"> land category</w:t>
      </w:r>
      <w:r w:rsidRPr="00BE78CA">
        <w:br/>
        <w:t>from 1990 to</w:t>
      </w:r>
      <w:bookmarkEnd w:id="1640"/>
      <w:bookmarkEnd w:id="1641"/>
      <w:bookmarkEnd w:id="1642"/>
      <w:bookmarkEnd w:id="1643"/>
      <w:bookmarkEnd w:id="1644"/>
      <w:bookmarkEnd w:id="1645"/>
      <w:bookmarkEnd w:id="1646"/>
      <w:bookmarkEnd w:id="1647"/>
      <w:r w:rsidRPr="00BE78CA">
        <w:t> 201</w:t>
      </w:r>
      <w:bookmarkEnd w:id="1648"/>
      <w:bookmarkEnd w:id="1649"/>
      <w:bookmarkEnd w:id="1650"/>
      <w:bookmarkEnd w:id="1651"/>
      <w:bookmarkEnd w:id="1652"/>
      <w:bookmarkEnd w:id="1653"/>
      <w:bookmarkEnd w:id="1654"/>
      <w:bookmarkEnd w:id="1655"/>
      <w:bookmarkEnd w:id="1656"/>
      <w:r w:rsidRPr="00BE78CA">
        <w:t>9</w:t>
      </w:r>
      <w:bookmarkEnd w:id="1657"/>
      <w:bookmarkEnd w:id="1658"/>
    </w:p>
    <w:tbl>
      <w:tblPr>
        <w:tblW w:w="8505" w:type="dxa"/>
        <w:tblBorders>
          <w:bottom w:val="single" w:sz="8" w:space="0" w:color="365F91"/>
        </w:tblBorders>
        <w:tblLayout w:type="fixed"/>
        <w:tblLook w:val="04A0" w:firstRow="1" w:lastRow="0" w:firstColumn="1" w:lastColumn="0" w:noHBand="0" w:noVBand="1"/>
      </w:tblPr>
      <w:tblGrid>
        <w:gridCol w:w="2049"/>
        <w:gridCol w:w="1251"/>
        <w:gridCol w:w="1662"/>
        <w:gridCol w:w="1134"/>
        <w:gridCol w:w="1134"/>
        <w:gridCol w:w="1275"/>
      </w:tblGrid>
      <w:tr w:rsidR="00333601" w:rsidRPr="00BE78CA" w14:paraId="6B283FF9" w14:textId="77777777" w:rsidTr="00E553D1">
        <w:tc>
          <w:tcPr>
            <w:tcW w:w="2049" w:type="dxa"/>
            <w:vMerge w:val="restart"/>
            <w:tcBorders>
              <w:top w:val="single" w:sz="4" w:space="0" w:color="365F91"/>
              <w:bottom w:val="nil"/>
              <w:right w:val="nil"/>
            </w:tcBorders>
            <w:shd w:val="clear" w:color="auto" w:fill="376092"/>
            <w:vAlign w:val="bottom"/>
          </w:tcPr>
          <w:p w14:paraId="4840C0E1" w14:textId="77777777" w:rsidR="00333601" w:rsidRPr="00BE78CA" w:rsidRDefault="00333601" w:rsidP="00C26084">
            <w:pPr>
              <w:pStyle w:val="TableTextBold"/>
              <w:keepNext/>
              <w:spacing w:after="40"/>
              <w:rPr>
                <w:rFonts w:eastAsia="Arial"/>
                <w:noProof w:val="0"/>
                <w:color w:val="FFFFFF"/>
              </w:rPr>
            </w:pPr>
            <w:r w:rsidRPr="00BE78CA">
              <w:rPr>
                <w:rFonts w:eastAsia="Arial"/>
                <w:noProof w:val="0"/>
                <w:color w:val="FFFFFF"/>
              </w:rPr>
              <w:t>Land use</w:t>
            </w:r>
          </w:p>
        </w:tc>
        <w:tc>
          <w:tcPr>
            <w:tcW w:w="5181" w:type="dxa"/>
            <w:gridSpan w:val="4"/>
            <w:tcBorders>
              <w:top w:val="single" w:sz="4" w:space="0" w:color="365F91"/>
              <w:bottom w:val="nil"/>
            </w:tcBorders>
            <w:shd w:val="clear" w:color="auto" w:fill="376092"/>
            <w:vAlign w:val="bottom"/>
          </w:tcPr>
          <w:p w14:paraId="77345060" w14:textId="77777777" w:rsidR="00333601" w:rsidRPr="00BE78CA" w:rsidRDefault="00333601" w:rsidP="00C26084">
            <w:pPr>
              <w:pStyle w:val="TableTextBold"/>
              <w:spacing w:after="0"/>
              <w:jc w:val="center"/>
              <w:rPr>
                <w:rFonts w:eastAsia="Arial"/>
                <w:noProof w:val="0"/>
                <w:color w:val="FFFFFF"/>
              </w:rPr>
            </w:pPr>
            <w:r w:rsidRPr="00BE78CA">
              <w:rPr>
                <w:rFonts w:eastAsia="Arial"/>
                <w:noProof w:val="0"/>
                <w:color w:val="FFFFFF"/>
              </w:rPr>
              <w:br/>
              <w:t>Net carbon stock change 1990–2019 (kt C)</w:t>
            </w:r>
          </w:p>
        </w:tc>
        <w:tc>
          <w:tcPr>
            <w:tcW w:w="1275" w:type="dxa"/>
            <w:vMerge w:val="restart"/>
            <w:tcBorders>
              <w:top w:val="single" w:sz="4" w:space="0" w:color="365F91"/>
              <w:bottom w:val="nil"/>
            </w:tcBorders>
            <w:shd w:val="clear" w:color="auto" w:fill="376092"/>
            <w:vAlign w:val="bottom"/>
          </w:tcPr>
          <w:p w14:paraId="2CFC6E82" w14:textId="77777777" w:rsidR="00333601" w:rsidRPr="00BE78CA" w:rsidRDefault="00333601" w:rsidP="00C26084">
            <w:pPr>
              <w:pStyle w:val="TableTextBold"/>
              <w:spacing w:after="40"/>
              <w:jc w:val="center"/>
              <w:rPr>
                <w:rFonts w:eastAsia="Arial"/>
                <w:noProof w:val="0"/>
                <w:color w:val="FFFFFF"/>
              </w:rPr>
            </w:pPr>
            <w:r w:rsidRPr="00BE78CA">
              <w:rPr>
                <w:rFonts w:eastAsia="Arial"/>
                <w:noProof w:val="0"/>
                <w:color w:val="FFFFFF"/>
              </w:rPr>
              <w:t>Emissions 1990–2019</w:t>
            </w:r>
            <w:r w:rsidRPr="00BE78CA">
              <w:rPr>
                <w:rFonts w:eastAsia="Arial"/>
                <w:noProof w:val="0"/>
                <w:color w:val="FFFFFF"/>
              </w:rPr>
              <w:br/>
              <w:t>(kt CO</w:t>
            </w:r>
            <w:r w:rsidRPr="00BE78CA">
              <w:rPr>
                <w:rFonts w:eastAsia="Arial"/>
                <w:noProof w:val="0"/>
                <w:color w:val="FFFFFF"/>
                <w:vertAlign w:val="subscript"/>
              </w:rPr>
              <w:t>2</w:t>
            </w:r>
            <w:r w:rsidRPr="00BE78CA">
              <w:rPr>
                <w:rFonts w:eastAsia="Arial"/>
                <w:noProof w:val="0"/>
                <w:color w:val="FFFFFF"/>
              </w:rPr>
              <w:t>)</w:t>
            </w:r>
          </w:p>
        </w:tc>
      </w:tr>
      <w:tr w:rsidR="00333601" w:rsidRPr="00BE78CA" w14:paraId="7529503E" w14:textId="77777777" w:rsidTr="00E553D1">
        <w:tc>
          <w:tcPr>
            <w:tcW w:w="2049" w:type="dxa"/>
            <w:vMerge/>
            <w:tcBorders>
              <w:top w:val="nil"/>
              <w:bottom w:val="single" w:sz="4" w:space="0" w:color="365F91"/>
              <w:right w:val="nil"/>
            </w:tcBorders>
            <w:shd w:val="clear" w:color="auto" w:fill="376092"/>
            <w:vAlign w:val="bottom"/>
          </w:tcPr>
          <w:p w14:paraId="022B2FFE" w14:textId="77777777" w:rsidR="00333601" w:rsidRPr="00BE78CA" w:rsidRDefault="00333601" w:rsidP="00C26084">
            <w:pPr>
              <w:pStyle w:val="TableTextBold"/>
              <w:keepNext/>
              <w:spacing w:before="40" w:after="40"/>
              <w:jc w:val="center"/>
              <w:rPr>
                <w:rFonts w:eastAsia="Arial"/>
                <w:noProof w:val="0"/>
                <w:color w:val="FFFFFF"/>
              </w:rPr>
            </w:pPr>
          </w:p>
        </w:tc>
        <w:tc>
          <w:tcPr>
            <w:tcW w:w="1251" w:type="dxa"/>
            <w:tcBorders>
              <w:top w:val="nil"/>
              <w:bottom w:val="single" w:sz="4" w:space="0" w:color="365F91"/>
            </w:tcBorders>
            <w:shd w:val="clear" w:color="auto" w:fill="376092"/>
            <w:vAlign w:val="bottom"/>
          </w:tcPr>
          <w:p w14:paraId="4DDCD28D" w14:textId="77777777" w:rsidR="00333601" w:rsidRPr="00BE78CA" w:rsidRDefault="00333601" w:rsidP="00C26084">
            <w:pPr>
              <w:pStyle w:val="TableTextBold"/>
              <w:spacing w:before="40" w:after="40"/>
              <w:jc w:val="center"/>
              <w:rPr>
                <w:rFonts w:eastAsia="Arial"/>
                <w:noProof w:val="0"/>
                <w:color w:val="FFFFFF"/>
              </w:rPr>
            </w:pPr>
            <w:r w:rsidRPr="00BE78CA">
              <w:rPr>
                <w:rFonts w:eastAsia="Arial"/>
                <w:noProof w:val="0"/>
                <w:color w:val="FFFFFF"/>
              </w:rPr>
              <w:t>Living biomass</w:t>
            </w:r>
          </w:p>
        </w:tc>
        <w:tc>
          <w:tcPr>
            <w:tcW w:w="1662" w:type="dxa"/>
            <w:tcBorders>
              <w:top w:val="nil"/>
              <w:bottom w:val="single" w:sz="4" w:space="0" w:color="365F91"/>
            </w:tcBorders>
            <w:shd w:val="clear" w:color="auto" w:fill="376092"/>
            <w:vAlign w:val="bottom"/>
          </w:tcPr>
          <w:p w14:paraId="2B865CAB" w14:textId="77777777" w:rsidR="00333601" w:rsidRPr="00BE78CA" w:rsidRDefault="00333601" w:rsidP="00C26084">
            <w:pPr>
              <w:pStyle w:val="TableTextBold"/>
              <w:spacing w:before="40" w:after="40"/>
              <w:jc w:val="center"/>
              <w:rPr>
                <w:rFonts w:eastAsia="Arial"/>
                <w:noProof w:val="0"/>
                <w:color w:val="FFFFFF"/>
              </w:rPr>
            </w:pPr>
            <w:r w:rsidRPr="00BE78CA">
              <w:rPr>
                <w:rFonts w:eastAsia="Arial"/>
                <w:noProof w:val="0"/>
                <w:color w:val="FFFFFF"/>
              </w:rPr>
              <w:t>Dead organic matter</w:t>
            </w:r>
          </w:p>
        </w:tc>
        <w:tc>
          <w:tcPr>
            <w:tcW w:w="1134" w:type="dxa"/>
            <w:tcBorders>
              <w:top w:val="nil"/>
              <w:bottom w:val="single" w:sz="4" w:space="0" w:color="365F91"/>
            </w:tcBorders>
            <w:shd w:val="clear" w:color="auto" w:fill="376092"/>
            <w:vAlign w:val="bottom"/>
          </w:tcPr>
          <w:p w14:paraId="5C9DD6C0" w14:textId="77777777" w:rsidR="00333601" w:rsidRPr="00BE78CA" w:rsidRDefault="00333601" w:rsidP="00C26084">
            <w:pPr>
              <w:pStyle w:val="TableTextBold"/>
              <w:spacing w:before="40" w:after="40"/>
              <w:jc w:val="center"/>
              <w:rPr>
                <w:rFonts w:eastAsia="Arial"/>
                <w:noProof w:val="0"/>
                <w:color w:val="FFFFFF"/>
              </w:rPr>
            </w:pPr>
            <w:r w:rsidRPr="00BE78CA">
              <w:rPr>
                <w:rFonts w:eastAsia="Arial"/>
                <w:noProof w:val="0"/>
                <w:color w:val="FFFFFF"/>
              </w:rPr>
              <w:t>Soils</w:t>
            </w:r>
          </w:p>
        </w:tc>
        <w:tc>
          <w:tcPr>
            <w:tcW w:w="1134" w:type="dxa"/>
            <w:tcBorders>
              <w:top w:val="nil"/>
              <w:bottom w:val="single" w:sz="4" w:space="0" w:color="365F91"/>
            </w:tcBorders>
            <w:shd w:val="clear" w:color="auto" w:fill="376092"/>
            <w:vAlign w:val="bottom"/>
          </w:tcPr>
          <w:p w14:paraId="2E445A4B" w14:textId="77777777" w:rsidR="00333601" w:rsidRPr="00BE78CA" w:rsidRDefault="00333601" w:rsidP="00C26084">
            <w:pPr>
              <w:pStyle w:val="TableTextBold"/>
              <w:spacing w:before="40" w:after="40"/>
              <w:jc w:val="center"/>
              <w:rPr>
                <w:rFonts w:eastAsia="Arial"/>
                <w:noProof w:val="0"/>
                <w:color w:val="FFFFFF"/>
              </w:rPr>
            </w:pPr>
            <w:r w:rsidRPr="00BE78CA">
              <w:rPr>
                <w:rFonts w:eastAsia="Arial"/>
                <w:noProof w:val="0"/>
                <w:color w:val="FFFFFF"/>
              </w:rPr>
              <w:t>Total</w:t>
            </w:r>
          </w:p>
        </w:tc>
        <w:tc>
          <w:tcPr>
            <w:tcW w:w="1275" w:type="dxa"/>
            <w:vMerge/>
            <w:tcBorders>
              <w:top w:val="nil"/>
              <w:bottom w:val="single" w:sz="4" w:space="0" w:color="365F91"/>
            </w:tcBorders>
            <w:shd w:val="clear" w:color="auto" w:fill="376092"/>
            <w:vAlign w:val="bottom"/>
          </w:tcPr>
          <w:p w14:paraId="0F48C139" w14:textId="77777777" w:rsidR="00333601" w:rsidRPr="00BE78CA" w:rsidRDefault="00333601" w:rsidP="00C26084">
            <w:pPr>
              <w:pStyle w:val="TableTextBold"/>
              <w:spacing w:before="40" w:after="40"/>
              <w:jc w:val="center"/>
              <w:rPr>
                <w:rFonts w:eastAsia="Arial"/>
                <w:noProof w:val="0"/>
                <w:color w:val="FFFFFF"/>
              </w:rPr>
            </w:pPr>
          </w:p>
        </w:tc>
      </w:tr>
      <w:tr w:rsidR="00333601" w:rsidRPr="00BE78CA" w14:paraId="09078A7E" w14:textId="77777777" w:rsidTr="00E553D1">
        <w:tc>
          <w:tcPr>
            <w:tcW w:w="2049" w:type="dxa"/>
            <w:tcBorders>
              <w:top w:val="single" w:sz="4" w:space="0" w:color="365F91"/>
              <w:bottom w:val="single" w:sz="4" w:space="0" w:color="365F91"/>
              <w:right w:val="nil"/>
            </w:tcBorders>
            <w:shd w:val="clear" w:color="auto" w:fill="auto"/>
          </w:tcPr>
          <w:p w14:paraId="4CF83EA1" w14:textId="77777777" w:rsidR="00333601" w:rsidRPr="00BE78CA" w:rsidRDefault="00333601" w:rsidP="007901C0">
            <w:pPr>
              <w:pStyle w:val="TableText"/>
              <w:spacing w:before="40" w:after="40"/>
              <w:rPr>
                <w:rFonts w:eastAsia="Arial"/>
              </w:rPr>
            </w:pPr>
            <w:r w:rsidRPr="00BE78CA">
              <w:rPr>
                <w:rFonts w:eastAsia="Arial"/>
              </w:rPr>
              <w:t>Pre-1990 natural forest</w:t>
            </w:r>
          </w:p>
        </w:tc>
        <w:tc>
          <w:tcPr>
            <w:tcW w:w="1251" w:type="dxa"/>
            <w:tcBorders>
              <w:top w:val="single" w:sz="4" w:space="0" w:color="365F91"/>
              <w:bottom w:val="single" w:sz="4" w:space="0" w:color="365F91"/>
            </w:tcBorders>
            <w:shd w:val="clear" w:color="auto" w:fill="auto"/>
          </w:tcPr>
          <w:p w14:paraId="6A8773BD" w14:textId="77777777" w:rsidR="00333601" w:rsidRPr="00BE78CA" w:rsidRDefault="00333601" w:rsidP="007901C0">
            <w:pPr>
              <w:pStyle w:val="TableText"/>
              <w:spacing w:before="40" w:after="40"/>
              <w:jc w:val="center"/>
              <w:rPr>
                <w:rFonts w:eastAsia="Arial"/>
              </w:rPr>
            </w:pPr>
            <w:r w:rsidRPr="00BE78CA">
              <w:t>19,602.0</w:t>
            </w:r>
          </w:p>
        </w:tc>
        <w:tc>
          <w:tcPr>
            <w:tcW w:w="1662" w:type="dxa"/>
            <w:tcBorders>
              <w:top w:val="single" w:sz="4" w:space="0" w:color="365F91"/>
              <w:bottom w:val="single" w:sz="4" w:space="0" w:color="365F91"/>
            </w:tcBorders>
            <w:shd w:val="clear" w:color="auto" w:fill="auto"/>
          </w:tcPr>
          <w:p w14:paraId="696FFDE9" w14:textId="77777777" w:rsidR="00333601" w:rsidRPr="00BE78CA" w:rsidRDefault="00333601" w:rsidP="007901C0">
            <w:pPr>
              <w:pStyle w:val="TableText"/>
              <w:spacing w:before="40" w:after="40"/>
              <w:jc w:val="center"/>
              <w:rPr>
                <w:rFonts w:eastAsia="Arial"/>
              </w:rPr>
            </w:pPr>
            <w:r w:rsidRPr="00BE78CA">
              <w:t>2,148.3</w:t>
            </w:r>
          </w:p>
        </w:tc>
        <w:tc>
          <w:tcPr>
            <w:tcW w:w="1134" w:type="dxa"/>
            <w:tcBorders>
              <w:top w:val="single" w:sz="4" w:space="0" w:color="365F91"/>
              <w:bottom w:val="single" w:sz="4" w:space="0" w:color="365F91"/>
            </w:tcBorders>
            <w:shd w:val="clear" w:color="auto" w:fill="auto"/>
          </w:tcPr>
          <w:p w14:paraId="086CD533" w14:textId="77777777" w:rsidR="00333601" w:rsidRPr="00BE78CA" w:rsidRDefault="00333601" w:rsidP="007901C0">
            <w:pPr>
              <w:pStyle w:val="TableText"/>
              <w:spacing w:before="40" w:after="40"/>
              <w:jc w:val="center"/>
              <w:rPr>
                <w:rFonts w:eastAsia="Arial"/>
              </w:rPr>
            </w:pPr>
            <w:r w:rsidRPr="00BE78CA">
              <w:t>–135.0</w:t>
            </w:r>
          </w:p>
        </w:tc>
        <w:tc>
          <w:tcPr>
            <w:tcW w:w="1134" w:type="dxa"/>
            <w:tcBorders>
              <w:top w:val="single" w:sz="4" w:space="0" w:color="365F91"/>
              <w:bottom w:val="single" w:sz="4" w:space="0" w:color="365F91"/>
            </w:tcBorders>
            <w:shd w:val="clear" w:color="auto" w:fill="auto"/>
          </w:tcPr>
          <w:p w14:paraId="523BBB2D" w14:textId="77777777" w:rsidR="00333601" w:rsidRPr="00BE78CA" w:rsidRDefault="00333601" w:rsidP="007901C0">
            <w:pPr>
              <w:pStyle w:val="TableText"/>
              <w:spacing w:before="40" w:after="40"/>
              <w:jc w:val="center"/>
              <w:rPr>
                <w:rFonts w:eastAsia="Arial"/>
              </w:rPr>
            </w:pPr>
            <w:r w:rsidRPr="00BE78CA">
              <w:t>21,615.3</w:t>
            </w:r>
          </w:p>
        </w:tc>
        <w:tc>
          <w:tcPr>
            <w:tcW w:w="1275" w:type="dxa"/>
            <w:tcBorders>
              <w:top w:val="single" w:sz="4" w:space="0" w:color="365F91"/>
              <w:bottom w:val="single" w:sz="4" w:space="0" w:color="365F91"/>
            </w:tcBorders>
            <w:shd w:val="clear" w:color="auto" w:fill="auto"/>
          </w:tcPr>
          <w:p w14:paraId="58888949" w14:textId="77777777" w:rsidR="00333601" w:rsidRPr="00BE78CA" w:rsidRDefault="00333601" w:rsidP="007901C0">
            <w:pPr>
              <w:pStyle w:val="TableText"/>
              <w:spacing w:before="40" w:after="40"/>
              <w:jc w:val="center"/>
              <w:rPr>
                <w:rFonts w:eastAsia="Arial"/>
              </w:rPr>
            </w:pPr>
            <w:r w:rsidRPr="00BE78CA">
              <w:t>–79,256.0</w:t>
            </w:r>
          </w:p>
        </w:tc>
      </w:tr>
      <w:tr w:rsidR="00333601" w:rsidRPr="00BE78CA" w14:paraId="406D5AF9" w14:textId="77777777" w:rsidTr="00E553D1">
        <w:tc>
          <w:tcPr>
            <w:tcW w:w="2049" w:type="dxa"/>
            <w:tcBorders>
              <w:top w:val="single" w:sz="4" w:space="0" w:color="365F91"/>
              <w:bottom w:val="single" w:sz="4" w:space="0" w:color="365F91"/>
              <w:right w:val="nil"/>
            </w:tcBorders>
            <w:shd w:val="clear" w:color="auto" w:fill="auto"/>
          </w:tcPr>
          <w:p w14:paraId="0158B681" w14:textId="77777777" w:rsidR="00333601" w:rsidRPr="00BE78CA" w:rsidRDefault="00333601" w:rsidP="007901C0">
            <w:pPr>
              <w:pStyle w:val="TableText"/>
              <w:spacing w:before="40" w:after="40"/>
              <w:rPr>
                <w:rFonts w:eastAsia="Arial"/>
              </w:rPr>
            </w:pPr>
            <w:r w:rsidRPr="00BE78CA">
              <w:rPr>
                <w:rFonts w:eastAsia="Arial"/>
              </w:rPr>
              <w:t>Pre-1990 planted forest</w:t>
            </w:r>
          </w:p>
        </w:tc>
        <w:tc>
          <w:tcPr>
            <w:tcW w:w="1251" w:type="dxa"/>
            <w:tcBorders>
              <w:top w:val="single" w:sz="4" w:space="0" w:color="365F91"/>
              <w:bottom w:val="single" w:sz="4" w:space="0" w:color="365F91"/>
            </w:tcBorders>
            <w:shd w:val="clear" w:color="auto" w:fill="auto"/>
          </w:tcPr>
          <w:p w14:paraId="435E2537" w14:textId="77777777" w:rsidR="00333601" w:rsidRPr="00BE78CA" w:rsidRDefault="00333601" w:rsidP="007901C0">
            <w:pPr>
              <w:pStyle w:val="TableText"/>
              <w:spacing w:before="40" w:after="40"/>
              <w:jc w:val="center"/>
              <w:rPr>
                <w:rFonts w:eastAsia="Arial"/>
              </w:rPr>
            </w:pPr>
            <w:r w:rsidRPr="00BE78CA">
              <w:t>88,422.1</w:t>
            </w:r>
          </w:p>
        </w:tc>
        <w:tc>
          <w:tcPr>
            <w:tcW w:w="1662" w:type="dxa"/>
            <w:tcBorders>
              <w:top w:val="single" w:sz="4" w:space="0" w:color="365F91"/>
              <w:bottom w:val="single" w:sz="4" w:space="0" w:color="365F91"/>
            </w:tcBorders>
            <w:shd w:val="clear" w:color="auto" w:fill="auto"/>
          </w:tcPr>
          <w:p w14:paraId="0DC68B39" w14:textId="77777777" w:rsidR="00333601" w:rsidRPr="00BE78CA" w:rsidRDefault="00333601" w:rsidP="007901C0">
            <w:pPr>
              <w:pStyle w:val="TableText"/>
              <w:spacing w:before="40" w:after="40"/>
              <w:jc w:val="center"/>
              <w:rPr>
                <w:rFonts w:eastAsia="Arial"/>
              </w:rPr>
            </w:pPr>
            <w:r w:rsidRPr="00BE78CA">
              <w:t>16,207.6</w:t>
            </w:r>
          </w:p>
        </w:tc>
        <w:tc>
          <w:tcPr>
            <w:tcW w:w="1134" w:type="dxa"/>
            <w:tcBorders>
              <w:top w:val="single" w:sz="4" w:space="0" w:color="365F91"/>
              <w:bottom w:val="single" w:sz="4" w:space="0" w:color="365F91"/>
            </w:tcBorders>
            <w:shd w:val="clear" w:color="auto" w:fill="auto"/>
          </w:tcPr>
          <w:p w14:paraId="14D7B94A" w14:textId="77777777" w:rsidR="00333601" w:rsidRPr="00BE78CA" w:rsidRDefault="00333601" w:rsidP="007901C0">
            <w:pPr>
              <w:pStyle w:val="TableText"/>
              <w:spacing w:before="40" w:after="40"/>
              <w:jc w:val="center"/>
              <w:rPr>
                <w:rFonts w:eastAsia="Arial"/>
              </w:rPr>
            </w:pPr>
            <w:r w:rsidRPr="00BE78CA">
              <w:t>–4,237.9</w:t>
            </w:r>
          </w:p>
        </w:tc>
        <w:tc>
          <w:tcPr>
            <w:tcW w:w="1134" w:type="dxa"/>
            <w:tcBorders>
              <w:top w:val="single" w:sz="4" w:space="0" w:color="365F91"/>
              <w:bottom w:val="single" w:sz="4" w:space="0" w:color="365F91"/>
            </w:tcBorders>
            <w:shd w:val="clear" w:color="auto" w:fill="auto"/>
          </w:tcPr>
          <w:p w14:paraId="32EC0C79" w14:textId="77777777" w:rsidR="00333601" w:rsidRPr="00BE78CA" w:rsidRDefault="00333601" w:rsidP="007901C0">
            <w:pPr>
              <w:pStyle w:val="TableText"/>
              <w:spacing w:before="40" w:after="40"/>
              <w:jc w:val="center"/>
              <w:rPr>
                <w:rFonts w:eastAsia="Arial"/>
              </w:rPr>
            </w:pPr>
            <w:r w:rsidRPr="00BE78CA">
              <w:t>100,391.8</w:t>
            </w:r>
          </w:p>
        </w:tc>
        <w:tc>
          <w:tcPr>
            <w:tcW w:w="1275" w:type="dxa"/>
            <w:tcBorders>
              <w:top w:val="single" w:sz="4" w:space="0" w:color="365F91"/>
              <w:bottom w:val="single" w:sz="4" w:space="0" w:color="365F91"/>
            </w:tcBorders>
            <w:shd w:val="clear" w:color="auto" w:fill="auto"/>
          </w:tcPr>
          <w:p w14:paraId="24A74777" w14:textId="77777777" w:rsidR="00333601" w:rsidRPr="00BE78CA" w:rsidRDefault="00333601" w:rsidP="007901C0">
            <w:pPr>
              <w:pStyle w:val="TableText"/>
              <w:spacing w:before="40" w:after="40"/>
              <w:jc w:val="center"/>
              <w:rPr>
                <w:rFonts w:eastAsia="Arial"/>
              </w:rPr>
            </w:pPr>
            <w:r w:rsidRPr="00BE78CA">
              <w:t>–368,103.2</w:t>
            </w:r>
          </w:p>
        </w:tc>
      </w:tr>
      <w:tr w:rsidR="00333601" w:rsidRPr="00BE78CA" w14:paraId="282D82CD" w14:textId="77777777" w:rsidTr="00E553D1">
        <w:tc>
          <w:tcPr>
            <w:tcW w:w="2049" w:type="dxa"/>
            <w:tcBorders>
              <w:top w:val="single" w:sz="4" w:space="0" w:color="365F91"/>
              <w:bottom w:val="single" w:sz="4" w:space="0" w:color="365F91"/>
              <w:right w:val="nil"/>
            </w:tcBorders>
            <w:shd w:val="clear" w:color="auto" w:fill="auto"/>
          </w:tcPr>
          <w:p w14:paraId="3E47EBE2" w14:textId="77777777" w:rsidR="00333601" w:rsidRPr="00BE78CA" w:rsidRDefault="00333601" w:rsidP="007901C0">
            <w:pPr>
              <w:pStyle w:val="TableText"/>
              <w:spacing w:before="40" w:after="40"/>
              <w:rPr>
                <w:rFonts w:eastAsia="Arial"/>
              </w:rPr>
            </w:pPr>
            <w:r w:rsidRPr="00BE78CA">
              <w:rPr>
                <w:rFonts w:eastAsia="Arial"/>
              </w:rPr>
              <w:t xml:space="preserve">Post-1989 planted forest </w:t>
            </w:r>
          </w:p>
        </w:tc>
        <w:tc>
          <w:tcPr>
            <w:tcW w:w="1251" w:type="dxa"/>
            <w:tcBorders>
              <w:top w:val="single" w:sz="4" w:space="0" w:color="365F91"/>
              <w:bottom w:val="single" w:sz="4" w:space="0" w:color="365F91"/>
            </w:tcBorders>
            <w:shd w:val="clear" w:color="auto" w:fill="auto"/>
          </w:tcPr>
          <w:p w14:paraId="68310661" w14:textId="77777777" w:rsidR="00333601" w:rsidRPr="00BE78CA" w:rsidRDefault="00333601" w:rsidP="007901C0">
            <w:pPr>
              <w:pStyle w:val="TableText"/>
              <w:spacing w:before="40" w:after="40"/>
              <w:jc w:val="center"/>
              <w:rPr>
                <w:rFonts w:eastAsia="Arial"/>
              </w:rPr>
            </w:pPr>
            <w:r w:rsidRPr="00BE78CA">
              <w:t>80,698.5</w:t>
            </w:r>
          </w:p>
        </w:tc>
        <w:tc>
          <w:tcPr>
            <w:tcW w:w="1662" w:type="dxa"/>
            <w:tcBorders>
              <w:top w:val="single" w:sz="4" w:space="0" w:color="365F91"/>
              <w:bottom w:val="single" w:sz="4" w:space="0" w:color="365F91"/>
            </w:tcBorders>
            <w:shd w:val="clear" w:color="auto" w:fill="auto"/>
          </w:tcPr>
          <w:p w14:paraId="3BCEA9CE" w14:textId="77777777" w:rsidR="00333601" w:rsidRPr="00BE78CA" w:rsidRDefault="00333601" w:rsidP="007901C0">
            <w:pPr>
              <w:pStyle w:val="TableText"/>
              <w:spacing w:before="40" w:after="40"/>
              <w:jc w:val="center"/>
              <w:rPr>
                <w:rFonts w:eastAsia="Arial"/>
              </w:rPr>
            </w:pPr>
            <w:r w:rsidRPr="00BE78CA">
              <w:t>12,067.7</w:t>
            </w:r>
          </w:p>
        </w:tc>
        <w:tc>
          <w:tcPr>
            <w:tcW w:w="1134" w:type="dxa"/>
            <w:tcBorders>
              <w:top w:val="single" w:sz="4" w:space="0" w:color="365F91"/>
              <w:bottom w:val="single" w:sz="4" w:space="0" w:color="365F91"/>
            </w:tcBorders>
            <w:shd w:val="clear" w:color="auto" w:fill="auto"/>
          </w:tcPr>
          <w:p w14:paraId="02551344" w14:textId="77777777" w:rsidR="00333601" w:rsidRPr="00BE78CA" w:rsidRDefault="00333601" w:rsidP="007901C0">
            <w:pPr>
              <w:pStyle w:val="TableText"/>
              <w:spacing w:before="40" w:after="40"/>
              <w:jc w:val="center"/>
              <w:rPr>
                <w:rFonts w:eastAsia="Arial"/>
              </w:rPr>
            </w:pPr>
            <w:r w:rsidRPr="00BE78CA">
              <w:t>–7,257.7</w:t>
            </w:r>
          </w:p>
        </w:tc>
        <w:tc>
          <w:tcPr>
            <w:tcW w:w="1134" w:type="dxa"/>
            <w:tcBorders>
              <w:top w:val="single" w:sz="4" w:space="0" w:color="365F91"/>
              <w:bottom w:val="single" w:sz="4" w:space="0" w:color="365F91"/>
            </w:tcBorders>
            <w:shd w:val="clear" w:color="auto" w:fill="auto"/>
          </w:tcPr>
          <w:p w14:paraId="14D0B980" w14:textId="77777777" w:rsidR="00333601" w:rsidRPr="00BE78CA" w:rsidRDefault="00333601" w:rsidP="007901C0">
            <w:pPr>
              <w:pStyle w:val="TableText"/>
              <w:spacing w:before="40" w:after="40"/>
              <w:jc w:val="center"/>
              <w:rPr>
                <w:rFonts w:eastAsia="Arial"/>
              </w:rPr>
            </w:pPr>
            <w:r w:rsidRPr="00BE78CA">
              <w:t>85,508.4</w:t>
            </w:r>
          </w:p>
        </w:tc>
        <w:tc>
          <w:tcPr>
            <w:tcW w:w="1275" w:type="dxa"/>
            <w:tcBorders>
              <w:top w:val="single" w:sz="4" w:space="0" w:color="365F91"/>
              <w:bottom w:val="single" w:sz="4" w:space="0" w:color="365F91"/>
            </w:tcBorders>
            <w:shd w:val="clear" w:color="auto" w:fill="auto"/>
          </w:tcPr>
          <w:p w14:paraId="266913E8" w14:textId="77777777" w:rsidR="00333601" w:rsidRPr="00BE78CA" w:rsidRDefault="00333601" w:rsidP="007901C0">
            <w:pPr>
              <w:pStyle w:val="TableText"/>
              <w:spacing w:before="40" w:after="40"/>
              <w:jc w:val="center"/>
              <w:rPr>
                <w:rFonts w:eastAsia="Arial"/>
              </w:rPr>
            </w:pPr>
            <w:r w:rsidRPr="00BE78CA">
              <w:t>–313,530.7</w:t>
            </w:r>
          </w:p>
        </w:tc>
      </w:tr>
      <w:tr w:rsidR="00333601" w:rsidRPr="00BE78CA" w14:paraId="0B293C01" w14:textId="77777777" w:rsidTr="00E553D1">
        <w:tc>
          <w:tcPr>
            <w:tcW w:w="2049" w:type="dxa"/>
            <w:tcBorders>
              <w:top w:val="single" w:sz="4" w:space="0" w:color="365F91"/>
              <w:bottom w:val="single" w:sz="4" w:space="0" w:color="365F91"/>
              <w:right w:val="nil"/>
            </w:tcBorders>
            <w:shd w:val="clear" w:color="auto" w:fill="auto"/>
          </w:tcPr>
          <w:p w14:paraId="74FFABF1" w14:textId="77777777" w:rsidR="00333601" w:rsidRPr="00BE78CA" w:rsidRDefault="00333601" w:rsidP="007901C0">
            <w:pPr>
              <w:pStyle w:val="TableText"/>
              <w:spacing w:before="40" w:after="40"/>
              <w:rPr>
                <w:rFonts w:eastAsia="Arial"/>
              </w:rPr>
            </w:pPr>
            <w:r w:rsidRPr="00BE78CA">
              <w:rPr>
                <w:rFonts w:eastAsia="Arial"/>
              </w:rPr>
              <w:t>Post-1989 natural forest</w:t>
            </w:r>
          </w:p>
        </w:tc>
        <w:tc>
          <w:tcPr>
            <w:tcW w:w="1251" w:type="dxa"/>
            <w:tcBorders>
              <w:top w:val="single" w:sz="4" w:space="0" w:color="365F91"/>
              <w:bottom w:val="single" w:sz="4" w:space="0" w:color="365F91"/>
            </w:tcBorders>
            <w:shd w:val="clear" w:color="auto" w:fill="auto"/>
          </w:tcPr>
          <w:p w14:paraId="0F74229B" w14:textId="77777777" w:rsidR="00333601" w:rsidRPr="00BE78CA" w:rsidRDefault="00333601" w:rsidP="007901C0">
            <w:pPr>
              <w:pStyle w:val="TableText"/>
              <w:spacing w:before="40" w:after="40"/>
              <w:jc w:val="center"/>
            </w:pPr>
            <w:r w:rsidRPr="00BE78CA">
              <w:t>2,481.0</w:t>
            </w:r>
          </w:p>
        </w:tc>
        <w:tc>
          <w:tcPr>
            <w:tcW w:w="1662" w:type="dxa"/>
            <w:tcBorders>
              <w:top w:val="single" w:sz="4" w:space="0" w:color="365F91"/>
              <w:bottom w:val="single" w:sz="4" w:space="0" w:color="365F91"/>
            </w:tcBorders>
            <w:shd w:val="clear" w:color="auto" w:fill="auto"/>
          </w:tcPr>
          <w:p w14:paraId="75605711" w14:textId="77777777" w:rsidR="00333601" w:rsidRPr="00BE78CA" w:rsidRDefault="00333601" w:rsidP="007901C0">
            <w:pPr>
              <w:pStyle w:val="TableText"/>
              <w:spacing w:before="40" w:after="40"/>
              <w:jc w:val="center"/>
            </w:pPr>
            <w:r w:rsidRPr="00BE78CA">
              <w:t>16.7</w:t>
            </w:r>
          </w:p>
        </w:tc>
        <w:tc>
          <w:tcPr>
            <w:tcW w:w="1134" w:type="dxa"/>
            <w:tcBorders>
              <w:top w:val="single" w:sz="4" w:space="0" w:color="365F91"/>
              <w:bottom w:val="single" w:sz="4" w:space="0" w:color="365F91"/>
            </w:tcBorders>
            <w:shd w:val="clear" w:color="auto" w:fill="auto"/>
          </w:tcPr>
          <w:p w14:paraId="0BF92150" w14:textId="77777777" w:rsidR="00333601" w:rsidRPr="00BE78CA" w:rsidRDefault="00333601" w:rsidP="007901C0">
            <w:pPr>
              <w:pStyle w:val="TableText"/>
              <w:spacing w:before="40" w:after="40"/>
              <w:jc w:val="center"/>
            </w:pPr>
            <w:r w:rsidRPr="00BE78CA">
              <w:t>–587.4</w:t>
            </w:r>
          </w:p>
        </w:tc>
        <w:tc>
          <w:tcPr>
            <w:tcW w:w="1134" w:type="dxa"/>
            <w:tcBorders>
              <w:top w:val="single" w:sz="4" w:space="0" w:color="365F91"/>
              <w:bottom w:val="single" w:sz="4" w:space="0" w:color="365F91"/>
            </w:tcBorders>
            <w:shd w:val="clear" w:color="auto" w:fill="auto"/>
          </w:tcPr>
          <w:p w14:paraId="6F7FB088" w14:textId="77777777" w:rsidR="00333601" w:rsidRPr="00BE78CA" w:rsidRDefault="00333601" w:rsidP="007901C0">
            <w:pPr>
              <w:pStyle w:val="TableText"/>
              <w:spacing w:before="40" w:after="40"/>
              <w:jc w:val="center"/>
            </w:pPr>
            <w:r w:rsidRPr="00BE78CA">
              <w:t>1,910.4</w:t>
            </w:r>
          </w:p>
        </w:tc>
        <w:tc>
          <w:tcPr>
            <w:tcW w:w="1275" w:type="dxa"/>
            <w:tcBorders>
              <w:top w:val="single" w:sz="4" w:space="0" w:color="365F91"/>
              <w:bottom w:val="single" w:sz="4" w:space="0" w:color="365F91"/>
            </w:tcBorders>
            <w:shd w:val="clear" w:color="auto" w:fill="auto"/>
          </w:tcPr>
          <w:p w14:paraId="10A453A3" w14:textId="77777777" w:rsidR="00333601" w:rsidRPr="00BE78CA" w:rsidRDefault="00333601" w:rsidP="007901C0">
            <w:pPr>
              <w:pStyle w:val="TableText"/>
              <w:spacing w:before="40" w:after="40"/>
              <w:jc w:val="center"/>
            </w:pPr>
            <w:r w:rsidRPr="00BE78CA">
              <w:t>–7,004.6</w:t>
            </w:r>
          </w:p>
        </w:tc>
      </w:tr>
      <w:tr w:rsidR="00333601" w:rsidRPr="00BE78CA" w14:paraId="75654DEB" w14:textId="77777777" w:rsidTr="00E553D1">
        <w:tc>
          <w:tcPr>
            <w:tcW w:w="2049" w:type="dxa"/>
            <w:tcBorders>
              <w:top w:val="single" w:sz="4" w:space="0" w:color="365F91"/>
              <w:bottom w:val="single" w:sz="4" w:space="0" w:color="365F91"/>
              <w:right w:val="nil"/>
            </w:tcBorders>
            <w:shd w:val="clear" w:color="auto" w:fill="auto"/>
          </w:tcPr>
          <w:p w14:paraId="47EFB726" w14:textId="77777777" w:rsidR="00333601" w:rsidRPr="00BE78CA" w:rsidRDefault="00333601" w:rsidP="007901C0">
            <w:pPr>
              <w:pStyle w:val="Tableboldblue"/>
              <w:spacing w:before="40" w:after="40"/>
              <w:jc w:val="right"/>
              <w:rPr>
                <w:rFonts w:eastAsia="Arial"/>
              </w:rPr>
            </w:pPr>
            <w:r w:rsidRPr="00BE78CA">
              <w:rPr>
                <w:rFonts w:eastAsia="Arial"/>
              </w:rPr>
              <w:t>Total</w:t>
            </w:r>
          </w:p>
        </w:tc>
        <w:tc>
          <w:tcPr>
            <w:tcW w:w="1251" w:type="dxa"/>
            <w:tcBorders>
              <w:top w:val="single" w:sz="4" w:space="0" w:color="365F91"/>
              <w:bottom w:val="single" w:sz="4" w:space="0" w:color="365F91"/>
            </w:tcBorders>
            <w:shd w:val="clear" w:color="auto" w:fill="auto"/>
          </w:tcPr>
          <w:p w14:paraId="5251FCE7" w14:textId="77777777" w:rsidR="00333601" w:rsidRPr="00BE78CA" w:rsidRDefault="00333601" w:rsidP="007901C0">
            <w:pPr>
              <w:pStyle w:val="Tableboldblue"/>
              <w:spacing w:before="40" w:after="40"/>
              <w:jc w:val="center"/>
              <w:rPr>
                <w:rFonts w:eastAsia="Arial"/>
              </w:rPr>
            </w:pPr>
            <w:r w:rsidRPr="00BE78CA">
              <w:t>191,203.6</w:t>
            </w:r>
          </w:p>
        </w:tc>
        <w:tc>
          <w:tcPr>
            <w:tcW w:w="1662" w:type="dxa"/>
            <w:tcBorders>
              <w:top w:val="single" w:sz="4" w:space="0" w:color="365F91"/>
              <w:bottom w:val="single" w:sz="4" w:space="0" w:color="365F91"/>
            </w:tcBorders>
            <w:shd w:val="clear" w:color="auto" w:fill="auto"/>
          </w:tcPr>
          <w:p w14:paraId="2E600A6D" w14:textId="77777777" w:rsidR="00333601" w:rsidRPr="00BE78CA" w:rsidRDefault="00333601" w:rsidP="007901C0">
            <w:pPr>
              <w:pStyle w:val="Tableboldblue"/>
              <w:spacing w:before="40" w:after="40"/>
              <w:jc w:val="center"/>
              <w:rPr>
                <w:rFonts w:eastAsia="Arial"/>
              </w:rPr>
            </w:pPr>
            <w:r w:rsidRPr="00BE78CA">
              <w:t>30,440.3</w:t>
            </w:r>
          </w:p>
        </w:tc>
        <w:tc>
          <w:tcPr>
            <w:tcW w:w="1134" w:type="dxa"/>
            <w:tcBorders>
              <w:top w:val="single" w:sz="4" w:space="0" w:color="365F91"/>
              <w:bottom w:val="single" w:sz="4" w:space="0" w:color="365F91"/>
            </w:tcBorders>
            <w:shd w:val="clear" w:color="auto" w:fill="auto"/>
          </w:tcPr>
          <w:p w14:paraId="357CCFA4" w14:textId="77777777" w:rsidR="00333601" w:rsidRPr="00BE78CA" w:rsidRDefault="00333601" w:rsidP="007901C0">
            <w:pPr>
              <w:pStyle w:val="Tableboldblue"/>
              <w:spacing w:before="40" w:after="40"/>
              <w:jc w:val="center"/>
              <w:rPr>
                <w:rFonts w:eastAsia="Arial"/>
              </w:rPr>
            </w:pPr>
            <w:r w:rsidRPr="00BE78CA">
              <w:t>–12,218.1</w:t>
            </w:r>
          </w:p>
        </w:tc>
        <w:tc>
          <w:tcPr>
            <w:tcW w:w="1134" w:type="dxa"/>
            <w:tcBorders>
              <w:top w:val="single" w:sz="4" w:space="0" w:color="365F91"/>
              <w:bottom w:val="single" w:sz="4" w:space="0" w:color="365F91"/>
            </w:tcBorders>
            <w:shd w:val="clear" w:color="auto" w:fill="auto"/>
          </w:tcPr>
          <w:p w14:paraId="10368A77" w14:textId="77777777" w:rsidR="00333601" w:rsidRPr="00BE78CA" w:rsidRDefault="00333601" w:rsidP="007901C0">
            <w:pPr>
              <w:pStyle w:val="Tableboldblue"/>
              <w:spacing w:before="40" w:after="40"/>
              <w:jc w:val="center"/>
              <w:rPr>
                <w:rFonts w:eastAsia="Arial"/>
              </w:rPr>
            </w:pPr>
            <w:r w:rsidRPr="00BE78CA">
              <w:t>209,425.8</w:t>
            </w:r>
          </w:p>
        </w:tc>
        <w:tc>
          <w:tcPr>
            <w:tcW w:w="1275" w:type="dxa"/>
            <w:tcBorders>
              <w:top w:val="single" w:sz="4" w:space="0" w:color="365F91"/>
              <w:bottom w:val="single" w:sz="4" w:space="0" w:color="365F91"/>
            </w:tcBorders>
            <w:shd w:val="clear" w:color="auto" w:fill="auto"/>
          </w:tcPr>
          <w:p w14:paraId="176AC070" w14:textId="77777777" w:rsidR="00333601" w:rsidRPr="00BE78CA" w:rsidRDefault="00333601" w:rsidP="007901C0">
            <w:pPr>
              <w:pStyle w:val="Tableboldblue"/>
              <w:spacing w:before="40" w:after="40"/>
              <w:jc w:val="center"/>
              <w:rPr>
                <w:rFonts w:eastAsia="Arial"/>
              </w:rPr>
            </w:pPr>
            <w:r w:rsidRPr="00BE78CA">
              <w:t>–767,894.6</w:t>
            </w:r>
          </w:p>
        </w:tc>
      </w:tr>
    </w:tbl>
    <w:p w14:paraId="4A6B2A47" w14:textId="77777777" w:rsidR="00333601" w:rsidRPr="00BE78CA" w:rsidRDefault="00333601" w:rsidP="007901C0">
      <w:pPr>
        <w:pStyle w:val="Noteundertable"/>
        <w:spacing w:after="80"/>
      </w:pPr>
      <w:r w:rsidRPr="00BE78CA">
        <w:rPr>
          <w:b/>
        </w:rPr>
        <w:t>Note:</w:t>
      </w:r>
      <w:r w:rsidRPr="00BE78CA">
        <w:tab/>
        <w:t>Emissions associated with the conversion of forest are reported in the land use category the land is converted to. Columns may not total due to rounding.</w:t>
      </w:r>
    </w:p>
    <w:p w14:paraId="0C41D404" w14:textId="77777777" w:rsidR="00333601" w:rsidRPr="00BE78CA" w:rsidRDefault="00333601" w:rsidP="00333601">
      <w:pPr>
        <w:pStyle w:val="Heading5"/>
        <w:spacing w:before="120"/>
      </w:pPr>
      <w:bookmarkStart w:id="1659" w:name="_Toc255466326"/>
      <w:bookmarkStart w:id="1660" w:name="_Toc261513133"/>
      <w:bookmarkStart w:id="1661" w:name="_Toc261513746"/>
      <w:bookmarkStart w:id="1662" w:name="_Toc280630242"/>
      <w:r w:rsidRPr="00BE78CA">
        <w:t>Pre-1990 natural forest</w:t>
      </w:r>
      <w:bookmarkEnd w:id="1659"/>
      <w:bookmarkEnd w:id="1660"/>
      <w:bookmarkEnd w:id="1661"/>
      <w:bookmarkEnd w:id="1662"/>
    </w:p>
    <w:p w14:paraId="546F5859" w14:textId="77777777" w:rsidR="00333601" w:rsidRPr="00BE78CA" w:rsidRDefault="00333601" w:rsidP="007901C0">
      <w:pPr>
        <w:pStyle w:val="BodyText"/>
        <w:spacing w:before="100" w:after="100"/>
      </w:pPr>
      <w:r w:rsidRPr="00BE78CA">
        <w:t>Pre-1990 natural forest is the term used to distinguish New Zealand’s native and unplanted (self-sown or naturally regenerated) forests that existed prior to 1990. This land use includes mature forest as well as areas of regenerating vegetation that has the potential to return to forest under the management regime that existed prior to 1990. Pre-1990 natural forest ecosystems comprise of a range of indigenous and some naturalised exotic species. In New Zealand, two principal types of natural forest exist: beech forests (</w:t>
      </w:r>
      <w:r w:rsidRPr="00BE78CA">
        <w:rPr>
          <w:i/>
        </w:rPr>
        <w:t xml:space="preserve">Fuscospora </w:t>
      </w:r>
      <w:r w:rsidRPr="00BE78CA">
        <w:t xml:space="preserve">and </w:t>
      </w:r>
      <w:r w:rsidRPr="00BE78CA">
        <w:rPr>
          <w:i/>
        </w:rPr>
        <w:t>Lophozonia</w:t>
      </w:r>
      <w:r w:rsidRPr="00BE78CA">
        <w:t xml:space="preserve"> species) and mixed podocarp–broadleaf forests. In addition, a wide range of seral plant communities fit into the natural forest land use where they have the potential to succeed to forest </w:t>
      </w:r>
      <w:r w:rsidRPr="00BE78CA">
        <w:rPr>
          <w:i/>
        </w:rPr>
        <w:t>in situ</w:t>
      </w:r>
      <w:r w:rsidRPr="00BE78CA">
        <w:t>. At present, New Zealand has just under 7.76 million hectares of pre</w:t>
      </w:r>
      <w:r w:rsidRPr="00BE78CA">
        <w:noBreakHyphen/>
        <w:t>1990 natural forest (including these seral plant communities). Pre-1990 natural forest equates to 28.8 per cent of New Zealand’s total land area.</w:t>
      </w:r>
    </w:p>
    <w:p w14:paraId="4E9D1F54" w14:textId="77777777" w:rsidR="00333601" w:rsidRPr="00BE78CA" w:rsidRDefault="00333601" w:rsidP="00333601">
      <w:pPr>
        <w:pStyle w:val="Heading5"/>
        <w:spacing w:before="120"/>
      </w:pPr>
      <w:r w:rsidRPr="00BE78CA">
        <w:lastRenderedPageBreak/>
        <w:t>Post-1989 natural forest</w:t>
      </w:r>
    </w:p>
    <w:p w14:paraId="7CC7C0EA" w14:textId="77777777" w:rsidR="00333601" w:rsidRPr="00BE78CA" w:rsidRDefault="00333601" w:rsidP="00333601">
      <w:pPr>
        <w:pStyle w:val="BodyText"/>
        <w:spacing w:before="80"/>
      </w:pPr>
      <w:r w:rsidRPr="00BE78CA">
        <w:t>The natural forest component of post</w:t>
      </w:r>
      <w:r w:rsidRPr="00BE78CA">
        <w:noBreakHyphen/>
        <w:t>1989 forest comprises early successional vegetation, similar to the seral plant communities in pre</w:t>
      </w:r>
      <w:r w:rsidRPr="00BE78CA">
        <w:noBreakHyphen/>
        <w:t>1990 natural forest but at earlier successional stages. Common tree species in this forest type include kanuka (</w:t>
      </w:r>
      <w:r w:rsidRPr="00BE78CA">
        <w:rPr>
          <w:i/>
        </w:rPr>
        <w:t xml:space="preserve">Kunzea </w:t>
      </w:r>
      <w:r w:rsidRPr="00BE78CA">
        <w:t>spp.) and manuka (</w:t>
      </w:r>
      <w:r w:rsidRPr="00BE78CA">
        <w:rPr>
          <w:i/>
        </w:rPr>
        <w:t>Leptospermum scoparium</w:t>
      </w:r>
      <w:r w:rsidRPr="00BE78CA">
        <w:t xml:space="preserve"> var. </w:t>
      </w:r>
      <w:r w:rsidRPr="00BE78CA">
        <w:rPr>
          <w:i/>
        </w:rPr>
        <w:t>scoparium</w:t>
      </w:r>
      <w:r w:rsidRPr="00BE78CA">
        <w:t>), and exotic species willow (</w:t>
      </w:r>
      <w:r w:rsidRPr="00BE78CA">
        <w:rPr>
          <w:i/>
        </w:rPr>
        <w:t xml:space="preserve">Salix </w:t>
      </w:r>
      <w:r w:rsidRPr="00BE78CA">
        <w:t xml:space="preserve">spp.) and </w:t>
      </w:r>
      <w:r w:rsidRPr="00BE78CA">
        <w:rPr>
          <w:i/>
        </w:rPr>
        <w:t>Pinus radiata</w:t>
      </w:r>
      <w:r w:rsidRPr="00BE78CA">
        <w:t>. At present, New Zealand has 86,689 hectares of post</w:t>
      </w:r>
      <w:r w:rsidRPr="00BE78CA">
        <w:noBreakHyphen/>
        <w:t>1989 natural forest. This equates to 0.3 per cent of New Zealand’s total land area.</w:t>
      </w:r>
    </w:p>
    <w:p w14:paraId="1640C453" w14:textId="77777777" w:rsidR="00333601" w:rsidRPr="00BE78CA" w:rsidRDefault="00333601" w:rsidP="00333601">
      <w:pPr>
        <w:pStyle w:val="Heading5"/>
        <w:spacing w:before="160"/>
      </w:pPr>
      <w:bookmarkStart w:id="1663" w:name="_Toc255466327"/>
      <w:bookmarkStart w:id="1664" w:name="_Toc261513134"/>
      <w:bookmarkStart w:id="1665" w:name="_Toc261513747"/>
      <w:bookmarkStart w:id="1666" w:name="_Toc280630243"/>
      <w:r w:rsidRPr="00BE78CA">
        <w:t>Pre-1990 planted forest</w:t>
      </w:r>
      <w:bookmarkEnd w:id="1663"/>
      <w:bookmarkEnd w:id="1664"/>
      <w:bookmarkEnd w:id="1665"/>
      <w:bookmarkEnd w:id="1666"/>
    </w:p>
    <w:p w14:paraId="4DB86C9C" w14:textId="77777777" w:rsidR="00333601" w:rsidRPr="00BE78CA" w:rsidRDefault="00333601" w:rsidP="00333601">
      <w:pPr>
        <w:pStyle w:val="BodyText"/>
        <w:spacing w:before="80"/>
      </w:pPr>
      <w:r w:rsidRPr="00BE78CA">
        <w:t>New Zealand has a substantial estate of planted forests created specifically for timber-supply purposes. In 2019, pre-1990 planted forests covered an estimated 1.44 million hectares of New Zealand (5.3 per cent of the total land area). New Zealand’s planted forests are intensively managed and there are well-established data on the estate’s extent and characteristics. The supply of a renewable timber resource has allowed New Zealand to protect and sustainably manage its pre</w:t>
      </w:r>
      <w:r w:rsidRPr="00BE78CA">
        <w:noBreakHyphen/>
        <w:t xml:space="preserve">1990 natural forests. </w:t>
      </w:r>
      <w:r w:rsidRPr="00BE78CA">
        <w:rPr>
          <w:i/>
        </w:rPr>
        <w:t xml:space="preserve">Pinus radiata </w:t>
      </w:r>
      <w:r w:rsidRPr="00BE78CA">
        <w:t>is the dominant planted forest species, making up 92 per cent of the planted forest area, based on the forest inventory (Paul et al., unpublished(d). These forests are usually composed of stands of trees of a single age class, and all forests are subject to relatively standard silvicultural management regimes.</w:t>
      </w:r>
    </w:p>
    <w:p w14:paraId="372B68F3" w14:textId="77777777" w:rsidR="00333601" w:rsidRPr="00BE78CA" w:rsidRDefault="00333601" w:rsidP="00333601">
      <w:pPr>
        <w:pStyle w:val="Heading5"/>
      </w:pPr>
      <w:bookmarkStart w:id="1667" w:name="_Toc255466328"/>
      <w:bookmarkStart w:id="1668" w:name="_Toc261513135"/>
      <w:bookmarkStart w:id="1669" w:name="_Toc261513748"/>
      <w:bookmarkStart w:id="1670" w:name="_Toc280630244"/>
      <w:r w:rsidRPr="00BE78CA">
        <w:t>Post-1989 planted forest</w:t>
      </w:r>
      <w:bookmarkEnd w:id="1667"/>
      <w:bookmarkEnd w:id="1668"/>
      <w:bookmarkEnd w:id="1669"/>
      <w:bookmarkEnd w:id="1670"/>
    </w:p>
    <w:p w14:paraId="176608AC" w14:textId="77777777" w:rsidR="00333601" w:rsidRPr="00BE78CA" w:rsidRDefault="00333601" w:rsidP="00333601">
      <w:pPr>
        <w:pStyle w:val="BodyText"/>
        <w:spacing w:before="80" w:after="100"/>
      </w:pPr>
      <w:bookmarkStart w:id="1671" w:name="_Hlk57988473"/>
      <w:r w:rsidRPr="00BE78CA">
        <w:t xml:space="preserve">Between 1 January 1990 and 31 December 2019, the net area of forest established as a result of reforestation activities was 657,438 hectares (accounting for deforestation of post-1989 planted forests). </w:t>
      </w:r>
      <w:bookmarkStart w:id="1672" w:name="_Hlk57704165"/>
      <w:r w:rsidRPr="00BE78CA">
        <w:rPr>
          <w:i/>
        </w:rPr>
        <w:t xml:space="preserve">Pinus radiata </w:t>
      </w:r>
      <w:r w:rsidRPr="00BE78CA">
        <w:t>comprises 83 per cent of the planted tree species in this forest type, with Douglas fir (</w:t>
      </w:r>
      <w:r w:rsidRPr="00BE78CA">
        <w:rPr>
          <w:i/>
          <w:iCs/>
        </w:rPr>
        <w:t>Pseudotsuga menziesii</w:t>
      </w:r>
      <w:r w:rsidRPr="00BE78CA">
        <w:t xml:space="preserve">) and </w:t>
      </w:r>
      <w:r w:rsidRPr="00BE78CA">
        <w:rPr>
          <w:i/>
        </w:rPr>
        <w:t>Eucalyptus</w:t>
      </w:r>
      <w:r w:rsidRPr="00BE78CA">
        <w:t xml:space="preserve"> species the majority of the remainder (Paul et al., unpublished(d)). </w:t>
      </w:r>
      <w:bookmarkEnd w:id="1672"/>
    </w:p>
    <w:p w14:paraId="40677285" w14:textId="77777777" w:rsidR="00333601" w:rsidRPr="00BE78CA" w:rsidRDefault="00333601" w:rsidP="00333601">
      <w:pPr>
        <w:pStyle w:val="Heading5"/>
        <w:spacing w:before="160"/>
      </w:pPr>
      <w:r w:rsidRPr="00BE78CA">
        <w:t>National circumstances influencing post-1989 afforestation rates</w:t>
      </w:r>
    </w:p>
    <w:p w14:paraId="5BA12F75" w14:textId="77777777" w:rsidR="00333601" w:rsidRPr="00BE78CA" w:rsidRDefault="00333601" w:rsidP="00333601">
      <w:pPr>
        <w:pStyle w:val="BodyText"/>
        <w:spacing w:before="80" w:after="100"/>
      </w:pPr>
      <w:r w:rsidRPr="00BE78CA">
        <w:t>The new forest planting rate (afforestation) between 1990 and 2019 was, on average, 25,813 hectares per year. New planting rates were high from 1992 to 1998, averaging 60,533 hectares per year (see figure 6.4.1). A change in the taxation regime, an unprecedented price spike for forest products (with subsequent favourable publicity), a government focus on forestry as an instrument for regional development, and the conclusion of the state forest assets sale all contributed to high planting rates in the mid-1990s. The removal of agricultural subsidies and the generally poor performance of the New Zealand and international share markets also encouraged investors to seek alternatives (Rhodes and Novis, 2002).</w:t>
      </w:r>
    </w:p>
    <w:p w14:paraId="51A67EDC" w14:textId="77777777" w:rsidR="00333601" w:rsidRPr="00BE78CA" w:rsidRDefault="00333601" w:rsidP="00333601">
      <w:pPr>
        <w:pStyle w:val="BodyText"/>
        <w:spacing w:before="80" w:after="100"/>
      </w:pPr>
      <w:r w:rsidRPr="00BE78CA">
        <w:t>The rate of new planting declined from 1996, reaching an estimated low of 5,303 hectares in 2008. The overall decline in planting rates since the 1990s has likely been caused by the relative profitability of other forms of land use and high rural land prices. The increase in planting between 2008 and 2012 is largely attributable to the NZ ETS (Ministry for Primary Industries, 2015b) and the Afforestation Grant Scheme (Ministry for Primary Industries, 2015a), both of which were introduced by the New Zealand Government to encourage new planting and regeneration of natural ecosystems. The One Billion Trees Programme includes a fund established in 2018 targeted at encouraging indigenous forests and environmental and socio-economic co-benefits from forestry by working in partnership with land owners and organisations (Te Uru Rākau, 2018). It is likely that The One Billion Trees Programme and the announcements leading up to the Climate Change Response (Emissions Trading Reform) Amendment Act 2020 both contributed to higher rates of afforestation in 2019.</w:t>
      </w:r>
    </w:p>
    <w:p w14:paraId="7B5D9237" w14:textId="77777777" w:rsidR="00333601" w:rsidRPr="00BE78CA" w:rsidRDefault="00333601" w:rsidP="00333601">
      <w:pPr>
        <w:pStyle w:val="Figure"/>
        <w:spacing w:after="0"/>
      </w:pPr>
      <w:bookmarkStart w:id="1673" w:name="_Toc474914646"/>
      <w:bookmarkStart w:id="1674" w:name="_Toc481752028"/>
      <w:bookmarkStart w:id="1675" w:name="_Toc522010706"/>
      <w:bookmarkStart w:id="1676" w:name="_Toc5269709"/>
      <w:bookmarkStart w:id="1677" w:name="_Toc33529481"/>
      <w:bookmarkStart w:id="1678" w:name="_Toc36292811"/>
      <w:bookmarkStart w:id="1679" w:name="_Toc65244103"/>
      <w:bookmarkStart w:id="1680" w:name="_Toc68786676"/>
      <w:bookmarkEnd w:id="1671"/>
      <w:r w:rsidRPr="00BE78CA">
        <w:lastRenderedPageBreak/>
        <w:t>Figure 6.4.1</w:t>
      </w:r>
      <w:r w:rsidRPr="00BE78CA">
        <w:tab/>
        <w:t>Annual areas of afforestation/reforestation in New Zealand from 1990 to 201</w:t>
      </w:r>
      <w:bookmarkEnd w:id="1673"/>
      <w:bookmarkEnd w:id="1674"/>
      <w:r w:rsidRPr="00BE78CA">
        <w:t>9</w:t>
      </w:r>
      <w:bookmarkEnd w:id="1675"/>
      <w:bookmarkEnd w:id="1676"/>
      <w:bookmarkEnd w:id="1677"/>
      <w:bookmarkEnd w:id="1678"/>
      <w:bookmarkEnd w:id="1679"/>
      <w:bookmarkEnd w:id="1680"/>
    </w:p>
    <w:p w14:paraId="4FBF2F15" w14:textId="77777777" w:rsidR="00333601" w:rsidRPr="00BE78CA" w:rsidRDefault="00333601" w:rsidP="00333601">
      <w:pPr>
        <w:pStyle w:val="BodyText"/>
        <w:spacing w:before="0" w:after="0"/>
        <w:rPr>
          <w:rFonts w:ascii="Arial" w:hAnsi="Arial" w:cs="Arial"/>
        </w:rPr>
      </w:pPr>
      <w:r w:rsidRPr="00BE78CA">
        <w:rPr>
          <w:noProof/>
        </w:rPr>
        <w:drawing>
          <wp:inline distT="0" distB="0" distL="0" distR="0" wp14:anchorId="6E100F3F" wp14:editId="7925CFDB">
            <wp:extent cx="5400675" cy="3143250"/>
            <wp:effectExtent l="0" t="0" r="0" b="0"/>
            <wp:docPr id="10" name="Chart 10">
              <a:extLst xmlns:a="http://schemas.openxmlformats.org/drawingml/2006/main">
                <a:ext uri="{FF2B5EF4-FFF2-40B4-BE49-F238E27FC236}">
                  <a16:creationId xmlns:a16="http://schemas.microsoft.com/office/drawing/2014/main" id="{00000000-0008-0000-07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3"/>
              </a:graphicData>
            </a:graphic>
          </wp:inline>
        </w:drawing>
      </w:r>
    </w:p>
    <w:p w14:paraId="747E1011" w14:textId="77777777" w:rsidR="00333601" w:rsidRPr="00BE78CA" w:rsidRDefault="00333601" w:rsidP="00333601">
      <w:pPr>
        <w:pStyle w:val="Noteundertable"/>
        <w:spacing w:before="80"/>
      </w:pPr>
      <w:r w:rsidRPr="00BE78CA">
        <w:rPr>
          <w:b/>
        </w:rPr>
        <w:t>Note:</w:t>
      </w:r>
      <w:r w:rsidRPr="00BE78CA">
        <w:tab/>
        <w:t>Annual planting estimates are derived from annual surveys of forest nurseries, as published in the NEFD</w:t>
      </w:r>
      <w:r w:rsidRPr="00BE78CA">
        <w:rPr>
          <w:i/>
        </w:rPr>
        <w:t xml:space="preserve"> </w:t>
      </w:r>
      <w:r w:rsidRPr="00BE78CA">
        <w:t xml:space="preserve">(Ministry for Primary Industries, 2019b), and have been scaled using a ratio derived from the LUCAS mapping of post-1989 forest area. </w:t>
      </w:r>
    </w:p>
    <w:p w14:paraId="233B5B68" w14:textId="77777777" w:rsidR="00333601" w:rsidRPr="00BE78CA" w:rsidRDefault="00333601" w:rsidP="00333601">
      <w:pPr>
        <w:pStyle w:val="BodyText"/>
      </w:pPr>
      <w:r w:rsidRPr="00BE78CA">
        <w:t>Post-1989 planted forests did not become a net sink until 1995 (see figure 6.4.2) when net removals from forest growth surpassed net emissions. This was due to the loss of biomass in carbon stocks associated with the previous land use before conversion, in addition to the loss of soil carbon associated with a land-use change to forestry.</w:t>
      </w:r>
    </w:p>
    <w:p w14:paraId="372E68BE" w14:textId="77777777" w:rsidR="00333601" w:rsidRPr="00BE78CA" w:rsidRDefault="00333601" w:rsidP="00333601">
      <w:pPr>
        <w:pStyle w:val="Figure"/>
      </w:pPr>
      <w:bookmarkStart w:id="1681" w:name="_Toc280630493"/>
      <w:bookmarkStart w:id="1682" w:name="_Toc318362751"/>
      <w:bookmarkStart w:id="1683" w:name="_Toc342470831"/>
      <w:bookmarkStart w:id="1684" w:name="_Toc352505159"/>
      <w:bookmarkStart w:id="1685" w:name="_Toc373395719"/>
      <w:bookmarkStart w:id="1686" w:name="_Toc378853342"/>
      <w:bookmarkStart w:id="1687" w:name="_Toc405448092"/>
      <w:bookmarkStart w:id="1688" w:name="_Toc414531624"/>
      <w:bookmarkStart w:id="1689" w:name="_Toc474914647"/>
      <w:bookmarkStart w:id="1690" w:name="_Toc481752029"/>
      <w:bookmarkStart w:id="1691" w:name="_Toc522010707"/>
      <w:bookmarkStart w:id="1692" w:name="_Toc5269710"/>
      <w:bookmarkStart w:id="1693" w:name="_Toc33529482"/>
      <w:bookmarkStart w:id="1694" w:name="_Toc36292812"/>
      <w:bookmarkStart w:id="1695" w:name="_Toc65244104"/>
      <w:bookmarkStart w:id="1696" w:name="_Toc68786677"/>
      <w:r w:rsidRPr="00BE78CA">
        <w:t>Figure 6.4.2</w:t>
      </w:r>
      <w:r w:rsidRPr="00BE78CA">
        <w:tab/>
        <w:t>New Zealand’s net carbon dioxide removals by post-1989 forests from 1990 to </w:t>
      </w:r>
      <w:bookmarkEnd w:id="1681"/>
      <w:bookmarkEnd w:id="1682"/>
      <w:bookmarkEnd w:id="1683"/>
      <w:bookmarkEnd w:id="1684"/>
      <w:bookmarkEnd w:id="1685"/>
      <w:bookmarkEnd w:id="1686"/>
      <w:r w:rsidRPr="00BE78CA">
        <w:t>201</w:t>
      </w:r>
      <w:bookmarkEnd w:id="1687"/>
      <w:bookmarkEnd w:id="1688"/>
      <w:bookmarkEnd w:id="1689"/>
      <w:bookmarkEnd w:id="1690"/>
      <w:bookmarkEnd w:id="1691"/>
      <w:bookmarkEnd w:id="1692"/>
      <w:r w:rsidRPr="00BE78CA">
        <w:t>9</w:t>
      </w:r>
      <w:bookmarkEnd w:id="1693"/>
      <w:bookmarkEnd w:id="1694"/>
      <w:bookmarkEnd w:id="1695"/>
      <w:bookmarkEnd w:id="1696"/>
    </w:p>
    <w:p w14:paraId="0A751133" w14:textId="77777777" w:rsidR="00333601" w:rsidRPr="00BE78CA" w:rsidRDefault="00333601" w:rsidP="00333601">
      <w:pPr>
        <w:pStyle w:val="BodyText"/>
        <w:spacing w:before="0" w:after="80"/>
      </w:pPr>
      <w:r w:rsidRPr="00BE78CA">
        <w:rPr>
          <w:noProof/>
        </w:rPr>
        <w:drawing>
          <wp:inline distT="0" distB="0" distL="0" distR="0" wp14:anchorId="3AA3FB05" wp14:editId="3FE1CF66">
            <wp:extent cx="5400675" cy="3429000"/>
            <wp:effectExtent l="0" t="0" r="0" b="0"/>
            <wp:docPr id="39" name="Chart 39">
              <a:extLst xmlns:a="http://schemas.openxmlformats.org/drawingml/2006/main">
                <a:ext uri="{FF2B5EF4-FFF2-40B4-BE49-F238E27FC236}">
                  <a16:creationId xmlns:a16="http://schemas.microsoft.com/office/drawing/2014/main" id="{00000000-0008-0000-07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4"/>
              </a:graphicData>
            </a:graphic>
          </wp:inline>
        </w:drawing>
      </w:r>
    </w:p>
    <w:p w14:paraId="482192A4" w14:textId="77777777" w:rsidR="00333601" w:rsidRPr="00BE78CA" w:rsidRDefault="00333601" w:rsidP="00333601">
      <w:pPr>
        <w:pStyle w:val="Heading5"/>
        <w:spacing w:before="120"/>
      </w:pPr>
      <w:bookmarkStart w:id="1697" w:name="_Toc255466329"/>
      <w:bookmarkStart w:id="1698" w:name="_Toc261513136"/>
      <w:bookmarkStart w:id="1699" w:name="_Toc261513749"/>
      <w:bookmarkStart w:id="1700" w:name="_Toc280630245"/>
      <w:r w:rsidRPr="00BE78CA">
        <w:lastRenderedPageBreak/>
        <w:t>Deforestation</w:t>
      </w:r>
      <w:bookmarkEnd w:id="1697"/>
      <w:bookmarkEnd w:id="1698"/>
      <w:bookmarkEnd w:id="1699"/>
      <w:bookmarkEnd w:id="1700"/>
    </w:p>
    <w:p w14:paraId="4B03717F" w14:textId="77777777" w:rsidR="00333601" w:rsidRPr="00BE78CA" w:rsidRDefault="00333601" w:rsidP="00333601">
      <w:pPr>
        <w:pStyle w:val="BodyText"/>
      </w:pPr>
      <w:r w:rsidRPr="00BE78CA">
        <w:t xml:space="preserve">In 2019, an estimated 4,802 hectares of </w:t>
      </w:r>
      <w:r w:rsidRPr="00BE78CA">
        <w:rPr>
          <w:i/>
        </w:rPr>
        <w:t>Forest land</w:t>
      </w:r>
      <w:r w:rsidRPr="00BE78CA">
        <w:t xml:space="preserve"> were converted to other land uses, primarily </w:t>
      </w:r>
      <w:r w:rsidRPr="00BE78CA">
        <w:rPr>
          <w:i/>
        </w:rPr>
        <w:t>Grassland</w:t>
      </w:r>
      <w:r w:rsidRPr="00BE78CA">
        <w:t xml:space="preserve">. Table 6.4.4 shows the areas of </w:t>
      </w:r>
      <w:r w:rsidRPr="00BE78CA">
        <w:rPr>
          <w:i/>
        </w:rPr>
        <w:t>Forest land</w:t>
      </w:r>
      <w:r w:rsidRPr="00BE78CA">
        <w:t xml:space="preserve"> subject to deforestation in 2019 and since 1990.</w:t>
      </w:r>
    </w:p>
    <w:p w14:paraId="5E25FFC2" w14:textId="77777777" w:rsidR="00333601" w:rsidRPr="00BE78CA" w:rsidRDefault="00333601" w:rsidP="00333601">
      <w:pPr>
        <w:pStyle w:val="Table"/>
      </w:pPr>
      <w:bookmarkStart w:id="1701" w:name="_Toc280630455"/>
      <w:bookmarkStart w:id="1702" w:name="_Toc310423407"/>
      <w:bookmarkStart w:id="1703" w:name="_Toc318362700"/>
      <w:bookmarkStart w:id="1704" w:name="_Toc342470762"/>
      <w:bookmarkStart w:id="1705" w:name="_Toc352505002"/>
      <w:bookmarkStart w:id="1706" w:name="_Toc373395727"/>
      <w:bookmarkStart w:id="1707" w:name="_Toc378853293"/>
      <w:bookmarkStart w:id="1708" w:name="_Toc391024091"/>
      <w:bookmarkStart w:id="1709" w:name="_Toc410028834"/>
      <w:bookmarkStart w:id="1710" w:name="_Toc414531462"/>
      <w:bookmarkStart w:id="1711" w:name="_Toc443645375"/>
      <w:bookmarkStart w:id="1712" w:name="_Toc474914594"/>
      <w:bookmarkStart w:id="1713" w:name="_Toc481751558"/>
      <w:bookmarkStart w:id="1714" w:name="_Toc522010615"/>
      <w:bookmarkStart w:id="1715" w:name="_Toc5269520"/>
      <w:bookmarkStart w:id="1716" w:name="_Toc33529394"/>
      <w:bookmarkStart w:id="1717" w:name="_Toc36224600"/>
      <w:bookmarkStart w:id="1718" w:name="_Toc65243595"/>
      <w:bookmarkStart w:id="1719" w:name="_Toc68786485"/>
      <w:r w:rsidRPr="00BE78CA">
        <w:t>Table 6.4.4</w:t>
      </w:r>
      <w:r w:rsidRPr="00BE78CA">
        <w:tab/>
        <w:t>New Zealand’s Forest land subject to deforestation</w:t>
      </w:r>
      <w:bookmarkEnd w:id="1701"/>
      <w:bookmarkEnd w:id="1702"/>
      <w:bookmarkEnd w:id="1703"/>
      <w:bookmarkEnd w:id="1704"/>
      <w:bookmarkEnd w:id="1705"/>
      <w:bookmarkEnd w:id="1706"/>
      <w:bookmarkEnd w:id="1707"/>
      <w:bookmarkEnd w:id="1708"/>
      <w:bookmarkEnd w:id="1709"/>
      <w:r w:rsidRPr="00BE78CA">
        <w:t>, 1990 and 201</w:t>
      </w:r>
      <w:bookmarkEnd w:id="1710"/>
      <w:bookmarkEnd w:id="1711"/>
      <w:r w:rsidRPr="00BE78CA">
        <w:t>9</w:t>
      </w:r>
      <w:bookmarkEnd w:id="1712"/>
      <w:bookmarkEnd w:id="1713"/>
      <w:bookmarkEnd w:id="1714"/>
      <w:bookmarkEnd w:id="1715"/>
      <w:bookmarkEnd w:id="1716"/>
      <w:bookmarkEnd w:id="1717"/>
      <w:bookmarkEnd w:id="1718"/>
      <w:bookmarkEnd w:id="1719"/>
    </w:p>
    <w:tbl>
      <w:tblPr>
        <w:tblW w:w="8448" w:type="dxa"/>
        <w:tblInd w:w="57" w:type="dxa"/>
        <w:tblLook w:val="04A0" w:firstRow="1" w:lastRow="0" w:firstColumn="1" w:lastColumn="0" w:noHBand="0" w:noVBand="1"/>
      </w:tblPr>
      <w:tblGrid>
        <w:gridCol w:w="2070"/>
        <w:gridCol w:w="1417"/>
        <w:gridCol w:w="1276"/>
        <w:gridCol w:w="1270"/>
        <w:gridCol w:w="1140"/>
        <w:gridCol w:w="1275"/>
      </w:tblGrid>
      <w:tr w:rsidR="00333601" w:rsidRPr="00BE78CA" w14:paraId="11A99F42" w14:textId="77777777" w:rsidTr="00C26084">
        <w:tc>
          <w:tcPr>
            <w:tcW w:w="2070" w:type="dxa"/>
            <w:vMerge w:val="restart"/>
            <w:tcBorders>
              <w:top w:val="single" w:sz="4" w:space="0" w:color="365F91"/>
            </w:tcBorders>
            <w:shd w:val="clear" w:color="auto" w:fill="376092"/>
            <w:vAlign w:val="bottom"/>
          </w:tcPr>
          <w:p w14:paraId="72D1A185" w14:textId="77777777" w:rsidR="00333601" w:rsidRPr="00BE78CA" w:rsidRDefault="00333601" w:rsidP="00C26084">
            <w:pPr>
              <w:pStyle w:val="TableTextBold"/>
              <w:keepNext/>
              <w:rPr>
                <w:noProof w:val="0"/>
                <w:color w:val="FFFFFF"/>
              </w:rPr>
            </w:pPr>
            <w:r w:rsidRPr="00BE78CA">
              <w:rPr>
                <w:noProof w:val="0"/>
                <w:color w:val="FFFFFF"/>
              </w:rPr>
              <w:t>Land use</w:t>
            </w:r>
          </w:p>
        </w:tc>
        <w:tc>
          <w:tcPr>
            <w:tcW w:w="1417" w:type="dxa"/>
            <w:vMerge w:val="restart"/>
            <w:tcBorders>
              <w:top w:val="single" w:sz="4" w:space="0" w:color="365F91"/>
            </w:tcBorders>
            <w:shd w:val="clear" w:color="auto" w:fill="376092"/>
            <w:vAlign w:val="bottom"/>
          </w:tcPr>
          <w:p w14:paraId="6F2E68AB" w14:textId="77777777" w:rsidR="00333601" w:rsidRPr="00BE78CA" w:rsidRDefault="00333601" w:rsidP="00C26084">
            <w:pPr>
              <w:pStyle w:val="TableTextBold"/>
              <w:keepNext/>
              <w:jc w:val="center"/>
              <w:rPr>
                <w:noProof w:val="0"/>
                <w:color w:val="FFFFFF"/>
              </w:rPr>
            </w:pPr>
            <w:r w:rsidRPr="00BE78CA">
              <w:rPr>
                <w:noProof w:val="0"/>
                <w:color w:val="FFFFFF"/>
              </w:rPr>
              <w:t>Area of forest in 1990 (ha)</w:t>
            </w:r>
          </w:p>
        </w:tc>
        <w:tc>
          <w:tcPr>
            <w:tcW w:w="2546" w:type="dxa"/>
            <w:gridSpan w:val="2"/>
            <w:tcBorders>
              <w:top w:val="single" w:sz="4" w:space="0" w:color="365F91"/>
            </w:tcBorders>
            <w:shd w:val="clear" w:color="auto" w:fill="376092"/>
            <w:vAlign w:val="bottom"/>
          </w:tcPr>
          <w:p w14:paraId="627263FA" w14:textId="77777777" w:rsidR="00333601" w:rsidRPr="00BE78CA" w:rsidRDefault="00333601" w:rsidP="00C26084">
            <w:pPr>
              <w:pStyle w:val="TableTextBold"/>
              <w:keepNext/>
              <w:spacing w:after="0"/>
              <w:jc w:val="center"/>
              <w:rPr>
                <w:noProof w:val="0"/>
                <w:color w:val="FFFFFF"/>
              </w:rPr>
            </w:pPr>
            <w:r w:rsidRPr="00BE78CA">
              <w:rPr>
                <w:noProof w:val="0"/>
                <w:color w:val="FFFFFF"/>
              </w:rPr>
              <w:t>Deforestation since 1990</w:t>
            </w:r>
          </w:p>
        </w:tc>
        <w:tc>
          <w:tcPr>
            <w:tcW w:w="2415" w:type="dxa"/>
            <w:gridSpan w:val="2"/>
            <w:tcBorders>
              <w:top w:val="single" w:sz="4" w:space="0" w:color="365F91"/>
            </w:tcBorders>
            <w:shd w:val="clear" w:color="auto" w:fill="376092"/>
            <w:vAlign w:val="bottom"/>
          </w:tcPr>
          <w:p w14:paraId="59725166" w14:textId="77777777" w:rsidR="00333601" w:rsidRPr="00BE78CA" w:rsidRDefault="00333601" w:rsidP="00C26084">
            <w:pPr>
              <w:pStyle w:val="TableTextBold"/>
              <w:keepNext/>
              <w:spacing w:after="0"/>
              <w:jc w:val="center"/>
              <w:rPr>
                <w:noProof w:val="0"/>
                <w:color w:val="FFFFFF"/>
              </w:rPr>
            </w:pPr>
            <w:r w:rsidRPr="00BE78CA">
              <w:rPr>
                <w:noProof w:val="0"/>
                <w:color w:val="FFFFFF"/>
              </w:rPr>
              <w:t>Deforestation in 2019</w:t>
            </w:r>
          </w:p>
        </w:tc>
      </w:tr>
      <w:tr w:rsidR="00333601" w:rsidRPr="00BE78CA" w14:paraId="5B50FF4C" w14:textId="77777777" w:rsidTr="00C26084">
        <w:tc>
          <w:tcPr>
            <w:tcW w:w="2070" w:type="dxa"/>
            <w:vMerge/>
            <w:tcBorders>
              <w:bottom w:val="single" w:sz="4" w:space="0" w:color="365F91"/>
            </w:tcBorders>
            <w:shd w:val="clear" w:color="auto" w:fill="376092"/>
            <w:vAlign w:val="bottom"/>
          </w:tcPr>
          <w:p w14:paraId="334F5B5A" w14:textId="77777777" w:rsidR="00333601" w:rsidRPr="00BE78CA" w:rsidRDefault="00333601" w:rsidP="00C26084">
            <w:pPr>
              <w:pStyle w:val="TableTextBold"/>
              <w:keepNext/>
              <w:jc w:val="center"/>
              <w:rPr>
                <w:noProof w:val="0"/>
                <w:color w:val="FFFFFF"/>
              </w:rPr>
            </w:pPr>
          </w:p>
        </w:tc>
        <w:tc>
          <w:tcPr>
            <w:tcW w:w="1417" w:type="dxa"/>
            <w:vMerge/>
            <w:tcBorders>
              <w:bottom w:val="single" w:sz="4" w:space="0" w:color="365F91"/>
            </w:tcBorders>
            <w:shd w:val="clear" w:color="auto" w:fill="376092"/>
            <w:vAlign w:val="bottom"/>
          </w:tcPr>
          <w:p w14:paraId="06706444" w14:textId="77777777" w:rsidR="00333601" w:rsidRPr="00BE78CA" w:rsidRDefault="00333601" w:rsidP="00C26084">
            <w:pPr>
              <w:pStyle w:val="TableTextBold"/>
              <w:keepNext/>
              <w:jc w:val="center"/>
              <w:rPr>
                <w:noProof w:val="0"/>
                <w:color w:val="FFFFFF"/>
              </w:rPr>
            </w:pPr>
          </w:p>
        </w:tc>
        <w:tc>
          <w:tcPr>
            <w:tcW w:w="1276" w:type="dxa"/>
            <w:tcBorders>
              <w:bottom w:val="single" w:sz="4" w:space="0" w:color="365F91"/>
            </w:tcBorders>
            <w:shd w:val="clear" w:color="auto" w:fill="376092"/>
            <w:vAlign w:val="bottom"/>
          </w:tcPr>
          <w:p w14:paraId="20C32CA4" w14:textId="77777777" w:rsidR="00333601" w:rsidRPr="00BE78CA" w:rsidRDefault="00333601" w:rsidP="00C26084">
            <w:pPr>
              <w:pStyle w:val="TableTextBold"/>
              <w:keepNext/>
              <w:spacing w:before="40"/>
              <w:jc w:val="center"/>
              <w:rPr>
                <w:noProof w:val="0"/>
                <w:color w:val="FFFFFF"/>
              </w:rPr>
            </w:pPr>
            <w:r w:rsidRPr="00BE78CA">
              <w:rPr>
                <w:noProof w:val="0"/>
                <w:color w:val="FFFFFF"/>
              </w:rPr>
              <w:t xml:space="preserve">Deforestation since 1990 </w:t>
            </w:r>
            <w:r w:rsidRPr="00BE78CA">
              <w:rPr>
                <w:noProof w:val="0"/>
                <w:color w:val="FFFFFF"/>
              </w:rPr>
              <w:br/>
              <w:t>Area (ha)</w:t>
            </w:r>
          </w:p>
        </w:tc>
        <w:tc>
          <w:tcPr>
            <w:tcW w:w="1270" w:type="dxa"/>
            <w:tcBorders>
              <w:bottom w:val="single" w:sz="4" w:space="0" w:color="365F91"/>
            </w:tcBorders>
            <w:shd w:val="clear" w:color="auto" w:fill="376092"/>
            <w:vAlign w:val="bottom"/>
          </w:tcPr>
          <w:p w14:paraId="7A94624C" w14:textId="77777777" w:rsidR="00333601" w:rsidRPr="00BE78CA" w:rsidRDefault="00333601" w:rsidP="00C26084">
            <w:pPr>
              <w:pStyle w:val="TableTextBold"/>
              <w:keepNext/>
              <w:jc w:val="center"/>
              <w:rPr>
                <w:noProof w:val="0"/>
                <w:color w:val="FFFFFF"/>
              </w:rPr>
            </w:pPr>
            <w:r w:rsidRPr="00BE78CA">
              <w:rPr>
                <w:noProof w:val="0"/>
                <w:color w:val="FFFFFF"/>
              </w:rPr>
              <w:t>Proportion of 1990 area (%)</w:t>
            </w:r>
          </w:p>
        </w:tc>
        <w:tc>
          <w:tcPr>
            <w:tcW w:w="1140" w:type="dxa"/>
            <w:tcBorders>
              <w:bottom w:val="single" w:sz="4" w:space="0" w:color="365F91"/>
            </w:tcBorders>
            <w:shd w:val="clear" w:color="auto" w:fill="376092"/>
            <w:vAlign w:val="bottom"/>
          </w:tcPr>
          <w:p w14:paraId="298BEBD5" w14:textId="77777777" w:rsidR="00333601" w:rsidRPr="00BE78CA" w:rsidRDefault="00333601" w:rsidP="00C26084">
            <w:pPr>
              <w:pStyle w:val="TableTextBold"/>
              <w:keepNext/>
              <w:jc w:val="center"/>
              <w:rPr>
                <w:noProof w:val="0"/>
                <w:color w:val="FFFFFF"/>
              </w:rPr>
            </w:pPr>
            <w:r w:rsidRPr="00BE78CA">
              <w:rPr>
                <w:noProof w:val="0"/>
                <w:color w:val="FFFFFF"/>
              </w:rPr>
              <w:t>Area (ha)</w:t>
            </w:r>
          </w:p>
        </w:tc>
        <w:tc>
          <w:tcPr>
            <w:tcW w:w="1275" w:type="dxa"/>
            <w:tcBorders>
              <w:bottom w:val="single" w:sz="4" w:space="0" w:color="365F91"/>
            </w:tcBorders>
            <w:shd w:val="clear" w:color="auto" w:fill="376092"/>
            <w:vAlign w:val="bottom"/>
          </w:tcPr>
          <w:p w14:paraId="77E30558" w14:textId="77777777" w:rsidR="00333601" w:rsidRPr="00BE78CA" w:rsidRDefault="00333601" w:rsidP="00C26084">
            <w:pPr>
              <w:pStyle w:val="TableTextBold"/>
              <w:keepNext/>
              <w:jc w:val="center"/>
              <w:rPr>
                <w:noProof w:val="0"/>
                <w:color w:val="FFFFFF"/>
              </w:rPr>
            </w:pPr>
            <w:r w:rsidRPr="00BE78CA">
              <w:rPr>
                <w:noProof w:val="0"/>
                <w:color w:val="FFFFFF"/>
              </w:rPr>
              <w:t>Proportion of 1990 area (%)</w:t>
            </w:r>
          </w:p>
        </w:tc>
      </w:tr>
      <w:tr w:rsidR="00333601" w:rsidRPr="00BE78CA" w14:paraId="1A9382B7" w14:textId="77777777" w:rsidTr="00C26084">
        <w:tc>
          <w:tcPr>
            <w:tcW w:w="2070" w:type="dxa"/>
            <w:tcBorders>
              <w:top w:val="single" w:sz="4" w:space="0" w:color="365F91"/>
              <w:bottom w:val="single" w:sz="4" w:space="0" w:color="365F91"/>
            </w:tcBorders>
          </w:tcPr>
          <w:p w14:paraId="4D5EEA0A" w14:textId="77777777" w:rsidR="00333601" w:rsidRPr="00BE78CA" w:rsidRDefault="00333601" w:rsidP="00C26084">
            <w:pPr>
              <w:pStyle w:val="TableText"/>
              <w:spacing w:before="50" w:after="50"/>
            </w:pPr>
            <w:r w:rsidRPr="00BE78CA">
              <w:t>Pre-1990 natural forest</w:t>
            </w:r>
          </w:p>
        </w:tc>
        <w:tc>
          <w:tcPr>
            <w:tcW w:w="1417" w:type="dxa"/>
            <w:tcBorders>
              <w:top w:val="single" w:sz="4" w:space="0" w:color="365F91"/>
              <w:bottom w:val="single" w:sz="4" w:space="0" w:color="365F91"/>
            </w:tcBorders>
          </w:tcPr>
          <w:p w14:paraId="4D455CE5" w14:textId="77777777" w:rsidR="00333601" w:rsidRPr="00BE78CA" w:rsidRDefault="00333601" w:rsidP="00C26084">
            <w:pPr>
              <w:pStyle w:val="TableText"/>
              <w:spacing w:before="50" w:after="50"/>
              <w:jc w:val="center"/>
            </w:pPr>
            <w:r w:rsidRPr="00BE78CA">
              <w:t>7,822,817</w:t>
            </w:r>
          </w:p>
        </w:tc>
        <w:tc>
          <w:tcPr>
            <w:tcW w:w="1276" w:type="dxa"/>
            <w:tcBorders>
              <w:top w:val="single" w:sz="4" w:space="0" w:color="365F91"/>
              <w:bottom w:val="single" w:sz="4" w:space="0" w:color="365F91"/>
            </w:tcBorders>
          </w:tcPr>
          <w:p w14:paraId="7909A02B" w14:textId="77777777" w:rsidR="00333601" w:rsidRPr="00BE78CA" w:rsidRDefault="00333601" w:rsidP="00C26084">
            <w:pPr>
              <w:pStyle w:val="TableText"/>
              <w:spacing w:before="50" w:after="50"/>
              <w:jc w:val="center"/>
            </w:pPr>
            <w:r w:rsidRPr="00BE78CA">
              <w:t>45,363</w:t>
            </w:r>
          </w:p>
        </w:tc>
        <w:tc>
          <w:tcPr>
            <w:tcW w:w="1270" w:type="dxa"/>
            <w:tcBorders>
              <w:top w:val="single" w:sz="4" w:space="0" w:color="365F91"/>
              <w:bottom w:val="single" w:sz="4" w:space="0" w:color="365F91"/>
            </w:tcBorders>
          </w:tcPr>
          <w:p w14:paraId="01528FCE" w14:textId="77777777" w:rsidR="00333601" w:rsidRPr="00BE78CA" w:rsidRDefault="00333601" w:rsidP="00C26084">
            <w:pPr>
              <w:pStyle w:val="TableText"/>
              <w:spacing w:before="50" w:after="50"/>
              <w:jc w:val="center"/>
            </w:pPr>
            <w:r w:rsidRPr="00BE78CA">
              <w:t>0.58</w:t>
            </w:r>
          </w:p>
        </w:tc>
        <w:tc>
          <w:tcPr>
            <w:tcW w:w="1140" w:type="dxa"/>
            <w:tcBorders>
              <w:top w:val="single" w:sz="4" w:space="0" w:color="365F91"/>
              <w:bottom w:val="single" w:sz="4" w:space="0" w:color="365F91"/>
            </w:tcBorders>
          </w:tcPr>
          <w:p w14:paraId="576380D1" w14:textId="77777777" w:rsidR="00333601" w:rsidRPr="00BE78CA" w:rsidRDefault="00333601" w:rsidP="00C26084">
            <w:pPr>
              <w:pStyle w:val="TableText"/>
              <w:spacing w:before="50" w:after="50"/>
              <w:jc w:val="center"/>
            </w:pPr>
            <w:r w:rsidRPr="00BE78CA">
              <w:t>750</w:t>
            </w:r>
          </w:p>
        </w:tc>
        <w:tc>
          <w:tcPr>
            <w:tcW w:w="1275" w:type="dxa"/>
            <w:tcBorders>
              <w:top w:val="single" w:sz="4" w:space="0" w:color="365F91"/>
              <w:bottom w:val="single" w:sz="4" w:space="0" w:color="365F91"/>
            </w:tcBorders>
          </w:tcPr>
          <w:p w14:paraId="1F51A77F" w14:textId="77777777" w:rsidR="00333601" w:rsidRPr="00BE78CA" w:rsidRDefault="00333601" w:rsidP="00C26084">
            <w:pPr>
              <w:pStyle w:val="TableText"/>
              <w:spacing w:before="50" w:after="50"/>
              <w:jc w:val="center"/>
            </w:pPr>
            <w:r w:rsidRPr="00BE78CA">
              <w:t>0.01</w:t>
            </w:r>
          </w:p>
        </w:tc>
      </w:tr>
      <w:tr w:rsidR="00333601" w:rsidRPr="00BE78CA" w14:paraId="6C285972" w14:textId="77777777" w:rsidTr="00C26084">
        <w:tc>
          <w:tcPr>
            <w:tcW w:w="2070" w:type="dxa"/>
            <w:tcBorders>
              <w:top w:val="single" w:sz="4" w:space="0" w:color="365F91"/>
              <w:bottom w:val="single" w:sz="4" w:space="0" w:color="365F91"/>
            </w:tcBorders>
          </w:tcPr>
          <w:p w14:paraId="280A5636" w14:textId="77777777" w:rsidR="00333601" w:rsidRPr="00BE78CA" w:rsidRDefault="00333601" w:rsidP="00C26084">
            <w:pPr>
              <w:pStyle w:val="TableText"/>
              <w:spacing w:before="50" w:after="50"/>
            </w:pPr>
            <w:r w:rsidRPr="00BE78CA">
              <w:t>Pre-1990 planted forest</w:t>
            </w:r>
          </w:p>
        </w:tc>
        <w:tc>
          <w:tcPr>
            <w:tcW w:w="1417" w:type="dxa"/>
            <w:tcBorders>
              <w:top w:val="single" w:sz="4" w:space="0" w:color="365F91"/>
              <w:bottom w:val="single" w:sz="4" w:space="0" w:color="365F91"/>
            </w:tcBorders>
          </w:tcPr>
          <w:p w14:paraId="2F9A2425" w14:textId="77777777" w:rsidR="00333601" w:rsidRPr="00BE78CA" w:rsidRDefault="00333601" w:rsidP="00C26084">
            <w:pPr>
              <w:pStyle w:val="TableText"/>
              <w:spacing w:before="50" w:after="50"/>
              <w:jc w:val="center"/>
              <w:rPr>
                <w:i/>
                <w:iCs/>
                <w:szCs w:val="24"/>
              </w:rPr>
            </w:pPr>
            <w:r w:rsidRPr="00BE78CA">
              <w:t>1,546,364</w:t>
            </w:r>
          </w:p>
        </w:tc>
        <w:tc>
          <w:tcPr>
            <w:tcW w:w="1276" w:type="dxa"/>
            <w:tcBorders>
              <w:top w:val="single" w:sz="4" w:space="0" w:color="365F91"/>
              <w:bottom w:val="single" w:sz="4" w:space="0" w:color="365F91"/>
            </w:tcBorders>
          </w:tcPr>
          <w:p w14:paraId="476960B4" w14:textId="77777777" w:rsidR="00333601" w:rsidRPr="00BE78CA" w:rsidRDefault="00333601" w:rsidP="00C26084">
            <w:pPr>
              <w:pStyle w:val="TableText"/>
              <w:spacing w:before="50" w:after="50"/>
              <w:jc w:val="center"/>
              <w:rPr>
                <w:bCs/>
                <w:i/>
                <w:iCs/>
                <w:szCs w:val="24"/>
              </w:rPr>
            </w:pPr>
            <w:r w:rsidRPr="00BE78CA">
              <w:t>130,738</w:t>
            </w:r>
          </w:p>
        </w:tc>
        <w:tc>
          <w:tcPr>
            <w:tcW w:w="1270" w:type="dxa"/>
            <w:tcBorders>
              <w:top w:val="single" w:sz="4" w:space="0" w:color="365F91"/>
              <w:bottom w:val="single" w:sz="4" w:space="0" w:color="365F91"/>
            </w:tcBorders>
          </w:tcPr>
          <w:p w14:paraId="30AFBB40" w14:textId="77777777" w:rsidR="00333601" w:rsidRPr="00BE78CA" w:rsidRDefault="00333601" w:rsidP="00C26084">
            <w:pPr>
              <w:pStyle w:val="TableText"/>
              <w:spacing w:before="50" w:after="50"/>
              <w:jc w:val="center"/>
              <w:rPr>
                <w:bCs/>
                <w:i/>
                <w:iCs/>
                <w:szCs w:val="24"/>
              </w:rPr>
            </w:pPr>
            <w:r w:rsidRPr="00BE78CA">
              <w:t>8.45</w:t>
            </w:r>
          </w:p>
        </w:tc>
        <w:tc>
          <w:tcPr>
            <w:tcW w:w="1140" w:type="dxa"/>
            <w:tcBorders>
              <w:top w:val="single" w:sz="4" w:space="0" w:color="365F91"/>
              <w:bottom w:val="single" w:sz="4" w:space="0" w:color="365F91"/>
            </w:tcBorders>
          </w:tcPr>
          <w:p w14:paraId="60AF4244" w14:textId="77777777" w:rsidR="00333601" w:rsidRPr="00BE78CA" w:rsidRDefault="00333601" w:rsidP="00C26084">
            <w:pPr>
              <w:pStyle w:val="TableText"/>
              <w:spacing w:before="50" w:after="50"/>
              <w:jc w:val="center"/>
              <w:rPr>
                <w:bCs/>
                <w:i/>
                <w:iCs/>
                <w:szCs w:val="24"/>
              </w:rPr>
            </w:pPr>
            <w:r w:rsidRPr="00BE78CA">
              <w:t>3,108</w:t>
            </w:r>
          </w:p>
        </w:tc>
        <w:tc>
          <w:tcPr>
            <w:tcW w:w="1275" w:type="dxa"/>
            <w:tcBorders>
              <w:top w:val="single" w:sz="4" w:space="0" w:color="365F91"/>
              <w:bottom w:val="single" w:sz="4" w:space="0" w:color="365F91"/>
            </w:tcBorders>
          </w:tcPr>
          <w:p w14:paraId="3E8E1780" w14:textId="77777777" w:rsidR="00333601" w:rsidRPr="00BE78CA" w:rsidRDefault="00333601" w:rsidP="00C26084">
            <w:pPr>
              <w:pStyle w:val="TableText"/>
              <w:spacing w:before="50" w:after="50"/>
              <w:jc w:val="center"/>
              <w:rPr>
                <w:bCs/>
                <w:i/>
                <w:iCs/>
                <w:szCs w:val="24"/>
              </w:rPr>
            </w:pPr>
            <w:r w:rsidRPr="00BE78CA">
              <w:t>0.20</w:t>
            </w:r>
          </w:p>
        </w:tc>
      </w:tr>
      <w:tr w:rsidR="00333601" w:rsidRPr="00BE78CA" w14:paraId="271F8895" w14:textId="77777777" w:rsidTr="00C26084">
        <w:tc>
          <w:tcPr>
            <w:tcW w:w="2070" w:type="dxa"/>
            <w:tcBorders>
              <w:top w:val="single" w:sz="4" w:space="0" w:color="365F91"/>
              <w:bottom w:val="single" w:sz="4" w:space="0" w:color="365F91"/>
            </w:tcBorders>
          </w:tcPr>
          <w:p w14:paraId="62FC6359" w14:textId="77777777" w:rsidR="00333601" w:rsidRPr="00BE78CA" w:rsidRDefault="00333601" w:rsidP="00C26084">
            <w:pPr>
              <w:pStyle w:val="TableText"/>
              <w:spacing w:before="50" w:after="50"/>
            </w:pPr>
            <w:r w:rsidRPr="00BE78CA">
              <w:t>Post-1989 planted forest</w:t>
            </w:r>
          </w:p>
        </w:tc>
        <w:tc>
          <w:tcPr>
            <w:tcW w:w="1417" w:type="dxa"/>
            <w:tcBorders>
              <w:top w:val="single" w:sz="4" w:space="0" w:color="365F91"/>
              <w:bottom w:val="single" w:sz="4" w:space="0" w:color="365F91"/>
            </w:tcBorders>
          </w:tcPr>
          <w:p w14:paraId="077C2DC5" w14:textId="77777777" w:rsidR="00333601" w:rsidRPr="00BE78CA" w:rsidRDefault="00333601" w:rsidP="00C26084">
            <w:pPr>
              <w:pStyle w:val="TableText"/>
              <w:spacing w:before="50" w:after="50"/>
              <w:jc w:val="center"/>
              <w:rPr>
                <w:szCs w:val="24"/>
              </w:rPr>
            </w:pPr>
            <w:r w:rsidRPr="00BE78CA">
              <w:t>0</w:t>
            </w:r>
          </w:p>
        </w:tc>
        <w:tc>
          <w:tcPr>
            <w:tcW w:w="1276" w:type="dxa"/>
            <w:tcBorders>
              <w:top w:val="single" w:sz="4" w:space="0" w:color="365F91"/>
              <w:bottom w:val="single" w:sz="4" w:space="0" w:color="365F91"/>
            </w:tcBorders>
          </w:tcPr>
          <w:p w14:paraId="41F48947" w14:textId="77777777" w:rsidR="00333601" w:rsidRPr="00BE78CA" w:rsidRDefault="00333601" w:rsidP="00C26084">
            <w:pPr>
              <w:pStyle w:val="TableText"/>
              <w:spacing w:before="50" w:after="50"/>
              <w:jc w:val="center"/>
              <w:rPr>
                <w:i/>
                <w:iCs/>
                <w:szCs w:val="24"/>
              </w:rPr>
            </w:pPr>
            <w:r w:rsidRPr="00BE78CA">
              <w:t>29,496</w:t>
            </w:r>
          </w:p>
        </w:tc>
        <w:tc>
          <w:tcPr>
            <w:tcW w:w="1270" w:type="dxa"/>
            <w:tcBorders>
              <w:top w:val="single" w:sz="4" w:space="0" w:color="365F91"/>
              <w:bottom w:val="single" w:sz="4" w:space="0" w:color="365F91"/>
            </w:tcBorders>
          </w:tcPr>
          <w:p w14:paraId="5D4330CC" w14:textId="77777777" w:rsidR="00333601" w:rsidRPr="00BE78CA" w:rsidRDefault="00333601" w:rsidP="00C26084">
            <w:pPr>
              <w:pStyle w:val="TableText"/>
              <w:spacing w:before="50" w:after="50"/>
              <w:jc w:val="center"/>
              <w:rPr>
                <w:i/>
                <w:iCs/>
                <w:szCs w:val="24"/>
              </w:rPr>
            </w:pPr>
            <w:r w:rsidRPr="00BE78CA">
              <w:t>NA</w:t>
            </w:r>
          </w:p>
        </w:tc>
        <w:tc>
          <w:tcPr>
            <w:tcW w:w="1140" w:type="dxa"/>
            <w:tcBorders>
              <w:top w:val="single" w:sz="4" w:space="0" w:color="365F91"/>
              <w:bottom w:val="single" w:sz="4" w:space="0" w:color="365F91"/>
            </w:tcBorders>
          </w:tcPr>
          <w:p w14:paraId="75B3F14D" w14:textId="77777777" w:rsidR="00333601" w:rsidRPr="00BE78CA" w:rsidRDefault="00333601" w:rsidP="00C26084">
            <w:pPr>
              <w:pStyle w:val="TableText"/>
              <w:spacing w:before="50" w:after="50"/>
              <w:jc w:val="center"/>
              <w:rPr>
                <w:i/>
                <w:iCs/>
                <w:szCs w:val="24"/>
              </w:rPr>
            </w:pPr>
            <w:r w:rsidRPr="00BE78CA">
              <w:t>885</w:t>
            </w:r>
          </w:p>
        </w:tc>
        <w:tc>
          <w:tcPr>
            <w:tcW w:w="1275" w:type="dxa"/>
            <w:tcBorders>
              <w:top w:val="single" w:sz="4" w:space="0" w:color="365F91"/>
              <w:bottom w:val="single" w:sz="4" w:space="0" w:color="365F91"/>
            </w:tcBorders>
          </w:tcPr>
          <w:p w14:paraId="133D0618" w14:textId="77777777" w:rsidR="00333601" w:rsidRPr="00BE78CA" w:rsidRDefault="00333601" w:rsidP="00C26084">
            <w:pPr>
              <w:pStyle w:val="TableText"/>
              <w:spacing w:before="50" w:after="50"/>
              <w:jc w:val="center"/>
              <w:rPr>
                <w:i/>
                <w:iCs/>
                <w:szCs w:val="24"/>
              </w:rPr>
            </w:pPr>
            <w:r w:rsidRPr="00BE78CA">
              <w:t>NA</w:t>
            </w:r>
          </w:p>
        </w:tc>
      </w:tr>
      <w:tr w:rsidR="00333601" w:rsidRPr="00BE78CA" w14:paraId="339D2A1D" w14:textId="77777777" w:rsidTr="00C26084">
        <w:tc>
          <w:tcPr>
            <w:tcW w:w="2070" w:type="dxa"/>
            <w:tcBorders>
              <w:top w:val="single" w:sz="4" w:space="0" w:color="365F91"/>
              <w:bottom w:val="single" w:sz="4" w:space="0" w:color="365F91"/>
            </w:tcBorders>
          </w:tcPr>
          <w:p w14:paraId="7FC78900" w14:textId="77777777" w:rsidR="00333601" w:rsidRPr="00BE78CA" w:rsidRDefault="00333601" w:rsidP="00C26084">
            <w:pPr>
              <w:pStyle w:val="TableText"/>
              <w:spacing w:before="50" w:after="50"/>
            </w:pPr>
            <w:r w:rsidRPr="00BE78CA">
              <w:t>Post-1989 natural forest</w:t>
            </w:r>
          </w:p>
        </w:tc>
        <w:tc>
          <w:tcPr>
            <w:tcW w:w="1417" w:type="dxa"/>
            <w:tcBorders>
              <w:top w:val="single" w:sz="4" w:space="0" w:color="365F91"/>
              <w:bottom w:val="single" w:sz="4" w:space="0" w:color="365F91"/>
            </w:tcBorders>
          </w:tcPr>
          <w:p w14:paraId="24DFD324" w14:textId="77777777" w:rsidR="00333601" w:rsidRPr="00BE78CA" w:rsidRDefault="00333601" w:rsidP="00C26084">
            <w:pPr>
              <w:pStyle w:val="TableText"/>
              <w:spacing w:before="50" w:after="50"/>
              <w:jc w:val="center"/>
            </w:pPr>
            <w:r w:rsidRPr="00BE78CA">
              <w:t>0</w:t>
            </w:r>
          </w:p>
        </w:tc>
        <w:tc>
          <w:tcPr>
            <w:tcW w:w="1276" w:type="dxa"/>
            <w:tcBorders>
              <w:top w:val="single" w:sz="4" w:space="0" w:color="365F91"/>
              <w:bottom w:val="single" w:sz="4" w:space="0" w:color="365F91"/>
            </w:tcBorders>
          </w:tcPr>
          <w:p w14:paraId="39B3D595" w14:textId="77777777" w:rsidR="00333601" w:rsidRPr="00BE78CA" w:rsidRDefault="00333601" w:rsidP="00C26084">
            <w:pPr>
              <w:pStyle w:val="TableText"/>
              <w:spacing w:before="50" w:after="50"/>
              <w:jc w:val="center"/>
            </w:pPr>
            <w:r w:rsidRPr="00BE78CA">
              <w:t>752</w:t>
            </w:r>
          </w:p>
        </w:tc>
        <w:tc>
          <w:tcPr>
            <w:tcW w:w="1270" w:type="dxa"/>
            <w:tcBorders>
              <w:top w:val="single" w:sz="4" w:space="0" w:color="365F91"/>
              <w:bottom w:val="single" w:sz="4" w:space="0" w:color="365F91"/>
            </w:tcBorders>
          </w:tcPr>
          <w:p w14:paraId="4315963C" w14:textId="77777777" w:rsidR="00333601" w:rsidRPr="00BE78CA" w:rsidRDefault="00333601" w:rsidP="00C26084">
            <w:pPr>
              <w:pStyle w:val="TableText"/>
              <w:spacing w:before="50" w:after="50"/>
              <w:jc w:val="center"/>
            </w:pPr>
            <w:r w:rsidRPr="00BE78CA">
              <w:t>NA</w:t>
            </w:r>
          </w:p>
        </w:tc>
        <w:tc>
          <w:tcPr>
            <w:tcW w:w="1140" w:type="dxa"/>
            <w:tcBorders>
              <w:top w:val="single" w:sz="4" w:space="0" w:color="365F91"/>
              <w:bottom w:val="single" w:sz="4" w:space="0" w:color="365F91"/>
            </w:tcBorders>
          </w:tcPr>
          <w:p w14:paraId="2E316539" w14:textId="77777777" w:rsidR="00333601" w:rsidRPr="00BE78CA" w:rsidRDefault="00333601" w:rsidP="00C26084">
            <w:pPr>
              <w:pStyle w:val="TableText"/>
              <w:spacing w:before="50" w:after="50"/>
              <w:jc w:val="center"/>
            </w:pPr>
            <w:r w:rsidRPr="00BE78CA">
              <w:t>59</w:t>
            </w:r>
          </w:p>
        </w:tc>
        <w:tc>
          <w:tcPr>
            <w:tcW w:w="1275" w:type="dxa"/>
            <w:tcBorders>
              <w:top w:val="single" w:sz="4" w:space="0" w:color="365F91"/>
              <w:bottom w:val="single" w:sz="4" w:space="0" w:color="365F91"/>
            </w:tcBorders>
          </w:tcPr>
          <w:p w14:paraId="380504FD" w14:textId="77777777" w:rsidR="00333601" w:rsidRPr="00BE78CA" w:rsidRDefault="00333601" w:rsidP="00C26084">
            <w:pPr>
              <w:pStyle w:val="TableText"/>
              <w:spacing w:before="50" w:after="50"/>
              <w:jc w:val="center"/>
            </w:pPr>
            <w:r w:rsidRPr="00BE78CA">
              <w:t>NA</w:t>
            </w:r>
          </w:p>
        </w:tc>
      </w:tr>
      <w:tr w:rsidR="00333601" w:rsidRPr="00BE78CA" w14:paraId="5CE51026" w14:textId="77777777" w:rsidTr="00C26084">
        <w:tc>
          <w:tcPr>
            <w:tcW w:w="2070" w:type="dxa"/>
            <w:tcBorders>
              <w:top w:val="single" w:sz="4" w:space="0" w:color="365F91"/>
              <w:bottom w:val="single" w:sz="4" w:space="0" w:color="365F91"/>
            </w:tcBorders>
          </w:tcPr>
          <w:p w14:paraId="2F6569F6" w14:textId="77777777" w:rsidR="00333601" w:rsidRPr="00BE78CA" w:rsidRDefault="00333601" w:rsidP="00C26084">
            <w:pPr>
              <w:pStyle w:val="Tableboldblue"/>
              <w:jc w:val="right"/>
            </w:pPr>
            <w:r w:rsidRPr="00BE78CA">
              <w:t>Total</w:t>
            </w:r>
          </w:p>
        </w:tc>
        <w:tc>
          <w:tcPr>
            <w:tcW w:w="1417" w:type="dxa"/>
            <w:tcBorders>
              <w:top w:val="single" w:sz="4" w:space="0" w:color="365F91"/>
              <w:bottom w:val="single" w:sz="4" w:space="0" w:color="365F91"/>
            </w:tcBorders>
          </w:tcPr>
          <w:p w14:paraId="609ECA85" w14:textId="77777777" w:rsidR="00333601" w:rsidRPr="00BE78CA" w:rsidRDefault="00333601" w:rsidP="00C26084">
            <w:pPr>
              <w:pStyle w:val="Tableboldblue"/>
              <w:jc w:val="center"/>
            </w:pPr>
            <w:r w:rsidRPr="00BE78CA">
              <w:t>9,369,181</w:t>
            </w:r>
          </w:p>
        </w:tc>
        <w:tc>
          <w:tcPr>
            <w:tcW w:w="1276" w:type="dxa"/>
            <w:tcBorders>
              <w:top w:val="single" w:sz="4" w:space="0" w:color="365F91"/>
              <w:bottom w:val="single" w:sz="4" w:space="0" w:color="365F91"/>
            </w:tcBorders>
          </w:tcPr>
          <w:p w14:paraId="46CC4D72" w14:textId="77777777" w:rsidR="00333601" w:rsidRPr="00BE78CA" w:rsidRDefault="00333601" w:rsidP="00C26084">
            <w:pPr>
              <w:pStyle w:val="Tableboldblue"/>
              <w:jc w:val="center"/>
            </w:pPr>
            <w:r w:rsidRPr="00BE78CA">
              <w:t>206,350</w:t>
            </w:r>
          </w:p>
        </w:tc>
        <w:tc>
          <w:tcPr>
            <w:tcW w:w="1270" w:type="dxa"/>
            <w:tcBorders>
              <w:top w:val="single" w:sz="4" w:space="0" w:color="365F91"/>
              <w:bottom w:val="single" w:sz="4" w:space="0" w:color="365F91"/>
            </w:tcBorders>
          </w:tcPr>
          <w:p w14:paraId="26C3F54B" w14:textId="77777777" w:rsidR="00333601" w:rsidRPr="00BE78CA" w:rsidRDefault="00333601" w:rsidP="00C26084">
            <w:pPr>
              <w:pStyle w:val="Tableboldblue"/>
              <w:jc w:val="center"/>
            </w:pPr>
            <w:r w:rsidRPr="00BE78CA">
              <w:t>2.20</w:t>
            </w:r>
          </w:p>
        </w:tc>
        <w:tc>
          <w:tcPr>
            <w:tcW w:w="1140" w:type="dxa"/>
            <w:tcBorders>
              <w:top w:val="single" w:sz="4" w:space="0" w:color="365F91"/>
              <w:bottom w:val="single" w:sz="4" w:space="0" w:color="365F91"/>
            </w:tcBorders>
          </w:tcPr>
          <w:p w14:paraId="46A600C8" w14:textId="77777777" w:rsidR="00333601" w:rsidRPr="00BE78CA" w:rsidRDefault="00333601" w:rsidP="00C26084">
            <w:pPr>
              <w:pStyle w:val="Tableboldblue"/>
              <w:jc w:val="center"/>
            </w:pPr>
            <w:bookmarkStart w:id="1720" w:name="_Hlk57205596"/>
            <w:r w:rsidRPr="00BE78CA">
              <w:t>4,802</w:t>
            </w:r>
            <w:bookmarkEnd w:id="1720"/>
          </w:p>
        </w:tc>
        <w:tc>
          <w:tcPr>
            <w:tcW w:w="1275" w:type="dxa"/>
            <w:tcBorders>
              <w:top w:val="single" w:sz="4" w:space="0" w:color="365F91"/>
              <w:bottom w:val="single" w:sz="4" w:space="0" w:color="365F91"/>
            </w:tcBorders>
          </w:tcPr>
          <w:p w14:paraId="6978DDE2" w14:textId="77777777" w:rsidR="00333601" w:rsidRPr="00BE78CA" w:rsidRDefault="00333601" w:rsidP="00C26084">
            <w:pPr>
              <w:pStyle w:val="Tableboldblue"/>
              <w:jc w:val="center"/>
            </w:pPr>
            <w:r w:rsidRPr="00BE78CA">
              <w:t>0.05</w:t>
            </w:r>
          </w:p>
        </w:tc>
      </w:tr>
    </w:tbl>
    <w:p w14:paraId="5AA974F8" w14:textId="77777777" w:rsidR="00333601" w:rsidRPr="00BE78CA" w:rsidRDefault="00333601" w:rsidP="00333601">
      <w:pPr>
        <w:pStyle w:val="Noteundertable"/>
      </w:pPr>
      <w:r w:rsidRPr="00BE78CA">
        <w:rPr>
          <w:b/>
        </w:rPr>
        <w:t>Note:</w:t>
      </w:r>
      <w:r w:rsidRPr="00BE78CA">
        <w:tab/>
        <w:t>NA = not applicable. The 2019 areas are as at 31 December 2019; 1990 areas are as at 1 January 1990 and, therefore, differ from 1990 area values in the CRF tables, which are as at 31 December 1990. Columns may not total due to rounding.</w:t>
      </w:r>
    </w:p>
    <w:p w14:paraId="31F92EE7" w14:textId="77777777" w:rsidR="00333601" w:rsidRPr="00BE78CA" w:rsidRDefault="00333601" w:rsidP="00333601">
      <w:pPr>
        <w:pStyle w:val="BodyText"/>
      </w:pPr>
      <w:r w:rsidRPr="00BE78CA">
        <w:t xml:space="preserve">The conversion of </w:t>
      </w:r>
      <w:r w:rsidRPr="00BE78CA">
        <w:rPr>
          <w:i/>
        </w:rPr>
        <w:t>Forest land</w:t>
      </w:r>
      <w:r w:rsidRPr="00BE78CA">
        <w:t xml:space="preserve"> to </w:t>
      </w:r>
      <w:r w:rsidRPr="00BE78CA">
        <w:rPr>
          <w:i/>
        </w:rPr>
        <w:t>Grassland</w:t>
      </w:r>
      <w:r w:rsidRPr="00BE78CA">
        <w:t xml:space="preserve"> is due in part to the relative profitability of some forms of pastoral farming (particularly dairy farming) compared with forestry. </w:t>
      </w:r>
    </w:p>
    <w:p w14:paraId="3F892178" w14:textId="77777777" w:rsidR="00333601" w:rsidRPr="00BE78CA" w:rsidRDefault="00333601" w:rsidP="00333601">
      <w:pPr>
        <w:pStyle w:val="BodyText"/>
      </w:pPr>
      <w:r w:rsidRPr="00BE78CA">
        <w:t>Figure 6.4.3 illustrates the increase in planted forest deforestation that occurred leading up to 2008 and the decrease after the introduction of the NZ ETS in 2008.</w:t>
      </w:r>
    </w:p>
    <w:p w14:paraId="0AD5D25D" w14:textId="77777777" w:rsidR="00333601" w:rsidRPr="00BE78CA" w:rsidRDefault="00333601" w:rsidP="00333601">
      <w:pPr>
        <w:pStyle w:val="BodyText"/>
      </w:pPr>
      <w:r w:rsidRPr="00BE78CA">
        <w:t>During the first Kyoto Protocol commitment period (2008–12), it was expected the level of deforestation would continue to be less than that seen prior to the introduction of the NZ ETS in 2008 (Manley, 2009). However, throughout the first commitment period of the Kyoto Protocol, the carbon price was in steady decline and deforestation rates during this period were higher than expected. The low carbon price reduced the liability on forest owners for deforestation. The exclusion of international units from the NZ ETS on 31 May 2015 and the announcements leading up to the Climate Change Response (Emissions Trading Reform) Amendment Act</w:t>
      </w:r>
      <w:r w:rsidRPr="00BE78CA" w:rsidDel="00F67267">
        <w:t xml:space="preserve"> </w:t>
      </w:r>
      <w:r w:rsidRPr="00BE78CA">
        <w:t>2020 have contributed to higher carbon prices. These higher carbon prices have subsequently contributed to a reduction in deforestation and increased the uptake of the carbon equivalent forests provision from 2015.</w:t>
      </w:r>
      <w:bookmarkStart w:id="1721" w:name="_Toc318362752"/>
      <w:bookmarkStart w:id="1722" w:name="_Toc342470832"/>
      <w:bookmarkStart w:id="1723" w:name="_Toc352505160"/>
      <w:bookmarkStart w:id="1724" w:name="_Toc373395720"/>
      <w:bookmarkStart w:id="1725" w:name="_Toc378853343"/>
      <w:bookmarkStart w:id="1726" w:name="_Toc405448093"/>
      <w:bookmarkStart w:id="1727" w:name="_Toc414531625"/>
      <w:bookmarkStart w:id="1728" w:name="_Toc474914648"/>
      <w:bookmarkStart w:id="1729" w:name="_Toc481752030"/>
      <w:bookmarkStart w:id="1730" w:name="_Toc522010708"/>
    </w:p>
    <w:p w14:paraId="47F3DE20" w14:textId="77777777" w:rsidR="00333601" w:rsidRPr="00BE78CA" w:rsidRDefault="00333601" w:rsidP="00333601">
      <w:pPr>
        <w:pStyle w:val="Figure"/>
        <w:spacing w:after="0"/>
      </w:pPr>
      <w:bookmarkStart w:id="1731" w:name="_Toc33529483"/>
      <w:bookmarkStart w:id="1732" w:name="_Toc36292813"/>
      <w:bookmarkStart w:id="1733" w:name="_Toc65244105"/>
      <w:bookmarkStart w:id="1734" w:name="_Toc68786678"/>
      <w:r w:rsidRPr="00BE78CA">
        <w:lastRenderedPageBreak/>
        <w:t>Figure 6.4.3</w:t>
      </w:r>
      <w:r w:rsidRPr="00BE78CA">
        <w:tab/>
        <w:t xml:space="preserve">New Zealand’s area of deforestation since 1990, by Forest land </w:t>
      </w:r>
      <w:bookmarkEnd w:id="1721"/>
      <w:bookmarkEnd w:id="1722"/>
      <w:bookmarkEnd w:id="1723"/>
      <w:bookmarkEnd w:id="1724"/>
      <w:bookmarkEnd w:id="1725"/>
      <w:bookmarkEnd w:id="1726"/>
      <w:bookmarkEnd w:id="1727"/>
      <w:r w:rsidRPr="00BE78CA">
        <w:t>category</w:t>
      </w:r>
      <w:bookmarkEnd w:id="1728"/>
      <w:bookmarkEnd w:id="1729"/>
      <w:bookmarkEnd w:id="1730"/>
      <w:bookmarkEnd w:id="1731"/>
      <w:bookmarkEnd w:id="1732"/>
      <w:bookmarkEnd w:id="1733"/>
      <w:bookmarkEnd w:id="1734"/>
    </w:p>
    <w:p w14:paraId="719D4F22" w14:textId="77777777" w:rsidR="00333601" w:rsidRPr="00BE78CA" w:rsidRDefault="00333601" w:rsidP="00333601">
      <w:pPr>
        <w:pStyle w:val="BodyText"/>
      </w:pPr>
      <w:r w:rsidRPr="00BE78CA">
        <w:rPr>
          <w:noProof/>
        </w:rPr>
        <w:drawing>
          <wp:inline distT="0" distB="0" distL="0" distR="0" wp14:anchorId="54DE5B10" wp14:editId="71585AF0">
            <wp:extent cx="5400675" cy="3140015"/>
            <wp:effectExtent l="0" t="0" r="0" b="3810"/>
            <wp:docPr id="40" name="Chart 40">
              <a:extLst xmlns:a="http://schemas.openxmlformats.org/drawingml/2006/main">
                <a:ext uri="{FF2B5EF4-FFF2-40B4-BE49-F238E27FC236}">
                  <a16:creationId xmlns:a16="http://schemas.microsoft.com/office/drawing/2014/main" id="{00000000-0008-0000-07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5"/>
              </a:graphicData>
            </a:graphic>
          </wp:inline>
        </w:drawing>
      </w:r>
    </w:p>
    <w:p w14:paraId="3AF1BF91" w14:textId="77777777" w:rsidR="00333601" w:rsidRPr="00BE78CA" w:rsidRDefault="00333601" w:rsidP="00333601">
      <w:pPr>
        <w:pStyle w:val="BodyText"/>
      </w:pPr>
      <w:r w:rsidRPr="00BE78CA">
        <w:t xml:space="preserve">No data are available on the deforestation profile of pre-1990 natural forests between 1990 and 2007 and, as a result, the total area of deforestation detected over this period is allocated evenly across the years. The rate of pre-1990 and post-1989 natural forest deforestation has been confirmed between 2008 and 2016 through satellite image mapping of deforestation (see figure 6.2.6). </w:t>
      </w:r>
    </w:p>
    <w:p w14:paraId="674EED06" w14:textId="77777777" w:rsidR="00333601" w:rsidRPr="00BE78CA" w:rsidRDefault="00333601" w:rsidP="00333601">
      <w:pPr>
        <w:pStyle w:val="BodyText"/>
      </w:pPr>
      <w:r w:rsidRPr="00BE78CA">
        <w:t>New Zealand assumes instant emissions of all biomass carbon at the time of deforestation, based on the following.</w:t>
      </w:r>
    </w:p>
    <w:p w14:paraId="59E7E6BB" w14:textId="77777777" w:rsidR="00333601" w:rsidRPr="00BE78CA" w:rsidRDefault="00333601" w:rsidP="00FA2314">
      <w:pPr>
        <w:pStyle w:val="Bullet"/>
        <w:numPr>
          <w:ilvl w:val="0"/>
          <w:numId w:val="25"/>
        </w:numPr>
      </w:pPr>
      <w:r w:rsidRPr="00BE78CA">
        <w:t xml:space="preserve">Most deforestation since 2000 has resulted from land conversion to </w:t>
      </w:r>
      <w:r w:rsidRPr="00BE78CA">
        <w:rPr>
          <w:i/>
          <w:iCs/>
        </w:rPr>
        <w:t>Grassland</w:t>
      </w:r>
      <w:r w:rsidRPr="00BE78CA">
        <w:t>, leading to the rapid removal of all biomass as the land is prepared for farming.</w:t>
      </w:r>
    </w:p>
    <w:p w14:paraId="308B6ED3" w14:textId="77777777" w:rsidR="00333601" w:rsidRPr="00BE78CA" w:rsidRDefault="00333601" w:rsidP="00FA2314">
      <w:pPr>
        <w:pStyle w:val="Bullet"/>
        <w:numPr>
          <w:ilvl w:val="0"/>
          <w:numId w:val="25"/>
        </w:numPr>
      </w:pPr>
      <w:r w:rsidRPr="00BE78CA">
        <w:t>It is not practical to estimate emissions from residues following deforestation activity given the rapid conversion from one land use to another and the multiple methods of removing residues. Furthermore, estimating biomass residue and decay rates for multiple disposal methods is difficult and costly.</w:t>
      </w:r>
    </w:p>
    <w:p w14:paraId="702754CA" w14:textId="77777777" w:rsidR="00333601" w:rsidRPr="00BE78CA" w:rsidRDefault="00333601" w:rsidP="00333601">
      <w:pPr>
        <w:pStyle w:val="BodyText"/>
      </w:pPr>
      <w:r w:rsidRPr="00BE78CA">
        <w:t>Estimates of biomass burning emissions associated with deforestation are provided in section 6.11.5.</w:t>
      </w:r>
    </w:p>
    <w:p w14:paraId="2FECB5CE" w14:textId="77777777" w:rsidR="00333601" w:rsidRPr="00BE78CA" w:rsidRDefault="00333601" w:rsidP="00333601">
      <w:pPr>
        <w:pStyle w:val="BodyText"/>
      </w:pPr>
      <w:r w:rsidRPr="00BE78CA">
        <w:t>Soil carbon changes associated with deforestation are modelled over a 20-year period using a linear change profile (see section 6.3).</w:t>
      </w:r>
    </w:p>
    <w:p w14:paraId="27077362" w14:textId="77777777" w:rsidR="00333601" w:rsidRPr="00BE78CA" w:rsidRDefault="00333601" w:rsidP="00333601">
      <w:pPr>
        <w:pStyle w:val="BodyText"/>
      </w:pPr>
      <w:r w:rsidRPr="00BE78CA">
        <w:t xml:space="preserve">Deforestation emissions are reported in the relevant </w:t>
      </w:r>
      <w:r w:rsidRPr="00BE78CA">
        <w:rPr>
          <w:i/>
        </w:rPr>
        <w:t>Land converted to</w:t>
      </w:r>
      <w:r w:rsidRPr="00BE78CA">
        <w:t xml:space="preserve"> category, as are all emissions from land-use change. See section 6.2.2 and chapter 11, section 11.3.3 for further information on deforestation. </w:t>
      </w:r>
    </w:p>
    <w:p w14:paraId="63E23E62" w14:textId="77777777" w:rsidR="00333601" w:rsidRPr="00BE78CA" w:rsidRDefault="00333601" w:rsidP="00333601">
      <w:pPr>
        <w:pStyle w:val="Heading5"/>
      </w:pPr>
      <w:bookmarkStart w:id="1735" w:name="_Hlk60904508"/>
      <w:r w:rsidRPr="00BE78CA">
        <w:t>Harvesting</w:t>
      </w:r>
    </w:p>
    <w:p w14:paraId="79800FE3" w14:textId="616F2216" w:rsidR="00333601" w:rsidRPr="00BE78CA" w:rsidRDefault="00333601" w:rsidP="00333601">
      <w:pPr>
        <w:pStyle w:val="BodyText"/>
      </w:pPr>
      <w:r w:rsidRPr="00BE78CA">
        <w:t xml:space="preserve">The estimated area across both pre-1990 and post-1989 planted forest harvested each year between 1990 and 2019 is shown in figure 6.4.4. The estimated area between 1990 and 2010 is based on the harvested area reported in the NEFD, adjusted to calendar years. From 2011 onwards, roundwood harvesting statistics, sourced annually from the Ministry for Primary </w:t>
      </w:r>
      <w:r w:rsidRPr="00BE78CA">
        <w:lastRenderedPageBreak/>
        <w:t>Industries (2019b), were used to apply an adjustment factor to the NEFD harvest area estimate.</w:t>
      </w:r>
      <w:bookmarkEnd w:id="1735"/>
      <w:r w:rsidR="000D3702" w:rsidRPr="00BE78CA">
        <w:t xml:space="preserve"> </w:t>
      </w:r>
      <w:r w:rsidRPr="00BE78CA">
        <w:t>This adjustment is made because the increase in harvest volume (as recorded in the</w:t>
      </w:r>
      <w:r w:rsidR="000D3702" w:rsidRPr="00BE78CA">
        <w:t> </w:t>
      </w:r>
      <w:r w:rsidRPr="00BE78CA">
        <w:t>roundwood statistics) did not correspond to the harvest area reported in the NEFD. To estimate the harvest area for a given year after 2011, the roundwood volume is multiplied by the average ratio of roundwood volume to NEFD harvested area over the previous four years.</w:t>
      </w:r>
    </w:p>
    <w:p w14:paraId="40EE72F2" w14:textId="77777777" w:rsidR="00333601" w:rsidRPr="00BE78CA" w:rsidRDefault="00333601" w:rsidP="00333601">
      <w:pPr>
        <w:pStyle w:val="Figure"/>
        <w:spacing w:after="0"/>
      </w:pPr>
      <w:bookmarkStart w:id="1736" w:name="_Toc474914649"/>
      <w:bookmarkStart w:id="1737" w:name="_Toc481752031"/>
      <w:bookmarkStart w:id="1738" w:name="_Toc522010709"/>
      <w:bookmarkStart w:id="1739" w:name="_Toc5269711"/>
      <w:bookmarkStart w:id="1740" w:name="_Toc33529484"/>
      <w:bookmarkStart w:id="1741" w:name="_Toc36292814"/>
      <w:bookmarkStart w:id="1742" w:name="_Toc65244106"/>
      <w:bookmarkStart w:id="1743" w:name="_Toc68786679"/>
      <w:r w:rsidRPr="00BE78CA">
        <w:t>Figure 6.4.4</w:t>
      </w:r>
      <w:r w:rsidRPr="00BE78CA">
        <w:tab/>
        <w:t>New Zealand’s area of planted forest harvest (inclusive of deforestation) from 1990</w:t>
      </w:r>
      <w:bookmarkEnd w:id="1736"/>
      <w:bookmarkEnd w:id="1737"/>
      <w:r w:rsidRPr="00BE78CA">
        <w:t> to 2019</w:t>
      </w:r>
      <w:bookmarkEnd w:id="1738"/>
      <w:bookmarkEnd w:id="1739"/>
      <w:bookmarkEnd w:id="1740"/>
      <w:bookmarkEnd w:id="1741"/>
      <w:bookmarkEnd w:id="1742"/>
      <w:bookmarkEnd w:id="1743"/>
    </w:p>
    <w:p w14:paraId="16BC94F1" w14:textId="77777777" w:rsidR="00333601" w:rsidRPr="00BE78CA" w:rsidRDefault="00333601" w:rsidP="00333601">
      <w:pPr>
        <w:pStyle w:val="BodyText"/>
        <w:spacing w:before="0" w:after="0"/>
      </w:pPr>
      <w:r w:rsidRPr="00BE78CA">
        <w:rPr>
          <w:noProof/>
        </w:rPr>
        <w:drawing>
          <wp:inline distT="0" distB="0" distL="0" distR="0" wp14:anchorId="65A59921" wp14:editId="1CF06F37">
            <wp:extent cx="5400675" cy="3314700"/>
            <wp:effectExtent l="0" t="0" r="0" b="0"/>
            <wp:docPr id="41" name="Chart 41">
              <a:extLst xmlns:a="http://schemas.openxmlformats.org/drawingml/2006/main">
                <a:ext uri="{FF2B5EF4-FFF2-40B4-BE49-F238E27FC236}">
                  <a16:creationId xmlns:a16="http://schemas.microsoft.com/office/drawing/2014/main" id="{00000000-0008-0000-00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6"/>
              </a:graphicData>
            </a:graphic>
          </wp:inline>
        </w:drawing>
      </w:r>
    </w:p>
    <w:p w14:paraId="5BAAB206" w14:textId="77777777" w:rsidR="00333601" w:rsidRPr="00BE78CA" w:rsidRDefault="00333601" w:rsidP="00333601">
      <w:pPr>
        <w:pStyle w:val="BodyText"/>
        <w:spacing w:before="0"/>
      </w:pPr>
      <w:r w:rsidRPr="00BE78CA">
        <w:t>The total area harvested is then split by forest type into:</w:t>
      </w:r>
    </w:p>
    <w:p w14:paraId="3E7C6D2B" w14:textId="77777777" w:rsidR="00333601" w:rsidRPr="00BE78CA" w:rsidRDefault="00333601" w:rsidP="00FA2314">
      <w:pPr>
        <w:pStyle w:val="Bullet"/>
        <w:numPr>
          <w:ilvl w:val="0"/>
          <w:numId w:val="25"/>
        </w:numPr>
      </w:pPr>
      <w:r w:rsidRPr="00BE78CA">
        <w:t>pre-1990 planted forest harvesting</w:t>
      </w:r>
    </w:p>
    <w:p w14:paraId="4674CE0E" w14:textId="77777777" w:rsidR="00333601" w:rsidRPr="00BE78CA" w:rsidRDefault="00333601" w:rsidP="00FA2314">
      <w:pPr>
        <w:pStyle w:val="Bullet"/>
        <w:numPr>
          <w:ilvl w:val="0"/>
          <w:numId w:val="25"/>
        </w:numPr>
      </w:pPr>
      <w:r w:rsidRPr="00BE78CA">
        <w:t>post-1989 planted forest harvesting.</w:t>
      </w:r>
    </w:p>
    <w:p w14:paraId="0A11DB36" w14:textId="77777777" w:rsidR="00333601" w:rsidRPr="00BE78CA" w:rsidRDefault="00333601" w:rsidP="00333601">
      <w:pPr>
        <w:pStyle w:val="BodyText"/>
      </w:pPr>
      <w:r w:rsidRPr="00BE78CA">
        <w:t xml:space="preserve">Pre-1990 planted forest harvest area is estimated as the difference between total harvest area (based on statistics from the Ministry for Primary Industries, as outlined above) and the area of post-1989 planted forest harvested. Post-1989 planted forest harvest area is estimated from the land use map up until 2016. From 2017 onwards, a harvest fraction approach is used to estimate the area of forest harvested in post-1989 and pre-1990 planted forest. This approach applies the harvest age profile to each forest strata, to determine the area expected to be harvested in each, as a proportion of the total harvest area. </w:t>
      </w:r>
    </w:p>
    <w:p w14:paraId="6A135E36" w14:textId="77777777" w:rsidR="00333601" w:rsidRPr="00BE78CA" w:rsidRDefault="00333601" w:rsidP="00333601">
      <w:pPr>
        <w:pStyle w:val="BodyText"/>
      </w:pPr>
      <w:r w:rsidRPr="00BE78CA">
        <w:t>A harvest age profile is created for pre-1990 and post-1989 planted forests, to more accurately reflect the ages at which forests are harvested. The harvest age profile is derived from the change in forest area in each age class over successive NEFD publications (Ministry for Primary Industries, 2019b). The harvest age profile approach is used because harvesting at a single age (e.g., 28 years) does not accurately reflect the actual harvest ages that occur. This can lead to the harvest area exceeding the available area in a single age class. The profiling of harvest also maintains the integrity of the underlying age class by preventing over-mature ages from growing on unharvested. This explanation of the harvest age profile addresses ERT recommendation L.17, 2019 (FCCC/ARR/2019/NZL, UNFCCC, 2020).</w:t>
      </w:r>
    </w:p>
    <w:p w14:paraId="04123548" w14:textId="77777777" w:rsidR="00333601" w:rsidRPr="00BE78CA" w:rsidRDefault="00333601" w:rsidP="00333601">
      <w:pPr>
        <w:pStyle w:val="BodyText"/>
      </w:pPr>
      <w:r w:rsidRPr="00BE78CA">
        <w:t xml:space="preserve">The pre-1990 forest age profile is derived from the NEFD for 2019 (Ministry for Primary Industries, 2019b). The forest age profile in 2019 is back-cast to 1990, with the harvest area by age added back into the forest each year. The forest age profile is then projected forward </w:t>
      </w:r>
      <w:r w:rsidRPr="00BE78CA">
        <w:lastRenderedPageBreak/>
        <w:t>from 1990 to 2019, with the harvest area by age removed for each year. Discrepancies between the harvest area, estimated replanting and NEFD forest age profile cause the final 2019 age profile to be slightly different from the original NEFD-derived forest age profile.</w:t>
      </w:r>
    </w:p>
    <w:p w14:paraId="4992C1B4" w14:textId="77777777" w:rsidR="00333601" w:rsidRPr="00BE78CA" w:rsidRDefault="00333601" w:rsidP="00333601">
      <w:pPr>
        <w:pStyle w:val="BodyText"/>
      </w:pPr>
      <w:r w:rsidRPr="00BE78CA">
        <w:t xml:space="preserve">In 2019, it is estimated that 0.06 per cent of New Zealand’s total forest timber production was from the harvesting of natural forests (calculated from Ministry for Primary Industries, 2019a). </w:t>
      </w:r>
    </w:p>
    <w:p w14:paraId="1E1DF939" w14:textId="77777777" w:rsidR="00333601" w:rsidRPr="00BE78CA" w:rsidRDefault="00333601" w:rsidP="00333601">
      <w:pPr>
        <w:pStyle w:val="BodyText"/>
      </w:pPr>
      <w:r w:rsidRPr="00BE78CA">
        <w:t>No timber is legally harvested from natural forests in the publicly owned conservation estate (an area approximately 5.5 million hectares in size; Ministry for Primary Industries, 2015d) other than in exceptional circumstances where legislation allows. For example, on 17 April 2014, Cyclone Ita caused significant windfall damage to forests on the West Coast of the South Island. The West Coast Wind-blown Timber (Conservation Lands) Act 2014 was passed to allow the removal of timber from trees that were irreversibly damaged by Cyclone Ita. The Act does not allow timber removal from ecological areas, national parks, the Waitangiroto Nature Reserve and land covered by Te Wāipounamu (the South West New Zealand World Heritage Area), unless for M</w:t>
      </w:r>
      <w:r w:rsidRPr="00BE78CA">
        <w:rPr>
          <w:rFonts w:cs="Calibri"/>
        </w:rPr>
        <w:t>ā</w:t>
      </w:r>
      <w:r w:rsidRPr="00BE78CA">
        <w:t xml:space="preserve">ori cultural purposes. The timber removal must be completed within a five-year period and there are restrictions on the amount of timber allowed to be salvaged from any particular area. The timber removed under the Act did not result in a significant increase in natural forest harvest volume in 2014 and 2015. Most other harvesting of natural forests is required by law to be undertaken on a sustainable basis (Forests Act 1949). </w:t>
      </w:r>
    </w:p>
    <w:p w14:paraId="7EEEC995" w14:textId="77777777" w:rsidR="00333601" w:rsidRPr="00BE78CA" w:rsidRDefault="00333601" w:rsidP="00333601">
      <w:pPr>
        <w:pStyle w:val="BodyText"/>
      </w:pPr>
      <w:r w:rsidRPr="00BE78CA">
        <w:t>Any significant harvesting that occurs in natural forests is expected to be captured within the natural forest carbon stock and stock change estimates.</w:t>
      </w:r>
    </w:p>
    <w:p w14:paraId="29B85D14" w14:textId="77777777" w:rsidR="00333601" w:rsidRPr="00BE78CA" w:rsidRDefault="00333601" w:rsidP="00333601">
      <w:pPr>
        <w:pStyle w:val="Heading3"/>
        <w:spacing w:before="280"/>
      </w:pPr>
      <w:bookmarkStart w:id="1744" w:name="_Toc255466330"/>
      <w:bookmarkStart w:id="1745" w:name="_Toc261513137"/>
      <w:bookmarkStart w:id="1746" w:name="_Toc261513750"/>
      <w:bookmarkStart w:id="1747" w:name="_Toc280630246"/>
      <w:bookmarkStart w:id="1748" w:name="_Toc373395712"/>
      <w:r w:rsidRPr="00BE78CA">
        <w:t>6.4.2</w:t>
      </w:r>
      <w:r w:rsidRPr="00BE78CA">
        <w:tab/>
        <w:t>Methodological issues</w:t>
      </w:r>
      <w:bookmarkEnd w:id="1744"/>
      <w:bookmarkEnd w:id="1745"/>
      <w:bookmarkEnd w:id="1746"/>
      <w:bookmarkEnd w:id="1747"/>
      <w:bookmarkEnd w:id="1748"/>
    </w:p>
    <w:p w14:paraId="20D79D29" w14:textId="77777777" w:rsidR="00333601" w:rsidRPr="00BE78CA" w:rsidRDefault="00333601" w:rsidP="00333601">
      <w:pPr>
        <w:pStyle w:val="Heading4"/>
        <w:spacing w:before="160"/>
      </w:pPr>
      <w:bookmarkStart w:id="1749" w:name="_Toc255466331"/>
      <w:bookmarkStart w:id="1750" w:name="_Toc261513138"/>
      <w:bookmarkStart w:id="1751" w:name="_Toc261513751"/>
      <w:bookmarkStart w:id="1752" w:name="_Toc280630247"/>
      <w:r w:rsidRPr="00BE78CA">
        <w:t>Forest land remaining forest land</w:t>
      </w:r>
      <w:bookmarkEnd w:id="1749"/>
      <w:bookmarkEnd w:id="1750"/>
      <w:bookmarkEnd w:id="1751"/>
      <w:bookmarkEnd w:id="1752"/>
      <w:r w:rsidRPr="00BE78CA">
        <w:t xml:space="preserve"> (CRF 4.A.1)</w:t>
      </w:r>
    </w:p>
    <w:p w14:paraId="0AB50005" w14:textId="77777777" w:rsidR="00333601" w:rsidRPr="00BE78CA" w:rsidRDefault="00333601" w:rsidP="00333601">
      <w:pPr>
        <w:pStyle w:val="BodyText"/>
      </w:pPr>
      <w:r w:rsidRPr="00BE78CA">
        <w:t xml:space="preserve">This section describes pre-1990 natural forest, pre-1990 planted forest, post-1989 natural forest and post-1989 planted forest. Post-1989 forest makes up 4.6 per cent of </w:t>
      </w:r>
      <w:r w:rsidRPr="00BE78CA">
        <w:rPr>
          <w:i/>
        </w:rPr>
        <w:t>Forest land remaining forest land</w:t>
      </w:r>
      <w:r w:rsidRPr="00BE78CA">
        <w:t xml:space="preserve">; this proportion will increase over time as these forests mature and transition from </w:t>
      </w:r>
      <w:r w:rsidRPr="00BE78CA">
        <w:rPr>
          <w:i/>
        </w:rPr>
        <w:t>Land converted to forest land.</w:t>
      </w:r>
      <w:r w:rsidRPr="00BE78CA">
        <w:t xml:space="preserve"> In previous submissions, New Zealand used 28 years as the transition period, which is the average age at which the majority of planted radiata pine forests are harvested (Ministry for Primary Industries, 2019a). However, following ERT recommendation L.14, 2019 (FCCC/ARR/2019/NZL, UNFCCC, 2020), New Zealand has reverted to the IPCC default period of 20 years. Where land-use change has occurred between natural forest and planted forest, the associated carbon changes are reported in </w:t>
      </w:r>
      <w:r w:rsidRPr="00BE78CA">
        <w:rPr>
          <w:i/>
        </w:rPr>
        <w:t>Forest land remaining forest land</w:t>
      </w:r>
      <w:r w:rsidRPr="00BE78CA">
        <w:t xml:space="preserve">. </w:t>
      </w:r>
    </w:p>
    <w:p w14:paraId="5CCE764A" w14:textId="77777777" w:rsidR="00333601" w:rsidRPr="00BE78CA" w:rsidRDefault="00333601" w:rsidP="00333601">
      <w:pPr>
        <w:pStyle w:val="BodyText"/>
      </w:pPr>
      <w:r w:rsidRPr="00BE78CA">
        <w:t>New Zealand has established a sampling framework for forest inventory purposes based on an 8</w:t>
      </w:r>
      <w:r w:rsidRPr="00BE78CA">
        <w:noBreakHyphen/>
        <w:t>kilometre national grid system (8-kilometres north–south by 8</w:t>
      </w:r>
      <w:r w:rsidRPr="00BE78CA">
        <w:noBreakHyphen/>
        <w:t>kilometres east–west). The grid has a randomly selected origin and provides an unbiased framework for establishing plots for field and/or Light Detection and Ranging (LiDAR) measurements. The network is subdivided into a 4-kilometre grid for measurement of post-1989 forest. Forest monitoring plots are established and measured where a grid point falls in the land use to be sampled. Figures 6.4.5 and 6.4.6 show the distribution of the pre-1990 natural and planted forest, post-1989 natural and planted forest, and the carbon monitoring plots throughout New Zealand.</w:t>
      </w:r>
    </w:p>
    <w:p w14:paraId="779CD0BE" w14:textId="77777777" w:rsidR="00333601" w:rsidRPr="00BE78CA" w:rsidRDefault="00333601" w:rsidP="00333601">
      <w:pPr>
        <w:pStyle w:val="Figure"/>
      </w:pPr>
      <w:bookmarkStart w:id="1753" w:name="_Toc280630494"/>
      <w:bookmarkStart w:id="1754" w:name="_Toc318362753"/>
      <w:bookmarkStart w:id="1755" w:name="_Toc342470833"/>
      <w:bookmarkStart w:id="1756" w:name="_Toc352505161"/>
      <w:bookmarkStart w:id="1757" w:name="_Toc373395721"/>
      <w:bookmarkStart w:id="1758" w:name="_Toc378853344"/>
      <w:bookmarkStart w:id="1759" w:name="_Toc405448094"/>
      <w:bookmarkStart w:id="1760" w:name="_Toc414531626"/>
      <w:bookmarkStart w:id="1761" w:name="_Toc474914650"/>
      <w:bookmarkStart w:id="1762" w:name="_Toc481752032"/>
      <w:bookmarkStart w:id="1763" w:name="_Toc522010710"/>
      <w:bookmarkStart w:id="1764" w:name="_Toc5269712"/>
      <w:bookmarkStart w:id="1765" w:name="_Toc33529485"/>
      <w:bookmarkStart w:id="1766" w:name="_Toc36292815"/>
      <w:bookmarkStart w:id="1767" w:name="_Toc65244107"/>
      <w:bookmarkStart w:id="1768" w:name="_Toc68786680"/>
      <w:r w:rsidRPr="00BE78CA">
        <w:lastRenderedPageBreak/>
        <w:t>Figure 6.4.5</w:t>
      </w:r>
      <w:r w:rsidRPr="00BE78CA">
        <w:tab/>
        <w:t>Location of New Zealand’s pre-1990 forest carbon monitoring plots</w:t>
      </w:r>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p>
    <w:p w14:paraId="5600FD63" w14:textId="77777777" w:rsidR="00333601" w:rsidRPr="00BE78CA" w:rsidRDefault="00333601" w:rsidP="00333601">
      <w:pPr>
        <w:pStyle w:val="BodyText"/>
      </w:pPr>
      <w:r w:rsidRPr="00BE78CA">
        <w:rPr>
          <w:noProof/>
        </w:rPr>
        <w:drawing>
          <wp:inline distT="0" distB="0" distL="0" distR="0" wp14:anchorId="4EE75DDB" wp14:editId="1D088256">
            <wp:extent cx="5105400" cy="6638925"/>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105400" cy="6638925"/>
                    </a:xfrm>
                    <a:prstGeom prst="rect">
                      <a:avLst/>
                    </a:prstGeom>
                    <a:noFill/>
                    <a:ln>
                      <a:noFill/>
                    </a:ln>
                  </pic:spPr>
                </pic:pic>
              </a:graphicData>
            </a:graphic>
          </wp:inline>
        </w:drawing>
      </w:r>
    </w:p>
    <w:p w14:paraId="7F059C3F" w14:textId="77777777" w:rsidR="00333601" w:rsidRPr="00BE78CA" w:rsidRDefault="00333601" w:rsidP="00333601">
      <w:pPr>
        <w:pStyle w:val="Figure"/>
        <w:spacing w:after="0"/>
      </w:pPr>
      <w:bookmarkStart w:id="1769" w:name="_Toc33529486"/>
      <w:bookmarkStart w:id="1770" w:name="_Toc36292816"/>
      <w:bookmarkStart w:id="1771" w:name="_Toc65244108"/>
      <w:bookmarkStart w:id="1772" w:name="_Toc68786681"/>
      <w:bookmarkStart w:id="1773" w:name="_Toc255466332"/>
      <w:bookmarkStart w:id="1774" w:name="_Toc261513139"/>
      <w:bookmarkStart w:id="1775" w:name="_Toc261513752"/>
      <w:bookmarkStart w:id="1776" w:name="_Toc280630248"/>
      <w:r w:rsidRPr="00BE78CA">
        <w:lastRenderedPageBreak/>
        <w:t>Figure 6.4.6</w:t>
      </w:r>
      <w:r w:rsidRPr="00BE78CA">
        <w:tab/>
        <w:t>Location of New Zealand’s post-1989 forest plots</w:t>
      </w:r>
      <w:bookmarkEnd w:id="1769"/>
      <w:bookmarkEnd w:id="1770"/>
      <w:bookmarkEnd w:id="1771"/>
      <w:bookmarkEnd w:id="1772"/>
    </w:p>
    <w:p w14:paraId="15482290" w14:textId="77777777" w:rsidR="00333601" w:rsidRPr="00BE78CA" w:rsidRDefault="00333601" w:rsidP="00333601">
      <w:pPr>
        <w:pStyle w:val="BodyText"/>
        <w:spacing w:after="0"/>
      </w:pPr>
      <w:r w:rsidRPr="00BE78CA">
        <w:rPr>
          <w:noProof/>
        </w:rPr>
        <w:drawing>
          <wp:inline distT="0" distB="0" distL="0" distR="0" wp14:anchorId="6A7CE6AB" wp14:editId="54AA2E9F">
            <wp:extent cx="5038725" cy="6486525"/>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038725" cy="6486525"/>
                    </a:xfrm>
                    <a:prstGeom prst="rect">
                      <a:avLst/>
                    </a:prstGeom>
                    <a:noFill/>
                    <a:ln>
                      <a:noFill/>
                    </a:ln>
                  </pic:spPr>
                </pic:pic>
              </a:graphicData>
            </a:graphic>
          </wp:inline>
        </w:drawing>
      </w:r>
    </w:p>
    <w:p w14:paraId="0B62A397" w14:textId="77777777" w:rsidR="00333601" w:rsidRPr="00BE78CA" w:rsidRDefault="00333601" w:rsidP="00333601">
      <w:pPr>
        <w:pStyle w:val="Heading5"/>
        <w:spacing w:before="360"/>
      </w:pPr>
      <w:r w:rsidRPr="00BE78CA">
        <w:t>Pre-1990 natural forest</w:t>
      </w:r>
      <w:bookmarkEnd w:id="1773"/>
      <w:bookmarkEnd w:id="1774"/>
      <w:bookmarkEnd w:id="1775"/>
      <w:bookmarkEnd w:id="1776"/>
    </w:p>
    <w:p w14:paraId="622A90F3" w14:textId="77777777" w:rsidR="00333601" w:rsidRPr="00BE78CA" w:rsidRDefault="00333601" w:rsidP="00333601">
      <w:pPr>
        <w:pStyle w:val="Heading6"/>
        <w:spacing w:before="120"/>
      </w:pPr>
      <w:r w:rsidRPr="00BE78CA">
        <w:t>Plot network</w:t>
      </w:r>
    </w:p>
    <w:p w14:paraId="1607A3DB" w14:textId="77777777" w:rsidR="00333601" w:rsidRPr="00BE78CA" w:rsidRDefault="00333601" w:rsidP="00333601">
      <w:pPr>
        <w:pStyle w:val="BodyText"/>
        <w:rPr>
          <w:spacing w:val="-2"/>
        </w:rPr>
      </w:pPr>
      <w:r w:rsidRPr="00BE78CA">
        <w:rPr>
          <w:spacing w:val="-2"/>
        </w:rPr>
        <w:t>A national monitoring programme designed to enable unbiased estimates of carbon stock and change for New Zealand’s natural forests was developed between 1998 and 2001 (Coomes et al., 2002). Permanent sample plots of 0.13 hectares were installed systematically on the 8</w:t>
      </w:r>
      <w:r w:rsidRPr="00BE78CA">
        <w:rPr>
          <w:spacing w:val="-2"/>
        </w:rPr>
        <w:noBreakHyphen/>
        <w:t>kilometre grid across New Zealand’s natural forests (see figure 6.4.5) and these were first measured (</w:t>
      </w:r>
      <w:r w:rsidRPr="00BE78CA">
        <w:rPr>
          <w:i/>
        </w:rPr>
        <w:t>t</w:t>
      </w:r>
      <w:r w:rsidRPr="00BE78CA">
        <w:rPr>
          <w:i/>
          <w:vertAlign w:val="subscript"/>
        </w:rPr>
        <w:t>1</w:t>
      </w:r>
      <w:r w:rsidRPr="00BE78CA">
        <w:rPr>
          <w:iCs/>
        </w:rPr>
        <w:t>)</w:t>
      </w:r>
      <w:r w:rsidRPr="00BE78CA">
        <w:rPr>
          <w:iCs/>
          <w:spacing w:val="-2"/>
        </w:rPr>
        <w:t xml:space="preserve"> </w:t>
      </w:r>
      <w:r w:rsidRPr="00BE78CA">
        <w:rPr>
          <w:spacing w:val="-2"/>
        </w:rPr>
        <w:t>over five years between 2002 and 2007.</w:t>
      </w:r>
    </w:p>
    <w:p w14:paraId="3E25B96A" w14:textId="77777777" w:rsidR="00333601" w:rsidRPr="00BE78CA" w:rsidRDefault="00333601" w:rsidP="00333601">
      <w:pPr>
        <w:pStyle w:val="BodyText"/>
      </w:pPr>
      <w:r w:rsidRPr="00BE78CA">
        <w:t>The plots were sampled using vegetation monitoring methods designed specifically for the purpose of calculating carbon stocks (Payton et al., 2004).</w:t>
      </w:r>
    </w:p>
    <w:p w14:paraId="4846DB78" w14:textId="77777777" w:rsidR="00333601" w:rsidRPr="00BE78CA" w:rsidRDefault="00333601" w:rsidP="00333601">
      <w:pPr>
        <w:pStyle w:val="BodyText"/>
      </w:pPr>
      <w:r w:rsidRPr="00BE78CA">
        <w:lastRenderedPageBreak/>
        <w:t xml:space="preserve">Re-measurement of the plot network provides repeat data suitable for calculating carbon stock change in natural forest. The first re-measurement of the plot network was completed between 2009 and 2014 </w:t>
      </w:r>
      <w:r w:rsidRPr="00BE78CA">
        <w:rPr>
          <w:spacing w:val="-2"/>
        </w:rPr>
        <w:t>(</w:t>
      </w:r>
      <w:r w:rsidRPr="00BE78CA">
        <w:rPr>
          <w:i/>
        </w:rPr>
        <w:t>t</w:t>
      </w:r>
      <w:r w:rsidRPr="00BE78CA">
        <w:rPr>
          <w:i/>
          <w:vertAlign w:val="subscript"/>
        </w:rPr>
        <w:t>2</w:t>
      </w:r>
      <w:r w:rsidRPr="00BE78CA">
        <w:rPr>
          <w:i/>
        </w:rPr>
        <w:t>)</w:t>
      </w:r>
      <w:r w:rsidRPr="00BE78CA">
        <w:rPr>
          <w:spacing w:val="-2"/>
        </w:rPr>
        <w:t xml:space="preserve"> </w:t>
      </w:r>
      <w:r w:rsidRPr="00BE78CA">
        <w:t>following a revised methodology for re-measurement purposes (Ministry for the Environment, unpublished). For the third round of measurement, the programme is continuing at a reduced rate, with plots being measured on a 10-year cycle. Measurement of plots for this round began in 2014 and is scheduled for completion in 2024.</w:t>
      </w:r>
    </w:p>
    <w:p w14:paraId="615E5AC4" w14:textId="77777777" w:rsidR="00333601" w:rsidRPr="00BE78CA" w:rsidRDefault="00333601" w:rsidP="00333601">
      <w:pPr>
        <w:pStyle w:val="BodyText"/>
        <w:rPr>
          <w:spacing w:val="-2"/>
        </w:rPr>
      </w:pPr>
      <w:r w:rsidRPr="00BE78CA">
        <w:rPr>
          <w:spacing w:val="-2"/>
        </w:rPr>
        <w:t>At each plot, data are collected to calculate the volumes of trees, shrubs and dead organic matter present. These measurements are then used to estimate the carbon stocks for the biomass pools of:</w:t>
      </w:r>
    </w:p>
    <w:p w14:paraId="7BCCF8AD" w14:textId="77777777" w:rsidR="00333601" w:rsidRPr="00BE78CA" w:rsidRDefault="00333601" w:rsidP="00FA2314">
      <w:pPr>
        <w:pStyle w:val="Bullet"/>
        <w:numPr>
          <w:ilvl w:val="0"/>
          <w:numId w:val="25"/>
        </w:numPr>
      </w:pPr>
      <w:r w:rsidRPr="00BE78CA">
        <w:t>living biomass (comprising above-ground biomass and below-ground biomass)</w:t>
      </w:r>
    </w:p>
    <w:p w14:paraId="016CFF23" w14:textId="77777777" w:rsidR="00333601" w:rsidRPr="00BE78CA" w:rsidRDefault="00333601" w:rsidP="00FA2314">
      <w:pPr>
        <w:pStyle w:val="Bullet"/>
        <w:numPr>
          <w:ilvl w:val="0"/>
          <w:numId w:val="25"/>
        </w:numPr>
      </w:pPr>
      <w:r w:rsidRPr="00BE78CA">
        <w:t>dead organic matter (comprising dead wood and litter).</w:t>
      </w:r>
    </w:p>
    <w:p w14:paraId="4D847F9C" w14:textId="77777777" w:rsidR="00333601" w:rsidRPr="00BE78CA" w:rsidRDefault="00333601" w:rsidP="00333601">
      <w:pPr>
        <w:pStyle w:val="BodyText"/>
      </w:pPr>
      <w:r w:rsidRPr="00BE78CA">
        <w:t>Table 6.4.5 summarises the method used to calculate the carbon stock in each biomass pool from the information collected at each plot.</w:t>
      </w:r>
    </w:p>
    <w:p w14:paraId="6F206FB8" w14:textId="77777777" w:rsidR="00333601" w:rsidRPr="00BE78CA" w:rsidRDefault="00333601" w:rsidP="00333601">
      <w:pPr>
        <w:pStyle w:val="Table"/>
      </w:pPr>
      <w:bookmarkStart w:id="1777" w:name="_Toc280630456"/>
      <w:bookmarkStart w:id="1778" w:name="_Toc310423408"/>
      <w:bookmarkStart w:id="1779" w:name="_Toc318362701"/>
      <w:bookmarkStart w:id="1780" w:name="_Toc342470763"/>
      <w:bookmarkStart w:id="1781" w:name="_Toc352505003"/>
      <w:bookmarkStart w:id="1782" w:name="_Toc373395728"/>
      <w:bookmarkStart w:id="1783" w:name="_Toc378853294"/>
      <w:bookmarkStart w:id="1784" w:name="_Toc391024092"/>
      <w:bookmarkStart w:id="1785" w:name="_Toc410028835"/>
      <w:bookmarkStart w:id="1786" w:name="_Toc414531463"/>
      <w:bookmarkStart w:id="1787" w:name="_Toc443645376"/>
      <w:bookmarkStart w:id="1788" w:name="_Toc474914595"/>
      <w:bookmarkStart w:id="1789" w:name="_Toc481751559"/>
      <w:bookmarkStart w:id="1790" w:name="_Toc522010616"/>
      <w:bookmarkStart w:id="1791" w:name="_Toc5269521"/>
      <w:bookmarkStart w:id="1792" w:name="_Toc33529395"/>
      <w:bookmarkStart w:id="1793" w:name="_Toc36224601"/>
      <w:bookmarkStart w:id="1794" w:name="_Toc65243596"/>
      <w:bookmarkStart w:id="1795" w:name="_Toc68786486"/>
      <w:r w:rsidRPr="00BE78CA">
        <w:t>Table 6.4.5</w:t>
      </w:r>
      <w:r w:rsidRPr="00BE78CA">
        <w:tab/>
        <w:t>Summary of methods used to calculate New Zealand’s natural forest biomass</w:t>
      </w:r>
      <w:r w:rsidRPr="00BE78CA">
        <w:br/>
        <w:t>carbon stock from plot data</w:t>
      </w:r>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p>
    <w:tbl>
      <w:tblPr>
        <w:tblW w:w="8505" w:type="dxa"/>
        <w:tblLayout w:type="fixed"/>
        <w:tblLook w:val="04A0" w:firstRow="1" w:lastRow="0" w:firstColumn="1" w:lastColumn="0" w:noHBand="0" w:noVBand="1"/>
      </w:tblPr>
      <w:tblGrid>
        <w:gridCol w:w="1064"/>
        <w:gridCol w:w="1776"/>
        <w:gridCol w:w="2960"/>
        <w:gridCol w:w="17"/>
        <w:gridCol w:w="2688"/>
      </w:tblGrid>
      <w:tr w:rsidR="00333601" w:rsidRPr="00BE78CA" w14:paraId="39158D45" w14:textId="77777777" w:rsidTr="002F441A">
        <w:tc>
          <w:tcPr>
            <w:tcW w:w="1667" w:type="pct"/>
            <w:gridSpan w:val="2"/>
            <w:tcBorders>
              <w:top w:val="single" w:sz="4" w:space="0" w:color="365F91"/>
              <w:bottom w:val="single" w:sz="4" w:space="0" w:color="365F91"/>
            </w:tcBorders>
            <w:shd w:val="clear" w:color="auto" w:fill="365F91"/>
          </w:tcPr>
          <w:p w14:paraId="4A6AC84D" w14:textId="77777777" w:rsidR="00333601" w:rsidRPr="00BE78CA" w:rsidRDefault="00333601" w:rsidP="00C26084">
            <w:pPr>
              <w:pStyle w:val="TableTextBold"/>
              <w:rPr>
                <w:noProof w:val="0"/>
                <w:color w:val="FFFFFF"/>
              </w:rPr>
            </w:pPr>
            <w:r w:rsidRPr="00BE78CA">
              <w:rPr>
                <w:noProof w:val="0"/>
                <w:color w:val="FFFFFF"/>
              </w:rPr>
              <w:t>Pool</w:t>
            </w:r>
          </w:p>
        </w:tc>
        <w:tc>
          <w:tcPr>
            <w:tcW w:w="1750" w:type="pct"/>
            <w:gridSpan w:val="2"/>
            <w:tcBorders>
              <w:top w:val="single" w:sz="4" w:space="0" w:color="365F91"/>
              <w:bottom w:val="single" w:sz="4" w:space="0" w:color="365F91"/>
            </w:tcBorders>
            <w:shd w:val="clear" w:color="auto" w:fill="365F91"/>
          </w:tcPr>
          <w:p w14:paraId="7D92FF85" w14:textId="77777777" w:rsidR="00333601" w:rsidRPr="00BE78CA" w:rsidRDefault="00333601" w:rsidP="00C26084">
            <w:pPr>
              <w:pStyle w:val="TableTextBold"/>
              <w:rPr>
                <w:noProof w:val="0"/>
                <w:color w:val="FFFFFF"/>
              </w:rPr>
            </w:pPr>
            <w:r w:rsidRPr="00BE78CA">
              <w:rPr>
                <w:noProof w:val="0"/>
                <w:color w:val="FFFFFF"/>
              </w:rPr>
              <w:t>Method</w:t>
            </w:r>
          </w:p>
        </w:tc>
        <w:tc>
          <w:tcPr>
            <w:tcW w:w="1583" w:type="pct"/>
            <w:tcBorders>
              <w:top w:val="single" w:sz="4" w:space="0" w:color="365F91"/>
              <w:bottom w:val="single" w:sz="4" w:space="0" w:color="365F91"/>
            </w:tcBorders>
            <w:shd w:val="clear" w:color="auto" w:fill="365F91"/>
          </w:tcPr>
          <w:p w14:paraId="0B619173" w14:textId="77777777" w:rsidR="00333601" w:rsidRPr="00BE78CA" w:rsidRDefault="00333601" w:rsidP="00C26084">
            <w:pPr>
              <w:pStyle w:val="TableTextBold"/>
              <w:rPr>
                <w:noProof w:val="0"/>
                <w:color w:val="FFFFFF"/>
              </w:rPr>
            </w:pPr>
            <w:r w:rsidRPr="00BE78CA">
              <w:rPr>
                <w:noProof w:val="0"/>
                <w:color w:val="FFFFFF"/>
              </w:rPr>
              <w:t>Source</w:t>
            </w:r>
          </w:p>
        </w:tc>
      </w:tr>
      <w:tr w:rsidR="00333601" w:rsidRPr="00BE78CA" w14:paraId="3A6713E5" w14:textId="77777777" w:rsidTr="002F441A">
        <w:tc>
          <w:tcPr>
            <w:tcW w:w="626" w:type="pct"/>
            <w:vMerge w:val="restart"/>
            <w:tcBorders>
              <w:top w:val="single" w:sz="4" w:space="0" w:color="365F91"/>
              <w:bottom w:val="single" w:sz="4" w:space="0" w:color="365F91"/>
            </w:tcBorders>
          </w:tcPr>
          <w:p w14:paraId="0AD95527" w14:textId="77777777" w:rsidR="00333601" w:rsidRPr="00BE78CA" w:rsidRDefault="00333601" w:rsidP="00C26084">
            <w:pPr>
              <w:pStyle w:val="TableText"/>
              <w:rPr>
                <w:b/>
              </w:rPr>
            </w:pPr>
            <w:r w:rsidRPr="00BE78CA">
              <w:rPr>
                <w:b/>
              </w:rPr>
              <w:t>Living biomass</w:t>
            </w:r>
          </w:p>
        </w:tc>
        <w:tc>
          <w:tcPr>
            <w:tcW w:w="1044" w:type="pct"/>
            <w:tcBorders>
              <w:top w:val="single" w:sz="4" w:space="0" w:color="365F91"/>
              <w:bottom w:val="single" w:sz="4" w:space="0" w:color="365F91"/>
            </w:tcBorders>
          </w:tcPr>
          <w:p w14:paraId="4EA47EC7" w14:textId="77777777" w:rsidR="00333601" w:rsidRPr="00BE78CA" w:rsidRDefault="00333601" w:rsidP="00C26084">
            <w:pPr>
              <w:pStyle w:val="TableText"/>
            </w:pPr>
            <w:r w:rsidRPr="00BE78CA">
              <w:t>Above-ground biomass</w:t>
            </w:r>
          </w:p>
        </w:tc>
        <w:tc>
          <w:tcPr>
            <w:tcW w:w="1740" w:type="pct"/>
            <w:tcBorders>
              <w:top w:val="single" w:sz="4" w:space="0" w:color="365F91"/>
              <w:bottom w:val="single" w:sz="4" w:space="0" w:color="365F91"/>
            </w:tcBorders>
          </w:tcPr>
          <w:p w14:paraId="17A06852" w14:textId="77777777" w:rsidR="00333601" w:rsidRPr="00BE78CA" w:rsidRDefault="00333601" w:rsidP="00C26084">
            <w:pPr>
              <w:pStyle w:val="TableText"/>
            </w:pPr>
            <w:r w:rsidRPr="00BE78CA">
              <w:t>Plot measurements; allometric equations</w:t>
            </w:r>
          </w:p>
        </w:tc>
        <w:tc>
          <w:tcPr>
            <w:tcW w:w="1590" w:type="pct"/>
            <w:gridSpan w:val="2"/>
            <w:tcBorders>
              <w:top w:val="single" w:sz="4" w:space="0" w:color="365F91"/>
              <w:bottom w:val="single" w:sz="4" w:space="0" w:color="365F91"/>
            </w:tcBorders>
          </w:tcPr>
          <w:p w14:paraId="7FCEC4F6" w14:textId="77777777" w:rsidR="00333601" w:rsidRPr="00BE78CA" w:rsidRDefault="00333601" w:rsidP="00C26084">
            <w:pPr>
              <w:pStyle w:val="TableText"/>
            </w:pPr>
            <w:r w:rsidRPr="00BE78CA">
              <w:t>Paul et al. (2020, submitted)</w:t>
            </w:r>
          </w:p>
        </w:tc>
      </w:tr>
      <w:tr w:rsidR="00333601" w:rsidRPr="00BE78CA" w14:paraId="748E3A01" w14:textId="77777777" w:rsidTr="002F441A">
        <w:tc>
          <w:tcPr>
            <w:tcW w:w="626" w:type="pct"/>
            <w:vMerge/>
            <w:tcBorders>
              <w:bottom w:val="single" w:sz="4" w:space="0" w:color="365F91"/>
            </w:tcBorders>
          </w:tcPr>
          <w:p w14:paraId="1F72FBDB" w14:textId="77777777" w:rsidR="00333601" w:rsidRPr="00BE78CA" w:rsidRDefault="00333601" w:rsidP="00C26084">
            <w:pPr>
              <w:pStyle w:val="TableText"/>
              <w:rPr>
                <w:b/>
              </w:rPr>
            </w:pPr>
          </w:p>
        </w:tc>
        <w:tc>
          <w:tcPr>
            <w:tcW w:w="1044" w:type="pct"/>
            <w:tcBorders>
              <w:top w:val="single" w:sz="4" w:space="0" w:color="365F91"/>
              <w:bottom w:val="single" w:sz="4" w:space="0" w:color="365F91"/>
            </w:tcBorders>
          </w:tcPr>
          <w:p w14:paraId="1934B4DC" w14:textId="77777777" w:rsidR="00333601" w:rsidRPr="00BE78CA" w:rsidRDefault="00333601" w:rsidP="00C26084">
            <w:pPr>
              <w:pStyle w:val="TableText"/>
            </w:pPr>
            <w:r w:rsidRPr="00BE78CA">
              <w:t>Below-ground biomass</w:t>
            </w:r>
          </w:p>
        </w:tc>
        <w:tc>
          <w:tcPr>
            <w:tcW w:w="1740" w:type="pct"/>
            <w:tcBorders>
              <w:top w:val="single" w:sz="4" w:space="0" w:color="365F91"/>
              <w:bottom w:val="single" w:sz="4" w:space="0" w:color="365F91"/>
            </w:tcBorders>
          </w:tcPr>
          <w:p w14:paraId="160B2D86" w14:textId="77777777" w:rsidR="00333601" w:rsidRPr="00BE78CA" w:rsidRDefault="00333601" w:rsidP="00C26084">
            <w:pPr>
              <w:pStyle w:val="TableText"/>
            </w:pPr>
            <w:r w:rsidRPr="00BE78CA">
              <w:t xml:space="preserve">Estimated as the ratio of below-ground biomass to above-ground biomass </w:t>
            </w:r>
          </w:p>
        </w:tc>
        <w:tc>
          <w:tcPr>
            <w:tcW w:w="1590" w:type="pct"/>
            <w:gridSpan w:val="2"/>
            <w:tcBorders>
              <w:top w:val="single" w:sz="4" w:space="0" w:color="365F91"/>
              <w:bottom w:val="single" w:sz="4" w:space="0" w:color="365F91"/>
            </w:tcBorders>
          </w:tcPr>
          <w:p w14:paraId="45DE19BD" w14:textId="77777777" w:rsidR="00333601" w:rsidRPr="00BE78CA" w:rsidRDefault="00333601" w:rsidP="00C26084">
            <w:pPr>
              <w:pStyle w:val="TableText"/>
            </w:pPr>
            <w:r w:rsidRPr="00BE78CA">
              <w:t>Paul et al. (2020, submitted); Easdale et al. (2019)</w:t>
            </w:r>
          </w:p>
        </w:tc>
      </w:tr>
      <w:tr w:rsidR="00333601" w:rsidRPr="00BE78CA" w14:paraId="00CF1658" w14:textId="77777777" w:rsidTr="002F441A">
        <w:tc>
          <w:tcPr>
            <w:tcW w:w="626" w:type="pct"/>
            <w:vMerge w:val="restart"/>
            <w:tcBorders>
              <w:top w:val="single" w:sz="4" w:space="0" w:color="365F91"/>
              <w:bottom w:val="single" w:sz="4" w:space="0" w:color="365F91"/>
            </w:tcBorders>
          </w:tcPr>
          <w:p w14:paraId="0F542A1C" w14:textId="77777777" w:rsidR="00333601" w:rsidRPr="00BE78CA" w:rsidRDefault="00333601" w:rsidP="00C26084">
            <w:pPr>
              <w:pStyle w:val="TableText"/>
              <w:rPr>
                <w:b/>
              </w:rPr>
            </w:pPr>
            <w:r w:rsidRPr="00BE78CA">
              <w:rPr>
                <w:b/>
              </w:rPr>
              <w:t>Dead organic matter</w:t>
            </w:r>
          </w:p>
        </w:tc>
        <w:tc>
          <w:tcPr>
            <w:tcW w:w="1044" w:type="pct"/>
            <w:tcBorders>
              <w:top w:val="single" w:sz="4" w:space="0" w:color="365F91"/>
            </w:tcBorders>
          </w:tcPr>
          <w:p w14:paraId="2AE01D75" w14:textId="77777777" w:rsidR="00333601" w:rsidRPr="00BE78CA" w:rsidRDefault="00333601" w:rsidP="00C26084">
            <w:pPr>
              <w:pStyle w:val="TableText"/>
            </w:pPr>
            <w:r w:rsidRPr="00BE78CA">
              <w:t>Dead wood</w:t>
            </w:r>
          </w:p>
        </w:tc>
        <w:tc>
          <w:tcPr>
            <w:tcW w:w="1740" w:type="pct"/>
            <w:tcBorders>
              <w:top w:val="single" w:sz="4" w:space="0" w:color="365F91"/>
            </w:tcBorders>
          </w:tcPr>
          <w:p w14:paraId="72D6EE90" w14:textId="77777777" w:rsidR="00333601" w:rsidRPr="00BE78CA" w:rsidRDefault="00333601" w:rsidP="00C26084">
            <w:pPr>
              <w:pStyle w:val="TableText"/>
            </w:pPr>
            <w:r w:rsidRPr="00BE78CA">
              <w:t xml:space="preserve">Modelled from plot measurements; allometric equations </w:t>
            </w:r>
          </w:p>
        </w:tc>
        <w:tc>
          <w:tcPr>
            <w:tcW w:w="1590" w:type="pct"/>
            <w:gridSpan w:val="2"/>
            <w:tcBorders>
              <w:top w:val="single" w:sz="4" w:space="0" w:color="365F91"/>
            </w:tcBorders>
          </w:tcPr>
          <w:p w14:paraId="3A8AFB15" w14:textId="77777777" w:rsidR="00333601" w:rsidRPr="00BE78CA" w:rsidRDefault="00333601" w:rsidP="00C26084">
            <w:pPr>
              <w:pStyle w:val="TableText"/>
            </w:pPr>
            <w:r w:rsidRPr="00BE78CA">
              <w:t xml:space="preserve">Garrett et al. (2019); Paul et al. (2020, submitted); Kimberley et al. (2019) </w:t>
            </w:r>
          </w:p>
        </w:tc>
      </w:tr>
      <w:tr w:rsidR="00333601" w:rsidRPr="00BE78CA" w14:paraId="5F710081" w14:textId="77777777" w:rsidTr="002F441A">
        <w:tc>
          <w:tcPr>
            <w:tcW w:w="626" w:type="pct"/>
            <w:vMerge/>
            <w:tcBorders>
              <w:bottom w:val="single" w:sz="4" w:space="0" w:color="365F91"/>
            </w:tcBorders>
          </w:tcPr>
          <w:p w14:paraId="2398ECE9" w14:textId="77777777" w:rsidR="00333601" w:rsidRPr="00BE78CA" w:rsidRDefault="00333601" w:rsidP="00C26084">
            <w:pPr>
              <w:pStyle w:val="TableText"/>
            </w:pPr>
          </w:p>
        </w:tc>
        <w:tc>
          <w:tcPr>
            <w:tcW w:w="1044" w:type="pct"/>
            <w:tcBorders>
              <w:bottom w:val="single" w:sz="4" w:space="0" w:color="365F91"/>
            </w:tcBorders>
          </w:tcPr>
          <w:p w14:paraId="3CC5704D" w14:textId="77777777" w:rsidR="00333601" w:rsidRPr="00BE78CA" w:rsidRDefault="00333601" w:rsidP="00C26084">
            <w:pPr>
              <w:pStyle w:val="TableText"/>
              <w:spacing w:before="0"/>
            </w:pPr>
            <w:r w:rsidRPr="00BE78CA">
              <w:t>Litter</w:t>
            </w:r>
          </w:p>
        </w:tc>
        <w:tc>
          <w:tcPr>
            <w:tcW w:w="1740" w:type="pct"/>
            <w:tcBorders>
              <w:bottom w:val="single" w:sz="4" w:space="0" w:color="365F91"/>
            </w:tcBorders>
          </w:tcPr>
          <w:p w14:paraId="7D720E27" w14:textId="77777777" w:rsidR="00333601" w:rsidRPr="00BE78CA" w:rsidRDefault="00333601" w:rsidP="00C26084">
            <w:pPr>
              <w:pStyle w:val="TableText"/>
              <w:spacing w:before="0"/>
            </w:pPr>
            <w:r w:rsidRPr="00BE78CA">
              <w:t xml:space="preserve">Plot samples; laboratory analysis of samples collected at plots </w:t>
            </w:r>
          </w:p>
        </w:tc>
        <w:tc>
          <w:tcPr>
            <w:tcW w:w="1590" w:type="pct"/>
            <w:gridSpan w:val="2"/>
            <w:tcBorders>
              <w:bottom w:val="single" w:sz="4" w:space="0" w:color="365F91"/>
            </w:tcBorders>
          </w:tcPr>
          <w:p w14:paraId="1B95DDF7" w14:textId="77777777" w:rsidR="00333601" w:rsidRPr="00BE78CA" w:rsidRDefault="00333601" w:rsidP="00C26084">
            <w:pPr>
              <w:pStyle w:val="TableText"/>
              <w:spacing w:before="0"/>
            </w:pPr>
            <w:r w:rsidRPr="00BE78CA">
              <w:t>Paul et al. (2020, submitted); Garrett (unpublished)</w:t>
            </w:r>
          </w:p>
        </w:tc>
      </w:tr>
    </w:tbl>
    <w:p w14:paraId="0D2D4269" w14:textId="77777777" w:rsidR="00333601" w:rsidRPr="00BE78CA" w:rsidRDefault="00333601" w:rsidP="00333601">
      <w:pPr>
        <w:pStyle w:val="Heading6"/>
        <w:spacing w:before="360"/>
      </w:pPr>
      <w:bookmarkStart w:id="1796" w:name="_Toc255466334"/>
      <w:bookmarkStart w:id="1797" w:name="_Toc261513141"/>
      <w:bookmarkStart w:id="1798" w:name="_Toc261513754"/>
      <w:r w:rsidRPr="00BE78CA">
        <w:t>Living biomass</w:t>
      </w:r>
    </w:p>
    <w:p w14:paraId="1C597F0D" w14:textId="77777777" w:rsidR="00333601" w:rsidRPr="00BE78CA" w:rsidRDefault="00333601" w:rsidP="00333601">
      <w:pPr>
        <w:pStyle w:val="BodyText"/>
      </w:pPr>
      <w:r w:rsidRPr="00BE78CA">
        <w:t>Living biomass is separated into two carbon pools.</w:t>
      </w:r>
    </w:p>
    <w:p w14:paraId="306BE573" w14:textId="77777777" w:rsidR="00333601" w:rsidRPr="00BE78CA" w:rsidRDefault="00333601" w:rsidP="00FA2314">
      <w:pPr>
        <w:pStyle w:val="BodyText"/>
        <w:numPr>
          <w:ilvl w:val="0"/>
          <w:numId w:val="27"/>
        </w:numPr>
        <w:spacing w:before="0"/>
        <w:ind w:left="397" w:hanging="397"/>
      </w:pPr>
      <w:r w:rsidRPr="00BE78CA">
        <w:t>Above-ground biomass. The carbon content of individual trees and shrubs is calculated using species-specific allometric relationships between diameter, height and wood density (for trees), a non-specific conversion factor with diameter and height (for tree ferns) or volume and biomass (for shrubs) (Beets et al., 2012b; Paul et al., 2020 (submitted)). Shrub volumes are converted to carbon stocks using species- and/or site</w:t>
      </w:r>
      <w:r w:rsidRPr="00BE78CA">
        <w:noBreakHyphen/>
        <w:t xml:space="preserve">specific conversion factors determined from the destructive harvesting of reference samples (carbon fractions of 0.51 for gymnosperms and 0.48 for broadleaf species (IPCC, 2006a)). </w:t>
      </w:r>
    </w:p>
    <w:p w14:paraId="364E2A72" w14:textId="77777777" w:rsidR="00333601" w:rsidRPr="00BE78CA" w:rsidRDefault="00333601" w:rsidP="00FA2314">
      <w:pPr>
        <w:pStyle w:val="BodyText"/>
        <w:numPr>
          <w:ilvl w:val="0"/>
          <w:numId w:val="27"/>
        </w:numPr>
        <w:spacing w:before="0"/>
        <w:ind w:left="397" w:hanging="397"/>
      </w:pPr>
      <w:r w:rsidRPr="00BE78CA">
        <w:t xml:space="preserve">Below-ground biomass. The below-ground biomass was estimated for each individual tree based on an estimate of the root:shoot ratio for that species (the ratio of the below-ground biomass to above-ground biomass). Tree and shrub species in different taxonomic groups were assigned different root:shoot ratios, as outlined in (Easdale et al., 2019). Applying the root:shoot ratios as published in Easdale et al., 2019 has been included to address ERT recommendation L.4, 2019 </w:t>
      </w:r>
      <w:r w:rsidRPr="00BE78CA">
        <w:rPr>
          <w:spacing w:val="-2"/>
        </w:rPr>
        <w:t>(FCCC/ARR/2019/NZL, UNFCCC, 2020).</w:t>
      </w:r>
      <w:r w:rsidRPr="00BE78CA">
        <w:t xml:space="preserve"> </w:t>
      </w:r>
    </w:p>
    <w:p w14:paraId="6FBF1DB2" w14:textId="77777777" w:rsidR="00333601" w:rsidRPr="00BE78CA" w:rsidRDefault="00333601" w:rsidP="00333601">
      <w:pPr>
        <w:pStyle w:val="Heading6"/>
      </w:pPr>
      <w:r w:rsidRPr="00BE78CA">
        <w:t>Dead organic matter</w:t>
      </w:r>
      <w:bookmarkEnd w:id="1796"/>
      <w:bookmarkEnd w:id="1797"/>
      <w:bookmarkEnd w:id="1798"/>
    </w:p>
    <w:p w14:paraId="11E31E0B" w14:textId="77777777" w:rsidR="00333601" w:rsidRPr="00BE78CA" w:rsidRDefault="00333601" w:rsidP="00333601">
      <w:pPr>
        <w:pStyle w:val="BodyText"/>
      </w:pPr>
      <w:r w:rsidRPr="00BE78CA">
        <w:t>Dead organic matter is separated into two carbon pools.</w:t>
      </w:r>
    </w:p>
    <w:p w14:paraId="51044085" w14:textId="77777777" w:rsidR="00333601" w:rsidRPr="00BE78CA" w:rsidRDefault="00333601" w:rsidP="00333601">
      <w:pPr>
        <w:pStyle w:val="BodyText"/>
        <w:spacing w:before="0"/>
        <w:ind w:left="397" w:hanging="397"/>
      </w:pPr>
      <w:r w:rsidRPr="00BE78CA">
        <w:t>1.</w:t>
      </w:r>
      <w:r w:rsidRPr="00BE78CA">
        <w:tab/>
        <w:t xml:space="preserve">Dead wood. The carbon content of dead standing trees is determined in the same way as live trees but excludes branch and foliage biomass calculations. The carbon content of the fallen wood and stumps is derived from the volume of the piece of wood, its species </w:t>
      </w:r>
      <w:r w:rsidRPr="00BE78CA">
        <w:lastRenderedPageBreak/>
        <w:t>(if able to be identified) and what stage of decay it is at. Dead wood comprises woody debris with a diameter greater than 10 centimetres. The dead wood pool is very difficult to measure in the field (particularly wood that is in an advanced state of decay) and is currently being underestimated by the monitoring programme (Kimberley et al., 2019). An adjustment factor, derived by an approach developed by Kimberley et al. (2019), was applied to correct for this (Paul et al., 2020 (submitted)).</w:t>
      </w:r>
    </w:p>
    <w:p w14:paraId="2B2C14D2" w14:textId="77777777" w:rsidR="00333601" w:rsidRPr="00BE78CA" w:rsidRDefault="00333601" w:rsidP="00333601">
      <w:pPr>
        <w:pStyle w:val="BodyText"/>
        <w:spacing w:before="0"/>
        <w:ind w:left="397" w:hanging="397"/>
      </w:pPr>
      <w:r w:rsidRPr="00BE78CA">
        <w:t>2.</w:t>
      </w:r>
      <w:r w:rsidRPr="00BE78CA">
        <w:tab/>
        <w:t>Litter. The carbon content of the fine debris is calculated by laboratory analysis of sampled material. Litter comprises fine woody debris (dead wood from 2.5 centimetres to 10.0 centimetres in diameter), the litter (all material less than 2.5 centimetres in diameter) and the fermented humic horizons. Samples were taken at approximately one</w:t>
      </w:r>
      <w:r w:rsidRPr="00BE78CA">
        <w:noBreakHyphen/>
        <w:t>third of the natural forest plots.</w:t>
      </w:r>
    </w:p>
    <w:p w14:paraId="55278259" w14:textId="77777777" w:rsidR="00333601" w:rsidRPr="00BE78CA" w:rsidRDefault="00333601" w:rsidP="002F441A">
      <w:pPr>
        <w:pStyle w:val="Heading6"/>
        <w:spacing w:before="180"/>
      </w:pPr>
      <w:r w:rsidRPr="00BE78CA">
        <w:t>Carbon stock change</w:t>
      </w:r>
    </w:p>
    <w:p w14:paraId="67C063CD" w14:textId="77777777" w:rsidR="00333601" w:rsidRPr="00BE78CA" w:rsidRDefault="00333601" w:rsidP="00333601">
      <w:pPr>
        <w:pStyle w:val="BodyText"/>
      </w:pPr>
      <w:r w:rsidRPr="00BE78CA">
        <w:t xml:space="preserve">Carbon stock change in the living biomass pool is calculated using a ‘stem-following’ method described in Paul et al. (2020, submitted). In this method, carbon stock change for each plot is calculated by summing the stock change for each individual live stem and subtracting the summed carbon at </w:t>
      </w:r>
      <w:r w:rsidRPr="00BE78CA">
        <w:rPr>
          <w:i/>
        </w:rPr>
        <w:t>t</w:t>
      </w:r>
      <w:r w:rsidRPr="00BE78CA">
        <w:rPr>
          <w:i/>
          <w:vertAlign w:val="subscript"/>
        </w:rPr>
        <w:t>1</w:t>
      </w:r>
      <w:r w:rsidRPr="00BE78CA">
        <w:t xml:space="preserve"> for individual stems that died in the period between </w:t>
      </w:r>
      <w:r w:rsidRPr="00BE78CA">
        <w:rPr>
          <w:i/>
        </w:rPr>
        <w:t>t</w:t>
      </w:r>
      <w:r w:rsidRPr="00BE78CA">
        <w:rPr>
          <w:i/>
          <w:vertAlign w:val="subscript"/>
        </w:rPr>
        <w:t>1</w:t>
      </w:r>
      <w:r w:rsidRPr="00BE78CA">
        <w:rPr>
          <w:iCs/>
          <w:vertAlign w:val="subscript"/>
        </w:rPr>
        <w:t xml:space="preserve"> </w:t>
      </w:r>
      <w:r w:rsidRPr="00BE78CA">
        <w:rPr>
          <w:iCs/>
        </w:rPr>
        <w:t xml:space="preserve">and </w:t>
      </w:r>
      <w:r w:rsidRPr="00BE78CA">
        <w:rPr>
          <w:i/>
        </w:rPr>
        <w:t>t</w:t>
      </w:r>
      <w:r w:rsidRPr="00BE78CA">
        <w:rPr>
          <w:i/>
          <w:vertAlign w:val="subscript"/>
        </w:rPr>
        <w:t>2</w:t>
      </w:r>
      <w:r w:rsidRPr="00BE78CA">
        <w:rPr>
          <w:iCs/>
        </w:rPr>
        <w:t>.</w:t>
      </w:r>
      <w:r w:rsidRPr="00BE78CA">
        <w:t xml:space="preserve"> To account for ingrowth and missing measurements, the diameter of trees measured at </w:t>
      </w:r>
      <w:r w:rsidRPr="00BE78CA">
        <w:rPr>
          <w:i/>
        </w:rPr>
        <w:t>t</w:t>
      </w:r>
      <w:r w:rsidRPr="00BE78CA">
        <w:rPr>
          <w:i/>
          <w:vertAlign w:val="subscript"/>
        </w:rPr>
        <w:t>2</w:t>
      </w:r>
      <w:r w:rsidRPr="00BE78CA">
        <w:t xml:space="preserve"> that were not measured at </w:t>
      </w:r>
      <w:r w:rsidRPr="00BE78CA">
        <w:rPr>
          <w:i/>
        </w:rPr>
        <w:t>t</w:t>
      </w:r>
      <w:r w:rsidRPr="00BE78CA">
        <w:rPr>
          <w:i/>
          <w:vertAlign w:val="subscript"/>
        </w:rPr>
        <w:t>1</w:t>
      </w:r>
      <w:r w:rsidRPr="00BE78CA">
        <w:t xml:space="preserve"> were predicted and used in the calculation of stock change, provided that the diameter at </w:t>
      </w:r>
      <w:r w:rsidRPr="00BE78CA">
        <w:rPr>
          <w:i/>
        </w:rPr>
        <w:t>t</w:t>
      </w:r>
      <w:r w:rsidRPr="00BE78CA">
        <w:rPr>
          <w:i/>
          <w:vertAlign w:val="subscript"/>
        </w:rPr>
        <w:t>2</w:t>
      </w:r>
      <w:r w:rsidRPr="00BE78CA">
        <w:t xml:space="preserve"> was above the threshold for field measurement (e.g., 2.5 centimetres for the embedded 0.04 hectare square plot, and 60 centimetres for the 0.13 hectare circular plot). The total summed carbon is calculated for each plot, and the mean change across all plots is used as the national average. New Zealand has inventoried its pre-1990 natural forest at two points in time: 2002 to 2007 and 2009 to 2014 (the third round of measurements is under way and due for completion in 2024). The average measurement date of the first measurement period is 2004 and average measurement date of the second measurement period is 2011.</w:t>
      </w:r>
    </w:p>
    <w:p w14:paraId="5AC196A6" w14:textId="7EAFD34A" w:rsidR="00333601" w:rsidRPr="00BE78CA" w:rsidRDefault="00333601" w:rsidP="00333601">
      <w:pPr>
        <w:pStyle w:val="BodyText"/>
      </w:pPr>
      <w:r w:rsidRPr="00BE78CA">
        <w:t>Between 2002 and 2007 and 2009 and 2014, the regenerating forest component of New</w:t>
      </w:r>
      <w:r w:rsidR="00470BB0" w:rsidRPr="00BE78CA">
        <w:t xml:space="preserve"> </w:t>
      </w:r>
      <w:r w:rsidRPr="00BE78CA">
        <w:t>Zealand’s pre</w:t>
      </w:r>
      <w:r w:rsidRPr="00BE78CA">
        <w:noBreakHyphen/>
        <w:t>1990 natural forest was a net sink of carbon, sequestering 0.63 ± 0.25</w:t>
      </w:r>
      <w:r w:rsidR="00470BB0" w:rsidRPr="00BE78CA">
        <w:t> </w:t>
      </w:r>
      <w:r w:rsidRPr="00BE78CA">
        <w:t>tonnes C</w:t>
      </w:r>
      <w:r w:rsidR="00470BB0" w:rsidRPr="00BE78CA">
        <w:t> </w:t>
      </w:r>
      <w:r w:rsidRPr="00BE78CA">
        <w:t>ha</w:t>
      </w:r>
      <w:r w:rsidRPr="00BE78CA">
        <w:rPr>
          <w:vertAlign w:val="superscript"/>
        </w:rPr>
        <w:t xml:space="preserve">-1 </w:t>
      </w:r>
      <w:r w:rsidRPr="00BE78CA">
        <w:t>yr</w:t>
      </w:r>
      <w:r w:rsidRPr="00BE78CA">
        <w:rPr>
          <w:vertAlign w:val="superscript"/>
        </w:rPr>
        <w:t>-1</w:t>
      </w:r>
      <w:r w:rsidRPr="00BE78CA">
        <w:t xml:space="preserve"> (Paul et al., 2020 (submitted)). The data are extrapolated back to 1990 and forward to the current inventory year to calculate stock changes for all years. Due to the dominance of</w:t>
      </w:r>
      <w:r w:rsidR="00470BB0" w:rsidRPr="00BE78CA">
        <w:t> </w:t>
      </w:r>
      <w:r w:rsidRPr="00BE78CA">
        <w:t>tall forest types, the combined overall net change across all pre-1990 natural forest was indistinguishable from zero (+0.04 ± 0.18 tonnes C ha</w:t>
      </w:r>
      <w:r w:rsidRPr="00BE78CA">
        <w:rPr>
          <w:vertAlign w:val="superscript"/>
        </w:rPr>
        <w:t>–1</w:t>
      </w:r>
      <w:r w:rsidRPr="00BE78CA">
        <w:t xml:space="preserve"> yr</w:t>
      </w:r>
      <w:r w:rsidRPr="00BE78CA">
        <w:rPr>
          <w:vertAlign w:val="superscript"/>
        </w:rPr>
        <w:t>–1</w:t>
      </w:r>
      <w:r w:rsidRPr="00BE78CA">
        <w:t>; Paul et al., 2020, (submitted)). Carbon stock change in regenerating forest was driven primarily by an increase in</w:t>
      </w:r>
      <w:r w:rsidR="008A023D" w:rsidRPr="00BE78CA">
        <w:t> </w:t>
      </w:r>
      <w:r w:rsidRPr="00BE78CA">
        <w:t>live above</w:t>
      </w:r>
      <w:r w:rsidR="00470BB0" w:rsidRPr="00BE78CA">
        <w:noBreakHyphen/>
      </w:r>
      <w:r w:rsidRPr="00BE78CA">
        <w:t>ground biomass of 0.48 ± 0.21 tonnes C ha</w:t>
      </w:r>
      <w:r w:rsidRPr="00BE78CA">
        <w:rPr>
          <w:vertAlign w:val="superscript"/>
        </w:rPr>
        <w:t>–1</w:t>
      </w:r>
      <w:r w:rsidRPr="00BE78CA">
        <w:t xml:space="preserve"> yr</w:t>
      </w:r>
      <w:r w:rsidRPr="00BE78CA">
        <w:rPr>
          <w:vertAlign w:val="superscript"/>
        </w:rPr>
        <w:t xml:space="preserve">–1 </w:t>
      </w:r>
      <w:r w:rsidRPr="00BE78CA">
        <w:t xml:space="preserve">(Paul et al., 2020 (submitted)). </w:t>
      </w:r>
    </w:p>
    <w:p w14:paraId="4FBD3CB7" w14:textId="77777777" w:rsidR="00333601" w:rsidRPr="00BE78CA" w:rsidRDefault="00333601" w:rsidP="00333601">
      <w:pPr>
        <w:pStyle w:val="BodyText"/>
      </w:pPr>
      <w:r w:rsidRPr="00BE78CA">
        <w:t xml:space="preserve">In an effort to reduce sampling uncertainty and fulfil the practical recommendations made by Holdaway et al. (2014), the number and size of plots included in carbon stock change analyses have increased through time. A total of 874 plots was included in Holdaway et al., 2017. This has increased to approximately 1,050 plots in Paul et al., 2020 (submitted). Paul et al. (2020, submitted) included stems from a larger plot area (0.13 hectares) than in previous analyses, which included only stems from an embedded 0.04 hectare plot (Holdaway et al., 2017). </w:t>
      </w:r>
    </w:p>
    <w:p w14:paraId="29CF0D3A" w14:textId="77777777" w:rsidR="00333601" w:rsidRPr="00BE78CA" w:rsidRDefault="00333601" w:rsidP="00333601">
      <w:pPr>
        <w:pStyle w:val="Heading6"/>
      </w:pPr>
      <w:bookmarkStart w:id="1799" w:name="_Toc255466335"/>
      <w:bookmarkStart w:id="1800" w:name="_Toc261513142"/>
      <w:bookmarkStart w:id="1801" w:name="_Toc261513755"/>
      <w:r w:rsidRPr="00BE78CA">
        <w:t>Soil organic carbon</w:t>
      </w:r>
      <w:bookmarkEnd w:id="1799"/>
      <w:bookmarkEnd w:id="1800"/>
      <w:bookmarkEnd w:id="1801"/>
    </w:p>
    <w:p w14:paraId="073B2E42" w14:textId="77777777" w:rsidR="00333601" w:rsidRPr="00BE78CA" w:rsidRDefault="00333601" w:rsidP="00333601">
      <w:pPr>
        <w:pStyle w:val="BodyText"/>
      </w:pPr>
      <w:r w:rsidRPr="00BE78CA">
        <w:t>Mineral SOC stocks in pre-1990 natural forest land remaining pre-1990 natural forest land are estimated using a Tier 2 method. The steady state mineral SOC stock in pre-1990 natural forest is estimated to be 92.25 tonnes C ha</w:t>
      </w:r>
      <w:r w:rsidRPr="00BE78CA">
        <w:rPr>
          <w:vertAlign w:val="superscript"/>
        </w:rPr>
        <w:t>–1</w:t>
      </w:r>
      <w:r w:rsidRPr="00BE78CA">
        <w:t xml:space="preserve"> (see table 6.3.2).</w:t>
      </w:r>
    </w:p>
    <w:p w14:paraId="046A58B2" w14:textId="77777777" w:rsidR="00333601" w:rsidRPr="00BE78CA" w:rsidRDefault="00333601" w:rsidP="00333601">
      <w:pPr>
        <w:pStyle w:val="BodyText"/>
      </w:pPr>
      <w:r w:rsidRPr="00BE78CA">
        <w:t xml:space="preserve">For organic soils, IPCC good practice guidance is limited to the estimation of carbon emissions associated with the drainage of organic soils in managed forests (IPCC, 2006a, section 4.2.3.1). </w:t>
      </w:r>
      <w:r w:rsidRPr="00BE78CA">
        <w:lastRenderedPageBreak/>
        <w:t>In New Zealand, natural forests are not drained and, therefore, oxidation processes associated with drainage are not occurring. It is therefore assumed that there are no carbon emissions from organic soils in pre-1990 natural forest land remaining pre</w:t>
      </w:r>
      <w:r w:rsidRPr="00BE78CA">
        <w:noBreakHyphen/>
        <w:t>1990 natural forest land.</w:t>
      </w:r>
    </w:p>
    <w:p w14:paraId="7ED95969" w14:textId="77777777" w:rsidR="00333601" w:rsidRPr="00BE78CA" w:rsidRDefault="00333601" w:rsidP="003E7371">
      <w:pPr>
        <w:pStyle w:val="Heading5"/>
        <w:spacing w:before="180"/>
      </w:pPr>
      <w:r w:rsidRPr="00BE78CA">
        <w:t>Non-CO</w:t>
      </w:r>
      <w:r w:rsidRPr="00BE78CA">
        <w:rPr>
          <w:vertAlign w:val="subscript"/>
        </w:rPr>
        <w:t>2</w:t>
      </w:r>
      <w:r w:rsidRPr="00BE78CA">
        <w:t xml:space="preserve"> emissions for pre-1990 natural forest </w:t>
      </w:r>
    </w:p>
    <w:p w14:paraId="73480C8C" w14:textId="77777777" w:rsidR="00333601" w:rsidRPr="00BE78CA" w:rsidRDefault="00333601" w:rsidP="00333601">
      <w:pPr>
        <w:pStyle w:val="Heading6"/>
        <w:spacing w:before="120"/>
      </w:pPr>
      <w:r w:rsidRPr="00BE78CA">
        <w:t>Direct N</w:t>
      </w:r>
      <w:r w:rsidRPr="00BE78CA">
        <w:rPr>
          <w:vertAlign w:val="subscript"/>
        </w:rPr>
        <w:t>2</w:t>
      </w:r>
      <w:r w:rsidRPr="00BE78CA">
        <w:t>O emissions from nitrogen fertilisation of forest land and other land</w:t>
      </w:r>
    </w:p>
    <w:p w14:paraId="2E165D5B" w14:textId="77777777" w:rsidR="00333601" w:rsidRPr="00BE78CA" w:rsidRDefault="00333601" w:rsidP="002F441A">
      <w:pPr>
        <w:pStyle w:val="BodyText"/>
        <w:spacing w:before="100" w:after="100"/>
      </w:pPr>
      <w:r w:rsidRPr="00BE78CA">
        <w:t>New Zealand activity data on nitrogen fertilisation are not currently disaggregated by land use, and, therefore, all direct N</w:t>
      </w:r>
      <w:r w:rsidRPr="00BE78CA">
        <w:rPr>
          <w:vertAlign w:val="subscript"/>
        </w:rPr>
        <w:t>2</w:t>
      </w:r>
      <w:r w:rsidRPr="00BE78CA">
        <w:t>O emissions from nitrogen fertilisation of</w:t>
      </w:r>
      <w:r w:rsidRPr="00BE78CA">
        <w:rPr>
          <w:i/>
        </w:rPr>
        <w:t xml:space="preserve"> Forest land </w:t>
      </w:r>
      <w:r w:rsidRPr="00BE78CA">
        <w:t>and</w:t>
      </w:r>
      <w:r w:rsidRPr="00BE78CA">
        <w:rPr>
          <w:i/>
        </w:rPr>
        <w:t xml:space="preserve"> Other land </w:t>
      </w:r>
      <w:r w:rsidRPr="00BE78CA">
        <w:t xml:space="preserve">are reported under the Agriculture sector in the category </w:t>
      </w:r>
      <w:r w:rsidRPr="00BE78CA">
        <w:rPr>
          <w:i/>
        </w:rPr>
        <w:t>Direct N</w:t>
      </w:r>
      <w:r w:rsidRPr="00BE78CA">
        <w:rPr>
          <w:i/>
          <w:vertAlign w:val="subscript"/>
        </w:rPr>
        <w:t>2</w:t>
      </w:r>
      <w:r w:rsidRPr="00BE78CA">
        <w:rPr>
          <w:i/>
        </w:rPr>
        <w:t>O emissions from managed soils</w:t>
      </w:r>
      <w:r w:rsidRPr="00BE78CA">
        <w:t>.</w:t>
      </w:r>
    </w:p>
    <w:p w14:paraId="2B0847B3" w14:textId="77777777" w:rsidR="00333601" w:rsidRPr="00BE78CA" w:rsidRDefault="00333601" w:rsidP="003E7371">
      <w:pPr>
        <w:pStyle w:val="Heading5"/>
        <w:spacing w:before="180"/>
      </w:pPr>
      <w:r w:rsidRPr="00BE78CA">
        <w:t>Post-1989 natural forest</w:t>
      </w:r>
    </w:p>
    <w:p w14:paraId="77B3571F" w14:textId="77777777" w:rsidR="00333601" w:rsidRPr="00BE78CA" w:rsidRDefault="00333601" w:rsidP="00333601">
      <w:pPr>
        <w:pStyle w:val="BodyText"/>
        <w:spacing w:before="100" w:after="100"/>
      </w:pPr>
      <w:r w:rsidRPr="00BE78CA">
        <w:t xml:space="preserve">Post-1989 natural forest consists of forest land established since 1 January 1990 and has resulted from direct human-induced changes in land-management practice. The resulting vegetation is a seral plant community, generally comprising a mix of native and introduced species, which is in the early successional stages of reversion to mature forest. As the vegetation matures, it generally becomes increasingly dominated by native species and in most cases will become native forest. The active facilitation of tree species’ regeneration through the removal of grazing stock would, for example, result in a land-use change from </w:t>
      </w:r>
      <w:r w:rsidRPr="00BE78CA">
        <w:rPr>
          <w:i/>
        </w:rPr>
        <w:t>Grassland</w:t>
      </w:r>
      <w:r w:rsidRPr="00BE78CA">
        <w:t xml:space="preserve"> to </w:t>
      </w:r>
      <w:r w:rsidRPr="00BE78CA">
        <w:rPr>
          <w:i/>
        </w:rPr>
        <w:t>Forest land</w:t>
      </w:r>
      <w:r w:rsidRPr="00BE78CA">
        <w:t>. In 2019, the post-1989 natural forest area covers an estimated 81,483 hectares.</w:t>
      </w:r>
    </w:p>
    <w:p w14:paraId="362229D6" w14:textId="77777777" w:rsidR="00333601" w:rsidRPr="00BE78CA" w:rsidRDefault="00333601" w:rsidP="00333601">
      <w:pPr>
        <w:pStyle w:val="BodyText"/>
        <w:spacing w:before="100" w:after="100"/>
      </w:pPr>
      <w:r w:rsidRPr="00BE78CA">
        <w:t xml:space="preserve">Estimates of carbon stock and stock change in post-1989 natural forest are calculated using measurements taken from the field inventory. The inventory samples post-1989 natural forest using 0.13 hectare permanent sample plots on a systematic 4-kilometre grid (consistent with the post-1989 planted forest inventory). Twenty plots in post-1989 natural forest were established and measured for the first time in 2012. A second round of measurements was conducted in 2019. Analysis of the second round of measurements has contributed to an updated emissions factor (Paul et al. unpublished(b)). The plot network design is described in Beets et al. (2012a, 2014b), and detailed methods for plot measurement are given in the data collection manual (Ministry for the Environment, unpublished). </w:t>
      </w:r>
    </w:p>
    <w:p w14:paraId="57ABCE08" w14:textId="77777777" w:rsidR="00333601" w:rsidRPr="00BE78CA" w:rsidRDefault="00333601" w:rsidP="002F441A">
      <w:pPr>
        <w:pStyle w:val="Heading6"/>
        <w:spacing w:before="160"/>
      </w:pPr>
      <w:r w:rsidRPr="00BE78CA">
        <w:t>Living biomass and dead organic matter</w:t>
      </w:r>
    </w:p>
    <w:p w14:paraId="750BFA32" w14:textId="77777777" w:rsidR="00333601" w:rsidRPr="00BE78CA" w:rsidRDefault="00333601" w:rsidP="00333601">
      <w:pPr>
        <w:pStyle w:val="BodyText"/>
        <w:spacing w:before="100" w:after="100"/>
      </w:pPr>
      <w:r w:rsidRPr="00BE78CA">
        <w:t>At permanent sample plots within post-1989 natural forest, measurements are taken of standing and fallen, live and dead plants. Destructive biomass samples have also been taken outside of the plots and are used to create plot-specific allometric equations, which are then applied to these measurements to calculate above-ground live biomass.</w:t>
      </w:r>
    </w:p>
    <w:p w14:paraId="678A4294" w14:textId="77777777" w:rsidR="00333601" w:rsidRPr="00BE78CA" w:rsidRDefault="00333601" w:rsidP="00333601">
      <w:pPr>
        <w:pStyle w:val="BodyText"/>
        <w:spacing w:before="100" w:after="100"/>
      </w:pPr>
      <w:r w:rsidRPr="00BE78CA">
        <w:t>The biomass of standing dead wood (woody debris with a diameter greater than 10 centimetres) and litter (woody debris with a diameter of less than 10 centimetres) is calculated as for living biomass but is then adjusted for decay using decay functions. Biomass of fallen dead wood is calculated from plot measurements of volume in combination with species-specific wood densities and then also adjusted for decay in the same way.</w:t>
      </w:r>
    </w:p>
    <w:p w14:paraId="3E290FB1" w14:textId="77777777" w:rsidR="00333601" w:rsidRPr="00BE78CA" w:rsidRDefault="00333601" w:rsidP="00333601">
      <w:pPr>
        <w:pStyle w:val="BodyText"/>
        <w:spacing w:before="100" w:after="100"/>
        <w:rPr>
          <w:spacing w:val="-2"/>
        </w:rPr>
      </w:pPr>
      <w:r w:rsidRPr="00BE78CA">
        <w:rPr>
          <w:spacing w:val="-2"/>
        </w:rPr>
        <w:t>Biomass sampling on post-1989 natural forest plots includes the determination of plant age, which enables the back-casting of biomass through time. Back-cast estimates of biomass are used to calculate carbon stock change. The method used to do this was developed and validated using plots for which multiple measurements in time had been obtained and for which carbon stock change was able to be measured directly (Beets et al., 2014a). Full methods for the calculation of carbon stock and stock change in post-1989 natural forest are described in Beets et al. (2014b) and Paul et al. (unpublished(b)).</w:t>
      </w:r>
    </w:p>
    <w:p w14:paraId="484BD0AB" w14:textId="77777777" w:rsidR="00333601" w:rsidRPr="00BE78CA" w:rsidRDefault="00333601" w:rsidP="00333601">
      <w:pPr>
        <w:pStyle w:val="BodyText"/>
        <w:spacing w:before="100"/>
      </w:pPr>
      <w:r w:rsidRPr="00BE78CA">
        <w:lastRenderedPageBreak/>
        <w:t>The carbon stock estimate for post-1989 natural forest is 38.55 ± 10.23 tonnes C ha</w:t>
      </w:r>
      <w:r w:rsidRPr="00BE78CA">
        <w:rPr>
          <w:vertAlign w:val="superscript"/>
        </w:rPr>
        <w:t>–1</w:t>
      </w:r>
      <w:r w:rsidRPr="00BE78CA">
        <w:t xml:space="preserve"> (at the 95 per cent confidence interval) as at 31 December 2019 (Paul et al., unpublished(b)). The average rate of carbon sequestration in post-1989 natural forest between 2012 and 2019 was 2.48 tonnes C ha</w:t>
      </w:r>
      <w:r w:rsidRPr="00BE78CA">
        <w:rPr>
          <w:vertAlign w:val="superscript"/>
        </w:rPr>
        <w:t>–1</w:t>
      </w:r>
      <w:r w:rsidRPr="00BE78CA">
        <w:t xml:space="preserve"> yr</w:t>
      </w:r>
      <w:r w:rsidRPr="00BE78CA">
        <w:rPr>
          <w:vertAlign w:val="superscript"/>
        </w:rPr>
        <w:t>–1</w:t>
      </w:r>
      <w:r w:rsidRPr="00BE78CA">
        <w:t xml:space="preserve"> (calculated from Paul et al., unpublished(b)). This rate is slightly higher than previously reported rates of carbon sequestration in regenerating forest in New Zealand (Carswell et al., 2012; Trotter and MacKay, unpublished). This possibly reflects differences in the composition of species that were targeted in these studies (Paul et al., unpublished(b)).</w:t>
      </w:r>
    </w:p>
    <w:p w14:paraId="1F910205" w14:textId="77777777" w:rsidR="00333601" w:rsidRPr="00BE78CA" w:rsidRDefault="00333601" w:rsidP="003E7371">
      <w:pPr>
        <w:pStyle w:val="Heading6"/>
        <w:spacing w:before="180"/>
      </w:pPr>
      <w:r w:rsidRPr="00BE78CA">
        <w:t>Soil organic carbon</w:t>
      </w:r>
    </w:p>
    <w:p w14:paraId="190741C0" w14:textId="77777777" w:rsidR="00333601" w:rsidRPr="00BE78CA" w:rsidRDefault="00333601" w:rsidP="00333601">
      <w:pPr>
        <w:pStyle w:val="BodyText"/>
      </w:pPr>
      <w:r w:rsidRPr="00BE78CA">
        <w:t>SOC stocks in land converted to post-1989 forest are estimated using a Tier 2 method for mineral soils and a Tier 1 method for organic soils, as described in section 6.3. The steady state mineral SOC stock in post-1989 forest is estimated to be 91.92 tonnes C ha</w:t>
      </w:r>
      <w:r w:rsidRPr="00BE78CA">
        <w:rPr>
          <w:vertAlign w:val="superscript"/>
        </w:rPr>
        <w:t>–1</w:t>
      </w:r>
      <w:r w:rsidRPr="00BE78CA">
        <w:t xml:space="preserve"> (see table 6.3.2). </w:t>
      </w:r>
    </w:p>
    <w:p w14:paraId="4672249D" w14:textId="77777777" w:rsidR="00333601" w:rsidRPr="00BE78CA" w:rsidRDefault="00333601" w:rsidP="00333601">
      <w:pPr>
        <w:pStyle w:val="BodyText"/>
      </w:pPr>
      <w:r w:rsidRPr="00BE78CA">
        <w:t>In the absence of data on the rate of change specific to country and land use, the IPCC default method of a linear change over a 20-year period is used to estimate the change in SOC stocks between the original land use and post-1989 forest land for any given period. For example, the soil carbon change associated with a land-use change from low producing grassland (SOC stock 105.98 tonnes C ha</w:t>
      </w:r>
      <w:r w:rsidRPr="00BE78CA">
        <w:rPr>
          <w:vertAlign w:val="superscript"/>
        </w:rPr>
        <w:t>–1</w:t>
      </w:r>
      <w:r w:rsidRPr="00BE78CA">
        <w:t>) to post-1989 forest (SOC stock 91.92 tonnes C ha</w:t>
      </w:r>
      <w:r w:rsidRPr="00BE78CA">
        <w:rPr>
          <w:vertAlign w:val="superscript"/>
        </w:rPr>
        <w:t>–1</w:t>
      </w:r>
      <w:r w:rsidRPr="00BE78CA">
        <w:t>) would be a loss of 14.06 tonnes C ha</w:t>
      </w:r>
      <w:r w:rsidRPr="00BE78CA">
        <w:rPr>
          <w:vertAlign w:val="superscript"/>
        </w:rPr>
        <w:t>–1</w:t>
      </w:r>
      <w:r w:rsidRPr="00BE78CA">
        <w:t xml:space="preserve"> over the 20-year period.</w:t>
      </w:r>
    </w:p>
    <w:p w14:paraId="23F367EA" w14:textId="77777777" w:rsidR="00333601" w:rsidRPr="00BE78CA" w:rsidRDefault="00333601" w:rsidP="00333601">
      <w:pPr>
        <w:pStyle w:val="BodyText"/>
        <w:rPr>
          <w:spacing w:val="-2"/>
        </w:rPr>
      </w:pPr>
      <w:r w:rsidRPr="00BE78CA">
        <w:rPr>
          <w:spacing w:val="-2"/>
        </w:rPr>
        <w:t>The IPCC default emission factor for organic soils under planted forest is 0.68 tonnes C ha</w:t>
      </w:r>
      <w:r w:rsidRPr="00BE78CA">
        <w:rPr>
          <w:spacing w:val="-2"/>
          <w:vertAlign w:val="superscript"/>
        </w:rPr>
        <w:t>–1</w:t>
      </w:r>
      <w:r w:rsidRPr="00BE78CA">
        <w:rPr>
          <w:spacing w:val="-2"/>
        </w:rPr>
        <w:t xml:space="preserve"> per annum (see table 6.3.3). This is also applied to organic soils on land converted to post</w:t>
      </w:r>
      <w:r w:rsidRPr="00BE78CA">
        <w:rPr>
          <w:spacing w:val="-2"/>
        </w:rPr>
        <w:noBreakHyphen/>
        <w:t>1989 forest.</w:t>
      </w:r>
    </w:p>
    <w:p w14:paraId="4BE63D6B" w14:textId="77777777" w:rsidR="00333601" w:rsidRPr="00BE78CA" w:rsidRDefault="00333601" w:rsidP="003E7371">
      <w:pPr>
        <w:pStyle w:val="Heading6"/>
        <w:spacing w:before="180"/>
      </w:pPr>
      <w:r w:rsidRPr="00BE78CA">
        <w:t>Quality assurance and quality control</w:t>
      </w:r>
    </w:p>
    <w:p w14:paraId="5ACF21AA" w14:textId="77777777" w:rsidR="00333601" w:rsidRPr="00BE78CA" w:rsidRDefault="00333601" w:rsidP="00333601">
      <w:pPr>
        <w:pStyle w:val="BodyText"/>
      </w:pPr>
      <w:r w:rsidRPr="00BE78CA">
        <w:t>Quality-assurance and quality-control activities were conducted throughout the post-1989 planted and natural forest data capture and processing steps. These activities were associated with the following: inventory design (Beets et al., 2014b; Brack, unpublished; Moore and Goulding, unpublished); acquisition of raw LiDAR data and LiDAR processing; checking eligibility of plots; independent audits of field plot measurements (Beets and Holt, unpublished); data processing and modelling; regression analysis and double-sampling procedures (Woollens, unpublished); and investigating LiDAR and ground plot co</w:t>
      </w:r>
      <w:r w:rsidRPr="00BE78CA">
        <w:noBreakHyphen/>
        <w:t>location (Brack and Broadley, unpublished). These activities, along with those undertaken within the post-1989 natural forest, are described in more detail in section 6.4.4.</w:t>
      </w:r>
    </w:p>
    <w:p w14:paraId="574B50E5" w14:textId="77777777" w:rsidR="00333601" w:rsidRPr="00BE78CA" w:rsidRDefault="00333601" w:rsidP="00333601">
      <w:pPr>
        <w:pStyle w:val="Heading5"/>
      </w:pPr>
      <w:r w:rsidRPr="00BE78CA">
        <w:t>Non-CO</w:t>
      </w:r>
      <w:r w:rsidRPr="00BE78CA">
        <w:rPr>
          <w:vertAlign w:val="subscript"/>
        </w:rPr>
        <w:t>2</w:t>
      </w:r>
      <w:r w:rsidRPr="00BE78CA">
        <w:t xml:space="preserve"> emissions for post-1989 forest</w:t>
      </w:r>
    </w:p>
    <w:p w14:paraId="7F6B4EBC" w14:textId="77777777" w:rsidR="00333601" w:rsidRPr="00BE78CA" w:rsidRDefault="00333601" w:rsidP="00333601">
      <w:pPr>
        <w:pStyle w:val="Heading6"/>
        <w:spacing w:before="120"/>
      </w:pPr>
      <w:r w:rsidRPr="00BE78CA">
        <w:t>Direct N</w:t>
      </w:r>
      <w:r w:rsidRPr="00BE78CA">
        <w:rPr>
          <w:vertAlign w:val="subscript"/>
        </w:rPr>
        <w:t>2</w:t>
      </w:r>
      <w:r w:rsidRPr="00BE78CA">
        <w:t>O emissions from nitrogen fertilisation of forest land and other land</w:t>
      </w:r>
    </w:p>
    <w:p w14:paraId="52B87191" w14:textId="77777777" w:rsidR="00333601" w:rsidRPr="00BE78CA" w:rsidRDefault="00333601" w:rsidP="00333601">
      <w:pPr>
        <w:pStyle w:val="BodyText"/>
      </w:pPr>
      <w:r w:rsidRPr="00BE78CA">
        <w:t>New Zealand activity data on nitrogen fertilisation are not currently disaggregated by land use, therefore, all direct N</w:t>
      </w:r>
      <w:r w:rsidRPr="00BE78CA">
        <w:rPr>
          <w:vertAlign w:val="subscript"/>
        </w:rPr>
        <w:t>2</w:t>
      </w:r>
      <w:r w:rsidRPr="00BE78CA">
        <w:t>O emissions from nitrogen fertilisation of</w:t>
      </w:r>
      <w:r w:rsidRPr="00BE78CA">
        <w:rPr>
          <w:i/>
        </w:rPr>
        <w:t xml:space="preserve"> Forest land </w:t>
      </w:r>
      <w:r w:rsidRPr="00BE78CA">
        <w:t>and</w:t>
      </w:r>
      <w:r w:rsidRPr="00BE78CA">
        <w:rPr>
          <w:i/>
        </w:rPr>
        <w:t xml:space="preserve"> Other land</w:t>
      </w:r>
      <w:r w:rsidRPr="00BE78CA">
        <w:t xml:space="preserve"> are reported under the Agriculture sector in the category </w:t>
      </w:r>
      <w:r w:rsidRPr="00BE78CA">
        <w:rPr>
          <w:i/>
        </w:rPr>
        <w:t>Direct N</w:t>
      </w:r>
      <w:r w:rsidRPr="00BE78CA">
        <w:rPr>
          <w:i/>
          <w:vertAlign w:val="subscript"/>
        </w:rPr>
        <w:t>2</w:t>
      </w:r>
      <w:r w:rsidRPr="00BE78CA">
        <w:rPr>
          <w:i/>
        </w:rPr>
        <w:t>O emissions from managed soils</w:t>
      </w:r>
      <w:r w:rsidRPr="00BE78CA">
        <w:t>.</w:t>
      </w:r>
    </w:p>
    <w:p w14:paraId="08E9977A" w14:textId="77777777" w:rsidR="00333601" w:rsidRPr="00BE78CA" w:rsidRDefault="00333601" w:rsidP="00333601">
      <w:pPr>
        <w:pStyle w:val="Heading5"/>
      </w:pPr>
      <w:bookmarkStart w:id="1802" w:name="_Toc255466337"/>
      <w:bookmarkStart w:id="1803" w:name="_Toc261513144"/>
      <w:bookmarkStart w:id="1804" w:name="_Toc261513757"/>
      <w:bookmarkStart w:id="1805" w:name="_Toc280630249"/>
      <w:r w:rsidRPr="00BE78CA">
        <w:t>Pre-1990 planted forest</w:t>
      </w:r>
      <w:bookmarkEnd w:id="1802"/>
      <w:bookmarkEnd w:id="1803"/>
      <w:bookmarkEnd w:id="1804"/>
      <w:bookmarkEnd w:id="1805"/>
    </w:p>
    <w:p w14:paraId="0464E7F5" w14:textId="77777777" w:rsidR="00333601" w:rsidRPr="00BE78CA" w:rsidRDefault="00333601" w:rsidP="00333601">
      <w:pPr>
        <w:pStyle w:val="BodyText"/>
        <w:spacing w:before="100" w:after="100"/>
      </w:pPr>
      <w:r w:rsidRPr="00BE78CA">
        <w:t xml:space="preserve">All planted forest land established prior to 1990, whether established for wood production or ecosystem services, is included as pre-1990 planted forest. This category also includes areas that were natural forest in 1990 but have since been planted with exotic forest. The emissions associated with this area are calculated as the removal of biomass associated with pre-1990 natural forest and the subsequent growth of pre-1990 planted forest. </w:t>
      </w:r>
    </w:p>
    <w:p w14:paraId="2E23642B" w14:textId="77777777" w:rsidR="00333601" w:rsidRPr="00BE78CA" w:rsidRDefault="00333601" w:rsidP="00333601">
      <w:pPr>
        <w:pStyle w:val="BodyText"/>
        <w:spacing w:before="100" w:after="100"/>
      </w:pPr>
      <w:r w:rsidRPr="00BE78CA">
        <w:lastRenderedPageBreak/>
        <w:t xml:space="preserve">For the 2021 submission, New Zealand moves to using multiple, period-specific yield tables for the pre-1990 planted forest estate. With this approach, yield tables are calculated from forest plots specific to the period they were planted. Three planting date periods were used to determine three yield tables: forest planted before-1990, forest planted between 1990 and 2009 and forest planted from 2010 onwards. The yield table date range of 1990 to 2009 was selected to allow for consistent yield tables to be used between UNFCCC reporting and reporting emissions for </w:t>
      </w:r>
      <w:r w:rsidRPr="00BE78CA">
        <w:rPr>
          <w:i/>
          <w:iCs/>
        </w:rPr>
        <w:t>Forest management</w:t>
      </w:r>
      <w:r w:rsidRPr="00BE78CA">
        <w:t xml:space="preserve"> under article 3.4. Additionally, a 20-year period was considered to be an appropriate length to classify yield table planting periods because it is long enough to detect changes in management, and therefore yields, and have to enough samples to predict accurate yields. These yield tables were calculated using forest plot data collected up until 2019 (yield tables supplied in appendix 3.2).</w:t>
      </w:r>
    </w:p>
    <w:p w14:paraId="1EC68803" w14:textId="77777777" w:rsidR="00333601" w:rsidRPr="00BE78CA" w:rsidRDefault="00333601" w:rsidP="00333601">
      <w:pPr>
        <w:pStyle w:val="BodyText"/>
        <w:spacing w:before="100" w:after="100"/>
      </w:pPr>
      <w:r w:rsidRPr="00BE78CA">
        <w:t>The use of period-specific yield tables allows for a more accurate estimate of carbon stock gains and losses from planted forests through time. As increased yields are detected in more recently established plots due to improved management or genetic improvements, these will be reflected in the more recent yield table. In contrast, when using a single period yield table for all years, the 1990 base year estimate can keep shifting due to the influence of more recently established plots.</w:t>
      </w:r>
    </w:p>
    <w:p w14:paraId="415C8C05" w14:textId="77777777" w:rsidR="00333601" w:rsidRPr="00BE78CA" w:rsidRDefault="00333601" w:rsidP="00333601">
      <w:pPr>
        <w:pStyle w:val="Heading6"/>
        <w:spacing w:before="200"/>
      </w:pPr>
      <w:r w:rsidRPr="00BE78CA">
        <w:t>Pre-1990 planted forest inventory</w:t>
      </w:r>
    </w:p>
    <w:p w14:paraId="167466BF" w14:textId="77777777" w:rsidR="00333601" w:rsidRPr="00BE78CA" w:rsidRDefault="00333601" w:rsidP="00333601">
      <w:pPr>
        <w:pStyle w:val="BodyText"/>
        <w:spacing w:before="100"/>
      </w:pPr>
      <w:r w:rsidRPr="00BE78CA">
        <w:t>New Zealand’s pre-1990 planted forest was sampled in 2010, again in 2015, and has now moved onto a continuous measurement cycle from 2016 onwards. The analysis of the data collected has provided a plot-based estimate of carbon stock and mean carbon density within this forest type (Beets et al., 2012a). The pre-1990 planted forest inventory is closely linked, in terms of design and methodology, with the post-1989 planted forest inventory described later in this section.</w:t>
      </w:r>
    </w:p>
    <w:p w14:paraId="0A967971" w14:textId="77777777" w:rsidR="00333601" w:rsidRPr="00BE78CA" w:rsidRDefault="00333601" w:rsidP="00333601">
      <w:pPr>
        <w:pStyle w:val="BodyText"/>
        <w:rPr>
          <w:spacing w:val="-2"/>
        </w:rPr>
      </w:pPr>
      <w:r w:rsidRPr="00BE78CA">
        <w:rPr>
          <w:spacing w:val="-2"/>
        </w:rPr>
        <w:t>The pre-1990 planted forest inventory consists of 341 circular 0.06-hectare plots (see figure 6.4.5) established on a systematic 8-kilometre grid (consistent with that used for all forest categories). These plots are ground measured using procedures described in Herries et al. (unpublished). Stand records and ground measurements are recorded between June and September at each plot. Measurements include: tree age; stocking (stems per hectare); stem diameters at breast height of live and dead trees; a sample of tree total heights for each tree species; pruned heights; and the timing of pruning and thinning activities. Ground plot centres were located using a 12</w:t>
      </w:r>
      <w:r w:rsidRPr="00BE78CA">
        <w:rPr>
          <w:spacing w:val="-2"/>
        </w:rPr>
        <w:noBreakHyphen/>
        <w:t xml:space="preserve">channel differential global positioning system (GPS) for accurate LiDAR co-location and relocation for future measurements (Beets et al., 2012a). </w:t>
      </w:r>
    </w:p>
    <w:p w14:paraId="49BDA58A" w14:textId="77777777" w:rsidR="00333601" w:rsidRPr="00BE78CA" w:rsidRDefault="00333601" w:rsidP="00333601">
      <w:pPr>
        <w:pStyle w:val="Heading6"/>
        <w:spacing w:before="200"/>
      </w:pPr>
      <w:r w:rsidRPr="00BE78CA">
        <w:t>Living biomass and dead organic matter</w:t>
      </w:r>
    </w:p>
    <w:p w14:paraId="0B846F89" w14:textId="77777777" w:rsidR="00333601" w:rsidRPr="00BE78CA" w:rsidRDefault="00333601" w:rsidP="00333601">
      <w:pPr>
        <w:pStyle w:val="BodyText"/>
        <w:spacing w:after="100"/>
        <w:rPr>
          <w:spacing w:val="-2"/>
        </w:rPr>
      </w:pPr>
      <w:r w:rsidRPr="00BE78CA">
        <w:rPr>
          <w:spacing w:val="-2"/>
        </w:rPr>
        <w:t xml:space="preserve">The crop tree plot data collected from the planted forest inventories are modelled using a forest carbon modelling system (the Forest Carbon Predictor, version 4.12; Beets and Garrett, 2018; Beets et al., 2018a, 2018b; Paul et al., unpublished(a); Paul and Wakelin, unpublished) developed for the two most common plantation tree species in New Zealand: </w:t>
      </w:r>
      <w:r w:rsidRPr="00BE78CA">
        <w:rPr>
          <w:i/>
          <w:spacing w:val="-2"/>
        </w:rPr>
        <w:t>Pinus radiata</w:t>
      </w:r>
      <w:r w:rsidRPr="00BE78CA">
        <w:rPr>
          <w:spacing w:val="-2"/>
        </w:rPr>
        <w:t xml:space="preserve"> and </w:t>
      </w:r>
      <w:r w:rsidRPr="00BE78CA">
        <w:rPr>
          <w:i/>
          <w:spacing w:val="-2"/>
        </w:rPr>
        <w:t>Pseudotsuga menziesii</w:t>
      </w:r>
      <w:r w:rsidRPr="00BE78CA">
        <w:rPr>
          <w:spacing w:val="-2"/>
        </w:rPr>
        <w:t>. To enable predictions of carbon stocks and changes in New Zealand’s planted forests, this system integrates:</w:t>
      </w:r>
    </w:p>
    <w:p w14:paraId="72B78A6C" w14:textId="77777777" w:rsidR="00333601" w:rsidRPr="00BE78CA" w:rsidRDefault="00333601" w:rsidP="00FA2314">
      <w:pPr>
        <w:pStyle w:val="Bullet"/>
        <w:numPr>
          <w:ilvl w:val="0"/>
          <w:numId w:val="25"/>
        </w:numPr>
        <w:spacing w:after="100"/>
      </w:pPr>
      <w:r w:rsidRPr="00BE78CA">
        <w:t xml:space="preserve">the 300 Index growth model (Kimberley and Dean, 2006) for </w:t>
      </w:r>
      <w:r w:rsidRPr="00BE78CA">
        <w:rPr>
          <w:i/>
        </w:rPr>
        <w:t>Pinus radiata</w:t>
      </w:r>
    </w:p>
    <w:p w14:paraId="06463F28" w14:textId="77777777" w:rsidR="00333601" w:rsidRPr="00BE78CA" w:rsidRDefault="00333601" w:rsidP="00FA2314">
      <w:pPr>
        <w:pStyle w:val="Bullet"/>
        <w:numPr>
          <w:ilvl w:val="0"/>
          <w:numId w:val="25"/>
        </w:numPr>
        <w:spacing w:after="100"/>
      </w:pPr>
      <w:r w:rsidRPr="00BE78CA">
        <w:t>the 500 Index growth model for Douglas fir (Knowles, 2005)</w:t>
      </w:r>
    </w:p>
    <w:p w14:paraId="4FF1A6FD" w14:textId="77777777" w:rsidR="00333601" w:rsidRPr="00BE78CA" w:rsidRDefault="00333601" w:rsidP="00FA2314">
      <w:pPr>
        <w:pStyle w:val="Bullet"/>
        <w:numPr>
          <w:ilvl w:val="0"/>
          <w:numId w:val="25"/>
        </w:numPr>
        <w:spacing w:after="100"/>
      </w:pPr>
      <w:r w:rsidRPr="00BE78CA">
        <w:t>a wood density model (Beets et al., 2007)</w:t>
      </w:r>
    </w:p>
    <w:p w14:paraId="04A0205D" w14:textId="77777777" w:rsidR="00333601" w:rsidRPr="00BE78CA" w:rsidRDefault="00333601" w:rsidP="00FA2314">
      <w:pPr>
        <w:pStyle w:val="Bullet"/>
        <w:numPr>
          <w:ilvl w:val="0"/>
          <w:numId w:val="25"/>
        </w:numPr>
        <w:spacing w:after="100"/>
      </w:pPr>
      <w:r w:rsidRPr="00BE78CA">
        <w:t xml:space="preserve">a stand tending model (Beets and Kimberley, unpublished) </w:t>
      </w:r>
    </w:p>
    <w:p w14:paraId="0E064B35" w14:textId="77777777" w:rsidR="00333601" w:rsidRPr="00BE78CA" w:rsidRDefault="00333601" w:rsidP="00FA2314">
      <w:pPr>
        <w:pStyle w:val="Bullet"/>
        <w:numPr>
          <w:ilvl w:val="0"/>
          <w:numId w:val="25"/>
        </w:numPr>
        <w:spacing w:after="100"/>
      </w:pPr>
      <w:r w:rsidRPr="00BE78CA">
        <w:t>the C_Change carbon allocation model (Beets et al., 1999).</w:t>
      </w:r>
    </w:p>
    <w:p w14:paraId="227FE54E" w14:textId="77777777" w:rsidR="00333601" w:rsidRPr="00BE78CA" w:rsidRDefault="00333601" w:rsidP="00F14828">
      <w:pPr>
        <w:pStyle w:val="BodyText"/>
      </w:pPr>
      <w:r w:rsidRPr="00BE78CA">
        <w:lastRenderedPageBreak/>
        <w:t xml:space="preserve">The individual components of the Forest Carbon Predictor are explained below and illustrated in figure 6.4.7. </w:t>
      </w:r>
    </w:p>
    <w:p w14:paraId="1F8CABE4" w14:textId="77777777" w:rsidR="00333601" w:rsidRPr="00BE78CA" w:rsidRDefault="00333601" w:rsidP="00F14828">
      <w:pPr>
        <w:pStyle w:val="BodyText"/>
      </w:pPr>
      <w:r w:rsidRPr="00BE78CA">
        <w:rPr>
          <w:b/>
        </w:rPr>
        <w:t>The 300 Index and 500 Index growth models</w:t>
      </w:r>
      <w:r w:rsidRPr="00BE78CA">
        <w:t xml:space="preserve"> produce a productivity index for forest plots derived from stand parameters. These stand parameters include: stand age, mean top height, basal area, stocking and stand silvicultural history. Plot latitude and altitude are also required to run the models. The growth models use these parameters to predict stem volume under bark over a full rotation (planting to harvest). A specific productivity index is produced for each plot, which is then used to estimate the total live and dead stem volume by annual increment. The growth models account for past and future silvicultural treatments using plot data, information on past silvicultural treatments and assumptions of future management events based on plot observations and standard regimes (Beets and Kimberley, unpublished).</w:t>
      </w:r>
    </w:p>
    <w:p w14:paraId="72AB1966" w14:textId="77777777" w:rsidR="00333601" w:rsidRPr="00BE78CA" w:rsidRDefault="00333601" w:rsidP="00F14828">
      <w:pPr>
        <w:pStyle w:val="BodyText"/>
      </w:pPr>
      <w:r w:rsidRPr="00BE78CA">
        <w:rPr>
          <w:b/>
        </w:rPr>
        <w:t>The wood density model</w:t>
      </w:r>
      <w:r w:rsidRPr="00BE78CA">
        <w:t xml:space="preserve"> within the Forest Carbon Predictor uses site mean annual temperature, soil nitrogen fertility, ring age and stocking to determine the mean density of stem wood growth sheaths produced annually in </w:t>
      </w:r>
      <w:r w:rsidRPr="00BE78CA">
        <w:rPr>
          <w:i/>
        </w:rPr>
        <w:t>Pinus radiata</w:t>
      </w:r>
      <w:r w:rsidRPr="00BE78CA">
        <w:t>. Wood density is an important variable in the estimation of carbon. Of the parameters entered into the wood density model, temperature and stand age have the greatest influence on wood density, followed by site fertility and stocking. The combined result of these individual effects can be substantial, as shown in table 6.4.6 (Beets et al., 2007).</w:t>
      </w:r>
    </w:p>
    <w:p w14:paraId="28FA5A83" w14:textId="77777777" w:rsidR="00333601" w:rsidRPr="00BE78CA" w:rsidRDefault="00333601" w:rsidP="00333601">
      <w:pPr>
        <w:pStyle w:val="Table"/>
      </w:pPr>
      <w:bookmarkStart w:id="1806" w:name="_Toc310423409"/>
      <w:bookmarkStart w:id="1807" w:name="_Toc318362702"/>
      <w:bookmarkStart w:id="1808" w:name="_Toc342470764"/>
      <w:bookmarkStart w:id="1809" w:name="_Toc352505004"/>
      <w:bookmarkStart w:id="1810" w:name="_Toc373395729"/>
      <w:bookmarkStart w:id="1811" w:name="_Toc378853295"/>
      <w:bookmarkStart w:id="1812" w:name="_Toc391024093"/>
      <w:bookmarkStart w:id="1813" w:name="_Toc410028836"/>
      <w:bookmarkStart w:id="1814" w:name="_Toc414531464"/>
      <w:bookmarkStart w:id="1815" w:name="_Toc443645377"/>
      <w:bookmarkStart w:id="1816" w:name="_Toc474914596"/>
      <w:bookmarkStart w:id="1817" w:name="_Toc481751560"/>
      <w:bookmarkStart w:id="1818" w:name="_Toc522010617"/>
      <w:bookmarkStart w:id="1819" w:name="_Toc5269522"/>
      <w:bookmarkStart w:id="1820" w:name="_Toc33529396"/>
      <w:bookmarkStart w:id="1821" w:name="_Toc36224602"/>
      <w:bookmarkStart w:id="1822" w:name="_Toc65243597"/>
      <w:bookmarkStart w:id="1823" w:name="_Toc68786487"/>
      <w:r w:rsidRPr="00BE78CA">
        <w:t xml:space="preserve">Table 6.4.6 </w:t>
      </w:r>
      <w:r w:rsidRPr="00BE78CA">
        <w:tab/>
        <w:t>Influence of individual site and management factors on predicted wood density</w:t>
      </w:r>
      <w:r w:rsidRPr="00BE78CA">
        <w:br/>
        <w:t>for New Zealand planted forest</w:t>
      </w:r>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p>
    <w:tbl>
      <w:tblPr>
        <w:tblW w:w="8505" w:type="dxa"/>
        <w:tblLook w:val="04A0" w:firstRow="1" w:lastRow="0" w:firstColumn="1" w:lastColumn="0" w:noHBand="0" w:noVBand="1"/>
      </w:tblPr>
      <w:tblGrid>
        <w:gridCol w:w="4951"/>
        <w:gridCol w:w="1805"/>
        <w:gridCol w:w="1749"/>
      </w:tblGrid>
      <w:tr w:rsidR="00333601" w:rsidRPr="00BE78CA" w14:paraId="4E7962A4" w14:textId="77777777" w:rsidTr="00C248AA">
        <w:tc>
          <w:tcPr>
            <w:tcW w:w="4654" w:type="dxa"/>
            <w:vMerge w:val="restart"/>
            <w:tcBorders>
              <w:top w:val="single" w:sz="4" w:space="0" w:color="365F91"/>
            </w:tcBorders>
            <w:shd w:val="clear" w:color="auto" w:fill="365F91"/>
            <w:vAlign w:val="bottom"/>
          </w:tcPr>
          <w:p w14:paraId="276F2231" w14:textId="77777777" w:rsidR="00333601" w:rsidRPr="00BE78CA" w:rsidRDefault="00333601" w:rsidP="00C26084">
            <w:pPr>
              <w:pStyle w:val="TableTextBold"/>
              <w:keepNext/>
              <w:rPr>
                <w:noProof w:val="0"/>
                <w:color w:val="FFFFFF"/>
              </w:rPr>
            </w:pPr>
            <w:r w:rsidRPr="00BE78CA">
              <w:rPr>
                <w:noProof w:val="0"/>
                <w:color w:val="FFFFFF"/>
              </w:rPr>
              <w:t>Factor affecting wood density</w:t>
            </w:r>
          </w:p>
        </w:tc>
        <w:tc>
          <w:tcPr>
            <w:tcW w:w="3341" w:type="dxa"/>
            <w:gridSpan w:val="2"/>
            <w:tcBorders>
              <w:top w:val="single" w:sz="4" w:space="0" w:color="365F91"/>
            </w:tcBorders>
            <w:shd w:val="clear" w:color="auto" w:fill="365F91"/>
            <w:vAlign w:val="bottom"/>
          </w:tcPr>
          <w:p w14:paraId="6D7F7A07" w14:textId="77777777" w:rsidR="00333601" w:rsidRPr="00BE78CA" w:rsidRDefault="00333601" w:rsidP="00C26084">
            <w:pPr>
              <w:pStyle w:val="TableTextBold"/>
              <w:keepNext/>
              <w:spacing w:after="0"/>
              <w:jc w:val="center"/>
              <w:rPr>
                <w:noProof w:val="0"/>
                <w:color w:val="FFFFFF"/>
              </w:rPr>
            </w:pPr>
            <w:r w:rsidRPr="00BE78CA">
              <w:rPr>
                <w:noProof w:val="0"/>
                <w:color w:val="FFFFFF"/>
              </w:rPr>
              <w:t>Range in predicted density</w:t>
            </w:r>
          </w:p>
        </w:tc>
      </w:tr>
      <w:tr w:rsidR="00333601" w:rsidRPr="00BE78CA" w14:paraId="01E19107" w14:textId="77777777" w:rsidTr="00C248AA">
        <w:tc>
          <w:tcPr>
            <w:tcW w:w="0" w:type="auto"/>
            <w:vMerge/>
            <w:tcBorders>
              <w:bottom w:val="single" w:sz="4" w:space="0" w:color="365F91"/>
            </w:tcBorders>
            <w:shd w:val="clear" w:color="auto" w:fill="365F91"/>
          </w:tcPr>
          <w:p w14:paraId="21CA1069" w14:textId="77777777" w:rsidR="00333601" w:rsidRPr="00BE78CA" w:rsidRDefault="00333601" w:rsidP="00C26084">
            <w:pPr>
              <w:pStyle w:val="TableTextBold"/>
              <w:keepNext/>
              <w:rPr>
                <w:noProof w:val="0"/>
              </w:rPr>
            </w:pPr>
          </w:p>
        </w:tc>
        <w:tc>
          <w:tcPr>
            <w:tcW w:w="1697" w:type="dxa"/>
            <w:tcBorders>
              <w:bottom w:val="single" w:sz="4" w:space="0" w:color="365F91"/>
            </w:tcBorders>
            <w:shd w:val="clear" w:color="auto" w:fill="365F91"/>
          </w:tcPr>
          <w:p w14:paraId="5FE45606" w14:textId="77777777" w:rsidR="00333601" w:rsidRPr="00BE78CA" w:rsidRDefault="00333601" w:rsidP="00C26084">
            <w:pPr>
              <w:pStyle w:val="TableTextBold"/>
              <w:keepNext/>
              <w:jc w:val="center"/>
              <w:rPr>
                <w:noProof w:val="0"/>
                <w:color w:val="FFFFFF"/>
              </w:rPr>
            </w:pPr>
            <w:r w:rsidRPr="00BE78CA">
              <w:rPr>
                <w:noProof w:val="0"/>
                <w:color w:val="FFFFFF"/>
              </w:rPr>
              <w:t>(kg m</w:t>
            </w:r>
            <w:r w:rsidRPr="00BE78CA">
              <w:rPr>
                <w:noProof w:val="0"/>
                <w:color w:val="FFFFFF"/>
                <w:vertAlign w:val="superscript"/>
              </w:rPr>
              <w:t>–3</w:t>
            </w:r>
            <w:r w:rsidRPr="00BE78CA">
              <w:rPr>
                <w:noProof w:val="0"/>
                <w:color w:val="FFFFFF"/>
              </w:rPr>
              <w:t>)</w:t>
            </w:r>
          </w:p>
        </w:tc>
        <w:tc>
          <w:tcPr>
            <w:tcW w:w="1644" w:type="dxa"/>
            <w:tcBorders>
              <w:bottom w:val="single" w:sz="4" w:space="0" w:color="365F91"/>
            </w:tcBorders>
            <w:shd w:val="clear" w:color="auto" w:fill="365F91"/>
          </w:tcPr>
          <w:p w14:paraId="55C501C4" w14:textId="77777777" w:rsidR="00333601" w:rsidRPr="00BE78CA" w:rsidRDefault="00333601" w:rsidP="00C26084">
            <w:pPr>
              <w:pStyle w:val="TableTextBold"/>
              <w:keepNext/>
              <w:rPr>
                <w:noProof w:val="0"/>
                <w:color w:val="FFFFFF"/>
              </w:rPr>
            </w:pPr>
            <w:r w:rsidRPr="00BE78CA">
              <w:rPr>
                <w:noProof w:val="0"/>
                <w:color w:val="FFFFFF"/>
              </w:rPr>
              <w:t>(% difference)</w:t>
            </w:r>
          </w:p>
        </w:tc>
      </w:tr>
      <w:tr w:rsidR="00333601" w:rsidRPr="00BE78CA" w14:paraId="03185542" w14:textId="77777777" w:rsidTr="00C248AA">
        <w:tc>
          <w:tcPr>
            <w:tcW w:w="4654" w:type="dxa"/>
            <w:tcBorders>
              <w:top w:val="single" w:sz="4" w:space="0" w:color="365F91"/>
              <w:bottom w:val="single" w:sz="4" w:space="0" w:color="365F91"/>
            </w:tcBorders>
          </w:tcPr>
          <w:p w14:paraId="45855E55" w14:textId="77777777" w:rsidR="00333601" w:rsidRPr="00BE78CA" w:rsidRDefault="00333601" w:rsidP="00C26084">
            <w:pPr>
              <w:pStyle w:val="TableText"/>
              <w:keepNext/>
              <w:spacing w:before="50" w:after="50"/>
            </w:pPr>
            <w:r w:rsidRPr="00BE78CA">
              <w:t>Temperature: 8°C versus 16°C</w:t>
            </w:r>
          </w:p>
        </w:tc>
        <w:tc>
          <w:tcPr>
            <w:tcW w:w="1697" w:type="dxa"/>
            <w:tcBorders>
              <w:top w:val="single" w:sz="4" w:space="0" w:color="365F91"/>
              <w:bottom w:val="single" w:sz="4" w:space="0" w:color="365F91"/>
            </w:tcBorders>
          </w:tcPr>
          <w:p w14:paraId="2880C3D7" w14:textId="77777777" w:rsidR="00333601" w:rsidRPr="00BE78CA" w:rsidRDefault="00333601" w:rsidP="00C26084">
            <w:pPr>
              <w:pStyle w:val="TableText"/>
              <w:keepNext/>
              <w:spacing w:before="50" w:after="50"/>
              <w:jc w:val="center"/>
            </w:pPr>
            <w:r w:rsidRPr="00BE78CA">
              <w:t>359–439</w:t>
            </w:r>
          </w:p>
        </w:tc>
        <w:tc>
          <w:tcPr>
            <w:tcW w:w="1644" w:type="dxa"/>
            <w:tcBorders>
              <w:top w:val="single" w:sz="4" w:space="0" w:color="365F91"/>
              <w:bottom w:val="single" w:sz="4" w:space="0" w:color="365F91"/>
            </w:tcBorders>
          </w:tcPr>
          <w:p w14:paraId="6EE5DB3B" w14:textId="77777777" w:rsidR="00333601" w:rsidRPr="00BE78CA" w:rsidRDefault="00333601" w:rsidP="00C26084">
            <w:pPr>
              <w:pStyle w:val="TableText"/>
              <w:keepNext/>
              <w:spacing w:before="50" w:after="50"/>
              <w:jc w:val="center"/>
            </w:pPr>
            <w:r w:rsidRPr="00BE78CA">
              <w:t>22</w:t>
            </w:r>
          </w:p>
        </w:tc>
      </w:tr>
      <w:tr w:rsidR="00333601" w:rsidRPr="00BE78CA" w14:paraId="6B6749AA" w14:textId="77777777" w:rsidTr="00C248AA">
        <w:tc>
          <w:tcPr>
            <w:tcW w:w="4654" w:type="dxa"/>
            <w:tcBorders>
              <w:top w:val="single" w:sz="4" w:space="0" w:color="365F91"/>
              <w:bottom w:val="single" w:sz="4" w:space="0" w:color="365F91"/>
            </w:tcBorders>
          </w:tcPr>
          <w:p w14:paraId="578B6AF7" w14:textId="77777777" w:rsidR="00333601" w:rsidRPr="00BE78CA" w:rsidRDefault="00333601" w:rsidP="00C26084">
            <w:pPr>
              <w:pStyle w:val="TableText"/>
              <w:spacing w:before="50" w:after="50"/>
            </w:pPr>
            <w:r w:rsidRPr="00BE78CA">
              <w:t>Age: 10-year-old versus 30-year-old</w:t>
            </w:r>
          </w:p>
        </w:tc>
        <w:tc>
          <w:tcPr>
            <w:tcW w:w="1697" w:type="dxa"/>
            <w:tcBorders>
              <w:top w:val="single" w:sz="4" w:space="0" w:color="365F91"/>
              <w:bottom w:val="single" w:sz="4" w:space="0" w:color="365F91"/>
            </w:tcBorders>
          </w:tcPr>
          <w:p w14:paraId="1A936319" w14:textId="77777777" w:rsidR="00333601" w:rsidRPr="00BE78CA" w:rsidRDefault="00333601" w:rsidP="00C26084">
            <w:pPr>
              <w:pStyle w:val="TableText"/>
              <w:spacing w:before="50" w:after="50"/>
              <w:jc w:val="center"/>
            </w:pPr>
            <w:r w:rsidRPr="00BE78CA">
              <w:t>380–446</w:t>
            </w:r>
          </w:p>
        </w:tc>
        <w:tc>
          <w:tcPr>
            <w:tcW w:w="1644" w:type="dxa"/>
            <w:tcBorders>
              <w:top w:val="single" w:sz="4" w:space="0" w:color="365F91"/>
              <w:bottom w:val="single" w:sz="4" w:space="0" w:color="365F91"/>
            </w:tcBorders>
          </w:tcPr>
          <w:p w14:paraId="234D66A3" w14:textId="77777777" w:rsidR="00333601" w:rsidRPr="00BE78CA" w:rsidRDefault="00333601" w:rsidP="00C26084">
            <w:pPr>
              <w:pStyle w:val="TableText"/>
              <w:spacing w:before="50" w:after="50"/>
              <w:jc w:val="center"/>
            </w:pPr>
            <w:r w:rsidRPr="00BE78CA">
              <w:t>17</w:t>
            </w:r>
          </w:p>
        </w:tc>
      </w:tr>
      <w:tr w:rsidR="00333601" w:rsidRPr="00BE78CA" w14:paraId="48B934B1" w14:textId="77777777" w:rsidTr="00C248AA">
        <w:tc>
          <w:tcPr>
            <w:tcW w:w="4654" w:type="dxa"/>
            <w:tcBorders>
              <w:top w:val="single" w:sz="4" w:space="0" w:color="365F91"/>
              <w:bottom w:val="single" w:sz="4" w:space="0" w:color="365F91"/>
            </w:tcBorders>
          </w:tcPr>
          <w:p w14:paraId="7481DF6A" w14:textId="77777777" w:rsidR="00333601" w:rsidRPr="00BE78CA" w:rsidRDefault="00333601" w:rsidP="00C26084">
            <w:pPr>
              <w:pStyle w:val="TableText"/>
              <w:spacing w:before="50" w:after="50"/>
            </w:pPr>
            <w:r w:rsidRPr="00BE78CA">
              <w:t>C:N ratio: 12 versus 25</w:t>
            </w:r>
          </w:p>
        </w:tc>
        <w:tc>
          <w:tcPr>
            <w:tcW w:w="1697" w:type="dxa"/>
            <w:tcBorders>
              <w:top w:val="single" w:sz="4" w:space="0" w:color="365F91"/>
              <w:bottom w:val="single" w:sz="4" w:space="0" w:color="365F91"/>
            </w:tcBorders>
          </w:tcPr>
          <w:p w14:paraId="3564CBA3" w14:textId="77777777" w:rsidR="00333601" w:rsidRPr="00BE78CA" w:rsidRDefault="00333601" w:rsidP="00C26084">
            <w:pPr>
              <w:pStyle w:val="TableText"/>
              <w:spacing w:before="50" w:after="50"/>
              <w:jc w:val="center"/>
            </w:pPr>
            <w:r w:rsidRPr="00BE78CA">
              <w:t>384–418</w:t>
            </w:r>
          </w:p>
        </w:tc>
        <w:tc>
          <w:tcPr>
            <w:tcW w:w="1644" w:type="dxa"/>
            <w:tcBorders>
              <w:top w:val="single" w:sz="4" w:space="0" w:color="365F91"/>
              <w:bottom w:val="single" w:sz="4" w:space="0" w:color="365F91"/>
            </w:tcBorders>
          </w:tcPr>
          <w:p w14:paraId="76E4F5DE" w14:textId="77777777" w:rsidR="00333601" w:rsidRPr="00BE78CA" w:rsidRDefault="00333601" w:rsidP="00C26084">
            <w:pPr>
              <w:pStyle w:val="TableText"/>
              <w:spacing w:before="50" w:after="50"/>
              <w:jc w:val="center"/>
            </w:pPr>
            <w:r w:rsidRPr="00BE78CA">
              <w:t>9</w:t>
            </w:r>
          </w:p>
        </w:tc>
      </w:tr>
      <w:tr w:rsidR="00333601" w:rsidRPr="00BE78CA" w14:paraId="3BA904A8" w14:textId="77777777" w:rsidTr="00C248AA">
        <w:tc>
          <w:tcPr>
            <w:tcW w:w="4654" w:type="dxa"/>
            <w:tcBorders>
              <w:top w:val="single" w:sz="4" w:space="0" w:color="365F91"/>
              <w:bottom w:val="single" w:sz="4" w:space="0" w:color="365F91"/>
            </w:tcBorders>
          </w:tcPr>
          <w:p w14:paraId="04274BA3" w14:textId="77777777" w:rsidR="00333601" w:rsidRPr="00BE78CA" w:rsidRDefault="00333601" w:rsidP="00C26084">
            <w:pPr>
              <w:pStyle w:val="TableText"/>
              <w:spacing w:before="50" w:after="50"/>
            </w:pPr>
            <w:r w:rsidRPr="00BE78CA">
              <w:t>Stocking: 200 versus 500 stems ha</w:t>
            </w:r>
            <w:r w:rsidRPr="00BE78CA">
              <w:rPr>
                <w:vertAlign w:val="superscript"/>
              </w:rPr>
              <w:t>–1</w:t>
            </w:r>
          </w:p>
        </w:tc>
        <w:tc>
          <w:tcPr>
            <w:tcW w:w="1697" w:type="dxa"/>
            <w:tcBorders>
              <w:top w:val="single" w:sz="4" w:space="0" w:color="365F91"/>
              <w:bottom w:val="single" w:sz="4" w:space="0" w:color="365F91"/>
            </w:tcBorders>
          </w:tcPr>
          <w:p w14:paraId="728D5DD1" w14:textId="77777777" w:rsidR="00333601" w:rsidRPr="00BE78CA" w:rsidRDefault="00333601" w:rsidP="00C26084">
            <w:pPr>
              <w:pStyle w:val="TableText"/>
              <w:spacing w:before="50" w:after="50"/>
              <w:jc w:val="center"/>
            </w:pPr>
            <w:r w:rsidRPr="00BE78CA">
              <w:t>395–411</w:t>
            </w:r>
          </w:p>
        </w:tc>
        <w:tc>
          <w:tcPr>
            <w:tcW w:w="1644" w:type="dxa"/>
            <w:tcBorders>
              <w:top w:val="single" w:sz="4" w:space="0" w:color="365F91"/>
              <w:bottom w:val="single" w:sz="4" w:space="0" w:color="365F91"/>
            </w:tcBorders>
          </w:tcPr>
          <w:p w14:paraId="3454FE35" w14:textId="77777777" w:rsidR="00333601" w:rsidRPr="00BE78CA" w:rsidRDefault="00333601" w:rsidP="00C26084">
            <w:pPr>
              <w:pStyle w:val="TableText"/>
              <w:spacing w:before="50" w:after="50"/>
              <w:jc w:val="center"/>
            </w:pPr>
            <w:r w:rsidRPr="00BE78CA">
              <w:t>4</w:t>
            </w:r>
          </w:p>
        </w:tc>
      </w:tr>
    </w:tbl>
    <w:p w14:paraId="5E246CDB" w14:textId="77777777" w:rsidR="00333601" w:rsidRPr="00BE78CA" w:rsidRDefault="00333601" w:rsidP="00333601">
      <w:pPr>
        <w:pStyle w:val="Noteundertable"/>
        <w:spacing w:after="100"/>
      </w:pPr>
      <w:r w:rsidRPr="00BE78CA">
        <w:rPr>
          <w:b/>
        </w:rPr>
        <w:t>Note:</w:t>
      </w:r>
      <w:r w:rsidRPr="00BE78CA">
        <w:t xml:space="preserve"> </w:t>
      </w:r>
      <w:r w:rsidRPr="00BE78CA">
        <w:tab/>
        <w:t>C:N = carbon:nitrogen.</w:t>
      </w:r>
    </w:p>
    <w:p w14:paraId="367106DE" w14:textId="77777777" w:rsidR="00333601" w:rsidRPr="00BE78CA" w:rsidRDefault="00333601" w:rsidP="00F14828">
      <w:pPr>
        <w:pStyle w:val="BodyText"/>
      </w:pPr>
      <w:r w:rsidRPr="00BE78CA">
        <w:rPr>
          <w:b/>
        </w:rPr>
        <w:t xml:space="preserve">The stand tending model: </w:t>
      </w:r>
      <w:r w:rsidRPr="00BE78CA">
        <w:t>New Zealand’s plantation forests are intensively managed and, therefore, pruning and thinning provide the majority of the inputs to the dead wood and litter pools. The Forest Carbon Predictor requires silvicultural history inputs to predict changes between biomass pools over time. The information required includes initial stocking, the timing of management events, stocking following each thinning operation and the pruned height and number of stems pruned for each pruning lift. Information on silvicultural events prior to the plot measurement date is normally gathered from forest owners but sometimes these data are incomplete. A history module has been incorporated into the Forest Carbon Predictor that makes use of existing data to identify potential gaps in the stand history. Within the history module, assumptions are made to complete the stand history based on field observations, standard management regimes and known silviculture to date (Beets and Kimberley, unpublished). The history module enables reasonable estimates of stand history and, therefore, biomass transfers between pools resulting from past silvicultural events.</w:t>
      </w:r>
    </w:p>
    <w:p w14:paraId="29214F69" w14:textId="77777777" w:rsidR="00333601" w:rsidRPr="00BE78CA" w:rsidRDefault="00333601" w:rsidP="00F14828">
      <w:pPr>
        <w:pStyle w:val="BodyText"/>
      </w:pPr>
      <w:r w:rsidRPr="00BE78CA">
        <w:rPr>
          <w:b/>
        </w:rPr>
        <w:t>The C_Change carbon allocation model</w:t>
      </w:r>
      <w:r w:rsidRPr="00BE78CA">
        <w:t xml:space="preserve"> is designed to apportion carbon to needles, branches, stems, roots and reproductive parts via growth partitioning functions and is integrated into the Forest Carbon Predictor. Dead wood and litter pools are estimated by accounting for losses to the live pools from natural mortality, disease effects on needle retention, branch and crown mortality and silvicultural management activities, for example, pruning and thinning. Component-specific and temperature-dependent decay functions are used to estimate losses </w:t>
      </w:r>
      <w:r w:rsidRPr="00BE78CA">
        <w:lastRenderedPageBreak/>
        <w:t xml:space="preserve">of carbon to the atmosphere (Beets et al., 1999). The Forest Carbon Predictor also takes into account biomass removals during production thinning. </w:t>
      </w:r>
    </w:p>
    <w:p w14:paraId="7DF04409" w14:textId="77777777" w:rsidR="00333601" w:rsidRPr="00BE78CA" w:rsidRDefault="00333601" w:rsidP="00333601">
      <w:pPr>
        <w:pStyle w:val="BodyText"/>
      </w:pPr>
      <w:r w:rsidRPr="00BE78CA">
        <w:t>The individual plot yield curves generated by the Forest Carbon Predictor are combined into estimates of above-ground live biomass, below-ground live biomass, dead wood and litter in an area-weighted and age-based carbon yield table for the productive area of each type of planted forest. Plots that are located outside the productive area within the mapped forest boundary are used to provide emission factors for unstocked areas in both post-1989 forest and pre-1990 planted forest</w:t>
      </w:r>
      <w:r w:rsidRPr="00BE78CA">
        <w:rPr>
          <w:i/>
        </w:rPr>
        <w:t xml:space="preserve"> </w:t>
      </w:r>
      <w:r w:rsidRPr="00BE78CA">
        <w:t>(Paul et al., unpublished(e)).</w:t>
      </w:r>
    </w:p>
    <w:p w14:paraId="056F05C2" w14:textId="77777777" w:rsidR="00333601" w:rsidRPr="00BE78CA" w:rsidRDefault="00333601" w:rsidP="00333601">
      <w:pPr>
        <w:pStyle w:val="BodyText"/>
      </w:pPr>
      <w:r w:rsidRPr="00BE78CA">
        <w:t xml:space="preserve">Below-ground biomass is derived from the above-ground biomass estimates. For plantation crop trees, below-ground biomass is assumed to be 15 per cent to 20 per cent of total production, depending on stand age (Beets et al., 1999). The ratio for non-crop trees and shrubs is 25 per cent (Coomes et al., 2002). </w:t>
      </w:r>
    </w:p>
    <w:p w14:paraId="0F3C99F4" w14:textId="77777777" w:rsidR="00333601" w:rsidRPr="00BE78CA" w:rsidRDefault="00333601" w:rsidP="00333601">
      <w:pPr>
        <w:pStyle w:val="BodyText"/>
      </w:pPr>
      <w:r w:rsidRPr="00BE78CA">
        <w:t>The carbon content of the dead wood pool within a rotation is estimated using the Forest Carbon Predictor model as described above. Immediately following harvesting, 30 per cent of the above-ground biomass pool is transferred to the dead wood pool; the other 70 per cent is instantaneously emitted. All material in the dead wood and litter pools is decayed using an empirically derived, temperature-dependent decay profile as described in Garrett et al. (2010).</w:t>
      </w:r>
    </w:p>
    <w:p w14:paraId="22EADB24" w14:textId="77777777" w:rsidR="00333601" w:rsidRPr="00BE78CA" w:rsidRDefault="00333601" w:rsidP="00333601">
      <w:pPr>
        <w:pStyle w:val="Figure"/>
      </w:pPr>
      <w:bookmarkStart w:id="1824" w:name="_Toc318362755"/>
      <w:bookmarkStart w:id="1825" w:name="_Toc342470835"/>
      <w:bookmarkStart w:id="1826" w:name="_Toc352505163"/>
      <w:bookmarkStart w:id="1827" w:name="_Toc373395722"/>
      <w:bookmarkStart w:id="1828" w:name="_Toc378853345"/>
      <w:bookmarkStart w:id="1829" w:name="_Toc405448095"/>
      <w:bookmarkStart w:id="1830" w:name="_Toc414531627"/>
      <w:bookmarkStart w:id="1831" w:name="_Toc474914651"/>
      <w:bookmarkStart w:id="1832" w:name="_Toc481752033"/>
      <w:bookmarkStart w:id="1833" w:name="_Toc522010711"/>
      <w:bookmarkStart w:id="1834" w:name="_Toc5269713"/>
      <w:bookmarkStart w:id="1835" w:name="_Toc33529487"/>
      <w:bookmarkStart w:id="1836" w:name="_Toc36292817"/>
      <w:bookmarkStart w:id="1837" w:name="_Toc65244109"/>
      <w:bookmarkStart w:id="1838" w:name="_Toc68786682"/>
      <w:r w:rsidRPr="00BE78CA">
        <w:t>Figure 6.4.7</w:t>
      </w:r>
      <w:r w:rsidRPr="00BE78CA">
        <w:tab/>
        <w:t>New Zealand’s planted forest inventory modelling process</w:t>
      </w:r>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p>
    <w:p w14:paraId="26E5C215" w14:textId="77777777" w:rsidR="00333601" w:rsidRPr="00BE78CA" w:rsidRDefault="00333601" w:rsidP="00333601">
      <w:pPr>
        <w:pStyle w:val="BodyText"/>
      </w:pPr>
      <w:r w:rsidRPr="00BE78CA">
        <w:rPr>
          <w:noProof/>
        </w:rPr>
        <w:drawing>
          <wp:inline distT="0" distB="0" distL="0" distR="0" wp14:anchorId="1FCB774F" wp14:editId="5BACDA9A">
            <wp:extent cx="5267325" cy="4560633"/>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9"/>
                    <a:srcRect t="2954" b="2890"/>
                    <a:stretch/>
                  </pic:blipFill>
                  <pic:spPr bwMode="auto">
                    <a:xfrm>
                      <a:off x="0" y="0"/>
                      <a:ext cx="5284223" cy="4575264"/>
                    </a:xfrm>
                    <a:prstGeom prst="rect">
                      <a:avLst/>
                    </a:prstGeom>
                    <a:ln>
                      <a:noFill/>
                    </a:ln>
                    <a:extLst>
                      <a:ext uri="{53640926-AAD7-44D8-BBD7-CCE9431645EC}">
                        <a14:shadowObscured xmlns:a14="http://schemas.microsoft.com/office/drawing/2010/main"/>
                      </a:ext>
                    </a:extLst>
                  </pic:spPr>
                </pic:pic>
              </a:graphicData>
            </a:graphic>
          </wp:inline>
        </w:drawing>
      </w:r>
    </w:p>
    <w:p w14:paraId="5753567A" w14:textId="77777777" w:rsidR="00333601" w:rsidRPr="00BE78CA" w:rsidRDefault="00333601" w:rsidP="00333601">
      <w:pPr>
        <w:pStyle w:val="Noteundertable"/>
        <w:spacing w:after="80"/>
      </w:pPr>
      <w:r w:rsidRPr="00BE78CA">
        <w:rPr>
          <w:b/>
        </w:rPr>
        <w:t>Note:</w:t>
      </w:r>
      <w:r w:rsidRPr="00BE78CA">
        <w:rPr>
          <w:b/>
        </w:rPr>
        <w:tab/>
      </w:r>
      <w:r w:rsidRPr="00BE78CA">
        <w:t>CRF = common reporting format; LiDAR = Light Detection and Ranging.</w:t>
      </w:r>
    </w:p>
    <w:p w14:paraId="33295EA9" w14:textId="77777777" w:rsidR="00333601" w:rsidRPr="00BE78CA" w:rsidRDefault="00333601" w:rsidP="00F14828">
      <w:pPr>
        <w:pStyle w:val="BodyText"/>
        <w:spacing w:after="100"/>
      </w:pPr>
      <w:r w:rsidRPr="00BE78CA">
        <w:lastRenderedPageBreak/>
        <w:t xml:space="preserve">For shrubs and non-crop tree species measured within the planted forest plot network, the carbon content is estimated using species-specific allometric equations. These equations estimate carbon content from diameter and height measurements, and wood density by species (Beets et al., 2012a). </w:t>
      </w:r>
    </w:p>
    <w:p w14:paraId="55215927" w14:textId="60DBE7D5" w:rsidR="00333601" w:rsidRPr="00BE78CA" w:rsidRDefault="00333601" w:rsidP="00F14828">
      <w:pPr>
        <w:pStyle w:val="BodyText"/>
        <w:spacing w:after="100"/>
      </w:pPr>
      <w:r w:rsidRPr="00BE78CA">
        <w:t>Stock change in the productive area of pre-1990 planted forests is estimated using forest type</w:t>
      </w:r>
      <w:r w:rsidR="00F14828" w:rsidRPr="00BE78CA">
        <w:noBreakHyphen/>
      </w:r>
      <w:r w:rsidRPr="00BE78CA">
        <w:t xml:space="preserve">specific national yield tables. Plots that are located outside the productive area within the mapped forest boundary are used to provide emission factors for unstocked areas of pre-1990 planted forests (Paul et al., unpublished(a)). </w:t>
      </w:r>
    </w:p>
    <w:p w14:paraId="7B660C40" w14:textId="77777777" w:rsidR="00333601" w:rsidRPr="00BE78CA" w:rsidRDefault="00333601" w:rsidP="00F14828">
      <w:pPr>
        <w:pStyle w:val="BodyText"/>
        <w:spacing w:after="100"/>
      </w:pPr>
      <w:r w:rsidRPr="00BE78CA">
        <w:t>A stratification approach has been developed to stratify the data, allowing the modelling of period-dependent yield tables, creating historic and current yield tables based on reporting periods for pre-1990 planted forests (Paul and Wakelin, unpublished). These yield tables better reflect the conditions and productivity during the past. Utilising the plot measurements described above under the pre-1990 planted forest inventory, a single yield table per plot was developed using:</w:t>
      </w:r>
    </w:p>
    <w:p w14:paraId="14F0E059" w14:textId="77777777" w:rsidR="00333601" w:rsidRPr="00BE78CA" w:rsidRDefault="00333601" w:rsidP="00FA2314">
      <w:pPr>
        <w:pStyle w:val="Bullet"/>
        <w:numPr>
          <w:ilvl w:val="0"/>
          <w:numId w:val="25"/>
        </w:numPr>
      </w:pPr>
      <w:r w:rsidRPr="00BE78CA">
        <w:t>the earlier measurement for ages below the first measurement age</w:t>
      </w:r>
    </w:p>
    <w:p w14:paraId="77DB7BCA" w14:textId="77777777" w:rsidR="00333601" w:rsidRPr="00BE78CA" w:rsidRDefault="00333601" w:rsidP="00FA2314">
      <w:pPr>
        <w:pStyle w:val="Bullet"/>
        <w:numPr>
          <w:ilvl w:val="0"/>
          <w:numId w:val="25"/>
        </w:numPr>
      </w:pPr>
      <w:r w:rsidRPr="00BE78CA">
        <w:t>the later measurement for ages above the later measurement age</w:t>
      </w:r>
    </w:p>
    <w:p w14:paraId="3A28DCD5" w14:textId="77777777" w:rsidR="00333601" w:rsidRPr="00BE78CA" w:rsidRDefault="00333601" w:rsidP="00FA2314">
      <w:pPr>
        <w:pStyle w:val="Bullet"/>
        <w:numPr>
          <w:ilvl w:val="0"/>
          <w:numId w:val="25"/>
        </w:numPr>
      </w:pPr>
      <w:r w:rsidRPr="00BE78CA">
        <w:t xml:space="preserve">an interpolated estimate for the ages between the earlier and later measurements. </w:t>
      </w:r>
    </w:p>
    <w:p w14:paraId="4CACB94F" w14:textId="77777777" w:rsidR="00333601" w:rsidRPr="00BE78CA" w:rsidRDefault="00333601" w:rsidP="00F14828">
      <w:pPr>
        <w:pStyle w:val="BodyText"/>
        <w:spacing w:after="100"/>
      </w:pPr>
      <w:r w:rsidRPr="00BE78CA">
        <w:t xml:space="preserve">For plots that have been measured once, a ratio estimator derived from plots that have been measured twice is applied to the predicted stocks at the missing measurement date (assuming that the correction for possible bias was the same in both strata) (Paul et al., unpublished(a)). </w:t>
      </w:r>
    </w:p>
    <w:p w14:paraId="194DF50D" w14:textId="77777777" w:rsidR="00333601" w:rsidRPr="00BE78CA" w:rsidRDefault="00333601" w:rsidP="00333601">
      <w:pPr>
        <w:pStyle w:val="Heading6"/>
        <w:spacing w:before="160"/>
      </w:pPr>
      <w:bookmarkStart w:id="1839" w:name="_Toc255466339"/>
      <w:bookmarkStart w:id="1840" w:name="_Toc261513146"/>
      <w:bookmarkStart w:id="1841" w:name="_Toc261513759"/>
      <w:r w:rsidRPr="00BE78CA">
        <w:t>Soil organic carbon</w:t>
      </w:r>
      <w:bookmarkEnd w:id="1839"/>
      <w:bookmarkEnd w:id="1840"/>
      <w:bookmarkEnd w:id="1841"/>
    </w:p>
    <w:p w14:paraId="5EBEB608" w14:textId="77777777" w:rsidR="00333601" w:rsidRPr="00BE78CA" w:rsidRDefault="00333601" w:rsidP="00F14828">
      <w:pPr>
        <w:pStyle w:val="BodyText"/>
        <w:spacing w:after="100"/>
      </w:pPr>
      <w:r w:rsidRPr="00BE78CA">
        <w:t>SOC stocks in pre-1990 planted forests</w:t>
      </w:r>
      <w:r w:rsidRPr="00BE78CA">
        <w:rPr>
          <w:i/>
        </w:rPr>
        <w:t xml:space="preserve"> </w:t>
      </w:r>
      <w:r w:rsidRPr="00BE78CA">
        <w:t>are estimated using a Tier 2 method for mineral soils and a Tier 1 method for organic soils (see section 6.3). The steady state mineral SOC stock in pre-1990 planted forest is estimated to be 92.44 tonnes C ha</w:t>
      </w:r>
      <w:r w:rsidRPr="00BE78CA">
        <w:rPr>
          <w:vertAlign w:val="superscript"/>
        </w:rPr>
        <w:t>–1</w:t>
      </w:r>
      <w:r w:rsidRPr="00BE78CA">
        <w:t xml:space="preserve"> (see table 6.3.2). </w:t>
      </w:r>
    </w:p>
    <w:p w14:paraId="555A4797" w14:textId="77777777" w:rsidR="00333601" w:rsidRPr="00BE78CA" w:rsidRDefault="00333601" w:rsidP="00F14828">
      <w:pPr>
        <w:pStyle w:val="BodyText"/>
        <w:spacing w:after="100"/>
      </w:pPr>
      <w:r w:rsidRPr="00BE78CA">
        <w:t>The IPCC (2006a) default emission factor for organic soils under planted forest is 0.68 tonnes C ha</w:t>
      </w:r>
      <w:r w:rsidRPr="00BE78CA">
        <w:rPr>
          <w:vertAlign w:val="superscript"/>
        </w:rPr>
        <w:t>–1</w:t>
      </w:r>
      <w:r w:rsidRPr="00BE78CA">
        <w:t xml:space="preserve"> per annum (see table 6.3.3). Soil carbon change with harvesting is not explicitly estimated because the long-term SOC stock for this land use includes any emissions associated with harvesting.</w:t>
      </w:r>
    </w:p>
    <w:p w14:paraId="03796146" w14:textId="77777777" w:rsidR="00333601" w:rsidRPr="00BE78CA" w:rsidRDefault="00333601" w:rsidP="00333601">
      <w:pPr>
        <w:pStyle w:val="Heading5"/>
        <w:spacing w:before="160"/>
      </w:pPr>
      <w:bookmarkStart w:id="1842" w:name="_Toc280630250"/>
      <w:bookmarkStart w:id="1843" w:name="_Toc255466340"/>
      <w:bookmarkStart w:id="1844" w:name="_Toc261513147"/>
      <w:bookmarkStart w:id="1845" w:name="_Toc261513760"/>
      <w:r w:rsidRPr="00BE78CA">
        <w:t>Non-CO</w:t>
      </w:r>
      <w:r w:rsidRPr="00BE78CA">
        <w:rPr>
          <w:vertAlign w:val="subscript"/>
        </w:rPr>
        <w:t>2</w:t>
      </w:r>
      <w:r w:rsidRPr="00BE78CA">
        <w:t xml:space="preserve"> emissions</w:t>
      </w:r>
      <w:bookmarkEnd w:id="1842"/>
      <w:r w:rsidRPr="00BE78CA">
        <w:t xml:space="preserve"> for pre-1990 planted forest </w:t>
      </w:r>
      <w:bookmarkEnd w:id="1843"/>
      <w:bookmarkEnd w:id="1844"/>
      <w:bookmarkEnd w:id="1845"/>
    </w:p>
    <w:p w14:paraId="62955FBE" w14:textId="77777777" w:rsidR="00333601" w:rsidRPr="00BE78CA" w:rsidRDefault="00333601" w:rsidP="00333601">
      <w:pPr>
        <w:pStyle w:val="Heading6"/>
        <w:spacing w:before="120"/>
      </w:pPr>
      <w:bookmarkStart w:id="1846" w:name="_Toc255466341"/>
      <w:bookmarkStart w:id="1847" w:name="_Toc261513148"/>
      <w:bookmarkStart w:id="1848" w:name="_Toc261513761"/>
      <w:r w:rsidRPr="00BE78CA">
        <w:t>Direct N</w:t>
      </w:r>
      <w:r w:rsidRPr="00BE78CA">
        <w:rPr>
          <w:vertAlign w:val="subscript"/>
        </w:rPr>
        <w:t>2</w:t>
      </w:r>
      <w:r w:rsidRPr="00BE78CA">
        <w:t>O emissions from nitrogen fertilisation of forest land and other land</w:t>
      </w:r>
    </w:p>
    <w:p w14:paraId="1786E766" w14:textId="77777777" w:rsidR="00333601" w:rsidRPr="00BE78CA" w:rsidRDefault="00333601" w:rsidP="00333601">
      <w:pPr>
        <w:pStyle w:val="BodyText"/>
      </w:pPr>
      <w:r w:rsidRPr="00BE78CA">
        <w:t>New Zealand activity data on nitrogen fertilisation are not currently disaggregated by land use and, therefore, all direct N</w:t>
      </w:r>
      <w:r w:rsidRPr="00BE78CA">
        <w:rPr>
          <w:vertAlign w:val="subscript"/>
        </w:rPr>
        <w:t>2</w:t>
      </w:r>
      <w:r w:rsidRPr="00BE78CA">
        <w:t>O</w:t>
      </w:r>
      <w:r w:rsidRPr="00BE78CA">
        <w:rPr>
          <w:i/>
        </w:rPr>
        <w:t xml:space="preserve"> </w:t>
      </w:r>
      <w:r w:rsidRPr="00BE78CA">
        <w:t>emissions from nitrogen fertilisation of</w:t>
      </w:r>
      <w:r w:rsidRPr="00BE78CA">
        <w:rPr>
          <w:i/>
        </w:rPr>
        <w:t xml:space="preserve"> Forest land </w:t>
      </w:r>
      <w:r w:rsidRPr="00BE78CA">
        <w:t>and</w:t>
      </w:r>
      <w:r w:rsidRPr="00BE78CA">
        <w:rPr>
          <w:i/>
        </w:rPr>
        <w:t> Other land</w:t>
      </w:r>
      <w:r w:rsidRPr="00BE78CA">
        <w:t xml:space="preserve"> are reported under the Agriculture sector in the category </w:t>
      </w:r>
      <w:r w:rsidRPr="00BE78CA">
        <w:rPr>
          <w:i/>
        </w:rPr>
        <w:t>Direct N</w:t>
      </w:r>
      <w:r w:rsidRPr="00BE78CA">
        <w:rPr>
          <w:i/>
          <w:vertAlign w:val="subscript"/>
        </w:rPr>
        <w:t>2</w:t>
      </w:r>
      <w:r w:rsidRPr="00BE78CA">
        <w:rPr>
          <w:i/>
        </w:rPr>
        <w:t>O emissions from managed soils</w:t>
      </w:r>
      <w:r w:rsidRPr="00BE78CA">
        <w:t>.</w:t>
      </w:r>
    </w:p>
    <w:p w14:paraId="2D67F2B2" w14:textId="77777777" w:rsidR="00333601" w:rsidRPr="00BE78CA" w:rsidRDefault="00333601" w:rsidP="00333601">
      <w:pPr>
        <w:pStyle w:val="Heading5"/>
        <w:spacing w:before="160"/>
      </w:pPr>
      <w:r w:rsidRPr="00BE78CA">
        <w:t>Post-1989 planted forest</w:t>
      </w:r>
    </w:p>
    <w:p w14:paraId="07D66AD0" w14:textId="77777777" w:rsidR="00333601" w:rsidRPr="00BE78CA" w:rsidRDefault="00333601" w:rsidP="00333601">
      <w:pPr>
        <w:pStyle w:val="BodyText"/>
      </w:pPr>
      <w:r w:rsidRPr="00BE78CA">
        <w:t>All forest land planted since 1 January 1990, whether established for wood production or soil control purposes, is included as post-1989 forest.</w:t>
      </w:r>
    </w:p>
    <w:p w14:paraId="47CC605D" w14:textId="77777777" w:rsidR="00333601" w:rsidRPr="00BE78CA" w:rsidRDefault="00333601" w:rsidP="00333601">
      <w:pPr>
        <w:pStyle w:val="Heading6"/>
        <w:spacing w:before="160"/>
      </w:pPr>
      <w:r w:rsidRPr="00BE78CA">
        <w:t>Living biomass and dead organic matter</w:t>
      </w:r>
    </w:p>
    <w:p w14:paraId="0699AF79" w14:textId="77777777" w:rsidR="00333601" w:rsidRPr="00BE78CA" w:rsidRDefault="00333601" w:rsidP="00333601">
      <w:pPr>
        <w:pStyle w:val="BodyText"/>
      </w:pPr>
      <w:r w:rsidRPr="00BE78CA">
        <w:t xml:space="preserve">A plot-based forest inventory system has been developed for carbon estimation in New Zealand’s post-1989 planted forest (see Beets et al., 2011a). In the post-1989 planted forest inventory, circular 0.06 hectare permanent sample plots have been established </w:t>
      </w:r>
      <w:r w:rsidRPr="00BE78CA">
        <w:lastRenderedPageBreak/>
        <w:t>within forests on a systematic 4-kilometre grid coincident with that used for the pre-1990 natural forest and pre-1990 planted forest inventories (Moore and Goulding, unpublished). Permanent sample plots were selected over temporary sample plots because change over time is more easily analysed when there are multiple measurements of the same plot set (Beets et al., 2011a).</w:t>
      </w:r>
    </w:p>
    <w:p w14:paraId="50ED66B5" w14:textId="77777777" w:rsidR="00333601" w:rsidRPr="00BE78CA" w:rsidRDefault="00333601" w:rsidP="00333601">
      <w:pPr>
        <w:pStyle w:val="BodyText"/>
      </w:pPr>
      <w:r w:rsidRPr="00BE78CA">
        <w:t>The initial post-1989 planted forest inventory carried out during the winters of 2007 and 2008 at 246 sites consisted of up to four sample plots in a cluster arrangement. The plots were sampled using the methods as described in Payton et al. (unpublished). A second inventory was carried out during the winters of 2011 and 2012 where the centre plot of the earlier established cluster plots was re-measured and additional new plots were established. In total, 342 plots were ground measured from the mapped area of post-1989 planted forest in the second inventory. Importantly, the additional plots in the later inventory addressed a bias in the earlier estimates caused by incomplete sampling of the forest area. This was due to the initial field inventory beginning prior to the completion of the 2008 land use map. The planted forest inventory shifted from a periodic to a continuous inventory in 2016. The continuous inventory measures around 140 permanent sample plots annually over a five-year re-measurement cycle. The continuous inventory provides annual data on forest management (e.g., harvest age and thinning), natural disturbance and growth that can be incorporated into planted forest carbon stock estimates.</w:t>
      </w:r>
    </w:p>
    <w:p w14:paraId="3E8A1EF9" w14:textId="77777777" w:rsidR="00333601" w:rsidRPr="00BE78CA" w:rsidRDefault="00333601" w:rsidP="00333601">
      <w:pPr>
        <w:pStyle w:val="BodyText"/>
      </w:pPr>
      <w:r w:rsidRPr="00BE78CA">
        <w:t>The ground measurements in the post-1989 planted forest inventory include: stem diameters of live and dead trees at breast height; a sample of tree heights for each tree species; pruned heights; measurement of dead wood and soil fertility samples for predicting wood density (Beets et al., 2011a). Silvicultural information, including tree age, stocking (stems per hectare) and timing of pruning and thinning activities, is gathered from forest owners and estimated by field teams on site. Ground plot centres are located using a 12-channel differential GPS for relocation in future inventories (Beets et al., 2011a).</w:t>
      </w:r>
    </w:p>
    <w:p w14:paraId="53D2FB8A" w14:textId="77777777" w:rsidR="00333601" w:rsidRPr="00BE78CA" w:rsidRDefault="00333601" w:rsidP="00333601">
      <w:pPr>
        <w:pStyle w:val="BodyText"/>
      </w:pPr>
      <w:r w:rsidRPr="00BE78CA">
        <w:t>Stock change in the productive area of post-1989 planted forest is estimated using a forest type-specific national yield table approach similar to that described above under ‘Living biomass and dead organic matter’ within pre-1990 planted forest. Plots that are located outside the productive area within the mapped forest boundary are used to provide carbon stock estimates for unstocked areas of post-1989 planted forests (Paul et al., unpublished(d)). It has been demonstrated in the development of the post-1989 forest yield table that forests planted on grassland are more productive than those planted on forest land (Paul et al., unpublished(c)).</w:t>
      </w:r>
    </w:p>
    <w:p w14:paraId="6008C91A" w14:textId="77777777" w:rsidR="00333601" w:rsidRPr="00BE78CA" w:rsidRDefault="00333601" w:rsidP="00333601">
      <w:pPr>
        <w:pStyle w:val="BodyText"/>
      </w:pPr>
      <w:r w:rsidRPr="00BE78CA">
        <w:t>To utilise all plot measurements described above, a single yield table per plot was developed using the estimated carbon stock at each measurement date. An interpolated estimate is used to provide carbon stock at all ages between the measurement dates. The advantage of the interpolation method is that it maintains the actual carbon stock values at individual measurement dates. Individual yield tables are combined as weighted means in a national yield table for the productive area of post-1989 planted forest (Paul et al., unpublished(d)).</w:t>
      </w:r>
    </w:p>
    <w:p w14:paraId="4C17E0D5" w14:textId="77777777" w:rsidR="00333601" w:rsidRPr="00BE78CA" w:rsidRDefault="00333601" w:rsidP="00333601">
      <w:pPr>
        <w:pStyle w:val="BodyText"/>
      </w:pPr>
      <w:r w:rsidRPr="00BE78CA">
        <w:t xml:space="preserve">New Zealand plantation forests are actively managed, with thinning and pruning activities undertaken early in the rotation. The majority of these activities are completed before trees reach the age of 13 years. Thus, the dead wood and litter pools from these management practices gradually increase leading up to this age. After the age of 13 years, when pruning and thinning cease and decay exceeds inputs, these pools decline. Due to the age-class structure of post-1989 forest in New Zealand, this can be seen as a rapid increase in the dead wood and litter pools over consecutive years. </w:t>
      </w:r>
    </w:p>
    <w:p w14:paraId="4B1924EB" w14:textId="77777777" w:rsidR="00333601" w:rsidRPr="00BE78CA" w:rsidRDefault="00333601" w:rsidP="00333601">
      <w:pPr>
        <w:pStyle w:val="Heading4"/>
      </w:pPr>
      <w:bookmarkStart w:id="1849" w:name="_Toc255466343"/>
      <w:bookmarkStart w:id="1850" w:name="_Toc261513150"/>
      <w:bookmarkStart w:id="1851" w:name="_Toc261513763"/>
      <w:bookmarkStart w:id="1852" w:name="_Toc280630251"/>
      <w:bookmarkEnd w:id="1846"/>
      <w:bookmarkEnd w:id="1847"/>
      <w:bookmarkEnd w:id="1848"/>
      <w:r w:rsidRPr="00BE78CA">
        <w:lastRenderedPageBreak/>
        <w:t>Land converted to forest land</w:t>
      </w:r>
      <w:bookmarkEnd w:id="1849"/>
      <w:bookmarkEnd w:id="1850"/>
      <w:bookmarkEnd w:id="1851"/>
      <w:bookmarkEnd w:id="1852"/>
      <w:r w:rsidRPr="00BE78CA">
        <w:t xml:space="preserve"> (CRF 4.A.2)</w:t>
      </w:r>
    </w:p>
    <w:p w14:paraId="1EAA2789" w14:textId="77777777" w:rsidR="00333601" w:rsidRPr="00BE78CA" w:rsidRDefault="00333601" w:rsidP="0065144B">
      <w:pPr>
        <w:pStyle w:val="BodyText"/>
        <w:spacing w:before="80" w:after="100"/>
      </w:pPr>
      <w:r w:rsidRPr="00BE78CA">
        <w:t xml:space="preserve">All </w:t>
      </w:r>
      <w:r w:rsidRPr="00BE78CA">
        <w:rPr>
          <w:i/>
        </w:rPr>
        <w:t>Land converted to forest land</w:t>
      </w:r>
      <w:r w:rsidRPr="00BE78CA">
        <w:t xml:space="preserve"> since 1 January 1990, either by planting or as a result of human-induced changes in land-management practice (e.g., removing grazing stock and actively facilitating the regeneration of tree species), is included as post-1989 forest. Post</w:t>
      </w:r>
      <w:r w:rsidRPr="00BE78CA">
        <w:noBreakHyphen/>
        <w:t xml:space="preserve">1989 forest is split into two divisions for calculating emissions and removals: post-1989 natural forest and post-1989 planted forest. </w:t>
      </w:r>
    </w:p>
    <w:p w14:paraId="00BB7649" w14:textId="77777777" w:rsidR="00333601" w:rsidRPr="00BE78CA" w:rsidRDefault="00333601" w:rsidP="00722FFB">
      <w:pPr>
        <w:pStyle w:val="BodyText"/>
        <w:spacing w:before="100" w:after="100"/>
        <w:rPr>
          <w:spacing w:val="-2"/>
        </w:rPr>
      </w:pPr>
      <w:r w:rsidRPr="00BE78CA">
        <w:rPr>
          <w:spacing w:val="-2"/>
        </w:rPr>
        <w:t xml:space="preserve">The LUCAS land use map is used to determine the new planting area activity data from 1990 to 2016 for both planted and natural post-1989 forest. </w:t>
      </w:r>
      <w:bookmarkStart w:id="1853" w:name="_Hlk60905471"/>
      <w:r w:rsidRPr="00BE78CA">
        <w:rPr>
          <w:spacing w:val="-2"/>
        </w:rPr>
        <w:t xml:space="preserve">The activity data used to estimate new planting in planted forests between 2017 and 2019 are obtained from a national survey of forest owners (Ministry for Primary Industries, 2019b). </w:t>
      </w:r>
      <w:bookmarkEnd w:id="1853"/>
      <w:r w:rsidRPr="00BE78CA">
        <w:rPr>
          <w:spacing w:val="-2"/>
        </w:rPr>
        <w:t xml:space="preserve">The survey respondents report areas as net stocked area. However, gross stocked area is reported in the Inventory. To account for the difference between the two sources of data (mapping and survey), an unstocked area component is added to the new planting statistic between 2008 and 2016. For estimating emissions associated with new planting, the net planted forest area is modelled separately from the unstocked area component. This ensures the net new planting and NZ ETS data used in the inventory are consistent with the gross mapped forest area. </w:t>
      </w:r>
    </w:p>
    <w:p w14:paraId="32B574E2" w14:textId="77777777" w:rsidR="00333601" w:rsidRPr="00BE78CA" w:rsidRDefault="00333601" w:rsidP="00722FFB">
      <w:pPr>
        <w:pStyle w:val="BodyText"/>
        <w:spacing w:before="100" w:after="100"/>
      </w:pPr>
      <w:r w:rsidRPr="00BE78CA">
        <w:t xml:space="preserve">Where land-use change has occurred between natural forest and planted forest, the associated carbon changes are reported in </w:t>
      </w:r>
      <w:r w:rsidRPr="00BE78CA">
        <w:rPr>
          <w:i/>
        </w:rPr>
        <w:t>Forest land remaining forest land</w:t>
      </w:r>
      <w:r w:rsidRPr="00BE78CA">
        <w:rPr>
          <w:iCs/>
        </w:rPr>
        <w:t>,</w:t>
      </w:r>
      <w:r w:rsidRPr="00BE78CA">
        <w:rPr>
          <w:i/>
        </w:rPr>
        <w:t xml:space="preserve"> </w:t>
      </w:r>
      <w:r w:rsidRPr="00BE78CA">
        <w:t xml:space="preserve">provided the forest has already been established for 20 years. </w:t>
      </w:r>
    </w:p>
    <w:p w14:paraId="7651DBF0" w14:textId="3A60C9FE" w:rsidR="00333601" w:rsidRPr="00BE78CA" w:rsidRDefault="00333601" w:rsidP="00722FFB">
      <w:pPr>
        <w:pStyle w:val="BodyText"/>
        <w:spacing w:before="100" w:after="100"/>
      </w:pPr>
      <w:r w:rsidRPr="00BE78CA">
        <w:t>When non-forest land is converted to forest land, all living biomass that was present at the</w:t>
      </w:r>
      <w:r w:rsidR="0065144B" w:rsidRPr="00BE78CA">
        <w:t> </w:t>
      </w:r>
      <w:r w:rsidRPr="00BE78CA">
        <w:t>time of forest establishment is assumed to be instantly emitted as a result of forest establishment preparation. Between 1990 and 2019, approximately 59 per cent of the non</w:t>
      </w:r>
      <w:r w:rsidR="0065144B" w:rsidRPr="00BE78CA">
        <w:noBreakHyphen/>
      </w:r>
      <w:r w:rsidRPr="00BE78CA">
        <w:t>forest land converted to post-1989 forest has been from low producing grassland, with</w:t>
      </w:r>
      <w:r w:rsidR="000D3702" w:rsidRPr="00BE78CA">
        <w:t> </w:t>
      </w:r>
      <w:r w:rsidRPr="00BE78CA">
        <w:t>23</w:t>
      </w:r>
      <w:r w:rsidR="0065144B" w:rsidRPr="00BE78CA">
        <w:t> </w:t>
      </w:r>
      <w:r w:rsidRPr="00BE78CA">
        <w:t>per cent converted from grassland with woody biomass and a further 18 per cent converted from high producing grassland. Grassland with woody biomass provides the largest</w:t>
      </w:r>
      <w:r w:rsidR="000D3702" w:rsidRPr="00BE78CA">
        <w:t> </w:t>
      </w:r>
      <w:r w:rsidRPr="00BE78CA">
        <w:t>source of emissions associated with land-use change to forest due to the amount of</w:t>
      </w:r>
      <w:r w:rsidR="000D3702" w:rsidRPr="00BE78CA">
        <w:t> </w:t>
      </w:r>
      <w:r w:rsidRPr="00BE78CA">
        <w:t>biomass present prior to land</w:t>
      </w:r>
      <w:r w:rsidRPr="00BE78CA">
        <w:noBreakHyphen/>
        <w:t>use conversion.</w:t>
      </w:r>
    </w:p>
    <w:p w14:paraId="3D6F89B9" w14:textId="77777777" w:rsidR="00333601" w:rsidRPr="00BE78CA" w:rsidRDefault="00333601" w:rsidP="00722FFB">
      <w:pPr>
        <w:pStyle w:val="BodyText"/>
        <w:spacing w:before="100" w:after="100"/>
      </w:pPr>
      <w:r w:rsidRPr="00BE78CA">
        <w:t>Details on the methods, plot network, sampling framework and biomass pools for both post</w:t>
      </w:r>
      <w:r w:rsidRPr="00BE78CA">
        <w:noBreakHyphen/>
        <w:t xml:space="preserve">1989 planted and post-1989 natural forest are described in the </w:t>
      </w:r>
      <w:r w:rsidRPr="00BE78CA">
        <w:rPr>
          <w:i/>
        </w:rPr>
        <w:t>Forest land remaining forest land</w:t>
      </w:r>
      <w:r w:rsidRPr="00BE78CA">
        <w:rPr>
          <w:iCs/>
        </w:rPr>
        <w:t xml:space="preserve"> </w:t>
      </w:r>
      <w:r w:rsidRPr="00BE78CA">
        <w:t xml:space="preserve">section above. </w:t>
      </w:r>
    </w:p>
    <w:p w14:paraId="7B036647" w14:textId="77777777" w:rsidR="00333601" w:rsidRPr="00BE78CA" w:rsidRDefault="00333601" w:rsidP="0065144B">
      <w:pPr>
        <w:pStyle w:val="Heading3"/>
        <w:spacing w:before="280"/>
      </w:pPr>
      <w:bookmarkStart w:id="1854" w:name="_Toc255466354"/>
      <w:bookmarkStart w:id="1855" w:name="_Toc261513161"/>
      <w:bookmarkStart w:id="1856" w:name="_Toc261513774"/>
      <w:bookmarkStart w:id="1857" w:name="_Toc280630254"/>
      <w:bookmarkStart w:id="1858" w:name="_Toc373395713"/>
      <w:r w:rsidRPr="00BE78CA">
        <w:t>6.4.3</w:t>
      </w:r>
      <w:r w:rsidRPr="00BE78CA">
        <w:tab/>
        <w:t>Uncertainties and time-series consistency</w:t>
      </w:r>
      <w:bookmarkEnd w:id="1854"/>
      <w:bookmarkEnd w:id="1855"/>
      <w:bookmarkEnd w:id="1856"/>
      <w:bookmarkEnd w:id="1857"/>
      <w:bookmarkEnd w:id="1858"/>
    </w:p>
    <w:p w14:paraId="4C77BD75" w14:textId="77777777" w:rsidR="00333601" w:rsidRPr="00BE78CA" w:rsidRDefault="00333601" w:rsidP="0065144B">
      <w:pPr>
        <w:pStyle w:val="BodyText"/>
        <w:spacing w:before="80"/>
      </w:pPr>
      <w:r w:rsidRPr="00BE78CA">
        <w:t xml:space="preserve">Emissions from </w:t>
      </w:r>
      <w:r w:rsidRPr="00BE78CA">
        <w:rPr>
          <w:i/>
        </w:rPr>
        <w:t>Forest land</w:t>
      </w:r>
      <w:r w:rsidRPr="00BE78CA">
        <w:t xml:space="preserve"> are 14.8 per cent of New Zealand’s net emissions uncertainty in 2019 (annex 2). </w:t>
      </w:r>
      <w:r w:rsidRPr="00BE78CA">
        <w:rPr>
          <w:i/>
        </w:rPr>
        <w:t>Forest land</w:t>
      </w:r>
      <w:r w:rsidRPr="00BE78CA">
        <w:t xml:space="preserve"> introduces 7.2 per cent uncertainty into the trend in the national total from 1990 to 2019. </w:t>
      </w:r>
    </w:p>
    <w:p w14:paraId="28AC2186" w14:textId="77777777" w:rsidR="00333601" w:rsidRPr="00BE78CA" w:rsidRDefault="00333601" w:rsidP="0065144B">
      <w:pPr>
        <w:pStyle w:val="Heading5"/>
        <w:spacing w:before="160"/>
      </w:pPr>
      <w:bookmarkStart w:id="1859" w:name="_Toc249147596"/>
      <w:bookmarkStart w:id="1860" w:name="_Toc255466355"/>
      <w:bookmarkStart w:id="1861" w:name="_Toc261513162"/>
      <w:bookmarkStart w:id="1862" w:name="_Toc261513775"/>
      <w:bookmarkStart w:id="1863" w:name="_Toc280630255"/>
      <w:r w:rsidRPr="00BE78CA">
        <w:t>Pre-1990 natural forest</w:t>
      </w:r>
      <w:bookmarkEnd w:id="1859"/>
      <w:bookmarkEnd w:id="1860"/>
      <w:bookmarkEnd w:id="1861"/>
      <w:bookmarkEnd w:id="1862"/>
      <w:bookmarkEnd w:id="1863"/>
    </w:p>
    <w:p w14:paraId="6E8EDA5C" w14:textId="77777777" w:rsidR="00333601" w:rsidRPr="00BE78CA" w:rsidRDefault="00333601" w:rsidP="0065144B">
      <w:pPr>
        <w:pStyle w:val="BodyText"/>
        <w:spacing w:before="80" w:after="100"/>
      </w:pPr>
      <w:r w:rsidRPr="00BE78CA">
        <w:t>The uncertainty in mapping pre-1990 natural forest is ±5.0 per cent (see table 6.4.7). Further details are given in section 6.2.5.</w:t>
      </w:r>
    </w:p>
    <w:p w14:paraId="795BDC9A" w14:textId="24ED21D6" w:rsidR="00333601" w:rsidRPr="00BE78CA" w:rsidRDefault="00333601" w:rsidP="00722FFB">
      <w:pPr>
        <w:pStyle w:val="BodyText"/>
        <w:spacing w:before="100" w:after="100"/>
      </w:pPr>
      <w:r w:rsidRPr="00BE78CA">
        <w:t>The estimates for carbon stock and carbon stock change in pre-1990 natural forests were adapted from Paul et al., 2020 (submitted). Carbon stocks in 2019 are estimated to be 62.3 ± 4.5 tonnes C ha</w:t>
      </w:r>
      <w:r w:rsidRPr="00BE78CA">
        <w:rPr>
          <w:vertAlign w:val="superscript"/>
        </w:rPr>
        <w:t>–1</w:t>
      </w:r>
      <w:r w:rsidRPr="00BE78CA">
        <w:t xml:space="preserve"> in regenerating natural forest and 252.1 ± 5.2 tonnes C ha</w:t>
      </w:r>
      <w:r w:rsidRPr="00BE78CA">
        <w:rPr>
          <w:vertAlign w:val="superscript"/>
        </w:rPr>
        <w:t>–1</w:t>
      </w:r>
      <w:r w:rsidRPr="00BE78CA">
        <w:t xml:space="preserve"> in tall natural forest, with an associated uncertainty at the 95 per cent confidence interval of ± 14.9 per cent and ± 6.4 per cent, respectively. Carbon stock change was estimated to be 0.62 ± 0.25 tonnes C ha</w:t>
      </w:r>
      <w:r w:rsidRPr="00BE78CA">
        <w:rPr>
          <w:vertAlign w:val="superscript"/>
        </w:rPr>
        <w:t>–1</w:t>
      </w:r>
      <w:r w:rsidRPr="00BE78CA">
        <w:t xml:space="preserve"> yr</w:t>
      </w:r>
      <w:r w:rsidRPr="00BE78CA">
        <w:rPr>
          <w:vertAlign w:val="superscript"/>
        </w:rPr>
        <w:t>-1</w:t>
      </w:r>
      <w:r w:rsidRPr="00BE78CA">
        <w:t xml:space="preserve"> in regenerating natural forest and –0.05 ± 0.2 tonnes C</w:t>
      </w:r>
      <w:r w:rsidR="0047019D" w:rsidRPr="00BE78CA">
        <w:t> </w:t>
      </w:r>
      <w:r w:rsidRPr="00BE78CA">
        <w:t>ha</w:t>
      </w:r>
      <w:r w:rsidRPr="00BE78CA">
        <w:rPr>
          <w:vertAlign w:val="superscript"/>
        </w:rPr>
        <w:t>–1</w:t>
      </w:r>
      <w:r w:rsidR="0047019D" w:rsidRPr="00BE78CA">
        <w:t> </w:t>
      </w:r>
      <w:r w:rsidRPr="00BE78CA">
        <w:t>yr</w:t>
      </w:r>
      <w:r w:rsidRPr="00BE78CA">
        <w:rPr>
          <w:vertAlign w:val="superscript"/>
        </w:rPr>
        <w:t>–1</w:t>
      </w:r>
      <w:r w:rsidRPr="00BE78CA">
        <w:t xml:space="preserve"> for tall natural forest, with an associated uncertainty at the 95 per cent confidence interval </w:t>
      </w:r>
      <w:r w:rsidRPr="00BE78CA">
        <w:lastRenderedPageBreak/>
        <w:t xml:space="preserve">of ± 39.3 per and ± 400 per cent, respectively. Due to the low rate of carbon stock change in tall forest with a very high associated uncertainty, this estimate was considered not to be significantly different from zero and so no emissions factor was applied (i.e., a rate of zero carbon stock change was applied to tall forest). However, work is under way to review this assumption following ERT recommendation L.18, 2019 </w:t>
      </w:r>
      <w:r w:rsidRPr="00BE78CA">
        <w:rPr>
          <w:spacing w:val="-2"/>
        </w:rPr>
        <w:t>(FCCC/ARR/2019/NZL, UNFCCC, 2020)</w:t>
      </w:r>
      <w:r w:rsidRPr="00BE78CA">
        <w:t xml:space="preserve">. </w:t>
      </w:r>
    </w:p>
    <w:p w14:paraId="542AF069" w14:textId="77777777" w:rsidR="00333601" w:rsidRPr="00BE78CA" w:rsidRDefault="00333601" w:rsidP="00722FFB">
      <w:pPr>
        <w:pStyle w:val="BodyText"/>
        <w:spacing w:before="100" w:after="100"/>
      </w:pPr>
      <w:r w:rsidRPr="00BE78CA">
        <w:t>The uncertainty in carbon stocks applies to carbon losses that occur from deforestation, while the uncertainty in carbon stock change applies to changes in carbon stocks in the forest from year to year.</w:t>
      </w:r>
    </w:p>
    <w:p w14:paraId="0E55DEB7" w14:textId="77777777" w:rsidR="00333601" w:rsidRPr="00BE78CA" w:rsidRDefault="00333601" w:rsidP="00333601">
      <w:pPr>
        <w:pStyle w:val="Table"/>
      </w:pPr>
      <w:bookmarkStart w:id="1864" w:name="_Toc280630457"/>
      <w:bookmarkStart w:id="1865" w:name="_Toc310423410"/>
      <w:bookmarkStart w:id="1866" w:name="_Toc318362703"/>
      <w:bookmarkStart w:id="1867" w:name="_Toc342470765"/>
      <w:bookmarkStart w:id="1868" w:name="_Toc352505005"/>
      <w:bookmarkStart w:id="1869" w:name="_Toc373395730"/>
      <w:bookmarkStart w:id="1870" w:name="_Toc378853296"/>
      <w:bookmarkStart w:id="1871" w:name="_Toc391024094"/>
      <w:bookmarkStart w:id="1872" w:name="_Toc410028837"/>
      <w:bookmarkStart w:id="1873" w:name="_Toc414531465"/>
      <w:bookmarkStart w:id="1874" w:name="_Toc443645378"/>
      <w:bookmarkStart w:id="1875" w:name="_Toc474914597"/>
      <w:bookmarkStart w:id="1876" w:name="_Toc481751561"/>
      <w:bookmarkStart w:id="1877" w:name="_Toc522010618"/>
      <w:bookmarkStart w:id="1878" w:name="_Toc5269523"/>
      <w:bookmarkStart w:id="1879" w:name="_Toc33529397"/>
      <w:bookmarkStart w:id="1880" w:name="_Toc36224603"/>
      <w:bookmarkStart w:id="1881" w:name="_Toc65243598"/>
      <w:bookmarkStart w:id="1882" w:name="_Toc68786488"/>
      <w:r w:rsidRPr="00BE78CA">
        <w:t xml:space="preserve">Table 6.4.7 </w:t>
      </w:r>
      <w:r w:rsidRPr="00BE78CA">
        <w:tab/>
        <w:t>Uncertainty in New Zealand’s 2019 estimates from pre-1990 natural forest</w:t>
      </w:r>
      <w:bookmarkEnd w:id="1864"/>
      <w:bookmarkEnd w:id="1865"/>
      <w:bookmarkEnd w:id="1866"/>
      <w:bookmarkEnd w:id="1867"/>
      <w:r w:rsidRPr="00BE78CA">
        <w:br/>
        <w:t>(including land in transition)</w:t>
      </w:r>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p>
    <w:tbl>
      <w:tblPr>
        <w:tblW w:w="8448" w:type="dxa"/>
        <w:tblInd w:w="57" w:type="dxa"/>
        <w:tblLook w:val="04A0" w:firstRow="1" w:lastRow="0" w:firstColumn="1" w:lastColumn="0" w:noHBand="0" w:noVBand="1"/>
      </w:tblPr>
      <w:tblGrid>
        <w:gridCol w:w="5137"/>
        <w:gridCol w:w="3368"/>
      </w:tblGrid>
      <w:tr w:rsidR="00333601" w:rsidRPr="00BE78CA" w14:paraId="5F9A5C6F" w14:textId="77777777" w:rsidTr="00C26084">
        <w:trPr>
          <w:tblHeader/>
        </w:trPr>
        <w:tc>
          <w:tcPr>
            <w:tcW w:w="5137" w:type="dxa"/>
            <w:tcBorders>
              <w:top w:val="single" w:sz="4" w:space="0" w:color="365F91"/>
              <w:bottom w:val="single" w:sz="4" w:space="0" w:color="365F91"/>
            </w:tcBorders>
            <w:shd w:val="clear" w:color="auto" w:fill="365F91"/>
            <w:noWrap/>
            <w:hideMark/>
          </w:tcPr>
          <w:p w14:paraId="0F4DBB8B" w14:textId="77777777" w:rsidR="00333601" w:rsidRPr="00BE78CA" w:rsidRDefault="00333601" w:rsidP="00722FFB">
            <w:pPr>
              <w:pStyle w:val="TableTextBold"/>
              <w:keepNext/>
              <w:spacing w:before="50" w:after="50"/>
              <w:rPr>
                <w:noProof w:val="0"/>
                <w:color w:val="FFFFFF"/>
              </w:rPr>
            </w:pPr>
            <w:r w:rsidRPr="00BE78CA">
              <w:rPr>
                <w:noProof w:val="0"/>
                <w:color w:val="FFFFFF"/>
              </w:rPr>
              <w:t>Variable</w:t>
            </w:r>
          </w:p>
        </w:tc>
        <w:tc>
          <w:tcPr>
            <w:tcW w:w="3368" w:type="dxa"/>
            <w:tcBorders>
              <w:top w:val="single" w:sz="4" w:space="0" w:color="365F91"/>
              <w:bottom w:val="single" w:sz="4" w:space="0" w:color="365F91"/>
            </w:tcBorders>
            <w:shd w:val="clear" w:color="auto" w:fill="365F91"/>
            <w:noWrap/>
            <w:hideMark/>
          </w:tcPr>
          <w:p w14:paraId="34208BA7" w14:textId="77777777" w:rsidR="00333601" w:rsidRPr="00BE78CA" w:rsidRDefault="00333601" w:rsidP="00722FFB">
            <w:pPr>
              <w:pStyle w:val="TableTextBold"/>
              <w:keepNext/>
              <w:spacing w:before="50" w:after="50"/>
              <w:rPr>
                <w:noProof w:val="0"/>
                <w:color w:val="FFFFFF"/>
              </w:rPr>
            </w:pPr>
            <w:r w:rsidRPr="00BE78CA">
              <w:rPr>
                <w:noProof w:val="0"/>
                <w:color w:val="FFFFFF"/>
              </w:rPr>
              <w:t>Uncertainty at a 95% confidence interval (%)</w:t>
            </w:r>
          </w:p>
        </w:tc>
      </w:tr>
      <w:tr w:rsidR="00333601" w:rsidRPr="00BE78CA" w14:paraId="17BBD0D4" w14:textId="77777777" w:rsidTr="00C26084">
        <w:tc>
          <w:tcPr>
            <w:tcW w:w="5137" w:type="dxa"/>
            <w:tcBorders>
              <w:top w:val="single" w:sz="4" w:space="0" w:color="365F91"/>
              <w:bottom w:val="single" w:sz="4" w:space="0" w:color="365F91"/>
            </w:tcBorders>
            <w:noWrap/>
            <w:hideMark/>
          </w:tcPr>
          <w:p w14:paraId="3FD8F533" w14:textId="77777777" w:rsidR="00333601" w:rsidRPr="00BE78CA" w:rsidRDefault="00333601" w:rsidP="0047019D">
            <w:pPr>
              <w:pStyle w:val="TableTextBold"/>
              <w:keepNext/>
              <w:spacing w:before="50" w:after="40"/>
              <w:rPr>
                <w:noProof w:val="0"/>
              </w:rPr>
            </w:pPr>
            <w:r w:rsidRPr="00BE78CA">
              <w:rPr>
                <w:noProof w:val="0"/>
              </w:rPr>
              <w:t>Activity data</w:t>
            </w:r>
          </w:p>
        </w:tc>
        <w:tc>
          <w:tcPr>
            <w:tcW w:w="3368" w:type="dxa"/>
            <w:tcBorders>
              <w:top w:val="single" w:sz="4" w:space="0" w:color="365F91"/>
              <w:bottom w:val="single" w:sz="4" w:space="0" w:color="365F91"/>
            </w:tcBorders>
            <w:noWrap/>
            <w:hideMark/>
          </w:tcPr>
          <w:p w14:paraId="01438E6E" w14:textId="77777777" w:rsidR="00333601" w:rsidRPr="00BE78CA" w:rsidRDefault="00333601" w:rsidP="0047019D">
            <w:pPr>
              <w:pStyle w:val="TableTextBold"/>
              <w:keepNext/>
              <w:spacing w:before="50" w:after="40"/>
              <w:rPr>
                <w:noProof w:val="0"/>
              </w:rPr>
            </w:pPr>
          </w:p>
        </w:tc>
      </w:tr>
      <w:tr w:rsidR="00333601" w:rsidRPr="00BE78CA" w14:paraId="717071C1" w14:textId="77777777" w:rsidTr="00C26084">
        <w:tc>
          <w:tcPr>
            <w:tcW w:w="5137" w:type="dxa"/>
            <w:tcBorders>
              <w:top w:val="single" w:sz="4" w:space="0" w:color="365F91"/>
              <w:bottom w:val="single" w:sz="4" w:space="0" w:color="365F91"/>
            </w:tcBorders>
            <w:noWrap/>
            <w:hideMark/>
          </w:tcPr>
          <w:p w14:paraId="1B4717B5" w14:textId="77777777" w:rsidR="00333601" w:rsidRPr="00BE78CA" w:rsidRDefault="00333601" w:rsidP="0047019D">
            <w:pPr>
              <w:pStyle w:val="TableText"/>
              <w:keepNext/>
              <w:spacing w:before="50" w:after="40"/>
            </w:pPr>
            <w:r w:rsidRPr="00BE78CA">
              <w:t>Uncertainty in land area</w:t>
            </w:r>
          </w:p>
        </w:tc>
        <w:tc>
          <w:tcPr>
            <w:tcW w:w="3368" w:type="dxa"/>
            <w:tcBorders>
              <w:top w:val="single" w:sz="4" w:space="0" w:color="365F91"/>
              <w:bottom w:val="single" w:sz="4" w:space="0" w:color="365F91"/>
            </w:tcBorders>
            <w:noWrap/>
            <w:hideMark/>
          </w:tcPr>
          <w:p w14:paraId="11652CB2" w14:textId="77777777" w:rsidR="00333601" w:rsidRPr="00BE78CA" w:rsidRDefault="00333601" w:rsidP="0047019D">
            <w:pPr>
              <w:pStyle w:val="TableText"/>
              <w:keepNext/>
              <w:spacing w:before="50" w:after="40"/>
              <w:jc w:val="center"/>
            </w:pPr>
            <w:r w:rsidRPr="00BE78CA">
              <w:t>±5.0</w:t>
            </w:r>
          </w:p>
        </w:tc>
      </w:tr>
      <w:tr w:rsidR="00333601" w:rsidRPr="00BE78CA" w14:paraId="6E8BDA9B" w14:textId="77777777" w:rsidTr="00C26084">
        <w:tc>
          <w:tcPr>
            <w:tcW w:w="5137" w:type="dxa"/>
            <w:tcBorders>
              <w:top w:val="single" w:sz="4" w:space="0" w:color="365F91"/>
              <w:bottom w:val="single" w:sz="4" w:space="0" w:color="365F91"/>
            </w:tcBorders>
            <w:noWrap/>
            <w:hideMark/>
          </w:tcPr>
          <w:p w14:paraId="01C8ED72" w14:textId="77777777" w:rsidR="00333601" w:rsidRPr="00BE78CA" w:rsidRDefault="00333601" w:rsidP="0047019D">
            <w:pPr>
              <w:pStyle w:val="TableTextBold"/>
              <w:keepNext/>
              <w:spacing w:before="50" w:after="40"/>
              <w:rPr>
                <w:noProof w:val="0"/>
              </w:rPr>
            </w:pPr>
            <w:r w:rsidRPr="00BE78CA">
              <w:rPr>
                <w:noProof w:val="0"/>
              </w:rPr>
              <w:t>Emission factors</w:t>
            </w:r>
          </w:p>
        </w:tc>
        <w:tc>
          <w:tcPr>
            <w:tcW w:w="3368" w:type="dxa"/>
            <w:tcBorders>
              <w:top w:val="single" w:sz="4" w:space="0" w:color="365F91"/>
              <w:bottom w:val="single" w:sz="4" w:space="0" w:color="365F91"/>
            </w:tcBorders>
            <w:noWrap/>
            <w:hideMark/>
          </w:tcPr>
          <w:p w14:paraId="1449CEB6" w14:textId="77777777" w:rsidR="00333601" w:rsidRPr="00BE78CA" w:rsidRDefault="00333601" w:rsidP="0047019D">
            <w:pPr>
              <w:pStyle w:val="TableTextBold"/>
              <w:keepNext/>
              <w:spacing w:before="50" w:after="40"/>
              <w:jc w:val="center"/>
              <w:rPr>
                <w:noProof w:val="0"/>
              </w:rPr>
            </w:pPr>
          </w:p>
        </w:tc>
      </w:tr>
      <w:tr w:rsidR="00333601" w:rsidRPr="00BE78CA" w14:paraId="16A213D0" w14:textId="77777777" w:rsidTr="00C26084">
        <w:tc>
          <w:tcPr>
            <w:tcW w:w="5137" w:type="dxa"/>
            <w:tcBorders>
              <w:top w:val="single" w:sz="4" w:space="0" w:color="365F91"/>
              <w:bottom w:val="single" w:sz="4" w:space="0" w:color="365F91"/>
            </w:tcBorders>
            <w:noWrap/>
            <w:vAlign w:val="bottom"/>
            <w:hideMark/>
          </w:tcPr>
          <w:p w14:paraId="064E6FE3" w14:textId="77777777" w:rsidR="00333601" w:rsidRPr="00BE78CA" w:rsidRDefault="00333601" w:rsidP="0047019D">
            <w:pPr>
              <w:pStyle w:val="TableText"/>
              <w:keepNext/>
              <w:spacing w:before="50" w:after="40"/>
            </w:pPr>
            <w:r w:rsidRPr="00BE78CA">
              <w:t>Uncertainty in tall forest biomass carbon stocks (losses)</w:t>
            </w:r>
          </w:p>
        </w:tc>
        <w:tc>
          <w:tcPr>
            <w:tcW w:w="3368" w:type="dxa"/>
            <w:tcBorders>
              <w:top w:val="single" w:sz="4" w:space="0" w:color="365F91"/>
              <w:bottom w:val="single" w:sz="4" w:space="0" w:color="365F91"/>
            </w:tcBorders>
            <w:noWrap/>
            <w:hideMark/>
          </w:tcPr>
          <w:p w14:paraId="0A270972" w14:textId="77777777" w:rsidR="00333601" w:rsidRPr="00BE78CA" w:rsidRDefault="00333601" w:rsidP="0047019D">
            <w:pPr>
              <w:pStyle w:val="TableText"/>
              <w:keepNext/>
              <w:spacing w:before="50" w:after="40"/>
              <w:jc w:val="center"/>
            </w:pPr>
            <w:r w:rsidRPr="00BE78CA">
              <w:t>±6.4</w:t>
            </w:r>
          </w:p>
        </w:tc>
      </w:tr>
      <w:tr w:rsidR="00333601" w:rsidRPr="00BE78CA" w14:paraId="09AA6113" w14:textId="77777777" w:rsidTr="00C26084">
        <w:tc>
          <w:tcPr>
            <w:tcW w:w="5137" w:type="dxa"/>
            <w:tcBorders>
              <w:top w:val="single" w:sz="4" w:space="0" w:color="365F91"/>
              <w:bottom w:val="single" w:sz="4" w:space="0" w:color="365F91"/>
            </w:tcBorders>
            <w:noWrap/>
            <w:vAlign w:val="bottom"/>
          </w:tcPr>
          <w:p w14:paraId="62DECB48" w14:textId="77777777" w:rsidR="00333601" w:rsidRPr="00BE78CA" w:rsidRDefault="00333601" w:rsidP="0047019D">
            <w:pPr>
              <w:pStyle w:val="TableText"/>
              <w:spacing w:before="50" w:after="40"/>
            </w:pPr>
            <w:r w:rsidRPr="00BE78CA">
              <w:t>Uncertainty in regenerating forest biomass carbon stocks (losses)</w:t>
            </w:r>
          </w:p>
        </w:tc>
        <w:tc>
          <w:tcPr>
            <w:tcW w:w="3368" w:type="dxa"/>
            <w:tcBorders>
              <w:top w:val="single" w:sz="4" w:space="0" w:color="365F91"/>
              <w:bottom w:val="single" w:sz="4" w:space="0" w:color="365F91"/>
            </w:tcBorders>
            <w:noWrap/>
          </w:tcPr>
          <w:p w14:paraId="18297641" w14:textId="77777777" w:rsidR="00333601" w:rsidRPr="00BE78CA" w:rsidRDefault="00333601" w:rsidP="0047019D">
            <w:pPr>
              <w:pStyle w:val="TableText"/>
              <w:spacing w:before="50" w:after="40"/>
              <w:jc w:val="center"/>
            </w:pPr>
            <w:r w:rsidRPr="00BE78CA">
              <w:t>±14.9</w:t>
            </w:r>
          </w:p>
        </w:tc>
      </w:tr>
      <w:tr w:rsidR="00333601" w:rsidRPr="00BE78CA" w14:paraId="6FCAEFB6" w14:textId="77777777" w:rsidTr="00C26084">
        <w:tc>
          <w:tcPr>
            <w:tcW w:w="5137" w:type="dxa"/>
            <w:tcBorders>
              <w:top w:val="single" w:sz="4" w:space="0" w:color="365F91"/>
              <w:bottom w:val="single" w:sz="4" w:space="0" w:color="365F91"/>
            </w:tcBorders>
            <w:noWrap/>
            <w:vAlign w:val="bottom"/>
            <w:hideMark/>
          </w:tcPr>
          <w:p w14:paraId="685AD7FD" w14:textId="77777777" w:rsidR="00333601" w:rsidRPr="00BE78CA" w:rsidRDefault="00333601" w:rsidP="0047019D">
            <w:pPr>
              <w:pStyle w:val="TableText"/>
              <w:spacing w:before="50" w:after="40"/>
            </w:pPr>
            <w:r w:rsidRPr="00BE78CA">
              <w:t>Uncertainty in tall forest biomass carbon change (gains)</w:t>
            </w:r>
          </w:p>
        </w:tc>
        <w:tc>
          <w:tcPr>
            <w:tcW w:w="3368" w:type="dxa"/>
            <w:tcBorders>
              <w:top w:val="single" w:sz="4" w:space="0" w:color="365F91"/>
              <w:bottom w:val="single" w:sz="4" w:space="0" w:color="365F91"/>
            </w:tcBorders>
            <w:noWrap/>
            <w:hideMark/>
          </w:tcPr>
          <w:p w14:paraId="001CE6B2" w14:textId="77777777" w:rsidR="00333601" w:rsidRPr="00BE78CA" w:rsidRDefault="00333601" w:rsidP="0047019D">
            <w:pPr>
              <w:pStyle w:val="TableText"/>
              <w:spacing w:before="50" w:after="40"/>
              <w:jc w:val="center"/>
            </w:pPr>
            <w:r w:rsidRPr="00BE78CA">
              <w:t>±400.0</w:t>
            </w:r>
          </w:p>
        </w:tc>
      </w:tr>
      <w:tr w:rsidR="00333601" w:rsidRPr="00BE78CA" w14:paraId="4E495D9A" w14:textId="77777777" w:rsidTr="00C26084">
        <w:tc>
          <w:tcPr>
            <w:tcW w:w="5137" w:type="dxa"/>
            <w:tcBorders>
              <w:top w:val="single" w:sz="4" w:space="0" w:color="365F91"/>
              <w:bottom w:val="single" w:sz="4" w:space="0" w:color="365F91"/>
            </w:tcBorders>
            <w:noWrap/>
            <w:vAlign w:val="bottom"/>
          </w:tcPr>
          <w:p w14:paraId="575B0A09" w14:textId="77777777" w:rsidR="00333601" w:rsidRPr="00BE78CA" w:rsidRDefault="00333601" w:rsidP="0047019D">
            <w:pPr>
              <w:pStyle w:val="TableText"/>
              <w:spacing w:before="50" w:after="40"/>
            </w:pPr>
            <w:r w:rsidRPr="00BE78CA">
              <w:t>Uncertainty in regenerating forest biomass carbon change (gains)</w:t>
            </w:r>
          </w:p>
        </w:tc>
        <w:tc>
          <w:tcPr>
            <w:tcW w:w="3368" w:type="dxa"/>
            <w:tcBorders>
              <w:top w:val="single" w:sz="4" w:space="0" w:color="365F91"/>
              <w:bottom w:val="single" w:sz="4" w:space="0" w:color="365F91"/>
            </w:tcBorders>
            <w:noWrap/>
          </w:tcPr>
          <w:p w14:paraId="5A9CD94E" w14:textId="77777777" w:rsidR="00333601" w:rsidRPr="00BE78CA" w:rsidRDefault="00333601" w:rsidP="0047019D">
            <w:pPr>
              <w:pStyle w:val="TableText"/>
              <w:spacing w:before="50" w:after="40"/>
              <w:jc w:val="center"/>
            </w:pPr>
            <w:r w:rsidRPr="00BE78CA">
              <w:t>±39.3</w:t>
            </w:r>
          </w:p>
        </w:tc>
      </w:tr>
      <w:tr w:rsidR="00333601" w:rsidRPr="00BE78CA" w14:paraId="78CBAB38" w14:textId="77777777" w:rsidTr="00C26084">
        <w:tc>
          <w:tcPr>
            <w:tcW w:w="5137" w:type="dxa"/>
            <w:tcBorders>
              <w:top w:val="single" w:sz="4" w:space="0" w:color="365F91"/>
              <w:bottom w:val="single" w:sz="4" w:space="0" w:color="365F91"/>
            </w:tcBorders>
            <w:noWrap/>
            <w:vAlign w:val="bottom"/>
          </w:tcPr>
          <w:p w14:paraId="6F98B5BC" w14:textId="77777777" w:rsidR="00333601" w:rsidRPr="00BE78CA" w:rsidRDefault="00333601" w:rsidP="0047019D">
            <w:pPr>
              <w:pStyle w:val="TableText"/>
              <w:spacing w:before="50" w:after="40"/>
            </w:pPr>
            <w:r w:rsidRPr="00BE78CA">
              <w:t>Uncertainty in soil carbon stocks</w:t>
            </w:r>
          </w:p>
        </w:tc>
        <w:tc>
          <w:tcPr>
            <w:tcW w:w="3368" w:type="dxa"/>
            <w:tcBorders>
              <w:top w:val="single" w:sz="4" w:space="0" w:color="365F91"/>
              <w:bottom w:val="single" w:sz="4" w:space="0" w:color="365F91"/>
            </w:tcBorders>
            <w:noWrap/>
          </w:tcPr>
          <w:p w14:paraId="5080D080" w14:textId="77777777" w:rsidR="00333601" w:rsidRPr="00BE78CA" w:rsidRDefault="00333601" w:rsidP="0047019D">
            <w:pPr>
              <w:pStyle w:val="TableText"/>
              <w:spacing w:before="50" w:after="40"/>
              <w:jc w:val="center"/>
            </w:pPr>
            <w:r w:rsidRPr="00BE78CA">
              <w:t>±7.9</w:t>
            </w:r>
          </w:p>
        </w:tc>
      </w:tr>
      <w:tr w:rsidR="00333601" w:rsidRPr="00BE78CA" w14:paraId="2404E024" w14:textId="77777777" w:rsidTr="00C26084">
        <w:tc>
          <w:tcPr>
            <w:tcW w:w="5137" w:type="dxa"/>
            <w:tcBorders>
              <w:top w:val="single" w:sz="4" w:space="0" w:color="365F91"/>
              <w:bottom w:val="single" w:sz="4" w:space="0" w:color="365F91"/>
            </w:tcBorders>
            <w:noWrap/>
            <w:hideMark/>
          </w:tcPr>
          <w:p w14:paraId="387472B0" w14:textId="77777777" w:rsidR="00333601" w:rsidRPr="00BE78CA" w:rsidRDefault="00333601" w:rsidP="0047019D">
            <w:pPr>
              <w:pStyle w:val="Tableboldblue"/>
              <w:spacing w:before="50" w:after="40"/>
            </w:pPr>
            <w:r w:rsidRPr="00BE78CA">
              <w:t>Uncertainty introduced into net emissions for LULUCF</w:t>
            </w:r>
          </w:p>
        </w:tc>
        <w:tc>
          <w:tcPr>
            <w:tcW w:w="3368" w:type="dxa"/>
            <w:tcBorders>
              <w:top w:val="single" w:sz="4" w:space="0" w:color="365F91"/>
              <w:bottom w:val="single" w:sz="4" w:space="0" w:color="365F91"/>
            </w:tcBorders>
            <w:noWrap/>
            <w:hideMark/>
          </w:tcPr>
          <w:p w14:paraId="6660A0C7" w14:textId="77777777" w:rsidR="00333601" w:rsidRPr="00BE78CA" w:rsidRDefault="00333601" w:rsidP="0047019D">
            <w:pPr>
              <w:pStyle w:val="Tableboldblue"/>
              <w:spacing w:before="50" w:after="40"/>
              <w:jc w:val="center"/>
            </w:pPr>
            <w:r w:rsidRPr="00BE78CA">
              <w:t>±3.9</w:t>
            </w:r>
          </w:p>
        </w:tc>
      </w:tr>
    </w:tbl>
    <w:p w14:paraId="6A17837E" w14:textId="77777777" w:rsidR="00333601" w:rsidRPr="00BE78CA" w:rsidRDefault="00333601" w:rsidP="00333601">
      <w:pPr>
        <w:pStyle w:val="Noteundertable"/>
      </w:pPr>
      <w:r w:rsidRPr="00BE78CA">
        <w:rPr>
          <w:b/>
        </w:rPr>
        <w:t>Note:</w:t>
      </w:r>
      <w:r w:rsidRPr="00BE78CA">
        <w:tab/>
        <w:t>Land area includes land in transition in 2019. The activity data and combined emission factor uncertainty are weighted values and have been calculated using equations 3.1 and 3.2 from IPCC General Guidance and Reporting (IPCC, 2006b). As the emission factor for carbon stock change in tall forests is reported to be zero, the uncertainty associated with this figure is effectively zero when following the IPCC guidelines for the propagation of uncertainty (IPCC, 2006a).</w:t>
      </w:r>
    </w:p>
    <w:p w14:paraId="231C5E61" w14:textId="77777777" w:rsidR="00333601" w:rsidRPr="00BE78CA" w:rsidRDefault="00333601" w:rsidP="0065144B">
      <w:pPr>
        <w:pStyle w:val="Heading5"/>
        <w:spacing w:before="160"/>
      </w:pPr>
      <w:bookmarkStart w:id="1883" w:name="_Toc249147597"/>
      <w:bookmarkStart w:id="1884" w:name="_Toc255466356"/>
      <w:bookmarkStart w:id="1885" w:name="_Toc261513163"/>
      <w:bookmarkStart w:id="1886" w:name="_Toc261513776"/>
      <w:bookmarkStart w:id="1887" w:name="_Toc280630256"/>
      <w:r w:rsidRPr="00BE78CA">
        <w:t>Pre-1990 planted forest</w:t>
      </w:r>
      <w:bookmarkEnd w:id="1883"/>
      <w:bookmarkEnd w:id="1884"/>
      <w:bookmarkEnd w:id="1885"/>
      <w:bookmarkEnd w:id="1886"/>
      <w:bookmarkEnd w:id="1887"/>
    </w:p>
    <w:p w14:paraId="125D6E68" w14:textId="77777777" w:rsidR="00333601" w:rsidRPr="00BE78CA" w:rsidRDefault="00333601" w:rsidP="00FC18F3">
      <w:pPr>
        <w:pStyle w:val="BodyText"/>
        <w:spacing w:before="80" w:after="100"/>
      </w:pPr>
      <w:r w:rsidRPr="00BE78CA">
        <w:t>A national plot-based inventory system, in conjunction with a suite of models, is used to estimate carbon stock and carbon stock change within New Zealand’s planted forest (see Beets et al., 2012a). The models are collectively called the Forest Carbon Predictor version 4.1 (Beets and Kimberley, unpublished) and are described in further detail in section 6.4.2 under ‘Living biomass and dead organic matter’. Extensive work has been carried out to reduce the uncertainty in the estimates, including the use of a specifically designed plot network and research-based improvements to the models.</w:t>
      </w:r>
    </w:p>
    <w:p w14:paraId="256143FB" w14:textId="77777777" w:rsidR="00333601" w:rsidRPr="00BE78CA" w:rsidRDefault="00333601" w:rsidP="00722FFB">
      <w:pPr>
        <w:pStyle w:val="BodyText"/>
        <w:spacing w:before="100" w:after="100"/>
      </w:pPr>
      <w:r w:rsidRPr="00BE78CA">
        <w:t>Beets et al. (2011b) discuss the validation of the Forest Carbon Predictor model used to produce carbon yield tables for the LULUCF sector. For the plots in this study, the estimates of total carbon stock per plot made using the Forest Carbon Predictor were found to be within 5 per cent of measured values. When just above-ground biomass per plot was considered, accuracy was within approximately 1 per cent. Carbon stock change was estimated within 5 per cent accuracy when linked with plot data at the start and end of each five-year period, linking closely with the scheduled duration between the national plot-based inventories (Moore and Goulding, unpublished).</w:t>
      </w:r>
    </w:p>
    <w:p w14:paraId="1F79B081" w14:textId="77777777" w:rsidR="00333601" w:rsidRPr="00BE78CA" w:rsidRDefault="00333601" w:rsidP="00722FFB">
      <w:pPr>
        <w:pStyle w:val="BodyText"/>
        <w:spacing w:before="100" w:after="100"/>
      </w:pPr>
      <w:bookmarkStart w:id="1888" w:name="_Hlk57705460"/>
      <w:r w:rsidRPr="00BE78CA">
        <w:t xml:space="preserve">The uncertainty in carbon losses applied to New Zealand’s pre-1990 forest biomass carbon stocks is ±21.9 per cent at the 95 per cent confidence interval, while the uncertainty in carbon stock change (carbon gains) is ±27.1 per cent (see table 6.4.8). The uncertainty in carbon stocks is applied to carbon losses that occur from harvesting and deforestation and the uncertainty in carbon stock change applies to carbon gains from forest growth. </w:t>
      </w:r>
      <w:bookmarkStart w:id="1889" w:name="_Hlk60906228"/>
      <w:r w:rsidRPr="00BE78CA">
        <w:t xml:space="preserve">These uncertainty estimates take into account the area-weighted uncertainty in carbon stocks for each age in the yield </w:t>
      </w:r>
      <w:r w:rsidRPr="00BE78CA">
        <w:lastRenderedPageBreak/>
        <w:t>table (Paul and Wakelin, unpublished) and the associated uncertainty in estimating the forest age profile and harvest age profile. Note that there is a higher associated uncertainty in the yield table representing stands planted between 2010 and 2019. This is due to a lower number of samples, often with only a single measurement, and variable growth rates detected in younger stands. This uncertainty is anticipated to decrease in future years as more measurements are incorporated into the estimate for the yield table over this period.</w:t>
      </w:r>
    </w:p>
    <w:bookmarkEnd w:id="1888"/>
    <w:bookmarkEnd w:id="1889"/>
    <w:p w14:paraId="1A7500CF" w14:textId="77777777" w:rsidR="00333601" w:rsidRPr="00BE78CA" w:rsidRDefault="00333601" w:rsidP="0065144B">
      <w:pPr>
        <w:pStyle w:val="BodyText"/>
        <w:spacing w:before="100" w:after="80"/>
      </w:pPr>
      <w:r w:rsidRPr="00BE78CA">
        <w:t>The uncertainty in the estimates of pre-1990 planted forest for the 2021 submission is provided in table 6.4.8.</w:t>
      </w:r>
    </w:p>
    <w:p w14:paraId="15ACC4AB" w14:textId="77777777" w:rsidR="00333601" w:rsidRPr="00BE78CA" w:rsidRDefault="00333601" w:rsidP="00333601">
      <w:pPr>
        <w:pStyle w:val="Table"/>
        <w:rPr>
          <w:rFonts w:cs="Arial"/>
          <w:szCs w:val="16"/>
        </w:rPr>
      </w:pPr>
      <w:bookmarkStart w:id="1890" w:name="_Toc280630458"/>
      <w:bookmarkStart w:id="1891" w:name="_Toc310423411"/>
      <w:bookmarkStart w:id="1892" w:name="_Toc318362704"/>
      <w:bookmarkStart w:id="1893" w:name="_Toc342470766"/>
      <w:bookmarkStart w:id="1894" w:name="_Toc352505006"/>
      <w:bookmarkStart w:id="1895" w:name="_Toc373395731"/>
      <w:bookmarkStart w:id="1896" w:name="_Toc378853297"/>
      <w:bookmarkStart w:id="1897" w:name="_Toc391024095"/>
      <w:bookmarkStart w:id="1898" w:name="_Toc410028838"/>
      <w:bookmarkStart w:id="1899" w:name="_Toc414531466"/>
      <w:bookmarkStart w:id="1900" w:name="_Toc443645379"/>
      <w:bookmarkStart w:id="1901" w:name="_Toc474914598"/>
      <w:bookmarkStart w:id="1902" w:name="_Toc481751562"/>
      <w:bookmarkStart w:id="1903" w:name="_Toc522010619"/>
      <w:bookmarkStart w:id="1904" w:name="_Toc5269524"/>
      <w:bookmarkStart w:id="1905" w:name="_Toc33529398"/>
      <w:bookmarkStart w:id="1906" w:name="_Toc36224604"/>
      <w:bookmarkStart w:id="1907" w:name="_Toc65243599"/>
      <w:bookmarkStart w:id="1908" w:name="_Toc68786489"/>
      <w:r w:rsidRPr="00BE78CA">
        <w:t>Table 6.4.8</w:t>
      </w:r>
      <w:r w:rsidRPr="00BE78CA">
        <w:tab/>
        <w:t xml:space="preserve">Uncertainty in New Zealand’s 2019 estimates from </w:t>
      </w:r>
      <w:r w:rsidRPr="00BE78CA">
        <w:rPr>
          <w:rFonts w:cs="Arial"/>
          <w:szCs w:val="16"/>
        </w:rPr>
        <w:t>pre-1990 planted forest</w:t>
      </w:r>
      <w:bookmarkEnd w:id="1890"/>
      <w:bookmarkEnd w:id="1891"/>
      <w:bookmarkEnd w:id="1892"/>
      <w:bookmarkEnd w:id="1893"/>
      <w:r w:rsidRPr="00BE78CA">
        <w:rPr>
          <w:rFonts w:cs="Arial"/>
          <w:szCs w:val="16"/>
        </w:rPr>
        <w:br/>
        <w:t>(including land in transition)</w:t>
      </w:r>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p>
    <w:tbl>
      <w:tblPr>
        <w:tblW w:w="8448" w:type="dxa"/>
        <w:tblInd w:w="57" w:type="dxa"/>
        <w:tblLook w:val="04A0" w:firstRow="1" w:lastRow="0" w:firstColumn="1" w:lastColumn="0" w:noHBand="0" w:noVBand="1"/>
      </w:tblPr>
      <w:tblGrid>
        <w:gridCol w:w="4625"/>
        <w:gridCol w:w="3880"/>
      </w:tblGrid>
      <w:tr w:rsidR="00333601" w:rsidRPr="00BE78CA" w14:paraId="151D1F6D" w14:textId="77777777" w:rsidTr="00C26084">
        <w:trPr>
          <w:tblHeader/>
        </w:trPr>
        <w:tc>
          <w:tcPr>
            <w:tcW w:w="4625" w:type="dxa"/>
            <w:tcBorders>
              <w:top w:val="single" w:sz="4" w:space="0" w:color="365F91"/>
              <w:bottom w:val="single" w:sz="4" w:space="0" w:color="365F91"/>
            </w:tcBorders>
            <w:shd w:val="clear" w:color="auto" w:fill="365F91"/>
            <w:noWrap/>
            <w:hideMark/>
          </w:tcPr>
          <w:p w14:paraId="200181D4" w14:textId="77777777" w:rsidR="00333601" w:rsidRPr="00BE78CA" w:rsidRDefault="00333601" w:rsidP="00722FFB">
            <w:pPr>
              <w:pStyle w:val="TableTextBold"/>
              <w:keepNext/>
              <w:spacing w:before="40" w:after="40"/>
              <w:rPr>
                <w:noProof w:val="0"/>
                <w:color w:val="FFFFFF"/>
              </w:rPr>
            </w:pPr>
            <w:r w:rsidRPr="00BE78CA">
              <w:rPr>
                <w:noProof w:val="0"/>
                <w:color w:val="FFFFFF"/>
              </w:rPr>
              <w:t>Variable</w:t>
            </w:r>
          </w:p>
        </w:tc>
        <w:tc>
          <w:tcPr>
            <w:tcW w:w="3880" w:type="dxa"/>
            <w:tcBorders>
              <w:top w:val="single" w:sz="4" w:space="0" w:color="365F91"/>
              <w:bottom w:val="single" w:sz="4" w:space="0" w:color="365F91"/>
            </w:tcBorders>
            <w:shd w:val="clear" w:color="auto" w:fill="365F91"/>
            <w:noWrap/>
            <w:hideMark/>
          </w:tcPr>
          <w:p w14:paraId="74DE7436" w14:textId="77777777" w:rsidR="00333601" w:rsidRPr="00BE78CA" w:rsidRDefault="00333601" w:rsidP="00722FFB">
            <w:pPr>
              <w:pStyle w:val="TableTextBold"/>
              <w:keepNext/>
              <w:spacing w:before="40" w:after="40"/>
              <w:jc w:val="center"/>
              <w:rPr>
                <w:noProof w:val="0"/>
                <w:color w:val="FFFFFF"/>
              </w:rPr>
            </w:pPr>
            <w:r w:rsidRPr="00BE78CA">
              <w:rPr>
                <w:noProof w:val="0"/>
                <w:color w:val="FFFFFF"/>
              </w:rPr>
              <w:t>Uncertainty at a 95% confidence interval (%)</w:t>
            </w:r>
          </w:p>
        </w:tc>
      </w:tr>
      <w:tr w:rsidR="00333601" w:rsidRPr="00BE78CA" w14:paraId="5A96B9DA" w14:textId="77777777" w:rsidTr="00C26084">
        <w:tc>
          <w:tcPr>
            <w:tcW w:w="4625" w:type="dxa"/>
            <w:tcBorders>
              <w:top w:val="single" w:sz="4" w:space="0" w:color="365F91"/>
              <w:bottom w:val="single" w:sz="4" w:space="0" w:color="365F91"/>
            </w:tcBorders>
            <w:noWrap/>
            <w:hideMark/>
          </w:tcPr>
          <w:p w14:paraId="194B49FA" w14:textId="77777777" w:rsidR="00333601" w:rsidRPr="00BE78CA" w:rsidRDefault="00333601" w:rsidP="00722FFB">
            <w:pPr>
              <w:pStyle w:val="TableTextBold"/>
              <w:keepNext/>
              <w:spacing w:before="40" w:after="40"/>
              <w:rPr>
                <w:noProof w:val="0"/>
              </w:rPr>
            </w:pPr>
            <w:r w:rsidRPr="00BE78CA">
              <w:rPr>
                <w:noProof w:val="0"/>
              </w:rPr>
              <w:t>Activity data</w:t>
            </w:r>
          </w:p>
        </w:tc>
        <w:tc>
          <w:tcPr>
            <w:tcW w:w="3880" w:type="dxa"/>
            <w:tcBorders>
              <w:top w:val="single" w:sz="4" w:space="0" w:color="365F91"/>
              <w:bottom w:val="single" w:sz="4" w:space="0" w:color="365F91"/>
            </w:tcBorders>
            <w:noWrap/>
            <w:hideMark/>
          </w:tcPr>
          <w:p w14:paraId="7861CA31" w14:textId="77777777" w:rsidR="00333601" w:rsidRPr="00BE78CA" w:rsidRDefault="00333601" w:rsidP="00722FFB">
            <w:pPr>
              <w:pStyle w:val="TableTextBold"/>
              <w:keepNext/>
              <w:spacing w:before="40" w:after="40"/>
              <w:rPr>
                <w:noProof w:val="0"/>
              </w:rPr>
            </w:pPr>
          </w:p>
        </w:tc>
      </w:tr>
      <w:tr w:rsidR="00333601" w:rsidRPr="00BE78CA" w14:paraId="1EF06F1B" w14:textId="77777777" w:rsidTr="00C26084">
        <w:tc>
          <w:tcPr>
            <w:tcW w:w="4625" w:type="dxa"/>
            <w:tcBorders>
              <w:top w:val="single" w:sz="4" w:space="0" w:color="365F91"/>
              <w:bottom w:val="single" w:sz="4" w:space="0" w:color="365F91"/>
            </w:tcBorders>
            <w:noWrap/>
            <w:hideMark/>
          </w:tcPr>
          <w:p w14:paraId="6364CA5E" w14:textId="77777777" w:rsidR="00333601" w:rsidRPr="00BE78CA" w:rsidRDefault="00333601" w:rsidP="00722FFB">
            <w:pPr>
              <w:pStyle w:val="TableText"/>
              <w:keepNext/>
              <w:spacing w:before="40" w:after="40"/>
            </w:pPr>
            <w:r w:rsidRPr="00BE78CA">
              <w:t>Uncertainty in land area</w:t>
            </w:r>
          </w:p>
        </w:tc>
        <w:tc>
          <w:tcPr>
            <w:tcW w:w="3880" w:type="dxa"/>
            <w:tcBorders>
              <w:top w:val="single" w:sz="4" w:space="0" w:color="365F91"/>
              <w:bottom w:val="single" w:sz="4" w:space="0" w:color="365F91"/>
            </w:tcBorders>
            <w:noWrap/>
            <w:hideMark/>
          </w:tcPr>
          <w:p w14:paraId="2CB460C0" w14:textId="77777777" w:rsidR="00333601" w:rsidRPr="00BE78CA" w:rsidRDefault="00333601" w:rsidP="00722FFB">
            <w:pPr>
              <w:pStyle w:val="TableText"/>
              <w:keepNext/>
              <w:spacing w:before="40" w:after="40"/>
              <w:jc w:val="center"/>
            </w:pPr>
            <w:r w:rsidRPr="00BE78CA">
              <w:t>±5.0</w:t>
            </w:r>
          </w:p>
        </w:tc>
      </w:tr>
      <w:tr w:rsidR="00333601" w:rsidRPr="00BE78CA" w14:paraId="3C6DC4F1" w14:textId="77777777" w:rsidTr="00C26084">
        <w:tc>
          <w:tcPr>
            <w:tcW w:w="4625" w:type="dxa"/>
            <w:tcBorders>
              <w:top w:val="single" w:sz="4" w:space="0" w:color="365F91"/>
              <w:bottom w:val="single" w:sz="4" w:space="0" w:color="365F91"/>
            </w:tcBorders>
            <w:noWrap/>
            <w:hideMark/>
          </w:tcPr>
          <w:p w14:paraId="08E331FC" w14:textId="77777777" w:rsidR="00333601" w:rsidRPr="00BE78CA" w:rsidRDefault="00333601" w:rsidP="00722FFB">
            <w:pPr>
              <w:pStyle w:val="TableTextBold"/>
              <w:keepNext/>
              <w:spacing w:before="40" w:after="40"/>
              <w:rPr>
                <w:noProof w:val="0"/>
              </w:rPr>
            </w:pPr>
            <w:r w:rsidRPr="00BE78CA">
              <w:rPr>
                <w:noProof w:val="0"/>
              </w:rPr>
              <w:t>Emission factors</w:t>
            </w:r>
          </w:p>
        </w:tc>
        <w:tc>
          <w:tcPr>
            <w:tcW w:w="3880" w:type="dxa"/>
            <w:tcBorders>
              <w:top w:val="single" w:sz="4" w:space="0" w:color="365F91"/>
              <w:bottom w:val="single" w:sz="4" w:space="0" w:color="365F91"/>
            </w:tcBorders>
            <w:noWrap/>
            <w:hideMark/>
          </w:tcPr>
          <w:p w14:paraId="0F01357D" w14:textId="77777777" w:rsidR="00333601" w:rsidRPr="00BE78CA" w:rsidRDefault="00333601" w:rsidP="00722FFB">
            <w:pPr>
              <w:pStyle w:val="TableTextBold"/>
              <w:keepNext/>
              <w:spacing w:before="40" w:after="40"/>
              <w:jc w:val="center"/>
              <w:rPr>
                <w:noProof w:val="0"/>
              </w:rPr>
            </w:pPr>
          </w:p>
        </w:tc>
      </w:tr>
      <w:tr w:rsidR="00333601" w:rsidRPr="00BE78CA" w14:paraId="70980C02" w14:textId="77777777" w:rsidTr="00C26084">
        <w:tc>
          <w:tcPr>
            <w:tcW w:w="4625" w:type="dxa"/>
            <w:tcBorders>
              <w:top w:val="single" w:sz="4" w:space="0" w:color="365F91"/>
              <w:bottom w:val="single" w:sz="4" w:space="0" w:color="365F91"/>
            </w:tcBorders>
            <w:noWrap/>
            <w:hideMark/>
          </w:tcPr>
          <w:p w14:paraId="5A2924CB" w14:textId="77777777" w:rsidR="00333601" w:rsidRPr="00BE78CA" w:rsidRDefault="00333601" w:rsidP="00722FFB">
            <w:pPr>
              <w:pStyle w:val="TableText"/>
              <w:keepNext/>
              <w:spacing w:before="40" w:after="40"/>
            </w:pPr>
            <w:r w:rsidRPr="00BE78CA">
              <w:t>Uncertainty in planted forest biomass carbon stocks (losses)</w:t>
            </w:r>
          </w:p>
        </w:tc>
        <w:tc>
          <w:tcPr>
            <w:tcW w:w="3880" w:type="dxa"/>
            <w:tcBorders>
              <w:top w:val="single" w:sz="4" w:space="0" w:color="365F91"/>
              <w:bottom w:val="single" w:sz="4" w:space="0" w:color="365F91"/>
            </w:tcBorders>
            <w:noWrap/>
            <w:hideMark/>
          </w:tcPr>
          <w:p w14:paraId="77757861" w14:textId="77777777" w:rsidR="00333601" w:rsidRPr="00BE78CA" w:rsidRDefault="00333601" w:rsidP="00722FFB">
            <w:pPr>
              <w:pStyle w:val="TableText"/>
              <w:keepNext/>
              <w:spacing w:before="40" w:after="40"/>
              <w:jc w:val="center"/>
            </w:pPr>
            <w:r w:rsidRPr="00BE78CA">
              <w:t>±21.9</w:t>
            </w:r>
          </w:p>
        </w:tc>
      </w:tr>
      <w:tr w:rsidR="00333601" w:rsidRPr="00BE78CA" w14:paraId="7E70DA93" w14:textId="77777777" w:rsidTr="00C26084">
        <w:tc>
          <w:tcPr>
            <w:tcW w:w="4625" w:type="dxa"/>
            <w:tcBorders>
              <w:top w:val="single" w:sz="4" w:space="0" w:color="365F91"/>
              <w:bottom w:val="single" w:sz="4" w:space="0" w:color="365F91"/>
            </w:tcBorders>
            <w:noWrap/>
          </w:tcPr>
          <w:p w14:paraId="1411A2CA" w14:textId="77777777" w:rsidR="00333601" w:rsidRPr="00BE78CA" w:rsidRDefault="00333601" w:rsidP="00722FFB">
            <w:pPr>
              <w:pStyle w:val="TableText"/>
              <w:spacing w:before="40" w:after="40"/>
            </w:pPr>
            <w:r w:rsidRPr="00BE78CA">
              <w:t>Uncertainty in planted forest biomass carbon stock change (gains)</w:t>
            </w:r>
          </w:p>
        </w:tc>
        <w:tc>
          <w:tcPr>
            <w:tcW w:w="3880" w:type="dxa"/>
            <w:tcBorders>
              <w:top w:val="single" w:sz="4" w:space="0" w:color="365F91"/>
              <w:bottom w:val="single" w:sz="4" w:space="0" w:color="365F91"/>
            </w:tcBorders>
            <w:noWrap/>
          </w:tcPr>
          <w:p w14:paraId="039ECED1" w14:textId="77777777" w:rsidR="00333601" w:rsidRPr="00BE78CA" w:rsidRDefault="00333601" w:rsidP="00722FFB">
            <w:pPr>
              <w:pStyle w:val="TableText"/>
              <w:spacing w:before="40" w:after="40"/>
              <w:jc w:val="center"/>
            </w:pPr>
            <w:r w:rsidRPr="00BE78CA">
              <w:t>±27.1</w:t>
            </w:r>
          </w:p>
        </w:tc>
      </w:tr>
      <w:tr w:rsidR="00333601" w:rsidRPr="00BE78CA" w14:paraId="7F6A6A40" w14:textId="77777777" w:rsidTr="00C26084">
        <w:tc>
          <w:tcPr>
            <w:tcW w:w="4625" w:type="dxa"/>
            <w:tcBorders>
              <w:top w:val="single" w:sz="4" w:space="0" w:color="365F91"/>
              <w:bottom w:val="single" w:sz="4" w:space="0" w:color="365F91"/>
            </w:tcBorders>
            <w:noWrap/>
          </w:tcPr>
          <w:p w14:paraId="4A7E3183" w14:textId="77777777" w:rsidR="00333601" w:rsidRPr="00BE78CA" w:rsidRDefault="00333601" w:rsidP="00722FFB">
            <w:pPr>
              <w:pStyle w:val="TableText"/>
              <w:spacing w:before="40" w:after="40"/>
            </w:pPr>
            <w:r w:rsidRPr="00BE78CA">
              <w:t>Uncertainty in unstocked forest biomass carbon stocks</w:t>
            </w:r>
          </w:p>
        </w:tc>
        <w:tc>
          <w:tcPr>
            <w:tcW w:w="3880" w:type="dxa"/>
            <w:tcBorders>
              <w:top w:val="single" w:sz="4" w:space="0" w:color="365F91"/>
              <w:bottom w:val="single" w:sz="4" w:space="0" w:color="365F91"/>
            </w:tcBorders>
            <w:noWrap/>
          </w:tcPr>
          <w:p w14:paraId="663E4F05" w14:textId="77777777" w:rsidR="00333601" w:rsidRPr="00BE78CA" w:rsidRDefault="00333601" w:rsidP="00722FFB">
            <w:pPr>
              <w:pStyle w:val="TableText"/>
              <w:spacing w:before="40" w:after="40"/>
              <w:jc w:val="center"/>
            </w:pPr>
            <w:r w:rsidRPr="00BE78CA">
              <w:t>±146.0</w:t>
            </w:r>
          </w:p>
        </w:tc>
      </w:tr>
      <w:tr w:rsidR="00333601" w:rsidRPr="00BE78CA" w14:paraId="045E9AD9" w14:textId="77777777" w:rsidTr="00C26084">
        <w:tc>
          <w:tcPr>
            <w:tcW w:w="4625" w:type="dxa"/>
            <w:tcBorders>
              <w:top w:val="single" w:sz="4" w:space="0" w:color="365F91"/>
              <w:bottom w:val="single" w:sz="4" w:space="0" w:color="365F91"/>
            </w:tcBorders>
            <w:noWrap/>
            <w:hideMark/>
          </w:tcPr>
          <w:p w14:paraId="307B079F" w14:textId="77777777" w:rsidR="00333601" w:rsidRPr="00BE78CA" w:rsidRDefault="00333601" w:rsidP="00722FFB">
            <w:pPr>
              <w:pStyle w:val="TableText"/>
              <w:spacing w:before="40" w:after="40"/>
            </w:pPr>
            <w:r w:rsidRPr="00BE78CA">
              <w:t>Uncertainty in riparian forest biomass carbon stocks</w:t>
            </w:r>
          </w:p>
        </w:tc>
        <w:tc>
          <w:tcPr>
            <w:tcW w:w="3880" w:type="dxa"/>
            <w:tcBorders>
              <w:top w:val="single" w:sz="4" w:space="0" w:color="365F91"/>
              <w:bottom w:val="single" w:sz="4" w:space="0" w:color="365F91"/>
            </w:tcBorders>
            <w:noWrap/>
            <w:hideMark/>
          </w:tcPr>
          <w:p w14:paraId="7AE027AA" w14:textId="77777777" w:rsidR="00333601" w:rsidRPr="00BE78CA" w:rsidRDefault="00333601" w:rsidP="00722FFB">
            <w:pPr>
              <w:pStyle w:val="TableText"/>
              <w:spacing w:before="40" w:after="40"/>
              <w:jc w:val="center"/>
            </w:pPr>
            <w:r w:rsidRPr="00BE78CA">
              <w:t>±75.0</w:t>
            </w:r>
          </w:p>
        </w:tc>
      </w:tr>
      <w:tr w:rsidR="00333601" w:rsidRPr="00BE78CA" w14:paraId="1E6A5909" w14:textId="77777777" w:rsidTr="00C26084">
        <w:tc>
          <w:tcPr>
            <w:tcW w:w="4625" w:type="dxa"/>
            <w:tcBorders>
              <w:top w:val="single" w:sz="4" w:space="0" w:color="365F91"/>
              <w:bottom w:val="single" w:sz="4" w:space="0" w:color="365F91"/>
            </w:tcBorders>
            <w:noWrap/>
          </w:tcPr>
          <w:p w14:paraId="3C673480" w14:textId="77777777" w:rsidR="00333601" w:rsidRPr="00BE78CA" w:rsidRDefault="00333601" w:rsidP="00722FFB">
            <w:pPr>
              <w:pStyle w:val="TableText"/>
              <w:spacing w:before="40" w:after="40"/>
            </w:pPr>
            <w:r w:rsidRPr="00BE78CA">
              <w:t>Uncertainty in soil carbon stocks</w:t>
            </w:r>
          </w:p>
        </w:tc>
        <w:tc>
          <w:tcPr>
            <w:tcW w:w="3880" w:type="dxa"/>
            <w:tcBorders>
              <w:top w:val="single" w:sz="4" w:space="0" w:color="365F91"/>
              <w:bottom w:val="single" w:sz="4" w:space="0" w:color="365F91"/>
            </w:tcBorders>
            <w:noWrap/>
          </w:tcPr>
          <w:p w14:paraId="5E55D8C8" w14:textId="77777777" w:rsidR="00333601" w:rsidRPr="00BE78CA" w:rsidRDefault="00333601" w:rsidP="00722FFB">
            <w:pPr>
              <w:pStyle w:val="TableText"/>
              <w:spacing w:before="40" w:after="40"/>
              <w:jc w:val="center"/>
            </w:pPr>
            <w:r w:rsidRPr="00BE78CA">
              <w:t>±12.3</w:t>
            </w:r>
          </w:p>
        </w:tc>
      </w:tr>
      <w:tr w:rsidR="00333601" w:rsidRPr="00BE78CA" w14:paraId="52F5AF7E" w14:textId="77777777" w:rsidTr="00C26084">
        <w:tc>
          <w:tcPr>
            <w:tcW w:w="4625" w:type="dxa"/>
            <w:tcBorders>
              <w:top w:val="single" w:sz="4" w:space="0" w:color="365F91"/>
              <w:bottom w:val="single" w:sz="4" w:space="0" w:color="365F91"/>
            </w:tcBorders>
            <w:noWrap/>
            <w:hideMark/>
          </w:tcPr>
          <w:p w14:paraId="70E662B7" w14:textId="77777777" w:rsidR="00333601" w:rsidRPr="00BE78CA" w:rsidRDefault="00333601" w:rsidP="00722FFB">
            <w:pPr>
              <w:pStyle w:val="Tableboldblue"/>
              <w:spacing w:before="40" w:after="40"/>
            </w:pPr>
            <w:r w:rsidRPr="00BE78CA">
              <w:t>Uncertainty introduced into net emissions for LULUCF</w:t>
            </w:r>
          </w:p>
        </w:tc>
        <w:tc>
          <w:tcPr>
            <w:tcW w:w="3880" w:type="dxa"/>
            <w:tcBorders>
              <w:top w:val="single" w:sz="4" w:space="0" w:color="365F91"/>
              <w:bottom w:val="single" w:sz="4" w:space="0" w:color="365F91"/>
            </w:tcBorders>
            <w:noWrap/>
            <w:hideMark/>
          </w:tcPr>
          <w:p w14:paraId="51660C60" w14:textId="77777777" w:rsidR="00333601" w:rsidRPr="00BE78CA" w:rsidRDefault="00333601" w:rsidP="00722FFB">
            <w:pPr>
              <w:pStyle w:val="Tableboldblue"/>
              <w:spacing w:before="40" w:after="40"/>
              <w:jc w:val="center"/>
            </w:pPr>
            <w:r w:rsidRPr="00BE78CA">
              <w:t>±61.4</w:t>
            </w:r>
          </w:p>
        </w:tc>
      </w:tr>
    </w:tbl>
    <w:p w14:paraId="365A4ED7" w14:textId="77777777" w:rsidR="00333601" w:rsidRPr="00BE78CA" w:rsidRDefault="00333601" w:rsidP="00FC18F3">
      <w:pPr>
        <w:pStyle w:val="Noteundertable"/>
        <w:spacing w:before="80" w:after="0"/>
      </w:pPr>
      <w:r w:rsidRPr="00BE78CA">
        <w:rPr>
          <w:b/>
        </w:rPr>
        <w:t>Note:</w:t>
      </w:r>
      <w:r w:rsidRPr="00BE78CA">
        <w:tab/>
        <w:t xml:space="preserve">Land area includes land in transition in 2019. The activity data and combined emission factor uncertainty are weighted values and have been calculated using equations 3.1 and 3.2 from IPCC General Guidance and Reporting (IPCC, 2006b). </w:t>
      </w:r>
    </w:p>
    <w:p w14:paraId="418F4E52" w14:textId="77777777" w:rsidR="00333601" w:rsidRPr="00BE78CA" w:rsidRDefault="00333601" w:rsidP="00333601">
      <w:pPr>
        <w:pStyle w:val="Heading5"/>
      </w:pPr>
      <w:bookmarkStart w:id="1909" w:name="_Toc249147598"/>
      <w:bookmarkStart w:id="1910" w:name="_Toc255466357"/>
      <w:bookmarkStart w:id="1911" w:name="_Toc261513164"/>
      <w:bookmarkStart w:id="1912" w:name="_Toc261513777"/>
      <w:bookmarkStart w:id="1913" w:name="_Toc280630257"/>
      <w:r w:rsidRPr="00BE78CA">
        <w:t>Post-1989 natural forest</w:t>
      </w:r>
      <w:bookmarkEnd w:id="1909"/>
      <w:bookmarkEnd w:id="1910"/>
      <w:bookmarkEnd w:id="1911"/>
      <w:bookmarkEnd w:id="1912"/>
      <w:bookmarkEnd w:id="1913"/>
    </w:p>
    <w:p w14:paraId="31BC6CD1" w14:textId="77777777" w:rsidR="00333601" w:rsidRPr="00BE78CA" w:rsidRDefault="00333601" w:rsidP="00FC18F3">
      <w:pPr>
        <w:pStyle w:val="BodyText"/>
        <w:spacing w:before="80" w:after="100"/>
      </w:pPr>
      <w:r w:rsidRPr="00BE78CA">
        <w:t>The uncertainty in mapping post-1989 natural forest is ±8.0 per cent (see table 6.4.9). Uncertainties for post-1989 natural forest are given at the 95 per cent confidence level. Further details are given in section 6.2.5.</w:t>
      </w:r>
    </w:p>
    <w:p w14:paraId="24A75D47" w14:textId="77777777" w:rsidR="00333601" w:rsidRPr="00BE78CA" w:rsidRDefault="00333601" w:rsidP="00333601">
      <w:pPr>
        <w:pStyle w:val="BodyText"/>
        <w:spacing w:before="100" w:after="100"/>
      </w:pPr>
      <w:r w:rsidRPr="00BE78CA">
        <w:t>The average carbon stock per hectare post-1989 natural forest is estimated to be 38.55 ± 10.23 tonnes C ha</w:t>
      </w:r>
      <w:r w:rsidRPr="00BE78CA">
        <w:rPr>
          <w:vertAlign w:val="superscript"/>
        </w:rPr>
        <w:t>–1</w:t>
      </w:r>
      <w:r w:rsidRPr="00BE78CA">
        <w:t xml:space="preserve"> in 2019, with an associated uncertainty of ±27.5 per cent. The average carbon stock change per hectare in post-1989 natural forest is estimated to be 2.48 ± 1.1 tonnes C ha</w:t>
      </w:r>
      <w:r w:rsidRPr="00BE78CA">
        <w:rPr>
          <w:vertAlign w:val="superscript"/>
        </w:rPr>
        <w:t>–1</w:t>
      </w:r>
      <w:r w:rsidRPr="00BE78CA">
        <w:t xml:space="preserve"> yr</w:t>
      </w:r>
      <w:r w:rsidRPr="00BE78CA">
        <w:rPr>
          <w:vertAlign w:val="superscript"/>
        </w:rPr>
        <w:t>–1</w:t>
      </w:r>
      <w:r w:rsidRPr="00BE78CA">
        <w:t>, with an associated uncertainty of ±27.5 per cent. The uncertainty in carbon stocks is applied to losses from deforestation, while the uncertainty in carbon stock change is applied to carbon gains from forest growth. The uncertainty in the estimates of post-1989 natural forest for the 2021 submission is provided in table 6.4.9.</w:t>
      </w:r>
    </w:p>
    <w:p w14:paraId="43B22DFB" w14:textId="77777777" w:rsidR="00333601" w:rsidRPr="00BE78CA" w:rsidRDefault="00333601" w:rsidP="00333601">
      <w:pPr>
        <w:pStyle w:val="Table"/>
      </w:pPr>
      <w:bookmarkStart w:id="1914" w:name="_Toc65243600"/>
      <w:bookmarkStart w:id="1915" w:name="_Toc68786490"/>
      <w:r w:rsidRPr="00BE78CA">
        <w:t xml:space="preserve">Table 6.4.9 </w:t>
      </w:r>
      <w:r w:rsidRPr="00BE78CA">
        <w:tab/>
        <w:t xml:space="preserve">Uncertainty in New Zealand’s 2019 estimates from post-1989 natural forest </w:t>
      </w:r>
      <w:r w:rsidRPr="00BE78CA">
        <w:br/>
        <w:t>(including land in transition)</w:t>
      </w:r>
      <w:bookmarkEnd w:id="1914"/>
      <w:bookmarkEnd w:id="1915"/>
    </w:p>
    <w:tbl>
      <w:tblPr>
        <w:tblW w:w="8448" w:type="dxa"/>
        <w:tblInd w:w="57" w:type="dxa"/>
        <w:tblLook w:val="04A0" w:firstRow="1" w:lastRow="0" w:firstColumn="1" w:lastColumn="0" w:noHBand="0" w:noVBand="1"/>
      </w:tblPr>
      <w:tblGrid>
        <w:gridCol w:w="4669"/>
        <w:gridCol w:w="3836"/>
      </w:tblGrid>
      <w:tr w:rsidR="00333601" w:rsidRPr="00BE78CA" w14:paraId="024A1A0F" w14:textId="77777777" w:rsidTr="00C26084">
        <w:tc>
          <w:tcPr>
            <w:tcW w:w="4669" w:type="dxa"/>
            <w:tcBorders>
              <w:top w:val="single" w:sz="4" w:space="0" w:color="365F91"/>
              <w:bottom w:val="single" w:sz="4" w:space="0" w:color="365F91"/>
            </w:tcBorders>
            <w:shd w:val="clear" w:color="auto" w:fill="365F91"/>
            <w:noWrap/>
            <w:hideMark/>
          </w:tcPr>
          <w:p w14:paraId="259AD113" w14:textId="77777777" w:rsidR="00333601" w:rsidRPr="00BE78CA" w:rsidRDefault="00333601" w:rsidP="00FC18F3">
            <w:pPr>
              <w:pStyle w:val="TableTextBold"/>
              <w:keepNext/>
              <w:spacing w:before="40" w:after="40"/>
              <w:rPr>
                <w:noProof w:val="0"/>
                <w:color w:val="FFFFFF"/>
              </w:rPr>
            </w:pPr>
            <w:r w:rsidRPr="00BE78CA">
              <w:rPr>
                <w:noProof w:val="0"/>
                <w:color w:val="FFFFFF"/>
              </w:rPr>
              <w:t>Variable</w:t>
            </w:r>
          </w:p>
        </w:tc>
        <w:tc>
          <w:tcPr>
            <w:tcW w:w="3836" w:type="dxa"/>
            <w:tcBorders>
              <w:top w:val="single" w:sz="4" w:space="0" w:color="365F91"/>
              <w:bottom w:val="single" w:sz="4" w:space="0" w:color="365F91"/>
            </w:tcBorders>
            <w:shd w:val="clear" w:color="auto" w:fill="365F91"/>
            <w:noWrap/>
            <w:hideMark/>
          </w:tcPr>
          <w:p w14:paraId="3F53860B" w14:textId="77777777" w:rsidR="00333601" w:rsidRPr="00BE78CA" w:rsidRDefault="00333601" w:rsidP="00FC18F3">
            <w:pPr>
              <w:pStyle w:val="TableTextBold"/>
              <w:keepNext/>
              <w:spacing w:before="40" w:after="40"/>
              <w:jc w:val="center"/>
              <w:rPr>
                <w:noProof w:val="0"/>
                <w:color w:val="FFFFFF"/>
              </w:rPr>
            </w:pPr>
            <w:r w:rsidRPr="00BE78CA">
              <w:rPr>
                <w:noProof w:val="0"/>
                <w:color w:val="FFFFFF"/>
              </w:rPr>
              <w:t>Uncertainty at a 95% confidence interval (%)</w:t>
            </w:r>
          </w:p>
        </w:tc>
      </w:tr>
      <w:tr w:rsidR="00333601" w:rsidRPr="00BE78CA" w14:paraId="3E1EB241" w14:textId="77777777" w:rsidTr="00C26084">
        <w:tc>
          <w:tcPr>
            <w:tcW w:w="4669" w:type="dxa"/>
            <w:tcBorders>
              <w:top w:val="single" w:sz="4" w:space="0" w:color="365F91"/>
              <w:bottom w:val="single" w:sz="4" w:space="0" w:color="365F91"/>
            </w:tcBorders>
            <w:noWrap/>
            <w:hideMark/>
          </w:tcPr>
          <w:p w14:paraId="6FD65E8E" w14:textId="77777777" w:rsidR="00333601" w:rsidRPr="00BE78CA" w:rsidRDefault="00333601" w:rsidP="00FC18F3">
            <w:pPr>
              <w:pStyle w:val="TableTextBold"/>
              <w:keepNext/>
              <w:spacing w:before="40" w:after="40"/>
              <w:rPr>
                <w:noProof w:val="0"/>
              </w:rPr>
            </w:pPr>
            <w:r w:rsidRPr="00BE78CA">
              <w:rPr>
                <w:noProof w:val="0"/>
              </w:rPr>
              <w:t>Activity data</w:t>
            </w:r>
          </w:p>
        </w:tc>
        <w:tc>
          <w:tcPr>
            <w:tcW w:w="3836" w:type="dxa"/>
            <w:tcBorders>
              <w:top w:val="single" w:sz="4" w:space="0" w:color="365F91"/>
              <w:bottom w:val="single" w:sz="4" w:space="0" w:color="365F91"/>
            </w:tcBorders>
            <w:noWrap/>
            <w:hideMark/>
          </w:tcPr>
          <w:p w14:paraId="0DF654C5" w14:textId="77777777" w:rsidR="00333601" w:rsidRPr="00BE78CA" w:rsidRDefault="00333601" w:rsidP="00FC18F3">
            <w:pPr>
              <w:pStyle w:val="TableTextBold"/>
              <w:keepNext/>
              <w:tabs>
                <w:tab w:val="decimal" w:pos="373"/>
              </w:tabs>
              <w:spacing w:before="40" w:after="40"/>
              <w:jc w:val="center"/>
              <w:rPr>
                <w:noProof w:val="0"/>
              </w:rPr>
            </w:pPr>
          </w:p>
        </w:tc>
      </w:tr>
      <w:tr w:rsidR="00333601" w:rsidRPr="00BE78CA" w14:paraId="099B679F" w14:textId="77777777" w:rsidTr="00C26084">
        <w:tc>
          <w:tcPr>
            <w:tcW w:w="4669" w:type="dxa"/>
            <w:tcBorders>
              <w:top w:val="single" w:sz="4" w:space="0" w:color="365F91"/>
              <w:bottom w:val="single" w:sz="4" w:space="0" w:color="365F91"/>
            </w:tcBorders>
            <w:noWrap/>
            <w:hideMark/>
          </w:tcPr>
          <w:p w14:paraId="3AA9334B" w14:textId="77777777" w:rsidR="00333601" w:rsidRPr="00BE78CA" w:rsidRDefault="00333601" w:rsidP="00FC18F3">
            <w:pPr>
              <w:pStyle w:val="TableText"/>
              <w:keepNext/>
              <w:spacing w:before="40" w:after="40"/>
            </w:pPr>
            <w:r w:rsidRPr="00BE78CA">
              <w:t>Uncertainty in land area</w:t>
            </w:r>
          </w:p>
        </w:tc>
        <w:tc>
          <w:tcPr>
            <w:tcW w:w="3836" w:type="dxa"/>
            <w:tcBorders>
              <w:top w:val="single" w:sz="4" w:space="0" w:color="365F91"/>
              <w:bottom w:val="single" w:sz="4" w:space="0" w:color="365F91"/>
            </w:tcBorders>
            <w:noWrap/>
            <w:hideMark/>
          </w:tcPr>
          <w:p w14:paraId="08218942" w14:textId="77777777" w:rsidR="00333601" w:rsidRPr="00BE78CA" w:rsidRDefault="00333601" w:rsidP="00FC18F3">
            <w:pPr>
              <w:pStyle w:val="TableText"/>
              <w:keepNext/>
              <w:tabs>
                <w:tab w:val="decimal" w:pos="401"/>
              </w:tabs>
              <w:spacing w:before="40" w:after="40"/>
              <w:jc w:val="center"/>
              <w:rPr>
                <w:szCs w:val="16"/>
              </w:rPr>
            </w:pPr>
            <w:r w:rsidRPr="00BE78CA">
              <w:rPr>
                <w:szCs w:val="16"/>
              </w:rPr>
              <w:t>±8.0</w:t>
            </w:r>
          </w:p>
        </w:tc>
      </w:tr>
      <w:tr w:rsidR="00333601" w:rsidRPr="00BE78CA" w14:paraId="75775813" w14:textId="77777777" w:rsidTr="00C26084">
        <w:tc>
          <w:tcPr>
            <w:tcW w:w="4669" w:type="dxa"/>
            <w:tcBorders>
              <w:top w:val="single" w:sz="4" w:space="0" w:color="365F91"/>
              <w:bottom w:val="single" w:sz="4" w:space="0" w:color="365F91"/>
            </w:tcBorders>
            <w:noWrap/>
            <w:hideMark/>
          </w:tcPr>
          <w:p w14:paraId="29E2EC8B" w14:textId="77777777" w:rsidR="00333601" w:rsidRPr="00BE78CA" w:rsidRDefault="00333601" w:rsidP="00FC18F3">
            <w:pPr>
              <w:pStyle w:val="TableTextBold"/>
              <w:keepNext/>
              <w:spacing w:before="40" w:after="40"/>
              <w:rPr>
                <w:noProof w:val="0"/>
              </w:rPr>
            </w:pPr>
            <w:r w:rsidRPr="00BE78CA">
              <w:rPr>
                <w:noProof w:val="0"/>
              </w:rPr>
              <w:t>Emission factors</w:t>
            </w:r>
          </w:p>
        </w:tc>
        <w:tc>
          <w:tcPr>
            <w:tcW w:w="3836" w:type="dxa"/>
            <w:tcBorders>
              <w:top w:val="single" w:sz="4" w:space="0" w:color="365F91"/>
              <w:bottom w:val="single" w:sz="4" w:space="0" w:color="365F91"/>
            </w:tcBorders>
            <w:noWrap/>
            <w:hideMark/>
          </w:tcPr>
          <w:p w14:paraId="019969AA" w14:textId="77777777" w:rsidR="00333601" w:rsidRPr="00BE78CA" w:rsidRDefault="00333601" w:rsidP="00FC18F3">
            <w:pPr>
              <w:pStyle w:val="TableTextBold"/>
              <w:keepNext/>
              <w:tabs>
                <w:tab w:val="decimal" w:pos="401"/>
              </w:tabs>
              <w:spacing w:before="40" w:after="40"/>
              <w:jc w:val="center"/>
              <w:rPr>
                <w:noProof w:val="0"/>
                <w:szCs w:val="16"/>
              </w:rPr>
            </w:pPr>
          </w:p>
        </w:tc>
      </w:tr>
      <w:tr w:rsidR="00333601" w:rsidRPr="00BE78CA" w14:paraId="742FD2BE" w14:textId="77777777" w:rsidTr="00C26084">
        <w:tc>
          <w:tcPr>
            <w:tcW w:w="4669" w:type="dxa"/>
            <w:tcBorders>
              <w:top w:val="single" w:sz="4" w:space="0" w:color="365F91"/>
              <w:bottom w:val="single" w:sz="4" w:space="0" w:color="365F91"/>
            </w:tcBorders>
            <w:noWrap/>
            <w:hideMark/>
          </w:tcPr>
          <w:p w14:paraId="7E7ACF61" w14:textId="77777777" w:rsidR="00333601" w:rsidRPr="00BE78CA" w:rsidRDefault="00333601" w:rsidP="00FC18F3">
            <w:pPr>
              <w:pStyle w:val="TableText"/>
              <w:spacing w:before="40" w:after="40"/>
            </w:pPr>
            <w:r w:rsidRPr="00BE78CA">
              <w:t>Uncertainty in biomass carbon stocks (losses)</w:t>
            </w:r>
          </w:p>
        </w:tc>
        <w:tc>
          <w:tcPr>
            <w:tcW w:w="3836" w:type="dxa"/>
            <w:tcBorders>
              <w:top w:val="single" w:sz="4" w:space="0" w:color="365F91"/>
              <w:bottom w:val="single" w:sz="4" w:space="0" w:color="365F91"/>
            </w:tcBorders>
            <w:noWrap/>
            <w:hideMark/>
          </w:tcPr>
          <w:p w14:paraId="4872B8FE" w14:textId="77777777" w:rsidR="00333601" w:rsidRPr="00BE78CA" w:rsidRDefault="00333601" w:rsidP="00FC18F3">
            <w:pPr>
              <w:pStyle w:val="TableText"/>
              <w:tabs>
                <w:tab w:val="decimal" w:pos="401"/>
              </w:tabs>
              <w:spacing w:before="40" w:after="40"/>
              <w:jc w:val="center"/>
              <w:rPr>
                <w:szCs w:val="16"/>
              </w:rPr>
            </w:pPr>
            <w:r w:rsidRPr="00BE78CA">
              <w:rPr>
                <w:szCs w:val="16"/>
              </w:rPr>
              <w:t>±</w:t>
            </w:r>
            <w:r w:rsidRPr="00BE78CA">
              <w:t>27.0</w:t>
            </w:r>
          </w:p>
        </w:tc>
      </w:tr>
      <w:tr w:rsidR="00333601" w:rsidRPr="00BE78CA" w14:paraId="20D73B2F" w14:textId="77777777" w:rsidTr="00C26084">
        <w:tc>
          <w:tcPr>
            <w:tcW w:w="4669" w:type="dxa"/>
            <w:tcBorders>
              <w:top w:val="single" w:sz="4" w:space="0" w:color="365F91"/>
              <w:bottom w:val="single" w:sz="4" w:space="0" w:color="365F91"/>
            </w:tcBorders>
            <w:noWrap/>
            <w:hideMark/>
          </w:tcPr>
          <w:p w14:paraId="69B4C77F" w14:textId="77777777" w:rsidR="00333601" w:rsidRPr="00BE78CA" w:rsidRDefault="00333601" w:rsidP="00FC18F3">
            <w:pPr>
              <w:pStyle w:val="TableText"/>
              <w:spacing w:before="40" w:after="40"/>
            </w:pPr>
            <w:r w:rsidRPr="00BE78CA">
              <w:t>Uncertainty in biomass carbon stock change (gains)</w:t>
            </w:r>
          </w:p>
        </w:tc>
        <w:tc>
          <w:tcPr>
            <w:tcW w:w="3836" w:type="dxa"/>
            <w:tcBorders>
              <w:top w:val="single" w:sz="4" w:space="0" w:color="365F91"/>
              <w:bottom w:val="single" w:sz="4" w:space="0" w:color="365F91"/>
            </w:tcBorders>
            <w:noWrap/>
            <w:hideMark/>
          </w:tcPr>
          <w:p w14:paraId="5756325F" w14:textId="77777777" w:rsidR="00333601" w:rsidRPr="00BE78CA" w:rsidRDefault="00333601" w:rsidP="00FC18F3">
            <w:pPr>
              <w:pStyle w:val="TableText"/>
              <w:tabs>
                <w:tab w:val="decimal" w:pos="401"/>
              </w:tabs>
              <w:spacing w:before="40" w:after="40"/>
              <w:jc w:val="center"/>
              <w:rPr>
                <w:szCs w:val="16"/>
              </w:rPr>
            </w:pPr>
            <w:r w:rsidRPr="00BE78CA">
              <w:rPr>
                <w:szCs w:val="16"/>
              </w:rPr>
              <w:t>±</w:t>
            </w:r>
            <w:r w:rsidRPr="00BE78CA">
              <w:t>44.8</w:t>
            </w:r>
          </w:p>
        </w:tc>
      </w:tr>
      <w:tr w:rsidR="00333601" w:rsidRPr="00BE78CA" w14:paraId="03442F5F" w14:textId="77777777" w:rsidTr="00C26084">
        <w:tc>
          <w:tcPr>
            <w:tcW w:w="4669" w:type="dxa"/>
            <w:tcBorders>
              <w:top w:val="single" w:sz="4" w:space="0" w:color="365F91"/>
              <w:bottom w:val="single" w:sz="4" w:space="0" w:color="365F91"/>
            </w:tcBorders>
            <w:noWrap/>
          </w:tcPr>
          <w:p w14:paraId="7C06374A" w14:textId="77777777" w:rsidR="00333601" w:rsidRPr="00BE78CA" w:rsidRDefault="00333601" w:rsidP="00FC18F3">
            <w:pPr>
              <w:pStyle w:val="TableText"/>
              <w:spacing w:before="40" w:after="40"/>
            </w:pPr>
            <w:r w:rsidRPr="00BE78CA">
              <w:t>Uncertainty in soil carbon stocks</w:t>
            </w:r>
          </w:p>
        </w:tc>
        <w:tc>
          <w:tcPr>
            <w:tcW w:w="3836" w:type="dxa"/>
            <w:tcBorders>
              <w:top w:val="single" w:sz="4" w:space="0" w:color="365F91"/>
              <w:bottom w:val="single" w:sz="4" w:space="0" w:color="365F91"/>
            </w:tcBorders>
            <w:noWrap/>
          </w:tcPr>
          <w:p w14:paraId="1583FB16" w14:textId="77777777" w:rsidR="00333601" w:rsidRPr="00BE78CA" w:rsidRDefault="00333601" w:rsidP="00FC18F3">
            <w:pPr>
              <w:pStyle w:val="TableText"/>
              <w:tabs>
                <w:tab w:val="decimal" w:pos="401"/>
              </w:tabs>
              <w:spacing w:before="40" w:after="40"/>
              <w:jc w:val="center"/>
              <w:rPr>
                <w:szCs w:val="16"/>
              </w:rPr>
            </w:pPr>
            <w:r w:rsidRPr="00BE78CA">
              <w:rPr>
                <w:szCs w:val="16"/>
              </w:rPr>
              <w:t>±</w:t>
            </w:r>
            <w:r w:rsidRPr="00BE78CA">
              <w:t>10.4</w:t>
            </w:r>
          </w:p>
        </w:tc>
      </w:tr>
      <w:tr w:rsidR="00333601" w:rsidRPr="00BE78CA" w14:paraId="3F4BBD61" w14:textId="77777777" w:rsidTr="00C26084">
        <w:tc>
          <w:tcPr>
            <w:tcW w:w="4669" w:type="dxa"/>
            <w:tcBorders>
              <w:top w:val="single" w:sz="4" w:space="0" w:color="365F91"/>
              <w:bottom w:val="single" w:sz="4" w:space="0" w:color="365F91"/>
            </w:tcBorders>
            <w:noWrap/>
            <w:hideMark/>
          </w:tcPr>
          <w:p w14:paraId="69DA01B6" w14:textId="77777777" w:rsidR="00333601" w:rsidRPr="00BE78CA" w:rsidRDefault="00333601" w:rsidP="00FC18F3">
            <w:pPr>
              <w:pStyle w:val="Tableboldblue"/>
              <w:spacing w:before="40" w:after="40"/>
            </w:pPr>
            <w:r w:rsidRPr="00BE78CA">
              <w:t>Uncertainty introduced into net emissions for LULUCF</w:t>
            </w:r>
          </w:p>
        </w:tc>
        <w:tc>
          <w:tcPr>
            <w:tcW w:w="3836" w:type="dxa"/>
            <w:tcBorders>
              <w:top w:val="single" w:sz="4" w:space="0" w:color="365F91"/>
              <w:bottom w:val="single" w:sz="4" w:space="0" w:color="365F91"/>
            </w:tcBorders>
            <w:noWrap/>
            <w:hideMark/>
          </w:tcPr>
          <w:p w14:paraId="6B8097C8" w14:textId="77777777" w:rsidR="00333601" w:rsidRPr="00BE78CA" w:rsidRDefault="00333601" w:rsidP="00FC18F3">
            <w:pPr>
              <w:pStyle w:val="Tableboldblue"/>
              <w:tabs>
                <w:tab w:val="decimal" w:pos="401"/>
              </w:tabs>
              <w:spacing w:before="40" w:after="40"/>
              <w:jc w:val="center"/>
            </w:pPr>
            <w:r w:rsidRPr="00BE78CA">
              <w:rPr>
                <w:szCs w:val="16"/>
              </w:rPr>
              <w:t>±</w:t>
            </w:r>
            <w:r w:rsidRPr="00BE78CA">
              <w:t>0.9</w:t>
            </w:r>
          </w:p>
        </w:tc>
      </w:tr>
    </w:tbl>
    <w:p w14:paraId="57AD1777" w14:textId="77777777" w:rsidR="00333601" w:rsidRPr="00BE78CA" w:rsidRDefault="00333601" w:rsidP="0065144B">
      <w:pPr>
        <w:pStyle w:val="Noteundertable"/>
        <w:spacing w:before="80" w:after="0"/>
      </w:pPr>
      <w:r w:rsidRPr="00BE78CA">
        <w:rPr>
          <w:b/>
        </w:rPr>
        <w:t>Note:</w:t>
      </w:r>
      <w:r w:rsidRPr="00BE78CA">
        <w:rPr>
          <w:i/>
        </w:rPr>
        <w:tab/>
      </w:r>
      <w:r w:rsidRPr="00BE78CA">
        <w:t>Land area includes land in transition in 2019. The activity data and combined emission factor uncertainty are weighted values and have been calculated using equations 3.1 and 3.2 from IPCC General Guidance and Reporting (IPCC, 2006b).</w:t>
      </w:r>
    </w:p>
    <w:p w14:paraId="266A1948" w14:textId="77777777" w:rsidR="00333601" w:rsidRPr="00BE78CA" w:rsidRDefault="00333601" w:rsidP="00333601">
      <w:pPr>
        <w:pStyle w:val="Heading5"/>
      </w:pPr>
      <w:r w:rsidRPr="00BE78CA">
        <w:lastRenderedPageBreak/>
        <w:t>Post-1989 planted forest</w:t>
      </w:r>
    </w:p>
    <w:p w14:paraId="4F58ABF5" w14:textId="77777777" w:rsidR="00333601" w:rsidRPr="00BE78CA" w:rsidRDefault="00333601" w:rsidP="00333601">
      <w:pPr>
        <w:pStyle w:val="BodyText"/>
        <w:keepLines/>
        <w:spacing w:before="80" w:after="100"/>
      </w:pPr>
      <w:r w:rsidRPr="00BE78CA">
        <w:t>The modelling process for post-1989 planted forest is similar to pre-1990 planted forest, and the uncertainty in the modelling process is outlined above. Uncertainties are also given at the 95 per cent confidence interval. Additionally, the Forest Carbon Predictor validation is described in Beets et al. (2011b) and New Zealand’s inventory approach is described in Beets et al. (2011a).</w:t>
      </w:r>
    </w:p>
    <w:p w14:paraId="17C9B6D0" w14:textId="77777777" w:rsidR="00333601" w:rsidRPr="00BE78CA" w:rsidRDefault="00333601" w:rsidP="00333601">
      <w:pPr>
        <w:pStyle w:val="BodyText"/>
        <w:spacing w:after="100"/>
      </w:pPr>
      <w:r w:rsidRPr="00BE78CA">
        <w:t>New Zealand’s post-1989 planted forests were first sampled in 2007 and 2008 and then re</w:t>
      </w:r>
      <w:r w:rsidRPr="00BE78CA">
        <w:noBreakHyphen/>
        <w:t xml:space="preserve">measured in 2011 and 2012. The planted forest inventory shifted from a periodic to a continuous inventory in 2016. The inventory provides a plot-based estimate of carbon stock within this forest type. </w:t>
      </w:r>
    </w:p>
    <w:p w14:paraId="3077171D" w14:textId="77777777" w:rsidR="00333601" w:rsidRPr="00BE78CA" w:rsidRDefault="00333601" w:rsidP="00333601">
      <w:pPr>
        <w:pStyle w:val="BodyText"/>
        <w:spacing w:after="100"/>
      </w:pPr>
      <w:r w:rsidRPr="00BE78CA">
        <w:t>The uncertainty in carbon losses applied to New Zealand’s post-1989 planted forest biomass carbon stocks is ±20.5 per cent, while the uncertainty in carbon stock change (carbon gains) is ±8.9 per cent (see table 6.4.10). The uncertainty in carbon stocks is applied to carbon losses from harvesting and deforestation and the uncertainty in carbon stock change applies to carbon gains from forest growth. These uncertainty estimates take into account the area-weighted uncertainty in carbon stocks for each age in the yield table (Paul et al., unpublished(d)), and the associated uncertainty in estimating the forest age profile and harvest age profile.</w:t>
      </w:r>
    </w:p>
    <w:p w14:paraId="63BE8D4C" w14:textId="77777777" w:rsidR="00333601" w:rsidRPr="00BE78CA" w:rsidRDefault="00333601" w:rsidP="00333601">
      <w:pPr>
        <w:pStyle w:val="BodyText"/>
      </w:pPr>
      <w:bookmarkStart w:id="1916" w:name="_Toc280630459"/>
      <w:bookmarkStart w:id="1917" w:name="_Toc310423412"/>
      <w:bookmarkStart w:id="1918" w:name="_Toc318362705"/>
      <w:bookmarkStart w:id="1919" w:name="_Toc342470767"/>
      <w:bookmarkStart w:id="1920" w:name="_Toc352505007"/>
      <w:bookmarkStart w:id="1921" w:name="_Toc373395732"/>
      <w:bookmarkStart w:id="1922" w:name="_Toc378853298"/>
      <w:bookmarkStart w:id="1923" w:name="_Toc391024096"/>
      <w:bookmarkStart w:id="1924" w:name="_Toc410028839"/>
      <w:bookmarkStart w:id="1925" w:name="_Toc414531467"/>
      <w:bookmarkStart w:id="1926" w:name="_Toc443645380"/>
      <w:bookmarkStart w:id="1927" w:name="_Toc474914599"/>
      <w:bookmarkStart w:id="1928" w:name="_Toc481751563"/>
      <w:r w:rsidRPr="00BE78CA">
        <w:t xml:space="preserve">The uncertainty in the estimates of post-1989 planted forest for the 2021 submission is provided in table 6.4.10. </w:t>
      </w:r>
    </w:p>
    <w:p w14:paraId="203F8DAE" w14:textId="77777777" w:rsidR="00333601" w:rsidRPr="00BE78CA" w:rsidRDefault="00333601" w:rsidP="00333601">
      <w:pPr>
        <w:pStyle w:val="Table"/>
      </w:pPr>
      <w:bookmarkStart w:id="1929" w:name="_Toc522010620"/>
      <w:bookmarkStart w:id="1930" w:name="_Toc5269525"/>
      <w:bookmarkStart w:id="1931" w:name="_Toc33529399"/>
      <w:bookmarkStart w:id="1932" w:name="_Toc36224605"/>
      <w:bookmarkStart w:id="1933" w:name="_Toc65243601"/>
      <w:bookmarkStart w:id="1934" w:name="_Toc68786491"/>
      <w:r w:rsidRPr="00BE78CA">
        <w:t xml:space="preserve">Table 6.4.10 </w:t>
      </w:r>
      <w:r w:rsidRPr="00BE78CA">
        <w:tab/>
        <w:t>Uncertainty in New Zealand’s 2019 estimates from post-1989 planted forest</w:t>
      </w:r>
      <w:bookmarkEnd w:id="1916"/>
      <w:bookmarkEnd w:id="1917"/>
      <w:bookmarkEnd w:id="1918"/>
      <w:bookmarkEnd w:id="1919"/>
      <w:r w:rsidRPr="00BE78CA">
        <w:t xml:space="preserve"> (including land in transition)</w:t>
      </w:r>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p>
    <w:tbl>
      <w:tblPr>
        <w:tblW w:w="8448" w:type="dxa"/>
        <w:tblInd w:w="57" w:type="dxa"/>
        <w:tblLook w:val="04A0" w:firstRow="1" w:lastRow="0" w:firstColumn="1" w:lastColumn="0" w:noHBand="0" w:noVBand="1"/>
      </w:tblPr>
      <w:tblGrid>
        <w:gridCol w:w="4669"/>
        <w:gridCol w:w="3836"/>
      </w:tblGrid>
      <w:tr w:rsidR="00333601" w:rsidRPr="00BE78CA" w14:paraId="0F2682B5" w14:textId="77777777" w:rsidTr="00C26084">
        <w:tc>
          <w:tcPr>
            <w:tcW w:w="4669" w:type="dxa"/>
            <w:tcBorders>
              <w:top w:val="single" w:sz="4" w:space="0" w:color="365F91"/>
              <w:bottom w:val="single" w:sz="4" w:space="0" w:color="365F91"/>
            </w:tcBorders>
            <w:shd w:val="clear" w:color="auto" w:fill="365F91"/>
            <w:noWrap/>
            <w:hideMark/>
          </w:tcPr>
          <w:p w14:paraId="412B035C" w14:textId="77777777" w:rsidR="00333601" w:rsidRPr="00BE78CA" w:rsidRDefault="00333601" w:rsidP="0065144B">
            <w:pPr>
              <w:pStyle w:val="TableTextBold"/>
              <w:keepNext/>
              <w:spacing w:before="40" w:after="40"/>
              <w:rPr>
                <w:noProof w:val="0"/>
                <w:color w:val="FFFFFF"/>
              </w:rPr>
            </w:pPr>
            <w:bookmarkStart w:id="1935" w:name="_Hlk57215697"/>
            <w:r w:rsidRPr="00BE78CA">
              <w:rPr>
                <w:noProof w:val="0"/>
                <w:color w:val="FFFFFF"/>
              </w:rPr>
              <w:t>Variable</w:t>
            </w:r>
          </w:p>
        </w:tc>
        <w:tc>
          <w:tcPr>
            <w:tcW w:w="3836" w:type="dxa"/>
            <w:tcBorders>
              <w:top w:val="single" w:sz="4" w:space="0" w:color="365F91"/>
              <w:bottom w:val="single" w:sz="4" w:space="0" w:color="365F91"/>
            </w:tcBorders>
            <w:shd w:val="clear" w:color="auto" w:fill="365F91"/>
            <w:noWrap/>
            <w:hideMark/>
          </w:tcPr>
          <w:p w14:paraId="2A2CAE46" w14:textId="77777777" w:rsidR="00333601" w:rsidRPr="00BE78CA" w:rsidRDefault="00333601" w:rsidP="0065144B">
            <w:pPr>
              <w:pStyle w:val="TableTextBold"/>
              <w:keepNext/>
              <w:spacing w:before="40" w:after="40"/>
              <w:jc w:val="center"/>
              <w:rPr>
                <w:noProof w:val="0"/>
                <w:color w:val="FFFFFF"/>
              </w:rPr>
            </w:pPr>
            <w:r w:rsidRPr="00BE78CA">
              <w:rPr>
                <w:noProof w:val="0"/>
                <w:color w:val="FFFFFF"/>
              </w:rPr>
              <w:t>Uncertainty at a 95% confidence interval (%)</w:t>
            </w:r>
          </w:p>
        </w:tc>
      </w:tr>
      <w:tr w:rsidR="00333601" w:rsidRPr="00BE78CA" w14:paraId="1B22B95C" w14:textId="77777777" w:rsidTr="00C26084">
        <w:tc>
          <w:tcPr>
            <w:tcW w:w="4669" w:type="dxa"/>
            <w:tcBorders>
              <w:top w:val="single" w:sz="4" w:space="0" w:color="365F91"/>
              <w:bottom w:val="single" w:sz="4" w:space="0" w:color="365F91"/>
            </w:tcBorders>
            <w:noWrap/>
            <w:hideMark/>
          </w:tcPr>
          <w:p w14:paraId="537113F9" w14:textId="77777777" w:rsidR="00333601" w:rsidRPr="00BE78CA" w:rsidRDefault="00333601" w:rsidP="0065144B">
            <w:pPr>
              <w:pStyle w:val="TableTextBold"/>
              <w:keepNext/>
              <w:spacing w:before="40" w:after="40"/>
              <w:rPr>
                <w:noProof w:val="0"/>
              </w:rPr>
            </w:pPr>
            <w:r w:rsidRPr="00BE78CA">
              <w:rPr>
                <w:noProof w:val="0"/>
              </w:rPr>
              <w:t>Activity data</w:t>
            </w:r>
          </w:p>
        </w:tc>
        <w:tc>
          <w:tcPr>
            <w:tcW w:w="3836" w:type="dxa"/>
            <w:tcBorders>
              <w:top w:val="single" w:sz="4" w:space="0" w:color="365F91"/>
              <w:bottom w:val="single" w:sz="4" w:space="0" w:color="365F91"/>
            </w:tcBorders>
            <w:noWrap/>
            <w:hideMark/>
          </w:tcPr>
          <w:p w14:paraId="34181678" w14:textId="77777777" w:rsidR="00333601" w:rsidRPr="00BE78CA" w:rsidRDefault="00333601" w:rsidP="0065144B">
            <w:pPr>
              <w:pStyle w:val="TableTextBold"/>
              <w:keepNext/>
              <w:tabs>
                <w:tab w:val="decimal" w:pos="373"/>
              </w:tabs>
              <w:spacing w:before="40" w:after="40"/>
              <w:jc w:val="center"/>
              <w:rPr>
                <w:noProof w:val="0"/>
              </w:rPr>
            </w:pPr>
          </w:p>
        </w:tc>
      </w:tr>
      <w:tr w:rsidR="00333601" w:rsidRPr="00BE78CA" w14:paraId="0FCA0E35" w14:textId="77777777" w:rsidTr="00C26084">
        <w:tc>
          <w:tcPr>
            <w:tcW w:w="4669" w:type="dxa"/>
            <w:tcBorders>
              <w:top w:val="single" w:sz="4" w:space="0" w:color="365F91"/>
              <w:bottom w:val="single" w:sz="4" w:space="0" w:color="365F91"/>
            </w:tcBorders>
            <w:noWrap/>
            <w:hideMark/>
          </w:tcPr>
          <w:p w14:paraId="1E2DC801" w14:textId="77777777" w:rsidR="00333601" w:rsidRPr="00BE78CA" w:rsidRDefault="00333601" w:rsidP="0065144B">
            <w:pPr>
              <w:pStyle w:val="TableText"/>
              <w:keepNext/>
              <w:spacing w:before="40" w:after="40"/>
            </w:pPr>
            <w:r w:rsidRPr="00BE78CA">
              <w:t>Uncertainty in land area</w:t>
            </w:r>
          </w:p>
        </w:tc>
        <w:tc>
          <w:tcPr>
            <w:tcW w:w="3836" w:type="dxa"/>
            <w:tcBorders>
              <w:top w:val="single" w:sz="4" w:space="0" w:color="365F91"/>
              <w:bottom w:val="single" w:sz="4" w:space="0" w:color="365F91"/>
            </w:tcBorders>
            <w:noWrap/>
            <w:hideMark/>
          </w:tcPr>
          <w:p w14:paraId="5D5E9013" w14:textId="77777777" w:rsidR="00333601" w:rsidRPr="00BE78CA" w:rsidRDefault="00333601" w:rsidP="0065144B">
            <w:pPr>
              <w:pStyle w:val="TableText"/>
              <w:keepNext/>
              <w:tabs>
                <w:tab w:val="decimal" w:pos="373"/>
              </w:tabs>
              <w:spacing w:before="40" w:after="40"/>
              <w:jc w:val="center"/>
              <w:rPr>
                <w:szCs w:val="16"/>
              </w:rPr>
            </w:pPr>
            <w:r w:rsidRPr="00BE78CA">
              <w:rPr>
                <w:szCs w:val="16"/>
              </w:rPr>
              <w:t>±8.0</w:t>
            </w:r>
          </w:p>
        </w:tc>
      </w:tr>
      <w:tr w:rsidR="00333601" w:rsidRPr="00BE78CA" w14:paraId="1A79A856" w14:textId="77777777" w:rsidTr="00C26084">
        <w:tc>
          <w:tcPr>
            <w:tcW w:w="4669" w:type="dxa"/>
            <w:tcBorders>
              <w:top w:val="single" w:sz="4" w:space="0" w:color="365F91"/>
              <w:bottom w:val="single" w:sz="4" w:space="0" w:color="365F91"/>
            </w:tcBorders>
            <w:noWrap/>
            <w:hideMark/>
          </w:tcPr>
          <w:p w14:paraId="558FD0E8" w14:textId="77777777" w:rsidR="00333601" w:rsidRPr="00BE78CA" w:rsidRDefault="00333601" w:rsidP="0065144B">
            <w:pPr>
              <w:pStyle w:val="TableTextBold"/>
              <w:keepNext/>
              <w:spacing w:before="40" w:after="40"/>
              <w:rPr>
                <w:noProof w:val="0"/>
              </w:rPr>
            </w:pPr>
            <w:r w:rsidRPr="00BE78CA">
              <w:rPr>
                <w:noProof w:val="0"/>
              </w:rPr>
              <w:t>Emission factors</w:t>
            </w:r>
          </w:p>
        </w:tc>
        <w:tc>
          <w:tcPr>
            <w:tcW w:w="3836" w:type="dxa"/>
            <w:tcBorders>
              <w:top w:val="single" w:sz="4" w:space="0" w:color="365F91"/>
              <w:bottom w:val="single" w:sz="4" w:space="0" w:color="365F91"/>
            </w:tcBorders>
            <w:noWrap/>
            <w:hideMark/>
          </w:tcPr>
          <w:p w14:paraId="094E4354" w14:textId="77777777" w:rsidR="00333601" w:rsidRPr="00BE78CA" w:rsidRDefault="00333601" w:rsidP="0065144B">
            <w:pPr>
              <w:pStyle w:val="TableTextBold"/>
              <w:keepNext/>
              <w:tabs>
                <w:tab w:val="decimal" w:pos="373"/>
              </w:tabs>
              <w:spacing w:before="40" w:after="40"/>
              <w:jc w:val="center"/>
              <w:rPr>
                <w:noProof w:val="0"/>
                <w:szCs w:val="16"/>
              </w:rPr>
            </w:pPr>
          </w:p>
        </w:tc>
      </w:tr>
      <w:tr w:rsidR="00333601" w:rsidRPr="00BE78CA" w14:paraId="3CE4846F" w14:textId="77777777" w:rsidTr="00C26084">
        <w:tc>
          <w:tcPr>
            <w:tcW w:w="4669" w:type="dxa"/>
            <w:tcBorders>
              <w:top w:val="single" w:sz="4" w:space="0" w:color="365F91"/>
              <w:bottom w:val="single" w:sz="4" w:space="0" w:color="365F91"/>
            </w:tcBorders>
            <w:noWrap/>
            <w:hideMark/>
          </w:tcPr>
          <w:p w14:paraId="483BB545" w14:textId="77777777" w:rsidR="00333601" w:rsidRPr="00BE78CA" w:rsidRDefault="00333601" w:rsidP="0065144B">
            <w:pPr>
              <w:pStyle w:val="TableText"/>
              <w:spacing w:before="40" w:after="40"/>
            </w:pPr>
            <w:r w:rsidRPr="00BE78CA">
              <w:t>Uncertainty in planted forest biomass carbon stocks (losses)</w:t>
            </w:r>
          </w:p>
        </w:tc>
        <w:tc>
          <w:tcPr>
            <w:tcW w:w="3836" w:type="dxa"/>
            <w:tcBorders>
              <w:top w:val="single" w:sz="4" w:space="0" w:color="365F91"/>
              <w:bottom w:val="single" w:sz="4" w:space="0" w:color="365F91"/>
            </w:tcBorders>
            <w:noWrap/>
            <w:hideMark/>
          </w:tcPr>
          <w:p w14:paraId="35A60397" w14:textId="77777777" w:rsidR="00333601" w:rsidRPr="00BE78CA" w:rsidRDefault="00333601" w:rsidP="0065144B">
            <w:pPr>
              <w:pStyle w:val="TableText"/>
              <w:tabs>
                <w:tab w:val="decimal" w:pos="373"/>
              </w:tabs>
              <w:spacing w:before="40" w:after="40"/>
              <w:jc w:val="center"/>
              <w:rPr>
                <w:szCs w:val="16"/>
              </w:rPr>
            </w:pPr>
            <w:r w:rsidRPr="00BE78CA">
              <w:rPr>
                <w:szCs w:val="16"/>
              </w:rPr>
              <w:t>±</w:t>
            </w:r>
            <w:r w:rsidRPr="00BE78CA">
              <w:t>20.5</w:t>
            </w:r>
          </w:p>
        </w:tc>
      </w:tr>
      <w:tr w:rsidR="00333601" w:rsidRPr="00BE78CA" w14:paraId="3E69B030" w14:textId="77777777" w:rsidTr="00C26084">
        <w:tc>
          <w:tcPr>
            <w:tcW w:w="4669" w:type="dxa"/>
            <w:tcBorders>
              <w:top w:val="single" w:sz="4" w:space="0" w:color="365F91"/>
              <w:bottom w:val="single" w:sz="4" w:space="0" w:color="365F91"/>
            </w:tcBorders>
            <w:noWrap/>
            <w:hideMark/>
          </w:tcPr>
          <w:p w14:paraId="25B9623A" w14:textId="77777777" w:rsidR="00333601" w:rsidRPr="00BE78CA" w:rsidRDefault="00333601" w:rsidP="0065144B">
            <w:pPr>
              <w:pStyle w:val="TableText"/>
              <w:spacing w:before="40" w:after="40"/>
            </w:pPr>
            <w:r w:rsidRPr="00BE78CA">
              <w:t>Uncertainty in planted forest biomass carbon stock change (gains)</w:t>
            </w:r>
          </w:p>
        </w:tc>
        <w:tc>
          <w:tcPr>
            <w:tcW w:w="3836" w:type="dxa"/>
            <w:tcBorders>
              <w:top w:val="single" w:sz="4" w:space="0" w:color="365F91"/>
              <w:bottom w:val="single" w:sz="4" w:space="0" w:color="365F91"/>
            </w:tcBorders>
            <w:noWrap/>
            <w:hideMark/>
          </w:tcPr>
          <w:p w14:paraId="53FA24FC" w14:textId="77777777" w:rsidR="00333601" w:rsidRPr="00BE78CA" w:rsidRDefault="00333601" w:rsidP="0065144B">
            <w:pPr>
              <w:pStyle w:val="TableText"/>
              <w:tabs>
                <w:tab w:val="decimal" w:pos="373"/>
              </w:tabs>
              <w:spacing w:before="40" w:after="40"/>
              <w:jc w:val="center"/>
              <w:rPr>
                <w:szCs w:val="16"/>
              </w:rPr>
            </w:pPr>
            <w:r w:rsidRPr="00BE78CA">
              <w:rPr>
                <w:szCs w:val="16"/>
              </w:rPr>
              <w:t>±</w:t>
            </w:r>
            <w:r w:rsidRPr="00BE78CA">
              <w:t>8.9</w:t>
            </w:r>
          </w:p>
        </w:tc>
      </w:tr>
      <w:tr w:rsidR="00333601" w:rsidRPr="00BE78CA" w14:paraId="44A7075D" w14:textId="77777777" w:rsidTr="00C26084">
        <w:tc>
          <w:tcPr>
            <w:tcW w:w="4669" w:type="dxa"/>
            <w:tcBorders>
              <w:top w:val="single" w:sz="4" w:space="0" w:color="365F91"/>
              <w:bottom w:val="single" w:sz="4" w:space="0" w:color="365F91"/>
            </w:tcBorders>
            <w:noWrap/>
          </w:tcPr>
          <w:p w14:paraId="7798F6B4" w14:textId="77777777" w:rsidR="00333601" w:rsidRPr="00BE78CA" w:rsidRDefault="00333601" w:rsidP="0065144B">
            <w:pPr>
              <w:pStyle w:val="TableText"/>
              <w:spacing w:before="40" w:after="40"/>
            </w:pPr>
            <w:r w:rsidRPr="00BE78CA">
              <w:t>Uncertainty in unstocked forest biomass carbon stocks</w:t>
            </w:r>
          </w:p>
        </w:tc>
        <w:tc>
          <w:tcPr>
            <w:tcW w:w="3836" w:type="dxa"/>
            <w:tcBorders>
              <w:top w:val="single" w:sz="4" w:space="0" w:color="365F91"/>
              <w:bottom w:val="single" w:sz="4" w:space="0" w:color="365F91"/>
            </w:tcBorders>
            <w:noWrap/>
          </w:tcPr>
          <w:p w14:paraId="423D4C5B" w14:textId="77777777" w:rsidR="00333601" w:rsidRPr="00BE78CA" w:rsidRDefault="00333601" w:rsidP="0065144B">
            <w:pPr>
              <w:pStyle w:val="TableText"/>
              <w:tabs>
                <w:tab w:val="decimal" w:pos="373"/>
              </w:tabs>
              <w:spacing w:before="40" w:after="40"/>
              <w:jc w:val="center"/>
              <w:rPr>
                <w:szCs w:val="16"/>
              </w:rPr>
            </w:pPr>
            <w:r w:rsidRPr="00BE78CA">
              <w:rPr>
                <w:szCs w:val="16"/>
              </w:rPr>
              <w:t>±</w:t>
            </w:r>
            <w:r w:rsidRPr="00BE78CA">
              <w:t>72.0</w:t>
            </w:r>
          </w:p>
        </w:tc>
      </w:tr>
      <w:tr w:rsidR="00333601" w:rsidRPr="00BE78CA" w14:paraId="02B518A6" w14:textId="77777777" w:rsidTr="00C26084">
        <w:tc>
          <w:tcPr>
            <w:tcW w:w="4669" w:type="dxa"/>
            <w:tcBorders>
              <w:top w:val="single" w:sz="4" w:space="0" w:color="365F91"/>
              <w:bottom w:val="single" w:sz="4" w:space="0" w:color="365F91"/>
            </w:tcBorders>
            <w:noWrap/>
          </w:tcPr>
          <w:p w14:paraId="56D25F7D" w14:textId="77777777" w:rsidR="00333601" w:rsidRPr="00BE78CA" w:rsidRDefault="00333601" w:rsidP="0065144B">
            <w:pPr>
              <w:pStyle w:val="TableText"/>
              <w:spacing w:before="40" w:after="40"/>
            </w:pPr>
            <w:r w:rsidRPr="00BE78CA">
              <w:t>Uncertainty in riparian forest biomass carbon stocks</w:t>
            </w:r>
          </w:p>
        </w:tc>
        <w:tc>
          <w:tcPr>
            <w:tcW w:w="3836" w:type="dxa"/>
            <w:tcBorders>
              <w:top w:val="single" w:sz="4" w:space="0" w:color="365F91"/>
              <w:bottom w:val="single" w:sz="4" w:space="0" w:color="365F91"/>
            </w:tcBorders>
            <w:noWrap/>
          </w:tcPr>
          <w:p w14:paraId="5FA61D0B" w14:textId="77777777" w:rsidR="00333601" w:rsidRPr="00BE78CA" w:rsidRDefault="00333601" w:rsidP="0065144B">
            <w:pPr>
              <w:pStyle w:val="TableText"/>
              <w:tabs>
                <w:tab w:val="decimal" w:pos="373"/>
              </w:tabs>
              <w:spacing w:before="40" w:after="40"/>
              <w:jc w:val="center"/>
              <w:rPr>
                <w:szCs w:val="16"/>
              </w:rPr>
            </w:pPr>
            <w:r w:rsidRPr="00BE78CA">
              <w:rPr>
                <w:szCs w:val="16"/>
              </w:rPr>
              <w:t>±</w:t>
            </w:r>
            <w:r w:rsidRPr="00BE78CA">
              <w:t>75.0</w:t>
            </w:r>
          </w:p>
        </w:tc>
      </w:tr>
      <w:tr w:rsidR="00333601" w:rsidRPr="00BE78CA" w14:paraId="5AE5C9A4" w14:textId="77777777" w:rsidTr="00C26084">
        <w:tc>
          <w:tcPr>
            <w:tcW w:w="4669" w:type="dxa"/>
            <w:tcBorders>
              <w:top w:val="single" w:sz="4" w:space="0" w:color="365F91"/>
              <w:bottom w:val="single" w:sz="4" w:space="0" w:color="365F91"/>
            </w:tcBorders>
            <w:noWrap/>
          </w:tcPr>
          <w:p w14:paraId="787F5020" w14:textId="77777777" w:rsidR="00333601" w:rsidRPr="00BE78CA" w:rsidRDefault="00333601" w:rsidP="0065144B">
            <w:pPr>
              <w:pStyle w:val="TableText"/>
              <w:spacing w:before="40" w:after="40"/>
            </w:pPr>
            <w:r w:rsidRPr="00BE78CA">
              <w:t>Uncertainty in soil carbon stocks</w:t>
            </w:r>
          </w:p>
        </w:tc>
        <w:tc>
          <w:tcPr>
            <w:tcW w:w="3836" w:type="dxa"/>
            <w:tcBorders>
              <w:top w:val="single" w:sz="4" w:space="0" w:color="365F91"/>
              <w:bottom w:val="single" w:sz="4" w:space="0" w:color="365F91"/>
            </w:tcBorders>
            <w:noWrap/>
          </w:tcPr>
          <w:p w14:paraId="4731C1D4" w14:textId="77777777" w:rsidR="00333601" w:rsidRPr="00BE78CA" w:rsidRDefault="00333601" w:rsidP="0065144B">
            <w:pPr>
              <w:pStyle w:val="TableText"/>
              <w:tabs>
                <w:tab w:val="decimal" w:pos="373"/>
              </w:tabs>
              <w:spacing w:before="40" w:after="40"/>
              <w:jc w:val="center"/>
              <w:rPr>
                <w:szCs w:val="16"/>
              </w:rPr>
            </w:pPr>
            <w:r w:rsidRPr="00BE78CA">
              <w:rPr>
                <w:szCs w:val="16"/>
              </w:rPr>
              <w:t>±</w:t>
            </w:r>
            <w:r w:rsidRPr="00BE78CA">
              <w:t>10.4</w:t>
            </w:r>
          </w:p>
        </w:tc>
      </w:tr>
      <w:tr w:rsidR="00333601" w:rsidRPr="00BE78CA" w14:paraId="0FC7A431" w14:textId="77777777" w:rsidTr="00C26084">
        <w:tc>
          <w:tcPr>
            <w:tcW w:w="4669" w:type="dxa"/>
            <w:tcBorders>
              <w:top w:val="single" w:sz="4" w:space="0" w:color="365F91"/>
              <w:bottom w:val="single" w:sz="4" w:space="0" w:color="365F91"/>
            </w:tcBorders>
            <w:noWrap/>
            <w:hideMark/>
          </w:tcPr>
          <w:p w14:paraId="3C757A6F" w14:textId="77777777" w:rsidR="00333601" w:rsidRPr="00BE78CA" w:rsidRDefault="00333601" w:rsidP="0065144B">
            <w:pPr>
              <w:pStyle w:val="Tableboldblue"/>
              <w:spacing w:before="40" w:after="40"/>
            </w:pPr>
            <w:r w:rsidRPr="00BE78CA">
              <w:t>Uncertainty introduced into net emissions for LULUCF</w:t>
            </w:r>
          </w:p>
        </w:tc>
        <w:tc>
          <w:tcPr>
            <w:tcW w:w="3836" w:type="dxa"/>
            <w:tcBorders>
              <w:top w:val="single" w:sz="4" w:space="0" w:color="365F91"/>
              <w:bottom w:val="single" w:sz="4" w:space="0" w:color="365F91"/>
            </w:tcBorders>
            <w:noWrap/>
            <w:hideMark/>
          </w:tcPr>
          <w:p w14:paraId="01E6D6B6" w14:textId="77777777" w:rsidR="00333601" w:rsidRPr="00BE78CA" w:rsidRDefault="00333601" w:rsidP="0065144B">
            <w:pPr>
              <w:pStyle w:val="Tableboldblue"/>
              <w:tabs>
                <w:tab w:val="decimal" w:pos="374"/>
              </w:tabs>
              <w:spacing w:before="40" w:after="40"/>
              <w:jc w:val="center"/>
            </w:pPr>
            <w:r w:rsidRPr="00BE78CA">
              <w:t>±12.3</w:t>
            </w:r>
          </w:p>
        </w:tc>
      </w:tr>
    </w:tbl>
    <w:bookmarkEnd w:id="1935"/>
    <w:p w14:paraId="78F29563" w14:textId="77777777" w:rsidR="00333601" w:rsidRPr="00BE78CA" w:rsidRDefault="00333601" w:rsidP="00333601">
      <w:pPr>
        <w:pStyle w:val="Noteundertable"/>
      </w:pPr>
      <w:r w:rsidRPr="00BE78CA">
        <w:rPr>
          <w:b/>
        </w:rPr>
        <w:t>Note:</w:t>
      </w:r>
      <w:r w:rsidRPr="00BE78CA">
        <w:rPr>
          <w:i/>
        </w:rPr>
        <w:tab/>
      </w:r>
      <w:r w:rsidRPr="00BE78CA">
        <w:t>Land area includes land in transition in 2019. The activity data and combined emission factor uncertainty are weighted values and have been calculated using equations 3.1 and 3.2 from IPCC General Guidance and Reporting (IPCC, 2006b).</w:t>
      </w:r>
    </w:p>
    <w:p w14:paraId="0D59E08B" w14:textId="77777777" w:rsidR="00333601" w:rsidRPr="00BE78CA" w:rsidRDefault="00333601" w:rsidP="00333601">
      <w:pPr>
        <w:pStyle w:val="Heading3"/>
        <w:spacing w:before="240"/>
      </w:pPr>
      <w:bookmarkStart w:id="1936" w:name="_Toc255466360"/>
      <w:bookmarkStart w:id="1937" w:name="_Toc261513167"/>
      <w:bookmarkStart w:id="1938" w:name="_Toc261513780"/>
      <w:bookmarkStart w:id="1939" w:name="_Toc280630258"/>
      <w:bookmarkStart w:id="1940" w:name="_Toc373395714"/>
      <w:r w:rsidRPr="00BE78CA">
        <w:t>6.4.4</w:t>
      </w:r>
      <w:r w:rsidRPr="00BE78CA">
        <w:tab/>
        <w:t>Category-specific QA/QC and verification</w:t>
      </w:r>
      <w:bookmarkEnd w:id="1936"/>
      <w:bookmarkEnd w:id="1937"/>
      <w:bookmarkEnd w:id="1938"/>
      <w:bookmarkEnd w:id="1939"/>
      <w:bookmarkEnd w:id="1940"/>
    </w:p>
    <w:p w14:paraId="4C07E56D" w14:textId="77777777" w:rsidR="00333601" w:rsidRPr="00BE78CA" w:rsidRDefault="00333601" w:rsidP="00333601">
      <w:pPr>
        <w:pStyle w:val="BodyText"/>
      </w:pPr>
      <w:r w:rsidRPr="00BE78CA">
        <w:t xml:space="preserve">Carbon dioxide emissions from both </w:t>
      </w:r>
      <w:r w:rsidRPr="00BE78CA">
        <w:rPr>
          <w:i/>
        </w:rPr>
        <w:t>Forest land remaining forest land</w:t>
      </w:r>
      <w:r w:rsidRPr="00BE78CA">
        <w:t xml:space="preserve"> and </w:t>
      </w:r>
      <w:r w:rsidRPr="00BE78CA">
        <w:rPr>
          <w:i/>
        </w:rPr>
        <w:t xml:space="preserve">Land converted to forest land </w:t>
      </w:r>
      <w:r w:rsidRPr="00BE78CA">
        <w:t>are key categories for both level and trend assessments. In the preparation of this inventory, the data for these emissions underwent Tier 1 quality-assurance and quality-control checks as well as Tier 2, category-specific quality-assurance and quality-control checks. Details of these checks are provided below.</w:t>
      </w:r>
    </w:p>
    <w:p w14:paraId="65F95186" w14:textId="77777777" w:rsidR="00333601" w:rsidRPr="00BE78CA" w:rsidRDefault="00333601" w:rsidP="00333601">
      <w:pPr>
        <w:pStyle w:val="Heading5"/>
      </w:pPr>
      <w:r w:rsidRPr="00BE78CA">
        <w:t>Pre-1990 natural forest</w:t>
      </w:r>
    </w:p>
    <w:p w14:paraId="28B97419" w14:textId="77777777" w:rsidR="00333601" w:rsidRPr="00BE78CA" w:rsidRDefault="00333601" w:rsidP="00333601">
      <w:pPr>
        <w:pStyle w:val="BodyText"/>
      </w:pPr>
      <w:r w:rsidRPr="00BE78CA">
        <w:t>Quality control and assurance are undertaken at the data collection, data entry and data analysis stages for natural forest.</w:t>
      </w:r>
    </w:p>
    <w:p w14:paraId="6DA7A491" w14:textId="77777777" w:rsidR="00333601" w:rsidRPr="00BE78CA" w:rsidRDefault="00333601" w:rsidP="00333601">
      <w:pPr>
        <w:pStyle w:val="BodyText"/>
      </w:pPr>
      <w:r w:rsidRPr="00BE78CA">
        <w:lastRenderedPageBreak/>
        <w:t>During the initial measurement of the natural forest plot network (2002–07), 5 per cent of plots measured in the first field season were subject to audit (Beets and Payton, unpublished). In all subsequent field seasons, data collection followed quality-assurance and quality-control processes, as described in Payton et al. (unpublished, 2004). This included on-site quality-control checks of field data and review by senior ecologists. Data were collected in the field and recorded by hand on paper field sheets. The electronic entry of all data has been subject to ongoing quality assurance and quality control, including line-by-line checking of the transcription of all data used in carbon calculations.</w:t>
      </w:r>
    </w:p>
    <w:p w14:paraId="53614570" w14:textId="77777777" w:rsidR="00333601" w:rsidRPr="00BE78CA" w:rsidRDefault="00333601" w:rsidP="0065144B">
      <w:pPr>
        <w:pStyle w:val="BodyText"/>
      </w:pPr>
      <w:r w:rsidRPr="00BE78CA">
        <w:t xml:space="preserve">During the re-measurement of the plot network from 2009 to 2014, 10 per cent of plots measured were subject to independent audit. For the current re-measurement of the plot network, this has been reduced to 5 per cent of plots measured. This audit involves a partial re-measure of randomly selected plots, and the assessment of measurements against data quality standards as described in the data collection manual (Ministry for the Environment, unpublished). Entry of data into the electronic database from paper-based plot sheets is subject to quality assurance by the Ministry for the Environment. Line-by-line checks are conducted for 10 per cent of all plots. The data are also subject to further checking for measurement and data entry errors prior to analysis (Paul et al., 2020 (submitted)). </w:t>
      </w:r>
    </w:p>
    <w:p w14:paraId="55B1AFC7" w14:textId="77777777" w:rsidR="00333601" w:rsidRPr="00BE78CA" w:rsidRDefault="00333601" w:rsidP="00333601">
      <w:pPr>
        <w:pStyle w:val="Heading5"/>
      </w:pPr>
      <w:bookmarkStart w:id="1941" w:name="_Toc139253960"/>
      <w:r w:rsidRPr="00BE78CA">
        <w:t>Pre-1990 planted forest and post-1989 planted forest</w:t>
      </w:r>
    </w:p>
    <w:p w14:paraId="1CB15A2F" w14:textId="77777777" w:rsidR="00333601" w:rsidRPr="00BE78CA" w:rsidRDefault="00333601" w:rsidP="00333601">
      <w:pPr>
        <w:pStyle w:val="BodyText"/>
      </w:pPr>
      <w:r w:rsidRPr="00BE78CA">
        <w:t>Of the planted forest inventory plots, 7.5 per cent are randomly audited without the prior knowledge of the inventory teams. Plots are fully and partially re-measured, with feedback supplied no later than one month after measurement to ensure prompt identification of any data collection errors and/or procedural issues. Differences between the inventory and audit measurements are objectively and quantitatively scored. Measurements that exceed predefined tolerances incur incremental demerit points. Demerit severity depends on the size of error and the type of measurement. Special attention is given to the most influential measurements; for example, tree diameter, tree height and the number of trees in a plot. Plots that fail quality control would have to be re</w:t>
      </w:r>
      <w:r w:rsidRPr="00BE78CA">
        <w:noBreakHyphen/>
        <w:t>measured (Beets et al., 2011a, 2012a). Following each inventory season, the data collection manual (Herries et al., unpublished) is revised to clarify any potential sources of error or ambiguity.</w:t>
      </w:r>
    </w:p>
    <w:p w14:paraId="5ADD7E56" w14:textId="77777777" w:rsidR="00333601" w:rsidRPr="00BE78CA" w:rsidRDefault="00333601" w:rsidP="00333601">
      <w:pPr>
        <w:pStyle w:val="BodyText"/>
      </w:pPr>
      <w:r w:rsidRPr="00BE78CA">
        <w:t>The inventory data are pre-processed using Scion’s Permanent Sample Plot (PSP) system. The PSP system has been programmed to check for erroneous values over a wide range of attributes. The system automatically identifies fields that do not meet predetermined validation rules so these can be repaired manually before plot data are modelled by the Forest Carbon Predictor. The PSP data validation system and the Forest Carbon Predictor model were independently reviewed by Woollens (unpublished). The Forest Carbon Predictor has been recently validated in Beets et al. (2011b).</w:t>
      </w:r>
    </w:p>
    <w:p w14:paraId="7E448B18" w14:textId="77777777" w:rsidR="00333601" w:rsidRPr="00BE78CA" w:rsidRDefault="00333601" w:rsidP="00333601">
      <w:pPr>
        <w:pStyle w:val="BodyText"/>
      </w:pPr>
      <w:r w:rsidRPr="00BE78CA">
        <w:t>The average carbon stock of post-1989 planted forest, over the past four years of the continuous forest inventory cycle (2016–19), is estimated to be 154.7 ± 10.9 tonnes C ha</w:t>
      </w:r>
      <w:r w:rsidRPr="00BE78CA">
        <w:rPr>
          <w:vertAlign w:val="superscript"/>
        </w:rPr>
        <w:t>–1</w:t>
      </w:r>
      <w:r w:rsidRPr="00BE78CA">
        <w:t xml:space="preserve"> (at the 95 per cent confidence interval; derived from Paul et al., unpublished(d)). The average carbon stock of pre-1990 planted forest, over the past four years of the continuous forest inventory cycle (2016–19), is estimated to be 84.9 ± 12.0 tonnes C ha</w:t>
      </w:r>
      <w:r w:rsidRPr="00BE78CA">
        <w:rPr>
          <w:vertAlign w:val="superscript"/>
        </w:rPr>
        <w:t>–1</w:t>
      </w:r>
      <w:r w:rsidRPr="00BE78CA">
        <w:t xml:space="preserve"> (at the 95 per cent confidence interval; derived from Paul et al., unpublished(d)).These carbon stock estimates, while high, are consistent with the international comparisons provided in table 4.8 of the 2006 IPCC Guidelines (IPCC, 2006a) and reflect that this forest category is made up of fast-growing and actively managed production forestry.</w:t>
      </w:r>
    </w:p>
    <w:p w14:paraId="26992077" w14:textId="77777777" w:rsidR="00333601" w:rsidRPr="00BE78CA" w:rsidRDefault="00333601" w:rsidP="00333601">
      <w:pPr>
        <w:pStyle w:val="Heading5"/>
      </w:pPr>
      <w:r w:rsidRPr="00BE78CA">
        <w:lastRenderedPageBreak/>
        <w:t>Post-1989 natural forest</w:t>
      </w:r>
    </w:p>
    <w:p w14:paraId="5B7F3BBD" w14:textId="77777777" w:rsidR="00333601" w:rsidRPr="00BE78CA" w:rsidRDefault="00333601" w:rsidP="00333601">
      <w:pPr>
        <w:pStyle w:val="BodyText"/>
      </w:pPr>
      <w:r w:rsidRPr="00BE78CA">
        <w:t>As for pre-1990 natural forest, quality control and assurance were undertaken at the data collection, entry and analysis stages.</w:t>
      </w:r>
    </w:p>
    <w:p w14:paraId="3B239894" w14:textId="77777777" w:rsidR="00333601" w:rsidRPr="00BE78CA" w:rsidRDefault="00333601" w:rsidP="00333601">
      <w:pPr>
        <w:pStyle w:val="BodyText"/>
      </w:pPr>
      <w:r w:rsidRPr="00BE78CA">
        <w:t>During field data collection in 2012, 10 per cent of plots were subject to an independent field audit. The audit involved randomly selected sites being re-measured by an audit field team, and the assessment of differences between inventory and audit measurements against set data quality standards as set out in Ministry for the Environment (2012). Audit results are described in Beets and Holt (unpublished). The same audit process was conducted for the re</w:t>
      </w:r>
      <w:r w:rsidRPr="00BE78CA">
        <w:noBreakHyphen/>
        <w:t>measurement of the post-1989 natural forest plot network in 2019. These results are described in Paul and Dowling (unpublished). Similarly, to pre-1990 natural forest, entry of data into the electronic database from paper-based plot sheets is subject to quality assurance by the Ministry for the Environment. Line-by-line checks are conducted for 10 per cent of all plots. Further checks for data entry and measurement were also undertaken prior to the data analysis stage, as described in Beets et al. (unpublished) and Paul et al. (unpublished(b)).</w:t>
      </w:r>
    </w:p>
    <w:p w14:paraId="5FA13437" w14:textId="77777777" w:rsidR="00333601" w:rsidRPr="00BE78CA" w:rsidRDefault="00333601" w:rsidP="00333601">
      <w:pPr>
        <w:pStyle w:val="Heading3"/>
        <w:spacing w:before="280"/>
      </w:pPr>
      <w:bookmarkStart w:id="1942" w:name="_Toc255466361"/>
      <w:bookmarkStart w:id="1943" w:name="_Toc261513168"/>
      <w:bookmarkStart w:id="1944" w:name="_Toc261513781"/>
      <w:bookmarkStart w:id="1945" w:name="_Toc280630259"/>
      <w:bookmarkStart w:id="1946" w:name="_Toc373395715"/>
      <w:r w:rsidRPr="00BE78CA">
        <w:t>6.4.5</w:t>
      </w:r>
      <w:r w:rsidRPr="00BE78CA">
        <w:tab/>
        <w:t>Category-specific recalculations</w:t>
      </w:r>
      <w:bookmarkEnd w:id="1942"/>
      <w:bookmarkEnd w:id="1943"/>
      <w:bookmarkEnd w:id="1944"/>
      <w:bookmarkEnd w:id="1945"/>
      <w:bookmarkEnd w:id="1946"/>
    </w:p>
    <w:bookmarkEnd w:id="1941"/>
    <w:p w14:paraId="465D02A3" w14:textId="77777777" w:rsidR="00333601" w:rsidRPr="00BE78CA" w:rsidRDefault="00333601" w:rsidP="00333601">
      <w:pPr>
        <w:pStyle w:val="BodyText"/>
      </w:pPr>
      <w:r w:rsidRPr="00BE78CA">
        <w:t xml:space="preserve">In this submission, New Zealand has recalculated its emission estimates for the whole LULUCF sector from 1990, including the </w:t>
      </w:r>
      <w:r w:rsidRPr="00BE78CA">
        <w:rPr>
          <w:i/>
        </w:rPr>
        <w:t>Forest land</w:t>
      </w:r>
      <w:r w:rsidRPr="00BE78CA">
        <w:t xml:space="preserve"> category. These recalculations have involved improved country-specific methods, activity data and emission factors. The impact of the recalculations on net CO</w:t>
      </w:r>
      <w:r w:rsidRPr="00BE78CA">
        <w:rPr>
          <w:vertAlign w:val="subscript"/>
        </w:rPr>
        <w:t>2</w:t>
      </w:r>
      <w:r w:rsidRPr="00BE78CA">
        <w:t xml:space="preserve">-e emission estimates for the </w:t>
      </w:r>
      <w:r w:rsidRPr="00BE78CA">
        <w:rPr>
          <w:i/>
        </w:rPr>
        <w:t>Forest land</w:t>
      </w:r>
      <w:r w:rsidRPr="00BE78CA">
        <w:t xml:space="preserve"> category is provided in table 6.4.11. The differences shown are a result of recalculations for all carbon pools used in reporting under the Convention and the Kyoto Protocol for the whole time series for the LULUCF sector. </w:t>
      </w:r>
    </w:p>
    <w:p w14:paraId="793B0D30" w14:textId="77777777" w:rsidR="00333601" w:rsidRPr="00BE78CA" w:rsidRDefault="00333601" w:rsidP="00333601">
      <w:pPr>
        <w:pStyle w:val="Table"/>
      </w:pPr>
      <w:bookmarkStart w:id="1947" w:name="_Toc280630460"/>
      <w:bookmarkStart w:id="1948" w:name="_Toc310423413"/>
      <w:bookmarkStart w:id="1949" w:name="_Toc318362706"/>
      <w:bookmarkStart w:id="1950" w:name="_Toc342470768"/>
      <w:bookmarkStart w:id="1951" w:name="_Toc352505008"/>
      <w:bookmarkStart w:id="1952" w:name="_Toc373395733"/>
      <w:bookmarkStart w:id="1953" w:name="_Toc378853299"/>
      <w:bookmarkStart w:id="1954" w:name="_Toc391024097"/>
      <w:bookmarkStart w:id="1955" w:name="_Toc410028840"/>
      <w:bookmarkStart w:id="1956" w:name="_Toc414531468"/>
      <w:bookmarkStart w:id="1957" w:name="_Toc443645381"/>
      <w:bookmarkStart w:id="1958" w:name="_Toc474914600"/>
      <w:bookmarkStart w:id="1959" w:name="_Toc481751564"/>
      <w:bookmarkStart w:id="1960" w:name="_Toc522010621"/>
      <w:bookmarkStart w:id="1961" w:name="_Toc5269526"/>
      <w:bookmarkStart w:id="1962" w:name="_Toc33529400"/>
      <w:bookmarkStart w:id="1963" w:name="_Toc36224606"/>
      <w:bookmarkStart w:id="1964" w:name="_Toc65243602"/>
      <w:bookmarkStart w:id="1965" w:name="_Toc68786492"/>
      <w:r w:rsidRPr="00BE78CA">
        <w:t xml:space="preserve">Table 6.4.11 </w:t>
      </w:r>
      <w:r w:rsidRPr="00BE78CA">
        <w:tab/>
        <w:t>Recalculations of New Zealand’s estimates for the Forest land category in 1990 and</w:t>
      </w:r>
      <w:bookmarkEnd w:id="1947"/>
      <w:bookmarkEnd w:id="1948"/>
      <w:bookmarkEnd w:id="1949"/>
      <w:bookmarkEnd w:id="1950"/>
      <w:bookmarkEnd w:id="1951"/>
      <w:bookmarkEnd w:id="1952"/>
      <w:bookmarkEnd w:id="1953"/>
      <w:bookmarkEnd w:id="1954"/>
      <w:r w:rsidRPr="00BE78CA">
        <w:t> 201</w:t>
      </w:r>
      <w:bookmarkEnd w:id="1955"/>
      <w:bookmarkEnd w:id="1956"/>
      <w:bookmarkEnd w:id="1957"/>
      <w:bookmarkEnd w:id="1958"/>
      <w:bookmarkEnd w:id="1959"/>
      <w:bookmarkEnd w:id="1960"/>
      <w:bookmarkEnd w:id="1961"/>
      <w:r w:rsidRPr="00BE78CA">
        <w:t>8</w:t>
      </w:r>
      <w:bookmarkEnd w:id="1962"/>
      <w:bookmarkEnd w:id="1963"/>
      <w:bookmarkEnd w:id="1964"/>
      <w:bookmarkEnd w:id="1965"/>
    </w:p>
    <w:tbl>
      <w:tblPr>
        <w:tblW w:w="8448" w:type="dxa"/>
        <w:tblInd w:w="57" w:type="dxa"/>
        <w:tblLayout w:type="fixed"/>
        <w:tblLook w:val="04A0" w:firstRow="1" w:lastRow="0" w:firstColumn="1" w:lastColumn="0" w:noHBand="0" w:noVBand="1"/>
      </w:tblPr>
      <w:tblGrid>
        <w:gridCol w:w="1493"/>
        <w:gridCol w:w="1626"/>
        <w:gridCol w:w="1628"/>
        <w:gridCol w:w="2012"/>
        <w:gridCol w:w="1689"/>
      </w:tblGrid>
      <w:tr w:rsidR="00333601" w:rsidRPr="00BE78CA" w14:paraId="6765EF6A" w14:textId="77777777" w:rsidTr="00C26084">
        <w:trPr>
          <w:tblHeader/>
        </w:trPr>
        <w:tc>
          <w:tcPr>
            <w:tcW w:w="1493" w:type="dxa"/>
            <w:tcBorders>
              <w:top w:val="single" w:sz="4" w:space="0" w:color="365F91"/>
            </w:tcBorders>
            <w:shd w:val="clear" w:color="auto" w:fill="365F91"/>
            <w:vAlign w:val="bottom"/>
          </w:tcPr>
          <w:p w14:paraId="6975F2CE" w14:textId="77777777" w:rsidR="00333601" w:rsidRPr="00BE78CA" w:rsidRDefault="00333601" w:rsidP="00C26084">
            <w:pPr>
              <w:pStyle w:val="TableTextBold"/>
              <w:keepNext/>
              <w:spacing w:before="50" w:after="50"/>
              <w:rPr>
                <w:rFonts w:cs="Calibri"/>
                <w:noProof w:val="0"/>
                <w:color w:val="FFFFFF"/>
                <w:szCs w:val="16"/>
              </w:rPr>
            </w:pPr>
          </w:p>
        </w:tc>
        <w:tc>
          <w:tcPr>
            <w:tcW w:w="1623" w:type="dxa"/>
            <w:tcBorders>
              <w:top w:val="single" w:sz="4" w:space="0" w:color="365F91"/>
              <w:right w:val="single" w:sz="2" w:space="0" w:color="365F91"/>
            </w:tcBorders>
            <w:shd w:val="clear" w:color="auto" w:fill="365F91"/>
            <w:vAlign w:val="bottom"/>
          </w:tcPr>
          <w:p w14:paraId="6CF0B927" w14:textId="77777777" w:rsidR="00333601" w:rsidRPr="00BE78CA" w:rsidRDefault="00333601" w:rsidP="00C26084">
            <w:pPr>
              <w:pStyle w:val="TableTextBold"/>
              <w:keepNext/>
              <w:jc w:val="center"/>
              <w:rPr>
                <w:rFonts w:cs="Calibri"/>
                <w:noProof w:val="0"/>
                <w:color w:val="FFFFFF"/>
                <w:szCs w:val="16"/>
              </w:rPr>
            </w:pPr>
            <w:r w:rsidRPr="00BE78CA">
              <w:rPr>
                <w:rFonts w:cs="Calibri"/>
                <w:noProof w:val="0"/>
                <w:color w:val="FFFFFF"/>
                <w:szCs w:val="16"/>
              </w:rPr>
              <w:t>2020 submission</w:t>
            </w:r>
          </w:p>
        </w:tc>
        <w:tc>
          <w:tcPr>
            <w:tcW w:w="1629" w:type="dxa"/>
            <w:tcBorders>
              <w:top w:val="single" w:sz="4" w:space="0" w:color="365F91"/>
              <w:left w:val="single" w:sz="2" w:space="0" w:color="365F91"/>
            </w:tcBorders>
            <w:shd w:val="clear" w:color="auto" w:fill="365F91"/>
            <w:vAlign w:val="bottom"/>
          </w:tcPr>
          <w:p w14:paraId="69FBF1B8" w14:textId="77777777" w:rsidR="00333601" w:rsidRPr="00BE78CA" w:rsidRDefault="00333601" w:rsidP="00C26084">
            <w:pPr>
              <w:pStyle w:val="TableTextBold"/>
              <w:keepNext/>
              <w:jc w:val="center"/>
              <w:rPr>
                <w:rFonts w:cs="Calibri"/>
                <w:noProof w:val="0"/>
                <w:color w:val="FFFFFF"/>
                <w:szCs w:val="16"/>
              </w:rPr>
            </w:pPr>
            <w:r w:rsidRPr="00BE78CA">
              <w:rPr>
                <w:rFonts w:cs="Calibri"/>
                <w:noProof w:val="0"/>
                <w:color w:val="FFFFFF"/>
                <w:szCs w:val="16"/>
              </w:rPr>
              <w:t>2021 submission</w:t>
            </w:r>
          </w:p>
        </w:tc>
        <w:tc>
          <w:tcPr>
            <w:tcW w:w="2013" w:type="dxa"/>
            <w:tcBorders>
              <w:top w:val="single" w:sz="4" w:space="0" w:color="365F91"/>
            </w:tcBorders>
            <w:shd w:val="clear" w:color="auto" w:fill="365F91"/>
            <w:vAlign w:val="bottom"/>
          </w:tcPr>
          <w:p w14:paraId="0175170F" w14:textId="77777777" w:rsidR="00333601" w:rsidRPr="00BE78CA" w:rsidRDefault="00333601" w:rsidP="00C26084">
            <w:pPr>
              <w:pStyle w:val="TableTextBold"/>
              <w:keepNext/>
              <w:spacing w:before="50" w:after="50"/>
              <w:jc w:val="center"/>
              <w:rPr>
                <w:rFonts w:cs="Calibri"/>
                <w:noProof w:val="0"/>
                <w:color w:val="FFFFFF"/>
                <w:szCs w:val="16"/>
              </w:rPr>
            </w:pPr>
            <w:r w:rsidRPr="00BE78CA">
              <w:rPr>
                <w:rFonts w:cs="Calibri"/>
                <w:noProof w:val="0"/>
                <w:color w:val="FFFFFF"/>
                <w:szCs w:val="16"/>
              </w:rPr>
              <w:t xml:space="preserve">Change from the 2020 submission </w:t>
            </w:r>
          </w:p>
        </w:tc>
        <w:tc>
          <w:tcPr>
            <w:tcW w:w="1690" w:type="dxa"/>
            <w:tcBorders>
              <w:top w:val="single" w:sz="4" w:space="0" w:color="365F91"/>
            </w:tcBorders>
            <w:shd w:val="clear" w:color="auto" w:fill="365F91"/>
            <w:vAlign w:val="bottom"/>
          </w:tcPr>
          <w:p w14:paraId="04024D8E" w14:textId="77777777" w:rsidR="00333601" w:rsidRPr="00BE78CA" w:rsidRDefault="00333601" w:rsidP="00C26084">
            <w:pPr>
              <w:pStyle w:val="TableTextBold"/>
              <w:keepNext/>
              <w:spacing w:before="50" w:after="50"/>
              <w:jc w:val="center"/>
              <w:rPr>
                <w:rFonts w:cs="Calibri"/>
                <w:noProof w:val="0"/>
                <w:color w:val="FFFFFF"/>
                <w:szCs w:val="16"/>
              </w:rPr>
            </w:pPr>
            <w:r w:rsidRPr="00BE78CA">
              <w:rPr>
                <w:rFonts w:cs="Calibri"/>
                <w:noProof w:val="0"/>
                <w:color w:val="FFFFFF"/>
                <w:szCs w:val="16"/>
              </w:rPr>
              <w:t>Change (%)</w:t>
            </w:r>
          </w:p>
        </w:tc>
      </w:tr>
      <w:tr w:rsidR="00333601" w:rsidRPr="00BE78CA" w14:paraId="3225625D" w14:textId="77777777" w:rsidTr="00C26084">
        <w:tc>
          <w:tcPr>
            <w:tcW w:w="3119" w:type="dxa"/>
            <w:gridSpan w:val="2"/>
            <w:tcBorders>
              <w:top w:val="single" w:sz="4" w:space="0" w:color="365F91"/>
              <w:bottom w:val="single" w:sz="4" w:space="0" w:color="365F91"/>
            </w:tcBorders>
          </w:tcPr>
          <w:p w14:paraId="4C9EAF00" w14:textId="77777777" w:rsidR="00333601" w:rsidRPr="00BE78CA" w:rsidRDefault="00333601" w:rsidP="00C26084">
            <w:pPr>
              <w:pStyle w:val="Tableboldblue"/>
              <w:spacing w:before="50" w:after="50"/>
            </w:pPr>
            <w:r w:rsidRPr="00BE78CA">
              <w:rPr>
                <w:rFonts w:cs="Calibri"/>
              </w:rPr>
              <w:t>Net emissions (kt CO</w:t>
            </w:r>
            <w:r w:rsidRPr="00BE78CA">
              <w:rPr>
                <w:rFonts w:cs="Calibri"/>
                <w:vertAlign w:val="subscript"/>
              </w:rPr>
              <w:t>2</w:t>
            </w:r>
            <w:r w:rsidRPr="00BE78CA">
              <w:rPr>
                <w:rFonts w:cs="Calibri"/>
              </w:rPr>
              <w:t>-e)</w:t>
            </w:r>
          </w:p>
        </w:tc>
        <w:tc>
          <w:tcPr>
            <w:tcW w:w="1626" w:type="dxa"/>
            <w:tcBorders>
              <w:top w:val="single" w:sz="4" w:space="0" w:color="365F91"/>
              <w:bottom w:val="single" w:sz="4" w:space="0" w:color="365F91"/>
            </w:tcBorders>
          </w:tcPr>
          <w:p w14:paraId="7EAC6664" w14:textId="77777777" w:rsidR="00333601" w:rsidRPr="00BE78CA" w:rsidRDefault="00333601" w:rsidP="00C26084">
            <w:pPr>
              <w:pStyle w:val="TableText"/>
              <w:keepNext/>
              <w:spacing w:before="50" w:after="50"/>
              <w:jc w:val="center"/>
            </w:pPr>
          </w:p>
        </w:tc>
        <w:tc>
          <w:tcPr>
            <w:tcW w:w="2013" w:type="dxa"/>
            <w:tcBorders>
              <w:top w:val="single" w:sz="4" w:space="0" w:color="365F91"/>
              <w:bottom w:val="single" w:sz="4" w:space="0" w:color="365F91"/>
            </w:tcBorders>
          </w:tcPr>
          <w:p w14:paraId="36E110E6" w14:textId="77777777" w:rsidR="00333601" w:rsidRPr="00BE78CA" w:rsidRDefault="00333601" w:rsidP="00C26084">
            <w:pPr>
              <w:pStyle w:val="TableText"/>
              <w:keepNext/>
              <w:tabs>
                <w:tab w:val="decimal" w:pos="556"/>
              </w:tabs>
              <w:spacing w:before="50" w:after="50"/>
              <w:jc w:val="center"/>
            </w:pPr>
          </w:p>
        </w:tc>
        <w:tc>
          <w:tcPr>
            <w:tcW w:w="1690" w:type="dxa"/>
            <w:tcBorders>
              <w:top w:val="single" w:sz="4" w:space="0" w:color="365F91"/>
              <w:bottom w:val="single" w:sz="4" w:space="0" w:color="365F91"/>
            </w:tcBorders>
          </w:tcPr>
          <w:p w14:paraId="73522A15" w14:textId="77777777" w:rsidR="00333601" w:rsidRPr="00BE78CA" w:rsidRDefault="00333601" w:rsidP="00C26084">
            <w:pPr>
              <w:pStyle w:val="TableText"/>
              <w:keepNext/>
              <w:tabs>
                <w:tab w:val="decimal" w:pos="556"/>
              </w:tabs>
              <w:spacing w:before="50" w:after="50"/>
              <w:jc w:val="center"/>
            </w:pPr>
          </w:p>
        </w:tc>
      </w:tr>
      <w:tr w:rsidR="00333601" w:rsidRPr="00BE78CA" w14:paraId="1ED412E9" w14:textId="77777777" w:rsidTr="00C26084">
        <w:tc>
          <w:tcPr>
            <w:tcW w:w="1493" w:type="dxa"/>
            <w:tcBorders>
              <w:top w:val="single" w:sz="4" w:space="0" w:color="365F91"/>
              <w:bottom w:val="single" w:sz="4" w:space="0" w:color="365F91"/>
            </w:tcBorders>
          </w:tcPr>
          <w:p w14:paraId="5F3B51A4" w14:textId="77777777" w:rsidR="00333601" w:rsidRPr="00BE78CA" w:rsidRDefault="00333601" w:rsidP="00C26084">
            <w:pPr>
              <w:pStyle w:val="TableText"/>
              <w:spacing w:before="50" w:after="50"/>
            </w:pPr>
            <w:r w:rsidRPr="00BE78CA">
              <w:t xml:space="preserve">1990 </w:t>
            </w:r>
          </w:p>
        </w:tc>
        <w:tc>
          <w:tcPr>
            <w:tcW w:w="1626" w:type="dxa"/>
            <w:tcBorders>
              <w:top w:val="single" w:sz="4" w:space="0" w:color="365F91"/>
              <w:bottom w:val="single" w:sz="4" w:space="0" w:color="365F91"/>
            </w:tcBorders>
          </w:tcPr>
          <w:p w14:paraId="01B7E1D7" w14:textId="77777777" w:rsidR="00333601" w:rsidRPr="00BE78CA" w:rsidRDefault="00333601" w:rsidP="00C26084">
            <w:pPr>
              <w:pStyle w:val="TableText"/>
              <w:keepNext/>
              <w:spacing w:before="50" w:after="50"/>
              <w:jc w:val="center"/>
              <w:rPr>
                <w:rFonts w:cs="Calibri"/>
                <w:szCs w:val="16"/>
              </w:rPr>
            </w:pPr>
            <w:r w:rsidRPr="00BE78CA">
              <w:t xml:space="preserve">–26,961.3 </w:t>
            </w:r>
          </w:p>
        </w:tc>
        <w:tc>
          <w:tcPr>
            <w:tcW w:w="1626" w:type="dxa"/>
            <w:tcBorders>
              <w:top w:val="single" w:sz="4" w:space="0" w:color="365F91"/>
              <w:bottom w:val="single" w:sz="4" w:space="0" w:color="365F91"/>
            </w:tcBorders>
          </w:tcPr>
          <w:p w14:paraId="065F9FBE" w14:textId="77777777" w:rsidR="00333601" w:rsidRPr="00BE78CA" w:rsidRDefault="00333601" w:rsidP="00C26084">
            <w:pPr>
              <w:pStyle w:val="TableText"/>
              <w:keepNext/>
              <w:spacing w:before="50" w:after="50"/>
              <w:jc w:val="center"/>
              <w:rPr>
                <w:rFonts w:cs="Calibri"/>
                <w:szCs w:val="16"/>
              </w:rPr>
            </w:pPr>
            <w:r w:rsidRPr="00BE78CA">
              <w:t>–23,174.2</w:t>
            </w:r>
          </w:p>
        </w:tc>
        <w:tc>
          <w:tcPr>
            <w:tcW w:w="2013" w:type="dxa"/>
            <w:tcBorders>
              <w:top w:val="single" w:sz="4" w:space="0" w:color="365F91"/>
              <w:bottom w:val="single" w:sz="4" w:space="0" w:color="365F91"/>
            </w:tcBorders>
          </w:tcPr>
          <w:p w14:paraId="1D7FFD11" w14:textId="77777777" w:rsidR="00333601" w:rsidRPr="00BE78CA" w:rsidRDefault="00333601" w:rsidP="00C26084">
            <w:pPr>
              <w:pStyle w:val="TableText"/>
              <w:keepNext/>
              <w:tabs>
                <w:tab w:val="decimal" w:pos="556"/>
              </w:tabs>
              <w:spacing w:before="50" w:after="50"/>
              <w:jc w:val="center"/>
              <w:rPr>
                <w:rFonts w:cs="Calibri"/>
                <w:szCs w:val="16"/>
              </w:rPr>
            </w:pPr>
            <w:r w:rsidRPr="00BE78CA">
              <w:t>3,787.1</w:t>
            </w:r>
          </w:p>
        </w:tc>
        <w:tc>
          <w:tcPr>
            <w:tcW w:w="1690" w:type="dxa"/>
            <w:tcBorders>
              <w:top w:val="single" w:sz="4" w:space="0" w:color="365F91"/>
              <w:bottom w:val="single" w:sz="4" w:space="0" w:color="365F91"/>
            </w:tcBorders>
          </w:tcPr>
          <w:p w14:paraId="521C32C2" w14:textId="77777777" w:rsidR="00333601" w:rsidRPr="00BE78CA" w:rsidRDefault="00333601" w:rsidP="00C26084">
            <w:pPr>
              <w:pStyle w:val="TableText"/>
              <w:keepNext/>
              <w:tabs>
                <w:tab w:val="decimal" w:pos="556"/>
              </w:tabs>
              <w:spacing w:before="50" w:after="50"/>
              <w:jc w:val="center"/>
              <w:rPr>
                <w:rFonts w:cs="Calibri"/>
                <w:szCs w:val="16"/>
              </w:rPr>
            </w:pPr>
            <w:r w:rsidRPr="00BE78CA">
              <w:t>+14.0</w:t>
            </w:r>
          </w:p>
        </w:tc>
      </w:tr>
      <w:tr w:rsidR="00333601" w:rsidRPr="00BE78CA" w14:paraId="205CBDAD" w14:textId="77777777" w:rsidTr="00C26084">
        <w:tc>
          <w:tcPr>
            <w:tcW w:w="1493" w:type="dxa"/>
            <w:tcBorders>
              <w:top w:val="single" w:sz="4" w:space="0" w:color="365F91"/>
              <w:bottom w:val="single" w:sz="4" w:space="0" w:color="365F91"/>
            </w:tcBorders>
          </w:tcPr>
          <w:p w14:paraId="48E628F2" w14:textId="77777777" w:rsidR="00333601" w:rsidRPr="00BE78CA" w:rsidRDefault="00333601" w:rsidP="00C26084">
            <w:pPr>
              <w:pStyle w:val="TableText"/>
              <w:spacing w:before="50" w:after="50"/>
            </w:pPr>
            <w:r w:rsidRPr="00BE78CA">
              <w:t>2018</w:t>
            </w:r>
          </w:p>
        </w:tc>
        <w:tc>
          <w:tcPr>
            <w:tcW w:w="1626" w:type="dxa"/>
            <w:tcBorders>
              <w:top w:val="single" w:sz="4" w:space="0" w:color="365F91"/>
              <w:bottom w:val="single" w:sz="4" w:space="0" w:color="365F91"/>
            </w:tcBorders>
          </w:tcPr>
          <w:p w14:paraId="40BD9D83" w14:textId="77777777" w:rsidR="00333601" w:rsidRPr="00BE78CA" w:rsidRDefault="00333601" w:rsidP="00C26084">
            <w:pPr>
              <w:pStyle w:val="TableText"/>
              <w:keepNext/>
              <w:spacing w:before="50" w:after="50"/>
              <w:jc w:val="center"/>
              <w:rPr>
                <w:rFonts w:cs="Calibri"/>
                <w:szCs w:val="16"/>
              </w:rPr>
            </w:pPr>
            <w:r w:rsidRPr="00BE78CA">
              <w:t xml:space="preserve">–16,907.2 </w:t>
            </w:r>
          </w:p>
        </w:tc>
        <w:tc>
          <w:tcPr>
            <w:tcW w:w="1626" w:type="dxa"/>
            <w:tcBorders>
              <w:top w:val="single" w:sz="4" w:space="0" w:color="365F91"/>
              <w:bottom w:val="single" w:sz="4" w:space="0" w:color="365F91"/>
            </w:tcBorders>
          </w:tcPr>
          <w:p w14:paraId="45507D03" w14:textId="77777777" w:rsidR="00333601" w:rsidRPr="00BE78CA" w:rsidRDefault="00333601" w:rsidP="00C26084">
            <w:pPr>
              <w:pStyle w:val="TableText"/>
              <w:keepNext/>
              <w:spacing w:before="50" w:after="50"/>
              <w:jc w:val="center"/>
              <w:rPr>
                <w:rFonts w:cs="Calibri"/>
                <w:szCs w:val="16"/>
              </w:rPr>
            </w:pPr>
            <w:r w:rsidRPr="00BE78CA">
              <w:t>–21,885.0</w:t>
            </w:r>
          </w:p>
        </w:tc>
        <w:tc>
          <w:tcPr>
            <w:tcW w:w="2013" w:type="dxa"/>
            <w:tcBorders>
              <w:top w:val="single" w:sz="4" w:space="0" w:color="365F91"/>
              <w:bottom w:val="single" w:sz="4" w:space="0" w:color="365F91"/>
            </w:tcBorders>
          </w:tcPr>
          <w:p w14:paraId="3BD8AE70" w14:textId="77777777" w:rsidR="00333601" w:rsidRPr="00BE78CA" w:rsidRDefault="00333601" w:rsidP="00C26084">
            <w:pPr>
              <w:pStyle w:val="TableText"/>
              <w:keepNext/>
              <w:tabs>
                <w:tab w:val="decimal" w:pos="556"/>
              </w:tabs>
              <w:spacing w:before="50" w:after="50"/>
              <w:jc w:val="center"/>
              <w:rPr>
                <w:rFonts w:cs="Calibri"/>
                <w:szCs w:val="16"/>
              </w:rPr>
            </w:pPr>
            <w:r w:rsidRPr="00BE78CA">
              <w:t>–4,977.8</w:t>
            </w:r>
          </w:p>
        </w:tc>
        <w:tc>
          <w:tcPr>
            <w:tcW w:w="1690" w:type="dxa"/>
            <w:tcBorders>
              <w:top w:val="single" w:sz="4" w:space="0" w:color="365F91"/>
              <w:bottom w:val="single" w:sz="4" w:space="0" w:color="365F91"/>
            </w:tcBorders>
          </w:tcPr>
          <w:p w14:paraId="02A8CA12" w14:textId="77777777" w:rsidR="00333601" w:rsidRPr="00BE78CA" w:rsidRDefault="00333601" w:rsidP="00C26084">
            <w:pPr>
              <w:pStyle w:val="TableText"/>
              <w:keepNext/>
              <w:tabs>
                <w:tab w:val="decimal" w:pos="556"/>
              </w:tabs>
              <w:spacing w:before="50" w:after="50"/>
              <w:jc w:val="center"/>
              <w:rPr>
                <w:rFonts w:cs="Calibri"/>
                <w:szCs w:val="16"/>
              </w:rPr>
            </w:pPr>
            <w:r w:rsidRPr="00BE78CA">
              <w:t>–29.4</w:t>
            </w:r>
          </w:p>
        </w:tc>
      </w:tr>
      <w:tr w:rsidR="00333601" w:rsidRPr="00BE78CA" w14:paraId="5A402DDE" w14:textId="77777777" w:rsidTr="00C26084">
        <w:tc>
          <w:tcPr>
            <w:tcW w:w="1493" w:type="dxa"/>
            <w:tcBorders>
              <w:top w:val="single" w:sz="4" w:space="0" w:color="365F91"/>
              <w:bottom w:val="single" w:sz="4" w:space="0" w:color="365F91"/>
            </w:tcBorders>
            <w:shd w:val="clear" w:color="auto" w:fill="FFFFFF"/>
            <w:vAlign w:val="bottom"/>
          </w:tcPr>
          <w:p w14:paraId="20E564FA" w14:textId="77777777" w:rsidR="00333601" w:rsidRPr="00BE78CA" w:rsidRDefault="00333601" w:rsidP="00C26084">
            <w:pPr>
              <w:pStyle w:val="Tableboldblue"/>
              <w:spacing w:before="50" w:after="50"/>
              <w:rPr>
                <w:rFonts w:cs="Calibri"/>
              </w:rPr>
            </w:pPr>
            <w:r w:rsidRPr="00BE78CA">
              <w:rPr>
                <w:rFonts w:cs="Calibri"/>
              </w:rPr>
              <w:t>Area (hectares)</w:t>
            </w:r>
          </w:p>
        </w:tc>
        <w:tc>
          <w:tcPr>
            <w:tcW w:w="3252" w:type="dxa"/>
            <w:gridSpan w:val="2"/>
            <w:tcBorders>
              <w:top w:val="single" w:sz="4" w:space="0" w:color="365F91"/>
              <w:bottom w:val="single" w:sz="4" w:space="0" w:color="365F91"/>
            </w:tcBorders>
            <w:shd w:val="clear" w:color="auto" w:fill="auto"/>
            <w:vAlign w:val="bottom"/>
          </w:tcPr>
          <w:p w14:paraId="1B5F8E1C" w14:textId="77777777" w:rsidR="00333601" w:rsidRPr="00BE78CA" w:rsidRDefault="00333601" w:rsidP="00C26084">
            <w:pPr>
              <w:pStyle w:val="TableText"/>
              <w:keepNext/>
              <w:spacing w:before="50" w:after="50"/>
              <w:rPr>
                <w:rFonts w:cs="Calibri"/>
                <w:b/>
                <w:szCs w:val="16"/>
              </w:rPr>
            </w:pPr>
          </w:p>
        </w:tc>
        <w:tc>
          <w:tcPr>
            <w:tcW w:w="2013" w:type="dxa"/>
            <w:tcBorders>
              <w:top w:val="single" w:sz="4" w:space="0" w:color="365F91"/>
              <w:bottom w:val="single" w:sz="4" w:space="0" w:color="365F91"/>
            </w:tcBorders>
            <w:shd w:val="clear" w:color="auto" w:fill="auto"/>
            <w:vAlign w:val="bottom"/>
          </w:tcPr>
          <w:p w14:paraId="3BDB7FFE" w14:textId="77777777" w:rsidR="00333601" w:rsidRPr="00BE78CA" w:rsidRDefault="00333601" w:rsidP="00C26084">
            <w:pPr>
              <w:pStyle w:val="TableText"/>
              <w:keepNext/>
              <w:tabs>
                <w:tab w:val="decimal" w:pos="556"/>
              </w:tabs>
              <w:spacing w:before="50" w:after="50"/>
              <w:jc w:val="center"/>
              <w:rPr>
                <w:rFonts w:cs="Calibri"/>
                <w:szCs w:val="16"/>
              </w:rPr>
            </w:pPr>
          </w:p>
        </w:tc>
        <w:tc>
          <w:tcPr>
            <w:tcW w:w="1690" w:type="dxa"/>
            <w:tcBorders>
              <w:top w:val="single" w:sz="4" w:space="0" w:color="365F91"/>
              <w:bottom w:val="single" w:sz="4" w:space="0" w:color="365F91"/>
            </w:tcBorders>
            <w:shd w:val="clear" w:color="auto" w:fill="auto"/>
            <w:vAlign w:val="bottom"/>
          </w:tcPr>
          <w:p w14:paraId="6ECA1979" w14:textId="77777777" w:rsidR="00333601" w:rsidRPr="00BE78CA" w:rsidRDefault="00333601" w:rsidP="00C26084">
            <w:pPr>
              <w:pStyle w:val="TableText"/>
              <w:keepNext/>
              <w:tabs>
                <w:tab w:val="decimal" w:pos="556"/>
              </w:tabs>
              <w:spacing w:before="50" w:after="50"/>
              <w:jc w:val="center"/>
              <w:rPr>
                <w:rFonts w:cs="Calibri"/>
                <w:szCs w:val="16"/>
              </w:rPr>
            </w:pPr>
          </w:p>
        </w:tc>
      </w:tr>
      <w:tr w:rsidR="00333601" w:rsidRPr="00BE78CA" w14:paraId="2E2E4B27" w14:textId="77777777" w:rsidTr="00C26084">
        <w:tc>
          <w:tcPr>
            <w:tcW w:w="1493" w:type="dxa"/>
            <w:tcBorders>
              <w:top w:val="single" w:sz="4" w:space="0" w:color="365F91"/>
              <w:bottom w:val="single" w:sz="4" w:space="0" w:color="365F91"/>
            </w:tcBorders>
          </w:tcPr>
          <w:p w14:paraId="6B2C81AD" w14:textId="77777777" w:rsidR="00333601" w:rsidRPr="00BE78CA" w:rsidRDefault="00333601" w:rsidP="00C26084">
            <w:pPr>
              <w:pStyle w:val="TableText"/>
              <w:spacing w:before="50" w:after="50"/>
            </w:pPr>
            <w:r w:rsidRPr="00BE78CA">
              <w:t xml:space="preserve">1990 </w:t>
            </w:r>
          </w:p>
        </w:tc>
        <w:tc>
          <w:tcPr>
            <w:tcW w:w="1626" w:type="dxa"/>
            <w:tcBorders>
              <w:top w:val="single" w:sz="4" w:space="0" w:color="365F91"/>
              <w:bottom w:val="single" w:sz="4" w:space="0" w:color="365F91"/>
            </w:tcBorders>
          </w:tcPr>
          <w:p w14:paraId="2577B67F" w14:textId="77777777" w:rsidR="00333601" w:rsidRPr="00BE78CA" w:rsidRDefault="00333601" w:rsidP="00C26084">
            <w:pPr>
              <w:pStyle w:val="TableText"/>
              <w:keepNext/>
              <w:spacing w:before="50" w:after="50"/>
              <w:jc w:val="center"/>
              <w:rPr>
                <w:rFonts w:cs="Calibri"/>
                <w:szCs w:val="16"/>
              </w:rPr>
            </w:pPr>
            <w:r w:rsidRPr="00BE78CA">
              <w:t xml:space="preserve"> 9,387,694 </w:t>
            </w:r>
          </w:p>
        </w:tc>
        <w:tc>
          <w:tcPr>
            <w:tcW w:w="1626" w:type="dxa"/>
            <w:tcBorders>
              <w:top w:val="single" w:sz="4" w:space="0" w:color="365F91"/>
              <w:bottom w:val="single" w:sz="4" w:space="0" w:color="365F91"/>
            </w:tcBorders>
          </w:tcPr>
          <w:p w14:paraId="7CA0E84C" w14:textId="77777777" w:rsidR="00333601" w:rsidRPr="00BE78CA" w:rsidRDefault="00333601" w:rsidP="00C26084">
            <w:pPr>
              <w:pStyle w:val="TableText"/>
              <w:keepNext/>
              <w:spacing w:before="50" w:after="50"/>
              <w:jc w:val="center"/>
              <w:rPr>
                <w:rFonts w:cs="Calibri"/>
                <w:szCs w:val="16"/>
              </w:rPr>
            </w:pPr>
            <w:r w:rsidRPr="00BE78CA">
              <w:t>9,381,848</w:t>
            </w:r>
          </w:p>
        </w:tc>
        <w:tc>
          <w:tcPr>
            <w:tcW w:w="2013" w:type="dxa"/>
            <w:tcBorders>
              <w:top w:val="single" w:sz="4" w:space="0" w:color="365F91"/>
              <w:bottom w:val="single" w:sz="4" w:space="0" w:color="365F91"/>
            </w:tcBorders>
          </w:tcPr>
          <w:p w14:paraId="43FC945C" w14:textId="77777777" w:rsidR="00333601" w:rsidRPr="00BE78CA" w:rsidRDefault="00333601" w:rsidP="00C26084">
            <w:pPr>
              <w:pStyle w:val="TableText"/>
              <w:keepNext/>
              <w:tabs>
                <w:tab w:val="decimal" w:pos="556"/>
              </w:tabs>
              <w:spacing w:before="50" w:after="50"/>
              <w:jc w:val="center"/>
              <w:rPr>
                <w:rFonts w:cs="Calibri"/>
                <w:szCs w:val="16"/>
              </w:rPr>
            </w:pPr>
            <w:r w:rsidRPr="00BE78CA">
              <w:t>–5,846</w:t>
            </w:r>
          </w:p>
        </w:tc>
        <w:tc>
          <w:tcPr>
            <w:tcW w:w="1690" w:type="dxa"/>
            <w:tcBorders>
              <w:top w:val="single" w:sz="4" w:space="0" w:color="365F91"/>
              <w:bottom w:val="single" w:sz="4" w:space="0" w:color="365F91"/>
            </w:tcBorders>
          </w:tcPr>
          <w:p w14:paraId="4BD464DD" w14:textId="77777777" w:rsidR="00333601" w:rsidRPr="00BE78CA" w:rsidRDefault="00333601" w:rsidP="00C26084">
            <w:pPr>
              <w:pStyle w:val="TableText"/>
              <w:keepNext/>
              <w:tabs>
                <w:tab w:val="decimal" w:pos="556"/>
              </w:tabs>
              <w:spacing w:before="50" w:after="50"/>
              <w:jc w:val="center"/>
              <w:rPr>
                <w:rFonts w:cs="Calibri"/>
                <w:szCs w:val="16"/>
              </w:rPr>
            </w:pPr>
            <w:r w:rsidRPr="00BE78CA">
              <w:t>–0.1</w:t>
            </w:r>
          </w:p>
        </w:tc>
      </w:tr>
      <w:tr w:rsidR="00333601" w:rsidRPr="00BE78CA" w14:paraId="18CA751B" w14:textId="77777777" w:rsidTr="00C26084">
        <w:tc>
          <w:tcPr>
            <w:tcW w:w="1493" w:type="dxa"/>
            <w:tcBorders>
              <w:top w:val="single" w:sz="4" w:space="0" w:color="365F91"/>
              <w:bottom w:val="single" w:sz="4" w:space="0" w:color="365F91"/>
            </w:tcBorders>
          </w:tcPr>
          <w:p w14:paraId="4105DAFA" w14:textId="77777777" w:rsidR="00333601" w:rsidRPr="00BE78CA" w:rsidRDefault="00333601" w:rsidP="00C26084">
            <w:pPr>
              <w:pStyle w:val="TableText"/>
              <w:spacing w:before="50" w:after="50"/>
            </w:pPr>
            <w:r w:rsidRPr="00BE78CA">
              <w:t>2018</w:t>
            </w:r>
          </w:p>
        </w:tc>
        <w:tc>
          <w:tcPr>
            <w:tcW w:w="1626" w:type="dxa"/>
            <w:tcBorders>
              <w:top w:val="single" w:sz="4" w:space="0" w:color="365F91"/>
              <w:bottom w:val="single" w:sz="4" w:space="0" w:color="365F91"/>
            </w:tcBorders>
          </w:tcPr>
          <w:p w14:paraId="18AE916C" w14:textId="77777777" w:rsidR="00333601" w:rsidRPr="00BE78CA" w:rsidRDefault="00333601" w:rsidP="00C26084">
            <w:pPr>
              <w:pStyle w:val="TableText"/>
              <w:keepNext/>
              <w:spacing w:before="50" w:after="50"/>
              <w:jc w:val="center"/>
              <w:rPr>
                <w:rFonts w:cs="Calibri"/>
                <w:szCs w:val="16"/>
              </w:rPr>
            </w:pPr>
            <w:r w:rsidRPr="00BE78CA">
              <w:t xml:space="preserve"> 9,905,163 </w:t>
            </w:r>
          </w:p>
        </w:tc>
        <w:tc>
          <w:tcPr>
            <w:tcW w:w="1626" w:type="dxa"/>
            <w:tcBorders>
              <w:top w:val="single" w:sz="4" w:space="0" w:color="365F91"/>
              <w:bottom w:val="single" w:sz="4" w:space="0" w:color="365F91"/>
            </w:tcBorders>
          </w:tcPr>
          <w:p w14:paraId="7C0DA596" w14:textId="77777777" w:rsidR="00333601" w:rsidRPr="00BE78CA" w:rsidRDefault="00333601" w:rsidP="00C26084">
            <w:pPr>
              <w:pStyle w:val="TableText"/>
              <w:keepNext/>
              <w:spacing w:before="50" w:after="50"/>
              <w:jc w:val="center"/>
              <w:rPr>
                <w:rFonts w:cs="Calibri"/>
                <w:szCs w:val="16"/>
              </w:rPr>
            </w:pPr>
            <w:r w:rsidRPr="00BE78CA">
              <w:t>9,918,642</w:t>
            </w:r>
          </w:p>
        </w:tc>
        <w:tc>
          <w:tcPr>
            <w:tcW w:w="2013" w:type="dxa"/>
            <w:tcBorders>
              <w:top w:val="single" w:sz="4" w:space="0" w:color="365F91"/>
              <w:bottom w:val="single" w:sz="4" w:space="0" w:color="365F91"/>
            </w:tcBorders>
          </w:tcPr>
          <w:p w14:paraId="32966507" w14:textId="77777777" w:rsidR="00333601" w:rsidRPr="00BE78CA" w:rsidRDefault="00333601" w:rsidP="00C26084">
            <w:pPr>
              <w:pStyle w:val="TableText"/>
              <w:keepNext/>
              <w:tabs>
                <w:tab w:val="decimal" w:pos="556"/>
              </w:tabs>
              <w:spacing w:before="50" w:after="50"/>
              <w:jc w:val="center"/>
              <w:rPr>
                <w:rFonts w:cs="Calibri"/>
                <w:szCs w:val="16"/>
              </w:rPr>
            </w:pPr>
            <w:r w:rsidRPr="00BE78CA">
              <w:t>13,478</w:t>
            </w:r>
          </w:p>
        </w:tc>
        <w:tc>
          <w:tcPr>
            <w:tcW w:w="1690" w:type="dxa"/>
            <w:tcBorders>
              <w:top w:val="single" w:sz="4" w:space="0" w:color="365F91"/>
              <w:bottom w:val="single" w:sz="4" w:space="0" w:color="365F91"/>
            </w:tcBorders>
          </w:tcPr>
          <w:p w14:paraId="4EAE88FF" w14:textId="77777777" w:rsidR="00333601" w:rsidRPr="00BE78CA" w:rsidRDefault="00333601" w:rsidP="00C26084">
            <w:pPr>
              <w:pStyle w:val="TableText"/>
              <w:keepNext/>
              <w:tabs>
                <w:tab w:val="decimal" w:pos="556"/>
              </w:tabs>
              <w:spacing w:before="50" w:after="50"/>
              <w:jc w:val="center"/>
              <w:rPr>
                <w:rFonts w:cs="Calibri"/>
                <w:szCs w:val="16"/>
              </w:rPr>
            </w:pPr>
            <w:r w:rsidRPr="00BE78CA">
              <w:t>+0.1</w:t>
            </w:r>
          </w:p>
        </w:tc>
      </w:tr>
    </w:tbl>
    <w:p w14:paraId="29FB57D0" w14:textId="77777777" w:rsidR="00333601" w:rsidRPr="00BE78CA" w:rsidRDefault="00333601" w:rsidP="00333601">
      <w:pPr>
        <w:pStyle w:val="Noteundertable"/>
      </w:pPr>
      <w:r w:rsidRPr="00BE78CA">
        <w:rPr>
          <w:b/>
        </w:rPr>
        <w:t>Note:</w:t>
      </w:r>
      <w:r w:rsidRPr="00BE78CA">
        <w:tab/>
        <w:t xml:space="preserve">Areas are as at the end of the year indicated. </w:t>
      </w:r>
    </w:p>
    <w:p w14:paraId="2A649996" w14:textId="77777777" w:rsidR="00333601" w:rsidRPr="00BE78CA" w:rsidRDefault="00333601" w:rsidP="00333601">
      <w:pPr>
        <w:pStyle w:val="BodyText"/>
      </w:pPr>
      <w:r w:rsidRPr="00BE78CA">
        <w:t xml:space="preserve">For </w:t>
      </w:r>
      <w:r w:rsidRPr="00BE78CA">
        <w:rPr>
          <w:i/>
        </w:rPr>
        <w:t>Forest land</w:t>
      </w:r>
      <w:r w:rsidRPr="00BE78CA">
        <w:t>, the recalculation differences are predominantly due to the application of multiple yield tables to the pre-1990 planted forest estate. An updated yield table for post-1989 planted forest, updated natural forest yield tables and land use mapping improvements across the time series have also contributed to the differences and are explained below.</w:t>
      </w:r>
      <w:bookmarkStart w:id="1966" w:name="_Toc255466362"/>
      <w:bookmarkStart w:id="1967" w:name="_Toc261513169"/>
      <w:bookmarkStart w:id="1968" w:name="_Toc261513782"/>
      <w:bookmarkStart w:id="1969" w:name="_Toc280630260"/>
    </w:p>
    <w:p w14:paraId="7064CCDB" w14:textId="77777777" w:rsidR="00333601" w:rsidRPr="00BE78CA" w:rsidRDefault="00333601" w:rsidP="00333601">
      <w:pPr>
        <w:pStyle w:val="Heading5"/>
        <w:spacing w:before="160"/>
      </w:pPr>
      <w:r w:rsidRPr="00BE78CA">
        <w:t>Activity data</w:t>
      </w:r>
      <w:bookmarkEnd w:id="1966"/>
      <w:bookmarkEnd w:id="1967"/>
      <w:bookmarkEnd w:id="1968"/>
      <w:bookmarkEnd w:id="1969"/>
    </w:p>
    <w:p w14:paraId="6613E4B1" w14:textId="77777777" w:rsidR="00333601" w:rsidRPr="00BE78CA" w:rsidRDefault="00333601" w:rsidP="00333601">
      <w:pPr>
        <w:pStyle w:val="BodyText"/>
      </w:pPr>
      <w:bookmarkStart w:id="1970" w:name="_Toc255466366"/>
      <w:bookmarkStart w:id="1971" w:name="_Toc261513173"/>
      <w:bookmarkStart w:id="1972" w:name="_Toc261513786"/>
      <w:r w:rsidRPr="00BE78CA">
        <w:t xml:space="preserve">New Zealand has an estate of actively managed pine plantations that have been predominantly planted for timber harvest. Wind dispersal of conifer seeds from these managed estates has led to a growing infestation of unwanted conifers, otherwise known as wilding pines, which have spread through natural regeneration. Improved mapping of wilding pines has led to the reclassification of approximately 20,000 hectares of forest incorrectly classified as post-1989 planted forest to post-1989 natural forest. This has led to a reduction in removals from the post-1989 forest estate. </w:t>
      </w:r>
    </w:p>
    <w:p w14:paraId="24395350" w14:textId="77777777" w:rsidR="00333601" w:rsidRPr="00BE78CA" w:rsidRDefault="00333601" w:rsidP="00333601">
      <w:pPr>
        <w:pStyle w:val="BodyText"/>
      </w:pPr>
      <w:r w:rsidRPr="00BE78CA">
        <w:lastRenderedPageBreak/>
        <w:t xml:space="preserve">The area estimates of afforestation and deforestation have been updated from the previous submission. These areas and the associated emissions are reported in the relevant </w:t>
      </w:r>
      <w:r w:rsidRPr="00BE78CA">
        <w:rPr>
          <w:i/>
        </w:rPr>
        <w:t>Land converted to</w:t>
      </w:r>
      <w:r w:rsidRPr="00BE78CA">
        <w:t xml:space="preserve"> category.</w:t>
      </w:r>
    </w:p>
    <w:p w14:paraId="463DE4F3" w14:textId="77777777" w:rsidR="00333601" w:rsidRPr="00BE78CA" w:rsidRDefault="00333601" w:rsidP="00333601">
      <w:pPr>
        <w:pStyle w:val="Heading5"/>
      </w:pPr>
      <w:bookmarkStart w:id="1973" w:name="_Toc280630261"/>
      <w:r w:rsidRPr="00BE78CA">
        <w:t>Emission factors</w:t>
      </w:r>
      <w:bookmarkEnd w:id="1973"/>
    </w:p>
    <w:p w14:paraId="4F8523A8" w14:textId="77777777" w:rsidR="00333601" w:rsidRPr="00BE78CA" w:rsidRDefault="00333601" w:rsidP="00FB1B7E">
      <w:pPr>
        <w:pStyle w:val="BodyText"/>
      </w:pPr>
      <w:r w:rsidRPr="00BE78CA">
        <w:t>The pre-1990 planted forest yield table has been updated to improve accuracy. Previously, only one yield table was applied to all pre-1990 planted forest. However, due to improved genetics and management practices, a single yield table is no longer representative of the entire pre-1990 planted forest estate. Therefore, in this submission, three yield tables have been applied: one for all years prior to 1990, one for 1990 to 2009 and a third for 2010 to 2019. This results in significant changes to net emissions. The improvement results in a decrease of removals of approximately 2,000 kt CO</w:t>
      </w:r>
      <w:r w:rsidRPr="00BE78CA">
        <w:rPr>
          <w:vertAlign w:val="subscript"/>
        </w:rPr>
        <w:t>2</w:t>
      </w:r>
      <w:r w:rsidRPr="00BE78CA">
        <w:t>-e in 1990 and an increase of removals of approximately 5,000 kt CO</w:t>
      </w:r>
      <w:r w:rsidRPr="00BE78CA">
        <w:rPr>
          <w:vertAlign w:val="subscript"/>
        </w:rPr>
        <w:t>2</w:t>
      </w:r>
      <w:r w:rsidRPr="00BE78CA">
        <w:t xml:space="preserve">-e in 2018. </w:t>
      </w:r>
    </w:p>
    <w:p w14:paraId="41B5B4A8" w14:textId="77777777" w:rsidR="00333601" w:rsidRPr="00BE78CA" w:rsidRDefault="00333601" w:rsidP="00FB1B7E">
      <w:pPr>
        <w:pStyle w:val="BodyText"/>
      </w:pPr>
      <w:r w:rsidRPr="00BE78CA">
        <w:t>The post-1989 planted forest yield table has been revised for the 2021 submission. The revised yield table is based on two full measurement inventories of permanent sample plots in post-1989 planted forest carried out in 2008 to 2009 and 2011 to 2012, and a partial re-measure annually between 2016 and 2019 (due to the transition to the continuous five-year inventory cycle). Analysis of the data collected has provided a plot-based estimate of carbon stock and mean carbon density within this forest type, and is further described in section 6.4.2.</w:t>
      </w:r>
    </w:p>
    <w:p w14:paraId="72E05596" w14:textId="77777777" w:rsidR="00333601" w:rsidRPr="00BE78CA" w:rsidRDefault="00333601" w:rsidP="00FB1B7E">
      <w:pPr>
        <w:pStyle w:val="BodyText"/>
      </w:pPr>
      <w:r w:rsidRPr="00BE78CA">
        <w:t xml:space="preserve">The post-1989 natural forest yield table has been revised for the 2021 submission (Paul et al. unpublished(b)). The revised yield table is based on the re-measurement of the post-1989 natural forest plot network in 2019. Analysis of the data collected has provided a plot-based estimate of carbon stock and stock change within this forest type, and is further described in section 6.4.2. </w:t>
      </w:r>
    </w:p>
    <w:p w14:paraId="2340636A" w14:textId="77777777" w:rsidR="00333601" w:rsidRPr="00BE78CA" w:rsidRDefault="00333601" w:rsidP="00FB1B7E">
      <w:pPr>
        <w:pStyle w:val="BodyText"/>
      </w:pPr>
      <w:r w:rsidRPr="00BE78CA">
        <w:t>Several minor corrections have been applied to the pre-1990 natural forest data set. These were identified through the preparation of a scientific journal article (Paul et al., 2020 (submitted)). This resulted in small changes to estimates of stock and stock change within pre</w:t>
      </w:r>
      <w:r w:rsidRPr="00BE78CA">
        <w:noBreakHyphen/>
        <w:t xml:space="preserve">1990 natural forest. </w:t>
      </w:r>
    </w:p>
    <w:p w14:paraId="7832A029" w14:textId="77777777" w:rsidR="00333601" w:rsidRPr="00BE78CA" w:rsidRDefault="00333601" w:rsidP="00FB1B7E">
      <w:pPr>
        <w:pStyle w:val="BodyText"/>
      </w:pPr>
      <w:r w:rsidRPr="00BE78CA">
        <w:t>A correction has been made for how land converted to pre-1990 natural forest (i.e., reforestation) is treated. Previously, land was converted to either the tall or regenerating forest subcategories and involved a sudden large increase to the carbon stock values associated with the categories. To fix this, a new reporting subcategory has been created (</w:t>
      </w:r>
      <w:r w:rsidRPr="00BE78CA">
        <w:rPr>
          <w:i/>
        </w:rPr>
        <w:t>Reforestation of pre-1990 natural forest</w:t>
      </w:r>
      <w:r w:rsidRPr="00BE78CA">
        <w:rPr>
          <w:iCs/>
        </w:rPr>
        <w:t>)</w:t>
      </w:r>
      <w:r w:rsidRPr="00BE78CA">
        <w:t xml:space="preserve">, which uses the same yield table as post-1989 natural forest. This more accurately represents the vegetation present in these instances. </w:t>
      </w:r>
    </w:p>
    <w:p w14:paraId="4937501C" w14:textId="77777777" w:rsidR="00333601" w:rsidRPr="00BE78CA" w:rsidRDefault="00333601" w:rsidP="00333601">
      <w:pPr>
        <w:pStyle w:val="Heading5"/>
        <w:spacing w:before="200"/>
      </w:pPr>
      <w:r w:rsidRPr="00BE78CA">
        <w:t>Transition period</w:t>
      </w:r>
    </w:p>
    <w:p w14:paraId="6A092EE4" w14:textId="77777777" w:rsidR="00333601" w:rsidRPr="00BE78CA" w:rsidRDefault="00333601" w:rsidP="00FB1B7E">
      <w:pPr>
        <w:pStyle w:val="BodyText"/>
      </w:pPr>
      <w:r w:rsidRPr="00BE78CA">
        <w:t xml:space="preserve">As described in section 6.1.4, New Zealand has applied a transition period of 20 years to </w:t>
      </w:r>
      <w:r w:rsidRPr="00BE78CA">
        <w:rPr>
          <w:i/>
          <w:iCs/>
        </w:rPr>
        <w:t>Forest land</w:t>
      </w:r>
      <w:r w:rsidRPr="00BE78CA">
        <w:t xml:space="preserve">, as opposed to 28 years that was applied in previous submissions. The aggregated effect on emissions for the time series is minimal. However, the change in area and emissions for </w:t>
      </w:r>
      <w:r w:rsidRPr="00BE78CA">
        <w:rPr>
          <w:i/>
          <w:iCs/>
        </w:rPr>
        <w:t>Forest land remaining forest land</w:t>
      </w:r>
      <w:r w:rsidRPr="00BE78CA">
        <w:t xml:space="preserve"> and </w:t>
      </w:r>
      <w:r w:rsidRPr="00BE78CA">
        <w:rPr>
          <w:i/>
          <w:iCs/>
        </w:rPr>
        <w:t xml:space="preserve">Land </w:t>
      </w:r>
      <w:r w:rsidRPr="00BE78CA">
        <w:t>converted</w:t>
      </w:r>
      <w:r w:rsidRPr="00BE78CA">
        <w:rPr>
          <w:i/>
          <w:iCs/>
        </w:rPr>
        <w:t xml:space="preserve"> to forest land</w:t>
      </w:r>
      <w:r w:rsidRPr="00BE78CA">
        <w:t xml:space="preserve"> is significant and summarised in table 6.4.12.</w:t>
      </w:r>
    </w:p>
    <w:p w14:paraId="7D58D02B" w14:textId="77777777" w:rsidR="00333601" w:rsidRPr="00BE78CA" w:rsidRDefault="00333601" w:rsidP="00333601">
      <w:pPr>
        <w:pStyle w:val="Table"/>
      </w:pPr>
      <w:bookmarkStart w:id="1974" w:name="_Toc65243603"/>
      <w:bookmarkStart w:id="1975" w:name="_Toc68786493"/>
      <w:r w:rsidRPr="00BE78CA">
        <w:lastRenderedPageBreak/>
        <w:t xml:space="preserve">Table 6.4.12 </w:t>
      </w:r>
      <w:r w:rsidRPr="00BE78CA">
        <w:tab/>
        <w:t>Recalculations of New Zealand’s estimates for the Forest land category in 1990 and 2018</w:t>
      </w:r>
      <w:bookmarkEnd w:id="1974"/>
      <w:bookmarkEnd w:id="1975"/>
    </w:p>
    <w:tbl>
      <w:tblPr>
        <w:tblW w:w="8505" w:type="dxa"/>
        <w:tblLook w:val="04A0" w:firstRow="1" w:lastRow="0" w:firstColumn="1" w:lastColumn="0" w:noHBand="0" w:noVBand="1"/>
      </w:tblPr>
      <w:tblGrid>
        <w:gridCol w:w="2084"/>
        <w:gridCol w:w="1676"/>
        <w:gridCol w:w="1676"/>
        <w:gridCol w:w="1812"/>
        <w:gridCol w:w="1257"/>
      </w:tblGrid>
      <w:tr w:rsidR="00333601" w:rsidRPr="00BE78CA" w14:paraId="42E376A5" w14:textId="77777777" w:rsidTr="00FB1B7E">
        <w:trPr>
          <w:trHeight w:val="465"/>
        </w:trPr>
        <w:tc>
          <w:tcPr>
            <w:tcW w:w="2127" w:type="dxa"/>
            <w:tcBorders>
              <w:top w:val="single" w:sz="8" w:space="0" w:color="365F91"/>
              <w:left w:val="nil"/>
              <w:bottom w:val="single" w:sz="8" w:space="0" w:color="365F91"/>
              <w:right w:val="nil"/>
            </w:tcBorders>
            <w:shd w:val="clear" w:color="000000" w:fill="365F91"/>
            <w:vAlign w:val="bottom"/>
            <w:hideMark/>
          </w:tcPr>
          <w:p w14:paraId="5336FEAD" w14:textId="77777777" w:rsidR="00333601" w:rsidRPr="00BE78CA" w:rsidRDefault="00333601" w:rsidP="00C26084">
            <w:pPr>
              <w:pStyle w:val="TableTextBold"/>
              <w:keepNext/>
              <w:spacing w:before="40" w:after="40"/>
              <w:jc w:val="right"/>
              <w:rPr>
                <w:noProof w:val="0"/>
                <w:color w:val="FFFFFF" w:themeColor="background1"/>
              </w:rPr>
            </w:pPr>
            <w:r w:rsidRPr="00BE78CA">
              <w:rPr>
                <w:noProof w:val="0"/>
                <w:color w:val="FFFFFF" w:themeColor="background1"/>
              </w:rPr>
              <w:t> </w:t>
            </w:r>
          </w:p>
        </w:tc>
        <w:tc>
          <w:tcPr>
            <w:tcW w:w="1701" w:type="dxa"/>
            <w:tcBorders>
              <w:top w:val="single" w:sz="8" w:space="0" w:color="365F91"/>
              <w:left w:val="nil"/>
              <w:bottom w:val="single" w:sz="8" w:space="0" w:color="365F91"/>
              <w:right w:val="nil"/>
            </w:tcBorders>
            <w:shd w:val="clear" w:color="000000" w:fill="365F91"/>
            <w:vAlign w:val="bottom"/>
            <w:hideMark/>
          </w:tcPr>
          <w:p w14:paraId="7FD512D4" w14:textId="77777777" w:rsidR="00333601" w:rsidRPr="00BE78CA" w:rsidRDefault="00333601" w:rsidP="00C26084">
            <w:pPr>
              <w:pStyle w:val="TableTextBold"/>
              <w:keepNext/>
              <w:spacing w:before="40" w:after="40"/>
              <w:jc w:val="center"/>
              <w:rPr>
                <w:noProof w:val="0"/>
                <w:color w:val="FFFFFF" w:themeColor="background1"/>
              </w:rPr>
            </w:pPr>
            <w:r w:rsidRPr="00BE78CA">
              <w:rPr>
                <w:noProof w:val="0"/>
                <w:color w:val="FFFFFF" w:themeColor="background1"/>
              </w:rPr>
              <w:t>2020 submission</w:t>
            </w:r>
          </w:p>
        </w:tc>
        <w:tc>
          <w:tcPr>
            <w:tcW w:w="1701" w:type="dxa"/>
            <w:tcBorders>
              <w:top w:val="single" w:sz="8" w:space="0" w:color="365F91"/>
              <w:left w:val="nil"/>
              <w:bottom w:val="single" w:sz="8" w:space="0" w:color="365F91"/>
              <w:right w:val="nil"/>
            </w:tcBorders>
            <w:shd w:val="clear" w:color="000000" w:fill="365F91"/>
            <w:vAlign w:val="bottom"/>
            <w:hideMark/>
          </w:tcPr>
          <w:p w14:paraId="2C404302" w14:textId="77777777" w:rsidR="00333601" w:rsidRPr="00BE78CA" w:rsidRDefault="00333601" w:rsidP="00C26084">
            <w:pPr>
              <w:pStyle w:val="TableTextBold"/>
              <w:keepNext/>
              <w:spacing w:before="40" w:after="40"/>
              <w:jc w:val="center"/>
              <w:rPr>
                <w:noProof w:val="0"/>
                <w:color w:val="FFFFFF" w:themeColor="background1"/>
              </w:rPr>
            </w:pPr>
            <w:r w:rsidRPr="00BE78CA">
              <w:rPr>
                <w:noProof w:val="0"/>
                <w:color w:val="FFFFFF" w:themeColor="background1"/>
              </w:rPr>
              <w:t>2021 submission</w:t>
            </w:r>
          </w:p>
        </w:tc>
        <w:tc>
          <w:tcPr>
            <w:tcW w:w="1842" w:type="dxa"/>
            <w:tcBorders>
              <w:top w:val="single" w:sz="8" w:space="0" w:color="365F91"/>
              <w:left w:val="nil"/>
              <w:bottom w:val="single" w:sz="8" w:space="0" w:color="365F91"/>
              <w:right w:val="nil"/>
            </w:tcBorders>
            <w:shd w:val="clear" w:color="000000" w:fill="365F91"/>
            <w:vAlign w:val="bottom"/>
            <w:hideMark/>
          </w:tcPr>
          <w:p w14:paraId="38575E19" w14:textId="77777777" w:rsidR="00333601" w:rsidRPr="00BE78CA" w:rsidRDefault="00333601" w:rsidP="00C26084">
            <w:pPr>
              <w:pStyle w:val="TableTextBold"/>
              <w:keepNext/>
              <w:spacing w:before="40" w:after="40"/>
              <w:jc w:val="center"/>
              <w:rPr>
                <w:noProof w:val="0"/>
                <w:color w:val="FFFFFF" w:themeColor="background1"/>
              </w:rPr>
            </w:pPr>
            <w:r w:rsidRPr="00BE78CA">
              <w:rPr>
                <w:noProof w:val="0"/>
                <w:color w:val="FFFFFF" w:themeColor="background1"/>
              </w:rPr>
              <w:t xml:space="preserve">Change from the </w:t>
            </w:r>
            <w:r w:rsidRPr="00BE78CA">
              <w:rPr>
                <w:noProof w:val="0"/>
                <w:color w:val="FFFFFF" w:themeColor="background1"/>
              </w:rPr>
              <w:br/>
              <w:t>2020 submission</w:t>
            </w:r>
          </w:p>
        </w:tc>
        <w:tc>
          <w:tcPr>
            <w:tcW w:w="1276" w:type="dxa"/>
            <w:tcBorders>
              <w:top w:val="single" w:sz="8" w:space="0" w:color="365F91"/>
              <w:left w:val="nil"/>
              <w:bottom w:val="single" w:sz="8" w:space="0" w:color="365F91"/>
              <w:right w:val="nil"/>
            </w:tcBorders>
            <w:shd w:val="clear" w:color="000000" w:fill="365F91"/>
            <w:vAlign w:val="bottom"/>
            <w:hideMark/>
          </w:tcPr>
          <w:p w14:paraId="0AC1ABAB" w14:textId="77777777" w:rsidR="00333601" w:rsidRPr="00BE78CA" w:rsidRDefault="00333601" w:rsidP="00C26084">
            <w:pPr>
              <w:pStyle w:val="TableTextBold"/>
              <w:keepNext/>
              <w:spacing w:before="40" w:after="40"/>
              <w:jc w:val="center"/>
              <w:rPr>
                <w:noProof w:val="0"/>
                <w:color w:val="FFFFFF" w:themeColor="background1"/>
              </w:rPr>
            </w:pPr>
            <w:r w:rsidRPr="00BE78CA">
              <w:rPr>
                <w:noProof w:val="0"/>
                <w:color w:val="FFFFFF" w:themeColor="background1"/>
              </w:rPr>
              <w:t>Change (%)</w:t>
            </w:r>
          </w:p>
        </w:tc>
      </w:tr>
      <w:tr w:rsidR="00333601" w:rsidRPr="00BE78CA" w14:paraId="6D031186" w14:textId="77777777" w:rsidTr="00FB1B7E">
        <w:tc>
          <w:tcPr>
            <w:tcW w:w="2127" w:type="dxa"/>
            <w:tcBorders>
              <w:top w:val="nil"/>
              <w:left w:val="nil"/>
              <w:bottom w:val="single" w:sz="8" w:space="0" w:color="365F91"/>
              <w:right w:val="nil"/>
            </w:tcBorders>
            <w:shd w:val="clear" w:color="000000" w:fill="FFFFFF"/>
            <w:hideMark/>
          </w:tcPr>
          <w:p w14:paraId="2B4B6246" w14:textId="77777777" w:rsidR="00333601" w:rsidRPr="00BE78CA" w:rsidRDefault="00333601" w:rsidP="0047019D">
            <w:pPr>
              <w:pStyle w:val="Tableboldblue"/>
              <w:keepNext/>
              <w:spacing w:before="50" w:after="50"/>
            </w:pPr>
            <w:r w:rsidRPr="00BE78CA">
              <w:t>Net emissions (kt CO</w:t>
            </w:r>
            <w:r w:rsidRPr="00BE78CA">
              <w:rPr>
                <w:vertAlign w:val="subscript"/>
              </w:rPr>
              <w:t>2</w:t>
            </w:r>
            <w:r w:rsidRPr="00BE78CA">
              <w:t>-e)</w:t>
            </w:r>
          </w:p>
        </w:tc>
        <w:tc>
          <w:tcPr>
            <w:tcW w:w="1701" w:type="dxa"/>
            <w:tcBorders>
              <w:top w:val="nil"/>
              <w:left w:val="nil"/>
              <w:bottom w:val="single" w:sz="8" w:space="0" w:color="365F91"/>
              <w:right w:val="nil"/>
            </w:tcBorders>
            <w:shd w:val="clear" w:color="auto" w:fill="auto"/>
            <w:hideMark/>
          </w:tcPr>
          <w:p w14:paraId="0605D21A" w14:textId="77777777" w:rsidR="00333601" w:rsidRPr="00BE78CA" w:rsidRDefault="00333601" w:rsidP="0047019D">
            <w:pPr>
              <w:pStyle w:val="Tableboldblue"/>
              <w:keepNext/>
              <w:spacing w:before="50" w:after="50"/>
              <w:jc w:val="center"/>
              <w:rPr>
                <w:color w:val="FFFFFF"/>
              </w:rPr>
            </w:pPr>
          </w:p>
        </w:tc>
        <w:tc>
          <w:tcPr>
            <w:tcW w:w="1701" w:type="dxa"/>
            <w:tcBorders>
              <w:top w:val="nil"/>
              <w:left w:val="nil"/>
              <w:bottom w:val="single" w:sz="8" w:space="0" w:color="365F91"/>
              <w:right w:val="nil"/>
            </w:tcBorders>
            <w:shd w:val="clear" w:color="auto" w:fill="auto"/>
            <w:hideMark/>
          </w:tcPr>
          <w:p w14:paraId="2859EB8A" w14:textId="77777777" w:rsidR="00333601" w:rsidRPr="00BE78CA" w:rsidRDefault="00333601" w:rsidP="0047019D">
            <w:pPr>
              <w:pStyle w:val="Tableboldblue"/>
              <w:keepNext/>
              <w:spacing w:before="50" w:after="50"/>
              <w:jc w:val="center"/>
              <w:rPr>
                <w:color w:val="FFFFFF"/>
              </w:rPr>
            </w:pPr>
          </w:p>
        </w:tc>
        <w:tc>
          <w:tcPr>
            <w:tcW w:w="1842" w:type="dxa"/>
            <w:tcBorders>
              <w:top w:val="nil"/>
              <w:left w:val="nil"/>
              <w:bottom w:val="single" w:sz="8" w:space="0" w:color="365F91"/>
              <w:right w:val="nil"/>
            </w:tcBorders>
            <w:shd w:val="clear" w:color="auto" w:fill="auto"/>
            <w:hideMark/>
          </w:tcPr>
          <w:p w14:paraId="1CADDA89" w14:textId="77777777" w:rsidR="00333601" w:rsidRPr="00BE78CA" w:rsidRDefault="00333601" w:rsidP="0047019D">
            <w:pPr>
              <w:pStyle w:val="Tableboldblue"/>
              <w:keepNext/>
              <w:spacing w:before="50" w:after="50"/>
              <w:jc w:val="center"/>
              <w:rPr>
                <w:color w:val="FFFFFF"/>
              </w:rPr>
            </w:pPr>
          </w:p>
        </w:tc>
        <w:tc>
          <w:tcPr>
            <w:tcW w:w="1276" w:type="dxa"/>
            <w:tcBorders>
              <w:top w:val="nil"/>
              <w:left w:val="nil"/>
              <w:bottom w:val="single" w:sz="8" w:space="0" w:color="365F91"/>
              <w:right w:val="nil"/>
            </w:tcBorders>
            <w:shd w:val="clear" w:color="auto" w:fill="auto"/>
            <w:hideMark/>
          </w:tcPr>
          <w:p w14:paraId="54A58599" w14:textId="77777777" w:rsidR="00333601" w:rsidRPr="00BE78CA" w:rsidRDefault="00333601" w:rsidP="0047019D">
            <w:pPr>
              <w:pStyle w:val="Tableboldblue"/>
              <w:keepNext/>
              <w:spacing w:before="50" w:after="50"/>
              <w:jc w:val="center"/>
              <w:rPr>
                <w:color w:val="FFFFFF"/>
              </w:rPr>
            </w:pPr>
          </w:p>
        </w:tc>
      </w:tr>
      <w:tr w:rsidR="00333601" w:rsidRPr="00BE78CA" w14:paraId="66E0CB51" w14:textId="77777777" w:rsidTr="00FB1B7E">
        <w:tc>
          <w:tcPr>
            <w:tcW w:w="2127" w:type="dxa"/>
            <w:tcBorders>
              <w:top w:val="nil"/>
              <w:left w:val="nil"/>
              <w:bottom w:val="single" w:sz="8" w:space="0" w:color="365F91"/>
              <w:right w:val="nil"/>
            </w:tcBorders>
            <w:shd w:val="clear" w:color="auto" w:fill="auto"/>
            <w:hideMark/>
          </w:tcPr>
          <w:p w14:paraId="29C444CE" w14:textId="77777777" w:rsidR="00333601" w:rsidRPr="00BE78CA" w:rsidRDefault="00333601" w:rsidP="0047019D">
            <w:pPr>
              <w:pStyle w:val="TableText"/>
              <w:keepNext/>
              <w:spacing w:before="50" w:after="50"/>
            </w:pPr>
            <w:r w:rsidRPr="00BE78CA">
              <w:t>Forest remaining forest</w:t>
            </w:r>
          </w:p>
        </w:tc>
        <w:tc>
          <w:tcPr>
            <w:tcW w:w="1701" w:type="dxa"/>
            <w:tcBorders>
              <w:top w:val="nil"/>
              <w:left w:val="nil"/>
              <w:bottom w:val="single" w:sz="8" w:space="0" w:color="365F91"/>
              <w:right w:val="nil"/>
            </w:tcBorders>
            <w:shd w:val="clear" w:color="auto" w:fill="auto"/>
            <w:hideMark/>
          </w:tcPr>
          <w:p w14:paraId="699067E1" w14:textId="77777777" w:rsidR="00333601" w:rsidRPr="00BE78CA" w:rsidRDefault="00333601" w:rsidP="0047019D">
            <w:pPr>
              <w:pStyle w:val="TableText"/>
              <w:keepNext/>
              <w:spacing w:before="50" w:after="50"/>
              <w:jc w:val="center"/>
            </w:pPr>
            <w:r w:rsidRPr="00BE78CA">
              <w:t>–1,368.6</w:t>
            </w:r>
          </w:p>
        </w:tc>
        <w:tc>
          <w:tcPr>
            <w:tcW w:w="1701" w:type="dxa"/>
            <w:tcBorders>
              <w:top w:val="nil"/>
              <w:left w:val="nil"/>
              <w:bottom w:val="single" w:sz="8" w:space="0" w:color="365F91"/>
              <w:right w:val="nil"/>
            </w:tcBorders>
            <w:shd w:val="clear" w:color="auto" w:fill="auto"/>
            <w:hideMark/>
          </w:tcPr>
          <w:p w14:paraId="63EE02CB" w14:textId="77777777" w:rsidR="00333601" w:rsidRPr="00BE78CA" w:rsidRDefault="00333601" w:rsidP="0047019D">
            <w:pPr>
              <w:pStyle w:val="TableText"/>
              <w:keepNext/>
              <w:spacing w:before="50" w:after="50"/>
              <w:jc w:val="center"/>
            </w:pPr>
            <w:r w:rsidRPr="00BE78CA">
              <w:t>–15,938.8</w:t>
            </w:r>
          </w:p>
        </w:tc>
        <w:tc>
          <w:tcPr>
            <w:tcW w:w="1842" w:type="dxa"/>
            <w:tcBorders>
              <w:top w:val="nil"/>
              <w:left w:val="nil"/>
              <w:bottom w:val="single" w:sz="8" w:space="0" w:color="365F91"/>
              <w:right w:val="nil"/>
            </w:tcBorders>
            <w:shd w:val="clear" w:color="auto" w:fill="auto"/>
            <w:hideMark/>
          </w:tcPr>
          <w:p w14:paraId="3CEE20B4" w14:textId="77777777" w:rsidR="00333601" w:rsidRPr="00BE78CA" w:rsidRDefault="00333601" w:rsidP="0047019D">
            <w:pPr>
              <w:pStyle w:val="TableText"/>
              <w:keepNext/>
              <w:spacing w:before="50" w:after="50"/>
              <w:jc w:val="center"/>
            </w:pPr>
            <w:r w:rsidRPr="00BE78CA">
              <w:t>–14,570.2</w:t>
            </w:r>
          </w:p>
        </w:tc>
        <w:tc>
          <w:tcPr>
            <w:tcW w:w="1276" w:type="dxa"/>
            <w:tcBorders>
              <w:top w:val="nil"/>
              <w:left w:val="nil"/>
              <w:bottom w:val="single" w:sz="8" w:space="0" w:color="365F91"/>
              <w:right w:val="nil"/>
            </w:tcBorders>
            <w:shd w:val="clear" w:color="auto" w:fill="auto"/>
            <w:hideMark/>
          </w:tcPr>
          <w:p w14:paraId="16697601" w14:textId="77777777" w:rsidR="00333601" w:rsidRPr="00BE78CA" w:rsidRDefault="00333601" w:rsidP="0047019D">
            <w:pPr>
              <w:pStyle w:val="TableText"/>
              <w:keepNext/>
              <w:spacing w:before="50" w:after="50"/>
              <w:jc w:val="center"/>
            </w:pPr>
            <w:r w:rsidRPr="00BE78CA">
              <w:t>–1,064.6</w:t>
            </w:r>
          </w:p>
        </w:tc>
      </w:tr>
      <w:tr w:rsidR="00333601" w:rsidRPr="00BE78CA" w14:paraId="24E9D467" w14:textId="77777777" w:rsidTr="00FB1B7E">
        <w:tc>
          <w:tcPr>
            <w:tcW w:w="2127" w:type="dxa"/>
            <w:tcBorders>
              <w:top w:val="nil"/>
              <w:left w:val="nil"/>
              <w:bottom w:val="single" w:sz="8" w:space="0" w:color="365F91"/>
              <w:right w:val="nil"/>
            </w:tcBorders>
            <w:shd w:val="clear" w:color="auto" w:fill="auto"/>
            <w:hideMark/>
          </w:tcPr>
          <w:p w14:paraId="58E4E327" w14:textId="77777777" w:rsidR="00333601" w:rsidRPr="00BE78CA" w:rsidRDefault="00333601" w:rsidP="0047019D">
            <w:pPr>
              <w:pStyle w:val="TableText"/>
              <w:spacing w:before="50" w:after="50"/>
            </w:pPr>
            <w:r w:rsidRPr="00BE78CA">
              <w:t>Land converted to forest</w:t>
            </w:r>
          </w:p>
        </w:tc>
        <w:tc>
          <w:tcPr>
            <w:tcW w:w="1701" w:type="dxa"/>
            <w:tcBorders>
              <w:top w:val="nil"/>
              <w:left w:val="nil"/>
              <w:bottom w:val="single" w:sz="8" w:space="0" w:color="365F91"/>
              <w:right w:val="nil"/>
            </w:tcBorders>
            <w:shd w:val="clear" w:color="auto" w:fill="auto"/>
            <w:hideMark/>
          </w:tcPr>
          <w:p w14:paraId="5FEB2B41" w14:textId="77777777" w:rsidR="00333601" w:rsidRPr="00BE78CA" w:rsidRDefault="00333601" w:rsidP="0047019D">
            <w:pPr>
              <w:pStyle w:val="TableText"/>
              <w:spacing w:before="50" w:after="50"/>
              <w:jc w:val="center"/>
            </w:pPr>
            <w:r w:rsidRPr="00BE78CA">
              <w:t>–15,538.6</w:t>
            </w:r>
          </w:p>
        </w:tc>
        <w:tc>
          <w:tcPr>
            <w:tcW w:w="1701" w:type="dxa"/>
            <w:tcBorders>
              <w:top w:val="nil"/>
              <w:left w:val="nil"/>
              <w:bottom w:val="single" w:sz="8" w:space="0" w:color="365F91"/>
              <w:right w:val="nil"/>
            </w:tcBorders>
            <w:shd w:val="clear" w:color="auto" w:fill="auto"/>
            <w:hideMark/>
          </w:tcPr>
          <w:p w14:paraId="5BE73F84" w14:textId="77777777" w:rsidR="00333601" w:rsidRPr="00BE78CA" w:rsidRDefault="00333601" w:rsidP="0047019D">
            <w:pPr>
              <w:pStyle w:val="TableText"/>
              <w:spacing w:before="50" w:after="50"/>
              <w:jc w:val="center"/>
            </w:pPr>
            <w:r w:rsidRPr="00BE78CA">
              <w:t>–5,946.2</w:t>
            </w:r>
          </w:p>
        </w:tc>
        <w:tc>
          <w:tcPr>
            <w:tcW w:w="1842" w:type="dxa"/>
            <w:tcBorders>
              <w:top w:val="nil"/>
              <w:left w:val="nil"/>
              <w:bottom w:val="single" w:sz="8" w:space="0" w:color="365F91"/>
              <w:right w:val="nil"/>
            </w:tcBorders>
            <w:shd w:val="clear" w:color="auto" w:fill="auto"/>
            <w:hideMark/>
          </w:tcPr>
          <w:p w14:paraId="517CA22A" w14:textId="77777777" w:rsidR="00333601" w:rsidRPr="00BE78CA" w:rsidRDefault="00333601" w:rsidP="0047019D">
            <w:pPr>
              <w:pStyle w:val="TableText"/>
              <w:spacing w:before="50" w:after="50"/>
              <w:jc w:val="center"/>
            </w:pPr>
            <w:r w:rsidRPr="00BE78CA">
              <w:t>9,592.4</w:t>
            </w:r>
          </w:p>
        </w:tc>
        <w:tc>
          <w:tcPr>
            <w:tcW w:w="1276" w:type="dxa"/>
            <w:tcBorders>
              <w:top w:val="nil"/>
              <w:left w:val="nil"/>
              <w:bottom w:val="single" w:sz="8" w:space="0" w:color="365F91"/>
              <w:right w:val="nil"/>
            </w:tcBorders>
            <w:shd w:val="clear" w:color="auto" w:fill="auto"/>
            <w:hideMark/>
          </w:tcPr>
          <w:p w14:paraId="3565FEB9" w14:textId="77777777" w:rsidR="00333601" w:rsidRPr="00BE78CA" w:rsidRDefault="00333601" w:rsidP="0047019D">
            <w:pPr>
              <w:pStyle w:val="TableText"/>
              <w:spacing w:before="50" w:after="50"/>
              <w:jc w:val="center"/>
            </w:pPr>
            <w:r w:rsidRPr="00BE78CA">
              <w:t>+61.7</w:t>
            </w:r>
          </w:p>
        </w:tc>
      </w:tr>
      <w:tr w:rsidR="00333601" w:rsidRPr="00BE78CA" w14:paraId="27C544A0" w14:textId="77777777" w:rsidTr="00FB1B7E">
        <w:tc>
          <w:tcPr>
            <w:tcW w:w="2127" w:type="dxa"/>
            <w:tcBorders>
              <w:top w:val="nil"/>
              <w:left w:val="nil"/>
              <w:bottom w:val="single" w:sz="8" w:space="0" w:color="365F91"/>
              <w:right w:val="nil"/>
            </w:tcBorders>
            <w:shd w:val="clear" w:color="000000" w:fill="FFFFFF"/>
            <w:hideMark/>
          </w:tcPr>
          <w:p w14:paraId="39863B0D" w14:textId="77777777" w:rsidR="00333601" w:rsidRPr="00BE78CA" w:rsidRDefault="00333601" w:rsidP="0047019D">
            <w:pPr>
              <w:pStyle w:val="Tableboldblue"/>
              <w:spacing w:before="50" w:after="50"/>
            </w:pPr>
            <w:r w:rsidRPr="00BE78CA">
              <w:t>Area (hectares)</w:t>
            </w:r>
          </w:p>
        </w:tc>
        <w:tc>
          <w:tcPr>
            <w:tcW w:w="1701" w:type="dxa"/>
            <w:tcBorders>
              <w:top w:val="nil"/>
              <w:left w:val="nil"/>
              <w:bottom w:val="single" w:sz="8" w:space="0" w:color="365F91"/>
              <w:right w:val="nil"/>
            </w:tcBorders>
            <w:shd w:val="clear" w:color="auto" w:fill="auto"/>
            <w:hideMark/>
          </w:tcPr>
          <w:p w14:paraId="6D942E12" w14:textId="77777777" w:rsidR="00333601" w:rsidRPr="00BE78CA" w:rsidRDefault="00333601" w:rsidP="0047019D">
            <w:pPr>
              <w:pStyle w:val="Tableboldblue"/>
              <w:spacing w:before="50" w:after="50"/>
              <w:jc w:val="center"/>
              <w:rPr>
                <w:color w:val="000000"/>
              </w:rPr>
            </w:pPr>
          </w:p>
        </w:tc>
        <w:tc>
          <w:tcPr>
            <w:tcW w:w="1701" w:type="dxa"/>
            <w:tcBorders>
              <w:top w:val="nil"/>
              <w:left w:val="nil"/>
              <w:bottom w:val="single" w:sz="8" w:space="0" w:color="365F91"/>
              <w:right w:val="nil"/>
            </w:tcBorders>
            <w:shd w:val="clear" w:color="auto" w:fill="auto"/>
            <w:hideMark/>
          </w:tcPr>
          <w:p w14:paraId="68B86C43" w14:textId="77777777" w:rsidR="00333601" w:rsidRPr="00BE78CA" w:rsidRDefault="00333601" w:rsidP="0047019D">
            <w:pPr>
              <w:pStyle w:val="Tableboldblue"/>
              <w:spacing w:before="50" w:after="50"/>
              <w:jc w:val="center"/>
              <w:rPr>
                <w:color w:val="000000"/>
              </w:rPr>
            </w:pPr>
          </w:p>
        </w:tc>
        <w:tc>
          <w:tcPr>
            <w:tcW w:w="1842" w:type="dxa"/>
            <w:tcBorders>
              <w:top w:val="nil"/>
              <w:left w:val="nil"/>
              <w:bottom w:val="single" w:sz="8" w:space="0" w:color="365F91"/>
              <w:right w:val="nil"/>
            </w:tcBorders>
            <w:shd w:val="clear" w:color="auto" w:fill="auto"/>
            <w:hideMark/>
          </w:tcPr>
          <w:p w14:paraId="061E2CC5" w14:textId="77777777" w:rsidR="00333601" w:rsidRPr="00BE78CA" w:rsidRDefault="00333601" w:rsidP="0047019D">
            <w:pPr>
              <w:pStyle w:val="Tableboldblue"/>
              <w:spacing w:before="50" w:after="50"/>
              <w:jc w:val="center"/>
              <w:rPr>
                <w:color w:val="000000"/>
              </w:rPr>
            </w:pPr>
          </w:p>
        </w:tc>
        <w:tc>
          <w:tcPr>
            <w:tcW w:w="1276" w:type="dxa"/>
            <w:tcBorders>
              <w:top w:val="nil"/>
              <w:left w:val="nil"/>
              <w:bottom w:val="single" w:sz="8" w:space="0" w:color="365F91"/>
              <w:right w:val="nil"/>
            </w:tcBorders>
            <w:shd w:val="clear" w:color="auto" w:fill="auto"/>
            <w:hideMark/>
          </w:tcPr>
          <w:p w14:paraId="4EA840A8" w14:textId="77777777" w:rsidR="00333601" w:rsidRPr="00BE78CA" w:rsidRDefault="00333601" w:rsidP="0047019D">
            <w:pPr>
              <w:pStyle w:val="Tableboldblue"/>
              <w:spacing w:before="50" w:after="50"/>
              <w:jc w:val="center"/>
              <w:rPr>
                <w:color w:val="000000"/>
              </w:rPr>
            </w:pPr>
          </w:p>
        </w:tc>
      </w:tr>
      <w:tr w:rsidR="00333601" w:rsidRPr="00BE78CA" w14:paraId="71189F63" w14:textId="77777777" w:rsidTr="00FB1B7E">
        <w:tc>
          <w:tcPr>
            <w:tcW w:w="2127" w:type="dxa"/>
            <w:tcBorders>
              <w:top w:val="nil"/>
              <w:left w:val="nil"/>
              <w:bottom w:val="single" w:sz="8" w:space="0" w:color="365F91"/>
              <w:right w:val="nil"/>
            </w:tcBorders>
            <w:shd w:val="clear" w:color="auto" w:fill="auto"/>
            <w:hideMark/>
          </w:tcPr>
          <w:p w14:paraId="55E66E90" w14:textId="77777777" w:rsidR="00333601" w:rsidRPr="00BE78CA" w:rsidRDefault="00333601" w:rsidP="0047019D">
            <w:pPr>
              <w:pStyle w:val="TableText"/>
              <w:spacing w:before="50" w:after="50"/>
            </w:pPr>
            <w:r w:rsidRPr="00BE78CA">
              <w:t>Forest remaining forest</w:t>
            </w:r>
          </w:p>
        </w:tc>
        <w:tc>
          <w:tcPr>
            <w:tcW w:w="1701" w:type="dxa"/>
            <w:tcBorders>
              <w:top w:val="nil"/>
              <w:left w:val="nil"/>
              <w:bottom w:val="single" w:sz="8" w:space="0" w:color="365F91"/>
              <w:right w:val="nil"/>
            </w:tcBorders>
            <w:shd w:val="clear" w:color="auto" w:fill="auto"/>
            <w:hideMark/>
          </w:tcPr>
          <w:p w14:paraId="042C6C3F" w14:textId="77777777" w:rsidR="00333601" w:rsidRPr="00BE78CA" w:rsidRDefault="00333601" w:rsidP="0047019D">
            <w:pPr>
              <w:pStyle w:val="TableText"/>
              <w:spacing w:before="50" w:after="50"/>
              <w:jc w:val="center"/>
            </w:pPr>
            <w:r w:rsidRPr="00BE78CA">
              <w:t>9,216,142</w:t>
            </w:r>
          </w:p>
        </w:tc>
        <w:tc>
          <w:tcPr>
            <w:tcW w:w="1701" w:type="dxa"/>
            <w:tcBorders>
              <w:top w:val="nil"/>
              <w:left w:val="nil"/>
              <w:bottom w:val="single" w:sz="8" w:space="0" w:color="365F91"/>
              <w:right w:val="nil"/>
            </w:tcBorders>
            <w:shd w:val="clear" w:color="auto" w:fill="auto"/>
            <w:hideMark/>
          </w:tcPr>
          <w:p w14:paraId="37416FE0" w14:textId="77777777" w:rsidR="00333601" w:rsidRPr="00BE78CA" w:rsidRDefault="00333601" w:rsidP="0047019D">
            <w:pPr>
              <w:pStyle w:val="TableText"/>
              <w:spacing w:before="50" w:after="50"/>
              <w:jc w:val="center"/>
            </w:pPr>
            <w:r w:rsidRPr="00BE78CA">
              <w:t>9,623,144</w:t>
            </w:r>
          </w:p>
        </w:tc>
        <w:tc>
          <w:tcPr>
            <w:tcW w:w="1842" w:type="dxa"/>
            <w:tcBorders>
              <w:top w:val="nil"/>
              <w:left w:val="nil"/>
              <w:bottom w:val="single" w:sz="8" w:space="0" w:color="365F91"/>
              <w:right w:val="nil"/>
            </w:tcBorders>
            <w:shd w:val="clear" w:color="auto" w:fill="auto"/>
            <w:hideMark/>
          </w:tcPr>
          <w:p w14:paraId="646DA6AF" w14:textId="77777777" w:rsidR="00333601" w:rsidRPr="00BE78CA" w:rsidRDefault="00333601" w:rsidP="0047019D">
            <w:pPr>
              <w:pStyle w:val="TableText"/>
              <w:spacing w:before="50" w:after="50"/>
              <w:jc w:val="center"/>
            </w:pPr>
            <w:r w:rsidRPr="00BE78CA">
              <w:t>407,002</w:t>
            </w:r>
          </w:p>
        </w:tc>
        <w:tc>
          <w:tcPr>
            <w:tcW w:w="1276" w:type="dxa"/>
            <w:tcBorders>
              <w:top w:val="nil"/>
              <w:left w:val="nil"/>
              <w:bottom w:val="single" w:sz="8" w:space="0" w:color="365F91"/>
              <w:right w:val="nil"/>
            </w:tcBorders>
            <w:shd w:val="clear" w:color="auto" w:fill="auto"/>
            <w:hideMark/>
          </w:tcPr>
          <w:p w14:paraId="5DA07E42" w14:textId="77777777" w:rsidR="00333601" w:rsidRPr="00BE78CA" w:rsidRDefault="00333601" w:rsidP="0047019D">
            <w:pPr>
              <w:pStyle w:val="TableText"/>
              <w:spacing w:before="50" w:after="50"/>
              <w:jc w:val="center"/>
            </w:pPr>
            <w:r w:rsidRPr="00BE78CA">
              <w:t>+4.4</w:t>
            </w:r>
          </w:p>
        </w:tc>
      </w:tr>
      <w:tr w:rsidR="00333601" w:rsidRPr="00BE78CA" w14:paraId="24FC9F3C" w14:textId="77777777" w:rsidTr="00FB1B7E">
        <w:tc>
          <w:tcPr>
            <w:tcW w:w="2127" w:type="dxa"/>
            <w:tcBorders>
              <w:top w:val="nil"/>
              <w:left w:val="nil"/>
              <w:bottom w:val="single" w:sz="8" w:space="0" w:color="365F91"/>
              <w:right w:val="nil"/>
            </w:tcBorders>
            <w:shd w:val="clear" w:color="auto" w:fill="auto"/>
            <w:hideMark/>
          </w:tcPr>
          <w:p w14:paraId="58A78B01" w14:textId="77777777" w:rsidR="00333601" w:rsidRPr="00BE78CA" w:rsidRDefault="00333601" w:rsidP="0047019D">
            <w:pPr>
              <w:pStyle w:val="TableText"/>
              <w:spacing w:before="50" w:after="50"/>
            </w:pPr>
            <w:r w:rsidRPr="00BE78CA">
              <w:t>Land converted to forest</w:t>
            </w:r>
          </w:p>
        </w:tc>
        <w:tc>
          <w:tcPr>
            <w:tcW w:w="1701" w:type="dxa"/>
            <w:tcBorders>
              <w:top w:val="nil"/>
              <w:left w:val="nil"/>
              <w:bottom w:val="single" w:sz="8" w:space="0" w:color="365F91"/>
              <w:right w:val="nil"/>
            </w:tcBorders>
            <w:shd w:val="clear" w:color="auto" w:fill="auto"/>
            <w:hideMark/>
          </w:tcPr>
          <w:p w14:paraId="2E8C90E3" w14:textId="77777777" w:rsidR="00333601" w:rsidRPr="00BE78CA" w:rsidRDefault="00333601" w:rsidP="0047019D">
            <w:pPr>
              <w:pStyle w:val="TableText"/>
              <w:spacing w:before="50" w:after="50"/>
              <w:jc w:val="center"/>
            </w:pPr>
            <w:r w:rsidRPr="00BE78CA">
              <w:t>689,021</w:t>
            </w:r>
          </w:p>
        </w:tc>
        <w:tc>
          <w:tcPr>
            <w:tcW w:w="1701" w:type="dxa"/>
            <w:tcBorders>
              <w:top w:val="nil"/>
              <w:left w:val="nil"/>
              <w:bottom w:val="single" w:sz="8" w:space="0" w:color="365F91"/>
              <w:right w:val="nil"/>
            </w:tcBorders>
            <w:shd w:val="clear" w:color="auto" w:fill="auto"/>
            <w:hideMark/>
          </w:tcPr>
          <w:p w14:paraId="619F210A" w14:textId="77777777" w:rsidR="00333601" w:rsidRPr="00BE78CA" w:rsidRDefault="00333601" w:rsidP="0047019D">
            <w:pPr>
              <w:pStyle w:val="TableText"/>
              <w:spacing w:before="50" w:after="50"/>
              <w:jc w:val="center"/>
            </w:pPr>
            <w:r w:rsidRPr="00BE78CA">
              <w:t>295,498</w:t>
            </w:r>
          </w:p>
        </w:tc>
        <w:tc>
          <w:tcPr>
            <w:tcW w:w="1842" w:type="dxa"/>
            <w:tcBorders>
              <w:top w:val="nil"/>
              <w:left w:val="nil"/>
              <w:bottom w:val="single" w:sz="8" w:space="0" w:color="365F91"/>
              <w:right w:val="nil"/>
            </w:tcBorders>
            <w:shd w:val="clear" w:color="auto" w:fill="auto"/>
            <w:hideMark/>
          </w:tcPr>
          <w:p w14:paraId="30C36EE6" w14:textId="77777777" w:rsidR="00333601" w:rsidRPr="00BE78CA" w:rsidRDefault="00333601" w:rsidP="0047019D">
            <w:pPr>
              <w:pStyle w:val="TableText"/>
              <w:spacing w:before="50" w:after="50"/>
              <w:jc w:val="center"/>
            </w:pPr>
            <w:r w:rsidRPr="00BE78CA">
              <w:t>–393,523</w:t>
            </w:r>
          </w:p>
        </w:tc>
        <w:tc>
          <w:tcPr>
            <w:tcW w:w="1276" w:type="dxa"/>
            <w:tcBorders>
              <w:top w:val="nil"/>
              <w:left w:val="nil"/>
              <w:bottom w:val="single" w:sz="8" w:space="0" w:color="365F91"/>
              <w:right w:val="nil"/>
            </w:tcBorders>
            <w:shd w:val="clear" w:color="auto" w:fill="auto"/>
            <w:hideMark/>
          </w:tcPr>
          <w:p w14:paraId="54824778" w14:textId="77777777" w:rsidR="00333601" w:rsidRPr="00BE78CA" w:rsidRDefault="00333601" w:rsidP="0047019D">
            <w:pPr>
              <w:pStyle w:val="TableText"/>
              <w:spacing w:before="50" w:after="50"/>
              <w:jc w:val="center"/>
            </w:pPr>
            <w:r w:rsidRPr="00BE78CA">
              <w:t>–57.1</w:t>
            </w:r>
          </w:p>
        </w:tc>
      </w:tr>
    </w:tbl>
    <w:p w14:paraId="0A759612" w14:textId="77777777" w:rsidR="00333601" w:rsidRPr="00BE78CA" w:rsidRDefault="00333601" w:rsidP="00333601">
      <w:pPr>
        <w:pStyle w:val="Heading3"/>
      </w:pPr>
      <w:bookmarkStart w:id="1976" w:name="_Toc255466368"/>
      <w:bookmarkStart w:id="1977" w:name="_Toc261513175"/>
      <w:bookmarkStart w:id="1978" w:name="_Toc261513788"/>
      <w:bookmarkStart w:id="1979" w:name="_Toc280630262"/>
      <w:bookmarkStart w:id="1980" w:name="_Toc373395716"/>
      <w:bookmarkStart w:id="1981" w:name="_Toc139253961"/>
      <w:bookmarkEnd w:id="1970"/>
      <w:bookmarkEnd w:id="1971"/>
      <w:bookmarkEnd w:id="1972"/>
      <w:r w:rsidRPr="00BE78CA">
        <w:t>6.4.6</w:t>
      </w:r>
      <w:r w:rsidRPr="00BE78CA">
        <w:tab/>
        <w:t>Category-specific planned improvements</w:t>
      </w:r>
      <w:bookmarkEnd w:id="1976"/>
      <w:bookmarkEnd w:id="1977"/>
      <w:bookmarkEnd w:id="1978"/>
      <w:bookmarkEnd w:id="1979"/>
      <w:bookmarkEnd w:id="1980"/>
      <w:bookmarkEnd w:id="1981"/>
    </w:p>
    <w:p w14:paraId="5C0AD8C6" w14:textId="77777777" w:rsidR="00333601" w:rsidRPr="00BE78CA" w:rsidRDefault="00333601" w:rsidP="00333601">
      <w:pPr>
        <w:pStyle w:val="BodyText"/>
      </w:pPr>
      <w:r w:rsidRPr="00BE78CA">
        <w:t xml:space="preserve">New Zealand will continue to measure the pre-1990 natural forest plot network on a 10-year cycle and analyse the data collected as they become available. Data collection on the natural forest plot network is transitioning to an electronic data capture system. It has previously relied on a paper-based system. This will improve data quality and reduce the time between field collection and analysis. Work is also under way to improve the classification of pre-1990 natural forest into its tall and regenerating components and review the assumption that carbon stocks in the tall forest are not changing. These data will be incorporated into the National Inventory Report as they become available. The post-1989 natural forest plot network will be remeasured in 2023/24. </w:t>
      </w:r>
    </w:p>
    <w:p w14:paraId="272B1287" w14:textId="77777777" w:rsidR="00333601" w:rsidRPr="00BE78CA" w:rsidRDefault="00333601" w:rsidP="00333601">
      <w:pPr>
        <w:pStyle w:val="BodyText"/>
      </w:pPr>
      <w:r w:rsidRPr="00BE78CA">
        <w:t>Mapping of forest areas will be improved through updates to the 2016 land use map, which includes a number of forest-specific mapping improvement tasks such as:</w:t>
      </w:r>
    </w:p>
    <w:p w14:paraId="3A727C6A" w14:textId="77777777" w:rsidR="00333601" w:rsidRPr="00BE78CA" w:rsidRDefault="00333601" w:rsidP="00FA2314">
      <w:pPr>
        <w:pStyle w:val="Bullet"/>
        <w:numPr>
          <w:ilvl w:val="0"/>
          <w:numId w:val="25"/>
        </w:numPr>
      </w:pPr>
      <w:r w:rsidRPr="00BE78CA">
        <w:t>mapping of newly planted forests through data supplied from the NZ ETS</w:t>
      </w:r>
    </w:p>
    <w:p w14:paraId="551BD143" w14:textId="77777777" w:rsidR="00333601" w:rsidRPr="00BE78CA" w:rsidRDefault="00333601" w:rsidP="00FA2314">
      <w:pPr>
        <w:pStyle w:val="Bullet"/>
        <w:numPr>
          <w:ilvl w:val="0"/>
          <w:numId w:val="25"/>
        </w:numPr>
      </w:pPr>
      <w:r w:rsidRPr="00BE78CA">
        <w:t>developing a methodology for mapping age cohorts for forest planted after 1990</w:t>
      </w:r>
    </w:p>
    <w:p w14:paraId="2737E09E" w14:textId="77777777" w:rsidR="00333601" w:rsidRPr="00BE78CA" w:rsidRDefault="00333601" w:rsidP="00FA2314">
      <w:pPr>
        <w:pStyle w:val="Bullet"/>
        <w:numPr>
          <w:ilvl w:val="0"/>
          <w:numId w:val="25"/>
        </w:numPr>
      </w:pPr>
      <w:r w:rsidRPr="00BE78CA">
        <w:t>tracking of carbon equivalent forests within the land use maps.</w:t>
      </w:r>
    </w:p>
    <w:p w14:paraId="25B0C8BE" w14:textId="77777777" w:rsidR="00333601" w:rsidRPr="00BE78CA" w:rsidRDefault="00333601" w:rsidP="00333601">
      <w:pPr>
        <w:pStyle w:val="BodyText"/>
      </w:pPr>
      <w:r w:rsidRPr="00BE78CA">
        <w:t xml:space="preserve">The assumption that controlled burning of post-harvest residues on afforested land does not occur will be revisited for a future submission, due to the increasing harvest rate in these forests as they reach maturity. </w:t>
      </w:r>
    </w:p>
    <w:p w14:paraId="0A11F579" w14:textId="77777777" w:rsidR="00333601" w:rsidRPr="00BE78CA" w:rsidRDefault="00333601" w:rsidP="00333601">
      <w:pPr>
        <w:pStyle w:val="BodyText"/>
      </w:pPr>
      <w:r w:rsidRPr="00BE78CA">
        <w:t>The complete planted forest plot network (pre-1990 and post-1989) is being re</w:t>
      </w:r>
      <w:r w:rsidRPr="00BE78CA">
        <w:noBreakHyphen/>
        <w:t>measured on a continuous basis (at five-year intervals). These data will be incorporated into the National Inventory Report as they become available. New Zealand will update the pre-1990 and post</w:t>
      </w:r>
      <w:r w:rsidRPr="00BE78CA">
        <w:noBreakHyphen/>
        <w:t>1989 planted forest yield tables in its 2022 submission.</w:t>
      </w:r>
    </w:p>
    <w:p w14:paraId="6E02CB44" w14:textId="77777777" w:rsidR="00333601" w:rsidRPr="00BE78CA" w:rsidRDefault="00333601" w:rsidP="00333601">
      <w:pPr>
        <w:pStyle w:val="Heading2"/>
        <w:spacing w:before="280"/>
      </w:pPr>
      <w:bookmarkStart w:id="1982" w:name="_Toc255466369"/>
      <w:bookmarkStart w:id="1983" w:name="_Toc261513176"/>
      <w:bookmarkStart w:id="1984" w:name="_Toc261513789"/>
      <w:bookmarkStart w:id="1985" w:name="_Toc280630263"/>
      <w:bookmarkStart w:id="1986" w:name="_Toc310423453"/>
      <w:bookmarkStart w:id="1987" w:name="_Toc342470719"/>
      <w:bookmarkStart w:id="1988" w:name="_Toc352504871"/>
      <w:bookmarkStart w:id="1989" w:name="_Toc391024701"/>
      <w:bookmarkStart w:id="1990" w:name="_Toc414531318"/>
      <w:bookmarkStart w:id="1991" w:name="_Toc474335460"/>
      <w:bookmarkStart w:id="1992" w:name="_Toc481751400"/>
      <w:bookmarkStart w:id="1993" w:name="_Toc522013952"/>
      <w:bookmarkStart w:id="1994" w:name="_Toc5269377"/>
      <w:bookmarkStart w:id="1995" w:name="_Toc36224417"/>
      <w:bookmarkStart w:id="1996" w:name="_Toc68786337"/>
      <w:r w:rsidRPr="00BE78CA">
        <w:t>6.5</w:t>
      </w:r>
      <w:r w:rsidRPr="00BE78CA">
        <w:tab/>
        <w:t>Cropland (CRF 4B)</w:t>
      </w:r>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p>
    <w:p w14:paraId="7C3CE543" w14:textId="77777777" w:rsidR="00333601" w:rsidRPr="00BE78CA" w:rsidRDefault="00333601" w:rsidP="00333601">
      <w:pPr>
        <w:pStyle w:val="Heading3"/>
        <w:spacing w:before="160"/>
      </w:pPr>
      <w:bookmarkStart w:id="1997" w:name="_Toc139253963"/>
      <w:bookmarkStart w:id="1998" w:name="_Toc255466370"/>
      <w:bookmarkStart w:id="1999" w:name="_Toc261513177"/>
      <w:bookmarkStart w:id="2000" w:name="_Toc261513790"/>
      <w:bookmarkStart w:id="2001" w:name="_Toc280630264"/>
      <w:r w:rsidRPr="00BE78CA">
        <w:t>6.5.1</w:t>
      </w:r>
      <w:r w:rsidRPr="00BE78CA">
        <w:tab/>
        <w:t>Description</w:t>
      </w:r>
      <w:bookmarkEnd w:id="1997"/>
      <w:bookmarkEnd w:id="1998"/>
      <w:bookmarkEnd w:id="1999"/>
      <w:bookmarkEnd w:id="2000"/>
      <w:bookmarkEnd w:id="2001"/>
    </w:p>
    <w:p w14:paraId="47343B64" w14:textId="77777777" w:rsidR="00333601" w:rsidRPr="00BE78CA" w:rsidRDefault="00333601" w:rsidP="00333601">
      <w:pPr>
        <w:pStyle w:val="BodyText"/>
      </w:pPr>
      <w:r w:rsidRPr="00BE78CA">
        <w:rPr>
          <w:spacing w:val="-2"/>
        </w:rPr>
        <w:t xml:space="preserve">In 2019, the net emissions from </w:t>
      </w:r>
      <w:r w:rsidRPr="00BE78CA">
        <w:rPr>
          <w:i/>
          <w:spacing w:val="-2"/>
        </w:rPr>
        <w:t>Cropland</w:t>
      </w:r>
      <w:r w:rsidRPr="00BE78CA">
        <w:rPr>
          <w:spacing w:val="-2"/>
        </w:rPr>
        <w:t xml:space="preserve"> were </w:t>
      </w:r>
      <w:r w:rsidRPr="00BE78CA">
        <w:rPr>
          <w:bCs/>
          <w:spacing w:val="-2"/>
        </w:rPr>
        <w:t xml:space="preserve">386.8 </w:t>
      </w:r>
      <w:r w:rsidRPr="00BE78CA">
        <w:rPr>
          <w:spacing w:val="-2"/>
        </w:rPr>
        <w:t>kt CO</w:t>
      </w:r>
      <w:r w:rsidRPr="00BE78CA">
        <w:rPr>
          <w:spacing w:val="-2"/>
          <w:vertAlign w:val="subscript"/>
        </w:rPr>
        <w:t>2</w:t>
      </w:r>
      <w:r w:rsidRPr="00BE78CA">
        <w:rPr>
          <w:spacing w:val="-2"/>
        </w:rPr>
        <w:t>-e, comprising 379.4 kt </w:t>
      </w:r>
      <w:r w:rsidRPr="00BE78CA">
        <w:t>CO</w:t>
      </w:r>
      <w:r w:rsidRPr="00BE78CA">
        <w:rPr>
          <w:spacing w:val="-2"/>
          <w:vertAlign w:val="subscript"/>
        </w:rPr>
        <w:t>2</w:t>
      </w:r>
      <w:r w:rsidRPr="00BE78CA">
        <w:t xml:space="preserve"> from carbon stock change and 0.03 kt N</w:t>
      </w:r>
      <w:r w:rsidRPr="00BE78CA">
        <w:rPr>
          <w:vertAlign w:val="subscript"/>
        </w:rPr>
        <w:t>2</w:t>
      </w:r>
      <w:r w:rsidRPr="00BE78CA">
        <w:t>O (7.5 kt CO</w:t>
      </w:r>
      <w:r w:rsidRPr="00BE78CA">
        <w:rPr>
          <w:vertAlign w:val="subscript"/>
        </w:rPr>
        <w:t>2</w:t>
      </w:r>
      <w:r w:rsidRPr="00BE78CA">
        <w:t xml:space="preserve">-e) from the nitrogen mineralisation on </w:t>
      </w:r>
      <w:r w:rsidRPr="00BE78CA">
        <w:rPr>
          <w:i/>
        </w:rPr>
        <w:t>Land converted to cropland</w:t>
      </w:r>
      <w:r w:rsidRPr="00BE78CA">
        <w:t xml:space="preserve">. Net emissions from </w:t>
      </w:r>
      <w:r w:rsidRPr="00BE78CA">
        <w:rPr>
          <w:i/>
        </w:rPr>
        <w:t>Cropland</w:t>
      </w:r>
      <w:r w:rsidRPr="00BE78CA">
        <w:t xml:space="preserve"> have decreased by 89.1 kt CO</w:t>
      </w:r>
      <w:r w:rsidRPr="00BE78CA">
        <w:rPr>
          <w:vertAlign w:val="subscript"/>
        </w:rPr>
        <w:t>2</w:t>
      </w:r>
      <w:r w:rsidRPr="00BE78CA">
        <w:t>-e (1</w:t>
      </w:r>
      <w:r w:rsidRPr="00BE78CA">
        <w:rPr>
          <w:bCs/>
        </w:rPr>
        <w:t>8.7 </w:t>
      </w:r>
      <w:r w:rsidRPr="00BE78CA">
        <w:t xml:space="preserve">per cent) from the 1990 level when net emissions were </w:t>
      </w:r>
      <w:r w:rsidRPr="00BE78CA">
        <w:rPr>
          <w:bCs/>
        </w:rPr>
        <w:t>476.0</w:t>
      </w:r>
      <w:r w:rsidRPr="00BE78CA">
        <w:t xml:space="preserve"> kt CO</w:t>
      </w:r>
      <w:r w:rsidRPr="00BE78CA">
        <w:rPr>
          <w:vertAlign w:val="subscript"/>
        </w:rPr>
        <w:t>2</w:t>
      </w:r>
      <w:r w:rsidRPr="00BE78CA">
        <w:t xml:space="preserve">-e (see table 6.5.1). </w:t>
      </w:r>
    </w:p>
    <w:p w14:paraId="39D75581" w14:textId="77777777" w:rsidR="00333601" w:rsidRPr="00BE78CA" w:rsidRDefault="00333601" w:rsidP="00333601">
      <w:pPr>
        <w:pStyle w:val="Table"/>
      </w:pPr>
      <w:bookmarkStart w:id="2002" w:name="_Toc280630461"/>
      <w:bookmarkStart w:id="2003" w:name="_Toc310423414"/>
      <w:bookmarkStart w:id="2004" w:name="_Toc318362707"/>
      <w:bookmarkStart w:id="2005" w:name="_Toc342470769"/>
      <w:bookmarkStart w:id="2006" w:name="_Toc352505009"/>
      <w:bookmarkStart w:id="2007" w:name="_Toc378853300"/>
      <w:bookmarkStart w:id="2008" w:name="_Toc391024098"/>
      <w:bookmarkStart w:id="2009" w:name="_Toc410028841"/>
      <w:bookmarkStart w:id="2010" w:name="_Toc414531469"/>
      <w:bookmarkStart w:id="2011" w:name="_Toc443645382"/>
      <w:bookmarkStart w:id="2012" w:name="_Toc474914601"/>
      <w:bookmarkStart w:id="2013" w:name="_Toc481751565"/>
      <w:bookmarkStart w:id="2014" w:name="_Toc522010622"/>
      <w:bookmarkStart w:id="2015" w:name="_Toc5269527"/>
      <w:bookmarkStart w:id="2016" w:name="_Toc33529401"/>
      <w:bookmarkStart w:id="2017" w:name="_Toc36224607"/>
      <w:bookmarkStart w:id="2018" w:name="_Toc65243604"/>
      <w:bookmarkStart w:id="2019" w:name="_Toc68786494"/>
      <w:r w:rsidRPr="00BE78CA">
        <w:lastRenderedPageBreak/>
        <w:t>Table 6.5.1</w:t>
      </w:r>
      <w:r w:rsidRPr="00BE78CA">
        <w:tab/>
        <w:t xml:space="preserve">New Zealand’s land-use change by Cropland category, and associated </w:t>
      </w:r>
      <w:r w:rsidRPr="00BE78CA">
        <w:br/>
        <w:t>CO</w:t>
      </w:r>
      <w:r w:rsidRPr="00BE78CA">
        <w:rPr>
          <w:vertAlign w:val="subscript"/>
        </w:rPr>
        <w:t>2</w:t>
      </w:r>
      <w:r w:rsidRPr="00BE78CA">
        <w:t>-e emissions</w:t>
      </w:r>
      <w:bookmarkEnd w:id="2002"/>
      <w:bookmarkEnd w:id="2003"/>
      <w:bookmarkEnd w:id="2004"/>
      <w:bookmarkEnd w:id="2005"/>
      <w:bookmarkEnd w:id="2006"/>
      <w:bookmarkEnd w:id="2007"/>
      <w:r w:rsidRPr="00BE78CA">
        <w:t xml:space="preserve">, 1990 </w:t>
      </w:r>
      <w:bookmarkEnd w:id="2008"/>
      <w:r w:rsidRPr="00BE78CA">
        <w:t>and 201</w:t>
      </w:r>
      <w:bookmarkEnd w:id="2009"/>
      <w:bookmarkEnd w:id="2010"/>
      <w:bookmarkEnd w:id="2011"/>
      <w:bookmarkEnd w:id="2012"/>
      <w:bookmarkEnd w:id="2013"/>
      <w:r w:rsidRPr="00BE78CA">
        <w:t>9</w:t>
      </w:r>
      <w:bookmarkEnd w:id="2014"/>
      <w:bookmarkEnd w:id="2015"/>
      <w:bookmarkEnd w:id="2016"/>
      <w:bookmarkEnd w:id="2017"/>
      <w:bookmarkEnd w:id="2018"/>
      <w:bookmarkEnd w:id="2019"/>
    </w:p>
    <w:tbl>
      <w:tblPr>
        <w:tblW w:w="8505" w:type="dxa"/>
        <w:tblLayout w:type="fixed"/>
        <w:tblLook w:val="04A0" w:firstRow="1" w:lastRow="0" w:firstColumn="1" w:lastColumn="0" w:noHBand="0" w:noVBand="1"/>
      </w:tblPr>
      <w:tblGrid>
        <w:gridCol w:w="2797"/>
        <w:gridCol w:w="1359"/>
        <w:gridCol w:w="1207"/>
        <w:gridCol w:w="905"/>
        <w:gridCol w:w="904"/>
        <w:gridCol w:w="1333"/>
      </w:tblGrid>
      <w:tr w:rsidR="00333601" w:rsidRPr="00BE78CA" w14:paraId="3D113AFD" w14:textId="77777777" w:rsidTr="00FB1B7E">
        <w:tc>
          <w:tcPr>
            <w:tcW w:w="2797" w:type="dxa"/>
            <w:vMerge w:val="restart"/>
            <w:tcBorders>
              <w:top w:val="single" w:sz="4" w:space="0" w:color="365F91"/>
            </w:tcBorders>
            <w:shd w:val="clear" w:color="auto" w:fill="365F91"/>
            <w:vAlign w:val="bottom"/>
          </w:tcPr>
          <w:p w14:paraId="14F7F81A" w14:textId="77777777" w:rsidR="00333601" w:rsidRPr="00BE78CA" w:rsidRDefault="00333601" w:rsidP="00C26084">
            <w:pPr>
              <w:pStyle w:val="TableTextBold"/>
              <w:keepNext/>
              <w:spacing w:before="40" w:after="40"/>
              <w:rPr>
                <w:noProof w:val="0"/>
                <w:color w:val="FFFFFF"/>
                <w:szCs w:val="16"/>
              </w:rPr>
            </w:pPr>
            <w:r w:rsidRPr="00BE78CA">
              <w:rPr>
                <w:noProof w:val="0"/>
                <w:color w:val="FFFFFF"/>
                <w:szCs w:val="16"/>
              </w:rPr>
              <w:t>Cropland land use category</w:t>
            </w:r>
          </w:p>
        </w:tc>
        <w:tc>
          <w:tcPr>
            <w:tcW w:w="1359" w:type="dxa"/>
            <w:vMerge w:val="restart"/>
            <w:tcBorders>
              <w:top w:val="single" w:sz="4" w:space="0" w:color="365F91"/>
            </w:tcBorders>
            <w:shd w:val="clear" w:color="auto" w:fill="365F91"/>
            <w:vAlign w:val="bottom"/>
          </w:tcPr>
          <w:p w14:paraId="07F5C6CE" w14:textId="77777777" w:rsidR="00333601" w:rsidRPr="00BE78CA" w:rsidRDefault="00333601" w:rsidP="00C26084">
            <w:pPr>
              <w:pStyle w:val="TableTextBold"/>
              <w:spacing w:before="40" w:after="40"/>
              <w:jc w:val="center"/>
              <w:rPr>
                <w:noProof w:val="0"/>
                <w:color w:val="FFFFFF"/>
                <w:szCs w:val="16"/>
              </w:rPr>
            </w:pPr>
            <w:r w:rsidRPr="00BE78CA">
              <w:rPr>
                <w:noProof w:val="0"/>
                <w:color w:val="FFFFFF"/>
                <w:szCs w:val="16"/>
              </w:rPr>
              <w:t>Net area as at 1990 (ha)</w:t>
            </w:r>
          </w:p>
        </w:tc>
        <w:tc>
          <w:tcPr>
            <w:tcW w:w="1207" w:type="dxa"/>
            <w:vMerge w:val="restart"/>
            <w:tcBorders>
              <w:top w:val="single" w:sz="4" w:space="0" w:color="365F91"/>
            </w:tcBorders>
            <w:shd w:val="clear" w:color="auto" w:fill="365F91"/>
            <w:vAlign w:val="bottom"/>
          </w:tcPr>
          <w:p w14:paraId="7AD879A4" w14:textId="77777777" w:rsidR="00333601" w:rsidRPr="00BE78CA" w:rsidRDefault="00333601" w:rsidP="00C26084">
            <w:pPr>
              <w:pStyle w:val="TableTextBold"/>
              <w:spacing w:before="40" w:after="40"/>
              <w:jc w:val="center"/>
              <w:rPr>
                <w:noProof w:val="0"/>
                <w:color w:val="FFFFFF"/>
                <w:szCs w:val="16"/>
              </w:rPr>
            </w:pPr>
            <w:r w:rsidRPr="00BE78CA">
              <w:rPr>
                <w:noProof w:val="0"/>
                <w:color w:val="FFFFFF"/>
                <w:szCs w:val="16"/>
              </w:rPr>
              <w:t>Net area as at 2019 (ha)</w:t>
            </w:r>
          </w:p>
        </w:tc>
        <w:tc>
          <w:tcPr>
            <w:tcW w:w="1809" w:type="dxa"/>
            <w:gridSpan w:val="2"/>
            <w:tcBorders>
              <w:top w:val="single" w:sz="4" w:space="0" w:color="365F91"/>
            </w:tcBorders>
            <w:shd w:val="clear" w:color="auto" w:fill="365F91"/>
            <w:vAlign w:val="bottom"/>
          </w:tcPr>
          <w:p w14:paraId="5DBF7A3E" w14:textId="77777777" w:rsidR="00333601" w:rsidRPr="00BE78CA" w:rsidRDefault="00333601" w:rsidP="00C26084">
            <w:pPr>
              <w:pStyle w:val="TableTextBold"/>
              <w:spacing w:after="40"/>
              <w:jc w:val="center"/>
              <w:rPr>
                <w:noProof w:val="0"/>
                <w:color w:val="FFFFFF"/>
                <w:szCs w:val="16"/>
              </w:rPr>
            </w:pPr>
            <w:r w:rsidRPr="00BE78CA">
              <w:rPr>
                <w:noProof w:val="0"/>
                <w:color w:val="FFFFFF"/>
                <w:szCs w:val="16"/>
              </w:rPr>
              <w:t xml:space="preserve">Net emissions </w:t>
            </w:r>
            <w:r w:rsidRPr="00BE78CA">
              <w:rPr>
                <w:noProof w:val="0"/>
                <w:color w:val="FFFFFF"/>
                <w:szCs w:val="16"/>
              </w:rPr>
              <w:br/>
              <w:t>(kt CO</w:t>
            </w:r>
            <w:r w:rsidRPr="00BE78CA">
              <w:rPr>
                <w:noProof w:val="0"/>
                <w:color w:val="FFFFFF"/>
                <w:szCs w:val="16"/>
                <w:vertAlign w:val="subscript"/>
              </w:rPr>
              <w:t>2</w:t>
            </w:r>
            <w:r w:rsidRPr="00BE78CA">
              <w:rPr>
                <w:noProof w:val="0"/>
                <w:color w:val="FFFFFF"/>
                <w:szCs w:val="16"/>
              </w:rPr>
              <w:t>-e)</w:t>
            </w:r>
          </w:p>
        </w:tc>
        <w:tc>
          <w:tcPr>
            <w:tcW w:w="1333" w:type="dxa"/>
            <w:vMerge w:val="restart"/>
            <w:tcBorders>
              <w:top w:val="single" w:sz="4" w:space="0" w:color="365F91"/>
            </w:tcBorders>
            <w:shd w:val="clear" w:color="auto" w:fill="365F91"/>
            <w:vAlign w:val="bottom"/>
          </w:tcPr>
          <w:p w14:paraId="15C18B7F" w14:textId="77777777" w:rsidR="00333601" w:rsidRPr="00BE78CA" w:rsidRDefault="00333601" w:rsidP="00C26084">
            <w:pPr>
              <w:pStyle w:val="TableTextBold"/>
              <w:spacing w:before="40" w:after="40"/>
              <w:jc w:val="center"/>
              <w:rPr>
                <w:noProof w:val="0"/>
                <w:color w:val="FFFFFF"/>
                <w:szCs w:val="16"/>
              </w:rPr>
            </w:pPr>
            <w:r w:rsidRPr="00BE78CA">
              <w:rPr>
                <w:noProof w:val="0"/>
                <w:color w:val="FFFFFF"/>
                <w:szCs w:val="16"/>
              </w:rPr>
              <w:t>Change from 1990 (%)</w:t>
            </w:r>
          </w:p>
        </w:tc>
      </w:tr>
      <w:tr w:rsidR="00333601" w:rsidRPr="00BE78CA" w14:paraId="1B8B201B" w14:textId="77777777" w:rsidTr="00FB1B7E">
        <w:tc>
          <w:tcPr>
            <w:tcW w:w="2797" w:type="dxa"/>
            <w:vMerge/>
            <w:tcBorders>
              <w:bottom w:val="single" w:sz="4" w:space="0" w:color="365F91"/>
            </w:tcBorders>
            <w:shd w:val="clear" w:color="auto" w:fill="365F91"/>
          </w:tcPr>
          <w:p w14:paraId="5910CA0F" w14:textId="77777777" w:rsidR="00333601" w:rsidRPr="00BE78CA" w:rsidRDefault="00333601" w:rsidP="00C26084">
            <w:pPr>
              <w:pStyle w:val="TableTextBold"/>
              <w:keepNext/>
              <w:spacing w:before="40" w:after="40"/>
              <w:rPr>
                <w:noProof w:val="0"/>
                <w:color w:val="FFFFFF"/>
                <w:szCs w:val="16"/>
              </w:rPr>
            </w:pPr>
          </w:p>
        </w:tc>
        <w:tc>
          <w:tcPr>
            <w:tcW w:w="1359" w:type="dxa"/>
            <w:vMerge/>
            <w:tcBorders>
              <w:bottom w:val="single" w:sz="4" w:space="0" w:color="365F91"/>
            </w:tcBorders>
            <w:shd w:val="clear" w:color="auto" w:fill="365F91"/>
          </w:tcPr>
          <w:p w14:paraId="74248C98" w14:textId="77777777" w:rsidR="00333601" w:rsidRPr="00BE78CA" w:rsidRDefault="00333601" w:rsidP="00C26084">
            <w:pPr>
              <w:pStyle w:val="TableTextBold"/>
              <w:spacing w:before="40" w:after="40"/>
              <w:rPr>
                <w:noProof w:val="0"/>
                <w:color w:val="FFFFFF"/>
                <w:szCs w:val="16"/>
              </w:rPr>
            </w:pPr>
          </w:p>
        </w:tc>
        <w:tc>
          <w:tcPr>
            <w:tcW w:w="1207" w:type="dxa"/>
            <w:vMerge/>
            <w:tcBorders>
              <w:bottom w:val="single" w:sz="4" w:space="0" w:color="365F91"/>
            </w:tcBorders>
            <w:shd w:val="clear" w:color="auto" w:fill="365F91"/>
          </w:tcPr>
          <w:p w14:paraId="393299AE" w14:textId="77777777" w:rsidR="00333601" w:rsidRPr="00BE78CA" w:rsidRDefault="00333601" w:rsidP="00C26084">
            <w:pPr>
              <w:pStyle w:val="TableTextBold"/>
              <w:spacing w:before="40" w:after="40"/>
              <w:rPr>
                <w:noProof w:val="0"/>
                <w:color w:val="FFFFFF"/>
                <w:szCs w:val="16"/>
              </w:rPr>
            </w:pPr>
          </w:p>
        </w:tc>
        <w:tc>
          <w:tcPr>
            <w:tcW w:w="905" w:type="dxa"/>
            <w:tcBorders>
              <w:bottom w:val="single" w:sz="4" w:space="0" w:color="365F91"/>
            </w:tcBorders>
            <w:shd w:val="clear" w:color="auto" w:fill="365F91"/>
          </w:tcPr>
          <w:p w14:paraId="653E88CB" w14:textId="77777777" w:rsidR="00333601" w:rsidRPr="00BE78CA" w:rsidRDefault="00333601" w:rsidP="00C26084">
            <w:pPr>
              <w:pStyle w:val="TableTextBold"/>
              <w:spacing w:before="40" w:after="40"/>
              <w:jc w:val="center"/>
              <w:rPr>
                <w:noProof w:val="0"/>
                <w:color w:val="FFFFFF"/>
                <w:szCs w:val="16"/>
              </w:rPr>
            </w:pPr>
            <w:r w:rsidRPr="00BE78CA">
              <w:rPr>
                <w:noProof w:val="0"/>
                <w:color w:val="FFFFFF"/>
                <w:szCs w:val="16"/>
              </w:rPr>
              <w:t>1990</w:t>
            </w:r>
          </w:p>
        </w:tc>
        <w:tc>
          <w:tcPr>
            <w:tcW w:w="904" w:type="dxa"/>
            <w:tcBorders>
              <w:bottom w:val="single" w:sz="4" w:space="0" w:color="365F91"/>
            </w:tcBorders>
            <w:shd w:val="clear" w:color="auto" w:fill="365F91"/>
          </w:tcPr>
          <w:p w14:paraId="2B12B2C2" w14:textId="77777777" w:rsidR="00333601" w:rsidRPr="00BE78CA" w:rsidRDefault="00333601" w:rsidP="00C26084">
            <w:pPr>
              <w:pStyle w:val="TableTextBold"/>
              <w:spacing w:before="40" w:after="40"/>
              <w:jc w:val="center"/>
              <w:rPr>
                <w:noProof w:val="0"/>
                <w:color w:val="FFFFFF"/>
                <w:szCs w:val="16"/>
              </w:rPr>
            </w:pPr>
            <w:r w:rsidRPr="00BE78CA">
              <w:rPr>
                <w:noProof w:val="0"/>
                <w:color w:val="FFFFFF"/>
                <w:szCs w:val="16"/>
              </w:rPr>
              <w:t>2019</w:t>
            </w:r>
          </w:p>
        </w:tc>
        <w:tc>
          <w:tcPr>
            <w:tcW w:w="1333" w:type="dxa"/>
            <w:vMerge/>
            <w:tcBorders>
              <w:bottom w:val="single" w:sz="4" w:space="0" w:color="365F91"/>
            </w:tcBorders>
            <w:shd w:val="clear" w:color="auto" w:fill="365F91"/>
          </w:tcPr>
          <w:p w14:paraId="07607C3F" w14:textId="77777777" w:rsidR="00333601" w:rsidRPr="00BE78CA" w:rsidRDefault="00333601" w:rsidP="00C26084">
            <w:pPr>
              <w:pStyle w:val="TableTextBold"/>
              <w:spacing w:before="40" w:after="40"/>
              <w:rPr>
                <w:noProof w:val="0"/>
                <w:color w:val="FFFFFF"/>
                <w:szCs w:val="16"/>
              </w:rPr>
            </w:pPr>
          </w:p>
        </w:tc>
      </w:tr>
      <w:tr w:rsidR="00333601" w:rsidRPr="00BE78CA" w14:paraId="03812399" w14:textId="77777777" w:rsidTr="00FB1B7E">
        <w:tc>
          <w:tcPr>
            <w:tcW w:w="2797" w:type="dxa"/>
            <w:tcBorders>
              <w:top w:val="single" w:sz="4" w:space="0" w:color="365F91"/>
              <w:bottom w:val="single" w:sz="4" w:space="0" w:color="365F91"/>
            </w:tcBorders>
          </w:tcPr>
          <w:p w14:paraId="435B6D85" w14:textId="77777777" w:rsidR="00333601" w:rsidRPr="00BE78CA" w:rsidRDefault="00333601" w:rsidP="0047019D">
            <w:pPr>
              <w:pStyle w:val="TableText"/>
              <w:keepNext/>
              <w:spacing w:before="50" w:after="50"/>
              <w:rPr>
                <w:szCs w:val="16"/>
              </w:rPr>
            </w:pPr>
            <w:r w:rsidRPr="00BE78CA">
              <w:rPr>
                <w:szCs w:val="16"/>
              </w:rPr>
              <w:t>Cropland remaining cropland</w:t>
            </w:r>
          </w:p>
        </w:tc>
        <w:tc>
          <w:tcPr>
            <w:tcW w:w="1359" w:type="dxa"/>
            <w:tcBorders>
              <w:top w:val="single" w:sz="4" w:space="0" w:color="365F91"/>
              <w:bottom w:val="single" w:sz="4" w:space="0" w:color="365F91"/>
            </w:tcBorders>
          </w:tcPr>
          <w:p w14:paraId="25856C9F" w14:textId="77777777" w:rsidR="00333601" w:rsidRPr="00BE78CA" w:rsidRDefault="00333601" w:rsidP="0047019D">
            <w:pPr>
              <w:pStyle w:val="TableText"/>
              <w:spacing w:before="50" w:after="50"/>
              <w:jc w:val="center"/>
              <w:rPr>
                <w:szCs w:val="16"/>
              </w:rPr>
            </w:pPr>
            <w:r w:rsidRPr="00BE78CA">
              <w:t>395,787</w:t>
            </w:r>
          </w:p>
        </w:tc>
        <w:tc>
          <w:tcPr>
            <w:tcW w:w="1207" w:type="dxa"/>
            <w:tcBorders>
              <w:top w:val="single" w:sz="4" w:space="0" w:color="365F91"/>
              <w:bottom w:val="single" w:sz="4" w:space="0" w:color="365F91"/>
            </w:tcBorders>
          </w:tcPr>
          <w:p w14:paraId="0AA4D96B" w14:textId="77777777" w:rsidR="00333601" w:rsidRPr="00BE78CA" w:rsidRDefault="00333601" w:rsidP="0047019D">
            <w:pPr>
              <w:pStyle w:val="TableText"/>
              <w:spacing w:before="50" w:after="50"/>
              <w:jc w:val="center"/>
              <w:rPr>
                <w:szCs w:val="16"/>
              </w:rPr>
            </w:pPr>
            <w:r w:rsidRPr="00BE78CA">
              <w:t>445,592</w:t>
            </w:r>
          </w:p>
        </w:tc>
        <w:tc>
          <w:tcPr>
            <w:tcW w:w="905" w:type="dxa"/>
            <w:tcBorders>
              <w:top w:val="single" w:sz="4" w:space="0" w:color="365F91"/>
              <w:bottom w:val="single" w:sz="4" w:space="0" w:color="365F91"/>
            </w:tcBorders>
          </w:tcPr>
          <w:p w14:paraId="7135A68D" w14:textId="77777777" w:rsidR="00333601" w:rsidRPr="00BE78CA" w:rsidRDefault="00333601" w:rsidP="0047019D">
            <w:pPr>
              <w:pStyle w:val="TableText"/>
              <w:spacing w:before="50" w:after="50"/>
              <w:jc w:val="center"/>
              <w:rPr>
                <w:szCs w:val="16"/>
              </w:rPr>
            </w:pPr>
            <w:r w:rsidRPr="00BE78CA">
              <w:t xml:space="preserve">351.1 </w:t>
            </w:r>
          </w:p>
        </w:tc>
        <w:tc>
          <w:tcPr>
            <w:tcW w:w="904" w:type="dxa"/>
            <w:tcBorders>
              <w:top w:val="single" w:sz="4" w:space="0" w:color="365F91"/>
              <w:bottom w:val="single" w:sz="4" w:space="0" w:color="365F91"/>
            </w:tcBorders>
          </w:tcPr>
          <w:p w14:paraId="32435068" w14:textId="77777777" w:rsidR="00333601" w:rsidRPr="00BE78CA" w:rsidRDefault="00333601" w:rsidP="0047019D">
            <w:pPr>
              <w:pStyle w:val="TableText"/>
              <w:spacing w:before="50" w:after="50"/>
              <w:jc w:val="center"/>
              <w:rPr>
                <w:szCs w:val="16"/>
              </w:rPr>
            </w:pPr>
            <w:r w:rsidRPr="00BE78CA">
              <w:t xml:space="preserve">315.6 </w:t>
            </w:r>
          </w:p>
        </w:tc>
        <w:tc>
          <w:tcPr>
            <w:tcW w:w="1333" w:type="dxa"/>
            <w:tcBorders>
              <w:top w:val="single" w:sz="4" w:space="0" w:color="365F91"/>
              <w:bottom w:val="single" w:sz="4" w:space="0" w:color="365F91"/>
            </w:tcBorders>
          </w:tcPr>
          <w:p w14:paraId="5B706FE2" w14:textId="77777777" w:rsidR="00333601" w:rsidRPr="00BE78CA" w:rsidRDefault="00333601" w:rsidP="0047019D">
            <w:pPr>
              <w:pStyle w:val="TableText"/>
              <w:spacing w:before="50" w:after="50"/>
              <w:jc w:val="center"/>
              <w:rPr>
                <w:szCs w:val="16"/>
              </w:rPr>
            </w:pPr>
            <w:r w:rsidRPr="00BE78CA">
              <w:t>–10.1</w:t>
            </w:r>
          </w:p>
        </w:tc>
      </w:tr>
      <w:tr w:rsidR="00333601" w:rsidRPr="00BE78CA" w14:paraId="01D7FE15" w14:textId="77777777" w:rsidTr="00FB1B7E">
        <w:tc>
          <w:tcPr>
            <w:tcW w:w="2797" w:type="dxa"/>
            <w:tcBorders>
              <w:top w:val="single" w:sz="4" w:space="0" w:color="365F91"/>
              <w:bottom w:val="single" w:sz="4" w:space="0" w:color="365F91"/>
            </w:tcBorders>
          </w:tcPr>
          <w:p w14:paraId="0C3F46AE" w14:textId="77777777" w:rsidR="00333601" w:rsidRPr="00BE78CA" w:rsidRDefault="00333601" w:rsidP="0047019D">
            <w:pPr>
              <w:pStyle w:val="TableText"/>
              <w:keepNext/>
              <w:spacing w:before="50" w:after="50"/>
              <w:rPr>
                <w:szCs w:val="16"/>
              </w:rPr>
            </w:pPr>
            <w:r w:rsidRPr="00BE78CA">
              <w:rPr>
                <w:szCs w:val="16"/>
              </w:rPr>
              <w:t>Land converted to cropland</w:t>
            </w:r>
          </w:p>
        </w:tc>
        <w:tc>
          <w:tcPr>
            <w:tcW w:w="1359" w:type="dxa"/>
            <w:tcBorders>
              <w:top w:val="single" w:sz="4" w:space="0" w:color="365F91"/>
              <w:bottom w:val="single" w:sz="4" w:space="0" w:color="365F91"/>
            </w:tcBorders>
          </w:tcPr>
          <w:p w14:paraId="7287271F" w14:textId="77777777" w:rsidR="00333601" w:rsidRPr="00BE78CA" w:rsidRDefault="00333601" w:rsidP="0047019D">
            <w:pPr>
              <w:pStyle w:val="TableText"/>
              <w:spacing w:before="50" w:after="50"/>
              <w:jc w:val="center"/>
              <w:rPr>
                <w:szCs w:val="16"/>
              </w:rPr>
            </w:pPr>
            <w:r w:rsidRPr="00BE78CA">
              <w:t>28,144</w:t>
            </w:r>
          </w:p>
        </w:tc>
        <w:tc>
          <w:tcPr>
            <w:tcW w:w="1207" w:type="dxa"/>
            <w:tcBorders>
              <w:top w:val="single" w:sz="4" w:space="0" w:color="365F91"/>
              <w:bottom w:val="single" w:sz="4" w:space="0" w:color="365F91"/>
            </w:tcBorders>
          </w:tcPr>
          <w:p w14:paraId="45F4CD04" w14:textId="77777777" w:rsidR="00333601" w:rsidRPr="00BE78CA" w:rsidRDefault="00333601" w:rsidP="0047019D">
            <w:pPr>
              <w:pStyle w:val="TableText"/>
              <w:spacing w:before="50" w:after="50"/>
              <w:jc w:val="center"/>
              <w:rPr>
                <w:szCs w:val="16"/>
              </w:rPr>
            </w:pPr>
            <w:r w:rsidRPr="00BE78CA">
              <w:t>30,644</w:t>
            </w:r>
          </w:p>
        </w:tc>
        <w:tc>
          <w:tcPr>
            <w:tcW w:w="905" w:type="dxa"/>
            <w:tcBorders>
              <w:top w:val="single" w:sz="4" w:space="0" w:color="365F91"/>
              <w:bottom w:val="single" w:sz="4" w:space="0" w:color="365F91"/>
            </w:tcBorders>
          </w:tcPr>
          <w:p w14:paraId="5B69FCED" w14:textId="77777777" w:rsidR="00333601" w:rsidRPr="00BE78CA" w:rsidRDefault="00333601" w:rsidP="0047019D">
            <w:pPr>
              <w:pStyle w:val="TableText"/>
              <w:spacing w:before="50" w:after="50"/>
              <w:jc w:val="center"/>
              <w:rPr>
                <w:szCs w:val="16"/>
              </w:rPr>
            </w:pPr>
            <w:r w:rsidRPr="00BE78CA">
              <w:t xml:space="preserve">124.8 </w:t>
            </w:r>
          </w:p>
        </w:tc>
        <w:tc>
          <w:tcPr>
            <w:tcW w:w="904" w:type="dxa"/>
            <w:tcBorders>
              <w:top w:val="single" w:sz="4" w:space="0" w:color="365F91"/>
              <w:bottom w:val="single" w:sz="4" w:space="0" w:color="365F91"/>
            </w:tcBorders>
          </w:tcPr>
          <w:p w14:paraId="0C18EE36" w14:textId="77777777" w:rsidR="00333601" w:rsidRPr="00BE78CA" w:rsidRDefault="00333601" w:rsidP="0047019D">
            <w:pPr>
              <w:pStyle w:val="TableText"/>
              <w:spacing w:before="50" w:after="50"/>
              <w:jc w:val="center"/>
              <w:rPr>
                <w:szCs w:val="16"/>
              </w:rPr>
            </w:pPr>
            <w:r w:rsidRPr="00BE78CA">
              <w:t xml:space="preserve">71.2 </w:t>
            </w:r>
          </w:p>
        </w:tc>
        <w:tc>
          <w:tcPr>
            <w:tcW w:w="1333" w:type="dxa"/>
            <w:tcBorders>
              <w:top w:val="single" w:sz="4" w:space="0" w:color="365F91"/>
              <w:bottom w:val="single" w:sz="4" w:space="0" w:color="365F91"/>
            </w:tcBorders>
          </w:tcPr>
          <w:p w14:paraId="3377467D" w14:textId="77777777" w:rsidR="00333601" w:rsidRPr="00BE78CA" w:rsidRDefault="00333601" w:rsidP="0047019D">
            <w:pPr>
              <w:pStyle w:val="TableText"/>
              <w:spacing w:before="50" w:after="50"/>
              <w:jc w:val="center"/>
              <w:rPr>
                <w:szCs w:val="16"/>
              </w:rPr>
            </w:pPr>
            <w:r w:rsidRPr="00BE78CA">
              <w:t>–42.9</w:t>
            </w:r>
          </w:p>
        </w:tc>
      </w:tr>
      <w:tr w:rsidR="00333601" w:rsidRPr="00BE78CA" w14:paraId="2F984623" w14:textId="77777777" w:rsidTr="00FB1B7E">
        <w:tc>
          <w:tcPr>
            <w:tcW w:w="2797" w:type="dxa"/>
            <w:tcBorders>
              <w:top w:val="single" w:sz="4" w:space="0" w:color="365F91"/>
              <w:bottom w:val="single" w:sz="4" w:space="0" w:color="365F91"/>
            </w:tcBorders>
          </w:tcPr>
          <w:p w14:paraId="563B28D8" w14:textId="77777777" w:rsidR="00333601" w:rsidRPr="00BE78CA" w:rsidRDefault="00333601" w:rsidP="0047019D">
            <w:pPr>
              <w:pStyle w:val="Tableboldblue"/>
              <w:spacing w:before="50" w:after="50"/>
            </w:pPr>
            <w:r w:rsidRPr="00BE78CA">
              <w:t>Total</w:t>
            </w:r>
          </w:p>
        </w:tc>
        <w:tc>
          <w:tcPr>
            <w:tcW w:w="1359" w:type="dxa"/>
            <w:tcBorders>
              <w:top w:val="single" w:sz="4" w:space="0" w:color="365F91"/>
              <w:bottom w:val="single" w:sz="4" w:space="0" w:color="365F91"/>
            </w:tcBorders>
          </w:tcPr>
          <w:p w14:paraId="369ACFAC" w14:textId="77777777" w:rsidR="00333601" w:rsidRPr="00BE78CA" w:rsidRDefault="00333601" w:rsidP="0047019D">
            <w:pPr>
              <w:pStyle w:val="Tableboldblue"/>
              <w:spacing w:before="50" w:after="50"/>
              <w:jc w:val="center"/>
            </w:pPr>
            <w:r w:rsidRPr="00BE78CA">
              <w:t>423,930</w:t>
            </w:r>
          </w:p>
        </w:tc>
        <w:tc>
          <w:tcPr>
            <w:tcW w:w="1207" w:type="dxa"/>
            <w:tcBorders>
              <w:top w:val="single" w:sz="4" w:space="0" w:color="365F91"/>
              <w:bottom w:val="single" w:sz="4" w:space="0" w:color="365F91"/>
            </w:tcBorders>
          </w:tcPr>
          <w:p w14:paraId="6C1DC4DC" w14:textId="77777777" w:rsidR="00333601" w:rsidRPr="00BE78CA" w:rsidRDefault="00333601" w:rsidP="0047019D">
            <w:pPr>
              <w:pStyle w:val="Tableboldblue"/>
              <w:spacing w:before="50" w:after="50"/>
              <w:jc w:val="center"/>
            </w:pPr>
            <w:r w:rsidRPr="00BE78CA">
              <w:t>476,236</w:t>
            </w:r>
          </w:p>
        </w:tc>
        <w:tc>
          <w:tcPr>
            <w:tcW w:w="905" w:type="dxa"/>
            <w:tcBorders>
              <w:top w:val="single" w:sz="4" w:space="0" w:color="365F91"/>
              <w:bottom w:val="single" w:sz="4" w:space="0" w:color="365F91"/>
            </w:tcBorders>
          </w:tcPr>
          <w:p w14:paraId="4D1621C9" w14:textId="77777777" w:rsidR="00333601" w:rsidRPr="00BE78CA" w:rsidRDefault="00333601" w:rsidP="0047019D">
            <w:pPr>
              <w:pStyle w:val="Tableboldblue"/>
              <w:spacing w:before="50" w:after="50"/>
              <w:jc w:val="center"/>
            </w:pPr>
            <w:r w:rsidRPr="00BE78CA">
              <w:t xml:space="preserve">476.0 </w:t>
            </w:r>
          </w:p>
        </w:tc>
        <w:tc>
          <w:tcPr>
            <w:tcW w:w="904" w:type="dxa"/>
            <w:tcBorders>
              <w:top w:val="single" w:sz="4" w:space="0" w:color="365F91"/>
              <w:bottom w:val="single" w:sz="4" w:space="0" w:color="365F91"/>
            </w:tcBorders>
          </w:tcPr>
          <w:p w14:paraId="651AEB38" w14:textId="77777777" w:rsidR="00333601" w:rsidRPr="00BE78CA" w:rsidRDefault="00333601" w:rsidP="0047019D">
            <w:pPr>
              <w:pStyle w:val="Tableboldblue"/>
              <w:spacing w:before="50" w:after="50"/>
              <w:jc w:val="center"/>
            </w:pPr>
            <w:r w:rsidRPr="00BE78CA">
              <w:t xml:space="preserve">386.8 </w:t>
            </w:r>
          </w:p>
        </w:tc>
        <w:tc>
          <w:tcPr>
            <w:tcW w:w="1333" w:type="dxa"/>
            <w:tcBorders>
              <w:top w:val="single" w:sz="4" w:space="0" w:color="365F91"/>
              <w:bottom w:val="single" w:sz="4" w:space="0" w:color="365F91"/>
            </w:tcBorders>
          </w:tcPr>
          <w:p w14:paraId="54BE9CF5" w14:textId="77777777" w:rsidR="00333601" w:rsidRPr="00BE78CA" w:rsidRDefault="00333601" w:rsidP="0047019D">
            <w:pPr>
              <w:pStyle w:val="Tableboldblue"/>
              <w:spacing w:before="50" w:after="50"/>
              <w:jc w:val="center"/>
            </w:pPr>
            <w:r w:rsidRPr="00BE78CA">
              <w:t>–18.7</w:t>
            </w:r>
          </w:p>
        </w:tc>
      </w:tr>
    </w:tbl>
    <w:p w14:paraId="7FC76C1A" w14:textId="77777777" w:rsidR="00333601" w:rsidRPr="00BE78CA" w:rsidRDefault="00333601" w:rsidP="00333601">
      <w:pPr>
        <w:pStyle w:val="Noteundertable"/>
      </w:pPr>
      <w:r w:rsidRPr="00BE78CA">
        <w:rPr>
          <w:b/>
        </w:rPr>
        <w:t>Note:</w:t>
      </w:r>
      <w:r w:rsidRPr="00BE78CA">
        <w:tab/>
        <w:t xml:space="preserve">Net area in 1990 is as at 1 January 1990; net area in 2019 is as at 31 December. </w:t>
      </w:r>
      <w:r w:rsidRPr="00BE78CA">
        <w:rPr>
          <w:i/>
        </w:rPr>
        <w:t>Land area converted to cropland</w:t>
      </w:r>
      <w:r w:rsidRPr="00BE78CA">
        <w:t xml:space="preserve"> includes land converted up to 20 years prior. Net emission values are for the whole year indicated. Values include CO</w:t>
      </w:r>
      <w:r w:rsidRPr="00BE78CA">
        <w:rPr>
          <w:vertAlign w:val="subscript"/>
        </w:rPr>
        <w:t>2</w:t>
      </w:r>
      <w:r w:rsidRPr="00BE78CA">
        <w:t>-e emissions from N</w:t>
      </w:r>
      <w:r w:rsidRPr="00BE78CA">
        <w:rPr>
          <w:vertAlign w:val="subscript"/>
        </w:rPr>
        <w:t>2</w:t>
      </w:r>
      <w:r w:rsidRPr="00BE78CA">
        <w:t>O from cultivation of land.</w:t>
      </w:r>
    </w:p>
    <w:p w14:paraId="208B14E9" w14:textId="77777777" w:rsidR="00333601" w:rsidRPr="00BE78CA" w:rsidRDefault="00333601" w:rsidP="00333601">
      <w:pPr>
        <w:pStyle w:val="BodyText"/>
        <w:spacing w:before="100" w:after="100"/>
      </w:pPr>
      <w:r w:rsidRPr="00BE78CA">
        <w:t xml:space="preserve">The </w:t>
      </w:r>
      <w:r w:rsidRPr="00BE78CA">
        <w:rPr>
          <w:i/>
        </w:rPr>
        <w:t>Cropland remaining cropland</w:t>
      </w:r>
      <w:r w:rsidRPr="00BE78CA">
        <w:t xml:space="preserve"> category is responsible for the majority of </w:t>
      </w:r>
      <w:r w:rsidRPr="00BE78CA">
        <w:rPr>
          <w:i/>
        </w:rPr>
        <w:t>Cropland</w:t>
      </w:r>
      <w:r w:rsidRPr="00BE78CA">
        <w:t xml:space="preserve"> emissions. This category comprised 93.6 per cent of all </w:t>
      </w:r>
      <w:r w:rsidRPr="00BE78CA">
        <w:rPr>
          <w:i/>
        </w:rPr>
        <w:t>Cropland</w:t>
      </w:r>
      <w:r w:rsidRPr="00BE78CA">
        <w:t xml:space="preserve"> area in 2019. </w:t>
      </w:r>
    </w:p>
    <w:p w14:paraId="12AE050A" w14:textId="77777777" w:rsidR="00333601" w:rsidRPr="00BE78CA" w:rsidRDefault="00333601" w:rsidP="00333601">
      <w:pPr>
        <w:pStyle w:val="BodyText"/>
        <w:spacing w:before="100" w:after="100"/>
      </w:pPr>
      <w:r w:rsidRPr="00BE78CA">
        <w:t xml:space="preserve">The majority of emissions due to carbon stock change that have occurred in the </w:t>
      </w:r>
      <w:r w:rsidRPr="00BE78CA">
        <w:rPr>
          <w:i/>
        </w:rPr>
        <w:t>Cropland</w:t>
      </w:r>
      <w:r w:rsidRPr="00BE78CA">
        <w:t xml:space="preserve"> category since 1990 are in the SOC pool (</w:t>
      </w:r>
      <w:r w:rsidRPr="00BE78CA">
        <w:rPr>
          <w:bCs/>
        </w:rPr>
        <w:t>4,125.4</w:t>
      </w:r>
      <w:r w:rsidRPr="00BE78CA">
        <w:rPr>
          <w:b/>
          <w:bCs/>
        </w:rPr>
        <w:t xml:space="preserve"> </w:t>
      </w:r>
      <w:r w:rsidRPr="00BE78CA">
        <w:t>kt C or –15,126.6 kt CO</w:t>
      </w:r>
      <w:r w:rsidRPr="00BE78CA">
        <w:rPr>
          <w:vertAlign w:val="subscript"/>
        </w:rPr>
        <w:t>2</w:t>
      </w:r>
      <w:r w:rsidRPr="00BE78CA">
        <w:t>) (see table 6.5.2). Within the SOC pool, the majority of emissions result from drained organic soils (11,171.2 kt CO</w:t>
      </w:r>
      <w:r w:rsidRPr="00BE78CA">
        <w:rPr>
          <w:vertAlign w:val="subscript"/>
        </w:rPr>
        <w:t>2</w:t>
      </w:r>
      <w:r w:rsidRPr="00BE78CA">
        <w:t xml:space="preserve">). This is because organic soils continue to lose carbon even after the 20-year transition period (IPCC, 2006a). </w:t>
      </w:r>
    </w:p>
    <w:p w14:paraId="390414AB" w14:textId="77777777" w:rsidR="00333601" w:rsidRPr="00BE78CA" w:rsidRDefault="00333601" w:rsidP="00333601">
      <w:pPr>
        <w:pStyle w:val="Table"/>
      </w:pPr>
      <w:bookmarkStart w:id="2020" w:name="_Toc378853301"/>
      <w:bookmarkStart w:id="2021" w:name="_Toc391024099"/>
      <w:bookmarkStart w:id="2022" w:name="_Toc410028842"/>
      <w:bookmarkStart w:id="2023" w:name="_Toc414531470"/>
      <w:bookmarkStart w:id="2024" w:name="_Toc443645383"/>
      <w:bookmarkStart w:id="2025" w:name="_Toc474914602"/>
      <w:bookmarkStart w:id="2026" w:name="_Toc481751566"/>
      <w:bookmarkStart w:id="2027" w:name="_Toc522010623"/>
      <w:bookmarkStart w:id="2028" w:name="_Toc5269528"/>
      <w:bookmarkStart w:id="2029" w:name="_Toc33529402"/>
      <w:bookmarkStart w:id="2030" w:name="_Toc36224608"/>
      <w:bookmarkStart w:id="2031" w:name="_Toc65243605"/>
      <w:bookmarkStart w:id="2032" w:name="_Toc68786495"/>
      <w:r w:rsidRPr="00BE78CA">
        <w:t>Table 6.5.2</w:t>
      </w:r>
      <w:r w:rsidRPr="00BE78CA">
        <w:tab/>
        <w:t>New Zealand’s carbon stock change by carbon pool for the</w:t>
      </w:r>
      <w:r w:rsidRPr="00BE78CA">
        <w:rPr>
          <w:rFonts w:cs="Arial"/>
        </w:rPr>
        <w:t xml:space="preserve"> Crop</w:t>
      </w:r>
      <w:r w:rsidRPr="00BE78CA">
        <w:t>land category</w:t>
      </w:r>
      <w:r w:rsidRPr="00BE78CA">
        <w:br/>
        <w:t>from 1990 to</w:t>
      </w:r>
      <w:bookmarkEnd w:id="2020"/>
      <w:bookmarkEnd w:id="2021"/>
      <w:r w:rsidRPr="00BE78CA">
        <w:t> 201</w:t>
      </w:r>
      <w:bookmarkEnd w:id="2022"/>
      <w:bookmarkEnd w:id="2023"/>
      <w:bookmarkEnd w:id="2024"/>
      <w:bookmarkEnd w:id="2025"/>
      <w:bookmarkEnd w:id="2026"/>
      <w:bookmarkEnd w:id="2027"/>
      <w:bookmarkEnd w:id="2028"/>
      <w:bookmarkEnd w:id="2029"/>
      <w:bookmarkEnd w:id="2030"/>
      <w:r w:rsidRPr="00BE78CA">
        <w:t>9</w:t>
      </w:r>
      <w:bookmarkEnd w:id="2031"/>
      <w:bookmarkEnd w:id="2032"/>
    </w:p>
    <w:tbl>
      <w:tblPr>
        <w:tblW w:w="8505" w:type="dxa"/>
        <w:tblLook w:val="04A0" w:firstRow="1" w:lastRow="0" w:firstColumn="1" w:lastColumn="0" w:noHBand="0" w:noVBand="1"/>
      </w:tblPr>
      <w:tblGrid>
        <w:gridCol w:w="1700"/>
        <w:gridCol w:w="1350"/>
        <w:gridCol w:w="1455"/>
        <w:gridCol w:w="1269"/>
        <w:gridCol w:w="1269"/>
        <w:gridCol w:w="1462"/>
      </w:tblGrid>
      <w:tr w:rsidR="00333601" w:rsidRPr="00BE78CA" w14:paraId="34A299D9" w14:textId="77777777" w:rsidTr="00FB1B7E">
        <w:tc>
          <w:tcPr>
            <w:tcW w:w="1700" w:type="dxa"/>
            <w:vMerge w:val="restart"/>
            <w:tcBorders>
              <w:top w:val="single" w:sz="4" w:space="0" w:color="365F91"/>
              <w:bottom w:val="single" w:sz="4" w:space="0" w:color="365F91"/>
            </w:tcBorders>
            <w:shd w:val="clear" w:color="auto" w:fill="365F91"/>
            <w:vAlign w:val="bottom"/>
          </w:tcPr>
          <w:p w14:paraId="6C99BB43" w14:textId="77777777" w:rsidR="00333601" w:rsidRPr="00BE78CA" w:rsidRDefault="00333601" w:rsidP="00C26084">
            <w:pPr>
              <w:pStyle w:val="TableTextBold"/>
              <w:keepNext/>
              <w:spacing w:before="40" w:after="40"/>
              <w:rPr>
                <w:noProof w:val="0"/>
                <w:color w:val="FFFFFF"/>
                <w:szCs w:val="16"/>
              </w:rPr>
            </w:pPr>
            <w:r w:rsidRPr="00BE78CA">
              <w:rPr>
                <w:noProof w:val="0"/>
                <w:color w:val="FFFFFF"/>
                <w:szCs w:val="16"/>
              </w:rPr>
              <w:t>Land use</w:t>
            </w:r>
          </w:p>
        </w:tc>
        <w:tc>
          <w:tcPr>
            <w:tcW w:w="5343" w:type="dxa"/>
            <w:gridSpan w:val="4"/>
            <w:tcBorders>
              <w:top w:val="single" w:sz="4" w:space="0" w:color="365F91"/>
              <w:bottom w:val="single" w:sz="4" w:space="0" w:color="365F91"/>
            </w:tcBorders>
            <w:shd w:val="clear" w:color="auto" w:fill="365F91"/>
            <w:vAlign w:val="bottom"/>
          </w:tcPr>
          <w:p w14:paraId="60B1DCB1" w14:textId="77777777" w:rsidR="00333601" w:rsidRPr="00BE78CA" w:rsidRDefault="00333601" w:rsidP="00C26084">
            <w:pPr>
              <w:pStyle w:val="TableTextBold"/>
              <w:keepNext/>
              <w:spacing w:after="40"/>
              <w:jc w:val="center"/>
              <w:rPr>
                <w:noProof w:val="0"/>
                <w:color w:val="FFFFFF"/>
                <w:szCs w:val="16"/>
              </w:rPr>
            </w:pPr>
            <w:r w:rsidRPr="00BE78CA">
              <w:rPr>
                <w:noProof w:val="0"/>
                <w:color w:val="FFFFFF"/>
                <w:szCs w:val="16"/>
              </w:rPr>
              <w:t>Net carbon stock change 1990–2019 (kt C)</w:t>
            </w:r>
          </w:p>
        </w:tc>
        <w:tc>
          <w:tcPr>
            <w:tcW w:w="1462" w:type="dxa"/>
            <w:vMerge w:val="restart"/>
            <w:tcBorders>
              <w:top w:val="single" w:sz="4" w:space="0" w:color="365F91"/>
              <w:bottom w:val="single" w:sz="4" w:space="0" w:color="365F91"/>
            </w:tcBorders>
            <w:shd w:val="clear" w:color="auto" w:fill="365F91"/>
            <w:vAlign w:val="bottom"/>
          </w:tcPr>
          <w:p w14:paraId="226C6D1C" w14:textId="77777777" w:rsidR="00333601" w:rsidRPr="00BE78CA" w:rsidRDefault="00333601" w:rsidP="00C26084">
            <w:pPr>
              <w:pStyle w:val="TableTextBold"/>
              <w:keepNext/>
              <w:spacing w:before="40" w:after="40"/>
              <w:jc w:val="center"/>
              <w:rPr>
                <w:noProof w:val="0"/>
                <w:color w:val="FFFFFF"/>
                <w:szCs w:val="16"/>
              </w:rPr>
            </w:pPr>
            <w:r w:rsidRPr="00BE78CA">
              <w:rPr>
                <w:noProof w:val="0"/>
                <w:color w:val="FFFFFF"/>
                <w:szCs w:val="16"/>
              </w:rPr>
              <w:t xml:space="preserve">Emissions </w:t>
            </w:r>
            <w:r w:rsidRPr="00BE78CA">
              <w:rPr>
                <w:noProof w:val="0"/>
                <w:color w:val="FFFFFF"/>
                <w:szCs w:val="16"/>
              </w:rPr>
              <w:br/>
              <w:t>1990–2019</w:t>
            </w:r>
            <w:r w:rsidRPr="00BE78CA">
              <w:rPr>
                <w:noProof w:val="0"/>
                <w:color w:val="FFFFFF"/>
                <w:szCs w:val="16"/>
              </w:rPr>
              <w:br/>
              <w:t>(kt CO</w:t>
            </w:r>
            <w:r w:rsidRPr="00BE78CA">
              <w:rPr>
                <w:noProof w:val="0"/>
                <w:color w:val="FFFFFF"/>
                <w:szCs w:val="16"/>
                <w:vertAlign w:val="subscript"/>
              </w:rPr>
              <w:t>2</w:t>
            </w:r>
            <w:r w:rsidRPr="00BE78CA">
              <w:rPr>
                <w:noProof w:val="0"/>
                <w:color w:val="FFFFFF"/>
                <w:szCs w:val="16"/>
              </w:rPr>
              <w:t>)</w:t>
            </w:r>
          </w:p>
        </w:tc>
      </w:tr>
      <w:tr w:rsidR="00333601" w:rsidRPr="00BE78CA" w14:paraId="2893FE1C" w14:textId="77777777" w:rsidTr="00FB1B7E">
        <w:tc>
          <w:tcPr>
            <w:tcW w:w="1700" w:type="dxa"/>
            <w:vMerge/>
            <w:tcBorders>
              <w:top w:val="single" w:sz="4" w:space="0" w:color="365F91"/>
            </w:tcBorders>
            <w:shd w:val="clear" w:color="auto" w:fill="365F91"/>
            <w:vAlign w:val="bottom"/>
          </w:tcPr>
          <w:p w14:paraId="5CF4E908" w14:textId="77777777" w:rsidR="00333601" w:rsidRPr="00BE78CA" w:rsidRDefault="00333601" w:rsidP="00C26084">
            <w:pPr>
              <w:pStyle w:val="TableText"/>
              <w:keepNext/>
              <w:spacing w:before="40" w:after="40"/>
              <w:rPr>
                <w:color w:val="FFFFFF"/>
                <w:szCs w:val="16"/>
              </w:rPr>
            </w:pPr>
          </w:p>
        </w:tc>
        <w:tc>
          <w:tcPr>
            <w:tcW w:w="1350" w:type="dxa"/>
            <w:tcBorders>
              <w:top w:val="single" w:sz="4" w:space="0" w:color="365F91"/>
            </w:tcBorders>
            <w:shd w:val="clear" w:color="auto" w:fill="365F91"/>
            <w:vAlign w:val="bottom"/>
          </w:tcPr>
          <w:p w14:paraId="3A9CB185" w14:textId="77777777" w:rsidR="00333601" w:rsidRPr="00BE78CA" w:rsidRDefault="00333601" w:rsidP="00C26084">
            <w:pPr>
              <w:pStyle w:val="TableTextBold"/>
              <w:keepNext/>
              <w:spacing w:before="40" w:after="40"/>
              <w:jc w:val="center"/>
              <w:rPr>
                <w:noProof w:val="0"/>
                <w:color w:val="FFFFFF"/>
                <w:szCs w:val="16"/>
              </w:rPr>
            </w:pPr>
            <w:r w:rsidRPr="00BE78CA">
              <w:rPr>
                <w:noProof w:val="0"/>
                <w:color w:val="FFFFFF"/>
                <w:szCs w:val="16"/>
              </w:rPr>
              <w:t>Living biomass</w:t>
            </w:r>
          </w:p>
        </w:tc>
        <w:tc>
          <w:tcPr>
            <w:tcW w:w="1455" w:type="dxa"/>
            <w:tcBorders>
              <w:top w:val="single" w:sz="4" w:space="0" w:color="365F91"/>
            </w:tcBorders>
            <w:shd w:val="clear" w:color="auto" w:fill="365F91"/>
            <w:vAlign w:val="bottom"/>
          </w:tcPr>
          <w:p w14:paraId="28531E73" w14:textId="77777777" w:rsidR="00333601" w:rsidRPr="00BE78CA" w:rsidRDefault="00333601" w:rsidP="00C26084">
            <w:pPr>
              <w:pStyle w:val="TableTextBold"/>
              <w:keepNext/>
              <w:spacing w:before="40" w:after="40"/>
              <w:jc w:val="center"/>
              <w:rPr>
                <w:noProof w:val="0"/>
                <w:color w:val="FFFFFF"/>
                <w:szCs w:val="16"/>
              </w:rPr>
            </w:pPr>
            <w:r w:rsidRPr="00BE78CA">
              <w:rPr>
                <w:noProof w:val="0"/>
                <w:color w:val="FFFFFF"/>
                <w:szCs w:val="16"/>
              </w:rPr>
              <w:t>Dead organic matter</w:t>
            </w:r>
          </w:p>
        </w:tc>
        <w:tc>
          <w:tcPr>
            <w:tcW w:w="1269" w:type="dxa"/>
            <w:tcBorders>
              <w:top w:val="single" w:sz="4" w:space="0" w:color="365F91"/>
            </w:tcBorders>
            <w:shd w:val="clear" w:color="auto" w:fill="365F91"/>
            <w:vAlign w:val="bottom"/>
          </w:tcPr>
          <w:p w14:paraId="17C3E12B" w14:textId="77777777" w:rsidR="00333601" w:rsidRPr="00BE78CA" w:rsidRDefault="00333601" w:rsidP="00C26084">
            <w:pPr>
              <w:pStyle w:val="TableTextBold"/>
              <w:keepNext/>
              <w:spacing w:before="40" w:after="40"/>
              <w:jc w:val="center"/>
              <w:rPr>
                <w:noProof w:val="0"/>
                <w:color w:val="FFFFFF"/>
                <w:szCs w:val="16"/>
              </w:rPr>
            </w:pPr>
            <w:r w:rsidRPr="00BE78CA">
              <w:rPr>
                <w:noProof w:val="0"/>
                <w:color w:val="FFFFFF"/>
                <w:szCs w:val="16"/>
              </w:rPr>
              <w:t>Soils</w:t>
            </w:r>
          </w:p>
        </w:tc>
        <w:tc>
          <w:tcPr>
            <w:tcW w:w="1269" w:type="dxa"/>
            <w:tcBorders>
              <w:top w:val="single" w:sz="4" w:space="0" w:color="365F91"/>
            </w:tcBorders>
            <w:shd w:val="clear" w:color="auto" w:fill="365F91"/>
            <w:vAlign w:val="bottom"/>
          </w:tcPr>
          <w:p w14:paraId="50A1FBB9" w14:textId="77777777" w:rsidR="00333601" w:rsidRPr="00BE78CA" w:rsidRDefault="00333601" w:rsidP="00C26084">
            <w:pPr>
              <w:pStyle w:val="TableTextBold"/>
              <w:keepNext/>
              <w:spacing w:before="40" w:after="40"/>
              <w:jc w:val="center"/>
              <w:rPr>
                <w:noProof w:val="0"/>
                <w:color w:val="FFFFFF"/>
                <w:szCs w:val="16"/>
              </w:rPr>
            </w:pPr>
            <w:r w:rsidRPr="00BE78CA">
              <w:rPr>
                <w:noProof w:val="0"/>
                <w:color w:val="FFFFFF"/>
                <w:szCs w:val="16"/>
              </w:rPr>
              <w:t>Total</w:t>
            </w:r>
          </w:p>
        </w:tc>
        <w:tc>
          <w:tcPr>
            <w:tcW w:w="1462" w:type="dxa"/>
            <w:vMerge/>
            <w:tcBorders>
              <w:top w:val="single" w:sz="4" w:space="0" w:color="365F91"/>
            </w:tcBorders>
            <w:shd w:val="clear" w:color="auto" w:fill="365F91"/>
            <w:vAlign w:val="bottom"/>
          </w:tcPr>
          <w:p w14:paraId="7142BE86" w14:textId="77777777" w:rsidR="00333601" w:rsidRPr="00BE78CA" w:rsidRDefault="00333601" w:rsidP="00C26084">
            <w:pPr>
              <w:pStyle w:val="TableText"/>
              <w:keepNext/>
              <w:spacing w:before="40" w:after="40"/>
              <w:jc w:val="center"/>
              <w:rPr>
                <w:szCs w:val="16"/>
              </w:rPr>
            </w:pPr>
          </w:p>
        </w:tc>
      </w:tr>
      <w:tr w:rsidR="00333601" w:rsidRPr="00BE78CA" w14:paraId="68F37DA0" w14:textId="77777777" w:rsidTr="00FB1B7E">
        <w:tc>
          <w:tcPr>
            <w:tcW w:w="1700" w:type="dxa"/>
            <w:tcBorders>
              <w:bottom w:val="single" w:sz="4" w:space="0" w:color="365F91"/>
            </w:tcBorders>
          </w:tcPr>
          <w:p w14:paraId="50885382" w14:textId="77777777" w:rsidR="00333601" w:rsidRPr="00BE78CA" w:rsidRDefault="00333601" w:rsidP="0047019D">
            <w:pPr>
              <w:pStyle w:val="TableText"/>
              <w:spacing w:before="50" w:after="50"/>
              <w:rPr>
                <w:szCs w:val="16"/>
              </w:rPr>
            </w:pPr>
            <w:r w:rsidRPr="00BE78CA">
              <w:rPr>
                <w:szCs w:val="16"/>
              </w:rPr>
              <w:t>Annual cropland</w:t>
            </w:r>
          </w:p>
        </w:tc>
        <w:tc>
          <w:tcPr>
            <w:tcW w:w="1350" w:type="dxa"/>
            <w:tcBorders>
              <w:bottom w:val="single" w:sz="4" w:space="0" w:color="365F91"/>
            </w:tcBorders>
          </w:tcPr>
          <w:p w14:paraId="18F88C2E" w14:textId="77777777" w:rsidR="00333601" w:rsidRPr="00BE78CA" w:rsidRDefault="00333601" w:rsidP="0047019D">
            <w:pPr>
              <w:pStyle w:val="TableText"/>
              <w:keepNext/>
              <w:spacing w:before="50" w:after="50"/>
              <w:jc w:val="center"/>
              <w:rPr>
                <w:szCs w:val="16"/>
              </w:rPr>
            </w:pPr>
            <w:r w:rsidRPr="00BE78CA">
              <w:t>–169.5</w:t>
            </w:r>
          </w:p>
        </w:tc>
        <w:tc>
          <w:tcPr>
            <w:tcW w:w="1455" w:type="dxa"/>
            <w:tcBorders>
              <w:bottom w:val="single" w:sz="4" w:space="0" w:color="365F91"/>
            </w:tcBorders>
          </w:tcPr>
          <w:p w14:paraId="12266E0C" w14:textId="77777777" w:rsidR="00333601" w:rsidRPr="00BE78CA" w:rsidRDefault="00333601" w:rsidP="0047019D">
            <w:pPr>
              <w:pStyle w:val="TableText"/>
              <w:keepNext/>
              <w:spacing w:before="50" w:after="50"/>
              <w:jc w:val="center"/>
              <w:rPr>
                <w:szCs w:val="16"/>
              </w:rPr>
            </w:pPr>
            <w:r w:rsidRPr="00BE78CA">
              <w:t>–11.5</w:t>
            </w:r>
          </w:p>
        </w:tc>
        <w:tc>
          <w:tcPr>
            <w:tcW w:w="1269" w:type="dxa"/>
            <w:tcBorders>
              <w:bottom w:val="single" w:sz="4" w:space="0" w:color="365F91"/>
            </w:tcBorders>
          </w:tcPr>
          <w:p w14:paraId="675871B6" w14:textId="77777777" w:rsidR="00333601" w:rsidRPr="00BE78CA" w:rsidRDefault="00333601" w:rsidP="0047019D">
            <w:pPr>
              <w:pStyle w:val="TableText"/>
              <w:keepNext/>
              <w:spacing w:before="50" w:after="50"/>
              <w:jc w:val="center"/>
              <w:rPr>
                <w:szCs w:val="16"/>
              </w:rPr>
            </w:pPr>
            <w:r w:rsidRPr="00BE78CA">
              <w:t>–2,774.7</w:t>
            </w:r>
          </w:p>
        </w:tc>
        <w:tc>
          <w:tcPr>
            <w:tcW w:w="1269" w:type="dxa"/>
            <w:tcBorders>
              <w:bottom w:val="single" w:sz="4" w:space="0" w:color="365F91"/>
            </w:tcBorders>
          </w:tcPr>
          <w:p w14:paraId="470F4B87" w14:textId="77777777" w:rsidR="00333601" w:rsidRPr="00BE78CA" w:rsidRDefault="00333601" w:rsidP="0047019D">
            <w:pPr>
              <w:pStyle w:val="TableText"/>
              <w:keepNext/>
              <w:spacing w:before="50" w:after="50"/>
              <w:jc w:val="center"/>
              <w:rPr>
                <w:szCs w:val="16"/>
              </w:rPr>
            </w:pPr>
            <w:r w:rsidRPr="00BE78CA">
              <w:t>–2,955.7</w:t>
            </w:r>
          </w:p>
        </w:tc>
        <w:tc>
          <w:tcPr>
            <w:tcW w:w="1462" w:type="dxa"/>
            <w:tcBorders>
              <w:bottom w:val="single" w:sz="4" w:space="0" w:color="365F91"/>
            </w:tcBorders>
          </w:tcPr>
          <w:p w14:paraId="30D14FE9" w14:textId="77777777" w:rsidR="00333601" w:rsidRPr="00BE78CA" w:rsidRDefault="00333601" w:rsidP="0047019D">
            <w:pPr>
              <w:pStyle w:val="TableText"/>
              <w:keepNext/>
              <w:spacing w:before="50" w:after="50"/>
              <w:jc w:val="center"/>
              <w:rPr>
                <w:szCs w:val="16"/>
              </w:rPr>
            </w:pPr>
            <w:r w:rsidRPr="00BE78CA">
              <w:t>10,837.6</w:t>
            </w:r>
          </w:p>
        </w:tc>
      </w:tr>
      <w:tr w:rsidR="00333601" w:rsidRPr="00BE78CA" w14:paraId="2B140C2A" w14:textId="77777777" w:rsidTr="00FB1B7E">
        <w:tc>
          <w:tcPr>
            <w:tcW w:w="1700" w:type="dxa"/>
            <w:tcBorders>
              <w:top w:val="single" w:sz="4" w:space="0" w:color="365F91"/>
              <w:bottom w:val="single" w:sz="4" w:space="0" w:color="365F91"/>
            </w:tcBorders>
          </w:tcPr>
          <w:p w14:paraId="6027571D" w14:textId="77777777" w:rsidR="00333601" w:rsidRPr="00BE78CA" w:rsidRDefault="00333601" w:rsidP="0047019D">
            <w:pPr>
              <w:pStyle w:val="TableText"/>
              <w:spacing w:before="50" w:after="50"/>
              <w:rPr>
                <w:szCs w:val="16"/>
              </w:rPr>
            </w:pPr>
            <w:r w:rsidRPr="00BE78CA">
              <w:rPr>
                <w:szCs w:val="16"/>
              </w:rPr>
              <w:t xml:space="preserve">Perennial cropland </w:t>
            </w:r>
          </w:p>
        </w:tc>
        <w:tc>
          <w:tcPr>
            <w:tcW w:w="1350" w:type="dxa"/>
            <w:tcBorders>
              <w:top w:val="single" w:sz="4" w:space="0" w:color="365F91"/>
              <w:bottom w:val="single" w:sz="4" w:space="0" w:color="365F91"/>
            </w:tcBorders>
          </w:tcPr>
          <w:p w14:paraId="6045D444" w14:textId="77777777" w:rsidR="00333601" w:rsidRPr="00BE78CA" w:rsidRDefault="00333601" w:rsidP="0047019D">
            <w:pPr>
              <w:pStyle w:val="TableText"/>
              <w:keepNext/>
              <w:spacing w:before="50" w:after="50"/>
              <w:jc w:val="center"/>
              <w:rPr>
                <w:szCs w:val="16"/>
              </w:rPr>
            </w:pPr>
            <w:r w:rsidRPr="00BE78CA">
              <w:t>345.7</w:t>
            </w:r>
          </w:p>
        </w:tc>
        <w:tc>
          <w:tcPr>
            <w:tcW w:w="1455" w:type="dxa"/>
            <w:tcBorders>
              <w:top w:val="single" w:sz="4" w:space="0" w:color="365F91"/>
              <w:bottom w:val="single" w:sz="4" w:space="0" w:color="365F91"/>
            </w:tcBorders>
          </w:tcPr>
          <w:p w14:paraId="71ED21A5" w14:textId="77777777" w:rsidR="00333601" w:rsidRPr="00BE78CA" w:rsidRDefault="00333601" w:rsidP="0047019D">
            <w:pPr>
              <w:pStyle w:val="TableText"/>
              <w:keepNext/>
              <w:spacing w:before="50" w:after="50"/>
              <w:jc w:val="center"/>
              <w:rPr>
                <w:szCs w:val="16"/>
              </w:rPr>
            </w:pPr>
            <w:r w:rsidRPr="00BE78CA">
              <w:t>–7.5</w:t>
            </w:r>
          </w:p>
        </w:tc>
        <w:tc>
          <w:tcPr>
            <w:tcW w:w="1269" w:type="dxa"/>
            <w:tcBorders>
              <w:top w:val="single" w:sz="4" w:space="0" w:color="365F91"/>
              <w:bottom w:val="single" w:sz="4" w:space="0" w:color="365F91"/>
            </w:tcBorders>
          </w:tcPr>
          <w:p w14:paraId="3130BB31" w14:textId="77777777" w:rsidR="00333601" w:rsidRPr="00BE78CA" w:rsidRDefault="00333601" w:rsidP="0047019D">
            <w:pPr>
              <w:pStyle w:val="TableText"/>
              <w:keepNext/>
              <w:spacing w:before="50" w:after="50"/>
              <w:jc w:val="center"/>
              <w:rPr>
                <w:szCs w:val="16"/>
              </w:rPr>
            </w:pPr>
            <w:r w:rsidRPr="00BE78CA">
              <w:t>–1,350.7</w:t>
            </w:r>
          </w:p>
        </w:tc>
        <w:tc>
          <w:tcPr>
            <w:tcW w:w="1269" w:type="dxa"/>
            <w:tcBorders>
              <w:top w:val="single" w:sz="4" w:space="0" w:color="365F91"/>
              <w:bottom w:val="single" w:sz="4" w:space="0" w:color="365F91"/>
            </w:tcBorders>
          </w:tcPr>
          <w:p w14:paraId="358A1135" w14:textId="77777777" w:rsidR="00333601" w:rsidRPr="00BE78CA" w:rsidRDefault="00333601" w:rsidP="0047019D">
            <w:pPr>
              <w:pStyle w:val="TableText"/>
              <w:keepNext/>
              <w:spacing w:before="50" w:after="50"/>
              <w:jc w:val="center"/>
              <w:rPr>
                <w:szCs w:val="16"/>
              </w:rPr>
            </w:pPr>
            <w:r w:rsidRPr="00BE78CA">
              <w:t>–1,012.5</w:t>
            </w:r>
          </w:p>
        </w:tc>
        <w:tc>
          <w:tcPr>
            <w:tcW w:w="1462" w:type="dxa"/>
            <w:tcBorders>
              <w:top w:val="single" w:sz="4" w:space="0" w:color="365F91"/>
              <w:bottom w:val="single" w:sz="4" w:space="0" w:color="365F91"/>
            </w:tcBorders>
          </w:tcPr>
          <w:p w14:paraId="0CC2DFE5" w14:textId="77777777" w:rsidR="00333601" w:rsidRPr="00BE78CA" w:rsidRDefault="00333601" w:rsidP="0047019D">
            <w:pPr>
              <w:pStyle w:val="TableText"/>
              <w:keepNext/>
              <w:spacing w:before="50" w:after="50"/>
              <w:jc w:val="center"/>
              <w:rPr>
                <w:szCs w:val="16"/>
              </w:rPr>
            </w:pPr>
            <w:r w:rsidRPr="00BE78CA">
              <w:t>3,712.6</w:t>
            </w:r>
          </w:p>
        </w:tc>
      </w:tr>
      <w:tr w:rsidR="00333601" w:rsidRPr="00BE78CA" w14:paraId="4F6584B6" w14:textId="77777777" w:rsidTr="00FB1B7E">
        <w:tc>
          <w:tcPr>
            <w:tcW w:w="1700" w:type="dxa"/>
            <w:tcBorders>
              <w:top w:val="single" w:sz="4" w:space="0" w:color="365F91"/>
              <w:bottom w:val="single" w:sz="4" w:space="0" w:color="365F91"/>
            </w:tcBorders>
          </w:tcPr>
          <w:p w14:paraId="3B237509" w14:textId="77777777" w:rsidR="00333601" w:rsidRPr="00BE78CA" w:rsidRDefault="00333601" w:rsidP="0047019D">
            <w:pPr>
              <w:pStyle w:val="Tableboldblue"/>
              <w:spacing w:before="50" w:after="50"/>
              <w:jc w:val="right"/>
            </w:pPr>
            <w:r w:rsidRPr="00BE78CA">
              <w:t>Total</w:t>
            </w:r>
          </w:p>
        </w:tc>
        <w:tc>
          <w:tcPr>
            <w:tcW w:w="1350" w:type="dxa"/>
            <w:tcBorders>
              <w:top w:val="single" w:sz="4" w:space="0" w:color="365F91"/>
              <w:bottom w:val="single" w:sz="4" w:space="0" w:color="365F91"/>
            </w:tcBorders>
          </w:tcPr>
          <w:p w14:paraId="5A4DA293" w14:textId="77777777" w:rsidR="00333601" w:rsidRPr="00BE78CA" w:rsidRDefault="00333601" w:rsidP="0047019D">
            <w:pPr>
              <w:pStyle w:val="Tableboldblue"/>
              <w:spacing w:before="50" w:after="50"/>
              <w:jc w:val="center"/>
            </w:pPr>
            <w:r w:rsidRPr="00BE78CA">
              <w:t>176.2</w:t>
            </w:r>
          </w:p>
        </w:tc>
        <w:tc>
          <w:tcPr>
            <w:tcW w:w="1455" w:type="dxa"/>
            <w:tcBorders>
              <w:top w:val="single" w:sz="4" w:space="0" w:color="365F91"/>
              <w:bottom w:val="single" w:sz="4" w:space="0" w:color="365F91"/>
            </w:tcBorders>
          </w:tcPr>
          <w:p w14:paraId="6F62C61A" w14:textId="77777777" w:rsidR="00333601" w:rsidRPr="00BE78CA" w:rsidRDefault="00333601" w:rsidP="0047019D">
            <w:pPr>
              <w:pStyle w:val="Tableboldblue"/>
              <w:spacing w:before="50" w:after="50"/>
              <w:jc w:val="center"/>
            </w:pPr>
            <w:r w:rsidRPr="00BE78CA">
              <w:t>–19.0</w:t>
            </w:r>
          </w:p>
        </w:tc>
        <w:tc>
          <w:tcPr>
            <w:tcW w:w="1269" w:type="dxa"/>
            <w:tcBorders>
              <w:top w:val="single" w:sz="4" w:space="0" w:color="365F91"/>
              <w:bottom w:val="single" w:sz="4" w:space="0" w:color="365F91"/>
            </w:tcBorders>
          </w:tcPr>
          <w:p w14:paraId="3B56D872" w14:textId="77777777" w:rsidR="00333601" w:rsidRPr="00BE78CA" w:rsidRDefault="00333601" w:rsidP="0047019D">
            <w:pPr>
              <w:pStyle w:val="Tableboldblue"/>
              <w:spacing w:before="50" w:after="50"/>
              <w:jc w:val="center"/>
            </w:pPr>
            <w:r w:rsidRPr="00BE78CA">
              <w:t>–4,125.4</w:t>
            </w:r>
          </w:p>
        </w:tc>
        <w:tc>
          <w:tcPr>
            <w:tcW w:w="1269" w:type="dxa"/>
            <w:tcBorders>
              <w:top w:val="single" w:sz="4" w:space="0" w:color="365F91"/>
              <w:bottom w:val="single" w:sz="4" w:space="0" w:color="365F91"/>
            </w:tcBorders>
          </w:tcPr>
          <w:p w14:paraId="0DBA50C7" w14:textId="77777777" w:rsidR="00333601" w:rsidRPr="00BE78CA" w:rsidRDefault="00333601" w:rsidP="0047019D">
            <w:pPr>
              <w:pStyle w:val="Tableboldblue"/>
              <w:spacing w:before="50" w:after="50"/>
              <w:jc w:val="center"/>
            </w:pPr>
            <w:r w:rsidRPr="00BE78CA">
              <w:t>–3,968.2</w:t>
            </w:r>
          </w:p>
        </w:tc>
        <w:tc>
          <w:tcPr>
            <w:tcW w:w="1462" w:type="dxa"/>
            <w:tcBorders>
              <w:top w:val="single" w:sz="4" w:space="0" w:color="365F91"/>
              <w:bottom w:val="single" w:sz="4" w:space="0" w:color="365F91"/>
            </w:tcBorders>
          </w:tcPr>
          <w:p w14:paraId="3FB9A115" w14:textId="77777777" w:rsidR="00333601" w:rsidRPr="00BE78CA" w:rsidRDefault="00333601" w:rsidP="0047019D">
            <w:pPr>
              <w:pStyle w:val="Tableboldblue"/>
              <w:spacing w:before="50" w:after="50"/>
              <w:jc w:val="center"/>
            </w:pPr>
            <w:r w:rsidRPr="00BE78CA">
              <w:t>14,550.2</w:t>
            </w:r>
          </w:p>
        </w:tc>
      </w:tr>
    </w:tbl>
    <w:p w14:paraId="04A10B0B" w14:textId="77777777" w:rsidR="00333601" w:rsidRPr="00BE78CA" w:rsidRDefault="00333601" w:rsidP="00333601">
      <w:pPr>
        <w:pStyle w:val="Noteundertable"/>
      </w:pPr>
      <w:r w:rsidRPr="00BE78CA">
        <w:rPr>
          <w:b/>
        </w:rPr>
        <w:t>Note:</w:t>
      </w:r>
      <w:r w:rsidRPr="00BE78CA">
        <w:tab/>
        <w:t>This table includes CO</w:t>
      </w:r>
      <w:r w:rsidRPr="00BE78CA">
        <w:rPr>
          <w:vertAlign w:val="subscript"/>
        </w:rPr>
        <w:t>2</w:t>
      </w:r>
      <w:r w:rsidRPr="00BE78CA">
        <w:t xml:space="preserve"> emissions from carbon stock change only (emissions from N</w:t>
      </w:r>
      <w:r w:rsidRPr="00BE78CA">
        <w:rPr>
          <w:vertAlign w:val="subscript"/>
        </w:rPr>
        <w:t>2</w:t>
      </w:r>
      <w:r w:rsidRPr="00BE78CA">
        <w:t xml:space="preserve">O disturbance are not included in this table). The reported dead organic matter losses result from the loss of dead organic matter of woody land use categories on conversion to cropland. Columns may not total due to rounding. </w:t>
      </w:r>
    </w:p>
    <w:p w14:paraId="31315F11" w14:textId="77777777" w:rsidR="00333601" w:rsidRPr="00BE78CA" w:rsidRDefault="00333601" w:rsidP="00333601">
      <w:pPr>
        <w:pStyle w:val="BodyText"/>
      </w:pPr>
      <w:r w:rsidRPr="00BE78CA">
        <w:t xml:space="preserve">Table 6.5.3 shows land-use change by </w:t>
      </w:r>
      <w:r w:rsidRPr="00BE78CA">
        <w:rPr>
          <w:i/>
        </w:rPr>
        <w:t>Cropland</w:t>
      </w:r>
      <w:r w:rsidRPr="00BE78CA">
        <w:t xml:space="preserve"> land use since 1990, and the associated CO</w:t>
      </w:r>
      <w:r w:rsidRPr="00BE78CA">
        <w:rPr>
          <w:vertAlign w:val="subscript"/>
        </w:rPr>
        <w:t>2</w:t>
      </w:r>
      <w:r w:rsidRPr="00BE78CA">
        <w:t xml:space="preserve"> emissions from carbon stock change. The </w:t>
      </w:r>
      <w:r w:rsidRPr="00BE78CA">
        <w:rPr>
          <w:i/>
        </w:rPr>
        <w:t>Cropland</w:t>
      </w:r>
      <w:r w:rsidRPr="00BE78CA">
        <w:t xml:space="preserve"> category in New Zealand is separated into two land use types: annual and perennial. In 2019, annual cropland accounted for 1.4 per cent of total land area, and perennial cropland accounted for 0.4 per cent of total land area in New Zealand. </w:t>
      </w:r>
    </w:p>
    <w:p w14:paraId="4E18E03F" w14:textId="77777777" w:rsidR="00333601" w:rsidRPr="00BE78CA" w:rsidRDefault="00333601" w:rsidP="00333601">
      <w:pPr>
        <w:pStyle w:val="BodyText"/>
      </w:pPr>
      <w:r w:rsidRPr="00BE78CA">
        <w:t xml:space="preserve">Annual crops include cereals, grains, oil seeds, vegetables, root crops and forages. Perennial crops include orchards, vineyards and their associated shelterbelts except where these shelterbelts meet the criteria for the </w:t>
      </w:r>
      <w:r w:rsidRPr="00BE78CA">
        <w:rPr>
          <w:i/>
        </w:rPr>
        <w:t>Forest land</w:t>
      </w:r>
      <w:r w:rsidRPr="00BE78CA">
        <w:t xml:space="preserve"> category. </w:t>
      </w:r>
    </w:p>
    <w:p w14:paraId="2B5FBF42" w14:textId="77777777" w:rsidR="00333601" w:rsidRPr="00BE78CA" w:rsidRDefault="00333601" w:rsidP="00333601">
      <w:pPr>
        <w:pStyle w:val="BodyText"/>
      </w:pPr>
      <w:r w:rsidRPr="00BE78CA">
        <w:t xml:space="preserve">The amount of carbon stored in, emitted by or removed from permanent cropland depends on crop type, management practices, soil properties and climate variables. Annual crops are harvested each year, with little long-term storage of carbon in biomass. Woody vegetation in orchards store more carbon in biomass, with the amount largely determined by the crop species and presence of shelterbelts. </w:t>
      </w:r>
    </w:p>
    <w:p w14:paraId="13390FCF" w14:textId="77777777" w:rsidR="00333601" w:rsidRPr="00BE78CA" w:rsidRDefault="00333601" w:rsidP="00333601">
      <w:pPr>
        <w:pStyle w:val="Table"/>
      </w:pPr>
      <w:bookmarkStart w:id="2033" w:name="_Toc310423415"/>
      <w:bookmarkStart w:id="2034" w:name="_Toc318362708"/>
      <w:bookmarkStart w:id="2035" w:name="_Toc342470770"/>
      <w:bookmarkStart w:id="2036" w:name="_Toc352505010"/>
      <w:bookmarkStart w:id="2037" w:name="_Toc378853302"/>
      <w:bookmarkStart w:id="2038" w:name="_Toc391024100"/>
      <w:bookmarkStart w:id="2039" w:name="_Toc410028843"/>
      <w:bookmarkStart w:id="2040" w:name="_Toc414531471"/>
      <w:bookmarkStart w:id="2041" w:name="_Toc443645384"/>
      <w:bookmarkStart w:id="2042" w:name="_Toc474914603"/>
      <w:bookmarkStart w:id="2043" w:name="_Toc481751567"/>
      <w:bookmarkStart w:id="2044" w:name="_Toc522010624"/>
      <w:bookmarkStart w:id="2045" w:name="_Toc5269529"/>
      <w:bookmarkStart w:id="2046" w:name="_Toc33529403"/>
      <w:bookmarkStart w:id="2047" w:name="_Toc36224609"/>
      <w:bookmarkStart w:id="2048" w:name="_Toc65243606"/>
      <w:bookmarkStart w:id="2049" w:name="_Toc68786496"/>
      <w:r w:rsidRPr="00BE78CA">
        <w:lastRenderedPageBreak/>
        <w:t>Table 6.5.3</w:t>
      </w:r>
      <w:r w:rsidRPr="00BE78CA">
        <w:tab/>
        <w:t>New Zealand’s land-use change by Cropland land use, and associated CO</w:t>
      </w:r>
      <w:r w:rsidRPr="00BE78CA">
        <w:rPr>
          <w:vertAlign w:val="subscript"/>
        </w:rPr>
        <w:t>2</w:t>
      </w:r>
      <w:r w:rsidRPr="00BE78CA">
        <w:t xml:space="preserve"> emissions from</w:t>
      </w:r>
      <w:r w:rsidRPr="00BE78CA">
        <w:br/>
        <w:t>carbon stock change</w:t>
      </w:r>
      <w:bookmarkEnd w:id="2033"/>
      <w:bookmarkEnd w:id="2034"/>
      <w:bookmarkEnd w:id="2035"/>
      <w:bookmarkEnd w:id="2036"/>
      <w:bookmarkEnd w:id="2037"/>
      <w:r w:rsidRPr="00BE78CA">
        <w:t>, from 1990 to</w:t>
      </w:r>
      <w:bookmarkEnd w:id="2038"/>
      <w:r w:rsidRPr="00BE78CA">
        <w:t> 201</w:t>
      </w:r>
      <w:bookmarkEnd w:id="2039"/>
      <w:bookmarkEnd w:id="2040"/>
      <w:bookmarkEnd w:id="2041"/>
      <w:bookmarkEnd w:id="2042"/>
      <w:bookmarkEnd w:id="2043"/>
      <w:bookmarkEnd w:id="2044"/>
      <w:bookmarkEnd w:id="2045"/>
      <w:bookmarkEnd w:id="2046"/>
      <w:bookmarkEnd w:id="2047"/>
      <w:r w:rsidRPr="00BE78CA">
        <w:t>9</w:t>
      </w:r>
      <w:bookmarkEnd w:id="2048"/>
      <w:bookmarkEnd w:id="2049"/>
    </w:p>
    <w:tbl>
      <w:tblPr>
        <w:tblW w:w="8505" w:type="dxa"/>
        <w:tblLook w:val="04A0" w:firstRow="1" w:lastRow="0" w:firstColumn="1" w:lastColumn="0" w:noHBand="0" w:noVBand="1"/>
      </w:tblPr>
      <w:tblGrid>
        <w:gridCol w:w="1560"/>
        <w:gridCol w:w="1275"/>
        <w:gridCol w:w="1294"/>
        <w:gridCol w:w="1172"/>
        <w:gridCol w:w="1091"/>
        <w:gridCol w:w="1082"/>
        <w:gridCol w:w="1031"/>
      </w:tblGrid>
      <w:tr w:rsidR="00333601" w:rsidRPr="00BE78CA" w14:paraId="615A0801" w14:textId="77777777" w:rsidTr="00FB1B7E">
        <w:tc>
          <w:tcPr>
            <w:tcW w:w="1560" w:type="dxa"/>
            <w:vMerge w:val="restart"/>
            <w:tcBorders>
              <w:top w:val="single" w:sz="4" w:space="0" w:color="365F91"/>
            </w:tcBorders>
            <w:shd w:val="clear" w:color="auto" w:fill="365F91"/>
            <w:vAlign w:val="bottom"/>
          </w:tcPr>
          <w:p w14:paraId="0F2040F5" w14:textId="77777777" w:rsidR="00333601" w:rsidRPr="00BE78CA" w:rsidRDefault="00333601" w:rsidP="00C26084">
            <w:pPr>
              <w:pStyle w:val="TableTextBold"/>
              <w:keepNext/>
              <w:spacing w:before="40" w:after="40"/>
              <w:rPr>
                <w:rFonts w:cs="Calibri"/>
                <w:noProof w:val="0"/>
                <w:color w:val="FFFFFF"/>
                <w:szCs w:val="16"/>
              </w:rPr>
            </w:pPr>
            <w:r w:rsidRPr="00BE78CA">
              <w:rPr>
                <w:rFonts w:cs="Calibri"/>
                <w:noProof w:val="0"/>
                <w:color w:val="FFFFFF"/>
                <w:szCs w:val="16"/>
              </w:rPr>
              <w:t>Land use</w:t>
            </w:r>
          </w:p>
        </w:tc>
        <w:tc>
          <w:tcPr>
            <w:tcW w:w="1275" w:type="dxa"/>
            <w:vMerge w:val="restart"/>
            <w:tcBorders>
              <w:top w:val="single" w:sz="4" w:space="0" w:color="365F91"/>
            </w:tcBorders>
            <w:shd w:val="clear" w:color="auto" w:fill="365F91"/>
            <w:vAlign w:val="bottom"/>
          </w:tcPr>
          <w:p w14:paraId="6368B8CA" w14:textId="77777777" w:rsidR="00333601" w:rsidRPr="00BE78CA" w:rsidRDefault="00333601" w:rsidP="00C26084">
            <w:pPr>
              <w:pStyle w:val="TableTextBold"/>
              <w:keepNext/>
              <w:spacing w:before="40" w:after="40"/>
              <w:jc w:val="center"/>
              <w:rPr>
                <w:rFonts w:cs="Calibri"/>
                <w:noProof w:val="0"/>
                <w:color w:val="FFFFFF"/>
                <w:szCs w:val="16"/>
              </w:rPr>
            </w:pPr>
            <w:r w:rsidRPr="00BE78CA">
              <w:rPr>
                <w:rFonts w:cs="Calibri"/>
                <w:noProof w:val="0"/>
                <w:color w:val="FFFFFF"/>
                <w:szCs w:val="16"/>
              </w:rPr>
              <w:t>Net area in 1990 (ha)</w:t>
            </w:r>
          </w:p>
        </w:tc>
        <w:tc>
          <w:tcPr>
            <w:tcW w:w="1294" w:type="dxa"/>
            <w:vMerge w:val="restart"/>
            <w:tcBorders>
              <w:top w:val="single" w:sz="4" w:space="0" w:color="365F91"/>
            </w:tcBorders>
            <w:shd w:val="clear" w:color="auto" w:fill="365F91"/>
            <w:vAlign w:val="bottom"/>
          </w:tcPr>
          <w:p w14:paraId="438609A8" w14:textId="77777777" w:rsidR="00333601" w:rsidRPr="00BE78CA" w:rsidRDefault="00333601" w:rsidP="00C26084">
            <w:pPr>
              <w:pStyle w:val="TableTextBold"/>
              <w:keepNext/>
              <w:spacing w:before="40" w:after="40"/>
              <w:jc w:val="center"/>
              <w:rPr>
                <w:rFonts w:cs="Calibri"/>
                <w:noProof w:val="0"/>
                <w:color w:val="FFFFFF"/>
                <w:szCs w:val="16"/>
              </w:rPr>
            </w:pPr>
            <w:r w:rsidRPr="00BE78CA">
              <w:rPr>
                <w:rFonts w:cs="Calibri"/>
                <w:noProof w:val="0"/>
                <w:color w:val="FFFFFF"/>
                <w:szCs w:val="16"/>
              </w:rPr>
              <w:t>Net area in 2019 (ha)</w:t>
            </w:r>
          </w:p>
        </w:tc>
        <w:tc>
          <w:tcPr>
            <w:tcW w:w="1172" w:type="dxa"/>
            <w:vMerge w:val="restart"/>
            <w:tcBorders>
              <w:top w:val="single" w:sz="4" w:space="0" w:color="365F91"/>
            </w:tcBorders>
            <w:shd w:val="clear" w:color="auto" w:fill="365F91"/>
            <w:vAlign w:val="bottom"/>
          </w:tcPr>
          <w:p w14:paraId="082D3792" w14:textId="77777777" w:rsidR="00333601" w:rsidRPr="00BE78CA" w:rsidRDefault="00333601" w:rsidP="00C26084">
            <w:pPr>
              <w:pStyle w:val="TableTextBold"/>
              <w:keepNext/>
              <w:spacing w:before="40" w:after="40"/>
              <w:jc w:val="center"/>
              <w:rPr>
                <w:rFonts w:cs="Calibri"/>
                <w:noProof w:val="0"/>
                <w:color w:val="FFFFFF"/>
                <w:szCs w:val="16"/>
              </w:rPr>
            </w:pPr>
            <w:r w:rsidRPr="00BE78CA">
              <w:rPr>
                <w:rFonts w:cs="Calibri"/>
                <w:noProof w:val="0"/>
                <w:color w:val="FFFFFF"/>
                <w:szCs w:val="16"/>
              </w:rPr>
              <w:t>Change from 1990 (%)</w:t>
            </w:r>
          </w:p>
        </w:tc>
        <w:tc>
          <w:tcPr>
            <w:tcW w:w="2173" w:type="dxa"/>
            <w:gridSpan w:val="2"/>
            <w:tcBorders>
              <w:top w:val="single" w:sz="4" w:space="0" w:color="365F91"/>
            </w:tcBorders>
            <w:shd w:val="clear" w:color="auto" w:fill="365F91"/>
            <w:vAlign w:val="bottom"/>
          </w:tcPr>
          <w:p w14:paraId="49B97EBB" w14:textId="77777777" w:rsidR="00333601" w:rsidRPr="00BE78CA" w:rsidRDefault="00333601" w:rsidP="00C26084">
            <w:pPr>
              <w:pStyle w:val="TableTextBold"/>
              <w:keepNext/>
              <w:spacing w:before="40" w:after="40"/>
              <w:jc w:val="center"/>
              <w:rPr>
                <w:rFonts w:cs="Calibri"/>
                <w:noProof w:val="0"/>
                <w:color w:val="FFFFFF"/>
                <w:szCs w:val="16"/>
              </w:rPr>
            </w:pPr>
            <w:r w:rsidRPr="00BE78CA">
              <w:rPr>
                <w:rFonts w:cs="Calibri"/>
                <w:noProof w:val="0"/>
                <w:color w:val="FFFFFF"/>
                <w:szCs w:val="16"/>
              </w:rPr>
              <w:t xml:space="preserve">Net emissions </w:t>
            </w:r>
            <w:r w:rsidRPr="00BE78CA">
              <w:rPr>
                <w:rFonts w:cs="Calibri"/>
                <w:noProof w:val="0"/>
                <w:color w:val="FFFFFF"/>
                <w:szCs w:val="16"/>
              </w:rPr>
              <w:br/>
              <w:t>(kt CO</w:t>
            </w:r>
            <w:r w:rsidRPr="00BE78CA">
              <w:rPr>
                <w:rFonts w:cs="Calibri"/>
                <w:noProof w:val="0"/>
                <w:color w:val="FFFFFF"/>
                <w:szCs w:val="16"/>
                <w:vertAlign w:val="subscript"/>
              </w:rPr>
              <w:t>2</w:t>
            </w:r>
            <w:r w:rsidRPr="00BE78CA">
              <w:rPr>
                <w:rFonts w:cs="Calibri"/>
                <w:noProof w:val="0"/>
                <w:color w:val="FFFFFF"/>
                <w:szCs w:val="16"/>
              </w:rPr>
              <w:t xml:space="preserve"> only)</w:t>
            </w:r>
          </w:p>
        </w:tc>
        <w:tc>
          <w:tcPr>
            <w:tcW w:w="1031" w:type="dxa"/>
            <w:vMerge w:val="restart"/>
            <w:tcBorders>
              <w:top w:val="single" w:sz="4" w:space="0" w:color="365F91"/>
            </w:tcBorders>
            <w:shd w:val="clear" w:color="auto" w:fill="365F91"/>
            <w:vAlign w:val="bottom"/>
          </w:tcPr>
          <w:p w14:paraId="6C3FA997" w14:textId="77777777" w:rsidR="00333601" w:rsidRPr="00BE78CA" w:rsidRDefault="00333601" w:rsidP="00C26084">
            <w:pPr>
              <w:pStyle w:val="TableTextBold"/>
              <w:keepNext/>
              <w:spacing w:before="40" w:after="40"/>
              <w:jc w:val="center"/>
              <w:rPr>
                <w:rFonts w:cs="Calibri"/>
                <w:noProof w:val="0"/>
                <w:color w:val="FFFFFF"/>
                <w:szCs w:val="16"/>
              </w:rPr>
            </w:pPr>
            <w:r w:rsidRPr="00BE78CA">
              <w:rPr>
                <w:rFonts w:cs="Calibri"/>
                <w:noProof w:val="0"/>
                <w:color w:val="FFFFFF"/>
                <w:szCs w:val="16"/>
              </w:rPr>
              <w:t>Change from 1990 (%)</w:t>
            </w:r>
          </w:p>
        </w:tc>
      </w:tr>
      <w:tr w:rsidR="00333601" w:rsidRPr="00BE78CA" w14:paraId="4D7B3F86" w14:textId="77777777" w:rsidTr="00FB1B7E">
        <w:tc>
          <w:tcPr>
            <w:tcW w:w="1560" w:type="dxa"/>
            <w:vMerge/>
            <w:tcBorders>
              <w:bottom w:val="single" w:sz="4" w:space="0" w:color="2E74B5"/>
            </w:tcBorders>
            <w:shd w:val="clear" w:color="auto" w:fill="365F91"/>
          </w:tcPr>
          <w:p w14:paraId="55F1FBD5" w14:textId="77777777" w:rsidR="00333601" w:rsidRPr="00BE78CA" w:rsidRDefault="00333601" w:rsidP="00C26084">
            <w:pPr>
              <w:pStyle w:val="TableText"/>
              <w:keepNext/>
              <w:spacing w:before="40" w:after="40"/>
              <w:rPr>
                <w:rFonts w:cs="Calibri"/>
                <w:szCs w:val="16"/>
              </w:rPr>
            </w:pPr>
          </w:p>
        </w:tc>
        <w:tc>
          <w:tcPr>
            <w:tcW w:w="1275" w:type="dxa"/>
            <w:vMerge/>
            <w:tcBorders>
              <w:bottom w:val="single" w:sz="4" w:space="0" w:color="2E74B5"/>
            </w:tcBorders>
            <w:shd w:val="clear" w:color="auto" w:fill="365F91"/>
          </w:tcPr>
          <w:p w14:paraId="3F5702AE" w14:textId="77777777" w:rsidR="00333601" w:rsidRPr="00BE78CA" w:rsidRDefault="00333601" w:rsidP="00C26084">
            <w:pPr>
              <w:pStyle w:val="TableText"/>
              <w:keepNext/>
              <w:spacing w:before="40" w:after="40"/>
              <w:rPr>
                <w:rFonts w:cs="Calibri"/>
                <w:szCs w:val="16"/>
              </w:rPr>
            </w:pPr>
          </w:p>
        </w:tc>
        <w:tc>
          <w:tcPr>
            <w:tcW w:w="1294" w:type="dxa"/>
            <w:vMerge/>
            <w:tcBorders>
              <w:bottom w:val="single" w:sz="4" w:space="0" w:color="2E74B5"/>
            </w:tcBorders>
            <w:shd w:val="clear" w:color="auto" w:fill="365F91"/>
          </w:tcPr>
          <w:p w14:paraId="080EA10F" w14:textId="77777777" w:rsidR="00333601" w:rsidRPr="00BE78CA" w:rsidRDefault="00333601" w:rsidP="00C26084">
            <w:pPr>
              <w:pStyle w:val="TableText"/>
              <w:keepNext/>
              <w:spacing w:before="40" w:after="40"/>
              <w:rPr>
                <w:rFonts w:cs="Calibri"/>
                <w:szCs w:val="16"/>
              </w:rPr>
            </w:pPr>
          </w:p>
        </w:tc>
        <w:tc>
          <w:tcPr>
            <w:tcW w:w="1172" w:type="dxa"/>
            <w:vMerge/>
            <w:tcBorders>
              <w:bottom w:val="single" w:sz="4" w:space="0" w:color="2E74B5"/>
            </w:tcBorders>
            <w:shd w:val="clear" w:color="auto" w:fill="365F91"/>
          </w:tcPr>
          <w:p w14:paraId="344579BE" w14:textId="77777777" w:rsidR="00333601" w:rsidRPr="00BE78CA" w:rsidRDefault="00333601" w:rsidP="00C26084">
            <w:pPr>
              <w:pStyle w:val="TableTextBold"/>
              <w:keepNext/>
              <w:spacing w:before="40" w:after="40"/>
              <w:jc w:val="center"/>
              <w:rPr>
                <w:rFonts w:cs="Calibri"/>
                <w:b w:val="0"/>
                <w:noProof w:val="0"/>
                <w:color w:val="FFFFFF"/>
                <w:szCs w:val="16"/>
              </w:rPr>
            </w:pPr>
          </w:p>
        </w:tc>
        <w:tc>
          <w:tcPr>
            <w:tcW w:w="1091" w:type="dxa"/>
            <w:tcBorders>
              <w:bottom w:val="single" w:sz="4" w:space="0" w:color="2E74B5"/>
            </w:tcBorders>
            <w:shd w:val="clear" w:color="auto" w:fill="365F91"/>
          </w:tcPr>
          <w:p w14:paraId="685C37D3" w14:textId="77777777" w:rsidR="00333601" w:rsidRPr="00BE78CA" w:rsidRDefault="00333601" w:rsidP="00C26084">
            <w:pPr>
              <w:pStyle w:val="TableText"/>
              <w:keepNext/>
              <w:spacing w:before="40" w:after="40"/>
              <w:jc w:val="center"/>
              <w:rPr>
                <w:rFonts w:cs="Calibri"/>
                <w:b/>
                <w:color w:val="FFFFFF"/>
                <w:szCs w:val="16"/>
              </w:rPr>
            </w:pPr>
            <w:r w:rsidRPr="00BE78CA">
              <w:rPr>
                <w:rFonts w:cs="Calibri"/>
                <w:b/>
                <w:color w:val="FFFFFF"/>
                <w:szCs w:val="16"/>
              </w:rPr>
              <w:t>1990</w:t>
            </w:r>
          </w:p>
        </w:tc>
        <w:tc>
          <w:tcPr>
            <w:tcW w:w="1082" w:type="dxa"/>
            <w:tcBorders>
              <w:bottom w:val="single" w:sz="4" w:space="0" w:color="2E74B5"/>
            </w:tcBorders>
            <w:shd w:val="clear" w:color="auto" w:fill="365F91"/>
          </w:tcPr>
          <w:p w14:paraId="34D696A2" w14:textId="77777777" w:rsidR="00333601" w:rsidRPr="00BE78CA" w:rsidRDefault="00333601" w:rsidP="00C26084">
            <w:pPr>
              <w:pStyle w:val="TableText"/>
              <w:keepNext/>
              <w:spacing w:before="40" w:after="40"/>
              <w:jc w:val="center"/>
              <w:rPr>
                <w:rFonts w:cs="Calibri"/>
                <w:b/>
                <w:color w:val="FFFFFF"/>
                <w:szCs w:val="16"/>
              </w:rPr>
            </w:pPr>
            <w:r w:rsidRPr="00BE78CA">
              <w:rPr>
                <w:rFonts w:cs="Calibri"/>
                <w:b/>
                <w:color w:val="FFFFFF"/>
                <w:szCs w:val="16"/>
              </w:rPr>
              <w:t>2019</w:t>
            </w:r>
          </w:p>
        </w:tc>
        <w:tc>
          <w:tcPr>
            <w:tcW w:w="1031" w:type="dxa"/>
            <w:vMerge/>
            <w:tcBorders>
              <w:bottom w:val="single" w:sz="4" w:space="0" w:color="2E74B5"/>
            </w:tcBorders>
            <w:shd w:val="clear" w:color="auto" w:fill="365F91"/>
          </w:tcPr>
          <w:p w14:paraId="275D9DCB" w14:textId="77777777" w:rsidR="00333601" w:rsidRPr="00BE78CA" w:rsidRDefault="00333601" w:rsidP="00C26084">
            <w:pPr>
              <w:pStyle w:val="TableText"/>
              <w:keepNext/>
              <w:spacing w:before="40" w:after="40"/>
              <w:rPr>
                <w:rFonts w:cs="Calibri"/>
                <w:szCs w:val="16"/>
              </w:rPr>
            </w:pPr>
          </w:p>
        </w:tc>
      </w:tr>
      <w:tr w:rsidR="00333601" w:rsidRPr="00BE78CA" w14:paraId="7C61BD49" w14:textId="77777777" w:rsidTr="00FB1B7E">
        <w:tc>
          <w:tcPr>
            <w:tcW w:w="1560" w:type="dxa"/>
            <w:tcBorders>
              <w:top w:val="single" w:sz="4" w:space="0" w:color="2E74B5"/>
              <w:bottom w:val="single" w:sz="4" w:space="0" w:color="365F91"/>
            </w:tcBorders>
          </w:tcPr>
          <w:p w14:paraId="0C40DC29" w14:textId="77777777" w:rsidR="00333601" w:rsidRPr="00BE78CA" w:rsidRDefault="00333601" w:rsidP="0047019D">
            <w:pPr>
              <w:pStyle w:val="TableText"/>
              <w:spacing w:before="50" w:after="50"/>
              <w:rPr>
                <w:rFonts w:cs="Calibri"/>
                <w:szCs w:val="16"/>
              </w:rPr>
            </w:pPr>
            <w:r w:rsidRPr="00BE78CA">
              <w:rPr>
                <w:rFonts w:cs="Calibri"/>
                <w:szCs w:val="16"/>
              </w:rPr>
              <w:t>Annual cropland</w:t>
            </w:r>
          </w:p>
        </w:tc>
        <w:tc>
          <w:tcPr>
            <w:tcW w:w="1275" w:type="dxa"/>
            <w:tcBorders>
              <w:top w:val="single" w:sz="4" w:space="0" w:color="2E74B5"/>
              <w:bottom w:val="single" w:sz="4" w:space="0" w:color="365F91"/>
            </w:tcBorders>
          </w:tcPr>
          <w:p w14:paraId="2F4ADAA0" w14:textId="77777777" w:rsidR="00333601" w:rsidRPr="00BE78CA" w:rsidRDefault="00333601" w:rsidP="0047019D">
            <w:pPr>
              <w:pStyle w:val="TableText"/>
              <w:keepNext/>
              <w:spacing w:before="50" w:after="50"/>
              <w:jc w:val="center"/>
              <w:rPr>
                <w:rFonts w:cs="Calibri"/>
                <w:szCs w:val="16"/>
              </w:rPr>
            </w:pPr>
            <w:r w:rsidRPr="00BE78CA">
              <w:t>354,896</w:t>
            </w:r>
          </w:p>
        </w:tc>
        <w:tc>
          <w:tcPr>
            <w:tcW w:w="1294" w:type="dxa"/>
            <w:tcBorders>
              <w:top w:val="single" w:sz="4" w:space="0" w:color="2E74B5"/>
              <w:bottom w:val="single" w:sz="4" w:space="0" w:color="365F91"/>
            </w:tcBorders>
          </w:tcPr>
          <w:p w14:paraId="65B1FBC6" w14:textId="77777777" w:rsidR="00333601" w:rsidRPr="00BE78CA" w:rsidRDefault="00333601" w:rsidP="0047019D">
            <w:pPr>
              <w:pStyle w:val="TableText"/>
              <w:keepNext/>
              <w:spacing w:before="50" w:after="50"/>
              <w:jc w:val="center"/>
              <w:rPr>
                <w:rFonts w:cs="Calibri"/>
                <w:szCs w:val="16"/>
              </w:rPr>
            </w:pPr>
            <w:r w:rsidRPr="00BE78CA">
              <w:t>371,283</w:t>
            </w:r>
          </w:p>
        </w:tc>
        <w:tc>
          <w:tcPr>
            <w:tcW w:w="1172" w:type="dxa"/>
            <w:tcBorders>
              <w:top w:val="single" w:sz="4" w:space="0" w:color="2E74B5"/>
              <w:bottom w:val="single" w:sz="4" w:space="0" w:color="365F91"/>
            </w:tcBorders>
          </w:tcPr>
          <w:p w14:paraId="7814B7FD" w14:textId="77777777" w:rsidR="00333601" w:rsidRPr="00BE78CA" w:rsidRDefault="00333601" w:rsidP="0047019D">
            <w:pPr>
              <w:pStyle w:val="TableText"/>
              <w:keepNext/>
              <w:spacing w:before="50" w:after="50"/>
              <w:jc w:val="center"/>
              <w:rPr>
                <w:rFonts w:cs="Calibri"/>
                <w:szCs w:val="16"/>
              </w:rPr>
            </w:pPr>
            <w:r w:rsidRPr="00BE78CA">
              <w:t>+4.6</w:t>
            </w:r>
          </w:p>
        </w:tc>
        <w:tc>
          <w:tcPr>
            <w:tcW w:w="1091" w:type="dxa"/>
            <w:tcBorders>
              <w:top w:val="single" w:sz="4" w:space="0" w:color="2E74B5"/>
              <w:bottom w:val="single" w:sz="4" w:space="0" w:color="365F91"/>
            </w:tcBorders>
          </w:tcPr>
          <w:p w14:paraId="4DE355AD" w14:textId="77777777" w:rsidR="00333601" w:rsidRPr="00BE78CA" w:rsidRDefault="00333601" w:rsidP="0047019D">
            <w:pPr>
              <w:pStyle w:val="TableText"/>
              <w:keepNext/>
              <w:spacing w:before="50" w:after="50"/>
              <w:jc w:val="center"/>
              <w:rPr>
                <w:rFonts w:cs="Calibri"/>
                <w:szCs w:val="16"/>
              </w:rPr>
            </w:pPr>
            <w:r w:rsidRPr="00BE78CA">
              <w:t>342.8</w:t>
            </w:r>
          </w:p>
        </w:tc>
        <w:tc>
          <w:tcPr>
            <w:tcW w:w="1082" w:type="dxa"/>
            <w:tcBorders>
              <w:top w:val="single" w:sz="4" w:space="0" w:color="2E74B5"/>
              <w:bottom w:val="single" w:sz="4" w:space="0" w:color="365F91"/>
            </w:tcBorders>
          </w:tcPr>
          <w:p w14:paraId="255AB5ED" w14:textId="77777777" w:rsidR="00333601" w:rsidRPr="00BE78CA" w:rsidRDefault="00333601" w:rsidP="0047019D">
            <w:pPr>
              <w:pStyle w:val="TableText"/>
              <w:keepNext/>
              <w:spacing w:before="50" w:after="50"/>
              <w:jc w:val="center"/>
              <w:rPr>
                <w:rFonts w:cs="Calibri"/>
                <w:szCs w:val="16"/>
              </w:rPr>
            </w:pPr>
            <w:r w:rsidRPr="00BE78CA">
              <w:t>313.7</w:t>
            </w:r>
          </w:p>
        </w:tc>
        <w:tc>
          <w:tcPr>
            <w:tcW w:w="1031" w:type="dxa"/>
            <w:tcBorders>
              <w:top w:val="single" w:sz="4" w:space="0" w:color="2E74B5"/>
              <w:bottom w:val="single" w:sz="4" w:space="0" w:color="365F91"/>
            </w:tcBorders>
          </w:tcPr>
          <w:p w14:paraId="2402040A" w14:textId="77777777" w:rsidR="00333601" w:rsidRPr="00BE78CA" w:rsidRDefault="00333601" w:rsidP="0047019D">
            <w:pPr>
              <w:pStyle w:val="TableText"/>
              <w:keepNext/>
              <w:spacing w:before="50" w:after="50"/>
              <w:jc w:val="center"/>
              <w:rPr>
                <w:rFonts w:cs="Calibri"/>
                <w:szCs w:val="16"/>
              </w:rPr>
            </w:pPr>
            <w:r w:rsidRPr="00BE78CA">
              <w:t>–8.5</w:t>
            </w:r>
          </w:p>
        </w:tc>
      </w:tr>
      <w:tr w:rsidR="00333601" w:rsidRPr="00BE78CA" w14:paraId="2E1001B4" w14:textId="77777777" w:rsidTr="00FB1B7E">
        <w:tc>
          <w:tcPr>
            <w:tcW w:w="1560" w:type="dxa"/>
            <w:tcBorders>
              <w:top w:val="single" w:sz="4" w:space="0" w:color="365F91"/>
              <w:bottom w:val="single" w:sz="4" w:space="0" w:color="365F91"/>
            </w:tcBorders>
          </w:tcPr>
          <w:p w14:paraId="4CA78890" w14:textId="77777777" w:rsidR="00333601" w:rsidRPr="00BE78CA" w:rsidRDefault="00333601" w:rsidP="0047019D">
            <w:pPr>
              <w:pStyle w:val="TableText"/>
              <w:spacing w:before="50" w:after="50"/>
              <w:rPr>
                <w:rFonts w:cs="Calibri"/>
                <w:szCs w:val="16"/>
              </w:rPr>
            </w:pPr>
            <w:r w:rsidRPr="00BE78CA">
              <w:rPr>
                <w:rFonts w:cs="Calibri"/>
                <w:szCs w:val="16"/>
              </w:rPr>
              <w:t>Perennial cropland</w:t>
            </w:r>
          </w:p>
        </w:tc>
        <w:tc>
          <w:tcPr>
            <w:tcW w:w="1275" w:type="dxa"/>
            <w:tcBorders>
              <w:top w:val="single" w:sz="4" w:space="0" w:color="365F91"/>
              <w:bottom w:val="single" w:sz="4" w:space="0" w:color="365F91"/>
            </w:tcBorders>
          </w:tcPr>
          <w:p w14:paraId="522EDDA5" w14:textId="77777777" w:rsidR="00333601" w:rsidRPr="00BE78CA" w:rsidRDefault="00333601" w:rsidP="0047019D">
            <w:pPr>
              <w:pStyle w:val="TableText"/>
              <w:keepNext/>
              <w:spacing w:before="50" w:after="50"/>
              <w:jc w:val="center"/>
              <w:rPr>
                <w:rFonts w:cs="Calibri"/>
                <w:szCs w:val="16"/>
              </w:rPr>
            </w:pPr>
            <w:r w:rsidRPr="00BE78CA">
              <w:t>69,034</w:t>
            </w:r>
          </w:p>
        </w:tc>
        <w:tc>
          <w:tcPr>
            <w:tcW w:w="1294" w:type="dxa"/>
            <w:tcBorders>
              <w:top w:val="single" w:sz="4" w:space="0" w:color="365F91"/>
              <w:bottom w:val="single" w:sz="4" w:space="0" w:color="365F91"/>
            </w:tcBorders>
          </w:tcPr>
          <w:p w14:paraId="6AF9DAE8" w14:textId="77777777" w:rsidR="00333601" w:rsidRPr="00BE78CA" w:rsidRDefault="00333601" w:rsidP="0047019D">
            <w:pPr>
              <w:pStyle w:val="TableText"/>
              <w:keepNext/>
              <w:spacing w:before="50" w:after="50"/>
              <w:jc w:val="center"/>
              <w:rPr>
                <w:rFonts w:cs="Calibri"/>
                <w:szCs w:val="16"/>
              </w:rPr>
            </w:pPr>
            <w:r w:rsidRPr="00BE78CA">
              <w:t>104,953</w:t>
            </w:r>
          </w:p>
        </w:tc>
        <w:tc>
          <w:tcPr>
            <w:tcW w:w="1172" w:type="dxa"/>
            <w:tcBorders>
              <w:top w:val="single" w:sz="4" w:space="0" w:color="365F91"/>
              <w:bottom w:val="single" w:sz="4" w:space="0" w:color="365F91"/>
            </w:tcBorders>
          </w:tcPr>
          <w:p w14:paraId="0E4FD991" w14:textId="77777777" w:rsidR="00333601" w:rsidRPr="00BE78CA" w:rsidRDefault="00333601" w:rsidP="0047019D">
            <w:pPr>
              <w:pStyle w:val="TableText"/>
              <w:keepNext/>
              <w:spacing w:before="50" w:after="50"/>
              <w:jc w:val="center"/>
              <w:rPr>
                <w:rFonts w:cs="Calibri"/>
                <w:szCs w:val="16"/>
              </w:rPr>
            </w:pPr>
            <w:r w:rsidRPr="00BE78CA">
              <w:t>+52.0</w:t>
            </w:r>
          </w:p>
        </w:tc>
        <w:tc>
          <w:tcPr>
            <w:tcW w:w="1091" w:type="dxa"/>
            <w:tcBorders>
              <w:top w:val="single" w:sz="4" w:space="0" w:color="365F91"/>
              <w:bottom w:val="single" w:sz="4" w:space="0" w:color="365F91"/>
            </w:tcBorders>
          </w:tcPr>
          <w:p w14:paraId="285A36B7" w14:textId="77777777" w:rsidR="00333601" w:rsidRPr="00BE78CA" w:rsidRDefault="00333601" w:rsidP="0047019D">
            <w:pPr>
              <w:pStyle w:val="TableText"/>
              <w:keepNext/>
              <w:spacing w:before="50" w:after="50"/>
              <w:jc w:val="center"/>
              <w:rPr>
                <w:rFonts w:cs="Calibri"/>
                <w:szCs w:val="16"/>
              </w:rPr>
            </w:pPr>
            <w:r w:rsidRPr="00BE78CA">
              <w:t>125.7</w:t>
            </w:r>
          </w:p>
        </w:tc>
        <w:tc>
          <w:tcPr>
            <w:tcW w:w="1082" w:type="dxa"/>
            <w:tcBorders>
              <w:top w:val="single" w:sz="4" w:space="0" w:color="365F91"/>
              <w:bottom w:val="single" w:sz="4" w:space="0" w:color="365F91"/>
            </w:tcBorders>
          </w:tcPr>
          <w:p w14:paraId="27F1D64F" w14:textId="77777777" w:rsidR="00333601" w:rsidRPr="00BE78CA" w:rsidRDefault="00333601" w:rsidP="0047019D">
            <w:pPr>
              <w:pStyle w:val="TableText"/>
              <w:keepNext/>
              <w:spacing w:before="50" w:after="50"/>
              <w:jc w:val="center"/>
              <w:rPr>
                <w:rFonts w:cs="Calibri"/>
                <w:szCs w:val="16"/>
              </w:rPr>
            </w:pPr>
            <w:r w:rsidRPr="00BE78CA">
              <w:t>65.7</w:t>
            </w:r>
          </w:p>
        </w:tc>
        <w:tc>
          <w:tcPr>
            <w:tcW w:w="1031" w:type="dxa"/>
            <w:tcBorders>
              <w:top w:val="single" w:sz="4" w:space="0" w:color="365F91"/>
              <w:bottom w:val="single" w:sz="4" w:space="0" w:color="365F91"/>
            </w:tcBorders>
          </w:tcPr>
          <w:p w14:paraId="03B767A6" w14:textId="77777777" w:rsidR="00333601" w:rsidRPr="00BE78CA" w:rsidRDefault="00333601" w:rsidP="0047019D">
            <w:pPr>
              <w:pStyle w:val="TableText"/>
              <w:keepNext/>
              <w:spacing w:before="50" w:after="50"/>
              <w:jc w:val="center"/>
              <w:rPr>
                <w:rFonts w:cs="Calibri"/>
                <w:szCs w:val="16"/>
              </w:rPr>
            </w:pPr>
            <w:r w:rsidRPr="00BE78CA">
              <w:t>–47.8</w:t>
            </w:r>
          </w:p>
        </w:tc>
      </w:tr>
      <w:tr w:rsidR="00333601" w:rsidRPr="00BE78CA" w14:paraId="66C1C252" w14:textId="77777777" w:rsidTr="00FB1B7E">
        <w:tc>
          <w:tcPr>
            <w:tcW w:w="1560" w:type="dxa"/>
            <w:tcBorders>
              <w:top w:val="single" w:sz="4" w:space="0" w:color="365F91"/>
              <w:bottom w:val="single" w:sz="4" w:space="0" w:color="365F91"/>
            </w:tcBorders>
          </w:tcPr>
          <w:p w14:paraId="371E2B49" w14:textId="77777777" w:rsidR="00333601" w:rsidRPr="00BE78CA" w:rsidRDefault="00333601" w:rsidP="0047019D">
            <w:pPr>
              <w:pStyle w:val="Tableboldblue"/>
              <w:spacing w:before="50" w:after="50"/>
              <w:jc w:val="right"/>
              <w:rPr>
                <w:rFonts w:cs="Calibri"/>
              </w:rPr>
            </w:pPr>
            <w:r w:rsidRPr="00BE78CA">
              <w:rPr>
                <w:rFonts w:cs="Calibri"/>
              </w:rPr>
              <w:t>Total</w:t>
            </w:r>
          </w:p>
        </w:tc>
        <w:tc>
          <w:tcPr>
            <w:tcW w:w="1275" w:type="dxa"/>
            <w:tcBorders>
              <w:top w:val="single" w:sz="4" w:space="0" w:color="365F91"/>
              <w:bottom w:val="single" w:sz="4" w:space="0" w:color="365F91"/>
            </w:tcBorders>
          </w:tcPr>
          <w:p w14:paraId="1B6F61A5" w14:textId="77777777" w:rsidR="00333601" w:rsidRPr="00BE78CA" w:rsidRDefault="00333601" w:rsidP="0047019D">
            <w:pPr>
              <w:pStyle w:val="Tableboldblue"/>
              <w:spacing w:before="50" w:after="50"/>
              <w:jc w:val="center"/>
              <w:rPr>
                <w:rFonts w:cs="Calibri"/>
              </w:rPr>
            </w:pPr>
            <w:r w:rsidRPr="00BE78CA">
              <w:t>423,930</w:t>
            </w:r>
          </w:p>
        </w:tc>
        <w:tc>
          <w:tcPr>
            <w:tcW w:w="1294" w:type="dxa"/>
            <w:tcBorders>
              <w:top w:val="single" w:sz="4" w:space="0" w:color="365F91"/>
              <w:bottom w:val="single" w:sz="4" w:space="0" w:color="365F91"/>
            </w:tcBorders>
          </w:tcPr>
          <w:p w14:paraId="1B01AD6B" w14:textId="77777777" w:rsidR="00333601" w:rsidRPr="00BE78CA" w:rsidRDefault="00333601" w:rsidP="0047019D">
            <w:pPr>
              <w:pStyle w:val="Tableboldblue"/>
              <w:spacing w:before="50" w:after="50"/>
              <w:jc w:val="center"/>
              <w:rPr>
                <w:rFonts w:cs="Calibri"/>
              </w:rPr>
            </w:pPr>
            <w:r w:rsidRPr="00BE78CA">
              <w:t>476,236</w:t>
            </w:r>
          </w:p>
        </w:tc>
        <w:tc>
          <w:tcPr>
            <w:tcW w:w="1172" w:type="dxa"/>
            <w:tcBorders>
              <w:top w:val="single" w:sz="4" w:space="0" w:color="365F91"/>
              <w:bottom w:val="single" w:sz="4" w:space="0" w:color="365F91"/>
            </w:tcBorders>
          </w:tcPr>
          <w:p w14:paraId="2A66975F" w14:textId="77777777" w:rsidR="00333601" w:rsidRPr="00BE78CA" w:rsidRDefault="00333601" w:rsidP="0047019D">
            <w:pPr>
              <w:pStyle w:val="Tableboldblue"/>
              <w:spacing w:before="50" w:after="50"/>
              <w:jc w:val="center"/>
              <w:rPr>
                <w:rFonts w:cs="Calibri"/>
              </w:rPr>
            </w:pPr>
            <w:r w:rsidRPr="00BE78CA">
              <w:t>+12.3</w:t>
            </w:r>
          </w:p>
        </w:tc>
        <w:tc>
          <w:tcPr>
            <w:tcW w:w="1091" w:type="dxa"/>
            <w:tcBorders>
              <w:top w:val="single" w:sz="4" w:space="0" w:color="365F91"/>
              <w:bottom w:val="single" w:sz="4" w:space="0" w:color="365F91"/>
            </w:tcBorders>
          </w:tcPr>
          <w:p w14:paraId="3CC9E583" w14:textId="77777777" w:rsidR="00333601" w:rsidRPr="00BE78CA" w:rsidRDefault="00333601" w:rsidP="0047019D">
            <w:pPr>
              <w:pStyle w:val="Tableboldblue"/>
              <w:spacing w:before="50" w:after="50"/>
              <w:jc w:val="center"/>
              <w:rPr>
                <w:rFonts w:cs="Calibri"/>
              </w:rPr>
            </w:pPr>
            <w:r w:rsidRPr="00BE78CA">
              <w:t>468.5</w:t>
            </w:r>
          </w:p>
        </w:tc>
        <w:tc>
          <w:tcPr>
            <w:tcW w:w="1082" w:type="dxa"/>
            <w:tcBorders>
              <w:top w:val="single" w:sz="4" w:space="0" w:color="365F91"/>
              <w:bottom w:val="single" w:sz="4" w:space="0" w:color="365F91"/>
            </w:tcBorders>
          </w:tcPr>
          <w:p w14:paraId="2876AFCD" w14:textId="77777777" w:rsidR="00333601" w:rsidRPr="00BE78CA" w:rsidRDefault="00333601" w:rsidP="0047019D">
            <w:pPr>
              <w:pStyle w:val="Tableboldblue"/>
              <w:spacing w:before="50" w:after="50"/>
              <w:jc w:val="center"/>
              <w:rPr>
                <w:rFonts w:cs="Calibri"/>
              </w:rPr>
            </w:pPr>
            <w:r w:rsidRPr="00BE78CA">
              <w:t>379.4</w:t>
            </w:r>
          </w:p>
        </w:tc>
        <w:tc>
          <w:tcPr>
            <w:tcW w:w="1031" w:type="dxa"/>
            <w:tcBorders>
              <w:top w:val="single" w:sz="4" w:space="0" w:color="365F91"/>
              <w:bottom w:val="single" w:sz="4" w:space="0" w:color="365F91"/>
            </w:tcBorders>
          </w:tcPr>
          <w:p w14:paraId="6C4323D0" w14:textId="77777777" w:rsidR="00333601" w:rsidRPr="00BE78CA" w:rsidRDefault="00333601" w:rsidP="0047019D">
            <w:pPr>
              <w:pStyle w:val="Tableboldblue"/>
              <w:spacing w:before="50" w:after="50"/>
              <w:jc w:val="center"/>
              <w:rPr>
                <w:rFonts w:cs="Calibri"/>
              </w:rPr>
            </w:pPr>
            <w:r w:rsidRPr="00BE78CA">
              <w:t>–19.0</w:t>
            </w:r>
          </w:p>
        </w:tc>
      </w:tr>
    </w:tbl>
    <w:p w14:paraId="3248A306" w14:textId="77777777" w:rsidR="00333601" w:rsidRPr="00BE78CA" w:rsidRDefault="00333601" w:rsidP="00333601">
      <w:pPr>
        <w:pStyle w:val="Noteundertable"/>
      </w:pPr>
      <w:r w:rsidRPr="00BE78CA">
        <w:rPr>
          <w:b/>
        </w:rPr>
        <w:t>Note:</w:t>
      </w:r>
      <w:r w:rsidRPr="00BE78CA">
        <w:rPr>
          <w:b/>
        </w:rPr>
        <w:tab/>
      </w:r>
      <w:r w:rsidRPr="00BE78CA">
        <w:t>Net area in 1990 is as at 1 January 1990; net area in 2019 is as at 31 December. This table includes CO</w:t>
      </w:r>
      <w:r w:rsidRPr="00BE78CA">
        <w:rPr>
          <w:vertAlign w:val="subscript"/>
        </w:rPr>
        <w:t>2</w:t>
      </w:r>
      <w:r w:rsidRPr="00BE78CA">
        <w:t xml:space="preserve"> emissions from carbon stock change only. Columns may not total due to rounding.</w:t>
      </w:r>
    </w:p>
    <w:p w14:paraId="27A2F1DA" w14:textId="77777777" w:rsidR="00333601" w:rsidRPr="00BE78CA" w:rsidRDefault="00333601" w:rsidP="00333601">
      <w:pPr>
        <w:pStyle w:val="BodyText"/>
      </w:pPr>
      <w:r w:rsidRPr="00BE78CA">
        <w:t xml:space="preserve">A summary of land-use change within the </w:t>
      </w:r>
      <w:r w:rsidRPr="00BE78CA">
        <w:rPr>
          <w:i/>
        </w:rPr>
        <w:t>Cropland</w:t>
      </w:r>
      <w:r w:rsidRPr="00BE78CA">
        <w:t xml:space="preserve"> category, by land use type and land conversion status, is provided in table 6.5.4. This shows that land-use change within the </w:t>
      </w:r>
      <w:r w:rsidRPr="00BE78CA">
        <w:rPr>
          <w:i/>
        </w:rPr>
        <w:t>Cropland</w:t>
      </w:r>
      <w:r w:rsidRPr="00BE78CA">
        <w:t xml:space="preserve"> category has been dominated by conversions to perennial cropland, both from within the </w:t>
      </w:r>
      <w:r w:rsidRPr="00BE78CA">
        <w:rPr>
          <w:i/>
        </w:rPr>
        <w:t>Cropland</w:t>
      </w:r>
      <w:r w:rsidRPr="00BE78CA">
        <w:t xml:space="preserve"> category and from other land use categories. This conversion has predominantly been for the establishment of vineyards (Davis and Wakelin, unpublished).</w:t>
      </w:r>
    </w:p>
    <w:p w14:paraId="3124F56A" w14:textId="77777777" w:rsidR="00333601" w:rsidRPr="00BE78CA" w:rsidRDefault="00333601" w:rsidP="00333601">
      <w:pPr>
        <w:pStyle w:val="Table"/>
      </w:pPr>
      <w:bookmarkStart w:id="2050" w:name="_Toc310423416"/>
      <w:bookmarkStart w:id="2051" w:name="_Toc318362709"/>
      <w:bookmarkStart w:id="2052" w:name="_Toc342470771"/>
      <w:bookmarkStart w:id="2053" w:name="_Toc352505011"/>
      <w:bookmarkStart w:id="2054" w:name="_Toc378853303"/>
      <w:bookmarkStart w:id="2055" w:name="_Toc391024101"/>
      <w:bookmarkStart w:id="2056" w:name="_Toc410028844"/>
      <w:bookmarkStart w:id="2057" w:name="_Toc414531472"/>
      <w:bookmarkStart w:id="2058" w:name="_Toc443645385"/>
      <w:bookmarkStart w:id="2059" w:name="_Toc474914604"/>
      <w:bookmarkStart w:id="2060" w:name="_Toc481751568"/>
      <w:bookmarkStart w:id="2061" w:name="_Toc522010625"/>
      <w:bookmarkStart w:id="2062" w:name="_Toc5269530"/>
      <w:bookmarkStart w:id="2063" w:name="_Toc33529404"/>
      <w:bookmarkStart w:id="2064" w:name="_Toc36224610"/>
      <w:bookmarkStart w:id="2065" w:name="_Toc65243607"/>
      <w:bookmarkStart w:id="2066" w:name="_Toc68786497"/>
      <w:r w:rsidRPr="00BE78CA">
        <w:t>Table 6.5.4</w:t>
      </w:r>
      <w:r w:rsidRPr="00BE78CA">
        <w:tab/>
        <w:t>New Zealand’s land-use change for the Cropland category from 1990 to</w:t>
      </w:r>
      <w:bookmarkEnd w:id="2050"/>
      <w:bookmarkEnd w:id="2051"/>
      <w:bookmarkEnd w:id="2052"/>
      <w:bookmarkEnd w:id="2053"/>
      <w:bookmarkEnd w:id="2054"/>
      <w:bookmarkEnd w:id="2055"/>
      <w:r w:rsidRPr="00BE78CA">
        <w:t> 201</w:t>
      </w:r>
      <w:bookmarkEnd w:id="2056"/>
      <w:bookmarkEnd w:id="2057"/>
      <w:bookmarkEnd w:id="2058"/>
      <w:bookmarkEnd w:id="2059"/>
      <w:bookmarkEnd w:id="2060"/>
      <w:bookmarkEnd w:id="2061"/>
      <w:bookmarkEnd w:id="2062"/>
      <w:r w:rsidRPr="00BE78CA">
        <w:t>9</w:t>
      </w:r>
      <w:bookmarkEnd w:id="2063"/>
      <w:bookmarkEnd w:id="2064"/>
      <w:bookmarkEnd w:id="2065"/>
      <w:bookmarkEnd w:id="2066"/>
    </w:p>
    <w:tbl>
      <w:tblPr>
        <w:tblW w:w="8505" w:type="dxa"/>
        <w:tblLook w:val="04A0" w:firstRow="1" w:lastRow="0" w:firstColumn="1" w:lastColumn="0" w:noHBand="0" w:noVBand="1"/>
      </w:tblPr>
      <w:tblGrid>
        <w:gridCol w:w="1726"/>
        <w:gridCol w:w="2487"/>
        <w:gridCol w:w="1461"/>
        <w:gridCol w:w="1508"/>
        <w:gridCol w:w="1323"/>
      </w:tblGrid>
      <w:tr w:rsidR="00333601" w:rsidRPr="00BE78CA" w14:paraId="7C1BB052" w14:textId="77777777" w:rsidTr="00FB1B7E">
        <w:trPr>
          <w:tblHeader/>
        </w:trPr>
        <w:tc>
          <w:tcPr>
            <w:tcW w:w="1726" w:type="dxa"/>
            <w:tcBorders>
              <w:top w:val="single" w:sz="4" w:space="0" w:color="365F91"/>
              <w:bottom w:val="single" w:sz="4" w:space="0" w:color="365F91"/>
            </w:tcBorders>
            <w:shd w:val="clear" w:color="auto" w:fill="365F91"/>
            <w:vAlign w:val="bottom"/>
          </w:tcPr>
          <w:p w14:paraId="71E7A657" w14:textId="77777777" w:rsidR="00333601" w:rsidRPr="00BE78CA" w:rsidRDefault="00333601" w:rsidP="00C26084">
            <w:pPr>
              <w:pStyle w:val="TableTextBold"/>
              <w:spacing w:before="50" w:after="50"/>
              <w:rPr>
                <w:rFonts w:cs="Calibri"/>
                <w:noProof w:val="0"/>
                <w:color w:val="FFFFFF"/>
                <w:szCs w:val="16"/>
              </w:rPr>
            </w:pPr>
            <w:r w:rsidRPr="00BE78CA">
              <w:rPr>
                <w:rFonts w:cs="Calibri"/>
                <w:noProof w:val="0"/>
                <w:color w:val="FFFFFF"/>
                <w:szCs w:val="16"/>
              </w:rPr>
              <w:t>Cropland category</w:t>
            </w:r>
          </w:p>
        </w:tc>
        <w:tc>
          <w:tcPr>
            <w:tcW w:w="2487" w:type="dxa"/>
            <w:tcBorders>
              <w:top w:val="single" w:sz="4" w:space="0" w:color="365F91"/>
              <w:bottom w:val="single" w:sz="4" w:space="0" w:color="365F91"/>
            </w:tcBorders>
            <w:shd w:val="clear" w:color="auto" w:fill="365F91"/>
            <w:vAlign w:val="bottom"/>
          </w:tcPr>
          <w:p w14:paraId="5EE558B5" w14:textId="77777777" w:rsidR="00333601" w:rsidRPr="00BE78CA" w:rsidRDefault="00333601" w:rsidP="00C26084">
            <w:pPr>
              <w:pStyle w:val="TableTextBold"/>
              <w:spacing w:before="50" w:after="50"/>
              <w:rPr>
                <w:rFonts w:cs="Calibri"/>
                <w:noProof w:val="0"/>
                <w:color w:val="FFFFFF"/>
                <w:szCs w:val="16"/>
              </w:rPr>
            </w:pPr>
          </w:p>
        </w:tc>
        <w:tc>
          <w:tcPr>
            <w:tcW w:w="1461" w:type="dxa"/>
            <w:tcBorders>
              <w:top w:val="single" w:sz="4" w:space="0" w:color="365F91"/>
              <w:bottom w:val="single" w:sz="4" w:space="0" w:color="365F91"/>
            </w:tcBorders>
            <w:shd w:val="clear" w:color="auto" w:fill="365F91"/>
            <w:vAlign w:val="bottom"/>
          </w:tcPr>
          <w:p w14:paraId="1F88F065" w14:textId="77777777" w:rsidR="00333601" w:rsidRPr="00BE78CA" w:rsidRDefault="00333601" w:rsidP="00C26084">
            <w:pPr>
              <w:pStyle w:val="TableTextBold"/>
              <w:spacing w:before="50" w:after="50"/>
              <w:jc w:val="center"/>
              <w:rPr>
                <w:rFonts w:cs="Calibri"/>
                <w:noProof w:val="0"/>
                <w:color w:val="FFFFFF"/>
                <w:szCs w:val="16"/>
              </w:rPr>
            </w:pPr>
            <w:r w:rsidRPr="00BE78CA">
              <w:rPr>
                <w:rFonts w:cs="Calibri"/>
                <w:noProof w:val="0"/>
                <w:color w:val="FFFFFF"/>
                <w:szCs w:val="16"/>
              </w:rPr>
              <w:t>Net area in 1990 (ha)</w:t>
            </w:r>
          </w:p>
        </w:tc>
        <w:tc>
          <w:tcPr>
            <w:tcW w:w="1508" w:type="dxa"/>
            <w:tcBorders>
              <w:top w:val="single" w:sz="4" w:space="0" w:color="365F91"/>
              <w:bottom w:val="single" w:sz="4" w:space="0" w:color="365F91"/>
            </w:tcBorders>
            <w:shd w:val="clear" w:color="auto" w:fill="365F91"/>
            <w:vAlign w:val="bottom"/>
          </w:tcPr>
          <w:p w14:paraId="637B27F5" w14:textId="77777777" w:rsidR="00333601" w:rsidRPr="00BE78CA" w:rsidRDefault="00333601" w:rsidP="00C26084">
            <w:pPr>
              <w:pStyle w:val="TableTextBold"/>
              <w:spacing w:before="50" w:after="50"/>
              <w:jc w:val="center"/>
              <w:rPr>
                <w:rFonts w:cs="Calibri"/>
                <w:noProof w:val="0"/>
                <w:color w:val="FFFFFF"/>
                <w:szCs w:val="16"/>
              </w:rPr>
            </w:pPr>
            <w:r w:rsidRPr="00BE78CA">
              <w:rPr>
                <w:rFonts w:cs="Calibri"/>
                <w:noProof w:val="0"/>
                <w:color w:val="FFFFFF"/>
                <w:szCs w:val="16"/>
              </w:rPr>
              <w:t>Net area in 2019 (ha)</w:t>
            </w:r>
          </w:p>
        </w:tc>
        <w:tc>
          <w:tcPr>
            <w:tcW w:w="1323" w:type="dxa"/>
            <w:tcBorders>
              <w:top w:val="single" w:sz="4" w:space="0" w:color="365F91"/>
              <w:bottom w:val="single" w:sz="4" w:space="0" w:color="365F91"/>
            </w:tcBorders>
            <w:shd w:val="clear" w:color="auto" w:fill="365F91"/>
            <w:vAlign w:val="bottom"/>
          </w:tcPr>
          <w:p w14:paraId="06B8D6F9" w14:textId="77777777" w:rsidR="00333601" w:rsidRPr="00BE78CA" w:rsidRDefault="00333601" w:rsidP="00C26084">
            <w:pPr>
              <w:pStyle w:val="TableTextBold"/>
              <w:spacing w:before="50" w:after="50"/>
              <w:jc w:val="center"/>
              <w:rPr>
                <w:rFonts w:cs="Calibri"/>
                <w:noProof w:val="0"/>
                <w:color w:val="FFFFFF"/>
                <w:szCs w:val="16"/>
              </w:rPr>
            </w:pPr>
            <w:r w:rsidRPr="00BE78CA">
              <w:rPr>
                <w:rFonts w:cs="Calibri"/>
                <w:noProof w:val="0"/>
                <w:color w:val="FFFFFF"/>
                <w:szCs w:val="16"/>
              </w:rPr>
              <w:t>Change from 1990 (%)</w:t>
            </w:r>
          </w:p>
        </w:tc>
      </w:tr>
      <w:tr w:rsidR="00333601" w:rsidRPr="00BE78CA" w14:paraId="17DD7B88" w14:textId="77777777" w:rsidTr="00FB1B7E">
        <w:tc>
          <w:tcPr>
            <w:tcW w:w="1726" w:type="dxa"/>
            <w:vMerge w:val="restart"/>
            <w:tcBorders>
              <w:top w:val="single" w:sz="4" w:space="0" w:color="365F91"/>
              <w:bottom w:val="single" w:sz="4" w:space="0" w:color="365F91"/>
            </w:tcBorders>
          </w:tcPr>
          <w:p w14:paraId="4D483DE3" w14:textId="77777777" w:rsidR="00333601" w:rsidRPr="00BE78CA" w:rsidRDefault="00333601" w:rsidP="0047019D">
            <w:pPr>
              <w:pStyle w:val="TableText"/>
              <w:spacing w:before="50" w:after="50"/>
              <w:rPr>
                <w:rFonts w:cs="Calibri"/>
                <w:szCs w:val="16"/>
              </w:rPr>
            </w:pPr>
            <w:r w:rsidRPr="00BE78CA">
              <w:rPr>
                <w:rFonts w:cs="Calibri"/>
                <w:szCs w:val="16"/>
              </w:rPr>
              <w:t>Cropland remaining cropland</w:t>
            </w:r>
          </w:p>
        </w:tc>
        <w:tc>
          <w:tcPr>
            <w:tcW w:w="2487" w:type="dxa"/>
            <w:tcBorders>
              <w:top w:val="single" w:sz="4" w:space="0" w:color="365F91"/>
              <w:bottom w:val="single" w:sz="4" w:space="0" w:color="365F91"/>
            </w:tcBorders>
          </w:tcPr>
          <w:p w14:paraId="677B104B" w14:textId="77777777" w:rsidR="00333601" w:rsidRPr="00BE78CA" w:rsidRDefault="00333601" w:rsidP="0047019D">
            <w:pPr>
              <w:pStyle w:val="TableText"/>
              <w:spacing w:before="50" w:after="50"/>
              <w:rPr>
                <w:rFonts w:cs="Calibri"/>
                <w:szCs w:val="16"/>
              </w:rPr>
            </w:pPr>
            <w:r w:rsidRPr="00BE78CA">
              <w:rPr>
                <w:rFonts w:cs="Calibri"/>
                <w:szCs w:val="16"/>
              </w:rPr>
              <w:t>Annual remaining annual</w:t>
            </w:r>
          </w:p>
        </w:tc>
        <w:tc>
          <w:tcPr>
            <w:tcW w:w="1461" w:type="dxa"/>
            <w:tcBorders>
              <w:top w:val="single" w:sz="4" w:space="0" w:color="365F91"/>
              <w:bottom w:val="single" w:sz="4" w:space="0" w:color="365F91"/>
            </w:tcBorders>
          </w:tcPr>
          <w:p w14:paraId="772CFD7C" w14:textId="77777777" w:rsidR="00333601" w:rsidRPr="00BE78CA" w:rsidRDefault="00333601" w:rsidP="0047019D">
            <w:pPr>
              <w:pStyle w:val="TableText"/>
              <w:spacing w:before="50" w:after="50"/>
              <w:jc w:val="center"/>
              <w:rPr>
                <w:rFonts w:cs="Calibri"/>
                <w:szCs w:val="16"/>
              </w:rPr>
            </w:pPr>
            <w:r w:rsidRPr="00BE78CA">
              <w:t>333,517</w:t>
            </w:r>
          </w:p>
        </w:tc>
        <w:tc>
          <w:tcPr>
            <w:tcW w:w="1508" w:type="dxa"/>
            <w:tcBorders>
              <w:top w:val="single" w:sz="4" w:space="0" w:color="365F91"/>
              <w:bottom w:val="single" w:sz="4" w:space="0" w:color="365F91"/>
            </w:tcBorders>
          </w:tcPr>
          <w:p w14:paraId="14058200" w14:textId="77777777" w:rsidR="00333601" w:rsidRPr="00BE78CA" w:rsidRDefault="00333601" w:rsidP="0047019D">
            <w:pPr>
              <w:pStyle w:val="TableText"/>
              <w:spacing w:before="50" w:after="50"/>
              <w:jc w:val="center"/>
              <w:rPr>
                <w:rFonts w:cs="Calibri"/>
                <w:szCs w:val="16"/>
              </w:rPr>
            </w:pPr>
            <w:r w:rsidRPr="00BE78CA">
              <w:t>358,367</w:t>
            </w:r>
          </w:p>
        </w:tc>
        <w:tc>
          <w:tcPr>
            <w:tcW w:w="1323" w:type="dxa"/>
            <w:tcBorders>
              <w:top w:val="single" w:sz="4" w:space="0" w:color="365F91"/>
              <w:bottom w:val="single" w:sz="4" w:space="0" w:color="365F91"/>
            </w:tcBorders>
          </w:tcPr>
          <w:p w14:paraId="3258E888" w14:textId="77777777" w:rsidR="00333601" w:rsidRPr="00BE78CA" w:rsidRDefault="00333601" w:rsidP="0047019D">
            <w:pPr>
              <w:pStyle w:val="TableText"/>
              <w:spacing w:before="50" w:after="50"/>
              <w:jc w:val="center"/>
              <w:rPr>
                <w:rFonts w:cs="Calibri"/>
                <w:szCs w:val="16"/>
              </w:rPr>
            </w:pPr>
            <w:r w:rsidRPr="00BE78CA">
              <w:t>7.5</w:t>
            </w:r>
          </w:p>
        </w:tc>
      </w:tr>
      <w:tr w:rsidR="00333601" w:rsidRPr="00BE78CA" w14:paraId="5979B97D" w14:textId="77777777" w:rsidTr="00FB1B7E">
        <w:tc>
          <w:tcPr>
            <w:tcW w:w="1726" w:type="dxa"/>
            <w:vMerge/>
            <w:tcBorders>
              <w:top w:val="single" w:sz="4" w:space="0" w:color="365F91"/>
            </w:tcBorders>
          </w:tcPr>
          <w:p w14:paraId="26D8C6E2" w14:textId="77777777" w:rsidR="00333601" w:rsidRPr="00BE78CA" w:rsidRDefault="00333601" w:rsidP="0047019D">
            <w:pPr>
              <w:pStyle w:val="TableText"/>
              <w:spacing w:before="50" w:after="50"/>
              <w:rPr>
                <w:rFonts w:cs="Calibri"/>
                <w:szCs w:val="16"/>
              </w:rPr>
            </w:pPr>
          </w:p>
        </w:tc>
        <w:tc>
          <w:tcPr>
            <w:tcW w:w="2487" w:type="dxa"/>
            <w:tcBorders>
              <w:top w:val="single" w:sz="4" w:space="0" w:color="365F91"/>
              <w:bottom w:val="single" w:sz="4" w:space="0" w:color="365F91"/>
            </w:tcBorders>
          </w:tcPr>
          <w:p w14:paraId="65528199" w14:textId="77777777" w:rsidR="00333601" w:rsidRPr="00BE78CA" w:rsidRDefault="00333601" w:rsidP="0047019D">
            <w:pPr>
              <w:pStyle w:val="TableText"/>
              <w:spacing w:before="50" w:after="50"/>
              <w:rPr>
                <w:rFonts w:cs="Calibri"/>
                <w:szCs w:val="16"/>
              </w:rPr>
            </w:pPr>
            <w:r w:rsidRPr="00BE78CA">
              <w:rPr>
                <w:rFonts w:cs="Calibri"/>
                <w:szCs w:val="16"/>
              </w:rPr>
              <w:t>Perennial remaining perennial</w:t>
            </w:r>
          </w:p>
        </w:tc>
        <w:tc>
          <w:tcPr>
            <w:tcW w:w="1461" w:type="dxa"/>
            <w:tcBorders>
              <w:top w:val="single" w:sz="4" w:space="0" w:color="365F91"/>
              <w:bottom w:val="single" w:sz="4" w:space="0" w:color="365F91"/>
            </w:tcBorders>
          </w:tcPr>
          <w:p w14:paraId="2942BEF3" w14:textId="77777777" w:rsidR="00333601" w:rsidRPr="00BE78CA" w:rsidRDefault="00333601" w:rsidP="0047019D">
            <w:pPr>
              <w:pStyle w:val="TableText"/>
              <w:spacing w:before="50" w:after="50"/>
              <w:jc w:val="center"/>
              <w:rPr>
                <w:rFonts w:cs="Calibri"/>
                <w:szCs w:val="16"/>
              </w:rPr>
            </w:pPr>
            <w:r w:rsidRPr="00BE78CA">
              <w:t>61,626</w:t>
            </w:r>
          </w:p>
        </w:tc>
        <w:tc>
          <w:tcPr>
            <w:tcW w:w="1508" w:type="dxa"/>
            <w:tcBorders>
              <w:top w:val="single" w:sz="4" w:space="0" w:color="365F91"/>
              <w:bottom w:val="single" w:sz="4" w:space="0" w:color="365F91"/>
            </w:tcBorders>
          </w:tcPr>
          <w:p w14:paraId="00A42721" w14:textId="77777777" w:rsidR="00333601" w:rsidRPr="00BE78CA" w:rsidRDefault="00333601" w:rsidP="0047019D">
            <w:pPr>
              <w:pStyle w:val="TableText"/>
              <w:spacing w:before="50" w:after="50"/>
              <w:jc w:val="center"/>
              <w:rPr>
                <w:rFonts w:cs="Calibri"/>
                <w:szCs w:val="16"/>
              </w:rPr>
            </w:pPr>
            <w:r w:rsidRPr="00BE78CA">
              <w:t>82,440</w:t>
            </w:r>
          </w:p>
        </w:tc>
        <w:tc>
          <w:tcPr>
            <w:tcW w:w="1323" w:type="dxa"/>
            <w:tcBorders>
              <w:top w:val="single" w:sz="4" w:space="0" w:color="365F91"/>
              <w:bottom w:val="single" w:sz="4" w:space="0" w:color="365F91"/>
            </w:tcBorders>
          </w:tcPr>
          <w:p w14:paraId="347DCEF7" w14:textId="77777777" w:rsidR="00333601" w:rsidRPr="00BE78CA" w:rsidRDefault="00333601" w:rsidP="0047019D">
            <w:pPr>
              <w:pStyle w:val="TableText"/>
              <w:spacing w:before="50" w:after="50"/>
              <w:jc w:val="center"/>
              <w:rPr>
                <w:rFonts w:cs="Calibri"/>
                <w:szCs w:val="16"/>
              </w:rPr>
            </w:pPr>
            <w:r w:rsidRPr="00BE78CA">
              <w:t>33.8</w:t>
            </w:r>
          </w:p>
        </w:tc>
      </w:tr>
      <w:tr w:rsidR="00333601" w:rsidRPr="00BE78CA" w14:paraId="557F0787" w14:textId="77777777" w:rsidTr="00FB1B7E">
        <w:tc>
          <w:tcPr>
            <w:tcW w:w="1726" w:type="dxa"/>
            <w:vMerge/>
          </w:tcPr>
          <w:p w14:paraId="2DCDDAFF" w14:textId="77777777" w:rsidR="00333601" w:rsidRPr="00BE78CA" w:rsidRDefault="00333601" w:rsidP="0047019D">
            <w:pPr>
              <w:pStyle w:val="TableText"/>
              <w:spacing w:before="50" w:after="50"/>
              <w:rPr>
                <w:rFonts w:cs="Calibri"/>
                <w:szCs w:val="16"/>
              </w:rPr>
            </w:pPr>
          </w:p>
        </w:tc>
        <w:tc>
          <w:tcPr>
            <w:tcW w:w="2487" w:type="dxa"/>
            <w:tcBorders>
              <w:top w:val="single" w:sz="4" w:space="0" w:color="365F91"/>
              <w:bottom w:val="single" w:sz="4" w:space="0" w:color="365F91"/>
            </w:tcBorders>
          </w:tcPr>
          <w:p w14:paraId="4D573E0E" w14:textId="77777777" w:rsidR="00333601" w:rsidRPr="00BE78CA" w:rsidRDefault="00333601" w:rsidP="0047019D">
            <w:pPr>
              <w:pStyle w:val="TableText"/>
              <w:spacing w:before="50" w:after="50"/>
              <w:rPr>
                <w:rFonts w:cs="Calibri"/>
                <w:szCs w:val="16"/>
              </w:rPr>
            </w:pPr>
            <w:r w:rsidRPr="00BE78CA">
              <w:rPr>
                <w:rFonts w:cs="Calibri"/>
                <w:szCs w:val="16"/>
              </w:rPr>
              <w:t>Annual to perennial</w:t>
            </w:r>
          </w:p>
        </w:tc>
        <w:tc>
          <w:tcPr>
            <w:tcW w:w="1461" w:type="dxa"/>
            <w:tcBorders>
              <w:top w:val="single" w:sz="4" w:space="0" w:color="365F91"/>
              <w:bottom w:val="single" w:sz="4" w:space="0" w:color="365F91"/>
            </w:tcBorders>
          </w:tcPr>
          <w:p w14:paraId="26F47BA0" w14:textId="77777777" w:rsidR="00333601" w:rsidRPr="00BE78CA" w:rsidRDefault="00333601" w:rsidP="0047019D">
            <w:pPr>
              <w:pStyle w:val="TableText"/>
              <w:spacing w:before="50" w:after="50"/>
              <w:jc w:val="center"/>
              <w:rPr>
                <w:rFonts w:cs="Calibri"/>
                <w:szCs w:val="16"/>
              </w:rPr>
            </w:pPr>
            <w:r w:rsidRPr="00BE78CA">
              <w:t>643</w:t>
            </w:r>
          </w:p>
        </w:tc>
        <w:tc>
          <w:tcPr>
            <w:tcW w:w="1508" w:type="dxa"/>
            <w:tcBorders>
              <w:top w:val="single" w:sz="4" w:space="0" w:color="365F91"/>
              <w:bottom w:val="single" w:sz="4" w:space="0" w:color="365F91"/>
            </w:tcBorders>
          </w:tcPr>
          <w:p w14:paraId="0C37691E" w14:textId="77777777" w:rsidR="00333601" w:rsidRPr="00BE78CA" w:rsidRDefault="00333601" w:rsidP="0047019D">
            <w:pPr>
              <w:pStyle w:val="TableText"/>
              <w:spacing w:before="50" w:after="50"/>
              <w:jc w:val="center"/>
              <w:rPr>
                <w:rFonts w:cs="Calibri"/>
                <w:szCs w:val="16"/>
              </w:rPr>
            </w:pPr>
            <w:r w:rsidRPr="00BE78CA">
              <w:t>3,235</w:t>
            </w:r>
          </w:p>
        </w:tc>
        <w:tc>
          <w:tcPr>
            <w:tcW w:w="1323" w:type="dxa"/>
            <w:tcBorders>
              <w:top w:val="single" w:sz="4" w:space="0" w:color="365F91"/>
              <w:bottom w:val="single" w:sz="4" w:space="0" w:color="365F91"/>
            </w:tcBorders>
          </w:tcPr>
          <w:p w14:paraId="44C85C05" w14:textId="77777777" w:rsidR="00333601" w:rsidRPr="00BE78CA" w:rsidRDefault="00333601" w:rsidP="0047019D">
            <w:pPr>
              <w:pStyle w:val="TableText"/>
              <w:spacing w:before="50" w:after="50"/>
              <w:jc w:val="center"/>
              <w:rPr>
                <w:rFonts w:cs="Calibri"/>
                <w:szCs w:val="16"/>
              </w:rPr>
            </w:pPr>
            <w:r w:rsidRPr="00BE78CA">
              <w:t>403.1</w:t>
            </w:r>
          </w:p>
        </w:tc>
      </w:tr>
      <w:tr w:rsidR="00333601" w:rsidRPr="00BE78CA" w14:paraId="129451F7" w14:textId="77777777" w:rsidTr="00FB1B7E">
        <w:tc>
          <w:tcPr>
            <w:tcW w:w="1726" w:type="dxa"/>
            <w:vMerge/>
            <w:tcBorders>
              <w:bottom w:val="nil"/>
            </w:tcBorders>
          </w:tcPr>
          <w:p w14:paraId="0550AC79" w14:textId="77777777" w:rsidR="00333601" w:rsidRPr="00BE78CA" w:rsidRDefault="00333601" w:rsidP="0047019D">
            <w:pPr>
              <w:pStyle w:val="TableText"/>
              <w:spacing w:before="50" w:after="50"/>
              <w:rPr>
                <w:rFonts w:cs="Calibri"/>
                <w:szCs w:val="16"/>
              </w:rPr>
            </w:pPr>
          </w:p>
        </w:tc>
        <w:tc>
          <w:tcPr>
            <w:tcW w:w="2487" w:type="dxa"/>
            <w:tcBorders>
              <w:top w:val="single" w:sz="4" w:space="0" w:color="365F91"/>
              <w:bottom w:val="single" w:sz="4" w:space="0" w:color="365F91"/>
            </w:tcBorders>
          </w:tcPr>
          <w:p w14:paraId="02F55D0D" w14:textId="77777777" w:rsidR="00333601" w:rsidRPr="00BE78CA" w:rsidRDefault="00333601" w:rsidP="0047019D">
            <w:pPr>
              <w:pStyle w:val="TableText"/>
              <w:spacing w:before="50" w:after="50"/>
              <w:rPr>
                <w:rFonts w:cs="Calibri"/>
                <w:szCs w:val="16"/>
              </w:rPr>
            </w:pPr>
            <w:r w:rsidRPr="00BE78CA">
              <w:rPr>
                <w:rFonts w:cs="Calibri"/>
                <w:szCs w:val="16"/>
              </w:rPr>
              <w:t>Perennial to annual</w:t>
            </w:r>
          </w:p>
        </w:tc>
        <w:tc>
          <w:tcPr>
            <w:tcW w:w="1461" w:type="dxa"/>
            <w:tcBorders>
              <w:top w:val="single" w:sz="4" w:space="0" w:color="365F91"/>
              <w:bottom w:val="single" w:sz="4" w:space="0" w:color="365F91"/>
            </w:tcBorders>
          </w:tcPr>
          <w:p w14:paraId="19FF6CF4" w14:textId="77777777" w:rsidR="00333601" w:rsidRPr="00BE78CA" w:rsidRDefault="00333601" w:rsidP="0047019D">
            <w:pPr>
              <w:pStyle w:val="TableText"/>
              <w:spacing w:before="50" w:after="50"/>
              <w:jc w:val="center"/>
              <w:rPr>
                <w:rFonts w:cs="Calibri"/>
                <w:szCs w:val="16"/>
              </w:rPr>
            </w:pPr>
            <w:r w:rsidRPr="00BE78CA">
              <w:t>0</w:t>
            </w:r>
          </w:p>
        </w:tc>
        <w:tc>
          <w:tcPr>
            <w:tcW w:w="1508" w:type="dxa"/>
            <w:tcBorders>
              <w:top w:val="single" w:sz="4" w:space="0" w:color="365F91"/>
              <w:bottom w:val="single" w:sz="4" w:space="0" w:color="365F91"/>
            </w:tcBorders>
          </w:tcPr>
          <w:p w14:paraId="77038D14" w14:textId="77777777" w:rsidR="00333601" w:rsidRPr="00BE78CA" w:rsidRDefault="00333601" w:rsidP="0047019D">
            <w:pPr>
              <w:pStyle w:val="TableText"/>
              <w:spacing w:before="50" w:after="50"/>
              <w:jc w:val="center"/>
              <w:rPr>
                <w:rFonts w:cs="Calibri"/>
                <w:szCs w:val="16"/>
              </w:rPr>
            </w:pPr>
            <w:r w:rsidRPr="00BE78CA">
              <w:t>1,550</w:t>
            </w:r>
          </w:p>
        </w:tc>
        <w:tc>
          <w:tcPr>
            <w:tcW w:w="1323" w:type="dxa"/>
            <w:tcBorders>
              <w:top w:val="single" w:sz="4" w:space="0" w:color="365F91"/>
              <w:bottom w:val="single" w:sz="4" w:space="0" w:color="365F91"/>
            </w:tcBorders>
          </w:tcPr>
          <w:p w14:paraId="5E483133" w14:textId="77777777" w:rsidR="00333601" w:rsidRPr="00BE78CA" w:rsidRDefault="00333601" w:rsidP="0047019D">
            <w:pPr>
              <w:pStyle w:val="TableText"/>
              <w:spacing w:before="50" w:after="50"/>
              <w:jc w:val="center"/>
              <w:rPr>
                <w:rFonts w:cs="Calibri"/>
                <w:szCs w:val="16"/>
              </w:rPr>
            </w:pPr>
            <w:r w:rsidRPr="00BE78CA">
              <w:t>NA</w:t>
            </w:r>
          </w:p>
        </w:tc>
      </w:tr>
      <w:tr w:rsidR="00333601" w:rsidRPr="00BE78CA" w14:paraId="5882D204" w14:textId="77777777" w:rsidTr="00FB1B7E">
        <w:tc>
          <w:tcPr>
            <w:tcW w:w="1726" w:type="dxa"/>
            <w:tcBorders>
              <w:top w:val="nil"/>
              <w:bottom w:val="single" w:sz="4" w:space="0" w:color="365F91"/>
            </w:tcBorders>
          </w:tcPr>
          <w:p w14:paraId="5F191B70" w14:textId="77777777" w:rsidR="00333601" w:rsidRPr="00BE78CA" w:rsidRDefault="00333601" w:rsidP="0047019D">
            <w:pPr>
              <w:pStyle w:val="TableText"/>
              <w:spacing w:before="50" w:after="50"/>
              <w:rPr>
                <w:rFonts w:cs="Calibri"/>
                <w:szCs w:val="16"/>
              </w:rPr>
            </w:pPr>
          </w:p>
        </w:tc>
        <w:tc>
          <w:tcPr>
            <w:tcW w:w="2487" w:type="dxa"/>
            <w:tcBorders>
              <w:top w:val="single" w:sz="4" w:space="0" w:color="365F91"/>
              <w:bottom w:val="single" w:sz="4" w:space="0" w:color="365F91"/>
            </w:tcBorders>
          </w:tcPr>
          <w:p w14:paraId="613E860E" w14:textId="77777777" w:rsidR="00333601" w:rsidRPr="00BE78CA" w:rsidRDefault="00333601" w:rsidP="0047019D">
            <w:pPr>
              <w:pStyle w:val="TableText"/>
              <w:spacing w:before="50" w:after="50"/>
              <w:rPr>
                <w:rFonts w:cs="Calibri"/>
                <w:i/>
                <w:szCs w:val="16"/>
              </w:rPr>
            </w:pPr>
            <w:r w:rsidRPr="00BE78CA">
              <w:rPr>
                <w:rFonts w:cs="Calibri"/>
                <w:i/>
                <w:szCs w:val="16"/>
              </w:rPr>
              <w:t>Subtotal</w:t>
            </w:r>
          </w:p>
        </w:tc>
        <w:tc>
          <w:tcPr>
            <w:tcW w:w="1461" w:type="dxa"/>
            <w:tcBorders>
              <w:top w:val="single" w:sz="4" w:space="0" w:color="365F91"/>
              <w:bottom w:val="single" w:sz="4" w:space="0" w:color="365F91"/>
            </w:tcBorders>
          </w:tcPr>
          <w:p w14:paraId="36A9B648" w14:textId="77777777" w:rsidR="00333601" w:rsidRPr="00BE78CA" w:rsidRDefault="00333601" w:rsidP="0047019D">
            <w:pPr>
              <w:pStyle w:val="TableText"/>
              <w:spacing w:before="50" w:after="50"/>
              <w:jc w:val="center"/>
              <w:rPr>
                <w:rFonts w:cs="Calibri"/>
                <w:i/>
                <w:iCs/>
                <w:szCs w:val="16"/>
              </w:rPr>
            </w:pPr>
            <w:r w:rsidRPr="00BE78CA">
              <w:rPr>
                <w:i/>
                <w:iCs/>
              </w:rPr>
              <w:t>395,787</w:t>
            </w:r>
          </w:p>
        </w:tc>
        <w:tc>
          <w:tcPr>
            <w:tcW w:w="1508" w:type="dxa"/>
            <w:tcBorders>
              <w:top w:val="single" w:sz="4" w:space="0" w:color="365F91"/>
              <w:bottom w:val="single" w:sz="4" w:space="0" w:color="365F91"/>
            </w:tcBorders>
          </w:tcPr>
          <w:p w14:paraId="27C2B0EA" w14:textId="77777777" w:rsidR="00333601" w:rsidRPr="00BE78CA" w:rsidRDefault="00333601" w:rsidP="0047019D">
            <w:pPr>
              <w:pStyle w:val="TableText"/>
              <w:spacing w:before="50" w:after="50"/>
              <w:jc w:val="center"/>
              <w:rPr>
                <w:rFonts w:cs="Calibri"/>
                <w:i/>
                <w:iCs/>
                <w:szCs w:val="16"/>
              </w:rPr>
            </w:pPr>
            <w:r w:rsidRPr="00BE78CA">
              <w:rPr>
                <w:i/>
                <w:iCs/>
              </w:rPr>
              <w:t>445,592</w:t>
            </w:r>
          </w:p>
        </w:tc>
        <w:tc>
          <w:tcPr>
            <w:tcW w:w="1323" w:type="dxa"/>
            <w:tcBorders>
              <w:top w:val="single" w:sz="4" w:space="0" w:color="365F91"/>
              <w:bottom w:val="single" w:sz="4" w:space="0" w:color="365F91"/>
            </w:tcBorders>
          </w:tcPr>
          <w:p w14:paraId="7309C2CB" w14:textId="77777777" w:rsidR="00333601" w:rsidRPr="00BE78CA" w:rsidRDefault="00333601" w:rsidP="0047019D">
            <w:pPr>
              <w:pStyle w:val="TableText"/>
              <w:spacing w:before="50" w:after="50"/>
              <w:jc w:val="center"/>
              <w:rPr>
                <w:rFonts w:cs="Calibri"/>
                <w:i/>
                <w:iCs/>
                <w:szCs w:val="16"/>
              </w:rPr>
            </w:pPr>
            <w:r w:rsidRPr="00BE78CA">
              <w:rPr>
                <w:i/>
                <w:iCs/>
              </w:rPr>
              <w:t>12.6</w:t>
            </w:r>
          </w:p>
        </w:tc>
      </w:tr>
      <w:tr w:rsidR="00333601" w:rsidRPr="00BE78CA" w14:paraId="2B8686CC" w14:textId="77777777" w:rsidTr="00FB1B7E">
        <w:tc>
          <w:tcPr>
            <w:tcW w:w="1726" w:type="dxa"/>
            <w:vMerge w:val="restart"/>
            <w:tcBorders>
              <w:top w:val="single" w:sz="4" w:space="0" w:color="365F91"/>
            </w:tcBorders>
          </w:tcPr>
          <w:p w14:paraId="2DBFCF6D" w14:textId="77777777" w:rsidR="00333601" w:rsidRPr="00BE78CA" w:rsidRDefault="00333601" w:rsidP="0047019D">
            <w:pPr>
              <w:pStyle w:val="TableText"/>
              <w:spacing w:before="50" w:after="50"/>
              <w:rPr>
                <w:rFonts w:cs="Calibri"/>
                <w:szCs w:val="16"/>
              </w:rPr>
            </w:pPr>
            <w:r w:rsidRPr="00BE78CA">
              <w:rPr>
                <w:rFonts w:cs="Calibri"/>
                <w:szCs w:val="16"/>
              </w:rPr>
              <w:t>Land in conversion to cropland</w:t>
            </w:r>
          </w:p>
        </w:tc>
        <w:tc>
          <w:tcPr>
            <w:tcW w:w="2487" w:type="dxa"/>
            <w:tcBorders>
              <w:top w:val="single" w:sz="4" w:space="0" w:color="365F91"/>
              <w:bottom w:val="single" w:sz="4" w:space="0" w:color="365F91"/>
            </w:tcBorders>
          </w:tcPr>
          <w:p w14:paraId="3285589F" w14:textId="77777777" w:rsidR="00333601" w:rsidRPr="00BE78CA" w:rsidRDefault="00333601" w:rsidP="0047019D">
            <w:pPr>
              <w:pStyle w:val="TableText"/>
              <w:spacing w:before="50" w:after="50"/>
              <w:rPr>
                <w:rFonts w:cs="Calibri"/>
                <w:szCs w:val="16"/>
              </w:rPr>
            </w:pPr>
            <w:r w:rsidRPr="00BE78CA">
              <w:rPr>
                <w:rFonts w:cs="Calibri"/>
                <w:szCs w:val="16"/>
              </w:rPr>
              <w:t>Annual cropland</w:t>
            </w:r>
          </w:p>
        </w:tc>
        <w:tc>
          <w:tcPr>
            <w:tcW w:w="1461" w:type="dxa"/>
            <w:tcBorders>
              <w:top w:val="single" w:sz="4" w:space="0" w:color="365F91"/>
              <w:bottom w:val="single" w:sz="4" w:space="0" w:color="365F91"/>
            </w:tcBorders>
          </w:tcPr>
          <w:p w14:paraId="40A5A54D" w14:textId="77777777" w:rsidR="00333601" w:rsidRPr="00BE78CA" w:rsidRDefault="00333601" w:rsidP="0047019D">
            <w:pPr>
              <w:pStyle w:val="TableText"/>
              <w:spacing w:before="50" w:after="50"/>
              <w:jc w:val="center"/>
              <w:rPr>
                <w:rFonts w:cs="Calibri"/>
                <w:szCs w:val="16"/>
              </w:rPr>
            </w:pPr>
            <w:r w:rsidRPr="00BE78CA">
              <w:t>21,379</w:t>
            </w:r>
          </w:p>
        </w:tc>
        <w:tc>
          <w:tcPr>
            <w:tcW w:w="1508" w:type="dxa"/>
            <w:tcBorders>
              <w:top w:val="single" w:sz="4" w:space="0" w:color="365F91"/>
              <w:bottom w:val="single" w:sz="4" w:space="0" w:color="365F91"/>
            </w:tcBorders>
          </w:tcPr>
          <w:p w14:paraId="2DC35723" w14:textId="77777777" w:rsidR="00333601" w:rsidRPr="00BE78CA" w:rsidRDefault="00333601" w:rsidP="0047019D">
            <w:pPr>
              <w:pStyle w:val="TableText"/>
              <w:spacing w:before="50" w:after="50"/>
              <w:jc w:val="center"/>
              <w:rPr>
                <w:rFonts w:cs="Calibri"/>
                <w:szCs w:val="16"/>
              </w:rPr>
            </w:pPr>
            <w:r w:rsidRPr="00BE78CA">
              <w:t>11366.4</w:t>
            </w:r>
          </w:p>
        </w:tc>
        <w:tc>
          <w:tcPr>
            <w:tcW w:w="1323" w:type="dxa"/>
            <w:tcBorders>
              <w:top w:val="single" w:sz="4" w:space="0" w:color="365F91"/>
              <w:bottom w:val="single" w:sz="4" w:space="0" w:color="365F91"/>
            </w:tcBorders>
          </w:tcPr>
          <w:p w14:paraId="39F29D3A" w14:textId="77777777" w:rsidR="00333601" w:rsidRPr="00BE78CA" w:rsidRDefault="00333601" w:rsidP="0047019D">
            <w:pPr>
              <w:pStyle w:val="TableText"/>
              <w:spacing w:before="50" w:after="50"/>
              <w:jc w:val="center"/>
              <w:rPr>
                <w:rFonts w:cs="Calibri"/>
                <w:szCs w:val="16"/>
              </w:rPr>
            </w:pPr>
            <w:r w:rsidRPr="00BE78CA">
              <w:t>–46.8</w:t>
            </w:r>
          </w:p>
        </w:tc>
      </w:tr>
      <w:tr w:rsidR="00333601" w:rsidRPr="00BE78CA" w14:paraId="25026EF9" w14:textId="77777777" w:rsidTr="00FB1B7E">
        <w:tc>
          <w:tcPr>
            <w:tcW w:w="1726" w:type="dxa"/>
            <w:vMerge/>
            <w:tcBorders>
              <w:bottom w:val="nil"/>
            </w:tcBorders>
          </w:tcPr>
          <w:p w14:paraId="62EE19F2" w14:textId="77777777" w:rsidR="00333601" w:rsidRPr="00BE78CA" w:rsidRDefault="00333601" w:rsidP="0047019D">
            <w:pPr>
              <w:pStyle w:val="TableText"/>
              <w:spacing w:before="50" w:after="50"/>
              <w:rPr>
                <w:rFonts w:cs="Calibri"/>
                <w:szCs w:val="16"/>
              </w:rPr>
            </w:pPr>
          </w:p>
        </w:tc>
        <w:tc>
          <w:tcPr>
            <w:tcW w:w="2487" w:type="dxa"/>
            <w:tcBorders>
              <w:top w:val="single" w:sz="4" w:space="0" w:color="365F91"/>
              <w:bottom w:val="single" w:sz="4" w:space="0" w:color="365F91"/>
            </w:tcBorders>
          </w:tcPr>
          <w:p w14:paraId="636650F3" w14:textId="77777777" w:rsidR="00333601" w:rsidRPr="00BE78CA" w:rsidRDefault="00333601" w:rsidP="0047019D">
            <w:pPr>
              <w:pStyle w:val="TableText"/>
              <w:spacing w:before="50" w:after="50"/>
              <w:rPr>
                <w:rFonts w:cs="Calibri"/>
                <w:szCs w:val="16"/>
              </w:rPr>
            </w:pPr>
            <w:r w:rsidRPr="00BE78CA">
              <w:rPr>
                <w:rFonts w:cs="Calibri"/>
                <w:szCs w:val="16"/>
              </w:rPr>
              <w:t>Perennial cropland</w:t>
            </w:r>
          </w:p>
        </w:tc>
        <w:tc>
          <w:tcPr>
            <w:tcW w:w="1461" w:type="dxa"/>
            <w:tcBorders>
              <w:top w:val="single" w:sz="4" w:space="0" w:color="365F91"/>
              <w:bottom w:val="single" w:sz="4" w:space="0" w:color="365F91"/>
            </w:tcBorders>
          </w:tcPr>
          <w:p w14:paraId="673C53AA" w14:textId="77777777" w:rsidR="00333601" w:rsidRPr="00BE78CA" w:rsidRDefault="00333601" w:rsidP="0047019D">
            <w:pPr>
              <w:pStyle w:val="TableText"/>
              <w:spacing w:before="50" w:after="50"/>
              <w:jc w:val="center"/>
              <w:rPr>
                <w:rFonts w:cs="Calibri"/>
                <w:szCs w:val="16"/>
              </w:rPr>
            </w:pPr>
            <w:r w:rsidRPr="00BE78CA">
              <w:t>6,765</w:t>
            </w:r>
          </w:p>
        </w:tc>
        <w:tc>
          <w:tcPr>
            <w:tcW w:w="1508" w:type="dxa"/>
            <w:tcBorders>
              <w:top w:val="single" w:sz="4" w:space="0" w:color="365F91"/>
              <w:bottom w:val="single" w:sz="4" w:space="0" w:color="365F91"/>
            </w:tcBorders>
          </w:tcPr>
          <w:p w14:paraId="10629559" w14:textId="77777777" w:rsidR="00333601" w:rsidRPr="00BE78CA" w:rsidRDefault="00333601" w:rsidP="0047019D">
            <w:pPr>
              <w:pStyle w:val="TableText"/>
              <w:spacing w:before="50" w:after="50"/>
              <w:jc w:val="center"/>
              <w:rPr>
                <w:rFonts w:cs="Calibri"/>
                <w:szCs w:val="16"/>
              </w:rPr>
            </w:pPr>
            <w:r w:rsidRPr="00BE78CA">
              <w:t>19,278</w:t>
            </w:r>
          </w:p>
        </w:tc>
        <w:tc>
          <w:tcPr>
            <w:tcW w:w="1323" w:type="dxa"/>
            <w:tcBorders>
              <w:top w:val="single" w:sz="4" w:space="0" w:color="365F91"/>
              <w:bottom w:val="single" w:sz="4" w:space="0" w:color="365F91"/>
            </w:tcBorders>
          </w:tcPr>
          <w:p w14:paraId="31084316" w14:textId="77777777" w:rsidR="00333601" w:rsidRPr="00BE78CA" w:rsidRDefault="00333601" w:rsidP="0047019D">
            <w:pPr>
              <w:pStyle w:val="TableText"/>
              <w:spacing w:before="50" w:after="50"/>
              <w:jc w:val="center"/>
              <w:rPr>
                <w:rFonts w:cs="Calibri"/>
                <w:szCs w:val="16"/>
              </w:rPr>
            </w:pPr>
            <w:r w:rsidRPr="00BE78CA">
              <w:t>+185.0</w:t>
            </w:r>
          </w:p>
        </w:tc>
      </w:tr>
      <w:tr w:rsidR="00333601" w:rsidRPr="00BE78CA" w14:paraId="732E2C36" w14:textId="77777777" w:rsidTr="00FB1B7E">
        <w:tc>
          <w:tcPr>
            <w:tcW w:w="1726" w:type="dxa"/>
            <w:tcBorders>
              <w:top w:val="nil"/>
              <w:bottom w:val="single" w:sz="4" w:space="0" w:color="365F91"/>
            </w:tcBorders>
          </w:tcPr>
          <w:p w14:paraId="696800F9" w14:textId="77777777" w:rsidR="00333601" w:rsidRPr="00BE78CA" w:rsidRDefault="00333601" w:rsidP="0047019D">
            <w:pPr>
              <w:pStyle w:val="TableTextBold"/>
              <w:spacing w:before="50" w:after="50"/>
              <w:rPr>
                <w:rFonts w:cs="Calibri"/>
                <w:noProof w:val="0"/>
                <w:szCs w:val="16"/>
              </w:rPr>
            </w:pPr>
          </w:p>
        </w:tc>
        <w:tc>
          <w:tcPr>
            <w:tcW w:w="2487" w:type="dxa"/>
            <w:tcBorders>
              <w:top w:val="single" w:sz="4" w:space="0" w:color="365F91"/>
              <w:bottom w:val="single" w:sz="4" w:space="0" w:color="365F91"/>
            </w:tcBorders>
          </w:tcPr>
          <w:p w14:paraId="55FA4B57" w14:textId="77777777" w:rsidR="00333601" w:rsidRPr="00BE78CA" w:rsidRDefault="00333601" w:rsidP="0047019D">
            <w:pPr>
              <w:pStyle w:val="TableText"/>
              <w:spacing w:before="50" w:after="50"/>
              <w:rPr>
                <w:rFonts w:cs="Calibri"/>
                <w:i/>
                <w:szCs w:val="16"/>
              </w:rPr>
            </w:pPr>
            <w:r w:rsidRPr="00BE78CA">
              <w:rPr>
                <w:rFonts w:cs="Calibri"/>
                <w:i/>
                <w:szCs w:val="16"/>
              </w:rPr>
              <w:t>Subtotal</w:t>
            </w:r>
          </w:p>
        </w:tc>
        <w:tc>
          <w:tcPr>
            <w:tcW w:w="1461" w:type="dxa"/>
            <w:tcBorders>
              <w:top w:val="single" w:sz="4" w:space="0" w:color="365F91"/>
              <w:bottom w:val="single" w:sz="4" w:space="0" w:color="365F91"/>
            </w:tcBorders>
          </w:tcPr>
          <w:p w14:paraId="7E291E3F" w14:textId="77777777" w:rsidR="00333601" w:rsidRPr="00BE78CA" w:rsidRDefault="00333601" w:rsidP="0047019D">
            <w:pPr>
              <w:pStyle w:val="TableText"/>
              <w:spacing w:before="50" w:after="50"/>
              <w:jc w:val="center"/>
              <w:rPr>
                <w:rFonts w:cs="Calibri"/>
                <w:i/>
                <w:szCs w:val="16"/>
              </w:rPr>
            </w:pPr>
            <w:r w:rsidRPr="00BE78CA">
              <w:t>28,144</w:t>
            </w:r>
          </w:p>
        </w:tc>
        <w:tc>
          <w:tcPr>
            <w:tcW w:w="1508" w:type="dxa"/>
            <w:tcBorders>
              <w:top w:val="single" w:sz="4" w:space="0" w:color="365F91"/>
              <w:bottom w:val="single" w:sz="4" w:space="0" w:color="365F91"/>
            </w:tcBorders>
          </w:tcPr>
          <w:p w14:paraId="0A7A4855" w14:textId="77777777" w:rsidR="00333601" w:rsidRPr="00BE78CA" w:rsidRDefault="00333601" w:rsidP="0047019D">
            <w:pPr>
              <w:pStyle w:val="TableText"/>
              <w:spacing w:before="50" w:after="50"/>
              <w:jc w:val="center"/>
              <w:rPr>
                <w:rFonts w:cs="Calibri"/>
                <w:i/>
                <w:szCs w:val="16"/>
              </w:rPr>
            </w:pPr>
            <w:r w:rsidRPr="00BE78CA">
              <w:t>30,644</w:t>
            </w:r>
          </w:p>
        </w:tc>
        <w:tc>
          <w:tcPr>
            <w:tcW w:w="1323" w:type="dxa"/>
            <w:tcBorders>
              <w:top w:val="single" w:sz="4" w:space="0" w:color="365F91"/>
              <w:bottom w:val="single" w:sz="4" w:space="0" w:color="365F91"/>
            </w:tcBorders>
          </w:tcPr>
          <w:p w14:paraId="103598A8" w14:textId="77777777" w:rsidR="00333601" w:rsidRPr="00BE78CA" w:rsidRDefault="00333601" w:rsidP="0047019D">
            <w:pPr>
              <w:pStyle w:val="TableText"/>
              <w:spacing w:before="50" w:after="50"/>
              <w:jc w:val="center"/>
              <w:rPr>
                <w:rFonts w:cs="Calibri"/>
                <w:i/>
                <w:szCs w:val="16"/>
              </w:rPr>
            </w:pPr>
            <w:r w:rsidRPr="00BE78CA">
              <w:t>+8.9</w:t>
            </w:r>
          </w:p>
        </w:tc>
      </w:tr>
      <w:tr w:rsidR="00333601" w:rsidRPr="00BE78CA" w14:paraId="2BB94D15" w14:textId="77777777" w:rsidTr="00FB1B7E">
        <w:tc>
          <w:tcPr>
            <w:tcW w:w="1726" w:type="dxa"/>
            <w:tcBorders>
              <w:top w:val="single" w:sz="4" w:space="0" w:color="365F91"/>
              <w:bottom w:val="single" w:sz="4" w:space="0" w:color="365F91"/>
            </w:tcBorders>
          </w:tcPr>
          <w:p w14:paraId="4D6302E3" w14:textId="77777777" w:rsidR="00333601" w:rsidRPr="00BE78CA" w:rsidRDefault="00333601" w:rsidP="0047019D">
            <w:pPr>
              <w:pStyle w:val="Tableboldblue"/>
              <w:spacing w:before="50" w:after="50"/>
              <w:jc w:val="right"/>
              <w:rPr>
                <w:rFonts w:cs="Calibri"/>
              </w:rPr>
            </w:pPr>
            <w:r w:rsidRPr="00BE78CA">
              <w:rPr>
                <w:rFonts w:cs="Calibri"/>
              </w:rPr>
              <w:t>Total</w:t>
            </w:r>
          </w:p>
        </w:tc>
        <w:tc>
          <w:tcPr>
            <w:tcW w:w="2487" w:type="dxa"/>
            <w:tcBorders>
              <w:top w:val="single" w:sz="4" w:space="0" w:color="365F91"/>
              <w:bottom w:val="single" w:sz="4" w:space="0" w:color="365F91"/>
            </w:tcBorders>
          </w:tcPr>
          <w:p w14:paraId="6A728E43" w14:textId="77777777" w:rsidR="00333601" w:rsidRPr="00BE78CA" w:rsidRDefault="00333601" w:rsidP="0047019D">
            <w:pPr>
              <w:pStyle w:val="Tableboldblue"/>
              <w:spacing w:before="50" w:after="50"/>
              <w:rPr>
                <w:rFonts w:cs="Calibri"/>
              </w:rPr>
            </w:pPr>
          </w:p>
        </w:tc>
        <w:tc>
          <w:tcPr>
            <w:tcW w:w="1461" w:type="dxa"/>
            <w:tcBorders>
              <w:top w:val="single" w:sz="4" w:space="0" w:color="365F91"/>
              <w:bottom w:val="single" w:sz="4" w:space="0" w:color="365F91"/>
            </w:tcBorders>
          </w:tcPr>
          <w:p w14:paraId="47C88B56" w14:textId="77777777" w:rsidR="00333601" w:rsidRPr="00BE78CA" w:rsidRDefault="00333601" w:rsidP="0047019D">
            <w:pPr>
              <w:pStyle w:val="Tableboldblue"/>
              <w:spacing w:before="50" w:after="50"/>
              <w:jc w:val="center"/>
              <w:rPr>
                <w:rFonts w:cs="Calibri"/>
              </w:rPr>
            </w:pPr>
            <w:r w:rsidRPr="00BE78CA">
              <w:t>423,930</w:t>
            </w:r>
          </w:p>
        </w:tc>
        <w:tc>
          <w:tcPr>
            <w:tcW w:w="1508" w:type="dxa"/>
            <w:tcBorders>
              <w:top w:val="single" w:sz="4" w:space="0" w:color="365F91"/>
              <w:bottom w:val="single" w:sz="4" w:space="0" w:color="365F91"/>
            </w:tcBorders>
          </w:tcPr>
          <w:p w14:paraId="73964AC4" w14:textId="77777777" w:rsidR="00333601" w:rsidRPr="00BE78CA" w:rsidRDefault="00333601" w:rsidP="0047019D">
            <w:pPr>
              <w:pStyle w:val="Tableboldblue"/>
              <w:spacing w:before="50" w:after="50"/>
              <w:jc w:val="center"/>
              <w:rPr>
                <w:rFonts w:cs="Calibri"/>
              </w:rPr>
            </w:pPr>
            <w:r w:rsidRPr="00BE78CA">
              <w:t>476,236</w:t>
            </w:r>
          </w:p>
        </w:tc>
        <w:tc>
          <w:tcPr>
            <w:tcW w:w="1323" w:type="dxa"/>
            <w:tcBorders>
              <w:top w:val="single" w:sz="4" w:space="0" w:color="365F91"/>
              <w:bottom w:val="single" w:sz="4" w:space="0" w:color="365F91"/>
            </w:tcBorders>
          </w:tcPr>
          <w:p w14:paraId="67BF29F3" w14:textId="77777777" w:rsidR="00333601" w:rsidRPr="00BE78CA" w:rsidRDefault="00333601" w:rsidP="0047019D">
            <w:pPr>
              <w:pStyle w:val="Tableboldblue"/>
              <w:spacing w:before="50" w:after="50"/>
              <w:jc w:val="center"/>
              <w:rPr>
                <w:rFonts w:cs="Calibri"/>
              </w:rPr>
            </w:pPr>
            <w:r w:rsidRPr="00BE78CA">
              <w:t>+12.3</w:t>
            </w:r>
          </w:p>
        </w:tc>
      </w:tr>
    </w:tbl>
    <w:p w14:paraId="7ECEF77E" w14:textId="77777777" w:rsidR="00333601" w:rsidRPr="00BE78CA" w:rsidRDefault="00333601" w:rsidP="00333601">
      <w:pPr>
        <w:pStyle w:val="Noteundertable"/>
      </w:pPr>
      <w:r w:rsidRPr="00BE78CA">
        <w:rPr>
          <w:b/>
        </w:rPr>
        <w:t>Note:</w:t>
      </w:r>
      <w:r w:rsidRPr="00BE78CA">
        <w:tab/>
        <w:t>NA = not applicable. This table shows the change between 1 January 1990 and 31 December 2019. Columns may not total due to rounding.</w:t>
      </w:r>
    </w:p>
    <w:p w14:paraId="64F986F2" w14:textId="77777777" w:rsidR="00333601" w:rsidRPr="00BE78CA" w:rsidRDefault="00333601" w:rsidP="00333601">
      <w:pPr>
        <w:pStyle w:val="BodyText"/>
      </w:pPr>
      <w:r w:rsidRPr="00BE78CA">
        <w:t xml:space="preserve">In 2019, </w:t>
      </w:r>
      <w:r w:rsidRPr="00BE78CA">
        <w:rPr>
          <w:i/>
        </w:rPr>
        <w:t>Cropland remaining cropland</w:t>
      </w:r>
      <w:r w:rsidRPr="00BE78CA">
        <w:t xml:space="preserve"> was a key category (level and trend assessment). </w:t>
      </w:r>
    </w:p>
    <w:p w14:paraId="53BADA97" w14:textId="77777777" w:rsidR="00333601" w:rsidRPr="00BE78CA" w:rsidRDefault="00333601" w:rsidP="00333601">
      <w:pPr>
        <w:pStyle w:val="Heading3"/>
      </w:pPr>
      <w:bookmarkStart w:id="2067" w:name="_Toc139253964"/>
      <w:bookmarkStart w:id="2068" w:name="_Toc255466373"/>
      <w:bookmarkStart w:id="2069" w:name="_Toc261513180"/>
      <w:bookmarkStart w:id="2070" w:name="_Toc261513793"/>
      <w:bookmarkStart w:id="2071" w:name="_Toc280630265"/>
      <w:r w:rsidRPr="00BE78CA">
        <w:t>6.5.2</w:t>
      </w:r>
      <w:r w:rsidRPr="00BE78CA">
        <w:tab/>
        <w:t>Methodological issues</w:t>
      </w:r>
      <w:bookmarkEnd w:id="2067"/>
      <w:bookmarkEnd w:id="2068"/>
      <w:bookmarkEnd w:id="2069"/>
      <w:bookmarkEnd w:id="2070"/>
      <w:bookmarkEnd w:id="2071"/>
      <w:r w:rsidRPr="00BE78CA">
        <w:t xml:space="preserve"> </w:t>
      </w:r>
    </w:p>
    <w:p w14:paraId="4260A32E" w14:textId="77777777" w:rsidR="00333601" w:rsidRPr="00BE78CA" w:rsidRDefault="00333601" w:rsidP="00333601">
      <w:pPr>
        <w:pStyle w:val="BodyText"/>
      </w:pPr>
      <w:r w:rsidRPr="00BE78CA">
        <w:t xml:space="preserve">Emissions and removals for the living biomass and dead organic matter pools have been calculated using IPCC Tier 1 emission factors for annual cropland, Tier 2 emission factors for perennial cropland (Davis and Wakelin, unpublished) and activity data as described in section 6.2. Emissions and removals by the SOC pool are estimated using a Tier 2 method for mineral soils and IPCC Tier 1 defaults for organic soils (section 6.3, IPCC, 2006a). </w:t>
      </w:r>
    </w:p>
    <w:p w14:paraId="1060EAC3" w14:textId="77777777" w:rsidR="00333601" w:rsidRPr="00BE78CA" w:rsidRDefault="00333601" w:rsidP="00333601">
      <w:pPr>
        <w:pStyle w:val="BodyText"/>
      </w:pPr>
      <w:r w:rsidRPr="00BE78CA">
        <w:t xml:space="preserve">A summary of the New Zealand emission factors and other parameters used to estimate greenhouse gas emissions for the </w:t>
      </w:r>
      <w:r w:rsidRPr="00BE78CA">
        <w:rPr>
          <w:i/>
        </w:rPr>
        <w:t>Cropland</w:t>
      </w:r>
      <w:r w:rsidRPr="00BE78CA">
        <w:t xml:space="preserve"> category is provided in table 6.5.5. </w:t>
      </w:r>
      <w:bookmarkStart w:id="2072" w:name="_Toc310423418"/>
      <w:bookmarkStart w:id="2073" w:name="_Toc318362711"/>
      <w:bookmarkStart w:id="2074" w:name="_Toc342470773"/>
      <w:bookmarkStart w:id="2075" w:name="_Toc352505013"/>
      <w:bookmarkStart w:id="2076" w:name="_Toc378853304"/>
    </w:p>
    <w:p w14:paraId="711B0684" w14:textId="77777777" w:rsidR="00333601" w:rsidRPr="00BE78CA" w:rsidRDefault="00333601" w:rsidP="00333601">
      <w:pPr>
        <w:pStyle w:val="Table"/>
      </w:pPr>
      <w:bookmarkStart w:id="2077" w:name="_Toc391024102"/>
      <w:bookmarkStart w:id="2078" w:name="_Toc410028845"/>
      <w:bookmarkStart w:id="2079" w:name="_Toc414531473"/>
      <w:bookmarkStart w:id="2080" w:name="_Toc443645386"/>
      <w:bookmarkStart w:id="2081" w:name="_Toc474914605"/>
      <w:bookmarkStart w:id="2082" w:name="_Toc481751569"/>
      <w:bookmarkStart w:id="2083" w:name="_Toc522010626"/>
      <w:bookmarkStart w:id="2084" w:name="_Toc5269531"/>
      <w:bookmarkStart w:id="2085" w:name="_Toc33529405"/>
      <w:bookmarkStart w:id="2086" w:name="_Toc36224611"/>
      <w:bookmarkStart w:id="2087" w:name="_Toc65243608"/>
      <w:bookmarkStart w:id="2088" w:name="_Toc68786498"/>
      <w:r w:rsidRPr="00BE78CA">
        <w:lastRenderedPageBreak/>
        <w:t>Table 6.5.5</w:t>
      </w:r>
      <w:r w:rsidRPr="00BE78CA">
        <w:tab/>
        <w:t>Summary of New Zealand’s carbon stock change emission factors for Cropland</w:t>
      </w:r>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p>
    <w:tbl>
      <w:tblPr>
        <w:tblW w:w="8505" w:type="dxa"/>
        <w:tblLayout w:type="fixed"/>
        <w:tblCellMar>
          <w:left w:w="85" w:type="dxa"/>
          <w:right w:w="57" w:type="dxa"/>
        </w:tblCellMar>
        <w:tblLook w:val="04A0" w:firstRow="1" w:lastRow="0" w:firstColumn="1" w:lastColumn="0" w:noHBand="0" w:noVBand="1"/>
      </w:tblPr>
      <w:tblGrid>
        <w:gridCol w:w="902"/>
        <w:gridCol w:w="1611"/>
        <w:gridCol w:w="1095"/>
        <w:gridCol w:w="1160"/>
        <w:gridCol w:w="967"/>
        <w:gridCol w:w="2770"/>
      </w:tblGrid>
      <w:tr w:rsidR="00333601" w:rsidRPr="00BE78CA" w14:paraId="7DA49402" w14:textId="77777777" w:rsidTr="00FB1B7E">
        <w:trPr>
          <w:tblHeader/>
        </w:trPr>
        <w:tc>
          <w:tcPr>
            <w:tcW w:w="794" w:type="dxa"/>
            <w:tcBorders>
              <w:top w:val="single" w:sz="4" w:space="0" w:color="365F91"/>
              <w:bottom w:val="single" w:sz="4" w:space="0" w:color="365F91"/>
            </w:tcBorders>
            <w:shd w:val="clear" w:color="auto" w:fill="365F91"/>
            <w:vAlign w:val="bottom"/>
          </w:tcPr>
          <w:p w14:paraId="34D5E154" w14:textId="77777777" w:rsidR="00333601" w:rsidRPr="00BE78CA" w:rsidRDefault="00333601" w:rsidP="00C26084">
            <w:pPr>
              <w:pStyle w:val="TableTextBold"/>
              <w:keepNext/>
              <w:rPr>
                <w:rFonts w:cs="Calibri"/>
                <w:noProof w:val="0"/>
                <w:color w:val="FFFFFF"/>
                <w:szCs w:val="16"/>
              </w:rPr>
            </w:pPr>
            <w:r w:rsidRPr="00BE78CA">
              <w:rPr>
                <w:rFonts w:cs="Calibri"/>
                <w:noProof w:val="0"/>
                <w:color w:val="FFFFFF"/>
                <w:szCs w:val="16"/>
              </w:rPr>
              <w:t>Land use</w:t>
            </w:r>
          </w:p>
        </w:tc>
        <w:tc>
          <w:tcPr>
            <w:tcW w:w="1418" w:type="dxa"/>
            <w:tcBorders>
              <w:top w:val="single" w:sz="4" w:space="0" w:color="365F91"/>
              <w:bottom w:val="single" w:sz="4" w:space="0" w:color="365F91"/>
            </w:tcBorders>
            <w:shd w:val="clear" w:color="auto" w:fill="365F91"/>
            <w:vAlign w:val="bottom"/>
          </w:tcPr>
          <w:p w14:paraId="0C32123C" w14:textId="77777777" w:rsidR="00333601" w:rsidRPr="00BE78CA" w:rsidRDefault="00333601" w:rsidP="00C26084">
            <w:pPr>
              <w:pStyle w:val="TableTextBold"/>
              <w:keepNext/>
              <w:rPr>
                <w:rFonts w:cs="Calibri"/>
                <w:noProof w:val="0"/>
                <w:color w:val="FFFFFF"/>
                <w:szCs w:val="16"/>
              </w:rPr>
            </w:pPr>
            <w:r w:rsidRPr="00BE78CA">
              <w:rPr>
                <w:rFonts w:cs="Calibri"/>
                <w:noProof w:val="0"/>
                <w:color w:val="FFFFFF"/>
                <w:szCs w:val="16"/>
              </w:rPr>
              <w:t>Carbon pool</w:t>
            </w:r>
          </w:p>
        </w:tc>
        <w:tc>
          <w:tcPr>
            <w:tcW w:w="964" w:type="dxa"/>
            <w:tcBorders>
              <w:top w:val="single" w:sz="4" w:space="0" w:color="365F91"/>
              <w:bottom w:val="single" w:sz="4" w:space="0" w:color="365F91"/>
            </w:tcBorders>
            <w:shd w:val="clear" w:color="auto" w:fill="365F91"/>
            <w:vAlign w:val="bottom"/>
          </w:tcPr>
          <w:p w14:paraId="77F23C8B" w14:textId="77777777" w:rsidR="00333601" w:rsidRPr="00BE78CA" w:rsidRDefault="00333601" w:rsidP="00C26084">
            <w:pPr>
              <w:pStyle w:val="TableTextBold"/>
              <w:keepNext/>
              <w:rPr>
                <w:rFonts w:cs="Calibri"/>
                <w:noProof w:val="0"/>
                <w:color w:val="FFFFFF"/>
                <w:szCs w:val="16"/>
              </w:rPr>
            </w:pPr>
            <w:r w:rsidRPr="00BE78CA">
              <w:rPr>
                <w:rFonts w:cs="Calibri"/>
                <w:noProof w:val="0"/>
                <w:color w:val="FFFFFF"/>
                <w:szCs w:val="16"/>
              </w:rPr>
              <w:t xml:space="preserve">Steady state carbon stock </w:t>
            </w:r>
            <w:r w:rsidRPr="00BE78CA">
              <w:rPr>
                <w:rFonts w:cs="Calibri"/>
                <w:noProof w:val="0"/>
                <w:color w:val="FFFFFF"/>
                <w:szCs w:val="16"/>
              </w:rPr>
              <w:br/>
              <w:t>(t C ha</w:t>
            </w:r>
            <w:r w:rsidRPr="00BE78CA">
              <w:rPr>
                <w:rFonts w:cs="Calibri"/>
                <w:noProof w:val="0"/>
                <w:color w:val="FFFFFF"/>
                <w:szCs w:val="16"/>
                <w:vertAlign w:val="superscript"/>
              </w:rPr>
              <w:t>–1</w:t>
            </w:r>
            <w:r w:rsidRPr="00BE78CA">
              <w:rPr>
                <w:rFonts w:cs="Calibri"/>
                <w:noProof w:val="0"/>
                <w:color w:val="FFFFFF"/>
                <w:szCs w:val="16"/>
              </w:rPr>
              <w:t>)</w:t>
            </w:r>
          </w:p>
        </w:tc>
        <w:tc>
          <w:tcPr>
            <w:tcW w:w="1021" w:type="dxa"/>
            <w:tcBorders>
              <w:top w:val="single" w:sz="4" w:space="0" w:color="365F91"/>
              <w:bottom w:val="single" w:sz="4" w:space="0" w:color="365F91"/>
            </w:tcBorders>
            <w:shd w:val="clear" w:color="auto" w:fill="365F91"/>
            <w:vAlign w:val="bottom"/>
          </w:tcPr>
          <w:p w14:paraId="23099BE8" w14:textId="77777777" w:rsidR="00333601" w:rsidRPr="00BE78CA" w:rsidRDefault="00333601" w:rsidP="00C26084">
            <w:pPr>
              <w:pStyle w:val="TableTextBold"/>
              <w:keepNext/>
              <w:rPr>
                <w:rFonts w:cs="Calibri"/>
                <w:noProof w:val="0"/>
                <w:color w:val="FFFFFF"/>
                <w:szCs w:val="16"/>
              </w:rPr>
            </w:pPr>
            <w:r w:rsidRPr="00BE78CA">
              <w:rPr>
                <w:rFonts w:cs="Calibri"/>
                <w:noProof w:val="0"/>
                <w:color w:val="FFFFFF"/>
                <w:szCs w:val="16"/>
              </w:rPr>
              <w:t xml:space="preserve">Annual carbon stock change </w:t>
            </w:r>
            <w:r w:rsidRPr="00BE78CA">
              <w:rPr>
                <w:rFonts w:cs="Calibri"/>
                <w:noProof w:val="0"/>
                <w:color w:val="FFFFFF"/>
                <w:szCs w:val="16"/>
              </w:rPr>
              <w:br/>
              <w:t>(t C ha</w:t>
            </w:r>
            <w:r w:rsidRPr="00BE78CA">
              <w:rPr>
                <w:rFonts w:cs="Calibri"/>
                <w:noProof w:val="0"/>
                <w:color w:val="FFFFFF"/>
                <w:szCs w:val="16"/>
                <w:vertAlign w:val="superscript"/>
              </w:rPr>
              <w:t>–1</w:t>
            </w:r>
            <w:r w:rsidRPr="00BE78CA">
              <w:rPr>
                <w:rFonts w:cs="Calibri"/>
                <w:noProof w:val="0"/>
                <w:color w:val="FFFFFF"/>
                <w:szCs w:val="16"/>
              </w:rPr>
              <w:t>)</w:t>
            </w:r>
          </w:p>
        </w:tc>
        <w:tc>
          <w:tcPr>
            <w:tcW w:w="851" w:type="dxa"/>
            <w:tcBorders>
              <w:top w:val="single" w:sz="4" w:space="0" w:color="365F91"/>
              <w:bottom w:val="single" w:sz="4" w:space="0" w:color="365F91"/>
            </w:tcBorders>
            <w:shd w:val="clear" w:color="auto" w:fill="365F91"/>
            <w:vAlign w:val="bottom"/>
          </w:tcPr>
          <w:p w14:paraId="42AECD0D" w14:textId="77777777" w:rsidR="00333601" w:rsidRPr="00BE78CA" w:rsidRDefault="00333601" w:rsidP="00C26084">
            <w:pPr>
              <w:pStyle w:val="TableTextBold"/>
              <w:keepNext/>
              <w:rPr>
                <w:rFonts w:cs="Calibri"/>
                <w:noProof w:val="0"/>
                <w:color w:val="FFFFFF"/>
                <w:szCs w:val="16"/>
              </w:rPr>
            </w:pPr>
            <w:r w:rsidRPr="00BE78CA">
              <w:rPr>
                <w:rFonts w:cs="Calibri"/>
                <w:noProof w:val="0"/>
                <w:color w:val="FFFFFF"/>
                <w:szCs w:val="16"/>
              </w:rPr>
              <w:t>Years to reach steady state</w:t>
            </w:r>
          </w:p>
        </w:tc>
        <w:tc>
          <w:tcPr>
            <w:tcW w:w="2438" w:type="dxa"/>
            <w:tcBorders>
              <w:top w:val="single" w:sz="4" w:space="0" w:color="365F91"/>
              <w:bottom w:val="single" w:sz="4" w:space="0" w:color="365F91"/>
            </w:tcBorders>
            <w:shd w:val="clear" w:color="auto" w:fill="365F91"/>
            <w:vAlign w:val="bottom"/>
          </w:tcPr>
          <w:p w14:paraId="46FD4749" w14:textId="77777777" w:rsidR="00333601" w:rsidRPr="00BE78CA" w:rsidRDefault="00333601" w:rsidP="00C26084">
            <w:pPr>
              <w:pStyle w:val="TableTextBold"/>
              <w:keepNext/>
              <w:rPr>
                <w:rFonts w:cs="Calibri"/>
                <w:noProof w:val="0"/>
                <w:color w:val="FFFFFF"/>
                <w:szCs w:val="16"/>
              </w:rPr>
            </w:pPr>
            <w:r w:rsidRPr="00BE78CA">
              <w:rPr>
                <w:rFonts w:cs="Calibri"/>
                <w:noProof w:val="0"/>
                <w:color w:val="FFFFFF"/>
                <w:szCs w:val="16"/>
              </w:rPr>
              <w:t>Source</w:t>
            </w:r>
          </w:p>
        </w:tc>
      </w:tr>
      <w:tr w:rsidR="00333601" w:rsidRPr="00BE78CA" w14:paraId="1C0C097C" w14:textId="77777777" w:rsidTr="00FB1B7E">
        <w:tc>
          <w:tcPr>
            <w:tcW w:w="794" w:type="dxa"/>
            <w:tcBorders>
              <w:top w:val="single" w:sz="4" w:space="0" w:color="365F91"/>
            </w:tcBorders>
          </w:tcPr>
          <w:p w14:paraId="2DCEFE6C" w14:textId="77777777" w:rsidR="00333601" w:rsidRPr="00BE78CA" w:rsidRDefault="00333601" w:rsidP="00CC6EC9">
            <w:pPr>
              <w:pStyle w:val="TableTextBold"/>
              <w:keepNext/>
              <w:spacing w:before="50" w:after="50"/>
              <w:rPr>
                <w:rFonts w:cs="Calibri"/>
                <w:noProof w:val="0"/>
                <w:szCs w:val="16"/>
              </w:rPr>
            </w:pPr>
            <w:r w:rsidRPr="00BE78CA">
              <w:rPr>
                <w:rFonts w:cs="Calibri"/>
                <w:noProof w:val="0"/>
                <w:szCs w:val="16"/>
              </w:rPr>
              <w:t>Annual</w:t>
            </w:r>
          </w:p>
        </w:tc>
        <w:tc>
          <w:tcPr>
            <w:tcW w:w="1418" w:type="dxa"/>
            <w:tcBorders>
              <w:top w:val="single" w:sz="4" w:space="0" w:color="365F91"/>
              <w:bottom w:val="single" w:sz="4" w:space="0" w:color="365F91"/>
            </w:tcBorders>
          </w:tcPr>
          <w:p w14:paraId="79034C13" w14:textId="77777777" w:rsidR="00333601" w:rsidRPr="00BE78CA" w:rsidRDefault="00333601" w:rsidP="00CC6EC9">
            <w:pPr>
              <w:pStyle w:val="TableText"/>
              <w:keepNext/>
              <w:spacing w:before="50" w:after="50"/>
              <w:rPr>
                <w:rFonts w:cs="Calibri"/>
                <w:szCs w:val="16"/>
              </w:rPr>
            </w:pPr>
            <w:r w:rsidRPr="00BE78CA">
              <w:rPr>
                <w:rFonts w:cs="Calibri"/>
                <w:szCs w:val="16"/>
              </w:rPr>
              <w:t>Biomass</w:t>
            </w:r>
          </w:p>
        </w:tc>
        <w:tc>
          <w:tcPr>
            <w:tcW w:w="964" w:type="dxa"/>
            <w:tcBorders>
              <w:top w:val="single" w:sz="4" w:space="0" w:color="365F91"/>
              <w:bottom w:val="single" w:sz="4" w:space="0" w:color="365F91"/>
            </w:tcBorders>
          </w:tcPr>
          <w:p w14:paraId="0E8A62C0" w14:textId="77777777" w:rsidR="00333601" w:rsidRPr="00BE78CA" w:rsidRDefault="00333601" w:rsidP="00CC6EC9">
            <w:pPr>
              <w:pStyle w:val="TableText"/>
              <w:keepNext/>
              <w:spacing w:before="50" w:after="50"/>
              <w:rPr>
                <w:rFonts w:cs="Calibri"/>
                <w:szCs w:val="16"/>
              </w:rPr>
            </w:pPr>
          </w:p>
        </w:tc>
        <w:tc>
          <w:tcPr>
            <w:tcW w:w="1021" w:type="dxa"/>
            <w:tcBorders>
              <w:top w:val="single" w:sz="4" w:space="0" w:color="365F91"/>
              <w:bottom w:val="single" w:sz="4" w:space="0" w:color="365F91"/>
            </w:tcBorders>
          </w:tcPr>
          <w:p w14:paraId="6DFB1E50" w14:textId="77777777" w:rsidR="00333601" w:rsidRPr="00BE78CA" w:rsidRDefault="00333601" w:rsidP="00CC6EC9">
            <w:pPr>
              <w:pStyle w:val="TableText"/>
              <w:keepNext/>
              <w:spacing w:before="50" w:after="50"/>
              <w:rPr>
                <w:rFonts w:cs="Calibri"/>
                <w:szCs w:val="16"/>
              </w:rPr>
            </w:pPr>
          </w:p>
        </w:tc>
        <w:tc>
          <w:tcPr>
            <w:tcW w:w="851" w:type="dxa"/>
            <w:tcBorders>
              <w:top w:val="single" w:sz="4" w:space="0" w:color="365F91"/>
              <w:bottom w:val="single" w:sz="4" w:space="0" w:color="365F91"/>
            </w:tcBorders>
          </w:tcPr>
          <w:p w14:paraId="55C6D69A" w14:textId="77777777" w:rsidR="00333601" w:rsidRPr="00BE78CA" w:rsidRDefault="00333601" w:rsidP="00CC6EC9">
            <w:pPr>
              <w:pStyle w:val="TableText"/>
              <w:keepNext/>
              <w:spacing w:before="50" w:after="50"/>
              <w:rPr>
                <w:rFonts w:cs="Calibri"/>
                <w:szCs w:val="16"/>
              </w:rPr>
            </w:pPr>
          </w:p>
        </w:tc>
        <w:tc>
          <w:tcPr>
            <w:tcW w:w="2438" w:type="dxa"/>
            <w:tcBorders>
              <w:top w:val="single" w:sz="4" w:space="0" w:color="365F91"/>
              <w:bottom w:val="single" w:sz="4" w:space="0" w:color="365F91"/>
            </w:tcBorders>
          </w:tcPr>
          <w:p w14:paraId="4823AF61" w14:textId="77777777" w:rsidR="00333601" w:rsidRPr="00BE78CA" w:rsidRDefault="00333601" w:rsidP="00CC6EC9">
            <w:pPr>
              <w:pStyle w:val="TableText"/>
              <w:keepNext/>
              <w:spacing w:before="50" w:after="50"/>
              <w:rPr>
                <w:rFonts w:cs="Calibri"/>
                <w:szCs w:val="16"/>
              </w:rPr>
            </w:pPr>
          </w:p>
        </w:tc>
      </w:tr>
      <w:tr w:rsidR="00333601" w:rsidRPr="00BE78CA" w14:paraId="06B77C22" w14:textId="77777777" w:rsidTr="00FB1B7E">
        <w:tc>
          <w:tcPr>
            <w:tcW w:w="794" w:type="dxa"/>
          </w:tcPr>
          <w:p w14:paraId="14D4AD72" w14:textId="77777777" w:rsidR="00333601" w:rsidRPr="00BE78CA" w:rsidRDefault="00333601" w:rsidP="00CC6EC9">
            <w:pPr>
              <w:pStyle w:val="TableText"/>
              <w:keepNext/>
              <w:spacing w:before="50" w:after="50"/>
              <w:rPr>
                <w:rFonts w:cs="Calibri"/>
                <w:szCs w:val="16"/>
              </w:rPr>
            </w:pPr>
            <w:r w:rsidRPr="00BE78CA">
              <w:rPr>
                <w:rFonts w:cs="Calibri"/>
                <w:szCs w:val="16"/>
              </w:rPr>
              <w:t> </w:t>
            </w:r>
          </w:p>
        </w:tc>
        <w:tc>
          <w:tcPr>
            <w:tcW w:w="1418" w:type="dxa"/>
            <w:tcBorders>
              <w:top w:val="single" w:sz="4" w:space="0" w:color="365F91"/>
              <w:bottom w:val="single" w:sz="4" w:space="0" w:color="365F91"/>
            </w:tcBorders>
          </w:tcPr>
          <w:p w14:paraId="3E0EA842" w14:textId="77777777" w:rsidR="00333601" w:rsidRPr="00BE78CA" w:rsidRDefault="00333601" w:rsidP="00CC6EC9">
            <w:pPr>
              <w:pStyle w:val="TableText"/>
              <w:keepNext/>
              <w:spacing w:before="50" w:after="50"/>
              <w:rPr>
                <w:rFonts w:cs="Calibri"/>
                <w:szCs w:val="16"/>
              </w:rPr>
            </w:pPr>
            <w:r w:rsidRPr="00BE78CA">
              <w:rPr>
                <w:rFonts w:cs="Calibri"/>
                <w:szCs w:val="16"/>
              </w:rPr>
              <w:t>Living biomass</w:t>
            </w:r>
          </w:p>
        </w:tc>
        <w:tc>
          <w:tcPr>
            <w:tcW w:w="964" w:type="dxa"/>
            <w:tcBorders>
              <w:top w:val="single" w:sz="4" w:space="0" w:color="365F91"/>
              <w:bottom w:val="single" w:sz="4" w:space="0" w:color="365F91"/>
            </w:tcBorders>
          </w:tcPr>
          <w:p w14:paraId="5359CE82" w14:textId="77777777" w:rsidR="00333601" w:rsidRPr="00BE78CA" w:rsidRDefault="00333601" w:rsidP="00CC6EC9">
            <w:pPr>
              <w:pStyle w:val="TableText"/>
              <w:keepNext/>
              <w:spacing w:before="50" w:after="50"/>
              <w:rPr>
                <w:rFonts w:cs="Calibri"/>
                <w:szCs w:val="16"/>
              </w:rPr>
            </w:pPr>
            <w:r w:rsidRPr="00BE78CA">
              <w:rPr>
                <w:rFonts w:cs="Calibri"/>
                <w:szCs w:val="16"/>
              </w:rPr>
              <w:t>5.0</w:t>
            </w:r>
          </w:p>
        </w:tc>
        <w:tc>
          <w:tcPr>
            <w:tcW w:w="1021" w:type="dxa"/>
            <w:tcBorders>
              <w:top w:val="single" w:sz="4" w:space="0" w:color="365F91"/>
              <w:bottom w:val="single" w:sz="4" w:space="0" w:color="365F91"/>
            </w:tcBorders>
          </w:tcPr>
          <w:p w14:paraId="37542599" w14:textId="77777777" w:rsidR="00333601" w:rsidRPr="00BE78CA" w:rsidRDefault="00333601" w:rsidP="00CC6EC9">
            <w:pPr>
              <w:pStyle w:val="TableText"/>
              <w:keepNext/>
              <w:spacing w:before="50" w:after="50"/>
              <w:rPr>
                <w:rFonts w:cs="Calibri"/>
                <w:szCs w:val="16"/>
              </w:rPr>
            </w:pPr>
            <w:r w:rsidRPr="00BE78CA">
              <w:rPr>
                <w:rFonts w:cs="Calibri"/>
                <w:szCs w:val="16"/>
              </w:rPr>
              <w:t>NA</w:t>
            </w:r>
          </w:p>
        </w:tc>
        <w:tc>
          <w:tcPr>
            <w:tcW w:w="851" w:type="dxa"/>
            <w:tcBorders>
              <w:top w:val="single" w:sz="4" w:space="0" w:color="365F91"/>
              <w:bottom w:val="single" w:sz="4" w:space="0" w:color="365F91"/>
            </w:tcBorders>
          </w:tcPr>
          <w:p w14:paraId="3233264A" w14:textId="77777777" w:rsidR="00333601" w:rsidRPr="00BE78CA" w:rsidRDefault="00333601" w:rsidP="00CC6EC9">
            <w:pPr>
              <w:pStyle w:val="TableText"/>
              <w:keepNext/>
              <w:spacing w:before="50" w:after="50"/>
              <w:rPr>
                <w:rFonts w:cs="Calibri"/>
                <w:szCs w:val="16"/>
              </w:rPr>
            </w:pPr>
            <w:r w:rsidRPr="00BE78CA">
              <w:rPr>
                <w:rFonts w:cs="Calibri"/>
                <w:szCs w:val="16"/>
              </w:rPr>
              <w:t>1</w:t>
            </w:r>
          </w:p>
        </w:tc>
        <w:tc>
          <w:tcPr>
            <w:tcW w:w="2438" w:type="dxa"/>
            <w:tcBorders>
              <w:top w:val="single" w:sz="4" w:space="0" w:color="365F91"/>
              <w:bottom w:val="single" w:sz="4" w:space="0" w:color="365F91"/>
            </w:tcBorders>
          </w:tcPr>
          <w:p w14:paraId="6F50B833" w14:textId="77777777" w:rsidR="00333601" w:rsidRPr="00BE78CA" w:rsidRDefault="00333601" w:rsidP="00CC6EC9">
            <w:pPr>
              <w:pStyle w:val="TableText"/>
              <w:keepNext/>
              <w:spacing w:before="50" w:after="50"/>
              <w:rPr>
                <w:rFonts w:cs="Calibri"/>
                <w:szCs w:val="16"/>
              </w:rPr>
            </w:pPr>
            <w:r w:rsidRPr="00BE78CA">
              <w:rPr>
                <w:rFonts w:cs="Calibri"/>
                <w:szCs w:val="16"/>
              </w:rPr>
              <w:t>IPCC default (table 5.9, IPCC, 2006a)</w:t>
            </w:r>
          </w:p>
        </w:tc>
      </w:tr>
      <w:tr w:rsidR="00333601" w:rsidRPr="00BE78CA" w14:paraId="79927683" w14:textId="77777777" w:rsidTr="00FB1B7E">
        <w:tc>
          <w:tcPr>
            <w:tcW w:w="794" w:type="dxa"/>
          </w:tcPr>
          <w:p w14:paraId="4821E4B7" w14:textId="77777777" w:rsidR="00333601" w:rsidRPr="00BE78CA" w:rsidRDefault="00333601" w:rsidP="00CC6EC9">
            <w:pPr>
              <w:pStyle w:val="TableText"/>
              <w:spacing w:before="50" w:after="50"/>
              <w:rPr>
                <w:rFonts w:cs="Calibri"/>
                <w:szCs w:val="16"/>
              </w:rPr>
            </w:pPr>
            <w:r w:rsidRPr="00BE78CA">
              <w:rPr>
                <w:rFonts w:cs="Calibri"/>
                <w:szCs w:val="16"/>
              </w:rPr>
              <w:t> </w:t>
            </w:r>
          </w:p>
        </w:tc>
        <w:tc>
          <w:tcPr>
            <w:tcW w:w="1418" w:type="dxa"/>
            <w:tcBorders>
              <w:top w:val="single" w:sz="4" w:space="0" w:color="365F91"/>
              <w:bottom w:val="single" w:sz="4" w:space="0" w:color="365F91"/>
            </w:tcBorders>
          </w:tcPr>
          <w:p w14:paraId="57501B71" w14:textId="77777777" w:rsidR="00333601" w:rsidRPr="00BE78CA" w:rsidRDefault="00333601" w:rsidP="00CC6EC9">
            <w:pPr>
              <w:pStyle w:val="TableText"/>
              <w:spacing w:before="50" w:after="50"/>
              <w:rPr>
                <w:rFonts w:cs="Calibri"/>
                <w:szCs w:val="16"/>
              </w:rPr>
            </w:pPr>
            <w:r w:rsidRPr="00BE78CA">
              <w:rPr>
                <w:rFonts w:cs="Calibri"/>
                <w:szCs w:val="16"/>
              </w:rPr>
              <w:t>Dead organic matter</w:t>
            </w:r>
          </w:p>
        </w:tc>
        <w:tc>
          <w:tcPr>
            <w:tcW w:w="964" w:type="dxa"/>
            <w:tcBorders>
              <w:top w:val="single" w:sz="4" w:space="0" w:color="365F91"/>
              <w:bottom w:val="single" w:sz="4" w:space="0" w:color="365F91"/>
            </w:tcBorders>
          </w:tcPr>
          <w:p w14:paraId="3739AB86" w14:textId="77777777" w:rsidR="00333601" w:rsidRPr="00BE78CA" w:rsidRDefault="00333601" w:rsidP="00CC6EC9">
            <w:pPr>
              <w:pStyle w:val="TableText"/>
              <w:spacing w:before="50" w:after="50"/>
              <w:rPr>
                <w:rFonts w:cs="Calibri"/>
                <w:szCs w:val="16"/>
              </w:rPr>
            </w:pPr>
            <w:r w:rsidRPr="00BE78CA">
              <w:rPr>
                <w:rFonts w:cs="Calibri"/>
                <w:szCs w:val="16"/>
              </w:rPr>
              <w:t>NE</w:t>
            </w:r>
          </w:p>
        </w:tc>
        <w:tc>
          <w:tcPr>
            <w:tcW w:w="1021" w:type="dxa"/>
            <w:tcBorders>
              <w:top w:val="single" w:sz="4" w:space="0" w:color="365F91"/>
              <w:bottom w:val="single" w:sz="4" w:space="0" w:color="365F91"/>
            </w:tcBorders>
          </w:tcPr>
          <w:p w14:paraId="3A75F59E" w14:textId="77777777" w:rsidR="00333601" w:rsidRPr="00BE78CA" w:rsidRDefault="00333601" w:rsidP="00CC6EC9">
            <w:pPr>
              <w:pStyle w:val="TableText"/>
              <w:spacing w:before="50" w:after="50"/>
              <w:rPr>
                <w:rFonts w:cs="Calibri"/>
                <w:szCs w:val="16"/>
              </w:rPr>
            </w:pPr>
            <w:r w:rsidRPr="00BE78CA">
              <w:rPr>
                <w:rFonts w:cs="Calibri"/>
                <w:szCs w:val="16"/>
              </w:rPr>
              <w:t>NE</w:t>
            </w:r>
          </w:p>
        </w:tc>
        <w:tc>
          <w:tcPr>
            <w:tcW w:w="851" w:type="dxa"/>
            <w:tcBorders>
              <w:top w:val="single" w:sz="4" w:space="0" w:color="365F91"/>
              <w:bottom w:val="single" w:sz="4" w:space="0" w:color="365F91"/>
            </w:tcBorders>
          </w:tcPr>
          <w:p w14:paraId="5A5C823E" w14:textId="77777777" w:rsidR="00333601" w:rsidRPr="00BE78CA" w:rsidRDefault="00333601" w:rsidP="00CC6EC9">
            <w:pPr>
              <w:pStyle w:val="TableText"/>
              <w:spacing w:before="50" w:after="50"/>
              <w:rPr>
                <w:rFonts w:cs="Calibri"/>
                <w:szCs w:val="16"/>
              </w:rPr>
            </w:pPr>
            <w:r w:rsidRPr="00BE78CA">
              <w:rPr>
                <w:rFonts w:cs="Calibri"/>
                <w:szCs w:val="16"/>
              </w:rPr>
              <w:t>NA</w:t>
            </w:r>
          </w:p>
        </w:tc>
        <w:tc>
          <w:tcPr>
            <w:tcW w:w="2438" w:type="dxa"/>
            <w:tcBorders>
              <w:top w:val="single" w:sz="4" w:space="0" w:color="365F91"/>
              <w:bottom w:val="single" w:sz="4" w:space="0" w:color="365F91"/>
            </w:tcBorders>
          </w:tcPr>
          <w:p w14:paraId="29FD682E" w14:textId="77777777" w:rsidR="00333601" w:rsidRPr="00BE78CA" w:rsidRDefault="00333601" w:rsidP="00CC6EC9">
            <w:pPr>
              <w:pStyle w:val="TableText"/>
              <w:spacing w:before="50" w:after="50"/>
              <w:rPr>
                <w:rFonts w:cs="Calibri"/>
                <w:szCs w:val="16"/>
              </w:rPr>
            </w:pPr>
            <w:r w:rsidRPr="00BE78CA">
              <w:rPr>
                <w:rFonts w:cs="Calibri"/>
                <w:szCs w:val="16"/>
              </w:rPr>
              <w:t>No IPCC guidelines</w:t>
            </w:r>
          </w:p>
        </w:tc>
      </w:tr>
      <w:tr w:rsidR="00333601" w:rsidRPr="00BE78CA" w14:paraId="0CF714C6" w14:textId="77777777" w:rsidTr="00FB1B7E">
        <w:tc>
          <w:tcPr>
            <w:tcW w:w="794" w:type="dxa"/>
          </w:tcPr>
          <w:p w14:paraId="02D97C93" w14:textId="77777777" w:rsidR="00333601" w:rsidRPr="00BE78CA" w:rsidRDefault="00333601" w:rsidP="00CC6EC9">
            <w:pPr>
              <w:pStyle w:val="TableText"/>
              <w:spacing w:before="50" w:after="50"/>
              <w:rPr>
                <w:rFonts w:cs="Calibri"/>
                <w:szCs w:val="16"/>
              </w:rPr>
            </w:pPr>
            <w:r w:rsidRPr="00BE78CA">
              <w:rPr>
                <w:rFonts w:cs="Calibri"/>
                <w:szCs w:val="16"/>
              </w:rPr>
              <w:t> </w:t>
            </w:r>
          </w:p>
        </w:tc>
        <w:tc>
          <w:tcPr>
            <w:tcW w:w="1418" w:type="dxa"/>
            <w:tcBorders>
              <w:top w:val="single" w:sz="4" w:space="0" w:color="365F91"/>
              <w:bottom w:val="single" w:sz="4" w:space="0" w:color="365F91"/>
            </w:tcBorders>
          </w:tcPr>
          <w:p w14:paraId="6C8CC5FA" w14:textId="77777777" w:rsidR="00333601" w:rsidRPr="00BE78CA" w:rsidRDefault="00333601" w:rsidP="00CC6EC9">
            <w:pPr>
              <w:pStyle w:val="TableText"/>
              <w:spacing w:before="50" w:after="50"/>
              <w:rPr>
                <w:rFonts w:cs="Calibri"/>
                <w:szCs w:val="16"/>
              </w:rPr>
            </w:pPr>
            <w:r w:rsidRPr="00BE78CA">
              <w:rPr>
                <w:rFonts w:cs="Calibri"/>
                <w:szCs w:val="16"/>
              </w:rPr>
              <w:t>Soils</w:t>
            </w:r>
          </w:p>
        </w:tc>
        <w:tc>
          <w:tcPr>
            <w:tcW w:w="964" w:type="dxa"/>
            <w:tcBorders>
              <w:top w:val="single" w:sz="4" w:space="0" w:color="365F91"/>
              <w:bottom w:val="single" w:sz="4" w:space="0" w:color="365F91"/>
            </w:tcBorders>
          </w:tcPr>
          <w:p w14:paraId="6F93F8F6" w14:textId="77777777" w:rsidR="00333601" w:rsidRPr="00BE78CA" w:rsidRDefault="00333601" w:rsidP="00CC6EC9">
            <w:pPr>
              <w:pStyle w:val="TableText"/>
              <w:spacing w:before="50" w:after="50"/>
              <w:rPr>
                <w:rFonts w:cs="Calibri"/>
                <w:szCs w:val="16"/>
              </w:rPr>
            </w:pPr>
          </w:p>
        </w:tc>
        <w:tc>
          <w:tcPr>
            <w:tcW w:w="1021" w:type="dxa"/>
            <w:tcBorders>
              <w:top w:val="single" w:sz="4" w:space="0" w:color="365F91"/>
              <w:bottom w:val="single" w:sz="4" w:space="0" w:color="365F91"/>
            </w:tcBorders>
          </w:tcPr>
          <w:p w14:paraId="1AC2F0ED" w14:textId="77777777" w:rsidR="00333601" w:rsidRPr="00BE78CA" w:rsidRDefault="00333601" w:rsidP="00CC6EC9">
            <w:pPr>
              <w:pStyle w:val="TableText"/>
              <w:spacing w:before="50" w:after="50"/>
              <w:rPr>
                <w:rFonts w:cs="Calibri"/>
                <w:szCs w:val="16"/>
              </w:rPr>
            </w:pPr>
          </w:p>
        </w:tc>
        <w:tc>
          <w:tcPr>
            <w:tcW w:w="851" w:type="dxa"/>
            <w:tcBorders>
              <w:top w:val="single" w:sz="4" w:space="0" w:color="365F91"/>
              <w:bottom w:val="single" w:sz="4" w:space="0" w:color="365F91"/>
            </w:tcBorders>
          </w:tcPr>
          <w:p w14:paraId="43A17BCE" w14:textId="77777777" w:rsidR="00333601" w:rsidRPr="00BE78CA" w:rsidRDefault="00333601" w:rsidP="00CC6EC9">
            <w:pPr>
              <w:pStyle w:val="TableText"/>
              <w:spacing w:before="50" w:after="50"/>
              <w:rPr>
                <w:rFonts w:cs="Calibri"/>
                <w:szCs w:val="16"/>
              </w:rPr>
            </w:pPr>
          </w:p>
        </w:tc>
        <w:tc>
          <w:tcPr>
            <w:tcW w:w="2438" w:type="dxa"/>
            <w:tcBorders>
              <w:top w:val="single" w:sz="4" w:space="0" w:color="365F91"/>
              <w:bottom w:val="single" w:sz="4" w:space="0" w:color="365F91"/>
            </w:tcBorders>
          </w:tcPr>
          <w:p w14:paraId="25176128" w14:textId="77777777" w:rsidR="00333601" w:rsidRPr="00BE78CA" w:rsidRDefault="00333601" w:rsidP="00CC6EC9">
            <w:pPr>
              <w:pStyle w:val="TableText"/>
              <w:spacing w:before="50" w:after="50"/>
              <w:rPr>
                <w:rFonts w:cs="Calibri"/>
                <w:szCs w:val="16"/>
              </w:rPr>
            </w:pPr>
          </w:p>
        </w:tc>
      </w:tr>
      <w:tr w:rsidR="00333601" w:rsidRPr="00BE78CA" w14:paraId="3E70AF2F" w14:textId="77777777" w:rsidTr="00FB1B7E">
        <w:tc>
          <w:tcPr>
            <w:tcW w:w="794" w:type="dxa"/>
          </w:tcPr>
          <w:p w14:paraId="7DE4B037" w14:textId="77777777" w:rsidR="00333601" w:rsidRPr="00BE78CA" w:rsidRDefault="00333601" w:rsidP="00CC6EC9">
            <w:pPr>
              <w:pStyle w:val="TableText"/>
              <w:spacing w:before="50" w:after="50"/>
              <w:rPr>
                <w:rFonts w:cs="Calibri"/>
                <w:szCs w:val="16"/>
              </w:rPr>
            </w:pPr>
          </w:p>
        </w:tc>
        <w:tc>
          <w:tcPr>
            <w:tcW w:w="1418" w:type="dxa"/>
            <w:tcBorders>
              <w:top w:val="single" w:sz="4" w:space="0" w:color="365F91"/>
              <w:bottom w:val="single" w:sz="4" w:space="0" w:color="365F91"/>
            </w:tcBorders>
          </w:tcPr>
          <w:p w14:paraId="49492857" w14:textId="77777777" w:rsidR="00333601" w:rsidRPr="00BE78CA" w:rsidRDefault="00333601" w:rsidP="00CC6EC9">
            <w:pPr>
              <w:pStyle w:val="TableText"/>
              <w:spacing w:before="50" w:after="50"/>
              <w:rPr>
                <w:rFonts w:cs="Calibri"/>
                <w:szCs w:val="16"/>
              </w:rPr>
            </w:pPr>
            <w:r w:rsidRPr="00BE78CA">
              <w:rPr>
                <w:rFonts w:cs="Calibri"/>
                <w:szCs w:val="16"/>
              </w:rPr>
              <w:t xml:space="preserve">Mineral </w:t>
            </w:r>
          </w:p>
        </w:tc>
        <w:tc>
          <w:tcPr>
            <w:tcW w:w="964" w:type="dxa"/>
            <w:tcBorders>
              <w:top w:val="single" w:sz="4" w:space="0" w:color="365F91"/>
              <w:bottom w:val="single" w:sz="4" w:space="0" w:color="365F91"/>
            </w:tcBorders>
          </w:tcPr>
          <w:p w14:paraId="169D5CE9" w14:textId="77777777" w:rsidR="00333601" w:rsidRPr="00BE78CA" w:rsidRDefault="00333601" w:rsidP="00CC6EC9">
            <w:pPr>
              <w:pStyle w:val="TableText"/>
              <w:spacing w:before="50" w:after="50"/>
              <w:rPr>
                <w:rFonts w:cs="Calibri"/>
                <w:szCs w:val="16"/>
              </w:rPr>
            </w:pPr>
            <w:r w:rsidRPr="00BE78CA">
              <w:rPr>
                <w:rFonts w:cs="Calibri"/>
                <w:szCs w:val="16"/>
              </w:rPr>
              <w:t>89.77</w:t>
            </w:r>
          </w:p>
        </w:tc>
        <w:tc>
          <w:tcPr>
            <w:tcW w:w="1021" w:type="dxa"/>
            <w:tcBorders>
              <w:top w:val="single" w:sz="4" w:space="0" w:color="365F91"/>
              <w:bottom w:val="single" w:sz="4" w:space="0" w:color="365F91"/>
            </w:tcBorders>
          </w:tcPr>
          <w:p w14:paraId="2E021F2D" w14:textId="77777777" w:rsidR="00333601" w:rsidRPr="00BE78CA" w:rsidRDefault="00333601" w:rsidP="00CC6EC9">
            <w:pPr>
              <w:pStyle w:val="TableText"/>
              <w:spacing w:before="50" w:after="50"/>
              <w:rPr>
                <w:rFonts w:cs="Calibri"/>
                <w:szCs w:val="16"/>
              </w:rPr>
            </w:pPr>
            <w:r w:rsidRPr="00BE78CA">
              <w:rPr>
                <w:rFonts w:cs="Calibri"/>
                <w:szCs w:val="16"/>
              </w:rPr>
              <w:t>*</w:t>
            </w:r>
          </w:p>
        </w:tc>
        <w:tc>
          <w:tcPr>
            <w:tcW w:w="851" w:type="dxa"/>
            <w:tcBorders>
              <w:top w:val="single" w:sz="4" w:space="0" w:color="365F91"/>
              <w:bottom w:val="single" w:sz="4" w:space="0" w:color="365F91"/>
            </w:tcBorders>
          </w:tcPr>
          <w:p w14:paraId="2272D498" w14:textId="77777777" w:rsidR="00333601" w:rsidRPr="00BE78CA" w:rsidRDefault="00333601" w:rsidP="00CC6EC9">
            <w:pPr>
              <w:pStyle w:val="TableText"/>
              <w:spacing w:before="50" w:after="50"/>
              <w:rPr>
                <w:rFonts w:cs="Calibri"/>
                <w:szCs w:val="16"/>
              </w:rPr>
            </w:pPr>
            <w:r w:rsidRPr="00BE78CA">
              <w:rPr>
                <w:rFonts w:cs="Calibri"/>
                <w:szCs w:val="16"/>
              </w:rPr>
              <w:t>20</w:t>
            </w:r>
          </w:p>
        </w:tc>
        <w:tc>
          <w:tcPr>
            <w:tcW w:w="2438" w:type="dxa"/>
            <w:tcBorders>
              <w:top w:val="single" w:sz="4" w:space="0" w:color="365F91"/>
              <w:bottom w:val="single" w:sz="4" w:space="0" w:color="365F91"/>
            </w:tcBorders>
          </w:tcPr>
          <w:p w14:paraId="2A529D7E" w14:textId="77777777" w:rsidR="00333601" w:rsidRPr="00BE78CA" w:rsidRDefault="00333601" w:rsidP="00CC6EC9">
            <w:pPr>
              <w:pStyle w:val="TableText"/>
              <w:spacing w:before="50" w:after="50"/>
              <w:rPr>
                <w:rFonts w:cs="Calibri"/>
                <w:szCs w:val="16"/>
              </w:rPr>
            </w:pPr>
            <w:r w:rsidRPr="00BE78CA">
              <w:rPr>
                <w:rFonts w:cs="Calibri"/>
                <w:szCs w:val="16"/>
              </w:rPr>
              <w:t>NZ-specific EF (McNeill and Barringer, unpublished)</w:t>
            </w:r>
          </w:p>
        </w:tc>
      </w:tr>
      <w:tr w:rsidR="00333601" w:rsidRPr="00BE78CA" w14:paraId="5DD99147" w14:textId="77777777" w:rsidTr="00FB1B7E">
        <w:tc>
          <w:tcPr>
            <w:tcW w:w="794" w:type="dxa"/>
            <w:tcBorders>
              <w:bottom w:val="single" w:sz="4" w:space="0" w:color="365F91"/>
            </w:tcBorders>
          </w:tcPr>
          <w:p w14:paraId="03FD71B3" w14:textId="77777777" w:rsidR="00333601" w:rsidRPr="00BE78CA" w:rsidRDefault="00333601" w:rsidP="00CC6EC9">
            <w:pPr>
              <w:pStyle w:val="TableText"/>
              <w:spacing w:before="50" w:after="50"/>
              <w:rPr>
                <w:rFonts w:cs="Calibri"/>
                <w:szCs w:val="16"/>
              </w:rPr>
            </w:pPr>
          </w:p>
        </w:tc>
        <w:tc>
          <w:tcPr>
            <w:tcW w:w="1418" w:type="dxa"/>
            <w:tcBorders>
              <w:top w:val="single" w:sz="4" w:space="0" w:color="365F91"/>
              <w:bottom w:val="single" w:sz="4" w:space="0" w:color="365F91"/>
            </w:tcBorders>
          </w:tcPr>
          <w:p w14:paraId="2CFF886A" w14:textId="77777777" w:rsidR="00333601" w:rsidRPr="00BE78CA" w:rsidRDefault="00333601" w:rsidP="00CC6EC9">
            <w:pPr>
              <w:pStyle w:val="TableText"/>
              <w:spacing w:before="50" w:after="50"/>
              <w:rPr>
                <w:rFonts w:cs="Calibri"/>
                <w:szCs w:val="16"/>
              </w:rPr>
            </w:pPr>
            <w:r w:rsidRPr="00BE78CA">
              <w:rPr>
                <w:rFonts w:cs="Calibri"/>
                <w:szCs w:val="16"/>
              </w:rPr>
              <w:t xml:space="preserve">Organic </w:t>
            </w:r>
          </w:p>
        </w:tc>
        <w:tc>
          <w:tcPr>
            <w:tcW w:w="964" w:type="dxa"/>
            <w:tcBorders>
              <w:top w:val="single" w:sz="4" w:space="0" w:color="365F91"/>
              <w:bottom w:val="single" w:sz="4" w:space="0" w:color="365F91"/>
            </w:tcBorders>
          </w:tcPr>
          <w:p w14:paraId="622120AC" w14:textId="77777777" w:rsidR="00333601" w:rsidRPr="00BE78CA" w:rsidRDefault="00333601" w:rsidP="00CC6EC9">
            <w:pPr>
              <w:pStyle w:val="TableText"/>
              <w:spacing w:before="50" w:after="50"/>
              <w:rPr>
                <w:rFonts w:cs="Calibri"/>
                <w:szCs w:val="16"/>
              </w:rPr>
            </w:pPr>
            <w:r w:rsidRPr="00BE78CA">
              <w:rPr>
                <w:rFonts w:cs="Calibri"/>
                <w:szCs w:val="16"/>
              </w:rPr>
              <w:t>NE</w:t>
            </w:r>
          </w:p>
        </w:tc>
        <w:tc>
          <w:tcPr>
            <w:tcW w:w="1021" w:type="dxa"/>
            <w:tcBorders>
              <w:top w:val="single" w:sz="4" w:space="0" w:color="365F91"/>
              <w:bottom w:val="single" w:sz="4" w:space="0" w:color="365F91"/>
            </w:tcBorders>
          </w:tcPr>
          <w:p w14:paraId="2BEF6258" w14:textId="77777777" w:rsidR="00333601" w:rsidRPr="00BE78CA" w:rsidRDefault="00333601" w:rsidP="00CC6EC9">
            <w:pPr>
              <w:pStyle w:val="TableText"/>
              <w:spacing w:before="50" w:after="50"/>
              <w:rPr>
                <w:rFonts w:cs="Calibri"/>
                <w:szCs w:val="16"/>
              </w:rPr>
            </w:pPr>
            <w:r w:rsidRPr="00BE78CA">
              <w:rPr>
                <w:rFonts w:cs="Calibri"/>
                <w:szCs w:val="16"/>
              </w:rPr>
              <w:t>–5.0 / –10.0</w:t>
            </w:r>
          </w:p>
        </w:tc>
        <w:tc>
          <w:tcPr>
            <w:tcW w:w="851" w:type="dxa"/>
            <w:tcBorders>
              <w:top w:val="single" w:sz="4" w:space="0" w:color="365F91"/>
              <w:bottom w:val="single" w:sz="4" w:space="0" w:color="365F91"/>
            </w:tcBorders>
          </w:tcPr>
          <w:p w14:paraId="199C871D" w14:textId="77777777" w:rsidR="00333601" w:rsidRPr="00BE78CA" w:rsidRDefault="00333601" w:rsidP="00CC6EC9">
            <w:pPr>
              <w:pStyle w:val="TableText"/>
              <w:spacing w:before="50" w:after="50"/>
              <w:rPr>
                <w:rFonts w:cs="Calibri"/>
                <w:szCs w:val="16"/>
              </w:rPr>
            </w:pPr>
          </w:p>
        </w:tc>
        <w:tc>
          <w:tcPr>
            <w:tcW w:w="2438" w:type="dxa"/>
            <w:tcBorders>
              <w:top w:val="single" w:sz="4" w:space="0" w:color="365F91"/>
              <w:bottom w:val="single" w:sz="4" w:space="0" w:color="365F91"/>
            </w:tcBorders>
          </w:tcPr>
          <w:p w14:paraId="24F81F68" w14:textId="77777777" w:rsidR="00333601" w:rsidRPr="00BE78CA" w:rsidRDefault="00333601" w:rsidP="00CC6EC9">
            <w:pPr>
              <w:pStyle w:val="TableText"/>
              <w:spacing w:before="50" w:after="50"/>
              <w:rPr>
                <w:rFonts w:cs="Calibri"/>
                <w:szCs w:val="16"/>
              </w:rPr>
            </w:pPr>
            <w:r w:rsidRPr="00BE78CA">
              <w:rPr>
                <w:rFonts w:cs="Calibri"/>
                <w:szCs w:val="16"/>
              </w:rPr>
              <w:t>IPCC Tier 1 default, (table 5.6, IPCC, 2006a)</w:t>
            </w:r>
          </w:p>
        </w:tc>
      </w:tr>
      <w:tr w:rsidR="00333601" w:rsidRPr="00BE78CA" w14:paraId="0A779EE0" w14:textId="77777777" w:rsidTr="00FB1B7E">
        <w:tc>
          <w:tcPr>
            <w:tcW w:w="794" w:type="dxa"/>
            <w:tcBorders>
              <w:top w:val="single" w:sz="4" w:space="0" w:color="365F91"/>
            </w:tcBorders>
          </w:tcPr>
          <w:p w14:paraId="7EA728FB" w14:textId="77777777" w:rsidR="00333601" w:rsidRPr="00BE78CA" w:rsidRDefault="00333601" w:rsidP="00CC6EC9">
            <w:pPr>
              <w:pStyle w:val="TableTextBold"/>
              <w:keepNext/>
              <w:spacing w:before="50" w:after="50"/>
              <w:rPr>
                <w:rFonts w:cs="Calibri"/>
                <w:noProof w:val="0"/>
                <w:szCs w:val="16"/>
              </w:rPr>
            </w:pPr>
            <w:r w:rsidRPr="00BE78CA">
              <w:rPr>
                <w:rFonts w:cs="Calibri"/>
                <w:noProof w:val="0"/>
                <w:szCs w:val="16"/>
              </w:rPr>
              <w:t>Perennial</w:t>
            </w:r>
          </w:p>
        </w:tc>
        <w:tc>
          <w:tcPr>
            <w:tcW w:w="1418" w:type="dxa"/>
            <w:tcBorders>
              <w:top w:val="single" w:sz="4" w:space="0" w:color="365F91"/>
              <w:bottom w:val="single" w:sz="4" w:space="0" w:color="365F91"/>
            </w:tcBorders>
          </w:tcPr>
          <w:p w14:paraId="6DDC1D5E" w14:textId="77777777" w:rsidR="00333601" w:rsidRPr="00BE78CA" w:rsidRDefault="00333601" w:rsidP="00CC6EC9">
            <w:pPr>
              <w:pStyle w:val="TableText"/>
              <w:keepNext/>
              <w:spacing w:before="50" w:after="50"/>
              <w:rPr>
                <w:rFonts w:cs="Calibri"/>
                <w:szCs w:val="16"/>
              </w:rPr>
            </w:pPr>
            <w:r w:rsidRPr="00BE78CA">
              <w:rPr>
                <w:rFonts w:cs="Calibri"/>
                <w:szCs w:val="16"/>
              </w:rPr>
              <w:t>Biomass</w:t>
            </w:r>
          </w:p>
        </w:tc>
        <w:tc>
          <w:tcPr>
            <w:tcW w:w="964" w:type="dxa"/>
            <w:tcBorders>
              <w:top w:val="single" w:sz="4" w:space="0" w:color="365F91"/>
              <w:bottom w:val="single" w:sz="4" w:space="0" w:color="365F91"/>
            </w:tcBorders>
          </w:tcPr>
          <w:p w14:paraId="305F867A" w14:textId="77777777" w:rsidR="00333601" w:rsidRPr="00BE78CA" w:rsidRDefault="00333601" w:rsidP="00CC6EC9">
            <w:pPr>
              <w:pStyle w:val="TableText"/>
              <w:keepNext/>
              <w:spacing w:before="50" w:after="50"/>
              <w:rPr>
                <w:rFonts w:cs="Calibri"/>
                <w:szCs w:val="16"/>
              </w:rPr>
            </w:pPr>
          </w:p>
        </w:tc>
        <w:tc>
          <w:tcPr>
            <w:tcW w:w="1021" w:type="dxa"/>
            <w:tcBorders>
              <w:top w:val="single" w:sz="4" w:space="0" w:color="365F91"/>
              <w:bottom w:val="single" w:sz="4" w:space="0" w:color="365F91"/>
            </w:tcBorders>
          </w:tcPr>
          <w:p w14:paraId="5BB6BC60" w14:textId="77777777" w:rsidR="00333601" w:rsidRPr="00BE78CA" w:rsidRDefault="00333601" w:rsidP="00CC6EC9">
            <w:pPr>
              <w:pStyle w:val="TableText"/>
              <w:keepNext/>
              <w:spacing w:before="50" w:after="50"/>
              <w:rPr>
                <w:rFonts w:cs="Calibri"/>
                <w:szCs w:val="16"/>
              </w:rPr>
            </w:pPr>
          </w:p>
        </w:tc>
        <w:tc>
          <w:tcPr>
            <w:tcW w:w="851" w:type="dxa"/>
            <w:tcBorders>
              <w:top w:val="single" w:sz="4" w:space="0" w:color="365F91"/>
              <w:bottom w:val="single" w:sz="4" w:space="0" w:color="365F91"/>
            </w:tcBorders>
          </w:tcPr>
          <w:p w14:paraId="0C65A8B6" w14:textId="77777777" w:rsidR="00333601" w:rsidRPr="00BE78CA" w:rsidRDefault="00333601" w:rsidP="00CC6EC9">
            <w:pPr>
              <w:pStyle w:val="TableText"/>
              <w:keepNext/>
              <w:spacing w:before="50" w:after="50"/>
              <w:rPr>
                <w:rFonts w:cs="Calibri"/>
                <w:szCs w:val="16"/>
              </w:rPr>
            </w:pPr>
          </w:p>
        </w:tc>
        <w:tc>
          <w:tcPr>
            <w:tcW w:w="2438" w:type="dxa"/>
            <w:tcBorders>
              <w:top w:val="single" w:sz="4" w:space="0" w:color="365F91"/>
              <w:bottom w:val="single" w:sz="4" w:space="0" w:color="365F91"/>
            </w:tcBorders>
          </w:tcPr>
          <w:p w14:paraId="33060EEE" w14:textId="77777777" w:rsidR="00333601" w:rsidRPr="00BE78CA" w:rsidRDefault="00333601" w:rsidP="00CC6EC9">
            <w:pPr>
              <w:pStyle w:val="TableText"/>
              <w:keepNext/>
              <w:spacing w:before="50" w:after="50"/>
              <w:rPr>
                <w:rFonts w:cs="Calibri"/>
                <w:szCs w:val="16"/>
              </w:rPr>
            </w:pPr>
          </w:p>
        </w:tc>
      </w:tr>
      <w:tr w:rsidR="00333601" w:rsidRPr="00BE78CA" w14:paraId="7C99CD07" w14:textId="77777777" w:rsidTr="00FB1B7E">
        <w:tc>
          <w:tcPr>
            <w:tcW w:w="794" w:type="dxa"/>
          </w:tcPr>
          <w:p w14:paraId="2A16A5C2" w14:textId="77777777" w:rsidR="00333601" w:rsidRPr="00BE78CA" w:rsidRDefault="00333601" w:rsidP="00CC6EC9">
            <w:pPr>
              <w:pStyle w:val="TableText"/>
              <w:keepNext/>
              <w:spacing w:before="50" w:after="50"/>
              <w:rPr>
                <w:rFonts w:cs="Calibri"/>
                <w:szCs w:val="16"/>
              </w:rPr>
            </w:pPr>
            <w:r w:rsidRPr="00BE78CA">
              <w:rPr>
                <w:rFonts w:cs="Calibri"/>
                <w:szCs w:val="16"/>
              </w:rPr>
              <w:t> </w:t>
            </w:r>
          </w:p>
        </w:tc>
        <w:tc>
          <w:tcPr>
            <w:tcW w:w="1418" w:type="dxa"/>
            <w:tcBorders>
              <w:top w:val="single" w:sz="4" w:space="0" w:color="365F91"/>
              <w:bottom w:val="single" w:sz="4" w:space="0" w:color="365F91"/>
            </w:tcBorders>
          </w:tcPr>
          <w:p w14:paraId="41E1C7A9" w14:textId="77777777" w:rsidR="00333601" w:rsidRPr="00BE78CA" w:rsidRDefault="00333601" w:rsidP="00CC6EC9">
            <w:pPr>
              <w:pStyle w:val="TableText"/>
              <w:keepNext/>
              <w:spacing w:before="50" w:after="50"/>
              <w:rPr>
                <w:rFonts w:cs="Calibri"/>
                <w:szCs w:val="16"/>
              </w:rPr>
            </w:pPr>
            <w:r w:rsidRPr="00BE78CA">
              <w:rPr>
                <w:rFonts w:cs="Calibri"/>
                <w:szCs w:val="16"/>
              </w:rPr>
              <w:t>Living biomass</w:t>
            </w:r>
          </w:p>
        </w:tc>
        <w:tc>
          <w:tcPr>
            <w:tcW w:w="964" w:type="dxa"/>
            <w:tcBorders>
              <w:top w:val="single" w:sz="4" w:space="0" w:color="365F91"/>
              <w:bottom w:val="single" w:sz="4" w:space="0" w:color="365F91"/>
            </w:tcBorders>
          </w:tcPr>
          <w:p w14:paraId="0DB5837A" w14:textId="77777777" w:rsidR="00333601" w:rsidRPr="00BE78CA" w:rsidRDefault="00333601" w:rsidP="00CC6EC9">
            <w:pPr>
              <w:pStyle w:val="TableText"/>
              <w:keepNext/>
              <w:spacing w:before="50" w:after="50"/>
              <w:rPr>
                <w:rFonts w:cs="Calibri"/>
                <w:szCs w:val="16"/>
              </w:rPr>
            </w:pPr>
            <w:r w:rsidRPr="00BE78CA">
              <w:rPr>
                <w:rFonts w:cs="Calibri"/>
                <w:szCs w:val="16"/>
              </w:rPr>
              <w:t>18.76</w:t>
            </w:r>
          </w:p>
        </w:tc>
        <w:tc>
          <w:tcPr>
            <w:tcW w:w="1021" w:type="dxa"/>
            <w:tcBorders>
              <w:top w:val="single" w:sz="4" w:space="0" w:color="365F91"/>
              <w:bottom w:val="single" w:sz="4" w:space="0" w:color="365F91"/>
            </w:tcBorders>
          </w:tcPr>
          <w:p w14:paraId="07819413" w14:textId="77777777" w:rsidR="00333601" w:rsidRPr="00BE78CA" w:rsidRDefault="00333601" w:rsidP="00CC6EC9">
            <w:pPr>
              <w:pStyle w:val="TableText"/>
              <w:keepNext/>
              <w:spacing w:before="50" w:after="50"/>
              <w:rPr>
                <w:rFonts w:cs="Calibri"/>
                <w:szCs w:val="16"/>
              </w:rPr>
            </w:pPr>
            <w:r w:rsidRPr="00BE78CA">
              <w:rPr>
                <w:rFonts w:cs="Calibri"/>
                <w:szCs w:val="16"/>
              </w:rPr>
              <w:t>0.67</w:t>
            </w:r>
          </w:p>
        </w:tc>
        <w:tc>
          <w:tcPr>
            <w:tcW w:w="851" w:type="dxa"/>
            <w:tcBorders>
              <w:top w:val="single" w:sz="4" w:space="0" w:color="365F91"/>
              <w:bottom w:val="single" w:sz="4" w:space="0" w:color="365F91"/>
            </w:tcBorders>
          </w:tcPr>
          <w:p w14:paraId="111A4B96" w14:textId="77777777" w:rsidR="00333601" w:rsidRPr="00BE78CA" w:rsidRDefault="00333601" w:rsidP="00CC6EC9">
            <w:pPr>
              <w:pStyle w:val="TableText"/>
              <w:keepNext/>
              <w:spacing w:before="50" w:after="50"/>
              <w:rPr>
                <w:rFonts w:cs="Calibri"/>
                <w:szCs w:val="16"/>
              </w:rPr>
            </w:pPr>
            <w:r w:rsidRPr="00BE78CA">
              <w:rPr>
                <w:rFonts w:cs="Calibri"/>
                <w:szCs w:val="16"/>
              </w:rPr>
              <w:t>28</w:t>
            </w:r>
          </w:p>
        </w:tc>
        <w:tc>
          <w:tcPr>
            <w:tcW w:w="2438" w:type="dxa"/>
            <w:tcBorders>
              <w:top w:val="single" w:sz="4" w:space="0" w:color="365F91"/>
              <w:bottom w:val="single" w:sz="4" w:space="0" w:color="365F91"/>
            </w:tcBorders>
          </w:tcPr>
          <w:p w14:paraId="38D27330" w14:textId="77777777" w:rsidR="00333601" w:rsidRPr="00BE78CA" w:rsidRDefault="00333601" w:rsidP="00CC6EC9">
            <w:pPr>
              <w:pStyle w:val="TableText"/>
              <w:keepNext/>
              <w:spacing w:before="50" w:after="50"/>
              <w:rPr>
                <w:rFonts w:cs="Calibri"/>
                <w:szCs w:val="16"/>
              </w:rPr>
            </w:pPr>
            <w:r w:rsidRPr="00BE78CA">
              <w:rPr>
                <w:rFonts w:cs="Calibri"/>
                <w:szCs w:val="16"/>
              </w:rPr>
              <w:t>NZ-specific EF (Davis and Wakelin, unpublished)</w:t>
            </w:r>
          </w:p>
        </w:tc>
      </w:tr>
      <w:tr w:rsidR="00333601" w:rsidRPr="00BE78CA" w14:paraId="06A9249F" w14:textId="77777777" w:rsidTr="00FB1B7E">
        <w:tc>
          <w:tcPr>
            <w:tcW w:w="794" w:type="dxa"/>
          </w:tcPr>
          <w:p w14:paraId="335B8885" w14:textId="77777777" w:rsidR="00333601" w:rsidRPr="00BE78CA" w:rsidRDefault="00333601" w:rsidP="00CC6EC9">
            <w:pPr>
              <w:pStyle w:val="TableText"/>
              <w:spacing w:before="50" w:after="50"/>
              <w:rPr>
                <w:rFonts w:cs="Calibri"/>
                <w:szCs w:val="16"/>
              </w:rPr>
            </w:pPr>
            <w:r w:rsidRPr="00BE78CA">
              <w:rPr>
                <w:rFonts w:cs="Calibri"/>
                <w:szCs w:val="16"/>
              </w:rPr>
              <w:t> </w:t>
            </w:r>
          </w:p>
        </w:tc>
        <w:tc>
          <w:tcPr>
            <w:tcW w:w="1418" w:type="dxa"/>
            <w:tcBorders>
              <w:top w:val="single" w:sz="4" w:space="0" w:color="365F91"/>
              <w:bottom w:val="single" w:sz="4" w:space="0" w:color="365F91"/>
            </w:tcBorders>
          </w:tcPr>
          <w:p w14:paraId="59911D46" w14:textId="77777777" w:rsidR="00333601" w:rsidRPr="00BE78CA" w:rsidRDefault="00333601" w:rsidP="00CC6EC9">
            <w:pPr>
              <w:pStyle w:val="TableText"/>
              <w:spacing w:before="50" w:after="50"/>
              <w:rPr>
                <w:rFonts w:cs="Calibri"/>
                <w:szCs w:val="16"/>
              </w:rPr>
            </w:pPr>
            <w:r w:rsidRPr="00BE78CA">
              <w:rPr>
                <w:rFonts w:cs="Calibri"/>
                <w:szCs w:val="16"/>
              </w:rPr>
              <w:t>Dead organic matter</w:t>
            </w:r>
          </w:p>
        </w:tc>
        <w:tc>
          <w:tcPr>
            <w:tcW w:w="964" w:type="dxa"/>
            <w:tcBorders>
              <w:top w:val="single" w:sz="4" w:space="0" w:color="365F91"/>
              <w:bottom w:val="single" w:sz="4" w:space="0" w:color="365F91"/>
            </w:tcBorders>
          </w:tcPr>
          <w:p w14:paraId="2F1CE0CB" w14:textId="77777777" w:rsidR="00333601" w:rsidRPr="00BE78CA" w:rsidRDefault="00333601" w:rsidP="00CC6EC9">
            <w:pPr>
              <w:pStyle w:val="TableText"/>
              <w:spacing w:before="50" w:after="50"/>
              <w:rPr>
                <w:rFonts w:cs="Calibri"/>
                <w:szCs w:val="16"/>
              </w:rPr>
            </w:pPr>
            <w:r w:rsidRPr="00BE78CA">
              <w:rPr>
                <w:rFonts w:cs="Calibri"/>
                <w:szCs w:val="16"/>
              </w:rPr>
              <w:t>NE</w:t>
            </w:r>
          </w:p>
        </w:tc>
        <w:tc>
          <w:tcPr>
            <w:tcW w:w="1021" w:type="dxa"/>
            <w:tcBorders>
              <w:top w:val="single" w:sz="4" w:space="0" w:color="365F91"/>
              <w:bottom w:val="single" w:sz="4" w:space="0" w:color="365F91"/>
            </w:tcBorders>
          </w:tcPr>
          <w:p w14:paraId="01E8A7D6" w14:textId="77777777" w:rsidR="00333601" w:rsidRPr="00BE78CA" w:rsidRDefault="00333601" w:rsidP="00CC6EC9">
            <w:pPr>
              <w:pStyle w:val="TableText"/>
              <w:spacing w:before="50" w:after="50"/>
              <w:rPr>
                <w:rFonts w:cs="Calibri"/>
                <w:szCs w:val="16"/>
              </w:rPr>
            </w:pPr>
            <w:r w:rsidRPr="00BE78CA">
              <w:rPr>
                <w:rFonts w:cs="Calibri"/>
                <w:szCs w:val="16"/>
              </w:rPr>
              <w:t>NE</w:t>
            </w:r>
          </w:p>
        </w:tc>
        <w:tc>
          <w:tcPr>
            <w:tcW w:w="851" w:type="dxa"/>
            <w:tcBorders>
              <w:top w:val="single" w:sz="4" w:space="0" w:color="365F91"/>
              <w:bottom w:val="single" w:sz="4" w:space="0" w:color="365F91"/>
            </w:tcBorders>
          </w:tcPr>
          <w:p w14:paraId="557B7949" w14:textId="77777777" w:rsidR="00333601" w:rsidRPr="00BE78CA" w:rsidRDefault="00333601" w:rsidP="00CC6EC9">
            <w:pPr>
              <w:pStyle w:val="TableText"/>
              <w:spacing w:before="50" w:after="50"/>
              <w:rPr>
                <w:rFonts w:cs="Calibri"/>
                <w:szCs w:val="16"/>
              </w:rPr>
            </w:pPr>
            <w:r w:rsidRPr="00BE78CA">
              <w:rPr>
                <w:rFonts w:cs="Calibri"/>
                <w:szCs w:val="16"/>
              </w:rPr>
              <w:t>NA</w:t>
            </w:r>
          </w:p>
        </w:tc>
        <w:tc>
          <w:tcPr>
            <w:tcW w:w="2438" w:type="dxa"/>
            <w:tcBorders>
              <w:top w:val="single" w:sz="4" w:space="0" w:color="365F91"/>
              <w:bottom w:val="single" w:sz="4" w:space="0" w:color="365F91"/>
            </w:tcBorders>
          </w:tcPr>
          <w:p w14:paraId="7CE8B65E" w14:textId="77777777" w:rsidR="00333601" w:rsidRPr="00BE78CA" w:rsidRDefault="00333601" w:rsidP="00CC6EC9">
            <w:pPr>
              <w:pStyle w:val="TableText"/>
              <w:spacing w:before="50" w:after="50"/>
              <w:rPr>
                <w:rFonts w:cs="Calibri"/>
                <w:szCs w:val="16"/>
              </w:rPr>
            </w:pPr>
            <w:r w:rsidRPr="00BE78CA">
              <w:rPr>
                <w:rFonts w:cs="Calibri"/>
                <w:szCs w:val="16"/>
              </w:rPr>
              <w:t>No IPCC guidelines</w:t>
            </w:r>
          </w:p>
        </w:tc>
      </w:tr>
      <w:tr w:rsidR="00333601" w:rsidRPr="00BE78CA" w14:paraId="1C322518" w14:textId="77777777" w:rsidTr="00FB1B7E">
        <w:tc>
          <w:tcPr>
            <w:tcW w:w="794" w:type="dxa"/>
          </w:tcPr>
          <w:p w14:paraId="21EE8D9A" w14:textId="77777777" w:rsidR="00333601" w:rsidRPr="00BE78CA" w:rsidRDefault="00333601" w:rsidP="00CC6EC9">
            <w:pPr>
              <w:pStyle w:val="TableText"/>
              <w:spacing w:before="50" w:after="50"/>
              <w:rPr>
                <w:rFonts w:cs="Calibri"/>
                <w:szCs w:val="16"/>
              </w:rPr>
            </w:pPr>
            <w:r w:rsidRPr="00BE78CA">
              <w:rPr>
                <w:rFonts w:cs="Calibri"/>
                <w:szCs w:val="16"/>
              </w:rPr>
              <w:t> </w:t>
            </w:r>
          </w:p>
        </w:tc>
        <w:tc>
          <w:tcPr>
            <w:tcW w:w="1418" w:type="dxa"/>
            <w:tcBorders>
              <w:top w:val="single" w:sz="4" w:space="0" w:color="365F91"/>
              <w:bottom w:val="single" w:sz="4" w:space="0" w:color="365F91"/>
            </w:tcBorders>
          </w:tcPr>
          <w:p w14:paraId="57BB1C5E" w14:textId="77777777" w:rsidR="00333601" w:rsidRPr="00BE78CA" w:rsidRDefault="00333601" w:rsidP="00CC6EC9">
            <w:pPr>
              <w:pStyle w:val="TableText"/>
              <w:keepNext/>
              <w:spacing w:before="50" w:after="50"/>
              <w:rPr>
                <w:rFonts w:cs="Calibri"/>
                <w:szCs w:val="16"/>
              </w:rPr>
            </w:pPr>
            <w:r w:rsidRPr="00BE78CA">
              <w:rPr>
                <w:rFonts w:cs="Calibri"/>
                <w:szCs w:val="16"/>
              </w:rPr>
              <w:t>Soils</w:t>
            </w:r>
          </w:p>
        </w:tc>
        <w:tc>
          <w:tcPr>
            <w:tcW w:w="964" w:type="dxa"/>
            <w:tcBorders>
              <w:top w:val="single" w:sz="4" w:space="0" w:color="365F91"/>
              <w:bottom w:val="single" w:sz="4" w:space="0" w:color="365F91"/>
            </w:tcBorders>
          </w:tcPr>
          <w:p w14:paraId="403C30AB" w14:textId="77777777" w:rsidR="00333601" w:rsidRPr="00BE78CA" w:rsidRDefault="00333601" w:rsidP="00CC6EC9">
            <w:pPr>
              <w:pStyle w:val="TableText"/>
              <w:keepNext/>
              <w:spacing w:before="50" w:after="50"/>
              <w:rPr>
                <w:rFonts w:cs="Calibri"/>
                <w:szCs w:val="16"/>
              </w:rPr>
            </w:pPr>
          </w:p>
        </w:tc>
        <w:tc>
          <w:tcPr>
            <w:tcW w:w="1021" w:type="dxa"/>
            <w:tcBorders>
              <w:top w:val="single" w:sz="4" w:space="0" w:color="365F91"/>
              <w:bottom w:val="single" w:sz="4" w:space="0" w:color="365F91"/>
            </w:tcBorders>
          </w:tcPr>
          <w:p w14:paraId="6023E6E3" w14:textId="77777777" w:rsidR="00333601" w:rsidRPr="00BE78CA" w:rsidRDefault="00333601" w:rsidP="00CC6EC9">
            <w:pPr>
              <w:pStyle w:val="TableText"/>
              <w:keepNext/>
              <w:spacing w:before="50" w:after="50"/>
              <w:rPr>
                <w:rFonts w:cs="Calibri"/>
                <w:szCs w:val="16"/>
              </w:rPr>
            </w:pPr>
          </w:p>
        </w:tc>
        <w:tc>
          <w:tcPr>
            <w:tcW w:w="851" w:type="dxa"/>
            <w:tcBorders>
              <w:top w:val="single" w:sz="4" w:space="0" w:color="365F91"/>
              <w:bottom w:val="single" w:sz="4" w:space="0" w:color="365F91"/>
            </w:tcBorders>
          </w:tcPr>
          <w:p w14:paraId="5C5D7957" w14:textId="77777777" w:rsidR="00333601" w:rsidRPr="00BE78CA" w:rsidRDefault="00333601" w:rsidP="00CC6EC9">
            <w:pPr>
              <w:pStyle w:val="TableText"/>
              <w:keepNext/>
              <w:spacing w:before="50" w:after="50"/>
              <w:rPr>
                <w:rFonts w:cs="Calibri"/>
                <w:szCs w:val="16"/>
              </w:rPr>
            </w:pPr>
          </w:p>
        </w:tc>
        <w:tc>
          <w:tcPr>
            <w:tcW w:w="2438" w:type="dxa"/>
            <w:tcBorders>
              <w:top w:val="single" w:sz="4" w:space="0" w:color="365F91"/>
              <w:bottom w:val="single" w:sz="4" w:space="0" w:color="365F91"/>
            </w:tcBorders>
          </w:tcPr>
          <w:p w14:paraId="0904E782" w14:textId="77777777" w:rsidR="00333601" w:rsidRPr="00BE78CA" w:rsidRDefault="00333601" w:rsidP="00CC6EC9">
            <w:pPr>
              <w:pStyle w:val="TableText"/>
              <w:keepNext/>
              <w:spacing w:before="50" w:after="50"/>
              <w:rPr>
                <w:rFonts w:cs="Calibri"/>
                <w:szCs w:val="16"/>
              </w:rPr>
            </w:pPr>
          </w:p>
        </w:tc>
      </w:tr>
      <w:tr w:rsidR="00333601" w:rsidRPr="00BE78CA" w14:paraId="5F49818E" w14:textId="77777777" w:rsidTr="00FB1B7E">
        <w:tc>
          <w:tcPr>
            <w:tcW w:w="794" w:type="dxa"/>
          </w:tcPr>
          <w:p w14:paraId="4AC5CC68" w14:textId="77777777" w:rsidR="00333601" w:rsidRPr="00BE78CA" w:rsidRDefault="00333601" w:rsidP="00CC6EC9">
            <w:pPr>
              <w:pStyle w:val="TableText"/>
              <w:keepNext/>
              <w:spacing w:before="50" w:after="50"/>
              <w:rPr>
                <w:rFonts w:cs="Calibri"/>
                <w:szCs w:val="16"/>
              </w:rPr>
            </w:pPr>
          </w:p>
        </w:tc>
        <w:tc>
          <w:tcPr>
            <w:tcW w:w="1418" w:type="dxa"/>
            <w:tcBorders>
              <w:top w:val="single" w:sz="4" w:space="0" w:color="365F91"/>
              <w:bottom w:val="single" w:sz="4" w:space="0" w:color="365F91"/>
            </w:tcBorders>
          </w:tcPr>
          <w:p w14:paraId="213F7E96" w14:textId="77777777" w:rsidR="00333601" w:rsidRPr="00BE78CA" w:rsidRDefault="00333601" w:rsidP="00CC6EC9">
            <w:pPr>
              <w:pStyle w:val="TableText"/>
              <w:keepNext/>
              <w:spacing w:before="50" w:after="50"/>
              <w:rPr>
                <w:rFonts w:cs="Calibri"/>
                <w:szCs w:val="16"/>
              </w:rPr>
            </w:pPr>
            <w:r w:rsidRPr="00BE78CA">
              <w:rPr>
                <w:rFonts w:cs="Calibri"/>
                <w:szCs w:val="16"/>
              </w:rPr>
              <w:t xml:space="preserve">Mineral </w:t>
            </w:r>
          </w:p>
        </w:tc>
        <w:tc>
          <w:tcPr>
            <w:tcW w:w="964" w:type="dxa"/>
            <w:tcBorders>
              <w:top w:val="single" w:sz="4" w:space="0" w:color="365F91"/>
              <w:bottom w:val="single" w:sz="4" w:space="0" w:color="365F91"/>
            </w:tcBorders>
          </w:tcPr>
          <w:p w14:paraId="1BE7FAF0" w14:textId="77777777" w:rsidR="00333601" w:rsidRPr="00BE78CA" w:rsidRDefault="00333601" w:rsidP="00CC6EC9">
            <w:pPr>
              <w:pStyle w:val="TableText"/>
              <w:keepNext/>
              <w:spacing w:before="50" w:after="50"/>
              <w:rPr>
                <w:rFonts w:cs="Calibri"/>
                <w:szCs w:val="16"/>
              </w:rPr>
            </w:pPr>
            <w:r w:rsidRPr="00BE78CA">
              <w:rPr>
                <w:rFonts w:cs="Calibri"/>
                <w:szCs w:val="16"/>
              </w:rPr>
              <w:t>88.44</w:t>
            </w:r>
          </w:p>
        </w:tc>
        <w:tc>
          <w:tcPr>
            <w:tcW w:w="1021" w:type="dxa"/>
            <w:tcBorders>
              <w:top w:val="single" w:sz="4" w:space="0" w:color="365F91"/>
              <w:bottom w:val="single" w:sz="4" w:space="0" w:color="365F91"/>
            </w:tcBorders>
          </w:tcPr>
          <w:p w14:paraId="2D9296BD" w14:textId="77777777" w:rsidR="00333601" w:rsidRPr="00BE78CA" w:rsidRDefault="00333601" w:rsidP="00CC6EC9">
            <w:pPr>
              <w:pStyle w:val="TableText"/>
              <w:keepNext/>
              <w:spacing w:before="50" w:after="50"/>
              <w:rPr>
                <w:rFonts w:cs="Calibri"/>
                <w:szCs w:val="16"/>
              </w:rPr>
            </w:pPr>
            <w:r w:rsidRPr="00BE78CA">
              <w:rPr>
                <w:rFonts w:cs="Calibri"/>
                <w:szCs w:val="16"/>
              </w:rPr>
              <w:t>*</w:t>
            </w:r>
          </w:p>
        </w:tc>
        <w:tc>
          <w:tcPr>
            <w:tcW w:w="851" w:type="dxa"/>
            <w:tcBorders>
              <w:top w:val="single" w:sz="4" w:space="0" w:color="365F91"/>
              <w:bottom w:val="single" w:sz="4" w:space="0" w:color="365F91"/>
            </w:tcBorders>
          </w:tcPr>
          <w:p w14:paraId="6BADAA6C" w14:textId="77777777" w:rsidR="00333601" w:rsidRPr="00BE78CA" w:rsidRDefault="00333601" w:rsidP="00CC6EC9">
            <w:pPr>
              <w:pStyle w:val="TableText"/>
              <w:keepNext/>
              <w:spacing w:before="50" w:after="50"/>
              <w:rPr>
                <w:rFonts w:cs="Calibri"/>
                <w:szCs w:val="16"/>
              </w:rPr>
            </w:pPr>
            <w:r w:rsidRPr="00BE78CA">
              <w:rPr>
                <w:rFonts w:cs="Calibri"/>
                <w:szCs w:val="16"/>
              </w:rPr>
              <w:t>20</w:t>
            </w:r>
          </w:p>
        </w:tc>
        <w:tc>
          <w:tcPr>
            <w:tcW w:w="2438" w:type="dxa"/>
            <w:tcBorders>
              <w:top w:val="single" w:sz="4" w:space="0" w:color="365F91"/>
              <w:bottom w:val="single" w:sz="4" w:space="0" w:color="365F91"/>
            </w:tcBorders>
          </w:tcPr>
          <w:p w14:paraId="006FE24E" w14:textId="77777777" w:rsidR="00333601" w:rsidRPr="00BE78CA" w:rsidRDefault="00333601" w:rsidP="00CC6EC9">
            <w:pPr>
              <w:pStyle w:val="TableText"/>
              <w:keepNext/>
              <w:spacing w:before="50" w:after="50"/>
              <w:rPr>
                <w:rFonts w:cs="Calibri"/>
                <w:szCs w:val="16"/>
              </w:rPr>
            </w:pPr>
            <w:r w:rsidRPr="00BE78CA">
              <w:rPr>
                <w:rFonts w:cs="Calibri"/>
                <w:szCs w:val="16"/>
              </w:rPr>
              <w:t>NZ-specific EF (McNeill and Barringer, unpublished)</w:t>
            </w:r>
          </w:p>
        </w:tc>
      </w:tr>
      <w:tr w:rsidR="00333601" w:rsidRPr="00BE78CA" w14:paraId="7EF8724E" w14:textId="77777777" w:rsidTr="00FB1B7E">
        <w:tc>
          <w:tcPr>
            <w:tcW w:w="794" w:type="dxa"/>
            <w:tcBorders>
              <w:bottom w:val="single" w:sz="4" w:space="0" w:color="365F91"/>
            </w:tcBorders>
          </w:tcPr>
          <w:p w14:paraId="21FC1FC5" w14:textId="77777777" w:rsidR="00333601" w:rsidRPr="00BE78CA" w:rsidRDefault="00333601" w:rsidP="00CC6EC9">
            <w:pPr>
              <w:pStyle w:val="TableText"/>
              <w:spacing w:before="50" w:after="50"/>
              <w:rPr>
                <w:rFonts w:cs="Calibri"/>
                <w:szCs w:val="16"/>
              </w:rPr>
            </w:pPr>
          </w:p>
        </w:tc>
        <w:tc>
          <w:tcPr>
            <w:tcW w:w="1418" w:type="dxa"/>
            <w:tcBorders>
              <w:top w:val="single" w:sz="4" w:space="0" w:color="365F91"/>
              <w:bottom w:val="single" w:sz="4" w:space="0" w:color="365F91"/>
            </w:tcBorders>
          </w:tcPr>
          <w:p w14:paraId="605B9F2F" w14:textId="77777777" w:rsidR="00333601" w:rsidRPr="00BE78CA" w:rsidRDefault="00333601" w:rsidP="00CC6EC9">
            <w:pPr>
              <w:pStyle w:val="TableText"/>
              <w:spacing w:before="50" w:after="50"/>
              <w:rPr>
                <w:rFonts w:cs="Calibri"/>
                <w:szCs w:val="16"/>
              </w:rPr>
            </w:pPr>
            <w:r w:rsidRPr="00BE78CA">
              <w:rPr>
                <w:rFonts w:cs="Calibri"/>
                <w:szCs w:val="16"/>
              </w:rPr>
              <w:t>Organic</w:t>
            </w:r>
          </w:p>
        </w:tc>
        <w:tc>
          <w:tcPr>
            <w:tcW w:w="964" w:type="dxa"/>
            <w:tcBorders>
              <w:top w:val="single" w:sz="4" w:space="0" w:color="365F91"/>
              <w:bottom w:val="single" w:sz="4" w:space="0" w:color="365F91"/>
            </w:tcBorders>
          </w:tcPr>
          <w:p w14:paraId="35F6A704" w14:textId="77777777" w:rsidR="00333601" w:rsidRPr="00BE78CA" w:rsidRDefault="00333601" w:rsidP="00CC6EC9">
            <w:pPr>
              <w:pStyle w:val="TableText"/>
              <w:spacing w:before="50" w:after="50"/>
              <w:rPr>
                <w:rFonts w:cs="Calibri"/>
                <w:szCs w:val="16"/>
              </w:rPr>
            </w:pPr>
            <w:r w:rsidRPr="00BE78CA">
              <w:rPr>
                <w:rFonts w:cs="Calibri"/>
                <w:szCs w:val="16"/>
              </w:rPr>
              <w:t>NE</w:t>
            </w:r>
          </w:p>
        </w:tc>
        <w:tc>
          <w:tcPr>
            <w:tcW w:w="1021" w:type="dxa"/>
            <w:tcBorders>
              <w:top w:val="single" w:sz="4" w:space="0" w:color="365F91"/>
              <w:bottom w:val="single" w:sz="4" w:space="0" w:color="365F91"/>
            </w:tcBorders>
          </w:tcPr>
          <w:p w14:paraId="52720F3B" w14:textId="77777777" w:rsidR="00333601" w:rsidRPr="00BE78CA" w:rsidRDefault="00333601" w:rsidP="00CC6EC9">
            <w:pPr>
              <w:pStyle w:val="TableText"/>
              <w:spacing w:before="50" w:after="50"/>
              <w:rPr>
                <w:rFonts w:cs="Calibri"/>
                <w:szCs w:val="16"/>
              </w:rPr>
            </w:pPr>
            <w:r w:rsidRPr="00BE78CA">
              <w:rPr>
                <w:rFonts w:cs="Calibri"/>
                <w:szCs w:val="16"/>
              </w:rPr>
              <w:t>–5.0 / 10.0</w:t>
            </w:r>
          </w:p>
        </w:tc>
        <w:tc>
          <w:tcPr>
            <w:tcW w:w="851" w:type="dxa"/>
            <w:tcBorders>
              <w:top w:val="single" w:sz="4" w:space="0" w:color="365F91"/>
              <w:bottom w:val="single" w:sz="4" w:space="0" w:color="365F91"/>
            </w:tcBorders>
          </w:tcPr>
          <w:p w14:paraId="7CBF2EE9" w14:textId="77777777" w:rsidR="00333601" w:rsidRPr="00BE78CA" w:rsidRDefault="00333601" w:rsidP="00CC6EC9">
            <w:pPr>
              <w:pStyle w:val="TableText"/>
              <w:spacing w:before="50" w:after="50"/>
              <w:rPr>
                <w:rFonts w:cs="Calibri"/>
                <w:szCs w:val="16"/>
              </w:rPr>
            </w:pPr>
          </w:p>
        </w:tc>
        <w:tc>
          <w:tcPr>
            <w:tcW w:w="2438" w:type="dxa"/>
            <w:tcBorders>
              <w:top w:val="single" w:sz="4" w:space="0" w:color="365F91"/>
              <w:bottom w:val="single" w:sz="4" w:space="0" w:color="365F91"/>
            </w:tcBorders>
          </w:tcPr>
          <w:p w14:paraId="4D7790BD" w14:textId="77777777" w:rsidR="00333601" w:rsidRPr="00BE78CA" w:rsidRDefault="00333601" w:rsidP="00CC6EC9">
            <w:pPr>
              <w:pStyle w:val="TableText"/>
              <w:spacing w:before="50" w:after="50"/>
              <w:rPr>
                <w:rFonts w:cs="Calibri"/>
                <w:szCs w:val="16"/>
              </w:rPr>
            </w:pPr>
            <w:r w:rsidRPr="00BE78CA">
              <w:rPr>
                <w:rFonts w:cs="Calibri"/>
                <w:szCs w:val="16"/>
              </w:rPr>
              <w:t>IPCC Tier 1 default (table 5.6, IPCC, 2006a)</w:t>
            </w:r>
          </w:p>
        </w:tc>
      </w:tr>
    </w:tbl>
    <w:p w14:paraId="1C461DC3" w14:textId="77777777" w:rsidR="00333601" w:rsidRPr="00BE78CA" w:rsidRDefault="00333601" w:rsidP="00333601">
      <w:pPr>
        <w:pStyle w:val="Noteundertable"/>
      </w:pPr>
      <w:r w:rsidRPr="00BE78CA">
        <w:rPr>
          <w:b/>
        </w:rPr>
        <w:t>Note:</w:t>
      </w:r>
      <w:r w:rsidRPr="00BE78CA">
        <w:tab/>
        <w:t>EF = emission factor; NA = not applicable; NE = not estimated. * Annual carbon stock change in mineral soils on land undergoing land-use change will depend on the land use category the land has been converted to or from; see section 6.3</w:t>
      </w:r>
      <w:r w:rsidRPr="00BE78CA">
        <w:rPr>
          <w:sz w:val="16"/>
          <w:szCs w:val="16"/>
        </w:rPr>
        <w:t>.</w:t>
      </w:r>
      <w:bookmarkStart w:id="2089" w:name="_Toc255466374"/>
      <w:bookmarkStart w:id="2090" w:name="_Toc261513181"/>
      <w:bookmarkStart w:id="2091" w:name="_Toc261513794"/>
    </w:p>
    <w:p w14:paraId="48F08C65" w14:textId="77777777" w:rsidR="00333601" w:rsidRPr="00BE78CA" w:rsidRDefault="00333601" w:rsidP="00333601">
      <w:pPr>
        <w:pStyle w:val="Heading4"/>
      </w:pPr>
      <w:bookmarkStart w:id="2092" w:name="_Toc280630266"/>
      <w:r w:rsidRPr="00BE78CA">
        <w:t>Cropland remaining cropland</w:t>
      </w:r>
      <w:bookmarkEnd w:id="2089"/>
      <w:bookmarkEnd w:id="2090"/>
      <w:bookmarkEnd w:id="2091"/>
      <w:bookmarkEnd w:id="2092"/>
      <w:r w:rsidRPr="00BE78CA">
        <w:t xml:space="preserve"> (CRF 4.B.1)</w:t>
      </w:r>
    </w:p>
    <w:p w14:paraId="4F46CE44" w14:textId="77777777" w:rsidR="00333601" w:rsidRPr="00BE78CA" w:rsidRDefault="00333601" w:rsidP="00601F36">
      <w:pPr>
        <w:pStyle w:val="BodyText"/>
      </w:pPr>
      <w:r w:rsidRPr="00BE78CA">
        <w:t xml:space="preserve">For </w:t>
      </w:r>
      <w:r w:rsidRPr="00BE78CA">
        <w:rPr>
          <w:i/>
        </w:rPr>
        <w:t>Cropland remaining cropland</w:t>
      </w:r>
      <w:r w:rsidRPr="00BE78CA">
        <w:t xml:space="preserve">, the Tier 1 assumption is that for annual cropland there is no change in biomass carbon stocks after the first year (section 5.2.1, IPCC, 2006a). The rationale is that the increase in biomass stocks in a single year is equal to the biomass losses from harvest and mortality in that same year. For perennial cropland, there is a change in carbon stocks associated with a land-use change. Where land-use change has occurred between the </w:t>
      </w:r>
      <w:r w:rsidRPr="00BE78CA">
        <w:rPr>
          <w:i/>
        </w:rPr>
        <w:t>Cropland</w:t>
      </w:r>
      <w:r w:rsidRPr="00BE78CA">
        <w:t xml:space="preserve"> land use categories, carbon stock changes are reported in </w:t>
      </w:r>
      <w:r w:rsidRPr="00BE78CA">
        <w:rPr>
          <w:i/>
        </w:rPr>
        <w:t>Cropland remaining cropland</w:t>
      </w:r>
      <w:r w:rsidRPr="00BE78CA">
        <w:t xml:space="preserve">. </w:t>
      </w:r>
    </w:p>
    <w:p w14:paraId="6A63DCCB" w14:textId="77777777" w:rsidR="00333601" w:rsidRPr="00BE78CA" w:rsidRDefault="00333601" w:rsidP="00333601">
      <w:pPr>
        <w:pStyle w:val="Heading5"/>
      </w:pPr>
      <w:bookmarkStart w:id="2093" w:name="_Toc255466375"/>
      <w:bookmarkStart w:id="2094" w:name="_Toc261513182"/>
      <w:bookmarkStart w:id="2095" w:name="_Toc261513795"/>
      <w:bookmarkStart w:id="2096" w:name="_Toc280630267"/>
      <w:r w:rsidRPr="00BE78CA">
        <w:t>Living biomass</w:t>
      </w:r>
      <w:bookmarkEnd w:id="2093"/>
      <w:bookmarkEnd w:id="2094"/>
      <w:bookmarkEnd w:id="2095"/>
      <w:bookmarkEnd w:id="2096"/>
    </w:p>
    <w:p w14:paraId="141A4CA3" w14:textId="77777777" w:rsidR="00333601" w:rsidRPr="00BE78CA" w:rsidRDefault="00333601" w:rsidP="00601F36">
      <w:pPr>
        <w:pStyle w:val="BodyText"/>
      </w:pPr>
      <w:r w:rsidRPr="00BE78CA">
        <w:t>To estimate carbon stock change in living biomass for annual cropland converted to perennial cropland, New Zealand is using Tier 1 defaults for biomass carbon stocks at harvest. The value being used for annual cropland is 5.0 tonnes C ha</w:t>
      </w:r>
      <w:r w:rsidRPr="00BE78CA">
        <w:rPr>
          <w:vertAlign w:val="superscript"/>
        </w:rPr>
        <w:t>–1</w:t>
      </w:r>
      <w:r w:rsidRPr="00BE78CA">
        <w:t xml:space="preserve"> (table 5.9, IPCC, 2006a). The Tier 1 method for estimating carbon change assumes carbon stocks in biomass immediately after conversion are zero; that is, the land is cleared of all vegetation before planting crops (5.0 tonnes C ha</w:t>
      </w:r>
      <w:r w:rsidRPr="00BE78CA">
        <w:rPr>
          <w:vertAlign w:val="superscript"/>
        </w:rPr>
        <w:t>–1</w:t>
      </w:r>
      <w:r w:rsidRPr="00BE78CA">
        <w:t xml:space="preserve"> is instantly oxidised in the year of conversion). </w:t>
      </w:r>
    </w:p>
    <w:p w14:paraId="4FFACA7A" w14:textId="77777777" w:rsidR="00333601" w:rsidRPr="00BE78CA" w:rsidRDefault="00333601" w:rsidP="00601F36">
      <w:pPr>
        <w:pStyle w:val="BodyText"/>
      </w:pPr>
      <w:r w:rsidRPr="00BE78CA">
        <w:t>To estimate growth after conversion of annual cropland to perennial cropland, New Zealand uses the biomass accumulation rate of 0.67 tonnes C ha</w:t>
      </w:r>
      <w:r w:rsidRPr="00BE78CA">
        <w:rPr>
          <w:vertAlign w:val="superscript"/>
        </w:rPr>
        <w:t xml:space="preserve">–1 </w:t>
      </w:r>
      <w:r w:rsidRPr="00BE78CA">
        <w:t>yr</w:t>
      </w:r>
      <w:r w:rsidRPr="00BE78CA">
        <w:rPr>
          <w:vertAlign w:val="superscript"/>
        </w:rPr>
        <w:t>–1</w:t>
      </w:r>
      <w:r w:rsidRPr="00BE78CA">
        <w:t>. This value is based on the New Zealand-specific value of 18.76 tonnes C ha</w:t>
      </w:r>
      <w:r w:rsidRPr="00BE78CA">
        <w:rPr>
          <w:spacing w:val="-2"/>
          <w:vertAlign w:val="superscript"/>
        </w:rPr>
        <w:t>–1</w:t>
      </w:r>
      <w:r w:rsidRPr="00BE78CA">
        <w:t xml:space="preserve"> (</w:t>
      </w:r>
      <w:r w:rsidRPr="00BE78CA">
        <w:rPr>
          <w:spacing w:val="-2"/>
        </w:rPr>
        <w:t xml:space="preserve">Davis and Wakelin, </w:t>
      </w:r>
      <w:r w:rsidRPr="00BE78CA">
        <w:t>unpublished), sequestered over 28 years. It is assumed any biomass gains after this 28-year period are compensated for by biomass loss from pruning and other management practices, resulting in a net zero change in biomass stock of perennial cropland remaining perennial cropland.</w:t>
      </w:r>
    </w:p>
    <w:p w14:paraId="63368C2D" w14:textId="77777777" w:rsidR="00333601" w:rsidRPr="00BE78CA" w:rsidRDefault="00333601" w:rsidP="00601F36">
      <w:pPr>
        <w:pStyle w:val="BodyText"/>
      </w:pPr>
      <w:r w:rsidRPr="00BE78CA">
        <w:lastRenderedPageBreak/>
        <w:t xml:space="preserve">The assumption of net zero change in biomass stock after 28 years, while applied to the 2021 submission, has been reviewed. It is acknowledged that this assumption may be overly simplistic, as outlined by the ERT recommendation L.21, 2019 (FCCC/ARR/2019/NZL, UNFCCC, 2020), activity data for biomass stock changes beyond 28 years, or temporary destocking, are not available annually. It is unlikely funding for further collection of data will be available for this in the short to medium term, because research and method development funding will be prioritised for the </w:t>
      </w:r>
      <w:r w:rsidRPr="00BE78CA">
        <w:rPr>
          <w:i/>
          <w:iCs/>
        </w:rPr>
        <w:t>Forest land</w:t>
      </w:r>
      <w:r w:rsidRPr="00BE78CA">
        <w:t xml:space="preserve"> category. </w:t>
      </w:r>
    </w:p>
    <w:p w14:paraId="3EAC7CBB" w14:textId="4A49ED7C" w:rsidR="00333601" w:rsidRPr="00BE78CA" w:rsidRDefault="00333601" w:rsidP="00601F36">
      <w:pPr>
        <w:pStyle w:val="BodyText"/>
      </w:pPr>
      <w:r w:rsidRPr="00BE78CA">
        <w:t>The available activity data do not provide information on areas of perennial cropland temporarily destocked; therefore, no losses in carbon stock due to temporary destocking are reported. Consequently, no gains in these areas are reported either when they are</w:t>
      </w:r>
      <w:r w:rsidR="00601F36" w:rsidRPr="00BE78CA">
        <w:t> </w:t>
      </w:r>
      <w:r w:rsidRPr="00BE78CA">
        <w:t xml:space="preserve">restocked. </w:t>
      </w:r>
    </w:p>
    <w:p w14:paraId="7A39D85D" w14:textId="77777777" w:rsidR="00333601" w:rsidRPr="00BE78CA" w:rsidRDefault="00333601" w:rsidP="00333601">
      <w:pPr>
        <w:pStyle w:val="Heading5"/>
        <w:spacing w:before="200"/>
      </w:pPr>
      <w:bookmarkStart w:id="2097" w:name="_Toc255466376"/>
      <w:bookmarkStart w:id="2098" w:name="_Toc261513183"/>
      <w:bookmarkStart w:id="2099" w:name="_Toc261513796"/>
      <w:bookmarkStart w:id="2100" w:name="_Toc280630268"/>
      <w:r w:rsidRPr="00BE78CA">
        <w:t>Dead organic matter</w:t>
      </w:r>
      <w:bookmarkEnd w:id="2097"/>
      <w:bookmarkEnd w:id="2098"/>
      <w:bookmarkEnd w:id="2099"/>
      <w:bookmarkEnd w:id="2100"/>
    </w:p>
    <w:p w14:paraId="182E5E1A" w14:textId="77777777" w:rsidR="00333601" w:rsidRPr="00BE78CA" w:rsidRDefault="00333601" w:rsidP="00333601">
      <w:pPr>
        <w:pStyle w:val="BodyText"/>
      </w:pPr>
      <w:r w:rsidRPr="00BE78CA">
        <w:t xml:space="preserve">New Zealand does not report estimates of dead organic matter in this category. The notation key NE (not estimated) is used in the CRF tables in accordance with paragraph 37(b) of Decision 24/CP.19 (UNFCCC, 2014). There is insufficient information to provide a basic approach with default parameters to estimate carbon stock change in dead organic matter pools in </w:t>
      </w:r>
      <w:r w:rsidRPr="00BE78CA">
        <w:rPr>
          <w:i/>
        </w:rPr>
        <w:t>Cropland</w:t>
      </w:r>
      <w:r w:rsidRPr="00BE78CA">
        <w:t xml:space="preserve"> </w:t>
      </w:r>
      <w:r w:rsidRPr="00BE78CA">
        <w:rPr>
          <w:i/>
        </w:rPr>
        <w:t>remaining cropland</w:t>
      </w:r>
      <w:r w:rsidRPr="00BE78CA">
        <w:t xml:space="preserve"> and, consequently, no Tier 1 method is provided (IPCC, 2006a).</w:t>
      </w:r>
    </w:p>
    <w:p w14:paraId="45DCB7BA" w14:textId="77777777" w:rsidR="00333601" w:rsidRPr="00BE78CA" w:rsidRDefault="00333601" w:rsidP="00333601">
      <w:pPr>
        <w:pStyle w:val="Heading5"/>
        <w:spacing w:before="200"/>
      </w:pPr>
      <w:bookmarkStart w:id="2101" w:name="_Toc255466377"/>
      <w:bookmarkStart w:id="2102" w:name="_Toc261513184"/>
      <w:bookmarkStart w:id="2103" w:name="_Toc261513797"/>
      <w:bookmarkStart w:id="2104" w:name="_Toc280630269"/>
      <w:r w:rsidRPr="00BE78CA">
        <w:t>Soil organic carbon</w:t>
      </w:r>
      <w:bookmarkEnd w:id="2101"/>
      <w:bookmarkEnd w:id="2102"/>
      <w:bookmarkEnd w:id="2103"/>
      <w:bookmarkEnd w:id="2104"/>
    </w:p>
    <w:p w14:paraId="3F8141D2" w14:textId="77777777" w:rsidR="00333601" w:rsidRPr="00BE78CA" w:rsidRDefault="00333601" w:rsidP="00333601">
      <w:pPr>
        <w:pStyle w:val="BodyText"/>
      </w:pPr>
      <w:bookmarkStart w:id="2105" w:name="_Toc255466378"/>
      <w:bookmarkStart w:id="2106" w:name="_Toc261513185"/>
      <w:bookmarkStart w:id="2107" w:name="_Toc261513798"/>
      <w:bookmarkStart w:id="2108" w:name="_Toc280630270"/>
      <w:r w:rsidRPr="00BE78CA">
        <w:t xml:space="preserve">SOC stocks in </w:t>
      </w:r>
      <w:r w:rsidRPr="00BE78CA">
        <w:rPr>
          <w:i/>
        </w:rPr>
        <w:t>Cropland</w:t>
      </w:r>
      <w:r w:rsidRPr="00BE78CA">
        <w:t xml:space="preserve"> </w:t>
      </w:r>
      <w:r w:rsidRPr="00BE78CA">
        <w:rPr>
          <w:i/>
        </w:rPr>
        <w:t>remaining cropland</w:t>
      </w:r>
      <w:r w:rsidRPr="00BE78CA">
        <w:t xml:space="preserve"> are estimated using a Tier 2 method for mineral soils and a Tier 1 method for organic soils, as described in section 6.3. The steady state mineral SOC stock for annual cropland is estimated to be 89.77 tonnes C ha</w:t>
      </w:r>
      <w:r w:rsidRPr="00BE78CA">
        <w:rPr>
          <w:vertAlign w:val="superscript"/>
        </w:rPr>
        <w:t>–1</w:t>
      </w:r>
      <w:r w:rsidRPr="00BE78CA">
        <w:t>; for perennial cropland, it is estimated to be 88.44 tonnes C ha</w:t>
      </w:r>
      <w:r w:rsidRPr="00BE78CA">
        <w:rPr>
          <w:vertAlign w:val="superscript"/>
        </w:rPr>
        <w:t>–1</w:t>
      </w:r>
      <w:r w:rsidRPr="00BE78CA">
        <w:t xml:space="preserve"> (see table 6.3.2).</w:t>
      </w:r>
    </w:p>
    <w:p w14:paraId="5CC6FAAA" w14:textId="77777777" w:rsidR="00333601" w:rsidRPr="00BE78CA" w:rsidRDefault="00333601" w:rsidP="00333601">
      <w:pPr>
        <w:pStyle w:val="BodyText"/>
      </w:pPr>
      <w:r w:rsidRPr="00BE78CA">
        <w:t xml:space="preserve">Mineral soil carbon change for annual cropland converted to perennial cropland and vice versa is estimated using the IPCC default method of applying a linear rate of change over 20 years (equation 2.2.5, IPCC, 2006a). </w:t>
      </w:r>
    </w:p>
    <w:p w14:paraId="588B42BE" w14:textId="77777777" w:rsidR="00333601" w:rsidRPr="00BE78CA" w:rsidRDefault="00333601" w:rsidP="00333601">
      <w:pPr>
        <w:pStyle w:val="BodyText"/>
      </w:pPr>
      <w:r w:rsidRPr="00BE78CA">
        <w:t xml:space="preserve">The IPCC default emission factors for organic soils under </w:t>
      </w:r>
      <w:r w:rsidRPr="00BE78CA">
        <w:rPr>
          <w:i/>
        </w:rPr>
        <w:t>Cropland</w:t>
      </w:r>
      <w:r w:rsidRPr="00BE78CA">
        <w:t xml:space="preserve"> are 5.0 tonnes C ha</w:t>
      </w:r>
      <w:r w:rsidRPr="00BE78CA">
        <w:rPr>
          <w:vertAlign w:val="superscript"/>
        </w:rPr>
        <w:t xml:space="preserve">–1 </w:t>
      </w:r>
      <w:r w:rsidRPr="00BE78CA">
        <w:t>and 10.0 tonnes C ha</w:t>
      </w:r>
      <w:r w:rsidRPr="00BE78CA">
        <w:rPr>
          <w:vertAlign w:val="superscript"/>
        </w:rPr>
        <w:t>–1</w:t>
      </w:r>
      <w:r w:rsidRPr="00BE78CA">
        <w:t xml:space="preserve"> per annum for cold temperate and warm temperate regimes, respectively (see table 6.3.3).</w:t>
      </w:r>
    </w:p>
    <w:p w14:paraId="718C5DF2" w14:textId="77777777" w:rsidR="00333601" w:rsidRPr="00BE78CA" w:rsidRDefault="00333601" w:rsidP="00333601">
      <w:pPr>
        <w:pStyle w:val="Heading4"/>
      </w:pPr>
      <w:bookmarkStart w:id="2109" w:name="_Toc255466381"/>
      <w:bookmarkStart w:id="2110" w:name="_Toc261513188"/>
      <w:bookmarkStart w:id="2111" w:name="_Toc261513801"/>
      <w:bookmarkStart w:id="2112" w:name="_Toc280630272"/>
      <w:r w:rsidRPr="00BE78CA">
        <w:t>Land converted to cropland</w:t>
      </w:r>
      <w:bookmarkEnd w:id="2109"/>
      <w:bookmarkEnd w:id="2110"/>
      <w:bookmarkEnd w:id="2111"/>
      <w:bookmarkEnd w:id="2112"/>
      <w:r w:rsidRPr="00BE78CA">
        <w:t xml:space="preserve"> (CRF 4.B.2)</w:t>
      </w:r>
    </w:p>
    <w:p w14:paraId="30FCEE79" w14:textId="77777777" w:rsidR="00333601" w:rsidRPr="00BE78CA" w:rsidRDefault="00333601" w:rsidP="00333601">
      <w:pPr>
        <w:pStyle w:val="Heading5"/>
        <w:spacing w:before="120"/>
      </w:pPr>
      <w:bookmarkStart w:id="2113" w:name="_Toc255466382"/>
      <w:bookmarkStart w:id="2114" w:name="_Toc261513189"/>
      <w:bookmarkStart w:id="2115" w:name="_Toc261513802"/>
      <w:bookmarkStart w:id="2116" w:name="_Toc280630273"/>
      <w:r w:rsidRPr="00BE78CA">
        <w:t>Living biomass</w:t>
      </w:r>
      <w:bookmarkEnd w:id="2113"/>
      <w:bookmarkEnd w:id="2114"/>
      <w:bookmarkEnd w:id="2115"/>
      <w:bookmarkEnd w:id="2116"/>
    </w:p>
    <w:p w14:paraId="72555E9D" w14:textId="77777777" w:rsidR="00333601" w:rsidRPr="00BE78CA" w:rsidRDefault="00333601" w:rsidP="00333601">
      <w:pPr>
        <w:pStyle w:val="BodyText"/>
      </w:pPr>
      <w:r w:rsidRPr="00BE78CA">
        <w:t xml:space="preserve">New Zealand uses a Tier 1 method, and a combination of IPCC default and New Zealand-specific emission factors, to calculate emissions for </w:t>
      </w:r>
      <w:r w:rsidRPr="00BE78CA">
        <w:rPr>
          <w:i/>
        </w:rPr>
        <w:t>Land converted to cropland</w:t>
      </w:r>
      <w:r w:rsidRPr="00BE78CA">
        <w:t xml:space="preserve">. The Tier 1 method multiplies the area of </w:t>
      </w:r>
      <w:r w:rsidRPr="00BE78CA">
        <w:rPr>
          <w:i/>
        </w:rPr>
        <w:t>Land converted to cropland</w:t>
      </w:r>
      <w:r w:rsidRPr="00BE78CA">
        <w:t xml:space="preserve"> annually by the carbon stock change per area for that type of conversion. </w:t>
      </w:r>
    </w:p>
    <w:p w14:paraId="501B91E3" w14:textId="77777777" w:rsidR="00333601" w:rsidRPr="00BE78CA" w:rsidRDefault="00333601" w:rsidP="00333601">
      <w:pPr>
        <w:pStyle w:val="BodyText"/>
        <w:rPr>
          <w:spacing w:val="-2"/>
        </w:rPr>
      </w:pPr>
      <w:r w:rsidRPr="00BE78CA">
        <w:rPr>
          <w:spacing w:val="-2"/>
        </w:rPr>
        <w:t>The Tier 1 method assumes carbon in living biomass and dead organic matter immediately after conversion is zero; that is, the land is cleared of all vegetation before planting crops. The amount of biomass cleared when land at steady state is converted is shown in tables 6.1.3 and 6.1.4.</w:t>
      </w:r>
    </w:p>
    <w:p w14:paraId="4CB89E2F" w14:textId="77777777" w:rsidR="00333601" w:rsidRPr="00BE78CA" w:rsidRDefault="00333601" w:rsidP="00333601">
      <w:pPr>
        <w:pStyle w:val="BodyText"/>
      </w:pPr>
      <w:r w:rsidRPr="00BE78CA">
        <w:t>The Tier 1 method also includes changes in carbon stocks from one year of growth in the year conversion takes place, as outlined in equation 2.5 of the 2006 IPCC Guidelines (IPCC, 2006a).</w:t>
      </w:r>
    </w:p>
    <w:p w14:paraId="6199606A" w14:textId="77777777" w:rsidR="00333601" w:rsidRPr="00BE78CA" w:rsidRDefault="00333601" w:rsidP="00333601">
      <w:pPr>
        <w:pStyle w:val="BodyText"/>
        <w:spacing w:before="100" w:after="100"/>
      </w:pPr>
      <w:r w:rsidRPr="00BE78CA">
        <w:lastRenderedPageBreak/>
        <w:t>To estimate growth after conversion to annual cropland, New Zealand uses the IPCC default biomass accumulation rate of 5.0 tonnes C ha</w:t>
      </w:r>
      <w:r w:rsidRPr="00BE78CA">
        <w:rPr>
          <w:vertAlign w:val="superscript"/>
        </w:rPr>
        <w:t>–1</w:t>
      </w:r>
      <w:r w:rsidRPr="00BE78CA">
        <w:t xml:space="preserve"> for the first year following conversion (table 5.9, IPCC, 2006a). After the first year, any increase in biomass stocks in annual cropland is assumed equal to biomass losses from harvest and mortality in that same year and, therefore, after the first year there is no net accumulation of biomass carbon stocks in </w:t>
      </w:r>
      <w:r w:rsidRPr="00BE78CA">
        <w:rPr>
          <w:i/>
        </w:rPr>
        <w:t>Annual cropland remaining annual cropland</w:t>
      </w:r>
      <w:r w:rsidRPr="00BE78CA">
        <w:t xml:space="preserve"> (IPCC, 2006a, section 5.2.1).</w:t>
      </w:r>
    </w:p>
    <w:p w14:paraId="5414BF90" w14:textId="77777777" w:rsidR="00333601" w:rsidRPr="00BE78CA" w:rsidRDefault="00333601" w:rsidP="00333601">
      <w:pPr>
        <w:pStyle w:val="BodyText"/>
        <w:spacing w:before="100" w:after="100"/>
      </w:pPr>
      <w:r w:rsidRPr="00BE78CA">
        <w:t>To estimate growth after conversion to perennial cropland, New Zealand uses the biomass accumulation rate of 0.67 tonnes C ha</w:t>
      </w:r>
      <w:r w:rsidRPr="00BE78CA">
        <w:rPr>
          <w:vertAlign w:val="superscript"/>
        </w:rPr>
        <w:t xml:space="preserve">–1 </w:t>
      </w:r>
      <w:r w:rsidRPr="00BE78CA">
        <w:t>yr</w:t>
      </w:r>
      <w:r w:rsidRPr="00BE78CA">
        <w:rPr>
          <w:vertAlign w:val="superscript"/>
        </w:rPr>
        <w:t>–1</w:t>
      </w:r>
      <w:r w:rsidRPr="00BE78CA">
        <w:t>. This value is based on the New Zealand-specific value of 18.76 tonnes C ha</w:t>
      </w:r>
      <w:r w:rsidRPr="00BE78CA">
        <w:rPr>
          <w:spacing w:val="-2"/>
          <w:vertAlign w:val="superscript"/>
        </w:rPr>
        <w:t>–1</w:t>
      </w:r>
      <w:r w:rsidRPr="00BE78CA">
        <w:rPr>
          <w:spacing w:val="-2"/>
        </w:rPr>
        <w:t>,</w:t>
      </w:r>
      <w:r w:rsidRPr="00BE78CA">
        <w:t xml:space="preserve"> which is reached over 28 years (</w:t>
      </w:r>
      <w:r w:rsidRPr="00BE78CA">
        <w:rPr>
          <w:spacing w:val="-2"/>
        </w:rPr>
        <w:t xml:space="preserve">Davis and Wakelin, </w:t>
      </w:r>
      <w:r w:rsidRPr="00BE78CA">
        <w:t xml:space="preserve">unpublished). Biomass accumulation stops after 28 years. The final eight years of biomass gain are reported in </w:t>
      </w:r>
      <w:r w:rsidRPr="00BE78CA">
        <w:rPr>
          <w:i/>
          <w:iCs/>
        </w:rPr>
        <w:t>Cropland remaining cropland</w:t>
      </w:r>
      <w:r w:rsidRPr="00BE78CA">
        <w:t xml:space="preserve"> because the 2006 IPCC Guidelines default transition period of 20 years has been applied across the entire LULUCF sector. </w:t>
      </w:r>
    </w:p>
    <w:p w14:paraId="3B05D739" w14:textId="77777777" w:rsidR="00333601" w:rsidRPr="00BE78CA" w:rsidRDefault="00333601" w:rsidP="00333601">
      <w:pPr>
        <w:pStyle w:val="Heading5"/>
      </w:pPr>
      <w:bookmarkStart w:id="2117" w:name="_Toc255466383"/>
      <w:bookmarkStart w:id="2118" w:name="_Toc261513190"/>
      <w:bookmarkStart w:id="2119" w:name="_Toc261513803"/>
      <w:bookmarkStart w:id="2120" w:name="_Toc280630274"/>
      <w:r w:rsidRPr="00BE78CA">
        <w:t>Dead organic matter</w:t>
      </w:r>
      <w:bookmarkEnd w:id="2117"/>
      <w:bookmarkEnd w:id="2118"/>
      <w:bookmarkEnd w:id="2119"/>
      <w:bookmarkEnd w:id="2120"/>
    </w:p>
    <w:p w14:paraId="6A1E6C5D" w14:textId="77777777" w:rsidR="00333601" w:rsidRPr="00BE78CA" w:rsidRDefault="00333601" w:rsidP="00333601">
      <w:pPr>
        <w:pStyle w:val="BodyText"/>
        <w:spacing w:before="100" w:after="100"/>
        <w:rPr>
          <w:spacing w:val="-2"/>
        </w:rPr>
      </w:pPr>
      <w:r w:rsidRPr="00BE78CA">
        <w:rPr>
          <w:spacing w:val="-2"/>
        </w:rPr>
        <w:t>New Zealand reports only losses in dead organic matter associated with the previous land use for this category. The losses are calculated based on the carbon in dead organic matter at the site prior to conversion to cropland. It is assumed that, immediately after conversion, dead organic matter is zero (all carbon in dead organic matter prior to conversion is instantly oxidised in the year of conversion). There is insufficient information to estimate gain in carbon stock in dead organic matter pools after land is converted to cropland (IPCC, 2006a). Consequently, where there are no dead organic matter losses associated with the previous land use, the notation key NE (not estimated) is used in the CRF tables in accordance with Decision 24/CP.19 (UNFCCC, 2014).</w:t>
      </w:r>
    </w:p>
    <w:p w14:paraId="2C3010A4" w14:textId="77777777" w:rsidR="00333601" w:rsidRPr="00BE78CA" w:rsidRDefault="00333601" w:rsidP="00333601">
      <w:pPr>
        <w:pStyle w:val="Heading5"/>
      </w:pPr>
      <w:bookmarkStart w:id="2121" w:name="_Toc255466384"/>
      <w:bookmarkStart w:id="2122" w:name="_Toc261513191"/>
      <w:bookmarkStart w:id="2123" w:name="_Toc261513804"/>
      <w:bookmarkStart w:id="2124" w:name="_Toc280630275"/>
      <w:r w:rsidRPr="00BE78CA">
        <w:t>Soil organic carbon</w:t>
      </w:r>
      <w:bookmarkEnd w:id="2121"/>
      <w:bookmarkEnd w:id="2122"/>
      <w:bookmarkEnd w:id="2123"/>
      <w:bookmarkEnd w:id="2124"/>
    </w:p>
    <w:p w14:paraId="4AFB29C9" w14:textId="77777777" w:rsidR="00333601" w:rsidRPr="00BE78CA" w:rsidRDefault="00333601" w:rsidP="00333601">
      <w:pPr>
        <w:pStyle w:val="BodyText"/>
      </w:pPr>
      <w:bookmarkStart w:id="2125" w:name="_Toc255466385"/>
      <w:bookmarkStart w:id="2126" w:name="_Toc261513192"/>
      <w:bookmarkStart w:id="2127" w:name="_Toc261513805"/>
      <w:bookmarkStart w:id="2128" w:name="_Toc280630276"/>
      <w:r w:rsidRPr="00BE78CA">
        <w:t xml:space="preserve">SOC stocks in land converted to annual and perennial cropland are estimated using a Tier 2 method for mineral soils and a Tier 1 method for organic soils, as described in section 6.3. In the absence of data on the rate of change specific to country and land use, the IPCC default of a linear change over a 20-year period is used to estimate the change in SOC stocks between the original and new land uses. </w:t>
      </w:r>
    </w:p>
    <w:p w14:paraId="207EE56E" w14:textId="77777777" w:rsidR="00333601" w:rsidRPr="00BE78CA" w:rsidRDefault="00333601" w:rsidP="00333601">
      <w:pPr>
        <w:pStyle w:val="BodyText"/>
      </w:pPr>
      <w:r w:rsidRPr="00BE78CA">
        <w:t xml:space="preserve">The IPCC default emission factors for organic soils under </w:t>
      </w:r>
      <w:r w:rsidRPr="00BE78CA">
        <w:rPr>
          <w:i/>
        </w:rPr>
        <w:t>Cropland</w:t>
      </w:r>
      <w:r w:rsidRPr="00BE78CA">
        <w:t xml:space="preserve"> are also applied to </w:t>
      </w:r>
      <w:r w:rsidRPr="00BE78CA">
        <w:rPr>
          <w:i/>
        </w:rPr>
        <w:t>Land converted to cropland</w:t>
      </w:r>
      <w:r w:rsidRPr="00BE78CA">
        <w:t>.</w:t>
      </w:r>
    </w:p>
    <w:p w14:paraId="3F346588" w14:textId="77777777" w:rsidR="00333601" w:rsidRPr="00BE78CA" w:rsidRDefault="00333601" w:rsidP="00333601">
      <w:pPr>
        <w:pStyle w:val="Heading5"/>
        <w:spacing w:before="160"/>
      </w:pPr>
      <w:r w:rsidRPr="00BE78CA">
        <w:t>Non-CO</w:t>
      </w:r>
      <w:r w:rsidRPr="00BE78CA">
        <w:rPr>
          <w:vertAlign w:val="subscript"/>
        </w:rPr>
        <w:t>2</w:t>
      </w:r>
      <w:r w:rsidRPr="00BE78CA">
        <w:t xml:space="preserve"> emissions</w:t>
      </w:r>
      <w:bookmarkEnd w:id="2125"/>
      <w:bookmarkEnd w:id="2126"/>
      <w:bookmarkEnd w:id="2127"/>
      <w:bookmarkEnd w:id="2128"/>
    </w:p>
    <w:p w14:paraId="5827F190" w14:textId="77777777" w:rsidR="00333601" w:rsidRPr="00BE78CA" w:rsidRDefault="00333601" w:rsidP="00333601">
      <w:pPr>
        <w:pStyle w:val="Heading6"/>
        <w:spacing w:before="120"/>
      </w:pPr>
      <w:bookmarkStart w:id="2129" w:name="_Toc255466386"/>
      <w:bookmarkStart w:id="2130" w:name="_Toc261513193"/>
      <w:bookmarkStart w:id="2131" w:name="_Toc261513806"/>
      <w:r w:rsidRPr="00BE78CA">
        <w:t>Nitrous oxide emissions from disturbance associated with land-use conversion to cropland</w:t>
      </w:r>
      <w:bookmarkEnd w:id="2129"/>
      <w:bookmarkEnd w:id="2130"/>
      <w:bookmarkEnd w:id="2131"/>
    </w:p>
    <w:p w14:paraId="0F6B1561" w14:textId="77777777" w:rsidR="00333601" w:rsidRPr="00BE78CA" w:rsidRDefault="00333601" w:rsidP="00333601">
      <w:pPr>
        <w:pStyle w:val="BodyText"/>
      </w:pPr>
      <w:r w:rsidRPr="00BE78CA">
        <w:t xml:space="preserve">Nitrous oxide emissions from disturbance associated with land-use conversion to cropland are described in section 6.11.3. </w:t>
      </w:r>
    </w:p>
    <w:p w14:paraId="1A1FEB94" w14:textId="77777777" w:rsidR="00333601" w:rsidRPr="00BE78CA" w:rsidRDefault="00333601" w:rsidP="00333601">
      <w:pPr>
        <w:pStyle w:val="Heading3"/>
        <w:spacing w:before="280"/>
      </w:pPr>
      <w:bookmarkStart w:id="2132" w:name="_Toc139253965"/>
      <w:bookmarkStart w:id="2133" w:name="_Toc255466388"/>
      <w:bookmarkStart w:id="2134" w:name="_Toc261513195"/>
      <w:bookmarkStart w:id="2135" w:name="_Toc261513808"/>
      <w:bookmarkStart w:id="2136" w:name="_Toc280630277"/>
      <w:r w:rsidRPr="00BE78CA">
        <w:t>6.5.3</w:t>
      </w:r>
      <w:r w:rsidRPr="00BE78CA">
        <w:tab/>
        <w:t>Uncertainties and time-series consistency</w:t>
      </w:r>
      <w:bookmarkEnd w:id="2132"/>
      <w:bookmarkEnd w:id="2133"/>
      <w:bookmarkEnd w:id="2134"/>
      <w:bookmarkEnd w:id="2135"/>
      <w:bookmarkEnd w:id="2136"/>
    </w:p>
    <w:p w14:paraId="559D4F3A" w14:textId="77777777" w:rsidR="00333601" w:rsidRPr="00BE78CA" w:rsidRDefault="00333601" w:rsidP="00333601">
      <w:pPr>
        <w:pStyle w:val="BodyText"/>
      </w:pPr>
      <w:r w:rsidRPr="00BE78CA">
        <w:t xml:space="preserve">The uncertainty in mapping </w:t>
      </w:r>
      <w:r w:rsidRPr="00BE78CA">
        <w:rPr>
          <w:i/>
        </w:rPr>
        <w:t>Cropland</w:t>
      </w:r>
      <w:r w:rsidRPr="00BE78CA">
        <w:t xml:space="preserve"> is </w:t>
      </w:r>
      <w:r w:rsidRPr="00BE78CA">
        <w:sym w:font="Symbol" w:char="F0B1"/>
      </w:r>
      <w:r w:rsidRPr="00BE78CA">
        <w:t>8.0 per cent (see table 6.5.6). Further details are given in section 6.2.5 and Dymond et al. (2008).</w:t>
      </w:r>
    </w:p>
    <w:p w14:paraId="0EF54255" w14:textId="77777777" w:rsidR="00333601" w:rsidRPr="00BE78CA" w:rsidRDefault="00333601" w:rsidP="00333601">
      <w:pPr>
        <w:pStyle w:val="BodyText"/>
        <w:spacing w:before="100" w:after="100"/>
      </w:pPr>
      <w:r w:rsidRPr="00BE78CA">
        <w:t xml:space="preserve">New Zealand uses IPCC default values for biomass accumulation in annual cropland. For perennial cropland, a New Zealand-specific emission factor is used (Davis and Wakelin, unpublished). As the perennial and annual cropland emission factors are based on only a limited number of biomass studies, the uncertainty in these figures is estimated as </w:t>
      </w:r>
      <w:r w:rsidRPr="00BE78CA">
        <w:sym w:font="Symbol" w:char="F0B1"/>
      </w:r>
      <w:r w:rsidRPr="00BE78CA">
        <w:t>75 per cent (table 5.9, IPCC, 2006a).</w:t>
      </w:r>
    </w:p>
    <w:p w14:paraId="71FE7DAF" w14:textId="77777777" w:rsidR="00333601" w:rsidRPr="00BE78CA" w:rsidRDefault="00333601" w:rsidP="00333601">
      <w:pPr>
        <w:pStyle w:val="BodyText"/>
        <w:spacing w:before="100" w:after="100"/>
      </w:pPr>
      <w:r w:rsidRPr="00BE78CA">
        <w:lastRenderedPageBreak/>
        <w:t xml:space="preserve">For mineral soils, the uncertainty is </w:t>
      </w:r>
      <w:r w:rsidRPr="00BE78CA">
        <w:sym w:font="Symbol" w:char="F0B1"/>
      </w:r>
      <w:r w:rsidRPr="00BE78CA">
        <w:t xml:space="preserve">9.7 per cent for SOC in annual cropland and </w:t>
      </w:r>
      <w:r w:rsidRPr="00BE78CA">
        <w:sym w:font="Symbol" w:char="F0B1"/>
      </w:r>
      <w:r w:rsidRPr="00BE78CA">
        <w:t>14.1 per cent for SOC in perennial cropland, as calculated from the Tier 2 method estimates of SOC (see table 6.5.6). For organic soils, New Zealand uses IPCC default values for annual and perennial cropland. The uncertainty associated with the IPCC default values is 95 per cent (based on table 2.3, IPCC, 2006a).</w:t>
      </w:r>
    </w:p>
    <w:p w14:paraId="4B28955D" w14:textId="77777777" w:rsidR="00333601" w:rsidRPr="00BE78CA" w:rsidRDefault="00333601" w:rsidP="00333601">
      <w:pPr>
        <w:pStyle w:val="BodyText"/>
        <w:spacing w:before="100" w:after="100"/>
      </w:pPr>
      <w:r w:rsidRPr="00BE78CA">
        <w:t>As shown in table 6.5.6, while uncertainty in activity data is low, the uncertainty in the IPCC default variables dominates the overall uncertainty in the estimate provided by New Zealand.</w:t>
      </w:r>
    </w:p>
    <w:p w14:paraId="6EF6F51D" w14:textId="77777777" w:rsidR="00333601" w:rsidRPr="00BE78CA" w:rsidRDefault="00333601" w:rsidP="00333601">
      <w:pPr>
        <w:pStyle w:val="Table"/>
      </w:pPr>
      <w:bookmarkStart w:id="2137" w:name="_Toc280630463"/>
      <w:bookmarkStart w:id="2138" w:name="_Toc310423419"/>
      <w:bookmarkStart w:id="2139" w:name="_Toc318362712"/>
      <w:bookmarkStart w:id="2140" w:name="_Toc342470774"/>
      <w:bookmarkStart w:id="2141" w:name="_Toc352505014"/>
      <w:bookmarkStart w:id="2142" w:name="_Toc378853305"/>
      <w:bookmarkStart w:id="2143" w:name="_Toc391024103"/>
      <w:bookmarkStart w:id="2144" w:name="_Toc410028846"/>
      <w:bookmarkStart w:id="2145" w:name="_Toc414531474"/>
      <w:bookmarkStart w:id="2146" w:name="_Toc443645387"/>
      <w:bookmarkStart w:id="2147" w:name="_Toc474914606"/>
      <w:bookmarkStart w:id="2148" w:name="_Toc481751570"/>
      <w:bookmarkStart w:id="2149" w:name="_Toc522010627"/>
      <w:bookmarkStart w:id="2150" w:name="_Toc5269532"/>
      <w:bookmarkStart w:id="2151" w:name="_Toc33529406"/>
      <w:bookmarkStart w:id="2152" w:name="_Toc36224612"/>
      <w:bookmarkStart w:id="2153" w:name="_Toc65243609"/>
      <w:bookmarkStart w:id="2154" w:name="_Toc68786499"/>
      <w:r w:rsidRPr="00BE78CA">
        <w:t>Table 6.5.6</w:t>
      </w:r>
      <w:r w:rsidRPr="00BE78CA">
        <w:tab/>
        <w:t>Uncertainty in New Zealand’s 2018 Cropland estimates</w:t>
      </w:r>
      <w:bookmarkEnd w:id="2137"/>
      <w:bookmarkEnd w:id="2138"/>
      <w:bookmarkEnd w:id="2139"/>
      <w:bookmarkEnd w:id="2140"/>
      <w:r w:rsidRPr="00BE78CA">
        <w:t xml:space="preserve"> (including land in transition)</w:t>
      </w:r>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p>
    <w:tbl>
      <w:tblPr>
        <w:tblW w:w="8505" w:type="dxa"/>
        <w:tblLook w:val="04A0" w:firstRow="1" w:lastRow="0" w:firstColumn="1" w:lastColumn="0" w:noHBand="0" w:noVBand="1"/>
      </w:tblPr>
      <w:tblGrid>
        <w:gridCol w:w="4719"/>
        <w:gridCol w:w="1788"/>
        <w:gridCol w:w="1998"/>
      </w:tblGrid>
      <w:tr w:rsidR="00333601" w:rsidRPr="00BE78CA" w14:paraId="17EE6CDB" w14:textId="77777777" w:rsidTr="00791A02">
        <w:tc>
          <w:tcPr>
            <w:tcW w:w="4719" w:type="dxa"/>
            <w:tcBorders>
              <w:top w:val="single" w:sz="4" w:space="0" w:color="365F91"/>
            </w:tcBorders>
            <w:shd w:val="clear" w:color="auto" w:fill="365F91"/>
            <w:noWrap/>
            <w:vAlign w:val="bottom"/>
            <w:hideMark/>
          </w:tcPr>
          <w:p w14:paraId="13263BB2" w14:textId="77777777" w:rsidR="00333601" w:rsidRPr="00BE78CA" w:rsidRDefault="00333601" w:rsidP="00C26084">
            <w:pPr>
              <w:pStyle w:val="TableTextBold"/>
              <w:keepNext/>
              <w:spacing w:before="50"/>
              <w:rPr>
                <w:noProof w:val="0"/>
                <w:color w:val="FFFFFF"/>
              </w:rPr>
            </w:pPr>
            <w:bookmarkStart w:id="2155" w:name="_Toc139253966"/>
            <w:bookmarkStart w:id="2156" w:name="_Toc255466389"/>
            <w:bookmarkStart w:id="2157" w:name="_Toc261513196"/>
            <w:bookmarkStart w:id="2158" w:name="_Toc261513809"/>
            <w:bookmarkStart w:id="2159" w:name="_Toc280630278"/>
          </w:p>
        </w:tc>
        <w:tc>
          <w:tcPr>
            <w:tcW w:w="3786" w:type="dxa"/>
            <w:gridSpan w:val="2"/>
            <w:tcBorders>
              <w:top w:val="single" w:sz="4" w:space="0" w:color="365F91"/>
            </w:tcBorders>
            <w:shd w:val="clear" w:color="auto" w:fill="365F91"/>
            <w:noWrap/>
            <w:hideMark/>
          </w:tcPr>
          <w:p w14:paraId="3CCCCD58" w14:textId="77777777" w:rsidR="00333601" w:rsidRPr="00BE78CA" w:rsidRDefault="00333601" w:rsidP="00C26084">
            <w:pPr>
              <w:pStyle w:val="TableTextBold"/>
              <w:keepNext/>
              <w:spacing w:before="50" w:after="0"/>
              <w:jc w:val="center"/>
              <w:rPr>
                <w:noProof w:val="0"/>
                <w:color w:val="FFFFFF"/>
              </w:rPr>
            </w:pPr>
            <w:r w:rsidRPr="00BE78CA">
              <w:rPr>
                <w:noProof w:val="0"/>
                <w:color w:val="FFFFFF"/>
              </w:rPr>
              <w:t>Uncertainty at a 95% confidence interval</w:t>
            </w:r>
          </w:p>
        </w:tc>
      </w:tr>
      <w:tr w:rsidR="00333601" w:rsidRPr="00BE78CA" w14:paraId="33F7E394" w14:textId="77777777" w:rsidTr="00791A02">
        <w:tc>
          <w:tcPr>
            <w:tcW w:w="4719" w:type="dxa"/>
            <w:tcBorders>
              <w:bottom w:val="single" w:sz="4" w:space="0" w:color="365F91"/>
            </w:tcBorders>
            <w:shd w:val="clear" w:color="auto" w:fill="365F91"/>
            <w:noWrap/>
            <w:vAlign w:val="bottom"/>
          </w:tcPr>
          <w:p w14:paraId="30D2D6C4" w14:textId="77777777" w:rsidR="00333601" w:rsidRPr="00BE78CA" w:rsidRDefault="00333601" w:rsidP="00C26084">
            <w:pPr>
              <w:pStyle w:val="TableTextBold"/>
              <w:keepNext/>
              <w:spacing w:before="0" w:after="50"/>
              <w:rPr>
                <w:noProof w:val="0"/>
                <w:color w:val="FFFFFF"/>
              </w:rPr>
            </w:pPr>
          </w:p>
        </w:tc>
        <w:tc>
          <w:tcPr>
            <w:tcW w:w="1788" w:type="dxa"/>
            <w:tcBorders>
              <w:bottom w:val="single" w:sz="4" w:space="0" w:color="365F91"/>
            </w:tcBorders>
            <w:shd w:val="clear" w:color="auto" w:fill="365F91"/>
            <w:noWrap/>
            <w:vAlign w:val="bottom"/>
          </w:tcPr>
          <w:p w14:paraId="2385E270" w14:textId="77777777" w:rsidR="00333601" w:rsidRPr="00BE78CA" w:rsidRDefault="00333601" w:rsidP="00C26084">
            <w:pPr>
              <w:pStyle w:val="TableTextBold"/>
              <w:keepNext/>
              <w:spacing w:before="0" w:after="50"/>
              <w:jc w:val="center"/>
              <w:rPr>
                <w:noProof w:val="0"/>
                <w:color w:val="FFFFFF"/>
              </w:rPr>
            </w:pPr>
            <w:r w:rsidRPr="00BE78CA">
              <w:rPr>
                <w:noProof w:val="0"/>
                <w:color w:val="FFFFFF"/>
              </w:rPr>
              <w:t>Annual cropland (%)</w:t>
            </w:r>
          </w:p>
        </w:tc>
        <w:tc>
          <w:tcPr>
            <w:tcW w:w="1998" w:type="dxa"/>
            <w:tcBorders>
              <w:bottom w:val="single" w:sz="4" w:space="0" w:color="365F91"/>
            </w:tcBorders>
            <w:shd w:val="clear" w:color="auto" w:fill="365F91"/>
            <w:noWrap/>
            <w:vAlign w:val="bottom"/>
          </w:tcPr>
          <w:p w14:paraId="624CB63B" w14:textId="77777777" w:rsidR="00333601" w:rsidRPr="00BE78CA" w:rsidRDefault="00333601" w:rsidP="00C26084">
            <w:pPr>
              <w:pStyle w:val="TableTextBold"/>
              <w:keepNext/>
              <w:spacing w:before="0" w:after="50"/>
              <w:jc w:val="center"/>
              <w:rPr>
                <w:noProof w:val="0"/>
                <w:color w:val="FFFFFF"/>
              </w:rPr>
            </w:pPr>
            <w:r w:rsidRPr="00BE78CA">
              <w:rPr>
                <w:noProof w:val="0"/>
                <w:color w:val="FFFFFF"/>
              </w:rPr>
              <w:t>Perennial cropland (%)</w:t>
            </w:r>
          </w:p>
        </w:tc>
      </w:tr>
      <w:tr w:rsidR="00333601" w:rsidRPr="00BE78CA" w14:paraId="620DADD8" w14:textId="77777777" w:rsidTr="00791A02">
        <w:tc>
          <w:tcPr>
            <w:tcW w:w="4719" w:type="dxa"/>
            <w:tcBorders>
              <w:top w:val="single" w:sz="4" w:space="0" w:color="365F91"/>
              <w:bottom w:val="single" w:sz="4" w:space="0" w:color="365F91"/>
            </w:tcBorders>
            <w:noWrap/>
            <w:hideMark/>
          </w:tcPr>
          <w:p w14:paraId="47E27F0E" w14:textId="77777777" w:rsidR="00333601" w:rsidRPr="00BE78CA" w:rsidRDefault="00333601" w:rsidP="00C26084">
            <w:pPr>
              <w:pStyle w:val="TableTextBold"/>
              <w:spacing w:before="50" w:after="50"/>
              <w:rPr>
                <w:noProof w:val="0"/>
              </w:rPr>
            </w:pPr>
            <w:r w:rsidRPr="00BE78CA">
              <w:rPr>
                <w:noProof w:val="0"/>
              </w:rPr>
              <w:t>Activity data</w:t>
            </w:r>
          </w:p>
        </w:tc>
        <w:tc>
          <w:tcPr>
            <w:tcW w:w="1788" w:type="dxa"/>
            <w:tcBorders>
              <w:top w:val="single" w:sz="4" w:space="0" w:color="365F91"/>
              <w:bottom w:val="single" w:sz="4" w:space="0" w:color="365F91"/>
            </w:tcBorders>
            <w:noWrap/>
            <w:hideMark/>
          </w:tcPr>
          <w:p w14:paraId="57311134" w14:textId="77777777" w:rsidR="00333601" w:rsidRPr="00BE78CA" w:rsidRDefault="00333601" w:rsidP="00C26084">
            <w:pPr>
              <w:pStyle w:val="TableTextBold"/>
              <w:tabs>
                <w:tab w:val="decimal" w:pos="325"/>
              </w:tabs>
              <w:spacing w:before="50" w:after="50"/>
              <w:jc w:val="center"/>
              <w:rPr>
                <w:noProof w:val="0"/>
              </w:rPr>
            </w:pPr>
          </w:p>
        </w:tc>
        <w:tc>
          <w:tcPr>
            <w:tcW w:w="1998" w:type="dxa"/>
            <w:tcBorders>
              <w:top w:val="single" w:sz="4" w:space="0" w:color="365F91"/>
              <w:bottom w:val="single" w:sz="4" w:space="0" w:color="365F91"/>
            </w:tcBorders>
            <w:noWrap/>
            <w:hideMark/>
          </w:tcPr>
          <w:p w14:paraId="106DDEEC" w14:textId="77777777" w:rsidR="00333601" w:rsidRPr="00BE78CA" w:rsidRDefault="00333601" w:rsidP="00C26084">
            <w:pPr>
              <w:pStyle w:val="TableTextBold"/>
              <w:tabs>
                <w:tab w:val="decimal" w:pos="325"/>
              </w:tabs>
              <w:spacing w:before="50" w:after="50"/>
              <w:jc w:val="center"/>
              <w:rPr>
                <w:noProof w:val="0"/>
              </w:rPr>
            </w:pPr>
          </w:p>
        </w:tc>
      </w:tr>
      <w:tr w:rsidR="00333601" w:rsidRPr="00BE78CA" w14:paraId="077472AA" w14:textId="77777777" w:rsidTr="00791A02">
        <w:tc>
          <w:tcPr>
            <w:tcW w:w="4719" w:type="dxa"/>
            <w:tcBorders>
              <w:top w:val="single" w:sz="4" w:space="0" w:color="365F91"/>
              <w:bottom w:val="single" w:sz="4" w:space="0" w:color="365F91"/>
            </w:tcBorders>
            <w:noWrap/>
            <w:hideMark/>
          </w:tcPr>
          <w:p w14:paraId="41D31474" w14:textId="77777777" w:rsidR="00333601" w:rsidRPr="00BE78CA" w:rsidRDefault="00333601" w:rsidP="00C26084">
            <w:pPr>
              <w:pStyle w:val="TableText"/>
              <w:spacing w:before="50" w:after="50"/>
            </w:pPr>
            <w:r w:rsidRPr="00BE78CA">
              <w:t>Uncertainty in land area</w:t>
            </w:r>
          </w:p>
        </w:tc>
        <w:tc>
          <w:tcPr>
            <w:tcW w:w="1788" w:type="dxa"/>
            <w:tcBorders>
              <w:top w:val="single" w:sz="4" w:space="0" w:color="365F91"/>
              <w:bottom w:val="single" w:sz="4" w:space="0" w:color="365F91"/>
            </w:tcBorders>
            <w:noWrap/>
            <w:hideMark/>
          </w:tcPr>
          <w:p w14:paraId="59C48FF0" w14:textId="77777777" w:rsidR="00333601" w:rsidRPr="00BE78CA" w:rsidRDefault="00333601" w:rsidP="00C26084">
            <w:pPr>
              <w:pStyle w:val="TableText"/>
              <w:tabs>
                <w:tab w:val="decimal" w:pos="325"/>
              </w:tabs>
              <w:spacing w:before="50" w:after="50"/>
              <w:jc w:val="center"/>
            </w:pPr>
            <w:r w:rsidRPr="00BE78CA">
              <w:t>±8.0</w:t>
            </w:r>
          </w:p>
        </w:tc>
        <w:tc>
          <w:tcPr>
            <w:tcW w:w="1998" w:type="dxa"/>
            <w:tcBorders>
              <w:top w:val="single" w:sz="4" w:space="0" w:color="365F91"/>
              <w:bottom w:val="single" w:sz="4" w:space="0" w:color="365F91"/>
            </w:tcBorders>
            <w:noWrap/>
            <w:hideMark/>
          </w:tcPr>
          <w:p w14:paraId="64D2D64F" w14:textId="77777777" w:rsidR="00333601" w:rsidRPr="00BE78CA" w:rsidRDefault="00333601" w:rsidP="00C26084">
            <w:pPr>
              <w:pStyle w:val="TableText"/>
              <w:tabs>
                <w:tab w:val="decimal" w:pos="325"/>
              </w:tabs>
              <w:spacing w:before="50" w:after="50"/>
              <w:jc w:val="center"/>
            </w:pPr>
            <w:r w:rsidRPr="00BE78CA">
              <w:t>±8.0</w:t>
            </w:r>
          </w:p>
        </w:tc>
      </w:tr>
      <w:tr w:rsidR="00333601" w:rsidRPr="00BE78CA" w14:paraId="01AA58AA" w14:textId="77777777" w:rsidTr="00791A02">
        <w:tc>
          <w:tcPr>
            <w:tcW w:w="4719" w:type="dxa"/>
            <w:tcBorders>
              <w:top w:val="single" w:sz="4" w:space="0" w:color="365F91"/>
              <w:bottom w:val="single" w:sz="4" w:space="0" w:color="365F91"/>
            </w:tcBorders>
            <w:noWrap/>
            <w:hideMark/>
          </w:tcPr>
          <w:p w14:paraId="195F8EB2" w14:textId="77777777" w:rsidR="00333601" w:rsidRPr="00BE78CA" w:rsidRDefault="00333601" w:rsidP="00C26084">
            <w:pPr>
              <w:pStyle w:val="TableTextBold"/>
              <w:spacing w:before="50" w:after="50"/>
              <w:rPr>
                <w:noProof w:val="0"/>
              </w:rPr>
            </w:pPr>
            <w:r w:rsidRPr="00BE78CA">
              <w:rPr>
                <w:noProof w:val="0"/>
              </w:rPr>
              <w:t>Emission factors</w:t>
            </w:r>
          </w:p>
        </w:tc>
        <w:tc>
          <w:tcPr>
            <w:tcW w:w="1788" w:type="dxa"/>
            <w:tcBorders>
              <w:top w:val="single" w:sz="4" w:space="0" w:color="365F91"/>
              <w:bottom w:val="single" w:sz="4" w:space="0" w:color="365F91"/>
            </w:tcBorders>
            <w:noWrap/>
            <w:hideMark/>
          </w:tcPr>
          <w:p w14:paraId="01F1F937" w14:textId="77777777" w:rsidR="00333601" w:rsidRPr="00BE78CA" w:rsidRDefault="00333601" w:rsidP="00C26084">
            <w:pPr>
              <w:pStyle w:val="TableTextBold"/>
              <w:tabs>
                <w:tab w:val="decimal" w:pos="325"/>
              </w:tabs>
              <w:spacing w:before="50" w:after="50"/>
              <w:jc w:val="center"/>
              <w:rPr>
                <w:noProof w:val="0"/>
              </w:rPr>
            </w:pPr>
          </w:p>
        </w:tc>
        <w:tc>
          <w:tcPr>
            <w:tcW w:w="1998" w:type="dxa"/>
            <w:tcBorders>
              <w:top w:val="single" w:sz="4" w:space="0" w:color="365F91"/>
              <w:bottom w:val="single" w:sz="4" w:space="0" w:color="365F91"/>
            </w:tcBorders>
            <w:noWrap/>
            <w:hideMark/>
          </w:tcPr>
          <w:p w14:paraId="3AF26F73" w14:textId="77777777" w:rsidR="00333601" w:rsidRPr="00BE78CA" w:rsidRDefault="00333601" w:rsidP="00C26084">
            <w:pPr>
              <w:pStyle w:val="TableTextBold"/>
              <w:tabs>
                <w:tab w:val="decimal" w:pos="325"/>
              </w:tabs>
              <w:spacing w:before="50" w:after="50"/>
              <w:jc w:val="center"/>
              <w:rPr>
                <w:noProof w:val="0"/>
              </w:rPr>
            </w:pPr>
          </w:p>
        </w:tc>
      </w:tr>
      <w:tr w:rsidR="00333601" w:rsidRPr="00BE78CA" w14:paraId="31B9D24D" w14:textId="77777777" w:rsidTr="00791A02">
        <w:tc>
          <w:tcPr>
            <w:tcW w:w="4719" w:type="dxa"/>
            <w:tcBorders>
              <w:top w:val="single" w:sz="4" w:space="0" w:color="365F91"/>
              <w:bottom w:val="single" w:sz="4" w:space="0" w:color="365F91"/>
            </w:tcBorders>
            <w:noWrap/>
            <w:hideMark/>
          </w:tcPr>
          <w:p w14:paraId="7F18199E" w14:textId="77777777" w:rsidR="00333601" w:rsidRPr="00BE78CA" w:rsidRDefault="00333601" w:rsidP="00C26084">
            <w:pPr>
              <w:pStyle w:val="TableText"/>
              <w:spacing w:before="50" w:after="50"/>
            </w:pPr>
            <w:r w:rsidRPr="00BE78CA">
              <w:t>Uncertainty in biomass carbon stocks</w:t>
            </w:r>
          </w:p>
        </w:tc>
        <w:tc>
          <w:tcPr>
            <w:tcW w:w="1788" w:type="dxa"/>
            <w:tcBorders>
              <w:top w:val="single" w:sz="4" w:space="0" w:color="365F91"/>
              <w:bottom w:val="single" w:sz="4" w:space="0" w:color="365F91"/>
            </w:tcBorders>
            <w:noWrap/>
            <w:hideMark/>
          </w:tcPr>
          <w:p w14:paraId="5A9BB484" w14:textId="77777777" w:rsidR="00333601" w:rsidRPr="00BE78CA" w:rsidRDefault="00333601" w:rsidP="00C26084">
            <w:pPr>
              <w:pStyle w:val="TableText"/>
              <w:tabs>
                <w:tab w:val="decimal" w:pos="325"/>
              </w:tabs>
              <w:spacing w:before="50" w:after="50"/>
              <w:jc w:val="center"/>
            </w:pPr>
            <w:r w:rsidRPr="00BE78CA">
              <w:t>±75.0</w:t>
            </w:r>
          </w:p>
        </w:tc>
        <w:tc>
          <w:tcPr>
            <w:tcW w:w="1998" w:type="dxa"/>
            <w:tcBorders>
              <w:top w:val="single" w:sz="4" w:space="0" w:color="365F91"/>
              <w:bottom w:val="single" w:sz="4" w:space="0" w:color="365F91"/>
            </w:tcBorders>
            <w:noWrap/>
            <w:hideMark/>
          </w:tcPr>
          <w:p w14:paraId="2269038C" w14:textId="77777777" w:rsidR="00333601" w:rsidRPr="00BE78CA" w:rsidRDefault="00333601" w:rsidP="00C26084">
            <w:pPr>
              <w:pStyle w:val="TableText"/>
              <w:tabs>
                <w:tab w:val="decimal" w:pos="325"/>
              </w:tabs>
              <w:spacing w:before="50" w:after="50"/>
              <w:jc w:val="center"/>
            </w:pPr>
            <w:r w:rsidRPr="00BE78CA">
              <w:t>±75.0</w:t>
            </w:r>
          </w:p>
        </w:tc>
      </w:tr>
      <w:tr w:rsidR="00333601" w:rsidRPr="00BE78CA" w14:paraId="57D58ED2" w14:textId="77777777" w:rsidTr="00791A02">
        <w:tc>
          <w:tcPr>
            <w:tcW w:w="4719" w:type="dxa"/>
            <w:tcBorders>
              <w:top w:val="single" w:sz="4" w:space="0" w:color="365F91"/>
              <w:bottom w:val="single" w:sz="4" w:space="0" w:color="365F91"/>
            </w:tcBorders>
            <w:noWrap/>
            <w:hideMark/>
          </w:tcPr>
          <w:p w14:paraId="40C58F8A" w14:textId="77777777" w:rsidR="00333601" w:rsidRPr="00BE78CA" w:rsidRDefault="00333601" w:rsidP="00C26084">
            <w:pPr>
              <w:pStyle w:val="TableText"/>
              <w:spacing w:before="50" w:after="50"/>
            </w:pPr>
            <w:r w:rsidRPr="00BE78CA">
              <w:t>Uncertainty in soil carbon stocks</w:t>
            </w:r>
          </w:p>
        </w:tc>
        <w:tc>
          <w:tcPr>
            <w:tcW w:w="1788" w:type="dxa"/>
            <w:tcBorders>
              <w:top w:val="single" w:sz="4" w:space="0" w:color="365F91"/>
              <w:bottom w:val="single" w:sz="4" w:space="0" w:color="365F91"/>
            </w:tcBorders>
            <w:noWrap/>
            <w:hideMark/>
          </w:tcPr>
          <w:p w14:paraId="76208A7B" w14:textId="77777777" w:rsidR="00333601" w:rsidRPr="00BE78CA" w:rsidRDefault="00333601" w:rsidP="00C26084">
            <w:pPr>
              <w:pStyle w:val="TableText"/>
              <w:tabs>
                <w:tab w:val="decimal" w:pos="325"/>
              </w:tabs>
              <w:spacing w:before="50" w:after="50"/>
              <w:jc w:val="center"/>
            </w:pPr>
            <w:r w:rsidRPr="00BE78CA">
              <w:t>±9.7</w:t>
            </w:r>
          </w:p>
        </w:tc>
        <w:tc>
          <w:tcPr>
            <w:tcW w:w="1998" w:type="dxa"/>
            <w:tcBorders>
              <w:top w:val="single" w:sz="4" w:space="0" w:color="365F91"/>
              <w:bottom w:val="single" w:sz="4" w:space="0" w:color="365F91"/>
            </w:tcBorders>
            <w:noWrap/>
            <w:hideMark/>
          </w:tcPr>
          <w:p w14:paraId="596D795B" w14:textId="77777777" w:rsidR="00333601" w:rsidRPr="00BE78CA" w:rsidRDefault="00333601" w:rsidP="00C26084">
            <w:pPr>
              <w:pStyle w:val="TableText"/>
              <w:tabs>
                <w:tab w:val="decimal" w:pos="325"/>
              </w:tabs>
              <w:spacing w:before="50" w:after="50"/>
              <w:jc w:val="center"/>
            </w:pPr>
            <w:r w:rsidRPr="00BE78CA">
              <w:t>±14.1</w:t>
            </w:r>
          </w:p>
        </w:tc>
      </w:tr>
      <w:tr w:rsidR="00333601" w:rsidRPr="00BE78CA" w14:paraId="74AE91E7" w14:textId="77777777" w:rsidTr="00791A02">
        <w:tc>
          <w:tcPr>
            <w:tcW w:w="4719" w:type="dxa"/>
            <w:tcBorders>
              <w:top w:val="single" w:sz="4" w:space="0" w:color="365F91"/>
              <w:bottom w:val="single" w:sz="4" w:space="0" w:color="365F91"/>
            </w:tcBorders>
            <w:noWrap/>
            <w:hideMark/>
          </w:tcPr>
          <w:p w14:paraId="36D4E44F" w14:textId="77777777" w:rsidR="00333601" w:rsidRPr="00BE78CA" w:rsidRDefault="00333601" w:rsidP="00C26084">
            <w:pPr>
              <w:pStyle w:val="Tableboldblue"/>
              <w:spacing w:before="50" w:after="50"/>
            </w:pPr>
            <w:r w:rsidRPr="00BE78CA">
              <w:t>Uncertainty introduced into net emissions for LULUCF</w:t>
            </w:r>
          </w:p>
        </w:tc>
        <w:tc>
          <w:tcPr>
            <w:tcW w:w="1788" w:type="dxa"/>
            <w:tcBorders>
              <w:top w:val="single" w:sz="4" w:space="0" w:color="365F91"/>
              <w:bottom w:val="single" w:sz="4" w:space="0" w:color="365F91"/>
            </w:tcBorders>
            <w:noWrap/>
            <w:hideMark/>
          </w:tcPr>
          <w:p w14:paraId="20477242" w14:textId="77777777" w:rsidR="00333601" w:rsidRPr="00BE78CA" w:rsidRDefault="00333601" w:rsidP="00C26084">
            <w:pPr>
              <w:pStyle w:val="Tableboldblue"/>
              <w:tabs>
                <w:tab w:val="decimal" w:pos="323"/>
              </w:tabs>
              <w:spacing w:before="50" w:after="50"/>
              <w:jc w:val="center"/>
            </w:pPr>
            <w:r w:rsidRPr="00BE78CA">
              <w:t>±0.9</w:t>
            </w:r>
          </w:p>
        </w:tc>
        <w:tc>
          <w:tcPr>
            <w:tcW w:w="1998" w:type="dxa"/>
            <w:tcBorders>
              <w:top w:val="single" w:sz="4" w:space="0" w:color="365F91"/>
              <w:bottom w:val="single" w:sz="4" w:space="0" w:color="365F91"/>
            </w:tcBorders>
            <w:noWrap/>
            <w:hideMark/>
          </w:tcPr>
          <w:p w14:paraId="6FF7135C" w14:textId="77777777" w:rsidR="00333601" w:rsidRPr="00BE78CA" w:rsidRDefault="00333601" w:rsidP="00C26084">
            <w:pPr>
              <w:pStyle w:val="Tableboldblue"/>
              <w:tabs>
                <w:tab w:val="decimal" w:pos="323"/>
              </w:tabs>
              <w:spacing w:before="50" w:after="50"/>
              <w:jc w:val="center"/>
            </w:pPr>
            <w:r w:rsidRPr="00BE78CA">
              <w:t>±0.3</w:t>
            </w:r>
          </w:p>
        </w:tc>
      </w:tr>
    </w:tbl>
    <w:p w14:paraId="682030E5" w14:textId="77777777" w:rsidR="00333601" w:rsidRPr="00BE78CA" w:rsidRDefault="00333601" w:rsidP="00333601">
      <w:pPr>
        <w:pStyle w:val="Heading3"/>
      </w:pPr>
      <w:r w:rsidRPr="00BE78CA">
        <w:t>6.5.4</w:t>
      </w:r>
      <w:r w:rsidRPr="00BE78CA">
        <w:tab/>
        <w:t>Category-specific QA/QC and verification</w:t>
      </w:r>
      <w:bookmarkEnd w:id="2155"/>
      <w:bookmarkEnd w:id="2156"/>
      <w:bookmarkEnd w:id="2157"/>
      <w:bookmarkEnd w:id="2158"/>
      <w:bookmarkEnd w:id="2159"/>
    </w:p>
    <w:p w14:paraId="3600A346" w14:textId="77777777" w:rsidR="00333601" w:rsidRPr="00BE78CA" w:rsidRDefault="00333601" w:rsidP="00333601">
      <w:pPr>
        <w:pStyle w:val="BodyText"/>
        <w:spacing w:before="100" w:after="100"/>
      </w:pPr>
      <w:r w:rsidRPr="00BE78CA">
        <w:t>In the preparation of this inventory, the data for CO</w:t>
      </w:r>
      <w:r w:rsidRPr="00BE78CA">
        <w:rPr>
          <w:vertAlign w:val="subscript"/>
        </w:rPr>
        <w:t>2</w:t>
      </w:r>
      <w:r w:rsidRPr="00BE78CA">
        <w:t xml:space="preserve"> emissions from the conversion to </w:t>
      </w:r>
      <w:r w:rsidRPr="00BE78CA">
        <w:rPr>
          <w:i/>
        </w:rPr>
        <w:t>Cropland</w:t>
      </w:r>
      <w:r w:rsidRPr="00BE78CA">
        <w:t xml:space="preserve"> category underwent Tier 1 quality checks. </w:t>
      </w:r>
      <w:r w:rsidRPr="00BE78CA">
        <w:rPr>
          <w:i/>
        </w:rPr>
        <w:t>Cropland remaining cropland</w:t>
      </w:r>
      <w:r w:rsidRPr="00BE78CA">
        <w:t xml:space="preserve"> was a key category in 2019 (level and trend assessment). </w:t>
      </w:r>
    </w:p>
    <w:p w14:paraId="5184855A" w14:textId="77777777" w:rsidR="00333601" w:rsidRPr="00BE78CA" w:rsidRDefault="00333601" w:rsidP="00333601">
      <w:pPr>
        <w:pStyle w:val="BodyText"/>
        <w:spacing w:before="100" w:after="100"/>
        <w:rPr>
          <w:spacing w:val="-2"/>
        </w:rPr>
      </w:pPr>
      <w:r w:rsidRPr="00BE78CA">
        <w:rPr>
          <w:spacing w:val="-2"/>
        </w:rPr>
        <w:t>As part of verification of the New Zealand-specific above-ground biomass emission factor for perennial cropland, this factor has been compared with the IPCC default for temperate perennial cropland (table 5.1, IPCC, 2006a). The New Zealand value for above-ground biomass of 18.76 tonnes C ha</w:t>
      </w:r>
      <w:r w:rsidRPr="00BE78CA">
        <w:rPr>
          <w:spacing w:val="-2"/>
          <w:vertAlign w:val="superscript"/>
        </w:rPr>
        <w:t xml:space="preserve">–1 </w:t>
      </w:r>
      <w:r w:rsidRPr="00BE78CA">
        <w:rPr>
          <w:spacing w:val="-2"/>
        </w:rPr>
        <w:t>is much lower than the default value of 63 tonnes C ha</w:t>
      </w:r>
      <w:r w:rsidRPr="00BE78CA">
        <w:rPr>
          <w:spacing w:val="-2"/>
          <w:vertAlign w:val="superscript"/>
        </w:rPr>
        <w:t>–1</w:t>
      </w:r>
      <w:r w:rsidRPr="00BE78CA">
        <w:rPr>
          <w:spacing w:val="-2"/>
        </w:rPr>
        <w:t xml:space="preserve"> provided in the 2006 IPCC Guidelines (IPCC, 2006a). Further research into the differences between the values has shown the IPCC default value is based on just four studies of agroforestry systems where crops are grown in rotation with trees, and none of these studies is New Zealand specific. While the country-specific emission factor used is based on a New Zealand study, it takes into account that New Zealand’s main perennial crops are not grown in rotation with trees (i.e., are not part of an agroforestry system) and that a proportion of New Zealand’s main perennial crops is vine fruit (i.e., kiwifruit and grapes). This means it has lower carbon content per area in living biomass at maturity than the cropland types included in the study on which the IPCC default value is based. </w:t>
      </w:r>
    </w:p>
    <w:p w14:paraId="63FCAE20" w14:textId="77777777" w:rsidR="00333601" w:rsidRPr="00BE78CA" w:rsidRDefault="00333601" w:rsidP="00333601">
      <w:pPr>
        <w:pStyle w:val="Heading3"/>
      </w:pPr>
      <w:bookmarkStart w:id="2160" w:name="_Toc139253967"/>
      <w:bookmarkStart w:id="2161" w:name="_Toc255466390"/>
      <w:bookmarkStart w:id="2162" w:name="_Toc261513197"/>
      <w:bookmarkStart w:id="2163" w:name="_Toc261513810"/>
      <w:bookmarkStart w:id="2164" w:name="_Toc280630279"/>
      <w:r w:rsidRPr="00BE78CA">
        <w:t>6.5.5</w:t>
      </w:r>
      <w:r w:rsidRPr="00BE78CA">
        <w:tab/>
        <w:t>Category-specific recalculations</w:t>
      </w:r>
      <w:bookmarkEnd w:id="2160"/>
      <w:bookmarkEnd w:id="2161"/>
      <w:bookmarkEnd w:id="2162"/>
      <w:bookmarkEnd w:id="2163"/>
      <w:bookmarkEnd w:id="2164"/>
    </w:p>
    <w:p w14:paraId="6FB0F90F" w14:textId="77777777" w:rsidR="00333601" w:rsidRPr="00BE78CA" w:rsidRDefault="00333601" w:rsidP="00333601">
      <w:pPr>
        <w:pStyle w:val="BodyText"/>
        <w:spacing w:before="100" w:after="100"/>
      </w:pPr>
      <w:r w:rsidRPr="00BE78CA">
        <w:rPr>
          <w:spacing w:val="-2"/>
        </w:rPr>
        <w:t>The impact of recalculations on net CO</w:t>
      </w:r>
      <w:r w:rsidRPr="00BE78CA">
        <w:rPr>
          <w:spacing w:val="-2"/>
          <w:vertAlign w:val="subscript"/>
        </w:rPr>
        <w:t>2</w:t>
      </w:r>
      <w:r w:rsidRPr="00BE78CA">
        <w:rPr>
          <w:spacing w:val="-2"/>
        </w:rPr>
        <w:t xml:space="preserve">-e emission estimates for the </w:t>
      </w:r>
      <w:r w:rsidRPr="00BE78CA">
        <w:rPr>
          <w:i/>
          <w:spacing w:val="-2"/>
        </w:rPr>
        <w:t>Cropland</w:t>
      </w:r>
      <w:r w:rsidRPr="00BE78CA">
        <w:rPr>
          <w:spacing w:val="-2"/>
        </w:rPr>
        <w:t xml:space="preserve"> category is shown in table 6.5.7. Recalculations of the entire time series were carried out for this category as a result of updated activity data resulting from improvements made to the land use maps. However, none of the mapping improvement activities carried out this year were targeted at the </w:t>
      </w:r>
      <w:r w:rsidRPr="00BE78CA">
        <w:rPr>
          <w:i/>
          <w:spacing w:val="-2"/>
        </w:rPr>
        <w:t>Cropland</w:t>
      </w:r>
      <w:r w:rsidRPr="00BE78CA">
        <w:rPr>
          <w:spacing w:val="-2"/>
        </w:rPr>
        <w:t xml:space="preserve"> category.</w:t>
      </w:r>
      <w:r w:rsidRPr="00BE78CA" w:rsidDel="00FC029E">
        <w:rPr>
          <w:spacing w:val="-2"/>
        </w:rPr>
        <w:t xml:space="preserve"> </w:t>
      </w:r>
    </w:p>
    <w:p w14:paraId="734FA2D1" w14:textId="77777777" w:rsidR="00333601" w:rsidRPr="00BE78CA" w:rsidRDefault="00333601" w:rsidP="00333601">
      <w:pPr>
        <w:pStyle w:val="Table"/>
      </w:pPr>
      <w:bookmarkStart w:id="2165" w:name="_Toc280630464"/>
      <w:bookmarkStart w:id="2166" w:name="_Toc310423420"/>
      <w:bookmarkStart w:id="2167" w:name="_Toc318362713"/>
      <w:bookmarkStart w:id="2168" w:name="_Toc342470775"/>
      <w:bookmarkStart w:id="2169" w:name="_Toc352505015"/>
      <w:bookmarkStart w:id="2170" w:name="_Toc378853306"/>
      <w:bookmarkStart w:id="2171" w:name="_Toc391024104"/>
      <w:bookmarkStart w:id="2172" w:name="_Toc410028847"/>
      <w:bookmarkStart w:id="2173" w:name="_Toc414531475"/>
      <w:bookmarkStart w:id="2174" w:name="_Toc443645388"/>
      <w:bookmarkStart w:id="2175" w:name="_Toc474914607"/>
      <w:bookmarkStart w:id="2176" w:name="_Toc481751571"/>
      <w:bookmarkStart w:id="2177" w:name="_Toc522010628"/>
      <w:bookmarkStart w:id="2178" w:name="_Toc5269533"/>
      <w:bookmarkStart w:id="2179" w:name="_Toc33529407"/>
      <w:bookmarkStart w:id="2180" w:name="_Toc36224613"/>
      <w:bookmarkStart w:id="2181" w:name="_Toc65243610"/>
      <w:bookmarkStart w:id="2182" w:name="_Toc68786500"/>
      <w:r w:rsidRPr="00BE78CA">
        <w:t>Table 6.5.7</w:t>
      </w:r>
      <w:r w:rsidRPr="00BE78CA">
        <w:tab/>
        <w:t>Recalculations of New Zealand’s net emissions from the Cropland category in 1990 and</w:t>
      </w:r>
      <w:bookmarkEnd w:id="2165"/>
      <w:bookmarkEnd w:id="2166"/>
      <w:bookmarkEnd w:id="2167"/>
      <w:bookmarkEnd w:id="2168"/>
      <w:bookmarkEnd w:id="2169"/>
      <w:bookmarkEnd w:id="2170"/>
      <w:bookmarkEnd w:id="2171"/>
      <w:r w:rsidRPr="00BE78CA">
        <w:t> 201</w:t>
      </w:r>
      <w:bookmarkEnd w:id="2172"/>
      <w:bookmarkEnd w:id="2173"/>
      <w:bookmarkEnd w:id="2174"/>
      <w:r w:rsidRPr="00BE78CA">
        <w:t>8</w:t>
      </w:r>
      <w:bookmarkEnd w:id="2175"/>
      <w:bookmarkEnd w:id="2176"/>
      <w:bookmarkEnd w:id="2177"/>
      <w:bookmarkEnd w:id="2178"/>
      <w:bookmarkEnd w:id="2179"/>
      <w:bookmarkEnd w:id="2180"/>
      <w:bookmarkEnd w:id="2181"/>
      <w:bookmarkEnd w:id="2182"/>
    </w:p>
    <w:tbl>
      <w:tblPr>
        <w:tblW w:w="8505" w:type="dxa"/>
        <w:tblLayout w:type="fixed"/>
        <w:tblLook w:val="04A0" w:firstRow="1" w:lastRow="0" w:firstColumn="1" w:lastColumn="0" w:noHBand="0" w:noVBand="1"/>
      </w:tblPr>
      <w:tblGrid>
        <w:gridCol w:w="1109"/>
        <w:gridCol w:w="1849"/>
        <w:gridCol w:w="1849"/>
        <w:gridCol w:w="1849"/>
        <w:gridCol w:w="1849"/>
      </w:tblGrid>
      <w:tr w:rsidR="00333601" w:rsidRPr="00BE78CA" w14:paraId="2E807C50" w14:textId="77777777" w:rsidTr="00791A02">
        <w:tc>
          <w:tcPr>
            <w:tcW w:w="1109" w:type="dxa"/>
            <w:vMerge w:val="restart"/>
            <w:tcBorders>
              <w:top w:val="single" w:sz="4" w:space="0" w:color="365F91"/>
            </w:tcBorders>
            <w:shd w:val="clear" w:color="auto" w:fill="365F91"/>
            <w:vAlign w:val="bottom"/>
          </w:tcPr>
          <w:p w14:paraId="51261B32" w14:textId="77777777" w:rsidR="00333601" w:rsidRPr="00BE78CA" w:rsidRDefault="00333601" w:rsidP="00C26084">
            <w:pPr>
              <w:pStyle w:val="TableTextBold"/>
              <w:keepNext/>
              <w:spacing w:before="50" w:after="50"/>
              <w:rPr>
                <w:noProof w:val="0"/>
                <w:color w:val="FFFFFF"/>
              </w:rPr>
            </w:pPr>
            <w:r w:rsidRPr="00BE78CA">
              <w:rPr>
                <w:noProof w:val="0"/>
                <w:color w:val="FFFFFF"/>
              </w:rPr>
              <w:t>Year</w:t>
            </w:r>
          </w:p>
        </w:tc>
        <w:tc>
          <w:tcPr>
            <w:tcW w:w="3698" w:type="dxa"/>
            <w:gridSpan w:val="2"/>
            <w:tcBorders>
              <w:top w:val="single" w:sz="4" w:space="0" w:color="365F91"/>
            </w:tcBorders>
            <w:shd w:val="clear" w:color="auto" w:fill="365F91"/>
            <w:noWrap/>
            <w:vAlign w:val="bottom"/>
          </w:tcPr>
          <w:p w14:paraId="3DEE1CF7" w14:textId="77777777" w:rsidR="00333601" w:rsidRPr="00BE78CA" w:rsidRDefault="00333601" w:rsidP="00C26084">
            <w:pPr>
              <w:pStyle w:val="TableTextBold"/>
              <w:keepNext/>
              <w:spacing w:before="50" w:after="0"/>
              <w:jc w:val="center"/>
              <w:rPr>
                <w:noProof w:val="0"/>
                <w:color w:val="FFFFFF"/>
              </w:rPr>
            </w:pPr>
            <w:r w:rsidRPr="00BE78CA">
              <w:rPr>
                <w:noProof w:val="0"/>
                <w:color w:val="FFFFFF"/>
              </w:rPr>
              <w:t>Net emissions (kt CO</w:t>
            </w:r>
            <w:r w:rsidRPr="00BE78CA">
              <w:rPr>
                <w:noProof w:val="0"/>
                <w:color w:val="FFFFFF"/>
                <w:vertAlign w:val="subscript"/>
              </w:rPr>
              <w:t>2</w:t>
            </w:r>
            <w:r w:rsidRPr="00BE78CA">
              <w:rPr>
                <w:noProof w:val="0"/>
                <w:color w:val="FFFFFF"/>
              </w:rPr>
              <w:t>-e)</w:t>
            </w:r>
          </w:p>
        </w:tc>
        <w:tc>
          <w:tcPr>
            <w:tcW w:w="3698" w:type="dxa"/>
            <w:gridSpan w:val="2"/>
            <w:tcBorders>
              <w:top w:val="single" w:sz="4" w:space="0" w:color="365F91"/>
            </w:tcBorders>
            <w:shd w:val="clear" w:color="auto" w:fill="365F91"/>
            <w:vAlign w:val="bottom"/>
          </w:tcPr>
          <w:p w14:paraId="72D9F45D" w14:textId="77777777" w:rsidR="00333601" w:rsidRPr="00BE78CA" w:rsidRDefault="00333601" w:rsidP="00C26084">
            <w:pPr>
              <w:pStyle w:val="TableTextBold"/>
              <w:keepNext/>
              <w:spacing w:before="50" w:after="0"/>
              <w:jc w:val="center"/>
              <w:rPr>
                <w:noProof w:val="0"/>
                <w:color w:val="FFFFFF"/>
              </w:rPr>
            </w:pPr>
            <w:r w:rsidRPr="00BE78CA">
              <w:rPr>
                <w:noProof w:val="0"/>
                <w:color w:val="FFFFFF"/>
              </w:rPr>
              <w:t>Change from the 2020 submission</w:t>
            </w:r>
          </w:p>
        </w:tc>
      </w:tr>
      <w:tr w:rsidR="00333601" w:rsidRPr="00BE78CA" w14:paraId="0B4B965A" w14:textId="77777777" w:rsidTr="00791A02">
        <w:tc>
          <w:tcPr>
            <w:tcW w:w="1109" w:type="dxa"/>
            <w:vMerge/>
            <w:tcBorders>
              <w:bottom w:val="single" w:sz="4" w:space="0" w:color="365F91"/>
            </w:tcBorders>
            <w:shd w:val="clear" w:color="auto" w:fill="365F91"/>
          </w:tcPr>
          <w:p w14:paraId="122DCB87" w14:textId="77777777" w:rsidR="00333601" w:rsidRPr="00BE78CA" w:rsidRDefault="00333601" w:rsidP="00C26084">
            <w:pPr>
              <w:pStyle w:val="TableText"/>
              <w:keepNext/>
              <w:rPr>
                <w:color w:val="FFFFFF"/>
              </w:rPr>
            </w:pPr>
          </w:p>
        </w:tc>
        <w:tc>
          <w:tcPr>
            <w:tcW w:w="1849" w:type="dxa"/>
            <w:tcBorders>
              <w:bottom w:val="single" w:sz="4" w:space="0" w:color="365F91"/>
            </w:tcBorders>
            <w:shd w:val="clear" w:color="auto" w:fill="365F91"/>
          </w:tcPr>
          <w:p w14:paraId="01E5B1F2" w14:textId="77777777" w:rsidR="00333601" w:rsidRPr="00BE78CA" w:rsidRDefault="00333601" w:rsidP="00C26084">
            <w:pPr>
              <w:pStyle w:val="TableText"/>
              <w:keepNext/>
              <w:spacing w:before="0" w:after="50"/>
              <w:jc w:val="center"/>
              <w:rPr>
                <w:b/>
                <w:color w:val="FFFFFF"/>
              </w:rPr>
            </w:pPr>
            <w:r w:rsidRPr="00BE78CA">
              <w:rPr>
                <w:b/>
                <w:color w:val="FFFFFF"/>
              </w:rPr>
              <w:t>2020 submission</w:t>
            </w:r>
          </w:p>
        </w:tc>
        <w:tc>
          <w:tcPr>
            <w:tcW w:w="1849" w:type="dxa"/>
            <w:tcBorders>
              <w:bottom w:val="single" w:sz="4" w:space="0" w:color="365F91"/>
            </w:tcBorders>
            <w:shd w:val="clear" w:color="auto" w:fill="365F91"/>
          </w:tcPr>
          <w:p w14:paraId="63E8315B" w14:textId="77777777" w:rsidR="00333601" w:rsidRPr="00BE78CA" w:rsidRDefault="00333601" w:rsidP="00C26084">
            <w:pPr>
              <w:pStyle w:val="TableText"/>
              <w:keepNext/>
              <w:spacing w:before="0" w:after="50"/>
              <w:jc w:val="center"/>
              <w:rPr>
                <w:b/>
                <w:color w:val="FFFFFF"/>
              </w:rPr>
            </w:pPr>
            <w:r w:rsidRPr="00BE78CA">
              <w:rPr>
                <w:b/>
                <w:color w:val="FFFFFF"/>
              </w:rPr>
              <w:t>2021 submission</w:t>
            </w:r>
          </w:p>
        </w:tc>
        <w:tc>
          <w:tcPr>
            <w:tcW w:w="1849" w:type="dxa"/>
            <w:tcBorders>
              <w:bottom w:val="single" w:sz="4" w:space="0" w:color="365F91"/>
            </w:tcBorders>
            <w:shd w:val="clear" w:color="auto" w:fill="365F91"/>
          </w:tcPr>
          <w:p w14:paraId="5DBA62D9" w14:textId="77777777" w:rsidR="00333601" w:rsidRPr="00BE78CA" w:rsidRDefault="00333601" w:rsidP="00C26084">
            <w:pPr>
              <w:pStyle w:val="TableText"/>
              <w:keepNext/>
              <w:spacing w:before="0" w:after="50"/>
              <w:jc w:val="center"/>
              <w:rPr>
                <w:b/>
                <w:color w:val="FFFFFF"/>
              </w:rPr>
            </w:pPr>
            <w:r w:rsidRPr="00BE78CA">
              <w:rPr>
                <w:b/>
                <w:color w:val="FFFFFF"/>
              </w:rPr>
              <w:t>(kt CO</w:t>
            </w:r>
            <w:r w:rsidRPr="00BE78CA">
              <w:rPr>
                <w:b/>
                <w:color w:val="FFFFFF"/>
                <w:vertAlign w:val="subscript"/>
              </w:rPr>
              <w:t>2</w:t>
            </w:r>
            <w:r w:rsidRPr="00BE78CA">
              <w:rPr>
                <w:b/>
                <w:color w:val="FFFFFF"/>
              </w:rPr>
              <w:t>-e)</w:t>
            </w:r>
          </w:p>
        </w:tc>
        <w:tc>
          <w:tcPr>
            <w:tcW w:w="1849" w:type="dxa"/>
            <w:tcBorders>
              <w:bottom w:val="single" w:sz="4" w:space="0" w:color="365F91"/>
            </w:tcBorders>
            <w:shd w:val="clear" w:color="auto" w:fill="365F91"/>
          </w:tcPr>
          <w:p w14:paraId="526F1A2A" w14:textId="77777777" w:rsidR="00333601" w:rsidRPr="00BE78CA" w:rsidRDefault="00333601" w:rsidP="00C26084">
            <w:pPr>
              <w:pStyle w:val="TableText"/>
              <w:keepNext/>
              <w:spacing w:before="0" w:after="50"/>
              <w:jc w:val="center"/>
              <w:rPr>
                <w:b/>
                <w:color w:val="FFFFFF"/>
              </w:rPr>
            </w:pPr>
            <w:r w:rsidRPr="00BE78CA">
              <w:rPr>
                <w:b/>
                <w:color w:val="FFFFFF"/>
              </w:rPr>
              <w:t>(%)</w:t>
            </w:r>
          </w:p>
        </w:tc>
      </w:tr>
      <w:tr w:rsidR="00333601" w:rsidRPr="00BE78CA" w14:paraId="3FB9523C" w14:textId="77777777" w:rsidTr="00791A02">
        <w:tc>
          <w:tcPr>
            <w:tcW w:w="1109" w:type="dxa"/>
            <w:tcBorders>
              <w:top w:val="single" w:sz="4" w:space="0" w:color="365F91"/>
              <w:bottom w:val="single" w:sz="4" w:space="0" w:color="365F91"/>
            </w:tcBorders>
          </w:tcPr>
          <w:p w14:paraId="6DD3AD0B" w14:textId="77777777" w:rsidR="00333601" w:rsidRPr="00BE78CA" w:rsidRDefault="00333601" w:rsidP="00C26084">
            <w:pPr>
              <w:pStyle w:val="TableText"/>
              <w:spacing w:before="50" w:after="50"/>
            </w:pPr>
            <w:r w:rsidRPr="00BE78CA">
              <w:t xml:space="preserve">1990 </w:t>
            </w:r>
          </w:p>
        </w:tc>
        <w:tc>
          <w:tcPr>
            <w:tcW w:w="1849" w:type="dxa"/>
            <w:tcBorders>
              <w:top w:val="single" w:sz="4" w:space="0" w:color="365F91"/>
              <w:bottom w:val="single" w:sz="4" w:space="0" w:color="365F91"/>
            </w:tcBorders>
          </w:tcPr>
          <w:p w14:paraId="6CA28198" w14:textId="77777777" w:rsidR="00333601" w:rsidRPr="00BE78CA" w:rsidRDefault="00333601" w:rsidP="00C26084">
            <w:pPr>
              <w:pStyle w:val="TableText"/>
              <w:spacing w:before="50" w:after="50"/>
              <w:jc w:val="center"/>
            </w:pPr>
            <w:r w:rsidRPr="00BE78CA">
              <w:t xml:space="preserve">476.2 </w:t>
            </w:r>
          </w:p>
        </w:tc>
        <w:tc>
          <w:tcPr>
            <w:tcW w:w="1849" w:type="dxa"/>
            <w:tcBorders>
              <w:top w:val="single" w:sz="4" w:space="0" w:color="365F91"/>
              <w:bottom w:val="single" w:sz="4" w:space="0" w:color="365F91"/>
            </w:tcBorders>
          </w:tcPr>
          <w:p w14:paraId="31529523" w14:textId="77777777" w:rsidR="00333601" w:rsidRPr="00BE78CA" w:rsidRDefault="00333601" w:rsidP="00C26084">
            <w:pPr>
              <w:pStyle w:val="TableText"/>
              <w:spacing w:before="50" w:after="50"/>
              <w:jc w:val="center"/>
            </w:pPr>
            <w:r w:rsidRPr="00BE78CA">
              <w:t xml:space="preserve">476.0 </w:t>
            </w:r>
          </w:p>
        </w:tc>
        <w:tc>
          <w:tcPr>
            <w:tcW w:w="1849" w:type="dxa"/>
            <w:tcBorders>
              <w:top w:val="single" w:sz="4" w:space="0" w:color="365F91"/>
              <w:bottom w:val="single" w:sz="4" w:space="0" w:color="365F91"/>
            </w:tcBorders>
          </w:tcPr>
          <w:p w14:paraId="48302F5D" w14:textId="77777777" w:rsidR="00333601" w:rsidRPr="00BE78CA" w:rsidRDefault="00333601" w:rsidP="00C26084">
            <w:pPr>
              <w:pStyle w:val="TableText"/>
              <w:spacing w:before="50" w:after="50"/>
              <w:jc w:val="center"/>
            </w:pPr>
            <w:r w:rsidRPr="00BE78CA">
              <w:t xml:space="preserve">–0.2 </w:t>
            </w:r>
          </w:p>
        </w:tc>
        <w:tc>
          <w:tcPr>
            <w:tcW w:w="1849" w:type="dxa"/>
            <w:tcBorders>
              <w:top w:val="single" w:sz="4" w:space="0" w:color="365F91"/>
              <w:bottom w:val="single" w:sz="4" w:space="0" w:color="365F91"/>
            </w:tcBorders>
          </w:tcPr>
          <w:p w14:paraId="7B95DFD8" w14:textId="77777777" w:rsidR="00333601" w:rsidRPr="00BE78CA" w:rsidRDefault="00333601" w:rsidP="00C26084">
            <w:pPr>
              <w:pStyle w:val="TableText"/>
              <w:spacing w:before="50" w:after="50"/>
              <w:jc w:val="center"/>
            </w:pPr>
            <w:r w:rsidRPr="00BE78CA">
              <w:t>–0.0</w:t>
            </w:r>
          </w:p>
        </w:tc>
      </w:tr>
      <w:tr w:rsidR="00333601" w:rsidRPr="00BE78CA" w14:paraId="1058F522" w14:textId="77777777" w:rsidTr="00791A02">
        <w:tc>
          <w:tcPr>
            <w:tcW w:w="1109" w:type="dxa"/>
            <w:tcBorders>
              <w:top w:val="single" w:sz="4" w:space="0" w:color="365F91"/>
              <w:bottom w:val="single" w:sz="4" w:space="0" w:color="365F91"/>
            </w:tcBorders>
          </w:tcPr>
          <w:p w14:paraId="4394AFDF" w14:textId="77777777" w:rsidR="00333601" w:rsidRPr="00BE78CA" w:rsidRDefault="00333601" w:rsidP="00C26084">
            <w:pPr>
              <w:pStyle w:val="TableText"/>
              <w:spacing w:before="50" w:after="50"/>
            </w:pPr>
            <w:r w:rsidRPr="00BE78CA">
              <w:t>2018</w:t>
            </w:r>
          </w:p>
        </w:tc>
        <w:tc>
          <w:tcPr>
            <w:tcW w:w="1849" w:type="dxa"/>
            <w:tcBorders>
              <w:top w:val="single" w:sz="4" w:space="0" w:color="365F91"/>
              <w:bottom w:val="single" w:sz="4" w:space="0" w:color="365F91"/>
            </w:tcBorders>
          </w:tcPr>
          <w:p w14:paraId="3A2BE351" w14:textId="77777777" w:rsidR="00333601" w:rsidRPr="00BE78CA" w:rsidRDefault="00333601" w:rsidP="00C26084">
            <w:pPr>
              <w:pStyle w:val="TableText"/>
              <w:spacing w:before="50" w:after="50"/>
              <w:jc w:val="center"/>
            </w:pPr>
            <w:r w:rsidRPr="00BE78CA">
              <w:t xml:space="preserve">391.3 </w:t>
            </w:r>
          </w:p>
        </w:tc>
        <w:tc>
          <w:tcPr>
            <w:tcW w:w="1849" w:type="dxa"/>
            <w:tcBorders>
              <w:top w:val="single" w:sz="4" w:space="0" w:color="365F91"/>
              <w:bottom w:val="single" w:sz="4" w:space="0" w:color="365F91"/>
            </w:tcBorders>
          </w:tcPr>
          <w:p w14:paraId="40BC6415" w14:textId="77777777" w:rsidR="00333601" w:rsidRPr="00BE78CA" w:rsidRDefault="00333601" w:rsidP="00C26084">
            <w:pPr>
              <w:pStyle w:val="TableText"/>
              <w:spacing w:before="50" w:after="50"/>
              <w:jc w:val="center"/>
            </w:pPr>
            <w:r w:rsidRPr="00BE78CA">
              <w:t xml:space="preserve">391.3 </w:t>
            </w:r>
          </w:p>
        </w:tc>
        <w:tc>
          <w:tcPr>
            <w:tcW w:w="1849" w:type="dxa"/>
            <w:tcBorders>
              <w:top w:val="single" w:sz="4" w:space="0" w:color="365F91"/>
              <w:bottom w:val="single" w:sz="4" w:space="0" w:color="365F91"/>
            </w:tcBorders>
          </w:tcPr>
          <w:p w14:paraId="16584250" w14:textId="77777777" w:rsidR="00333601" w:rsidRPr="00BE78CA" w:rsidRDefault="00333601" w:rsidP="00C26084">
            <w:pPr>
              <w:pStyle w:val="TableText"/>
              <w:spacing w:before="50" w:after="50"/>
              <w:jc w:val="center"/>
            </w:pPr>
            <w:r w:rsidRPr="00BE78CA">
              <w:t xml:space="preserve">–0.0 </w:t>
            </w:r>
          </w:p>
        </w:tc>
        <w:tc>
          <w:tcPr>
            <w:tcW w:w="1849" w:type="dxa"/>
            <w:tcBorders>
              <w:top w:val="single" w:sz="4" w:space="0" w:color="365F91"/>
              <w:bottom w:val="single" w:sz="4" w:space="0" w:color="365F91"/>
            </w:tcBorders>
          </w:tcPr>
          <w:p w14:paraId="52F4B1E1" w14:textId="77777777" w:rsidR="00333601" w:rsidRPr="00BE78CA" w:rsidRDefault="00333601" w:rsidP="00C26084">
            <w:pPr>
              <w:pStyle w:val="TableText"/>
              <w:spacing w:before="50" w:after="50"/>
              <w:jc w:val="center"/>
            </w:pPr>
            <w:r w:rsidRPr="00BE78CA">
              <w:t>–0.0</w:t>
            </w:r>
          </w:p>
        </w:tc>
      </w:tr>
    </w:tbl>
    <w:p w14:paraId="3FC0DE83" w14:textId="77777777" w:rsidR="00333601" w:rsidRPr="00BE78CA" w:rsidRDefault="00333601" w:rsidP="00333601">
      <w:pPr>
        <w:pStyle w:val="Heading3"/>
      </w:pPr>
      <w:bookmarkStart w:id="2183" w:name="_Toc139253968"/>
      <w:bookmarkStart w:id="2184" w:name="_Toc255466391"/>
      <w:bookmarkStart w:id="2185" w:name="_Toc261513198"/>
      <w:bookmarkStart w:id="2186" w:name="_Toc261513811"/>
      <w:bookmarkStart w:id="2187" w:name="_Toc280630283"/>
      <w:r w:rsidRPr="00BE78CA">
        <w:lastRenderedPageBreak/>
        <w:t>6.5.6</w:t>
      </w:r>
      <w:r w:rsidRPr="00BE78CA">
        <w:tab/>
        <w:t>Category-specific planned improvements</w:t>
      </w:r>
      <w:bookmarkEnd w:id="2183"/>
      <w:bookmarkEnd w:id="2184"/>
      <w:bookmarkEnd w:id="2185"/>
      <w:bookmarkEnd w:id="2186"/>
      <w:bookmarkEnd w:id="2187"/>
    </w:p>
    <w:p w14:paraId="6525142A" w14:textId="77777777" w:rsidR="00333601" w:rsidRPr="00BE78CA" w:rsidRDefault="00333601" w:rsidP="00333601">
      <w:pPr>
        <w:pStyle w:val="BodyText"/>
      </w:pPr>
      <w:r w:rsidRPr="00BE78CA">
        <w:t xml:space="preserve">A longitudinal agricultural land soils study, as mentioned in section 6.3.5, is investigating the impact of land management practices on agricultural land, including </w:t>
      </w:r>
      <w:r w:rsidRPr="00BE78CA">
        <w:rPr>
          <w:i/>
          <w:iCs/>
        </w:rPr>
        <w:t>Cropland</w:t>
      </w:r>
      <w:r w:rsidRPr="00BE78CA">
        <w:t xml:space="preserve">. This is likely to improve the SOC reference values for </w:t>
      </w:r>
      <w:r w:rsidRPr="00BE78CA">
        <w:rPr>
          <w:i/>
          <w:iCs/>
        </w:rPr>
        <w:t>Cropland</w:t>
      </w:r>
      <w:r w:rsidRPr="00BE78CA">
        <w:t xml:space="preserve">. These data are not expected to be available for several years. </w:t>
      </w:r>
    </w:p>
    <w:p w14:paraId="5A838186" w14:textId="77777777" w:rsidR="00333601" w:rsidRPr="00BE78CA" w:rsidRDefault="00333601" w:rsidP="00333601">
      <w:pPr>
        <w:pStyle w:val="Heading2"/>
        <w:spacing w:before="280"/>
      </w:pPr>
      <w:bookmarkStart w:id="2188" w:name="_Toc69611750"/>
      <w:bookmarkStart w:id="2189" w:name="_Toc69612706"/>
      <w:bookmarkStart w:id="2190" w:name="_Toc69612905"/>
      <w:bookmarkStart w:id="2191" w:name="_Toc69613165"/>
      <w:bookmarkStart w:id="2192" w:name="_Toc69633329"/>
      <w:bookmarkStart w:id="2193" w:name="_Toc69717494"/>
      <w:bookmarkStart w:id="2194" w:name="_Toc69802976"/>
      <w:bookmarkStart w:id="2195" w:name="_Toc69815113"/>
      <w:bookmarkStart w:id="2196" w:name="_Toc70492406"/>
      <w:bookmarkStart w:id="2197" w:name="_Toc101310612"/>
      <w:bookmarkStart w:id="2198" w:name="_Toc101318472"/>
      <w:bookmarkStart w:id="2199" w:name="_Toc101318577"/>
      <w:bookmarkStart w:id="2200" w:name="_Toc101318761"/>
      <w:bookmarkStart w:id="2201" w:name="_Toc101334037"/>
      <w:bookmarkStart w:id="2202" w:name="_Toc134847215"/>
      <w:bookmarkStart w:id="2203" w:name="_Toc139253969"/>
      <w:bookmarkStart w:id="2204" w:name="_Toc144710423"/>
      <w:bookmarkStart w:id="2205" w:name="_Toc165890377"/>
      <w:bookmarkStart w:id="2206" w:name="_Toc195322671"/>
      <w:bookmarkStart w:id="2207" w:name="_Toc255466392"/>
      <w:bookmarkStart w:id="2208" w:name="_Toc261513199"/>
      <w:bookmarkStart w:id="2209" w:name="_Toc261513812"/>
      <w:bookmarkStart w:id="2210" w:name="_Toc280630284"/>
      <w:bookmarkStart w:id="2211" w:name="_Toc310423454"/>
      <w:bookmarkStart w:id="2212" w:name="_Toc342470720"/>
      <w:bookmarkStart w:id="2213" w:name="_Toc352504872"/>
      <w:bookmarkStart w:id="2214" w:name="_Toc391024702"/>
      <w:bookmarkStart w:id="2215" w:name="_Toc414531319"/>
      <w:bookmarkStart w:id="2216" w:name="_Toc474335461"/>
      <w:bookmarkStart w:id="2217" w:name="_Toc481751401"/>
      <w:bookmarkStart w:id="2218" w:name="_Toc522013953"/>
      <w:bookmarkStart w:id="2219" w:name="_Toc5269378"/>
      <w:bookmarkStart w:id="2220" w:name="_Toc36224418"/>
      <w:bookmarkStart w:id="2221" w:name="_Toc68786338"/>
      <w:bookmarkEnd w:id="2105"/>
      <w:bookmarkEnd w:id="2106"/>
      <w:bookmarkEnd w:id="2107"/>
      <w:bookmarkEnd w:id="2108"/>
      <w:r w:rsidRPr="00BE78CA">
        <w:t>6.6</w:t>
      </w:r>
      <w:r w:rsidRPr="00BE78CA">
        <w:tab/>
        <w:t>Grassland (CRF 4C)</w:t>
      </w:r>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p>
    <w:p w14:paraId="020CCB99" w14:textId="77777777" w:rsidR="00333601" w:rsidRPr="00BE78CA" w:rsidRDefault="00333601" w:rsidP="00333601">
      <w:pPr>
        <w:pStyle w:val="Heading3"/>
        <w:spacing w:before="160"/>
      </w:pPr>
      <w:bookmarkStart w:id="2222" w:name="_Toc139253970"/>
      <w:bookmarkStart w:id="2223" w:name="_Toc255466393"/>
      <w:bookmarkStart w:id="2224" w:name="_Toc261513200"/>
      <w:bookmarkStart w:id="2225" w:name="_Toc261513813"/>
      <w:bookmarkStart w:id="2226" w:name="_Toc280630285"/>
      <w:r w:rsidRPr="00BE78CA">
        <w:t>6.6.1</w:t>
      </w:r>
      <w:r w:rsidRPr="00BE78CA">
        <w:tab/>
        <w:t>Description</w:t>
      </w:r>
      <w:bookmarkEnd w:id="2222"/>
      <w:bookmarkEnd w:id="2223"/>
      <w:bookmarkEnd w:id="2224"/>
      <w:bookmarkEnd w:id="2225"/>
      <w:bookmarkEnd w:id="2226"/>
    </w:p>
    <w:p w14:paraId="3FEB5EDC" w14:textId="77777777" w:rsidR="00333601" w:rsidRPr="00BE78CA" w:rsidRDefault="00333601" w:rsidP="00333601">
      <w:pPr>
        <w:pStyle w:val="BodyText"/>
      </w:pPr>
      <w:r w:rsidRPr="00BE78CA">
        <w:t xml:space="preserve">In New Zealand, the </w:t>
      </w:r>
      <w:r w:rsidRPr="00BE78CA">
        <w:rPr>
          <w:i/>
        </w:rPr>
        <w:t>Grassland</w:t>
      </w:r>
      <w:r w:rsidRPr="00BE78CA">
        <w:t xml:space="preserve"> category is used to describe a range of land cover types. In this submission, three types of </w:t>
      </w:r>
      <w:r w:rsidRPr="00BE78CA">
        <w:rPr>
          <w:i/>
        </w:rPr>
        <w:t>Grassland</w:t>
      </w:r>
      <w:r w:rsidRPr="00BE78CA">
        <w:t xml:space="preserve"> are used: high producing, low producing and with woody biomass. </w:t>
      </w:r>
    </w:p>
    <w:p w14:paraId="43A2F331" w14:textId="77777777" w:rsidR="00333601" w:rsidRPr="00BE78CA" w:rsidRDefault="00333601" w:rsidP="00333601">
      <w:pPr>
        <w:pStyle w:val="BodyText"/>
      </w:pPr>
      <w:r w:rsidRPr="00BE78CA">
        <w:t xml:space="preserve">High producing grassland consists of intensively managed pasture land. Low producing grassland consists of low-fertility grasses on hill country, areas of native tussock and areas composed of low, shrubby vegetation, both above and below the timberline. Grassland with woody biomass consists of grassland areas where the cover of woody species is less than 30 per cent and/or does not meet, nor has the potential to meet, the New Zealand forest definition due to the current management regime (e.g., periodically cleared for grazing), characteristics of the vegetation or environmental constraints (e.g., alpine shrubland) (see table 6.2.2 for further details). Grassland with woody biomass is therefore a diverse land use. To account for these differences, grassland with woody biomass is subcategorised into two types, permanent and transitional, for modelling the effect of land-use change on carbon. Separate emission factors for each type of grassland with woody biomass are derived from the LUCAS plot network (Wakelin and Beets, unpublished). Within the CRF Reporter, reporting on grassland with woody biomass is at the aggregate level. </w:t>
      </w:r>
    </w:p>
    <w:p w14:paraId="5D588467" w14:textId="77777777" w:rsidR="00333601" w:rsidRPr="00BE78CA" w:rsidRDefault="00333601" w:rsidP="00333601">
      <w:pPr>
        <w:pStyle w:val="BodyText"/>
      </w:pPr>
      <w:r w:rsidRPr="00BE78CA">
        <w:t>Research indicates that, under business-as-usual grassland farming operations in New Zealand, areas of woody shrublands (grassland with woody biomass – transitional) within farmland do not become forest over a 30- to 40-year timeframe (Trotter and MacKay, unpublished). This is the case as long as the farmer’s intention is to use the land for grazing animals. When it becomes evident that the farmer has modified land management in a way that encourages sustained growth of woody vegetation that will undergo succession to forest, such as by removing stock or planting, then these areas will be mapped as forest. A description of the land-management approaches that result in the sustained growth of woody vegetation is contained in the mapping interpretation guide (Ministry for the Environment, 2012).</w:t>
      </w:r>
    </w:p>
    <w:p w14:paraId="27DC48F3" w14:textId="77777777" w:rsidR="00333601" w:rsidRPr="00BE78CA" w:rsidRDefault="00333601" w:rsidP="00333601">
      <w:pPr>
        <w:pStyle w:val="BodyText"/>
      </w:pPr>
      <w:r w:rsidRPr="00BE78CA">
        <w:t xml:space="preserve">In contrast, grassland with woody biomass – permanent consists of land covered by woody vegetation that does not meet the forest definition and is not expected to do so under current ecological, management or environmental conditions. This vegetation occurs where the abiotic conditions at a site are conducive to low-stature vegetation; for example, vegetation growing at high altitudes, on low fertility soil or on frost flats. </w:t>
      </w:r>
    </w:p>
    <w:p w14:paraId="48E74A79" w14:textId="77777777" w:rsidR="00333601" w:rsidRPr="00BE78CA" w:rsidRDefault="00333601" w:rsidP="00333601">
      <w:pPr>
        <w:pStyle w:val="BodyText"/>
      </w:pPr>
      <w:r w:rsidRPr="00BE78CA">
        <w:t xml:space="preserve">The net emissions from </w:t>
      </w:r>
      <w:r w:rsidRPr="00BE78CA">
        <w:rPr>
          <w:i/>
        </w:rPr>
        <w:t>Grassland</w:t>
      </w:r>
      <w:r w:rsidRPr="00BE78CA">
        <w:t xml:space="preserve"> were 4,253.6 kt CO</w:t>
      </w:r>
      <w:r w:rsidRPr="00BE78CA">
        <w:rPr>
          <w:vertAlign w:val="subscript"/>
        </w:rPr>
        <w:t>2</w:t>
      </w:r>
      <w:r w:rsidRPr="00BE78CA">
        <w:t>-e in 2019 (see table 6.6.1). These emissions comprise 4,180.2 kt CO</w:t>
      </w:r>
      <w:r w:rsidRPr="00BE78CA">
        <w:rPr>
          <w:vertAlign w:val="subscript"/>
        </w:rPr>
        <w:t>2</w:t>
      </w:r>
      <w:r w:rsidRPr="00BE78CA">
        <w:t xml:space="preserve"> emissions from carbon stock change, 0.08 kt N</w:t>
      </w:r>
      <w:r w:rsidRPr="00BE78CA">
        <w:rPr>
          <w:vertAlign w:val="subscript"/>
        </w:rPr>
        <w:t>2</w:t>
      </w:r>
      <w:r w:rsidRPr="00BE78CA">
        <w:t>O (24.8 kt CO</w:t>
      </w:r>
      <w:r w:rsidRPr="00BE78CA">
        <w:rPr>
          <w:vertAlign w:val="subscript"/>
        </w:rPr>
        <w:t>2</w:t>
      </w:r>
      <w:r w:rsidRPr="00BE78CA">
        <w:noBreakHyphen/>
        <w:t>e) and 1.8 kt CH</w:t>
      </w:r>
      <w:r w:rsidRPr="00BE78CA">
        <w:rPr>
          <w:vertAlign w:val="subscript"/>
        </w:rPr>
        <w:t>4</w:t>
      </w:r>
      <w:r w:rsidRPr="00BE78CA">
        <w:t xml:space="preserve"> (44.4 kt CO</w:t>
      </w:r>
      <w:r w:rsidRPr="00BE78CA">
        <w:rPr>
          <w:vertAlign w:val="subscript"/>
        </w:rPr>
        <w:t>2</w:t>
      </w:r>
      <w:r w:rsidRPr="00BE78CA">
        <w:t xml:space="preserve">-e) emissions from </w:t>
      </w:r>
      <w:r w:rsidRPr="00BE78CA">
        <w:rPr>
          <w:i/>
        </w:rPr>
        <w:t>Biomass burning</w:t>
      </w:r>
      <w:r w:rsidRPr="00BE78CA">
        <w:t xml:space="preserve"> and nitrogen mineralisation on </w:t>
      </w:r>
      <w:r w:rsidRPr="00BE78CA">
        <w:rPr>
          <w:i/>
        </w:rPr>
        <w:t>Land converted to grassland</w:t>
      </w:r>
      <w:r w:rsidRPr="00BE78CA">
        <w:t>.</w:t>
      </w:r>
    </w:p>
    <w:p w14:paraId="6C20E6A3" w14:textId="77777777" w:rsidR="00333601" w:rsidRPr="00BE78CA" w:rsidRDefault="00333601" w:rsidP="00333601">
      <w:pPr>
        <w:pStyle w:val="BodyText"/>
      </w:pPr>
      <w:r w:rsidRPr="00BE78CA">
        <w:t xml:space="preserve">The </w:t>
      </w:r>
      <w:r w:rsidRPr="00BE78CA">
        <w:rPr>
          <w:i/>
        </w:rPr>
        <w:t>Grassland remaining grassland</w:t>
      </w:r>
      <w:r w:rsidRPr="00BE78CA">
        <w:t xml:space="preserve"> and </w:t>
      </w:r>
      <w:r w:rsidRPr="00BE78CA">
        <w:rPr>
          <w:i/>
        </w:rPr>
        <w:t>Land converted to grassland</w:t>
      </w:r>
      <w:r w:rsidRPr="00BE78CA">
        <w:t xml:space="preserve"> categories were identified as key categories for the level and trend assessment in 2019.</w:t>
      </w:r>
    </w:p>
    <w:p w14:paraId="453CDD85" w14:textId="77777777" w:rsidR="00333601" w:rsidRPr="00BE78CA" w:rsidRDefault="00333601" w:rsidP="00333601">
      <w:pPr>
        <w:pStyle w:val="BodyText"/>
        <w:spacing w:after="100"/>
      </w:pPr>
      <w:r w:rsidRPr="00BE78CA">
        <w:lastRenderedPageBreak/>
        <w:t xml:space="preserve">Net emissions from </w:t>
      </w:r>
      <w:r w:rsidRPr="00BE78CA">
        <w:rPr>
          <w:i/>
        </w:rPr>
        <w:t xml:space="preserve">Grassland </w:t>
      </w:r>
      <w:r w:rsidRPr="00BE78CA">
        <w:t>have increased by 3,573.4 kt CO</w:t>
      </w:r>
      <w:r w:rsidRPr="00BE78CA">
        <w:rPr>
          <w:vertAlign w:val="subscript"/>
        </w:rPr>
        <w:t>2</w:t>
      </w:r>
      <w:r w:rsidRPr="00BE78CA">
        <w:t xml:space="preserve">-e (525.4 per cent) from the 1990 level of </w:t>
      </w:r>
      <w:r w:rsidRPr="00BE78CA">
        <w:rPr>
          <w:bCs/>
        </w:rPr>
        <w:t xml:space="preserve">680.2 </w:t>
      </w:r>
      <w:r w:rsidRPr="00BE78CA">
        <w:t>kt CO</w:t>
      </w:r>
      <w:r w:rsidRPr="00BE78CA">
        <w:rPr>
          <w:vertAlign w:val="subscript"/>
        </w:rPr>
        <w:t>2</w:t>
      </w:r>
      <w:r w:rsidRPr="00BE78CA">
        <w:t>-e (see table 6.6.1). Most of this change occurred in pre-1990 planted forest converted to high producing grassland and is the effect of deforestation that involves large losses in the living biomass pool.</w:t>
      </w:r>
    </w:p>
    <w:p w14:paraId="4B0B1D25" w14:textId="77777777" w:rsidR="00333601" w:rsidRPr="00BE78CA" w:rsidRDefault="00333601" w:rsidP="00333601">
      <w:pPr>
        <w:pStyle w:val="Table"/>
        <w:spacing w:before="100"/>
      </w:pPr>
      <w:bookmarkStart w:id="2227" w:name="_Toc280630465"/>
      <w:bookmarkStart w:id="2228" w:name="_Toc310423421"/>
      <w:bookmarkStart w:id="2229" w:name="_Toc318362714"/>
      <w:bookmarkStart w:id="2230" w:name="_Toc342470776"/>
      <w:bookmarkStart w:id="2231" w:name="_Toc352505016"/>
      <w:bookmarkStart w:id="2232" w:name="_Toc378853307"/>
      <w:bookmarkStart w:id="2233" w:name="_Toc391024105"/>
      <w:bookmarkStart w:id="2234" w:name="_Toc410028848"/>
      <w:bookmarkStart w:id="2235" w:name="_Toc414531476"/>
      <w:bookmarkStart w:id="2236" w:name="_Toc443645389"/>
      <w:bookmarkStart w:id="2237" w:name="_Toc474914608"/>
      <w:bookmarkStart w:id="2238" w:name="_Toc481751572"/>
      <w:bookmarkStart w:id="2239" w:name="_Toc522010629"/>
      <w:bookmarkStart w:id="2240" w:name="_Toc5269534"/>
      <w:bookmarkStart w:id="2241" w:name="_Toc33529408"/>
      <w:bookmarkStart w:id="2242" w:name="_Toc36224614"/>
      <w:bookmarkStart w:id="2243" w:name="_Toc65243611"/>
      <w:bookmarkStart w:id="2244" w:name="_Toc68786501"/>
      <w:r w:rsidRPr="00BE78CA">
        <w:t>Table 6.6.1</w:t>
      </w:r>
      <w:r w:rsidRPr="00BE78CA">
        <w:tab/>
        <w:t>New Zealand’s land-use change for the Grassland category, and associated</w:t>
      </w:r>
      <w:r w:rsidRPr="00BE78CA">
        <w:br/>
        <w:t>CO</w:t>
      </w:r>
      <w:r w:rsidRPr="00BE78CA">
        <w:rPr>
          <w:vertAlign w:val="subscript"/>
        </w:rPr>
        <w:t>2</w:t>
      </w:r>
      <w:r w:rsidRPr="00BE78CA">
        <w:noBreakHyphen/>
        <w:t>e emissions, from 1990 to</w:t>
      </w:r>
      <w:bookmarkEnd w:id="2227"/>
      <w:bookmarkEnd w:id="2228"/>
      <w:bookmarkEnd w:id="2229"/>
      <w:bookmarkEnd w:id="2230"/>
      <w:bookmarkEnd w:id="2231"/>
      <w:r w:rsidRPr="00BE78CA">
        <w:t> 201</w:t>
      </w:r>
      <w:bookmarkEnd w:id="2232"/>
      <w:bookmarkEnd w:id="2233"/>
      <w:bookmarkEnd w:id="2234"/>
      <w:bookmarkEnd w:id="2235"/>
      <w:bookmarkEnd w:id="2236"/>
      <w:bookmarkEnd w:id="2237"/>
      <w:bookmarkEnd w:id="2238"/>
      <w:r w:rsidRPr="00BE78CA">
        <w:t>9</w:t>
      </w:r>
      <w:bookmarkEnd w:id="2239"/>
      <w:bookmarkEnd w:id="2240"/>
      <w:bookmarkEnd w:id="2241"/>
      <w:bookmarkEnd w:id="2242"/>
      <w:bookmarkEnd w:id="2243"/>
      <w:bookmarkEnd w:id="2244"/>
    </w:p>
    <w:tbl>
      <w:tblPr>
        <w:tblW w:w="8505" w:type="dxa"/>
        <w:tblLayout w:type="fixed"/>
        <w:tblLook w:val="04A0" w:firstRow="1" w:lastRow="0" w:firstColumn="1" w:lastColumn="0" w:noHBand="0" w:noVBand="1"/>
      </w:tblPr>
      <w:tblGrid>
        <w:gridCol w:w="2619"/>
        <w:gridCol w:w="1357"/>
        <w:gridCol w:w="1357"/>
        <w:gridCol w:w="904"/>
        <w:gridCol w:w="1055"/>
        <w:gridCol w:w="1213"/>
      </w:tblGrid>
      <w:tr w:rsidR="00333601" w:rsidRPr="00BE78CA" w14:paraId="34984E04" w14:textId="77777777" w:rsidTr="007C785F">
        <w:tc>
          <w:tcPr>
            <w:tcW w:w="2619" w:type="dxa"/>
            <w:vMerge w:val="restart"/>
            <w:tcBorders>
              <w:top w:val="single" w:sz="4" w:space="0" w:color="365F91"/>
            </w:tcBorders>
            <w:shd w:val="clear" w:color="auto" w:fill="365F91"/>
            <w:vAlign w:val="bottom"/>
          </w:tcPr>
          <w:p w14:paraId="0469E884" w14:textId="77777777" w:rsidR="00333601" w:rsidRPr="00BE78CA" w:rsidRDefault="00333601" w:rsidP="00C26084">
            <w:pPr>
              <w:pStyle w:val="TableText"/>
              <w:keepNext/>
              <w:spacing w:before="40" w:after="40"/>
              <w:rPr>
                <w:b/>
                <w:color w:val="FFFFFF"/>
              </w:rPr>
            </w:pPr>
            <w:r w:rsidRPr="00BE78CA">
              <w:rPr>
                <w:b/>
                <w:color w:val="FFFFFF"/>
              </w:rPr>
              <w:t>Grassland land use category</w:t>
            </w:r>
          </w:p>
        </w:tc>
        <w:tc>
          <w:tcPr>
            <w:tcW w:w="1357" w:type="dxa"/>
            <w:vMerge w:val="restart"/>
            <w:tcBorders>
              <w:top w:val="single" w:sz="4" w:space="0" w:color="365F91"/>
            </w:tcBorders>
            <w:shd w:val="clear" w:color="auto" w:fill="365F91"/>
            <w:vAlign w:val="bottom"/>
          </w:tcPr>
          <w:p w14:paraId="6E09BBC9" w14:textId="77777777" w:rsidR="00333601" w:rsidRPr="00BE78CA" w:rsidRDefault="00333601" w:rsidP="00C26084">
            <w:pPr>
              <w:pStyle w:val="TableText"/>
              <w:keepNext/>
              <w:spacing w:before="40" w:after="40"/>
              <w:jc w:val="center"/>
              <w:rPr>
                <w:b/>
                <w:color w:val="FFFFFF"/>
              </w:rPr>
            </w:pPr>
            <w:r w:rsidRPr="00BE78CA">
              <w:rPr>
                <w:b/>
                <w:color w:val="FFFFFF"/>
              </w:rPr>
              <w:t>Area as at 1990 (ha)</w:t>
            </w:r>
          </w:p>
        </w:tc>
        <w:tc>
          <w:tcPr>
            <w:tcW w:w="1357" w:type="dxa"/>
            <w:vMerge w:val="restart"/>
            <w:tcBorders>
              <w:top w:val="single" w:sz="4" w:space="0" w:color="365F91"/>
            </w:tcBorders>
            <w:shd w:val="clear" w:color="auto" w:fill="365F91"/>
            <w:vAlign w:val="bottom"/>
          </w:tcPr>
          <w:p w14:paraId="0675F1D4" w14:textId="77777777" w:rsidR="00333601" w:rsidRPr="00BE78CA" w:rsidRDefault="00333601" w:rsidP="00C26084">
            <w:pPr>
              <w:pStyle w:val="TableText"/>
              <w:keepNext/>
              <w:spacing w:before="40" w:after="40"/>
              <w:jc w:val="center"/>
              <w:rPr>
                <w:b/>
                <w:color w:val="FFFFFF"/>
              </w:rPr>
            </w:pPr>
            <w:r w:rsidRPr="00BE78CA">
              <w:rPr>
                <w:b/>
                <w:color w:val="FFFFFF"/>
              </w:rPr>
              <w:t>Area as at 2019 (ha)</w:t>
            </w:r>
          </w:p>
        </w:tc>
        <w:tc>
          <w:tcPr>
            <w:tcW w:w="1959" w:type="dxa"/>
            <w:gridSpan w:val="2"/>
            <w:tcBorders>
              <w:top w:val="single" w:sz="4" w:space="0" w:color="365F91"/>
            </w:tcBorders>
            <w:shd w:val="clear" w:color="auto" w:fill="365F91"/>
            <w:vAlign w:val="bottom"/>
          </w:tcPr>
          <w:p w14:paraId="75CB0364" w14:textId="77777777" w:rsidR="00333601" w:rsidRPr="00BE78CA" w:rsidRDefault="00333601" w:rsidP="00C26084">
            <w:pPr>
              <w:pStyle w:val="TableText"/>
              <w:keepNext/>
              <w:spacing w:before="40" w:after="40"/>
              <w:jc w:val="center"/>
              <w:rPr>
                <w:b/>
                <w:color w:val="FFFFFF"/>
              </w:rPr>
            </w:pPr>
            <w:r w:rsidRPr="00BE78CA">
              <w:rPr>
                <w:b/>
                <w:color w:val="FFFFFF"/>
              </w:rPr>
              <w:t xml:space="preserve">Net emissions </w:t>
            </w:r>
            <w:r w:rsidRPr="00BE78CA">
              <w:rPr>
                <w:b/>
                <w:color w:val="FFFFFF"/>
              </w:rPr>
              <w:br/>
              <w:t>(kt CO</w:t>
            </w:r>
            <w:r w:rsidRPr="00BE78CA">
              <w:rPr>
                <w:b/>
                <w:color w:val="FFFFFF"/>
                <w:vertAlign w:val="subscript"/>
              </w:rPr>
              <w:t>2</w:t>
            </w:r>
            <w:r w:rsidRPr="00BE78CA">
              <w:rPr>
                <w:b/>
                <w:color w:val="FFFFFF"/>
              </w:rPr>
              <w:t>-e)</w:t>
            </w:r>
          </w:p>
        </w:tc>
        <w:tc>
          <w:tcPr>
            <w:tcW w:w="1213" w:type="dxa"/>
            <w:vMerge w:val="restart"/>
            <w:tcBorders>
              <w:top w:val="single" w:sz="4" w:space="0" w:color="365F91"/>
            </w:tcBorders>
            <w:shd w:val="clear" w:color="auto" w:fill="365F91"/>
            <w:vAlign w:val="bottom"/>
          </w:tcPr>
          <w:p w14:paraId="084E0812" w14:textId="77777777" w:rsidR="00333601" w:rsidRPr="00BE78CA" w:rsidRDefault="00333601" w:rsidP="00C26084">
            <w:pPr>
              <w:pStyle w:val="TableText"/>
              <w:keepNext/>
              <w:spacing w:before="40" w:after="40"/>
              <w:jc w:val="center"/>
              <w:rPr>
                <w:b/>
                <w:color w:val="FFFFFF"/>
              </w:rPr>
            </w:pPr>
            <w:r w:rsidRPr="00BE78CA">
              <w:rPr>
                <w:b/>
                <w:color w:val="FFFFFF"/>
              </w:rPr>
              <w:t>Change from 1990 (%)</w:t>
            </w:r>
          </w:p>
        </w:tc>
      </w:tr>
      <w:tr w:rsidR="00333601" w:rsidRPr="00BE78CA" w14:paraId="50878F8D" w14:textId="77777777" w:rsidTr="007C785F">
        <w:trPr>
          <w:trHeight w:val="300"/>
        </w:trPr>
        <w:tc>
          <w:tcPr>
            <w:tcW w:w="2619" w:type="dxa"/>
            <w:vMerge/>
            <w:tcBorders>
              <w:bottom w:val="single" w:sz="4" w:space="0" w:color="365F91"/>
            </w:tcBorders>
            <w:shd w:val="clear" w:color="auto" w:fill="365F91"/>
          </w:tcPr>
          <w:p w14:paraId="51F5C120" w14:textId="77777777" w:rsidR="00333601" w:rsidRPr="00BE78CA" w:rsidRDefault="00333601" w:rsidP="00C26084">
            <w:pPr>
              <w:pStyle w:val="TableText"/>
              <w:keepNext/>
              <w:spacing w:before="40" w:after="40"/>
              <w:rPr>
                <w:rFonts w:eastAsia="Calibri"/>
              </w:rPr>
            </w:pPr>
          </w:p>
        </w:tc>
        <w:tc>
          <w:tcPr>
            <w:tcW w:w="1357" w:type="dxa"/>
            <w:vMerge/>
            <w:tcBorders>
              <w:bottom w:val="single" w:sz="4" w:space="0" w:color="365F91"/>
            </w:tcBorders>
            <w:shd w:val="clear" w:color="auto" w:fill="365F91"/>
          </w:tcPr>
          <w:p w14:paraId="5BFEC203" w14:textId="77777777" w:rsidR="00333601" w:rsidRPr="00BE78CA" w:rsidRDefault="00333601" w:rsidP="00C26084">
            <w:pPr>
              <w:pStyle w:val="TableText"/>
              <w:keepNext/>
              <w:spacing w:before="40" w:after="40"/>
              <w:jc w:val="center"/>
              <w:rPr>
                <w:rFonts w:eastAsia="Calibri"/>
              </w:rPr>
            </w:pPr>
          </w:p>
        </w:tc>
        <w:tc>
          <w:tcPr>
            <w:tcW w:w="1357" w:type="dxa"/>
            <w:vMerge/>
            <w:tcBorders>
              <w:bottom w:val="single" w:sz="4" w:space="0" w:color="365F91"/>
            </w:tcBorders>
            <w:shd w:val="clear" w:color="auto" w:fill="365F91"/>
          </w:tcPr>
          <w:p w14:paraId="5765E1AD" w14:textId="77777777" w:rsidR="00333601" w:rsidRPr="00BE78CA" w:rsidRDefault="00333601" w:rsidP="00C26084">
            <w:pPr>
              <w:pStyle w:val="TableText"/>
              <w:keepNext/>
              <w:spacing w:before="40" w:after="40"/>
              <w:jc w:val="center"/>
              <w:rPr>
                <w:rFonts w:eastAsia="Calibri"/>
              </w:rPr>
            </w:pPr>
          </w:p>
        </w:tc>
        <w:tc>
          <w:tcPr>
            <w:tcW w:w="904" w:type="dxa"/>
            <w:tcBorders>
              <w:bottom w:val="single" w:sz="4" w:space="0" w:color="365F91"/>
            </w:tcBorders>
            <w:shd w:val="clear" w:color="auto" w:fill="365F91"/>
          </w:tcPr>
          <w:p w14:paraId="7A8F9BF6" w14:textId="77777777" w:rsidR="00333601" w:rsidRPr="00BE78CA" w:rsidRDefault="00333601" w:rsidP="00C26084">
            <w:pPr>
              <w:pStyle w:val="TableText"/>
              <w:keepNext/>
              <w:spacing w:before="40" w:after="40"/>
              <w:jc w:val="center"/>
              <w:rPr>
                <w:b/>
                <w:color w:val="FFFFFF"/>
              </w:rPr>
            </w:pPr>
            <w:r w:rsidRPr="00BE78CA">
              <w:rPr>
                <w:b/>
                <w:color w:val="FFFFFF"/>
              </w:rPr>
              <w:t>1990</w:t>
            </w:r>
          </w:p>
        </w:tc>
        <w:tc>
          <w:tcPr>
            <w:tcW w:w="1055" w:type="dxa"/>
            <w:tcBorders>
              <w:bottom w:val="single" w:sz="4" w:space="0" w:color="365F91"/>
            </w:tcBorders>
            <w:shd w:val="clear" w:color="auto" w:fill="365F91"/>
          </w:tcPr>
          <w:p w14:paraId="725F1EB4" w14:textId="77777777" w:rsidR="00333601" w:rsidRPr="00BE78CA" w:rsidRDefault="00333601" w:rsidP="00C26084">
            <w:pPr>
              <w:pStyle w:val="TableText"/>
              <w:keepNext/>
              <w:spacing w:before="40" w:after="40"/>
              <w:jc w:val="center"/>
              <w:rPr>
                <w:b/>
                <w:color w:val="FFFFFF"/>
              </w:rPr>
            </w:pPr>
            <w:r w:rsidRPr="00BE78CA">
              <w:rPr>
                <w:b/>
                <w:color w:val="FFFFFF"/>
              </w:rPr>
              <w:t>2019</w:t>
            </w:r>
          </w:p>
        </w:tc>
        <w:tc>
          <w:tcPr>
            <w:tcW w:w="1213" w:type="dxa"/>
            <w:vMerge/>
            <w:tcBorders>
              <w:bottom w:val="single" w:sz="4" w:space="0" w:color="365F91"/>
            </w:tcBorders>
            <w:shd w:val="clear" w:color="auto" w:fill="365F91"/>
          </w:tcPr>
          <w:p w14:paraId="4629E6C9" w14:textId="77777777" w:rsidR="00333601" w:rsidRPr="00BE78CA" w:rsidRDefault="00333601" w:rsidP="00C26084">
            <w:pPr>
              <w:pStyle w:val="TableText"/>
              <w:keepNext/>
              <w:spacing w:before="40" w:after="40"/>
              <w:jc w:val="center"/>
              <w:rPr>
                <w:rFonts w:eastAsia="Calibri"/>
              </w:rPr>
            </w:pPr>
          </w:p>
        </w:tc>
      </w:tr>
      <w:tr w:rsidR="00333601" w:rsidRPr="00BE78CA" w14:paraId="637C9D2C" w14:textId="77777777" w:rsidTr="007C785F">
        <w:trPr>
          <w:trHeight w:val="20"/>
        </w:trPr>
        <w:tc>
          <w:tcPr>
            <w:tcW w:w="2619" w:type="dxa"/>
            <w:tcBorders>
              <w:top w:val="single" w:sz="4" w:space="0" w:color="365F91"/>
              <w:bottom w:val="single" w:sz="4" w:space="0" w:color="365F91"/>
            </w:tcBorders>
          </w:tcPr>
          <w:p w14:paraId="7B9AE897" w14:textId="77777777" w:rsidR="00333601" w:rsidRPr="00BE78CA" w:rsidRDefault="00333601" w:rsidP="00C26084">
            <w:pPr>
              <w:pStyle w:val="TableText"/>
              <w:spacing w:before="50" w:after="50"/>
            </w:pPr>
            <w:r w:rsidRPr="00BE78CA">
              <w:t>Grassland remaining grassland</w:t>
            </w:r>
          </w:p>
        </w:tc>
        <w:tc>
          <w:tcPr>
            <w:tcW w:w="1357" w:type="dxa"/>
            <w:tcBorders>
              <w:top w:val="single" w:sz="4" w:space="0" w:color="365F91"/>
              <w:bottom w:val="single" w:sz="4" w:space="0" w:color="365F91"/>
            </w:tcBorders>
          </w:tcPr>
          <w:p w14:paraId="00D9D6EE" w14:textId="77777777" w:rsidR="00333601" w:rsidRPr="00BE78CA" w:rsidRDefault="00333601" w:rsidP="00C26084">
            <w:pPr>
              <w:pStyle w:val="TableText"/>
              <w:spacing w:before="50" w:after="50"/>
              <w:jc w:val="center"/>
            </w:pPr>
            <w:r w:rsidRPr="00BE78CA">
              <w:t>14,922,338</w:t>
            </w:r>
          </w:p>
        </w:tc>
        <w:tc>
          <w:tcPr>
            <w:tcW w:w="1357" w:type="dxa"/>
            <w:tcBorders>
              <w:top w:val="single" w:sz="4" w:space="0" w:color="365F91"/>
              <w:bottom w:val="single" w:sz="4" w:space="0" w:color="365F91"/>
            </w:tcBorders>
          </w:tcPr>
          <w:p w14:paraId="4017157E" w14:textId="77777777" w:rsidR="00333601" w:rsidRPr="00BE78CA" w:rsidRDefault="00333601" w:rsidP="00C26084">
            <w:pPr>
              <w:pStyle w:val="TableText"/>
              <w:spacing w:before="50" w:after="50"/>
              <w:jc w:val="center"/>
            </w:pPr>
            <w:r w:rsidRPr="00BE78CA">
              <w:t>14,430,833</w:t>
            </w:r>
          </w:p>
        </w:tc>
        <w:tc>
          <w:tcPr>
            <w:tcW w:w="904" w:type="dxa"/>
            <w:tcBorders>
              <w:top w:val="single" w:sz="4" w:space="0" w:color="365F91"/>
              <w:bottom w:val="single" w:sz="4" w:space="0" w:color="365F91"/>
            </w:tcBorders>
            <w:noWrap/>
          </w:tcPr>
          <w:p w14:paraId="50A062FB" w14:textId="77777777" w:rsidR="00333601" w:rsidRPr="00BE78CA" w:rsidRDefault="00333601" w:rsidP="00C26084">
            <w:pPr>
              <w:pStyle w:val="TableText"/>
              <w:spacing w:before="50" w:after="50"/>
              <w:jc w:val="center"/>
            </w:pPr>
            <w:r w:rsidRPr="00BE78CA">
              <w:t>337.3</w:t>
            </w:r>
          </w:p>
        </w:tc>
        <w:tc>
          <w:tcPr>
            <w:tcW w:w="1055" w:type="dxa"/>
            <w:tcBorders>
              <w:top w:val="single" w:sz="4" w:space="0" w:color="365F91"/>
              <w:bottom w:val="single" w:sz="4" w:space="0" w:color="365F91"/>
            </w:tcBorders>
            <w:noWrap/>
          </w:tcPr>
          <w:p w14:paraId="3402252E" w14:textId="77777777" w:rsidR="00333601" w:rsidRPr="00BE78CA" w:rsidRDefault="00333601" w:rsidP="00C26084">
            <w:pPr>
              <w:pStyle w:val="TableText"/>
              <w:spacing w:before="50" w:after="50"/>
              <w:jc w:val="center"/>
            </w:pPr>
            <w:r w:rsidRPr="00BE78CA">
              <w:t>1,281.4</w:t>
            </w:r>
          </w:p>
        </w:tc>
        <w:tc>
          <w:tcPr>
            <w:tcW w:w="1213" w:type="dxa"/>
            <w:tcBorders>
              <w:top w:val="single" w:sz="4" w:space="0" w:color="365F91"/>
              <w:bottom w:val="single" w:sz="4" w:space="0" w:color="365F91"/>
            </w:tcBorders>
          </w:tcPr>
          <w:p w14:paraId="51592210" w14:textId="77777777" w:rsidR="00333601" w:rsidRPr="00BE78CA" w:rsidRDefault="00333601" w:rsidP="00C26084">
            <w:pPr>
              <w:pStyle w:val="TableText"/>
              <w:spacing w:before="50" w:after="50"/>
              <w:jc w:val="center"/>
            </w:pPr>
            <w:r w:rsidRPr="00BE78CA">
              <w:t>+279.9</w:t>
            </w:r>
          </w:p>
        </w:tc>
      </w:tr>
      <w:tr w:rsidR="00333601" w:rsidRPr="00BE78CA" w14:paraId="50F4107D" w14:textId="77777777" w:rsidTr="007C785F">
        <w:trPr>
          <w:trHeight w:val="20"/>
        </w:trPr>
        <w:tc>
          <w:tcPr>
            <w:tcW w:w="2619" w:type="dxa"/>
            <w:tcBorders>
              <w:top w:val="single" w:sz="4" w:space="0" w:color="365F91"/>
              <w:bottom w:val="single" w:sz="4" w:space="0" w:color="365F91"/>
            </w:tcBorders>
          </w:tcPr>
          <w:p w14:paraId="3EA68743" w14:textId="77777777" w:rsidR="00333601" w:rsidRPr="00BE78CA" w:rsidRDefault="00333601" w:rsidP="00C26084">
            <w:pPr>
              <w:pStyle w:val="TableText"/>
              <w:spacing w:before="50" w:after="50"/>
            </w:pPr>
            <w:r w:rsidRPr="00BE78CA">
              <w:t>Land converted to grassland</w:t>
            </w:r>
          </w:p>
        </w:tc>
        <w:tc>
          <w:tcPr>
            <w:tcW w:w="1357" w:type="dxa"/>
            <w:tcBorders>
              <w:top w:val="single" w:sz="4" w:space="0" w:color="365F91"/>
              <w:bottom w:val="single" w:sz="4" w:space="0" w:color="365F91"/>
            </w:tcBorders>
          </w:tcPr>
          <w:p w14:paraId="159FECDC" w14:textId="77777777" w:rsidR="00333601" w:rsidRPr="00BE78CA" w:rsidRDefault="00333601" w:rsidP="00C26084">
            <w:pPr>
              <w:pStyle w:val="TableText"/>
              <w:spacing w:before="50" w:after="50"/>
              <w:jc w:val="center"/>
            </w:pPr>
            <w:r w:rsidRPr="00BE78CA">
              <w:t>343,970</w:t>
            </w:r>
          </w:p>
        </w:tc>
        <w:tc>
          <w:tcPr>
            <w:tcW w:w="1357" w:type="dxa"/>
            <w:tcBorders>
              <w:top w:val="single" w:sz="4" w:space="0" w:color="365F91"/>
              <w:bottom w:val="single" w:sz="4" w:space="0" w:color="365F91"/>
            </w:tcBorders>
          </w:tcPr>
          <w:p w14:paraId="334E6D65" w14:textId="77777777" w:rsidR="00333601" w:rsidRPr="00BE78CA" w:rsidRDefault="00333601" w:rsidP="00C26084">
            <w:pPr>
              <w:pStyle w:val="TableText"/>
              <w:spacing w:before="50" w:after="50"/>
              <w:jc w:val="center"/>
            </w:pPr>
            <w:r w:rsidRPr="00BE78CA">
              <w:t>188,207</w:t>
            </w:r>
          </w:p>
        </w:tc>
        <w:tc>
          <w:tcPr>
            <w:tcW w:w="904" w:type="dxa"/>
            <w:tcBorders>
              <w:top w:val="single" w:sz="4" w:space="0" w:color="365F91"/>
              <w:bottom w:val="single" w:sz="4" w:space="0" w:color="365F91"/>
            </w:tcBorders>
            <w:noWrap/>
          </w:tcPr>
          <w:p w14:paraId="62C77B61" w14:textId="77777777" w:rsidR="00333601" w:rsidRPr="00BE78CA" w:rsidRDefault="00333601" w:rsidP="00C26084">
            <w:pPr>
              <w:pStyle w:val="TableText"/>
              <w:spacing w:before="50" w:after="50"/>
              <w:jc w:val="center"/>
            </w:pPr>
            <w:r w:rsidRPr="00BE78CA">
              <w:t>342.9</w:t>
            </w:r>
          </w:p>
        </w:tc>
        <w:tc>
          <w:tcPr>
            <w:tcW w:w="1055" w:type="dxa"/>
            <w:tcBorders>
              <w:top w:val="single" w:sz="4" w:space="0" w:color="365F91"/>
              <w:bottom w:val="single" w:sz="4" w:space="0" w:color="365F91"/>
            </w:tcBorders>
            <w:noWrap/>
          </w:tcPr>
          <w:p w14:paraId="19D52137" w14:textId="77777777" w:rsidR="00333601" w:rsidRPr="00BE78CA" w:rsidRDefault="00333601" w:rsidP="00C26084">
            <w:pPr>
              <w:pStyle w:val="TableText"/>
              <w:spacing w:before="50" w:after="50"/>
              <w:jc w:val="center"/>
            </w:pPr>
            <w:r w:rsidRPr="00BE78CA">
              <w:t>2,972.2</w:t>
            </w:r>
          </w:p>
        </w:tc>
        <w:tc>
          <w:tcPr>
            <w:tcW w:w="1213" w:type="dxa"/>
            <w:tcBorders>
              <w:top w:val="single" w:sz="4" w:space="0" w:color="365F91"/>
              <w:bottom w:val="single" w:sz="4" w:space="0" w:color="365F91"/>
            </w:tcBorders>
          </w:tcPr>
          <w:p w14:paraId="206800D1" w14:textId="77777777" w:rsidR="00333601" w:rsidRPr="00BE78CA" w:rsidRDefault="00333601" w:rsidP="00C26084">
            <w:pPr>
              <w:pStyle w:val="TableText"/>
              <w:spacing w:before="50" w:after="50"/>
              <w:jc w:val="center"/>
            </w:pPr>
            <w:r w:rsidRPr="00BE78CA">
              <w:t>+766.7</w:t>
            </w:r>
          </w:p>
        </w:tc>
      </w:tr>
      <w:tr w:rsidR="00333601" w:rsidRPr="00BE78CA" w14:paraId="632F6079" w14:textId="77777777" w:rsidTr="007C785F">
        <w:trPr>
          <w:trHeight w:val="20"/>
        </w:trPr>
        <w:tc>
          <w:tcPr>
            <w:tcW w:w="2619" w:type="dxa"/>
            <w:tcBorders>
              <w:top w:val="single" w:sz="4" w:space="0" w:color="365F91"/>
              <w:bottom w:val="single" w:sz="4" w:space="0" w:color="365F91"/>
            </w:tcBorders>
          </w:tcPr>
          <w:p w14:paraId="3E297EF3" w14:textId="77777777" w:rsidR="00333601" w:rsidRPr="00BE78CA" w:rsidRDefault="00333601" w:rsidP="00C26084">
            <w:pPr>
              <w:pStyle w:val="Tableboldblue"/>
              <w:spacing w:before="50" w:after="50"/>
            </w:pPr>
            <w:r w:rsidRPr="00BE78CA">
              <w:t>Total</w:t>
            </w:r>
          </w:p>
        </w:tc>
        <w:tc>
          <w:tcPr>
            <w:tcW w:w="1357" w:type="dxa"/>
            <w:tcBorders>
              <w:top w:val="single" w:sz="4" w:space="0" w:color="365F91"/>
              <w:bottom w:val="single" w:sz="4" w:space="0" w:color="365F91"/>
            </w:tcBorders>
          </w:tcPr>
          <w:p w14:paraId="58F80D90" w14:textId="77777777" w:rsidR="00333601" w:rsidRPr="00BE78CA" w:rsidRDefault="00333601" w:rsidP="00C26084">
            <w:pPr>
              <w:pStyle w:val="Tableboldblue"/>
              <w:spacing w:before="50" w:after="50"/>
              <w:jc w:val="center"/>
            </w:pPr>
            <w:r w:rsidRPr="00BE78CA">
              <w:t>15,266,307</w:t>
            </w:r>
          </w:p>
        </w:tc>
        <w:tc>
          <w:tcPr>
            <w:tcW w:w="1357" w:type="dxa"/>
            <w:tcBorders>
              <w:top w:val="single" w:sz="4" w:space="0" w:color="365F91"/>
              <w:bottom w:val="single" w:sz="4" w:space="0" w:color="365F91"/>
            </w:tcBorders>
          </w:tcPr>
          <w:p w14:paraId="3F2D2C9F" w14:textId="77777777" w:rsidR="00333601" w:rsidRPr="00BE78CA" w:rsidRDefault="00333601" w:rsidP="00C26084">
            <w:pPr>
              <w:pStyle w:val="Tableboldblue"/>
              <w:spacing w:before="50" w:after="50"/>
              <w:jc w:val="center"/>
            </w:pPr>
            <w:r w:rsidRPr="00BE78CA">
              <w:t>14,619,040</w:t>
            </w:r>
          </w:p>
        </w:tc>
        <w:tc>
          <w:tcPr>
            <w:tcW w:w="904" w:type="dxa"/>
            <w:tcBorders>
              <w:top w:val="single" w:sz="4" w:space="0" w:color="365F91"/>
              <w:bottom w:val="single" w:sz="4" w:space="0" w:color="365F91"/>
            </w:tcBorders>
            <w:noWrap/>
          </w:tcPr>
          <w:p w14:paraId="4315AB66" w14:textId="77777777" w:rsidR="00333601" w:rsidRPr="00BE78CA" w:rsidRDefault="00333601" w:rsidP="00C26084">
            <w:pPr>
              <w:pStyle w:val="Tableboldblue"/>
              <w:spacing w:before="50" w:after="50"/>
              <w:jc w:val="center"/>
            </w:pPr>
            <w:r w:rsidRPr="00BE78CA">
              <w:t>680.2</w:t>
            </w:r>
          </w:p>
        </w:tc>
        <w:tc>
          <w:tcPr>
            <w:tcW w:w="1055" w:type="dxa"/>
            <w:tcBorders>
              <w:top w:val="single" w:sz="4" w:space="0" w:color="365F91"/>
              <w:bottom w:val="single" w:sz="4" w:space="0" w:color="365F91"/>
            </w:tcBorders>
            <w:noWrap/>
          </w:tcPr>
          <w:p w14:paraId="315D4784" w14:textId="77777777" w:rsidR="00333601" w:rsidRPr="00BE78CA" w:rsidRDefault="00333601" w:rsidP="00C26084">
            <w:pPr>
              <w:pStyle w:val="Tableboldblue"/>
              <w:spacing w:before="50" w:after="50"/>
              <w:jc w:val="center"/>
            </w:pPr>
            <w:r w:rsidRPr="00BE78CA">
              <w:t>4,253.6</w:t>
            </w:r>
          </w:p>
        </w:tc>
        <w:tc>
          <w:tcPr>
            <w:tcW w:w="1213" w:type="dxa"/>
            <w:tcBorders>
              <w:top w:val="single" w:sz="4" w:space="0" w:color="365F91"/>
              <w:bottom w:val="single" w:sz="4" w:space="0" w:color="365F91"/>
            </w:tcBorders>
          </w:tcPr>
          <w:p w14:paraId="628D5629" w14:textId="77777777" w:rsidR="00333601" w:rsidRPr="00BE78CA" w:rsidRDefault="00333601" w:rsidP="00C26084">
            <w:pPr>
              <w:pStyle w:val="Tableboldblue"/>
              <w:spacing w:before="50" w:after="50"/>
              <w:jc w:val="center"/>
            </w:pPr>
            <w:r w:rsidRPr="00BE78CA">
              <w:t>+525.4</w:t>
            </w:r>
          </w:p>
        </w:tc>
      </w:tr>
    </w:tbl>
    <w:p w14:paraId="2B94EC48" w14:textId="77777777" w:rsidR="00333601" w:rsidRPr="00BE78CA" w:rsidRDefault="00333601" w:rsidP="00333601">
      <w:pPr>
        <w:pStyle w:val="Noteundertable"/>
        <w:spacing w:after="60"/>
        <w:rPr>
          <w:rFonts w:eastAsia="Calibri"/>
        </w:rPr>
      </w:pPr>
      <w:r w:rsidRPr="00BE78CA">
        <w:rPr>
          <w:rFonts w:eastAsia="Calibri"/>
          <w:b/>
          <w:bCs/>
        </w:rPr>
        <w:t>Note</w:t>
      </w:r>
      <w:r w:rsidRPr="00BE78CA">
        <w:rPr>
          <w:rFonts w:eastAsia="Calibri"/>
          <w:b/>
        </w:rPr>
        <w:t>:</w:t>
      </w:r>
      <w:r w:rsidRPr="00BE78CA">
        <w:rPr>
          <w:rFonts w:eastAsia="Calibri"/>
        </w:rPr>
        <w:tab/>
      </w:r>
      <w:r w:rsidRPr="00BE78CA">
        <w:t xml:space="preserve">Net area in 1990 is as at 1 January 1990; net area in 2019 is as at 31 December. </w:t>
      </w:r>
      <w:r w:rsidRPr="00BE78CA">
        <w:rPr>
          <w:i/>
        </w:rPr>
        <w:t>Land converted to grassland</w:t>
      </w:r>
      <w:r w:rsidRPr="00BE78CA">
        <w:t xml:space="preserve"> includes land converted up to 20 years prior. Net emission estimates are for the whole year indicated. Columns may not total due to rounding.</w:t>
      </w:r>
    </w:p>
    <w:p w14:paraId="0B395655" w14:textId="77777777" w:rsidR="00333601" w:rsidRPr="00BE78CA" w:rsidRDefault="00333601" w:rsidP="00333601">
      <w:pPr>
        <w:pStyle w:val="BodyText"/>
        <w:spacing w:before="100" w:after="100"/>
      </w:pPr>
      <w:r w:rsidRPr="00BE78CA">
        <w:t>In 2019, there were 6,881,070 hectares of high producing grassland (25.6 per cent of total land area), 6,364,328 hectares of low producing grassland (23.6 per cent of total land area) and 1,373,642 hectares of grassland with woody biomass (5.1 per cent of total land area).</w:t>
      </w:r>
    </w:p>
    <w:p w14:paraId="31B1BBFE" w14:textId="77777777" w:rsidR="00333601" w:rsidRPr="00BE78CA" w:rsidRDefault="00333601" w:rsidP="00333601">
      <w:pPr>
        <w:pStyle w:val="BodyText"/>
      </w:pPr>
      <w:r w:rsidRPr="00BE78CA">
        <w:t xml:space="preserve">From 1990 to 2019, the net carbon stock change attributed to </w:t>
      </w:r>
      <w:r w:rsidRPr="00BE78CA">
        <w:rPr>
          <w:i/>
        </w:rPr>
        <w:t>Grassland</w:t>
      </w:r>
      <w:r w:rsidRPr="00BE78CA">
        <w:t xml:space="preserve"> was a loss of 37,007.3 kt C, equivalent to 135,693.4 kt CO</w:t>
      </w:r>
      <w:r w:rsidRPr="00BE78CA">
        <w:rPr>
          <w:vertAlign w:val="subscript"/>
        </w:rPr>
        <w:t>2</w:t>
      </w:r>
      <w:r w:rsidRPr="00BE78CA">
        <w:t xml:space="preserve"> emissions (see table 6.6.2). Most of these emissions are due to the loss of living biomass carbon stock associated with </w:t>
      </w:r>
      <w:r w:rsidRPr="00BE78CA">
        <w:rPr>
          <w:i/>
        </w:rPr>
        <w:t>Forest land</w:t>
      </w:r>
      <w:r w:rsidRPr="00BE78CA">
        <w:t xml:space="preserve"> conversion to </w:t>
      </w:r>
      <w:r w:rsidRPr="00BE78CA">
        <w:rPr>
          <w:i/>
        </w:rPr>
        <w:t>Grassland</w:t>
      </w:r>
      <w:r w:rsidRPr="00BE78CA">
        <w:t xml:space="preserve"> (deforestation). </w:t>
      </w:r>
    </w:p>
    <w:p w14:paraId="0A85D332" w14:textId="77777777" w:rsidR="00333601" w:rsidRPr="00BE78CA" w:rsidRDefault="00333601" w:rsidP="00333601">
      <w:pPr>
        <w:pStyle w:val="Table"/>
      </w:pPr>
      <w:bookmarkStart w:id="2245" w:name="_Toc280630467"/>
      <w:bookmarkStart w:id="2246" w:name="_Toc310423423"/>
      <w:bookmarkStart w:id="2247" w:name="_Toc318362716"/>
      <w:bookmarkStart w:id="2248" w:name="_Toc342470778"/>
      <w:bookmarkStart w:id="2249" w:name="_Toc352505018"/>
      <w:bookmarkStart w:id="2250" w:name="_Toc378853308"/>
      <w:bookmarkStart w:id="2251" w:name="_Toc391024106"/>
      <w:bookmarkStart w:id="2252" w:name="_Toc410028849"/>
      <w:bookmarkStart w:id="2253" w:name="_Toc414531477"/>
      <w:bookmarkStart w:id="2254" w:name="_Toc443645390"/>
      <w:bookmarkStart w:id="2255" w:name="_Toc474914609"/>
      <w:bookmarkStart w:id="2256" w:name="_Toc481751573"/>
      <w:bookmarkStart w:id="2257" w:name="_Toc522010630"/>
      <w:bookmarkStart w:id="2258" w:name="_Toc5269535"/>
      <w:bookmarkStart w:id="2259" w:name="_Toc33529409"/>
      <w:bookmarkStart w:id="2260" w:name="_Toc36224615"/>
      <w:bookmarkStart w:id="2261" w:name="_Toc65243612"/>
      <w:bookmarkStart w:id="2262" w:name="_Toc68786502"/>
      <w:r w:rsidRPr="00BE78CA">
        <w:t>Table 6.6.2</w:t>
      </w:r>
      <w:r w:rsidRPr="00BE78CA">
        <w:tab/>
        <w:t>New Zealand’s carbon stock change by carbon pool for the</w:t>
      </w:r>
      <w:r w:rsidRPr="00BE78CA">
        <w:rPr>
          <w:rFonts w:cs="Arial"/>
        </w:rPr>
        <w:t xml:space="preserve"> Grassland</w:t>
      </w:r>
      <w:r w:rsidRPr="00BE78CA">
        <w:t xml:space="preserve"> category</w:t>
      </w:r>
      <w:r w:rsidRPr="00BE78CA">
        <w:br/>
        <w:t>from 1990 to</w:t>
      </w:r>
      <w:bookmarkEnd w:id="2245"/>
      <w:bookmarkEnd w:id="2246"/>
      <w:bookmarkEnd w:id="2247"/>
      <w:bookmarkEnd w:id="2248"/>
      <w:bookmarkEnd w:id="2249"/>
      <w:bookmarkEnd w:id="2250"/>
      <w:bookmarkEnd w:id="2251"/>
      <w:r w:rsidRPr="00BE78CA">
        <w:t> 201</w:t>
      </w:r>
      <w:bookmarkEnd w:id="2252"/>
      <w:bookmarkEnd w:id="2253"/>
      <w:bookmarkEnd w:id="2254"/>
      <w:bookmarkEnd w:id="2255"/>
      <w:bookmarkEnd w:id="2256"/>
      <w:r w:rsidRPr="00BE78CA">
        <w:t>9</w:t>
      </w:r>
      <w:bookmarkEnd w:id="2257"/>
      <w:bookmarkEnd w:id="2258"/>
      <w:bookmarkEnd w:id="2259"/>
      <w:bookmarkEnd w:id="2260"/>
      <w:bookmarkEnd w:id="2261"/>
      <w:bookmarkEnd w:id="2262"/>
    </w:p>
    <w:tbl>
      <w:tblPr>
        <w:tblW w:w="8505" w:type="dxa"/>
        <w:tblBorders>
          <w:top w:val="single" w:sz="4" w:space="0" w:color="365F91"/>
          <w:bottom w:val="single" w:sz="4" w:space="0" w:color="365F91"/>
          <w:insideH w:val="single" w:sz="4" w:space="0" w:color="365F91"/>
        </w:tblBorders>
        <w:tblLayout w:type="fixed"/>
        <w:tblLook w:val="04A0" w:firstRow="1" w:lastRow="0" w:firstColumn="1" w:lastColumn="0" w:noHBand="0" w:noVBand="1"/>
      </w:tblPr>
      <w:tblGrid>
        <w:gridCol w:w="2772"/>
        <w:gridCol w:w="1056"/>
        <w:gridCol w:w="1358"/>
        <w:gridCol w:w="1056"/>
        <w:gridCol w:w="1056"/>
        <w:gridCol w:w="1207"/>
      </w:tblGrid>
      <w:tr w:rsidR="00333601" w:rsidRPr="00BE78CA" w14:paraId="7072C44C" w14:textId="77777777" w:rsidTr="007C785F">
        <w:trPr>
          <w:trHeight w:val="287"/>
        </w:trPr>
        <w:tc>
          <w:tcPr>
            <w:tcW w:w="2772" w:type="dxa"/>
            <w:vMerge w:val="restart"/>
            <w:shd w:val="clear" w:color="auto" w:fill="365F91"/>
            <w:vAlign w:val="bottom"/>
          </w:tcPr>
          <w:p w14:paraId="4B03E96C" w14:textId="77777777" w:rsidR="00333601" w:rsidRPr="00BE78CA" w:rsidRDefault="00333601" w:rsidP="00C26084">
            <w:pPr>
              <w:pStyle w:val="TableText"/>
              <w:keepNext/>
              <w:spacing w:before="50" w:after="50"/>
              <w:rPr>
                <w:b/>
                <w:color w:val="FFFFFF"/>
                <w:szCs w:val="16"/>
              </w:rPr>
            </w:pPr>
            <w:r w:rsidRPr="00BE78CA">
              <w:rPr>
                <w:b/>
                <w:color w:val="FFFFFF"/>
                <w:szCs w:val="16"/>
              </w:rPr>
              <w:t>Grassland category</w:t>
            </w:r>
          </w:p>
        </w:tc>
        <w:tc>
          <w:tcPr>
            <w:tcW w:w="4526" w:type="dxa"/>
            <w:gridSpan w:val="4"/>
            <w:shd w:val="clear" w:color="auto" w:fill="365F91"/>
            <w:vAlign w:val="bottom"/>
          </w:tcPr>
          <w:p w14:paraId="701EC047" w14:textId="77777777" w:rsidR="00333601" w:rsidRPr="00BE78CA" w:rsidRDefault="00333601" w:rsidP="00C26084">
            <w:pPr>
              <w:pStyle w:val="TableText"/>
              <w:keepNext/>
              <w:spacing w:before="50" w:after="0"/>
              <w:jc w:val="center"/>
              <w:rPr>
                <w:b/>
                <w:color w:val="FFFFFF"/>
                <w:szCs w:val="16"/>
              </w:rPr>
            </w:pPr>
            <w:r w:rsidRPr="00BE78CA">
              <w:rPr>
                <w:b/>
                <w:color w:val="FFFFFF"/>
                <w:szCs w:val="16"/>
              </w:rPr>
              <w:t>Net carbon stock change 1990–2019 (kt C)</w:t>
            </w:r>
          </w:p>
        </w:tc>
        <w:tc>
          <w:tcPr>
            <w:tcW w:w="1207" w:type="dxa"/>
            <w:vMerge w:val="restart"/>
            <w:shd w:val="clear" w:color="auto" w:fill="365F91"/>
            <w:vAlign w:val="bottom"/>
          </w:tcPr>
          <w:p w14:paraId="66C36125" w14:textId="77777777" w:rsidR="00333601" w:rsidRPr="00BE78CA" w:rsidRDefault="00333601" w:rsidP="00C26084">
            <w:pPr>
              <w:pStyle w:val="TableText"/>
              <w:keepNext/>
              <w:spacing w:before="50" w:after="50"/>
              <w:jc w:val="center"/>
              <w:rPr>
                <w:b/>
                <w:szCs w:val="16"/>
              </w:rPr>
            </w:pPr>
            <w:r w:rsidRPr="00BE78CA">
              <w:rPr>
                <w:b/>
                <w:color w:val="FFFFFF"/>
                <w:szCs w:val="16"/>
                <w:shd w:val="clear" w:color="auto" w:fill="365F91"/>
              </w:rPr>
              <w:t xml:space="preserve">Emissions </w:t>
            </w:r>
            <w:r w:rsidRPr="00BE78CA">
              <w:rPr>
                <w:b/>
                <w:color w:val="FFFFFF"/>
                <w:szCs w:val="16"/>
                <w:shd w:val="clear" w:color="auto" w:fill="365F91"/>
              </w:rPr>
              <w:br/>
              <w:t>1990–2019</w:t>
            </w:r>
            <w:r w:rsidRPr="00BE78CA">
              <w:rPr>
                <w:b/>
                <w:color w:val="FFFFFF"/>
                <w:szCs w:val="16"/>
                <w:shd w:val="clear" w:color="auto" w:fill="365F91"/>
              </w:rPr>
              <w:br/>
              <w:t>(kt CO</w:t>
            </w:r>
            <w:r w:rsidRPr="00BE78CA">
              <w:rPr>
                <w:b/>
                <w:color w:val="FFFFFF"/>
                <w:szCs w:val="16"/>
                <w:shd w:val="clear" w:color="auto" w:fill="365F91"/>
                <w:vertAlign w:val="subscript"/>
              </w:rPr>
              <w:t>2</w:t>
            </w:r>
            <w:r w:rsidRPr="00BE78CA">
              <w:rPr>
                <w:b/>
                <w:color w:val="FFFFFF"/>
                <w:szCs w:val="16"/>
              </w:rPr>
              <w:t>)</w:t>
            </w:r>
          </w:p>
        </w:tc>
      </w:tr>
      <w:tr w:rsidR="00333601" w:rsidRPr="00BE78CA" w14:paraId="43DC17A4" w14:textId="77777777" w:rsidTr="007C785F">
        <w:trPr>
          <w:trHeight w:val="262"/>
        </w:trPr>
        <w:tc>
          <w:tcPr>
            <w:tcW w:w="2772" w:type="dxa"/>
            <w:vMerge/>
            <w:shd w:val="clear" w:color="auto" w:fill="365F91"/>
            <w:vAlign w:val="bottom"/>
          </w:tcPr>
          <w:p w14:paraId="7DE17B1C" w14:textId="77777777" w:rsidR="00333601" w:rsidRPr="00BE78CA" w:rsidRDefault="00333601" w:rsidP="00C26084">
            <w:pPr>
              <w:pStyle w:val="TableText"/>
              <w:keepNext/>
              <w:spacing w:before="50" w:after="50"/>
              <w:rPr>
                <w:color w:val="FFFFFF"/>
                <w:szCs w:val="16"/>
              </w:rPr>
            </w:pPr>
          </w:p>
        </w:tc>
        <w:tc>
          <w:tcPr>
            <w:tcW w:w="1056" w:type="dxa"/>
            <w:shd w:val="clear" w:color="auto" w:fill="365F91"/>
            <w:vAlign w:val="bottom"/>
          </w:tcPr>
          <w:p w14:paraId="4E3CE9C4" w14:textId="77777777" w:rsidR="00333601" w:rsidRPr="00BE78CA" w:rsidRDefault="00333601" w:rsidP="00C26084">
            <w:pPr>
              <w:pStyle w:val="TableText"/>
              <w:keepNext/>
              <w:spacing w:before="50" w:after="50"/>
              <w:jc w:val="center"/>
              <w:rPr>
                <w:b/>
                <w:color w:val="FFFFFF"/>
                <w:szCs w:val="16"/>
              </w:rPr>
            </w:pPr>
            <w:r w:rsidRPr="00BE78CA">
              <w:rPr>
                <w:b/>
                <w:color w:val="FFFFFF"/>
                <w:szCs w:val="16"/>
              </w:rPr>
              <w:t>Living biomass</w:t>
            </w:r>
          </w:p>
        </w:tc>
        <w:tc>
          <w:tcPr>
            <w:tcW w:w="1358" w:type="dxa"/>
            <w:shd w:val="clear" w:color="auto" w:fill="365F91"/>
            <w:vAlign w:val="bottom"/>
          </w:tcPr>
          <w:p w14:paraId="11E0E324" w14:textId="77777777" w:rsidR="00333601" w:rsidRPr="00BE78CA" w:rsidRDefault="00333601" w:rsidP="00C26084">
            <w:pPr>
              <w:pStyle w:val="TableText"/>
              <w:keepNext/>
              <w:spacing w:before="50" w:after="50"/>
              <w:jc w:val="center"/>
              <w:rPr>
                <w:b/>
                <w:color w:val="FFFFFF"/>
                <w:szCs w:val="16"/>
              </w:rPr>
            </w:pPr>
            <w:r w:rsidRPr="00BE78CA">
              <w:rPr>
                <w:b/>
                <w:color w:val="FFFFFF"/>
                <w:szCs w:val="16"/>
              </w:rPr>
              <w:t>Dead organic matter</w:t>
            </w:r>
          </w:p>
        </w:tc>
        <w:tc>
          <w:tcPr>
            <w:tcW w:w="1056" w:type="dxa"/>
            <w:shd w:val="clear" w:color="auto" w:fill="365F91"/>
            <w:vAlign w:val="bottom"/>
          </w:tcPr>
          <w:p w14:paraId="7B7694DF" w14:textId="77777777" w:rsidR="00333601" w:rsidRPr="00BE78CA" w:rsidRDefault="00333601" w:rsidP="00C26084">
            <w:pPr>
              <w:pStyle w:val="TableText"/>
              <w:keepNext/>
              <w:spacing w:before="50" w:after="50"/>
              <w:jc w:val="center"/>
              <w:rPr>
                <w:b/>
                <w:color w:val="FFFFFF"/>
                <w:szCs w:val="16"/>
              </w:rPr>
            </w:pPr>
            <w:r w:rsidRPr="00BE78CA">
              <w:rPr>
                <w:b/>
                <w:color w:val="FFFFFF"/>
                <w:szCs w:val="16"/>
              </w:rPr>
              <w:t>Soils</w:t>
            </w:r>
          </w:p>
        </w:tc>
        <w:tc>
          <w:tcPr>
            <w:tcW w:w="1056" w:type="dxa"/>
            <w:shd w:val="clear" w:color="auto" w:fill="365F91"/>
            <w:vAlign w:val="bottom"/>
          </w:tcPr>
          <w:p w14:paraId="0F3A2314" w14:textId="77777777" w:rsidR="00333601" w:rsidRPr="00BE78CA" w:rsidRDefault="00333601" w:rsidP="00C26084">
            <w:pPr>
              <w:pStyle w:val="TableText"/>
              <w:keepNext/>
              <w:spacing w:before="50" w:after="50"/>
              <w:jc w:val="center"/>
              <w:rPr>
                <w:b/>
                <w:color w:val="FFFFFF"/>
                <w:szCs w:val="16"/>
              </w:rPr>
            </w:pPr>
            <w:r w:rsidRPr="00BE78CA">
              <w:rPr>
                <w:b/>
                <w:color w:val="FFFFFF"/>
                <w:szCs w:val="16"/>
              </w:rPr>
              <w:t>Total</w:t>
            </w:r>
          </w:p>
        </w:tc>
        <w:tc>
          <w:tcPr>
            <w:tcW w:w="1207" w:type="dxa"/>
            <w:vMerge/>
            <w:vAlign w:val="bottom"/>
          </w:tcPr>
          <w:p w14:paraId="446077AE" w14:textId="77777777" w:rsidR="00333601" w:rsidRPr="00BE78CA" w:rsidRDefault="00333601" w:rsidP="00C26084">
            <w:pPr>
              <w:pStyle w:val="TableText"/>
              <w:keepNext/>
              <w:spacing w:before="50" w:after="50"/>
              <w:jc w:val="center"/>
              <w:rPr>
                <w:szCs w:val="16"/>
              </w:rPr>
            </w:pPr>
          </w:p>
        </w:tc>
      </w:tr>
      <w:tr w:rsidR="00333601" w:rsidRPr="00BE78CA" w14:paraId="3F46F425" w14:textId="77777777" w:rsidTr="007C785F">
        <w:tc>
          <w:tcPr>
            <w:tcW w:w="2772" w:type="dxa"/>
          </w:tcPr>
          <w:p w14:paraId="6D83C8B7" w14:textId="77777777" w:rsidR="00333601" w:rsidRPr="00BE78CA" w:rsidRDefault="00333601" w:rsidP="00C26084">
            <w:pPr>
              <w:pStyle w:val="TableText"/>
              <w:keepNext/>
              <w:spacing w:before="50" w:after="50"/>
              <w:rPr>
                <w:szCs w:val="16"/>
              </w:rPr>
            </w:pPr>
            <w:r w:rsidRPr="00BE78CA">
              <w:rPr>
                <w:szCs w:val="16"/>
              </w:rPr>
              <w:t>Grassland – high producing</w:t>
            </w:r>
          </w:p>
        </w:tc>
        <w:tc>
          <w:tcPr>
            <w:tcW w:w="1056" w:type="dxa"/>
          </w:tcPr>
          <w:p w14:paraId="73B80206" w14:textId="77777777" w:rsidR="00333601" w:rsidRPr="00BE78CA" w:rsidRDefault="00333601" w:rsidP="00C26084">
            <w:pPr>
              <w:pStyle w:val="TableText"/>
              <w:spacing w:before="50" w:after="50"/>
              <w:jc w:val="center"/>
              <w:rPr>
                <w:szCs w:val="16"/>
              </w:rPr>
            </w:pPr>
            <w:r w:rsidRPr="00BE78CA">
              <w:t>–14,336.8</w:t>
            </w:r>
          </w:p>
        </w:tc>
        <w:tc>
          <w:tcPr>
            <w:tcW w:w="1358" w:type="dxa"/>
          </w:tcPr>
          <w:p w14:paraId="75328F98" w14:textId="77777777" w:rsidR="00333601" w:rsidRPr="00BE78CA" w:rsidRDefault="00333601" w:rsidP="00C26084">
            <w:pPr>
              <w:pStyle w:val="TableText"/>
              <w:spacing w:before="50" w:after="50"/>
              <w:jc w:val="center"/>
              <w:rPr>
                <w:b/>
                <w:szCs w:val="16"/>
              </w:rPr>
            </w:pPr>
            <w:r w:rsidRPr="00BE78CA">
              <w:t>–1,986.8</w:t>
            </w:r>
          </w:p>
        </w:tc>
        <w:tc>
          <w:tcPr>
            <w:tcW w:w="1056" w:type="dxa"/>
          </w:tcPr>
          <w:p w14:paraId="2FBBBE52" w14:textId="77777777" w:rsidR="00333601" w:rsidRPr="00BE78CA" w:rsidRDefault="00333601" w:rsidP="00C26084">
            <w:pPr>
              <w:pStyle w:val="TableText"/>
              <w:spacing w:before="50" w:after="50"/>
              <w:jc w:val="center"/>
              <w:rPr>
                <w:b/>
                <w:szCs w:val="16"/>
              </w:rPr>
            </w:pPr>
            <w:r w:rsidRPr="00BE78CA">
              <w:t>–8,854.7</w:t>
            </w:r>
          </w:p>
        </w:tc>
        <w:tc>
          <w:tcPr>
            <w:tcW w:w="1056" w:type="dxa"/>
          </w:tcPr>
          <w:p w14:paraId="50810C41" w14:textId="77777777" w:rsidR="00333601" w:rsidRPr="00BE78CA" w:rsidRDefault="00333601" w:rsidP="00C26084">
            <w:pPr>
              <w:pStyle w:val="TableText"/>
              <w:spacing w:before="50" w:after="50"/>
              <w:jc w:val="center"/>
              <w:rPr>
                <w:b/>
                <w:szCs w:val="16"/>
              </w:rPr>
            </w:pPr>
            <w:r w:rsidRPr="00BE78CA">
              <w:t>–25,178.3</w:t>
            </w:r>
          </w:p>
        </w:tc>
        <w:tc>
          <w:tcPr>
            <w:tcW w:w="1207" w:type="dxa"/>
          </w:tcPr>
          <w:p w14:paraId="01C009DC" w14:textId="77777777" w:rsidR="00333601" w:rsidRPr="00BE78CA" w:rsidRDefault="00333601" w:rsidP="00C26084">
            <w:pPr>
              <w:pStyle w:val="TableText"/>
              <w:spacing w:before="50" w:after="50"/>
              <w:jc w:val="center"/>
              <w:rPr>
                <w:b/>
                <w:szCs w:val="16"/>
              </w:rPr>
            </w:pPr>
            <w:r w:rsidRPr="00BE78CA">
              <w:t>92,320.5</w:t>
            </w:r>
          </w:p>
        </w:tc>
      </w:tr>
      <w:tr w:rsidR="00333601" w:rsidRPr="00BE78CA" w14:paraId="73A3625A" w14:textId="77777777" w:rsidTr="007C785F">
        <w:tc>
          <w:tcPr>
            <w:tcW w:w="2772" w:type="dxa"/>
          </w:tcPr>
          <w:p w14:paraId="20110444" w14:textId="77777777" w:rsidR="00333601" w:rsidRPr="00BE78CA" w:rsidRDefault="00333601" w:rsidP="00C26084">
            <w:pPr>
              <w:pStyle w:val="TableText"/>
              <w:keepNext/>
              <w:spacing w:before="50" w:after="50"/>
              <w:rPr>
                <w:szCs w:val="16"/>
              </w:rPr>
            </w:pPr>
            <w:r w:rsidRPr="00BE78CA">
              <w:rPr>
                <w:szCs w:val="16"/>
              </w:rPr>
              <w:t>Grassland – low producing</w:t>
            </w:r>
          </w:p>
        </w:tc>
        <w:tc>
          <w:tcPr>
            <w:tcW w:w="1056" w:type="dxa"/>
          </w:tcPr>
          <w:p w14:paraId="47DD607F" w14:textId="77777777" w:rsidR="00333601" w:rsidRPr="00BE78CA" w:rsidRDefault="00333601" w:rsidP="00C26084">
            <w:pPr>
              <w:pStyle w:val="TableText"/>
              <w:spacing w:before="50" w:after="50"/>
              <w:jc w:val="center"/>
              <w:rPr>
                <w:szCs w:val="16"/>
              </w:rPr>
            </w:pPr>
            <w:r w:rsidRPr="00BE78CA">
              <w:t>–8,249.9</w:t>
            </w:r>
          </w:p>
        </w:tc>
        <w:tc>
          <w:tcPr>
            <w:tcW w:w="1358" w:type="dxa"/>
          </w:tcPr>
          <w:p w14:paraId="12CBC008" w14:textId="77777777" w:rsidR="00333601" w:rsidRPr="00BE78CA" w:rsidRDefault="00333601" w:rsidP="00C26084">
            <w:pPr>
              <w:pStyle w:val="TableText"/>
              <w:spacing w:before="50" w:after="50"/>
              <w:jc w:val="center"/>
              <w:rPr>
                <w:b/>
                <w:szCs w:val="16"/>
              </w:rPr>
            </w:pPr>
            <w:r w:rsidRPr="00BE78CA">
              <w:t>–1,207.9</w:t>
            </w:r>
          </w:p>
        </w:tc>
        <w:tc>
          <w:tcPr>
            <w:tcW w:w="1056" w:type="dxa"/>
          </w:tcPr>
          <w:p w14:paraId="2D92A8DB" w14:textId="77777777" w:rsidR="00333601" w:rsidRPr="00BE78CA" w:rsidRDefault="00333601" w:rsidP="00C26084">
            <w:pPr>
              <w:pStyle w:val="TableText"/>
              <w:spacing w:before="50" w:after="50"/>
              <w:jc w:val="center"/>
              <w:rPr>
                <w:b/>
                <w:szCs w:val="16"/>
              </w:rPr>
            </w:pPr>
            <w:r w:rsidRPr="00BE78CA">
              <w:t>583.9</w:t>
            </w:r>
          </w:p>
        </w:tc>
        <w:tc>
          <w:tcPr>
            <w:tcW w:w="1056" w:type="dxa"/>
          </w:tcPr>
          <w:p w14:paraId="6E64AB01" w14:textId="77777777" w:rsidR="00333601" w:rsidRPr="00BE78CA" w:rsidRDefault="00333601" w:rsidP="00C26084">
            <w:pPr>
              <w:pStyle w:val="TableText"/>
              <w:spacing w:before="50" w:after="50"/>
              <w:jc w:val="center"/>
              <w:rPr>
                <w:b/>
                <w:szCs w:val="16"/>
              </w:rPr>
            </w:pPr>
            <w:r w:rsidRPr="00BE78CA">
              <w:t>–8,873.8</w:t>
            </w:r>
          </w:p>
        </w:tc>
        <w:tc>
          <w:tcPr>
            <w:tcW w:w="1207" w:type="dxa"/>
          </w:tcPr>
          <w:p w14:paraId="27013036" w14:textId="77777777" w:rsidR="00333601" w:rsidRPr="00BE78CA" w:rsidRDefault="00333601" w:rsidP="00C26084">
            <w:pPr>
              <w:pStyle w:val="TableText"/>
              <w:spacing w:before="50" w:after="50"/>
              <w:jc w:val="center"/>
              <w:rPr>
                <w:b/>
                <w:szCs w:val="16"/>
              </w:rPr>
            </w:pPr>
            <w:r w:rsidRPr="00BE78CA">
              <w:t>32,537.4</w:t>
            </w:r>
          </w:p>
        </w:tc>
      </w:tr>
      <w:tr w:rsidR="00333601" w:rsidRPr="00BE78CA" w14:paraId="4E72E7E5" w14:textId="77777777" w:rsidTr="007C785F">
        <w:tc>
          <w:tcPr>
            <w:tcW w:w="2772" w:type="dxa"/>
          </w:tcPr>
          <w:p w14:paraId="5E01159F" w14:textId="77777777" w:rsidR="00333601" w:rsidRPr="00BE78CA" w:rsidRDefault="00333601" w:rsidP="00C26084">
            <w:pPr>
              <w:pStyle w:val="TableText"/>
              <w:keepNext/>
              <w:spacing w:before="50" w:after="50"/>
              <w:rPr>
                <w:szCs w:val="16"/>
              </w:rPr>
            </w:pPr>
            <w:r w:rsidRPr="00BE78CA">
              <w:rPr>
                <w:szCs w:val="16"/>
              </w:rPr>
              <w:t>Grassland – with woody biomass</w:t>
            </w:r>
          </w:p>
        </w:tc>
        <w:tc>
          <w:tcPr>
            <w:tcW w:w="1056" w:type="dxa"/>
          </w:tcPr>
          <w:p w14:paraId="6AA76993" w14:textId="77777777" w:rsidR="00333601" w:rsidRPr="00BE78CA" w:rsidRDefault="00333601" w:rsidP="00C26084">
            <w:pPr>
              <w:pStyle w:val="TableText"/>
              <w:spacing w:before="50" w:after="50"/>
              <w:jc w:val="center"/>
              <w:rPr>
                <w:szCs w:val="16"/>
              </w:rPr>
            </w:pPr>
            <w:r w:rsidRPr="00BE78CA">
              <w:t>–1,631.7</w:t>
            </w:r>
          </w:p>
        </w:tc>
        <w:tc>
          <w:tcPr>
            <w:tcW w:w="1358" w:type="dxa"/>
          </w:tcPr>
          <w:p w14:paraId="338A0D10" w14:textId="77777777" w:rsidR="00333601" w:rsidRPr="00BE78CA" w:rsidRDefault="00333601" w:rsidP="00C26084">
            <w:pPr>
              <w:pStyle w:val="TableText"/>
              <w:spacing w:before="50" w:after="50"/>
              <w:jc w:val="center"/>
              <w:rPr>
                <w:b/>
                <w:szCs w:val="16"/>
              </w:rPr>
            </w:pPr>
            <w:r w:rsidRPr="00BE78CA">
              <w:t>–383.1</w:t>
            </w:r>
          </w:p>
        </w:tc>
        <w:tc>
          <w:tcPr>
            <w:tcW w:w="1056" w:type="dxa"/>
          </w:tcPr>
          <w:p w14:paraId="5223DE6D" w14:textId="77777777" w:rsidR="00333601" w:rsidRPr="00BE78CA" w:rsidRDefault="00333601" w:rsidP="00C26084">
            <w:pPr>
              <w:pStyle w:val="TableText"/>
              <w:spacing w:before="50" w:after="50"/>
              <w:jc w:val="center"/>
              <w:rPr>
                <w:b/>
                <w:szCs w:val="16"/>
              </w:rPr>
            </w:pPr>
            <w:r w:rsidRPr="00BE78CA">
              <w:t>–940.4</w:t>
            </w:r>
          </w:p>
        </w:tc>
        <w:tc>
          <w:tcPr>
            <w:tcW w:w="1056" w:type="dxa"/>
          </w:tcPr>
          <w:p w14:paraId="4518DD9B" w14:textId="77777777" w:rsidR="00333601" w:rsidRPr="00BE78CA" w:rsidRDefault="00333601" w:rsidP="00C26084">
            <w:pPr>
              <w:pStyle w:val="TableText"/>
              <w:spacing w:before="50" w:after="50"/>
              <w:jc w:val="center"/>
              <w:rPr>
                <w:b/>
                <w:szCs w:val="16"/>
              </w:rPr>
            </w:pPr>
            <w:r w:rsidRPr="00BE78CA">
              <w:t>–2,955.1</w:t>
            </w:r>
          </w:p>
        </w:tc>
        <w:tc>
          <w:tcPr>
            <w:tcW w:w="1207" w:type="dxa"/>
          </w:tcPr>
          <w:p w14:paraId="65FA4D43" w14:textId="77777777" w:rsidR="00333601" w:rsidRPr="00BE78CA" w:rsidRDefault="00333601" w:rsidP="00C26084">
            <w:pPr>
              <w:pStyle w:val="TableText"/>
              <w:spacing w:before="50" w:after="50"/>
              <w:jc w:val="center"/>
              <w:rPr>
                <w:b/>
                <w:szCs w:val="16"/>
              </w:rPr>
            </w:pPr>
            <w:r w:rsidRPr="00BE78CA">
              <w:t>10,835.5</w:t>
            </w:r>
          </w:p>
        </w:tc>
      </w:tr>
      <w:tr w:rsidR="00333601" w:rsidRPr="00BE78CA" w14:paraId="1E5F1C2F" w14:textId="77777777" w:rsidTr="007C785F">
        <w:tc>
          <w:tcPr>
            <w:tcW w:w="2772" w:type="dxa"/>
          </w:tcPr>
          <w:p w14:paraId="29370CE4" w14:textId="77777777" w:rsidR="00333601" w:rsidRPr="00BE78CA" w:rsidRDefault="00333601" w:rsidP="00C26084">
            <w:pPr>
              <w:pStyle w:val="Tableboldblue"/>
              <w:spacing w:before="50" w:after="50"/>
            </w:pPr>
            <w:r w:rsidRPr="00BE78CA">
              <w:t>Total</w:t>
            </w:r>
          </w:p>
        </w:tc>
        <w:tc>
          <w:tcPr>
            <w:tcW w:w="1056" w:type="dxa"/>
          </w:tcPr>
          <w:p w14:paraId="3FF6525B" w14:textId="77777777" w:rsidR="00333601" w:rsidRPr="00BE78CA" w:rsidRDefault="00333601" w:rsidP="00C26084">
            <w:pPr>
              <w:pStyle w:val="Tableboldblue"/>
              <w:spacing w:before="50" w:after="50"/>
              <w:jc w:val="center"/>
              <w:rPr>
                <w:rFonts w:cs="Arial"/>
                <w:bCs/>
              </w:rPr>
            </w:pPr>
            <w:r w:rsidRPr="00BE78CA">
              <w:t>–24,218.4</w:t>
            </w:r>
          </w:p>
        </w:tc>
        <w:tc>
          <w:tcPr>
            <w:tcW w:w="1358" w:type="dxa"/>
          </w:tcPr>
          <w:p w14:paraId="67C24A7E" w14:textId="77777777" w:rsidR="00333601" w:rsidRPr="00BE78CA" w:rsidRDefault="00333601" w:rsidP="00C26084">
            <w:pPr>
              <w:pStyle w:val="Tableboldblue"/>
              <w:spacing w:before="50" w:after="50"/>
              <w:jc w:val="center"/>
            </w:pPr>
            <w:r w:rsidRPr="00BE78CA">
              <w:t>–3,577.8</w:t>
            </w:r>
          </w:p>
        </w:tc>
        <w:tc>
          <w:tcPr>
            <w:tcW w:w="1056" w:type="dxa"/>
          </w:tcPr>
          <w:p w14:paraId="23B0B105" w14:textId="77777777" w:rsidR="00333601" w:rsidRPr="00BE78CA" w:rsidRDefault="00333601" w:rsidP="00C26084">
            <w:pPr>
              <w:pStyle w:val="Tableboldblue"/>
              <w:spacing w:before="50" w:after="50"/>
              <w:jc w:val="center"/>
              <w:rPr>
                <w:rFonts w:cs="Arial"/>
                <w:bCs/>
              </w:rPr>
            </w:pPr>
            <w:r w:rsidRPr="00BE78CA">
              <w:t>–9,211.1</w:t>
            </w:r>
          </w:p>
        </w:tc>
        <w:tc>
          <w:tcPr>
            <w:tcW w:w="1056" w:type="dxa"/>
          </w:tcPr>
          <w:p w14:paraId="4C83E036" w14:textId="77777777" w:rsidR="00333601" w:rsidRPr="00BE78CA" w:rsidRDefault="00333601" w:rsidP="00C26084">
            <w:pPr>
              <w:pStyle w:val="Tableboldblue"/>
              <w:spacing w:before="50" w:after="50"/>
              <w:jc w:val="center"/>
              <w:rPr>
                <w:rFonts w:cs="Arial"/>
                <w:bCs/>
              </w:rPr>
            </w:pPr>
            <w:r w:rsidRPr="00BE78CA">
              <w:t>–37,007.3</w:t>
            </w:r>
          </w:p>
        </w:tc>
        <w:tc>
          <w:tcPr>
            <w:tcW w:w="1207" w:type="dxa"/>
          </w:tcPr>
          <w:p w14:paraId="7A3D57D2" w14:textId="77777777" w:rsidR="00333601" w:rsidRPr="00BE78CA" w:rsidRDefault="00333601" w:rsidP="00C26084">
            <w:pPr>
              <w:pStyle w:val="Tableboldblue"/>
              <w:spacing w:before="50" w:after="50"/>
              <w:jc w:val="center"/>
              <w:rPr>
                <w:rFonts w:cs="Arial"/>
                <w:bCs/>
              </w:rPr>
            </w:pPr>
            <w:r w:rsidRPr="00BE78CA">
              <w:t>135,693.4</w:t>
            </w:r>
          </w:p>
        </w:tc>
      </w:tr>
    </w:tbl>
    <w:p w14:paraId="41C90B85" w14:textId="77777777" w:rsidR="00333601" w:rsidRPr="00BE78CA" w:rsidRDefault="00333601" w:rsidP="00333601">
      <w:pPr>
        <w:pStyle w:val="Noteundertable"/>
        <w:spacing w:after="0"/>
      </w:pPr>
      <w:r w:rsidRPr="00BE78CA">
        <w:rPr>
          <w:b/>
          <w:bCs/>
        </w:rPr>
        <w:t>Note</w:t>
      </w:r>
      <w:r w:rsidRPr="00BE78CA">
        <w:rPr>
          <w:b/>
        </w:rPr>
        <w:t>:</w:t>
      </w:r>
      <w:r w:rsidRPr="00BE78CA">
        <w:tab/>
        <w:t>Columns may not total due to rounding.</w:t>
      </w:r>
    </w:p>
    <w:p w14:paraId="58CBBBFD" w14:textId="77777777" w:rsidR="00333601" w:rsidRPr="00BE78CA" w:rsidRDefault="00333601" w:rsidP="00333601">
      <w:pPr>
        <w:pStyle w:val="Heading5"/>
      </w:pPr>
      <w:bookmarkStart w:id="2263" w:name="_Toc255466394"/>
      <w:bookmarkStart w:id="2264" w:name="_Toc261513201"/>
      <w:bookmarkStart w:id="2265" w:name="_Toc261513814"/>
      <w:bookmarkStart w:id="2266" w:name="_Toc280630286"/>
      <w:r w:rsidRPr="00BE78CA">
        <w:t>Grassland remaining grassland</w:t>
      </w:r>
      <w:bookmarkEnd w:id="2263"/>
      <w:bookmarkEnd w:id="2264"/>
      <w:bookmarkEnd w:id="2265"/>
      <w:bookmarkEnd w:id="2266"/>
    </w:p>
    <w:p w14:paraId="1AF7CE7A" w14:textId="77777777" w:rsidR="00333601" w:rsidRPr="00BE78CA" w:rsidRDefault="00333601" w:rsidP="00333601">
      <w:pPr>
        <w:pStyle w:val="BodyText"/>
        <w:spacing w:before="100" w:after="100"/>
      </w:pPr>
      <w:r w:rsidRPr="00BE78CA">
        <w:t xml:space="preserve">There were 14,430,833 hectares of </w:t>
      </w:r>
      <w:r w:rsidRPr="00BE78CA">
        <w:rPr>
          <w:i/>
        </w:rPr>
        <w:t>Grassland remaining grassland</w:t>
      </w:r>
      <w:r w:rsidRPr="00BE78CA">
        <w:t xml:space="preserve"> as at 2019, equivalent to 53.6 per cent of New Zealand’s total land area. For estimating carbon stock change with land</w:t>
      </w:r>
      <w:r w:rsidRPr="00BE78CA">
        <w:noBreakHyphen/>
        <w:t xml:space="preserve">use change, this category has been subcategorised into land use types: high producing, low producing and with woody biomass. </w:t>
      </w:r>
    </w:p>
    <w:p w14:paraId="2FB8D193" w14:textId="77777777" w:rsidR="00333601" w:rsidRPr="00BE78CA" w:rsidRDefault="00333601" w:rsidP="00333601">
      <w:pPr>
        <w:pStyle w:val="Heading5"/>
        <w:spacing w:before="160"/>
      </w:pPr>
      <w:bookmarkStart w:id="2267" w:name="_Toc255466395"/>
      <w:bookmarkStart w:id="2268" w:name="_Toc261513202"/>
      <w:bookmarkStart w:id="2269" w:name="_Toc261513815"/>
      <w:bookmarkStart w:id="2270" w:name="_Toc280630287"/>
      <w:r w:rsidRPr="00BE78CA">
        <w:t>Land converted to grassland</w:t>
      </w:r>
      <w:bookmarkEnd w:id="2267"/>
      <w:bookmarkEnd w:id="2268"/>
      <w:bookmarkEnd w:id="2269"/>
      <w:bookmarkEnd w:id="2270"/>
    </w:p>
    <w:p w14:paraId="604CB12B" w14:textId="77777777" w:rsidR="00333601" w:rsidRPr="00BE78CA" w:rsidRDefault="00333601" w:rsidP="00333601">
      <w:pPr>
        <w:pStyle w:val="BodyText"/>
        <w:spacing w:after="100"/>
      </w:pPr>
      <w:r w:rsidRPr="00BE78CA">
        <w:t xml:space="preserve">Between 2018 and 2019, an estimated 5,122 hectares of land were converted to </w:t>
      </w:r>
      <w:r w:rsidRPr="00BE78CA">
        <w:rPr>
          <w:i/>
        </w:rPr>
        <w:t>Grassland</w:t>
      </w:r>
      <w:r w:rsidRPr="00BE78CA">
        <w:t xml:space="preserve">, while 25,958 hectares of </w:t>
      </w:r>
      <w:r w:rsidRPr="00BE78CA">
        <w:rPr>
          <w:i/>
        </w:rPr>
        <w:t>Grassland</w:t>
      </w:r>
      <w:r w:rsidRPr="00BE78CA">
        <w:t xml:space="preserve"> were converted to other land use categories.</w:t>
      </w:r>
    </w:p>
    <w:p w14:paraId="7935A45F" w14:textId="77777777" w:rsidR="00333601" w:rsidRPr="00BE78CA" w:rsidRDefault="00333601" w:rsidP="00333601">
      <w:pPr>
        <w:pStyle w:val="BodyText"/>
        <w:spacing w:before="100" w:after="100"/>
      </w:pPr>
      <w:r w:rsidRPr="00BE78CA">
        <w:t xml:space="preserve">Most (91.0 per cent) </w:t>
      </w:r>
      <w:r w:rsidRPr="00BE78CA">
        <w:rPr>
          <w:i/>
        </w:rPr>
        <w:t>Land converted to grassland</w:t>
      </w:r>
      <w:r w:rsidRPr="00BE78CA">
        <w:t xml:space="preserve"> since 1 January 1990 is land that was previously </w:t>
      </w:r>
      <w:r w:rsidRPr="00BE78CA">
        <w:rPr>
          <w:i/>
        </w:rPr>
        <w:t>Forest land</w:t>
      </w:r>
      <w:r w:rsidRPr="00BE78CA">
        <w:t xml:space="preserve">. The 200,746 hectares of </w:t>
      </w:r>
      <w:r w:rsidRPr="00BE78CA">
        <w:rPr>
          <w:i/>
        </w:rPr>
        <w:t>Forest land</w:t>
      </w:r>
      <w:r w:rsidRPr="00BE78CA">
        <w:t xml:space="preserve"> converted to </w:t>
      </w:r>
      <w:r w:rsidRPr="00BE78CA">
        <w:rPr>
          <w:i/>
        </w:rPr>
        <w:t>Grassland</w:t>
      </w:r>
      <w:r w:rsidRPr="00BE78CA">
        <w:t xml:space="preserve"> since 1 January 1990 comprise an estimated 43,569 hectares of pre-1990 natural forest and 127,688 hectares of pre-1990 planted forest. A further 28,746 hectares of post-1989 planted </w:t>
      </w:r>
      <w:r w:rsidRPr="00BE78CA">
        <w:lastRenderedPageBreak/>
        <w:t xml:space="preserve">and 742 hectares of post-1989 natural forest (land that was not </w:t>
      </w:r>
      <w:r w:rsidRPr="00BE78CA">
        <w:rPr>
          <w:i/>
        </w:rPr>
        <w:t>Forest land</w:t>
      </w:r>
      <w:r w:rsidRPr="00BE78CA">
        <w:t xml:space="preserve"> at the start of 1990) have also been converted to </w:t>
      </w:r>
      <w:r w:rsidRPr="00BE78CA">
        <w:rPr>
          <w:i/>
        </w:rPr>
        <w:t>Grassland</w:t>
      </w:r>
      <w:r w:rsidRPr="00BE78CA">
        <w:t xml:space="preserve"> since 1 January 1990. (For more information on deforestation, see sections 6.2 and 6.4 and chapter 11.) Land-use change of </w:t>
      </w:r>
      <w:r w:rsidRPr="00BE78CA">
        <w:rPr>
          <w:i/>
        </w:rPr>
        <w:t>Forest land</w:t>
      </w:r>
      <w:r w:rsidRPr="00BE78CA">
        <w:t xml:space="preserve"> to </w:t>
      </w:r>
      <w:r w:rsidRPr="00BE78CA">
        <w:rPr>
          <w:i/>
        </w:rPr>
        <w:t xml:space="preserve">Grassland </w:t>
      </w:r>
      <w:r w:rsidRPr="00BE78CA">
        <w:t>resulted in net emissions of 2,944.7 kt CO</w:t>
      </w:r>
      <w:r w:rsidRPr="00BE78CA">
        <w:rPr>
          <w:vertAlign w:val="subscript"/>
        </w:rPr>
        <w:t xml:space="preserve">2 </w:t>
      </w:r>
      <w:r w:rsidRPr="00BE78CA">
        <w:t>in 2019.</w:t>
      </w:r>
    </w:p>
    <w:p w14:paraId="19EFC3FB" w14:textId="77777777" w:rsidR="00333601" w:rsidRPr="00BE78CA" w:rsidRDefault="00333601" w:rsidP="00333601">
      <w:pPr>
        <w:pStyle w:val="Heading3"/>
      </w:pPr>
      <w:bookmarkStart w:id="2271" w:name="_Toc139253971"/>
      <w:bookmarkStart w:id="2272" w:name="_Toc255466396"/>
      <w:bookmarkStart w:id="2273" w:name="_Toc261513203"/>
      <w:bookmarkStart w:id="2274" w:name="_Toc261513816"/>
      <w:bookmarkStart w:id="2275" w:name="_Toc280630288"/>
      <w:r w:rsidRPr="00BE78CA">
        <w:t>6.6.2</w:t>
      </w:r>
      <w:r w:rsidRPr="00BE78CA">
        <w:tab/>
        <w:t>Methodological issues</w:t>
      </w:r>
      <w:bookmarkEnd w:id="2271"/>
      <w:bookmarkEnd w:id="2272"/>
      <w:bookmarkEnd w:id="2273"/>
      <w:bookmarkEnd w:id="2274"/>
      <w:bookmarkEnd w:id="2275"/>
    </w:p>
    <w:p w14:paraId="1E3E2437" w14:textId="77777777" w:rsidR="00333601" w:rsidRPr="00BE78CA" w:rsidRDefault="00333601" w:rsidP="00333601">
      <w:pPr>
        <w:pStyle w:val="BodyText"/>
        <w:rPr>
          <w:spacing w:val="-2"/>
        </w:rPr>
      </w:pPr>
      <w:r w:rsidRPr="00BE78CA">
        <w:t xml:space="preserve">Emissions and removals from living biomass and dead organic matter have been calculated using a combination of IPCC Tier 1 emission factors and country-specific factors (see table 6.6.3). Emissions and removals from mineral soils are estimated using a </w:t>
      </w:r>
      <w:r w:rsidRPr="00BE78CA">
        <w:rPr>
          <w:spacing w:val="-2"/>
        </w:rPr>
        <w:t xml:space="preserve">Tier 2 method, whereas organic soils are estimated using a Tier 1 method (see section 6.3). </w:t>
      </w:r>
    </w:p>
    <w:p w14:paraId="51001604" w14:textId="77777777" w:rsidR="00333601" w:rsidRPr="00BE78CA" w:rsidRDefault="00333601" w:rsidP="00333601">
      <w:pPr>
        <w:pStyle w:val="Table"/>
      </w:pPr>
      <w:bookmarkStart w:id="2276" w:name="_Toc310423425"/>
      <w:bookmarkStart w:id="2277" w:name="_Toc318362718"/>
      <w:bookmarkStart w:id="2278" w:name="_Toc342470780"/>
      <w:bookmarkStart w:id="2279" w:name="_Toc352505020"/>
      <w:bookmarkStart w:id="2280" w:name="_Toc378853309"/>
      <w:bookmarkStart w:id="2281" w:name="_Toc391024107"/>
      <w:bookmarkStart w:id="2282" w:name="_Toc410028850"/>
      <w:bookmarkStart w:id="2283" w:name="_Toc414531478"/>
      <w:bookmarkStart w:id="2284" w:name="_Toc443645391"/>
      <w:bookmarkStart w:id="2285" w:name="_Toc474914610"/>
      <w:bookmarkStart w:id="2286" w:name="_Toc481751574"/>
      <w:bookmarkStart w:id="2287" w:name="_Toc522010631"/>
      <w:bookmarkStart w:id="2288" w:name="_Toc5269536"/>
      <w:bookmarkStart w:id="2289" w:name="_Toc33529410"/>
      <w:bookmarkStart w:id="2290" w:name="_Toc36224616"/>
      <w:bookmarkStart w:id="2291" w:name="_Toc65243613"/>
      <w:bookmarkStart w:id="2292" w:name="_Toc68786503"/>
      <w:bookmarkStart w:id="2293" w:name="_Toc255466397"/>
      <w:bookmarkStart w:id="2294" w:name="_Toc261513204"/>
      <w:bookmarkStart w:id="2295" w:name="_Toc261513817"/>
      <w:r w:rsidRPr="00BE78CA">
        <w:t>Table 6.6.3</w:t>
      </w:r>
      <w:r w:rsidRPr="00BE78CA">
        <w:tab/>
        <w:t>Summary of New Zealand’s biomass emission factors for Grassland</w:t>
      </w:r>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p>
    <w:tbl>
      <w:tblPr>
        <w:tblW w:w="8505" w:type="dxa"/>
        <w:tblLook w:val="04A0" w:firstRow="1" w:lastRow="0" w:firstColumn="1" w:lastColumn="0" w:noHBand="0" w:noVBand="1"/>
      </w:tblPr>
      <w:tblGrid>
        <w:gridCol w:w="1246"/>
        <w:gridCol w:w="1731"/>
        <w:gridCol w:w="1276"/>
        <w:gridCol w:w="1276"/>
        <w:gridCol w:w="1275"/>
        <w:gridCol w:w="1701"/>
      </w:tblGrid>
      <w:tr w:rsidR="00333601" w:rsidRPr="00BE78CA" w14:paraId="2CBD4C48" w14:textId="77777777" w:rsidTr="00872B70">
        <w:trPr>
          <w:trHeight w:val="20"/>
          <w:tblHeader/>
        </w:trPr>
        <w:tc>
          <w:tcPr>
            <w:tcW w:w="1246" w:type="dxa"/>
            <w:tcBorders>
              <w:top w:val="single" w:sz="4" w:space="0" w:color="365F91"/>
              <w:bottom w:val="single" w:sz="4" w:space="0" w:color="365F91"/>
            </w:tcBorders>
            <w:shd w:val="clear" w:color="auto" w:fill="365F91"/>
            <w:vAlign w:val="bottom"/>
          </w:tcPr>
          <w:p w14:paraId="0B596E99" w14:textId="77777777" w:rsidR="00333601" w:rsidRPr="00BE78CA" w:rsidRDefault="00333601" w:rsidP="00C26084">
            <w:pPr>
              <w:pStyle w:val="TableTextBold"/>
              <w:keepNext/>
              <w:rPr>
                <w:noProof w:val="0"/>
                <w:color w:val="FFFFFF"/>
                <w:szCs w:val="16"/>
              </w:rPr>
            </w:pPr>
            <w:r w:rsidRPr="00BE78CA">
              <w:rPr>
                <w:noProof w:val="0"/>
                <w:color w:val="FFFFFF"/>
                <w:szCs w:val="16"/>
              </w:rPr>
              <w:t>Land use</w:t>
            </w:r>
          </w:p>
        </w:tc>
        <w:tc>
          <w:tcPr>
            <w:tcW w:w="1731" w:type="dxa"/>
            <w:tcBorders>
              <w:top w:val="single" w:sz="4" w:space="0" w:color="365F91"/>
              <w:bottom w:val="single" w:sz="4" w:space="0" w:color="365F91"/>
            </w:tcBorders>
            <w:shd w:val="clear" w:color="auto" w:fill="365F91"/>
            <w:vAlign w:val="bottom"/>
          </w:tcPr>
          <w:p w14:paraId="00F4A094" w14:textId="77777777" w:rsidR="00333601" w:rsidRPr="00BE78CA" w:rsidRDefault="00333601" w:rsidP="00C26084">
            <w:pPr>
              <w:pStyle w:val="TableTextBold"/>
              <w:rPr>
                <w:noProof w:val="0"/>
                <w:color w:val="FFFFFF"/>
                <w:szCs w:val="16"/>
              </w:rPr>
            </w:pPr>
            <w:r w:rsidRPr="00BE78CA">
              <w:rPr>
                <w:noProof w:val="0"/>
                <w:color w:val="FFFFFF"/>
                <w:szCs w:val="16"/>
              </w:rPr>
              <w:t>Carbon pool</w:t>
            </w:r>
          </w:p>
        </w:tc>
        <w:tc>
          <w:tcPr>
            <w:tcW w:w="1276" w:type="dxa"/>
            <w:tcBorders>
              <w:top w:val="single" w:sz="4" w:space="0" w:color="365F91"/>
              <w:bottom w:val="single" w:sz="4" w:space="0" w:color="365F91"/>
            </w:tcBorders>
            <w:shd w:val="clear" w:color="auto" w:fill="365F91"/>
            <w:vAlign w:val="bottom"/>
          </w:tcPr>
          <w:p w14:paraId="43C0FBB2" w14:textId="77777777" w:rsidR="00333601" w:rsidRPr="00BE78CA" w:rsidRDefault="00333601" w:rsidP="00C26084">
            <w:pPr>
              <w:pStyle w:val="TableTextBold"/>
              <w:jc w:val="center"/>
              <w:rPr>
                <w:noProof w:val="0"/>
                <w:color w:val="FFFFFF"/>
                <w:szCs w:val="16"/>
              </w:rPr>
            </w:pPr>
            <w:r w:rsidRPr="00BE78CA">
              <w:rPr>
                <w:noProof w:val="0"/>
                <w:color w:val="FFFFFF"/>
                <w:szCs w:val="16"/>
              </w:rPr>
              <w:t>Steady state carbon stock</w:t>
            </w:r>
            <w:r w:rsidRPr="00BE78CA">
              <w:rPr>
                <w:noProof w:val="0"/>
                <w:color w:val="FFFFFF"/>
                <w:szCs w:val="16"/>
              </w:rPr>
              <w:br/>
              <w:t>(t C ha</w:t>
            </w:r>
            <w:r w:rsidRPr="00BE78CA">
              <w:rPr>
                <w:noProof w:val="0"/>
                <w:color w:val="FFFFFF"/>
                <w:szCs w:val="16"/>
                <w:vertAlign w:val="superscript"/>
              </w:rPr>
              <w:t>–1</w:t>
            </w:r>
            <w:r w:rsidRPr="00BE78CA">
              <w:rPr>
                <w:noProof w:val="0"/>
                <w:color w:val="FFFFFF"/>
                <w:szCs w:val="16"/>
              </w:rPr>
              <w:t>)</w:t>
            </w:r>
          </w:p>
        </w:tc>
        <w:tc>
          <w:tcPr>
            <w:tcW w:w="1276" w:type="dxa"/>
            <w:tcBorders>
              <w:top w:val="single" w:sz="4" w:space="0" w:color="365F91"/>
              <w:bottom w:val="single" w:sz="4" w:space="0" w:color="365F91"/>
            </w:tcBorders>
            <w:shd w:val="clear" w:color="auto" w:fill="365F91"/>
            <w:vAlign w:val="bottom"/>
          </w:tcPr>
          <w:p w14:paraId="5D84C2C4" w14:textId="77777777" w:rsidR="00333601" w:rsidRPr="00BE78CA" w:rsidRDefault="00333601" w:rsidP="00C26084">
            <w:pPr>
              <w:pStyle w:val="TableTextBold"/>
              <w:jc w:val="center"/>
              <w:rPr>
                <w:noProof w:val="0"/>
                <w:color w:val="FFFFFF"/>
                <w:szCs w:val="16"/>
              </w:rPr>
            </w:pPr>
            <w:r w:rsidRPr="00BE78CA">
              <w:rPr>
                <w:noProof w:val="0"/>
                <w:color w:val="FFFFFF"/>
                <w:szCs w:val="16"/>
              </w:rPr>
              <w:t xml:space="preserve">Annual carbon accumulation </w:t>
            </w:r>
            <w:r w:rsidRPr="00BE78CA">
              <w:rPr>
                <w:noProof w:val="0"/>
                <w:color w:val="FFFFFF"/>
                <w:szCs w:val="16"/>
              </w:rPr>
              <w:br/>
              <w:t>(t C ha</w:t>
            </w:r>
            <w:r w:rsidRPr="00BE78CA">
              <w:rPr>
                <w:noProof w:val="0"/>
                <w:color w:val="FFFFFF"/>
                <w:szCs w:val="16"/>
                <w:vertAlign w:val="superscript"/>
              </w:rPr>
              <w:t>–1</w:t>
            </w:r>
            <w:r w:rsidRPr="00BE78CA">
              <w:rPr>
                <w:noProof w:val="0"/>
                <w:color w:val="FFFFFF"/>
                <w:szCs w:val="16"/>
              </w:rPr>
              <w:t>)</w:t>
            </w:r>
          </w:p>
        </w:tc>
        <w:tc>
          <w:tcPr>
            <w:tcW w:w="1275" w:type="dxa"/>
            <w:tcBorders>
              <w:top w:val="single" w:sz="4" w:space="0" w:color="365F91"/>
              <w:bottom w:val="single" w:sz="4" w:space="0" w:color="365F91"/>
            </w:tcBorders>
            <w:shd w:val="clear" w:color="auto" w:fill="365F91"/>
            <w:vAlign w:val="bottom"/>
          </w:tcPr>
          <w:p w14:paraId="4930BC1C" w14:textId="77777777" w:rsidR="00333601" w:rsidRPr="00BE78CA" w:rsidRDefault="00333601" w:rsidP="00C26084">
            <w:pPr>
              <w:pStyle w:val="TableTextBold"/>
              <w:jc w:val="center"/>
              <w:rPr>
                <w:noProof w:val="0"/>
                <w:color w:val="FFFFFF"/>
                <w:szCs w:val="16"/>
              </w:rPr>
            </w:pPr>
            <w:r w:rsidRPr="00BE78CA">
              <w:rPr>
                <w:noProof w:val="0"/>
                <w:color w:val="FFFFFF"/>
                <w:szCs w:val="16"/>
              </w:rPr>
              <w:t>Years to reach steady state</w:t>
            </w:r>
          </w:p>
        </w:tc>
        <w:tc>
          <w:tcPr>
            <w:tcW w:w="1701" w:type="dxa"/>
            <w:tcBorders>
              <w:top w:val="single" w:sz="4" w:space="0" w:color="365F91"/>
              <w:bottom w:val="single" w:sz="4" w:space="0" w:color="365F91"/>
            </w:tcBorders>
            <w:shd w:val="clear" w:color="auto" w:fill="365F91"/>
            <w:vAlign w:val="bottom"/>
          </w:tcPr>
          <w:p w14:paraId="6DAD4F04" w14:textId="77777777" w:rsidR="00333601" w:rsidRPr="00BE78CA" w:rsidRDefault="00333601" w:rsidP="00C26084">
            <w:pPr>
              <w:pStyle w:val="TableTextBold"/>
              <w:rPr>
                <w:noProof w:val="0"/>
                <w:color w:val="FFFFFF"/>
                <w:szCs w:val="16"/>
              </w:rPr>
            </w:pPr>
            <w:r w:rsidRPr="00BE78CA">
              <w:rPr>
                <w:noProof w:val="0"/>
                <w:color w:val="FFFFFF"/>
                <w:szCs w:val="16"/>
              </w:rPr>
              <w:t>Source</w:t>
            </w:r>
          </w:p>
        </w:tc>
      </w:tr>
      <w:tr w:rsidR="00333601" w:rsidRPr="00BE78CA" w14:paraId="14C8F167" w14:textId="77777777" w:rsidTr="00872B70">
        <w:trPr>
          <w:trHeight w:val="20"/>
        </w:trPr>
        <w:tc>
          <w:tcPr>
            <w:tcW w:w="1246" w:type="dxa"/>
            <w:vMerge w:val="restart"/>
            <w:tcBorders>
              <w:top w:val="single" w:sz="4" w:space="0" w:color="365F91"/>
            </w:tcBorders>
          </w:tcPr>
          <w:p w14:paraId="75243B7F" w14:textId="77777777" w:rsidR="00333601" w:rsidRPr="00BE78CA" w:rsidRDefault="00333601" w:rsidP="00C26084">
            <w:pPr>
              <w:pStyle w:val="TableText"/>
              <w:spacing w:before="50" w:after="50"/>
              <w:rPr>
                <w:szCs w:val="16"/>
              </w:rPr>
            </w:pPr>
            <w:r w:rsidRPr="00BE78CA">
              <w:rPr>
                <w:szCs w:val="16"/>
              </w:rPr>
              <w:t>High producing</w:t>
            </w:r>
          </w:p>
        </w:tc>
        <w:tc>
          <w:tcPr>
            <w:tcW w:w="1731" w:type="dxa"/>
            <w:tcBorders>
              <w:top w:val="single" w:sz="4" w:space="0" w:color="365F91"/>
              <w:bottom w:val="single" w:sz="4" w:space="0" w:color="365F91"/>
            </w:tcBorders>
          </w:tcPr>
          <w:p w14:paraId="0A0B7312" w14:textId="77777777" w:rsidR="00333601" w:rsidRPr="00BE78CA" w:rsidRDefault="00333601" w:rsidP="00C26084">
            <w:pPr>
              <w:pStyle w:val="TableText"/>
              <w:spacing w:before="50" w:after="50"/>
              <w:rPr>
                <w:b/>
                <w:szCs w:val="16"/>
              </w:rPr>
            </w:pPr>
            <w:r w:rsidRPr="00BE78CA">
              <w:rPr>
                <w:b/>
                <w:szCs w:val="16"/>
              </w:rPr>
              <w:t>Total biomass</w:t>
            </w:r>
          </w:p>
        </w:tc>
        <w:tc>
          <w:tcPr>
            <w:tcW w:w="1276" w:type="dxa"/>
            <w:tcBorders>
              <w:top w:val="single" w:sz="4" w:space="0" w:color="365F91"/>
              <w:bottom w:val="single" w:sz="4" w:space="0" w:color="365F91"/>
            </w:tcBorders>
          </w:tcPr>
          <w:p w14:paraId="744A3DCC" w14:textId="77777777" w:rsidR="00333601" w:rsidRPr="00BE78CA" w:rsidRDefault="00333601" w:rsidP="00C26084">
            <w:pPr>
              <w:pStyle w:val="TableText"/>
              <w:spacing w:before="50" w:after="50"/>
              <w:jc w:val="center"/>
              <w:rPr>
                <w:b/>
                <w:szCs w:val="16"/>
              </w:rPr>
            </w:pPr>
            <w:r w:rsidRPr="00BE78CA">
              <w:rPr>
                <w:b/>
                <w:szCs w:val="16"/>
              </w:rPr>
              <w:t>6.345</w:t>
            </w:r>
          </w:p>
        </w:tc>
        <w:tc>
          <w:tcPr>
            <w:tcW w:w="1276" w:type="dxa"/>
            <w:tcBorders>
              <w:top w:val="single" w:sz="4" w:space="0" w:color="365F91"/>
              <w:bottom w:val="single" w:sz="4" w:space="0" w:color="365F91"/>
            </w:tcBorders>
          </w:tcPr>
          <w:p w14:paraId="5F31A728" w14:textId="77777777" w:rsidR="00333601" w:rsidRPr="00BE78CA" w:rsidRDefault="00333601" w:rsidP="00C26084">
            <w:pPr>
              <w:pStyle w:val="TableText"/>
              <w:spacing w:before="50" w:after="50"/>
              <w:jc w:val="center"/>
              <w:rPr>
                <w:b/>
                <w:szCs w:val="16"/>
              </w:rPr>
            </w:pPr>
            <w:r w:rsidRPr="00BE78CA">
              <w:rPr>
                <w:b/>
                <w:szCs w:val="16"/>
              </w:rPr>
              <w:t>6.345</w:t>
            </w:r>
          </w:p>
        </w:tc>
        <w:tc>
          <w:tcPr>
            <w:tcW w:w="1275" w:type="dxa"/>
            <w:tcBorders>
              <w:top w:val="single" w:sz="4" w:space="0" w:color="365F91"/>
              <w:bottom w:val="single" w:sz="4" w:space="0" w:color="365F91"/>
            </w:tcBorders>
          </w:tcPr>
          <w:p w14:paraId="0EE680AD" w14:textId="77777777" w:rsidR="00333601" w:rsidRPr="00BE78CA" w:rsidRDefault="00333601" w:rsidP="00C26084">
            <w:pPr>
              <w:pStyle w:val="TableText"/>
              <w:spacing w:before="50" w:after="50"/>
              <w:jc w:val="center"/>
              <w:rPr>
                <w:b/>
                <w:szCs w:val="16"/>
              </w:rPr>
            </w:pPr>
            <w:r w:rsidRPr="00BE78CA">
              <w:rPr>
                <w:b/>
                <w:szCs w:val="16"/>
              </w:rPr>
              <w:t>1</w:t>
            </w:r>
          </w:p>
        </w:tc>
        <w:tc>
          <w:tcPr>
            <w:tcW w:w="1701" w:type="dxa"/>
            <w:vMerge w:val="restart"/>
            <w:tcBorders>
              <w:top w:val="single" w:sz="4" w:space="0" w:color="365F91"/>
              <w:bottom w:val="single" w:sz="4" w:space="0" w:color="365F91"/>
            </w:tcBorders>
          </w:tcPr>
          <w:p w14:paraId="3BE329D7" w14:textId="77777777" w:rsidR="00333601" w:rsidRPr="00BE78CA" w:rsidRDefault="00333601" w:rsidP="00C26084">
            <w:pPr>
              <w:pStyle w:val="TableText"/>
              <w:spacing w:before="50" w:after="50"/>
              <w:rPr>
                <w:szCs w:val="16"/>
              </w:rPr>
            </w:pPr>
            <w:r w:rsidRPr="00BE78CA">
              <w:rPr>
                <w:szCs w:val="16"/>
              </w:rPr>
              <w:t>IPCC, 2006a, table 6.4</w:t>
            </w:r>
          </w:p>
        </w:tc>
      </w:tr>
      <w:tr w:rsidR="00333601" w:rsidRPr="00BE78CA" w14:paraId="21B9F852" w14:textId="77777777" w:rsidTr="00872B70">
        <w:trPr>
          <w:trHeight w:val="20"/>
        </w:trPr>
        <w:tc>
          <w:tcPr>
            <w:tcW w:w="1246" w:type="dxa"/>
            <w:vMerge/>
          </w:tcPr>
          <w:p w14:paraId="7BE1BD27" w14:textId="77777777" w:rsidR="00333601" w:rsidRPr="00BE78CA" w:rsidRDefault="00333601" w:rsidP="00C26084">
            <w:pPr>
              <w:pStyle w:val="TableText"/>
              <w:spacing w:before="50" w:after="50"/>
              <w:rPr>
                <w:szCs w:val="16"/>
              </w:rPr>
            </w:pPr>
          </w:p>
        </w:tc>
        <w:tc>
          <w:tcPr>
            <w:tcW w:w="1731" w:type="dxa"/>
            <w:tcBorders>
              <w:top w:val="single" w:sz="4" w:space="0" w:color="365F91"/>
              <w:bottom w:val="single" w:sz="4" w:space="0" w:color="365F91"/>
            </w:tcBorders>
          </w:tcPr>
          <w:p w14:paraId="1E227EFA" w14:textId="77777777" w:rsidR="00333601" w:rsidRPr="00BE78CA" w:rsidRDefault="00333601" w:rsidP="00C26084">
            <w:pPr>
              <w:pStyle w:val="TableText"/>
              <w:spacing w:before="50" w:after="50"/>
              <w:rPr>
                <w:i/>
                <w:szCs w:val="16"/>
              </w:rPr>
            </w:pPr>
            <w:r w:rsidRPr="00BE78CA">
              <w:rPr>
                <w:i/>
                <w:szCs w:val="16"/>
              </w:rPr>
              <w:t>Living biomass</w:t>
            </w:r>
          </w:p>
        </w:tc>
        <w:tc>
          <w:tcPr>
            <w:tcW w:w="1276" w:type="dxa"/>
            <w:tcBorders>
              <w:top w:val="single" w:sz="4" w:space="0" w:color="365F91"/>
              <w:bottom w:val="single" w:sz="4" w:space="0" w:color="365F91"/>
            </w:tcBorders>
          </w:tcPr>
          <w:p w14:paraId="2C6DEF66" w14:textId="77777777" w:rsidR="00333601" w:rsidRPr="00BE78CA" w:rsidRDefault="00333601" w:rsidP="00C26084">
            <w:pPr>
              <w:pStyle w:val="TableText"/>
              <w:spacing w:before="50" w:after="50"/>
              <w:jc w:val="center"/>
              <w:rPr>
                <w:szCs w:val="16"/>
              </w:rPr>
            </w:pPr>
          </w:p>
        </w:tc>
        <w:tc>
          <w:tcPr>
            <w:tcW w:w="1276" w:type="dxa"/>
            <w:tcBorders>
              <w:top w:val="single" w:sz="4" w:space="0" w:color="365F91"/>
              <w:bottom w:val="single" w:sz="4" w:space="0" w:color="365F91"/>
            </w:tcBorders>
          </w:tcPr>
          <w:p w14:paraId="1085E6D6" w14:textId="77777777" w:rsidR="00333601" w:rsidRPr="00BE78CA" w:rsidRDefault="00333601" w:rsidP="00C26084">
            <w:pPr>
              <w:pStyle w:val="TableText"/>
              <w:spacing w:before="50" w:after="50"/>
              <w:jc w:val="center"/>
              <w:rPr>
                <w:szCs w:val="16"/>
              </w:rPr>
            </w:pPr>
          </w:p>
        </w:tc>
        <w:tc>
          <w:tcPr>
            <w:tcW w:w="1275" w:type="dxa"/>
            <w:tcBorders>
              <w:top w:val="single" w:sz="4" w:space="0" w:color="365F91"/>
              <w:bottom w:val="single" w:sz="4" w:space="0" w:color="365F91"/>
            </w:tcBorders>
          </w:tcPr>
          <w:p w14:paraId="7BF55DDB" w14:textId="77777777" w:rsidR="00333601" w:rsidRPr="00BE78CA" w:rsidRDefault="00333601" w:rsidP="00C26084">
            <w:pPr>
              <w:pStyle w:val="TableText"/>
              <w:spacing w:before="50" w:after="50"/>
              <w:jc w:val="center"/>
              <w:rPr>
                <w:szCs w:val="16"/>
              </w:rPr>
            </w:pPr>
          </w:p>
        </w:tc>
        <w:tc>
          <w:tcPr>
            <w:tcW w:w="1701" w:type="dxa"/>
            <w:vMerge/>
            <w:tcBorders>
              <w:top w:val="single" w:sz="4" w:space="0" w:color="365F91"/>
              <w:bottom w:val="single" w:sz="4" w:space="0" w:color="365F91"/>
            </w:tcBorders>
          </w:tcPr>
          <w:p w14:paraId="0F1E8AA8" w14:textId="77777777" w:rsidR="00333601" w:rsidRPr="00BE78CA" w:rsidRDefault="00333601" w:rsidP="00C26084">
            <w:pPr>
              <w:pStyle w:val="TableText"/>
              <w:spacing w:before="50" w:after="50"/>
              <w:rPr>
                <w:szCs w:val="16"/>
              </w:rPr>
            </w:pPr>
          </w:p>
        </w:tc>
      </w:tr>
      <w:tr w:rsidR="00333601" w:rsidRPr="00BE78CA" w14:paraId="4191CA1A" w14:textId="77777777" w:rsidTr="00872B70">
        <w:trPr>
          <w:trHeight w:val="20"/>
        </w:trPr>
        <w:tc>
          <w:tcPr>
            <w:tcW w:w="1246" w:type="dxa"/>
            <w:vMerge/>
          </w:tcPr>
          <w:p w14:paraId="7678187C" w14:textId="77777777" w:rsidR="00333601" w:rsidRPr="00BE78CA" w:rsidRDefault="00333601" w:rsidP="00C26084">
            <w:pPr>
              <w:pStyle w:val="TableText"/>
              <w:spacing w:before="50" w:after="50"/>
              <w:rPr>
                <w:szCs w:val="16"/>
              </w:rPr>
            </w:pPr>
          </w:p>
        </w:tc>
        <w:tc>
          <w:tcPr>
            <w:tcW w:w="1731" w:type="dxa"/>
            <w:tcBorders>
              <w:top w:val="single" w:sz="4" w:space="0" w:color="365F91"/>
              <w:bottom w:val="single" w:sz="4" w:space="0" w:color="365F91"/>
            </w:tcBorders>
          </w:tcPr>
          <w:p w14:paraId="78503DD0" w14:textId="77777777" w:rsidR="00333601" w:rsidRPr="00BE78CA" w:rsidRDefault="00333601" w:rsidP="00C26084">
            <w:pPr>
              <w:pStyle w:val="TableText"/>
              <w:spacing w:before="50" w:after="50"/>
              <w:rPr>
                <w:szCs w:val="16"/>
              </w:rPr>
            </w:pPr>
            <w:r w:rsidRPr="00BE78CA">
              <w:rPr>
                <w:szCs w:val="16"/>
              </w:rPr>
              <w:tab/>
              <w:t>AGB</w:t>
            </w:r>
          </w:p>
        </w:tc>
        <w:tc>
          <w:tcPr>
            <w:tcW w:w="1276" w:type="dxa"/>
            <w:tcBorders>
              <w:top w:val="single" w:sz="4" w:space="0" w:color="365F91"/>
              <w:bottom w:val="single" w:sz="4" w:space="0" w:color="365F91"/>
            </w:tcBorders>
          </w:tcPr>
          <w:p w14:paraId="39603CA3" w14:textId="77777777" w:rsidR="00333601" w:rsidRPr="00BE78CA" w:rsidRDefault="00333601" w:rsidP="00C26084">
            <w:pPr>
              <w:pStyle w:val="TableText"/>
              <w:spacing w:before="50" w:after="50"/>
              <w:jc w:val="center"/>
              <w:rPr>
                <w:szCs w:val="16"/>
              </w:rPr>
            </w:pPr>
            <w:r w:rsidRPr="00BE78CA">
              <w:rPr>
                <w:szCs w:val="16"/>
              </w:rPr>
              <w:t>1.269</w:t>
            </w:r>
          </w:p>
        </w:tc>
        <w:tc>
          <w:tcPr>
            <w:tcW w:w="1276" w:type="dxa"/>
            <w:tcBorders>
              <w:top w:val="single" w:sz="4" w:space="0" w:color="365F91"/>
              <w:bottom w:val="single" w:sz="4" w:space="0" w:color="365F91"/>
            </w:tcBorders>
          </w:tcPr>
          <w:p w14:paraId="3C031E98" w14:textId="77777777" w:rsidR="00333601" w:rsidRPr="00BE78CA" w:rsidRDefault="00333601" w:rsidP="00C26084">
            <w:pPr>
              <w:pStyle w:val="TableText"/>
              <w:spacing w:before="50" w:after="50"/>
              <w:jc w:val="center"/>
              <w:rPr>
                <w:szCs w:val="16"/>
              </w:rPr>
            </w:pPr>
            <w:r w:rsidRPr="00BE78CA">
              <w:rPr>
                <w:szCs w:val="16"/>
              </w:rPr>
              <w:t>1.269</w:t>
            </w:r>
          </w:p>
        </w:tc>
        <w:tc>
          <w:tcPr>
            <w:tcW w:w="1275" w:type="dxa"/>
            <w:tcBorders>
              <w:top w:val="single" w:sz="4" w:space="0" w:color="365F91"/>
              <w:bottom w:val="single" w:sz="4" w:space="0" w:color="365F91"/>
            </w:tcBorders>
          </w:tcPr>
          <w:p w14:paraId="5EB97DD7" w14:textId="77777777" w:rsidR="00333601" w:rsidRPr="00BE78CA" w:rsidRDefault="00333601" w:rsidP="00C26084">
            <w:pPr>
              <w:pStyle w:val="TableText"/>
              <w:spacing w:before="50" w:after="50"/>
              <w:jc w:val="center"/>
              <w:rPr>
                <w:szCs w:val="16"/>
              </w:rPr>
            </w:pPr>
            <w:r w:rsidRPr="00BE78CA">
              <w:rPr>
                <w:szCs w:val="16"/>
              </w:rPr>
              <w:t>1</w:t>
            </w:r>
          </w:p>
        </w:tc>
        <w:tc>
          <w:tcPr>
            <w:tcW w:w="1701" w:type="dxa"/>
            <w:vMerge/>
            <w:tcBorders>
              <w:top w:val="single" w:sz="4" w:space="0" w:color="365F91"/>
              <w:bottom w:val="single" w:sz="4" w:space="0" w:color="365F91"/>
            </w:tcBorders>
          </w:tcPr>
          <w:p w14:paraId="0D1D8C08" w14:textId="77777777" w:rsidR="00333601" w:rsidRPr="00BE78CA" w:rsidRDefault="00333601" w:rsidP="00C26084">
            <w:pPr>
              <w:pStyle w:val="TableText"/>
              <w:spacing w:before="50" w:after="50"/>
              <w:rPr>
                <w:szCs w:val="16"/>
              </w:rPr>
            </w:pPr>
          </w:p>
        </w:tc>
      </w:tr>
      <w:tr w:rsidR="00333601" w:rsidRPr="00BE78CA" w14:paraId="4C2FF086" w14:textId="77777777" w:rsidTr="00872B70">
        <w:trPr>
          <w:trHeight w:val="20"/>
        </w:trPr>
        <w:tc>
          <w:tcPr>
            <w:tcW w:w="1246" w:type="dxa"/>
            <w:vMerge/>
          </w:tcPr>
          <w:p w14:paraId="11030DF5" w14:textId="77777777" w:rsidR="00333601" w:rsidRPr="00BE78CA" w:rsidRDefault="00333601" w:rsidP="00C26084">
            <w:pPr>
              <w:pStyle w:val="TableText"/>
              <w:spacing w:before="50" w:after="50"/>
              <w:rPr>
                <w:szCs w:val="16"/>
              </w:rPr>
            </w:pPr>
          </w:p>
        </w:tc>
        <w:tc>
          <w:tcPr>
            <w:tcW w:w="1731" w:type="dxa"/>
            <w:tcBorders>
              <w:top w:val="single" w:sz="4" w:space="0" w:color="365F91"/>
              <w:bottom w:val="single" w:sz="4" w:space="0" w:color="365F91"/>
            </w:tcBorders>
          </w:tcPr>
          <w:p w14:paraId="3D3B208F" w14:textId="77777777" w:rsidR="00333601" w:rsidRPr="00BE78CA" w:rsidRDefault="00333601" w:rsidP="00C26084">
            <w:pPr>
              <w:pStyle w:val="TableText"/>
              <w:spacing w:before="50" w:after="50"/>
              <w:rPr>
                <w:szCs w:val="16"/>
              </w:rPr>
            </w:pPr>
            <w:r w:rsidRPr="00BE78CA">
              <w:rPr>
                <w:szCs w:val="16"/>
              </w:rPr>
              <w:tab/>
              <w:t>BGB</w:t>
            </w:r>
          </w:p>
        </w:tc>
        <w:tc>
          <w:tcPr>
            <w:tcW w:w="1276" w:type="dxa"/>
            <w:tcBorders>
              <w:top w:val="single" w:sz="4" w:space="0" w:color="365F91"/>
              <w:bottom w:val="single" w:sz="4" w:space="0" w:color="365F91"/>
            </w:tcBorders>
          </w:tcPr>
          <w:p w14:paraId="205CDC67" w14:textId="77777777" w:rsidR="00333601" w:rsidRPr="00BE78CA" w:rsidRDefault="00333601" w:rsidP="00C26084">
            <w:pPr>
              <w:pStyle w:val="TableText"/>
              <w:spacing w:before="50" w:after="50"/>
              <w:jc w:val="center"/>
              <w:rPr>
                <w:szCs w:val="16"/>
              </w:rPr>
            </w:pPr>
            <w:r w:rsidRPr="00BE78CA">
              <w:rPr>
                <w:szCs w:val="16"/>
              </w:rPr>
              <w:t>5.076</w:t>
            </w:r>
          </w:p>
        </w:tc>
        <w:tc>
          <w:tcPr>
            <w:tcW w:w="1276" w:type="dxa"/>
            <w:tcBorders>
              <w:top w:val="single" w:sz="4" w:space="0" w:color="365F91"/>
              <w:bottom w:val="single" w:sz="4" w:space="0" w:color="365F91"/>
            </w:tcBorders>
          </w:tcPr>
          <w:p w14:paraId="258015B7" w14:textId="77777777" w:rsidR="00333601" w:rsidRPr="00BE78CA" w:rsidRDefault="00333601" w:rsidP="00C26084">
            <w:pPr>
              <w:pStyle w:val="TableText"/>
              <w:spacing w:before="50" w:after="50"/>
              <w:jc w:val="center"/>
              <w:rPr>
                <w:szCs w:val="16"/>
              </w:rPr>
            </w:pPr>
            <w:r w:rsidRPr="00BE78CA">
              <w:rPr>
                <w:szCs w:val="16"/>
              </w:rPr>
              <w:t>5.076</w:t>
            </w:r>
          </w:p>
        </w:tc>
        <w:tc>
          <w:tcPr>
            <w:tcW w:w="1275" w:type="dxa"/>
            <w:tcBorders>
              <w:top w:val="single" w:sz="4" w:space="0" w:color="365F91"/>
              <w:bottom w:val="single" w:sz="4" w:space="0" w:color="365F91"/>
            </w:tcBorders>
          </w:tcPr>
          <w:p w14:paraId="3DCDCD18" w14:textId="77777777" w:rsidR="00333601" w:rsidRPr="00BE78CA" w:rsidRDefault="00333601" w:rsidP="00C26084">
            <w:pPr>
              <w:pStyle w:val="TableText"/>
              <w:spacing w:before="50" w:after="50"/>
              <w:jc w:val="center"/>
              <w:rPr>
                <w:szCs w:val="16"/>
              </w:rPr>
            </w:pPr>
            <w:r w:rsidRPr="00BE78CA">
              <w:rPr>
                <w:szCs w:val="16"/>
              </w:rPr>
              <w:t>1</w:t>
            </w:r>
          </w:p>
        </w:tc>
        <w:tc>
          <w:tcPr>
            <w:tcW w:w="1701" w:type="dxa"/>
            <w:vMerge/>
            <w:tcBorders>
              <w:top w:val="single" w:sz="4" w:space="0" w:color="365F91"/>
              <w:bottom w:val="single" w:sz="4" w:space="0" w:color="365F91"/>
            </w:tcBorders>
          </w:tcPr>
          <w:p w14:paraId="1B41F3BA" w14:textId="77777777" w:rsidR="00333601" w:rsidRPr="00BE78CA" w:rsidRDefault="00333601" w:rsidP="00C26084">
            <w:pPr>
              <w:pStyle w:val="TableText"/>
              <w:spacing w:before="50" w:after="50"/>
              <w:rPr>
                <w:szCs w:val="16"/>
              </w:rPr>
            </w:pPr>
          </w:p>
        </w:tc>
      </w:tr>
      <w:tr w:rsidR="00333601" w:rsidRPr="00BE78CA" w14:paraId="46856952" w14:textId="77777777" w:rsidTr="00872B70">
        <w:trPr>
          <w:trHeight w:val="20"/>
        </w:trPr>
        <w:tc>
          <w:tcPr>
            <w:tcW w:w="1246" w:type="dxa"/>
            <w:vMerge/>
            <w:tcBorders>
              <w:bottom w:val="single" w:sz="4" w:space="0" w:color="365F91"/>
            </w:tcBorders>
          </w:tcPr>
          <w:p w14:paraId="662B293B" w14:textId="77777777" w:rsidR="00333601" w:rsidRPr="00BE78CA" w:rsidRDefault="00333601" w:rsidP="00C26084">
            <w:pPr>
              <w:pStyle w:val="TableText"/>
              <w:spacing w:before="50" w:after="50"/>
              <w:rPr>
                <w:szCs w:val="16"/>
              </w:rPr>
            </w:pPr>
          </w:p>
        </w:tc>
        <w:tc>
          <w:tcPr>
            <w:tcW w:w="1731" w:type="dxa"/>
            <w:tcBorders>
              <w:top w:val="single" w:sz="4" w:space="0" w:color="365F91"/>
              <w:bottom w:val="single" w:sz="4" w:space="0" w:color="365F91"/>
            </w:tcBorders>
          </w:tcPr>
          <w:p w14:paraId="20D9B37F" w14:textId="77777777" w:rsidR="00333601" w:rsidRPr="00BE78CA" w:rsidRDefault="00333601" w:rsidP="00C26084">
            <w:pPr>
              <w:pStyle w:val="TableText"/>
              <w:spacing w:before="50" w:after="50"/>
              <w:rPr>
                <w:i/>
                <w:szCs w:val="16"/>
              </w:rPr>
            </w:pPr>
            <w:r w:rsidRPr="00BE78CA">
              <w:rPr>
                <w:i/>
                <w:szCs w:val="16"/>
              </w:rPr>
              <w:t>Dead organic matter</w:t>
            </w:r>
          </w:p>
        </w:tc>
        <w:tc>
          <w:tcPr>
            <w:tcW w:w="1276" w:type="dxa"/>
            <w:tcBorders>
              <w:top w:val="single" w:sz="4" w:space="0" w:color="365F91"/>
              <w:bottom w:val="single" w:sz="4" w:space="0" w:color="365F91"/>
            </w:tcBorders>
          </w:tcPr>
          <w:p w14:paraId="5AC7DAAA" w14:textId="77777777" w:rsidR="00333601" w:rsidRPr="00BE78CA" w:rsidRDefault="00333601" w:rsidP="00C26084">
            <w:pPr>
              <w:pStyle w:val="TableText"/>
              <w:spacing w:before="50" w:after="50"/>
              <w:jc w:val="center"/>
              <w:rPr>
                <w:szCs w:val="16"/>
              </w:rPr>
            </w:pPr>
            <w:r w:rsidRPr="00BE78CA">
              <w:rPr>
                <w:szCs w:val="16"/>
              </w:rPr>
              <w:t>NE</w:t>
            </w:r>
          </w:p>
        </w:tc>
        <w:tc>
          <w:tcPr>
            <w:tcW w:w="1276" w:type="dxa"/>
            <w:tcBorders>
              <w:top w:val="single" w:sz="4" w:space="0" w:color="365F91"/>
              <w:bottom w:val="single" w:sz="4" w:space="0" w:color="365F91"/>
            </w:tcBorders>
          </w:tcPr>
          <w:p w14:paraId="401C8932" w14:textId="77777777" w:rsidR="00333601" w:rsidRPr="00BE78CA" w:rsidRDefault="00333601" w:rsidP="00C26084">
            <w:pPr>
              <w:pStyle w:val="TableText"/>
              <w:spacing w:before="50" w:after="50"/>
              <w:jc w:val="center"/>
              <w:rPr>
                <w:szCs w:val="16"/>
              </w:rPr>
            </w:pPr>
            <w:r w:rsidRPr="00BE78CA">
              <w:rPr>
                <w:szCs w:val="16"/>
              </w:rPr>
              <w:t>NA</w:t>
            </w:r>
          </w:p>
        </w:tc>
        <w:tc>
          <w:tcPr>
            <w:tcW w:w="1275" w:type="dxa"/>
            <w:tcBorders>
              <w:top w:val="single" w:sz="4" w:space="0" w:color="365F91"/>
              <w:bottom w:val="single" w:sz="4" w:space="0" w:color="365F91"/>
            </w:tcBorders>
          </w:tcPr>
          <w:p w14:paraId="21C80A0C" w14:textId="77777777" w:rsidR="00333601" w:rsidRPr="00BE78CA" w:rsidRDefault="00333601" w:rsidP="00C26084">
            <w:pPr>
              <w:pStyle w:val="TableText"/>
              <w:spacing w:before="50" w:after="50"/>
              <w:jc w:val="center"/>
              <w:rPr>
                <w:szCs w:val="16"/>
              </w:rPr>
            </w:pPr>
            <w:r w:rsidRPr="00BE78CA">
              <w:rPr>
                <w:szCs w:val="16"/>
              </w:rPr>
              <w:t>NA</w:t>
            </w:r>
          </w:p>
        </w:tc>
        <w:tc>
          <w:tcPr>
            <w:tcW w:w="1701" w:type="dxa"/>
            <w:tcBorders>
              <w:top w:val="single" w:sz="4" w:space="0" w:color="365F91"/>
              <w:bottom w:val="single" w:sz="4" w:space="0" w:color="365F91"/>
            </w:tcBorders>
          </w:tcPr>
          <w:p w14:paraId="123641C2" w14:textId="77777777" w:rsidR="00333601" w:rsidRPr="00BE78CA" w:rsidRDefault="00333601" w:rsidP="00C26084">
            <w:pPr>
              <w:pStyle w:val="TableText"/>
              <w:spacing w:before="50" w:after="50"/>
              <w:rPr>
                <w:szCs w:val="16"/>
              </w:rPr>
            </w:pPr>
            <w:r w:rsidRPr="00BE78CA">
              <w:rPr>
                <w:szCs w:val="16"/>
              </w:rPr>
              <w:t>No IPCC guidelines</w:t>
            </w:r>
          </w:p>
        </w:tc>
      </w:tr>
      <w:tr w:rsidR="00333601" w:rsidRPr="00BE78CA" w14:paraId="469F01E3" w14:textId="77777777" w:rsidTr="00872B70">
        <w:trPr>
          <w:trHeight w:val="20"/>
        </w:trPr>
        <w:tc>
          <w:tcPr>
            <w:tcW w:w="1246" w:type="dxa"/>
            <w:vMerge w:val="restart"/>
            <w:tcBorders>
              <w:top w:val="single" w:sz="4" w:space="0" w:color="365F91"/>
              <w:bottom w:val="single" w:sz="4" w:space="0" w:color="365F91"/>
            </w:tcBorders>
          </w:tcPr>
          <w:p w14:paraId="07265153" w14:textId="77777777" w:rsidR="00333601" w:rsidRPr="00BE78CA" w:rsidRDefault="00333601" w:rsidP="00C26084">
            <w:pPr>
              <w:pStyle w:val="TableText"/>
              <w:spacing w:before="40" w:after="40"/>
              <w:rPr>
                <w:szCs w:val="16"/>
              </w:rPr>
            </w:pPr>
            <w:r w:rsidRPr="00BE78CA">
              <w:rPr>
                <w:szCs w:val="16"/>
              </w:rPr>
              <w:t>Low producing</w:t>
            </w:r>
          </w:p>
        </w:tc>
        <w:tc>
          <w:tcPr>
            <w:tcW w:w="1731" w:type="dxa"/>
            <w:tcBorders>
              <w:top w:val="single" w:sz="4" w:space="0" w:color="365F91"/>
              <w:bottom w:val="single" w:sz="4" w:space="0" w:color="365F91"/>
            </w:tcBorders>
          </w:tcPr>
          <w:p w14:paraId="640A8B28" w14:textId="77777777" w:rsidR="00333601" w:rsidRPr="00BE78CA" w:rsidRDefault="00333601" w:rsidP="00C26084">
            <w:pPr>
              <w:pStyle w:val="TableText"/>
              <w:spacing w:before="40" w:after="40"/>
              <w:rPr>
                <w:b/>
                <w:szCs w:val="16"/>
              </w:rPr>
            </w:pPr>
            <w:r w:rsidRPr="00BE78CA">
              <w:rPr>
                <w:b/>
                <w:szCs w:val="16"/>
              </w:rPr>
              <w:t>Total biomass</w:t>
            </w:r>
          </w:p>
        </w:tc>
        <w:tc>
          <w:tcPr>
            <w:tcW w:w="1276" w:type="dxa"/>
            <w:tcBorders>
              <w:top w:val="single" w:sz="4" w:space="0" w:color="365F91"/>
              <w:bottom w:val="single" w:sz="4" w:space="0" w:color="365F91"/>
            </w:tcBorders>
          </w:tcPr>
          <w:p w14:paraId="03896B9B" w14:textId="77777777" w:rsidR="00333601" w:rsidRPr="00BE78CA" w:rsidRDefault="00333601" w:rsidP="00C26084">
            <w:pPr>
              <w:pStyle w:val="TableText"/>
              <w:spacing w:before="40" w:after="40"/>
              <w:jc w:val="center"/>
              <w:rPr>
                <w:b/>
                <w:szCs w:val="16"/>
              </w:rPr>
            </w:pPr>
            <w:r w:rsidRPr="00BE78CA">
              <w:rPr>
                <w:b/>
                <w:szCs w:val="16"/>
              </w:rPr>
              <w:t>2.867</w:t>
            </w:r>
          </w:p>
        </w:tc>
        <w:tc>
          <w:tcPr>
            <w:tcW w:w="1276" w:type="dxa"/>
            <w:tcBorders>
              <w:top w:val="single" w:sz="4" w:space="0" w:color="365F91"/>
              <w:bottom w:val="single" w:sz="4" w:space="0" w:color="365F91"/>
            </w:tcBorders>
          </w:tcPr>
          <w:p w14:paraId="49F1C644" w14:textId="77777777" w:rsidR="00333601" w:rsidRPr="00BE78CA" w:rsidRDefault="00333601" w:rsidP="00C26084">
            <w:pPr>
              <w:pStyle w:val="TableText"/>
              <w:spacing w:before="40" w:after="40"/>
              <w:jc w:val="center"/>
              <w:rPr>
                <w:b/>
                <w:szCs w:val="16"/>
              </w:rPr>
            </w:pPr>
            <w:r w:rsidRPr="00BE78CA">
              <w:rPr>
                <w:b/>
                <w:szCs w:val="16"/>
              </w:rPr>
              <w:t>2.867</w:t>
            </w:r>
          </w:p>
        </w:tc>
        <w:tc>
          <w:tcPr>
            <w:tcW w:w="1275" w:type="dxa"/>
            <w:tcBorders>
              <w:top w:val="single" w:sz="4" w:space="0" w:color="365F91"/>
              <w:bottom w:val="single" w:sz="4" w:space="0" w:color="365F91"/>
            </w:tcBorders>
          </w:tcPr>
          <w:p w14:paraId="5B4FF7F1" w14:textId="77777777" w:rsidR="00333601" w:rsidRPr="00BE78CA" w:rsidRDefault="00333601" w:rsidP="00C26084">
            <w:pPr>
              <w:pStyle w:val="TableText"/>
              <w:spacing w:before="40" w:after="40"/>
              <w:jc w:val="center"/>
              <w:rPr>
                <w:b/>
                <w:szCs w:val="16"/>
              </w:rPr>
            </w:pPr>
            <w:r w:rsidRPr="00BE78CA">
              <w:rPr>
                <w:b/>
                <w:szCs w:val="16"/>
              </w:rPr>
              <w:t>1</w:t>
            </w:r>
          </w:p>
        </w:tc>
        <w:tc>
          <w:tcPr>
            <w:tcW w:w="1701" w:type="dxa"/>
            <w:vMerge w:val="restart"/>
            <w:tcBorders>
              <w:top w:val="single" w:sz="4" w:space="0" w:color="365F91"/>
              <w:bottom w:val="single" w:sz="4" w:space="0" w:color="365F91"/>
            </w:tcBorders>
          </w:tcPr>
          <w:p w14:paraId="25E7BF34" w14:textId="77777777" w:rsidR="00333601" w:rsidRPr="00BE78CA" w:rsidRDefault="00333601" w:rsidP="00C26084">
            <w:pPr>
              <w:pStyle w:val="TableText"/>
              <w:spacing w:before="40" w:after="40"/>
              <w:rPr>
                <w:szCs w:val="16"/>
              </w:rPr>
            </w:pPr>
            <w:r w:rsidRPr="00BE78CA">
              <w:rPr>
                <w:szCs w:val="16"/>
              </w:rPr>
              <w:t>IPCC, 2006a, table 6.4</w:t>
            </w:r>
          </w:p>
        </w:tc>
      </w:tr>
      <w:tr w:rsidR="00333601" w:rsidRPr="00BE78CA" w14:paraId="2A17D4BF" w14:textId="77777777" w:rsidTr="00872B70">
        <w:trPr>
          <w:trHeight w:val="20"/>
        </w:trPr>
        <w:tc>
          <w:tcPr>
            <w:tcW w:w="1246" w:type="dxa"/>
            <w:vMerge/>
            <w:tcBorders>
              <w:top w:val="single" w:sz="4" w:space="0" w:color="365F91"/>
            </w:tcBorders>
          </w:tcPr>
          <w:p w14:paraId="5D182CB1" w14:textId="77777777" w:rsidR="00333601" w:rsidRPr="00BE78CA" w:rsidRDefault="00333601" w:rsidP="00C26084">
            <w:pPr>
              <w:pStyle w:val="TableText"/>
              <w:spacing w:before="40" w:after="40"/>
              <w:rPr>
                <w:szCs w:val="16"/>
              </w:rPr>
            </w:pPr>
          </w:p>
        </w:tc>
        <w:tc>
          <w:tcPr>
            <w:tcW w:w="1731" w:type="dxa"/>
            <w:tcBorders>
              <w:top w:val="single" w:sz="4" w:space="0" w:color="365F91"/>
              <w:bottom w:val="single" w:sz="4" w:space="0" w:color="365F91"/>
            </w:tcBorders>
          </w:tcPr>
          <w:p w14:paraId="03776A3B" w14:textId="77777777" w:rsidR="00333601" w:rsidRPr="00BE78CA" w:rsidRDefault="00333601" w:rsidP="00C26084">
            <w:pPr>
              <w:pStyle w:val="TableText"/>
              <w:spacing w:before="40" w:after="40"/>
              <w:rPr>
                <w:i/>
                <w:szCs w:val="16"/>
              </w:rPr>
            </w:pPr>
            <w:r w:rsidRPr="00BE78CA">
              <w:rPr>
                <w:i/>
                <w:szCs w:val="16"/>
              </w:rPr>
              <w:t>Living biomass</w:t>
            </w:r>
          </w:p>
        </w:tc>
        <w:tc>
          <w:tcPr>
            <w:tcW w:w="1276" w:type="dxa"/>
            <w:tcBorders>
              <w:top w:val="single" w:sz="4" w:space="0" w:color="365F91"/>
              <w:bottom w:val="single" w:sz="4" w:space="0" w:color="365F91"/>
            </w:tcBorders>
          </w:tcPr>
          <w:p w14:paraId="17330A71" w14:textId="77777777" w:rsidR="00333601" w:rsidRPr="00BE78CA" w:rsidRDefault="00333601" w:rsidP="00C26084">
            <w:pPr>
              <w:pStyle w:val="TableText"/>
              <w:spacing w:before="40" w:after="40"/>
              <w:jc w:val="center"/>
              <w:rPr>
                <w:szCs w:val="16"/>
              </w:rPr>
            </w:pPr>
          </w:p>
        </w:tc>
        <w:tc>
          <w:tcPr>
            <w:tcW w:w="1276" w:type="dxa"/>
            <w:tcBorders>
              <w:top w:val="single" w:sz="4" w:space="0" w:color="365F91"/>
              <w:bottom w:val="single" w:sz="4" w:space="0" w:color="365F91"/>
            </w:tcBorders>
          </w:tcPr>
          <w:p w14:paraId="1C243C96" w14:textId="77777777" w:rsidR="00333601" w:rsidRPr="00BE78CA" w:rsidRDefault="00333601" w:rsidP="00C26084">
            <w:pPr>
              <w:pStyle w:val="TableText"/>
              <w:spacing w:before="40" w:after="40"/>
              <w:jc w:val="center"/>
              <w:rPr>
                <w:szCs w:val="16"/>
              </w:rPr>
            </w:pPr>
          </w:p>
        </w:tc>
        <w:tc>
          <w:tcPr>
            <w:tcW w:w="1275" w:type="dxa"/>
            <w:tcBorders>
              <w:top w:val="single" w:sz="4" w:space="0" w:color="365F91"/>
              <w:bottom w:val="single" w:sz="4" w:space="0" w:color="365F91"/>
            </w:tcBorders>
          </w:tcPr>
          <w:p w14:paraId="35350E6D" w14:textId="77777777" w:rsidR="00333601" w:rsidRPr="00BE78CA" w:rsidRDefault="00333601" w:rsidP="00C26084">
            <w:pPr>
              <w:pStyle w:val="TableText"/>
              <w:spacing w:before="40" w:after="40"/>
              <w:jc w:val="center"/>
              <w:rPr>
                <w:szCs w:val="16"/>
              </w:rPr>
            </w:pPr>
          </w:p>
        </w:tc>
        <w:tc>
          <w:tcPr>
            <w:tcW w:w="1701" w:type="dxa"/>
            <w:vMerge/>
            <w:tcBorders>
              <w:top w:val="single" w:sz="4" w:space="0" w:color="365F91"/>
              <w:bottom w:val="single" w:sz="4" w:space="0" w:color="365F91"/>
            </w:tcBorders>
          </w:tcPr>
          <w:p w14:paraId="4F772D76" w14:textId="77777777" w:rsidR="00333601" w:rsidRPr="00BE78CA" w:rsidRDefault="00333601" w:rsidP="00C26084">
            <w:pPr>
              <w:pStyle w:val="TableText"/>
              <w:spacing w:before="40" w:after="40"/>
              <w:rPr>
                <w:szCs w:val="16"/>
              </w:rPr>
            </w:pPr>
          </w:p>
        </w:tc>
      </w:tr>
      <w:tr w:rsidR="00333601" w:rsidRPr="00BE78CA" w14:paraId="4DC100C2" w14:textId="77777777" w:rsidTr="00872B70">
        <w:trPr>
          <w:trHeight w:val="20"/>
        </w:trPr>
        <w:tc>
          <w:tcPr>
            <w:tcW w:w="1246" w:type="dxa"/>
            <w:vMerge/>
          </w:tcPr>
          <w:p w14:paraId="6F4964CC" w14:textId="77777777" w:rsidR="00333601" w:rsidRPr="00BE78CA" w:rsidRDefault="00333601" w:rsidP="00C26084">
            <w:pPr>
              <w:pStyle w:val="TableText"/>
              <w:spacing w:before="40" w:after="40"/>
              <w:rPr>
                <w:szCs w:val="16"/>
              </w:rPr>
            </w:pPr>
          </w:p>
        </w:tc>
        <w:tc>
          <w:tcPr>
            <w:tcW w:w="1731" w:type="dxa"/>
            <w:tcBorders>
              <w:top w:val="single" w:sz="4" w:space="0" w:color="365F91"/>
              <w:bottom w:val="single" w:sz="4" w:space="0" w:color="365F91"/>
            </w:tcBorders>
          </w:tcPr>
          <w:p w14:paraId="6DACD5E6" w14:textId="77777777" w:rsidR="00333601" w:rsidRPr="00BE78CA" w:rsidRDefault="00333601" w:rsidP="00C26084">
            <w:pPr>
              <w:pStyle w:val="TableText"/>
              <w:spacing w:before="40" w:after="40"/>
              <w:rPr>
                <w:szCs w:val="16"/>
              </w:rPr>
            </w:pPr>
            <w:r w:rsidRPr="00BE78CA">
              <w:rPr>
                <w:szCs w:val="16"/>
              </w:rPr>
              <w:tab/>
              <w:t>AGB</w:t>
            </w:r>
          </w:p>
        </w:tc>
        <w:tc>
          <w:tcPr>
            <w:tcW w:w="1276" w:type="dxa"/>
            <w:tcBorders>
              <w:top w:val="single" w:sz="4" w:space="0" w:color="365F91"/>
              <w:bottom w:val="single" w:sz="4" w:space="0" w:color="365F91"/>
            </w:tcBorders>
          </w:tcPr>
          <w:p w14:paraId="1A96D90F" w14:textId="77777777" w:rsidR="00333601" w:rsidRPr="00BE78CA" w:rsidRDefault="00333601" w:rsidP="00C26084">
            <w:pPr>
              <w:pStyle w:val="TableText"/>
              <w:spacing w:before="40" w:after="40"/>
              <w:jc w:val="center"/>
              <w:rPr>
                <w:szCs w:val="16"/>
              </w:rPr>
            </w:pPr>
            <w:r w:rsidRPr="00BE78CA">
              <w:rPr>
                <w:szCs w:val="16"/>
              </w:rPr>
              <w:t>0.752</w:t>
            </w:r>
          </w:p>
        </w:tc>
        <w:tc>
          <w:tcPr>
            <w:tcW w:w="1276" w:type="dxa"/>
            <w:tcBorders>
              <w:top w:val="single" w:sz="4" w:space="0" w:color="365F91"/>
              <w:bottom w:val="single" w:sz="4" w:space="0" w:color="365F91"/>
            </w:tcBorders>
          </w:tcPr>
          <w:p w14:paraId="2811DBB5" w14:textId="77777777" w:rsidR="00333601" w:rsidRPr="00BE78CA" w:rsidRDefault="00333601" w:rsidP="00C26084">
            <w:pPr>
              <w:pStyle w:val="TableText"/>
              <w:spacing w:before="40" w:after="40"/>
              <w:jc w:val="center"/>
              <w:rPr>
                <w:szCs w:val="16"/>
              </w:rPr>
            </w:pPr>
            <w:r w:rsidRPr="00BE78CA">
              <w:rPr>
                <w:szCs w:val="16"/>
              </w:rPr>
              <w:t>0.752</w:t>
            </w:r>
          </w:p>
        </w:tc>
        <w:tc>
          <w:tcPr>
            <w:tcW w:w="1275" w:type="dxa"/>
            <w:tcBorders>
              <w:top w:val="single" w:sz="4" w:space="0" w:color="365F91"/>
              <w:bottom w:val="single" w:sz="4" w:space="0" w:color="365F91"/>
            </w:tcBorders>
          </w:tcPr>
          <w:p w14:paraId="50267EA0" w14:textId="77777777" w:rsidR="00333601" w:rsidRPr="00BE78CA" w:rsidRDefault="00333601" w:rsidP="00C26084">
            <w:pPr>
              <w:pStyle w:val="TableText"/>
              <w:spacing w:before="40" w:after="40"/>
              <w:jc w:val="center"/>
              <w:rPr>
                <w:szCs w:val="16"/>
              </w:rPr>
            </w:pPr>
            <w:r w:rsidRPr="00BE78CA">
              <w:rPr>
                <w:szCs w:val="16"/>
              </w:rPr>
              <w:t>1</w:t>
            </w:r>
          </w:p>
        </w:tc>
        <w:tc>
          <w:tcPr>
            <w:tcW w:w="1701" w:type="dxa"/>
            <w:vMerge/>
            <w:tcBorders>
              <w:top w:val="single" w:sz="4" w:space="0" w:color="365F91"/>
              <w:bottom w:val="single" w:sz="4" w:space="0" w:color="365F91"/>
            </w:tcBorders>
          </w:tcPr>
          <w:p w14:paraId="6FD4B217" w14:textId="77777777" w:rsidR="00333601" w:rsidRPr="00BE78CA" w:rsidRDefault="00333601" w:rsidP="00C26084">
            <w:pPr>
              <w:pStyle w:val="TableText"/>
              <w:spacing w:before="40" w:after="40"/>
              <w:rPr>
                <w:szCs w:val="16"/>
              </w:rPr>
            </w:pPr>
          </w:p>
        </w:tc>
      </w:tr>
      <w:tr w:rsidR="00333601" w:rsidRPr="00BE78CA" w14:paraId="329F128B" w14:textId="77777777" w:rsidTr="00872B70">
        <w:trPr>
          <w:trHeight w:val="20"/>
        </w:trPr>
        <w:tc>
          <w:tcPr>
            <w:tcW w:w="1246" w:type="dxa"/>
            <w:vMerge/>
          </w:tcPr>
          <w:p w14:paraId="0046FB9B" w14:textId="77777777" w:rsidR="00333601" w:rsidRPr="00BE78CA" w:rsidRDefault="00333601" w:rsidP="00C26084">
            <w:pPr>
              <w:pStyle w:val="TableText"/>
              <w:spacing w:before="40" w:after="40"/>
              <w:rPr>
                <w:szCs w:val="16"/>
              </w:rPr>
            </w:pPr>
          </w:p>
        </w:tc>
        <w:tc>
          <w:tcPr>
            <w:tcW w:w="1731" w:type="dxa"/>
            <w:tcBorders>
              <w:top w:val="single" w:sz="4" w:space="0" w:color="365F91"/>
              <w:bottom w:val="single" w:sz="4" w:space="0" w:color="365F91"/>
            </w:tcBorders>
          </w:tcPr>
          <w:p w14:paraId="3E2F16B7" w14:textId="77777777" w:rsidR="00333601" w:rsidRPr="00BE78CA" w:rsidRDefault="00333601" w:rsidP="00C26084">
            <w:pPr>
              <w:pStyle w:val="TableText"/>
              <w:spacing w:before="40" w:after="40"/>
              <w:rPr>
                <w:szCs w:val="16"/>
              </w:rPr>
            </w:pPr>
            <w:r w:rsidRPr="00BE78CA">
              <w:rPr>
                <w:szCs w:val="16"/>
              </w:rPr>
              <w:tab/>
              <w:t>BGB</w:t>
            </w:r>
          </w:p>
        </w:tc>
        <w:tc>
          <w:tcPr>
            <w:tcW w:w="1276" w:type="dxa"/>
            <w:tcBorders>
              <w:top w:val="single" w:sz="4" w:space="0" w:color="365F91"/>
              <w:bottom w:val="single" w:sz="4" w:space="0" w:color="365F91"/>
            </w:tcBorders>
          </w:tcPr>
          <w:p w14:paraId="2F87472B" w14:textId="77777777" w:rsidR="00333601" w:rsidRPr="00BE78CA" w:rsidRDefault="00333601" w:rsidP="00C26084">
            <w:pPr>
              <w:pStyle w:val="TableText"/>
              <w:spacing w:before="40" w:after="40"/>
              <w:jc w:val="center"/>
              <w:rPr>
                <w:szCs w:val="16"/>
              </w:rPr>
            </w:pPr>
            <w:r w:rsidRPr="00BE78CA">
              <w:rPr>
                <w:szCs w:val="16"/>
              </w:rPr>
              <w:t>2.115</w:t>
            </w:r>
          </w:p>
        </w:tc>
        <w:tc>
          <w:tcPr>
            <w:tcW w:w="1276" w:type="dxa"/>
            <w:tcBorders>
              <w:top w:val="single" w:sz="4" w:space="0" w:color="365F91"/>
              <w:bottom w:val="single" w:sz="4" w:space="0" w:color="365F91"/>
            </w:tcBorders>
          </w:tcPr>
          <w:p w14:paraId="73C218EE" w14:textId="77777777" w:rsidR="00333601" w:rsidRPr="00BE78CA" w:rsidRDefault="00333601" w:rsidP="00C26084">
            <w:pPr>
              <w:pStyle w:val="TableText"/>
              <w:spacing w:before="40" w:after="40"/>
              <w:jc w:val="center"/>
              <w:rPr>
                <w:szCs w:val="16"/>
              </w:rPr>
            </w:pPr>
            <w:r w:rsidRPr="00BE78CA">
              <w:rPr>
                <w:szCs w:val="16"/>
              </w:rPr>
              <w:t>2.115</w:t>
            </w:r>
          </w:p>
        </w:tc>
        <w:tc>
          <w:tcPr>
            <w:tcW w:w="1275" w:type="dxa"/>
            <w:tcBorders>
              <w:top w:val="single" w:sz="4" w:space="0" w:color="365F91"/>
              <w:bottom w:val="single" w:sz="4" w:space="0" w:color="365F91"/>
            </w:tcBorders>
          </w:tcPr>
          <w:p w14:paraId="78435A45" w14:textId="77777777" w:rsidR="00333601" w:rsidRPr="00BE78CA" w:rsidRDefault="00333601" w:rsidP="00C26084">
            <w:pPr>
              <w:pStyle w:val="TableText"/>
              <w:spacing w:before="40" w:after="40"/>
              <w:jc w:val="center"/>
              <w:rPr>
                <w:szCs w:val="16"/>
              </w:rPr>
            </w:pPr>
            <w:r w:rsidRPr="00BE78CA">
              <w:rPr>
                <w:szCs w:val="16"/>
              </w:rPr>
              <w:t>1</w:t>
            </w:r>
          </w:p>
        </w:tc>
        <w:tc>
          <w:tcPr>
            <w:tcW w:w="1701" w:type="dxa"/>
            <w:vMerge/>
            <w:tcBorders>
              <w:top w:val="single" w:sz="4" w:space="0" w:color="365F91"/>
              <w:bottom w:val="single" w:sz="4" w:space="0" w:color="365F91"/>
            </w:tcBorders>
          </w:tcPr>
          <w:p w14:paraId="4AEAF3FD" w14:textId="77777777" w:rsidR="00333601" w:rsidRPr="00BE78CA" w:rsidRDefault="00333601" w:rsidP="00C26084">
            <w:pPr>
              <w:pStyle w:val="TableText"/>
              <w:spacing w:before="40" w:after="40"/>
              <w:rPr>
                <w:szCs w:val="16"/>
              </w:rPr>
            </w:pPr>
          </w:p>
        </w:tc>
      </w:tr>
      <w:tr w:rsidR="00333601" w:rsidRPr="00BE78CA" w14:paraId="33AB8F3C" w14:textId="77777777" w:rsidTr="00872B70">
        <w:trPr>
          <w:trHeight w:val="20"/>
        </w:trPr>
        <w:tc>
          <w:tcPr>
            <w:tcW w:w="1246" w:type="dxa"/>
            <w:vMerge/>
            <w:tcBorders>
              <w:bottom w:val="single" w:sz="4" w:space="0" w:color="365F91"/>
            </w:tcBorders>
          </w:tcPr>
          <w:p w14:paraId="1B972BF9" w14:textId="77777777" w:rsidR="00333601" w:rsidRPr="00BE78CA" w:rsidRDefault="00333601" w:rsidP="00C26084">
            <w:pPr>
              <w:pStyle w:val="TableText"/>
              <w:spacing w:before="40" w:after="40"/>
              <w:rPr>
                <w:szCs w:val="16"/>
              </w:rPr>
            </w:pPr>
          </w:p>
        </w:tc>
        <w:tc>
          <w:tcPr>
            <w:tcW w:w="1731" w:type="dxa"/>
            <w:tcBorders>
              <w:top w:val="single" w:sz="4" w:space="0" w:color="365F91"/>
              <w:bottom w:val="single" w:sz="4" w:space="0" w:color="365F91"/>
            </w:tcBorders>
          </w:tcPr>
          <w:p w14:paraId="117EC242" w14:textId="77777777" w:rsidR="00333601" w:rsidRPr="00BE78CA" w:rsidRDefault="00333601" w:rsidP="00C26084">
            <w:pPr>
              <w:pStyle w:val="TableText"/>
              <w:spacing w:before="40" w:after="40"/>
              <w:rPr>
                <w:i/>
                <w:szCs w:val="16"/>
              </w:rPr>
            </w:pPr>
            <w:r w:rsidRPr="00BE78CA">
              <w:rPr>
                <w:i/>
                <w:szCs w:val="16"/>
              </w:rPr>
              <w:t>Dead organic matter</w:t>
            </w:r>
          </w:p>
        </w:tc>
        <w:tc>
          <w:tcPr>
            <w:tcW w:w="1276" w:type="dxa"/>
            <w:tcBorders>
              <w:top w:val="single" w:sz="4" w:space="0" w:color="365F91"/>
              <w:bottom w:val="single" w:sz="4" w:space="0" w:color="365F91"/>
            </w:tcBorders>
          </w:tcPr>
          <w:p w14:paraId="46EF0670" w14:textId="77777777" w:rsidR="00333601" w:rsidRPr="00BE78CA" w:rsidRDefault="00333601" w:rsidP="00C26084">
            <w:pPr>
              <w:pStyle w:val="TableText"/>
              <w:spacing w:before="40" w:after="40"/>
              <w:jc w:val="center"/>
              <w:rPr>
                <w:szCs w:val="16"/>
              </w:rPr>
            </w:pPr>
            <w:r w:rsidRPr="00BE78CA">
              <w:rPr>
                <w:szCs w:val="16"/>
              </w:rPr>
              <w:t>NE</w:t>
            </w:r>
          </w:p>
        </w:tc>
        <w:tc>
          <w:tcPr>
            <w:tcW w:w="1276" w:type="dxa"/>
            <w:tcBorders>
              <w:top w:val="single" w:sz="4" w:space="0" w:color="365F91"/>
              <w:bottom w:val="single" w:sz="4" w:space="0" w:color="365F91"/>
            </w:tcBorders>
          </w:tcPr>
          <w:p w14:paraId="5AD6D3D2" w14:textId="77777777" w:rsidR="00333601" w:rsidRPr="00BE78CA" w:rsidRDefault="00333601" w:rsidP="00C26084">
            <w:pPr>
              <w:pStyle w:val="TableText"/>
              <w:spacing w:before="40" w:after="40"/>
              <w:jc w:val="center"/>
              <w:rPr>
                <w:szCs w:val="16"/>
              </w:rPr>
            </w:pPr>
            <w:r w:rsidRPr="00BE78CA">
              <w:rPr>
                <w:szCs w:val="16"/>
              </w:rPr>
              <w:t>NA</w:t>
            </w:r>
          </w:p>
        </w:tc>
        <w:tc>
          <w:tcPr>
            <w:tcW w:w="1275" w:type="dxa"/>
            <w:tcBorders>
              <w:top w:val="single" w:sz="4" w:space="0" w:color="365F91"/>
              <w:bottom w:val="single" w:sz="4" w:space="0" w:color="365F91"/>
            </w:tcBorders>
          </w:tcPr>
          <w:p w14:paraId="7E891705" w14:textId="77777777" w:rsidR="00333601" w:rsidRPr="00BE78CA" w:rsidRDefault="00333601" w:rsidP="00C26084">
            <w:pPr>
              <w:pStyle w:val="TableText"/>
              <w:spacing w:before="40" w:after="40"/>
              <w:jc w:val="center"/>
              <w:rPr>
                <w:szCs w:val="16"/>
              </w:rPr>
            </w:pPr>
            <w:r w:rsidRPr="00BE78CA">
              <w:rPr>
                <w:szCs w:val="16"/>
              </w:rPr>
              <w:t>NA</w:t>
            </w:r>
          </w:p>
        </w:tc>
        <w:tc>
          <w:tcPr>
            <w:tcW w:w="1701" w:type="dxa"/>
            <w:tcBorders>
              <w:top w:val="single" w:sz="4" w:space="0" w:color="365F91"/>
              <w:bottom w:val="single" w:sz="4" w:space="0" w:color="365F91"/>
            </w:tcBorders>
          </w:tcPr>
          <w:p w14:paraId="6C45250F" w14:textId="77777777" w:rsidR="00333601" w:rsidRPr="00BE78CA" w:rsidRDefault="00333601" w:rsidP="00C26084">
            <w:pPr>
              <w:pStyle w:val="TableText"/>
              <w:spacing w:before="40" w:after="40"/>
              <w:rPr>
                <w:szCs w:val="16"/>
              </w:rPr>
            </w:pPr>
            <w:r w:rsidRPr="00BE78CA">
              <w:rPr>
                <w:szCs w:val="16"/>
              </w:rPr>
              <w:t>No IPCC guidelines</w:t>
            </w:r>
          </w:p>
        </w:tc>
      </w:tr>
      <w:tr w:rsidR="00333601" w:rsidRPr="00BE78CA" w14:paraId="5AD1906D" w14:textId="77777777" w:rsidTr="00872B70">
        <w:trPr>
          <w:trHeight w:val="20"/>
        </w:trPr>
        <w:tc>
          <w:tcPr>
            <w:tcW w:w="1246" w:type="dxa"/>
            <w:vMerge w:val="restart"/>
            <w:tcBorders>
              <w:top w:val="single" w:sz="4" w:space="0" w:color="365F91"/>
              <w:bottom w:val="single" w:sz="4" w:space="0" w:color="365F91"/>
            </w:tcBorders>
          </w:tcPr>
          <w:p w14:paraId="57A2C218" w14:textId="77777777" w:rsidR="00333601" w:rsidRPr="00BE78CA" w:rsidRDefault="00333601" w:rsidP="00C26084">
            <w:pPr>
              <w:pStyle w:val="TableText"/>
              <w:spacing w:before="40" w:after="40"/>
              <w:rPr>
                <w:szCs w:val="16"/>
              </w:rPr>
            </w:pPr>
            <w:r w:rsidRPr="00BE78CA">
              <w:rPr>
                <w:szCs w:val="16"/>
              </w:rPr>
              <w:t>With woody biomass –transitional</w:t>
            </w:r>
          </w:p>
        </w:tc>
        <w:tc>
          <w:tcPr>
            <w:tcW w:w="1731" w:type="dxa"/>
            <w:tcBorders>
              <w:top w:val="single" w:sz="4" w:space="0" w:color="365F91"/>
              <w:bottom w:val="single" w:sz="4" w:space="0" w:color="365F91"/>
            </w:tcBorders>
          </w:tcPr>
          <w:p w14:paraId="19FCEFA2" w14:textId="77777777" w:rsidR="00333601" w:rsidRPr="00BE78CA" w:rsidRDefault="00333601" w:rsidP="00C26084">
            <w:pPr>
              <w:pStyle w:val="TableText"/>
              <w:spacing w:before="40" w:after="40"/>
              <w:rPr>
                <w:b/>
                <w:szCs w:val="16"/>
              </w:rPr>
            </w:pPr>
            <w:r w:rsidRPr="00BE78CA">
              <w:rPr>
                <w:b/>
                <w:szCs w:val="16"/>
              </w:rPr>
              <w:t>Total biomass</w:t>
            </w:r>
          </w:p>
        </w:tc>
        <w:tc>
          <w:tcPr>
            <w:tcW w:w="1276" w:type="dxa"/>
            <w:tcBorders>
              <w:top w:val="single" w:sz="4" w:space="0" w:color="365F91"/>
              <w:bottom w:val="single" w:sz="4" w:space="0" w:color="365F91"/>
            </w:tcBorders>
          </w:tcPr>
          <w:p w14:paraId="1781D652" w14:textId="77777777" w:rsidR="00333601" w:rsidRPr="00BE78CA" w:rsidRDefault="00333601" w:rsidP="00C26084">
            <w:pPr>
              <w:pStyle w:val="TableText"/>
              <w:spacing w:before="40" w:after="40"/>
              <w:jc w:val="center"/>
              <w:rPr>
                <w:b/>
                <w:szCs w:val="16"/>
              </w:rPr>
            </w:pPr>
            <w:r w:rsidRPr="00BE78CA">
              <w:rPr>
                <w:b/>
                <w:szCs w:val="16"/>
              </w:rPr>
              <w:t>13.05</w:t>
            </w:r>
          </w:p>
        </w:tc>
        <w:tc>
          <w:tcPr>
            <w:tcW w:w="1276" w:type="dxa"/>
            <w:tcBorders>
              <w:top w:val="single" w:sz="4" w:space="0" w:color="365F91"/>
              <w:bottom w:val="single" w:sz="4" w:space="0" w:color="365F91"/>
            </w:tcBorders>
          </w:tcPr>
          <w:p w14:paraId="6B07D1AB" w14:textId="77777777" w:rsidR="00333601" w:rsidRPr="00BE78CA" w:rsidRDefault="00333601" w:rsidP="00C26084">
            <w:pPr>
              <w:pStyle w:val="TableText"/>
              <w:spacing w:before="40" w:after="40"/>
              <w:jc w:val="center"/>
              <w:rPr>
                <w:b/>
                <w:szCs w:val="16"/>
              </w:rPr>
            </w:pPr>
            <w:r w:rsidRPr="00BE78CA">
              <w:rPr>
                <w:b/>
                <w:szCs w:val="16"/>
              </w:rPr>
              <w:t>0.48</w:t>
            </w:r>
          </w:p>
        </w:tc>
        <w:tc>
          <w:tcPr>
            <w:tcW w:w="1275" w:type="dxa"/>
            <w:tcBorders>
              <w:top w:val="single" w:sz="4" w:space="0" w:color="365F91"/>
              <w:bottom w:val="single" w:sz="4" w:space="0" w:color="365F91"/>
            </w:tcBorders>
          </w:tcPr>
          <w:p w14:paraId="26036AB5" w14:textId="77777777" w:rsidR="00333601" w:rsidRPr="00BE78CA" w:rsidRDefault="00333601" w:rsidP="00C26084">
            <w:pPr>
              <w:pStyle w:val="TableText"/>
              <w:spacing w:before="40" w:after="40"/>
              <w:jc w:val="center"/>
              <w:rPr>
                <w:b/>
                <w:szCs w:val="16"/>
              </w:rPr>
            </w:pPr>
            <w:r w:rsidRPr="00BE78CA">
              <w:rPr>
                <w:b/>
                <w:szCs w:val="16"/>
              </w:rPr>
              <w:t>20</w:t>
            </w:r>
          </w:p>
        </w:tc>
        <w:tc>
          <w:tcPr>
            <w:tcW w:w="1701" w:type="dxa"/>
            <w:vMerge w:val="restart"/>
            <w:tcBorders>
              <w:top w:val="single" w:sz="4" w:space="0" w:color="365F91"/>
              <w:bottom w:val="single" w:sz="4" w:space="0" w:color="365F91"/>
            </w:tcBorders>
          </w:tcPr>
          <w:p w14:paraId="6C2176A5" w14:textId="77777777" w:rsidR="00333601" w:rsidRPr="00BE78CA" w:rsidRDefault="00333601" w:rsidP="00C26084">
            <w:pPr>
              <w:pStyle w:val="TableText"/>
              <w:spacing w:before="40" w:after="40"/>
              <w:rPr>
                <w:szCs w:val="16"/>
              </w:rPr>
            </w:pPr>
            <w:r w:rsidRPr="00BE78CA">
              <w:rPr>
                <w:szCs w:val="16"/>
              </w:rPr>
              <w:t>Wakelin and Beets, unpublished</w:t>
            </w:r>
          </w:p>
        </w:tc>
      </w:tr>
      <w:tr w:rsidR="00333601" w:rsidRPr="00BE78CA" w14:paraId="4749603B" w14:textId="77777777" w:rsidTr="00872B70">
        <w:trPr>
          <w:trHeight w:val="20"/>
        </w:trPr>
        <w:tc>
          <w:tcPr>
            <w:tcW w:w="1246" w:type="dxa"/>
            <w:vMerge/>
            <w:tcBorders>
              <w:top w:val="single" w:sz="4" w:space="0" w:color="365F91"/>
            </w:tcBorders>
          </w:tcPr>
          <w:p w14:paraId="349E826F" w14:textId="77777777" w:rsidR="00333601" w:rsidRPr="00BE78CA" w:rsidRDefault="00333601" w:rsidP="00C26084">
            <w:pPr>
              <w:pStyle w:val="TableText"/>
              <w:spacing w:before="40" w:after="40"/>
              <w:rPr>
                <w:szCs w:val="16"/>
              </w:rPr>
            </w:pPr>
          </w:p>
        </w:tc>
        <w:tc>
          <w:tcPr>
            <w:tcW w:w="1731" w:type="dxa"/>
            <w:tcBorders>
              <w:top w:val="single" w:sz="4" w:space="0" w:color="365F91"/>
              <w:bottom w:val="single" w:sz="4" w:space="0" w:color="365F91"/>
            </w:tcBorders>
          </w:tcPr>
          <w:p w14:paraId="3FFEB830" w14:textId="77777777" w:rsidR="00333601" w:rsidRPr="00BE78CA" w:rsidRDefault="00333601" w:rsidP="00C26084">
            <w:pPr>
              <w:pStyle w:val="TableText"/>
              <w:spacing w:before="40" w:after="40"/>
              <w:rPr>
                <w:i/>
                <w:szCs w:val="16"/>
              </w:rPr>
            </w:pPr>
            <w:r w:rsidRPr="00BE78CA">
              <w:rPr>
                <w:i/>
                <w:szCs w:val="16"/>
              </w:rPr>
              <w:t>Living biomass</w:t>
            </w:r>
          </w:p>
        </w:tc>
        <w:tc>
          <w:tcPr>
            <w:tcW w:w="1276" w:type="dxa"/>
            <w:tcBorders>
              <w:top w:val="single" w:sz="4" w:space="0" w:color="365F91"/>
              <w:bottom w:val="single" w:sz="4" w:space="0" w:color="365F91"/>
            </w:tcBorders>
          </w:tcPr>
          <w:p w14:paraId="29ECD771" w14:textId="77777777" w:rsidR="00333601" w:rsidRPr="00BE78CA" w:rsidRDefault="00333601" w:rsidP="00C26084">
            <w:pPr>
              <w:pStyle w:val="TableText"/>
              <w:spacing w:before="40" w:after="40"/>
              <w:jc w:val="center"/>
              <w:rPr>
                <w:szCs w:val="16"/>
              </w:rPr>
            </w:pPr>
          </w:p>
        </w:tc>
        <w:tc>
          <w:tcPr>
            <w:tcW w:w="1276" w:type="dxa"/>
            <w:tcBorders>
              <w:top w:val="single" w:sz="4" w:space="0" w:color="365F91"/>
              <w:bottom w:val="single" w:sz="4" w:space="0" w:color="365F91"/>
            </w:tcBorders>
          </w:tcPr>
          <w:p w14:paraId="7E11C0E5" w14:textId="77777777" w:rsidR="00333601" w:rsidRPr="00BE78CA" w:rsidRDefault="00333601" w:rsidP="00C26084">
            <w:pPr>
              <w:pStyle w:val="TableText"/>
              <w:spacing w:before="40" w:after="40"/>
              <w:jc w:val="center"/>
              <w:rPr>
                <w:szCs w:val="16"/>
              </w:rPr>
            </w:pPr>
          </w:p>
        </w:tc>
        <w:tc>
          <w:tcPr>
            <w:tcW w:w="1275" w:type="dxa"/>
            <w:tcBorders>
              <w:top w:val="single" w:sz="4" w:space="0" w:color="365F91"/>
              <w:bottom w:val="single" w:sz="4" w:space="0" w:color="365F91"/>
            </w:tcBorders>
          </w:tcPr>
          <w:p w14:paraId="0A220FE6" w14:textId="77777777" w:rsidR="00333601" w:rsidRPr="00BE78CA" w:rsidRDefault="00333601" w:rsidP="00C26084">
            <w:pPr>
              <w:pStyle w:val="TableText"/>
              <w:spacing w:before="40" w:after="40"/>
              <w:jc w:val="center"/>
              <w:rPr>
                <w:szCs w:val="16"/>
              </w:rPr>
            </w:pPr>
          </w:p>
        </w:tc>
        <w:tc>
          <w:tcPr>
            <w:tcW w:w="1701" w:type="dxa"/>
            <w:vMerge/>
            <w:tcBorders>
              <w:top w:val="single" w:sz="4" w:space="0" w:color="365F91"/>
              <w:bottom w:val="single" w:sz="4" w:space="0" w:color="365F91"/>
            </w:tcBorders>
          </w:tcPr>
          <w:p w14:paraId="57C8A406" w14:textId="77777777" w:rsidR="00333601" w:rsidRPr="00BE78CA" w:rsidRDefault="00333601" w:rsidP="00C26084">
            <w:pPr>
              <w:pStyle w:val="TableText"/>
              <w:spacing w:before="40" w:after="40"/>
              <w:rPr>
                <w:szCs w:val="16"/>
              </w:rPr>
            </w:pPr>
          </w:p>
        </w:tc>
      </w:tr>
      <w:tr w:rsidR="00333601" w:rsidRPr="00BE78CA" w14:paraId="71A9077B" w14:textId="77777777" w:rsidTr="00872B70">
        <w:trPr>
          <w:trHeight w:val="20"/>
        </w:trPr>
        <w:tc>
          <w:tcPr>
            <w:tcW w:w="1246" w:type="dxa"/>
            <w:vMerge/>
          </w:tcPr>
          <w:p w14:paraId="64FDA068" w14:textId="77777777" w:rsidR="00333601" w:rsidRPr="00BE78CA" w:rsidRDefault="00333601" w:rsidP="00C26084">
            <w:pPr>
              <w:pStyle w:val="TableText"/>
              <w:spacing w:before="40" w:after="40"/>
              <w:rPr>
                <w:szCs w:val="16"/>
              </w:rPr>
            </w:pPr>
          </w:p>
        </w:tc>
        <w:tc>
          <w:tcPr>
            <w:tcW w:w="1731" w:type="dxa"/>
            <w:tcBorders>
              <w:top w:val="single" w:sz="4" w:space="0" w:color="365F91"/>
              <w:bottom w:val="single" w:sz="4" w:space="0" w:color="365F91"/>
            </w:tcBorders>
          </w:tcPr>
          <w:p w14:paraId="70FFA1FA" w14:textId="77777777" w:rsidR="00333601" w:rsidRPr="00BE78CA" w:rsidRDefault="00333601" w:rsidP="00C26084">
            <w:pPr>
              <w:pStyle w:val="TableText"/>
              <w:spacing w:before="40" w:after="40"/>
              <w:rPr>
                <w:szCs w:val="16"/>
              </w:rPr>
            </w:pPr>
            <w:r w:rsidRPr="00BE78CA">
              <w:rPr>
                <w:szCs w:val="16"/>
              </w:rPr>
              <w:tab/>
              <w:t>AGB</w:t>
            </w:r>
          </w:p>
        </w:tc>
        <w:tc>
          <w:tcPr>
            <w:tcW w:w="1276" w:type="dxa"/>
            <w:tcBorders>
              <w:top w:val="single" w:sz="4" w:space="0" w:color="365F91"/>
              <w:bottom w:val="single" w:sz="4" w:space="0" w:color="365F91"/>
            </w:tcBorders>
          </w:tcPr>
          <w:p w14:paraId="19F5D8C0" w14:textId="77777777" w:rsidR="00333601" w:rsidRPr="00BE78CA" w:rsidRDefault="00333601" w:rsidP="00C26084">
            <w:pPr>
              <w:pStyle w:val="TableText"/>
              <w:spacing w:before="40" w:after="40"/>
              <w:jc w:val="center"/>
              <w:rPr>
                <w:szCs w:val="16"/>
              </w:rPr>
            </w:pPr>
            <w:r w:rsidRPr="00BE78CA">
              <w:rPr>
                <w:szCs w:val="16"/>
              </w:rPr>
              <w:t>9.35</w:t>
            </w:r>
          </w:p>
        </w:tc>
        <w:tc>
          <w:tcPr>
            <w:tcW w:w="1276" w:type="dxa"/>
            <w:tcBorders>
              <w:top w:val="single" w:sz="4" w:space="0" w:color="365F91"/>
              <w:bottom w:val="single" w:sz="4" w:space="0" w:color="365F91"/>
            </w:tcBorders>
          </w:tcPr>
          <w:p w14:paraId="07890B01" w14:textId="77777777" w:rsidR="00333601" w:rsidRPr="00BE78CA" w:rsidRDefault="00333601" w:rsidP="00C26084">
            <w:pPr>
              <w:pStyle w:val="TableText"/>
              <w:spacing w:before="40" w:after="40"/>
              <w:jc w:val="center"/>
              <w:rPr>
                <w:szCs w:val="16"/>
              </w:rPr>
            </w:pPr>
            <w:r w:rsidRPr="00BE78CA">
              <w:rPr>
                <w:szCs w:val="16"/>
              </w:rPr>
              <w:t>0.36</w:t>
            </w:r>
          </w:p>
        </w:tc>
        <w:tc>
          <w:tcPr>
            <w:tcW w:w="1275" w:type="dxa"/>
            <w:tcBorders>
              <w:top w:val="single" w:sz="4" w:space="0" w:color="365F91"/>
              <w:bottom w:val="single" w:sz="4" w:space="0" w:color="365F91"/>
            </w:tcBorders>
          </w:tcPr>
          <w:p w14:paraId="2F77E341" w14:textId="77777777" w:rsidR="00333601" w:rsidRPr="00BE78CA" w:rsidRDefault="00333601" w:rsidP="00C26084">
            <w:pPr>
              <w:pStyle w:val="TableText"/>
              <w:spacing w:before="40" w:after="40"/>
              <w:jc w:val="center"/>
              <w:rPr>
                <w:szCs w:val="16"/>
              </w:rPr>
            </w:pPr>
            <w:r w:rsidRPr="00BE78CA">
              <w:rPr>
                <w:szCs w:val="16"/>
              </w:rPr>
              <w:t>20</w:t>
            </w:r>
          </w:p>
        </w:tc>
        <w:tc>
          <w:tcPr>
            <w:tcW w:w="1701" w:type="dxa"/>
            <w:vMerge/>
            <w:tcBorders>
              <w:top w:val="single" w:sz="4" w:space="0" w:color="365F91"/>
            </w:tcBorders>
          </w:tcPr>
          <w:p w14:paraId="25560FCE" w14:textId="77777777" w:rsidR="00333601" w:rsidRPr="00BE78CA" w:rsidRDefault="00333601" w:rsidP="00C26084">
            <w:pPr>
              <w:pStyle w:val="TableText"/>
              <w:spacing w:before="40" w:after="40"/>
              <w:rPr>
                <w:szCs w:val="16"/>
              </w:rPr>
            </w:pPr>
          </w:p>
        </w:tc>
      </w:tr>
      <w:tr w:rsidR="00333601" w:rsidRPr="00BE78CA" w14:paraId="1D41DDE3" w14:textId="77777777" w:rsidTr="00872B70">
        <w:trPr>
          <w:trHeight w:val="20"/>
        </w:trPr>
        <w:tc>
          <w:tcPr>
            <w:tcW w:w="1246" w:type="dxa"/>
            <w:vMerge/>
          </w:tcPr>
          <w:p w14:paraId="7C90FBFB" w14:textId="77777777" w:rsidR="00333601" w:rsidRPr="00BE78CA" w:rsidRDefault="00333601" w:rsidP="00C26084">
            <w:pPr>
              <w:pStyle w:val="TableText"/>
              <w:spacing w:before="40" w:after="40"/>
              <w:rPr>
                <w:szCs w:val="16"/>
              </w:rPr>
            </w:pPr>
          </w:p>
        </w:tc>
        <w:tc>
          <w:tcPr>
            <w:tcW w:w="1731" w:type="dxa"/>
            <w:tcBorders>
              <w:top w:val="single" w:sz="4" w:space="0" w:color="365F91"/>
              <w:bottom w:val="single" w:sz="4" w:space="0" w:color="365F91"/>
            </w:tcBorders>
          </w:tcPr>
          <w:p w14:paraId="611FC797" w14:textId="77777777" w:rsidR="00333601" w:rsidRPr="00BE78CA" w:rsidRDefault="00333601" w:rsidP="00C26084">
            <w:pPr>
              <w:pStyle w:val="TableText"/>
              <w:spacing w:before="40" w:after="40"/>
              <w:rPr>
                <w:szCs w:val="16"/>
              </w:rPr>
            </w:pPr>
            <w:r w:rsidRPr="00BE78CA">
              <w:rPr>
                <w:szCs w:val="16"/>
              </w:rPr>
              <w:tab/>
              <w:t>BGB</w:t>
            </w:r>
          </w:p>
        </w:tc>
        <w:tc>
          <w:tcPr>
            <w:tcW w:w="1276" w:type="dxa"/>
            <w:tcBorders>
              <w:top w:val="single" w:sz="4" w:space="0" w:color="365F91"/>
              <w:bottom w:val="single" w:sz="4" w:space="0" w:color="365F91"/>
            </w:tcBorders>
          </w:tcPr>
          <w:p w14:paraId="1B38CBFE" w14:textId="77777777" w:rsidR="00333601" w:rsidRPr="00BE78CA" w:rsidRDefault="00333601" w:rsidP="00C26084">
            <w:pPr>
              <w:pStyle w:val="TableText"/>
              <w:spacing w:before="40" w:after="40"/>
              <w:jc w:val="center"/>
              <w:rPr>
                <w:szCs w:val="16"/>
              </w:rPr>
            </w:pPr>
            <w:r w:rsidRPr="00BE78CA">
              <w:rPr>
                <w:szCs w:val="16"/>
              </w:rPr>
              <w:t>3.05</w:t>
            </w:r>
          </w:p>
        </w:tc>
        <w:tc>
          <w:tcPr>
            <w:tcW w:w="1276" w:type="dxa"/>
            <w:tcBorders>
              <w:top w:val="single" w:sz="4" w:space="0" w:color="365F91"/>
              <w:bottom w:val="single" w:sz="4" w:space="0" w:color="365F91"/>
            </w:tcBorders>
          </w:tcPr>
          <w:p w14:paraId="6CF68478" w14:textId="77777777" w:rsidR="00333601" w:rsidRPr="00BE78CA" w:rsidRDefault="00333601" w:rsidP="00C26084">
            <w:pPr>
              <w:pStyle w:val="TableText"/>
              <w:spacing w:before="40" w:after="40"/>
              <w:jc w:val="center"/>
              <w:rPr>
                <w:szCs w:val="16"/>
              </w:rPr>
            </w:pPr>
            <w:r w:rsidRPr="00BE78CA">
              <w:rPr>
                <w:szCs w:val="16"/>
              </w:rPr>
              <w:t>0.08</w:t>
            </w:r>
          </w:p>
        </w:tc>
        <w:tc>
          <w:tcPr>
            <w:tcW w:w="1275" w:type="dxa"/>
            <w:tcBorders>
              <w:top w:val="single" w:sz="4" w:space="0" w:color="365F91"/>
              <w:bottom w:val="single" w:sz="4" w:space="0" w:color="365F91"/>
            </w:tcBorders>
          </w:tcPr>
          <w:p w14:paraId="4844EE72" w14:textId="77777777" w:rsidR="00333601" w:rsidRPr="00BE78CA" w:rsidRDefault="00333601" w:rsidP="00C26084">
            <w:pPr>
              <w:pStyle w:val="TableText"/>
              <w:spacing w:before="40" w:after="40"/>
              <w:jc w:val="center"/>
              <w:rPr>
                <w:szCs w:val="16"/>
              </w:rPr>
            </w:pPr>
            <w:r w:rsidRPr="00BE78CA">
              <w:rPr>
                <w:szCs w:val="16"/>
              </w:rPr>
              <w:t>20</w:t>
            </w:r>
          </w:p>
        </w:tc>
        <w:tc>
          <w:tcPr>
            <w:tcW w:w="1701" w:type="dxa"/>
            <w:vMerge/>
            <w:tcBorders>
              <w:top w:val="single" w:sz="4" w:space="0" w:color="365F91"/>
            </w:tcBorders>
          </w:tcPr>
          <w:p w14:paraId="177C7930" w14:textId="77777777" w:rsidR="00333601" w:rsidRPr="00BE78CA" w:rsidRDefault="00333601" w:rsidP="00C26084">
            <w:pPr>
              <w:pStyle w:val="TableText"/>
              <w:spacing w:before="40" w:after="40"/>
              <w:rPr>
                <w:szCs w:val="16"/>
              </w:rPr>
            </w:pPr>
          </w:p>
        </w:tc>
      </w:tr>
      <w:tr w:rsidR="00333601" w:rsidRPr="00BE78CA" w14:paraId="005955C8" w14:textId="77777777" w:rsidTr="00872B70">
        <w:trPr>
          <w:trHeight w:val="20"/>
        </w:trPr>
        <w:tc>
          <w:tcPr>
            <w:tcW w:w="1246" w:type="dxa"/>
            <w:vMerge/>
          </w:tcPr>
          <w:p w14:paraId="02EA10D4" w14:textId="77777777" w:rsidR="00333601" w:rsidRPr="00BE78CA" w:rsidRDefault="00333601" w:rsidP="00C26084">
            <w:pPr>
              <w:pStyle w:val="TableText"/>
              <w:spacing w:before="40" w:after="40"/>
              <w:rPr>
                <w:szCs w:val="16"/>
              </w:rPr>
            </w:pPr>
          </w:p>
        </w:tc>
        <w:tc>
          <w:tcPr>
            <w:tcW w:w="1731" w:type="dxa"/>
            <w:tcBorders>
              <w:top w:val="single" w:sz="4" w:space="0" w:color="365F91"/>
              <w:bottom w:val="single" w:sz="4" w:space="0" w:color="365F91"/>
            </w:tcBorders>
          </w:tcPr>
          <w:p w14:paraId="689453CE" w14:textId="77777777" w:rsidR="00333601" w:rsidRPr="00BE78CA" w:rsidRDefault="00333601" w:rsidP="00C26084">
            <w:pPr>
              <w:pStyle w:val="TableText"/>
              <w:spacing w:before="40" w:after="40"/>
              <w:rPr>
                <w:i/>
                <w:szCs w:val="16"/>
              </w:rPr>
            </w:pPr>
            <w:r w:rsidRPr="00BE78CA">
              <w:rPr>
                <w:i/>
                <w:szCs w:val="16"/>
              </w:rPr>
              <w:t>Dead organic matter</w:t>
            </w:r>
          </w:p>
        </w:tc>
        <w:tc>
          <w:tcPr>
            <w:tcW w:w="1276" w:type="dxa"/>
            <w:tcBorders>
              <w:top w:val="single" w:sz="4" w:space="0" w:color="365F91"/>
              <w:bottom w:val="single" w:sz="4" w:space="0" w:color="365F91"/>
            </w:tcBorders>
          </w:tcPr>
          <w:p w14:paraId="1D5FE7EC" w14:textId="77777777" w:rsidR="00333601" w:rsidRPr="00BE78CA" w:rsidRDefault="00333601" w:rsidP="00C26084">
            <w:pPr>
              <w:pStyle w:val="TableText"/>
              <w:spacing w:before="40" w:after="40"/>
              <w:jc w:val="center"/>
              <w:rPr>
                <w:szCs w:val="16"/>
              </w:rPr>
            </w:pPr>
          </w:p>
        </w:tc>
        <w:tc>
          <w:tcPr>
            <w:tcW w:w="1276" w:type="dxa"/>
            <w:tcBorders>
              <w:top w:val="single" w:sz="4" w:space="0" w:color="365F91"/>
              <w:bottom w:val="single" w:sz="4" w:space="0" w:color="365F91"/>
            </w:tcBorders>
          </w:tcPr>
          <w:p w14:paraId="03510A4D" w14:textId="77777777" w:rsidR="00333601" w:rsidRPr="00BE78CA" w:rsidRDefault="00333601" w:rsidP="00C26084">
            <w:pPr>
              <w:pStyle w:val="TableText"/>
              <w:spacing w:before="40" w:after="40"/>
              <w:jc w:val="center"/>
              <w:rPr>
                <w:szCs w:val="16"/>
              </w:rPr>
            </w:pPr>
          </w:p>
        </w:tc>
        <w:tc>
          <w:tcPr>
            <w:tcW w:w="1275" w:type="dxa"/>
            <w:tcBorders>
              <w:top w:val="single" w:sz="4" w:space="0" w:color="365F91"/>
              <w:bottom w:val="single" w:sz="4" w:space="0" w:color="365F91"/>
            </w:tcBorders>
          </w:tcPr>
          <w:p w14:paraId="5704DCFA" w14:textId="77777777" w:rsidR="00333601" w:rsidRPr="00BE78CA" w:rsidRDefault="00333601" w:rsidP="00C26084">
            <w:pPr>
              <w:pStyle w:val="TableText"/>
              <w:spacing w:before="40" w:after="40"/>
              <w:jc w:val="center"/>
              <w:rPr>
                <w:szCs w:val="16"/>
              </w:rPr>
            </w:pPr>
          </w:p>
        </w:tc>
        <w:tc>
          <w:tcPr>
            <w:tcW w:w="1701" w:type="dxa"/>
            <w:vMerge/>
          </w:tcPr>
          <w:p w14:paraId="709E34B7" w14:textId="77777777" w:rsidR="00333601" w:rsidRPr="00BE78CA" w:rsidRDefault="00333601" w:rsidP="00C26084">
            <w:pPr>
              <w:pStyle w:val="TableText"/>
              <w:spacing w:before="40" w:after="40"/>
              <w:rPr>
                <w:szCs w:val="16"/>
              </w:rPr>
            </w:pPr>
          </w:p>
        </w:tc>
      </w:tr>
      <w:tr w:rsidR="00333601" w:rsidRPr="00BE78CA" w14:paraId="36D652BD" w14:textId="77777777" w:rsidTr="00872B70">
        <w:trPr>
          <w:trHeight w:val="20"/>
        </w:trPr>
        <w:tc>
          <w:tcPr>
            <w:tcW w:w="1246" w:type="dxa"/>
            <w:vMerge/>
          </w:tcPr>
          <w:p w14:paraId="7E3C9286" w14:textId="77777777" w:rsidR="00333601" w:rsidRPr="00BE78CA" w:rsidRDefault="00333601" w:rsidP="00C26084">
            <w:pPr>
              <w:pStyle w:val="TableText"/>
              <w:spacing w:before="40" w:after="40"/>
              <w:rPr>
                <w:szCs w:val="16"/>
              </w:rPr>
            </w:pPr>
          </w:p>
        </w:tc>
        <w:tc>
          <w:tcPr>
            <w:tcW w:w="1731" w:type="dxa"/>
            <w:tcBorders>
              <w:top w:val="single" w:sz="4" w:space="0" w:color="365F91"/>
              <w:bottom w:val="single" w:sz="4" w:space="0" w:color="365F91"/>
            </w:tcBorders>
          </w:tcPr>
          <w:p w14:paraId="74CE19B6" w14:textId="77777777" w:rsidR="00333601" w:rsidRPr="00BE78CA" w:rsidRDefault="00333601" w:rsidP="00C26084">
            <w:pPr>
              <w:pStyle w:val="TableText"/>
              <w:spacing w:before="40" w:after="40"/>
              <w:rPr>
                <w:szCs w:val="16"/>
              </w:rPr>
            </w:pPr>
            <w:r w:rsidRPr="00BE78CA">
              <w:rPr>
                <w:szCs w:val="16"/>
              </w:rPr>
              <w:tab/>
              <w:t>Dead wood</w:t>
            </w:r>
          </w:p>
        </w:tc>
        <w:tc>
          <w:tcPr>
            <w:tcW w:w="1276" w:type="dxa"/>
            <w:tcBorders>
              <w:top w:val="single" w:sz="4" w:space="0" w:color="365F91"/>
              <w:bottom w:val="single" w:sz="4" w:space="0" w:color="365F91"/>
            </w:tcBorders>
          </w:tcPr>
          <w:p w14:paraId="21BD4D16" w14:textId="77777777" w:rsidR="00333601" w:rsidRPr="00BE78CA" w:rsidRDefault="00333601" w:rsidP="00C26084">
            <w:pPr>
              <w:pStyle w:val="TableText"/>
              <w:spacing w:before="40" w:after="40"/>
              <w:jc w:val="center"/>
              <w:rPr>
                <w:szCs w:val="16"/>
              </w:rPr>
            </w:pPr>
            <w:r w:rsidRPr="00BE78CA">
              <w:rPr>
                <w:szCs w:val="16"/>
              </w:rPr>
              <w:t>0.10</w:t>
            </w:r>
          </w:p>
        </w:tc>
        <w:tc>
          <w:tcPr>
            <w:tcW w:w="1276" w:type="dxa"/>
            <w:tcBorders>
              <w:top w:val="single" w:sz="4" w:space="0" w:color="365F91"/>
              <w:bottom w:val="single" w:sz="4" w:space="0" w:color="365F91"/>
            </w:tcBorders>
          </w:tcPr>
          <w:p w14:paraId="7643031B" w14:textId="77777777" w:rsidR="00333601" w:rsidRPr="00BE78CA" w:rsidRDefault="00333601" w:rsidP="00C26084">
            <w:pPr>
              <w:pStyle w:val="TableText"/>
              <w:spacing w:before="40" w:after="40"/>
              <w:jc w:val="center"/>
              <w:rPr>
                <w:szCs w:val="16"/>
              </w:rPr>
            </w:pPr>
            <w:r w:rsidRPr="00BE78CA">
              <w:rPr>
                <w:szCs w:val="16"/>
              </w:rPr>
              <w:t>0.004</w:t>
            </w:r>
          </w:p>
        </w:tc>
        <w:tc>
          <w:tcPr>
            <w:tcW w:w="1275" w:type="dxa"/>
            <w:tcBorders>
              <w:top w:val="single" w:sz="4" w:space="0" w:color="365F91"/>
              <w:bottom w:val="single" w:sz="4" w:space="0" w:color="365F91"/>
            </w:tcBorders>
          </w:tcPr>
          <w:p w14:paraId="03DB12E8" w14:textId="77777777" w:rsidR="00333601" w:rsidRPr="00BE78CA" w:rsidRDefault="00333601" w:rsidP="00C26084">
            <w:pPr>
              <w:pStyle w:val="TableText"/>
              <w:spacing w:before="40" w:after="40"/>
              <w:jc w:val="center"/>
              <w:rPr>
                <w:szCs w:val="16"/>
              </w:rPr>
            </w:pPr>
            <w:r w:rsidRPr="00BE78CA">
              <w:rPr>
                <w:szCs w:val="16"/>
              </w:rPr>
              <w:t>20</w:t>
            </w:r>
          </w:p>
        </w:tc>
        <w:tc>
          <w:tcPr>
            <w:tcW w:w="1701" w:type="dxa"/>
            <w:vMerge/>
          </w:tcPr>
          <w:p w14:paraId="0670F792" w14:textId="77777777" w:rsidR="00333601" w:rsidRPr="00BE78CA" w:rsidRDefault="00333601" w:rsidP="00C26084">
            <w:pPr>
              <w:pStyle w:val="TableText"/>
              <w:spacing w:before="40" w:after="40"/>
              <w:rPr>
                <w:szCs w:val="16"/>
              </w:rPr>
            </w:pPr>
          </w:p>
        </w:tc>
      </w:tr>
      <w:tr w:rsidR="00333601" w:rsidRPr="00BE78CA" w14:paraId="7DB07AED" w14:textId="77777777" w:rsidTr="00872B70">
        <w:trPr>
          <w:trHeight w:val="20"/>
        </w:trPr>
        <w:tc>
          <w:tcPr>
            <w:tcW w:w="1246" w:type="dxa"/>
            <w:vMerge/>
            <w:tcBorders>
              <w:bottom w:val="single" w:sz="4" w:space="0" w:color="365F91"/>
            </w:tcBorders>
          </w:tcPr>
          <w:p w14:paraId="5730E710" w14:textId="77777777" w:rsidR="00333601" w:rsidRPr="00BE78CA" w:rsidRDefault="00333601" w:rsidP="00C26084">
            <w:pPr>
              <w:pStyle w:val="TableText"/>
              <w:spacing w:before="40" w:after="40"/>
              <w:rPr>
                <w:szCs w:val="16"/>
              </w:rPr>
            </w:pPr>
          </w:p>
        </w:tc>
        <w:tc>
          <w:tcPr>
            <w:tcW w:w="1731" w:type="dxa"/>
            <w:tcBorders>
              <w:top w:val="single" w:sz="4" w:space="0" w:color="365F91"/>
              <w:bottom w:val="single" w:sz="4" w:space="0" w:color="365F91"/>
            </w:tcBorders>
          </w:tcPr>
          <w:p w14:paraId="0A1D38D1" w14:textId="77777777" w:rsidR="00333601" w:rsidRPr="00BE78CA" w:rsidRDefault="00333601" w:rsidP="00C26084">
            <w:pPr>
              <w:pStyle w:val="TableText"/>
              <w:spacing w:before="40" w:after="40"/>
              <w:rPr>
                <w:szCs w:val="16"/>
              </w:rPr>
            </w:pPr>
            <w:r w:rsidRPr="00BE78CA">
              <w:rPr>
                <w:szCs w:val="16"/>
              </w:rPr>
              <w:tab/>
              <w:t>Litter</w:t>
            </w:r>
          </w:p>
        </w:tc>
        <w:tc>
          <w:tcPr>
            <w:tcW w:w="1276" w:type="dxa"/>
            <w:tcBorders>
              <w:top w:val="single" w:sz="4" w:space="0" w:color="365F91"/>
              <w:bottom w:val="single" w:sz="4" w:space="0" w:color="365F91"/>
            </w:tcBorders>
          </w:tcPr>
          <w:p w14:paraId="1E1961E6" w14:textId="77777777" w:rsidR="00333601" w:rsidRPr="00BE78CA" w:rsidRDefault="00333601" w:rsidP="00C26084">
            <w:pPr>
              <w:pStyle w:val="TableText"/>
              <w:spacing w:before="40" w:after="40"/>
              <w:jc w:val="center"/>
              <w:rPr>
                <w:szCs w:val="16"/>
              </w:rPr>
            </w:pPr>
            <w:r w:rsidRPr="00BE78CA">
              <w:rPr>
                <w:szCs w:val="16"/>
              </w:rPr>
              <w:t>0.55</w:t>
            </w:r>
          </w:p>
        </w:tc>
        <w:tc>
          <w:tcPr>
            <w:tcW w:w="1276" w:type="dxa"/>
            <w:tcBorders>
              <w:top w:val="single" w:sz="4" w:space="0" w:color="365F91"/>
              <w:bottom w:val="single" w:sz="4" w:space="0" w:color="365F91"/>
            </w:tcBorders>
          </w:tcPr>
          <w:p w14:paraId="4ECD8254" w14:textId="77777777" w:rsidR="00333601" w:rsidRPr="00BE78CA" w:rsidRDefault="00333601" w:rsidP="00C26084">
            <w:pPr>
              <w:pStyle w:val="TableText"/>
              <w:spacing w:before="40" w:after="40"/>
              <w:jc w:val="center"/>
              <w:rPr>
                <w:szCs w:val="16"/>
              </w:rPr>
            </w:pPr>
            <w:r w:rsidRPr="00BE78CA">
              <w:rPr>
                <w:szCs w:val="16"/>
              </w:rPr>
              <w:t>0.02</w:t>
            </w:r>
          </w:p>
        </w:tc>
        <w:tc>
          <w:tcPr>
            <w:tcW w:w="1275" w:type="dxa"/>
            <w:tcBorders>
              <w:top w:val="single" w:sz="4" w:space="0" w:color="365F91"/>
              <w:bottom w:val="single" w:sz="4" w:space="0" w:color="365F91"/>
            </w:tcBorders>
          </w:tcPr>
          <w:p w14:paraId="3D0DBF2F" w14:textId="77777777" w:rsidR="00333601" w:rsidRPr="00BE78CA" w:rsidRDefault="00333601" w:rsidP="00C26084">
            <w:pPr>
              <w:pStyle w:val="TableText"/>
              <w:spacing w:before="40" w:after="40"/>
              <w:jc w:val="center"/>
              <w:rPr>
                <w:szCs w:val="16"/>
              </w:rPr>
            </w:pPr>
            <w:r w:rsidRPr="00BE78CA">
              <w:rPr>
                <w:szCs w:val="16"/>
              </w:rPr>
              <w:t>20</w:t>
            </w:r>
          </w:p>
        </w:tc>
        <w:tc>
          <w:tcPr>
            <w:tcW w:w="1701" w:type="dxa"/>
            <w:vMerge/>
            <w:tcBorders>
              <w:bottom w:val="single" w:sz="4" w:space="0" w:color="365F91"/>
            </w:tcBorders>
          </w:tcPr>
          <w:p w14:paraId="536C52C7" w14:textId="77777777" w:rsidR="00333601" w:rsidRPr="00BE78CA" w:rsidRDefault="00333601" w:rsidP="00C26084">
            <w:pPr>
              <w:pStyle w:val="TableText"/>
              <w:spacing w:before="40" w:after="40"/>
              <w:rPr>
                <w:szCs w:val="16"/>
              </w:rPr>
            </w:pPr>
          </w:p>
        </w:tc>
      </w:tr>
      <w:tr w:rsidR="00333601" w:rsidRPr="00BE78CA" w14:paraId="58C3C83C" w14:textId="77777777" w:rsidTr="00872B70">
        <w:trPr>
          <w:trHeight w:val="20"/>
        </w:trPr>
        <w:tc>
          <w:tcPr>
            <w:tcW w:w="1246" w:type="dxa"/>
            <w:vMerge w:val="restart"/>
            <w:tcBorders>
              <w:top w:val="single" w:sz="4" w:space="0" w:color="365F91"/>
              <w:bottom w:val="single" w:sz="4" w:space="0" w:color="365F91"/>
            </w:tcBorders>
          </w:tcPr>
          <w:p w14:paraId="7668BFBE" w14:textId="77777777" w:rsidR="00333601" w:rsidRPr="00BE78CA" w:rsidRDefault="00333601" w:rsidP="00C26084">
            <w:pPr>
              <w:pStyle w:val="TableText"/>
              <w:spacing w:before="40" w:after="40"/>
              <w:rPr>
                <w:szCs w:val="16"/>
              </w:rPr>
            </w:pPr>
            <w:r w:rsidRPr="00BE78CA">
              <w:rPr>
                <w:szCs w:val="16"/>
              </w:rPr>
              <w:t>With woody biomass – permanent</w:t>
            </w:r>
          </w:p>
        </w:tc>
        <w:tc>
          <w:tcPr>
            <w:tcW w:w="1731" w:type="dxa"/>
            <w:tcBorders>
              <w:top w:val="single" w:sz="4" w:space="0" w:color="365F91"/>
              <w:bottom w:val="single" w:sz="4" w:space="0" w:color="365F91"/>
            </w:tcBorders>
          </w:tcPr>
          <w:p w14:paraId="2B90E0B9" w14:textId="77777777" w:rsidR="00333601" w:rsidRPr="00BE78CA" w:rsidRDefault="00333601" w:rsidP="00C26084">
            <w:pPr>
              <w:pStyle w:val="TableText"/>
              <w:spacing w:before="40" w:after="40"/>
              <w:rPr>
                <w:b/>
                <w:szCs w:val="16"/>
              </w:rPr>
            </w:pPr>
            <w:r w:rsidRPr="00BE78CA">
              <w:rPr>
                <w:b/>
                <w:szCs w:val="16"/>
              </w:rPr>
              <w:t>Total biomass</w:t>
            </w:r>
          </w:p>
        </w:tc>
        <w:tc>
          <w:tcPr>
            <w:tcW w:w="1276" w:type="dxa"/>
            <w:tcBorders>
              <w:top w:val="single" w:sz="4" w:space="0" w:color="365F91"/>
              <w:bottom w:val="single" w:sz="4" w:space="0" w:color="365F91"/>
            </w:tcBorders>
          </w:tcPr>
          <w:p w14:paraId="7009E70E" w14:textId="77777777" w:rsidR="00333601" w:rsidRPr="00BE78CA" w:rsidRDefault="00333601" w:rsidP="00C26084">
            <w:pPr>
              <w:pStyle w:val="TableText"/>
              <w:spacing w:before="40" w:after="40"/>
              <w:jc w:val="center"/>
              <w:rPr>
                <w:b/>
                <w:szCs w:val="16"/>
              </w:rPr>
            </w:pPr>
            <w:r w:rsidRPr="00BE78CA">
              <w:rPr>
                <w:b/>
                <w:szCs w:val="16"/>
              </w:rPr>
              <w:t>60.57</w:t>
            </w:r>
          </w:p>
        </w:tc>
        <w:tc>
          <w:tcPr>
            <w:tcW w:w="1276" w:type="dxa"/>
            <w:tcBorders>
              <w:top w:val="single" w:sz="4" w:space="0" w:color="365F91"/>
              <w:bottom w:val="single" w:sz="4" w:space="0" w:color="365F91"/>
            </w:tcBorders>
          </w:tcPr>
          <w:p w14:paraId="46F1F9B9" w14:textId="77777777" w:rsidR="00333601" w:rsidRPr="00BE78CA" w:rsidRDefault="00333601" w:rsidP="00C26084">
            <w:pPr>
              <w:pStyle w:val="TableText"/>
              <w:spacing w:before="40" w:after="40"/>
              <w:jc w:val="center"/>
              <w:rPr>
                <w:b/>
                <w:szCs w:val="16"/>
              </w:rPr>
            </w:pPr>
            <w:r w:rsidRPr="00BE78CA">
              <w:rPr>
                <w:b/>
                <w:szCs w:val="16"/>
              </w:rPr>
              <w:t xml:space="preserve"> NO</w:t>
            </w:r>
          </w:p>
        </w:tc>
        <w:tc>
          <w:tcPr>
            <w:tcW w:w="1275" w:type="dxa"/>
            <w:tcBorders>
              <w:top w:val="single" w:sz="4" w:space="0" w:color="365F91"/>
              <w:bottom w:val="single" w:sz="4" w:space="0" w:color="365F91"/>
            </w:tcBorders>
          </w:tcPr>
          <w:p w14:paraId="4C060EF0" w14:textId="77777777" w:rsidR="00333601" w:rsidRPr="00BE78CA" w:rsidRDefault="00333601" w:rsidP="00C26084">
            <w:pPr>
              <w:pStyle w:val="TableText"/>
              <w:spacing w:before="40" w:after="40"/>
              <w:jc w:val="center"/>
              <w:rPr>
                <w:b/>
                <w:szCs w:val="16"/>
              </w:rPr>
            </w:pPr>
            <w:r w:rsidRPr="00BE78CA">
              <w:rPr>
                <w:b/>
                <w:szCs w:val="16"/>
              </w:rPr>
              <w:t>NO</w:t>
            </w:r>
          </w:p>
        </w:tc>
        <w:tc>
          <w:tcPr>
            <w:tcW w:w="1701" w:type="dxa"/>
            <w:vMerge w:val="restart"/>
            <w:tcBorders>
              <w:top w:val="single" w:sz="4" w:space="0" w:color="365F91"/>
              <w:bottom w:val="single" w:sz="4" w:space="0" w:color="365F91"/>
            </w:tcBorders>
          </w:tcPr>
          <w:p w14:paraId="1F77FA23" w14:textId="77777777" w:rsidR="00333601" w:rsidRPr="00BE78CA" w:rsidRDefault="00333601" w:rsidP="00C26084">
            <w:pPr>
              <w:pStyle w:val="TableText"/>
              <w:spacing w:before="40" w:after="40"/>
              <w:rPr>
                <w:szCs w:val="16"/>
              </w:rPr>
            </w:pPr>
            <w:r w:rsidRPr="00BE78CA">
              <w:rPr>
                <w:szCs w:val="16"/>
              </w:rPr>
              <w:t>Wakelin and Beets, unpublished</w:t>
            </w:r>
          </w:p>
        </w:tc>
      </w:tr>
      <w:tr w:rsidR="00333601" w:rsidRPr="00BE78CA" w14:paraId="5258DE46" w14:textId="77777777" w:rsidTr="00872B70">
        <w:trPr>
          <w:trHeight w:val="20"/>
        </w:trPr>
        <w:tc>
          <w:tcPr>
            <w:tcW w:w="1246" w:type="dxa"/>
            <w:vMerge/>
            <w:tcBorders>
              <w:top w:val="single" w:sz="4" w:space="0" w:color="365F91"/>
              <w:bottom w:val="single" w:sz="4" w:space="0" w:color="365F91"/>
            </w:tcBorders>
          </w:tcPr>
          <w:p w14:paraId="69E5967D" w14:textId="77777777" w:rsidR="00333601" w:rsidRPr="00BE78CA" w:rsidRDefault="00333601" w:rsidP="00C26084">
            <w:pPr>
              <w:pStyle w:val="TableText"/>
              <w:spacing w:before="40" w:after="40"/>
              <w:rPr>
                <w:szCs w:val="16"/>
              </w:rPr>
            </w:pPr>
          </w:p>
        </w:tc>
        <w:tc>
          <w:tcPr>
            <w:tcW w:w="1731" w:type="dxa"/>
            <w:tcBorders>
              <w:top w:val="single" w:sz="4" w:space="0" w:color="365F91"/>
              <w:bottom w:val="single" w:sz="4" w:space="0" w:color="365F91"/>
            </w:tcBorders>
          </w:tcPr>
          <w:p w14:paraId="27CB1A72" w14:textId="77777777" w:rsidR="00333601" w:rsidRPr="00BE78CA" w:rsidRDefault="00333601" w:rsidP="00C26084">
            <w:pPr>
              <w:pStyle w:val="TableText"/>
              <w:spacing w:before="40" w:after="40"/>
              <w:rPr>
                <w:i/>
                <w:szCs w:val="16"/>
              </w:rPr>
            </w:pPr>
            <w:r w:rsidRPr="00BE78CA">
              <w:rPr>
                <w:i/>
                <w:szCs w:val="16"/>
              </w:rPr>
              <w:t>Living biomass</w:t>
            </w:r>
          </w:p>
        </w:tc>
        <w:tc>
          <w:tcPr>
            <w:tcW w:w="1276" w:type="dxa"/>
            <w:tcBorders>
              <w:top w:val="single" w:sz="4" w:space="0" w:color="365F91"/>
              <w:bottom w:val="single" w:sz="4" w:space="0" w:color="365F91"/>
            </w:tcBorders>
          </w:tcPr>
          <w:p w14:paraId="35C24382" w14:textId="77777777" w:rsidR="00333601" w:rsidRPr="00BE78CA" w:rsidRDefault="00333601" w:rsidP="00C26084">
            <w:pPr>
              <w:pStyle w:val="TableText"/>
              <w:spacing w:before="40" w:after="40"/>
              <w:jc w:val="center"/>
              <w:rPr>
                <w:szCs w:val="16"/>
              </w:rPr>
            </w:pPr>
          </w:p>
        </w:tc>
        <w:tc>
          <w:tcPr>
            <w:tcW w:w="1276" w:type="dxa"/>
            <w:tcBorders>
              <w:top w:val="single" w:sz="4" w:space="0" w:color="365F91"/>
              <w:bottom w:val="single" w:sz="4" w:space="0" w:color="365F91"/>
            </w:tcBorders>
          </w:tcPr>
          <w:p w14:paraId="78A49FA0" w14:textId="77777777" w:rsidR="00333601" w:rsidRPr="00BE78CA" w:rsidRDefault="00333601" w:rsidP="00C26084">
            <w:pPr>
              <w:pStyle w:val="TableText"/>
              <w:spacing w:before="40" w:after="40"/>
              <w:jc w:val="center"/>
              <w:rPr>
                <w:szCs w:val="16"/>
              </w:rPr>
            </w:pPr>
          </w:p>
        </w:tc>
        <w:tc>
          <w:tcPr>
            <w:tcW w:w="1275" w:type="dxa"/>
            <w:tcBorders>
              <w:top w:val="single" w:sz="4" w:space="0" w:color="365F91"/>
              <w:bottom w:val="single" w:sz="4" w:space="0" w:color="365F91"/>
            </w:tcBorders>
          </w:tcPr>
          <w:p w14:paraId="5E8CAF50" w14:textId="77777777" w:rsidR="00333601" w:rsidRPr="00BE78CA" w:rsidRDefault="00333601" w:rsidP="00C26084">
            <w:pPr>
              <w:pStyle w:val="TableText"/>
              <w:spacing w:before="40" w:after="40"/>
              <w:jc w:val="center"/>
              <w:rPr>
                <w:szCs w:val="16"/>
              </w:rPr>
            </w:pPr>
          </w:p>
        </w:tc>
        <w:tc>
          <w:tcPr>
            <w:tcW w:w="1701" w:type="dxa"/>
            <w:vMerge/>
            <w:tcBorders>
              <w:top w:val="single" w:sz="4" w:space="0" w:color="365F91"/>
              <w:bottom w:val="single" w:sz="4" w:space="0" w:color="365F91"/>
            </w:tcBorders>
          </w:tcPr>
          <w:p w14:paraId="562E895F" w14:textId="77777777" w:rsidR="00333601" w:rsidRPr="00BE78CA" w:rsidRDefault="00333601" w:rsidP="00C26084">
            <w:pPr>
              <w:pStyle w:val="TableText"/>
              <w:spacing w:before="40" w:after="40"/>
              <w:rPr>
                <w:szCs w:val="16"/>
              </w:rPr>
            </w:pPr>
          </w:p>
        </w:tc>
      </w:tr>
      <w:tr w:rsidR="00333601" w:rsidRPr="00BE78CA" w14:paraId="0D4E49CB" w14:textId="77777777" w:rsidTr="00872B70">
        <w:trPr>
          <w:trHeight w:val="20"/>
        </w:trPr>
        <w:tc>
          <w:tcPr>
            <w:tcW w:w="1246" w:type="dxa"/>
            <w:vMerge/>
            <w:tcBorders>
              <w:bottom w:val="single" w:sz="4" w:space="0" w:color="365F91"/>
            </w:tcBorders>
          </w:tcPr>
          <w:p w14:paraId="3653F853" w14:textId="77777777" w:rsidR="00333601" w:rsidRPr="00BE78CA" w:rsidRDefault="00333601" w:rsidP="00C26084">
            <w:pPr>
              <w:pStyle w:val="TableText"/>
              <w:spacing w:before="40" w:after="40"/>
              <w:rPr>
                <w:szCs w:val="16"/>
              </w:rPr>
            </w:pPr>
          </w:p>
        </w:tc>
        <w:tc>
          <w:tcPr>
            <w:tcW w:w="1731" w:type="dxa"/>
            <w:tcBorders>
              <w:top w:val="single" w:sz="4" w:space="0" w:color="365F91"/>
              <w:bottom w:val="single" w:sz="4" w:space="0" w:color="365F91"/>
            </w:tcBorders>
          </w:tcPr>
          <w:p w14:paraId="4E6A5A46" w14:textId="77777777" w:rsidR="00333601" w:rsidRPr="00BE78CA" w:rsidRDefault="00333601" w:rsidP="00C26084">
            <w:pPr>
              <w:pStyle w:val="TableText"/>
              <w:spacing w:before="40" w:after="40"/>
              <w:rPr>
                <w:szCs w:val="16"/>
              </w:rPr>
            </w:pPr>
            <w:r w:rsidRPr="00BE78CA">
              <w:rPr>
                <w:szCs w:val="16"/>
              </w:rPr>
              <w:tab/>
              <w:t>AGB</w:t>
            </w:r>
          </w:p>
        </w:tc>
        <w:tc>
          <w:tcPr>
            <w:tcW w:w="1276" w:type="dxa"/>
            <w:tcBorders>
              <w:top w:val="single" w:sz="4" w:space="0" w:color="365F91"/>
              <w:bottom w:val="single" w:sz="4" w:space="0" w:color="365F91"/>
            </w:tcBorders>
          </w:tcPr>
          <w:p w14:paraId="61160C44" w14:textId="77777777" w:rsidR="00333601" w:rsidRPr="00BE78CA" w:rsidRDefault="00333601" w:rsidP="00C26084">
            <w:pPr>
              <w:pStyle w:val="TableText"/>
              <w:spacing w:before="40" w:after="40"/>
              <w:jc w:val="center"/>
              <w:rPr>
                <w:szCs w:val="16"/>
              </w:rPr>
            </w:pPr>
            <w:r w:rsidRPr="00BE78CA">
              <w:rPr>
                <w:szCs w:val="16"/>
              </w:rPr>
              <w:t>45.18</w:t>
            </w:r>
          </w:p>
        </w:tc>
        <w:tc>
          <w:tcPr>
            <w:tcW w:w="1276" w:type="dxa"/>
            <w:tcBorders>
              <w:top w:val="single" w:sz="4" w:space="0" w:color="365F91"/>
              <w:bottom w:val="single" w:sz="4" w:space="0" w:color="365F91"/>
            </w:tcBorders>
          </w:tcPr>
          <w:p w14:paraId="25E16891" w14:textId="77777777" w:rsidR="00333601" w:rsidRPr="00BE78CA" w:rsidRDefault="00333601" w:rsidP="00C26084">
            <w:pPr>
              <w:pStyle w:val="TableText"/>
              <w:spacing w:before="40" w:after="40"/>
              <w:jc w:val="center"/>
              <w:rPr>
                <w:szCs w:val="16"/>
              </w:rPr>
            </w:pPr>
            <w:r w:rsidRPr="00BE78CA">
              <w:rPr>
                <w:szCs w:val="16"/>
              </w:rPr>
              <w:t>NO</w:t>
            </w:r>
          </w:p>
        </w:tc>
        <w:tc>
          <w:tcPr>
            <w:tcW w:w="1275" w:type="dxa"/>
            <w:tcBorders>
              <w:top w:val="single" w:sz="4" w:space="0" w:color="365F91"/>
              <w:bottom w:val="single" w:sz="4" w:space="0" w:color="365F91"/>
            </w:tcBorders>
          </w:tcPr>
          <w:p w14:paraId="537550AD" w14:textId="77777777" w:rsidR="00333601" w:rsidRPr="00BE78CA" w:rsidRDefault="00333601" w:rsidP="00C26084">
            <w:pPr>
              <w:pStyle w:val="TableText"/>
              <w:spacing w:before="40" w:after="40"/>
              <w:jc w:val="center"/>
              <w:rPr>
                <w:szCs w:val="16"/>
              </w:rPr>
            </w:pPr>
            <w:r w:rsidRPr="00BE78CA">
              <w:rPr>
                <w:b/>
                <w:szCs w:val="16"/>
              </w:rPr>
              <w:t>NO</w:t>
            </w:r>
          </w:p>
        </w:tc>
        <w:tc>
          <w:tcPr>
            <w:tcW w:w="1701" w:type="dxa"/>
            <w:vMerge/>
            <w:tcBorders>
              <w:bottom w:val="single" w:sz="4" w:space="0" w:color="365F91"/>
            </w:tcBorders>
          </w:tcPr>
          <w:p w14:paraId="56A4DA0F" w14:textId="77777777" w:rsidR="00333601" w:rsidRPr="00BE78CA" w:rsidRDefault="00333601" w:rsidP="00C26084">
            <w:pPr>
              <w:pStyle w:val="TableText"/>
              <w:spacing w:before="40" w:after="40"/>
              <w:rPr>
                <w:szCs w:val="16"/>
              </w:rPr>
            </w:pPr>
          </w:p>
        </w:tc>
      </w:tr>
      <w:tr w:rsidR="00333601" w:rsidRPr="00BE78CA" w14:paraId="3C646DD5" w14:textId="77777777" w:rsidTr="00872B70">
        <w:trPr>
          <w:trHeight w:val="20"/>
        </w:trPr>
        <w:tc>
          <w:tcPr>
            <w:tcW w:w="1246" w:type="dxa"/>
            <w:vMerge/>
            <w:tcBorders>
              <w:bottom w:val="single" w:sz="4" w:space="0" w:color="365F91"/>
            </w:tcBorders>
          </w:tcPr>
          <w:p w14:paraId="0F71AA25" w14:textId="77777777" w:rsidR="00333601" w:rsidRPr="00BE78CA" w:rsidRDefault="00333601" w:rsidP="00C26084">
            <w:pPr>
              <w:pStyle w:val="TableText"/>
              <w:spacing w:before="40" w:after="40"/>
              <w:rPr>
                <w:szCs w:val="16"/>
              </w:rPr>
            </w:pPr>
          </w:p>
        </w:tc>
        <w:tc>
          <w:tcPr>
            <w:tcW w:w="1731" w:type="dxa"/>
            <w:tcBorders>
              <w:top w:val="single" w:sz="4" w:space="0" w:color="365F91"/>
              <w:bottom w:val="single" w:sz="4" w:space="0" w:color="365F91"/>
            </w:tcBorders>
          </w:tcPr>
          <w:p w14:paraId="1699062A" w14:textId="77777777" w:rsidR="00333601" w:rsidRPr="00BE78CA" w:rsidRDefault="00333601" w:rsidP="00C26084">
            <w:pPr>
              <w:pStyle w:val="TableText"/>
              <w:spacing w:before="40" w:after="40"/>
              <w:rPr>
                <w:szCs w:val="16"/>
              </w:rPr>
            </w:pPr>
            <w:r w:rsidRPr="00BE78CA">
              <w:rPr>
                <w:szCs w:val="16"/>
              </w:rPr>
              <w:tab/>
              <w:t>BGB</w:t>
            </w:r>
          </w:p>
        </w:tc>
        <w:tc>
          <w:tcPr>
            <w:tcW w:w="1276" w:type="dxa"/>
            <w:tcBorders>
              <w:top w:val="single" w:sz="4" w:space="0" w:color="365F91"/>
              <w:bottom w:val="single" w:sz="4" w:space="0" w:color="365F91"/>
            </w:tcBorders>
          </w:tcPr>
          <w:p w14:paraId="078E3FFE" w14:textId="77777777" w:rsidR="00333601" w:rsidRPr="00BE78CA" w:rsidRDefault="00333601" w:rsidP="00C26084">
            <w:pPr>
              <w:pStyle w:val="TableText"/>
              <w:spacing w:before="40" w:after="40"/>
              <w:jc w:val="center"/>
              <w:rPr>
                <w:szCs w:val="16"/>
              </w:rPr>
            </w:pPr>
            <w:r w:rsidRPr="00BE78CA">
              <w:rPr>
                <w:szCs w:val="16"/>
              </w:rPr>
              <w:t>11.71</w:t>
            </w:r>
          </w:p>
        </w:tc>
        <w:tc>
          <w:tcPr>
            <w:tcW w:w="1276" w:type="dxa"/>
            <w:tcBorders>
              <w:top w:val="single" w:sz="4" w:space="0" w:color="365F91"/>
              <w:bottom w:val="single" w:sz="4" w:space="0" w:color="365F91"/>
            </w:tcBorders>
          </w:tcPr>
          <w:p w14:paraId="7739B8BB" w14:textId="77777777" w:rsidR="00333601" w:rsidRPr="00BE78CA" w:rsidRDefault="00333601" w:rsidP="00C26084">
            <w:pPr>
              <w:pStyle w:val="TableText"/>
              <w:spacing w:before="40" w:after="40"/>
              <w:jc w:val="center"/>
              <w:rPr>
                <w:szCs w:val="16"/>
              </w:rPr>
            </w:pPr>
            <w:r w:rsidRPr="00BE78CA">
              <w:rPr>
                <w:szCs w:val="16"/>
              </w:rPr>
              <w:t>NO</w:t>
            </w:r>
          </w:p>
        </w:tc>
        <w:tc>
          <w:tcPr>
            <w:tcW w:w="1275" w:type="dxa"/>
            <w:tcBorders>
              <w:top w:val="single" w:sz="4" w:space="0" w:color="365F91"/>
              <w:bottom w:val="single" w:sz="4" w:space="0" w:color="365F91"/>
            </w:tcBorders>
          </w:tcPr>
          <w:p w14:paraId="7C70C661" w14:textId="77777777" w:rsidR="00333601" w:rsidRPr="00BE78CA" w:rsidRDefault="00333601" w:rsidP="00C26084">
            <w:pPr>
              <w:pStyle w:val="TableText"/>
              <w:spacing w:before="40" w:after="40"/>
              <w:jc w:val="center"/>
              <w:rPr>
                <w:szCs w:val="16"/>
              </w:rPr>
            </w:pPr>
            <w:r w:rsidRPr="00BE78CA">
              <w:rPr>
                <w:b/>
                <w:szCs w:val="16"/>
              </w:rPr>
              <w:t>NO</w:t>
            </w:r>
          </w:p>
        </w:tc>
        <w:tc>
          <w:tcPr>
            <w:tcW w:w="1701" w:type="dxa"/>
            <w:vMerge/>
            <w:tcBorders>
              <w:bottom w:val="single" w:sz="4" w:space="0" w:color="365F91"/>
            </w:tcBorders>
          </w:tcPr>
          <w:p w14:paraId="0D777F89" w14:textId="77777777" w:rsidR="00333601" w:rsidRPr="00BE78CA" w:rsidRDefault="00333601" w:rsidP="00C26084">
            <w:pPr>
              <w:pStyle w:val="TableText"/>
              <w:spacing w:before="40" w:after="40"/>
              <w:rPr>
                <w:szCs w:val="16"/>
              </w:rPr>
            </w:pPr>
          </w:p>
        </w:tc>
      </w:tr>
      <w:tr w:rsidR="00333601" w:rsidRPr="00BE78CA" w14:paraId="046B1828" w14:textId="77777777" w:rsidTr="00872B70">
        <w:trPr>
          <w:trHeight w:val="20"/>
        </w:trPr>
        <w:tc>
          <w:tcPr>
            <w:tcW w:w="1246" w:type="dxa"/>
            <w:vMerge/>
            <w:tcBorders>
              <w:bottom w:val="single" w:sz="4" w:space="0" w:color="365F91"/>
            </w:tcBorders>
          </w:tcPr>
          <w:p w14:paraId="73D64DA8" w14:textId="77777777" w:rsidR="00333601" w:rsidRPr="00BE78CA" w:rsidRDefault="00333601" w:rsidP="00C26084">
            <w:pPr>
              <w:pStyle w:val="TableText"/>
              <w:spacing w:before="40" w:after="40"/>
              <w:rPr>
                <w:szCs w:val="16"/>
              </w:rPr>
            </w:pPr>
          </w:p>
        </w:tc>
        <w:tc>
          <w:tcPr>
            <w:tcW w:w="1731" w:type="dxa"/>
            <w:tcBorders>
              <w:top w:val="single" w:sz="4" w:space="0" w:color="365F91"/>
              <w:bottom w:val="single" w:sz="4" w:space="0" w:color="365F91"/>
            </w:tcBorders>
          </w:tcPr>
          <w:p w14:paraId="7F6E1898" w14:textId="77777777" w:rsidR="00333601" w:rsidRPr="00BE78CA" w:rsidRDefault="00333601" w:rsidP="00C26084">
            <w:pPr>
              <w:pStyle w:val="TableText"/>
              <w:spacing w:before="40" w:after="40"/>
              <w:rPr>
                <w:i/>
                <w:szCs w:val="16"/>
              </w:rPr>
            </w:pPr>
            <w:r w:rsidRPr="00BE78CA">
              <w:rPr>
                <w:i/>
                <w:szCs w:val="16"/>
              </w:rPr>
              <w:t>Dead organic matter</w:t>
            </w:r>
          </w:p>
        </w:tc>
        <w:tc>
          <w:tcPr>
            <w:tcW w:w="1276" w:type="dxa"/>
            <w:tcBorders>
              <w:top w:val="single" w:sz="4" w:space="0" w:color="365F91"/>
              <w:bottom w:val="single" w:sz="4" w:space="0" w:color="365F91"/>
            </w:tcBorders>
          </w:tcPr>
          <w:p w14:paraId="3DB27515" w14:textId="77777777" w:rsidR="00333601" w:rsidRPr="00BE78CA" w:rsidRDefault="00333601" w:rsidP="00C26084">
            <w:pPr>
              <w:pStyle w:val="TableText"/>
              <w:spacing w:before="40" w:after="40"/>
              <w:jc w:val="center"/>
              <w:rPr>
                <w:szCs w:val="16"/>
              </w:rPr>
            </w:pPr>
          </w:p>
        </w:tc>
        <w:tc>
          <w:tcPr>
            <w:tcW w:w="1276" w:type="dxa"/>
            <w:tcBorders>
              <w:top w:val="single" w:sz="4" w:space="0" w:color="365F91"/>
              <w:bottom w:val="single" w:sz="4" w:space="0" w:color="365F91"/>
            </w:tcBorders>
          </w:tcPr>
          <w:p w14:paraId="024275D5" w14:textId="77777777" w:rsidR="00333601" w:rsidRPr="00BE78CA" w:rsidRDefault="00333601" w:rsidP="00C26084">
            <w:pPr>
              <w:pStyle w:val="TableText"/>
              <w:spacing w:before="40" w:after="40"/>
              <w:jc w:val="center"/>
              <w:rPr>
                <w:szCs w:val="16"/>
              </w:rPr>
            </w:pPr>
          </w:p>
        </w:tc>
        <w:tc>
          <w:tcPr>
            <w:tcW w:w="1275" w:type="dxa"/>
            <w:tcBorders>
              <w:top w:val="single" w:sz="4" w:space="0" w:color="365F91"/>
              <w:bottom w:val="single" w:sz="4" w:space="0" w:color="365F91"/>
            </w:tcBorders>
          </w:tcPr>
          <w:p w14:paraId="4AAF1FA1" w14:textId="77777777" w:rsidR="00333601" w:rsidRPr="00BE78CA" w:rsidRDefault="00333601" w:rsidP="00C26084">
            <w:pPr>
              <w:pStyle w:val="TableText"/>
              <w:spacing w:before="40" w:after="40"/>
              <w:jc w:val="center"/>
              <w:rPr>
                <w:szCs w:val="16"/>
              </w:rPr>
            </w:pPr>
            <w:r w:rsidRPr="00BE78CA">
              <w:rPr>
                <w:b/>
                <w:szCs w:val="16"/>
              </w:rPr>
              <w:t>NO</w:t>
            </w:r>
          </w:p>
        </w:tc>
        <w:tc>
          <w:tcPr>
            <w:tcW w:w="1701" w:type="dxa"/>
            <w:vMerge/>
            <w:tcBorders>
              <w:bottom w:val="single" w:sz="4" w:space="0" w:color="365F91"/>
            </w:tcBorders>
          </w:tcPr>
          <w:p w14:paraId="3B5D469F" w14:textId="77777777" w:rsidR="00333601" w:rsidRPr="00BE78CA" w:rsidRDefault="00333601" w:rsidP="00C26084">
            <w:pPr>
              <w:pStyle w:val="TableText"/>
              <w:spacing w:before="40" w:after="40"/>
              <w:rPr>
                <w:szCs w:val="16"/>
              </w:rPr>
            </w:pPr>
          </w:p>
        </w:tc>
      </w:tr>
      <w:tr w:rsidR="00333601" w:rsidRPr="00BE78CA" w14:paraId="2CB34E78" w14:textId="77777777" w:rsidTr="00872B70">
        <w:trPr>
          <w:trHeight w:val="20"/>
        </w:trPr>
        <w:tc>
          <w:tcPr>
            <w:tcW w:w="1246" w:type="dxa"/>
            <w:vMerge/>
            <w:tcBorders>
              <w:bottom w:val="single" w:sz="4" w:space="0" w:color="365F91"/>
            </w:tcBorders>
          </w:tcPr>
          <w:p w14:paraId="1B8A7A92" w14:textId="77777777" w:rsidR="00333601" w:rsidRPr="00BE78CA" w:rsidRDefault="00333601" w:rsidP="00C26084">
            <w:pPr>
              <w:pStyle w:val="TableText"/>
              <w:spacing w:before="40" w:after="40"/>
              <w:rPr>
                <w:szCs w:val="16"/>
              </w:rPr>
            </w:pPr>
          </w:p>
        </w:tc>
        <w:tc>
          <w:tcPr>
            <w:tcW w:w="1731" w:type="dxa"/>
            <w:tcBorders>
              <w:top w:val="single" w:sz="4" w:space="0" w:color="365F91"/>
              <w:bottom w:val="single" w:sz="4" w:space="0" w:color="365F91"/>
            </w:tcBorders>
          </w:tcPr>
          <w:p w14:paraId="2A8CE3D2" w14:textId="77777777" w:rsidR="00333601" w:rsidRPr="00BE78CA" w:rsidRDefault="00333601" w:rsidP="00C26084">
            <w:pPr>
              <w:pStyle w:val="TableText"/>
              <w:spacing w:before="40" w:after="40"/>
              <w:rPr>
                <w:szCs w:val="16"/>
              </w:rPr>
            </w:pPr>
            <w:r w:rsidRPr="00BE78CA">
              <w:rPr>
                <w:szCs w:val="16"/>
              </w:rPr>
              <w:tab/>
              <w:t>Dead wood</w:t>
            </w:r>
          </w:p>
        </w:tc>
        <w:tc>
          <w:tcPr>
            <w:tcW w:w="1276" w:type="dxa"/>
            <w:tcBorders>
              <w:top w:val="single" w:sz="4" w:space="0" w:color="365F91"/>
              <w:bottom w:val="single" w:sz="4" w:space="0" w:color="365F91"/>
            </w:tcBorders>
          </w:tcPr>
          <w:p w14:paraId="7A0CAC47" w14:textId="77777777" w:rsidR="00333601" w:rsidRPr="00BE78CA" w:rsidRDefault="00333601" w:rsidP="00C26084">
            <w:pPr>
              <w:pStyle w:val="TableText"/>
              <w:spacing w:before="40" w:after="40"/>
              <w:jc w:val="center"/>
              <w:rPr>
                <w:szCs w:val="16"/>
              </w:rPr>
            </w:pPr>
            <w:r w:rsidRPr="00BE78CA">
              <w:rPr>
                <w:szCs w:val="16"/>
              </w:rPr>
              <w:t>3.68</w:t>
            </w:r>
          </w:p>
        </w:tc>
        <w:tc>
          <w:tcPr>
            <w:tcW w:w="1276" w:type="dxa"/>
            <w:tcBorders>
              <w:top w:val="single" w:sz="4" w:space="0" w:color="365F91"/>
              <w:bottom w:val="single" w:sz="4" w:space="0" w:color="365F91"/>
            </w:tcBorders>
          </w:tcPr>
          <w:p w14:paraId="533A1A73" w14:textId="77777777" w:rsidR="00333601" w:rsidRPr="00BE78CA" w:rsidRDefault="00333601" w:rsidP="00C26084">
            <w:pPr>
              <w:pStyle w:val="TableText"/>
              <w:spacing w:before="40" w:after="40"/>
              <w:jc w:val="center"/>
              <w:rPr>
                <w:szCs w:val="16"/>
              </w:rPr>
            </w:pPr>
            <w:r w:rsidRPr="00BE78CA">
              <w:rPr>
                <w:szCs w:val="16"/>
              </w:rPr>
              <w:t>NO</w:t>
            </w:r>
          </w:p>
        </w:tc>
        <w:tc>
          <w:tcPr>
            <w:tcW w:w="1275" w:type="dxa"/>
            <w:tcBorders>
              <w:top w:val="single" w:sz="4" w:space="0" w:color="365F91"/>
              <w:bottom w:val="single" w:sz="4" w:space="0" w:color="365F91"/>
            </w:tcBorders>
          </w:tcPr>
          <w:p w14:paraId="771594F3" w14:textId="77777777" w:rsidR="00333601" w:rsidRPr="00BE78CA" w:rsidRDefault="00333601" w:rsidP="00C26084">
            <w:pPr>
              <w:pStyle w:val="TableText"/>
              <w:spacing w:before="40" w:after="40"/>
              <w:jc w:val="center"/>
              <w:rPr>
                <w:szCs w:val="16"/>
              </w:rPr>
            </w:pPr>
            <w:r w:rsidRPr="00BE78CA">
              <w:rPr>
                <w:b/>
                <w:szCs w:val="16"/>
              </w:rPr>
              <w:t>NO</w:t>
            </w:r>
          </w:p>
        </w:tc>
        <w:tc>
          <w:tcPr>
            <w:tcW w:w="1701" w:type="dxa"/>
            <w:vMerge/>
            <w:tcBorders>
              <w:bottom w:val="single" w:sz="4" w:space="0" w:color="365F91"/>
            </w:tcBorders>
          </w:tcPr>
          <w:p w14:paraId="1200330E" w14:textId="77777777" w:rsidR="00333601" w:rsidRPr="00BE78CA" w:rsidRDefault="00333601" w:rsidP="00C26084">
            <w:pPr>
              <w:pStyle w:val="TableText"/>
              <w:spacing w:before="40" w:after="40"/>
              <w:rPr>
                <w:szCs w:val="16"/>
              </w:rPr>
            </w:pPr>
          </w:p>
        </w:tc>
      </w:tr>
      <w:tr w:rsidR="00333601" w:rsidRPr="00BE78CA" w14:paraId="49E660F7" w14:textId="77777777" w:rsidTr="00872B70">
        <w:trPr>
          <w:trHeight w:val="20"/>
        </w:trPr>
        <w:tc>
          <w:tcPr>
            <w:tcW w:w="1246" w:type="dxa"/>
            <w:vMerge/>
            <w:tcBorders>
              <w:bottom w:val="single" w:sz="4" w:space="0" w:color="365F91"/>
            </w:tcBorders>
          </w:tcPr>
          <w:p w14:paraId="75D615C7" w14:textId="77777777" w:rsidR="00333601" w:rsidRPr="00BE78CA" w:rsidRDefault="00333601" w:rsidP="00C26084">
            <w:pPr>
              <w:pStyle w:val="TableText"/>
              <w:spacing w:before="40" w:after="40"/>
              <w:rPr>
                <w:szCs w:val="16"/>
              </w:rPr>
            </w:pPr>
          </w:p>
        </w:tc>
        <w:tc>
          <w:tcPr>
            <w:tcW w:w="1731" w:type="dxa"/>
            <w:tcBorders>
              <w:top w:val="single" w:sz="4" w:space="0" w:color="365F91"/>
              <w:bottom w:val="single" w:sz="4" w:space="0" w:color="365F91"/>
            </w:tcBorders>
          </w:tcPr>
          <w:p w14:paraId="310E585F" w14:textId="77777777" w:rsidR="00333601" w:rsidRPr="00BE78CA" w:rsidRDefault="00333601" w:rsidP="00C26084">
            <w:pPr>
              <w:pStyle w:val="TableText"/>
              <w:spacing w:before="40" w:after="40"/>
              <w:rPr>
                <w:szCs w:val="16"/>
              </w:rPr>
            </w:pPr>
            <w:r w:rsidRPr="00BE78CA">
              <w:rPr>
                <w:szCs w:val="16"/>
              </w:rPr>
              <w:tab/>
              <w:t>Litter</w:t>
            </w:r>
          </w:p>
        </w:tc>
        <w:tc>
          <w:tcPr>
            <w:tcW w:w="1276" w:type="dxa"/>
            <w:tcBorders>
              <w:top w:val="single" w:sz="4" w:space="0" w:color="365F91"/>
              <w:bottom w:val="single" w:sz="4" w:space="0" w:color="365F91"/>
            </w:tcBorders>
          </w:tcPr>
          <w:p w14:paraId="0E610FB4" w14:textId="77777777" w:rsidR="00333601" w:rsidRPr="00BE78CA" w:rsidRDefault="00333601" w:rsidP="00C26084">
            <w:pPr>
              <w:pStyle w:val="TableText"/>
              <w:spacing w:before="40" w:after="40"/>
              <w:jc w:val="center"/>
              <w:rPr>
                <w:szCs w:val="16"/>
              </w:rPr>
            </w:pPr>
            <w:r w:rsidRPr="00BE78CA">
              <w:rPr>
                <w:szCs w:val="16"/>
              </w:rPr>
              <w:t>0.00</w:t>
            </w:r>
          </w:p>
        </w:tc>
        <w:tc>
          <w:tcPr>
            <w:tcW w:w="1276" w:type="dxa"/>
            <w:tcBorders>
              <w:top w:val="single" w:sz="4" w:space="0" w:color="365F91"/>
              <w:bottom w:val="single" w:sz="4" w:space="0" w:color="365F91"/>
            </w:tcBorders>
          </w:tcPr>
          <w:p w14:paraId="3CA4220A" w14:textId="77777777" w:rsidR="00333601" w:rsidRPr="00BE78CA" w:rsidRDefault="00333601" w:rsidP="00C26084">
            <w:pPr>
              <w:pStyle w:val="TableText"/>
              <w:spacing w:before="40" w:after="40"/>
              <w:jc w:val="center"/>
              <w:rPr>
                <w:szCs w:val="16"/>
              </w:rPr>
            </w:pPr>
            <w:r w:rsidRPr="00BE78CA">
              <w:rPr>
                <w:szCs w:val="16"/>
              </w:rPr>
              <w:t>NO</w:t>
            </w:r>
          </w:p>
        </w:tc>
        <w:tc>
          <w:tcPr>
            <w:tcW w:w="1275" w:type="dxa"/>
            <w:tcBorders>
              <w:top w:val="single" w:sz="4" w:space="0" w:color="365F91"/>
              <w:bottom w:val="single" w:sz="4" w:space="0" w:color="365F91"/>
            </w:tcBorders>
          </w:tcPr>
          <w:p w14:paraId="7FBAB591" w14:textId="77777777" w:rsidR="00333601" w:rsidRPr="00BE78CA" w:rsidRDefault="00333601" w:rsidP="00C26084">
            <w:pPr>
              <w:pStyle w:val="TableText"/>
              <w:spacing w:before="40" w:after="40"/>
              <w:jc w:val="center"/>
              <w:rPr>
                <w:szCs w:val="16"/>
              </w:rPr>
            </w:pPr>
            <w:r w:rsidRPr="00BE78CA">
              <w:rPr>
                <w:b/>
                <w:szCs w:val="16"/>
              </w:rPr>
              <w:t>NO</w:t>
            </w:r>
          </w:p>
        </w:tc>
        <w:tc>
          <w:tcPr>
            <w:tcW w:w="1701" w:type="dxa"/>
            <w:vMerge/>
            <w:tcBorders>
              <w:bottom w:val="single" w:sz="4" w:space="0" w:color="365F91"/>
            </w:tcBorders>
          </w:tcPr>
          <w:p w14:paraId="38D47702" w14:textId="77777777" w:rsidR="00333601" w:rsidRPr="00BE78CA" w:rsidRDefault="00333601" w:rsidP="00C26084">
            <w:pPr>
              <w:pStyle w:val="TableText"/>
              <w:spacing w:before="40" w:after="40"/>
              <w:rPr>
                <w:szCs w:val="16"/>
              </w:rPr>
            </w:pPr>
          </w:p>
        </w:tc>
      </w:tr>
    </w:tbl>
    <w:p w14:paraId="2622CA62" w14:textId="77777777" w:rsidR="00333601" w:rsidRPr="00BE78CA" w:rsidRDefault="00333601" w:rsidP="00333601">
      <w:pPr>
        <w:pStyle w:val="Noteundertable"/>
      </w:pPr>
      <w:r w:rsidRPr="00BE78CA">
        <w:rPr>
          <w:b/>
        </w:rPr>
        <w:t>Note:</w:t>
      </w:r>
      <w:r w:rsidRPr="00BE78CA">
        <w:tab/>
        <w:t>AGB = above-ground biomass; BGB = below-ground biomass; NA = not applicable; NE = not estimated; NO = not occurring. Columns may not total due to rounding. The high producing grassland figure is based on the Warm temperate – wet figure from table 6.4 of the 2006 IPCC Guidelines, and the low producing grassland figure is based on the Warm temperate – dry figure from the same table (IPCC, 2006a), with a carbon fraction of 0.47 applied to both. Note that the annual accumulation rates for grassland with woody biomass – transitional do not equal the total biomass steady state carbon stock value over 20 years because the starting stock value at year 1 is 3.54 t C ha</w:t>
      </w:r>
      <w:r w:rsidRPr="00BE78CA">
        <w:rPr>
          <w:vertAlign w:val="superscript"/>
        </w:rPr>
        <w:t>–1</w:t>
      </w:r>
      <w:r w:rsidRPr="00BE78CA">
        <w:t xml:space="preserve">. </w:t>
      </w:r>
    </w:p>
    <w:p w14:paraId="1FBAE599" w14:textId="77777777" w:rsidR="00333601" w:rsidRPr="00BE78CA" w:rsidRDefault="00333601" w:rsidP="00333601">
      <w:pPr>
        <w:pStyle w:val="Heading4"/>
      </w:pPr>
      <w:bookmarkStart w:id="2296" w:name="_Toc280630289"/>
      <w:r w:rsidRPr="00BE78CA">
        <w:lastRenderedPageBreak/>
        <w:t>Grassland remaining grassland</w:t>
      </w:r>
      <w:bookmarkEnd w:id="2293"/>
      <w:bookmarkEnd w:id="2294"/>
      <w:bookmarkEnd w:id="2295"/>
      <w:bookmarkEnd w:id="2296"/>
      <w:r w:rsidRPr="00BE78CA">
        <w:t xml:space="preserve"> (CRF 4.C.1)</w:t>
      </w:r>
    </w:p>
    <w:p w14:paraId="6006E9CF" w14:textId="77777777" w:rsidR="00333601" w:rsidRPr="00BE78CA" w:rsidRDefault="00333601" w:rsidP="00333601">
      <w:pPr>
        <w:pStyle w:val="BodyText"/>
      </w:pPr>
      <w:r w:rsidRPr="00BE78CA">
        <w:t xml:space="preserve">For </w:t>
      </w:r>
      <w:r w:rsidRPr="00BE78CA">
        <w:rPr>
          <w:i/>
        </w:rPr>
        <w:t>Grassland remaining grassland</w:t>
      </w:r>
      <w:r w:rsidRPr="00BE78CA">
        <w:t>, the Tier 1 assumption is there is no change in carbon stocks for grassland remaining in the same subcategory (section 6.2.1.1, IPCC, 2006a). The rationale is that, where management practices are static, carbon stocks will be in an approximately steady state; that is, carbon gain through plant growth is roughly balanced by losses. New Zealand has reported NA (not applicable) in the CRF tables where there is no land</w:t>
      </w:r>
      <w:r w:rsidRPr="00BE78CA">
        <w:noBreakHyphen/>
        <w:t xml:space="preserve">use change at the category level because no emissions or removals are assumed to have occurred. However, a significant area (663,874 hectares) is currently in a state of conversion from one grassland type to another. The carbon stock changes for these land-use changes are reported in the category </w:t>
      </w:r>
      <w:r w:rsidRPr="00BE78CA">
        <w:rPr>
          <w:i/>
        </w:rPr>
        <w:t>Grassland remaining grassland</w:t>
      </w:r>
      <w:r w:rsidRPr="00BE78CA">
        <w:t>.</w:t>
      </w:r>
    </w:p>
    <w:p w14:paraId="04449221" w14:textId="77777777" w:rsidR="00333601" w:rsidRPr="00BE78CA" w:rsidRDefault="00333601" w:rsidP="00333601">
      <w:pPr>
        <w:pStyle w:val="Heading5"/>
        <w:spacing w:before="200"/>
      </w:pPr>
      <w:bookmarkStart w:id="2297" w:name="_Toc255466398"/>
      <w:bookmarkStart w:id="2298" w:name="_Toc261513205"/>
      <w:bookmarkStart w:id="2299" w:name="_Toc261513818"/>
      <w:bookmarkStart w:id="2300" w:name="_Toc280630290"/>
      <w:r w:rsidRPr="00BE78CA">
        <w:t>Living biomass</w:t>
      </w:r>
      <w:bookmarkEnd w:id="2297"/>
      <w:bookmarkEnd w:id="2298"/>
      <w:bookmarkEnd w:id="2299"/>
      <w:bookmarkEnd w:id="2300"/>
    </w:p>
    <w:p w14:paraId="55A6ACFE" w14:textId="77777777" w:rsidR="00333601" w:rsidRPr="00BE78CA" w:rsidRDefault="00333601" w:rsidP="00333601">
      <w:pPr>
        <w:pStyle w:val="BodyText"/>
      </w:pPr>
      <w:r w:rsidRPr="00BE78CA">
        <w:t xml:space="preserve">To calculate carbon stock change in living biomass on land converted from one category to another (e.g., low producing grassland converted to high producing grassland), it is assumed the carbon in living biomass immediately after conversion is zero; that is, the land is cleared of all vegetation. In the same year, carbon stocks in living biomass increase by the amount given in table 6.6.3 representing the annual growth in biomass for land converted to another land use. The values used for high producing and low producing grassland are Tier 1 defaults (table 6.6.3). The values given for grassland with woody biomass are country-specific factors based on the LUCAS national forest plot network (Wakelin and Beets, unpublished). </w:t>
      </w:r>
    </w:p>
    <w:p w14:paraId="76475E2B" w14:textId="77777777" w:rsidR="00333601" w:rsidRPr="00BE78CA" w:rsidRDefault="00333601" w:rsidP="00333601">
      <w:pPr>
        <w:pStyle w:val="Heading5"/>
        <w:spacing w:before="200"/>
      </w:pPr>
      <w:bookmarkStart w:id="2301" w:name="_Toc255466399"/>
      <w:bookmarkStart w:id="2302" w:name="_Toc261513206"/>
      <w:bookmarkStart w:id="2303" w:name="_Toc261513819"/>
      <w:bookmarkStart w:id="2304" w:name="_Toc280630291"/>
      <w:r w:rsidRPr="00BE78CA">
        <w:t>Dead organic matter</w:t>
      </w:r>
      <w:bookmarkEnd w:id="2301"/>
      <w:bookmarkEnd w:id="2302"/>
      <w:bookmarkEnd w:id="2303"/>
      <w:bookmarkEnd w:id="2304"/>
    </w:p>
    <w:p w14:paraId="2AF485EB" w14:textId="77777777" w:rsidR="00333601" w:rsidRPr="00BE78CA" w:rsidRDefault="00333601" w:rsidP="00333601">
      <w:pPr>
        <w:pStyle w:val="BodyText"/>
      </w:pPr>
      <w:r w:rsidRPr="00BE78CA">
        <w:t xml:space="preserve">New Zealand does not report estimates of dead organic matter for high producing grassland or low producing grassland because there are no Tier 1 defaults provided in the 2006 IPCC Guidelines. There is insufficient information to develop default coefficients for estimating the dead organic matter pool for these two categories (IPCC, 2006a). The notation key NE (not estimated) is used in the CRF tables in accordance with paragraph 37(b) of Decision 24/CP.19 (UNFCCC, 2014). </w:t>
      </w:r>
    </w:p>
    <w:p w14:paraId="01C24A3D" w14:textId="77777777" w:rsidR="00333601" w:rsidRPr="00BE78CA" w:rsidRDefault="00333601" w:rsidP="00333601">
      <w:pPr>
        <w:pStyle w:val="BodyText"/>
      </w:pPr>
      <w:r w:rsidRPr="00BE78CA">
        <w:t>For grassland with woody biomass, an estimate of dead organic matter is derived from the LUCAS national forest plot network (Wakelin and Beets, unpublished), and estimates of changes in dead organic matter stocks with conversion to and from this land use are reported.</w:t>
      </w:r>
    </w:p>
    <w:p w14:paraId="15A6ACAD" w14:textId="77777777" w:rsidR="00333601" w:rsidRPr="00BE78CA" w:rsidRDefault="00333601" w:rsidP="00333601">
      <w:pPr>
        <w:pStyle w:val="Heading5"/>
        <w:spacing w:before="200"/>
      </w:pPr>
      <w:bookmarkStart w:id="2305" w:name="_Toc255466400"/>
      <w:bookmarkStart w:id="2306" w:name="_Toc261513207"/>
      <w:bookmarkStart w:id="2307" w:name="_Toc261513820"/>
      <w:bookmarkStart w:id="2308" w:name="_Toc280630292"/>
      <w:r w:rsidRPr="00BE78CA">
        <w:t>Soil carbon</w:t>
      </w:r>
      <w:bookmarkEnd w:id="2305"/>
      <w:bookmarkEnd w:id="2306"/>
      <w:bookmarkEnd w:id="2307"/>
      <w:bookmarkEnd w:id="2308"/>
    </w:p>
    <w:p w14:paraId="363B2A43" w14:textId="77777777" w:rsidR="00333601" w:rsidRPr="00BE78CA" w:rsidRDefault="00333601" w:rsidP="00333601">
      <w:pPr>
        <w:pStyle w:val="BodyText"/>
      </w:pPr>
      <w:bookmarkStart w:id="2309" w:name="_Toc255466401"/>
      <w:bookmarkStart w:id="2310" w:name="_Toc261513208"/>
      <w:bookmarkStart w:id="2311" w:name="_Toc261513821"/>
      <w:r w:rsidRPr="00BE78CA">
        <w:t xml:space="preserve">SOC stocks in </w:t>
      </w:r>
      <w:r w:rsidRPr="00BE78CA">
        <w:rPr>
          <w:i/>
        </w:rPr>
        <w:t>Grassland remaining grassland</w:t>
      </w:r>
      <w:r w:rsidRPr="00BE78CA">
        <w:t xml:space="preserve"> are estimated using a Tier 2 method for mineral soils (see table 6.6.4) and a Tier 1 method for organic soils (see section 6.3). The IPCC default emission factors for organic soils under </w:t>
      </w:r>
      <w:r w:rsidRPr="00BE78CA">
        <w:rPr>
          <w:i/>
        </w:rPr>
        <w:t>Grassland</w:t>
      </w:r>
      <w:r w:rsidRPr="00BE78CA">
        <w:t xml:space="preserve"> are 0.25 tonnes and 2.5 tonnes C ha</w:t>
      </w:r>
      <w:r w:rsidRPr="00BE78CA">
        <w:rPr>
          <w:vertAlign w:val="superscript"/>
        </w:rPr>
        <w:t>–1</w:t>
      </w:r>
      <w:r w:rsidRPr="00BE78CA">
        <w:t xml:space="preserve"> per annum for cold temperate and warm temperate regimes respectively (IPCC, 2006a). </w:t>
      </w:r>
    </w:p>
    <w:p w14:paraId="16D12CC7" w14:textId="77777777" w:rsidR="00333601" w:rsidRPr="00BE78CA" w:rsidRDefault="00333601" w:rsidP="00333601">
      <w:pPr>
        <w:pStyle w:val="Table"/>
      </w:pPr>
      <w:bookmarkStart w:id="2312" w:name="_Toc280630469"/>
      <w:bookmarkStart w:id="2313" w:name="_Toc310423426"/>
      <w:bookmarkStart w:id="2314" w:name="_Toc318362719"/>
      <w:bookmarkStart w:id="2315" w:name="_Toc342470781"/>
      <w:bookmarkStart w:id="2316" w:name="_Toc352505021"/>
      <w:bookmarkStart w:id="2317" w:name="_Toc378853310"/>
      <w:bookmarkStart w:id="2318" w:name="_Toc391024108"/>
      <w:bookmarkStart w:id="2319" w:name="_Toc410028851"/>
      <w:bookmarkStart w:id="2320" w:name="_Toc414531479"/>
      <w:bookmarkStart w:id="2321" w:name="_Toc443645392"/>
      <w:bookmarkStart w:id="2322" w:name="_Toc474914611"/>
      <w:bookmarkStart w:id="2323" w:name="_Toc481751575"/>
      <w:bookmarkStart w:id="2324" w:name="_Toc522010632"/>
      <w:bookmarkStart w:id="2325" w:name="_Toc5269537"/>
      <w:bookmarkStart w:id="2326" w:name="_Toc33529411"/>
      <w:bookmarkStart w:id="2327" w:name="_Toc36224617"/>
      <w:bookmarkStart w:id="2328" w:name="_Toc65243614"/>
      <w:bookmarkStart w:id="2329" w:name="_Toc68786504"/>
      <w:r w:rsidRPr="00BE78CA">
        <w:t>Table 6.6.4</w:t>
      </w:r>
      <w:r w:rsidRPr="00BE78CA">
        <w:tab/>
        <w:t>New Zealand’s soil carbon stock values by Grassland type</w:t>
      </w:r>
      <w:bookmarkEnd w:id="2312"/>
      <w:bookmarkEnd w:id="2313"/>
      <w:bookmarkEnd w:id="2314"/>
      <w:bookmarkEnd w:id="2315"/>
      <w:bookmarkEnd w:id="2316"/>
      <w:bookmarkEnd w:id="2317"/>
      <w:bookmarkEnd w:id="2318"/>
      <w:bookmarkEnd w:id="2319"/>
      <w:bookmarkEnd w:id="2320"/>
      <w:r w:rsidRPr="00BE78CA">
        <w:t>: from table 6.3.2</w:t>
      </w:r>
      <w:bookmarkEnd w:id="2321"/>
      <w:bookmarkEnd w:id="2322"/>
      <w:bookmarkEnd w:id="2323"/>
      <w:bookmarkEnd w:id="2324"/>
      <w:bookmarkEnd w:id="2325"/>
      <w:bookmarkEnd w:id="2326"/>
      <w:bookmarkEnd w:id="2327"/>
      <w:bookmarkEnd w:id="2328"/>
      <w:bookmarkEnd w:id="2329"/>
    </w:p>
    <w:tbl>
      <w:tblPr>
        <w:tblW w:w="8505" w:type="dxa"/>
        <w:tblBorders>
          <w:top w:val="single" w:sz="4" w:space="0" w:color="365F91"/>
          <w:bottom w:val="single" w:sz="4" w:space="0" w:color="365F91"/>
          <w:insideH w:val="single" w:sz="4" w:space="0" w:color="365F91"/>
        </w:tblBorders>
        <w:tblLayout w:type="fixed"/>
        <w:tblLook w:val="0000" w:firstRow="0" w:lastRow="0" w:firstColumn="0" w:lastColumn="0" w:noHBand="0" w:noVBand="0"/>
      </w:tblPr>
      <w:tblGrid>
        <w:gridCol w:w="4110"/>
        <w:gridCol w:w="4395"/>
      </w:tblGrid>
      <w:tr w:rsidR="00333601" w:rsidRPr="00BE78CA" w14:paraId="703C7C6A" w14:textId="77777777" w:rsidTr="00872B70">
        <w:tc>
          <w:tcPr>
            <w:tcW w:w="2977" w:type="dxa"/>
            <w:shd w:val="clear" w:color="auto" w:fill="365F91"/>
          </w:tcPr>
          <w:p w14:paraId="71AF7900" w14:textId="77777777" w:rsidR="00333601" w:rsidRPr="00BE78CA" w:rsidRDefault="00333601" w:rsidP="00CC6EC9">
            <w:pPr>
              <w:pStyle w:val="TableTextBold"/>
              <w:keepNext/>
              <w:spacing w:before="50" w:after="50"/>
              <w:rPr>
                <w:noProof w:val="0"/>
                <w:color w:val="FFFFFF"/>
              </w:rPr>
            </w:pPr>
            <w:r w:rsidRPr="00BE78CA">
              <w:rPr>
                <w:noProof w:val="0"/>
                <w:color w:val="FFFFFF"/>
              </w:rPr>
              <w:t>Grassland type</w:t>
            </w:r>
          </w:p>
        </w:tc>
        <w:tc>
          <w:tcPr>
            <w:tcW w:w="3183" w:type="dxa"/>
            <w:shd w:val="clear" w:color="auto" w:fill="365F91"/>
          </w:tcPr>
          <w:p w14:paraId="73C1E35E" w14:textId="77777777" w:rsidR="00333601" w:rsidRPr="00BE78CA" w:rsidRDefault="00333601" w:rsidP="00CC6EC9">
            <w:pPr>
              <w:pStyle w:val="TableTextBold"/>
              <w:keepNext/>
              <w:spacing w:before="50" w:after="50"/>
              <w:jc w:val="center"/>
              <w:rPr>
                <w:noProof w:val="0"/>
                <w:color w:val="FFFFFF"/>
              </w:rPr>
            </w:pPr>
            <w:r w:rsidRPr="00BE78CA">
              <w:rPr>
                <w:noProof w:val="0"/>
                <w:color w:val="FFFFFF"/>
              </w:rPr>
              <w:t>Soil carbon stock (t C ha</w:t>
            </w:r>
            <w:r w:rsidRPr="00BE78CA">
              <w:rPr>
                <w:rFonts w:ascii="Arial Bold" w:hAnsi="Arial Bold"/>
                <w:noProof w:val="0"/>
                <w:color w:val="FFFFFF"/>
                <w:vertAlign w:val="superscript"/>
              </w:rPr>
              <w:t>–1</w:t>
            </w:r>
            <w:r w:rsidRPr="00BE78CA">
              <w:rPr>
                <w:noProof w:val="0"/>
                <w:color w:val="FFFFFF"/>
              </w:rPr>
              <w:t>)</w:t>
            </w:r>
          </w:p>
        </w:tc>
      </w:tr>
      <w:tr w:rsidR="00333601" w:rsidRPr="00BE78CA" w14:paraId="13E2CA4C" w14:textId="77777777" w:rsidTr="00872B70">
        <w:tc>
          <w:tcPr>
            <w:tcW w:w="2977" w:type="dxa"/>
          </w:tcPr>
          <w:p w14:paraId="5B7DE4AB" w14:textId="77777777" w:rsidR="00333601" w:rsidRPr="00BE78CA" w:rsidRDefault="00333601" w:rsidP="00CC6EC9">
            <w:pPr>
              <w:pStyle w:val="TableText"/>
              <w:keepNext/>
              <w:spacing w:before="50" w:after="50"/>
            </w:pPr>
            <w:r w:rsidRPr="00BE78CA">
              <w:t>High producing grassland</w:t>
            </w:r>
          </w:p>
        </w:tc>
        <w:tc>
          <w:tcPr>
            <w:tcW w:w="3183" w:type="dxa"/>
          </w:tcPr>
          <w:p w14:paraId="07BA5F33" w14:textId="77777777" w:rsidR="00333601" w:rsidRPr="00BE78CA" w:rsidRDefault="00333601" w:rsidP="00CC6EC9">
            <w:pPr>
              <w:pStyle w:val="TableText"/>
              <w:spacing w:before="50" w:after="50"/>
              <w:jc w:val="center"/>
            </w:pPr>
            <w:r w:rsidRPr="00BE78CA">
              <w:t>105.34</w:t>
            </w:r>
          </w:p>
        </w:tc>
      </w:tr>
      <w:tr w:rsidR="00333601" w:rsidRPr="00BE78CA" w14:paraId="230D6D8E" w14:textId="77777777" w:rsidTr="00872B70">
        <w:trPr>
          <w:trHeight w:val="252"/>
        </w:trPr>
        <w:tc>
          <w:tcPr>
            <w:tcW w:w="2977" w:type="dxa"/>
          </w:tcPr>
          <w:p w14:paraId="7E7783DF" w14:textId="77777777" w:rsidR="00333601" w:rsidRPr="00BE78CA" w:rsidRDefault="00333601" w:rsidP="00CC6EC9">
            <w:pPr>
              <w:pStyle w:val="TableText"/>
              <w:spacing w:before="50" w:after="50"/>
            </w:pPr>
            <w:r w:rsidRPr="00BE78CA">
              <w:t>Low producing grassland</w:t>
            </w:r>
          </w:p>
        </w:tc>
        <w:tc>
          <w:tcPr>
            <w:tcW w:w="3183" w:type="dxa"/>
          </w:tcPr>
          <w:p w14:paraId="4A0B000A" w14:textId="77777777" w:rsidR="00333601" w:rsidRPr="00BE78CA" w:rsidRDefault="00333601" w:rsidP="00CC6EC9">
            <w:pPr>
              <w:pStyle w:val="TableText"/>
              <w:spacing w:before="50" w:after="50"/>
              <w:jc w:val="center"/>
            </w:pPr>
            <w:r w:rsidRPr="00BE78CA">
              <w:t>105.98</w:t>
            </w:r>
          </w:p>
        </w:tc>
      </w:tr>
      <w:tr w:rsidR="00333601" w:rsidRPr="00BE78CA" w14:paraId="51F5794E" w14:textId="77777777" w:rsidTr="00872B70">
        <w:tc>
          <w:tcPr>
            <w:tcW w:w="2977" w:type="dxa"/>
          </w:tcPr>
          <w:p w14:paraId="5530A5F8" w14:textId="77777777" w:rsidR="00333601" w:rsidRPr="00BE78CA" w:rsidRDefault="00333601" w:rsidP="00CC6EC9">
            <w:pPr>
              <w:pStyle w:val="TableText"/>
              <w:spacing w:before="50" w:after="50"/>
            </w:pPr>
            <w:r w:rsidRPr="00BE78CA">
              <w:t>Grassland with woody biomass</w:t>
            </w:r>
          </w:p>
        </w:tc>
        <w:tc>
          <w:tcPr>
            <w:tcW w:w="3183" w:type="dxa"/>
          </w:tcPr>
          <w:p w14:paraId="465BFC93" w14:textId="77777777" w:rsidR="00333601" w:rsidRPr="00BE78CA" w:rsidRDefault="00333601" w:rsidP="00CC6EC9">
            <w:pPr>
              <w:pStyle w:val="TableText"/>
              <w:spacing w:before="50" w:after="50"/>
              <w:jc w:val="center"/>
            </w:pPr>
            <w:r w:rsidRPr="00BE78CA">
              <w:t>98.23</w:t>
            </w:r>
          </w:p>
        </w:tc>
      </w:tr>
    </w:tbl>
    <w:p w14:paraId="513B8060" w14:textId="77777777" w:rsidR="00333601" w:rsidRPr="00BE78CA" w:rsidRDefault="00333601" w:rsidP="00333601">
      <w:pPr>
        <w:pStyle w:val="Heading4"/>
        <w:spacing w:before="360"/>
      </w:pPr>
      <w:bookmarkStart w:id="2330" w:name="_Toc255466404"/>
      <w:bookmarkStart w:id="2331" w:name="_Toc261513211"/>
      <w:bookmarkStart w:id="2332" w:name="_Toc261513824"/>
      <w:bookmarkStart w:id="2333" w:name="_Toc280630295"/>
      <w:bookmarkEnd w:id="2309"/>
      <w:bookmarkEnd w:id="2310"/>
      <w:bookmarkEnd w:id="2311"/>
      <w:r w:rsidRPr="00BE78CA">
        <w:lastRenderedPageBreak/>
        <w:t>Land converted to grassland</w:t>
      </w:r>
      <w:bookmarkEnd w:id="2330"/>
      <w:bookmarkEnd w:id="2331"/>
      <w:bookmarkEnd w:id="2332"/>
      <w:bookmarkEnd w:id="2333"/>
      <w:r w:rsidRPr="00BE78CA">
        <w:t xml:space="preserve"> (CRF 4.C.2)</w:t>
      </w:r>
    </w:p>
    <w:p w14:paraId="72B8B0F3" w14:textId="77777777" w:rsidR="00333601" w:rsidRPr="00BE78CA" w:rsidRDefault="00333601" w:rsidP="00333601">
      <w:pPr>
        <w:pStyle w:val="Heading5"/>
        <w:spacing w:before="160"/>
      </w:pPr>
      <w:bookmarkStart w:id="2334" w:name="_Toc255466405"/>
      <w:bookmarkStart w:id="2335" w:name="_Toc261513212"/>
      <w:bookmarkStart w:id="2336" w:name="_Toc261513825"/>
      <w:bookmarkStart w:id="2337" w:name="_Toc280630296"/>
      <w:r w:rsidRPr="00BE78CA">
        <w:t>Living biomass</w:t>
      </w:r>
      <w:bookmarkEnd w:id="2334"/>
      <w:bookmarkEnd w:id="2335"/>
      <w:bookmarkEnd w:id="2336"/>
      <w:bookmarkEnd w:id="2337"/>
    </w:p>
    <w:p w14:paraId="32693E75" w14:textId="77777777" w:rsidR="00333601" w:rsidRPr="00BE78CA" w:rsidRDefault="00333601" w:rsidP="00333601">
      <w:pPr>
        <w:pStyle w:val="BodyText"/>
        <w:spacing w:before="80"/>
      </w:pPr>
      <w:r w:rsidRPr="00BE78CA">
        <w:t xml:space="preserve">New Zealand applies a Tier 1 method to calculate emissions for </w:t>
      </w:r>
      <w:r w:rsidRPr="00BE78CA">
        <w:rPr>
          <w:i/>
        </w:rPr>
        <w:t>Land converted to grassland</w:t>
      </w:r>
      <w:r w:rsidRPr="00BE78CA">
        <w:t xml:space="preserve">. The Tier 1 method multiplies the area of </w:t>
      </w:r>
      <w:r w:rsidRPr="00BE78CA">
        <w:rPr>
          <w:i/>
        </w:rPr>
        <w:t>Land converted to grassland</w:t>
      </w:r>
      <w:r w:rsidRPr="00BE78CA">
        <w:t xml:space="preserve"> annually by the carbon stock change per area for that type of conversion. </w:t>
      </w:r>
    </w:p>
    <w:p w14:paraId="0A8DE2CD" w14:textId="77777777" w:rsidR="00333601" w:rsidRPr="00BE78CA" w:rsidRDefault="00333601" w:rsidP="00333601">
      <w:pPr>
        <w:pStyle w:val="BodyText"/>
        <w:spacing w:before="100"/>
      </w:pPr>
      <w:r w:rsidRPr="00BE78CA">
        <w:t>The Tier 1 method assumes carbon in living biomass immediately after conversion is zero; that is, the land is cleared of all vegetation at conversion and is instantly oxidised. The emission factors for estimating the amount of biomass that is cleared when land at steady state is converted to another land use is shown in table 6.1.3. The Tier 1 method also includes changes in carbon stocks from one year of growth from the grassland category that land was converted to in the year conversion takes place, as outlined in equation 2.9 of the 2006 IPCC Guidelines (IPCC, 2006a).</w:t>
      </w:r>
    </w:p>
    <w:p w14:paraId="00429337" w14:textId="77777777" w:rsidR="00333601" w:rsidRPr="00BE78CA" w:rsidRDefault="00333601" w:rsidP="00333601">
      <w:pPr>
        <w:pStyle w:val="Heading5"/>
        <w:spacing w:before="160"/>
      </w:pPr>
      <w:bookmarkStart w:id="2338" w:name="_Toc255466406"/>
      <w:bookmarkStart w:id="2339" w:name="_Toc261513213"/>
      <w:bookmarkStart w:id="2340" w:name="_Toc261513826"/>
      <w:bookmarkStart w:id="2341" w:name="_Toc280630297"/>
      <w:r w:rsidRPr="00BE78CA">
        <w:t>Dead organic matter</w:t>
      </w:r>
      <w:bookmarkEnd w:id="2338"/>
      <w:bookmarkEnd w:id="2339"/>
      <w:bookmarkEnd w:id="2340"/>
      <w:bookmarkEnd w:id="2341"/>
    </w:p>
    <w:p w14:paraId="15165610" w14:textId="77777777" w:rsidR="00333601" w:rsidRPr="00BE78CA" w:rsidRDefault="00333601" w:rsidP="00333601">
      <w:pPr>
        <w:pStyle w:val="BodyText"/>
        <w:spacing w:before="80" w:after="100"/>
        <w:rPr>
          <w:spacing w:val="-2"/>
        </w:rPr>
      </w:pPr>
      <w:r w:rsidRPr="00BE78CA">
        <w:rPr>
          <w:spacing w:val="-2"/>
        </w:rPr>
        <w:t xml:space="preserve">For land conversion to high and low producing grassland, New Zealand reports only losses in dead organic matter. The losses are calculated based on the carbon in dead organic matter at the site prior to conversion to </w:t>
      </w:r>
      <w:r w:rsidRPr="00BE78CA">
        <w:rPr>
          <w:i/>
          <w:spacing w:val="-2"/>
        </w:rPr>
        <w:t>Grassland</w:t>
      </w:r>
      <w:r w:rsidRPr="00BE78CA">
        <w:rPr>
          <w:spacing w:val="-2"/>
        </w:rPr>
        <w:t>. It is assumed that, immediately after conversion, the carbon in the dead organic matter pool is zero (all carbon in dead organic matter prior to conversion is instantly oxidised in the year of conversion). New Zealand applies the Tier 1 default method to high and low producing grassland land uses, which assumes there is no dead wood or litter accumulating in land converted to grassland (IPCC, 2006a). Therefore, where there are no dead organic matter losses associated with the previous land use, the notation key NE (not estimated) is used in the CRF tables in accordance with Decision 24/CP.19 (UNFCCC, 2014).</w:t>
      </w:r>
    </w:p>
    <w:p w14:paraId="14F05652" w14:textId="77777777" w:rsidR="00333601" w:rsidRPr="00BE78CA" w:rsidRDefault="00333601" w:rsidP="00333601">
      <w:pPr>
        <w:pStyle w:val="BodyText"/>
        <w:spacing w:before="100" w:after="100"/>
      </w:pPr>
      <w:r w:rsidRPr="00BE78CA">
        <w:t>Where land is converted to grassland with woody biomass, dead organic matter accumulates to 0.65 tonnes C ha</w:t>
      </w:r>
      <w:r w:rsidRPr="00BE78CA">
        <w:rPr>
          <w:vertAlign w:val="superscript"/>
        </w:rPr>
        <w:t>–1</w:t>
      </w:r>
      <w:r w:rsidRPr="00BE78CA">
        <w:t xml:space="preserve"> (see table 6.6.3) over 20 years (the IPCC default period for land to reach steady state (IPCC, 2006a).</w:t>
      </w:r>
    </w:p>
    <w:p w14:paraId="632C339A" w14:textId="77777777" w:rsidR="00333601" w:rsidRPr="00BE78CA" w:rsidRDefault="00333601" w:rsidP="00333601">
      <w:pPr>
        <w:pStyle w:val="Heading5"/>
        <w:spacing w:before="160"/>
      </w:pPr>
      <w:bookmarkStart w:id="2342" w:name="_Toc255466407"/>
      <w:bookmarkStart w:id="2343" w:name="_Toc261513214"/>
      <w:bookmarkStart w:id="2344" w:name="_Toc261513827"/>
      <w:bookmarkStart w:id="2345" w:name="_Toc280630298"/>
      <w:bookmarkStart w:id="2346" w:name="_Toc139253972"/>
      <w:r w:rsidRPr="00BE78CA">
        <w:t>Soil organic carbon</w:t>
      </w:r>
      <w:bookmarkEnd w:id="2342"/>
      <w:bookmarkEnd w:id="2343"/>
      <w:bookmarkEnd w:id="2344"/>
      <w:bookmarkEnd w:id="2345"/>
    </w:p>
    <w:p w14:paraId="31C4869A" w14:textId="77777777" w:rsidR="00333601" w:rsidRPr="00BE78CA" w:rsidRDefault="00333601" w:rsidP="00333601">
      <w:pPr>
        <w:pStyle w:val="BodyText"/>
        <w:spacing w:before="80" w:after="100"/>
      </w:pPr>
      <w:r w:rsidRPr="00BE78CA">
        <w:t xml:space="preserve">Soil carbon stocks in </w:t>
      </w:r>
      <w:r w:rsidRPr="00BE78CA">
        <w:rPr>
          <w:i/>
        </w:rPr>
        <w:t>Land converted to grassland</w:t>
      </w:r>
      <w:r w:rsidRPr="00BE78CA">
        <w:t xml:space="preserve"> are estimated using a Tier 2 method for mineral soils and a Tier 1 method for organic soils (see section 6.3). In the absence of data on the rate of change specific to country and land use, the IPCC default of a linear change over a 20</w:t>
      </w:r>
      <w:r w:rsidRPr="00BE78CA">
        <w:noBreakHyphen/>
        <w:t xml:space="preserve">year period is used to estimate the change in SOC stocks between the original land use and the new land use. </w:t>
      </w:r>
    </w:p>
    <w:p w14:paraId="5B6C7DF6" w14:textId="77777777" w:rsidR="00333601" w:rsidRPr="00BE78CA" w:rsidRDefault="00333601" w:rsidP="00333601">
      <w:pPr>
        <w:pStyle w:val="BodyText"/>
        <w:spacing w:before="100" w:after="100"/>
      </w:pPr>
      <w:r w:rsidRPr="00BE78CA">
        <w:t xml:space="preserve">The IPCC default emission factors for organic soils under </w:t>
      </w:r>
      <w:r w:rsidRPr="00BE78CA">
        <w:rPr>
          <w:i/>
        </w:rPr>
        <w:t xml:space="preserve">Grassland </w:t>
      </w:r>
      <w:r w:rsidRPr="00BE78CA">
        <w:t xml:space="preserve">are also applied to </w:t>
      </w:r>
      <w:r w:rsidRPr="00BE78CA">
        <w:rPr>
          <w:i/>
        </w:rPr>
        <w:t>Land converted to grassland</w:t>
      </w:r>
      <w:r w:rsidRPr="00BE78CA">
        <w:t xml:space="preserve"> (IPCC, 2006a).</w:t>
      </w:r>
    </w:p>
    <w:p w14:paraId="6C293329" w14:textId="77777777" w:rsidR="00333601" w:rsidRPr="00BE78CA" w:rsidRDefault="00333601" w:rsidP="00333601">
      <w:pPr>
        <w:pStyle w:val="Heading3"/>
        <w:spacing w:before="240"/>
      </w:pPr>
      <w:bookmarkStart w:id="2347" w:name="_Toc255466410"/>
      <w:bookmarkStart w:id="2348" w:name="_Toc261513217"/>
      <w:bookmarkStart w:id="2349" w:name="_Toc261513830"/>
      <w:bookmarkStart w:id="2350" w:name="_Toc280630300"/>
      <w:r w:rsidRPr="00BE78CA">
        <w:t>6.6.3</w:t>
      </w:r>
      <w:r w:rsidRPr="00BE78CA">
        <w:tab/>
        <w:t>Uncertainties and time-series consistency</w:t>
      </w:r>
      <w:bookmarkEnd w:id="2346"/>
      <w:bookmarkEnd w:id="2347"/>
      <w:bookmarkEnd w:id="2348"/>
      <w:bookmarkEnd w:id="2349"/>
      <w:bookmarkEnd w:id="2350"/>
    </w:p>
    <w:p w14:paraId="039CA236" w14:textId="77777777" w:rsidR="00333601" w:rsidRPr="00BE78CA" w:rsidRDefault="00333601" w:rsidP="00333601">
      <w:pPr>
        <w:pStyle w:val="BodyText"/>
        <w:spacing w:before="100" w:after="100"/>
      </w:pPr>
      <w:r w:rsidRPr="00BE78CA">
        <w:t xml:space="preserve">The uncertainty in mapping </w:t>
      </w:r>
      <w:r w:rsidRPr="00BE78CA">
        <w:rPr>
          <w:i/>
        </w:rPr>
        <w:t>Grassland</w:t>
      </w:r>
      <w:r w:rsidRPr="00BE78CA">
        <w:t xml:space="preserve"> is ±8.0 per cent for high and low producing grassland, and ±83 per cent for grassland with woody biomass (table 6.6.5). Further details are given in section 6.2.5.</w:t>
      </w:r>
    </w:p>
    <w:p w14:paraId="2B079DE7" w14:textId="77777777" w:rsidR="00333601" w:rsidRPr="00BE78CA" w:rsidRDefault="00333601" w:rsidP="00333601">
      <w:pPr>
        <w:pStyle w:val="BodyText"/>
        <w:spacing w:before="100" w:after="100"/>
      </w:pPr>
      <w:r w:rsidRPr="00BE78CA">
        <w:t xml:space="preserve">New Zealand uses IPCC default values for biomass accumulation in high producing and low producing grassland. The uncertainty in these figures is given as </w:t>
      </w:r>
      <w:r w:rsidRPr="00BE78CA">
        <w:sym w:font="Symbol" w:char="F0B1"/>
      </w:r>
      <w:r w:rsidRPr="00BE78CA">
        <w:t>75 per cent (table 6.4, IPCC, 2006a). A New Zealand-specific value derived from the LUCAS national forest plot network is used for biomass accumulation in grassland with woody biomass. Grassland with woody biomass is a diverse land use; therefore, the IPCC default uncertainty value is used (Wakelin and Beets, unpublished).</w:t>
      </w:r>
    </w:p>
    <w:p w14:paraId="5E4167CE" w14:textId="77777777" w:rsidR="00333601" w:rsidRPr="00BE78CA" w:rsidRDefault="00333601" w:rsidP="00333601">
      <w:pPr>
        <w:pStyle w:val="Table"/>
      </w:pPr>
      <w:bookmarkStart w:id="2351" w:name="_Toc280630470"/>
      <w:bookmarkStart w:id="2352" w:name="_Toc310423427"/>
      <w:bookmarkStart w:id="2353" w:name="_Toc318362720"/>
      <w:bookmarkStart w:id="2354" w:name="_Toc342470782"/>
      <w:bookmarkStart w:id="2355" w:name="_Toc352505022"/>
      <w:bookmarkStart w:id="2356" w:name="_Toc378853311"/>
      <w:bookmarkStart w:id="2357" w:name="_Toc391024109"/>
      <w:bookmarkStart w:id="2358" w:name="_Toc410028852"/>
      <w:bookmarkStart w:id="2359" w:name="_Toc414531480"/>
      <w:bookmarkStart w:id="2360" w:name="_Toc443645393"/>
      <w:bookmarkStart w:id="2361" w:name="_Toc474914612"/>
      <w:bookmarkStart w:id="2362" w:name="_Toc481751576"/>
      <w:bookmarkStart w:id="2363" w:name="_Toc522010633"/>
      <w:bookmarkStart w:id="2364" w:name="_Toc5269538"/>
      <w:bookmarkStart w:id="2365" w:name="_Toc33529412"/>
      <w:bookmarkStart w:id="2366" w:name="_Toc36224618"/>
      <w:bookmarkStart w:id="2367" w:name="_Toc65243615"/>
      <w:bookmarkStart w:id="2368" w:name="_Toc68786505"/>
      <w:r w:rsidRPr="00BE78CA">
        <w:lastRenderedPageBreak/>
        <w:t>Table 6.6.5</w:t>
      </w:r>
      <w:r w:rsidRPr="00BE78CA">
        <w:tab/>
        <w:t>Uncertainty in New Zealand’s 2019 estimates for the Grassland category</w:t>
      </w:r>
      <w:bookmarkEnd w:id="2351"/>
      <w:bookmarkEnd w:id="2352"/>
      <w:bookmarkEnd w:id="2353"/>
      <w:bookmarkEnd w:id="2354"/>
      <w:r w:rsidRPr="00BE78CA">
        <w:br/>
        <w:t>(including land in transition)</w:t>
      </w:r>
      <w:bookmarkStart w:id="2369" w:name="_Toc139253973"/>
      <w:bookmarkStart w:id="2370" w:name="_Toc255466411"/>
      <w:bookmarkStart w:id="2371" w:name="_Toc261513218"/>
      <w:bookmarkStart w:id="2372" w:name="_Toc261513831"/>
      <w:bookmarkStart w:id="2373" w:name="_Toc280630301"/>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p>
    <w:tbl>
      <w:tblPr>
        <w:tblW w:w="8505" w:type="dxa"/>
        <w:tblLayout w:type="fixed"/>
        <w:tblLook w:val="04A0" w:firstRow="1" w:lastRow="0" w:firstColumn="1" w:lastColumn="0" w:noHBand="0" w:noVBand="1"/>
      </w:tblPr>
      <w:tblGrid>
        <w:gridCol w:w="2977"/>
        <w:gridCol w:w="1701"/>
        <w:gridCol w:w="1701"/>
        <w:gridCol w:w="2126"/>
      </w:tblGrid>
      <w:tr w:rsidR="00333601" w:rsidRPr="00BE78CA" w14:paraId="47ADFBDE" w14:textId="77777777" w:rsidTr="00872B70">
        <w:tc>
          <w:tcPr>
            <w:tcW w:w="2977" w:type="dxa"/>
            <w:tcBorders>
              <w:top w:val="single" w:sz="4" w:space="0" w:color="365F91"/>
            </w:tcBorders>
            <w:shd w:val="clear" w:color="auto" w:fill="365F91"/>
            <w:noWrap/>
            <w:hideMark/>
          </w:tcPr>
          <w:p w14:paraId="0E382F38" w14:textId="77777777" w:rsidR="00333601" w:rsidRPr="00BE78CA" w:rsidRDefault="00333601" w:rsidP="00C26084">
            <w:pPr>
              <w:pStyle w:val="TableTextBold"/>
              <w:keepNext/>
              <w:spacing w:after="50"/>
              <w:rPr>
                <w:noProof w:val="0"/>
                <w:color w:val="FFFFFF"/>
              </w:rPr>
            </w:pPr>
          </w:p>
        </w:tc>
        <w:tc>
          <w:tcPr>
            <w:tcW w:w="5528" w:type="dxa"/>
            <w:gridSpan w:val="3"/>
            <w:tcBorders>
              <w:top w:val="single" w:sz="4" w:space="0" w:color="365F91"/>
            </w:tcBorders>
            <w:shd w:val="clear" w:color="auto" w:fill="365F91"/>
            <w:noWrap/>
            <w:hideMark/>
          </w:tcPr>
          <w:p w14:paraId="1C78219B" w14:textId="77777777" w:rsidR="00333601" w:rsidRPr="00BE78CA" w:rsidRDefault="00333601" w:rsidP="00C26084">
            <w:pPr>
              <w:pStyle w:val="TableTextBold"/>
              <w:keepNext/>
              <w:spacing w:after="50"/>
              <w:jc w:val="center"/>
              <w:rPr>
                <w:noProof w:val="0"/>
                <w:color w:val="FFFFFF"/>
              </w:rPr>
            </w:pPr>
            <w:r w:rsidRPr="00BE78CA">
              <w:rPr>
                <w:noProof w:val="0"/>
                <w:color w:val="FFFFFF"/>
              </w:rPr>
              <w:t>Uncertainty at a 95% confidence interval</w:t>
            </w:r>
          </w:p>
        </w:tc>
      </w:tr>
      <w:tr w:rsidR="00333601" w:rsidRPr="00BE78CA" w14:paraId="78C1EDA5" w14:textId="77777777" w:rsidTr="00872B70">
        <w:tc>
          <w:tcPr>
            <w:tcW w:w="2977" w:type="dxa"/>
            <w:tcBorders>
              <w:bottom w:val="single" w:sz="4" w:space="0" w:color="2E74B5"/>
            </w:tcBorders>
            <w:shd w:val="clear" w:color="auto" w:fill="365F91"/>
            <w:noWrap/>
            <w:vAlign w:val="bottom"/>
            <w:hideMark/>
          </w:tcPr>
          <w:p w14:paraId="78A45534" w14:textId="77777777" w:rsidR="00333601" w:rsidRPr="00BE78CA" w:rsidRDefault="00333601" w:rsidP="00C26084">
            <w:pPr>
              <w:pStyle w:val="TableTextBold"/>
              <w:keepNext/>
              <w:spacing w:before="0" w:after="50"/>
              <w:rPr>
                <w:noProof w:val="0"/>
                <w:color w:val="FFFFFF"/>
              </w:rPr>
            </w:pPr>
            <w:r w:rsidRPr="00BE78CA">
              <w:rPr>
                <w:noProof w:val="0"/>
                <w:color w:val="FFFFFF"/>
              </w:rPr>
              <w:t>Land use</w:t>
            </w:r>
          </w:p>
        </w:tc>
        <w:tc>
          <w:tcPr>
            <w:tcW w:w="1701" w:type="dxa"/>
            <w:tcBorders>
              <w:bottom w:val="single" w:sz="4" w:space="0" w:color="2E74B5"/>
            </w:tcBorders>
            <w:shd w:val="clear" w:color="auto" w:fill="365F91"/>
            <w:noWrap/>
            <w:hideMark/>
          </w:tcPr>
          <w:p w14:paraId="536598C3" w14:textId="77777777" w:rsidR="00333601" w:rsidRPr="00BE78CA" w:rsidRDefault="00333601" w:rsidP="00C26084">
            <w:pPr>
              <w:pStyle w:val="TableTextBold"/>
              <w:keepNext/>
              <w:spacing w:before="0" w:after="50"/>
              <w:jc w:val="center"/>
              <w:rPr>
                <w:noProof w:val="0"/>
                <w:color w:val="FFFFFF"/>
              </w:rPr>
            </w:pPr>
            <w:r w:rsidRPr="00BE78CA">
              <w:rPr>
                <w:noProof w:val="0"/>
                <w:color w:val="FFFFFF"/>
              </w:rPr>
              <w:t>High producing (%)</w:t>
            </w:r>
          </w:p>
        </w:tc>
        <w:tc>
          <w:tcPr>
            <w:tcW w:w="1701" w:type="dxa"/>
            <w:tcBorders>
              <w:bottom w:val="single" w:sz="4" w:space="0" w:color="2E74B5"/>
            </w:tcBorders>
            <w:shd w:val="clear" w:color="auto" w:fill="365F91"/>
            <w:noWrap/>
            <w:hideMark/>
          </w:tcPr>
          <w:p w14:paraId="7BA247D4" w14:textId="77777777" w:rsidR="00333601" w:rsidRPr="00BE78CA" w:rsidRDefault="00333601" w:rsidP="00C26084">
            <w:pPr>
              <w:pStyle w:val="TableTextBold"/>
              <w:keepNext/>
              <w:spacing w:before="0" w:after="50"/>
              <w:jc w:val="center"/>
              <w:rPr>
                <w:noProof w:val="0"/>
                <w:color w:val="FFFFFF"/>
              </w:rPr>
            </w:pPr>
            <w:r w:rsidRPr="00BE78CA">
              <w:rPr>
                <w:noProof w:val="0"/>
                <w:color w:val="FFFFFF"/>
              </w:rPr>
              <w:t>Low producing (%)</w:t>
            </w:r>
          </w:p>
        </w:tc>
        <w:tc>
          <w:tcPr>
            <w:tcW w:w="2126" w:type="dxa"/>
            <w:tcBorders>
              <w:bottom w:val="single" w:sz="4" w:space="0" w:color="2E74B5"/>
            </w:tcBorders>
            <w:shd w:val="clear" w:color="auto" w:fill="365F91"/>
            <w:noWrap/>
            <w:hideMark/>
          </w:tcPr>
          <w:p w14:paraId="1BAA8BCD" w14:textId="77777777" w:rsidR="00333601" w:rsidRPr="00BE78CA" w:rsidRDefault="00333601" w:rsidP="00C26084">
            <w:pPr>
              <w:pStyle w:val="TableTextBold"/>
              <w:keepNext/>
              <w:spacing w:before="0" w:after="50"/>
              <w:jc w:val="center"/>
              <w:rPr>
                <w:noProof w:val="0"/>
                <w:color w:val="FFFFFF"/>
              </w:rPr>
            </w:pPr>
            <w:r w:rsidRPr="00BE78CA">
              <w:rPr>
                <w:noProof w:val="0"/>
                <w:color w:val="FFFFFF"/>
              </w:rPr>
              <w:t>With woody biomass (%)</w:t>
            </w:r>
          </w:p>
        </w:tc>
      </w:tr>
      <w:tr w:rsidR="00333601" w:rsidRPr="00BE78CA" w14:paraId="2A90F502" w14:textId="77777777" w:rsidTr="00872B70">
        <w:tc>
          <w:tcPr>
            <w:tcW w:w="2977" w:type="dxa"/>
            <w:tcBorders>
              <w:top w:val="single" w:sz="4" w:space="0" w:color="2E74B5"/>
              <w:bottom w:val="single" w:sz="4" w:space="0" w:color="365F91"/>
            </w:tcBorders>
            <w:noWrap/>
            <w:hideMark/>
          </w:tcPr>
          <w:p w14:paraId="42C6B94B" w14:textId="77777777" w:rsidR="00333601" w:rsidRPr="00BE78CA" w:rsidRDefault="00333601" w:rsidP="00C26084">
            <w:pPr>
              <w:pStyle w:val="TableTextBold"/>
              <w:keepNext/>
              <w:spacing w:before="50" w:after="50"/>
              <w:rPr>
                <w:noProof w:val="0"/>
              </w:rPr>
            </w:pPr>
            <w:r w:rsidRPr="00BE78CA">
              <w:rPr>
                <w:noProof w:val="0"/>
              </w:rPr>
              <w:t>Activity data</w:t>
            </w:r>
          </w:p>
        </w:tc>
        <w:tc>
          <w:tcPr>
            <w:tcW w:w="1701" w:type="dxa"/>
            <w:tcBorders>
              <w:top w:val="single" w:sz="4" w:space="0" w:color="2E74B5"/>
              <w:bottom w:val="single" w:sz="4" w:space="0" w:color="365F91"/>
            </w:tcBorders>
            <w:noWrap/>
            <w:hideMark/>
          </w:tcPr>
          <w:p w14:paraId="5CBF50E1" w14:textId="77777777" w:rsidR="00333601" w:rsidRPr="00BE78CA" w:rsidRDefault="00333601" w:rsidP="00C26084">
            <w:pPr>
              <w:pStyle w:val="TableTextBold"/>
              <w:tabs>
                <w:tab w:val="decimal" w:pos="723"/>
              </w:tabs>
              <w:spacing w:before="50" w:after="50"/>
              <w:jc w:val="center"/>
              <w:rPr>
                <w:noProof w:val="0"/>
              </w:rPr>
            </w:pPr>
          </w:p>
        </w:tc>
        <w:tc>
          <w:tcPr>
            <w:tcW w:w="1701" w:type="dxa"/>
            <w:tcBorders>
              <w:top w:val="single" w:sz="4" w:space="0" w:color="2E74B5"/>
              <w:bottom w:val="single" w:sz="4" w:space="0" w:color="365F91"/>
            </w:tcBorders>
            <w:noWrap/>
            <w:hideMark/>
          </w:tcPr>
          <w:p w14:paraId="328EB163" w14:textId="77777777" w:rsidR="00333601" w:rsidRPr="00BE78CA" w:rsidRDefault="00333601" w:rsidP="00C26084">
            <w:pPr>
              <w:pStyle w:val="TableTextBold"/>
              <w:tabs>
                <w:tab w:val="decimal" w:pos="723"/>
              </w:tabs>
              <w:spacing w:before="50" w:after="50"/>
              <w:jc w:val="center"/>
              <w:rPr>
                <w:noProof w:val="0"/>
              </w:rPr>
            </w:pPr>
          </w:p>
        </w:tc>
        <w:tc>
          <w:tcPr>
            <w:tcW w:w="2126" w:type="dxa"/>
            <w:tcBorders>
              <w:top w:val="single" w:sz="4" w:space="0" w:color="2E74B5"/>
              <w:bottom w:val="single" w:sz="4" w:space="0" w:color="365F91"/>
            </w:tcBorders>
            <w:noWrap/>
            <w:hideMark/>
          </w:tcPr>
          <w:p w14:paraId="27380127" w14:textId="77777777" w:rsidR="00333601" w:rsidRPr="00BE78CA" w:rsidRDefault="00333601" w:rsidP="00C26084">
            <w:pPr>
              <w:pStyle w:val="TableTextBold"/>
              <w:tabs>
                <w:tab w:val="decimal" w:pos="723"/>
              </w:tabs>
              <w:spacing w:before="50" w:after="50"/>
              <w:jc w:val="center"/>
              <w:rPr>
                <w:noProof w:val="0"/>
              </w:rPr>
            </w:pPr>
          </w:p>
        </w:tc>
      </w:tr>
      <w:tr w:rsidR="00333601" w:rsidRPr="00BE78CA" w14:paraId="5F6BA152" w14:textId="77777777" w:rsidTr="00872B70">
        <w:tc>
          <w:tcPr>
            <w:tcW w:w="2977" w:type="dxa"/>
            <w:tcBorders>
              <w:top w:val="single" w:sz="4" w:space="0" w:color="365F91"/>
              <w:bottom w:val="single" w:sz="4" w:space="0" w:color="365F91"/>
            </w:tcBorders>
            <w:noWrap/>
            <w:hideMark/>
          </w:tcPr>
          <w:p w14:paraId="16141E47" w14:textId="77777777" w:rsidR="00333601" w:rsidRPr="00BE78CA" w:rsidRDefault="00333601" w:rsidP="00C26084">
            <w:pPr>
              <w:pStyle w:val="TableText"/>
              <w:spacing w:before="50" w:after="50"/>
            </w:pPr>
            <w:r w:rsidRPr="00BE78CA">
              <w:t>Uncertainty in land area</w:t>
            </w:r>
          </w:p>
        </w:tc>
        <w:tc>
          <w:tcPr>
            <w:tcW w:w="1701" w:type="dxa"/>
            <w:tcBorders>
              <w:top w:val="single" w:sz="4" w:space="0" w:color="365F91"/>
              <w:bottom w:val="single" w:sz="4" w:space="0" w:color="365F91"/>
            </w:tcBorders>
            <w:noWrap/>
            <w:hideMark/>
          </w:tcPr>
          <w:p w14:paraId="1CDA4763" w14:textId="77777777" w:rsidR="00333601" w:rsidRPr="00BE78CA" w:rsidRDefault="00333601" w:rsidP="00C26084">
            <w:pPr>
              <w:pStyle w:val="TableText"/>
              <w:tabs>
                <w:tab w:val="decimal" w:pos="581"/>
                <w:tab w:val="decimal" w:pos="723"/>
              </w:tabs>
              <w:spacing w:before="50" w:after="50"/>
              <w:jc w:val="center"/>
            </w:pPr>
            <w:r w:rsidRPr="00BE78CA">
              <w:t>±8.0</w:t>
            </w:r>
          </w:p>
        </w:tc>
        <w:tc>
          <w:tcPr>
            <w:tcW w:w="1701" w:type="dxa"/>
            <w:tcBorders>
              <w:top w:val="single" w:sz="4" w:space="0" w:color="365F91"/>
              <w:bottom w:val="single" w:sz="4" w:space="0" w:color="365F91"/>
            </w:tcBorders>
            <w:noWrap/>
            <w:hideMark/>
          </w:tcPr>
          <w:p w14:paraId="7CF16047" w14:textId="77777777" w:rsidR="00333601" w:rsidRPr="00BE78CA" w:rsidRDefault="00333601" w:rsidP="00C26084">
            <w:pPr>
              <w:pStyle w:val="TableText"/>
              <w:tabs>
                <w:tab w:val="decimal" w:pos="581"/>
                <w:tab w:val="decimal" w:pos="723"/>
              </w:tabs>
              <w:spacing w:before="50" w:after="50"/>
              <w:jc w:val="center"/>
            </w:pPr>
            <w:r w:rsidRPr="00BE78CA">
              <w:t>±8.0</w:t>
            </w:r>
          </w:p>
        </w:tc>
        <w:tc>
          <w:tcPr>
            <w:tcW w:w="2126" w:type="dxa"/>
            <w:tcBorders>
              <w:top w:val="single" w:sz="4" w:space="0" w:color="365F91"/>
              <w:bottom w:val="single" w:sz="4" w:space="0" w:color="365F91"/>
            </w:tcBorders>
            <w:noWrap/>
            <w:hideMark/>
          </w:tcPr>
          <w:p w14:paraId="5307704A" w14:textId="77777777" w:rsidR="00333601" w:rsidRPr="00BE78CA" w:rsidRDefault="00333601" w:rsidP="00C26084">
            <w:pPr>
              <w:pStyle w:val="TableText"/>
              <w:tabs>
                <w:tab w:val="decimal" w:pos="581"/>
                <w:tab w:val="decimal" w:pos="723"/>
              </w:tabs>
              <w:spacing w:before="50" w:after="50"/>
              <w:jc w:val="center"/>
            </w:pPr>
            <w:r w:rsidRPr="00BE78CA">
              <w:t>±83.0</w:t>
            </w:r>
          </w:p>
        </w:tc>
      </w:tr>
      <w:tr w:rsidR="00333601" w:rsidRPr="00BE78CA" w14:paraId="37F7B387" w14:textId="77777777" w:rsidTr="00872B70">
        <w:tc>
          <w:tcPr>
            <w:tcW w:w="2977" w:type="dxa"/>
            <w:tcBorders>
              <w:top w:val="single" w:sz="4" w:space="0" w:color="365F91"/>
              <w:bottom w:val="single" w:sz="4" w:space="0" w:color="365F91"/>
            </w:tcBorders>
            <w:noWrap/>
            <w:hideMark/>
          </w:tcPr>
          <w:p w14:paraId="3F18A9D8" w14:textId="77777777" w:rsidR="00333601" w:rsidRPr="00BE78CA" w:rsidRDefault="00333601" w:rsidP="00C26084">
            <w:pPr>
              <w:pStyle w:val="TableTextBold"/>
              <w:spacing w:before="50" w:after="50"/>
              <w:rPr>
                <w:noProof w:val="0"/>
              </w:rPr>
            </w:pPr>
            <w:r w:rsidRPr="00BE78CA">
              <w:rPr>
                <w:noProof w:val="0"/>
              </w:rPr>
              <w:t>Emission factors</w:t>
            </w:r>
          </w:p>
        </w:tc>
        <w:tc>
          <w:tcPr>
            <w:tcW w:w="1701" w:type="dxa"/>
            <w:tcBorders>
              <w:top w:val="single" w:sz="4" w:space="0" w:color="365F91"/>
              <w:bottom w:val="single" w:sz="4" w:space="0" w:color="365F91"/>
            </w:tcBorders>
            <w:noWrap/>
            <w:hideMark/>
          </w:tcPr>
          <w:p w14:paraId="3038A241" w14:textId="77777777" w:rsidR="00333601" w:rsidRPr="00BE78CA" w:rsidRDefault="00333601" w:rsidP="00C26084">
            <w:pPr>
              <w:pStyle w:val="TableTextBold"/>
              <w:tabs>
                <w:tab w:val="decimal" w:pos="581"/>
                <w:tab w:val="decimal" w:pos="723"/>
              </w:tabs>
              <w:spacing w:before="50" w:after="50"/>
              <w:jc w:val="center"/>
              <w:rPr>
                <w:noProof w:val="0"/>
              </w:rPr>
            </w:pPr>
          </w:p>
        </w:tc>
        <w:tc>
          <w:tcPr>
            <w:tcW w:w="1701" w:type="dxa"/>
            <w:tcBorders>
              <w:top w:val="single" w:sz="4" w:space="0" w:color="365F91"/>
              <w:bottom w:val="single" w:sz="4" w:space="0" w:color="365F91"/>
            </w:tcBorders>
            <w:noWrap/>
            <w:hideMark/>
          </w:tcPr>
          <w:p w14:paraId="07B568D7" w14:textId="77777777" w:rsidR="00333601" w:rsidRPr="00BE78CA" w:rsidRDefault="00333601" w:rsidP="00C26084">
            <w:pPr>
              <w:pStyle w:val="TableTextBold"/>
              <w:tabs>
                <w:tab w:val="decimal" w:pos="581"/>
                <w:tab w:val="decimal" w:pos="723"/>
              </w:tabs>
              <w:spacing w:before="50" w:after="50"/>
              <w:jc w:val="center"/>
              <w:rPr>
                <w:noProof w:val="0"/>
              </w:rPr>
            </w:pPr>
          </w:p>
        </w:tc>
        <w:tc>
          <w:tcPr>
            <w:tcW w:w="2126" w:type="dxa"/>
            <w:tcBorders>
              <w:top w:val="single" w:sz="4" w:space="0" w:color="365F91"/>
              <w:bottom w:val="single" w:sz="4" w:space="0" w:color="365F91"/>
            </w:tcBorders>
            <w:noWrap/>
            <w:hideMark/>
          </w:tcPr>
          <w:p w14:paraId="5583AFAF" w14:textId="77777777" w:rsidR="00333601" w:rsidRPr="00BE78CA" w:rsidRDefault="00333601" w:rsidP="00C26084">
            <w:pPr>
              <w:pStyle w:val="TableTextBold"/>
              <w:tabs>
                <w:tab w:val="decimal" w:pos="581"/>
                <w:tab w:val="decimal" w:pos="723"/>
              </w:tabs>
              <w:spacing w:before="50" w:after="50"/>
              <w:jc w:val="center"/>
              <w:rPr>
                <w:noProof w:val="0"/>
              </w:rPr>
            </w:pPr>
          </w:p>
        </w:tc>
      </w:tr>
      <w:tr w:rsidR="00333601" w:rsidRPr="00BE78CA" w14:paraId="0FCA99C5" w14:textId="77777777" w:rsidTr="00872B70">
        <w:tc>
          <w:tcPr>
            <w:tcW w:w="2977" w:type="dxa"/>
            <w:tcBorders>
              <w:top w:val="single" w:sz="4" w:space="0" w:color="365F91"/>
              <w:bottom w:val="single" w:sz="4" w:space="0" w:color="365F91"/>
            </w:tcBorders>
            <w:noWrap/>
            <w:hideMark/>
          </w:tcPr>
          <w:p w14:paraId="34AF0B8C" w14:textId="77777777" w:rsidR="00333601" w:rsidRPr="00BE78CA" w:rsidRDefault="00333601" w:rsidP="00C26084">
            <w:pPr>
              <w:pStyle w:val="TableText"/>
              <w:spacing w:before="50" w:after="50"/>
            </w:pPr>
            <w:r w:rsidRPr="00BE78CA">
              <w:t>Uncertainty in biomass carbon stocks</w:t>
            </w:r>
          </w:p>
        </w:tc>
        <w:tc>
          <w:tcPr>
            <w:tcW w:w="1701" w:type="dxa"/>
            <w:tcBorders>
              <w:top w:val="single" w:sz="4" w:space="0" w:color="365F91"/>
              <w:bottom w:val="single" w:sz="4" w:space="0" w:color="365F91"/>
            </w:tcBorders>
            <w:noWrap/>
            <w:hideMark/>
          </w:tcPr>
          <w:p w14:paraId="3A5ADAF8" w14:textId="77777777" w:rsidR="00333601" w:rsidRPr="00BE78CA" w:rsidRDefault="00333601" w:rsidP="00C26084">
            <w:pPr>
              <w:pStyle w:val="TableText"/>
              <w:tabs>
                <w:tab w:val="decimal" w:pos="581"/>
                <w:tab w:val="decimal" w:pos="723"/>
              </w:tabs>
              <w:spacing w:before="50" w:after="50"/>
              <w:jc w:val="center"/>
            </w:pPr>
            <w:r w:rsidRPr="00BE78CA">
              <w:t>±75.0</w:t>
            </w:r>
          </w:p>
        </w:tc>
        <w:tc>
          <w:tcPr>
            <w:tcW w:w="1701" w:type="dxa"/>
            <w:tcBorders>
              <w:top w:val="single" w:sz="4" w:space="0" w:color="365F91"/>
              <w:bottom w:val="single" w:sz="4" w:space="0" w:color="365F91"/>
            </w:tcBorders>
            <w:noWrap/>
            <w:hideMark/>
          </w:tcPr>
          <w:p w14:paraId="4A8F1F27" w14:textId="77777777" w:rsidR="00333601" w:rsidRPr="00BE78CA" w:rsidRDefault="00333601" w:rsidP="00C26084">
            <w:pPr>
              <w:pStyle w:val="TableText"/>
              <w:tabs>
                <w:tab w:val="decimal" w:pos="581"/>
                <w:tab w:val="decimal" w:pos="723"/>
              </w:tabs>
              <w:spacing w:before="50" w:after="50"/>
              <w:jc w:val="center"/>
            </w:pPr>
            <w:r w:rsidRPr="00BE78CA">
              <w:t>±75.0</w:t>
            </w:r>
          </w:p>
        </w:tc>
        <w:tc>
          <w:tcPr>
            <w:tcW w:w="2126" w:type="dxa"/>
            <w:tcBorders>
              <w:top w:val="single" w:sz="4" w:space="0" w:color="365F91"/>
              <w:bottom w:val="single" w:sz="4" w:space="0" w:color="365F91"/>
            </w:tcBorders>
            <w:noWrap/>
            <w:hideMark/>
          </w:tcPr>
          <w:p w14:paraId="6FAB0ACF" w14:textId="77777777" w:rsidR="00333601" w:rsidRPr="00BE78CA" w:rsidRDefault="00333601" w:rsidP="00C26084">
            <w:pPr>
              <w:pStyle w:val="TableText"/>
              <w:tabs>
                <w:tab w:val="decimal" w:pos="581"/>
                <w:tab w:val="decimal" w:pos="723"/>
              </w:tabs>
              <w:spacing w:before="50" w:after="50"/>
              <w:jc w:val="center"/>
            </w:pPr>
            <w:r w:rsidRPr="00BE78CA">
              <w:t>±75.0</w:t>
            </w:r>
          </w:p>
        </w:tc>
      </w:tr>
      <w:tr w:rsidR="00333601" w:rsidRPr="00BE78CA" w14:paraId="4BD7D9C2" w14:textId="77777777" w:rsidTr="00872B70">
        <w:tc>
          <w:tcPr>
            <w:tcW w:w="2977" w:type="dxa"/>
            <w:tcBorders>
              <w:top w:val="single" w:sz="4" w:space="0" w:color="365F91"/>
              <w:bottom w:val="single" w:sz="4" w:space="0" w:color="365F91"/>
            </w:tcBorders>
            <w:noWrap/>
            <w:hideMark/>
          </w:tcPr>
          <w:p w14:paraId="6A79C3B3" w14:textId="77777777" w:rsidR="00333601" w:rsidRPr="00BE78CA" w:rsidRDefault="00333601" w:rsidP="00C26084">
            <w:pPr>
              <w:pStyle w:val="TableText"/>
              <w:spacing w:before="50" w:after="50"/>
            </w:pPr>
            <w:r w:rsidRPr="00BE78CA">
              <w:t>Uncertainty in soil carbon stocks</w:t>
            </w:r>
          </w:p>
        </w:tc>
        <w:tc>
          <w:tcPr>
            <w:tcW w:w="1701" w:type="dxa"/>
            <w:tcBorders>
              <w:top w:val="single" w:sz="4" w:space="0" w:color="365F91"/>
              <w:bottom w:val="single" w:sz="4" w:space="0" w:color="365F91"/>
            </w:tcBorders>
            <w:noWrap/>
            <w:hideMark/>
          </w:tcPr>
          <w:p w14:paraId="5C559F83" w14:textId="77777777" w:rsidR="00333601" w:rsidRPr="00BE78CA" w:rsidRDefault="00333601" w:rsidP="00C26084">
            <w:pPr>
              <w:pStyle w:val="TableText"/>
              <w:tabs>
                <w:tab w:val="decimal" w:pos="581"/>
                <w:tab w:val="decimal" w:pos="723"/>
              </w:tabs>
              <w:spacing w:before="50" w:after="50"/>
              <w:jc w:val="center"/>
            </w:pPr>
            <w:r w:rsidRPr="00BE78CA">
              <w:t>±5.8</w:t>
            </w:r>
          </w:p>
        </w:tc>
        <w:tc>
          <w:tcPr>
            <w:tcW w:w="1701" w:type="dxa"/>
            <w:tcBorders>
              <w:top w:val="single" w:sz="4" w:space="0" w:color="365F91"/>
              <w:bottom w:val="single" w:sz="4" w:space="0" w:color="365F91"/>
            </w:tcBorders>
            <w:noWrap/>
            <w:hideMark/>
          </w:tcPr>
          <w:p w14:paraId="5BD55D99" w14:textId="77777777" w:rsidR="00333601" w:rsidRPr="00BE78CA" w:rsidRDefault="00333601" w:rsidP="00C26084">
            <w:pPr>
              <w:pStyle w:val="TableText"/>
              <w:tabs>
                <w:tab w:val="decimal" w:pos="581"/>
                <w:tab w:val="decimal" w:pos="723"/>
              </w:tabs>
              <w:spacing w:before="50" w:after="50"/>
              <w:jc w:val="center"/>
            </w:pPr>
            <w:r w:rsidRPr="00BE78CA">
              <w:t>±7.3</w:t>
            </w:r>
          </w:p>
        </w:tc>
        <w:tc>
          <w:tcPr>
            <w:tcW w:w="2126" w:type="dxa"/>
            <w:tcBorders>
              <w:top w:val="single" w:sz="4" w:space="0" w:color="365F91"/>
              <w:bottom w:val="single" w:sz="4" w:space="0" w:color="365F91"/>
            </w:tcBorders>
            <w:noWrap/>
            <w:hideMark/>
          </w:tcPr>
          <w:p w14:paraId="23749DD6" w14:textId="77777777" w:rsidR="00333601" w:rsidRPr="00BE78CA" w:rsidRDefault="00333601" w:rsidP="00C26084">
            <w:pPr>
              <w:pStyle w:val="TableText"/>
              <w:tabs>
                <w:tab w:val="decimal" w:pos="581"/>
                <w:tab w:val="decimal" w:pos="723"/>
              </w:tabs>
              <w:spacing w:before="50" w:after="50"/>
              <w:jc w:val="center"/>
            </w:pPr>
            <w:r w:rsidRPr="00BE78CA">
              <w:t>±7.3</w:t>
            </w:r>
          </w:p>
        </w:tc>
      </w:tr>
      <w:tr w:rsidR="00333601" w:rsidRPr="00BE78CA" w14:paraId="7F30FE41" w14:textId="77777777" w:rsidTr="00872B70">
        <w:tc>
          <w:tcPr>
            <w:tcW w:w="2977" w:type="dxa"/>
            <w:tcBorders>
              <w:top w:val="single" w:sz="4" w:space="0" w:color="365F91"/>
              <w:bottom w:val="single" w:sz="4" w:space="0" w:color="365F91"/>
            </w:tcBorders>
            <w:noWrap/>
            <w:hideMark/>
          </w:tcPr>
          <w:p w14:paraId="32C9B81A" w14:textId="77777777" w:rsidR="00333601" w:rsidRPr="00BE78CA" w:rsidRDefault="00333601" w:rsidP="00C26084">
            <w:pPr>
              <w:pStyle w:val="Tableboldblue"/>
              <w:spacing w:before="50" w:after="50"/>
              <w:jc w:val="right"/>
            </w:pPr>
            <w:r w:rsidRPr="00BE78CA">
              <w:t>Uncertainty introduced into net emissions for LULUCF</w:t>
            </w:r>
          </w:p>
        </w:tc>
        <w:tc>
          <w:tcPr>
            <w:tcW w:w="1701" w:type="dxa"/>
            <w:tcBorders>
              <w:top w:val="single" w:sz="4" w:space="0" w:color="365F91"/>
              <w:bottom w:val="single" w:sz="4" w:space="0" w:color="365F91"/>
            </w:tcBorders>
            <w:noWrap/>
            <w:hideMark/>
          </w:tcPr>
          <w:p w14:paraId="7FA88200" w14:textId="77777777" w:rsidR="00333601" w:rsidRPr="00BE78CA" w:rsidRDefault="00333601" w:rsidP="00C26084">
            <w:pPr>
              <w:pStyle w:val="Tableboldblue"/>
              <w:spacing w:before="50" w:after="50"/>
              <w:jc w:val="center"/>
            </w:pPr>
            <w:r w:rsidRPr="00BE78CA">
              <w:t>±4.2</w:t>
            </w:r>
          </w:p>
        </w:tc>
        <w:tc>
          <w:tcPr>
            <w:tcW w:w="1701" w:type="dxa"/>
            <w:tcBorders>
              <w:top w:val="single" w:sz="4" w:space="0" w:color="365F91"/>
              <w:bottom w:val="single" w:sz="4" w:space="0" w:color="365F91"/>
            </w:tcBorders>
            <w:noWrap/>
            <w:hideMark/>
          </w:tcPr>
          <w:p w14:paraId="7E9041EB" w14:textId="77777777" w:rsidR="00333601" w:rsidRPr="00BE78CA" w:rsidRDefault="00333601" w:rsidP="00C26084">
            <w:pPr>
              <w:pStyle w:val="Tableboldblue"/>
              <w:spacing w:before="50" w:after="50"/>
              <w:jc w:val="center"/>
            </w:pPr>
            <w:r w:rsidRPr="00BE78CA">
              <w:t>±1.0</w:t>
            </w:r>
          </w:p>
        </w:tc>
        <w:tc>
          <w:tcPr>
            <w:tcW w:w="2126" w:type="dxa"/>
            <w:tcBorders>
              <w:top w:val="single" w:sz="4" w:space="0" w:color="365F91"/>
              <w:bottom w:val="single" w:sz="4" w:space="0" w:color="365F91"/>
            </w:tcBorders>
            <w:noWrap/>
            <w:hideMark/>
          </w:tcPr>
          <w:p w14:paraId="7F3DC163" w14:textId="77777777" w:rsidR="00333601" w:rsidRPr="00BE78CA" w:rsidRDefault="00333601" w:rsidP="00C26084">
            <w:pPr>
              <w:pStyle w:val="Tableboldblue"/>
              <w:spacing w:before="50" w:after="50"/>
              <w:jc w:val="center"/>
            </w:pPr>
            <w:r w:rsidRPr="00BE78CA">
              <w:t>±0.2</w:t>
            </w:r>
          </w:p>
        </w:tc>
      </w:tr>
    </w:tbl>
    <w:p w14:paraId="1596F73B" w14:textId="77777777" w:rsidR="00333601" w:rsidRPr="00BE78CA" w:rsidRDefault="00333601" w:rsidP="00333601">
      <w:pPr>
        <w:pStyle w:val="Noteundertable"/>
      </w:pPr>
      <w:r w:rsidRPr="00BE78CA">
        <w:rPr>
          <w:b/>
        </w:rPr>
        <w:t>Note:</w:t>
      </w:r>
      <w:r w:rsidRPr="00BE78CA">
        <w:tab/>
        <w:t>Uncertainty in biomass carbon stocks for grassland with woody biomass is estimated using the IPCC default uncertainty value because an independent estimate of uncertainty for this category is not available.</w:t>
      </w:r>
    </w:p>
    <w:p w14:paraId="5B975066" w14:textId="77777777" w:rsidR="00333601" w:rsidRPr="00BE78CA" w:rsidRDefault="00333601" w:rsidP="00333601">
      <w:pPr>
        <w:pStyle w:val="Heading3"/>
        <w:spacing w:before="280"/>
      </w:pPr>
      <w:r w:rsidRPr="00BE78CA">
        <w:t>6.6.4</w:t>
      </w:r>
      <w:r w:rsidRPr="00BE78CA">
        <w:tab/>
        <w:t>Category-specific QA/QC and verification</w:t>
      </w:r>
      <w:bookmarkEnd w:id="2369"/>
      <w:bookmarkEnd w:id="2370"/>
      <w:bookmarkEnd w:id="2371"/>
      <w:bookmarkEnd w:id="2372"/>
      <w:bookmarkEnd w:id="2373"/>
    </w:p>
    <w:p w14:paraId="56F43B36" w14:textId="77777777" w:rsidR="00333601" w:rsidRPr="00BE78CA" w:rsidRDefault="00333601" w:rsidP="00333601">
      <w:pPr>
        <w:pStyle w:val="BodyText"/>
        <w:spacing w:before="100" w:after="100"/>
      </w:pPr>
      <w:bookmarkStart w:id="2374" w:name="_Toc139253974"/>
      <w:r w:rsidRPr="00BE78CA">
        <w:t xml:space="preserve">Carbon dioxide emissions from the </w:t>
      </w:r>
      <w:r w:rsidRPr="00BE78CA">
        <w:rPr>
          <w:i/>
        </w:rPr>
        <w:t>Grassland remaining grassland</w:t>
      </w:r>
      <w:r w:rsidRPr="00BE78CA">
        <w:t xml:space="preserve"> and </w:t>
      </w:r>
      <w:r w:rsidRPr="00BE78CA">
        <w:rPr>
          <w:i/>
        </w:rPr>
        <w:t>Land converted to grassland</w:t>
      </w:r>
      <w:r w:rsidRPr="00BE78CA">
        <w:t xml:space="preserve"> categories are key categories (level and trend). In the preparation of this inventory, the data for these emissions underwent Tier 1 quality checks.</w:t>
      </w:r>
    </w:p>
    <w:p w14:paraId="72905E81" w14:textId="77777777" w:rsidR="00333601" w:rsidRPr="00BE78CA" w:rsidRDefault="00333601" w:rsidP="00333601">
      <w:pPr>
        <w:pStyle w:val="Heading3"/>
        <w:spacing w:before="280"/>
      </w:pPr>
      <w:bookmarkStart w:id="2375" w:name="_Toc255466412"/>
      <w:bookmarkStart w:id="2376" w:name="_Toc261513219"/>
      <w:bookmarkStart w:id="2377" w:name="_Toc261513832"/>
      <w:bookmarkStart w:id="2378" w:name="_Toc280630302"/>
      <w:r w:rsidRPr="00BE78CA">
        <w:t>6.6.5</w:t>
      </w:r>
      <w:r w:rsidRPr="00BE78CA">
        <w:tab/>
        <w:t>Category-specific recalculations</w:t>
      </w:r>
      <w:bookmarkEnd w:id="2374"/>
      <w:bookmarkEnd w:id="2375"/>
      <w:bookmarkEnd w:id="2376"/>
      <w:bookmarkEnd w:id="2377"/>
      <w:bookmarkEnd w:id="2378"/>
    </w:p>
    <w:p w14:paraId="27867D8A" w14:textId="77777777" w:rsidR="00333601" w:rsidRPr="00BE78CA" w:rsidRDefault="00333601" w:rsidP="00333601">
      <w:pPr>
        <w:pStyle w:val="BodyText"/>
      </w:pPr>
      <w:bookmarkStart w:id="2379" w:name="_Toc139253975"/>
      <w:r w:rsidRPr="00BE78CA">
        <w:t>The impact of recalculations on net CO</w:t>
      </w:r>
      <w:r w:rsidRPr="00BE78CA">
        <w:rPr>
          <w:vertAlign w:val="subscript"/>
        </w:rPr>
        <w:t>2</w:t>
      </w:r>
      <w:r w:rsidRPr="00BE78CA">
        <w:t xml:space="preserve">-e emission estimates for the </w:t>
      </w:r>
      <w:r w:rsidRPr="00BE78CA">
        <w:rPr>
          <w:i/>
        </w:rPr>
        <w:t>Grassland</w:t>
      </w:r>
      <w:r w:rsidRPr="00BE78CA">
        <w:t xml:space="preserve"> category is shown in table 6.6.6. </w:t>
      </w:r>
    </w:p>
    <w:p w14:paraId="6D8AE894" w14:textId="77777777" w:rsidR="00333601" w:rsidRPr="00BE78CA" w:rsidRDefault="00333601" w:rsidP="00333601">
      <w:pPr>
        <w:pStyle w:val="Table"/>
      </w:pPr>
      <w:bookmarkStart w:id="2380" w:name="_Toc310423428"/>
      <w:bookmarkStart w:id="2381" w:name="_Toc318362721"/>
      <w:bookmarkStart w:id="2382" w:name="_Toc342470783"/>
      <w:bookmarkStart w:id="2383" w:name="_Toc352505023"/>
      <w:bookmarkStart w:id="2384" w:name="_Toc378853312"/>
      <w:bookmarkStart w:id="2385" w:name="_Toc391024110"/>
      <w:bookmarkStart w:id="2386" w:name="_Toc410028853"/>
      <w:bookmarkStart w:id="2387" w:name="_Toc414531481"/>
      <w:bookmarkStart w:id="2388" w:name="_Toc443645394"/>
      <w:bookmarkStart w:id="2389" w:name="_Toc474914613"/>
      <w:bookmarkStart w:id="2390" w:name="_Toc481751577"/>
      <w:bookmarkStart w:id="2391" w:name="_Toc522010634"/>
      <w:bookmarkStart w:id="2392" w:name="_Toc5269539"/>
      <w:bookmarkStart w:id="2393" w:name="_Toc33529413"/>
      <w:bookmarkStart w:id="2394" w:name="_Toc36224619"/>
      <w:bookmarkStart w:id="2395" w:name="_Toc65243616"/>
      <w:bookmarkStart w:id="2396" w:name="_Toc68786506"/>
      <w:r w:rsidRPr="00BE78CA">
        <w:t>Table 6.6.6</w:t>
      </w:r>
      <w:r w:rsidRPr="00BE78CA">
        <w:tab/>
        <w:t>Recalculations of New Zealand’s net emissions from the Grassland category in 1990 and</w:t>
      </w:r>
      <w:bookmarkEnd w:id="2380"/>
      <w:bookmarkEnd w:id="2381"/>
      <w:bookmarkEnd w:id="2382"/>
      <w:bookmarkEnd w:id="2383"/>
      <w:bookmarkEnd w:id="2384"/>
      <w:bookmarkEnd w:id="2385"/>
      <w:r w:rsidRPr="00BE78CA">
        <w:t> </w:t>
      </w:r>
      <w:bookmarkEnd w:id="2386"/>
      <w:bookmarkEnd w:id="2387"/>
      <w:bookmarkEnd w:id="2388"/>
      <w:r w:rsidRPr="00BE78CA">
        <w:t>201</w:t>
      </w:r>
      <w:bookmarkEnd w:id="2389"/>
      <w:bookmarkEnd w:id="2390"/>
      <w:bookmarkEnd w:id="2391"/>
      <w:bookmarkEnd w:id="2392"/>
      <w:r w:rsidRPr="00BE78CA">
        <w:t>8</w:t>
      </w:r>
      <w:bookmarkEnd w:id="2393"/>
      <w:bookmarkEnd w:id="2394"/>
      <w:bookmarkEnd w:id="2395"/>
      <w:bookmarkEnd w:id="2396"/>
    </w:p>
    <w:tbl>
      <w:tblPr>
        <w:tblW w:w="8505" w:type="dxa"/>
        <w:tblLayout w:type="fixed"/>
        <w:tblLook w:val="04A0" w:firstRow="1" w:lastRow="0" w:firstColumn="1" w:lastColumn="0" w:noHBand="0" w:noVBand="1"/>
      </w:tblPr>
      <w:tblGrid>
        <w:gridCol w:w="1203"/>
        <w:gridCol w:w="1825"/>
        <w:gridCol w:w="1825"/>
        <w:gridCol w:w="1825"/>
        <w:gridCol w:w="1827"/>
      </w:tblGrid>
      <w:tr w:rsidR="00333601" w:rsidRPr="00BE78CA" w14:paraId="5F85D36F" w14:textId="77777777" w:rsidTr="00872B70">
        <w:tc>
          <w:tcPr>
            <w:tcW w:w="1203" w:type="dxa"/>
            <w:vMerge w:val="restart"/>
            <w:tcBorders>
              <w:bottom w:val="single" w:sz="4" w:space="0" w:color="365F91"/>
            </w:tcBorders>
            <w:shd w:val="clear" w:color="auto" w:fill="365F91"/>
            <w:vAlign w:val="bottom"/>
          </w:tcPr>
          <w:p w14:paraId="0509609E" w14:textId="77777777" w:rsidR="00333601" w:rsidRPr="00BE78CA" w:rsidRDefault="00333601" w:rsidP="00C26084">
            <w:pPr>
              <w:pStyle w:val="TableTextBold"/>
              <w:keepNext/>
              <w:spacing w:before="50" w:after="50"/>
              <w:rPr>
                <w:noProof w:val="0"/>
                <w:color w:val="FFFFFF"/>
              </w:rPr>
            </w:pPr>
            <w:r w:rsidRPr="00BE78CA">
              <w:rPr>
                <w:noProof w:val="0"/>
                <w:color w:val="FFFFFF"/>
              </w:rPr>
              <w:t>Year</w:t>
            </w:r>
          </w:p>
        </w:tc>
        <w:tc>
          <w:tcPr>
            <w:tcW w:w="3650" w:type="dxa"/>
            <w:gridSpan w:val="2"/>
            <w:tcBorders>
              <w:top w:val="single" w:sz="4" w:space="0" w:color="365F91"/>
            </w:tcBorders>
            <w:shd w:val="clear" w:color="auto" w:fill="365F91"/>
            <w:noWrap/>
            <w:vAlign w:val="bottom"/>
          </w:tcPr>
          <w:p w14:paraId="53CC41C6" w14:textId="77777777" w:rsidR="00333601" w:rsidRPr="00BE78CA" w:rsidRDefault="00333601" w:rsidP="00C26084">
            <w:pPr>
              <w:pStyle w:val="TableTextBold"/>
              <w:keepNext/>
              <w:spacing w:after="0"/>
              <w:jc w:val="center"/>
              <w:rPr>
                <w:noProof w:val="0"/>
                <w:color w:val="FFFFFF"/>
              </w:rPr>
            </w:pPr>
            <w:r w:rsidRPr="00BE78CA">
              <w:rPr>
                <w:noProof w:val="0"/>
                <w:color w:val="FFFFFF"/>
              </w:rPr>
              <w:t>Net emissions (kt CO</w:t>
            </w:r>
            <w:r w:rsidRPr="00BE78CA">
              <w:rPr>
                <w:noProof w:val="0"/>
                <w:color w:val="FFFFFF"/>
                <w:vertAlign w:val="subscript"/>
              </w:rPr>
              <w:t>2</w:t>
            </w:r>
            <w:r w:rsidRPr="00BE78CA">
              <w:rPr>
                <w:noProof w:val="0"/>
                <w:color w:val="FFFFFF"/>
              </w:rPr>
              <w:t>-e)</w:t>
            </w:r>
          </w:p>
        </w:tc>
        <w:tc>
          <w:tcPr>
            <w:tcW w:w="3652" w:type="dxa"/>
            <w:gridSpan w:val="2"/>
            <w:tcBorders>
              <w:top w:val="single" w:sz="4" w:space="0" w:color="365F91"/>
            </w:tcBorders>
            <w:shd w:val="clear" w:color="auto" w:fill="365F91"/>
            <w:vAlign w:val="bottom"/>
          </w:tcPr>
          <w:p w14:paraId="5E04217E" w14:textId="77777777" w:rsidR="00333601" w:rsidRPr="00BE78CA" w:rsidRDefault="00333601" w:rsidP="00C26084">
            <w:pPr>
              <w:pStyle w:val="TableTextBold"/>
              <w:keepNext/>
              <w:spacing w:after="0"/>
              <w:jc w:val="center"/>
              <w:rPr>
                <w:noProof w:val="0"/>
                <w:color w:val="FFFFFF"/>
              </w:rPr>
            </w:pPr>
            <w:r w:rsidRPr="00BE78CA">
              <w:rPr>
                <w:noProof w:val="0"/>
                <w:color w:val="FFFFFF"/>
              </w:rPr>
              <w:t>Change from the 2020 submission</w:t>
            </w:r>
          </w:p>
        </w:tc>
      </w:tr>
      <w:tr w:rsidR="00333601" w:rsidRPr="00BE78CA" w14:paraId="4A7756DF" w14:textId="77777777" w:rsidTr="00872B70">
        <w:tc>
          <w:tcPr>
            <w:tcW w:w="1203" w:type="dxa"/>
            <w:vMerge/>
            <w:tcBorders>
              <w:bottom w:val="single" w:sz="4" w:space="0" w:color="365F91"/>
            </w:tcBorders>
            <w:shd w:val="clear" w:color="auto" w:fill="365F91"/>
            <w:vAlign w:val="bottom"/>
          </w:tcPr>
          <w:p w14:paraId="2C0D4269" w14:textId="77777777" w:rsidR="00333601" w:rsidRPr="00BE78CA" w:rsidRDefault="00333601" w:rsidP="00C26084">
            <w:pPr>
              <w:pStyle w:val="TableTextBold"/>
              <w:keepNext/>
              <w:spacing w:before="50" w:after="50"/>
              <w:jc w:val="center"/>
              <w:rPr>
                <w:noProof w:val="0"/>
                <w:color w:val="FFFFFF"/>
              </w:rPr>
            </w:pPr>
          </w:p>
        </w:tc>
        <w:tc>
          <w:tcPr>
            <w:tcW w:w="1825" w:type="dxa"/>
            <w:tcBorders>
              <w:bottom w:val="single" w:sz="4" w:space="0" w:color="365F91"/>
            </w:tcBorders>
            <w:shd w:val="clear" w:color="auto" w:fill="365F91"/>
            <w:vAlign w:val="bottom"/>
          </w:tcPr>
          <w:p w14:paraId="13B97E01" w14:textId="77777777" w:rsidR="00333601" w:rsidRPr="00BE78CA" w:rsidRDefault="00333601" w:rsidP="00C26084">
            <w:pPr>
              <w:pStyle w:val="TableTextBold"/>
              <w:keepNext/>
              <w:spacing w:before="50" w:after="50"/>
              <w:jc w:val="center"/>
              <w:rPr>
                <w:noProof w:val="0"/>
                <w:color w:val="FFFFFF"/>
              </w:rPr>
            </w:pPr>
            <w:r w:rsidRPr="00BE78CA">
              <w:rPr>
                <w:noProof w:val="0"/>
                <w:color w:val="FFFFFF"/>
              </w:rPr>
              <w:t>2020 submission</w:t>
            </w:r>
          </w:p>
        </w:tc>
        <w:tc>
          <w:tcPr>
            <w:tcW w:w="1825" w:type="dxa"/>
            <w:tcBorders>
              <w:bottom w:val="single" w:sz="4" w:space="0" w:color="365F91"/>
            </w:tcBorders>
            <w:shd w:val="clear" w:color="auto" w:fill="365F91"/>
            <w:vAlign w:val="bottom"/>
          </w:tcPr>
          <w:p w14:paraId="4E23A742" w14:textId="77777777" w:rsidR="00333601" w:rsidRPr="00BE78CA" w:rsidRDefault="00333601" w:rsidP="00C26084">
            <w:pPr>
              <w:pStyle w:val="TableTextBold"/>
              <w:keepNext/>
              <w:spacing w:before="50" w:after="50"/>
              <w:jc w:val="center"/>
              <w:rPr>
                <w:noProof w:val="0"/>
                <w:color w:val="FFFFFF"/>
              </w:rPr>
            </w:pPr>
            <w:r w:rsidRPr="00BE78CA">
              <w:rPr>
                <w:noProof w:val="0"/>
                <w:color w:val="FFFFFF"/>
              </w:rPr>
              <w:t>2021 submission</w:t>
            </w:r>
          </w:p>
        </w:tc>
        <w:tc>
          <w:tcPr>
            <w:tcW w:w="1825" w:type="dxa"/>
            <w:tcBorders>
              <w:bottom w:val="single" w:sz="4" w:space="0" w:color="365F91"/>
            </w:tcBorders>
            <w:shd w:val="clear" w:color="auto" w:fill="365F91"/>
            <w:vAlign w:val="bottom"/>
          </w:tcPr>
          <w:p w14:paraId="48D45FF9" w14:textId="77777777" w:rsidR="00333601" w:rsidRPr="00BE78CA" w:rsidRDefault="00333601" w:rsidP="00C26084">
            <w:pPr>
              <w:pStyle w:val="TableTextBold"/>
              <w:keepNext/>
              <w:spacing w:before="50" w:after="50"/>
              <w:jc w:val="center"/>
              <w:rPr>
                <w:noProof w:val="0"/>
                <w:color w:val="FFFFFF"/>
              </w:rPr>
            </w:pPr>
            <w:r w:rsidRPr="00BE78CA">
              <w:rPr>
                <w:noProof w:val="0"/>
                <w:color w:val="FFFFFF"/>
              </w:rPr>
              <w:t>(kt CO</w:t>
            </w:r>
            <w:r w:rsidRPr="00BE78CA">
              <w:rPr>
                <w:noProof w:val="0"/>
                <w:color w:val="FFFFFF"/>
                <w:vertAlign w:val="subscript"/>
              </w:rPr>
              <w:t>2</w:t>
            </w:r>
            <w:r w:rsidRPr="00BE78CA">
              <w:rPr>
                <w:noProof w:val="0"/>
                <w:color w:val="FFFFFF"/>
              </w:rPr>
              <w:t>-e)</w:t>
            </w:r>
          </w:p>
        </w:tc>
        <w:tc>
          <w:tcPr>
            <w:tcW w:w="1827" w:type="dxa"/>
            <w:tcBorders>
              <w:bottom w:val="single" w:sz="4" w:space="0" w:color="365F91"/>
            </w:tcBorders>
            <w:shd w:val="clear" w:color="auto" w:fill="365F91"/>
            <w:vAlign w:val="bottom"/>
          </w:tcPr>
          <w:p w14:paraId="1672BADC" w14:textId="77777777" w:rsidR="00333601" w:rsidRPr="00BE78CA" w:rsidRDefault="00333601" w:rsidP="00C26084">
            <w:pPr>
              <w:pStyle w:val="TableTextBold"/>
              <w:keepNext/>
              <w:spacing w:before="50" w:after="50"/>
              <w:jc w:val="center"/>
              <w:rPr>
                <w:noProof w:val="0"/>
                <w:color w:val="FFFFFF"/>
              </w:rPr>
            </w:pPr>
            <w:r w:rsidRPr="00BE78CA">
              <w:rPr>
                <w:noProof w:val="0"/>
                <w:color w:val="FFFFFF"/>
              </w:rPr>
              <w:t>(%)</w:t>
            </w:r>
          </w:p>
        </w:tc>
      </w:tr>
      <w:tr w:rsidR="00333601" w:rsidRPr="00BE78CA" w14:paraId="78E81BB8" w14:textId="77777777" w:rsidTr="00872B70">
        <w:tc>
          <w:tcPr>
            <w:tcW w:w="1203" w:type="dxa"/>
            <w:tcBorders>
              <w:top w:val="single" w:sz="4" w:space="0" w:color="365F91"/>
              <w:bottom w:val="single" w:sz="4" w:space="0" w:color="365F91"/>
            </w:tcBorders>
          </w:tcPr>
          <w:p w14:paraId="5F4C97C1" w14:textId="77777777" w:rsidR="00333601" w:rsidRPr="00BE78CA" w:rsidRDefault="00333601" w:rsidP="00C26084">
            <w:pPr>
              <w:pStyle w:val="TableText"/>
              <w:spacing w:before="50" w:after="50"/>
            </w:pPr>
            <w:r w:rsidRPr="00BE78CA">
              <w:t xml:space="preserve">1990 </w:t>
            </w:r>
          </w:p>
        </w:tc>
        <w:tc>
          <w:tcPr>
            <w:tcW w:w="1825" w:type="dxa"/>
            <w:tcBorders>
              <w:top w:val="single" w:sz="4" w:space="0" w:color="365F91"/>
              <w:bottom w:val="single" w:sz="4" w:space="0" w:color="365F91"/>
            </w:tcBorders>
          </w:tcPr>
          <w:p w14:paraId="1866B2CA" w14:textId="77777777" w:rsidR="00333601" w:rsidRPr="00BE78CA" w:rsidRDefault="00333601" w:rsidP="00C26084">
            <w:pPr>
              <w:pStyle w:val="TableText"/>
              <w:spacing w:before="50" w:after="50"/>
              <w:jc w:val="center"/>
              <w:rPr>
                <w:color w:val="000000"/>
              </w:rPr>
            </w:pPr>
            <w:r w:rsidRPr="00BE78CA">
              <w:t>186.3</w:t>
            </w:r>
          </w:p>
        </w:tc>
        <w:tc>
          <w:tcPr>
            <w:tcW w:w="1825" w:type="dxa"/>
            <w:tcBorders>
              <w:top w:val="single" w:sz="4" w:space="0" w:color="365F91"/>
              <w:bottom w:val="single" w:sz="4" w:space="0" w:color="365F91"/>
            </w:tcBorders>
          </w:tcPr>
          <w:p w14:paraId="36E5A389" w14:textId="77777777" w:rsidR="00333601" w:rsidRPr="00BE78CA" w:rsidRDefault="00333601" w:rsidP="00C26084">
            <w:pPr>
              <w:pStyle w:val="TableText"/>
              <w:spacing w:before="50" w:after="50"/>
              <w:jc w:val="center"/>
              <w:rPr>
                <w:color w:val="000000"/>
              </w:rPr>
            </w:pPr>
            <w:r w:rsidRPr="00BE78CA">
              <w:t>680.2</w:t>
            </w:r>
          </w:p>
        </w:tc>
        <w:tc>
          <w:tcPr>
            <w:tcW w:w="1825" w:type="dxa"/>
            <w:tcBorders>
              <w:top w:val="single" w:sz="4" w:space="0" w:color="365F91"/>
              <w:bottom w:val="single" w:sz="4" w:space="0" w:color="365F91"/>
            </w:tcBorders>
          </w:tcPr>
          <w:p w14:paraId="22BF826F" w14:textId="77777777" w:rsidR="00333601" w:rsidRPr="00BE78CA" w:rsidRDefault="00333601" w:rsidP="00C26084">
            <w:pPr>
              <w:pStyle w:val="TableText"/>
              <w:spacing w:before="50" w:after="50"/>
              <w:jc w:val="center"/>
              <w:rPr>
                <w:color w:val="000000"/>
              </w:rPr>
            </w:pPr>
            <w:r w:rsidRPr="00BE78CA">
              <w:t xml:space="preserve">493.9 </w:t>
            </w:r>
          </w:p>
        </w:tc>
        <w:tc>
          <w:tcPr>
            <w:tcW w:w="1827" w:type="dxa"/>
            <w:tcBorders>
              <w:top w:val="single" w:sz="4" w:space="0" w:color="365F91"/>
              <w:bottom w:val="single" w:sz="4" w:space="0" w:color="365F91"/>
            </w:tcBorders>
          </w:tcPr>
          <w:p w14:paraId="27FB90A0" w14:textId="77777777" w:rsidR="00333601" w:rsidRPr="00BE78CA" w:rsidRDefault="00333601" w:rsidP="00C26084">
            <w:pPr>
              <w:pStyle w:val="TableText"/>
              <w:spacing w:before="50" w:after="50"/>
              <w:jc w:val="center"/>
              <w:rPr>
                <w:color w:val="000000"/>
              </w:rPr>
            </w:pPr>
            <w:r w:rsidRPr="00BE78CA">
              <w:t>265.1</w:t>
            </w:r>
          </w:p>
        </w:tc>
      </w:tr>
      <w:tr w:rsidR="00333601" w:rsidRPr="00BE78CA" w14:paraId="29B26479" w14:textId="77777777" w:rsidTr="00872B70">
        <w:tc>
          <w:tcPr>
            <w:tcW w:w="1203" w:type="dxa"/>
            <w:tcBorders>
              <w:top w:val="single" w:sz="4" w:space="0" w:color="365F91"/>
              <w:bottom w:val="single" w:sz="4" w:space="0" w:color="365F91"/>
            </w:tcBorders>
          </w:tcPr>
          <w:p w14:paraId="7B7C5AA0" w14:textId="77777777" w:rsidR="00333601" w:rsidRPr="00BE78CA" w:rsidRDefault="00333601" w:rsidP="00C26084">
            <w:pPr>
              <w:pStyle w:val="TableText"/>
              <w:spacing w:before="50" w:after="50"/>
            </w:pPr>
            <w:r w:rsidRPr="00BE78CA">
              <w:t>2018</w:t>
            </w:r>
          </w:p>
        </w:tc>
        <w:tc>
          <w:tcPr>
            <w:tcW w:w="1825" w:type="dxa"/>
            <w:tcBorders>
              <w:top w:val="single" w:sz="4" w:space="0" w:color="365F91"/>
              <w:bottom w:val="single" w:sz="4" w:space="0" w:color="365F91"/>
            </w:tcBorders>
          </w:tcPr>
          <w:p w14:paraId="6CADA4D5" w14:textId="77777777" w:rsidR="00333601" w:rsidRPr="00BE78CA" w:rsidRDefault="00333601" w:rsidP="00C26084">
            <w:pPr>
              <w:pStyle w:val="TableText"/>
              <w:spacing w:before="50" w:after="50"/>
              <w:jc w:val="center"/>
              <w:rPr>
                <w:color w:val="000000"/>
              </w:rPr>
            </w:pPr>
            <w:r w:rsidRPr="00BE78CA">
              <w:t>3,699.9</w:t>
            </w:r>
          </w:p>
        </w:tc>
        <w:tc>
          <w:tcPr>
            <w:tcW w:w="1825" w:type="dxa"/>
            <w:tcBorders>
              <w:top w:val="single" w:sz="4" w:space="0" w:color="365F91"/>
              <w:bottom w:val="single" w:sz="4" w:space="0" w:color="365F91"/>
            </w:tcBorders>
          </w:tcPr>
          <w:p w14:paraId="5C997132" w14:textId="77777777" w:rsidR="00333601" w:rsidRPr="00BE78CA" w:rsidRDefault="00333601" w:rsidP="00C26084">
            <w:pPr>
              <w:pStyle w:val="TableText"/>
              <w:spacing w:before="50" w:after="50"/>
              <w:jc w:val="center"/>
              <w:rPr>
                <w:color w:val="000000"/>
              </w:rPr>
            </w:pPr>
            <w:r w:rsidRPr="00BE78CA">
              <w:t>3,936.5</w:t>
            </w:r>
          </w:p>
        </w:tc>
        <w:tc>
          <w:tcPr>
            <w:tcW w:w="1825" w:type="dxa"/>
            <w:tcBorders>
              <w:top w:val="single" w:sz="4" w:space="0" w:color="365F91"/>
              <w:bottom w:val="single" w:sz="4" w:space="0" w:color="365F91"/>
            </w:tcBorders>
          </w:tcPr>
          <w:p w14:paraId="059861B6" w14:textId="77777777" w:rsidR="00333601" w:rsidRPr="00BE78CA" w:rsidRDefault="00333601" w:rsidP="00C26084">
            <w:pPr>
              <w:pStyle w:val="TableText"/>
              <w:spacing w:before="50" w:after="50"/>
              <w:jc w:val="center"/>
              <w:rPr>
                <w:color w:val="000000"/>
              </w:rPr>
            </w:pPr>
            <w:r w:rsidRPr="00BE78CA">
              <w:t xml:space="preserve">236.6 </w:t>
            </w:r>
          </w:p>
        </w:tc>
        <w:tc>
          <w:tcPr>
            <w:tcW w:w="1827" w:type="dxa"/>
            <w:tcBorders>
              <w:top w:val="single" w:sz="4" w:space="0" w:color="365F91"/>
              <w:bottom w:val="single" w:sz="4" w:space="0" w:color="365F91"/>
            </w:tcBorders>
          </w:tcPr>
          <w:p w14:paraId="41E92EBA" w14:textId="77777777" w:rsidR="00333601" w:rsidRPr="00BE78CA" w:rsidRDefault="00333601" w:rsidP="00C26084">
            <w:pPr>
              <w:pStyle w:val="TableText"/>
              <w:spacing w:before="50" w:after="50"/>
              <w:jc w:val="center"/>
              <w:rPr>
                <w:color w:val="000000"/>
              </w:rPr>
            </w:pPr>
            <w:r w:rsidRPr="00BE78CA">
              <w:t>6.4</w:t>
            </w:r>
          </w:p>
        </w:tc>
      </w:tr>
    </w:tbl>
    <w:p w14:paraId="3BC533B3" w14:textId="77777777" w:rsidR="00333601" w:rsidRPr="00BE78CA" w:rsidRDefault="00333601" w:rsidP="00333601">
      <w:pPr>
        <w:pStyle w:val="BodyText"/>
        <w:spacing w:before="240" w:after="100"/>
      </w:pPr>
      <w:bookmarkStart w:id="2397" w:name="_Toc255466413"/>
      <w:bookmarkStart w:id="2398" w:name="_Toc261513220"/>
      <w:bookmarkStart w:id="2399" w:name="_Toc261513833"/>
      <w:r w:rsidRPr="00BE78CA">
        <w:t xml:space="preserve">Recalculations of the entire time series were carried out for this category as a result of updates made to the activity data on the land area of the </w:t>
      </w:r>
      <w:r w:rsidRPr="00BE78CA">
        <w:rPr>
          <w:i/>
        </w:rPr>
        <w:t>Grassland</w:t>
      </w:r>
      <w:r w:rsidRPr="00BE78CA">
        <w:t xml:space="preserve"> categories. This resulted in an increase in the area of deforestation reported for 2018 and hence an increase in the emissions in the </w:t>
      </w:r>
      <w:r w:rsidRPr="00BE78CA">
        <w:rPr>
          <w:i/>
        </w:rPr>
        <w:t>Land converted to grassland</w:t>
      </w:r>
      <w:r w:rsidRPr="00BE78CA">
        <w:t xml:space="preserve"> category. Furthermore, updates to both the pre-1990 and post-1989 planted forest yield tables have resulted in changes to the amount of biomass loss when land is deforested and converted to </w:t>
      </w:r>
      <w:r w:rsidRPr="00BE78CA">
        <w:rPr>
          <w:i/>
          <w:iCs/>
        </w:rPr>
        <w:t>Grassland</w:t>
      </w:r>
      <w:r w:rsidRPr="00BE78CA">
        <w:t xml:space="preserve">. </w:t>
      </w:r>
    </w:p>
    <w:p w14:paraId="175D2748" w14:textId="77777777" w:rsidR="00333601" w:rsidRPr="00BE78CA" w:rsidRDefault="00333601" w:rsidP="00333601">
      <w:pPr>
        <w:pStyle w:val="Heading3"/>
        <w:spacing w:before="280"/>
      </w:pPr>
      <w:bookmarkStart w:id="2400" w:name="_Toc280630305"/>
      <w:r w:rsidRPr="00BE78CA">
        <w:t>6.6.6</w:t>
      </w:r>
      <w:r w:rsidRPr="00BE78CA">
        <w:tab/>
        <w:t>Category-specific planned improvements</w:t>
      </w:r>
      <w:bookmarkEnd w:id="2379"/>
      <w:bookmarkEnd w:id="2397"/>
      <w:bookmarkEnd w:id="2398"/>
      <w:bookmarkEnd w:id="2399"/>
      <w:bookmarkEnd w:id="2400"/>
    </w:p>
    <w:p w14:paraId="6BB8B30B" w14:textId="77777777" w:rsidR="00333601" w:rsidRPr="00BE78CA" w:rsidRDefault="00333601" w:rsidP="00333601">
      <w:pPr>
        <w:pStyle w:val="BodyText"/>
        <w:spacing w:before="100" w:after="100"/>
      </w:pPr>
      <w:r w:rsidRPr="00BE78CA">
        <w:t xml:space="preserve">No improvements are planned for the </w:t>
      </w:r>
      <w:r w:rsidRPr="00BE78CA">
        <w:rPr>
          <w:i/>
          <w:iCs/>
        </w:rPr>
        <w:t>Grassland</w:t>
      </w:r>
      <w:r w:rsidRPr="00BE78CA">
        <w:t xml:space="preserve"> category for the next submission.</w:t>
      </w:r>
    </w:p>
    <w:p w14:paraId="27B9AE8D" w14:textId="77777777" w:rsidR="00333601" w:rsidRPr="00BE78CA" w:rsidRDefault="00333601" w:rsidP="00333601">
      <w:pPr>
        <w:pStyle w:val="Heading2"/>
      </w:pPr>
      <w:bookmarkStart w:id="2401" w:name="_Toc310423455"/>
      <w:bookmarkStart w:id="2402" w:name="_Toc342470721"/>
      <w:bookmarkStart w:id="2403" w:name="_Toc352504873"/>
      <w:bookmarkStart w:id="2404" w:name="_Toc391024703"/>
      <w:bookmarkStart w:id="2405" w:name="_Toc414531320"/>
      <w:bookmarkStart w:id="2406" w:name="_Toc474335462"/>
      <w:bookmarkStart w:id="2407" w:name="_Toc481751402"/>
      <w:bookmarkStart w:id="2408" w:name="_Toc522013954"/>
      <w:bookmarkStart w:id="2409" w:name="_Toc5269379"/>
      <w:bookmarkStart w:id="2410" w:name="_Toc36224419"/>
      <w:bookmarkStart w:id="2411" w:name="_Toc68786339"/>
      <w:r w:rsidRPr="00BE78CA">
        <w:t>6.7</w:t>
      </w:r>
      <w:r w:rsidRPr="00BE78CA">
        <w:tab/>
        <w:t>Wetlands (CRF 4D)</w:t>
      </w:r>
      <w:bookmarkEnd w:id="2401"/>
      <w:bookmarkEnd w:id="2402"/>
      <w:bookmarkEnd w:id="2403"/>
      <w:bookmarkEnd w:id="2404"/>
      <w:bookmarkEnd w:id="2405"/>
      <w:bookmarkEnd w:id="2406"/>
      <w:bookmarkEnd w:id="2407"/>
      <w:bookmarkEnd w:id="2408"/>
      <w:bookmarkEnd w:id="2409"/>
      <w:bookmarkEnd w:id="2410"/>
      <w:bookmarkEnd w:id="2411"/>
    </w:p>
    <w:p w14:paraId="196A0CF3" w14:textId="77777777" w:rsidR="00333601" w:rsidRPr="00BE78CA" w:rsidRDefault="00333601" w:rsidP="00333601">
      <w:pPr>
        <w:pStyle w:val="Heading3"/>
        <w:spacing w:before="160"/>
      </w:pPr>
      <w:r w:rsidRPr="00BE78CA">
        <w:t>6.7.1</w:t>
      </w:r>
      <w:r w:rsidRPr="00BE78CA">
        <w:tab/>
        <w:t>Description</w:t>
      </w:r>
    </w:p>
    <w:p w14:paraId="147F82D3" w14:textId="77777777" w:rsidR="00333601" w:rsidRPr="00BE78CA" w:rsidRDefault="00333601" w:rsidP="008C4667">
      <w:pPr>
        <w:pStyle w:val="BodyText"/>
      </w:pPr>
      <w:r w:rsidRPr="00BE78CA">
        <w:t xml:space="preserve">New Zealand has around 425,000 kilometres of rivers and streams, and almost 4,000 lakes that are larger than a hectare (Ministry for the Environment and Stats NZ, 2017). Damming, diverting and extracting water for power generation, irrigation and human consumption have modified the nature of these waterways and can deplete flows and reduce groundwater </w:t>
      </w:r>
      <w:r w:rsidRPr="00BE78CA">
        <w:lastRenderedPageBreak/>
        <w:t>levels. Demand for accessible land has also led to the modification of a large proportion of New Zealand’s vegetated wetland areas to provide pastoral land cover. Just over 10 per cent of wetlands present prior to European settlement remain across New Zealand (McGlone, 2009).</w:t>
      </w:r>
    </w:p>
    <w:p w14:paraId="7ACA8322" w14:textId="77777777" w:rsidR="00333601" w:rsidRPr="00BE78CA" w:rsidRDefault="00333601" w:rsidP="008C4667">
      <w:pPr>
        <w:pStyle w:val="BodyText"/>
      </w:pPr>
      <w:r w:rsidRPr="00BE78CA">
        <w:t>Section 3.2 of 2006 IPCC Guidelines</w:t>
      </w:r>
      <w:r w:rsidRPr="00BE78CA">
        <w:rPr>
          <w:i/>
        </w:rPr>
        <w:t xml:space="preserve"> </w:t>
      </w:r>
      <w:r w:rsidRPr="00BE78CA">
        <w:t xml:space="preserve">defines </w:t>
      </w:r>
      <w:r w:rsidRPr="00BE78CA">
        <w:rPr>
          <w:i/>
        </w:rPr>
        <w:t>Wetlands</w:t>
      </w:r>
      <w:r w:rsidRPr="00BE78CA">
        <w:t xml:space="preserve"> as “areas of peat extraction and land that is covered or saturated by water for all or part of the year (e.g., peatlands) and that does not fall into the </w:t>
      </w:r>
      <w:r w:rsidRPr="00BE78CA">
        <w:rPr>
          <w:i/>
        </w:rPr>
        <w:t>Forest Land</w:t>
      </w:r>
      <w:r w:rsidRPr="00BE78CA">
        <w:t xml:space="preserve">, </w:t>
      </w:r>
      <w:r w:rsidRPr="00BE78CA">
        <w:rPr>
          <w:i/>
        </w:rPr>
        <w:t>Cropland</w:t>
      </w:r>
      <w:r w:rsidRPr="00BE78CA">
        <w:t xml:space="preserve">, </w:t>
      </w:r>
      <w:r w:rsidRPr="00BE78CA">
        <w:rPr>
          <w:i/>
        </w:rPr>
        <w:t>Grassland</w:t>
      </w:r>
      <w:r w:rsidRPr="00BE78CA">
        <w:t xml:space="preserve"> or </w:t>
      </w:r>
      <w:r w:rsidRPr="00BE78CA">
        <w:rPr>
          <w:i/>
        </w:rPr>
        <w:t>Settlements</w:t>
      </w:r>
      <w:r w:rsidRPr="00BE78CA">
        <w:t xml:space="preserve"> categories” (IPCC, 2006a, p 3.6). The definition includes reservoirs as a managed subdivision (e.g., flooded lands), and natural rivers and lakes as unmanaged subdivisions. Flooded lands, a subcategory of </w:t>
      </w:r>
      <w:r w:rsidRPr="00BE78CA">
        <w:rPr>
          <w:i/>
        </w:rPr>
        <w:t>Wetlands</w:t>
      </w:r>
      <w:r w:rsidRPr="00BE78CA">
        <w:t>, are defined in the 2006 IPCC Guidelines</w:t>
      </w:r>
      <w:r w:rsidRPr="00BE78CA" w:rsidDel="0015189E">
        <w:t xml:space="preserve"> </w:t>
      </w:r>
      <w:r w:rsidRPr="00BE78CA">
        <w:t>(IPCC, 2006a, p 7.19) as:</w:t>
      </w:r>
    </w:p>
    <w:p w14:paraId="4615AF2E" w14:textId="77777777" w:rsidR="00333601" w:rsidRPr="00BE78CA" w:rsidRDefault="00333601" w:rsidP="00333601">
      <w:pPr>
        <w:pStyle w:val="Quote"/>
        <w:spacing w:before="60"/>
      </w:pPr>
      <w:r w:rsidRPr="00BE78CA">
        <w:t>… water bodies where human activities have caused changes in the amount of surface area covered by water, typically through water level regulation. … Regulated lakes and rivers that do not have substantial changes in water area in comparison with the pre</w:t>
      </w:r>
      <w:r w:rsidRPr="00BE78CA">
        <w:noBreakHyphen/>
        <w:t>flooded ecosystem are not considered as Flooded Lands.</w:t>
      </w:r>
      <w:r w:rsidRPr="00BE78CA" w:rsidDel="00C52895">
        <w:t xml:space="preserve"> </w:t>
      </w:r>
    </w:p>
    <w:p w14:paraId="48EE4D0E" w14:textId="77777777" w:rsidR="00333601" w:rsidRPr="00BE78CA" w:rsidRDefault="00333601" w:rsidP="008C4667">
      <w:pPr>
        <w:pStyle w:val="BodyText"/>
      </w:pPr>
      <w:r w:rsidRPr="00BE78CA">
        <w:t>Most of New Zealand’s hydroelectric schemes are based on rivers and lakes where the main pre-flooded ecosystem was a natural lake or river; therefore, they are not defined as flooded lands.</w:t>
      </w:r>
      <w:r w:rsidRPr="00BE78CA">
        <w:rPr>
          <w:rStyle w:val="FootnoteReference"/>
        </w:rPr>
        <w:footnoteReference w:id="67"/>
      </w:r>
      <w:r w:rsidRPr="00BE78CA">
        <w:t xml:space="preserve"> </w:t>
      </w:r>
    </w:p>
    <w:p w14:paraId="790EE7A7" w14:textId="77777777" w:rsidR="00333601" w:rsidRPr="00BE78CA" w:rsidRDefault="00333601" w:rsidP="008C4667">
      <w:pPr>
        <w:pStyle w:val="BodyText"/>
      </w:pPr>
      <w:r w:rsidRPr="00BE78CA">
        <w:t xml:space="preserve">New Zealand’s </w:t>
      </w:r>
      <w:r w:rsidRPr="00BE78CA">
        <w:rPr>
          <w:i/>
        </w:rPr>
        <w:t>Wetlands</w:t>
      </w:r>
      <w:r w:rsidRPr="00BE78CA">
        <w:t xml:space="preserve"> are currently mapped into two types: open water, which includes artificially flooded lands, lakes and rivers, and vegetated wetland, which includes herbaceous vegetation that is periodically flooded, and estuarine and tidal areas. New Zealand originally mapped its vegetated wetlands using existing LCDB data (see section 6.2, for more information). Areas of open water were originally mapped using hydrological boundaries defined by Land Information New Zealand. </w:t>
      </w:r>
    </w:p>
    <w:p w14:paraId="4BD9DC24" w14:textId="77777777" w:rsidR="00333601" w:rsidRPr="00BE78CA" w:rsidRDefault="00333601" w:rsidP="008C4667">
      <w:pPr>
        <w:pStyle w:val="BodyText"/>
        <w:spacing w:before="100"/>
      </w:pPr>
      <w:r w:rsidRPr="00BE78CA">
        <w:t xml:space="preserve">Improvements to the mapping of wetland extent have been made using ancillary national and regional data sets. Changes to wetland extent have been mapped into the 2008, 2012 and 2016 land use maps based on changes detected in satellite imagery. </w:t>
      </w:r>
    </w:p>
    <w:p w14:paraId="7FDF2F42" w14:textId="77777777" w:rsidR="00333601" w:rsidRPr="00BE78CA" w:rsidRDefault="00333601" w:rsidP="008C4667">
      <w:pPr>
        <w:pStyle w:val="BodyText"/>
      </w:pPr>
      <w:r w:rsidRPr="00BE78CA">
        <w:t>Improvements in mapping that occurred in conjunction with the creation of the 2016 Land Use Map have enabled the area of artificially flooded land to be identified and distinguished from naturally occurring open water (e.g., natural lakes). Examples of artificially flooded lands in New Zealand include irrigation reservoirs and the Clyde Dam hydroelectric dam. The acquisition of this activity data will enable the associated stock changes for land converted to flooded land to be estimated once methods to interpolate and extrapolate to fill in the time series are developed.</w:t>
      </w:r>
    </w:p>
    <w:p w14:paraId="3025038B" w14:textId="77777777" w:rsidR="00333601" w:rsidRPr="00BE78CA" w:rsidRDefault="00333601" w:rsidP="008C4667">
      <w:pPr>
        <w:pStyle w:val="BodyText"/>
      </w:pPr>
      <w:r w:rsidRPr="00BE78CA">
        <w:t>In 2019, there were 534,798 hectares of open water and 223,827 hectares of vegetated wetlands. Together, these two land use types make up 2.8 per cent of the total New Zealand land area.</w:t>
      </w:r>
    </w:p>
    <w:p w14:paraId="1705BC0C" w14:textId="77777777" w:rsidR="00333601" w:rsidRPr="00BE78CA" w:rsidRDefault="00333601" w:rsidP="008C4667">
      <w:pPr>
        <w:pStyle w:val="BodyText"/>
      </w:pPr>
      <w:r w:rsidRPr="00BE78CA">
        <w:t>In 2016, a study was commissioned to identify and map current and historical (from 1990) horticultural peat mining areas, peat type and quantity, and post-mining activities (Clarkson unpublished). The results of this study have been incorporated into New Zealand’s 2016 land use map. In 2019, there were 273 hectares under peat extraction.</w:t>
      </w:r>
    </w:p>
    <w:p w14:paraId="520BD5F3" w14:textId="77777777" w:rsidR="00333601" w:rsidRPr="00BE78CA" w:rsidRDefault="00333601" w:rsidP="008C4667">
      <w:pPr>
        <w:pStyle w:val="BodyText"/>
      </w:pPr>
      <w:r w:rsidRPr="00BE78CA">
        <w:t>In 2019, there were 13.4 kt CO</w:t>
      </w:r>
      <w:r w:rsidRPr="00BE78CA">
        <w:rPr>
          <w:vertAlign w:val="subscript"/>
        </w:rPr>
        <w:t>2</w:t>
      </w:r>
      <w:r w:rsidRPr="00BE78CA">
        <w:t xml:space="preserve">-e emissions from </w:t>
      </w:r>
      <w:r w:rsidRPr="00BE78CA">
        <w:rPr>
          <w:i/>
        </w:rPr>
        <w:t>Wetlands</w:t>
      </w:r>
      <w:r w:rsidRPr="00BE78CA">
        <w:t xml:space="preserve">, compared with emissions of </w:t>
      </w:r>
      <w:r w:rsidRPr="00BE78CA">
        <w:br/>
        <w:t>–10.7 kt CO</w:t>
      </w:r>
      <w:r w:rsidRPr="00BE78CA">
        <w:rPr>
          <w:vertAlign w:val="subscript"/>
        </w:rPr>
        <w:t>2</w:t>
      </w:r>
      <w:r w:rsidRPr="00BE78CA">
        <w:t xml:space="preserve">-e from </w:t>
      </w:r>
      <w:r w:rsidRPr="00BE78CA">
        <w:rPr>
          <w:i/>
        </w:rPr>
        <w:t>Wetlands</w:t>
      </w:r>
      <w:r w:rsidRPr="00BE78CA">
        <w:t xml:space="preserve"> in 1990 (see table 6.7.1). This changing trend, from net remover </w:t>
      </w:r>
      <w:r w:rsidRPr="00BE78CA">
        <w:lastRenderedPageBreak/>
        <w:t>in 1990 to net emitter in 2019 is due to the shift in land-use change patterns that have been observed since 1990, when compared with the changes that had occurred before 1990.</w:t>
      </w:r>
    </w:p>
    <w:p w14:paraId="2B1BB0F5" w14:textId="77777777" w:rsidR="00333601" w:rsidRPr="00BE78CA" w:rsidRDefault="00333601" w:rsidP="008C4667">
      <w:pPr>
        <w:pStyle w:val="BodyText"/>
      </w:pPr>
      <w:r w:rsidRPr="00BE78CA">
        <w:t xml:space="preserve">As of 2019, there were 5,762 hectares in a state of conversion to </w:t>
      </w:r>
      <w:r w:rsidRPr="00BE78CA">
        <w:rPr>
          <w:i/>
        </w:rPr>
        <w:t>Wetlands</w:t>
      </w:r>
      <w:r w:rsidRPr="00BE78CA">
        <w:t xml:space="preserve"> (table 6.7.1). These lands have been converted to </w:t>
      </w:r>
      <w:r w:rsidRPr="00BE78CA">
        <w:rPr>
          <w:i/>
        </w:rPr>
        <w:t>Wetlands</w:t>
      </w:r>
      <w:r w:rsidRPr="00BE78CA">
        <w:t xml:space="preserve"> during the previous 20 years but have not yet reached steady state.</w:t>
      </w:r>
    </w:p>
    <w:p w14:paraId="60606D23" w14:textId="77777777" w:rsidR="00333601" w:rsidRPr="00BE78CA" w:rsidRDefault="00333601" w:rsidP="00333601">
      <w:pPr>
        <w:pStyle w:val="BodyText"/>
        <w:spacing w:before="100" w:after="100"/>
      </w:pPr>
      <w:r w:rsidRPr="00BE78CA">
        <w:t>Removals from wetlands are driven by increases to mineral soil carbon stocks following conversion to wetland (8.3 kt CO</w:t>
      </w:r>
      <w:r w:rsidRPr="00BE78CA">
        <w:rPr>
          <w:vertAlign w:val="subscript"/>
        </w:rPr>
        <w:t>2</w:t>
      </w:r>
      <w:r w:rsidRPr="00BE78CA">
        <w:t>-e of removals in 2019 from mineral soils), while emissions are driven by the extraction of peat each year.</w:t>
      </w:r>
    </w:p>
    <w:p w14:paraId="6E47B227" w14:textId="77777777" w:rsidR="00333601" w:rsidRPr="00BE78CA" w:rsidRDefault="00333601" w:rsidP="00333601">
      <w:pPr>
        <w:pStyle w:val="Table"/>
      </w:pPr>
      <w:bookmarkStart w:id="2412" w:name="_Toc342470784"/>
      <w:bookmarkStart w:id="2413" w:name="_Toc352505024"/>
      <w:bookmarkStart w:id="2414" w:name="_Toc378853313"/>
      <w:bookmarkStart w:id="2415" w:name="_Toc391024111"/>
      <w:bookmarkStart w:id="2416" w:name="_Toc410028854"/>
      <w:bookmarkStart w:id="2417" w:name="_Toc414531482"/>
      <w:bookmarkStart w:id="2418" w:name="_Toc443645395"/>
      <w:bookmarkStart w:id="2419" w:name="_Toc474914614"/>
      <w:bookmarkStart w:id="2420" w:name="_Toc481751578"/>
      <w:bookmarkStart w:id="2421" w:name="_Toc522010635"/>
      <w:bookmarkStart w:id="2422" w:name="_Toc5269540"/>
      <w:bookmarkStart w:id="2423" w:name="_Toc33529414"/>
      <w:bookmarkStart w:id="2424" w:name="_Toc36224620"/>
      <w:bookmarkStart w:id="2425" w:name="_Toc65243617"/>
      <w:bookmarkStart w:id="2426" w:name="_Toc68786507"/>
      <w:r w:rsidRPr="00BE78CA">
        <w:t>Table 6.7.1</w:t>
      </w:r>
      <w:r w:rsidRPr="00BE78CA">
        <w:tab/>
        <w:t>New Zealand’s land-use change for the Wetlands category, and associated</w:t>
      </w:r>
      <w:r w:rsidRPr="00BE78CA">
        <w:br/>
        <w:t>CO</w:t>
      </w:r>
      <w:r w:rsidRPr="00BE78CA">
        <w:rPr>
          <w:vertAlign w:val="subscript"/>
        </w:rPr>
        <w:t>2</w:t>
      </w:r>
      <w:r w:rsidRPr="00BE78CA">
        <w:noBreakHyphen/>
        <w:t>e emissions</w:t>
      </w:r>
      <w:bookmarkEnd w:id="2412"/>
      <w:bookmarkEnd w:id="2413"/>
      <w:bookmarkEnd w:id="2414"/>
      <w:r w:rsidRPr="00BE78CA">
        <w:t xml:space="preserve">, in 1990 and </w:t>
      </w:r>
      <w:bookmarkEnd w:id="2415"/>
      <w:bookmarkEnd w:id="2416"/>
      <w:bookmarkEnd w:id="2417"/>
      <w:r w:rsidRPr="00BE78CA">
        <w:t>201</w:t>
      </w:r>
      <w:bookmarkEnd w:id="2418"/>
      <w:bookmarkEnd w:id="2419"/>
      <w:bookmarkEnd w:id="2420"/>
      <w:bookmarkEnd w:id="2421"/>
      <w:bookmarkEnd w:id="2422"/>
      <w:bookmarkEnd w:id="2423"/>
      <w:bookmarkEnd w:id="2424"/>
      <w:r w:rsidRPr="00BE78CA">
        <w:t>9</w:t>
      </w:r>
      <w:bookmarkEnd w:id="2425"/>
      <w:bookmarkEnd w:id="2426"/>
    </w:p>
    <w:tbl>
      <w:tblPr>
        <w:tblW w:w="8505" w:type="dxa"/>
        <w:tblLayout w:type="fixed"/>
        <w:tblLook w:val="04A0" w:firstRow="1" w:lastRow="0" w:firstColumn="1" w:lastColumn="0" w:noHBand="0" w:noVBand="1"/>
      </w:tblPr>
      <w:tblGrid>
        <w:gridCol w:w="2770"/>
        <w:gridCol w:w="1206"/>
        <w:gridCol w:w="1055"/>
        <w:gridCol w:w="1055"/>
        <w:gridCol w:w="1112"/>
        <w:gridCol w:w="1307"/>
      </w:tblGrid>
      <w:tr w:rsidR="00333601" w:rsidRPr="00BE78CA" w14:paraId="226E5520" w14:textId="77777777" w:rsidTr="00C17CFB">
        <w:tc>
          <w:tcPr>
            <w:tcW w:w="2770" w:type="dxa"/>
            <w:vMerge w:val="restart"/>
            <w:tcBorders>
              <w:top w:val="single" w:sz="4" w:space="0" w:color="365F91"/>
              <w:bottom w:val="single" w:sz="4" w:space="0" w:color="365F91"/>
            </w:tcBorders>
            <w:shd w:val="clear" w:color="auto" w:fill="365F91"/>
            <w:vAlign w:val="bottom"/>
          </w:tcPr>
          <w:p w14:paraId="4F8A6539" w14:textId="77777777" w:rsidR="00333601" w:rsidRPr="00BE78CA" w:rsidRDefault="00333601" w:rsidP="000B4B96">
            <w:pPr>
              <w:pStyle w:val="TableTextBold"/>
              <w:keepNext/>
              <w:spacing w:before="50" w:after="40"/>
              <w:rPr>
                <w:noProof w:val="0"/>
                <w:color w:val="FFFFFF"/>
              </w:rPr>
            </w:pPr>
            <w:r w:rsidRPr="00BE78CA">
              <w:rPr>
                <w:noProof w:val="0"/>
                <w:color w:val="FFFFFF"/>
              </w:rPr>
              <w:t>Wetlands land use category</w:t>
            </w:r>
          </w:p>
        </w:tc>
        <w:tc>
          <w:tcPr>
            <w:tcW w:w="2261" w:type="dxa"/>
            <w:gridSpan w:val="2"/>
            <w:tcBorders>
              <w:top w:val="single" w:sz="4" w:space="0" w:color="365F91"/>
              <w:bottom w:val="single" w:sz="4" w:space="0" w:color="365F91"/>
            </w:tcBorders>
            <w:shd w:val="clear" w:color="auto" w:fill="365F91"/>
            <w:vAlign w:val="bottom"/>
          </w:tcPr>
          <w:p w14:paraId="0B5A1AA5" w14:textId="77777777" w:rsidR="00333601" w:rsidRPr="00BE78CA" w:rsidRDefault="00333601" w:rsidP="000B4B96">
            <w:pPr>
              <w:pStyle w:val="TableTextBold"/>
              <w:keepNext/>
              <w:spacing w:before="50" w:after="0"/>
              <w:jc w:val="center"/>
              <w:rPr>
                <w:noProof w:val="0"/>
                <w:color w:val="FFFFFF"/>
              </w:rPr>
            </w:pPr>
            <w:r w:rsidRPr="00BE78CA">
              <w:rPr>
                <w:noProof w:val="0"/>
                <w:color w:val="FFFFFF"/>
              </w:rPr>
              <w:t>Net area (ha) as at</w:t>
            </w:r>
          </w:p>
        </w:tc>
        <w:tc>
          <w:tcPr>
            <w:tcW w:w="2167" w:type="dxa"/>
            <w:gridSpan w:val="2"/>
            <w:tcBorders>
              <w:top w:val="single" w:sz="4" w:space="0" w:color="365F91"/>
              <w:bottom w:val="single" w:sz="4" w:space="0" w:color="365F91"/>
            </w:tcBorders>
            <w:shd w:val="clear" w:color="auto" w:fill="365F91"/>
            <w:vAlign w:val="bottom"/>
          </w:tcPr>
          <w:p w14:paraId="1ABCE4BD" w14:textId="77777777" w:rsidR="00333601" w:rsidRPr="00BE78CA" w:rsidRDefault="00333601" w:rsidP="000B4B96">
            <w:pPr>
              <w:pStyle w:val="TableTextBold"/>
              <w:keepNext/>
              <w:spacing w:before="50" w:after="0"/>
              <w:jc w:val="center"/>
              <w:rPr>
                <w:noProof w:val="0"/>
                <w:color w:val="FFFFFF"/>
              </w:rPr>
            </w:pPr>
            <w:r w:rsidRPr="00BE78CA">
              <w:rPr>
                <w:noProof w:val="0"/>
                <w:color w:val="FFFFFF"/>
              </w:rPr>
              <w:t>Net emissions (kt CO</w:t>
            </w:r>
            <w:r w:rsidRPr="00BE78CA">
              <w:rPr>
                <w:noProof w:val="0"/>
                <w:color w:val="FFFFFF"/>
                <w:vertAlign w:val="subscript"/>
              </w:rPr>
              <w:t>2</w:t>
            </w:r>
            <w:r w:rsidRPr="00BE78CA">
              <w:rPr>
                <w:noProof w:val="0"/>
                <w:color w:val="FFFFFF"/>
              </w:rPr>
              <w:t>-e)</w:t>
            </w:r>
          </w:p>
        </w:tc>
        <w:tc>
          <w:tcPr>
            <w:tcW w:w="1307" w:type="dxa"/>
            <w:vMerge w:val="restart"/>
            <w:tcBorders>
              <w:top w:val="single" w:sz="4" w:space="0" w:color="365F91"/>
              <w:bottom w:val="single" w:sz="4" w:space="0" w:color="365F91"/>
            </w:tcBorders>
            <w:shd w:val="clear" w:color="auto" w:fill="365F91"/>
            <w:vAlign w:val="bottom"/>
          </w:tcPr>
          <w:p w14:paraId="5B9FF45C" w14:textId="77777777" w:rsidR="00333601" w:rsidRPr="00BE78CA" w:rsidRDefault="00333601" w:rsidP="000B4B96">
            <w:pPr>
              <w:pStyle w:val="TableTextBold"/>
              <w:keepNext/>
              <w:spacing w:before="50" w:after="40"/>
              <w:jc w:val="center"/>
              <w:rPr>
                <w:noProof w:val="0"/>
                <w:color w:val="FFFFFF"/>
              </w:rPr>
            </w:pPr>
            <w:r w:rsidRPr="00BE78CA">
              <w:rPr>
                <w:noProof w:val="0"/>
                <w:color w:val="FFFFFF"/>
              </w:rPr>
              <w:t>Change from 1990 (%)</w:t>
            </w:r>
          </w:p>
        </w:tc>
      </w:tr>
      <w:tr w:rsidR="00333601" w:rsidRPr="00BE78CA" w14:paraId="4EA21282" w14:textId="77777777" w:rsidTr="00C17CFB">
        <w:tc>
          <w:tcPr>
            <w:tcW w:w="2770" w:type="dxa"/>
            <w:vMerge/>
            <w:tcBorders>
              <w:top w:val="single" w:sz="4" w:space="0" w:color="365F91"/>
              <w:bottom w:val="single" w:sz="4" w:space="0" w:color="365F91"/>
            </w:tcBorders>
            <w:shd w:val="clear" w:color="auto" w:fill="365F91"/>
            <w:vAlign w:val="bottom"/>
          </w:tcPr>
          <w:p w14:paraId="7DC46F15" w14:textId="77777777" w:rsidR="00333601" w:rsidRPr="00BE78CA" w:rsidRDefault="00333601" w:rsidP="00C26084">
            <w:pPr>
              <w:pStyle w:val="TableTextBold"/>
              <w:keepNext/>
              <w:spacing w:before="40" w:after="40"/>
              <w:rPr>
                <w:noProof w:val="0"/>
                <w:color w:val="FFFFFF"/>
              </w:rPr>
            </w:pPr>
          </w:p>
        </w:tc>
        <w:tc>
          <w:tcPr>
            <w:tcW w:w="1206" w:type="dxa"/>
            <w:tcBorders>
              <w:top w:val="single" w:sz="4" w:space="0" w:color="365F91"/>
              <w:bottom w:val="single" w:sz="4" w:space="0" w:color="365F91"/>
            </w:tcBorders>
            <w:shd w:val="clear" w:color="auto" w:fill="365F91"/>
            <w:vAlign w:val="bottom"/>
          </w:tcPr>
          <w:p w14:paraId="73E67D40" w14:textId="77777777" w:rsidR="00333601" w:rsidRPr="00BE78CA" w:rsidRDefault="00333601" w:rsidP="00C26084">
            <w:pPr>
              <w:pStyle w:val="TableTextBold"/>
              <w:keepNext/>
              <w:spacing w:before="40" w:after="40"/>
              <w:jc w:val="center"/>
              <w:rPr>
                <w:noProof w:val="0"/>
                <w:color w:val="FFFFFF"/>
              </w:rPr>
            </w:pPr>
            <w:r w:rsidRPr="00BE78CA">
              <w:rPr>
                <w:noProof w:val="0"/>
                <w:color w:val="FFFFFF"/>
              </w:rPr>
              <w:t>1990</w:t>
            </w:r>
          </w:p>
        </w:tc>
        <w:tc>
          <w:tcPr>
            <w:tcW w:w="1055" w:type="dxa"/>
            <w:tcBorders>
              <w:top w:val="single" w:sz="4" w:space="0" w:color="365F91"/>
              <w:bottom w:val="single" w:sz="4" w:space="0" w:color="365F91"/>
            </w:tcBorders>
            <w:shd w:val="clear" w:color="auto" w:fill="365F91"/>
            <w:vAlign w:val="bottom"/>
          </w:tcPr>
          <w:p w14:paraId="6C5FED91" w14:textId="77777777" w:rsidR="00333601" w:rsidRPr="00BE78CA" w:rsidRDefault="00333601" w:rsidP="00C26084">
            <w:pPr>
              <w:pStyle w:val="TableTextBold"/>
              <w:keepNext/>
              <w:spacing w:before="40" w:after="40"/>
              <w:jc w:val="center"/>
              <w:rPr>
                <w:noProof w:val="0"/>
                <w:color w:val="FFFFFF"/>
              </w:rPr>
            </w:pPr>
            <w:r w:rsidRPr="00BE78CA">
              <w:rPr>
                <w:noProof w:val="0"/>
                <w:color w:val="FFFFFF"/>
              </w:rPr>
              <w:t>2019</w:t>
            </w:r>
          </w:p>
        </w:tc>
        <w:tc>
          <w:tcPr>
            <w:tcW w:w="1055" w:type="dxa"/>
            <w:tcBorders>
              <w:top w:val="single" w:sz="4" w:space="0" w:color="365F91"/>
              <w:bottom w:val="single" w:sz="4" w:space="0" w:color="365F91"/>
            </w:tcBorders>
            <w:shd w:val="clear" w:color="auto" w:fill="365F91"/>
            <w:vAlign w:val="bottom"/>
          </w:tcPr>
          <w:p w14:paraId="3729D47A" w14:textId="77777777" w:rsidR="00333601" w:rsidRPr="00BE78CA" w:rsidRDefault="00333601" w:rsidP="00C26084">
            <w:pPr>
              <w:pStyle w:val="TableTextBold"/>
              <w:keepNext/>
              <w:spacing w:before="40" w:after="40"/>
              <w:jc w:val="center"/>
              <w:rPr>
                <w:noProof w:val="0"/>
                <w:color w:val="FFFFFF"/>
              </w:rPr>
            </w:pPr>
            <w:r w:rsidRPr="00BE78CA">
              <w:rPr>
                <w:noProof w:val="0"/>
                <w:color w:val="FFFFFF"/>
              </w:rPr>
              <w:t>1990</w:t>
            </w:r>
          </w:p>
        </w:tc>
        <w:tc>
          <w:tcPr>
            <w:tcW w:w="1112" w:type="dxa"/>
            <w:tcBorders>
              <w:top w:val="single" w:sz="4" w:space="0" w:color="365F91"/>
              <w:bottom w:val="single" w:sz="4" w:space="0" w:color="365F91"/>
            </w:tcBorders>
            <w:shd w:val="clear" w:color="auto" w:fill="365F91"/>
            <w:vAlign w:val="bottom"/>
          </w:tcPr>
          <w:p w14:paraId="5AC92F73" w14:textId="77777777" w:rsidR="00333601" w:rsidRPr="00BE78CA" w:rsidRDefault="00333601" w:rsidP="00C26084">
            <w:pPr>
              <w:pStyle w:val="TableTextBold"/>
              <w:keepNext/>
              <w:spacing w:before="40" w:after="40"/>
              <w:jc w:val="center"/>
              <w:rPr>
                <w:noProof w:val="0"/>
                <w:color w:val="FFFFFF"/>
              </w:rPr>
            </w:pPr>
            <w:r w:rsidRPr="00BE78CA">
              <w:rPr>
                <w:noProof w:val="0"/>
                <w:color w:val="FFFFFF"/>
              </w:rPr>
              <w:t>2019</w:t>
            </w:r>
          </w:p>
        </w:tc>
        <w:tc>
          <w:tcPr>
            <w:tcW w:w="1307" w:type="dxa"/>
            <w:vMerge/>
            <w:tcBorders>
              <w:top w:val="single" w:sz="4" w:space="0" w:color="365F91"/>
              <w:bottom w:val="single" w:sz="4" w:space="0" w:color="365F91"/>
            </w:tcBorders>
            <w:shd w:val="clear" w:color="auto" w:fill="365F91"/>
            <w:vAlign w:val="bottom"/>
          </w:tcPr>
          <w:p w14:paraId="732E3487" w14:textId="77777777" w:rsidR="00333601" w:rsidRPr="00BE78CA" w:rsidRDefault="00333601" w:rsidP="00C26084">
            <w:pPr>
              <w:pStyle w:val="TableTextBold"/>
              <w:keepNext/>
              <w:spacing w:before="40" w:after="40"/>
              <w:rPr>
                <w:noProof w:val="0"/>
                <w:color w:val="FFFFFF"/>
              </w:rPr>
            </w:pPr>
          </w:p>
        </w:tc>
      </w:tr>
      <w:tr w:rsidR="00333601" w:rsidRPr="00BE78CA" w14:paraId="0A99ED96" w14:textId="77777777" w:rsidTr="00C17CFB">
        <w:tc>
          <w:tcPr>
            <w:tcW w:w="2770" w:type="dxa"/>
            <w:tcBorders>
              <w:top w:val="single" w:sz="4" w:space="0" w:color="365F91"/>
              <w:bottom w:val="single" w:sz="4" w:space="0" w:color="365F91"/>
            </w:tcBorders>
          </w:tcPr>
          <w:p w14:paraId="3AACDB9F" w14:textId="77777777" w:rsidR="00333601" w:rsidRPr="00BE78CA" w:rsidRDefault="00333601" w:rsidP="00C26084">
            <w:pPr>
              <w:pStyle w:val="TableText"/>
              <w:spacing w:before="50" w:after="50"/>
            </w:pPr>
            <w:r w:rsidRPr="00BE78CA">
              <w:t>Wetlands remaining wetlands</w:t>
            </w:r>
          </w:p>
        </w:tc>
        <w:tc>
          <w:tcPr>
            <w:tcW w:w="1206" w:type="dxa"/>
            <w:tcBorders>
              <w:top w:val="single" w:sz="4" w:space="0" w:color="365F91"/>
              <w:bottom w:val="single" w:sz="4" w:space="0" w:color="365F91"/>
            </w:tcBorders>
          </w:tcPr>
          <w:p w14:paraId="147226CD" w14:textId="77777777" w:rsidR="00333601" w:rsidRPr="00BE78CA" w:rsidRDefault="00333601" w:rsidP="00C26084">
            <w:pPr>
              <w:pStyle w:val="TableText"/>
              <w:spacing w:before="50" w:after="50"/>
              <w:jc w:val="center"/>
            </w:pPr>
            <w:r w:rsidRPr="00BE78CA">
              <w:t>751,766</w:t>
            </w:r>
          </w:p>
        </w:tc>
        <w:tc>
          <w:tcPr>
            <w:tcW w:w="1055" w:type="dxa"/>
            <w:tcBorders>
              <w:top w:val="single" w:sz="4" w:space="0" w:color="365F91"/>
              <w:bottom w:val="single" w:sz="4" w:space="0" w:color="365F91"/>
            </w:tcBorders>
          </w:tcPr>
          <w:p w14:paraId="7A47373F" w14:textId="77777777" w:rsidR="00333601" w:rsidRPr="00BE78CA" w:rsidRDefault="00333601" w:rsidP="00C26084">
            <w:pPr>
              <w:pStyle w:val="TableText"/>
              <w:spacing w:before="50" w:after="50"/>
              <w:jc w:val="center"/>
            </w:pPr>
            <w:r w:rsidRPr="00BE78CA">
              <w:t>752,863</w:t>
            </w:r>
          </w:p>
        </w:tc>
        <w:tc>
          <w:tcPr>
            <w:tcW w:w="1055" w:type="dxa"/>
            <w:tcBorders>
              <w:top w:val="single" w:sz="4" w:space="0" w:color="365F91"/>
              <w:bottom w:val="single" w:sz="4" w:space="0" w:color="365F91"/>
            </w:tcBorders>
          </w:tcPr>
          <w:p w14:paraId="191F759C" w14:textId="77777777" w:rsidR="00333601" w:rsidRPr="00BE78CA" w:rsidRDefault="00333601" w:rsidP="00C26084">
            <w:pPr>
              <w:pStyle w:val="TableText"/>
              <w:spacing w:before="50" w:after="50"/>
              <w:jc w:val="center"/>
            </w:pPr>
            <w:r w:rsidRPr="00BE78CA">
              <w:t>9.5</w:t>
            </w:r>
          </w:p>
        </w:tc>
        <w:tc>
          <w:tcPr>
            <w:tcW w:w="1112" w:type="dxa"/>
            <w:tcBorders>
              <w:top w:val="single" w:sz="4" w:space="0" w:color="365F91"/>
              <w:bottom w:val="single" w:sz="4" w:space="0" w:color="365F91"/>
            </w:tcBorders>
          </w:tcPr>
          <w:p w14:paraId="66EF8FC0" w14:textId="77777777" w:rsidR="00333601" w:rsidRPr="00BE78CA" w:rsidRDefault="00333601" w:rsidP="00C26084">
            <w:pPr>
              <w:pStyle w:val="TableText"/>
              <w:spacing w:before="50" w:after="50"/>
              <w:jc w:val="center"/>
            </w:pPr>
            <w:r w:rsidRPr="00BE78CA">
              <w:t>18.8</w:t>
            </w:r>
          </w:p>
        </w:tc>
        <w:tc>
          <w:tcPr>
            <w:tcW w:w="1307" w:type="dxa"/>
            <w:tcBorders>
              <w:top w:val="single" w:sz="4" w:space="0" w:color="365F91"/>
              <w:bottom w:val="single" w:sz="4" w:space="0" w:color="365F91"/>
            </w:tcBorders>
          </w:tcPr>
          <w:p w14:paraId="0F6AADCB" w14:textId="77777777" w:rsidR="00333601" w:rsidRPr="00BE78CA" w:rsidRDefault="00333601" w:rsidP="00C26084">
            <w:pPr>
              <w:pStyle w:val="TableText"/>
              <w:spacing w:before="50" w:after="50"/>
              <w:jc w:val="center"/>
            </w:pPr>
            <w:r w:rsidRPr="00BE78CA">
              <w:t>+98.8</w:t>
            </w:r>
          </w:p>
        </w:tc>
      </w:tr>
      <w:tr w:rsidR="00333601" w:rsidRPr="00BE78CA" w14:paraId="5D91D668" w14:textId="77777777" w:rsidTr="00C17CFB">
        <w:tc>
          <w:tcPr>
            <w:tcW w:w="2770" w:type="dxa"/>
            <w:tcBorders>
              <w:top w:val="single" w:sz="4" w:space="0" w:color="365F91"/>
              <w:bottom w:val="single" w:sz="4" w:space="0" w:color="365F91"/>
            </w:tcBorders>
          </w:tcPr>
          <w:p w14:paraId="4E3C46BE" w14:textId="77777777" w:rsidR="00333601" w:rsidRPr="00BE78CA" w:rsidRDefault="00333601" w:rsidP="00C26084">
            <w:pPr>
              <w:pStyle w:val="TableText"/>
              <w:spacing w:before="50" w:after="50"/>
            </w:pPr>
            <w:r w:rsidRPr="00BE78CA">
              <w:t>Land converted to wetlands</w:t>
            </w:r>
          </w:p>
        </w:tc>
        <w:tc>
          <w:tcPr>
            <w:tcW w:w="1206" w:type="dxa"/>
            <w:tcBorders>
              <w:top w:val="single" w:sz="4" w:space="0" w:color="365F91"/>
              <w:bottom w:val="single" w:sz="4" w:space="0" w:color="365F91"/>
            </w:tcBorders>
          </w:tcPr>
          <w:p w14:paraId="7972CA26" w14:textId="77777777" w:rsidR="00333601" w:rsidRPr="00BE78CA" w:rsidRDefault="00333601" w:rsidP="00C26084">
            <w:pPr>
              <w:pStyle w:val="TableText"/>
              <w:spacing w:before="50" w:after="50"/>
              <w:jc w:val="center"/>
            </w:pPr>
            <w:r w:rsidRPr="00BE78CA">
              <w:t>10,276</w:t>
            </w:r>
          </w:p>
        </w:tc>
        <w:tc>
          <w:tcPr>
            <w:tcW w:w="1055" w:type="dxa"/>
            <w:tcBorders>
              <w:top w:val="single" w:sz="4" w:space="0" w:color="365F91"/>
              <w:bottom w:val="single" w:sz="4" w:space="0" w:color="365F91"/>
            </w:tcBorders>
          </w:tcPr>
          <w:p w14:paraId="43C21FEC" w14:textId="77777777" w:rsidR="00333601" w:rsidRPr="00BE78CA" w:rsidRDefault="00333601" w:rsidP="00C26084">
            <w:pPr>
              <w:pStyle w:val="TableText"/>
              <w:spacing w:before="50" w:after="50"/>
              <w:jc w:val="center"/>
            </w:pPr>
            <w:r w:rsidRPr="00BE78CA">
              <w:t>5,762</w:t>
            </w:r>
          </w:p>
        </w:tc>
        <w:tc>
          <w:tcPr>
            <w:tcW w:w="1055" w:type="dxa"/>
            <w:tcBorders>
              <w:top w:val="single" w:sz="4" w:space="0" w:color="365F91"/>
              <w:bottom w:val="single" w:sz="4" w:space="0" w:color="365F91"/>
            </w:tcBorders>
          </w:tcPr>
          <w:p w14:paraId="094F6DFD" w14:textId="77777777" w:rsidR="00333601" w:rsidRPr="00BE78CA" w:rsidRDefault="00333601" w:rsidP="00C26084">
            <w:pPr>
              <w:pStyle w:val="TableText"/>
              <w:spacing w:before="50" w:after="50"/>
              <w:jc w:val="center"/>
            </w:pPr>
            <w:r w:rsidRPr="00BE78CA">
              <w:t>–20.1</w:t>
            </w:r>
          </w:p>
        </w:tc>
        <w:tc>
          <w:tcPr>
            <w:tcW w:w="1112" w:type="dxa"/>
            <w:tcBorders>
              <w:top w:val="single" w:sz="4" w:space="0" w:color="365F91"/>
              <w:bottom w:val="single" w:sz="4" w:space="0" w:color="365F91"/>
            </w:tcBorders>
          </w:tcPr>
          <w:p w14:paraId="473B40CD" w14:textId="77777777" w:rsidR="00333601" w:rsidRPr="00BE78CA" w:rsidRDefault="00333601" w:rsidP="00C26084">
            <w:pPr>
              <w:pStyle w:val="TableText"/>
              <w:spacing w:before="50" w:after="50"/>
              <w:jc w:val="center"/>
            </w:pPr>
            <w:r w:rsidRPr="00BE78CA">
              <w:t>–5.4</w:t>
            </w:r>
          </w:p>
        </w:tc>
        <w:tc>
          <w:tcPr>
            <w:tcW w:w="1307" w:type="dxa"/>
            <w:tcBorders>
              <w:top w:val="single" w:sz="4" w:space="0" w:color="365F91"/>
              <w:bottom w:val="single" w:sz="4" w:space="0" w:color="365F91"/>
            </w:tcBorders>
          </w:tcPr>
          <w:p w14:paraId="4731D3A9" w14:textId="77777777" w:rsidR="00333601" w:rsidRPr="00BE78CA" w:rsidRDefault="00333601" w:rsidP="00C26084">
            <w:pPr>
              <w:pStyle w:val="TableText"/>
              <w:spacing w:before="50" w:after="50"/>
              <w:jc w:val="center"/>
            </w:pPr>
            <w:r w:rsidRPr="00BE78CA">
              <w:t>+73.2</w:t>
            </w:r>
          </w:p>
        </w:tc>
      </w:tr>
      <w:tr w:rsidR="00333601" w:rsidRPr="00BE78CA" w14:paraId="4578014D" w14:textId="77777777" w:rsidTr="00C17CFB">
        <w:tc>
          <w:tcPr>
            <w:tcW w:w="2770" w:type="dxa"/>
            <w:tcBorders>
              <w:top w:val="single" w:sz="4" w:space="0" w:color="365F91"/>
              <w:bottom w:val="single" w:sz="4" w:space="0" w:color="365F91"/>
            </w:tcBorders>
          </w:tcPr>
          <w:p w14:paraId="3EDB2FB8" w14:textId="77777777" w:rsidR="00333601" w:rsidRPr="00BE78CA" w:rsidRDefault="00333601" w:rsidP="00C26084">
            <w:pPr>
              <w:pStyle w:val="Tableboldblue"/>
              <w:spacing w:before="50" w:after="50"/>
              <w:jc w:val="right"/>
            </w:pPr>
            <w:r w:rsidRPr="00BE78CA">
              <w:t>Total</w:t>
            </w:r>
          </w:p>
        </w:tc>
        <w:tc>
          <w:tcPr>
            <w:tcW w:w="1206" w:type="dxa"/>
            <w:tcBorders>
              <w:top w:val="single" w:sz="4" w:space="0" w:color="365F91"/>
              <w:bottom w:val="single" w:sz="4" w:space="0" w:color="365F91"/>
            </w:tcBorders>
          </w:tcPr>
          <w:p w14:paraId="79C27ACF" w14:textId="77777777" w:rsidR="00333601" w:rsidRPr="00BE78CA" w:rsidRDefault="00333601" w:rsidP="00C26084">
            <w:pPr>
              <w:pStyle w:val="Tableboldblue"/>
              <w:spacing w:before="50" w:after="50"/>
              <w:jc w:val="center"/>
            </w:pPr>
            <w:r w:rsidRPr="00BE78CA">
              <w:t>762,042</w:t>
            </w:r>
          </w:p>
        </w:tc>
        <w:tc>
          <w:tcPr>
            <w:tcW w:w="1055" w:type="dxa"/>
            <w:tcBorders>
              <w:top w:val="single" w:sz="4" w:space="0" w:color="365F91"/>
              <w:bottom w:val="single" w:sz="4" w:space="0" w:color="365F91"/>
            </w:tcBorders>
          </w:tcPr>
          <w:p w14:paraId="34EE56A7" w14:textId="77777777" w:rsidR="00333601" w:rsidRPr="00BE78CA" w:rsidRDefault="00333601" w:rsidP="00C26084">
            <w:pPr>
              <w:pStyle w:val="Tableboldblue"/>
              <w:spacing w:before="50" w:after="50"/>
              <w:jc w:val="center"/>
            </w:pPr>
            <w:r w:rsidRPr="00BE78CA">
              <w:t>758,625</w:t>
            </w:r>
          </w:p>
        </w:tc>
        <w:tc>
          <w:tcPr>
            <w:tcW w:w="1055" w:type="dxa"/>
            <w:tcBorders>
              <w:top w:val="single" w:sz="4" w:space="0" w:color="365F91"/>
              <w:bottom w:val="single" w:sz="4" w:space="0" w:color="365F91"/>
            </w:tcBorders>
          </w:tcPr>
          <w:p w14:paraId="367F1D75" w14:textId="77777777" w:rsidR="00333601" w:rsidRPr="00BE78CA" w:rsidRDefault="00333601" w:rsidP="00C26084">
            <w:pPr>
              <w:pStyle w:val="Tableboldblue"/>
              <w:spacing w:before="50" w:after="50"/>
              <w:jc w:val="center"/>
            </w:pPr>
            <w:r w:rsidRPr="00BE78CA">
              <w:t>–10.7</w:t>
            </w:r>
          </w:p>
        </w:tc>
        <w:tc>
          <w:tcPr>
            <w:tcW w:w="1112" w:type="dxa"/>
            <w:tcBorders>
              <w:top w:val="single" w:sz="4" w:space="0" w:color="365F91"/>
              <w:bottom w:val="single" w:sz="4" w:space="0" w:color="365F91"/>
            </w:tcBorders>
          </w:tcPr>
          <w:p w14:paraId="4599F4B5" w14:textId="77777777" w:rsidR="00333601" w:rsidRPr="00BE78CA" w:rsidRDefault="00333601" w:rsidP="00C26084">
            <w:pPr>
              <w:pStyle w:val="Tableboldblue"/>
              <w:spacing w:before="50" w:after="50"/>
              <w:jc w:val="center"/>
            </w:pPr>
            <w:r w:rsidRPr="00BE78CA">
              <w:t>+13.4</w:t>
            </w:r>
          </w:p>
        </w:tc>
        <w:tc>
          <w:tcPr>
            <w:tcW w:w="1307" w:type="dxa"/>
            <w:tcBorders>
              <w:top w:val="single" w:sz="4" w:space="0" w:color="365F91"/>
              <w:bottom w:val="single" w:sz="4" w:space="0" w:color="365F91"/>
            </w:tcBorders>
          </w:tcPr>
          <w:p w14:paraId="3E4DB07A" w14:textId="77777777" w:rsidR="00333601" w:rsidRPr="00BE78CA" w:rsidRDefault="00333601" w:rsidP="00C26084">
            <w:pPr>
              <w:pStyle w:val="Tableboldblue"/>
              <w:spacing w:before="50" w:after="50"/>
              <w:jc w:val="center"/>
            </w:pPr>
            <w:r w:rsidRPr="00BE78CA">
              <w:t>+225.2</w:t>
            </w:r>
          </w:p>
        </w:tc>
      </w:tr>
    </w:tbl>
    <w:p w14:paraId="27D6BDAB" w14:textId="77777777" w:rsidR="00333601" w:rsidRPr="00BE78CA" w:rsidRDefault="00333601" w:rsidP="00333601">
      <w:pPr>
        <w:pStyle w:val="Noteundertable"/>
        <w:spacing w:after="80"/>
      </w:pPr>
      <w:r w:rsidRPr="00BE78CA">
        <w:rPr>
          <w:b/>
        </w:rPr>
        <w:t xml:space="preserve">Note: </w:t>
      </w:r>
      <w:r w:rsidRPr="00BE78CA">
        <w:rPr>
          <w:b/>
        </w:rPr>
        <w:tab/>
      </w:r>
      <w:r w:rsidRPr="00BE78CA">
        <w:t>Net area in 1990 is as at 1 January 1990; net area in 2019 is as at 31 December.</w:t>
      </w:r>
      <w:r w:rsidRPr="00BE78CA">
        <w:rPr>
          <w:i/>
        </w:rPr>
        <w:t xml:space="preserve"> Land converted to wetlands</w:t>
      </w:r>
      <w:r w:rsidRPr="00BE78CA">
        <w:t xml:space="preserve"> includes land converted up to 20 years prior. </w:t>
      </w:r>
      <w:r w:rsidRPr="00BE78CA">
        <w:rPr>
          <w:i/>
        </w:rPr>
        <w:t>Land converted to wetlands</w:t>
      </w:r>
      <w:r w:rsidRPr="00BE78CA">
        <w:t xml:space="preserve"> consists of land converted to hydro lakes prior to 1990. Net emission values are for the whole year indicated. Columns may not total due to rounding. </w:t>
      </w:r>
    </w:p>
    <w:p w14:paraId="743702AA" w14:textId="77777777" w:rsidR="00333601" w:rsidRPr="00BE78CA" w:rsidRDefault="00333601" w:rsidP="00333601">
      <w:pPr>
        <w:pStyle w:val="BodyText"/>
      </w:pPr>
      <w:r w:rsidRPr="00BE78CA">
        <w:t xml:space="preserve">From 1990 to 2019, the net carbon stock in </w:t>
      </w:r>
      <w:r w:rsidRPr="00BE78CA">
        <w:rPr>
          <w:i/>
        </w:rPr>
        <w:t>Wetlands</w:t>
      </w:r>
      <w:r w:rsidRPr="00BE78CA">
        <w:t xml:space="preserve"> decreased by 0.6 kt C, equivalent to emissions of 2.3 kt CO</w:t>
      </w:r>
      <w:r w:rsidRPr="00BE78CA">
        <w:rPr>
          <w:vertAlign w:val="subscript"/>
        </w:rPr>
        <w:t>2</w:t>
      </w:r>
      <w:r w:rsidRPr="00BE78CA">
        <w:t xml:space="preserve"> in total since 1990 (see table 6.7.2).</w:t>
      </w:r>
    </w:p>
    <w:p w14:paraId="7D6E20C6" w14:textId="77777777" w:rsidR="00333601" w:rsidRPr="00BE78CA" w:rsidRDefault="00333601" w:rsidP="00333601">
      <w:pPr>
        <w:pStyle w:val="Table"/>
      </w:pPr>
      <w:bookmarkStart w:id="2427" w:name="_Toc342470785"/>
      <w:bookmarkStart w:id="2428" w:name="_Toc352505025"/>
      <w:bookmarkStart w:id="2429" w:name="_Toc378853314"/>
      <w:bookmarkStart w:id="2430" w:name="_Toc391024112"/>
      <w:bookmarkStart w:id="2431" w:name="_Toc410028855"/>
      <w:bookmarkStart w:id="2432" w:name="_Toc414531483"/>
      <w:bookmarkStart w:id="2433" w:name="_Toc443645396"/>
      <w:bookmarkStart w:id="2434" w:name="_Toc474914615"/>
      <w:bookmarkStart w:id="2435" w:name="_Toc481751579"/>
      <w:bookmarkStart w:id="2436" w:name="_Toc522010636"/>
      <w:bookmarkStart w:id="2437" w:name="_Toc5269541"/>
      <w:bookmarkStart w:id="2438" w:name="_Toc33529415"/>
      <w:bookmarkStart w:id="2439" w:name="_Toc36224621"/>
      <w:bookmarkStart w:id="2440" w:name="_Toc65243618"/>
      <w:bookmarkStart w:id="2441" w:name="_Toc68786508"/>
      <w:r w:rsidRPr="00BE78CA">
        <w:t>Table 6.7.2</w:t>
      </w:r>
      <w:r w:rsidRPr="00BE78CA">
        <w:tab/>
        <w:t>New Zealand’s carbon stock change by carbon pool for the Wetlands category from 1990 to</w:t>
      </w:r>
      <w:bookmarkEnd w:id="2427"/>
      <w:bookmarkEnd w:id="2428"/>
      <w:bookmarkEnd w:id="2429"/>
      <w:bookmarkEnd w:id="2430"/>
      <w:r w:rsidRPr="00BE78CA">
        <w:t> 201</w:t>
      </w:r>
      <w:bookmarkEnd w:id="2431"/>
      <w:bookmarkEnd w:id="2432"/>
      <w:bookmarkEnd w:id="2433"/>
      <w:bookmarkEnd w:id="2434"/>
      <w:bookmarkEnd w:id="2435"/>
      <w:r w:rsidRPr="00BE78CA">
        <w:t>9</w:t>
      </w:r>
      <w:bookmarkEnd w:id="2436"/>
      <w:bookmarkEnd w:id="2437"/>
      <w:bookmarkEnd w:id="2438"/>
      <w:bookmarkEnd w:id="2439"/>
      <w:bookmarkEnd w:id="2440"/>
      <w:bookmarkEnd w:id="2441"/>
    </w:p>
    <w:tbl>
      <w:tblPr>
        <w:tblW w:w="8505" w:type="dxa"/>
        <w:tblLayout w:type="fixed"/>
        <w:tblLook w:val="04A0" w:firstRow="1" w:lastRow="0" w:firstColumn="1" w:lastColumn="0" w:noHBand="0" w:noVBand="1"/>
      </w:tblPr>
      <w:tblGrid>
        <w:gridCol w:w="1812"/>
        <w:gridCol w:w="1236"/>
        <w:gridCol w:w="1668"/>
        <w:gridCol w:w="889"/>
        <w:gridCol w:w="1179"/>
        <w:gridCol w:w="1721"/>
      </w:tblGrid>
      <w:tr w:rsidR="00333601" w:rsidRPr="00BE78CA" w14:paraId="38B01051" w14:textId="77777777" w:rsidTr="00E55977">
        <w:tc>
          <w:tcPr>
            <w:tcW w:w="1843" w:type="dxa"/>
            <w:vMerge w:val="restart"/>
            <w:tcBorders>
              <w:top w:val="single" w:sz="4" w:space="0" w:color="365F91"/>
            </w:tcBorders>
            <w:shd w:val="clear" w:color="auto" w:fill="365F91"/>
            <w:vAlign w:val="bottom"/>
          </w:tcPr>
          <w:p w14:paraId="04EC573A" w14:textId="77777777" w:rsidR="00333601" w:rsidRPr="00BE78CA" w:rsidRDefault="00333601" w:rsidP="000B4B96">
            <w:pPr>
              <w:pStyle w:val="TableTextBold"/>
              <w:spacing w:before="50" w:after="40"/>
              <w:rPr>
                <w:noProof w:val="0"/>
                <w:color w:val="FFFFFF"/>
              </w:rPr>
            </w:pPr>
            <w:r w:rsidRPr="00BE78CA">
              <w:rPr>
                <w:noProof w:val="0"/>
                <w:color w:val="FFFFFF"/>
              </w:rPr>
              <w:t>Land use</w:t>
            </w:r>
          </w:p>
        </w:tc>
        <w:tc>
          <w:tcPr>
            <w:tcW w:w="5053" w:type="dxa"/>
            <w:gridSpan w:val="4"/>
            <w:tcBorders>
              <w:top w:val="single" w:sz="4" w:space="0" w:color="365F91"/>
            </w:tcBorders>
            <w:shd w:val="clear" w:color="auto" w:fill="365F91"/>
            <w:vAlign w:val="bottom"/>
          </w:tcPr>
          <w:p w14:paraId="79DAF2F4" w14:textId="77777777" w:rsidR="00333601" w:rsidRPr="00BE78CA" w:rsidRDefault="00333601" w:rsidP="000B4B96">
            <w:pPr>
              <w:pStyle w:val="TableTextBold"/>
              <w:spacing w:before="50" w:after="0"/>
              <w:jc w:val="center"/>
              <w:rPr>
                <w:noProof w:val="0"/>
                <w:color w:val="FFFFFF"/>
              </w:rPr>
            </w:pPr>
            <w:r w:rsidRPr="00BE78CA">
              <w:rPr>
                <w:noProof w:val="0"/>
                <w:color w:val="FFFFFF"/>
              </w:rPr>
              <w:t>Net carbon stock change 1990–2019 (kt C)</w:t>
            </w:r>
          </w:p>
        </w:tc>
        <w:tc>
          <w:tcPr>
            <w:tcW w:w="1751" w:type="dxa"/>
            <w:vMerge w:val="restart"/>
            <w:tcBorders>
              <w:top w:val="single" w:sz="4" w:space="0" w:color="365F91"/>
            </w:tcBorders>
            <w:shd w:val="clear" w:color="auto" w:fill="365F91"/>
            <w:vAlign w:val="bottom"/>
          </w:tcPr>
          <w:p w14:paraId="5FA78542" w14:textId="77777777" w:rsidR="00333601" w:rsidRPr="00BE78CA" w:rsidRDefault="00333601" w:rsidP="000B4B96">
            <w:pPr>
              <w:pStyle w:val="TableTextBold"/>
              <w:spacing w:before="50" w:after="40"/>
              <w:jc w:val="center"/>
              <w:rPr>
                <w:noProof w:val="0"/>
                <w:color w:val="FFFFFF"/>
              </w:rPr>
            </w:pPr>
            <w:r w:rsidRPr="00BE78CA">
              <w:rPr>
                <w:noProof w:val="0"/>
                <w:color w:val="FFFFFF"/>
              </w:rPr>
              <w:t>Emissions 1990–2019</w:t>
            </w:r>
            <w:r w:rsidRPr="00BE78CA">
              <w:rPr>
                <w:noProof w:val="0"/>
                <w:color w:val="FFFFFF"/>
              </w:rPr>
              <w:br/>
              <w:t>(kt CO</w:t>
            </w:r>
            <w:r w:rsidRPr="00BE78CA">
              <w:rPr>
                <w:noProof w:val="0"/>
                <w:color w:val="FFFFFF"/>
                <w:vertAlign w:val="subscript"/>
              </w:rPr>
              <w:t>2</w:t>
            </w:r>
            <w:r w:rsidRPr="00BE78CA">
              <w:rPr>
                <w:noProof w:val="0"/>
                <w:color w:val="FFFFFF"/>
              </w:rPr>
              <w:t>)</w:t>
            </w:r>
          </w:p>
        </w:tc>
      </w:tr>
      <w:tr w:rsidR="00333601" w:rsidRPr="00BE78CA" w14:paraId="13AD6617" w14:textId="77777777" w:rsidTr="00E55977">
        <w:tc>
          <w:tcPr>
            <w:tcW w:w="1843" w:type="dxa"/>
            <w:vMerge/>
            <w:tcBorders>
              <w:bottom w:val="single" w:sz="4" w:space="0" w:color="365F91"/>
            </w:tcBorders>
          </w:tcPr>
          <w:p w14:paraId="556EB703" w14:textId="77777777" w:rsidR="00333601" w:rsidRPr="00BE78CA" w:rsidRDefault="00333601" w:rsidP="00C26084">
            <w:pPr>
              <w:pStyle w:val="TableTextBold"/>
              <w:spacing w:before="40" w:after="40"/>
              <w:rPr>
                <w:noProof w:val="0"/>
                <w:color w:val="FFFFFF"/>
              </w:rPr>
            </w:pPr>
          </w:p>
        </w:tc>
        <w:tc>
          <w:tcPr>
            <w:tcW w:w="1256" w:type="dxa"/>
            <w:tcBorders>
              <w:bottom w:val="single" w:sz="4" w:space="0" w:color="365F91"/>
            </w:tcBorders>
            <w:shd w:val="clear" w:color="auto" w:fill="365F91"/>
            <w:vAlign w:val="bottom"/>
          </w:tcPr>
          <w:p w14:paraId="136FC1CA" w14:textId="77777777" w:rsidR="00333601" w:rsidRPr="00BE78CA" w:rsidRDefault="00333601" w:rsidP="00C26084">
            <w:pPr>
              <w:pStyle w:val="TableTextBold"/>
              <w:spacing w:before="0" w:after="40"/>
              <w:jc w:val="center"/>
              <w:rPr>
                <w:noProof w:val="0"/>
                <w:color w:val="FFFFFF"/>
              </w:rPr>
            </w:pPr>
            <w:r w:rsidRPr="00BE78CA">
              <w:rPr>
                <w:noProof w:val="0"/>
                <w:color w:val="FFFFFF"/>
              </w:rPr>
              <w:t>Living biomass</w:t>
            </w:r>
          </w:p>
        </w:tc>
        <w:tc>
          <w:tcPr>
            <w:tcW w:w="1697" w:type="dxa"/>
            <w:tcBorders>
              <w:bottom w:val="single" w:sz="4" w:space="0" w:color="365F91"/>
            </w:tcBorders>
            <w:shd w:val="clear" w:color="auto" w:fill="365F91"/>
            <w:vAlign w:val="bottom"/>
          </w:tcPr>
          <w:p w14:paraId="416A11BD" w14:textId="77777777" w:rsidR="00333601" w:rsidRPr="00BE78CA" w:rsidRDefault="00333601" w:rsidP="00C26084">
            <w:pPr>
              <w:pStyle w:val="TableTextBold"/>
              <w:spacing w:before="0" w:after="40"/>
              <w:jc w:val="center"/>
              <w:rPr>
                <w:noProof w:val="0"/>
                <w:color w:val="FFFFFF"/>
              </w:rPr>
            </w:pPr>
            <w:r w:rsidRPr="00BE78CA">
              <w:rPr>
                <w:noProof w:val="0"/>
                <w:color w:val="FFFFFF"/>
              </w:rPr>
              <w:t>Dead organic matter</w:t>
            </w:r>
          </w:p>
        </w:tc>
        <w:tc>
          <w:tcPr>
            <w:tcW w:w="902" w:type="dxa"/>
            <w:tcBorders>
              <w:bottom w:val="single" w:sz="4" w:space="0" w:color="365F91"/>
            </w:tcBorders>
            <w:shd w:val="clear" w:color="auto" w:fill="365F91"/>
            <w:vAlign w:val="bottom"/>
          </w:tcPr>
          <w:p w14:paraId="1D3751B6" w14:textId="77777777" w:rsidR="00333601" w:rsidRPr="00BE78CA" w:rsidRDefault="00333601" w:rsidP="00C26084">
            <w:pPr>
              <w:pStyle w:val="TableTextBold"/>
              <w:spacing w:before="0" w:after="40"/>
              <w:jc w:val="center"/>
              <w:rPr>
                <w:noProof w:val="0"/>
                <w:color w:val="FFFFFF"/>
              </w:rPr>
            </w:pPr>
            <w:r w:rsidRPr="00BE78CA">
              <w:rPr>
                <w:noProof w:val="0"/>
                <w:color w:val="FFFFFF"/>
              </w:rPr>
              <w:t>Soils</w:t>
            </w:r>
          </w:p>
        </w:tc>
        <w:tc>
          <w:tcPr>
            <w:tcW w:w="1198" w:type="dxa"/>
            <w:tcBorders>
              <w:bottom w:val="single" w:sz="4" w:space="0" w:color="365F91"/>
            </w:tcBorders>
            <w:shd w:val="clear" w:color="auto" w:fill="365F91"/>
            <w:vAlign w:val="bottom"/>
          </w:tcPr>
          <w:p w14:paraId="6E46629F" w14:textId="77777777" w:rsidR="00333601" w:rsidRPr="00BE78CA" w:rsidRDefault="00333601" w:rsidP="00C26084">
            <w:pPr>
              <w:pStyle w:val="TableTextBold"/>
              <w:spacing w:before="0" w:after="40"/>
              <w:jc w:val="center"/>
              <w:rPr>
                <w:noProof w:val="0"/>
                <w:color w:val="FFFFFF"/>
              </w:rPr>
            </w:pPr>
            <w:r w:rsidRPr="00BE78CA">
              <w:rPr>
                <w:noProof w:val="0"/>
                <w:color w:val="FFFFFF"/>
              </w:rPr>
              <w:t>Total</w:t>
            </w:r>
          </w:p>
        </w:tc>
        <w:tc>
          <w:tcPr>
            <w:tcW w:w="1751" w:type="dxa"/>
            <w:vMerge/>
            <w:tcBorders>
              <w:bottom w:val="single" w:sz="4" w:space="0" w:color="365F91"/>
            </w:tcBorders>
          </w:tcPr>
          <w:p w14:paraId="1D424DBF" w14:textId="77777777" w:rsidR="00333601" w:rsidRPr="00BE78CA" w:rsidRDefault="00333601" w:rsidP="00C26084">
            <w:pPr>
              <w:pStyle w:val="TableTextBold"/>
              <w:spacing w:before="40" w:after="40"/>
              <w:jc w:val="center"/>
              <w:rPr>
                <w:noProof w:val="0"/>
                <w:color w:val="FFFFFF"/>
              </w:rPr>
            </w:pPr>
          </w:p>
        </w:tc>
      </w:tr>
      <w:tr w:rsidR="00333601" w:rsidRPr="00BE78CA" w14:paraId="6CD9182C" w14:textId="77777777" w:rsidTr="00E55977">
        <w:trPr>
          <w:trHeight w:val="221"/>
        </w:trPr>
        <w:tc>
          <w:tcPr>
            <w:tcW w:w="1843" w:type="dxa"/>
            <w:tcBorders>
              <w:top w:val="single" w:sz="4" w:space="0" w:color="365F91"/>
              <w:bottom w:val="single" w:sz="4" w:space="0" w:color="365F91"/>
            </w:tcBorders>
          </w:tcPr>
          <w:p w14:paraId="7E3241B1" w14:textId="77777777" w:rsidR="00333601" w:rsidRPr="00BE78CA" w:rsidRDefault="00333601" w:rsidP="00C26084">
            <w:pPr>
              <w:pStyle w:val="TableText"/>
              <w:spacing w:before="50" w:after="50"/>
            </w:pPr>
            <w:r w:rsidRPr="00BE78CA">
              <w:t>Wetlands – vegetated</w:t>
            </w:r>
          </w:p>
        </w:tc>
        <w:tc>
          <w:tcPr>
            <w:tcW w:w="1256" w:type="dxa"/>
            <w:tcBorders>
              <w:top w:val="single" w:sz="4" w:space="0" w:color="365F91"/>
              <w:bottom w:val="single" w:sz="4" w:space="0" w:color="365F91"/>
            </w:tcBorders>
          </w:tcPr>
          <w:p w14:paraId="690F0C20" w14:textId="77777777" w:rsidR="00333601" w:rsidRPr="00BE78CA" w:rsidRDefault="00333601" w:rsidP="00C26084">
            <w:pPr>
              <w:pStyle w:val="TableText"/>
              <w:spacing w:before="50" w:after="50"/>
              <w:jc w:val="center"/>
            </w:pPr>
            <w:r w:rsidRPr="00BE78CA">
              <w:t>–26.5</w:t>
            </w:r>
          </w:p>
        </w:tc>
        <w:tc>
          <w:tcPr>
            <w:tcW w:w="1697" w:type="dxa"/>
            <w:tcBorders>
              <w:top w:val="single" w:sz="4" w:space="0" w:color="365F91"/>
              <w:bottom w:val="single" w:sz="4" w:space="0" w:color="365F91"/>
            </w:tcBorders>
          </w:tcPr>
          <w:p w14:paraId="015105F7" w14:textId="77777777" w:rsidR="00333601" w:rsidRPr="00BE78CA" w:rsidRDefault="00333601" w:rsidP="00C26084">
            <w:pPr>
              <w:pStyle w:val="TableText"/>
              <w:spacing w:before="50" w:after="50"/>
              <w:jc w:val="center"/>
            </w:pPr>
            <w:r w:rsidRPr="00BE78CA">
              <w:t>–2.2</w:t>
            </w:r>
          </w:p>
        </w:tc>
        <w:tc>
          <w:tcPr>
            <w:tcW w:w="902" w:type="dxa"/>
            <w:tcBorders>
              <w:top w:val="single" w:sz="4" w:space="0" w:color="365F91"/>
              <w:bottom w:val="single" w:sz="4" w:space="0" w:color="365F91"/>
            </w:tcBorders>
          </w:tcPr>
          <w:p w14:paraId="1C5E7C25" w14:textId="77777777" w:rsidR="00333601" w:rsidRPr="00BE78CA" w:rsidRDefault="00333601" w:rsidP="00C26084">
            <w:pPr>
              <w:pStyle w:val="TableText"/>
              <w:spacing w:before="50" w:after="50"/>
              <w:jc w:val="center"/>
            </w:pPr>
            <w:r w:rsidRPr="00BE78CA">
              <w:t>10.6</w:t>
            </w:r>
          </w:p>
        </w:tc>
        <w:tc>
          <w:tcPr>
            <w:tcW w:w="1198" w:type="dxa"/>
            <w:tcBorders>
              <w:top w:val="single" w:sz="4" w:space="0" w:color="365F91"/>
              <w:bottom w:val="single" w:sz="4" w:space="0" w:color="365F91"/>
            </w:tcBorders>
          </w:tcPr>
          <w:p w14:paraId="6FCD5FBF" w14:textId="77777777" w:rsidR="00333601" w:rsidRPr="00BE78CA" w:rsidRDefault="00333601" w:rsidP="00C26084">
            <w:pPr>
              <w:pStyle w:val="TableText"/>
              <w:spacing w:before="50" w:after="50"/>
              <w:jc w:val="center"/>
            </w:pPr>
            <w:r w:rsidRPr="00BE78CA">
              <w:t>–18.1</w:t>
            </w:r>
          </w:p>
        </w:tc>
        <w:tc>
          <w:tcPr>
            <w:tcW w:w="1751" w:type="dxa"/>
            <w:tcBorders>
              <w:top w:val="single" w:sz="4" w:space="0" w:color="365F91"/>
              <w:bottom w:val="single" w:sz="4" w:space="0" w:color="365F91"/>
            </w:tcBorders>
          </w:tcPr>
          <w:p w14:paraId="34DF1298" w14:textId="77777777" w:rsidR="00333601" w:rsidRPr="00BE78CA" w:rsidRDefault="00333601" w:rsidP="00C26084">
            <w:pPr>
              <w:pStyle w:val="TableText"/>
              <w:spacing w:before="50" w:after="50"/>
              <w:jc w:val="center"/>
            </w:pPr>
            <w:r w:rsidRPr="00BE78CA">
              <w:t>66.3</w:t>
            </w:r>
          </w:p>
        </w:tc>
      </w:tr>
      <w:tr w:rsidR="00333601" w:rsidRPr="00BE78CA" w14:paraId="6E81444E" w14:textId="77777777" w:rsidTr="00E55977">
        <w:tc>
          <w:tcPr>
            <w:tcW w:w="1843" w:type="dxa"/>
            <w:tcBorders>
              <w:top w:val="single" w:sz="4" w:space="0" w:color="365F91"/>
              <w:bottom w:val="single" w:sz="4" w:space="0" w:color="365F91"/>
            </w:tcBorders>
          </w:tcPr>
          <w:p w14:paraId="5F8150B6" w14:textId="77777777" w:rsidR="00333601" w:rsidRPr="00BE78CA" w:rsidRDefault="00333601" w:rsidP="00C26084">
            <w:pPr>
              <w:pStyle w:val="TableText"/>
              <w:spacing w:before="50" w:after="50"/>
            </w:pPr>
            <w:r w:rsidRPr="00BE78CA">
              <w:t>Wetlands – open water</w:t>
            </w:r>
          </w:p>
        </w:tc>
        <w:tc>
          <w:tcPr>
            <w:tcW w:w="1256" w:type="dxa"/>
            <w:tcBorders>
              <w:top w:val="single" w:sz="4" w:space="0" w:color="365F91"/>
              <w:bottom w:val="single" w:sz="4" w:space="0" w:color="365F91"/>
            </w:tcBorders>
          </w:tcPr>
          <w:p w14:paraId="7F02325A" w14:textId="77777777" w:rsidR="00333601" w:rsidRPr="00BE78CA" w:rsidRDefault="00333601" w:rsidP="00C26084">
            <w:pPr>
              <w:pStyle w:val="TableText"/>
              <w:spacing w:before="50" w:after="50"/>
              <w:jc w:val="center"/>
            </w:pPr>
            <w:r w:rsidRPr="00BE78CA">
              <w:t>–74.1</w:t>
            </w:r>
          </w:p>
        </w:tc>
        <w:tc>
          <w:tcPr>
            <w:tcW w:w="1697" w:type="dxa"/>
            <w:tcBorders>
              <w:top w:val="single" w:sz="4" w:space="0" w:color="365F91"/>
              <w:bottom w:val="single" w:sz="4" w:space="0" w:color="365F91"/>
            </w:tcBorders>
          </w:tcPr>
          <w:p w14:paraId="1252978A" w14:textId="77777777" w:rsidR="00333601" w:rsidRPr="00BE78CA" w:rsidRDefault="00333601" w:rsidP="00C26084">
            <w:pPr>
              <w:pStyle w:val="TableText"/>
              <w:spacing w:before="50" w:after="50"/>
              <w:jc w:val="center"/>
            </w:pPr>
            <w:r w:rsidRPr="00BE78CA">
              <w:t>–5.9</w:t>
            </w:r>
          </w:p>
        </w:tc>
        <w:tc>
          <w:tcPr>
            <w:tcW w:w="902" w:type="dxa"/>
            <w:tcBorders>
              <w:top w:val="single" w:sz="4" w:space="0" w:color="365F91"/>
              <w:bottom w:val="single" w:sz="4" w:space="0" w:color="365F91"/>
            </w:tcBorders>
          </w:tcPr>
          <w:p w14:paraId="058C51E4" w14:textId="77777777" w:rsidR="00333601" w:rsidRPr="00BE78CA" w:rsidRDefault="00333601" w:rsidP="00C26084">
            <w:pPr>
              <w:pStyle w:val="TableText"/>
              <w:spacing w:before="50" w:after="50"/>
              <w:jc w:val="center"/>
            </w:pPr>
            <w:r w:rsidRPr="00BE78CA">
              <w:t>97.4</w:t>
            </w:r>
          </w:p>
        </w:tc>
        <w:tc>
          <w:tcPr>
            <w:tcW w:w="1198" w:type="dxa"/>
            <w:tcBorders>
              <w:top w:val="single" w:sz="4" w:space="0" w:color="365F91"/>
              <w:bottom w:val="single" w:sz="4" w:space="0" w:color="365F91"/>
            </w:tcBorders>
          </w:tcPr>
          <w:p w14:paraId="732E599D" w14:textId="77777777" w:rsidR="00333601" w:rsidRPr="00BE78CA" w:rsidRDefault="00333601" w:rsidP="00C26084">
            <w:pPr>
              <w:pStyle w:val="TableText"/>
              <w:spacing w:before="50" w:after="50"/>
              <w:jc w:val="center"/>
            </w:pPr>
            <w:r w:rsidRPr="00BE78CA">
              <w:t>17.5</w:t>
            </w:r>
          </w:p>
        </w:tc>
        <w:tc>
          <w:tcPr>
            <w:tcW w:w="1751" w:type="dxa"/>
            <w:tcBorders>
              <w:top w:val="single" w:sz="4" w:space="0" w:color="365F91"/>
              <w:bottom w:val="single" w:sz="4" w:space="0" w:color="365F91"/>
            </w:tcBorders>
          </w:tcPr>
          <w:p w14:paraId="5430C84E" w14:textId="77777777" w:rsidR="00333601" w:rsidRPr="00BE78CA" w:rsidRDefault="00333601" w:rsidP="00C26084">
            <w:pPr>
              <w:pStyle w:val="TableText"/>
              <w:spacing w:before="50" w:after="50"/>
              <w:jc w:val="center"/>
            </w:pPr>
            <w:r w:rsidRPr="00BE78CA">
              <w:t>–64.0</w:t>
            </w:r>
          </w:p>
        </w:tc>
      </w:tr>
      <w:tr w:rsidR="00333601" w:rsidRPr="00BE78CA" w14:paraId="1369F53B" w14:textId="77777777" w:rsidTr="00E55977">
        <w:tc>
          <w:tcPr>
            <w:tcW w:w="1843" w:type="dxa"/>
            <w:tcBorders>
              <w:top w:val="single" w:sz="4" w:space="0" w:color="365F91"/>
              <w:bottom w:val="single" w:sz="4" w:space="0" w:color="365F91"/>
            </w:tcBorders>
          </w:tcPr>
          <w:p w14:paraId="70265AB8" w14:textId="77777777" w:rsidR="00333601" w:rsidRPr="00BE78CA" w:rsidRDefault="00333601" w:rsidP="00C26084">
            <w:pPr>
              <w:pStyle w:val="Tableboldblue"/>
              <w:spacing w:before="50" w:after="50"/>
              <w:jc w:val="right"/>
            </w:pPr>
            <w:r w:rsidRPr="00BE78CA">
              <w:t>Total</w:t>
            </w:r>
          </w:p>
        </w:tc>
        <w:tc>
          <w:tcPr>
            <w:tcW w:w="1256" w:type="dxa"/>
            <w:tcBorders>
              <w:top w:val="single" w:sz="4" w:space="0" w:color="365F91"/>
              <w:bottom w:val="single" w:sz="4" w:space="0" w:color="365F91"/>
            </w:tcBorders>
          </w:tcPr>
          <w:p w14:paraId="0A7344C0" w14:textId="77777777" w:rsidR="00333601" w:rsidRPr="00BE78CA" w:rsidRDefault="00333601" w:rsidP="00C26084">
            <w:pPr>
              <w:pStyle w:val="Tableboldblue"/>
              <w:spacing w:before="50" w:after="50"/>
              <w:jc w:val="center"/>
              <w:rPr>
                <w:color w:val="44546A"/>
              </w:rPr>
            </w:pPr>
            <w:r w:rsidRPr="00BE78CA">
              <w:t>–100.6</w:t>
            </w:r>
          </w:p>
        </w:tc>
        <w:tc>
          <w:tcPr>
            <w:tcW w:w="1697" w:type="dxa"/>
            <w:tcBorders>
              <w:top w:val="single" w:sz="4" w:space="0" w:color="365F91"/>
              <w:bottom w:val="single" w:sz="4" w:space="0" w:color="365F91"/>
            </w:tcBorders>
          </w:tcPr>
          <w:p w14:paraId="03212FA1" w14:textId="77777777" w:rsidR="00333601" w:rsidRPr="00BE78CA" w:rsidRDefault="00333601" w:rsidP="00C26084">
            <w:pPr>
              <w:pStyle w:val="Tableboldblue"/>
              <w:spacing w:before="50" w:after="50"/>
              <w:jc w:val="center"/>
              <w:rPr>
                <w:color w:val="44546A"/>
              </w:rPr>
            </w:pPr>
            <w:r w:rsidRPr="00BE78CA">
              <w:t>–8.1</w:t>
            </w:r>
          </w:p>
        </w:tc>
        <w:tc>
          <w:tcPr>
            <w:tcW w:w="902" w:type="dxa"/>
            <w:tcBorders>
              <w:top w:val="single" w:sz="4" w:space="0" w:color="365F91"/>
              <w:bottom w:val="single" w:sz="4" w:space="0" w:color="365F91"/>
            </w:tcBorders>
          </w:tcPr>
          <w:p w14:paraId="2B2CD79B" w14:textId="77777777" w:rsidR="00333601" w:rsidRPr="00BE78CA" w:rsidRDefault="00333601" w:rsidP="00C26084">
            <w:pPr>
              <w:pStyle w:val="Tableboldblue"/>
              <w:spacing w:before="50" w:after="50"/>
              <w:jc w:val="center"/>
              <w:rPr>
                <w:color w:val="44546A"/>
              </w:rPr>
            </w:pPr>
            <w:r w:rsidRPr="00BE78CA">
              <w:t>108.1</w:t>
            </w:r>
          </w:p>
        </w:tc>
        <w:tc>
          <w:tcPr>
            <w:tcW w:w="1198" w:type="dxa"/>
            <w:tcBorders>
              <w:top w:val="single" w:sz="4" w:space="0" w:color="365F91"/>
              <w:bottom w:val="single" w:sz="4" w:space="0" w:color="365F91"/>
            </w:tcBorders>
          </w:tcPr>
          <w:p w14:paraId="72581DEA" w14:textId="77777777" w:rsidR="00333601" w:rsidRPr="00BE78CA" w:rsidRDefault="00333601" w:rsidP="00C26084">
            <w:pPr>
              <w:pStyle w:val="Tableboldblue"/>
              <w:spacing w:before="50" w:after="50"/>
              <w:jc w:val="center"/>
              <w:rPr>
                <w:color w:val="44546A"/>
              </w:rPr>
            </w:pPr>
            <w:r w:rsidRPr="00BE78CA">
              <w:t>–0.6</w:t>
            </w:r>
          </w:p>
        </w:tc>
        <w:tc>
          <w:tcPr>
            <w:tcW w:w="1751" w:type="dxa"/>
            <w:tcBorders>
              <w:top w:val="single" w:sz="4" w:space="0" w:color="365F91"/>
              <w:bottom w:val="single" w:sz="4" w:space="0" w:color="365F91"/>
            </w:tcBorders>
          </w:tcPr>
          <w:p w14:paraId="39808B3A" w14:textId="77777777" w:rsidR="00333601" w:rsidRPr="00BE78CA" w:rsidRDefault="00333601" w:rsidP="00C26084">
            <w:pPr>
              <w:pStyle w:val="Tableboldblue"/>
              <w:spacing w:before="50" w:after="50"/>
              <w:jc w:val="center"/>
              <w:rPr>
                <w:color w:val="44546A"/>
              </w:rPr>
            </w:pPr>
            <w:r w:rsidRPr="00BE78CA">
              <w:t>2.3</w:t>
            </w:r>
          </w:p>
        </w:tc>
      </w:tr>
    </w:tbl>
    <w:p w14:paraId="62F1A502" w14:textId="77777777" w:rsidR="00333601" w:rsidRPr="00BE78CA" w:rsidRDefault="00333601" w:rsidP="00333601">
      <w:pPr>
        <w:pStyle w:val="Noteundertable"/>
        <w:spacing w:after="80"/>
      </w:pPr>
      <w:r w:rsidRPr="00BE78CA">
        <w:rPr>
          <w:b/>
        </w:rPr>
        <w:t xml:space="preserve">Note: </w:t>
      </w:r>
      <w:r w:rsidRPr="00BE78CA">
        <w:rPr>
          <w:b/>
        </w:rPr>
        <w:tab/>
      </w:r>
      <w:r w:rsidRPr="00BE78CA">
        <w:t>Columns may not total due to rounding.</w:t>
      </w:r>
    </w:p>
    <w:p w14:paraId="6B542FFD" w14:textId="77777777" w:rsidR="00333601" w:rsidRPr="00BE78CA" w:rsidRDefault="00333601" w:rsidP="00333601">
      <w:pPr>
        <w:pStyle w:val="Heading3"/>
      </w:pPr>
      <w:r w:rsidRPr="00BE78CA">
        <w:t>6.7.2</w:t>
      </w:r>
      <w:r w:rsidRPr="00BE78CA">
        <w:tab/>
        <w:t>Methodological issues</w:t>
      </w:r>
    </w:p>
    <w:p w14:paraId="17C1FD31" w14:textId="77777777" w:rsidR="00333601" w:rsidRPr="00BE78CA" w:rsidRDefault="00333601" w:rsidP="00333601">
      <w:pPr>
        <w:pStyle w:val="Heading4"/>
        <w:spacing w:before="160"/>
      </w:pPr>
      <w:r w:rsidRPr="00BE78CA">
        <w:t>Wetlands remaining wetlands (CRF 4.D.1)</w:t>
      </w:r>
    </w:p>
    <w:p w14:paraId="081AF315" w14:textId="77777777" w:rsidR="00333601" w:rsidRPr="00BE78CA" w:rsidRDefault="00333601" w:rsidP="00333601">
      <w:pPr>
        <w:pStyle w:val="Heading5"/>
        <w:spacing w:before="160"/>
      </w:pPr>
      <w:r w:rsidRPr="00BE78CA">
        <w:t xml:space="preserve">Living biomass and dead organic matter </w:t>
      </w:r>
    </w:p>
    <w:p w14:paraId="0CEC1B8A" w14:textId="1ECFEF62" w:rsidR="00333601" w:rsidRPr="00BE78CA" w:rsidRDefault="00333601" w:rsidP="008C4667">
      <w:pPr>
        <w:pStyle w:val="BodyText"/>
      </w:pPr>
      <w:r w:rsidRPr="00BE78CA">
        <w:t>New Zealand applies Tier 1 methods for estimating CO</w:t>
      </w:r>
      <w:r w:rsidRPr="00BE78CA">
        <w:rPr>
          <w:vertAlign w:val="subscript"/>
        </w:rPr>
        <w:t>2</w:t>
      </w:r>
      <w:r w:rsidRPr="00BE78CA">
        <w:t xml:space="preserve"> emissions in </w:t>
      </w:r>
      <w:r w:rsidRPr="00BE78CA">
        <w:rPr>
          <w:i/>
        </w:rPr>
        <w:t>Wetlands remaining wetlands</w:t>
      </w:r>
      <w:r w:rsidRPr="00BE78CA">
        <w:t xml:space="preserve"> (following the guidance provided in section 7.1 of the 2006 IPCC Guidelines</w:t>
      </w:r>
      <w:r w:rsidRPr="00BE78CA" w:rsidDel="0015189E">
        <w:t xml:space="preserve"> </w:t>
      </w:r>
      <w:r w:rsidRPr="00BE78CA">
        <w:t>(IPCC,</w:t>
      </w:r>
      <w:r w:rsidR="00C17CFB" w:rsidRPr="00BE78CA">
        <w:t> </w:t>
      </w:r>
      <w:r w:rsidRPr="00BE78CA">
        <w:t>2006a)). Chapter 7 (IPCC, 2006a) provides guidance for estimating emissions from flooded</w:t>
      </w:r>
      <w:r w:rsidR="00C17CFB" w:rsidRPr="00BE78CA">
        <w:t> </w:t>
      </w:r>
      <w:r w:rsidRPr="00BE78CA">
        <w:t>land and extraction from peat land. Recultivation of peat land is included under the</w:t>
      </w:r>
      <w:r w:rsidR="00C17CFB" w:rsidRPr="00BE78CA">
        <w:t> </w:t>
      </w:r>
      <w:r w:rsidRPr="00BE78CA">
        <w:t xml:space="preserve">Agriculture sector. </w:t>
      </w:r>
    </w:p>
    <w:p w14:paraId="58E9255E" w14:textId="77777777" w:rsidR="00333601" w:rsidRPr="00BE78CA" w:rsidRDefault="00333601" w:rsidP="008C4667">
      <w:pPr>
        <w:pStyle w:val="BodyText"/>
      </w:pPr>
      <w:r w:rsidRPr="00BE78CA">
        <w:t xml:space="preserve">Due to the current lack of data on biomass carbon stock changes in </w:t>
      </w:r>
      <w:r w:rsidRPr="00BE78CA">
        <w:rPr>
          <w:i/>
        </w:rPr>
        <w:t>Wetlands remaining wetlands</w:t>
      </w:r>
      <w:r w:rsidRPr="00BE78CA">
        <w:t>, New Zealand has not prepared estimates for change in living biomass or dead organic matter for this category. New Zealand reports the notation key NE (not estimated) in the CRF table for this category.</w:t>
      </w:r>
    </w:p>
    <w:p w14:paraId="034B75BF" w14:textId="77777777" w:rsidR="00333601" w:rsidRPr="00BE78CA" w:rsidRDefault="00333601" w:rsidP="00333601">
      <w:pPr>
        <w:pStyle w:val="Heading5"/>
        <w:spacing w:before="160"/>
      </w:pPr>
      <w:r w:rsidRPr="00BE78CA">
        <w:lastRenderedPageBreak/>
        <w:t>Soil carbon</w:t>
      </w:r>
    </w:p>
    <w:p w14:paraId="00F0D7C3" w14:textId="77777777" w:rsidR="00333601" w:rsidRPr="00BE78CA" w:rsidRDefault="00333601" w:rsidP="00333601">
      <w:pPr>
        <w:pStyle w:val="BodyText"/>
      </w:pPr>
      <w:r w:rsidRPr="00BE78CA">
        <w:t xml:space="preserve">SOC stocks in </w:t>
      </w:r>
      <w:r w:rsidRPr="00BE78CA">
        <w:rPr>
          <w:i/>
        </w:rPr>
        <w:t>Wetlands remaining wetlands</w:t>
      </w:r>
      <w:r w:rsidRPr="00BE78CA">
        <w:t xml:space="preserve"> are estimated using a Tier 2 method for mineral soils (see section 6.3) and Tier 1 methods for organic soils. The mineral soil steady state carbon stock for vegetated wetlands is estimated to be </w:t>
      </w:r>
      <w:r w:rsidRPr="00BE78CA">
        <w:rPr>
          <w:color w:val="000000"/>
        </w:rPr>
        <w:t xml:space="preserve">136.06 </w:t>
      </w:r>
      <w:r w:rsidRPr="00BE78CA">
        <w:t>tonnes C ha</w:t>
      </w:r>
      <w:r w:rsidRPr="00BE78CA">
        <w:rPr>
          <w:vertAlign w:val="superscript"/>
        </w:rPr>
        <w:t>–1</w:t>
      </w:r>
      <w:r w:rsidRPr="00BE78CA">
        <w:t>, with an uncertainty of ±12.3 per cent (see table 6.3.2). For open water, the SOC stock at equilibrium is assumed to be the same value as that of low producing grassland (105.98 tonnes C ha</w:t>
      </w:r>
      <w:r w:rsidRPr="00BE78CA">
        <w:rPr>
          <w:vertAlign w:val="superscript"/>
        </w:rPr>
        <w:t>–1</w:t>
      </w:r>
      <w:r w:rsidRPr="00BE78CA">
        <w:t xml:space="preserve">, with an uncertainty of ±7.3 per cent). </w:t>
      </w:r>
    </w:p>
    <w:p w14:paraId="3292103C" w14:textId="77777777" w:rsidR="00333601" w:rsidRPr="00BE78CA" w:rsidRDefault="00333601" w:rsidP="00333601">
      <w:pPr>
        <w:pStyle w:val="BodyText"/>
      </w:pPr>
      <w:r w:rsidRPr="00BE78CA">
        <w:t xml:space="preserve">For mineral soils, as with living biomass and dead organic matter, there are no emissions for </w:t>
      </w:r>
      <w:r w:rsidRPr="00BE78CA">
        <w:rPr>
          <w:i/>
        </w:rPr>
        <w:t xml:space="preserve">Wetlands </w:t>
      </w:r>
      <w:r w:rsidRPr="00BE78CA">
        <w:t>in steady state so the notation key NE (not estimated) is used in accordance with Decision 24/CP.19 (UNFCCC, 2014).</w:t>
      </w:r>
    </w:p>
    <w:p w14:paraId="2885A7B5" w14:textId="77777777" w:rsidR="00333601" w:rsidRPr="00BE78CA" w:rsidRDefault="00333601" w:rsidP="00333601">
      <w:pPr>
        <w:pStyle w:val="BodyText"/>
      </w:pPr>
      <w:r w:rsidRPr="00BE78CA">
        <w:t xml:space="preserve">For organic soils, IPCC good practice guidance is limited to the estimation of carbon emissions associated with peat extraction. In New Zealand, oligotrophic </w:t>
      </w:r>
      <w:r w:rsidRPr="00BE78CA">
        <w:rPr>
          <w:i/>
        </w:rPr>
        <w:t>Sphagnum</w:t>
      </w:r>
      <w:r w:rsidRPr="00BE78CA">
        <w:t xml:space="preserve"> peat is mined for horticultural use (Clarkson, unpublished). Carbon dioxide emissions from the extraction of horticultural peat are estimated from two sources: on-site emissions from peat production and off-site emissions from its subsequent use. Tier 1 default emission factors are applied. Non-CO</w:t>
      </w:r>
      <w:r w:rsidRPr="00BE78CA">
        <w:rPr>
          <w:vertAlign w:val="subscript"/>
        </w:rPr>
        <w:t>2</w:t>
      </w:r>
      <w:r w:rsidRPr="00BE78CA">
        <w:t xml:space="preserve"> emissions are not estimated because there is no method for estimating N</w:t>
      </w:r>
      <w:r w:rsidRPr="00BE78CA">
        <w:rPr>
          <w:vertAlign w:val="subscript"/>
        </w:rPr>
        <w:t>2</w:t>
      </w:r>
      <w:r w:rsidRPr="00BE78CA">
        <w:t>O emissions from the extraction of nutrient poor peat, and no CH</w:t>
      </w:r>
      <w:r w:rsidRPr="00BE78CA">
        <w:rPr>
          <w:vertAlign w:val="subscript"/>
        </w:rPr>
        <w:t>4</w:t>
      </w:r>
      <w:r w:rsidRPr="00BE78CA">
        <w:t xml:space="preserve"> emissions occur from this activity. As such, the ERT recommendation, L.7, 2017 </w:t>
      </w:r>
      <w:r w:rsidRPr="00BE78CA">
        <w:rPr>
          <w:spacing w:val="-2"/>
        </w:rPr>
        <w:t>(FCCC/ARR/2017/NZL, UNFCCC, 2018), cannot be addressed. However, New Zealand is following the methodology for reporting N</w:t>
      </w:r>
      <w:r w:rsidRPr="00BE78CA">
        <w:rPr>
          <w:spacing w:val="-2"/>
          <w:vertAlign w:val="subscript"/>
        </w:rPr>
        <w:t>2</w:t>
      </w:r>
      <w:r w:rsidRPr="00BE78CA">
        <w:rPr>
          <w:spacing w:val="-2"/>
        </w:rPr>
        <w:t xml:space="preserve">O emissions from </w:t>
      </w:r>
      <w:r w:rsidRPr="00BE78CA">
        <w:rPr>
          <w:i/>
          <w:spacing w:val="-2"/>
        </w:rPr>
        <w:t>Wetlands remaining wetlands</w:t>
      </w:r>
      <w:r w:rsidRPr="00BE78CA">
        <w:rPr>
          <w:iCs/>
          <w:spacing w:val="-2"/>
        </w:rPr>
        <w:t>,</w:t>
      </w:r>
      <w:r w:rsidRPr="00BE78CA">
        <w:rPr>
          <w:spacing w:val="-2"/>
        </w:rPr>
        <w:t xml:space="preserve"> in line with volume 4, section 7.2.1.2 of the 2006 IPCC Guidelines (IPCC, 2006a). </w:t>
      </w:r>
    </w:p>
    <w:p w14:paraId="2A7F9040" w14:textId="77777777" w:rsidR="00333601" w:rsidRPr="00BE78CA" w:rsidRDefault="00333601" w:rsidP="00333601">
      <w:pPr>
        <w:pStyle w:val="Heading5"/>
      </w:pPr>
      <w:r w:rsidRPr="00BE78CA">
        <w:t>Activity data</w:t>
      </w:r>
    </w:p>
    <w:p w14:paraId="7ACDC000" w14:textId="77777777" w:rsidR="00333601" w:rsidRPr="00BE78CA" w:rsidRDefault="00333601" w:rsidP="00333601">
      <w:pPr>
        <w:pStyle w:val="BodyText"/>
      </w:pPr>
      <w:r w:rsidRPr="00BE78CA">
        <w:t>For this submission, the definition of the vegetated wetland subcategory has been amended to explicitly include areas of forest that are part of the wetland ecosystem. As a result of this redefinition, areas of forest associated with vegetated wetland have been reviewed in the time series of land use maps and, where the forest area has been judged to be part of the wetland ecosystem, it has been reclassed as vegetated wetland.</w:t>
      </w:r>
    </w:p>
    <w:p w14:paraId="424BB2E7" w14:textId="77777777" w:rsidR="00333601" w:rsidRPr="00BE78CA" w:rsidRDefault="00333601" w:rsidP="00333601">
      <w:pPr>
        <w:pStyle w:val="Heading4"/>
      </w:pPr>
      <w:r w:rsidRPr="00BE78CA">
        <w:t>Land converted to wetlands (CRF 4.D.2)</w:t>
      </w:r>
    </w:p>
    <w:p w14:paraId="6D1B238E" w14:textId="7C43BECE" w:rsidR="00333601" w:rsidRPr="00BE78CA" w:rsidRDefault="00333601" w:rsidP="00333601">
      <w:pPr>
        <w:pStyle w:val="BodyText"/>
      </w:pPr>
      <w:r w:rsidRPr="00BE78CA">
        <w:t>Between 1990 and 2019, 8,227 hectares of land were converted to</w:t>
      </w:r>
      <w:r w:rsidRPr="00BE78CA">
        <w:rPr>
          <w:i/>
        </w:rPr>
        <w:t xml:space="preserve"> Wetlands</w:t>
      </w:r>
      <w:r w:rsidRPr="00BE78CA">
        <w:t xml:space="preserve">, while 11,644 hectares of </w:t>
      </w:r>
      <w:r w:rsidRPr="00BE78CA">
        <w:rPr>
          <w:i/>
        </w:rPr>
        <w:t>Wetlands</w:t>
      </w:r>
      <w:r w:rsidRPr="00BE78CA">
        <w:t xml:space="preserve"> were converted to other land uses (mainly </w:t>
      </w:r>
      <w:r w:rsidRPr="00BE78CA">
        <w:rPr>
          <w:i/>
        </w:rPr>
        <w:t>Grassland</w:t>
      </w:r>
      <w:r w:rsidRPr="00BE78CA">
        <w:rPr>
          <w:iCs/>
        </w:rPr>
        <w:t>,</w:t>
      </w:r>
      <w:r w:rsidRPr="00BE78CA">
        <w:t xml:space="preserve"> at 9,775 hectares). This resulted in a net decrease in total area reported in </w:t>
      </w:r>
      <w:r w:rsidRPr="00BE78CA">
        <w:rPr>
          <w:i/>
        </w:rPr>
        <w:t>Wetlands</w:t>
      </w:r>
      <w:r w:rsidRPr="00BE78CA">
        <w:t xml:space="preserve"> of 3,417 hectares. The wetland losses were mainly related to the conversion of vegetated wetland to grassland (9,254 hectares), however, these losses were offset by gains in the area of wetland open water (8,082 hectares). This was mainly due to the development of irrigation ponds in the Canterbury and Otago regions, however, approximately 760 hectares of new open water have resulted from new lakes forming within the Southern Alps, often at</w:t>
      </w:r>
      <w:r w:rsidR="008C4667" w:rsidRPr="00BE78CA">
        <w:t> </w:t>
      </w:r>
      <w:r w:rsidRPr="00BE78CA">
        <w:t xml:space="preserve">the foot of glaciers. </w:t>
      </w:r>
    </w:p>
    <w:p w14:paraId="452FDE0B" w14:textId="77777777" w:rsidR="00333601" w:rsidRPr="00BE78CA" w:rsidRDefault="00333601" w:rsidP="00333601">
      <w:pPr>
        <w:pStyle w:val="BodyText"/>
      </w:pPr>
      <w:r w:rsidRPr="00BE78CA">
        <w:rPr>
          <w:i/>
        </w:rPr>
        <w:t>Land converted to peat extraction</w:t>
      </w:r>
      <w:r w:rsidRPr="00BE78CA">
        <w:t xml:space="preserve"> emissions are reported in the CRF tables as NO (not occurring) because the areas under peat extraction have remained static since 1990. For </w:t>
      </w:r>
      <w:r w:rsidRPr="00BE78CA">
        <w:rPr>
          <w:i/>
        </w:rPr>
        <w:t>Land converted to flooded land</w:t>
      </w:r>
      <w:r w:rsidRPr="00BE78CA">
        <w:t xml:space="preserve">, the area is included in the area mapped as </w:t>
      </w:r>
      <w:r w:rsidRPr="00BE78CA">
        <w:rPr>
          <w:i/>
        </w:rPr>
        <w:t>Land converted to open water</w:t>
      </w:r>
      <w:r w:rsidRPr="00BE78CA">
        <w:t xml:space="preserve"> (this category includes naturally occurring open water (natural lakes) as well as intentionally flooded land). This means emissions for </w:t>
      </w:r>
      <w:r w:rsidRPr="00BE78CA">
        <w:rPr>
          <w:i/>
        </w:rPr>
        <w:t>Land converted to flooded land</w:t>
      </w:r>
      <w:r w:rsidRPr="00BE78CA">
        <w:t xml:space="preserve"> are reported as IE (included elsewhere), and these emissions are captured under </w:t>
      </w:r>
      <w:r w:rsidRPr="00BE78CA">
        <w:rPr>
          <w:i/>
        </w:rPr>
        <w:t>Land converted to open water</w:t>
      </w:r>
      <w:r w:rsidRPr="00BE78CA">
        <w:t xml:space="preserve"> instead.</w:t>
      </w:r>
    </w:p>
    <w:p w14:paraId="586635B8" w14:textId="77777777" w:rsidR="00333601" w:rsidRPr="00BE78CA" w:rsidRDefault="00333601" w:rsidP="00333601">
      <w:pPr>
        <w:pStyle w:val="Heading5"/>
      </w:pPr>
      <w:r w:rsidRPr="00BE78CA">
        <w:lastRenderedPageBreak/>
        <w:t xml:space="preserve">Living biomass and dead organic matter </w:t>
      </w:r>
    </w:p>
    <w:p w14:paraId="6427B8FF" w14:textId="5163BB6A" w:rsidR="00333601" w:rsidRPr="00BE78CA" w:rsidRDefault="00333601" w:rsidP="00333601">
      <w:pPr>
        <w:pStyle w:val="BodyText"/>
        <w:spacing w:before="100" w:after="100"/>
      </w:pPr>
      <w:r w:rsidRPr="00BE78CA">
        <w:t xml:space="preserve">New Zealand uses a Tier 1 method to calculate emissions from </w:t>
      </w:r>
      <w:r w:rsidRPr="00BE78CA">
        <w:rPr>
          <w:i/>
        </w:rPr>
        <w:t>Land converted to wetlands</w:t>
      </w:r>
      <w:r w:rsidRPr="00BE78CA">
        <w:t xml:space="preserve"> (equation 7.10, IPCC, 2006a). The Tier 1 method assumes the carbon in living biomass and dead organic matter present before conversion is lost in the same year as the conversion takes place. All emissions from land-use change to </w:t>
      </w:r>
      <w:r w:rsidRPr="00BE78CA">
        <w:rPr>
          <w:i/>
        </w:rPr>
        <w:t>Wetlands</w:t>
      </w:r>
      <w:r w:rsidRPr="00BE78CA">
        <w:t xml:space="preserve"> from the removal of the previous</w:t>
      </w:r>
      <w:r w:rsidR="008C4667" w:rsidRPr="00BE78CA">
        <w:t> </w:t>
      </w:r>
      <w:r w:rsidRPr="00BE78CA">
        <w:t>vegetation are instantly emitted.</w:t>
      </w:r>
    </w:p>
    <w:p w14:paraId="62F0F0B7" w14:textId="77777777" w:rsidR="00333601" w:rsidRPr="00BE78CA" w:rsidRDefault="00333601" w:rsidP="00333601">
      <w:pPr>
        <w:pStyle w:val="BodyText"/>
        <w:spacing w:before="100" w:after="100"/>
      </w:pPr>
      <w:r w:rsidRPr="00BE78CA">
        <w:t>For open water wetlands, the carbon stocks in living biomass and dead organic matter following conversions are equal to zero. For vegetated wetlands, the carbon stocks in living biomass and dead organic matter are not estimated because there is no guidance in the 2006 IPCC Guidelines (IPCC, 2006a) for estimating carbon stock following land-use change to </w:t>
      </w:r>
      <w:r w:rsidRPr="00BE78CA">
        <w:rPr>
          <w:i/>
        </w:rPr>
        <w:t>Wetlands</w:t>
      </w:r>
      <w:r w:rsidRPr="00BE78CA">
        <w:t xml:space="preserve">. </w:t>
      </w:r>
    </w:p>
    <w:p w14:paraId="504F93C4" w14:textId="77777777" w:rsidR="00333601" w:rsidRPr="00BE78CA" w:rsidRDefault="00333601" w:rsidP="00333601">
      <w:pPr>
        <w:pStyle w:val="Heading5"/>
        <w:spacing w:before="160"/>
      </w:pPr>
      <w:r w:rsidRPr="00BE78CA">
        <w:t>Soil carbon</w:t>
      </w:r>
    </w:p>
    <w:p w14:paraId="17E4A6A3" w14:textId="77777777" w:rsidR="00333601" w:rsidRPr="00BE78CA" w:rsidRDefault="00333601" w:rsidP="00333601">
      <w:pPr>
        <w:pStyle w:val="BodyText"/>
        <w:spacing w:before="100" w:after="100"/>
      </w:pPr>
      <w:r w:rsidRPr="00BE78CA">
        <w:t xml:space="preserve">SOC stocks in </w:t>
      </w:r>
      <w:r w:rsidRPr="00BE78CA">
        <w:rPr>
          <w:i/>
        </w:rPr>
        <w:t>Land converted to wetlands</w:t>
      </w:r>
      <w:r w:rsidRPr="00BE78CA">
        <w:t xml:space="preserve"> are estimated using a Tier 2 method, as described in section 6.3. In the absence of data on the rate of change specific to country and land use, the IPCC default method of a linear change over a 20-year period is used to estimate the change in SOC stocks between the original land use and </w:t>
      </w:r>
      <w:r w:rsidRPr="00BE78CA">
        <w:rPr>
          <w:i/>
        </w:rPr>
        <w:t>Wetlands</w:t>
      </w:r>
      <w:r w:rsidRPr="00BE78CA">
        <w:t xml:space="preserve"> for any given period. </w:t>
      </w:r>
    </w:p>
    <w:p w14:paraId="39D98C4A" w14:textId="77777777" w:rsidR="00333601" w:rsidRPr="00BE78CA" w:rsidRDefault="00333601" w:rsidP="00333601">
      <w:pPr>
        <w:pStyle w:val="Heading5"/>
        <w:spacing w:before="160"/>
      </w:pPr>
      <w:r w:rsidRPr="00BE78CA">
        <w:t>Non-CO</w:t>
      </w:r>
      <w:r w:rsidRPr="00BE78CA">
        <w:rPr>
          <w:vertAlign w:val="subscript"/>
        </w:rPr>
        <w:t>2</w:t>
      </w:r>
      <w:r w:rsidRPr="00BE78CA">
        <w:t xml:space="preserve"> emissions</w:t>
      </w:r>
    </w:p>
    <w:p w14:paraId="69E7BAE3" w14:textId="77777777" w:rsidR="00333601" w:rsidRPr="00BE78CA" w:rsidRDefault="00333601" w:rsidP="00333601">
      <w:pPr>
        <w:pStyle w:val="Heading6"/>
        <w:spacing w:before="120"/>
      </w:pPr>
      <w:r w:rsidRPr="00BE78CA">
        <w:t>Non-CO</w:t>
      </w:r>
      <w:r w:rsidRPr="00BE78CA">
        <w:rPr>
          <w:vertAlign w:val="subscript"/>
        </w:rPr>
        <w:t>2</w:t>
      </w:r>
      <w:r w:rsidRPr="00BE78CA">
        <w:t xml:space="preserve"> emissions from drainage of soils and wetlands</w:t>
      </w:r>
    </w:p>
    <w:p w14:paraId="79F985A8" w14:textId="77777777" w:rsidR="00333601" w:rsidRPr="00BE78CA" w:rsidRDefault="00333601" w:rsidP="00333601">
      <w:pPr>
        <w:pStyle w:val="BodyText"/>
        <w:spacing w:before="100" w:after="100"/>
      </w:pPr>
      <w:r w:rsidRPr="00BE78CA">
        <w:t xml:space="preserve">New Zealand has not prepared estimates for this category. The notation key NE (not estimated) is used in the CRF tables where either no activity data are available to report on this activity or no Tier 1 methodology exists within the accepted guidelines for providing estimates. Use of these notation keys is in accordance with Decision 24/CP.19 (UNFCCC, 2014). </w:t>
      </w:r>
    </w:p>
    <w:p w14:paraId="74896D26" w14:textId="77777777" w:rsidR="00333601" w:rsidRPr="00BE78CA" w:rsidRDefault="00333601" w:rsidP="00333601">
      <w:pPr>
        <w:pStyle w:val="Heading3"/>
        <w:spacing w:before="240"/>
      </w:pPr>
      <w:r w:rsidRPr="00BE78CA">
        <w:t>6.7.3</w:t>
      </w:r>
      <w:r w:rsidRPr="00BE78CA">
        <w:tab/>
        <w:t>Uncertainties and time-series consistency</w:t>
      </w:r>
    </w:p>
    <w:p w14:paraId="572D3307" w14:textId="77777777" w:rsidR="00333601" w:rsidRPr="00BE78CA" w:rsidRDefault="00333601" w:rsidP="00333601">
      <w:pPr>
        <w:pStyle w:val="BodyText"/>
        <w:spacing w:before="100" w:after="100"/>
      </w:pPr>
      <w:r w:rsidRPr="00BE78CA">
        <w:t xml:space="preserve">The uncertainty in mapping </w:t>
      </w:r>
      <w:r w:rsidRPr="00BE78CA">
        <w:rPr>
          <w:i/>
        </w:rPr>
        <w:t>Wetlands</w:t>
      </w:r>
      <w:r w:rsidRPr="00BE78CA">
        <w:t xml:space="preserve"> is ±33.0 per cent (see table 6.7.3). Further details are given in section 6.2.5. The uncertainty for mineral SOC stocks in vegetated wetlands is ±12.3 per cent. The uncertainty in the emission factor for peat extracted for horticultural use is ±90 per cent, the default IPCC value provided in the 2006 IPCC Guidelines (IPCC, 2006a).</w:t>
      </w:r>
    </w:p>
    <w:p w14:paraId="7C0B86DB" w14:textId="77777777" w:rsidR="00333601" w:rsidRPr="00BE78CA" w:rsidRDefault="00333601" w:rsidP="00333601">
      <w:pPr>
        <w:pStyle w:val="BodyText"/>
        <w:spacing w:before="100" w:after="100"/>
      </w:pPr>
      <w:r w:rsidRPr="00BE78CA">
        <w:t xml:space="preserve">Because emissions from </w:t>
      </w:r>
      <w:r w:rsidRPr="00BE78CA">
        <w:rPr>
          <w:i/>
        </w:rPr>
        <w:t>Wetlands</w:t>
      </w:r>
      <w:r w:rsidRPr="00BE78CA">
        <w:t xml:space="preserve"> are very small, the uncertainty introduced into the total net emissions for LULUCF is also very small.</w:t>
      </w:r>
    </w:p>
    <w:p w14:paraId="61416E4D" w14:textId="77777777" w:rsidR="00333601" w:rsidRPr="00BE78CA" w:rsidRDefault="00333601" w:rsidP="00333601">
      <w:pPr>
        <w:pStyle w:val="Table"/>
      </w:pPr>
      <w:bookmarkStart w:id="2442" w:name="_Toc342470786"/>
      <w:bookmarkStart w:id="2443" w:name="_Toc352505026"/>
      <w:bookmarkStart w:id="2444" w:name="_Toc378853315"/>
      <w:bookmarkStart w:id="2445" w:name="_Toc391024113"/>
      <w:bookmarkStart w:id="2446" w:name="_Toc410028856"/>
      <w:bookmarkStart w:id="2447" w:name="_Toc414531484"/>
      <w:bookmarkStart w:id="2448" w:name="_Toc443645397"/>
      <w:bookmarkStart w:id="2449" w:name="_Toc474914616"/>
      <w:bookmarkStart w:id="2450" w:name="_Toc481751580"/>
      <w:bookmarkStart w:id="2451" w:name="_Toc522010637"/>
      <w:bookmarkStart w:id="2452" w:name="_Toc5269542"/>
      <w:bookmarkStart w:id="2453" w:name="_Toc33529416"/>
      <w:bookmarkStart w:id="2454" w:name="_Toc36224622"/>
      <w:bookmarkStart w:id="2455" w:name="_Toc65243619"/>
      <w:bookmarkStart w:id="2456" w:name="_Toc68786509"/>
      <w:r w:rsidRPr="00BE78CA">
        <w:t>Table 6.7.3</w:t>
      </w:r>
      <w:r w:rsidRPr="00BE78CA">
        <w:tab/>
        <w:t>Uncertainty in New Zealand’s 2019 estimates for the Wetlands category</w:t>
      </w:r>
      <w:bookmarkEnd w:id="2442"/>
      <w:r w:rsidRPr="00BE78CA">
        <w:t xml:space="preserve"> (including land in transition)</w:t>
      </w:r>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p>
    <w:tbl>
      <w:tblPr>
        <w:tblW w:w="8505" w:type="dxa"/>
        <w:tblCellMar>
          <w:left w:w="85" w:type="dxa"/>
          <w:right w:w="57" w:type="dxa"/>
        </w:tblCellMar>
        <w:tblLook w:val="04A0" w:firstRow="1" w:lastRow="0" w:firstColumn="1" w:lastColumn="0" w:noHBand="0" w:noVBand="1"/>
      </w:tblPr>
      <w:tblGrid>
        <w:gridCol w:w="4088"/>
        <w:gridCol w:w="2126"/>
        <w:gridCol w:w="2291"/>
      </w:tblGrid>
      <w:tr w:rsidR="00333601" w:rsidRPr="00BE78CA" w14:paraId="3615E6F2" w14:textId="77777777" w:rsidTr="00C17CFB">
        <w:trPr>
          <w:tblHeader/>
        </w:trPr>
        <w:tc>
          <w:tcPr>
            <w:tcW w:w="4088" w:type="dxa"/>
            <w:tcBorders>
              <w:top w:val="single" w:sz="4" w:space="0" w:color="365F91"/>
            </w:tcBorders>
            <w:shd w:val="clear" w:color="auto" w:fill="365F91"/>
            <w:noWrap/>
            <w:vAlign w:val="bottom"/>
            <w:hideMark/>
          </w:tcPr>
          <w:p w14:paraId="26316BCC" w14:textId="77777777" w:rsidR="00333601" w:rsidRPr="00BE78CA" w:rsidRDefault="00333601" w:rsidP="00C26084">
            <w:pPr>
              <w:pStyle w:val="TableTextBold"/>
              <w:keepNext/>
              <w:spacing w:after="0"/>
              <w:rPr>
                <w:noProof w:val="0"/>
                <w:color w:val="FFFFFF"/>
              </w:rPr>
            </w:pPr>
            <w:r w:rsidRPr="00BE78CA">
              <w:rPr>
                <w:noProof w:val="0"/>
                <w:color w:val="FFFFFF"/>
              </w:rPr>
              <w:t xml:space="preserve">Variable </w:t>
            </w:r>
          </w:p>
        </w:tc>
        <w:tc>
          <w:tcPr>
            <w:tcW w:w="4417" w:type="dxa"/>
            <w:gridSpan w:val="2"/>
            <w:tcBorders>
              <w:top w:val="single" w:sz="4" w:space="0" w:color="365F91"/>
            </w:tcBorders>
            <w:shd w:val="clear" w:color="auto" w:fill="365F91"/>
            <w:noWrap/>
            <w:hideMark/>
          </w:tcPr>
          <w:p w14:paraId="51013332" w14:textId="77777777" w:rsidR="00333601" w:rsidRPr="00BE78CA" w:rsidRDefault="00333601" w:rsidP="00C26084">
            <w:pPr>
              <w:pStyle w:val="TableTextBold"/>
              <w:keepNext/>
              <w:spacing w:after="0"/>
              <w:jc w:val="center"/>
              <w:rPr>
                <w:noProof w:val="0"/>
                <w:color w:val="FFFFFF"/>
              </w:rPr>
            </w:pPr>
            <w:r w:rsidRPr="00BE78CA">
              <w:rPr>
                <w:noProof w:val="0"/>
                <w:color w:val="FFFFFF"/>
              </w:rPr>
              <w:t>Uncertainty at a 95% confidence interval</w:t>
            </w:r>
          </w:p>
        </w:tc>
      </w:tr>
      <w:tr w:rsidR="00333601" w:rsidRPr="00BE78CA" w14:paraId="4C21FE20" w14:textId="77777777" w:rsidTr="00C17CFB">
        <w:trPr>
          <w:tblHeader/>
        </w:trPr>
        <w:tc>
          <w:tcPr>
            <w:tcW w:w="4088" w:type="dxa"/>
            <w:tcBorders>
              <w:bottom w:val="single" w:sz="4" w:space="0" w:color="365F91"/>
            </w:tcBorders>
            <w:shd w:val="clear" w:color="auto" w:fill="365F91"/>
            <w:noWrap/>
            <w:vAlign w:val="bottom"/>
          </w:tcPr>
          <w:p w14:paraId="0149AD55" w14:textId="77777777" w:rsidR="00333601" w:rsidRPr="00BE78CA" w:rsidRDefault="00333601" w:rsidP="00C26084">
            <w:pPr>
              <w:pStyle w:val="TableTextBold"/>
              <w:keepNext/>
              <w:spacing w:before="0"/>
              <w:rPr>
                <w:noProof w:val="0"/>
                <w:color w:val="FFFFFF"/>
              </w:rPr>
            </w:pPr>
            <w:r w:rsidRPr="00BE78CA">
              <w:rPr>
                <w:noProof w:val="0"/>
                <w:color w:val="FFFFFF"/>
              </w:rPr>
              <w:t>Land use</w:t>
            </w:r>
          </w:p>
        </w:tc>
        <w:tc>
          <w:tcPr>
            <w:tcW w:w="2126" w:type="dxa"/>
            <w:tcBorders>
              <w:bottom w:val="single" w:sz="4" w:space="0" w:color="365F91"/>
            </w:tcBorders>
            <w:shd w:val="clear" w:color="auto" w:fill="365F91"/>
            <w:noWrap/>
            <w:vAlign w:val="bottom"/>
          </w:tcPr>
          <w:p w14:paraId="028B3A13" w14:textId="77777777" w:rsidR="00333601" w:rsidRPr="00BE78CA" w:rsidRDefault="00333601" w:rsidP="00C26084">
            <w:pPr>
              <w:pStyle w:val="TableTextBold"/>
              <w:keepNext/>
              <w:jc w:val="center"/>
              <w:rPr>
                <w:noProof w:val="0"/>
                <w:color w:val="FFFFFF"/>
              </w:rPr>
            </w:pPr>
            <w:r w:rsidRPr="00BE78CA">
              <w:rPr>
                <w:noProof w:val="0"/>
                <w:color w:val="FFFFFF"/>
              </w:rPr>
              <w:t>Wetlands – vegetated (%)</w:t>
            </w:r>
          </w:p>
        </w:tc>
        <w:tc>
          <w:tcPr>
            <w:tcW w:w="2291" w:type="dxa"/>
            <w:tcBorders>
              <w:bottom w:val="single" w:sz="4" w:space="0" w:color="365F91"/>
            </w:tcBorders>
            <w:shd w:val="clear" w:color="auto" w:fill="365F91"/>
            <w:noWrap/>
            <w:vAlign w:val="bottom"/>
          </w:tcPr>
          <w:p w14:paraId="323F941E" w14:textId="77777777" w:rsidR="00333601" w:rsidRPr="00BE78CA" w:rsidRDefault="00333601" w:rsidP="00C26084">
            <w:pPr>
              <w:pStyle w:val="TableTextBold"/>
              <w:keepNext/>
              <w:jc w:val="center"/>
              <w:rPr>
                <w:noProof w:val="0"/>
                <w:color w:val="FFFFFF"/>
              </w:rPr>
            </w:pPr>
            <w:r w:rsidRPr="00BE78CA">
              <w:rPr>
                <w:noProof w:val="0"/>
                <w:color w:val="FFFFFF"/>
              </w:rPr>
              <w:t>Wetlands – open water (%)</w:t>
            </w:r>
          </w:p>
        </w:tc>
      </w:tr>
      <w:tr w:rsidR="00333601" w:rsidRPr="00BE78CA" w14:paraId="5ED52C89" w14:textId="77777777" w:rsidTr="00C17CFB">
        <w:tc>
          <w:tcPr>
            <w:tcW w:w="4088" w:type="dxa"/>
            <w:tcBorders>
              <w:top w:val="single" w:sz="4" w:space="0" w:color="365F91"/>
              <w:bottom w:val="single" w:sz="4" w:space="0" w:color="365F91"/>
            </w:tcBorders>
            <w:noWrap/>
            <w:hideMark/>
          </w:tcPr>
          <w:p w14:paraId="4F1EFE28" w14:textId="77777777" w:rsidR="00333601" w:rsidRPr="00BE78CA" w:rsidRDefault="00333601" w:rsidP="00C26084">
            <w:pPr>
              <w:pStyle w:val="TableTextBold"/>
              <w:spacing w:before="50" w:after="50"/>
              <w:rPr>
                <w:noProof w:val="0"/>
              </w:rPr>
            </w:pPr>
            <w:r w:rsidRPr="00BE78CA">
              <w:rPr>
                <w:noProof w:val="0"/>
              </w:rPr>
              <w:t>Activity data</w:t>
            </w:r>
          </w:p>
        </w:tc>
        <w:tc>
          <w:tcPr>
            <w:tcW w:w="2126" w:type="dxa"/>
            <w:tcBorders>
              <w:top w:val="single" w:sz="4" w:space="0" w:color="365F91"/>
              <w:bottom w:val="single" w:sz="4" w:space="0" w:color="365F91"/>
            </w:tcBorders>
            <w:noWrap/>
            <w:hideMark/>
          </w:tcPr>
          <w:p w14:paraId="730935AC" w14:textId="77777777" w:rsidR="00333601" w:rsidRPr="00BE78CA" w:rsidRDefault="00333601" w:rsidP="00C26084">
            <w:pPr>
              <w:pStyle w:val="TableTextBold"/>
              <w:spacing w:before="50" w:after="50"/>
              <w:jc w:val="center"/>
              <w:rPr>
                <w:noProof w:val="0"/>
              </w:rPr>
            </w:pPr>
          </w:p>
        </w:tc>
        <w:tc>
          <w:tcPr>
            <w:tcW w:w="2291" w:type="dxa"/>
            <w:tcBorders>
              <w:top w:val="single" w:sz="4" w:space="0" w:color="365F91"/>
              <w:bottom w:val="single" w:sz="4" w:space="0" w:color="365F91"/>
            </w:tcBorders>
            <w:noWrap/>
            <w:hideMark/>
          </w:tcPr>
          <w:p w14:paraId="435CEBF7" w14:textId="77777777" w:rsidR="00333601" w:rsidRPr="00BE78CA" w:rsidRDefault="00333601" w:rsidP="00C26084">
            <w:pPr>
              <w:pStyle w:val="TableTextBold"/>
              <w:spacing w:before="50" w:after="50"/>
              <w:jc w:val="center"/>
              <w:rPr>
                <w:noProof w:val="0"/>
              </w:rPr>
            </w:pPr>
          </w:p>
        </w:tc>
      </w:tr>
      <w:tr w:rsidR="00333601" w:rsidRPr="00BE78CA" w14:paraId="589576ED" w14:textId="77777777" w:rsidTr="00C17CFB">
        <w:tc>
          <w:tcPr>
            <w:tcW w:w="4088" w:type="dxa"/>
            <w:tcBorders>
              <w:top w:val="single" w:sz="4" w:space="0" w:color="365F91"/>
              <w:bottom w:val="single" w:sz="4" w:space="0" w:color="365F91"/>
            </w:tcBorders>
            <w:noWrap/>
            <w:hideMark/>
          </w:tcPr>
          <w:p w14:paraId="331A5A63" w14:textId="77777777" w:rsidR="00333601" w:rsidRPr="00BE78CA" w:rsidRDefault="00333601" w:rsidP="00C26084">
            <w:pPr>
              <w:pStyle w:val="TableText"/>
              <w:spacing w:before="50" w:after="50"/>
            </w:pPr>
            <w:r w:rsidRPr="00BE78CA">
              <w:t>Uncertainty in land area</w:t>
            </w:r>
          </w:p>
        </w:tc>
        <w:tc>
          <w:tcPr>
            <w:tcW w:w="2126" w:type="dxa"/>
            <w:tcBorders>
              <w:top w:val="single" w:sz="4" w:space="0" w:color="365F91"/>
              <w:bottom w:val="single" w:sz="4" w:space="0" w:color="365F91"/>
            </w:tcBorders>
            <w:noWrap/>
            <w:hideMark/>
          </w:tcPr>
          <w:p w14:paraId="150A60E8" w14:textId="77777777" w:rsidR="00333601" w:rsidRPr="00BE78CA" w:rsidRDefault="00333601" w:rsidP="00C26084">
            <w:pPr>
              <w:pStyle w:val="TableText"/>
              <w:spacing w:before="50" w:after="50"/>
              <w:jc w:val="center"/>
            </w:pPr>
            <w:r w:rsidRPr="00BE78CA">
              <w:t>±33.0</w:t>
            </w:r>
          </w:p>
        </w:tc>
        <w:tc>
          <w:tcPr>
            <w:tcW w:w="2291" w:type="dxa"/>
            <w:tcBorders>
              <w:top w:val="single" w:sz="4" w:space="0" w:color="365F91"/>
              <w:bottom w:val="single" w:sz="4" w:space="0" w:color="365F91"/>
            </w:tcBorders>
            <w:noWrap/>
            <w:hideMark/>
          </w:tcPr>
          <w:p w14:paraId="4A346F0F" w14:textId="77777777" w:rsidR="00333601" w:rsidRPr="00BE78CA" w:rsidRDefault="00333601" w:rsidP="00C26084">
            <w:pPr>
              <w:pStyle w:val="TableText"/>
              <w:spacing w:before="50" w:after="50"/>
              <w:jc w:val="center"/>
            </w:pPr>
            <w:r w:rsidRPr="00BE78CA">
              <w:t>±33.0</w:t>
            </w:r>
          </w:p>
        </w:tc>
      </w:tr>
      <w:tr w:rsidR="00333601" w:rsidRPr="00BE78CA" w14:paraId="5C5DD361" w14:textId="77777777" w:rsidTr="00C17CFB">
        <w:tc>
          <w:tcPr>
            <w:tcW w:w="4088" w:type="dxa"/>
            <w:tcBorders>
              <w:top w:val="single" w:sz="4" w:space="0" w:color="365F91"/>
              <w:bottom w:val="single" w:sz="4" w:space="0" w:color="365F91"/>
            </w:tcBorders>
            <w:noWrap/>
            <w:hideMark/>
          </w:tcPr>
          <w:p w14:paraId="79005230" w14:textId="77777777" w:rsidR="00333601" w:rsidRPr="00BE78CA" w:rsidRDefault="00333601" w:rsidP="00C26084">
            <w:pPr>
              <w:pStyle w:val="TableTextBold"/>
              <w:spacing w:before="50" w:after="50"/>
              <w:rPr>
                <w:noProof w:val="0"/>
              </w:rPr>
            </w:pPr>
            <w:r w:rsidRPr="00BE78CA">
              <w:rPr>
                <w:noProof w:val="0"/>
              </w:rPr>
              <w:t>Emission factors</w:t>
            </w:r>
          </w:p>
        </w:tc>
        <w:tc>
          <w:tcPr>
            <w:tcW w:w="2126" w:type="dxa"/>
            <w:tcBorders>
              <w:top w:val="single" w:sz="4" w:space="0" w:color="365F91"/>
              <w:bottom w:val="single" w:sz="4" w:space="0" w:color="365F91"/>
            </w:tcBorders>
            <w:noWrap/>
            <w:hideMark/>
          </w:tcPr>
          <w:p w14:paraId="1C5DF174" w14:textId="77777777" w:rsidR="00333601" w:rsidRPr="00BE78CA" w:rsidRDefault="00333601" w:rsidP="00C26084">
            <w:pPr>
              <w:pStyle w:val="TableTextBold"/>
              <w:spacing w:before="50" w:after="50"/>
              <w:jc w:val="center"/>
              <w:rPr>
                <w:noProof w:val="0"/>
              </w:rPr>
            </w:pPr>
          </w:p>
        </w:tc>
        <w:tc>
          <w:tcPr>
            <w:tcW w:w="2291" w:type="dxa"/>
            <w:tcBorders>
              <w:top w:val="single" w:sz="4" w:space="0" w:color="365F91"/>
              <w:bottom w:val="single" w:sz="4" w:space="0" w:color="365F91"/>
            </w:tcBorders>
            <w:noWrap/>
            <w:hideMark/>
          </w:tcPr>
          <w:p w14:paraId="5B04A5E9" w14:textId="77777777" w:rsidR="00333601" w:rsidRPr="00BE78CA" w:rsidRDefault="00333601" w:rsidP="00C26084">
            <w:pPr>
              <w:pStyle w:val="TableTextBold"/>
              <w:spacing w:before="50" w:after="50"/>
              <w:jc w:val="center"/>
              <w:rPr>
                <w:noProof w:val="0"/>
              </w:rPr>
            </w:pPr>
          </w:p>
        </w:tc>
      </w:tr>
      <w:tr w:rsidR="00333601" w:rsidRPr="00BE78CA" w14:paraId="1F0A092A" w14:textId="77777777" w:rsidTr="00C17CFB">
        <w:tc>
          <w:tcPr>
            <w:tcW w:w="4088" w:type="dxa"/>
            <w:tcBorders>
              <w:top w:val="single" w:sz="4" w:space="0" w:color="365F91"/>
              <w:bottom w:val="single" w:sz="4" w:space="0" w:color="365F91"/>
            </w:tcBorders>
            <w:noWrap/>
            <w:hideMark/>
          </w:tcPr>
          <w:p w14:paraId="1683141F" w14:textId="77777777" w:rsidR="00333601" w:rsidRPr="00BE78CA" w:rsidRDefault="00333601" w:rsidP="00C26084">
            <w:pPr>
              <w:pStyle w:val="TableText"/>
              <w:spacing w:before="50" w:after="50"/>
            </w:pPr>
            <w:r w:rsidRPr="00BE78CA">
              <w:t>Uncertainty in biomass carbon stocks</w:t>
            </w:r>
          </w:p>
        </w:tc>
        <w:tc>
          <w:tcPr>
            <w:tcW w:w="2126" w:type="dxa"/>
            <w:tcBorders>
              <w:top w:val="single" w:sz="4" w:space="0" w:color="365F91"/>
              <w:bottom w:val="single" w:sz="4" w:space="0" w:color="365F91"/>
            </w:tcBorders>
            <w:noWrap/>
            <w:hideMark/>
          </w:tcPr>
          <w:p w14:paraId="3DA7A19C" w14:textId="77777777" w:rsidR="00333601" w:rsidRPr="00BE78CA" w:rsidRDefault="00333601" w:rsidP="00C26084">
            <w:pPr>
              <w:pStyle w:val="TableText"/>
              <w:spacing w:before="50" w:after="50"/>
              <w:jc w:val="center"/>
            </w:pPr>
            <w:r w:rsidRPr="00BE78CA">
              <w:t>±75.0</w:t>
            </w:r>
          </w:p>
        </w:tc>
        <w:tc>
          <w:tcPr>
            <w:tcW w:w="2291" w:type="dxa"/>
            <w:tcBorders>
              <w:top w:val="single" w:sz="4" w:space="0" w:color="365F91"/>
              <w:bottom w:val="single" w:sz="4" w:space="0" w:color="365F91"/>
            </w:tcBorders>
            <w:noWrap/>
            <w:hideMark/>
          </w:tcPr>
          <w:p w14:paraId="62EFA7ED" w14:textId="77777777" w:rsidR="00333601" w:rsidRPr="00BE78CA" w:rsidRDefault="00333601" w:rsidP="00C26084">
            <w:pPr>
              <w:pStyle w:val="TableText"/>
              <w:spacing w:before="50" w:after="50"/>
              <w:jc w:val="center"/>
            </w:pPr>
            <w:r w:rsidRPr="00BE78CA">
              <w:t>NA</w:t>
            </w:r>
          </w:p>
        </w:tc>
      </w:tr>
      <w:tr w:rsidR="00333601" w:rsidRPr="00BE78CA" w14:paraId="2B00B0BE" w14:textId="77777777" w:rsidTr="00C17CFB">
        <w:tc>
          <w:tcPr>
            <w:tcW w:w="4088" w:type="dxa"/>
            <w:tcBorders>
              <w:top w:val="single" w:sz="4" w:space="0" w:color="365F91"/>
              <w:bottom w:val="single" w:sz="4" w:space="0" w:color="365F91"/>
            </w:tcBorders>
            <w:noWrap/>
            <w:hideMark/>
          </w:tcPr>
          <w:p w14:paraId="5F0E5078" w14:textId="77777777" w:rsidR="00333601" w:rsidRPr="00BE78CA" w:rsidRDefault="00333601" w:rsidP="00C26084">
            <w:pPr>
              <w:pStyle w:val="TableText"/>
              <w:spacing w:before="50" w:after="50"/>
            </w:pPr>
            <w:r w:rsidRPr="00BE78CA">
              <w:t>Uncertainty in mineral soil carbon stocks</w:t>
            </w:r>
          </w:p>
        </w:tc>
        <w:tc>
          <w:tcPr>
            <w:tcW w:w="2126" w:type="dxa"/>
            <w:tcBorders>
              <w:top w:val="single" w:sz="4" w:space="0" w:color="365F91"/>
              <w:bottom w:val="single" w:sz="4" w:space="0" w:color="365F91"/>
            </w:tcBorders>
            <w:noWrap/>
            <w:hideMark/>
          </w:tcPr>
          <w:p w14:paraId="4331FEFC" w14:textId="77777777" w:rsidR="00333601" w:rsidRPr="00BE78CA" w:rsidRDefault="00333601" w:rsidP="00C26084">
            <w:pPr>
              <w:pStyle w:val="TableText"/>
              <w:spacing w:before="50" w:after="50"/>
              <w:jc w:val="center"/>
            </w:pPr>
            <w:r w:rsidRPr="00BE78CA">
              <w:t>±12.3</w:t>
            </w:r>
          </w:p>
        </w:tc>
        <w:tc>
          <w:tcPr>
            <w:tcW w:w="2291" w:type="dxa"/>
            <w:tcBorders>
              <w:top w:val="single" w:sz="4" w:space="0" w:color="365F91"/>
              <w:bottom w:val="single" w:sz="4" w:space="0" w:color="365F91"/>
            </w:tcBorders>
            <w:noWrap/>
            <w:hideMark/>
          </w:tcPr>
          <w:p w14:paraId="700FD8E5" w14:textId="77777777" w:rsidR="00333601" w:rsidRPr="00BE78CA" w:rsidRDefault="00333601" w:rsidP="00C26084">
            <w:pPr>
              <w:pStyle w:val="TableText"/>
              <w:spacing w:before="50" w:after="50"/>
              <w:jc w:val="center"/>
            </w:pPr>
            <w:r w:rsidRPr="00BE78CA">
              <w:t>±90.0</w:t>
            </w:r>
          </w:p>
        </w:tc>
      </w:tr>
      <w:tr w:rsidR="00333601" w:rsidRPr="00BE78CA" w14:paraId="66043529" w14:textId="77777777" w:rsidTr="00C17CFB">
        <w:tc>
          <w:tcPr>
            <w:tcW w:w="4088" w:type="dxa"/>
            <w:tcBorders>
              <w:top w:val="single" w:sz="4" w:space="0" w:color="365F91"/>
              <w:bottom w:val="single" w:sz="4" w:space="0" w:color="365F91"/>
            </w:tcBorders>
            <w:noWrap/>
          </w:tcPr>
          <w:p w14:paraId="5489440F" w14:textId="77777777" w:rsidR="00333601" w:rsidRPr="00BE78CA" w:rsidRDefault="00333601" w:rsidP="00C26084">
            <w:pPr>
              <w:pStyle w:val="TableText"/>
              <w:spacing w:before="50" w:after="50"/>
            </w:pPr>
            <w:r w:rsidRPr="00BE78CA">
              <w:t>Uncertainty in organic soil carbon stocks (on-site CO</w:t>
            </w:r>
            <w:r w:rsidRPr="00BE78CA">
              <w:rPr>
                <w:vertAlign w:val="subscript"/>
              </w:rPr>
              <w:t>2</w:t>
            </w:r>
            <w:r w:rsidRPr="00BE78CA">
              <w:t xml:space="preserve"> emissions from peat extraction)</w:t>
            </w:r>
          </w:p>
        </w:tc>
        <w:tc>
          <w:tcPr>
            <w:tcW w:w="2126" w:type="dxa"/>
            <w:tcBorders>
              <w:top w:val="single" w:sz="4" w:space="0" w:color="365F91"/>
              <w:bottom w:val="single" w:sz="4" w:space="0" w:color="365F91"/>
            </w:tcBorders>
            <w:noWrap/>
          </w:tcPr>
          <w:p w14:paraId="3104E7E4" w14:textId="77777777" w:rsidR="00333601" w:rsidRPr="00BE78CA" w:rsidRDefault="00333601" w:rsidP="00C26084">
            <w:pPr>
              <w:pStyle w:val="TableText"/>
              <w:spacing w:before="50" w:after="50"/>
              <w:jc w:val="center"/>
            </w:pPr>
            <w:r w:rsidRPr="00BE78CA">
              <w:t>±90.0</w:t>
            </w:r>
          </w:p>
        </w:tc>
        <w:tc>
          <w:tcPr>
            <w:tcW w:w="2291" w:type="dxa"/>
            <w:tcBorders>
              <w:top w:val="single" w:sz="4" w:space="0" w:color="365F91"/>
              <w:bottom w:val="single" w:sz="4" w:space="0" w:color="365F91"/>
            </w:tcBorders>
            <w:noWrap/>
          </w:tcPr>
          <w:p w14:paraId="2440D3A5" w14:textId="77777777" w:rsidR="00333601" w:rsidRPr="00BE78CA" w:rsidRDefault="00333601" w:rsidP="00C26084">
            <w:pPr>
              <w:pStyle w:val="TableText"/>
              <w:spacing w:before="50" w:after="50"/>
              <w:jc w:val="center"/>
            </w:pPr>
            <w:r w:rsidRPr="00BE78CA">
              <w:t>NA</w:t>
            </w:r>
          </w:p>
        </w:tc>
      </w:tr>
      <w:tr w:rsidR="00333601" w:rsidRPr="00BE78CA" w14:paraId="294FAB4F" w14:textId="77777777" w:rsidTr="00C17CFB">
        <w:tc>
          <w:tcPr>
            <w:tcW w:w="4088" w:type="dxa"/>
            <w:tcBorders>
              <w:top w:val="single" w:sz="4" w:space="0" w:color="365F91"/>
              <w:bottom w:val="single" w:sz="4" w:space="0" w:color="365F91"/>
            </w:tcBorders>
            <w:noWrap/>
            <w:hideMark/>
          </w:tcPr>
          <w:p w14:paraId="4A784607" w14:textId="77777777" w:rsidR="00333601" w:rsidRPr="00BE78CA" w:rsidRDefault="00333601" w:rsidP="00C26084">
            <w:pPr>
              <w:pStyle w:val="Tableboldblue"/>
              <w:spacing w:before="50" w:after="50"/>
              <w:jc w:val="right"/>
            </w:pPr>
            <w:r w:rsidRPr="00BE78CA">
              <w:t>Uncertainty introduced into net emissions for LULUCF</w:t>
            </w:r>
          </w:p>
        </w:tc>
        <w:tc>
          <w:tcPr>
            <w:tcW w:w="2126" w:type="dxa"/>
            <w:tcBorders>
              <w:top w:val="single" w:sz="4" w:space="0" w:color="365F91"/>
              <w:bottom w:val="single" w:sz="4" w:space="0" w:color="365F91"/>
            </w:tcBorders>
            <w:noWrap/>
            <w:hideMark/>
          </w:tcPr>
          <w:p w14:paraId="0323561C" w14:textId="77777777" w:rsidR="00333601" w:rsidRPr="00BE78CA" w:rsidRDefault="00333601" w:rsidP="00C26084">
            <w:pPr>
              <w:pStyle w:val="Tableboldblue"/>
              <w:spacing w:before="50" w:after="50"/>
              <w:jc w:val="center"/>
            </w:pPr>
            <w:r w:rsidRPr="00BE78CA">
              <w:t>±0.1</w:t>
            </w:r>
          </w:p>
        </w:tc>
        <w:tc>
          <w:tcPr>
            <w:tcW w:w="2291" w:type="dxa"/>
            <w:tcBorders>
              <w:top w:val="single" w:sz="4" w:space="0" w:color="365F91"/>
              <w:bottom w:val="single" w:sz="4" w:space="0" w:color="365F91"/>
            </w:tcBorders>
            <w:noWrap/>
            <w:hideMark/>
          </w:tcPr>
          <w:p w14:paraId="7DAB224C" w14:textId="77777777" w:rsidR="00333601" w:rsidRPr="00BE78CA" w:rsidRDefault="00333601" w:rsidP="00C26084">
            <w:pPr>
              <w:pStyle w:val="Tableboldblue"/>
              <w:spacing w:before="50" w:after="50"/>
              <w:jc w:val="center"/>
            </w:pPr>
            <w:r w:rsidRPr="00BE78CA">
              <w:t>±0.0</w:t>
            </w:r>
          </w:p>
        </w:tc>
      </w:tr>
    </w:tbl>
    <w:p w14:paraId="706BBD41" w14:textId="77777777" w:rsidR="00333601" w:rsidRPr="00BE78CA" w:rsidRDefault="00333601" w:rsidP="00333601">
      <w:pPr>
        <w:pStyle w:val="Noteundertable"/>
      </w:pPr>
      <w:r w:rsidRPr="00BE78CA">
        <w:rPr>
          <w:b/>
        </w:rPr>
        <w:t>Note:</w:t>
      </w:r>
      <w:r w:rsidRPr="00BE78CA">
        <w:tab/>
        <w:t>NA = not applicable. The activity data and combined emission factor uncertainty are weighted values and have been calculated using equation 3.2 from IPCC General Guidance and Reporting (IPCC, 2006b).</w:t>
      </w:r>
    </w:p>
    <w:p w14:paraId="7048525C" w14:textId="77777777" w:rsidR="00333601" w:rsidRPr="00BE78CA" w:rsidRDefault="00333601" w:rsidP="00333601">
      <w:pPr>
        <w:pStyle w:val="Heading3"/>
        <w:spacing w:before="280"/>
      </w:pPr>
      <w:r w:rsidRPr="00BE78CA">
        <w:lastRenderedPageBreak/>
        <w:t>6.7.4</w:t>
      </w:r>
      <w:r w:rsidRPr="00BE78CA">
        <w:tab/>
        <w:t>Category-specific QA/QC and verification</w:t>
      </w:r>
    </w:p>
    <w:p w14:paraId="218C750E" w14:textId="77777777" w:rsidR="00333601" w:rsidRPr="00BE78CA" w:rsidRDefault="00333601" w:rsidP="00333601">
      <w:pPr>
        <w:pStyle w:val="BodyText"/>
      </w:pPr>
      <w:r w:rsidRPr="00BE78CA">
        <w:t>In the preparation of this inventory, the activity data and emission factor for carbon change underwent Tier 1 quality checks.</w:t>
      </w:r>
    </w:p>
    <w:p w14:paraId="247367A4" w14:textId="77777777" w:rsidR="00333601" w:rsidRPr="00BE78CA" w:rsidRDefault="00333601" w:rsidP="00333601">
      <w:pPr>
        <w:pStyle w:val="Heading3"/>
        <w:spacing w:before="280"/>
      </w:pPr>
      <w:r w:rsidRPr="00BE78CA">
        <w:t>6.7.5</w:t>
      </w:r>
      <w:r w:rsidRPr="00BE78CA">
        <w:tab/>
        <w:t>Category-specific recalculations</w:t>
      </w:r>
    </w:p>
    <w:p w14:paraId="7A5BB1FA" w14:textId="77777777" w:rsidR="00333601" w:rsidRPr="00BE78CA" w:rsidRDefault="00333601" w:rsidP="00333601">
      <w:pPr>
        <w:pStyle w:val="BodyText"/>
      </w:pPr>
      <w:r w:rsidRPr="00BE78CA">
        <w:t>The impact of recalculations on net CO</w:t>
      </w:r>
      <w:r w:rsidRPr="00BE78CA">
        <w:rPr>
          <w:vertAlign w:val="subscript"/>
        </w:rPr>
        <w:t>2</w:t>
      </w:r>
      <w:r w:rsidRPr="00BE78CA">
        <w:t xml:space="preserve">-e emission estimates for </w:t>
      </w:r>
      <w:r w:rsidRPr="00BE78CA">
        <w:rPr>
          <w:i/>
        </w:rPr>
        <w:t>Wetlands</w:t>
      </w:r>
      <w:r w:rsidRPr="00BE78CA">
        <w:t xml:space="preserve"> is shown in table 6.7.4. Recalculations were carried out for this category as a result of updating activity data because of mapping improvements, as described in section 6.2.</w:t>
      </w:r>
    </w:p>
    <w:p w14:paraId="2AC7B4E4" w14:textId="77777777" w:rsidR="00333601" w:rsidRPr="00BE78CA" w:rsidRDefault="00333601" w:rsidP="00333601">
      <w:pPr>
        <w:pStyle w:val="Table"/>
      </w:pPr>
      <w:bookmarkStart w:id="2457" w:name="_Toc342470787"/>
      <w:bookmarkStart w:id="2458" w:name="_Toc352505027"/>
      <w:bookmarkStart w:id="2459" w:name="_Toc378853316"/>
      <w:bookmarkStart w:id="2460" w:name="_Toc391024114"/>
      <w:bookmarkStart w:id="2461" w:name="_Toc410028857"/>
      <w:bookmarkStart w:id="2462" w:name="_Toc414531485"/>
      <w:bookmarkStart w:id="2463" w:name="_Toc443645398"/>
      <w:bookmarkStart w:id="2464" w:name="_Toc474914617"/>
      <w:bookmarkStart w:id="2465" w:name="_Toc481751581"/>
      <w:bookmarkStart w:id="2466" w:name="_Toc522010638"/>
      <w:bookmarkStart w:id="2467" w:name="_Toc5269543"/>
      <w:bookmarkStart w:id="2468" w:name="_Toc33529417"/>
      <w:bookmarkStart w:id="2469" w:name="_Toc36224623"/>
      <w:bookmarkStart w:id="2470" w:name="_Toc65243620"/>
      <w:bookmarkStart w:id="2471" w:name="_Toc68786510"/>
      <w:r w:rsidRPr="00BE78CA">
        <w:t>Table 6.7.4</w:t>
      </w:r>
      <w:r w:rsidRPr="00BE78CA">
        <w:tab/>
        <w:t>Recalculations for New Zealand’s net emissions from the Wetlands category in 1990 and</w:t>
      </w:r>
      <w:bookmarkEnd w:id="2457"/>
      <w:bookmarkEnd w:id="2458"/>
      <w:bookmarkEnd w:id="2459"/>
      <w:bookmarkEnd w:id="2460"/>
      <w:r w:rsidRPr="00BE78CA">
        <w:t> 201</w:t>
      </w:r>
      <w:bookmarkEnd w:id="2461"/>
      <w:bookmarkEnd w:id="2462"/>
      <w:bookmarkEnd w:id="2463"/>
      <w:r w:rsidRPr="00BE78CA">
        <w:t>8</w:t>
      </w:r>
      <w:bookmarkEnd w:id="2464"/>
      <w:bookmarkEnd w:id="2465"/>
      <w:bookmarkEnd w:id="2466"/>
      <w:bookmarkEnd w:id="2467"/>
      <w:bookmarkEnd w:id="2468"/>
      <w:bookmarkEnd w:id="2469"/>
      <w:bookmarkEnd w:id="2470"/>
      <w:bookmarkEnd w:id="2471"/>
    </w:p>
    <w:tbl>
      <w:tblPr>
        <w:tblW w:w="8505" w:type="dxa"/>
        <w:tblLayout w:type="fixed"/>
        <w:tblLook w:val="04A0" w:firstRow="1" w:lastRow="0" w:firstColumn="1" w:lastColumn="0" w:noHBand="0" w:noVBand="1"/>
      </w:tblPr>
      <w:tblGrid>
        <w:gridCol w:w="1050"/>
        <w:gridCol w:w="1863"/>
        <w:gridCol w:w="1864"/>
        <w:gridCol w:w="1864"/>
        <w:gridCol w:w="1864"/>
      </w:tblGrid>
      <w:tr w:rsidR="00333601" w:rsidRPr="00BE78CA" w14:paraId="496C2143" w14:textId="77777777" w:rsidTr="00C17CFB">
        <w:tc>
          <w:tcPr>
            <w:tcW w:w="1050" w:type="dxa"/>
            <w:vMerge w:val="restart"/>
            <w:tcBorders>
              <w:top w:val="single" w:sz="4" w:space="0" w:color="365F91"/>
            </w:tcBorders>
            <w:shd w:val="clear" w:color="auto" w:fill="365F91"/>
            <w:vAlign w:val="bottom"/>
          </w:tcPr>
          <w:p w14:paraId="4A73460D" w14:textId="77777777" w:rsidR="00333601" w:rsidRPr="00BE78CA" w:rsidRDefault="00333601" w:rsidP="00C26084">
            <w:pPr>
              <w:pStyle w:val="TableTextBold"/>
              <w:keepNext/>
              <w:spacing w:before="40" w:after="40"/>
              <w:rPr>
                <w:noProof w:val="0"/>
                <w:color w:val="FFFFFF"/>
              </w:rPr>
            </w:pPr>
            <w:r w:rsidRPr="00BE78CA">
              <w:rPr>
                <w:noProof w:val="0"/>
                <w:color w:val="FFFFFF"/>
              </w:rPr>
              <w:t>Year</w:t>
            </w:r>
          </w:p>
        </w:tc>
        <w:tc>
          <w:tcPr>
            <w:tcW w:w="3727" w:type="dxa"/>
            <w:gridSpan w:val="2"/>
            <w:tcBorders>
              <w:top w:val="single" w:sz="4" w:space="0" w:color="365F91"/>
            </w:tcBorders>
            <w:shd w:val="clear" w:color="auto" w:fill="365F91"/>
            <w:noWrap/>
          </w:tcPr>
          <w:p w14:paraId="4353358B" w14:textId="77777777" w:rsidR="00333601" w:rsidRPr="00BE78CA" w:rsidRDefault="00333601" w:rsidP="00C26084">
            <w:pPr>
              <w:pStyle w:val="TableTextBold"/>
              <w:keepNext/>
              <w:spacing w:after="40"/>
              <w:jc w:val="center"/>
              <w:rPr>
                <w:noProof w:val="0"/>
                <w:color w:val="FFFFFF"/>
              </w:rPr>
            </w:pPr>
            <w:r w:rsidRPr="00BE78CA">
              <w:rPr>
                <w:noProof w:val="0"/>
                <w:color w:val="FFFFFF"/>
              </w:rPr>
              <w:t>Net emissions (kt CO</w:t>
            </w:r>
            <w:r w:rsidRPr="00BE78CA">
              <w:rPr>
                <w:rFonts w:ascii="Arial Bold" w:hAnsi="Arial Bold"/>
                <w:noProof w:val="0"/>
                <w:color w:val="FFFFFF"/>
                <w:vertAlign w:val="subscript"/>
              </w:rPr>
              <w:t>2</w:t>
            </w:r>
            <w:r w:rsidRPr="00BE78CA">
              <w:rPr>
                <w:noProof w:val="0"/>
                <w:color w:val="FFFFFF"/>
              </w:rPr>
              <w:t>-e)</w:t>
            </w:r>
          </w:p>
        </w:tc>
        <w:tc>
          <w:tcPr>
            <w:tcW w:w="3728" w:type="dxa"/>
            <w:gridSpan w:val="2"/>
            <w:tcBorders>
              <w:top w:val="single" w:sz="4" w:space="0" w:color="365F91"/>
            </w:tcBorders>
            <w:shd w:val="clear" w:color="auto" w:fill="365F91"/>
          </w:tcPr>
          <w:p w14:paraId="6A39E0A6" w14:textId="77777777" w:rsidR="00333601" w:rsidRPr="00BE78CA" w:rsidRDefault="00333601" w:rsidP="00C26084">
            <w:pPr>
              <w:pStyle w:val="TableTextBold"/>
              <w:keepNext/>
              <w:spacing w:after="40"/>
              <w:jc w:val="center"/>
              <w:rPr>
                <w:noProof w:val="0"/>
                <w:color w:val="FFFFFF"/>
              </w:rPr>
            </w:pPr>
            <w:r w:rsidRPr="00BE78CA">
              <w:rPr>
                <w:noProof w:val="0"/>
                <w:color w:val="FFFFFF"/>
              </w:rPr>
              <w:t>Change from the 2020 submission</w:t>
            </w:r>
          </w:p>
        </w:tc>
      </w:tr>
      <w:tr w:rsidR="00333601" w:rsidRPr="00BE78CA" w14:paraId="58D25E6C" w14:textId="77777777" w:rsidTr="00C17CFB">
        <w:tc>
          <w:tcPr>
            <w:tcW w:w="1050" w:type="dxa"/>
            <w:vMerge/>
            <w:tcBorders>
              <w:bottom w:val="single" w:sz="4" w:space="0" w:color="365F91"/>
            </w:tcBorders>
            <w:shd w:val="clear" w:color="auto" w:fill="365F91"/>
          </w:tcPr>
          <w:p w14:paraId="5444E2D4" w14:textId="77777777" w:rsidR="00333601" w:rsidRPr="00BE78CA" w:rsidRDefault="00333601" w:rsidP="00C26084">
            <w:pPr>
              <w:keepNext/>
              <w:spacing w:before="40" w:after="40"/>
              <w:rPr>
                <w:rFonts w:ascii="Arial" w:hAnsi="Arial"/>
                <w:color w:val="FFFFFF"/>
              </w:rPr>
            </w:pPr>
          </w:p>
        </w:tc>
        <w:tc>
          <w:tcPr>
            <w:tcW w:w="1863" w:type="dxa"/>
            <w:tcBorders>
              <w:bottom w:val="single" w:sz="4" w:space="0" w:color="365F91"/>
            </w:tcBorders>
            <w:shd w:val="clear" w:color="auto" w:fill="365F91"/>
          </w:tcPr>
          <w:p w14:paraId="71BEB089" w14:textId="77777777" w:rsidR="00333601" w:rsidRPr="00BE78CA" w:rsidRDefault="00333601" w:rsidP="00C26084">
            <w:pPr>
              <w:pStyle w:val="TableText"/>
              <w:keepNext/>
              <w:spacing w:before="40"/>
              <w:jc w:val="center"/>
              <w:rPr>
                <w:b/>
                <w:color w:val="FFFFFF"/>
              </w:rPr>
            </w:pPr>
            <w:r w:rsidRPr="00BE78CA">
              <w:rPr>
                <w:b/>
                <w:color w:val="FFFFFF"/>
              </w:rPr>
              <w:t>2020 submission</w:t>
            </w:r>
          </w:p>
        </w:tc>
        <w:tc>
          <w:tcPr>
            <w:tcW w:w="1864" w:type="dxa"/>
            <w:tcBorders>
              <w:bottom w:val="single" w:sz="4" w:space="0" w:color="365F91"/>
            </w:tcBorders>
            <w:shd w:val="clear" w:color="auto" w:fill="365F91"/>
          </w:tcPr>
          <w:p w14:paraId="3B876996" w14:textId="77777777" w:rsidR="00333601" w:rsidRPr="00BE78CA" w:rsidRDefault="00333601" w:rsidP="00C26084">
            <w:pPr>
              <w:pStyle w:val="TableText"/>
              <w:keepNext/>
              <w:spacing w:before="40" w:after="40"/>
              <w:jc w:val="center"/>
              <w:rPr>
                <w:b/>
                <w:color w:val="FFFFFF"/>
              </w:rPr>
            </w:pPr>
            <w:r w:rsidRPr="00BE78CA">
              <w:rPr>
                <w:b/>
                <w:color w:val="FFFFFF"/>
              </w:rPr>
              <w:t>2021 submission</w:t>
            </w:r>
          </w:p>
        </w:tc>
        <w:tc>
          <w:tcPr>
            <w:tcW w:w="1864" w:type="dxa"/>
            <w:tcBorders>
              <w:bottom w:val="single" w:sz="4" w:space="0" w:color="365F91"/>
            </w:tcBorders>
            <w:shd w:val="clear" w:color="auto" w:fill="365F91"/>
          </w:tcPr>
          <w:p w14:paraId="54EA7609" w14:textId="77777777" w:rsidR="00333601" w:rsidRPr="00BE78CA" w:rsidRDefault="00333601" w:rsidP="00C26084">
            <w:pPr>
              <w:pStyle w:val="TableText"/>
              <w:keepNext/>
              <w:spacing w:before="40" w:after="40"/>
              <w:jc w:val="center"/>
              <w:rPr>
                <w:b/>
                <w:color w:val="FFFFFF"/>
              </w:rPr>
            </w:pPr>
            <w:r w:rsidRPr="00BE78CA">
              <w:rPr>
                <w:b/>
                <w:color w:val="FFFFFF"/>
              </w:rPr>
              <w:t>(kt CO</w:t>
            </w:r>
            <w:r w:rsidRPr="00BE78CA">
              <w:rPr>
                <w:b/>
                <w:color w:val="FFFFFF"/>
                <w:vertAlign w:val="subscript"/>
              </w:rPr>
              <w:t>2</w:t>
            </w:r>
            <w:r w:rsidRPr="00BE78CA">
              <w:rPr>
                <w:b/>
                <w:color w:val="FFFFFF"/>
              </w:rPr>
              <w:t>-e)</w:t>
            </w:r>
          </w:p>
        </w:tc>
        <w:tc>
          <w:tcPr>
            <w:tcW w:w="1864" w:type="dxa"/>
            <w:tcBorders>
              <w:bottom w:val="single" w:sz="4" w:space="0" w:color="365F91"/>
            </w:tcBorders>
            <w:shd w:val="clear" w:color="auto" w:fill="365F91"/>
          </w:tcPr>
          <w:p w14:paraId="41BF093E" w14:textId="77777777" w:rsidR="00333601" w:rsidRPr="00BE78CA" w:rsidRDefault="00333601" w:rsidP="00C26084">
            <w:pPr>
              <w:pStyle w:val="TableText"/>
              <w:keepNext/>
              <w:spacing w:before="40" w:after="40"/>
              <w:jc w:val="center"/>
              <w:rPr>
                <w:b/>
                <w:color w:val="FFFFFF"/>
              </w:rPr>
            </w:pPr>
            <w:r w:rsidRPr="00BE78CA">
              <w:rPr>
                <w:b/>
                <w:color w:val="FFFFFF"/>
              </w:rPr>
              <w:t>(%)</w:t>
            </w:r>
          </w:p>
        </w:tc>
      </w:tr>
      <w:tr w:rsidR="00333601" w:rsidRPr="00BE78CA" w14:paraId="52031F8F" w14:textId="77777777" w:rsidTr="00C17CFB">
        <w:tc>
          <w:tcPr>
            <w:tcW w:w="1050" w:type="dxa"/>
            <w:tcBorders>
              <w:top w:val="single" w:sz="4" w:space="0" w:color="365F91"/>
              <w:bottom w:val="single" w:sz="4" w:space="0" w:color="365F91"/>
            </w:tcBorders>
          </w:tcPr>
          <w:p w14:paraId="197D3957" w14:textId="77777777" w:rsidR="00333601" w:rsidRPr="00BE78CA" w:rsidRDefault="00333601" w:rsidP="00C26084">
            <w:pPr>
              <w:pStyle w:val="TableText"/>
            </w:pPr>
            <w:r w:rsidRPr="00BE78CA">
              <w:t xml:space="preserve">1990 </w:t>
            </w:r>
          </w:p>
        </w:tc>
        <w:tc>
          <w:tcPr>
            <w:tcW w:w="1863" w:type="dxa"/>
            <w:tcBorders>
              <w:top w:val="single" w:sz="4" w:space="0" w:color="365F91"/>
              <w:bottom w:val="single" w:sz="4" w:space="0" w:color="365F91"/>
            </w:tcBorders>
          </w:tcPr>
          <w:p w14:paraId="740D8BDB" w14:textId="77777777" w:rsidR="00333601" w:rsidRPr="00BE78CA" w:rsidRDefault="00333601" w:rsidP="00C26084">
            <w:pPr>
              <w:pStyle w:val="TableText"/>
              <w:keepNext/>
              <w:tabs>
                <w:tab w:val="decimal" w:pos="369"/>
              </w:tabs>
              <w:jc w:val="center"/>
            </w:pPr>
            <w:r w:rsidRPr="00BE78CA">
              <w:t xml:space="preserve">–10.7 </w:t>
            </w:r>
          </w:p>
        </w:tc>
        <w:tc>
          <w:tcPr>
            <w:tcW w:w="1864" w:type="dxa"/>
            <w:tcBorders>
              <w:top w:val="single" w:sz="4" w:space="0" w:color="365F91"/>
              <w:bottom w:val="single" w:sz="4" w:space="0" w:color="365F91"/>
            </w:tcBorders>
          </w:tcPr>
          <w:p w14:paraId="46BB34D0" w14:textId="77777777" w:rsidR="00333601" w:rsidRPr="00BE78CA" w:rsidRDefault="00333601" w:rsidP="00C26084">
            <w:pPr>
              <w:pStyle w:val="TableText"/>
              <w:keepNext/>
              <w:tabs>
                <w:tab w:val="decimal" w:pos="369"/>
              </w:tabs>
              <w:jc w:val="center"/>
            </w:pPr>
            <w:r w:rsidRPr="00BE78CA">
              <w:t xml:space="preserve">–10.7 </w:t>
            </w:r>
          </w:p>
        </w:tc>
        <w:tc>
          <w:tcPr>
            <w:tcW w:w="1864" w:type="dxa"/>
            <w:tcBorders>
              <w:top w:val="single" w:sz="4" w:space="0" w:color="365F91"/>
              <w:bottom w:val="single" w:sz="4" w:space="0" w:color="365F91"/>
            </w:tcBorders>
          </w:tcPr>
          <w:p w14:paraId="16E5EAE7" w14:textId="77777777" w:rsidR="00333601" w:rsidRPr="00BE78CA" w:rsidRDefault="00333601" w:rsidP="00C26084">
            <w:pPr>
              <w:pStyle w:val="TableText"/>
              <w:keepNext/>
              <w:tabs>
                <w:tab w:val="decimal" w:pos="369"/>
              </w:tabs>
              <w:jc w:val="center"/>
            </w:pPr>
            <w:r w:rsidRPr="00BE78CA">
              <w:t xml:space="preserve">–0.0 </w:t>
            </w:r>
          </w:p>
        </w:tc>
        <w:tc>
          <w:tcPr>
            <w:tcW w:w="1864" w:type="dxa"/>
            <w:tcBorders>
              <w:top w:val="single" w:sz="4" w:space="0" w:color="365F91"/>
              <w:bottom w:val="single" w:sz="4" w:space="0" w:color="365F91"/>
            </w:tcBorders>
          </w:tcPr>
          <w:p w14:paraId="0D716382" w14:textId="77777777" w:rsidR="00333601" w:rsidRPr="00BE78CA" w:rsidRDefault="00333601" w:rsidP="00C26084">
            <w:pPr>
              <w:pStyle w:val="TableText"/>
              <w:keepNext/>
              <w:tabs>
                <w:tab w:val="decimal" w:pos="369"/>
              </w:tabs>
              <w:jc w:val="center"/>
            </w:pPr>
            <w:r w:rsidRPr="00BE78CA">
              <w:t>–0.2</w:t>
            </w:r>
          </w:p>
        </w:tc>
      </w:tr>
      <w:tr w:rsidR="00333601" w:rsidRPr="00BE78CA" w14:paraId="56A26A28" w14:textId="77777777" w:rsidTr="00C17CFB">
        <w:tc>
          <w:tcPr>
            <w:tcW w:w="1050" w:type="dxa"/>
            <w:tcBorders>
              <w:top w:val="single" w:sz="4" w:space="0" w:color="365F91"/>
              <w:bottom w:val="single" w:sz="4" w:space="0" w:color="365F91"/>
            </w:tcBorders>
          </w:tcPr>
          <w:p w14:paraId="5CDE86AA" w14:textId="77777777" w:rsidR="00333601" w:rsidRPr="00BE78CA" w:rsidRDefault="00333601" w:rsidP="00C26084">
            <w:pPr>
              <w:pStyle w:val="TableText"/>
            </w:pPr>
            <w:r w:rsidRPr="00BE78CA">
              <w:t>2018</w:t>
            </w:r>
          </w:p>
        </w:tc>
        <w:tc>
          <w:tcPr>
            <w:tcW w:w="1863" w:type="dxa"/>
            <w:tcBorders>
              <w:top w:val="single" w:sz="4" w:space="0" w:color="365F91"/>
              <w:bottom w:val="single" w:sz="4" w:space="0" w:color="365F91"/>
            </w:tcBorders>
          </w:tcPr>
          <w:p w14:paraId="5FE1202A" w14:textId="77777777" w:rsidR="00333601" w:rsidRPr="00BE78CA" w:rsidRDefault="00333601" w:rsidP="00C26084">
            <w:pPr>
              <w:pStyle w:val="TableText"/>
              <w:tabs>
                <w:tab w:val="decimal" w:pos="369"/>
              </w:tabs>
              <w:jc w:val="center"/>
            </w:pPr>
            <w:r w:rsidRPr="00BE78CA">
              <w:t xml:space="preserve">13.6 </w:t>
            </w:r>
          </w:p>
        </w:tc>
        <w:tc>
          <w:tcPr>
            <w:tcW w:w="1864" w:type="dxa"/>
            <w:tcBorders>
              <w:top w:val="single" w:sz="4" w:space="0" w:color="365F91"/>
              <w:bottom w:val="single" w:sz="4" w:space="0" w:color="365F91"/>
            </w:tcBorders>
          </w:tcPr>
          <w:p w14:paraId="5A9BE77D" w14:textId="77777777" w:rsidR="00333601" w:rsidRPr="00BE78CA" w:rsidRDefault="00333601" w:rsidP="00C26084">
            <w:pPr>
              <w:pStyle w:val="TableText"/>
              <w:tabs>
                <w:tab w:val="decimal" w:pos="369"/>
              </w:tabs>
              <w:jc w:val="center"/>
            </w:pPr>
            <w:r w:rsidRPr="00BE78CA">
              <w:t xml:space="preserve">13.4 </w:t>
            </w:r>
          </w:p>
        </w:tc>
        <w:tc>
          <w:tcPr>
            <w:tcW w:w="1864" w:type="dxa"/>
            <w:tcBorders>
              <w:top w:val="single" w:sz="4" w:space="0" w:color="365F91"/>
              <w:bottom w:val="single" w:sz="4" w:space="0" w:color="365F91"/>
            </w:tcBorders>
          </w:tcPr>
          <w:p w14:paraId="2A0C8665" w14:textId="77777777" w:rsidR="00333601" w:rsidRPr="00BE78CA" w:rsidRDefault="00333601" w:rsidP="00C26084">
            <w:pPr>
              <w:pStyle w:val="TableText"/>
              <w:tabs>
                <w:tab w:val="decimal" w:pos="369"/>
              </w:tabs>
              <w:jc w:val="center"/>
            </w:pPr>
            <w:r w:rsidRPr="00BE78CA">
              <w:t xml:space="preserve">–0.2 </w:t>
            </w:r>
          </w:p>
        </w:tc>
        <w:tc>
          <w:tcPr>
            <w:tcW w:w="1864" w:type="dxa"/>
            <w:tcBorders>
              <w:top w:val="single" w:sz="4" w:space="0" w:color="365F91"/>
              <w:bottom w:val="single" w:sz="4" w:space="0" w:color="365F91"/>
            </w:tcBorders>
          </w:tcPr>
          <w:p w14:paraId="3D8C9E51" w14:textId="77777777" w:rsidR="00333601" w:rsidRPr="00BE78CA" w:rsidRDefault="00333601" w:rsidP="00C26084">
            <w:pPr>
              <w:pStyle w:val="TableText"/>
              <w:tabs>
                <w:tab w:val="decimal" w:pos="369"/>
              </w:tabs>
              <w:jc w:val="center"/>
            </w:pPr>
            <w:r w:rsidRPr="00BE78CA">
              <w:t>–1.1</w:t>
            </w:r>
          </w:p>
        </w:tc>
      </w:tr>
    </w:tbl>
    <w:p w14:paraId="2FCF6D7A" w14:textId="77777777" w:rsidR="00333601" w:rsidRPr="00BE78CA" w:rsidRDefault="00333601" w:rsidP="00333601">
      <w:pPr>
        <w:pStyle w:val="Heading3"/>
      </w:pPr>
      <w:r w:rsidRPr="00BE78CA">
        <w:t>6.7.6</w:t>
      </w:r>
      <w:r w:rsidRPr="00BE78CA">
        <w:tab/>
        <w:t>Category-specific planned improvements</w:t>
      </w:r>
    </w:p>
    <w:p w14:paraId="43A7BF35" w14:textId="77777777" w:rsidR="00333601" w:rsidRPr="00BE78CA" w:rsidRDefault="00333601" w:rsidP="00333601">
      <w:pPr>
        <w:pStyle w:val="BodyText"/>
        <w:spacing w:after="100"/>
      </w:pPr>
      <w:r w:rsidRPr="00BE78CA">
        <w:t xml:space="preserve">The following improvements are planned for the </w:t>
      </w:r>
      <w:r w:rsidRPr="00BE78CA">
        <w:rPr>
          <w:i/>
        </w:rPr>
        <w:t xml:space="preserve">Wetlands </w:t>
      </w:r>
      <w:r w:rsidRPr="00BE78CA">
        <w:t>category:</w:t>
      </w:r>
    </w:p>
    <w:p w14:paraId="155F1E96" w14:textId="77777777" w:rsidR="00333601" w:rsidRPr="00BE78CA" w:rsidRDefault="00333601" w:rsidP="00FA2314">
      <w:pPr>
        <w:pStyle w:val="Bullet"/>
        <w:numPr>
          <w:ilvl w:val="0"/>
          <w:numId w:val="25"/>
        </w:numPr>
      </w:pPr>
      <w:r w:rsidRPr="00BE78CA">
        <w:t>estimating emissions from land converted to flooded land</w:t>
      </w:r>
    </w:p>
    <w:p w14:paraId="7D251B28" w14:textId="77777777" w:rsidR="00333601" w:rsidRPr="00BE78CA" w:rsidRDefault="00333601" w:rsidP="00FA2314">
      <w:pPr>
        <w:pStyle w:val="Bullet"/>
        <w:numPr>
          <w:ilvl w:val="0"/>
          <w:numId w:val="25"/>
        </w:numPr>
      </w:pPr>
      <w:r w:rsidRPr="00BE78CA">
        <w:t>estimating non-CO</w:t>
      </w:r>
      <w:r w:rsidRPr="00BE78CA">
        <w:rPr>
          <w:vertAlign w:val="subscript"/>
        </w:rPr>
        <w:t>2</w:t>
      </w:r>
      <w:r w:rsidRPr="00BE78CA">
        <w:t xml:space="preserve"> emissions from the drainage of soils and wetlands</w:t>
      </w:r>
    </w:p>
    <w:p w14:paraId="138FD65A" w14:textId="77777777" w:rsidR="00333601" w:rsidRPr="00BE78CA" w:rsidRDefault="00333601" w:rsidP="00FA2314">
      <w:pPr>
        <w:pStyle w:val="Bullet"/>
        <w:numPr>
          <w:ilvl w:val="0"/>
          <w:numId w:val="25"/>
        </w:numPr>
      </w:pPr>
      <w:r w:rsidRPr="00BE78CA">
        <w:t xml:space="preserve">identify information, data and resource requirements to assess whether New Zealand can apply the 2013 Wetlands supplement. </w:t>
      </w:r>
    </w:p>
    <w:p w14:paraId="101F0840" w14:textId="77777777" w:rsidR="00333601" w:rsidRPr="00BE78CA" w:rsidRDefault="00333601" w:rsidP="00333601">
      <w:pPr>
        <w:pStyle w:val="Heading2"/>
        <w:spacing w:before="280"/>
      </w:pPr>
      <w:bookmarkStart w:id="2472" w:name="_Toc310423456"/>
      <w:bookmarkStart w:id="2473" w:name="_Toc342470722"/>
      <w:bookmarkStart w:id="2474" w:name="_Toc352504874"/>
      <w:bookmarkStart w:id="2475" w:name="_Toc391024704"/>
      <w:bookmarkStart w:id="2476" w:name="_Toc414531321"/>
      <w:bookmarkStart w:id="2477" w:name="_Toc474335463"/>
      <w:bookmarkStart w:id="2478" w:name="_Toc481751403"/>
      <w:bookmarkStart w:id="2479" w:name="_Toc522013955"/>
      <w:bookmarkStart w:id="2480" w:name="_Toc5269380"/>
      <w:bookmarkStart w:id="2481" w:name="_Toc36224420"/>
      <w:bookmarkStart w:id="2482" w:name="_Toc68786340"/>
      <w:r w:rsidRPr="00BE78CA">
        <w:t>6.8</w:t>
      </w:r>
      <w:r w:rsidRPr="00BE78CA">
        <w:tab/>
        <w:t>Settlements (CRF 4E)</w:t>
      </w:r>
      <w:bookmarkEnd w:id="2472"/>
      <w:bookmarkEnd w:id="2473"/>
      <w:bookmarkEnd w:id="2474"/>
      <w:bookmarkEnd w:id="2475"/>
      <w:bookmarkEnd w:id="2476"/>
      <w:bookmarkEnd w:id="2477"/>
      <w:bookmarkEnd w:id="2478"/>
      <w:bookmarkEnd w:id="2479"/>
      <w:bookmarkEnd w:id="2480"/>
      <w:bookmarkEnd w:id="2481"/>
      <w:bookmarkEnd w:id="2482"/>
    </w:p>
    <w:p w14:paraId="118C32A7" w14:textId="77777777" w:rsidR="00333601" w:rsidRPr="00BE78CA" w:rsidRDefault="00333601" w:rsidP="00333601">
      <w:pPr>
        <w:pStyle w:val="Heading3"/>
        <w:spacing w:before="160"/>
      </w:pPr>
      <w:r w:rsidRPr="00BE78CA">
        <w:t>6.8.1</w:t>
      </w:r>
      <w:r w:rsidRPr="00BE78CA">
        <w:tab/>
        <w:t>Description</w:t>
      </w:r>
    </w:p>
    <w:p w14:paraId="4A7FFB5F" w14:textId="77777777" w:rsidR="00333601" w:rsidRPr="00BE78CA" w:rsidRDefault="00333601" w:rsidP="00333601">
      <w:pPr>
        <w:pStyle w:val="BodyText"/>
      </w:pPr>
      <w:r w:rsidRPr="00BE78CA">
        <w:t xml:space="preserve">The </w:t>
      </w:r>
      <w:r w:rsidRPr="00BE78CA">
        <w:rPr>
          <w:i/>
        </w:rPr>
        <w:t>Settlements</w:t>
      </w:r>
      <w:r w:rsidRPr="00BE78CA">
        <w:t xml:space="preserve"> land use category, as described in chapter 3.2 of 2006 IPCC Guidelines, includes “all developed land, including transportation infrastructure and human settlements of any size, unless they are already included under other categories” (IPCC, 2006a, p 3.7). </w:t>
      </w:r>
      <w:r w:rsidRPr="00BE78CA">
        <w:rPr>
          <w:i/>
        </w:rPr>
        <w:t>Settlements</w:t>
      </w:r>
      <w:r w:rsidRPr="00BE78CA">
        <w:t xml:space="preserve"> include trees grown along streets, in public and private gardens, and in parks associated with urban areas. </w:t>
      </w:r>
    </w:p>
    <w:p w14:paraId="2ADB4906" w14:textId="77777777" w:rsidR="00333601" w:rsidRPr="00BE78CA" w:rsidRDefault="00333601" w:rsidP="00333601">
      <w:pPr>
        <w:pStyle w:val="BodyText"/>
      </w:pPr>
      <w:r w:rsidRPr="00BE78CA">
        <w:t xml:space="preserve">In 2019, there were 236,708 hectares of </w:t>
      </w:r>
      <w:r w:rsidRPr="00BE78CA">
        <w:rPr>
          <w:i/>
        </w:rPr>
        <w:t>Settlements</w:t>
      </w:r>
      <w:r w:rsidRPr="00BE78CA">
        <w:t xml:space="preserve"> in New Zealand, an increase of 28,806 hectares since 1990. This category comprised 0.9 per cent of New Zealand’s total land area in 2019. The largest area of change to </w:t>
      </w:r>
      <w:r w:rsidRPr="00BE78CA">
        <w:rPr>
          <w:i/>
        </w:rPr>
        <w:t>Settlements</w:t>
      </w:r>
      <w:r w:rsidRPr="00BE78CA">
        <w:t xml:space="preserve"> between 1990 and 2019 was from high producing grassland, with 22,536 hectares of high producing</w:t>
      </w:r>
      <w:r w:rsidRPr="00BE78CA">
        <w:rPr>
          <w:i/>
        </w:rPr>
        <w:t xml:space="preserve"> </w:t>
      </w:r>
      <w:r w:rsidRPr="00BE78CA">
        <w:t>grassland converted to </w:t>
      </w:r>
      <w:r w:rsidRPr="00BE78CA">
        <w:rPr>
          <w:i/>
        </w:rPr>
        <w:t>Settlements</w:t>
      </w:r>
      <w:r w:rsidRPr="00BE78CA">
        <w:t xml:space="preserve"> between 1990 and 2019.</w:t>
      </w:r>
    </w:p>
    <w:p w14:paraId="398D3908" w14:textId="77777777" w:rsidR="00333601" w:rsidRPr="00BE78CA" w:rsidRDefault="00333601" w:rsidP="00333601">
      <w:pPr>
        <w:pStyle w:val="BodyText"/>
      </w:pPr>
      <w:r w:rsidRPr="00BE78CA">
        <w:t xml:space="preserve">In 2019, the net emissions from </w:t>
      </w:r>
      <w:r w:rsidRPr="00BE78CA">
        <w:rPr>
          <w:i/>
        </w:rPr>
        <w:t>Settlements</w:t>
      </w:r>
      <w:r w:rsidRPr="00BE78CA">
        <w:t xml:space="preserve"> were 112.7 kt CO</w:t>
      </w:r>
      <w:r w:rsidRPr="00BE78CA">
        <w:rPr>
          <w:vertAlign w:val="subscript"/>
        </w:rPr>
        <w:t>2</w:t>
      </w:r>
      <w:r w:rsidRPr="00BE78CA">
        <w:t xml:space="preserve">-e, an increase of 51.4 per cent from net emissions in 1990 (see table 6.8.1). This change in emissions is mainly from the category of </w:t>
      </w:r>
      <w:r w:rsidRPr="00BE78CA">
        <w:rPr>
          <w:i/>
        </w:rPr>
        <w:t xml:space="preserve">Land converted to settlements </w:t>
      </w:r>
      <w:r w:rsidRPr="00BE78CA">
        <w:t xml:space="preserve">and results from the drainage of organic soils. </w:t>
      </w:r>
      <w:r w:rsidRPr="00BE78CA">
        <w:rPr>
          <w:i/>
        </w:rPr>
        <w:t>Settlements</w:t>
      </w:r>
      <w:r w:rsidRPr="00BE78CA">
        <w:t xml:space="preserve"> was not a key category in 2019.</w:t>
      </w:r>
    </w:p>
    <w:p w14:paraId="79D1B72D" w14:textId="77777777" w:rsidR="00333601" w:rsidRPr="00BE78CA" w:rsidRDefault="00333601" w:rsidP="00333601">
      <w:pPr>
        <w:pStyle w:val="Table"/>
      </w:pPr>
      <w:bookmarkStart w:id="2483" w:name="_Toc342470788"/>
      <w:bookmarkStart w:id="2484" w:name="_Toc352505028"/>
      <w:bookmarkStart w:id="2485" w:name="_Toc378853317"/>
      <w:bookmarkStart w:id="2486" w:name="_Toc391024115"/>
      <w:bookmarkStart w:id="2487" w:name="_Toc410028858"/>
      <w:bookmarkStart w:id="2488" w:name="_Toc414531486"/>
      <w:bookmarkStart w:id="2489" w:name="_Toc443645399"/>
      <w:bookmarkStart w:id="2490" w:name="_Toc474914618"/>
      <w:bookmarkStart w:id="2491" w:name="_Toc481751582"/>
      <w:bookmarkStart w:id="2492" w:name="_Toc522010639"/>
      <w:bookmarkStart w:id="2493" w:name="_Toc5269544"/>
      <w:bookmarkStart w:id="2494" w:name="_Toc33529418"/>
      <w:bookmarkStart w:id="2495" w:name="_Toc36224624"/>
      <w:bookmarkStart w:id="2496" w:name="_Toc65243621"/>
      <w:bookmarkStart w:id="2497" w:name="_Toc68786511"/>
      <w:r w:rsidRPr="00BE78CA">
        <w:lastRenderedPageBreak/>
        <w:t>Table 6.8.1</w:t>
      </w:r>
      <w:r w:rsidRPr="00BE78CA">
        <w:tab/>
        <w:t>New Zealand’s land-use change for the Settlements category, and</w:t>
      </w:r>
      <w:r w:rsidRPr="00BE78CA">
        <w:br/>
        <w:t>associated CO</w:t>
      </w:r>
      <w:r w:rsidRPr="00BE78CA">
        <w:rPr>
          <w:vertAlign w:val="subscript"/>
        </w:rPr>
        <w:t>2</w:t>
      </w:r>
      <w:r w:rsidRPr="00BE78CA">
        <w:noBreakHyphen/>
        <w:t>e emissions</w:t>
      </w:r>
      <w:bookmarkEnd w:id="2483"/>
      <w:bookmarkEnd w:id="2484"/>
      <w:bookmarkEnd w:id="2485"/>
      <w:r w:rsidRPr="00BE78CA">
        <w:t>, from 1990 to</w:t>
      </w:r>
      <w:bookmarkEnd w:id="2486"/>
      <w:r w:rsidRPr="00BE78CA">
        <w:t> 201</w:t>
      </w:r>
      <w:bookmarkEnd w:id="2487"/>
      <w:bookmarkEnd w:id="2488"/>
      <w:bookmarkEnd w:id="2489"/>
      <w:bookmarkEnd w:id="2490"/>
      <w:bookmarkEnd w:id="2491"/>
      <w:bookmarkEnd w:id="2492"/>
      <w:bookmarkEnd w:id="2493"/>
      <w:bookmarkEnd w:id="2494"/>
      <w:bookmarkEnd w:id="2495"/>
      <w:r w:rsidRPr="00BE78CA">
        <w:t>9</w:t>
      </w:r>
      <w:bookmarkEnd w:id="2496"/>
      <w:bookmarkEnd w:id="2497"/>
    </w:p>
    <w:tbl>
      <w:tblPr>
        <w:tblW w:w="8505" w:type="dxa"/>
        <w:tblLayout w:type="fixed"/>
        <w:tblLook w:val="04A0" w:firstRow="1" w:lastRow="0" w:firstColumn="1" w:lastColumn="0" w:noHBand="0" w:noVBand="1"/>
      </w:tblPr>
      <w:tblGrid>
        <w:gridCol w:w="2977"/>
        <w:gridCol w:w="1134"/>
        <w:gridCol w:w="1134"/>
        <w:gridCol w:w="851"/>
        <w:gridCol w:w="992"/>
        <w:gridCol w:w="1417"/>
      </w:tblGrid>
      <w:tr w:rsidR="00333601" w:rsidRPr="00BE78CA" w14:paraId="6EE6771D" w14:textId="77777777" w:rsidTr="00C17CFB">
        <w:trPr>
          <w:tblHeader/>
        </w:trPr>
        <w:tc>
          <w:tcPr>
            <w:tcW w:w="2977" w:type="dxa"/>
            <w:vMerge w:val="restart"/>
            <w:tcBorders>
              <w:top w:val="single" w:sz="4" w:space="0" w:color="365F91"/>
            </w:tcBorders>
            <w:shd w:val="clear" w:color="auto" w:fill="365F91"/>
            <w:vAlign w:val="bottom"/>
          </w:tcPr>
          <w:p w14:paraId="7D6D404A" w14:textId="77777777" w:rsidR="00333601" w:rsidRPr="00BE78CA" w:rsidRDefault="00333601" w:rsidP="00C26084">
            <w:pPr>
              <w:pStyle w:val="TableTextBold"/>
              <w:keepNext/>
              <w:rPr>
                <w:noProof w:val="0"/>
                <w:color w:val="FFFFFF"/>
              </w:rPr>
            </w:pPr>
            <w:r w:rsidRPr="00BE78CA">
              <w:rPr>
                <w:noProof w:val="0"/>
                <w:color w:val="FFFFFF"/>
              </w:rPr>
              <w:t>Settlements land use category</w:t>
            </w:r>
          </w:p>
        </w:tc>
        <w:tc>
          <w:tcPr>
            <w:tcW w:w="2268" w:type="dxa"/>
            <w:gridSpan w:val="2"/>
            <w:tcBorders>
              <w:top w:val="single" w:sz="4" w:space="0" w:color="365F91"/>
            </w:tcBorders>
            <w:shd w:val="clear" w:color="auto" w:fill="365F91"/>
            <w:vAlign w:val="bottom"/>
          </w:tcPr>
          <w:p w14:paraId="63485C54" w14:textId="77777777" w:rsidR="00333601" w:rsidRPr="00BE78CA" w:rsidRDefault="00333601" w:rsidP="00C26084">
            <w:pPr>
              <w:pStyle w:val="TableTextBold"/>
              <w:keepNext/>
              <w:spacing w:after="40"/>
              <w:jc w:val="center"/>
              <w:rPr>
                <w:noProof w:val="0"/>
                <w:color w:val="FFFFFF"/>
              </w:rPr>
            </w:pPr>
            <w:r w:rsidRPr="00BE78CA">
              <w:rPr>
                <w:noProof w:val="0"/>
                <w:color w:val="FFFFFF"/>
              </w:rPr>
              <w:t>Net area (ha) as at</w:t>
            </w:r>
          </w:p>
        </w:tc>
        <w:tc>
          <w:tcPr>
            <w:tcW w:w="1843" w:type="dxa"/>
            <w:gridSpan w:val="2"/>
            <w:tcBorders>
              <w:top w:val="single" w:sz="4" w:space="0" w:color="365F91"/>
            </w:tcBorders>
            <w:shd w:val="clear" w:color="auto" w:fill="365F91"/>
            <w:vAlign w:val="bottom"/>
          </w:tcPr>
          <w:p w14:paraId="6A0AEFAF" w14:textId="77777777" w:rsidR="00333601" w:rsidRPr="00BE78CA" w:rsidRDefault="00333601" w:rsidP="00C26084">
            <w:pPr>
              <w:pStyle w:val="TableTextBold"/>
              <w:keepNext/>
              <w:spacing w:after="40"/>
              <w:jc w:val="center"/>
              <w:rPr>
                <w:noProof w:val="0"/>
                <w:color w:val="FFFFFF"/>
              </w:rPr>
            </w:pPr>
            <w:r w:rsidRPr="00BE78CA">
              <w:rPr>
                <w:noProof w:val="0"/>
                <w:color w:val="FFFFFF"/>
              </w:rPr>
              <w:t>Net emissions (kt CO</w:t>
            </w:r>
            <w:r w:rsidRPr="00BE78CA">
              <w:rPr>
                <w:noProof w:val="0"/>
                <w:color w:val="FFFFFF"/>
                <w:vertAlign w:val="subscript"/>
              </w:rPr>
              <w:t>2</w:t>
            </w:r>
            <w:r w:rsidRPr="00BE78CA">
              <w:rPr>
                <w:noProof w:val="0"/>
                <w:color w:val="FFFFFF"/>
              </w:rPr>
              <w:t>-e)</w:t>
            </w:r>
          </w:p>
        </w:tc>
        <w:tc>
          <w:tcPr>
            <w:tcW w:w="1417" w:type="dxa"/>
            <w:vMerge w:val="restart"/>
            <w:tcBorders>
              <w:top w:val="single" w:sz="4" w:space="0" w:color="365F91"/>
            </w:tcBorders>
            <w:shd w:val="clear" w:color="auto" w:fill="365F91"/>
            <w:vAlign w:val="bottom"/>
          </w:tcPr>
          <w:p w14:paraId="4099FF5D" w14:textId="77777777" w:rsidR="00333601" w:rsidRPr="00BE78CA" w:rsidRDefault="00333601" w:rsidP="00C26084">
            <w:pPr>
              <w:pStyle w:val="TableTextBold"/>
              <w:keepNext/>
              <w:jc w:val="center"/>
              <w:rPr>
                <w:noProof w:val="0"/>
                <w:color w:val="FFFFFF"/>
              </w:rPr>
            </w:pPr>
            <w:r w:rsidRPr="00BE78CA">
              <w:rPr>
                <w:noProof w:val="0"/>
                <w:color w:val="FFFFFF"/>
              </w:rPr>
              <w:t>Change from 1990 (%)</w:t>
            </w:r>
          </w:p>
        </w:tc>
      </w:tr>
      <w:tr w:rsidR="00333601" w:rsidRPr="00BE78CA" w14:paraId="03D0D6DB" w14:textId="77777777" w:rsidTr="00C17CFB">
        <w:trPr>
          <w:tblHeader/>
        </w:trPr>
        <w:tc>
          <w:tcPr>
            <w:tcW w:w="2977" w:type="dxa"/>
            <w:vMerge/>
            <w:tcBorders>
              <w:bottom w:val="single" w:sz="4" w:space="0" w:color="365F91"/>
            </w:tcBorders>
          </w:tcPr>
          <w:p w14:paraId="1A7475B2" w14:textId="77777777" w:rsidR="00333601" w:rsidRPr="00BE78CA" w:rsidRDefault="00333601" w:rsidP="00C26084">
            <w:pPr>
              <w:keepNext/>
              <w:keepLines/>
              <w:spacing w:before="60" w:after="60"/>
            </w:pPr>
          </w:p>
        </w:tc>
        <w:tc>
          <w:tcPr>
            <w:tcW w:w="1134" w:type="dxa"/>
            <w:tcBorders>
              <w:bottom w:val="single" w:sz="4" w:space="0" w:color="365F91"/>
            </w:tcBorders>
            <w:shd w:val="clear" w:color="auto" w:fill="365F91"/>
          </w:tcPr>
          <w:p w14:paraId="00D3DF59" w14:textId="77777777" w:rsidR="00333601" w:rsidRPr="00BE78CA" w:rsidRDefault="00333601" w:rsidP="00C26084">
            <w:pPr>
              <w:pStyle w:val="TableTextBold"/>
              <w:keepNext/>
              <w:jc w:val="center"/>
              <w:rPr>
                <w:noProof w:val="0"/>
                <w:color w:val="FFFFFF"/>
              </w:rPr>
            </w:pPr>
            <w:r w:rsidRPr="00BE78CA">
              <w:rPr>
                <w:noProof w:val="0"/>
                <w:color w:val="FFFFFF"/>
              </w:rPr>
              <w:t>1990</w:t>
            </w:r>
          </w:p>
        </w:tc>
        <w:tc>
          <w:tcPr>
            <w:tcW w:w="1134" w:type="dxa"/>
            <w:tcBorders>
              <w:bottom w:val="single" w:sz="4" w:space="0" w:color="365F91"/>
            </w:tcBorders>
            <w:shd w:val="clear" w:color="auto" w:fill="365F91"/>
          </w:tcPr>
          <w:p w14:paraId="5B2BF6DA" w14:textId="77777777" w:rsidR="00333601" w:rsidRPr="00BE78CA" w:rsidRDefault="00333601" w:rsidP="00C26084">
            <w:pPr>
              <w:pStyle w:val="TableTextBold"/>
              <w:keepNext/>
              <w:jc w:val="center"/>
              <w:rPr>
                <w:noProof w:val="0"/>
                <w:color w:val="FFFFFF"/>
              </w:rPr>
            </w:pPr>
            <w:r w:rsidRPr="00BE78CA">
              <w:rPr>
                <w:noProof w:val="0"/>
                <w:color w:val="FFFFFF"/>
              </w:rPr>
              <w:t>2019</w:t>
            </w:r>
          </w:p>
        </w:tc>
        <w:tc>
          <w:tcPr>
            <w:tcW w:w="851" w:type="dxa"/>
            <w:tcBorders>
              <w:bottom w:val="single" w:sz="4" w:space="0" w:color="365F91"/>
            </w:tcBorders>
            <w:shd w:val="clear" w:color="auto" w:fill="365F91"/>
          </w:tcPr>
          <w:p w14:paraId="40A9F8C4" w14:textId="77777777" w:rsidR="00333601" w:rsidRPr="00BE78CA" w:rsidRDefault="00333601" w:rsidP="00C26084">
            <w:pPr>
              <w:pStyle w:val="TableTextBold"/>
              <w:keepNext/>
              <w:jc w:val="center"/>
              <w:rPr>
                <w:noProof w:val="0"/>
                <w:color w:val="FFFFFF"/>
              </w:rPr>
            </w:pPr>
            <w:r w:rsidRPr="00BE78CA">
              <w:rPr>
                <w:noProof w:val="0"/>
                <w:color w:val="FFFFFF"/>
              </w:rPr>
              <w:t>1990</w:t>
            </w:r>
          </w:p>
        </w:tc>
        <w:tc>
          <w:tcPr>
            <w:tcW w:w="992" w:type="dxa"/>
            <w:tcBorders>
              <w:bottom w:val="single" w:sz="4" w:space="0" w:color="365F91"/>
            </w:tcBorders>
            <w:shd w:val="clear" w:color="auto" w:fill="365F91"/>
          </w:tcPr>
          <w:p w14:paraId="53B947E6" w14:textId="77777777" w:rsidR="00333601" w:rsidRPr="00BE78CA" w:rsidRDefault="00333601" w:rsidP="00C26084">
            <w:pPr>
              <w:pStyle w:val="TableTextBold"/>
              <w:keepNext/>
              <w:jc w:val="center"/>
              <w:rPr>
                <w:noProof w:val="0"/>
                <w:color w:val="FFFFFF"/>
              </w:rPr>
            </w:pPr>
            <w:r w:rsidRPr="00BE78CA">
              <w:rPr>
                <w:noProof w:val="0"/>
                <w:color w:val="FFFFFF"/>
              </w:rPr>
              <w:t>2019</w:t>
            </w:r>
          </w:p>
        </w:tc>
        <w:tc>
          <w:tcPr>
            <w:tcW w:w="1417" w:type="dxa"/>
            <w:vMerge/>
            <w:tcBorders>
              <w:bottom w:val="single" w:sz="4" w:space="0" w:color="365F91"/>
            </w:tcBorders>
          </w:tcPr>
          <w:p w14:paraId="06083473" w14:textId="77777777" w:rsidR="00333601" w:rsidRPr="00BE78CA" w:rsidRDefault="00333601" w:rsidP="00C26084">
            <w:pPr>
              <w:keepNext/>
              <w:keepLines/>
              <w:spacing w:before="60" w:after="60"/>
              <w:jc w:val="center"/>
              <w:rPr>
                <w:rFonts w:ascii="Arial" w:hAnsi="Arial"/>
              </w:rPr>
            </w:pPr>
          </w:p>
        </w:tc>
      </w:tr>
      <w:tr w:rsidR="00333601" w:rsidRPr="00BE78CA" w14:paraId="3E53D46B" w14:textId="77777777" w:rsidTr="00C17CFB">
        <w:tc>
          <w:tcPr>
            <w:tcW w:w="2977" w:type="dxa"/>
            <w:tcBorders>
              <w:top w:val="single" w:sz="4" w:space="0" w:color="365F91"/>
              <w:bottom w:val="single" w:sz="4" w:space="0" w:color="365F91"/>
            </w:tcBorders>
          </w:tcPr>
          <w:p w14:paraId="7DCF3013" w14:textId="77777777" w:rsidR="00333601" w:rsidRPr="00BE78CA" w:rsidRDefault="00333601" w:rsidP="00C26084">
            <w:pPr>
              <w:pStyle w:val="TableText"/>
              <w:keepNext/>
            </w:pPr>
            <w:r w:rsidRPr="00BE78CA">
              <w:t>Settlements remaining settlements</w:t>
            </w:r>
          </w:p>
        </w:tc>
        <w:tc>
          <w:tcPr>
            <w:tcW w:w="1134" w:type="dxa"/>
            <w:tcBorders>
              <w:top w:val="single" w:sz="4" w:space="0" w:color="365F91"/>
              <w:bottom w:val="single" w:sz="4" w:space="0" w:color="365F91"/>
            </w:tcBorders>
          </w:tcPr>
          <w:p w14:paraId="107442AA" w14:textId="77777777" w:rsidR="00333601" w:rsidRPr="00BE78CA" w:rsidRDefault="00333601" w:rsidP="00C26084">
            <w:pPr>
              <w:pStyle w:val="TableText"/>
              <w:keepNext/>
              <w:jc w:val="center"/>
            </w:pPr>
            <w:r w:rsidRPr="00BE78CA">
              <w:t>191,278</w:t>
            </w:r>
          </w:p>
        </w:tc>
        <w:tc>
          <w:tcPr>
            <w:tcW w:w="1134" w:type="dxa"/>
            <w:tcBorders>
              <w:top w:val="single" w:sz="4" w:space="0" w:color="365F91"/>
              <w:bottom w:val="single" w:sz="4" w:space="0" w:color="365F91"/>
            </w:tcBorders>
          </w:tcPr>
          <w:p w14:paraId="572E2DAD" w14:textId="77777777" w:rsidR="00333601" w:rsidRPr="00BE78CA" w:rsidRDefault="00333601" w:rsidP="00C26084">
            <w:pPr>
              <w:pStyle w:val="TableText"/>
              <w:keepNext/>
              <w:jc w:val="center"/>
            </w:pPr>
            <w:r w:rsidRPr="00BE78CA">
              <w:t>217,302</w:t>
            </w:r>
          </w:p>
        </w:tc>
        <w:tc>
          <w:tcPr>
            <w:tcW w:w="851" w:type="dxa"/>
            <w:tcBorders>
              <w:top w:val="single" w:sz="4" w:space="0" w:color="365F91"/>
              <w:bottom w:val="single" w:sz="4" w:space="0" w:color="365F91"/>
            </w:tcBorders>
          </w:tcPr>
          <w:p w14:paraId="219B2F59" w14:textId="77777777" w:rsidR="00333601" w:rsidRPr="00BE78CA" w:rsidRDefault="00333601" w:rsidP="00C26084">
            <w:pPr>
              <w:pStyle w:val="TableText"/>
              <w:keepNext/>
              <w:jc w:val="center"/>
            </w:pPr>
            <w:r w:rsidRPr="00BE78CA">
              <w:t>67.2</w:t>
            </w:r>
          </w:p>
        </w:tc>
        <w:tc>
          <w:tcPr>
            <w:tcW w:w="992" w:type="dxa"/>
            <w:tcBorders>
              <w:top w:val="single" w:sz="4" w:space="0" w:color="365F91"/>
              <w:bottom w:val="single" w:sz="4" w:space="0" w:color="365F91"/>
            </w:tcBorders>
          </w:tcPr>
          <w:p w14:paraId="59743994" w14:textId="77777777" w:rsidR="00333601" w:rsidRPr="00BE78CA" w:rsidRDefault="00333601" w:rsidP="00C26084">
            <w:pPr>
              <w:pStyle w:val="TableText"/>
              <w:keepNext/>
              <w:jc w:val="center"/>
            </w:pPr>
            <w:r w:rsidRPr="00BE78CA">
              <w:t>75.7</w:t>
            </w:r>
          </w:p>
        </w:tc>
        <w:tc>
          <w:tcPr>
            <w:tcW w:w="1417" w:type="dxa"/>
            <w:tcBorders>
              <w:top w:val="single" w:sz="4" w:space="0" w:color="365F91"/>
              <w:bottom w:val="single" w:sz="4" w:space="0" w:color="365F91"/>
            </w:tcBorders>
          </w:tcPr>
          <w:p w14:paraId="5AD1D135" w14:textId="77777777" w:rsidR="00333601" w:rsidRPr="00BE78CA" w:rsidRDefault="00333601" w:rsidP="00C26084">
            <w:pPr>
              <w:pStyle w:val="TableText"/>
              <w:keepNext/>
              <w:jc w:val="center"/>
            </w:pPr>
            <w:r w:rsidRPr="00BE78CA">
              <w:t>+12.7</w:t>
            </w:r>
          </w:p>
        </w:tc>
      </w:tr>
      <w:tr w:rsidR="00333601" w:rsidRPr="00BE78CA" w14:paraId="05C30450" w14:textId="77777777" w:rsidTr="00C17CFB">
        <w:tc>
          <w:tcPr>
            <w:tcW w:w="2977" w:type="dxa"/>
            <w:tcBorders>
              <w:top w:val="single" w:sz="4" w:space="0" w:color="365F91"/>
              <w:bottom w:val="single" w:sz="4" w:space="0" w:color="365F91"/>
            </w:tcBorders>
          </w:tcPr>
          <w:p w14:paraId="3108D182" w14:textId="77777777" w:rsidR="00333601" w:rsidRPr="00BE78CA" w:rsidRDefault="00333601" w:rsidP="00C26084">
            <w:pPr>
              <w:pStyle w:val="TableText"/>
            </w:pPr>
            <w:r w:rsidRPr="00BE78CA">
              <w:t>Land converted to settlements</w:t>
            </w:r>
          </w:p>
        </w:tc>
        <w:tc>
          <w:tcPr>
            <w:tcW w:w="1134" w:type="dxa"/>
            <w:tcBorders>
              <w:top w:val="single" w:sz="4" w:space="0" w:color="365F91"/>
              <w:bottom w:val="single" w:sz="4" w:space="0" w:color="365F91"/>
            </w:tcBorders>
          </w:tcPr>
          <w:p w14:paraId="3A5A2A64" w14:textId="77777777" w:rsidR="00333601" w:rsidRPr="00BE78CA" w:rsidRDefault="00333601" w:rsidP="00C26084">
            <w:pPr>
              <w:pStyle w:val="TableText"/>
              <w:jc w:val="center"/>
            </w:pPr>
            <w:r w:rsidRPr="00BE78CA">
              <w:t>16,624</w:t>
            </w:r>
          </w:p>
        </w:tc>
        <w:tc>
          <w:tcPr>
            <w:tcW w:w="1134" w:type="dxa"/>
            <w:tcBorders>
              <w:top w:val="single" w:sz="4" w:space="0" w:color="365F91"/>
              <w:bottom w:val="single" w:sz="4" w:space="0" w:color="365F91"/>
            </w:tcBorders>
          </w:tcPr>
          <w:p w14:paraId="301900B7" w14:textId="77777777" w:rsidR="00333601" w:rsidRPr="00BE78CA" w:rsidRDefault="00333601" w:rsidP="00C26084">
            <w:pPr>
              <w:pStyle w:val="TableText"/>
              <w:jc w:val="center"/>
            </w:pPr>
            <w:r w:rsidRPr="00BE78CA">
              <w:t>19,405</w:t>
            </w:r>
          </w:p>
        </w:tc>
        <w:tc>
          <w:tcPr>
            <w:tcW w:w="851" w:type="dxa"/>
            <w:tcBorders>
              <w:top w:val="single" w:sz="4" w:space="0" w:color="365F91"/>
              <w:bottom w:val="single" w:sz="4" w:space="0" w:color="365F91"/>
            </w:tcBorders>
          </w:tcPr>
          <w:p w14:paraId="4A3D43C6" w14:textId="77777777" w:rsidR="00333601" w:rsidRPr="00BE78CA" w:rsidRDefault="00333601" w:rsidP="00C26084">
            <w:pPr>
              <w:pStyle w:val="TableText"/>
              <w:jc w:val="center"/>
            </w:pPr>
            <w:r w:rsidRPr="00BE78CA">
              <w:t xml:space="preserve">7.3 </w:t>
            </w:r>
          </w:p>
        </w:tc>
        <w:tc>
          <w:tcPr>
            <w:tcW w:w="992" w:type="dxa"/>
            <w:tcBorders>
              <w:top w:val="single" w:sz="4" w:space="0" w:color="365F91"/>
              <w:bottom w:val="single" w:sz="4" w:space="0" w:color="365F91"/>
            </w:tcBorders>
          </w:tcPr>
          <w:p w14:paraId="2B5DCDDC" w14:textId="77777777" w:rsidR="00333601" w:rsidRPr="00BE78CA" w:rsidRDefault="00333601" w:rsidP="00C26084">
            <w:pPr>
              <w:pStyle w:val="TableText"/>
              <w:jc w:val="center"/>
            </w:pPr>
            <w:r w:rsidRPr="00BE78CA">
              <w:t xml:space="preserve">37.0 </w:t>
            </w:r>
          </w:p>
        </w:tc>
        <w:tc>
          <w:tcPr>
            <w:tcW w:w="1417" w:type="dxa"/>
            <w:tcBorders>
              <w:top w:val="single" w:sz="4" w:space="0" w:color="365F91"/>
              <w:bottom w:val="single" w:sz="4" w:space="0" w:color="365F91"/>
            </w:tcBorders>
          </w:tcPr>
          <w:p w14:paraId="48AF3CF9" w14:textId="77777777" w:rsidR="00333601" w:rsidRPr="00BE78CA" w:rsidRDefault="00333601" w:rsidP="00C26084">
            <w:pPr>
              <w:pStyle w:val="TableText"/>
              <w:jc w:val="center"/>
            </w:pPr>
            <w:r w:rsidRPr="00BE78CA">
              <w:t>+408.2</w:t>
            </w:r>
          </w:p>
        </w:tc>
      </w:tr>
      <w:tr w:rsidR="00333601" w:rsidRPr="00BE78CA" w14:paraId="23632643" w14:textId="77777777" w:rsidTr="00C17CFB">
        <w:tc>
          <w:tcPr>
            <w:tcW w:w="2977" w:type="dxa"/>
            <w:tcBorders>
              <w:top w:val="single" w:sz="4" w:space="0" w:color="365F91"/>
              <w:bottom w:val="single" w:sz="4" w:space="0" w:color="365F91"/>
            </w:tcBorders>
          </w:tcPr>
          <w:p w14:paraId="25891B19" w14:textId="77777777" w:rsidR="00333601" w:rsidRPr="00BE78CA" w:rsidRDefault="00333601" w:rsidP="00C26084">
            <w:pPr>
              <w:pStyle w:val="Tableboldblue"/>
              <w:jc w:val="right"/>
            </w:pPr>
            <w:r w:rsidRPr="00BE78CA">
              <w:t>Total</w:t>
            </w:r>
          </w:p>
        </w:tc>
        <w:tc>
          <w:tcPr>
            <w:tcW w:w="1134" w:type="dxa"/>
            <w:tcBorders>
              <w:top w:val="single" w:sz="4" w:space="0" w:color="365F91"/>
              <w:bottom w:val="single" w:sz="4" w:space="0" w:color="365F91"/>
            </w:tcBorders>
          </w:tcPr>
          <w:p w14:paraId="17E1641A" w14:textId="77777777" w:rsidR="00333601" w:rsidRPr="00BE78CA" w:rsidRDefault="00333601" w:rsidP="00C26084">
            <w:pPr>
              <w:pStyle w:val="Tableboldblue"/>
              <w:jc w:val="center"/>
              <w:rPr>
                <w:color w:val="44546A"/>
              </w:rPr>
            </w:pPr>
            <w:r w:rsidRPr="00BE78CA">
              <w:t>207,902</w:t>
            </w:r>
          </w:p>
        </w:tc>
        <w:tc>
          <w:tcPr>
            <w:tcW w:w="1134" w:type="dxa"/>
            <w:tcBorders>
              <w:top w:val="single" w:sz="4" w:space="0" w:color="365F91"/>
              <w:bottom w:val="single" w:sz="4" w:space="0" w:color="365F91"/>
            </w:tcBorders>
          </w:tcPr>
          <w:p w14:paraId="3CCA0101" w14:textId="77777777" w:rsidR="00333601" w:rsidRPr="00BE78CA" w:rsidRDefault="00333601" w:rsidP="00C26084">
            <w:pPr>
              <w:pStyle w:val="Tableboldblue"/>
              <w:jc w:val="center"/>
              <w:rPr>
                <w:color w:val="44546A"/>
              </w:rPr>
            </w:pPr>
            <w:r w:rsidRPr="00BE78CA">
              <w:t>236,708</w:t>
            </w:r>
          </w:p>
        </w:tc>
        <w:tc>
          <w:tcPr>
            <w:tcW w:w="851" w:type="dxa"/>
            <w:tcBorders>
              <w:top w:val="single" w:sz="4" w:space="0" w:color="365F91"/>
              <w:bottom w:val="single" w:sz="4" w:space="0" w:color="365F91"/>
            </w:tcBorders>
          </w:tcPr>
          <w:p w14:paraId="2C9548C0" w14:textId="77777777" w:rsidR="00333601" w:rsidRPr="00BE78CA" w:rsidRDefault="00333601" w:rsidP="00C26084">
            <w:pPr>
              <w:pStyle w:val="Tableboldblue"/>
              <w:jc w:val="center"/>
              <w:rPr>
                <w:color w:val="44546A"/>
              </w:rPr>
            </w:pPr>
            <w:r w:rsidRPr="00BE78CA">
              <w:t xml:space="preserve">74.4 </w:t>
            </w:r>
          </w:p>
        </w:tc>
        <w:tc>
          <w:tcPr>
            <w:tcW w:w="992" w:type="dxa"/>
            <w:tcBorders>
              <w:top w:val="single" w:sz="4" w:space="0" w:color="365F91"/>
              <w:bottom w:val="single" w:sz="4" w:space="0" w:color="365F91"/>
            </w:tcBorders>
          </w:tcPr>
          <w:p w14:paraId="7614A8DE" w14:textId="77777777" w:rsidR="00333601" w:rsidRPr="00BE78CA" w:rsidRDefault="00333601" w:rsidP="00C26084">
            <w:pPr>
              <w:pStyle w:val="Tableboldblue"/>
              <w:jc w:val="center"/>
              <w:rPr>
                <w:color w:val="44546A"/>
              </w:rPr>
            </w:pPr>
            <w:r w:rsidRPr="00BE78CA">
              <w:t xml:space="preserve">112.7 </w:t>
            </w:r>
          </w:p>
        </w:tc>
        <w:tc>
          <w:tcPr>
            <w:tcW w:w="1417" w:type="dxa"/>
            <w:tcBorders>
              <w:top w:val="single" w:sz="4" w:space="0" w:color="365F91"/>
              <w:bottom w:val="single" w:sz="4" w:space="0" w:color="365F91"/>
            </w:tcBorders>
          </w:tcPr>
          <w:p w14:paraId="119F328E" w14:textId="77777777" w:rsidR="00333601" w:rsidRPr="00BE78CA" w:rsidRDefault="00333601" w:rsidP="00C26084">
            <w:pPr>
              <w:pStyle w:val="Tableboldblue"/>
              <w:jc w:val="center"/>
              <w:rPr>
                <w:color w:val="44546A"/>
              </w:rPr>
            </w:pPr>
            <w:r w:rsidRPr="00BE78CA">
              <w:t>+51.4</w:t>
            </w:r>
          </w:p>
        </w:tc>
      </w:tr>
    </w:tbl>
    <w:p w14:paraId="2DBFA66B" w14:textId="77777777" w:rsidR="00333601" w:rsidRPr="00BE78CA" w:rsidRDefault="00333601" w:rsidP="00333601">
      <w:pPr>
        <w:pStyle w:val="Noteundertable"/>
      </w:pPr>
      <w:r w:rsidRPr="00BE78CA">
        <w:rPr>
          <w:b/>
        </w:rPr>
        <w:t>Note:</w:t>
      </w:r>
      <w:r w:rsidRPr="00BE78CA">
        <w:tab/>
        <w:t xml:space="preserve">Net area in 1990 is as at 1 January 1990; net area in 2019 is as at 31 December. </w:t>
      </w:r>
      <w:r w:rsidRPr="00BE78CA">
        <w:rPr>
          <w:i/>
        </w:rPr>
        <w:t>Land converted to settlements</w:t>
      </w:r>
      <w:r w:rsidRPr="00BE78CA">
        <w:t xml:space="preserve"> includes land converted up to 20 years prior. Net emission values are for the whole year indicated. Columns may not total due to rounding. </w:t>
      </w:r>
    </w:p>
    <w:p w14:paraId="2C6014B0" w14:textId="77777777" w:rsidR="00333601" w:rsidRPr="00BE78CA" w:rsidRDefault="00333601" w:rsidP="00333601">
      <w:pPr>
        <w:pStyle w:val="BodyText"/>
        <w:rPr>
          <w:spacing w:val="-2"/>
        </w:rPr>
      </w:pPr>
      <w:r w:rsidRPr="00BE78CA">
        <w:rPr>
          <w:spacing w:val="-2"/>
        </w:rPr>
        <w:t xml:space="preserve">The emissions in the </w:t>
      </w:r>
      <w:r w:rsidRPr="00BE78CA">
        <w:rPr>
          <w:i/>
          <w:spacing w:val="-2"/>
        </w:rPr>
        <w:t>Settlements remaining settlements</w:t>
      </w:r>
      <w:r w:rsidRPr="00BE78CA">
        <w:rPr>
          <w:spacing w:val="-2"/>
        </w:rPr>
        <w:t xml:space="preserve"> category are all from drainage of organic soils for establishment of settlements. Carbon in living biomass and dead organic matter for this land use category is estimated as zero but, because zero is not a valid entry for biomass gains in the CRF Reporter, the notation key NA (not applicable) is reported for biomass gains instead. The carbon stock in mineral soil for this land use is assumed to be in steady state so this is also reported as zero. </w:t>
      </w:r>
    </w:p>
    <w:p w14:paraId="7D067827" w14:textId="77777777" w:rsidR="00333601" w:rsidRPr="00BE78CA" w:rsidRDefault="00333601" w:rsidP="00333601">
      <w:pPr>
        <w:pStyle w:val="BodyText"/>
      </w:pPr>
      <w:r w:rsidRPr="00BE78CA">
        <w:t xml:space="preserve">From 1990 to 2019, the net carbon stock change for </w:t>
      </w:r>
      <w:r w:rsidRPr="00BE78CA">
        <w:rPr>
          <w:i/>
        </w:rPr>
        <w:t>Settlements</w:t>
      </w:r>
      <w:r w:rsidRPr="00BE78CA">
        <w:t xml:space="preserve"> decreased by 958.6 kt C, equivalent to emissions of 3,514.9 kt CO</w:t>
      </w:r>
      <w:r w:rsidRPr="00BE78CA">
        <w:rPr>
          <w:vertAlign w:val="subscript"/>
        </w:rPr>
        <w:t>2</w:t>
      </w:r>
      <w:r w:rsidRPr="00BE78CA">
        <w:t xml:space="preserve"> in total since 1990 (see table 6.8.2). These carbon stock losses are predominantly due to the loss of carbon from organic soils associated with drainage when land is converted to </w:t>
      </w:r>
      <w:r w:rsidRPr="00BE78CA">
        <w:rPr>
          <w:i/>
        </w:rPr>
        <w:t>Settlements</w:t>
      </w:r>
      <w:r w:rsidRPr="00BE78CA">
        <w:t xml:space="preserve">. </w:t>
      </w:r>
    </w:p>
    <w:p w14:paraId="7C3C76A9" w14:textId="77777777" w:rsidR="00333601" w:rsidRPr="00BE78CA" w:rsidRDefault="00333601" w:rsidP="00333601">
      <w:pPr>
        <w:pStyle w:val="Table"/>
      </w:pPr>
      <w:bookmarkStart w:id="2498" w:name="_Toc352505029"/>
      <w:bookmarkStart w:id="2499" w:name="_Toc342470789"/>
      <w:bookmarkStart w:id="2500" w:name="_Toc378853318"/>
      <w:bookmarkStart w:id="2501" w:name="_Toc391024116"/>
      <w:bookmarkStart w:id="2502" w:name="_Toc410028859"/>
      <w:bookmarkStart w:id="2503" w:name="_Toc414531487"/>
      <w:bookmarkStart w:id="2504" w:name="_Toc443645400"/>
      <w:bookmarkStart w:id="2505" w:name="_Toc474914619"/>
      <w:bookmarkStart w:id="2506" w:name="_Toc481751583"/>
      <w:bookmarkStart w:id="2507" w:name="_Toc522010640"/>
      <w:bookmarkStart w:id="2508" w:name="_Toc5269545"/>
      <w:bookmarkStart w:id="2509" w:name="_Toc33529419"/>
      <w:bookmarkStart w:id="2510" w:name="_Toc36224625"/>
      <w:bookmarkStart w:id="2511" w:name="_Toc65243622"/>
      <w:bookmarkStart w:id="2512" w:name="_Toc68786512"/>
      <w:r w:rsidRPr="00BE78CA">
        <w:t>Table 6.8.2</w:t>
      </w:r>
      <w:r w:rsidRPr="00BE78CA">
        <w:tab/>
        <w:t>New Zealand’s carbon stock change by carbon pool for the Settlements category</w:t>
      </w:r>
      <w:r w:rsidRPr="00BE78CA">
        <w:br/>
        <w:t>from 1990 to</w:t>
      </w:r>
      <w:bookmarkEnd w:id="2498"/>
      <w:bookmarkEnd w:id="2499"/>
      <w:bookmarkEnd w:id="2500"/>
      <w:bookmarkEnd w:id="2501"/>
      <w:r w:rsidRPr="00BE78CA">
        <w:t> 201</w:t>
      </w:r>
      <w:bookmarkEnd w:id="2502"/>
      <w:bookmarkEnd w:id="2503"/>
      <w:bookmarkEnd w:id="2504"/>
      <w:bookmarkEnd w:id="2505"/>
      <w:bookmarkEnd w:id="2506"/>
      <w:bookmarkEnd w:id="2507"/>
      <w:r w:rsidRPr="00BE78CA">
        <w:t>9</w:t>
      </w:r>
      <w:bookmarkEnd w:id="2508"/>
      <w:bookmarkEnd w:id="2509"/>
      <w:bookmarkEnd w:id="2510"/>
      <w:bookmarkEnd w:id="2511"/>
      <w:bookmarkEnd w:id="2512"/>
    </w:p>
    <w:tbl>
      <w:tblPr>
        <w:tblW w:w="8505" w:type="dxa"/>
        <w:tblLook w:val="04A0" w:firstRow="1" w:lastRow="0" w:firstColumn="1" w:lastColumn="0" w:noHBand="0" w:noVBand="1"/>
      </w:tblPr>
      <w:tblGrid>
        <w:gridCol w:w="1560"/>
        <w:gridCol w:w="1417"/>
        <w:gridCol w:w="1610"/>
        <w:gridCol w:w="931"/>
        <w:gridCol w:w="1125"/>
        <w:gridCol w:w="1862"/>
      </w:tblGrid>
      <w:tr w:rsidR="00333601" w:rsidRPr="00BE78CA" w14:paraId="209BAA59" w14:textId="77777777" w:rsidTr="00C17CFB">
        <w:tc>
          <w:tcPr>
            <w:tcW w:w="1560" w:type="dxa"/>
            <w:vMerge w:val="restart"/>
            <w:tcBorders>
              <w:top w:val="single" w:sz="4" w:space="0" w:color="365F91"/>
            </w:tcBorders>
            <w:shd w:val="clear" w:color="auto" w:fill="365F91"/>
            <w:vAlign w:val="bottom"/>
          </w:tcPr>
          <w:p w14:paraId="36A13365" w14:textId="77777777" w:rsidR="00333601" w:rsidRPr="00BE78CA" w:rsidRDefault="00333601" w:rsidP="00C26084">
            <w:pPr>
              <w:pStyle w:val="TableTextBold"/>
              <w:keepNext/>
              <w:rPr>
                <w:noProof w:val="0"/>
                <w:color w:val="FFFFFF"/>
              </w:rPr>
            </w:pPr>
            <w:r w:rsidRPr="00BE78CA">
              <w:rPr>
                <w:noProof w:val="0"/>
                <w:color w:val="FFFFFF"/>
              </w:rPr>
              <w:t>Land use category</w:t>
            </w:r>
          </w:p>
        </w:tc>
        <w:tc>
          <w:tcPr>
            <w:tcW w:w="5083" w:type="dxa"/>
            <w:gridSpan w:val="4"/>
            <w:tcBorders>
              <w:top w:val="single" w:sz="4" w:space="0" w:color="365F91"/>
            </w:tcBorders>
            <w:shd w:val="clear" w:color="auto" w:fill="365F91"/>
            <w:vAlign w:val="bottom"/>
          </w:tcPr>
          <w:p w14:paraId="613D8939" w14:textId="77777777" w:rsidR="00333601" w:rsidRPr="00BE78CA" w:rsidRDefault="00333601" w:rsidP="00C26084">
            <w:pPr>
              <w:pStyle w:val="TableTextBold"/>
              <w:keepNext/>
              <w:spacing w:after="0"/>
              <w:jc w:val="center"/>
              <w:rPr>
                <w:noProof w:val="0"/>
                <w:color w:val="FFFFFF"/>
              </w:rPr>
            </w:pPr>
            <w:r w:rsidRPr="00BE78CA">
              <w:rPr>
                <w:noProof w:val="0"/>
                <w:color w:val="FFFFFF"/>
              </w:rPr>
              <w:t>Net carbon stock change 1990–2019 (kt C)</w:t>
            </w:r>
          </w:p>
        </w:tc>
        <w:tc>
          <w:tcPr>
            <w:tcW w:w="1862" w:type="dxa"/>
            <w:vMerge w:val="restart"/>
            <w:tcBorders>
              <w:top w:val="single" w:sz="4" w:space="0" w:color="365F91"/>
            </w:tcBorders>
            <w:shd w:val="clear" w:color="auto" w:fill="365F91"/>
            <w:vAlign w:val="bottom"/>
          </w:tcPr>
          <w:p w14:paraId="10C64041" w14:textId="77777777" w:rsidR="00333601" w:rsidRPr="00BE78CA" w:rsidRDefault="00333601" w:rsidP="00C26084">
            <w:pPr>
              <w:pStyle w:val="TableTextBold"/>
              <w:keepNext/>
              <w:jc w:val="center"/>
              <w:rPr>
                <w:noProof w:val="0"/>
                <w:color w:val="FFFFFF"/>
              </w:rPr>
            </w:pPr>
            <w:r w:rsidRPr="00BE78CA">
              <w:rPr>
                <w:noProof w:val="0"/>
                <w:color w:val="FFFFFF"/>
              </w:rPr>
              <w:t>Emissions 1990–2019</w:t>
            </w:r>
            <w:r w:rsidRPr="00BE78CA">
              <w:rPr>
                <w:noProof w:val="0"/>
                <w:color w:val="FFFFFF"/>
              </w:rPr>
              <w:br/>
              <w:t>(kt CO</w:t>
            </w:r>
            <w:r w:rsidRPr="00BE78CA">
              <w:rPr>
                <w:noProof w:val="0"/>
                <w:color w:val="FFFFFF"/>
                <w:vertAlign w:val="subscript"/>
              </w:rPr>
              <w:t>2</w:t>
            </w:r>
            <w:r w:rsidRPr="00BE78CA">
              <w:rPr>
                <w:noProof w:val="0"/>
                <w:color w:val="FFFFFF"/>
              </w:rPr>
              <w:t>)</w:t>
            </w:r>
          </w:p>
        </w:tc>
      </w:tr>
      <w:tr w:rsidR="00333601" w:rsidRPr="00BE78CA" w14:paraId="579F6C1A" w14:textId="77777777" w:rsidTr="00C17CFB">
        <w:tc>
          <w:tcPr>
            <w:tcW w:w="1560" w:type="dxa"/>
            <w:vMerge/>
            <w:tcBorders>
              <w:bottom w:val="single" w:sz="4" w:space="0" w:color="365F91"/>
            </w:tcBorders>
          </w:tcPr>
          <w:p w14:paraId="0EE2DCAC" w14:textId="77777777" w:rsidR="00333601" w:rsidRPr="00BE78CA" w:rsidRDefault="00333601" w:rsidP="00C26084">
            <w:pPr>
              <w:keepNext/>
              <w:spacing w:before="60" w:after="60"/>
              <w:rPr>
                <w:rFonts w:ascii="Arial" w:hAnsi="Arial"/>
                <w:b/>
              </w:rPr>
            </w:pPr>
          </w:p>
        </w:tc>
        <w:tc>
          <w:tcPr>
            <w:tcW w:w="1417" w:type="dxa"/>
            <w:tcBorders>
              <w:bottom w:val="single" w:sz="4" w:space="0" w:color="365F91"/>
            </w:tcBorders>
            <w:shd w:val="clear" w:color="auto" w:fill="365F91"/>
            <w:vAlign w:val="bottom"/>
          </w:tcPr>
          <w:p w14:paraId="303858C6" w14:textId="77777777" w:rsidR="00333601" w:rsidRPr="00BE78CA" w:rsidRDefault="00333601" w:rsidP="00C26084">
            <w:pPr>
              <w:pStyle w:val="TableTextBold"/>
              <w:jc w:val="center"/>
              <w:rPr>
                <w:noProof w:val="0"/>
                <w:color w:val="FFFFFF"/>
              </w:rPr>
            </w:pPr>
            <w:r w:rsidRPr="00BE78CA">
              <w:rPr>
                <w:noProof w:val="0"/>
                <w:color w:val="FFFFFF"/>
              </w:rPr>
              <w:t>Living biomass</w:t>
            </w:r>
          </w:p>
        </w:tc>
        <w:tc>
          <w:tcPr>
            <w:tcW w:w="1610" w:type="dxa"/>
            <w:tcBorders>
              <w:bottom w:val="single" w:sz="4" w:space="0" w:color="365F91"/>
            </w:tcBorders>
            <w:shd w:val="clear" w:color="auto" w:fill="365F91"/>
            <w:vAlign w:val="bottom"/>
          </w:tcPr>
          <w:p w14:paraId="7CB276CC" w14:textId="77777777" w:rsidR="00333601" w:rsidRPr="00BE78CA" w:rsidRDefault="00333601" w:rsidP="00C26084">
            <w:pPr>
              <w:pStyle w:val="TableTextBold"/>
              <w:jc w:val="center"/>
              <w:rPr>
                <w:noProof w:val="0"/>
                <w:color w:val="FFFFFF"/>
              </w:rPr>
            </w:pPr>
            <w:r w:rsidRPr="00BE78CA">
              <w:rPr>
                <w:noProof w:val="0"/>
                <w:color w:val="FFFFFF"/>
              </w:rPr>
              <w:t>Dead organic matter</w:t>
            </w:r>
          </w:p>
        </w:tc>
        <w:tc>
          <w:tcPr>
            <w:tcW w:w="931" w:type="dxa"/>
            <w:tcBorders>
              <w:bottom w:val="single" w:sz="4" w:space="0" w:color="365F91"/>
            </w:tcBorders>
            <w:shd w:val="clear" w:color="auto" w:fill="365F91"/>
            <w:vAlign w:val="bottom"/>
          </w:tcPr>
          <w:p w14:paraId="65846C43" w14:textId="77777777" w:rsidR="00333601" w:rsidRPr="00BE78CA" w:rsidRDefault="00333601" w:rsidP="00C26084">
            <w:pPr>
              <w:pStyle w:val="TableTextBold"/>
              <w:jc w:val="center"/>
              <w:rPr>
                <w:noProof w:val="0"/>
                <w:color w:val="FFFFFF"/>
              </w:rPr>
            </w:pPr>
            <w:r w:rsidRPr="00BE78CA">
              <w:rPr>
                <w:noProof w:val="0"/>
                <w:color w:val="FFFFFF"/>
              </w:rPr>
              <w:t>Soils</w:t>
            </w:r>
          </w:p>
        </w:tc>
        <w:tc>
          <w:tcPr>
            <w:tcW w:w="1125" w:type="dxa"/>
            <w:tcBorders>
              <w:bottom w:val="single" w:sz="4" w:space="0" w:color="365F91"/>
            </w:tcBorders>
            <w:shd w:val="clear" w:color="auto" w:fill="365F91"/>
            <w:vAlign w:val="bottom"/>
          </w:tcPr>
          <w:p w14:paraId="243A45CB" w14:textId="77777777" w:rsidR="00333601" w:rsidRPr="00BE78CA" w:rsidRDefault="00333601" w:rsidP="00C26084">
            <w:pPr>
              <w:pStyle w:val="TableTextBold"/>
              <w:jc w:val="center"/>
              <w:rPr>
                <w:noProof w:val="0"/>
                <w:color w:val="FFFFFF"/>
              </w:rPr>
            </w:pPr>
            <w:r w:rsidRPr="00BE78CA">
              <w:rPr>
                <w:noProof w:val="0"/>
                <w:color w:val="FFFFFF"/>
              </w:rPr>
              <w:t>Total</w:t>
            </w:r>
          </w:p>
        </w:tc>
        <w:tc>
          <w:tcPr>
            <w:tcW w:w="1862" w:type="dxa"/>
            <w:vMerge/>
            <w:tcBorders>
              <w:bottom w:val="single" w:sz="4" w:space="0" w:color="365F91"/>
            </w:tcBorders>
          </w:tcPr>
          <w:p w14:paraId="6A945575" w14:textId="77777777" w:rsidR="00333601" w:rsidRPr="00BE78CA" w:rsidRDefault="00333601" w:rsidP="00C26084">
            <w:pPr>
              <w:keepNext/>
              <w:spacing w:before="60" w:after="60"/>
              <w:jc w:val="center"/>
              <w:rPr>
                <w:rFonts w:ascii="Arial" w:hAnsi="Arial"/>
                <w:b/>
              </w:rPr>
            </w:pPr>
          </w:p>
        </w:tc>
      </w:tr>
      <w:tr w:rsidR="00333601" w:rsidRPr="00BE78CA" w14:paraId="33894E3A" w14:textId="77777777" w:rsidTr="00C17CFB">
        <w:tc>
          <w:tcPr>
            <w:tcW w:w="1560" w:type="dxa"/>
            <w:tcBorders>
              <w:top w:val="single" w:sz="4" w:space="0" w:color="365F91"/>
              <w:bottom w:val="single" w:sz="4" w:space="0" w:color="365F91"/>
            </w:tcBorders>
          </w:tcPr>
          <w:p w14:paraId="1A03124A" w14:textId="77777777" w:rsidR="00333601" w:rsidRPr="00BE78CA" w:rsidRDefault="00333601" w:rsidP="00C26084">
            <w:pPr>
              <w:pStyle w:val="TableText"/>
            </w:pPr>
            <w:r w:rsidRPr="00BE78CA">
              <w:t>Settlements</w:t>
            </w:r>
          </w:p>
        </w:tc>
        <w:tc>
          <w:tcPr>
            <w:tcW w:w="1417" w:type="dxa"/>
            <w:tcBorders>
              <w:top w:val="single" w:sz="4" w:space="0" w:color="365F91"/>
              <w:bottom w:val="single" w:sz="4" w:space="0" w:color="365F91"/>
            </w:tcBorders>
          </w:tcPr>
          <w:p w14:paraId="02E1697E" w14:textId="77777777" w:rsidR="00333601" w:rsidRPr="00BE78CA" w:rsidRDefault="00333601" w:rsidP="00C26084">
            <w:pPr>
              <w:pStyle w:val="TableText"/>
              <w:jc w:val="center"/>
            </w:pPr>
            <w:r w:rsidRPr="00BE78CA">
              <w:t>–384.2</w:t>
            </w:r>
          </w:p>
        </w:tc>
        <w:tc>
          <w:tcPr>
            <w:tcW w:w="1610" w:type="dxa"/>
            <w:tcBorders>
              <w:top w:val="single" w:sz="4" w:space="0" w:color="365F91"/>
              <w:bottom w:val="single" w:sz="4" w:space="0" w:color="365F91"/>
            </w:tcBorders>
          </w:tcPr>
          <w:p w14:paraId="1C98BAA0" w14:textId="77777777" w:rsidR="00333601" w:rsidRPr="00BE78CA" w:rsidRDefault="00333601" w:rsidP="00C26084">
            <w:pPr>
              <w:pStyle w:val="TableText"/>
              <w:jc w:val="center"/>
            </w:pPr>
            <w:r w:rsidRPr="00BE78CA">
              <w:t>–28.2</w:t>
            </w:r>
          </w:p>
        </w:tc>
        <w:tc>
          <w:tcPr>
            <w:tcW w:w="931" w:type="dxa"/>
            <w:tcBorders>
              <w:top w:val="single" w:sz="4" w:space="0" w:color="365F91"/>
              <w:bottom w:val="single" w:sz="4" w:space="0" w:color="365F91"/>
            </w:tcBorders>
          </w:tcPr>
          <w:p w14:paraId="2A3C5A47" w14:textId="77777777" w:rsidR="00333601" w:rsidRPr="00BE78CA" w:rsidRDefault="00333601" w:rsidP="00C26084">
            <w:pPr>
              <w:pStyle w:val="TableText"/>
              <w:jc w:val="center"/>
            </w:pPr>
            <w:r w:rsidRPr="00BE78CA">
              <w:t>–546.2</w:t>
            </w:r>
          </w:p>
        </w:tc>
        <w:tc>
          <w:tcPr>
            <w:tcW w:w="1125" w:type="dxa"/>
            <w:tcBorders>
              <w:top w:val="single" w:sz="4" w:space="0" w:color="365F91"/>
              <w:bottom w:val="single" w:sz="4" w:space="0" w:color="365F91"/>
            </w:tcBorders>
          </w:tcPr>
          <w:p w14:paraId="68603194" w14:textId="77777777" w:rsidR="00333601" w:rsidRPr="00BE78CA" w:rsidRDefault="00333601" w:rsidP="00C26084">
            <w:pPr>
              <w:pStyle w:val="TableText"/>
              <w:jc w:val="center"/>
            </w:pPr>
            <w:r w:rsidRPr="00BE78CA">
              <w:t>–958.6</w:t>
            </w:r>
          </w:p>
        </w:tc>
        <w:tc>
          <w:tcPr>
            <w:tcW w:w="1862" w:type="dxa"/>
            <w:tcBorders>
              <w:top w:val="single" w:sz="4" w:space="0" w:color="365F91"/>
              <w:bottom w:val="single" w:sz="4" w:space="0" w:color="365F91"/>
            </w:tcBorders>
          </w:tcPr>
          <w:p w14:paraId="4D5AE829" w14:textId="77777777" w:rsidR="00333601" w:rsidRPr="00BE78CA" w:rsidRDefault="00333601" w:rsidP="00C26084">
            <w:pPr>
              <w:pStyle w:val="TableText"/>
              <w:jc w:val="center"/>
            </w:pPr>
            <w:r w:rsidRPr="00BE78CA">
              <w:t>3,514.9</w:t>
            </w:r>
          </w:p>
        </w:tc>
      </w:tr>
    </w:tbl>
    <w:p w14:paraId="358ADF09" w14:textId="77777777" w:rsidR="00333601" w:rsidRPr="00BE78CA" w:rsidRDefault="00333601" w:rsidP="00C17CFB">
      <w:pPr>
        <w:pStyle w:val="Heading3"/>
        <w:spacing w:before="440"/>
      </w:pPr>
      <w:r w:rsidRPr="00BE78CA">
        <w:t>6.8.2</w:t>
      </w:r>
      <w:r w:rsidRPr="00BE78CA">
        <w:tab/>
        <w:t>Methodological issues</w:t>
      </w:r>
    </w:p>
    <w:p w14:paraId="2B9B3F8D" w14:textId="77777777" w:rsidR="00333601" w:rsidRPr="00BE78CA" w:rsidRDefault="00333601" w:rsidP="00C17CFB">
      <w:pPr>
        <w:pStyle w:val="Heading4"/>
        <w:spacing w:before="180"/>
      </w:pPr>
      <w:r w:rsidRPr="00BE78CA">
        <w:t>Settlements remaining settlements (CRF 4.E.1)</w:t>
      </w:r>
    </w:p>
    <w:p w14:paraId="7DE1D18C" w14:textId="77777777" w:rsidR="00333601" w:rsidRPr="00BE78CA" w:rsidRDefault="00333601" w:rsidP="00333601">
      <w:pPr>
        <w:pStyle w:val="BodyText"/>
      </w:pPr>
      <w:r w:rsidRPr="00BE78CA">
        <w:t xml:space="preserve">New Zealand applies Tier 1 methods for estimating emissions from the </w:t>
      </w:r>
      <w:r w:rsidRPr="00BE78CA">
        <w:rPr>
          <w:i/>
        </w:rPr>
        <w:t xml:space="preserve">Settlements remaining settlements </w:t>
      </w:r>
      <w:r w:rsidRPr="00BE78CA">
        <w:t>category</w:t>
      </w:r>
      <w:r w:rsidRPr="00BE78CA">
        <w:rPr>
          <w:i/>
        </w:rPr>
        <w:t xml:space="preserve">. </w:t>
      </w:r>
      <w:r w:rsidRPr="00BE78CA">
        <w:t>The assumptions are that there is no change in carbon stocks for living biomass, dead organic matter or mineral soils.</w:t>
      </w:r>
      <w:r w:rsidRPr="00BE78CA" w:rsidDel="00394041">
        <w:t xml:space="preserve"> </w:t>
      </w:r>
      <w:r w:rsidRPr="00BE78CA">
        <w:t>The Tier 1 method for organic soils conversely assumes emissions are constant if they are drained. Where organic soils occur in this category, they are assumed to be drained. New Zealand reports emissions applying a factor of either 5.0 tonnes C ha</w:t>
      </w:r>
      <w:r w:rsidRPr="00BE78CA">
        <w:rPr>
          <w:vertAlign w:val="superscript"/>
        </w:rPr>
        <w:t>–1</w:t>
      </w:r>
      <w:r w:rsidRPr="00BE78CA">
        <w:t xml:space="preserve"> yr</w:t>
      </w:r>
      <w:r w:rsidRPr="00BE78CA">
        <w:rPr>
          <w:vertAlign w:val="superscript"/>
        </w:rPr>
        <w:t>–1</w:t>
      </w:r>
      <w:r w:rsidRPr="00BE78CA">
        <w:t xml:space="preserve"> or 10.0 tonnes C ha</w:t>
      </w:r>
      <w:r w:rsidRPr="00BE78CA">
        <w:rPr>
          <w:vertAlign w:val="superscript"/>
        </w:rPr>
        <w:t>–1</w:t>
      </w:r>
      <w:r w:rsidRPr="00BE78CA">
        <w:t xml:space="preserve"> yr</w:t>
      </w:r>
      <w:r w:rsidRPr="00BE78CA">
        <w:rPr>
          <w:vertAlign w:val="superscript"/>
        </w:rPr>
        <w:t>–1</w:t>
      </w:r>
      <w:r w:rsidRPr="00BE78CA">
        <w:t xml:space="preserve">, depending on the climatic temperature regime of the area (sections 5.2.3.2 and 8.2.3.2, IPCC, 2006a). </w:t>
      </w:r>
    </w:p>
    <w:p w14:paraId="5B30D315" w14:textId="77777777" w:rsidR="00333601" w:rsidRPr="00BE78CA" w:rsidRDefault="00333601" w:rsidP="00333601">
      <w:pPr>
        <w:pStyle w:val="BodyText"/>
      </w:pPr>
      <w:r w:rsidRPr="00BE78CA">
        <w:t>Because this is not a key category, New Zealand is not investigating methods to move to a higher tier of reporting for this category.</w:t>
      </w:r>
    </w:p>
    <w:p w14:paraId="7B1EA3C4" w14:textId="77777777" w:rsidR="00333601" w:rsidRPr="00BE78CA" w:rsidRDefault="00333601" w:rsidP="00333601">
      <w:pPr>
        <w:pStyle w:val="Heading4"/>
      </w:pPr>
      <w:r w:rsidRPr="00BE78CA">
        <w:t>Land converted to settlements (CRF 4.E.2)</w:t>
      </w:r>
    </w:p>
    <w:p w14:paraId="617D9FEB" w14:textId="77777777" w:rsidR="00333601" w:rsidRPr="00BE78CA" w:rsidRDefault="00333601" w:rsidP="00333601">
      <w:pPr>
        <w:pStyle w:val="Heading5"/>
        <w:spacing w:before="160"/>
      </w:pPr>
      <w:r w:rsidRPr="00BE78CA">
        <w:t>Living biomass and dead organic matter</w:t>
      </w:r>
    </w:p>
    <w:p w14:paraId="2B6CF52E" w14:textId="77777777" w:rsidR="00333601" w:rsidRPr="00BE78CA" w:rsidRDefault="00333601" w:rsidP="00333601">
      <w:pPr>
        <w:pStyle w:val="BodyText"/>
      </w:pPr>
      <w:r w:rsidRPr="00BE78CA">
        <w:t xml:space="preserve">New Zealand has applied a Tier 1 method for estimating carbon stock change with land conversion to </w:t>
      </w:r>
      <w:r w:rsidRPr="00BE78CA">
        <w:rPr>
          <w:i/>
        </w:rPr>
        <w:t>Settlements</w:t>
      </w:r>
      <w:r w:rsidRPr="00BE78CA">
        <w:t xml:space="preserve"> (equation 2.16, IPCC, 2006a). This is the same as that used for other areas of land-use conversion (e.g., </w:t>
      </w:r>
      <w:r w:rsidRPr="00BE78CA">
        <w:rPr>
          <w:i/>
        </w:rPr>
        <w:t>Land converted to cropland</w:t>
      </w:r>
      <w:r w:rsidRPr="00BE78CA">
        <w:t xml:space="preserve">). The default assumptions for a </w:t>
      </w:r>
      <w:r w:rsidRPr="00BE78CA">
        <w:lastRenderedPageBreak/>
        <w:t>Tier 1 estimate are that all living biomass and dead organic matter present before conversion are lost in the same year as the conversion takes place. Furthermore, carbon stocks in living biomass and dead organic matter following conversion are equal to zero (sections 8.3.1 and 8.3.2, IPCC, 2006a).</w:t>
      </w:r>
    </w:p>
    <w:p w14:paraId="0E06B464" w14:textId="77777777" w:rsidR="00333601" w:rsidRPr="00BE78CA" w:rsidRDefault="00333601" w:rsidP="00333601">
      <w:pPr>
        <w:pStyle w:val="Heading5"/>
        <w:spacing w:before="200"/>
      </w:pPr>
      <w:r w:rsidRPr="00BE78CA">
        <w:t>Soil carbon</w:t>
      </w:r>
    </w:p>
    <w:p w14:paraId="3243092A" w14:textId="77777777" w:rsidR="00333601" w:rsidRPr="00BE78CA" w:rsidRDefault="00333601" w:rsidP="00333601">
      <w:pPr>
        <w:pStyle w:val="BodyText"/>
      </w:pPr>
      <w:r w:rsidRPr="00BE78CA">
        <w:t xml:space="preserve">SOC stocks in mineral soil for </w:t>
      </w:r>
      <w:r w:rsidRPr="00BE78CA">
        <w:rPr>
          <w:i/>
        </w:rPr>
        <w:t>Land converted to settlements</w:t>
      </w:r>
      <w:r w:rsidRPr="00BE78CA">
        <w:t xml:space="preserve"> are estimated using a Tier 2 method (see section 6.3). In the absence of data on the rate of change specific to either country or land use, the IPCC default of a linear change over a 20-year period is used to estimate the change in SOC stocks between the original land use and </w:t>
      </w:r>
      <w:r w:rsidRPr="00BE78CA">
        <w:rPr>
          <w:i/>
        </w:rPr>
        <w:t>Settlements</w:t>
      </w:r>
      <w:r w:rsidRPr="00BE78CA">
        <w:t xml:space="preserve"> for any given period. For organic soils, loss of soil carbon is estimated using the Tier 1 method, using the same method as for </w:t>
      </w:r>
      <w:r w:rsidRPr="00BE78CA">
        <w:rPr>
          <w:i/>
        </w:rPr>
        <w:t>Settlements remaining settlements</w:t>
      </w:r>
      <w:r w:rsidRPr="00BE78CA">
        <w:t xml:space="preserve">. </w:t>
      </w:r>
    </w:p>
    <w:p w14:paraId="50C369DF" w14:textId="77777777" w:rsidR="00333601" w:rsidRPr="00BE78CA" w:rsidRDefault="00333601" w:rsidP="00333601">
      <w:pPr>
        <w:pStyle w:val="Heading3"/>
        <w:spacing w:before="240"/>
      </w:pPr>
      <w:r w:rsidRPr="00BE78CA">
        <w:t>6.8.3</w:t>
      </w:r>
      <w:r w:rsidRPr="00BE78CA">
        <w:tab/>
        <w:t>Uncertainties and time-series consistency</w:t>
      </w:r>
    </w:p>
    <w:p w14:paraId="73C17324" w14:textId="77777777" w:rsidR="00333601" w:rsidRPr="00BE78CA" w:rsidRDefault="00333601" w:rsidP="00333601">
      <w:pPr>
        <w:pStyle w:val="BodyText"/>
        <w:spacing w:before="100" w:after="100"/>
      </w:pPr>
      <w:r w:rsidRPr="00BE78CA">
        <w:t xml:space="preserve">The uncertainty in mapping </w:t>
      </w:r>
      <w:r w:rsidRPr="00BE78CA">
        <w:rPr>
          <w:i/>
        </w:rPr>
        <w:t>Settlements</w:t>
      </w:r>
      <w:r w:rsidRPr="00BE78CA">
        <w:t xml:space="preserve"> is </w:t>
      </w:r>
      <w:r w:rsidRPr="00BE78CA">
        <w:sym w:font="Symbol" w:char="F0B1"/>
      </w:r>
      <w:r w:rsidRPr="00BE78CA">
        <w:t>22.0 per cent (see table 6.8.3). Further details are given in section 6.2.5.</w:t>
      </w:r>
    </w:p>
    <w:p w14:paraId="5F6B11D4" w14:textId="77777777" w:rsidR="00333601" w:rsidRPr="00BE78CA" w:rsidRDefault="00333601" w:rsidP="00333601">
      <w:pPr>
        <w:pStyle w:val="BodyText"/>
        <w:spacing w:before="100" w:after="100"/>
      </w:pPr>
      <w:r w:rsidRPr="00BE78CA">
        <w:t xml:space="preserve">New Zealand uses the IPCC default values for biomass accumulation and biomass loss on conversion to </w:t>
      </w:r>
      <w:r w:rsidRPr="00BE78CA">
        <w:rPr>
          <w:i/>
        </w:rPr>
        <w:t>Settlements</w:t>
      </w:r>
      <w:r w:rsidRPr="00BE78CA">
        <w:t xml:space="preserve">. The uncertainty in these figures is </w:t>
      </w:r>
      <w:r w:rsidRPr="00BE78CA">
        <w:sym w:font="Symbol" w:char="F0B1"/>
      </w:r>
      <w:r w:rsidRPr="00BE78CA">
        <w:t xml:space="preserve">75.0 per cent. For soils, the default uncertainty of </w:t>
      </w:r>
      <w:r w:rsidRPr="00BE78CA">
        <w:sym w:font="Symbol" w:char="F0B1"/>
      </w:r>
      <w:r w:rsidRPr="00BE78CA">
        <w:t>95.0 per cent is applied here.</w:t>
      </w:r>
    </w:p>
    <w:p w14:paraId="2997E5A2" w14:textId="77777777" w:rsidR="00333601" w:rsidRPr="00BE78CA" w:rsidRDefault="00333601" w:rsidP="00333601">
      <w:pPr>
        <w:pStyle w:val="Table"/>
      </w:pPr>
      <w:bookmarkStart w:id="2513" w:name="_Toc342470791"/>
      <w:bookmarkStart w:id="2514" w:name="_Toc352505031"/>
      <w:bookmarkStart w:id="2515" w:name="_Toc378853320"/>
      <w:bookmarkStart w:id="2516" w:name="_Toc391024118"/>
      <w:bookmarkStart w:id="2517" w:name="_Toc410028860"/>
      <w:bookmarkStart w:id="2518" w:name="_Toc414531488"/>
      <w:bookmarkStart w:id="2519" w:name="_Toc443645401"/>
      <w:bookmarkStart w:id="2520" w:name="_Toc474914620"/>
      <w:bookmarkStart w:id="2521" w:name="_Toc481751584"/>
      <w:bookmarkStart w:id="2522" w:name="_Toc522010641"/>
      <w:bookmarkStart w:id="2523" w:name="_Toc5269546"/>
      <w:bookmarkStart w:id="2524" w:name="_Toc33529420"/>
      <w:bookmarkStart w:id="2525" w:name="_Toc36224626"/>
      <w:bookmarkStart w:id="2526" w:name="_Toc65243623"/>
      <w:bookmarkStart w:id="2527" w:name="_Toc68786513"/>
      <w:r w:rsidRPr="00BE78CA">
        <w:t>Table 6.8.3</w:t>
      </w:r>
      <w:r w:rsidRPr="00BE78CA">
        <w:tab/>
        <w:t>Uncertainty in New Zealand’s 2019 estimates for the Settlements category</w:t>
      </w:r>
      <w:bookmarkEnd w:id="2513"/>
      <w:r w:rsidRPr="00BE78CA">
        <w:br/>
        <w:t>(including land in transition)</w:t>
      </w:r>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p>
    <w:tbl>
      <w:tblPr>
        <w:tblW w:w="8505" w:type="dxa"/>
        <w:tblLook w:val="04A0" w:firstRow="1" w:lastRow="0" w:firstColumn="1" w:lastColumn="0" w:noHBand="0" w:noVBand="1"/>
      </w:tblPr>
      <w:tblGrid>
        <w:gridCol w:w="4685"/>
        <w:gridCol w:w="3820"/>
      </w:tblGrid>
      <w:tr w:rsidR="00333601" w:rsidRPr="00BE78CA" w14:paraId="757414A0" w14:textId="77777777" w:rsidTr="00C17CFB">
        <w:trPr>
          <w:trHeight w:val="285"/>
        </w:trPr>
        <w:tc>
          <w:tcPr>
            <w:tcW w:w="4685" w:type="dxa"/>
            <w:tcBorders>
              <w:top w:val="single" w:sz="4" w:space="0" w:color="365F91"/>
              <w:bottom w:val="single" w:sz="4" w:space="0" w:color="365F91"/>
            </w:tcBorders>
            <w:shd w:val="clear" w:color="auto" w:fill="365F91"/>
            <w:noWrap/>
            <w:hideMark/>
          </w:tcPr>
          <w:p w14:paraId="435135BE" w14:textId="77777777" w:rsidR="00333601" w:rsidRPr="00BE78CA" w:rsidRDefault="00333601" w:rsidP="00C26084">
            <w:pPr>
              <w:pStyle w:val="TableTextBold"/>
              <w:keepNext/>
              <w:rPr>
                <w:noProof w:val="0"/>
                <w:color w:val="FFFFFF"/>
              </w:rPr>
            </w:pPr>
            <w:r w:rsidRPr="00BE78CA">
              <w:rPr>
                <w:noProof w:val="0"/>
                <w:color w:val="FFFFFF"/>
              </w:rPr>
              <w:t>Variable</w:t>
            </w:r>
          </w:p>
        </w:tc>
        <w:tc>
          <w:tcPr>
            <w:tcW w:w="3820" w:type="dxa"/>
            <w:tcBorders>
              <w:top w:val="single" w:sz="4" w:space="0" w:color="365F91"/>
              <w:bottom w:val="single" w:sz="4" w:space="0" w:color="365F91"/>
            </w:tcBorders>
            <w:shd w:val="clear" w:color="auto" w:fill="365F91"/>
            <w:noWrap/>
            <w:hideMark/>
          </w:tcPr>
          <w:p w14:paraId="1D879537" w14:textId="77777777" w:rsidR="00333601" w:rsidRPr="00BE78CA" w:rsidRDefault="00333601" w:rsidP="00C26084">
            <w:pPr>
              <w:pStyle w:val="TableTextBold"/>
              <w:rPr>
                <w:noProof w:val="0"/>
                <w:color w:val="FFFFFF"/>
              </w:rPr>
            </w:pPr>
            <w:r w:rsidRPr="00BE78CA">
              <w:rPr>
                <w:noProof w:val="0"/>
                <w:color w:val="FFFFFF"/>
              </w:rPr>
              <w:t>Uncertainty at a 95% confidence interval (%)</w:t>
            </w:r>
          </w:p>
        </w:tc>
      </w:tr>
      <w:tr w:rsidR="00333601" w:rsidRPr="00BE78CA" w14:paraId="61F3F5A3" w14:textId="77777777" w:rsidTr="00C17CFB">
        <w:trPr>
          <w:trHeight w:val="285"/>
        </w:trPr>
        <w:tc>
          <w:tcPr>
            <w:tcW w:w="4685" w:type="dxa"/>
            <w:tcBorders>
              <w:top w:val="single" w:sz="4" w:space="0" w:color="365F91"/>
              <w:bottom w:val="single" w:sz="4" w:space="0" w:color="365F91"/>
            </w:tcBorders>
            <w:noWrap/>
            <w:hideMark/>
          </w:tcPr>
          <w:p w14:paraId="0148406E" w14:textId="77777777" w:rsidR="00333601" w:rsidRPr="00BE78CA" w:rsidRDefault="00333601" w:rsidP="00C26084">
            <w:pPr>
              <w:pStyle w:val="TableTextBold"/>
              <w:keepNext/>
              <w:rPr>
                <w:noProof w:val="0"/>
              </w:rPr>
            </w:pPr>
            <w:r w:rsidRPr="00BE78CA">
              <w:rPr>
                <w:noProof w:val="0"/>
              </w:rPr>
              <w:t>Activity data</w:t>
            </w:r>
          </w:p>
        </w:tc>
        <w:tc>
          <w:tcPr>
            <w:tcW w:w="3820" w:type="dxa"/>
            <w:tcBorders>
              <w:top w:val="single" w:sz="4" w:space="0" w:color="365F91"/>
              <w:bottom w:val="single" w:sz="4" w:space="0" w:color="365F91"/>
            </w:tcBorders>
            <w:noWrap/>
            <w:hideMark/>
          </w:tcPr>
          <w:p w14:paraId="4BDC6AA4" w14:textId="77777777" w:rsidR="00333601" w:rsidRPr="00BE78CA" w:rsidRDefault="00333601" w:rsidP="00C26084">
            <w:pPr>
              <w:pStyle w:val="TableTextBold"/>
              <w:tabs>
                <w:tab w:val="decimal" w:pos="0"/>
              </w:tabs>
              <w:rPr>
                <w:noProof w:val="0"/>
              </w:rPr>
            </w:pPr>
          </w:p>
        </w:tc>
      </w:tr>
      <w:tr w:rsidR="00333601" w:rsidRPr="00BE78CA" w14:paraId="2600CACB" w14:textId="77777777" w:rsidTr="00C17CFB">
        <w:trPr>
          <w:trHeight w:val="227"/>
        </w:trPr>
        <w:tc>
          <w:tcPr>
            <w:tcW w:w="4685" w:type="dxa"/>
            <w:tcBorders>
              <w:top w:val="single" w:sz="4" w:space="0" w:color="365F91"/>
              <w:bottom w:val="single" w:sz="4" w:space="0" w:color="365F91"/>
            </w:tcBorders>
            <w:noWrap/>
            <w:hideMark/>
          </w:tcPr>
          <w:p w14:paraId="67234E45" w14:textId="77777777" w:rsidR="00333601" w:rsidRPr="00BE78CA" w:rsidRDefault="00333601" w:rsidP="00C26084">
            <w:pPr>
              <w:pStyle w:val="TableText"/>
              <w:keepNext/>
            </w:pPr>
            <w:r w:rsidRPr="00BE78CA">
              <w:t>Uncertainty in land area</w:t>
            </w:r>
          </w:p>
        </w:tc>
        <w:tc>
          <w:tcPr>
            <w:tcW w:w="3820" w:type="dxa"/>
            <w:tcBorders>
              <w:top w:val="single" w:sz="4" w:space="0" w:color="365F91"/>
              <w:bottom w:val="single" w:sz="4" w:space="0" w:color="365F91"/>
            </w:tcBorders>
            <w:noWrap/>
            <w:hideMark/>
          </w:tcPr>
          <w:p w14:paraId="507EA806" w14:textId="77777777" w:rsidR="00333601" w:rsidRPr="00BE78CA" w:rsidRDefault="00333601" w:rsidP="00C26084">
            <w:pPr>
              <w:pStyle w:val="TableText"/>
              <w:tabs>
                <w:tab w:val="decimal" w:pos="0"/>
              </w:tabs>
              <w:jc w:val="center"/>
            </w:pPr>
            <w:r w:rsidRPr="00BE78CA">
              <w:t>±22.0</w:t>
            </w:r>
          </w:p>
        </w:tc>
      </w:tr>
      <w:tr w:rsidR="00333601" w:rsidRPr="00BE78CA" w14:paraId="429BA333" w14:textId="77777777" w:rsidTr="00C17CFB">
        <w:trPr>
          <w:trHeight w:val="285"/>
        </w:trPr>
        <w:tc>
          <w:tcPr>
            <w:tcW w:w="4685" w:type="dxa"/>
            <w:tcBorders>
              <w:top w:val="single" w:sz="4" w:space="0" w:color="365F91"/>
              <w:bottom w:val="single" w:sz="4" w:space="0" w:color="365F91"/>
            </w:tcBorders>
            <w:noWrap/>
            <w:hideMark/>
          </w:tcPr>
          <w:p w14:paraId="077094B5" w14:textId="77777777" w:rsidR="00333601" w:rsidRPr="00BE78CA" w:rsidRDefault="00333601" w:rsidP="00C26084">
            <w:pPr>
              <w:pStyle w:val="TableTextBold"/>
              <w:keepNext/>
              <w:rPr>
                <w:noProof w:val="0"/>
              </w:rPr>
            </w:pPr>
            <w:r w:rsidRPr="00BE78CA">
              <w:rPr>
                <w:noProof w:val="0"/>
              </w:rPr>
              <w:t>Emission factors</w:t>
            </w:r>
          </w:p>
        </w:tc>
        <w:tc>
          <w:tcPr>
            <w:tcW w:w="3820" w:type="dxa"/>
            <w:tcBorders>
              <w:top w:val="single" w:sz="4" w:space="0" w:color="365F91"/>
              <w:bottom w:val="single" w:sz="4" w:space="0" w:color="365F91"/>
            </w:tcBorders>
            <w:noWrap/>
            <w:hideMark/>
          </w:tcPr>
          <w:p w14:paraId="050597C2" w14:textId="77777777" w:rsidR="00333601" w:rsidRPr="00BE78CA" w:rsidRDefault="00333601" w:rsidP="00C26084">
            <w:pPr>
              <w:pStyle w:val="TableTextBold"/>
              <w:tabs>
                <w:tab w:val="decimal" w:pos="0"/>
              </w:tabs>
              <w:jc w:val="center"/>
              <w:rPr>
                <w:noProof w:val="0"/>
              </w:rPr>
            </w:pPr>
          </w:p>
        </w:tc>
      </w:tr>
      <w:tr w:rsidR="00333601" w:rsidRPr="00BE78CA" w14:paraId="35036673" w14:textId="77777777" w:rsidTr="00C17CFB">
        <w:trPr>
          <w:trHeight w:val="285"/>
        </w:trPr>
        <w:tc>
          <w:tcPr>
            <w:tcW w:w="4685" w:type="dxa"/>
            <w:tcBorders>
              <w:top w:val="single" w:sz="4" w:space="0" w:color="365F91"/>
              <w:bottom w:val="single" w:sz="4" w:space="0" w:color="365F91"/>
            </w:tcBorders>
            <w:noWrap/>
            <w:hideMark/>
          </w:tcPr>
          <w:p w14:paraId="67D0BE6E" w14:textId="77777777" w:rsidR="00333601" w:rsidRPr="00BE78CA" w:rsidRDefault="00333601" w:rsidP="00C26084">
            <w:pPr>
              <w:pStyle w:val="TableText"/>
            </w:pPr>
            <w:r w:rsidRPr="00BE78CA">
              <w:t>Uncertainty in biomass carbon stocks</w:t>
            </w:r>
          </w:p>
        </w:tc>
        <w:tc>
          <w:tcPr>
            <w:tcW w:w="3820" w:type="dxa"/>
            <w:tcBorders>
              <w:top w:val="single" w:sz="4" w:space="0" w:color="365F91"/>
              <w:bottom w:val="single" w:sz="4" w:space="0" w:color="365F91"/>
            </w:tcBorders>
            <w:noWrap/>
            <w:hideMark/>
          </w:tcPr>
          <w:p w14:paraId="4E26792C" w14:textId="77777777" w:rsidR="00333601" w:rsidRPr="00BE78CA" w:rsidRDefault="00333601" w:rsidP="00C26084">
            <w:pPr>
              <w:pStyle w:val="TableText"/>
              <w:tabs>
                <w:tab w:val="decimal" w:pos="0"/>
              </w:tabs>
              <w:jc w:val="center"/>
            </w:pPr>
            <w:r w:rsidRPr="00BE78CA">
              <w:t>±75.0</w:t>
            </w:r>
          </w:p>
        </w:tc>
      </w:tr>
      <w:tr w:rsidR="00333601" w:rsidRPr="00BE78CA" w14:paraId="1AFE84B6" w14:textId="77777777" w:rsidTr="00C17CFB">
        <w:trPr>
          <w:trHeight w:val="285"/>
        </w:trPr>
        <w:tc>
          <w:tcPr>
            <w:tcW w:w="4685" w:type="dxa"/>
            <w:tcBorders>
              <w:top w:val="single" w:sz="4" w:space="0" w:color="365F91"/>
              <w:bottom w:val="single" w:sz="4" w:space="0" w:color="365F91"/>
            </w:tcBorders>
            <w:noWrap/>
            <w:hideMark/>
          </w:tcPr>
          <w:p w14:paraId="5E7E1EF8" w14:textId="77777777" w:rsidR="00333601" w:rsidRPr="00BE78CA" w:rsidRDefault="00333601" w:rsidP="00C26084">
            <w:pPr>
              <w:pStyle w:val="TableText"/>
            </w:pPr>
            <w:r w:rsidRPr="00BE78CA">
              <w:t>Uncertainty in soil carbon stocks</w:t>
            </w:r>
          </w:p>
        </w:tc>
        <w:tc>
          <w:tcPr>
            <w:tcW w:w="3820" w:type="dxa"/>
            <w:tcBorders>
              <w:top w:val="single" w:sz="4" w:space="0" w:color="365F91"/>
              <w:bottom w:val="single" w:sz="4" w:space="0" w:color="365F91"/>
            </w:tcBorders>
            <w:noWrap/>
            <w:hideMark/>
          </w:tcPr>
          <w:p w14:paraId="2776FE17" w14:textId="77777777" w:rsidR="00333601" w:rsidRPr="00BE78CA" w:rsidRDefault="00333601" w:rsidP="00C26084">
            <w:pPr>
              <w:pStyle w:val="TableText"/>
              <w:tabs>
                <w:tab w:val="decimal" w:pos="0"/>
              </w:tabs>
              <w:jc w:val="center"/>
            </w:pPr>
            <w:r w:rsidRPr="00BE78CA">
              <w:t>±95.0</w:t>
            </w:r>
          </w:p>
        </w:tc>
      </w:tr>
      <w:tr w:rsidR="00333601" w:rsidRPr="00BE78CA" w14:paraId="44EAC214" w14:textId="77777777" w:rsidTr="00C17CFB">
        <w:trPr>
          <w:trHeight w:val="285"/>
        </w:trPr>
        <w:tc>
          <w:tcPr>
            <w:tcW w:w="4685" w:type="dxa"/>
            <w:tcBorders>
              <w:top w:val="single" w:sz="4" w:space="0" w:color="365F91"/>
              <w:bottom w:val="single" w:sz="4" w:space="0" w:color="365F91"/>
            </w:tcBorders>
            <w:noWrap/>
            <w:hideMark/>
          </w:tcPr>
          <w:p w14:paraId="3135F11E" w14:textId="77777777" w:rsidR="00333601" w:rsidRPr="00BE78CA" w:rsidRDefault="00333601" w:rsidP="00C26084">
            <w:pPr>
              <w:pStyle w:val="Tableboldblue"/>
            </w:pPr>
            <w:r w:rsidRPr="00BE78CA">
              <w:t>Uncertainty introduced into net emissions for LULUCF</w:t>
            </w:r>
          </w:p>
        </w:tc>
        <w:tc>
          <w:tcPr>
            <w:tcW w:w="3820" w:type="dxa"/>
            <w:tcBorders>
              <w:top w:val="single" w:sz="4" w:space="0" w:color="365F91"/>
              <w:bottom w:val="single" w:sz="4" w:space="0" w:color="365F91"/>
            </w:tcBorders>
            <w:noWrap/>
            <w:hideMark/>
          </w:tcPr>
          <w:p w14:paraId="7D6FCBCF" w14:textId="77777777" w:rsidR="00333601" w:rsidRPr="00BE78CA" w:rsidRDefault="00333601" w:rsidP="00C26084">
            <w:pPr>
              <w:pStyle w:val="Tableboldblue"/>
              <w:jc w:val="center"/>
            </w:pPr>
            <w:r w:rsidRPr="00BE78CA">
              <w:t>±0.3</w:t>
            </w:r>
          </w:p>
        </w:tc>
      </w:tr>
    </w:tbl>
    <w:p w14:paraId="7D245918" w14:textId="77777777" w:rsidR="00333601" w:rsidRPr="00BE78CA" w:rsidRDefault="00333601" w:rsidP="00333601">
      <w:pPr>
        <w:pStyle w:val="Noteundertable"/>
      </w:pPr>
      <w:r w:rsidRPr="00BE78CA">
        <w:rPr>
          <w:b/>
        </w:rPr>
        <w:t>Note:</w:t>
      </w:r>
      <w:r w:rsidRPr="00BE78CA">
        <w:tab/>
        <w:t xml:space="preserve">The activity data and combined emission factor uncertainty are weighted values and have been calculated using equation 3.2 from IPCC General Guidance and Reporting (IPCC, 2006b). </w:t>
      </w:r>
    </w:p>
    <w:p w14:paraId="767AFA22" w14:textId="77777777" w:rsidR="00333601" w:rsidRPr="00BE78CA" w:rsidRDefault="00333601" w:rsidP="00333601">
      <w:pPr>
        <w:pStyle w:val="Heading3"/>
        <w:spacing w:before="280"/>
      </w:pPr>
      <w:r w:rsidRPr="00BE78CA">
        <w:t>6.8.4</w:t>
      </w:r>
      <w:r w:rsidRPr="00BE78CA">
        <w:tab/>
        <w:t>Category-specific QA/QC and verification</w:t>
      </w:r>
    </w:p>
    <w:p w14:paraId="66DAD379" w14:textId="77777777" w:rsidR="00333601" w:rsidRPr="00BE78CA" w:rsidRDefault="00333601" w:rsidP="00333601">
      <w:pPr>
        <w:pStyle w:val="BodyText"/>
      </w:pPr>
      <w:r w:rsidRPr="00BE78CA">
        <w:t>In the preparation of this inventory, the activity data for these emissions underwent Tier 1 quality checks.</w:t>
      </w:r>
    </w:p>
    <w:p w14:paraId="73EFC32A" w14:textId="77777777" w:rsidR="00333601" w:rsidRPr="00BE78CA" w:rsidRDefault="00333601" w:rsidP="00333601">
      <w:pPr>
        <w:pStyle w:val="Heading3"/>
        <w:spacing w:before="240"/>
      </w:pPr>
      <w:r w:rsidRPr="00BE78CA">
        <w:t>6.8.5</w:t>
      </w:r>
      <w:r w:rsidRPr="00BE78CA">
        <w:tab/>
        <w:t>Category-specific recalculations</w:t>
      </w:r>
    </w:p>
    <w:p w14:paraId="501F05E9" w14:textId="77777777" w:rsidR="00333601" w:rsidRPr="00BE78CA" w:rsidRDefault="00333601" w:rsidP="00333601">
      <w:pPr>
        <w:pStyle w:val="BodyText"/>
        <w:spacing w:before="100" w:after="100"/>
      </w:pPr>
      <w:r w:rsidRPr="00BE78CA">
        <w:t>Recalculations were carried out for this category (table 6.8.4) as a result of new activity data resulting from improvements to the land use maps, as described in section 6.2.</w:t>
      </w:r>
    </w:p>
    <w:p w14:paraId="5132ABF6" w14:textId="77777777" w:rsidR="00333601" w:rsidRPr="00BE78CA" w:rsidRDefault="00333601" w:rsidP="00333601">
      <w:pPr>
        <w:pStyle w:val="Table"/>
      </w:pPr>
      <w:bookmarkStart w:id="2528" w:name="_Toc342470792"/>
      <w:bookmarkStart w:id="2529" w:name="_Toc352505032"/>
      <w:bookmarkStart w:id="2530" w:name="_Toc378853321"/>
      <w:bookmarkStart w:id="2531" w:name="_Toc391024119"/>
      <w:bookmarkStart w:id="2532" w:name="_Toc410028861"/>
      <w:bookmarkStart w:id="2533" w:name="_Toc414531489"/>
      <w:bookmarkStart w:id="2534" w:name="_Toc443645402"/>
      <w:bookmarkStart w:id="2535" w:name="_Toc474914621"/>
      <w:bookmarkStart w:id="2536" w:name="_Toc481751585"/>
      <w:bookmarkStart w:id="2537" w:name="_Toc522010642"/>
      <w:bookmarkStart w:id="2538" w:name="_Toc5269547"/>
      <w:bookmarkStart w:id="2539" w:name="_Toc33529421"/>
      <w:bookmarkStart w:id="2540" w:name="_Toc36224627"/>
      <w:bookmarkStart w:id="2541" w:name="_Toc65243624"/>
      <w:bookmarkStart w:id="2542" w:name="_Toc68786514"/>
      <w:r w:rsidRPr="00BE78CA">
        <w:t>Table 6.8.4</w:t>
      </w:r>
      <w:r w:rsidRPr="00BE78CA">
        <w:rPr>
          <w:vertAlign w:val="superscript"/>
        </w:rPr>
        <w:tab/>
      </w:r>
      <w:r w:rsidRPr="00BE78CA">
        <w:t>Recalculations for New Zealand’s net emissions from the Settlements category in 1990 and</w:t>
      </w:r>
      <w:bookmarkEnd w:id="2528"/>
      <w:bookmarkEnd w:id="2529"/>
      <w:bookmarkEnd w:id="2530"/>
      <w:bookmarkEnd w:id="2531"/>
      <w:r w:rsidRPr="00BE78CA">
        <w:t> 201</w:t>
      </w:r>
      <w:bookmarkEnd w:id="2532"/>
      <w:bookmarkEnd w:id="2533"/>
      <w:bookmarkEnd w:id="2534"/>
      <w:bookmarkEnd w:id="2535"/>
      <w:bookmarkEnd w:id="2536"/>
      <w:bookmarkEnd w:id="2537"/>
      <w:bookmarkEnd w:id="2538"/>
      <w:r w:rsidRPr="00BE78CA">
        <w:t>8</w:t>
      </w:r>
      <w:bookmarkEnd w:id="2539"/>
      <w:bookmarkEnd w:id="2540"/>
      <w:bookmarkEnd w:id="2541"/>
      <w:bookmarkEnd w:id="2542"/>
    </w:p>
    <w:tbl>
      <w:tblPr>
        <w:tblW w:w="8505" w:type="dxa"/>
        <w:tblLayout w:type="fixed"/>
        <w:tblLook w:val="04A0" w:firstRow="1" w:lastRow="0" w:firstColumn="1" w:lastColumn="0" w:noHBand="0" w:noVBand="1"/>
      </w:tblPr>
      <w:tblGrid>
        <w:gridCol w:w="1109"/>
        <w:gridCol w:w="1849"/>
        <w:gridCol w:w="1849"/>
        <w:gridCol w:w="1849"/>
        <w:gridCol w:w="1849"/>
      </w:tblGrid>
      <w:tr w:rsidR="00333601" w:rsidRPr="00BE78CA" w14:paraId="16C19FA2" w14:textId="77777777" w:rsidTr="00C17CFB">
        <w:tc>
          <w:tcPr>
            <w:tcW w:w="1109" w:type="dxa"/>
            <w:vMerge w:val="restart"/>
            <w:tcBorders>
              <w:top w:val="single" w:sz="4" w:space="0" w:color="365F91"/>
            </w:tcBorders>
            <w:shd w:val="clear" w:color="auto" w:fill="365F91"/>
            <w:vAlign w:val="bottom"/>
          </w:tcPr>
          <w:p w14:paraId="1FFBE0EC" w14:textId="77777777" w:rsidR="00333601" w:rsidRPr="00BE78CA" w:rsidRDefault="00333601" w:rsidP="00C26084">
            <w:pPr>
              <w:pStyle w:val="TableTextBold"/>
              <w:keepNext/>
              <w:rPr>
                <w:noProof w:val="0"/>
                <w:color w:val="FFFFFF"/>
              </w:rPr>
            </w:pPr>
            <w:r w:rsidRPr="00BE78CA">
              <w:rPr>
                <w:noProof w:val="0"/>
                <w:color w:val="FFFFFF"/>
              </w:rPr>
              <w:t>Year</w:t>
            </w:r>
          </w:p>
        </w:tc>
        <w:tc>
          <w:tcPr>
            <w:tcW w:w="3698" w:type="dxa"/>
            <w:gridSpan w:val="2"/>
            <w:tcBorders>
              <w:top w:val="single" w:sz="4" w:space="0" w:color="365F91"/>
            </w:tcBorders>
            <w:shd w:val="clear" w:color="auto" w:fill="365F91"/>
            <w:noWrap/>
          </w:tcPr>
          <w:p w14:paraId="1CF08E6F" w14:textId="77777777" w:rsidR="00333601" w:rsidRPr="00BE78CA" w:rsidRDefault="00333601" w:rsidP="00C26084">
            <w:pPr>
              <w:pStyle w:val="TableTextBold"/>
              <w:keepNext/>
              <w:spacing w:after="40"/>
              <w:jc w:val="center"/>
              <w:rPr>
                <w:noProof w:val="0"/>
                <w:color w:val="FFFFFF"/>
              </w:rPr>
            </w:pPr>
            <w:r w:rsidRPr="00BE78CA">
              <w:rPr>
                <w:noProof w:val="0"/>
                <w:color w:val="FFFFFF"/>
              </w:rPr>
              <w:t>Net emissions (kt CO</w:t>
            </w:r>
            <w:r w:rsidRPr="00BE78CA">
              <w:rPr>
                <w:noProof w:val="0"/>
                <w:color w:val="FFFFFF"/>
                <w:vertAlign w:val="subscript"/>
              </w:rPr>
              <w:t>2</w:t>
            </w:r>
            <w:r w:rsidRPr="00BE78CA">
              <w:rPr>
                <w:noProof w:val="0"/>
                <w:color w:val="FFFFFF"/>
              </w:rPr>
              <w:t>-e)</w:t>
            </w:r>
          </w:p>
        </w:tc>
        <w:tc>
          <w:tcPr>
            <w:tcW w:w="3698" w:type="dxa"/>
            <w:gridSpan w:val="2"/>
            <w:tcBorders>
              <w:top w:val="single" w:sz="4" w:space="0" w:color="365F91"/>
            </w:tcBorders>
            <w:shd w:val="clear" w:color="auto" w:fill="365F91"/>
          </w:tcPr>
          <w:p w14:paraId="539503DA" w14:textId="77777777" w:rsidR="00333601" w:rsidRPr="00BE78CA" w:rsidRDefault="00333601" w:rsidP="00C26084">
            <w:pPr>
              <w:pStyle w:val="TableTextBold"/>
              <w:keepNext/>
              <w:spacing w:after="40"/>
              <w:jc w:val="center"/>
              <w:rPr>
                <w:noProof w:val="0"/>
                <w:color w:val="FFFFFF"/>
              </w:rPr>
            </w:pPr>
            <w:r w:rsidRPr="00BE78CA">
              <w:rPr>
                <w:noProof w:val="0"/>
                <w:color w:val="FFFFFF"/>
              </w:rPr>
              <w:t>Change from the 2020 submission</w:t>
            </w:r>
          </w:p>
        </w:tc>
      </w:tr>
      <w:tr w:rsidR="00333601" w:rsidRPr="00BE78CA" w14:paraId="04139C8B" w14:textId="77777777" w:rsidTr="00C17CFB">
        <w:tc>
          <w:tcPr>
            <w:tcW w:w="1109" w:type="dxa"/>
            <w:vMerge/>
            <w:tcBorders>
              <w:bottom w:val="single" w:sz="4" w:space="0" w:color="365F91"/>
            </w:tcBorders>
            <w:shd w:val="clear" w:color="auto" w:fill="365F91"/>
          </w:tcPr>
          <w:p w14:paraId="1D15D0BC" w14:textId="77777777" w:rsidR="00333601" w:rsidRPr="00BE78CA" w:rsidRDefault="00333601" w:rsidP="00C26084">
            <w:pPr>
              <w:pStyle w:val="TableText"/>
              <w:keepNext/>
              <w:spacing w:before="40" w:after="40"/>
            </w:pPr>
          </w:p>
        </w:tc>
        <w:tc>
          <w:tcPr>
            <w:tcW w:w="1849" w:type="dxa"/>
            <w:tcBorders>
              <w:bottom w:val="single" w:sz="4" w:space="0" w:color="365F91"/>
            </w:tcBorders>
            <w:shd w:val="clear" w:color="auto" w:fill="365F91"/>
          </w:tcPr>
          <w:p w14:paraId="68F58FB1" w14:textId="77777777" w:rsidR="00333601" w:rsidRPr="00BE78CA" w:rsidRDefault="00333601" w:rsidP="00C26084">
            <w:pPr>
              <w:pStyle w:val="TableText"/>
              <w:keepNext/>
              <w:spacing w:before="40"/>
              <w:jc w:val="center"/>
              <w:rPr>
                <w:b/>
                <w:color w:val="FFFFFF"/>
              </w:rPr>
            </w:pPr>
            <w:r w:rsidRPr="00BE78CA">
              <w:rPr>
                <w:b/>
                <w:color w:val="FFFFFF"/>
              </w:rPr>
              <w:t>2020 submission</w:t>
            </w:r>
          </w:p>
        </w:tc>
        <w:tc>
          <w:tcPr>
            <w:tcW w:w="1849" w:type="dxa"/>
            <w:tcBorders>
              <w:bottom w:val="single" w:sz="4" w:space="0" w:color="365F91"/>
            </w:tcBorders>
            <w:shd w:val="clear" w:color="auto" w:fill="365F91"/>
          </w:tcPr>
          <w:p w14:paraId="2F965983" w14:textId="77777777" w:rsidR="00333601" w:rsidRPr="00BE78CA" w:rsidRDefault="00333601" w:rsidP="00C26084">
            <w:pPr>
              <w:pStyle w:val="TableText"/>
              <w:keepNext/>
              <w:spacing w:before="40" w:after="40"/>
              <w:jc w:val="center"/>
              <w:rPr>
                <w:b/>
                <w:color w:val="FFFFFF"/>
              </w:rPr>
            </w:pPr>
            <w:r w:rsidRPr="00BE78CA">
              <w:rPr>
                <w:b/>
                <w:color w:val="FFFFFF"/>
              </w:rPr>
              <w:t>2021 submission</w:t>
            </w:r>
          </w:p>
        </w:tc>
        <w:tc>
          <w:tcPr>
            <w:tcW w:w="1849" w:type="dxa"/>
            <w:tcBorders>
              <w:bottom w:val="single" w:sz="4" w:space="0" w:color="365F91"/>
            </w:tcBorders>
            <w:shd w:val="clear" w:color="auto" w:fill="365F91"/>
          </w:tcPr>
          <w:p w14:paraId="35F4B2C2" w14:textId="77777777" w:rsidR="00333601" w:rsidRPr="00BE78CA" w:rsidRDefault="00333601" w:rsidP="00C26084">
            <w:pPr>
              <w:pStyle w:val="TableText"/>
              <w:keepNext/>
              <w:spacing w:before="40" w:after="40"/>
              <w:jc w:val="center"/>
              <w:rPr>
                <w:b/>
                <w:color w:val="FFFFFF"/>
              </w:rPr>
            </w:pPr>
            <w:r w:rsidRPr="00BE78CA">
              <w:rPr>
                <w:b/>
                <w:color w:val="FFFFFF"/>
              </w:rPr>
              <w:t>(kt CO</w:t>
            </w:r>
            <w:r w:rsidRPr="00BE78CA">
              <w:rPr>
                <w:b/>
                <w:color w:val="FFFFFF"/>
                <w:vertAlign w:val="subscript"/>
              </w:rPr>
              <w:t>2</w:t>
            </w:r>
            <w:r w:rsidRPr="00BE78CA">
              <w:rPr>
                <w:b/>
                <w:color w:val="FFFFFF"/>
              </w:rPr>
              <w:t>-e)</w:t>
            </w:r>
          </w:p>
        </w:tc>
        <w:tc>
          <w:tcPr>
            <w:tcW w:w="1849" w:type="dxa"/>
            <w:tcBorders>
              <w:bottom w:val="single" w:sz="4" w:space="0" w:color="365F91"/>
            </w:tcBorders>
            <w:shd w:val="clear" w:color="auto" w:fill="365F91"/>
          </w:tcPr>
          <w:p w14:paraId="077A90D9" w14:textId="77777777" w:rsidR="00333601" w:rsidRPr="00BE78CA" w:rsidRDefault="00333601" w:rsidP="00C26084">
            <w:pPr>
              <w:pStyle w:val="TableText"/>
              <w:keepNext/>
              <w:spacing w:before="40" w:after="40"/>
              <w:jc w:val="center"/>
              <w:rPr>
                <w:b/>
                <w:color w:val="FFFFFF"/>
              </w:rPr>
            </w:pPr>
            <w:r w:rsidRPr="00BE78CA">
              <w:rPr>
                <w:b/>
                <w:color w:val="FFFFFF"/>
              </w:rPr>
              <w:t>(%)</w:t>
            </w:r>
          </w:p>
        </w:tc>
      </w:tr>
      <w:tr w:rsidR="00333601" w:rsidRPr="00BE78CA" w14:paraId="0A6EBE0E" w14:textId="77777777" w:rsidTr="00C17CFB">
        <w:tc>
          <w:tcPr>
            <w:tcW w:w="1109" w:type="dxa"/>
            <w:tcBorders>
              <w:top w:val="single" w:sz="4" w:space="0" w:color="365F91"/>
              <w:bottom w:val="single" w:sz="4" w:space="0" w:color="365F91"/>
            </w:tcBorders>
          </w:tcPr>
          <w:p w14:paraId="7F692D73" w14:textId="77777777" w:rsidR="00333601" w:rsidRPr="00BE78CA" w:rsidRDefault="00333601" w:rsidP="00C26084">
            <w:pPr>
              <w:pStyle w:val="TableText"/>
              <w:spacing w:before="40"/>
            </w:pPr>
            <w:r w:rsidRPr="00BE78CA">
              <w:t xml:space="preserve">1990 </w:t>
            </w:r>
          </w:p>
        </w:tc>
        <w:tc>
          <w:tcPr>
            <w:tcW w:w="1849" w:type="dxa"/>
            <w:tcBorders>
              <w:top w:val="single" w:sz="4" w:space="0" w:color="365F91"/>
              <w:bottom w:val="single" w:sz="4" w:space="0" w:color="365F91"/>
            </w:tcBorders>
          </w:tcPr>
          <w:p w14:paraId="01019462" w14:textId="77777777" w:rsidR="00333601" w:rsidRPr="00BE78CA" w:rsidRDefault="00333601" w:rsidP="00C26084">
            <w:pPr>
              <w:pStyle w:val="TableText"/>
              <w:tabs>
                <w:tab w:val="decimal" w:pos="458"/>
              </w:tabs>
              <w:spacing w:before="40"/>
              <w:jc w:val="center"/>
              <w:rPr>
                <w:color w:val="000000"/>
              </w:rPr>
            </w:pPr>
            <w:r w:rsidRPr="00BE78CA">
              <w:t xml:space="preserve">72.4 </w:t>
            </w:r>
          </w:p>
        </w:tc>
        <w:tc>
          <w:tcPr>
            <w:tcW w:w="1849" w:type="dxa"/>
            <w:tcBorders>
              <w:top w:val="single" w:sz="4" w:space="0" w:color="365F91"/>
              <w:bottom w:val="single" w:sz="4" w:space="0" w:color="365F91"/>
            </w:tcBorders>
          </w:tcPr>
          <w:p w14:paraId="34A633F7" w14:textId="77777777" w:rsidR="00333601" w:rsidRPr="00BE78CA" w:rsidRDefault="00333601" w:rsidP="00C26084">
            <w:pPr>
              <w:pStyle w:val="TableText"/>
              <w:tabs>
                <w:tab w:val="decimal" w:pos="458"/>
              </w:tabs>
              <w:spacing w:before="40"/>
              <w:jc w:val="center"/>
              <w:rPr>
                <w:color w:val="000000"/>
              </w:rPr>
            </w:pPr>
            <w:r w:rsidRPr="00BE78CA">
              <w:t xml:space="preserve">74.4 </w:t>
            </w:r>
          </w:p>
        </w:tc>
        <w:tc>
          <w:tcPr>
            <w:tcW w:w="1849" w:type="dxa"/>
            <w:tcBorders>
              <w:top w:val="single" w:sz="4" w:space="0" w:color="365F91"/>
              <w:bottom w:val="single" w:sz="4" w:space="0" w:color="365F91"/>
            </w:tcBorders>
          </w:tcPr>
          <w:p w14:paraId="672465B1" w14:textId="77777777" w:rsidR="00333601" w:rsidRPr="00BE78CA" w:rsidRDefault="00333601" w:rsidP="00C26084">
            <w:pPr>
              <w:pStyle w:val="TableText"/>
              <w:tabs>
                <w:tab w:val="decimal" w:pos="158"/>
              </w:tabs>
              <w:spacing w:before="40"/>
              <w:jc w:val="center"/>
              <w:rPr>
                <w:color w:val="000000"/>
              </w:rPr>
            </w:pPr>
            <w:r w:rsidRPr="00BE78CA">
              <w:t xml:space="preserve">2.0 </w:t>
            </w:r>
          </w:p>
        </w:tc>
        <w:tc>
          <w:tcPr>
            <w:tcW w:w="1849" w:type="dxa"/>
            <w:tcBorders>
              <w:top w:val="single" w:sz="4" w:space="0" w:color="365F91"/>
              <w:bottom w:val="single" w:sz="4" w:space="0" w:color="365F91"/>
            </w:tcBorders>
          </w:tcPr>
          <w:p w14:paraId="7A5E3045" w14:textId="77777777" w:rsidR="00333601" w:rsidRPr="00BE78CA" w:rsidRDefault="00333601" w:rsidP="00C26084">
            <w:pPr>
              <w:pStyle w:val="TableText"/>
              <w:tabs>
                <w:tab w:val="decimal" w:pos="167"/>
              </w:tabs>
              <w:spacing w:before="40"/>
              <w:jc w:val="center"/>
              <w:rPr>
                <w:color w:val="000000"/>
              </w:rPr>
            </w:pPr>
            <w:r w:rsidRPr="00BE78CA">
              <w:t>+2.8</w:t>
            </w:r>
          </w:p>
        </w:tc>
      </w:tr>
      <w:tr w:rsidR="00333601" w:rsidRPr="00BE78CA" w14:paraId="126D3AFD" w14:textId="77777777" w:rsidTr="00C17CFB">
        <w:tc>
          <w:tcPr>
            <w:tcW w:w="1109" w:type="dxa"/>
            <w:tcBorders>
              <w:top w:val="single" w:sz="4" w:space="0" w:color="365F91"/>
              <w:bottom w:val="single" w:sz="4" w:space="0" w:color="365F91"/>
            </w:tcBorders>
          </w:tcPr>
          <w:p w14:paraId="557DE3A5" w14:textId="77777777" w:rsidR="00333601" w:rsidRPr="00BE78CA" w:rsidRDefault="00333601" w:rsidP="00C26084">
            <w:pPr>
              <w:pStyle w:val="TableText"/>
              <w:spacing w:before="40"/>
            </w:pPr>
            <w:r w:rsidRPr="00BE78CA">
              <w:t>2018</w:t>
            </w:r>
          </w:p>
        </w:tc>
        <w:tc>
          <w:tcPr>
            <w:tcW w:w="1849" w:type="dxa"/>
            <w:tcBorders>
              <w:top w:val="single" w:sz="4" w:space="0" w:color="365F91"/>
              <w:bottom w:val="single" w:sz="4" w:space="0" w:color="365F91"/>
            </w:tcBorders>
          </w:tcPr>
          <w:p w14:paraId="5993127F" w14:textId="77777777" w:rsidR="00333601" w:rsidRPr="00BE78CA" w:rsidRDefault="00333601" w:rsidP="00C26084">
            <w:pPr>
              <w:pStyle w:val="TableText"/>
              <w:tabs>
                <w:tab w:val="decimal" w:pos="458"/>
              </w:tabs>
              <w:spacing w:before="40"/>
              <w:jc w:val="center"/>
              <w:rPr>
                <w:color w:val="000000"/>
              </w:rPr>
            </w:pPr>
            <w:r w:rsidRPr="00BE78CA">
              <w:t xml:space="preserve">103.4 </w:t>
            </w:r>
          </w:p>
        </w:tc>
        <w:tc>
          <w:tcPr>
            <w:tcW w:w="1849" w:type="dxa"/>
            <w:tcBorders>
              <w:top w:val="single" w:sz="4" w:space="0" w:color="365F91"/>
              <w:bottom w:val="single" w:sz="4" w:space="0" w:color="365F91"/>
            </w:tcBorders>
          </w:tcPr>
          <w:p w14:paraId="7A397F01" w14:textId="77777777" w:rsidR="00333601" w:rsidRPr="00BE78CA" w:rsidRDefault="00333601" w:rsidP="00C26084">
            <w:pPr>
              <w:pStyle w:val="TableText"/>
              <w:tabs>
                <w:tab w:val="decimal" w:pos="458"/>
              </w:tabs>
              <w:spacing w:before="40"/>
              <w:jc w:val="center"/>
              <w:rPr>
                <w:color w:val="000000"/>
              </w:rPr>
            </w:pPr>
            <w:r w:rsidRPr="00BE78CA">
              <w:t xml:space="preserve">110.6 </w:t>
            </w:r>
          </w:p>
        </w:tc>
        <w:tc>
          <w:tcPr>
            <w:tcW w:w="1849" w:type="dxa"/>
            <w:tcBorders>
              <w:top w:val="single" w:sz="4" w:space="0" w:color="365F91"/>
              <w:bottom w:val="single" w:sz="4" w:space="0" w:color="365F91"/>
            </w:tcBorders>
          </w:tcPr>
          <w:p w14:paraId="0ACA46A6" w14:textId="77777777" w:rsidR="00333601" w:rsidRPr="00BE78CA" w:rsidRDefault="00333601" w:rsidP="00C26084">
            <w:pPr>
              <w:pStyle w:val="TableText"/>
              <w:tabs>
                <w:tab w:val="decimal" w:pos="158"/>
              </w:tabs>
              <w:spacing w:before="40"/>
              <w:jc w:val="center"/>
              <w:rPr>
                <w:color w:val="000000"/>
              </w:rPr>
            </w:pPr>
            <w:r w:rsidRPr="00BE78CA">
              <w:t xml:space="preserve">7.2 </w:t>
            </w:r>
          </w:p>
        </w:tc>
        <w:tc>
          <w:tcPr>
            <w:tcW w:w="1849" w:type="dxa"/>
            <w:tcBorders>
              <w:top w:val="single" w:sz="4" w:space="0" w:color="365F91"/>
              <w:bottom w:val="single" w:sz="4" w:space="0" w:color="365F91"/>
            </w:tcBorders>
          </w:tcPr>
          <w:p w14:paraId="0D04F665" w14:textId="77777777" w:rsidR="00333601" w:rsidRPr="00BE78CA" w:rsidRDefault="00333601" w:rsidP="00C26084">
            <w:pPr>
              <w:pStyle w:val="TableText"/>
              <w:tabs>
                <w:tab w:val="decimal" w:pos="167"/>
              </w:tabs>
              <w:spacing w:before="40"/>
              <w:jc w:val="center"/>
              <w:rPr>
                <w:color w:val="000000"/>
              </w:rPr>
            </w:pPr>
            <w:r w:rsidRPr="00BE78CA">
              <w:t>+7.0</w:t>
            </w:r>
          </w:p>
        </w:tc>
      </w:tr>
    </w:tbl>
    <w:p w14:paraId="037CBB87" w14:textId="77777777" w:rsidR="00333601" w:rsidRPr="00BE78CA" w:rsidRDefault="00333601" w:rsidP="00333601">
      <w:pPr>
        <w:pStyle w:val="Heading3"/>
      </w:pPr>
      <w:r w:rsidRPr="00BE78CA">
        <w:lastRenderedPageBreak/>
        <w:t>6.8.6</w:t>
      </w:r>
      <w:r w:rsidRPr="00BE78CA">
        <w:tab/>
        <w:t>Category-specific planned improvements</w:t>
      </w:r>
    </w:p>
    <w:p w14:paraId="6332E5AF" w14:textId="77777777" w:rsidR="00333601" w:rsidRPr="00BE78CA" w:rsidRDefault="00333601" w:rsidP="00333601">
      <w:pPr>
        <w:pStyle w:val="BodyText"/>
        <w:spacing w:after="100"/>
      </w:pPr>
      <w:r w:rsidRPr="00BE78CA">
        <w:t xml:space="preserve">No improvements are planned for the </w:t>
      </w:r>
      <w:r w:rsidRPr="00BE78CA">
        <w:rPr>
          <w:i/>
        </w:rPr>
        <w:t xml:space="preserve">Settlements </w:t>
      </w:r>
      <w:r w:rsidRPr="00BE78CA">
        <w:t xml:space="preserve">category for the 2021 submission. </w:t>
      </w:r>
    </w:p>
    <w:p w14:paraId="32A25AE5" w14:textId="77777777" w:rsidR="00333601" w:rsidRPr="00BE78CA" w:rsidRDefault="00333601" w:rsidP="00333601">
      <w:pPr>
        <w:pStyle w:val="Heading2"/>
        <w:spacing w:before="240"/>
      </w:pPr>
      <w:bookmarkStart w:id="2543" w:name="_Toc310423457"/>
      <w:bookmarkStart w:id="2544" w:name="_Toc342470723"/>
      <w:bookmarkStart w:id="2545" w:name="_Toc352504875"/>
      <w:bookmarkStart w:id="2546" w:name="_Toc391024705"/>
      <w:bookmarkStart w:id="2547" w:name="_Toc414531322"/>
      <w:bookmarkStart w:id="2548" w:name="_Toc474335464"/>
      <w:bookmarkStart w:id="2549" w:name="_Toc481751404"/>
      <w:bookmarkStart w:id="2550" w:name="_Toc522013956"/>
      <w:bookmarkStart w:id="2551" w:name="_Toc5269381"/>
      <w:bookmarkStart w:id="2552" w:name="_Toc36224421"/>
      <w:bookmarkStart w:id="2553" w:name="_Toc68786341"/>
      <w:r w:rsidRPr="00BE78CA">
        <w:t>6.9</w:t>
      </w:r>
      <w:r w:rsidRPr="00BE78CA">
        <w:tab/>
        <w:t>Other land (CRF 4F)</w:t>
      </w:r>
      <w:bookmarkEnd w:id="2543"/>
      <w:bookmarkEnd w:id="2544"/>
      <w:bookmarkEnd w:id="2545"/>
      <w:bookmarkEnd w:id="2546"/>
      <w:bookmarkEnd w:id="2547"/>
      <w:bookmarkEnd w:id="2548"/>
      <w:bookmarkEnd w:id="2549"/>
      <w:bookmarkEnd w:id="2550"/>
      <w:bookmarkEnd w:id="2551"/>
      <w:bookmarkEnd w:id="2552"/>
      <w:bookmarkEnd w:id="2553"/>
    </w:p>
    <w:p w14:paraId="1985C162" w14:textId="77777777" w:rsidR="00333601" w:rsidRPr="00BE78CA" w:rsidRDefault="00333601" w:rsidP="00333601">
      <w:pPr>
        <w:pStyle w:val="Heading3"/>
        <w:spacing w:before="160"/>
      </w:pPr>
      <w:r w:rsidRPr="00BE78CA">
        <w:t>6.9.1</w:t>
      </w:r>
      <w:r w:rsidRPr="00BE78CA">
        <w:tab/>
        <w:t>Description</w:t>
      </w:r>
    </w:p>
    <w:p w14:paraId="3B589D4D" w14:textId="77777777" w:rsidR="00333601" w:rsidRPr="00BE78CA" w:rsidRDefault="00333601" w:rsidP="00333601">
      <w:pPr>
        <w:pStyle w:val="BodyText"/>
        <w:spacing w:before="100" w:after="100"/>
      </w:pPr>
      <w:r w:rsidRPr="00BE78CA">
        <w:rPr>
          <w:i/>
        </w:rPr>
        <w:t>Other land</w:t>
      </w:r>
      <w:r w:rsidRPr="00BE78CA">
        <w:t xml:space="preserve"> is defined in section 3.2 of the 2006 IPCC Guidelines (IPCC, 2006a) as including bare soil, rock, ice and all unmanaged land areas that do not fall into any of the other five land use categories. It consists mostly of steep, rocky terrain at high elevation, often covered in snow or ice. This category is 3.3 per cent of New Zealand’s total land area.</w:t>
      </w:r>
    </w:p>
    <w:p w14:paraId="51975E80" w14:textId="77777777" w:rsidR="00333601" w:rsidRPr="00BE78CA" w:rsidRDefault="00333601" w:rsidP="00333601">
      <w:pPr>
        <w:pStyle w:val="BodyText"/>
        <w:spacing w:before="100" w:after="100"/>
        <w:rPr>
          <w:spacing w:val="-2"/>
        </w:rPr>
      </w:pPr>
      <w:r w:rsidRPr="00BE78CA">
        <w:rPr>
          <w:spacing w:val="-2"/>
        </w:rPr>
        <w:t xml:space="preserve">In 2019, the net emissions from </w:t>
      </w:r>
      <w:r w:rsidRPr="00BE78CA">
        <w:rPr>
          <w:i/>
          <w:spacing w:val="-2"/>
        </w:rPr>
        <w:t>Other land</w:t>
      </w:r>
      <w:r w:rsidRPr="00BE78CA">
        <w:rPr>
          <w:spacing w:val="-2"/>
        </w:rPr>
        <w:t xml:space="preserve"> were 52.5 kt CO</w:t>
      </w:r>
      <w:r w:rsidRPr="00BE78CA">
        <w:rPr>
          <w:spacing w:val="-2"/>
          <w:vertAlign w:val="subscript"/>
        </w:rPr>
        <w:t>2</w:t>
      </w:r>
      <w:r w:rsidRPr="00BE78CA">
        <w:rPr>
          <w:spacing w:val="-2"/>
        </w:rPr>
        <w:t>-e (see table 6.9.1). This is 39.7 kt CO</w:t>
      </w:r>
      <w:r w:rsidRPr="00BE78CA">
        <w:rPr>
          <w:spacing w:val="-2"/>
          <w:vertAlign w:val="subscript"/>
        </w:rPr>
        <w:t>2</w:t>
      </w:r>
      <w:r w:rsidRPr="00BE78CA">
        <w:rPr>
          <w:spacing w:val="-2"/>
        </w:rPr>
        <w:t>-e (311.6 per cent) higher than the 1990 level of 12.8 kt CO</w:t>
      </w:r>
      <w:r w:rsidRPr="00BE78CA">
        <w:rPr>
          <w:spacing w:val="-2"/>
          <w:vertAlign w:val="subscript"/>
        </w:rPr>
        <w:t>2</w:t>
      </w:r>
      <w:r w:rsidRPr="00BE78CA">
        <w:rPr>
          <w:spacing w:val="-2"/>
        </w:rPr>
        <w:noBreakHyphen/>
        <w:t xml:space="preserve">e. Most emissions occur in the </w:t>
      </w:r>
      <w:r w:rsidRPr="00BE78CA">
        <w:rPr>
          <w:i/>
          <w:spacing w:val="-2"/>
        </w:rPr>
        <w:t>Land converted to other land</w:t>
      </w:r>
      <w:r w:rsidRPr="00BE78CA">
        <w:rPr>
          <w:spacing w:val="-2"/>
        </w:rPr>
        <w:t xml:space="preserve"> category. This is primarily because the area of land estimated as having been converted to </w:t>
      </w:r>
      <w:r w:rsidRPr="00BE78CA">
        <w:rPr>
          <w:i/>
          <w:spacing w:val="-2"/>
        </w:rPr>
        <w:t>Other land</w:t>
      </w:r>
      <w:r w:rsidRPr="00BE78CA">
        <w:rPr>
          <w:spacing w:val="-2"/>
        </w:rPr>
        <w:t xml:space="preserve"> has been steadily increasing since 1990.</w:t>
      </w:r>
    </w:p>
    <w:p w14:paraId="371131F0" w14:textId="77777777" w:rsidR="00333601" w:rsidRPr="00BE78CA" w:rsidRDefault="00333601" w:rsidP="00333601">
      <w:pPr>
        <w:pStyle w:val="BodyText"/>
        <w:spacing w:before="100" w:after="100"/>
      </w:pPr>
      <w:r w:rsidRPr="00BE78CA">
        <w:t xml:space="preserve">An analysis of change in area between 1990 and 2019 shows that, of the 7,609 hectares converted from </w:t>
      </w:r>
      <w:r w:rsidRPr="00BE78CA">
        <w:rPr>
          <w:i/>
        </w:rPr>
        <w:t>Other land</w:t>
      </w:r>
      <w:r w:rsidRPr="00BE78CA">
        <w:t xml:space="preserve"> to different land use categories, 3,093 hectares were converted to post-1989 planted forest, 706 hectares of post-1989 natural forest and 1,486 hectares were converted to grassland with woody biomass.</w:t>
      </w:r>
    </w:p>
    <w:p w14:paraId="29B58B12" w14:textId="77777777" w:rsidR="00333601" w:rsidRPr="00BE78CA" w:rsidRDefault="00333601" w:rsidP="00333601">
      <w:pPr>
        <w:pStyle w:val="BodyText"/>
        <w:spacing w:before="100" w:after="100"/>
      </w:pPr>
      <w:r w:rsidRPr="00BE78CA">
        <w:t xml:space="preserve">Between 1 January 1990 and 31 December 2019, there were 7,875 hectares of </w:t>
      </w:r>
      <w:r w:rsidRPr="00BE78CA">
        <w:rPr>
          <w:i/>
        </w:rPr>
        <w:t>Land converted to other land</w:t>
      </w:r>
      <w:r w:rsidRPr="00BE78CA">
        <w:t xml:space="preserve">; most (4,988 hectares) of this was from the </w:t>
      </w:r>
      <w:r w:rsidRPr="00BE78CA">
        <w:rPr>
          <w:i/>
        </w:rPr>
        <w:t>Grassland</w:t>
      </w:r>
      <w:r w:rsidRPr="00BE78CA">
        <w:t xml:space="preserve"> categories. This is likely to be mainly due to conversion of </w:t>
      </w:r>
      <w:r w:rsidRPr="00BE78CA">
        <w:rPr>
          <w:i/>
        </w:rPr>
        <w:t>Grassland</w:t>
      </w:r>
      <w:r w:rsidRPr="00BE78CA">
        <w:t xml:space="preserve"> to roads, mines and quarries.</w:t>
      </w:r>
    </w:p>
    <w:p w14:paraId="34A504EF" w14:textId="77777777" w:rsidR="00333601" w:rsidRPr="00BE78CA" w:rsidRDefault="00333601" w:rsidP="00333601">
      <w:pPr>
        <w:pStyle w:val="BodyText"/>
        <w:spacing w:after="100"/>
      </w:pPr>
      <w:r w:rsidRPr="00BE78CA">
        <w:t xml:space="preserve">In 2019, </w:t>
      </w:r>
      <w:r w:rsidRPr="00BE78CA">
        <w:rPr>
          <w:i/>
        </w:rPr>
        <w:t>Land converted to other land</w:t>
      </w:r>
      <w:r w:rsidRPr="00BE78CA">
        <w:t xml:space="preserve"> was not a key category.</w:t>
      </w:r>
    </w:p>
    <w:p w14:paraId="39BB2508" w14:textId="77777777" w:rsidR="00333601" w:rsidRPr="00BE78CA" w:rsidRDefault="00333601" w:rsidP="00333601">
      <w:pPr>
        <w:pStyle w:val="Table"/>
        <w:spacing w:before="100"/>
      </w:pPr>
      <w:bookmarkStart w:id="2554" w:name="_Toc342470793"/>
      <w:bookmarkStart w:id="2555" w:name="_Toc352505033"/>
      <w:bookmarkStart w:id="2556" w:name="_Toc378853322"/>
      <w:bookmarkStart w:id="2557" w:name="_Toc391024120"/>
      <w:bookmarkStart w:id="2558" w:name="_Toc410028862"/>
      <w:bookmarkStart w:id="2559" w:name="_Toc414531490"/>
      <w:bookmarkStart w:id="2560" w:name="_Toc443645403"/>
      <w:bookmarkStart w:id="2561" w:name="_Toc474914622"/>
      <w:bookmarkStart w:id="2562" w:name="_Toc481751586"/>
      <w:bookmarkStart w:id="2563" w:name="_Toc522010643"/>
      <w:bookmarkStart w:id="2564" w:name="_Toc5269548"/>
      <w:bookmarkStart w:id="2565" w:name="_Toc33529422"/>
      <w:bookmarkStart w:id="2566" w:name="_Toc36224628"/>
      <w:bookmarkStart w:id="2567" w:name="_Toc65243625"/>
      <w:bookmarkStart w:id="2568" w:name="_Toc68786515"/>
      <w:r w:rsidRPr="00BE78CA">
        <w:t>Table 6.9.1</w:t>
      </w:r>
      <w:r w:rsidRPr="00BE78CA">
        <w:tab/>
        <w:t>New Zealand’s land-use change for the land use category Other land from 1990 to</w:t>
      </w:r>
      <w:bookmarkEnd w:id="2554"/>
      <w:bookmarkEnd w:id="2555"/>
      <w:bookmarkEnd w:id="2556"/>
      <w:bookmarkEnd w:id="2557"/>
      <w:r w:rsidRPr="00BE78CA">
        <w:t> 201</w:t>
      </w:r>
      <w:bookmarkEnd w:id="2558"/>
      <w:bookmarkEnd w:id="2559"/>
      <w:bookmarkEnd w:id="2560"/>
      <w:bookmarkEnd w:id="2561"/>
      <w:bookmarkEnd w:id="2562"/>
      <w:bookmarkEnd w:id="2563"/>
      <w:bookmarkEnd w:id="2564"/>
      <w:bookmarkEnd w:id="2565"/>
      <w:bookmarkEnd w:id="2566"/>
      <w:r w:rsidRPr="00BE78CA">
        <w:t>9</w:t>
      </w:r>
      <w:bookmarkEnd w:id="2567"/>
      <w:bookmarkEnd w:id="2568"/>
    </w:p>
    <w:tbl>
      <w:tblPr>
        <w:tblW w:w="8505" w:type="dxa"/>
        <w:tblLayout w:type="fixed"/>
        <w:tblLook w:val="04A0" w:firstRow="1" w:lastRow="0" w:firstColumn="1" w:lastColumn="0" w:noHBand="0" w:noVBand="1"/>
      </w:tblPr>
      <w:tblGrid>
        <w:gridCol w:w="2947"/>
        <w:gridCol w:w="1055"/>
        <w:gridCol w:w="1056"/>
        <w:gridCol w:w="1206"/>
        <w:gridCol w:w="1055"/>
        <w:gridCol w:w="1186"/>
      </w:tblGrid>
      <w:tr w:rsidR="00333601" w:rsidRPr="00BE78CA" w14:paraId="1C38F3FA" w14:textId="77777777" w:rsidTr="00C17CFB">
        <w:tc>
          <w:tcPr>
            <w:tcW w:w="2947" w:type="dxa"/>
            <w:vMerge w:val="restart"/>
            <w:tcBorders>
              <w:top w:val="single" w:sz="4" w:space="0" w:color="365F91"/>
            </w:tcBorders>
            <w:shd w:val="clear" w:color="auto" w:fill="365F91"/>
            <w:vAlign w:val="bottom"/>
          </w:tcPr>
          <w:p w14:paraId="5B888670" w14:textId="77777777" w:rsidR="00333601" w:rsidRPr="00BE78CA" w:rsidRDefault="00333601" w:rsidP="00C26084">
            <w:pPr>
              <w:pStyle w:val="TableTextBold"/>
              <w:keepNext/>
              <w:rPr>
                <w:noProof w:val="0"/>
                <w:color w:val="FFFFFF"/>
              </w:rPr>
            </w:pPr>
            <w:r w:rsidRPr="00BE78CA">
              <w:rPr>
                <w:noProof w:val="0"/>
                <w:color w:val="FFFFFF"/>
              </w:rPr>
              <w:t>Land use category – Other land</w:t>
            </w:r>
          </w:p>
        </w:tc>
        <w:tc>
          <w:tcPr>
            <w:tcW w:w="1055" w:type="dxa"/>
            <w:vMerge w:val="restart"/>
            <w:tcBorders>
              <w:top w:val="single" w:sz="4" w:space="0" w:color="365F91"/>
            </w:tcBorders>
            <w:shd w:val="clear" w:color="auto" w:fill="365F91"/>
            <w:vAlign w:val="bottom"/>
          </w:tcPr>
          <w:p w14:paraId="1F9A4B0F" w14:textId="77777777" w:rsidR="00333601" w:rsidRPr="00BE78CA" w:rsidRDefault="00333601" w:rsidP="00C26084">
            <w:pPr>
              <w:pStyle w:val="TableTextBold"/>
              <w:jc w:val="center"/>
              <w:rPr>
                <w:noProof w:val="0"/>
                <w:color w:val="FFFFFF"/>
              </w:rPr>
            </w:pPr>
            <w:r w:rsidRPr="00BE78CA">
              <w:rPr>
                <w:noProof w:val="0"/>
                <w:color w:val="FFFFFF"/>
              </w:rPr>
              <w:t>Net area as at 1990 (ha)</w:t>
            </w:r>
          </w:p>
        </w:tc>
        <w:tc>
          <w:tcPr>
            <w:tcW w:w="1056" w:type="dxa"/>
            <w:vMerge w:val="restart"/>
            <w:tcBorders>
              <w:top w:val="single" w:sz="4" w:space="0" w:color="365F91"/>
            </w:tcBorders>
            <w:shd w:val="clear" w:color="auto" w:fill="365F91"/>
            <w:vAlign w:val="bottom"/>
          </w:tcPr>
          <w:p w14:paraId="7D3E4627" w14:textId="77777777" w:rsidR="00333601" w:rsidRPr="00BE78CA" w:rsidRDefault="00333601" w:rsidP="00C26084">
            <w:pPr>
              <w:pStyle w:val="TableTextBold"/>
              <w:jc w:val="center"/>
              <w:rPr>
                <w:noProof w:val="0"/>
                <w:color w:val="FFFFFF"/>
              </w:rPr>
            </w:pPr>
            <w:r w:rsidRPr="00BE78CA">
              <w:rPr>
                <w:noProof w:val="0"/>
                <w:color w:val="FFFFFF"/>
              </w:rPr>
              <w:t>Net area as at 2019 (ha)</w:t>
            </w:r>
          </w:p>
        </w:tc>
        <w:tc>
          <w:tcPr>
            <w:tcW w:w="2261" w:type="dxa"/>
            <w:gridSpan w:val="2"/>
            <w:tcBorders>
              <w:top w:val="single" w:sz="4" w:space="0" w:color="365F91"/>
            </w:tcBorders>
            <w:shd w:val="clear" w:color="auto" w:fill="365F91"/>
            <w:vAlign w:val="bottom"/>
          </w:tcPr>
          <w:p w14:paraId="59163FDA" w14:textId="77777777" w:rsidR="00333601" w:rsidRPr="00BE78CA" w:rsidRDefault="00333601" w:rsidP="00C26084">
            <w:pPr>
              <w:pStyle w:val="TableTextBold"/>
              <w:spacing w:after="40"/>
              <w:jc w:val="center"/>
              <w:rPr>
                <w:noProof w:val="0"/>
                <w:color w:val="FFFFFF"/>
              </w:rPr>
            </w:pPr>
            <w:r w:rsidRPr="00BE78CA">
              <w:rPr>
                <w:noProof w:val="0"/>
                <w:color w:val="FFFFFF"/>
              </w:rPr>
              <w:t>Net emissions (kt CO</w:t>
            </w:r>
            <w:r w:rsidRPr="00BE78CA">
              <w:rPr>
                <w:noProof w:val="0"/>
                <w:color w:val="FFFFFF"/>
                <w:vertAlign w:val="subscript"/>
              </w:rPr>
              <w:t>2</w:t>
            </w:r>
            <w:r w:rsidRPr="00BE78CA">
              <w:rPr>
                <w:noProof w:val="0"/>
                <w:color w:val="FFFFFF"/>
              </w:rPr>
              <w:t>-e)</w:t>
            </w:r>
          </w:p>
        </w:tc>
        <w:tc>
          <w:tcPr>
            <w:tcW w:w="1186" w:type="dxa"/>
            <w:vMerge w:val="restart"/>
            <w:tcBorders>
              <w:top w:val="single" w:sz="4" w:space="0" w:color="365F91"/>
            </w:tcBorders>
            <w:shd w:val="clear" w:color="auto" w:fill="365F91"/>
            <w:vAlign w:val="bottom"/>
          </w:tcPr>
          <w:p w14:paraId="459C676F" w14:textId="77777777" w:rsidR="00333601" w:rsidRPr="00BE78CA" w:rsidRDefault="00333601" w:rsidP="00C26084">
            <w:pPr>
              <w:pStyle w:val="TableTextBold"/>
              <w:spacing w:after="40"/>
              <w:jc w:val="center"/>
              <w:rPr>
                <w:noProof w:val="0"/>
                <w:color w:val="FFFFFF"/>
              </w:rPr>
            </w:pPr>
            <w:r w:rsidRPr="00BE78CA">
              <w:rPr>
                <w:noProof w:val="0"/>
                <w:color w:val="FFFFFF"/>
              </w:rPr>
              <w:t>Change from 1990 (%)</w:t>
            </w:r>
          </w:p>
        </w:tc>
      </w:tr>
      <w:tr w:rsidR="00333601" w:rsidRPr="00BE78CA" w14:paraId="2FB5EBFB" w14:textId="77777777" w:rsidTr="00C17CFB">
        <w:trPr>
          <w:trHeight w:val="285"/>
        </w:trPr>
        <w:tc>
          <w:tcPr>
            <w:tcW w:w="2947" w:type="dxa"/>
            <w:vMerge/>
            <w:tcBorders>
              <w:bottom w:val="single" w:sz="4" w:space="0" w:color="365F91"/>
            </w:tcBorders>
          </w:tcPr>
          <w:p w14:paraId="4FF491D0" w14:textId="77777777" w:rsidR="00333601" w:rsidRPr="00BE78CA" w:rsidRDefault="00333601" w:rsidP="00C26084">
            <w:pPr>
              <w:keepNext/>
              <w:spacing w:before="40" w:after="40"/>
              <w:rPr>
                <w:rFonts w:ascii="Arial" w:hAnsi="Arial"/>
              </w:rPr>
            </w:pPr>
          </w:p>
        </w:tc>
        <w:tc>
          <w:tcPr>
            <w:tcW w:w="1055" w:type="dxa"/>
            <w:vMerge/>
            <w:tcBorders>
              <w:bottom w:val="single" w:sz="4" w:space="0" w:color="365F91"/>
            </w:tcBorders>
          </w:tcPr>
          <w:p w14:paraId="748ACA27" w14:textId="77777777" w:rsidR="00333601" w:rsidRPr="00BE78CA" w:rsidRDefault="00333601" w:rsidP="00C26084">
            <w:pPr>
              <w:spacing w:before="40" w:after="40"/>
              <w:jc w:val="center"/>
              <w:rPr>
                <w:rFonts w:ascii="Arial" w:hAnsi="Arial"/>
                <w:b/>
              </w:rPr>
            </w:pPr>
          </w:p>
        </w:tc>
        <w:tc>
          <w:tcPr>
            <w:tcW w:w="1056" w:type="dxa"/>
            <w:vMerge/>
            <w:tcBorders>
              <w:bottom w:val="single" w:sz="4" w:space="0" w:color="365F91"/>
            </w:tcBorders>
          </w:tcPr>
          <w:p w14:paraId="0B7A2219" w14:textId="77777777" w:rsidR="00333601" w:rsidRPr="00BE78CA" w:rsidRDefault="00333601" w:rsidP="00C26084">
            <w:pPr>
              <w:spacing w:before="40" w:after="40"/>
              <w:jc w:val="center"/>
              <w:rPr>
                <w:rFonts w:ascii="Arial" w:hAnsi="Arial"/>
                <w:b/>
              </w:rPr>
            </w:pPr>
          </w:p>
        </w:tc>
        <w:tc>
          <w:tcPr>
            <w:tcW w:w="1206" w:type="dxa"/>
            <w:tcBorders>
              <w:bottom w:val="single" w:sz="4" w:space="0" w:color="365F91"/>
            </w:tcBorders>
            <w:shd w:val="clear" w:color="auto" w:fill="365F91"/>
          </w:tcPr>
          <w:p w14:paraId="677ACA28" w14:textId="77777777" w:rsidR="00333601" w:rsidRPr="00BE78CA" w:rsidRDefault="00333601" w:rsidP="00C26084">
            <w:pPr>
              <w:pStyle w:val="TableTextBold"/>
              <w:spacing w:before="40"/>
              <w:jc w:val="center"/>
              <w:rPr>
                <w:noProof w:val="0"/>
                <w:color w:val="FFFFFF"/>
              </w:rPr>
            </w:pPr>
            <w:r w:rsidRPr="00BE78CA">
              <w:rPr>
                <w:noProof w:val="0"/>
                <w:color w:val="FFFFFF"/>
              </w:rPr>
              <w:t>1990</w:t>
            </w:r>
          </w:p>
        </w:tc>
        <w:tc>
          <w:tcPr>
            <w:tcW w:w="1055" w:type="dxa"/>
            <w:tcBorders>
              <w:bottom w:val="single" w:sz="4" w:space="0" w:color="365F91"/>
            </w:tcBorders>
            <w:shd w:val="clear" w:color="auto" w:fill="365F91"/>
          </w:tcPr>
          <w:p w14:paraId="6CAA5FC2" w14:textId="77777777" w:rsidR="00333601" w:rsidRPr="00BE78CA" w:rsidRDefault="00333601" w:rsidP="00C26084">
            <w:pPr>
              <w:pStyle w:val="TableTextBold"/>
              <w:spacing w:before="40"/>
              <w:jc w:val="center"/>
              <w:rPr>
                <w:noProof w:val="0"/>
                <w:color w:val="FFFFFF"/>
              </w:rPr>
            </w:pPr>
            <w:r w:rsidRPr="00BE78CA">
              <w:rPr>
                <w:noProof w:val="0"/>
                <w:color w:val="FFFFFF"/>
              </w:rPr>
              <w:t>2019</w:t>
            </w:r>
          </w:p>
        </w:tc>
        <w:tc>
          <w:tcPr>
            <w:tcW w:w="1186" w:type="dxa"/>
            <w:vMerge/>
            <w:tcBorders>
              <w:bottom w:val="single" w:sz="4" w:space="0" w:color="365F91"/>
            </w:tcBorders>
            <w:shd w:val="clear" w:color="auto" w:fill="365F91"/>
          </w:tcPr>
          <w:p w14:paraId="5F287FA6" w14:textId="77777777" w:rsidR="00333601" w:rsidRPr="00BE78CA" w:rsidRDefault="00333601" w:rsidP="00C26084">
            <w:pPr>
              <w:spacing w:before="40" w:after="40"/>
              <w:jc w:val="center"/>
              <w:rPr>
                <w:rFonts w:ascii="Arial" w:hAnsi="Arial"/>
                <w:b/>
              </w:rPr>
            </w:pPr>
          </w:p>
        </w:tc>
      </w:tr>
      <w:tr w:rsidR="00333601" w:rsidRPr="00BE78CA" w14:paraId="775A5295" w14:textId="77777777" w:rsidTr="00C17CFB">
        <w:tc>
          <w:tcPr>
            <w:tcW w:w="2947" w:type="dxa"/>
            <w:tcBorders>
              <w:top w:val="single" w:sz="4" w:space="0" w:color="365F91"/>
              <w:bottom w:val="single" w:sz="4" w:space="0" w:color="365F91"/>
            </w:tcBorders>
          </w:tcPr>
          <w:p w14:paraId="712ACC81" w14:textId="77777777" w:rsidR="00333601" w:rsidRPr="00BE78CA" w:rsidRDefault="00333601" w:rsidP="00C26084">
            <w:pPr>
              <w:pStyle w:val="TableText"/>
            </w:pPr>
            <w:r w:rsidRPr="00BE78CA">
              <w:t>Other land remaining other land</w:t>
            </w:r>
          </w:p>
        </w:tc>
        <w:tc>
          <w:tcPr>
            <w:tcW w:w="1055" w:type="dxa"/>
            <w:tcBorders>
              <w:top w:val="single" w:sz="4" w:space="0" w:color="365F91"/>
              <w:bottom w:val="single" w:sz="4" w:space="0" w:color="365F91"/>
            </w:tcBorders>
          </w:tcPr>
          <w:p w14:paraId="11F46647" w14:textId="77777777" w:rsidR="00333601" w:rsidRPr="00BE78CA" w:rsidRDefault="00333601" w:rsidP="00C26084">
            <w:pPr>
              <w:pStyle w:val="TableText"/>
              <w:jc w:val="center"/>
            </w:pPr>
            <w:r w:rsidRPr="00BE78CA">
              <w:t>895,805</w:t>
            </w:r>
          </w:p>
        </w:tc>
        <w:tc>
          <w:tcPr>
            <w:tcW w:w="1056" w:type="dxa"/>
            <w:tcBorders>
              <w:top w:val="single" w:sz="4" w:space="0" w:color="365F91"/>
              <w:bottom w:val="single" w:sz="4" w:space="0" w:color="365F91"/>
            </w:tcBorders>
          </w:tcPr>
          <w:p w14:paraId="68047D8B" w14:textId="77777777" w:rsidR="00333601" w:rsidRPr="00BE78CA" w:rsidRDefault="00333601" w:rsidP="00C26084">
            <w:pPr>
              <w:pStyle w:val="TableText"/>
              <w:jc w:val="center"/>
            </w:pPr>
            <w:r w:rsidRPr="00BE78CA">
              <w:t>890,184</w:t>
            </w:r>
          </w:p>
        </w:tc>
        <w:tc>
          <w:tcPr>
            <w:tcW w:w="1206" w:type="dxa"/>
            <w:tcBorders>
              <w:top w:val="single" w:sz="4" w:space="0" w:color="365F91"/>
              <w:bottom w:val="single" w:sz="4" w:space="0" w:color="365F91"/>
            </w:tcBorders>
          </w:tcPr>
          <w:p w14:paraId="0F512FD7" w14:textId="77777777" w:rsidR="00333601" w:rsidRPr="00BE78CA" w:rsidRDefault="00333601" w:rsidP="00C26084">
            <w:pPr>
              <w:pStyle w:val="TableText"/>
              <w:jc w:val="center"/>
            </w:pPr>
            <w:r w:rsidRPr="00BE78CA">
              <w:t>0.1</w:t>
            </w:r>
          </w:p>
        </w:tc>
        <w:tc>
          <w:tcPr>
            <w:tcW w:w="1055" w:type="dxa"/>
            <w:tcBorders>
              <w:top w:val="single" w:sz="4" w:space="0" w:color="365F91"/>
              <w:bottom w:val="single" w:sz="4" w:space="0" w:color="365F91"/>
            </w:tcBorders>
          </w:tcPr>
          <w:p w14:paraId="38A505A0" w14:textId="77777777" w:rsidR="00333601" w:rsidRPr="00BE78CA" w:rsidRDefault="00333601" w:rsidP="00C26084">
            <w:pPr>
              <w:pStyle w:val="TableText"/>
              <w:jc w:val="center"/>
              <w:rPr>
                <w:rFonts w:cs="Arial"/>
                <w:szCs w:val="16"/>
              </w:rPr>
            </w:pPr>
            <w:r w:rsidRPr="00BE78CA">
              <w:t>3.8</w:t>
            </w:r>
          </w:p>
        </w:tc>
        <w:tc>
          <w:tcPr>
            <w:tcW w:w="1186" w:type="dxa"/>
            <w:tcBorders>
              <w:top w:val="single" w:sz="4" w:space="0" w:color="365F91"/>
              <w:bottom w:val="single" w:sz="4" w:space="0" w:color="365F91"/>
            </w:tcBorders>
          </w:tcPr>
          <w:p w14:paraId="2DD59FA5" w14:textId="77777777" w:rsidR="00333601" w:rsidRPr="00BE78CA" w:rsidRDefault="00333601" w:rsidP="00C26084">
            <w:pPr>
              <w:pStyle w:val="TableText"/>
              <w:jc w:val="center"/>
            </w:pPr>
            <w:r w:rsidRPr="00BE78CA">
              <w:t>+3,585.1</w:t>
            </w:r>
          </w:p>
        </w:tc>
      </w:tr>
      <w:tr w:rsidR="00333601" w:rsidRPr="00BE78CA" w14:paraId="04C61FD3" w14:textId="77777777" w:rsidTr="00C17CFB">
        <w:tc>
          <w:tcPr>
            <w:tcW w:w="2947" w:type="dxa"/>
            <w:tcBorders>
              <w:top w:val="single" w:sz="4" w:space="0" w:color="365F91"/>
              <w:bottom w:val="single" w:sz="4" w:space="0" w:color="365F91"/>
            </w:tcBorders>
          </w:tcPr>
          <w:p w14:paraId="5F1F0F92" w14:textId="77777777" w:rsidR="00333601" w:rsidRPr="00BE78CA" w:rsidRDefault="00333601" w:rsidP="00C26084">
            <w:pPr>
              <w:pStyle w:val="TableText"/>
            </w:pPr>
            <w:r w:rsidRPr="00BE78CA">
              <w:t>Land converted to other land</w:t>
            </w:r>
          </w:p>
        </w:tc>
        <w:tc>
          <w:tcPr>
            <w:tcW w:w="1055" w:type="dxa"/>
            <w:tcBorders>
              <w:top w:val="single" w:sz="4" w:space="0" w:color="365F91"/>
              <w:bottom w:val="single" w:sz="4" w:space="0" w:color="365F91"/>
            </w:tcBorders>
          </w:tcPr>
          <w:p w14:paraId="45A52E2E" w14:textId="77777777" w:rsidR="00333601" w:rsidRPr="00BE78CA" w:rsidRDefault="00333601" w:rsidP="00C26084">
            <w:pPr>
              <w:pStyle w:val="TableText"/>
              <w:jc w:val="center"/>
            </w:pPr>
            <w:r w:rsidRPr="00BE78CA">
              <w:t>0</w:t>
            </w:r>
          </w:p>
        </w:tc>
        <w:tc>
          <w:tcPr>
            <w:tcW w:w="1056" w:type="dxa"/>
            <w:tcBorders>
              <w:top w:val="single" w:sz="4" w:space="0" w:color="365F91"/>
              <w:bottom w:val="single" w:sz="4" w:space="0" w:color="365F91"/>
            </w:tcBorders>
          </w:tcPr>
          <w:p w14:paraId="6CE961E4" w14:textId="77777777" w:rsidR="00333601" w:rsidRPr="00BE78CA" w:rsidRDefault="00333601" w:rsidP="00C26084">
            <w:pPr>
              <w:pStyle w:val="TableText"/>
              <w:jc w:val="center"/>
            </w:pPr>
            <w:r w:rsidRPr="00BE78CA">
              <w:t>5,887</w:t>
            </w:r>
          </w:p>
        </w:tc>
        <w:tc>
          <w:tcPr>
            <w:tcW w:w="1206" w:type="dxa"/>
            <w:tcBorders>
              <w:top w:val="single" w:sz="4" w:space="0" w:color="365F91"/>
              <w:bottom w:val="single" w:sz="4" w:space="0" w:color="365F91"/>
            </w:tcBorders>
          </w:tcPr>
          <w:p w14:paraId="505D5719" w14:textId="77777777" w:rsidR="00333601" w:rsidRPr="00BE78CA" w:rsidRDefault="00333601" w:rsidP="00C26084">
            <w:pPr>
              <w:pStyle w:val="TableText"/>
              <w:jc w:val="center"/>
            </w:pPr>
            <w:r w:rsidRPr="00BE78CA">
              <w:t>12.6</w:t>
            </w:r>
          </w:p>
        </w:tc>
        <w:tc>
          <w:tcPr>
            <w:tcW w:w="1055" w:type="dxa"/>
            <w:tcBorders>
              <w:top w:val="single" w:sz="4" w:space="0" w:color="365F91"/>
              <w:bottom w:val="single" w:sz="4" w:space="0" w:color="365F91"/>
            </w:tcBorders>
          </w:tcPr>
          <w:p w14:paraId="27E329E2" w14:textId="77777777" w:rsidR="00333601" w:rsidRPr="00BE78CA" w:rsidRDefault="00333601" w:rsidP="00C26084">
            <w:pPr>
              <w:pStyle w:val="TableText"/>
              <w:jc w:val="center"/>
            </w:pPr>
            <w:r w:rsidRPr="00BE78CA">
              <w:t>48.6</w:t>
            </w:r>
          </w:p>
        </w:tc>
        <w:tc>
          <w:tcPr>
            <w:tcW w:w="1186" w:type="dxa"/>
            <w:tcBorders>
              <w:top w:val="single" w:sz="4" w:space="0" w:color="365F91"/>
              <w:bottom w:val="single" w:sz="4" w:space="0" w:color="365F91"/>
            </w:tcBorders>
          </w:tcPr>
          <w:p w14:paraId="50CA87BC" w14:textId="77777777" w:rsidR="00333601" w:rsidRPr="00BE78CA" w:rsidRDefault="00333601" w:rsidP="00C26084">
            <w:pPr>
              <w:pStyle w:val="TableText"/>
              <w:jc w:val="center"/>
            </w:pPr>
            <w:r w:rsidRPr="00BE78CA">
              <w:t>+284.6</w:t>
            </w:r>
          </w:p>
        </w:tc>
      </w:tr>
      <w:tr w:rsidR="00333601" w:rsidRPr="00BE78CA" w14:paraId="70403118" w14:textId="77777777" w:rsidTr="00C17CFB">
        <w:trPr>
          <w:trHeight w:val="209"/>
        </w:trPr>
        <w:tc>
          <w:tcPr>
            <w:tcW w:w="2947" w:type="dxa"/>
            <w:tcBorders>
              <w:top w:val="single" w:sz="4" w:space="0" w:color="365F91"/>
              <w:bottom w:val="single" w:sz="4" w:space="0" w:color="365F91"/>
            </w:tcBorders>
          </w:tcPr>
          <w:p w14:paraId="3FBFA40A" w14:textId="77777777" w:rsidR="00333601" w:rsidRPr="00BE78CA" w:rsidRDefault="00333601" w:rsidP="00C26084">
            <w:pPr>
              <w:pStyle w:val="Tableboldblue"/>
              <w:jc w:val="right"/>
            </w:pPr>
            <w:r w:rsidRPr="00BE78CA">
              <w:t>Total</w:t>
            </w:r>
          </w:p>
        </w:tc>
        <w:tc>
          <w:tcPr>
            <w:tcW w:w="1055" w:type="dxa"/>
            <w:tcBorders>
              <w:top w:val="single" w:sz="4" w:space="0" w:color="365F91"/>
              <w:bottom w:val="single" w:sz="4" w:space="0" w:color="365F91"/>
            </w:tcBorders>
          </w:tcPr>
          <w:p w14:paraId="3604EAED" w14:textId="77777777" w:rsidR="00333601" w:rsidRPr="00BE78CA" w:rsidRDefault="00333601" w:rsidP="00C26084">
            <w:pPr>
              <w:pStyle w:val="Tableboldblue"/>
              <w:jc w:val="center"/>
            </w:pPr>
            <w:r w:rsidRPr="00BE78CA">
              <w:t>895,805</w:t>
            </w:r>
          </w:p>
        </w:tc>
        <w:tc>
          <w:tcPr>
            <w:tcW w:w="1056" w:type="dxa"/>
            <w:tcBorders>
              <w:top w:val="single" w:sz="4" w:space="0" w:color="365F91"/>
              <w:bottom w:val="single" w:sz="4" w:space="0" w:color="365F91"/>
            </w:tcBorders>
          </w:tcPr>
          <w:p w14:paraId="75B55106" w14:textId="77777777" w:rsidR="00333601" w:rsidRPr="00BE78CA" w:rsidRDefault="00333601" w:rsidP="00C26084">
            <w:pPr>
              <w:pStyle w:val="Tableboldblue"/>
              <w:jc w:val="center"/>
            </w:pPr>
            <w:r w:rsidRPr="00BE78CA">
              <w:t>896,071</w:t>
            </w:r>
          </w:p>
        </w:tc>
        <w:tc>
          <w:tcPr>
            <w:tcW w:w="1206" w:type="dxa"/>
            <w:tcBorders>
              <w:top w:val="single" w:sz="4" w:space="0" w:color="365F91"/>
              <w:bottom w:val="single" w:sz="4" w:space="0" w:color="365F91"/>
            </w:tcBorders>
          </w:tcPr>
          <w:p w14:paraId="47F24598" w14:textId="77777777" w:rsidR="00333601" w:rsidRPr="00BE78CA" w:rsidRDefault="00333601" w:rsidP="00C26084">
            <w:pPr>
              <w:pStyle w:val="Tableboldblue"/>
              <w:jc w:val="center"/>
            </w:pPr>
            <w:r w:rsidRPr="00BE78CA">
              <w:t>12.8</w:t>
            </w:r>
          </w:p>
        </w:tc>
        <w:tc>
          <w:tcPr>
            <w:tcW w:w="1055" w:type="dxa"/>
            <w:tcBorders>
              <w:top w:val="single" w:sz="4" w:space="0" w:color="365F91"/>
              <w:bottom w:val="single" w:sz="4" w:space="0" w:color="365F91"/>
            </w:tcBorders>
          </w:tcPr>
          <w:p w14:paraId="3464C025" w14:textId="77777777" w:rsidR="00333601" w:rsidRPr="00BE78CA" w:rsidRDefault="00333601" w:rsidP="00C26084">
            <w:pPr>
              <w:pStyle w:val="Tableboldblue"/>
              <w:jc w:val="center"/>
            </w:pPr>
            <w:r w:rsidRPr="00BE78CA">
              <w:t>52.5</w:t>
            </w:r>
          </w:p>
        </w:tc>
        <w:tc>
          <w:tcPr>
            <w:tcW w:w="1186" w:type="dxa"/>
            <w:tcBorders>
              <w:top w:val="single" w:sz="4" w:space="0" w:color="365F91"/>
              <w:bottom w:val="single" w:sz="4" w:space="0" w:color="365F91"/>
            </w:tcBorders>
          </w:tcPr>
          <w:p w14:paraId="182C22D0" w14:textId="77777777" w:rsidR="00333601" w:rsidRPr="00BE78CA" w:rsidRDefault="00333601" w:rsidP="00C26084">
            <w:pPr>
              <w:pStyle w:val="Tableboldblue"/>
              <w:jc w:val="center"/>
            </w:pPr>
            <w:r w:rsidRPr="00BE78CA">
              <w:t>+311.6</w:t>
            </w:r>
          </w:p>
        </w:tc>
      </w:tr>
    </w:tbl>
    <w:p w14:paraId="69A85403" w14:textId="77777777" w:rsidR="00333601" w:rsidRPr="00BE78CA" w:rsidRDefault="00333601" w:rsidP="00333601">
      <w:pPr>
        <w:pStyle w:val="Noteundertable"/>
        <w:spacing w:before="80" w:after="0"/>
      </w:pPr>
      <w:r w:rsidRPr="00BE78CA">
        <w:rPr>
          <w:b/>
        </w:rPr>
        <w:t>Note:</w:t>
      </w:r>
      <w:r w:rsidRPr="00BE78CA">
        <w:tab/>
        <w:t xml:space="preserve">Net area in 1990 is as at 1 January 1990; net area in 2019 is as at 31 December. </w:t>
      </w:r>
      <w:r w:rsidRPr="00BE78CA">
        <w:rPr>
          <w:i/>
        </w:rPr>
        <w:t>Land converted to other land</w:t>
      </w:r>
      <w:r w:rsidRPr="00BE78CA">
        <w:t xml:space="preserve"> includes land converted up to 20 years prior. Net emission values are for the whole year indicated. Net emissions for </w:t>
      </w:r>
      <w:r w:rsidRPr="00BE78CA">
        <w:rPr>
          <w:i/>
        </w:rPr>
        <w:t>Other land remaining other land</w:t>
      </w:r>
      <w:r w:rsidRPr="00BE78CA">
        <w:t xml:space="preserve"> are not applicable (NA) because changes in carbon stocks and non-CO</w:t>
      </w:r>
      <w:r w:rsidRPr="00BE78CA">
        <w:rPr>
          <w:vertAlign w:val="subscript"/>
        </w:rPr>
        <w:t>2</w:t>
      </w:r>
      <w:r w:rsidRPr="00BE78CA">
        <w:t xml:space="preserve"> emissions are not estimated (NE) for this category; see section 6.9.2 for details. Columns may not total due to rounding.</w:t>
      </w:r>
    </w:p>
    <w:p w14:paraId="79ABDF50" w14:textId="77777777" w:rsidR="00333601" w:rsidRPr="00BE78CA" w:rsidRDefault="00333601" w:rsidP="00333601">
      <w:pPr>
        <w:pStyle w:val="Heading3"/>
      </w:pPr>
      <w:r w:rsidRPr="00BE78CA">
        <w:t>6.9.2</w:t>
      </w:r>
      <w:r w:rsidRPr="00BE78CA">
        <w:tab/>
        <w:t>Methodological issues</w:t>
      </w:r>
    </w:p>
    <w:p w14:paraId="51A2F34D" w14:textId="77777777" w:rsidR="00333601" w:rsidRPr="00BE78CA" w:rsidRDefault="00333601" w:rsidP="00333601">
      <w:pPr>
        <w:pStyle w:val="Heading4"/>
        <w:spacing w:before="180"/>
      </w:pPr>
      <w:r w:rsidRPr="00BE78CA">
        <w:t>Other land remaining other land (CRF 4.F.1)</w:t>
      </w:r>
    </w:p>
    <w:p w14:paraId="735CB8E5" w14:textId="77777777" w:rsidR="00333601" w:rsidRPr="00BE78CA" w:rsidRDefault="00333601" w:rsidP="00333601">
      <w:pPr>
        <w:pStyle w:val="BodyText"/>
      </w:pPr>
      <w:r w:rsidRPr="00BE78CA">
        <w:t xml:space="preserve">The area of </w:t>
      </w:r>
      <w:r w:rsidRPr="00BE78CA">
        <w:rPr>
          <w:i/>
        </w:rPr>
        <w:t>Other land</w:t>
      </w:r>
      <w:r w:rsidRPr="00BE78CA">
        <w:t xml:space="preserve"> has been estimated based on national land use maps as described in section 6.2.</w:t>
      </w:r>
    </w:p>
    <w:p w14:paraId="472E26EC" w14:textId="77777777" w:rsidR="00333601" w:rsidRPr="00BE78CA" w:rsidRDefault="00333601" w:rsidP="00333601">
      <w:pPr>
        <w:pStyle w:val="BodyText"/>
      </w:pPr>
      <w:r w:rsidRPr="00BE78CA">
        <w:t xml:space="preserve">A summary of the New Zealand emission factors and other parameters used to estimate greenhouse gas emissions for </w:t>
      </w:r>
      <w:r w:rsidRPr="00BE78CA">
        <w:rPr>
          <w:i/>
        </w:rPr>
        <w:t>Other land</w:t>
      </w:r>
      <w:r w:rsidRPr="00BE78CA">
        <w:t xml:space="preserve"> is provided in table 6.9.2.</w:t>
      </w:r>
    </w:p>
    <w:p w14:paraId="5097FDC8" w14:textId="3D372450" w:rsidR="00333601" w:rsidRPr="00BE78CA" w:rsidRDefault="00333601" w:rsidP="00333601">
      <w:pPr>
        <w:pStyle w:val="Table"/>
      </w:pPr>
      <w:bookmarkStart w:id="2569" w:name="_Toc342470794"/>
      <w:bookmarkStart w:id="2570" w:name="_Toc352505034"/>
      <w:bookmarkStart w:id="2571" w:name="_Toc378853323"/>
      <w:bookmarkStart w:id="2572" w:name="_Toc391024121"/>
      <w:bookmarkStart w:id="2573" w:name="_Toc410028863"/>
      <w:bookmarkStart w:id="2574" w:name="_Toc414531491"/>
      <w:bookmarkStart w:id="2575" w:name="_Toc443645404"/>
      <w:bookmarkStart w:id="2576" w:name="_Toc474914623"/>
      <w:bookmarkStart w:id="2577" w:name="_Toc481751587"/>
      <w:bookmarkStart w:id="2578" w:name="_Toc522010644"/>
      <w:bookmarkStart w:id="2579" w:name="_Toc5269549"/>
      <w:bookmarkStart w:id="2580" w:name="_Toc33529423"/>
      <w:bookmarkStart w:id="2581" w:name="_Toc36224629"/>
      <w:bookmarkStart w:id="2582" w:name="_Toc65243626"/>
      <w:bookmarkStart w:id="2583" w:name="_Toc68786516"/>
      <w:r w:rsidRPr="00BE78CA">
        <w:lastRenderedPageBreak/>
        <w:t>Table 6.9.2</w:t>
      </w:r>
      <w:r w:rsidRPr="00BE78CA">
        <w:tab/>
        <w:t>Summary of New Zealand emission factors for the land use category</w:t>
      </w:r>
      <w:bookmarkEnd w:id="2569"/>
      <w:bookmarkEnd w:id="2570"/>
      <w:bookmarkEnd w:id="2571"/>
      <w:r w:rsidRPr="00BE78CA">
        <w:t xml:space="preserve"> Other</w:t>
      </w:r>
      <w:r w:rsidR="001E124A" w:rsidRPr="00BE78CA">
        <w:t> </w:t>
      </w:r>
      <w:r w:rsidRPr="00BE78CA">
        <w:t>land</w:t>
      </w:r>
      <w:bookmarkEnd w:id="2572"/>
      <w:bookmarkEnd w:id="2573"/>
      <w:bookmarkEnd w:id="2574"/>
      <w:bookmarkEnd w:id="2575"/>
      <w:bookmarkEnd w:id="2576"/>
      <w:bookmarkEnd w:id="2577"/>
      <w:bookmarkEnd w:id="2578"/>
      <w:bookmarkEnd w:id="2579"/>
      <w:bookmarkEnd w:id="2580"/>
      <w:bookmarkEnd w:id="2581"/>
      <w:bookmarkEnd w:id="2582"/>
      <w:bookmarkEnd w:id="2583"/>
    </w:p>
    <w:tbl>
      <w:tblPr>
        <w:tblW w:w="8505" w:type="dxa"/>
        <w:tblLook w:val="04A0" w:firstRow="1" w:lastRow="0" w:firstColumn="1" w:lastColumn="0" w:noHBand="0" w:noVBand="1"/>
      </w:tblPr>
      <w:tblGrid>
        <w:gridCol w:w="1418"/>
        <w:gridCol w:w="1134"/>
        <w:gridCol w:w="1134"/>
        <w:gridCol w:w="2551"/>
        <w:gridCol w:w="2268"/>
      </w:tblGrid>
      <w:tr w:rsidR="00333601" w:rsidRPr="00BE78CA" w14:paraId="1B7043BE" w14:textId="77777777" w:rsidTr="00C17CFB">
        <w:tc>
          <w:tcPr>
            <w:tcW w:w="1418" w:type="dxa"/>
            <w:tcBorders>
              <w:top w:val="single" w:sz="4" w:space="0" w:color="365F91"/>
              <w:bottom w:val="single" w:sz="4" w:space="0" w:color="365F91"/>
            </w:tcBorders>
            <w:shd w:val="clear" w:color="auto" w:fill="365F91"/>
          </w:tcPr>
          <w:p w14:paraId="71EFB785" w14:textId="77777777" w:rsidR="00333601" w:rsidRPr="00BE78CA" w:rsidRDefault="00333601" w:rsidP="00C26084">
            <w:pPr>
              <w:pStyle w:val="TableTextBold"/>
              <w:keepNext/>
              <w:rPr>
                <w:noProof w:val="0"/>
                <w:color w:val="FFFFFF"/>
              </w:rPr>
            </w:pPr>
            <w:r w:rsidRPr="00BE78CA">
              <w:rPr>
                <w:noProof w:val="0"/>
                <w:color w:val="FFFFFF"/>
              </w:rPr>
              <w:t xml:space="preserve">Other land </w:t>
            </w:r>
            <w:r w:rsidRPr="00BE78CA">
              <w:rPr>
                <w:noProof w:val="0"/>
                <w:color w:val="FFFFFF"/>
              </w:rPr>
              <w:br/>
              <w:t>greenhouse gas source category</w:t>
            </w:r>
          </w:p>
        </w:tc>
        <w:tc>
          <w:tcPr>
            <w:tcW w:w="1134" w:type="dxa"/>
            <w:tcBorders>
              <w:top w:val="single" w:sz="4" w:space="0" w:color="365F91"/>
              <w:bottom w:val="single" w:sz="4" w:space="0" w:color="365F91"/>
            </w:tcBorders>
            <w:shd w:val="clear" w:color="auto" w:fill="365F91"/>
            <w:vAlign w:val="bottom"/>
          </w:tcPr>
          <w:p w14:paraId="14606FAA" w14:textId="77777777" w:rsidR="00333601" w:rsidRPr="00BE78CA" w:rsidRDefault="00333601" w:rsidP="00C26084">
            <w:pPr>
              <w:pStyle w:val="TableTextBold"/>
              <w:keepNext/>
              <w:rPr>
                <w:noProof w:val="0"/>
                <w:color w:val="FFFFFF"/>
              </w:rPr>
            </w:pPr>
            <w:r w:rsidRPr="00BE78CA">
              <w:rPr>
                <w:noProof w:val="0"/>
                <w:color w:val="FFFFFF"/>
              </w:rPr>
              <w:t xml:space="preserve">Steady state carbon stock </w:t>
            </w:r>
            <w:r w:rsidRPr="00BE78CA">
              <w:rPr>
                <w:noProof w:val="0"/>
                <w:color w:val="FFFFFF"/>
              </w:rPr>
              <w:br/>
              <w:t>(t C ha</w:t>
            </w:r>
            <w:r w:rsidRPr="00BE78CA">
              <w:rPr>
                <w:noProof w:val="0"/>
                <w:color w:val="FFFFFF"/>
                <w:vertAlign w:val="superscript"/>
              </w:rPr>
              <w:t>–1</w:t>
            </w:r>
            <w:r w:rsidRPr="00BE78CA">
              <w:rPr>
                <w:noProof w:val="0"/>
                <w:color w:val="FFFFFF"/>
              </w:rPr>
              <w:t>)</w:t>
            </w:r>
          </w:p>
        </w:tc>
        <w:tc>
          <w:tcPr>
            <w:tcW w:w="1134" w:type="dxa"/>
            <w:tcBorders>
              <w:top w:val="single" w:sz="4" w:space="0" w:color="365F91"/>
              <w:bottom w:val="single" w:sz="4" w:space="0" w:color="365F91"/>
            </w:tcBorders>
            <w:shd w:val="clear" w:color="auto" w:fill="365F91"/>
            <w:vAlign w:val="bottom"/>
          </w:tcPr>
          <w:p w14:paraId="52A89A75" w14:textId="77777777" w:rsidR="00333601" w:rsidRPr="00BE78CA" w:rsidRDefault="00333601" w:rsidP="00C26084">
            <w:pPr>
              <w:pStyle w:val="TableTextBold"/>
              <w:keepNext/>
              <w:rPr>
                <w:noProof w:val="0"/>
                <w:color w:val="FFFFFF"/>
              </w:rPr>
            </w:pPr>
            <w:r w:rsidRPr="00BE78CA">
              <w:rPr>
                <w:noProof w:val="0"/>
                <w:color w:val="FFFFFF"/>
              </w:rPr>
              <w:t>Years to reach steady state</w:t>
            </w:r>
          </w:p>
        </w:tc>
        <w:tc>
          <w:tcPr>
            <w:tcW w:w="2551" w:type="dxa"/>
            <w:tcBorders>
              <w:top w:val="single" w:sz="4" w:space="0" w:color="365F91"/>
              <w:bottom w:val="single" w:sz="4" w:space="0" w:color="365F91"/>
            </w:tcBorders>
            <w:shd w:val="clear" w:color="auto" w:fill="365F91"/>
            <w:vAlign w:val="bottom"/>
          </w:tcPr>
          <w:p w14:paraId="293A6235" w14:textId="77777777" w:rsidR="00333601" w:rsidRPr="00BE78CA" w:rsidRDefault="00333601" w:rsidP="00C26084">
            <w:pPr>
              <w:pStyle w:val="TableTextBold"/>
              <w:keepNext/>
              <w:rPr>
                <w:noProof w:val="0"/>
                <w:color w:val="FFFFFF"/>
              </w:rPr>
            </w:pPr>
            <w:r w:rsidRPr="00BE78CA">
              <w:rPr>
                <w:noProof w:val="0"/>
                <w:color w:val="FFFFFF"/>
              </w:rPr>
              <w:t xml:space="preserve">Carbon stock change on conversion to Other land </w:t>
            </w:r>
            <w:r w:rsidRPr="00BE78CA">
              <w:rPr>
                <w:noProof w:val="0"/>
                <w:color w:val="FFFFFF"/>
              </w:rPr>
              <w:br/>
              <w:t>(t C ha</w:t>
            </w:r>
            <w:r w:rsidRPr="00BE78CA">
              <w:rPr>
                <w:noProof w:val="0"/>
                <w:color w:val="FFFFFF"/>
                <w:vertAlign w:val="superscript"/>
              </w:rPr>
              <w:t>–1</w:t>
            </w:r>
            <w:r w:rsidRPr="00BE78CA">
              <w:rPr>
                <w:noProof w:val="0"/>
                <w:color w:val="FFFFFF"/>
              </w:rPr>
              <w:t>)</w:t>
            </w:r>
          </w:p>
        </w:tc>
        <w:tc>
          <w:tcPr>
            <w:tcW w:w="2268" w:type="dxa"/>
            <w:tcBorders>
              <w:top w:val="single" w:sz="4" w:space="0" w:color="365F91"/>
              <w:bottom w:val="single" w:sz="4" w:space="0" w:color="365F91"/>
            </w:tcBorders>
            <w:shd w:val="clear" w:color="auto" w:fill="365F91"/>
            <w:vAlign w:val="bottom"/>
          </w:tcPr>
          <w:p w14:paraId="3FD64DB7" w14:textId="77777777" w:rsidR="00333601" w:rsidRPr="00BE78CA" w:rsidRDefault="00333601" w:rsidP="00C26084">
            <w:pPr>
              <w:pStyle w:val="TableTextBold"/>
              <w:keepNext/>
              <w:rPr>
                <w:noProof w:val="0"/>
                <w:color w:val="FFFFFF"/>
              </w:rPr>
            </w:pPr>
            <w:r w:rsidRPr="00BE78CA">
              <w:rPr>
                <w:noProof w:val="0"/>
                <w:color w:val="FFFFFF"/>
              </w:rPr>
              <w:t>Reference</w:t>
            </w:r>
          </w:p>
        </w:tc>
      </w:tr>
      <w:tr w:rsidR="00333601" w:rsidRPr="00BE78CA" w14:paraId="2C1098AA" w14:textId="77777777" w:rsidTr="00C17CFB">
        <w:tc>
          <w:tcPr>
            <w:tcW w:w="1418" w:type="dxa"/>
            <w:tcBorders>
              <w:top w:val="single" w:sz="4" w:space="0" w:color="365F91"/>
              <w:bottom w:val="single" w:sz="4" w:space="0" w:color="365F91"/>
            </w:tcBorders>
          </w:tcPr>
          <w:p w14:paraId="3CE396D5" w14:textId="77777777" w:rsidR="00333601" w:rsidRPr="00BE78CA" w:rsidRDefault="00333601" w:rsidP="00C26084">
            <w:pPr>
              <w:pStyle w:val="TableText"/>
            </w:pPr>
            <w:r w:rsidRPr="00BE78CA">
              <w:t>Biomass</w:t>
            </w:r>
          </w:p>
        </w:tc>
        <w:tc>
          <w:tcPr>
            <w:tcW w:w="1134" w:type="dxa"/>
            <w:tcBorders>
              <w:top w:val="single" w:sz="4" w:space="0" w:color="365F91"/>
              <w:bottom w:val="single" w:sz="4" w:space="0" w:color="365F91"/>
            </w:tcBorders>
          </w:tcPr>
          <w:p w14:paraId="021E35CF" w14:textId="77777777" w:rsidR="00333601" w:rsidRPr="00BE78CA" w:rsidRDefault="00333601" w:rsidP="00C26084">
            <w:pPr>
              <w:pStyle w:val="TableText"/>
            </w:pPr>
            <w:r w:rsidRPr="00BE78CA">
              <w:t>NE</w:t>
            </w:r>
          </w:p>
        </w:tc>
        <w:tc>
          <w:tcPr>
            <w:tcW w:w="1134" w:type="dxa"/>
            <w:tcBorders>
              <w:top w:val="single" w:sz="4" w:space="0" w:color="365F91"/>
              <w:bottom w:val="single" w:sz="4" w:space="0" w:color="365F91"/>
            </w:tcBorders>
          </w:tcPr>
          <w:p w14:paraId="5C03042A" w14:textId="77777777" w:rsidR="00333601" w:rsidRPr="00BE78CA" w:rsidRDefault="00333601" w:rsidP="00C26084">
            <w:pPr>
              <w:pStyle w:val="TableText"/>
            </w:pPr>
            <w:r w:rsidRPr="00BE78CA">
              <w:t>NA</w:t>
            </w:r>
          </w:p>
        </w:tc>
        <w:tc>
          <w:tcPr>
            <w:tcW w:w="2551" w:type="dxa"/>
            <w:tcBorders>
              <w:top w:val="single" w:sz="4" w:space="0" w:color="365F91"/>
              <w:bottom w:val="single" w:sz="4" w:space="0" w:color="365F91"/>
            </w:tcBorders>
          </w:tcPr>
          <w:p w14:paraId="7AC3A16A" w14:textId="77777777" w:rsidR="00333601" w:rsidRPr="00BE78CA" w:rsidRDefault="00333601" w:rsidP="00C26084">
            <w:pPr>
              <w:pStyle w:val="TableText"/>
            </w:pPr>
            <w:r w:rsidRPr="00BE78CA">
              <w:t>Instantaneous loss of previous land use carbon stock</w:t>
            </w:r>
          </w:p>
        </w:tc>
        <w:tc>
          <w:tcPr>
            <w:tcW w:w="2268" w:type="dxa"/>
            <w:tcBorders>
              <w:top w:val="single" w:sz="4" w:space="0" w:color="365F91"/>
              <w:bottom w:val="single" w:sz="4" w:space="0" w:color="365F91"/>
            </w:tcBorders>
          </w:tcPr>
          <w:p w14:paraId="3E144E67" w14:textId="77777777" w:rsidR="00333601" w:rsidRPr="00BE78CA" w:rsidRDefault="00333601" w:rsidP="00C26084">
            <w:pPr>
              <w:pStyle w:val="TableText"/>
            </w:pPr>
            <w:r w:rsidRPr="00BE78CA">
              <w:t>IPCC Tier 1 default assumption (section 9.3.1, IPCC, 2006a)</w:t>
            </w:r>
          </w:p>
        </w:tc>
      </w:tr>
      <w:tr w:rsidR="00333601" w:rsidRPr="00BE78CA" w14:paraId="0100281A" w14:textId="77777777" w:rsidTr="00C17CFB">
        <w:tc>
          <w:tcPr>
            <w:tcW w:w="1418" w:type="dxa"/>
            <w:tcBorders>
              <w:top w:val="single" w:sz="4" w:space="0" w:color="365F91"/>
              <w:bottom w:val="single" w:sz="4" w:space="0" w:color="365F91"/>
            </w:tcBorders>
          </w:tcPr>
          <w:p w14:paraId="13BD8408" w14:textId="77777777" w:rsidR="00333601" w:rsidRPr="00BE78CA" w:rsidRDefault="00333601" w:rsidP="00C26084">
            <w:pPr>
              <w:pStyle w:val="TableText"/>
            </w:pPr>
            <w:r w:rsidRPr="00BE78CA">
              <w:t>Soils (mineral)</w:t>
            </w:r>
          </w:p>
        </w:tc>
        <w:tc>
          <w:tcPr>
            <w:tcW w:w="1134" w:type="dxa"/>
            <w:tcBorders>
              <w:top w:val="single" w:sz="4" w:space="0" w:color="365F91"/>
              <w:bottom w:val="single" w:sz="4" w:space="0" w:color="365F91"/>
            </w:tcBorders>
          </w:tcPr>
          <w:p w14:paraId="687EEB50" w14:textId="77777777" w:rsidR="00333601" w:rsidRPr="00BE78CA" w:rsidRDefault="00333601" w:rsidP="00C26084">
            <w:pPr>
              <w:pStyle w:val="TableText"/>
            </w:pPr>
            <w:r w:rsidRPr="00BE78CA">
              <w:t>58.37</w:t>
            </w:r>
          </w:p>
        </w:tc>
        <w:tc>
          <w:tcPr>
            <w:tcW w:w="1134" w:type="dxa"/>
            <w:tcBorders>
              <w:top w:val="single" w:sz="4" w:space="0" w:color="365F91"/>
              <w:bottom w:val="single" w:sz="4" w:space="0" w:color="365F91"/>
            </w:tcBorders>
          </w:tcPr>
          <w:p w14:paraId="6816560B" w14:textId="77777777" w:rsidR="00333601" w:rsidRPr="00BE78CA" w:rsidRDefault="00333601" w:rsidP="00C26084">
            <w:pPr>
              <w:pStyle w:val="TableText"/>
            </w:pPr>
            <w:r w:rsidRPr="00BE78CA">
              <w:t>20</w:t>
            </w:r>
          </w:p>
        </w:tc>
        <w:tc>
          <w:tcPr>
            <w:tcW w:w="2551" w:type="dxa"/>
            <w:tcBorders>
              <w:top w:val="single" w:sz="4" w:space="0" w:color="365F91"/>
              <w:bottom w:val="single" w:sz="4" w:space="0" w:color="365F91"/>
            </w:tcBorders>
          </w:tcPr>
          <w:p w14:paraId="3BEFD91C" w14:textId="77777777" w:rsidR="00333601" w:rsidRPr="00BE78CA" w:rsidRDefault="00333601" w:rsidP="00C26084">
            <w:pPr>
              <w:pStyle w:val="TableText"/>
            </w:pPr>
            <w:r w:rsidRPr="00BE78CA">
              <w:t>Linear change over the conversion period between new and previous stock values</w:t>
            </w:r>
          </w:p>
        </w:tc>
        <w:tc>
          <w:tcPr>
            <w:tcW w:w="2268" w:type="dxa"/>
            <w:tcBorders>
              <w:top w:val="single" w:sz="4" w:space="0" w:color="365F91"/>
              <w:bottom w:val="single" w:sz="4" w:space="0" w:color="365F91"/>
            </w:tcBorders>
          </w:tcPr>
          <w:p w14:paraId="7B68DD56" w14:textId="77777777" w:rsidR="00333601" w:rsidRPr="00BE78CA" w:rsidRDefault="00333601" w:rsidP="00C26084">
            <w:pPr>
              <w:pStyle w:val="TableText"/>
            </w:pPr>
            <w:r w:rsidRPr="00BE78CA">
              <w:t>Section 6.3 of this submission</w:t>
            </w:r>
          </w:p>
        </w:tc>
      </w:tr>
      <w:tr w:rsidR="00333601" w:rsidRPr="00BE78CA" w14:paraId="39C8F8A1" w14:textId="77777777" w:rsidTr="00C17CFB">
        <w:tc>
          <w:tcPr>
            <w:tcW w:w="1418" w:type="dxa"/>
            <w:tcBorders>
              <w:top w:val="single" w:sz="4" w:space="0" w:color="365F91"/>
              <w:bottom w:val="single" w:sz="4" w:space="0" w:color="365F91"/>
            </w:tcBorders>
          </w:tcPr>
          <w:p w14:paraId="7E0F2AA9" w14:textId="77777777" w:rsidR="00333601" w:rsidRPr="00BE78CA" w:rsidRDefault="00333601" w:rsidP="00C26084">
            <w:pPr>
              <w:pStyle w:val="TableText"/>
            </w:pPr>
            <w:r w:rsidRPr="00BE78CA">
              <w:t>Biomass burning</w:t>
            </w:r>
          </w:p>
        </w:tc>
        <w:tc>
          <w:tcPr>
            <w:tcW w:w="1134" w:type="dxa"/>
            <w:tcBorders>
              <w:top w:val="single" w:sz="4" w:space="0" w:color="365F91"/>
              <w:bottom w:val="single" w:sz="4" w:space="0" w:color="365F91"/>
            </w:tcBorders>
          </w:tcPr>
          <w:p w14:paraId="26E47E99" w14:textId="77777777" w:rsidR="00333601" w:rsidRPr="00BE78CA" w:rsidRDefault="00333601" w:rsidP="00C26084">
            <w:pPr>
              <w:pStyle w:val="TableText"/>
            </w:pPr>
            <w:r w:rsidRPr="00BE78CA">
              <w:t>NE</w:t>
            </w:r>
          </w:p>
        </w:tc>
        <w:tc>
          <w:tcPr>
            <w:tcW w:w="1134" w:type="dxa"/>
            <w:tcBorders>
              <w:top w:val="single" w:sz="4" w:space="0" w:color="365F91"/>
              <w:bottom w:val="single" w:sz="4" w:space="0" w:color="365F91"/>
            </w:tcBorders>
          </w:tcPr>
          <w:p w14:paraId="26D9737F" w14:textId="77777777" w:rsidR="00333601" w:rsidRPr="00BE78CA" w:rsidRDefault="00333601" w:rsidP="00C26084">
            <w:pPr>
              <w:pStyle w:val="TableText"/>
            </w:pPr>
            <w:r w:rsidRPr="00BE78CA">
              <w:t>NA</w:t>
            </w:r>
          </w:p>
        </w:tc>
        <w:tc>
          <w:tcPr>
            <w:tcW w:w="2551" w:type="dxa"/>
            <w:tcBorders>
              <w:top w:val="single" w:sz="4" w:space="0" w:color="365F91"/>
              <w:bottom w:val="single" w:sz="4" w:space="0" w:color="365F91"/>
            </w:tcBorders>
          </w:tcPr>
          <w:p w14:paraId="7F30A6A6" w14:textId="77777777" w:rsidR="00333601" w:rsidRPr="00BE78CA" w:rsidRDefault="00333601" w:rsidP="00C26084">
            <w:pPr>
              <w:pStyle w:val="TableText"/>
            </w:pPr>
            <w:r w:rsidRPr="00BE78CA">
              <w:t>NE</w:t>
            </w:r>
          </w:p>
        </w:tc>
        <w:tc>
          <w:tcPr>
            <w:tcW w:w="2268" w:type="dxa"/>
            <w:tcBorders>
              <w:top w:val="single" w:sz="4" w:space="0" w:color="365F91"/>
              <w:bottom w:val="single" w:sz="4" w:space="0" w:color="365F91"/>
            </w:tcBorders>
          </w:tcPr>
          <w:p w14:paraId="08763481" w14:textId="77777777" w:rsidR="00333601" w:rsidRPr="00BE78CA" w:rsidRDefault="00333601" w:rsidP="00C26084">
            <w:pPr>
              <w:pStyle w:val="TableText"/>
            </w:pPr>
          </w:p>
        </w:tc>
      </w:tr>
    </w:tbl>
    <w:p w14:paraId="6DF70211" w14:textId="77777777" w:rsidR="00333601" w:rsidRPr="00BE78CA" w:rsidRDefault="00333601" w:rsidP="00333601">
      <w:pPr>
        <w:pStyle w:val="Noteundertable"/>
      </w:pPr>
      <w:r w:rsidRPr="00BE78CA">
        <w:rPr>
          <w:b/>
        </w:rPr>
        <w:t>Note</w:t>
      </w:r>
      <w:r w:rsidRPr="00BE78CA">
        <w:t xml:space="preserve">: </w:t>
      </w:r>
      <w:r w:rsidRPr="00BE78CA">
        <w:tab/>
        <w:t>NA = not applicable; NE = not estimated.</w:t>
      </w:r>
    </w:p>
    <w:p w14:paraId="38172E41" w14:textId="77777777" w:rsidR="00333601" w:rsidRPr="00BE78CA" w:rsidRDefault="00333601" w:rsidP="00333601">
      <w:pPr>
        <w:pStyle w:val="Heading5"/>
      </w:pPr>
      <w:r w:rsidRPr="00BE78CA">
        <w:t>Living biomass and dead organic matter</w:t>
      </w:r>
    </w:p>
    <w:p w14:paraId="6C5632A0" w14:textId="77777777" w:rsidR="00333601" w:rsidRPr="00BE78CA" w:rsidRDefault="00333601" w:rsidP="00333601">
      <w:pPr>
        <w:pStyle w:val="BodyText"/>
        <w:spacing w:before="100" w:after="100"/>
      </w:pPr>
      <w:r w:rsidRPr="00BE78CA">
        <w:t xml:space="preserve">All of New Zealand’s land area in the </w:t>
      </w:r>
      <w:r w:rsidRPr="00BE78CA">
        <w:rPr>
          <w:i/>
        </w:rPr>
        <w:t>Other land</w:t>
      </w:r>
      <w:r w:rsidRPr="00BE78CA">
        <w:t xml:space="preserve"> category is classified as ‘managed’. New Zealand considers all land to be managed, because all land is under some form of management plan, regardless of the intensity and/or type of land-management practices. Reporting for the category </w:t>
      </w:r>
      <w:r w:rsidRPr="00BE78CA">
        <w:rPr>
          <w:i/>
        </w:rPr>
        <w:t>Other land remaining other land</w:t>
      </w:r>
      <w:r w:rsidRPr="00BE78CA">
        <w:t xml:space="preserve"> is not mandatory. New Zealand applies the Tier 1 approach to this category, which assumes carbon accumulation and loss for the biomass pool is zero in all years subsequent to the year of conversion (section 9.3.1, IPCC, 2006a).</w:t>
      </w:r>
    </w:p>
    <w:p w14:paraId="41E11B1D" w14:textId="77777777" w:rsidR="00333601" w:rsidRPr="00BE78CA" w:rsidRDefault="00333601" w:rsidP="00333601">
      <w:pPr>
        <w:pStyle w:val="Heading5"/>
        <w:spacing w:before="160"/>
      </w:pPr>
      <w:r w:rsidRPr="00BE78CA">
        <w:t>Soil carbon</w:t>
      </w:r>
    </w:p>
    <w:p w14:paraId="73D9EC17" w14:textId="77777777" w:rsidR="00333601" w:rsidRPr="00BE78CA" w:rsidRDefault="00333601" w:rsidP="00333601">
      <w:pPr>
        <w:pStyle w:val="BodyText"/>
        <w:spacing w:before="100" w:after="100"/>
      </w:pPr>
      <w:r w:rsidRPr="00BE78CA">
        <w:t xml:space="preserve">SOC stocks in </w:t>
      </w:r>
      <w:r w:rsidRPr="00BE78CA">
        <w:rPr>
          <w:i/>
        </w:rPr>
        <w:t>Other land remaining other land</w:t>
      </w:r>
      <w:r w:rsidRPr="00BE78CA">
        <w:t xml:space="preserve"> are estimated using a Tier 2 method for mineral soils (see section 6.3). The steady state mineral SOC stock in </w:t>
      </w:r>
      <w:r w:rsidRPr="00BE78CA">
        <w:rPr>
          <w:i/>
        </w:rPr>
        <w:t>Other land</w:t>
      </w:r>
      <w:r w:rsidRPr="00BE78CA">
        <w:t xml:space="preserve"> is estimated to be </w:t>
      </w:r>
      <w:r w:rsidRPr="00BE78CA">
        <w:rPr>
          <w:color w:val="000000"/>
        </w:rPr>
        <w:t>58.37 </w:t>
      </w:r>
      <w:r w:rsidRPr="00BE78CA">
        <w:t>tonnes C ha</w:t>
      </w:r>
      <w:r w:rsidRPr="00BE78CA">
        <w:rPr>
          <w:vertAlign w:val="superscript"/>
        </w:rPr>
        <w:t>–1</w:t>
      </w:r>
      <w:r w:rsidRPr="00BE78CA">
        <w:t>. This is based on only three samples so has an associated uncertainty of ±70.7 per cent (McNeill and Barringer, unpublished).</w:t>
      </w:r>
    </w:p>
    <w:p w14:paraId="0A433647" w14:textId="77777777" w:rsidR="00333601" w:rsidRPr="00BE78CA" w:rsidRDefault="00333601" w:rsidP="00333601">
      <w:pPr>
        <w:pStyle w:val="Heading4"/>
      </w:pPr>
      <w:r w:rsidRPr="00BE78CA">
        <w:t>Land converted to other land (CRF 4.F.2)</w:t>
      </w:r>
    </w:p>
    <w:p w14:paraId="4F860873" w14:textId="77777777" w:rsidR="00333601" w:rsidRPr="00BE78CA" w:rsidRDefault="00333601" w:rsidP="00333601">
      <w:pPr>
        <w:pStyle w:val="Heading5"/>
        <w:spacing w:before="160"/>
      </w:pPr>
      <w:r w:rsidRPr="00BE78CA">
        <w:t>Living biomass and dead organic matter</w:t>
      </w:r>
    </w:p>
    <w:p w14:paraId="63FF08A1" w14:textId="77777777" w:rsidR="00333601" w:rsidRPr="00BE78CA" w:rsidRDefault="00333601" w:rsidP="00333601">
      <w:pPr>
        <w:pStyle w:val="BodyText"/>
        <w:spacing w:before="100" w:after="100"/>
      </w:pPr>
      <w:r w:rsidRPr="00BE78CA">
        <w:t xml:space="preserve">New Zealand uses a Tier 1 method to calculate emissions for </w:t>
      </w:r>
      <w:r w:rsidRPr="00BE78CA">
        <w:rPr>
          <w:i/>
        </w:rPr>
        <w:t>Land converted to other land</w:t>
      </w:r>
      <w:r w:rsidRPr="00BE78CA">
        <w:t xml:space="preserve"> (equation 2.16, IPCC, 2006a). This is the same as that used for other areas of land-use conversion (e.g., </w:t>
      </w:r>
      <w:r w:rsidRPr="00BE78CA">
        <w:rPr>
          <w:i/>
        </w:rPr>
        <w:t>Land converted to cropland</w:t>
      </w:r>
      <w:r w:rsidRPr="00BE78CA">
        <w:t xml:space="preserve">). The Tier 1 method assumes the carbon in living biomass and dead organic matter present before conversion is lost and instantly oxidised in the same year as the conversion takes place and that carbon stocks in living biomass and dead organic matter following conversion are equal to zero. There is no Tier 1 method for calculating carbon accumulation in living biomass or dead organic matter for </w:t>
      </w:r>
      <w:r w:rsidRPr="00BE78CA">
        <w:rPr>
          <w:i/>
        </w:rPr>
        <w:t>Land converted to other land</w:t>
      </w:r>
      <w:r w:rsidRPr="00BE78CA">
        <w:t>.</w:t>
      </w:r>
    </w:p>
    <w:p w14:paraId="49FAF50F" w14:textId="77777777" w:rsidR="00333601" w:rsidRPr="00BE78CA" w:rsidRDefault="00333601" w:rsidP="00333601">
      <w:pPr>
        <w:pStyle w:val="Heading5"/>
        <w:spacing w:before="160"/>
      </w:pPr>
      <w:r w:rsidRPr="00BE78CA">
        <w:t>Soil carbon</w:t>
      </w:r>
    </w:p>
    <w:p w14:paraId="3B9821DB" w14:textId="77777777" w:rsidR="00333601" w:rsidRPr="00BE78CA" w:rsidRDefault="00333601" w:rsidP="00333601">
      <w:pPr>
        <w:pStyle w:val="BodyText"/>
        <w:spacing w:before="100" w:after="100"/>
      </w:pPr>
      <w:r w:rsidRPr="00BE78CA">
        <w:t xml:space="preserve">SOC stocks in </w:t>
      </w:r>
      <w:r w:rsidRPr="00BE78CA">
        <w:rPr>
          <w:i/>
        </w:rPr>
        <w:t>Land converted to other land</w:t>
      </w:r>
      <w:r w:rsidRPr="00BE78CA">
        <w:t xml:space="preserve"> prior to conversion are estimated using a Tier 2 method (see section 6.3). The IPCC default method of a linear change over a 20</w:t>
      </w:r>
      <w:r w:rsidRPr="00BE78CA">
        <w:noBreakHyphen/>
        <w:t>year period is used to estimate the change in SOC stocks between the original land use and other land for any given period.</w:t>
      </w:r>
    </w:p>
    <w:p w14:paraId="5657AD7E" w14:textId="77777777" w:rsidR="00333601" w:rsidRPr="00BE78CA" w:rsidRDefault="00333601" w:rsidP="00333601">
      <w:pPr>
        <w:pStyle w:val="Heading3"/>
        <w:spacing w:before="240"/>
      </w:pPr>
      <w:r w:rsidRPr="00BE78CA">
        <w:t>6.9.3</w:t>
      </w:r>
      <w:r w:rsidRPr="00BE78CA">
        <w:tab/>
        <w:t>Uncertainties and time-series consistency</w:t>
      </w:r>
    </w:p>
    <w:p w14:paraId="7CA799EE" w14:textId="77777777" w:rsidR="00333601" w:rsidRPr="00BE78CA" w:rsidRDefault="00333601" w:rsidP="00333601">
      <w:pPr>
        <w:pStyle w:val="BodyText"/>
        <w:spacing w:before="100" w:after="100"/>
      </w:pPr>
      <w:r w:rsidRPr="00BE78CA">
        <w:t xml:space="preserve">Uncertainty in the IPCC default variables dominates the overall uncertainty in the estimate provided by New Zealand. Uncertainty in </w:t>
      </w:r>
      <w:r w:rsidRPr="00BE78CA">
        <w:rPr>
          <w:i/>
        </w:rPr>
        <w:t>Other land</w:t>
      </w:r>
      <w:r w:rsidRPr="00BE78CA">
        <w:t xml:space="preserve"> introduces ±0.1 per cent uncertainty into the LULUCF net carbon emissions (see table 6.9.3). This is low because the change in </w:t>
      </w:r>
      <w:r w:rsidRPr="00BE78CA">
        <w:rPr>
          <w:i/>
        </w:rPr>
        <w:t>Other land</w:t>
      </w:r>
      <w:r w:rsidRPr="00BE78CA">
        <w:t xml:space="preserve"> and the emissions from </w:t>
      </w:r>
      <w:r w:rsidRPr="00BE78CA">
        <w:rPr>
          <w:i/>
        </w:rPr>
        <w:t>Other land</w:t>
      </w:r>
      <w:r w:rsidRPr="00BE78CA">
        <w:t xml:space="preserve"> are low.</w:t>
      </w:r>
    </w:p>
    <w:p w14:paraId="44C93386" w14:textId="77777777" w:rsidR="00333601" w:rsidRPr="00BE78CA" w:rsidRDefault="00333601" w:rsidP="00333601">
      <w:pPr>
        <w:pStyle w:val="Table"/>
      </w:pPr>
      <w:bookmarkStart w:id="2584" w:name="_Toc342470795"/>
      <w:bookmarkStart w:id="2585" w:name="_Toc352505035"/>
      <w:bookmarkStart w:id="2586" w:name="_Toc378853324"/>
      <w:bookmarkStart w:id="2587" w:name="_Toc391024122"/>
      <w:bookmarkStart w:id="2588" w:name="_Toc410028864"/>
      <w:bookmarkStart w:id="2589" w:name="_Toc414531492"/>
      <w:bookmarkStart w:id="2590" w:name="_Toc443645405"/>
      <w:bookmarkStart w:id="2591" w:name="_Toc474914624"/>
      <w:bookmarkStart w:id="2592" w:name="_Toc481751588"/>
      <w:bookmarkStart w:id="2593" w:name="_Toc522010645"/>
      <w:bookmarkStart w:id="2594" w:name="_Toc5269550"/>
      <w:bookmarkStart w:id="2595" w:name="_Toc33529424"/>
      <w:bookmarkStart w:id="2596" w:name="_Toc36224630"/>
      <w:bookmarkStart w:id="2597" w:name="_Toc65243627"/>
      <w:bookmarkStart w:id="2598" w:name="_Toc68786517"/>
      <w:r w:rsidRPr="00BE78CA">
        <w:lastRenderedPageBreak/>
        <w:t>Table 6.9.3</w:t>
      </w:r>
      <w:r w:rsidRPr="00BE78CA">
        <w:tab/>
        <w:t>Uncertainty in New Zealand’s 2019 estimates for the land use category</w:t>
      </w:r>
      <w:bookmarkEnd w:id="2584"/>
      <w:r w:rsidRPr="00BE78CA">
        <w:t xml:space="preserve"> Other land (including land in transition)</w:t>
      </w:r>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p>
    <w:tbl>
      <w:tblPr>
        <w:tblW w:w="8505" w:type="dxa"/>
        <w:tblLook w:val="04A0" w:firstRow="1" w:lastRow="0" w:firstColumn="1" w:lastColumn="0" w:noHBand="0" w:noVBand="1"/>
      </w:tblPr>
      <w:tblGrid>
        <w:gridCol w:w="4718"/>
        <w:gridCol w:w="3844"/>
      </w:tblGrid>
      <w:tr w:rsidR="00333601" w:rsidRPr="00BE78CA" w14:paraId="30F1F2F7" w14:textId="77777777" w:rsidTr="00D5213D">
        <w:trPr>
          <w:trHeight w:val="285"/>
        </w:trPr>
        <w:tc>
          <w:tcPr>
            <w:tcW w:w="4718" w:type="dxa"/>
            <w:tcBorders>
              <w:top w:val="single" w:sz="4" w:space="0" w:color="365F91"/>
              <w:bottom w:val="single" w:sz="4" w:space="0" w:color="365F91"/>
            </w:tcBorders>
            <w:shd w:val="clear" w:color="auto" w:fill="365F91"/>
            <w:noWrap/>
            <w:hideMark/>
          </w:tcPr>
          <w:p w14:paraId="75CA8374" w14:textId="77777777" w:rsidR="00333601" w:rsidRPr="00BE78CA" w:rsidRDefault="00333601" w:rsidP="00C26084">
            <w:pPr>
              <w:pStyle w:val="TableTextBold"/>
              <w:rPr>
                <w:noProof w:val="0"/>
                <w:color w:val="FFFFFF"/>
              </w:rPr>
            </w:pPr>
            <w:r w:rsidRPr="00BE78CA">
              <w:rPr>
                <w:noProof w:val="0"/>
                <w:color w:val="FFFFFF"/>
              </w:rPr>
              <w:t>Variable</w:t>
            </w:r>
          </w:p>
        </w:tc>
        <w:tc>
          <w:tcPr>
            <w:tcW w:w="3844" w:type="dxa"/>
            <w:tcBorders>
              <w:top w:val="single" w:sz="4" w:space="0" w:color="365F91"/>
              <w:bottom w:val="single" w:sz="4" w:space="0" w:color="365F91"/>
            </w:tcBorders>
            <w:shd w:val="clear" w:color="auto" w:fill="365F91"/>
            <w:noWrap/>
            <w:hideMark/>
          </w:tcPr>
          <w:p w14:paraId="7521E8EE" w14:textId="77777777" w:rsidR="00333601" w:rsidRPr="00BE78CA" w:rsidRDefault="00333601" w:rsidP="00C26084">
            <w:pPr>
              <w:pStyle w:val="TableTextBold"/>
              <w:jc w:val="center"/>
              <w:rPr>
                <w:noProof w:val="0"/>
                <w:color w:val="FFFFFF"/>
              </w:rPr>
            </w:pPr>
            <w:r w:rsidRPr="00BE78CA">
              <w:rPr>
                <w:noProof w:val="0"/>
                <w:color w:val="FFFFFF"/>
              </w:rPr>
              <w:t>Uncertainty at a 95% confidence interval (%)</w:t>
            </w:r>
          </w:p>
        </w:tc>
      </w:tr>
      <w:tr w:rsidR="00333601" w:rsidRPr="00BE78CA" w14:paraId="4611739F" w14:textId="77777777" w:rsidTr="00D5213D">
        <w:trPr>
          <w:trHeight w:val="285"/>
        </w:trPr>
        <w:tc>
          <w:tcPr>
            <w:tcW w:w="4718" w:type="dxa"/>
            <w:tcBorders>
              <w:top w:val="single" w:sz="4" w:space="0" w:color="365F91"/>
              <w:bottom w:val="single" w:sz="4" w:space="0" w:color="365F91"/>
            </w:tcBorders>
            <w:noWrap/>
            <w:hideMark/>
          </w:tcPr>
          <w:p w14:paraId="4D02B4FD" w14:textId="77777777" w:rsidR="00333601" w:rsidRPr="00BE78CA" w:rsidRDefault="00333601" w:rsidP="00C26084">
            <w:pPr>
              <w:pStyle w:val="TableTextBold"/>
              <w:rPr>
                <w:noProof w:val="0"/>
              </w:rPr>
            </w:pPr>
            <w:r w:rsidRPr="00BE78CA">
              <w:rPr>
                <w:noProof w:val="0"/>
              </w:rPr>
              <w:t>Activity data</w:t>
            </w:r>
          </w:p>
        </w:tc>
        <w:tc>
          <w:tcPr>
            <w:tcW w:w="3844" w:type="dxa"/>
            <w:tcBorders>
              <w:top w:val="single" w:sz="4" w:space="0" w:color="365F91"/>
              <w:bottom w:val="single" w:sz="4" w:space="0" w:color="365F91"/>
            </w:tcBorders>
            <w:noWrap/>
            <w:hideMark/>
          </w:tcPr>
          <w:p w14:paraId="7BE61DC8" w14:textId="77777777" w:rsidR="00333601" w:rsidRPr="00BE78CA" w:rsidRDefault="00333601" w:rsidP="00C26084">
            <w:pPr>
              <w:pStyle w:val="TableTextBold"/>
              <w:tabs>
                <w:tab w:val="decimal" w:pos="362"/>
              </w:tabs>
              <w:jc w:val="center"/>
              <w:rPr>
                <w:noProof w:val="0"/>
              </w:rPr>
            </w:pPr>
          </w:p>
        </w:tc>
      </w:tr>
      <w:tr w:rsidR="00333601" w:rsidRPr="00BE78CA" w14:paraId="35EF8843" w14:textId="77777777" w:rsidTr="00D5213D">
        <w:trPr>
          <w:trHeight w:val="285"/>
        </w:trPr>
        <w:tc>
          <w:tcPr>
            <w:tcW w:w="4718" w:type="dxa"/>
            <w:tcBorders>
              <w:top w:val="single" w:sz="4" w:space="0" w:color="365F91"/>
              <w:bottom w:val="single" w:sz="4" w:space="0" w:color="365F91"/>
            </w:tcBorders>
            <w:noWrap/>
            <w:hideMark/>
          </w:tcPr>
          <w:p w14:paraId="268D7F3E" w14:textId="77777777" w:rsidR="00333601" w:rsidRPr="00BE78CA" w:rsidRDefault="00333601" w:rsidP="00C26084">
            <w:pPr>
              <w:pStyle w:val="TableText"/>
            </w:pPr>
            <w:r w:rsidRPr="00BE78CA">
              <w:t>Uncertainty in land area</w:t>
            </w:r>
          </w:p>
        </w:tc>
        <w:tc>
          <w:tcPr>
            <w:tcW w:w="3844" w:type="dxa"/>
            <w:tcBorders>
              <w:top w:val="single" w:sz="4" w:space="0" w:color="365F91"/>
              <w:bottom w:val="single" w:sz="4" w:space="0" w:color="365F91"/>
            </w:tcBorders>
            <w:noWrap/>
            <w:hideMark/>
          </w:tcPr>
          <w:p w14:paraId="1D573741" w14:textId="77777777" w:rsidR="00333601" w:rsidRPr="00BE78CA" w:rsidRDefault="00333601" w:rsidP="00C26084">
            <w:pPr>
              <w:pStyle w:val="TableText"/>
              <w:tabs>
                <w:tab w:val="decimal" w:pos="362"/>
              </w:tabs>
              <w:jc w:val="center"/>
            </w:pPr>
            <w:r w:rsidRPr="00BE78CA">
              <w:t>±22.0</w:t>
            </w:r>
          </w:p>
        </w:tc>
      </w:tr>
      <w:tr w:rsidR="00333601" w:rsidRPr="00BE78CA" w14:paraId="73571C49" w14:textId="77777777" w:rsidTr="00D5213D">
        <w:trPr>
          <w:trHeight w:val="285"/>
        </w:trPr>
        <w:tc>
          <w:tcPr>
            <w:tcW w:w="4718" w:type="dxa"/>
            <w:tcBorders>
              <w:top w:val="single" w:sz="4" w:space="0" w:color="365F91"/>
              <w:bottom w:val="single" w:sz="4" w:space="0" w:color="365F91"/>
            </w:tcBorders>
            <w:noWrap/>
            <w:hideMark/>
          </w:tcPr>
          <w:p w14:paraId="414B4F67" w14:textId="77777777" w:rsidR="00333601" w:rsidRPr="00BE78CA" w:rsidRDefault="00333601" w:rsidP="00C26084">
            <w:pPr>
              <w:pStyle w:val="TableTextBold"/>
              <w:rPr>
                <w:noProof w:val="0"/>
              </w:rPr>
            </w:pPr>
            <w:r w:rsidRPr="00BE78CA">
              <w:rPr>
                <w:noProof w:val="0"/>
              </w:rPr>
              <w:t>Emission factors</w:t>
            </w:r>
          </w:p>
        </w:tc>
        <w:tc>
          <w:tcPr>
            <w:tcW w:w="3844" w:type="dxa"/>
            <w:tcBorders>
              <w:top w:val="single" w:sz="4" w:space="0" w:color="365F91"/>
              <w:bottom w:val="single" w:sz="4" w:space="0" w:color="365F91"/>
            </w:tcBorders>
            <w:noWrap/>
            <w:hideMark/>
          </w:tcPr>
          <w:p w14:paraId="0131ECD3" w14:textId="77777777" w:rsidR="00333601" w:rsidRPr="00BE78CA" w:rsidRDefault="00333601" w:rsidP="00C26084">
            <w:pPr>
              <w:pStyle w:val="TableTextBold"/>
              <w:tabs>
                <w:tab w:val="decimal" w:pos="362"/>
              </w:tabs>
              <w:jc w:val="center"/>
              <w:rPr>
                <w:noProof w:val="0"/>
              </w:rPr>
            </w:pPr>
          </w:p>
        </w:tc>
      </w:tr>
      <w:tr w:rsidR="00333601" w:rsidRPr="00BE78CA" w14:paraId="3C320C99" w14:textId="77777777" w:rsidTr="00D5213D">
        <w:trPr>
          <w:trHeight w:val="285"/>
        </w:trPr>
        <w:tc>
          <w:tcPr>
            <w:tcW w:w="4718" w:type="dxa"/>
            <w:tcBorders>
              <w:top w:val="single" w:sz="4" w:space="0" w:color="365F91"/>
              <w:bottom w:val="single" w:sz="4" w:space="0" w:color="365F91"/>
            </w:tcBorders>
            <w:noWrap/>
            <w:hideMark/>
          </w:tcPr>
          <w:p w14:paraId="6FE52137" w14:textId="77777777" w:rsidR="00333601" w:rsidRPr="00BE78CA" w:rsidRDefault="00333601" w:rsidP="00C26084">
            <w:pPr>
              <w:pStyle w:val="TableText"/>
            </w:pPr>
            <w:r w:rsidRPr="00BE78CA">
              <w:t>Uncertainty in biomass carbon stocks</w:t>
            </w:r>
          </w:p>
        </w:tc>
        <w:tc>
          <w:tcPr>
            <w:tcW w:w="3844" w:type="dxa"/>
            <w:tcBorders>
              <w:top w:val="single" w:sz="4" w:space="0" w:color="365F91"/>
              <w:bottom w:val="single" w:sz="4" w:space="0" w:color="365F91"/>
            </w:tcBorders>
            <w:noWrap/>
            <w:hideMark/>
          </w:tcPr>
          <w:p w14:paraId="44383ABC" w14:textId="77777777" w:rsidR="00333601" w:rsidRPr="00BE78CA" w:rsidRDefault="00333601" w:rsidP="00C26084">
            <w:pPr>
              <w:pStyle w:val="TableText"/>
              <w:tabs>
                <w:tab w:val="decimal" w:pos="362"/>
              </w:tabs>
              <w:jc w:val="center"/>
            </w:pPr>
            <w:r w:rsidRPr="00BE78CA">
              <w:t>±75.0</w:t>
            </w:r>
          </w:p>
        </w:tc>
      </w:tr>
      <w:tr w:rsidR="00333601" w:rsidRPr="00BE78CA" w14:paraId="32F3CD0F" w14:textId="77777777" w:rsidTr="00D5213D">
        <w:trPr>
          <w:trHeight w:val="285"/>
        </w:trPr>
        <w:tc>
          <w:tcPr>
            <w:tcW w:w="4718" w:type="dxa"/>
            <w:tcBorders>
              <w:top w:val="single" w:sz="4" w:space="0" w:color="365F91"/>
              <w:bottom w:val="single" w:sz="4" w:space="0" w:color="365F91"/>
            </w:tcBorders>
            <w:noWrap/>
            <w:hideMark/>
          </w:tcPr>
          <w:p w14:paraId="671A1C4D" w14:textId="77777777" w:rsidR="00333601" w:rsidRPr="00BE78CA" w:rsidRDefault="00333601" w:rsidP="00C26084">
            <w:pPr>
              <w:pStyle w:val="TableText"/>
            </w:pPr>
            <w:r w:rsidRPr="00BE78CA">
              <w:t>Uncertainty in soil carbon stocks</w:t>
            </w:r>
          </w:p>
        </w:tc>
        <w:tc>
          <w:tcPr>
            <w:tcW w:w="3844" w:type="dxa"/>
            <w:tcBorders>
              <w:top w:val="single" w:sz="4" w:space="0" w:color="365F91"/>
              <w:bottom w:val="single" w:sz="4" w:space="0" w:color="365F91"/>
            </w:tcBorders>
            <w:noWrap/>
            <w:hideMark/>
          </w:tcPr>
          <w:p w14:paraId="6FBCA431" w14:textId="77777777" w:rsidR="00333601" w:rsidRPr="00BE78CA" w:rsidRDefault="00333601" w:rsidP="00C26084">
            <w:pPr>
              <w:pStyle w:val="TableText"/>
              <w:tabs>
                <w:tab w:val="decimal" w:pos="362"/>
              </w:tabs>
              <w:jc w:val="center"/>
            </w:pPr>
            <w:r w:rsidRPr="00BE78CA">
              <w:t>±70.7</w:t>
            </w:r>
          </w:p>
        </w:tc>
      </w:tr>
      <w:tr w:rsidR="00333601" w:rsidRPr="00BE78CA" w14:paraId="00940FAA" w14:textId="77777777" w:rsidTr="00D5213D">
        <w:trPr>
          <w:trHeight w:val="285"/>
        </w:trPr>
        <w:tc>
          <w:tcPr>
            <w:tcW w:w="4718" w:type="dxa"/>
            <w:tcBorders>
              <w:top w:val="single" w:sz="4" w:space="0" w:color="365F91"/>
              <w:bottom w:val="single" w:sz="4" w:space="0" w:color="365F91"/>
            </w:tcBorders>
            <w:noWrap/>
            <w:hideMark/>
          </w:tcPr>
          <w:p w14:paraId="4E0E8999" w14:textId="77777777" w:rsidR="00333601" w:rsidRPr="00BE78CA" w:rsidRDefault="00333601" w:rsidP="00C26084">
            <w:pPr>
              <w:pStyle w:val="Tableboldblue"/>
              <w:jc w:val="right"/>
            </w:pPr>
            <w:r w:rsidRPr="00BE78CA">
              <w:t>Uncertainty introduced into net emissions for LULUCF</w:t>
            </w:r>
          </w:p>
        </w:tc>
        <w:tc>
          <w:tcPr>
            <w:tcW w:w="3844" w:type="dxa"/>
            <w:tcBorders>
              <w:top w:val="single" w:sz="4" w:space="0" w:color="365F91"/>
              <w:bottom w:val="single" w:sz="4" w:space="0" w:color="365F91"/>
            </w:tcBorders>
            <w:noWrap/>
            <w:hideMark/>
          </w:tcPr>
          <w:p w14:paraId="1EC1818F" w14:textId="77777777" w:rsidR="00333601" w:rsidRPr="00BE78CA" w:rsidRDefault="00333601" w:rsidP="00C26084">
            <w:pPr>
              <w:pStyle w:val="Tableboldblue"/>
              <w:tabs>
                <w:tab w:val="decimal" w:pos="363"/>
              </w:tabs>
              <w:jc w:val="center"/>
            </w:pPr>
            <w:r w:rsidRPr="00BE78CA">
              <w:t>±0.1</w:t>
            </w:r>
          </w:p>
        </w:tc>
      </w:tr>
    </w:tbl>
    <w:p w14:paraId="4B298F86" w14:textId="77777777" w:rsidR="00333601" w:rsidRPr="00BE78CA" w:rsidRDefault="00333601" w:rsidP="00333601">
      <w:pPr>
        <w:pStyle w:val="Noteundertable"/>
      </w:pPr>
      <w:r w:rsidRPr="00BE78CA">
        <w:rPr>
          <w:b/>
        </w:rPr>
        <w:t>Note:</w:t>
      </w:r>
      <w:r w:rsidRPr="00BE78CA">
        <w:tab/>
        <w:t xml:space="preserve">The activity data and combined emission factor uncertainty are weighted values and have been calculated using equation 3.2 from IPCC General Guidance and Reporting (IPCC, 2006b). </w:t>
      </w:r>
    </w:p>
    <w:p w14:paraId="1473EC50" w14:textId="77777777" w:rsidR="00333601" w:rsidRPr="00BE78CA" w:rsidRDefault="00333601" w:rsidP="00333601">
      <w:pPr>
        <w:pStyle w:val="Heading3"/>
        <w:spacing w:before="280"/>
      </w:pPr>
      <w:r w:rsidRPr="00BE78CA">
        <w:t>6.9.4</w:t>
      </w:r>
      <w:r w:rsidRPr="00BE78CA">
        <w:tab/>
        <w:t>Category-specific QA/QC and verification</w:t>
      </w:r>
    </w:p>
    <w:p w14:paraId="3E3D75D4" w14:textId="77777777" w:rsidR="00333601" w:rsidRPr="00BE78CA" w:rsidRDefault="00333601" w:rsidP="00333601">
      <w:pPr>
        <w:pStyle w:val="BodyText"/>
      </w:pPr>
      <w:r w:rsidRPr="00BE78CA">
        <w:t>In the preparation of this inventory, the data for these emissions underwent Tier 1 quality checks.</w:t>
      </w:r>
    </w:p>
    <w:p w14:paraId="56DE2BC4" w14:textId="77777777" w:rsidR="00333601" w:rsidRPr="00BE78CA" w:rsidRDefault="00333601" w:rsidP="00333601">
      <w:pPr>
        <w:pStyle w:val="Heading3"/>
        <w:spacing w:before="280"/>
      </w:pPr>
      <w:r w:rsidRPr="00BE78CA">
        <w:t>6.9.5</w:t>
      </w:r>
      <w:r w:rsidRPr="00BE78CA">
        <w:tab/>
        <w:t>Category-specific recalculations</w:t>
      </w:r>
    </w:p>
    <w:p w14:paraId="2441F1AB" w14:textId="77777777" w:rsidR="00333601" w:rsidRPr="00BE78CA" w:rsidRDefault="00333601" w:rsidP="00333601">
      <w:pPr>
        <w:pStyle w:val="BodyText"/>
        <w:rPr>
          <w:spacing w:val="-2"/>
        </w:rPr>
      </w:pPr>
      <w:r w:rsidRPr="00BE78CA">
        <w:rPr>
          <w:spacing w:val="-2"/>
        </w:rPr>
        <w:t>The impact of recalculations on net CO</w:t>
      </w:r>
      <w:r w:rsidRPr="00BE78CA">
        <w:rPr>
          <w:spacing w:val="-2"/>
          <w:vertAlign w:val="subscript"/>
        </w:rPr>
        <w:t>2</w:t>
      </w:r>
      <w:r w:rsidRPr="00BE78CA">
        <w:rPr>
          <w:spacing w:val="-2"/>
        </w:rPr>
        <w:t xml:space="preserve">-e emission estimates for the </w:t>
      </w:r>
      <w:r w:rsidRPr="00BE78CA">
        <w:rPr>
          <w:i/>
          <w:spacing w:val="-2"/>
        </w:rPr>
        <w:t>Other land</w:t>
      </w:r>
      <w:r w:rsidRPr="00BE78CA">
        <w:rPr>
          <w:spacing w:val="-2"/>
        </w:rPr>
        <w:t xml:space="preserve"> category is shown in table 6.9.4. Recalculations were carried out for this category as a result of new activity resulting from improvements made to the land use maps as described in section 6.2.</w:t>
      </w:r>
    </w:p>
    <w:p w14:paraId="10E10371" w14:textId="77777777" w:rsidR="00333601" w:rsidRPr="00BE78CA" w:rsidRDefault="00333601" w:rsidP="00333601">
      <w:pPr>
        <w:pStyle w:val="Table"/>
      </w:pPr>
      <w:bookmarkStart w:id="2599" w:name="_Toc342470796"/>
      <w:bookmarkStart w:id="2600" w:name="_Toc352505036"/>
      <w:bookmarkStart w:id="2601" w:name="_Toc378853325"/>
      <w:bookmarkStart w:id="2602" w:name="_Toc391024123"/>
      <w:bookmarkStart w:id="2603" w:name="_Toc410028865"/>
      <w:bookmarkStart w:id="2604" w:name="_Toc414531493"/>
      <w:bookmarkStart w:id="2605" w:name="_Toc443645406"/>
      <w:bookmarkStart w:id="2606" w:name="_Toc474914625"/>
      <w:bookmarkStart w:id="2607" w:name="_Toc481751589"/>
      <w:bookmarkStart w:id="2608" w:name="_Toc522010646"/>
      <w:bookmarkStart w:id="2609" w:name="_Toc5269551"/>
      <w:bookmarkStart w:id="2610" w:name="_Toc33529425"/>
      <w:bookmarkStart w:id="2611" w:name="_Toc36224631"/>
      <w:bookmarkStart w:id="2612" w:name="_Toc65243628"/>
      <w:bookmarkStart w:id="2613" w:name="_Toc68786518"/>
      <w:bookmarkStart w:id="2614" w:name="_Toc195322672"/>
      <w:bookmarkStart w:id="2615" w:name="_Toc255466414"/>
      <w:bookmarkStart w:id="2616" w:name="_Toc261513221"/>
      <w:bookmarkStart w:id="2617" w:name="_Toc261513834"/>
      <w:bookmarkStart w:id="2618" w:name="_Toc280630306"/>
      <w:r w:rsidRPr="00BE78CA">
        <w:t>Table 6.9.4</w:t>
      </w:r>
      <w:r w:rsidRPr="00BE78CA">
        <w:rPr>
          <w:vertAlign w:val="superscript"/>
        </w:rPr>
        <w:tab/>
      </w:r>
      <w:r w:rsidRPr="00BE78CA">
        <w:t>Recalculations for New Zealand’s net emissions from the Other land category in 1990 and </w:t>
      </w:r>
      <w:bookmarkEnd w:id="2599"/>
      <w:bookmarkEnd w:id="2600"/>
      <w:bookmarkEnd w:id="2601"/>
      <w:bookmarkEnd w:id="2602"/>
      <w:bookmarkEnd w:id="2603"/>
      <w:bookmarkEnd w:id="2604"/>
      <w:bookmarkEnd w:id="2605"/>
      <w:bookmarkEnd w:id="2606"/>
      <w:bookmarkEnd w:id="2607"/>
      <w:r w:rsidRPr="00BE78CA">
        <w:t>2018</w:t>
      </w:r>
      <w:bookmarkEnd w:id="2608"/>
      <w:bookmarkEnd w:id="2609"/>
      <w:bookmarkEnd w:id="2610"/>
      <w:bookmarkEnd w:id="2611"/>
      <w:bookmarkEnd w:id="2612"/>
      <w:bookmarkEnd w:id="2613"/>
    </w:p>
    <w:tbl>
      <w:tblPr>
        <w:tblW w:w="8505" w:type="dxa"/>
        <w:tblLook w:val="04A0" w:firstRow="1" w:lastRow="0" w:firstColumn="1" w:lastColumn="0" w:noHBand="0" w:noVBand="1"/>
      </w:tblPr>
      <w:tblGrid>
        <w:gridCol w:w="1109"/>
        <w:gridCol w:w="1849"/>
        <w:gridCol w:w="1849"/>
        <w:gridCol w:w="1849"/>
        <w:gridCol w:w="1849"/>
      </w:tblGrid>
      <w:tr w:rsidR="00333601" w:rsidRPr="00BE78CA" w14:paraId="24106D45" w14:textId="77777777" w:rsidTr="00D5213D">
        <w:tc>
          <w:tcPr>
            <w:tcW w:w="652" w:type="pct"/>
            <w:vMerge w:val="restart"/>
            <w:tcBorders>
              <w:top w:val="single" w:sz="4" w:space="0" w:color="365F91"/>
            </w:tcBorders>
            <w:shd w:val="clear" w:color="auto" w:fill="365F91"/>
            <w:vAlign w:val="bottom"/>
          </w:tcPr>
          <w:p w14:paraId="234DC31F" w14:textId="77777777" w:rsidR="00333601" w:rsidRPr="00BE78CA" w:rsidRDefault="00333601" w:rsidP="00C26084">
            <w:pPr>
              <w:pStyle w:val="TableTextBold"/>
              <w:rPr>
                <w:noProof w:val="0"/>
                <w:color w:val="FFFFFF"/>
              </w:rPr>
            </w:pPr>
            <w:r w:rsidRPr="00BE78CA">
              <w:rPr>
                <w:noProof w:val="0"/>
                <w:color w:val="FFFFFF"/>
              </w:rPr>
              <w:t>Year</w:t>
            </w:r>
          </w:p>
        </w:tc>
        <w:tc>
          <w:tcPr>
            <w:tcW w:w="2174" w:type="pct"/>
            <w:gridSpan w:val="2"/>
            <w:tcBorders>
              <w:top w:val="single" w:sz="4" w:space="0" w:color="365F91"/>
            </w:tcBorders>
            <w:shd w:val="clear" w:color="auto" w:fill="365F91"/>
            <w:noWrap/>
          </w:tcPr>
          <w:p w14:paraId="79433128" w14:textId="77777777" w:rsidR="00333601" w:rsidRPr="00BE78CA" w:rsidRDefault="00333601" w:rsidP="00C26084">
            <w:pPr>
              <w:pStyle w:val="TableTextBold"/>
              <w:spacing w:after="0"/>
              <w:jc w:val="center"/>
              <w:rPr>
                <w:noProof w:val="0"/>
                <w:color w:val="FFFFFF"/>
              </w:rPr>
            </w:pPr>
            <w:r w:rsidRPr="00BE78CA">
              <w:rPr>
                <w:noProof w:val="0"/>
                <w:color w:val="FFFFFF"/>
              </w:rPr>
              <w:t>Net emissions (kt CO</w:t>
            </w:r>
            <w:r w:rsidRPr="00BE78CA">
              <w:rPr>
                <w:noProof w:val="0"/>
                <w:color w:val="FFFFFF"/>
                <w:vertAlign w:val="subscript"/>
              </w:rPr>
              <w:t>2</w:t>
            </w:r>
            <w:r w:rsidRPr="00BE78CA">
              <w:rPr>
                <w:noProof w:val="0"/>
                <w:color w:val="FFFFFF"/>
              </w:rPr>
              <w:t>-e)</w:t>
            </w:r>
          </w:p>
        </w:tc>
        <w:tc>
          <w:tcPr>
            <w:tcW w:w="2174" w:type="pct"/>
            <w:gridSpan w:val="2"/>
            <w:tcBorders>
              <w:top w:val="single" w:sz="4" w:space="0" w:color="365F91"/>
            </w:tcBorders>
            <w:shd w:val="clear" w:color="auto" w:fill="365F91"/>
          </w:tcPr>
          <w:p w14:paraId="21C1D4E1" w14:textId="77777777" w:rsidR="00333601" w:rsidRPr="00BE78CA" w:rsidRDefault="00333601" w:rsidP="00C26084">
            <w:pPr>
              <w:pStyle w:val="TableTextBold"/>
              <w:spacing w:after="0"/>
              <w:jc w:val="center"/>
              <w:rPr>
                <w:noProof w:val="0"/>
                <w:color w:val="FFFFFF"/>
              </w:rPr>
            </w:pPr>
            <w:r w:rsidRPr="00BE78CA">
              <w:rPr>
                <w:noProof w:val="0"/>
                <w:color w:val="FFFFFF"/>
              </w:rPr>
              <w:t>Change from the 2020 submission</w:t>
            </w:r>
          </w:p>
        </w:tc>
      </w:tr>
      <w:tr w:rsidR="00333601" w:rsidRPr="00BE78CA" w14:paraId="2742109A" w14:textId="77777777" w:rsidTr="00D5213D">
        <w:tc>
          <w:tcPr>
            <w:tcW w:w="652" w:type="pct"/>
            <w:vMerge/>
            <w:tcBorders>
              <w:bottom w:val="single" w:sz="4" w:space="0" w:color="365F91"/>
            </w:tcBorders>
            <w:shd w:val="clear" w:color="auto" w:fill="365F91"/>
          </w:tcPr>
          <w:p w14:paraId="253CA604" w14:textId="77777777" w:rsidR="00333601" w:rsidRPr="00BE78CA" w:rsidRDefault="00333601" w:rsidP="00C26084">
            <w:pPr>
              <w:pStyle w:val="TableText"/>
              <w:rPr>
                <w:color w:val="FFFFFF"/>
              </w:rPr>
            </w:pPr>
          </w:p>
        </w:tc>
        <w:tc>
          <w:tcPr>
            <w:tcW w:w="1087" w:type="pct"/>
            <w:tcBorders>
              <w:bottom w:val="single" w:sz="4" w:space="0" w:color="365F91"/>
            </w:tcBorders>
            <w:shd w:val="clear" w:color="auto" w:fill="365F91"/>
          </w:tcPr>
          <w:p w14:paraId="22B9B8E7" w14:textId="77777777" w:rsidR="00333601" w:rsidRPr="00BE78CA" w:rsidRDefault="00333601" w:rsidP="00C26084">
            <w:pPr>
              <w:pStyle w:val="TableTextBold"/>
              <w:spacing w:before="40"/>
              <w:jc w:val="center"/>
              <w:rPr>
                <w:noProof w:val="0"/>
                <w:color w:val="FFFFFF"/>
              </w:rPr>
            </w:pPr>
            <w:r w:rsidRPr="00BE78CA">
              <w:rPr>
                <w:noProof w:val="0"/>
                <w:color w:val="FFFFFF"/>
              </w:rPr>
              <w:t>2020 submission</w:t>
            </w:r>
          </w:p>
        </w:tc>
        <w:tc>
          <w:tcPr>
            <w:tcW w:w="1087" w:type="pct"/>
            <w:tcBorders>
              <w:bottom w:val="single" w:sz="4" w:space="0" w:color="365F91"/>
            </w:tcBorders>
            <w:shd w:val="clear" w:color="auto" w:fill="365F91"/>
          </w:tcPr>
          <w:p w14:paraId="49F73A67" w14:textId="77777777" w:rsidR="00333601" w:rsidRPr="00BE78CA" w:rsidRDefault="00333601" w:rsidP="00C26084">
            <w:pPr>
              <w:pStyle w:val="TableTextBold"/>
              <w:spacing w:before="40"/>
              <w:jc w:val="center"/>
              <w:rPr>
                <w:noProof w:val="0"/>
                <w:color w:val="FFFFFF"/>
              </w:rPr>
            </w:pPr>
            <w:r w:rsidRPr="00BE78CA">
              <w:rPr>
                <w:noProof w:val="0"/>
                <w:color w:val="FFFFFF"/>
              </w:rPr>
              <w:t>2021 submission</w:t>
            </w:r>
          </w:p>
        </w:tc>
        <w:tc>
          <w:tcPr>
            <w:tcW w:w="1087" w:type="pct"/>
            <w:tcBorders>
              <w:bottom w:val="single" w:sz="4" w:space="0" w:color="365F91"/>
            </w:tcBorders>
            <w:shd w:val="clear" w:color="auto" w:fill="365F91"/>
          </w:tcPr>
          <w:p w14:paraId="2C885C02" w14:textId="77777777" w:rsidR="00333601" w:rsidRPr="00BE78CA" w:rsidRDefault="00333601" w:rsidP="00C26084">
            <w:pPr>
              <w:pStyle w:val="TableTextBold"/>
              <w:spacing w:before="40"/>
              <w:jc w:val="center"/>
              <w:rPr>
                <w:noProof w:val="0"/>
                <w:color w:val="FFFFFF"/>
              </w:rPr>
            </w:pPr>
            <w:r w:rsidRPr="00BE78CA">
              <w:rPr>
                <w:noProof w:val="0"/>
                <w:color w:val="FFFFFF"/>
              </w:rPr>
              <w:t>(kt CO</w:t>
            </w:r>
            <w:r w:rsidRPr="00BE78CA">
              <w:rPr>
                <w:noProof w:val="0"/>
                <w:color w:val="FFFFFF"/>
                <w:vertAlign w:val="subscript"/>
              </w:rPr>
              <w:t>2</w:t>
            </w:r>
            <w:r w:rsidRPr="00BE78CA">
              <w:rPr>
                <w:noProof w:val="0"/>
                <w:color w:val="FFFFFF"/>
              </w:rPr>
              <w:t>-e)</w:t>
            </w:r>
          </w:p>
        </w:tc>
        <w:tc>
          <w:tcPr>
            <w:tcW w:w="1087" w:type="pct"/>
            <w:tcBorders>
              <w:bottom w:val="single" w:sz="4" w:space="0" w:color="365F91"/>
            </w:tcBorders>
            <w:shd w:val="clear" w:color="auto" w:fill="365F91"/>
          </w:tcPr>
          <w:p w14:paraId="063E835C" w14:textId="77777777" w:rsidR="00333601" w:rsidRPr="00BE78CA" w:rsidRDefault="00333601" w:rsidP="00C26084">
            <w:pPr>
              <w:pStyle w:val="TableTextBold"/>
              <w:spacing w:before="40"/>
              <w:jc w:val="center"/>
              <w:rPr>
                <w:noProof w:val="0"/>
                <w:color w:val="FFFFFF"/>
              </w:rPr>
            </w:pPr>
            <w:r w:rsidRPr="00BE78CA">
              <w:rPr>
                <w:noProof w:val="0"/>
                <w:color w:val="FFFFFF"/>
              </w:rPr>
              <w:t>(%)</w:t>
            </w:r>
          </w:p>
        </w:tc>
      </w:tr>
      <w:tr w:rsidR="00333601" w:rsidRPr="00BE78CA" w14:paraId="285ED2EA" w14:textId="77777777" w:rsidTr="00D5213D">
        <w:tc>
          <w:tcPr>
            <w:tcW w:w="652" w:type="pct"/>
            <w:tcBorders>
              <w:top w:val="single" w:sz="4" w:space="0" w:color="365F91"/>
              <w:bottom w:val="single" w:sz="4" w:space="0" w:color="365F91"/>
            </w:tcBorders>
          </w:tcPr>
          <w:p w14:paraId="2C83B5EB" w14:textId="77777777" w:rsidR="00333601" w:rsidRPr="00BE78CA" w:rsidRDefault="00333601" w:rsidP="00C26084">
            <w:pPr>
              <w:pStyle w:val="TableText"/>
            </w:pPr>
            <w:r w:rsidRPr="00BE78CA">
              <w:t xml:space="preserve">1990 </w:t>
            </w:r>
          </w:p>
        </w:tc>
        <w:tc>
          <w:tcPr>
            <w:tcW w:w="1087" w:type="pct"/>
            <w:tcBorders>
              <w:top w:val="single" w:sz="4" w:space="0" w:color="365F91"/>
              <w:bottom w:val="single" w:sz="4" w:space="0" w:color="365F91"/>
            </w:tcBorders>
          </w:tcPr>
          <w:p w14:paraId="53E6C745" w14:textId="77777777" w:rsidR="00333601" w:rsidRPr="00BE78CA" w:rsidRDefault="00333601" w:rsidP="00C26084">
            <w:pPr>
              <w:pStyle w:val="TableText"/>
              <w:tabs>
                <w:tab w:val="decimal" w:pos="458"/>
              </w:tabs>
              <w:jc w:val="center"/>
            </w:pPr>
            <w:r w:rsidRPr="00BE78CA">
              <w:t xml:space="preserve">12.9 </w:t>
            </w:r>
          </w:p>
        </w:tc>
        <w:tc>
          <w:tcPr>
            <w:tcW w:w="1087" w:type="pct"/>
            <w:tcBorders>
              <w:top w:val="single" w:sz="4" w:space="0" w:color="365F91"/>
              <w:bottom w:val="single" w:sz="4" w:space="0" w:color="365F91"/>
            </w:tcBorders>
          </w:tcPr>
          <w:p w14:paraId="5777862B" w14:textId="77777777" w:rsidR="00333601" w:rsidRPr="00BE78CA" w:rsidRDefault="00333601" w:rsidP="00C26084">
            <w:pPr>
              <w:pStyle w:val="TableText"/>
              <w:tabs>
                <w:tab w:val="decimal" w:pos="458"/>
              </w:tabs>
              <w:jc w:val="center"/>
            </w:pPr>
            <w:r w:rsidRPr="00BE78CA">
              <w:t xml:space="preserve">12.8 </w:t>
            </w:r>
          </w:p>
        </w:tc>
        <w:tc>
          <w:tcPr>
            <w:tcW w:w="1087" w:type="pct"/>
            <w:tcBorders>
              <w:top w:val="single" w:sz="4" w:space="0" w:color="365F91"/>
              <w:bottom w:val="single" w:sz="4" w:space="0" w:color="365F91"/>
            </w:tcBorders>
          </w:tcPr>
          <w:p w14:paraId="1F63133D" w14:textId="77777777" w:rsidR="00333601" w:rsidRPr="00BE78CA" w:rsidRDefault="00333601" w:rsidP="00C26084">
            <w:pPr>
              <w:pStyle w:val="TableText"/>
              <w:tabs>
                <w:tab w:val="decimal" w:pos="458"/>
              </w:tabs>
              <w:jc w:val="center"/>
            </w:pPr>
            <w:r w:rsidRPr="00BE78CA">
              <w:t xml:space="preserve">–0.2 </w:t>
            </w:r>
          </w:p>
        </w:tc>
        <w:tc>
          <w:tcPr>
            <w:tcW w:w="1087" w:type="pct"/>
            <w:tcBorders>
              <w:top w:val="single" w:sz="4" w:space="0" w:color="365F91"/>
              <w:bottom w:val="single" w:sz="4" w:space="0" w:color="365F91"/>
            </w:tcBorders>
          </w:tcPr>
          <w:p w14:paraId="36E5C90D" w14:textId="77777777" w:rsidR="00333601" w:rsidRPr="00BE78CA" w:rsidRDefault="00333601" w:rsidP="00C26084">
            <w:pPr>
              <w:pStyle w:val="TableText"/>
              <w:tabs>
                <w:tab w:val="decimal" w:pos="458"/>
              </w:tabs>
              <w:jc w:val="center"/>
            </w:pPr>
            <w:r w:rsidRPr="00BE78CA">
              <w:t>–1.3</w:t>
            </w:r>
          </w:p>
        </w:tc>
      </w:tr>
      <w:tr w:rsidR="00333601" w:rsidRPr="00BE78CA" w14:paraId="4B2CD5DF" w14:textId="77777777" w:rsidTr="00D5213D">
        <w:tc>
          <w:tcPr>
            <w:tcW w:w="652" w:type="pct"/>
            <w:tcBorders>
              <w:top w:val="single" w:sz="4" w:space="0" w:color="365F91"/>
              <w:bottom w:val="single" w:sz="4" w:space="0" w:color="365F91"/>
            </w:tcBorders>
          </w:tcPr>
          <w:p w14:paraId="58CE10A8" w14:textId="77777777" w:rsidR="00333601" w:rsidRPr="00BE78CA" w:rsidRDefault="00333601" w:rsidP="00C26084">
            <w:pPr>
              <w:pStyle w:val="TableText"/>
            </w:pPr>
            <w:r w:rsidRPr="00BE78CA">
              <w:t>2018</w:t>
            </w:r>
          </w:p>
        </w:tc>
        <w:tc>
          <w:tcPr>
            <w:tcW w:w="1087" w:type="pct"/>
            <w:tcBorders>
              <w:top w:val="single" w:sz="4" w:space="0" w:color="365F91"/>
              <w:bottom w:val="single" w:sz="4" w:space="0" w:color="365F91"/>
            </w:tcBorders>
          </w:tcPr>
          <w:p w14:paraId="7461D8F7" w14:textId="77777777" w:rsidR="00333601" w:rsidRPr="00BE78CA" w:rsidRDefault="00333601" w:rsidP="00C26084">
            <w:pPr>
              <w:pStyle w:val="TableText"/>
              <w:tabs>
                <w:tab w:val="decimal" w:pos="458"/>
              </w:tabs>
              <w:jc w:val="center"/>
            </w:pPr>
            <w:r w:rsidRPr="00BE78CA">
              <w:t xml:space="preserve">51.6 </w:t>
            </w:r>
          </w:p>
        </w:tc>
        <w:tc>
          <w:tcPr>
            <w:tcW w:w="1087" w:type="pct"/>
            <w:tcBorders>
              <w:top w:val="single" w:sz="4" w:space="0" w:color="365F91"/>
              <w:bottom w:val="single" w:sz="4" w:space="0" w:color="365F91"/>
            </w:tcBorders>
          </w:tcPr>
          <w:p w14:paraId="68CD770F" w14:textId="77777777" w:rsidR="00333601" w:rsidRPr="00BE78CA" w:rsidRDefault="00333601" w:rsidP="00C26084">
            <w:pPr>
              <w:pStyle w:val="TableText"/>
              <w:tabs>
                <w:tab w:val="decimal" w:pos="458"/>
              </w:tabs>
              <w:jc w:val="center"/>
            </w:pPr>
            <w:r w:rsidRPr="00BE78CA">
              <w:t xml:space="preserve">52.5 </w:t>
            </w:r>
          </w:p>
        </w:tc>
        <w:tc>
          <w:tcPr>
            <w:tcW w:w="1087" w:type="pct"/>
            <w:tcBorders>
              <w:top w:val="single" w:sz="4" w:space="0" w:color="365F91"/>
              <w:bottom w:val="single" w:sz="4" w:space="0" w:color="365F91"/>
            </w:tcBorders>
          </w:tcPr>
          <w:p w14:paraId="2D5D7A0E" w14:textId="77777777" w:rsidR="00333601" w:rsidRPr="00BE78CA" w:rsidRDefault="00333601" w:rsidP="00C26084">
            <w:pPr>
              <w:pStyle w:val="TableText"/>
              <w:tabs>
                <w:tab w:val="decimal" w:pos="458"/>
              </w:tabs>
              <w:jc w:val="center"/>
            </w:pPr>
            <w:r w:rsidRPr="00BE78CA">
              <w:t xml:space="preserve">0.9 </w:t>
            </w:r>
          </w:p>
        </w:tc>
        <w:tc>
          <w:tcPr>
            <w:tcW w:w="1087" w:type="pct"/>
            <w:tcBorders>
              <w:top w:val="single" w:sz="4" w:space="0" w:color="365F91"/>
              <w:bottom w:val="single" w:sz="4" w:space="0" w:color="365F91"/>
            </w:tcBorders>
          </w:tcPr>
          <w:p w14:paraId="76202B5F" w14:textId="77777777" w:rsidR="00333601" w:rsidRPr="00BE78CA" w:rsidRDefault="00333601" w:rsidP="00C26084">
            <w:pPr>
              <w:pStyle w:val="TableText"/>
              <w:tabs>
                <w:tab w:val="decimal" w:pos="458"/>
              </w:tabs>
              <w:jc w:val="center"/>
            </w:pPr>
            <w:r w:rsidRPr="00BE78CA">
              <w:t>+1.7</w:t>
            </w:r>
          </w:p>
        </w:tc>
      </w:tr>
    </w:tbl>
    <w:p w14:paraId="12159751" w14:textId="77777777" w:rsidR="00333601" w:rsidRPr="00BE78CA" w:rsidRDefault="00333601" w:rsidP="00333601">
      <w:pPr>
        <w:pStyle w:val="Heading3"/>
      </w:pPr>
      <w:r w:rsidRPr="00BE78CA">
        <w:t>6.9.6</w:t>
      </w:r>
      <w:r w:rsidRPr="00BE78CA">
        <w:tab/>
        <w:t>Category-specific planned improvements</w:t>
      </w:r>
    </w:p>
    <w:p w14:paraId="615AC6F4" w14:textId="77777777" w:rsidR="00333601" w:rsidRPr="00BE78CA" w:rsidRDefault="00333601" w:rsidP="00333601">
      <w:pPr>
        <w:pStyle w:val="BodyText"/>
      </w:pPr>
      <w:r w:rsidRPr="00BE78CA">
        <w:t xml:space="preserve">No improvements are planned for the </w:t>
      </w:r>
      <w:r w:rsidRPr="00BE78CA">
        <w:rPr>
          <w:i/>
          <w:iCs/>
        </w:rPr>
        <w:t>Other land</w:t>
      </w:r>
      <w:r w:rsidRPr="00BE78CA">
        <w:t xml:space="preserve"> category for the next submission.</w:t>
      </w:r>
    </w:p>
    <w:p w14:paraId="728F783F" w14:textId="77777777" w:rsidR="00333601" w:rsidRPr="00BE78CA" w:rsidRDefault="00333601" w:rsidP="00333601">
      <w:pPr>
        <w:pStyle w:val="Heading2"/>
      </w:pPr>
      <w:bookmarkStart w:id="2619" w:name="_Toc414531323"/>
      <w:bookmarkStart w:id="2620" w:name="_Toc474335465"/>
      <w:bookmarkStart w:id="2621" w:name="_Toc481751405"/>
      <w:bookmarkStart w:id="2622" w:name="_Toc522013957"/>
      <w:bookmarkStart w:id="2623" w:name="_Toc5269382"/>
      <w:bookmarkStart w:id="2624" w:name="_Toc36224422"/>
      <w:bookmarkStart w:id="2625" w:name="_Toc68786342"/>
      <w:bookmarkEnd w:id="2614"/>
      <w:bookmarkEnd w:id="2615"/>
      <w:bookmarkEnd w:id="2616"/>
      <w:bookmarkEnd w:id="2617"/>
      <w:bookmarkEnd w:id="2618"/>
      <w:r w:rsidRPr="00BE78CA">
        <w:t>6.10</w:t>
      </w:r>
      <w:r w:rsidRPr="00BE78CA">
        <w:tab/>
        <w:t>Harvested wood products (CRF 4G)</w:t>
      </w:r>
      <w:bookmarkEnd w:id="2619"/>
      <w:bookmarkEnd w:id="2620"/>
      <w:bookmarkEnd w:id="2621"/>
      <w:bookmarkEnd w:id="2622"/>
      <w:bookmarkEnd w:id="2623"/>
      <w:bookmarkEnd w:id="2624"/>
      <w:bookmarkEnd w:id="2625"/>
    </w:p>
    <w:p w14:paraId="05050186" w14:textId="77777777" w:rsidR="00333601" w:rsidRPr="00BE78CA" w:rsidRDefault="00333601" w:rsidP="00333601">
      <w:pPr>
        <w:pStyle w:val="Heading3"/>
        <w:spacing w:before="160"/>
      </w:pPr>
      <w:r w:rsidRPr="00BE78CA">
        <w:t>6.10.1</w:t>
      </w:r>
      <w:r w:rsidRPr="00BE78CA">
        <w:tab/>
        <w:t>Description</w:t>
      </w:r>
    </w:p>
    <w:p w14:paraId="2C18363E" w14:textId="77777777" w:rsidR="00333601" w:rsidRPr="00BE78CA" w:rsidRDefault="00333601" w:rsidP="00333601">
      <w:pPr>
        <w:pStyle w:val="BodyText"/>
      </w:pPr>
      <w:r w:rsidRPr="00BE78CA">
        <w:t xml:space="preserve">In 2019, the net emissions from </w:t>
      </w:r>
      <w:r w:rsidRPr="00BE78CA">
        <w:rPr>
          <w:i/>
        </w:rPr>
        <w:t xml:space="preserve">Harvested wood products </w:t>
      </w:r>
      <w:r w:rsidRPr="00BE78CA">
        <w:t>were –10,067.3 kt CO</w:t>
      </w:r>
      <w:r w:rsidRPr="00BE78CA">
        <w:rPr>
          <w:vertAlign w:val="subscript"/>
        </w:rPr>
        <w:t>2</w:t>
      </w:r>
      <w:r w:rsidRPr="00BE78CA">
        <w:t xml:space="preserve">-e. This </w:t>
      </w:r>
      <w:r w:rsidRPr="00BE78CA">
        <w:br/>
        <w:t>is –7,994.4 kt CO</w:t>
      </w:r>
      <w:r w:rsidRPr="00BE78CA">
        <w:rPr>
          <w:vertAlign w:val="subscript"/>
        </w:rPr>
        <w:t>2</w:t>
      </w:r>
      <w:r w:rsidRPr="00BE78CA">
        <w:noBreakHyphen/>
        <w:t>e (385.7 per cent) lower than the 1990 level of –2,072.9 kt CO</w:t>
      </w:r>
      <w:r w:rsidRPr="00BE78CA">
        <w:rPr>
          <w:vertAlign w:val="subscript"/>
        </w:rPr>
        <w:t>2</w:t>
      </w:r>
      <w:r w:rsidRPr="00BE78CA">
        <w:noBreakHyphen/>
        <w:t xml:space="preserve">e. The decrease in emissions in the </w:t>
      </w:r>
      <w:r w:rsidRPr="00BE78CA">
        <w:rPr>
          <w:i/>
        </w:rPr>
        <w:t xml:space="preserve">Harvested wood products </w:t>
      </w:r>
      <w:r w:rsidRPr="00BE78CA">
        <w:t>category</w:t>
      </w:r>
      <w:r w:rsidRPr="00BE78CA">
        <w:rPr>
          <w:i/>
        </w:rPr>
        <w:t xml:space="preserve"> </w:t>
      </w:r>
      <w:r w:rsidRPr="00BE78CA">
        <w:t>is driven by the increase in harvesting and production of roundwood that has occurred since 1990, as shown in figure 6.10.1.</w:t>
      </w:r>
    </w:p>
    <w:p w14:paraId="37E5A3B8" w14:textId="77777777" w:rsidR="00333601" w:rsidRPr="00BE78CA" w:rsidRDefault="00333601" w:rsidP="00333601">
      <w:pPr>
        <w:pStyle w:val="BodyText"/>
      </w:pPr>
      <w:r w:rsidRPr="00BE78CA">
        <w:t xml:space="preserve">Net emissions in the </w:t>
      </w:r>
      <w:r w:rsidRPr="00BE78CA">
        <w:rPr>
          <w:i/>
        </w:rPr>
        <w:t xml:space="preserve">Harvested wood products </w:t>
      </w:r>
      <w:r w:rsidRPr="00BE78CA">
        <w:t xml:space="preserve">category are driven by changes in the carbon stock of this pool. The </w:t>
      </w:r>
      <w:r w:rsidRPr="00BE78CA">
        <w:rPr>
          <w:i/>
        </w:rPr>
        <w:t>Harvested wood products pool</w:t>
      </w:r>
      <w:r w:rsidRPr="00BE78CA">
        <w:t xml:space="preserve"> gains carbon as new </w:t>
      </w:r>
      <w:r w:rsidRPr="00BE78CA">
        <w:rPr>
          <w:i/>
        </w:rPr>
        <w:t>Harvested wood products</w:t>
      </w:r>
      <w:r w:rsidRPr="00BE78CA">
        <w:t xml:space="preserve"> are created and loses carbon as these products are discarded.</w:t>
      </w:r>
    </w:p>
    <w:p w14:paraId="7FC69059" w14:textId="77777777" w:rsidR="00333601" w:rsidRPr="00BE78CA" w:rsidRDefault="00333601" w:rsidP="00333601">
      <w:pPr>
        <w:pStyle w:val="Figure"/>
        <w:spacing w:after="0"/>
      </w:pPr>
      <w:bookmarkStart w:id="2626" w:name="_Toc405448097"/>
      <w:bookmarkStart w:id="2627" w:name="_Toc414531629"/>
      <w:bookmarkStart w:id="2628" w:name="_Toc474914653"/>
      <w:bookmarkStart w:id="2629" w:name="_Toc481752035"/>
      <w:bookmarkStart w:id="2630" w:name="_Toc522010713"/>
      <w:bookmarkStart w:id="2631" w:name="_Toc33529488"/>
      <w:bookmarkStart w:id="2632" w:name="_Toc36292818"/>
      <w:bookmarkStart w:id="2633" w:name="_Toc65244110"/>
      <w:bookmarkStart w:id="2634" w:name="_Toc68786683"/>
      <w:bookmarkStart w:id="2635" w:name="_Toc5269715"/>
      <w:r w:rsidRPr="00BE78CA">
        <w:lastRenderedPageBreak/>
        <w:t>Figure 6.10.1</w:t>
      </w:r>
      <w:r w:rsidRPr="00BE78CA">
        <w:tab/>
        <w:t>Volume of roundwood produced and exported between 1990 to </w:t>
      </w:r>
      <w:bookmarkEnd w:id="2626"/>
      <w:bookmarkEnd w:id="2627"/>
      <w:bookmarkEnd w:id="2628"/>
      <w:bookmarkEnd w:id="2629"/>
      <w:bookmarkEnd w:id="2630"/>
      <w:r w:rsidRPr="00BE78CA">
        <w:t>2019</w:t>
      </w:r>
      <w:bookmarkEnd w:id="2631"/>
      <w:bookmarkEnd w:id="2632"/>
      <w:bookmarkEnd w:id="2633"/>
      <w:bookmarkEnd w:id="2634"/>
    </w:p>
    <w:bookmarkEnd w:id="2635"/>
    <w:p w14:paraId="7F9CA39C" w14:textId="77777777" w:rsidR="00333601" w:rsidRPr="00BE78CA" w:rsidRDefault="00333601" w:rsidP="00333601">
      <w:pPr>
        <w:pStyle w:val="BodyText"/>
        <w:spacing w:before="0" w:after="0"/>
      </w:pPr>
      <w:r w:rsidRPr="00BE78CA">
        <w:rPr>
          <w:noProof/>
        </w:rPr>
        <w:drawing>
          <wp:inline distT="0" distB="0" distL="0" distR="0" wp14:anchorId="114B3C09" wp14:editId="4BF75DA6">
            <wp:extent cx="5400675" cy="3312544"/>
            <wp:effectExtent l="0" t="0" r="0" b="2540"/>
            <wp:docPr id="43" name="Chart 43">
              <a:extLst xmlns:a="http://schemas.openxmlformats.org/drawingml/2006/main">
                <a:ext uri="{FF2B5EF4-FFF2-40B4-BE49-F238E27FC236}">
                  <a16:creationId xmlns:a16="http://schemas.microsoft.com/office/drawing/2014/main"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0"/>
              </a:graphicData>
            </a:graphic>
          </wp:inline>
        </w:drawing>
      </w:r>
    </w:p>
    <w:p w14:paraId="373D8C7C" w14:textId="77777777" w:rsidR="00333601" w:rsidRPr="00BE78CA" w:rsidRDefault="00333601" w:rsidP="00D5213D">
      <w:pPr>
        <w:pStyle w:val="BodyText"/>
        <w:spacing w:before="0"/>
      </w:pPr>
      <w:r w:rsidRPr="00BE78CA">
        <w:t>New Zealand has a large planted forest estate that provides the majority of wood products consumed domestically and exported in either product or raw material form. These forests were planted from the 1920s to supplement and eventually replace the harvesting and deforestation of natural forests. Forest planting from the 1960s provides a resource specifically established to provide products to the export market. New Zealand currently processes around 40 per cent of its annual harvest. The remaining harvest is exported in raw material form. New Zealand is currently the largest exporter of industrial roundwood followed by the Russian Federation and United States of America (Food and Agriculture Organization, 2019). New Zealand’s planted forests are dominated by radiata pine, which is used in a wide range of applications including timber-frame construction, packaging, plywood, medium density fibreboard (MDF), posts and poles and mechanical and chemical pulping (see CRF table 4.Gs2).</w:t>
      </w:r>
    </w:p>
    <w:p w14:paraId="4F4351C7" w14:textId="77777777" w:rsidR="00333601" w:rsidRPr="00BE78CA" w:rsidRDefault="00333601" w:rsidP="00D5213D">
      <w:pPr>
        <w:pStyle w:val="BodyText"/>
      </w:pPr>
      <w:r w:rsidRPr="00BE78CA">
        <w:t xml:space="preserve">In 2019, </w:t>
      </w:r>
      <w:r w:rsidRPr="00BE78CA">
        <w:rPr>
          <w:i/>
        </w:rPr>
        <w:t>Harvested wood products</w:t>
      </w:r>
      <w:r w:rsidRPr="00BE78CA">
        <w:t xml:space="preserve"> was a key category (trend and level assessment).</w:t>
      </w:r>
    </w:p>
    <w:p w14:paraId="64A52C3D" w14:textId="77777777" w:rsidR="00333601" w:rsidRPr="00BE78CA" w:rsidRDefault="00333601" w:rsidP="00D5213D">
      <w:pPr>
        <w:pStyle w:val="Heading3"/>
      </w:pPr>
      <w:r w:rsidRPr="00BE78CA">
        <w:t>6.10.2</w:t>
      </w:r>
      <w:r w:rsidRPr="00BE78CA">
        <w:tab/>
        <w:t>Methodological issues</w:t>
      </w:r>
    </w:p>
    <w:p w14:paraId="2F9EFE0C" w14:textId="77777777" w:rsidR="00333601" w:rsidRPr="00BE78CA" w:rsidRDefault="00333601" w:rsidP="00D5213D">
      <w:pPr>
        <w:pStyle w:val="BodyText"/>
      </w:pPr>
      <w:r w:rsidRPr="00BE78CA">
        <w:t xml:space="preserve">New Zealand has selected the production approach to report </w:t>
      </w:r>
      <w:r w:rsidRPr="00BE78CA">
        <w:rPr>
          <w:i/>
        </w:rPr>
        <w:t>Harvested wood products</w:t>
      </w:r>
      <w:r w:rsidRPr="00BE78CA">
        <w:t xml:space="preserve"> in the National Inventory Report. To do this, New Zealand has adapted the default </w:t>
      </w:r>
      <w:r w:rsidRPr="00BE78CA">
        <w:rPr>
          <w:i/>
        </w:rPr>
        <w:t>Harvested wood products</w:t>
      </w:r>
      <w:r w:rsidRPr="00BE78CA">
        <w:t xml:space="preserve"> model and uses a Tier 2 method (section 12.2.1.2, IPCC, 2006a), which involves using country-specific activity data and parameters (Wakelin et al., 2020). </w:t>
      </w:r>
    </w:p>
    <w:p w14:paraId="0184DCB1" w14:textId="77777777" w:rsidR="00333601" w:rsidRPr="00BE78CA" w:rsidRDefault="00333601" w:rsidP="00D5213D">
      <w:pPr>
        <w:pStyle w:val="Heading5"/>
      </w:pPr>
      <w:r w:rsidRPr="00BE78CA">
        <w:t>Activity data</w:t>
      </w:r>
    </w:p>
    <w:p w14:paraId="61132CF8" w14:textId="77777777" w:rsidR="00333601" w:rsidRPr="00BE78CA" w:rsidRDefault="00333601" w:rsidP="00333601">
      <w:pPr>
        <w:pStyle w:val="BodyText"/>
      </w:pPr>
      <w:r w:rsidRPr="00BE78CA">
        <w:t xml:space="preserve">Activity data are from the Food and Agriculture Organization statistical database (FAOSTAT) that is provided to the Food and Agriculture Organization by the Ministry for Primary Industries. </w:t>
      </w:r>
    </w:p>
    <w:p w14:paraId="37B1088D" w14:textId="77777777" w:rsidR="00333601" w:rsidRPr="00BE78CA" w:rsidRDefault="00333601" w:rsidP="00333601">
      <w:pPr>
        <w:pStyle w:val="BodyText"/>
      </w:pPr>
      <w:r w:rsidRPr="00BE78CA">
        <w:t xml:space="preserve">Activity data for the period 1900 to 1960 are populated using the IPCC model method, which assumes that consumption is correlated with population growth. The default value for Oceania for the annual rate of increase for the period 1900 1960 was used by New Zealand. This information is used to initialise </w:t>
      </w:r>
      <w:r w:rsidRPr="00BE78CA">
        <w:rPr>
          <w:i/>
        </w:rPr>
        <w:t>Harvested wood products</w:t>
      </w:r>
      <w:r w:rsidRPr="00BE78CA">
        <w:t xml:space="preserve"> stocks as at 1 January 1990. </w:t>
      </w:r>
    </w:p>
    <w:p w14:paraId="1DA1E217" w14:textId="77777777" w:rsidR="00333601" w:rsidRPr="00BE78CA" w:rsidRDefault="00333601" w:rsidP="00D5213D">
      <w:pPr>
        <w:pStyle w:val="BodyText"/>
        <w:spacing w:after="100"/>
      </w:pPr>
      <w:r w:rsidRPr="00BE78CA">
        <w:lastRenderedPageBreak/>
        <w:t>A large proportion (over 60 per cent) of New Zealand’s harvest was exported as raw materials in the form of logs or wood chips in 2019 (figure 6.10.1) (Ministry for Primary Industries, 2019a). The FAOSTAT database provides data on the export quantity of raw materials but provides no information on the conversion of these materials to products or their expected half-lives. Research was completed in 2016 to provide information on harvested wood products from exported logs in New Zealand’s three main export markets (China, South Korea and India). This research provides activity data for the conversion of New Zealand-produced raw materials to harvested wood products in export markets (Ministry for Primary Industries, 2016). These data provide an improvement on the default assumption that exported raw materials were converted into products at the same rate as domestic production.</w:t>
      </w:r>
    </w:p>
    <w:p w14:paraId="666B502A" w14:textId="77777777" w:rsidR="00333601" w:rsidRPr="00BE78CA" w:rsidRDefault="00333601" w:rsidP="00D5213D">
      <w:pPr>
        <w:pStyle w:val="Heading5"/>
        <w:spacing w:before="180"/>
      </w:pPr>
      <w:r w:rsidRPr="00BE78CA">
        <w:t>Emission factors</w:t>
      </w:r>
    </w:p>
    <w:p w14:paraId="3DEF43DC" w14:textId="05B167D5" w:rsidR="00333601" w:rsidRPr="00BE78CA" w:rsidRDefault="00333601" w:rsidP="00D5213D">
      <w:pPr>
        <w:pStyle w:val="BodyText"/>
        <w:spacing w:before="100" w:after="100"/>
      </w:pPr>
      <w:r w:rsidRPr="00BE78CA">
        <w:t>The default wood carbon content value of 50 per cent, from table 12.4 of the 2006 IPCC Guidelines, is used in the harvested wood products model (IPCC, 2006a). This value is consistent with the planted forest model that uses a country-specific value of 50 per cent. A country-specific wood density value of 420 kilograms per square metre is used for sawnwood produced from coniferous species (Jones, 2005). This value is used to reflect coniferous species’ contribution to New Zealand roundwood making up around 98 per cent of</w:t>
      </w:r>
      <w:r w:rsidR="004C0A2A" w:rsidRPr="00BE78CA">
        <w:t> </w:t>
      </w:r>
      <w:r w:rsidRPr="00BE78CA">
        <w:t>annual harvest. A country-specific wood density value of 500 kilograms per square metre is</w:t>
      </w:r>
      <w:r w:rsidR="004C0A2A" w:rsidRPr="00BE78CA">
        <w:t> </w:t>
      </w:r>
      <w:r w:rsidRPr="00BE78CA">
        <w:t xml:space="preserve">used for sawnwood produced from non-coniferous species (Jones, 2005). Non-coniferous species (mainly </w:t>
      </w:r>
      <w:r w:rsidRPr="00BE78CA">
        <w:rPr>
          <w:i/>
        </w:rPr>
        <w:t>Eucalyptus</w:t>
      </w:r>
      <w:r w:rsidRPr="00BE78CA">
        <w:t xml:space="preserve"> species) make up around 2 per cent of annual harvest. The default IPCC bark factor (11 per cent; annex 4A.1, IPCC, 2006a) is used for conifers and is considered appropriate for New Zealand. Wood-based panels and paper products all use IPCC defaults because no country-specific value is available (see table 6.10.1).</w:t>
      </w:r>
    </w:p>
    <w:p w14:paraId="1F0B1847" w14:textId="77777777" w:rsidR="00333601" w:rsidRPr="00BE78CA" w:rsidRDefault="00333601" w:rsidP="00333601">
      <w:pPr>
        <w:pStyle w:val="Table"/>
      </w:pPr>
      <w:bookmarkStart w:id="2636" w:name="_Toc410028866"/>
      <w:bookmarkStart w:id="2637" w:name="_Toc414531494"/>
      <w:bookmarkStart w:id="2638" w:name="_Toc443645407"/>
      <w:bookmarkStart w:id="2639" w:name="_Toc474914626"/>
      <w:bookmarkStart w:id="2640" w:name="_Toc481751590"/>
      <w:bookmarkStart w:id="2641" w:name="_Toc522010647"/>
      <w:bookmarkStart w:id="2642" w:name="_Toc5269552"/>
      <w:bookmarkStart w:id="2643" w:name="_Toc33529426"/>
      <w:bookmarkStart w:id="2644" w:name="_Toc36224632"/>
      <w:bookmarkStart w:id="2645" w:name="_Toc65243629"/>
      <w:bookmarkStart w:id="2646" w:name="_Toc68786519"/>
      <w:r w:rsidRPr="00BE78CA">
        <w:t>Table 6.10.1</w:t>
      </w:r>
      <w:r w:rsidRPr="00BE78CA">
        <w:tab/>
        <w:t>Country-specific conversion factors for Harvested wood products produced</w:t>
      </w:r>
      <w:r w:rsidRPr="00BE78CA">
        <w:br/>
        <w:t>from New Zealand</w:t>
      </w:r>
      <w:bookmarkEnd w:id="2636"/>
      <w:bookmarkEnd w:id="2637"/>
      <w:bookmarkEnd w:id="2638"/>
      <w:bookmarkEnd w:id="2639"/>
      <w:bookmarkEnd w:id="2640"/>
      <w:r w:rsidRPr="00BE78CA">
        <w:t xml:space="preserve"> wood</w:t>
      </w:r>
      <w:bookmarkEnd w:id="2641"/>
      <w:bookmarkEnd w:id="2642"/>
      <w:bookmarkEnd w:id="2643"/>
      <w:bookmarkEnd w:id="2644"/>
      <w:bookmarkEnd w:id="2645"/>
      <w:bookmarkEnd w:id="2646"/>
    </w:p>
    <w:tbl>
      <w:tblPr>
        <w:tblW w:w="8505" w:type="dxa"/>
        <w:tblBorders>
          <w:top w:val="single" w:sz="4" w:space="0" w:color="365F91"/>
          <w:bottom w:val="single" w:sz="4" w:space="0" w:color="365F91"/>
          <w:insideH w:val="single" w:sz="4" w:space="0" w:color="365F91"/>
        </w:tblBorders>
        <w:tblLook w:val="04A0" w:firstRow="1" w:lastRow="0" w:firstColumn="1" w:lastColumn="0" w:noHBand="0" w:noVBand="1"/>
      </w:tblPr>
      <w:tblGrid>
        <w:gridCol w:w="3969"/>
        <w:gridCol w:w="1985"/>
        <w:gridCol w:w="2551"/>
      </w:tblGrid>
      <w:tr w:rsidR="00333601" w:rsidRPr="00BE78CA" w14:paraId="057DF5B9" w14:textId="77777777" w:rsidTr="00D5213D">
        <w:trPr>
          <w:tblHeader/>
        </w:trPr>
        <w:tc>
          <w:tcPr>
            <w:tcW w:w="3969" w:type="dxa"/>
            <w:shd w:val="clear" w:color="auto" w:fill="365F91"/>
            <w:vAlign w:val="bottom"/>
          </w:tcPr>
          <w:p w14:paraId="07AF2EF8" w14:textId="77777777" w:rsidR="00333601" w:rsidRPr="00BE78CA" w:rsidRDefault="00333601" w:rsidP="00D5213D">
            <w:pPr>
              <w:pStyle w:val="TableTextBold"/>
              <w:keepNext/>
              <w:keepLines/>
              <w:spacing w:before="50" w:after="50"/>
              <w:rPr>
                <w:noProof w:val="0"/>
                <w:color w:val="FFFFFF"/>
              </w:rPr>
            </w:pPr>
            <w:r w:rsidRPr="00BE78CA">
              <w:rPr>
                <w:noProof w:val="0"/>
                <w:color w:val="FFFFFF"/>
              </w:rPr>
              <w:t>Category</w:t>
            </w:r>
          </w:p>
        </w:tc>
        <w:tc>
          <w:tcPr>
            <w:tcW w:w="1985" w:type="dxa"/>
            <w:shd w:val="clear" w:color="auto" w:fill="365F91"/>
            <w:vAlign w:val="bottom"/>
          </w:tcPr>
          <w:p w14:paraId="66A98508" w14:textId="77777777" w:rsidR="00333601" w:rsidRPr="00BE78CA" w:rsidRDefault="00333601" w:rsidP="00D5213D">
            <w:pPr>
              <w:pStyle w:val="TableTextBold"/>
              <w:keepNext/>
              <w:keepLines/>
              <w:spacing w:before="50" w:after="50"/>
              <w:jc w:val="center"/>
              <w:rPr>
                <w:noProof w:val="0"/>
                <w:color w:val="FFFFFF"/>
              </w:rPr>
            </w:pPr>
            <w:r w:rsidRPr="00BE78CA">
              <w:rPr>
                <w:noProof w:val="0"/>
                <w:color w:val="FFFFFF"/>
              </w:rPr>
              <w:t>Factor (t C/m</w:t>
            </w:r>
            <w:r w:rsidRPr="00BE78CA">
              <w:rPr>
                <w:rFonts w:ascii="Arial Bold" w:hAnsi="Arial Bold"/>
                <w:noProof w:val="0"/>
                <w:color w:val="FFFFFF"/>
                <w:vertAlign w:val="superscript"/>
              </w:rPr>
              <w:t>2</w:t>
            </w:r>
            <w:r w:rsidRPr="00BE78CA">
              <w:rPr>
                <w:noProof w:val="0"/>
                <w:color w:val="FFFFFF"/>
              </w:rPr>
              <w:t xml:space="preserve"> or t C/t*)</w:t>
            </w:r>
          </w:p>
        </w:tc>
        <w:tc>
          <w:tcPr>
            <w:tcW w:w="2551" w:type="dxa"/>
            <w:shd w:val="clear" w:color="auto" w:fill="365F91"/>
            <w:vAlign w:val="bottom"/>
          </w:tcPr>
          <w:p w14:paraId="106172CE" w14:textId="77777777" w:rsidR="00333601" w:rsidRPr="00BE78CA" w:rsidRDefault="00333601" w:rsidP="00D5213D">
            <w:pPr>
              <w:pStyle w:val="TableTextBold"/>
              <w:keepNext/>
              <w:keepLines/>
              <w:spacing w:before="50" w:after="50"/>
              <w:rPr>
                <w:noProof w:val="0"/>
                <w:color w:val="FFFFFF"/>
              </w:rPr>
            </w:pPr>
            <w:r w:rsidRPr="00BE78CA">
              <w:rPr>
                <w:noProof w:val="0"/>
                <w:color w:val="FFFFFF"/>
              </w:rPr>
              <w:t>Source</w:t>
            </w:r>
          </w:p>
        </w:tc>
      </w:tr>
      <w:tr w:rsidR="00333601" w:rsidRPr="00BE78CA" w14:paraId="3769738A" w14:textId="77777777" w:rsidTr="00D5213D">
        <w:tc>
          <w:tcPr>
            <w:tcW w:w="3969" w:type="dxa"/>
            <w:shd w:val="clear" w:color="auto" w:fill="auto"/>
          </w:tcPr>
          <w:p w14:paraId="4C48661D" w14:textId="77777777" w:rsidR="00333601" w:rsidRPr="00BE78CA" w:rsidRDefault="00333601" w:rsidP="00D5213D">
            <w:pPr>
              <w:pStyle w:val="TableText"/>
              <w:spacing w:before="50" w:after="50"/>
            </w:pPr>
            <w:r w:rsidRPr="00BE78CA">
              <w:t>Sawnwood, other industrial roundwood (coniferous)</w:t>
            </w:r>
          </w:p>
        </w:tc>
        <w:tc>
          <w:tcPr>
            <w:tcW w:w="1985" w:type="dxa"/>
            <w:shd w:val="clear" w:color="auto" w:fill="auto"/>
          </w:tcPr>
          <w:p w14:paraId="10825150" w14:textId="77777777" w:rsidR="00333601" w:rsidRPr="00BE78CA" w:rsidRDefault="00333601" w:rsidP="00D5213D">
            <w:pPr>
              <w:pStyle w:val="TableText"/>
              <w:tabs>
                <w:tab w:val="decimal" w:pos="181"/>
              </w:tabs>
              <w:spacing w:before="50" w:after="50"/>
              <w:jc w:val="center"/>
            </w:pPr>
            <w:r w:rsidRPr="00BE78CA">
              <w:t>0.210</w:t>
            </w:r>
          </w:p>
        </w:tc>
        <w:tc>
          <w:tcPr>
            <w:tcW w:w="2551" w:type="dxa"/>
            <w:shd w:val="clear" w:color="auto" w:fill="auto"/>
          </w:tcPr>
          <w:p w14:paraId="72761751" w14:textId="77777777" w:rsidR="00333601" w:rsidRPr="00BE78CA" w:rsidRDefault="00333601" w:rsidP="00D5213D">
            <w:pPr>
              <w:pStyle w:val="TableText"/>
              <w:spacing w:before="50" w:after="50"/>
            </w:pPr>
            <w:r w:rsidRPr="00BE78CA">
              <w:t>Country specific (Jones, 2005)</w:t>
            </w:r>
          </w:p>
        </w:tc>
      </w:tr>
      <w:tr w:rsidR="00333601" w:rsidRPr="00BE78CA" w14:paraId="3A5744BB" w14:textId="77777777" w:rsidTr="00D5213D">
        <w:tc>
          <w:tcPr>
            <w:tcW w:w="3969" w:type="dxa"/>
            <w:shd w:val="clear" w:color="auto" w:fill="auto"/>
          </w:tcPr>
          <w:p w14:paraId="63824B60" w14:textId="77777777" w:rsidR="00333601" w:rsidRPr="00BE78CA" w:rsidRDefault="00333601" w:rsidP="00D5213D">
            <w:pPr>
              <w:pStyle w:val="TableText"/>
              <w:spacing w:before="50" w:after="50"/>
            </w:pPr>
            <w:r w:rsidRPr="00BE78CA">
              <w:t>Sawnwood, other industrial roundwood (non-coniferous)</w:t>
            </w:r>
          </w:p>
        </w:tc>
        <w:tc>
          <w:tcPr>
            <w:tcW w:w="1985" w:type="dxa"/>
            <w:shd w:val="clear" w:color="auto" w:fill="auto"/>
          </w:tcPr>
          <w:p w14:paraId="18927E57" w14:textId="77777777" w:rsidR="00333601" w:rsidRPr="00BE78CA" w:rsidRDefault="00333601" w:rsidP="00D5213D">
            <w:pPr>
              <w:pStyle w:val="TableText"/>
              <w:tabs>
                <w:tab w:val="decimal" w:pos="181"/>
              </w:tabs>
              <w:spacing w:before="50" w:after="50"/>
              <w:jc w:val="center"/>
            </w:pPr>
            <w:r w:rsidRPr="00BE78CA">
              <w:t>0.250</w:t>
            </w:r>
          </w:p>
        </w:tc>
        <w:tc>
          <w:tcPr>
            <w:tcW w:w="2551" w:type="dxa"/>
            <w:shd w:val="clear" w:color="auto" w:fill="auto"/>
          </w:tcPr>
          <w:p w14:paraId="470588A0" w14:textId="77777777" w:rsidR="00333601" w:rsidRPr="00BE78CA" w:rsidRDefault="00333601" w:rsidP="00D5213D">
            <w:pPr>
              <w:pStyle w:val="TableText"/>
              <w:spacing w:before="50" w:after="50"/>
            </w:pPr>
            <w:r w:rsidRPr="00BE78CA">
              <w:t>Country specific (Jones, 2005)</w:t>
            </w:r>
          </w:p>
        </w:tc>
      </w:tr>
      <w:tr w:rsidR="00333601" w:rsidRPr="00BE78CA" w14:paraId="048F1287" w14:textId="77777777" w:rsidTr="00D5213D">
        <w:tc>
          <w:tcPr>
            <w:tcW w:w="3969" w:type="dxa"/>
            <w:shd w:val="clear" w:color="auto" w:fill="auto"/>
          </w:tcPr>
          <w:p w14:paraId="40F49545" w14:textId="77777777" w:rsidR="00333601" w:rsidRPr="00BE78CA" w:rsidRDefault="00333601" w:rsidP="00D5213D">
            <w:pPr>
              <w:pStyle w:val="TableText"/>
              <w:spacing w:before="50" w:after="50"/>
            </w:pPr>
            <w:r w:rsidRPr="00BE78CA">
              <w:t>Veneer sheets</w:t>
            </w:r>
          </w:p>
        </w:tc>
        <w:tc>
          <w:tcPr>
            <w:tcW w:w="1985" w:type="dxa"/>
            <w:shd w:val="clear" w:color="auto" w:fill="auto"/>
          </w:tcPr>
          <w:p w14:paraId="020F6205" w14:textId="77777777" w:rsidR="00333601" w:rsidRPr="00BE78CA" w:rsidRDefault="00333601" w:rsidP="00D5213D">
            <w:pPr>
              <w:pStyle w:val="TableText"/>
              <w:tabs>
                <w:tab w:val="decimal" w:pos="181"/>
              </w:tabs>
              <w:spacing w:before="50" w:after="50"/>
              <w:jc w:val="center"/>
            </w:pPr>
            <w:r w:rsidRPr="00BE78CA">
              <w:t>0.210</w:t>
            </w:r>
          </w:p>
        </w:tc>
        <w:tc>
          <w:tcPr>
            <w:tcW w:w="2551" w:type="dxa"/>
            <w:shd w:val="clear" w:color="auto" w:fill="auto"/>
          </w:tcPr>
          <w:p w14:paraId="23300726" w14:textId="77777777" w:rsidR="00333601" w:rsidRPr="00BE78CA" w:rsidRDefault="00333601" w:rsidP="00D5213D">
            <w:pPr>
              <w:pStyle w:val="TableText"/>
              <w:spacing w:before="50" w:after="50"/>
            </w:pPr>
            <w:r w:rsidRPr="00BE78CA">
              <w:t>Country specific (Jones, 2005)</w:t>
            </w:r>
          </w:p>
        </w:tc>
      </w:tr>
      <w:tr w:rsidR="00333601" w:rsidRPr="00BE78CA" w14:paraId="125AF74F" w14:textId="77777777" w:rsidTr="00D5213D">
        <w:tc>
          <w:tcPr>
            <w:tcW w:w="3969" w:type="dxa"/>
            <w:shd w:val="clear" w:color="auto" w:fill="auto"/>
          </w:tcPr>
          <w:p w14:paraId="7FC687BA" w14:textId="77777777" w:rsidR="00333601" w:rsidRPr="00BE78CA" w:rsidRDefault="00333601" w:rsidP="00D5213D">
            <w:pPr>
              <w:pStyle w:val="TableText"/>
              <w:spacing w:before="50" w:after="50"/>
            </w:pPr>
            <w:r w:rsidRPr="00BE78CA">
              <w:t>Plywood</w:t>
            </w:r>
          </w:p>
        </w:tc>
        <w:tc>
          <w:tcPr>
            <w:tcW w:w="1985" w:type="dxa"/>
            <w:shd w:val="clear" w:color="auto" w:fill="auto"/>
          </w:tcPr>
          <w:p w14:paraId="7E51DDBB" w14:textId="77777777" w:rsidR="00333601" w:rsidRPr="00BE78CA" w:rsidRDefault="00333601" w:rsidP="00D5213D">
            <w:pPr>
              <w:pStyle w:val="TableText"/>
              <w:tabs>
                <w:tab w:val="decimal" w:pos="181"/>
              </w:tabs>
              <w:spacing w:before="50" w:after="50"/>
              <w:jc w:val="center"/>
            </w:pPr>
            <w:r w:rsidRPr="00BE78CA">
              <w:t>0.267</w:t>
            </w:r>
          </w:p>
        </w:tc>
        <w:tc>
          <w:tcPr>
            <w:tcW w:w="2551" w:type="dxa"/>
            <w:shd w:val="clear" w:color="auto" w:fill="auto"/>
          </w:tcPr>
          <w:p w14:paraId="25B4562E" w14:textId="77777777" w:rsidR="00333601" w:rsidRPr="00BE78CA" w:rsidRDefault="00333601" w:rsidP="00D5213D">
            <w:pPr>
              <w:pStyle w:val="TableText"/>
              <w:spacing w:before="50" w:after="50"/>
            </w:pPr>
            <w:r w:rsidRPr="00BE78CA">
              <w:t>IPCC default (IPCC, 2014)</w:t>
            </w:r>
          </w:p>
        </w:tc>
      </w:tr>
      <w:tr w:rsidR="00333601" w:rsidRPr="00BE78CA" w14:paraId="785E5521" w14:textId="77777777" w:rsidTr="00D5213D">
        <w:tc>
          <w:tcPr>
            <w:tcW w:w="3969" w:type="dxa"/>
            <w:shd w:val="clear" w:color="auto" w:fill="auto"/>
          </w:tcPr>
          <w:p w14:paraId="46CE47F2" w14:textId="77777777" w:rsidR="00333601" w:rsidRPr="00BE78CA" w:rsidRDefault="00333601" w:rsidP="00D5213D">
            <w:pPr>
              <w:pStyle w:val="TableText"/>
              <w:spacing w:before="50" w:after="50"/>
            </w:pPr>
            <w:r w:rsidRPr="00BE78CA">
              <w:t>Particle board</w:t>
            </w:r>
          </w:p>
        </w:tc>
        <w:tc>
          <w:tcPr>
            <w:tcW w:w="1985" w:type="dxa"/>
            <w:shd w:val="clear" w:color="auto" w:fill="auto"/>
          </w:tcPr>
          <w:p w14:paraId="72AAFC3B" w14:textId="77777777" w:rsidR="00333601" w:rsidRPr="00BE78CA" w:rsidRDefault="00333601" w:rsidP="00D5213D">
            <w:pPr>
              <w:pStyle w:val="TableText"/>
              <w:tabs>
                <w:tab w:val="decimal" w:pos="181"/>
              </w:tabs>
              <w:spacing w:before="50" w:after="50"/>
              <w:jc w:val="center"/>
            </w:pPr>
            <w:r w:rsidRPr="00BE78CA">
              <w:t>0.269</w:t>
            </w:r>
          </w:p>
        </w:tc>
        <w:tc>
          <w:tcPr>
            <w:tcW w:w="2551" w:type="dxa"/>
            <w:shd w:val="clear" w:color="auto" w:fill="auto"/>
          </w:tcPr>
          <w:p w14:paraId="249B642A" w14:textId="77777777" w:rsidR="00333601" w:rsidRPr="00BE78CA" w:rsidRDefault="00333601" w:rsidP="00D5213D">
            <w:pPr>
              <w:pStyle w:val="TableText"/>
              <w:spacing w:before="50" w:after="50"/>
            </w:pPr>
            <w:r w:rsidRPr="00BE78CA">
              <w:t>IPCC default (IPCC, 2014)</w:t>
            </w:r>
          </w:p>
        </w:tc>
      </w:tr>
      <w:tr w:rsidR="00333601" w:rsidRPr="00BE78CA" w14:paraId="5EC73DC5" w14:textId="77777777" w:rsidTr="00D5213D">
        <w:tc>
          <w:tcPr>
            <w:tcW w:w="3969" w:type="dxa"/>
            <w:shd w:val="clear" w:color="auto" w:fill="auto"/>
          </w:tcPr>
          <w:p w14:paraId="55F4C3D4" w14:textId="77777777" w:rsidR="00333601" w:rsidRPr="00BE78CA" w:rsidRDefault="00333601" w:rsidP="00D5213D">
            <w:pPr>
              <w:pStyle w:val="TableText"/>
              <w:spacing w:before="50" w:after="50"/>
            </w:pPr>
            <w:r w:rsidRPr="00BE78CA">
              <w:t>Fibreboard (compressed)</w:t>
            </w:r>
          </w:p>
        </w:tc>
        <w:tc>
          <w:tcPr>
            <w:tcW w:w="1985" w:type="dxa"/>
            <w:shd w:val="clear" w:color="auto" w:fill="auto"/>
          </w:tcPr>
          <w:p w14:paraId="2A098B23" w14:textId="77777777" w:rsidR="00333601" w:rsidRPr="00BE78CA" w:rsidRDefault="00333601" w:rsidP="00D5213D">
            <w:pPr>
              <w:pStyle w:val="TableText"/>
              <w:tabs>
                <w:tab w:val="decimal" w:pos="181"/>
              </w:tabs>
              <w:spacing w:before="50" w:after="50"/>
              <w:jc w:val="center"/>
            </w:pPr>
            <w:r w:rsidRPr="00BE78CA">
              <w:t>0.315</w:t>
            </w:r>
          </w:p>
        </w:tc>
        <w:tc>
          <w:tcPr>
            <w:tcW w:w="2551" w:type="dxa"/>
            <w:shd w:val="clear" w:color="auto" w:fill="auto"/>
          </w:tcPr>
          <w:p w14:paraId="4B2B7F80" w14:textId="77777777" w:rsidR="00333601" w:rsidRPr="00BE78CA" w:rsidRDefault="00333601" w:rsidP="00D5213D">
            <w:pPr>
              <w:pStyle w:val="TableText"/>
              <w:spacing w:before="50" w:after="50"/>
            </w:pPr>
            <w:r w:rsidRPr="00BE78CA">
              <w:t>IPCC default (IPCC, 2014)</w:t>
            </w:r>
          </w:p>
        </w:tc>
      </w:tr>
      <w:tr w:rsidR="00333601" w:rsidRPr="00BE78CA" w14:paraId="404DA680" w14:textId="77777777" w:rsidTr="00D5213D">
        <w:tc>
          <w:tcPr>
            <w:tcW w:w="3969" w:type="dxa"/>
            <w:shd w:val="clear" w:color="auto" w:fill="auto"/>
          </w:tcPr>
          <w:p w14:paraId="1C999A77" w14:textId="77777777" w:rsidR="00333601" w:rsidRPr="00BE78CA" w:rsidRDefault="00333601" w:rsidP="00D5213D">
            <w:pPr>
              <w:pStyle w:val="TableText"/>
              <w:spacing w:before="50" w:after="50"/>
            </w:pPr>
            <w:r w:rsidRPr="00BE78CA">
              <w:t>Insulating board/other fibreboard</w:t>
            </w:r>
          </w:p>
        </w:tc>
        <w:tc>
          <w:tcPr>
            <w:tcW w:w="1985" w:type="dxa"/>
            <w:shd w:val="clear" w:color="auto" w:fill="auto"/>
          </w:tcPr>
          <w:p w14:paraId="4BC79049" w14:textId="77777777" w:rsidR="00333601" w:rsidRPr="00BE78CA" w:rsidRDefault="00333601" w:rsidP="00D5213D">
            <w:pPr>
              <w:pStyle w:val="TableText"/>
              <w:tabs>
                <w:tab w:val="decimal" w:pos="181"/>
              </w:tabs>
              <w:spacing w:before="50" w:after="50"/>
              <w:jc w:val="center"/>
            </w:pPr>
            <w:r w:rsidRPr="00BE78CA">
              <w:t>0.075</w:t>
            </w:r>
          </w:p>
        </w:tc>
        <w:tc>
          <w:tcPr>
            <w:tcW w:w="2551" w:type="dxa"/>
            <w:shd w:val="clear" w:color="auto" w:fill="auto"/>
          </w:tcPr>
          <w:p w14:paraId="41F71E2E" w14:textId="77777777" w:rsidR="00333601" w:rsidRPr="00BE78CA" w:rsidRDefault="00333601" w:rsidP="00D5213D">
            <w:pPr>
              <w:pStyle w:val="TableText"/>
              <w:spacing w:before="50" w:after="50"/>
            </w:pPr>
            <w:r w:rsidRPr="00BE78CA">
              <w:t>IPCC default (IPCC, 2014)</w:t>
            </w:r>
          </w:p>
        </w:tc>
      </w:tr>
      <w:tr w:rsidR="00333601" w:rsidRPr="00BE78CA" w14:paraId="19652047" w14:textId="77777777" w:rsidTr="00D5213D">
        <w:tc>
          <w:tcPr>
            <w:tcW w:w="3969" w:type="dxa"/>
            <w:shd w:val="clear" w:color="auto" w:fill="auto"/>
          </w:tcPr>
          <w:p w14:paraId="7DF94387" w14:textId="77777777" w:rsidR="00333601" w:rsidRPr="00BE78CA" w:rsidRDefault="00333601" w:rsidP="00D5213D">
            <w:pPr>
              <w:pStyle w:val="TableText"/>
              <w:spacing w:before="50" w:after="50"/>
            </w:pPr>
            <w:r w:rsidRPr="00BE78CA">
              <w:t>Paper products</w:t>
            </w:r>
          </w:p>
        </w:tc>
        <w:tc>
          <w:tcPr>
            <w:tcW w:w="1985" w:type="dxa"/>
            <w:shd w:val="clear" w:color="auto" w:fill="auto"/>
          </w:tcPr>
          <w:p w14:paraId="5EA099BD" w14:textId="77777777" w:rsidR="00333601" w:rsidRPr="00BE78CA" w:rsidRDefault="00333601" w:rsidP="00D5213D">
            <w:pPr>
              <w:pStyle w:val="TableText"/>
              <w:tabs>
                <w:tab w:val="decimal" w:pos="181"/>
              </w:tabs>
              <w:spacing w:before="50" w:after="50"/>
              <w:ind w:right="-57"/>
              <w:jc w:val="center"/>
            </w:pPr>
            <w:r w:rsidRPr="00BE78CA">
              <w:t>0.450*</w:t>
            </w:r>
          </w:p>
        </w:tc>
        <w:tc>
          <w:tcPr>
            <w:tcW w:w="2551" w:type="dxa"/>
            <w:shd w:val="clear" w:color="auto" w:fill="auto"/>
          </w:tcPr>
          <w:p w14:paraId="5236BFB3" w14:textId="77777777" w:rsidR="00333601" w:rsidRPr="00BE78CA" w:rsidRDefault="00333601" w:rsidP="00D5213D">
            <w:pPr>
              <w:pStyle w:val="TableText"/>
              <w:spacing w:before="50" w:after="50"/>
            </w:pPr>
            <w:r w:rsidRPr="00BE78CA">
              <w:t>IPCC default (IPCC, 2014)</w:t>
            </w:r>
          </w:p>
        </w:tc>
      </w:tr>
    </w:tbl>
    <w:p w14:paraId="57940CFF" w14:textId="77777777" w:rsidR="00333601" w:rsidRPr="00BE78CA" w:rsidRDefault="00333601" w:rsidP="00333601">
      <w:pPr>
        <w:pStyle w:val="Noteundertable"/>
      </w:pPr>
      <w:r w:rsidRPr="00BE78CA">
        <w:rPr>
          <w:b/>
        </w:rPr>
        <w:t>Note:</w:t>
      </w:r>
      <w:r w:rsidRPr="00BE78CA">
        <w:tab/>
        <w:t>* Indicates where factors are given in tonnes of carbon per tonne of product.</w:t>
      </w:r>
    </w:p>
    <w:p w14:paraId="65C37E3B" w14:textId="77777777" w:rsidR="00333601" w:rsidRPr="00BE78CA" w:rsidRDefault="00333601" w:rsidP="00D5213D">
      <w:pPr>
        <w:pStyle w:val="Heading5"/>
        <w:spacing w:before="180"/>
      </w:pPr>
      <w:r w:rsidRPr="00BE78CA">
        <w:t xml:space="preserve">Half-lives </w:t>
      </w:r>
    </w:p>
    <w:p w14:paraId="17CE9758" w14:textId="77777777" w:rsidR="00333601" w:rsidRPr="00BE78CA" w:rsidRDefault="00333601" w:rsidP="00333601">
      <w:pPr>
        <w:pStyle w:val="BodyText"/>
      </w:pPr>
      <w:r w:rsidRPr="00BE78CA">
        <w:t xml:space="preserve">Half-lives determine the discard rate of products from service in the </w:t>
      </w:r>
      <w:r w:rsidRPr="00BE78CA">
        <w:rPr>
          <w:i/>
        </w:rPr>
        <w:t xml:space="preserve">Harvested wood products </w:t>
      </w:r>
      <w:r w:rsidRPr="00BE78CA">
        <w:t>category. New Zealand uses a half-life of 35 years for </w:t>
      </w:r>
      <w:r w:rsidRPr="00BE78CA">
        <w:rPr>
          <w:i/>
        </w:rPr>
        <w:t>Sawnwood</w:t>
      </w:r>
      <w:r w:rsidRPr="00BE78CA">
        <w:t>,</w:t>
      </w:r>
      <w:r w:rsidRPr="00BE78CA">
        <w:rPr>
          <w:i/>
        </w:rPr>
        <w:t xml:space="preserve"> </w:t>
      </w:r>
      <w:r w:rsidRPr="00BE78CA">
        <w:t>25 years for</w:t>
      </w:r>
      <w:r w:rsidRPr="00BE78CA">
        <w:rPr>
          <w:i/>
        </w:rPr>
        <w:t xml:space="preserve"> Panels</w:t>
      </w:r>
      <w:r w:rsidRPr="00BE78CA" w:rsidDel="00C32CA0">
        <w:rPr>
          <w:i/>
        </w:rPr>
        <w:t xml:space="preserve"> </w:t>
      </w:r>
      <w:r w:rsidRPr="00BE78CA">
        <w:t xml:space="preserve">and two years for </w:t>
      </w:r>
      <w:r w:rsidRPr="00BE78CA">
        <w:rPr>
          <w:i/>
        </w:rPr>
        <w:t>Paper and paperboard</w:t>
      </w:r>
      <w:r w:rsidRPr="00BE78CA">
        <w:t xml:space="preserve"> from the Kyoto Protocol Supplement (IPCC, 2014) for domestic production. These half-lives are used to align with the method used in KP-LULUCF and to increase the accuracy of the estimates over the default categories (</w:t>
      </w:r>
      <w:r w:rsidRPr="00BE78CA">
        <w:rPr>
          <w:i/>
        </w:rPr>
        <w:t xml:space="preserve">Solid wood </w:t>
      </w:r>
      <w:r w:rsidRPr="00BE78CA">
        <w:t>and</w:t>
      </w:r>
      <w:r w:rsidRPr="00BE78CA">
        <w:rPr>
          <w:i/>
        </w:rPr>
        <w:t xml:space="preserve"> Paper and paperboard</w:t>
      </w:r>
      <w:r w:rsidRPr="00BE78CA">
        <w:t>)</w:t>
      </w:r>
      <w:r w:rsidRPr="00BE78CA">
        <w:rPr>
          <w:i/>
        </w:rPr>
        <w:t xml:space="preserve"> </w:t>
      </w:r>
      <w:r w:rsidRPr="00BE78CA">
        <w:t>(table 12.2, IPCC, 2006a).</w:t>
      </w:r>
    </w:p>
    <w:p w14:paraId="6B90D2BF" w14:textId="77777777" w:rsidR="00333601" w:rsidRPr="00BE78CA" w:rsidRDefault="00333601" w:rsidP="00D5213D">
      <w:pPr>
        <w:pStyle w:val="BodyText"/>
      </w:pPr>
      <w:r w:rsidRPr="00BE78CA">
        <w:t xml:space="preserve">Research completed in 2016 provided information on harvested wood products from exported logs in New Zealand’s three main export markets (China, South Korea and India). The study found that the majority of New Zealand wood is converted into construction and packaging </w:t>
      </w:r>
      <w:r w:rsidRPr="00BE78CA">
        <w:lastRenderedPageBreak/>
        <w:t xml:space="preserve">materials. Weighted half-lives were found to be 6.6, 18 and 2.5 years for China, South Korea and India respectively (Ministry for Primary Industries, 2016). The weighted half-lives for China and India are significantly lower than the IPCC default half-lives for </w:t>
      </w:r>
      <w:r w:rsidRPr="00BE78CA">
        <w:rPr>
          <w:i/>
        </w:rPr>
        <w:t>Sawnwood</w:t>
      </w:r>
      <w:r w:rsidRPr="00BE78CA">
        <w:t xml:space="preserve"> and </w:t>
      </w:r>
      <w:r w:rsidRPr="00BE78CA">
        <w:rPr>
          <w:i/>
        </w:rPr>
        <w:t>Panels</w:t>
      </w:r>
      <w:r w:rsidRPr="00BE78CA">
        <w:t xml:space="preserve"> (35 and 25 years respectively) (IPCC, 2014). These findings are included in New Zealand’s </w:t>
      </w:r>
      <w:r w:rsidRPr="00BE78CA">
        <w:rPr>
          <w:i/>
        </w:rPr>
        <w:t>Harvested wood products</w:t>
      </w:r>
      <w:r w:rsidRPr="00BE78CA">
        <w:t xml:space="preserve"> estimates and provide an improvement on the default assumption where exported raw materials were discarded at the same rate as domestic production.</w:t>
      </w:r>
    </w:p>
    <w:p w14:paraId="2DF1EA0A" w14:textId="77777777" w:rsidR="00333601" w:rsidRPr="00BE78CA" w:rsidRDefault="00333601" w:rsidP="00333601">
      <w:pPr>
        <w:pStyle w:val="Heading3"/>
      </w:pPr>
      <w:r w:rsidRPr="00BE78CA">
        <w:t>6.10.3</w:t>
      </w:r>
      <w:r w:rsidRPr="00BE78CA">
        <w:tab/>
        <w:t>Uncertainties and time-series consistency</w:t>
      </w:r>
    </w:p>
    <w:p w14:paraId="34AC56D4" w14:textId="77777777" w:rsidR="00333601" w:rsidRPr="00BE78CA" w:rsidRDefault="00333601" w:rsidP="00333601">
      <w:pPr>
        <w:pStyle w:val="BodyText"/>
      </w:pPr>
      <w:r w:rsidRPr="00BE78CA">
        <w:t xml:space="preserve">Uncertainty in the </w:t>
      </w:r>
      <w:r w:rsidRPr="00BE78CA">
        <w:rPr>
          <w:i/>
        </w:rPr>
        <w:t>Harvested wood products</w:t>
      </w:r>
      <w:r w:rsidRPr="00BE78CA">
        <w:t xml:space="preserve"> estimates is introduced by activity data, conversion factors and decay parameters. The </w:t>
      </w:r>
      <w:r w:rsidRPr="00BE78CA">
        <w:rPr>
          <w:i/>
        </w:rPr>
        <w:t>Harvested wood products</w:t>
      </w:r>
      <w:r w:rsidRPr="00BE78CA">
        <w:t xml:space="preserve"> category provides the second-greatest contribution to uncertainty in the LULUCF sector. This is driven by large removals in this pool and high uncertainty associated with the end-use and discard rates of New Zealand wood. Uncertainty limits for </w:t>
      </w:r>
      <w:r w:rsidRPr="00BE78CA">
        <w:rPr>
          <w:i/>
        </w:rPr>
        <w:t>Harvested wood products</w:t>
      </w:r>
      <w:r w:rsidRPr="00BE78CA">
        <w:t xml:space="preserve"> data and parameters are given in table 6.10.2. Uncertainty in New Zealand’s 2019 estimates from emissions associated with </w:t>
      </w:r>
      <w:r w:rsidRPr="00BE78CA">
        <w:rPr>
          <w:i/>
        </w:rPr>
        <w:t>Harvested wood products</w:t>
      </w:r>
      <w:r w:rsidRPr="00BE78CA">
        <w:t xml:space="preserve"> is provided in table 6.10.3.</w:t>
      </w:r>
    </w:p>
    <w:p w14:paraId="528BCAA5" w14:textId="77777777" w:rsidR="00333601" w:rsidRPr="00BE78CA" w:rsidRDefault="00333601" w:rsidP="00333601">
      <w:pPr>
        <w:pStyle w:val="Table"/>
      </w:pPr>
      <w:bookmarkStart w:id="2647" w:name="_Toc410028867"/>
      <w:bookmarkStart w:id="2648" w:name="_Toc414531495"/>
      <w:bookmarkStart w:id="2649" w:name="_Toc443645408"/>
      <w:bookmarkStart w:id="2650" w:name="_Toc474914627"/>
      <w:bookmarkStart w:id="2651" w:name="_Toc481751591"/>
      <w:bookmarkStart w:id="2652" w:name="_Toc522010648"/>
      <w:bookmarkStart w:id="2653" w:name="_Toc5269553"/>
      <w:bookmarkStart w:id="2654" w:name="_Toc33529427"/>
      <w:bookmarkStart w:id="2655" w:name="_Toc36224633"/>
      <w:bookmarkStart w:id="2656" w:name="_Toc65243630"/>
      <w:bookmarkStart w:id="2657" w:name="_Toc68786520"/>
      <w:r w:rsidRPr="00BE78CA">
        <w:t>Table 6.10.2</w:t>
      </w:r>
      <w:r w:rsidRPr="00BE78CA">
        <w:tab/>
        <w:t>Uncertainty in Harvested wood products data and parameters</w:t>
      </w:r>
      <w:bookmarkEnd w:id="2647"/>
      <w:bookmarkEnd w:id="2648"/>
      <w:bookmarkEnd w:id="2649"/>
      <w:bookmarkEnd w:id="2650"/>
      <w:bookmarkEnd w:id="2651"/>
      <w:bookmarkEnd w:id="2652"/>
      <w:bookmarkEnd w:id="2653"/>
      <w:bookmarkEnd w:id="2654"/>
      <w:bookmarkEnd w:id="2655"/>
      <w:bookmarkEnd w:id="2656"/>
      <w:bookmarkEnd w:id="2657"/>
    </w:p>
    <w:tbl>
      <w:tblPr>
        <w:tblW w:w="8505" w:type="dxa"/>
        <w:tblLayout w:type="fixed"/>
        <w:tblLook w:val="04A0" w:firstRow="1" w:lastRow="0" w:firstColumn="1" w:lastColumn="0" w:noHBand="0" w:noVBand="1"/>
      </w:tblPr>
      <w:tblGrid>
        <w:gridCol w:w="3912"/>
        <w:gridCol w:w="1588"/>
        <w:gridCol w:w="3005"/>
      </w:tblGrid>
      <w:tr w:rsidR="00333601" w:rsidRPr="00BE78CA" w14:paraId="10934BD4" w14:textId="77777777" w:rsidTr="00D5213D">
        <w:tc>
          <w:tcPr>
            <w:tcW w:w="3912" w:type="dxa"/>
            <w:tcBorders>
              <w:top w:val="single" w:sz="4" w:space="0" w:color="365F91"/>
              <w:bottom w:val="single" w:sz="4" w:space="0" w:color="365F91"/>
            </w:tcBorders>
            <w:shd w:val="clear" w:color="auto" w:fill="365F91"/>
            <w:vAlign w:val="bottom"/>
          </w:tcPr>
          <w:p w14:paraId="57EA0EA8" w14:textId="77777777" w:rsidR="00333601" w:rsidRPr="00BE78CA" w:rsidRDefault="00333601" w:rsidP="00D5213D">
            <w:pPr>
              <w:pStyle w:val="TableTextBold"/>
              <w:keepNext/>
              <w:spacing w:before="50"/>
              <w:rPr>
                <w:noProof w:val="0"/>
                <w:color w:val="FFFFFF"/>
              </w:rPr>
            </w:pPr>
            <w:r w:rsidRPr="00BE78CA">
              <w:rPr>
                <w:noProof w:val="0"/>
                <w:color w:val="FFFFFF"/>
              </w:rPr>
              <w:t>Parameter</w:t>
            </w:r>
          </w:p>
        </w:tc>
        <w:tc>
          <w:tcPr>
            <w:tcW w:w="1588" w:type="dxa"/>
            <w:tcBorders>
              <w:top w:val="single" w:sz="4" w:space="0" w:color="365F91"/>
              <w:bottom w:val="single" w:sz="4" w:space="0" w:color="365F91"/>
            </w:tcBorders>
            <w:shd w:val="clear" w:color="auto" w:fill="365F91"/>
            <w:vAlign w:val="bottom"/>
          </w:tcPr>
          <w:p w14:paraId="49412064" w14:textId="77777777" w:rsidR="00333601" w:rsidRPr="00BE78CA" w:rsidRDefault="00333601" w:rsidP="00D5213D">
            <w:pPr>
              <w:pStyle w:val="TableTextBold"/>
              <w:keepNext/>
              <w:spacing w:before="50"/>
              <w:jc w:val="center"/>
              <w:rPr>
                <w:noProof w:val="0"/>
                <w:color w:val="FFFFFF"/>
              </w:rPr>
            </w:pPr>
            <w:r w:rsidRPr="00BE78CA">
              <w:rPr>
                <w:noProof w:val="0"/>
                <w:color w:val="FFFFFF"/>
              </w:rPr>
              <w:t>Per cent uncertainty</w:t>
            </w:r>
          </w:p>
        </w:tc>
        <w:tc>
          <w:tcPr>
            <w:tcW w:w="3005" w:type="dxa"/>
            <w:tcBorders>
              <w:top w:val="single" w:sz="4" w:space="0" w:color="365F91"/>
              <w:bottom w:val="single" w:sz="4" w:space="0" w:color="365F91"/>
            </w:tcBorders>
            <w:shd w:val="clear" w:color="auto" w:fill="365F91"/>
            <w:vAlign w:val="bottom"/>
          </w:tcPr>
          <w:p w14:paraId="6284829A" w14:textId="77777777" w:rsidR="00333601" w:rsidRPr="00BE78CA" w:rsidRDefault="00333601" w:rsidP="00D5213D">
            <w:pPr>
              <w:pStyle w:val="TableTextBold"/>
              <w:keepNext/>
              <w:spacing w:before="50"/>
              <w:rPr>
                <w:noProof w:val="0"/>
                <w:color w:val="FFFFFF"/>
              </w:rPr>
            </w:pPr>
            <w:r w:rsidRPr="00BE78CA">
              <w:rPr>
                <w:noProof w:val="0"/>
                <w:color w:val="FFFFFF"/>
              </w:rPr>
              <w:t>Origin</w:t>
            </w:r>
          </w:p>
        </w:tc>
      </w:tr>
      <w:tr w:rsidR="00333601" w:rsidRPr="00BE78CA" w14:paraId="07541107" w14:textId="77777777" w:rsidTr="00D5213D">
        <w:tc>
          <w:tcPr>
            <w:tcW w:w="3912" w:type="dxa"/>
            <w:tcBorders>
              <w:top w:val="single" w:sz="4" w:space="0" w:color="365F91"/>
              <w:bottom w:val="single" w:sz="4" w:space="0" w:color="365F91"/>
            </w:tcBorders>
          </w:tcPr>
          <w:p w14:paraId="7DD0BD7B" w14:textId="77777777" w:rsidR="00333601" w:rsidRPr="00BE78CA" w:rsidRDefault="00333601" w:rsidP="00D5213D">
            <w:pPr>
              <w:pStyle w:val="TableText"/>
              <w:keepNext/>
              <w:spacing w:before="50" w:after="50"/>
            </w:pPr>
            <w:r w:rsidRPr="00BE78CA">
              <w:t>Roundwood removals data</w:t>
            </w:r>
          </w:p>
        </w:tc>
        <w:tc>
          <w:tcPr>
            <w:tcW w:w="1588" w:type="dxa"/>
            <w:tcBorders>
              <w:top w:val="single" w:sz="4" w:space="0" w:color="365F91"/>
              <w:bottom w:val="single" w:sz="4" w:space="0" w:color="365F91"/>
            </w:tcBorders>
          </w:tcPr>
          <w:p w14:paraId="4C022419" w14:textId="77777777" w:rsidR="00333601" w:rsidRPr="00BE78CA" w:rsidRDefault="00333601" w:rsidP="00D5213D">
            <w:pPr>
              <w:pStyle w:val="TableText"/>
              <w:keepNext/>
              <w:spacing w:before="50" w:after="50"/>
              <w:jc w:val="center"/>
            </w:pPr>
            <w:r w:rsidRPr="00BE78CA">
              <w:t>±20</w:t>
            </w:r>
          </w:p>
        </w:tc>
        <w:tc>
          <w:tcPr>
            <w:tcW w:w="3005" w:type="dxa"/>
            <w:tcBorders>
              <w:top w:val="single" w:sz="4" w:space="0" w:color="365F91"/>
              <w:bottom w:val="single" w:sz="4" w:space="0" w:color="365F91"/>
            </w:tcBorders>
          </w:tcPr>
          <w:p w14:paraId="092FBC36" w14:textId="77777777" w:rsidR="00333601" w:rsidRPr="00BE78CA" w:rsidRDefault="00333601" w:rsidP="00D5213D">
            <w:pPr>
              <w:pStyle w:val="TableText"/>
              <w:keepNext/>
              <w:spacing w:before="50" w:after="50"/>
            </w:pPr>
            <w:r w:rsidRPr="00BE78CA">
              <w:t>Country specific (Wakelin, unpublished(g))</w:t>
            </w:r>
          </w:p>
        </w:tc>
      </w:tr>
      <w:tr w:rsidR="00333601" w:rsidRPr="00BE78CA" w14:paraId="0761AC7B" w14:textId="77777777" w:rsidTr="00D5213D">
        <w:tc>
          <w:tcPr>
            <w:tcW w:w="3912" w:type="dxa"/>
            <w:tcBorders>
              <w:top w:val="single" w:sz="4" w:space="0" w:color="365F91"/>
              <w:bottom w:val="single" w:sz="4" w:space="0" w:color="365F91"/>
            </w:tcBorders>
          </w:tcPr>
          <w:p w14:paraId="3F1DEFDE" w14:textId="77777777" w:rsidR="00333601" w:rsidRPr="00BE78CA" w:rsidRDefault="00333601" w:rsidP="00D5213D">
            <w:pPr>
              <w:pStyle w:val="TableText"/>
              <w:keepNext/>
              <w:spacing w:before="50" w:after="50"/>
            </w:pPr>
            <w:r w:rsidRPr="00BE78CA">
              <w:t>Harvested wood products production, import and export data</w:t>
            </w:r>
          </w:p>
        </w:tc>
        <w:tc>
          <w:tcPr>
            <w:tcW w:w="1588" w:type="dxa"/>
            <w:tcBorders>
              <w:top w:val="single" w:sz="4" w:space="0" w:color="365F91"/>
              <w:bottom w:val="single" w:sz="4" w:space="0" w:color="365F91"/>
            </w:tcBorders>
          </w:tcPr>
          <w:p w14:paraId="7A87E592" w14:textId="77777777" w:rsidR="00333601" w:rsidRPr="00BE78CA" w:rsidRDefault="00333601" w:rsidP="00D5213D">
            <w:pPr>
              <w:pStyle w:val="TableText"/>
              <w:keepNext/>
              <w:spacing w:before="50" w:after="50"/>
              <w:jc w:val="center"/>
            </w:pPr>
            <w:r w:rsidRPr="00BE78CA">
              <w:t>±15</w:t>
            </w:r>
          </w:p>
        </w:tc>
        <w:tc>
          <w:tcPr>
            <w:tcW w:w="3005" w:type="dxa"/>
            <w:tcBorders>
              <w:top w:val="single" w:sz="4" w:space="0" w:color="365F91"/>
              <w:bottom w:val="single" w:sz="4" w:space="0" w:color="365F91"/>
            </w:tcBorders>
          </w:tcPr>
          <w:p w14:paraId="4A7F0EA5" w14:textId="77777777" w:rsidR="00333601" w:rsidRPr="00BE78CA" w:rsidRDefault="00333601" w:rsidP="00D5213D">
            <w:pPr>
              <w:pStyle w:val="TableText"/>
              <w:keepNext/>
              <w:spacing w:before="50" w:after="50"/>
            </w:pPr>
            <w:r w:rsidRPr="00BE78CA">
              <w:t>IPCC default (table 12.6, IPCC, 2006a)</w:t>
            </w:r>
          </w:p>
        </w:tc>
      </w:tr>
      <w:tr w:rsidR="00333601" w:rsidRPr="00BE78CA" w14:paraId="3DFDAC43" w14:textId="77777777" w:rsidTr="00D5213D">
        <w:tc>
          <w:tcPr>
            <w:tcW w:w="3912" w:type="dxa"/>
            <w:tcBorders>
              <w:top w:val="single" w:sz="4" w:space="0" w:color="365F91"/>
              <w:bottom w:val="single" w:sz="4" w:space="0" w:color="365F91"/>
            </w:tcBorders>
          </w:tcPr>
          <w:p w14:paraId="4922AAAC" w14:textId="77777777" w:rsidR="00333601" w:rsidRPr="00BE78CA" w:rsidRDefault="00333601" w:rsidP="00D5213D">
            <w:pPr>
              <w:pStyle w:val="TableText"/>
              <w:spacing w:before="50" w:after="50"/>
            </w:pPr>
            <w:r w:rsidRPr="00BE78CA">
              <w:t>Product volume to weight factors</w:t>
            </w:r>
          </w:p>
        </w:tc>
        <w:tc>
          <w:tcPr>
            <w:tcW w:w="1588" w:type="dxa"/>
            <w:tcBorders>
              <w:top w:val="single" w:sz="4" w:space="0" w:color="365F91"/>
              <w:bottom w:val="single" w:sz="4" w:space="0" w:color="365F91"/>
            </w:tcBorders>
          </w:tcPr>
          <w:p w14:paraId="51FA66F8" w14:textId="77777777" w:rsidR="00333601" w:rsidRPr="00BE78CA" w:rsidRDefault="00333601" w:rsidP="00D5213D">
            <w:pPr>
              <w:pStyle w:val="TableText"/>
              <w:spacing w:before="50" w:after="50"/>
              <w:jc w:val="center"/>
            </w:pPr>
            <w:r w:rsidRPr="00BE78CA">
              <w:rPr>
                <w:rFonts w:cs="Arial"/>
              </w:rPr>
              <w:t>±</w:t>
            </w:r>
            <w:r w:rsidRPr="00BE78CA">
              <w:t>10</w:t>
            </w:r>
          </w:p>
        </w:tc>
        <w:tc>
          <w:tcPr>
            <w:tcW w:w="3005" w:type="dxa"/>
            <w:tcBorders>
              <w:top w:val="single" w:sz="4" w:space="0" w:color="365F91"/>
              <w:bottom w:val="single" w:sz="4" w:space="0" w:color="365F91"/>
            </w:tcBorders>
          </w:tcPr>
          <w:p w14:paraId="0E4D13CF" w14:textId="77777777" w:rsidR="00333601" w:rsidRPr="00BE78CA" w:rsidRDefault="00333601" w:rsidP="00D5213D">
            <w:pPr>
              <w:pStyle w:val="TableText"/>
              <w:spacing w:before="50" w:after="50"/>
            </w:pPr>
            <w:r w:rsidRPr="00BE78CA">
              <w:t>Country specific (Wakelin et al., 2020)</w:t>
            </w:r>
          </w:p>
        </w:tc>
      </w:tr>
      <w:tr w:rsidR="00333601" w:rsidRPr="00BE78CA" w14:paraId="254F9BEE" w14:textId="77777777" w:rsidTr="00D5213D">
        <w:tc>
          <w:tcPr>
            <w:tcW w:w="3912" w:type="dxa"/>
            <w:tcBorders>
              <w:top w:val="single" w:sz="4" w:space="0" w:color="365F91"/>
              <w:bottom w:val="single" w:sz="4" w:space="0" w:color="365F91"/>
            </w:tcBorders>
          </w:tcPr>
          <w:p w14:paraId="47C66BCB" w14:textId="77777777" w:rsidR="00333601" w:rsidRPr="00BE78CA" w:rsidRDefault="00333601" w:rsidP="00D5213D">
            <w:pPr>
              <w:pStyle w:val="TableText"/>
              <w:spacing w:before="50" w:after="50"/>
            </w:pPr>
            <w:r w:rsidRPr="00BE78CA">
              <w:t>Oven dry product weight to carbon weight</w:t>
            </w:r>
          </w:p>
        </w:tc>
        <w:tc>
          <w:tcPr>
            <w:tcW w:w="1588" w:type="dxa"/>
            <w:tcBorders>
              <w:top w:val="single" w:sz="4" w:space="0" w:color="365F91"/>
              <w:bottom w:val="single" w:sz="4" w:space="0" w:color="365F91"/>
            </w:tcBorders>
          </w:tcPr>
          <w:p w14:paraId="22222257" w14:textId="77777777" w:rsidR="00333601" w:rsidRPr="00BE78CA" w:rsidRDefault="00333601" w:rsidP="00D5213D">
            <w:pPr>
              <w:pStyle w:val="TableText"/>
              <w:spacing w:before="50" w:after="50"/>
              <w:jc w:val="center"/>
            </w:pPr>
            <w:r w:rsidRPr="00BE78CA">
              <w:rPr>
                <w:rFonts w:cs="Arial"/>
              </w:rPr>
              <w:t>±</w:t>
            </w:r>
            <w:r w:rsidRPr="00BE78CA">
              <w:t>5</w:t>
            </w:r>
          </w:p>
        </w:tc>
        <w:tc>
          <w:tcPr>
            <w:tcW w:w="3005" w:type="dxa"/>
            <w:tcBorders>
              <w:top w:val="single" w:sz="4" w:space="0" w:color="365F91"/>
              <w:bottom w:val="single" w:sz="4" w:space="0" w:color="365F91"/>
            </w:tcBorders>
          </w:tcPr>
          <w:p w14:paraId="128C240C" w14:textId="77777777" w:rsidR="00333601" w:rsidRPr="00BE78CA" w:rsidRDefault="00333601" w:rsidP="00D5213D">
            <w:pPr>
              <w:pStyle w:val="TableText"/>
              <w:spacing w:before="50" w:after="50"/>
            </w:pPr>
            <w:r w:rsidRPr="00BE78CA">
              <w:t>Country specific (Wakelin et al., 2020)</w:t>
            </w:r>
          </w:p>
        </w:tc>
      </w:tr>
      <w:tr w:rsidR="00333601" w:rsidRPr="00BE78CA" w14:paraId="5C64D621" w14:textId="77777777" w:rsidTr="00D5213D">
        <w:tc>
          <w:tcPr>
            <w:tcW w:w="3912" w:type="dxa"/>
            <w:tcBorders>
              <w:top w:val="single" w:sz="4" w:space="0" w:color="365F91"/>
              <w:bottom w:val="single" w:sz="4" w:space="0" w:color="365F91"/>
            </w:tcBorders>
          </w:tcPr>
          <w:p w14:paraId="7A1DBC72" w14:textId="77777777" w:rsidR="00333601" w:rsidRPr="00BE78CA" w:rsidRDefault="00333601" w:rsidP="00D5213D">
            <w:pPr>
              <w:pStyle w:val="TableText"/>
              <w:spacing w:before="50" w:after="50"/>
            </w:pPr>
            <w:r w:rsidRPr="00BE78CA">
              <w:t>Discard rate, domestic</w:t>
            </w:r>
          </w:p>
        </w:tc>
        <w:tc>
          <w:tcPr>
            <w:tcW w:w="1588" w:type="dxa"/>
            <w:tcBorders>
              <w:top w:val="single" w:sz="4" w:space="0" w:color="365F91"/>
              <w:bottom w:val="single" w:sz="4" w:space="0" w:color="365F91"/>
            </w:tcBorders>
          </w:tcPr>
          <w:p w14:paraId="61D34A16" w14:textId="77777777" w:rsidR="00333601" w:rsidRPr="00BE78CA" w:rsidRDefault="00333601" w:rsidP="00D5213D">
            <w:pPr>
              <w:pStyle w:val="TableText"/>
              <w:spacing w:before="50" w:after="50"/>
              <w:jc w:val="center"/>
            </w:pPr>
            <w:r w:rsidRPr="00BE78CA">
              <w:rPr>
                <w:rFonts w:cs="Arial"/>
              </w:rPr>
              <w:t>±</w:t>
            </w:r>
            <w:r w:rsidRPr="00BE78CA">
              <w:t>50</w:t>
            </w:r>
          </w:p>
        </w:tc>
        <w:tc>
          <w:tcPr>
            <w:tcW w:w="3005" w:type="dxa"/>
            <w:tcBorders>
              <w:top w:val="single" w:sz="4" w:space="0" w:color="365F91"/>
              <w:bottom w:val="single" w:sz="4" w:space="0" w:color="365F91"/>
            </w:tcBorders>
          </w:tcPr>
          <w:p w14:paraId="01CE24C2" w14:textId="77777777" w:rsidR="00333601" w:rsidRPr="00BE78CA" w:rsidRDefault="00333601" w:rsidP="00D5213D">
            <w:pPr>
              <w:pStyle w:val="TableText"/>
              <w:spacing w:before="50" w:after="50"/>
            </w:pPr>
            <w:r w:rsidRPr="00BE78CA">
              <w:t>Country specific (Wakelin et al., 2020)</w:t>
            </w:r>
          </w:p>
        </w:tc>
      </w:tr>
      <w:tr w:rsidR="00333601" w:rsidRPr="00BE78CA" w14:paraId="27417F85" w14:textId="77777777" w:rsidTr="00D5213D">
        <w:tc>
          <w:tcPr>
            <w:tcW w:w="3912" w:type="dxa"/>
            <w:tcBorders>
              <w:top w:val="single" w:sz="4" w:space="0" w:color="365F91"/>
              <w:bottom w:val="single" w:sz="4" w:space="0" w:color="365F91"/>
            </w:tcBorders>
            <w:shd w:val="clear" w:color="auto" w:fill="auto"/>
          </w:tcPr>
          <w:p w14:paraId="23779DEA" w14:textId="77777777" w:rsidR="00333601" w:rsidRPr="00BE78CA" w:rsidRDefault="00333601" w:rsidP="00D5213D">
            <w:pPr>
              <w:pStyle w:val="TableText"/>
              <w:spacing w:before="50" w:after="50"/>
            </w:pPr>
            <w:r w:rsidRPr="00BE78CA">
              <w:t>Discard rate, export</w:t>
            </w:r>
          </w:p>
        </w:tc>
        <w:tc>
          <w:tcPr>
            <w:tcW w:w="1588" w:type="dxa"/>
            <w:tcBorders>
              <w:top w:val="single" w:sz="4" w:space="0" w:color="365F91"/>
              <w:bottom w:val="single" w:sz="4" w:space="0" w:color="365F91"/>
            </w:tcBorders>
            <w:shd w:val="clear" w:color="auto" w:fill="auto"/>
          </w:tcPr>
          <w:p w14:paraId="3EF1D008" w14:textId="77777777" w:rsidR="00333601" w:rsidRPr="00BE78CA" w:rsidRDefault="00333601" w:rsidP="00D5213D">
            <w:pPr>
              <w:pStyle w:val="TableText"/>
              <w:spacing w:before="50" w:after="50"/>
              <w:jc w:val="center"/>
            </w:pPr>
            <w:r w:rsidRPr="00BE78CA">
              <w:rPr>
                <w:rFonts w:cs="Arial"/>
              </w:rPr>
              <w:t>±</w:t>
            </w:r>
            <w:r w:rsidRPr="00BE78CA">
              <w:t>90</w:t>
            </w:r>
          </w:p>
        </w:tc>
        <w:tc>
          <w:tcPr>
            <w:tcW w:w="3005" w:type="dxa"/>
            <w:tcBorders>
              <w:top w:val="single" w:sz="4" w:space="0" w:color="365F91"/>
              <w:bottom w:val="single" w:sz="4" w:space="0" w:color="365F91"/>
            </w:tcBorders>
            <w:shd w:val="clear" w:color="auto" w:fill="auto"/>
          </w:tcPr>
          <w:p w14:paraId="5DC69B52" w14:textId="77777777" w:rsidR="00333601" w:rsidRPr="00BE78CA" w:rsidRDefault="00333601" w:rsidP="00D5213D">
            <w:pPr>
              <w:pStyle w:val="TableText"/>
              <w:spacing w:before="50" w:after="50"/>
            </w:pPr>
            <w:r w:rsidRPr="00BE78CA">
              <w:t>Country specific (Wakelin, unpublished(g))</w:t>
            </w:r>
          </w:p>
        </w:tc>
      </w:tr>
    </w:tbl>
    <w:p w14:paraId="3C468F7B" w14:textId="77777777" w:rsidR="00333601" w:rsidRPr="00BE78CA" w:rsidRDefault="00333601" w:rsidP="00D5213D">
      <w:pPr>
        <w:pStyle w:val="Table"/>
        <w:spacing w:before="280"/>
      </w:pPr>
      <w:bookmarkStart w:id="2658" w:name="_Toc410028868"/>
      <w:bookmarkStart w:id="2659" w:name="_Toc414531496"/>
      <w:bookmarkStart w:id="2660" w:name="_Toc443645409"/>
      <w:bookmarkStart w:id="2661" w:name="_Toc474914628"/>
      <w:bookmarkStart w:id="2662" w:name="_Toc481751592"/>
      <w:bookmarkStart w:id="2663" w:name="_Toc522010649"/>
      <w:bookmarkStart w:id="2664" w:name="_Toc5269554"/>
      <w:bookmarkStart w:id="2665" w:name="_Toc33529428"/>
      <w:bookmarkStart w:id="2666" w:name="_Toc36224634"/>
      <w:bookmarkStart w:id="2667" w:name="_Toc65243631"/>
      <w:bookmarkStart w:id="2668" w:name="_Toc68786521"/>
      <w:r w:rsidRPr="00BE78CA">
        <w:t>Table 6.10.3</w:t>
      </w:r>
      <w:r w:rsidRPr="00BE78CA">
        <w:tab/>
        <w:t>Uncertainty in New Zealand’s 2019 estimates from emissions associated with</w:t>
      </w:r>
      <w:r w:rsidRPr="00BE78CA">
        <w:br/>
        <w:t>Harvested wood products</w:t>
      </w:r>
      <w:bookmarkEnd w:id="2658"/>
      <w:bookmarkEnd w:id="2659"/>
      <w:bookmarkEnd w:id="2660"/>
      <w:bookmarkEnd w:id="2661"/>
      <w:bookmarkEnd w:id="2662"/>
      <w:bookmarkEnd w:id="2663"/>
      <w:bookmarkEnd w:id="2664"/>
      <w:bookmarkEnd w:id="2665"/>
      <w:bookmarkEnd w:id="2666"/>
      <w:bookmarkEnd w:id="2667"/>
      <w:bookmarkEnd w:id="2668"/>
    </w:p>
    <w:tbl>
      <w:tblPr>
        <w:tblW w:w="8505" w:type="dxa"/>
        <w:tblLook w:val="04A0" w:firstRow="1" w:lastRow="0" w:firstColumn="1" w:lastColumn="0" w:noHBand="0" w:noVBand="1"/>
      </w:tblPr>
      <w:tblGrid>
        <w:gridCol w:w="3861"/>
        <w:gridCol w:w="4644"/>
      </w:tblGrid>
      <w:tr w:rsidR="00333601" w:rsidRPr="00BE78CA" w14:paraId="3444440A" w14:textId="77777777" w:rsidTr="00D5213D">
        <w:trPr>
          <w:tblHeader/>
        </w:trPr>
        <w:tc>
          <w:tcPr>
            <w:tcW w:w="3861" w:type="dxa"/>
            <w:tcBorders>
              <w:top w:val="single" w:sz="4" w:space="0" w:color="365F91"/>
              <w:bottom w:val="single" w:sz="4" w:space="0" w:color="365F91"/>
            </w:tcBorders>
            <w:shd w:val="clear" w:color="auto" w:fill="365F91"/>
            <w:noWrap/>
            <w:hideMark/>
          </w:tcPr>
          <w:p w14:paraId="79FB239E" w14:textId="77777777" w:rsidR="00333601" w:rsidRPr="00BE78CA" w:rsidRDefault="00333601" w:rsidP="00D5213D">
            <w:pPr>
              <w:pStyle w:val="TableTextBold"/>
              <w:keepNext/>
              <w:spacing w:before="50" w:after="50"/>
              <w:rPr>
                <w:noProof w:val="0"/>
                <w:color w:val="FFFFFF"/>
              </w:rPr>
            </w:pPr>
            <w:r w:rsidRPr="00BE78CA">
              <w:rPr>
                <w:noProof w:val="0"/>
                <w:color w:val="FFFFFF"/>
              </w:rPr>
              <w:t>Variable</w:t>
            </w:r>
          </w:p>
        </w:tc>
        <w:tc>
          <w:tcPr>
            <w:tcW w:w="4644" w:type="dxa"/>
            <w:tcBorders>
              <w:top w:val="single" w:sz="4" w:space="0" w:color="365F91"/>
              <w:bottom w:val="single" w:sz="4" w:space="0" w:color="365F91"/>
            </w:tcBorders>
            <w:shd w:val="clear" w:color="auto" w:fill="365F91"/>
            <w:noWrap/>
            <w:hideMark/>
          </w:tcPr>
          <w:p w14:paraId="32925E9C" w14:textId="77777777" w:rsidR="00333601" w:rsidRPr="00BE78CA" w:rsidRDefault="00333601" w:rsidP="00D5213D">
            <w:pPr>
              <w:pStyle w:val="TableTextBold"/>
              <w:spacing w:before="50" w:after="50"/>
              <w:jc w:val="center"/>
              <w:rPr>
                <w:noProof w:val="0"/>
                <w:color w:val="FFFFFF"/>
              </w:rPr>
            </w:pPr>
            <w:r w:rsidRPr="00BE78CA">
              <w:rPr>
                <w:noProof w:val="0"/>
                <w:color w:val="FFFFFF"/>
              </w:rPr>
              <w:t>Uncertainty at a 95% confidence interval (%)</w:t>
            </w:r>
          </w:p>
        </w:tc>
      </w:tr>
      <w:tr w:rsidR="00333601" w:rsidRPr="00BE78CA" w14:paraId="119B691C" w14:textId="77777777" w:rsidTr="00D5213D">
        <w:tc>
          <w:tcPr>
            <w:tcW w:w="3861" w:type="dxa"/>
            <w:tcBorders>
              <w:top w:val="single" w:sz="4" w:space="0" w:color="365F91"/>
              <w:bottom w:val="single" w:sz="4" w:space="0" w:color="365F91"/>
            </w:tcBorders>
            <w:noWrap/>
            <w:hideMark/>
          </w:tcPr>
          <w:p w14:paraId="39F30468" w14:textId="77777777" w:rsidR="00333601" w:rsidRPr="00BE78CA" w:rsidRDefault="00333601" w:rsidP="00D5213D">
            <w:pPr>
              <w:pStyle w:val="TableTextBold"/>
              <w:keepNext/>
              <w:spacing w:before="50" w:after="50"/>
              <w:rPr>
                <w:noProof w:val="0"/>
              </w:rPr>
            </w:pPr>
            <w:r w:rsidRPr="00BE78CA">
              <w:rPr>
                <w:noProof w:val="0"/>
              </w:rPr>
              <w:t>Activity data</w:t>
            </w:r>
          </w:p>
        </w:tc>
        <w:tc>
          <w:tcPr>
            <w:tcW w:w="4644" w:type="dxa"/>
            <w:tcBorders>
              <w:top w:val="single" w:sz="4" w:space="0" w:color="365F91"/>
              <w:bottom w:val="single" w:sz="4" w:space="0" w:color="365F91"/>
            </w:tcBorders>
            <w:noWrap/>
            <w:hideMark/>
          </w:tcPr>
          <w:p w14:paraId="3AFCDC47" w14:textId="77777777" w:rsidR="00333601" w:rsidRPr="00BE78CA" w:rsidRDefault="00333601" w:rsidP="00D5213D">
            <w:pPr>
              <w:pStyle w:val="TableTextBold"/>
              <w:tabs>
                <w:tab w:val="decimal" w:pos="0"/>
              </w:tabs>
              <w:spacing w:before="50" w:after="50"/>
              <w:jc w:val="center"/>
              <w:rPr>
                <w:noProof w:val="0"/>
              </w:rPr>
            </w:pPr>
          </w:p>
        </w:tc>
      </w:tr>
      <w:tr w:rsidR="00333601" w:rsidRPr="00BE78CA" w14:paraId="2A2CAA59" w14:textId="77777777" w:rsidTr="00D5213D">
        <w:tc>
          <w:tcPr>
            <w:tcW w:w="3861" w:type="dxa"/>
            <w:tcBorders>
              <w:top w:val="single" w:sz="4" w:space="0" w:color="365F91"/>
              <w:bottom w:val="single" w:sz="4" w:space="0" w:color="365F91"/>
            </w:tcBorders>
            <w:noWrap/>
            <w:hideMark/>
          </w:tcPr>
          <w:p w14:paraId="121C1E6F" w14:textId="77777777" w:rsidR="00333601" w:rsidRPr="00BE78CA" w:rsidRDefault="00333601" w:rsidP="00D5213D">
            <w:pPr>
              <w:pStyle w:val="TableText"/>
              <w:keepNext/>
              <w:spacing w:before="50" w:after="50"/>
            </w:pPr>
            <w:r w:rsidRPr="00BE78CA">
              <w:t>Uncertainty in activity data</w:t>
            </w:r>
          </w:p>
        </w:tc>
        <w:tc>
          <w:tcPr>
            <w:tcW w:w="4644" w:type="dxa"/>
            <w:tcBorders>
              <w:top w:val="single" w:sz="4" w:space="0" w:color="365F91"/>
              <w:bottom w:val="single" w:sz="4" w:space="0" w:color="365F91"/>
            </w:tcBorders>
            <w:noWrap/>
            <w:hideMark/>
          </w:tcPr>
          <w:p w14:paraId="5BC831D5" w14:textId="77777777" w:rsidR="00333601" w:rsidRPr="00BE78CA" w:rsidRDefault="00333601" w:rsidP="00D5213D">
            <w:pPr>
              <w:pStyle w:val="TableText"/>
              <w:tabs>
                <w:tab w:val="decimal" w:pos="0"/>
              </w:tabs>
              <w:spacing w:before="50" w:after="50"/>
              <w:jc w:val="center"/>
            </w:pPr>
            <w:r w:rsidRPr="00BE78CA">
              <w:t>±15.0</w:t>
            </w:r>
          </w:p>
        </w:tc>
      </w:tr>
      <w:tr w:rsidR="00333601" w:rsidRPr="00BE78CA" w14:paraId="456CB7FC" w14:textId="77777777" w:rsidTr="00D5213D">
        <w:tc>
          <w:tcPr>
            <w:tcW w:w="3861" w:type="dxa"/>
            <w:tcBorders>
              <w:top w:val="single" w:sz="4" w:space="0" w:color="365F91"/>
              <w:bottom w:val="single" w:sz="4" w:space="0" w:color="365F91"/>
            </w:tcBorders>
            <w:noWrap/>
            <w:hideMark/>
          </w:tcPr>
          <w:p w14:paraId="0E8FD660" w14:textId="77777777" w:rsidR="00333601" w:rsidRPr="00BE78CA" w:rsidRDefault="00333601" w:rsidP="00D5213D">
            <w:pPr>
              <w:pStyle w:val="TableTextBold"/>
              <w:keepNext/>
              <w:spacing w:before="50" w:after="50"/>
              <w:rPr>
                <w:noProof w:val="0"/>
              </w:rPr>
            </w:pPr>
            <w:r w:rsidRPr="00BE78CA">
              <w:rPr>
                <w:noProof w:val="0"/>
              </w:rPr>
              <w:t>Emission factors</w:t>
            </w:r>
          </w:p>
        </w:tc>
        <w:tc>
          <w:tcPr>
            <w:tcW w:w="4644" w:type="dxa"/>
            <w:tcBorders>
              <w:top w:val="single" w:sz="4" w:space="0" w:color="365F91"/>
              <w:bottom w:val="single" w:sz="4" w:space="0" w:color="365F91"/>
            </w:tcBorders>
            <w:noWrap/>
            <w:hideMark/>
          </w:tcPr>
          <w:p w14:paraId="3F1FE3A3" w14:textId="77777777" w:rsidR="00333601" w:rsidRPr="00BE78CA" w:rsidRDefault="00333601" w:rsidP="00D5213D">
            <w:pPr>
              <w:pStyle w:val="TableTextBold"/>
              <w:tabs>
                <w:tab w:val="decimal" w:pos="0"/>
              </w:tabs>
              <w:spacing w:before="50" w:after="50"/>
              <w:jc w:val="center"/>
              <w:rPr>
                <w:noProof w:val="0"/>
              </w:rPr>
            </w:pPr>
          </w:p>
        </w:tc>
      </w:tr>
      <w:tr w:rsidR="00333601" w:rsidRPr="00BE78CA" w14:paraId="682C8173" w14:textId="77777777" w:rsidTr="00D5213D">
        <w:tc>
          <w:tcPr>
            <w:tcW w:w="3861" w:type="dxa"/>
            <w:tcBorders>
              <w:top w:val="single" w:sz="4" w:space="0" w:color="365F91"/>
              <w:bottom w:val="single" w:sz="4" w:space="0" w:color="365F91"/>
            </w:tcBorders>
            <w:noWrap/>
            <w:hideMark/>
          </w:tcPr>
          <w:p w14:paraId="76DB1B3B" w14:textId="77777777" w:rsidR="00333601" w:rsidRPr="00BE78CA" w:rsidRDefault="00333601" w:rsidP="00D5213D">
            <w:pPr>
              <w:pStyle w:val="TableText"/>
              <w:spacing w:before="50" w:after="50"/>
            </w:pPr>
            <w:r w:rsidRPr="00BE78CA">
              <w:t>Domestic production</w:t>
            </w:r>
          </w:p>
        </w:tc>
        <w:tc>
          <w:tcPr>
            <w:tcW w:w="4644" w:type="dxa"/>
            <w:tcBorders>
              <w:top w:val="single" w:sz="4" w:space="0" w:color="365F91"/>
              <w:bottom w:val="single" w:sz="4" w:space="0" w:color="365F91"/>
            </w:tcBorders>
            <w:noWrap/>
            <w:hideMark/>
          </w:tcPr>
          <w:p w14:paraId="4EB09AB9" w14:textId="77777777" w:rsidR="00333601" w:rsidRPr="00BE78CA" w:rsidRDefault="00333601" w:rsidP="00D5213D">
            <w:pPr>
              <w:pStyle w:val="TableText"/>
              <w:tabs>
                <w:tab w:val="decimal" w:pos="0"/>
              </w:tabs>
              <w:spacing w:before="50" w:after="50"/>
              <w:jc w:val="center"/>
            </w:pPr>
            <w:r w:rsidRPr="00BE78CA">
              <w:t>±51.2</w:t>
            </w:r>
          </w:p>
        </w:tc>
      </w:tr>
      <w:tr w:rsidR="00333601" w:rsidRPr="00BE78CA" w14:paraId="41922B1A" w14:textId="77777777" w:rsidTr="00D5213D">
        <w:tc>
          <w:tcPr>
            <w:tcW w:w="3861" w:type="dxa"/>
            <w:tcBorders>
              <w:top w:val="single" w:sz="4" w:space="0" w:color="365F91"/>
              <w:bottom w:val="single" w:sz="4" w:space="0" w:color="365F91"/>
            </w:tcBorders>
            <w:noWrap/>
            <w:hideMark/>
          </w:tcPr>
          <w:p w14:paraId="0E6EF53E" w14:textId="77777777" w:rsidR="00333601" w:rsidRPr="00BE78CA" w:rsidRDefault="00333601" w:rsidP="00D5213D">
            <w:pPr>
              <w:pStyle w:val="TableText"/>
              <w:spacing w:before="50" w:after="50"/>
            </w:pPr>
            <w:r w:rsidRPr="00BE78CA">
              <w:t>Export raw materials</w:t>
            </w:r>
          </w:p>
        </w:tc>
        <w:tc>
          <w:tcPr>
            <w:tcW w:w="4644" w:type="dxa"/>
            <w:tcBorders>
              <w:top w:val="single" w:sz="4" w:space="0" w:color="365F91"/>
              <w:bottom w:val="single" w:sz="4" w:space="0" w:color="365F91"/>
            </w:tcBorders>
            <w:noWrap/>
            <w:hideMark/>
          </w:tcPr>
          <w:p w14:paraId="51C3048B" w14:textId="77777777" w:rsidR="00333601" w:rsidRPr="00BE78CA" w:rsidRDefault="00333601" w:rsidP="00D5213D">
            <w:pPr>
              <w:pStyle w:val="TableText"/>
              <w:tabs>
                <w:tab w:val="decimal" w:pos="0"/>
              </w:tabs>
              <w:spacing w:before="50" w:after="50"/>
              <w:jc w:val="center"/>
            </w:pPr>
            <w:r w:rsidRPr="00BE78CA">
              <w:t>±90.7</w:t>
            </w:r>
          </w:p>
        </w:tc>
      </w:tr>
      <w:tr w:rsidR="00333601" w:rsidRPr="00BE78CA" w14:paraId="1F9DBF01" w14:textId="77777777" w:rsidTr="00D5213D">
        <w:tc>
          <w:tcPr>
            <w:tcW w:w="3861" w:type="dxa"/>
            <w:tcBorders>
              <w:top w:val="single" w:sz="4" w:space="0" w:color="365F91"/>
              <w:bottom w:val="single" w:sz="4" w:space="0" w:color="365F91"/>
            </w:tcBorders>
            <w:noWrap/>
            <w:hideMark/>
          </w:tcPr>
          <w:p w14:paraId="1F8C5FC9" w14:textId="77777777" w:rsidR="00333601" w:rsidRPr="00BE78CA" w:rsidRDefault="00333601" w:rsidP="00D5213D">
            <w:pPr>
              <w:pStyle w:val="TableText"/>
              <w:spacing w:before="50" w:after="50"/>
              <w:rPr>
                <w:b/>
              </w:rPr>
            </w:pPr>
            <w:r w:rsidRPr="00BE78CA">
              <w:t>Total domestic and export uncertainty</w:t>
            </w:r>
          </w:p>
        </w:tc>
        <w:tc>
          <w:tcPr>
            <w:tcW w:w="4644" w:type="dxa"/>
            <w:tcBorders>
              <w:top w:val="single" w:sz="4" w:space="0" w:color="365F91"/>
              <w:bottom w:val="single" w:sz="4" w:space="0" w:color="365F91"/>
            </w:tcBorders>
            <w:noWrap/>
            <w:hideMark/>
          </w:tcPr>
          <w:p w14:paraId="6743659A" w14:textId="77777777" w:rsidR="00333601" w:rsidRPr="00BE78CA" w:rsidRDefault="00333601" w:rsidP="00D5213D">
            <w:pPr>
              <w:pStyle w:val="TableText"/>
              <w:tabs>
                <w:tab w:val="decimal" w:pos="0"/>
              </w:tabs>
              <w:spacing w:before="50" w:after="50"/>
              <w:jc w:val="center"/>
            </w:pPr>
            <w:r w:rsidRPr="00BE78CA">
              <w:t>±67.4</w:t>
            </w:r>
          </w:p>
        </w:tc>
      </w:tr>
      <w:tr w:rsidR="00333601" w:rsidRPr="00BE78CA" w14:paraId="6E2814B7" w14:textId="77777777" w:rsidTr="00D5213D">
        <w:tc>
          <w:tcPr>
            <w:tcW w:w="3861" w:type="dxa"/>
            <w:tcBorders>
              <w:top w:val="single" w:sz="4" w:space="0" w:color="365F91"/>
              <w:bottom w:val="single" w:sz="4" w:space="0" w:color="365F91"/>
            </w:tcBorders>
            <w:noWrap/>
            <w:hideMark/>
          </w:tcPr>
          <w:p w14:paraId="01B55F16" w14:textId="77777777" w:rsidR="00333601" w:rsidRPr="00BE78CA" w:rsidRDefault="00333601" w:rsidP="00D5213D">
            <w:pPr>
              <w:pStyle w:val="Tableboldblue"/>
              <w:spacing w:before="50" w:after="50"/>
            </w:pPr>
            <w:r w:rsidRPr="00BE78CA">
              <w:t>Uncertainty introduced into net emissions for LULUCF</w:t>
            </w:r>
          </w:p>
        </w:tc>
        <w:tc>
          <w:tcPr>
            <w:tcW w:w="4644" w:type="dxa"/>
            <w:tcBorders>
              <w:top w:val="single" w:sz="4" w:space="0" w:color="365F91"/>
              <w:bottom w:val="single" w:sz="4" w:space="0" w:color="365F91"/>
            </w:tcBorders>
            <w:noWrap/>
            <w:hideMark/>
          </w:tcPr>
          <w:p w14:paraId="260D7AAD" w14:textId="77777777" w:rsidR="00333601" w:rsidRPr="00BE78CA" w:rsidRDefault="00333601" w:rsidP="00D5213D">
            <w:pPr>
              <w:pStyle w:val="Tableboldblue"/>
              <w:spacing w:before="50" w:after="50"/>
              <w:jc w:val="center"/>
            </w:pPr>
            <w:r w:rsidRPr="00BE78CA">
              <w:t>±25.0</w:t>
            </w:r>
          </w:p>
        </w:tc>
      </w:tr>
    </w:tbl>
    <w:p w14:paraId="12AFA778" w14:textId="77777777" w:rsidR="00333601" w:rsidRPr="00BE78CA" w:rsidRDefault="00333601" w:rsidP="00D5213D">
      <w:pPr>
        <w:pStyle w:val="Heading3"/>
        <w:spacing w:before="400"/>
      </w:pPr>
      <w:r w:rsidRPr="00BE78CA">
        <w:t>6.10.4</w:t>
      </w:r>
      <w:r w:rsidRPr="00BE78CA">
        <w:tab/>
        <w:t>Category-specific QA/QC and verification</w:t>
      </w:r>
    </w:p>
    <w:p w14:paraId="77B86B26" w14:textId="77777777" w:rsidR="00333601" w:rsidRPr="00BE78CA" w:rsidRDefault="00333601" w:rsidP="00333601">
      <w:pPr>
        <w:pStyle w:val="BodyText"/>
        <w:spacing w:before="100" w:after="100"/>
      </w:pPr>
      <w:r w:rsidRPr="00BE78CA">
        <w:t>No category-specific quality assurance, quality control and verification processes were undertaken. However, a process is planned for a future submission, as described in section 6.10.6.</w:t>
      </w:r>
    </w:p>
    <w:p w14:paraId="78F398B9" w14:textId="77777777" w:rsidR="00333601" w:rsidRPr="00BE78CA" w:rsidRDefault="00333601" w:rsidP="00D5213D">
      <w:pPr>
        <w:pStyle w:val="Heading3"/>
        <w:spacing w:before="320"/>
      </w:pPr>
      <w:r w:rsidRPr="00BE78CA">
        <w:t>6.10.5</w:t>
      </w:r>
      <w:r w:rsidRPr="00BE78CA">
        <w:tab/>
        <w:t>Category-specific recalculations</w:t>
      </w:r>
    </w:p>
    <w:p w14:paraId="3436DE3B" w14:textId="77777777" w:rsidR="00333601" w:rsidRPr="00BE78CA" w:rsidRDefault="00333601" w:rsidP="00333601">
      <w:pPr>
        <w:pStyle w:val="BodyText"/>
        <w:spacing w:before="100" w:after="100"/>
      </w:pPr>
      <w:r w:rsidRPr="00BE78CA">
        <w:t xml:space="preserve">Harvested wood product data from the FAOSTAT database are regularly updated. At the time of the 2020 inventory submission, 2018 roundwood actual data were not available and a projected value was used instead. In 2020, actual data for 2018 have been updated in the </w:t>
      </w:r>
      <w:r w:rsidRPr="00BE78CA">
        <w:lastRenderedPageBreak/>
        <w:t xml:space="preserve">FAOSTAT database. To account for the updated provisional data within the FAOSTAT database, recalculations for New Zealand’s emissions from harvested wood products were undertaken (table 6.10.4). The 2018 actual value is lower, 21,236,670 cubic metres, than the projected value of 23,194,870 cubic metres, leading to a 12.8 per cent change in emissions from </w:t>
      </w:r>
      <w:r w:rsidRPr="00BE78CA">
        <w:rPr>
          <w:i/>
          <w:iCs/>
        </w:rPr>
        <w:t>Harvested wood products</w:t>
      </w:r>
      <w:r w:rsidRPr="00BE78CA">
        <w:t xml:space="preserve"> for the 2018 year.</w:t>
      </w:r>
    </w:p>
    <w:p w14:paraId="37F83C00" w14:textId="77777777" w:rsidR="00333601" w:rsidRPr="00BE78CA" w:rsidRDefault="00333601" w:rsidP="00333601">
      <w:pPr>
        <w:pStyle w:val="Table"/>
      </w:pPr>
      <w:bookmarkStart w:id="2669" w:name="_Toc443645410"/>
      <w:bookmarkStart w:id="2670" w:name="_Toc474914629"/>
      <w:bookmarkStart w:id="2671" w:name="_Toc481751593"/>
      <w:bookmarkStart w:id="2672" w:name="_Toc522010650"/>
      <w:bookmarkStart w:id="2673" w:name="_Toc5269555"/>
      <w:bookmarkStart w:id="2674" w:name="_Toc33529429"/>
      <w:bookmarkStart w:id="2675" w:name="_Toc36224635"/>
      <w:bookmarkStart w:id="2676" w:name="_Toc65243632"/>
      <w:bookmarkStart w:id="2677" w:name="_Toc68786522"/>
      <w:r w:rsidRPr="00BE78CA">
        <w:t>Table 6.10.4</w:t>
      </w:r>
      <w:r w:rsidRPr="00BE78CA">
        <w:tab/>
        <w:t>Recalculations for New Zealand’s net emissions from the Harvested wood products</w:t>
      </w:r>
      <w:r w:rsidRPr="00BE78CA">
        <w:br/>
        <w:t>category in 1990 and 201</w:t>
      </w:r>
      <w:bookmarkEnd w:id="2669"/>
      <w:r w:rsidRPr="00BE78CA">
        <w:t>8</w:t>
      </w:r>
      <w:bookmarkEnd w:id="2670"/>
      <w:bookmarkEnd w:id="2671"/>
      <w:bookmarkEnd w:id="2672"/>
      <w:bookmarkEnd w:id="2673"/>
      <w:bookmarkEnd w:id="2674"/>
      <w:bookmarkEnd w:id="2675"/>
      <w:bookmarkEnd w:id="2676"/>
      <w:bookmarkEnd w:id="2677"/>
    </w:p>
    <w:tbl>
      <w:tblPr>
        <w:tblW w:w="8505" w:type="dxa"/>
        <w:tblLook w:val="04A0" w:firstRow="1" w:lastRow="0" w:firstColumn="1" w:lastColumn="0" w:noHBand="0" w:noVBand="1"/>
      </w:tblPr>
      <w:tblGrid>
        <w:gridCol w:w="1109"/>
        <w:gridCol w:w="1849"/>
        <w:gridCol w:w="1849"/>
        <w:gridCol w:w="1849"/>
        <w:gridCol w:w="1849"/>
      </w:tblGrid>
      <w:tr w:rsidR="00333601" w:rsidRPr="00BE78CA" w14:paraId="6C3E7E88" w14:textId="77777777" w:rsidTr="00823330">
        <w:tc>
          <w:tcPr>
            <w:tcW w:w="652" w:type="pct"/>
            <w:vMerge w:val="restart"/>
            <w:tcBorders>
              <w:top w:val="single" w:sz="4" w:space="0" w:color="365F91"/>
            </w:tcBorders>
            <w:shd w:val="clear" w:color="auto" w:fill="365F91"/>
            <w:vAlign w:val="bottom"/>
          </w:tcPr>
          <w:p w14:paraId="4922992D" w14:textId="77777777" w:rsidR="00333601" w:rsidRPr="00BE78CA" w:rsidRDefault="00333601" w:rsidP="00C26084">
            <w:pPr>
              <w:pStyle w:val="TableTextBold"/>
              <w:rPr>
                <w:noProof w:val="0"/>
                <w:color w:val="FFFFFF"/>
              </w:rPr>
            </w:pPr>
            <w:r w:rsidRPr="00BE78CA">
              <w:rPr>
                <w:noProof w:val="0"/>
                <w:color w:val="FFFFFF"/>
              </w:rPr>
              <w:t>Year</w:t>
            </w:r>
          </w:p>
        </w:tc>
        <w:tc>
          <w:tcPr>
            <w:tcW w:w="2174" w:type="pct"/>
            <w:gridSpan w:val="2"/>
            <w:tcBorders>
              <w:top w:val="single" w:sz="4" w:space="0" w:color="365F91"/>
            </w:tcBorders>
            <w:shd w:val="clear" w:color="auto" w:fill="365F91"/>
            <w:noWrap/>
          </w:tcPr>
          <w:p w14:paraId="4F5B30A2" w14:textId="77777777" w:rsidR="00333601" w:rsidRPr="00BE78CA" w:rsidRDefault="00333601" w:rsidP="00C26084">
            <w:pPr>
              <w:pStyle w:val="TableTextBold"/>
              <w:spacing w:after="0"/>
              <w:jc w:val="center"/>
              <w:rPr>
                <w:noProof w:val="0"/>
                <w:color w:val="FFFFFF"/>
              </w:rPr>
            </w:pPr>
            <w:r w:rsidRPr="00BE78CA">
              <w:rPr>
                <w:noProof w:val="0"/>
                <w:color w:val="FFFFFF"/>
              </w:rPr>
              <w:t>Net emissions (kt CO</w:t>
            </w:r>
            <w:r w:rsidRPr="00BE78CA">
              <w:rPr>
                <w:noProof w:val="0"/>
                <w:color w:val="FFFFFF"/>
                <w:vertAlign w:val="subscript"/>
              </w:rPr>
              <w:t>2</w:t>
            </w:r>
            <w:r w:rsidRPr="00BE78CA">
              <w:rPr>
                <w:noProof w:val="0"/>
                <w:color w:val="FFFFFF"/>
              </w:rPr>
              <w:t>-e)</w:t>
            </w:r>
          </w:p>
        </w:tc>
        <w:tc>
          <w:tcPr>
            <w:tcW w:w="2174" w:type="pct"/>
            <w:gridSpan w:val="2"/>
            <w:tcBorders>
              <w:top w:val="single" w:sz="4" w:space="0" w:color="365F91"/>
            </w:tcBorders>
            <w:shd w:val="clear" w:color="auto" w:fill="365F91"/>
          </w:tcPr>
          <w:p w14:paraId="78659628" w14:textId="77777777" w:rsidR="00333601" w:rsidRPr="00BE78CA" w:rsidRDefault="00333601" w:rsidP="00C26084">
            <w:pPr>
              <w:pStyle w:val="TableTextBold"/>
              <w:spacing w:after="0"/>
              <w:jc w:val="center"/>
              <w:rPr>
                <w:noProof w:val="0"/>
                <w:color w:val="FFFFFF"/>
              </w:rPr>
            </w:pPr>
            <w:r w:rsidRPr="00BE78CA">
              <w:rPr>
                <w:noProof w:val="0"/>
                <w:color w:val="FFFFFF"/>
              </w:rPr>
              <w:t>Change from the 2020 submission</w:t>
            </w:r>
          </w:p>
        </w:tc>
      </w:tr>
      <w:tr w:rsidR="00333601" w:rsidRPr="00BE78CA" w14:paraId="79EB1496" w14:textId="77777777" w:rsidTr="00823330">
        <w:tc>
          <w:tcPr>
            <w:tcW w:w="652" w:type="pct"/>
            <w:vMerge/>
            <w:tcBorders>
              <w:bottom w:val="single" w:sz="4" w:space="0" w:color="365F91"/>
            </w:tcBorders>
            <w:shd w:val="clear" w:color="auto" w:fill="365F91"/>
          </w:tcPr>
          <w:p w14:paraId="348906F1" w14:textId="77777777" w:rsidR="00333601" w:rsidRPr="00BE78CA" w:rsidRDefault="00333601" w:rsidP="00C26084">
            <w:pPr>
              <w:pStyle w:val="TableText"/>
              <w:spacing w:before="40" w:after="40"/>
              <w:rPr>
                <w:color w:val="FFFFFF"/>
              </w:rPr>
            </w:pPr>
          </w:p>
        </w:tc>
        <w:tc>
          <w:tcPr>
            <w:tcW w:w="1087" w:type="pct"/>
            <w:tcBorders>
              <w:bottom w:val="single" w:sz="4" w:space="0" w:color="365F91"/>
            </w:tcBorders>
            <w:shd w:val="clear" w:color="auto" w:fill="365F91"/>
          </w:tcPr>
          <w:p w14:paraId="07DC15CF" w14:textId="77777777" w:rsidR="00333601" w:rsidRPr="00BE78CA" w:rsidRDefault="00333601" w:rsidP="00C26084">
            <w:pPr>
              <w:pStyle w:val="TableTextBold"/>
              <w:spacing w:before="40"/>
              <w:jc w:val="center"/>
              <w:rPr>
                <w:noProof w:val="0"/>
                <w:color w:val="FFFFFF"/>
              </w:rPr>
            </w:pPr>
            <w:r w:rsidRPr="00BE78CA">
              <w:rPr>
                <w:noProof w:val="0"/>
                <w:color w:val="FFFFFF"/>
              </w:rPr>
              <w:t>2020 submission</w:t>
            </w:r>
          </w:p>
        </w:tc>
        <w:tc>
          <w:tcPr>
            <w:tcW w:w="1087" w:type="pct"/>
            <w:tcBorders>
              <w:bottom w:val="single" w:sz="4" w:space="0" w:color="365F91"/>
            </w:tcBorders>
            <w:shd w:val="clear" w:color="auto" w:fill="365F91"/>
          </w:tcPr>
          <w:p w14:paraId="213D59E7" w14:textId="77777777" w:rsidR="00333601" w:rsidRPr="00BE78CA" w:rsidRDefault="00333601" w:rsidP="00C26084">
            <w:pPr>
              <w:pStyle w:val="TableTextBold"/>
              <w:spacing w:before="40"/>
              <w:jc w:val="center"/>
              <w:rPr>
                <w:noProof w:val="0"/>
                <w:color w:val="FFFFFF"/>
              </w:rPr>
            </w:pPr>
            <w:r w:rsidRPr="00BE78CA">
              <w:rPr>
                <w:noProof w:val="0"/>
                <w:color w:val="FFFFFF"/>
              </w:rPr>
              <w:t>2021 submission</w:t>
            </w:r>
          </w:p>
        </w:tc>
        <w:tc>
          <w:tcPr>
            <w:tcW w:w="1087" w:type="pct"/>
            <w:tcBorders>
              <w:bottom w:val="single" w:sz="4" w:space="0" w:color="365F91"/>
            </w:tcBorders>
            <w:shd w:val="clear" w:color="auto" w:fill="365F91"/>
          </w:tcPr>
          <w:p w14:paraId="49AEB322" w14:textId="77777777" w:rsidR="00333601" w:rsidRPr="00BE78CA" w:rsidRDefault="00333601" w:rsidP="00C26084">
            <w:pPr>
              <w:pStyle w:val="TableTextBold"/>
              <w:spacing w:before="40"/>
              <w:jc w:val="center"/>
              <w:rPr>
                <w:noProof w:val="0"/>
                <w:color w:val="FFFFFF"/>
              </w:rPr>
            </w:pPr>
            <w:r w:rsidRPr="00BE78CA">
              <w:rPr>
                <w:noProof w:val="0"/>
                <w:color w:val="FFFFFF"/>
              </w:rPr>
              <w:t>(kt CO</w:t>
            </w:r>
            <w:r w:rsidRPr="00BE78CA">
              <w:rPr>
                <w:noProof w:val="0"/>
                <w:color w:val="FFFFFF"/>
                <w:vertAlign w:val="subscript"/>
              </w:rPr>
              <w:t>2</w:t>
            </w:r>
            <w:r w:rsidRPr="00BE78CA">
              <w:rPr>
                <w:noProof w:val="0"/>
                <w:color w:val="FFFFFF"/>
              </w:rPr>
              <w:t>-e)</w:t>
            </w:r>
          </w:p>
        </w:tc>
        <w:tc>
          <w:tcPr>
            <w:tcW w:w="1087" w:type="pct"/>
            <w:tcBorders>
              <w:bottom w:val="single" w:sz="4" w:space="0" w:color="365F91"/>
            </w:tcBorders>
            <w:shd w:val="clear" w:color="auto" w:fill="365F91"/>
          </w:tcPr>
          <w:p w14:paraId="4E1AEC61" w14:textId="77777777" w:rsidR="00333601" w:rsidRPr="00BE78CA" w:rsidRDefault="00333601" w:rsidP="00C26084">
            <w:pPr>
              <w:pStyle w:val="TableTextBold"/>
              <w:spacing w:before="40"/>
              <w:jc w:val="center"/>
              <w:rPr>
                <w:noProof w:val="0"/>
                <w:color w:val="FFFFFF"/>
              </w:rPr>
            </w:pPr>
            <w:r w:rsidRPr="00BE78CA">
              <w:rPr>
                <w:noProof w:val="0"/>
                <w:color w:val="FFFFFF"/>
              </w:rPr>
              <w:t>(%)</w:t>
            </w:r>
          </w:p>
        </w:tc>
      </w:tr>
      <w:tr w:rsidR="00333601" w:rsidRPr="00BE78CA" w14:paraId="4CE2BE18" w14:textId="77777777" w:rsidTr="00823330">
        <w:tc>
          <w:tcPr>
            <w:tcW w:w="652" w:type="pct"/>
            <w:tcBorders>
              <w:top w:val="single" w:sz="4" w:space="0" w:color="365F91"/>
              <w:bottom w:val="single" w:sz="4" w:space="0" w:color="365F91"/>
            </w:tcBorders>
          </w:tcPr>
          <w:p w14:paraId="4A81A60B" w14:textId="77777777" w:rsidR="00333601" w:rsidRPr="00BE78CA" w:rsidRDefault="00333601" w:rsidP="00823330">
            <w:pPr>
              <w:pStyle w:val="TableText"/>
              <w:spacing w:before="50" w:after="50"/>
            </w:pPr>
            <w:r w:rsidRPr="00BE78CA">
              <w:t xml:space="preserve">1990 </w:t>
            </w:r>
          </w:p>
        </w:tc>
        <w:tc>
          <w:tcPr>
            <w:tcW w:w="1087" w:type="pct"/>
            <w:tcBorders>
              <w:top w:val="single" w:sz="4" w:space="0" w:color="365F91"/>
              <w:bottom w:val="single" w:sz="4" w:space="0" w:color="365F91"/>
            </w:tcBorders>
          </w:tcPr>
          <w:p w14:paraId="6ACBCF08" w14:textId="77777777" w:rsidR="00333601" w:rsidRPr="00BE78CA" w:rsidRDefault="00333601" w:rsidP="00823330">
            <w:pPr>
              <w:pStyle w:val="TableText"/>
              <w:tabs>
                <w:tab w:val="decimal" w:pos="599"/>
              </w:tabs>
              <w:spacing w:before="50" w:after="50"/>
              <w:jc w:val="center"/>
            </w:pPr>
            <w:r w:rsidRPr="00BE78CA">
              <w:t>–2,072.9</w:t>
            </w:r>
          </w:p>
        </w:tc>
        <w:tc>
          <w:tcPr>
            <w:tcW w:w="1087" w:type="pct"/>
            <w:tcBorders>
              <w:top w:val="single" w:sz="4" w:space="0" w:color="365F91"/>
              <w:bottom w:val="single" w:sz="4" w:space="0" w:color="365F91"/>
            </w:tcBorders>
          </w:tcPr>
          <w:p w14:paraId="27D25A59" w14:textId="77777777" w:rsidR="00333601" w:rsidRPr="00BE78CA" w:rsidRDefault="00333601" w:rsidP="00823330">
            <w:pPr>
              <w:pStyle w:val="TableText"/>
              <w:tabs>
                <w:tab w:val="decimal" w:pos="599"/>
              </w:tabs>
              <w:spacing w:before="50" w:after="50"/>
              <w:jc w:val="center"/>
            </w:pPr>
            <w:r w:rsidRPr="00BE78CA">
              <w:t>–2,072.9</w:t>
            </w:r>
          </w:p>
        </w:tc>
        <w:tc>
          <w:tcPr>
            <w:tcW w:w="1087" w:type="pct"/>
            <w:tcBorders>
              <w:top w:val="single" w:sz="4" w:space="0" w:color="365F91"/>
              <w:bottom w:val="single" w:sz="4" w:space="0" w:color="365F91"/>
            </w:tcBorders>
          </w:tcPr>
          <w:p w14:paraId="4BE0C64C" w14:textId="77777777" w:rsidR="00333601" w:rsidRPr="00BE78CA" w:rsidRDefault="00333601" w:rsidP="00823330">
            <w:pPr>
              <w:pStyle w:val="TableText"/>
              <w:tabs>
                <w:tab w:val="decimal" w:pos="599"/>
              </w:tabs>
              <w:spacing w:before="50" w:after="50"/>
              <w:jc w:val="center"/>
            </w:pPr>
            <w:r w:rsidRPr="00BE78CA">
              <w:t xml:space="preserve">0.0 </w:t>
            </w:r>
          </w:p>
        </w:tc>
        <w:tc>
          <w:tcPr>
            <w:tcW w:w="1087" w:type="pct"/>
            <w:tcBorders>
              <w:top w:val="single" w:sz="4" w:space="0" w:color="365F91"/>
              <w:bottom w:val="single" w:sz="4" w:space="0" w:color="365F91"/>
            </w:tcBorders>
          </w:tcPr>
          <w:p w14:paraId="092433C5" w14:textId="77777777" w:rsidR="00333601" w:rsidRPr="00BE78CA" w:rsidRDefault="00333601" w:rsidP="00823330">
            <w:pPr>
              <w:pStyle w:val="TableText"/>
              <w:tabs>
                <w:tab w:val="decimal" w:pos="599"/>
              </w:tabs>
              <w:spacing w:before="50" w:after="50"/>
              <w:jc w:val="center"/>
            </w:pPr>
            <w:r w:rsidRPr="00BE78CA">
              <w:t>+0.0</w:t>
            </w:r>
          </w:p>
        </w:tc>
      </w:tr>
      <w:tr w:rsidR="00333601" w:rsidRPr="00BE78CA" w14:paraId="739F152D" w14:textId="77777777" w:rsidTr="00823330">
        <w:tc>
          <w:tcPr>
            <w:tcW w:w="652" w:type="pct"/>
            <w:tcBorders>
              <w:top w:val="single" w:sz="4" w:space="0" w:color="365F91"/>
              <w:bottom w:val="single" w:sz="4" w:space="0" w:color="365F91"/>
            </w:tcBorders>
          </w:tcPr>
          <w:p w14:paraId="31A37B08" w14:textId="77777777" w:rsidR="00333601" w:rsidRPr="00BE78CA" w:rsidRDefault="00333601" w:rsidP="00823330">
            <w:pPr>
              <w:pStyle w:val="TableText"/>
              <w:spacing w:before="50" w:after="50"/>
            </w:pPr>
            <w:r w:rsidRPr="00BE78CA">
              <w:t>2018</w:t>
            </w:r>
          </w:p>
        </w:tc>
        <w:tc>
          <w:tcPr>
            <w:tcW w:w="1087" w:type="pct"/>
            <w:tcBorders>
              <w:top w:val="single" w:sz="4" w:space="0" w:color="365F91"/>
              <w:bottom w:val="single" w:sz="4" w:space="0" w:color="365F91"/>
            </w:tcBorders>
          </w:tcPr>
          <w:p w14:paraId="67B3B35A" w14:textId="77777777" w:rsidR="00333601" w:rsidRPr="00BE78CA" w:rsidRDefault="00333601" w:rsidP="00823330">
            <w:pPr>
              <w:pStyle w:val="TableText"/>
              <w:tabs>
                <w:tab w:val="decimal" w:pos="599"/>
              </w:tabs>
              <w:spacing w:before="50" w:after="50"/>
              <w:jc w:val="center"/>
            </w:pPr>
            <w:r w:rsidRPr="00BE78CA">
              <w:t>–10,746.7</w:t>
            </w:r>
          </w:p>
        </w:tc>
        <w:tc>
          <w:tcPr>
            <w:tcW w:w="1087" w:type="pct"/>
            <w:tcBorders>
              <w:top w:val="single" w:sz="4" w:space="0" w:color="365F91"/>
              <w:bottom w:val="single" w:sz="4" w:space="0" w:color="365F91"/>
            </w:tcBorders>
          </w:tcPr>
          <w:p w14:paraId="73F46E8A" w14:textId="77777777" w:rsidR="00333601" w:rsidRPr="00BE78CA" w:rsidRDefault="00333601" w:rsidP="00823330">
            <w:pPr>
              <w:pStyle w:val="TableText"/>
              <w:tabs>
                <w:tab w:val="decimal" w:pos="599"/>
              </w:tabs>
              <w:spacing w:before="50" w:after="50"/>
              <w:jc w:val="center"/>
            </w:pPr>
            <w:r w:rsidRPr="00BE78CA">
              <w:t>–9,375.6</w:t>
            </w:r>
          </w:p>
        </w:tc>
        <w:tc>
          <w:tcPr>
            <w:tcW w:w="1087" w:type="pct"/>
            <w:tcBorders>
              <w:top w:val="single" w:sz="4" w:space="0" w:color="365F91"/>
              <w:bottom w:val="single" w:sz="4" w:space="0" w:color="365F91"/>
            </w:tcBorders>
          </w:tcPr>
          <w:p w14:paraId="0341A517" w14:textId="77777777" w:rsidR="00333601" w:rsidRPr="00BE78CA" w:rsidRDefault="00333601" w:rsidP="00823330">
            <w:pPr>
              <w:pStyle w:val="TableText"/>
              <w:tabs>
                <w:tab w:val="decimal" w:pos="599"/>
              </w:tabs>
              <w:spacing w:before="50" w:after="50"/>
              <w:jc w:val="center"/>
            </w:pPr>
            <w:r w:rsidRPr="00BE78CA">
              <w:t xml:space="preserve">1,371.1 </w:t>
            </w:r>
          </w:p>
        </w:tc>
        <w:tc>
          <w:tcPr>
            <w:tcW w:w="1087" w:type="pct"/>
            <w:tcBorders>
              <w:top w:val="single" w:sz="4" w:space="0" w:color="365F91"/>
              <w:bottom w:val="single" w:sz="4" w:space="0" w:color="365F91"/>
            </w:tcBorders>
          </w:tcPr>
          <w:p w14:paraId="086707B3" w14:textId="77777777" w:rsidR="00333601" w:rsidRPr="00BE78CA" w:rsidRDefault="00333601" w:rsidP="00823330">
            <w:pPr>
              <w:pStyle w:val="TableText"/>
              <w:tabs>
                <w:tab w:val="decimal" w:pos="599"/>
              </w:tabs>
              <w:spacing w:before="50" w:after="50"/>
              <w:jc w:val="center"/>
            </w:pPr>
            <w:r w:rsidRPr="00BE78CA">
              <w:t>+12.8</w:t>
            </w:r>
          </w:p>
        </w:tc>
      </w:tr>
    </w:tbl>
    <w:p w14:paraId="38FC4431" w14:textId="77777777" w:rsidR="00333601" w:rsidRPr="00BE78CA" w:rsidRDefault="00333601" w:rsidP="00333601">
      <w:pPr>
        <w:pStyle w:val="Heading3"/>
        <w:spacing w:before="400"/>
      </w:pPr>
      <w:r w:rsidRPr="00BE78CA">
        <w:t>6.10.6</w:t>
      </w:r>
      <w:r w:rsidRPr="00BE78CA">
        <w:tab/>
        <w:t>Category-specific planned improvements</w:t>
      </w:r>
    </w:p>
    <w:p w14:paraId="40D0E93D" w14:textId="77777777" w:rsidR="00333601" w:rsidRPr="00BE78CA" w:rsidRDefault="00333601" w:rsidP="00333601">
      <w:pPr>
        <w:pStyle w:val="BodyText"/>
        <w:spacing w:before="60" w:after="100"/>
        <w:rPr>
          <w:spacing w:val="-2"/>
        </w:rPr>
      </w:pPr>
      <w:bookmarkStart w:id="2678" w:name="_Toc280630349"/>
      <w:bookmarkStart w:id="2679" w:name="_Toc310423458"/>
      <w:bookmarkStart w:id="2680" w:name="_Toc342470724"/>
      <w:bookmarkStart w:id="2681" w:name="_Toc352504876"/>
      <w:bookmarkStart w:id="2682" w:name="_Toc391024706"/>
      <w:bookmarkStart w:id="2683" w:name="_Toc414531324"/>
      <w:bookmarkStart w:id="2684" w:name="_Toc474335466"/>
      <w:bookmarkStart w:id="2685" w:name="_Toc481751406"/>
      <w:r w:rsidRPr="00BE78CA">
        <w:rPr>
          <w:spacing w:val="-2"/>
        </w:rPr>
        <w:t>A quality assurance, quality control and verification process is planned to be implemented in the future. The process will ensure New Zealand data from FAOSTAT are checked against data from the Ministry for Primary Industries (the agency responsible for the collection of these data). Any missing totals in aggregate categories will be identified and filled by summing individual product categories, and any incorrect estimates are to be identified and replaced.</w:t>
      </w:r>
    </w:p>
    <w:p w14:paraId="2990900B" w14:textId="77777777" w:rsidR="00333601" w:rsidRPr="00BE78CA" w:rsidRDefault="00333601" w:rsidP="00333601">
      <w:pPr>
        <w:pStyle w:val="Heading2"/>
      </w:pPr>
      <w:bookmarkStart w:id="2686" w:name="_Toc522013958"/>
      <w:bookmarkStart w:id="2687" w:name="_Toc5269383"/>
      <w:bookmarkStart w:id="2688" w:name="_Toc36224423"/>
      <w:bookmarkStart w:id="2689" w:name="_Toc68786343"/>
      <w:r w:rsidRPr="00BE78CA">
        <w:t>6.11</w:t>
      </w:r>
      <w:r w:rsidRPr="00BE78CA">
        <w:tab/>
        <w:t>Non-CO</w:t>
      </w:r>
      <w:r w:rsidRPr="00BE78CA">
        <w:rPr>
          <w:rFonts w:ascii="Arial Bold" w:hAnsi="Arial Bold"/>
          <w:vertAlign w:val="subscript"/>
        </w:rPr>
        <w:t>2</w:t>
      </w:r>
      <w:r w:rsidRPr="00BE78CA">
        <w:t xml:space="preserve"> emissions (CRF 4(I–V))</w:t>
      </w:r>
      <w:bookmarkEnd w:id="2678"/>
      <w:bookmarkEnd w:id="2679"/>
      <w:bookmarkEnd w:id="2680"/>
      <w:bookmarkEnd w:id="2681"/>
      <w:bookmarkEnd w:id="2682"/>
      <w:bookmarkEnd w:id="2683"/>
      <w:bookmarkEnd w:id="2684"/>
      <w:bookmarkEnd w:id="2685"/>
      <w:bookmarkEnd w:id="2686"/>
      <w:bookmarkEnd w:id="2687"/>
      <w:bookmarkEnd w:id="2688"/>
      <w:bookmarkEnd w:id="2689"/>
    </w:p>
    <w:p w14:paraId="29F2C965" w14:textId="77777777" w:rsidR="00333601" w:rsidRPr="00BE78CA" w:rsidRDefault="00333601" w:rsidP="00333601">
      <w:pPr>
        <w:pStyle w:val="Heading3"/>
        <w:spacing w:before="160"/>
      </w:pPr>
      <w:bookmarkStart w:id="2690" w:name="_Toc280630350"/>
      <w:r w:rsidRPr="00BE78CA">
        <w:t xml:space="preserve">6.11.1 </w:t>
      </w:r>
      <w:r w:rsidRPr="00BE78CA">
        <w:tab/>
        <w:t>Direct N</w:t>
      </w:r>
      <w:r w:rsidRPr="00BE78CA">
        <w:rPr>
          <w:vertAlign w:val="subscript"/>
        </w:rPr>
        <w:t>2</w:t>
      </w:r>
      <w:r w:rsidRPr="00BE78CA">
        <w:t>O emissions from nitrogen fertilisation of forest land</w:t>
      </w:r>
      <w:r w:rsidRPr="00BE78CA">
        <w:br/>
        <w:t>and other land (CRF 4(I)</w:t>
      </w:r>
      <w:bookmarkEnd w:id="2690"/>
      <w:r w:rsidRPr="00BE78CA">
        <w:t>)</w:t>
      </w:r>
    </w:p>
    <w:p w14:paraId="6224E189" w14:textId="77777777" w:rsidR="00333601" w:rsidRPr="00BE78CA" w:rsidRDefault="00333601" w:rsidP="00333601">
      <w:pPr>
        <w:pStyle w:val="BodyText"/>
      </w:pPr>
      <w:r w:rsidRPr="00BE78CA">
        <w:t>New Zealand’s activity data on nitrogen fertilisation are not currently disaggregated by land use and, therefore, all direct N</w:t>
      </w:r>
      <w:r w:rsidRPr="00BE78CA">
        <w:rPr>
          <w:vertAlign w:val="subscript"/>
        </w:rPr>
        <w:t>2</w:t>
      </w:r>
      <w:r w:rsidRPr="00BE78CA">
        <w:t>O emissions from nitrogen fertilisation of</w:t>
      </w:r>
      <w:r w:rsidRPr="00BE78CA">
        <w:rPr>
          <w:i/>
        </w:rPr>
        <w:t xml:space="preserve"> Forest land </w:t>
      </w:r>
      <w:r w:rsidRPr="00BE78CA">
        <w:t>and</w:t>
      </w:r>
      <w:r w:rsidRPr="00BE78CA">
        <w:rPr>
          <w:i/>
        </w:rPr>
        <w:t xml:space="preserve"> Other land</w:t>
      </w:r>
      <w:r w:rsidRPr="00BE78CA">
        <w:t xml:space="preserve"> are reported under the Agriculture sector in the category </w:t>
      </w:r>
      <w:r w:rsidRPr="00BE78CA">
        <w:rPr>
          <w:i/>
        </w:rPr>
        <w:t>Direct N</w:t>
      </w:r>
      <w:r w:rsidRPr="00BE78CA">
        <w:rPr>
          <w:i/>
          <w:vertAlign w:val="subscript"/>
        </w:rPr>
        <w:t>2</w:t>
      </w:r>
      <w:r w:rsidRPr="00BE78CA">
        <w:rPr>
          <w:i/>
        </w:rPr>
        <w:t>O emissions from managed soils</w:t>
      </w:r>
      <w:r w:rsidRPr="00BE78CA">
        <w:t xml:space="preserve"> (CRF 3.D.a). The notation key IE (included elsewhere) is reported in the CRF tables for the LULUCF sector.</w:t>
      </w:r>
    </w:p>
    <w:p w14:paraId="3BED274D" w14:textId="77777777" w:rsidR="00333601" w:rsidRPr="00BE78CA" w:rsidRDefault="00333601" w:rsidP="00333601">
      <w:pPr>
        <w:pStyle w:val="Heading3"/>
        <w:spacing w:before="280"/>
      </w:pPr>
      <w:bookmarkStart w:id="2691" w:name="_Toc280630351"/>
      <w:r w:rsidRPr="00BE78CA">
        <w:t xml:space="preserve">6.11.2 </w:t>
      </w:r>
      <w:r w:rsidRPr="00BE78CA">
        <w:tab/>
        <w:t>Emissions from drainage and rewetting of organic and mineral soils (CRF 4(II)</w:t>
      </w:r>
      <w:bookmarkEnd w:id="2691"/>
      <w:r w:rsidRPr="00BE78CA">
        <w:t xml:space="preserve">) </w:t>
      </w:r>
    </w:p>
    <w:p w14:paraId="14098958" w14:textId="069EA9CA" w:rsidR="00333601" w:rsidRPr="00BE78CA" w:rsidRDefault="00333601" w:rsidP="00333601">
      <w:pPr>
        <w:pStyle w:val="BodyText"/>
      </w:pPr>
      <w:r w:rsidRPr="00BE78CA">
        <w:t>New Zealand has not prepared estimates for this category. Carbon dioxide emissions resulting from drainage of organic soils for land</w:t>
      </w:r>
      <w:r w:rsidR="00754D3F" w:rsidRPr="00BE78CA">
        <w:t>-</w:t>
      </w:r>
      <w:r w:rsidRPr="00BE78CA">
        <w:t>use change are reported within CRF tables 4.A to 4.F, and IE (included elsewhere) is reported in table CRF 4(II) in these cases. The drainage of soils and wetlands is a relatively minor activity in New Zealand and there is insufficient information to reliably report on this activity where not associated with land-use change. This means the notation key NE (not estimated) is reported in this CRF table within the LULUCF</w:t>
      </w:r>
      <w:r w:rsidRPr="00BE78CA">
        <w:rPr>
          <w:i/>
        </w:rPr>
        <w:t xml:space="preserve"> </w:t>
      </w:r>
      <w:r w:rsidRPr="00BE78CA">
        <w:t>sector in accordance with paragraph 37(b) of Decision 24/CP.19 (UNFCCC, 2014).</w:t>
      </w:r>
    </w:p>
    <w:p w14:paraId="4CE6BCAD" w14:textId="77777777" w:rsidR="00333601" w:rsidRPr="00BE78CA" w:rsidRDefault="00333601" w:rsidP="00333601">
      <w:pPr>
        <w:pStyle w:val="Heading3"/>
        <w:spacing w:before="280"/>
      </w:pPr>
      <w:bookmarkStart w:id="2692" w:name="_Toc280630352"/>
      <w:r w:rsidRPr="00BE78CA">
        <w:t xml:space="preserve">6.11.3 </w:t>
      </w:r>
      <w:r w:rsidRPr="00BE78CA">
        <w:tab/>
        <w:t>Direct N</w:t>
      </w:r>
      <w:r w:rsidRPr="00BE78CA">
        <w:rPr>
          <w:vertAlign w:val="subscript"/>
        </w:rPr>
        <w:t>2</w:t>
      </w:r>
      <w:r w:rsidRPr="00BE78CA">
        <w:t>O emissions from nitrogen mineralisation/immobilisation (CRF 4(III)</w:t>
      </w:r>
      <w:bookmarkEnd w:id="2692"/>
      <w:r w:rsidRPr="00BE78CA">
        <w:t>)</w:t>
      </w:r>
    </w:p>
    <w:p w14:paraId="4AE10C2B" w14:textId="77777777" w:rsidR="00333601" w:rsidRPr="00BE78CA" w:rsidRDefault="00333601" w:rsidP="00333601">
      <w:pPr>
        <w:pStyle w:val="Heading4"/>
        <w:spacing w:before="160"/>
      </w:pPr>
      <w:bookmarkStart w:id="2693" w:name="_Toc280630353"/>
      <w:r w:rsidRPr="00BE78CA">
        <w:t>Description</w:t>
      </w:r>
      <w:bookmarkEnd w:id="2693"/>
      <w:r w:rsidRPr="00BE78CA">
        <w:t xml:space="preserve"> </w:t>
      </w:r>
    </w:p>
    <w:p w14:paraId="369CA6DD" w14:textId="77777777" w:rsidR="00333601" w:rsidRPr="00BE78CA" w:rsidRDefault="00333601" w:rsidP="00823330">
      <w:pPr>
        <w:pStyle w:val="BodyText"/>
        <w:spacing w:after="100"/>
      </w:pPr>
      <w:r w:rsidRPr="00BE78CA">
        <w:t xml:space="preserve">Nitrous oxide emissions result from the mineralisation of soil organic matter with land-use change. This mineralisation results in an associated conversion of nitrogen previously in the soil organic matter to ammonium and nitrate. Microbial activity in the soil converts some of </w:t>
      </w:r>
      <w:r w:rsidRPr="00BE78CA">
        <w:lastRenderedPageBreak/>
        <w:t>the ammonium and nitrate present to N</w:t>
      </w:r>
      <w:r w:rsidRPr="00BE78CA">
        <w:rPr>
          <w:vertAlign w:val="subscript"/>
        </w:rPr>
        <w:t>2</w:t>
      </w:r>
      <w:r w:rsidRPr="00BE78CA">
        <w:t>O. An increase in this microbial substrate caused by a net decrease in soil organic matter can therefore be expected to give an increase in net N</w:t>
      </w:r>
      <w:r w:rsidRPr="00BE78CA">
        <w:rPr>
          <w:vertAlign w:val="subscript"/>
        </w:rPr>
        <w:t>2</w:t>
      </w:r>
      <w:r w:rsidRPr="00BE78CA">
        <w:t>O emissions (section 11, IPCC, 2006a).</w:t>
      </w:r>
    </w:p>
    <w:p w14:paraId="32BA2C93" w14:textId="77777777" w:rsidR="00333601" w:rsidRPr="00BE78CA" w:rsidRDefault="00333601" w:rsidP="00823330">
      <w:pPr>
        <w:pStyle w:val="BodyText"/>
        <w:spacing w:after="100"/>
      </w:pPr>
      <w:r w:rsidRPr="00BE78CA">
        <w:t>Direct N</w:t>
      </w:r>
      <w:r w:rsidRPr="00BE78CA">
        <w:rPr>
          <w:spacing w:val="-2"/>
          <w:vertAlign w:val="subscript"/>
        </w:rPr>
        <w:t>2</w:t>
      </w:r>
      <w:r w:rsidRPr="00BE78CA">
        <w:t>O emissions from nitrogen mineralisation and immobilisation are minor in New Zealand, estimated at 0.3 kt N</w:t>
      </w:r>
      <w:r w:rsidRPr="00BE78CA">
        <w:rPr>
          <w:spacing w:val="-2"/>
          <w:vertAlign w:val="subscript"/>
        </w:rPr>
        <w:t>2</w:t>
      </w:r>
      <w:r w:rsidRPr="00BE78CA">
        <w:t>O in 2019 compared with 0.6 kt N</w:t>
      </w:r>
      <w:r w:rsidRPr="00BE78CA">
        <w:rPr>
          <w:spacing w:val="-2"/>
          <w:vertAlign w:val="subscript"/>
        </w:rPr>
        <w:t>2</w:t>
      </w:r>
      <w:r w:rsidRPr="00BE78CA">
        <w:t>O in 1990.</w:t>
      </w:r>
      <w:bookmarkStart w:id="2694" w:name="_Toc280630354"/>
    </w:p>
    <w:p w14:paraId="2B4CD766" w14:textId="77777777" w:rsidR="00333601" w:rsidRPr="00BE78CA" w:rsidRDefault="00333601" w:rsidP="00333601">
      <w:pPr>
        <w:pStyle w:val="Heading4"/>
        <w:spacing w:before="180"/>
      </w:pPr>
      <w:r w:rsidRPr="00BE78CA">
        <w:t>Methodological issues</w:t>
      </w:r>
      <w:bookmarkEnd w:id="2694"/>
    </w:p>
    <w:p w14:paraId="3DF02F48" w14:textId="77777777" w:rsidR="00333601" w:rsidRPr="00BE78CA" w:rsidRDefault="00333601" w:rsidP="00823330">
      <w:pPr>
        <w:pStyle w:val="BodyText"/>
        <w:spacing w:before="80" w:after="100"/>
      </w:pPr>
      <w:r w:rsidRPr="00BE78CA">
        <w:t>To estimate N</w:t>
      </w:r>
      <w:r w:rsidRPr="00BE78CA">
        <w:rPr>
          <w:vertAlign w:val="subscript"/>
        </w:rPr>
        <w:t>2</w:t>
      </w:r>
      <w:r w:rsidRPr="00BE78CA">
        <w:t>O emissions from disturbance associated with land-use change, New Zealand uses the method outlined in the 2006 IPCC Guidelines (equations 11.2 and 11.8, IPCC, 2006a). The inputs to these equations are:</w:t>
      </w:r>
    </w:p>
    <w:p w14:paraId="4252C515" w14:textId="77777777" w:rsidR="00333601" w:rsidRPr="00BE78CA" w:rsidRDefault="00333601" w:rsidP="00823330">
      <w:pPr>
        <w:pStyle w:val="Bullet"/>
        <w:numPr>
          <w:ilvl w:val="0"/>
          <w:numId w:val="25"/>
        </w:numPr>
        <w:spacing w:after="100"/>
      </w:pPr>
      <w:r w:rsidRPr="00BE78CA">
        <w:t>loss of carbon in mineral soils</w:t>
      </w:r>
    </w:p>
    <w:p w14:paraId="7C5F8DFE" w14:textId="77777777" w:rsidR="00333601" w:rsidRPr="00BE78CA" w:rsidRDefault="00333601" w:rsidP="00823330">
      <w:pPr>
        <w:pStyle w:val="Bullet"/>
        <w:numPr>
          <w:ilvl w:val="0"/>
          <w:numId w:val="25"/>
        </w:numPr>
        <w:spacing w:after="100"/>
      </w:pPr>
      <w:r w:rsidRPr="00BE78CA">
        <w:t>EF1 – the emission factor for calculating emissions of N</w:t>
      </w:r>
      <w:r w:rsidRPr="00BE78CA">
        <w:rPr>
          <w:vertAlign w:val="subscript"/>
        </w:rPr>
        <w:t>2</w:t>
      </w:r>
      <w:r w:rsidRPr="00BE78CA">
        <w:t>O from nitrogen in the soil. New Zealand uses a country-specific value of 0.01 kg N</w:t>
      </w:r>
      <w:r w:rsidRPr="00BE78CA">
        <w:rPr>
          <w:vertAlign w:val="subscript"/>
        </w:rPr>
        <w:t>2</w:t>
      </w:r>
      <w:r w:rsidRPr="00BE78CA">
        <w:t>O – N/kg N (Kelliher and de Klein, unpublished)</w:t>
      </w:r>
    </w:p>
    <w:p w14:paraId="78D74188" w14:textId="77777777" w:rsidR="00333601" w:rsidRPr="00BE78CA" w:rsidRDefault="00333601" w:rsidP="00823330">
      <w:pPr>
        <w:pStyle w:val="Bullet"/>
        <w:numPr>
          <w:ilvl w:val="0"/>
          <w:numId w:val="25"/>
        </w:numPr>
        <w:spacing w:after="100"/>
      </w:pPr>
      <w:r w:rsidRPr="00BE78CA">
        <w:t xml:space="preserve">C:N ratio – the IPCC default ratio of carbon to nitrogen in soil organic matter (15:1) is used (IPCC, 2006a, p 11.16). </w:t>
      </w:r>
    </w:p>
    <w:p w14:paraId="74F9ECC6" w14:textId="77777777" w:rsidR="00333601" w:rsidRPr="00BE78CA" w:rsidRDefault="00333601" w:rsidP="00333601">
      <w:pPr>
        <w:pStyle w:val="BodyText"/>
        <w:spacing w:before="100" w:after="100"/>
      </w:pPr>
      <w:r w:rsidRPr="00BE78CA">
        <w:t>Where an area of land is converted to a land use with a higher original mineral SOC stock than the category it is converted from, no N</w:t>
      </w:r>
      <w:r w:rsidRPr="00BE78CA">
        <w:rPr>
          <w:vertAlign w:val="subscript"/>
        </w:rPr>
        <w:t>2</w:t>
      </w:r>
      <w:r w:rsidRPr="00BE78CA">
        <w:t>O emissions have been estimated as occurring because there is no associated loss of SOC. For instance, cropland converted to forest land is estimated not to result in net N</w:t>
      </w:r>
      <w:r w:rsidRPr="00BE78CA">
        <w:rPr>
          <w:vertAlign w:val="subscript"/>
        </w:rPr>
        <w:t>2</w:t>
      </w:r>
      <w:r w:rsidRPr="00BE78CA">
        <w:t>O emissions because this land-use conversion is associated with a net gain in SOC in New Zealand (see table 6.3.1). In these situations, the notation key NO (not occurring) is reported in the CRF tables.</w:t>
      </w:r>
    </w:p>
    <w:p w14:paraId="32FD5733" w14:textId="77777777" w:rsidR="00333601" w:rsidRPr="00BE78CA" w:rsidRDefault="00333601" w:rsidP="00333601">
      <w:pPr>
        <w:pStyle w:val="Heading4"/>
        <w:spacing w:before="180"/>
      </w:pPr>
      <w:bookmarkStart w:id="2695" w:name="_Toc280630355"/>
      <w:r w:rsidRPr="00BE78CA">
        <w:t>Uncertainties and time-series consistency</w:t>
      </w:r>
      <w:bookmarkEnd w:id="2695"/>
    </w:p>
    <w:p w14:paraId="3C070F54" w14:textId="77777777" w:rsidR="00333601" w:rsidRPr="00BE78CA" w:rsidRDefault="00333601" w:rsidP="00823330">
      <w:pPr>
        <w:pStyle w:val="BodyText"/>
        <w:spacing w:before="80" w:after="100"/>
      </w:pPr>
      <w:r w:rsidRPr="00BE78CA">
        <w:t>New Zealand uses a country-specific value for calculating N</w:t>
      </w:r>
      <w:r w:rsidRPr="00BE78CA">
        <w:rPr>
          <w:vertAlign w:val="subscript"/>
        </w:rPr>
        <w:t>2</w:t>
      </w:r>
      <w:r w:rsidRPr="00BE78CA">
        <w:t xml:space="preserve">O emissions from nitrogen in soil. This value has a high level of uncertainty, which is estimated at 40.0 per cent (see table 6.11.1). </w:t>
      </w:r>
    </w:p>
    <w:p w14:paraId="75E3CE26" w14:textId="2A4D9693" w:rsidR="00333601" w:rsidRPr="00BE78CA" w:rsidRDefault="00333601" w:rsidP="00333601">
      <w:pPr>
        <w:pStyle w:val="Table"/>
      </w:pPr>
      <w:bookmarkStart w:id="2696" w:name="_Toc310423430"/>
      <w:bookmarkStart w:id="2697" w:name="_Toc318362723"/>
      <w:bookmarkStart w:id="2698" w:name="_Toc342470798"/>
      <w:bookmarkStart w:id="2699" w:name="_Toc352505038"/>
      <w:bookmarkStart w:id="2700" w:name="_Toc378853327"/>
      <w:bookmarkStart w:id="2701" w:name="_Toc391024125"/>
      <w:bookmarkStart w:id="2702" w:name="_Toc410028869"/>
      <w:bookmarkStart w:id="2703" w:name="_Toc414531497"/>
      <w:bookmarkStart w:id="2704" w:name="_Toc443645411"/>
      <w:bookmarkStart w:id="2705" w:name="_Toc474914630"/>
      <w:bookmarkStart w:id="2706" w:name="_Toc481751594"/>
      <w:bookmarkStart w:id="2707" w:name="_Toc522010651"/>
      <w:bookmarkStart w:id="2708" w:name="_Toc5269556"/>
      <w:bookmarkStart w:id="2709" w:name="_Toc33529430"/>
      <w:bookmarkStart w:id="2710" w:name="_Toc36224636"/>
      <w:bookmarkStart w:id="2711" w:name="_Toc65243633"/>
      <w:bookmarkStart w:id="2712" w:name="_Toc68786523"/>
      <w:r w:rsidRPr="00BE78CA">
        <w:t>Table 6.11.1</w:t>
      </w:r>
      <w:r w:rsidRPr="00BE78CA">
        <w:tab/>
        <w:t>Uncertainty in New Zealand’s 2018 estimates for N</w:t>
      </w:r>
      <w:r w:rsidRPr="00BE78CA">
        <w:rPr>
          <w:vertAlign w:val="subscript"/>
        </w:rPr>
        <w:t>2</w:t>
      </w:r>
      <w:r w:rsidRPr="00BE78CA">
        <w:t xml:space="preserve">O emissions from </w:t>
      </w:r>
      <w:bookmarkEnd w:id="2696"/>
      <w:bookmarkEnd w:id="2697"/>
      <w:bookmarkEnd w:id="2698"/>
      <w:bookmarkEnd w:id="2699"/>
      <w:bookmarkEnd w:id="2700"/>
      <w:bookmarkEnd w:id="2701"/>
      <w:r w:rsidRPr="00BE78CA">
        <w:t>land</w:t>
      </w:r>
      <w:r w:rsidR="005B6417" w:rsidRPr="00BE78CA">
        <w:noBreakHyphen/>
      </w:r>
      <w:r w:rsidRPr="00BE78CA">
        <w:t>use</w:t>
      </w:r>
      <w:r w:rsidR="005B6417" w:rsidRPr="00BE78CA">
        <w:t> </w:t>
      </w:r>
      <w:r w:rsidRPr="00BE78CA">
        <w:t>change</w:t>
      </w:r>
      <w:bookmarkEnd w:id="2702"/>
      <w:bookmarkEnd w:id="2703"/>
      <w:bookmarkEnd w:id="2704"/>
      <w:bookmarkEnd w:id="2705"/>
      <w:bookmarkEnd w:id="2706"/>
      <w:bookmarkEnd w:id="2707"/>
      <w:bookmarkEnd w:id="2708"/>
      <w:bookmarkEnd w:id="2709"/>
      <w:bookmarkEnd w:id="2710"/>
      <w:bookmarkEnd w:id="2711"/>
      <w:bookmarkEnd w:id="2712"/>
    </w:p>
    <w:tbl>
      <w:tblPr>
        <w:tblW w:w="8505" w:type="dxa"/>
        <w:tblLook w:val="04A0" w:firstRow="1" w:lastRow="0" w:firstColumn="1" w:lastColumn="0" w:noHBand="0" w:noVBand="1"/>
      </w:tblPr>
      <w:tblGrid>
        <w:gridCol w:w="4696"/>
        <w:gridCol w:w="3809"/>
      </w:tblGrid>
      <w:tr w:rsidR="00333601" w:rsidRPr="00BE78CA" w14:paraId="2FE6FADE" w14:textId="77777777" w:rsidTr="00823330">
        <w:trPr>
          <w:tblHeader/>
        </w:trPr>
        <w:tc>
          <w:tcPr>
            <w:tcW w:w="4253" w:type="dxa"/>
            <w:tcBorders>
              <w:top w:val="single" w:sz="4" w:space="0" w:color="365F91"/>
              <w:bottom w:val="single" w:sz="4" w:space="0" w:color="365F91"/>
            </w:tcBorders>
            <w:shd w:val="clear" w:color="auto" w:fill="365F91"/>
            <w:noWrap/>
            <w:hideMark/>
          </w:tcPr>
          <w:p w14:paraId="3F687054" w14:textId="77777777" w:rsidR="00333601" w:rsidRPr="00BE78CA" w:rsidRDefault="00333601" w:rsidP="00823330">
            <w:pPr>
              <w:pStyle w:val="TableTextBold"/>
              <w:keepNext/>
              <w:spacing w:before="40" w:after="40"/>
              <w:rPr>
                <w:noProof w:val="0"/>
                <w:color w:val="FFFFFF"/>
              </w:rPr>
            </w:pPr>
            <w:r w:rsidRPr="00BE78CA">
              <w:rPr>
                <w:noProof w:val="0"/>
                <w:color w:val="FFFFFF"/>
              </w:rPr>
              <w:t>Variable</w:t>
            </w:r>
          </w:p>
        </w:tc>
        <w:tc>
          <w:tcPr>
            <w:tcW w:w="3450" w:type="dxa"/>
            <w:tcBorders>
              <w:top w:val="single" w:sz="4" w:space="0" w:color="365F91"/>
              <w:bottom w:val="single" w:sz="4" w:space="0" w:color="365F91"/>
            </w:tcBorders>
            <w:shd w:val="clear" w:color="auto" w:fill="365F91"/>
            <w:noWrap/>
            <w:hideMark/>
          </w:tcPr>
          <w:p w14:paraId="24AA2F58" w14:textId="77777777" w:rsidR="00333601" w:rsidRPr="00BE78CA" w:rsidRDefault="00333601" w:rsidP="00823330">
            <w:pPr>
              <w:pStyle w:val="TableTextBold"/>
              <w:spacing w:before="40" w:after="40"/>
              <w:jc w:val="center"/>
              <w:rPr>
                <w:noProof w:val="0"/>
                <w:color w:val="FFFFFF"/>
              </w:rPr>
            </w:pPr>
            <w:r w:rsidRPr="00BE78CA">
              <w:rPr>
                <w:noProof w:val="0"/>
                <w:color w:val="FFFFFF"/>
              </w:rPr>
              <w:t>Uncertainty at a 95% confidence interval (%)</w:t>
            </w:r>
          </w:p>
        </w:tc>
      </w:tr>
      <w:tr w:rsidR="00333601" w:rsidRPr="00BE78CA" w14:paraId="70C597CA" w14:textId="77777777" w:rsidTr="00823330">
        <w:tc>
          <w:tcPr>
            <w:tcW w:w="4253" w:type="dxa"/>
            <w:tcBorders>
              <w:top w:val="single" w:sz="4" w:space="0" w:color="365F91"/>
              <w:bottom w:val="single" w:sz="4" w:space="0" w:color="365F91"/>
            </w:tcBorders>
            <w:noWrap/>
            <w:hideMark/>
          </w:tcPr>
          <w:p w14:paraId="4B32DD75" w14:textId="77777777" w:rsidR="00333601" w:rsidRPr="00BE78CA" w:rsidRDefault="00333601" w:rsidP="00823330">
            <w:pPr>
              <w:pStyle w:val="TableTextBold"/>
              <w:keepNext/>
              <w:spacing w:before="40" w:after="40"/>
              <w:rPr>
                <w:noProof w:val="0"/>
              </w:rPr>
            </w:pPr>
            <w:r w:rsidRPr="00BE78CA">
              <w:rPr>
                <w:noProof w:val="0"/>
              </w:rPr>
              <w:t>Activity data</w:t>
            </w:r>
          </w:p>
        </w:tc>
        <w:tc>
          <w:tcPr>
            <w:tcW w:w="3450" w:type="dxa"/>
            <w:tcBorders>
              <w:top w:val="single" w:sz="4" w:space="0" w:color="365F91"/>
              <w:bottom w:val="single" w:sz="4" w:space="0" w:color="365F91"/>
            </w:tcBorders>
            <w:noWrap/>
            <w:hideMark/>
          </w:tcPr>
          <w:p w14:paraId="79669DED" w14:textId="77777777" w:rsidR="00333601" w:rsidRPr="00BE78CA" w:rsidRDefault="00333601" w:rsidP="00823330">
            <w:pPr>
              <w:pStyle w:val="TableTextBold"/>
              <w:tabs>
                <w:tab w:val="decimal" w:pos="0"/>
              </w:tabs>
              <w:spacing w:before="40" w:after="40"/>
              <w:jc w:val="center"/>
              <w:rPr>
                <w:noProof w:val="0"/>
              </w:rPr>
            </w:pPr>
          </w:p>
        </w:tc>
      </w:tr>
      <w:tr w:rsidR="00333601" w:rsidRPr="00BE78CA" w14:paraId="2EE94C41" w14:textId="77777777" w:rsidTr="00823330">
        <w:tc>
          <w:tcPr>
            <w:tcW w:w="4253" w:type="dxa"/>
            <w:tcBorders>
              <w:top w:val="single" w:sz="4" w:space="0" w:color="365F91"/>
              <w:bottom w:val="single" w:sz="4" w:space="0" w:color="365F91"/>
            </w:tcBorders>
            <w:noWrap/>
            <w:hideMark/>
          </w:tcPr>
          <w:p w14:paraId="675D029D" w14:textId="77777777" w:rsidR="00333601" w:rsidRPr="00BE78CA" w:rsidRDefault="00333601" w:rsidP="00823330">
            <w:pPr>
              <w:pStyle w:val="TableText"/>
              <w:keepNext/>
              <w:spacing w:before="40" w:after="40"/>
            </w:pPr>
            <w:r w:rsidRPr="00BE78CA">
              <w:t>Uncertainty in land area</w:t>
            </w:r>
          </w:p>
        </w:tc>
        <w:tc>
          <w:tcPr>
            <w:tcW w:w="3450" w:type="dxa"/>
            <w:tcBorders>
              <w:top w:val="single" w:sz="4" w:space="0" w:color="365F91"/>
              <w:bottom w:val="single" w:sz="4" w:space="0" w:color="365F91"/>
            </w:tcBorders>
            <w:noWrap/>
            <w:hideMark/>
          </w:tcPr>
          <w:p w14:paraId="763A1FF7" w14:textId="77777777" w:rsidR="00333601" w:rsidRPr="00BE78CA" w:rsidRDefault="00333601" w:rsidP="00823330">
            <w:pPr>
              <w:pStyle w:val="TableText"/>
              <w:tabs>
                <w:tab w:val="decimal" w:pos="0"/>
              </w:tabs>
              <w:spacing w:before="40" w:after="40"/>
              <w:jc w:val="center"/>
            </w:pPr>
            <w:r w:rsidRPr="00BE78CA">
              <w:t>±8.0</w:t>
            </w:r>
          </w:p>
        </w:tc>
      </w:tr>
      <w:tr w:rsidR="00333601" w:rsidRPr="00BE78CA" w14:paraId="71DA6871" w14:textId="77777777" w:rsidTr="00823330">
        <w:tc>
          <w:tcPr>
            <w:tcW w:w="4253" w:type="dxa"/>
            <w:tcBorders>
              <w:top w:val="single" w:sz="4" w:space="0" w:color="365F91"/>
              <w:bottom w:val="single" w:sz="4" w:space="0" w:color="365F91"/>
            </w:tcBorders>
            <w:noWrap/>
            <w:hideMark/>
          </w:tcPr>
          <w:p w14:paraId="471F2777" w14:textId="77777777" w:rsidR="00333601" w:rsidRPr="00BE78CA" w:rsidRDefault="00333601" w:rsidP="00823330">
            <w:pPr>
              <w:pStyle w:val="TableTextBold"/>
              <w:keepNext/>
              <w:spacing w:before="40" w:after="40"/>
              <w:rPr>
                <w:noProof w:val="0"/>
              </w:rPr>
            </w:pPr>
            <w:r w:rsidRPr="00BE78CA">
              <w:rPr>
                <w:noProof w:val="0"/>
              </w:rPr>
              <w:t>Emission factors</w:t>
            </w:r>
          </w:p>
        </w:tc>
        <w:tc>
          <w:tcPr>
            <w:tcW w:w="3450" w:type="dxa"/>
            <w:tcBorders>
              <w:top w:val="single" w:sz="4" w:space="0" w:color="365F91"/>
              <w:bottom w:val="single" w:sz="4" w:space="0" w:color="365F91"/>
            </w:tcBorders>
            <w:noWrap/>
            <w:hideMark/>
          </w:tcPr>
          <w:p w14:paraId="1139CF82" w14:textId="77777777" w:rsidR="00333601" w:rsidRPr="00BE78CA" w:rsidRDefault="00333601" w:rsidP="00823330">
            <w:pPr>
              <w:pStyle w:val="TableTextBold"/>
              <w:tabs>
                <w:tab w:val="decimal" w:pos="0"/>
              </w:tabs>
              <w:spacing w:before="40" w:after="40"/>
              <w:jc w:val="center"/>
              <w:rPr>
                <w:noProof w:val="0"/>
              </w:rPr>
            </w:pPr>
          </w:p>
        </w:tc>
      </w:tr>
      <w:tr w:rsidR="00333601" w:rsidRPr="00BE78CA" w14:paraId="4BF5F65D" w14:textId="77777777" w:rsidTr="00823330">
        <w:tc>
          <w:tcPr>
            <w:tcW w:w="4253" w:type="dxa"/>
            <w:tcBorders>
              <w:top w:val="single" w:sz="4" w:space="0" w:color="365F91"/>
              <w:bottom w:val="single" w:sz="4" w:space="0" w:color="365F91"/>
            </w:tcBorders>
            <w:noWrap/>
            <w:hideMark/>
          </w:tcPr>
          <w:p w14:paraId="62E5BC6C" w14:textId="77777777" w:rsidR="00333601" w:rsidRPr="00BE78CA" w:rsidRDefault="00333601" w:rsidP="00823330">
            <w:pPr>
              <w:pStyle w:val="TableText"/>
              <w:spacing w:before="40" w:after="40"/>
            </w:pPr>
            <w:r w:rsidRPr="00BE78CA">
              <w:t>Uncertainty in N</w:t>
            </w:r>
            <w:r w:rsidRPr="00BE78CA">
              <w:rPr>
                <w:vertAlign w:val="subscript"/>
              </w:rPr>
              <w:t>2</w:t>
            </w:r>
            <w:r w:rsidRPr="00BE78CA">
              <w:t>O calculation</w:t>
            </w:r>
          </w:p>
        </w:tc>
        <w:tc>
          <w:tcPr>
            <w:tcW w:w="3450" w:type="dxa"/>
            <w:tcBorders>
              <w:top w:val="single" w:sz="4" w:space="0" w:color="365F91"/>
              <w:bottom w:val="single" w:sz="4" w:space="0" w:color="365F91"/>
            </w:tcBorders>
            <w:noWrap/>
            <w:hideMark/>
          </w:tcPr>
          <w:p w14:paraId="227A615D" w14:textId="77777777" w:rsidR="00333601" w:rsidRPr="00BE78CA" w:rsidRDefault="00333601" w:rsidP="00823330">
            <w:pPr>
              <w:pStyle w:val="TableText"/>
              <w:tabs>
                <w:tab w:val="decimal" w:pos="0"/>
              </w:tabs>
              <w:spacing w:before="40" w:after="40"/>
              <w:jc w:val="center"/>
            </w:pPr>
            <w:r w:rsidRPr="00BE78CA">
              <w:t>±40.0</w:t>
            </w:r>
          </w:p>
        </w:tc>
      </w:tr>
      <w:tr w:rsidR="00333601" w:rsidRPr="00BE78CA" w14:paraId="315860BA" w14:textId="77777777" w:rsidTr="00823330">
        <w:tc>
          <w:tcPr>
            <w:tcW w:w="4253" w:type="dxa"/>
            <w:tcBorders>
              <w:top w:val="single" w:sz="4" w:space="0" w:color="365F91"/>
              <w:bottom w:val="single" w:sz="4" w:space="0" w:color="365F91"/>
            </w:tcBorders>
            <w:noWrap/>
          </w:tcPr>
          <w:p w14:paraId="35F935DD" w14:textId="77777777" w:rsidR="00333601" w:rsidRPr="00BE78CA" w:rsidRDefault="00333601" w:rsidP="00823330">
            <w:pPr>
              <w:pStyle w:val="TableText"/>
              <w:spacing w:before="40" w:after="40"/>
            </w:pPr>
            <w:r w:rsidRPr="00BE78CA">
              <w:t>Uncertainty in carbon calculation</w:t>
            </w:r>
          </w:p>
        </w:tc>
        <w:tc>
          <w:tcPr>
            <w:tcW w:w="3450" w:type="dxa"/>
            <w:tcBorders>
              <w:top w:val="single" w:sz="4" w:space="0" w:color="365F91"/>
              <w:bottom w:val="single" w:sz="4" w:space="0" w:color="365F91"/>
            </w:tcBorders>
            <w:noWrap/>
          </w:tcPr>
          <w:p w14:paraId="34941E3A" w14:textId="77777777" w:rsidR="00333601" w:rsidRPr="00BE78CA" w:rsidRDefault="00333601" w:rsidP="00823330">
            <w:pPr>
              <w:pStyle w:val="TableText"/>
              <w:tabs>
                <w:tab w:val="decimal" w:pos="0"/>
              </w:tabs>
              <w:spacing w:before="40" w:after="40"/>
              <w:jc w:val="center"/>
            </w:pPr>
            <w:r w:rsidRPr="00BE78CA">
              <w:t>±33.0</w:t>
            </w:r>
          </w:p>
        </w:tc>
      </w:tr>
      <w:tr w:rsidR="00333601" w:rsidRPr="00BE78CA" w14:paraId="18C4CC5B" w14:textId="77777777" w:rsidTr="00823330">
        <w:tc>
          <w:tcPr>
            <w:tcW w:w="4253" w:type="dxa"/>
            <w:tcBorders>
              <w:top w:val="single" w:sz="4" w:space="0" w:color="365F91"/>
              <w:bottom w:val="single" w:sz="4" w:space="0" w:color="365F91"/>
            </w:tcBorders>
            <w:noWrap/>
            <w:hideMark/>
          </w:tcPr>
          <w:p w14:paraId="26838841" w14:textId="77777777" w:rsidR="00333601" w:rsidRPr="00BE78CA" w:rsidRDefault="00333601" w:rsidP="00823330">
            <w:pPr>
              <w:pStyle w:val="Tableboldblue"/>
              <w:spacing w:before="40" w:after="40"/>
            </w:pPr>
            <w:r w:rsidRPr="00BE78CA">
              <w:t>Uncertainty introduced into net emissions for LULUCF</w:t>
            </w:r>
          </w:p>
        </w:tc>
        <w:tc>
          <w:tcPr>
            <w:tcW w:w="3450" w:type="dxa"/>
            <w:tcBorders>
              <w:top w:val="single" w:sz="4" w:space="0" w:color="365F91"/>
              <w:bottom w:val="single" w:sz="4" w:space="0" w:color="365F91"/>
            </w:tcBorders>
            <w:noWrap/>
            <w:hideMark/>
          </w:tcPr>
          <w:p w14:paraId="1F0EE06F" w14:textId="77777777" w:rsidR="00333601" w:rsidRPr="00BE78CA" w:rsidRDefault="00333601" w:rsidP="00823330">
            <w:pPr>
              <w:pStyle w:val="Tableboldblue"/>
              <w:spacing w:before="40" w:after="40"/>
              <w:jc w:val="center"/>
            </w:pPr>
            <w:r w:rsidRPr="00BE78CA">
              <w:t>±0.1</w:t>
            </w:r>
          </w:p>
        </w:tc>
      </w:tr>
    </w:tbl>
    <w:p w14:paraId="50E08437" w14:textId="77777777" w:rsidR="00333601" w:rsidRPr="00BE78CA" w:rsidRDefault="00333601" w:rsidP="00333601">
      <w:pPr>
        <w:pStyle w:val="Heading4"/>
        <w:spacing w:before="280"/>
      </w:pPr>
      <w:bookmarkStart w:id="2713" w:name="_Toc280630357"/>
      <w:r w:rsidRPr="00BE78CA">
        <w:t>Source-specific planned improvements</w:t>
      </w:r>
      <w:bookmarkEnd w:id="2713"/>
    </w:p>
    <w:p w14:paraId="503D24EB" w14:textId="77777777" w:rsidR="00333601" w:rsidRPr="00BE78CA" w:rsidRDefault="00333601" w:rsidP="00333601">
      <w:pPr>
        <w:pStyle w:val="BodyText"/>
        <w:spacing w:before="100" w:after="100"/>
      </w:pPr>
      <w:bookmarkStart w:id="2714" w:name="_Toc255466320"/>
      <w:bookmarkStart w:id="2715" w:name="_Toc261513127"/>
      <w:bookmarkStart w:id="2716" w:name="_Toc261513740"/>
      <w:bookmarkStart w:id="2717" w:name="_Toc280630364"/>
      <w:r w:rsidRPr="00BE78CA">
        <w:t>No improvements are planned for this category at this time.</w:t>
      </w:r>
    </w:p>
    <w:p w14:paraId="54BE3DA3" w14:textId="77777777" w:rsidR="00333601" w:rsidRPr="00BE78CA" w:rsidRDefault="00333601" w:rsidP="00333601">
      <w:pPr>
        <w:pStyle w:val="Heading3"/>
        <w:spacing w:before="280"/>
      </w:pPr>
      <w:r w:rsidRPr="00BE78CA">
        <w:t xml:space="preserve">6.11.4 </w:t>
      </w:r>
      <w:r w:rsidRPr="00BE78CA">
        <w:tab/>
        <w:t>Indirect N</w:t>
      </w:r>
      <w:r w:rsidRPr="00BE78CA">
        <w:rPr>
          <w:vertAlign w:val="subscript"/>
        </w:rPr>
        <w:t>2</w:t>
      </w:r>
      <w:r w:rsidRPr="00BE78CA">
        <w:t>O emissions from managed soils (CRF 4(IV))</w:t>
      </w:r>
    </w:p>
    <w:p w14:paraId="214F7022" w14:textId="77777777" w:rsidR="00333601" w:rsidRPr="00BE78CA" w:rsidRDefault="00333601" w:rsidP="00333601">
      <w:pPr>
        <w:pStyle w:val="Heading4"/>
        <w:spacing w:before="180"/>
      </w:pPr>
      <w:r w:rsidRPr="00BE78CA">
        <w:t>Description</w:t>
      </w:r>
    </w:p>
    <w:p w14:paraId="7F8D7AA0" w14:textId="77777777" w:rsidR="00333601" w:rsidRPr="00BE78CA" w:rsidRDefault="00333601" w:rsidP="00333601">
      <w:pPr>
        <w:pStyle w:val="BodyText"/>
      </w:pPr>
      <w:r w:rsidRPr="00BE78CA">
        <w:t xml:space="preserve">New Zealand cannot separate the sources of nitrogen between </w:t>
      </w:r>
      <w:r w:rsidRPr="00BE78CA">
        <w:rPr>
          <w:i/>
        </w:rPr>
        <w:t>Cropland</w:t>
      </w:r>
      <w:r w:rsidRPr="00BE78CA">
        <w:t xml:space="preserve">, </w:t>
      </w:r>
      <w:r w:rsidRPr="00BE78CA">
        <w:rPr>
          <w:i/>
        </w:rPr>
        <w:t>Grassland</w:t>
      </w:r>
      <w:r w:rsidRPr="00BE78CA">
        <w:t xml:space="preserve"> and </w:t>
      </w:r>
      <w:r w:rsidRPr="00BE78CA">
        <w:rPr>
          <w:i/>
        </w:rPr>
        <w:t>Other land</w:t>
      </w:r>
      <w:r w:rsidRPr="00BE78CA">
        <w:t xml:space="preserve"> uses. For this reason, it reports all </w:t>
      </w:r>
      <w:r w:rsidRPr="00BE78CA">
        <w:rPr>
          <w:i/>
        </w:rPr>
        <w:t>Indirect N</w:t>
      </w:r>
      <w:r w:rsidRPr="00BE78CA">
        <w:rPr>
          <w:i/>
          <w:vertAlign w:val="subscript"/>
        </w:rPr>
        <w:t>2</w:t>
      </w:r>
      <w:r w:rsidRPr="00BE78CA">
        <w:rPr>
          <w:i/>
        </w:rPr>
        <w:t>O emissions from managed soils</w:t>
      </w:r>
      <w:r w:rsidRPr="00BE78CA">
        <w:t xml:space="preserve"> within CRF table 3.D.b in the Agriculture</w:t>
      </w:r>
      <w:r w:rsidRPr="00BE78CA">
        <w:rPr>
          <w:i/>
        </w:rPr>
        <w:t xml:space="preserve"> </w:t>
      </w:r>
      <w:r w:rsidRPr="00BE78CA">
        <w:t>sector and uses the notation key IE (included elsewhere) within CRF table 4(IV) of the</w:t>
      </w:r>
      <w:r w:rsidRPr="00BE78CA">
        <w:rPr>
          <w:i/>
        </w:rPr>
        <w:t xml:space="preserve"> </w:t>
      </w:r>
      <w:r w:rsidRPr="00BE78CA">
        <w:t xml:space="preserve">LULUCF sector. </w:t>
      </w:r>
    </w:p>
    <w:p w14:paraId="71A647C1" w14:textId="77777777" w:rsidR="00333601" w:rsidRPr="00BE78CA" w:rsidRDefault="00333601" w:rsidP="00333601">
      <w:pPr>
        <w:pStyle w:val="Heading3"/>
      </w:pPr>
      <w:r w:rsidRPr="00BE78CA">
        <w:lastRenderedPageBreak/>
        <w:t xml:space="preserve">6.11.5 </w:t>
      </w:r>
      <w:r w:rsidRPr="00BE78CA">
        <w:tab/>
        <w:t>Biomass burning</w:t>
      </w:r>
      <w:bookmarkEnd w:id="2714"/>
      <w:bookmarkEnd w:id="2715"/>
      <w:bookmarkEnd w:id="2716"/>
      <w:r w:rsidRPr="00BE78CA">
        <w:t xml:space="preserve"> (CRF 4(V)</w:t>
      </w:r>
      <w:bookmarkEnd w:id="2717"/>
      <w:r w:rsidRPr="00BE78CA">
        <w:t>)</w:t>
      </w:r>
    </w:p>
    <w:p w14:paraId="131BAC3B" w14:textId="77777777" w:rsidR="00333601" w:rsidRPr="00BE78CA" w:rsidRDefault="00333601" w:rsidP="00333601">
      <w:pPr>
        <w:pStyle w:val="Heading4"/>
        <w:spacing w:before="180"/>
      </w:pPr>
      <w:bookmarkStart w:id="2718" w:name="_Toc280630365"/>
      <w:r w:rsidRPr="00BE78CA">
        <w:t>Description</w:t>
      </w:r>
      <w:bookmarkEnd w:id="2718"/>
    </w:p>
    <w:p w14:paraId="27AB0351" w14:textId="77777777" w:rsidR="00333601" w:rsidRPr="00BE78CA" w:rsidRDefault="00333601" w:rsidP="00333601">
      <w:pPr>
        <w:pStyle w:val="BodyText"/>
      </w:pPr>
      <w:r w:rsidRPr="00BE78CA">
        <w:rPr>
          <w:i/>
        </w:rPr>
        <w:t>Biomass burning</w:t>
      </w:r>
      <w:r w:rsidRPr="00BE78CA">
        <w:t xml:space="preserve"> can occur as a result of wildfires or controlled burning, and results in emissions of CO</w:t>
      </w:r>
      <w:r w:rsidRPr="00BE78CA">
        <w:rPr>
          <w:vertAlign w:val="subscript"/>
        </w:rPr>
        <w:t>2</w:t>
      </w:r>
      <w:r w:rsidRPr="00BE78CA">
        <w:t>, CH</w:t>
      </w:r>
      <w:r w:rsidRPr="00BE78CA">
        <w:rPr>
          <w:vertAlign w:val="subscript"/>
        </w:rPr>
        <w:t>4</w:t>
      </w:r>
      <w:r w:rsidRPr="00BE78CA">
        <w:t>, N</w:t>
      </w:r>
      <w:r w:rsidRPr="00BE78CA">
        <w:rPr>
          <w:vertAlign w:val="subscript"/>
        </w:rPr>
        <w:t>2</w:t>
      </w:r>
      <w:r w:rsidRPr="00BE78CA">
        <w:t>O, CO and NO</w:t>
      </w:r>
      <w:r w:rsidRPr="00BE78CA">
        <w:rPr>
          <w:vertAlign w:val="subscript"/>
        </w:rPr>
        <w:t>x</w:t>
      </w:r>
      <w:r w:rsidRPr="00BE78CA">
        <w:t xml:space="preserve">. </w:t>
      </w:r>
      <w:r w:rsidRPr="00BE78CA">
        <w:rPr>
          <w:i/>
        </w:rPr>
        <w:t>Biomass burning</w:t>
      </w:r>
      <w:r w:rsidRPr="00BE78CA" w:rsidDel="008B158D">
        <w:t xml:space="preserve"> </w:t>
      </w:r>
      <w:r w:rsidRPr="00BE78CA">
        <w:t>is not a significant source of emissions for New Zealand because the practice of controlled burning is limited and wildfires are not common due to New Zealand’s temperate climate and vegetation.</w:t>
      </w:r>
    </w:p>
    <w:p w14:paraId="66AAF086" w14:textId="77777777" w:rsidR="00333601" w:rsidRPr="00BE78CA" w:rsidRDefault="00333601" w:rsidP="00333601">
      <w:pPr>
        <w:pStyle w:val="BodyText"/>
      </w:pPr>
      <w:r w:rsidRPr="00BE78CA">
        <w:t xml:space="preserve">The two types of biomass burning (wildfire and controlled burning) that occur in New Zealand are reported in two main land use categories: </w:t>
      </w:r>
      <w:r w:rsidRPr="00BE78CA">
        <w:rPr>
          <w:i/>
        </w:rPr>
        <w:t>Forest land</w:t>
      </w:r>
      <w:r w:rsidRPr="00BE78CA">
        <w:t xml:space="preserve"> and </w:t>
      </w:r>
      <w:r w:rsidRPr="00BE78CA">
        <w:rPr>
          <w:i/>
        </w:rPr>
        <w:t>Grassland</w:t>
      </w:r>
      <w:r w:rsidRPr="00BE78CA">
        <w:t>. Emissions reported in </w:t>
      </w:r>
      <w:r w:rsidRPr="00BE78CA">
        <w:rPr>
          <w:i/>
          <w:iCs/>
        </w:rPr>
        <w:t>Forest land</w:t>
      </w:r>
      <w:r w:rsidRPr="00BE78CA">
        <w:t xml:space="preserve"> are further separated by forest type, and emissions from </w:t>
      </w:r>
      <w:r w:rsidRPr="00BE78CA">
        <w:rPr>
          <w:i/>
          <w:iCs/>
        </w:rPr>
        <w:t xml:space="preserve">Grassland </w:t>
      </w:r>
      <w:r w:rsidRPr="00BE78CA">
        <w:t xml:space="preserve">are reported from the controlled burning of tussock land (in ecosystems dominated by </w:t>
      </w:r>
      <w:r w:rsidRPr="00BE78CA">
        <w:rPr>
          <w:i/>
        </w:rPr>
        <w:t xml:space="preserve">Chionochloa </w:t>
      </w:r>
      <w:r w:rsidRPr="00BE78CA">
        <w:t>spp.) and from wildfires in exotic pasture grassland.</w:t>
      </w:r>
    </w:p>
    <w:p w14:paraId="46DA2410" w14:textId="77777777" w:rsidR="00333601" w:rsidRPr="00BE78CA" w:rsidRDefault="00333601" w:rsidP="00333601">
      <w:pPr>
        <w:pStyle w:val="BodyText"/>
      </w:pPr>
      <w:r w:rsidRPr="00BE78CA">
        <w:t>Non-CO</w:t>
      </w:r>
      <w:r w:rsidRPr="00BE78CA">
        <w:rPr>
          <w:vertAlign w:val="subscript"/>
        </w:rPr>
        <w:t xml:space="preserve">2 </w:t>
      </w:r>
      <w:r w:rsidRPr="00BE78CA">
        <w:t xml:space="preserve">emissions from </w:t>
      </w:r>
      <w:r w:rsidRPr="00BE78CA">
        <w:rPr>
          <w:i/>
        </w:rPr>
        <w:t>Biomass burning</w:t>
      </w:r>
      <w:r w:rsidRPr="00BE78CA">
        <w:t xml:space="preserve"> in 2019 were 3.1 kt CH</w:t>
      </w:r>
      <w:r w:rsidRPr="00BE78CA">
        <w:rPr>
          <w:vertAlign w:val="subscript"/>
        </w:rPr>
        <w:t>4</w:t>
      </w:r>
      <w:r w:rsidRPr="00BE78CA">
        <w:t xml:space="preserve"> (76.6 kt CO</w:t>
      </w:r>
      <w:r w:rsidRPr="00BE78CA">
        <w:rPr>
          <w:vertAlign w:val="subscript"/>
        </w:rPr>
        <w:t>2</w:t>
      </w:r>
      <w:r w:rsidRPr="00BE78CA">
        <w:t>-e) and 0.1 kt N</w:t>
      </w:r>
      <w:r w:rsidRPr="00BE78CA">
        <w:rPr>
          <w:vertAlign w:val="subscript"/>
        </w:rPr>
        <w:t>2</w:t>
      </w:r>
      <w:r w:rsidRPr="00BE78CA">
        <w:t>O (33.9 kt CO</w:t>
      </w:r>
      <w:r w:rsidRPr="00BE78CA">
        <w:rPr>
          <w:vertAlign w:val="subscript"/>
        </w:rPr>
        <w:t>2</w:t>
      </w:r>
      <w:r w:rsidRPr="00BE78CA">
        <w:t>-e) (see table 6.11.2).</w:t>
      </w:r>
    </w:p>
    <w:p w14:paraId="39A65C6B" w14:textId="77777777" w:rsidR="00333601" w:rsidRPr="00BE78CA" w:rsidRDefault="00333601" w:rsidP="00333601">
      <w:pPr>
        <w:pStyle w:val="Table"/>
      </w:pPr>
      <w:bookmarkStart w:id="2719" w:name="_Toc310423431"/>
      <w:bookmarkStart w:id="2720" w:name="_Toc318362724"/>
      <w:bookmarkStart w:id="2721" w:name="_Toc342470799"/>
      <w:bookmarkStart w:id="2722" w:name="_Toc352505039"/>
      <w:bookmarkStart w:id="2723" w:name="_Toc378853328"/>
      <w:bookmarkStart w:id="2724" w:name="_Toc391024126"/>
      <w:bookmarkStart w:id="2725" w:name="_Toc410028870"/>
      <w:bookmarkStart w:id="2726" w:name="_Toc414531498"/>
      <w:bookmarkStart w:id="2727" w:name="_Toc443645412"/>
      <w:bookmarkStart w:id="2728" w:name="_Toc474914631"/>
      <w:bookmarkStart w:id="2729" w:name="_Toc481751595"/>
      <w:bookmarkStart w:id="2730" w:name="_Toc522010652"/>
      <w:bookmarkStart w:id="2731" w:name="_Toc5269557"/>
      <w:bookmarkStart w:id="2732" w:name="_Toc33529431"/>
      <w:bookmarkStart w:id="2733" w:name="_Toc36224637"/>
      <w:bookmarkStart w:id="2734" w:name="_Toc65243634"/>
      <w:bookmarkStart w:id="2735" w:name="_Toc68786524"/>
      <w:r w:rsidRPr="00BE78CA">
        <w:t>Table 6.11.2</w:t>
      </w:r>
      <w:r w:rsidRPr="00BE78CA">
        <w:tab/>
        <w:t>Non-CO</w:t>
      </w:r>
      <w:r w:rsidRPr="00BE78CA">
        <w:rPr>
          <w:vertAlign w:val="subscript"/>
        </w:rPr>
        <w:t>2</w:t>
      </w:r>
      <w:r w:rsidRPr="00BE78CA">
        <w:t xml:space="preserve"> emissions from Biomass burning</w:t>
      </w:r>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p>
    <w:tbl>
      <w:tblPr>
        <w:tblW w:w="8505" w:type="dxa"/>
        <w:tblBorders>
          <w:top w:val="single" w:sz="4" w:space="0" w:color="365F91"/>
          <w:bottom w:val="single" w:sz="4" w:space="0" w:color="365F91"/>
          <w:insideH w:val="single" w:sz="4" w:space="0" w:color="365F91"/>
        </w:tblBorders>
        <w:tblLook w:val="04A0" w:firstRow="1" w:lastRow="0" w:firstColumn="1" w:lastColumn="0" w:noHBand="0" w:noVBand="1"/>
      </w:tblPr>
      <w:tblGrid>
        <w:gridCol w:w="4092"/>
        <w:gridCol w:w="1055"/>
        <w:gridCol w:w="1056"/>
        <w:gridCol w:w="2302"/>
      </w:tblGrid>
      <w:tr w:rsidR="00333601" w:rsidRPr="00BE78CA" w14:paraId="3B077E89" w14:textId="77777777" w:rsidTr="00577BBF">
        <w:tc>
          <w:tcPr>
            <w:tcW w:w="4092" w:type="dxa"/>
            <w:shd w:val="clear" w:color="auto" w:fill="365F91"/>
          </w:tcPr>
          <w:p w14:paraId="3E345036" w14:textId="77777777" w:rsidR="00333601" w:rsidRPr="00BE78CA" w:rsidRDefault="00333601" w:rsidP="00C26084">
            <w:pPr>
              <w:pStyle w:val="TableTextBold"/>
              <w:rPr>
                <w:noProof w:val="0"/>
                <w:color w:val="FFFFFF"/>
              </w:rPr>
            </w:pPr>
            <w:r w:rsidRPr="00BE78CA">
              <w:rPr>
                <w:noProof w:val="0"/>
                <w:color w:val="FFFFFF"/>
              </w:rPr>
              <w:t>Emissions</w:t>
            </w:r>
          </w:p>
        </w:tc>
        <w:tc>
          <w:tcPr>
            <w:tcW w:w="1055" w:type="dxa"/>
            <w:shd w:val="clear" w:color="auto" w:fill="365F91"/>
          </w:tcPr>
          <w:p w14:paraId="77F5EB33" w14:textId="77777777" w:rsidR="00333601" w:rsidRPr="00BE78CA" w:rsidRDefault="00333601" w:rsidP="00C26084">
            <w:pPr>
              <w:pStyle w:val="TableTextBold"/>
              <w:jc w:val="center"/>
              <w:rPr>
                <w:noProof w:val="0"/>
                <w:color w:val="FFFFFF"/>
              </w:rPr>
            </w:pPr>
            <w:r w:rsidRPr="00BE78CA">
              <w:rPr>
                <w:noProof w:val="0"/>
                <w:color w:val="FFFFFF"/>
              </w:rPr>
              <w:t>1990</w:t>
            </w:r>
          </w:p>
        </w:tc>
        <w:tc>
          <w:tcPr>
            <w:tcW w:w="1056" w:type="dxa"/>
            <w:shd w:val="clear" w:color="auto" w:fill="365F91"/>
          </w:tcPr>
          <w:p w14:paraId="304CFD96" w14:textId="77777777" w:rsidR="00333601" w:rsidRPr="00BE78CA" w:rsidRDefault="00333601" w:rsidP="00C26084">
            <w:pPr>
              <w:pStyle w:val="TableTextBold"/>
              <w:jc w:val="center"/>
              <w:rPr>
                <w:noProof w:val="0"/>
                <w:color w:val="FFFFFF"/>
              </w:rPr>
            </w:pPr>
            <w:r w:rsidRPr="00BE78CA">
              <w:rPr>
                <w:noProof w:val="0"/>
                <w:color w:val="FFFFFF"/>
              </w:rPr>
              <w:t>2019</w:t>
            </w:r>
          </w:p>
        </w:tc>
        <w:tc>
          <w:tcPr>
            <w:tcW w:w="2302" w:type="dxa"/>
            <w:shd w:val="clear" w:color="auto" w:fill="365F91"/>
          </w:tcPr>
          <w:p w14:paraId="14A9394A" w14:textId="77777777" w:rsidR="00333601" w:rsidRPr="00BE78CA" w:rsidRDefault="00333601" w:rsidP="00C26084">
            <w:pPr>
              <w:pStyle w:val="TableTextBold"/>
              <w:jc w:val="center"/>
              <w:rPr>
                <w:noProof w:val="0"/>
                <w:color w:val="FFFFFF"/>
              </w:rPr>
            </w:pPr>
            <w:r w:rsidRPr="00BE78CA">
              <w:rPr>
                <w:noProof w:val="0"/>
                <w:color w:val="FFFFFF"/>
              </w:rPr>
              <w:t>Change since 1990 (%)</w:t>
            </w:r>
          </w:p>
        </w:tc>
      </w:tr>
      <w:tr w:rsidR="00333601" w:rsidRPr="00BE78CA" w14:paraId="54F78D34" w14:textId="77777777" w:rsidTr="00577BBF">
        <w:tc>
          <w:tcPr>
            <w:tcW w:w="4092" w:type="dxa"/>
          </w:tcPr>
          <w:p w14:paraId="298E1F85" w14:textId="77777777" w:rsidR="00333601" w:rsidRPr="00BE78CA" w:rsidRDefault="00333601" w:rsidP="00C26084">
            <w:pPr>
              <w:pStyle w:val="TableText"/>
            </w:pPr>
            <w:r w:rsidRPr="00BE78CA">
              <w:t>CH</w:t>
            </w:r>
            <w:r w:rsidRPr="00BE78CA">
              <w:rPr>
                <w:vertAlign w:val="subscript"/>
              </w:rPr>
              <w:t>4</w:t>
            </w:r>
            <w:r w:rsidRPr="00BE78CA">
              <w:t xml:space="preserve"> emissions (kt CH</w:t>
            </w:r>
            <w:r w:rsidRPr="00BE78CA">
              <w:rPr>
                <w:vertAlign w:val="subscript"/>
              </w:rPr>
              <w:t>4</w:t>
            </w:r>
            <w:r w:rsidRPr="00BE78CA">
              <w:t>)</w:t>
            </w:r>
          </w:p>
        </w:tc>
        <w:tc>
          <w:tcPr>
            <w:tcW w:w="1055" w:type="dxa"/>
          </w:tcPr>
          <w:p w14:paraId="4C5BEB4F" w14:textId="77777777" w:rsidR="00333601" w:rsidRPr="00BE78CA" w:rsidRDefault="00333601" w:rsidP="00C26084">
            <w:pPr>
              <w:pStyle w:val="TableText"/>
              <w:tabs>
                <w:tab w:val="decimal" w:pos="204"/>
              </w:tabs>
              <w:jc w:val="center"/>
            </w:pPr>
            <w:r w:rsidRPr="00BE78CA">
              <w:t>3.7</w:t>
            </w:r>
          </w:p>
        </w:tc>
        <w:tc>
          <w:tcPr>
            <w:tcW w:w="1056" w:type="dxa"/>
          </w:tcPr>
          <w:p w14:paraId="7D5F262A" w14:textId="77777777" w:rsidR="00333601" w:rsidRPr="00BE78CA" w:rsidRDefault="00333601" w:rsidP="00C26084">
            <w:pPr>
              <w:pStyle w:val="TableText"/>
              <w:tabs>
                <w:tab w:val="decimal" w:pos="204"/>
              </w:tabs>
              <w:jc w:val="center"/>
            </w:pPr>
            <w:r w:rsidRPr="00BE78CA">
              <w:t>3.1</w:t>
            </w:r>
          </w:p>
        </w:tc>
        <w:tc>
          <w:tcPr>
            <w:tcW w:w="2302" w:type="dxa"/>
          </w:tcPr>
          <w:p w14:paraId="46480BC0" w14:textId="77777777" w:rsidR="00333601" w:rsidRPr="00BE78CA" w:rsidRDefault="00333601" w:rsidP="00C26084">
            <w:pPr>
              <w:pStyle w:val="TableText"/>
              <w:tabs>
                <w:tab w:val="decimal" w:pos="204"/>
              </w:tabs>
              <w:jc w:val="center"/>
            </w:pPr>
            <w:r w:rsidRPr="00BE78CA">
              <w:t>–18.1</w:t>
            </w:r>
          </w:p>
        </w:tc>
      </w:tr>
      <w:tr w:rsidR="00333601" w:rsidRPr="00BE78CA" w14:paraId="64060880" w14:textId="77777777" w:rsidTr="00577BBF">
        <w:tc>
          <w:tcPr>
            <w:tcW w:w="4092" w:type="dxa"/>
          </w:tcPr>
          <w:p w14:paraId="37F0F688" w14:textId="77777777" w:rsidR="00333601" w:rsidRPr="00BE78CA" w:rsidRDefault="00333601" w:rsidP="00C26084">
            <w:pPr>
              <w:pStyle w:val="TableText"/>
            </w:pPr>
            <w:r w:rsidRPr="00BE78CA">
              <w:t>N</w:t>
            </w:r>
            <w:r w:rsidRPr="00BE78CA">
              <w:rPr>
                <w:vertAlign w:val="subscript"/>
              </w:rPr>
              <w:t>2</w:t>
            </w:r>
            <w:r w:rsidRPr="00BE78CA">
              <w:t>O emissions (kt N</w:t>
            </w:r>
            <w:r w:rsidRPr="00BE78CA">
              <w:rPr>
                <w:vertAlign w:val="subscript"/>
              </w:rPr>
              <w:t>2</w:t>
            </w:r>
            <w:r w:rsidRPr="00BE78CA">
              <w:t>O)</w:t>
            </w:r>
          </w:p>
        </w:tc>
        <w:tc>
          <w:tcPr>
            <w:tcW w:w="1055" w:type="dxa"/>
          </w:tcPr>
          <w:p w14:paraId="322E95CD" w14:textId="77777777" w:rsidR="00333601" w:rsidRPr="00BE78CA" w:rsidRDefault="00333601" w:rsidP="00C26084">
            <w:pPr>
              <w:pStyle w:val="TableText"/>
              <w:tabs>
                <w:tab w:val="decimal" w:pos="204"/>
              </w:tabs>
              <w:jc w:val="center"/>
            </w:pPr>
            <w:r w:rsidRPr="00BE78CA">
              <w:t>0.1</w:t>
            </w:r>
          </w:p>
        </w:tc>
        <w:tc>
          <w:tcPr>
            <w:tcW w:w="1056" w:type="dxa"/>
          </w:tcPr>
          <w:p w14:paraId="40359D82" w14:textId="77777777" w:rsidR="00333601" w:rsidRPr="00BE78CA" w:rsidRDefault="00333601" w:rsidP="00C26084">
            <w:pPr>
              <w:pStyle w:val="TableText"/>
              <w:tabs>
                <w:tab w:val="decimal" w:pos="204"/>
              </w:tabs>
              <w:jc w:val="center"/>
            </w:pPr>
            <w:r w:rsidRPr="00BE78CA">
              <w:t>0.1</w:t>
            </w:r>
          </w:p>
        </w:tc>
        <w:tc>
          <w:tcPr>
            <w:tcW w:w="2302" w:type="dxa"/>
          </w:tcPr>
          <w:p w14:paraId="63E85B5E" w14:textId="77777777" w:rsidR="00333601" w:rsidRPr="00BE78CA" w:rsidRDefault="00333601" w:rsidP="00C26084">
            <w:pPr>
              <w:pStyle w:val="TableText"/>
              <w:tabs>
                <w:tab w:val="decimal" w:pos="204"/>
              </w:tabs>
              <w:jc w:val="center"/>
            </w:pPr>
            <w:r w:rsidRPr="00BE78CA">
              <w:t>4.1</w:t>
            </w:r>
          </w:p>
        </w:tc>
      </w:tr>
    </w:tbl>
    <w:p w14:paraId="56811128" w14:textId="77777777" w:rsidR="00333601" w:rsidRPr="00BE78CA" w:rsidRDefault="00333601" w:rsidP="00333601">
      <w:pPr>
        <w:pStyle w:val="Heading4"/>
        <w:spacing w:before="280"/>
      </w:pPr>
      <w:bookmarkStart w:id="2736" w:name="_Toc280630366"/>
      <w:r w:rsidRPr="00BE78CA">
        <w:t>Methodological issues</w:t>
      </w:r>
      <w:bookmarkEnd w:id="2736"/>
    </w:p>
    <w:p w14:paraId="307C12A2" w14:textId="77777777" w:rsidR="00333601" w:rsidRPr="00BE78CA" w:rsidRDefault="00333601" w:rsidP="00333601">
      <w:pPr>
        <w:pStyle w:val="BodyText"/>
      </w:pPr>
      <w:r w:rsidRPr="00BE78CA">
        <w:t xml:space="preserve">The general approach for estimating greenhouse gas emissions from </w:t>
      </w:r>
      <w:r w:rsidRPr="00BE78CA">
        <w:rPr>
          <w:i/>
        </w:rPr>
        <w:t>Biomass burning</w:t>
      </w:r>
      <w:r w:rsidRPr="00BE78CA" w:rsidDel="002456C0">
        <w:t xml:space="preserve"> </w:t>
      </w:r>
      <w:r w:rsidRPr="00BE78CA">
        <w:t xml:space="preserve">is the same regardless of the specific land use type. New Zealand employs Tier 2 methodologies to estimate emissions from </w:t>
      </w:r>
      <w:r w:rsidRPr="00BE78CA">
        <w:rPr>
          <w:i/>
        </w:rPr>
        <w:t>Biomass burning</w:t>
      </w:r>
      <w:r w:rsidRPr="00BE78CA">
        <w:t>. A combination of country-specific carbon fractions (Beets, unpublished), emission factors (Thomas et al., 2011) and combustion factors (Payton and Pearce, 2009; Wakelin, unpublished(a), (i)) are employed along with the 2006 IPCC Guidelines default carbon fractions, emission factors, combustion factors and equations to derive emissions (sections 2.4, 4.2.4 and 6.2.4, IPCC, 2006a).</w:t>
      </w:r>
    </w:p>
    <w:p w14:paraId="22E3A84C" w14:textId="77777777" w:rsidR="00333601" w:rsidRPr="00BE78CA" w:rsidRDefault="00333601" w:rsidP="00333601">
      <w:pPr>
        <w:pStyle w:val="BodyText"/>
      </w:pPr>
      <w:r w:rsidRPr="00BE78CA">
        <w:t>For all land uses, CO</w:t>
      </w:r>
      <w:r w:rsidRPr="00BE78CA">
        <w:rPr>
          <w:vertAlign w:val="subscript"/>
        </w:rPr>
        <w:t>2</w:t>
      </w:r>
      <w:r w:rsidRPr="00BE78CA">
        <w:t xml:space="preserve"> emissions are captured in the general stock change calculation following the 2006 IPCC Guidelines (IPCC, 2006a). Carbon dioxide</w:t>
      </w:r>
      <w:r w:rsidRPr="00BE78CA" w:rsidDel="00097907">
        <w:t xml:space="preserve"> </w:t>
      </w:r>
      <w:r w:rsidRPr="00BE78CA">
        <w:t>emissions resultant from biomass burning are reported as IE (included elsewhere), where emissions are captured in the stock change calculation within the land use category, or NE (not estimated), where no data exist or subsequent regrowth is not captured.</w:t>
      </w:r>
    </w:p>
    <w:p w14:paraId="12BC1E1D" w14:textId="77777777" w:rsidR="00333601" w:rsidRPr="00BE78CA" w:rsidRDefault="00333601" w:rsidP="00333601">
      <w:pPr>
        <w:pStyle w:val="BodyText"/>
        <w:rPr>
          <w:spacing w:val="-2"/>
        </w:rPr>
      </w:pPr>
      <w:r w:rsidRPr="00BE78CA">
        <w:t xml:space="preserve">In </w:t>
      </w:r>
      <w:r w:rsidRPr="00BE78CA">
        <w:rPr>
          <w:i/>
          <w:iCs/>
        </w:rPr>
        <w:t>Grassland</w:t>
      </w:r>
      <w:r w:rsidRPr="00BE78CA">
        <w:t>, CO</w:t>
      </w:r>
      <w:r w:rsidRPr="00BE78CA">
        <w:rPr>
          <w:vertAlign w:val="subscript"/>
        </w:rPr>
        <w:t xml:space="preserve">2 </w:t>
      </w:r>
      <w:r w:rsidRPr="00BE78CA">
        <w:t>emissions from biomass burning are assumed to be equal to subsequent regrowth. The assumption of equivalence is accepted as reasonable in this scenario as per the 2006 IPCC Guidelines, sections 2.4 and 6.2.4 (IPCC, 2006a).</w:t>
      </w:r>
    </w:p>
    <w:p w14:paraId="55DC0258" w14:textId="77777777" w:rsidR="00333601" w:rsidRPr="00BE78CA" w:rsidRDefault="00333601" w:rsidP="00333601">
      <w:pPr>
        <w:pStyle w:val="BodyText"/>
      </w:pPr>
      <w:r w:rsidRPr="00BE78CA">
        <w:rPr>
          <w:spacing w:val="-2"/>
        </w:rPr>
        <w:t xml:space="preserve">In </w:t>
      </w:r>
      <w:r w:rsidRPr="00BE78CA">
        <w:rPr>
          <w:i/>
          <w:iCs/>
          <w:spacing w:val="-2"/>
        </w:rPr>
        <w:t>Cropland</w:t>
      </w:r>
      <w:r w:rsidRPr="00BE78CA">
        <w:rPr>
          <w:spacing w:val="-2"/>
        </w:rPr>
        <w:t xml:space="preserve">, </w:t>
      </w:r>
      <w:r w:rsidRPr="00BE78CA">
        <w:t>CH</w:t>
      </w:r>
      <w:r w:rsidRPr="00BE78CA">
        <w:rPr>
          <w:vertAlign w:val="subscript"/>
        </w:rPr>
        <w:t>4</w:t>
      </w:r>
      <w:r w:rsidRPr="00BE78CA">
        <w:t xml:space="preserve"> and N</w:t>
      </w:r>
      <w:r w:rsidRPr="00BE78CA">
        <w:rPr>
          <w:vertAlign w:val="subscript"/>
        </w:rPr>
        <w:t>2</w:t>
      </w:r>
      <w:r w:rsidRPr="00BE78CA">
        <w:t xml:space="preserve">O emissions from controlled burning are reported as IE (included elsewhere). This is because emissions from the burning of crop stubble associated with controlled burning in </w:t>
      </w:r>
      <w:r w:rsidRPr="00BE78CA">
        <w:rPr>
          <w:i/>
          <w:iCs/>
        </w:rPr>
        <w:t>Cropland</w:t>
      </w:r>
      <w:r w:rsidRPr="00BE78CA">
        <w:t xml:space="preserve"> are reported under the Agriculture sector (chapter 5) and reported within CRF table 3.F.</w:t>
      </w:r>
    </w:p>
    <w:p w14:paraId="7452D291" w14:textId="77777777" w:rsidR="00333601" w:rsidRPr="00BE78CA" w:rsidRDefault="00333601" w:rsidP="00333601">
      <w:pPr>
        <w:pStyle w:val="BodyText"/>
      </w:pPr>
      <w:r w:rsidRPr="00BE78CA">
        <w:t>Both CO and NO</w:t>
      </w:r>
      <w:r w:rsidRPr="00BE78CA">
        <w:rPr>
          <w:vertAlign w:val="subscript"/>
        </w:rPr>
        <w:t>x</w:t>
      </w:r>
      <w:r w:rsidRPr="00BE78CA">
        <w:t xml:space="preserve"> are also released from biomass burning and are reported in relevant aggregate land-use categories. Carbon monoxide and NO</w:t>
      </w:r>
      <w:r w:rsidRPr="00BE78CA">
        <w:rPr>
          <w:vertAlign w:val="subscript"/>
        </w:rPr>
        <w:t>x</w:t>
      </w:r>
      <w:r w:rsidRPr="00BE78CA">
        <w:t xml:space="preserve"> emissions from biomass burning are captured as part of the biomass burning model and reported in the CRF tables.</w:t>
      </w:r>
    </w:p>
    <w:p w14:paraId="2864F465" w14:textId="77777777" w:rsidR="00333601" w:rsidRPr="00BE78CA" w:rsidRDefault="00333601" w:rsidP="00333601">
      <w:pPr>
        <w:pStyle w:val="Heading5"/>
        <w:spacing w:before="160"/>
      </w:pPr>
      <w:r w:rsidRPr="00BE78CA">
        <w:lastRenderedPageBreak/>
        <w:t>Wildfire</w:t>
      </w:r>
    </w:p>
    <w:p w14:paraId="440099F0" w14:textId="77777777" w:rsidR="00333601" w:rsidRPr="00BE78CA" w:rsidRDefault="00333601" w:rsidP="00333601">
      <w:pPr>
        <w:pStyle w:val="BodyText"/>
      </w:pPr>
      <w:r w:rsidRPr="00BE78CA">
        <w:rPr>
          <w:rFonts w:cs="Arial"/>
        </w:rPr>
        <w:t>Wildfire activity data have historically been compiled by the National Rural Fire Authority. This responsibility has passed to Fire and Emergency New Zealand (FENZ) following the merger of the National Rural Fire Authority and New Zealand Fire Service in July 2017 (Wakelin, unpublished(h)).</w:t>
      </w:r>
    </w:p>
    <w:p w14:paraId="661E5E75" w14:textId="77777777" w:rsidR="00333601" w:rsidRPr="00BE78CA" w:rsidRDefault="00333601" w:rsidP="00333601">
      <w:pPr>
        <w:pStyle w:val="BodyText"/>
      </w:pPr>
      <w:r w:rsidRPr="00BE78CA">
        <w:t>Wildfire activity data are sourced from the FENZ database, which has data from 1991/92 onwards (Wakelin and Clifford, unpublished). The April year data from the database are converted to calendar years for use in the National Inventory Report (Wakelin and Clifford, unpublished).</w:t>
      </w:r>
    </w:p>
    <w:p w14:paraId="361A9947" w14:textId="77777777" w:rsidR="00333601" w:rsidRPr="00BE78CA" w:rsidRDefault="00333601" w:rsidP="00333601">
      <w:pPr>
        <w:pStyle w:val="BodyText"/>
      </w:pPr>
      <w:r w:rsidRPr="00BE78CA">
        <w:t>No significant change has occurred in total wildfire activity since 1990. However, there were significantly more wildfires in planted forests during 2016 than previous years, likely caused by summer droughts and one of the strongest El Niño weather patterns on record (National Institute of Water and Atmospheric Research, 2018).</w:t>
      </w:r>
    </w:p>
    <w:p w14:paraId="35770C6A" w14:textId="77777777" w:rsidR="00333601" w:rsidRPr="00BE78CA" w:rsidRDefault="00333601" w:rsidP="00333601">
      <w:pPr>
        <w:pStyle w:val="BodyText"/>
        <w:rPr>
          <w:rFonts w:cs="Arial"/>
        </w:rPr>
      </w:pPr>
      <w:r w:rsidRPr="00BE78CA">
        <w:t xml:space="preserve">Wildfires induced by natural disturbances (e.g., lightning) are estimated to account for only 0.1 per cent of burning in </w:t>
      </w:r>
      <w:r w:rsidRPr="00BE78CA">
        <w:rPr>
          <w:i/>
        </w:rPr>
        <w:t>Grassland</w:t>
      </w:r>
      <w:r w:rsidRPr="00BE78CA">
        <w:t xml:space="preserve"> and </w:t>
      </w:r>
      <w:r w:rsidRPr="00BE78CA">
        <w:rPr>
          <w:i/>
        </w:rPr>
        <w:t>Forest land</w:t>
      </w:r>
      <w:r w:rsidRPr="00BE78CA">
        <w:t xml:space="preserve"> in New Zealand (Doherty et al., unpublished; Wakelin, unpublished(b)). Non-CO</w:t>
      </w:r>
      <w:r w:rsidRPr="00BE78CA">
        <w:rPr>
          <w:vertAlign w:val="subscript"/>
        </w:rPr>
        <w:t>2</w:t>
      </w:r>
      <w:r w:rsidRPr="00BE78CA">
        <w:t xml:space="preserve"> emissions from wildfires induced by natural disturbances are reported using data collected by FENZ. FENZ does not distinguish between anthropogenic and natural wildfire events. Given the small incidence of natural-disturbance-induced wildfires in New Zealand, this is not regarded as a significant source of error.</w:t>
      </w:r>
    </w:p>
    <w:p w14:paraId="33240D42" w14:textId="77777777" w:rsidR="00333601" w:rsidRPr="00BE78CA" w:rsidRDefault="00333601" w:rsidP="00333601">
      <w:pPr>
        <w:pStyle w:val="BodyText"/>
      </w:pPr>
      <w:r w:rsidRPr="00BE78CA">
        <w:t>Emissions of CO</w:t>
      </w:r>
      <w:r w:rsidRPr="00BE78CA">
        <w:rPr>
          <w:vertAlign w:val="subscript"/>
        </w:rPr>
        <w:t>2</w:t>
      </w:r>
      <w:r w:rsidRPr="00BE78CA">
        <w:t xml:space="preserve"> from wildfires in </w:t>
      </w:r>
      <w:r w:rsidRPr="00BE78CA">
        <w:rPr>
          <w:i/>
        </w:rPr>
        <w:t>Forest land remaining forest land</w:t>
      </w:r>
      <w:r w:rsidRPr="00BE78CA">
        <w:t xml:space="preserve"> are included in the general stock change calculation. In </w:t>
      </w:r>
      <w:r w:rsidRPr="00BE78CA">
        <w:rPr>
          <w:i/>
        </w:rPr>
        <w:t>Forest land remaining forest land</w:t>
      </w:r>
      <w:r w:rsidRPr="00BE78CA">
        <w:t>, burned stands are either harvested (so emissions are included with the harvesting emissions) or left to grow on at reduced stocking. Carbon dioxide emissions are reported when the stand is harvested or deforested (with no reduction in stock when compared with an unburned stand). For both natural and planted forests, emissions from areas burned are captured within the forest plot networks that New Zealand uses to estimate carbon stock change. In these cases, to avoid double counting of CO</w:t>
      </w:r>
      <w:r w:rsidRPr="00BE78CA">
        <w:rPr>
          <w:vertAlign w:val="subscript"/>
        </w:rPr>
        <w:t>2</w:t>
      </w:r>
      <w:r w:rsidRPr="00BE78CA">
        <w:t xml:space="preserve"> emissions, the notation key IE (included elsewhere) is used.</w:t>
      </w:r>
    </w:p>
    <w:p w14:paraId="091D7326" w14:textId="77777777" w:rsidR="00333601" w:rsidRPr="00BE78CA" w:rsidRDefault="00333601" w:rsidP="00333601">
      <w:pPr>
        <w:pStyle w:val="BodyText"/>
      </w:pPr>
      <w:r w:rsidRPr="00BE78CA">
        <w:t>A single weighted biomass density is used to estimate non-CO</w:t>
      </w:r>
      <w:r w:rsidRPr="00BE78CA">
        <w:rPr>
          <w:vertAlign w:val="subscript"/>
        </w:rPr>
        <w:t>2</w:t>
      </w:r>
      <w:r w:rsidRPr="00BE78CA">
        <w:t xml:space="preserve"> emissions from wildfire in the </w:t>
      </w:r>
      <w:r w:rsidRPr="00BE78CA">
        <w:rPr>
          <w:i/>
        </w:rPr>
        <w:t>Forest land remaining forest land</w:t>
      </w:r>
      <w:r w:rsidRPr="00BE78CA">
        <w:t xml:space="preserve"> category. Wildfire activity data are attributed to each category by proportion of forest type estimated to be burned over the time series until 2007, and then using the actual areas from the wildfire database from that point on. The split prior to 2007 assumes 87.5 per cent to planted forest and the remainder to natural forest (Wakelin, unpublished(h)).</w:t>
      </w:r>
      <w:r w:rsidRPr="00BE78CA" w:rsidDel="00A5190E">
        <w:t xml:space="preserve"> </w:t>
      </w:r>
      <w:r w:rsidRPr="00BE78CA">
        <w:t>The planted forest activity data are further split into pre-1990 forest and post</w:t>
      </w:r>
      <w:r w:rsidRPr="00BE78CA">
        <w:noBreakHyphen/>
        <w:t>1989 forest by the proportion of area each forest type makes up of the total planted forest area. In planted forest, it is assumed that the carbon stock affected by wildfire is equivalent to the carbon stock at the average stand age in each forest type (Wakelin, unpublished(d)). The individual forest type estimates that make up the single weighted figure are derived from the national forest plot network described in section 6.4.</w:t>
      </w:r>
    </w:p>
    <w:p w14:paraId="49D727EF" w14:textId="77777777" w:rsidR="00333601" w:rsidRPr="00BE78CA" w:rsidRDefault="00333601" w:rsidP="00333601">
      <w:pPr>
        <w:pStyle w:val="BodyText"/>
      </w:pPr>
      <w:r w:rsidRPr="00BE78CA">
        <w:t xml:space="preserve">An estimate for wildfire in </w:t>
      </w:r>
      <w:r w:rsidRPr="00BE78CA">
        <w:rPr>
          <w:i/>
        </w:rPr>
        <w:t>Land converted to grassland</w:t>
      </w:r>
      <w:r w:rsidRPr="00BE78CA">
        <w:t xml:space="preserve"> is provided in the inventory. The activity data for wildfire in </w:t>
      </w:r>
      <w:r w:rsidRPr="00BE78CA">
        <w:rPr>
          <w:i/>
        </w:rPr>
        <w:t>Grassland</w:t>
      </w:r>
      <w:r w:rsidRPr="00BE78CA">
        <w:t xml:space="preserve"> are attributed to the </w:t>
      </w:r>
      <w:r w:rsidRPr="00BE78CA">
        <w:rPr>
          <w:i/>
        </w:rPr>
        <w:t>Land converted to</w:t>
      </w:r>
      <w:r w:rsidRPr="00BE78CA">
        <w:t xml:space="preserve"> and </w:t>
      </w:r>
      <w:r w:rsidRPr="00BE78CA">
        <w:rPr>
          <w:i/>
        </w:rPr>
        <w:t>Land remaining</w:t>
      </w:r>
      <w:r w:rsidRPr="00BE78CA">
        <w:t xml:space="preserve"> categories by the proportion each category makes up of the total area.</w:t>
      </w:r>
    </w:p>
    <w:p w14:paraId="5E23DF54" w14:textId="77777777" w:rsidR="00333601" w:rsidRPr="00BE78CA" w:rsidRDefault="00333601" w:rsidP="00333601">
      <w:pPr>
        <w:pStyle w:val="Heading5"/>
      </w:pPr>
      <w:r w:rsidRPr="00BE78CA">
        <w:t>Controlled burning</w:t>
      </w:r>
    </w:p>
    <w:p w14:paraId="213B7BC0" w14:textId="77777777" w:rsidR="00333601" w:rsidRPr="00BE78CA" w:rsidRDefault="00333601" w:rsidP="00333601">
      <w:pPr>
        <w:pStyle w:val="BodyText"/>
      </w:pPr>
      <w:r w:rsidRPr="00BE78CA">
        <w:t>Controlled burning emissions are reported within:</w:t>
      </w:r>
    </w:p>
    <w:p w14:paraId="02072D40" w14:textId="77777777" w:rsidR="00333601" w:rsidRPr="00BE78CA" w:rsidRDefault="00333601" w:rsidP="00FA2314">
      <w:pPr>
        <w:pStyle w:val="Bullet"/>
        <w:numPr>
          <w:ilvl w:val="0"/>
          <w:numId w:val="25"/>
        </w:numPr>
      </w:pPr>
      <w:r w:rsidRPr="00BE78CA">
        <w:rPr>
          <w:i/>
        </w:rPr>
        <w:t>Grassland</w:t>
      </w:r>
      <w:r w:rsidRPr="00BE78CA">
        <w:t xml:space="preserve"> </w:t>
      </w:r>
      <w:r w:rsidRPr="00BE78CA">
        <w:rPr>
          <w:i/>
        </w:rPr>
        <w:t xml:space="preserve">converted to forest land </w:t>
      </w:r>
      <w:r w:rsidRPr="00BE78CA">
        <w:t>(due to site preparation for conversion)</w:t>
      </w:r>
    </w:p>
    <w:p w14:paraId="685FA213" w14:textId="77777777" w:rsidR="00333601" w:rsidRPr="00BE78CA" w:rsidRDefault="00333601" w:rsidP="00E213AC">
      <w:pPr>
        <w:pStyle w:val="Bullet"/>
        <w:numPr>
          <w:ilvl w:val="0"/>
          <w:numId w:val="25"/>
        </w:numPr>
        <w:spacing w:after="100"/>
      </w:pPr>
      <w:r w:rsidRPr="00BE78CA">
        <w:rPr>
          <w:i/>
        </w:rPr>
        <w:lastRenderedPageBreak/>
        <w:t>Forest land remaining forest land</w:t>
      </w:r>
      <w:r w:rsidRPr="00BE78CA">
        <w:t xml:space="preserve"> (from the clearing of vegetation (natural forest) prior to the establishment of exotic planted forest and the burning of post-harvest slash prior to restocking) </w:t>
      </w:r>
    </w:p>
    <w:p w14:paraId="37D9AB17" w14:textId="77777777" w:rsidR="00333601" w:rsidRPr="00BE78CA" w:rsidRDefault="00333601" w:rsidP="00E213AC">
      <w:pPr>
        <w:pStyle w:val="Bullet"/>
        <w:numPr>
          <w:ilvl w:val="0"/>
          <w:numId w:val="25"/>
        </w:numPr>
        <w:spacing w:after="100"/>
      </w:pPr>
      <w:r w:rsidRPr="00BE78CA">
        <w:rPr>
          <w:i/>
        </w:rPr>
        <w:t>Forest land converted to</w:t>
      </w:r>
      <w:r w:rsidRPr="00BE78CA">
        <w:t xml:space="preserve"> </w:t>
      </w:r>
      <w:r w:rsidRPr="00BE78CA">
        <w:rPr>
          <w:i/>
        </w:rPr>
        <w:t>grassland</w:t>
      </w:r>
      <w:r w:rsidRPr="00BE78CA">
        <w:t xml:space="preserve"> (from controlled burning associated with deforestation) </w:t>
      </w:r>
    </w:p>
    <w:p w14:paraId="34856953" w14:textId="77777777" w:rsidR="00333601" w:rsidRPr="00BE78CA" w:rsidRDefault="00333601" w:rsidP="00FA2314">
      <w:pPr>
        <w:pStyle w:val="Bullet"/>
        <w:numPr>
          <w:ilvl w:val="0"/>
          <w:numId w:val="25"/>
        </w:numPr>
      </w:pPr>
      <w:r w:rsidRPr="00BE78CA">
        <w:rPr>
          <w:i/>
        </w:rPr>
        <w:t>Grassland remaining grassland</w:t>
      </w:r>
      <w:r w:rsidRPr="00BE78CA">
        <w:t xml:space="preserve"> (due to savanna (tussock) and pasture land management practices).</w:t>
      </w:r>
    </w:p>
    <w:p w14:paraId="7D265211" w14:textId="77777777" w:rsidR="00333601" w:rsidRPr="00BE78CA" w:rsidRDefault="00333601" w:rsidP="00E213AC">
      <w:pPr>
        <w:pStyle w:val="BodyText"/>
        <w:spacing w:before="100" w:after="100"/>
        <w:rPr>
          <w:spacing w:val="-2"/>
        </w:rPr>
      </w:pPr>
      <w:r w:rsidRPr="00BE78CA">
        <w:t xml:space="preserve">A survey of controlled burning in planted forest was carried out in 2011 to estimate controlled burning activity on </w:t>
      </w:r>
      <w:r w:rsidRPr="00BE78CA">
        <w:rPr>
          <w:i/>
        </w:rPr>
        <w:t>Forest land</w:t>
      </w:r>
      <w:r w:rsidRPr="00BE78CA">
        <w:t xml:space="preserve"> in New Zealand. Estimates were provided for burning associated with the clearing of vegetation (i.e., pre-1990 natural forest and grassland with woody biomass) </w:t>
      </w:r>
      <w:r w:rsidRPr="00BE78CA">
        <w:rPr>
          <w:spacing w:val="-2"/>
        </w:rPr>
        <w:t>prior to the establishment of exotic planted forest. The survey indicated that 5 per cent of conversions to planted forest involved burning to clear vegetation. This was allocated to pre-1990 planted forest (conversions from pre-1990 natural forest) and post</w:t>
      </w:r>
      <w:r w:rsidRPr="00BE78CA">
        <w:rPr>
          <w:spacing w:val="-2"/>
        </w:rPr>
        <w:noBreakHyphen/>
        <w:t>1989 forest (conversions from grassland with woody biomass) on a pro rata basis (Wakelin, unpublished(e)).</w:t>
      </w:r>
    </w:p>
    <w:p w14:paraId="422749DE" w14:textId="77777777" w:rsidR="00333601" w:rsidRPr="00BE78CA" w:rsidRDefault="00333601" w:rsidP="00E213AC">
      <w:pPr>
        <w:pStyle w:val="BodyText"/>
        <w:spacing w:before="100" w:after="100"/>
      </w:pPr>
      <w:r w:rsidRPr="00BE78CA">
        <w:t>Activity data (area of land-use change) for grassland with woody biomass converted to forest are based on annual land-use changes, as estimated in section 6.2, and an estimate of area burned from a survey of forest owners.</w:t>
      </w:r>
    </w:p>
    <w:p w14:paraId="78498E81" w14:textId="77777777" w:rsidR="00333601" w:rsidRPr="00BE78CA" w:rsidRDefault="00333601" w:rsidP="00E213AC">
      <w:pPr>
        <w:pStyle w:val="BodyText"/>
        <w:spacing w:before="100" w:after="100"/>
      </w:pPr>
      <w:r w:rsidRPr="00BE78CA">
        <w:t>Activity data are combined with emission factors derived from the national forest plot network (see table 6.1.3) to estimate non-CO</w:t>
      </w:r>
      <w:r w:rsidRPr="00BE78CA">
        <w:rPr>
          <w:vertAlign w:val="subscript"/>
        </w:rPr>
        <w:t>2</w:t>
      </w:r>
      <w:r w:rsidRPr="00BE78CA">
        <w:t xml:space="preserve"> emissions from burning associated with the clearing of vegetation prior to the establishment of exotic planted forest. Below-ground biomass is assumed not to burn. The IPCC default combustion proportion for the burning of non-eucalypt temperate forest (category: all ‘other’ temperate forests) in land clearing fires is 0.51 (table 2.6, IPCC, 2006a) and, for the burning of shrublands (grassland with woody biomass), there is a New Zealand-specific combustion factor of 0.7 (Wakelin, unpublished(a), (i)), which is then applied to estimate emissions from the activity data.</w:t>
      </w:r>
    </w:p>
    <w:p w14:paraId="38ECE84B" w14:textId="77777777" w:rsidR="00333601" w:rsidRPr="00BE78CA" w:rsidRDefault="00333601" w:rsidP="00E213AC">
      <w:pPr>
        <w:pStyle w:val="BodyText"/>
        <w:spacing w:before="100" w:after="100"/>
      </w:pPr>
      <w:r w:rsidRPr="00BE78CA">
        <w:t>The survey also provided data on the burning of post-harvest slash prior to restocking. This activity was found to occur mainly as a training exercise for wildfire control or for the clearing of slash heaps on skid sites. The data indicated that 0.8 per cent of restocked area was burned each year in recent years. This estimate was combined with two earlier estimates of controlled burning in planted forest (Forest Industry Training and Education Council, 2005; Robertson, 1998) to provide activity data throughout the time series. It is assumed that 1.6 per cent of restocked area was burned from 1990 to 1997. From 1997, the area burned declines linearly to 0.8 per cent, which is used from 2005 onwards (Wakelin, unpublished(e)).</w:t>
      </w:r>
    </w:p>
    <w:p w14:paraId="739861C8" w14:textId="77777777" w:rsidR="00333601" w:rsidRPr="00BE78CA" w:rsidRDefault="00333601" w:rsidP="00E213AC">
      <w:pPr>
        <w:pStyle w:val="BodyText"/>
        <w:spacing w:before="100" w:after="100"/>
      </w:pPr>
      <w:r w:rsidRPr="00BE78CA">
        <w:t xml:space="preserve">Activity data are combined with an emission factor derived from the pre-1990 planted forest (planted prior to 1990) carbon-yield table to estimate emissions from the burning of post-harvest slash (harvest residue) on </w:t>
      </w:r>
      <w:r w:rsidRPr="00BE78CA">
        <w:rPr>
          <w:i/>
        </w:rPr>
        <w:t>Forest land</w:t>
      </w:r>
      <w:r w:rsidRPr="00BE78CA">
        <w:t>. The harvest residue is calculated by subtracting the amount of above-ground biomass that is taken off site as logs (70 per cent) from the total above-ground biomass predicted at the age of 28 years (the average harvest age in New Zealand). Below-ground biomass is assumed not to burn. The IPCC default combustion proportion for the burning of harvest residue in non-eucalypt temperate forest (0.62) is applied to estimate emissions from this activity (table 2.6, IPCC, 2006a).</w:t>
      </w:r>
    </w:p>
    <w:p w14:paraId="37EC1C02" w14:textId="77777777" w:rsidR="00333601" w:rsidRPr="00BE78CA" w:rsidRDefault="00333601" w:rsidP="00E213AC">
      <w:pPr>
        <w:pStyle w:val="BodyText"/>
        <w:spacing w:before="100" w:after="100"/>
      </w:pPr>
      <w:r w:rsidRPr="00BE78CA">
        <w:t xml:space="preserve">An estimate is provided for burning of post-harvest residues associated with deforestation in the National Inventory Report. No information is available on the extent of burning associated with deforestation in New Zealand. Therefore, it is assumed that 30 per cent of conversions involve burning to clear residues. The IPCC default combustion proportion for the burning of </w:t>
      </w:r>
      <w:r w:rsidRPr="00BE78CA">
        <w:lastRenderedPageBreak/>
        <w:t>harvest residue in non-eucalypt temperate forest (0.62) is applied to category-specific emission factors to estimate emissions from this activity. The emission factor excludes the proportion of logs taken off site (70 per cent of above-ground biomass) and is taken from the plot-network-derived yield tables by forest type at the average age of harvest in New Zealand.</w:t>
      </w:r>
    </w:p>
    <w:p w14:paraId="77FB575C" w14:textId="77777777" w:rsidR="00333601" w:rsidRPr="00BE78CA" w:rsidRDefault="00333601" w:rsidP="00E213AC">
      <w:pPr>
        <w:pStyle w:val="BodyText"/>
        <w:spacing w:before="100" w:after="100"/>
      </w:pPr>
      <w:r w:rsidRPr="00BE78CA">
        <w:t>Carbon dioxide emissions from controlled burning in planted forests are captured at the time of conversion or harvest.</w:t>
      </w:r>
    </w:p>
    <w:p w14:paraId="00534E13" w14:textId="03989B33" w:rsidR="00333601" w:rsidRPr="00BE78CA" w:rsidRDefault="00333601" w:rsidP="00E213AC">
      <w:pPr>
        <w:pStyle w:val="BodyText"/>
        <w:spacing w:before="100" w:after="100"/>
      </w:pPr>
      <w:r w:rsidRPr="00BE78CA">
        <w:t>The burning of tussock (</w:t>
      </w:r>
      <w:r w:rsidRPr="00BE78CA">
        <w:rPr>
          <w:i/>
        </w:rPr>
        <w:t>Chionochloa</w:t>
      </w:r>
      <w:r w:rsidRPr="00BE78CA">
        <w:t xml:space="preserve"> spp.) grassland occurs in the South Island of New Zealand for pasture renewal and weed control. The amount of burning has been decreasing steadily over the past 50 years, as a result of changes in lease tenure and a reduction in grazing pressure. The tussock burning data are sourced from consents under the Resource Management Act 1991 for activities that occurred between 1990 and 2004. Stats NZ provides</w:t>
      </w:r>
      <w:r w:rsidR="00AA0BAB" w:rsidRPr="00BE78CA">
        <w:t> </w:t>
      </w:r>
      <w:r w:rsidRPr="00BE78CA">
        <w:t>these data from 2005 because burning became a permitted activity under the Act</w:t>
      </w:r>
      <w:r w:rsidR="00AA0BAB" w:rsidRPr="00BE78CA">
        <w:t> </w:t>
      </w:r>
      <w:r w:rsidRPr="00BE78CA">
        <w:t>in</w:t>
      </w:r>
      <w:r w:rsidR="00AA0BAB" w:rsidRPr="00BE78CA">
        <w:t> </w:t>
      </w:r>
      <w:r w:rsidRPr="00BE78CA">
        <w:t>some regions (Thomas et al., 2011).</w:t>
      </w:r>
    </w:p>
    <w:p w14:paraId="16E6E6E0" w14:textId="77777777" w:rsidR="00333601" w:rsidRPr="00BE78CA" w:rsidRDefault="00333601" w:rsidP="00E213AC">
      <w:pPr>
        <w:pStyle w:val="BodyText"/>
        <w:spacing w:before="100" w:after="100"/>
      </w:pPr>
      <w:r w:rsidRPr="00BE78CA">
        <w:t>Current practice in New Zealand is to burn in damp spring conditions, reducing the amount of biomass consumed by fire. To reflect this, a country-specific combustion factor of 0.619 (spring burn carbon fractions averaged across two sites (Payton and Pearce, 2009)) is applied to a country-specific biomass density of 28 tonnes of dry matter. The ratio of biomass density to carbon lost upon burning is 0.45 (as cited in Thomas et al., 2011).</w:t>
      </w:r>
    </w:p>
    <w:p w14:paraId="3333ED27" w14:textId="5D8B5010" w:rsidR="00333601" w:rsidRPr="00BE78CA" w:rsidRDefault="00333601" w:rsidP="00E213AC">
      <w:pPr>
        <w:pStyle w:val="BodyText"/>
        <w:spacing w:before="100" w:after="100"/>
      </w:pPr>
      <w:r w:rsidRPr="00BE78CA">
        <w:t xml:space="preserve">An estimate for controlled burning in </w:t>
      </w:r>
      <w:r w:rsidRPr="00BE78CA">
        <w:rPr>
          <w:i/>
        </w:rPr>
        <w:t>Grassland remaining grassland</w:t>
      </w:r>
      <w:r w:rsidRPr="00BE78CA">
        <w:t xml:space="preserve"> (grassland with woody biomass) is provided in the inventory. The activity data are sourced from Stats NZ’s Agricultural Production Survey. The activity data are combined with an emission factor derived from the national forest plot network (see table 6.1.3) to estimate non</w:t>
      </w:r>
      <w:r w:rsidRPr="00BE78CA">
        <w:noBreakHyphen/>
        <w:t>CO</w:t>
      </w:r>
      <w:r w:rsidRPr="00BE78CA">
        <w:rPr>
          <w:vertAlign w:val="subscript"/>
        </w:rPr>
        <w:t>2</w:t>
      </w:r>
      <w:r w:rsidRPr="00BE78CA">
        <w:t xml:space="preserve"> emissions from burning associated with the clearing of vegetation for pasture regeneration. Below-ground biomass is assumed not to burn. The New Zealand-specific default combustion proportion for the burning of shrublands of 0.7 (Wakelin, unpublished(a), (i)) is then applied to estimate emissions from this activity (table 2.6, IPCC, 2006a).</w:t>
      </w:r>
    </w:p>
    <w:p w14:paraId="6A1DC7D7" w14:textId="77777777" w:rsidR="00333601" w:rsidRPr="00BE78CA" w:rsidRDefault="00333601" w:rsidP="00E213AC">
      <w:pPr>
        <w:pStyle w:val="BodyText"/>
        <w:spacing w:before="100" w:after="100"/>
      </w:pPr>
      <w:r w:rsidRPr="00BE78CA">
        <w:t xml:space="preserve">Different emission factors derived from the LUCAS plot network are used for wildfire and controlled burning on grassland with woody biomass in the inventory. The differences are due to the vegetation that is typically converted to forest, which is generally of a lesser stature when compared with other shrubland (Wakelin and Beets, unpublished). </w:t>
      </w:r>
    </w:p>
    <w:p w14:paraId="13886AE2" w14:textId="77777777" w:rsidR="00333601" w:rsidRPr="00BE78CA" w:rsidRDefault="00333601" w:rsidP="00E213AC">
      <w:pPr>
        <w:pStyle w:val="BodyText"/>
        <w:spacing w:before="100" w:after="100"/>
      </w:pPr>
      <w:r w:rsidRPr="00BE78CA">
        <w:rPr>
          <w:i/>
        </w:rPr>
        <w:t>Biomass burning</w:t>
      </w:r>
      <w:r w:rsidRPr="00BE78CA">
        <w:t xml:space="preserve"> is not a key category for New Zealand.</w:t>
      </w:r>
    </w:p>
    <w:p w14:paraId="73792987" w14:textId="77777777" w:rsidR="00333601" w:rsidRPr="00BE78CA" w:rsidRDefault="00333601" w:rsidP="00333601">
      <w:pPr>
        <w:pStyle w:val="Heading4"/>
      </w:pPr>
      <w:bookmarkStart w:id="2737" w:name="_Toc232906997"/>
      <w:bookmarkStart w:id="2738" w:name="_Toc255466321"/>
      <w:bookmarkStart w:id="2739" w:name="_Toc261513128"/>
      <w:bookmarkStart w:id="2740" w:name="_Toc261513741"/>
      <w:bookmarkStart w:id="2741" w:name="_Toc280630367"/>
      <w:r w:rsidRPr="00BE78CA">
        <w:t>Uncertainties and time-series consistency</w:t>
      </w:r>
      <w:bookmarkEnd w:id="2737"/>
      <w:bookmarkEnd w:id="2738"/>
      <w:bookmarkEnd w:id="2739"/>
      <w:bookmarkEnd w:id="2740"/>
      <w:bookmarkEnd w:id="2741"/>
    </w:p>
    <w:p w14:paraId="0A3B208C" w14:textId="77777777" w:rsidR="00333601" w:rsidRPr="00BE78CA" w:rsidRDefault="00333601" w:rsidP="00333601">
      <w:pPr>
        <w:pStyle w:val="BodyText"/>
        <w:rPr>
          <w:spacing w:val="-2"/>
        </w:rPr>
      </w:pPr>
      <w:r w:rsidRPr="00BE78CA">
        <w:rPr>
          <w:spacing w:val="-2"/>
        </w:rPr>
        <w:t>Uncertainties arise from relatively coarse activity data for wildfires and controlled burning activities in New Zealand (see table 6.11.3). The biomass burning statistics have gaps in the time series where data collection did not occur or survey methodologies changed. Assumptions are made for some activity data, emission factors and burning fractions where insufficient data exist.</w:t>
      </w:r>
    </w:p>
    <w:p w14:paraId="195C621E" w14:textId="77777777" w:rsidR="00333601" w:rsidRPr="00BE78CA" w:rsidRDefault="00333601" w:rsidP="00333601">
      <w:pPr>
        <w:pStyle w:val="Table"/>
      </w:pPr>
      <w:bookmarkStart w:id="2742" w:name="_Toc310423432"/>
      <w:bookmarkStart w:id="2743" w:name="_Toc318362725"/>
      <w:bookmarkStart w:id="2744" w:name="_Toc342470800"/>
      <w:bookmarkStart w:id="2745" w:name="_Toc352505040"/>
      <w:bookmarkStart w:id="2746" w:name="_Toc378853329"/>
      <w:bookmarkStart w:id="2747" w:name="_Toc391024127"/>
      <w:bookmarkStart w:id="2748" w:name="_Toc410028871"/>
      <w:bookmarkStart w:id="2749" w:name="_Toc414531499"/>
      <w:bookmarkStart w:id="2750" w:name="_Toc443645413"/>
      <w:bookmarkStart w:id="2751" w:name="_Toc474914632"/>
      <w:bookmarkStart w:id="2752" w:name="_Toc481751596"/>
      <w:bookmarkStart w:id="2753" w:name="_Toc522010653"/>
      <w:bookmarkStart w:id="2754" w:name="_Toc5269558"/>
      <w:bookmarkStart w:id="2755" w:name="_Toc33529432"/>
      <w:bookmarkStart w:id="2756" w:name="_Toc36224638"/>
      <w:bookmarkStart w:id="2757" w:name="_Toc65243635"/>
      <w:bookmarkStart w:id="2758" w:name="_Toc68786525"/>
      <w:r w:rsidRPr="00BE78CA">
        <w:t>Table 6.11.3</w:t>
      </w:r>
      <w:r w:rsidRPr="00BE78CA">
        <w:tab/>
        <w:t>Uncertainty in New Zealand’s 2019 estimates for CH</w:t>
      </w:r>
      <w:r w:rsidRPr="00BE78CA">
        <w:rPr>
          <w:vertAlign w:val="subscript"/>
        </w:rPr>
        <w:t>4</w:t>
      </w:r>
      <w:bookmarkEnd w:id="2742"/>
      <w:r w:rsidRPr="00BE78CA">
        <w:t xml:space="preserve"> and N</w:t>
      </w:r>
      <w:r w:rsidRPr="00BE78CA">
        <w:rPr>
          <w:vertAlign w:val="subscript"/>
        </w:rPr>
        <w:t>2</w:t>
      </w:r>
      <w:r w:rsidRPr="00BE78CA">
        <w:t>O emissions from Biomass burning</w:t>
      </w:r>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p>
    <w:tbl>
      <w:tblPr>
        <w:tblW w:w="8448" w:type="dxa"/>
        <w:tblInd w:w="57" w:type="dxa"/>
        <w:tblBorders>
          <w:top w:val="single" w:sz="4" w:space="0" w:color="365F91"/>
          <w:bottom w:val="single" w:sz="4" w:space="0" w:color="365F91"/>
          <w:insideH w:val="single" w:sz="4" w:space="0" w:color="365F91"/>
        </w:tblBorders>
        <w:tblLayout w:type="fixed"/>
        <w:tblLook w:val="04A0" w:firstRow="1" w:lastRow="0" w:firstColumn="1" w:lastColumn="0" w:noHBand="0" w:noVBand="1"/>
      </w:tblPr>
      <w:tblGrid>
        <w:gridCol w:w="4624"/>
        <w:gridCol w:w="3824"/>
      </w:tblGrid>
      <w:tr w:rsidR="00333601" w:rsidRPr="00BE78CA" w14:paraId="71C2A8CF" w14:textId="77777777" w:rsidTr="00C26084">
        <w:trPr>
          <w:trHeight w:val="20"/>
        </w:trPr>
        <w:tc>
          <w:tcPr>
            <w:tcW w:w="4655" w:type="dxa"/>
            <w:shd w:val="clear" w:color="auto" w:fill="365F91"/>
            <w:noWrap/>
            <w:hideMark/>
          </w:tcPr>
          <w:p w14:paraId="082CE8C7" w14:textId="77777777" w:rsidR="00333601" w:rsidRPr="00BE78CA" w:rsidRDefault="00333601" w:rsidP="00C26084">
            <w:pPr>
              <w:pStyle w:val="TableTextBold"/>
              <w:rPr>
                <w:noProof w:val="0"/>
                <w:color w:val="FFFFFF"/>
                <w:szCs w:val="16"/>
              </w:rPr>
            </w:pPr>
            <w:r w:rsidRPr="00BE78CA">
              <w:rPr>
                <w:noProof w:val="0"/>
                <w:color w:val="FFFFFF"/>
                <w:szCs w:val="16"/>
              </w:rPr>
              <w:t>Variable</w:t>
            </w:r>
          </w:p>
        </w:tc>
        <w:tc>
          <w:tcPr>
            <w:tcW w:w="3850" w:type="dxa"/>
            <w:shd w:val="clear" w:color="auto" w:fill="365F91"/>
            <w:noWrap/>
            <w:hideMark/>
          </w:tcPr>
          <w:p w14:paraId="3DEABF88" w14:textId="77777777" w:rsidR="00333601" w:rsidRPr="00BE78CA" w:rsidRDefault="00333601" w:rsidP="00C26084">
            <w:pPr>
              <w:pStyle w:val="TableTextBold"/>
              <w:jc w:val="center"/>
              <w:rPr>
                <w:noProof w:val="0"/>
                <w:color w:val="FFFFFF"/>
                <w:szCs w:val="16"/>
              </w:rPr>
            </w:pPr>
            <w:r w:rsidRPr="00BE78CA">
              <w:rPr>
                <w:noProof w:val="0"/>
                <w:color w:val="FFFFFF"/>
                <w:szCs w:val="16"/>
              </w:rPr>
              <w:t>Uncertainty at a 95% confidence interval (%)</w:t>
            </w:r>
          </w:p>
        </w:tc>
      </w:tr>
      <w:tr w:rsidR="00333601" w:rsidRPr="00BE78CA" w14:paraId="4D93974A" w14:textId="77777777" w:rsidTr="00C26084">
        <w:trPr>
          <w:trHeight w:val="20"/>
        </w:trPr>
        <w:tc>
          <w:tcPr>
            <w:tcW w:w="4655" w:type="dxa"/>
            <w:noWrap/>
            <w:hideMark/>
          </w:tcPr>
          <w:p w14:paraId="53D2F653" w14:textId="77777777" w:rsidR="00333601" w:rsidRPr="00BE78CA" w:rsidRDefault="00333601" w:rsidP="00C26084">
            <w:pPr>
              <w:pStyle w:val="TableTextBold"/>
              <w:rPr>
                <w:noProof w:val="0"/>
                <w:szCs w:val="16"/>
              </w:rPr>
            </w:pPr>
            <w:r w:rsidRPr="00BE78CA">
              <w:rPr>
                <w:noProof w:val="0"/>
                <w:szCs w:val="16"/>
              </w:rPr>
              <w:t>Activity data</w:t>
            </w:r>
          </w:p>
        </w:tc>
        <w:tc>
          <w:tcPr>
            <w:tcW w:w="3850" w:type="dxa"/>
            <w:noWrap/>
            <w:hideMark/>
          </w:tcPr>
          <w:p w14:paraId="5F40A1FF" w14:textId="77777777" w:rsidR="00333601" w:rsidRPr="00BE78CA" w:rsidRDefault="00333601" w:rsidP="00C26084">
            <w:pPr>
              <w:pStyle w:val="TableTextBold"/>
              <w:tabs>
                <w:tab w:val="decimal" w:pos="714"/>
              </w:tabs>
              <w:jc w:val="center"/>
              <w:rPr>
                <w:noProof w:val="0"/>
                <w:szCs w:val="16"/>
              </w:rPr>
            </w:pPr>
          </w:p>
        </w:tc>
      </w:tr>
      <w:tr w:rsidR="00333601" w:rsidRPr="00BE78CA" w14:paraId="2431598C" w14:textId="77777777" w:rsidTr="00C26084">
        <w:trPr>
          <w:trHeight w:val="20"/>
        </w:trPr>
        <w:tc>
          <w:tcPr>
            <w:tcW w:w="4655" w:type="dxa"/>
            <w:noWrap/>
            <w:hideMark/>
          </w:tcPr>
          <w:p w14:paraId="321FE20D" w14:textId="77777777" w:rsidR="00333601" w:rsidRPr="00BE78CA" w:rsidRDefault="00333601" w:rsidP="00C26084">
            <w:pPr>
              <w:pStyle w:val="TableText"/>
              <w:rPr>
                <w:b/>
                <w:szCs w:val="16"/>
              </w:rPr>
            </w:pPr>
            <w:r w:rsidRPr="00BE78CA">
              <w:rPr>
                <w:szCs w:val="16"/>
              </w:rPr>
              <w:t>Uncertainty in activity data</w:t>
            </w:r>
          </w:p>
        </w:tc>
        <w:tc>
          <w:tcPr>
            <w:tcW w:w="3850" w:type="dxa"/>
            <w:noWrap/>
            <w:hideMark/>
          </w:tcPr>
          <w:p w14:paraId="0C2FE358" w14:textId="77777777" w:rsidR="00333601" w:rsidRPr="00BE78CA" w:rsidRDefault="00333601" w:rsidP="00C26084">
            <w:pPr>
              <w:pStyle w:val="TableText"/>
              <w:jc w:val="center"/>
              <w:rPr>
                <w:szCs w:val="16"/>
              </w:rPr>
            </w:pPr>
            <w:r w:rsidRPr="00BE78CA">
              <w:rPr>
                <w:szCs w:val="16"/>
              </w:rPr>
              <w:t>±30.0</w:t>
            </w:r>
          </w:p>
        </w:tc>
      </w:tr>
      <w:tr w:rsidR="00333601" w:rsidRPr="00BE78CA" w14:paraId="562F4D64" w14:textId="77777777" w:rsidTr="00C26084">
        <w:trPr>
          <w:trHeight w:val="20"/>
        </w:trPr>
        <w:tc>
          <w:tcPr>
            <w:tcW w:w="4655" w:type="dxa"/>
            <w:noWrap/>
            <w:hideMark/>
          </w:tcPr>
          <w:p w14:paraId="14451AA4" w14:textId="77777777" w:rsidR="00333601" w:rsidRPr="00BE78CA" w:rsidRDefault="00333601" w:rsidP="00C26084">
            <w:pPr>
              <w:pStyle w:val="TableTextBold"/>
              <w:rPr>
                <w:noProof w:val="0"/>
                <w:szCs w:val="16"/>
              </w:rPr>
            </w:pPr>
            <w:r w:rsidRPr="00BE78CA">
              <w:rPr>
                <w:noProof w:val="0"/>
                <w:szCs w:val="16"/>
              </w:rPr>
              <w:t>Emission factors</w:t>
            </w:r>
          </w:p>
        </w:tc>
        <w:tc>
          <w:tcPr>
            <w:tcW w:w="3850" w:type="dxa"/>
            <w:noWrap/>
            <w:hideMark/>
          </w:tcPr>
          <w:p w14:paraId="3A1BC3B2" w14:textId="77777777" w:rsidR="00333601" w:rsidRPr="00BE78CA" w:rsidRDefault="00333601" w:rsidP="00C26084">
            <w:pPr>
              <w:pStyle w:val="TableTextBold"/>
              <w:jc w:val="center"/>
              <w:rPr>
                <w:noProof w:val="0"/>
                <w:szCs w:val="16"/>
              </w:rPr>
            </w:pPr>
          </w:p>
        </w:tc>
      </w:tr>
      <w:tr w:rsidR="00333601" w:rsidRPr="00BE78CA" w14:paraId="5E627BAC" w14:textId="77777777" w:rsidTr="00C26084">
        <w:trPr>
          <w:trHeight w:val="20"/>
        </w:trPr>
        <w:tc>
          <w:tcPr>
            <w:tcW w:w="4655" w:type="dxa"/>
            <w:noWrap/>
            <w:hideMark/>
          </w:tcPr>
          <w:p w14:paraId="6FB8EB56" w14:textId="77777777" w:rsidR="00333601" w:rsidRPr="00BE78CA" w:rsidRDefault="00333601" w:rsidP="00C26084">
            <w:pPr>
              <w:pStyle w:val="TableText"/>
              <w:rPr>
                <w:b/>
                <w:szCs w:val="16"/>
              </w:rPr>
            </w:pPr>
            <w:r w:rsidRPr="00BE78CA">
              <w:rPr>
                <w:szCs w:val="16"/>
              </w:rPr>
              <w:t>Uncertainty in emission factors</w:t>
            </w:r>
          </w:p>
        </w:tc>
        <w:tc>
          <w:tcPr>
            <w:tcW w:w="3850" w:type="dxa"/>
            <w:noWrap/>
            <w:vAlign w:val="bottom"/>
            <w:hideMark/>
          </w:tcPr>
          <w:p w14:paraId="242945AB" w14:textId="77777777" w:rsidR="00333601" w:rsidRPr="00BE78CA" w:rsidRDefault="00333601" w:rsidP="00C26084">
            <w:pPr>
              <w:pStyle w:val="TableText"/>
              <w:jc w:val="center"/>
              <w:rPr>
                <w:szCs w:val="16"/>
              </w:rPr>
            </w:pPr>
            <w:r w:rsidRPr="00BE78CA">
              <w:rPr>
                <w:szCs w:val="16"/>
              </w:rPr>
              <w:t>±48.3</w:t>
            </w:r>
          </w:p>
        </w:tc>
      </w:tr>
      <w:tr w:rsidR="00333601" w:rsidRPr="00BE78CA" w14:paraId="1A9C390C" w14:textId="77777777" w:rsidTr="00C26084">
        <w:trPr>
          <w:trHeight w:val="20"/>
        </w:trPr>
        <w:tc>
          <w:tcPr>
            <w:tcW w:w="4655" w:type="dxa"/>
            <w:noWrap/>
            <w:hideMark/>
          </w:tcPr>
          <w:p w14:paraId="032F6B6D" w14:textId="77777777" w:rsidR="00333601" w:rsidRPr="00BE78CA" w:rsidRDefault="00333601" w:rsidP="00C26084">
            <w:pPr>
              <w:pStyle w:val="Tableboldblue"/>
            </w:pPr>
            <w:r w:rsidRPr="00BE78CA">
              <w:t>Uncertainty introduced into net emissions for LULUCF</w:t>
            </w:r>
          </w:p>
        </w:tc>
        <w:tc>
          <w:tcPr>
            <w:tcW w:w="3850" w:type="dxa"/>
            <w:noWrap/>
            <w:vAlign w:val="bottom"/>
            <w:hideMark/>
          </w:tcPr>
          <w:p w14:paraId="4D38E454" w14:textId="77777777" w:rsidR="00333601" w:rsidRPr="00BE78CA" w:rsidRDefault="00333601" w:rsidP="00C26084">
            <w:pPr>
              <w:pStyle w:val="Tableboldblue"/>
              <w:jc w:val="center"/>
            </w:pPr>
            <w:r w:rsidRPr="00BE78CA">
              <w:t xml:space="preserve"> ±0.2</w:t>
            </w:r>
          </w:p>
        </w:tc>
      </w:tr>
    </w:tbl>
    <w:p w14:paraId="76453342" w14:textId="77777777" w:rsidR="00333601" w:rsidRPr="00BE78CA" w:rsidRDefault="00333601" w:rsidP="00333601">
      <w:pPr>
        <w:pStyle w:val="Heading4"/>
        <w:spacing w:before="360"/>
      </w:pPr>
      <w:bookmarkStart w:id="2759" w:name="_Toc255466322"/>
      <w:bookmarkStart w:id="2760" w:name="_Toc261513129"/>
      <w:bookmarkStart w:id="2761" w:name="_Toc261513742"/>
      <w:bookmarkStart w:id="2762" w:name="_Toc280630368"/>
      <w:r w:rsidRPr="00BE78CA">
        <w:lastRenderedPageBreak/>
        <w:t>Source-specific QA/QC and verification</w:t>
      </w:r>
      <w:bookmarkEnd w:id="2759"/>
      <w:bookmarkEnd w:id="2760"/>
      <w:bookmarkEnd w:id="2761"/>
      <w:bookmarkEnd w:id="2762"/>
    </w:p>
    <w:p w14:paraId="57CC6A21" w14:textId="77777777" w:rsidR="00333601" w:rsidRPr="00BE78CA" w:rsidRDefault="00333601" w:rsidP="00333601">
      <w:pPr>
        <w:pStyle w:val="BodyText"/>
        <w:keepLines/>
      </w:pPr>
      <w:r w:rsidRPr="00BE78CA">
        <w:t xml:space="preserve">Quality-control and quality-assurance measures are applied to the biomass burning activity data and emission factors. The biomass burning data set is verified whenever new data are supplied. The </w:t>
      </w:r>
      <w:r w:rsidRPr="00BE78CA">
        <w:rPr>
          <w:i/>
        </w:rPr>
        <w:t>Biomass burning</w:t>
      </w:r>
      <w:r w:rsidRPr="00BE78CA">
        <w:t xml:space="preserve"> parameters (burning and emission factors), assumptions and data set have been reviewed (Payton and Pearce, 2009; Thomas et al., 2011; Wakelin, unpublished(b), (d), (e), (i); Wakelin et al., unpublished).</w:t>
      </w:r>
    </w:p>
    <w:p w14:paraId="58105744" w14:textId="77777777" w:rsidR="00333601" w:rsidRPr="00BE78CA" w:rsidRDefault="00333601" w:rsidP="00333601">
      <w:pPr>
        <w:pStyle w:val="Heading4"/>
      </w:pPr>
      <w:bookmarkStart w:id="2763" w:name="_Toc280630369"/>
      <w:bookmarkStart w:id="2764" w:name="_Toc232906999"/>
      <w:bookmarkStart w:id="2765" w:name="_Toc255466323"/>
      <w:bookmarkStart w:id="2766" w:name="_Toc261513130"/>
      <w:bookmarkStart w:id="2767" w:name="_Toc261513743"/>
      <w:r w:rsidRPr="00BE78CA">
        <w:t>Source-specific recalculations</w:t>
      </w:r>
      <w:bookmarkEnd w:id="2763"/>
    </w:p>
    <w:p w14:paraId="05F0BF65" w14:textId="77777777" w:rsidR="00333601" w:rsidRPr="00BE78CA" w:rsidRDefault="00333601" w:rsidP="00333601">
      <w:pPr>
        <w:pStyle w:val="BodyText"/>
      </w:pPr>
      <w:bookmarkStart w:id="2768" w:name="_Hlk60906729"/>
      <w:r w:rsidRPr="00BE78CA">
        <w:t xml:space="preserve">The post-1989 planted forest yield table used in the controlled burning calculations following harvest and deforestation has been updated in this submission (see section 6.4.5 for further details). Activity data have also been updated between the 2018 and 2019 submissions. New estimates for controlled burning in </w:t>
      </w:r>
      <w:r w:rsidRPr="00BE78CA">
        <w:rPr>
          <w:i/>
        </w:rPr>
        <w:t>Grassland remaining grassland</w:t>
      </w:r>
      <w:r w:rsidRPr="00BE78CA">
        <w:t xml:space="preserve"> have required recalculations across the time series. </w:t>
      </w:r>
    </w:p>
    <w:p w14:paraId="7FEB4A8C" w14:textId="77777777" w:rsidR="00333601" w:rsidRPr="00BE78CA" w:rsidRDefault="00333601" w:rsidP="00333601">
      <w:pPr>
        <w:pStyle w:val="Heading4"/>
      </w:pPr>
      <w:bookmarkStart w:id="2769" w:name="_Toc280630370"/>
      <w:bookmarkEnd w:id="2768"/>
      <w:r w:rsidRPr="00BE78CA">
        <w:t>Source-specific planned improvements</w:t>
      </w:r>
      <w:bookmarkEnd w:id="2764"/>
      <w:bookmarkEnd w:id="2765"/>
      <w:bookmarkEnd w:id="2766"/>
      <w:bookmarkEnd w:id="2767"/>
      <w:bookmarkEnd w:id="2769"/>
    </w:p>
    <w:p w14:paraId="0097DA4B" w14:textId="77777777" w:rsidR="00333601" w:rsidRPr="00BE78CA" w:rsidRDefault="00333601" w:rsidP="00333601">
      <w:pPr>
        <w:pStyle w:val="BodyText"/>
      </w:pPr>
      <w:r w:rsidRPr="00BE78CA">
        <w:t>The assumption that controlled burning of post-harvest residues on afforested land does not occur will be revisited in a future submission, due to the increasing harvest rate in these forests as they reach maturity.</w:t>
      </w:r>
    </w:p>
    <w:p w14:paraId="5C9E256B" w14:textId="77777777" w:rsidR="00333601" w:rsidRPr="00BE78CA" w:rsidRDefault="00333601" w:rsidP="00333601">
      <w:pPr>
        <w:pStyle w:val="Heading2"/>
        <w:spacing w:before="0" w:after="360"/>
      </w:pPr>
      <w:r w:rsidRPr="00BE78CA">
        <w:br w:type="page"/>
      </w:r>
      <w:bookmarkStart w:id="2770" w:name="_Toc414531325"/>
      <w:bookmarkStart w:id="2771" w:name="_Toc474335467"/>
      <w:bookmarkStart w:id="2772" w:name="_Toc481751407"/>
      <w:bookmarkStart w:id="2773" w:name="_Toc522013959"/>
      <w:bookmarkStart w:id="2774" w:name="_Toc5269384"/>
      <w:bookmarkStart w:id="2775" w:name="_Toc36224424"/>
      <w:bookmarkStart w:id="2776" w:name="_Toc68786344"/>
      <w:r w:rsidRPr="00BE78CA">
        <w:lastRenderedPageBreak/>
        <w:t>Chapter 6: References</w:t>
      </w:r>
      <w:bookmarkEnd w:id="2770"/>
      <w:bookmarkEnd w:id="2771"/>
      <w:bookmarkEnd w:id="2772"/>
      <w:bookmarkEnd w:id="2773"/>
      <w:bookmarkEnd w:id="2774"/>
      <w:bookmarkEnd w:id="2775"/>
      <w:bookmarkEnd w:id="2776"/>
    </w:p>
    <w:p w14:paraId="3A0E603A" w14:textId="77777777" w:rsidR="00333601" w:rsidRPr="00BE78CA" w:rsidRDefault="00333601" w:rsidP="00333601">
      <w:pPr>
        <w:pStyle w:val="References"/>
      </w:pPr>
      <w:r w:rsidRPr="00BE78CA">
        <w:t xml:space="preserve">Ausseil A, Jamali H, Clarkson B, Golubiewski N. 2015. Soil carbon stocks in wetlands of New Zealand and impact of land conversion since European settlement. </w:t>
      </w:r>
      <w:r w:rsidRPr="00BE78CA">
        <w:rPr>
          <w:i/>
        </w:rPr>
        <w:t>Wetlands Ecology and Management</w:t>
      </w:r>
      <w:r w:rsidRPr="00BE78CA">
        <w:t xml:space="preserve"> 23(5): 947–961</w:t>
      </w:r>
      <w:r w:rsidRPr="00BE78CA">
        <w:rPr>
          <w:iCs/>
        </w:rPr>
        <w:t>.</w:t>
      </w:r>
    </w:p>
    <w:p w14:paraId="548E54A8" w14:textId="77777777" w:rsidR="00333601" w:rsidRPr="00BE78CA" w:rsidRDefault="00333601" w:rsidP="00333601">
      <w:pPr>
        <w:pStyle w:val="References"/>
      </w:pPr>
      <w:r w:rsidRPr="00BE78CA">
        <w:t xml:space="preserve">Baisden WT, Beets PN, Davis M, Wilde RH, Arnold G, Trotter CM. Unpublished(a). </w:t>
      </w:r>
      <w:r w:rsidRPr="00BE78CA">
        <w:rPr>
          <w:iCs/>
        </w:rPr>
        <w:t>Changes in New Zealand’s Soil Carbon Stocks Following Afforestation of Pastures</w:t>
      </w:r>
      <w:r w:rsidRPr="00BE78CA">
        <w:t>. Landcare Research New Zealand Ltd Contract Report: LC0506/105.</w:t>
      </w:r>
    </w:p>
    <w:p w14:paraId="735284B9" w14:textId="77777777" w:rsidR="00333601" w:rsidRPr="00BE78CA" w:rsidRDefault="00333601" w:rsidP="00333601">
      <w:pPr>
        <w:pStyle w:val="References"/>
      </w:pPr>
      <w:r w:rsidRPr="00BE78CA">
        <w:t xml:space="preserve">Baisden WT, Wilde RH, Arnold G, Trotter CM. Unpublished(b). </w:t>
      </w:r>
      <w:r w:rsidRPr="00BE78CA">
        <w:rPr>
          <w:iCs/>
        </w:rPr>
        <w:t>Operating the New Zealand Soil Carbon Monitoring System</w:t>
      </w:r>
      <w:r w:rsidRPr="00BE78CA">
        <w:t>. Landcare Research Contract Report: LC0506/107.</w:t>
      </w:r>
    </w:p>
    <w:p w14:paraId="3FBAA94A" w14:textId="77777777" w:rsidR="00333601" w:rsidRPr="00BE78CA" w:rsidRDefault="00333601" w:rsidP="00333601">
      <w:pPr>
        <w:pStyle w:val="References"/>
      </w:pPr>
      <w:r w:rsidRPr="00BE78CA">
        <w:t xml:space="preserve">Basher L, Burrows L, Hough S, Lambie S, Ross C, Thornburrow D, Garrett L, Paul T, Evanson T, Oliver G, Osorio R, Pearce S, Hill R. Unpublished. </w:t>
      </w:r>
      <w:r w:rsidRPr="00BE78CA">
        <w:rPr>
          <w:iCs/>
        </w:rPr>
        <w:t>Soil Data Collection and Analysis of Post-1989 Planted Forest Plot Network</w:t>
      </w:r>
      <w:r w:rsidRPr="00BE78CA">
        <w:t>. Contract report prepared for the Ministry for the Environment by Landcare Research, New Zealand Forest Research Institute Limited (trading as Scion) and LandSystems.</w:t>
      </w:r>
    </w:p>
    <w:p w14:paraId="76FD4DED" w14:textId="77777777" w:rsidR="00333601" w:rsidRPr="00BE78CA" w:rsidRDefault="00333601" w:rsidP="00333601">
      <w:pPr>
        <w:pStyle w:val="References"/>
      </w:pPr>
      <w:r w:rsidRPr="00BE78CA">
        <w:t>Beets PN. Unpublished. Carbon fraction of radiata pine biomass components. Contract report prepared for the Ministry for the Environment by New Zealand Forest Research Institute Ltd (trading as Scion) in 2017.</w:t>
      </w:r>
    </w:p>
    <w:p w14:paraId="6EA37954" w14:textId="77777777" w:rsidR="00333601" w:rsidRPr="00BE78CA" w:rsidRDefault="00333601" w:rsidP="00333601">
      <w:pPr>
        <w:pStyle w:val="References"/>
      </w:pPr>
      <w:r w:rsidRPr="00BE78CA">
        <w:t xml:space="preserve">Beets PN, Brandon AM, Goulding CJ, Kimberley MO, Paul TSH, Searles NB. 2011a. The inventory of carbon stock in New Zealand’s post-1989 planted forest. </w:t>
      </w:r>
      <w:r w:rsidRPr="00BE78CA">
        <w:rPr>
          <w:i/>
          <w:iCs/>
        </w:rPr>
        <w:t>Forest Ecology and Management</w:t>
      </w:r>
      <w:r w:rsidRPr="00BE78CA">
        <w:t xml:space="preserve"> 262: </w:t>
      </w:r>
      <w:r w:rsidRPr="00BE78CA">
        <w:br/>
        <w:t>1119–1130.</w:t>
      </w:r>
    </w:p>
    <w:p w14:paraId="10726BA7" w14:textId="77777777" w:rsidR="00333601" w:rsidRPr="00BE78CA" w:rsidRDefault="00333601" w:rsidP="00333601">
      <w:pPr>
        <w:pStyle w:val="References"/>
      </w:pPr>
      <w:r w:rsidRPr="00BE78CA">
        <w:t xml:space="preserve">Beets PN, Brandon AM, Goulding CJ, Kimberley MO, Paul TSH, Searles N. 2012a. The national inventory of carbon stock in New Zealand’s pre-1990 planted forest using a LiDAR incomplete-transect approach. </w:t>
      </w:r>
      <w:r w:rsidRPr="00BE78CA">
        <w:rPr>
          <w:i/>
          <w:iCs/>
        </w:rPr>
        <w:t>Forest Ecology and Management</w:t>
      </w:r>
      <w:r w:rsidRPr="00BE78CA">
        <w:t xml:space="preserve"> 280: 187–197.</w:t>
      </w:r>
    </w:p>
    <w:p w14:paraId="10989AF2" w14:textId="77777777" w:rsidR="00333601" w:rsidRPr="00BE78CA" w:rsidRDefault="00333601" w:rsidP="00333601">
      <w:pPr>
        <w:pStyle w:val="References"/>
      </w:pPr>
      <w:r w:rsidRPr="00BE78CA">
        <w:t xml:space="preserve">Beets PN, Garrett, LG. 2018. Carbon fraction of </w:t>
      </w:r>
      <w:r w:rsidRPr="00BE78CA">
        <w:rPr>
          <w:i/>
        </w:rPr>
        <w:t>Pinus radiata</w:t>
      </w:r>
      <w:r w:rsidRPr="00BE78CA">
        <w:t xml:space="preserve"> biomass components within New Zealand. </w:t>
      </w:r>
      <w:r w:rsidRPr="00BE78CA">
        <w:rPr>
          <w:i/>
        </w:rPr>
        <w:t>New Zealand Journal of Forestry Science</w:t>
      </w:r>
      <w:r w:rsidRPr="00BE78CA">
        <w:t xml:space="preserve"> 48: 14.</w:t>
      </w:r>
    </w:p>
    <w:p w14:paraId="497CEF02" w14:textId="77777777" w:rsidR="00333601" w:rsidRPr="00BE78CA" w:rsidRDefault="00333601" w:rsidP="00333601">
      <w:pPr>
        <w:pStyle w:val="References"/>
      </w:pPr>
      <w:r w:rsidRPr="00BE78CA">
        <w:t xml:space="preserve">Beets PN, Holt L. Unpublished. </w:t>
      </w:r>
      <w:r w:rsidRPr="00BE78CA">
        <w:rPr>
          <w:iCs/>
        </w:rPr>
        <w:t>Audit of the LUCAS Post-1989 Natural Forest Plot Inventory 2012–2013</w:t>
      </w:r>
      <w:r w:rsidRPr="00BE78CA">
        <w:t>. Contract report prepared for the Ministry for the Environment by New Zealand Forest Research Institute Ltd (trading as Scion) in 2014.</w:t>
      </w:r>
    </w:p>
    <w:p w14:paraId="58EA094D" w14:textId="77777777" w:rsidR="00333601" w:rsidRPr="00BE78CA" w:rsidRDefault="00333601" w:rsidP="00333601">
      <w:pPr>
        <w:pStyle w:val="References"/>
      </w:pPr>
      <w:r w:rsidRPr="00BE78CA">
        <w:t>Beets PN, Kimberley MO. Unpublished. Improvements Contained in the Forest Carbon Predictor Version 3. Contract report prepared for the Ministry for the Environment by New Zealand Forest Research Institute Ltd (trading as Scion).</w:t>
      </w:r>
    </w:p>
    <w:p w14:paraId="2573A631" w14:textId="77777777" w:rsidR="00333601" w:rsidRPr="00BE78CA" w:rsidRDefault="00333601" w:rsidP="00333601">
      <w:pPr>
        <w:pStyle w:val="References"/>
      </w:pPr>
      <w:r w:rsidRPr="00BE78CA">
        <w:t xml:space="preserve">Beets PN, Kimberley MO, McKinley RB. 2007. Predicting wood density of </w:t>
      </w:r>
      <w:r w:rsidRPr="00BE78CA">
        <w:rPr>
          <w:i/>
        </w:rPr>
        <w:t>Pinus radiata</w:t>
      </w:r>
      <w:r w:rsidRPr="00BE78CA">
        <w:t xml:space="preserve"> annual growth increments. </w:t>
      </w:r>
      <w:r w:rsidRPr="00BE78CA">
        <w:rPr>
          <w:i/>
          <w:iCs/>
        </w:rPr>
        <w:t xml:space="preserve">New Zealand Journal of Forestry Science </w:t>
      </w:r>
      <w:r w:rsidRPr="00BE78CA">
        <w:t>37: 241–266.</w:t>
      </w:r>
    </w:p>
    <w:p w14:paraId="60BB69C2" w14:textId="77777777" w:rsidR="00333601" w:rsidRPr="00BE78CA" w:rsidRDefault="00333601" w:rsidP="00333601">
      <w:pPr>
        <w:pStyle w:val="References"/>
      </w:pPr>
      <w:r w:rsidRPr="00BE78CA">
        <w:t xml:space="preserve">Beets PN, Kimberley MO, Oliver GR, Pearce SH. 2018a. Predicting wood density of growth increments of Douglas-fir stands in New Zealand. </w:t>
      </w:r>
      <w:r w:rsidRPr="00BE78CA">
        <w:rPr>
          <w:i/>
        </w:rPr>
        <w:t>New Zealand Journal of Forestry Science</w:t>
      </w:r>
      <w:r w:rsidRPr="00BE78CA">
        <w:t xml:space="preserve"> 48: 8.</w:t>
      </w:r>
    </w:p>
    <w:p w14:paraId="17CB1250" w14:textId="77777777" w:rsidR="00B22121" w:rsidRPr="00BE78CA" w:rsidRDefault="00B22121" w:rsidP="00B22121">
      <w:pPr>
        <w:pStyle w:val="References"/>
      </w:pPr>
      <w:r w:rsidRPr="00BE78CA">
        <w:t>Beets PN, Kimberley MO, Oliver GR, Pearce SH, Graham JD. Unpublished. Post-1989 Natural Forest Carbon Stocks and Changes. Contract report 20093 prepared for the Ministry for the Environment by New Zealand Forest Research Institute Ltd (trading as Scion) in 2013.</w:t>
      </w:r>
    </w:p>
    <w:p w14:paraId="10D52E04" w14:textId="77777777" w:rsidR="00333601" w:rsidRPr="00BE78CA" w:rsidRDefault="00333601" w:rsidP="00333601">
      <w:pPr>
        <w:pStyle w:val="References"/>
      </w:pPr>
      <w:r w:rsidRPr="00BE78CA">
        <w:t xml:space="preserve">Beets PN, Kimberley MO, Oliver GR, Pearce SH, Graham JD. 2014a. The application of stem analysis methods to estimate carbon sequestration in arboreal shrubs from a single measurement of field plots. </w:t>
      </w:r>
      <w:r w:rsidRPr="00BE78CA">
        <w:rPr>
          <w:i/>
        </w:rPr>
        <w:t>Forests</w:t>
      </w:r>
      <w:r w:rsidRPr="00BE78CA">
        <w:t xml:space="preserve"> 5: 919–935.</w:t>
      </w:r>
    </w:p>
    <w:p w14:paraId="56AF5E98" w14:textId="77777777" w:rsidR="00333601" w:rsidRPr="00BE78CA" w:rsidRDefault="00333601" w:rsidP="00333601">
      <w:pPr>
        <w:pStyle w:val="References"/>
      </w:pPr>
      <w:r w:rsidRPr="00BE78CA">
        <w:t xml:space="preserve">Beets PN, Kimberley MO, Oliver GR, Pearce, SH, Graham JD, Brandon A. 2012b. Allometric equations for estimating carbon stocks in natural forest in New Zealand. </w:t>
      </w:r>
      <w:r w:rsidRPr="00BE78CA">
        <w:rPr>
          <w:i/>
        </w:rPr>
        <w:t>Forests</w:t>
      </w:r>
      <w:r w:rsidRPr="00BE78CA">
        <w:t xml:space="preserve"> 3: 818–839.</w:t>
      </w:r>
    </w:p>
    <w:p w14:paraId="20CCD7D8" w14:textId="77777777" w:rsidR="00333601" w:rsidRPr="00BE78CA" w:rsidRDefault="00333601" w:rsidP="00333601">
      <w:pPr>
        <w:pStyle w:val="References"/>
      </w:pPr>
      <w:r w:rsidRPr="00BE78CA">
        <w:t>Beets PN, Kimberley MO, Oliver GR, Pearce SH, Graham JD, Henley D, Meason DF. 2018b. Plantation species-specific adjustment functions for the Forest Carbon Predictor in New Zealand.</w:t>
      </w:r>
      <w:r w:rsidRPr="00BE78CA">
        <w:rPr>
          <w:i/>
        </w:rPr>
        <w:t xml:space="preserve"> New Zealand Journal of Forestry Science </w:t>
      </w:r>
      <w:r w:rsidRPr="00BE78CA">
        <w:t>48: 20.</w:t>
      </w:r>
    </w:p>
    <w:p w14:paraId="6D813F26" w14:textId="77777777" w:rsidR="00333601" w:rsidRPr="00BE78CA" w:rsidRDefault="00333601" w:rsidP="00333601">
      <w:pPr>
        <w:pStyle w:val="References"/>
      </w:pPr>
      <w:r w:rsidRPr="00BE78CA">
        <w:lastRenderedPageBreak/>
        <w:t xml:space="preserve">Beets PN, Kimberley MO, Paul TSH, Garrett LG. 2011b. Planted Forest Carbon Monitoring System </w:t>
      </w:r>
      <w:r w:rsidRPr="00BE78CA">
        <w:br/>
        <w:t xml:space="preserve">– Forest carbon model validation study for </w:t>
      </w:r>
      <w:r w:rsidRPr="00BE78CA">
        <w:rPr>
          <w:i/>
          <w:iCs/>
        </w:rPr>
        <w:t>Pinus radiata</w:t>
      </w:r>
      <w:r w:rsidRPr="00BE78CA">
        <w:t xml:space="preserve">. </w:t>
      </w:r>
      <w:r w:rsidRPr="00BE78CA">
        <w:rPr>
          <w:i/>
          <w:iCs/>
        </w:rPr>
        <w:t>New Zealand Journal of Forestry Science</w:t>
      </w:r>
      <w:r w:rsidRPr="00BE78CA">
        <w:t xml:space="preserve"> 41: 177–189.</w:t>
      </w:r>
    </w:p>
    <w:p w14:paraId="1260922A" w14:textId="77777777" w:rsidR="00333601" w:rsidRPr="00BE78CA" w:rsidRDefault="00333601" w:rsidP="00333601">
      <w:pPr>
        <w:pStyle w:val="References"/>
      </w:pPr>
      <w:r w:rsidRPr="00BE78CA">
        <w:t xml:space="preserve">Beets PN, Kimberley MO, Paul TSH, Oliver GR, Pearce SH, Buswell JM. 2014b. The inventory of carbon stocks in New Zealand’s post-1989 natural forest for reporting under the Kyoto Protocol. </w:t>
      </w:r>
      <w:r w:rsidRPr="00BE78CA">
        <w:rPr>
          <w:rFonts w:cs="Arial"/>
          <w:i/>
          <w:iCs/>
          <w:color w:val="222222"/>
        </w:rPr>
        <w:t>Forests</w:t>
      </w:r>
      <w:r w:rsidRPr="00BE78CA">
        <w:rPr>
          <w:rFonts w:cs="Arial"/>
          <w:color w:val="222222"/>
        </w:rPr>
        <w:t xml:space="preserve"> </w:t>
      </w:r>
      <w:r w:rsidRPr="00BE78CA">
        <w:rPr>
          <w:rFonts w:cs="Arial"/>
          <w:iCs/>
          <w:color w:val="222222"/>
        </w:rPr>
        <w:t>5</w:t>
      </w:r>
      <w:r w:rsidRPr="00BE78CA">
        <w:rPr>
          <w:rFonts w:cs="Arial"/>
          <w:color w:val="222222"/>
        </w:rPr>
        <w:t>(9): 2230–2252</w:t>
      </w:r>
      <w:r w:rsidRPr="00BE78CA">
        <w:rPr>
          <w:rFonts w:cs="Arial"/>
          <w:i/>
          <w:color w:val="222222"/>
        </w:rPr>
        <w:t>.</w:t>
      </w:r>
    </w:p>
    <w:p w14:paraId="1DD40464" w14:textId="77777777" w:rsidR="00333601" w:rsidRPr="00BE78CA" w:rsidRDefault="00333601" w:rsidP="00333601">
      <w:pPr>
        <w:pStyle w:val="References"/>
      </w:pPr>
      <w:r w:rsidRPr="00BE78CA">
        <w:t xml:space="preserve">Beets PN, Payton IJ. Unpublished. </w:t>
      </w:r>
      <w:r w:rsidRPr="00BE78CA">
        <w:rPr>
          <w:iCs/>
        </w:rPr>
        <w:t>CMS Indigenous Forest and Shrubland QA/QC in Implementation Year 2002</w:t>
      </w:r>
      <w:r w:rsidRPr="00BE78CA">
        <w:t>. Contract report prepared for the Ministry for the Environment by New Zealand Forest Research Institute Ltd and Landcare Research New Zealand Ltd.</w:t>
      </w:r>
    </w:p>
    <w:p w14:paraId="69B92D78" w14:textId="77777777" w:rsidR="00333601" w:rsidRPr="00BE78CA" w:rsidRDefault="00333601" w:rsidP="00333601">
      <w:pPr>
        <w:pStyle w:val="References"/>
      </w:pPr>
      <w:r w:rsidRPr="00BE78CA">
        <w:t xml:space="preserve">Beets PN, Robertson KA, Ford-Robertson JB, Gordon J, Maclaren JP. 1999. Description and validation of C_change: A model for simulating carbon content in managed </w:t>
      </w:r>
      <w:r w:rsidRPr="00BE78CA">
        <w:rPr>
          <w:i/>
        </w:rPr>
        <w:t>Pinus radiata</w:t>
      </w:r>
      <w:r w:rsidRPr="00BE78CA">
        <w:t xml:space="preserve"> stands. </w:t>
      </w:r>
      <w:r w:rsidRPr="00BE78CA">
        <w:rPr>
          <w:i/>
          <w:iCs/>
        </w:rPr>
        <w:t>New Zealand Journal of Forestry Science</w:t>
      </w:r>
      <w:r w:rsidRPr="00BE78CA">
        <w:t xml:space="preserve"> 29(3): 409–427.</w:t>
      </w:r>
    </w:p>
    <w:p w14:paraId="001236D4" w14:textId="77777777" w:rsidR="00333601" w:rsidRPr="00BE78CA" w:rsidRDefault="00333601" w:rsidP="00333601">
      <w:pPr>
        <w:pStyle w:val="References"/>
      </w:pPr>
      <w:r w:rsidRPr="00BE78CA">
        <w:t xml:space="preserve">Brack C. Unpublished. </w:t>
      </w:r>
      <w:r w:rsidRPr="00BE78CA">
        <w:rPr>
          <w:iCs/>
        </w:rPr>
        <w:t>Planted Forest Inventory Design: Post-1989 exotic</w:t>
      </w:r>
      <w:r w:rsidRPr="00BE78CA">
        <w:t>. Contract report prepared for the Ministry for the Environment.</w:t>
      </w:r>
    </w:p>
    <w:p w14:paraId="55CE1B83" w14:textId="77777777" w:rsidR="00333601" w:rsidRPr="00BE78CA" w:rsidRDefault="00333601" w:rsidP="00333601">
      <w:pPr>
        <w:pStyle w:val="References"/>
      </w:pPr>
      <w:r w:rsidRPr="00BE78CA">
        <w:t xml:space="preserve">Brack C, Broadley J. Unpublished. </w:t>
      </w:r>
      <w:r w:rsidRPr="00BE78CA">
        <w:rPr>
          <w:iCs/>
        </w:rPr>
        <w:t>Co-location of LiDAR and Post-1989 Forest Plots</w:t>
      </w:r>
      <w:r w:rsidRPr="00BE78CA">
        <w:t>. Contract report prepared for the Ministry for the Environment.</w:t>
      </w:r>
    </w:p>
    <w:p w14:paraId="5F0248C8" w14:textId="77777777" w:rsidR="00333601" w:rsidRPr="00BE78CA" w:rsidRDefault="00333601" w:rsidP="00333601">
      <w:pPr>
        <w:pStyle w:val="References"/>
      </w:pPr>
      <w:r w:rsidRPr="00BE78CA">
        <w:t xml:space="preserve">Bretz F, Hothorn T, Westfall P. 2010. </w:t>
      </w:r>
      <w:r w:rsidRPr="00BE78CA">
        <w:rPr>
          <w:i/>
          <w:iCs/>
        </w:rPr>
        <w:t>Multiple Comparisons Using R</w:t>
      </w:r>
      <w:r w:rsidRPr="00BE78CA">
        <w:t>. Boca Raton, FL: CRC Press.</w:t>
      </w:r>
    </w:p>
    <w:p w14:paraId="75AF001D" w14:textId="77777777" w:rsidR="00333601" w:rsidRPr="00BE78CA" w:rsidRDefault="00333601" w:rsidP="00333601">
      <w:pPr>
        <w:pStyle w:val="References"/>
      </w:pPr>
      <w:r w:rsidRPr="00BE78CA">
        <w:t xml:space="preserve">Burnham KP, Anderson DR. 2002. </w:t>
      </w:r>
      <w:r w:rsidRPr="00BE78CA">
        <w:rPr>
          <w:i/>
        </w:rPr>
        <w:t>Model Selection and Multimodel Inference: A Practical Information-Theoretic Approach</w:t>
      </w:r>
      <w:r w:rsidRPr="00BE78CA">
        <w:t>. 2nd edn. New York: Springer.</w:t>
      </w:r>
    </w:p>
    <w:p w14:paraId="55A4421C" w14:textId="77777777" w:rsidR="00333601" w:rsidRPr="00BE78CA" w:rsidRDefault="00333601" w:rsidP="00333601">
      <w:pPr>
        <w:pStyle w:val="References"/>
      </w:pPr>
      <w:r w:rsidRPr="00BE78CA">
        <w:t xml:space="preserve">Carswell FE, Burrows LE, Hall GMJ, Mason NWH, Allen RB. 2012. Carbon and plant diversity gain during 200 years of woody succession in lowland. </w:t>
      </w:r>
      <w:r w:rsidRPr="00BE78CA">
        <w:rPr>
          <w:i/>
          <w:iCs/>
        </w:rPr>
        <w:t>New Zealand Journal of Ecology</w:t>
      </w:r>
      <w:r w:rsidRPr="00BE78CA">
        <w:t xml:space="preserve"> 36(2): 191–202.</w:t>
      </w:r>
    </w:p>
    <w:p w14:paraId="19890377" w14:textId="77777777" w:rsidR="00333601" w:rsidRPr="00BE78CA" w:rsidRDefault="00333601" w:rsidP="00333601">
      <w:pPr>
        <w:pStyle w:val="References"/>
      </w:pPr>
      <w:r w:rsidRPr="00BE78CA">
        <w:t>Clarkson, B. Unpublished. Peat extraction in New Zealand wetlands. Contract report prepared for the Ministry for the Environment. Landcare Research New Zealand Ltd Contract Report: LC2710.</w:t>
      </w:r>
    </w:p>
    <w:p w14:paraId="3856B729" w14:textId="77777777" w:rsidR="00333601" w:rsidRPr="00BE78CA" w:rsidRDefault="00333601" w:rsidP="00333601">
      <w:pPr>
        <w:pStyle w:val="References"/>
      </w:pPr>
      <w:r w:rsidRPr="00BE78CA">
        <w:t xml:space="preserve">Coomes DA, Allen RB, Scott NA, Goulding CJ, Beets PN. 2002. Designing systems to monitor carbon stocks in forests and shrublands. </w:t>
      </w:r>
      <w:r w:rsidRPr="00BE78CA">
        <w:rPr>
          <w:i/>
          <w:iCs/>
        </w:rPr>
        <w:t>Forest Ecology and Management</w:t>
      </w:r>
      <w:r w:rsidRPr="00BE78CA">
        <w:t xml:space="preserve"> 164: 89–108.</w:t>
      </w:r>
    </w:p>
    <w:p w14:paraId="71BD6BF2" w14:textId="77777777" w:rsidR="00333601" w:rsidRPr="00BE78CA" w:rsidRDefault="00333601" w:rsidP="00333601">
      <w:pPr>
        <w:pStyle w:val="References"/>
      </w:pPr>
      <w:r w:rsidRPr="00BE78CA">
        <w:t xml:space="preserve">Daly BK, Wilde RH. Unpublished. </w:t>
      </w:r>
      <w:r w:rsidRPr="00BE78CA">
        <w:rPr>
          <w:iCs/>
        </w:rPr>
        <w:t>Contribution of Soil Carbon to New Zealand’s CO</w:t>
      </w:r>
      <w:r w:rsidRPr="00BE78CA">
        <w:rPr>
          <w:iCs/>
          <w:vertAlign w:val="subscript"/>
        </w:rPr>
        <w:t>2</w:t>
      </w:r>
      <w:r w:rsidRPr="00BE78CA">
        <w:rPr>
          <w:iCs/>
        </w:rPr>
        <w:t xml:space="preserve"> Emissions: I Reclassification of New Zealand Soil Series to IPCC Categories</w:t>
      </w:r>
      <w:r w:rsidRPr="00BE78CA">
        <w:t>. Contract report prepared for the Ministry for the Environment. Landcare Research Contract Report: LC9697/096.</w:t>
      </w:r>
    </w:p>
    <w:p w14:paraId="0AE30AC5" w14:textId="77777777" w:rsidR="00333601" w:rsidRPr="00BE78CA" w:rsidRDefault="00333601" w:rsidP="00333601">
      <w:pPr>
        <w:pStyle w:val="References"/>
      </w:pPr>
      <w:r w:rsidRPr="00BE78CA">
        <w:t xml:space="preserve">Davis MR, Wakelin SJ. Unpublished. </w:t>
      </w:r>
      <w:r w:rsidRPr="00BE78CA">
        <w:rPr>
          <w:iCs/>
        </w:rPr>
        <w:t>Perennial Cropland Biomass: Sampling Requirements</w:t>
      </w:r>
      <w:r w:rsidRPr="00BE78CA">
        <w:t>. Report prepared for the Ministry for the Environment by New Zealand Forest Research Institute Limited (trading as Scion). Contract report 11407.</w:t>
      </w:r>
    </w:p>
    <w:p w14:paraId="4320D1C0" w14:textId="77777777" w:rsidR="00333601" w:rsidRPr="00BE78CA" w:rsidRDefault="00333601" w:rsidP="00333601">
      <w:pPr>
        <w:pStyle w:val="References"/>
      </w:pPr>
      <w:r w:rsidRPr="00BE78CA">
        <w:t xml:space="preserve">Doherty JJ, Anderson SA, Pearce HG. Unpublished. </w:t>
      </w:r>
      <w:r w:rsidRPr="00BE78CA">
        <w:rPr>
          <w:iCs/>
        </w:rPr>
        <w:t>An Analysis of Wildfire Records in New Zealand: 1991–2007</w:t>
      </w:r>
      <w:r w:rsidRPr="00BE78CA">
        <w:t>. Contract report 12796 prepared for the Ministry for the Environment by New Zealand Forest Research Institute Ltd (trading as Scion).</w:t>
      </w:r>
    </w:p>
    <w:p w14:paraId="5D1B96B4" w14:textId="77777777" w:rsidR="00333601" w:rsidRPr="00BE78CA" w:rsidRDefault="00333601" w:rsidP="00333601">
      <w:pPr>
        <w:pStyle w:val="References"/>
      </w:pPr>
      <w:r w:rsidRPr="00BE78CA">
        <w:t xml:space="preserve">Draper NR, Smith H. 1998. </w:t>
      </w:r>
      <w:r w:rsidRPr="00BE78CA">
        <w:rPr>
          <w:i/>
          <w:iCs/>
        </w:rPr>
        <w:t>Applied Regression Analysis</w:t>
      </w:r>
      <w:r w:rsidRPr="00BE78CA">
        <w:t>. New York: Wiley.</w:t>
      </w:r>
    </w:p>
    <w:p w14:paraId="06715D12" w14:textId="77777777" w:rsidR="00333601" w:rsidRPr="00BE78CA" w:rsidRDefault="00333601" w:rsidP="00333601">
      <w:pPr>
        <w:pStyle w:val="References"/>
      </w:pPr>
      <w:r w:rsidRPr="00BE78CA">
        <w:t xml:space="preserve">Dresser M, Hewitt A, Willoughby J, Bellis S. 2011. </w:t>
      </w:r>
      <w:r w:rsidRPr="00BE78CA">
        <w:rPr>
          <w:i/>
          <w:iCs/>
        </w:rPr>
        <w:t>Area of Organic Soils</w:t>
      </w:r>
      <w:r w:rsidRPr="00BE78CA">
        <w:t>. Report prepared for the Ministry of Agriculture and Forestry by Landcare Research. Wellington: Ministry of Agriculture and Forestry.</w:t>
      </w:r>
    </w:p>
    <w:p w14:paraId="460C41AC" w14:textId="77777777" w:rsidR="00333601" w:rsidRPr="00BE78CA" w:rsidRDefault="00333601" w:rsidP="00333601">
      <w:pPr>
        <w:pStyle w:val="References"/>
      </w:pPr>
      <w:r w:rsidRPr="00BE78CA">
        <w:t xml:space="preserve">Dymond JR, Shepherd JD. 2004. The spatial distribution of indigenous forest and its composition in the Wellington region, New Zealand, from ETM+ satellite imagery. </w:t>
      </w:r>
      <w:r w:rsidRPr="00BE78CA">
        <w:rPr>
          <w:i/>
          <w:iCs/>
        </w:rPr>
        <w:t>Remote Sensing of Environment</w:t>
      </w:r>
      <w:r w:rsidRPr="00BE78CA">
        <w:t xml:space="preserve"> 90: 116–125.</w:t>
      </w:r>
    </w:p>
    <w:p w14:paraId="5F403DEC" w14:textId="77777777" w:rsidR="00333601" w:rsidRPr="00BE78CA" w:rsidRDefault="00333601" w:rsidP="00333601">
      <w:pPr>
        <w:pStyle w:val="References"/>
      </w:pPr>
      <w:r w:rsidRPr="00BE78CA">
        <w:t xml:space="preserve">Dymond JR, Shepherd JD, Arnold GC, Trotter CM. 2008. Estimating area of forest change by random sampling of change strata mapped using satellite imagery. </w:t>
      </w:r>
      <w:r w:rsidRPr="00BE78CA">
        <w:rPr>
          <w:i/>
          <w:iCs/>
        </w:rPr>
        <w:t>Forest Science</w:t>
      </w:r>
      <w:r w:rsidRPr="00BE78CA">
        <w:t xml:space="preserve"> 54(5): 475–480.</w:t>
      </w:r>
    </w:p>
    <w:p w14:paraId="3E9469CA" w14:textId="77777777" w:rsidR="00333601" w:rsidRPr="00BE78CA" w:rsidRDefault="00333601" w:rsidP="00333601">
      <w:pPr>
        <w:pStyle w:val="References"/>
      </w:pPr>
      <w:r w:rsidRPr="00BE78CA">
        <w:t xml:space="preserve">Dymond JR, Shepherd JD, Qi J. 2001. A simple physical model of vegetation reflectance for standardising optical satellite imagery. </w:t>
      </w:r>
      <w:r w:rsidRPr="00BE78CA">
        <w:rPr>
          <w:i/>
          <w:iCs/>
        </w:rPr>
        <w:t>Remote Sensing of Environment</w:t>
      </w:r>
      <w:r w:rsidRPr="00BE78CA">
        <w:t xml:space="preserve"> 37: 230–239.</w:t>
      </w:r>
    </w:p>
    <w:p w14:paraId="5EAB492A" w14:textId="77777777" w:rsidR="00333601" w:rsidRPr="00BE78CA" w:rsidRDefault="00333601" w:rsidP="00333601">
      <w:pPr>
        <w:pStyle w:val="References"/>
      </w:pPr>
      <w:r w:rsidRPr="00BE78CA">
        <w:t xml:space="preserve">Easdale TA, Richardson SJ, Marden M, England JR, Gayoso-Aguilar J, Guerra-Carcamo JE, Brandon AM. 2019. Root biomass allocation in southern temperate forests. </w:t>
      </w:r>
      <w:r w:rsidRPr="00BE78CA">
        <w:rPr>
          <w:i/>
          <w:iCs/>
        </w:rPr>
        <w:t>Forest Ecology and Management</w:t>
      </w:r>
      <w:r w:rsidRPr="00BE78CA">
        <w:t xml:space="preserve"> 453: 117542. </w:t>
      </w:r>
    </w:p>
    <w:p w14:paraId="6C22C7D7" w14:textId="77777777" w:rsidR="00333601" w:rsidRPr="00BE78CA" w:rsidRDefault="00333601" w:rsidP="00333601">
      <w:pPr>
        <w:pStyle w:val="References"/>
      </w:pPr>
      <w:r w:rsidRPr="00BE78CA">
        <w:lastRenderedPageBreak/>
        <w:t>Elsgaard L, Görresa CM, Hoffmann CC, Blicher-Mathiesen G, Schelde K, Petersen SO. 2012. Net ecosystem exchange of CO</w:t>
      </w:r>
      <w:r w:rsidRPr="00BE78CA">
        <w:rPr>
          <w:vertAlign w:val="subscript"/>
        </w:rPr>
        <w:t>2</w:t>
      </w:r>
      <w:r w:rsidRPr="00BE78CA">
        <w:t xml:space="preserve"> and carbon balance for eight temperate organic soils under agricultural management. </w:t>
      </w:r>
      <w:r w:rsidRPr="00BE78CA">
        <w:rPr>
          <w:i/>
          <w:iCs/>
        </w:rPr>
        <w:t>Agriculture, Ecosystems &amp; Environment</w:t>
      </w:r>
      <w:r w:rsidRPr="00BE78CA">
        <w:t xml:space="preserve"> 162: 52–67.</w:t>
      </w:r>
    </w:p>
    <w:p w14:paraId="0D597F6A" w14:textId="77777777" w:rsidR="00333601" w:rsidRPr="00BE78CA" w:rsidRDefault="00333601" w:rsidP="00333601">
      <w:pPr>
        <w:pStyle w:val="References"/>
      </w:pPr>
      <w:r w:rsidRPr="00BE78CA">
        <w:t xml:space="preserve">Eyles GO. 1977. NZLRI worksheets and their applications to rural planning. </w:t>
      </w:r>
      <w:r w:rsidRPr="00BE78CA">
        <w:rPr>
          <w:i/>
          <w:iCs/>
        </w:rPr>
        <w:t>Town Planning Quarterly</w:t>
      </w:r>
      <w:r w:rsidRPr="00BE78CA">
        <w:t xml:space="preserve"> 47: 38–44.</w:t>
      </w:r>
    </w:p>
    <w:p w14:paraId="3D79C62C" w14:textId="77777777" w:rsidR="00333601" w:rsidRPr="00BE78CA" w:rsidRDefault="00333601" w:rsidP="00333601">
      <w:pPr>
        <w:pStyle w:val="References"/>
      </w:pPr>
      <w:r w:rsidRPr="00BE78CA">
        <w:t xml:space="preserve">Food and Agriculture Organization of the United Nations. 2019. </w:t>
      </w:r>
      <w:r w:rsidRPr="00BE78CA">
        <w:rPr>
          <w:i/>
          <w:iCs/>
        </w:rPr>
        <w:t>Global forest products facts and figures 2018</w:t>
      </w:r>
      <w:r w:rsidRPr="00BE78CA">
        <w:t xml:space="preserve">. Food and Agriculture Organization of the United Nations. Retrieved from </w:t>
      </w:r>
      <w:hyperlink r:id="rId231" w:history="1">
        <w:r w:rsidRPr="00BE78CA">
          <w:rPr>
            <w:rStyle w:val="Hyperlink"/>
          </w:rPr>
          <w:t>www.fao.org/3/ca7415en/ca7415en.pdf</w:t>
        </w:r>
      </w:hyperlink>
      <w:r w:rsidRPr="00BE78CA">
        <w:t xml:space="preserve"> (12 December 2020). </w:t>
      </w:r>
    </w:p>
    <w:p w14:paraId="03B45676" w14:textId="77777777" w:rsidR="00333601" w:rsidRPr="00BE78CA" w:rsidRDefault="00333601" w:rsidP="00333601">
      <w:pPr>
        <w:pStyle w:val="References"/>
      </w:pPr>
      <w:r w:rsidRPr="00BE78CA">
        <w:t xml:space="preserve">Forest Industry Training and Education Council. 2005. </w:t>
      </w:r>
      <w:r w:rsidRPr="00BE78CA">
        <w:rPr>
          <w:i/>
          <w:iCs/>
        </w:rPr>
        <w:t>Best Practice Guidelines for Land Preparation</w:t>
      </w:r>
      <w:r w:rsidRPr="00BE78CA">
        <w:t>. Revised edn. Rotorua: Forest Industry Training and Education Council.</w:t>
      </w:r>
    </w:p>
    <w:p w14:paraId="3865A37E" w14:textId="77777777" w:rsidR="00333601" w:rsidRPr="00BE78CA" w:rsidRDefault="00333601" w:rsidP="00333601">
      <w:pPr>
        <w:pStyle w:val="References"/>
      </w:pPr>
      <w:r w:rsidRPr="00BE78CA">
        <w:t xml:space="preserve">Fraser S, Wilde H, Payton I, Scott J. Unpublished. </w:t>
      </w:r>
      <w:r w:rsidRPr="00BE78CA">
        <w:rPr>
          <w:iCs/>
        </w:rPr>
        <w:t>Historic Soils Dataset – Land Use Reclassification</w:t>
      </w:r>
      <w:r w:rsidRPr="00BE78CA">
        <w:t>. Contract report prepared for the Ministry for the Environment by Landcare Research New Zealand Ltd. Contract report: LC0809/131.</w:t>
      </w:r>
    </w:p>
    <w:p w14:paraId="2E3DDC36" w14:textId="77777777" w:rsidR="00333601" w:rsidRPr="00BE78CA" w:rsidRDefault="00333601" w:rsidP="00333601">
      <w:pPr>
        <w:pStyle w:val="References"/>
      </w:pPr>
      <w:r w:rsidRPr="00BE78CA">
        <w:t xml:space="preserve">Garrett LG. Unpublished. </w:t>
      </w:r>
      <w:r w:rsidRPr="00BE78CA">
        <w:rPr>
          <w:iCs/>
        </w:rPr>
        <w:t>Natural Forests Soils – Data Checking and Carbon Content of the Mineral Soil</w:t>
      </w:r>
      <w:r w:rsidRPr="00BE78CA">
        <w:t>. Contract report prepared for the Ministry for the Environment by New Zealand Forest Research Institute Ltd (trading as Scion).</w:t>
      </w:r>
    </w:p>
    <w:p w14:paraId="1635C961" w14:textId="77777777" w:rsidR="00333601" w:rsidRPr="00BE78CA" w:rsidRDefault="00333601" w:rsidP="00333601">
      <w:pPr>
        <w:pStyle w:val="References"/>
        <w:rPr>
          <w:iCs/>
        </w:rPr>
      </w:pPr>
      <w:r w:rsidRPr="00BE78CA">
        <w:t xml:space="preserve">Garrett LG, Kimberley MO, Oliver GR, Parks M, Pearce SH, Beets PN, Paul TSH. 2019. Decay rates of above- and below-ground coarse woody debris of common tree species in New Zealand’s natural forest. </w:t>
      </w:r>
      <w:r w:rsidRPr="00BE78CA">
        <w:rPr>
          <w:i/>
        </w:rPr>
        <w:t xml:space="preserve">Forest Ecology and Management </w:t>
      </w:r>
      <w:r w:rsidRPr="00BE78CA">
        <w:t>438: 96–102.</w:t>
      </w:r>
      <w:r w:rsidRPr="00BE78CA">
        <w:rPr>
          <w:i/>
        </w:rPr>
        <w:t xml:space="preserve"> </w:t>
      </w:r>
    </w:p>
    <w:p w14:paraId="287B45D6" w14:textId="77777777" w:rsidR="00333601" w:rsidRPr="00BE78CA" w:rsidRDefault="00333601" w:rsidP="00333601">
      <w:pPr>
        <w:pStyle w:val="References"/>
      </w:pPr>
      <w:r w:rsidRPr="00BE78CA">
        <w:t xml:space="preserve">Garrett LG, Kimberley MO, Oliver GR, Pearce SH, Paul TSH. 2010. Decomposition of woody debris in managed </w:t>
      </w:r>
      <w:r w:rsidRPr="00BE78CA">
        <w:rPr>
          <w:i/>
        </w:rPr>
        <w:t>Pinus radiata</w:t>
      </w:r>
      <w:r w:rsidRPr="00BE78CA">
        <w:t xml:space="preserve">. </w:t>
      </w:r>
      <w:r w:rsidRPr="00BE78CA">
        <w:rPr>
          <w:i/>
          <w:iCs/>
        </w:rPr>
        <w:t>Forest Ecology and Management</w:t>
      </w:r>
      <w:r w:rsidRPr="00BE78CA">
        <w:t xml:space="preserve"> 260: 1389–1398.</w:t>
      </w:r>
    </w:p>
    <w:p w14:paraId="1C32F40B" w14:textId="77777777" w:rsidR="00333601" w:rsidRPr="00BE78CA" w:rsidRDefault="00333601" w:rsidP="00333601">
      <w:pPr>
        <w:pStyle w:val="References"/>
      </w:pPr>
      <w:r w:rsidRPr="00BE78CA">
        <w:t xml:space="preserve">Giltrap DJ, Betts H, Wilde RH, Oliver G, Tate KR, Baisden WT. Unpublished. </w:t>
      </w:r>
      <w:r w:rsidRPr="00BE78CA">
        <w:rPr>
          <w:iCs/>
        </w:rPr>
        <w:t>Contribution of Soil Carbon to New Zealand’s CO</w:t>
      </w:r>
      <w:r w:rsidRPr="00BE78CA">
        <w:rPr>
          <w:iCs/>
          <w:vertAlign w:val="subscript"/>
        </w:rPr>
        <w:t>2</w:t>
      </w:r>
      <w:r w:rsidRPr="00BE78CA">
        <w:rPr>
          <w:iCs/>
        </w:rPr>
        <w:t xml:space="preserve"> Emissions. XIII: Integrate general linear model and digital elevation model</w:t>
      </w:r>
      <w:r w:rsidRPr="00BE78CA">
        <w:t>. Landcare Research, Forest Research Joint Contract Report: JNT 9899/136.</w:t>
      </w:r>
    </w:p>
    <w:p w14:paraId="69C9008B" w14:textId="77777777" w:rsidR="00333601" w:rsidRPr="00BE78CA" w:rsidRDefault="00333601" w:rsidP="00333601">
      <w:pPr>
        <w:pStyle w:val="References"/>
      </w:pPr>
      <w:r w:rsidRPr="00BE78CA">
        <w:t xml:space="preserve">Hedley CB, Payton IJ, Lynn IH, Carrick ST, Webb TH, McNeill S. 2012. Random sampling of stony and non-stony soils for testing a national soil carbon monitoring system. </w:t>
      </w:r>
      <w:r w:rsidRPr="00BE78CA">
        <w:rPr>
          <w:i/>
          <w:iCs/>
        </w:rPr>
        <w:t>Soil Research</w:t>
      </w:r>
      <w:r w:rsidRPr="00BE78CA">
        <w:t> 50(1): 18–29.</w:t>
      </w:r>
    </w:p>
    <w:p w14:paraId="5F26B753" w14:textId="77777777" w:rsidR="00333601" w:rsidRPr="00BE78CA" w:rsidRDefault="00333601" w:rsidP="00333601">
      <w:pPr>
        <w:pStyle w:val="References"/>
      </w:pPr>
      <w:r w:rsidRPr="00BE78CA">
        <w:t xml:space="preserve">Herries D, Paul TSH, Beets PN, Chikono C, Thompson R, Searles N. Unpublished. </w:t>
      </w:r>
      <w:r w:rsidRPr="00BE78CA">
        <w:rPr>
          <w:iCs/>
        </w:rPr>
        <w:t>Land Use and Carbon Analysis System: Planted forest data collection manual</w:t>
      </w:r>
      <w:r w:rsidRPr="00BE78CA">
        <w:t>. Wellington: Ministry for the Environment.</w:t>
      </w:r>
    </w:p>
    <w:p w14:paraId="6B53DB65" w14:textId="77777777" w:rsidR="00333601" w:rsidRPr="00BE78CA" w:rsidRDefault="00333601" w:rsidP="00333601">
      <w:pPr>
        <w:pStyle w:val="References"/>
      </w:pPr>
      <w:r w:rsidRPr="00BE78CA">
        <w:t xml:space="preserve">Hewitt A, Forrester G, Fraser S, Hedley C, Lynn I, Payton I. 2012. Afforestation effects on soil carbon stocks of low productivity grassland in New Zealand. </w:t>
      </w:r>
      <w:r w:rsidRPr="00BE78CA">
        <w:rPr>
          <w:i/>
          <w:iCs/>
        </w:rPr>
        <w:t>Soil Use and Management</w:t>
      </w:r>
      <w:r w:rsidRPr="00BE78CA">
        <w:t xml:space="preserve"> 28(4): 508–516.</w:t>
      </w:r>
    </w:p>
    <w:p w14:paraId="0B148F48" w14:textId="77777777" w:rsidR="00333601" w:rsidRPr="00BE78CA" w:rsidRDefault="00333601" w:rsidP="00333601">
      <w:pPr>
        <w:pStyle w:val="References"/>
      </w:pPr>
      <w:r w:rsidRPr="00BE78CA">
        <w:t xml:space="preserve">Hewitt AE. 2010. </w:t>
      </w:r>
      <w:r w:rsidRPr="00BE78CA">
        <w:rPr>
          <w:i/>
        </w:rPr>
        <w:t>New Zealand Soil Classification</w:t>
      </w:r>
      <w:r w:rsidRPr="00BE78CA">
        <w:t>. 3rd edn. Landcare Research Science Series No. 1. Lincoln: Manaaki Whenua Press.</w:t>
      </w:r>
    </w:p>
    <w:p w14:paraId="2EC96BB0" w14:textId="77777777" w:rsidR="00333601" w:rsidRPr="00BE78CA" w:rsidRDefault="00333601" w:rsidP="00333601">
      <w:pPr>
        <w:pStyle w:val="References"/>
      </w:pPr>
      <w:r w:rsidRPr="00BE78CA">
        <w:t xml:space="preserve">Holdaway RJ, Easdale TA, Carswell FE, Richardson SJ, Peltzer DA, Mason NW, Brandon AM, Coomes DA. 2017. Nationally representative plot network reveals contrasting drivers of net biomass change in secondary and old-growth forests. </w:t>
      </w:r>
      <w:r w:rsidRPr="00BE78CA">
        <w:rPr>
          <w:i/>
        </w:rPr>
        <w:t>Ecosystems</w:t>
      </w:r>
      <w:r w:rsidRPr="00BE78CA">
        <w:t xml:space="preserve"> 20: 944–959.</w:t>
      </w:r>
    </w:p>
    <w:p w14:paraId="00351110" w14:textId="77777777" w:rsidR="00333601" w:rsidRPr="00BE78CA" w:rsidRDefault="00333601" w:rsidP="00333601">
      <w:pPr>
        <w:pStyle w:val="References"/>
      </w:pPr>
      <w:r w:rsidRPr="00BE78CA">
        <w:t xml:space="preserve">Holdaway RJ, McNeill SJ, Mason NW, Carswell F. 2014. Propagating uncertainty in plot-based estimates of forest carbon stock and carbon stock change. </w:t>
      </w:r>
      <w:r w:rsidRPr="00BE78CA">
        <w:rPr>
          <w:i/>
        </w:rPr>
        <w:t xml:space="preserve">Ecosystems </w:t>
      </w:r>
      <w:r w:rsidRPr="00BE78CA">
        <w:t>17(4): 627–640.</w:t>
      </w:r>
    </w:p>
    <w:p w14:paraId="0EDC494A" w14:textId="77777777" w:rsidR="00333601" w:rsidRPr="00BE78CA" w:rsidRDefault="00333601" w:rsidP="00333601">
      <w:pPr>
        <w:pStyle w:val="References"/>
      </w:pPr>
      <w:r w:rsidRPr="00BE78CA">
        <w:t xml:space="preserve">Hunter G, McNeill S. Unpublished. </w:t>
      </w:r>
      <w:r w:rsidRPr="00BE78CA">
        <w:rPr>
          <w:iCs/>
        </w:rPr>
        <w:t>Review of LUCAS Land use Backcasting 1962–1989.</w:t>
      </w:r>
      <w:r w:rsidRPr="00BE78CA">
        <w:t xml:space="preserve"> Contract report prepared for the Ministry for the Environment by Landcare Research New Zealand Ltd. Contract report number LC70.</w:t>
      </w:r>
    </w:p>
    <w:p w14:paraId="33F45162" w14:textId="77777777" w:rsidR="00333601" w:rsidRPr="00BE78CA" w:rsidRDefault="00333601" w:rsidP="00333601">
      <w:pPr>
        <w:pStyle w:val="References"/>
      </w:pPr>
      <w:r w:rsidRPr="00BE78CA">
        <w:t>Indufor Asia Pacific. 2018. New Zealand Deforestation Mapping 2015 and 2016 – Final Report. Contract report prepared for the Ministry for the Environment. Wellington: Ministry for the Environment.</w:t>
      </w:r>
    </w:p>
    <w:p w14:paraId="3EE2F8F8" w14:textId="77777777" w:rsidR="00333601" w:rsidRPr="00BE78CA" w:rsidRDefault="00333601" w:rsidP="00333601">
      <w:pPr>
        <w:pStyle w:val="References"/>
      </w:pPr>
      <w:r w:rsidRPr="00BE78CA">
        <w:t xml:space="preserve">Interpine Forestry Limited. Unpublished. </w:t>
      </w:r>
      <w:r w:rsidRPr="00BE78CA">
        <w:rPr>
          <w:iCs/>
        </w:rPr>
        <w:t>LUCAS Post-1989 Planted Forest Soil Survey</w:t>
      </w:r>
      <w:r w:rsidRPr="00BE78CA">
        <w:t>. Report prepared for the Ministry for the Environment.</w:t>
      </w:r>
    </w:p>
    <w:p w14:paraId="24762261" w14:textId="77777777" w:rsidR="00333601" w:rsidRPr="00BE78CA" w:rsidRDefault="00333601" w:rsidP="00333601">
      <w:pPr>
        <w:pStyle w:val="References"/>
      </w:pPr>
      <w:r w:rsidRPr="00BE78CA">
        <w:t xml:space="preserve">IPCC. 2006a. Eggleston HS, Buendia L, Miwa K, Ngara T, Tanabe K (eds). </w:t>
      </w:r>
      <w:r w:rsidRPr="00BE78CA">
        <w:rPr>
          <w:i/>
          <w:iCs/>
        </w:rPr>
        <w:t>2006 IPCC Guidelines for National Greenhouse Gas Inventories. Volume 4. Agriculture, Forestry and Other Land Use. IPCC National Greenhouse Gas Inventories Programme</w:t>
      </w:r>
      <w:r w:rsidRPr="00BE78CA">
        <w:t>. Japan: Institute for Global Environmental Strategies for IPCC.</w:t>
      </w:r>
    </w:p>
    <w:p w14:paraId="6311A65F" w14:textId="77777777" w:rsidR="00333601" w:rsidRPr="00BE78CA" w:rsidRDefault="00333601" w:rsidP="00333601">
      <w:pPr>
        <w:pStyle w:val="References"/>
      </w:pPr>
      <w:r w:rsidRPr="00BE78CA">
        <w:lastRenderedPageBreak/>
        <w:t xml:space="preserve">IPCC. 2006b. Eggleston HS, Buendia L, Miwa K, Ngara T, Tanabe K (eds). </w:t>
      </w:r>
      <w:r w:rsidRPr="00BE78CA">
        <w:rPr>
          <w:i/>
          <w:iCs/>
        </w:rPr>
        <w:t>General Guidance and Reporting</w:t>
      </w:r>
      <w:r w:rsidRPr="00BE78CA">
        <w:t xml:space="preserve">. </w:t>
      </w:r>
      <w:r w:rsidRPr="00BE78CA">
        <w:rPr>
          <w:i/>
        </w:rPr>
        <w:t xml:space="preserve">Volume 1. </w:t>
      </w:r>
      <w:r w:rsidRPr="00BE78CA">
        <w:t>Japan: Institute for Global Environmental Strategies for IPCC.</w:t>
      </w:r>
    </w:p>
    <w:p w14:paraId="37288120" w14:textId="77777777" w:rsidR="00333601" w:rsidRPr="00BE78CA" w:rsidRDefault="00333601" w:rsidP="00333601">
      <w:pPr>
        <w:pStyle w:val="References"/>
      </w:pPr>
      <w:r w:rsidRPr="00BE78CA">
        <w:t xml:space="preserve">IPCC. 2014. Hiraishi T, Krug T, Tanabe K, Srivastava N, Baasansuren J, Fukuda M, Troxler TG (eds). </w:t>
      </w:r>
      <w:r w:rsidRPr="00BE78CA">
        <w:rPr>
          <w:i/>
          <w:iCs/>
        </w:rPr>
        <w:t>2013 Revised Supplementary Methods and Good Practice Guidance Arising from the Kyoto Protocol</w:t>
      </w:r>
      <w:r w:rsidRPr="00BE78CA">
        <w:t>. Switzerland: IPCC.</w:t>
      </w:r>
    </w:p>
    <w:p w14:paraId="27EE70B5" w14:textId="77777777" w:rsidR="00333601" w:rsidRPr="00BE78CA" w:rsidRDefault="00333601" w:rsidP="00333601">
      <w:pPr>
        <w:pStyle w:val="References"/>
      </w:pPr>
      <w:r w:rsidRPr="00BE78CA">
        <w:t xml:space="preserve">Jones T. 2005. Wood properties of commercial tree species. In: M Colley (ed.) </w:t>
      </w:r>
      <w:r w:rsidRPr="00BE78CA">
        <w:rPr>
          <w:i/>
          <w:iCs/>
        </w:rPr>
        <w:t>NZIF 2005 Forestry Handbook</w:t>
      </w:r>
      <w:r w:rsidRPr="00BE78CA">
        <w:t>. Wellington: New Zealand Institute of Forestry. pp 204–207.</w:t>
      </w:r>
    </w:p>
    <w:p w14:paraId="01669F8F" w14:textId="77777777" w:rsidR="00333601" w:rsidRPr="00BE78CA" w:rsidRDefault="00333601" w:rsidP="00333601">
      <w:pPr>
        <w:pStyle w:val="References"/>
      </w:pPr>
      <w:r w:rsidRPr="00BE78CA">
        <w:t>Joyce K. Unpublished. Ministry for the Environment LUCAS 1990–2008 Change Detection Quality Assessment Procedure, GNS Science Consultancy Report 2009/45.</w:t>
      </w:r>
    </w:p>
    <w:p w14:paraId="5903CF38" w14:textId="77777777" w:rsidR="00333601" w:rsidRPr="00BE78CA" w:rsidRDefault="00333601" w:rsidP="00333601">
      <w:pPr>
        <w:pStyle w:val="References"/>
      </w:pPr>
      <w:r w:rsidRPr="00BE78CA">
        <w:t xml:space="preserve">Kelliher FM, de Klein CA. Unpublished. </w:t>
      </w:r>
      <w:r w:rsidRPr="00BE78CA">
        <w:rPr>
          <w:iCs/>
        </w:rPr>
        <w:t>Review of New Zealand’s Fertiliser Nitrous Oxide Emission Factor (EF1) Data</w:t>
      </w:r>
      <w:r w:rsidRPr="00BE78CA">
        <w:t>. Contract report prepared for the Ministry for the Environment.</w:t>
      </w:r>
    </w:p>
    <w:p w14:paraId="02317FE0" w14:textId="77777777" w:rsidR="00333601" w:rsidRPr="00BE78CA" w:rsidRDefault="00333601" w:rsidP="00333601">
      <w:pPr>
        <w:pStyle w:val="References"/>
      </w:pPr>
      <w:r w:rsidRPr="00BE78CA">
        <w:t xml:space="preserve">Kimberley MO, Beets PN, Paul TSH. 2019. Comparison of measured and modelled change in coarse woody debris carbon stocks in New Zealand’s natural forest. </w:t>
      </w:r>
      <w:r w:rsidRPr="00BE78CA">
        <w:rPr>
          <w:i/>
        </w:rPr>
        <w:t>Forest Ecology and Management</w:t>
      </w:r>
      <w:r w:rsidRPr="00BE78CA">
        <w:t>. 434 (2019): 18–28.</w:t>
      </w:r>
    </w:p>
    <w:p w14:paraId="40035BDD" w14:textId="77777777" w:rsidR="00333601" w:rsidRPr="00BE78CA" w:rsidRDefault="00333601" w:rsidP="00333601">
      <w:pPr>
        <w:pStyle w:val="References"/>
      </w:pPr>
      <w:r w:rsidRPr="00BE78CA">
        <w:t xml:space="preserve">Kimberley MO, Dean MG. 2006. </w:t>
      </w:r>
      <w:r w:rsidRPr="00BE78CA">
        <w:rPr>
          <w:i/>
          <w:iCs/>
        </w:rPr>
        <w:t>A Validation of the 300 Index Growth Model</w:t>
      </w:r>
      <w:r w:rsidRPr="00BE78CA">
        <w:t>. Report prepared for the Plantation Management Cooperative.</w:t>
      </w:r>
    </w:p>
    <w:p w14:paraId="5BE7FC8F" w14:textId="77777777" w:rsidR="00333601" w:rsidRPr="00BE78CA" w:rsidRDefault="00333601" w:rsidP="00333601">
      <w:pPr>
        <w:pStyle w:val="References"/>
      </w:pPr>
      <w:r w:rsidRPr="00BE78CA">
        <w:t xml:space="preserve">Kirschbaum M, Trotter C, Wakelin S, Baisden T, Curtin D, Dymond J, Ghani A, Jones HS, Deurer M, Arnold G, Beets PN, Davis MR, Hedley C, Peltzer D, Ross C, Schipper L, Sutherland A, Wang H, Beare M, Clothier B, Mason N, Ward M. Unpublished. </w:t>
      </w:r>
      <w:r w:rsidRPr="00BE78CA">
        <w:rPr>
          <w:iCs/>
        </w:rPr>
        <w:t>Carbon Stocks and Changes in New Zealand’s Soils and Forests, and Implications of Post-2012 Accounting Options for Land-based Emissions Offsets and Mitigation Opportunities</w:t>
      </w:r>
      <w:r w:rsidRPr="00BE78CA">
        <w:t>. Contract report prepared for the Ministry for the Environment.</w:t>
      </w:r>
    </w:p>
    <w:p w14:paraId="6DD0F188" w14:textId="77777777" w:rsidR="00333601" w:rsidRPr="00BE78CA" w:rsidRDefault="00333601" w:rsidP="00333601">
      <w:pPr>
        <w:pStyle w:val="References"/>
      </w:pPr>
      <w:r w:rsidRPr="00BE78CA">
        <w:t xml:space="preserve">Knowles RL. 2005. Development of a productivity index for Douglas-fir. </w:t>
      </w:r>
      <w:r w:rsidRPr="00BE78CA">
        <w:rPr>
          <w:i/>
          <w:iCs/>
        </w:rPr>
        <w:t>New Zealand Journal of Forestry</w:t>
      </w:r>
      <w:r w:rsidRPr="00BE78CA">
        <w:t xml:space="preserve"> 50(2): 19–22.</w:t>
      </w:r>
    </w:p>
    <w:p w14:paraId="03CEEAB7" w14:textId="77777777" w:rsidR="00333601" w:rsidRPr="00BE78CA" w:rsidRDefault="00333601" w:rsidP="00333601">
      <w:pPr>
        <w:pStyle w:val="References"/>
      </w:pPr>
      <w:r w:rsidRPr="00BE78CA">
        <w:t xml:space="preserve">Lawrence-Smith EJ, Tregurtha CS, Beare MH. 2010. </w:t>
      </w:r>
      <w:r w:rsidRPr="00BE78CA">
        <w:rPr>
          <w:i/>
          <w:iCs/>
        </w:rPr>
        <w:t>Land Management Index Data for use in New Zealand’s Soil Carbon Monitoring System</w:t>
      </w:r>
      <w:r w:rsidRPr="00BE78CA">
        <w:t>. Contract report prepared by Plant and Food Research for the Ministry for the Environment. Contract report number: SPTS 4612. Wellington: Ministry for the Environment.</w:t>
      </w:r>
    </w:p>
    <w:p w14:paraId="340F2F25" w14:textId="77777777" w:rsidR="00333601" w:rsidRPr="00BE78CA" w:rsidRDefault="00333601" w:rsidP="00333601">
      <w:pPr>
        <w:pStyle w:val="References"/>
      </w:pPr>
      <w:r w:rsidRPr="00BE78CA">
        <w:t xml:space="preserve">Leathwick J, Morgan F, Wilson G, Rutledge D, McLeod M, Johnston K. 2002. </w:t>
      </w:r>
      <w:r w:rsidRPr="00BE78CA">
        <w:rPr>
          <w:i/>
          <w:iCs/>
        </w:rPr>
        <w:t>Land Environments of New Zealand: A Technical Guide</w:t>
      </w:r>
      <w:r w:rsidRPr="00BE78CA">
        <w:t>. Wellington: Ministry for the Environment.</w:t>
      </w:r>
    </w:p>
    <w:p w14:paraId="45906EEA" w14:textId="77777777" w:rsidR="00333601" w:rsidRPr="00BE78CA" w:rsidRDefault="00333601" w:rsidP="00333601">
      <w:pPr>
        <w:pStyle w:val="References"/>
      </w:pPr>
      <w:r w:rsidRPr="00BE78CA">
        <w:t>Lilburne LR, Hewitt AE, Webb TW. 2012. Soil and informatics science combine to develop S</w:t>
      </w:r>
      <w:r w:rsidRPr="00BE78CA">
        <w:noBreakHyphen/>
        <w:t xml:space="preserve">map: A new generation soil information system for New Zealand. </w:t>
      </w:r>
      <w:r w:rsidRPr="00BE78CA">
        <w:rPr>
          <w:i/>
          <w:iCs/>
        </w:rPr>
        <w:t>Geoderma</w:t>
      </w:r>
      <w:r w:rsidRPr="00BE78CA">
        <w:t xml:space="preserve"> 170: 232–238.</w:t>
      </w:r>
    </w:p>
    <w:p w14:paraId="50FBE3FE" w14:textId="77777777" w:rsidR="00333601" w:rsidRPr="00BE78CA" w:rsidRDefault="00333601" w:rsidP="00333601">
      <w:pPr>
        <w:pStyle w:val="References"/>
      </w:pPr>
      <w:r w:rsidRPr="00BE78CA">
        <w:t xml:space="preserve">Manaaki Whenua Landcare Research, 2020. </w:t>
      </w:r>
      <w:r w:rsidRPr="00BE78CA">
        <w:rPr>
          <w:i/>
          <w:iCs/>
        </w:rPr>
        <w:t>A new national soil carbon monitoring system for agricultural land</w:t>
      </w:r>
      <w:r w:rsidRPr="00BE78CA">
        <w:t xml:space="preserve">. Retrieved from </w:t>
      </w:r>
      <w:hyperlink r:id="rId232" w:history="1">
        <w:r w:rsidRPr="00BE78CA">
          <w:t>www.landcareresearch.co.nz/news/a-new-national-soil-carbon-monitoring-system-for-agricultural-land/</w:t>
        </w:r>
      </w:hyperlink>
      <w:r w:rsidRPr="00BE78CA">
        <w:t xml:space="preserve"> (4 December 2020). </w:t>
      </w:r>
    </w:p>
    <w:p w14:paraId="6A667112" w14:textId="77777777" w:rsidR="00333601" w:rsidRPr="00BE78CA" w:rsidRDefault="00333601" w:rsidP="00333601">
      <w:pPr>
        <w:pStyle w:val="References"/>
      </w:pPr>
      <w:r w:rsidRPr="00BE78CA">
        <w:t xml:space="preserve">Manderson A, Hoogendoorn C, Newsome P. 2018. </w:t>
      </w:r>
      <w:r w:rsidRPr="00BE78CA">
        <w:rPr>
          <w:i/>
        </w:rPr>
        <w:t>Grassland improvement mapping using Innovative Data Analysis (IDA) techniques</w:t>
      </w:r>
      <w:r w:rsidRPr="00BE78CA">
        <w:t>. Contract report prepared for the Ministry for the Environment by Landcare Research New Zealand Ltd.</w:t>
      </w:r>
    </w:p>
    <w:p w14:paraId="770CABA8" w14:textId="77777777" w:rsidR="00333601" w:rsidRPr="00BE78CA" w:rsidRDefault="00333601" w:rsidP="00333601">
      <w:pPr>
        <w:pStyle w:val="References"/>
      </w:pPr>
      <w:r w:rsidRPr="00BE78CA">
        <w:t xml:space="preserve">Manley B. 2009. </w:t>
      </w:r>
      <w:r w:rsidRPr="00BE78CA">
        <w:rPr>
          <w:i/>
          <w:iCs/>
        </w:rPr>
        <w:t>2008 Deforestation Intentions Survey</w:t>
      </w:r>
      <w:r w:rsidRPr="00BE78CA">
        <w:t>. Contract report prepared for the Ministry of Agriculture and Forestry by New Zealand School of Forestry, University of Canterbury. Wellington: Ministry of Agriculture and Forestry.</w:t>
      </w:r>
    </w:p>
    <w:p w14:paraId="3C22505B" w14:textId="77777777" w:rsidR="00333601" w:rsidRPr="00BE78CA" w:rsidRDefault="00333601" w:rsidP="00333601">
      <w:pPr>
        <w:pStyle w:val="References"/>
      </w:pPr>
      <w:r w:rsidRPr="00BE78CA">
        <w:t xml:space="preserve">Manley B. 2019. </w:t>
      </w:r>
      <w:r w:rsidRPr="00BE78CA">
        <w:rPr>
          <w:i/>
        </w:rPr>
        <w:t>Deforestation Intentions Survey</w:t>
      </w:r>
      <w:r w:rsidRPr="00BE78CA">
        <w:t xml:space="preserve"> </w:t>
      </w:r>
      <w:r w:rsidRPr="00BE78CA">
        <w:rPr>
          <w:i/>
        </w:rPr>
        <w:t>2018</w:t>
      </w:r>
      <w:r w:rsidRPr="00BE78CA">
        <w:t>. Wellington: Ministry for Primary Industries.</w:t>
      </w:r>
    </w:p>
    <w:p w14:paraId="0B718482" w14:textId="77777777" w:rsidR="00333601" w:rsidRPr="00BE78CA" w:rsidRDefault="00333601" w:rsidP="00333601">
      <w:pPr>
        <w:pStyle w:val="References"/>
      </w:pPr>
      <w:r w:rsidRPr="00BE78CA">
        <w:t xml:space="preserve">Marcus R, Peritz E, Gabriel KR. 1976. On closed testing procedures with special reference to ordered analysis of variance. </w:t>
      </w:r>
      <w:r w:rsidRPr="00BE78CA">
        <w:rPr>
          <w:i/>
          <w:iCs/>
        </w:rPr>
        <w:t xml:space="preserve">Biometrika </w:t>
      </w:r>
      <w:r w:rsidRPr="00BE78CA">
        <w:t>63: 655–660.</w:t>
      </w:r>
    </w:p>
    <w:p w14:paraId="1CF533B7" w14:textId="77777777" w:rsidR="00333601" w:rsidRPr="00BE78CA" w:rsidRDefault="00333601" w:rsidP="00333601">
      <w:pPr>
        <w:pStyle w:val="References"/>
      </w:pPr>
      <w:r w:rsidRPr="00BE78CA">
        <w:t xml:space="preserve">McGlone MS. 2009. Postglacial history of New Zealand wetlands and implications for their conservation. </w:t>
      </w:r>
      <w:r w:rsidRPr="00BE78CA">
        <w:rPr>
          <w:i/>
          <w:iCs/>
        </w:rPr>
        <w:t>New Zealand Journal of Ecology</w:t>
      </w:r>
      <w:r w:rsidRPr="00BE78CA">
        <w:t xml:space="preserve"> 33: 1–23.</w:t>
      </w:r>
    </w:p>
    <w:p w14:paraId="05CDA7B6" w14:textId="77777777" w:rsidR="00333601" w:rsidRPr="00BE78CA" w:rsidRDefault="00333601" w:rsidP="00333601">
      <w:pPr>
        <w:pStyle w:val="References"/>
      </w:pPr>
      <w:r w:rsidRPr="00BE78CA">
        <w:t xml:space="preserve">McNeill SJ. Unpublished(a). LC93 </w:t>
      </w:r>
      <w:r w:rsidRPr="00BE78CA">
        <w:rPr>
          <w:iCs/>
        </w:rPr>
        <w:t>Soil CMS Model Recalibration and Uncertainty Analysis</w:t>
      </w:r>
      <w:r w:rsidRPr="00BE78CA">
        <w:t>. Contract report prepared for the Ministry for the Environment by Landcare Research New Zealand Ltd.</w:t>
      </w:r>
    </w:p>
    <w:p w14:paraId="3DA79562" w14:textId="77777777" w:rsidR="00333601" w:rsidRPr="00BE78CA" w:rsidRDefault="00333601" w:rsidP="00333601">
      <w:pPr>
        <w:pStyle w:val="References"/>
      </w:pPr>
      <w:r w:rsidRPr="00BE78CA">
        <w:lastRenderedPageBreak/>
        <w:t xml:space="preserve">McNeill SJ. Unpublished(b). LC975 </w:t>
      </w:r>
      <w:r w:rsidRPr="00BE78CA">
        <w:rPr>
          <w:iCs/>
        </w:rPr>
        <w:t>Respecification and Reclassification of the MfE Soil CMS model</w:t>
      </w:r>
      <w:r w:rsidRPr="00BE78CA">
        <w:t>. Contract report prepared for the Ministry for the Environment by Landcare Research New Zealand Ltd.</w:t>
      </w:r>
    </w:p>
    <w:p w14:paraId="611AA724" w14:textId="77777777" w:rsidR="00333601" w:rsidRPr="00BE78CA" w:rsidRDefault="00333601" w:rsidP="00333601">
      <w:pPr>
        <w:pStyle w:val="References"/>
      </w:pPr>
      <w:r w:rsidRPr="00BE78CA">
        <w:t xml:space="preserve">McNeill SJ, Barringer JRF. Unpublished. </w:t>
      </w:r>
      <w:r w:rsidRPr="00BE78CA">
        <w:rPr>
          <w:iCs/>
        </w:rPr>
        <w:t>Respecification and Reclassification of the 2013 MfE Soil CMS Model</w:t>
      </w:r>
      <w:r w:rsidRPr="00BE78CA">
        <w:t>. Prepared for the Ministry for the Environment by Landcare Research New Zealand Ltd.</w:t>
      </w:r>
    </w:p>
    <w:p w14:paraId="568B0869" w14:textId="77777777" w:rsidR="00333601" w:rsidRPr="00BE78CA" w:rsidRDefault="00333601" w:rsidP="00333601">
      <w:pPr>
        <w:pStyle w:val="References"/>
      </w:pPr>
      <w:r w:rsidRPr="00BE78CA">
        <w:t xml:space="preserve">McNeill SJ, Barringer JRF, Forrester GJ. Unpublished. LC1650 </w:t>
      </w:r>
      <w:r w:rsidRPr="00BE78CA">
        <w:rPr>
          <w:iCs/>
        </w:rPr>
        <w:t>Development, Refinement and Calibration of the MfE Soil CMS Model</w:t>
      </w:r>
      <w:r w:rsidRPr="00BE78CA">
        <w:t>. Prepared for the Ministry for the Environment by Landcare Research New Zealand Ltd.</w:t>
      </w:r>
    </w:p>
    <w:p w14:paraId="2ECE9969" w14:textId="77777777" w:rsidR="00333601" w:rsidRPr="00BE78CA" w:rsidRDefault="00333601" w:rsidP="00333601">
      <w:pPr>
        <w:pStyle w:val="References"/>
      </w:pPr>
      <w:r w:rsidRPr="00BE78CA">
        <w:t xml:space="preserve">McNeill SJ, Golubiewski NE, Barringer J. 2014. Development and calibration of a soil carbon inventory model for New Zealand. </w:t>
      </w:r>
      <w:r w:rsidRPr="00BE78CA">
        <w:rPr>
          <w:i/>
          <w:iCs/>
        </w:rPr>
        <w:t>Soil Research</w:t>
      </w:r>
      <w:r w:rsidRPr="00BE78CA">
        <w:t xml:space="preserve"> 52: 789–804.</w:t>
      </w:r>
    </w:p>
    <w:p w14:paraId="46E00EE3" w14:textId="77777777" w:rsidR="00333601" w:rsidRPr="00BE78CA" w:rsidRDefault="00333601" w:rsidP="00333601">
      <w:pPr>
        <w:pStyle w:val="References"/>
      </w:pPr>
      <w:r w:rsidRPr="00BE78CA">
        <w:t xml:space="preserve">Milne JDG, Clayden B, Singleton PL, Wilson AD. 1995. </w:t>
      </w:r>
      <w:r w:rsidRPr="00BE78CA">
        <w:rPr>
          <w:i/>
          <w:iCs/>
        </w:rPr>
        <w:t>Soil Description Handbook</w:t>
      </w:r>
      <w:r w:rsidRPr="00BE78CA">
        <w:t>. Lincoln: Manaaki Whenua Press.</w:t>
      </w:r>
    </w:p>
    <w:p w14:paraId="1CA7E7B8" w14:textId="77777777" w:rsidR="00333601" w:rsidRPr="00BE78CA" w:rsidRDefault="00333601" w:rsidP="00333601">
      <w:pPr>
        <w:pStyle w:val="References"/>
      </w:pPr>
      <w:r w:rsidRPr="00BE78CA">
        <w:t xml:space="preserve">Ministry for Primary Industries. 2015a. </w:t>
      </w:r>
      <w:r w:rsidRPr="00BE78CA">
        <w:rPr>
          <w:i/>
          <w:iCs/>
        </w:rPr>
        <w:t>Afforestation Grant Scheme</w:t>
      </w:r>
      <w:r w:rsidRPr="00BE78CA">
        <w:t xml:space="preserve">. Wellington: Ministry for Primary Industries. Retrieved from </w:t>
      </w:r>
      <w:hyperlink r:id="rId233" w:history="1">
        <w:r w:rsidRPr="00BE78CA">
          <w:rPr>
            <w:rStyle w:val="Hyperlink"/>
          </w:rPr>
          <w:t>mpi.govt.nz/funding-and-programmes/forestry/afforestation-grant-scheme</w:t>
        </w:r>
      </w:hyperlink>
      <w:r w:rsidRPr="00BE78CA">
        <w:rPr>
          <w:rStyle w:val="Hyperlink"/>
        </w:rPr>
        <w:t xml:space="preserve"> </w:t>
      </w:r>
      <w:r w:rsidRPr="00BE78CA">
        <w:t>(20 November 2015).</w:t>
      </w:r>
    </w:p>
    <w:p w14:paraId="70713BBB" w14:textId="77777777" w:rsidR="00333601" w:rsidRPr="00BE78CA" w:rsidRDefault="00333601" w:rsidP="00333601">
      <w:pPr>
        <w:pStyle w:val="References"/>
      </w:pPr>
      <w:r w:rsidRPr="00BE78CA">
        <w:t xml:space="preserve">Ministry for Primary Industries. 2015b. </w:t>
      </w:r>
      <w:r w:rsidRPr="00BE78CA">
        <w:rPr>
          <w:i/>
          <w:iCs/>
        </w:rPr>
        <w:t>An overview of forestry in the emissions trading scheme</w:t>
      </w:r>
      <w:r w:rsidRPr="00BE78CA">
        <w:t xml:space="preserve">. Retrieved from </w:t>
      </w:r>
      <w:r w:rsidRPr="00BE78CA">
        <w:rPr>
          <w:rStyle w:val="Hyperlink"/>
        </w:rPr>
        <w:t>www.mpi.govt.nz/dmsdocument/6991/loggedIn</w:t>
      </w:r>
      <w:r w:rsidRPr="00BE78CA">
        <w:t xml:space="preserve"> (6 March 2019).</w:t>
      </w:r>
    </w:p>
    <w:p w14:paraId="430D767C" w14:textId="77777777" w:rsidR="00333601" w:rsidRPr="00BE78CA" w:rsidRDefault="00333601" w:rsidP="00333601">
      <w:pPr>
        <w:pStyle w:val="References"/>
        <w:rPr>
          <w:spacing w:val="-2"/>
        </w:rPr>
      </w:pPr>
      <w:r w:rsidRPr="00BE78CA">
        <w:rPr>
          <w:spacing w:val="-2"/>
        </w:rPr>
        <w:t xml:space="preserve">Ministry for Primary Industries. 2015d. </w:t>
      </w:r>
      <w:r w:rsidRPr="00BE78CA">
        <w:rPr>
          <w:i/>
          <w:spacing w:val="-2"/>
        </w:rPr>
        <w:t>Sustainable Management of New Zealand’s Forests: New Zealand’s Third Country Report on the Montreal Process Criteria and Indicators</w:t>
      </w:r>
      <w:r w:rsidRPr="00BE78CA">
        <w:rPr>
          <w:spacing w:val="-2"/>
        </w:rPr>
        <w:t xml:space="preserve">. Retrieved from </w:t>
      </w:r>
      <w:r w:rsidRPr="00BE78CA">
        <w:rPr>
          <w:rStyle w:val="Hyperlink"/>
        </w:rPr>
        <w:t>mpi.govt.nz/growing-and-producing/forestry/overview/montreal-process/</w:t>
      </w:r>
      <w:r w:rsidRPr="00BE78CA">
        <w:rPr>
          <w:spacing w:val="-2"/>
        </w:rPr>
        <w:t xml:space="preserve"> (23 February 2017).</w:t>
      </w:r>
    </w:p>
    <w:p w14:paraId="76874F21" w14:textId="77777777" w:rsidR="00333601" w:rsidRPr="00BE78CA" w:rsidRDefault="00333601" w:rsidP="00333601">
      <w:pPr>
        <w:pStyle w:val="References"/>
      </w:pPr>
      <w:r w:rsidRPr="00BE78CA">
        <w:t xml:space="preserve">Ministry for Primary Industries. 2016. </w:t>
      </w:r>
      <w:r w:rsidRPr="00BE78CA">
        <w:rPr>
          <w:i/>
          <w:iCs/>
        </w:rPr>
        <w:t>Material Flow and End-use of Harvested Wood Products Produced from New Zealand Log Exports</w:t>
      </w:r>
      <w:r w:rsidRPr="00BE78CA">
        <w:t>. Wellington: Ministry for Primary Industries.</w:t>
      </w:r>
    </w:p>
    <w:p w14:paraId="3FF3AE42" w14:textId="77777777" w:rsidR="00333601" w:rsidRPr="00BE78CA" w:rsidRDefault="00333601" w:rsidP="00333601">
      <w:pPr>
        <w:pStyle w:val="References"/>
      </w:pPr>
      <w:r w:rsidRPr="00BE78CA">
        <w:t>Ministry for Primary Industries. 2019a</w:t>
      </w:r>
      <w:r w:rsidRPr="00BE78CA">
        <w:rPr>
          <w:i/>
        </w:rPr>
        <w:t>. Log and roundwood removal statistics</w:t>
      </w:r>
      <w:r w:rsidRPr="00BE78CA">
        <w:t xml:space="preserve">. Wellington: Ministry for Primary Industries. Retrieved from </w:t>
      </w:r>
      <w:r w:rsidRPr="00BE78CA">
        <w:rPr>
          <w:rStyle w:val="Hyperlink"/>
        </w:rPr>
        <w:t>www.mpi.govt.nz/forestry/new-zealand-forests-forest-industry/forestry/wood-processing</w:t>
      </w:r>
      <w:r w:rsidRPr="00BE78CA">
        <w:t xml:space="preserve"> (26 November 2020).</w:t>
      </w:r>
    </w:p>
    <w:p w14:paraId="0270EAD4" w14:textId="77777777" w:rsidR="00333601" w:rsidRPr="00BE78CA" w:rsidRDefault="00333601" w:rsidP="00333601">
      <w:pPr>
        <w:pStyle w:val="References"/>
      </w:pPr>
      <w:r w:rsidRPr="00BE78CA">
        <w:t xml:space="preserve">Ministry for Primary Industries. 2019b. </w:t>
      </w:r>
      <w:r w:rsidRPr="00BE78CA">
        <w:rPr>
          <w:i/>
          <w:iCs/>
        </w:rPr>
        <w:t>National Exotic Forest Description as at 1 April 2019</w:t>
      </w:r>
      <w:r w:rsidRPr="00BE78CA">
        <w:t>. Wellington: Ministry for Primary Industries.</w:t>
      </w:r>
    </w:p>
    <w:p w14:paraId="40ED7A1E" w14:textId="77777777" w:rsidR="00333601" w:rsidRPr="00BE78CA" w:rsidRDefault="00333601" w:rsidP="00333601">
      <w:pPr>
        <w:pStyle w:val="References"/>
      </w:pPr>
      <w:r w:rsidRPr="00BE78CA">
        <w:t xml:space="preserve">Ministry for the Environment. 2006. </w:t>
      </w:r>
      <w:r w:rsidRPr="00BE78CA">
        <w:rPr>
          <w:i/>
          <w:iCs/>
        </w:rPr>
        <w:t>New Zealand’s Initial Report under the Kyoto Protocol</w:t>
      </w:r>
      <w:r w:rsidRPr="00BE78CA">
        <w:t xml:space="preserve">. Wellington: Ministry for the Environment. Retrieved from </w:t>
      </w:r>
      <w:r w:rsidRPr="00BE78CA">
        <w:rPr>
          <w:rStyle w:val="Hyperlink"/>
        </w:rPr>
        <w:t>www.mfe.govt.nz/publications/climate/new-zealands-initial-report-under-the-kyoto-protocol/index.html</w:t>
      </w:r>
      <w:r w:rsidRPr="00BE78CA">
        <w:t xml:space="preserve"> (14 July 2011).</w:t>
      </w:r>
    </w:p>
    <w:p w14:paraId="7172A617" w14:textId="77777777" w:rsidR="00333601" w:rsidRPr="00BE78CA" w:rsidRDefault="00333601" w:rsidP="00333601">
      <w:pPr>
        <w:pStyle w:val="References"/>
      </w:pPr>
      <w:r w:rsidRPr="00BE78CA">
        <w:t xml:space="preserve">Ministry for the Environment. 2012. </w:t>
      </w:r>
      <w:r w:rsidRPr="00BE78CA">
        <w:rPr>
          <w:i/>
        </w:rPr>
        <w:t>Land Use and Carbon Analysis System: Satellite imagery interpretation guide for land use classes</w:t>
      </w:r>
      <w:r w:rsidRPr="00BE78CA">
        <w:t>. 2nd edn. Wellington: Ministry for the Environment.</w:t>
      </w:r>
    </w:p>
    <w:p w14:paraId="565AC55A" w14:textId="77777777" w:rsidR="00333601" w:rsidRPr="00BE78CA" w:rsidRDefault="00333601" w:rsidP="00333601">
      <w:pPr>
        <w:pStyle w:val="References"/>
      </w:pPr>
      <w:r w:rsidRPr="00BE78CA">
        <w:t>Ministry for the Environment. Unpublished. Land Use Carbon Analysis System Natural Forest Data Collection Manual.</w:t>
      </w:r>
    </w:p>
    <w:p w14:paraId="7351F76B" w14:textId="77777777" w:rsidR="00333601" w:rsidRPr="00BE78CA" w:rsidRDefault="00333601" w:rsidP="00333601">
      <w:pPr>
        <w:pStyle w:val="References"/>
      </w:pPr>
      <w:r w:rsidRPr="00BE78CA">
        <w:t xml:space="preserve">Ministry for the Environment and Stats NZ. 2017. </w:t>
      </w:r>
      <w:r w:rsidRPr="00BE78CA">
        <w:rPr>
          <w:i/>
        </w:rPr>
        <w:t>New Zealand’s Environmental Reporting Series: Our fresh water 2017</w:t>
      </w:r>
      <w:r w:rsidRPr="00BE78CA">
        <w:t xml:space="preserve">. Retrieved from </w:t>
      </w:r>
      <w:hyperlink r:id="rId234" w:history="1">
        <w:r w:rsidRPr="00BE78CA">
          <w:rPr>
            <w:rStyle w:val="Hyperlink"/>
          </w:rPr>
          <w:t>www.mfe.govt.nz</w:t>
        </w:r>
      </w:hyperlink>
      <w:r w:rsidRPr="00BE78CA">
        <w:rPr>
          <w:rStyle w:val="Hyperlink"/>
        </w:rPr>
        <w:t xml:space="preserve"> and www.stats.govt.nz</w:t>
      </w:r>
      <w:r w:rsidRPr="00BE78CA">
        <w:t>.</w:t>
      </w:r>
    </w:p>
    <w:p w14:paraId="2A8DA907" w14:textId="77777777" w:rsidR="00333601" w:rsidRPr="00BE78CA" w:rsidRDefault="00333601" w:rsidP="00333601">
      <w:pPr>
        <w:pStyle w:val="References"/>
      </w:pPr>
      <w:r w:rsidRPr="00BE78CA">
        <w:t>Moore JR, Goulding CJ. Unpublished. Sampling Methods and Associated Levels of Precision for a National Carbon Inventory in Planted Forests. Contract report prepared for Ministry for the Environment.</w:t>
      </w:r>
    </w:p>
    <w:p w14:paraId="179A2D6A" w14:textId="77777777" w:rsidR="00333601" w:rsidRPr="00BE78CA" w:rsidRDefault="00333601" w:rsidP="00333601">
      <w:pPr>
        <w:pStyle w:val="References"/>
      </w:pPr>
      <w:r w:rsidRPr="00BE78CA">
        <w:t xml:space="preserve">National Institute of Water and Atmospheric Research. 2018. The impact of El Niño and La Niña on New Zealand’s climate. Retrieved from </w:t>
      </w:r>
      <w:hyperlink r:id="rId235" w:history="1">
        <w:r w:rsidRPr="00BE78CA">
          <w:rPr>
            <w:rStyle w:val="Hyperlink"/>
          </w:rPr>
          <w:t>www.niwa.co.nz/climate/information-and-resources/elnino/elnino-impacts-on-newzealand</w:t>
        </w:r>
      </w:hyperlink>
      <w:r w:rsidRPr="00BE78CA">
        <w:t xml:space="preserve"> (18 December 2018).</w:t>
      </w:r>
    </w:p>
    <w:p w14:paraId="10CCF402" w14:textId="77777777" w:rsidR="00333601" w:rsidRPr="00BE78CA" w:rsidRDefault="00333601" w:rsidP="00333601">
      <w:pPr>
        <w:pStyle w:val="References"/>
      </w:pPr>
      <w:r w:rsidRPr="00BE78CA">
        <w:t xml:space="preserve">Newsome P, Shepherd J, Pairman D. 2013. </w:t>
      </w:r>
      <w:r w:rsidRPr="00BE78CA">
        <w:rPr>
          <w:i/>
        </w:rPr>
        <w:t>Establishing New Zealand’s LUCAS Land Use and Land Use-Change and Forestry 2012 Map</w:t>
      </w:r>
      <w:r w:rsidRPr="00BE78CA">
        <w:t>. Contract report prepared for the Ministry for the Environment by Landcare Research New Zealand Ltd.</w:t>
      </w:r>
    </w:p>
    <w:p w14:paraId="21B9A28E" w14:textId="77777777" w:rsidR="00333601" w:rsidRPr="00BE78CA" w:rsidRDefault="00333601" w:rsidP="00333601">
      <w:pPr>
        <w:pStyle w:val="References"/>
      </w:pPr>
      <w:r w:rsidRPr="00BE78CA">
        <w:t xml:space="preserve">Newsome P, Shepherd J, Pairman D, Bellis S, Manderson A. 2018. </w:t>
      </w:r>
      <w:r w:rsidRPr="00BE78CA">
        <w:rPr>
          <w:i/>
        </w:rPr>
        <w:t>Establishing New Zealand’s LUCAS 2016 Land Use Map</w:t>
      </w:r>
      <w:r w:rsidRPr="00BE78CA">
        <w:t>. Contract report prepared for the Ministry for the Environment by Landcare Research New Zealand Ltd.</w:t>
      </w:r>
    </w:p>
    <w:p w14:paraId="699DF368" w14:textId="77777777" w:rsidR="00333601" w:rsidRPr="00BE78CA" w:rsidRDefault="00333601" w:rsidP="00333601">
      <w:pPr>
        <w:pStyle w:val="References"/>
      </w:pPr>
      <w:r w:rsidRPr="00BE78CA">
        <w:lastRenderedPageBreak/>
        <w:t xml:space="preserve">Newsome PF, Wilde RH, Willoughby EJ. 2008. </w:t>
      </w:r>
      <w:r w:rsidRPr="00BE78CA">
        <w:rPr>
          <w:i/>
        </w:rPr>
        <w:t>Land Resource Information System Spatial Data Layers: Data Dictionary</w:t>
      </w:r>
      <w:r w:rsidRPr="00BE78CA">
        <w:t>. Palmerston North: Landcare Research New Zealand Ltd.</w:t>
      </w:r>
    </w:p>
    <w:p w14:paraId="6B8FC41B" w14:textId="77777777" w:rsidR="00333601" w:rsidRPr="00BE78CA" w:rsidRDefault="00333601" w:rsidP="00333601">
      <w:pPr>
        <w:pStyle w:val="References"/>
      </w:pPr>
      <w:r w:rsidRPr="00BE78CA">
        <w:t xml:space="preserve">Ogle SM, Breidt FJ, Easter M, Williams S, Paustian K. 2007. An empirically based approach for estimating uncertainty associated with modelling carbon sequestration in soils. </w:t>
      </w:r>
      <w:r w:rsidRPr="00BE78CA">
        <w:rPr>
          <w:i/>
        </w:rPr>
        <w:t>Ecological Modelling</w:t>
      </w:r>
      <w:r w:rsidRPr="00BE78CA">
        <w:t xml:space="preserve"> 205: 453–463.</w:t>
      </w:r>
    </w:p>
    <w:p w14:paraId="05632C29" w14:textId="77777777" w:rsidR="00333601" w:rsidRPr="00BE78CA" w:rsidRDefault="00333601" w:rsidP="00333601">
      <w:pPr>
        <w:pStyle w:val="References"/>
      </w:pPr>
      <w:r w:rsidRPr="00BE78CA">
        <w:t>Paul TSH, Andersen C, Kimberley MO, Dash J, Beets PN. Unpublished(a). Carbon Stock Changes in New Zealand’s Pre-1990 Planted Forests Based on a Periodic Ground Inventory. Contract report prepared for the Ministry for the Environment by the New Zealand Forest Research Institute Ltd (trading as Scion) in 2016.</w:t>
      </w:r>
    </w:p>
    <w:p w14:paraId="48A1C72F" w14:textId="77777777" w:rsidR="00333601" w:rsidRPr="00BE78CA" w:rsidRDefault="00333601" w:rsidP="00333601">
      <w:pPr>
        <w:pStyle w:val="References"/>
      </w:pPr>
      <w:r w:rsidRPr="00BE78CA">
        <w:t>Paul TSH, Beets PN, Kimberley MO. Unpublished(b). Carbon stocks in New Zealand’s Post-1989 Natural Forest – Analysis of the 2018/2019 forest inventory data. Contract report prepared for the Ministry for the Environment by the New Zealand Forest Research Institute Ltd (trading as Scion) in 2020.</w:t>
      </w:r>
    </w:p>
    <w:p w14:paraId="016328F3" w14:textId="77777777" w:rsidR="00333601" w:rsidRPr="00BE78CA" w:rsidRDefault="00333601" w:rsidP="00333601">
      <w:pPr>
        <w:pStyle w:val="References"/>
      </w:pPr>
      <w:r w:rsidRPr="00BE78CA">
        <w:t>Paul TSH, Dowling LJ. Unpublished. Audit of the LUCAS Natural Forest Plot Inventory 2018/2019. Contract report prepared for the Ministry for the Environment by the New Zealand Forest Research Institute Ltd (trading as Scion) in 2019.</w:t>
      </w:r>
    </w:p>
    <w:p w14:paraId="5426A1B5" w14:textId="77777777" w:rsidR="00333601" w:rsidRPr="00BE78CA" w:rsidRDefault="00333601" w:rsidP="00333601">
      <w:pPr>
        <w:pStyle w:val="References"/>
      </w:pPr>
      <w:r w:rsidRPr="00BE78CA">
        <w:t xml:space="preserve">Paul TSH, Kimberley MO, Beets PN. 2020. Natural Forests in New Zealand – a large terrestrial carbon pool in a national state of equilibrium. Manuscript submitted for publication. </w:t>
      </w:r>
    </w:p>
    <w:p w14:paraId="691675C5" w14:textId="77777777" w:rsidR="00333601" w:rsidRPr="00BE78CA" w:rsidRDefault="00333601" w:rsidP="00333601">
      <w:pPr>
        <w:pStyle w:val="References"/>
      </w:pPr>
      <w:r w:rsidRPr="00BE78CA">
        <w:t>Paul TSH, Kimberley MO, Beets PN. Unpublished(c). Post-1989 and Pre-1990 Planted Forest Carbon Yield Tables and Stock Changes. Contract report prepared for the Ministry for the Environment by the New Zealand Forest Research Institute Ltd (trading as Scion) in 2013.</w:t>
      </w:r>
    </w:p>
    <w:p w14:paraId="1DB0E3C8" w14:textId="77777777" w:rsidR="00333601" w:rsidRPr="00BE78CA" w:rsidRDefault="00333601" w:rsidP="00333601">
      <w:pPr>
        <w:pStyle w:val="References"/>
      </w:pPr>
      <w:r w:rsidRPr="00BE78CA">
        <w:t>Paul TSH, Kimberley MO, Dodunski C. Unpublished(d). The 2019 NFI Plot Analysis Yield Tables and Carbon Stocks at Measurement. Contract report prepared for the Ministry for the Environment by New Zealand Forest Research Institute Ltd (trading as Scion) in 2020.</w:t>
      </w:r>
    </w:p>
    <w:p w14:paraId="261F21A3" w14:textId="77777777" w:rsidR="00333601" w:rsidRPr="00BE78CA" w:rsidRDefault="00333601" w:rsidP="00333601">
      <w:pPr>
        <w:pStyle w:val="References"/>
      </w:pPr>
      <w:r w:rsidRPr="00BE78CA">
        <w:t>Paul TSH, Wakelin SJ. Unpublished. Yield Tables and Approach for Estimating Historic Carbon Stocks in Pre-1990 Planted Forests for Greenhouse Gas Inventory Reporting. Contract report prepared for the Ministry for the Environment by New Zealand Forest Research Institute Ltd (trading as Scion) in 2020.</w:t>
      </w:r>
    </w:p>
    <w:p w14:paraId="135A239D" w14:textId="77777777" w:rsidR="00333601" w:rsidRPr="00BE78CA" w:rsidRDefault="00333601" w:rsidP="00333601">
      <w:pPr>
        <w:pStyle w:val="References"/>
      </w:pPr>
      <w:r w:rsidRPr="00BE78CA">
        <w:t>Paul TSH, Wakelin SJ, Kimberley MO, Beets PN. Unpublished(e). Stocked Plantation Area in Mapped Post-1989 and Pre-1990 Forests, and Associated Crop Yield Tables and CRA Simulation Input Data. Contract report prepared for the Ministry for the Environment by New Zealand Forest Research Institute Ltd (trading as Scion) in 2014.</w:t>
      </w:r>
    </w:p>
    <w:p w14:paraId="0414F6C3" w14:textId="77777777" w:rsidR="00333601" w:rsidRPr="00BE78CA" w:rsidRDefault="00333601" w:rsidP="00333601">
      <w:pPr>
        <w:pStyle w:val="References"/>
      </w:pPr>
      <w:r w:rsidRPr="00BE78CA">
        <w:t>Payton IJ, Beets PN, Wilde H, Beadel S. Unpublished. CMS: Progress Report on Fieldwork Contract (03/04-0226-L) for the Period to 15 February 2004. Contract report prepared for the Ministry for the Environment by Landcare Research New Zealand Limited and New Zealand Forest Research Ltd.</w:t>
      </w:r>
    </w:p>
    <w:p w14:paraId="334B3736" w14:textId="77777777" w:rsidR="00333601" w:rsidRPr="00BE78CA" w:rsidRDefault="00333601" w:rsidP="00333601">
      <w:pPr>
        <w:pStyle w:val="References"/>
      </w:pPr>
      <w:r w:rsidRPr="00BE78CA" w:rsidDel="00EA06F5">
        <w:t>Payton IJ, Newell CL, Beets PN</w:t>
      </w:r>
      <w:r w:rsidRPr="00BE78CA">
        <w:t>.</w:t>
      </w:r>
      <w:r w:rsidRPr="00BE78CA" w:rsidDel="00EA06F5">
        <w:t xml:space="preserve"> 2004. </w:t>
      </w:r>
      <w:r w:rsidRPr="00BE78CA" w:rsidDel="00EA06F5">
        <w:rPr>
          <w:i/>
        </w:rPr>
        <w:t>New Zealand Carbon Monitoring System Indigenous Forest and Shrubland Data Collection Manual</w:t>
      </w:r>
      <w:r w:rsidRPr="00BE78CA" w:rsidDel="00EA06F5">
        <w:t>. Christchurch: Caxton Press.</w:t>
      </w:r>
    </w:p>
    <w:p w14:paraId="6791D813" w14:textId="77777777" w:rsidR="00333601" w:rsidRPr="00BE78CA" w:rsidDel="00EA06F5" w:rsidRDefault="00333601" w:rsidP="00333601">
      <w:pPr>
        <w:pStyle w:val="References"/>
      </w:pPr>
      <w:r w:rsidRPr="00BE78CA">
        <w:t xml:space="preserve">Payton IJ, Pearce HG. 2009. </w:t>
      </w:r>
      <w:r w:rsidRPr="00BE78CA">
        <w:rPr>
          <w:i/>
        </w:rPr>
        <w:t>Fire-induced Changes to the Vegetation of Tall-tussock (Chionochloa rigida) Grassland Ecosystems.</w:t>
      </w:r>
      <w:r w:rsidRPr="00BE78CA">
        <w:t xml:space="preserve"> Science for Conservation 290. Wellington: Department of Conservation.</w:t>
      </w:r>
    </w:p>
    <w:p w14:paraId="611B395A" w14:textId="77777777" w:rsidR="00333601" w:rsidRPr="00BE78CA" w:rsidRDefault="00333601" w:rsidP="00333601">
      <w:pPr>
        <w:pStyle w:val="References"/>
      </w:pPr>
      <w:r w:rsidRPr="00BE78CA">
        <w:t xml:space="preserve">Poyry Management Consulting (NZ) Ltd. Unpublished. Accuracy Assessment of LUCAS 2012 Land Use Map. Contract report prepared for the Ministry for the Environment. </w:t>
      </w:r>
    </w:p>
    <w:p w14:paraId="6C741379" w14:textId="77777777" w:rsidR="00333601" w:rsidRPr="00BE78CA" w:rsidRDefault="00333601" w:rsidP="00333601">
      <w:pPr>
        <w:pStyle w:val="References"/>
      </w:pPr>
      <w:r w:rsidRPr="00BE78CA">
        <w:t>PricewaterhouseCoopers. Unpublished. LUCAS Data Quality Framework. Contract report prepared for the Ministry for the Environment.</w:t>
      </w:r>
    </w:p>
    <w:p w14:paraId="3C1C0ABC" w14:textId="77777777" w:rsidR="00333601" w:rsidRPr="00BE78CA" w:rsidRDefault="00333601" w:rsidP="00333601">
      <w:pPr>
        <w:pStyle w:val="References"/>
      </w:pPr>
      <w:r w:rsidRPr="00BE78CA">
        <w:t xml:space="preserve">Rhodes D, Novis J. 2002. </w:t>
      </w:r>
      <w:r w:rsidRPr="00BE78CA">
        <w:rPr>
          <w:i/>
        </w:rPr>
        <w:t>The Impact of Incentives on the Development of Plantation Forest Resources in New Zealand</w:t>
      </w:r>
      <w:r w:rsidRPr="00BE78CA">
        <w:t>. MAF information paper no 45. MAF policy division. Wellington: Ministry of Agriculture and Forestry.</w:t>
      </w:r>
    </w:p>
    <w:p w14:paraId="1AD498DA" w14:textId="77777777" w:rsidR="00333601" w:rsidRPr="00BE78CA" w:rsidRDefault="00333601" w:rsidP="00333601">
      <w:pPr>
        <w:pStyle w:val="References"/>
      </w:pPr>
      <w:r w:rsidRPr="00BE78CA">
        <w:t xml:space="preserve">Robertson KA. 1998. Loss of organic matter and carbon during slash burns in New Zealand exotic forests. </w:t>
      </w:r>
      <w:r w:rsidRPr="00BE78CA">
        <w:rPr>
          <w:i/>
        </w:rPr>
        <w:t>New Zealand Journal of Forestry Science</w:t>
      </w:r>
      <w:r w:rsidRPr="00BE78CA">
        <w:t xml:space="preserve"> 28(2): 221–241.</w:t>
      </w:r>
    </w:p>
    <w:p w14:paraId="68F8B2C4" w14:textId="77777777" w:rsidR="00333601" w:rsidRPr="00BE78CA" w:rsidRDefault="00333601" w:rsidP="00333601">
      <w:pPr>
        <w:pStyle w:val="References"/>
      </w:pPr>
      <w:r w:rsidRPr="00BE78CA">
        <w:t xml:space="preserve">Scott NA, Tate KR, Giltrap DJ, Tattersall SC, Wilde RH, Newsome P, Davis MR. 2002. Monitoring land-use change effects on soil carbon in New Zealand: Quantifying baseline soil carbon stocks. </w:t>
      </w:r>
      <w:r w:rsidRPr="00BE78CA">
        <w:rPr>
          <w:i/>
        </w:rPr>
        <w:t>Environmental Pollution</w:t>
      </w:r>
      <w:r w:rsidRPr="00BE78CA">
        <w:t xml:space="preserve"> 116: S167–186.</w:t>
      </w:r>
    </w:p>
    <w:p w14:paraId="27EF05A9" w14:textId="77777777" w:rsidR="00333601" w:rsidRPr="00BE78CA" w:rsidRDefault="00333601" w:rsidP="00333601">
      <w:pPr>
        <w:pStyle w:val="References"/>
      </w:pPr>
      <w:r w:rsidRPr="00BE78CA">
        <w:lastRenderedPageBreak/>
        <w:t>Shepherd JD, Bunting P, Dymond JR. 2019. Operational large-scale segmentation of imagery based on iterative elimination.</w:t>
      </w:r>
      <w:r w:rsidRPr="00BE78CA">
        <w:rPr>
          <w:i/>
        </w:rPr>
        <w:t xml:space="preserve"> Remote Sensing</w:t>
      </w:r>
      <w:r w:rsidRPr="00BE78CA">
        <w:rPr>
          <w:iCs/>
        </w:rPr>
        <w:t>. 11(6): 658</w:t>
      </w:r>
    </w:p>
    <w:p w14:paraId="17B8F2EC" w14:textId="77777777" w:rsidR="00333601" w:rsidRPr="00BE78CA" w:rsidRDefault="00333601" w:rsidP="00333601">
      <w:pPr>
        <w:pStyle w:val="References"/>
      </w:pPr>
      <w:r w:rsidRPr="00BE78CA">
        <w:t xml:space="preserve">Shepherd JD, Dymond JR. 2003. Correcting satellite imagery for the variance of reflectance and illumination with topography. </w:t>
      </w:r>
      <w:r w:rsidRPr="00BE78CA">
        <w:rPr>
          <w:i/>
        </w:rPr>
        <w:t>International Journal of Remote Sensing</w:t>
      </w:r>
      <w:r w:rsidRPr="00BE78CA">
        <w:t xml:space="preserve"> 24: 3503–3514.</w:t>
      </w:r>
    </w:p>
    <w:p w14:paraId="2D4C0900" w14:textId="77777777" w:rsidR="00333601" w:rsidRPr="00BE78CA" w:rsidRDefault="00333601" w:rsidP="00333601">
      <w:pPr>
        <w:pStyle w:val="References"/>
      </w:pPr>
      <w:r w:rsidRPr="00BE78CA">
        <w:t>Shepherd JD, Newsome P. Unpublished(a). Establishing New Zealand’s Kyoto Land Use and Land-use change and Forestry 1990 Map. Contract report prepared for the Ministry for the Environment.</w:t>
      </w:r>
    </w:p>
    <w:p w14:paraId="5902007E" w14:textId="77777777" w:rsidR="00333601" w:rsidRPr="00BE78CA" w:rsidRDefault="00333601" w:rsidP="00333601">
      <w:pPr>
        <w:pStyle w:val="References"/>
      </w:pPr>
      <w:r w:rsidRPr="00BE78CA">
        <w:t>Shepherd JD, Newsome P. Unpublished(b). Establishing New Zealand’s Kyoto Land Use and Land-use change and Forestry 2008 Map. Contract report prepared for the Ministry for the Environment.</w:t>
      </w:r>
    </w:p>
    <w:p w14:paraId="3CD9C428" w14:textId="77777777" w:rsidR="00333601" w:rsidRPr="00BE78CA" w:rsidRDefault="00333601" w:rsidP="00333601">
      <w:pPr>
        <w:pStyle w:val="References"/>
      </w:pPr>
      <w:r w:rsidRPr="00BE78CA">
        <w:t xml:space="preserve">Tate KR, Barton JP, Trustrum NA, Baisden WT, Saggar S, Wilde RH, Giltrap DJ, Scott NA. 2003a. Monitoring and modelling soil organic carbon stocks and flows in New Zealand. In: CA Scott-Smith (ed.) </w:t>
      </w:r>
      <w:r w:rsidRPr="00BE78CA">
        <w:rPr>
          <w:i/>
          <w:iCs/>
        </w:rPr>
        <w:t>Soil Organic Carbon and Agriculture: Developing Indicators for Policy Analysis. Proceedings of an OECD Expert Meeting, Ottawa, ON.</w:t>
      </w:r>
      <w:r w:rsidRPr="00BE78CA">
        <w:t xml:space="preserve"> France: Agriculture and Agri-Food Canada and Organisation for Economic Co-operation and Development.</w:t>
      </w:r>
    </w:p>
    <w:p w14:paraId="0946F8F8" w14:textId="77777777" w:rsidR="00333601" w:rsidRPr="00BE78CA" w:rsidRDefault="00333601" w:rsidP="00333601">
      <w:pPr>
        <w:pStyle w:val="References"/>
      </w:pPr>
      <w:r w:rsidRPr="00BE78CA">
        <w:t xml:space="preserve">Tate KR, Scott NA, Saggar S, Giltrap DJ, Baisden WT, Newsome PF, Trotter CM, Wilde RH. 2003b. Land-use change alters New Zealand’s terrestrial carbon budget: Uncertainties associated with estimates of soil carbon change between 1990–2000. </w:t>
      </w:r>
      <w:r w:rsidRPr="00BE78CA">
        <w:rPr>
          <w:i/>
          <w:iCs/>
        </w:rPr>
        <w:t>Tellus, Series B: Chemical and Physical Meteorology</w:t>
      </w:r>
      <w:r w:rsidRPr="00BE78CA">
        <w:t xml:space="preserve"> 55(2): 364–377.</w:t>
      </w:r>
    </w:p>
    <w:p w14:paraId="02C9EBAF" w14:textId="77777777" w:rsidR="00333601" w:rsidRPr="00BE78CA" w:rsidRDefault="00333601" w:rsidP="00333601">
      <w:pPr>
        <w:pStyle w:val="References"/>
      </w:pPr>
      <w:r w:rsidRPr="00BE78CA">
        <w:t xml:space="preserve">Tate KR, Wilde RH, Giltrap DJ, Baisden WT, Saggar S, Trustrum NA, Scott NA. 2004. Current approaches to soil carbon monitoring in New Zealand. In: </w:t>
      </w:r>
      <w:r w:rsidRPr="00BE78CA">
        <w:rPr>
          <w:i/>
          <w:iCs/>
        </w:rPr>
        <w:t>SuperSoil 2004: Proceedings of the 3rd Australian New Zealand Soils Conference</w:t>
      </w:r>
      <w:r w:rsidRPr="00BE78CA">
        <w:t xml:space="preserve">, 5–9 December 2004, Sydney, University of Sydney, Australia. Retrieved from </w:t>
      </w:r>
      <w:hyperlink r:id="rId236" w:history="1">
        <w:r w:rsidRPr="00BE78CA">
          <w:rPr>
            <w:rStyle w:val="Hyperlink"/>
          </w:rPr>
          <w:t>www.regional.org.au/au/asssi/supersoil2004</w:t>
        </w:r>
      </w:hyperlink>
      <w:r w:rsidRPr="00BE78CA">
        <w:t xml:space="preserve"> (27 February 2018).</w:t>
      </w:r>
    </w:p>
    <w:p w14:paraId="176344C9" w14:textId="77777777" w:rsidR="00333601" w:rsidRPr="00BE78CA" w:rsidRDefault="00333601" w:rsidP="00333601">
      <w:pPr>
        <w:pStyle w:val="References"/>
      </w:pPr>
      <w:r w:rsidRPr="00BE78CA">
        <w:t xml:space="preserve">Tate KR, Wilde RH, Giltrap DJ, Baisden WT, Saggar S, Trustrum NA, Scott NA, Barton JP. 2005. Soil organic carbon stocks and flows in New Zealand: System development, measurement and modelling. </w:t>
      </w:r>
      <w:r w:rsidRPr="00BE78CA">
        <w:rPr>
          <w:i/>
          <w:iCs/>
        </w:rPr>
        <w:t>Canadian Journal of Soil Science</w:t>
      </w:r>
      <w:r w:rsidRPr="00BE78CA">
        <w:t xml:space="preserve"> 85(4): 481–489.</w:t>
      </w:r>
    </w:p>
    <w:p w14:paraId="56528CF1" w14:textId="77777777" w:rsidR="00333601" w:rsidRPr="00BE78CA" w:rsidRDefault="00333601" w:rsidP="00333601">
      <w:pPr>
        <w:pStyle w:val="References"/>
      </w:pPr>
      <w:r w:rsidRPr="00BE78CA">
        <w:t xml:space="preserve">Taylor NH, Pohlen IJ. 1962. </w:t>
      </w:r>
      <w:r w:rsidRPr="00BE78CA">
        <w:rPr>
          <w:i/>
          <w:iCs/>
        </w:rPr>
        <w:t>Soil Survey Method: A New Zealand Handbook for the Field Study of Soils.</w:t>
      </w:r>
      <w:r w:rsidRPr="00BE78CA">
        <w:t xml:space="preserve"> Lower Hutt: New Zealand Soil Bureau.</w:t>
      </w:r>
    </w:p>
    <w:p w14:paraId="37F5D3B1" w14:textId="77777777" w:rsidR="00333601" w:rsidRPr="00BE78CA" w:rsidRDefault="00333601" w:rsidP="00333601">
      <w:pPr>
        <w:pStyle w:val="References"/>
      </w:pPr>
      <w:r w:rsidRPr="00BE78CA">
        <w:t xml:space="preserve">Te Uru Rākau. 2018. </w:t>
      </w:r>
      <w:r w:rsidRPr="00BE78CA">
        <w:rPr>
          <w:i/>
        </w:rPr>
        <w:t>One Billion Trees Fund.</w:t>
      </w:r>
      <w:r w:rsidRPr="00BE78CA">
        <w:t xml:space="preserve"> Wellington: Te Uru Rākau. Retrieved from </w:t>
      </w:r>
      <w:r w:rsidRPr="00BE78CA">
        <w:rPr>
          <w:rStyle w:val="Hyperlink"/>
        </w:rPr>
        <w:t>www.mpi.govt.nz/funding-and-programmes/forestry/planting-one-billion-trees/one-billion-tree-fund</w:t>
      </w:r>
      <w:r w:rsidRPr="00BE78CA">
        <w:t xml:space="preserve"> (5 February 2019).</w:t>
      </w:r>
    </w:p>
    <w:p w14:paraId="6CC6F47B" w14:textId="77777777" w:rsidR="00333601" w:rsidRPr="00BE78CA" w:rsidRDefault="00333601" w:rsidP="00333601">
      <w:pPr>
        <w:pStyle w:val="References"/>
      </w:pPr>
      <w:r w:rsidRPr="00BE78CA">
        <w:t xml:space="preserve">Thomas S, Hume E, Fraser T, Curtin D. 2011. </w:t>
      </w:r>
      <w:r w:rsidRPr="00BE78CA">
        <w:rPr>
          <w:i/>
        </w:rPr>
        <w:t>Factors and Activity Data to Estimate Nitrous Oxide Emissions from Cropping Systems, and Stubble and Tussock Burning</w:t>
      </w:r>
      <w:r w:rsidRPr="00BE78CA">
        <w:t>. Report prepared for the Ministry of Agriculture and Forestry by Plant and Food Research (formerly Crop and Food Research) technical paper no. 2012/16. Wellington: Ministry of Agriculture and Forestry.</w:t>
      </w:r>
    </w:p>
    <w:p w14:paraId="279E01F4" w14:textId="77777777" w:rsidR="00333601" w:rsidRPr="00BE78CA" w:rsidRDefault="00333601" w:rsidP="00333601">
      <w:pPr>
        <w:pStyle w:val="References"/>
      </w:pPr>
      <w:r w:rsidRPr="00BE78CA">
        <w:t xml:space="preserve">Thompson S, Gruner I, Gapare N. 2004. </w:t>
      </w:r>
      <w:r w:rsidRPr="00BE78CA">
        <w:rPr>
          <w:i/>
          <w:iCs/>
        </w:rPr>
        <w:t>New Zealand Land Cover Database Version 2: Illustrated guide to target classes</w:t>
      </w:r>
      <w:r w:rsidRPr="00BE78CA">
        <w:t>. Report prepared for the Ministry for the Environment. Wellington: Ministry for the Environment.</w:t>
      </w:r>
    </w:p>
    <w:p w14:paraId="73BDBD70" w14:textId="77777777" w:rsidR="00333601" w:rsidRPr="00BE78CA" w:rsidRDefault="00333601" w:rsidP="00333601">
      <w:pPr>
        <w:pStyle w:val="References"/>
      </w:pPr>
      <w:r w:rsidRPr="00BE78CA">
        <w:t xml:space="preserve">Trotter C, MacKay A. Unpublished. </w:t>
      </w:r>
      <w:r w:rsidRPr="00BE78CA">
        <w:rPr>
          <w:iCs/>
        </w:rPr>
        <w:t>Potential Forest Land</w:t>
      </w:r>
      <w:r w:rsidRPr="00BE78CA">
        <w:t>. Landcare Research New Zealand Ltd Contract Report: 04/05-0410-L.</w:t>
      </w:r>
    </w:p>
    <w:p w14:paraId="51195CAF" w14:textId="77777777" w:rsidR="00333601" w:rsidRPr="00BE78CA" w:rsidRDefault="00333601" w:rsidP="00333601">
      <w:pPr>
        <w:pStyle w:val="References"/>
      </w:pPr>
      <w:r w:rsidRPr="00BE78CA">
        <w:t>UNFCCC. 2006</w:t>
      </w:r>
      <w:r w:rsidRPr="00BE78CA">
        <w:rPr>
          <w:i/>
        </w:rPr>
        <w:t>. Report of the Conference of the Parties serving as the meeting of the Parties to the Kyoto Protocol on its first session, held at Montreal from 28 November to 10 December 2005: Addendum – Part 2: Action taken by the Conference of the Parties serving as the meeting of the Parties to the Kyoto Protocol at its first session</w:t>
      </w:r>
      <w:r w:rsidRPr="00BE78CA">
        <w:t>. FCCC/KP/CMP/2005/8/Add.3.</w:t>
      </w:r>
    </w:p>
    <w:p w14:paraId="55058E19" w14:textId="77777777" w:rsidR="00333601" w:rsidRPr="00BE78CA" w:rsidRDefault="00333601" w:rsidP="00333601">
      <w:pPr>
        <w:pStyle w:val="References"/>
      </w:pPr>
      <w:r w:rsidRPr="00BE78CA">
        <w:t>UNFCCC. 2014</w:t>
      </w:r>
      <w:r w:rsidRPr="00BE78CA">
        <w:rPr>
          <w:i/>
        </w:rPr>
        <w:t>. Report of the Conference of the Parties on its nineteenth session, held in Warsaw from 11 to 23 November 2013: Addendum – Part 2: Action taken by the Conference of the Parties at its nineteenth session</w:t>
      </w:r>
      <w:r w:rsidRPr="00BE78CA">
        <w:t>. FCCC/CP/2013/10/Add.3.</w:t>
      </w:r>
    </w:p>
    <w:p w14:paraId="51293DD5" w14:textId="77777777" w:rsidR="00333601" w:rsidRPr="00BE78CA" w:rsidRDefault="00333601" w:rsidP="00333601">
      <w:pPr>
        <w:pStyle w:val="References"/>
      </w:pPr>
      <w:r w:rsidRPr="00BE78CA">
        <w:t>UNFCCC. 2018. FCCC/ARR/2017/NZL. Report of the individual review of the annual submission of New Zealand submitted in 2019. Centralised Review.</w:t>
      </w:r>
    </w:p>
    <w:p w14:paraId="3635EBAC" w14:textId="77777777" w:rsidR="00333601" w:rsidRPr="00BE78CA" w:rsidRDefault="00333601" w:rsidP="00333601">
      <w:pPr>
        <w:pStyle w:val="References"/>
      </w:pPr>
      <w:bookmarkStart w:id="2777" w:name="_Hlk61859390"/>
      <w:r w:rsidRPr="00BE78CA">
        <w:t>UNFCCC. 2020. FCCC/ARR/2019/NZL. Report of the individual review of the annual submission of New Zealand submitted in 2019. In-country Review.</w:t>
      </w:r>
    </w:p>
    <w:bookmarkEnd w:id="2777"/>
    <w:p w14:paraId="4D9EF06A" w14:textId="77777777" w:rsidR="00333601" w:rsidRPr="00BE78CA" w:rsidRDefault="00333601" w:rsidP="00333601">
      <w:pPr>
        <w:pStyle w:val="References"/>
        <w:keepLines/>
      </w:pPr>
      <w:r w:rsidRPr="00BE78CA">
        <w:lastRenderedPageBreak/>
        <w:t>Wakelin SJ. Unpublished(a). Scientific research underpinning New Zealand’s carbon inventory in planted forests. Objective 9 – UNFCCC planted forest carbon inventory methodology. Milestone 2 – Review of shrubland clearance assumptions in the national carbon inventory. Contract report prepared for the Ministry for the Environment by New Zealand Forest Research Institute Ltd (trading as Scion) in 2004.</w:t>
      </w:r>
    </w:p>
    <w:p w14:paraId="6579DE8F" w14:textId="77777777" w:rsidR="00333601" w:rsidRPr="00BE78CA" w:rsidRDefault="00333601" w:rsidP="00333601">
      <w:pPr>
        <w:pStyle w:val="References"/>
      </w:pPr>
      <w:r w:rsidRPr="00BE78CA">
        <w:t xml:space="preserve">Wakelin SJ. Unpublished(b). </w:t>
      </w:r>
      <w:r w:rsidRPr="00BE78CA">
        <w:rPr>
          <w:iCs/>
        </w:rPr>
        <w:t>Review of LULUCF Biomass Burning Assumptions in New Zealand’s Greenhouse Gas Inventory</w:t>
      </w:r>
      <w:r w:rsidRPr="00BE78CA">
        <w:t>. Contract report prepared for the Ministry for the Environment by Ensis in 2006.</w:t>
      </w:r>
    </w:p>
    <w:p w14:paraId="0F5BFBCE" w14:textId="77777777" w:rsidR="00333601" w:rsidRPr="00BE78CA" w:rsidRDefault="00333601" w:rsidP="00333601">
      <w:pPr>
        <w:pStyle w:val="References"/>
        <w:keepLines/>
      </w:pPr>
      <w:r w:rsidRPr="00BE78CA">
        <w:t xml:space="preserve">Wakelin SJ. Unpublished(c). </w:t>
      </w:r>
      <w:r w:rsidRPr="00BE78CA">
        <w:rPr>
          <w:iCs/>
        </w:rPr>
        <w:t>Carbon Inventory of New Zealand’s Planted Forests – Calculations revised in October 2008 for New Zealand’s 2007 Greenhouse Gas Inventory</w:t>
      </w:r>
      <w:r w:rsidRPr="00BE78CA">
        <w:t>. Contract report prepared for the Ministry of Agriculture and Forestry by New Zealand Forest Research Institute Ltd (trading as Scion) in 2008.</w:t>
      </w:r>
    </w:p>
    <w:p w14:paraId="56D7B7DF" w14:textId="77777777" w:rsidR="00333601" w:rsidRPr="00BE78CA" w:rsidRDefault="00333601" w:rsidP="00333601">
      <w:pPr>
        <w:pStyle w:val="References"/>
      </w:pPr>
      <w:r w:rsidRPr="00BE78CA">
        <w:t xml:space="preserve">Wakelin SJ. Unpublished(d). </w:t>
      </w:r>
      <w:r w:rsidRPr="00BE78CA">
        <w:rPr>
          <w:iCs/>
        </w:rPr>
        <w:t>Apportioning Wildfire Emissions to Forest Sub-categories in the National Greenhouse Gas Inventory</w:t>
      </w:r>
      <w:r w:rsidRPr="00BE78CA">
        <w:t>. Contract report prepared for the Ministry for the Environment by New Zealand Forest Research Institute Ltd (trading as Scion) in 2011.</w:t>
      </w:r>
    </w:p>
    <w:p w14:paraId="2CB5BC08" w14:textId="77777777" w:rsidR="00333601" w:rsidRPr="00BE78CA" w:rsidRDefault="00333601" w:rsidP="00333601">
      <w:pPr>
        <w:pStyle w:val="References"/>
      </w:pPr>
      <w:r w:rsidRPr="00BE78CA">
        <w:t xml:space="preserve">Wakelin SJ. Unpublished(e). </w:t>
      </w:r>
      <w:r w:rsidRPr="00BE78CA">
        <w:rPr>
          <w:iCs/>
        </w:rPr>
        <w:t>Controlled Biomass Burning Emissions for the 2011 Greenhouse Gas Inventory</w:t>
      </w:r>
      <w:r w:rsidRPr="00BE78CA">
        <w:t>. Contract report prepared for the Ministry for the Environment by New Zealand Forest Research Institute Ltd (trading as Scion) in 2012.</w:t>
      </w:r>
    </w:p>
    <w:p w14:paraId="52FB4676" w14:textId="77777777" w:rsidR="00333601" w:rsidRPr="00BE78CA" w:rsidRDefault="00333601" w:rsidP="00333601">
      <w:pPr>
        <w:pStyle w:val="References"/>
      </w:pPr>
      <w:r w:rsidRPr="00BE78CA">
        <w:t xml:space="preserve">Wakelin SJ. Unpublished(g). </w:t>
      </w:r>
      <w:r w:rsidRPr="00BE78CA">
        <w:rPr>
          <w:iCs/>
        </w:rPr>
        <w:t>Harvested Wood Products Model Revision</w:t>
      </w:r>
      <w:r w:rsidRPr="00BE78CA">
        <w:t>. Contract report prepared for the Ministry for the Environment by New Zealand Forest Research Institute Ltd (trading as Scion) in 2017.</w:t>
      </w:r>
    </w:p>
    <w:p w14:paraId="0CCB089E" w14:textId="77777777" w:rsidR="00333601" w:rsidRPr="00BE78CA" w:rsidRDefault="00333601" w:rsidP="00333601">
      <w:pPr>
        <w:pStyle w:val="References"/>
      </w:pPr>
      <w:r w:rsidRPr="00BE78CA">
        <w:t>Wakelin SJ. Unpublished(h). Biomass Burning Activity Data for New Zealand’s 1990–2017 Greenhouse Gas Inventory. Contract report prepared for the Ministry for the Environment by New Zealand Forest Research Institute Ltd (trading as Scion) in 2018.</w:t>
      </w:r>
    </w:p>
    <w:p w14:paraId="64165084" w14:textId="326F9F7C" w:rsidR="00333601" w:rsidRPr="00BE78CA" w:rsidRDefault="00333601" w:rsidP="00333601">
      <w:pPr>
        <w:pStyle w:val="References"/>
      </w:pPr>
      <w:r w:rsidRPr="00BE78CA">
        <w:t>Wakelin SJ. Unpublished(i). Review of Emissions from Prescribed Burning of Standing Vegetation in New</w:t>
      </w:r>
      <w:r w:rsidR="003D5E11" w:rsidRPr="00BE78CA">
        <w:t> </w:t>
      </w:r>
      <w:r w:rsidRPr="00BE78CA">
        <w:t>Zealand. Contract report prepared for the Ministry for the Environment by New Zealand Forest Research Institute Ltd (trading as Scion) in 2018.</w:t>
      </w:r>
    </w:p>
    <w:p w14:paraId="471BBDDB" w14:textId="77777777" w:rsidR="00333601" w:rsidRPr="00BE78CA" w:rsidRDefault="00333601" w:rsidP="00333601">
      <w:pPr>
        <w:pStyle w:val="References"/>
      </w:pPr>
      <w:r w:rsidRPr="00BE78CA">
        <w:t xml:space="preserve">Wakelin SJ, Beets PN. Unpublished. </w:t>
      </w:r>
      <w:r w:rsidRPr="00BE78CA">
        <w:rPr>
          <w:iCs/>
        </w:rPr>
        <w:t>Emission Factors for managed and unmanaged Grassland with Woody Biomass</w:t>
      </w:r>
      <w:r w:rsidRPr="00BE78CA">
        <w:t>. Contract report prepared for the Ministry for the Environment by New Zealand Forest Research Institute Ltd (trading as Scion) in 2013.</w:t>
      </w:r>
    </w:p>
    <w:p w14:paraId="0E4F559A" w14:textId="77777777" w:rsidR="00333601" w:rsidRPr="00BE78CA" w:rsidRDefault="00333601" w:rsidP="00333601">
      <w:pPr>
        <w:pStyle w:val="References"/>
      </w:pPr>
      <w:r w:rsidRPr="00BE78CA">
        <w:t xml:space="preserve">Wakelin SJ, Clifford VR. Unpublished. </w:t>
      </w:r>
      <w:r w:rsidRPr="00BE78CA">
        <w:rPr>
          <w:iCs/>
        </w:rPr>
        <w:t>Update of Wildfire Data for the 2012 Greenhouse Gas Inventory</w:t>
      </w:r>
      <w:r w:rsidRPr="00BE78CA">
        <w:t>. Contract report prepared for the Ministry for the Environment by New Zealand Forest Research Institute Ltd (trading as Scion) in 2013.</w:t>
      </w:r>
    </w:p>
    <w:p w14:paraId="14939CA9" w14:textId="77777777" w:rsidR="00333601" w:rsidRPr="00BE78CA" w:rsidRDefault="00333601" w:rsidP="00333601">
      <w:pPr>
        <w:pStyle w:val="References"/>
      </w:pPr>
      <w:r w:rsidRPr="00BE78CA">
        <w:t xml:space="preserve">Wakelin SJ, Clifford VR, Anderson SAJ, Pearce HG. Unpublished. </w:t>
      </w:r>
      <w:r w:rsidRPr="00BE78CA">
        <w:rPr>
          <w:iCs/>
        </w:rPr>
        <w:t>Review of LULUCF Non-carbon Emissions in New Zealand’s Greenhouse Gas Inventory</w:t>
      </w:r>
      <w:r w:rsidRPr="00BE78CA">
        <w:t>. Contract report 17342 prepared for Ministry for the Environment by New Zealand Forest Research Institute Ltd (trading as Scion) in 2009.</w:t>
      </w:r>
    </w:p>
    <w:p w14:paraId="7DEDBD35" w14:textId="77777777" w:rsidR="00333601" w:rsidRPr="00BE78CA" w:rsidRDefault="00333601" w:rsidP="00333601">
      <w:pPr>
        <w:pStyle w:val="References"/>
      </w:pPr>
      <w:r w:rsidRPr="00BE78CA">
        <w:t xml:space="preserve">Wakelin SJ, Searles N, Lawrence D, Paul TSH. 2020. Estimating New Zealand’s harvested wood products carbon stocks and stock changes. </w:t>
      </w:r>
      <w:r w:rsidRPr="00BE78CA">
        <w:rPr>
          <w:i/>
          <w:iCs/>
        </w:rPr>
        <w:t>Carbon Balance and Management</w:t>
      </w:r>
      <w:r w:rsidRPr="00BE78CA">
        <w:t xml:space="preserve"> 15(10). </w:t>
      </w:r>
    </w:p>
    <w:p w14:paraId="248094D7" w14:textId="77777777" w:rsidR="00333601" w:rsidRPr="00BE78CA" w:rsidRDefault="00333601" w:rsidP="00333601">
      <w:pPr>
        <w:pStyle w:val="References"/>
      </w:pPr>
      <w:r w:rsidRPr="00BE78CA">
        <w:t xml:space="preserve">Wilde HR. 2003. </w:t>
      </w:r>
      <w:r w:rsidRPr="00BE78CA">
        <w:rPr>
          <w:i/>
        </w:rPr>
        <w:t>Manual for National Soils Database</w:t>
      </w:r>
      <w:r w:rsidRPr="00BE78CA">
        <w:t>. Palmerston North: Landcare Research New Zealand Ltd.</w:t>
      </w:r>
    </w:p>
    <w:p w14:paraId="73DAB5DF" w14:textId="77777777" w:rsidR="00333601" w:rsidRPr="00BE78CA" w:rsidRDefault="00333601" w:rsidP="00333601">
      <w:pPr>
        <w:pStyle w:val="References"/>
      </w:pPr>
      <w:r w:rsidRPr="00BE78CA">
        <w:t xml:space="preserve">Wilde HR, Davis M, Tate K, Giltrap DJ. 2004. Testing the representativeness of soil carbon data held in databases underpinning the New Zealand Soil Carbon Monitoring System. </w:t>
      </w:r>
      <w:r w:rsidRPr="00BE78CA">
        <w:rPr>
          <w:i/>
        </w:rPr>
        <w:t>SuperSoil 2004: 3rd Australian New Zealand Soils Conference</w:t>
      </w:r>
      <w:r w:rsidRPr="00BE78CA">
        <w:t>, 5–9 December 2004. University of Sydney, Australia.</w:t>
      </w:r>
    </w:p>
    <w:p w14:paraId="28802DF0" w14:textId="77777777" w:rsidR="00333601" w:rsidRPr="00BE78CA" w:rsidRDefault="00333601" w:rsidP="00333601">
      <w:pPr>
        <w:pStyle w:val="References"/>
        <w:rPr>
          <w:b/>
          <w:bCs/>
        </w:rPr>
      </w:pPr>
      <w:r w:rsidRPr="00BE78CA">
        <w:t xml:space="preserve">Woollens R. Unpublished. Commentary on </w:t>
      </w:r>
      <w:r w:rsidRPr="00BE78CA">
        <w:rPr>
          <w:iCs/>
        </w:rPr>
        <w:t>Analysis of the 2007–2008 Planted Forest Carbon Monitoring System Inventory Data of Post-1989 Forests</w:t>
      </w:r>
      <w:r w:rsidRPr="00BE78CA">
        <w:t>. Report 11448 prepared for Ministry for the Environment.</w:t>
      </w:r>
    </w:p>
    <w:p w14:paraId="586F28D4" w14:textId="77777777" w:rsidR="00333601" w:rsidRPr="00BE78CA" w:rsidRDefault="00333601" w:rsidP="00333601">
      <w:pPr>
        <w:pStyle w:val="References"/>
      </w:pPr>
    </w:p>
    <w:p w14:paraId="469DD1A6" w14:textId="77777777" w:rsidR="00004886" w:rsidRPr="00BE78CA" w:rsidRDefault="00004886" w:rsidP="005A2CAB">
      <w:pPr>
        <w:pStyle w:val="References"/>
        <w:sectPr w:rsidR="00004886" w:rsidRPr="00BE78CA" w:rsidSect="00C26084">
          <w:footerReference w:type="even" r:id="rId237"/>
          <w:footerReference w:type="default" r:id="rId238"/>
          <w:pgSz w:w="11906" w:h="16838" w:code="9"/>
          <w:pgMar w:top="1418" w:right="1701" w:bottom="1418" w:left="1701" w:header="567" w:footer="567" w:gutter="0"/>
          <w:cols w:space="708"/>
          <w:docGrid w:linePitch="360"/>
        </w:sectPr>
      </w:pPr>
    </w:p>
    <w:p w14:paraId="7F60B842" w14:textId="77777777" w:rsidR="00FB19C0" w:rsidRPr="00BE78CA" w:rsidRDefault="00FB19C0" w:rsidP="00FB19C0">
      <w:pPr>
        <w:pStyle w:val="Heading1"/>
      </w:pPr>
      <w:bookmarkStart w:id="2778" w:name="_Toc5269385"/>
      <w:bookmarkStart w:id="2779" w:name="_Toc36224425"/>
      <w:bookmarkStart w:id="2780" w:name="_Toc68786345"/>
      <w:r w:rsidRPr="00BE78CA">
        <w:lastRenderedPageBreak/>
        <w:t>Chapter 7: Waste</w:t>
      </w:r>
      <w:bookmarkEnd w:id="2778"/>
      <w:bookmarkEnd w:id="2779"/>
      <w:bookmarkEnd w:id="2780"/>
    </w:p>
    <w:p w14:paraId="3C89BE5A" w14:textId="77777777" w:rsidR="00FB19C0" w:rsidRPr="00BE78CA" w:rsidRDefault="00FB19C0" w:rsidP="00FB19C0">
      <w:pPr>
        <w:pStyle w:val="Heading2"/>
        <w:spacing w:before="240"/>
      </w:pPr>
      <w:bookmarkStart w:id="2781" w:name="_Toc32828320"/>
      <w:bookmarkStart w:id="2782" w:name="_Toc5269386"/>
      <w:bookmarkStart w:id="2783" w:name="_Toc511116624"/>
      <w:bookmarkStart w:id="2784" w:name="_Toc481751409"/>
      <w:bookmarkStart w:id="2785" w:name="_Toc448321547"/>
      <w:bookmarkStart w:id="2786" w:name="_Toc352504868"/>
      <w:bookmarkStart w:id="2787" w:name="_Toc342470716"/>
      <w:bookmarkStart w:id="2788" w:name="_Toc36224426"/>
      <w:bookmarkStart w:id="2789" w:name="_Toc68786346"/>
      <w:r w:rsidRPr="00BE78CA">
        <w:t>7.1</w:t>
      </w:r>
      <w:r w:rsidRPr="00BE78CA">
        <w:tab/>
        <w:t>Sector overview</w:t>
      </w:r>
      <w:bookmarkEnd w:id="2781"/>
      <w:bookmarkEnd w:id="2782"/>
      <w:bookmarkEnd w:id="2783"/>
      <w:bookmarkEnd w:id="2784"/>
      <w:bookmarkEnd w:id="2785"/>
      <w:bookmarkEnd w:id="2786"/>
      <w:bookmarkEnd w:id="2787"/>
      <w:bookmarkEnd w:id="2788"/>
      <w:bookmarkEnd w:id="2789"/>
    </w:p>
    <w:p w14:paraId="0B585EA3" w14:textId="77777777" w:rsidR="00FB19C0" w:rsidRPr="00BE78CA" w:rsidRDefault="00FB19C0" w:rsidP="00FB19C0">
      <w:pPr>
        <w:pStyle w:val="Heading3"/>
        <w:spacing w:before="240"/>
      </w:pPr>
      <w:bookmarkStart w:id="2790" w:name="_Toc32828321"/>
      <w:r w:rsidRPr="00BE78CA">
        <w:t>7.1.1</w:t>
      </w:r>
      <w:r w:rsidRPr="00BE78CA">
        <w:tab/>
        <w:t>The Waste sector in New Zealand</w:t>
      </w:r>
      <w:bookmarkEnd w:id="2790"/>
    </w:p>
    <w:p w14:paraId="583341D2" w14:textId="77777777" w:rsidR="00FB19C0" w:rsidRPr="00BE78CA" w:rsidRDefault="00FB19C0" w:rsidP="00FB19C0">
      <w:pPr>
        <w:pStyle w:val="BodyText"/>
      </w:pPr>
      <w:r w:rsidRPr="00BE78CA">
        <w:t>In New Zealand, most solid waste is disposed to land. The majority of the country’s household and commercial waste is placed in managed municipal landfills. In addition, many small landfills categorised as unmanaged</w:t>
      </w:r>
      <w:r w:rsidRPr="00BE78CA">
        <w:rPr>
          <w:rStyle w:val="FootnoteReference"/>
        </w:rPr>
        <w:footnoteReference w:id="68"/>
      </w:r>
      <w:r w:rsidRPr="00BE78CA">
        <w:t xml:space="preserve"> disposal sites, such as those on farms and in industry, are still in operation for other waste types. One exception is that some farm waste is disposed by open burning. Before 2010, some municipal waste was also disposed to unmanaged or uncategorised sites. Figure 7.1.1 shows the sources of and disposal practices for solid waste in New Zealand.</w:t>
      </w:r>
    </w:p>
    <w:p w14:paraId="4170EE61" w14:textId="77777777" w:rsidR="00FB19C0" w:rsidRPr="00BE78CA" w:rsidRDefault="00FB19C0" w:rsidP="00FB19C0">
      <w:pPr>
        <w:pStyle w:val="BodyText"/>
        <w:rPr>
          <w:bCs/>
          <w:iCs/>
        </w:rPr>
      </w:pPr>
      <w:r w:rsidRPr="00BE78CA">
        <w:rPr>
          <w:bCs/>
          <w:iCs/>
        </w:rPr>
        <w:t>Most wastewater treatment in New Zealand is aerobic, including domestic, commercial and industrial wastewater that release methane (CH</w:t>
      </w:r>
      <w:r w:rsidRPr="00BE78CA">
        <w:rPr>
          <w:bCs/>
          <w:iCs/>
          <w:vertAlign w:val="subscript"/>
        </w:rPr>
        <w:t>4</w:t>
      </w:r>
      <w:r w:rsidRPr="00BE78CA">
        <w:rPr>
          <w:bCs/>
          <w:iCs/>
        </w:rPr>
        <w:t>) emissions. Methane emissions from domestic wastewater are mainly from rural septic tank usage. Wastewater emissions are also from some municipal treatment plants, which use semi-aerobic processes, and from industries in New Zealand, in particular, the meat and the pulp and paper industries.</w:t>
      </w:r>
    </w:p>
    <w:p w14:paraId="2475D7F5" w14:textId="77777777" w:rsidR="00FB19C0" w:rsidRPr="00BE78CA" w:rsidRDefault="00FB19C0" w:rsidP="00FB19C0">
      <w:pPr>
        <w:pStyle w:val="BodyText"/>
        <w:rPr>
          <w:bCs/>
          <w:iCs/>
        </w:rPr>
      </w:pPr>
      <w:r w:rsidRPr="00BE78CA">
        <w:rPr>
          <w:bCs/>
          <w:iCs/>
        </w:rPr>
        <w:t xml:space="preserve">Municipal waste is not incinerated in New Zealand. Incineration is used only on a very small scale, mainly for hazardous and clinical waste, and has declined over time due to environmental regulation and the availability of other disposal options. </w:t>
      </w:r>
    </w:p>
    <w:p w14:paraId="57EA87E0" w14:textId="77777777" w:rsidR="00FB19C0" w:rsidRPr="00BE78CA" w:rsidRDefault="00FB19C0" w:rsidP="00FB19C0">
      <w:pPr>
        <w:pStyle w:val="BodyText"/>
      </w:pPr>
      <w:r w:rsidRPr="00BE78CA">
        <w:t>Emissions from composting are included. No other emission sources for direct greenhouse gases are applicable to New Zealand and no other activity data are available.</w:t>
      </w:r>
    </w:p>
    <w:p w14:paraId="5B6B8D37" w14:textId="77777777" w:rsidR="00FB19C0" w:rsidRPr="00BE78CA" w:rsidRDefault="00FB19C0" w:rsidP="00FB19C0">
      <w:pPr>
        <w:pStyle w:val="Figure"/>
      </w:pPr>
      <w:bookmarkStart w:id="2791" w:name="_Toc68786684"/>
      <w:r w:rsidRPr="00BE78CA">
        <w:t>Figure 7.1.1</w:t>
      </w:r>
      <w:r w:rsidRPr="00BE78CA">
        <w:tab/>
        <w:t>Flows of solid waste generation and disposal in New Zealand</w:t>
      </w:r>
      <w:bookmarkEnd w:id="2791"/>
      <w:r w:rsidRPr="00BE78CA">
        <w:rPr>
          <w:bCs/>
          <w:iCs/>
        </w:rPr>
        <w:t xml:space="preserve"> </w:t>
      </w:r>
    </w:p>
    <w:p w14:paraId="481565F3" w14:textId="77777777" w:rsidR="00FB19C0" w:rsidRPr="00BE78CA" w:rsidRDefault="00FB19C0" w:rsidP="00FB19C0">
      <w:pPr>
        <w:pStyle w:val="BodyText"/>
        <w:rPr>
          <w:bCs/>
          <w:iCs/>
        </w:rPr>
      </w:pPr>
      <w:r w:rsidRPr="00BE78CA">
        <w:rPr>
          <w:bCs/>
          <w:iCs/>
          <w:noProof/>
        </w:rPr>
        <w:drawing>
          <wp:inline distT="0" distB="0" distL="0" distR="0" wp14:anchorId="0ECAF9E9" wp14:editId="1BE20ACE">
            <wp:extent cx="5353050" cy="2762883"/>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5381760" cy="2777701"/>
                    </a:xfrm>
                    <a:prstGeom prst="rect">
                      <a:avLst/>
                    </a:prstGeom>
                    <a:noFill/>
                  </pic:spPr>
                </pic:pic>
              </a:graphicData>
            </a:graphic>
          </wp:inline>
        </w:drawing>
      </w:r>
    </w:p>
    <w:p w14:paraId="77F4F57D" w14:textId="77777777" w:rsidR="00FB19C0" w:rsidRPr="00BE78CA" w:rsidRDefault="00FB19C0" w:rsidP="00C71947">
      <w:pPr>
        <w:pStyle w:val="BodyText"/>
        <w:spacing w:after="100"/>
      </w:pPr>
      <w:r w:rsidRPr="00BE78CA">
        <w:lastRenderedPageBreak/>
        <w:t>New Zealand reports emissions from Tokelau, which is a dependent territory of New Zealand. Emissions from Tokelau for all activities are reported in annex 7 of the National Inventory Report and within the ‘Other’ sector in the common reporting format (CRF) tables. This is due to the significantly different methods applied and the prohibitive complexity of integrating emissions within the main sectors. Therefore, all emissions reported in this sector are from New Zealand excluding Tokelau. Please refer to chapter 8 and annex 7 for details of methods applied and the emissions for Tokelau.</w:t>
      </w:r>
    </w:p>
    <w:p w14:paraId="0B7AB0ED" w14:textId="77777777" w:rsidR="00FB19C0" w:rsidRPr="00BE78CA" w:rsidRDefault="00FB19C0" w:rsidP="00FB19C0">
      <w:pPr>
        <w:pStyle w:val="Heading3"/>
      </w:pPr>
      <w:bookmarkStart w:id="2792" w:name="_Toc32828322"/>
      <w:r w:rsidRPr="00BE78CA">
        <w:t xml:space="preserve">7.1.2 </w:t>
      </w:r>
      <w:r w:rsidRPr="00BE78CA">
        <w:tab/>
        <w:t>Emissions summary</w:t>
      </w:r>
      <w:bookmarkEnd w:id="2792"/>
    </w:p>
    <w:p w14:paraId="7CE238F4" w14:textId="77777777" w:rsidR="00FB19C0" w:rsidRPr="00BE78CA" w:rsidRDefault="00FB19C0" w:rsidP="00FB19C0">
      <w:pPr>
        <w:pStyle w:val="BodyText"/>
      </w:pPr>
      <w:r w:rsidRPr="00BE78CA">
        <w:t>The Waste sector in New Zealand produces mainly CH</w:t>
      </w:r>
      <w:r w:rsidRPr="00BE78CA">
        <w:rPr>
          <w:vertAlign w:val="subscript"/>
        </w:rPr>
        <w:t>4</w:t>
      </w:r>
      <w:r w:rsidRPr="00BE78CA">
        <w:t xml:space="preserve"> emissions (92.3 per cent) followed by nitrous oxide (N</w:t>
      </w:r>
      <w:r w:rsidRPr="00BE78CA">
        <w:rPr>
          <w:vertAlign w:val="subscript"/>
        </w:rPr>
        <w:t>2</w:t>
      </w:r>
      <w:r w:rsidRPr="00BE78CA">
        <w:t>O) emissions (5.0 per cent) and carbon dioxide (CO</w:t>
      </w:r>
      <w:r w:rsidRPr="00BE78CA">
        <w:rPr>
          <w:vertAlign w:val="subscript"/>
        </w:rPr>
        <w:t>2</w:t>
      </w:r>
      <w:r w:rsidRPr="00BE78CA">
        <w:t xml:space="preserve">) emissions (2.7 per cent). </w:t>
      </w:r>
      <w:bookmarkStart w:id="2793" w:name="_Hlk63625868"/>
      <w:r w:rsidRPr="00BE78CA">
        <w:t xml:space="preserve">The Waste sector produces 8.8 per cent of gross methane emissions in New Zealand. </w:t>
      </w:r>
      <w:bookmarkEnd w:id="2793"/>
      <w:r w:rsidRPr="00BE78CA">
        <w:t>There are also emissions of CO</w:t>
      </w:r>
      <w:r w:rsidRPr="00BE78CA">
        <w:rPr>
          <w:vertAlign w:val="subscript"/>
        </w:rPr>
        <w:t>2</w:t>
      </w:r>
      <w:r w:rsidRPr="00BE78CA">
        <w:t xml:space="preserve"> from the disposal of solid waste, but these are of biogenic origin and are not reported.</w:t>
      </w:r>
    </w:p>
    <w:p w14:paraId="0DAFE613" w14:textId="77777777" w:rsidR="00FB19C0" w:rsidRPr="00BE78CA" w:rsidRDefault="00FB19C0" w:rsidP="00FB19C0">
      <w:pPr>
        <w:pStyle w:val="Heading5"/>
      </w:pPr>
      <w:r w:rsidRPr="00BE78CA">
        <w:t>2019</w:t>
      </w:r>
    </w:p>
    <w:p w14:paraId="301A1D14" w14:textId="77777777" w:rsidR="00FB19C0" w:rsidRPr="00BE78CA" w:rsidRDefault="00FB19C0" w:rsidP="00FB19C0">
      <w:pPr>
        <w:pStyle w:val="BodyText"/>
      </w:pPr>
      <w:r w:rsidRPr="00BE78CA">
        <w:t>In 2019, emissions from the Waste sector contributed 3,316.9 kilotonnes of carbon dioxide equivalent (kt CO</w:t>
      </w:r>
      <w:r w:rsidRPr="00BE78CA">
        <w:rPr>
          <w:vertAlign w:val="subscript"/>
        </w:rPr>
        <w:t>2</w:t>
      </w:r>
      <w:r w:rsidRPr="00BE78CA">
        <w:t xml:space="preserve">-e), or 4.0 per cent, of New Zealand’s gross greenhouse gas emissions. The largest source category is </w:t>
      </w:r>
      <w:r w:rsidRPr="00BE78CA">
        <w:rPr>
          <w:i/>
        </w:rPr>
        <w:t>Solid waste disposal</w:t>
      </w:r>
      <w:r w:rsidRPr="00BE78CA">
        <w:t>, as shown in table 7.1.1 (emissions by source category).</w:t>
      </w:r>
    </w:p>
    <w:p w14:paraId="74DA4840" w14:textId="77777777" w:rsidR="00FB19C0" w:rsidRPr="00BE78CA" w:rsidRDefault="00FB19C0" w:rsidP="00FB19C0">
      <w:pPr>
        <w:pStyle w:val="Heading5"/>
      </w:pPr>
      <w:r w:rsidRPr="00BE78CA">
        <w:t>1990–2019</w:t>
      </w:r>
    </w:p>
    <w:p w14:paraId="7512C418" w14:textId="77777777" w:rsidR="00FB19C0" w:rsidRPr="00BE78CA" w:rsidRDefault="00FB19C0" w:rsidP="00FB19C0">
      <w:pPr>
        <w:pStyle w:val="BodyText"/>
        <w:rPr>
          <w:rFonts w:eastAsia="+mn-ea"/>
        </w:rPr>
      </w:pPr>
      <w:r w:rsidRPr="00BE78CA">
        <w:rPr>
          <w:rFonts w:eastAsia="+mn-ea"/>
        </w:rPr>
        <w:t>In 2019, emissions from the Waste sector decreased by 16.3 per cent (644.4 kt CO</w:t>
      </w:r>
      <w:r w:rsidRPr="00BE78CA">
        <w:rPr>
          <w:rFonts w:eastAsia="+mn-ea"/>
          <w:vertAlign w:val="subscript"/>
        </w:rPr>
        <w:t>2</w:t>
      </w:r>
      <w:r w:rsidRPr="00BE78CA">
        <w:rPr>
          <w:rFonts w:eastAsia="+mn-ea"/>
        </w:rPr>
        <w:t>-e), from 3,961.3 kt CO</w:t>
      </w:r>
      <w:r w:rsidRPr="00BE78CA">
        <w:rPr>
          <w:rFonts w:eastAsia="+mn-ea"/>
          <w:vertAlign w:val="subscript"/>
        </w:rPr>
        <w:t>2</w:t>
      </w:r>
      <w:r w:rsidRPr="00BE78CA">
        <w:rPr>
          <w:rFonts w:eastAsia="+mn-ea"/>
        </w:rPr>
        <w:t>-e in 1990. Annual emissions increased between 1990 and 2002, peaking at 4,493.3 kt CO</w:t>
      </w:r>
      <w:r w:rsidRPr="00BE78CA">
        <w:rPr>
          <w:rFonts w:eastAsia="+mn-ea"/>
          <w:vertAlign w:val="subscript"/>
        </w:rPr>
        <w:t>2</w:t>
      </w:r>
      <w:r w:rsidRPr="00BE78CA">
        <w:rPr>
          <w:rFonts w:eastAsia="+mn-ea"/>
        </w:rPr>
        <w:t xml:space="preserve">-e in 2002, and have generally decreased since that time. Growth in population and economic activity since 1990 has resulted in increasing volumes of solid waste and wastewater for the whole of the time series. Ongoing improvements in the management of solid waste disposal at municipal landfills have meant total Waste sector emissions have been trending down since 2005 in spite of increasing volumes of solid waste and wastewater. The reduction in emissions is particularly the result of increased </w:t>
      </w:r>
      <w:r w:rsidRPr="00BE78CA">
        <w:t>CH</w:t>
      </w:r>
      <w:r w:rsidRPr="00BE78CA">
        <w:rPr>
          <w:vertAlign w:val="subscript"/>
        </w:rPr>
        <w:t>4</w:t>
      </w:r>
      <w:r w:rsidRPr="00BE78CA">
        <w:rPr>
          <w:rFonts w:eastAsia="+mn-ea"/>
        </w:rPr>
        <w:t xml:space="preserve"> recovery driven by the National Environmental Standards for Air Quality introduced in 2004 and also by the </w:t>
      </w:r>
      <w:r w:rsidRPr="00BE78CA">
        <w:t>New Zealand Emissions Trading Scheme (</w:t>
      </w:r>
      <w:r w:rsidRPr="00BE78CA">
        <w:rPr>
          <w:rFonts w:eastAsia="+mn-ea"/>
        </w:rPr>
        <w:t xml:space="preserve">NZ ETS) since 2013. </w:t>
      </w:r>
      <w:r w:rsidRPr="00BE78CA">
        <w:t>The trends are shown in figure 7.1.2 and figure 7.1.3.</w:t>
      </w:r>
    </w:p>
    <w:p w14:paraId="6BF9CEDE" w14:textId="77777777" w:rsidR="00FB19C0" w:rsidRPr="00BE78CA" w:rsidRDefault="00FB19C0" w:rsidP="00FB19C0">
      <w:pPr>
        <w:pStyle w:val="Heading5"/>
      </w:pPr>
      <w:r w:rsidRPr="00BE78CA">
        <w:t>2018–2019</w:t>
      </w:r>
    </w:p>
    <w:p w14:paraId="6982081E" w14:textId="77777777" w:rsidR="00FB19C0" w:rsidRPr="00BE78CA" w:rsidRDefault="00FB19C0" w:rsidP="00FB19C0">
      <w:pPr>
        <w:pStyle w:val="BodyText"/>
      </w:pPr>
      <w:r w:rsidRPr="00BE78CA">
        <w:t>Between 2018 and 2019, emissions from the Waste sector decreased by 48.4 kt CO</w:t>
      </w:r>
      <w:r w:rsidRPr="00BE78CA">
        <w:rPr>
          <w:vertAlign w:val="subscript"/>
        </w:rPr>
        <w:t>2</w:t>
      </w:r>
      <w:r w:rsidRPr="00BE78CA">
        <w:t>-e (1.4 per cent). This decrease is largely the result of decreases in CH</w:t>
      </w:r>
      <w:r w:rsidRPr="00BE78CA">
        <w:rPr>
          <w:vertAlign w:val="subscript"/>
        </w:rPr>
        <w:t>4</w:t>
      </w:r>
      <w:r w:rsidRPr="00BE78CA">
        <w:t xml:space="preserve"> emissions in the</w:t>
      </w:r>
      <w:r w:rsidRPr="00BE78CA">
        <w:rPr>
          <w:i/>
        </w:rPr>
        <w:t xml:space="preserve"> Solid waste disposal</w:t>
      </w:r>
      <w:r w:rsidRPr="00BE78CA">
        <w:t xml:space="preserve"> category, due to changes in the composition of waste disposed to municipal landfills.</w:t>
      </w:r>
    </w:p>
    <w:p w14:paraId="3C7E4F46" w14:textId="7D96520D" w:rsidR="00FB19C0" w:rsidRPr="00BE78CA" w:rsidRDefault="00FB19C0" w:rsidP="00FB19C0">
      <w:pPr>
        <w:pStyle w:val="Table"/>
      </w:pPr>
      <w:bookmarkStart w:id="2794" w:name="_Toc378853271"/>
      <w:bookmarkStart w:id="2795" w:name="_Toc352504983"/>
      <w:bookmarkStart w:id="2796" w:name="_Toc342470743"/>
      <w:bookmarkStart w:id="2797" w:name="_Toc318362681"/>
      <w:bookmarkStart w:id="2798" w:name="_Toc310423388"/>
      <w:bookmarkStart w:id="2799" w:name="_Toc481751597"/>
      <w:bookmarkStart w:id="2800" w:name="_Toc451176167"/>
      <w:bookmarkStart w:id="2801" w:name="_Toc444001615"/>
      <w:bookmarkStart w:id="2802" w:name="_Toc5269559"/>
      <w:bookmarkStart w:id="2803" w:name="_Toc511116818"/>
      <w:bookmarkStart w:id="2804" w:name="_Toc508019320"/>
      <w:bookmarkStart w:id="2805" w:name="_Toc32828516"/>
      <w:bookmarkStart w:id="2806" w:name="_Toc32591346"/>
      <w:bookmarkStart w:id="2807" w:name="_Toc36224639"/>
      <w:bookmarkStart w:id="2808" w:name="_Toc68786526"/>
      <w:r w:rsidRPr="00BE78CA">
        <w:lastRenderedPageBreak/>
        <w:t xml:space="preserve">Table 7.1.1 </w:t>
      </w:r>
      <w:r w:rsidRPr="00BE78CA">
        <w:tab/>
        <w:t xml:space="preserve">New Zealand’s greenhouse gas emissions for the Waste sector </w:t>
      </w:r>
      <w:bookmarkEnd w:id="2794"/>
      <w:bookmarkEnd w:id="2795"/>
      <w:bookmarkEnd w:id="2796"/>
      <w:bookmarkEnd w:id="2797"/>
      <w:bookmarkEnd w:id="2798"/>
      <w:r w:rsidRPr="00BE78CA">
        <w:t>by source category</w:t>
      </w:r>
      <w:bookmarkEnd w:id="2799"/>
      <w:bookmarkEnd w:id="2800"/>
      <w:bookmarkEnd w:id="2801"/>
      <w:r w:rsidRPr="00BE78CA">
        <w:br/>
        <w:t xml:space="preserve">in 1990 and </w:t>
      </w:r>
      <w:bookmarkEnd w:id="2802"/>
      <w:bookmarkEnd w:id="2803"/>
      <w:bookmarkEnd w:id="2804"/>
      <w:bookmarkEnd w:id="2805"/>
      <w:bookmarkEnd w:id="2806"/>
      <w:bookmarkEnd w:id="2807"/>
      <w:r w:rsidRPr="00BE78CA">
        <w:t>2019</w:t>
      </w:r>
      <w:bookmarkEnd w:id="2808"/>
    </w:p>
    <w:tbl>
      <w:tblPr>
        <w:tblW w:w="8505" w:type="dxa"/>
        <w:tblLayout w:type="fixed"/>
        <w:tblLook w:val="04A0" w:firstRow="1" w:lastRow="0" w:firstColumn="1" w:lastColumn="0" w:noHBand="0" w:noVBand="1"/>
      </w:tblPr>
      <w:tblGrid>
        <w:gridCol w:w="3239"/>
        <w:gridCol w:w="985"/>
        <w:gridCol w:w="845"/>
        <w:gridCol w:w="987"/>
        <w:gridCol w:w="985"/>
        <w:gridCol w:w="704"/>
        <w:gridCol w:w="760"/>
      </w:tblGrid>
      <w:tr w:rsidR="00FB19C0" w:rsidRPr="00BE78CA" w14:paraId="2CAB88AB" w14:textId="77777777" w:rsidTr="00C71947">
        <w:tc>
          <w:tcPr>
            <w:tcW w:w="1904" w:type="pct"/>
            <w:tcBorders>
              <w:top w:val="single" w:sz="4" w:space="0" w:color="365F91"/>
              <w:left w:val="nil"/>
              <w:bottom w:val="single" w:sz="4" w:space="0" w:color="365F91"/>
              <w:right w:val="nil"/>
            </w:tcBorders>
            <w:shd w:val="clear" w:color="auto" w:fill="365F91"/>
          </w:tcPr>
          <w:p w14:paraId="54B40B3E" w14:textId="77777777" w:rsidR="00FB19C0" w:rsidRPr="00BE78CA" w:rsidRDefault="00FB19C0" w:rsidP="00C26084">
            <w:pPr>
              <w:pStyle w:val="TableTextBold"/>
              <w:keepNext/>
              <w:jc w:val="center"/>
              <w:rPr>
                <w:noProof w:val="0"/>
                <w:color w:val="FFFFFF" w:themeColor="background1"/>
              </w:rPr>
            </w:pPr>
          </w:p>
        </w:tc>
        <w:tc>
          <w:tcPr>
            <w:tcW w:w="1076" w:type="pct"/>
            <w:gridSpan w:val="2"/>
            <w:tcBorders>
              <w:top w:val="single" w:sz="4" w:space="0" w:color="365F91"/>
              <w:left w:val="nil"/>
              <w:bottom w:val="single" w:sz="4" w:space="0" w:color="365F91"/>
              <w:right w:val="nil"/>
            </w:tcBorders>
            <w:shd w:val="clear" w:color="auto" w:fill="365F91"/>
            <w:vAlign w:val="bottom"/>
            <w:hideMark/>
          </w:tcPr>
          <w:p w14:paraId="1A20290F" w14:textId="77777777" w:rsidR="00FB19C0" w:rsidRPr="00BE78CA" w:rsidRDefault="00FB19C0" w:rsidP="00C26084">
            <w:pPr>
              <w:pStyle w:val="TableTextBold"/>
              <w:keepNext/>
              <w:jc w:val="center"/>
              <w:rPr>
                <w:noProof w:val="0"/>
                <w:color w:val="FFFFFF" w:themeColor="background1"/>
              </w:rPr>
            </w:pPr>
            <w:r w:rsidRPr="00BE78CA">
              <w:rPr>
                <w:noProof w:val="0"/>
                <w:color w:val="FFFFFF" w:themeColor="background1"/>
              </w:rPr>
              <w:t>Emissions (kt CO</w:t>
            </w:r>
            <w:r w:rsidRPr="00BE78CA">
              <w:rPr>
                <w:noProof w:val="0"/>
                <w:color w:val="FFFFFF" w:themeColor="background1"/>
                <w:vertAlign w:val="subscript"/>
              </w:rPr>
              <w:t>2</w:t>
            </w:r>
            <w:r w:rsidRPr="00BE78CA">
              <w:rPr>
                <w:noProof w:val="0"/>
                <w:color w:val="FFFFFF" w:themeColor="background1"/>
              </w:rPr>
              <w:t>-e)</w:t>
            </w:r>
          </w:p>
        </w:tc>
        <w:tc>
          <w:tcPr>
            <w:tcW w:w="580" w:type="pct"/>
            <w:tcBorders>
              <w:top w:val="single" w:sz="4" w:space="0" w:color="365F91"/>
              <w:left w:val="nil"/>
              <w:bottom w:val="single" w:sz="4" w:space="0" w:color="365F91"/>
              <w:right w:val="nil"/>
            </w:tcBorders>
            <w:shd w:val="clear" w:color="auto" w:fill="365F91"/>
            <w:vAlign w:val="bottom"/>
            <w:hideMark/>
          </w:tcPr>
          <w:p w14:paraId="5ED3EEA0" w14:textId="77777777" w:rsidR="00FB19C0" w:rsidRPr="00BE78CA" w:rsidRDefault="00FB19C0" w:rsidP="00C26084">
            <w:pPr>
              <w:pStyle w:val="TableTextBold"/>
              <w:keepNext/>
              <w:jc w:val="center"/>
              <w:rPr>
                <w:noProof w:val="0"/>
                <w:color w:val="FFFFFF" w:themeColor="background1"/>
              </w:rPr>
            </w:pPr>
            <w:r w:rsidRPr="00BE78CA">
              <w:rPr>
                <w:noProof w:val="0"/>
                <w:color w:val="FFFFFF" w:themeColor="background1"/>
              </w:rPr>
              <w:t>Difference (kt CO</w:t>
            </w:r>
            <w:r w:rsidRPr="00BE78CA">
              <w:rPr>
                <w:noProof w:val="0"/>
                <w:color w:val="FFFFFF" w:themeColor="background1"/>
                <w:vertAlign w:val="subscript"/>
              </w:rPr>
              <w:t>2</w:t>
            </w:r>
            <w:r w:rsidRPr="00BE78CA">
              <w:rPr>
                <w:noProof w:val="0"/>
                <w:color w:val="FFFFFF" w:themeColor="background1"/>
              </w:rPr>
              <w:t>-e)</w:t>
            </w:r>
          </w:p>
        </w:tc>
        <w:tc>
          <w:tcPr>
            <w:tcW w:w="579" w:type="pct"/>
            <w:tcBorders>
              <w:top w:val="single" w:sz="4" w:space="0" w:color="365F91"/>
              <w:left w:val="nil"/>
              <w:bottom w:val="single" w:sz="4" w:space="0" w:color="365F91"/>
              <w:right w:val="nil"/>
            </w:tcBorders>
            <w:shd w:val="clear" w:color="auto" w:fill="365F91"/>
            <w:vAlign w:val="bottom"/>
            <w:hideMark/>
          </w:tcPr>
          <w:p w14:paraId="03766996" w14:textId="77777777" w:rsidR="00FB19C0" w:rsidRPr="00BE78CA" w:rsidRDefault="00FB19C0" w:rsidP="00C26084">
            <w:pPr>
              <w:pStyle w:val="TableTextBold"/>
              <w:keepNext/>
              <w:jc w:val="center"/>
              <w:rPr>
                <w:noProof w:val="0"/>
                <w:color w:val="FFFFFF" w:themeColor="background1"/>
              </w:rPr>
            </w:pPr>
            <w:r w:rsidRPr="00BE78CA">
              <w:rPr>
                <w:noProof w:val="0"/>
                <w:color w:val="FFFFFF" w:themeColor="background1"/>
              </w:rPr>
              <w:t>Change (%)</w:t>
            </w:r>
          </w:p>
        </w:tc>
        <w:tc>
          <w:tcPr>
            <w:tcW w:w="861" w:type="pct"/>
            <w:gridSpan w:val="2"/>
            <w:tcBorders>
              <w:top w:val="single" w:sz="4" w:space="0" w:color="365F91"/>
              <w:left w:val="nil"/>
              <w:bottom w:val="single" w:sz="4" w:space="0" w:color="365F91"/>
              <w:right w:val="nil"/>
            </w:tcBorders>
            <w:shd w:val="clear" w:color="auto" w:fill="365F91"/>
            <w:vAlign w:val="bottom"/>
            <w:hideMark/>
          </w:tcPr>
          <w:p w14:paraId="70BD63D3" w14:textId="77777777" w:rsidR="00FB19C0" w:rsidRPr="00BE78CA" w:rsidRDefault="00FB19C0" w:rsidP="00C26084">
            <w:pPr>
              <w:pStyle w:val="TableTextBold"/>
              <w:keepNext/>
              <w:jc w:val="center"/>
              <w:rPr>
                <w:noProof w:val="0"/>
                <w:color w:val="FFFFFF" w:themeColor="background1"/>
              </w:rPr>
            </w:pPr>
            <w:r w:rsidRPr="00BE78CA">
              <w:rPr>
                <w:noProof w:val="0"/>
                <w:color w:val="FFFFFF" w:themeColor="background1"/>
              </w:rPr>
              <w:t>Share (%)</w:t>
            </w:r>
          </w:p>
        </w:tc>
      </w:tr>
      <w:tr w:rsidR="00FB19C0" w:rsidRPr="00BE78CA" w14:paraId="75BF3B79" w14:textId="77777777" w:rsidTr="00C71947">
        <w:tc>
          <w:tcPr>
            <w:tcW w:w="1904" w:type="pct"/>
            <w:tcBorders>
              <w:top w:val="single" w:sz="4" w:space="0" w:color="365F91"/>
              <w:left w:val="nil"/>
              <w:bottom w:val="single" w:sz="4" w:space="0" w:color="365F91"/>
              <w:right w:val="nil"/>
            </w:tcBorders>
            <w:shd w:val="clear" w:color="auto" w:fill="FFFFFF"/>
            <w:hideMark/>
          </w:tcPr>
          <w:p w14:paraId="4BA6DB11" w14:textId="77777777" w:rsidR="00FB19C0" w:rsidRPr="00BE78CA" w:rsidRDefault="00FB19C0" w:rsidP="00C26084">
            <w:pPr>
              <w:pStyle w:val="Tableboldblue"/>
              <w:keepNext/>
            </w:pPr>
            <w:r w:rsidRPr="00BE78CA">
              <w:t>Source category</w:t>
            </w:r>
          </w:p>
        </w:tc>
        <w:tc>
          <w:tcPr>
            <w:tcW w:w="579" w:type="pct"/>
            <w:tcBorders>
              <w:top w:val="single" w:sz="4" w:space="0" w:color="365F91"/>
              <w:left w:val="nil"/>
              <w:bottom w:val="single" w:sz="4" w:space="0" w:color="365F91"/>
              <w:right w:val="nil"/>
            </w:tcBorders>
            <w:shd w:val="clear" w:color="auto" w:fill="FFFFFF"/>
            <w:vAlign w:val="bottom"/>
            <w:hideMark/>
          </w:tcPr>
          <w:p w14:paraId="5B2EF7F0" w14:textId="77777777" w:rsidR="00FB19C0" w:rsidRPr="00BE78CA" w:rsidRDefault="00FB19C0" w:rsidP="00C26084">
            <w:pPr>
              <w:pStyle w:val="Tableboldblue"/>
              <w:keepNext/>
              <w:jc w:val="center"/>
            </w:pPr>
            <w:r w:rsidRPr="00BE78CA">
              <w:t>1990</w:t>
            </w:r>
          </w:p>
        </w:tc>
        <w:tc>
          <w:tcPr>
            <w:tcW w:w="497" w:type="pct"/>
            <w:tcBorders>
              <w:top w:val="single" w:sz="4" w:space="0" w:color="365F91"/>
              <w:left w:val="nil"/>
              <w:bottom w:val="single" w:sz="4" w:space="0" w:color="365F91"/>
              <w:right w:val="nil"/>
            </w:tcBorders>
            <w:shd w:val="clear" w:color="auto" w:fill="FFFFFF"/>
            <w:vAlign w:val="bottom"/>
            <w:hideMark/>
          </w:tcPr>
          <w:p w14:paraId="33EA8715" w14:textId="77777777" w:rsidR="00FB19C0" w:rsidRPr="00BE78CA" w:rsidRDefault="00FB19C0" w:rsidP="00C26084">
            <w:pPr>
              <w:pStyle w:val="Tableboldblue"/>
              <w:keepNext/>
              <w:jc w:val="center"/>
            </w:pPr>
            <w:r w:rsidRPr="00BE78CA">
              <w:t>2019</w:t>
            </w:r>
          </w:p>
        </w:tc>
        <w:tc>
          <w:tcPr>
            <w:tcW w:w="580" w:type="pct"/>
            <w:tcBorders>
              <w:top w:val="single" w:sz="4" w:space="0" w:color="365F91"/>
              <w:left w:val="nil"/>
              <w:bottom w:val="single" w:sz="4" w:space="0" w:color="365F91"/>
              <w:right w:val="nil"/>
            </w:tcBorders>
            <w:shd w:val="clear" w:color="auto" w:fill="FFFFFF"/>
            <w:vAlign w:val="bottom"/>
            <w:hideMark/>
          </w:tcPr>
          <w:p w14:paraId="474D02C0" w14:textId="77777777" w:rsidR="00FB19C0" w:rsidRPr="00BE78CA" w:rsidRDefault="00FB19C0" w:rsidP="00C26084">
            <w:pPr>
              <w:pStyle w:val="Tableboldblue"/>
              <w:keepNext/>
              <w:jc w:val="center"/>
            </w:pPr>
            <w:r w:rsidRPr="00BE78CA">
              <w:t>1990–2019</w:t>
            </w:r>
          </w:p>
        </w:tc>
        <w:tc>
          <w:tcPr>
            <w:tcW w:w="579" w:type="pct"/>
            <w:tcBorders>
              <w:top w:val="single" w:sz="4" w:space="0" w:color="365F91"/>
              <w:left w:val="nil"/>
              <w:bottom w:val="single" w:sz="4" w:space="0" w:color="365F91"/>
              <w:right w:val="nil"/>
            </w:tcBorders>
            <w:shd w:val="clear" w:color="auto" w:fill="FFFFFF"/>
            <w:vAlign w:val="bottom"/>
            <w:hideMark/>
          </w:tcPr>
          <w:p w14:paraId="706F5C95" w14:textId="77777777" w:rsidR="00FB19C0" w:rsidRPr="00BE78CA" w:rsidRDefault="00FB19C0" w:rsidP="00C26084">
            <w:pPr>
              <w:pStyle w:val="Tableboldblue"/>
              <w:keepNext/>
              <w:jc w:val="center"/>
            </w:pPr>
            <w:r w:rsidRPr="00BE78CA">
              <w:t>1990–2019</w:t>
            </w:r>
          </w:p>
        </w:tc>
        <w:tc>
          <w:tcPr>
            <w:tcW w:w="414" w:type="pct"/>
            <w:tcBorders>
              <w:top w:val="single" w:sz="4" w:space="0" w:color="365F91"/>
              <w:left w:val="nil"/>
              <w:bottom w:val="single" w:sz="4" w:space="0" w:color="365F91"/>
              <w:right w:val="nil"/>
            </w:tcBorders>
            <w:shd w:val="clear" w:color="auto" w:fill="FFFFFF"/>
            <w:vAlign w:val="bottom"/>
            <w:hideMark/>
          </w:tcPr>
          <w:p w14:paraId="7B3FC25A" w14:textId="77777777" w:rsidR="00FB19C0" w:rsidRPr="00BE78CA" w:rsidRDefault="00FB19C0" w:rsidP="00C26084">
            <w:pPr>
              <w:pStyle w:val="Tableboldblue"/>
              <w:keepNext/>
              <w:jc w:val="center"/>
            </w:pPr>
            <w:r w:rsidRPr="00BE78CA">
              <w:t>1990</w:t>
            </w:r>
          </w:p>
        </w:tc>
        <w:tc>
          <w:tcPr>
            <w:tcW w:w="447" w:type="pct"/>
            <w:tcBorders>
              <w:top w:val="single" w:sz="4" w:space="0" w:color="365F91"/>
              <w:left w:val="nil"/>
              <w:bottom w:val="single" w:sz="4" w:space="0" w:color="365F91"/>
              <w:right w:val="nil"/>
            </w:tcBorders>
            <w:shd w:val="clear" w:color="auto" w:fill="FFFFFF"/>
            <w:vAlign w:val="bottom"/>
            <w:hideMark/>
          </w:tcPr>
          <w:p w14:paraId="580FEB35" w14:textId="77777777" w:rsidR="00FB19C0" w:rsidRPr="00BE78CA" w:rsidRDefault="00FB19C0" w:rsidP="00C26084">
            <w:pPr>
              <w:pStyle w:val="Tableboldblue"/>
              <w:keepNext/>
              <w:jc w:val="center"/>
            </w:pPr>
            <w:r w:rsidRPr="00BE78CA">
              <w:t>2019</w:t>
            </w:r>
          </w:p>
        </w:tc>
      </w:tr>
      <w:tr w:rsidR="00FB19C0" w:rsidRPr="00BE78CA" w14:paraId="5B7A3EEC" w14:textId="77777777" w:rsidTr="00C71947">
        <w:tc>
          <w:tcPr>
            <w:tcW w:w="1904" w:type="pct"/>
            <w:tcBorders>
              <w:top w:val="single" w:sz="4" w:space="0" w:color="365F91"/>
              <w:left w:val="nil"/>
              <w:bottom w:val="single" w:sz="4" w:space="0" w:color="365F91"/>
              <w:right w:val="nil"/>
            </w:tcBorders>
            <w:hideMark/>
          </w:tcPr>
          <w:p w14:paraId="44598E63" w14:textId="77777777" w:rsidR="00FB19C0" w:rsidRPr="00BE78CA" w:rsidRDefault="00FB19C0" w:rsidP="00C26084">
            <w:pPr>
              <w:pStyle w:val="TableText"/>
              <w:keepNext/>
            </w:pPr>
            <w:r w:rsidRPr="00BE78CA">
              <w:t>Solid waste disposal (5.A)</w:t>
            </w:r>
          </w:p>
        </w:tc>
        <w:tc>
          <w:tcPr>
            <w:tcW w:w="579" w:type="pct"/>
            <w:tcBorders>
              <w:top w:val="single" w:sz="4" w:space="0" w:color="365F91"/>
              <w:left w:val="nil"/>
              <w:bottom w:val="single" w:sz="4" w:space="0" w:color="365F91"/>
              <w:right w:val="nil"/>
            </w:tcBorders>
            <w:hideMark/>
          </w:tcPr>
          <w:p w14:paraId="3AB84880" w14:textId="77777777" w:rsidR="00FB19C0" w:rsidRPr="00BE78CA" w:rsidRDefault="00FB19C0" w:rsidP="00C26084">
            <w:pPr>
              <w:pStyle w:val="TableText"/>
              <w:keepNext/>
              <w:tabs>
                <w:tab w:val="decimal" w:pos="598"/>
              </w:tabs>
              <w:jc w:val="center"/>
              <w:rPr>
                <w:rFonts w:cs="Arial"/>
              </w:rPr>
            </w:pPr>
            <w:r w:rsidRPr="00BE78CA">
              <w:t>3,337.8</w:t>
            </w:r>
          </w:p>
        </w:tc>
        <w:tc>
          <w:tcPr>
            <w:tcW w:w="497" w:type="pct"/>
            <w:tcBorders>
              <w:top w:val="single" w:sz="4" w:space="0" w:color="365F91"/>
              <w:left w:val="nil"/>
              <w:bottom w:val="single" w:sz="4" w:space="0" w:color="365F91"/>
              <w:right w:val="nil"/>
            </w:tcBorders>
            <w:hideMark/>
          </w:tcPr>
          <w:p w14:paraId="4AC23CDA" w14:textId="77777777" w:rsidR="00FB19C0" w:rsidRPr="00BE78CA" w:rsidRDefault="00FB19C0" w:rsidP="00C26084">
            <w:pPr>
              <w:pStyle w:val="TableText"/>
              <w:keepNext/>
              <w:tabs>
                <w:tab w:val="decimal" w:pos="285"/>
              </w:tabs>
              <w:jc w:val="center"/>
            </w:pPr>
            <w:r w:rsidRPr="00BE78CA">
              <w:t>2,692.9</w:t>
            </w:r>
          </w:p>
        </w:tc>
        <w:tc>
          <w:tcPr>
            <w:tcW w:w="580" w:type="pct"/>
            <w:tcBorders>
              <w:top w:val="single" w:sz="4" w:space="0" w:color="365F91"/>
              <w:left w:val="nil"/>
              <w:bottom w:val="single" w:sz="4" w:space="0" w:color="365F91"/>
              <w:right w:val="nil"/>
            </w:tcBorders>
            <w:hideMark/>
          </w:tcPr>
          <w:p w14:paraId="18A555AF" w14:textId="77777777" w:rsidR="00FB19C0" w:rsidRPr="00BE78CA" w:rsidRDefault="00FB19C0" w:rsidP="00C26084">
            <w:pPr>
              <w:pStyle w:val="TableText"/>
              <w:keepNext/>
              <w:tabs>
                <w:tab w:val="decimal" w:pos="490"/>
              </w:tabs>
              <w:jc w:val="center"/>
            </w:pPr>
            <w:r w:rsidRPr="00BE78CA">
              <w:t>–644.9</w:t>
            </w:r>
          </w:p>
        </w:tc>
        <w:tc>
          <w:tcPr>
            <w:tcW w:w="579" w:type="pct"/>
            <w:tcBorders>
              <w:top w:val="single" w:sz="4" w:space="0" w:color="365F91"/>
              <w:left w:val="nil"/>
              <w:bottom w:val="single" w:sz="4" w:space="0" w:color="365F91"/>
              <w:right w:val="nil"/>
            </w:tcBorders>
            <w:hideMark/>
          </w:tcPr>
          <w:p w14:paraId="19D4CFED" w14:textId="77777777" w:rsidR="00FB19C0" w:rsidRPr="00BE78CA" w:rsidRDefault="00FB19C0" w:rsidP="00C26084">
            <w:pPr>
              <w:pStyle w:val="TableText"/>
              <w:keepNext/>
              <w:tabs>
                <w:tab w:val="decimal" w:pos="491"/>
              </w:tabs>
              <w:jc w:val="center"/>
            </w:pPr>
            <w:r w:rsidRPr="00BE78CA">
              <w:t>–19.3</w:t>
            </w:r>
          </w:p>
        </w:tc>
        <w:tc>
          <w:tcPr>
            <w:tcW w:w="414" w:type="pct"/>
            <w:tcBorders>
              <w:top w:val="single" w:sz="4" w:space="0" w:color="365F91"/>
              <w:left w:val="nil"/>
              <w:bottom w:val="single" w:sz="4" w:space="0" w:color="365F91"/>
              <w:right w:val="nil"/>
            </w:tcBorders>
            <w:hideMark/>
          </w:tcPr>
          <w:p w14:paraId="1439772A" w14:textId="77777777" w:rsidR="00FB19C0" w:rsidRPr="00BE78CA" w:rsidRDefault="00FB19C0" w:rsidP="00C26084">
            <w:pPr>
              <w:pStyle w:val="TableText"/>
              <w:keepNext/>
              <w:tabs>
                <w:tab w:val="decimal" w:pos="209"/>
              </w:tabs>
              <w:jc w:val="center"/>
            </w:pPr>
            <w:r w:rsidRPr="00BE78CA">
              <w:t>84.3</w:t>
            </w:r>
          </w:p>
        </w:tc>
        <w:tc>
          <w:tcPr>
            <w:tcW w:w="447" w:type="pct"/>
            <w:tcBorders>
              <w:top w:val="single" w:sz="4" w:space="0" w:color="365F91"/>
              <w:left w:val="nil"/>
              <w:bottom w:val="single" w:sz="4" w:space="0" w:color="365F91"/>
              <w:right w:val="nil"/>
            </w:tcBorders>
            <w:hideMark/>
          </w:tcPr>
          <w:p w14:paraId="7B9D4558" w14:textId="77777777" w:rsidR="00FB19C0" w:rsidRPr="00BE78CA" w:rsidRDefault="00FB19C0" w:rsidP="00C26084">
            <w:pPr>
              <w:pStyle w:val="TableText"/>
              <w:keepNext/>
              <w:tabs>
                <w:tab w:val="decimal" w:pos="163"/>
              </w:tabs>
              <w:jc w:val="center"/>
            </w:pPr>
            <w:r w:rsidRPr="00BE78CA">
              <w:t>81.2</w:t>
            </w:r>
          </w:p>
        </w:tc>
      </w:tr>
      <w:tr w:rsidR="00FB19C0" w:rsidRPr="00BE78CA" w14:paraId="1350C7A9" w14:textId="77777777" w:rsidTr="00C71947">
        <w:tc>
          <w:tcPr>
            <w:tcW w:w="1904" w:type="pct"/>
            <w:tcBorders>
              <w:top w:val="single" w:sz="4" w:space="0" w:color="365F91"/>
              <w:left w:val="nil"/>
              <w:bottom w:val="single" w:sz="4" w:space="0" w:color="365F91"/>
              <w:right w:val="nil"/>
            </w:tcBorders>
            <w:hideMark/>
          </w:tcPr>
          <w:p w14:paraId="7BCCCA9C" w14:textId="77777777" w:rsidR="00FB19C0" w:rsidRPr="00BE78CA" w:rsidRDefault="00FB19C0" w:rsidP="00C26084">
            <w:pPr>
              <w:pStyle w:val="TableText"/>
              <w:keepNext/>
            </w:pPr>
            <w:r w:rsidRPr="00BE78CA">
              <w:t>Biological treatment of solid waste (5.B)</w:t>
            </w:r>
          </w:p>
        </w:tc>
        <w:tc>
          <w:tcPr>
            <w:tcW w:w="579" w:type="pct"/>
            <w:tcBorders>
              <w:top w:val="single" w:sz="4" w:space="0" w:color="365F91"/>
              <w:left w:val="nil"/>
              <w:bottom w:val="single" w:sz="4" w:space="0" w:color="365F91"/>
              <w:right w:val="nil"/>
            </w:tcBorders>
            <w:hideMark/>
          </w:tcPr>
          <w:p w14:paraId="7A85AB91" w14:textId="77777777" w:rsidR="00FB19C0" w:rsidRPr="00BE78CA" w:rsidRDefault="00FB19C0" w:rsidP="00C26084">
            <w:pPr>
              <w:pStyle w:val="TableText"/>
              <w:keepNext/>
              <w:tabs>
                <w:tab w:val="decimal" w:pos="488"/>
              </w:tabs>
              <w:jc w:val="center"/>
            </w:pPr>
            <w:r w:rsidRPr="00BE78CA">
              <w:t>4.7</w:t>
            </w:r>
          </w:p>
        </w:tc>
        <w:tc>
          <w:tcPr>
            <w:tcW w:w="497" w:type="pct"/>
            <w:tcBorders>
              <w:top w:val="single" w:sz="4" w:space="0" w:color="365F91"/>
              <w:left w:val="nil"/>
              <w:bottom w:val="single" w:sz="4" w:space="0" w:color="365F91"/>
              <w:right w:val="nil"/>
            </w:tcBorders>
            <w:hideMark/>
          </w:tcPr>
          <w:p w14:paraId="7513E544" w14:textId="77777777" w:rsidR="00FB19C0" w:rsidRPr="00BE78CA" w:rsidRDefault="00FB19C0" w:rsidP="00C26084">
            <w:pPr>
              <w:pStyle w:val="TableText"/>
              <w:keepNext/>
              <w:tabs>
                <w:tab w:val="decimal" w:pos="285"/>
              </w:tabs>
              <w:jc w:val="center"/>
            </w:pPr>
            <w:r w:rsidRPr="00BE78CA">
              <w:t>65.2</w:t>
            </w:r>
          </w:p>
        </w:tc>
        <w:tc>
          <w:tcPr>
            <w:tcW w:w="580" w:type="pct"/>
            <w:tcBorders>
              <w:top w:val="single" w:sz="4" w:space="0" w:color="365F91"/>
              <w:left w:val="nil"/>
              <w:bottom w:val="single" w:sz="4" w:space="0" w:color="365F91"/>
              <w:right w:val="nil"/>
            </w:tcBorders>
            <w:hideMark/>
          </w:tcPr>
          <w:p w14:paraId="174F4AD5" w14:textId="77777777" w:rsidR="00FB19C0" w:rsidRPr="00BE78CA" w:rsidRDefault="00FB19C0" w:rsidP="00C26084">
            <w:pPr>
              <w:pStyle w:val="TableText"/>
              <w:keepNext/>
              <w:tabs>
                <w:tab w:val="decimal" w:pos="490"/>
              </w:tabs>
              <w:jc w:val="center"/>
            </w:pPr>
            <w:r w:rsidRPr="00BE78CA">
              <w:t>60.5</w:t>
            </w:r>
          </w:p>
        </w:tc>
        <w:tc>
          <w:tcPr>
            <w:tcW w:w="579" w:type="pct"/>
            <w:tcBorders>
              <w:top w:val="single" w:sz="4" w:space="0" w:color="365F91"/>
              <w:left w:val="nil"/>
              <w:bottom w:val="single" w:sz="4" w:space="0" w:color="365F91"/>
              <w:right w:val="nil"/>
            </w:tcBorders>
            <w:hideMark/>
          </w:tcPr>
          <w:p w14:paraId="57F67ADC" w14:textId="77777777" w:rsidR="00FB19C0" w:rsidRPr="00BE78CA" w:rsidRDefault="00FB19C0" w:rsidP="00C26084">
            <w:pPr>
              <w:pStyle w:val="TableText"/>
              <w:keepNext/>
              <w:tabs>
                <w:tab w:val="decimal" w:pos="491"/>
              </w:tabs>
              <w:jc w:val="center"/>
            </w:pPr>
            <w:r w:rsidRPr="00BE78CA">
              <w:t>1,288.5</w:t>
            </w:r>
          </w:p>
        </w:tc>
        <w:tc>
          <w:tcPr>
            <w:tcW w:w="414" w:type="pct"/>
            <w:tcBorders>
              <w:top w:val="single" w:sz="4" w:space="0" w:color="365F91"/>
              <w:left w:val="nil"/>
              <w:bottom w:val="single" w:sz="4" w:space="0" w:color="365F91"/>
              <w:right w:val="nil"/>
            </w:tcBorders>
            <w:hideMark/>
          </w:tcPr>
          <w:p w14:paraId="25D42D94" w14:textId="77777777" w:rsidR="00FB19C0" w:rsidRPr="00BE78CA" w:rsidRDefault="00FB19C0" w:rsidP="00C26084">
            <w:pPr>
              <w:pStyle w:val="TableText"/>
              <w:keepNext/>
              <w:tabs>
                <w:tab w:val="decimal" w:pos="209"/>
              </w:tabs>
              <w:jc w:val="center"/>
            </w:pPr>
            <w:r w:rsidRPr="00BE78CA">
              <w:t>0.1</w:t>
            </w:r>
          </w:p>
        </w:tc>
        <w:tc>
          <w:tcPr>
            <w:tcW w:w="447" w:type="pct"/>
            <w:tcBorders>
              <w:top w:val="single" w:sz="4" w:space="0" w:color="365F91"/>
              <w:left w:val="nil"/>
              <w:bottom w:val="single" w:sz="4" w:space="0" w:color="365F91"/>
              <w:right w:val="nil"/>
            </w:tcBorders>
            <w:hideMark/>
          </w:tcPr>
          <w:p w14:paraId="57E55092" w14:textId="77777777" w:rsidR="00FB19C0" w:rsidRPr="00BE78CA" w:rsidRDefault="00FB19C0" w:rsidP="00C26084">
            <w:pPr>
              <w:pStyle w:val="TableText"/>
              <w:keepNext/>
              <w:tabs>
                <w:tab w:val="decimal" w:pos="163"/>
              </w:tabs>
              <w:jc w:val="center"/>
            </w:pPr>
            <w:r w:rsidRPr="00BE78CA">
              <w:t>2.0</w:t>
            </w:r>
          </w:p>
        </w:tc>
      </w:tr>
      <w:tr w:rsidR="00FB19C0" w:rsidRPr="00BE78CA" w14:paraId="6EAC5A5C" w14:textId="77777777" w:rsidTr="00C71947">
        <w:tc>
          <w:tcPr>
            <w:tcW w:w="1904" w:type="pct"/>
            <w:tcBorders>
              <w:top w:val="single" w:sz="4" w:space="0" w:color="365F91"/>
              <w:left w:val="nil"/>
              <w:bottom w:val="single" w:sz="4" w:space="0" w:color="365F91"/>
              <w:right w:val="nil"/>
            </w:tcBorders>
            <w:hideMark/>
          </w:tcPr>
          <w:p w14:paraId="1D0850F9" w14:textId="77777777" w:rsidR="00FB19C0" w:rsidRPr="00BE78CA" w:rsidRDefault="00FB19C0" w:rsidP="00C26084">
            <w:pPr>
              <w:pStyle w:val="TableText"/>
            </w:pPr>
            <w:r w:rsidRPr="00BE78CA">
              <w:t>Incineration and open burning of waste (5.C)</w:t>
            </w:r>
          </w:p>
        </w:tc>
        <w:tc>
          <w:tcPr>
            <w:tcW w:w="579" w:type="pct"/>
            <w:tcBorders>
              <w:top w:val="single" w:sz="4" w:space="0" w:color="365F91"/>
              <w:left w:val="nil"/>
              <w:bottom w:val="single" w:sz="4" w:space="0" w:color="365F91"/>
              <w:right w:val="nil"/>
            </w:tcBorders>
            <w:hideMark/>
          </w:tcPr>
          <w:p w14:paraId="63172B3C" w14:textId="77777777" w:rsidR="00FB19C0" w:rsidRPr="00BE78CA" w:rsidRDefault="00FB19C0" w:rsidP="00C26084">
            <w:pPr>
              <w:pStyle w:val="TableText"/>
              <w:tabs>
                <w:tab w:val="decimal" w:pos="490"/>
              </w:tabs>
              <w:jc w:val="center"/>
            </w:pPr>
            <w:r w:rsidRPr="00BE78CA">
              <w:t>315.5</w:t>
            </w:r>
          </w:p>
        </w:tc>
        <w:tc>
          <w:tcPr>
            <w:tcW w:w="497" w:type="pct"/>
            <w:tcBorders>
              <w:top w:val="single" w:sz="4" w:space="0" w:color="365F91"/>
              <w:left w:val="nil"/>
              <w:bottom w:val="single" w:sz="4" w:space="0" w:color="365F91"/>
              <w:right w:val="nil"/>
            </w:tcBorders>
            <w:hideMark/>
          </w:tcPr>
          <w:p w14:paraId="0AE28147" w14:textId="77777777" w:rsidR="00FB19C0" w:rsidRPr="00BE78CA" w:rsidRDefault="00FB19C0" w:rsidP="00C26084">
            <w:pPr>
              <w:pStyle w:val="TableText"/>
              <w:tabs>
                <w:tab w:val="decimal" w:pos="285"/>
              </w:tabs>
              <w:jc w:val="center"/>
            </w:pPr>
            <w:r w:rsidRPr="00BE78CA">
              <w:t>186.3</w:t>
            </w:r>
          </w:p>
        </w:tc>
        <w:tc>
          <w:tcPr>
            <w:tcW w:w="580" w:type="pct"/>
            <w:tcBorders>
              <w:top w:val="single" w:sz="4" w:space="0" w:color="365F91"/>
              <w:left w:val="nil"/>
              <w:bottom w:val="single" w:sz="4" w:space="0" w:color="365F91"/>
              <w:right w:val="nil"/>
            </w:tcBorders>
            <w:hideMark/>
          </w:tcPr>
          <w:p w14:paraId="2E864A86" w14:textId="77777777" w:rsidR="00FB19C0" w:rsidRPr="00BE78CA" w:rsidRDefault="00FB19C0" w:rsidP="00C26084">
            <w:pPr>
              <w:pStyle w:val="TableText"/>
              <w:tabs>
                <w:tab w:val="decimal" w:pos="490"/>
              </w:tabs>
              <w:jc w:val="center"/>
            </w:pPr>
            <w:r w:rsidRPr="00BE78CA">
              <w:t>–129.3</w:t>
            </w:r>
          </w:p>
        </w:tc>
        <w:tc>
          <w:tcPr>
            <w:tcW w:w="579" w:type="pct"/>
            <w:tcBorders>
              <w:top w:val="single" w:sz="4" w:space="0" w:color="365F91"/>
              <w:left w:val="nil"/>
              <w:bottom w:val="single" w:sz="4" w:space="0" w:color="365F91"/>
              <w:right w:val="nil"/>
            </w:tcBorders>
            <w:hideMark/>
          </w:tcPr>
          <w:p w14:paraId="70E5C653" w14:textId="77777777" w:rsidR="00FB19C0" w:rsidRPr="00BE78CA" w:rsidRDefault="00FB19C0" w:rsidP="00C26084">
            <w:pPr>
              <w:pStyle w:val="TableText"/>
              <w:tabs>
                <w:tab w:val="decimal" w:pos="491"/>
              </w:tabs>
              <w:jc w:val="center"/>
            </w:pPr>
            <w:r w:rsidRPr="00BE78CA">
              <w:t>–41.0</w:t>
            </w:r>
          </w:p>
        </w:tc>
        <w:tc>
          <w:tcPr>
            <w:tcW w:w="414" w:type="pct"/>
            <w:tcBorders>
              <w:top w:val="single" w:sz="4" w:space="0" w:color="365F91"/>
              <w:left w:val="nil"/>
              <w:bottom w:val="single" w:sz="4" w:space="0" w:color="365F91"/>
              <w:right w:val="nil"/>
            </w:tcBorders>
            <w:hideMark/>
          </w:tcPr>
          <w:p w14:paraId="39F66194" w14:textId="77777777" w:rsidR="00FB19C0" w:rsidRPr="00BE78CA" w:rsidRDefault="00FB19C0" w:rsidP="00C26084">
            <w:pPr>
              <w:pStyle w:val="TableText"/>
              <w:tabs>
                <w:tab w:val="decimal" w:pos="209"/>
              </w:tabs>
              <w:jc w:val="center"/>
            </w:pPr>
            <w:r w:rsidRPr="00BE78CA">
              <w:t>8.0</w:t>
            </w:r>
          </w:p>
        </w:tc>
        <w:tc>
          <w:tcPr>
            <w:tcW w:w="447" w:type="pct"/>
            <w:tcBorders>
              <w:top w:val="single" w:sz="4" w:space="0" w:color="365F91"/>
              <w:left w:val="nil"/>
              <w:bottom w:val="single" w:sz="4" w:space="0" w:color="365F91"/>
              <w:right w:val="nil"/>
            </w:tcBorders>
            <w:hideMark/>
          </w:tcPr>
          <w:p w14:paraId="3C0A3552" w14:textId="77777777" w:rsidR="00FB19C0" w:rsidRPr="00BE78CA" w:rsidRDefault="00FB19C0" w:rsidP="00C26084">
            <w:pPr>
              <w:pStyle w:val="TableText"/>
              <w:tabs>
                <w:tab w:val="decimal" w:pos="163"/>
              </w:tabs>
              <w:jc w:val="center"/>
            </w:pPr>
            <w:r w:rsidRPr="00BE78CA">
              <w:t>5.6</w:t>
            </w:r>
          </w:p>
        </w:tc>
      </w:tr>
      <w:tr w:rsidR="00FB19C0" w:rsidRPr="00BE78CA" w14:paraId="69B78B66" w14:textId="77777777" w:rsidTr="00C71947">
        <w:tc>
          <w:tcPr>
            <w:tcW w:w="1904" w:type="pct"/>
            <w:tcBorders>
              <w:top w:val="single" w:sz="4" w:space="0" w:color="365F91"/>
              <w:left w:val="nil"/>
              <w:bottom w:val="single" w:sz="4" w:space="0" w:color="365F91"/>
              <w:right w:val="nil"/>
            </w:tcBorders>
            <w:hideMark/>
          </w:tcPr>
          <w:p w14:paraId="651377E0" w14:textId="77777777" w:rsidR="00FB19C0" w:rsidRPr="00BE78CA" w:rsidRDefault="00FB19C0" w:rsidP="00C26084">
            <w:pPr>
              <w:pStyle w:val="TableText"/>
            </w:pPr>
            <w:r w:rsidRPr="00BE78CA">
              <w:t>Wastewater treatment and discharge (5.D)</w:t>
            </w:r>
          </w:p>
        </w:tc>
        <w:tc>
          <w:tcPr>
            <w:tcW w:w="579" w:type="pct"/>
            <w:tcBorders>
              <w:top w:val="single" w:sz="4" w:space="0" w:color="365F91"/>
              <w:left w:val="nil"/>
              <w:bottom w:val="single" w:sz="4" w:space="0" w:color="365F91"/>
              <w:right w:val="nil"/>
            </w:tcBorders>
            <w:hideMark/>
          </w:tcPr>
          <w:p w14:paraId="36EAC157" w14:textId="77777777" w:rsidR="00FB19C0" w:rsidRPr="00BE78CA" w:rsidRDefault="00FB19C0" w:rsidP="00C26084">
            <w:pPr>
              <w:pStyle w:val="TableText"/>
              <w:tabs>
                <w:tab w:val="decimal" w:pos="490"/>
              </w:tabs>
              <w:jc w:val="center"/>
            </w:pPr>
            <w:r w:rsidRPr="00BE78CA">
              <w:t>303.3</w:t>
            </w:r>
          </w:p>
        </w:tc>
        <w:tc>
          <w:tcPr>
            <w:tcW w:w="497" w:type="pct"/>
            <w:tcBorders>
              <w:top w:val="single" w:sz="4" w:space="0" w:color="365F91"/>
              <w:left w:val="nil"/>
              <w:bottom w:val="single" w:sz="4" w:space="0" w:color="365F91"/>
              <w:right w:val="nil"/>
            </w:tcBorders>
            <w:hideMark/>
          </w:tcPr>
          <w:p w14:paraId="6707EED6" w14:textId="77777777" w:rsidR="00FB19C0" w:rsidRPr="00BE78CA" w:rsidRDefault="00FB19C0" w:rsidP="00C26084">
            <w:pPr>
              <w:pStyle w:val="TableText"/>
              <w:tabs>
                <w:tab w:val="decimal" w:pos="285"/>
              </w:tabs>
              <w:jc w:val="center"/>
            </w:pPr>
            <w:r w:rsidRPr="00BE78CA">
              <w:t>372.5</w:t>
            </w:r>
          </w:p>
        </w:tc>
        <w:tc>
          <w:tcPr>
            <w:tcW w:w="580" w:type="pct"/>
            <w:tcBorders>
              <w:top w:val="single" w:sz="4" w:space="0" w:color="365F91"/>
              <w:left w:val="nil"/>
              <w:bottom w:val="single" w:sz="4" w:space="0" w:color="365F91"/>
              <w:right w:val="nil"/>
            </w:tcBorders>
            <w:hideMark/>
          </w:tcPr>
          <w:p w14:paraId="3662657A" w14:textId="77777777" w:rsidR="00FB19C0" w:rsidRPr="00BE78CA" w:rsidRDefault="00FB19C0" w:rsidP="00C26084">
            <w:pPr>
              <w:pStyle w:val="TableText"/>
              <w:tabs>
                <w:tab w:val="decimal" w:pos="490"/>
              </w:tabs>
              <w:jc w:val="center"/>
            </w:pPr>
            <w:r w:rsidRPr="00BE78CA">
              <w:t>69.2</w:t>
            </w:r>
          </w:p>
        </w:tc>
        <w:tc>
          <w:tcPr>
            <w:tcW w:w="579" w:type="pct"/>
            <w:tcBorders>
              <w:top w:val="single" w:sz="4" w:space="0" w:color="365F91"/>
              <w:left w:val="nil"/>
              <w:bottom w:val="single" w:sz="4" w:space="0" w:color="365F91"/>
              <w:right w:val="nil"/>
            </w:tcBorders>
            <w:hideMark/>
          </w:tcPr>
          <w:p w14:paraId="77DBDC13" w14:textId="77777777" w:rsidR="00FB19C0" w:rsidRPr="00BE78CA" w:rsidRDefault="00FB19C0" w:rsidP="00C26084">
            <w:pPr>
              <w:pStyle w:val="TableText"/>
              <w:tabs>
                <w:tab w:val="decimal" w:pos="491"/>
              </w:tabs>
              <w:jc w:val="center"/>
            </w:pPr>
            <w:r w:rsidRPr="00BE78CA">
              <w:t>22.8</w:t>
            </w:r>
          </w:p>
        </w:tc>
        <w:tc>
          <w:tcPr>
            <w:tcW w:w="414" w:type="pct"/>
            <w:tcBorders>
              <w:top w:val="single" w:sz="4" w:space="0" w:color="365F91"/>
              <w:left w:val="nil"/>
              <w:bottom w:val="single" w:sz="4" w:space="0" w:color="365F91"/>
              <w:right w:val="nil"/>
            </w:tcBorders>
            <w:hideMark/>
          </w:tcPr>
          <w:p w14:paraId="4896AE2D" w14:textId="77777777" w:rsidR="00FB19C0" w:rsidRPr="00BE78CA" w:rsidRDefault="00FB19C0" w:rsidP="00C26084">
            <w:pPr>
              <w:pStyle w:val="TableText"/>
              <w:tabs>
                <w:tab w:val="decimal" w:pos="209"/>
              </w:tabs>
              <w:jc w:val="center"/>
            </w:pPr>
            <w:r w:rsidRPr="00BE78CA">
              <w:t>7.7</w:t>
            </w:r>
          </w:p>
        </w:tc>
        <w:tc>
          <w:tcPr>
            <w:tcW w:w="447" w:type="pct"/>
            <w:tcBorders>
              <w:top w:val="single" w:sz="4" w:space="0" w:color="365F91"/>
              <w:left w:val="nil"/>
              <w:bottom w:val="single" w:sz="4" w:space="0" w:color="365F91"/>
              <w:right w:val="nil"/>
            </w:tcBorders>
            <w:hideMark/>
          </w:tcPr>
          <w:p w14:paraId="57A4D621" w14:textId="77777777" w:rsidR="00FB19C0" w:rsidRPr="00BE78CA" w:rsidRDefault="00FB19C0" w:rsidP="00C26084">
            <w:pPr>
              <w:pStyle w:val="TableText"/>
              <w:tabs>
                <w:tab w:val="decimal" w:pos="163"/>
              </w:tabs>
              <w:jc w:val="center"/>
            </w:pPr>
            <w:r w:rsidRPr="00BE78CA">
              <w:t>11.2</w:t>
            </w:r>
          </w:p>
        </w:tc>
      </w:tr>
      <w:tr w:rsidR="00FB19C0" w:rsidRPr="00BE78CA" w14:paraId="5D1BEC3F" w14:textId="77777777" w:rsidTr="00C71947">
        <w:tc>
          <w:tcPr>
            <w:tcW w:w="1904" w:type="pct"/>
            <w:tcBorders>
              <w:top w:val="single" w:sz="4" w:space="0" w:color="365F91"/>
              <w:left w:val="nil"/>
              <w:bottom w:val="single" w:sz="4" w:space="0" w:color="365F91"/>
              <w:right w:val="nil"/>
            </w:tcBorders>
            <w:shd w:val="clear" w:color="auto" w:fill="FFFFFF"/>
            <w:hideMark/>
          </w:tcPr>
          <w:p w14:paraId="416BB8F9" w14:textId="77777777" w:rsidR="00FB19C0" w:rsidRPr="00BE78CA" w:rsidRDefault="00FB19C0" w:rsidP="00C26084">
            <w:pPr>
              <w:pStyle w:val="Tableboldblue"/>
            </w:pPr>
            <w:r w:rsidRPr="00BE78CA">
              <w:t>Total</w:t>
            </w:r>
          </w:p>
        </w:tc>
        <w:tc>
          <w:tcPr>
            <w:tcW w:w="579" w:type="pct"/>
            <w:tcBorders>
              <w:top w:val="single" w:sz="4" w:space="0" w:color="365F91"/>
              <w:left w:val="nil"/>
              <w:bottom w:val="single" w:sz="4" w:space="0" w:color="365F91"/>
              <w:right w:val="nil"/>
            </w:tcBorders>
            <w:shd w:val="clear" w:color="auto" w:fill="FFFFFF"/>
            <w:hideMark/>
          </w:tcPr>
          <w:p w14:paraId="5CA3F808" w14:textId="77777777" w:rsidR="00FB19C0" w:rsidRPr="00BE78CA" w:rsidRDefault="00FB19C0" w:rsidP="00C26084">
            <w:pPr>
              <w:pStyle w:val="Tableboldblue"/>
              <w:tabs>
                <w:tab w:val="decimal" w:pos="490"/>
              </w:tabs>
              <w:jc w:val="center"/>
            </w:pPr>
            <w:r w:rsidRPr="00BE78CA">
              <w:t>3,961.3</w:t>
            </w:r>
          </w:p>
        </w:tc>
        <w:tc>
          <w:tcPr>
            <w:tcW w:w="497" w:type="pct"/>
            <w:tcBorders>
              <w:top w:val="single" w:sz="4" w:space="0" w:color="365F91"/>
              <w:left w:val="nil"/>
              <w:bottom w:val="single" w:sz="4" w:space="0" w:color="365F91"/>
              <w:right w:val="nil"/>
            </w:tcBorders>
            <w:shd w:val="clear" w:color="auto" w:fill="FFFFFF"/>
            <w:hideMark/>
          </w:tcPr>
          <w:p w14:paraId="196F2100" w14:textId="77777777" w:rsidR="00FB19C0" w:rsidRPr="00BE78CA" w:rsidRDefault="00FB19C0" w:rsidP="00C26084">
            <w:pPr>
              <w:pStyle w:val="Tableboldblue"/>
              <w:tabs>
                <w:tab w:val="decimal" w:pos="285"/>
              </w:tabs>
              <w:jc w:val="center"/>
            </w:pPr>
            <w:r w:rsidRPr="00BE78CA">
              <w:t>3,316.9</w:t>
            </w:r>
          </w:p>
        </w:tc>
        <w:tc>
          <w:tcPr>
            <w:tcW w:w="580" w:type="pct"/>
            <w:tcBorders>
              <w:top w:val="single" w:sz="4" w:space="0" w:color="365F91"/>
              <w:left w:val="nil"/>
              <w:bottom w:val="single" w:sz="4" w:space="0" w:color="365F91"/>
              <w:right w:val="nil"/>
            </w:tcBorders>
            <w:shd w:val="clear" w:color="auto" w:fill="FFFFFF"/>
            <w:hideMark/>
          </w:tcPr>
          <w:p w14:paraId="5751CB86" w14:textId="77777777" w:rsidR="00FB19C0" w:rsidRPr="00BE78CA" w:rsidRDefault="00FB19C0" w:rsidP="00C26084">
            <w:pPr>
              <w:pStyle w:val="Tableboldblue"/>
              <w:tabs>
                <w:tab w:val="decimal" w:pos="490"/>
              </w:tabs>
              <w:jc w:val="center"/>
            </w:pPr>
            <w:r w:rsidRPr="00BE78CA">
              <w:t>–644.4</w:t>
            </w:r>
          </w:p>
        </w:tc>
        <w:tc>
          <w:tcPr>
            <w:tcW w:w="579" w:type="pct"/>
            <w:tcBorders>
              <w:top w:val="single" w:sz="4" w:space="0" w:color="365F91"/>
              <w:left w:val="nil"/>
              <w:bottom w:val="single" w:sz="4" w:space="0" w:color="365F91"/>
              <w:right w:val="nil"/>
            </w:tcBorders>
            <w:shd w:val="clear" w:color="auto" w:fill="FFFFFF"/>
            <w:hideMark/>
          </w:tcPr>
          <w:p w14:paraId="77F9BB4D" w14:textId="77777777" w:rsidR="00FB19C0" w:rsidRPr="00BE78CA" w:rsidRDefault="00FB19C0" w:rsidP="00C26084">
            <w:pPr>
              <w:pStyle w:val="Tableboldblue"/>
              <w:tabs>
                <w:tab w:val="decimal" w:pos="491"/>
              </w:tabs>
              <w:jc w:val="center"/>
            </w:pPr>
            <w:r w:rsidRPr="00BE78CA">
              <w:t>–16.3</w:t>
            </w:r>
          </w:p>
        </w:tc>
        <w:tc>
          <w:tcPr>
            <w:tcW w:w="414" w:type="pct"/>
            <w:tcBorders>
              <w:top w:val="single" w:sz="4" w:space="0" w:color="365F91"/>
              <w:left w:val="nil"/>
              <w:bottom w:val="single" w:sz="4" w:space="0" w:color="365F91"/>
              <w:right w:val="nil"/>
            </w:tcBorders>
            <w:shd w:val="clear" w:color="auto" w:fill="FFFFFF"/>
            <w:hideMark/>
          </w:tcPr>
          <w:p w14:paraId="42938131" w14:textId="77777777" w:rsidR="00FB19C0" w:rsidRPr="00BE78CA" w:rsidRDefault="00FB19C0" w:rsidP="00C26084">
            <w:pPr>
              <w:pStyle w:val="Tableboldblue"/>
              <w:jc w:val="center"/>
            </w:pPr>
            <w:r w:rsidRPr="00BE78CA">
              <w:t>–</w:t>
            </w:r>
          </w:p>
        </w:tc>
        <w:tc>
          <w:tcPr>
            <w:tcW w:w="447" w:type="pct"/>
            <w:tcBorders>
              <w:top w:val="single" w:sz="4" w:space="0" w:color="365F91"/>
              <w:left w:val="nil"/>
              <w:bottom w:val="single" w:sz="4" w:space="0" w:color="365F91"/>
              <w:right w:val="nil"/>
            </w:tcBorders>
            <w:shd w:val="clear" w:color="auto" w:fill="FFFFFF"/>
            <w:hideMark/>
          </w:tcPr>
          <w:p w14:paraId="2FD01755" w14:textId="77777777" w:rsidR="00FB19C0" w:rsidRPr="00BE78CA" w:rsidRDefault="00FB19C0" w:rsidP="00C26084">
            <w:pPr>
              <w:pStyle w:val="Tableboldblue"/>
              <w:jc w:val="center"/>
            </w:pPr>
            <w:r w:rsidRPr="00BE78CA">
              <w:t>–</w:t>
            </w:r>
          </w:p>
        </w:tc>
      </w:tr>
    </w:tbl>
    <w:p w14:paraId="13431AF6" w14:textId="77777777" w:rsidR="00FB19C0" w:rsidRPr="00BE78CA" w:rsidRDefault="00FB19C0" w:rsidP="00FB19C0">
      <w:pPr>
        <w:pStyle w:val="Noteundertable"/>
      </w:pPr>
      <w:r w:rsidRPr="00BE78CA">
        <w:rPr>
          <w:b/>
        </w:rPr>
        <w:t>Note:</w:t>
      </w:r>
      <w:r w:rsidRPr="00BE78CA">
        <w:tab/>
        <w:t>Percentages presented are calculated from unrounded values. Columns may not total due to rounding.</w:t>
      </w:r>
    </w:p>
    <w:p w14:paraId="106DFC54" w14:textId="77777777" w:rsidR="00FB19C0" w:rsidRPr="00BE78CA" w:rsidRDefault="00FB19C0" w:rsidP="00FB19C0">
      <w:pPr>
        <w:pStyle w:val="Figure"/>
        <w:spacing w:before="240" w:after="0"/>
      </w:pPr>
      <w:bookmarkStart w:id="2809" w:name="_Toc32828375"/>
      <w:bookmarkStart w:id="2810" w:name="_Toc36292819"/>
      <w:bookmarkStart w:id="2811" w:name="_Toc5269716"/>
      <w:bookmarkStart w:id="2812" w:name="_Toc511116987"/>
      <w:bookmarkStart w:id="2813" w:name="_Toc68786685"/>
      <w:bookmarkStart w:id="2814" w:name="_Toc481752036"/>
      <w:bookmarkStart w:id="2815" w:name="_Toc447275717"/>
      <w:bookmarkStart w:id="2816" w:name="_Toc444001673"/>
      <w:bookmarkStart w:id="2817" w:name="_Toc352505151"/>
      <w:bookmarkStart w:id="2818" w:name="_Toc342470823"/>
      <w:bookmarkStart w:id="2819" w:name="_Toc318362743"/>
      <w:r w:rsidRPr="00BE78CA">
        <w:t>Figure 7.1.2</w:t>
      </w:r>
      <w:r w:rsidRPr="00BE78CA">
        <w:tab/>
        <w:t>Profile of emissions from New Zealand’s Waste sector by source category from 1990 to </w:t>
      </w:r>
      <w:bookmarkEnd w:id="2809"/>
      <w:bookmarkEnd w:id="2810"/>
      <w:r w:rsidRPr="00BE78CA">
        <w:t>2019</w:t>
      </w:r>
      <w:bookmarkEnd w:id="2811"/>
      <w:bookmarkEnd w:id="2812"/>
      <w:bookmarkEnd w:id="2813"/>
    </w:p>
    <w:p w14:paraId="6675D564" w14:textId="77777777" w:rsidR="00FB19C0" w:rsidRPr="00BE78CA" w:rsidRDefault="00FB19C0" w:rsidP="00FB19C0">
      <w:pPr>
        <w:pStyle w:val="BodyText"/>
      </w:pPr>
      <w:r w:rsidRPr="00BE78CA">
        <w:rPr>
          <w:noProof/>
        </w:rPr>
        <w:drawing>
          <wp:inline distT="0" distB="0" distL="0" distR="0" wp14:anchorId="49C54C4A" wp14:editId="310C895A">
            <wp:extent cx="5463203" cy="2809036"/>
            <wp:effectExtent l="0" t="0" r="444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40">
                      <a:extLst>
                        <a:ext uri="{28A0092B-C50C-407E-A947-70E740481C1C}">
                          <a14:useLocalDpi xmlns:a14="http://schemas.microsoft.com/office/drawing/2010/main" val="0"/>
                        </a:ext>
                      </a:extLst>
                    </a:blip>
                    <a:srcRect l="2826" b="8749"/>
                    <a:stretch/>
                  </pic:blipFill>
                  <pic:spPr bwMode="auto">
                    <a:xfrm>
                      <a:off x="0" y="0"/>
                      <a:ext cx="5494775" cy="2825269"/>
                    </a:xfrm>
                    <a:prstGeom prst="rect">
                      <a:avLst/>
                    </a:prstGeom>
                    <a:noFill/>
                    <a:ln>
                      <a:noFill/>
                    </a:ln>
                    <a:extLst>
                      <a:ext uri="{53640926-AAD7-44D8-BBD7-CCE9431645EC}">
                        <a14:shadowObscured xmlns:a14="http://schemas.microsoft.com/office/drawing/2010/main"/>
                      </a:ext>
                    </a:extLst>
                  </pic:spPr>
                </pic:pic>
              </a:graphicData>
            </a:graphic>
          </wp:inline>
        </w:drawing>
      </w:r>
    </w:p>
    <w:p w14:paraId="518843FB" w14:textId="77777777" w:rsidR="00FB19C0" w:rsidRPr="00BE78CA" w:rsidRDefault="00FB19C0" w:rsidP="00FB19C0">
      <w:pPr>
        <w:pStyle w:val="Figure"/>
        <w:spacing w:before="240"/>
      </w:pPr>
      <w:bookmarkStart w:id="2820" w:name="_Toc5269717"/>
      <w:bookmarkStart w:id="2821" w:name="_Toc481752037"/>
      <w:bookmarkStart w:id="2822" w:name="_Toc447275718"/>
      <w:bookmarkStart w:id="2823" w:name="_Toc444001674"/>
      <w:bookmarkStart w:id="2824" w:name="_Toc511116988"/>
      <w:bookmarkStart w:id="2825" w:name="_Toc32828376"/>
      <w:bookmarkStart w:id="2826" w:name="_Toc36292820"/>
      <w:bookmarkStart w:id="2827" w:name="_Toc68786686"/>
      <w:bookmarkEnd w:id="2814"/>
      <w:bookmarkEnd w:id="2815"/>
      <w:bookmarkEnd w:id="2816"/>
      <w:bookmarkEnd w:id="2817"/>
      <w:bookmarkEnd w:id="2818"/>
      <w:bookmarkEnd w:id="2819"/>
      <w:r w:rsidRPr="00BE78CA">
        <w:t>Figure 7.1.3</w:t>
      </w:r>
      <w:r w:rsidRPr="00BE78CA">
        <w:tab/>
        <w:t>Change in New Zealand’s emissions from the Waste sector by source category</w:t>
      </w:r>
      <w:r w:rsidRPr="00BE78CA">
        <w:br/>
        <w:t>from 1990 to </w:t>
      </w:r>
      <w:bookmarkEnd w:id="2820"/>
      <w:bookmarkEnd w:id="2821"/>
      <w:bookmarkEnd w:id="2822"/>
      <w:bookmarkEnd w:id="2823"/>
      <w:bookmarkEnd w:id="2824"/>
      <w:bookmarkEnd w:id="2825"/>
      <w:bookmarkEnd w:id="2826"/>
      <w:r w:rsidRPr="00BE78CA">
        <w:t>2019</w:t>
      </w:r>
      <w:bookmarkEnd w:id="2827"/>
    </w:p>
    <w:p w14:paraId="73A4C82D" w14:textId="77777777" w:rsidR="00FB19C0" w:rsidRPr="00BE78CA" w:rsidRDefault="00FB19C0" w:rsidP="00FB19C0">
      <w:pPr>
        <w:pStyle w:val="BodyText"/>
        <w:spacing w:before="0"/>
      </w:pPr>
      <w:r w:rsidRPr="00BE78CA">
        <w:rPr>
          <w:noProof/>
        </w:rPr>
        <w:drawing>
          <wp:inline distT="0" distB="0" distL="0" distR="0" wp14:anchorId="48FE0CB3" wp14:editId="553A020C">
            <wp:extent cx="5041280" cy="2830665"/>
            <wp:effectExtent l="0" t="0" r="6985" b="825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41">
                      <a:extLst>
                        <a:ext uri="{28A0092B-C50C-407E-A947-70E740481C1C}">
                          <a14:useLocalDpi xmlns:a14="http://schemas.microsoft.com/office/drawing/2010/main" val="0"/>
                        </a:ext>
                      </a:extLst>
                    </a:blip>
                    <a:srcRect t="5166" b="2872"/>
                    <a:stretch/>
                  </pic:blipFill>
                  <pic:spPr bwMode="auto">
                    <a:xfrm>
                      <a:off x="0" y="0"/>
                      <a:ext cx="5041900" cy="2831013"/>
                    </a:xfrm>
                    <a:prstGeom prst="rect">
                      <a:avLst/>
                    </a:prstGeom>
                    <a:noFill/>
                    <a:ln>
                      <a:noFill/>
                    </a:ln>
                    <a:extLst>
                      <a:ext uri="{53640926-AAD7-44D8-BBD7-CCE9431645EC}">
                        <a14:shadowObscured xmlns:a14="http://schemas.microsoft.com/office/drawing/2010/main"/>
                      </a:ext>
                    </a:extLst>
                  </pic:spPr>
                </pic:pic>
              </a:graphicData>
            </a:graphic>
          </wp:inline>
        </w:drawing>
      </w:r>
    </w:p>
    <w:p w14:paraId="13A057F1" w14:textId="77777777" w:rsidR="00FB19C0" w:rsidRPr="00BE78CA" w:rsidRDefault="00FB19C0" w:rsidP="00FB19C0">
      <w:pPr>
        <w:pStyle w:val="Heading3"/>
        <w:spacing w:before="240"/>
      </w:pPr>
      <w:bookmarkStart w:id="2828" w:name="_Toc32828323"/>
      <w:bookmarkStart w:id="2829" w:name="_Toc261513712"/>
      <w:bookmarkStart w:id="2830" w:name="_Toc261513099"/>
      <w:bookmarkStart w:id="2831" w:name="_Toc255466292"/>
      <w:r w:rsidRPr="00BE78CA">
        <w:lastRenderedPageBreak/>
        <w:t>7.1.3</w:t>
      </w:r>
      <w:r w:rsidRPr="00BE78CA">
        <w:tab/>
        <w:t>Key categories for Waste sector emissions</w:t>
      </w:r>
      <w:bookmarkEnd w:id="2828"/>
    </w:p>
    <w:p w14:paraId="095A7A1E" w14:textId="77777777" w:rsidR="00FB19C0" w:rsidRPr="00BE78CA" w:rsidRDefault="00FB19C0" w:rsidP="00FB19C0">
      <w:pPr>
        <w:pStyle w:val="BodyText"/>
      </w:pPr>
      <w:r w:rsidRPr="00BE78CA">
        <w:t xml:space="preserve">Details of New Zealand’s key category analysis are in chapter 1, section 1.5. The key categories in the Waste sector are listed in table 7.1.2. </w:t>
      </w:r>
    </w:p>
    <w:p w14:paraId="6F0B81E6" w14:textId="77777777" w:rsidR="00FB19C0" w:rsidRPr="00BE78CA" w:rsidRDefault="00FB19C0" w:rsidP="00FB19C0">
      <w:pPr>
        <w:pStyle w:val="Table"/>
      </w:pPr>
      <w:bookmarkStart w:id="2832" w:name="_Toc32828517"/>
      <w:bookmarkStart w:id="2833" w:name="_Toc32591347"/>
      <w:bookmarkStart w:id="2834" w:name="_Toc5269560"/>
      <w:bookmarkStart w:id="2835" w:name="_Toc511116819"/>
      <w:bookmarkStart w:id="2836" w:name="_Toc508019321"/>
      <w:bookmarkStart w:id="2837" w:name="_Toc481751598"/>
      <w:bookmarkStart w:id="2838" w:name="_Toc451176168"/>
      <w:bookmarkStart w:id="2839" w:name="_Toc444001616"/>
      <w:bookmarkStart w:id="2840" w:name="_Toc36224640"/>
      <w:bookmarkStart w:id="2841" w:name="_Toc68786527"/>
      <w:r w:rsidRPr="00BE78CA">
        <w:t xml:space="preserve">Table 7.1.2 </w:t>
      </w:r>
      <w:r w:rsidRPr="00BE78CA">
        <w:tab/>
        <w:t>Key categories in the Waste sector</w:t>
      </w:r>
      <w:bookmarkEnd w:id="2832"/>
      <w:bookmarkEnd w:id="2833"/>
      <w:bookmarkEnd w:id="2834"/>
      <w:bookmarkEnd w:id="2835"/>
      <w:bookmarkEnd w:id="2836"/>
      <w:bookmarkEnd w:id="2837"/>
      <w:bookmarkEnd w:id="2838"/>
      <w:bookmarkEnd w:id="2839"/>
      <w:bookmarkEnd w:id="2840"/>
      <w:bookmarkEnd w:id="2841"/>
    </w:p>
    <w:tbl>
      <w:tblPr>
        <w:tblW w:w="8505" w:type="dxa"/>
        <w:tblBorders>
          <w:top w:val="single" w:sz="4" w:space="0" w:color="365F91"/>
          <w:bottom w:val="single" w:sz="4" w:space="0" w:color="365F91"/>
          <w:insideH w:val="single" w:sz="4" w:space="0" w:color="365F91"/>
        </w:tblBorders>
        <w:tblLook w:val="04A0" w:firstRow="1" w:lastRow="0" w:firstColumn="1" w:lastColumn="0" w:noHBand="0" w:noVBand="1"/>
      </w:tblPr>
      <w:tblGrid>
        <w:gridCol w:w="2181"/>
        <w:gridCol w:w="3189"/>
        <w:gridCol w:w="759"/>
        <w:gridCol w:w="2376"/>
      </w:tblGrid>
      <w:tr w:rsidR="00FB19C0" w:rsidRPr="00BE78CA" w14:paraId="2799B22C" w14:textId="77777777" w:rsidTr="00C71947">
        <w:trPr>
          <w:tblHeader/>
        </w:trPr>
        <w:tc>
          <w:tcPr>
            <w:tcW w:w="1282" w:type="pct"/>
            <w:tcBorders>
              <w:top w:val="single" w:sz="4" w:space="0" w:color="365F91"/>
              <w:left w:val="nil"/>
              <w:bottom w:val="single" w:sz="4" w:space="0" w:color="365F91"/>
              <w:right w:val="nil"/>
            </w:tcBorders>
            <w:shd w:val="clear" w:color="auto" w:fill="365F91"/>
            <w:hideMark/>
          </w:tcPr>
          <w:p w14:paraId="27834CD1" w14:textId="77777777" w:rsidR="00FB19C0" w:rsidRPr="00BE78CA" w:rsidRDefault="00FB19C0" w:rsidP="00C26084">
            <w:pPr>
              <w:pStyle w:val="TableTextBold"/>
              <w:rPr>
                <w:noProof w:val="0"/>
                <w:color w:val="FFFFFF"/>
              </w:rPr>
            </w:pPr>
            <w:r w:rsidRPr="00BE78CA">
              <w:rPr>
                <w:noProof w:val="0"/>
                <w:color w:val="FFFFFF"/>
              </w:rPr>
              <w:t>CRF category code</w:t>
            </w:r>
          </w:p>
        </w:tc>
        <w:tc>
          <w:tcPr>
            <w:tcW w:w="1875" w:type="pct"/>
            <w:tcBorders>
              <w:top w:val="single" w:sz="4" w:space="0" w:color="365F91"/>
              <w:left w:val="nil"/>
              <w:bottom w:val="single" w:sz="4" w:space="0" w:color="365F91"/>
              <w:right w:val="nil"/>
            </w:tcBorders>
            <w:shd w:val="clear" w:color="auto" w:fill="365F91"/>
            <w:hideMark/>
          </w:tcPr>
          <w:p w14:paraId="7326B5EE" w14:textId="77777777" w:rsidR="00FB19C0" w:rsidRPr="00BE78CA" w:rsidRDefault="00FB19C0" w:rsidP="00C26084">
            <w:pPr>
              <w:pStyle w:val="TableTextBold"/>
              <w:rPr>
                <w:noProof w:val="0"/>
                <w:color w:val="FFFFFF"/>
              </w:rPr>
            </w:pPr>
            <w:r w:rsidRPr="00BE78CA">
              <w:rPr>
                <w:noProof w:val="0"/>
                <w:color w:val="FFFFFF"/>
              </w:rPr>
              <w:t>IPCC category</w:t>
            </w:r>
          </w:p>
        </w:tc>
        <w:tc>
          <w:tcPr>
            <w:tcW w:w="446" w:type="pct"/>
            <w:tcBorders>
              <w:top w:val="single" w:sz="4" w:space="0" w:color="365F91"/>
              <w:left w:val="nil"/>
              <w:bottom w:val="single" w:sz="4" w:space="0" w:color="365F91"/>
              <w:right w:val="nil"/>
            </w:tcBorders>
            <w:shd w:val="clear" w:color="auto" w:fill="365F91"/>
            <w:hideMark/>
          </w:tcPr>
          <w:p w14:paraId="2F1E5AA8" w14:textId="77777777" w:rsidR="00FB19C0" w:rsidRPr="00BE78CA" w:rsidRDefault="00FB19C0" w:rsidP="00C26084">
            <w:pPr>
              <w:pStyle w:val="TableTextBold"/>
              <w:rPr>
                <w:noProof w:val="0"/>
                <w:color w:val="FFFFFF"/>
              </w:rPr>
            </w:pPr>
            <w:r w:rsidRPr="00BE78CA">
              <w:rPr>
                <w:noProof w:val="0"/>
                <w:color w:val="FFFFFF"/>
              </w:rPr>
              <w:t>Gas</w:t>
            </w:r>
          </w:p>
        </w:tc>
        <w:tc>
          <w:tcPr>
            <w:tcW w:w="1397" w:type="pct"/>
            <w:tcBorders>
              <w:top w:val="single" w:sz="4" w:space="0" w:color="365F91"/>
              <w:left w:val="nil"/>
              <w:bottom w:val="single" w:sz="4" w:space="0" w:color="365F91"/>
              <w:right w:val="nil"/>
            </w:tcBorders>
            <w:shd w:val="clear" w:color="auto" w:fill="365F91"/>
            <w:hideMark/>
          </w:tcPr>
          <w:p w14:paraId="3A88A7CA" w14:textId="77777777" w:rsidR="00FB19C0" w:rsidRPr="00BE78CA" w:rsidRDefault="00FB19C0" w:rsidP="00C26084">
            <w:pPr>
              <w:pStyle w:val="TableTextBold"/>
              <w:rPr>
                <w:noProof w:val="0"/>
                <w:color w:val="FFFFFF"/>
              </w:rPr>
            </w:pPr>
            <w:r w:rsidRPr="00BE78CA">
              <w:rPr>
                <w:noProof w:val="0"/>
                <w:color w:val="FFFFFF"/>
              </w:rPr>
              <w:t>Criteria for identification</w:t>
            </w:r>
          </w:p>
        </w:tc>
      </w:tr>
      <w:tr w:rsidR="00FB19C0" w:rsidRPr="00BE78CA" w14:paraId="1AC222F6" w14:textId="77777777" w:rsidTr="00C71947">
        <w:tc>
          <w:tcPr>
            <w:tcW w:w="1282" w:type="pct"/>
            <w:tcBorders>
              <w:top w:val="single" w:sz="4" w:space="0" w:color="365F91"/>
              <w:left w:val="nil"/>
              <w:bottom w:val="single" w:sz="4" w:space="0" w:color="365F91"/>
              <w:right w:val="nil"/>
            </w:tcBorders>
            <w:shd w:val="clear" w:color="auto" w:fill="FFFFFF"/>
            <w:hideMark/>
          </w:tcPr>
          <w:p w14:paraId="4E5507E4" w14:textId="77777777" w:rsidR="00FB19C0" w:rsidRPr="00BE78CA" w:rsidRDefault="00FB19C0" w:rsidP="00C26084">
            <w:pPr>
              <w:pStyle w:val="TableText"/>
            </w:pPr>
            <w:r w:rsidRPr="00BE78CA">
              <w:t>5.A</w:t>
            </w:r>
          </w:p>
        </w:tc>
        <w:tc>
          <w:tcPr>
            <w:tcW w:w="1875" w:type="pct"/>
            <w:tcBorders>
              <w:top w:val="single" w:sz="4" w:space="0" w:color="365F91"/>
              <w:left w:val="nil"/>
              <w:bottom w:val="single" w:sz="4" w:space="0" w:color="365F91"/>
              <w:right w:val="nil"/>
            </w:tcBorders>
            <w:shd w:val="clear" w:color="auto" w:fill="FFFFFF"/>
            <w:hideMark/>
          </w:tcPr>
          <w:p w14:paraId="2F1CA1BA" w14:textId="77777777" w:rsidR="00FB19C0" w:rsidRPr="00BE78CA" w:rsidRDefault="00FB19C0" w:rsidP="00C26084">
            <w:pPr>
              <w:pStyle w:val="TableText"/>
              <w:rPr>
                <w:szCs w:val="16"/>
              </w:rPr>
            </w:pPr>
            <w:r w:rsidRPr="00BE78CA">
              <w:rPr>
                <w:szCs w:val="16"/>
              </w:rPr>
              <w:t>Solid waste disposal</w:t>
            </w:r>
          </w:p>
        </w:tc>
        <w:tc>
          <w:tcPr>
            <w:tcW w:w="446" w:type="pct"/>
            <w:tcBorders>
              <w:top w:val="single" w:sz="4" w:space="0" w:color="365F91"/>
              <w:left w:val="nil"/>
              <w:bottom w:val="single" w:sz="4" w:space="0" w:color="365F91"/>
              <w:right w:val="nil"/>
            </w:tcBorders>
            <w:shd w:val="clear" w:color="auto" w:fill="FFFFFF"/>
            <w:hideMark/>
          </w:tcPr>
          <w:p w14:paraId="7875259F" w14:textId="77777777" w:rsidR="00FB19C0" w:rsidRPr="00BE78CA" w:rsidRDefault="00FB19C0" w:rsidP="00E64E14">
            <w:pPr>
              <w:pStyle w:val="TableText"/>
              <w:rPr>
                <w:szCs w:val="16"/>
              </w:rPr>
            </w:pPr>
            <w:r w:rsidRPr="00BE78CA">
              <w:rPr>
                <w:szCs w:val="16"/>
              </w:rPr>
              <w:t>CH</w:t>
            </w:r>
            <w:r w:rsidRPr="00BE78CA">
              <w:rPr>
                <w:szCs w:val="16"/>
                <w:vertAlign w:val="subscript"/>
              </w:rPr>
              <w:t>4</w:t>
            </w:r>
          </w:p>
        </w:tc>
        <w:tc>
          <w:tcPr>
            <w:tcW w:w="1397" w:type="pct"/>
            <w:tcBorders>
              <w:top w:val="single" w:sz="4" w:space="0" w:color="365F91"/>
              <w:left w:val="nil"/>
              <w:bottom w:val="single" w:sz="4" w:space="0" w:color="365F91"/>
              <w:right w:val="nil"/>
            </w:tcBorders>
            <w:shd w:val="clear" w:color="auto" w:fill="FFFFFF"/>
            <w:hideMark/>
          </w:tcPr>
          <w:p w14:paraId="413148C9" w14:textId="77777777" w:rsidR="00FB19C0" w:rsidRPr="00BE78CA" w:rsidRDefault="00FB19C0" w:rsidP="00C26084">
            <w:pPr>
              <w:pStyle w:val="TableText"/>
              <w:rPr>
                <w:szCs w:val="16"/>
              </w:rPr>
            </w:pPr>
            <w:r w:rsidRPr="00BE78CA">
              <w:rPr>
                <w:szCs w:val="16"/>
              </w:rPr>
              <w:t>L1, T1</w:t>
            </w:r>
          </w:p>
        </w:tc>
      </w:tr>
      <w:tr w:rsidR="00FB19C0" w:rsidRPr="00BE78CA" w14:paraId="4FED420E" w14:textId="77777777" w:rsidTr="00C71947">
        <w:tc>
          <w:tcPr>
            <w:tcW w:w="1282" w:type="pct"/>
            <w:tcBorders>
              <w:top w:val="single" w:sz="4" w:space="0" w:color="365F91"/>
              <w:left w:val="nil"/>
              <w:bottom w:val="single" w:sz="4" w:space="0" w:color="365F91"/>
              <w:right w:val="nil"/>
            </w:tcBorders>
            <w:shd w:val="clear" w:color="auto" w:fill="FFFFFF"/>
          </w:tcPr>
          <w:p w14:paraId="24C3E5F9" w14:textId="77777777" w:rsidR="00FB19C0" w:rsidRPr="00BE78CA" w:rsidRDefault="00FB19C0" w:rsidP="00C26084">
            <w:pPr>
              <w:pStyle w:val="TableText"/>
            </w:pPr>
            <w:r w:rsidRPr="00BE78CA">
              <w:t>5.C</w:t>
            </w:r>
          </w:p>
        </w:tc>
        <w:tc>
          <w:tcPr>
            <w:tcW w:w="1875" w:type="pct"/>
            <w:tcBorders>
              <w:top w:val="single" w:sz="4" w:space="0" w:color="365F91"/>
              <w:left w:val="nil"/>
              <w:bottom w:val="single" w:sz="4" w:space="0" w:color="365F91"/>
              <w:right w:val="nil"/>
            </w:tcBorders>
            <w:shd w:val="clear" w:color="auto" w:fill="FFFFFF"/>
          </w:tcPr>
          <w:p w14:paraId="0A5A5A8D" w14:textId="77777777" w:rsidR="00FB19C0" w:rsidRPr="00BE78CA" w:rsidRDefault="00FB19C0" w:rsidP="00C26084">
            <w:pPr>
              <w:pStyle w:val="TableText"/>
              <w:rPr>
                <w:szCs w:val="16"/>
              </w:rPr>
            </w:pPr>
            <w:r w:rsidRPr="00BE78CA">
              <w:rPr>
                <w:szCs w:val="16"/>
              </w:rPr>
              <w:t>Incineration and open burning of waste</w:t>
            </w:r>
          </w:p>
        </w:tc>
        <w:tc>
          <w:tcPr>
            <w:tcW w:w="446" w:type="pct"/>
            <w:tcBorders>
              <w:top w:val="single" w:sz="4" w:space="0" w:color="365F91"/>
              <w:left w:val="nil"/>
              <w:bottom w:val="single" w:sz="4" w:space="0" w:color="365F91"/>
              <w:right w:val="nil"/>
            </w:tcBorders>
            <w:shd w:val="clear" w:color="auto" w:fill="FFFFFF"/>
          </w:tcPr>
          <w:p w14:paraId="47508593" w14:textId="77777777" w:rsidR="00FB19C0" w:rsidRPr="00BE78CA" w:rsidRDefault="00FB19C0" w:rsidP="00E64E14">
            <w:pPr>
              <w:pStyle w:val="TableText"/>
              <w:rPr>
                <w:szCs w:val="16"/>
              </w:rPr>
            </w:pPr>
            <w:r w:rsidRPr="00BE78CA">
              <w:rPr>
                <w:szCs w:val="16"/>
              </w:rPr>
              <w:t>CO</w:t>
            </w:r>
            <w:r w:rsidRPr="00BE78CA">
              <w:rPr>
                <w:szCs w:val="16"/>
                <w:vertAlign w:val="subscript"/>
              </w:rPr>
              <w:t>2</w:t>
            </w:r>
          </w:p>
        </w:tc>
        <w:tc>
          <w:tcPr>
            <w:tcW w:w="1397" w:type="pct"/>
            <w:tcBorders>
              <w:top w:val="single" w:sz="4" w:space="0" w:color="365F91"/>
              <w:left w:val="nil"/>
              <w:bottom w:val="single" w:sz="4" w:space="0" w:color="365F91"/>
              <w:right w:val="nil"/>
            </w:tcBorders>
            <w:shd w:val="clear" w:color="auto" w:fill="FFFFFF"/>
          </w:tcPr>
          <w:p w14:paraId="772134A3" w14:textId="77777777" w:rsidR="00FB19C0" w:rsidRPr="00BE78CA" w:rsidRDefault="00FB19C0" w:rsidP="00C26084">
            <w:pPr>
              <w:pStyle w:val="TableText"/>
              <w:rPr>
                <w:szCs w:val="16"/>
              </w:rPr>
            </w:pPr>
            <w:r w:rsidRPr="00BE78CA">
              <w:rPr>
                <w:szCs w:val="16"/>
              </w:rPr>
              <w:t>T1</w:t>
            </w:r>
          </w:p>
        </w:tc>
      </w:tr>
      <w:tr w:rsidR="00FB19C0" w:rsidRPr="00BE78CA" w14:paraId="38F303FB" w14:textId="77777777" w:rsidTr="00C71947">
        <w:tc>
          <w:tcPr>
            <w:tcW w:w="1282" w:type="pct"/>
            <w:tcBorders>
              <w:top w:val="single" w:sz="4" w:space="0" w:color="365F91"/>
              <w:left w:val="nil"/>
              <w:bottom w:val="single" w:sz="4" w:space="0" w:color="365F91"/>
              <w:right w:val="nil"/>
            </w:tcBorders>
            <w:shd w:val="clear" w:color="auto" w:fill="FFFFFF"/>
            <w:hideMark/>
          </w:tcPr>
          <w:p w14:paraId="5C0C0234" w14:textId="77777777" w:rsidR="00FB19C0" w:rsidRPr="00BE78CA" w:rsidRDefault="00FB19C0" w:rsidP="00C26084">
            <w:pPr>
              <w:pStyle w:val="TableText"/>
            </w:pPr>
            <w:r w:rsidRPr="00BE78CA">
              <w:t>5.D</w:t>
            </w:r>
          </w:p>
        </w:tc>
        <w:tc>
          <w:tcPr>
            <w:tcW w:w="1875" w:type="pct"/>
            <w:tcBorders>
              <w:top w:val="single" w:sz="4" w:space="0" w:color="365F91"/>
              <w:left w:val="nil"/>
              <w:bottom w:val="single" w:sz="4" w:space="0" w:color="365F91"/>
              <w:right w:val="nil"/>
            </w:tcBorders>
            <w:shd w:val="clear" w:color="auto" w:fill="FFFFFF"/>
            <w:hideMark/>
          </w:tcPr>
          <w:p w14:paraId="53BD6D0A" w14:textId="77777777" w:rsidR="00FB19C0" w:rsidRPr="00BE78CA" w:rsidRDefault="00FB19C0" w:rsidP="00C26084">
            <w:pPr>
              <w:pStyle w:val="TableText"/>
              <w:rPr>
                <w:szCs w:val="16"/>
              </w:rPr>
            </w:pPr>
            <w:r w:rsidRPr="00BE78CA">
              <w:rPr>
                <w:szCs w:val="16"/>
              </w:rPr>
              <w:t>Wastewater treatment and discharge</w:t>
            </w:r>
          </w:p>
        </w:tc>
        <w:tc>
          <w:tcPr>
            <w:tcW w:w="446" w:type="pct"/>
            <w:tcBorders>
              <w:top w:val="single" w:sz="4" w:space="0" w:color="365F91"/>
              <w:left w:val="nil"/>
              <w:bottom w:val="single" w:sz="4" w:space="0" w:color="365F91"/>
              <w:right w:val="nil"/>
            </w:tcBorders>
            <w:shd w:val="clear" w:color="auto" w:fill="FFFFFF"/>
            <w:hideMark/>
          </w:tcPr>
          <w:p w14:paraId="250D04E8" w14:textId="77777777" w:rsidR="00FB19C0" w:rsidRPr="00BE78CA" w:rsidRDefault="00FB19C0" w:rsidP="00E64E14">
            <w:pPr>
              <w:pStyle w:val="TableText"/>
              <w:rPr>
                <w:szCs w:val="16"/>
              </w:rPr>
            </w:pPr>
            <w:r w:rsidRPr="00BE78CA">
              <w:rPr>
                <w:szCs w:val="16"/>
              </w:rPr>
              <w:t>CH</w:t>
            </w:r>
            <w:r w:rsidRPr="00BE78CA">
              <w:rPr>
                <w:szCs w:val="16"/>
                <w:vertAlign w:val="subscript"/>
              </w:rPr>
              <w:t>4</w:t>
            </w:r>
          </w:p>
        </w:tc>
        <w:tc>
          <w:tcPr>
            <w:tcW w:w="1397" w:type="pct"/>
            <w:tcBorders>
              <w:top w:val="single" w:sz="4" w:space="0" w:color="365F91"/>
              <w:left w:val="nil"/>
              <w:bottom w:val="single" w:sz="4" w:space="0" w:color="365F91"/>
              <w:right w:val="nil"/>
            </w:tcBorders>
            <w:shd w:val="clear" w:color="auto" w:fill="FFFFFF"/>
            <w:hideMark/>
          </w:tcPr>
          <w:p w14:paraId="7F81FDD0" w14:textId="77777777" w:rsidR="00FB19C0" w:rsidRPr="00BE78CA" w:rsidRDefault="00FB19C0" w:rsidP="00C26084">
            <w:pPr>
              <w:pStyle w:val="TableText"/>
              <w:rPr>
                <w:szCs w:val="16"/>
              </w:rPr>
            </w:pPr>
            <w:r w:rsidRPr="00BE78CA">
              <w:rPr>
                <w:szCs w:val="16"/>
              </w:rPr>
              <w:t>L1</w:t>
            </w:r>
          </w:p>
        </w:tc>
      </w:tr>
    </w:tbl>
    <w:p w14:paraId="5DEC91EB" w14:textId="77777777" w:rsidR="00FB19C0" w:rsidRPr="00BE78CA" w:rsidRDefault="00FB19C0" w:rsidP="00FB19C0">
      <w:pPr>
        <w:pStyle w:val="Noteundertable"/>
        <w:rPr>
          <w:sz w:val="16"/>
          <w:szCs w:val="16"/>
        </w:rPr>
      </w:pPr>
      <w:bookmarkStart w:id="2842" w:name="_Toc280630205"/>
      <w:r w:rsidRPr="00BE78CA">
        <w:rPr>
          <w:b/>
        </w:rPr>
        <w:t>Note:</w:t>
      </w:r>
      <w:r w:rsidRPr="00BE78CA">
        <w:t xml:space="preserve"> </w:t>
      </w:r>
      <w:r w:rsidRPr="00BE78CA">
        <w:tab/>
        <w:t xml:space="preserve">L1 means a key category is identified under the level analysis – approach 1, and T1 is trend analysis </w:t>
      </w:r>
      <w:r w:rsidRPr="00BE78CA">
        <w:br/>
        <w:t>– approach 1. See chapter 1 for more information.</w:t>
      </w:r>
    </w:p>
    <w:p w14:paraId="57A6C720" w14:textId="77777777" w:rsidR="00FB19C0" w:rsidRPr="00BE78CA" w:rsidRDefault="00FB19C0" w:rsidP="00FB19C0">
      <w:pPr>
        <w:pStyle w:val="Heading3"/>
      </w:pPr>
      <w:bookmarkStart w:id="2843" w:name="_Toc32828324"/>
      <w:r w:rsidRPr="00BE78CA">
        <w:t>7.1.4</w:t>
      </w:r>
      <w:r w:rsidRPr="00BE78CA">
        <w:tab/>
        <w:t xml:space="preserve">Methodological issues for </w:t>
      </w:r>
      <w:bookmarkEnd w:id="2829"/>
      <w:bookmarkEnd w:id="2830"/>
      <w:bookmarkEnd w:id="2831"/>
      <w:r w:rsidRPr="00BE78CA">
        <w:t>the Waste sector</w:t>
      </w:r>
      <w:bookmarkEnd w:id="2842"/>
      <w:bookmarkEnd w:id="2843"/>
    </w:p>
    <w:p w14:paraId="3431FFE6" w14:textId="77777777" w:rsidR="00FB19C0" w:rsidRPr="00BE78CA" w:rsidRDefault="00FB19C0" w:rsidP="00FB19C0">
      <w:pPr>
        <w:pStyle w:val="BodyText"/>
      </w:pPr>
      <w:r w:rsidRPr="00BE78CA">
        <w:t xml:space="preserve">Activity data have come from a variety of sources. Municipal solid waste disposal data, from mandatory reporting under the Waste Minimisation Act 2008 and from the NZ ETS, were used for the years for which they are available (2010 onwards). Activity data for all other sources were based on specific surveys. Interpolation based on gross domestic product (GDP) or population is used for other years. </w:t>
      </w:r>
    </w:p>
    <w:p w14:paraId="7D32FC42" w14:textId="77777777" w:rsidR="00FB19C0" w:rsidRPr="00BE78CA" w:rsidRDefault="00FB19C0" w:rsidP="00FB19C0">
      <w:pPr>
        <w:pStyle w:val="BodyText"/>
      </w:pPr>
      <w:r w:rsidRPr="00BE78CA">
        <w:t xml:space="preserve">New Zealand uses Tier 2 methodologies for estimating emissions from the </w:t>
      </w:r>
      <w:r w:rsidRPr="00BE78CA">
        <w:rPr>
          <w:i/>
        </w:rPr>
        <w:t>Solid waste disposal</w:t>
      </w:r>
      <w:r w:rsidRPr="00BE78CA">
        <w:t xml:space="preserve"> source category, which is a key category, and for some wastewater emissions. Tier 1 methods are used to estimate other emissions from the Waste sector.</w:t>
      </w:r>
    </w:p>
    <w:p w14:paraId="28046AC9" w14:textId="77777777" w:rsidR="00FB19C0" w:rsidRPr="00BE78CA" w:rsidRDefault="00FB19C0" w:rsidP="00FB19C0">
      <w:pPr>
        <w:pStyle w:val="BodyText"/>
      </w:pPr>
      <w:r w:rsidRPr="00BE78CA">
        <w:t xml:space="preserve">Country-specific emission factors have been used where available, including parameters for municipal waste and for treatment of some types of industrial wastewater (Cardno, unpublished). </w:t>
      </w:r>
    </w:p>
    <w:p w14:paraId="4C816FC5" w14:textId="77777777" w:rsidR="00FB19C0" w:rsidRPr="00BE78CA" w:rsidRDefault="00FB19C0" w:rsidP="00FB19C0">
      <w:pPr>
        <w:pStyle w:val="BodyText"/>
      </w:pPr>
      <w:r w:rsidRPr="00BE78CA">
        <w:t xml:space="preserve">Methodological issues are discussed under each source category in this chapter. </w:t>
      </w:r>
    </w:p>
    <w:p w14:paraId="1CA9AEBD" w14:textId="77777777" w:rsidR="00FB19C0" w:rsidRPr="00BE78CA" w:rsidRDefault="00FB19C0" w:rsidP="00FB19C0">
      <w:pPr>
        <w:pStyle w:val="Heading3"/>
      </w:pPr>
      <w:bookmarkStart w:id="2844" w:name="_Toc32828325"/>
      <w:r w:rsidRPr="00BE78CA">
        <w:t>7.1.5</w:t>
      </w:r>
      <w:r w:rsidRPr="00BE78CA">
        <w:tab/>
        <w:t>Uncertainties</w:t>
      </w:r>
      <w:bookmarkEnd w:id="2844"/>
    </w:p>
    <w:p w14:paraId="34A137CB" w14:textId="77777777" w:rsidR="00FB19C0" w:rsidRPr="00BE78CA" w:rsidRDefault="00FB19C0" w:rsidP="00FB19C0">
      <w:pPr>
        <w:pStyle w:val="BodyText"/>
      </w:pPr>
      <w:r w:rsidRPr="00BE78CA">
        <w:t>The uncertainties for emission estimates are discussed under each category in this chapter. For most sources, they conform to default uncertainties in the 2006 Intergovernmental Panel on Climate Change (IPCC) Guidelines (IPCC, 2006a). Much higher uncertainties are reported for unmanaged waste, due to uncertainty in the activity data, and for indirect N</w:t>
      </w:r>
      <w:r w:rsidRPr="00BE78CA">
        <w:rPr>
          <w:vertAlign w:val="subscript"/>
        </w:rPr>
        <w:t>2</w:t>
      </w:r>
      <w:r w:rsidRPr="00BE78CA">
        <w:t xml:space="preserve">O emissions from wastewater going into rivers and sea water due to uncertainty in the emission factors. </w:t>
      </w:r>
    </w:p>
    <w:p w14:paraId="27E623E4" w14:textId="77777777" w:rsidR="00FB19C0" w:rsidRPr="00BE78CA" w:rsidRDefault="00FB19C0" w:rsidP="00FB19C0">
      <w:pPr>
        <w:pStyle w:val="Heading3"/>
      </w:pPr>
      <w:bookmarkStart w:id="2845" w:name="_Toc32828326"/>
      <w:r w:rsidRPr="00BE78CA">
        <w:t>7.1.6</w:t>
      </w:r>
      <w:r w:rsidRPr="00BE78CA">
        <w:tab/>
        <w:t>Verification</w:t>
      </w:r>
      <w:bookmarkEnd w:id="2845"/>
    </w:p>
    <w:p w14:paraId="42FB9DB2" w14:textId="77777777" w:rsidR="00FB19C0" w:rsidRPr="00BE78CA" w:rsidRDefault="00FB19C0" w:rsidP="00FB19C0">
      <w:pPr>
        <w:pStyle w:val="BodyText"/>
      </w:pPr>
      <w:r w:rsidRPr="00BE78CA">
        <w:t>Where available, data from different sources were used for verification. All of the municipal landfills report their activity data either monthly or annually under the requirements of the Waste Minimisation Act 2008 and, in addition, most now report activity data and estimated emissions (by mass balance) as part of the NZ ETS. These data sources are used as primary sources or for verification, as appropriate.</w:t>
      </w:r>
    </w:p>
    <w:p w14:paraId="49DD9486" w14:textId="77777777" w:rsidR="00FB19C0" w:rsidRPr="00BE78CA" w:rsidRDefault="00FB19C0" w:rsidP="00FB19C0">
      <w:pPr>
        <w:pStyle w:val="BodyText"/>
      </w:pPr>
      <w:r w:rsidRPr="00BE78CA">
        <w:t xml:space="preserve">Data on wastewater treatment have been obtained from surveys. </w:t>
      </w:r>
    </w:p>
    <w:p w14:paraId="5497B0DF" w14:textId="77777777" w:rsidR="00FB19C0" w:rsidRPr="00BE78CA" w:rsidRDefault="00FB19C0" w:rsidP="00FB19C0">
      <w:pPr>
        <w:pStyle w:val="Heading3"/>
      </w:pPr>
      <w:bookmarkStart w:id="2846" w:name="_Toc32828327"/>
      <w:r w:rsidRPr="00BE78CA">
        <w:lastRenderedPageBreak/>
        <w:t>7.1.7</w:t>
      </w:r>
      <w:r w:rsidRPr="00BE78CA">
        <w:tab/>
        <w:t>Recalculations and improvements</w:t>
      </w:r>
      <w:bookmarkEnd w:id="2846"/>
    </w:p>
    <w:p w14:paraId="5A692CD5" w14:textId="77777777" w:rsidR="00FB19C0" w:rsidRPr="00BE78CA" w:rsidRDefault="00FB19C0" w:rsidP="00FB19C0">
      <w:pPr>
        <w:pStyle w:val="BodyText"/>
        <w:rPr>
          <w:rFonts w:eastAsia="Arial"/>
        </w:rPr>
      </w:pPr>
      <w:bookmarkStart w:id="2847" w:name="_Hlk63625486"/>
      <w:r w:rsidRPr="00BE78CA">
        <w:rPr>
          <w:rFonts w:eastAsia="Arial"/>
        </w:rPr>
        <w:t>Improvements and recalculations made to estimates in the Waste sector have resulted in a 2.1 per cent (86.3 kt CO</w:t>
      </w:r>
      <w:r w:rsidRPr="00BE78CA">
        <w:rPr>
          <w:rFonts w:eastAsia="Arial"/>
          <w:vertAlign w:val="subscript"/>
        </w:rPr>
        <w:t>2</w:t>
      </w:r>
      <w:r w:rsidRPr="00BE78CA">
        <w:rPr>
          <w:rFonts w:eastAsia="Arial"/>
        </w:rPr>
        <w:t>-e) decrease in emissions in 1990 and a 17.1 per cent (692.1 kt CO</w:t>
      </w:r>
      <w:r w:rsidRPr="00BE78CA">
        <w:rPr>
          <w:rFonts w:eastAsia="Arial"/>
          <w:vertAlign w:val="subscript"/>
        </w:rPr>
        <w:t>2</w:t>
      </w:r>
      <w:r w:rsidRPr="00BE78CA">
        <w:rPr>
          <w:rFonts w:eastAsia="Arial"/>
        </w:rPr>
        <w:t xml:space="preserve">-e) decrease in emissions in 2018. Several large improvements and recalculations have been made to the Waste sector in the 2021 submission, along with some other smaller changes. </w:t>
      </w:r>
      <w:bookmarkStart w:id="2848" w:name="_Hlk63624796"/>
      <w:r w:rsidRPr="00BE78CA">
        <w:rPr>
          <w:rFonts w:eastAsia="Arial"/>
        </w:rPr>
        <w:t xml:space="preserve">The methods for </w:t>
      </w:r>
      <w:r w:rsidRPr="00BE78CA">
        <w:rPr>
          <w:rFonts w:eastAsia="Arial"/>
          <w:i/>
          <w:iCs/>
        </w:rPr>
        <w:t>Managed waste disposal sites</w:t>
      </w:r>
      <w:r w:rsidRPr="00BE78CA">
        <w:rPr>
          <w:rFonts w:eastAsia="Arial"/>
        </w:rPr>
        <w:t xml:space="preserve"> have been significantly revised, causing emissions to occur earlier in the time series, and largely explain the overall decreasing trend toward the end of the time series in the Waste sector. </w:t>
      </w:r>
      <w:bookmarkEnd w:id="2848"/>
      <w:r w:rsidRPr="00BE78CA">
        <w:rPr>
          <w:rFonts w:eastAsia="Arial"/>
        </w:rPr>
        <w:t xml:space="preserve">Further key changes in estimates for </w:t>
      </w:r>
      <w:r w:rsidRPr="00BE78CA">
        <w:rPr>
          <w:rFonts w:eastAsia="Arial"/>
          <w:i/>
          <w:iCs/>
        </w:rPr>
        <w:t>Unmanaged waste disposal sites</w:t>
      </w:r>
      <w:r w:rsidRPr="00BE78CA">
        <w:rPr>
          <w:rFonts w:eastAsia="Arial"/>
        </w:rPr>
        <w:t xml:space="preserve"> and </w:t>
      </w:r>
      <w:r w:rsidRPr="00BE78CA">
        <w:rPr>
          <w:rFonts w:eastAsia="Arial"/>
          <w:i/>
          <w:iCs/>
        </w:rPr>
        <w:t>Open burning of waste</w:t>
      </w:r>
      <w:r w:rsidRPr="00BE78CA">
        <w:rPr>
          <w:rFonts w:eastAsia="Arial"/>
        </w:rPr>
        <w:t xml:space="preserve"> have reduced emissions overall, mainly due to significantly increasing the proportion of farm waste burned instead of buried. Farm waste contains a lot of wood-based material, so burning it produces far fewer emissions than burying. </w:t>
      </w:r>
    </w:p>
    <w:bookmarkEnd w:id="2847"/>
    <w:p w14:paraId="0FE9CEB5" w14:textId="77777777" w:rsidR="00FB19C0" w:rsidRPr="00BE78CA" w:rsidRDefault="00FB19C0" w:rsidP="00FB19C0">
      <w:pPr>
        <w:pStyle w:val="BodyText"/>
      </w:pPr>
      <w:r w:rsidRPr="00BE78CA">
        <w:t>Further details can be found under methodological issues for each source category and also in chapter 10.</w:t>
      </w:r>
    </w:p>
    <w:p w14:paraId="17ABBBBD" w14:textId="77777777" w:rsidR="00FB19C0" w:rsidRPr="00BE78CA" w:rsidRDefault="00FB19C0" w:rsidP="00FB19C0">
      <w:pPr>
        <w:pStyle w:val="Heading3"/>
      </w:pPr>
      <w:bookmarkStart w:id="2849" w:name="_Toc32828328"/>
      <w:r w:rsidRPr="00BE78CA">
        <w:t>7.1.8</w:t>
      </w:r>
      <w:r w:rsidRPr="00BE78CA">
        <w:tab/>
        <w:t>Quality-assurance/quality-control (QA/QC) processes</w:t>
      </w:r>
      <w:bookmarkEnd w:id="2849"/>
    </w:p>
    <w:p w14:paraId="324E0E2A" w14:textId="77777777" w:rsidR="00FB19C0" w:rsidRPr="00BE78CA" w:rsidRDefault="00FB19C0" w:rsidP="00FB19C0">
      <w:pPr>
        <w:pStyle w:val="BodyText"/>
      </w:pPr>
      <w:r w:rsidRPr="00BE78CA">
        <w:t>Figure 7.1.4 shows a flow diagram for data in the Waste sector, including quality-assurance and quality-control processes. Tier 1 quality checks were carried out on all data for key categories in this sector.</w:t>
      </w:r>
    </w:p>
    <w:p w14:paraId="77822630" w14:textId="77777777" w:rsidR="00FB19C0" w:rsidRPr="00BE78CA" w:rsidRDefault="00FB19C0" w:rsidP="00FB19C0">
      <w:pPr>
        <w:pStyle w:val="Figure"/>
      </w:pPr>
      <w:bookmarkStart w:id="2850" w:name="_Toc32828377"/>
      <w:bookmarkStart w:id="2851" w:name="_Toc5269718"/>
      <w:bookmarkStart w:id="2852" w:name="_Toc511116989"/>
      <w:bookmarkStart w:id="2853" w:name="_Toc481752038"/>
      <w:bookmarkStart w:id="2854" w:name="_Toc447275719"/>
      <w:bookmarkStart w:id="2855" w:name="_Toc444001675"/>
      <w:bookmarkStart w:id="2856" w:name="_Toc36292821"/>
      <w:bookmarkStart w:id="2857" w:name="_Toc68786687"/>
      <w:r w:rsidRPr="00BE78CA">
        <w:t xml:space="preserve">Figure 7.1.4 </w:t>
      </w:r>
      <w:r w:rsidRPr="00BE78CA">
        <w:tab/>
        <w:t>Tier 1 quality checks for the Waste sector</w:t>
      </w:r>
      <w:bookmarkEnd w:id="2850"/>
      <w:bookmarkEnd w:id="2851"/>
      <w:bookmarkEnd w:id="2852"/>
      <w:bookmarkEnd w:id="2853"/>
      <w:bookmarkEnd w:id="2854"/>
      <w:bookmarkEnd w:id="2855"/>
      <w:bookmarkEnd w:id="2856"/>
      <w:bookmarkEnd w:id="2857"/>
    </w:p>
    <w:p w14:paraId="570003D6" w14:textId="77777777" w:rsidR="00FB19C0" w:rsidRPr="00BE78CA" w:rsidRDefault="00FB19C0" w:rsidP="00FB19C0">
      <w:pPr>
        <w:pStyle w:val="BodyText"/>
        <w:jc w:val="center"/>
      </w:pPr>
      <w:r w:rsidRPr="00BE78CA">
        <w:object w:dxaOrig="9481" w:dyaOrig="8077" w14:anchorId="60CEFA2F">
          <v:shape id="_x0000_i1081" type="#_x0000_t75" style="width:403.45pt;height:337.6pt" o:ole="">
            <v:imagedata r:id="rId242" o:title=""/>
          </v:shape>
          <o:OLEObject Type="Embed" ProgID="Visio.Drawing.11" ShapeID="_x0000_i1081" DrawAspect="Content" ObjectID="_1679402794" r:id="rId243"/>
        </w:object>
      </w:r>
    </w:p>
    <w:p w14:paraId="36A00115" w14:textId="77777777" w:rsidR="00FB19C0" w:rsidRPr="00BE78CA" w:rsidRDefault="00FB19C0" w:rsidP="00FB19C0">
      <w:pPr>
        <w:pStyle w:val="Heading2"/>
      </w:pPr>
      <w:bookmarkStart w:id="2858" w:name="_Toc32828329"/>
      <w:bookmarkStart w:id="2859" w:name="_Toc5269387"/>
      <w:bookmarkStart w:id="2860" w:name="_Toc511116625"/>
      <w:bookmarkStart w:id="2861" w:name="_Toc481751410"/>
      <w:bookmarkStart w:id="2862" w:name="_Toc448321548"/>
      <w:bookmarkStart w:id="2863" w:name="_Toc36224427"/>
      <w:bookmarkStart w:id="2864" w:name="_Toc68786347"/>
      <w:r w:rsidRPr="00BE78CA">
        <w:lastRenderedPageBreak/>
        <w:t>7.2</w:t>
      </w:r>
      <w:r w:rsidRPr="00BE78CA">
        <w:tab/>
        <w:t>Solid waste disposal (5.A)</w:t>
      </w:r>
      <w:bookmarkEnd w:id="2858"/>
      <w:bookmarkEnd w:id="2859"/>
      <w:bookmarkEnd w:id="2860"/>
      <w:bookmarkEnd w:id="2861"/>
      <w:bookmarkEnd w:id="2862"/>
      <w:bookmarkEnd w:id="2863"/>
      <w:bookmarkEnd w:id="2864"/>
    </w:p>
    <w:p w14:paraId="33566263" w14:textId="77777777" w:rsidR="00FB19C0" w:rsidRPr="00BE78CA" w:rsidRDefault="00FB19C0" w:rsidP="00FB19C0">
      <w:pPr>
        <w:pStyle w:val="Heading3"/>
        <w:spacing w:before="160"/>
      </w:pPr>
      <w:bookmarkStart w:id="2865" w:name="_Toc32828330"/>
      <w:r w:rsidRPr="00BE78CA">
        <w:t>7.2.1</w:t>
      </w:r>
      <w:r w:rsidRPr="00BE78CA">
        <w:tab/>
        <w:t>Description</w:t>
      </w:r>
      <w:bookmarkEnd w:id="2865"/>
    </w:p>
    <w:p w14:paraId="14094F0D" w14:textId="77777777" w:rsidR="00FB19C0" w:rsidRPr="00BE78CA" w:rsidRDefault="00FB19C0" w:rsidP="00FB19C0">
      <w:pPr>
        <w:pStyle w:val="BodyText"/>
      </w:pPr>
      <w:r w:rsidRPr="00BE78CA">
        <w:t xml:space="preserve">Household and industrial solid waste in New Zealand is disposed of almost exclusively to landfills, except some farm waste that is disposed by open burning. The three broad types of landfill sites in New Zealand are: </w:t>
      </w:r>
    </w:p>
    <w:p w14:paraId="442A6C74" w14:textId="77777777" w:rsidR="00FB19C0" w:rsidRPr="00BE78CA" w:rsidRDefault="00FB19C0" w:rsidP="0033173C">
      <w:pPr>
        <w:pStyle w:val="BodyText"/>
        <w:numPr>
          <w:ilvl w:val="0"/>
          <w:numId w:val="34"/>
        </w:numPr>
        <w:spacing w:before="0"/>
        <w:ind w:left="397" w:hanging="397"/>
      </w:pPr>
      <w:r w:rsidRPr="00BE78CA">
        <w:t>municipal landfills, which are used for disposal of household waste but may also accept industrial waste or other types of solid waste</w:t>
      </w:r>
    </w:p>
    <w:p w14:paraId="2A8F89F7" w14:textId="77777777" w:rsidR="00FB19C0" w:rsidRPr="00BE78CA" w:rsidRDefault="00FB19C0" w:rsidP="0033173C">
      <w:pPr>
        <w:pStyle w:val="BodyText"/>
        <w:numPr>
          <w:ilvl w:val="0"/>
          <w:numId w:val="34"/>
        </w:numPr>
        <w:spacing w:before="0"/>
        <w:ind w:left="397" w:hanging="397"/>
      </w:pPr>
      <w:r w:rsidRPr="00BE78CA">
        <w:t xml:space="preserve">non-municipal landfills or significant landfill sites that do not accept household waste. These include cleanfills (sites disposing of largely inert waste), industrial fills and sites that dispose of construction and demolition waste </w:t>
      </w:r>
    </w:p>
    <w:p w14:paraId="5FAC8AD1" w14:textId="77777777" w:rsidR="00FB19C0" w:rsidRPr="00BE78CA" w:rsidRDefault="00FB19C0" w:rsidP="0033173C">
      <w:pPr>
        <w:pStyle w:val="BodyText"/>
        <w:numPr>
          <w:ilvl w:val="0"/>
          <w:numId w:val="34"/>
        </w:numPr>
        <w:spacing w:before="0"/>
        <w:ind w:left="397" w:hanging="397"/>
      </w:pPr>
      <w:r w:rsidRPr="00BE78CA">
        <w:t>farm fills, which are used for disposal of household and other on-farm waste to land; disposal of waste to land (in addition to open burning) is prevalent on farms in New Zealand.</w:t>
      </w:r>
    </w:p>
    <w:p w14:paraId="795655B4" w14:textId="77777777" w:rsidR="00FB19C0" w:rsidRPr="00BE78CA" w:rsidRDefault="00FB19C0" w:rsidP="00FB19C0">
      <w:pPr>
        <w:pStyle w:val="BodyText"/>
      </w:pPr>
      <w:r w:rsidRPr="00BE78CA">
        <w:t>These types of landfill sites map on to the CRF tables, as shown in table 7.2.1. All currently operational municipal landfill sites are managed sites (IPCC, 2006a) but some emissions also come from uncategorised municipal landfill sites, which were in operation before 2010.</w:t>
      </w:r>
    </w:p>
    <w:p w14:paraId="0022DC2C" w14:textId="77777777" w:rsidR="00FB19C0" w:rsidRPr="00BE78CA" w:rsidRDefault="00FB19C0" w:rsidP="00FB19C0">
      <w:pPr>
        <w:pStyle w:val="Table"/>
      </w:pPr>
      <w:bookmarkStart w:id="2866" w:name="_Toc32828518"/>
      <w:bookmarkStart w:id="2867" w:name="_Toc32591348"/>
      <w:bookmarkStart w:id="2868" w:name="_Toc5269561"/>
      <w:bookmarkStart w:id="2869" w:name="_Toc511116820"/>
      <w:bookmarkStart w:id="2870" w:name="_Toc508019322"/>
      <w:bookmarkStart w:id="2871" w:name="_Toc481751599"/>
      <w:bookmarkStart w:id="2872" w:name="_Toc451176169"/>
      <w:bookmarkStart w:id="2873" w:name="_Toc444001617"/>
      <w:bookmarkStart w:id="2874" w:name="_Toc36224641"/>
      <w:bookmarkStart w:id="2875" w:name="_Toc68786528"/>
      <w:r w:rsidRPr="00BE78CA">
        <w:t xml:space="preserve">Table 7.2.1 </w:t>
      </w:r>
      <w:r w:rsidRPr="00BE78CA">
        <w:tab/>
        <w:t>Landfill emissions in the common reporting format table</w:t>
      </w:r>
      <w:bookmarkEnd w:id="2866"/>
      <w:bookmarkEnd w:id="2867"/>
      <w:bookmarkEnd w:id="2868"/>
      <w:bookmarkEnd w:id="2869"/>
      <w:bookmarkEnd w:id="2870"/>
      <w:bookmarkEnd w:id="2871"/>
      <w:bookmarkEnd w:id="2872"/>
      <w:bookmarkEnd w:id="2873"/>
      <w:bookmarkEnd w:id="2874"/>
      <w:bookmarkEnd w:id="2875"/>
    </w:p>
    <w:tbl>
      <w:tblPr>
        <w:tblW w:w="8505" w:type="dxa"/>
        <w:tblLook w:val="04A0" w:firstRow="1" w:lastRow="0" w:firstColumn="1" w:lastColumn="0" w:noHBand="0" w:noVBand="1"/>
      </w:tblPr>
      <w:tblGrid>
        <w:gridCol w:w="1843"/>
        <w:gridCol w:w="2268"/>
        <w:gridCol w:w="4394"/>
      </w:tblGrid>
      <w:tr w:rsidR="00FB19C0" w:rsidRPr="00BE78CA" w14:paraId="2F157EB6" w14:textId="77777777" w:rsidTr="00C71947">
        <w:tc>
          <w:tcPr>
            <w:tcW w:w="1843" w:type="dxa"/>
            <w:tcBorders>
              <w:top w:val="single" w:sz="4" w:space="0" w:color="365F91"/>
              <w:left w:val="nil"/>
              <w:bottom w:val="single" w:sz="4" w:space="0" w:color="365F91"/>
              <w:right w:val="nil"/>
            </w:tcBorders>
            <w:shd w:val="clear" w:color="auto" w:fill="365F91"/>
            <w:hideMark/>
          </w:tcPr>
          <w:p w14:paraId="5465282C" w14:textId="77777777" w:rsidR="00FB19C0" w:rsidRPr="00BE78CA" w:rsidRDefault="00FB19C0" w:rsidP="00C26084">
            <w:pPr>
              <w:pStyle w:val="TableTextBold"/>
              <w:keepNext/>
              <w:rPr>
                <w:noProof w:val="0"/>
                <w:color w:val="FFFFFF"/>
              </w:rPr>
            </w:pPr>
            <w:r w:rsidRPr="00BE78CA">
              <w:rPr>
                <w:noProof w:val="0"/>
                <w:color w:val="FFFFFF"/>
              </w:rPr>
              <w:t>CRF category code</w:t>
            </w:r>
          </w:p>
        </w:tc>
        <w:tc>
          <w:tcPr>
            <w:tcW w:w="2268" w:type="dxa"/>
            <w:tcBorders>
              <w:top w:val="single" w:sz="4" w:space="0" w:color="365F91"/>
              <w:left w:val="nil"/>
              <w:bottom w:val="single" w:sz="4" w:space="0" w:color="365F91"/>
              <w:right w:val="nil"/>
            </w:tcBorders>
            <w:shd w:val="clear" w:color="auto" w:fill="365F91"/>
            <w:hideMark/>
          </w:tcPr>
          <w:p w14:paraId="47C315EC" w14:textId="77777777" w:rsidR="00FB19C0" w:rsidRPr="00BE78CA" w:rsidRDefault="00FB19C0" w:rsidP="00C26084">
            <w:pPr>
              <w:pStyle w:val="TableTextBold"/>
              <w:keepNext/>
              <w:rPr>
                <w:noProof w:val="0"/>
                <w:color w:val="FFFFFF"/>
              </w:rPr>
            </w:pPr>
            <w:r w:rsidRPr="00BE78CA">
              <w:rPr>
                <w:noProof w:val="0"/>
                <w:color w:val="FFFFFF"/>
              </w:rPr>
              <w:t xml:space="preserve">Landfill type </w:t>
            </w:r>
          </w:p>
        </w:tc>
        <w:tc>
          <w:tcPr>
            <w:tcW w:w="4394" w:type="dxa"/>
            <w:tcBorders>
              <w:top w:val="single" w:sz="4" w:space="0" w:color="365F91"/>
              <w:left w:val="nil"/>
              <w:bottom w:val="single" w:sz="4" w:space="0" w:color="365F91"/>
              <w:right w:val="nil"/>
            </w:tcBorders>
            <w:shd w:val="clear" w:color="auto" w:fill="365F91"/>
            <w:hideMark/>
          </w:tcPr>
          <w:p w14:paraId="222CE337" w14:textId="77777777" w:rsidR="00FB19C0" w:rsidRPr="00BE78CA" w:rsidRDefault="00FB19C0" w:rsidP="00C26084">
            <w:pPr>
              <w:pStyle w:val="TableTextBold"/>
              <w:keepNext/>
              <w:rPr>
                <w:noProof w:val="0"/>
                <w:color w:val="FFFFFF"/>
              </w:rPr>
            </w:pPr>
            <w:r w:rsidRPr="00BE78CA">
              <w:rPr>
                <w:noProof w:val="0"/>
                <w:color w:val="FFFFFF"/>
              </w:rPr>
              <w:t>Comment</w:t>
            </w:r>
          </w:p>
        </w:tc>
      </w:tr>
      <w:tr w:rsidR="00FB19C0" w:rsidRPr="00BE78CA" w14:paraId="1F8F85D0" w14:textId="77777777" w:rsidTr="00C71947">
        <w:tc>
          <w:tcPr>
            <w:tcW w:w="1843" w:type="dxa"/>
            <w:tcBorders>
              <w:top w:val="single" w:sz="4" w:space="0" w:color="365F91"/>
              <w:left w:val="nil"/>
              <w:bottom w:val="single" w:sz="4" w:space="0" w:color="365F91"/>
              <w:right w:val="nil"/>
            </w:tcBorders>
            <w:hideMark/>
          </w:tcPr>
          <w:p w14:paraId="66AADBC4" w14:textId="77777777" w:rsidR="00FB19C0" w:rsidRPr="00BE78CA" w:rsidRDefault="00FB19C0" w:rsidP="00C26084">
            <w:pPr>
              <w:pStyle w:val="TableText"/>
              <w:keepNext/>
            </w:pPr>
            <w:r w:rsidRPr="00BE78CA">
              <w:t>5.A.1.a (Anaerobic)</w:t>
            </w:r>
          </w:p>
        </w:tc>
        <w:tc>
          <w:tcPr>
            <w:tcW w:w="2268" w:type="dxa"/>
            <w:tcBorders>
              <w:top w:val="single" w:sz="4" w:space="0" w:color="365F91"/>
              <w:left w:val="nil"/>
              <w:bottom w:val="single" w:sz="4" w:space="0" w:color="365F91"/>
              <w:right w:val="nil"/>
            </w:tcBorders>
            <w:hideMark/>
          </w:tcPr>
          <w:p w14:paraId="43BDCB44" w14:textId="77777777" w:rsidR="00FB19C0" w:rsidRPr="00BE78CA" w:rsidRDefault="00FB19C0" w:rsidP="00C26084">
            <w:pPr>
              <w:pStyle w:val="TableText"/>
              <w:keepNext/>
            </w:pPr>
            <w:r w:rsidRPr="00BE78CA">
              <w:t>Managed municipal landfills</w:t>
            </w:r>
          </w:p>
        </w:tc>
        <w:tc>
          <w:tcPr>
            <w:tcW w:w="4394" w:type="dxa"/>
            <w:tcBorders>
              <w:top w:val="single" w:sz="4" w:space="0" w:color="365F91"/>
              <w:left w:val="nil"/>
              <w:bottom w:val="single" w:sz="4" w:space="0" w:color="365F91"/>
              <w:right w:val="nil"/>
            </w:tcBorders>
            <w:hideMark/>
          </w:tcPr>
          <w:p w14:paraId="632BBA1B" w14:textId="77777777" w:rsidR="00FB19C0" w:rsidRPr="00BE78CA" w:rsidRDefault="00FB19C0" w:rsidP="00C26084">
            <w:pPr>
              <w:pStyle w:val="TableText"/>
              <w:keepNext/>
              <w:rPr>
                <w:rFonts w:cs="Arial"/>
                <w:szCs w:val="16"/>
              </w:rPr>
            </w:pPr>
            <w:r w:rsidRPr="00BE78CA">
              <w:rPr>
                <w:rFonts w:cs="Arial"/>
                <w:szCs w:val="16"/>
              </w:rPr>
              <w:t>Includes all currently operational municipal landfill sites and all sites with gas recovery</w:t>
            </w:r>
          </w:p>
        </w:tc>
      </w:tr>
      <w:tr w:rsidR="00FB19C0" w:rsidRPr="00BE78CA" w14:paraId="5A17C809" w14:textId="77777777" w:rsidTr="00C71947">
        <w:tc>
          <w:tcPr>
            <w:tcW w:w="1843" w:type="dxa"/>
            <w:tcBorders>
              <w:top w:val="single" w:sz="4" w:space="0" w:color="365F91"/>
              <w:left w:val="nil"/>
              <w:bottom w:val="single" w:sz="4" w:space="0" w:color="365F91"/>
              <w:right w:val="nil"/>
            </w:tcBorders>
            <w:hideMark/>
          </w:tcPr>
          <w:p w14:paraId="600D3488" w14:textId="77777777" w:rsidR="00FB19C0" w:rsidRPr="00BE78CA" w:rsidRDefault="00FB19C0" w:rsidP="00C26084">
            <w:pPr>
              <w:pStyle w:val="TableText"/>
            </w:pPr>
            <w:r w:rsidRPr="00BE78CA">
              <w:t>5.A.1.b (Semi-aerobic)</w:t>
            </w:r>
          </w:p>
        </w:tc>
        <w:tc>
          <w:tcPr>
            <w:tcW w:w="2268" w:type="dxa"/>
            <w:tcBorders>
              <w:top w:val="single" w:sz="4" w:space="0" w:color="365F91"/>
              <w:left w:val="nil"/>
              <w:bottom w:val="single" w:sz="4" w:space="0" w:color="365F91"/>
              <w:right w:val="nil"/>
            </w:tcBorders>
            <w:hideMark/>
          </w:tcPr>
          <w:p w14:paraId="75A5398B" w14:textId="77777777" w:rsidR="00FB19C0" w:rsidRPr="00BE78CA" w:rsidRDefault="00FB19C0" w:rsidP="00C26084">
            <w:pPr>
              <w:pStyle w:val="TableText"/>
            </w:pPr>
            <w:r w:rsidRPr="00BE78CA">
              <w:t>–</w:t>
            </w:r>
          </w:p>
        </w:tc>
        <w:tc>
          <w:tcPr>
            <w:tcW w:w="4394" w:type="dxa"/>
            <w:tcBorders>
              <w:top w:val="single" w:sz="4" w:space="0" w:color="365F91"/>
              <w:left w:val="nil"/>
              <w:bottom w:val="single" w:sz="4" w:space="0" w:color="365F91"/>
              <w:right w:val="nil"/>
            </w:tcBorders>
            <w:hideMark/>
          </w:tcPr>
          <w:p w14:paraId="5E9D782A" w14:textId="77777777" w:rsidR="00FB19C0" w:rsidRPr="00BE78CA" w:rsidRDefault="00FB19C0" w:rsidP="00C26084">
            <w:pPr>
              <w:pStyle w:val="TableText"/>
              <w:rPr>
                <w:rFonts w:cs="Arial"/>
                <w:szCs w:val="16"/>
              </w:rPr>
            </w:pPr>
            <w:r w:rsidRPr="00BE78CA">
              <w:rPr>
                <w:rFonts w:cs="Arial"/>
                <w:szCs w:val="16"/>
              </w:rPr>
              <w:t>No semi-aerobic landfill sites identified in New Zealand</w:t>
            </w:r>
          </w:p>
        </w:tc>
      </w:tr>
      <w:tr w:rsidR="00FB19C0" w:rsidRPr="00BE78CA" w14:paraId="0A2592FC" w14:textId="77777777" w:rsidTr="00C71947">
        <w:tc>
          <w:tcPr>
            <w:tcW w:w="1843" w:type="dxa"/>
            <w:tcBorders>
              <w:top w:val="single" w:sz="4" w:space="0" w:color="365F91"/>
              <w:left w:val="nil"/>
              <w:bottom w:val="single" w:sz="4" w:space="0" w:color="365F91"/>
              <w:right w:val="nil"/>
            </w:tcBorders>
            <w:hideMark/>
          </w:tcPr>
          <w:p w14:paraId="5D61E6DF" w14:textId="77777777" w:rsidR="00FB19C0" w:rsidRPr="00BE78CA" w:rsidRDefault="00FB19C0" w:rsidP="00C26084">
            <w:pPr>
              <w:pStyle w:val="TableText"/>
              <w:rPr>
                <w:rFonts w:cs="Arial"/>
                <w:szCs w:val="16"/>
              </w:rPr>
            </w:pPr>
            <w:r w:rsidRPr="00BE78CA">
              <w:t>5.A.2 (Unmanaged)</w:t>
            </w:r>
          </w:p>
        </w:tc>
        <w:tc>
          <w:tcPr>
            <w:tcW w:w="2268" w:type="dxa"/>
            <w:tcBorders>
              <w:top w:val="single" w:sz="4" w:space="0" w:color="365F91"/>
              <w:left w:val="nil"/>
              <w:bottom w:val="single" w:sz="4" w:space="0" w:color="365F91"/>
              <w:right w:val="nil"/>
            </w:tcBorders>
            <w:hideMark/>
          </w:tcPr>
          <w:p w14:paraId="0FE2DE8B" w14:textId="77777777" w:rsidR="00FB19C0" w:rsidRPr="00BE78CA" w:rsidRDefault="00FB19C0" w:rsidP="00C26084">
            <w:pPr>
              <w:pStyle w:val="TableText"/>
            </w:pPr>
            <w:r w:rsidRPr="00BE78CA">
              <w:rPr>
                <w:rFonts w:cs="Arial"/>
                <w:szCs w:val="16"/>
              </w:rPr>
              <w:t>Non-municipal landfills</w:t>
            </w:r>
          </w:p>
        </w:tc>
        <w:tc>
          <w:tcPr>
            <w:tcW w:w="4394" w:type="dxa"/>
            <w:tcBorders>
              <w:top w:val="single" w:sz="4" w:space="0" w:color="365F91"/>
              <w:left w:val="nil"/>
              <w:bottom w:val="single" w:sz="4" w:space="0" w:color="365F91"/>
              <w:right w:val="nil"/>
            </w:tcBorders>
            <w:hideMark/>
          </w:tcPr>
          <w:p w14:paraId="0D8032B2" w14:textId="77777777" w:rsidR="00FB19C0" w:rsidRPr="00BE78CA" w:rsidRDefault="00FB19C0" w:rsidP="00C26084">
            <w:pPr>
              <w:pStyle w:val="TableText"/>
              <w:rPr>
                <w:rFonts w:cs="Arial"/>
                <w:szCs w:val="16"/>
              </w:rPr>
            </w:pPr>
            <w:r w:rsidRPr="00BE78CA">
              <w:rPr>
                <w:rFonts w:cs="Arial"/>
                <w:szCs w:val="16"/>
              </w:rPr>
              <w:t>Includes industrial landfills</w:t>
            </w:r>
          </w:p>
        </w:tc>
      </w:tr>
      <w:tr w:rsidR="00FB19C0" w:rsidRPr="00BE78CA" w14:paraId="4831D7A1" w14:textId="77777777" w:rsidTr="00C71947">
        <w:tc>
          <w:tcPr>
            <w:tcW w:w="1843" w:type="dxa"/>
            <w:tcBorders>
              <w:top w:val="single" w:sz="4" w:space="0" w:color="365F91"/>
              <w:left w:val="nil"/>
              <w:bottom w:val="single" w:sz="4" w:space="0" w:color="365F91"/>
              <w:right w:val="nil"/>
            </w:tcBorders>
            <w:hideMark/>
          </w:tcPr>
          <w:p w14:paraId="5E84897D" w14:textId="77777777" w:rsidR="00FB19C0" w:rsidRPr="00BE78CA" w:rsidRDefault="00FB19C0" w:rsidP="00C26084">
            <w:pPr>
              <w:pStyle w:val="TableText"/>
              <w:rPr>
                <w:rFonts w:cs="Arial"/>
                <w:szCs w:val="16"/>
              </w:rPr>
            </w:pPr>
            <w:r w:rsidRPr="00BE78CA">
              <w:t>5.A.2 (Unmanaged)</w:t>
            </w:r>
          </w:p>
        </w:tc>
        <w:tc>
          <w:tcPr>
            <w:tcW w:w="2268" w:type="dxa"/>
            <w:tcBorders>
              <w:top w:val="single" w:sz="4" w:space="0" w:color="365F91"/>
              <w:left w:val="nil"/>
              <w:bottom w:val="single" w:sz="4" w:space="0" w:color="365F91"/>
              <w:right w:val="nil"/>
            </w:tcBorders>
            <w:hideMark/>
          </w:tcPr>
          <w:p w14:paraId="1D9B663D" w14:textId="77777777" w:rsidR="00FB19C0" w:rsidRPr="00BE78CA" w:rsidRDefault="00FB19C0" w:rsidP="00C26084">
            <w:pPr>
              <w:pStyle w:val="TableText"/>
              <w:rPr>
                <w:rFonts w:cs="Arial"/>
                <w:szCs w:val="16"/>
              </w:rPr>
            </w:pPr>
            <w:r w:rsidRPr="00BE78CA">
              <w:rPr>
                <w:rFonts w:cs="Arial"/>
                <w:szCs w:val="16"/>
              </w:rPr>
              <w:t>Farm fills</w:t>
            </w:r>
          </w:p>
        </w:tc>
        <w:tc>
          <w:tcPr>
            <w:tcW w:w="4394" w:type="dxa"/>
            <w:tcBorders>
              <w:top w:val="single" w:sz="4" w:space="0" w:color="365F91"/>
              <w:left w:val="nil"/>
              <w:bottom w:val="single" w:sz="4" w:space="0" w:color="365F91"/>
              <w:right w:val="nil"/>
            </w:tcBorders>
            <w:hideMark/>
          </w:tcPr>
          <w:p w14:paraId="6DAE063A" w14:textId="77777777" w:rsidR="00FB19C0" w:rsidRPr="00BE78CA" w:rsidRDefault="00FB19C0" w:rsidP="00C26084">
            <w:pPr>
              <w:pStyle w:val="TableText"/>
              <w:rPr>
                <w:rFonts w:cs="Arial"/>
                <w:szCs w:val="16"/>
                <w:highlight w:val="yellow"/>
              </w:rPr>
            </w:pPr>
            <w:r w:rsidRPr="00BE78CA">
              <w:rPr>
                <w:rFonts w:cs="Arial"/>
                <w:szCs w:val="16"/>
              </w:rPr>
              <w:t>Disposal of some waste on farms</w:t>
            </w:r>
          </w:p>
        </w:tc>
      </w:tr>
      <w:tr w:rsidR="00FB19C0" w:rsidRPr="00BE78CA" w14:paraId="1CD7416A" w14:textId="77777777" w:rsidTr="00C71947">
        <w:tc>
          <w:tcPr>
            <w:tcW w:w="1843" w:type="dxa"/>
            <w:tcBorders>
              <w:top w:val="single" w:sz="4" w:space="0" w:color="365F91"/>
              <w:left w:val="nil"/>
              <w:bottom w:val="single" w:sz="4" w:space="0" w:color="365F91"/>
              <w:right w:val="nil"/>
            </w:tcBorders>
            <w:hideMark/>
          </w:tcPr>
          <w:p w14:paraId="3B2A1F5E" w14:textId="77777777" w:rsidR="00FB19C0" w:rsidRPr="00BE78CA" w:rsidRDefault="00FB19C0" w:rsidP="00C26084">
            <w:pPr>
              <w:pStyle w:val="TableText"/>
            </w:pPr>
            <w:r w:rsidRPr="00BE78CA">
              <w:t>5.A.3 (Uncategorised)</w:t>
            </w:r>
          </w:p>
        </w:tc>
        <w:tc>
          <w:tcPr>
            <w:tcW w:w="2268" w:type="dxa"/>
            <w:tcBorders>
              <w:top w:val="single" w:sz="4" w:space="0" w:color="365F91"/>
              <w:left w:val="nil"/>
              <w:bottom w:val="single" w:sz="4" w:space="0" w:color="365F91"/>
              <w:right w:val="nil"/>
            </w:tcBorders>
            <w:hideMark/>
          </w:tcPr>
          <w:p w14:paraId="5A0237DB" w14:textId="77777777" w:rsidR="00FB19C0" w:rsidRPr="00BE78CA" w:rsidRDefault="00FB19C0" w:rsidP="00C26084">
            <w:pPr>
              <w:pStyle w:val="TableText"/>
            </w:pPr>
            <w:r w:rsidRPr="00BE78CA">
              <w:t>Other municipal landfills</w:t>
            </w:r>
          </w:p>
        </w:tc>
        <w:tc>
          <w:tcPr>
            <w:tcW w:w="4394" w:type="dxa"/>
            <w:tcBorders>
              <w:top w:val="single" w:sz="4" w:space="0" w:color="365F91"/>
              <w:left w:val="nil"/>
              <w:bottom w:val="single" w:sz="4" w:space="0" w:color="365F91"/>
              <w:right w:val="nil"/>
            </w:tcBorders>
            <w:hideMark/>
          </w:tcPr>
          <w:p w14:paraId="2225BD2E" w14:textId="77777777" w:rsidR="00FB19C0" w:rsidRPr="00BE78CA" w:rsidRDefault="00FB19C0" w:rsidP="00C26084">
            <w:pPr>
              <w:pStyle w:val="TableText"/>
            </w:pPr>
            <w:r w:rsidRPr="00BE78CA">
              <w:t>Prior to 2010 only</w:t>
            </w:r>
          </w:p>
        </w:tc>
      </w:tr>
    </w:tbl>
    <w:p w14:paraId="08F53FBA" w14:textId="77777777" w:rsidR="00FB19C0" w:rsidRPr="00BE78CA" w:rsidRDefault="00FB19C0" w:rsidP="00FB19C0">
      <w:pPr>
        <w:pStyle w:val="BodyText"/>
        <w:spacing w:before="240"/>
      </w:pPr>
      <w:r w:rsidRPr="00BE78CA">
        <w:t xml:space="preserve">Since 1990, there have been a number of initiatives to improve solid waste management practices in New Zealand. These include: </w:t>
      </w:r>
    </w:p>
    <w:p w14:paraId="439A693C" w14:textId="77777777" w:rsidR="00FB19C0" w:rsidRPr="00BE78CA" w:rsidRDefault="00FB19C0" w:rsidP="00FB19C0">
      <w:pPr>
        <w:pStyle w:val="Bullet"/>
        <w:numPr>
          <w:ilvl w:val="0"/>
          <w:numId w:val="25"/>
        </w:numPr>
      </w:pPr>
      <w:r w:rsidRPr="00BE78CA">
        <w:t>requirements for all municipal landfills to meet resource consent conditions set under the Resource Management Act 1991</w:t>
      </w:r>
    </w:p>
    <w:p w14:paraId="15C3F226" w14:textId="77777777" w:rsidR="00FB19C0" w:rsidRPr="00BE78CA" w:rsidRDefault="00FB19C0" w:rsidP="00FB19C0">
      <w:pPr>
        <w:pStyle w:val="Bullet"/>
        <w:numPr>
          <w:ilvl w:val="0"/>
          <w:numId w:val="25"/>
        </w:numPr>
      </w:pPr>
      <w:r w:rsidRPr="00BE78CA">
        <w:t>the National Environmental Standards for Air Quality (2004) set under the Resource Management Act 1991, which require large landfills to capture landfill gas (LFG). This has significantly increased the use of LFG collection technology</w:t>
      </w:r>
    </w:p>
    <w:p w14:paraId="192D5CFF" w14:textId="77777777" w:rsidR="00FB19C0" w:rsidRPr="00BE78CA" w:rsidRDefault="00FB19C0" w:rsidP="00FB19C0">
      <w:pPr>
        <w:pStyle w:val="Bullet"/>
        <w:numPr>
          <w:ilvl w:val="0"/>
          <w:numId w:val="25"/>
        </w:numPr>
      </w:pPr>
      <w:r w:rsidRPr="00BE78CA">
        <w:t xml:space="preserve">guidance and direction to local government and the Waste sector through </w:t>
      </w:r>
      <w:r w:rsidRPr="00BE78CA">
        <w:rPr>
          <w:i/>
        </w:rPr>
        <w:t>The</w:t>
      </w:r>
      <w:r w:rsidRPr="00BE78CA">
        <w:t xml:space="preserve"> </w:t>
      </w:r>
      <w:r w:rsidRPr="00BE78CA">
        <w:rPr>
          <w:i/>
        </w:rPr>
        <w:t>New Zealand Waste Strategy</w:t>
      </w:r>
      <w:r w:rsidRPr="00BE78CA">
        <w:t xml:space="preserve"> (Ministry for the Environment, 2002a) and its revision in 2010 (Ministry for the Environment, 2010)</w:t>
      </w:r>
    </w:p>
    <w:p w14:paraId="7C555728" w14:textId="77777777" w:rsidR="00FB19C0" w:rsidRPr="00BE78CA" w:rsidRDefault="00FB19C0" w:rsidP="00FB19C0">
      <w:pPr>
        <w:pStyle w:val="Bullet"/>
        <w:numPr>
          <w:ilvl w:val="0"/>
          <w:numId w:val="25"/>
        </w:numPr>
      </w:pPr>
      <w:r w:rsidRPr="00BE78CA">
        <w:t xml:space="preserve">development of the </w:t>
      </w:r>
      <w:r w:rsidRPr="00BE78CA">
        <w:rPr>
          <w:i/>
        </w:rPr>
        <w:t>Solid Waste Analysis Protocol</w:t>
      </w:r>
      <w:r w:rsidRPr="00BE78CA">
        <w:t>, which provides a consistent classification system, sampling regimes and survey procedures to estimate the composition of solid waste (Ministry for the Environment, 2002b)</w:t>
      </w:r>
    </w:p>
    <w:p w14:paraId="70FDA665" w14:textId="77777777" w:rsidR="00FB19C0" w:rsidRPr="00BE78CA" w:rsidRDefault="00FB19C0" w:rsidP="00FB19C0">
      <w:pPr>
        <w:pStyle w:val="Bullet"/>
        <w:numPr>
          <w:ilvl w:val="0"/>
          <w:numId w:val="25"/>
        </w:numPr>
      </w:pPr>
      <w:r w:rsidRPr="00BE78CA">
        <w:t>the Waste Minimisation Act 2008, which imposes a levy of NZ$10 per tonne of municipal solid waste and enables regulations to establish product stewardship requirements and for information reporting.</w:t>
      </w:r>
    </w:p>
    <w:p w14:paraId="4DE55D1D" w14:textId="77777777" w:rsidR="00FB19C0" w:rsidRPr="00BE78CA" w:rsidRDefault="00FB19C0" w:rsidP="00FB19C0">
      <w:pPr>
        <w:pStyle w:val="BodyText"/>
      </w:pPr>
      <w:r w:rsidRPr="00BE78CA">
        <w:lastRenderedPageBreak/>
        <w:t>In addition, most municipal landfills are now mandatory participants in the NZ ETS with obligations to report and surrender emission units for their CH</w:t>
      </w:r>
      <w:r w:rsidRPr="00BE78CA">
        <w:rPr>
          <w:vertAlign w:val="subscript"/>
        </w:rPr>
        <w:t>4</w:t>
      </w:r>
      <w:r w:rsidRPr="00BE78CA">
        <w:t xml:space="preserve"> emissions estimated by mass balance.</w:t>
      </w:r>
    </w:p>
    <w:p w14:paraId="7331F514" w14:textId="77777777" w:rsidR="00FB19C0" w:rsidRPr="00BE78CA" w:rsidRDefault="00FB19C0" w:rsidP="00FB19C0">
      <w:pPr>
        <w:pStyle w:val="BodyText"/>
      </w:pPr>
      <w:r w:rsidRPr="00BE78CA">
        <w:t>These initiatives have contributed to substantial improvements in waste management since 1990. A large number of small, often poorly located and substandard municipal landfills have been closed, and most communities are now using larger, more modern regional facilities for disposal of their waste. In 2019, 39 significant municipal landfill sites were active, in comparison with 327 in 1995 and 563 in 1971.</w:t>
      </w:r>
    </w:p>
    <w:p w14:paraId="5E93EE69" w14:textId="77777777" w:rsidR="00FB19C0" w:rsidRPr="00BE78CA" w:rsidRDefault="00FB19C0" w:rsidP="00FB19C0">
      <w:pPr>
        <w:pStyle w:val="BodyText"/>
      </w:pPr>
      <w:r w:rsidRPr="00BE78CA">
        <w:t>Non-municipal landfills and farm fills are also required to comply with regional policies and plans made under the Resource Management Act 1991. However, these facilities are not currently required to monitor and report the waste they accept, to pay the waste levy or to participate in the NZ ETS.</w:t>
      </w:r>
    </w:p>
    <w:p w14:paraId="6C2E0C95" w14:textId="77777777" w:rsidR="00FB19C0" w:rsidRPr="00BE78CA" w:rsidRDefault="00FB19C0" w:rsidP="00FB19C0">
      <w:pPr>
        <w:pStyle w:val="BodyText"/>
      </w:pPr>
      <w:r w:rsidRPr="00BE78CA">
        <w:t xml:space="preserve">In 2019, the </w:t>
      </w:r>
      <w:r w:rsidRPr="00BE78CA">
        <w:rPr>
          <w:i/>
        </w:rPr>
        <w:t>Solid waste disposal</w:t>
      </w:r>
      <w:r w:rsidRPr="00BE78CA">
        <w:t xml:space="preserve"> source category contributed 2,692.9 kt CO</w:t>
      </w:r>
      <w:r w:rsidRPr="00BE78CA">
        <w:rPr>
          <w:vertAlign w:val="subscript"/>
        </w:rPr>
        <w:t>2</w:t>
      </w:r>
      <w:r w:rsidRPr="00BE78CA">
        <w:t xml:space="preserve">-e (81.2 per cent) of total emissions from the Waste sector. Emissions from </w:t>
      </w:r>
      <w:r w:rsidRPr="00BE78CA">
        <w:rPr>
          <w:i/>
        </w:rPr>
        <w:t>Solid waste disposal</w:t>
      </w:r>
      <w:r w:rsidRPr="00BE78CA">
        <w:t xml:space="preserve"> in 2019 were </w:t>
      </w:r>
      <w:r w:rsidRPr="00BE78CA">
        <w:br/>
        <w:t>–644.9 kt CO</w:t>
      </w:r>
      <w:r w:rsidRPr="00BE78CA">
        <w:rPr>
          <w:vertAlign w:val="subscript"/>
        </w:rPr>
        <w:t>2</w:t>
      </w:r>
      <w:r w:rsidRPr="00BE78CA">
        <w:t>-e (–19.3 per cent) below the 1990 level of 3,337.8 kt CO</w:t>
      </w:r>
      <w:r w:rsidRPr="00BE78CA">
        <w:rPr>
          <w:vertAlign w:val="subscript"/>
        </w:rPr>
        <w:t>2</w:t>
      </w:r>
      <w:r w:rsidRPr="00BE78CA">
        <w:t>-e. While there is year-to-year variation, this net decrease is the result of two contrary trends. First, population and economic growth have driven ongoing increases in the amount of municipal waste generated but, secondly, changing composition over time and improved landfill management practices, particularly LFG recovery, have offset this increase, resulting in emissions peaking in 2002.</w:t>
      </w:r>
    </w:p>
    <w:p w14:paraId="3DA5932F" w14:textId="77777777" w:rsidR="00FB19C0" w:rsidRPr="00BE78CA" w:rsidRDefault="00FB19C0" w:rsidP="00FB19C0">
      <w:pPr>
        <w:pStyle w:val="BodyText"/>
      </w:pPr>
      <w:r w:rsidRPr="00BE78CA">
        <w:t xml:space="preserve">Methane emissions from </w:t>
      </w:r>
      <w:r w:rsidRPr="00BE78CA">
        <w:rPr>
          <w:i/>
        </w:rPr>
        <w:t>Solid waste disposal</w:t>
      </w:r>
      <w:r w:rsidRPr="00BE78CA">
        <w:t xml:space="preserve"> were identified as a key category in the 2019 level assessment and trend assessment.</w:t>
      </w:r>
    </w:p>
    <w:p w14:paraId="140C5103" w14:textId="77777777" w:rsidR="00FB19C0" w:rsidRPr="00BE78CA" w:rsidRDefault="00FB19C0" w:rsidP="00FB19C0">
      <w:pPr>
        <w:pStyle w:val="Heading3"/>
        <w:spacing w:before="320"/>
      </w:pPr>
      <w:bookmarkStart w:id="2876" w:name="_Toc32828331"/>
      <w:r w:rsidRPr="00BE78CA">
        <w:t>7.2.2</w:t>
      </w:r>
      <w:r w:rsidRPr="00BE78CA">
        <w:tab/>
        <w:t>Methodological issues</w:t>
      </w:r>
      <w:bookmarkEnd w:id="2876"/>
      <w:r w:rsidRPr="00BE78CA">
        <w:t xml:space="preserve"> </w:t>
      </w:r>
    </w:p>
    <w:p w14:paraId="378C98E3" w14:textId="77777777" w:rsidR="00FB19C0" w:rsidRPr="00BE78CA" w:rsidRDefault="00FB19C0" w:rsidP="00FB19C0">
      <w:pPr>
        <w:pStyle w:val="Heading4"/>
        <w:spacing w:before="180"/>
      </w:pPr>
      <w:r w:rsidRPr="00BE78CA">
        <w:t>Choice of activity data</w:t>
      </w:r>
    </w:p>
    <w:p w14:paraId="27D20A2B" w14:textId="77777777" w:rsidR="00FB19C0" w:rsidRPr="00BE78CA" w:rsidRDefault="00FB19C0" w:rsidP="00FB19C0">
      <w:pPr>
        <w:pStyle w:val="Heading5"/>
        <w:spacing w:before="180"/>
      </w:pPr>
      <w:r w:rsidRPr="00BE78CA">
        <w:t>Municipal landfills (5.A.1.a and 5.A.3)</w:t>
      </w:r>
    </w:p>
    <w:p w14:paraId="3FDCD4F5" w14:textId="77777777" w:rsidR="00FB19C0" w:rsidRPr="00BE78CA" w:rsidRDefault="00FB19C0" w:rsidP="00FB19C0">
      <w:pPr>
        <w:pStyle w:val="BodyText"/>
        <w:spacing w:after="100"/>
      </w:pPr>
      <w:r w:rsidRPr="00BE78CA">
        <w:t xml:space="preserve">Annual total waste placement to all municipal landfills has been estimated based on: </w:t>
      </w:r>
    </w:p>
    <w:p w14:paraId="15E2A3D5" w14:textId="77777777" w:rsidR="00FB19C0" w:rsidRPr="00BE78CA" w:rsidRDefault="00FB19C0" w:rsidP="00FB19C0">
      <w:pPr>
        <w:pStyle w:val="Bullet"/>
        <w:numPr>
          <w:ilvl w:val="0"/>
          <w:numId w:val="25"/>
        </w:numPr>
      </w:pPr>
      <w:r w:rsidRPr="00BE78CA">
        <w:t>back-casting from a 1982 national survey, using real (inflation-adjusted) GDP, for the years before 1982</w:t>
      </w:r>
    </w:p>
    <w:p w14:paraId="32B3DA47" w14:textId="77777777" w:rsidR="00FB19C0" w:rsidRPr="00BE78CA" w:rsidRDefault="00FB19C0" w:rsidP="00FB19C0">
      <w:pPr>
        <w:pStyle w:val="Bullet"/>
        <w:numPr>
          <w:ilvl w:val="0"/>
          <w:numId w:val="25"/>
        </w:numPr>
      </w:pPr>
      <w:r w:rsidRPr="00BE78CA">
        <w:t>national surveys carried out for the years 1982, 1995, 1998, 2002 and 2006</w:t>
      </w:r>
    </w:p>
    <w:p w14:paraId="38C99C9A" w14:textId="77777777" w:rsidR="00FB19C0" w:rsidRPr="00BE78CA" w:rsidRDefault="00FB19C0" w:rsidP="00FB19C0">
      <w:pPr>
        <w:pStyle w:val="Bullet"/>
        <w:numPr>
          <w:ilvl w:val="0"/>
          <w:numId w:val="25"/>
        </w:numPr>
      </w:pPr>
      <w:r w:rsidRPr="00BE78CA">
        <w:t>linear interpolation for the years between these surveys</w:t>
      </w:r>
    </w:p>
    <w:p w14:paraId="29898C60" w14:textId="77777777" w:rsidR="00FB19C0" w:rsidRPr="00BE78CA" w:rsidRDefault="00FB19C0" w:rsidP="00FB19C0">
      <w:pPr>
        <w:pStyle w:val="Bullet"/>
        <w:numPr>
          <w:ilvl w:val="0"/>
          <w:numId w:val="25"/>
        </w:numPr>
      </w:pPr>
      <w:r w:rsidRPr="00BE78CA">
        <w:t>linear interpolation for the years 2007 to 2009</w:t>
      </w:r>
    </w:p>
    <w:p w14:paraId="1CDAFCD8" w14:textId="77777777" w:rsidR="00FB19C0" w:rsidRPr="00BE78CA" w:rsidRDefault="00FB19C0" w:rsidP="00FB19C0">
      <w:pPr>
        <w:pStyle w:val="Bullet"/>
        <w:numPr>
          <w:ilvl w:val="0"/>
          <w:numId w:val="25"/>
        </w:numPr>
      </w:pPr>
      <w:r w:rsidRPr="00BE78CA">
        <w:t xml:space="preserve">data collected annually under the requirements of the Waste Minimisation Act 2008 for the years since 2010. </w:t>
      </w:r>
    </w:p>
    <w:p w14:paraId="1822A644" w14:textId="77777777" w:rsidR="00FB19C0" w:rsidRPr="00BE78CA" w:rsidRDefault="00FB19C0" w:rsidP="00FB19C0">
      <w:pPr>
        <w:pStyle w:val="BodyText"/>
        <w:spacing w:after="100"/>
      </w:pPr>
      <w:r w:rsidRPr="00BE78CA">
        <w:t xml:space="preserve">A regression analysis established that there was a correlation between real GDP and the amount of waste landfilled up to 2002. The transition from national surveys to using Waste Minimisation Act 2008 information involves a linear interpolation. Other methods were explored, but this approach gave the most robust estimates (Eunomia and Waste Not Consulting, unpublished). </w:t>
      </w:r>
    </w:p>
    <w:p w14:paraId="0451303C" w14:textId="77777777" w:rsidR="00FB19C0" w:rsidRPr="00BE78CA" w:rsidRDefault="00FB19C0" w:rsidP="00FB19C0">
      <w:pPr>
        <w:pStyle w:val="BodyText"/>
        <w:spacing w:after="100"/>
        <w:rPr>
          <w:spacing w:val="-2"/>
        </w:rPr>
      </w:pPr>
      <w:r w:rsidRPr="00BE78CA">
        <w:rPr>
          <w:spacing w:val="-2"/>
        </w:rPr>
        <w:t xml:space="preserve">Activity data are also available from individual landfill sites. This information was collected from landfill operators by a survey in 2009 (SKM, unpublished(b)). The 25 landfills that were operating at that time and that either had LFG recovery systems or were planning to install LFG recovery systems by 2012, all provided data. </w:t>
      </w:r>
    </w:p>
    <w:p w14:paraId="39B423BF" w14:textId="77777777" w:rsidR="00FB19C0" w:rsidRPr="00BE78CA" w:rsidRDefault="00FB19C0" w:rsidP="00FB19C0">
      <w:pPr>
        <w:pStyle w:val="BodyText"/>
        <w:spacing w:after="100"/>
        <w:rPr>
          <w:spacing w:val="-2"/>
        </w:rPr>
      </w:pPr>
      <w:r w:rsidRPr="00BE78CA">
        <w:rPr>
          <w:spacing w:val="-2"/>
        </w:rPr>
        <w:lastRenderedPageBreak/>
        <w:t>The data included annual waste placement history and intentions. Some of these sites have since closed and are no longer accepting waste, but they all still generate CH</w:t>
      </w:r>
      <w:r w:rsidRPr="00BE78CA">
        <w:rPr>
          <w:spacing w:val="-2"/>
          <w:vertAlign w:val="subscript"/>
        </w:rPr>
        <w:t>4</w:t>
      </w:r>
      <w:r w:rsidRPr="00BE78CA">
        <w:rPr>
          <w:spacing w:val="-2"/>
        </w:rPr>
        <w:t xml:space="preserve"> emissions. One new large landfill site has opened in New Zealand since 2009, and an existing landfill installed an LFG system in 2018, and both have subsequently been included. </w:t>
      </w:r>
      <w:r w:rsidRPr="00BE78CA">
        <w:t>From 2010 onwards, all municipal landfills report volumes of waste placement under the Waste Minimisation Act 2008.</w:t>
      </w:r>
      <w:r w:rsidRPr="00BE78CA">
        <w:rPr>
          <w:spacing w:val="-2"/>
        </w:rPr>
        <w:t xml:space="preserve"> Table 7.2.2 shows the number of managed landfills.</w:t>
      </w:r>
    </w:p>
    <w:p w14:paraId="4ECC27D5" w14:textId="77777777" w:rsidR="00FB19C0" w:rsidRPr="00BE78CA" w:rsidRDefault="00FB19C0" w:rsidP="00FB19C0">
      <w:pPr>
        <w:pStyle w:val="Table"/>
      </w:pPr>
      <w:bookmarkStart w:id="2877" w:name="_Toc32828519"/>
      <w:bookmarkStart w:id="2878" w:name="_Toc32591349"/>
      <w:bookmarkStart w:id="2879" w:name="_Toc36224642"/>
      <w:bookmarkStart w:id="2880" w:name="_Toc68786529"/>
      <w:r w:rsidRPr="00BE78CA">
        <w:t xml:space="preserve">Table 7.2.2 </w:t>
      </w:r>
      <w:r w:rsidRPr="00BE78CA">
        <w:tab/>
        <w:t>Landfill categories in 2019</w:t>
      </w:r>
      <w:bookmarkEnd w:id="2877"/>
      <w:bookmarkEnd w:id="2878"/>
      <w:bookmarkEnd w:id="2879"/>
      <w:bookmarkEnd w:id="2880"/>
    </w:p>
    <w:tbl>
      <w:tblPr>
        <w:tblW w:w="8448" w:type="dxa"/>
        <w:tblInd w:w="57" w:type="dxa"/>
        <w:tblBorders>
          <w:top w:val="single" w:sz="4" w:space="0" w:color="365F91"/>
          <w:bottom w:val="single" w:sz="4" w:space="0" w:color="365F91"/>
          <w:insideH w:val="single" w:sz="4" w:space="0" w:color="365F91"/>
        </w:tblBorders>
        <w:tblLook w:val="04A0" w:firstRow="1" w:lastRow="0" w:firstColumn="1" w:lastColumn="0" w:noHBand="0" w:noVBand="1"/>
      </w:tblPr>
      <w:tblGrid>
        <w:gridCol w:w="3094"/>
        <w:gridCol w:w="1971"/>
        <w:gridCol w:w="2113"/>
        <w:gridCol w:w="1270"/>
      </w:tblGrid>
      <w:tr w:rsidR="00FB19C0" w:rsidRPr="00BE78CA" w14:paraId="187DED42" w14:textId="77777777" w:rsidTr="00C26084">
        <w:tc>
          <w:tcPr>
            <w:tcW w:w="3119" w:type="dxa"/>
            <w:tcBorders>
              <w:top w:val="single" w:sz="4" w:space="0" w:color="365F91"/>
              <w:left w:val="nil"/>
              <w:bottom w:val="single" w:sz="4" w:space="0" w:color="365F91"/>
              <w:right w:val="nil"/>
            </w:tcBorders>
            <w:shd w:val="clear" w:color="auto" w:fill="365F91"/>
            <w:vAlign w:val="bottom"/>
            <w:hideMark/>
          </w:tcPr>
          <w:p w14:paraId="0921013B" w14:textId="77777777" w:rsidR="00FB19C0" w:rsidRPr="00BE78CA" w:rsidRDefault="00FB19C0" w:rsidP="00C26084">
            <w:pPr>
              <w:pStyle w:val="TableTextBold"/>
              <w:rPr>
                <w:noProof w:val="0"/>
                <w:color w:val="FFFFFF"/>
              </w:rPr>
            </w:pPr>
            <w:r w:rsidRPr="00BE78CA">
              <w:rPr>
                <w:noProof w:val="0"/>
                <w:color w:val="FFFFFF"/>
              </w:rPr>
              <w:t> </w:t>
            </w:r>
          </w:p>
        </w:tc>
        <w:tc>
          <w:tcPr>
            <w:tcW w:w="1984" w:type="dxa"/>
            <w:tcBorders>
              <w:top w:val="single" w:sz="4" w:space="0" w:color="365F91"/>
              <w:left w:val="nil"/>
              <w:bottom w:val="single" w:sz="4" w:space="0" w:color="365F91"/>
              <w:right w:val="nil"/>
            </w:tcBorders>
            <w:shd w:val="clear" w:color="auto" w:fill="365F91"/>
            <w:vAlign w:val="bottom"/>
            <w:hideMark/>
          </w:tcPr>
          <w:p w14:paraId="5238E8A8" w14:textId="77777777" w:rsidR="00FB19C0" w:rsidRPr="00BE78CA" w:rsidRDefault="00FB19C0" w:rsidP="00C26084">
            <w:pPr>
              <w:pStyle w:val="TableTextBold"/>
              <w:rPr>
                <w:noProof w:val="0"/>
                <w:color w:val="FFFFFF"/>
              </w:rPr>
            </w:pPr>
            <w:r w:rsidRPr="00BE78CA">
              <w:rPr>
                <w:noProof w:val="0"/>
                <w:color w:val="FFFFFF"/>
              </w:rPr>
              <w:t>Sites with LFG recovery</w:t>
            </w:r>
          </w:p>
        </w:tc>
        <w:tc>
          <w:tcPr>
            <w:tcW w:w="2127" w:type="dxa"/>
            <w:tcBorders>
              <w:top w:val="single" w:sz="4" w:space="0" w:color="365F91"/>
              <w:left w:val="nil"/>
              <w:bottom w:val="single" w:sz="4" w:space="0" w:color="365F91"/>
              <w:right w:val="nil"/>
            </w:tcBorders>
            <w:shd w:val="clear" w:color="auto" w:fill="365F91"/>
            <w:vAlign w:val="bottom"/>
            <w:hideMark/>
          </w:tcPr>
          <w:p w14:paraId="6C426605" w14:textId="77777777" w:rsidR="00FB19C0" w:rsidRPr="00BE78CA" w:rsidRDefault="00FB19C0" w:rsidP="00C26084">
            <w:pPr>
              <w:pStyle w:val="TableTextBold"/>
              <w:rPr>
                <w:noProof w:val="0"/>
                <w:color w:val="FFFFFF"/>
              </w:rPr>
            </w:pPr>
            <w:r w:rsidRPr="00BE78CA">
              <w:rPr>
                <w:noProof w:val="0"/>
                <w:color w:val="FFFFFF"/>
              </w:rPr>
              <w:t xml:space="preserve">Sites without LFG recovery </w:t>
            </w:r>
          </w:p>
        </w:tc>
        <w:tc>
          <w:tcPr>
            <w:tcW w:w="1275" w:type="dxa"/>
            <w:tcBorders>
              <w:top w:val="single" w:sz="4" w:space="0" w:color="365F91"/>
              <w:left w:val="nil"/>
              <w:bottom w:val="single" w:sz="4" w:space="0" w:color="365F91"/>
              <w:right w:val="nil"/>
            </w:tcBorders>
            <w:shd w:val="clear" w:color="auto" w:fill="365F91"/>
            <w:vAlign w:val="bottom"/>
            <w:hideMark/>
          </w:tcPr>
          <w:p w14:paraId="4A50CAB9" w14:textId="77777777" w:rsidR="00FB19C0" w:rsidRPr="00BE78CA" w:rsidRDefault="00FB19C0" w:rsidP="00C26084">
            <w:pPr>
              <w:pStyle w:val="TableTextBold"/>
              <w:rPr>
                <w:noProof w:val="0"/>
                <w:color w:val="FFFFFF"/>
              </w:rPr>
            </w:pPr>
            <w:r w:rsidRPr="00BE78CA">
              <w:rPr>
                <w:noProof w:val="0"/>
                <w:color w:val="FFFFFF"/>
              </w:rPr>
              <w:t xml:space="preserve">National total </w:t>
            </w:r>
          </w:p>
        </w:tc>
      </w:tr>
      <w:tr w:rsidR="00FB19C0" w:rsidRPr="00BE78CA" w14:paraId="3A8972D8" w14:textId="77777777" w:rsidTr="00C26084">
        <w:tc>
          <w:tcPr>
            <w:tcW w:w="3119" w:type="dxa"/>
            <w:tcBorders>
              <w:top w:val="single" w:sz="4" w:space="0" w:color="365F91"/>
              <w:left w:val="nil"/>
              <w:bottom w:val="single" w:sz="4" w:space="0" w:color="365F91"/>
              <w:right w:val="nil"/>
            </w:tcBorders>
            <w:hideMark/>
          </w:tcPr>
          <w:p w14:paraId="3203AC7B" w14:textId="77777777" w:rsidR="00FB19C0" w:rsidRPr="00BE78CA" w:rsidRDefault="00FB19C0" w:rsidP="00C26084">
            <w:pPr>
              <w:pStyle w:val="TableTextBold"/>
              <w:rPr>
                <w:noProof w:val="0"/>
              </w:rPr>
            </w:pPr>
            <w:r w:rsidRPr="00BE78CA">
              <w:rPr>
                <w:noProof w:val="0"/>
              </w:rPr>
              <w:t>Landfills under the NZ ETS and waste levy</w:t>
            </w:r>
          </w:p>
        </w:tc>
        <w:tc>
          <w:tcPr>
            <w:tcW w:w="1984" w:type="dxa"/>
            <w:tcBorders>
              <w:top w:val="single" w:sz="4" w:space="0" w:color="365F91"/>
              <w:left w:val="nil"/>
              <w:bottom w:val="single" w:sz="4" w:space="0" w:color="365F91"/>
              <w:right w:val="nil"/>
            </w:tcBorders>
            <w:hideMark/>
          </w:tcPr>
          <w:p w14:paraId="51FCCAAA" w14:textId="77777777" w:rsidR="00FB19C0" w:rsidRPr="00BE78CA" w:rsidRDefault="00FB19C0" w:rsidP="00C26084">
            <w:pPr>
              <w:pStyle w:val="TableText"/>
            </w:pPr>
            <w:r w:rsidRPr="00BE78CA">
              <w:t>18</w:t>
            </w:r>
          </w:p>
        </w:tc>
        <w:tc>
          <w:tcPr>
            <w:tcW w:w="2127" w:type="dxa"/>
            <w:tcBorders>
              <w:top w:val="single" w:sz="4" w:space="0" w:color="365F91"/>
              <w:left w:val="nil"/>
              <w:bottom w:val="single" w:sz="4" w:space="0" w:color="365F91"/>
              <w:right w:val="nil"/>
            </w:tcBorders>
            <w:hideMark/>
          </w:tcPr>
          <w:p w14:paraId="69F7CFBF" w14:textId="77777777" w:rsidR="00FB19C0" w:rsidRPr="00BE78CA" w:rsidRDefault="00FB19C0" w:rsidP="00C26084">
            <w:pPr>
              <w:pStyle w:val="TableText"/>
            </w:pPr>
            <w:r w:rsidRPr="00BE78CA">
              <w:t>21</w:t>
            </w:r>
          </w:p>
        </w:tc>
        <w:tc>
          <w:tcPr>
            <w:tcW w:w="1275" w:type="dxa"/>
            <w:tcBorders>
              <w:top w:val="single" w:sz="4" w:space="0" w:color="365F91"/>
              <w:left w:val="nil"/>
              <w:bottom w:val="single" w:sz="4" w:space="0" w:color="365F91"/>
              <w:right w:val="nil"/>
            </w:tcBorders>
            <w:hideMark/>
          </w:tcPr>
          <w:p w14:paraId="62E9B31E" w14:textId="77777777" w:rsidR="00FB19C0" w:rsidRPr="00BE78CA" w:rsidRDefault="00FB19C0" w:rsidP="00C26084">
            <w:pPr>
              <w:pStyle w:val="TableText"/>
              <w:rPr>
                <w:rFonts w:cs="Arial"/>
                <w:color w:val="000000"/>
                <w:szCs w:val="16"/>
              </w:rPr>
            </w:pPr>
            <w:r w:rsidRPr="00BE78CA">
              <w:rPr>
                <w:rFonts w:cs="Arial"/>
                <w:color w:val="000000"/>
                <w:szCs w:val="16"/>
              </w:rPr>
              <w:t>39</w:t>
            </w:r>
          </w:p>
        </w:tc>
      </w:tr>
      <w:tr w:rsidR="00FB19C0" w:rsidRPr="00BE78CA" w14:paraId="1E2B081F" w14:textId="77777777" w:rsidTr="00C26084">
        <w:tc>
          <w:tcPr>
            <w:tcW w:w="3119" w:type="dxa"/>
            <w:tcBorders>
              <w:top w:val="single" w:sz="4" w:space="0" w:color="365F91"/>
              <w:left w:val="nil"/>
              <w:bottom w:val="single" w:sz="4" w:space="0" w:color="365F91"/>
              <w:right w:val="nil"/>
            </w:tcBorders>
            <w:hideMark/>
          </w:tcPr>
          <w:p w14:paraId="4607A65B" w14:textId="77777777" w:rsidR="00FB19C0" w:rsidRPr="00BE78CA" w:rsidRDefault="00FB19C0" w:rsidP="00C26084">
            <w:pPr>
              <w:pStyle w:val="TableTextBold"/>
              <w:rPr>
                <w:noProof w:val="0"/>
              </w:rPr>
            </w:pPr>
            <w:r w:rsidRPr="00BE78CA">
              <w:rPr>
                <w:noProof w:val="0"/>
              </w:rPr>
              <w:t xml:space="preserve">Closed landfills (still emitting) </w:t>
            </w:r>
          </w:p>
        </w:tc>
        <w:tc>
          <w:tcPr>
            <w:tcW w:w="1984" w:type="dxa"/>
            <w:tcBorders>
              <w:top w:val="single" w:sz="4" w:space="0" w:color="365F91"/>
              <w:left w:val="nil"/>
              <w:bottom w:val="single" w:sz="4" w:space="0" w:color="365F91"/>
              <w:right w:val="nil"/>
            </w:tcBorders>
            <w:hideMark/>
          </w:tcPr>
          <w:p w14:paraId="2E85BB64" w14:textId="77777777" w:rsidR="00FB19C0" w:rsidRPr="00BE78CA" w:rsidRDefault="00FB19C0" w:rsidP="00C26084">
            <w:pPr>
              <w:pStyle w:val="TableText"/>
            </w:pPr>
            <w:r w:rsidRPr="00BE78CA">
              <w:t>8</w:t>
            </w:r>
          </w:p>
        </w:tc>
        <w:tc>
          <w:tcPr>
            <w:tcW w:w="2127" w:type="dxa"/>
            <w:tcBorders>
              <w:top w:val="single" w:sz="4" w:space="0" w:color="365F91"/>
              <w:left w:val="nil"/>
              <w:bottom w:val="single" w:sz="4" w:space="0" w:color="365F91"/>
              <w:right w:val="nil"/>
            </w:tcBorders>
            <w:hideMark/>
          </w:tcPr>
          <w:p w14:paraId="5B72A5FF" w14:textId="77777777" w:rsidR="00FB19C0" w:rsidRPr="00BE78CA" w:rsidRDefault="00FB19C0" w:rsidP="00C26084">
            <w:pPr>
              <w:pStyle w:val="TableText"/>
            </w:pPr>
            <w:r w:rsidRPr="00BE78CA">
              <w:t>Not reported</w:t>
            </w:r>
          </w:p>
        </w:tc>
        <w:tc>
          <w:tcPr>
            <w:tcW w:w="1275" w:type="dxa"/>
            <w:tcBorders>
              <w:top w:val="single" w:sz="4" w:space="0" w:color="365F91"/>
              <w:left w:val="nil"/>
              <w:bottom w:val="single" w:sz="4" w:space="0" w:color="365F91"/>
              <w:right w:val="nil"/>
            </w:tcBorders>
            <w:hideMark/>
          </w:tcPr>
          <w:p w14:paraId="58570A17" w14:textId="77777777" w:rsidR="00FB19C0" w:rsidRPr="00BE78CA" w:rsidRDefault="00FB19C0" w:rsidP="00C26084">
            <w:pPr>
              <w:pStyle w:val="TableText"/>
              <w:rPr>
                <w:rFonts w:cs="Arial"/>
                <w:color w:val="000000"/>
                <w:szCs w:val="16"/>
              </w:rPr>
            </w:pPr>
            <w:r w:rsidRPr="00BE78CA">
              <w:rPr>
                <w:rFonts w:cs="Arial"/>
                <w:color w:val="000000"/>
                <w:szCs w:val="16"/>
              </w:rPr>
              <w:t>Not reported</w:t>
            </w:r>
          </w:p>
        </w:tc>
      </w:tr>
      <w:tr w:rsidR="00FB19C0" w:rsidRPr="00BE78CA" w14:paraId="3282E8AF" w14:textId="77777777" w:rsidTr="00C26084">
        <w:tc>
          <w:tcPr>
            <w:tcW w:w="3119" w:type="dxa"/>
            <w:tcBorders>
              <w:top w:val="single" w:sz="4" w:space="0" w:color="365F91"/>
              <w:left w:val="nil"/>
              <w:bottom w:val="single" w:sz="4" w:space="0" w:color="365F91"/>
              <w:right w:val="nil"/>
            </w:tcBorders>
            <w:hideMark/>
          </w:tcPr>
          <w:p w14:paraId="73E35916" w14:textId="77777777" w:rsidR="00FB19C0" w:rsidRPr="00BE78CA" w:rsidRDefault="00FB19C0" w:rsidP="00C26084">
            <w:pPr>
              <w:pStyle w:val="TableTextBold"/>
              <w:rPr>
                <w:noProof w:val="0"/>
              </w:rPr>
            </w:pPr>
            <w:r w:rsidRPr="00BE78CA">
              <w:rPr>
                <w:noProof w:val="0"/>
              </w:rPr>
              <w:t>Total</w:t>
            </w:r>
          </w:p>
        </w:tc>
        <w:tc>
          <w:tcPr>
            <w:tcW w:w="1984" w:type="dxa"/>
            <w:tcBorders>
              <w:top w:val="single" w:sz="4" w:space="0" w:color="365F91"/>
              <w:left w:val="nil"/>
              <w:bottom w:val="single" w:sz="4" w:space="0" w:color="365F91"/>
              <w:right w:val="nil"/>
            </w:tcBorders>
            <w:hideMark/>
          </w:tcPr>
          <w:p w14:paraId="73DD9A4C" w14:textId="77777777" w:rsidR="00FB19C0" w:rsidRPr="00BE78CA" w:rsidRDefault="00FB19C0" w:rsidP="00C26084">
            <w:pPr>
              <w:pStyle w:val="TableText"/>
            </w:pPr>
            <w:r w:rsidRPr="00BE78CA">
              <w:t>26</w:t>
            </w:r>
          </w:p>
        </w:tc>
        <w:tc>
          <w:tcPr>
            <w:tcW w:w="2127" w:type="dxa"/>
            <w:tcBorders>
              <w:top w:val="single" w:sz="4" w:space="0" w:color="365F91"/>
              <w:left w:val="nil"/>
              <w:bottom w:val="single" w:sz="4" w:space="0" w:color="365F91"/>
              <w:right w:val="nil"/>
            </w:tcBorders>
            <w:hideMark/>
          </w:tcPr>
          <w:p w14:paraId="177558D0" w14:textId="77777777" w:rsidR="00FB19C0" w:rsidRPr="00BE78CA" w:rsidRDefault="00FB19C0" w:rsidP="00C26084">
            <w:pPr>
              <w:pStyle w:val="TableText"/>
            </w:pPr>
            <w:r w:rsidRPr="00BE78CA">
              <w:t>Not reported</w:t>
            </w:r>
          </w:p>
        </w:tc>
        <w:tc>
          <w:tcPr>
            <w:tcW w:w="1275" w:type="dxa"/>
            <w:tcBorders>
              <w:top w:val="single" w:sz="4" w:space="0" w:color="365F91"/>
              <w:left w:val="nil"/>
              <w:bottom w:val="single" w:sz="4" w:space="0" w:color="365F91"/>
              <w:right w:val="nil"/>
            </w:tcBorders>
            <w:hideMark/>
          </w:tcPr>
          <w:p w14:paraId="0BDCD924" w14:textId="77777777" w:rsidR="00FB19C0" w:rsidRPr="00BE78CA" w:rsidRDefault="00FB19C0" w:rsidP="00C26084">
            <w:pPr>
              <w:pStyle w:val="TableText"/>
              <w:rPr>
                <w:rFonts w:cs="Arial"/>
                <w:color w:val="000000"/>
                <w:szCs w:val="16"/>
              </w:rPr>
            </w:pPr>
            <w:r w:rsidRPr="00BE78CA">
              <w:rPr>
                <w:rFonts w:cs="Arial"/>
                <w:color w:val="000000"/>
                <w:szCs w:val="16"/>
              </w:rPr>
              <w:t>Not reported</w:t>
            </w:r>
          </w:p>
        </w:tc>
      </w:tr>
    </w:tbl>
    <w:p w14:paraId="63255AAA" w14:textId="77777777" w:rsidR="00FB19C0" w:rsidRPr="00BE78CA" w:rsidRDefault="00FB19C0" w:rsidP="00FB19C0">
      <w:pPr>
        <w:pStyle w:val="Noteundertable"/>
      </w:pPr>
      <w:r w:rsidRPr="00BE78CA">
        <w:rPr>
          <w:b/>
          <w:bCs/>
        </w:rPr>
        <w:t>Note:</w:t>
      </w:r>
      <w:r w:rsidRPr="00BE78CA">
        <w:t xml:space="preserve"> LFG = landfill gas; NZ ETS = Emissions Trading Scheme.</w:t>
      </w:r>
    </w:p>
    <w:p w14:paraId="2B140479" w14:textId="77777777" w:rsidR="00FB19C0" w:rsidRPr="00BE78CA" w:rsidRDefault="00FB19C0" w:rsidP="00FB19C0">
      <w:pPr>
        <w:pStyle w:val="BodyText"/>
        <w:rPr>
          <w:spacing w:val="-2"/>
        </w:rPr>
      </w:pPr>
      <w:r w:rsidRPr="00BE78CA">
        <w:rPr>
          <w:spacing w:val="-2"/>
        </w:rPr>
        <w:t>For 1950 to 1995, the waste placement for the uncategorised category (5.A.3) is estimated as a fixed fraction (10 per cent) of the difference between the national total and sites with LFG recovery as shown in the equation:</w:t>
      </w:r>
    </w:p>
    <w:p w14:paraId="39FC7232" w14:textId="77777777" w:rsidR="00FB19C0" w:rsidRPr="00BE78CA" w:rsidRDefault="00FB19C0" w:rsidP="00FB19C0">
      <w:pPr>
        <w:pStyle w:val="BodyText"/>
        <w:rPr>
          <w:sz w:val="24"/>
          <w:szCs w:val="24"/>
        </w:rPr>
      </w:pPr>
      <m:oMathPara>
        <m:oMath>
          <m:r>
            <w:rPr>
              <w:rFonts w:ascii="Cambria Math" w:hAnsi="Cambria Math"/>
              <w:sz w:val="24"/>
              <w:szCs w:val="24"/>
            </w:rPr>
            <m:t>disposal</m:t>
          </m:r>
          <m:r>
            <m:rPr>
              <m:sty m:val="p"/>
            </m:rPr>
            <w:rPr>
              <w:rFonts w:ascii="Cambria Math" w:hAnsi="Cambria Math"/>
              <w:sz w:val="24"/>
              <w:szCs w:val="24"/>
            </w:rPr>
            <m:t xml:space="preserve"> </m:t>
          </m:r>
          <m:r>
            <w:rPr>
              <w:rFonts w:ascii="Cambria Math" w:hAnsi="Cambria Math"/>
              <w:sz w:val="24"/>
              <w:szCs w:val="24"/>
            </w:rPr>
            <m:t>for</m:t>
          </m:r>
          <m:r>
            <m:rPr>
              <m:sty m:val="p"/>
            </m:rPr>
            <w:rPr>
              <w:rFonts w:ascii="Cambria Math" w:hAnsi="Cambria Math"/>
              <w:sz w:val="24"/>
              <w:szCs w:val="24"/>
            </w:rPr>
            <m:t xml:space="preserve"> 5.</m:t>
          </m:r>
          <m:r>
            <w:rPr>
              <w:rFonts w:ascii="Cambria Math" w:hAnsi="Cambria Math"/>
              <w:sz w:val="24"/>
              <w:szCs w:val="24"/>
            </w:rPr>
            <m:t>A</m:t>
          </m:r>
          <m:r>
            <m:rPr>
              <m:sty m:val="p"/>
            </m:rPr>
            <w:rPr>
              <w:rFonts w:ascii="Cambria Math" w:hAnsi="Cambria Math"/>
              <w:sz w:val="24"/>
              <w:szCs w:val="24"/>
            </w:rPr>
            <m:t>.3= 10%×</m:t>
          </m:r>
          <m:d>
            <m:dPr>
              <m:ctrlPr>
                <w:rPr>
                  <w:rFonts w:ascii="Cambria Math" w:hAnsi="Cambria Math"/>
                  <w:sz w:val="24"/>
                  <w:szCs w:val="24"/>
                  <w:lang w:eastAsia="en-US"/>
                </w:rPr>
              </m:ctrlPr>
            </m:dPr>
            <m:e>
              <m:r>
                <w:rPr>
                  <w:rFonts w:ascii="Cambria Math" w:hAnsi="Cambria Math"/>
                  <w:sz w:val="24"/>
                  <w:szCs w:val="24"/>
                </w:rPr>
                <m:t>national</m:t>
              </m:r>
              <m:r>
                <m:rPr>
                  <m:sty m:val="p"/>
                </m:rPr>
                <w:rPr>
                  <w:rFonts w:ascii="Cambria Math" w:hAnsi="Cambria Math"/>
                  <w:sz w:val="24"/>
                  <w:szCs w:val="24"/>
                </w:rPr>
                <m:t xml:space="preserve"> </m:t>
              </m:r>
              <m:r>
                <w:rPr>
                  <w:rFonts w:ascii="Cambria Math" w:hAnsi="Cambria Math"/>
                  <w:sz w:val="24"/>
                  <w:szCs w:val="24"/>
                </w:rPr>
                <m:t>total</m:t>
              </m:r>
              <m:r>
                <m:rPr>
                  <m:sty m:val="p"/>
                </m:rPr>
                <w:rPr>
                  <w:rFonts w:ascii="Cambria Math" w:hAnsi="Cambria Math"/>
                  <w:sz w:val="24"/>
                  <w:szCs w:val="24"/>
                </w:rPr>
                <m:t>-</m:t>
              </m:r>
              <m:r>
                <w:rPr>
                  <w:rFonts w:ascii="Cambria Math" w:hAnsi="Cambria Math"/>
                  <w:sz w:val="24"/>
                  <w:szCs w:val="24"/>
                </w:rPr>
                <m:t>disposal</m:t>
              </m:r>
              <m:r>
                <m:rPr>
                  <m:sty m:val="p"/>
                </m:rPr>
                <w:rPr>
                  <w:rFonts w:ascii="Cambria Math" w:hAnsi="Cambria Math"/>
                  <w:sz w:val="24"/>
                  <w:szCs w:val="24"/>
                </w:rPr>
                <m:t xml:space="preserve"> </m:t>
              </m:r>
              <m:r>
                <w:rPr>
                  <w:rFonts w:ascii="Cambria Math" w:hAnsi="Cambria Math"/>
                  <w:sz w:val="24"/>
                  <w:szCs w:val="24"/>
                </w:rPr>
                <m:t>for</m:t>
              </m:r>
              <m:r>
                <m:rPr>
                  <m:sty m:val="p"/>
                </m:rPr>
                <w:rPr>
                  <w:rFonts w:ascii="Cambria Math" w:hAnsi="Cambria Math"/>
                  <w:sz w:val="24"/>
                  <w:szCs w:val="24"/>
                </w:rPr>
                <m:t xml:space="preserve"> </m:t>
              </m:r>
              <m:r>
                <w:rPr>
                  <w:rFonts w:ascii="Cambria Math" w:hAnsi="Cambria Math"/>
                  <w:sz w:val="24"/>
                  <w:szCs w:val="24"/>
                </w:rPr>
                <m:t>LFG</m:t>
              </m:r>
              <m:r>
                <m:rPr>
                  <m:sty m:val="p"/>
                </m:rPr>
                <w:rPr>
                  <w:rFonts w:ascii="Cambria Math" w:hAnsi="Cambria Math"/>
                  <w:sz w:val="24"/>
                  <w:szCs w:val="24"/>
                </w:rPr>
                <m:t xml:space="preserve"> </m:t>
              </m:r>
              <m:r>
                <w:rPr>
                  <w:rFonts w:ascii="Cambria Math" w:hAnsi="Cambria Math"/>
                  <w:sz w:val="24"/>
                  <w:szCs w:val="24"/>
                </w:rPr>
                <m:t>sites</m:t>
              </m:r>
            </m:e>
          </m:d>
        </m:oMath>
      </m:oMathPara>
    </w:p>
    <w:p w14:paraId="24B5B2A5" w14:textId="77777777" w:rsidR="00FB19C0" w:rsidRPr="00BE78CA" w:rsidRDefault="00FB19C0" w:rsidP="00FB19C0">
      <w:pPr>
        <w:pStyle w:val="BodyText"/>
      </w:pPr>
      <w:r w:rsidRPr="00BE78CA">
        <w:rPr>
          <w:spacing w:val="-2"/>
        </w:rPr>
        <w:t>Between 1995 and 2010, the 10 per cent fraction declines to zero, and ac</w:t>
      </w:r>
      <w:r w:rsidRPr="00BE78CA">
        <w:t>tivity data for uncategorised sites is reported as not occurring (NO) from 2010 onwards.</w:t>
      </w:r>
    </w:p>
    <w:p w14:paraId="69932C8B" w14:textId="77777777" w:rsidR="00FB19C0" w:rsidRPr="00BE78CA" w:rsidRDefault="00FB19C0" w:rsidP="00FB19C0">
      <w:pPr>
        <w:pStyle w:val="BodyText"/>
      </w:pPr>
      <w:r w:rsidRPr="00BE78CA">
        <w:t xml:space="preserve">Table 7.2.3 shows waste placement from the beginning of the model in 1950 to 2019. Landfill sites that had LFG recovery at any time since 1950 are included in the ‘sites with LFG recovery’ category even though no sites had LFG recovery before 1985. </w:t>
      </w:r>
    </w:p>
    <w:p w14:paraId="4E20D113" w14:textId="77777777" w:rsidR="00FB19C0" w:rsidRPr="00BE78CA" w:rsidRDefault="00FB19C0" w:rsidP="00FB19C0">
      <w:pPr>
        <w:pStyle w:val="Table"/>
      </w:pPr>
      <w:bookmarkStart w:id="2881" w:name="_Toc5269562"/>
      <w:bookmarkStart w:id="2882" w:name="_Toc511116821"/>
      <w:bookmarkStart w:id="2883" w:name="_Toc508019323"/>
      <w:bookmarkStart w:id="2884" w:name="_Toc32828520"/>
      <w:bookmarkStart w:id="2885" w:name="_Toc32591350"/>
      <w:bookmarkStart w:id="2886" w:name="_Toc36224643"/>
      <w:bookmarkStart w:id="2887" w:name="_Toc68786530"/>
      <w:r w:rsidRPr="00BE78CA">
        <w:t xml:space="preserve">Table 7.2.3 </w:t>
      </w:r>
      <w:r w:rsidRPr="00BE78CA">
        <w:tab/>
        <w:t>Solid waste deposited to municipal and uncategorised landfills from 1950 to </w:t>
      </w:r>
      <w:bookmarkEnd w:id="2881"/>
      <w:bookmarkEnd w:id="2882"/>
      <w:bookmarkEnd w:id="2883"/>
      <w:bookmarkEnd w:id="2884"/>
      <w:bookmarkEnd w:id="2885"/>
      <w:bookmarkEnd w:id="2886"/>
      <w:r w:rsidRPr="00BE78CA">
        <w:t>2019</w:t>
      </w:r>
      <w:bookmarkEnd w:id="2887"/>
    </w:p>
    <w:tbl>
      <w:tblPr>
        <w:tblW w:w="8448" w:type="dxa"/>
        <w:tblInd w:w="57" w:type="dxa"/>
        <w:tblLook w:val="04A0" w:firstRow="1" w:lastRow="0" w:firstColumn="1" w:lastColumn="0" w:noHBand="0" w:noVBand="1"/>
      </w:tblPr>
      <w:tblGrid>
        <w:gridCol w:w="988"/>
        <w:gridCol w:w="1927"/>
        <w:gridCol w:w="2150"/>
        <w:gridCol w:w="1834"/>
        <w:gridCol w:w="1549"/>
      </w:tblGrid>
      <w:tr w:rsidR="00FB19C0" w:rsidRPr="00BE78CA" w14:paraId="6EFF9A92" w14:textId="77777777" w:rsidTr="00C26084">
        <w:trPr>
          <w:tblHeader/>
        </w:trPr>
        <w:tc>
          <w:tcPr>
            <w:tcW w:w="993" w:type="dxa"/>
            <w:tcBorders>
              <w:top w:val="single" w:sz="4" w:space="0" w:color="365F91"/>
              <w:left w:val="nil"/>
              <w:bottom w:val="single" w:sz="4" w:space="0" w:color="365F91"/>
              <w:right w:val="nil"/>
            </w:tcBorders>
            <w:shd w:val="clear" w:color="auto" w:fill="365F91"/>
            <w:vAlign w:val="bottom"/>
            <w:hideMark/>
          </w:tcPr>
          <w:p w14:paraId="5C01940D" w14:textId="77777777" w:rsidR="00FB19C0" w:rsidRPr="00BE78CA" w:rsidRDefault="00FB19C0" w:rsidP="00C26084">
            <w:pPr>
              <w:pStyle w:val="TableTextBold"/>
              <w:keepNext/>
              <w:spacing w:before="50" w:after="50"/>
              <w:rPr>
                <w:noProof w:val="0"/>
                <w:color w:val="FFFFFF"/>
              </w:rPr>
            </w:pPr>
            <w:bookmarkStart w:id="2888" w:name="_Hlk63167576"/>
            <w:r w:rsidRPr="00BE78CA">
              <w:rPr>
                <w:noProof w:val="0"/>
                <w:color w:val="FFFFFF"/>
              </w:rPr>
              <w:t>Year</w:t>
            </w:r>
          </w:p>
        </w:tc>
        <w:tc>
          <w:tcPr>
            <w:tcW w:w="1942" w:type="dxa"/>
            <w:tcBorders>
              <w:top w:val="single" w:sz="4" w:space="0" w:color="365F91"/>
              <w:left w:val="nil"/>
              <w:bottom w:val="single" w:sz="4" w:space="0" w:color="365F91"/>
              <w:right w:val="nil"/>
            </w:tcBorders>
            <w:shd w:val="clear" w:color="auto" w:fill="365F91"/>
            <w:vAlign w:val="bottom"/>
            <w:hideMark/>
          </w:tcPr>
          <w:p w14:paraId="4399A1DF" w14:textId="77777777" w:rsidR="00FB19C0" w:rsidRPr="00BE78CA" w:rsidRDefault="00FB19C0" w:rsidP="00C26084">
            <w:pPr>
              <w:pStyle w:val="TableTextBold"/>
              <w:spacing w:before="50" w:after="50"/>
              <w:jc w:val="center"/>
              <w:rPr>
                <w:noProof w:val="0"/>
                <w:color w:val="FFFFFF"/>
              </w:rPr>
            </w:pPr>
            <w:r w:rsidRPr="00BE78CA">
              <w:rPr>
                <w:noProof w:val="0"/>
                <w:color w:val="FFFFFF"/>
              </w:rPr>
              <w:t xml:space="preserve">Sites with LFG </w:t>
            </w:r>
            <w:r w:rsidRPr="00BE78CA">
              <w:rPr>
                <w:noProof w:val="0"/>
                <w:color w:val="FFFFFF"/>
              </w:rPr>
              <w:br/>
              <w:t>recovery (kt)</w:t>
            </w:r>
          </w:p>
        </w:tc>
        <w:tc>
          <w:tcPr>
            <w:tcW w:w="2168" w:type="dxa"/>
            <w:tcBorders>
              <w:top w:val="single" w:sz="4" w:space="0" w:color="365F91"/>
              <w:left w:val="nil"/>
              <w:bottom w:val="single" w:sz="4" w:space="0" w:color="365F91"/>
              <w:right w:val="nil"/>
            </w:tcBorders>
            <w:shd w:val="clear" w:color="auto" w:fill="365F91"/>
            <w:vAlign w:val="bottom"/>
            <w:hideMark/>
          </w:tcPr>
          <w:p w14:paraId="77E3B81B" w14:textId="77777777" w:rsidR="00FB19C0" w:rsidRPr="00BE78CA" w:rsidRDefault="00FB19C0" w:rsidP="00C26084">
            <w:pPr>
              <w:pStyle w:val="TableTextBold"/>
              <w:spacing w:before="50" w:after="50"/>
              <w:jc w:val="center"/>
              <w:rPr>
                <w:noProof w:val="0"/>
                <w:color w:val="FFFFFF"/>
              </w:rPr>
            </w:pPr>
            <w:r w:rsidRPr="00BE78CA">
              <w:rPr>
                <w:noProof w:val="0"/>
                <w:color w:val="FFFFFF"/>
              </w:rPr>
              <w:t xml:space="preserve">Sites without </w:t>
            </w:r>
            <w:r w:rsidRPr="00BE78CA">
              <w:rPr>
                <w:noProof w:val="0"/>
                <w:color w:val="FFFFFF"/>
              </w:rPr>
              <w:br/>
              <w:t>LFG recovery (kt)</w:t>
            </w:r>
          </w:p>
        </w:tc>
        <w:tc>
          <w:tcPr>
            <w:tcW w:w="1843" w:type="dxa"/>
            <w:tcBorders>
              <w:top w:val="single" w:sz="4" w:space="0" w:color="365F91"/>
              <w:left w:val="nil"/>
              <w:bottom w:val="single" w:sz="4" w:space="0" w:color="365F91"/>
              <w:right w:val="nil"/>
            </w:tcBorders>
            <w:shd w:val="clear" w:color="auto" w:fill="365F91"/>
            <w:vAlign w:val="bottom"/>
            <w:hideMark/>
          </w:tcPr>
          <w:p w14:paraId="761AEAAD" w14:textId="77777777" w:rsidR="00FB19C0" w:rsidRPr="00BE78CA" w:rsidRDefault="00FB19C0" w:rsidP="00C26084">
            <w:pPr>
              <w:pStyle w:val="TableTextBold"/>
              <w:spacing w:before="50" w:after="50"/>
              <w:jc w:val="center"/>
              <w:rPr>
                <w:noProof w:val="0"/>
                <w:color w:val="FFFFFF"/>
              </w:rPr>
            </w:pPr>
            <w:r w:rsidRPr="00BE78CA">
              <w:rPr>
                <w:noProof w:val="0"/>
                <w:color w:val="FFFFFF"/>
              </w:rPr>
              <w:t xml:space="preserve">Uncategorised </w:t>
            </w:r>
            <w:r w:rsidRPr="00BE78CA">
              <w:rPr>
                <w:noProof w:val="0"/>
                <w:color w:val="FFFFFF"/>
              </w:rPr>
              <w:br/>
              <w:t>sites (kt)</w:t>
            </w:r>
          </w:p>
        </w:tc>
        <w:tc>
          <w:tcPr>
            <w:tcW w:w="1559" w:type="dxa"/>
            <w:tcBorders>
              <w:top w:val="single" w:sz="4" w:space="0" w:color="365F91"/>
              <w:left w:val="nil"/>
              <w:bottom w:val="single" w:sz="4" w:space="0" w:color="365F91"/>
              <w:right w:val="nil"/>
            </w:tcBorders>
            <w:shd w:val="clear" w:color="auto" w:fill="365F91"/>
            <w:vAlign w:val="bottom"/>
            <w:hideMark/>
          </w:tcPr>
          <w:p w14:paraId="01A9ED41" w14:textId="77777777" w:rsidR="00FB19C0" w:rsidRPr="00BE78CA" w:rsidRDefault="00FB19C0" w:rsidP="00C26084">
            <w:pPr>
              <w:pStyle w:val="TableTextBold"/>
              <w:spacing w:before="50" w:after="50"/>
              <w:jc w:val="center"/>
              <w:rPr>
                <w:noProof w:val="0"/>
                <w:color w:val="FFFFFF"/>
              </w:rPr>
            </w:pPr>
            <w:r w:rsidRPr="00BE78CA">
              <w:rPr>
                <w:noProof w:val="0"/>
                <w:color w:val="FFFFFF"/>
              </w:rPr>
              <w:t>National total (kt)</w:t>
            </w:r>
          </w:p>
        </w:tc>
      </w:tr>
      <w:tr w:rsidR="00FB19C0" w:rsidRPr="00BE78CA" w14:paraId="7783E54B" w14:textId="77777777" w:rsidTr="00C26084">
        <w:tc>
          <w:tcPr>
            <w:tcW w:w="993" w:type="dxa"/>
            <w:tcBorders>
              <w:top w:val="single" w:sz="4" w:space="0" w:color="365F91"/>
              <w:left w:val="nil"/>
              <w:bottom w:val="single" w:sz="4" w:space="0" w:color="365F91"/>
              <w:right w:val="nil"/>
            </w:tcBorders>
            <w:hideMark/>
          </w:tcPr>
          <w:p w14:paraId="5ED9C993" w14:textId="77777777" w:rsidR="00FB19C0" w:rsidRPr="00BE78CA" w:rsidRDefault="00FB19C0" w:rsidP="00C26084">
            <w:pPr>
              <w:pStyle w:val="TableTextBold"/>
              <w:spacing w:before="50" w:after="40"/>
              <w:rPr>
                <w:noProof w:val="0"/>
              </w:rPr>
            </w:pPr>
            <w:r w:rsidRPr="00BE78CA">
              <w:rPr>
                <w:noProof w:val="0"/>
              </w:rPr>
              <w:t>1950</w:t>
            </w:r>
          </w:p>
        </w:tc>
        <w:tc>
          <w:tcPr>
            <w:tcW w:w="1942" w:type="dxa"/>
            <w:tcBorders>
              <w:top w:val="single" w:sz="4" w:space="0" w:color="365F91"/>
              <w:left w:val="nil"/>
              <w:bottom w:val="single" w:sz="4" w:space="0" w:color="365F91"/>
              <w:right w:val="nil"/>
            </w:tcBorders>
            <w:hideMark/>
          </w:tcPr>
          <w:p w14:paraId="6416FF6A" w14:textId="77777777" w:rsidR="00FB19C0" w:rsidRPr="00BE78CA" w:rsidRDefault="00FB19C0" w:rsidP="00C26084">
            <w:pPr>
              <w:pStyle w:val="TableText"/>
              <w:spacing w:before="50" w:after="40"/>
              <w:jc w:val="center"/>
            </w:pPr>
            <w:r w:rsidRPr="00BE78CA">
              <w:t>33.7</w:t>
            </w:r>
          </w:p>
        </w:tc>
        <w:tc>
          <w:tcPr>
            <w:tcW w:w="2168" w:type="dxa"/>
            <w:tcBorders>
              <w:top w:val="single" w:sz="4" w:space="0" w:color="365F91"/>
              <w:left w:val="nil"/>
              <w:bottom w:val="single" w:sz="4" w:space="0" w:color="365F91"/>
              <w:right w:val="nil"/>
            </w:tcBorders>
            <w:hideMark/>
          </w:tcPr>
          <w:p w14:paraId="61517EBD" w14:textId="77777777" w:rsidR="00FB19C0" w:rsidRPr="00BE78CA" w:rsidRDefault="00FB19C0" w:rsidP="00C26084">
            <w:pPr>
              <w:pStyle w:val="TableText"/>
              <w:spacing w:before="50" w:after="40"/>
              <w:jc w:val="center"/>
            </w:pPr>
            <w:r w:rsidRPr="00BE78CA">
              <w:t>74.7</w:t>
            </w:r>
          </w:p>
        </w:tc>
        <w:tc>
          <w:tcPr>
            <w:tcW w:w="1843" w:type="dxa"/>
            <w:tcBorders>
              <w:top w:val="single" w:sz="4" w:space="0" w:color="365F91"/>
              <w:left w:val="nil"/>
              <w:bottom w:val="single" w:sz="4" w:space="0" w:color="365F91"/>
              <w:right w:val="nil"/>
            </w:tcBorders>
            <w:hideMark/>
          </w:tcPr>
          <w:p w14:paraId="0E7814D2" w14:textId="77777777" w:rsidR="00FB19C0" w:rsidRPr="00BE78CA" w:rsidRDefault="00FB19C0" w:rsidP="00C26084">
            <w:pPr>
              <w:pStyle w:val="TableText"/>
              <w:spacing w:before="50" w:after="40"/>
              <w:jc w:val="center"/>
            </w:pPr>
            <w:r w:rsidRPr="00BE78CA">
              <w:t>8.3</w:t>
            </w:r>
          </w:p>
        </w:tc>
        <w:tc>
          <w:tcPr>
            <w:tcW w:w="1559" w:type="dxa"/>
            <w:tcBorders>
              <w:top w:val="single" w:sz="4" w:space="0" w:color="365F91"/>
              <w:left w:val="nil"/>
              <w:bottom w:val="single" w:sz="4" w:space="0" w:color="365F91"/>
              <w:right w:val="nil"/>
            </w:tcBorders>
            <w:hideMark/>
          </w:tcPr>
          <w:p w14:paraId="2FC36EF1" w14:textId="77777777" w:rsidR="00FB19C0" w:rsidRPr="00BE78CA" w:rsidRDefault="00FB19C0" w:rsidP="00C26084">
            <w:pPr>
              <w:pStyle w:val="TableText"/>
              <w:spacing w:before="50" w:after="40"/>
              <w:jc w:val="center"/>
            </w:pPr>
            <w:r w:rsidRPr="00BE78CA">
              <w:t>116.6</w:t>
            </w:r>
          </w:p>
        </w:tc>
      </w:tr>
      <w:tr w:rsidR="00FB19C0" w:rsidRPr="00BE78CA" w14:paraId="2E0B1512" w14:textId="77777777" w:rsidTr="00C26084">
        <w:tc>
          <w:tcPr>
            <w:tcW w:w="993" w:type="dxa"/>
            <w:tcBorders>
              <w:top w:val="single" w:sz="4" w:space="0" w:color="365F91"/>
              <w:left w:val="nil"/>
              <w:bottom w:val="single" w:sz="4" w:space="0" w:color="365F91"/>
              <w:right w:val="nil"/>
            </w:tcBorders>
            <w:hideMark/>
          </w:tcPr>
          <w:p w14:paraId="1A0074F8" w14:textId="77777777" w:rsidR="00FB19C0" w:rsidRPr="00BE78CA" w:rsidRDefault="00FB19C0" w:rsidP="00C26084">
            <w:pPr>
              <w:pStyle w:val="TableTextBold"/>
              <w:spacing w:before="50" w:after="40"/>
              <w:rPr>
                <w:noProof w:val="0"/>
              </w:rPr>
            </w:pPr>
            <w:r w:rsidRPr="00BE78CA">
              <w:rPr>
                <w:noProof w:val="0"/>
              </w:rPr>
              <w:t>1951</w:t>
            </w:r>
          </w:p>
        </w:tc>
        <w:tc>
          <w:tcPr>
            <w:tcW w:w="1942" w:type="dxa"/>
            <w:tcBorders>
              <w:top w:val="single" w:sz="4" w:space="0" w:color="365F91"/>
              <w:left w:val="nil"/>
              <w:bottom w:val="single" w:sz="4" w:space="0" w:color="365F91"/>
              <w:right w:val="nil"/>
            </w:tcBorders>
            <w:hideMark/>
          </w:tcPr>
          <w:p w14:paraId="1E94185A" w14:textId="77777777" w:rsidR="00FB19C0" w:rsidRPr="00BE78CA" w:rsidRDefault="00FB19C0" w:rsidP="00C26084">
            <w:pPr>
              <w:pStyle w:val="TableText"/>
              <w:spacing w:before="50" w:after="40"/>
              <w:jc w:val="center"/>
            </w:pPr>
            <w:r w:rsidRPr="00BE78CA">
              <w:t>77.5</w:t>
            </w:r>
          </w:p>
        </w:tc>
        <w:tc>
          <w:tcPr>
            <w:tcW w:w="2168" w:type="dxa"/>
            <w:tcBorders>
              <w:top w:val="single" w:sz="4" w:space="0" w:color="365F91"/>
              <w:left w:val="nil"/>
              <w:bottom w:val="single" w:sz="4" w:space="0" w:color="365F91"/>
              <w:right w:val="nil"/>
            </w:tcBorders>
            <w:hideMark/>
          </w:tcPr>
          <w:p w14:paraId="3276E866" w14:textId="77777777" w:rsidR="00FB19C0" w:rsidRPr="00BE78CA" w:rsidRDefault="00FB19C0" w:rsidP="00C26084">
            <w:pPr>
              <w:pStyle w:val="TableText"/>
              <w:spacing w:before="50" w:after="40"/>
              <w:jc w:val="center"/>
            </w:pPr>
            <w:r w:rsidRPr="00BE78CA">
              <w:t>164.7</w:t>
            </w:r>
          </w:p>
        </w:tc>
        <w:tc>
          <w:tcPr>
            <w:tcW w:w="1843" w:type="dxa"/>
            <w:tcBorders>
              <w:top w:val="single" w:sz="4" w:space="0" w:color="365F91"/>
              <w:left w:val="nil"/>
              <w:bottom w:val="single" w:sz="4" w:space="0" w:color="365F91"/>
              <w:right w:val="nil"/>
            </w:tcBorders>
            <w:hideMark/>
          </w:tcPr>
          <w:p w14:paraId="16BE5145" w14:textId="77777777" w:rsidR="00FB19C0" w:rsidRPr="00BE78CA" w:rsidRDefault="00FB19C0" w:rsidP="00C26084">
            <w:pPr>
              <w:pStyle w:val="TableText"/>
              <w:spacing w:before="50" w:after="40"/>
              <w:jc w:val="center"/>
            </w:pPr>
            <w:r w:rsidRPr="00BE78CA">
              <w:t>18.3</w:t>
            </w:r>
          </w:p>
        </w:tc>
        <w:tc>
          <w:tcPr>
            <w:tcW w:w="1559" w:type="dxa"/>
            <w:tcBorders>
              <w:top w:val="single" w:sz="4" w:space="0" w:color="365F91"/>
              <w:left w:val="nil"/>
              <w:bottom w:val="single" w:sz="4" w:space="0" w:color="365F91"/>
              <w:right w:val="nil"/>
            </w:tcBorders>
            <w:hideMark/>
          </w:tcPr>
          <w:p w14:paraId="1E409118" w14:textId="77777777" w:rsidR="00FB19C0" w:rsidRPr="00BE78CA" w:rsidRDefault="00FB19C0" w:rsidP="00C26084">
            <w:pPr>
              <w:pStyle w:val="TableText"/>
              <w:spacing w:before="50" w:after="40"/>
              <w:jc w:val="center"/>
            </w:pPr>
            <w:r w:rsidRPr="00BE78CA">
              <w:t>260.6</w:t>
            </w:r>
          </w:p>
        </w:tc>
      </w:tr>
      <w:tr w:rsidR="00FB19C0" w:rsidRPr="00BE78CA" w14:paraId="41CB87CA" w14:textId="77777777" w:rsidTr="00C26084">
        <w:tc>
          <w:tcPr>
            <w:tcW w:w="993" w:type="dxa"/>
            <w:tcBorders>
              <w:top w:val="single" w:sz="4" w:space="0" w:color="365F91"/>
              <w:left w:val="nil"/>
              <w:bottom w:val="single" w:sz="4" w:space="0" w:color="365F91"/>
              <w:right w:val="nil"/>
            </w:tcBorders>
            <w:hideMark/>
          </w:tcPr>
          <w:p w14:paraId="7A3414B9" w14:textId="77777777" w:rsidR="00FB19C0" w:rsidRPr="00BE78CA" w:rsidRDefault="00FB19C0" w:rsidP="00C26084">
            <w:pPr>
              <w:pStyle w:val="TableTextBold"/>
              <w:spacing w:before="50" w:after="40"/>
              <w:rPr>
                <w:noProof w:val="0"/>
              </w:rPr>
            </w:pPr>
            <w:r w:rsidRPr="00BE78CA">
              <w:rPr>
                <w:noProof w:val="0"/>
              </w:rPr>
              <w:t>1952</w:t>
            </w:r>
          </w:p>
        </w:tc>
        <w:tc>
          <w:tcPr>
            <w:tcW w:w="1942" w:type="dxa"/>
            <w:tcBorders>
              <w:top w:val="single" w:sz="4" w:space="0" w:color="365F91"/>
              <w:left w:val="nil"/>
              <w:bottom w:val="single" w:sz="4" w:space="0" w:color="365F91"/>
              <w:right w:val="nil"/>
            </w:tcBorders>
            <w:hideMark/>
          </w:tcPr>
          <w:p w14:paraId="3B0BFE75" w14:textId="77777777" w:rsidR="00FB19C0" w:rsidRPr="00BE78CA" w:rsidRDefault="00FB19C0" w:rsidP="00C26084">
            <w:pPr>
              <w:pStyle w:val="TableText"/>
              <w:spacing w:before="50" w:after="40"/>
              <w:jc w:val="center"/>
            </w:pPr>
            <w:r w:rsidRPr="00BE78CA">
              <w:t>77.5</w:t>
            </w:r>
          </w:p>
        </w:tc>
        <w:tc>
          <w:tcPr>
            <w:tcW w:w="2168" w:type="dxa"/>
            <w:tcBorders>
              <w:top w:val="single" w:sz="4" w:space="0" w:color="365F91"/>
              <w:left w:val="nil"/>
              <w:bottom w:val="single" w:sz="4" w:space="0" w:color="365F91"/>
              <w:right w:val="nil"/>
            </w:tcBorders>
            <w:hideMark/>
          </w:tcPr>
          <w:p w14:paraId="562DB514" w14:textId="77777777" w:rsidR="00FB19C0" w:rsidRPr="00BE78CA" w:rsidRDefault="00FB19C0" w:rsidP="00C26084">
            <w:pPr>
              <w:pStyle w:val="TableText"/>
              <w:spacing w:before="50" w:after="40"/>
              <w:jc w:val="center"/>
            </w:pPr>
            <w:r w:rsidRPr="00BE78CA">
              <w:t>118.7</w:t>
            </w:r>
          </w:p>
        </w:tc>
        <w:tc>
          <w:tcPr>
            <w:tcW w:w="1843" w:type="dxa"/>
            <w:tcBorders>
              <w:top w:val="single" w:sz="4" w:space="0" w:color="365F91"/>
              <w:left w:val="nil"/>
              <w:bottom w:val="single" w:sz="4" w:space="0" w:color="365F91"/>
              <w:right w:val="nil"/>
            </w:tcBorders>
            <w:hideMark/>
          </w:tcPr>
          <w:p w14:paraId="3288B3A8" w14:textId="77777777" w:rsidR="00FB19C0" w:rsidRPr="00BE78CA" w:rsidRDefault="00FB19C0" w:rsidP="00C26084">
            <w:pPr>
              <w:pStyle w:val="TableText"/>
              <w:spacing w:before="50" w:after="40"/>
              <w:jc w:val="center"/>
            </w:pPr>
            <w:r w:rsidRPr="00BE78CA">
              <w:t>13.2</w:t>
            </w:r>
          </w:p>
        </w:tc>
        <w:tc>
          <w:tcPr>
            <w:tcW w:w="1559" w:type="dxa"/>
            <w:tcBorders>
              <w:top w:val="single" w:sz="4" w:space="0" w:color="365F91"/>
              <w:left w:val="nil"/>
              <w:bottom w:val="single" w:sz="4" w:space="0" w:color="365F91"/>
              <w:right w:val="nil"/>
            </w:tcBorders>
            <w:hideMark/>
          </w:tcPr>
          <w:p w14:paraId="41610361" w14:textId="77777777" w:rsidR="00FB19C0" w:rsidRPr="00BE78CA" w:rsidRDefault="00FB19C0" w:rsidP="00C26084">
            <w:pPr>
              <w:pStyle w:val="TableText"/>
              <w:spacing w:before="50" w:after="40"/>
              <w:jc w:val="center"/>
            </w:pPr>
            <w:r w:rsidRPr="00BE78CA">
              <w:t>209.4</w:t>
            </w:r>
          </w:p>
        </w:tc>
      </w:tr>
      <w:tr w:rsidR="00FB19C0" w:rsidRPr="00BE78CA" w14:paraId="441B9BF7" w14:textId="77777777" w:rsidTr="00C26084">
        <w:tc>
          <w:tcPr>
            <w:tcW w:w="993" w:type="dxa"/>
            <w:tcBorders>
              <w:top w:val="single" w:sz="4" w:space="0" w:color="365F91"/>
              <w:left w:val="nil"/>
              <w:bottom w:val="single" w:sz="4" w:space="0" w:color="365F91"/>
              <w:right w:val="nil"/>
            </w:tcBorders>
            <w:hideMark/>
          </w:tcPr>
          <w:p w14:paraId="38252B46" w14:textId="77777777" w:rsidR="00FB19C0" w:rsidRPr="00BE78CA" w:rsidRDefault="00FB19C0" w:rsidP="00C26084">
            <w:pPr>
              <w:pStyle w:val="TableTextBold"/>
              <w:spacing w:before="50" w:after="40"/>
              <w:rPr>
                <w:noProof w:val="0"/>
              </w:rPr>
            </w:pPr>
            <w:r w:rsidRPr="00BE78CA">
              <w:rPr>
                <w:noProof w:val="0"/>
              </w:rPr>
              <w:t>1953</w:t>
            </w:r>
          </w:p>
        </w:tc>
        <w:tc>
          <w:tcPr>
            <w:tcW w:w="1942" w:type="dxa"/>
            <w:tcBorders>
              <w:top w:val="single" w:sz="4" w:space="0" w:color="365F91"/>
              <w:left w:val="nil"/>
              <w:bottom w:val="single" w:sz="4" w:space="0" w:color="365F91"/>
              <w:right w:val="nil"/>
            </w:tcBorders>
            <w:hideMark/>
          </w:tcPr>
          <w:p w14:paraId="04F9DC92" w14:textId="77777777" w:rsidR="00FB19C0" w:rsidRPr="00BE78CA" w:rsidRDefault="00FB19C0" w:rsidP="00C26084">
            <w:pPr>
              <w:pStyle w:val="TableText"/>
              <w:spacing w:before="50" w:after="40"/>
              <w:jc w:val="center"/>
            </w:pPr>
            <w:r w:rsidRPr="00BE78CA">
              <w:t>77.5</w:t>
            </w:r>
          </w:p>
        </w:tc>
        <w:tc>
          <w:tcPr>
            <w:tcW w:w="2168" w:type="dxa"/>
            <w:tcBorders>
              <w:top w:val="single" w:sz="4" w:space="0" w:color="365F91"/>
              <w:left w:val="nil"/>
              <w:bottom w:val="single" w:sz="4" w:space="0" w:color="365F91"/>
              <w:right w:val="nil"/>
            </w:tcBorders>
            <w:hideMark/>
          </w:tcPr>
          <w:p w14:paraId="008F931A" w14:textId="77777777" w:rsidR="00FB19C0" w:rsidRPr="00BE78CA" w:rsidRDefault="00FB19C0" w:rsidP="00C26084">
            <w:pPr>
              <w:pStyle w:val="TableText"/>
              <w:spacing w:before="50" w:after="40"/>
              <w:jc w:val="center"/>
            </w:pPr>
            <w:r w:rsidRPr="00BE78CA">
              <w:t>127.3</w:t>
            </w:r>
          </w:p>
        </w:tc>
        <w:tc>
          <w:tcPr>
            <w:tcW w:w="1843" w:type="dxa"/>
            <w:tcBorders>
              <w:top w:val="single" w:sz="4" w:space="0" w:color="365F91"/>
              <w:left w:val="nil"/>
              <w:bottom w:val="single" w:sz="4" w:space="0" w:color="365F91"/>
              <w:right w:val="nil"/>
            </w:tcBorders>
            <w:hideMark/>
          </w:tcPr>
          <w:p w14:paraId="1F0AF98E" w14:textId="77777777" w:rsidR="00FB19C0" w:rsidRPr="00BE78CA" w:rsidRDefault="00FB19C0" w:rsidP="00C26084">
            <w:pPr>
              <w:pStyle w:val="TableText"/>
              <w:spacing w:before="50" w:after="40"/>
              <w:jc w:val="center"/>
            </w:pPr>
            <w:r w:rsidRPr="00BE78CA">
              <w:t>14.1</w:t>
            </w:r>
          </w:p>
        </w:tc>
        <w:tc>
          <w:tcPr>
            <w:tcW w:w="1559" w:type="dxa"/>
            <w:tcBorders>
              <w:top w:val="single" w:sz="4" w:space="0" w:color="365F91"/>
              <w:left w:val="nil"/>
              <w:bottom w:val="single" w:sz="4" w:space="0" w:color="365F91"/>
              <w:right w:val="nil"/>
            </w:tcBorders>
            <w:hideMark/>
          </w:tcPr>
          <w:p w14:paraId="03147D67" w14:textId="77777777" w:rsidR="00FB19C0" w:rsidRPr="00BE78CA" w:rsidRDefault="00FB19C0" w:rsidP="00C26084">
            <w:pPr>
              <w:pStyle w:val="TableText"/>
              <w:spacing w:before="50" w:after="40"/>
              <w:jc w:val="center"/>
            </w:pPr>
            <w:r w:rsidRPr="00BE78CA">
              <w:t>219.0</w:t>
            </w:r>
          </w:p>
        </w:tc>
      </w:tr>
      <w:tr w:rsidR="00FB19C0" w:rsidRPr="00BE78CA" w14:paraId="75343DBD" w14:textId="77777777" w:rsidTr="00C26084">
        <w:tc>
          <w:tcPr>
            <w:tcW w:w="993" w:type="dxa"/>
            <w:tcBorders>
              <w:top w:val="single" w:sz="4" w:space="0" w:color="365F91"/>
              <w:left w:val="nil"/>
              <w:bottom w:val="single" w:sz="4" w:space="0" w:color="365F91"/>
              <w:right w:val="nil"/>
            </w:tcBorders>
            <w:hideMark/>
          </w:tcPr>
          <w:p w14:paraId="723B361F" w14:textId="77777777" w:rsidR="00FB19C0" w:rsidRPr="00BE78CA" w:rsidRDefault="00FB19C0" w:rsidP="00C26084">
            <w:pPr>
              <w:pStyle w:val="TableTextBold"/>
              <w:spacing w:before="50" w:after="40"/>
              <w:rPr>
                <w:noProof w:val="0"/>
              </w:rPr>
            </w:pPr>
            <w:r w:rsidRPr="00BE78CA">
              <w:rPr>
                <w:noProof w:val="0"/>
              </w:rPr>
              <w:t>1954</w:t>
            </w:r>
          </w:p>
        </w:tc>
        <w:tc>
          <w:tcPr>
            <w:tcW w:w="1942" w:type="dxa"/>
            <w:tcBorders>
              <w:top w:val="single" w:sz="4" w:space="0" w:color="365F91"/>
              <w:left w:val="nil"/>
              <w:bottom w:val="single" w:sz="4" w:space="0" w:color="365F91"/>
              <w:right w:val="nil"/>
            </w:tcBorders>
            <w:hideMark/>
          </w:tcPr>
          <w:p w14:paraId="6498452F" w14:textId="77777777" w:rsidR="00FB19C0" w:rsidRPr="00BE78CA" w:rsidRDefault="00FB19C0" w:rsidP="00C26084">
            <w:pPr>
              <w:pStyle w:val="TableText"/>
              <w:spacing w:before="50" w:after="40"/>
              <w:jc w:val="center"/>
            </w:pPr>
            <w:r w:rsidRPr="00BE78CA">
              <w:t>77.5</w:t>
            </w:r>
          </w:p>
        </w:tc>
        <w:tc>
          <w:tcPr>
            <w:tcW w:w="2168" w:type="dxa"/>
            <w:tcBorders>
              <w:top w:val="single" w:sz="4" w:space="0" w:color="365F91"/>
              <w:left w:val="nil"/>
              <w:bottom w:val="single" w:sz="4" w:space="0" w:color="365F91"/>
              <w:right w:val="nil"/>
            </w:tcBorders>
            <w:hideMark/>
          </w:tcPr>
          <w:p w14:paraId="40A31B14" w14:textId="77777777" w:rsidR="00FB19C0" w:rsidRPr="00BE78CA" w:rsidRDefault="00FB19C0" w:rsidP="00C26084">
            <w:pPr>
              <w:pStyle w:val="TableText"/>
              <w:spacing w:before="50" w:after="40"/>
              <w:jc w:val="center"/>
            </w:pPr>
            <w:r w:rsidRPr="00BE78CA">
              <w:t>195.3</w:t>
            </w:r>
          </w:p>
        </w:tc>
        <w:tc>
          <w:tcPr>
            <w:tcW w:w="1843" w:type="dxa"/>
            <w:tcBorders>
              <w:top w:val="single" w:sz="4" w:space="0" w:color="365F91"/>
              <w:left w:val="nil"/>
              <w:bottom w:val="single" w:sz="4" w:space="0" w:color="365F91"/>
              <w:right w:val="nil"/>
            </w:tcBorders>
            <w:hideMark/>
          </w:tcPr>
          <w:p w14:paraId="4C52A389" w14:textId="77777777" w:rsidR="00FB19C0" w:rsidRPr="00BE78CA" w:rsidRDefault="00FB19C0" w:rsidP="00C26084">
            <w:pPr>
              <w:pStyle w:val="TableText"/>
              <w:spacing w:before="50" w:after="40"/>
              <w:jc w:val="center"/>
            </w:pPr>
            <w:r w:rsidRPr="00BE78CA">
              <w:t>21.7</w:t>
            </w:r>
          </w:p>
        </w:tc>
        <w:tc>
          <w:tcPr>
            <w:tcW w:w="1559" w:type="dxa"/>
            <w:tcBorders>
              <w:top w:val="single" w:sz="4" w:space="0" w:color="365F91"/>
              <w:left w:val="nil"/>
              <w:bottom w:val="single" w:sz="4" w:space="0" w:color="365F91"/>
              <w:right w:val="nil"/>
            </w:tcBorders>
            <w:hideMark/>
          </w:tcPr>
          <w:p w14:paraId="19588D5F" w14:textId="77777777" w:rsidR="00FB19C0" w:rsidRPr="00BE78CA" w:rsidRDefault="00FB19C0" w:rsidP="00C26084">
            <w:pPr>
              <w:pStyle w:val="TableText"/>
              <w:spacing w:before="50" w:after="40"/>
              <w:jc w:val="center"/>
            </w:pPr>
            <w:r w:rsidRPr="00BE78CA">
              <w:t>294.5</w:t>
            </w:r>
          </w:p>
        </w:tc>
      </w:tr>
      <w:tr w:rsidR="00FB19C0" w:rsidRPr="00BE78CA" w14:paraId="1E0AAB50" w14:textId="77777777" w:rsidTr="00C26084">
        <w:tc>
          <w:tcPr>
            <w:tcW w:w="993" w:type="dxa"/>
            <w:tcBorders>
              <w:top w:val="single" w:sz="4" w:space="0" w:color="365F91"/>
              <w:left w:val="nil"/>
              <w:bottom w:val="single" w:sz="4" w:space="0" w:color="365F91"/>
              <w:right w:val="nil"/>
            </w:tcBorders>
            <w:hideMark/>
          </w:tcPr>
          <w:p w14:paraId="70317FC2" w14:textId="77777777" w:rsidR="00FB19C0" w:rsidRPr="00BE78CA" w:rsidRDefault="00FB19C0" w:rsidP="00C26084">
            <w:pPr>
              <w:pStyle w:val="TableTextBold"/>
              <w:spacing w:before="50" w:after="40"/>
              <w:rPr>
                <w:noProof w:val="0"/>
              </w:rPr>
            </w:pPr>
            <w:r w:rsidRPr="00BE78CA">
              <w:rPr>
                <w:noProof w:val="0"/>
              </w:rPr>
              <w:t>1955</w:t>
            </w:r>
          </w:p>
        </w:tc>
        <w:tc>
          <w:tcPr>
            <w:tcW w:w="1942" w:type="dxa"/>
            <w:tcBorders>
              <w:top w:val="single" w:sz="4" w:space="0" w:color="365F91"/>
              <w:left w:val="nil"/>
              <w:bottom w:val="single" w:sz="4" w:space="0" w:color="365F91"/>
              <w:right w:val="nil"/>
            </w:tcBorders>
            <w:hideMark/>
          </w:tcPr>
          <w:p w14:paraId="35FF184F" w14:textId="77777777" w:rsidR="00FB19C0" w:rsidRPr="00BE78CA" w:rsidRDefault="00FB19C0" w:rsidP="00C26084">
            <w:pPr>
              <w:pStyle w:val="TableText"/>
              <w:spacing w:before="50" w:after="40"/>
              <w:jc w:val="center"/>
            </w:pPr>
            <w:r w:rsidRPr="00BE78CA">
              <w:t>181.7</w:t>
            </w:r>
          </w:p>
        </w:tc>
        <w:tc>
          <w:tcPr>
            <w:tcW w:w="2168" w:type="dxa"/>
            <w:tcBorders>
              <w:top w:val="single" w:sz="4" w:space="0" w:color="365F91"/>
              <w:left w:val="nil"/>
              <w:bottom w:val="single" w:sz="4" w:space="0" w:color="365F91"/>
              <w:right w:val="nil"/>
            </w:tcBorders>
            <w:hideMark/>
          </w:tcPr>
          <w:p w14:paraId="165458A8" w14:textId="77777777" w:rsidR="00FB19C0" w:rsidRPr="00BE78CA" w:rsidRDefault="00FB19C0" w:rsidP="00C26084">
            <w:pPr>
              <w:pStyle w:val="TableText"/>
              <w:spacing w:before="50" w:after="40"/>
              <w:jc w:val="center"/>
            </w:pPr>
            <w:r w:rsidRPr="00BE78CA">
              <w:t>180.3</w:t>
            </w:r>
          </w:p>
        </w:tc>
        <w:tc>
          <w:tcPr>
            <w:tcW w:w="1843" w:type="dxa"/>
            <w:tcBorders>
              <w:top w:val="single" w:sz="4" w:space="0" w:color="365F91"/>
              <w:left w:val="nil"/>
              <w:bottom w:val="single" w:sz="4" w:space="0" w:color="365F91"/>
              <w:right w:val="nil"/>
            </w:tcBorders>
            <w:hideMark/>
          </w:tcPr>
          <w:p w14:paraId="3CD9E339" w14:textId="77777777" w:rsidR="00FB19C0" w:rsidRPr="00BE78CA" w:rsidRDefault="00FB19C0" w:rsidP="00C26084">
            <w:pPr>
              <w:pStyle w:val="TableText"/>
              <w:spacing w:before="50" w:after="40"/>
              <w:jc w:val="center"/>
            </w:pPr>
            <w:r w:rsidRPr="00BE78CA">
              <w:t>20.0</w:t>
            </w:r>
          </w:p>
        </w:tc>
        <w:tc>
          <w:tcPr>
            <w:tcW w:w="1559" w:type="dxa"/>
            <w:tcBorders>
              <w:top w:val="single" w:sz="4" w:space="0" w:color="365F91"/>
              <w:left w:val="nil"/>
              <w:bottom w:val="single" w:sz="4" w:space="0" w:color="365F91"/>
              <w:right w:val="nil"/>
            </w:tcBorders>
            <w:hideMark/>
          </w:tcPr>
          <w:p w14:paraId="0DEED268" w14:textId="77777777" w:rsidR="00FB19C0" w:rsidRPr="00BE78CA" w:rsidRDefault="00FB19C0" w:rsidP="00C26084">
            <w:pPr>
              <w:pStyle w:val="TableText"/>
              <w:spacing w:before="50" w:after="40"/>
              <w:jc w:val="center"/>
            </w:pPr>
            <w:r w:rsidRPr="00BE78CA">
              <w:t>382.1</w:t>
            </w:r>
          </w:p>
        </w:tc>
      </w:tr>
      <w:tr w:rsidR="00FB19C0" w:rsidRPr="00BE78CA" w14:paraId="20CFFB59" w14:textId="77777777" w:rsidTr="00C26084">
        <w:tc>
          <w:tcPr>
            <w:tcW w:w="993" w:type="dxa"/>
            <w:tcBorders>
              <w:top w:val="single" w:sz="4" w:space="0" w:color="365F91"/>
              <w:left w:val="nil"/>
              <w:bottom w:val="single" w:sz="4" w:space="0" w:color="365F91"/>
              <w:right w:val="nil"/>
            </w:tcBorders>
            <w:hideMark/>
          </w:tcPr>
          <w:p w14:paraId="1A5AD323" w14:textId="77777777" w:rsidR="00FB19C0" w:rsidRPr="00BE78CA" w:rsidRDefault="00FB19C0" w:rsidP="00C26084">
            <w:pPr>
              <w:pStyle w:val="TableTextBold"/>
              <w:spacing w:before="50" w:after="40"/>
              <w:rPr>
                <w:noProof w:val="0"/>
              </w:rPr>
            </w:pPr>
            <w:r w:rsidRPr="00BE78CA">
              <w:rPr>
                <w:noProof w:val="0"/>
              </w:rPr>
              <w:t>1956</w:t>
            </w:r>
          </w:p>
        </w:tc>
        <w:tc>
          <w:tcPr>
            <w:tcW w:w="1942" w:type="dxa"/>
            <w:tcBorders>
              <w:top w:val="single" w:sz="4" w:space="0" w:color="365F91"/>
              <w:left w:val="nil"/>
              <w:bottom w:val="single" w:sz="4" w:space="0" w:color="365F91"/>
              <w:right w:val="nil"/>
            </w:tcBorders>
            <w:hideMark/>
          </w:tcPr>
          <w:p w14:paraId="2962AC99" w14:textId="77777777" w:rsidR="00FB19C0" w:rsidRPr="00BE78CA" w:rsidRDefault="00FB19C0" w:rsidP="00C26084">
            <w:pPr>
              <w:pStyle w:val="TableText"/>
              <w:spacing w:before="50" w:after="40"/>
              <w:jc w:val="center"/>
            </w:pPr>
            <w:r w:rsidRPr="00BE78CA">
              <w:t>181.7</w:t>
            </w:r>
          </w:p>
        </w:tc>
        <w:tc>
          <w:tcPr>
            <w:tcW w:w="2168" w:type="dxa"/>
            <w:tcBorders>
              <w:top w:val="single" w:sz="4" w:space="0" w:color="365F91"/>
              <w:left w:val="nil"/>
              <w:bottom w:val="single" w:sz="4" w:space="0" w:color="365F91"/>
              <w:right w:val="nil"/>
            </w:tcBorders>
            <w:hideMark/>
          </w:tcPr>
          <w:p w14:paraId="49843CFA" w14:textId="77777777" w:rsidR="00FB19C0" w:rsidRPr="00BE78CA" w:rsidRDefault="00FB19C0" w:rsidP="00C26084">
            <w:pPr>
              <w:pStyle w:val="TableText"/>
              <w:spacing w:before="50" w:after="40"/>
              <w:jc w:val="center"/>
            </w:pPr>
            <w:r w:rsidRPr="00BE78CA">
              <w:t>202.7</w:t>
            </w:r>
          </w:p>
        </w:tc>
        <w:tc>
          <w:tcPr>
            <w:tcW w:w="1843" w:type="dxa"/>
            <w:tcBorders>
              <w:top w:val="single" w:sz="4" w:space="0" w:color="365F91"/>
              <w:left w:val="nil"/>
              <w:bottom w:val="single" w:sz="4" w:space="0" w:color="365F91"/>
              <w:right w:val="nil"/>
            </w:tcBorders>
            <w:hideMark/>
          </w:tcPr>
          <w:p w14:paraId="71242307" w14:textId="77777777" w:rsidR="00FB19C0" w:rsidRPr="00BE78CA" w:rsidRDefault="00FB19C0" w:rsidP="00C26084">
            <w:pPr>
              <w:pStyle w:val="TableText"/>
              <w:spacing w:before="50" w:after="40"/>
              <w:jc w:val="center"/>
            </w:pPr>
            <w:r w:rsidRPr="00BE78CA">
              <w:t>22.5</w:t>
            </w:r>
          </w:p>
        </w:tc>
        <w:tc>
          <w:tcPr>
            <w:tcW w:w="1559" w:type="dxa"/>
            <w:tcBorders>
              <w:top w:val="single" w:sz="4" w:space="0" w:color="365F91"/>
              <w:left w:val="nil"/>
              <w:bottom w:val="single" w:sz="4" w:space="0" w:color="365F91"/>
              <w:right w:val="nil"/>
            </w:tcBorders>
            <w:hideMark/>
          </w:tcPr>
          <w:p w14:paraId="1260A614" w14:textId="77777777" w:rsidR="00FB19C0" w:rsidRPr="00BE78CA" w:rsidRDefault="00FB19C0" w:rsidP="00C26084">
            <w:pPr>
              <w:pStyle w:val="TableText"/>
              <w:spacing w:before="50" w:after="40"/>
              <w:jc w:val="center"/>
            </w:pPr>
            <w:r w:rsidRPr="00BE78CA">
              <w:t>407.0</w:t>
            </w:r>
          </w:p>
        </w:tc>
      </w:tr>
      <w:tr w:rsidR="00FB19C0" w:rsidRPr="00BE78CA" w14:paraId="0D9D6FAF" w14:textId="77777777" w:rsidTr="00C26084">
        <w:tc>
          <w:tcPr>
            <w:tcW w:w="993" w:type="dxa"/>
            <w:tcBorders>
              <w:top w:val="single" w:sz="4" w:space="0" w:color="365F91"/>
              <w:left w:val="nil"/>
              <w:bottom w:val="single" w:sz="4" w:space="0" w:color="365F91"/>
              <w:right w:val="nil"/>
            </w:tcBorders>
            <w:hideMark/>
          </w:tcPr>
          <w:p w14:paraId="65EA5401" w14:textId="77777777" w:rsidR="00FB19C0" w:rsidRPr="00BE78CA" w:rsidRDefault="00FB19C0" w:rsidP="00C26084">
            <w:pPr>
              <w:pStyle w:val="TableTextBold"/>
              <w:spacing w:before="50" w:after="40"/>
              <w:rPr>
                <w:noProof w:val="0"/>
              </w:rPr>
            </w:pPr>
            <w:r w:rsidRPr="00BE78CA">
              <w:rPr>
                <w:noProof w:val="0"/>
              </w:rPr>
              <w:t>1957</w:t>
            </w:r>
          </w:p>
        </w:tc>
        <w:tc>
          <w:tcPr>
            <w:tcW w:w="1942" w:type="dxa"/>
            <w:tcBorders>
              <w:top w:val="single" w:sz="4" w:space="0" w:color="365F91"/>
              <w:left w:val="nil"/>
              <w:bottom w:val="single" w:sz="4" w:space="0" w:color="365F91"/>
              <w:right w:val="nil"/>
            </w:tcBorders>
            <w:hideMark/>
          </w:tcPr>
          <w:p w14:paraId="69A59FEC" w14:textId="77777777" w:rsidR="00FB19C0" w:rsidRPr="00BE78CA" w:rsidRDefault="00FB19C0" w:rsidP="00C26084">
            <w:pPr>
              <w:pStyle w:val="TableText"/>
              <w:spacing w:before="50" w:after="40"/>
              <w:jc w:val="center"/>
            </w:pPr>
            <w:r w:rsidRPr="00BE78CA">
              <w:t>181.7</w:t>
            </w:r>
          </w:p>
        </w:tc>
        <w:tc>
          <w:tcPr>
            <w:tcW w:w="2168" w:type="dxa"/>
            <w:tcBorders>
              <w:top w:val="single" w:sz="4" w:space="0" w:color="365F91"/>
              <w:left w:val="nil"/>
              <w:bottom w:val="single" w:sz="4" w:space="0" w:color="365F91"/>
              <w:right w:val="nil"/>
            </w:tcBorders>
            <w:hideMark/>
          </w:tcPr>
          <w:p w14:paraId="11F520B7" w14:textId="77777777" w:rsidR="00FB19C0" w:rsidRPr="00BE78CA" w:rsidRDefault="00FB19C0" w:rsidP="00C26084">
            <w:pPr>
              <w:pStyle w:val="TableText"/>
              <w:spacing w:before="50" w:after="40"/>
              <w:jc w:val="center"/>
            </w:pPr>
            <w:r w:rsidRPr="00BE78CA">
              <w:t>241.8</w:t>
            </w:r>
          </w:p>
        </w:tc>
        <w:tc>
          <w:tcPr>
            <w:tcW w:w="1843" w:type="dxa"/>
            <w:tcBorders>
              <w:top w:val="single" w:sz="4" w:space="0" w:color="365F91"/>
              <w:left w:val="nil"/>
              <w:bottom w:val="single" w:sz="4" w:space="0" w:color="365F91"/>
              <w:right w:val="nil"/>
            </w:tcBorders>
            <w:hideMark/>
          </w:tcPr>
          <w:p w14:paraId="03F4C940" w14:textId="77777777" w:rsidR="00FB19C0" w:rsidRPr="00BE78CA" w:rsidRDefault="00FB19C0" w:rsidP="00C26084">
            <w:pPr>
              <w:pStyle w:val="TableText"/>
              <w:spacing w:before="50" w:after="40"/>
              <w:jc w:val="center"/>
            </w:pPr>
            <w:r w:rsidRPr="00BE78CA">
              <w:t>26.9</w:t>
            </w:r>
          </w:p>
        </w:tc>
        <w:tc>
          <w:tcPr>
            <w:tcW w:w="1559" w:type="dxa"/>
            <w:tcBorders>
              <w:top w:val="single" w:sz="4" w:space="0" w:color="365F91"/>
              <w:left w:val="nil"/>
              <w:bottom w:val="single" w:sz="4" w:space="0" w:color="365F91"/>
              <w:right w:val="nil"/>
            </w:tcBorders>
            <w:hideMark/>
          </w:tcPr>
          <w:p w14:paraId="60D95BA3" w14:textId="77777777" w:rsidR="00FB19C0" w:rsidRPr="00BE78CA" w:rsidRDefault="00FB19C0" w:rsidP="00C26084">
            <w:pPr>
              <w:pStyle w:val="TableText"/>
              <w:spacing w:before="50" w:after="40"/>
              <w:jc w:val="center"/>
            </w:pPr>
            <w:r w:rsidRPr="00BE78CA">
              <w:t>450.4</w:t>
            </w:r>
          </w:p>
        </w:tc>
      </w:tr>
      <w:tr w:rsidR="00FB19C0" w:rsidRPr="00BE78CA" w14:paraId="12AD559D" w14:textId="77777777" w:rsidTr="00C26084">
        <w:tc>
          <w:tcPr>
            <w:tcW w:w="993" w:type="dxa"/>
            <w:tcBorders>
              <w:top w:val="single" w:sz="4" w:space="0" w:color="365F91"/>
              <w:left w:val="nil"/>
              <w:bottom w:val="single" w:sz="4" w:space="0" w:color="365F91"/>
              <w:right w:val="nil"/>
            </w:tcBorders>
            <w:hideMark/>
          </w:tcPr>
          <w:p w14:paraId="6BD23C87" w14:textId="77777777" w:rsidR="00FB19C0" w:rsidRPr="00BE78CA" w:rsidRDefault="00FB19C0" w:rsidP="00C26084">
            <w:pPr>
              <w:pStyle w:val="TableTextBold"/>
              <w:spacing w:before="50" w:after="40"/>
              <w:rPr>
                <w:noProof w:val="0"/>
              </w:rPr>
            </w:pPr>
            <w:r w:rsidRPr="00BE78CA">
              <w:rPr>
                <w:noProof w:val="0"/>
              </w:rPr>
              <w:t>1958</w:t>
            </w:r>
          </w:p>
        </w:tc>
        <w:tc>
          <w:tcPr>
            <w:tcW w:w="1942" w:type="dxa"/>
            <w:tcBorders>
              <w:top w:val="single" w:sz="4" w:space="0" w:color="365F91"/>
              <w:left w:val="nil"/>
              <w:bottom w:val="single" w:sz="4" w:space="0" w:color="365F91"/>
              <w:right w:val="nil"/>
            </w:tcBorders>
            <w:hideMark/>
          </w:tcPr>
          <w:p w14:paraId="7B68EA78" w14:textId="77777777" w:rsidR="00FB19C0" w:rsidRPr="00BE78CA" w:rsidRDefault="00FB19C0" w:rsidP="00C26084">
            <w:pPr>
              <w:pStyle w:val="TableText"/>
              <w:spacing w:before="50" w:after="40"/>
              <w:jc w:val="center"/>
            </w:pPr>
            <w:r w:rsidRPr="00BE78CA">
              <w:t>181.7</w:t>
            </w:r>
          </w:p>
        </w:tc>
        <w:tc>
          <w:tcPr>
            <w:tcW w:w="2168" w:type="dxa"/>
            <w:tcBorders>
              <w:top w:val="single" w:sz="4" w:space="0" w:color="365F91"/>
              <w:left w:val="nil"/>
              <w:bottom w:val="single" w:sz="4" w:space="0" w:color="365F91"/>
              <w:right w:val="nil"/>
            </w:tcBorders>
            <w:hideMark/>
          </w:tcPr>
          <w:p w14:paraId="02F7FF4C" w14:textId="77777777" w:rsidR="00FB19C0" w:rsidRPr="00BE78CA" w:rsidRDefault="00FB19C0" w:rsidP="00C26084">
            <w:pPr>
              <w:pStyle w:val="TableText"/>
              <w:spacing w:before="50" w:after="40"/>
              <w:jc w:val="center"/>
            </w:pPr>
            <w:r w:rsidRPr="00BE78CA">
              <w:t>267.1</w:t>
            </w:r>
          </w:p>
        </w:tc>
        <w:tc>
          <w:tcPr>
            <w:tcW w:w="1843" w:type="dxa"/>
            <w:tcBorders>
              <w:top w:val="single" w:sz="4" w:space="0" w:color="365F91"/>
              <w:left w:val="nil"/>
              <w:bottom w:val="single" w:sz="4" w:space="0" w:color="365F91"/>
              <w:right w:val="nil"/>
            </w:tcBorders>
            <w:hideMark/>
          </w:tcPr>
          <w:p w14:paraId="7F09CA44" w14:textId="77777777" w:rsidR="00FB19C0" w:rsidRPr="00BE78CA" w:rsidRDefault="00FB19C0" w:rsidP="00C26084">
            <w:pPr>
              <w:pStyle w:val="TableText"/>
              <w:spacing w:before="50" w:after="40"/>
              <w:jc w:val="center"/>
            </w:pPr>
            <w:r w:rsidRPr="00BE78CA">
              <w:t>29.7</w:t>
            </w:r>
          </w:p>
        </w:tc>
        <w:tc>
          <w:tcPr>
            <w:tcW w:w="1559" w:type="dxa"/>
            <w:tcBorders>
              <w:top w:val="single" w:sz="4" w:space="0" w:color="365F91"/>
              <w:left w:val="nil"/>
              <w:bottom w:val="single" w:sz="4" w:space="0" w:color="365F91"/>
              <w:right w:val="nil"/>
            </w:tcBorders>
            <w:hideMark/>
          </w:tcPr>
          <w:p w14:paraId="35A193BC" w14:textId="77777777" w:rsidR="00FB19C0" w:rsidRPr="00BE78CA" w:rsidRDefault="00FB19C0" w:rsidP="00C26084">
            <w:pPr>
              <w:pStyle w:val="TableText"/>
              <w:spacing w:before="50" w:after="40"/>
              <w:jc w:val="center"/>
            </w:pPr>
            <w:r w:rsidRPr="00BE78CA">
              <w:t>478.5</w:t>
            </w:r>
          </w:p>
        </w:tc>
      </w:tr>
      <w:tr w:rsidR="00FB19C0" w:rsidRPr="00BE78CA" w14:paraId="072A702B" w14:textId="77777777" w:rsidTr="00C26084">
        <w:tc>
          <w:tcPr>
            <w:tcW w:w="993" w:type="dxa"/>
            <w:tcBorders>
              <w:top w:val="single" w:sz="4" w:space="0" w:color="365F91"/>
              <w:left w:val="nil"/>
              <w:bottom w:val="single" w:sz="4" w:space="0" w:color="365F91"/>
              <w:right w:val="nil"/>
            </w:tcBorders>
            <w:hideMark/>
          </w:tcPr>
          <w:p w14:paraId="1EBA11FF" w14:textId="77777777" w:rsidR="00FB19C0" w:rsidRPr="00BE78CA" w:rsidRDefault="00FB19C0" w:rsidP="00C26084">
            <w:pPr>
              <w:pStyle w:val="TableTextBold"/>
              <w:spacing w:before="50" w:after="40"/>
              <w:rPr>
                <w:noProof w:val="0"/>
              </w:rPr>
            </w:pPr>
            <w:r w:rsidRPr="00BE78CA">
              <w:rPr>
                <w:noProof w:val="0"/>
              </w:rPr>
              <w:t>1959</w:t>
            </w:r>
          </w:p>
        </w:tc>
        <w:tc>
          <w:tcPr>
            <w:tcW w:w="1942" w:type="dxa"/>
            <w:tcBorders>
              <w:top w:val="single" w:sz="4" w:space="0" w:color="365F91"/>
              <w:left w:val="nil"/>
              <w:bottom w:val="single" w:sz="4" w:space="0" w:color="365F91"/>
              <w:right w:val="nil"/>
            </w:tcBorders>
            <w:hideMark/>
          </w:tcPr>
          <w:p w14:paraId="635132AF" w14:textId="77777777" w:rsidR="00FB19C0" w:rsidRPr="00BE78CA" w:rsidRDefault="00FB19C0" w:rsidP="00C26084">
            <w:pPr>
              <w:pStyle w:val="TableText"/>
              <w:spacing w:before="50" w:after="40"/>
              <w:jc w:val="center"/>
            </w:pPr>
            <w:r w:rsidRPr="00BE78CA">
              <w:t>181.7</w:t>
            </w:r>
          </w:p>
        </w:tc>
        <w:tc>
          <w:tcPr>
            <w:tcW w:w="2168" w:type="dxa"/>
            <w:tcBorders>
              <w:top w:val="single" w:sz="4" w:space="0" w:color="365F91"/>
              <w:left w:val="nil"/>
              <w:bottom w:val="single" w:sz="4" w:space="0" w:color="365F91"/>
              <w:right w:val="nil"/>
            </w:tcBorders>
            <w:hideMark/>
          </w:tcPr>
          <w:p w14:paraId="3D12559E" w14:textId="77777777" w:rsidR="00FB19C0" w:rsidRPr="00BE78CA" w:rsidRDefault="00FB19C0" w:rsidP="00C26084">
            <w:pPr>
              <w:pStyle w:val="TableText"/>
              <w:spacing w:before="50" w:after="40"/>
              <w:jc w:val="center"/>
            </w:pPr>
            <w:r w:rsidRPr="00BE78CA">
              <w:t>281.5</w:t>
            </w:r>
          </w:p>
        </w:tc>
        <w:tc>
          <w:tcPr>
            <w:tcW w:w="1843" w:type="dxa"/>
            <w:tcBorders>
              <w:top w:val="single" w:sz="4" w:space="0" w:color="365F91"/>
              <w:left w:val="nil"/>
              <w:bottom w:val="single" w:sz="4" w:space="0" w:color="365F91"/>
              <w:right w:val="nil"/>
            </w:tcBorders>
            <w:hideMark/>
          </w:tcPr>
          <w:p w14:paraId="036B5369" w14:textId="77777777" w:rsidR="00FB19C0" w:rsidRPr="00BE78CA" w:rsidRDefault="00FB19C0" w:rsidP="00C26084">
            <w:pPr>
              <w:pStyle w:val="TableText"/>
              <w:spacing w:before="50" w:after="40"/>
              <w:jc w:val="center"/>
            </w:pPr>
            <w:r w:rsidRPr="00BE78CA">
              <w:t>31.3</w:t>
            </w:r>
          </w:p>
        </w:tc>
        <w:tc>
          <w:tcPr>
            <w:tcW w:w="1559" w:type="dxa"/>
            <w:tcBorders>
              <w:top w:val="single" w:sz="4" w:space="0" w:color="365F91"/>
              <w:left w:val="nil"/>
              <w:bottom w:val="single" w:sz="4" w:space="0" w:color="365F91"/>
              <w:right w:val="nil"/>
            </w:tcBorders>
            <w:hideMark/>
          </w:tcPr>
          <w:p w14:paraId="476BA1C9" w14:textId="77777777" w:rsidR="00FB19C0" w:rsidRPr="00BE78CA" w:rsidRDefault="00FB19C0" w:rsidP="00C26084">
            <w:pPr>
              <w:pStyle w:val="TableText"/>
              <w:spacing w:before="50" w:after="40"/>
              <w:jc w:val="center"/>
            </w:pPr>
            <w:r w:rsidRPr="00BE78CA">
              <w:t>494.5</w:t>
            </w:r>
          </w:p>
        </w:tc>
      </w:tr>
      <w:tr w:rsidR="00FB19C0" w:rsidRPr="00BE78CA" w14:paraId="1E4F3B6D" w14:textId="77777777" w:rsidTr="00C26084">
        <w:tc>
          <w:tcPr>
            <w:tcW w:w="993" w:type="dxa"/>
            <w:tcBorders>
              <w:top w:val="single" w:sz="4" w:space="0" w:color="365F91"/>
              <w:left w:val="nil"/>
              <w:bottom w:val="single" w:sz="4" w:space="0" w:color="365F91"/>
              <w:right w:val="nil"/>
            </w:tcBorders>
            <w:hideMark/>
          </w:tcPr>
          <w:p w14:paraId="021DD46D" w14:textId="77777777" w:rsidR="00FB19C0" w:rsidRPr="00BE78CA" w:rsidRDefault="00FB19C0" w:rsidP="00C26084">
            <w:pPr>
              <w:pStyle w:val="TableTextBold"/>
              <w:spacing w:before="50" w:after="40"/>
              <w:rPr>
                <w:noProof w:val="0"/>
              </w:rPr>
            </w:pPr>
            <w:r w:rsidRPr="00BE78CA">
              <w:rPr>
                <w:noProof w:val="0"/>
              </w:rPr>
              <w:t>1960</w:t>
            </w:r>
          </w:p>
        </w:tc>
        <w:tc>
          <w:tcPr>
            <w:tcW w:w="1942" w:type="dxa"/>
            <w:tcBorders>
              <w:top w:val="single" w:sz="4" w:space="0" w:color="365F91"/>
              <w:left w:val="nil"/>
              <w:bottom w:val="single" w:sz="4" w:space="0" w:color="365F91"/>
              <w:right w:val="nil"/>
            </w:tcBorders>
            <w:hideMark/>
          </w:tcPr>
          <w:p w14:paraId="4D6B12EB" w14:textId="77777777" w:rsidR="00FB19C0" w:rsidRPr="00BE78CA" w:rsidRDefault="00FB19C0" w:rsidP="00C26084">
            <w:pPr>
              <w:pStyle w:val="TableText"/>
              <w:spacing w:before="50" w:after="40"/>
              <w:jc w:val="center"/>
            </w:pPr>
            <w:r w:rsidRPr="00BE78CA">
              <w:t>181.7</w:t>
            </w:r>
          </w:p>
        </w:tc>
        <w:tc>
          <w:tcPr>
            <w:tcW w:w="2168" w:type="dxa"/>
            <w:tcBorders>
              <w:top w:val="single" w:sz="4" w:space="0" w:color="365F91"/>
              <w:left w:val="nil"/>
              <w:bottom w:val="single" w:sz="4" w:space="0" w:color="365F91"/>
              <w:right w:val="nil"/>
            </w:tcBorders>
            <w:hideMark/>
          </w:tcPr>
          <w:p w14:paraId="1FC1997E" w14:textId="77777777" w:rsidR="00FB19C0" w:rsidRPr="00BE78CA" w:rsidRDefault="00FB19C0" w:rsidP="00C26084">
            <w:pPr>
              <w:pStyle w:val="TableText"/>
              <w:spacing w:before="50" w:after="40"/>
              <w:jc w:val="center"/>
            </w:pPr>
            <w:r w:rsidRPr="00BE78CA">
              <w:t>349.3</w:t>
            </w:r>
          </w:p>
        </w:tc>
        <w:tc>
          <w:tcPr>
            <w:tcW w:w="1843" w:type="dxa"/>
            <w:tcBorders>
              <w:top w:val="single" w:sz="4" w:space="0" w:color="365F91"/>
              <w:left w:val="nil"/>
              <w:bottom w:val="single" w:sz="4" w:space="0" w:color="365F91"/>
              <w:right w:val="nil"/>
            </w:tcBorders>
            <w:hideMark/>
          </w:tcPr>
          <w:p w14:paraId="612A3244" w14:textId="77777777" w:rsidR="00FB19C0" w:rsidRPr="00BE78CA" w:rsidRDefault="00FB19C0" w:rsidP="00C26084">
            <w:pPr>
              <w:pStyle w:val="TableText"/>
              <w:spacing w:before="50" w:after="40"/>
              <w:jc w:val="center"/>
            </w:pPr>
            <w:r w:rsidRPr="00BE78CA">
              <w:t>38.8</w:t>
            </w:r>
          </w:p>
        </w:tc>
        <w:tc>
          <w:tcPr>
            <w:tcW w:w="1559" w:type="dxa"/>
            <w:tcBorders>
              <w:top w:val="single" w:sz="4" w:space="0" w:color="365F91"/>
              <w:left w:val="nil"/>
              <w:bottom w:val="single" w:sz="4" w:space="0" w:color="365F91"/>
              <w:right w:val="nil"/>
            </w:tcBorders>
            <w:hideMark/>
          </w:tcPr>
          <w:p w14:paraId="2AD73D16" w14:textId="77777777" w:rsidR="00FB19C0" w:rsidRPr="00BE78CA" w:rsidRDefault="00FB19C0" w:rsidP="00C26084">
            <w:pPr>
              <w:pStyle w:val="TableText"/>
              <w:spacing w:before="50" w:after="40"/>
              <w:jc w:val="center"/>
            </w:pPr>
            <w:r w:rsidRPr="00BE78CA">
              <w:t>569.9</w:t>
            </w:r>
          </w:p>
        </w:tc>
      </w:tr>
      <w:tr w:rsidR="00FB19C0" w:rsidRPr="00BE78CA" w14:paraId="3C497A0C" w14:textId="77777777" w:rsidTr="00C26084">
        <w:tc>
          <w:tcPr>
            <w:tcW w:w="993" w:type="dxa"/>
            <w:tcBorders>
              <w:top w:val="single" w:sz="4" w:space="0" w:color="365F91"/>
              <w:left w:val="nil"/>
              <w:bottom w:val="single" w:sz="4" w:space="0" w:color="365F91"/>
              <w:right w:val="nil"/>
            </w:tcBorders>
            <w:hideMark/>
          </w:tcPr>
          <w:p w14:paraId="60A7948B" w14:textId="77777777" w:rsidR="00FB19C0" w:rsidRPr="00BE78CA" w:rsidRDefault="00FB19C0" w:rsidP="00C26084">
            <w:pPr>
              <w:pStyle w:val="TableTextBold"/>
              <w:spacing w:before="50" w:after="40"/>
              <w:rPr>
                <w:noProof w:val="0"/>
              </w:rPr>
            </w:pPr>
            <w:r w:rsidRPr="00BE78CA">
              <w:rPr>
                <w:noProof w:val="0"/>
              </w:rPr>
              <w:t>1961</w:t>
            </w:r>
          </w:p>
        </w:tc>
        <w:tc>
          <w:tcPr>
            <w:tcW w:w="1942" w:type="dxa"/>
            <w:tcBorders>
              <w:top w:val="single" w:sz="4" w:space="0" w:color="365F91"/>
              <w:left w:val="nil"/>
              <w:bottom w:val="single" w:sz="4" w:space="0" w:color="365F91"/>
              <w:right w:val="nil"/>
            </w:tcBorders>
            <w:hideMark/>
          </w:tcPr>
          <w:p w14:paraId="17FA916F" w14:textId="77777777" w:rsidR="00FB19C0" w:rsidRPr="00BE78CA" w:rsidRDefault="00FB19C0" w:rsidP="00C26084">
            <w:pPr>
              <w:pStyle w:val="TableText"/>
              <w:spacing w:before="50" w:after="40"/>
              <w:jc w:val="center"/>
            </w:pPr>
            <w:r w:rsidRPr="00BE78CA">
              <w:t>181.7</w:t>
            </w:r>
          </w:p>
        </w:tc>
        <w:tc>
          <w:tcPr>
            <w:tcW w:w="2168" w:type="dxa"/>
            <w:tcBorders>
              <w:top w:val="single" w:sz="4" w:space="0" w:color="365F91"/>
              <w:left w:val="nil"/>
              <w:bottom w:val="single" w:sz="4" w:space="0" w:color="365F91"/>
              <w:right w:val="nil"/>
            </w:tcBorders>
            <w:hideMark/>
          </w:tcPr>
          <w:p w14:paraId="02AA093F" w14:textId="77777777" w:rsidR="00FB19C0" w:rsidRPr="00BE78CA" w:rsidRDefault="00FB19C0" w:rsidP="00C26084">
            <w:pPr>
              <w:pStyle w:val="TableText"/>
              <w:spacing w:before="50" w:after="40"/>
              <w:jc w:val="center"/>
            </w:pPr>
            <w:r w:rsidRPr="00BE78CA">
              <w:t>438.5</w:t>
            </w:r>
          </w:p>
        </w:tc>
        <w:tc>
          <w:tcPr>
            <w:tcW w:w="1843" w:type="dxa"/>
            <w:tcBorders>
              <w:top w:val="single" w:sz="4" w:space="0" w:color="365F91"/>
              <w:left w:val="nil"/>
              <w:bottom w:val="single" w:sz="4" w:space="0" w:color="365F91"/>
              <w:right w:val="nil"/>
            </w:tcBorders>
            <w:hideMark/>
          </w:tcPr>
          <w:p w14:paraId="50317906" w14:textId="77777777" w:rsidR="00FB19C0" w:rsidRPr="00BE78CA" w:rsidRDefault="00FB19C0" w:rsidP="00C26084">
            <w:pPr>
              <w:pStyle w:val="TableText"/>
              <w:spacing w:before="50" w:after="40"/>
              <w:jc w:val="center"/>
            </w:pPr>
            <w:r w:rsidRPr="00BE78CA">
              <w:t>48.7</w:t>
            </w:r>
          </w:p>
        </w:tc>
        <w:tc>
          <w:tcPr>
            <w:tcW w:w="1559" w:type="dxa"/>
            <w:tcBorders>
              <w:top w:val="single" w:sz="4" w:space="0" w:color="365F91"/>
              <w:left w:val="nil"/>
              <w:bottom w:val="single" w:sz="4" w:space="0" w:color="365F91"/>
              <w:right w:val="nil"/>
            </w:tcBorders>
            <w:hideMark/>
          </w:tcPr>
          <w:p w14:paraId="14FCAB6F" w14:textId="77777777" w:rsidR="00FB19C0" w:rsidRPr="00BE78CA" w:rsidRDefault="00FB19C0" w:rsidP="00C26084">
            <w:pPr>
              <w:pStyle w:val="TableText"/>
              <w:spacing w:before="50" w:after="40"/>
              <w:jc w:val="center"/>
            </w:pPr>
            <w:r w:rsidRPr="00BE78CA">
              <w:t>668.9</w:t>
            </w:r>
          </w:p>
        </w:tc>
      </w:tr>
      <w:tr w:rsidR="00FB19C0" w:rsidRPr="00BE78CA" w14:paraId="70138B13" w14:textId="77777777" w:rsidTr="00C26084">
        <w:tc>
          <w:tcPr>
            <w:tcW w:w="993" w:type="dxa"/>
            <w:tcBorders>
              <w:top w:val="single" w:sz="4" w:space="0" w:color="365F91"/>
              <w:left w:val="nil"/>
              <w:bottom w:val="single" w:sz="4" w:space="0" w:color="365F91"/>
              <w:right w:val="nil"/>
            </w:tcBorders>
            <w:hideMark/>
          </w:tcPr>
          <w:p w14:paraId="69DBE517" w14:textId="77777777" w:rsidR="00FB19C0" w:rsidRPr="00BE78CA" w:rsidRDefault="00FB19C0" w:rsidP="00C26084">
            <w:pPr>
              <w:pStyle w:val="TableTextBold"/>
              <w:spacing w:before="50" w:after="40"/>
              <w:rPr>
                <w:noProof w:val="0"/>
              </w:rPr>
            </w:pPr>
            <w:r w:rsidRPr="00BE78CA">
              <w:rPr>
                <w:noProof w:val="0"/>
              </w:rPr>
              <w:t>1962</w:t>
            </w:r>
          </w:p>
        </w:tc>
        <w:tc>
          <w:tcPr>
            <w:tcW w:w="1942" w:type="dxa"/>
            <w:tcBorders>
              <w:top w:val="single" w:sz="4" w:space="0" w:color="365F91"/>
              <w:left w:val="nil"/>
              <w:bottom w:val="single" w:sz="4" w:space="0" w:color="365F91"/>
              <w:right w:val="nil"/>
            </w:tcBorders>
            <w:hideMark/>
          </w:tcPr>
          <w:p w14:paraId="33F08F2E" w14:textId="77777777" w:rsidR="00FB19C0" w:rsidRPr="00BE78CA" w:rsidRDefault="00FB19C0" w:rsidP="00C26084">
            <w:pPr>
              <w:pStyle w:val="TableText"/>
              <w:spacing w:before="50" w:after="40"/>
              <w:jc w:val="center"/>
            </w:pPr>
            <w:r w:rsidRPr="00BE78CA">
              <w:t>181.7</w:t>
            </w:r>
          </w:p>
        </w:tc>
        <w:tc>
          <w:tcPr>
            <w:tcW w:w="2168" w:type="dxa"/>
            <w:tcBorders>
              <w:top w:val="single" w:sz="4" w:space="0" w:color="365F91"/>
              <w:left w:val="nil"/>
              <w:bottom w:val="single" w:sz="4" w:space="0" w:color="365F91"/>
              <w:right w:val="nil"/>
            </w:tcBorders>
            <w:hideMark/>
          </w:tcPr>
          <w:p w14:paraId="2EB199CD" w14:textId="77777777" w:rsidR="00FB19C0" w:rsidRPr="00BE78CA" w:rsidRDefault="00FB19C0" w:rsidP="00C26084">
            <w:pPr>
              <w:pStyle w:val="TableText"/>
              <w:spacing w:before="50" w:after="40"/>
              <w:jc w:val="center"/>
            </w:pPr>
            <w:r w:rsidRPr="00BE78CA">
              <w:t>447.2</w:t>
            </w:r>
          </w:p>
        </w:tc>
        <w:tc>
          <w:tcPr>
            <w:tcW w:w="1843" w:type="dxa"/>
            <w:tcBorders>
              <w:top w:val="single" w:sz="4" w:space="0" w:color="365F91"/>
              <w:left w:val="nil"/>
              <w:bottom w:val="single" w:sz="4" w:space="0" w:color="365F91"/>
              <w:right w:val="nil"/>
            </w:tcBorders>
            <w:hideMark/>
          </w:tcPr>
          <w:p w14:paraId="6E6608E3" w14:textId="77777777" w:rsidR="00FB19C0" w:rsidRPr="00BE78CA" w:rsidRDefault="00FB19C0" w:rsidP="00C26084">
            <w:pPr>
              <w:pStyle w:val="TableText"/>
              <w:spacing w:before="50" w:after="40"/>
              <w:jc w:val="center"/>
            </w:pPr>
            <w:r w:rsidRPr="00BE78CA">
              <w:t>49.7</w:t>
            </w:r>
          </w:p>
        </w:tc>
        <w:tc>
          <w:tcPr>
            <w:tcW w:w="1559" w:type="dxa"/>
            <w:tcBorders>
              <w:top w:val="single" w:sz="4" w:space="0" w:color="365F91"/>
              <w:left w:val="nil"/>
              <w:bottom w:val="single" w:sz="4" w:space="0" w:color="365F91"/>
              <w:right w:val="nil"/>
            </w:tcBorders>
            <w:hideMark/>
          </w:tcPr>
          <w:p w14:paraId="5B6FEE3D" w14:textId="77777777" w:rsidR="00FB19C0" w:rsidRPr="00BE78CA" w:rsidRDefault="00FB19C0" w:rsidP="00C26084">
            <w:pPr>
              <w:pStyle w:val="TableText"/>
              <w:spacing w:before="50" w:after="40"/>
              <w:jc w:val="center"/>
            </w:pPr>
            <w:r w:rsidRPr="00BE78CA">
              <w:t>678.6</w:t>
            </w:r>
          </w:p>
        </w:tc>
      </w:tr>
      <w:tr w:rsidR="00FB19C0" w:rsidRPr="00BE78CA" w14:paraId="52323A8E" w14:textId="77777777" w:rsidTr="00C26084">
        <w:tc>
          <w:tcPr>
            <w:tcW w:w="993" w:type="dxa"/>
            <w:tcBorders>
              <w:top w:val="single" w:sz="4" w:space="0" w:color="365F91"/>
              <w:left w:val="nil"/>
              <w:bottom w:val="single" w:sz="4" w:space="0" w:color="365F91"/>
              <w:right w:val="nil"/>
            </w:tcBorders>
            <w:hideMark/>
          </w:tcPr>
          <w:p w14:paraId="38CB4DD7" w14:textId="77777777" w:rsidR="00FB19C0" w:rsidRPr="00BE78CA" w:rsidRDefault="00FB19C0" w:rsidP="00C26084">
            <w:pPr>
              <w:pStyle w:val="TableTextBold"/>
              <w:spacing w:before="50" w:after="40"/>
              <w:rPr>
                <w:noProof w:val="0"/>
              </w:rPr>
            </w:pPr>
            <w:r w:rsidRPr="00BE78CA">
              <w:rPr>
                <w:noProof w:val="0"/>
              </w:rPr>
              <w:t>1963</w:t>
            </w:r>
          </w:p>
        </w:tc>
        <w:tc>
          <w:tcPr>
            <w:tcW w:w="1942" w:type="dxa"/>
            <w:tcBorders>
              <w:top w:val="single" w:sz="4" w:space="0" w:color="365F91"/>
              <w:left w:val="nil"/>
              <w:bottom w:val="single" w:sz="4" w:space="0" w:color="365F91"/>
              <w:right w:val="nil"/>
            </w:tcBorders>
            <w:hideMark/>
          </w:tcPr>
          <w:p w14:paraId="6A760758" w14:textId="77777777" w:rsidR="00FB19C0" w:rsidRPr="00BE78CA" w:rsidRDefault="00FB19C0" w:rsidP="00C26084">
            <w:pPr>
              <w:pStyle w:val="TableText"/>
              <w:spacing w:before="50" w:after="40"/>
              <w:jc w:val="center"/>
            </w:pPr>
            <w:r w:rsidRPr="00BE78CA">
              <w:t>447.9</w:t>
            </w:r>
          </w:p>
        </w:tc>
        <w:tc>
          <w:tcPr>
            <w:tcW w:w="2168" w:type="dxa"/>
            <w:tcBorders>
              <w:top w:val="single" w:sz="4" w:space="0" w:color="365F91"/>
              <w:left w:val="nil"/>
              <w:bottom w:val="single" w:sz="4" w:space="0" w:color="365F91"/>
              <w:right w:val="nil"/>
            </w:tcBorders>
            <w:hideMark/>
          </w:tcPr>
          <w:p w14:paraId="4D04BDCB" w14:textId="77777777" w:rsidR="00FB19C0" w:rsidRPr="00BE78CA" w:rsidRDefault="00FB19C0" w:rsidP="00C26084">
            <w:pPr>
              <w:pStyle w:val="TableText"/>
              <w:spacing w:before="50" w:after="40"/>
              <w:jc w:val="center"/>
            </w:pPr>
            <w:r w:rsidRPr="00BE78CA">
              <w:t>297.3</w:t>
            </w:r>
          </w:p>
        </w:tc>
        <w:tc>
          <w:tcPr>
            <w:tcW w:w="1843" w:type="dxa"/>
            <w:tcBorders>
              <w:top w:val="single" w:sz="4" w:space="0" w:color="365F91"/>
              <w:left w:val="nil"/>
              <w:bottom w:val="single" w:sz="4" w:space="0" w:color="365F91"/>
              <w:right w:val="nil"/>
            </w:tcBorders>
            <w:hideMark/>
          </w:tcPr>
          <w:p w14:paraId="49F1F421" w14:textId="77777777" w:rsidR="00FB19C0" w:rsidRPr="00BE78CA" w:rsidRDefault="00FB19C0" w:rsidP="00C26084">
            <w:pPr>
              <w:pStyle w:val="TableText"/>
              <w:spacing w:before="50" w:after="40"/>
              <w:jc w:val="center"/>
            </w:pPr>
            <w:r w:rsidRPr="00BE78CA">
              <w:t>33.0</w:t>
            </w:r>
          </w:p>
        </w:tc>
        <w:tc>
          <w:tcPr>
            <w:tcW w:w="1559" w:type="dxa"/>
            <w:tcBorders>
              <w:top w:val="single" w:sz="4" w:space="0" w:color="365F91"/>
              <w:left w:val="nil"/>
              <w:bottom w:val="single" w:sz="4" w:space="0" w:color="365F91"/>
              <w:right w:val="nil"/>
            </w:tcBorders>
            <w:hideMark/>
          </w:tcPr>
          <w:p w14:paraId="622F7898" w14:textId="77777777" w:rsidR="00FB19C0" w:rsidRPr="00BE78CA" w:rsidRDefault="00FB19C0" w:rsidP="00C26084">
            <w:pPr>
              <w:pStyle w:val="TableText"/>
              <w:spacing w:before="50" w:after="40"/>
              <w:jc w:val="center"/>
            </w:pPr>
            <w:r w:rsidRPr="00BE78CA">
              <w:t>778.2</w:t>
            </w:r>
          </w:p>
        </w:tc>
      </w:tr>
      <w:tr w:rsidR="00FB19C0" w:rsidRPr="00BE78CA" w14:paraId="291387E5" w14:textId="77777777" w:rsidTr="00C26084">
        <w:tc>
          <w:tcPr>
            <w:tcW w:w="993" w:type="dxa"/>
            <w:tcBorders>
              <w:top w:val="single" w:sz="4" w:space="0" w:color="365F91"/>
              <w:left w:val="nil"/>
              <w:bottom w:val="single" w:sz="4" w:space="0" w:color="365F91"/>
              <w:right w:val="nil"/>
            </w:tcBorders>
            <w:hideMark/>
          </w:tcPr>
          <w:p w14:paraId="6BFD4388" w14:textId="77777777" w:rsidR="00FB19C0" w:rsidRPr="00BE78CA" w:rsidRDefault="00FB19C0" w:rsidP="00C26084">
            <w:pPr>
              <w:pStyle w:val="TableTextBold"/>
              <w:spacing w:before="50" w:after="40"/>
              <w:rPr>
                <w:noProof w:val="0"/>
              </w:rPr>
            </w:pPr>
            <w:r w:rsidRPr="00BE78CA">
              <w:rPr>
                <w:noProof w:val="0"/>
              </w:rPr>
              <w:t>1964</w:t>
            </w:r>
          </w:p>
        </w:tc>
        <w:tc>
          <w:tcPr>
            <w:tcW w:w="1942" w:type="dxa"/>
            <w:tcBorders>
              <w:top w:val="single" w:sz="4" w:space="0" w:color="365F91"/>
              <w:left w:val="nil"/>
              <w:bottom w:val="single" w:sz="4" w:space="0" w:color="365F91"/>
              <w:right w:val="nil"/>
            </w:tcBorders>
            <w:hideMark/>
          </w:tcPr>
          <w:p w14:paraId="6E14B276" w14:textId="77777777" w:rsidR="00FB19C0" w:rsidRPr="00BE78CA" w:rsidRDefault="00FB19C0" w:rsidP="00C26084">
            <w:pPr>
              <w:pStyle w:val="TableText"/>
              <w:spacing w:before="50" w:after="40"/>
              <w:jc w:val="center"/>
            </w:pPr>
            <w:r w:rsidRPr="00BE78CA">
              <w:t>447.9</w:t>
            </w:r>
          </w:p>
        </w:tc>
        <w:tc>
          <w:tcPr>
            <w:tcW w:w="2168" w:type="dxa"/>
            <w:tcBorders>
              <w:top w:val="single" w:sz="4" w:space="0" w:color="365F91"/>
              <w:left w:val="nil"/>
              <w:bottom w:val="single" w:sz="4" w:space="0" w:color="365F91"/>
              <w:right w:val="nil"/>
            </w:tcBorders>
            <w:hideMark/>
          </w:tcPr>
          <w:p w14:paraId="2B0F5506" w14:textId="77777777" w:rsidR="00FB19C0" w:rsidRPr="00BE78CA" w:rsidRDefault="00FB19C0" w:rsidP="00C26084">
            <w:pPr>
              <w:pStyle w:val="TableText"/>
              <w:spacing w:before="50" w:after="40"/>
              <w:jc w:val="center"/>
            </w:pPr>
            <w:r w:rsidRPr="00BE78CA">
              <w:t>369.1</w:t>
            </w:r>
          </w:p>
        </w:tc>
        <w:tc>
          <w:tcPr>
            <w:tcW w:w="1843" w:type="dxa"/>
            <w:tcBorders>
              <w:top w:val="single" w:sz="4" w:space="0" w:color="365F91"/>
              <w:left w:val="nil"/>
              <w:bottom w:val="single" w:sz="4" w:space="0" w:color="365F91"/>
              <w:right w:val="nil"/>
            </w:tcBorders>
            <w:hideMark/>
          </w:tcPr>
          <w:p w14:paraId="063DA046" w14:textId="77777777" w:rsidR="00FB19C0" w:rsidRPr="00BE78CA" w:rsidRDefault="00FB19C0" w:rsidP="00C26084">
            <w:pPr>
              <w:pStyle w:val="TableText"/>
              <w:spacing w:before="50" w:after="40"/>
              <w:jc w:val="center"/>
            </w:pPr>
            <w:r w:rsidRPr="00BE78CA">
              <w:t>41.0</w:t>
            </w:r>
          </w:p>
        </w:tc>
        <w:tc>
          <w:tcPr>
            <w:tcW w:w="1559" w:type="dxa"/>
            <w:tcBorders>
              <w:top w:val="single" w:sz="4" w:space="0" w:color="365F91"/>
              <w:left w:val="nil"/>
              <w:bottom w:val="single" w:sz="4" w:space="0" w:color="365F91"/>
              <w:right w:val="nil"/>
            </w:tcBorders>
            <w:hideMark/>
          </w:tcPr>
          <w:p w14:paraId="053A4FC9" w14:textId="77777777" w:rsidR="00FB19C0" w:rsidRPr="00BE78CA" w:rsidRDefault="00FB19C0" w:rsidP="00C26084">
            <w:pPr>
              <w:pStyle w:val="TableText"/>
              <w:spacing w:before="50" w:after="40"/>
              <w:jc w:val="center"/>
            </w:pPr>
            <w:r w:rsidRPr="00BE78CA">
              <w:t>858.0</w:t>
            </w:r>
          </w:p>
        </w:tc>
      </w:tr>
      <w:tr w:rsidR="00FB19C0" w:rsidRPr="00BE78CA" w14:paraId="001196CC" w14:textId="77777777" w:rsidTr="00C26084">
        <w:tc>
          <w:tcPr>
            <w:tcW w:w="993" w:type="dxa"/>
            <w:tcBorders>
              <w:top w:val="single" w:sz="4" w:space="0" w:color="365F91"/>
              <w:left w:val="nil"/>
              <w:bottom w:val="single" w:sz="4" w:space="0" w:color="365F91"/>
              <w:right w:val="nil"/>
            </w:tcBorders>
            <w:hideMark/>
          </w:tcPr>
          <w:p w14:paraId="6D5126AB" w14:textId="77777777" w:rsidR="00FB19C0" w:rsidRPr="00BE78CA" w:rsidRDefault="00FB19C0" w:rsidP="00C26084">
            <w:pPr>
              <w:pStyle w:val="TableTextBold"/>
              <w:spacing w:before="50" w:after="40"/>
              <w:rPr>
                <w:noProof w:val="0"/>
              </w:rPr>
            </w:pPr>
            <w:r w:rsidRPr="00BE78CA">
              <w:rPr>
                <w:noProof w:val="0"/>
              </w:rPr>
              <w:t>1965</w:t>
            </w:r>
          </w:p>
        </w:tc>
        <w:tc>
          <w:tcPr>
            <w:tcW w:w="1942" w:type="dxa"/>
            <w:tcBorders>
              <w:top w:val="single" w:sz="4" w:space="0" w:color="365F91"/>
              <w:left w:val="nil"/>
              <w:bottom w:val="single" w:sz="4" w:space="0" w:color="365F91"/>
              <w:right w:val="nil"/>
            </w:tcBorders>
            <w:hideMark/>
          </w:tcPr>
          <w:p w14:paraId="5D455D17" w14:textId="77777777" w:rsidR="00FB19C0" w:rsidRPr="00BE78CA" w:rsidRDefault="00FB19C0" w:rsidP="00C26084">
            <w:pPr>
              <w:pStyle w:val="TableText"/>
              <w:spacing w:before="50" w:after="40"/>
              <w:jc w:val="center"/>
            </w:pPr>
            <w:r w:rsidRPr="00BE78CA">
              <w:t>447.9</w:t>
            </w:r>
          </w:p>
        </w:tc>
        <w:tc>
          <w:tcPr>
            <w:tcW w:w="2168" w:type="dxa"/>
            <w:tcBorders>
              <w:top w:val="single" w:sz="4" w:space="0" w:color="365F91"/>
              <w:left w:val="nil"/>
              <w:bottom w:val="single" w:sz="4" w:space="0" w:color="365F91"/>
              <w:right w:val="nil"/>
            </w:tcBorders>
            <w:hideMark/>
          </w:tcPr>
          <w:p w14:paraId="491115A5" w14:textId="77777777" w:rsidR="00FB19C0" w:rsidRPr="00BE78CA" w:rsidRDefault="00FB19C0" w:rsidP="00C26084">
            <w:pPr>
              <w:pStyle w:val="TableText"/>
              <w:spacing w:before="50" w:after="40"/>
              <w:jc w:val="center"/>
            </w:pPr>
            <w:r w:rsidRPr="00BE78CA">
              <w:t>477.2</w:t>
            </w:r>
          </w:p>
        </w:tc>
        <w:tc>
          <w:tcPr>
            <w:tcW w:w="1843" w:type="dxa"/>
            <w:tcBorders>
              <w:top w:val="single" w:sz="4" w:space="0" w:color="365F91"/>
              <w:left w:val="nil"/>
              <w:bottom w:val="single" w:sz="4" w:space="0" w:color="365F91"/>
              <w:right w:val="nil"/>
            </w:tcBorders>
            <w:hideMark/>
          </w:tcPr>
          <w:p w14:paraId="2F783010" w14:textId="77777777" w:rsidR="00FB19C0" w:rsidRPr="00BE78CA" w:rsidRDefault="00FB19C0" w:rsidP="00C26084">
            <w:pPr>
              <w:pStyle w:val="TableText"/>
              <w:spacing w:before="50" w:after="40"/>
              <w:jc w:val="center"/>
            </w:pPr>
            <w:r w:rsidRPr="00BE78CA">
              <w:t>53.0</w:t>
            </w:r>
          </w:p>
        </w:tc>
        <w:tc>
          <w:tcPr>
            <w:tcW w:w="1559" w:type="dxa"/>
            <w:tcBorders>
              <w:top w:val="single" w:sz="4" w:space="0" w:color="365F91"/>
              <w:left w:val="nil"/>
              <w:bottom w:val="single" w:sz="4" w:space="0" w:color="365F91"/>
              <w:right w:val="nil"/>
            </w:tcBorders>
            <w:hideMark/>
          </w:tcPr>
          <w:p w14:paraId="30D8967A" w14:textId="77777777" w:rsidR="00FB19C0" w:rsidRPr="00BE78CA" w:rsidRDefault="00FB19C0" w:rsidP="00C26084">
            <w:pPr>
              <w:pStyle w:val="TableText"/>
              <w:spacing w:before="50" w:after="40"/>
              <w:jc w:val="center"/>
            </w:pPr>
            <w:r w:rsidRPr="00BE78CA">
              <w:t>978.1</w:t>
            </w:r>
          </w:p>
        </w:tc>
      </w:tr>
      <w:tr w:rsidR="00FB19C0" w:rsidRPr="00BE78CA" w14:paraId="20192DEC" w14:textId="77777777" w:rsidTr="00C26084">
        <w:tc>
          <w:tcPr>
            <w:tcW w:w="993" w:type="dxa"/>
            <w:tcBorders>
              <w:top w:val="single" w:sz="4" w:space="0" w:color="365F91"/>
              <w:left w:val="nil"/>
              <w:bottom w:val="single" w:sz="4" w:space="0" w:color="365F91"/>
              <w:right w:val="nil"/>
            </w:tcBorders>
            <w:hideMark/>
          </w:tcPr>
          <w:p w14:paraId="3DD2C6BC" w14:textId="77777777" w:rsidR="00FB19C0" w:rsidRPr="00BE78CA" w:rsidRDefault="00FB19C0" w:rsidP="00C26084">
            <w:pPr>
              <w:pStyle w:val="TableTextBold"/>
              <w:spacing w:before="50" w:after="40"/>
              <w:rPr>
                <w:noProof w:val="0"/>
              </w:rPr>
            </w:pPr>
            <w:r w:rsidRPr="00BE78CA">
              <w:rPr>
                <w:noProof w:val="0"/>
              </w:rPr>
              <w:t>1966</w:t>
            </w:r>
          </w:p>
        </w:tc>
        <w:tc>
          <w:tcPr>
            <w:tcW w:w="1942" w:type="dxa"/>
            <w:tcBorders>
              <w:top w:val="single" w:sz="4" w:space="0" w:color="365F91"/>
              <w:left w:val="nil"/>
              <w:bottom w:val="single" w:sz="4" w:space="0" w:color="365F91"/>
              <w:right w:val="nil"/>
            </w:tcBorders>
            <w:hideMark/>
          </w:tcPr>
          <w:p w14:paraId="5A1EDDBC" w14:textId="77777777" w:rsidR="00FB19C0" w:rsidRPr="00BE78CA" w:rsidRDefault="00FB19C0" w:rsidP="00C26084">
            <w:pPr>
              <w:pStyle w:val="TableText"/>
              <w:spacing w:before="50" w:after="40"/>
              <w:jc w:val="center"/>
            </w:pPr>
            <w:r w:rsidRPr="00BE78CA">
              <w:t>447.9</w:t>
            </w:r>
          </w:p>
        </w:tc>
        <w:tc>
          <w:tcPr>
            <w:tcW w:w="2168" w:type="dxa"/>
            <w:tcBorders>
              <w:top w:val="single" w:sz="4" w:space="0" w:color="365F91"/>
              <w:left w:val="nil"/>
              <w:bottom w:val="single" w:sz="4" w:space="0" w:color="365F91"/>
              <w:right w:val="nil"/>
            </w:tcBorders>
            <w:hideMark/>
          </w:tcPr>
          <w:p w14:paraId="6D2D48B1" w14:textId="77777777" w:rsidR="00FB19C0" w:rsidRPr="00BE78CA" w:rsidRDefault="00FB19C0" w:rsidP="00C26084">
            <w:pPr>
              <w:pStyle w:val="TableText"/>
              <w:spacing w:before="50" w:after="40"/>
              <w:jc w:val="center"/>
            </w:pPr>
            <w:r w:rsidRPr="00BE78CA">
              <w:t>566.8</w:t>
            </w:r>
          </w:p>
        </w:tc>
        <w:tc>
          <w:tcPr>
            <w:tcW w:w="1843" w:type="dxa"/>
            <w:tcBorders>
              <w:top w:val="single" w:sz="4" w:space="0" w:color="365F91"/>
              <w:left w:val="nil"/>
              <w:bottom w:val="single" w:sz="4" w:space="0" w:color="365F91"/>
              <w:right w:val="nil"/>
            </w:tcBorders>
            <w:hideMark/>
          </w:tcPr>
          <w:p w14:paraId="7D4A8E81" w14:textId="77777777" w:rsidR="00FB19C0" w:rsidRPr="00BE78CA" w:rsidRDefault="00FB19C0" w:rsidP="00C26084">
            <w:pPr>
              <w:pStyle w:val="TableText"/>
              <w:spacing w:before="50" w:after="40"/>
              <w:jc w:val="center"/>
            </w:pPr>
            <w:r w:rsidRPr="00BE78CA">
              <w:t>63.0</w:t>
            </w:r>
          </w:p>
        </w:tc>
        <w:tc>
          <w:tcPr>
            <w:tcW w:w="1559" w:type="dxa"/>
            <w:tcBorders>
              <w:top w:val="single" w:sz="4" w:space="0" w:color="365F91"/>
              <w:left w:val="nil"/>
              <w:bottom w:val="single" w:sz="4" w:space="0" w:color="365F91"/>
              <w:right w:val="nil"/>
            </w:tcBorders>
            <w:hideMark/>
          </w:tcPr>
          <w:p w14:paraId="3049F3C2" w14:textId="77777777" w:rsidR="00FB19C0" w:rsidRPr="00BE78CA" w:rsidRDefault="00FB19C0" w:rsidP="00C26084">
            <w:pPr>
              <w:pStyle w:val="TableText"/>
              <w:spacing w:before="50" w:after="40"/>
              <w:jc w:val="center"/>
            </w:pPr>
            <w:r w:rsidRPr="00BE78CA">
              <w:t>1,077.6</w:t>
            </w:r>
          </w:p>
        </w:tc>
      </w:tr>
      <w:tr w:rsidR="00FB19C0" w:rsidRPr="00BE78CA" w14:paraId="35958333" w14:textId="77777777" w:rsidTr="00C26084">
        <w:tc>
          <w:tcPr>
            <w:tcW w:w="993" w:type="dxa"/>
            <w:tcBorders>
              <w:top w:val="single" w:sz="4" w:space="0" w:color="365F91"/>
              <w:left w:val="nil"/>
              <w:bottom w:val="single" w:sz="4" w:space="0" w:color="365F91"/>
              <w:right w:val="nil"/>
            </w:tcBorders>
            <w:hideMark/>
          </w:tcPr>
          <w:p w14:paraId="0103856A" w14:textId="77777777" w:rsidR="00FB19C0" w:rsidRPr="00BE78CA" w:rsidRDefault="00FB19C0" w:rsidP="00C26084">
            <w:pPr>
              <w:pStyle w:val="TableTextBold"/>
              <w:spacing w:before="50" w:after="40"/>
              <w:rPr>
                <w:noProof w:val="0"/>
              </w:rPr>
            </w:pPr>
            <w:r w:rsidRPr="00BE78CA">
              <w:rPr>
                <w:noProof w:val="0"/>
              </w:rPr>
              <w:t>1967</w:t>
            </w:r>
          </w:p>
        </w:tc>
        <w:tc>
          <w:tcPr>
            <w:tcW w:w="1942" w:type="dxa"/>
            <w:tcBorders>
              <w:top w:val="single" w:sz="4" w:space="0" w:color="365F91"/>
              <w:left w:val="nil"/>
              <w:bottom w:val="single" w:sz="4" w:space="0" w:color="365F91"/>
              <w:right w:val="nil"/>
            </w:tcBorders>
            <w:hideMark/>
          </w:tcPr>
          <w:p w14:paraId="7F21DC57" w14:textId="77777777" w:rsidR="00FB19C0" w:rsidRPr="00BE78CA" w:rsidRDefault="00FB19C0" w:rsidP="00C26084">
            <w:pPr>
              <w:pStyle w:val="TableText"/>
              <w:spacing w:before="50" w:after="40"/>
              <w:jc w:val="center"/>
            </w:pPr>
            <w:r w:rsidRPr="00BE78CA">
              <w:t>495.8</w:t>
            </w:r>
          </w:p>
        </w:tc>
        <w:tc>
          <w:tcPr>
            <w:tcW w:w="2168" w:type="dxa"/>
            <w:tcBorders>
              <w:top w:val="single" w:sz="4" w:space="0" w:color="365F91"/>
              <w:left w:val="nil"/>
              <w:bottom w:val="single" w:sz="4" w:space="0" w:color="365F91"/>
              <w:right w:val="nil"/>
            </w:tcBorders>
            <w:hideMark/>
          </w:tcPr>
          <w:p w14:paraId="510EF595" w14:textId="77777777" w:rsidR="00FB19C0" w:rsidRPr="00BE78CA" w:rsidRDefault="00FB19C0" w:rsidP="00C26084">
            <w:pPr>
              <w:pStyle w:val="TableText"/>
              <w:spacing w:before="50" w:after="40"/>
              <w:jc w:val="center"/>
            </w:pPr>
            <w:r w:rsidRPr="00BE78CA">
              <w:t>486.0</w:t>
            </w:r>
          </w:p>
        </w:tc>
        <w:tc>
          <w:tcPr>
            <w:tcW w:w="1843" w:type="dxa"/>
            <w:tcBorders>
              <w:top w:val="single" w:sz="4" w:space="0" w:color="365F91"/>
              <w:left w:val="nil"/>
              <w:bottom w:val="single" w:sz="4" w:space="0" w:color="365F91"/>
              <w:right w:val="nil"/>
            </w:tcBorders>
            <w:hideMark/>
          </w:tcPr>
          <w:p w14:paraId="45F043CC" w14:textId="77777777" w:rsidR="00FB19C0" w:rsidRPr="00BE78CA" w:rsidRDefault="00FB19C0" w:rsidP="00C26084">
            <w:pPr>
              <w:pStyle w:val="TableText"/>
              <w:spacing w:before="50" w:after="40"/>
              <w:jc w:val="center"/>
            </w:pPr>
            <w:r w:rsidRPr="00BE78CA">
              <w:t>54.0</w:t>
            </w:r>
          </w:p>
        </w:tc>
        <w:tc>
          <w:tcPr>
            <w:tcW w:w="1559" w:type="dxa"/>
            <w:tcBorders>
              <w:top w:val="single" w:sz="4" w:space="0" w:color="365F91"/>
              <w:left w:val="nil"/>
              <w:bottom w:val="single" w:sz="4" w:space="0" w:color="365F91"/>
              <w:right w:val="nil"/>
            </w:tcBorders>
            <w:hideMark/>
          </w:tcPr>
          <w:p w14:paraId="2D65CDD1" w14:textId="77777777" w:rsidR="00FB19C0" w:rsidRPr="00BE78CA" w:rsidRDefault="00FB19C0" w:rsidP="00C26084">
            <w:pPr>
              <w:pStyle w:val="TableText"/>
              <w:spacing w:before="50" w:after="40"/>
              <w:jc w:val="center"/>
            </w:pPr>
            <w:r w:rsidRPr="00BE78CA">
              <w:t>1,035.8</w:t>
            </w:r>
          </w:p>
        </w:tc>
      </w:tr>
      <w:tr w:rsidR="00FB19C0" w:rsidRPr="00BE78CA" w14:paraId="62D33131" w14:textId="77777777" w:rsidTr="00C26084">
        <w:tc>
          <w:tcPr>
            <w:tcW w:w="993" w:type="dxa"/>
            <w:tcBorders>
              <w:top w:val="single" w:sz="4" w:space="0" w:color="365F91"/>
              <w:left w:val="nil"/>
              <w:bottom w:val="single" w:sz="4" w:space="0" w:color="365F91"/>
              <w:right w:val="nil"/>
            </w:tcBorders>
            <w:hideMark/>
          </w:tcPr>
          <w:p w14:paraId="43D6FED0" w14:textId="77777777" w:rsidR="00FB19C0" w:rsidRPr="00BE78CA" w:rsidRDefault="00FB19C0" w:rsidP="00C26084">
            <w:pPr>
              <w:pStyle w:val="TableTextBold"/>
              <w:spacing w:before="50" w:after="40"/>
              <w:rPr>
                <w:noProof w:val="0"/>
              </w:rPr>
            </w:pPr>
            <w:r w:rsidRPr="00BE78CA">
              <w:rPr>
                <w:noProof w:val="0"/>
              </w:rPr>
              <w:t>1968</w:t>
            </w:r>
          </w:p>
        </w:tc>
        <w:tc>
          <w:tcPr>
            <w:tcW w:w="1942" w:type="dxa"/>
            <w:tcBorders>
              <w:top w:val="single" w:sz="4" w:space="0" w:color="365F91"/>
              <w:left w:val="nil"/>
              <w:bottom w:val="single" w:sz="4" w:space="0" w:color="365F91"/>
              <w:right w:val="nil"/>
            </w:tcBorders>
            <w:hideMark/>
          </w:tcPr>
          <w:p w14:paraId="29FA4FC0" w14:textId="77777777" w:rsidR="00FB19C0" w:rsidRPr="00BE78CA" w:rsidRDefault="00FB19C0" w:rsidP="00C26084">
            <w:pPr>
              <w:pStyle w:val="TableText"/>
              <w:spacing w:before="50" w:after="40"/>
              <w:jc w:val="center"/>
            </w:pPr>
            <w:r w:rsidRPr="00BE78CA">
              <w:t>495.8</w:t>
            </w:r>
          </w:p>
        </w:tc>
        <w:tc>
          <w:tcPr>
            <w:tcW w:w="2168" w:type="dxa"/>
            <w:tcBorders>
              <w:top w:val="single" w:sz="4" w:space="0" w:color="365F91"/>
              <w:left w:val="nil"/>
              <w:bottom w:val="single" w:sz="4" w:space="0" w:color="365F91"/>
              <w:right w:val="nil"/>
            </w:tcBorders>
            <w:hideMark/>
          </w:tcPr>
          <w:p w14:paraId="02D23898" w14:textId="77777777" w:rsidR="00FB19C0" w:rsidRPr="00BE78CA" w:rsidRDefault="00FB19C0" w:rsidP="00C26084">
            <w:pPr>
              <w:pStyle w:val="TableText"/>
              <w:spacing w:before="50" w:after="40"/>
              <w:jc w:val="center"/>
            </w:pPr>
            <w:r w:rsidRPr="00BE78CA">
              <w:t>485.2</w:t>
            </w:r>
          </w:p>
        </w:tc>
        <w:tc>
          <w:tcPr>
            <w:tcW w:w="1843" w:type="dxa"/>
            <w:tcBorders>
              <w:top w:val="single" w:sz="4" w:space="0" w:color="365F91"/>
              <w:left w:val="nil"/>
              <w:bottom w:val="single" w:sz="4" w:space="0" w:color="365F91"/>
              <w:right w:val="nil"/>
            </w:tcBorders>
            <w:hideMark/>
          </w:tcPr>
          <w:p w14:paraId="55D1C967" w14:textId="77777777" w:rsidR="00FB19C0" w:rsidRPr="00BE78CA" w:rsidRDefault="00FB19C0" w:rsidP="00C26084">
            <w:pPr>
              <w:pStyle w:val="TableText"/>
              <w:spacing w:before="50" w:after="40"/>
              <w:jc w:val="center"/>
            </w:pPr>
            <w:r w:rsidRPr="00BE78CA">
              <w:t>53.9</w:t>
            </w:r>
          </w:p>
        </w:tc>
        <w:tc>
          <w:tcPr>
            <w:tcW w:w="1559" w:type="dxa"/>
            <w:tcBorders>
              <w:top w:val="single" w:sz="4" w:space="0" w:color="365F91"/>
              <w:left w:val="nil"/>
              <w:bottom w:val="single" w:sz="4" w:space="0" w:color="365F91"/>
              <w:right w:val="nil"/>
            </w:tcBorders>
            <w:hideMark/>
          </w:tcPr>
          <w:p w14:paraId="6C28585F" w14:textId="77777777" w:rsidR="00FB19C0" w:rsidRPr="00BE78CA" w:rsidRDefault="00FB19C0" w:rsidP="00C26084">
            <w:pPr>
              <w:pStyle w:val="TableText"/>
              <w:spacing w:before="50" w:after="40"/>
              <w:jc w:val="center"/>
            </w:pPr>
            <w:r w:rsidRPr="00BE78CA">
              <w:t>1,034.9</w:t>
            </w:r>
          </w:p>
        </w:tc>
      </w:tr>
      <w:tr w:rsidR="00FB19C0" w:rsidRPr="00BE78CA" w14:paraId="0B8B96DC" w14:textId="77777777" w:rsidTr="00C26084">
        <w:tc>
          <w:tcPr>
            <w:tcW w:w="993" w:type="dxa"/>
            <w:tcBorders>
              <w:top w:val="single" w:sz="4" w:space="0" w:color="365F91"/>
              <w:left w:val="nil"/>
              <w:bottom w:val="single" w:sz="4" w:space="0" w:color="365F91"/>
              <w:right w:val="nil"/>
            </w:tcBorders>
            <w:hideMark/>
          </w:tcPr>
          <w:p w14:paraId="5B13083B" w14:textId="77777777" w:rsidR="00FB19C0" w:rsidRPr="00BE78CA" w:rsidRDefault="00FB19C0" w:rsidP="00C26084">
            <w:pPr>
              <w:pStyle w:val="TableTextBold"/>
              <w:spacing w:before="50" w:after="40"/>
              <w:rPr>
                <w:noProof w:val="0"/>
              </w:rPr>
            </w:pPr>
            <w:r w:rsidRPr="00BE78CA">
              <w:rPr>
                <w:noProof w:val="0"/>
              </w:rPr>
              <w:lastRenderedPageBreak/>
              <w:t>1969</w:t>
            </w:r>
          </w:p>
        </w:tc>
        <w:tc>
          <w:tcPr>
            <w:tcW w:w="1942" w:type="dxa"/>
            <w:tcBorders>
              <w:top w:val="single" w:sz="4" w:space="0" w:color="365F91"/>
              <w:left w:val="nil"/>
              <w:bottom w:val="single" w:sz="4" w:space="0" w:color="365F91"/>
              <w:right w:val="nil"/>
            </w:tcBorders>
            <w:hideMark/>
          </w:tcPr>
          <w:p w14:paraId="042F9AB3" w14:textId="77777777" w:rsidR="00FB19C0" w:rsidRPr="00BE78CA" w:rsidRDefault="00FB19C0" w:rsidP="00C26084">
            <w:pPr>
              <w:pStyle w:val="TableText"/>
              <w:spacing w:before="50" w:after="40"/>
              <w:jc w:val="center"/>
            </w:pPr>
            <w:r w:rsidRPr="00BE78CA">
              <w:t>495.8</w:t>
            </w:r>
          </w:p>
        </w:tc>
        <w:tc>
          <w:tcPr>
            <w:tcW w:w="2168" w:type="dxa"/>
            <w:tcBorders>
              <w:top w:val="single" w:sz="4" w:space="0" w:color="365F91"/>
              <w:left w:val="nil"/>
              <w:bottom w:val="single" w:sz="4" w:space="0" w:color="365F91"/>
              <w:right w:val="nil"/>
            </w:tcBorders>
            <w:hideMark/>
          </w:tcPr>
          <w:p w14:paraId="314E81A5" w14:textId="77777777" w:rsidR="00FB19C0" w:rsidRPr="00BE78CA" w:rsidRDefault="00FB19C0" w:rsidP="00C26084">
            <w:pPr>
              <w:pStyle w:val="TableText"/>
              <w:spacing w:before="50" w:after="40"/>
              <w:jc w:val="center"/>
            </w:pPr>
            <w:r w:rsidRPr="00BE78CA">
              <w:t>489.1</w:t>
            </w:r>
          </w:p>
        </w:tc>
        <w:tc>
          <w:tcPr>
            <w:tcW w:w="1843" w:type="dxa"/>
            <w:tcBorders>
              <w:top w:val="single" w:sz="4" w:space="0" w:color="365F91"/>
              <w:left w:val="nil"/>
              <w:bottom w:val="single" w:sz="4" w:space="0" w:color="365F91"/>
              <w:right w:val="nil"/>
            </w:tcBorders>
            <w:hideMark/>
          </w:tcPr>
          <w:p w14:paraId="2BD06EC2" w14:textId="77777777" w:rsidR="00FB19C0" w:rsidRPr="00BE78CA" w:rsidRDefault="00FB19C0" w:rsidP="00C26084">
            <w:pPr>
              <w:pStyle w:val="TableText"/>
              <w:spacing w:before="50" w:after="40"/>
              <w:jc w:val="center"/>
            </w:pPr>
            <w:r w:rsidRPr="00BE78CA">
              <w:t>54.3</w:t>
            </w:r>
          </w:p>
        </w:tc>
        <w:tc>
          <w:tcPr>
            <w:tcW w:w="1559" w:type="dxa"/>
            <w:tcBorders>
              <w:top w:val="single" w:sz="4" w:space="0" w:color="365F91"/>
              <w:left w:val="nil"/>
              <w:bottom w:val="single" w:sz="4" w:space="0" w:color="365F91"/>
              <w:right w:val="nil"/>
            </w:tcBorders>
            <w:hideMark/>
          </w:tcPr>
          <w:p w14:paraId="7635DDD1" w14:textId="77777777" w:rsidR="00FB19C0" w:rsidRPr="00BE78CA" w:rsidRDefault="00FB19C0" w:rsidP="00C26084">
            <w:pPr>
              <w:pStyle w:val="TableText"/>
              <w:spacing w:before="50" w:after="40"/>
              <w:jc w:val="center"/>
            </w:pPr>
            <w:r w:rsidRPr="00BE78CA">
              <w:t>1,039.2</w:t>
            </w:r>
          </w:p>
        </w:tc>
      </w:tr>
      <w:tr w:rsidR="00FB19C0" w:rsidRPr="00BE78CA" w14:paraId="47D2BB7A" w14:textId="77777777" w:rsidTr="00C26084">
        <w:tc>
          <w:tcPr>
            <w:tcW w:w="993" w:type="dxa"/>
            <w:tcBorders>
              <w:top w:val="single" w:sz="4" w:space="0" w:color="365F91"/>
              <w:left w:val="nil"/>
              <w:bottom w:val="single" w:sz="4" w:space="0" w:color="365F91"/>
              <w:right w:val="nil"/>
            </w:tcBorders>
            <w:hideMark/>
          </w:tcPr>
          <w:p w14:paraId="05273A2F" w14:textId="77777777" w:rsidR="00FB19C0" w:rsidRPr="00BE78CA" w:rsidRDefault="00FB19C0" w:rsidP="00C26084">
            <w:pPr>
              <w:pStyle w:val="TableTextBold"/>
              <w:spacing w:before="50" w:after="40"/>
              <w:rPr>
                <w:noProof w:val="0"/>
              </w:rPr>
            </w:pPr>
            <w:r w:rsidRPr="00BE78CA">
              <w:rPr>
                <w:noProof w:val="0"/>
              </w:rPr>
              <w:t>1970</w:t>
            </w:r>
          </w:p>
        </w:tc>
        <w:tc>
          <w:tcPr>
            <w:tcW w:w="1942" w:type="dxa"/>
            <w:tcBorders>
              <w:top w:val="single" w:sz="4" w:space="0" w:color="365F91"/>
              <w:left w:val="nil"/>
              <w:bottom w:val="single" w:sz="4" w:space="0" w:color="365F91"/>
              <w:right w:val="nil"/>
            </w:tcBorders>
            <w:hideMark/>
          </w:tcPr>
          <w:p w14:paraId="4CEFE2C2" w14:textId="77777777" w:rsidR="00FB19C0" w:rsidRPr="00BE78CA" w:rsidRDefault="00FB19C0" w:rsidP="00C26084">
            <w:pPr>
              <w:pStyle w:val="TableText"/>
              <w:spacing w:before="50" w:after="40"/>
              <w:jc w:val="center"/>
            </w:pPr>
            <w:r w:rsidRPr="00BE78CA">
              <w:t>654.1</w:t>
            </w:r>
          </w:p>
        </w:tc>
        <w:tc>
          <w:tcPr>
            <w:tcW w:w="2168" w:type="dxa"/>
            <w:tcBorders>
              <w:top w:val="single" w:sz="4" w:space="0" w:color="365F91"/>
              <w:left w:val="nil"/>
              <w:bottom w:val="single" w:sz="4" w:space="0" w:color="365F91"/>
              <w:right w:val="nil"/>
            </w:tcBorders>
            <w:hideMark/>
          </w:tcPr>
          <w:p w14:paraId="29DB0378" w14:textId="77777777" w:rsidR="00FB19C0" w:rsidRPr="00BE78CA" w:rsidRDefault="00FB19C0" w:rsidP="00C26084">
            <w:pPr>
              <w:pStyle w:val="TableText"/>
              <w:spacing w:before="50" w:after="40"/>
              <w:jc w:val="center"/>
            </w:pPr>
            <w:r w:rsidRPr="00BE78CA">
              <w:t>497.4</w:t>
            </w:r>
          </w:p>
        </w:tc>
        <w:tc>
          <w:tcPr>
            <w:tcW w:w="1843" w:type="dxa"/>
            <w:tcBorders>
              <w:top w:val="single" w:sz="4" w:space="0" w:color="365F91"/>
              <w:left w:val="nil"/>
              <w:bottom w:val="single" w:sz="4" w:space="0" w:color="365F91"/>
              <w:right w:val="nil"/>
            </w:tcBorders>
            <w:hideMark/>
          </w:tcPr>
          <w:p w14:paraId="5220E803" w14:textId="77777777" w:rsidR="00FB19C0" w:rsidRPr="00BE78CA" w:rsidRDefault="00FB19C0" w:rsidP="00C26084">
            <w:pPr>
              <w:pStyle w:val="TableText"/>
              <w:spacing w:before="50" w:after="40"/>
              <w:jc w:val="center"/>
            </w:pPr>
            <w:r w:rsidRPr="00BE78CA">
              <w:t>55.3</w:t>
            </w:r>
          </w:p>
        </w:tc>
        <w:tc>
          <w:tcPr>
            <w:tcW w:w="1559" w:type="dxa"/>
            <w:tcBorders>
              <w:top w:val="single" w:sz="4" w:space="0" w:color="365F91"/>
              <w:left w:val="nil"/>
              <w:bottom w:val="single" w:sz="4" w:space="0" w:color="365F91"/>
              <w:right w:val="nil"/>
            </w:tcBorders>
            <w:hideMark/>
          </w:tcPr>
          <w:p w14:paraId="537197A0" w14:textId="77777777" w:rsidR="00FB19C0" w:rsidRPr="00BE78CA" w:rsidRDefault="00FB19C0" w:rsidP="00C26084">
            <w:pPr>
              <w:pStyle w:val="TableText"/>
              <w:spacing w:before="50" w:after="40"/>
              <w:jc w:val="center"/>
            </w:pPr>
            <w:r w:rsidRPr="00BE78CA">
              <w:t>1,206.9</w:t>
            </w:r>
          </w:p>
        </w:tc>
      </w:tr>
      <w:tr w:rsidR="00FB19C0" w:rsidRPr="00BE78CA" w14:paraId="626B2829" w14:textId="77777777" w:rsidTr="00C26084">
        <w:tc>
          <w:tcPr>
            <w:tcW w:w="993" w:type="dxa"/>
            <w:tcBorders>
              <w:top w:val="single" w:sz="4" w:space="0" w:color="365F91"/>
              <w:left w:val="nil"/>
              <w:bottom w:val="single" w:sz="4" w:space="0" w:color="365F91"/>
              <w:right w:val="nil"/>
            </w:tcBorders>
            <w:hideMark/>
          </w:tcPr>
          <w:p w14:paraId="7A6F15CD" w14:textId="77777777" w:rsidR="00FB19C0" w:rsidRPr="00BE78CA" w:rsidRDefault="00FB19C0" w:rsidP="00C26084">
            <w:pPr>
              <w:pStyle w:val="TableTextBold"/>
              <w:spacing w:before="50" w:after="40"/>
              <w:rPr>
                <w:noProof w:val="0"/>
              </w:rPr>
            </w:pPr>
            <w:r w:rsidRPr="00BE78CA">
              <w:rPr>
                <w:noProof w:val="0"/>
              </w:rPr>
              <w:t>1971</w:t>
            </w:r>
          </w:p>
        </w:tc>
        <w:tc>
          <w:tcPr>
            <w:tcW w:w="1942" w:type="dxa"/>
            <w:tcBorders>
              <w:top w:val="single" w:sz="4" w:space="0" w:color="365F91"/>
              <w:left w:val="nil"/>
              <w:bottom w:val="single" w:sz="4" w:space="0" w:color="365F91"/>
              <w:right w:val="nil"/>
            </w:tcBorders>
            <w:hideMark/>
          </w:tcPr>
          <w:p w14:paraId="12A45B8D" w14:textId="77777777" w:rsidR="00FB19C0" w:rsidRPr="00BE78CA" w:rsidRDefault="00FB19C0" w:rsidP="00C26084">
            <w:pPr>
              <w:pStyle w:val="TableText"/>
              <w:spacing w:before="50" w:after="40"/>
              <w:jc w:val="center"/>
            </w:pPr>
            <w:r w:rsidRPr="00BE78CA">
              <w:t>654.1</w:t>
            </w:r>
          </w:p>
        </w:tc>
        <w:tc>
          <w:tcPr>
            <w:tcW w:w="2168" w:type="dxa"/>
            <w:tcBorders>
              <w:top w:val="single" w:sz="4" w:space="0" w:color="365F91"/>
              <w:left w:val="nil"/>
              <w:bottom w:val="single" w:sz="4" w:space="0" w:color="365F91"/>
              <w:right w:val="nil"/>
            </w:tcBorders>
            <w:hideMark/>
          </w:tcPr>
          <w:p w14:paraId="4658F049" w14:textId="77777777" w:rsidR="00FB19C0" w:rsidRPr="00BE78CA" w:rsidRDefault="00FB19C0" w:rsidP="00C26084">
            <w:pPr>
              <w:pStyle w:val="TableText"/>
              <w:spacing w:before="50" w:after="40"/>
              <w:jc w:val="center"/>
            </w:pPr>
            <w:r w:rsidRPr="00BE78CA">
              <w:t>554.4</w:t>
            </w:r>
          </w:p>
        </w:tc>
        <w:tc>
          <w:tcPr>
            <w:tcW w:w="1843" w:type="dxa"/>
            <w:tcBorders>
              <w:top w:val="single" w:sz="4" w:space="0" w:color="365F91"/>
              <w:left w:val="nil"/>
              <w:bottom w:val="single" w:sz="4" w:space="0" w:color="365F91"/>
              <w:right w:val="nil"/>
            </w:tcBorders>
            <w:hideMark/>
          </w:tcPr>
          <w:p w14:paraId="5D0705F9" w14:textId="77777777" w:rsidR="00FB19C0" w:rsidRPr="00BE78CA" w:rsidRDefault="00FB19C0" w:rsidP="00C26084">
            <w:pPr>
              <w:pStyle w:val="TableText"/>
              <w:spacing w:before="50" w:after="40"/>
              <w:jc w:val="center"/>
            </w:pPr>
            <w:r w:rsidRPr="00BE78CA">
              <w:t>61.6</w:t>
            </w:r>
          </w:p>
        </w:tc>
        <w:tc>
          <w:tcPr>
            <w:tcW w:w="1559" w:type="dxa"/>
            <w:tcBorders>
              <w:top w:val="single" w:sz="4" w:space="0" w:color="365F91"/>
              <w:left w:val="nil"/>
              <w:bottom w:val="single" w:sz="4" w:space="0" w:color="365F91"/>
              <w:right w:val="nil"/>
            </w:tcBorders>
            <w:hideMark/>
          </w:tcPr>
          <w:p w14:paraId="717CF90C" w14:textId="77777777" w:rsidR="00FB19C0" w:rsidRPr="00BE78CA" w:rsidRDefault="00FB19C0" w:rsidP="00C26084">
            <w:pPr>
              <w:pStyle w:val="TableText"/>
              <w:spacing w:before="50" w:after="40"/>
              <w:jc w:val="center"/>
            </w:pPr>
            <w:r w:rsidRPr="00BE78CA">
              <w:t>1,270.1</w:t>
            </w:r>
          </w:p>
        </w:tc>
      </w:tr>
      <w:tr w:rsidR="00FB19C0" w:rsidRPr="00BE78CA" w14:paraId="2F3044B6" w14:textId="77777777" w:rsidTr="00C26084">
        <w:tc>
          <w:tcPr>
            <w:tcW w:w="993" w:type="dxa"/>
            <w:tcBorders>
              <w:top w:val="single" w:sz="4" w:space="0" w:color="365F91"/>
              <w:left w:val="nil"/>
              <w:bottom w:val="single" w:sz="4" w:space="0" w:color="365F91"/>
              <w:right w:val="nil"/>
            </w:tcBorders>
            <w:hideMark/>
          </w:tcPr>
          <w:p w14:paraId="43F08ED3" w14:textId="77777777" w:rsidR="00FB19C0" w:rsidRPr="00BE78CA" w:rsidRDefault="00FB19C0" w:rsidP="00C26084">
            <w:pPr>
              <w:pStyle w:val="TableTextBold"/>
              <w:spacing w:before="50" w:after="40"/>
              <w:rPr>
                <w:noProof w:val="0"/>
              </w:rPr>
            </w:pPr>
            <w:r w:rsidRPr="00BE78CA">
              <w:rPr>
                <w:noProof w:val="0"/>
              </w:rPr>
              <w:t>1972</w:t>
            </w:r>
          </w:p>
        </w:tc>
        <w:tc>
          <w:tcPr>
            <w:tcW w:w="1942" w:type="dxa"/>
            <w:tcBorders>
              <w:top w:val="single" w:sz="4" w:space="0" w:color="365F91"/>
              <w:left w:val="nil"/>
              <w:bottom w:val="single" w:sz="4" w:space="0" w:color="365F91"/>
              <w:right w:val="nil"/>
            </w:tcBorders>
            <w:hideMark/>
          </w:tcPr>
          <w:p w14:paraId="7EA41DFF" w14:textId="77777777" w:rsidR="00FB19C0" w:rsidRPr="00BE78CA" w:rsidRDefault="00FB19C0" w:rsidP="00C26084">
            <w:pPr>
              <w:pStyle w:val="TableText"/>
              <w:spacing w:before="50" w:after="40"/>
              <w:jc w:val="center"/>
            </w:pPr>
            <w:r w:rsidRPr="00BE78CA">
              <w:t>672.5</w:t>
            </w:r>
          </w:p>
        </w:tc>
        <w:tc>
          <w:tcPr>
            <w:tcW w:w="2168" w:type="dxa"/>
            <w:tcBorders>
              <w:top w:val="single" w:sz="4" w:space="0" w:color="365F91"/>
              <w:left w:val="nil"/>
              <w:bottom w:val="single" w:sz="4" w:space="0" w:color="365F91"/>
              <w:right w:val="nil"/>
            </w:tcBorders>
            <w:hideMark/>
          </w:tcPr>
          <w:p w14:paraId="791FCEAC" w14:textId="77777777" w:rsidR="00FB19C0" w:rsidRPr="00BE78CA" w:rsidRDefault="00FB19C0" w:rsidP="00C26084">
            <w:pPr>
              <w:pStyle w:val="TableText"/>
              <w:spacing w:before="50" w:after="40"/>
              <w:jc w:val="center"/>
            </w:pPr>
            <w:r w:rsidRPr="00BE78CA">
              <w:t>746.9</w:t>
            </w:r>
          </w:p>
        </w:tc>
        <w:tc>
          <w:tcPr>
            <w:tcW w:w="1843" w:type="dxa"/>
            <w:tcBorders>
              <w:top w:val="single" w:sz="4" w:space="0" w:color="365F91"/>
              <w:left w:val="nil"/>
              <w:bottom w:val="single" w:sz="4" w:space="0" w:color="365F91"/>
              <w:right w:val="nil"/>
            </w:tcBorders>
            <w:hideMark/>
          </w:tcPr>
          <w:p w14:paraId="5448933F" w14:textId="77777777" w:rsidR="00FB19C0" w:rsidRPr="00BE78CA" w:rsidRDefault="00FB19C0" w:rsidP="00C26084">
            <w:pPr>
              <w:pStyle w:val="TableText"/>
              <w:spacing w:before="50" w:after="40"/>
              <w:jc w:val="center"/>
            </w:pPr>
            <w:r w:rsidRPr="00BE78CA">
              <w:t>83.0</w:t>
            </w:r>
          </w:p>
        </w:tc>
        <w:tc>
          <w:tcPr>
            <w:tcW w:w="1559" w:type="dxa"/>
            <w:tcBorders>
              <w:top w:val="single" w:sz="4" w:space="0" w:color="365F91"/>
              <w:left w:val="nil"/>
              <w:bottom w:val="single" w:sz="4" w:space="0" w:color="365F91"/>
              <w:right w:val="nil"/>
            </w:tcBorders>
            <w:hideMark/>
          </w:tcPr>
          <w:p w14:paraId="7F45ADFA" w14:textId="77777777" w:rsidR="00FB19C0" w:rsidRPr="00BE78CA" w:rsidRDefault="00FB19C0" w:rsidP="00C26084">
            <w:pPr>
              <w:pStyle w:val="TableText"/>
              <w:spacing w:before="50" w:after="40"/>
              <w:jc w:val="center"/>
            </w:pPr>
            <w:r w:rsidRPr="00BE78CA">
              <w:t>1,502.5</w:t>
            </w:r>
          </w:p>
        </w:tc>
      </w:tr>
      <w:tr w:rsidR="00FB19C0" w:rsidRPr="00BE78CA" w14:paraId="4A706182" w14:textId="77777777" w:rsidTr="00C26084">
        <w:tc>
          <w:tcPr>
            <w:tcW w:w="993" w:type="dxa"/>
            <w:tcBorders>
              <w:top w:val="single" w:sz="4" w:space="0" w:color="365F91"/>
              <w:left w:val="nil"/>
              <w:bottom w:val="single" w:sz="4" w:space="0" w:color="365F91"/>
              <w:right w:val="nil"/>
            </w:tcBorders>
            <w:hideMark/>
          </w:tcPr>
          <w:p w14:paraId="69C8BB61" w14:textId="77777777" w:rsidR="00FB19C0" w:rsidRPr="00BE78CA" w:rsidRDefault="00FB19C0" w:rsidP="00C26084">
            <w:pPr>
              <w:pStyle w:val="TableTextBold"/>
              <w:spacing w:before="50" w:after="40"/>
              <w:rPr>
                <w:noProof w:val="0"/>
              </w:rPr>
            </w:pPr>
            <w:r w:rsidRPr="00BE78CA">
              <w:rPr>
                <w:noProof w:val="0"/>
              </w:rPr>
              <w:t>1973</w:t>
            </w:r>
          </w:p>
        </w:tc>
        <w:tc>
          <w:tcPr>
            <w:tcW w:w="1942" w:type="dxa"/>
            <w:tcBorders>
              <w:top w:val="single" w:sz="4" w:space="0" w:color="365F91"/>
              <w:left w:val="nil"/>
              <w:bottom w:val="single" w:sz="4" w:space="0" w:color="365F91"/>
              <w:right w:val="nil"/>
            </w:tcBorders>
            <w:hideMark/>
          </w:tcPr>
          <w:p w14:paraId="54C95A18" w14:textId="77777777" w:rsidR="00FB19C0" w:rsidRPr="00BE78CA" w:rsidRDefault="00FB19C0" w:rsidP="00C26084">
            <w:pPr>
              <w:pStyle w:val="TableText"/>
              <w:spacing w:before="50" w:after="40"/>
              <w:jc w:val="center"/>
            </w:pPr>
            <w:r w:rsidRPr="00BE78CA">
              <w:t>672.5</w:t>
            </w:r>
          </w:p>
        </w:tc>
        <w:tc>
          <w:tcPr>
            <w:tcW w:w="2168" w:type="dxa"/>
            <w:tcBorders>
              <w:top w:val="single" w:sz="4" w:space="0" w:color="365F91"/>
              <w:left w:val="nil"/>
              <w:bottom w:val="single" w:sz="4" w:space="0" w:color="365F91"/>
              <w:right w:val="nil"/>
            </w:tcBorders>
            <w:hideMark/>
          </w:tcPr>
          <w:p w14:paraId="4B922D19" w14:textId="77777777" w:rsidR="00FB19C0" w:rsidRPr="00BE78CA" w:rsidRDefault="00FB19C0" w:rsidP="00C26084">
            <w:pPr>
              <w:pStyle w:val="TableText"/>
              <w:spacing w:before="50" w:after="40"/>
              <w:jc w:val="center"/>
            </w:pPr>
            <w:r w:rsidRPr="00BE78CA">
              <w:t>889.1</w:t>
            </w:r>
          </w:p>
        </w:tc>
        <w:tc>
          <w:tcPr>
            <w:tcW w:w="1843" w:type="dxa"/>
            <w:tcBorders>
              <w:top w:val="single" w:sz="4" w:space="0" w:color="365F91"/>
              <w:left w:val="nil"/>
              <w:bottom w:val="single" w:sz="4" w:space="0" w:color="365F91"/>
              <w:right w:val="nil"/>
            </w:tcBorders>
            <w:hideMark/>
          </w:tcPr>
          <w:p w14:paraId="41D904E1" w14:textId="77777777" w:rsidR="00FB19C0" w:rsidRPr="00BE78CA" w:rsidRDefault="00FB19C0" w:rsidP="00C26084">
            <w:pPr>
              <w:pStyle w:val="TableText"/>
              <w:spacing w:before="50" w:after="40"/>
              <w:jc w:val="center"/>
            </w:pPr>
            <w:r w:rsidRPr="00BE78CA">
              <w:t>98.8</w:t>
            </w:r>
          </w:p>
        </w:tc>
        <w:tc>
          <w:tcPr>
            <w:tcW w:w="1559" w:type="dxa"/>
            <w:tcBorders>
              <w:top w:val="single" w:sz="4" w:space="0" w:color="365F91"/>
              <w:left w:val="nil"/>
              <w:bottom w:val="single" w:sz="4" w:space="0" w:color="365F91"/>
              <w:right w:val="nil"/>
            </w:tcBorders>
            <w:hideMark/>
          </w:tcPr>
          <w:p w14:paraId="3D9CFBB0" w14:textId="77777777" w:rsidR="00FB19C0" w:rsidRPr="00BE78CA" w:rsidRDefault="00FB19C0" w:rsidP="00C26084">
            <w:pPr>
              <w:pStyle w:val="TableText"/>
              <w:spacing w:before="50" w:after="40"/>
              <w:jc w:val="center"/>
            </w:pPr>
            <w:r w:rsidRPr="00BE78CA">
              <w:t>1,660.4</w:t>
            </w:r>
          </w:p>
        </w:tc>
      </w:tr>
      <w:tr w:rsidR="00FB19C0" w:rsidRPr="00BE78CA" w14:paraId="267524B3" w14:textId="77777777" w:rsidTr="00C26084">
        <w:tc>
          <w:tcPr>
            <w:tcW w:w="993" w:type="dxa"/>
            <w:tcBorders>
              <w:top w:val="single" w:sz="4" w:space="0" w:color="365F91"/>
              <w:left w:val="nil"/>
              <w:bottom w:val="single" w:sz="4" w:space="0" w:color="365F91"/>
              <w:right w:val="nil"/>
            </w:tcBorders>
            <w:hideMark/>
          </w:tcPr>
          <w:p w14:paraId="54599882" w14:textId="77777777" w:rsidR="00FB19C0" w:rsidRPr="00BE78CA" w:rsidRDefault="00FB19C0" w:rsidP="00C26084">
            <w:pPr>
              <w:pStyle w:val="TableTextBold"/>
              <w:spacing w:before="50" w:after="40"/>
              <w:rPr>
                <w:noProof w:val="0"/>
              </w:rPr>
            </w:pPr>
            <w:r w:rsidRPr="00BE78CA">
              <w:rPr>
                <w:noProof w:val="0"/>
              </w:rPr>
              <w:t>1974</w:t>
            </w:r>
          </w:p>
        </w:tc>
        <w:tc>
          <w:tcPr>
            <w:tcW w:w="1942" w:type="dxa"/>
            <w:tcBorders>
              <w:top w:val="single" w:sz="4" w:space="0" w:color="365F91"/>
              <w:left w:val="nil"/>
              <w:bottom w:val="single" w:sz="4" w:space="0" w:color="365F91"/>
              <w:right w:val="nil"/>
            </w:tcBorders>
            <w:hideMark/>
          </w:tcPr>
          <w:p w14:paraId="0C3C9CBB" w14:textId="77777777" w:rsidR="00FB19C0" w:rsidRPr="00BE78CA" w:rsidRDefault="00FB19C0" w:rsidP="00C26084">
            <w:pPr>
              <w:pStyle w:val="TableText"/>
              <w:spacing w:before="50" w:after="40"/>
              <w:jc w:val="center"/>
            </w:pPr>
            <w:r w:rsidRPr="00BE78CA">
              <w:t>844.5</w:t>
            </w:r>
          </w:p>
        </w:tc>
        <w:tc>
          <w:tcPr>
            <w:tcW w:w="2168" w:type="dxa"/>
            <w:tcBorders>
              <w:top w:val="single" w:sz="4" w:space="0" w:color="365F91"/>
              <w:left w:val="nil"/>
              <w:bottom w:val="single" w:sz="4" w:space="0" w:color="365F91"/>
              <w:right w:val="nil"/>
            </w:tcBorders>
            <w:hideMark/>
          </w:tcPr>
          <w:p w14:paraId="0C555BD2" w14:textId="77777777" w:rsidR="00FB19C0" w:rsidRPr="00BE78CA" w:rsidRDefault="00FB19C0" w:rsidP="00C26084">
            <w:pPr>
              <w:pStyle w:val="TableText"/>
              <w:spacing w:before="50" w:after="40"/>
              <w:jc w:val="center"/>
            </w:pPr>
            <w:r w:rsidRPr="00BE78CA">
              <w:t>839.4</w:t>
            </w:r>
          </w:p>
        </w:tc>
        <w:tc>
          <w:tcPr>
            <w:tcW w:w="1843" w:type="dxa"/>
            <w:tcBorders>
              <w:top w:val="single" w:sz="4" w:space="0" w:color="365F91"/>
              <w:left w:val="nil"/>
              <w:bottom w:val="single" w:sz="4" w:space="0" w:color="365F91"/>
              <w:right w:val="nil"/>
            </w:tcBorders>
            <w:hideMark/>
          </w:tcPr>
          <w:p w14:paraId="41B04F5F" w14:textId="77777777" w:rsidR="00FB19C0" w:rsidRPr="00BE78CA" w:rsidRDefault="00FB19C0" w:rsidP="00C26084">
            <w:pPr>
              <w:pStyle w:val="TableText"/>
              <w:spacing w:before="50" w:after="40"/>
              <w:jc w:val="center"/>
            </w:pPr>
            <w:r w:rsidRPr="00BE78CA">
              <w:t>93.3</w:t>
            </w:r>
          </w:p>
        </w:tc>
        <w:tc>
          <w:tcPr>
            <w:tcW w:w="1559" w:type="dxa"/>
            <w:tcBorders>
              <w:top w:val="single" w:sz="4" w:space="0" w:color="365F91"/>
              <w:left w:val="nil"/>
              <w:bottom w:val="single" w:sz="4" w:space="0" w:color="365F91"/>
              <w:right w:val="nil"/>
            </w:tcBorders>
            <w:hideMark/>
          </w:tcPr>
          <w:p w14:paraId="23E1BF50" w14:textId="77777777" w:rsidR="00FB19C0" w:rsidRPr="00BE78CA" w:rsidRDefault="00FB19C0" w:rsidP="00C26084">
            <w:pPr>
              <w:pStyle w:val="TableText"/>
              <w:spacing w:before="50" w:after="40"/>
              <w:jc w:val="center"/>
            </w:pPr>
            <w:r w:rsidRPr="00BE78CA">
              <w:t>1,777.1</w:t>
            </w:r>
          </w:p>
        </w:tc>
      </w:tr>
      <w:tr w:rsidR="00FB19C0" w:rsidRPr="00BE78CA" w14:paraId="4BFC947F" w14:textId="77777777" w:rsidTr="00C26084">
        <w:tc>
          <w:tcPr>
            <w:tcW w:w="993" w:type="dxa"/>
            <w:tcBorders>
              <w:top w:val="single" w:sz="4" w:space="0" w:color="365F91"/>
              <w:left w:val="nil"/>
              <w:bottom w:val="single" w:sz="4" w:space="0" w:color="365F91"/>
              <w:right w:val="nil"/>
            </w:tcBorders>
            <w:hideMark/>
          </w:tcPr>
          <w:p w14:paraId="770DA930" w14:textId="77777777" w:rsidR="00FB19C0" w:rsidRPr="00BE78CA" w:rsidRDefault="00FB19C0" w:rsidP="00C26084">
            <w:pPr>
              <w:pStyle w:val="TableTextBold"/>
              <w:spacing w:before="50" w:after="40"/>
              <w:rPr>
                <w:noProof w:val="0"/>
              </w:rPr>
            </w:pPr>
            <w:r w:rsidRPr="00BE78CA">
              <w:rPr>
                <w:noProof w:val="0"/>
              </w:rPr>
              <w:t>1975</w:t>
            </w:r>
          </w:p>
        </w:tc>
        <w:tc>
          <w:tcPr>
            <w:tcW w:w="1942" w:type="dxa"/>
            <w:tcBorders>
              <w:top w:val="single" w:sz="4" w:space="0" w:color="365F91"/>
              <w:left w:val="nil"/>
              <w:bottom w:val="single" w:sz="4" w:space="0" w:color="365F91"/>
              <w:right w:val="nil"/>
            </w:tcBorders>
            <w:hideMark/>
          </w:tcPr>
          <w:p w14:paraId="62207F2F" w14:textId="77777777" w:rsidR="00FB19C0" w:rsidRPr="00BE78CA" w:rsidRDefault="00FB19C0" w:rsidP="00C26084">
            <w:pPr>
              <w:pStyle w:val="TableText"/>
              <w:spacing w:before="50" w:after="40"/>
              <w:jc w:val="center"/>
            </w:pPr>
            <w:r w:rsidRPr="00BE78CA">
              <w:t>844.5</w:t>
            </w:r>
          </w:p>
        </w:tc>
        <w:tc>
          <w:tcPr>
            <w:tcW w:w="2168" w:type="dxa"/>
            <w:tcBorders>
              <w:top w:val="single" w:sz="4" w:space="0" w:color="365F91"/>
              <w:left w:val="nil"/>
              <w:bottom w:val="single" w:sz="4" w:space="0" w:color="365F91"/>
              <w:right w:val="nil"/>
            </w:tcBorders>
            <w:hideMark/>
          </w:tcPr>
          <w:p w14:paraId="13BC2BE2" w14:textId="77777777" w:rsidR="00FB19C0" w:rsidRPr="00BE78CA" w:rsidRDefault="00FB19C0" w:rsidP="00C26084">
            <w:pPr>
              <w:pStyle w:val="TableText"/>
              <w:spacing w:before="50" w:after="40"/>
              <w:jc w:val="center"/>
            </w:pPr>
            <w:r w:rsidRPr="00BE78CA">
              <w:t>736.6</w:t>
            </w:r>
          </w:p>
        </w:tc>
        <w:tc>
          <w:tcPr>
            <w:tcW w:w="1843" w:type="dxa"/>
            <w:tcBorders>
              <w:top w:val="single" w:sz="4" w:space="0" w:color="365F91"/>
              <w:left w:val="nil"/>
              <w:bottom w:val="single" w:sz="4" w:space="0" w:color="365F91"/>
              <w:right w:val="nil"/>
            </w:tcBorders>
            <w:hideMark/>
          </w:tcPr>
          <w:p w14:paraId="34EC2F9B" w14:textId="77777777" w:rsidR="00FB19C0" w:rsidRPr="00BE78CA" w:rsidRDefault="00FB19C0" w:rsidP="00C26084">
            <w:pPr>
              <w:pStyle w:val="TableText"/>
              <w:spacing w:before="50" w:after="40"/>
              <w:jc w:val="center"/>
            </w:pPr>
            <w:r w:rsidRPr="00BE78CA">
              <w:t>81.8</w:t>
            </w:r>
          </w:p>
        </w:tc>
        <w:tc>
          <w:tcPr>
            <w:tcW w:w="1559" w:type="dxa"/>
            <w:tcBorders>
              <w:top w:val="single" w:sz="4" w:space="0" w:color="365F91"/>
              <w:left w:val="nil"/>
              <w:bottom w:val="single" w:sz="4" w:space="0" w:color="365F91"/>
              <w:right w:val="nil"/>
            </w:tcBorders>
            <w:hideMark/>
          </w:tcPr>
          <w:p w14:paraId="63EB111E" w14:textId="77777777" w:rsidR="00FB19C0" w:rsidRPr="00BE78CA" w:rsidRDefault="00FB19C0" w:rsidP="00C26084">
            <w:pPr>
              <w:pStyle w:val="TableText"/>
              <w:spacing w:before="50" w:after="40"/>
              <w:jc w:val="center"/>
            </w:pPr>
            <w:r w:rsidRPr="00BE78CA">
              <w:t>1,662.9</w:t>
            </w:r>
          </w:p>
        </w:tc>
      </w:tr>
      <w:tr w:rsidR="00FB19C0" w:rsidRPr="00BE78CA" w14:paraId="124E8622" w14:textId="77777777" w:rsidTr="00C26084">
        <w:tc>
          <w:tcPr>
            <w:tcW w:w="993" w:type="dxa"/>
            <w:tcBorders>
              <w:top w:val="single" w:sz="4" w:space="0" w:color="365F91"/>
              <w:left w:val="nil"/>
              <w:bottom w:val="single" w:sz="4" w:space="0" w:color="365F91"/>
              <w:right w:val="nil"/>
            </w:tcBorders>
            <w:hideMark/>
          </w:tcPr>
          <w:p w14:paraId="33D9BBDB" w14:textId="77777777" w:rsidR="00FB19C0" w:rsidRPr="00BE78CA" w:rsidRDefault="00FB19C0" w:rsidP="00C26084">
            <w:pPr>
              <w:pStyle w:val="TableTextBold"/>
              <w:spacing w:before="50" w:after="40"/>
              <w:rPr>
                <w:noProof w:val="0"/>
              </w:rPr>
            </w:pPr>
            <w:r w:rsidRPr="00BE78CA">
              <w:rPr>
                <w:noProof w:val="0"/>
              </w:rPr>
              <w:t>1976</w:t>
            </w:r>
          </w:p>
        </w:tc>
        <w:tc>
          <w:tcPr>
            <w:tcW w:w="1942" w:type="dxa"/>
            <w:tcBorders>
              <w:top w:val="single" w:sz="4" w:space="0" w:color="365F91"/>
              <w:left w:val="nil"/>
              <w:bottom w:val="single" w:sz="4" w:space="0" w:color="365F91"/>
              <w:right w:val="nil"/>
            </w:tcBorders>
            <w:hideMark/>
          </w:tcPr>
          <w:p w14:paraId="430893BB" w14:textId="77777777" w:rsidR="00FB19C0" w:rsidRPr="00BE78CA" w:rsidRDefault="00FB19C0" w:rsidP="00C26084">
            <w:pPr>
              <w:pStyle w:val="TableText"/>
              <w:spacing w:before="50" w:after="40"/>
              <w:jc w:val="center"/>
            </w:pPr>
            <w:r w:rsidRPr="00BE78CA">
              <w:t>984.9</w:t>
            </w:r>
          </w:p>
        </w:tc>
        <w:tc>
          <w:tcPr>
            <w:tcW w:w="2168" w:type="dxa"/>
            <w:tcBorders>
              <w:top w:val="single" w:sz="4" w:space="0" w:color="365F91"/>
              <w:left w:val="nil"/>
              <w:bottom w:val="single" w:sz="4" w:space="0" w:color="365F91"/>
              <w:right w:val="nil"/>
            </w:tcBorders>
            <w:hideMark/>
          </w:tcPr>
          <w:p w14:paraId="3B18383D" w14:textId="77777777" w:rsidR="00FB19C0" w:rsidRPr="00BE78CA" w:rsidRDefault="00FB19C0" w:rsidP="00C26084">
            <w:pPr>
              <w:pStyle w:val="TableText"/>
              <w:spacing w:before="50" w:after="40"/>
              <w:jc w:val="center"/>
            </w:pPr>
            <w:r w:rsidRPr="00BE78CA">
              <w:t>578.2</w:t>
            </w:r>
          </w:p>
        </w:tc>
        <w:tc>
          <w:tcPr>
            <w:tcW w:w="1843" w:type="dxa"/>
            <w:tcBorders>
              <w:top w:val="single" w:sz="4" w:space="0" w:color="365F91"/>
              <w:left w:val="nil"/>
              <w:bottom w:val="single" w:sz="4" w:space="0" w:color="365F91"/>
              <w:right w:val="nil"/>
            </w:tcBorders>
            <w:hideMark/>
          </w:tcPr>
          <w:p w14:paraId="2B3244B1" w14:textId="77777777" w:rsidR="00FB19C0" w:rsidRPr="00BE78CA" w:rsidRDefault="00FB19C0" w:rsidP="00C26084">
            <w:pPr>
              <w:pStyle w:val="TableText"/>
              <w:spacing w:before="50" w:after="40"/>
              <w:jc w:val="center"/>
            </w:pPr>
            <w:r w:rsidRPr="00BE78CA">
              <w:t>64.2</w:t>
            </w:r>
          </w:p>
        </w:tc>
        <w:tc>
          <w:tcPr>
            <w:tcW w:w="1559" w:type="dxa"/>
            <w:tcBorders>
              <w:top w:val="single" w:sz="4" w:space="0" w:color="365F91"/>
              <w:left w:val="nil"/>
              <w:bottom w:val="single" w:sz="4" w:space="0" w:color="365F91"/>
              <w:right w:val="nil"/>
            </w:tcBorders>
            <w:hideMark/>
          </w:tcPr>
          <w:p w14:paraId="42820D8C" w14:textId="77777777" w:rsidR="00FB19C0" w:rsidRPr="00BE78CA" w:rsidRDefault="00FB19C0" w:rsidP="00C26084">
            <w:pPr>
              <w:pStyle w:val="TableText"/>
              <w:spacing w:before="50" w:after="40"/>
              <w:jc w:val="center"/>
            </w:pPr>
            <w:r w:rsidRPr="00BE78CA">
              <w:t>1,627.4</w:t>
            </w:r>
          </w:p>
        </w:tc>
      </w:tr>
      <w:tr w:rsidR="00FB19C0" w:rsidRPr="00BE78CA" w14:paraId="7B753EDD" w14:textId="77777777" w:rsidTr="00C26084">
        <w:tc>
          <w:tcPr>
            <w:tcW w:w="993" w:type="dxa"/>
            <w:tcBorders>
              <w:top w:val="single" w:sz="4" w:space="0" w:color="365F91"/>
              <w:left w:val="nil"/>
              <w:bottom w:val="single" w:sz="4" w:space="0" w:color="365F91"/>
              <w:right w:val="nil"/>
            </w:tcBorders>
            <w:hideMark/>
          </w:tcPr>
          <w:p w14:paraId="697C8AC2" w14:textId="77777777" w:rsidR="00FB19C0" w:rsidRPr="00BE78CA" w:rsidRDefault="00FB19C0" w:rsidP="00C26084">
            <w:pPr>
              <w:pStyle w:val="TableTextBold"/>
              <w:spacing w:before="50" w:after="40"/>
              <w:rPr>
                <w:noProof w:val="0"/>
              </w:rPr>
            </w:pPr>
            <w:r w:rsidRPr="00BE78CA">
              <w:rPr>
                <w:noProof w:val="0"/>
              </w:rPr>
              <w:t>1977</w:t>
            </w:r>
          </w:p>
        </w:tc>
        <w:tc>
          <w:tcPr>
            <w:tcW w:w="1942" w:type="dxa"/>
            <w:tcBorders>
              <w:top w:val="single" w:sz="4" w:space="0" w:color="365F91"/>
              <w:left w:val="nil"/>
              <w:bottom w:val="single" w:sz="4" w:space="0" w:color="365F91"/>
              <w:right w:val="nil"/>
            </w:tcBorders>
            <w:hideMark/>
          </w:tcPr>
          <w:p w14:paraId="69E42E75" w14:textId="77777777" w:rsidR="00FB19C0" w:rsidRPr="00BE78CA" w:rsidRDefault="00FB19C0" w:rsidP="00C26084">
            <w:pPr>
              <w:pStyle w:val="TableText"/>
              <w:spacing w:before="50" w:after="40"/>
              <w:jc w:val="center"/>
            </w:pPr>
            <w:r w:rsidRPr="00BE78CA">
              <w:t>984.9</w:t>
            </w:r>
          </w:p>
        </w:tc>
        <w:tc>
          <w:tcPr>
            <w:tcW w:w="2168" w:type="dxa"/>
            <w:tcBorders>
              <w:top w:val="single" w:sz="4" w:space="0" w:color="365F91"/>
              <w:left w:val="nil"/>
              <w:bottom w:val="single" w:sz="4" w:space="0" w:color="365F91"/>
              <w:right w:val="nil"/>
            </w:tcBorders>
            <w:hideMark/>
          </w:tcPr>
          <w:p w14:paraId="71D7339D" w14:textId="77777777" w:rsidR="00FB19C0" w:rsidRPr="00BE78CA" w:rsidRDefault="00FB19C0" w:rsidP="00C26084">
            <w:pPr>
              <w:pStyle w:val="TableText"/>
              <w:spacing w:before="50" w:after="40"/>
              <w:jc w:val="center"/>
            </w:pPr>
            <w:r w:rsidRPr="00BE78CA">
              <w:t>713.0</w:t>
            </w:r>
          </w:p>
        </w:tc>
        <w:tc>
          <w:tcPr>
            <w:tcW w:w="1843" w:type="dxa"/>
            <w:tcBorders>
              <w:top w:val="single" w:sz="4" w:space="0" w:color="365F91"/>
              <w:left w:val="nil"/>
              <w:bottom w:val="single" w:sz="4" w:space="0" w:color="365F91"/>
              <w:right w:val="nil"/>
            </w:tcBorders>
            <w:hideMark/>
          </w:tcPr>
          <w:p w14:paraId="67E40A90" w14:textId="77777777" w:rsidR="00FB19C0" w:rsidRPr="00BE78CA" w:rsidRDefault="00FB19C0" w:rsidP="00C26084">
            <w:pPr>
              <w:pStyle w:val="TableText"/>
              <w:spacing w:before="50" w:after="40"/>
              <w:jc w:val="center"/>
            </w:pPr>
            <w:r w:rsidRPr="00BE78CA">
              <w:t>79.2</w:t>
            </w:r>
          </w:p>
        </w:tc>
        <w:tc>
          <w:tcPr>
            <w:tcW w:w="1559" w:type="dxa"/>
            <w:tcBorders>
              <w:top w:val="single" w:sz="4" w:space="0" w:color="365F91"/>
              <w:left w:val="nil"/>
              <w:bottom w:val="single" w:sz="4" w:space="0" w:color="365F91"/>
              <w:right w:val="nil"/>
            </w:tcBorders>
            <w:hideMark/>
          </w:tcPr>
          <w:p w14:paraId="32763252" w14:textId="77777777" w:rsidR="00FB19C0" w:rsidRPr="00BE78CA" w:rsidRDefault="00FB19C0" w:rsidP="00C26084">
            <w:pPr>
              <w:pStyle w:val="TableText"/>
              <w:spacing w:before="50" w:after="40"/>
              <w:jc w:val="center"/>
            </w:pPr>
            <w:r w:rsidRPr="00BE78CA">
              <w:t>1,777.2</w:t>
            </w:r>
          </w:p>
        </w:tc>
      </w:tr>
      <w:tr w:rsidR="00FB19C0" w:rsidRPr="00BE78CA" w14:paraId="79A865E8" w14:textId="77777777" w:rsidTr="00C26084">
        <w:tc>
          <w:tcPr>
            <w:tcW w:w="993" w:type="dxa"/>
            <w:tcBorders>
              <w:top w:val="single" w:sz="4" w:space="0" w:color="365F91"/>
              <w:left w:val="nil"/>
              <w:bottom w:val="single" w:sz="4" w:space="0" w:color="365F91"/>
              <w:right w:val="nil"/>
            </w:tcBorders>
            <w:hideMark/>
          </w:tcPr>
          <w:p w14:paraId="5BF9A4A3" w14:textId="77777777" w:rsidR="00FB19C0" w:rsidRPr="00BE78CA" w:rsidRDefault="00FB19C0" w:rsidP="00C26084">
            <w:pPr>
              <w:pStyle w:val="TableTextBold"/>
              <w:spacing w:before="50" w:after="40"/>
              <w:rPr>
                <w:noProof w:val="0"/>
              </w:rPr>
            </w:pPr>
            <w:r w:rsidRPr="00BE78CA">
              <w:rPr>
                <w:noProof w:val="0"/>
              </w:rPr>
              <w:t>1978</w:t>
            </w:r>
          </w:p>
        </w:tc>
        <w:tc>
          <w:tcPr>
            <w:tcW w:w="1942" w:type="dxa"/>
            <w:tcBorders>
              <w:top w:val="single" w:sz="4" w:space="0" w:color="365F91"/>
              <w:left w:val="nil"/>
              <w:bottom w:val="single" w:sz="4" w:space="0" w:color="365F91"/>
              <w:right w:val="nil"/>
            </w:tcBorders>
            <w:hideMark/>
          </w:tcPr>
          <w:p w14:paraId="132DE0E7" w14:textId="77777777" w:rsidR="00FB19C0" w:rsidRPr="00BE78CA" w:rsidRDefault="00FB19C0" w:rsidP="00C26084">
            <w:pPr>
              <w:pStyle w:val="TableText"/>
              <w:spacing w:before="50" w:after="40"/>
              <w:jc w:val="center"/>
            </w:pPr>
            <w:r w:rsidRPr="00BE78CA">
              <w:t>984.9</w:t>
            </w:r>
          </w:p>
        </w:tc>
        <w:tc>
          <w:tcPr>
            <w:tcW w:w="2168" w:type="dxa"/>
            <w:tcBorders>
              <w:top w:val="single" w:sz="4" w:space="0" w:color="365F91"/>
              <w:left w:val="nil"/>
              <w:bottom w:val="single" w:sz="4" w:space="0" w:color="365F91"/>
              <w:right w:val="nil"/>
            </w:tcBorders>
            <w:hideMark/>
          </w:tcPr>
          <w:p w14:paraId="6219AFAB" w14:textId="77777777" w:rsidR="00FB19C0" w:rsidRPr="00BE78CA" w:rsidRDefault="00FB19C0" w:rsidP="00C26084">
            <w:pPr>
              <w:pStyle w:val="TableText"/>
              <w:spacing w:before="50" w:after="40"/>
              <w:jc w:val="center"/>
            </w:pPr>
            <w:r w:rsidRPr="00BE78CA">
              <w:t>588.6</w:t>
            </w:r>
          </w:p>
        </w:tc>
        <w:tc>
          <w:tcPr>
            <w:tcW w:w="1843" w:type="dxa"/>
            <w:tcBorders>
              <w:top w:val="single" w:sz="4" w:space="0" w:color="365F91"/>
              <w:left w:val="nil"/>
              <w:bottom w:val="single" w:sz="4" w:space="0" w:color="365F91"/>
              <w:right w:val="nil"/>
            </w:tcBorders>
            <w:hideMark/>
          </w:tcPr>
          <w:p w14:paraId="0E752457" w14:textId="77777777" w:rsidR="00FB19C0" w:rsidRPr="00BE78CA" w:rsidRDefault="00FB19C0" w:rsidP="00C26084">
            <w:pPr>
              <w:pStyle w:val="TableText"/>
              <w:spacing w:before="50" w:after="40"/>
              <w:jc w:val="center"/>
            </w:pPr>
            <w:r w:rsidRPr="00BE78CA">
              <w:t>65.4</w:t>
            </w:r>
          </w:p>
        </w:tc>
        <w:tc>
          <w:tcPr>
            <w:tcW w:w="1559" w:type="dxa"/>
            <w:tcBorders>
              <w:top w:val="single" w:sz="4" w:space="0" w:color="365F91"/>
              <w:left w:val="nil"/>
              <w:bottom w:val="single" w:sz="4" w:space="0" w:color="365F91"/>
              <w:right w:val="nil"/>
            </w:tcBorders>
            <w:hideMark/>
          </w:tcPr>
          <w:p w14:paraId="3EFFE2B1" w14:textId="77777777" w:rsidR="00FB19C0" w:rsidRPr="00BE78CA" w:rsidRDefault="00FB19C0" w:rsidP="00C26084">
            <w:pPr>
              <w:pStyle w:val="TableText"/>
              <w:spacing w:before="50" w:after="40"/>
              <w:jc w:val="center"/>
            </w:pPr>
            <w:r w:rsidRPr="00BE78CA">
              <w:t>1,639.0</w:t>
            </w:r>
          </w:p>
        </w:tc>
      </w:tr>
      <w:tr w:rsidR="00FB19C0" w:rsidRPr="00BE78CA" w14:paraId="45558C0F" w14:textId="77777777" w:rsidTr="00C26084">
        <w:tc>
          <w:tcPr>
            <w:tcW w:w="993" w:type="dxa"/>
            <w:tcBorders>
              <w:top w:val="single" w:sz="4" w:space="0" w:color="365F91"/>
              <w:left w:val="nil"/>
              <w:bottom w:val="single" w:sz="4" w:space="0" w:color="365F91"/>
              <w:right w:val="nil"/>
            </w:tcBorders>
            <w:hideMark/>
          </w:tcPr>
          <w:p w14:paraId="4C5A6BAB" w14:textId="77777777" w:rsidR="00FB19C0" w:rsidRPr="00BE78CA" w:rsidRDefault="00FB19C0" w:rsidP="00C26084">
            <w:pPr>
              <w:pStyle w:val="TableTextBold"/>
              <w:spacing w:before="50" w:after="40"/>
              <w:rPr>
                <w:noProof w:val="0"/>
              </w:rPr>
            </w:pPr>
            <w:r w:rsidRPr="00BE78CA">
              <w:rPr>
                <w:noProof w:val="0"/>
              </w:rPr>
              <w:t>1979</w:t>
            </w:r>
          </w:p>
        </w:tc>
        <w:tc>
          <w:tcPr>
            <w:tcW w:w="1942" w:type="dxa"/>
            <w:tcBorders>
              <w:top w:val="single" w:sz="4" w:space="0" w:color="365F91"/>
              <w:left w:val="nil"/>
              <w:bottom w:val="single" w:sz="4" w:space="0" w:color="365F91"/>
              <w:right w:val="nil"/>
            </w:tcBorders>
            <w:hideMark/>
          </w:tcPr>
          <w:p w14:paraId="43E158A9" w14:textId="77777777" w:rsidR="00FB19C0" w:rsidRPr="00BE78CA" w:rsidRDefault="00FB19C0" w:rsidP="00C26084">
            <w:pPr>
              <w:pStyle w:val="TableText"/>
              <w:spacing w:before="50" w:after="40"/>
              <w:jc w:val="center"/>
            </w:pPr>
            <w:r w:rsidRPr="00BE78CA">
              <w:t>984.9</w:t>
            </w:r>
          </w:p>
        </w:tc>
        <w:tc>
          <w:tcPr>
            <w:tcW w:w="2168" w:type="dxa"/>
            <w:tcBorders>
              <w:top w:val="single" w:sz="4" w:space="0" w:color="365F91"/>
              <w:left w:val="nil"/>
              <w:bottom w:val="single" w:sz="4" w:space="0" w:color="365F91"/>
              <w:right w:val="nil"/>
            </w:tcBorders>
            <w:hideMark/>
          </w:tcPr>
          <w:p w14:paraId="3713278F" w14:textId="77777777" w:rsidR="00FB19C0" w:rsidRPr="00BE78CA" w:rsidRDefault="00FB19C0" w:rsidP="00C26084">
            <w:pPr>
              <w:pStyle w:val="TableText"/>
              <w:spacing w:before="50" w:after="40"/>
              <w:jc w:val="center"/>
            </w:pPr>
            <w:r w:rsidRPr="00BE78CA">
              <w:t>581.8</w:t>
            </w:r>
          </w:p>
        </w:tc>
        <w:tc>
          <w:tcPr>
            <w:tcW w:w="1843" w:type="dxa"/>
            <w:tcBorders>
              <w:top w:val="single" w:sz="4" w:space="0" w:color="365F91"/>
              <w:left w:val="nil"/>
              <w:bottom w:val="single" w:sz="4" w:space="0" w:color="365F91"/>
              <w:right w:val="nil"/>
            </w:tcBorders>
            <w:hideMark/>
          </w:tcPr>
          <w:p w14:paraId="74E15C75" w14:textId="77777777" w:rsidR="00FB19C0" w:rsidRPr="00BE78CA" w:rsidRDefault="00FB19C0" w:rsidP="00C26084">
            <w:pPr>
              <w:pStyle w:val="TableText"/>
              <w:spacing w:before="50" w:after="40"/>
              <w:jc w:val="center"/>
            </w:pPr>
            <w:r w:rsidRPr="00BE78CA">
              <w:t>64.6</w:t>
            </w:r>
          </w:p>
        </w:tc>
        <w:tc>
          <w:tcPr>
            <w:tcW w:w="1559" w:type="dxa"/>
            <w:tcBorders>
              <w:top w:val="single" w:sz="4" w:space="0" w:color="365F91"/>
              <w:left w:val="nil"/>
              <w:bottom w:val="single" w:sz="4" w:space="0" w:color="365F91"/>
              <w:right w:val="nil"/>
            </w:tcBorders>
            <w:hideMark/>
          </w:tcPr>
          <w:p w14:paraId="04A4E799" w14:textId="77777777" w:rsidR="00FB19C0" w:rsidRPr="00BE78CA" w:rsidRDefault="00FB19C0" w:rsidP="00C26084">
            <w:pPr>
              <w:pStyle w:val="TableText"/>
              <w:spacing w:before="50" w:after="40"/>
              <w:jc w:val="center"/>
            </w:pPr>
            <w:r w:rsidRPr="00BE78CA">
              <w:t>1,631.4</w:t>
            </w:r>
          </w:p>
        </w:tc>
      </w:tr>
      <w:tr w:rsidR="00FB19C0" w:rsidRPr="00BE78CA" w14:paraId="2E1135EA" w14:textId="77777777" w:rsidTr="00C26084">
        <w:tc>
          <w:tcPr>
            <w:tcW w:w="993" w:type="dxa"/>
            <w:tcBorders>
              <w:top w:val="single" w:sz="4" w:space="0" w:color="365F91"/>
              <w:left w:val="nil"/>
              <w:bottom w:val="single" w:sz="4" w:space="0" w:color="365F91"/>
              <w:right w:val="nil"/>
            </w:tcBorders>
            <w:hideMark/>
          </w:tcPr>
          <w:p w14:paraId="7DEAED1E" w14:textId="77777777" w:rsidR="00FB19C0" w:rsidRPr="00BE78CA" w:rsidRDefault="00FB19C0" w:rsidP="00C26084">
            <w:pPr>
              <w:pStyle w:val="TableTextBold"/>
              <w:spacing w:before="50" w:after="40"/>
              <w:rPr>
                <w:noProof w:val="0"/>
              </w:rPr>
            </w:pPr>
            <w:r w:rsidRPr="00BE78CA">
              <w:rPr>
                <w:noProof w:val="0"/>
              </w:rPr>
              <w:t>1980</w:t>
            </w:r>
          </w:p>
        </w:tc>
        <w:tc>
          <w:tcPr>
            <w:tcW w:w="1942" w:type="dxa"/>
            <w:tcBorders>
              <w:top w:val="single" w:sz="4" w:space="0" w:color="365F91"/>
              <w:left w:val="nil"/>
              <w:bottom w:val="single" w:sz="4" w:space="0" w:color="365F91"/>
              <w:right w:val="nil"/>
            </w:tcBorders>
            <w:hideMark/>
          </w:tcPr>
          <w:p w14:paraId="389797A7" w14:textId="77777777" w:rsidR="00FB19C0" w:rsidRPr="00BE78CA" w:rsidRDefault="00FB19C0" w:rsidP="00C26084">
            <w:pPr>
              <w:pStyle w:val="TableText"/>
              <w:spacing w:before="50" w:after="40"/>
              <w:jc w:val="center"/>
            </w:pPr>
            <w:r w:rsidRPr="00BE78CA">
              <w:t>984.9</w:t>
            </w:r>
          </w:p>
        </w:tc>
        <w:tc>
          <w:tcPr>
            <w:tcW w:w="2168" w:type="dxa"/>
            <w:tcBorders>
              <w:top w:val="single" w:sz="4" w:space="0" w:color="365F91"/>
              <w:left w:val="nil"/>
              <w:bottom w:val="single" w:sz="4" w:space="0" w:color="365F91"/>
              <w:right w:val="nil"/>
            </w:tcBorders>
            <w:hideMark/>
          </w:tcPr>
          <w:p w14:paraId="2AA1AFF8" w14:textId="77777777" w:rsidR="00FB19C0" w:rsidRPr="00BE78CA" w:rsidRDefault="00FB19C0" w:rsidP="00C26084">
            <w:pPr>
              <w:pStyle w:val="TableText"/>
              <w:spacing w:before="50" w:after="40"/>
              <w:jc w:val="center"/>
            </w:pPr>
            <w:r w:rsidRPr="00BE78CA">
              <w:t>572.1</w:t>
            </w:r>
          </w:p>
        </w:tc>
        <w:tc>
          <w:tcPr>
            <w:tcW w:w="1843" w:type="dxa"/>
            <w:tcBorders>
              <w:top w:val="single" w:sz="4" w:space="0" w:color="365F91"/>
              <w:left w:val="nil"/>
              <w:bottom w:val="single" w:sz="4" w:space="0" w:color="365F91"/>
              <w:right w:val="nil"/>
            </w:tcBorders>
            <w:hideMark/>
          </w:tcPr>
          <w:p w14:paraId="17E88FD1" w14:textId="77777777" w:rsidR="00FB19C0" w:rsidRPr="00BE78CA" w:rsidRDefault="00FB19C0" w:rsidP="00C26084">
            <w:pPr>
              <w:pStyle w:val="TableText"/>
              <w:spacing w:before="50" w:after="40"/>
              <w:jc w:val="center"/>
            </w:pPr>
            <w:r w:rsidRPr="00BE78CA">
              <w:t>63.6</w:t>
            </w:r>
          </w:p>
        </w:tc>
        <w:tc>
          <w:tcPr>
            <w:tcW w:w="1559" w:type="dxa"/>
            <w:tcBorders>
              <w:top w:val="single" w:sz="4" w:space="0" w:color="365F91"/>
              <w:left w:val="nil"/>
              <w:bottom w:val="single" w:sz="4" w:space="0" w:color="365F91"/>
              <w:right w:val="nil"/>
            </w:tcBorders>
            <w:hideMark/>
          </w:tcPr>
          <w:p w14:paraId="4FE20CC8" w14:textId="77777777" w:rsidR="00FB19C0" w:rsidRPr="00BE78CA" w:rsidRDefault="00FB19C0" w:rsidP="00C26084">
            <w:pPr>
              <w:pStyle w:val="TableText"/>
              <w:spacing w:before="50" w:after="40"/>
              <w:jc w:val="center"/>
            </w:pPr>
            <w:r w:rsidRPr="00BE78CA">
              <w:t>1,620.6</w:t>
            </w:r>
          </w:p>
        </w:tc>
      </w:tr>
      <w:tr w:rsidR="00FB19C0" w:rsidRPr="00BE78CA" w14:paraId="1800DE28" w14:textId="77777777" w:rsidTr="00C26084">
        <w:tc>
          <w:tcPr>
            <w:tcW w:w="993" w:type="dxa"/>
            <w:tcBorders>
              <w:top w:val="single" w:sz="4" w:space="0" w:color="365F91"/>
              <w:left w:val="nil"/>
              <w:bottom w:val="single" w:sz="4" w:space="0" w:color="365F91"/>
              <w:right w:val="nil"/>
            </w:tcBorders>
            <w:hideMark/>
          </w:tcPr>
          <w:p w14:paraId="654E2301" w14:textId="77777777" w:rsidR="00FB19C0" w:rsidRPr="00BE78CA" w:rsidRDefault="00FB19C0" w:rsidP="00C26084">
            <w:pPr>
              <w:pStyle w:val="TableTextBold"/>
              <w:spacing w:before="50" w:after="40"/>
              <w:rPr>
                <w:noProof w:val="0"/>
              </w:rPr>
            </w:pPr>
            <w:r w:rsidRPr="00BE78CA">
              <w:rPr>
                <w:noProof w:val="0"/>
              </w:rPr>
              <w:t>1981</w:t>
            </w:r>
          </w:p>
        </w:tc>
        <w:tc>
          <w:tcPr>
            <w:tcW w:w="1942" w:type="dxa"/>
            <w:tcBorders>
              <w:top w:val="single" w:sz="4" w:space="0" w:color="365F91"/>
              <w:left w:val="nil"/>
              <w:bottom w:val="single" w:sz="4" w:space="0" w:color="365F91"/>
              <w:right w:val="nil"/>
            </w:tcBorders>
            <w:hideMark/>
          </w:tcPr>
          <w:p w14:paraId="01A1C4C5" w14:textId="77777777" w:rsidR="00FB19C0" w:rsidRPr="00BE78CA" w:rsidRDefault="00FB19C0" w:rsidP="00C26084">
            <w:pPr>
              <w:pStyle w:val="TableText"/>
              <w:spacing w:before="50" w:after="40"/>
              <w:jc w:val="center"/>
            </w:pPr>
            <w:r w:rsidRPr="00BE78CA">
              <w:t>984.9</w:t>
            </w:r>
          </w:p>
        </w:tc>
        <w:tc>
          <w:tcPr>
            <w:tcW w:w="2168" w:type="dxa"/>
            <w:tcBorders>
              <w:top w:val="single" w:sz="4" w:space="0" w:color="365F91"/>
              <w:left w:val="nil"/>
              <w:bottom w:val="single" w:sz="4" w:space="0" w:color="365F91"/>
              <w:right w:val="nil"/>
            </w:tcBorders>
            <w:hideMark/>
          </w:tcPr>
          <w:p w14:paraId="36066028" w14:textId="77777777" w:rsidR="00FB19C0" w:rsidRPr="00BE78CA" w:rsidRDefault="00FB19C0" w:rsidP="00C26084">
            <w:pPr>
              <w:pStyle w:val="TableText"/>
              <w:spacing w:before="50" w:after="40"/>
              <w:jc w:val="center"/>
            </w:pPr>
            <w:r w:rsidRPr="00BE78CA">
              <w:t>581.8</w:t>
            </w:r>
          </w:p>
        </w:tc>
        <w:tc>
          <w:tcPr>
            <w:tcW w:w="1843" w:type="dxa"/>
            <w:tcBorders>
              <w:top w:val="single" w:sz="4" w:space="0" w:color="365F91"/>
              <w:left w:val="nil"/>
              <w:bottom w:val="single" w:sz="4" w:space="0" w:color="365F91"/>
              <w:right w:val="nil"/>
            </w:tcBorders>
            <w:hideMark/>
          </w:tcPr>
          <w:p w14:paraId="2DA3A6EA" w14:textId="77777777" w:rsidR="00FB19C0" w:rsidRPr="00BE78CA" w:rsidRDefault="00FB19C0" w:rsidP="00C26084">
            <w:pPr>
              <w:pStyle w:val="TableText"/>
              <w:spacing w:before="50" w:after="40"/>
              <w:jc w:val="center"/>
            </w:pPr>
            <w:r w:rsidRPr="00BE78CA">
              <w:t>64.6</w:t>
            </w:r>
          </w:p>
        </w:tc>
        <w:tc>
          <w:tcPr>
            <w:tcW w:w="1559" w:type="dxa"/>
            <w:tcBorders>
              <w:top w:val="single" w:sz="4" w:space="0" w:color="365F91"/>
              <w:left w:val="nil"/>
              <w:bottom w:val="single" w:sz="4" w:space="0" w:color="365F91"/>
              <w:right w:val="nil"/>
            </w:tcBorders>
            <w:hideMark/>
          </w:tcPr>
          <w:p w14:paraId="7A472FC7" w14:textId="77777777" w:rsidR="00FB19C0" w:rsidRPr="00BE78CA" w:rsidRDefault="00FB19C0" w:rsidP="00C26084">
            <w:pPr>
              <w:pStyle w:val="TableText"/>
              <w:spacing w:before="50" w:after="40"/>
              <w:jc w:val="center"/>
            </w:pPr>
            <w:r w:rsidRPr="00BE78CA">
              <w:t>1,631.4</w:t>
            </w:r>
          </w:p>
        </w:tc>
      </w:tr>
      <w:tr w:rsidR="00FB19C0" w:rsidRPr="00BE78CA" w14:paraId="57D0556B" w14:textId="77777777" w:rsidTr="00C26084">
        <w:tc>
          <w:tcPr>
            <w:tcW w:w="993" w:type="dxa"/>
            <w:tcBorders>
              <w:top w:val="single" w:sz="4" w:space="0" w:color="365F91"/>
              <w:left w:val="nil"/>
              <w:bottom w:val="single" w:sz="4" w:space="0" w:color="365F91"/>
              <w:right w:val="nil"/>
            </w:tcBorders>
            <w:hideMark/>
          </w:tcPr>
          <w:p w14:paraId="7457578E" w14:textId="77777777" w:rsidR="00FB19C0" w:rsidRPr="00BE78CA" w:rsidRDefault="00FB19C0" w:rsidP="00C26084">
            <w:pPr>
              <w:pStyle w:val="TableTextBold"/>
              <w:spacing w:before="50" w:after="40"/>
              <w:rPr>
                <w:noProof w:val="0"/>
              </w:rPr>
            </w:pPr>
            <w:r w:rsidRPr="00BE78CA">
              <w:rPr>
                <w:noProof w:val="0"/>
              </w:rPr>
              <w:t>1982</w:t>
            </w:r>
          </w:p>
        </w:tc>
        <w:tc>
          <w:tcPr>
            <w:tcW w:w="1942" w:type="dxa"/>
            <w:tcBorders>
              <w:top w:val="single" w:sz="4" w:space="0" w:color="365F91"/>
              <w:left w:val="nil"/>
              <w:bottom w:val="single" w:sz="4" w:space="0" w:color="365F91"/>
              <w:right w:val="nil"/>
            </w:tcBorders>
            <w:hideMark/>
          </w:tcPr>
          <w:p w14:paraId="55C6D72C" w14:textId="77777777" w:rsidR="00FB19C0" w:rsidRPr="00BE78CA" w:rsidRDefault="00FB19C0" w:rsidP="00C26084">
            <w:pPr>
              <w:pStyle w:val="TableText"/>
              <w:spacing w:before="50" w:after="40"/>
              <w:jc w:val="center"/>
            </w:pPr>
            <w:r w:rsidRPr="00BE78CA">
              <w:t>984.9</w:t>
            </w:r>
          </w:p>
        </w:tc>
        <w:tc>
          <w:tcPr>
            <w:tcW w:w="2168" w:type="dxa"/>
            <w:tcBorders>
              <w:top w:val="single" w:sz="4" w:space="0" w:color="365F91"/>
              <w:left w:val="nil"/>
              <w:bottom w:val="single" w:sz="4" w:space="0" w:color="365F91"/>
              <w:right w:val="nil"/>
            </w:tcBorders>
            <w:hideMark/>
          </w:tcPr>
          <w:p w14:paraId="4839A51A" w14:textId="77777777" w:rsidR="00FB19C0" w:rsidRPr="00BE78CA" w:rsidRDefault="00FB19C0" w:rsidP="00C26084">
            <w:pPr>
              <w:pStyle w:val="TableText"/>
              <w:spacing w:before="50" w:after="40"/>
              <w:jc w:val="center"/>
            </w:pPr>
            <w:r w:rsidRPr="00BE78CA">
              <w:t>937.7</w:t>
            </w:r>
          </w:p>
        </w:tc>
        <w:tc>
          <w:tcPr>
            <w:tcW w:w="1843" w:type="dxa"/>
            <w:tcBorders>
              <w:top w:val="single" w:sz="4" w:space="0" w:color="365F91"/>
              <w:left w:val="nil"/>
              <w:bottom w:val="single" w:sz="4" w:space="0" w:color="365F91"/>
              <w:right w:val="nil"/>
            </w:tcBorders>
            <w:hideMark/>
          </w:tcPr>
          <w:p w14:paraId="667FA26C" w14:textId="77777777" w:rsidR="00FB19C0" w:rsidRPr="00BE78CA" w:rsidRDefault="00FB19C0" w:rsidP="00C26084">
            <w:pPr>
              <w:pStyle w:val="TableText"/>
              <w:spacing w:before="50" w:after="40"/>
              <w:jc w:val="center"/>
            </w:pPr>
            <w:r w:rsidRPr="00BE78CA">
              <w:t>104.2</w:t>
            </w:r>
          </w:p>
        </w:tc>
        <w:tc>
          <w:tcPr>
            <w:tcW w:w="1559" w:type="dxa"/>
            <w:tcBorders>
              <w:top w:val="single" w:sz="4" w:space="0" w:color="365F91"/>
              <w:left w:val="nil"/>
              <w:bottom w:val="single" w:sz="4" w:space="0" w:color="365F91"/>
              <w:right w:val="nil"/>
            </w:tcBorders>
            <w:hideMark/>
          </w:tcPr>
          <w:p w14:paraId="4986EA1E" w14:textId="77777777" w:rsidR="00FB19C0" w:rsidRPr="00BE78CA" w:rsidRDefault="00FB19C0" w:rsidP="00C26084">
            <w:pPr>
              <w:pStyle w:val="TableText"/>
              <w:spacing w:before="50" w:after="40"/>
              <w:jc w:val="center"/>
            </w:pPr>
            <w:r w:rsidRPr="00BE78CA">
              <w:t>2,026.8</w:t>
            </w:r>
          </w:p>
        </w:tc>
      </w:tr>
      <w:tr w:rsidR="00FB19C0" w:rsidRPr="00BE78CA" w14:paraId="2CEDCA25" w14:textId="77777777" w:rsidTr="00C26084">
        <w:tc>
          <w:tcPr>
            <w:tcW w:w="993" w:type="dxa"/>
            <w:tcBorders>
              <w:top w:val="single" w:sz="4" w:space="0" w:color="365F91"/>
              <w:left w:val="nil"/>
              <w:bottom w:val="single" w:sz="4" w:space="0" w:color="365F91"/>
              <w:right w:val="nil"/>
            </w:tcBorders>
            <w:hideMark/>
          </w:tcPr>
          <w:p w14:paraId="6E69BF83" w14:textId="77777777" w:rsidR="00FB19C0" w:rsidRPr="00BE78CA" w:rsidRDefault="00FB19C0" w:rsidP="00C26084">
            <w:pPr>
              <w:pStyle w:val="TableTextBold"/>
              <w:spacing w:before="50" w:after="40"/>
              <w:rPr>
                <w:noProof w:val="0"/>
              </w:rPr>
            </w:pPr>
            <w:r w:rsidRPr="00BE78CA">
              <w:rPr>
                <w:noProof w:val="0"/>
              </w:rPr>
              <w:t>1983</w:t>
            </w:r>
          </w:p>
        </w:tc>
        <w:tc>
          <w:tcPr>
            <w:tcW w:w="1942" w:type="dxa"/>
            <w:tcBorders>
              <w:top w:val="single" w:sz="4" w:space="0" w:color="365F91"/>
              <w:left w:val="nil"/>
              <w:bottom w:val="single" w:sz="4" w:space="0" w:color="365F91"/>
              <w:right w:val="nil"/>
            </w:tcBorders>
            <w:hideMark/>
          </w:tcPr>
          <w:p w14:paraId="69E4F607" w14:textId="77777777" w:rsidR="00FB19C0" w:rsidRPr="00BE78CA" w:rsidRDefault="00FB19C0" w:rsidP="00C26084">
            <w:pPr>
              <w:pStyle w:val="TableText"/>
              <w:spacing w:before="50" w:after="40"/>
              <w:jc w:val="center"/>
            </w:pPr>
            <w:r w:rsidRPr="00BE78CA">
              <w:t>984.9</w:t>
            </w:r>
          </w:p>
        </w:tc>
        <w:tc>
          <w:tcPr>
            <w:tcW w:w="2168" w:type="dxa"/>
            <w:tcBorders>
              <w:top w:val="single" w:sz="4" w:space="0" w:color="365F91"/>
              <w:left w:val="nil"/>
              <w:bottom w:val="single" w:sz="4" w:space="0" w:color="365F91"/>
              <w:right w:val="nil"/>
            </w:tcBorders>
            <w:hideMark/>
          </w:tcPr>
          <w:p w14:paraId="0FBF6B0C" w14:textId="77777777" w:rsidR="00FB19C0" w:rsidRPr="00BE78CA" w:rsidRDefault="00FB19C0" w:rsidP="00C26084">
            <w:pPr>
              <w:pStyle w:val="TableText"/>
              <w:spacing w:before="50" w:after="40"/>
              <w:jc w:val="center"/>
            </w:pPr>
            <w:r w:rsidRPr="00BE78CA">
              <w:t>1,017.6</w:t>
            </w:r>
          </w:p>
        </w:tc>
        <w:tc>
          <w:tcPr>
            <w:tcW w:w="1843" w:type="dxa"/>
            <w:tcBorders>
              <w:top w:val="single" w:sz="4" w:space="0" w:color="365F91"/>
              <w:left w:val="nil"/>
              <w:bottom w:val="single" w:sz="4" w:space="0" w:color="365F91"/>
              <w:right w:val="nil"/>
            </w:tcBorders>
            <w:hideMark/>
          </w:tcPr>
          <w:p w14:paraId="3D7A728B" w14:textId="77777777" w:rsidR="00FB19C0" w:rsidRPr="00BE78CA" w:rsidRDefault="00FB19C0" w:rsidP="00C26084">
            <w:pPr>
              <w:pStyle w:val="TableText"/>
              <w:spacing w:before="50" w:after="40"/>
              <w:jc w:val="center"/>
            </w:pPr>
            <w:r w:rsidRPr="00BE78CA">
              <w:t>113.1</w:t>
            </w:r>
          </w:p>
        </w:tc>
        <w:tc>
          <w:tcPr>
            <w:tcW w:w="1559" w:type="dxa"/>
            <w:tcBorders>
              <w:top w:val="single" w:sz="4" w:space="0" w:color="365F91"/>
              <w:left w:val="nil"/>
              <w:bottom w:val="single" w:sz="4" w:space="0" w:color="365F91"/>
              <w:right w:val="nil"/>
            </w:tcBorders>
            <w:hideMark/>
          </w:tcPr>
          <w:p w14:paraId="1D890767" w14:textId="77777777" w:rsidR="00FB19C0" w:rsidRPr="00BE78CA" w:rsidRDefault="00FB19C0" w:rsidP="00C26084">
            <w:pPr>
              <w:pStyle w:val="TableText"/>
              <w:spacing w:before="50" w:after="40"/>
              <w:jc w:val="center"/>
            </w:pPr>
            <w:r w:rsidRPr="00BE78CA">
              <w:t>2,115.7</w:t>
            </w:r>
          </w:p>
        </w:tc>
      </w:tr>
      <w:tr w:rsidR="00FB19C0" w:rsidRPr="00BE78CA" w14:paraId="41DB0DD7" w14:textId="77777777" w:rsidTr="00C26084">
        <w:tc>
          <w:tcPr>
            <w:tcW w:w="993" w:type="dxa"/>
            <w:tcBorders>
              <w:top w:val="single" w:sz="4" w:space="0" w:color="365F91"/>
              <w:left w:val="nil"/>
              <w:bottom w:val="single" w:sz="4" w:space="0" w:color="365F91"/>
              <w:right w:val="nil"/>
            </w:tcBorders>
            <w:hideMark/>
          </w:tcPr>
          <w:p w14:paraId="3970AB1C" w14:textId="77777777" w:rsidR="00FB19C0" w:rsidRPr="00BE78CA" w:rsidRDefault="00FB19C0" w:rsidP="00C26084">
            <w:pPr>
              <w:pStyle w:val="TableTextBold"/>
              <w:spacing w:before="50" w:after="40"/>
              <w:rPr>
                <w:noProof w:val="0"/>
              </w:rPr>
            </w:pPr>
            <w:r w:rsidRPr="00BE78CA">
              <w:rPr>
                <w:noProof w:val="0"/>
              </w:rPr>
              <w:t>1984</w:t>
            </w:r>
          </w:p>
        </w:tc>
        <w:tc>
          <w:tcPr>
            <w:tcW w:w="1942" w:type="dxa"/>
            <w:tcBorders>
              <w:top w:val="single" w:sz="4" w:space="0" w:color="365F91"/>
              <w:left w:val="nil"/>
              <w:bottom w:val="single" w:sz="4" w:space="0" w:color="365F91"/>
              <w:right w:val="nil"/>
            </w:tcBorders>
            <w:hideMark/>
          </w:tcPr>
          <w:p w14:paraId="32611775" w14:textId="77777777" w:rsidR="00FB19C0" w:rsidRPr="00BE78CA" w:rsidRDefault="00FB19C0" w:rsidP="00C26084">
            <w:pPr>
              <w:pStyle w:val="TableText"/>
              <w:spacing w:before="50" w:after="40"/>
              <w:jc w:val="center"/>
            </w:pPr>
            <w:r w:rsidRPr="00BE78CA">
              <w:t>1,156.5</w:t>
            </w:r>
          </w:p>
        </w:tc>
        <w:tc>
          <w:tcPr>
            <w:tcW w:w="2168" w:type="dxa"/>
            <w:tcBorders>
              <w:top w:val="single" w:sz="4" w:space="0" w:color="365F91"/>
              <w:left w:val="nil"/>
              <w:bottom w:val="single" w:sz="4" w:space="0" w:color="365F91"/>
              <w:right w:val="nil"/>
            </w:tcBorders>
            <w:hideMark/>
          </w:tcPr>
          <w:p w14:paraId="51CDA584" w14:textId="77777777" w:rsidR="00FB19C0" w:rsidRPr="00BE78CA" w:rsidRDefault="00FB19C0" w:rsidP="00C26084">
            <w:pPr>
              <w:pStyle w:val="TableText"/>
              <w:spacing w:before="50" w:after="40"/>
              <w:jc w:val="center"/>
            </w:pPr>
            <w:r w:rsidRPr="00BE78CA">
              <w:t>943.2</w:t>
            </w:r>
          </w:p>
        </w:tc>
        <w:tc>
          <w:tcPr>
            <w:tcW w:w="1843" w:type="dxa"/>
            <w:tcBorders>
              <w:top w:val="single" w:sz="4" w:space="0" w:color="365F91"/>
              <w:left w:val="nil"/>
              <w:bottom w:val="single" w:sz="4" w:space="0" w:color="365F91"/>
              <w:right w:val="nil"/>
            </w:tcBorders>
            <w:hideMark/>
          </w:tcPr>
          <w:p w14:paraId="595393C4" w14:textId="77777777" w:rsidR="00FB19C0" w:rsidRPr="00BE78CA" w:rsidRDefault="00FB19C0" w:rsidP="00C26084">
            <w:pPr>
              <w:pStyle w:val="TableText"/>
              <w:spacing w:before="50" w:after="40"/>
              <w:jc w:val="center"/>
            </w:pPr>
            <w:r w:rsidRPr="00BE78CA">
              <w:t>104.8</w:t>
            </w:r>
          </w:p>
        </w:tc>
        <w:tc>
          <w:tcPr>
            <w:tcW w:w="1559" w:type="dxa"/>
            <w:tcBorders>
              <w:top w:val="single" w:sz="4" w:space="0" w:color="365F91"/>
              <w:left w:val="nil"/>
              <w:bottom w:val="single" w:sz="4" w:space="0" w:color="365F91"/>
              <w:right w:val="nil"/>
            </w:tcBorders>
            <w:hideMark/>
          </w:tcPr>
          <w:p w14:paraId="7658A5BC" w14:textId="77777777" w:rsidR="00FB19C0" w:rsidRPr="00BE78CA" w:rsidRDefault="00FB19C0" w:rsidP="00C26084">
            <w:pPr>
              <w:pStyle w:val="TableText"/>
              <w:spacing w:before="50" w:after="40"/>
              <w:jc w:val="center"/>
            </w:pPr>
            <w:r w:rsidRPr="00BE78CA">
              <w:t>2,204.5</w:t>
            </w:r>
          </w:p>
        </w:tc>
      </w:tr>
      <w:tr w:rsidR="00FB19C0" w:rsidRPr="00BE78CA" w14:paraId="0A8C8F48" w14:textId="77777777" w:rsidTr="00C26084">
        <w:tc>
          <w:tcPr>
            <w:tcW w:w="993" w:type="dxa"/>
            <w:tcBorders>
              <w:top w:val="single" w:sz="4" w:space="0" w:color="365F91"/>
              <w:left w:val="nil"/>
              <w:bottom w:val="single" w:sz="4" w:space="0" w:color="365F91"/>
              <w:right w:val="nil"/>
            </w:tcBorders>
            <w:hideMark/>
          </w:tcPr>
          <w:p w14:paraId="0BAEC45B" w14:textId="77777777" w:rsidR="00FB19C0" w:rsidRPr="00BE78CA" w:rsidRDefault="00FB19C0" w:rsidP="00C26084">
            <w:pPr>
              <w:pStyle w:val="TableTextBold"/>
              <w:spacing w:before="50" w:after="40"/>
              <w:rPr>
                <w:noProof w:val="0"/>
              </w:rPr>
            </w:pPr>
            <w:r w:rsidRPr="00BE78CA">
              <w:rPr>
                <w:noProof w:val="0"/>
              </w:rPr>
              <w:t>1985</w:t>
            </w:r>
          </w:p>
        </w:tc>
        <w:tc>
          <w:tcPr>
            <w:tcW w:w="1942" w:type="dxa"/>
            <w:tcBorders>
              <w:top w:val="single" w:sz="4" w:space="0" w:color="365F91"/>
              <w:left w:val="nil"/>
              <w:bottom w:val="single" w:sz="4" w:space="0" w:color="365F91"/>
              <w:right w:val="nil"/>
            </w:tcBorders>
            <w:hideMark/>
          </w:tcPr>
          <w:p w14:paraId="4AAF82F7" w14:textId="77777777" w:rsidR="00FB19C0" w:rsidRPr="00BE78CA" w:rsidRDefault="00FB19C0" w:rsidP="00C26084">
            <w:pPr>
              <w:pStyle w:val="TableText"/>
              <w:spacing w:before="50" w:after="40"/>
              <w:jc w:val="center"/>
            </w:pPr>
            <w:r w:rsidRPr="00BE78CA">
              <w:t>1,259.1</w:t>
            </w:r>
          </w:p>
        </w:tc>
        <w:tc>
          <w:tcPr>
            <w:tcW w:w="2168" w:type="dxa"/>
            <w:tcBorders>
              <w:top w:val="single" w:sz="4" w:space="0" w:color="365F91"/>
              <w:left w:val="nil"/>
              <w:bottom w:val="single" w:sz="4" w:space="0" w:color="365F91"/>
              <w:right w:val="nil"/>
            </w:tcBorders>
            <w:hideMark/>
          </w:tcPr>
          <w:p w14:paraId="4A402881" w14:textId="77777777" w:rsidR="00FB19C0" w:rsidRPr="00BE78CA" w:rsidRDefault="00FB19C0" w:rsidP="00C26084">
            <w:pPr>
              <w:pStyle w:val="TableText"/>
              <w:spacing w:before="50" w:after="40"/>
              <w:jc w:val="center"/>
            </w:pPr>
            <w:r w:rsidRPr="00BE78CA">
              <w:t>930.9</w:t>
            </w:r>
          </w:p>
        </w:tc>
        <w:tc>
          <w:tcPr>
            <w:tcW w:w="1843" w:type="dxa"/>
            <w:tcBorders>
              <w:top w:val="single" w:sz="4" w:space="0" w:color="365F91"/>
              <w:left w:val="nil"/>
              <w:bottom w:val="single" w:sz="4" w:space="0" w:color="365F91"/>
              <w:right w:val="nil"/>
            </w:tcBorders>
            <w:hideMark/>
          </w:tcPr>
          <w:p w14:paraId="1A5EB07C" w14:textId="77777777" w:rsidR="00FB19C0" w:rsidRPr="00BE78CA" w:rsidRDefault="00FB19C0" w:rsidP="00C26084">
            <w:pPr>
              <w:pStyle w:val="TableText"/>
              <w:spacing w:before="50" w:after="40"/>
              <w:jc w:val="center"/>
            </w:pPr>
            <w:r w:rsidRPr="00BE78CA">
              <w:t>103.4</w:t>
            </w:r>
          </w:p>
        </w:tc>
        <w:tc>
          <w:tcPr>
            <w:tcW w:w="1559" w:type="dxa"/>
            <w:tcBorders>
              <w:top w:val="single" w:sz="4" w:space="0" w:color="365F91"/>
              <w:left w:val="nil"/>
              <w:bottom w:val="single" w:sz="4" w:space="0" w:color="365F91"/>
              <w:right w:val="nil"/>
            </w:tcBorders>
            <w:hideMark/>
          </w:tcPr>
          <w:p w14:paraId="3DA553CC" w14:textId="77777777" w:rsidR="00FB19C0" w:rsidRPr="00BE78CA" w:rsidRDefault="00FB19C0" w:rsidP="00C26084">
            <w:pPr>
              <w:pStyle w:val="TableText"/>
              <w:spacing w:before="50" w:after="40"/>
              <w:jc w:val="center"/>
            </w:pPr>
            <w:r w:rsidRPr="00BE78CA">
              <w:t>2,293.4</w:t>
            </w:r>
          </w:p>
        </w:tc>
      </w:tr>
      <w:tr w:rsidR="00FB19C0" w:rsidRPr="00BE78CA" w14:paraId="58390A68" w14:textId="77777777" w:rsidTr="00C26084">
        <w:tc>
          <w:tcPr>
            <w:tcW w:w="993" w:type="dxa"/>
            <w:tcBorders>
              <w:top w:val="single" w:sz="4" w:space="0" w:color="365F91"/>
              <w:left w:val="nil"/>
              <w:bottom w:val="single" w:sz="4" w:space="0" w:color="365F91"/>
              <w:right w:val="nil"/>
            </w:tcBorders>
            <w:hideMark/>
          </w:tcPr>
          <w:p w14:paraId="4D616C49" w14:textId="77777777" w:rsidR="00FB19C0" w:rsidRPr="00BE78CA" w:rsidRDefault="00FB19C0" w:rsidP="00C26084">
            <w:pPr>
              <w:pStyle w:val="TableTextBold"/>
              <w:spacing w:before="50" w:after="40"/>
              <w:rPr>
                <w:noProof w:val="0"/>
              </w:rPr>
            </w:pPr>
            <w:r w:rsidRPr="00BE78CA">
              <w:rPr>
                <w:noProof w:val="0"/>
              </w:rPr>
              <w:t>1986</w:t>
            </w:r>
          </w:p>
        </w:tc>
        <w:tc>
          <w:tcPr>
            <w:tcW w:w="1942" w:type="dxa"/>
            <w:tcBorders>
              <w:top w:val="single" w:sz="4" w:space="0" w:color="365F91"/>
              <w:left w:val="nil"/>
              <w:bottom w:val="single" w:sz="4" w:space="0" w:color="365F91"/>
              <w:right w:val="nil"/>
            </w:tcBorders>
            <w:hideMark/>
          </w:tcPr>
          <w:p w14:paraId="2D841007" w14:textId="77777777" w:rsidR="00FB19C0" w:rsidRPr="00BE78CA" w:rsidRDefault="00FB19C0" w:rsidP="00C26084">
            <w:pPr>
              <w:pStyle w:val="TableText"/>
              <w:spacing w:before="50" w:after="40"/>
              <w:jc w:val="center"/>
            </w:pPr>
            <w:r w:rsidRPr="00BE78CA">
              <w:t>1,259.1</w:t>
            </w:r>
          </w:p>
        </w:tc>
        <w:tc>
          <w:tcPr>
            <w:tcW w:w="2168" w:type="dxa"/>
            <w:tcBorders>
              <w:top w:val="single" w:sz="4" w:space="0" w:color="365F91"/>
              <w:left w:val="nil"/>
              <w:bottom w:val="single" w:sz="4" w:space="0" w:color="365F91"/>
              <w:right w:val="nil"/>
            </w:tcBorders>
            <w:hideMark/>
          </w:tcPr>
          <w:p w14:paraId="3E679869" w14:textId="77777777" w:rsidR="00FB19C0" w:rsidRPr="00BE78CA" w:rsidRDefault="00FB19C0" w:rsidP="00C26084">
            <w:pPr>
              <w:pStyle w:val="TableText"/>
              <w:spacing w:before="50" w:after="40"/>
              <w:jc w:val="center"/>
            </w:pPr>
            <w:r w:rsidRPr="00BE78CA">
              <w:t>1,010.9</w:t>
            </w:r>
          </w:p>
        </w:tc>
        <w:tc>
          <w:tcPr>
            <w:tcW w:w="1843" w:type="dxa"/>
            <w:tcBorders>
              <w:top w:val="single" w:sz="4" w:space="0" w:color="365F91"/>
              <w:left w:val="nil"/>
              <w:bottom w:val="single" w:sz="4" w:space="0" w:color="365F91"/>
              <w:right w:val="nil"/>
            </w:tcBorders>
            <w:hideMark/>
          </w:tcPr>
          <w:p w14:paraId="274ED301" w14:textId="77777777" w:rsidR="00FB19C0" w:rsidRPr="00BE78CA" w:rsidRDefault="00FB19C0" w:rsidP="00C26084">
            <w:pPr>
              <w:pStyle w:val="TableText"/>
              <w:spacing w:before="50" w:after="40"/>
              <w:jc w:val="center"/>
            </w:pPr>
            <w:r w:rsidRPr="00BE78CA">
              <w:t>112.3</w:t>
            </w:r>
          </w:p>
        </w:tc>
        <w:tc>
          <w:tcPr>
            <w:tcW w:w="1559" w:type="dxa"/>
            <w:tcBorders>
              <w:top w:val="single" w:sz="4" w:space="0" w:color="365F91"/>
              <w:left w:val="nil"/>
              <w:bottom w:val="single" w:sz="4" w:space="0" w:color="365F91"/>
              <w:right w:val="nil"/>
            </w:tcBorders>
            <w:hideMark/>
          </w:tcPr>
          <w:p w14:paraId="1601A58F" w14:textId="77777777" w:rsidR="00FB19C0" w:rsidRPr="00BE78CA" w:rsidRDefault="00FB19C0" w:rsidP="00C26084">
            <w:pPr>
              <w:pStyle w:val="TableText"/>
              <w:spacing w:before="50" w:after="40"/>
              <w:jc w:val="center"/>
            </w:pPr>
            <w:r w:rsidRPr="00BE78CA">
              <w:t>2,382.3</w:t>
            </w:r>
          </w:p>
        </w:tc>
      </w:tr>
      <w:tr w:rsidR="00FB19C0" w:rsidRPr="00BE78CA" w14:paraId="2553145D" w14:textId="77777777" w:rsidTr="00C26084">
        <w:tc>
          <w:tcPr>
            <w:tcW w:w="993" w:type="dxa"/>
            <w:tcBorders>
              <w:top w:val="single" w:sz="4" w:space="0" w:color="365F91"/>
              <w:left w:val="nil"/>
              <w:bottom w:val="single" w:sz="4" w:space="0" w:color="365F91"/>
              <w:right w:val="nil"/>
            </w:tcBorders>
            <w:hideMark/>
          </w:tcPr>
          <w:p w14:paraId="1F511F1C" w14:textId="77777777" w:rsidR="00FB19C0" w:rsidRPr="00BE78CA" w:rsidRDefault="00FB19C0" w:rsidP="00C26084">
            <w:pPr>
              <w:pStyle w:val="TableTextBold"/>
              <w:spacing w:before="50" w:after="40"/>
              <w:rPr>
                <w:noProof w:val="0"/>
              </w:rPr>
            </w:pPr>
            <w:r w:rsidRPr="00BE78CA">
              <w:rPr>
                <w:noProof w:val="0"/>
              </w:rPr>
              <w:t>1987</w:t>
            </w:r>
          </w:p>
        </w:tc>
        <w:tc>
          <w:tcPr>
            <w:tcW w:w="1942" w:type="dxa"/>
            <w:tcBorders>
              <w:top w:val="single" w:sz="4" w:space="0" w:color="365F91"/>
              <w:left w:val="nil"/>
              <w:bottom w:val="single" w:sz="4" w:space="0" w:color="365F91"/>
              <w:right w:val="nil"/>
            </w:tcBorders>
            <w:hideMark/>
          </w:tcPr>
          <w:p w14:paraId="06233B29" w14:textId="77777777" w:rsidR="00FB19C0" w:rsidRPr="00BE78CA" w:rsidRDefault="00FB19C0" w:rsidP="00C26084">
            <w:pPr>
              <w:pStyle w:val="TableText"/>
              <w:spacing w:before="50" w:after="40"/>
              <w:jc w:val="center"/>
            </w:pPr>
            <w:r w:rsidRPr="00BE78CA">
              <w:t>1,342.7</w:t>
            </w:r>
          </w:p>
        </w:tc>
        <w:tc>
          <w:tcPr>
            <w:tcW w:w="2168" w:type="dxa"/>
            <w:tcBorders>
              <w:top w:val="single" w:sz="4" w:space="0" w:color="365F91"/>
              <w:left w:val="nil"/>
              <w:bottom w:val="single" w:sz="4" w:space="0" w:color="365F91"/>
              <w:right w:val="nil"/>
            </w:tcBorders>
            <w:hideMark/>
          </w:tcPr>
          <w:p w14:paraId="10A13A09" w14:textId="77777777" w:rsidR="00FB19C0" w:rsidRPr="00BE78CA" w:rsidRDefault="00FB19C0" w:rsidP="00C26084">
            <w:pPr>
              <w:pStyle w:val="TableText"/>
              <w:spacing w:before="50" w:after="40"/>
              <w:jc w:val="center"/>
            </w:pPr>
            <w:r w:rsidRPr="00BE78CA">
              <w:t>1,015.6</w:t>
            </w:r>
          </w:p>
        </w:tc>
        <w:tc>
          <w:tcPr>
            <w:tcW w:w="1843" w:type="dxa"/>
            <w:tcBorders>
              <w:top w:val="single" w:sz="4" w:space="0" w:color="365F91"/>
              <w:left w:val="nil"/>
              <w:bottom w:val="single" w:sz="4" w:space="0" w:color="365F91"/>
              <w:right w:val="nil"/>
            </w:tcBorders>
            <w:hideMark/>
          </w:tcPr>
          <w:p w14:paraId="143C3035" w14:textId="77777777" w:rsidR="00FB19C0" w:rsidRPr="00BE78CA" w:rsidRDefault="00FB19C0" w:rsidP="00C26084">
            <w:pPr>
              <w:pStyle w:val="TableText"/>
              <w:spacing w:before="50" w:after="40"/>
              <w:jc w:val="center"/>
            </w:pPr>
            <w:r w:rsidRPr="00BE78CA">
              <w:t>112.8</w:t>
            </w:r>
          </w:p>
        </w:tc>
        <w:tc>
          <w:tcPr>
            <w:tcW w:w="1559" w:type="dxa"/>
            <w:tcBorders>
              <w:top w:val="single" w:sz="4" w:space="0" w:color="365F91"/>
              <w:left w:val="nil"/>
              <w:bottom w:val="single" w:sz="4" w:space="0" w:color="365F91"/>
              <w:right w:val="nil"/>
            </w:tcBorders>
            <w:hideMark/>
          </w:tcPr>
          <w:p w14:paraId="641218EC" w14:textId="77777777" w:rsidR="00FB19C0" w:rsidRPr="00BE78CA" w:rsidRDefault="00FB19C0" w:rsidP="00C26084">
            <w:pPr>
              <w:pStyle w:val="TableText"/>
              <w:spacing w:before="50" w:after="40"/>
              <w:jc w:val="center"/>
            </w:pPr>
            <w:r w:rsidRPr="00BE78CA">
              <w:t>2,471.1</w:t>
            </w:r>
          </w:p>
        </w:tc>
      </w:tr>
      <w:tr w:rsidR="00FB19C0" w:rsidRPr="00BE78CA" w14:paraId="4E05D354" w14:textId="77777777" w:rsidTr="00C26084">
        <w:tc>
          <w:tcPr>
            <w:tcW w:w="993" w:type="dxa"/>
            <w:tcBorders>
              <w:top w:val="single" w:sz="4" w:space="0" w:color="365F91"/>
              <w:left w:val="nil"/>
              <w:bottom w:val="single" w:sz="4" w:space="0" w:color="365F91"/>
              <w:right w:val="nil"/>
            </w:tcBorders>
            <w:hideMark/>
          </w:tcPr>
          <w:p w14:paraId="7F410C92" w14:textId="77777777" w:rsidR="00FB19C0" w:rsidRPr="00BE78CA" w:rsidRDefault="00FB19C0" w:rsidP="00C26084">
            <w:pPr>
              <w:pStyle w:val="TableTextBold"/>
              <w:spacing w:before="50" w:after="40"/>
              <w:rPr>
                <w:noProof w:val="0"/>
              </w:rPr>
            </w:pPr>
            <w:r w:rsidRPr="00BE78CA">
              <w:rPr>
                <w:noProof w:val="0"/>
              </w:rPr>
              <w:t>1988</w:t>
            </w:r>
          </w:p>
        </w:tc>
        <w:tc>
          <w:tcPr>
            <w:tcW w:w="1942" w:type="dxa"/>
            <w:tcBorders>
              <w:top w:val="single" w:sz="4" w:space="0" w:color="365F91"/>
              <w:left w:val="nil"/>
              <w:bottom w:val="single" w:sz="4" w:space="0" w:color="365F91"/>
              <w:right w:val="nil"/>
            </w:tcBorders>
            <w:hideMark/>
          </w:tcPr>
          <w:p w14:paraId="7D8C469B" w14:textId="77777777" w:rsidR="00FB19C0" w:rsidRPr="00BE78CA" w:rsidRDefault="00FB19C0" w:rsidP="00C26084">
            <w:pPr>
              <w:pStyle w:val="TableText"/>
              <w:spacing w:before="50" w:after="40"/>
              <w:jc w:val="center"/>
            </w:pPr>
            <w:r w:rsidRPr="00BE78CA">
              <w:t>1,432.6</w:t>
            </w:r>
          </w:p>
        </w:tc>
        <w:tc>
          <w:tcPr>
            <w:tcW w:w="2168" w:type="dxa"/>
            <w:tcBorders>
              <w:top w:val="single" w:sz="4" w:space="0" w:color="365F91"/>
              <w:left w:val="nil"/>
              <w:bottom w:val="single" w:sz="4" w:space="0" w:color="365F91"/>
              <w:right w:val="nil"/>
            </w:tcBorders>
            <w:hideMark/>
          </w:tcPr>
          <w:p w14:paraId="097D9509" w14:textId="77777777" w:rsidR="00FB19C0" w:rsidRPr="00BE78CA" w:rsidRDefault="00FB19C0" w:rsidP="00C26084">
            <w:pPr>
              <w:pStyle w:val="TableText"/>
              <w:spacing w:before="50" w:after="40"/>
              <w:jc w:val="center"/>
            </w:pPr>
            <w:r w:rsidRPr="00BE78CA">
              <w:t>1,014.7</w:t>
            </w:r>
          </w:p>
        </w:tc>
        <w:tc>
          <w:tcPr>
            <w:tcW w:w="1843" w:type="dxa"/>
            <w:tcBorders>
              <w:top w:val="single" w:sz="4" w:space="0" w:color="365F91"/>
              <w:left w:val="nil"/>
              <w:bottom w:val="single" w:sz="4" w:space="0" w:color="365F91"/>
              <w:right w:val="nil"/>
            </w:tcBorders>
            <w:hideMark/>
          </w:tcPr>
          <w:p w14:paraId="31CB1CF6" w14:textId="77777777" w:rsidR="00FB19C0" w:rsidRPr="00BE78CA" w:rsidRDefault="00FB19C0" w:rsidP="00C26084">
            <w:pPr>
              <w:pStyle w:val="TableText"/>
              <w:spacing w:before="50" w:after="40"/>
              <w:jc w:val="center"/>
            </w:pPr>
            <w:r w:rsidRPr="00BE78CA">
              <w:t>112.7</w:t>
            </w:r>
          </w:p>
        </w:tc>
        <w:tc>
          <w:tcPr>
            <w:tcW w:w="1559" w:type="dxa"/>
            <w:tcBorders>
              <w:top w:val="single" w:sz="4" w:space="0" w:color="365F91"/>
              <w:left w:val="nil"/>
              <w:bottom w:val="single" w:sz="4" w:space="0" w:color="365F91"/>
              <w:right w:val="nil"/>
            </w:tcBorders>
            <w:hideMark/>
          </w:tcPr>
          <w:p w14:paraId="5822E707" w14:textId="77777777" w:rsidR="00FB19C0" w:rsidRPr="00BE78CA" w:rsidRDefault="00FB19C0" w:rsidP="00C26084">
            <w:pPr>
              <w:pStyle w:val="TableText"/>
              <w:spacing w:before="50" w:after="40"/>
              <w:jc w:val="center"/>
            </w:pPr>
            <w:r w:rsidRPr="00BE78CA">
              <w:t>2,560.0</w:t>
            </w:r>
          </w:p>
        </w:tc>
      </w:tr>
      <w:tr w:rsidR="00FB19C0" w:rsidRPr="00BE78CA" w14:paraId="64899ED4" w14:textId="77777777" w:rsidTr="00C26084">
        <w:tc>
          <w:tcPr>
            <w:tcW w:w="993" w:type="dxa"/>
            <w:tcBorders>
              <w:top w:val="single" w:sz="4" w:space="0" w:color="365F91"/>
              <w:left w:val="nil"/>
              <w:bottom w:val="single" w:sz="4" w:space="0" w:color="365F91"/>
              <w:right w:val="nil"/>
            </w:tcBorders>
            <w:hideMark/>
          </w:tcPr>
          <w:p w14:paraId="50892AE9" w14:textId="77777777" w:rsidR="00FB19C0" w:rsidRPr="00BE78CA" w:rsidRDefault="00FB19C0" w:rsidP="00C26084">
            <w:pPr>
              <w:pStyle w:val="TableTextBold"/>
              <w:spacing w:before="50" w:after="40"/>
              <w:rPr>
                <w:noProof w:val="0"/>
              </w:rPr>
            </w:pPr>
            <w:r w:rsidRPr="00BE78CA">
              <w:rPr>
                <w:noProof w:val="0"/>
              </w:rPr>
              <w:t>1989</w:t>
            </w:r>
          </w:p>
        </w:tc>
        <w:tc>
          <w:tcPr>
            <w:tcW w:w="1942" w:type="dxa"/>
            <w:tcBorders>
              <w:top w:val="single" w:sz="4" w:space="0" w:color="365F91"/>
              <w:left w:val="nil"/>
              <w:bottom w:val="single" w:sz="4" w:space="0" w:color="365F91"/>
              <w:right w:val="nil"/>
            </w:tcBorders>
            <w:hideMark/>
          </w:tcPr>
          <w:p w14:paraId="39400DFA" w14:textId="77777777" w:rsidR="00FB19C0" w:rsidRPr="00BE78CA" w:rsidRDefault="00FB19C0" w:rsidP="00C26084">
            <w:pPr>
              <w:pStyle w:val="TableText"/>
              <w:spacing w:before="50" w:after="40"/>
              <w:jc w:val="center"/>
            </w:pPr>
            <w:r w:rsidRPr="00BE78CA">
              <w:t>1,432.6</w:t>
            </w:r>
          </w:p>
        </w:tc>
        <w:tc>
          <w:tcPr>
            <w:tcW w:w="2168" w:type="dxa"/>
            <w:tcBorders>
              <w:top w:val="single" w:sz="4" w:space="0" w:color="365F91"/>
              <w:left w:val="nil"/>
              <w:bottom w:val="single" w:sz="4" w:space="0" w:color="365F91"/>
              <w:right w:val="nil"/>
            </w:tcBorders>
            <w:hideMark/>
          </w:tcPr>
          <w:p w14:paraId="696507C9" w14:textId="77777777" w:rsidR="00FB19C0" w:rsidRPr="00BE78CA" w:rsidRDefault="00FB19C0" w:rsidP="00C26084">
            <w:pPr>
              <w:pStyle w:val="TableText"/>
              <w:spacing w:before="50" w:after="40"/>
              <w:jc w:val="center"/>
            </w:pPr>
            <w:r w:rsidRPr="00BE78CA">
              <w:t>1,094.7</w:t>
            </w:r>
          </w:p>
        </w:tc>
        <w:tc>
          <w:tcPr>
            <w:tcW w:w="1843" w:type="dxa"/>
            <w:tcBorders>
              <w:top w:val="single" w:sz="4" w:space="0" w:color="365F91"/>
              <w:left w:val="nil"/>
              <w:bottom w:val="single" w:sz="4" w:space="0" w:color="365F91"/>
              <w:right w:val="nil"/>
            </w:tcBorders>
            <w:hideMark/>
          </w:tcPr>
          <w:p w14:paraId="63E88D4C" w14:textId="77777777" w:rsidR="00FB19C0" w:rsidRPr="00BE78CA" w:rsidRDefault="00FB19C0" w:rsidP="00C26084">
            <w:pPr>
              <w:pStyle w:val="TableText"/>
              <w:spacing w:before="50" w:after="40"/>
              <w:jc w:val="center"/>
            </w:pPr>
            <w:r w:rsidRPr="00BE78CA">
              <w:t>121.6</w:t>
            </w:r>
          </w:p>
        </w:tc>
        <w:tc>
          <w:tcPr>
            <w:tcW w:w="1559" w:type="dxa"/>
            <w:tcBorders>
              <w:top w:val="single" w:sz="4" w:space="0" w:color="365F91"/>
              <w:left w:val="nil"/>
              <w:bottom w:val="single" w:sz="4" w:space="0" w:color="365F91"/>
              <w:right w:val="nil"/>
            </w:tcBorders>
            <w:hideMark/>
          </w:tcPr>
          <w:p w14:paraId="6B81904C" w14:textId="77777777" w:rsidR="00FB19C0" w:rsidRPr="00BE78CA" w:rsidRDefault="00FB19C0" w:rsidP="00C26084">
            <w:pPr>
              <w:pStyle w:val="TableText"/>
              <w:spacing w:before="50" w:after="40"/>
              <w:jc w:val="center"/>
            </w:pPr>
            <w:r w:rsidRPr="00BE78CA">
              <w:t>2,648.9</w:t>
            </w:r>
          </w:p>
        </w:tc>
      </w:tr>
      <w:tr w:rsidR="00FB19C0" w:rsidRPr="00BE78CA" w14:paraId="3422AF38" w14:textId="77777777" w:rsidTr="00C26084">
        <w:tc>
          <w:tcPr>
            <w:tcW w:w="993" w:type="dxa"/>
            <w:tcBorders>
              <w:top w:val="single" w:sz="4" w:space="0" w:color="365F91"/>
              <w:left w:val="nil"/>
              <w:bottom w:val="single" w:sz="4" w:space="0" w:color="365F91"/>
              <w:right w:val="nil"/>
            </w:tcBorders>
            <w:hideMark/>
          </w:tcPr>
          <w:p w14:paraId="0E9F2886" w14:textId="77777777" w:rsidR="00FB19C0" w:rsidRPr="00BE78CA" w:rsidRDefault="00FB19C0" w:rsidP="00C26084">
            <w:pPr>
              <w:pStyle w:val="TableTextBold"/>
              <w:spacing w:before="50" w:after="40"/>
              <w:rPr>
                <w:noProof w:val="0"/>
              </w:rPr>
            </w:pPr>
            <w:r w:rsidRPr="00BE78CA">
              <w:rPr>
                <w:noProof w:val="0"/>
              </w:rPr>
              <w:t>1990</w:t>
            </w:r>
          </w:p>
        </w:tc>
        <w:tc>
          <w:tcPr>
            <w:tcW w:w="1942" w:type="dxa"/>
            <w:tcBorders>
              <w:top w:val="single" w:sz="4" w:space="0" w:color="365F91"/>
              <w:left w:val="nil"/>
              <w:bottom w:val="single" w:sz="4" w:space="0" w:color="365F91"/>
              <w:right w:val="nil"/>
            </w:tcBorders>
            <w:hideMark/>
          </w:tcPr>
          <w:p w14:paraId="0AE259AD" w14:textId="77777777" w:rsidR="00FB19C0" w:rsidRPr="00BE78CA" w:rsidRDefault="00FB19C0" w:rsidP="00C26084">
            <w:pPr>
              <w:pStyle w:val="TableText"/>
              <w:spacing w:before="50" w:after="40"/>
              <w:jc w:val="center"/>
              <w:rPr>
                <w:rFonts w:cs="Arial"/>
                <w:szCs w:val="16"/>
              </w:rPr>
            </w:pPr>
            <w:r w:rsidRPr="00BE78CA">
              <w:t>1,432.6</w:t>
            </w:r>
          </w:p>
        </w:tc>
        <w:tc>
          <w:tcPr>
            <w:tcW w:w="2168" w:type="dxa"/>
            <w:tcBorders>
              <w:top w:val="single" w:sz="4" w:space="0" w:color="365F91"/>
              <w:left w:val="nil"/>
              <w:bottom w:val="single" w:sz="4" w:space="0" w:color="365F91"/>
              <w:right w:val="nil"/>
            </w:tcBorders>
            <w:hideMark/>
          </w:tcPr>
          <w:p w14:paraId="2896EFC8" w14:textId="77777777" w:rsidR="00FB19C0" w:rsidRPr="00BE78CA" w:rsidRDefault="00FB19C0" w:rsidP="00C26084">
            <w:pPr>
              <w:pStyle w:val="TableText"/>
              <w:spacing w:before="50" w:after="40"/>
              <w:jc w:val="center"/>
              <w:rPr>
                <w:rFonts w:cs="Arial"/>
                <w:szCs w:val="16"/>
              </w:rPr>
            </w:pPr>
            <w:r w:rsidRPr="00BE78CA">
              <w:t>1,174.7</w:t>
            </w:r>
          </w:p>
        </w:tc>
        <w:tc>
          <w:tcPr>
            <w:tcW w:w="1843" w:type="dxa"/>
            <w:tcBorders>
              <w:top w:val="single" w:sz="4" w:space="0" w:color="365F91"/>
              <w:left w:val="nil"/>
              <w:bottom w:val="single" w:sz="4" w:space="0" w:color="365F91"/>
              <w:right w:val="nil"/>
            </w:tcBorders>
            <w:hideMark/>
          </w:tcPr>
          <w:p w14:paraId="41798C65" w14:textId="77777777" w:rsidR="00FB19C0" w:rsidRPr="00BE78CA" w:rsidRDefault="00FB19C0" w:rsidP="00C26084">
            <w:pPr>
              <w:pStyle w:val="TableText"/>
              <w:spacing w:before="50" w:after="40"/>
              <w:jc w:val="center"/>
              <w:rPr>
                <w:rFonts w:cs="Arial"/>
                <w:szCs w:val="16"/>
              </w:rPr>
            </w:pPr>
            <w:r w:rsidRPr="00BE78CA">
              <w:t>130.5</w:t>
            </w:r>
          </w:p>
        </w:tc>
        <w:tc>
          <w:tcPr>
            <w:tcW w:w="1559" w:type="dxa"/>
            <w:tcBorders>
              <w:top w:val="single" w:sz="4" w:space="0" w:color="365F91"/>
              <w:left w:val="nil"/>
              <w:bottom w:val="single" w:sz="4" w:space="0" w:color="365F91"/>
              <w:right w:val="nil"/>
            </w:tcBorders>
            <w:hideMark/>
          </w:tcPr>
          <w:p w14:paraId="6F0BD621" w14:textId="77777777" w:rsidR="00FB19C0" w:rsidRPr="00BE78CA" w:rsidRDefault="00FB19C0" w:rsidP="00C26084">
            <w:pPr>
              <w:pStyle w:val="TableText"/>
              <w:spacing w:before="50" w:after="40"/>
              <w:jc w:val="center"/>
              <w:rPr>
                <w:rFonts w:cs="Arial"/>
                <w:szCs w:val="16"/>
              </w:rPr>
            </w:pPr>
            <w:r w:rsidRPr="00BE78CA">
              <w:t>2,737.8</w:t>
            </w:r>
          </w:p>
        </w:tc>
      </w:tr>
      <w:tr w:rsidR="00FB19C0" w:rsidRPr="00BE78CA" w14:paraId="5891D0D6" w14:textId="77777777" w:rsidTr="00C26084">
        <w:tc>
          <w:tcPr>
            <w:tcW w:w="993" w:type="dxa"/>
            <w:tcBorders>
              <w:top w:val="single" w:sz="4" w:space="0" w:color="365F91"/>
              <w:left w:val="nil"/>
              <w:bottom w:val="single" w:sz="4" w:space="0" w:color="365F91"/>
              <w:right w:val="nil"/>
            </w:tcBorders>
            <w:hideMark/>
          </w:tcPr>
          <w:p w14:paraId="31A8BB4E" w14:textId="77777777" w:rsidR="00FB19C0" w:rsidRPr="00BE78CA" w:rsidRDefault="00FB19C0" w:rsidP="00C26084">
            <w:pPr>
              <w:pStyle w:val="TableTextBold"/>
              <w:spacing w:before="50" w:after="40"/>
              <w:rPr>
                <w:noProof w:val="0"/>
              </w:rPr>
            </w:pPr>
            <w:r w:rsidRPr="00BE78CA">
              <w:rPr>
                <w:noProof w:val="0"/>
              </w:rPr>
              <w:t>1991</w:t>
            </w:r>
          </w:p>
        </w:tc>
        <w:tc>
          <w:tcPr>
            <w:tcW w:w="1942" w:type="dxa"/>
            <w:tcBorders>
              <w:top w:val="single" w:sz="4" w:space="0" w:color="365F91"/>
              <w:left w:val="nil"/>
              <w:bottom w:val="single" w:sz="4" w:space="0" w:color="365F91"/>
              <w:right w:val="nil"/>
            </w:tcBorders>
            <w:hideMark/>
          </w:tcPr>
          <w:p w14:paraId="31266F83" w14:textId="77777777" w:rsidR="00FB19C0" w:rsidRPr="00BE78CA" w:rsidRDefault="00FB19C0" w:rsidP="00C26084">
            <w:pPr>
              <w:pStyle w:val="TableText"/>
              <w:spacing w:before="50" w:after="40"/>
              <w:jc w:val="center"/>
              <w:rPr>
                <w:rFonts w:cs="Arial"/>
                <w:szCs w:val="16"/>
              </w:rPr>
            </w:pPr>
            <w:r w:rsidRPr="00BE78CA">
              <w:t>1,432.6</w:t>
            </w:r>
          </w:p>
        </w:tc>
        <w:tc>
          <w:tcPr>
            <w:tcW w:w="2168" w:type="dxa"/>
            <w:tcBorders>
              <w:top w:val="single" w:sz="4" w:space="0" w:color="365F91"/>
              <w:left w:val="nil"/>
              <w:bottom w:val="single" w:sz="4" w:space="0" w:color="365F91"/>
              <w:right w:val="nil"/>
            </w:tcBorders>
            <w:hideMark/>
          </w:tcPr>
          <w:p w14:paraId="2A90B5B4" w14:textId="77777777" w:rsidR="00FB19C0" w:rsidRPr="00BE78CA" w:rsidRDefault="00FB19C0" w:rsidP="00C26084">
            <w:pPr>
              <w:pStyle w:val="TableText"/>
              <w:spacing w:before="50" w:after="40"/>
              <w:jc w:val="center"/>
              <w:rPr>
                <w:rFonts w:cs="Arial"/>
                <w:szCs w:val="16"/>
              </w:rPr>
            </w:pPr>
            <w:r w:rsidRPr="00BE78CA">
              <w:t>1,254.7</w:t>
            </w:r>
          </w:p>
        </w:tc>
        <w:tc>
          <w:tcPr>
            <w:tcW w:w="1843" w:type="dxa"/>
            <w:tcBorders>
              <w:top w:val="single" w:sz="4" w:space="0" w:color="365F91"/>
              <w:left w:val="nil"/>
              <w:bottom w:val="single" w:sz="4" w:space="0" w:color="365F91"/>
              <w:right w:val="nil"/>
            </w:tcBorders>
            <w:hideMark/>
          </w:tcPr>
          <w:p w14:paraId="0C978E50" w14:textId="77777777" w:rsidR="00FB19C0" w:rsidRPr="00BE78CA" w:rsidRDefault="00FB19C0" w:rsidP="00C26084">
            <w:pPr>
              <w:pStyle w:val="TableText"/>
              <w:spacing w:before="50" w:after="40"/>
              <w:jc w:val="center"/>
              <w:rPr>
                <w:rFonts w:cs="Arial"/>
                <w:szCs w:val="16"/>
              </w:rPr>
            </w:pPr>
            <w:r w:rsidRPr="00BE78CA">
              <w:t>139.4</w:t>
            </w:r>
          </w:p>
        </w:tc>
        <w:tc>
          <w:tcPr>
            <w:tcW w:w="1559" w:type="dxa"/>
            <w:tcBorders>
              <w:top w:val="single" w:sz="4" w:space="0" w:color="365F91"/>
              <w:left w:val="nil"/>
              <w:bottom w:val="single" w:sz="4" w:space="0" w:color="365F91"/>
              <w:right w:val="nil"/>
            </w:tcBorders>
            <w:hideMark/>
          </w:tcPr>
          <w:p w14:paraId="2D3B5753" w14:textId="77777777" w:rsidR="00FB19C0" w:rsidRPr="00BE78CA" w:rsidRDefault="00FB19C0" w:rsidP="00C26084">
            <w:pPr>
              <w:pStyle w:val="TableText"/>
              <w:spacing w:before="50" w:after="40"/>
              <w:jc w:val="center"/>
              <w:rPr>
                <w:rFonts w:cs="Arial"/>
                <w:szCs w:val="16"/>
              </w:rPr>
            </w:pPr>
            <w:r w:rsidRPr="00BE78CA">
              <w:t>2,826.6</w:t>
            </w:r>
          </w:p>
        </w:tc>
      </w:tr>
      <w:tr w:rsidR="00FB19C0" w:rsidRPr="00BE78CA" w14:paraId="6748DB80" w14:textId="77777777" w:rsidTr="00C26084">
        <w:tc>
          <w:tcPr>
            <w:tcW w:w="993" w:type="dxa"/>
            <w:tcBorders>
              <w:top w:val="single" w:sz="4" w:space="0" w:color="365F91"/>
              <w:left w:val="nil"/>
              <w:bottom w:val="single" w:sz="4" w:space="0" w:color="365F91"/>
              <w:right w:val="nil"/>
            </w:tcBorders>
            <w:hideMark/>
          </w:tcPr>
          <w:p w14:paraId="6D0578BB" w14:textId="77777777" w:rsidR="00FB19C0" w:rsidRPr="00BE78CA" w:rsidRDefault="00FB19C0" w:rsidP="00C26084">
            <w:pPr>
              <w:pStyle w:val="TableTextBold"/>
              <w:spacing w:before="50" w:after="40"/>
              <w:rPr>
                <w:noProof w:val="0"/>
              </w:rPr>
            </w:pPr>
            <w:r w:rsidRPr="00BE78CA">
              <w:rPr>
                <w:noProof w:val="0"/>
              </w:rPr>
              <w:t>1992</w:t>
            </w:r>
          </w:p>
        </w:tc>
        <w:tc>
          <w:tcPr>
            <w:tcW w:w="1942" w:type="dxa"/>
            <w:tcBorders>
              <w:top w:val="single" w:sz="4" w:space="0" w:color="365F91"/>
              <w:left w:val="nil"/>
              <w:bottom w:val="single" w:sz="4" w:space="0" w:color="365F91"/>
              <w:right w:val="nil"/>
            </w:tcBorders>
            <w:hideMark/>
          </w:tcPr>
          <w:p w14:paraId="05F599B8" w14:textId="77777777" w:rsidR="00FB19C0" w:rsidRPr="00BE78CA" w:rsidRDefault="00FB19C0" w:rsidP="00C26084">
            <w:pPr>
              <w:pStyle w:val="TableText"/>
              <w:spacing w:before="50" w:after="40"/>
              <w:jc w:val="center"/>
              <w:rPr>
                <w:rFonts w:cs="Arial"/>
                <w:szCs w:val="16"/>
              </w:rPr>
            </w:pPr>
            <w:r w:rsidRPr="00BE78CA">
              <w:t>1,432.6</w:t>
            </w:r>
          </w:p>
        </w:tc>
        <w:tc>
          <w:tcPr>
            <w:tcW w:w="2168" w:type="dxa"/>
            <w:tcBorders>
              <w:top w:val="single" w:sz="4" w:space="0" w:color="365F91"/>
              <w:left w:val="nil"/>
              <w:bottom w:val="single" w:sz="4" w:space="0" w:color="365F91"/>
              <w:right w:val="nil"/>
            </w:tcBorders>
            <w:hideMark/>
          </w:tcPr>
          <w:p w14:paraId="3A16DE05" w14:textId="77777777" w:rsidR="00FB19C0" w:rsidRPr="00BE78CA" w:rsidRDefault="00FB19C0" w:rsidP="00C26084">
            <w:pPr>
              <w:pStyle w:val="TableText"/>
              <w:spacing w:before="50" w:after="40"/>
              <w:jc w:val="center"/>
              <w:rPr>
                <w:rFonts w:cs="Arial"/>
                <w:szCs w:val="16"/>
              </w:rPr>
            </w:pPr>
            <w:r w:rsidRPr="00BE78CA">
              <w:t>1,334.7</w:t>
            </w:r>
          </w:p>
        </w:tc>
        <w:tc>
          <w:tcPr>
            <w:tcW w:w="1843" w:type="dxa"/>
            <w:tcBorders>
              <w:top w:val="single" w:sz="4" w:space="0" w:color="365F91"/>
              <w:left w:val="nil"/>
              <w:bottom w:val="single" w:sz="4" w:space="0" w:color="365F91"/>
              <w:right w:val="nil"/>
            </w:tcBorders>
            <w:hideMark/>
          </w:tcPr>
          <w:p w14:paraId="1A5025CF" w14:textId="77777777" w:rsidR="00FB19C0" w:rsidRPr="00BE78CA" w:rsidRDefault="00FB19C0" w:rsidP="00C26084">
            <w:pPr>
              <w:pStyle w:val="TableText"/>
              <w:spacing w:before="50" w:after="40"/>
              <w:jc w:val="center"/>
              <w:rPr>
                <w:rFonts w:cs="Arial"/>
                <w:szCs w:val="16"/>
              </w:rPr>
            </w:pPr>
            <w:r w:rsidRPr="00BE78CA">
              <w:t>148.3</w:t>
            </w:r>
          </w:p>
        </w:tc>
        <w:tc>
          <w:tcPr>
            <w:tcW w:w="1559" w:type="dxa"/>
            <w:tcBorders>
              <w:top w:val="single" w:sz="4" w:space="0" w:color="365F91"/>
              <w:left w:val="nil"/>
              <w:bottom w:val="single" w:sz="4" w:space="0" w:color="365F91"/>
              <w:right w:val="nil"/>
            </w:tcBorders>
            <w:hideMark/>
          </w:tcPr>
          <w:p w14:paraId="0FC72E53" w14:textId="77777777" w:rsidR="00FB19C0" w:rsidRPr="00BE78CA" w:rsidRDefault="00FB19C0" w:rsidP="00C26084">
            <w:pPr>
              <w:pStyle w:val="TableText"/>
              <w:spacing w:before="50" w:after="40"/>
              <w:jc w:val="center"/>
              <w:rPr>
                <w:rFonts w:cs="Arial"/>
                <w:szCs w:val="16"/>
              </w:rPr>
            </w:pPr>
            <w:r w:rsidRPr="00BE78CA">
              <w:t>2,915.5</w:t>
            </w:r>
          </w:p>
        </w:tc>
      </w:tr>
      <w:tr w:rsidR="00FB19C0" w:rsidRPr="00BE78CA" w14:paraId="494DFE1F" w14:textId="77777777" w:rsidTr="00C26084">
        <w:tc>
          <w:tcPr>
            <w:tcW w:w="993" w:type="dxa"/>
            <w:tcBorders>
              <w:top w:val="single" w:sz="4" w:space="0" w:color="365F91"/>
              <w:left w:val="nil"/>
              <w:bottom w:val="single" w:sz="4" w:space="0" w:color="365F91"/>
              <w:right w:val="nil"/>
            </w:tcBorders>
            <w:hideMark/>
          </w:tcPr>
          <w:p w14:paraId="7119A3ED" w14:textId="77777777" w:rsidR="00FB19C0" w:rsidRPr="00BE78CA" w:rsidRDefault="00FB19C0" w:rsidP="00C26084">
            <w:pPr>
              <w:pStyle w:val="TableTextBold"/>
              <w:spacing w:before="50" w:after="40"/>
              <w:rPr>
                <w:noProof w:val="0"/>
              </w:rPr>
            </w:pPr>
            <w:r w:rsidRPr="00BE78CA">
              <w:rPr>
                <w:noProof w:val="0"/>
              </w:rPr>
              <w:t>1993</w:t>
            </w:r>
          </w:p>
        </w:tc>
        <w:tc>
          <w:tcPr>
            <w:tcW w:w="1942" w:type="dxa"/>
            <w:tcBorders>
              <w:top w:val="single" w:sz="4" w:space="0" w:color="365F91"/>
              <w:left w:val="nil"/>
              <w:bottom w:val="single" w:sz="4" w:space="0" w:color="365F91"/>
              <w:right w:val="nil"/>
            </w:tcBorders>
            <w:hideMark/>
          </w:tcPr>
          <w:p w14:paraId="7FB2A08C" w14:textId="77777777" w:rsidR="00FB19C0" w:rsidRPr="00BE78CA" w:rsidRDefault="00FB19C0" w:rsidP="00C26084">
            <w:pPr>
              <w:pStyle w:val="TableText"/>
              <w:spacing w:before="50" w:after="40"/>
              <w:jc w:val="center"/>
            </w:pPr>
            <w:r w:rsidRPr="00BE78CA">
              <w:t>1,650.5</w:t>
            </w:r>
          </w:p>
        </w:tc>
        <w:tc>
          <w:tcPr>
            <w:tcW w:w="2168" w:type="dxa"/>
            <w:tcBorders>
              <w:top w:val="single" w:sz="4" w:space="0" w:color="365F91"/>
              <w:left w:val="nil"/>
              <w:bottom w:val="single" w:sz="4" w:space="0" w:color="365F91"/>
              <w:right w:val="nil"/>
            </w:tcBorders>
            <w:hideMark/>
          </w:tcPr>
          <w:p w14:paraId="02C618F8" w14:textId="77777777" w:rsidR="00FB19C0" w:rsidRPr="00BE78CA" w:rsidRDefault="00FB19C0" w:rsidP="00C26084">
            <w:pPr>
              <w:pStyle w:val="TableText"/>
              <w:spacing w:before="50" w:after="40"/>
              <w:jc w:val="center"/>
            </w:pPr>
            <w:r w:rsidRPr="00BE78CA">
              <w:t>1,218.5</w:t>
            </w:r>
          </w:p>
        </w:tc>
        <w:tc>
          <w:tcPr>
            <w:tcW w:w="1843" w:type="dxa"/>
            <w:tcBorders>
              <w:top w:val="single" w:sz="4" w:space="0" w:color="365F91"/>
              <w:left w:val="nil"/>
              <w:bottom w:val="single" w:sz="4" w:space="0" w:color="365F91"/>
              <w:right w:val="nil"/>
            </w:tcBorders>
            <w:hideMark/>
          </w:tcPr>
          <w:p w14:paraId="04B88A2F" w14:textId="77777777" w:rsidR="00FB19C0" w:rsidRPr="00BE78CA" w:rsidRDefault="00FB19C0" w:rsidP="00C26084">
            <w:pPr>
              <w:pStyle w:val="TableText"/>
              <w:spacing w:before="50" w:after="40"/>
              <w:jc w:val="center"/>
            </w:pPr>
            <w:r w:rsidRPr="00BE78CA">
              <w:t>135.4</w:t>
            </w:r>
          </w:p>
        </w:tc>
        <w:tc>
          <w:tcPr>
            <w:tcW w:w="1559" w:type="dxa"/>
            <w:tcBorders>
              <w:top w:val="single" w:sz="4" w:space="0" w:color="365F91"/>
              <w:left w:val="nil"/>
              <w:bottom w:val="single" w:sz="4" w:space="0" w:color="365F91"/>
              <w:right w:val="nil"/>
            </w:tcBorders>
            <w:hideMark/>
          </w:tcPr>
          <w:p w14:paraId="3699E75F" w14:textId="77777777" w:rsidR="00FB19C0" w:rsidRPr="00BE78CA" w:rsidRDefault="00FB19C0" w:rsidP="00C26084">
            <w:pPr>
              <w:pStyle w:val="TableText"/>
              <w:spacing w:before="50" w:after="40"/>
              <w:jc w:val="center"/>
            </w:pPr>
            <w:r w:rsidRPr="00BE78CA">
              <w:t>3,004.4</w:t>
            </w:r>
          </w:p>
        </w:tc>
      </w:tr>
      <w:tr w:rsidR="00FB19C0" w:rsidRPr="00BE78CA" w14:paraId="2A471249" w14:textId="77777777" w:rsidTr="00C26084">
        <w:tc>
          <w:tcPr>
            <w:tcW w:w="993" w:type="dxa"/>
            <w:tcBorders>
              <w:top w:val="single" w:sz="4" w:space="0" w:color="365F91"/>
              <w:left w:val="nil"/>
              <w:bottom w:val="single" w:sz="4" w:space="0" w:color="365F91"/>
              <w:right w:val="nil"/>
            </w:tcBorders>
            <w:hideMark/>
          </w:tcPr>
          <w:p w14:paraId="501AB4EA" w14:textId="77777777" w:rsidR="00FB19C0" w:rsidRPr="00BE78CA" w:rsidRDefault="00FB19C0" w:rsidP="00C26084">
            <w:pPr>
              <w:pStyle w:val="TableTextBold"/>
              <w:spacing w:before="50" w:after="40"/>
              <w:rPr>
                <w:noProof w:val="0"/>
              </w:rPr>
            </w:pPr>
            <w:r w:rsidRPr="00BE78CA">
              <w:rPr>
                <w:noProof w:val="0"/>
              </w:rPr>
              <w:t>1994</w:t>
            </w:r>
          </w:p>
        </w:tc>
        <w:tc>
          <w:tcPr>
            <w:tcW w:w="1942" w:type="dxa"/>
            <w:tcBorders>
              <w:top w:val="single" w:sz="4" w:space="0" w:color="365F91"/>
              <w:left w:val="nil"/>
              <w:bottom w:val="single" w:sz="4" w:space="0" w:color="365F91"/>
              <w:right w:val="nil"/>
            </w:tcBorders>
            <w:hideMark/>
          </w:tcPr>
          <w:p w14:paraId="2B9B640E" w14:textId="77777777" w:rsidR="00FB19C0" w:rsidRPr="00BE78CA" w:rsidRDefault="00FB19C0" w:rsidP="00C26084">
            <w:pPr>
              <w:pStyle w:val="TableText"/>
              <w:spacing w:before="50" w:after="40"/>
              <w:jc w:val="center"/>
            </w:pPr>
            <w:r w:rsidRPr="00BE78CA">
              <w:t>1,687.5</w:t>
            </w:r>
          </w:p>
        </w:tc>
        <w:tc>
          <w:tcPr>
            <w:tcW w:w="2168" w:type="dxa"/>
            <w:tcBorders>
              <w:top w:val="single" w:sz="4" w:space="0" w:color="365F91"/>
              <w:left w:val="nil"/>
              <w:bottom w:val="single" w:sz="4" w:space="0" w:color="365F91"/>
              <w:right w:val="nil"/>
            </w:tcBorders>
            <w:hideMark/>
          </w:tcPr>
          <w:p w14:paraId="035A27E9" w14:textId="77777777" w:rsidR="00FB19C0" w:rsidRPr="00BE78CA" w:rsidRDefault="00FB19C0" w:rsidP="00C26084">
            <w:pPr>
              <w:pStyle w:val="TableText"/>
              <w:spacing w:before="50" w:after="40"/>
              <w:jc w:val="center"/>
            </w:pPr>
            <w:r w:rsidRPr="00BE78CA">
              <w:t>1,265.2</w:t>
            </w:r>
          </w:p>
        </w:tc>
        <w:tc>
          <w:tcPr>
            <w:tcW w:w="1843" w:type="dxa"/>
            <w:tcBorders>
              <w:top w:val="single" w:sz="4" w:space="0" w:color="365F91"/>
              <w:left w:val="nil"/>
              <w:bottom w:val="single" w:sz="4" w:space="0" w:color="365F91"/>
              <w:right w:val="nil"/>
            </w:tcBorders>
            <w:hideMark/>
          </w:tcPr>
          <w:p w14:paraId="34B9B950" w14:textId="77777777" w:rsidR="00FB19C0" w:rsidRPr="00BE78CA" w:rsidRDefault="00FB19C0" w:rsidP="00C26084">
            <w:pPr>
              <w:pStyle w:val="TableText"/>
              <w:spacing w:before="50" w:after="40"/>
              <w:jc w:val="center"/>
            </w:pPr>
            <w:r w:rsidRPr="00BE78CA">
              <w:t>140.6</w:t>
            </w:r>
          </w:p>
        </w:tc>
        <w:tc>
          <w:tcPr>
            <w:tcW w:w="1559" w:type="dxa"/>
            <w:tcBorders>
              <w:top w:val="single" w:sz="4" w:space="0" w:color="365F91"/>
              <w:left w:val="nil"/>
              <w:bottom w:val="single" w:sz="4" w:space="0" w:color="365F91"/>
              <w:right w:val="nil"/>
            </w:tcBorders>
            <w:hideMark/>
          </w:tcPr>
          <w:p w14:paraId="5406F738" w14:textId="77777777" w:rsidR="00FB19C0" w:rsidRPr="00BE78CA" w:rsidRDefault="00FB19C0" w:rsidP="00C26084">
            <w:pPr>
              <w:pStyle w:val="TableText"/>
              <w:spacing w:before="50" w:after="40"/>
              <w:jc w:val="center"/>
            </w:pPr>
            <w:r w:rsidRPr="00BE78CA">
              <w:t>3,093.2</w:t>
            </w:r>
          </w:p>
        </w:tc>
      </w:tr>
      <w:tr w:rsidR="00FB19C0" w:rsidRPr="00BE78CA" w14:paraId="70CA1892" w14:textId="77777777" w:rsidTr="00C26084">
        <w:tc>
          <w:tcPr>
            <w:tcW w:w="993" w:type="dxa"/>
            <w:tcBorders>
              <w:top w:val="single" w:sz="4" w:space="0" w:color="365F91"/>
              <w:left w:val="nil"/>
              <w:bottom w:val="single" w:sz="4" w:space="0" w:color="365F91"/>
              <w:right w:val="nil"/>
            </w:tcBorders>
            <w:hideMark/>
          </w:tcPr>
          <w:p w14:paraId="0395466D" w14:textId="77777777" w:rsidR="00FB19C0" w:rsidRPr="00BE78CA" w:rsidRDefault="00FB19C0" w:rsidP="00C26084">
            <w:pPr>
              <w:pStyle w:val="TableTextBold"/>
              <w:spacing w:before="50" w:after="40"/>
              <w:rPr>
                <w:noProof w:val="0"/>
              </w:rPr>
            </w:pPr>
            <w:r w:rsidRPr="00BE78CA">
              <w:rPr>
                <w:noProof w:val="0"/>
              </w:rPr>
              <w:t>1995</w:t>
            </w:r>
          </w:p>
        </w:tc>
        <w:tc>
          <w:tcPr>
            <w:tcW w:w="1942" w:type="dxa"/>
            <w:tcBorders>
              <w:top w:val="single" w:sz="4" w:space="0" w:color="365F91"/>
              <w:left w:val="nil"/>
              <w:bottom w:val="single" w:sz="4" w:space="0" w:color="365F91"/>
              <w:right w:val="nil"/>
            </w:tcBorders>
            <w:hideMark/>
          </w:tcPr>
          <w:p w14:paraId="10BB7727" w14:textId="77777777" w:rsidR="00FB19C0" w:rsidRPr="00BE78CA" w:rsidRDefault="00FB19C0" w:rsidP="00C26084">
            <w:pPr>
              <w:pStyle w:val="TableText"/>
              <w:spacing w:before="50" w:after="40"/>
              <w:jc w:val="center"/>
            </w:pPr>
            <w:r w:rsidRPr="00BE78CA">
              <w:t>1,687.5</w:t>
            </w:r>
          </w:p>
        </w:tc>
        <w:tc>
          <w:tcPr>
            <w:tcW w:w="2168" w:type="dxa"/>
            <w:tcBorders>
              <w:top w:val="single" w:sz="4" w:space="0" w:color="365F91"/>
              <w:left w:val="nil"/>
              <w:bottom w:val="single" w:sz="4" w:space="0" w:color="365F91"/>
              <w:right w:val="nil"/>
            </w:tcBorders>
            <w:hideMark/>
          </w:tcPr>
          <w:p w14:paraId="02D6C573" w14:textId="77777777" w:rsidR="00FB19C0" w:rsidRPr="00BE78CA" w:rsidRDefault="00FB19C0" w:rsidP="00C26084">
            <w:pPr>
              <w:pStyle w:val="TableText"/>
              <w:spacing w:before="50" w:after="40"/>
              <w:jc w:val="center"/>
            </w:pPr>
            <w:r w:rsidRPr="00BE78CA">
              <w:t>1,345.2</w:t>
            </w:r>
          </w:p>
        </w:tc>
        <w:tc>
          <w:tcPr>
            <w:tcW w:w="1843" w:type="dxa"/>
            <w:tcBorders>
              <w:top w:val="single" w:sz="4" w:space="0" w:color="365F91"/>
              <w:left w:val="nil"/>
              <w:bottom w:val="single" w:sz="4" w:space="0" w:color="365F91"/>
              <w:right w:val="nil"/>
            </w:tcBorders>
            <w:hideMark/>
          </w:tcPr>
          <w:p w14:paraId="04617BB0" w14:textId="77777777" w:rsidR="00FB19C0" w:rsidRPr="00BE78CA" w:rsidRDefault="00FB19C0" w:rsidP="00C26084">
            <w:pPr>
              <w:pStyle w:val="TableText"/>
              <w:spacing w:before="50" w:after="40"/>
              <w:jc w:val="center"/>
            </w:pPr>
            <w:r w:rsidRPr="00BE78CA">
              <w:t>149.5</w:t>
            </w:r>
          </w:p>
        </w:tc>
        <w:tc>
          <w:tcPr>
            <w:tcW w:w="1559" w:type="dxa"/>
            <w:tcBorders>
              <w:top w:val="single" w:sz="4" w:space="0" w:color="365F91"/>
              <w:left w:val="nil"/>
              <w:bottom w:val="single" w:sz="4" w:space="0" w:color="365F91"/>
              <w:right w:val="nil"/>
            </w:tcBorders>
            <w:hideMark/>
          </w:tcPr>
          <w:p w14:paraId="2AD2B72E" w14:textId="77777777" w:rsidR="00FB19C0" w:rsidRPr="00BE78CA" w:rsidRDefault="00FB19C0" w:rsidP="00C26084">
            <w:pPr>
              <w:pStyle w:val="TableText"/>
              <w:spacing w:before="50" w:after="40"/>
              <w:jc w:val="center"/>
            </w:pPr>
            <w:r w:rsidRPr="00BE78CA">
              <w:t>3,182.1</w:t>
            </w:r>
          </w:p>
        </w:tc>
      </w:tr>
      <w:tr w:rsidR="00FB19C0" w:rsidRPr="00BE78CA" w14:paraId="1887669B" w14:textId="77777777" w:rsidTr="00C26084">
        <w:tc>
          <w:tcPr>
            <w:tcW w:w="993" w:type="dxa"/>
            <w:tcBorders>
              <w:top w:val="single" w:sz="4" w:space="0" w:color="365F91"/>
              <w:left w:val="nil"/>
              <w:bottom w:val="single" w:sz="4" w:space="0" w:color="365F91"/>
              <w:right w:val="nil"/>
            </w:tcBorders>
            <w:hideMark/>
          </w:tcPr>
          <w:p w14:paraId="141D84D4" w14:textId="77777777" w:rsidR="00FB19C0" w:rsidRPr="00BE78CA" w:rsidRDefault="00FB19C0" w:rsidP="00C26084">
            <w:pPr>
              <w:pStyle w:val="TableTextBold"/>
              <w:spacing w:before="50" w:after="40"/>
              <w:rPr>
                <w:noProof w:val="0"/>
              </w:rPr>
            </w:pPr>
            <w:r w:rsidRPr="00BE78CA">
              <w:rPr>
                <w:noProof w:val="0"/>
              </w:rPr>
              <w:t>1996</w:t>
            </w:r>
          </w:p>
        </w:tc>
        <w:tc>
          <w:tcPr>
            <w:tcW w:w="1942" w:type="dxa"/>
            <w:tcBorders>
              <w:top w:val="single" w:sz="4" w:space="0" w:color="365F91"/>
              <w:left w:val="nil"/>
              <w:bottom w:val="single" w:sz="4" w:space="0" w:color="365F91"/>
              <w:right w:val="nil"/>
            </w:tcBorders>
            <w:hideMark/>
          </w:tcPr>
          <w:p w14:paraId="4B7D648C" w14:textId="77777777" w:rsidR="00FB19C0" w:rsidRPr="00BE78CA" w:rsidRDefault="00FB19C0" w:rsidP="00C26084">
            <w:pPr>
              <w:pStyle w:val="TableText"/>
              <w:spacing w:before="50" w:after="40"/>
              <w:jc w:val="center"/>
            </w:pPr>
            <w:r w:rsidRPr="00BE78CA">
              <w:t>1,735.0</w:t>
            </w:r>
          </w:p>
        </w:tc>
        <w:tc>
          <w:tcPr>
            <w:tcW w:w="2168" w:type="dxa"/>
            <w:tcBorders>
              <w:top w:val="single" w:sz="4" w:space="0" w:color="365F91"/>
              <w:left w:val="nil"/>
              <w:bottom w:val="single" w:sz="4" w:space="0" w:color="365F91"/>
              <w:right w:val="nil"/>
            </w:tcBorders>
            <w:hideMark/>
          </w:tcPr>
          <w:p w14:paraId="24873D28" w14:textId="77777777" w:rsidR="00FB19C0" w:rsidRPr="00BE78CA" w:rsidRDefault="00FB19C0" w:rsidP="00C26084">
            <w:pPr>
              <w:pStyle w:val="TableText"/>
              <w:spacing w:before="50" w:after="40"/>
              <w:jc w:val="center"/>
            </w:pPr>
            <w:r w:rsidRPr="00BE78CA">
              <w:t>1,186.0</w:t>
            </w:r>
          </w:p>
        </w:tc>
        <w:tc>
          <w:tcPr>
            <w:tcW w:w="1843" w:type="dxa"/>
            <w:tcBorders>
              <w:top w:val="single" w:sz="4" w:space="0" w:color="365F91"/>
              <w:left w:val="nil"/>
              <w:bottom w:val="single" w:sz="4" w:space="0" w:color="365F91"/>
              <w:right w:val="nil"/>
            </w:tcBorders>
            <w:hideMark/>
          </w:tcPr>
          <w:p w14:paraId="7341E964" w14:textId="77777777" w:rsidR="00FB19C0" w:rsidRPr="00BE78CA" w:rsidRDefault="00FB19C0" w:rsidP="00C26084">
            <w:pPr>
              <w:pStyle w:val="TableText"/>
              <w:spacing w:before="50" w:after="40"/>
              <w:jc w:val="center"/>
            </w:pPr>
            <w:r w:rsidRPr="00BE78CA">
              <w:t>122.1</w:t>
            </w:r>
          </w:p>
        </w:tc>
        <w:tc>
          <w:tcPr>
            <w:tcW w:w="1559" w:type="dxa"/>
            <w:tcBorders>
              <w:top w:val="single" w:sz="4" w:space="0" w:color="365F91"/>
              <w:left w:val="nil"/>
              <w:bottom w:val="single" w:sz="4" w:space="0" w:color="365F91"/>
              <w:right w:val="nil"/>
            </w:tcBorders>
            <w:hideMark/>
          </w:tcPr>
          <w:p w14:paraId="42A39491" w14:textId="77777777" w:rsidR="00FB19C0" w:rsidRPr="00BE78CA" w:rsidRDefault="00FB19C0" w:rsidP="00C26084">
            <w:pPr>
              <w:pStyle w:val="TableText"/>
              <w:spacing w:before="50" w:after="40"/>
              <w:jc w:val="center"/>
            </w:pPr>
            <w:r w:rsidRPr="00BE78CA">
              <w:t>3,043.1</w:t>
            </w:r>
          </w:p>
        </w:tc>
      </w:tr>
      <w:tr w:rsidR="00FB19C0" w:rsidRPr="00BE78CA" w14:paraId="18C70A2D" w14:textId="77777777" w:rsidTr="00C26084">
        <w:tc>
          <w:tcPr>
            <w:tcW w:w="993" w:type="dxa"/>
            <w:tcBorders>
              <w:top w:val="single" w:sz="4" w:space="0" w:color="365F91"/>
              <w:left w:val="nil"/>
              <w:bottom w:val="single" w:sz="4" w:space="0" w:color="365F91"/>
              <w:right w:val="nil"/>
            </w:tcBorders>
            <w:hideMark/>
          </w:tcPr>
          <w:p w14:paraId="1D77F950" w14:textId="77777777" w:rsidR="00FB19C0" w:rsidRPr="00BE78CA" w:rsidRDefault="00FB19C0" w:rsidP="00C26084">
            <w:pPr>
              <w:pStyle w:val="TableTextBold"/>
              <w:spacing w:before="50" w:after="40"/>
              <w:rPr>
                <w:noProof w:val="0"/>
              </w:rPr>
            </w:pPr>
            <w:r w:rsidRPr="00BE78CA">
              <w:rPr>
                <w:noProof w:val="0"/>
              </w:rPr>
              <w:t>1997</w:t>
            </w:r>
          </w:p>
        </w:tc>
        <w:tc>
          <w:tcPr>
            <w:tcW w:w="1942" w:type="dxa"/>
            <w:tcBorders>
              <w:top w:val="single" w:sz="4" w:space="0" w:color="365F91"/>
              <w:left w:val="nil"/>
              <w:bottom w:val="single" w:sz="4" w:space="0" w:color="365F91"/>
              <w:right w:val="nil"/>
            </w:tcBorders>
            <w:hideMark/>
          </w:tcPr>
          <w:p w14:paraId="1EA443F6" w14:textId="77777777" w:rsidR="00FB19C0" w:rsidRPr="00BE78CA" w:rsidRDefault="00FB19C0" w:rsidP="00C26084">
            <w:pPr>
              <w:pStyle w:val="TableText"/>
              <w:spacing w:before="50" w:after="40"/>
              <w:jc w:val="center"/>
            </w:pPr>
            <w:r w:rsidRPr="00BE78CA">
              <w:t>1,671.2</w:t>
            </w:r>
          </w:p>
        </w:tc>
        <w:tc>
          <w:tcPr>
            <w:tcW w:w="2168" w:type="dxa"/>
            <w:tcBorders>
              <w:top w:val="single" w:sz="4" w:space="0" w:color="365F91"/>
              <w:left w:val="nil"/>
              <w:bottom w:val="single" w:sz="4" w:space="0" w:color="365F91"/>
              <w:right w:val="nil"/>
            </w:tcBorders>
            <w:hideMark/>
          </w:tcPr>
          <w:p w14:paraId="1ECFFC4D" w14:textId="77777777" w:rsidR="00FB19C0" w:rsidRPr="00BE78CA" w:rsidRDefault="00FB19C0" w:rsidP="00C26084">
            <w:pPr>
              <w:pStyle w:val="TableText"/>
              <w:spacing w:before="50" w:after="40"/>
              <w:jc w:val="center"/>
            </w:pPr>
            <w:r w:rsidRPr="00BE78CA">
              <w:t>1,126.0</w:t>
            </w:r>
          </w:p>
        </w:tc>
        <w:tc>
          <w:tcPr>
            <w:tcW w:w="1843" w:type="dxa"/>
            <w:tcBorders>
              <w:top w:val="single" w:sz="4" w:space="0" w:color="365F91"/>
              <w:left w:val="nil"/>
              <w:bottom w:val="single" w:sz="4" w:space="0" w:color="365F91"/>
              <w:right w:val="nil"/>
            </w:tcBorders>
            <w:hideMark/>
          </w:tcPr>
          <w:p w14:paraId="2C0ED7D6" w14:textId="77777777" w:rsidR="00FB19C0" w:rsidRPr="00BE78CA" w:rsidRDefault="00FB19C0" w:rsidP="00C26084">
            <w:pPr>
              <w:pStyle w:val="TableText"/>
              <w:spacing w:before="50" w:after="40"/>
              <w:jc w:val="center"/>
            </w:pPr>
            <w:r w:rsidRPr="00BE78CA">
              <w:t>106.8</w:t>
            </w:r>
          </w:p>
        </w:tc>
        <w:tc>
          <w:tcPr>
            <w:tcW w:w="1559" w:type="dxa"/>
            <w:tcBorders>
              <w:top w:val="single" w:sz="4" w:space="0" w:color="365F91"/>
              <w:left w:val="nil"/>
              <w:bottom w:val="single" w:sz="4" w:space="0" w:color="365F91"/>
              <w:right w:val="nil"/>
            </w:tcBorders>
            <w:hideMark/>
          </w:tcPr>
          <w:p w14:paraId="507AF99E" w14:textId="77777777" w:rsidR="00FB19C0" w:rsidRPr="00BE78CA" w:rsidRDefault="00FB19C0" w:rsidP="00C26084">
            <w:pPr>
              <w:pStyle w:val="TableText"/>
              <w:spacing w:before="50" w:after="40"/>
              <w:jc w:val="center"/>
            </w:pPr>
            <w:r w:rsidRPr="00BE78CA">
              <w:t>2,904.1</w:t>
            </w:r>
          </w:p>
        </w:tc>
      </w:tr>
      <w:tr w:rsidR="00FB19C0" w:rsidRPr="00BE78CA" w14:paraId="58FAB6CD" w14:textId="77777777" w:rsidTr="00C26084">
        <w:tc>
          <w:tcPr>
            <w:tcW w:w="993" w:type="dxa"/>
            <w:tcBorders>
              <w:top w:val="single" w:sz="4" w:space="0" w:color="365F91"/>
              <w:left w:val="nil"/>
              <w:bottom w:val="single" w:sz="4" w:space="0" w:color="365F91"/>
              <w:right w:val="nil"/>
            </w:tcBorders>
            <w:hideMark/>
          </w:tcPr>
          <w:p w14:paraId="26DE29C7" w14:textId="77777777" w:rsidR="00FB19C0" w:rsidRPr="00BE78CA" w:rsidRDefault="00FB19C0" w:rsidP="00C26084">
            <w:pPr>
              <w:pStyle w:val="TableTextBold"/>
              <w:spacing w:before="50" w:after="40"/>
              <w:rPr>
                <w:noProof w:val="0"/>
              </w:rPr>
            </w:pPr>
            <w:r w:rsidRPr="00BE78CA">
              <w:rPr>
                <w:noProof w:val="0"/>
              </w:rPr>
              <w:t>1998</w:t>
            </w:r>
          </w:p>
        </w:tc>
        <w:tc>
          <w:tcPr>
            <w:tcW w:w="1942" w:type="dxa"/>
            <w:tcBorders>
              <w:top w:val="single" w:sz="4" w:space="0" w:color="365F91"/>
              <w:left w:val="nil"/>
              <w:bottom w:val="single" w:sz="4" w:space="0" w:color="365F91"/>
              <w:right w:val="nil"/>
            </w:tcBorders>
            <w:hideMark/>
          </w:tcPr>
          <w:p w14:paraId="33F5916F" w14:textId="77777777" w:rsidR="00FB19C0" w:rsidRPr="00BE78CA" w:rsidRDefault="00FB19C0" w:rsidP="00C26084">
            <w:pPr>
              <w:pStyle w:val="TableText"/>
              <w:spacing w:before="50" w:after="40"/>
              <w:jc w:val="center"/>
            </w:pPr>
            <w:r w:rsidRPr="00BE78CA">
              <w:t>1,575.0</w:t>
            </w:r>
          </w:p>
        </w:tc>
        <w:tc>
          <w:tcPr>
            <w:tcW w:w="2168" w:type="dxa"/>
            <w:tcBorders>
              <w:top w:val="single" w:sz="4" w:space="0" w:color="365F91"/>
              <w:left w:val="nil"/>
              <w:bottom w:val="single" w:sz="4" w:space="0" w:color="365F91"/>
              <w:right w:val="nil"/>
            </w:tcBorders>
            <w:hideMark/>
          </w:tcPr>
          <w:p w14:paraId="6ED91681" w14:textId="77777777" w:rsidR="00FB19C0" w:rsidRPr="00BE78CA" w:rsidRDefault="00FB19C0" w:rsidP="00C26084">
            <w:pPr>
              <w:pStyle w:val="TableText"/>
              <w:spacing w:before="50" w:after="40"/>
              <w:jc w:val="center"/>
            </w:pPr>
            <w:r w:rsidRPr="00BE78CA">
              <w:t>1,094.8</w:t>
            </w:r>
          </w:p>
        </w:tc>
        <w:tc>
          <w:tcPr>
            <w:tcW w:w="1843" w:type="dxa"/>
            <w:tcBorders>
              <w:top w:val="single" w:sz="4" w:space="0" w:color="365F91"/>
              <w:left w:val="nil"/>
              <w:bottom w:val="single" w:sz="4" w:space="0" w:color="365F91"/>
              <w:right w:val="nil"/>
            </w:tcBorders>
            <w:hideMark/>
          </w:tcPr>
          <w:p w14:paraId="19414222" w14:textId="77777777" w:rsidR="00FB19C0" w:rsidRPr="00BE78CA" w:rsidRDefault="00FB19C0" w:rsidP="00C26084">
            <w:pPr>
              <w:pStyle w:val="TableText"/>
              <w:spacing w:before="50" w:after="40"/>
              <w:jc w:val="center"/>
            </w:pPr>
            <w:r w:rsidRPr="00BE78CA">
              <w:t>95.2</w:t>
            </w:r>
          </w:p>
        </w:tc>
        <w:tc>
          <w:tcPr>
            <w:tcW w:w="1559" w:type="dxa"/>
            <w:tcBorders>
              <w:top w:val="single" w:sz="4" w:space="0" w:color="365F91"/>
              <w:left w:val="nil"/>
              <w:bottom w:val="single" w:sz="4" w:space="0" w:color="365F91"/>
              <w:right w:val="nil"/>
            </w:tcBorders>
            <w:hideMark/>
          </w:tcPr>
          <w:p w14:paraId="7792E226" w14:textId="77777777" w:rsidR="00FB19C0" w:rsidRPr="00BE78CA" w:rsidRDefault="00FB19C0" w:rsidP="00C26084">
            <w:pPr>
              <w:pStyle w:val="TableText"/>
              <w:spacing w:before="50" w:after="40"/>
              <w:jc w:val="center"/>
            </w:pPr>
            <w:r w:rsidRPr="00BE78CA">
              <w:t>2,765.0</w:t>
            </w:r>
          </w:p>
        </w:tc>
      </w:tr>
      <w:tr w:rsidR="00FB19C0" w:rsidRPr="00BE78CA" w14:paraId="272C28BB" w14:textId="77777777" w:rsidTr="00C26084">
        <w:tc>
          <w:tcPr>
            <w:tcW w:w="993" w:type="dxa"/>
            <w:tcBorders>
              <w:top w:val="single" w:sz="4" w:space="0" w:color="365F91"/>
              <w:left w:val="nil"/>
              <w:bottom w:val="single" w:sz="4" w:space="0" w:color="365F91"/>
              <w:right w:val="nil"/>
            </w:tcBorders>
            <w:hideMark/>
          </w:tcPr>
          <w:p w14:paraId="2543BF00" w14:textId="77777777" w:rsidR="00FB19C0" w:rsidRPr="00BE78CA" w:rsidRDefault="00FB19C0" w:rsidP="00C26084">
            <w:pPr>
              <w:pStyle w:val="TableTextBold"/>
              <w:spacing w:before="50" w:after="40"/>
              <w:rPr>
                <w:noProof w:val="0"/>
              </w:rPr>
            </w:pPr>
            <w:r w:rsidRPr="00BE78CA">
              <w:rPr>
                <w:noProof w:val="0"/>
              </w:rPr>
              <w:t>1999</w:t>
            </w:r>
          </w:p>
        </w:tc>
        <w:tc>
          <w:tcPr>
            <w:tcW w:w="1942" w:type="dxa"/>
            <w:tcBorders>
              <w:top w:val="single" w:sz="4" w:space="0" w:color="365F91"/>
              <w:left w:val="nil"/>
              <w:bottom w:val="single" w:sz="4" w:space="0" w:color="365F91"/>
              <w:right w:val="nil"/>
            </w:tcBorders>
            <w:hideMark/>
          </w:tcPr>
          <w:p w14:paraId="33032563" w14:textId="77777777" w:rsidR="00FB19C0" w:rsidRPr="00BE78CA" w:rsidRDefault="00FB19C0" w:rsidP="00C26084">
            <w:pPr>
              <w:pStyle w:val="TableText"/>
              <w:spacing w:before="50" w:after="40"/>
              <w:jc w:val="center"/>
            </w:pPr>
            <w:r w:rsidRPr="00BE78CA">
              <w:t>1,575.0</w:t>
            </w:r>
          </w:p>
        </w:tc>
        <w:tc>
          <w:tcPr>
            <w:tcW w:w="2168" w:type="dxa"/>
            <w:tcBorders>
              <w:top w:val="single" w:sz="4" w:space="0" w:color="365F91"/>
              <w:left w:val="nil"/>
              <w:bottom w:val="single" w:sz="4" w:space="0" w:color="365F91"/>
              <w:right w:val="nil"/>
            </w:tcBorders>
            <w:hideMark/>
          </w:tcPr>
          <w:p w14:paraId="1ABE1E42" w14:textId="77777777" w:rsidR="00FB19C0" w:rsidRPr="00BE78CA" w:rsidRDefault="00FB19C0" w:rsidP="00C26084">
            <w:pPr>
              <w:pStyle w:val="TableText"/>
              <w:spacing w:before="50" w:after="40"/>
              <w:jc w:val="center"/>
            </w:pPr>
            <w:r w:rsidRPr="00BE78CA">
              <w:t>1,162.3</w:t>
            </w:r>
          </w:p>
        </w:tc>
        <w:tc>
          <w:tcPr>
            <w:tcW w:w="1843" w:type="dxa"/>
            <w:tcBorders>
              <w:top w:val="single" w:sz="4" w:space="0" w:color="365F91"/>
              <w:left w:val="nil"/>
              <w:bottom w:val="single" w:sz="4" w:space="0" w:color="365F91"/>
              <w:right w:val="nil"/>
            </w:tcBorders>
            <w:hideMark/>
          </w:tcPr>
          <w:p w14:paraId="0A9B94E9" w14:textId="77777777" w:rsidR="00FB19C0" w:rsidRPr="00BE78CA" w:rsidRDefault="00FB19C0" w:rsidP="00C26084">
            <w:pPr>
              <w:pStyle w:val="TableText"/>
              <w:spacing w:before="50" w:after="40"/>
              <w:jc w:val="center"/>
            </w:pPr>
            <w:r w:rsidRPr="00BE78CA">
              <w:t>92.0</w:t>
            </w:r>
          </w:p>
        </w:tc>
        <w:tc>
          <w:tcPr>
            <w:tcW w:w="1559" w:type="dxa"/>
            <w:tcBorders>
              <w:top w:val="single" w:sz="4" w:space="0" w:color="365F91"/>
              <w:left w:val="nil"/>
              <w:bottom w:val="single" w:sz="4" w:space="0" w:color="365F91"/>
              <w:right w:val="nil"/>
            </w:tcBorders>
            <w:hideMark/>
          </w:tcPr>
          <w:p w14:paraId="0DAC5456" w14:textId="77777777" w:rsidR="00FB19C0" w:rsidRPr="00BE78CA" w:rsidRDefault="00FB19C0" w:rsidP="00C26084">
            <w:pPr>
              <w:pStyle w:val="TableText"/>
              <w:spacing w:before="50" w:after="40"/>
              <w:jc w:val="center"/>
            </w:pPr>
            <w:r w:rsidRPr="00BE78CA">
              <w:t>2,829.3</w:t>
            </w:r>
          </w:p>
        </w:tc>
      </w:tr>
      <w:tr w:rsidR="00FB19C0" w:rsidRPr="00BE78CA" w14:paraId="3E978119" w14:textId="77777777" w:rsidTr="00C26084">
        <w:tc>
          <w:tcPr>
            <w:tcW w:w="993" w:type="dxa"/>
            <w:tcBorders>
              <w:top w:val="single" w:sz="4" w:space="0" w:color="365F91"/>
              <w:left w:val="nil"/>
              <w:bottom w:val="single" w:sz="4" w:space="0" w:color="365F91"/>
              <w:right w:val="nil"/>
            </w:tcBorders>
            <w:hideMark/>
          </w:tcPr>
          <w:p w14:paraId="64235E54" w14:textId="77777777" w:rsidR="00FB19C0" w:rsidRPr="00BE78CA" w:rsidRDefault="00FB19C0" w:rsidP="00C26084">
            <w:pPr>
              <w:pStyle w:val="TableTextBold"/>
              <w:spacing w:before="50" w:after="40"/>
              <w:rPr>
                <w:noProof w:val="0"/>
              </w:rPr>
            </w:pPr>
            <w:r w:rsidRPr="00BE78CA">
              <w:rPr>
                <w:noProof w:val="0"/>
              </w:rPr>
              <w:t>2000</w:t>
            </w:r>
          </w:p>
        </w:tc>
        <w:tc>
          <w:tcPr>
            <w:tcW w:w="1942" w:type="dxa"/>
            <w:tcBorders>
              <w:top w:val="single" w:sz="4" w:space="0" w:color="365F91"/>
              <w:left w:val="nil"/>
              <w:bottom w:val="single" w:sz="4" w:space="0" w:color="365F91"/>
              <w:right w:val="nil"/>
            </w:tcBorders>
            <w:hideMark/>
          </w:tcPr>
          <w:p w14:paraId="3BE6B8E6" w14:textId="77777777" w:rsidR="00FB19C0" w:rsidRPr="00BE78CA" w:rsidRDefault="00FB19C0" w:rsidP="00C26084">
            <w:pPr>
              <w:pStyle w:val="TableText"/>
              <w:spacing w:before="50" w:after="40"/>
              <w:jc w:val="center"/>
            </w:pPr>
            <w:r w:rsidRPr="00BE78CA">
              <w:t>1,575.0</w:t>
            </w:r>
          </w:p>
        </w:tc>
        <w:tc>
          <w:tcPr>
            <w:tcW w:w="2168" w:type="dxa"/>
            <w:tcBorders>
              <w:top w:val="single" w:sz="4" w:space="0" w:color="365F91"/>
              <w:left w:val="nil"/>
              <w:bottom w:val="single" w:sz="4" w:space="0" w:color="365F91"/>
              <w:right w:val="nil"/>
            </w:tcBorders>
            <w:hideMark/>
          </w:tcPr>
          <w:p w14:paraId="1D50171D" w14:textId="77777777" w:rsidR="00FB19C0" w:rsidRPr="00BE78CA" w:rsidRDefault="00FB19C0" w:rsidP="00C26084">
            <w:pPr>
              <w:pStyle w:val="TableText"/>
              <w:spacing w:before="50" w:after="40"/>
              <w:jc w:val="center"/>
            </w:pPr>
            <w:r w:rsidRPr="00BE78CA">
              <w:t>1,230.6</w:t>
            </w:r>
          </w:p>
        </w:tc>
        <w:tc>
          <w:tcPr>
            <w:tcW w:w="1843" w:type="dxa"/>
            <w:tcBorders>
              <w:top w:val="single" w:sz="4" w:space="0" w:color="365F91"/>
              <w:left w:val="nil"/>
              <w:bottom w:val="single" w:sz="4" w:space="0" w:color="365F91"/>
              <w:right w:val="nil"/>
            </w:tcBorders>
            <w:hideMark/>
          </w:tcPr>
          <w:p w14:paraId="249378EC" w14:textId="77777777" w:rsidR="00FB19C0" w:rsidRPr="00BE78CA" w:rsidRDefault="00FB19C0" w:rsidP="00C26084">
            <w:pPr>
              <w:pStyle w:val="TableText"/>
              <w:spacing w:before="50" w:after="40"/>
              <w:jc w:val="center"/>
            </w:pPr>
            <w:r w:rsidRPr="00BE78CA">
              <w:t>87.9</w:t>
            </w:r>
          </w:p>
        </w:tc>
        <w:tc>
          <w:tcPr>
            <w:tcW w:w="1559" w:type="dxa"/>
            <w:tcBorders>
              <w:top w:val="single" w:sz="4" w:space="0" w:color="365F91"/>
              <w:left w:val="nil"/>
              <w:bottom w:val="single" w:sz="4" w:space="0" w:color="365F91"/>
              <w:right w:val="nil"/>
            </w:tcBorders>
            <w:hideMark/>
          </w:tcPr>
          <w:p w14:paraId="4892B0DA" w14:textId="77777777" w:rsidR="00FB19C0" w:rsidRPr="00BE78CA" w:rsidRDefault="00FB19C0" w:rsidP="00C26084">
            <w:pPr>
              <w:pStyle w:val="TableText"/>
              <w:spacing w:before="50" w:after="40"/>
              <w:jc w:val="center"/>
            </w:pPr>
            <w:r w:rsidRPr="00BE78CA">
              <w:t>2,893.5</w:t>
            </w:r>
          </w:p>
        </w:tc>
      </w:tr>
      <w:tr w:rsidR="00FB19C0" w:rsidRPr="00BE78CA" w14:paraId="396E9EFE" w14:textId="77777777" w:rsidTr="00C26084">
        <w:tc>
          <w:tcPr>
            <w:tcW w:w="993" w:type="dxa"/>
            <w:tcBorders>
              <w:top w:val="single" w:sz="4" w:space="0" w:color="365F91"/>
              <w:left w:val="nil"/>
              <w:bottom w:val="single" w:sz="4" w:space="0" w:color="365F91"/>
              <w:right w:val="nil"/>
            </w:tcBorders>
            <w:hideMark/>
          </w:tcPr>
          <w:p w14:paraId="5540771E" w14:textId="77777777" w:rsidR="00FB19C0" w:rsidRPr="00BE78CA" w:rsidRDefault="00FB19C0" w:rsidP="00C26084">
            <w:pPr>
              <w:pStyle w:val="TableTextBold"/>
              <w:spacing w:before="50" w:after="40"/>
              <w:rPr>
                <w:noProof w:val="0"/>
              </w:rPr>
            </w:pPr>
            <w:r w:rsidRPr="00BE78CA">
              <w:rPr>
                <w:noProof w:val="0"/>
              </w:rPr>
              <w:t>2001</w:t>
            </w:r>
          </w:p>
        </w:tc>
        <w:tc>
          <w:tcPr>
            <w:tcW w:w="1942" w:type="dxa"/>
            <w:tcBorders>
              <w:top w:val="single" w:sz="4" w:space="0" w:color="365F91"/>
              <w:left w:val="nil"/>
              <w:bottom w:val="single" w:sz="4" w:space="0" w:color="365F91"/>
              <w:right w:val="nil"/>
            </w:tcBorders>
            <w:hideMark/>
          </w:tcPr>
          <w:p w14:paraId="2526AE57" w14:textId="77777777" w:rsidR="00FB19C0" w:rsidRPr="00BE78CA" w:rsidRDefault="00FB19C0" w:rsidP="00C26084">
            <w:pPr>
              <w:pStyle w:val="TableText"/>
              <w:spacing w:before="50" w:after="40"/>
              <w:jc w:val="center"/>
            </w:pPr>
            <w:r w:rsidRPr="00BE78CA">
              <w:t>1,718.3</w:t>
            </w:r>
          </w:p>
        </w:tc>
        <w:tc>
          <w:tcPr>
            <w:tcW w:w="2168" w:type="dxa"/>
            <w:tcBorders>
              <w:top w:val="single" w:sz="4" w:space="0" w:color="365F91"/>
              <w:left w:val="nil"/>
              <w:bottom w:val="single" w:sz="4" w:space="0" w:color="365F91"/>
              <w:right w:val="nil"/>
            </w:tcBorders>
            <w:hideMark/>
          </w:tcPr>
          <w:p w14:paraId="57FAFD6C" w14:textId="77777777" w:rsidR="00FB19C0" w:rsidRPr="00BE78CA" w:rsidRDefault="00FB19C0" w:rsidP="00C26084">
            <w:pPr>
              <w:pStyle w:val="TableText"/>
              <w:spacing w:before="50" w:after="40"/>
              <w:jc w:val="center"/>
            </w:pPr>
            <w:r w:rsidRPr="00BE78CA">
              <w:t>1,165.1</w:t>
            </w:r>
          </w:p>
        </w:tc>
        <w:tc>
          <w:tcPr>
            <w:tcW w:w="1843" w:type="dxa"/>
            <w:tcBorders>
              <w:top w:val="single" w:sz="4" w:space="0" w:color="365F91"/>
              <w:left w:val="nil"/>
              <w:bottom w:val="single" w:sz="4" w:space="0" w:color="365F91"/>
              <w:right w:val="nil"/>
            </w:tcBorders>
            <w:hideMark/>
          </w:tcPr>
          <w:p w14:paraId="52D8EC74" w14:textId="77777777" w:rsidR="00FB19C0" w:rsidRPr="00BE78CA" w:rsidRDefault="00FB19C0" w:rsidP="00C26084">
            <w:pPr>
              <w:pStyle w:val="TableText"/>
              <w:spacing w:before="50" w:after="40"/>
              <w:jc w:val="center"/>
            </w:pPr>
            <w:r w:rsidRPr="00BE78CA">
              <w:t>74.4</w:t>
            </w:r>
          </w:p>
        </w:tc>
        <w:tc>
          <w:tcPr>
            <w:tcW w:w="1559" w:type="dxa"/>
            <w:tcBorders>
              <w:top w:val="single" w:sz="4" w:space="0" w:color="365F91"/>
              <w:left w:val="nil"/>
              <w:bottom w:val="single" w:sz="4" w:space="0" w:color="365F91"/>
              <w:right w:val="nil"/>
            </w:tcBorders>
            <w:hideMark/>
          </w:tcPr>
          <w:p w14:paraId="66F3FE46" w14:textId="77777777" w:rsidR="00FB19C0" w:rsidRPr="00BE78CA" w:rsidRDefault="00FB19C0" w:rsidP="00C26084">
            <w:pPr>
              <w:pStyle w:val="TableText"/>
              <w:spacing w:before="50" w:after="40"/>
              <w:jc w:val="center"/>
            </w:pPr>
            <w:r w:rsidRPr="00BE78CA">
              <w:t>2,957.8</w:t>
            </w:r>
          </w:p>
        </w:tc>
      </w:tr>
      <w:tr w:rsidR="00FB19C0" w:rsidRPr="00BE78CA" w14:paraId="671EB789" w14:textId="77777777" w:rsidTr="00C26084">
        <w:tc>
          <w:tcPr>
            <w:tcW w:w="993" w:type="dxa"/>
            <w:tcBorders>
              <w:top w:val="single" w:sz="4" w:space="0" w:color="365F91"/>
              <w:left w:val="nil"/>
              <w:bottom w:val="single" w:sz="4" w:space="0" w:color="365F91"/>
              <w:right w:val="nil"/>
            </w:tcBorders>
            <w:hideMark/>
          </w:tcPr>
          <w:p w14:paraId="63D64EC3" w14:textId="77777777" w:rsidR="00FB19C0" w:rsidRPr="00BE78CA" w:rsidRDefault="00FB19C0" w:rsidP="00C26084">
            <w:pPr>
              <w:pStyle w:val="TableTextBold"/>
              <w:spacing w:before="50" w:after="40"/>
              <w:rPr>
                <w:noProof w:val="0"/>
              </w:rPr>
            </w:pPr>
            <w:r w:rsidRPr="00BE78CA">
              <w:rPr>
                <w:noProof w:val="0"/>
              </w:rPr>
              <w:t>2002</w:t>
            </w:r>
          </w:p>
        </w:tc>
        <w:tc>
          <w:tcPr>
            <w:tcW w:w="1942" w:type="dxa"/>
            <w:tcBorders>
              <w:top w:val="single" w:sz="4" w:space="0" w:color="365F91"/>
              <w:left w:val="nil"/>
              <w:bottom w:val="single" w:sz="4" w:space="0" w:color="365F91"/>
              <w:right w:val="nil"/>
            </w:tcBorders>
            <w:hideMark/>
          </w:tcPr>
          <w:p w14:paraId="2F987C89" w14:textId="77777777" w:rsidR="00FB19C0" w:rsidRPr="00BE78CA" w:rsidRDefault="00FB19C0" w:rsidP="00C26084">
            <w:pPr>
              <w:pStyle w:val="TableText"/>
              <w:spacing w:before="50" w:after="40"/>
              <w:jc w:val="center"/>
            </w:pPr>
            <w:r w:rsidRPr="00BE78CA">
              <w:t>1,714.2</w:t>
            </w:r>
          </w:p>
        </w:tc>
        <w:tc>
          <w:tcPr>
            <w:tcW w:w="2168" w:type="dxa"/>
            <w:tcBorders>
              <w:top w:val="single" w:sz="4" w:space="0" w:color="365F91"/>
              <w:left w:val="nil"/>
              <w:bottom w:val="single" w:sz="4" w:space="0" w:color="365F91"/>
              <w:right w:val="nil"/>
            </w:tcBorders>
            <w:hideMark/>
          </w:tcPr>
          <w:p w14:paraId="07EE6A9D" w14:textId="77777777" w:rsidR="00FB19C0" w:rsidRPr="00BE78CA" w:rsidRDefault="00FB19C0" w:rsidP="00C26084">
            <w:pPr>
              <w:pStyle w:val="TableText"/>
              <w:spacing w:before="50" w:after="40"/>
              <w:jc w:val="center"/>
            </w:pPr>
            <w:r w:rsidRPr="00BE78CA">
              <w:t>1,238.0</w:t>
            </w:r>
          </w:p>
        </w:tc>
        <w:tc>
          <w:tcPr>
            <w:tcW w:w="1843" w:type="dxa"/>
            <w:tcBorders>
              <w:top w:val="single" w:sz="4" w:space="0" w:color="365F91"/>
              <w:left w:val="nil"/>
              <w:bottom w:val="single" w:sz="4" w:space="0" w:color="365F91"/>
              <w:right w:val="nil"/>
            </w:tcBorders>
            <w:hideMark/>
          </w:tcPr>
          <w:p w14:paraId="607CD084" w14:textId="77777777" w:rsidR="00FB19C0" w:rsidRPr="00BE78CA" w:rsidRDefault="00FB19C0" w:rsidP="00C26084">
            <w:pPr>
              <w:pStyle w:val="TableText"/>
              <w:spacing w:before="50" w:after="40"/>
              <w:jc w:val="center"/>
            </w:pPr>
            <w:r w:rsidRPr="00BE78CA">
              <w:t>69.7</w:t>
            </w:r>
          </w:p>
        </w:tc>
        <w:tc>
          <w:tcPr>
            <w:tcW w:w="1559" w:type="dxa"/>
            <w:tcBorders>
              <w:top w:val="single" w:sz="4" w:space="0" w:color="365F91"/>
              <w:left w:val="nil"/>
              <w:bottom w:val="single" w:sz="4" w:space="0" w:color="365F91"/>
              <w:right w:val="nil"/>
            </w:tcBorders>
            <w:hideMark/>
          </w:tcPr>
          <w:p w14:paraId="2F583CBC" w14:textId="77777777" w:rsidR="00FB19C0" w:rsidRPr="00BE78CA" w:rsidRDefault="00FB19C0" w:rsidP="00C26084">
            <w:pPr>
              <w:pStyle w:val="TableText"/>
              <w:spacing w:before="50" w:after="40"/>
              <w:jc w:val="center"/>
            </w:pPr>
            <w:r w:rsidRPr="00BE78CA">
              <w:t>3,022.0</w:t>
            </w:r>
          </w:p>
        </w:tc>
      </w:tr>
      <w:tr w:rsidR="00FB19C0" w:rsidRPr="00BE78CA" w14:paraId="2AFA86D5" w14:textId="77777777" w:rsidTr="00C26084">
        <w:tc>
          <w:tcPr>
            <w:tcW w:w="993" w:type="dxa"/>
            <w:tcBorders>
              <w:top w:val="single" w:sz="4" w:space="0" w:color="365F91"/>
              <w:left w:val="nil"/>
              <w:bottom w:val="single" w:sz="4" w:space="0" w:color="365F91"/>
              <w:right w:val="nil"/>
            </w:tcBorders>
            <w:hideMark/>
          </w:tcPr>
          <w:p w14:paraId="2073E84D" w14:textId="77777777" w:rsidR="00FB19C0" w:rsidRPr="00BE78CA" w:rsidRDefault="00FB19C0" w:rsidP="00C26084">
            <w:pPr>
              <w:pStyle w:val="TableTextBold"/>
              <w:spacing w:before="50" w:after="40"/>
              <w:rPr>
                <w:noProof w:val="0"/>
              </w:rPr>
            </w:pPr>
            <w:r w:rsidRPr="00BE78CA">
              <w:rPr>
                <w:noProof w:val="0"/>
              </w:rPr>
              <w:t>2003</w:t>
            </w:r>
          </w:p>
        </w:tc>
        <w:tc>
          <w:tcPr>
            <w:tcW w:w="1942" w:type="dxa"/>
            <w:tcBorders>
              <w:top w:val="single" w:sz="4" w:space="0" w:color="365F91"/>
              <w:left w:val="nil"/>
              <w:bottom w:val="single" w:sz="4" w:space="0" w:color="365F91"/>
              <w:right w:val="nil"/>
            </w:tcBorders>
            <w:hideMark/>
          </w:tcPr>
          <w:p w14:paraId="19A38A2C" w14:textId="77777777" w:rsidR="00FB19C0" w:rsidRPr="00BE78CA" w:rsidRDefault="00FB19C0" w:rsidP="00C26084">
            <w:pPr>
              <w:pStyle w:val="TableText"/>
              <w:spacing w:before="50" w:after="40"/>
              <w:jc w:val="center"/>
            </w:pPr>
            <w:r w:rsidRPr="00BE78CA">
              <w:t>1,626.8</w:t>
            </w:r>
          </w:p>
        </w:tc>
        <w:tc>
          <w:tcPr>
            <w:tcW w:w="2168" w:type="dxa"/>
            <w:tcBorders>
              <w:top w:val="single" w:sz="4" w:space="0" w:color="365F91"/>
              <w:left w:val="nil"/>
              <w:bottom w:val="single" w:sz="4" w:space="0" w:color="365F91"/>
              <w:right w:val="nil"/>
            </w:tcBorders>
            <w:hideMark/>
          </w:tcPr>
          <w:p w14:paraId="31F8764E" w14:textId="77777777" w:rsidR="00FB19C0" w:rsidRPr="00BE78CA" w:rsidRDefault="00FB19C0" w:rsidP="00C26084">
            <w:pPr>
              <w:pStyle w:val="TableText"/>
              <w:spacing w:before="50" w:after="40"/>
              <w:jc w:val="center"/>
            </w:pPr>
            <w:r w:rsidRPr="00BE78CA">
              <w:t>1,362.0</w:t>
            </w:r>
          </w:p>
        </w:tc>
        <w:tc>
          <w:tcPr>
            <w:tcW w:w="1843" w:type="dxa"/>
            <w:tcBorders>
              <w:top w:val="single" w:sz="4" w:space="0" w:color="365F91"/>
              <w:left w:val="nil"/>
              <w:bottom w:val="single" w:sz="4" w:space="0" w:color="365F91"/>
              <w:right w:val="nil"/>
            </w:tcBorders>
            <w:hideMark/>
          </w:tcPr>
          <w:p w14:paraId="23DF4A48" w14:textId="77777777" w:rsidR="00FB19C0" w:rsidRPr="00BE78CA" w:rsidRDefault="00FB19C0" w:rsidP="00C26084">
            <w:pPr>
              <w:pStyle w:val="TableText"/>
              <w:spacing w:before="50" w:after="40"/>
              <w:jc w:val="center"/>
            </w:pPr>
            <w:r w:rsidRPr="00BE78CA">
              <w:t>66.7</w:t>
            </w:r>
          </w:p>
        </w:tc>
        <w:tc>
          <w:tcPr>
            <w:tcW w:w="1559" w:type="dxa"/>
            <w:tcBorders>
              <w:top w:val="single" w:sz="4" w:space="0" w:color="365F91"/>
              <w:left w:val="nil"/>
              <w:bottom w:val="single" w:sz="4" w:space="0" w:color="365F91"/>
              <w:right w:val="nil"/>
            </w:tcBorders>
            <w:hideMark/>
          </w:tcPr>
          <w:p w14:paraId="48316B9F" w14:textId="77777777" w:rsidR="00FB19C0" w:rsidRPr="00BE78CA" w:rsidRDefault="00FB19C0" w:rsidP="00C26084">
            <w:pPr>
              <w:pStyle w:val="TableText"/>
              <w:spacing w:before="50" w:after="40"/>
              <w:jc w:val="center"/>
            </w:pPr>
            <w:r w:rsidRPr="00BE78CA">
              <w:t>3,055.5</w:t>
            </w:r>
          </w:p>
        </w:tc>
      </w:tr>
      <w:tr w:rsidR="00FB19C0" w:rsidRPr="00BE78CA" w14:paraId="2F4C1765" w14:textId="77777777" w:rsidTr="00C26084">
        <w:tc>
          <w:tcPr>
            <w:tcW w:w="993" w:type="dxa"/>
            <w:tcBorders>
              <w:top w:val="single" w:sz="4" w:space="0" w:color="365F91"/>
              <w:left w:val="nil"/>
              <w:bottom w:val="single" w:sz="4" w:space="0" w:color="365F91"/>
              <w:right w:val="nil"/>
            </w:tcBorders>
            <w:hideMark/>
          </w:tcPr>
          <w:p w14:paraId="68136B93" w14:textId="77777777" w:rsidR="00FB19C0" w:rsidRPr="00BE78CA" w:rsidRDefault="00FB19C0" w:rsidP="00C26084">
            <w:pPr>
              <w:pStyle w:val="TableTextBold"/>
              <w:spacing w:before="50" w:after="40"/>
              <w:rPr>
                <w:noProof w:val="0"/>
              </w:rPr>
            </w:pPr>
            <w:r w:rsidRPr="00BE78CA">
              <w:rPr>
                <w:noProof w:val="0"/>
              </w:rPr>
              <w:t>2004</w:t>
            </w:r>
          </w:p>
        </w:tc>
        <w:tc>
          <w:tcPr>
            <w:tcW w:w="1942" w:type="dxa"/>
            <w:tcBorders>
              <w:top w:val="single" w:sz="4" w:space="0" w:color="365F91"/>
              <w:left w:val="nil"/>
              <w:bottom w:val="single" w:sz="4" w:space="0" w:color="365F91"/>
              <w:right w:val="nil"/>
            </w:tcBorders>
            <w:hideMark/>
          </w:tcPr>
          <w:p w14:paraId="4C12CA35" w14:textId="77777777" w:rsidR="00FB19C0" w:rsidRPr="00BE78CA" w:rsidRDefault="00FB19C0" w:rsidP="00C26084">
            <w:pPr>
              <w:pStyle w:val="TableText"/>
              <w:spacing w:before="50" w:after="40"/>
              <w:jc w:val="center"/>
            </w:pPr>
            <w:r w:rsidRPr="00BE78CA">
              <w:t>1,676.5</w:t>
            </w:r>
          </w:p>
        </w:tc>
        <w:tc>
          <w:tcPr>
            <w:tcW w:w="2168" w:type="dxa"/>
            <w:tcBorders>
              <w:top w:val="single" w:sz="4" w:space="0" w:color="365F91"/>
              <w:left w:val="nil"/>
              <w:bottom w:val="single" w:sz="4" w:space="0" w:color="365F91"/>
              <w:right w:val="nil"/>
            </w:tcBorders>
            <w:hideMark/>
          </w:tcPr>
          <w:p w14:paraId="07E42B00" w14:textId="77777777" w:rsidR="00FB19C0" w:rsidRPr="00BE78CA" w:rsidRDefault="00FB19C0" w:rsidP="00C26084">
            <w:pPr>
              <w:pStyle w:val="TableText"/>
              <w:spacing w:before="50" w:after="40"/>
              <w:jc w:val="center"/>
            </w:pPr>
            <w:r w:rsidRPr="00BE78CA">
              <w:t>1,356.0</w:t>
            </w:r>
          </w:p>
        </w:tc>
        <w:tc>
          <w:tcPr>
            <w:tcW w:w="1843" w:type="dxa"/>
            <w:tcBorders>
              <w:top w:val="single" w:sz="4" w:space="0" w:color="365F91"/>
              <w:left w:val="nil"/>
              <w:bottom w:val="single" w:sz="4" w:space="0" w:color="365F91"/>
              <w:right w:val="nil"/>
            </w:tcBorders>
            <w:hideMark/>
          </w:tcPr>
          <w:p w14:paraId="57524703" w14:textId="77777777" w:rsidR="00FB19C0" w:rsidRPr="00BE78CA" w:rsidRDefault="00FB19C0" w:rsidP="00C26084">
            <w:pPr>
              <w:pStyle w:val="TableText"/>
              <w:spacing w:before="50" w:after="40"/>
              <w:jc w:val="center"/>
            </w:pPr>
            <w:r w:rsidRPr="00BE78CA">
              <w:t>56.5</w:t>
            </w:r>
          </w:p>
        </w:tc>
        <w:tc>
          <w:tcPr>
            <w:tcW w:w="1559" w:type="dxa"/>
            <w:tcBorders>
              <w:top w:val="single" w:sz="4" w:space="0" w:color="365F91"/>
              <w:left w:val="nil"/>
              <w:bottom w:val="single" w:sz="4" w:space="0" w:color="365F91"/>
              <w:right w:val="nil"/>
            </w:tcBorders>
            <w:hideMark/>
          </w:tcPr>
          <w:p w14:paraId="0A7B17C8" w14:textId="77777777" w:rsidR="00FB19C0" w:rsidRPr="00BE78CA" w:rsidRDefault="00FB19C0" w:rsidP="00C26084">
            <w:pPr>
              <w:pStyle w:val="TableText"/>
              <w:spacing w:before="50" w:after="40"/>
              <w:jc w:val="center"/>
            </w:pPr>
            <w:r w:rsidRPr="00BE78CA">
              <w:t>3,089.0</w:t>
            </w:r>
          </w:p>
        </w:tc>
      </w:tr>
      <w:tr w:rsidR="00FB19C0" w:rsidRPr="00BE78CA" w14:paraId="314C3C16" w14:textId="77777777" w:rsidTr="00C26084">
        <w:tc>
          <w:tcPr>
            <w:tcW w:w="993" w:type="dxa"/>
            <w:tcBorders>
              <w:top w:val="single" w:sz="4" w:space="0" w:color="365F91"/>
              <w:left w:val="nil"/>
              <w:bottom w:val="single" w:sz="4" w:space="0" w:color="365F91"/>
              <w:right w:val="nil"/>
            </w:tcBorders>
            <w:hideMark/>
          </w:tcPr>
          <w:p w14:paraId="152A38F6" w14:textId="77777777" w:rsidR="00FB19C0" w:rsidRPr="00BE78CA" w:rsidRDefault="00FB19C0" w:rsidP="00C26084">
            <w:pPr>
              <w:pStyle w:val="TableTextBold"/>
              <w:spacing w:before="50" w:after="40"/>
              <w:rPr>
                <w:noProof w:val="0"/>
              </w:rPr>
            </w:pPr>
            <w:r w:rsidRPr="00BE78CA">
              <w:rPr>
                <w:noProof w:val="0"/>
              </w:rPr>
              <w:t>2005</w:t>
            </w:r>
          </w:p>
        </w:tc>
        <w:tc>
          <w:tcPr>
            <w:tcW w:w="1942" w:type="dxa"/>
            <w:tcBorders>
              <w:top w:val="single" w:sz="4" w:space="0" w:color="365F91"/>
              <w:left w:val="nil"/>
              <w:bottom w:val="single" w:sz="4" w:space="0" w:color="365F91"/>
              <w:right w:val="nil"/>
            </w:tcBorders>
            <w:hideMark/>
          </w:tcPr>
          <w:p w14:paraId="0FD802D9" w14:textId="77777777" w:rsidR="00FB19C0" w:rsidRPr="00BE78CA" w:rsidRDefault="00FB19C0" w:rsidP="00C26084">
            <w:pPr>
              <w:pStyle w:val="TableText"/>
              <w:spacing w:before="50" w:after="40"/>
              <w:jc w:val="center"/>
            </w:pPr>
            <w:r w:rsidRPr="00BE78CA">
              <w:t>1,881.2</w:t>
            </w:r>
          </w:p>
        </w:tc>
        <w:tc>
          <w:tcPr>
            <w:tcW w:w="2168" w:type="dxa"/>
            <w:tcBorders>
              <w:top w:val="single" w:sz="4" w:space="0" w:color="365F91"/>
              <w:left w:val="nil"/>
              <w:bottom w:val="single" w:sz="4" w:space="0" w:color="365F91"/>
              <w:right w:val="nil"/>
            </w:tcBorders>
            <w:hideMark/>
          </w:tcPr>
          <w:p w14:paraId="6CF1EB43" w14:textId="77777777" w:rsidR="00FB19C0" w:rsidRPr="00BE78CA" w:rsidRDefault="00FB19C0" w:rsidP="00C26084">
            <w:pPr>
              <w:pStyle w:val="TableText"/>
              <w:spacing w:before="50" w:after="40"/>
              <w:jc w:val="center"/>
            </w:pPr>
            <w:r w:rsidRPr="00BE78CA">
              <w:t>1,199.9</w:t>
            </w:r>
          </w:p>
        </w:tc>
        <w:tc>
          <w:tcPr>
            <w:tcW w:w="1843" w:type="dxa"/>
            <w:tcBorders>
              <w:top w:val="single" w:sz="4" w:space="0" w:color="365F91"/>
              <w:left w:val="nil"/>
              <w:bottom w:val="single" w:sz="4" w:space="0" w:color="365F91"/>
              <w:right w:val="nil"/>
            </w:tcBorders>
            <w:hideMark/>
          </w:tcPr>
          <w:p w14:paraId="17DB5E88" w14:textId="77777777" w:rsidR="00FB19C0" w:rsidRPr="00BE78CA" w:rsidRDefault="00FB19C0" w:rsidP="00C26084">
            <w:pPr>
              <w:pStyle w:val="TableText"/>
              <w:spacing w:before="50" w:after="40"/>
              <w:jc w:val="center"/>
            </w:pPr>
            <w:r w:rsidRPr="00BE78CA">
              <w:t>41.4</w:t>
            </w:r>
          </w:p>
        </w:tc>
        <w:tc>
          <w:tcPr>
            <w:tcW w:w="1559" w:type="dxa"/>
            <w:tcBorders>
              <w:top w:val="single" w:sz="4" w:space="0" w:color="365F91"/>
              <w:left w:val="nil"/>
              <w:bottom w:val="single" w:sz="4" w:space="0" w:color="365F91"/>
              <w:right w:val="nil"/>
            </w:tcBorders>
            <w:hideMark/>
          </w:tcPr>
          <w:p w14:paraId="55C63E2E" w14:textId="77777777" w:rsidR="00FB19C0" w:rsidRPr="00BE78CA" w:rsidRDefault="00FB19C0" w:rsidP="00C26084">
            <w:pPr>
              <w:pStyle w:val="TableText"/>
              <w:spacing w:before="50" w:after="40"/>
              <w:jc w:val="center"/>
            </w:pPr>
            <w:r w:rsidRPr="00BE78CA">
              <w:t>3,122.5</w:t>
            </w:r>
          </w:p>
        </w:tc>
      </w:tr>
      <w:tr w:rsidR="00FB19C0" w:rsidRPr="00BE78CA" w14:paraId="19107890" w14:textId="77777777" w:rsidTr="00C26084">
        <w:tc>
          <w:tcPr>
            <w:tcW w:w="993" w:type="dxa"/>
            <w:tcBorders>
              <w:top w:val="single" w:sz="4" w:space="0" w:color="365F91"/>
              <w:left w:val="nil"/>
              <w:bottom w:val="single" w:sz="4" w:space="0" w:color="365F91"/>
              <w:right w:val="nil"/>
            </w:tcBorders>
            <w:hideMark/>
          </w:tcPr>
          <w:p w14:paraId="54A9D582" w14:textId="77777777" w:rsidR="00FB19C0" w:rsidRPr="00BE78CA" w:rsidRDefault="00FB19C0" w:rsidP="00C26084">
            <w:pPr>
              <w:pStyle w:val="TableTextBold"/>
              <w:spacing w:before="50" w:after="40"/>
              <w:rPr>
                <w:noProof w:val="0"/>
              </w:rPr>
            </w:pPr>
            <w:r w:rsidRPr="00BE78CA">
              <w:rPr>
                <w:noProof w:val="0"/>
              </w:rPr>
              <w:t>2006</w:t>
            </w:r>
          </w:p>
        </w:tc>
        <w:tc>
          <w:tcPr>
            <w:tcW w:w="1942" w:type="dxa"/>
            <w:tcBorders>
              <w:top w:val="single" w:sz="4" w:space="0" w:color="365F91"/>
              <w:left w:val="nil"/>
              <w:bottom w:val="single" w:sz="4" w:space="0" w:color="365F91"/>
              <w:right w:val="nil"/>
            </w:tcBorders>
            <w:hideMark/>
          </w:tcPr>
          <w:p w14:paraId="1270BAF0" w14:textId="77777777" w:rsidR="00FB19C0" w:rsidRPr="00BE78CA" w:rsidRDefault="00FB19C0" w:rsidP="00C26084">
            <w:pPr>
              <w:pStyle w:val="TableText"/>
              <w:spacing w:before="50" w:after="40"/>
              <w:jc w:val="center"/>
            </w:pPr>
            <w:r w:rsidRPr="00BE78CA">
              <w:t>2,305.4</w:t>
            </w:r>
          </w:p>
        </w:tc>
        <w:tc>
          <w:tcPr>
            <w:tcW w:w="2168" w:type="dxa"/>
            <w:tcBorders>
              <w:top w:val="single" w:sz="4" w:space="0" w:color="365F91"/>
              <w:left w:val="nil"/>
              <w:bottom w:val="single" w:sz="4" w:space="0" w:color="365F91"/>
              <w:right w:val="nil"/>
            </w:tcBorders>
            <w:hideMark/>
          </w:tcPr>
          <w:p w14:paraId="09C05372" w14:textId="77777777" w:rsidR="00FB19C0" w:rsidRPr="00BE78CA" w:rsidRDefault="00FB19C0" w:rsidP="00C26084">
            <w:pPr>
              <w:pStyle w:val="TableText"/>
              <w:spacing w:before="50" w:after="40"/>
              <w:jc w:val="center"/>
            </w:pPr>
            <w:r w:rsidRPr="00BE78CA">
              <w:t>827.9</w:t>
            </w:r>
          </w:p>
        </w:tc>
        <w:tc>
          <w:tcPr>
            <w:tcW w:w="1843" w:type="dxa"/>
            <w:tcBorders>
              <w:top w:val="single" w:sz="4" w:space="0" w:color="365F91"/>
              <w:left w:val="nil"/>
              <w:bottom w:val="single" w:sz="4" w:space="0" w:color="365F91"/>
              <w:right w:val="nil"/>
            </w:tcBorders>
            <w:hideMark/>
          </w:tcPr>
          <w:p w14:paraId="324DF01E" w14:textId="77777777" w:rsidR="00FB19C0" w:rsidRPr="00BE78CA" w:rsidRDefault="00FB19C0" w:rsidP="00C26084">
            <w:pPr>
              <w:pStyle w:val="TableText"/>
              <w:spacing w:before="50" w:after="40"/>
              <w:jc w:val="center"/>
            </w:pPr>
            <w:r w:rsidRPr="00BE78CA">
              <w:t>22.7</w:t>
            </w:r>
          </w:p>
        </w:tc>
        <w:tc>
          <w:tcPr>
            <w:tcW w:w="1559" w:type="dxa"/>
            <w:tcBorders>
              <w:top w:val="single" w:sz="4" w:space="0" w:color="365F91"/>
              <w:left w:val="nil"/>
              <w:bottom w:val="single" w:sz="4" w:space="0" w:color="365F91"/>
              <w:right w:val="nil"/>
            </w:tcBorders>
            <w:hideMark/>
          </w:tcPr>
          <w:p w14:paraId="73016F1C" w14:textId="77777777" w:rsidR="00FB19C0" w:rsidRPr="00BE78CA" w:rsidRDefault="00FB19C0" w:rsidP="00C26084">
            <w:pPr>
              <w:pStyle w:val="TableText"/>
              <w:spacing w:before="50" w:after="40"/>
              <w:jc w:val="center"/>
            </w:pPr>
            <w:r w:rsidRPr="00BE78CA">
              <w:t>3,156.0</w:t>
            </w:r>
          </w:p>
        </w:tc>
      </w:tr>
      <w:tr w:rsidR="00FB19C0" w:rsidRPr="00BE78CA" w14:paraId="0D1AFDF9" w14:textId="77777777" w:rsidTr="00C26084">
        <w:tc>
          <w:tcPr>
            <w:tcW w:w="993" w:type="dxa"/>
            <w:tcBorders>
              <w:top w:val="single" w:sz="4" w:space="0" w:color="365F91"/>
              <w:left w:val="nil"/>
              <w:bottom w:val="single" w:sz="4" w:space="0" w:color="365F91"/>
              <w:right w:val="nil"/>
            </w:tcBorders>
            <w:hideMark/>
          </w:tcPr>
          <w:p w14:paraId="27EDFBAA" w14:textId="77777777" w:rsidR="00FB19C0" w:rsidRPr="00BE78CA" w:rsidRDefault="00FB19C0" w:rsidP="00C26084">
            <w:pPr>
              <w:pStyle w:val="TableTextBold"/>
              <w:spacing w:before="50" w:after="40"/>
              <w:rPr>
                <w:noProof w:val="0"/>
              </w:rPr>
            </w:pPr>
            <w:r w:rsidRPr="00BE78CA">
              <w:rPr>
                <w:noProof w:val="0"/>
              </w:rPr>
              <w:t>2007</w:t>
            </w:r>
          </w:p>
        </w:tc>
        <w:tc>
          <w:tcPr>
            <w:tcW w:w="1942" w:type="dxa"/>
            <w:tcBorders>
              <w:top w:val="single" w:sz="4" w:space="0" w:color="365F91"/>
              <w:left w:val="nil"/>
              <w:bottom w:val="single" w:sz="4" w:space="0" w:color="365F91"/>
              <w:right w:val="nil"/>
            </w:tcBorders>
            <w:hideMark/>
          </w:tcPr>
          <w:p w14:paraId="6FDC69F1" w14:textId="77777777" w:rsidR="00FB19C0" w:rsidRPr="00BE78CA" w:rsidRDefault="00FB19C0" w:rsidP="00C26084">
            <w:pPr>
              <w:pStyle w:val="TableText"/>
              <w:spacing w:before="50" w:after="40"/>
              <w:jc w:val="center"/>
            </w:pPr>
            <w:r w:rsidRPr="00BE78CA">
              <w:t>2,158.8</w:t>
            </w:r>
          </w:p>
        </w:tc>
        <w:tc>
          <w:tcPr>
            <w:tcW w:w="2168" w:type="dxa"/>
            <w:tcBorders>
              <w:top w:val="single" w:sz="4" w:space="0" w:color="365F91"/>
              <w:left w:val="nil"/>
              <w:bottom w:val="single" w:sz="4" w:space="0" w:color="365F91"/>
              <w:right w:val="nil"/>
            </w:tcBorders>
            <w:hideMark/>
          </w:tcPr>
          <w:p w14:paraId="75D943CD" w14:textId="77777777" w:rsidR="00FB19C0" w:rsidRPr="00BE78CA" w:rsidRDefault="00FB19C0" w:rsidP="00C26084">
            <w:pPr>
              <w:pStyle w:val="TableText"/>
              <w:spacing w:before="50" w:after="40"/>
              <w:jc w:val="center"/>
            </w:pPr>
            <w:r w:rsidRPr="00BE78CA">
              <w:t>824.2</w:t>
            </w:r>
          </w:p>
        </w:tc>
        <w:tc>
          <w:tcPr>
            <w:tcW w:w="1843" w:type="dxa"/>
            <w:tcBorders>
              <w:top w:val="single" w:sz="4" w:space="0" w:color="365F91"/>
              <w:left w:val="nil"/>
              <w:bottom w:val="single" w:sz="4" w:space="0" w:color="365F91"/>
              <w:right w:val="nil"/>
            </w:tcBorders>
            <w:hideMark/>
          </w:tcPr>
          <w:p w14:paraId="2B0AF60D" w14:textId="77777777" w:rsidR="00FB19C0" w:rsidRPr="00BE78CA" w:rsidRDefault="00FB19C0" w:rsidP="00C26084">
            <w:pPr>
              <w:pStyle w:val="TableText"/>
              <w:spacing w:before="50" w:after="40"/>
              <w:jc w:val="center"/>
            </w:pPr>
            <w:r w:rsidRPr="00BE78CA">
              <w:t>16.8</w:t>
            </w:r>
          </w:p>
        </w:tc>
        <w:tc>
          <w:tcPr>
            <w:tcW w:w="1559" w:type="dxa"/>
            <w:tcBorders>
              <w:top w:val="single" w:sz="4" w:space="0" w:color="365F91"/>
              <w:left w:val="nil"/>
              <w:bottom w:val="single" w:sz="4" w:space="0" w:color="365F91"/>
              <w:right w:val="nil"/>
            </w:tcBorders>
            <w:hideMark/>
          </w:tcPr>
          <w:p w14:paraId="5E8E1DD3" w14:textId="77777777" w:rsidR="00FB19C0" w:rsidRPr="00BE78CA" w:rsidRDefault="00FB19C0" w:rsidP="00C26084">
            <w:pPr>
              <w:pStyle w:val="TableText"/>
              <w:spacing w:before="50" w:after="40"/>
              <w:jc w:val="center"/>
            </w:pPr>
            <w:r w:rsidRPr="00BE78CA">
              <w:t>2,999.8</w:t>
            </w:r>
          </w:p>
        </w:tc>
      </w:tr>
      <w:tr w:rsidR="00FB19C0" w:rsidRPr="00BE78CA" w14:paraId="7A53464A" w14:textId="77777777" w:rsidTr="00C26084">
        <w:tc>
          <w:tcPr>
            <w:tcW w:w="993" w:type="dxa"/>
            <w:tcBorders>
              <w:top w:val="single" w:sz="4" w:space="0" w:color="365F91"/>
              <w:left w:val="nil"/>
              <w:bottom w:val="single" w:sz="4" w:space="0" w:color="365F91"/>
              <w:right w:val="nil"/>
            </w:tcBorders>
            <w:hideMark/>
          </w:tcPr>
          <w:p w14:paraId="5F8DF686" w14:textId="77777777" w:rsidR="00FB19C0" w:rsidRPr="00BE78CA" w:rsidRDefault="00FB19C0" w:rsidP="00C26084">
            <w:pPr>
              <w:pStyle w:val="TableTextBold"/>
              <w:spacing w:before="50" w:after="40"/>
              <w:rPr>
                <w:noProof w:val="0"/>
              </w:rPr>
            </w:pPr>
            <w:r w:rsidRPr="00BE78CA">
              <w:rPr>
                <w:noProof w:val="0"/>
              </w:rPr>
              <w:t>2008</w:t>
            </w:r>
          </w:p>
        </w:tc>
        <w:tc>
          <w:tcPr>
            <w:tcW w:w="1942" w:type="dxa"/>
            <w:tcBorders>
              <w:top w:val="single" w:sz="4" w:space="0" w:color="365F91"/>
              <w:left w:val="nil"/>
              <w:bottom w:val="single" w:sz="4" w:space="0" w:color="365F91"/>
              <w:right w:val="nil"/>
            </w:tcBorders>
            <w:hideMark/>
          </w:tcPr>
          <w:p w14:paraId="64374DF1" w14:textId="77777777" w:rsidR="00FB19C0" w:rsidRPr="00BE78CA" w:rsidRDefault="00FB19C0" w:rsidP="00C26084">
            <w:pPr>
              <w:pStyle w:val="TableText"/>
              <w:spacing w:before="50" w:after="40"/>
              <w:jc w:val="center"/>
            </w:pPr>
            <w:r w:rsidRPr="00BE78CA">
              <w:t>2,097.4</w:t>
            </w:r>
          </w:p>
        </w:tc>
        <w:tc>
          <w:tcPr>
            <w:tcW w:w="2168" w:type="dxa"/>
            <w:tcBorders>
              <w:top w:val="single" w:sz="4" w:space="0" w:color="365F91"/>
              <w:left w:val="nil"/>
              <w:bottom w:val="single" w:sz="4" w:space="0" w:color="365F91"/>
              <w:right w:val="nil"/>
            </w:tcBorders>
            <w:hideMark/>
          </w:tcPr>
          <w:p w14:paraId="38B5F988" w14:textId="77777777" w:rsidR="00FB19C0" w:rsidRPr="00BE78CA" w:rsidRDefault="00FB19C0" w:rsidP="00C26084">
            <w:pPr>
              <w:pStyle w:val="TableText"/>
              <w:spacing w:before="50" w:after="40"/>
              <w:jc w:val="center"/>
            </w:pPr>
            <w:r w:rsidRPr="00BE78CA">
              <w:t>736.2</w:t>
            </w:r>
          </w:p>
        </w:tc>
        <w:tc>
          <w:tcPr>
            <w:tcW w:w="1843" w:type="dxa"/>
            <w:tcBorders>
              <w:top w:val="single" w:sz="4" w:space="0" w:color="365F91"/>
              <w:left w:val="nil"/>
              <w:bottom w:val="single" w:sz="4" w:space="0" w:color="365F91"/>
              <w:right w:val="nil"/>
            </w:tcBorders>
            <w:hideMark/>
          </w:tcPr>
          <w:p w14:paraId="3832AE39" w14:textId="77777777" w:rsidR="00FB19C0" w:rsidRPr="00BE78CA" w:rsidRDefault="00FB19C0" w:rsidP="00C26084">
            <w:pPr>
              <w:pStyle w:val="TableText"/>
              <w:spacing w:before="50" w:after="40"/>
              <w:jc w:val="center"/>
            </w:pPr>
            <w:r w:rsidRPr="00BE78CA">
              <w:t>9.9</w:t>
            </w:r>
          </w:p>
        </w:tc>
        <w:tc>
          <w:tcPr>
            <w:tcW w:w="1559" w:type="dxa"/>
            <w:tcBorders>
              <w:top w:val="single" w:sz="4" w:space="0" w:color="365F91"/>
              <w:left w:val="nil"/>
              <w:bottom w:val="single" w:sz="4" w:space="0" w:color="365F91"/>
              <w:right w:val="nil"/>
            </w:tcBorders>
            <w:hideMark/>
          </w:tcPr>
          <w:p w14:paraId="0B52960E" w14:textId="77777777" w:rsidR="00FB19C0" w:rsidRPr="00BE78CA" w:rsidRDefault="00FB19C0" w:rsidP="00C26084">
            <w:pPr>
              <w:pStyle w:val="TableText"/>
              <w:spacing w:before="50" w:after="40"/>
              <w:jc w:val="center"/>
            </w:pPr>
            <w:r w:rsidRPr="00BE78CA">
              <w:t>2,843.5</w:t>
            </w:r>
          </w:p>
        </w:tc>
      </w:tr>
      <w:tr w:rsidR="00FB19C0" w:rsidRPr="00BE78CA" w14:paraId="665C5EDF" w14:textId="77777777" w:rsidTr="00C26084">
        <w:tc>
          <w:tcPr>
            <w:tcW w:w="993" w:type="dxa"/>
            <w:tcBorders>
              <w:top w:val="single" w:sz="4" w:space="0" w:color="365F91"/>
              <w:left w:val="nil"/>
              <w:bottom w:val="single" w:sz="4" w:space="0" w:color="365F91"/>
              <w:right w:val="nil"/>
            </w:tcBorders>
            <w:hideMark/>
          </w:tcPr>
          <w:p w14:paraId="67BC6F5B" w14:textId="77777777" w:rsidR="00FB19C0" w:rsidRPr="00BE78CA" w:rsidRDefault="00FB19C0" w:rsidP="00C26084">
            <w:pPr>
              <w:pStyle w:val="TableTextBold"/>
              <w:spacing w:before="50" w:after="40"/>
              <w:rPr>
                <w:noProof w:val="0"/>
              </w:rPr>
            </w:pPr>
            <w:r w:rsidRPr="00BE78CA">
              <w:rPr>
                <w:noProof w:val="0"/>
              </w:rPr>
              <w:t>2009</w:t>
            </w:r>
          </w:p>
        </w:tc>
        <w:tc>
          <w:tcPr>
            <w:tcW w:w="1942" w:type="dxa"/>
            <w:tcBorders>
              <w:top w:val="single" w:sz="4" w:space="0" w:color="365F91"/>
              <w:left w:val="nil"/>
              <w:bottom w:val="single" w:sz="4" w:space="0" w:color="365F91"/>
              <w:right w:val="nil"/>
            </w:tcBorders>
            <w:hideMark/>
          </w:tcPr>
          <w:p w14:paraId="4308D43E" w14:textId="77777777" w:rsidR="00FB19C0" w:rsidRPr="00BE78CA" w:rsidRDefault="00FB19C0" w:rsidP="00C26084">
            <w:pPr>
              <w:pStyle w:val="TableText"/>
              <w:spacing w:before="50" w:after="40"/>
              <w:jc w:val="center"/>
            </w:pPr>
            <w:r w:rsidRPr="00BE78CA">
              <w:t>2,051.7</w:t>
            </w:r>
          </w:p>
        </w:tc>
        <w:tc>
          <w:tcPr>
            <w:tcW w:w="2168" w:type="dxa"/>
            <w:tcBorders>
              <w:top w:val="single" w:sz="4" w:space="0" w:color="365F91"/>
              <w:left w:val="nil"/>
              <w:bottom w:val="single" w:sz="4" w:space="0" w:color="365F91"/>
              <w:right w:val="nil"/>
            </w:tcBorders>
            <w:hideMark/>
          </w:tcPr>
          <w:p w14:paraId="44C334BA" w14:textId="77777777" w:rsidR="00FB19C0" w:rsidRPr="00BE78CA" w:rsidRDefault="00FB19C0" w:rsidP="00C26084">
            <w:pPr>
              <w:pStyle w:val="TableText"/>
              <w:spacing w:before="50" w:after="40"/>
              <w:jc w:val="center"/>
            </w:pPr>
            <w:r w:rsidRPr="00BE78CA">
              <w:t>631.4</w:t>
            </w:r>
          </w:p>
        </w:tc>
        <w:tc>
          <w:tcPr>
            <w:tcW w:w="1843" w:type="dxa"/>
            <w:tcBorders>
              <w:top w:val="single" w:sz="4" w:space="0" w:color="365F91"/>
              <w:left w:val="nil"/>
              <w:bottom w:val="single" w:sz="4" w:space="0" w:color="365F91"/>
              <w:right w:val="nil"/>
            </w:tcBorders>
            <w:hideMark/>
          </w:tcPr>
          <w:p w14:paraId="0FCA941F" w14:textId="77777777" w:rsidR="00FB19C0" w:rsidRPr="00BE78CA" w:rsidRDefault="00FB19C0" w:rsidP="00C26084">
            <w:pPr>
              <w:pStyle w:val="TableText"/>
              <w:spacing w:before="50" w:after="40"/>
              <w:jc w:val="center"/>
            </w:pPr>
            <w:r w:rsidRPr="00BE78CA">
              <w:t>4.2</w:t>
            </w:r>
          </w:p>
        </w:tc>
        <w:tc>
          <w:tcPr>
            <w:tcW w:w="1559" w:type="dxa"/>
            <w:tcBorders>
              <w:top w:val="single" w:sz="4" w:space="0" w:color="365F91"/>
              <w:left w:val="nil"/>
              <w:bottom w:val="single" w:sz="4" w:space="0" w:color="365F91"/>
              <w:right w:val="nil"/>
            </w:tcBorders>
            <w:hideMark/>
          </w:tcPr>
          <w:p w14:paraId="69A126DA" w14:textId="77777777" w:rsidR="00FB19C0" w:rsidRPr="00BE78CA" w:rsidRDefault="00FB19C0" w:rsidP="00C26084">
            <w:pPr>
              <w:pStyle w:val="TableText"/>
              <w:spacing w:before="50" w:after="40"/>
              <w:jc w:val="center"/>
            </w:pPr>
            <w:r w:rsidRPr="00BE78CA">
              <w:t>2,687.3</w:t>
            </w:r>
          </w:p>
        </w:tc>
      </w:tr>
      <w:tr w:rsidR="00FB19C0" w:rsidRPr="00BE78CA" w14:paraId="1403FAAF" w14:textId="77777777" w:rsidTr="00C26084">
        <w:tc>
          <w:tcPr>
            <w:tcW w:w="993" w:type="dxa"/>
            <w:tcBorders>
              <w:top w:val="single" w:sz="4" w:space="0" w:color="365F91"/>
              <w:left w:val="nil"/>
              <w:bottom w:val="single" w:sz="4" w:space="0" w:color="365F91"/>
              <w:right w:val="nil"/>
            </w:tcBorders>
            <w:hideMark/>
          </w:tcPr>
          <w:p w14:paraId="00B07D83" w14:textId="77777777" w:rsidR="00FB19C0" w:rsidRPr="00BE78CA" w:rsidRDefault="00FB19C0" w:rsidP="00C26084">
            <w:pPr>
              <w:pStyle w:val="TableTextBold"/>
              <w:spacing w:before="50" w:after="40"/>
              <w:rPr>
                <w:noProof w:val="0"/>
              </w:rPr>
            </w:pPr>
            <w:r w:rsidRPr="00BE78CA">
              <w:rPr>
                <w:noProof w:val="0"/>
              </w:rPr>
              <w:t>2010</w:t>
            </w:r>
          </w:p>
        </w:tc>
        <w:tc>
          <w:tcPr>
            <w:tcW w:w="1942" w:type="dxa"/>
            <w:tcBorders>
              <w:top w:val="single" w:sz="4" w:space="0" w:color="365F91"/>
              <w:left w:val="nil"/>
              <w:bottom w:val="single" w:sz="4" w:space="0" w:color="365F91"/>
              <w:right w:val="nil"/>
            </w:tcBorders>
            <w:hideMark/>
          </w:tcPr>
          <w:p w14:paraId="0DCBBEAB" w14:textId="77777777" w:rsidR="00FB19C0" w:rsidRPr="00BE78CA" w:rsidRDefault="00FB19C0" w:rsidP="00C26084">
            <w:pPr>
              <w:pStyle w:val="TableText"/>
              <w:spacing w:before="50" w:after="40"/>
              <w:jc w:val="center"/>
            </w:pPr>
            <w:r w:rsidRPr="00BE78CA">
              <w:t>2,286.6</w:t>
            </w:r>
          </w:p>
        </w:tc>
        <w:tc>
          <w:tcPr>
            <w:tcW w:w="2168" w:type="dxa"/>
            <w:tcBorders>
              <w:top w:val="single" w:sz="4" w:space="0" w:color="365F91"/>
              <w:left w:val="nil"/>
              <w:bottom w:val="single" w:sz="4" w:space="0" w:color="365F91"/>
              <w:right w:val="nil"/>
            </w:tcBorders>
            <w:hideMark/>
          </w:tcPr>
          <w:p w14:paraId="5C5E62D0" w14:textId="77777777" w:rsidR="00FB19C0" w:rsidRPr="00BE78CA" w:rsidRDefault="00FB19C0" w:rsidP="00C26084">
            <w:pPr>
              <w:pStyle w:val="TableText"/>
              <w:spacing w:before="50" w:after="40"/>
              <w:jc w:val="center"/>
            </w:pPr>
            <w:r w:rsidRPr="00BE78CA">
              <w:t>224.7</w:t>
            </w:r>
          </w:p>
        </w:tc>
        <w:tc>
          <w:tcPr>
            <w:tcW w:w="1843" w:type="dxa"/>
            <w:tcBorders>
              <w:top w:val="single" w:sz="4" w:space="0" w:color="365F91"/>
              <w:left w:val="nil"/>
              <w:bottom w:val="single" w:sz="4" w:space="0" w:color="365F91"/>
              <w:right w:val="nil"/>
            </w:tcBorders>
            <w:hideMark/>
          </w:tcPr>
          <w:p w14:paraId="2C01AFDA" w14:textId="77777777" w:rsidR="00FB19C0" w:rsidRPr="00BE78CA" w:rsidRDefault="00FB19C0" w:rsidP="00C26084">
            <w:pPr>
              <w:pStyle w:val="TableText"/>
              <w:spacing w:before="50" w:after="40"/>
              <w:jc w:val="center"/>
            </w:pPr>
            <w:r w:rsidRPr="00BE78CA">
              <w:t>NO</w:t>
            </w:r>
          </w:p>
        </w:tc>
        <w:tc>
          <w:tcPr>
            <w:tcW w:w="1559" w:type="dxa"/>
            <w:tcBorders>
              <w:top w:val="single" w:sz="4" w:space="0" w:color="365F91"/>
              <w:left w:val="nil"/>
              <w:bottom w:val="single" w:sz="4" w:space="0" w:color="365F91"/>
              <w:right w:val="nil"/>
            </w:tcBorders>
            <w:hideMark/>
          </w:tcPr>
          <w:p w14:paraId="57C3F7BD" w14:textId="77777777" w:rsidR="00FB19C0" w:rsidRPr="00BE78CA" w:rsidRDefault="00FB19C0" w:rsidP="00C26084">
            <w:pPr>
              <w:pStyle w:val="TableText"/>
              <w:spacing w:before="50" w:after="40"/>
              <w:jc w:val="center"/>
            </w:pPr>
            <w:r w:rsidRPr="00BE78CA">
              <w:t>2,511.3</w:t>
            </w:r>
          </w:p>
        </w:tc>
      </w:tr>
      <w:tr w:rsidR="00FB19C0" w:rsidRPr="00BE78CA" w14:paraId="181F8562" w14:textId="77777777" w:rsidTr="00C26084">
        <w:tc>
          <w:tcPr>
            <w:tcW w:w="993" w:type="dxa"/>
            <w:tcBorders>
              <w:top w:val="single" w:sz="4" w:space="0" w:color="365F91"/>
              <w:left w:val="nil"/>
              <w:bottom w:val="single" w:sz="4" w:space="0" w:color="365F91"/>
              <w:right w:val="nil"/>
            </w:tcBorders>
            <w:hideMark/>
          </w:tcPr>
          <w:p w14:paraId="77B4CA10" w14:textId="77777777" w:rsidR="00FB19C0" w:rsidRPr="00BE78CA" w:rsidRDefault="00FB19C0" w:rsidP="00C26084">
            <w:pPr>
              <w:pStyle w:val="TableTextBold"/>
              <w:spacing w:before="50" w:after="40"/>
              <w:rPr>
                <w:noProof w:val="0"/>
              </w:rPr>
            </w:pPr>
            <w:r w:rsidRPr="00BE78CA">
              <w:rPr>
                <w:noProof w:val="0"/>
              </w:rPr>
              <w:t>2011</w:t>
            </w:r>
          </w:p>
        </w:tc>
        <w:tc>
          <w:tcPr>
            <w:tcW w:w="1942" w:type="dxa"/>
            <w:tcBorders>
              <w:top w:val="single" w:sz="4" w:space="0" w:color="365F91"/>
              <w:left w:val="nil"/>
              <w:bottom w:val="single" w:sz="4" w:space="0" w:color="365F91"/>
              <w:right w:val="nil"/>
            </w:tcBorders>
            <w:hideMark/>
          </w:tcPr>
          <w:p w14:paraId="6DB8B462" w14:textId="77777777" w:rsidR="00FB19C0" w:rsidRPr="00BE78CA" w:rsidRDefault="00FB19C0" w:rsidP="00C26084">
            <w:pPr>
              <w:pStyle w:val="TableText"/>
              <w:spacing w:before="50" w:after="40"/>
              <w:jc w:val="center"/>
            </w:pPr>
            <w:r w:rsidRPr="00BE78CA">
              <w:t>2,249.4</w:t>
            </w:r>
          </w:p>
        </w:tc>
        <w:tc>
          <w:tcPr>
            <w:tcW w:w="2168" w:type="dxa"/>
            <w:tcBorders>
              <w:top w:val="single" w:sz="4" w:space="0" w:color="365F91"/>
              <w:left w:val="nil"/>
              <w:bottom w:val="single" w:sz="4" w:space="0" w:color="365F91"/>
              <w:right w:val="nil"/>
            </w:tcBorders>
            <w:hideMark/>
          </w:tcPr>
          <w:p w14:paraId="61ECF515" w14:textId="77777777" w:rsidR="00FB19C0" w:rsidRPr="00BE78CA" w:rsidRDefault="00FB19C0" w:rsidP="00C26084">
            <w:pPr>
              <w:pStyle w:val="TableText"/>
              <w:spacing w:before="50" w:after="40"/>
              <w:jc w:val="center"/>
            </w:pPr>
            <w:r w:rsidRPr="00BE78CA">
              <w:t>212.2</w:t>
            </w:r>
          </w:p>
        </w:tc>
        <w:tc>
          <w:tcPr>
            <w:tcW w:w="1843" w:type="dxa"/>
            <w:tcBorders>
              <w:top w:val="single" w:sz="4" w:space="0" w:color="365F91"/>
              <w:left w:val="nil"/>
              <w:bottom w:val="single" w:sz="4" w:space="0" w:color="365F91"/>
              <w:right w:val="nil"/>
            </w:tcBorders>
            <w:hideMark/>
          </w:tcPr>
          <w:p w14:paraId="5A830C9B" w14:textId="77777777" w:rsidR="00FB19C0" w:rsidRPr="00BE78CA" w:rsidRDefault="00FB19C0" w:rsidP="00C26084">
            <w:pPr>
              <w:pStyle w:val="TableText"/>
              <w:spacing w:before="50" w:after="40"/>
              <w:jc w:val="center"/>
            </w:pPr>
            <w:r w:rsidRPr="00BE78CA">
              <w:t>NO</w:t>
            </w:r>
          </w:p>
        </w:tc>
        <w:tc>
          <w:tcPr>
            <w:tcW w:w="1559" w:type="dxa"/>
            <w:tcBorders>
              <w:top w:val="single" w:sz="4" w:space="0" w:color="365F91"/>
              <w:left w:val="nil"/>
              <w:bottom w:val="single" w:sz="4" w:space="0" w:color="365F91"/>
              <w:right w:val="nil"/>
            </w:tcBorders>
            <w:hideMark/>
          </w:tcPr>
          <w:p w14:paraId="70877850" w14:textId="77777777" w:rsidR="00FB19C0" w:rsidRPr="00BE78CA" w:rsidRDefault="00FB19C0" w:rsidP="00C26084">
            <w:pPr>
              <w:pStyle w:val="TableText"/>
              <w:spacing w:before="50" w:after="40"/>
              <w:jc w:val="center"/>
            </w:pPr>
            <w:r w:rsidRPr="00BE78CA">
              <w:t>2,461.5</w:t>
            </w:r>
          </w:p>
        </w:tc>
      </w:tr>
      <w:tr w:rsidR="00FB19C0" w:rsidRPr="00BE78CA" w14:paraId="360167F0" w14:textId="77777777" w:rsidTr="00C26084">
        <w:tc>
          <w:tcPr>
            <w:tcW w:w="993" w:type="dxa"/>
            <w:tcBorders>
              <w:top w:val="single" w:sz="4" w:space="0" w:color="365F91"/>
              <w:left w:val="nil"/>
              <w:bottom w:val="single" w:sz="4" w:space="0" w:color="365F91"/>
              <w:right w:val="nil"/>
            </w:tcBorders>
            <w:hideMark/>
          </w:tcPr>
          <w:p w14:paraId="0C4CBEDF" w14:textId="77777777" w:rsidR="00FB19C0" w:rsidRPr="00BE78CA" w:rsidRDefault="00FB19C0" w:rsidP="00C26084">
            <w:pPr>
              <w:pStyle w:val="TableTextBold"/>
              <w:spacing w:before="50" w:after="40"/>
              <w:rPr>
                <w:noProof w:val="0"/>
              </w:rPr>
            </w:pPr>
            <w:r w:rsidRPr="00BE78CA">
              <w:rPr>
                <w:noProof w:val="0"/>
              </w:rPr>
              <w:t>2012</w:t>
            </w:r>
          </w:p>
        </w:tc>
        <w:tc>
          <w:tcPr>
            <w:tcW w:w="1942" w:type="dxa"/>
            <w:tcBorders>
              <w:top w:val="single" w:sz="4" w:space="0" w:color="365F91"/>
              <w:left w:val="nil"/>
              <w:bottom w:val="single" w:sz="4" w:space="0" w:color="365F91"/>
              <w:right w:val="nil"/>
            </w:tcBorders>
            <w:hideMark/>
          </w:tcPr>
          <w:p w14:paraId="77432250" w14:textId="77777777" w:rsidR="00FB19C0" w:rsidRPr="00BE78CA" w:rsidRDefault="00FB19C0" w:rsidP="00C26084">
            <w:pPr>
              <w:pStyle w:val="TableText"/>
              <w:spacing w:before="50" w:after="40"/>
              <w:jc w:val="center"/>
            </w:pPr>
            <w:r w:rsidRPr="00BE78CA">
              <w:t>2,301.7</w:t>
            </w:r>
          </w:p>
        </w:tc>
        <w:tc>
          <w:tcPr>
            <w:tcW w:w="2168" w:type="dxa"/>
            <w:tcBorders>
              <w:top w:val="single" w:sz="4" w:space="0" w:color="365F91"/>
              <w:left w:val="nil"/>
              <w:bottom w:val="single" w:sz="4" w:space="0" w:color="365F91"/>
              <w:right w:val="nil"/>
            </w:tcBorders>
            <w:hideMark/>
          </w:tcPr>
          <w:p w14:paraId="658844D5" w14:textId="77777777" w:rsidR="00FB19C0" w:rsidRPr="00BE78CA" w:rsidRDefault="00FB19C0" w:rsidP="00C26084">
            <w:pPr>
              <w:pStyle w:val="TableText"/>
              <w:spacing w:before="50" w:after="40"/>
              <w:jc w:val="center"/>
            </w:pPr>
            <w:r w:rsidRPr="00BE78CA">
              <w:t>208.9</w:t>
            </w:r>
          </w:p>
        </w:tc>
        <w:tc>
          <w:tcPr>
            <w:tcW w:w="1843" w:type="dxa"/>
            <w:tcBorders>
              <w:top w:val="single" w:sz="4" w:space="0" w:color="365F91"/>
              <w:left w:val="nil"/>
              <w:bottom w:val="single" w:sz="4" w:space="0" w:color="365F91"/>
              <w:right w:val="nil"/>
            </w:tcBorders>
            <w:hideMark/>
          </w:tcPr>
          <w:p w14:paraId="37C57D44" w14:textId="77777777" w:rsidR="00FB19C0" w:rsidRPr="00BE78CA" w:rsidRDefault="00FB19C0" w:rsidP="00C26084">
            <w:pPr>
              <w:pStyle w:val="TableText"/>
              <w:spacing w:before="50" w:after="40"/>
              <w:jc w:val="center"/>
            </w:pPr>
            <w:r w:rsidRPr="00BE78CA">
              <w:t>NO</w:t>
            </w:r>
          </w:p>
        </w:tc>
        <w:tc>
          <w:tcPr>
            <w:tcW w:w="1559" w:type="dxa"/>
            <w:tcBorders>
              <w:top w:val="single" w:sz="4" w:space="0" w:color="365F91"/>
              <w:left w:val="nil"/>
              <w:bottom w:val="single" w:sz="4" w:space="0" w:color="365F91"/>
              <w:right w:val="nil"/>
            </w:tcBorders>
            <w:hideMark/>
          </w:tcPr>
          <w:p w14:paraId="2E636409" w14:textId="77777777" w:rsidR="00FB19C0" w:rsidRPr="00BE78CA" w:rsidRDefault="00FB19C0" w:rsidP="00C26084">
            <w:pPr>
              <w:pStyle w:val="TableText"/>
              <w:spacing w:before="50" w:after="40"/>
              <w:jc w:val="center"/>
            </w:pPr>
            <w:r w:rsidRPr="00BE78CA">
              <w:t>2,510.7</w:t>
            </w:r>
          </w:p>
        </w:tc>
      </w:tr>
      <w:tr w:rsidR="00FB19C0" w:rsidRPr="00BE78CA" w14:paraId="32E009EE" w14:textId="77777777" w:rsidTr="00C26084">
        <w:tc>
          <w:tcPr>
            <w:tcW w:w="993" w:type="dxa"/>
            <w:tcBorders>
              <w:top w:val="single" w:sz="4" w:space="0" w:color="365F91"/>
              <w:left w:val="nil"/>
              <w:bottom w:val="single" w:sz="4" w:space="0" w:color="365F91"/>
              <w:right w:val="nil"/>
            </w:tcBorders>
            <w:hideMark/>
          </w:tcPr>
          <w:p w14:paraId="6EFD44A4" w14:textId="77777777" w:rsidR="00FB19C0" w:rsidRPr="00BE78CA" w:rsidRDefault="00FB19C0" w:rsidP="00C26084">
            <w:pPr>
              <w:pStyle w:val="TableTextBold"/>
              <w:spacing w:before="50" w:after="40"/>
              <w:rPr>
                <w:noProof w:val="0"/>
              </w:rPr>
            </w:pPr>
            <w:r w:rsidRPr="00BE78CA">
              <w:rPr>
                <w:noProof w:val="0"/>
              </w:rPr>
              <w:t>2013</w:t>
            </w:r>
          </w:p>
        </w:tc>
        <w:tc>
          <w:tcPr>
            <w:tcW w:w="1942" w:type="dxa"/>
            <w:tcBorders>
              <w:top w:val="single" w:sz="4" w:space="0" w:color="365F91"/>
              <w:left w:val="nil"/>
              <w:bottom w:val="single" w:sz="4" w:space="0" w:color="365F91"/>
              <w:right w:val="nil"/>
            </w:tcBorders>
            <w:hideMark/>
          </w:tcPr>
          <w:p w14:paraId="053F3B59" w14:textId="77777777" w:rsidR="00FB19C0" w:rsidRPr="00BE78CA" w:rsidRDefault="00FB19C0" w:rsidP="00C26084">
            <w:pPr>
              <w:pStyle w:val="TableText"/>
              <w:spacing w:before="50" w:after="40"/>
              <w:jc w:val="center"/>
            </w:pPr>
            <w:r w:rsidRPr="00BE78CA">
              <w:t>2,492.4</w:t>
            </w:r>
          </w:p>
        </w:tc>
        <w:tc>
          <w:tcPr>
            <w:tcW w:w="2168" w:type="dxa"/>
            <w:tcBorders>
              <w:top w:val="single" w:sz="4" w:space="0" w:color="365F91"/>
              <w:left w:val="nil"/>
              <w:bottom w:val="single" w:sz="4" w:space="0" w:color="365F91"/>
              <w:right w:val="nil"/>
            </w:tcBorders>
            <w:hideMark/>
          </w:tcPr>
          <w:p w14:paraId="65D46ADE" w14:textId="77777777" w:rsidR="00FB19C0" w:rsidRPr="00BE78CA" w:rsidRDefault="00FB19C0" w:rsidP="00C26084">
            <w:pPr>
              <w:pStyle w:val="TableText"/>
              <w:spacing w:before="50" w:after="40"/>
              <w:jc w:val="center"/>
            </w:pPr>
            <w:r w:rsidRPr="00BE78CA">
              <w:t>192.0</w:t>
            </w:r>
          </w:p>
        </w:tc>
        <w:tc>
          <w:tcPr>
            <w:tcW w:w="1843" w:type="dxa"/>
            <w:tcBorders>
              <w:top w:val="single" w:sz="4" w:space="0" w:color="365F91"/>
              <w:left w:val="nil"/>
              <w:bottom w:val="single" w:sz="4" w:space="0" w:color="365F91"/>
              <w:right w:val="nil"/>
            </w:tcBorders>
            <w:hideMark/>
          </w:tcPr>
          <w:p w14:paraId="2114C6EE" w14:textId="77777777" w:rsidR="00FB19C0" w:rsidRPr="00BE78CA" w:rsidRDefault="00FB19C0" w:rsidP="00C26084">
            <w:pPr>
              <w:pStyle w:val="TableText"/>
              <w:spacing w:before="50" w:after="40"/>
              <w:jc w:val="center"/>
            </w:pPr>
            <w:r w:rsidRPr="00BE78CA">
              <w:t>NO</w:t>
            </w:r>
          </w:p>
        </w:tc>
        <w:tc>
          <w:tcPr>
            <w:tcW w:w="1559" w:type="dxa"/>
            <w:tcBorders>
              <w:top w:val="single" w:sz="4" w:space="0" w:color="365F91"/>
              <w:left w:val="nil"/>
              <w:bottom w:val="single" w:sz="4" w:space="0" w:color="365F91"/>
              <w:right w:val="nil"/>
            </w:tcBorders>
            <w:hideMark/>
          </w:tcPr>
          <w:p w14:paraId="35204ABD" w14:textId="77777777" w:rsidR="00FB19C0" w:rsidRPr="00BE78CA" w:rsidRDefault="00FB19C0" w:rsidP="00C26084">
            <w:pPr>
              <w:pStyle w:val="TableText"/>
              <w:spacing w:before="50" w:after="40"/>
              <w:jc w:val="center"/>
            </w:pPr>
            <w:r w:rsidRPr="00BE78CA">
              <w:t>2,684.4</w:t>
            </w:r>
          </w:p>
        </w:tc>
      </w:tr>
      <w:tr w:rsidR="00FB19C0" w:rsidRPr="00BE78CA" w14:paraId="640AA952" w14:textId="77777777" w:rsidTr="00C26084">
        <w:tc>
          <w:tcPr>
            <w:tcW w:w="993" w:type="dxa"/>
            <w:tcBorders>
              <w:top w:val="single" w:sz="4" w:space="0" w:color="365F91"/>
              <w:left w:val="nil"/>
              <w:bottom w:val="single" w:sz="4" w:space="0" w:color="365F91"/>
              <w:right w:val="nil"/>
            </w:tcBorders>
            <w:hideMark/>
          </w:tcPr>
          <w:p w14:paraId="57E9BE0F" w14:textId="77777777" w:rsidR="00FB19C0" w:rsidRPr="00BE78CA" w:rsidRDefault="00FB19C0" w:rsidP="00C26084">
            <w:pPr>
              <w:pStyle w:val="TableTextBold"/>
              <w:spacing w:before="50" w:after="40"/>
              <w:rPr>
                <w:noProof w:val="0"/>
              </w:rPr>
            </w:pPr>
            <w:r w:rsidRPr="00BE78CA">
              <w:rPr>
                <w:noProof w:val="0"/>
              </w:rPr>
              <w:lastRenderedPageBreak/>
              <w:t>2014</w:t>
            </w:r>
          </w:p>
        </w:tc>
        <w:tc>
          <w:tcPr>
            <w:tcW w:w="1942" w:type="dxa"/>
            <w:tcBorders>
              <w:top w:val="single" w:sz="4" w:space="0" w:color="365F91"/>
              <w:left w:val="nil"/>
              <w:bottom w:val="single" w:sz="4" w:space="0" w:color="365F91"/>
              <w:right w:val="nil"/>
            </w:tcBorders>
            <w:hideMark/>
          </w:tcPr>
          <w:p w14:paraId="3D2D340B" w14:textId="77777777" w:rsidR="00FB19C0" w:rsidRPr="00BE78CA" w:rsidRDefault="00FB19C0" w:rsidP="00C26084">
            <w:pPr>
              <w:pStyle w:val="TableText"/>
              <w:spacing w:before="50" w:after="40"/>
              <w:jc w:val="center"/>
            </w:pPr>
            <w:r w:rsidRPr="00BE78CA">
              <w:t>2,740.6</w:t>
            </w:r>
          </w:p>
        </w:tc>
        <w:tc>
          <w:tcPr>
            <w:tcW w:w="2168" w:type="dxa"/>
            <w:tcBorders>
              <w:top w:val="single" w:sz="4" w:space="0" w:color="365F91"/>
              <w:left w:val="nil"/>
              <w:bottom w:val="single" w:sz="4" w:space="0" w:color="365F91"/>
              <w:right w:val="nil"/>
            </w:tcBorders>
            <w:hideMark/>
          </w:tcPr>
          <w:p w14:paraId="0A3267BC" w14:textId="77777777" w:rsidR="00FB19C0" w:rsidRPr="00BE78CA" w:rsidRDefault="00FB19C0" w:rsidP="00C26084">
            <w:pPr>
              <w:pStyle w:val="TableText"/>
              <w:spacing w:before="50" w:after="40"/>
              <w:jc w:val="center"/>
            </w:pPr>
            <w:r w:rsidRPr="00BE78CA">
              <w:t>190.6</w:t>
            </w:r>
          </w:p>
        </w:tc>
        <w:tc>
          <w:tcPr>
            <w:tcW w:w="1843" w:type="dxa"/>
            <w:tcBorders>
              <w:top w:val="single" w:sz="4" w:space="0" w:color="365F91"/>
              <w:left w:val="nil"/>
              <w:bottom w:val="single" w:sz="4" w:space="0" w:color="365F91"/>
              <w:right w:val="nil"/>
            </w:tcBorders>
            <w:hideMark/>
          </w:tcPr>
          <w:p w14:paraId="4AC253B0" w14:textId="77777777" w:rsidR="00FB19C0" w:rsidRPr="00BE78CA" w:rsidRDefault="00FB19C0" w:rsidP="00C26084">
            <w:pPr>
              <w:pStyle w:val="TableText"/>
              <w:spacing w:before="50" w:after="40"/>
              <w:jc w:val="center"/>
            </w:pPr>
            <w:r w:rsidRPr="00BE78CA">
              <w:t>NO</w:t>
            </w:r>
          </w:p>
        </w:tc>
        <w:tc>
          <w:tcPr>
            <w:tcW w:w="1559" w:type="dxa"/>
            <w:tcBorders>
              <w:top w:val="single" w:sz="4" w:space="0" w:color="365F91"/>
              <w:left w:val="nil"/>
              <w:bottom w:val="single" w:sz="4" w:space="0" w:color="365F91"/>
              <w:right w:val="nil"/>
            </w:tcBorders>
            <w:hideMark/>
          </w:tcPr>
          <w:p w14:paraId="1C117037" w14:textId="77777777" w:rsidR="00FB19C0" w:rsidRPr="00BE78CA" w:rsidRDefault="00FB19C0" w:rsidP="00C26084">
            <w:pPr>
              <w:pStyle w:val="TableText"/>
              <w:spacing w:before="50" w:after="40"/>
              <w:jc w:val="center"/>
            </w:pPr>
            <w:r w:rsidRPr="00BE78CA">
              <w:t>2,931.2</w:t>
            </w:r>
          </w:p>
        </w:tc>
      </w:tr>
      <w:tr w:rsidR="00FB19C0" w:rsidRPr="00BE78CA" w14:paraId="2D57C3E5" w14:textId="77777777" w:rsidTr="00C26084">
        <w:tc>
          <w:tcPr>
            <w:tcW w:w="993" w:type="dxa"/>
            <w:tcBorders>
              <w:top w:val="single" w:sz="4" w:space="0" w:color="365F91"/>
              <w:left w:val="nil"/>
              <w:bottom w:val="single" w:sz="4" w:space="0" w:color="365F91"/>
              <w:right w:val="nil"/>
            </w:tcBorders>
            <w:hideMark/>
          </w:tcPr>
          <w:p w14:paraId="080EA99A" w14:textId="77777777" w:rsidR="00FB19C0" w:rsidRPr="00BE78CA" w:rsidRDefault="00FB19C0" w:rsidP="00C26084">
            <w:pPr>
              <w:pStyle w:val="TableTextBold"/>
              <w:spacing w:before="50" w:after="40"/>
              <w:rPr>
                <w:noProof w:val="0"/>
              </w:rPr>
            </w:pPr>
            <w:r w:rsidRPr="00BE78CA">
              <w:rPr>
                <w:noProof w:val="0"/>
              </w:rPr>
              <w:t>2015</w:t>
            </w:r>
          </w:p>
        </w:tc>
        <w:tc>
          <w:tcPr>
            <w:tcW w:w="1942" w:type="dxa"/>
            <w:tcBorders>
              <w:top w:val="single" w:sz="4" w:space="0" w:color="365F91"/>
              <w:left w:val="nil"/>
              <w:bottom w:val="single" w:sz="4" w:space="0" w:color="365F91"/>
              <w:right w:val="nil"/>
            </w:tcBorders>
            <w:hideMark/>
          </w:tcPr>
          <w:p w14:paraId="358D2142" w14:textId="77777777" w:rsidR="00FB19C0" w:rsidRPr="00BE78CA" w:rsidRDefault="00FB19C0" w:rsidP="00C26084">
            <w:pPr>
              <w:pStyle w:val="TableText"/>
              <w:spacing w:before="50" w:after="40"/>
              <w:jc w:val="center"/>
            </w:pPr>
            <w:r w:rsidRPr="00BE78CA">
              <w:t>3,002.4</w:t>
            </w:r>
          </w:p>
        </w:tc>
        <w:tc>
          <w:tcPr>
            <w:tcW w:w="2168" w:type="dxa"/>
            <w:tcBorders>
              <w:top w:val="single" w:sz="4" w:space="0" w:color="365F91"/>
              <w:left w:val="nil"/>
              <w:bottom w:val="single" w:sz="4" w:space="0" w:color="365F91"/>
              <w:right w:val="nil"/>
            </w:tcBorders>
            <w:hideMark/>
          </w:tcPr>
          <w:p w14:paraId="0241B02E" w14:textId="77777777" w:rsidR="00FB19C0" w:rsidRPr="00BE78CA" w:rsidRDefault="00FB19C0" w:rsidP="00C26084">
            <w:pPr>
              <w:pStyle w:val="TableText"/>
              <w:spacing w:before="50" w:after="40"/>
              <w:jc w:val="center"/>
            </w:pPr>
            <w:r w:rsidRPr="00BE78CA">
              <w:t>205.9</w:t>
            </w:r>
          </w:p>
        </w:tc>
        <w:tc>
          <w:tcPr>
            <w:tcW w:w="1843" w:type="dxa"/>
            <w:tcBorders>
              <w:top w:val="single" w:sz="4" w:space="0" w:color="365F91"/>
              <w:left w:val="nil"/>
              <w:bottom w:val="single" w:sz="4" w:space="0" w:color="365F91"/>
              <w:right w:val="nil"/>
            </w:tcBorders>
            <w:hideMark/>
          </w:tcPr>
          <w:p w14:paraId="2D1087F7" w14:textId="77777777" w:rsidR="00FB19C0" w:rsidRPr="00BE78CA" w:rsidRDefault="00FB19C0" w:rsidP="00C26084">
            <w:pPr>
              <w:pStyle w:val="TableText"/>
              <w:spacing w:before="50" w:after="40"/>
              <w:jc w:val="center"/>
            </w:pPr>
            <w:r w:rsidRPr="00BE78CA">
              <w:t>NO</w:t>
            </w:r>
          </w:p>
        </w:tc>
        <w:tc>
          <w:tcPr>
            <w:tcW w:w="1559" w:type="dxa"/>
            <w:tcBorders>
              <w:top w:val="single" w:sz="4" w:space="0" w:color="365F91"/>
              <w:left w:val="nil"/>
              <w:bottom w:val="single" w:sz="4" w:space="0" w:color="365F91"/>
              <w:right w:val="nil"/>
            </w:tcBorders>
            <w:hideMark/>
          </w:tcPr>
          <w:p w14:paraId="6E3CCB7F" w14:textId="77777777" w:rsidR="00FB19C0" w:rsidRPr="00BE78CA" w:rsidRDefault="00FB19C0" w:rsidP="00C26084">
            <w:pPr>
              <w:pStyle w:val="TableText"/>
              <w:spacing w:before="50" w:after="40"/>
              <w:jc w:val="center"/>
            </w:pPr>
            <w:r w:rsidRPr="00BE78CA">
              <w:t>3,208.4</w:t>
            </w:r>
          </w:p>
        </w:tc>
      </w:tr>
      <w:tr w:rsidR="00FB19C0" w:rsidRPr="00BE78CA" w14:paraId="7A3AEB8A" w14:textId="77777777" w:rsidTr="00C26084">
        <w:tc>
          <w:tcPr>
            <w:tcW w:w="993" w:type="dxa"/>
            <w:tcBorders>
              <w:top w:val="single" w:sz="4" w:space="0" w:color="365F91"/>
              <w:left w:val="nil"/>
              <w:bottom w:val="single" w:sz="4" w:space="0" w:color="365F91"/>
              <w:right w:val="nil"/>
            </w:tcBorders>
            <w:hideMark/>
          </w:tcPr>
          <w:p w14:paraId="1B02EC4E" w14:textId="77777777" w:rsidR="00FB19C0" w:rsidRPr="00BE78CA" w:rsidRDefault="00FB19C0" w:rsidP="00C26084">
            <w:pPr>
              <w:pStyle w:val="TableTextBold"/>
              <w:spacing w:before="50" w:after="40"/>
              <w:rPr>
                <w:noProof w:val="0"/>
              </w:rPr>
            </w:pPr>
            <w:r w:rsidRPr="00BE78CA">
              <w:rPr>
                <w:noProof w:val="0"/>
              </w:rPr>
              <w:t>2016</w:t>
            </w:r>
          </w:p>
        </w:tc>
        <w:tc>
          <w:tcPr>
            <w:tcW w:w="1942" w:type="dxa"/>
            <w:tcBorders>
              <w:top w:val="single" w:sz="4" w:space="0" w:color="365F91"/>
              <w:left w:val="nil"/>
              <w:bottom w:val="single" w:sz="4" w:space="0" w:color="365F91"/>
              <w:right w:val="nil"/>
            </w:tcBorders>
            <w:hideMark/>
          </w:tcPr>
          <w:p w14:paraId="5A302415" w14:textId="77777777" w:rsidR="00FB19C0" w:rsidRPr="00BE78CA" w:rsidRDefault="00FB19C0" w:rsidP="00C26084">
            <w:pPr>
              <w:pStyle w:val="TableText"/>
              <w:spacing w:before="50" w:after="40"/>
              <w:jc w:val="center"/>
            </w:pPr>
            <w:r w:rsidRPr="00BE78CA">
              <w:t>3,188.2</w:t>
            </w:r>
          </w:p>
        </w:tc>
        <w:tc>
          <w:tcPr>
            <w:tcW w:w="2168" w:type="dxa"/>
            <w:tcBorders>
              <w:top w:val="single" w:sz="4" w:space="0" w:color="365F91"/>
              <w:left w:val="nil"/>
              <w:bottom w:val="single" w:sz="4" w:space="0" w:color="365F91"/>
              <w:right w:val="nil"/>
            </w:tcBorders>
            <w:hideMark/>
          </w:tcPr>
          <w:p w14:paraId="03E518DE" w14:textId="77777777" w:rsidR="00FB19C0" w:rsidRPr="00BE78CA" w:rsidRDefault="00FB19C0" w:rsidP="00C26084">
            <w:pPr>
              <w:pStyle w:val="TableText"/>
              <w:spacing w:before="50" w:after="40"/>
              <w:jc w:val="center"/>
            </w:pPr>
            <w:r w:rsidRPr="00BE78CA">
              <w:t>217.6</w:t>
            </w:r>
          </w:p>
        </w:tc>
        <w:tc>
          <w:tcPr>
            <w:tcW w:w="1843" w:type="dxa"/>
            <w:tcBorders>
              <w:top w:val="single" w:sz="4" w:space="0" w:color="365F91"/>
              <w:left w:val="nil"/>
              <w:bottom w:val="single" w:sz="4" w:space="0" w:color="365F91"/>
              <w:right w:val="nil"/>
            </w:tcBorders>
            <w:hideMark/>
          </w:tcPr>
          <w:p w14:paraId="06F7AAF5" w14:textId="77777777" w:rsidR="00FB19C0" w:rsidRPr="00BE78CA" w:rsidRDefault="00FB19C0" w:rsidP="00C26084">
            <w:pPr>
              <w:pStyle w:val="TableText"/>
              <w:spacing w:before="50" w:after="40"/>
              <w:jc w:val="center"/>
            </w:pPr>
            <w:r w:rsidRPr="00BE78CA">
              <w:t>NO</w:t>
            </w:r>
          </w:p>
        </w:tc>
        <w:tc>
          <w:tcPr>
            <w:tcW w:w="1559" w:type="dxa"/>
            <w:tcBorders>
              <w:top w:val="single" w:sz="4" w:space="0" w:color="365F91"/>
              <w:left w:val="nil"/>
              <w:bottom w:val="single" w:sz="4" w:space="0" w:color="365F91"/>
              <w:right w:val="nil"/>
            </w:tcBorders>
            <w:hideMark/>
          </w:tcPr>
          <w:p w14:paraId="66663638" w14:textId="77777777" w:rsidR="00FB19C0" w:rsidRPr="00BE78CA" w:rsidRDefault="00FB19C0" w:rsidP="00C26084">
            <w:pPr>
              <w:pStyle w:val="TableText"/>
              <w:spacing w:before="50" w:after="40"/>
              <w:jc w:val="center"/>
            </w:pPr>
            <w:r w:rsidRPr="00BE78CA">
              <w:t>3,405.8</w:t>
            </w:r>
          </w:p>
        </w:tc>
      </w:tr>
      <w:tr w:rsidR="00FB19C0" w:rsidRPr="00BE78CA" w14:paraId="5D226FDE" w14:textId="77777777" w:rsidTr="00C26084">
        <w:tc>
          <w:tcPr>
            <w:tcW w:w="993" w:type="dxa"/>
            <w:tcBorders>
              <w:top w:val="single" w:sz="4" w:space="0" w:color="365F91"/>
              <w:left w:val="nil"/>
              <w:bottom w:val="single" w:sz="4" w:space="0" w:color="365F91"/>
              <w:right w:val="nil"/>
            </w:tcBorders>
            <w:hideMark/>
          </w:tcPr>
          <w:p w14:paraId="416B0E3C" w14:textId="77777777" w:rsidR="00FB19C0" w:rsidRPr="00BE78CA" w:rsidRDefault="00FB19C0" w:rsidP="00C26084">
            <w:pPr>
              <w:pStyle w:val="TableTextBold"/>
              <w:spacing w:before="50" w:after="40"/>
              <w:rPr>
                <w:noProof w:val="0"/>
              </w:rPr>
            </w:pPr>
            <w:r w:rsidRPr="00BE78CA">
              <w:rPr>
                <w:noProof w:val="0"/>
              </w:rPr>
              <w:t>2017</w:t>
            </w:r>
          </w:p>
        </w:tc>
        <w:tc>
          <w:tcPr>
            <w:tcW w:w="1942" w:type="dxa"/>
            <w:tcBorders>
              <w:top w:val="single" w:sz="4" w:space="0" w:color="365F91"/>
              <w:left w:val="nil"/>
              <w:bottom w:val="single" w:sz="4" w:space="0" w:color="365F91"/>
              <w:right w:val="nil"/>
            </w:tcBorders>
            <w:hideMark/>
          </w:tcPr>
          <w:p w14:paraId="430DEC70" w14:textId="77777777" w:rsidR="00FB19C0" w:rsidRPr="00BE78CA" w:rsidRDefault="00FB19C0" w:rsidP="00C26084">
            <w:pPr>
              <w:pStyle w:val="TableText"/>
              <w:spacing w:before="50" w:after="40"/>
              <w:jc w:val="center"/>
            </w:pPr>
            <w:r w:rsidRPr="00BE78CA">
              <w:t>3,300.1</w:t>
            </w:r>
          </w:p>
        </w:tc>
        <w:tc>
          <w:tcPr>
            <w:tcW w:w="2168" w:type="dxa"/>
            <w:tcBorders>
              <w:top w:val="single" w:sz="4" w:space="0" w:color="365F91"/>
              <w:left w:val="nil"/>
              <w:bottom w:val="single" w:sz="4" w:space="0" w:color="365F91"/>
              <w:right w:val="nil"/>
            </w:tcBorders>
            <w:hideMark/>
          </w:tcPr>
          <w:p w14:paraId="083459F6" w14:textId="77777777" w:rsidR="00FB19C0" w:rsidRPr="00BE78CA" w:rsidRDefault="00FB19C0" w:rsidP="00C26084">
            <w:pPr>
              <w:pStyle w:val="TableText"/>
              <w:spacing w:before="50" w:after="40"/>
              <w:jc w:val="center"/>
            </w:pPr>
            <w:r w:rsidRPr="00BE78CA">
              <w:t>194.6</w:t>
            </w:r>
          </w:p>
        </w:tc>
        <w:tc>
          <w:tcPr>
            <w:tcW w:w="1843" w:type="dxa"/>
            <w:tcBorders>
              <w:top w:val="single" w:sz="4" w:space="0" w:color="365F91"/>
              <w:left w:val="nil"/>
              <w:bottom w:val="single" w:sz="4" w:space="0" w:color="365F91"/>
              <w:right w:val="nil"/>
            </w:tcBorders>
            <w:hideMark/>
          </w:tcPr>
          <w:p w14:paraId="5B6BDA9A" w14:textId="77777777" w:rsidR="00FB19C0" w:rsidRPr="00BE78CA" w:rsidRDefault="00FB19C0" w:rsidP="00C26084">
            <w:pPr>
              <w:pStyle w:val="TableText"/>
              <w:spacing w:before="50" w:after="40"/>
              <w:jc w:val="center"/>
            </w:pPr>
            <w:r w:rsidRPr="00BE78CA">
              <w:t>NO</w:t>
            </w:r>
          </w:p>
        </w:tc>
        <w:tc>
          <w:tcPr>
            <w:tcW w:w="1559" w:type="dxa"/>
            <w:tcBorders>
              <w:top w:val="single" w:sz="4" w:space="0" w:color="365F91"/>
              <w:left w:val="nil"/>
              <w:bottom w:val="single" w:sz="4" w:space="0" w:color="365F91"/>
              <w:right w:val="nil"/>
            </w:tcBorders>
            <w:hideMark/>
          </w:tcPr>
          <w:p w14:paraId="53AE348A" w14:textId="77777777" w:rsidR="00FB19C0" w:rsidRPr="00BE78CA" w:rsidRDefault="00FB19C0" w:rsidP="00C26084">
            <w:pPr>
              <w:pStyle w:val="TableText"/>
              <w:spacing w:before="50" w:after="40"/>
              <w:jc w:val="center"/>
            </w:pPr>
            <w:r w:rsidRPr="00BE78CA">
              <w:t>3,494.7</w:t>
            </w:r>
          </w:p>
        </w:tc>
      </w:tr>
      <w:tr w:rsidR="00FB19C0" w:rsidRPr="00BE78CA" w14:paraId="407DEB98" w14:textId="77777777" w:rsidTr="00C26084">
        <w:tc>
          <w:tcPr>
            <w:tcW w:w="993" w:type="dxa"/>
            <w:tcBorders>
              <w:top w:val="single" w:sz="4" w:space="0" w:color="365F91"/>
              <w:left w:val="nil"/>
              <w:bottom w:val="single" w:sz="4" w:space="0" w:color="365F91"/>
              <w:right w:val="nil"/>
            </w:tcBorders>
            <w:hideMark/>
          </w:tcPr>
          <w:p w14:paraId="0D2A7A68" w14:textId="77777777" w:rsidR="00FB19C0" w:rsidRPr="00BE78CA" w:rsidRDefault="00FB19C0" w:rsidP="00C26084">
            <w:pPr>
              <w:pStyle w:val="TableTextBold"/>
              <w:spacing w:before="50" w:after="40"/>
              <w:rPr>
                <w:noProof w:val="0"/>
              </w:rPr>
            </w:pPr>
            <w:r w:rsidRPr="00BE78CA">
              <w:rPr>
                <w:noProof w:val="0"/>
              </w:rPr>
              <w:t>2018</w:t>
            </w:r>
          </w:p>
        </w:tc>
        <w:tc>
          <w:tcPr>
            <w:tcW w:w="1942" w:type="dxa"/>
            <w:tcBorders>
              <w:top w:val="single" w:sz="4" w:space="0" w:color="365F91"/>
              <w:left w:val="nil"/>
              <w:bottom w:val="single" w:sz="4" w:space="0" w:color="365F91"/>
              <w:right w:val="nil"/>
            </w:tcBorders>
            <w:hideMark/>
          </w:tcPr>
          <w:p w14:paraId="31A6AAB2" w14:textId="77777777" w:rsidR="00FB19C0" w:rsidRPr="00BE78CA" w:rsidRDefault="00FB19C0" w:rsidP="00C26084">
            <w:pPr>
              <w:pStyle w:val="TableText"/>
              <w:spacing w:before="50" w:after="40"/>
              <w:jc w:val="center"/>
            </w:pPr>
            <w:r w:rsidRPr="00BE78CA">
              <w:t>3,557.0</w:t>
            </w:r>
          </w:p>
        </w:tc>
        <w:tc>
          <w:tcPr>
            <w:tcW w:w="2168" w:type="dxa"/>
            <w:tcBorders>
              <w:top w:val="single" w:sz="4" w:space="0" w:color="365F91"/>
              <w:left w:val="nil"/>
              <w:bottom w:val="single" w:sz="4" w:space="0" w:color="365F91"/>
              <w:right w:val="nil"/>
            </w:tcBorders>
            <w:hideMark/>
          </w:tcPr>
          <w:p w14:paraId="61EF2A01" w14:textId="77777777" w:rsidR="00FB19C0" w:rsidRPr="00BE78CA" w:rsidRDefault="00FB19C0" w:rsidP="00C26084">
            <w:pPr>
              <w:pStyle w:val="TableText"/>
              <w:spacing w:before="50" w:after="40"/>
              <w:jc w:val="center"/>
            </w:pPr>
            <w:r w:rsidRPr="00BE78CA">
              <w:t>148.7</w:t>
            </w:r>
          </w:p>
        </w:tc>
        <w:tc>
          <w:tcPr>
            <w:tcW w:w="1843" w:type="dxa"/>
            <w:tcBorders>
              <w:top w:val="single" w:sz="4" w:space="0" w:color="365F91"/>
              <w:left w:val="nil"/>
              <w:bottom w:val="single" w:sz="4" w:space="0" w:color="365F91"/>
              <w:right w:val="nil"/>
            </w:tcBorders>
            <w:hideMark/>
          </w:tcPr>
          <w:p w14:paraId="2F2B632C" w14:textId="77777777" w:rsidR="00FB19C0" w:rsidRPr="00BE78CA" w:rsidRDefault="00FB19C0" w:rsidP="00C26084">
            <w:pPr>
              <w:pStyle w:val="TableText"/>
              <w:spacing w:before="50" w:after="40"/>
              <w:jc w:val="center"/>
            </w:pPr>
            <w:r w:rsidRPr="00BE78CA">
              <w:t>NO</w:t>
            </w:r>
          </w:p>
        </w:tc>
        <w:tc>
          <w:tcPr>
            <w:tcW w:w="1559" w:type="dxa"/>
            <w:tcBorders>
              <w:top w:val="single" w:sz="4" w:space="0" w:color="365F91"/>
              <w:left w:val="nil"/>
              <w:bottom w:val="single" w:sz="4" w:space="0" w:color="365F91"/>
              <w:right w:val="nil"/>
            </w:tcBorders>
            <w:hideMark/>
          </w:tcPr>
          <w:p w14:paraId="2E885DA9" w14:textId="77777777" w:rsidR="00FB19C0" w:rsidRPr="00BE78CA" w:rsidRDefault="00FB19C0" w:rsidP="00C26084">
            <w:pPr>
              <w:pStyle w:val="TableText"/>
              <w:spacing w:before="50" w:after="40"/>
              <w:jc w:val="center"/>
            </w:pPr>
            <w:r w:rsidRPr="00BE78CA">
              <w:t>3,705.7</w:t>
            </w:r>
          </w:p>
        </w:tc>
      </w:tr>
      <w:tr w:rsidR="00FB19C0" w:rsidRPr="00BE78CA" w14:paraId="47DD1E0B" w14:textId="77777777" w:rsidTr="00C26084">
        <w:tc>
          <w:tcPr>
            <w:tcW w:w="993" w:type="dxa"/>
            <w:tcBorders>
              <w:top w:val="single" w:sz="4" w:space="0" w:color="365F91"/>
              <w:left w:val="nil"/>
              <w:bottom w:val="single" w:sz="4" w:space="0" w:color="365F91"/>
              <w:right w:val="nil"/>
            </w:tcBorders>
          </w:tcPr>
          <w:p w14:paraId="39C3FFD5" w14:textId="77777777" w:rsidR="00FB19C0" w:rsidRPr="00BE78CA" w:rsidRDefault="00FB19C0" w:rsidP="00C26084">
            <w:pPr>
              <w:pStyle w:val="TableTextBold"/>
              <w:spacing w:before="50" w:after="40"/>
              <w:rPr>
                <w:noProof w:val="0"/>
              </w:rPr>
            </w:pPr>
            <w:r w:rsidRPr="00BE78CA">
              <w:rPr>
                <w:noProof w:val="0"/>
              </w:rPr>
              <w:t>2019</w:t>
            </w:r>
          </w:p>
        </w:tc>
        <w:tc>
          <w:tcPr>
            <w:tcW w:w="1942" w:type="dxa"/>
            <w:tcBorders>
              <w:top w:val="single" w:sz="4" w:space="0" w:color="365F91"/>
              <w:left w:val="nil"/>
              <w:bottom w:val="single" w:sz="4" w:space="0" w:color="365F91"/>
              <w:right w:val="nil"/>
            </w:tcBorders>
          </w:tcPr>
          <w:p w14:paraId="2F3A7183" w14:textId="77777777" w:rsidR="00FB19C0" w:rsidRPr="00BE78CA" w:rsidRDefault="00FB19C0" w:rsidP="00C26084">
            <w:pPr>
              <w:pStyle w:val="TableText"/>
              <w:spacing w:before="50" w:after="40"/>
              <w:jc w:val="center"/>
            </w:pPr>
            <w:r w:rsidRPr="00BE78CA">
              <w:t>3,350.1</w:t>
            </w:r>
          </w:p>
        </w:tc>
        <w:tc>
          <w:tcPr>
            <w:tcW w:w="2168" w:type="dxa"/>
            <w:tcBorders>
              <w:top w:val="single" w:sz="4" w:space="0" w:color="365F91"/>
              <w:left w:val="nil"/>
              <w:bottom w:val="single" w:sz="4" w:space="0" w:color="365F91"/>
              <w:right w:val="nil"/>
            </w:tcBorders>
          </w:tcPr>
          <w:p w14:paraId="70216DFA" w14:textId="77777777" w:rsidR="00FB19C0" w:rsidRPr="00BE78CA" w:rsidRDefault="00FB19C0" w:rsidP="00C26084">
            <w:pPr>
              <w:pStyle w:val="TableText"/>
              <w:spacing w:before="50" w:after="40"/>
              <w:jc w:val="center"/>
            </w:pPr>
            <w:r w:rsidRPr="00BE78CA">
              <w:t>278.5</w:t>
            </w:r>
          </w:p>
        </w:tc>
        <w:tc>
          <w:tcPr>
            <w:tcW w:w="1843" w:type="dxa"/>
            <w:tcBorders>
              <w:top w:val="single" w:sz="4" w:space="0" w:color="365F91"/>
              <w:left w:val="nil"/>
              <w:bottom w:val="single" w:sz="4" w:space="0" w:color="365F91"/>
              <w:right w:val="nil"/>
            </w:tcBorders>
          </w:tcPr>
          <w:p w14:paraId="4D850349" w14:textId="77777777" w:rsidR="00FB19C0" w:rsidRPr="00BE78CA" w:rsidRDefault="00FB19C0" w:rsidP="00C26084">
            <w:pPr>
              <w:pStyle w:val="TableText"/>
              <w:spacing w:before="50" w:after="40"/>
              <w:jc w:val="center"/>
            </w:pPr>
            <w:r w:rsidRPr="00BE78CA">
              <w:t>NO</w:t>
            </w:r>
          </w:p>
        </w:tc>
        <w:tc>
          <w:tcPr>
            <w:tcW w:w="1559" w:type="dxa"/>
            <w:tcBorders>
              <w:top w:val="single" w:sz="4" w:space="0" w:color="365F91"/>
              <w:left w:val="nil"/>
              <w:bottom w:val="single" w:sz="4" w:space="0" w:color="365F91"/>
              <w:right w:val="nil"/>
            </w:tcBorders>
          </w:tcPr>
          <w:p w14:paraId="02DBDDEA" w14:textId="77777777" w:rsidR="00FB19C0" w:rsidRPr="00BE78CA" w:rsidRDefault="00FB19C0" w:rsidP="00C26084">
            <w:pPr>
              <w:pStyle w:val="TableText"/>
              <w:spacing w:before="50" w:after="40"/>
              <w:jc w:val="center"/>
            </w:pPr>
            <w:r w:rsidRPr="00BE78CA">
              <w:t>3,628.6</w:t>
            </w:r>
          </w:p>
        </w:tc>
      </w:tr>
    </w:tbl>
    <w:bookmarkEnd w:id="2888"/>
    <w:p w14:paraId="08D66325" w14:textId="77777777" w:rsidR="00FB19C0" w:rsidRPr="00BE78CA" w:rsidRDefault="00FB19C0" w:rsidP="00FB19C0">
      <w:pPr>
        <w:pStyle w:val="Noteundertable"/>
      </w:pPr>
      <w:r w:rsidRPr="00BE78CA">
        <w:rPr>
          <w:b/>
        </w:rPr>
        <w:t>Note:</w:t>
      </w:r>
      <w:r w:rsidRPr="00BE78CA">
        <w:t xml:space="preserve"> </w:t>
      </w:r>
      <w:r w:rsidRPr="00BE78CA">
        <w:tab/>
        <w:t>LFG = landfill gas, NO = not occurring. Columns may not total due to rounding.</w:t>
      </w:r>
    </w:p>
    <w:p w14:paraId="23A63013" w14:textId="77777777" w:rsidR="00FB19C0" w:rsidRPr="00BE78CA" w:rsidRDefault="00FB19C0" w:rsidP="00FB19C0">
      <w:pPr>
        <w:pStyle w:val="Heading5"/>
      </w:pPr>
      <w:r w:rsidRPr="00BE78CA">
        <w:t>Non-municipal landfills and farm fills (5.A.2)</w:t>
      </w:r>
    </w:p>
    <w:p w14:paraId="398F1422" w14:textId="77777777" w:rsidR="00FB19C0" w:rsidRPr="00BE78CA" w:rsidRDefault="00FB19C0" w:rsidP="00FB19C0">
      <w:pPr>
        <w:pStyle w:val="BodyText"/>
      </w:pPr>
      <w:r w:rsidRPr="00BE78CA">
        <w:t>Non-municipal landfills are significant landfill sites that do not accept household waste. These include cleanfills (sites disposing of largely inert waste), industrial fills and sites that dispose of construction and demolition waste. The available information on historical and current disposal rates to non-municipal landfills is derived from direct contact with landfill operators and from regional councils, which regulate these activities under the Resource Management Act 1991. There are substantial gaps, which were filled by correlating waste quantities with regional GDP (Tonkin and Taylor Ltd, unpublished(b)). Waste quantities are determined for each region and then combined to provide a national total (Tonkin and Taylor Ltd, unpublished(b)).</w:t>
      </w:r>
    </w:p>
    <w:p w14:paraId="41041DEA" w14:textId="77777777" w:rsidR="00FB19C0" w:rsidRPr="00BE78CA" w:rsidRDefault="00FB19C0" w:rsidP="00FB19C0">
      <w:pPr>
        <w:pStyle w:val="BodyText"/>
      </w:pPr>
      <w:r w:rsidRPr="00BE78CA">
        <w:t>Farm fills are used to dispose of various types of farming waste, such as scrap metal, timber used for fencing, plastic wraps and ties, batteries and demolition waste. Farmers also use them to dispose of organic and general household waste.</w:t>
      </w:r>
    </w:p>
    <w:p w14:paraId="55FC7160" w14:textId="77777777" w:rsidR="00FB19C0" w:rsidRPr="00BE78CA" w:rsidRDefault="00FB19C0" w:rsidP="00FB19C0">
      <w:pPr>
        <w:pStyle w:val="BodyText"/>
        <w:rPr>
          <w:spacing w:val="-2"/>
        </w:rPr>
      </w:pPr>
      <w:r w:rsidRPr="00BE78CA">
        <w:rPr>
          <w:spacing w:val="-2"/>
        </w:rPr>
        <w:t xml:space="preserve">The information used to estimate activity data and emissions from farm fills has come from surveys carried out in the Canterbury region in 2012 and 2013, and the Waikato and Bay of Plenty regions in 2014 (GHD, 2013, 2014; Tonkin and Taylor Ltd, unpublished(b)). The results from these surveys are extrapolated to the rest of the country based on the number of farms in each region for each year. Farming practices regarding farm fill sites are similar around the country, so the extrapolation is unlikely to introduce a systematic bias. However, the sample size is small in relation to the number of farms in New Zealand, and the overall volume of farm waste is based strictly on the number of farms and does not account for changing farm sizes over time, noting that the number of farms has decreased since the 1990s. </w:t>
      </w:r>
    </w:p>
    <w:p w14:paraId="509641C5" w14:textId="77777777" w:rsidR="00FB19C0" w:rsidRPr="00BE78CA" w:rsidRDefault="00FB19C0" w:rsidP="00FB19C0">
      <w:pPr>
        <w:pStyle w:val="BodyText"/>
      </w:pPr>
      <w:r w:rsidRPr="00BE78CA">
        <w:t>Waste quantities were averaged for the farm types surveyed: dairy, livestock, arable, viticulture and other horticulture. These survey results have been applied regionally and then combined to provide a national total, with adjustments to account for the differences in the prevalence of these five farm types across all regions (Tonkin and Taylor Ltd, unpublished(b)).</w:t>
      </w:r>
    </w:p>
    <w:p w14:paraId="2F6610DD" w14:textId="77777777" w:rsidR="00FB19C0" w:rsidRPr="00BE78CA" w:rsidRDefault="00FB19C0" w:rsidP="00FB19C0">
      <w:pPr>
        <w:pStyle w:val="BodyText"/>
      </w:pPr>
      <w:r w:rsidRPr="00BE78CA">
        <w:t xml:space="preserve">A change introduced in the 2021 submission is that the methods of disposal of farm waste are evenly split between disposal to land in farm fills and disposal by open burning, at 47 per cent each (noting that 6 per cent is disposed in other ways). Previous submissions assumed that open burning was only about 2 per cent of the farm waste, because Tonkin and Taylor Ltd (unpublished(b)) reported that “the majority of wastes were buried”. However, open burning is a common practice in New Zealand, in part evidenced by the dozens of complaints received by regional councils each year about potential issues with open burning. Further, GHD (2014) states “the surveys team felt that burning was the most prevalent practice, with virtually every farm having a burn pile, or some form of brazier” and GHD (2013) states “other wood waste was invariably burnt”. Wood wastes make up a large proportion of methane emissions from farm fills, so it is appropriate to account for farm waste, including wood that is burned instead </w:t>
      </w:r>
      <w:r w:rsidRPr="00BE78CA">
        <w:lastRenderedPageBreak/>
        <w:t>of buried. Taking a balanced approach, this submission has assumed an even split in the absence of better information. Further research will be required to improve the understanding of the disposal methods for farm waste.</w:t>
      </w:r>
    </w:p>
    <w:p w14:paraId="79A1B025" w14:textId="77777777" w:rsidR="00FB19C0" w:rsidRPr="00BE78CA" w:rsidRDefault="00FB19C0" w:rsidP="00FB19C0">
      <w:pPr>
        <w:pStyle w:val="BodyText"/>
      </w:pPr>
      <w:r w:rsidRPr="00BE78CA">
        <w:t xml:space="preserve">Table 7.2.4 </w:t>
      </w:r>
      <w:r w:rsidRPr="00BE78CA">
        <w:rPr>
          <w:spacing w:val="-2"/>
        </w:rPr>
        <w:t>shows waste placement for farm fills only (not including open burning or other disposal methods) and non-municipal landfills from the beginning of the model in 1950 to 2019.</w:t>
      </w:r>
    </w:p>
    <w:p w14:paraId="4AEF6EAE" w14:textId="77777777" w:rsidR="00FB19C0" w:rsidRPr="00BE78CA" w:rsidRDefault="00FB19C0" w:rsidP="00FB19C0">
      <w:pPr>
        <w:pStyle w:val="Table"/>
      </w:pPr>
      <w:bookmarkStart w:id="2889" w:name="_Toc5269563"/>
      <w:bookmarkStart w:id="2890" w:name="_Toc511116822"/>
      <w:bookmarkStart w:id="2891" w:name="_Toc508019324"/>
      <w:bookmarkStart w:id="2892" w:name="_Toc32828521"/>
      <w:bookmarkStart w:id="2893" w:name="_Toc32591351"/>
      <w:bookmarkStart w:id="2894" w:name="_Toc36224644"/>
      <w:bookmarkStart w:id="2895" w:name="_Toc68786531"/>
      <w:r w:rsidRPr="00BE78CA">
        <w:t xml:space="preserve">Table 7.2.4 </w:t>
      </w:r>
      <w:r w:rsidRPr="00BE78CA">
        <w:tab/>
        <w:t>Solid waste deposited to unmanaged landfills from 1950 to </w:t>
      </w:r>
      <w:bookmarkEnd w:id="2889"/>
      <w:bookmarkEnd w:id="2890"/>
      <w:bookmarkEnd w:id="2891"/>
      <w:r w:rsidRPr="00BE78CA">
        <w:t>2019</w:t>
      </w:r>
      <w:bookmarkEnd w:id="2892"/>
      <w:bookmarkEnd w:id="2893"/>
      <w:bookmarkEnd w:id="2894"/>
      <w:bookmarkEnd w:id="2895"/>
    </w:p>
    <w:tbl>
      <w:tblPr>
        <w:tblW w:w="8448" w:type="dxa"/>
        <w:tblInd w:w="57" w:type="dxa"/>
        <w:tblLook w:val="04A0" w:firstRow="1" w:lastRow="0" w:firstColumn="1" w:lastColumn="0" w:noHBand="0" w:noVBand="1"/>
      </w:tblPr>
      <w:tblGrid>
        <w:gridCol w:w="1073"/>
        <w:gridCol w:w="2456"/>
        <w:gridCol w:w="2459"/>
        <w:gridCol w:w="2460"/>
      </w:tblGrid>
      <w:tr w:rsidR="00FB19C0" w:rsidRPr="00BE78CA" w14:paraId="2B2DF08E" w14:textId="77777777" w:rsidTr="00C26084">
        <w:trPr>
          <w:tblHeader/>
        </w:trPr>
        <w:tc>
          <w:tcPr>
            <w:tcW w:w="1078" w:type="dxa"/>
            <w:tcBorders>
              <w:top w:val="single" w:sz="4" w:space="0" w:color="365F91"/>
              <w:left w:val="nil"/>
              <w:bottom w:val="single" w:sz="4" w:space="0" w:color="365F91"/>
              <w:right w:val="nil"/>
            </w:tcBorders>
            <w:shd w:val="clear" w:color="auto" w:fill="365F91"/>
            <w:vAlign w:val="bottom"/>
            <w:hideMark/>
          </w:tcPr>
          <w:p w14:paraId="5E75F123" w14:textId="77777777" w:rsidR="00FB19C0" w:rsidRPr="00BE78CA" w:rsidRDefault="00FB19C0" w:rsidP="00C26084">
            <w:pPr>
              <w:pStyle w:val="TableTextBold"/>
              <w:spacing w:before="50" w:after="50"/>
              <w:rPr>
                <w:noProof w:val="0"/>
                <w:color w:val="FFFFFF"/>
              </w:rPr>
            </w:pPr>
            <w:bookmarkStart w:id="2896" w:name="_Hlk63170205"/>
            <w:r w:rsidRPr="00BE78CA">
              <w:rPr>
                <w:noProof w:val="0"/>
                <w:color w:val="FFFFFF"/>
              </w:rPr>
              <w:t>Year</w:t>
            </w:r>
          </w:p>
        </w:tc>
        <w:tc>
          <w:tcPr>
            <w:tcW w:w="2475" w:type="dxa"/>
            <w:tcBorders>
              <w:top w:val="single" w:sz="4" w:space="0" w:color="365F91"/>
              <w:left w:val="nil"/>
              <w:bottom w:val="single" w:sz="4" w:space="0" w:color="365F91"/>
              <w:right w:val="nil"/>
            </w:tcBorders>
            <w:shd w:val="clear" w:color="auto" w:fill="365F91"/>
            <w:vAlign w:val="bottom"/>
            <w:hideMark/>
          </w:tcPr>
          <w:p w14:paraId="6DB0A314" w14:textId="77777777" w:rsidR="00FB19C0" w:rsidRPr="00BE78CA" w:rsidRDefault="00FB19C0" w:rsidP="00C26084">
            <w:pPr>
              <w:pStyle w:val="TableTextBold"/>
              <w:keepNext/>
              <w:spacing w:before="50" w:after="50"/>
              <w:jc w:val="center"/>
              <w:rPr>
                <w:noProof w:val="0"/>
                <w:color w:val="FFFFFF"/>
              </w:rPr>
            </w:pPr>
            <w:r w:rsidRPr="00BE78CA">
              <w:rPr>
                <w:noProof w:val="0"/>
                <w:color w:val="FFFFFF"/>
              </w:rPr>
              <w:t>Farm fills (kt)</w:t>
            </w:r>
          </w:p>
        </w:tc>
        <w:tc>
          <w:tcPr>
            <w:tcW w:w="2475" w:type="dxa"/>
            <w:tcBorders>
              <w:top w:val="single" w:sz="4" w:space="0" w:color="365F91"/>
              <w:left w:val="nil"/>
              <w:bottom w:val="single" w:sz="4" w:space="0" w:color="365F91"/>
              <w:right w:val="nil"/>
            </w:tcBorders>
            <w:shd w:val="clear" w:color="auto" w:fill="365F91"/>
            <w:vAlign w:val="bottom"/>
            <w:hideMark/>
          </w:tcPr>
          <w:p w14:paraId="2C6D2E87" w14:textId="77777777" w:rsidR="00FB19C0" w:rsidRPr="00BE78CA" w:rsidRDefault="00FB19C0" w:rsidP="00C26084">
            <w:pPr>
              <w:pStyle w:val="TableTextBold"/>
              <w:keepNext/>
              <w:spacing w:before="50" w:after="50"/>
              <w:jc w:val="center"/>
              <w:rPr>
                <w:noProof w:val="0"/>
                <w:color w:val="FFFFFF"/>
              </w:rPr>
            </w:pPr>
            <w:r w:rsidRPr="00BE78CA">
              <w:rPr>
                <w:noProof w:val="0"/>
                <w:color w:val="FFFFFF"/>
              </w:rPr>
              <w:t>Non-municipal landfills (kt)</w:t>
            </w:r>
          </w:p>
        </w:tc>
        <w:tc>
          <w:tcPr>
            <w:tcW w:w="2477" w:type="dxa"/>
            <w:tcBorders>
              <w:top w:val="single" w:sz="4" w:space="0" w:color="365F91"/>
              <w:left w:val="nil"/>
              <w:bottom w:val="single" w:sz="4" w:space="0" w:color="365F91"/>
              <w:right w:val="nil"/>
            </w:tcBorders>
            <w:shd w:val="clear" w:color="auto" w:fill="365F91"/>
            <w:vAlign w:val="bottom"/>
            <w:hideMark/>
          </w:tcPr>
          <w:p w14:paraId="739EB90C" w14:textId="77777777" w:rsidR="00FB19C0" w:rsidRPr="00BE78CA" w:rsidRDefault="00FB19C0" w:rsidP="00C26084">
            <w:pPr>
              <w:pStyle w:val="TableTextBold"/>
              <w:keepNext/>
              <w:spacing w:before="50" w:after="50"/>
              <w:jc w:val="center"/>
              <w:rPr>
                <w:noProof w:val="0"/>
                <w:color w:val="FFFFFF"/>
              </w:rPr>
            </w:pPr>
            <w:r w:rsidRPr="00BE78CA">
              <w:rPr>
                <w:noProof w:val="0"/>
                <w:color w:val="FFFFFF"/>
              </w:rPr>
              <w:t>Total waste disposed (kt)</w:t>
            </w:r>
          </w:p>
        </w:tc>
      </w:tr>
      <w:tr w:rsidR="00FB19C0" w:rsidRPr="00BE78CA" w14:paraId="0D4BD38F" w14:textId="77777777" w:rsidTr="00C26084">
        <w:tc>
          <w:tcPr>
            <w:tcW w:w="1078" w:type="dxa"/>
            <w:tcBorders>
              <w:top w:val="single" w:sz="4" w:space="0" w:color="365F91"/>
              <w:left w:val="nil"/>
              <w:bottom w:val="single" w:sz="4" w:space="0" w:color="365F91"/>
              <w:right w:val="nil"/>
            </w:tcBorders>
            <w:hideMark/>
          </w:tcPr>
          <w:p w14:paraId="1C724058" w14:textId="77777777" w:rsidR="00FB19C0" w:rsidRPr="00BE78CA" w:rsidRDefault="00FB19C0" w:rsidP="00C26084">
            <w:pPr>
              <w:pStyle w:val="TableTextBold"/>
              <w:spacing w:before="50" w:after="50"/>
              <w:rPr>
                <w:noProof w:val="0"/>
              </w:rPr>
            </w:pPr>
            <w:r w:rsidRPr="00BE78CA">
              <w:rPr>
                <w:noProof w:val="0"/>
              </w:rPr>
              <w:t>1950</w:t>
            </w:r>
          </w:p>
        </w:tc>
        <w:tc>
          <w:tcPr>
            <w:tcW w:w="2475" w:type="dxa"/>
            <w:tcBorders>
              <w:top w:val="single" w:sz="4" w:space="0" w:color="365F91"/>
              <w:left w:val="nil"/>
              <w:bottom w:val="single" w:sz="4" w:space="0" w:color="365F91"/>
              <w:right w:val="nil"/>
            </w:tcBorders>
            <w:hideMark/>
          </w:tcPr>
          <w:p w14:paraId="661B31C1" w14:textId="77777777" w:rsidR="00FB19C0" w:rsidRPr="00BE78CA" w:rsidRDefault="00FB19C0" w:rsidP="00C26084">
            <w:pPr>
              <w:pStyle w:val="TableText"/>
              <w:keepNext/>
              <w:spacing w:before="50" w:after="50"/>
              <w:jc w:val="center"/>
            </w:pPr>
            <w:r w:rsidRPr="00BE78CA">
              <w:t>866.3</w:t>
            </w:r>
          </w:p>
        </w:tc>
        <w:tc>
          <w:tcPr>
            <w:tcW w:w="2475" w:type="dxa"/>
            <w:tcBorders>
              <w:top w:val="single" w:sz="4" w:space="0" w:color="365F91"/>
              <w:left w:val="nil"/>
              <w:bottom w:val="single" w:sz="4" w:space="0" w:color="365F91"/>
              <w:right w:val="nil"/>
            </w:tcBorders>
            <w:hideMark/>
          </w:tcPr>
          <w:p w14:paraId="3C50A563" w14:textId="77777777" w:rsidR="00FB19C0" w:rsidRPr="00BE78CA" w:rsidRDefault="00FB19C0" w:rsidP="00C26084">
            <w:pPr>
              <w:pStyle w:val="TableText"/>
              <w:keepNext/>
              <w:spacing w:before="50" w:after="50"/>
              <w:jc w:val="center"/>
            </w:pPr>
            <w:r w:rsidRPr="00BE78CA">
              <w:t>764.1</w:t>
            </w:r>
          </w:p>
        </w:tc>
        <w:tc>
          <w:tcPr>
            <w:tcW w:w="2477" w:type="dxa"/>
            <w:tcBorders>
              <w:top w:val="single" w:sz="4" w:space="0" w:color="365F91"/>
              <w:left w:val="nil"/>
              <w:bottom w:val="single" w:sz="4" w:space="0" w:color="365F91"/>
              <w:right w:val="nil"/>
            </w:tcBorders>
            <w:hideMark/>
          </w:tcPr>
          <w:p w14:paraId="7CE58C7F" w14:textId="77777777" w:rsidR="00FB19C0" w:rsidRPr="00BE78CA" w:rsidRDefault="00FB19C0" w:rsidP="00C26084">
            <w:pPr>
              <w:pStyle w:val="TableText"/>
              <w:keepNext/>
              <w:spacing w:before="50" w:after="50"/>
              <w:jc w:val="center"/>
            </w:pPr>
            <w:r w:rsidRPr="00BE78CA">
              <w:t>1,630.3</w:t>
            </w:r>
          </w:p>
        </w:tc>
      </w:tr>
      <w:tr w:rsidR="00FB19C0" w:rsidRPr="00BE78CA" w14:paraId="5F9689DF" w14:textId="77777777" w:rsidTr="00C26084">
        <w:tc>
          <w:tcPr>
            <w:tcW w:w="1078" w:type="dxa"/>
            <w:tcBorders>
              <w:top w:val="single" w:sz="4" w:space="0" w:color="365F91"/>
              <w:left w:val="nil"/>
              <w:bottom w:val="single" w:sz="4" w:space="0" w:color="365F91"/>
              <w:right w:val="nil"/>
            </w:tcBorders>
            <w:hideMark/>
          </w:tcPr>
          <w:p w14:paraId="30FFCC53" w14:textId="77777777" w:rsidR="00FB19C0" w:rsidRPr="00BE78CA" w:rsidRDefault="00FB19C0" w:rsidP="00C26084">
            <w:pPr>
              <w:pStyle w:val="TableTextBold"/>
              <w:spacing w:before="50" w:after="50"/>
              <w:rPr>
                <w:noProof w:val="0"/>
              </w:rPr>
            </w:pPr>
            <w:r w:rsidRPr="00BE78CA">
              <w:rPr>
                <w:noProof w:val="0"/>
              </w:rPr>
              <w:t>1951</w:t>
            </w:r>
          </w:p>
        </w:tc>
        <w:tc>
          <w:tcPr>
            <w:tcW w:w="2475" w:type="dxa"/>
            <w:tcBorders>
              <w:top w:val="single" w:sz="4" w:space="0" w:color="365F91"/>
              <w:left w:val="nil"/>
              <w:bottom w:val="single" w:sz="4" w:space="0" w:color="365F91"/>
              <w:right w:val="nil"/>
            </w:tcBorders>
            <w:hideMark/>
          </w:tcPr>
          <w:p w14:paraId="604E488B" w14:textId="77777777" w:rsidR="00FB19C0" w:rsidRPr="00BE78CA" w:rsidRDefault="00FB19C0" w:rsidP="00C26084">
            <w:pPr>
              <w:pStyle w:val="TableText"/>
              <w:keepNext/>
              <w:spacing w:before="50" w:after="50"/>
              <w:jc w:val="center"/>
            </w:pPr>
            <w:r w:rsidRPr="00BE78CA">
              <w:t>865.7</w:t>
            </w:r>
          </w:p>
        </w:tc>
        <w:tc>
          <w:tcPr>
            <w:tcW w:w="2475" w:type="dxa"/>
            <w:tcBorders>
              <w:top w:val="single" w:sz="4" w:space="0" w:color="365F91"/>
              <w:left w:val="nil"/>
              <w:bottom w:val="single" w:sz="4" w:space="0" w:color="365F91"/>
              <w:right w:val="nil"/>
            </w:tcBorders>
            <w:hideMark/>
          </w:tcPr>
          <w:p w14:paraId="3641E5C5" w14:textId="77777777" w:rsidR="00FB19C0" w:rsidRPr="00BE78CA" w:rsidRDefault="00FB19C0" w:rsidP="00C26084">
            <w:pPr>
              <w:pStyle w:val="TableText"/>
              <w:keepNext/>
              <w:spacing w:before="50" w:after="50"/>
              <w:jc w:val="center"/>
            </w:pPr>
            <w:r w:rsidRPr="00BE78CA">
              <w:t>792.1</w:t>
            </w:r>
          </w:p>
        </w:tc>
        <w:tc>
          <w:tcPr>
            <w:tcW w:w="2477" w:type="dxa"/>
            <w:tcBorders>
              <w:top w:val="single" w:sz="4" w:space="0" w:color="365F91"/>
              <w:left w:val="nil"/>
              <w:bottom w:val="single" w:sz="4" w:space="0" w:color="365F91"/>
              <w:right w:val="nil"/>
            </w:tcBorders>
            <w:hideMark/>
          </w:tcPr>
          <w:p w14:paraId="19189847" w14:textId="77777777" w:rsidR="00FB19C0" w:rsidRPr="00BE78CA" w:rsidRDefault="00FB19C0" w:rsidP="00C26084">
            <w:pPr>
              <w:pStyle w:val="TableText"/>
              <w:keepNext/>
              <w:spacing w:before="50" w:after="50"/>
              <w:jc w:val="center"/>
            </w:pPr>
            <w:r w:rsidRPr="00BE78CA">
              <w:t>1,657.8</w:t>
            </w:r>
          </w:p>
        </w:tc>
      </w:tr>
      <w:tr w:rsidR="00FB19C0" w:rsidRPr="00BE78CA" w14:paraId="7618729E" w14:textId="77777777" w:rsidTr="00C26084">
        <w:tc>
          <w:tcPr>
            <w:tcW w:w="1078" w:type="dxa"/>
            <w:tcBorders>
              <w:top w:val="single" w:sz="4" w:space="0" w:color="365F91"/>
              <w:left w:val="nil"/>
              <w:bottom w:val="single" w:sz="4" w:space="0" w:color="365F91"/>
              <w:right w:val="nil"/>
            </w:tcBorders>
            <w:hideMark/>
          </w:tcPr>
          <w:p w14:paraId="2D34250D" w14:textId="77777777" w:rsidR="00FB19C0" w:rsidRPr="00BE78CA" w:rsidRDefault="00FB19C0" w:rsidP="00C26084">
            <w:pPr>
              <w:pStyle w:val="TableTextBold"/>
              <w:spacing w:before="50" w:after="50"/>
              <w:rPr>
                <w:noProof w:val="0"/>
              </w:rPr>
            </w:pPr>
            <w:r w:rsidRPr="00BE78CA">
              <w:rPr>
                <w:noProof w:val="0"/>
              </w:rPr>
              <w:t>1952</w:t>
            </w:r>
          </w:p>
        </w:tc>
        <w:tc>
          <w:tcPr>
            <w:tcW w:w="2475" w:type="dxa"/>
            <w:tcBorders>
              <w:top w:val="single" w:sz="4" w:space="0" w:color="365F91"/>
              <w:left w:val="nil"/>
              <w:bottom w:val="single" w:sz="4" w:space="0" w:color="365F91"/>
              <w:right w:val="nil"/>
            </w:tcBorders>
            <w:hideMark/>
          </w:tcPr>
          <w:p w14:paraId="447E32EC" w14:textId="77777777" w:rsidR="00FB19C0" w:rsidRPr="00BE78CA" w:rsidRDefault="00FB19C0" w:rsidP="00C26084">
            <w:pPr>
              <w:pStyle w:val="TableText"/>
              <w:keepNext/>
              <w:spacing w:before="50" w:after="50"/>
              <w:jc w:val="center"/>
            </w:pPr>
            <w:r w:rsidRPr="00BE78CA">
              <w:t>866.2</w:t>
            </w:r>
          </w:p>
        </w:tc>
        <w:tc>
          <w:tcPr>
            <w:tcW w:w="2475" w:type="dxa"/>
            <w:tcBorders>
              <w:top w:val="single" w:sz="4" w:space="0" w:color="365F91"/>
              <w:left w:val="nil"/>
              <w:bottom w:val="single" w:sz="4" w:space="0" w:color="365F91"/>
              <w:right w:val="nil"/>
            </w:tcBorders>
            <w:hideMark/>
          </w:tcPr>
          <w:p w14:paraId="38746159" w14:textId="77777777" w:rsidR="00FB19C0" w:rsidRPr="00BE78CA" w:rsidRDefault="00FB19C0" w:rsidP="00C26084">
            <w:pPr>
              <w:pStyle w:val="TableText"/>
              <w:keepNext/>
              <w:spacing w:before="50" w:after="50"/>
              <w:jc w:val="center"/>
            </w:pPr>
            <w:r w:rsidRPr="00BE78CA">
              <w:t>821.2</w:t>
            </w:r>
          </w:p>
        </w:tc>
        <w:tc>
          <w:tcPr>
            <w:tcW w:w="2477" w:type="dxa"/>
            <w:tcBorders>
              <w:top w:val="single" w:sz="4" w:space="0" w:color="365F91"/>
              <w:left w:val="nil"/>
              <w:bottom w:val="single" w:sz="4" w:space="0" w:color="365F91"/>
              <w:right w:val="nil"/>
            </w:tcBorders>
            <w:hideMark/>
          </w:tcPr>
          <w:p w14:paraId="63C77676" w14:textId="77777777" w:rsidR="00FB19C0" w:rsidRPr="00BE78CA" w:rsidRDefault="00FB19C0" w:rsidP="00C26084">
            <w:pPr>
              <w:pStyle w:val="TableText"/>
              <w:keepNext/>
              <w:spacing w:before="50" w:after="50"/>
              <w:jc w:val="center"/>
            </w:pPr>
            <w:r w:rsidRPr="00BE78CA">
              <w:t>1,687.4</w:t>
            </w:r>
          </w:p>
        </w:tc>
      </w:tr>
      <w:tr w:rsidR="00FB19C0" w:rsidRPr="00BE78CA" w14:paraId="5C35D4E6" w14:textId="77777777" w:rsidTr="00C26084">
        <w:tc>
          <w:tcPr>
            <w:tcW w:w="1078" w:type="dxa"/>
            <w:tcBorders>
              <w:top w:val="single" w:sz="4" w:space="0" w:color="365F91"/>
              <w:left w:val="nil"/>
              <w:bottom w:val="single" w:sz="4" w:space="0" w:color="365F91"/>
              <w:right w:val="nil"/>
            </w:tcBorders>
            <w:hideMark/>
          </w:tcPr>
          <w:p w14:paraId="22F20ADD" w14:textId="77777777" w:rsidR="00FB19C0" w:rsidRPr="00BE78CA" w:rsidRDefault="00FB19C0" w:rsidP="00C26084">
            <w:pPr>
              <w:pStyle w:val="TableTextBold"/>
              <w:spacing w:before="50" w:after="50"/>
              <w:rPr>
                <w:noProof w:val="0"/>
              </w:rPr>
            </w:pPr>
            <w:r w:rsidRPr="00BE78CA">
              <w:rPr>
                <w:noProof w:val="0"/>
              </w:rPr>
              <w:t>1953</w:t>
            </w:r>
          </w:p>
        </w:tc>
        <w:tc>
          <w:tcPr>
            <w:tcW w:w="2475" w:type="dxa"/>
            <w:tcBorders>
              <w:top w:val="single" w:sz="4" w:space="0" w:color="365F91"/>
              <w:left w:val="nil"/>
              <w:bottom w:val="single" w:sz="4" w:space="0" w:color="365F91"/>
              <w:right w:val="nil"/>
            </w:tcBorders>
            <w:hideMark/>
          </w:tcPr>
          <w:p w14:paraId="3A9796AE" w14:textId="77777777" w:rsidR="00FB19C0" w:rsidRPr="00BE78CA" w:rsidRDefault="00FB19C0" w:rsidP="00C26084">
            <w:pPr>
              <w:pStyle w:val="TableText"/>
              <w:keepNext/>
              <w:spacing w:before="50" w:after="50"/>
              <w:jc w:val="center"/>
            </w:pPr>
            <w:r w:rsidRPr="00BE78CA">
              <w:t>868.6</w:t>
            </w:r>
          </w:p>
        </w:tc>
        <w:tc>
          <w:tcPr>
            <w:tcW w:w="2475" w:type="dxa"/>
            <w:tcBorders>
              <w:top w:val="single" w:sz="4" w:space="0" w:color="365F91"/>
              <w:left w:val="nil"/>
              <w:bottom w:val="single" w:sz="4" w:space="0" w:color="365F91"/>
              <w:right w:val="nil"/>
            </w:tcBorders>
            <w:hideMark/>
          </w:tcPr>
          <w:p w14:paraId="647C553E" w14:textId="77777777" w:rsidR="00FB19C0" w:rsidRPr="00BE78CA" w:rsidRDefault="00FB19C0" w:rsidP="00C26084">
            <w:pPr>
              <w:pStyle w:val="TableText"/>
              <w:keepNext/>
              <w:spacing w:before="50" w:after="50"/>
              <w:jc w:val="center"/>
            </w:pPr>
            <w:r w:rsidRPr="00BE78CA">
              <w:t>851.3</w:t>
            </w:r>
          </w:p>
        </w:tc>
        <w:tc>
          <w:tcPr>
            <w:tcW w:w="2477" w:type="dxa"/>
            <w:tcBorders>
              <w:top w:val="single" w:sz="4" w:space="0" w:color="365F91"/>
              <w:left w:val="nil"/>
              <w:bottom w:val="single" w:sz="4" w:space="0" w:color="365F91"/>
              <w:right w:val="nil"/>
            </w:tcBorders>
            <w:hideMark/>
          </w:tcPr>
          <w:p w14:paraId="10DF2908" w14:textId="77777777" w:rsidR="00FB19C0" w:rsidRPr="00BE78CA" w:rsidRDefault="00FB19C0" w:rsidP="00C26084">
            <w:pPr>
              <w:pStyle w:val="TableText"/>
              <w:keepNext/>
              <w:spacing w:before="50" w:after="50"/>
              <w:jc w:val="center"/>
            </w:pPr>
            <w:r w:rsidRPr="00BE78CA">
              <w:t>1,719.8</w:t>
            </w:r>
          </w:p>
        </w:tc>
      </w:tr>
      <w:tr w:rsidR="00FB19C0" w:rsidRPr="00BE78CA" w14:paraId="45DC67D9" w14:textId="77777777" w:rsidTr="00C26084">
        <w:tc>
          <w:tcPr>
            <w:tcW w:w="1078" w:type="dxa"/>
            <w:tcBorders>
              <w:top w:val="single" w:sz="4" w:space="0" w:color="365F91"/>
              <w:left w:val="nil"/>
              <w:bottom w:val="single" w:sz="4" w:space="0" w:color="365F91"/>
              <w:right w:val="nil"/>
            </w:tcBorders>
            <w:hideMark/>
          </w:tcPr>
          <w:p w14:paraId="18354FDA" w14:textId="77777777" w:rsidR="00FB19C0" w:rsidRPr="00BE78CA" w:rsidRDefault="00FB19C0" w:rsidP="00C26084">
            <w:pPr>
              <w:pStyle w:val="TableTextBold"/>
              <w:spacing w:before="50" w:after="50"/>
              <w:rPr>
                <w:noProof w:val="0"/>
              </w:rPr>
            </w:pPr>
            <w:r w:rsidRPr="00BE78CA">
              <w:rPr>
                <w:noProof w:val="0"/>
              </w:rPr>
              <w:t>1954</w:t>
            </w:r>
          </w:p>
        </w:tc>
        <w:tc>
          <w:tcPr>
            <w:tcW w:w="2475" w:type="dxa"/>
            <w:tcBorders>
              <w:top w:val="single" w:sz="4" w:space="0" w:color="365F91"/>
              <w:left w:val="nil"/>
              <w:bottom w:val="single" w:sz="4" w:space="0" w:color="365F91"/>
              <w:right w:val="nil"/>
            </w:tcBorders>
            <w:hideMark/>
          </w:tcPr>
          <w:p w14:paraId="50451EEF" w14:textId="77777777" w:rsidR="00FB19C0" w:rsidRPr="00BE78CA" w:rsidRDefault="00FB19C0" w:rsidP="00C26084">
            <w:pPr>
              <w:pStyle w:val="TableText"/>
              <w:keepNext/>
              <w:spacing w:before="50" w:after="50"/>
              <w:jc w:val="center"/>
            </w:pPr>
            <w:r w:rsidRPr="00BE78CA">
              <w:t>879.7</w:t>
            </w:r>
          </w:p>
        </w:tc>
        <w:tc>
          <w:tcPr>
            <w:tcW w:w="2475" w:type="dxa"/>
            <w:tcBorders>
              <w:top w:val="single" w:sz="4" w:space="0" w:color="365F91"/>
              <w:left w:val="nil"/>
              <w:bottom w:val="single" w:sz="4" w:space="0" w:color="365F91"/>
              <w:right w:val="nil"/>
            </w:tcBorders>
            <w:hideMark/>
          </w:tcPr>
          <w:p w14:paraId="06C08E45" w14:textId="77777777" w:rsidR="00FB19C0" w:rsidRPr="00BE78CA" w:rsidRDefault="00FB19C0" w:rsidP="00C26084">
            <w:pPr>
              <w:pStyle w:val="TableText"/>
              <w:keepNext/>
              <w:spacing w:before="50" w:after="50"/>
              <w:jc w:val="center"/>
            </w:pPr>
            <w:r w:rsidRPr="00BE78CA">
              <w:t>882.5</w:t>
            </w:r>
          </w:p>
        </w:tc>
        <w:tc>
          <w:tcPr>
            <w:tcW w:w="2477" w:type="dxa"/>
            <w:tcBorders>
              <w:top w:val="single" w:sz="4" w:space="0" w:color="365F91"/>
              <w:left w:val="nil"/>
              <w:bottom w:val="single" w:sz="4" w:space="0" w:color="365F91"/>
              <w:right w:val="nil"/>
            </w:tcBorders>
            <w:hideMark/>
          </w:tcPr>
          <w:p w14:paraId="241E9F92" w14:textId="77777777" w:rsidR="00FB19C0" w:rsidRPr="00BE78CA" w:rsidRDefault="00FB19C0" w:rsidP="00C26084">
            <w:pPr>
              <w:pStyle w:val="TableText"/>
              <w:keepNext/>
              <w:spacing w:before="50" w:after="50"/>
              <w:jc w:val="center"/>
            </w:pPr>
            <w:r w:rsidRPr="00BE78CA">
              <w:t>1,762.2</w:t>
            </w:r>
          </w:p>
        </w:tc>
      </w:tr>
      <w:tr w:rsidR="00FB19C0" w:rsidRPr="00BE78CA" w14:paraId="016AE3E4" w14:textId="77777777" w:rsidTr="00C26084">
        <w:tc>
          <w:tcPr>
            <w:tcW w:w="1078" w:type="dxa"/>
            <w:tcBorders>
              <w:top w:val="single" w:sz="4" w:space="0" w:color="365F91"/>
              <w:left w:val="nil"/>
              <w:bottom w:val="single" w:sz="4" w:space="0" w:color="365F91"/>
              <w:right w:val="nil"/>
            </w:tcBorders>
            <w:hideMark/>
          </w:tcPr>
          <w:p w14:paraId="3388D86F" w14:textId="77777777" w:rsidR="00FB19C0" w:rsidRPr="00BE78CA" w:rsidRDefault="00FB19C0" w:rsidP="00C26084">
            <w:pPr>
              <w:pStyle w:val="TableTextBold"/>
              <w:spacing w:before="50" w:after="50"/>
              <w:rPr>
                <w:noProof w:val="0"/>
              </w:rPr>
            </w:pPr>
            <w:r w:rsidRPr="00BE78CA">
              <w:rPr>
                <w:noProof w:val="0"/>
              </w:rPr>
              <w:t>1955</w:t>
            </w:r>
          </w:p>
        </w:tc>
        <w:tc>
          <w:tcPr>
            <w:tcW w:w="2475" w:type="dxa"/>
            <w:tcBorders>
              <w:top w:val="single" w:sz="4" w:space="0" w:color="365F91"/>
              <w:left w:val="nil"/>
              <w:bottom w:val="single" w:sz="4" w:space="0" w:color="365F91"/>
              <w:right w:val="nil"/>
            </w:tcBorders>
            <w:hideMark/>
          </w:tcPr>
          <w:p w14:paraId="23E3E3AE" w14:textId="77777777" w:rsidR="00FB19C0" w:rsidRPr="00BE78CA" w:rsidRDefault="00FB19C0" w:rsidP="00C26084">
            <w:pPr>
              <w:pStyle w:val="TableText"/>
              <w:keepNext/>
              <w:spacing w:before="50" w:after="50"/>
              <w:jc w:val="center"/>
            </w:pPr>
            <w:r w:rsidRPr="00BE78CA">
              <w:t>886.5</w:t>
            </w:r>
          </w:p>
        </w:tc>
        <w:tc>
          <w:tcPr>
            <w:tcW w:w="2475" w:type="dxa"/>
            <w:tcBorders>
              <w:top w:val="single" w:sz="4" w:space="0" w:color="365F91"/>
              <w:left w:val="nil"/>
              <w:bottom w:val="single" w:sz="4" w:space="0" w:color="365F91"/>
              <w:right w:val="nil"/>
            </w:tcBorders>
            <w:hideMark/>
          </w:tcPr>
          <w:p w14:paraId="78A25D61" w14:textId="77777777" w:rsidR="00FB19C0" w:rsidRPr="00BE78CA" w:rsidRDefault="00FB19C0" w:rsidP="00C26084">
            <w:pPr>
              <w:pStyle w:val="TableText"/>
              <w:keepNext/>
              <w:spacing w:before="50" w:after="50"/>
              <w:jc w:val="center"/>
            </w:pPr>
            <w:r w:rsidRPr="00BE78CA">
              <w:t>914.8</w:t>
            </w:r>
          </w:p>
        </w:tc>
        <w:tc>
          <w:tcPr>
            <w:tcW w:w="2477" w:type="dxa"/>
            <w:tcBorders>
              <w:top w:val="single" w:sz="4" w:space="0" w:color="365F91"/>
              <w:left w:val="nil"/>
              <w:bottom w:val="single" w:sz="4" w:space="0" w:color="365F91"/>
              <w:right w:val="nil"/>
            </w:tcBorders>
            <w:hideMark/>
          </w:tcPr>
          <w:p w14:paraId="07E543E9" w14:textId="77777777" w:rsidR="00FB19C0" w:rsidRPr="00BE78CA" w:rsidRDefault="00FB19C0" w:rsidP="00C26084">
            <w:pPr>
              <w:pStyle w:val="TableText"/>
              <w:keepNext/>
              <w:spacing w:before="50" w:after="50"/>
              <w:jc w:val="center"/>
            </w:pPr>
            <w:r w:rsidRPr="00BE78CA">
              <w:t>1,801.2</w:t>
            </w:r>
          </w:p>
        </w:tc>
      </w:tr>
      <w:tr w:rsidR="00FB19C0" w:rsidRPr="00BE78CA" w14:paraId="6C37A746" w14:textId="77777777" w:rsidTr="00C26084">
        <w:tc>
          <w:tcPr>
            <w:tcW w:w="1078" w:type="dxa"/>
            <w:tcBorders>
              <w:top w:val="single" w:sz="4" w:space="0" w:color="365F91"/>
              <w:left w:val="nil"/>
              <w:bottom w:val="single" w:sz="4" w:space="0" w:color="365F91"/>
              <w:right w:val="nil"/>
            </w:tcBorders>
            <w:hideMark/>
          </w:tcPr>
          <w:p w14:paraId="7CB555AD" w14:textId="77777777" w:rsidR="00FB19C0" w:rsidRPr="00BE78CA" w:rsidRDefault="00FB19C0" w:rsidP="00C26084">
            <w:pPr>
              <w:pStyle w:val="TableTextBold"/>
              <w:spacing w:before="50" w:after="50"/>
              <w:rPr>
                <w:noProof w:val="0"/>
              </w:rPr>
            </w:pPr>
            <w:r w:rsidRPr="00BE78CA">
              <w:rPr>
                <w:noProof w:val="0"/>
              </w:rPr>
              <w:t>1956</w:t>
            </w:r>
          </w:p>
        </w:tc>
        <w:tc>
          <w:tcPr>
            <w:tcW w:w="2475" w:type="dxa"/>
            <w:tcBorders>
              <w:top w:val="single" w:sz="4" w:space="0" w:color="365F91"/>
              <w:left w:val="nil"/>
              <w:bottom w:val="single" w:sz="4" w:space="0" w:color="365F91"/>
              <w:right w:val="nil"/>
            </w:tcBorders>
            <w:hideMark/>
          </w:tcPr>
          <w:p w14:paraId="53A4C25D" w14:textId="77777777" w:rsidR="00FB19C0" w:rsidRPr="00BE78CA" w:rsidRDefault="00FB19C0" w:rsidP="00C26084">
            <w:pPr>
              <w:pStyle w:val="TableText"/>
              <w:keepNext/>
              <w:spacing w:before="50" w:after="50"/>
              <w:jc w:val="center"/>
            </w:pPr>
            <w:r w:rsidRPr="00BE78CA">
              <w:t>812.7</w:t>
            </w:r>
          </w:p>
        </w:tc>
        <w:tc>
          <w:tcPr>
            <w:tcW w:w="2475" w:type="dxa"/>
            <w:tcBorders>
              <w:top w:val="single" w:sz="4" w:space="0" w:color="365F91"/>
              <w:left w:val="nil"/>
              <w:bottom w:val="single" w:sz="4" w:space="0" w:color="365F91"/>
              <w:right w:val="nil"/>
            </w:tcBorders>
            <w:hideMark/>
          </w:tcPr>
          <w:p w14:paraId="72C13A2E" w14:textId="77777777" w:rsidR="00FB19C0" w:rsidRPr="00BE78CA" w:rsidRDefault="00FB19C0" w:rsidP="00C26084">
            <w:pPr>
              <w:pStyle w:val="TableText"/>
              <w:keepNext/>
              <w:spacing w:before="50" w:after="50"/>
              <w:jc w:val="center"/>
            </w:pPr>
            <w:r w:rsidRPr="00BE78CA">
              <w:t>948.3</w:t>
            </w:r>
          </w:p>
        </w:tc>
        <w:tc>
          <w:tcPr>
            <w:tcW w:w="2477" w:type="dxa"/>
            <w:tcBorders>
              <w:top w:val="single" w:sz="4" w:space="0" w:color="365F91"/>
              <w:left w:val="nil"/>
              <w:bottom w:val="single" w:sz="4" w:space="0" w:color="365F91"/>
              <w:right w:val="nil"/>
            </w:tcBorders>
            <w:hideMark/>
          </w:tcPr>
          <w:p w14:paraId="79E1F317" w14:textId="77777777" w:rsidR="00FB19C0" w:rsidRPr="00BE78CA" w:rsidRDefault="00FB19C0" w:rsidP="00C26084">
            <w:pPr>
              <w:pStyle w:val="TableText"/>
              <w:keepNext/>
              <w:spacing w:before="50" w:after="50"/>
              <w:jc w:val="center"/>
            </w:pPr>
            <w:r w:rsidRPr="00BE78CA">
              <w:t>1,761.0</w:t>
            </w:r>
          </w:p>
        </w:tc>
      </w:tr>
      <w:tr w:rsidR="00FB19C0" w:rsidRPr="00BE78CA" w14:paraId="6FDF24CA" w14:textId="77777777" w:rsidTr="00C26084">
        <w:tc>
          <w:tcPr>
            <w:tcW w:w="1078" w:type="dxa"/>
            <w:tcBorders>
              <w:top w:val="single" w:sz="4" w:space="0" w:color="365F91"/>
              <w:left w:val="nil"/>
              <w:bottom w:val="single" w:sz="4" w:space="0" w:color="365F91"/>
              <w:right w:val="nil"/>
            </w:tcBorders>
            <w:hideMark/>
          </w:tcPr>
          <w:p w14:paraId="2E191441" w14:textId="77777777" w:rsidR="00FB19C0" w:rsidRPr="00BE78CA" w:rsidRDefault="00FB19C0" w:rsidP="00C26084">
            <w:pPr>
              <w:pStyle w:val="TableTextBold"/>
              <w:spacing w:before="50" w:after="50"/>
              <w:rPr>
                <w:noProof w:val="0"/>
              </w:rPr>
            </w:pPr>
            <w:r w:rsidRPr="00BE78CA">
              <w:rPr>
                <w:noProof w:val="0"/>
              </w:rPr>
              <w:t>1957</w:t>
            </w:r>
          </w:p>
        </w:tc>
        <w:tc>
          <w:tcPr>
            <w:tcW w:w="2475" w:type="dxa"/>
            <w:tcBorders>
              <w:top w:val="single" w:sz="4" w:space="0" w:color="365F91"/>
              <w:left w:val="nil"/>
              <w:bottom w:val="single" w:sz="4" w:space="0" w:color="365F91"/>
              <w:right w:val="nil"/>
            </w:tcBorders>
            <w:hideMark/>
          </w:tcPr>
          <w:p w14:paraId="132AC3C7" w14:textId="77777777" w:rsidR="00FB19C0" w:rsidRPr="00BE78CA" w:rsidRDefault="00FB19C0" w:rsidP="00C26084">
            <w:pPr>
              <w:pStyle w:val="TableText"/>
              <w:keepNext/>
              <w:spacing w:before="50" w:after="50"/>
              <w:jc w:val="center"/>
            </w:pPr>
            <w:r w:rsidRPr="00BE78CA">
              <w:t>811.7</w:t>
            </w:r>
          </w:p>
        </w:tc>
        <w:tc>
          <w:tcPr>
            <w:tcW w:w="2475" w:type="dxa"/>
            <w:tcBorders>
              <w:top w:val="single" w:sz="4" w:space="0" w:color="365F91"/>
              <w:left w:val="nil"/>
              <w:bottom w:val="single" w:sz="4" w:space="0" w:color="365F91"/>
              <w:right w:val="nil"/>
            </w:tcBorders>
            <w:hideMark/>
          </w:tcPr>
          <w:p w14:paraId="6AA56BAD" w14:textId="77777777" w:rsidR="00FB19C0" w:rsidRPr="00BE78CA" w:rsidRDefault="00FB19C0" w:rsidP="00C26084">
            <w:pPr>
              <w:pStyle w:val="TableText"/>
              <w:keepNext/>
              <w:spacing w:before="50" w:after="50"/>
              <w:jc w:val="center"/>
            </w:pPr>
            <w:r w:rsidRPr="00BE78CA">
              <w:t>983.0</w:t>
            </w:r>
          </w:p>
        </w:tc>
        <w:tc>
          <w:tcPr>
            <w:tcW w:w="2477" w:type="dxa"/>
            <w:tcBorders>
              <w:top w:val="single" w:sz="4" w:space="0" w:color="365F91"/>
              <w:left w:val="nil"/>
              <w:bottom w:val="single" w:sz="4" w:space="0" w:color="365F91"/>
              <w:right w:val="nil"/>
            </w:tcBorders>
            <w:hideMark/>
          </w:tcPr>
          <w:p w14:paraId="6720C980" w14:textId="77777777" w:rsidR="00FB19C0" w:rsidRPr="00BE78CA" w:rsidRDefault="00FB19C0" w:rsidP="00C26084">
            <w:pPr>
              <w:pStyle w:val="TableText"/>
              <w:keepNext/>
              <w:spacing w:before="50" w:after="50"/>
              <w:jc w:val="center"/>
            </w:pPr>
            <w:r w:rsidRPr="00BE78CA">
              <w:t>1,794.7</w:t>
            </w:r>
          </w:p>
        </w:tc>
      </w:tr>
      <w:tr w:rsidR="00FB19C0" w:rsidRPr="00BE78CA" w14:paraId="6D1D5077" w14:textId="77777777" w:rsidTr="00C26084">
        <w:tc>
          <w:tcPr>
            <w:tcW w:w="1078" w:type="dxa"/>
            <w:tcBorders>
              <w:top w:val="single" w:sz="4" w:space="0" w:color="365F91"/>
              <w:left w:val="nil"/>
              <w:bottom w:val="single" w:sz="4" w:space="0" w:color="365F91"/>
              <w:right w:val="nil"/>
            </w:tcBorders>
            <w:hideMark/>
          </w:tcPr>
          <w:p w14:paraId="5E934BCC" w14:textId="77777777" w:rsidR="00FB19C0" w:rsidRPr="00BE78CA" w:rsidRDefault="00FB19C0" w:rsidP="00C26084">
            <w:pPr>
              <w:pStyle w:val="TableTextBold"/>
              <w:spacing w:before="50" w:after="50"/>
              <w:rPr>
                <w:noProof w:val="0"/>
              </w:rPr>
            </w:pPr>
            <w:r w:rsidRPr="00BE78CA">
              <w:rPr>
                <w:noProof w:val="0"/>
              </w:rPr>
              <w:t>1958</w:t>
            </w:r>
          </w:p>
        </w:tc>
        <w:tc>
          <w:tcPr>
            <w:tcW w:w="2475" w:type="dxa"/>
            <w:tcBorders>
              <w:top w:val="single" w:sz="4" w:space="0" w:color="365F91"/>
              <w:left w:val="nil"/>
              <w:bottom w:val="single" w:sz="4" w:space="0" w:color="365F91"/>
              <w:right w:val="nil"/>
            </w:tcBorders>
            <w:hideMark/>
          </w:tcPr>
          <w:p w14:paraId="53CFB909" w14:textId="77777777" w:rsidR="00FB19C0" w:rsidRPr="00BE78CA" w:rsidRDefault="00FB19C0" w:rsidP="00C26084">
            <w:pPr>
              <w:pStyle w:val="TableText"/>
              <w:keepNext/>
              <w:spacing w:before="50" w:after="50"/>
              <w:jc w:val="center"/>
            </w:pPr>
            <w:r w:rsidRPr="00BE78CA">
              <w:t>796.6</w:t>
            </w:r>
          </w:p>
        </w:tc>
        <w:tc>
          <w:tcPr>
            <w:tcW w:w="2475" w:type="dxa"/>
            <w:tcBorders>
              <w:top w:val="single" w:sz="4" w:space="0" w:color="365F91"/>
              <w:left w:val="nil"/>
              <w:bottom w:val="single" w:sz="4" w:space="0" w:color="365F91"/>
              <w:right w:val="nil"/>
            </w:tcBorders>
            <w:hideMark/>
          </w:tcPr>
          <w:p w14:paraId="62FA65A2" w14:textId="77777777" w:rsidR="00FB19C0" w:rsidRPr="00BE78CA" w:rsidRDefault="00FB19C0" w:rsidP="00C26084">
            <w:pPr>
              <w:pStyle w:val="TableText"/>
              <w:keepNext/>
              <w:spacing w:before="50" w:after="50"/>
              <w:jc w:val="center"/>
            </w:pPr>
            <w:r w:rsidRPr="00BE78CA">
              <w:t>1,018.9</w:t>
            </w:r>
          </w:p>
        </w:tc>
        <w:tc>
          <w:tcPr>
            <w:tcW w:w="2477" w:type="dxa"/>
            <w:tcBorders>
              <w:top w:val="single" w:sz="4" w:space="0" w:color="365F91"/>
              <w:left w:val="nil"/>
              <w:bottom w:val="single" w:sz="4" w:space="0" w:color="365F91"/>
              <w:right w:val="nil"/>
            </w:tcBorders>
            <w:hideMark/>
          </w:tcPr>
          <w:p w14:paraId="3B19F01D" w14:textId="77777777" w:rsidR="00FB19C0" w:rsidRPr="00BE78CA" w:rsidRDefault="00FB19C0" w:rsidP="00C26084">
            <w:pPr>
              <w:pStyle w:val="TableText"/>
              <w:keepNext/>
              <w:spacing w:before="50" w:after="50"/>
              <w:jc w:val="center"/>
            </w:pPr>
            <w:r w:rsidRPr="00BE78CA">
              <w:t>1,815.5</w:t>
            </w:r>
          </w:p>
        </w:tc>
      </w:tr>
      <w:tr w:rsidR="00FB19C0" w:rsidRPr="00BE78CA" w14:paraId="1EE26185" w14:textId="77777777" w:rsidTr="00C26084">
        <w:tc>
          <w:tcPr>
            <w:tcW w:w="1078" w:type="dxa"/>
            <w:tcBorders>
              <w:top w:val="single" w:sz="4" w:space="0" w:color="365F91"/>
              <w:left w:val="nil"/>
              <w:bottom w:val="single" w:sz="4" w:space="0" w:color="365F91"/>
              <w:right w:val="nil"/>
            </w:tcBorders>
            <w:hideMark/>
          </w:tcPr>
          <w:p w14:paraId="18A4CD75" w14:textId="77777777" w:rsidR="00FB19C0" w:rsidRPr="00BE78CA" w:rsidRDefault="00FB19C0" w:rsidP="00C26084">
            <w:pPr>
              <w:pStyle w:val="TableTextBold"/>
              <w:spacing w:before="50" w:after="50"/>
              <w:rPr>
                <w:noProof w:val="0"/>
              </w:rPr>
            </w:pPr>
            <w:r w:rsidRPr="00BE78CA">
              <w:rPr>
                <w:noProof w:val="0"/>
              </w:rPr>
              <w:t>1959</w:t>
            </w:r>
          </w:p>
        </w:tc>
        <w:tc>
          <w:tcPr>
            <w:tcW w:w="2475" w:type="dxa"/>
            <w:tcBorders>
              <w:top w:val="single" w:sz="4" w:space="0" w:color="365F91"/>
              <w:left w:val="nil"/>
              <w:bottom w:val="single" w:sz="4" w:space="0" w:color="365F91"/>
              <w:right w:val="nil"/>
            </w:tcBorders>
            <w:hideMark/>
          </w:tcPr>
          <w:p w14:paraId="056ACE76" w14:textId="77777777" w:rsidR="00FB19C0" w:rsidRPr="00BE78CA" w:rsidRDefault="00FB19C0" w:rsidP="00C26084">
            <w:pPr>
              <w:pStyle w:val="TableText"/>
              <w:keepNext/>
              <w:spacing w:before="50" w:after="50"/>
              <w:jc w:val="center"/>
            </w:pPr>
            <w:r w:rsidRPr="00BE78CA">
              <w:t>799.7</w:t>
            </w:r>
          </w:p>
        </w:tc>
        <w:tc>
          <w:tcPr>
            <w:tcW w:w="2475" w:type="dxa"/>
            <w:tcBorders>
              <w:top w:val="single" w:sz="4" w:space="0" w:color="365F91"/>
              <w:left w:val="nil"/>
              <w:bottom w:val="single" w:sz="4" w:space="0" w:color="365F91"/>
              <w:right w:val="nil"/>
            </w:tcBorders>
            <w:hideMark/>
          </w:tcPr>
          <w:p w14:paraId="6D7F26E2" w14:textId="77777777" w:rsidR="00FB19C0" w:rsidRPr="00BE78CA" w:rsidRDefault="00FB19C0" w:rsidP="00C26084">
            <w:pPr>
              <w:pStyle w:val="TableText"/>
              <w:keepNext/>
              <w:spacing w:before="50" w:after="50"/>
              <w:jc w:val="center"/>
            </w:pPr>
            <w:r w:rsidRPr="00BE78CA">
              <w:t>1,056.2</w:t>
            </w:r>
          </w:p>
        </w:tc>
        <w:tc>
          <w:tcPr>
            <w:tcW w:w="2477" w:type="dxa"/>
            <w:tcBorders>
              <w:top w:val="single" w:sz="4" w:space="0" w:color="365F91"/>
              <w:left w:val="nil"/>
              <w:bottom w:val="single" w:sz="4" w:space="0" w:color="365F91"/>
              <w:right w:val="nil"/>
            </w:tcBorders>
            <w:hideMark/>
          </w:tcPr>
          <w:p w14:paraId="420397C6" w14:textId="77777777" w:rsidR="00FB19C0" w:rsidRPr="00BE78CA" w:rsidRDefault="00FB19C0" w:rsidP="00C26084">
            <w:pPr>
              <w:pStyle w:val="TableText"/>
              <w:keepNext/>
              <w:spacing w:before="50" w:after="50"/>
              <w:jc w:val="center"/>
            </w:pPr>
            <w:r w:rsidRPr="00BE78CA">
              <w:t>1,855.8</w:t>
            </w:r>
          </w:p>
        </w:tc>
      </w:tr>
      <w:tr w:rsidR="00FB19C0" w:rsidRPr="00BE78CA" w14:paraId="412B3E7D" w14:textId="77777777" w:rsidTr="00C26084">
        <w:tc>
          <w:tcPr>
            <w:tcW w:w="1078" w:type="dxa"/>
            <w:tcBorders>
              <w:top w:val="single" w:sz="4" w:space="0" w:color="365F91"/>
              <w:left w:val="nil"/>
              <w:bottom w:val="single" w:sz="4" w:space="0" w:color="365F91"/>
              <w:right w:val="nil"/>
            </w:tcBorders>
            <w:hideMark/>
          </w:tcPr>
          <w:p w14:paraId="6DC3F5F1" w14:textId="77777777" w:rsidR="00FB19C0" w:rsidRPr="00BE78CA" w:rsidRDefault="00FB19C0" w:rsidP="00C26084">
            <w:pPr>
              <w:pStyle w:val="TableTextBold"/>
              <w:spacing w:before="50" w:after="50"/>
              <w:rPr>
                <w:noProof w:val="0"/>
              </w:rPr>
            </w:pPr>
            <w:r w:rsidRPr="00BE78CA">
              <w:rPr>
                <w:noProof w:val="0"/>
              </w:rPr>
              <w:t>1960</w:t>
            </w:r>
          </w:p>
        </w:tc>
        <w:tc>
          <w:tcPr>
            <w:tcW w:w="2475" w:type="dxa"/>
            <w:tcBorders>
              <w:top w:val="single" w:sz="4" w:space="0" w:color="365F91"/>
              <w:left w:val="nil"/>
              <w:bottom w:val="single" w:sz="4" w:space="0" w:color="365F91"/>
              <w:right w:val="nil"/>
            </w:tcBorders>
            <w:hideMark/>
          </w:tcPr>
          <w:p w14:paraId="11BF1B76" w14:textId="77777777" w:rsidR="00FB19C0" w:rsidRPr="00BE78CA" w:rsidRDefault="00FB19C0" w:rsidP="00C26084">
            <w:pPr>
              <w:pStyle w:val="TableText"/>
              <w:keepNext/>
              <w:spacing w:before="50" w:after="50"/>
              <w:jc w:val="center"/>
            </w:pPr>
            <w:r w:rsidRPr="00BE78CA">
              <w:t>738.1</w:t>
            </w:r>
          </w:p>
        </w:tc>
        <w:tc>
          <w:tcPr>
            <w:tcW w:w="2475" w:type="dxa"/>
            <w:tcBorders>
              <w:top w:val="single" w:sz="4" w:space="0" w:color="365F91"/>
              <w:left w:val="nil"/>
              <w:bottom w:val="single" w:sz="4" w:space="0" w:color="365F91"/>
              <w:right w:val="nil"/>
            </w:tcBorders>
            <w:hideMark/>
          </w:tcPr>
          <w:p w14:paraId="6B8D298C" w14:textId="77777777" w:rsidR="00FB19C0" w:rsidRPr="00BE78CA" w:rsidRDefault="00FB19C0" w:rsidP="00C26084">
            <w:pPr>
              <w:pStyle w:val="TableText"/>
              <w:keepNext/>
              <w:spacing w:before="50" w:after="50"/>
              <w:jc w:val="center"/>
            </w:pPr>
            <w:r w:rsidRPr="00BE78CA">
              <w:t>1,094.7</w:t>
            </w:r>
          </w:p>
        </w:tc>
        <w:tc>
          <w:tcPr>
            <w:tcW w:w="2477" w:type="dxa"/>
            <w:tcBorders>
              <w:top w:val="single" w:sz="4" w:space="0" w:color="365F91"/>
              <w:left w:val="nil"/>
              <w:bottom w:val="single" w:sz="4" w:space="0" w:color="365F91"/>
              <w:right w:val="nil"/>
            </w:tcBorders>
            <w:hideMark/>
          </w:tcPr>
          <w:p w14:paraId="217FDC18" w14:textId="77777777" w:rsidR="00FB19C0" w:rsidRPr="00BE78CA" w:rsidRDefault="00FB19C0" w:rsidP="00C26084">
            <w:pPr>
              <w:pStyle w:val="TableText"/>
              <w:keepNext/>
              <w:spacing w:before="50" w:after="50"/>
              <w:jc w:val="center"/>
            </w:pPr>
            <w:r w:rsidRPr="00BE78CA">
              <w:t>1,832.8</w:t>
            </w:r>
          </w:p>
        </w:tc>
      </w:tr>
      <w:tr w:rsidR="00FB19C0" w:rsidRPr="00BE78CA" w14:paraId="152DA770" w14:textId="77777777" w:rsidTr="00C26084">
        <w:tc>
          <w:tcPr>
            <w:tcW w:w="1078" w:type="dxa"/>
            <w:tcBorders>
              <w:top w:val="single" w:sz="4" w:space="0" w:color="365F91"/>
              <w:left w:val="nil"/>
              <w:bottom w:val="single" w:sz="4" w:space="0" w:color="365F91"/>
              <w:right w:val="nil"/>
            </w:tcBorders>
            <w:hideMark/>
          </w:tcPr>
          <w:p w14:paraId="33091CF9" w14:textId="77777777" w:rsidR="00FB19C0" w:rsidRPr="00BE78CA" w:rsidRDefault="00FB19C0" w:rsidP="00C26084">
            <w:pPr>
              <w:pStyle w:val="TableTextBold"/>
              <w:spacing w:before="50" w:after="50"/>
              <w:rPr>
                <w:noProof w:val="0"/>
              </w:rPr>
            </w:pPr>
            <w:r w:rsidRPr="00BE78CA">
              <w:rPr>
                <w:noProof w:val="0"/>
              </w:rPr>
              <w:t>1961</w:t>
            </w:r>
          </w:p>
        </w:tc>
        <w:tc>
          <w:tcPr>
            <w:tcW w:w="2475" w:type="dxa"/>
            <w:tcBorders>
              <w:top w:val="single" w:sz="4" w:space="0" w:color="365F91"/>
              <w:left w:val="nil"/>
              <w:bottom w:val="single" w:sz="4" w:space="0" w:color="365F91"/>
              <w:right w:val="nil"/>
            </w:tcBorders>
            <w:hideMark/>
          </w:tcPr>
          <w:p w14:paraId="7FA954F2" w14:textId="77777777" w:rsidR="00FB19C0" w:rsidRPr="00BE78CA" w:rsidRDefault="00FB19C0" w:rsidP="00C26084">
            <w:pPr>
              <w:pStyle w:val="TableText"/>
              <w:keepNext/>
              <w:spacing w:before="50" w:after="50"/>
              <w:jc w:val="center"/>
            </w:pPr>
            <w:r w:rsidRPr="00BE78CA">
              <w:t>702.0</w:t>
            </w:r>
          </w:p>
        </w:tc>
        <w:tc>
          <w:tcPr>
            <w:tcW w:w="2475" w:type="dxa"/>
            <w:tcBorders>
              <w:top w:val="single" w:sz="4" w:space="0" w:color="365F91"/>
              <w:left w:val="nil"/>
              <w:bottom w:val="single" w:sz="4" w:space="0" w:color="365F91"/>
              <w:right w:val="nil"/>
            </w:tcBorders>
            <w:hideMark/>
          </w:tcPr>
          <w:p w14:paraId="1E2CB59D" w14:textId="77777777" w:rsidR="00FB19C0" w:rsidRPr="00BE78CA" w:rsidRDefault="00FB19C0" w:rsidP="00C26084">
            <w:pPr>
              <w:pStyle w:val="TableText"/>
              <w:keepNext/>
              <w:spacing w:before="50" w:after="50"/>
              <w:jc w:val="center"/>
            </w:pPr>
            <w:r w:rsidRPr="00BE78CA">
              <w:t>1,134.7</w:t>
            </w:r>
          </w:p>
        </w:tc>
        <w:tc>
          <w:tcPr>
            <w:tcW w:w="2477" w:type="dxa"/>
            <w:tcBorders>
              <w:top w:val="single" w:sz="4" w:space="0" w:color="365F91"/>
              <w:left w:val="nil"/>
              <w:bottom w:val="single" w:sz="4" w:space="0" w:color="365F91"/>
              <w:right w:val="nil"/>
            </w:tcBorders>
            <w:hideMark/>
          </w:tcPr>
          <w:p w14:paraId="343FF884" w14:textId="77777777" w:rsidR="00FB19C0" w:rsidRPr="00BE78CA" w:rsidRDefault="00FB19C0" w:rsidP="00C26084">
            <w:pPr>
              <w:pStyle w:val="TableText"/>
              <w:keepNext/>
              <w:spacing w:before="50" w:after="50"/>
              <w:jc w:val="center"/>
            </w:pPr>
            <w:r w:rsidRPr="00BE78CA">
              <w:t>1,836.7</w:t>
            </w:r>
          </w:p>
        </w:tc>
      </w:tr>
      <w:tr w:rsidR="00FB19C0" w:rsidRPr="00BE78CA" w14:paraId="163E0203" w14:textId="77777777" w:rsidTr="00C26084">
        <w:tc>
          <w:tcPr>
            <w:tcW w:w="1078" w:type="dxa"/>
            <w:tcBorders>
              <w:top w:val="single" w:sz="4" w:space="0" w:color="365F91"/>
              <w:left w:val="nil"/>
              <w:bottom w:val="single" w:sz="4" w:space="0" w:color="365F91"/>
              <w:right w:val="nil"/>
            </w:tcBorders>
            <w:hideMark/>
          </w:tcPr>
          <w:p w14:paraId="137D321B" w14:textId="77777777" w:rsidR="00FB19C0" w:rsidRPr="00BE78CA" w:rsidRDefault="00FB19C0" w:rsidP="00C26084">
            <w:pPr>
              <w:pStyle w:val="TableTextBold"/>
              <w:spacing w:before="50" w:after="50"/>
              <w:rPr>
                <w:noProof w:val="0"/>
              </w:rPr>
            </w:pPr>
            <w:r w:rsidRPr="00BE78CA">
              <w:rPr>
                <w:noProof w:val="0"/>
              </w:rPr>
              <w:t>1962</w:t>
            </w:r>
          </w:p>
        </w:tc>
        <w:tc>
          <w:tcPr>
            <w:tcW w:w="2475" w:type="dxa"/>
            <w:tcBorders>
              <w:top w:val="single" w:sz="4" w:space="0" w:color="365F91"/>
              <w:left w:val="nil"/>
              <w:bottom w:val="single" w:sz="4" w:space="0" w:color="365F91"/>
              <w:right w:val="nil"/>
            </w:tcBorders>
            <w:hideMark/>
          </w:tcPr>
          <w:p w14:paraId="44F7F50C" w14:textId="77777777" w:rsidR="00FB19C0" w:rsidRPr="00BE78CA" w:rsidRDefault="00FB19C0" w:rsidP="00C26084">
            <w:pPr>
              <w:pStyle w:val="TableText"/>
              <w:keepNext/>
              <w:spacing w:before="50" w:after="50"/>
              <w:jc w:val="center"/>
            </w:pPr>
            <w:r w:rsidRPr="00BE78CA">
              <w:t>698.0</w:t>
            </w:r>
          </w:p>
        </w:tc>
        <w:tc>
          <w:tcPr>
            <w:tcW w:w="2475" w:type="dxa"/>
            <w:tcBorders>
              <w:top w:val="single" w:sz="4" w:space="0" w:color="365F91"/>
              <w:left w:val="nil"/>
              <w:bottom w:val="single" w:sz="4" w:space="0" w:color="365F91"/>
              <w:right w:val="nil"/>
            </w:tcBorders>
            <w:hideMark/>
          </w:tcPr>
          <w:p w14:paraId="7780B2E2" w14:textId="77777777" w:rsidR="00FB19C0" w:rsidRPr="00BE78CA" w:rsidRDefault="00FB19C0" w:rsidP="00C26084">
            <w:pPr>
              <w:pStyle w:val="TableText"/>
              <w:keepNext/>
              <w:spacing w:before="50" w:after="50"/>
              <w:jc w:val="center"/>
            </w:pPr>
            <w:r w:rsidRPr="00BE78CA">
              <w:t>1,176.1</w:t>
            </w:r>
          </w:p>
        </w:tc>
        <w:tc>
          <w:tcPr>
            <w:tcW w:w="2477" w:type="dxa"/>
            <w:tcBorders>
              <w:top w:val="single" w:sz="4" w:space="0" w:color="365F91"/>
              <w:left w:val="nil"/>
              <w:bottom w:val="single" w:sz="4" w:space="0" w:color="365F91"/>
              <w:right w:val="nil"/>
            </w:tcBorders>
            <w:hideMark/>
          </w:tcPr>
          <w:p w14:paraId="1F5B8D07" w14:textId="77777777" w:rsidR="00FB19C0" w:rsidRPr="00BE78CA" w:rsidRDefault="00FB19C0" w:rsidP="00C26084">
            <w:pPr>
              <w:pStyle w:val="TableText"/>
              <w:keepNext/>
              <w:spacing w:before="50" w:after="50"/>
              <w:jc w:val="center"/>
            </w:pPr>
            <w:r w:rsidRPr="00BE78CA">
              <w:t>1,874.1</w:t>
            </w:r>
          </w:p>
        </w:tc>
      </w:tr>
      <w:tr w:rsidR="00FB19C0" w:rsidRPr="00BE78CA" w14:paraId="6DF08767" w14:textId="77777777" w:rsidTr="00C26084">
        <w:tc>
          <w:tcPr>
            <w:tcW w:w="1078" w:type="dxa"/>
            <w:tcBorders>
              <w:top w:val="single" w:sz="4" w:space="0" w:color="365F91"/>
              <w:left w:val="nil"/>
              <w:bottom w:val="single" w:sz="4" w:space="0" w:color="365F91"/>
              <w:right w:val="nil"/>
            </w:tcBorders>
            <w:hideMark/>
          </w:tcPr>
          <w:p w14:paraId="63DFF6F8" w14:textId="77777777" w:rsidR="00FB19C0" w:rsidRPr="00BE78CA" w:rsidRDefault="00FB19C0" w:rsidP="00C26084">
            <w:pPr>
              <w:pStyle w:val="TableTextBold"/>
              <w:spacing w:before="50" w:after="50"/>
              <w:rPr>
                <w:noProof w:val="0"/>
              </w:rPr>
            </w:pPr>
            <w:r w:rsidRPr="00BE78CA">
              <w:rPr>
                <w:noProof w:val="0"/>
              </w:rPr>
              <w:t>1963</w:t>
            </w:r>
          </w:p>
        </w:tc>
        <w:tc>
          <w:tcPr>
            <w:tcW w:w="2475" w:type="dxa"/>
            <w:tcBorders>
              <w:top w:val="single" w:sz="4" w:space="0" w:color="365F91"/>
              <w:left w:val="nil"/>
              <w:bottom w:val="single" w:sz="4" w:space="0" w:color="365F91"/>
              <w:right w:val="nil"/>
            </w:tcBorders>
            <w:hideMark/>
          </w:tcPr>
          <w:p w14:paraId="221265AE" w14:textId="77777777" w:rsidR="00FB19C0" w:rsidRPr="00BE78CA" w:rsidRDefault="00FB19C0" w:rsidP="00C26084">
            <w:pPr>
              <w:pStyle w:val="TableText"/>
              <w:keepNext/>
              <w:spacing w:before="50" w:after="50"/>
              <w:jc w:val="center"/>
            </w:pPr>
            <w:r w:rsidRPr="00BE78CA">
              <w:t>693.6</w:t>
            </w:r>
          </w:p>
        </w:tc>
        <w:tc>
          <w:tcPr>
            <w:tcW w:w="2475" w:type="dxa"/>
            <w:tcBorders>
              <w:top w:val="single" w:sz="4" w:space="0" w:color="365F91"/>
              <w:left w:val="nil"/>
              <w:bottom w:val="single" w:sz="4" w:space="0" w:color="365F91"/>
              <w:right w:val="nil"/>
            </w:tcBorders>
            <w:hideMark/>
          </w:tcPr>
          <w:p w14:paraId="36D39908" w14:textId="77777777" w:rsidR="00FB19C0" w:rsidRPr="00BE78CA" w:rsidRDefault="00FB19C0" w:rsidP="00C26084">
            <w:pPr>
              <w:pStyle w:val="TableText"/>
              <w:keepNext/>
              <w:spacing w:before="50" w:after="50"/>
              <w:jc w:val="center"/>
            </w:pPr>
            <w:r w:rsidRPr="00BE78CA">
              <w:t>1,219.0</w:t>
            </w:r>
          </w:p>
        </w:tc>
        <w:tc>
          <w:tcPr>
            <w:tcW w:w="2477" w:type="dxa"/>
            <w:tcBorders>
              <w:top w:val="single" w:sz="4" w:space="0" w:color="365F91"/>
              <w:left w:val="nil"/>
              <w:bottom w:val="single" w:sz="4" w:space="0" w:color="365F91"/>
              <w:right w:val="nil"/>
            </w:tcBorders>
            <w:hideMark/>
          </w:tcPr>
          <w:p w14:paraId="6EA2930F" w14:textId="77777777" w:rsidR="00FB19C0" w:rsidRPr="00BE78CA" w:rsidRDefault="00FB19C0" w:rsidP="00C26084">
            <w:pPr>
              <w:pStyle w:val="TableText"/>
              <w:keepNext/>
              <w:spacing w:before="50" w:after="50"/>
              <w:jc w:val="center"/>
            </w:pPr>
            <w:r w:rsidRPr="00BE78CA">
              <w:t>1,912.6</w:t>
            </w:r>
          </w:p>
        </w:tc>
      </w:tr>
      <w:tr w:rsidR="00FB19C0" w:rsidRPr="00BE78CA" w14:paraId="2E05E491" w14:textId="77777777" w:rsidTr="00C26084">
        <w:tc>
          <w:tcPr>
            <w:tcW w:w="1078" w:type="dxa"/>
            <w:tcBorders>
              <w:top w:val="single" w:sz="4" w:space="0" w:color="365F91"/>
              <w:left w:val="nil"/>
              <w:bottom w:val="single" w:sz="4" w:space="0" w:color="365F91"/>
              <w:right w:val="nil"/>
            </w:tcBorders>
            <w:hideMark/>
          </w:tcPr>
          <w:p w14:paraId="3F877C6B" w14:textId="77777777" w:rsidR="00FB19C0" w:rsidRPr="00BE78CA" w:rsidRDefault="00FB19C0" w:rsidP="00C26084">
            <w:pPr>
              <w:pStyle w:val="TableTextBold"/>
              <w:spacing w:before="50" w:after="50"/>
              <w:rPr>
                <w:noProof w:val="0"/>
              </w:rPr>
            </w:pPr>
            <w:r w:rsidRPr="00BE78CA">
              <w:rPr>
                <w:noProof w:val="0"/>
              </w:rPr>
              <w:t>1964</w:t>
            </w:r>
          </w:p>
        </w:tc>
        <w:tc>
          <w:tcPr>
            <w:tcW w:w="2475" w:type="dxa"/>
            <w:tcBorders>
              <w:top w:val="single" w:sz="4" w:space="0" w:color="365F91"/>
              <w:left w:val="nil"/>
              <w:bottom w:val="single" w:sz="4" w:space="0" w:color="365F91"/>
              <w:right w:val="nil"/>
            </w:tcBorders>
            <w:hideMark/>
          </w:tcPr>
          <w:p w14:paraId="4BBCF467" w14:textId="77777777" w:rsidR="00FB19C0" w:rsidRPr="00BE78CA" w:rsidRDefault="00FB19C0" w:rsidP="00C26084">
            <w:pPr>
              <w:pStyle w:val="TableText"/>
              <w:keepNext/>
              <w:spacing w:before="50" w:after="50"/>
              <w:jc w:val="center"/>
            </w:pPr>
            <w:r w:rsidRPr="00BE78CA">
              <w:t>687.9</w:t>
            </w:r>
          </w:p>
        </w:tc>
        <w:tc>
          <w:tcPr>
            <w:tcW w:w="2475" w:type="dxa"/>
            <w:tcBorders>
              <w:top w:val="single" w:sz="4" w:space="0" w:color="365F91"/>
              <w:left w:val="nil"/>
              <w:bottom w:val="single" w:sz="4" w:space="0" w:color="365F91"/>
              <w:right w:val="nil"/>
            </w:tcBorders>
            <w:hideMark/>
          </w:tcPr>
          <w:p w14:paraId="2AF903F6" w14:textId="77777777" w:rsidR="00FB19C0" w:rsidRPr="00BE78CA" w:rsidRDefault="00FB19C0" w:rsidP="00C26084">
            <w:pPr>
              <w:pStyle w:val="TableText"/>
              <w:keepNext/>
              <w:spacing w:before="50" w:after="50"/>
              <w:jc w:val="center"/>
            </w:pPr>
            <w:r w:rsidRPr="00BE78CA">
              <w:t>1,263.4</w:t>
            </w:r>
          </w:p>
        </w:tc>
        <w:tc>
          <w:tcPr>
            <w:tcW w:w="2477" w:type="dxa"/>
            <w:tcBorders>
              <w:top w:val="single" w:sz="4" w:space="0" w:color="365F91"/>
              <w:left w:val="nil"/>
              <w:bottom w:val="single" w:sz="4" w:space="0" w:color="365F91"/>
              <w:right w:val="nil"/>
            </w:tcBorders>
            <w:hideMark/>
          </w:tcPr>
          <w:p w14:paraId="2E19C777" w14:textId="77777777" w:rsidR="00FB19C0" w:rsidRPr="00BE78CA" w:rsidRDefault="00FB19C0" w:rsidP="00C26084">
            <w:pPr>
              <w:pStyle w:val="TableText"/>
              <w:keepNext/>
              <w:spacing w:before="50" w:after="50"/>
              <w:jc w:val="center"/>
            </w:pPr>
            <w:r w:rsidRPr="00BE78CA">
              <w:t>1,951.3</w:t>
            </w:r>
          </w:p>
        </w:tc>
      </w:tr>
      <w:tr w:rsidR="00FB19C0" w:rsidRPr="00BE78CA" w14:paraId="3C20AD85" w14:textId="77777777" w:rsidTr="00C26084">
        <w:tc>
          <w:tcPr>
            <w:tcW w:w="1078" w:type="dxa"/>
            <w:tcBorders>
              <w:top w:val="single" w:sz="4" w:space="0" w:color="365F91"/>
              <w:left w:val="nil"/>
              <w:bottom w:val="single" w:sz="4" w:space="0" w:color="365F91"/>
              <w:right w:val="nil"/>
            </w:tcBorders>
            <w:hideMark/>
          </w:tcPr>
          <w:p w14:paraId="331E5B54" w14:textId="77777777" w:rsidR="00FB19C0" w:rsidRPr="00BE78CA" w:rsidRDefault="00FB19C0" w:rsidP="00C26084">
            <w:pPr>
              <w:pStyle w:val="TableTextBold"/>
              <w:spacing w:before="50" w:after="50"/>
              <w:rPr>
                <w:noProof w:val="0"/>
              </w:rPr>
            </w:pPr>
            <w:r w:rsidRPr="00BE78CA">
              <w:rPr>
                <w:noProof w:val="0"/>
              </w:rPr>
              <w:t>1965</w:t>
            </w:r>
          </w:p>
        </w:tc>
        <w:tc>
          <w:tcPr>
            <w:tcW w:w="2475" w:type="dxa"/>
            <w:tcBorders>
              <w:top w:val="single" w:sz="4" w:space="0" w:color="365F91"/>
              <w:left w:val="nil"/>
              <w:bottom w:val="single" w:sz="4" w:space="0" w:color="365F91"/>
              <w:right w:val="nil"/>
            </w:tcBorders>
            <w:hideMark/>
          </w:tcPr>
          <w:p w14:paraId="2EA27863" w14:textId="77777777" w:rsidR="00FB19C0" w:rsidRPr="00BE78CA" w:rsidRDefault="00FB19C0" w:rsidP="00C26084">
            <w:pPr>
              <w:pStyle w:val="TableText"/>
              <w:keepNext/>
              <w:spacing w:before="50" w:after="50"/>
              <w:jc w:val="center"/>
            </w:pPr>
            <w:r w:rsidRPr="00BE78CA">
              <w:t>676.1</w:t>
            </w:r>
          </w:p>
        </w:tc>
        <w:tc>
          <w:tcPr>
            <w:tcW w:w="2475" w:type="dxa"/>
            <w:tcBorders>
              <w:top w:val="single" w:sz="4" w:space="0" w:color="365F91"/>
              <w:left w:val="nil"/>
              <w:bottom w:val="single" w:sz="4" w:space="0" w:color="365F91"/>
              <w:right w:val="nil"/>
            </w:tcBorders>
            <w:hideMark/>
          </w:tcPr>
          <w:p w14:paraId="29F143C2" w14:textId="77777777" w:rsidR="00FB19C0" w:rsidRPr="00BE78CA" w:rsidRDefault="00FB19C0" w:rsidP="00C26084">
            <w:pPr>
              <w:pStyle w:val="TableText"/>
              <w:keepNext/>
              <w:spacing w:before="50" w:after="50"/>
              <w:jc w:val="center"/>
            </w:pPr>
            <w:r w:rsidRPr="00BE78CA">
              <w:t>1,309.5</w:t>
            </w:r>
          </w:p>
        </w:tc>
        <w:tc>
          <w:tcPr>
            <w:tcW w:w="2477" w:type="dxa"/>
            <w:tcBorders>
              <w:top w:val="single" w:sz="4" w:space="0" w:color="365F91"/>
              <w:left w:val="nil"/>
              <w:bottom w:val="single" w:sz="4" w:space="0" w:color="365F91"/>
              <w:right w:val="nil"/>
            </w:tcBorders>
            <w:hideMark/>
          </w:tcPr>
          <w:p w14:paraId="27C1427E" w14:textId="77777777" w:rsidR="00FB19C0" w:rsidRPr="00BE78CA" w:rsidRDefault="00FB19C0" w:rsidP="00C26084">
            <w:pPr>
              <w:pStyle w:val="TableText"/>
              <w:keepNext/>
              <w:spacing w:before="50" w:after="50"/>
              <w:jc w:val="center"/>
            </w:pPr>
            <w:r w:rsidRPr="00BE78CA">
              <w:t>1,985.6</w:t>
            </w:r>
          </w:p>
        </w:tc>
      </w:tr>
      <w:tr w:rsidR="00FB19C0" w:rsidRPr="00BE78CA" w14:paraId="4F952975" w14:textId="77777777" w:rsidTr="00C26084">
        <w:tc>
          <w:tcPr>
            <w:tcW w:w="1078" w:type="dxa"/>
            <w:tcBorders>
              <w:top w:val="single" w:sz="4" w:space="0" w:color="365F91"/>
              <w:left w:val="nil"/>
              <w:bottom w:val="single" w:sz="4" w:space="0" w:color="365F91"/>
              <w:right w:val="nil"/>
            </w:tcBorders>
            <w:hideMark/>
          </w:tcPr>
          <w:p w14:paraId="4CADA7AC" w14:textId="77777777" w:rsidR="00FB19C0" w:rsidRPr="00BE78CA" w:rsidRDefault="00FB19C0" w:rsidP="00C26084">
            <w:pPr>
              <w:pStyle w:val="TableTextBold"/>
              <w:spacing w:before="50" w:after="50"/>
              <w:rPr>
                <w:noProof w:val="0"/>
              </w:rPr>
            </w:pPr>
            <w:r w:rsidRPr="00BE78CA">
              <w:rPr>
                <w:noProof w:val="0"/>
              </w:rPr>
              <w:t>1966</w:t>
            </w:r>
          </w:p>
        </w:tc>
        <w:tc>
          <w:tcPr>
            <w:tcW w:w="2475" w:type="dxa"/>
            <w:tcBorders>
              <w:top w:val="single" w:sz="4" w:space="0" w:color="365F91"/>
              <w:left w:val="nil"/>
              <w:bottom w:val="single" w:sz="4" w:space="0" w:color="365F91"/>
              <w:right w:val="nil"/>
            </w:tcBorders>
            <w:hideMark/>
          </w:tcPr>
          <w:p w14:paraId="3D0661F4" w14:textId="77777777" w:rsidR="00FB19C0" w:rsidRPr="00BE78CA" w:rsidRDefault="00FB19C0" w:rsidP="00C26084">
            <w:pPr>
              <w:pStyle w:val="TableText"/>
              <w:keepNext/>
              <w:spacing w:before="50" w:after="50"/>
              <w:jc w:val="center"/>
            </w:pPr>
            <w:r w:rsidRPr="00BE78CA">
              <w:t>670.6</w:t>
            </w:r>
          </w:p>
        </w:tc>
        <w:tc>
          <w:tcPr>
            <w:tcW w:w="2475" w:type="dxa"/>
            <w:tcBorders>
              <w:top w:val="single" w:sz="4" w:space="0" w:color="365F91"/>
              <w:left w:val="nil"/>
              <w:bottom w:val="single" w:sz="4" w:space="0" w:color="365F91"/>
              <w:right w:val="nil"/>
            </w:tcBorders>
            <w:hideMark/>
          </w:tcPr>
          <w:p w14:paraId="38E899C5" w14:textId="77777777" w:rsidR="00FB19C0" w:rsidRPr="00BE78CA" w:rsidRDefault="00FB19C0" w:rsidP="00C26084">
            <w:pPr>
              <w:pStyle w:val="TableText"/>
              <w:keepNext/>
              <w:spacing w:before="50" w:after="50"/>
              <w:jc w:val="center"/>
            </w:pPr>
            <w:r w:rsidRPr="00BE78CA">
              <w:t>1,357.2</w:t>
            </w:r>
          </w:p>
        </w:tc>
        <w:tc>
          <w:tcPr>
            <w:tcW w:w="2477" w:type="dxa"/>
            <w:tcBorders>
              <w:top w:val="single" w:sz="4" w:space="0" w:color="365F91"/>
              <w:left w:val="nil"/>
              <w:bottom w:val="single" w:sz="4" w:space="0" w:color="365F91"/>
              <w:right w:val="nil"/>
            </w:tcBorders>
            <w:hideMark/>
          </w:tcPr>
          <w:p w14:paraId="4E5FE306" w14:textId="77777777" w:rsidR="00FB19C0" w:rsidRPr="00BE78CA" w:rsidRDefault="00FB19C0" w:rsidP="00C26084">
            <w:pPr>
              <w:pStyle w:val="TableText"/>
              <w:keepNext/>
              <w:spacing w:before="50" w:after="50"/>
              <w:jc w:val="center"/>
            </w:pPr>
            <w:r w:rsidRPr="00BE78CA">
              <w:t>2,027.8</w:t>
            </w:r>
          </w:p>
        </w:tc>
      </w:tr>
      <w:tr w:rsidR="00FB19C0" w:rsidRPr="00BE78CA" w14:paraId="19004292" w14:textId="77777777" w:rsidTr="00C26084">
        <w:tc>
          <w:tcPr>
            <w:tcW w:w="1078" w:type="dxa"/>
            <w:tcBorders>
              <w:top w:val="single" w:sz="4" w:space="0" w:color="365F91"/>
              <w:left w:val="nil"/>
              <w:bottom w:val="single" w:sz="4" w:space="0" w:color="365F91"/>
              <w:right w:val="nil"/>
            </w:tcBorders>
            <w:hideMark/>
          </w:tcPr>
          <w:p w14:paraId="286443E6" w14:textId="77777777" w:rsidR="00FB19C0" w:rsidRPr="00BE78CA" w:rsidRDefault="00FB19C0" w:rsidP="00C26084">
            <w:pPr>
              <w:pStyle w:val="TableTextBold"/>
              <w:spacing w:before="50" w:after="50"/>
              <w:rPr>
                <w:noProof w:val="0"/>
              </w:rPr>
            </w:pPr>
            <w:r w:rsidRPr="00BE78CA">
              <w:rPr>
                <w:noProof w:val="0"/>
              </w:rPr>
              <w:t>1967</w:t>
            </w:r>
          </w:p>
        </w:tc>
        <w:tc>
          <w:tcPr>
            <w:tcW w:w="2475" w:type="dxa"/>
            <w:tcBorders>
              <w:top w:val="single" w:sz="4" w:space="0" w:color="365F91"/>
              <w:left w:val="nil"/>
              <w:bottom w:val="single" w:sz="4" w:space="0" w:color="365F91"/>
              <w:right w:val="nil"/>
            </w:tcBorders>
            <w:hideMark/>
          </w:tcPr>
          <w:p w14:paraId="298D9297" w14:textId="77777777" w:rsidR="00FB19C0" w:rsidRPr="00BE78CA" w:rsidRDefault="00FB19C0" w:rsidP="00C26084">
            <w:pPr>
              <w:pStyle w:val="TableText"/>
              <w:keepNext/>
              <w:spacing w:before="50" w:after="50"/>
              <w:jc w:val="center"/>
            </w:pPr>
            <w:r w:rsidRPr="00BE78CA">
              <w:t>654.1</w:t>
            </w:r>
          </w:p>
        </w:tc>
        <w:tc>
          <w:tcPr>
            <w:tcW w:w="2475" w:type="dxa"/>
            <w:tcBorders>
              <w:top w:val="single" w:sz="4" w:space="0" w:color="365F91"/>
              <w:left w:val="nil"/>
              <w:bottom w:val="single" w:sz="4" w:space="0" w:color="365F91"/>
              <w:right w:val="nil"/>
            </w:tcBorders>
            <w:hideMark/>
          </w:tcPr>
          <w:p w14:paraId="373D81FF" w14:textId="77777777" w:rsidR="00FB19C0" w:rsidRPr="00BE78CA" w:rsidRDefault="00FB19C0" w:rsidP="00C26084">
            <w:pPr>
              <w:pStyle w:val="TableText"/>
              <w:keepNext/>
              <w:spacing w:before="50" w:after="50"/>
              <w:jc w:val="center"/>
            </w:pPr>
            <w:r w:rsidRPr="00BE78CA">
              <w:t>1,406.6</w:t>
            </w:r>
          </w:p>
        </w:tc>
        <w:tc>
          <w:tcPr>
            <w:tcW w:w="2477" w:type="dxa"/>
            <w:tcBorders>
              <w:top w:val="single" w:sz="4" w:space="0" w:color="365F91"/>
              <w:left w:val="nil"/>
              <w:bottom w:val="single" w:sz="4" w:space="0" w:color="365F91"/>
              <w:right w:val="nil"/>
            </w:tcBorders>
            <w:hideMark/>
          </w:tcPr>
          <w:p w14:paraId="4DB0F6FE" w14:textId="77777777" w:rsidR="00FB19C0" w:rsidRPr="00BE78CA" w:rsidRDefault="00FB19C0" w:rsidP="00C26084">
            <w:pPr>
              <w:pStyle w:val="TableText"/>
              <w:keepNext/>
              <w:spacing w:before="50" w:after="50"/>
              <w:jc w:val="center"/>
            </w:pPr>
            <w:r w:rsidRPr="00BE78CA">
              <w:t>2,060.7</w:t>
            </w:r>
          </w:p>
        </w:tc>
      </w:tr>
      <w:tr w:rsidR="00FB19C0" w:rsidRPr="00BE78CA" w14:paraId="2ABAACC7" w14:textId="77777777" w:rsidTr="00C26084">
        <w:tc>
          <w:tcPr>
            <w:tcW w:w="1078" w:type="dxa"/>
            <w:tcBorders>
              <w:top w:val="single" w:sz="4" w:space="0" w:color="365F91"/>
              <w:left w:val="nil"/>
              <w:bottom w:val="single" w:sz="4" w:space="0" w:color="365F91"/>
              <w:right w:val="nil"/>
            </w:tcBorders>
            <w:hideMark/>
          </w:tcPr>
          <w:p w14:paraId="3A069BC7" w14:textId="77777777" w:rsidR="00FB19C0" w:rsidRPr="00BE78CA" w:rsidRDefault="00FB19C0" w:rsidP="00C26084">
            <w:pPr>
              <w:pStyle w:val="TableTextBold"/>
              <w:spacing w:before="50" w:after="50"/>
              <w:rPr>
                <w:noProof w:val="0"/>
              </w:rPr>
            </w:pPr>
            <w:r w:rsidRPr="00BE78CA">
              <w:rPr>
                <w:noProof w:val="0"/>
              </w:rPr>
              <w:t>1968</w:t>
            </w:r>
          </w:p>
        </w:tc>
        <w:tc>
          <w:tcPr>
            <w:tcW w:w="2475" w:type="dxa"/>
            <w:tcBorders>
              <w:top w:val="single" w:sz="4" w:space="0" w:color="365F91"/>
              <w:left w:val="nil"/>
              <w:bottom w:val="single" w:sz="4" w:space="0" w:color="365F91"/>
              <w:right w:val="nil"/>
            </w:tcBorders>
            <w:hideMark/>
          </w:tcPr>
          <w:p w14:paraId="2A92F8BC" w14:textId="77777777" w:rsidR="00FB19C0" w:rsidRPr="00BE78CA" w:rsidRDefault="00FB19C0" w:rsidP="00C26084">
            <w:pPr>
              <w:pStyle w:val="TableText"/>
              <w:keepNext/>
              <w:spacing w:before="50" w:after="50"/>
              <w:jc w:val="center"/>
            </w:pPr>
            <w:r w:rsidRPr="00BE78CA">
              <w:t>641.5</w:t>
            </w:r>
          </w:p>
        </w:tc>
        <w:tc>
          <w:tcPr>
            <w:tcW w:w="2475" w:type="dxa"/>
            <w:tcBorders>
              <w:top w:val="single" w:sz="4" w:space="0" w:color="365F91"/>
              <w:left w:val="nil"/>
              <w:bottom w:val="single" w:sz="4" w:space="0" w:color="365F91"/>
              <w:right w:val="nil"/>
            </w:tcBorders>
            <w:hideMark/>
          </w:tcPr>
          <w:p w14:paraId="635D1D29" w14:textId="77777777" w:rsidR="00FB19C0" w:rsidRPr="00BE78CA" w:rsidRDefault="00FB19C0" w:rsidP="00C26084">
            <w:pPr>
              <w:pStyle w:val="TableText"/>
              <w:keepNext/>
              <w:spacing w:before="50" w:after="50"/>
              <w:jc w:val="center"/>
            </w:pPr>
            <w:r w:rsidRPr="00BE78CA">
              <w:t>1,457.7</w:t>
            </w:r>
          </w:p>
        </w:tc>
        <w:tc>
          <w:tcPr>
            <w:tcW w:w="2477" w:type="dxa"/>
            <w:tcBorders>
              <w:top w:val="single" w:sz="4" w:space="0" w:color="365F91"/>
              <w:left w:val="nil"/>
              <w:bottom w:val="single" w:sz="4" w:space="0" w:color="365F91"/>
              <w:right w:val="nil"/>
            </w:tcBorders>
            <w:hideMark/>
          </w:tcPr>
          <w:p w14:paraId="06349812" w14:textId="77777777" w:rsidR="00FB19C0" w:rsidRPr="00BE78CA" w:rsidRDefault="00FB19C0" w:rsidP="00C26084">
            <w:pPr>
              <w:pStyle w:val="TableText"/>
              <w:keepNext/>
              <w:spacing w:before="50" w:after="50"/>
              <w:jc w:val="center"/>
            </w:pPr>
            <w:r w:rsidRPr="00BE78CA">
              <w:t>2,099.2</w:t>
            </w:r>
          </w:p>
        </w:tc>
      </w:tr>
      <w:tr w:rsidR="00FB19C0" w:rsidRPr="00BE78CA" w14:paraId="19978B3A" w14:textId="77777777" w:rsidTr="00C26084">
        <w:tc>
          <w:tcPr>
            <w:tcW w:w="1078" w:type="dxa"/>
            <w:tcBorders>
              <w:top w:val="single" w:sz="4" w:space="0" w:color="365F91"/>
              <w:left w:val="nil"/>
              <w:bottom w:val="single" w:sz="4" w:space="0" w:color="365F91"/>
              <w:right w:val="nil"/>
            </w:tcBorders>
            <w:hideMark/>
          </w:tcPr>
          <w:p w14:paraId="568317A6" w14:textId="77777777" w:rsidR="00FB19C0" w:rsidRPr="00BE78CA" w:rsidRDefault="00FB19C0" w:rsidP="00C26084">
            <w:pPr>
              <w:pStyle w:val="TableTextBold"/>
              <w:spacing w:before="50" w:after="50"/>
              <w:rPr>
                <w:noProof w:val="0"/>
              </w:rPr>
            </w:pPr>
            <w:r w:rsidRPr="00BE78CA">
              <w:rPr>
                <w:noProof w:val="0"/>
              </w:rPr>
              <w:t>1969</w:t>
            </w:r>
          </w:p>
        </w:tc>
        <w:tc>
          <w:tcPr>
            <w:tcW w:w="2475" w:type="dxa"/>
            <w:tcBorders>
              <w:top w:val="single" w:sz="4" w:space="0" w:color="365F91"/>
              <w:left w:val="nil"/>
              <w:bottom w:val="single" w:sz="4" w:space="0" w:color="365F91"/>
              <w:right w:val="nil"/>
            </w:tcBorders>
            <w:hideMark/>
          </w:tcPr>
          <w:p w14:paraId="7E2F0E79" w14:textId="77777777" w:rsidR="00FB19C0" w:rsidRPr="00BE78CA" w:rsidRDefault="00FB19C0" w:rsidP="00C26084">
            <w:pPr>
              <w:pStyle w:val="TableText"/>
              <w:keepNext/>
              <w:spacing w:before="50" w:after="50"/>
              <w:jc w:val="center"/>
            </w:pPr>
            <w:r w:rsidRPr="00BE78CA">
              <w:t>636.9</w:t>
            </w:r>
          </w:p>
        </w:tc>
        <w:tc>
          <w:tcPr>
            <w:tcW w:w="2475" w:type="dxa"/>
            <w:tcBorders>
              <w:top w:val="single" w:sz="4" w:space="0" w:color="365F91"/>
              <w:left w:val="nil"/>
              <w:bottom w:val="single" w:sz="4" w:space="0" w:color="365F91"/>
              <w:right w:val="nil"/>
            </w:tcBorders>
            <w:hideMark/>
          </w:tcPr>
          <w:p w14:paraId="6E4B299F" w14:textId="77777777" w:rsidR="00FB19C0" w:rsidRPr="00BE78CA" w:rsidRDefault="00FB19C0" w:rsidP="00C26084">
            <w:pPr>
              <w:pStyle w:val="TableText"/>
              <w:keepNext/>
              <w:spacing w:before="50" w:after="50"/>
              <w:jc w:val="center"/>
            </w:pPr>
            <w:r w:rsidRPr="00BE78CA">
              <w:t>1,510.7</w:t>
            </w:r>
          </w:p>
        </w:tc>
        <w:tc>
          <w:tcPr>
            <w:tcW w:w="2477" w:type="dxa"/>
            <w:tcBorders>
              <w:top w:val="single" w:sz="4" w:space="0" w:color="365F91"/>
              <w:left w:val="nil"/>
              <w:bottom w:val="single" w:sz="4" w:space="0" w:color="365F91"/>
              <w:right w:val="nil"/>
            </w:tcBorders>
            <w:hideMark/>
          </w:tcPr>
          <w:p w14:paraId="5488A7BB" w14:textId="77777777" w:rsidR="00FB19C0" w:rsidRPr="00BE78CA" w:rsidRDefault="00FB19C0" w:rsidP="00C26084">
            <w:pPr>
              <w:pStyle w:val="TableText"/>
              <w:keepNext/>
              <w:spacing w:before="50" w:after="50"/>
              <w:jc w:val="center"/>
            </w:pPr>
            <w:r w:rsidRPr="00BE78CA">
              <w:t>2,147.6</w:t>
            </w:r>
          </w:p>
        </w:tc>
      </w:tr>
      <w:tr w:rsidR="00FB19C0" w:rsidRPr="00BE78CA" w14:paraId="238A67D3" w14:textId="77777777" w:rsidTr="00C26084">
        <w:tc>
          <w:tcPr>
            <w:tcW w:w="1078" w:type="dxa"/>
            <w:tcBorders>
              <w:top w:val="single" w:sz="4" w:space="0" w:color="365F91"/>
              <w:left w:val="nil"/>
              <w:bottom w:val="single" w:sz="4" w:space="0" w:color="365F91"/>
              <w:right w:val="nil"/>
            </w:tcBorders>
            <w:hideMark/>
          </w:tcPr>
          <w:p w14:paraId="65C4DED3" w14:textId="77777777" w:rsidR="00FB19C0" w:rsidRPr="00BE78CA" w:rsidRDefault="00FB19C0" w:rsidP="00C26084">
            <w:pPr>
              <w:pStyle w:val="TableTextBold"/>
              <w:spacing w:before="50" w:after="50"/>
              <w:rPr>
                <w:noProof w:val="0"/>
              </w:rPr>
            </w:pPr>
            <w:r w:rsidRPr="00BE78CA">
              <w:rPr>
                <w:noProof w:val="0"/>
              </w:rPr>
              <w:t>1970</w:t>
            </w:r>
          </w:p>
        </w:tc>
        <w:tc>
          <w:tcPr>
            <w:tcW w:w="2475" w:type="dxa"/>
            <w:tcBorders>
              <w:top w:val="single" w:sz="4" w:space="0" w:color="365F91"/>
              <w:left w:val="nil"/>
              <w:bottom w:val="single" w:sz="4" w:space="0" w:color="365F91"/>
              <w:right w:val="nil"/>
            </w:tcBorders>
            <w:hideMark/>
          </w:tcPr>
          <w:p w14:paraId="4CA52BAE" w14:textId="77777777" w:rsidR="00FB19C0" w:rsidRPr="00BE78CA" w:rsidRDefault="00FB19C0" w:rsidP="00C26084">
            <w:pPr>
              <w:pStyle w:val="TableText"/>
              <w:keepNext/>
              <w:spacing w:before="50" w:after="50"/>
              <w:jc w:val="center"/>
            </w:pPr>
            <w:r w:rsidRPr="00BE78CA">
              <w:t>626.8</w:t>
            </w:r>
          </w:p>
        </w:tc>
        <w:tc>
          <w:tcPr>
            <w:tcW w:w="2475" w:type="dxa"/>
            <w:tcBorders>
              <w:top w:val="single" w:sz="4" w:space="0" w:color="365F91"/>
              <w:left w:val="nil"/>
              <w:bottom w:val="single" w:sz="4" w:space="0" w:color="365F91"/>
              <w:right w:val="nil"/>
            </w:tcBorders>
            <w:hideMark/>
          </w:tcPr>
          <w:p w14:paraId="778982AE" w14:textId="77777777" w:rsidR="00FB19C0" w:rsidRPr="00BE78CA" w:rsidRDefault="00FB19C0" w:rsidP="00C26084">
            <w:pPr>
              <w:pStyle w:val="TableText"/>
              <w:keepNext/>
              <w:spacing w:before="50" w:after="50"/>
              <w:jc w:val="center"/>
            </w:pPr>
            <w:r w:rsidRPr="00BE78CA">
              <w:t>1,565.6</w:t>
            </w:r>
          </w:p>
        </w:tc>
        <w:tc>
          <w:tcPr>
            <w:tcW w:w="2477" w:type="dxa"/>
            <w:tcBorders>
              <w:top w:val="single" w:sz="4" w:space="0" w:color="365F91"/>
              <w:left w:val="nil"/>
              <w:bottom w:val="single" w:sz="4" w:space="0" w:color="365F91"/>
              <w:right w:val="nil"/>
            </w:tcBorders>
            <w:hideMark/>
          </w:tcPr>
          <w:p w14:paraId="7167508F" w14:textId="77777777" w:rsidR="00FB19C0" w:rsidRPr="00BE78CA" w:rsidRDefault="00FB19C0" w:rsidP="00C26084">
            <w:pPr>
              <w:pStyle w:val="TableText"/>
              <w:keepNext/>
              <w:spacing w:before="50" w:after="50"/>
              <w:jc w:val="center"/>
            </w:pPr>
            <w:r w:rsidRPr="00BE78CA">
              <w:t>2,192.4</w:t>
            </w:r>
          </w:p>
        </w:tc>
      </w:tr>
      <w:tr w:rsidR="00FB19C0" w:rsidRPr="00BE78CA" w14:paraId="5E5063DC" w14:textId="77777777" w:rsidTr="00C26084">
        <w:tc>
          <w:tcPr>
            <w:tcW w:w="1078" w:type="dxa"/>
            <w:tcBorders>
              <w:top w:val="single" w:sz="4" w:space="0" w:color="365F91"/>
              <w:left w:val="nil"/>
              <w:bottom w:val="single" w:sz="4" w:space="0" w:color="365F91"/>
              <w:right w:val="nil"/>
            </w:tcBorders>
            <w:hideMark/>
          </w:tcPr>
          <w:p w14:paraId="0FBDD675" w14:textId="77777777" w:rsidR="00FB19C0" w:rsidRPr="00BE78CA" w:rsidRDefault="00FB19C0" w:rsidP="00C26084">
            <w:pPr>
              <w:pStyle w:val="TableTextBold"/>
              <w:spacing w:before="50" w:after="50"/>
              <w:rPr>
                <w:noProof w:val="0"/>
              </w:rPr>
            </w:pPr>
            <w:r w:rsidRPr="00BE78CA">
              <w:rPr>
                <w:noProof w:val="0"/>
              </w:rPr>
              <w:t>1971</w:t>
            </w:r>
          </w:p>
        </w:tc>
        <w:tc>
          <w:tcPr>
            <w:tcW w:w="2475" w:type="dxa"/>
            <w:tcBorders>
              <w:top w:val="single" w:sz="4" w:space="0" w:color="365F91"/>
              <w:left w:val="nil"/>
              <w:bottom w:val="single" w:sz="4" w:space="0" w:color="365F91"/>
              <w:right w:val="nil"/>
            </w:tcBorders>
            <w:hideMark/>
          </w:tcPr>
          <w:p w14:paraId="00D900F4" w14:textId="77777777" w:rsidR="00FB19C0" w:rsidRPr="00BE78CA" w:rsidRDefault="00FB19C0" w:rsidP="00C26084">
            <w:pPr>
              <w:pStyle w:val="TableText"/>
              <w:keepNext/>
              <w:spacing w:before="50" w:after="50"/>
              <w:jc w:val="center"/>
            </w:pPr>
            <w:r w:rsidRPr="00BE78CA">
              <w:t>622.5</w:t>
            </w:r>
          </w:p>
        </w:tc>
        <w:tc>
          <w:tcPr>
            <w:tcW w:w="2475" w:type="dxa"/>
            <w:tcBorders>
              <w:top w:val="single" w:sz="4" w:space="0" w:color="365F91"/>
              <w:left w:val="nil"/>
              <w:bottom w:val="single" w:sz="4" w:space="0" w:color="365F91"/>
              <w:right w:val="nil"/>
            </w:tcBorders>
            <w:hideMark/>
          </w:tcPr>
          <w:p w14:paraId="200637D5" w14:textId="77777777" w:rsidR="00FB19C0" w:rsidRPr="00BE78CA" w:rsidRDefault="00FB19C0" w:rsidP="00C26084">
            <w:pPr>
              <w:pStyle w:val="TableText"/>
              <w:keepNext/>
              <w:spacing w:before="50" w:after="50"/>
              <w:jc w:val="center"/>
            </w:pPr>
            <w:r w:rsidRPr="00BE78CA">
              <w:t>1,622.5</w:t>
            </w:r>
          </w:p>
        </w:tc>
        <w:tc>
          <w:tcPr>
            <w:tcW w:w="2477" w:type="dxa"/>
            <w:tcBorders>
              <w:top w:val="single" w:sz="4" w:space="0" w:color="365F91"/>
              <w:left w:val="nil"/>
              <w:bottom w:val="single" w:sz="4" w:space="0" w:color="365F91"/>
              <w:right w:val="nil"/>
            </w:tcBorders>
            <w:hideMark/>
          </w:tcPr>
          <w:p w14:paraId="299899C8" w14:textId="77777777" w:rsidR="00FB19C0" w:rsidRPr="00BE78CA" w:rsidRDefault="00FB19C0" w:rsidP="00C26084">
            <w:pPr>
              <w:pStyle w:val="TableText"/>
              <w:keepNext/>
              <w:spacing w:before="50" w:after="50"/>
              <w:jc w:val="center"/>
            </w:pPr>
            <w:r w:rsidRPr="00BE78CA">
              <w:t>2,245.0</w:t>
            </w:r>
          </w:p>
        </w:tc>
      </w:tr>
      <w:tr w:rsidR="00FB19C0" w:rsidRPr="00BE78CA" w14:paraId="58193484" w14:textId="77777777" w:rsidTr="00C26084">
        <w:tc>
          <w:tcPr>
            <w:tcW w:w="1078" w:type="dxa"/>
            <w:tcBorders>
              <w:top w:val="single" w:sz="4" w:space="0" w:color="365F91"/>
              <w:left w:val="nil"/>
              <w:bottom w:val="single" w:sz="4" w:space="0" w:color="365F91"/>
              <w:right w:val="nil"/>
            </w:tcBorders>
            <w:hideMark/>
          </w:tcPr>
          <w:p w14:paraId="4D13DB15" w14:textId="77777777" w:rsidR="00FB19C0" w:rsidRPr="00BE78CA" w:rsidRDefault="00FB19C0" w:rsidP="00C26084">
            <w:pPr>
              <w:pStyle w:val="TableTextBold"/>
              <w:spacing w:before="50" w:after="50"/>
              <w:rPr>
                <w:noProof w:val="0"/>
              </w:rPr>
            </w:pPr>
            <w:r w:rsidRPr="00BE78CA">
              <w:rPr>
                <w:noProof w:val="0"/>
              </w:rPr>
              <w:t>1972</w:t>
            </w:r>
          </w:p>
        </w:tc>
        <w:tc>
          <w:tcPr>
            <w:tcW w:w="2475" w:type="dxa"/>
            <w:tcBorders>
              <w:top w:val="single" w:sz="4" w:space="0" w:color="365F91"/>
              <w:left w:val="nil"/>
              <w:bottom w:val="single" w:sz="4" w:space="0" w:color="365F91"/>
              <w:right w:val="nil"/>
            </w:tcBorders>
            <w:hideMark/>
          </w:tcPr>
          <w:p w14:paraId="0DC882DC" w14:textId="77777777" w:rsidR="00FB19C0" w:rsidRPr="00BE78CA" w:rsidRDefault="00FB19C0" w:rsidP="00C26084">
            <w:pPr>
              <w:pStyle w:val="TableText"/>
              <w:keepNext/>
              <w:spacing w:before="50" w:after="50"/>
              <w:jc w:val="center"/>
            </w:pPr>
            <w:r w:rsidRPr="00BE78CA">
              <w:t>602.4</w:t>
            </w:r>
          </w:p>
        </w:tc>
        <w:tc>
          <w:tcPr>
            <w:tcW w:w="2475" w:type="dxa"/>
            <w:tcBorders>
              <w:top w:val="single" w:sz="4" w:space="0" w:color="365F91"/>
              <w:left w:val="nil"/>
              <w:bottom w:val="single" w:sz="4" w:space="0" w:color="365F91"/>
              <w:right w:val="nil"/>
            </w:tcBorders>
            <w:hideMark/>
          </w:tcPr>
          <w:p w14:paraId="6050D74F" w14:textId="77777777" w:rsidR="00FB19C0" w:rsidRPr="00BE78CA" w:rsidRDefault="00FB19C0" w:rsidP="00C26084">
            <w:pPr>
              <w:pStyle w:val="TableText"/>
              <w:keepNext/>
              <w:spacing w:before="50" w:after="50"/>
              <w:jc w:val="center"/>
            </w:pPr>
            <w:r w:rsidRPr="00BE78CA">
              <w:t>1,681.4</w:t>
            </w:r>
          </w:p>
        </w:tc>
        <w:tc>
          <w:tcPr>
            <w:tcW w:w="2477" w:type="dxa"/>
            <w:tcBorders>
              <w:top w:val="single" w:sz="4" w:space="0" w:color="365F91"/>
              <w:left w:val="nil"/>
              <w:bottom w:val="single" w:sz="4" w:space="0" w:color="365F91"/>
              <w:right w:val="nil"/>
            </w:tcBorders>
            <w:hideMark/>
          </w:tcPr>
          <w:p w14:paraId="1860E40B" w14:textId="77777777" w:rsidR="00FB19C0" w:rsidRPr="00BE78CA" w:rsidRDefault="00FB19C0" w:rsidP="00C26084">
            <w:pPr>
              <w:pStyle w:val="TableText"/>
              <w:keepNext/>
              <w:spacing w:before="50" w:after="50"/>
              <w:jc w:val="center"/>
            </w:pPr>
            <w:r w:rsidRPr="00BE78CA">
              <w:t>2,283.8</w:t>
            </w:r>
          </w:p>
        </w:tc>
      </w:tr>
      <w:tr w:rsidR="00FB19C0" w:rsidRPr="00BE78CA" w14:paraId="20DA7B3B" w14:textId="77777777" w:rsidTr="00C26084">
        <w:tc>
          <w:tcPr>
            <w:tcW w:w="1078" w:type="dxa"/>
            <w:tcBorders>
              <w:top w:val="single" w:sz="4" w:space="0" w:color="365F91"/>
              <w:left w:val="nil"/>
              <w:bottom w:val="single" w:sz="4" w:space="0" w:color="365F91"/>
              <w:right w:val="nil"/>
            </w:tcBorders>
            <w:hideMark/>
          </w:tcPr>
          <w:p w14:paraId="5A008079" w14:textId="77777777" w:rsidR="00FB19C0" w:rsidRPr="00BE78CA" w:rsidRDefault="00FB19C0" w:rsidP="00C26084">
            <w:pPr>
              <w:pStyle w:val="TableTextBold"/>
              <w:spacing w:before="50" w:after="50"/>
              <w:rPr>
                <w:noProof w:val="0"/>
              </w:rPr>
            </w:pPr>
            <w:r w:rsidRPr="00BE78CA">
              <w:rPr>
                <w:noProof w:val="0"/>
              </w:rPr>
              <w:t>1973</w:t>
            </w:r>
          </w:p>
        </w:tc>
        <w:tc>
          <w:tcPr>
            <w:tcW w:w="2475" w:type="dxa"/>
            <w:tcBorders>
              <w:top w:val="single" w:sz="4" w:space="0" w:color="365F91"/>
              <w:left w:val="nil"/>
              <w:bottom w:val="single" w:sz="4" w:space="0" w:color="365F91"/>
              <w:right w:val="nil"/>
            </w:tcBorders>
            <w:hideMark/>
          </w:tcPr>
          <w:p w14:paraId="604D7799" w14:textId="77777777" w:rsidR="00FB19C0" w:rsidRPr="00BE78CA" w:rsidRDefault="00FB19C0" w:rsidP="00C26084">
            <w:pPr>
              <w:pStyle w:val="TableText"/>
              <w:keepNext/>
              <w:spacing w:before="50" w:after="50"/>
              <w:jc w:val="center"/>
            </w:pPr>
            <w:r w:rsidRPr="00BE78CA">
              <w:t>606.3</w:t>
            </w:r>
          </w:p>
        </w:tc>
        <w:tc>
          <w:tcPr>
            <w:tcW w:w="2475" w:type="dxa"/>
            <w:tcBorders>
              <w:top w:val="single" w:sz="4" w:space="0" w:color="365F91"/>
              <w:left w:val="nil"/>
              <w:bottom w:val="single" w:sz="4" w:space="0" w:color="365F91"/>
              <w:right w:val="nil"/>
            </w:tcBorders>
            <w:hideMark/>
          </w:tcPr>
          <w:p w14:paraId="16F21A07" w14:textId="77777777" w:rsidR="00FB19C0" w:rsidRPr="00BE78CA" w:rsidRDefault="00FB19C0" w:rsidP="00C26084">
            <w:pPr>
              <w:pStyle w:val="TableText"/>
              <w:keepNext/>
              <w:spacing w:before="50" w:after="50"/>
              <w:jc w:val="center"/>
            </w:pPr>
            <w:r w:rsidRPr="00BE78CA">
              <w:t>1,742.4</w:t>
            </w:r>
          </w:p>
        </w:tc>
        <w:tc>
          <w:tcPr>
            <w:tcW w:w="2477" w:type="dxa"/>
            <w:tcBorders>
              <w:top w:val="single" w:sz="4" w:space="0" w:color="365F91"/>
              <w:left w:val="nil"/>
              <w:bottom w:val="single" w:sz="4" w:space="0" w:color="365F91"/>
              <w:right w:val="nil"/>
            </w:tcBorders>
            <w:hideMark/>
          </w:tcPr>
          <w:p w14:paraId="60DD322B" w14:textId="77777777" w:rsidR="00FB19C0" w:rsidRPr="00BE78CA" w:rsidRDefault="00FB19C0" w:rsidP="00C26084">
            <w:pPr>
              <w:pStyle w:val="TableText"/>
              <w:keepNext/>
              <w:spacing w:before="50" w:after="50"/>
              <w:jc w:val="center"/>
            </w:pPr>
            <w:r w:rsidRPr="00BE78CA">
              <w:t>2,348.7</w:t>
            </w:r>
          </w:p>
        </w:tc>
      </w:tr>
      <w:tr w:rsidR="00FB19C0" w:rsidRPr="00BE78CA" w14:paraId="25604EFA" w14:textId="77777777" w:rsidTr="00C26084">
        <w:tc>
          <w:tcPr>
            <w:tcW w:w="1078" w:type="dxa"/>
            <w:tcBorders>
              <w:top w:val="single" w:sz="4" w:space="0" w:color="365F91"/>
              <w:left w:val="nil"/>
              <w:bottom w:val="single" w:sz="4" w:space="0" w:color="365F91"/>
              <w:right w:val="nil"/>
            </w:tcBorders>
            <w:hideMark/>
          </w:tcPr>
          <w:p w14:paraId="78B65794" w14:textId="77777777" w:rsidR="00FB19C0" w:rsidRPr="00BE78CA" w:rsidRDefault="00FB19C0" w:rsidP="00C26084">
            <w:pPr>
              <w:pStyle w:val="TableTextBold"/>
              <w:spacing w:before="50" w:after="50"/>
              <w:rPr>
                <w:noProof w:val="0"/>
              </w:rPr>
            </w:pPr>
            <w:r w:rsidRPr="00BE78CA">
              <w:rPr>
                <w:noProof w:val="0"/>
              </w:rPr>
              <w:t>1974</w:t>
            </w:r>
          </w:p>
        </w:tc>
        <w:tc>
          <w:tcPr>
            <w:tcW w:w="2475" w:type="dxa"/>
            <w:tcBorders>
              <w:top w:val="single" w:sz="4" w:space="0" w:color="365F91"/>
              <w:left w:val="nil"/>
              <w:bottom w:val="single" w:sz="4" w:space="0" w:color="365F91"/>
              <w:right w:val="nil"/>
            </w:tcBorders>
            <w:hideMark/>
          </w:tcPr>
          <w:p w14:paraId="064ABE1B" w14:textId="77777777" w:rsidR="00FB19C0" w:rsidRPr="00BE78CA" w:rsidRDefault="00FB19C0" w:rsidP="00C26084">
            <w:pPr>
              <w:pStyle w:val="TableText"/>
              <w:keepNext/>
              <w:spacing w:before="50" w:after="50"/>
              <w:jc w:val="center"/>
            </w:pPr>
            <w:r w:rsidRPr="00BE78CA">
              <w:t>608.8</w:t>
            </w:r>
          </w:p>
        </w:tc>
        <w:tc>
          <w:tcPr>
            <w:tcW w:w="2475" w:type="dxa"/>
            <w:tcBorders>
              <w:top w:val="single" w:sz="4" w:space="0" w:color="365F91"/>
              <w:left w:val="nil"/>
              <w:bottom w:val="single" w:sz="4" w:space="0" w:color="365F91"/>
              <w:right w:val="nil"/>
            </w:tcBorders>
            <w:hideMark/>
          </w:tcPr>
          <w:p w14:paraId="7C6BD6AA" w14:textId="77777777" w:rsidR="00FB19C0" w:rsidRPr="00BE78CA" w:rsidRDefault="00FB19C0" w:rsidP="00C26084">
            <w:pPr>
              <w:pStyle w:val="TableText"/>
              <w:keepNext/>
              <w:spacing w:before="50" w:after="50"/>
              <w:jc w:val="center"/>
            </w:pPr>
            <w:r w:rsidRPr="00BE78CA">
              <w:t>1,805.6</w:t>
            </w:r>
          </w:p>
        </w:tc>
        <w:tc>
          <w:tcPr>
            <w:tcW w:w="2477" w:type="dxa"/>
            <w:tcBorders>
              <w:top w:val="single" w:sz="4" w:space="0" w:color="365F91"/>
              <w:left w:val="nil"/>
              <w:bottom w:val="single" w:sz="4" w:space="0" w:color="365F91"/>
              <w:right w:val="nil"/>
            </w:tcBorders>
            <w:hideMark/>
          </w:tcPr>
          <w:p w14:paraId="50173530" w14:textId="77777777" w:rsidR="00FB19C0" w:rsidRPr="00BE78CA" w:rsidRDefault="00FB19C0" w:rsidP="00C26084">
            <w:pPr>
              <w:pStyle w:val="TableText"/>
              <w:keepNext/>
              <w:spacing w:before="50" w:after="50"/>
              <w:jc w:val="center"/>
            </w:pPr>
            <w:r w:rsidRPr="00BE78CA">
              <w:t>2,414.4</w:t>
            </w:r>
          </w:p>
        </w:tc>
      </w:tr>
      <w:tr w:rsidR="00FB19C0" w:rsidRPr="00BE78CA" w14:paraId="2B708942" w14:textId="77777777" w:rsidTr="00C26084">
        <w:tc>
          <w:tcPr>
            <w:tcW w:w="1078" w:type="dxa"/>
            <w:tcBorders>
              <w:top w:val="single" w:sz="4" w:space="0" w:color="365F91"/>
              <w:left w:val="nil"/>
              <w:bottom w:val="single" w:sz="4" w:space="0" w:color="365F91"/>
              <w:right w:val="nil"/>
            </w:tcBorders>
            <w:hideMark/>
          </w:tcPr>
          <w:p w14:paraId="7AC28CCE" w14:textId="77777777" w:rsidR="00FB19C0" w:rsidRPr="00BE78CA" w:rsidRDefault="00FB19C0" w:rsidP="00C26084">
            <w:pPr>
              <w:pStyle w:val="TableTextBold"/>
              <w:spacing w:before="50" w:after="50"/>
              <w:rPr>
                <w:noProof w:val="0"/>
              </w:rPr>
            </w:pPr>
            <w:r w:rsidRPr="00BE78CA">
              <w:rPr>
                <w:noProof w:val="0"/>
              </w:rPr>
              <w:t>1975</w:t>
            </w:r>
          </w:p>
        </w:tc>
        <w:tc>
          <w:tcPr>
            <w:tcW w:w="2475" w:type="dxa"/>
            <w:tcBorders>
              <w:top w:val="single" w:sz="4" w:space="0" w:color="365F91"/>
              <w:left w:val="nil"/>
              <w:bottom w:val="single" w:sz="4" w:space="0" w:color="365F91"/>
              <w:right w:val="nil"/>
            </w:tcBorders>
            <w:hideMark/>
          </w:tcPr>
          <w:p w14:paraId="14A0BFB0" w14:textId="77777777" w:rsidR="00FB19C0" w:rsidRPr="00BE78CA" w:rsidRDefault="00FB19C0" w:rsidP="00C26084">
            <w:pPr>
              <w:pStyle w:val="TableText"/>
              <w:keepNext/>
              <w:spacing w:before="50" w:after="50"/>
              <w:jc w:val="center"/>
            </w:pPr>
            <w:r w:rsidRPr="00BE78CA">
              <w:t>643.4</w:t>
            </w:r>
          </w:p>
        </w:tc>
        <w:tc>
          <w:tcPr>
            <w:tcW w:w="2475" w:type="dxa"/>
            <w:tcBorders>
              <w:top w:val="single" w:sz="4" w:space="0" w:color="365F91"/>
              <w:left w:val="nil"/>
              <w:bottom w:val="single" w:sz="4" w:space="0" w:color="365F91"/>
              <w:right w:val="nil"/>
            </w:tcBorders>
            <w:hideMark/>
          </w:tcPr>
          <w:p w14:paraId="75E6785C" w14:textId="77777777" w:rsidR="00FB19C0" w:rsidRPr="00BE78CA" w:rsidRDefault="00FB19C0" w:rsidP="00C26084">
            <w:pPr>
              <w:pStyle w:val="TableText"/>
              <w:keepNext/>
              <w:spacing w:before="50" w:after="50"/>
              <w:jc w:val="center"/>
            </w:pPr>
            <w:r w:rsidRPr="00BE78CA">
              <w:t>1,871.0</w:t>
            </w:r>
          </w:p>
        </w:tc>
        <w:tc>
          <w:tcPr>
            <w:tcW w:w="2477" w:type="dxa"/>
            <w:tcBorders>
              <w:top w:val="single" w:sz="4" w:space="0" w:color="365F91"/>
              <w:left w:val="nil"/>
              <w:bottom w:val="single" w:sz="4" w:space="0" w:color="365F91"/>
              <w:right w:val="nil"/>
            </w:tcBorders>
            <w:hideMark/>
          </w:tcPr>
          <w:p w14:paraId="25A44ED2" w14:textId="77777777" w:rsidR="00FB19C0" w:rsidRPr="00BE78CA" w:rsidRDefault="00FB19C0" w:rsidP="00C26084">
            <w:pPr>
              <w:pStyle w:val="TableText"/>
              <w:keepNext/>
              <w:spacing w:before="50" w:after="50"/>
              <w:jc w:val="center"/>
            </w:pPr>
            <w:r w:rsidRPr="00BE78CA">
              <w:t>2,514.4</w:t>
            </w:r>
          </w:p>
        </w:tc>
      </w:tr>
      <w:tr w:rsidR="00FB19C0" w:rsidRPr="00BE78CA" w14:paraId="72FA2A1A" w14:textId="77777777" w:rsidTr="00C26084">
        <w:tc>
          <w:tcPr>
            <w:tcW w:w="1078" w:type="dxa"/>
            <w:tcBorders>
              <w:top w:val="single" w:sz="4" w:space="0" w:color="365F91"/>
              <w:left w:val="nil"/>
              <w:bottom w:val="single" w:sz="4" w:space="0" w:color="365F91"/>
              <w:right w:val="nil"/>
            </w:tcBorders>
            <w:hideMark/>
          </w:tcPr>
          <w:p w14:paraId="174E80F2" w14:textId="77777777" w:rsidR="00FB19C0" w:rsidRPr="00BE78CA" w:rsidRDefault="00FB19C0" w:rsidP="00C26084">
            <w:pPr>
              <w:pStyle w:val="TableTextBold"/>
              <w:spacing w:before="50" w:after="50"/>
              <w:rPr>
                <w:noProof w:val="0"/>
              </w:rPr>
            </w:pPr>
            <w:r w:rsidRPr="00BE78CA">
              <w:rPr>
                <w:noProof w:val="0"/>
              </w:rPr>
              <w:t>1976</w:t>
            </w:r>
          </w:p>
        </w:tc>
        <w:tc>
          <w:tcPr>
            <w:tcW w:w="2475" w:type="dxa"/>
            <w:tcBorders>
              <w:top w:val="single" w:sz="4" w:space="0" w:color="365F91"/>
              <w:left w:val="nil"/>
              <w:bottom w:val="single" w:sz="4" w:space="0" w:color="365F91"/>
              <w:right w:val="nil"/>
            </w:tcBorders>
            <w:hideMark/>
          </w:tcPr>
          <w:p w14:paraId="39B580D5" w14:textId="77777777" w:rsidR="00FB19C0" w:rsidRPr="00BE78CA" w:rsidRDefault="00FB19C0" w:rsidP="00C26084">
            <w:pPr>
              <w:pStyle w:val="TableText"/>
              <w:keepNext/>
              <w:spacing w:before="50" w:after="50"/>
              <w:jc w:val="center"/>
            </w:pPr>
            <w:r w:rsidRPr="00BE78CA">
              <w:t>650.2</w:t>
            </w:r>
          </w:p>
        </w:tc>
        <w:tc>
          <w:tcPr>
            <w:tcW w:w="2475" w:type="dxa"/>
            <w:tcBorders>
              <w:top w:val="single" w:sz="4" w:space="0" w:color="365F91"/>
              <w:left w:val="nil"/>
              <w:bottom w:val="single" w:sz="4" w:space="0" w:color="365F91"/>
              <w:right w:val="nil"/>
            </w:tcBorders>
            <w:hideMark/>
          </w:tcPr>
          <w:p w14:paraId="031C38B5" w14:textId="77777777" w:rsidR="00FB19C0" w:rsidRPr="00BE78CA" w:rsidRDefault="00FB19C0" w:rsidP="00C26084">
            <w:pPr>
              <w:pStyle w:val="TableText"/>
              <w:keepNext/>
              <w:spacing w:before="50" w:after="50"/>
              <w:jc w:val="center"/>
            </w:pPr>
            <w:r w:rsidRPr="00BE78CA">
              <w:t>1,938.8</w:t>
            </w:r>
          </w:p>
        </w:tc>
        <w:tc>
          <w:tcPr>
            <w:tcW w:w="2477" w:type="dxa"/>
            <w:tcBorders>
              <w:top w:val="single" w:sz="4" w:space="0" w:color="365F91"/>
              <w:left w:val="nil"/>
              <w:bottom w:val="single" w:sz="4" w:space="0" w:color="365F91"/>
              <w:right w:val="nil"/>
            </w:tcBorders>
            <w:hideMark/>
          </w:tcPr>
          <w:p w14:paraId="6CB83C9C" w14:textId="77777777" w:rsidR="00FB19C0" w:rsidRPr="00BE78CA" w:rsidRDefault="00FB19C0" w:rsidP="00C26084">
            <w:pPr>
              <w:pStyle w:val="TableText"/>
              <w:keepNext/>
              <w:spacing w:before="50" w:after="50"/>
              <w:jc w:val="center"/>
            </w:pPr>
            <w:r w:rsidRPr="00BE78CA">
              <w:t>2,589.1</w:t>
            </w:r>
          </w:p>
        </w:tc>
      </w:tr>
      <w:tr w:rsidR="00FB19C0" w:rsidRPr="00BE78CA" w14:paraId="71A63AFD" w14:textId="77777777" w:rsidTr="00C26084">
        <w:tc>
          <w:tcPr>
            <w:tcW w:w="1078" w:type="dxa"/>
            <w:tcBorders>
              <w:top w:val="single" w:sz="4" w:space="0" w:color="365F91"/>
              <w:left w:val="nil"/>
              <w:bottom w:val="single" w:sz="4" w:space="0" w:color="365F91"/>
              <w:right w:val="nil"/>
            </w:tcBorders>
            <w:hideMark/>
          </w:tcPr>
          <w:p w14:paraId="022E1AEA" w14:textId="77777777" w:rsidR="00FB19C0" w:rsidRPr="00BE78CA" w:rsidRDefault="00FB19C0" w:rsidP="00C26084">
            <w:pPr>
              <w:pStyle w:val="TableTextBold"/>
              <w:spacing w:before="50" w:after="50"/>
              <w:rPr>
                <w:noProof w:val="0"/>
              </w:rPr>
            </w:pPr>
            <w:r w:rsidRPr="00BE78CA">
              <w:rPr>
                <w:noProof w:val="0"/>
              </w:rPr>
              <w:t>1977</w:t>
            </w:r>
          </w:p>
        </w:tc>
        <w:tc>
          <w:tcPr>
            <w:tcW w:w="2475" w:type="dxa"/>
            <w:tcBorders>
              <w:top w:val="single" w:sz="4" w:space="0" w:color="365F91"/>
              <w:left w:val="nil"/>
              <w:bottom w:val="single" w:sz="4" w:space="0" w:color="365F91"/>
              <w:right w:val="nil"/>
            </w:tcBorders>
            <w:hideMark/>
          </w:tcPr>
          <w:p w14:paraId="3DCB330A" w14:textId="77777777" w:rsidR="00FB19C0" w:rsidRPr="00BE78CA" w:rsidRDefault="00FB19C0" w:rsidP="00C26084">
            <w:pPr>
              <w:pStyle w:val="TableText"/>
              <w:keepNext/>
              <w:spacing w:before="50" w:after="50"/>
              <w:jc w:val="center"/>
            </w:pPr>
            <w:r w:rsidRPr="00BE78CA">
              <w:t>657.9</w:t>
            </w:r>
          </w:p>
        </w:tc>
        <w:tc>
          <w:tcPr>
            <w:tcW w:w="2475" w:type="dxa"/>
            <w:tcBorders>
              <w:top w:val="single" w:sz="4" w:space="0" w:color="365F91"/>
              <w:left w:val="nil"/>
              <w:bottom w:val="single" w:sz="4" w:space="0" w:color="365F91"/>
              <w:right w:val="nil"/>
            </w:tcBorders>
            <w:hideMark/>
          </w:tcPr>
          <w:p w14:paraId="3771CAAC" w14:textId="77777777" w:rsidR="00FB19C0" w:rsidRPr="00BE78CA" w:rsidRDefault="00FB19C0" w:rsidP="00C26084">
            <w:pPr>
              <w:pStyle w:val="TableText"/>
              <w:keepNext/>
              <w:spacing w:before="50" w:after="50"/>
              <w:jc w:val="center"/>
            </w:pPr>
            <w:r w:rsidRPr="00BE78CA">
              <w:t>2,009.0</w:t>
            </w:r>
          </w:p>
        </w:tc>
        <w:tc>
          <w:tcPr>
            <w:tcW w:w="2477" w:type="dxa"/>
            <w:tcBorders>
              <w:top w:val="single" w:sz="4" w:space="0" w:color="365F91"/>
              <w:left w:val="nil"/>
              <w:bottom w:val="single" w:sz="4" w:space="0" w:color="365F91"/>
              <w:right w:val="nil"/>
            </w:tcBorders>
            <w:hideMark/>
          </w:tcPr>
          <w:p w14:paraId="2378F045" w14:textId="77777777" w:rsidR="00FB19C0" w:rsidRPr="00BE78CA" w:rsidRDefault="00FB19C0" w:rsidP="00C26084">
            <w:pPr>
              <w:pStyle w:val="TableText"/>
              <w:keepNext/>
              <w:spacing w:before="50" w:after="50"/>
              <w:jc w:val="center"/>
            </w:pPr>
            <w:r w:rsidRPr="00BE78CA">
              <w:t>2,666.9</w:t>
            </w:r>
          </w:p>
        </w:tc>
      </w:tr>
      <w:tr w:rsidR="00FB19C0" w:rsidRPr="00BE78CA" w14:paraId="6F1DCD20" w14:textId="77777777" w:rsidTr="00C26084">
        <w:tc>
          <w:tcPr>
            <w:tcW w:w="1078" w:type="dxa"/>
            <w:tcBorders>
              <w:top w:val="single" w:sz="4" w:space="0" w:color="365F91"/>
              <w:left w:val="nil"/>
              <w:bottom w:val="single" w:sz="4" w:space="0" w:color="365F91"/>
              <w:right w:val="nil"/>
            </w:tcBorders>
            <w:hideMark/>
          </w:tcPr>
          <w:p w14:paraId="1131F765" w14:textId="77777777" w:rsidR="00FB19C0" w:rsidRPr="00BE78CA" w:rsidRDefault="00FB19C0" w:rsidP="00C26084">
            <w:pPr>
              <w:pStyle w:val="TableTextBold"/>
              <w:spacing w:before="50" w:after="50"/>
              <w:rPr>
                <w:noProof w:val="0"/>
              </w:rPr>
            </w:pPr>
            <w:r w:rsidRPr="00BE78CA">
              <w:rPr>
                <w:noProof w:val="0"/>
              </w:rPr>
              <w:t>1978</w:t>
            </w:r>
          </w:p>
        </w:tc>
        <w:tc>
          <w:tcPr>
            <w:tcW w:w="2475" w:type="dxa"/>
            <w:tcBorders>
              <w:top w:val="single" w:sz="4" w:space="0" w:color="365F91"/>
              <w:left w:val="nil"/>
              <w:bottom w:val="single" w:sz="4" w:space="0" w:color="365F91"/>
              <w:right w:val="nil"/>
            </w:tcBorders>
            <w:hideMark/>
          </w:tcPr>
          <w:p w14:paraId="44EC9E5B" w14:textId="77777777" w:rsidR="00FB19C0" w:rsidRPr="00BE78CA" w:rsidRDefault="00FB19C0" w:rsidP="00C26084">
            <w:pPr>
              <w:pStyle w:val="TableText"/>
              <w:keepNext/>
              <w:spacing w:before="50" w:after="50"/>
              <w:jc w:val="center"/>
            </w:pPr>
            <w:r w:rsidRPr="00BE78CA">
              <w:t>665.8</w:t>
            </w:r>
          </w:p>
        </w:tc>
        <w:tc>
          <w:tcPr>
            <w:tcW w:w="2475" w:type="dxa"/>
            <w:tcBorders>
              <w:top w:val="single" w:sz="4" w:space="0" w:color="365F91"/>
              <w:left w:val="nil"/>
              <w:bottom w:val="single" w:sz="4" w:space="0" w:color="365F91"/>
              <w:right w:val="nil"/>
            </w:tcBorders>
            <w:hideMark/>
          </w:tcPr>
          <w:p w14:paraId="4483D988" w14:textId="77777777" w:rsidR="00FB19C0" w:rsidRPr="00BE78CA" w:rsidRDefault="00FB19C0" w:rsidP="00C26084">
            <w:pPr>
              <w:pStyle w:val="TableText"/>
              <w:keepNext/>
              <w:spacing w:before="50" w:after="50"/>
              <w:jc w:val="center"/>
            </w:pPr>
            <w:r w:rsidRPr="00BE78CA">
              <w:t>2,081.7</w:t>
            </w:r>
          </w:p>
        </w:tc>
        <w:tc>
          <w:tcPr>
            <w:tcW w:w="2477" w:type="dxa"/>
            <w:tcBorders>
              <w:top w:val="single" w:sz="4" w:space="0" w:color="365F91"/>
              <w:left w:val="nil"/>
              <w:bottom w:val="single" w:sz="4" w:space="0" w:color="365F91"/>
              <w:right w:val="nil"/>
            </w:tcBorders>
            <w:hideMark/>
          </w:tcPr>
          <w:p w14:paraId="113D1365" w14:textId="77777777" w:rsidR="00FB19C0" w:rsidRPr="00BE78CA" w:rsidRDefault="00FB19C0" w:rsidP="00C26084">
            <w:pPr>
              <w:pStyle w:val="TableText"/>
              <w:keepNext/>
              <w:spacing w:before="50" w:after="50"/>
              <w:jc w:val="center"/>
            </w:pPr>
            <w:r w:rsidRPr="00BE78CA">
              <w:t>2,747.6</w:t>
            </w:r>
          </w:p>
        </w:tc>
      </w:tr>
      <w:tr w:rsidR="00FB19C0" w:rsidRPr="00BE78CA" w14:paraId="516BA516" w14:textId="77777777" w:rsidTr="00C26084">
        <w:tc>
          <w:tcPr>
            <w:tcW w:w="1078" w:type="dxa"/>
            <w:tcBorders>
              <w:top w:val="single" w:sz="4" w:space="0" w:color="365F91"/>
              <w:left w:val="nil"/>
              <w:bottom w:val="single" w:sz="4" w:space="0" w:color="365F91"/>
              <w:right w:val="nil"/>
            </w:tcBorders>
            <w:hideMark/>
          </w:tcPr>
          <w:p w14:paraId="655330BF" w14:textId="77777777" w:rsidR="00FB19C0" w:rsidRPr="00BE78CA" w:rsidRDefault="00FB19C0" w:rsidP="00C26084">
            <w:pPr>
              <w:pStyle w:val="TableTextBold"/>
              <w:spacing w:before="50" w:after="50"/>
              <w:rPr>
                <w:noProof w:val="0"/>
              </w:rPr>
            </w:pPr>
            <w:r w:rsidRPr="00BE78CA">
              <w:rPr>
                <w:noProof w:val="0"/>
              </w:rPr>
              <w:t>1979</w:t>
            </w:r>
          </w:p>
        </w:tc>
        <w:tc>
          <w:tcPr>
            <w:tcW w:w="2475" w:type="dxa"/>
            <w:tcBorders>
              <w:top w:val="single" w:sz="4" w:space="0" w:color="365F91"/>
              <w:left w:val="nil"/>
              <w:bottom w:val="single" w:sz="4" w:space="0" w:color="365F91"/>
              <w:right w:val="nil"/>
            </w:tcBorders>
            <w:hideMark/>
          </w:tcPr>
          <w:p w14:paraId="4381ED6C" w14:textId="77777777" w:rsidR="00FB19C0" w:rsidRPr="00BE78CA" w:rsidRDefault="00FB19C0" w:rsidP="00C26084">
            <w:pPr>
              <w:pStyle w:val="TableText"/>
              <w:keepNext/>
              <w:spacing w:before="50" w:after="50"/>
              <w:jc w:val="center"/>
            </w:pPr>
            <w:r w:rsidRPr="00BE78CA">
              <w:t>675.9</w:t>
            </w:r>
          </w:p>
        </w:tc>
        <w:tc>
          <w:tcPr>
            <w:tcW w:w="2475" w:type="dxa"/>
            <w:tcBorders>
              <w:top w:val="single" w:sz="4" w:space="0" w:color="365F91"/>
              <w:left w:val="nil"/>
              <w:bottom w:val="single" w:sz="4" w:space="0" w:color="365F91"/>
              <w:right w:val="nil"/>
            </w:tcBorders>
            <w:hideMark/>
          </w:tcPr>
          <w:p w14:paraId="6A7E207F" w14:textId="77777777" w:rsidR="00FB19C0" w:rsidRPr="00BE78CA" w:rsidRDefault="00FB19C0" w:rsidP="00C26084">
            <w:pPr>
              <w:pStyle w:val="TableText"/>
              <w:keepNext/>
              <w:spacing w:before="50" w:after="50"/>
              <w:jc w:val="center"/>
            </w:pPr>
            <w:r w:rsidRPr="00BE78CA">
              <w:t>2,088.4</w:t>
            </w:r>
          </w:p>
        </w:tc>
        <w:tc>
          <w:tcPr>
            <w:tcW w:w="2477" w:type="dxa"/>
            <w:tcBorders>
              <w:top w:val="single" w:sz="4" w:space="0" w:color="365F91"/>
              <w:left w:val="nil"/>
              <w:bottom w:val="single" w:sz="4" w:space="0" w:color="365F91"/>
              <w:right w:val="nil"/>
            </w:tcBorders>
            <w:hideMark/>
          </w:tcPr>
          <w:p w14:paraId="03B1A74B" w14:textId="77777777" w:rsidR="00FB19C0" w:rsidRPr="00BE78CA" w:rsidRDefault="00FB19C0" w:rsidP="00C26084">
            <w:pPr>
              <w:pStyle w:val="TableText"/>
              <w:keepNext/>
              <w:spacing w:before="50" w:after="50"/>
              <w:jc w:val="center"/>
            </w:pPr>
            <w:r w:rsidRPr="00BE78CA">
              <w:t>2,764.3</w:t>
            </w:r>
          </w:p>
        </w:tc>
      </w:tr>
      <w:tr w:rsidR="00FB19C0" w:rsidRPr="00BE78CA" w14:paraId="6F03A694" w14:textId="77777777" w:rsidTr="00C26084">
        <w:tc>
          <w:tcPr>
            <w:tcW w:w="1078" w:type="dxa"/>
            <w:tcBorders>
              <w:top w:val="single" w:sz="4" w:space="0" w:color="365F91"/>
              <w:left w:val="nil"/>
              <w:bottom w:val="single" w:sz="4" w:space="0" w:color="365F91"/>
              <w:right w:val="nil"/>
            </w:tcBorders>
            <w:hideMark/>
          </w:tcPr>
          <w:p w14:paraId="29A929B7" w14:textId="77777777" w:rsidR="00FB19C0" w:rsidRPr="00BE78CA" w:rsidRDefault="00FB19C0" w:rsidP="00C26084">
            <w:pPr>
              <w:pStyle w:val="TableTextBold"/>
              <w:spacing w:before="50" w:after="50"/>
              <w:rPr>
                <w:noProof w:val="0"/>
              </w:rPr>
            </w:pPr>
            <w:r w:rsidRPr="00BE78CA">
              <w:rPr>
                <w:noProof w:val="0"/>
              </w:rPr>
              <w:t>1980</w:t>
            </w:r>
          </w:p>
        </w:tc>
        <w:tc>
          <w:tcPr>
            <w:tcW w:w="2475" w:type="dxa"/>
            <w:tcBorders>
              <w:top w:val="single" w:sz="4" w:space="0" w:color="365F91"/>
              <w:left w:val="nil"/>
              <w:bottom w:val="single" w:sz="4" w:space="0" w:color="365F91"/>
              <w:right w:val="nil"/>
            </w:tcBorders>
            <w:hideMark/>
          </w:tcPr>
          <w:p w14:paraId="59B21A76" w14:textId="77777777" w:rsidR="00FB19C0" w:rsidRPr="00BE78CA" w:rsidRDefault="00FB19C0" w:rsidP="00C26084">
            <w:pPr>
              <w:pStyle w:val="TableText"/>
              <w:keepNext/>
              <w:spacing w:before="50" w:after="50"/>
              <w:jc w:val="center"/>
            </w:pPr>
            <w:r w:rsidRPr="00BE78CA">
              <w:t>686.0</w:t>
            </w:r>
          </w:p>
        </w:tc>
        <w:tc>
          <w:tcPr>
            <w:tcW w:w="2475" w:type="dxa"/>
            <w:tcBorders>
              <w:top w:val="single" w:sz="4" w:space="0" w:color="365F91"/>
              <w:left w:val="nil"/>
              <w:bottom w:val="single" w:sz="4" w:space="0" w:color="365F91"/>
              <w:right w:val="nil"/>
            </w:tcBorders>
            <w:hideMark/>
          </w:tcPr>
          <w:p w14:paraId="20ADF790" w14:textId="77777777" w:rsidR="00FB19C0" w:rsidRPr="00BE78CA" w:rsidRDefault="00FB19C0" w:rsidP="00C26084">
            <w:pPr>
              <w:pStyle w:val="TableText"/>
              <w:keepNext/>
              <w:spacing w:before="50" w:after="50"/>
              <w:jc w:val="center"/>
            </w:pPr>
            <w:r w:rsidRPr="00BE78CA">
              <w:t>2,134.1</w:t>
            </w:r>
          </w:p>
        </w:tc>
        <w:tc>
          <w:tcPr>
            <w:tcW w:w="2477" w:type="dxa"/>
            <w:tcBorders>
              <w:top w:val="single" w:sz="4" w:space="0" w:color="365F91"/>
              <w:left w:val="nil"/>
              <w:bottom w:val="single" w:sz="4" w:space="0" w:color="365F91"/>
              <w:right w:val="nil"/>
            </w:tcBorders>
            <w:hideMark/>
          </w:tcPr>
          <w:p w14:paraId="4CFF08DB" w14:textId="77777777" w:rsidR="00FB19C0" w:rsidRPr="00BE78CA" w:rsidRDefault="00FB19C0" w:rsidP="00C26084">
            <w:pPr>
              <w:pStyle w:val="TableText"/>
              <w:keepNext/>
              <w:spacing w:before="50" w:after="50"/>
              <w:jc w:val="center"/>
            </w:pPr>
            <w:r w:rsidRPr="00BE78CA">
              <w:t>2,820.2</w:t>
            </w:r>
          </w:p>
        </w:tc>
      </w:tr>
      <w:tr w:rsidR="00FB19C0" w:rsidRPr="00BE78CA" w14:paraId="346044C8" w14:textId="77777777" w:rsidTr="00C26084">
        <w:tc>
          <w:tcPr>
            <w:tcW w:w="1078" w:type="dxa"/>
            <w:tcBorders>
              <w:top w:val="single" w:sz="4" w:space="0" w:color="365F91"/>
              <w:left w:val="nil"/>
              <w:bottom w:val="single" w:sz="4" w:space="0" w:color="365F91"/>
              <w:right w:val="nil"/>
            </w:tcBorders>
            <w:hideMark/>
          </w:tcPr>
          <w:p w14:paraId="7A1A609E" w14:textId="77777777" w:rsidR="00FB19C0" w:rsidRPr="00BE78CA" w:rsidRDefault="00FB19C0" w:rsidP="00C26084">
            <w:pPr>
              <w:pStyle w:val="TableTextBold"/>
              <w:spacing w:before="50" w:after="50"/>
              <w:rPr>
                <w:noProof w:val="0"/>
              </w:rPr>
            </w:pPr>
            <w:r w:rsidRPr="00BE78CA">
              <w:rPr>
                <w:noProof w:val="0"/>
              </w:rPr>
              <w:t>1981</w:t>
            </w:r>
          </w:p>
        </w:tc>
        <w:tc>
          <w:tcPr>
            <w:tcW w:w="2475" w:type="dxa"/>
            <w:tcBorders>
              <w:top w:val="single" w:sz="4" w:space="0" w:color="365F91"/>
              <w:left w:val="nil"/>
              <w:bottom w:val="single" w:sz="4" w:space="0" w:color="365F91"/>
              <w:right w:val="nil"/>
            </w:tcBorders>
            <w:hideMark/>
          </w:tcPr>
          <w:p w14:paraId="60F97A1E" w14:textId="77777777" w:rsidR="00FB19C0" w:rsidRPr="00BE78CA" w:rsidRDefault="00FB19C0" w:rsidP="00C26084">
            <w:pPr>
              <w:pStyle w:val="TableText"/>
              <w:keepNext/>
              <w:spacing w:before="50" w:after="50"/>
              <w:jc w:val="center"/>
            </w:pPr>
            <w:r w:rsidRPr="00BE78CA">
              <w:t>695.7</w:t>
            </w:r>
          </w:p>
        </w:tc>
        <w:tc>
          <w:tcPr>
            <w:tcW w:w="2475" w:type="dxa"/>
            <w:tcBorders>
              <w:top w:val="single" w:sz="4" w:space="0" w:color="365F91"/>
              <w:left w:val="nil"/>
              <w:bottom w:val="single" w:sz="4" w:space="0" w:color="365F91"/>
              <w:right w:val="nil"/>
            </w:tcBorders>
            <w:hideMark/>
          </w:tcPr>
          <w:p w14:paraId="5DCEC051" w14:textId="77777777" w:rsidR="00FB19C0" w:rsidRPr="00BE78CA" w:rsidRDefault="00FB19C0" w:rsidP="00C26084">
            <w:pPr>
              <w:pStyle w:val="TableText"/>
              <w:keepNext/>
              <w:spacing w:before="50" w:after="50"/>
              <w:jc w:val="center"/>
            </w:pPr>
            <w:r w:rsidRPr="00BE78CA">
              <w:t>2,161.5</w:t>
            </w:r>
          </w:p>
        </w:tc>
        <w:tc>
          <w:tcPr>
            <w:tcW w:w="2477" w:type="dxa"/>
            <w:tcBorders>
              <w:top w:val="single" w:sz="4" w:space="0" w:color="365F91"/>
              <w:left w:val="nil"/>
              <w:bottom w:val="single" w:sz="4" w:space="0" w:color="365F91"/>
              <w:right w:val="nil"/>
            </w:tcBorders>
            <w:hideMark/>
          </w:tcPr>
          <w:p w14:paraId="5FB4C116" w14:textId="77777777" w:rsidR="00FB19C0" w:rsidRPr="00BE78CA" w:rsidRDefault="00FB19C0" w:rsidP="00C26084">
            <w:pPr>
              <w:pStyle w:val="TableText"/>
              <w:keepNext/>
              <w:spacing w:before="50" w:after="50"/>
              <w:jc w:val="center"/>
            </w:pPr>
            <w:r w:rsidRPr="00BE78CA">
              <w:t>2,857.3</w:t>
            </w:r>
          </w:p>
        </w:tc>
      </w:tr>
      <w:tr w:rsidR="00FB19C0" w:rsidRPr="00BE78CA" w14:paraId="55FD75CE" w14:textId="77777777" w:rsidTr="00C26084">
        <w:tc>
          <w:tcPr>
            <w:tcW w:w="1078" w:type="dxa"/>
            <w:tcBorders>
              <w:top w:val="single" w:sz="4" w:space="0" w:color="365F91"/>
              <w:left w:val="nil"/>
              <w:bottom w:val="single" w:sz="4" w:space="0" w:color="365F91"/>
              <w:right w:val="nil"/>
            </w:tcBorders>
            <w:hideMark/>
          </w:tcPr>
          <w:p w14:paraId="6C3B73B0" w14:textId="77777777" w:rsidR="00FB19C0" w:rsidRPr="00BE78CA" w:rsidRDefault="00FB19C0" w:rsidP="00C26084">
            <w:pPr>
              <w:pStyle w:val="TableTextBold"/>
              <w:spacing w:before="50" w:after="50"/>
              <w:rPr>
                <w:noProof w:val="0"/>
              </w:rPr>
            </w:pPr>
            <w:r w:rsidRPr="00BE78CA">
              <w:rPr>
                <w:noProof w:val="0"/>
              </w:rPr>
              <w:t>1982</w:t>
            </w:r>
          </w:p>
        </w:tc>
        <w:tc>
          <w:tcPr>
            <w:tcW w:w="2475" w:type="dxa"/>
            <w:tcBorders>
              <w:top w:val="single" w:sz="4" w:space="0" w:color="365F91"/>
              <w:left w:val="nil"/>
              <w:bottom w:val="single" w:sz="4" w:space="0" w:color="365F91"/>
              <w:right w:val="nil"/>
            </w:tcBorders>
            <w:hideMark/>
          </w:tcPr>
          <w:p w14:paraId="3FD20845" w14:textId="77777777" w:rsidR="00FB19C0" w:rsidRPr="00BE78CA" w:rsidRDefault="00FB19C0" w:rsidP="00C26084">
            <w:pPr>
              <w:pStyle w:val="TableText"/>
              <w:keepNext/>
              <w:spacing w:before="50" w:after="50"/>
              <w:jc w:val="center"/>
            </w:pPr>
            <w:r w:rsidRPr="00BE78CA">
              <w:t>709.3</w:t>
            </w:r>
          </w:p>
        </w:tc>
        <w:tc>
          <w:tcPr>
            <w:tcW w:w="2475" w:type="dxa"/>
            <w:tcBorders>
              <w:top w:val="single" w:sz="4" w:space="0" w:color="365F91"/>
              <w:left w:val="nil"/>
              <w:bottom w:val="single" w:sz="4" w:space="0" w:color="365F91"/>
              <w:right w:val="nil"/>
            </w:tcBorders>
            <w:hideMark/>
          </w:tcPr>
          <w:p w14:paraId="7794171B" w14:textId="77777777" w:rsidR="00FB19C0" w:rsidRPr="00BE78CA" w:rsidRDefault="00FB19C0" w:rsidP="00C26084">
            <w:pPr>
              <w:pStyle w:val="TableText"/>
              <w:keepNext/>
              <w:spacing w:before="50" w:after="50"/>
              <w:jc w:val="center"/>
            </w:pPr>
            <w:r w:rsidRPr="00BE78CA">
              <w:t>2,262.2</w:t>
            </w:r>
          </w:p>
        </w:tc>
        <w:tc>
          <w:tcPr>
            <w:tcW w:w="2477" w:type="dxa"/>
            <w:tcBorders>
              <w:top w:val="single" w:sz="4" w:space="0" w:color="365F91"/>
              <w:left w:val="nil"/>
              <w:bottom w:val="single" w:sz="4" w:space="0" w:color="365F91"/>
              <w:right w:val="nil"/>
            </w:tcBorders>
            <w:hideMark/>
          </w:tcPr>
          <w:p w14:paraId="07475110" w14:textId="77777777" w:rsidR="00FB19C0" w:rsidRPr="00BE78CA" w:rsidRDefault="00FB19C0" w:rsidP="00C26084">
            <w:pPr>
              <w:pStyle w:val="TableText"/>
              <w:keepNext/>
              <w:spacing w:before="50" w:after="50"/>
              <w:jc w:val="center"/>
            </w:pPr>
            <w:r w:rsidRPr="00BE78CA">
              <w:t>2,971.4</w:t>
            </w:r>
          </w:p>
        </w:tc>
      </w:tr>
      <w:tr w:rsidR="00FB19C0" w:rsidRPr="00BE78CA" w14:paraId="6E6089FC" w14:textId="77777777" w:rsidTr="00C26084">
        <w:tc>
          <w:tcPr>
            <w:tcW w:w="1078" w:type="dxa"/>
            <w:tcBorders>
              <w:top w:val="single" w:sz="4" w:space="0" w:color="365F91"/>
              <w:left w:val="nil"/>
              <w:bottom w:val="single" w:sz="4" w:space="0" w:color="365F91"/>
              <w:right w:val="nil"/>
            </w:tcBorders>
            <w:hideMark/>
          </w:tcPr>
          <w:p w14:paraId="779D3301" w14:textId="77777777" w:rsidR="00FB19C0" w:rsidRPr="00BE78CA" w:rsidRDefault="00FB19C0" w:rsidP="00C26084">
            <w:pPr>
              <w:pStyle w:val="TableTextBold"/>
              <w:spacing w:before="50" w:after="50"/>
              <w:rPr>
                <w:noProof w:val="0"/>
              </w:rPr>
            </w:pPr>
            <w:r w:rsidRPr="00BE78CA">
              <w:rPr>
                <w:noProof w:val="0"/>
              </w:rPr>
              <w:t>1983</w:t>
            </w:r>
          </w:p>
        </w:tc>
        <w:tc>
          <w:tcPr>
            <w:tcW w:w="2475" w:type="dxa"/>
            <w:tcBorders>
              <w:top w:val="single" w:sz="4" w:space="0" w:color="365F91"/>
              <w:left w:val="nil"/>
              <w:bottom w:val="single" w:sz="4" w:space="0" w:color="365F91"/>
              <w:right w:val="nil"/>
            </w:tcBorders>
            <w:hideMark/>
          </w:tcPr>
          <w:p w14:paraId="64BA9F07" w14:textId="77777777" w:rsidR="00FB19C0" w:rsidRPr="00BE78CA" w:rsidRDefault="00FB19C0" w:rsidP="00C26084">
            <w:pPr>
              <w:pStyle w:val="TableText"/>
              <w:keepNext/>
              <w:spacing w:before="50" w:after="50"/>
              <w:jc w:val="center"/>
            </w:pPr>
            <w:r w:rsidRPr="00BE78CA">
              <w:t>726.7</w:t>
            </w:r>
          </w:p>
        </w:tc>
        <w:tc>
          <w:tcPr>
            <w:tcW w:w="2475" w:type="dxa"/>
            <w:tcBorders>
              <w:top w:val="single" w:sz="4" w:space="0" w:color="365F91"/>
              <w:left w:val="nil"/>
              <w:bottom w:val="single" w:sz="4" w:space="0" w:color="365F91"/>
              <w:right w:val="nil"/>
            </w:tcBorders>
            <w:hideMark/>
          </w:tcPr>
          <w:p w14:paraId="6673BE82" w14:textId="77777777" w:rsidR="00FB19C0" w:rsidRPr="00BE78CA" w:rsidRDefault="00FB19C0" w:rsidP="00C26084">
            <w:pPr>
              <w:pStyle w:val="TableText"/>
              <w:keepNext/>
              <w:spacing w:before="50" w:after="50"/>
              <w:jc w:val="center"/>
            </w:pPr>
            <w:r w:rsidRPr="00BE78CA">
              <w:t>2,283.2</w:t>
            </w:r>
          </w:p>
        </w:tc>
        <w:tc>
          <w:tcPr>
            <w:tcW w:w="2477" w:type="dxa"/>
            <w:tcBorders>
              <w:top w:val="single" w:sz="4" w:space="0" w:color="365F91"/>
              <w:left w:val="nil"/>
              <w:bottom w:val="single" w:sz="4" w:space="0" w:color="365F91"/>
              <w:right w:val="nil"/>
            </w:tcBorders>
            <w:hideMark/>
          </w:tcPr>
          <w:p w14:paraId="016081CF" w14:textId="77777777" w:rsidR="00FB19C0" w:rsidRPr="00BE78CA" w:rsidRDefault="00FB19C0" w:rsidP="00C26084">
            <w:pPr>
              <w:pStyle w:val="TableText"/>
              <w:keepNext/>
              <w:spacing w:before="50" w:after="50"/>
              <w:jc w:val="center"/>
            </w:pPr>
            <w:r w:rsidRPr="00BE78CA">
              <w:t>3,009.9</w:t>
            </w:r>
          </w:p>
        </w:tc>
      </w:tr>
      <w:tr w:rsidR="00FB19C0" w:rsidRPr="00BE78CA" w14:paraId="00DF0C11" w14:textId="77777777" w:rsidTr="00C26084">
        <w:tc>
          <w:tcPr>
            <w:tcW w:w="1078" w:type="dxa"/>
            <w:tcBorders>
              <w:top w:val="single" w:sz="4" w:space="0" w:color="365F91"/>
              <w:left w:val="nil"/>
              <w:bottom w:val="single" w:sz="4" w:space="0" w:color="365F91"/>
              <w:right w:val="nil"/>
            </w:tcBorders>
            <w:hideMark/>
          </w:tcPr>
          <w:p w14:paraId="089A73B3" w14:textId="77777777" w:rsidR="00FB19C0" w:rsidRPr="00BE78CA" w:rsidRDefault="00FB19C0" w:rsidP="00C26084">
            <w:pPr>
              <w:pStyle w:val="TableTextBold"/>
              <w:spacing w:before="50" w:after="50"/>
              <w:rPr>
                <w:noProof w:val="0"/>
              </w:rPr>
            </w:pPr>
            <w:r w:rsidRPr="00BE78CA">
              <w:rPr>
                <w:noProof w:val="0"/>
              </w:rPr>
              <w:t>1984</w:t>
            </w:r>
          </w:p>
        </w:tc>
        <w:tc>
          <w:tcPr>
            <w:tcW w:w="2475" w:type="dxa"/>
            <w:tcBorders>
              <w:top w:val="single" w:sz="4" w:space="0" w:color="365F91"/>
              <w:left w:val="nil"/>
              <w:bottom w:val="single" w:sz="4" w:space="0" w:color="365F91"/>
              <w:right w:val="nil"/>
            </w:tcBorders>
            <w:hideMark/>
          </w:tcPr>
          <w:p w14:paraId="28554F4E" w14:textId="77777777" w:rsidR="00FB19C0" w:rsidRPr="00BE78CA" w:rsidRDefault="00FB19C0" w:rsidP="00C26084">
            <w:pPr>
              <w:pStyle w:val="TableText"/>
              <w:keepNext/>
              <w:spacing w:before="50" w:after="50"/>
              <w:jc w:val="center"/>
            </w:pPr>
            <w:r w:rsidRPr="00BE78CA">
              <w:t>735.2</w:t>
            </w:r>
          </w:p>
        </w:tc>
        <w:tc>
          <w:tcPr>
            <w:tcW w:w="2475" w:type="dxa"/>
            <w:tcBorders>
              <w:top w:val="single" w:sz="4" w:space="0" w:color="365F91"/>
              <w:left w:val="nil"/>
              <w:bottom w:val="single" w:sz="4" w:space="0" w:color="365F91"/>
              <w:right w:val="nil"/>
            </w:tcBorders>
            <w:hideMark/>
          </w:tcPr>
          <w:p w14:paraId="6BD01C6E" w14:textId="77777777" w:rsidR="00FB19C0" w:rsidRPr="00BE78CA" w:rsidRDefault="00FB19C0" w:rsidP="00C26084">
            <w:pPr>
              <w:pStyle w:val="TableText"/>
              <w:keepNext/>
              <w:spacing w:before="50" w:after="50"/>
              <w:jc w:val="center"/>
            </w:pPr>
            <w:r w:rsidRPr="00BE78CA">
              <w:t>2,362.9</w:t>
            </w:r>
          </w:p>
        </w:tc>
        <w:tc>
          <w:tcPr>
            <w:tcW w:w="2477" w:type="dxa"/>
            <w:tcBorders>
              <w:top w:val="single" w:sz="4" w:space="0" w:color="365F91"/>
              <w:left w:val="nil"/>
              <w:bottom w:val="single" w:sz="4" w:space="0" w:color="365F91"/>
              <w:right w:val="nil"/>
            </w:tcBorders>
            <w:hideMark/>
          </w:tcPr>
          <w:p w14:paraId="29DF9189" w14:textId="77777777" w:rsidR="00FB19C0" w:rsidRPr="00BE78CA" w:rsidRDefault="00FB19C0" w:rsidP="00C26084">
            <w:pPr>
              <w:pStyle w:val="TableText"/>
              <w:keepNext/>
              <w:spacing w:before="50" w:after="50"/>
              <w:jc w:val="center"/>
            </w:pPr>
            <w:r w:rsidRPr="00BE78CA">
              <w:t>3,098.2</w:t>
            </w:r>
          </w:p>
        </w:tc>
      </w:tr>
      <w:tr w:rsidR="00FB19C0" w:rsidRPr="00BE78CA" w14:paraId="064416C3" w14:textId="77777777" w:rsidTr="00C26084">
        <w:tc>
          <w:tcPr>
            <w:tcW w:w="1078" w:type="dxa"/>
            <w:tcBorders>
              <w:top w:val="single" w:sz="4" w:space="0" w:color="365F91"/>
              <w:left w:val="nil"/>
              <w:bottom w:val="single" w:sz="4" w:space="0" w:color="365F91"/>
              <w:right w:val="nil"/>
            </w:tcBorders>
            <w:hideMark/>
          </w:tcPr>
          <w:p w14:paraId="07DE8CBF" w14:textId="77777777" w:rsidR="00FB19C0" w:rsidRPr="00BE78CA" w:rsidRDefault="00FB19C0" w:rsidP="00C26084">
            <w:pPr>
              <w:pStyle w:val="TableTextBold"/>
              <w:spacing w:before="50" w:after="50"/>
              <w:rPr>
                <w:noProof w:val="0"/>
              </w:rPr>
            </w:pPr>
            <w:r w:rsidRPr="00BE78CA">
              <w:rPr>
                <w:noProof w:val="0"/>
              </w:rPr>
              <w:t>1985</w:t>
            </w:r>
          </w:p>
        </w:tc>
        <w:tc>
          <w:tcPr>
            <w:tcW w:w="2475" w:type="dxa"/>
            <w:tcBorders>
              <w:top w:val="single" w:sz="4" w:space="0" w:color="365F91"/>
              <w:left w:val="nil"/>
              <w:bottom w:val="single" w:sz="4" w:space="0" w:color="365F91"/>
              <w:right w:val="nil"/>
            </w:tcBorders>
            <w:hideMark/>
          </w:tcPr>
          <w:p w14:paraId="7FCA2113" w14:textId="77777777" w:rsidR="00FB19C0" w:rsidRPr="00BE78CA" w:rsidRDefault="00FB19C0" w:rsidP="00C26084">
            <w:pPr>
              <w:pStyle w:val="TableText"/>
              <w:keepNext/>
              <w:spacing w:before="50" w:after="50"/>
              <w:jc w:val="center"/>
            </w:pPr>
            <w:r w:rsidRPr="00BE78CA">
              <w:t>756.1</w:t>
            </w:r>
          </w:p>
        </w:tc>
        <w:tc>
          <w:tcPr>
            <w:tcW w:w="2475" w:type="dxa"/>
            <w:tcBorders>
              <w:top w:val="single" w:sz="4" w:space="0" w:color="365F91"/>
              <w:left w:val="nil"/>
              <w:bottom w:val="single" w:sz="4" w:space="0" w:color="365F91"/>
              <w:right w:val="nil"/>
            </w:tcBorders>
            <w:hideMark/>
          </w:tcPr>
          <w:p w14:paraId="0863C942" w14:textId="77777777" w:rsidR="00FB19C0" w:rsidRPr="00BE78CA" w:rsidRDefault="00FB19C0" w:rsidP="00C26084">
            <w:pPr>
              <w:pStyle w:val="TableText"/>
              <w:keepNext/>
              <w:spacing w:before="50" w:after="50"/>
              <w:jc w:val="center"/>
            </w:pPr>
            <w:r w:rsidRPr="00BE78CA">
              <w:t>2,476.2</w:t>
            </w:r>
          </w:p>
        </w:tc>
        <w:tc>
          <w:tcPr>
            <w:tcW w:w="2477" w:type="dxa"/>
            <w:tcBorders>
              <w:top w:val="single" w:sz="4" w:space="0" w:color="365F91"/>
              <w:left w:val="nil"/>
              <w:bottom w:val="single" w:sz="4" w:space="0" w:color="365F91"/>
              <w:right w:val="nil"/>
            </w:tcBorders>
            <w:hideMark/>
          </w:tcPr>
          <w:p w14:paraId="772CA1B2" w14:textId="77777777" w:rsidR="00FB19C0" w:rsidRPr="00BE78CA" w:rsidRDefault="00FB19C0" w:rsidP="00C26084">
            <w:pPr>
              <w:pStyle w:val="TableText"/>
              <w:keepNext/>
              <w:spacing w:before="50" w:after="50"/>
              <w:jc w:val="center"/>
            </w:pPr>
            <w:r w:rsidRPr="00BE78CA">
              <w:t>3,232.3</w:t>
            </w:r>
          </w:p>
        </w:tc>
      </w:tr>
      <w:tr w:rsidR="00FB19C0" w:rsidRPr="00BE78CA" w14:paraId="4AC9EE2B" w14:textId="77777777" w:rsidTr="00C26084">
        <w:tc>
          <w:tcPr>
            <w:tcW w:w="1078" w:type="dxa"/>
            <w:tcBorders>
              <w:top w:val="single" w:sz="4" w:space="0" w:color="365F91"/>
              <w:left w:val="nil"/>
              <w:bottom w:val="single" w:sz="4" w:space="0" w:color="365F91"/>
              <w:right w:val="nil"/>
            </w:tcBorders>
            <w:hideMark/>
          </w:tcPr>
          <w:p w14:paraId="7D29FC4C" w14:textId="77777777" w:rsidR="00FB19C0" w:rsidRPr="00BE78CA" w:rsidRDefault="00FB19C0" w:rsidP="00C26084">
            <w:pPr>
              <w:pStyle w:val="TableTextBold"/>
              <w:spacing w:before="50" w:after="50"/>
              <w:rPr>
                <w:noProof w:val="0"/>
              </w:rPr>
            </w:pPr>
            <w:r w:rsidRPr="00BE78CA">
              <w:rPr>
                <w:noProof w:val="0"/>
              </w:rPr>
              <w:t>1986</w:t>
            </w:r>
          </w:p>
        </w:tc>
        <w:tc>
          <w:tcPr>
            <w:tcW w:w="2475" w:type="dxa"/>
            <w:tcBorders>
              <w:top w:val="single" w:sz="4" w:space="0" w:color="365F91"/>
              <w:left w:val="nil"/>
              <w:bottom w:val="single" w:sz="4" w:space="0" w:color="365F91"/>
              <w:right w:val="nil"/>
            </w:tcBorders>
            <w:hideMark/>
          </w:tcPr>
          <w:p w14:paraId="4EC0D80F" w14:textId="77777777" w:rsidR="00FB19C0" w:rsidRPr="00BE78CA" w:rsidRDefault="00FB19C0" w:rsidP="00C26084">
            <w:pPr>
              <w:pStyle w:val="TableText"/>
              <w:keepNext/>
              <w:spacing w:before="50" w:after="50"/>
              <w:jc w:val="center"/>
            </w:pPr>
            <w:r w:rsidRPr="00BE78CA">
              <w:t>765.8</w:t>
            </w:r>
          </w:p>
        </w:tc>
        <w:tc>
          <w:tcPr>
            <w:tcW w:w="2475" w:type="dxa"/>
            <w:tcBorders>
              <w:top w:val="single" w:sz="4" w:space="0" w:color="365F91"/>
              <w:left w:val="nil"/>
              <w:bottom w:val="single" w:sz="4" w:space="0" w:color="365F91"/>
              <w:right w:val="nil"/>
            </w:tcBorders>
            <w:hideMark/>
          </w:tcPr>
          <w:p w14:paraId="572D9961" w14:textId="77777777" w:rsidR="00FB19C0" w:rsidRPr="00BE78CA" w:rsidRDefault="00FB19C0" w:rsidP="00C26084">
            <w:pPr>
              <w:pStyle w:val="TableText"/>
              <w:keepNext/>
              <w:spacing w:before="50" w:after="50"/>
              <w:jc w:val="center"/>
            </w:pPr>
            <w:r w:rsidRPr="00BE78CA">
              <w:t>2,516.2</w:t>
            </w:r>
          </w:p>
        </w:tc>
        <w:tc>
          <w:tcPr>
            <w:tcW w:w="2477" w:type="dxa"/>
            <w:tcBorders>
              <w:top w:val="single" w:sz="4" w:space="0" w:color="365F91"/>
              <w:left w:val="nil"/>
              <w:bottom w:val="single" w:sz="4" w:space="0" w:color="365F91"/>
              <w:right w:val="nil"/>
            </w:tcBorders>
            <w:hideMark/>
          </w:tcPr>
          <w:p w14:paraId="0B620797" w14:textId="77777777" w:rsidR="00FB19C0" w:rsidRPr="00BE78CA" w:rsidRDefault="00FB19C0" w:rsidP="00C26084">
            <w:pPr>
              <w:pStyle w:val="TableText"/>
              <w:keepNext/>
              <w:spacing w:before="50" w:after="50"/>
              <w:jc w:val="center"/>
            </w:pPr>
            <w:r w:rsidRPr="00BE78CA">
              <w:t>3,282.0</w:t>
            </w:r>
          </w:p>
        </w:tc>
      </w:tr>
      <w:tr w:rsidR="00FB19C0" w:rsidRPr="00BE78CA" w14:paraId="3A1FE22C" w14:textId="77777777" w:rsidTr="00C26084">
        <w:tc>
          <w:tcPr>
            <w:tcW w:w="1078" w:type="dxa"/>
            <w:tcBorders>
              <w:top w:val="single" w:sz="4" w:space="0" w:color="365F91"/>
              <w:left w:val="nil"/>
              <w:bottom w:val="single" w:sz="4" w:space="0" w:color="365F91"/>
              <w:right w:val="nil"/>
            </w:tcBorders>
            <w:hideMark/>
          </w:tcPr>
          <w:p w14:paraId="3FC2B7F2" w14:textId="77777777" w:rsidR="00FB19C0" w:rsidRPr="00BE78CA" w:rsidRDefault="00FB19C0" w:rsidP="00C26084">
            <w:pPr>
              <w:pStyle w:val="TableTextBold"/>
              <w:spacing w:before="50" w:after="50"/>
              <w:rPr>
                <w:noProof w:val="0"/>
              </w:rPr>
            </w:pPr>
            <w:r w:rsidRPr="00BE78CA">
              <w:rPr>
                <w:noProof w:val="0"/>
              </w:rPr>
              <w:lastRenderedPageBreak/>
              <w:t>1987</w:t>
            </w:r>
          </w:p>
        </w:tc>
        <w:tc>
          <w:tcPr>
            <w:tcW w:w="2475" w:type="dxa"/>
            <w:tcBorders>
              <w:top w:val="single" w:sz="4" w:space="0" w:color="365F91"/>
              <w:left w:val="nil"/>
              <w:bottom w:val="single" w:sz="4" w:space="0" w:color="365F91"/>
              <w:right w:val="nil"/>
            </w:tcBorders>
            <w:hideMark/>
          </w:tcPr>
          <w:p w14:paraId="2C178DF7" w14:textId="77777777" w:rsidR="00FB19C0" w:rsidRPr="00BE78CA" w:rsidRDefault="00FB19C0" w:rsidP="00C26084">
            <w:pPr>
              <w:pStyle w:val="TableText"/>
              <w:keepNext/>
              <w:spacing w:before="50" w:after="50"/>
              <w:jc w:val="center"/>
            </w:pPr>
            <w:r w:rsidRPr="00BE78CA">
              <w:t>775.2</w:t>
            </w:r>
          </w:p>
        </w:tc>
        <w:tc>
          <w:tcPr>
            <w:tcW w:w="2475" w:type="dxa"/>
            <w:tcBorders>
              <w:top w:val="single" w:sz="4" w:space="0" w:color="365F91"/>
              <w:left w:val="nil"/>
              <w:bottom w:val="single" w:sz="4" w:space="0" w:color="365F91"/>
              <w:right w:val="nil"/>
            </w:tcBorders>
            <w:hideMark/>
          </w:tcPr>
          <w:p w14:paraId="1EAE0869" w14:textId="77777777" w:rsidR="00FB19C0" w:rsidRPr="00BE78CA" w:rsidRDefault="00FB19C0" w:rsidP="00C26084">
            <w:pPr>
              <w:pStyle w:val="TableText"/>
              <w:keepNext/>
              <w:spacing w:before="50" w:after="50"/>
              <w:jc w:val="center"/>
            </w:pPr>
            <w:r w:rsidRPr="00BE78CA">
              <w:t>2,584.3</w:t>
            </w:r>
          </w:p>
        </w:tc>
        <w:tc>
          <w:tcPr>
            <w:tcW w:w="2477" w:type="dxa"/>
            <w:tcBorders>
              <w:top w:val="single" w:sz="4" w:space="0" w:color="365F91"/>
              <w:left w:val="nil"/>
              <w:bottom w:val="single" w:sz="4" w:space="0" w:color="365F91"/>
              <w:right w:val="nil"/>
            </w:tcBorders>
            <w:hideMark/>
          </w:tcPr>
          <w:p w14:paraId="15856928" w14:textId="77777777" w:rsidR="00FB19C0" w:rsidRPr="00BE78CA" w:rsidRDefault="00FB19C0" w:rsidP="00C26084">
            <w:pPr>
              <w:pStyle w:val="TableText"/>
              <w:keepNext/>
              <w:spacing w:before="50" w:after="50"/>
              <w:jc w:val="center"/>
            </w:pPr>
            <w:r w:rsidRPr="00BE78CA">
              <w:t>3,359.4</w:t>
            </w:r>
          </w:p>
        </w:tc>
      </w:tr>
      <w:tr w:rsidR="00FB19C0" w:rsidRPr="00BE78CA" w14:paraId="34293EB3" w14:textId="77777777" w:rsidTr="00C26084">
        <w:tc>
          <w:tcPr>
            <w:tcW w:w="1078" w:type="dxa"/>
            <w:tcBorders>
              <w:top w:val="single" w:sz="4" w:space="0" w:color="365F91"/>
              <w:left w:val="nil"/>
              <w:bottom w:val="single" w:sz="4" w:space="0" w:color="365F91"/>
              <w:right w:val="nil"/>
            </w:tcBorders>
            <w:hideMark/>
          </w:tcPr>
          <w:p w14:paraId="74348620" w14:textId="77777777" w:rsidR="00FB19C0" w:rsidRPr="00BE78CA" w:rsidRDefault="00FB19C0" w:rsidP="00C26084">
            <w:pPr>
              <w:pStyle w:val="TableTextBold"/>
              <w:spacing w:before="50" w:after="50"/>
              <w:rPr>
                <w:noProof w:val="0"/>
              </w:rPr>
            </w:pPr>
            <w:r w:rsidRPr="00BE78CA">
              <w:rPr>
                <w:noProof w:val="0"/>
              </w:rPr>
              <w:t>1988</w:t>
            </w:r>
          </w:p>
        </w:tc>
        <w:tc>
          <w:tcPr>
            <w:tcW w:w="2475" w:type="dxa"/>
            <w:tcBorders>
              <w:top w:val="single" w:sz="4" w:space="0" w:color="365F91"/>
              <w:left w:val="nil"/>
              <w:bottom w:val="single" w:sz="4" w:space="0" w:color="365F91"/>
              <w:right w:val="nil"/>
            </w:tcBorders>
            <w:hideMark/>
          </w:tcPr>
          <w:p w14:paraId="1E0A7928" w14:textId="77777777" w:rsidR="00FB19C0" w:rsidRPr="00BE78CA" w:rsidRDefault="00FB19C0" w:rsidP="00C26084">
            <w:pPr>
              <w:pStyle w:val="TableText"/>
              <w:keepNext/>
              <w:spacing w:before="50" w:after="50"/>
              <w:jc w:val="center"/>
            </w:pPr>
            <w:r w:rsidRPr="00BE78CA">
              <w:t>787.3</w:t>
            </w:r>
          </w:p>
        </w:tc>
        <w:tc>
          <w:tcPr>
            <w:tcW w:w="2475" w:type="dxa"/>
            <w:tcBorders>
              <w:top w:val="single" w:sz="4" w:space="0" w:color="365F91"/>
              <w:left w:val="nil"/>
              <w:bottom w:val="single" w:sz="4" w:space="0" w:color="365F91"/>
              <w:right w:val="nil"/>
            </w:tcBorders>
            <w:hideMark/>
          </w:tcPr>
          <w:p w14:paraId="12D6AD01" w14:textId="77777777" w:rsidR="00FB19C0" w:rsidRPr="00BE78CA" w:rsidRDefault="00FB19C0" w:rsidP="00C26084">
            <w:pPr>
              <w:pStyle w:val="TableText"/>
              <w:keepNext/>
              <w:spacing w:before="50" w:after="50"/>
              <w:jc w:val="center"/>
            </w:pPr>
            <w:r w:rsidRPr="00BE78CA">
              <w:t>2,609.3</w:t>
            </w:r>
          </w:p>
        </w:tc>
        <w:tc>
          <w:tcPr>
            <w:tcW w:w="2477" w:type="dxa"/>
            <w:tcBorders>
              <w:top w:val="single" w:sz="4" w:space="0" w:color="365F91"/>
              <w:left w:val="nil"/>
              <w:bottom w:val="single" w:sz="4" w:space="0" w:color="365F91"/>
              <w:right w:val="nil"/>
            </w:tcBorders>
            <w:hideMark/>
          </w:tcPr>
          <w:p w14:paraId="50B7BF0D" w14:textId="77777777" w:rsidR="00FB19C0" w:rsidRPr="00BE78CA" w:rsidRDefault="00FB19C0" w:rsidP="00C26084">
            <w:pPr>
              <w:pStyle w:val="TableText"/>
              <w:keepNext/>
              <w:spacing w:before="50" w:after="50"/>
              <w:jc w:val="center"/>
            </w:pPr>
            <w:r w:rsidRPr="00BE78CA">
              <w:t>3,396.7</w:t>
            </w:r>
          </w:p>
        </w:tc>
      </w:tr>
      <w:tr w:rsidR="00FB19C0" w:rsidRPr="00BE78CA" w14:paraId="6AFB9F6B" w14:textId="77777777" w:rsidTr="00C26084">
        <w:tc>
          <w:tcPr>
            <w:tcW w:w="1078" w:type="dxa"/>
            <w:tcBorders>
              <w:top w:val="single" w:sz="4" w:space="0" w:color="365F91"/>
              <w:left w:val="nil"/>
              <w:bottom w:val="single" w:sz="4" w:space="0" w:color="365F91"/>
              <w:right w:val="nil"/>
            </w:tcBorders>
            <w:hideMark/>
          </w:tcPr>
          <w:p w14:paraId="2D571EDD" w14:textId="77777777" w:rsidR="00FB19C0" w:rsidRPr="00BE78CA" w:rsidRDefault="00FB19C0" w:rsidP="00C26084">
            <w:pPr>
              <w:pStyle w:val="TableTextBold"/>
              <w:spacing w:before="50" w:after="50"/>
              <w:rPr>
                <w:noProof w:val="0"/>
              </w:rPr>
            </w:pPr>
            <w:r w:rsidRPr="00BE78CA">
              <w:rPr>
                <w:noProof w:val="0"/>
              </w:rPr>
              <w:t>1989</w:t>
            </w:r>
          </w:p>
        </w:tc>
        <w:tc>
          <w:tcPr>
            <w:tcW w:w="2475" w:type="dxa"/>
            <w:tcBorders>
              <w:top w:val="single" w:sz="4" w:space="0" w:color="365F91"/>
              <w:left w:val="nil"/>
              <w:bottom w:val="single" w:sz="4" w:space="0" w:color="365F91"/>
              <w:right w:val="nil"/>
            </w:tcBorders>
            <w:hideMark/>
          </w:tcPr>
          <w:p w14:paraId="0247C2DB" w14:textId="77777777" w:rsidR="00FB19C0" w:rsidRPr="00BE78CA" w:rsidRDefault="00FB19C0" w:rsidP="00C26084">
            <w:pPr>
              <w:pStyle w:val="TableText"/>
              <w:keepNext/>
              <w:spacing w:before="50" w:after="50"/>
              <w:jc w:val="center"/>
            </w:pPr>
            <w:r w:rsidRPr="00BE78CA">
              <w:t>793.3</w:t>
            </w:r>
          </w:p>
        </w:tc>
        <w:tc>
          <w:tcPr>
            <w:tcW w:w="2475" w:type="dxa"/>
            <w:tcBorders>
              <w:top w:val="single" w:sz="4" w:space="0" w:color="365F91"/>
              <w:left w:val="nil"/>
              <w:bottom w:val="single" w:sz="4" w:space="0" w:color="365F91"/>
              <w:right w:val="nil"/>
            </w:tcBorders>
            <w:hideMark/>
          </w:tcPr>
          <w:p w14:paraId="160AF260" w14:textId="77777777" w:rsidR="00FB19C0" w:rsidRPr="00BE78CA" w:rsidRDefault="00FB19C0" w:rsidP="00C26084">
            <w:pPr>
              <w:pStyle w:val="TableText"/>
              <w:keepNext/>
              <w:spacing w:before="50" w:after="50"/>
              <w:jc w:val="center"/>
            </w:pPr>
            <w:r w:rsidRPr="00BE78CA">
              <w:t>2,600.1</w:t>
            </w:r>
          </w:p>
        </w:tc>
        <w:tc>
          <w:tcPr>
            <w:tcW w:w="2477" w:type="dxa"/>
            <w:tcBorders>
              <w:top w:val="single" w:sz="4" w:space="0" w:color="365F91"/>
              <w:left w:val="nil"/>
              <w:bottom w:val="single" w:sz="4" w:space="0" w:color="365F91"/>
              <w:right w:val="nil"/>
            </w:tcBorders>
            <w:hideMark/>
          </w:tcPr>
          <w:p w14:paraId="3D0103CD" w14:textId="77777777" w:rsidR="00FB19C0" w:rsidRPr="00BE78CA" w:rsidRDefault="00FB19C0" w:rsidP="00C26084">
            <w:pPr>
              <w:pStyle w:val="TableText"/>
              <w:keepNext/>
              <w:spacing w:before="50" w:after="50"/>
              <w:jc w:val="center"/>
            </w:pPr>
            <w:r w:rsidRPr="00BE78CA">
              <w:t>3,393.4</w:t>
            </w:r>
          </w:p>
        </w:tc>
      </w:tr>
      <w:tr w:rsidR="00FB19C0" w:rsidRPr="00BE78CA" w14:paraId="4EEC94D2" w14:textId="77777777" w:rsidTr="00C26084">
        <w:tc>
          <w:tcPr>
            <w:tcW w:w="1078" w:type="dxa"/>
            <w:tcBorders>
              <w:top w:val="single" w:sz="4" w:space="0" w:color="365F91"/>
              <w:left w:val="nil"/>
              <w:bottom w:val="single" w:sz="4" w:space="0" w:color="365F91"/>
              <w:right w:val="nil"/>
            </w:tcBorders>
            <w:hideMark/>
          </w:tcPr>
          <w:p w14:paraId="521FC4CE" w14:textId="77777777" w:rsidR="00FB19C0" w:rsidRPr="00BE78CA" w:rsidRDefault="00FB19C0" w:rsidP="00C26084">
            <w:pPr>
              <w:pStyle w:val="TableTextBold"/>
              <w:spacing w:before="50" w:after="50"/>
              <w:rPr>
                <w:noProof w:val="0"/>
              </w:rPr>
            </w:pPr>
            <w:r w:rsidRPr="00BE78CA">
              <w:rPr>
                <w:noProof w:val="0"/>
              </w:rPr>
              <w:t>1990</w:t>
            </w:r>
          </w:p>
        </w:tc>
        <w:tc>
          <w:tcPr>
            <w:tcW w:w="2475" w:type="dxa"/>
            <w:tcBorders>
              <w:top w:val="single" w:sz="4" w:space="0" w:color="365F91"/>
              <w:left w:val="nil"/>
              <w:bottom w:val="single" w:sz="4" w:space="0" w:color="365F91"/>
              <w:right w:val="nil"/>
            </w:tcBorders>
            <w:hideMark/>
          </w:tcPr>
          <w:p w14:paraId="27CDF345" w14:textId="77777777" w:rsidR="00FB19C0" w:rsidRPr="00BE78CA" w:rsidRDefault="00FB19C0" w:rsidP="00C26084">
            <w:pPr>
              <w:pStyle w:val="TableText"/>
              <w:keepNext/>
              <w:spacing w:before="50" w:after="50"/>
              <w:jc w:val="center"/>
              <w:rPr>
                <w:rFonts w:cs="Arial"/>
                <w:szCs w:val="16"/>
              </w:rPr>
            </w:pPr>
            <w:r w:rsidRPr="00BE78CA">
              <w:t>783.7</w:t>
            </w:r>
          </w:p>
        </w:tc>
        <w:tc>
          <w:tcPr>
            <w:tcW w:w="2475" w:type="dxa"/>
            <w:tcBorders>
              <w:top w:val="single" w:sz="4" w:space="0" w:color="365F91"/>
              <w:left w:val="nil"/>
              <w:bottom w:val="single" w:sz="4" w:space="0" w:color="365F91"/>
              <w:right w:val="nil"/>
            </w:tcBorders>
            <w:hideMark/>
          </w:tcPr>
          <w:p w14:paraId="22FA6F24" w14:textId="77777777" w:rsidR="00FB19C0" w:rsidRPr="00BE78CA" w:rsidRDefault="00FB19C0" w:rsidP="00C26084">
            <w:pPr>
              <w:pStyle w:val="TableText"/>
              <w:keepNext/>
              <w:spacing w:before="50" w:after="50"/>
              <w:jc w:val="center"/>
              <w:rPr>
                <w:rFonts w:cs="Arial"/>
                <w:szCs w:val="16"/>
              </w:rPr>
            </w:pPr>
            <w:r w:rsidRPr="00BE78CA">
              <w:t>2,604.3</w:t>
            </w:r>
          </w:p>
        </w:tc>
        <w:tc>
          <w:tcPr>
            <w:tcW w:w="2477" w:type="dxa"/>
            <w:tcBorders>
              <w:top w:val="single" w:sz="4" w:space="0" w:color="365F91"/>
              <w:left w:val="nil"/>
              <w:bottom w:val="single" w:sz="4" w:space="0" w:color="365F91"/>
              <w:right w:val="nil"/>
            </w:tcBorders>
            <w:hideMark/>
          </w:tcPr>
          <w:p w14:paraId="7C868015" w14:textId="77777777" w:rsidR="00FB19C0" w:rsidRPr="00BE78CA" w:rsidRDefault="00FB19C0" w:rsidP="00C26084">
            <w:pPr>
              <w:pStyle w:val="TableText"/>
              <w:keepNext/>
              <w:spacing w:before="50" w:after="50"/>
              <w:jc w:val="center"/>
              <w:rPr>
                <w:rFonts w:cs="Arial"/>
                <w:szCs w:val="16"/>
              </w:rPr>
            </w:pPr>
            <w:r w:rsidRPr="00BE78CA">
              <w:t>3,387.9</w:t>
            </w:r>
          </w:p>
        </w:tc>
      </w:tr>
      <w:tr w:rsidR="00FB19C0" w:rsidRPr="00BE78CA" w14:paraId="5152936F" w14:textId="77777777" w:rsidTr="00C26084">
        <w:tc>
          <w:tcPr>
            <w:tcW w:w="1078" w:type="dxa"/>
            <w:tcBorders>
              <w:top w:val="single" w:sz="4" w:space="0" w:color="365F91"/>
              <w:left w:val="nil"/>
              <w:bottom w:val="single" w:sz="4" w:space="0" w:color="365F91"/>
              <w:right w:val="nil"/>
            </w:tcBorders>
            <w:hideMark/>
          </w:tcPr>
          <w:p w14:paraId="65162B68" w14:textId="77777777" w:rsidR="00FB19C0" w:rsidRPr="00BE78CA" w:rsidRDefault="00FB19C0" w:rsidP="00C26084">
            <w:pPr>
              <w:pStyle w:val="TableTextBold"/>
              <w:spacing w:before="50" w:after="50"/>
              <w:rPr>
                <w:noProof w:val="0"/>
              </w:rPr>
            </w:pPr>
            <w:r w:rsidRPr="00BE78CA">
              <w:rPr>
                <w:noProof w:val="0"/>
              </w:rPr>
              <w:t>1991</w:t>
            </w:r>
          </w:p>
        </w:tc>
        <w:tc>
          <w:tcPr>
            <w:tcW w:w="2475" w:type="dxa"/>
            <w:tcBorders>
              <w:top w:val="single" w:sz="4" w:space="0" w:color="365F91"/>
              <w:left w:val="nil"/>
              <w:bottom w:val="single" w:sz="4" w:space="0" w:color="365F91"/>
              <w:right w:val="nil"/>
            </w:tcBorders>
            <w:hideMark/>
          </w:tcPr>
          <w:p w14:paraId="1E8C1CEF" w14:textId="77777777" w:rsidR="00FB19C0" w:rsidRPr="00BE78CA" w:rsidRDefault="00FB19C0" w:rsidP="00C26084">
            <w:pPr>
              <w:pStyle w:val="TableText"/>
              <w:spacing w:before="50" w:after="50"/>
              <w:jc w:val="center"/>
              <w:rPr>
                <w:rFonts w:cs="Arial"/>
                <w:szCs w:val="16"/>
              </w:rPr>
            </w:pPr>
            <w:r w:rsidRPr="00BE78CA">
              <w:t>777.9</w:t>
            </w:r>
          </w:p>
        </w:tc>
        <w:tc>
          <w:tcPr>
            <w:tcW w:w="2475" w:type="dxa"/>
            <w:tcBorders>
              <w:top w:val="single" w:sz="4" w:space="0" w:color="365F91"/>
              <w:left w:val="nil"/>
              <w:bottom w:val="single" w:sz="4" w:space="0" w:color="365F91"/>
              <w:right w:val="nil"/>
            </w:tcBorders>
            <w:hideMark/>
          </w:tcPr>
          <w:p w14:paraId="003EC2BD" w14:textId="77777777" w:rsidR="00FB19C0" w:rsidRPr="00BE78CA" w:rsidRDefault="00FB19C0" w:rsidP="00C26084">
            <w:pPr>
              <w:pStyle w:val="TableText"/>
              <w:spacing w:before="50" w:after="50"/>
              <w:jc w:val="center"/>
              <w:rPr>
                <w:rFonts w:cs="Arial"/>
                <w:szCs w:val="16"/>
              </w:rPr>
            </w:pPr>
            <w:r w:rsidRPr="00BE78CA">
              <w:t>2,608.3</w:t>
            </w:r>
          </w:p>
        </w:tc>
        <w:tc>
          <w:tcPr>
            <w:tcW w:w="2477" w:type="dxa"/>
            <w:tcBorders>
              <w:top w:val="single" w:sz="4" w:space="0" w:color="365F91"/>
              <w:left w:val="nil"/>
              <w:bottom w:val="single" w:sz="4" w:space="0" w:color="365F91"/>
              <w:right w:val="nil"/>
            </w:tcBorders>
            <w:hideMark/>
          </w:tcPr>
          <w:p w14:paraId="02C16BD6" w14:textId="77777777" w:rsidR="00FB19C0" w:rsidRPr="00BE78CA" w:rsidRDefault="00FB19C0" w:rsidP="00C26084">
            <w:pPr>
              <w:pStyle w:val="TableText"/>
              <w:spacing w:before="50" w:after="50"/>
              <w:jc w:val="center"/>
              <w:rPr>
                <w:rFonts w:cs="Arial"/>
                <w:szCs w:val="16"/>
              </w:rPr>
            </w:pPr>
            <w:r w:rsidRPr="00BE78CA">
              <w:t>3,386.2</w:t>
            </w:r>
          </w:p>
        </w:tc>
      </w:tr>
      <w:tr w:rsidR="00FB19C0" w:rsidRPr="00BE78CA" w14:paraId="06193169" w14:textId="77777777" w:rsidTr="00C26084">
        <w:tc>
          <w:tcPr>
            <w:tcW w:w="1078" w:type="dxa"/>
            <w:tcBorders>
              <w:top w:val="single" w:sz="4" w:space="0" w:color="365F91"/>
              <w:left w:val="nil"/>
              <w:bottom w:val="single" w:sz="4" w:space="0" w:color="365F91"/>
              <w:right w:val="nil"/>
            </w:tcBorders>
            <w:hideMark/>
          </w:tcPr>
          <w:p w14:paraId="67EEF55B" w14:textId="77777777" w:rsidR="00FB19C0" w:rsidRPr="00BE78CA" w:rsidRDefault="00FB19C0" w:rsidP="00C26084">
            <w:pPr>
              <w:pStyle w:val="TableTextBold"/>
              <w:spacing w:before="50" w:after="50"/>
              <w:rPr>
                <w:noProof w:val="0"/>
              </w:rPr>
            </w:pPr>
            <w:r w:rsidRPr="00BE78CA">
              <w:rPr>
                <w:noProof w:val="0"/>
              </w:rPr>
              <w:t>1992</w:t>
            </w:r>
          </w:p>
        </w:tc>
        <w:tc>
          <w:tcPr>
            <w:tcW w:w="2475" w:type="dxa"/>
            <w:tcBorders>
              <w:top w:val="single" w:sz="4" w:space="0" w:color="365F91"/>
              <w:left w:val="nil"/>
              <w:bottom w:val="single" w:sz="4" w:space="0" w:color="365F91"/>
              <w:right w:val="nil"/>
            </w:tcBorders>
            <w:hideMark/>
          </w:tcPr>
          <w:p w14:paraId="5547A17D" w14:textId="77777777" w:rsidR="00FB19C0" w:rsidRPr="00BE78CA" w:rsidRDefault="00FB19C0" w:rsidP="00C26084">
            <w:pPr>
              <w:pStyle w:val="TableText"/>
              <w:spacing w:before="50" w:after="50"/>
              <w:jc w:val="center"/>
              <w:rPr>
                <w:rFonts w:cs="Arial"/>
                <w:szCs w:val="16"/>
              </w:rPr>
            </w:pPr>
            <w:r w:rsidRPr="00BE78CA">
              <w:t>768.9</w:t>
            </w:r>
          </w:p>
        </w:tc>
        <w:tc>
          <w:tcPr>
            <w:tcW w:w="2475" w:type="dxa"/>
            <w:tcBorders>
              <w:top w:val="single" w:sz="4" w:space="0" w:color="365F91"/>
              <w:left w:val="nil"/>
              <w:bottom w:val="single" w:sz="4" w:space="0" w:color="365F91"/>
              <w:right w:val="nil"/>
            </w:tcBorders>
            <w:hideMark/>
          </w:tcPr>
          <w:p w14:paraId="380B14CC" w14:textId="77777777" w:rsidR="00FB19C0" w:rsidRPr="00BE78CA" w:rsidRDefault="00FB19C0" w:rsidP="00C26084">
            <w:pPr>
              <w:pStyle w:val="TableText"/>
              <w:spacing w:before="50" w:after="50"/>
              <w:jc w:val="center"/>
              <w:rPr>
                <w:rFonts w:cs="Arial"/>
                <w:szCs w:val="16"/>
              </w:rPr>
            </w:pPr>
            <w:r w:rsidRPr="00BE78CA">
              <w:t>2,579.8</w:t>
            </w:r>
          </w:p>
        </w:tc>
        <w:tc>
          <w:tcPr>
            <w:tcW w:w="2477" w:type="dxa"/>
            <w:tcBorders>
              <w:top w:val="single" w:sz="4" w:space="0" w:color="365F91"/>
              <w:left w:val="nil"/>
              <w:bottom w:val="single" w:sz="4" w:space="0" w:color="365F91"/>
              <w:right w:val="nil"/>
            </w:tcBorders>
            <w:hideMark/>
          </w:tcPr>
          <w:p w14:paraId="1C29AE87" w14:textId="77777777" w:rsidR="00FB19C0" w:rsidRPr="00BE78CA" w:rsidRDefault="00FB19C0" w:rsidP="00C26084">
            <w:pPr>
              <w:pStyle w:val="TableText"/>
              <w:spacing w:before="50" w:after="50"/>
              <w:jc w:val="center"/>
              <w:rPr>
                <w:rFonts w:cs="Arial"/>
                <w:szCs w:val="16"/>
              </w:rPr>
            </w:pPr>
            <w:r w:rsidRPr="00BE78CA">
              <w:t>3,348.7</w:t>
            </w:r>
          </w:p>
        </w:tc>
      </w:tr>
      <w:tr w:rsidR="00FB19C0" w:rsidRPr="00BE78CA" w14:paraId="358F640B" w14:textId="77777777" w:rsidTr="00C26084">
        <w:tc>
          <w:tcPr>
            <w:tcW w:w="1078" w:type="dxa"/>
            <w:tcBorders>
              <w:top w:val="single" w:sz="4" w:space="0" w:color="365F91"/>
              <w:left w:val="nil"/>
              <w:bottom w:val="single" w:sz="4" w:space="0" w:color="365F91"/>
              <w:right w:val="nil"/>
            </w:tcBorders>
            <w:hideMark/>
          </w:tcPr>
          <w:p w14:paraId="0F893DBF" w14:textId="77777777" w:rsidR="00FB19C0" w:rsidRPr="00BE78CA" w:rsidRDefault="00FB19C0" w:rsidP="00C26084">
            <w:pPr>
              <w:pStyle w:val="TableTextBold"/>
              <w:spacing w:before="50" w:after="50"/>
              <w:rPr>
                <w:noProof w:val="0"/>
              </w:rPr>
            </w:pPr>
            <w:r w:rsidRPr="00BE78CA">
              <w:rPr>
                <w:noProof w:val="0"/>
              </w:rPr>
              <w:t>1993</w:t>
            </w:r>
          </w:p>
        </w:tc>
        <w:tc>
          <w:tcPr>
            <w:tcW w:w="2475" w:type="dxa"/>
            <w:tcBorders>
              <w:top w:val="single" w:sz="4" w:space="0" w:color="365F91"/>
              <w:left w:val="nil"/>
              <w:bottom w:val="single" w:sz="4" w:space="0" w:color="365F91"/>
              <w:right w:val="nil"/>
            </w:tcBorders>
            <w:hideMark/>
          </w:tcPr>
          <w:p w14:paraId="1F128F7F" w14:textId="77777777" w:rsidR="00FB19C0" w:rsidRPr="00BE78CA" w:rsidRDefault="00FB19C0" w:rsidP="00C26084">
            <w:pPr>
              <w:pStyle w:val="TableText"/>
              <w:spacing w:before="50" w:after="50"/>
              <w:jc w:val="center"/>
            </w:pPr>
            <w:r w:rsidRPr="00BE78CA">
              <w:t>784.4</w:t>
            </w:r>
          </w:p>
        </w:tc>
        <w:tc>
          <w:tcPr>
            <w:tcW w:w="2475" w:type="dxa"/>
            <w:tcBorders>
              <w:top w:val="single" w:sz="4" w:space="0" w:color="365F91"/>
              <w:left w:val="nil"/>
              <w:bottom w:val="single" w:sz="4" w:space="0" w:color="365F91"/>
              <w:right w:val="nil"/>
            </w:tcBorders>
            <w:hideMark/>
          </w:tcPr>
          <w:p w14:paraId="2617BD13" w14:textId="77777777" w:rsidR="00FB19C0" w:rsidRPr="00BE78CA" w:rsidRDefault="00FB19C0" w:rsidP="00C26084">
            <w:pPr>
              <w:pStyle w:val="TableText"/>
              <w:spacing w:before="50" w:after="50"/>
              <w:jc w:val="center"/>
            </w:pPr>
            <w:r w:rsidRPr="00BE78CA">
              <w:t>2,608.1</w:t>
            </w:r>
          </w:p>
        </w:tc>
        <w:tc>
          <w:tcPr>
            <w:tcW w:w="2477" w:type="dxa"/>
            <w:tcBorders>
              <w:top w:val="single" w:sz="4" w:space="0" w:color="365F91"/>
              <w:left w:val="nil"/>
              <w:bottom w:val="single" w:sz="4" w:space="0" w:color="365F91"/>
              <w:right w:val="nil"/>
            </w:tcBorders>
            <w:hideMark/>
          </w:tcPr>
          <w:p w14:paraId="77BD55BE" w14:textId="77777777" w:rsidR="00FB19C0" w:rsidRPr="00BE78CA" w:rsidRDefault="00FB19C0" w:rsidP="00C26084">
            <w:pPr>
              <w:pStyle w:val="TableText"/>
              <w:spacing w:before="50" w:after="50"/>
              <w:jc w:val="center"/>
            </w:pPr>
            <w:r w:rsidRPr="00BE78CA">
              <w:t>3,392.5</w:t>
            </w:r>
          </w:p>
        </w:tc>
      </w:tr>
      <w:tr w:rsidR="00FB19C0" w:rsidRPr="00BE78CA" w14:paraId="6057002F" w14:textId="77777777" w:rsidTr="00C26084">
        <w:tc>
          <w:tcPr>
            <w:tcW w:w="1078" w:type="dxa"/>
            <w:tcBorders>
              <w:top w:val="single" w:sz="4" w:space="0" w:color="365F91"/>
              <w:left w:val="nil"/>
              <w:bottom w:val="single" w:sz="4" w:space="0" w:color="365F91"/>
              <w:right w:val="nil"/>
            </w:tcBorders>
            <w:hideMark/>
          </w:tcPr>
          <w:p w14:paraId="58FDC3F3" w14:textId="77777777" w:rsidR="00FB19C0" w:rsidRPr="00BE78CA" w:rsidRDefault="00FB19C0" w:rsidP="00C26084">
            <w:pPr>
              <w:pStyle w:val="TableTextBold"/>
              <w:spacing w:before="50" w:after="50"/>
              <w:rPr>
                <w:noProof w:val="0"/>
              </w:rPr>
            </w:pPr>
            <w:r w:rsidRPr="00BE78CA">
              <w:rPr>
                <w:noProof w:val="0"/>
              </w:rPr>
              <w:t>1994</w:t>
            </w:r>
          </w:p>
        </w:tc>
        <w:tc>
          <w:tcPr>
            <w:tcW w:w="2475" w:type="dxa"/>
            <w:tcBorders>
              <w:top w:val="single" w:sz="4" w:space="0" w:color="365F91"/>
              <w:left w:val="nil"/>
              <w:bottom w:val="single" w:sz="4" w:space="0" w:color="365F91"/>
              <w:right w:val="nil"/>
            </w:tcBorders>
            <w:hideMark/>
          </w:tcPr>
          <w:p w14:paraId="1A5325D5" w14:textId="77777777" w:rsidR="00FB19C0" w:rsidRPr="00BE78CA" w:rsidRDefault="00FB19C0" w:rsidP="00C26084">
            <w:pPr>
              <w:pStyle w:val="TableText"/>
              <w:spacing w:before="50" w:after="50"/>
              <w:jc w:val="center"/>
            </w:pPr>
            <w:r w:rsidRPr="00BE78CA">
              <w:t>669.9</w:t>
            </w:r>
          </w:p>
        </w:tc>
        <w:tc>
          <w:tcPr>
            <w:tcW w:w="2475" w:type="dxa"/>
            <w:tcBorders>
              <w:top w:val="single" w:sz="4" w:space="0" w:color="365F91"/>
              <w:left w:val="nil"/>
              <w:bottom w:val="single" w:sz="4" w:space="0" w:color="365F91"/>
              <w:right w:val="nil"/>
            </w:tcBorders>
            <w:hideMark/>
          </w:tcPr>
          <w:p w14:paraId="02DF2D15" w14:textId="77777777" w:rsidR="00FB19C0" w:rsidRPr="00BE78CA" w:rsidRDefault="00FB19C0" w:rsidP="00C26084">
            <w:pPr>
              <w:pStyle w:val="TableText"/>
              <w:spacing w:before="50" w:after="50"/>
              <w:jc w:val="center"/>
            </w:pPr>
            <w:r w:rsidRPr="00BE78CA">
              <w:t>2,774.8</w:t>
            </w:r>
          </w:p>
        </w:tc>
        <w:tc>
          <w:tcPr>
            <w:tcW w:w="2477" w:type="dxa"/>
            <w:tcBorders>
              <w:top w:val="single" w:sz="4" w:space="0" w:color="365F91"/>
              <w:left w:val="nil"/>
              <w:bottom w:val="single" w:sz="4" w:space="0" w:color="365F91"/>
              <w:right w:val="nil"/>
            </w:tcBorders>
            <w:hideMark/>
          </w:tcPr>
          <w:p w14:paraId="46D123CB" w14:textId="77777777" w:rsidR="00FB19C0" w:rsidRPr="00BE78CA" w:rsidRDefault="00FB19C0" w:rsidP="00C26084">
            <w:pPr>
              <w:pStyle w:val="TableText"/>
              <w:spacing w:before="50" w:after="50"/>
              <w:jc w:val="center"/>
            </w:pPr>
            <w:r w:rsidRPr="00BE78CA">
              <w:t>3,444.7</w:t>
            </w:r>
          </w:p>
        </w:tc>
      </w:tr>
      <w:tr w:rsidR="00FB19C0" w:rsidRPr="00BE78CA" w14:paraId="3964C5AA" w14:textId="77777777" w:rsidTr="00C26084">
        <w:tc>
          <w:tcPr>
            <w:tcW w:w="1078" w:type="dxa"/>
            <w:tcBorders>
              <w:top w:val="single" w:sz="4" w:space="0" w:color="365F91"/>
              <w:left w:val="nil"/>
              <w:bottom w:val="single" w:sz="4" w:space="0" w:color="365F91"/>
              <w:right w:val="nil"/>
            </w:tcBorders>
            <w:hideMark/>
          </w:tcPr>
          <w:p w14:paraId="04AEE8F7" w14:textId="77777777" w:rsidR="00FB19C0" w:rsidRPr="00BE78CA" w:rsidRDefault="00FB19C0" w:rsidP="00C26084">
            <w:pPr>
              <w:pStyle w:val="TableTextBold"/>
              <w:spacing w:before="50" w:after="50"/>
              <w:rPr>
                <w:noProof w:val="0"/>
              </w:rPr>
            </w:pPr>
            <w:r w:rsidRPr="00BE78CA">
              <w:rPr>
                <w:noProof w:val="0"/>
              </w:rPr>
              <w:t>1995</w:t>
            </w:r>
          </w:p>
        </w:tc>
        <w:tc>
          <w:tcPr>
            <w:tcW w:w="2475" w:type="dxa"/>
            <w:tcBorders>
              <w:top w:val="single" w:sz="4" w:space="0" w:color="365F91"/>
              <w:left w:val="nil"/>
              <w:bottom w:val="single" w:sz="4" w:space="0" w:color="365F91"/>
              <w:right w:val="nil"/>
            </w:tcBorders>
            <w:hideMark/>
          </w:tcPr>
          <w:p w14:paraId="452BEFB2" w14:textId="77777777" w:rsidR="00FB19C0" w:rsidRPr="00BE78CA" w:rsidRDefault="00FB19C0" w:rsidP="00C26084">
            <w:pPr>
              <w:pStyle w:val="TableText"/>
              <w:spacing w:before="50" w:after="50"/>
              <w:jc w:val="center"/>
            </w:pPr>
            <w:r w:rsidRPr="00BE78CA">
              <w:t>663.5</w:t>
            </w:r>
          </w:p>
        </w:tc>
        <w:tc>
          <w:tcPr>
            <w:tcW w:w="2475" w:type="dxa"/>
            <w:tcBorders>
              <w:top w:val="single" w:sz="4" w:space="0" w:color="365F91"/>
              <w:left w:val="nil"/>
              <w:bottom w:val="single" w:sz="4" w:space="0" w:color="365F91"/>
              <w:right w:val="nil"/>
            </w:tcBorders>
            <w:hideMark/>
          </w:tcPr>
          <w:p w14:paraId="419760B2" w14:textId="77777777" w:rsidR="00FB19C0" w:rsidRPr="00BE78CA" w:rsidRDefault="00FB19C0" w:rsidP="00C26084">
            <w:pPr>
              <w:pStyle w:val="TableText"/>
              <w:spacing w:before="50" w:after="50"/>
              <w:jc w:val="center"/>
            </w:pPr>
            <w:r w:rsidRPr="00BE78CA">
              <w:t>2,916.8</w:t>
            </w:r>
          </w:p>
        </w:tc>
        <w:tc>
          <w:tcPr>
            <w:tcW w:w="2477" w:type="dxa"/>
            <w:tcBorders>
              <w:top w:val="single" w:sz="4" w:space="0" w:color="365F91"/>
              <w:left w:val="nil"/>
              <w:bottom w:val="single" w:sz="4" w:space="0" w:color="365F91"/>
              <w:right w:val="nil"/>
            </w:tcBorders>
            <w:hideMark/>
          </w:tcPr>
          <w:p w14:paraId="67656F1E" w14:textId="77777777" w:rsidR="00FB19C0" w:rsidRPr="00BE78CA" w:rsidRDefault="00FB19C0" w:rsidP="00C26084">
            <w:pPr>
              <w:pStyle w:val="TableText"/>
              <w:spacing w:before="50" w:after="50"/>
              <w:jc w:val="center"/>
            </w:pPr>
            <w:r w:rsidRPr="00BE78CA">
              <w:t>3,580.2</w:t>
            </w:r>
          </w:p>
        </w:tc>
      </w:tr>
      <w:tr w:rsidR="00FB19C0" w:rsidRPr="00BE78CA" w14:paraId="7F5A2CAD" w14:textId="77777777" w:rsidTr="00C26084">
        <w:tc>
          <w:tcPr>
            <w:tcW w:w="1078" w:type="dxa"/>
            <w:tcBorders>
              <w:top w:val="single" w:sz="4" w:space="0" w:color="365F91"/>
              <w:left w:val="nil"/>
              <w:bottom w:val="single" w:sz="4" w:space="0" w:color="365F91"/>
              <w:right w:val="nil"/>
            </w:tcBorders>
            <w:hideMark/>
          </w:tcPr>
          <w:p w14:paraId="69FFD695" w14:textId="77777777" w:rsidR="00FB19C0" w:rsidRPr="00BE78CA" w:rsidRDefault="00FB19C0" w:rsidP="00C26084">
            <w:pPr>
              <w:pStyle w:val="TableTextBold"/>
              <w:spacing w:before="50" w:after="50"/>
              <w:rPr>
                <w:noProof w:val="0"/>
              </w:rPr>
            </w:pPr>
            <w:r w:rsidRPr="00BE78CA">
              <w:rPr>
                <w:noProof w:val="0"/>
              </w:rPr>
              <w:t>1996</w:t>
            </w:r>
          </w:p>
        </w:tc>
        <w:tc>
          <w:tcPr>
            <w:tcW w:w="2475" w:type="dxa"/>
            <w:tcBorders>
              <w:top w:val="single" w:sz="4" w:space="0" w:color="365F91"/>
              <w:left w:val="nil"/>
              <w:bottom w:val="single" w:sz="4" w:space="0" w:color="365F91"/>
              <w:right w:val="nil"/>
            </w:tcBorders>
            <w:hideMark/>
          </w:tcPr>
          <w:p w14:paraId="16D80B71" w14:textId="77777777" w:rsidR="00FB19C0" w:rsidRPr="00BE78CA" w:rsidRDefault="00FB19C0" w:rsidP="00C26084">
            <w:pPr>
              <w:pStyle w:val="TableText"/>
              <w:spacing w:before="50" w:after="50"/>
              <w:jc w:val="center"/>
            </w:pPr>
            <w:r w:rsidRPr="00BE78CA">
              <w:t>637.3</w:t>
            </w:r>
          </w:p>
        </w:tc>
        <w:tc>
          <w:tcPr>
            <w:tcW w:w="2475" w:type="dxa"/>
            <w:tcBorders>
              <w:top w:val="single" w:sz="4" w:space="0" w:color="365F91"/>
              <w:left w:val="nil"/>
              <w:bottom w:val="single" w:sz="4" w:space="0" w:color="365F91"/>
              <w:right w:val="nil"/>
            </w:tcBorders>
            <w:hideMark/>
          </w:tcPr>
          <w:p w14:paraId="793BA472" w14:textId="77777777" w:rsidR="00FB19C0" w:rsidRPr="00BE78CA" w:rsidRDefault="00FB19C0" w:rsidP="00C26084">
            <w:pPr>
              <w:pStyle w:val="TableText"/>
              <w:spacing w:before="50" w:after="50"/>
              <w:jc w:val="center"/>
            </w:pPr>
            <w:r w:rsidRPr="00BE78CA">
              <w:t>3,054.6</w:t>
            </w:r>
          </w:p>
        </w:tc>
        <w:tc>
          <w:tcPr>
            <w:tcW w:w="2477" w:type="dxa"/>
            <w:tcBorders>
              <w:top w:val="single" w:sz="4" w:space="0" w:color="365F91"/>
              <w:left w:val="nil"/>
              <w:bottom w:val="single" w:sz="4" w:space="0" w:color="365F91"/>
              <w:right w:val="nil"/>
            </w:tcBorders>
            <w:hideMark/>
          </w:tcPr>
          <w:p w14:paraId="0020A4AD" w14:textId="77777777" w:rsidR="00FB19C0" w:rsidRPr="00BE78CA" w:rsidRDefault="00FB19C0" w:rsidP="00C26084">
            <w:pPr>
              <w:pStyle w:val="TableText"/>
              <w:spacing w:before="50" w:after="50"/>
              <w:jc w:val="center"/>
            </w:pPr>
            <w:r w:rsidRPr="00BE78CA">
              <w:t>3,691.9</w:t>
            </w:r>
          </w:p>
        </w:tc>
      </w:tr>
      <w:tr w:rsidR="00FB19C0" w:rsidRPr="00BE78CA" w14:paraId="4632D852" w14:textId="77777777" w:rsidTr="00C26084">
        <w:tc>
          <w:tcPr>
            <w:tcW w:w="1078" w:type="dxa"/>
            <w:tcBorders>
              <w:top w:val="single" w:sz="4" w:space="0" w:color="365F91"/>
              <w:left w:val="nil"/>
              <w:bottom w:val="single" w:sz="4" w:space="0" w:color="365F91"/>
              <w:right w:val="nil"/>
            </w:tcBorders>
            <w:hideMark/>
          </w:tcPr>
          <w:p w14:paraId="4170F304" w14:textId="77777777" w:rsidR="00FB19C0" w:rsidRPr="00BE78CA" w:rsidRDefault="00FB19C0" w:rsidP="00C26084">
            <w:pPr>
              <w:pStyle w:val="TableTextBold"/>
              <w:spacing w:before="50" w:after="50"/>
              <w:rPr>
                <w:noProof w:val="0"/>
              </w:rPr>
            </w:pPr>
            <w:r w:rsidRPr="00BE78CA">
              <w:rPr>
                <w:noProof w:val="0"/>
              </w:rPr>
              <w:t>1997</w:t>
            </w:r>
          </w:p>
        </w:tc>
        <w:tc>
          <w:tcPr>
            <w:tcW w:w="2475" w:type="dxa"/>
            <w:tcBorders>
              <w:top w:val="single" w:sz="4" w:space="0" w:color="365F91"/>
              <w:left w:val="nil"/>
              <w:bottom w:val="single" w:sz="4" w:space="0" w:color="365F91"/>
              <w:right w:val="nil"/>
            </w:tcBorders>
            <w:hideMark/>
          </w:tcPr>
          <w:p w14:paraId="2527C695" w14:textId="77777777" w:rsidR="00FB19C0" w:rsidRPr="00BE78CA" w:rsidRDefault="00FB19C0" w:rsidP="00C26084">
            <w:pPr>
              <w:pStyle w:val="TableText"/>
              <w:spacing w:before="50" w:after="50"/>
              <w:jc w:val="center"/>
            </w:pPr>
            <w:r w:rsidRPr="00BE78CA">
              <w:t>684.9</w:t>
            </w:r>
          </w:p>
        </w:tc>
        <w:tc>
          <w:tcPr>
            <w:tcW w:w="2475" w:type="dxa"/>
            <w:tcBorders>
              <w:top w:val="single" w:sz="4" w:space="0" w:color="365F91"/>
              <w:left w:val="nil"/>
              <w:bottom w:val="single" w:sz="4" w:space="0" w:color="365F91"/>
              <w:right w:val="nil"/>
            </w:tcBorders>
            <w:hideMark/>
          </w:tcPr>
          <w:p w14:paraId="01FA0BB6" w14:textId="77777777" w:rsidR="00FB19C0" w:rsidRPr="00BE78CA" w:rsidRDefault="00FB19C0" w:rsidP="00C26084">
            <w:pPr>
              <w:pStyle w:val="TableText"/>
              <w:spacing w:before="50" w:after="50"/>
              <w:jc w:val="center"/>
            </w:pPr>
            <w:r w:rsidRPr="00BE78CA">
              <w:t>3,165.1</w:t>
            </w:r>
          </w:p>
        </w:tc>
        <w:tc>
          <w:tcPr>
            <w:tcW w:w="2477" w:type="dxa"/>
            <w:tcBorders>
              <w:top w:val="single" w:sz="4" w:space="0" w:color="365F91"/>
              <w:left w:val="nil"/>
              <w:bottom w:val="single" w:sz="4" w:space="0" w:color="365F91"/>
              <w:right w:val="nil"/>
            </w:tcBorders>
            <w:hideMark/>
          </w:tcPr>
          <w:p w14:paraId="70A006D4" w14:textId="77777777" w:rsidR="00FB19C0" w:rsidRPr="00BE78CA" w:rsidRDefault="00FB19C0" w:rsidP="00C26084">
            <w:pPr>
              <w:pStyle w:val="TableText"/>
              <w:spacing w:before="50" w:after="50"/>
              <w:jc w:val="center"/>
            </w:pPr>
            <w:r w:rsidRPr="00BE78CA">
              <w:t>3,850.0</w:t>
            </w:r>
          </w:p>
        </w:tc>
      </w:tr>
      <w:tr w:rsidR="00FB19C0" w:rsidRPr="00BE78CA" w14:paraId="3F5269F5" w14:textId="77777777" w:rsidTr="00C26084">
        <w:tc>
          <w:tcPr>
            <w:tcW w:w="1078" w:type="dxa"/>
            <w:tcBorders>
              <w:top w:val="single" w:sz="4" w:space="0" w:color="365F91"/>
              <w:left w:val="nil"/>
              <w:bottom w:val="single" w:sz="4" w:space="0" w:color="365F91"/>
              <w:right w:val="nil"/>
            </w:tcBorders>
            <w:hideMark/>
          </w:tcPr>
          <w:p w14:paraId="27A1A286" w14:textId="77777777" w:rsidR="00FB19C0" w:rsidRPr="00BE78CA" w:rsidRDefault="00FB19C0" w:rsidP="00C26084">
            <w:pPr>
              <w:pStyle w:val="TableTextBold"/>
              <w:spacing w:before="50" w:after="50"/>
              <w:rPr>
                <w:noProof w:val="0"/>
              </w:rPr>
            </w:pPr>
            <w:r w:rsidRPr="00BE78CA">
              <w:rPr>
                <w:noProof w:val="0"/>
              </w:rPr>
              <w:t>1998</w:t>
            </w:r>
          </w:p>
        </w:tc>
        <w:tc>
          <w:tcPr>
            <w:tcW w:w="2475" w:type="dxa"/>
            <w:tcBorders>
              <w:top w:val="single" w:sz="4" w:space="0" w:color="365F91"/>
              <w:left w:val="nil"/>
              <w:bottom w:val="single" w:sz="4" w:space="0" w:color="365F91"/>
              <w:right w:val="nil"/>
            </w:tcBorders>
            <w:hideMark/>
          </w:tcPr>
          <w:p w14:paraId="7EE4B542" w14:textId="77777777" w:rsidR="00FB19C0" w:rsidRPr="00BE78CA" w:rsidRDefault="00FB19C0" w:rsidP="00C26084">
            <w:pPr>
              <w:pStyle w:val="TableText"/>
              <w:spacing w:before="50" w:after="50"/>
              <w:jc w:val="center"/>
            </w:pPr>
            <w:r w:rsidRPr="00BE78CA">
              <w:t>732.4</w:t>
            </w:r>
          </w:p>
        </w:tc>
        <w:tc>
          <w:tcPr>
            <w:tcW w:w="2475" w:type="dxa"/>
            <w:tcBorders>
              <w:top w:val="single" w:sz="4" w:space="0" w:color="365F91"/>
              <w:left w:val="nil"/>
              <w:bottom w:val="single" w:sz="4" w:space="0" w:color="365F91"/>
              <w:right w:val="nil"/>
            </w:tcBorders>
            <w:hideMark/>
          </w:tcPr>
          <w:p w14:paraId="270AA93A" w14:textId="77777777" w:rsidR="00FB19C0" w:rsidRPr="00BE78CA" w:rsidRDefault="00FB19C0" w:rsidP="00C26084">
            <w:pPr>
              <w:pStyle w:val="TableText"/>
              <w:spacing w:before="50" w:after="50"/>
              <w:jc w:val="center"/>
            </w:pPr>
            <w:r w:rsidRPr="00BE78CA">
              <w:t>3,229.8</w:t>
            </w:r>
          </w:p>
        </w:tc>
        <w:tc>
          <w:tcPr>
            <w:tcW w:w="2477" w:type="dxa"/>
            <w:tcBorders>
              <w:top w:val="single" w:sz="4" w:space="0" w:color="365F91"/>
              <w:left w:val="nil"/>
              <w:bottom w:val="single" w:sz="4" w:space="0" w:color="365F91"/>
              <w:right w:val="nil"/>
            </w:tcBorders>
            <w:hideMark/>
          </w:tcPr>
          <w:p w14:paraId="5F0AE079" w14:textId="77777777" w:rsidR="00FB19C0" w:rsidRPr="00BE78CA" w:rsidRDefault="00FB19C0" w:rsidP="00C26084">
            <w:pPr>
              <w:pStyle w:val="TableText"/>
              <w:spacing w:before="50" w:after="50"/>
              <w:jc w:val="center"/>
            </w:pPr>
            <w:r w:rsidRPr="00BE78CA">
              <w:t>3,962.2</w:t>
            </w:r>
          </w:p>
        </w:tc>
      </w:tr>
      <w:tr w:rsidR="00FB19C0" w:rsidRPr="00BE78CA" w14:paraId="1C2C262F" w14:textId="77777777" w:rsidTr="00C26084">
        <w:tc>
          <w:tcPr>
            <w:tcW w:w="1078" w:type="dxa"/>
            <w:tcBorders>
              <w:top w:val="single" w:sz="4" w:space="0" w:color="365F91"/>
              <w:left w:val="nil"/>
              <w:bottom w:val="single" w:sz="4" w:space="0" w:color="365F91"/>
              <w:right w:val="nil"/>
            </w:tcBorders>
            <w:hideMark/>
          </w:tcPr>
          <w:p w14:paraId="57B7BA56" w14:textId="77777777" w:rsidR="00FB19C0" w:rsidRPr="00BE78CA" w:rsidRDefault="00FB19C0" w:rsidP="00C26084">
            <w:pPr>
              <w:pStyle w:val="TableTextBold"/>
              <w:spacing w:before="50" w:after="50"/>
              <w:rPr>
                <w:noProof w:val="0"/>
              </w:rPr>
            </w:pPr>
            <w:r w:rsidRPr="00BE78CA">
              <w:rPr>
                <w:noProof w:val="0"/>
              </w:rPr>
              <w:t>1999</w:t>
            </w:r>
          </w:p>
        </w:tc>
        <w:tc>
          <w:tcPr>
            <w:tcW w:w="2475" w:type="dxa"/>
            <w:tcBorders>
              <w:top w:val="single" w:sz="4" w:space="0" w:color="365F91"/>
              <w:left w:val="nil"/>
              <w:bottom w:val="single" w:sz="4" w:space="0" w:color="365F91"/>
              <w:right w:val="nil"/>
            </w:tcBorders>
            <w:hideMark/>
          </w:tcPr>
          <w:p w14:paraId="3E746962" w14:textId="77777777" w:rsidR="00FB19C0" w:rsidRPr="00BE78CA" w:rsidRDefault="00FB19C0" w:rsidP="00C26084">
            <w:pPr>
              <w:pStyle w:val="TableText"/>
              <w:spacing w:before="50" w:after="50"/>
              <w:jc w:val="center"/>
            </w:pPr>
            <w:r w:rsidRPr="00BE78CA">
              <w:t>779.9</w:t>
            </w:r>
          </w:p>
        </w:tc>
        <w:tc>
          <w:tcPr>
            <w:tcW w:w="2475" w:type="dxa"/>
            <w:tcBorders>
              <w:top w:val="single" w:sz="4" w:space="0" w:color="365F91"/>
              <w:left w:val="nil"/>
              <w:bottom w:val="single" w:sz="4" w:space="0" w:color="365F91"/>
              <w:right w:val="nil"/>
            </w:tcBorders>
            <w:hideMark/>
          </w:tcPr>
          <w:p w14:paraId="12FB9CE9" w14:textId="77777777" w:rsidR="00FB19C0" w:rsidRPr="00BE78CA" w:rsidRDefault="00FB19C0" w:rsidP="00C26084">
            <w:pPr>
              <w:pStyle w:val="TableText"/>
              <w:spacing w:before="50" w:after="50"/>
              <w:jc w:val="center"/>
            </w:pPr>
            <w:r w:rsidRPr="00BE78CA">
              <w:t>3,255.4</w:t>
            </w:r>
          </w:p>
        </w:tc>
        <w:tc>
          <w:tcPr>
            <w:tcW w:w="2477" w:type="dxa"/>
            <w:tcBorders>
              <w:top w:val="single" w:sz="4" w:space="0" w:color="365F91"/>
              <w:left w:val="nil"/>
              <w:bottom w:val="single" w:sz="4" w:space="0" w:color="365F91"/>
              <w:right w:val="nil"/>
            </w:tcBorders>
            <w:hideMark/>
          </w:tcPr>
          <w:p w14:paraId="59BF54FC" w14:textId="77777777" w:rsidR="00FB19C0" w:rsidRPr="00BE78CA" w:rsidRDefault="00FB19C0" w:rsidP="00C26084">
            <w:pPr>
              <w:pStyle w:val="TableText"/>
              <w:spacing w:before="50" w:after="50"/>
              <w:jc w:val="center"/>
            </w:pPr>
            <w:r w:rsidRPr="00BE78CA">
              <w:t>4,035.3</w:t>
            </w:r>
          </w:p>
        </w:tc>
      </w:tr>
      <w:tr w:rsidR="00FB19C0" w:rsidRPr="00BE78CA" w14:paraId="48964BAB" w14:textId="77777777" w:rsidTr="00C26084">
        <w:tc>
          <w:tcPr>
            <w:tcW w:w="1078" w:type="dxa"/>
            <w:tcBorders>
              <w:top w:val="single" w:sz="4" w:space="0" w:color="365F91"/>
              <w:left w:val="nil"/>
              <w:bottom w:val="single" w:sz="4" w:space="0" w:color="365F91"/>
              <w:right w:val="nil"/>
            </w:tcBorders>
            <w:hideMark/>
          </w:tcPr>
          <w:p w14:paraId="64C19C5C" w14:textId="77777777" w:rsidR="00FB19C0" w:rsidRPr="00BE78CA" w:rsidRDefault="00FB19C0" w:rsidP="00C26084">
            <w:pPr>
              <w:pStyle w:val="TableTextBold"/>
              <w:spacing w:before="50" w:after="50"/>
              <w:rPr>
                <w:noProof w:val="0"/>
              </w:rPr>
            </w:pPr>
            <w:r w:rsidRPr="00BE78CA">
              <w:rPr>
                <w:noProof w:val="0"/>
              </w:rPr>
              <w:t>2000</w:t>
            </w:r>
          </w:p>
        </w:tc>
        <w:tc>
          <w:tcPr>
            <w:tcW w:w="2475" w:type="dxa"/>
            <w:tcBorders>
              <w:top w:val="single" w:sz="4" w:space="0" w:color="365F91"/>
              <w:left w:val="nil"/>
              <w:bottom w:val="single" w:sz="4" w:space="0" w:color="365F91"/>
              <w:right w:val="nil"/>
            </w:tcBorders>
            <w:hideMark/>
          </w:tcPr>
          <w:p w14:paraId="7298539B" w14:textId="77777777" w:rsidR="00FB19C0" w:rsidRPr="00BE78CA" w:rsidRDefault="00FB19C0" w:rsidP="00C26084">
            <w:pPr>
              <w:pStyle w:val="TableText"/>
              <w:spacing w:before="50" w:after="50"/>
              <w:jc w:val="center"/>
            </w:pPr>
            <w:r w:rsidRPr="00BE78CA">
              <w:t>745.8</w:t>
            </w:r>
          </w:p>
        </w:tc>
        <w:tc>
          <w:tcPr>
            <w:tcW w:w="2475" w:type="dxa"/>
            <w:tcBorders>
              <w:top w:val="single" w:sz="4" w:space="0" w:color="365F91"/>
              <w:left w:val="nil"/>
              <w:bottom w:val="single" w:sz="4" w:space="0" w:color="365F91"/>
              <w:right w:val="nil"/>
            </w:tcBorders>
            <w:hideMark/>
          </w:tcPr>
          <w:p w14:paraId="58CC4782" w14:textId="77777777" w:rsidR="00FB19C0" w:rsidRPr="00BE78CA" w:rsidRDefault="00FB19C0" w:rsidP="00C26084">
            <w:pPr>
              <w:pStyle w:val="TableText"/>
              <w:spacing w:before="50" w:after="50"/>
              <w:jc w:val="center"/>
            </w:pPr>
            <w:r w:rsidRPr="00BE78CA">
              <w:t>3,433.0</w:t>
            </w:r>
          </w:p>
        </w:tc>
        <w:tc>
          <w:tcPr>
            <w:tcW w:w="2477" w:type="dxa"/>
            <w:tcBorders>
              <w:top w:val="single" w:sz="4" w:space="0" w:color="365F91"/>
              <w:left w:val="nil"/>
              <w:bottom w:val="single" w:sz="4" w:space="0" w:color="365F91"/>
              <w:right w:val="nil"/>
            </w:tcBorders>
            <w:hideMark/>
          </w:tcPr>
          <w:p w14:paraId="2FE03D24" w14:textId="77777777" w:rsidR="00FB19C0" w:rsidRPr="00BE78CA" w:rsidRDefault="00FB19C0" w:rsidP="00C26084">
            <w:pPr>
              <w:pStyle w:val="TableText"/>
              <w:spacing w:before="50" w:after="50"/>
              <w:jc w:val="center"/>
            </w:pPr>
            <w:r w:rsidRPr="00BE78CA">
              <w:t>4,178.8</w:t>
            </w:r>
          </w:p>
        </w:tc>
      </w:tr>
      <w:tr w:rsidR="00FB19C0" w:rsidRPr="00BE78CA" w14:paraId="330C35D6" w14:textId="77777777" w:rsidTr="00C26084">
        <w:tc>
          <w:tcPr>
            <w:tcW w:w="1078" w:type="dxa"/>
            <w:tcBorders>
              <w:top w:val="single" w:sz="4" w:space="0" w:color="365F91"/>
              <w:left w:val="nil"/>
              <w:bottom w:val="single" w:sz="4" w:space="0" w:color="365F91"/>
              <w:right w:val="nil"/>
            </w:tcBorders>
            <w:hideMark/>
          </w:tcPr>
          <w:p w14:paraId="48E1C4CC" w14:textId="77777777" w:rsidR="00FB19C0" w:rsidRPr="00BE78CA" w:rsidRDefault="00FB19C0" w:rsidP="00C26084">
            <w:pPr>
              <w:pStyle w:val="TableTextBold"/>
              <w:spacing w:before="50" w:after="50"/>
              <w:rPr>
                <w:noProof w:val="0"/>
              </w:rPr>
            </w:pPr>
            <w:r w:rsidRPr="00BE78CA">
              <w:rPr>
                <w:noProof w:val="0"/>
              </w:rPr>
              <w:t>2001</w:t>
            </w:r>
          </w:p>
        </w:tc>
        <w:tc>
          <w:tcPr>
            <w:tcW w:w="2475" w:type="dxa"/>
            <w:tcBorders>
              <w:top w:val="single" w:sz="4" w:space="0" w:color="365F91"/>
              <w:left w:val="nil"/>
              <w:bottom w:val="single" w:sz="4" w:space="0" w:color="365F91"/>
              <w:right w:val="nil"/>
            </w:tcBorders>
            <w:hideMark/>
          </w:tcPr>
          <w:p w14:paraId="1847B29C" w14:textId="77777777" w:rsidR="00FB19C0" w:rsidRPr="00BE78CA" w:rsidRDefault="00FB19C0" w:rsidP="00C26084">
            <w:pPr>
              <w:pStyle w:val="TableText"/>
              <w:spacing w:before="50" w:after="50"/>
              <w:jc w:val="center"/>
            </w:pPr>
            <w:r w:rsidRPr="00BE78CA">
              <w:t>711.7</w:t>
            </w:r>
          </w:p>
        </w:tc>
        <w:tc>
          <w:tcPr>
            <w:tcW w:w="2475" w:type="dxa"/>
            <w:tcBorders>
              <w:top w:val="single" w:sz="4" w:space="0" w:color="365F91"/>
              <w:left w:val="nil"/>
              <w:bottom w:val="single" w:sz="4" w:space="0" w:color="365F91"/>
              <w:right w:val="nil"/>
            </w:tcBorders>
            <w:hideMark/>
          </w:tcPr>
          <w:p w14:paraId="119BBEC0" w14:textId="77777777" w:rsidR="00FB19C0" w:rsidRPr="00BE78CA" w:rsidRDefault="00FB19C0" w:rsidP="00C26084">
            <w:pPr>
              <w:pStyle w:val="TableText"/>
              <w:spacing w:before="50" w:after="50"/>
              <w:jc w:val="center"/>
            </w:pPr>
            <w:r w:rsidRPr="00BE78CA">
              <w:t>3,532.7</w:t>
            </w:r>
          </w:p>
        </w:tc>
        <w:tc>
          <w:tcPr>
            <w:tcW w:w="2477" w:type="dxa"/>
            <w:tcBorders>
              <w:top w:val="single" w:sz="4" w:space="0" w:color="365F91"/>
              <w:left w:val="nil"/>
              <w:bottom w:val="single" w:sz="4" w:space="0" w:color="365F91"/>
              <w:right w:val="nil"/>
            </w:tcBorders>
            <w:hideMark/>
          </w:tcPr>
          <w:p w14:paraId="1EF18872" w14:textId="77777777" w:rsidR="00FB19C0" w:rsidRPr="00BE78CA" w:rsidRDefault="00FB19C0" w:rsidP="00C26084">
            <w:pPr>
              <w:pStyle w:val="TableText"/>
              <w:spacing w:before="50" w:after="50"/>
              <w:jc w:val="center"/>
            </w:pPr>
            <w:r w:rsidRPr="00BE78CA">
              <w:t>4,244.4</w:t>
            </w:r>
          </w:p>
        </w:tc>
      </w:tr>
      <w:tr w:rsidR="00FB19C0" w:rsidRPr="00BE78CA" w14:paraId="4B2851CC" w14:textId="77777777" w:rsidTr="00C26084">
        <w:tc>
          <w:tcPr>
            <w:tcW w:w="1078" w:type="dxa"/>
            <w:tcBorders>
              <w:top w:val="single" w:sz="4" w:space="0" w:color="365F91"/>
              <w:left w:val="nil"/>
              <w:bottom w:val="single" w:sz="4" w:space="0" w:color="365F91"/>
              <w:right w:val="nil"/>
            </w:tcBorders>
            <w:hideMark/>
          </w:tcPr>
          <w:p w14:paraId="767A23F6" w14:textId="77777777" w:rsidR="00FB19C0" w:rsidRPr="00BE78CA" w:rsidRDefault="00FB19C0" w:rsidP="00C26084">
            <w:pPr>
              <w:pStyle w:val="TableTextBold"/>
              <w:spacing w:before="50" w:after="50"/>
              <w:rPr>
                <w:noProof w:val="0"/>
              </w:rPr>
            </w:pPr>
            <w:r w:rsidRPr="00BE78CA">
              <w:rPr>
                <w:noProof w:val="0"/>
              </w:rPr>
              <w:t>2002</w:t>
            </w:r>
          </w:p>
        </w:tc>
        <w:tc>
          <w:tcPr>
            <w:tcW w:w="2475" w:type="dxa"/>
            <w:tcBorders>
              <w:top w:val="single" w:sz="4" w:space="0" w:color="365F91"/>
              <w:left w:val="nil"/>
              <w:bottom w:val="single" w:sz="4" w:space="0" w:color="365F91"/>
              <w:right w:val="nil"/>
            </w:tcBorders>
            <w:hideMark/>
          </w:tcPr>
          <w:p w14:paraId="46C290AC" w14:textId="77777777" w:rsidR="00FB19C0" w:rsidRPr="00BE78CA" w:rsidRDefault="00FB19C0" w:rsidP="00C26084">
            <w:pPr>
              <w:pStyle w:val="TableText"/>
              <w:spacing w:before="50" w:after="50"/>
              <w:jc w:val="center"/>
            </w:pPr>
            <w:r w:rsidRPr="00BE78CA">
              <w:t>677.6</w:t>
            </w:r>
          </w:p>
        </w:tc>
        <w:tc>
          <w:tcPr>
            <w:tcW w:w="2475" w:type="dxa"/>
            <w:tcBorders>
              <w:top w:val="single" w:sz="4" w:space="0" w:color="365F91"/>
              <w:left w:val="nil"/>
              <w:bottom w:val="single" w:sz="4" w:space="0" w:color="365F91"/>
              <w:right w:val="nil"/>
            </w:tcBorders>
            <w:hideMark/>
          </w:tcPr>
          <w:p w14:paraId="3134FD83" w14:textId="77777777" w:rsidR="00FB19C0" w:rsidRPr="00BE78CA" w:rsidRDefault="00FB19C0" w:rsidP="00C26084">
            <w:pPr>
              <w:pStyle w:val="TableText"/>
              <w:spacing w:before="50" w:after="50"/>
              <w:jc w:val="center"/>
            </w:pPr>
            <w:r w:rsidRPr="00BE78CA">
              <w:t>3,655.2</w:t>
            </w:r>
          </w:p>
        </w:tc>
        <w:tc>
          <w:tcPr>
            <w:tcW w:w="2477" w:type="dxa"/>
            <w:tcBorders>
              <w:top w:val="single" w:sz="4" w:space="0" w:color="365F91"/>
              <w:left w:val="nil"/>
              <w:bottom w:val="single" w:sz="4" w:space="0" w:color="365F91"/>
              <w:right w:val="nil"/>
            </w:tcBorders>
            <w:hideMark/>
          </w:tcPr>
          <w:p w14:paraId="58EE5B10" w14:textId="77777777" w:rsidR="00FB19C0" w:rsidRPr="00BE78CA" w:rsidRDefault="00FB19C0" w:rsidP="00C26084">
            <w:pPr>
              <w:pStyle w:val="TableText"/>
              <w:spacing w:before="50" w:after="50"/>
              <w:jc w:val="center"/>
            </w:pPr>
            <w:r w:rsidRPr="00BE78CA">
              <w:t>4,332.9</w:t>
            </w:r>
          </w:p>
        </w:tc>
      </w:tr>
      <w:tr w:rsidR="00FB19C0" w:rsidRPr="00BE78CA" w14:paraId="48B863C1" w14:textId="77777777" w:rsidTr="00C26084">
        <w:tc>
          <w:tcPr>
            <w:tcW w:w="1078" w:type="dxa"/>
            <w:tcBorders>
              <w:top w:val="single" w:sz="4" w:space="0" w:color="365F91"/>
              <w:left w:val="nil"/>
              <w:bottom w:val="single" w:sz="4" w:space="0" w:color="365F91"/>
              <w:right w:val="nil"/>
            </w:tcBorders>
            <w:hideMark/>
          </w:tcPr>
          <w:p w14:paraId="64D6E8E8" w14:textId="77777777" w:rsidR="00FB19C0" w:rsidRPr="00BE78CA" w:rsidRDefault="00FB19C0" w:rsidP="00C26084">
            <w:pPr>
              <w:pStyle w:val="TableTextBold"/>
              <w:spacing w:before="50" w:after="50"/>
              <w:rPr>
                <w:noProof w:val="0"/>
              </w:rPr>
            </w:pPr>
            <w:r w:rsidRPr="00BE78CA">
              <w:rPr>
                <w:noProof w:val="0"/>
              </w:rPr>
              <w:t>2003</w:t>
            </w:r>
          </w:p>
        </w:tc>
        <w:tc>
          <w:tcPr>
            <w:tcW w:w="2475" w:type="dxa"/>
            <w:tcBorders>
              <w:top w:val="single" w:sz="4" w:space="0" w:color="365F91"/>
              <w:left w:val="nil"/>
              <w:bottom w:val="single" w:sz="4" w:space="0" w:color="365F91"/>
              <w:right w:val="nil"/>
            </w:tcBorders>
            <w:hideMark/>
          </w:tcPr>
          <w:p w14:paraId="23B1F868" w14:textId="77777777" w:rsidR="00FB19C0" w:rsidRPr="00BE78CA" w:rsidRDefault="00FB19C0" w:rsidP="00C26084">
            <w:pPr>
              <w:pStyle w:val="TableText"/>
              <w:spacing w:before="50" w:after="50"/>
              <w:jc w:val="center"/>
            </w:pPr>
            <w:r w:rsidRPr="00BE78CA">
              <w:t>636.6</w:t>
            </w:r>
          </w:p>
        </w:tc>
        <w:tc>
          <w:tcPr>
            <w:tcW w:w="2475" w:type="dxa"/>
            <w:tcBorders>
              <w:top w:val="single" w:sz="4" w:space="0" w:color="365F91"/>
              <w:left w:val="nil"/>
              <w:bottom w:val="single" w:sz="4" w:space="0" w:color="365F91"/>
              <w:right w:val="nil"/>
            </w:tcBorders>
            <w:hideMark/>
          </w:tcPr>
          <w:p w14:paraId="7D936560" w14:textId="77777777" w:rsidR="00FB19C0" w:rsidRPr="00BE78CA" w:rsidRDefault="00FB19C0" w:rsidP="00C26084">
            <w:pPr>
              <w:pStyle w:val="TableText"/>
              <w:spacing w:before="50" w:after="50"/>
              <w:jc w:val="center"/>
            </w:pPr>
            <w:r w:rsidRPr="00BE78CA">
              <w:t>3,826.3</w:t>
            </w:r>
          </w:p>
        </w:tc>
        <w:tc>
          <w:tcPr>
            <w:tcW w:w="2477" w:type="dxa"/>
            <w:tcBorders>
              <w:top w:val="single" w:sz="4" w:space="0" w:color="365F91"/>
              <w:left w:val="nil"/>
              <w:bottom w:val="single" w:sz="4" w:space="0" w:color="365F91"/>
              <w:right w:val="nil"/>
            </w:tcBorders>
            <w:hideMark/>
          </w:tcPr>
          <w:p w14:paraId="1AA50B8A" w14:textId="77777777" w:rsidR="00FB19C0" w:rsidRPr="00BE78CA" w:rsidRDefault="00FB19C0" w:rsidP="00C26084">
            <w:pPr>
              <w:pStyle w:val="TableText"/>
              <w:spacing w:before="50" w:after="50"/>
              <w:jc w:val="center"/>
            </w:pPr>
            <w:r w:rsidRPr="00BE78CA">
              <w:t>4,462.9</w:t>
            </w:r>
          </w:p>
        </w:tc>
      </w:tr>
      <w:tr w:rsidR="00FB19C0" w:rsidRPr="00BE78CA" w14:paraId="3DCEEF7F" w14:textId="77777777" w:rsidTr="00C26084">
        <w:tc>
          <w:tcPr>
            <w:tcW w:w="1078" w:type="dxa"/>
            <w:tcBorders>
              <w:top w:val="single" w:sz="4" w:space="0" w:color="365F91"/>
              <w:left w:val="nil"/>
              <w:bottom w:val="single" w:sz="4" w:space="0" w:color="365F91"/>
              <w:right w:val="nil"/>
            </w:tcBorders>
            <w:hideMark/>
          </w:tcPr>
          <w:p w14:paraId="64D7CCE9" w14:textId="77777777" w:rsidR="00FB19C0" w:rsidRPr="00BE78CA" w:rsidRDefault="00FB19C0" w:rsidP="00C26084">
            <w:pPr>
              <w:pStyle w:val="TableTextBold"/>
              <w:spacing w:before="50" w:after="50"/>
              <w:rPr>
                <w:noProof w:val="0"/>
              </w:rPr>
            </w:pPr>
            <w:r w:rsidRPr="00BE78CA">
              <w:rPr>
                <w:noProof w:val="0"/>
              </w:rPr>
              <w:t>2004</w:t>
            </w:r>
          </w:p>
        </w:tc>
        <w:tc>
          <w:tcPr>
            <w:tcW w:w="2475" w:type="dxa"/>
            <w:tcBorders>
              <w:top w:val="single" w:sz="4" w:space="0" w:color="365F91"/>
              <w:left w:val="nil"/>
              <w:bottom w:val="single" w:sz="4" w:space="0" w:color="365F91"/>
              <w:right w:val="nil"/>
            </w:tcBorders>
            <w:hideMark/>
          </w:tcPr>
          <w:p w14:paraId="45DCF2C4" w14:textId="77777777" w:rsidR="00FB19C0" w:rsidRPr="00BE78CA" w:rsidRDefault="00FB19C0" w:rsidP="00C26084">
            <w:pPr>
              <w:pStyle w:val="TableText"/>
              <w:spacing w:before="50" w:after="50"/>
              <w:jc w:val="center"/>
            </w:pPr>
            <w:r w:rsidRPr="00BE78CA">
              <w:t>641.4</w:t>
            </w:r>
          </w:p>
        </w:tc>
        <w:tc>
          <w:tcPr>
            <w:tcW w:w="2475" w:type="dxa"/>
            <w:tcBorders>
              <w:top w:val="single" w:sz="4" w:space="0" w:color="365F91"/>
              <w:left w:val="nil"/>
              <w:bottom w:val="single" w:sz="4" w:space="0" w:color="365F91"/>
              <w:right w:val="nil"/>
            </w:tcBorders>
            <w:hideMark/>
          </w:tcPr>
          <w:p w14:paraId="485A272A" w14:textId="77777777" w:rsidR="00FB19C0" w:rsidRPr="00BE78CA" w:rsidRDefault="00FB19C0" w:rsidP="00C26084">
            <w:pPr>
              <w:pStyle w:val="TableText"/>
              <w:spacing w:before="50" w:after="50"/>
              <w:jc w:val="center"/>
            </w:pPr>
            <w:r w:rsidRPr="00BE78CA">
              <w:t>4,000.9</w:t>
            </w:r>
          </w:p>
        </w:tc>
        <w:tc>
          <w:tcPr>
            <w:tcW w:w="2477" w:type="dxa"/>
            <w:tcBorders>
              <w:top w:val="single" w:sz="4" w:space="0" w:color="365F91"/>
              <w:left w:val="nil"/>
              <w:bottom w:val="single" w:sz="4" w:space="0" w:color="365F91"/>
              <w:right w:val="nil"/>
            </w:tcBorders>
            <w:hideMark/>
          </w:tcPr>
          <w:p w14:paraId="459D478E" w14:textId="77777777" w:rsidR="00FB19C0" w:rsidRPr="00BE78CA" w:rsidRDefault="00FB19C0" w:rsidP="00C26084">
            <w:pPr>
              <w:pStyle w:val="TableText"/>
              <w:spacing w:before="50" w:after="50"/>
              <w:jc w:val="center"/>
            </w:pPr>
            <w:r w:rsidRPr="00BE78CA">
              <w:t>4,642.3</w:t>
            </w:r>
          </w:p>
        </w:tc>
      </w:tr>
      <w:tr w:rsidR="00FB19C0" w:rsidRPr="00BE78CA" w14:paraId="03039915" w14:textId="77777777" w:rsidTr="00C26084">
        <w:tc>
          <w:tcPr>
            <w:tcW w:w="1078" w:type="dxa"/>
            <w:tcBorders>
              <w:top w:val="single" w:sz="4" w:space="0" w:color="365F91"/>
              <w:left w:val="nil"/>
              <w:bottom w:val="single" w:sz="4" w:space="0" w:color="365F91"/>
              <w:right w:val="nil"/>
            </w:tcBorders>
            <w:hideMark/>
          </w:tcPr>
          <w:p w14:paraId="46C6BDF8" w14:textId="77777777" w:rsidR="00FB19C0" w:rsidRPr="00BE78CA" w:rsidRDefault="00FB19C0" w:rsidP="00C26084">
            <w:pPr>
              <w:pStyle w:val="TableTextBold"/>
              <w:spacing w:before="50" w:after="50"/>
              <w:rPr>
                <w:noProof w:val="0"/>
              </w:rPr>
            </w:pPr>
            <w:r w:rsidRPr="00BE78CA">
              <w:rPr>
                <w:noProof w:val="0"/>
              </w:rPr>
              <w:t>2005</w:t>
            </w:r>
          </w:p>
        </w:tc>
        <w:tc>
          <w:tcPr>
            <w:tcW w:w="2475" w:type="dxa"/>
            <w:tcBorders>
              <w:top w:val="single" w:sz="4" w:space="0" w:color="365F91"/>
              <w:left w:val="nil"/>
              <w:bottom w:val="single" w:sz="4" w:space="0" w:color="365F91"/>
              <w:right w:val="nil"/>
            </w:tcBorders>
            <w:hideMark/>
          </w:tcPr>
          <w:p w14:paraId="51729CF9" w14:textId="77777777" w:rsidR="00FB19C0" w:rsidRPr="00BE78CA" w:rsidRDefault="00FB19C0" w:rsidP="00C26084">
            <w:pPr>
              <w:pStyle w:val="TableText"/>
              <w:spacing w:before="50" w:after="50"/>
              <w:jc w:val="center"/>
            </w:pPr>
            <w:r w:rsidRPr="00BE78CA">
              <w:t>621.4</w:t>
            </w:r>
          </w:p>
        </w:tc>
        <w:tc>
          <w:tcPr>
            <w:tcW w:w="2475" w:type="dxa"/>
            <w:tcBorders>
              <w:top w:val="single" w:sz="4" w:space="0" w:color="365F91"/>
              <w:left w:val="nil"/>
              <w:bottom w:val="single" w:sz="4" w:space="0" w:color="365F91"/>
              <w:right w:val="nil"/>
            </w:tcBorders>
            <w:hideMark/>
          </w:tcPr>
          <w:p w14:paraId="34FCDA0B" w14:textId="77777777" w:rsidR="00FB19C0" w:rsidRPr="00BE78CA" w:rsidRDefault="00FB19C0" w:rsidP="00C26084">
            <w:pPr>
              <w:pStyle w:val="TableText"/>
              <w:spacing w:before="50" w:after="50"/>
              <w:jc w:val="center"/>
            </w:pPr>
            <w:r w:rsidRPr="00BE78CA">
              <w:t>4,162.3</w:t>
            </w:r>
          </w:p>
        </w:tc>
        <w:tc>
          <w:tcPr>
            <w:tcW w:w="2477" w:type="dxa"/>
            <w:tcBorders>
              <w:top w:val="single" w:sz="4" w:space="0" w:color="365F91"/>
              <w:left w:val="nil"/>
              <w:bottom w:val="single" w:sz="4" w:space="0" w:color="365F91"/>
              <w:right w:val="nil"/>
            </w:tcBorders>
            <w:hideMark/>
          </w:tcPr>
          <w:p w14:paraId="6345ACD0" w14:textId="77777777" w:rsidR="00FB19C0" w:rsidRPr="00BE78CA" w:rsidRDefault="00FB19C0" w:rsidP="00C26084">
            <w:pPr>
              <w:pStyle w:val="TableText"/>
              <w:spacing w:before="50" w:after="50"/>
              <w:jc w:val="center"/>
            </w:pPr>
            <w:r w:rsidRPr="00BE78CA">
              <w:t>4,783.7</w:t>
            </w:r>
          </w:p>
        </w:tc>
      </w:tr>
      <w:tr w:rsidR="00FB19C0" w:rsidRPr="00BE78CA" w14:paraId="7252D819" w14:textId="77777777" w:rsidTr="00C26084">
        <w:tc>
          <w:tcPr>
            <w:tcW w:w="1078" w:type="dxa"/>
            <w:tcBorders>
              <w:top w:val="single" w:sz="4" w:space="0" w:color="365F91"/>
              <w:left w:val="nil"/>
              <w:bottom w:val="single" w:sz="4" w:space="0" w:color="365F91"/>
              <w:right w:val="nil"/>
            </w:tcBorders>
            <w:hideMark/>
          </w:tcPr>
          <w:p w14:paraId="3C147539" w14:textId="77777777" w:rsidR="00FB19C0" w:rsidRPr="00BE78CA" w:rsidRDefault="00FB19C0" w:rsidP="00C26084">
            <w:pPr>
              <w:pStyle w:val="TableTextBold"/>
              <w:spacing w:before="50" w:after="50"/>
              <w:rPr>
                <w:noProof w:val="0"/>
              </w:rPr>
            </w:pPr>
            <w:r w:rsidRPr="00BE78CA">
              <w:rPr>
                <w:noProof w:val="0"/>
              </w:rPr>
              <w:t>2006</w:t>
            </w:r>
          </w:p>
        </w:tc>
        <w:tc>
          <w:tcPr>
            <w:tcW w:w="2475" w:type="dxa"/>
            <w:tcBorders>
              <w:top w:val="single" w:sz="4" w:space="0" w:color="365F91"/>
              <w:left w:val="nil"/>
              <w:bottom w:val="single" w:sz="4" w:space="0" w:color="365F91"/>
              <w:right w:val="nil"/>
            </w:tcBorders>
            <w:hideMark/>
          </w:tcPr>
          <w:p w14:paraId="77E1E732" w14:textId="77777777" w:rsidR="00FB19C0" w:rsidRPr="00BE78CA" w:rsidRDefault="00FB19C0" w:rsidP="00C26084">
            <w:pPr>
              <w:pStyle w:val="TableText"/>
              <w:spacing w:before="50" w:after="50"/>
              <w:jc w:val="center"/>
            </w:pPr>
            <w:r w:rsidRPr="00BE78CA">
              <w:t>622.9</w:t>
            </w:r>
          </w:p>
        </w:tc>
        <w:tc>
          <w:tcPr>
            <w:tcW w:w="2475" w:type="dxa"/>
            <w:tcBorders>
              <w:top w:val="single" w:sz="4" w:space="0" w:color="365F91"/>
              <w:left w:val="nil"/>
              <w:bottom w:val="single" w:sz="4" w:space="0" w:color="365F91"/>
              <w:right w:val="nil"/>
            </w:tcBorders>
            <w:hideMark/>
          </w:tcPr>
          <w:p w14:paraId="306F51B1" w14:textId="77777777" w:rsidR="00FB19C0" w:rsidRPr="00BE78CA" w:rsidRDefault="00FB19C0" w:rsidP="00C26084">
            <w:pPr>
              <w:pStyle w:val="TableText"/>
              <w:spacing w:before="50" w:after="50"/>
              <w:jc w:val="center"/>
            </w:pPr>
            <w:r w:rsidRPr="00BE78CA">
              <w:t>4,300.6</w:t>
            </w:r>
          </w:p>
        </w:tc>
        <w:tc>
          <w:tcPr>
            <w:tcW w:w="2477" w:type="dxa"/>
            <w:tcBorders>
              <w:top w:val="single" w:sz="4" w:space="0" w:color="365F91"/>
              <w:left w:val="nil"/>
              <w:bottom w:val="single" w:sz="4" w:space="0" w:color="365F91"/>
              <w:right w:val="nil"/>
            </w:tcBorders>
            <w:hideMark/>
          </w:tcPr>
          <w:p w14:paraId="399DB5C3" w14:textId="77777777" w:rsidR="00FB19C0" w:rsidRPr="00BE78CA" w:rsidRDefault="00FB19C0" w:rsidP="00C26084">
            <w:pPr>
              <w:pStyle w:val="TableText"/>
              <w:spacing w:before="50" w:after="50"/>
              <w:jc w:val="center"/>
            </w:pPr>
            <w:r w:rsidRPr="00BE78CA">
              <w:t>4,923.5</w:t>
            </w:r>
          </w:p>
        </w:tc>
      </w:tr>
      <w:tr w:rsidR="00FB19C0" w:rsidRPr="00BE78CA" w14:paraId="36E8BA89" w14:textId="77777777" w:rsidTr="00C26084">
        <w:tc>
          <w:tcPr>
            <w:tcW w:w="1078" w:type="dxa"/>
            <w:tcBorders>
              <w:top w:val="single" w:sz="4" w:space="0" w:color="365F91"/>
              <w:left w:val="nil"/>
              <w:bottom w:val="single" w:sz="4" w:space="0" w:color="365F91"/>
              <w:right w:val="nil"/>
            </w:tcBorders>
            <w:hideMark/>
          </w:tcPr>
          <w:p w14:paraId="6F392440" w14:textId="77777777" w:rsidR="00FB19C0" w:rsidRPr="00BE78CA" w:rsidRDefault="00FB19C0" w:rsidP="00C26084">
            <w:pPr>
              <w:pStyle w:val="TableTextBold"/>
              <w:spacing w:before="50" w:after="50"/>
              <w:rPr>
                <w:noProof w:val="0"/>
              </w:rPr>
            </w:pPr>
            <w:r w:rsidRPr="00BE78CA">
              <w:rPr>
                <w:noProof w:val="0"/>
              </w:rPr>
              <w:t>2007</w:t>
            </w:r>
          </w:p>
        </w:tc>
        <w:tc>
          <w:tcPr>
            <w:tcW w:w="2475" w:type="dxa"/>
            <w:tcBorders>
              <w:top w:val="single" w:sz="4" w:space="0" w:color="365F91"/>
              <w:left w:val="nil"/>
              <w:bottom w:val="single" w:sz="4" w:space="0" w:color="365F91"/>
              <w:right w:val="nil"/>
            </w:tcBorders>
            <w:hideMark/>
          </w:tcPr>
          <w:p w14:paraId="7E309E1D" w14:textId="77777777" w:rsidR="00FB19C0" w:rsidRPr="00BE78CA" w:rsidRDefault="00FB19C0" w:rsidP="00C26084">
            <w:pPr>
              <w:pStyle w:val="TableText"/>
              <w:spacing w:before="50" w:after="50"/>
              <w:jc w:val="center"/>
            </w:pPr>
            <w:r w:rsidRPr="00BE78CA">
              <w:t>611.2</w:t>
            </w:r>
          </w:p>
        </w:tc>
        <w:tc>
          <w:tcPr>
            <w:tcW w:w="2475" w:type="dxa"/>
            <w:tcBorders>
              <w:top w:val="single" w:sz="4" w:space="0" w:color="365F91"/>
              <w:left w:val="nil"/>
              <w:bottom w:val="single" w:sz="4" w:space="0" w:color="365F91"/>
              <w:right w:val="nil"/>
            </w:tcBorders>
            <w:hideMark/>
          </w:tcPr>
          <w:p w14:paraId="2A2EA9E9" w14:textId="77777777" w:rsidR="00FB19C0" w:rsidRPr="00BE78CA" w:rsidRDefault="00FB19C0" w:rsidP="00C26084">
            <w:pPr>
              <w:pStyle w:val="TableText"/>
              <w:spacing w:before="50" w:after="50"/>
              <w:jc w:val="center"/>
            </w:pPr>
            <w:r w:rsidRPr="00BE78CA">
              <w:t>4,422.9</w:t>
            </w:r>
          </w:p>
        </w:tc>
        <w:tc>
          <w:tcPr>
            <w:tcW w:w="2477" w:type="dxa"/>
            <w:tcBorders>
              <w:top w:val="single" w:sz="4" w:space="0" w:color="365F91"/>
              <w:left w:val="nil"/>
              <w:bottom w:val="single" w:sz="4" w:space="0" w:color="365F91"/>
              <w:right w:val="nil"/>
            </w:tcBorders>
            <w:hideMark/>
          </w:tcPr>
          <w:p w14:paraId="5B390E5C" w14:textId="77777777" w:rsidR="00FB19C0" w:rsidRPr="00BE78CA" w:rsidRDefault="00FB19C0" w:rsidP="00C26084">
            <w:pPr>
              <w:pStyle w:val="TableText"/>
              <w:spacing w:before="50" w:after="50"/>
              <w:jc w:val="center"/>
            </w:pPr>
            <w:r w:rsidRPr="00BE78CA">
              <w:t>5,034.1</w:t>
            </w:r>
          </w:p>
        </w:tc>
      </w:tr>
      <w:tr w:rsidR="00FB19C0" w:rsidRPr="00BE78CA" w14:paraId="58311D71" w14:textId="77777777" w:rsidTr="00C26084">
        <w:tc>
          <w:tcPr>
            <w:tcW w:w="1078" w:type="dxa"/>
            <w:tcBorders>
              <w:top w:val="single" w:sz="4" w:space="0" w:color="365F91"/>
              <w:left w:val="nil"/>
              <w:bottom w:val="single" w:sz="4" w:space="0" w:color="365F91"/>
              <w:right w:val="nil"/>
            </w:tcBorders>
            <w:hideMark/>
          </w:tcPr>
          <w:p w14:paraId="1948EED1" w14:textId="77777777" w:rsidR="00FB19C0" w:rsidRPr="00BE78CA" w:rsidRDefault="00FB19C0" w:rsidP="00C26084">
            <w:pPr>
              <w:pStyle w:val="TableTextBold"/>
              <w:spacing w:before="50" w:after="50"/>
              <w:rPr>
                <w:noProof w:val="0"/>
              </w:rPr>
            </w:pPr>
            <w:r w:rsidRPr="00BE78CA">
              <w:rPr>
                <w:noProof w:val="0"/>
              </w:rPr>
              <w:t>2008</w:t>
            </w:r>
          </w:p>
        </w:tc>
        <w:tc>
          <w:tcPr>
            <w:tcW w:w="2475" w:type="dxa"/>
            <w:tcBorders>
              <w:top w:val="single" w:sz="4" w:space="0" w:color="365F91"/>
              <w:left w:val="nil"/>
              <w:bottom w:val="single" w:sz="4" w:space="0" w:color="365F91"/>
              <w:right w:val="nil"/>
            </w:tcBorders>
            <w:hideMark/>
          </w:tcPr>
          <w:p w14:paraId="1DFE819F" w14:textId="77777777" w:rsidR="00FB19C0" w:rsidRPr="00BE78CA" w:rsidRDefault="00FB19C0" w:rsidP="00C26084">
            <w:pPr>
              <w:pStyle w:val="TableText"/>
              <w:spacing w:before="50" w:after="50"/>
              <w:jc w:val="center"/>
            </w:pPr>
            <w:r w:rsidRPr="00BE78CA">
              <w:t>584.5</w:t>
            </w:r>
          </w:p>
        </w:tc>
        <w:tc>
          <w:tcPr>
            <w:tcW w:w="2475" w:type="dxa"/>
            <w:tcBorders>
              <w:top w:val="single" w:sz="4" w:space="0" w:color="365F91"/>
              <w:left w:val="nil"/>
              <w:bottom w:val="single" w:sz="4" w:space="0" w:color="365F91"/>
              <w:right w:val="nil"/>
            </w:tcBorders>
            <w:hideMark/>
          </w:tcPr>
          <w:p w14:paraId="47BF855B" w14:textId="77777777" w:rsidR="00FB19C0" w:rsidRPr="00BE78CA" w:rsidRDefault="00FB19C0" w:rsidP="00C26084">
            <w:pPr>
              <w:pStyle w:val="TableText"/>
              <w:spacing w:before="50" w:after="50"/>
              <w:jc w:val="center"/>
            </w:pPr>
            <w:r w:rsidRPr="00BE78CA">
              <w:t>4,556.1</w:t>
            </w:r>
          </w:p>
        </w:tc>
        <w:tc>
          <w:tcPr>
            <w:tcW w:w="2477" w:type="dxa"/>
            <w:tcBorders>
              <w:top w:val="single" w:sz="4" w:space="0" w:color="365F91"/>
              <w:left w:val="nil"/>
              <w:bottom w:val="single" w:sz="4" w:space="0" w:color="365F91"/>
              <w:right w:val="nil"/>
            </w:tcBorders>
            <w:hideMark/>
          </w:tcPr>
          <w:p w14:paraId="196BD0AC" w14:textId="77777777" w:rsidR="00FB19C0" w:rsidRPr="00BE78CA" w:rsidRDefault="00FB19C0" w:rsidP="00C26084">
            <w:pPr>
              <w:pStyle w:val="TableText"/>
              <w:spacing w:before="50" w:after="50"/>
              <w:jc w:val="center"/>
            </w:pPr>
            <w:r w:rsidRPr="00BE78CA">
              <w:t>5,140.7</w:t>
            </w:r>
          </w:p>
        </w:tc>
      </w:tr>
      <w:tr w:rsidR="00FB19C0" w:rsidRPr="00BE78CA" w14:paraId="37693350" w14:textId="77777777" w:rsidTr="00C26084">
        <w:tc>
          <w:tcPr>
            <w:tcW w:w="1078" w:type="dxa"/>
            <w:tcBorders>
              <w:top w:val="single" w:sz="4" w:space="0" w:color="365F91"/>
              <w:left w:val="nil"/>
              <w:bottom w:val="single" w:sz="4" w:space="0" w:color="365F91"/>
              <w:right w:val="nil"/>
            </w:tcBorders>
            <w:hideMark/>
          </w:tcPr>
          <w:p w14:paraId="6F435269" w14:textId="77777777" w:rsidR="00FB19C0" w:rsidRPr="00BE78CA" w:rsidRDefault="00FB19C0" w:rsidP="00C26084">
            <w:pPr>
              <w:pStyle w:val="TableTextBold"/>
              <w:spacing w:before="50" w:after="50"/>
              <w:rPr>
                <w:noProof w:val="0"/>
              </w:rPr>
            </w:pPr>
            <w:r w:rsidRPr="00BE78CA">
              <w:rPr>
                <w:noProof w:val="0"/>
              </w:rPr>
              <w:t>2009</w:t>
            </w:r>
          </w:p>
        </w:tc>
        <w:tc>
          <w:tcPr>
            <w:tcW w:w="2475" w:type="dxa"/>
            <w:tcBorders>
              <w:top w:val="single" w:sz="4" w:space="0" w:color="365F91"/>
              <w:left w:val="nil"/>
              <w:bottom w:val="single" w:sz="4" w:space="0" w:color="365F91"/>
              <w:right w:val="nil"/>
            </w:tcBorders>
            <w:hideMark/>
          </w:tcPr>
          <w:p w14:paraId="04BD8899" w14:textId="77777777" w:rsidR="00FB19C0" w:rsidRPr="00BE78CA" w:rsidRDefault="00FB19C0" w:rsidP="00C26084">
            <w:pPr>
              <w:pStyle w:val="TableText"/>
              <w:spacing w:before="50" w:after="50"/>
              <w:jc w:val="center"/>
            </w:pPr>
            <w:r w:rsidRPr="00BE78CA">
              <w:t>572.4</w:t>
            </w:r>
          </w:p>
        </w:tc>
        <w:tc>
          <w:tcPr>
            <w:tcW w:w="2475" w:type="dxa"/>
            <w:tcBorders>
              <w:top w:val="single" w:sz="4" w:space="0" w:color="365F91"/>
              <w:left w:val="nil"/>
              <w:bottom w:val="single" w:sz="4" w:space="0" w:color="365F91"/>
              <w:right w:val="nil"/>
            </w:tcBorders>
            <w:hideMark/>
          </w:tcPr>
          <w:p w14:paraId="762E1232" w14:textId="77777777" w:rsidR="00FB19C0" w:rsidRPr="00BE78CA" w:rsidRDefault="00FB19C0" w:rsidP="00C26084">
            <w:pPr>
              <w:pStyle w:val="TableText"/>
              <w:spacing w:before="50" w:after="50"/>
              <w:jc w:val="center"/>
            </w:pPr>
            <w:r w:rsidRPr="00BE78CA">
              <w:t>4,510.2</w:t>
            </w:r>
          </w:p>
        </w:tc>
        <w:tc>
          <w:tcPr>
            <w:tcW w:w="2477" w:type="dxa"/>
            <w:tcBorders>
              <w:top w:val="single" w:sz="4" w:space="0" w:color="365F91"/>
              <w:left w:val="nil"/>
              <w:bottom w:val="single" w:sz="4" w:space="0" w:color="365F91"/>
              <w:right w:val="nil"/>
            </w:tcBorders>
            <w:hideMark/>
          </w:tcPr>
          <w:p w14:paraId="607D0657" w14:textId="77777777" w:rsidR="00FB19C0" w:rsidRPr="00BE78CA" w:rsidRDefault="00FB19C0" w:rsidP="00C26084">
            <w:pPr>
              <w:pStyle w:val="TableText"/>
              <w:spacing w:before="50" w:after="50"/>
              <w:jc w:val="center"/>
            </w:pPr>
            <w:r w:rsidRPr="00BE78CA">
              <w:t>5,082.6</w:t>
            </w:r>
          </w:p>
        </w:tc>
      </w:tr>
      <w:tr w:rsidR="00FB19C0" w:rsidRPr="00BE78CA" w14:paraId="747AF541" w14:textId="77777777" w:rsidTr="00C26084">
        <w:tc>
          <w:tcPr>
            <w:tcW w:w="1078" w:type="dxa"/>
            <w:tcBorders>
              <w:top w:val="single" w:sz="4" w:space="0" w:color="365F91"/>
              <w:left w:val="nil"/>
              <w:bottom w:val="single" w:sz="4" w:space="0" w:color="365F91"/>
              <w:right w:val="nil"/>
            </w:tcBorders>
            <w:hideMark/>
          </w:tcPr>
          <w:p w14:paraId="59E259A1" w14:textId="77777777" w:rsidR="00FB19C0" w:rsidRPr="00BE78CA" w:rsidRDefault="00FB19C0" w:rsidP="00C26084">
            <w:pPr>
              <w:pStyle w:val="TableTextBold"/>
              <w:spacing w:before="50" w:after="50"/>
              <w:rPr>
                <w:noProof w:val="0"/>
              </w:rPr>
            </w:pPr>
            <w:r w:rsidRPr="00BE78CA">
              <w:rPr>
                <w:noProof w:val="0"/>
              </w:rPr>
              <w:t>2010</w:t>
            </w:r>
          </w:p>
        </w:tc>
        <w:tc>
          <w:tcPr>
            <w:tcW w:w="2475" w:type="dxa"/>
            <w:tcBorders>
              <w:top w:val="single" w:sz="4" w:space="0" w:color="365F91"/>
              <w:left w:val="nil"/>
              <w:bottom w:val="single" w:sz="4" w:space="0" w:color="365F91"/>
              <w:right w:val="nil"/>
            </w:tcBorders>
            <w:hideMark/>
          </w:tcPr>
          <w:p w14:paraId="5B955FF6" w14:textId="77777777" w:rsidR="00FB19C0" w:rsidRPr="00BE78CA" w:rsidRDefault="00FB19C0" w:rsidP="00C26084">
            <w:pPr>
              <w:pStyle w:val="TableText"/>
              <w:spacing w:before="50" w:after="50"/>
              <w:jc w:val="center"/>
            </w:pPr>
            <w:r w:rsidRPr="00BE78CA">
              <w:t>577.8</w:t>
            </w:r>
          </w:p>
        </w:tc>
        <w:tc>
          <w:tcPr>
            <w:tcW w:w="2475" w:type="dxa"/>
            <w:tcBorders>
              <w:top w:val="single" w:sz="4" w:space="0" w:color="365F91"/>
              <w:left w:val="nil"/>
              <w:bottom w:val="single" w:sz="4" w:space="0" w:color="365F91"/>
              <w:right w:val="nil"/>
            </w:tcBorders>
            <w:hideMark/>
          </w:tcPr>
          <w:p w14:paraId="0C8F3E7B" w14:textId="77777777" w:rsidR="00FB19C0" w:rsidRPr="00BE78CA" w:rsidRDefault="00FB19C0" w:rsidP="00C26084">
            <w:pPr>
              <w:pStyle w:val="TableText"/>
              <w:spacing w:before="50" w:after="50"/>
              <w:jc w:val="center"/>
            </w:pPr>
            <w:r w:rsidRPr="00BE78CA">
              <w:t>4,500.5</w:t>
            </w:r>
          </w:p>
        </w:tc>
        <w:tc>
          <w:tcPr>
            <w:tcW w:w="2477" w:type="dxa"/>
            <w:tcBorders>
              <w:top w:val="single" w:sz="4" w:space="0" w:color="365F91"/>
              <w:left w:val="nil"/>
              <w:bottom w:val="single" w:sz="4" w:space="0" w:color="365F91"/>
              <w:right w:val="nil"/>
            </w:tcBorders>
            <w:hideMark/>
          </w:tcPr>
          <w:p w14:paraId="6E5CAD8D" w14:textId="77777777" w:rsidR="00FB19C0" w:rsidRPr="00BE78CA" w:rsidRDefault="00FB19C0" w:rsidP="00C26084">
            <w:pPr>
              <w:pStyle w:val="TableText"/>
              <w:spacing w:before="50" w:after="50"/>
              <w:jc w:val="center"/>
            </w:pPr>
            <w:r w:rsidRPr="00BE78CA">
              <w:t>5,078.3</w:t>
            </w:r>
          </w:p>
        </w:tc>
      </w:tr>
      <w:tr w:rsidR="00FB19C0" w:rsidRPr="00BE78CA" w14:paraId="7331CE4F" w14:textId="77777777" w:rsidTr="00C26084">
        <w:tc>
          <w:tcPr>
            <w:tcW w:w="1078" w:type="dxa"/>
            <w:tcBorders>
              <w:top w:val="single" w:sz="4" w:space="0" w:color="365F91"/>
              <w:left w:val="nil"/>
              <w:bottom w:val="single" w:sz="4" w:space="0" w:color="365F91"/>
              <w:right w:val="nil"/>
            </w:tcBorders>
            <w:hideMark/>
          </w:tcPr>
          <w:p w14:paraId="2C1FA258" w14:textId="77777777" w:rsidR="00FB19C0" w:rsidRPr="00BE78CA" w:rsidRDefault="00FB19C0" w:rsidP="00C26084">
            <w:pPr>
              <w:pStyle w:val="TableTextBold"/>
              <w:spacing w:before="50" w:after="50"/>
              <w:rPr>
                <w:noProof w:val="0"/>
              </w:rPr>
            </w:pPr>
            <w:r w:rsidRPr="00BE78CA">
              <w:rPr>
                <w:noProof w:val="0"/>
              </w:rPr>
              <w:t>2011</w:t>
            </w:r>
          </w:p>
        </w:tc>
        <w:tc>
          <w:tcPr>
            <w:tcW w:w="2475" w:type="dxa"/>
            <w:tcBorders>
              <w:top w:val="single" w:sz="4" w:space="0" w:color="365F91"/>
              <w:left w:val="nil"/>
              <w:bottom w:val="single" w:sz="4" w:space="0" w:color="365F91"/>
              <w:right w:val="nil"/>
            </w:tcBorders>
            <w:hideMark/>
          </w:tcPr>
          <w:p w14:paraId="54A3DAD1" w14:textId="77777777" w:rsidR="00FB19C0" w:rsidRPr="00BE78CA" w:rsidRDefault="00FB19C0" w:rsidP="00C26084">
            <w:pPr>
              <w:pStyle w:val="TableText"/>
              <w:spacing w:before="50" w:after="50"/>
              <w:jc w:val="center"/>
            </w:pPr>
            <w:r w:rsidRPr="00BE78CA">
              <w:t>559.8</w:t>
            </w:r>
          </w:p>
        </w:tc>
        <w:tc>
          <w:tcPr>
            <w:tcW w:w="2475" w:type="dxa"/>
            <w:tcBorders>
              <w:top w:val="single" w:sz="4" w:space="0" w:color="365F91"/>
              <w:left w:val="nil"/>
              <w:bottom w:val="single" w:sz="4" w:space="0" w:color="365F91"/>
              <w:right w:val="nil"/>
            </w:tcBorders>
            <w:hideMark/>
          </w:tcPr>
          <w:p w14:paraId="2D0E5D64" w14:textId="77777777" w:rsidR="00FB19C0" w:rsidRPr="00BE78CA" w:rsidRDefault="00FB19C0" w:rsidP="00C26084">
            <w:pPr>
              <w:pStyle w:val="TableText"/>
              <w:spacing w:before="50" w:after="50"/>
              <w:jc w:val="center"/>
            </w:pPr>
            <w:r w:rsidRPr="00BE78CA">
              <w:t>4,569.6</w:t>
            </w:r>
          </w:p>
        </w:tc>
        <w:tc>
          <w:tcPr>
            <w:tcW w:w="2477" w:type="dxa"/>
            <w:tcBorders>
              <w:top w:val="single" w:sz="4" w:space="0" w:color="365F91"/>
              <w:left w:val="nil"/>
              <w:bottom w:val="single" w:sz="4" w:space="0" w:color="365F91"/>
              <w:right w:val="nil"/>
            </w:tcBorders>
            <w:hideMark/>
          </w:tcPr>
          <w:p w14:paraId="1B219A86" w14:textId="77777777" w:rsidR="00FB19C0" w:rsidRPr="00BE78CA" w:rsidRDefault="00FB19C0" w:rsidP="00C26084">
            <w:pPr>
              <w:pStyle w:val="TableText"/>
              <w:spacing w:before="50" w:after="50"/>
              <w:jc w:val="center"/>
            </w:pPr>
            <w:r w:rsidRPr="00BE78CA">
              <w:t>5,129.4</w:t>
            </w:r>
          </w:p>
        </w:tc>
      </w:tr>
      <w:tr w:rsidR="00FB19C0" w:rsidRPr="00BE78CA" w14:paraId="4D0B4A12" w14:textId="77777777" w:rsidTr="00C26084">
        <w:tc>
          <w:tcPr>
            <w:tcW w:w="1078" w:type="dxa"/>
            <w:tcBorders>
              <w:top w:val="single" w:sz="4" w:space="0" w:color="365F91"/>
              <w:left w:val="nil"/>
              <w:bottom w:val="single" w:sz="4" w:space="0" w:color="365F91"/>
              <w:right w:val="nil"/>
            </w:tcBorders>
            <w:hideMark/>
          </w:tcPr>
          <w:p w14:paraId="58C49F6A" w14:textId="77777777" w:rsidR="00FB19C0" w:rsidRPr="00BE78CA" w:rsidRDefault="00FB19C0" w:rsidP="00C26084">
            <w:pPr>
              <w:pStyle w:val="TableTextBold"/>
              <w:spacing w:before="50" w:after="50"/>
              <w:rPr>
                <w:noProof w:val="0"/>
              </w:rPr>
            </w:pPr>
            <w:r w:rsidRPr="00BE78CA">
              <w:rPr>
                <w:noProof w:val="0"/>
              </w:rPr>
              <w:t>2012</w:t>
            </w:r>
          </w:p>
        </w:tc>
        <w:tc>
          <w:tcPr>
            <w:tcW w:w="2475" w:type="dxa"/>
            <w:tcBorders>
              <w:top w:val="single" w:sz="4" w:space="0" w:color="365F91"/>
              <w:left w:val="nil"/>
              <w:bottom w:val="single" w:sz="4" w:space="0" w:color="365F91"/>
              <w:right w:val="nil"/>
            </w:tcBorders>
            <w:hideMark/>
          </w:tcPr>
          <w:p w14:paraId="0A2482F2" w14:textId="77777777" w:rsidR="00FB19C0" w:rsidRPr="00BE78CA" w:rsidRDefault="00FB19C0" w:rsidP="00C26084">
            <w:pPr>
              <w:pStyle w:val="TableText"/>
              <w:spacing w:before="50" w:after="50"/>
              <w:jc w:val="center"/>
            </w:pPr>
            <w:r w:rsidRPr="00BE78CA">
              <w:t>561.2</w:t>
            </w:r>
          </w:p>
        </w:tc>
        <w:tc>
          <w:tcPr>
            <w:tcW w:w="2475" w:type="dxa"/>
            <w:tcBorders>
              <w:top w:val="single" w:sz="4" w:space="0" w:color="365F91"/>
              <w:left w:val="nil"/>
              <w:bottom w:val="single" w:sz="4" w:space="0" w:color="365F91"/>
              <w:right w:val="nil"/>
            </w:tcBorders>
            <w:hideMark/>
          </w:tcPr>
          <w:p w14:paraId="35C044CC" w14:textId="77777777" w:rsidR="00FB19C0" w:rsidRPr="00BE78CA" w:rsidRDefault="00FB19C0" w:rsidP="00C26084">
            <w:pPr>
              <w:pStyle w:val="TableText"/>
              <w:spacing w:before="50" w:after="50"/>
              <w:jc w:val="center"/>
            </w:pPr>
            <w:r w:rsidRPr="00BE78CA">
              <w:t>4,676.8</w:t>
            </w:r>
          </w:p>
        </w:tc>
        <w:tc>
          <w:tcPr>
            <w:tcW w:w="2477" w:type="dxa"/>
            <w:tcBorders>
              <w:top w:val="single" w:sz="4" w:space="0" w:color="365F91"/>
              <w:left w:val="nil"/>
              <w:bottom w:val="single" w:sz="4" w:space="0" w:color="365F91"/>
              <w:right w:val="nil"/>
            </w:tcBorders>
            <w:hideMark/>
          </w:tcPr>
          <w:p w14:paraId="2C1C1982" w14:textId="77777777" w:rsidR="00FB19C0" w:rsidRPr="00BE78CA" w:rsidRDefault="00FB19C0" w:rsidP="00C26084">
            <w:pPr>
              <w:pStyle w:val="TableText"/>
              <w:spacing w:before="50" w:after="50"/>
              <w:jc w:val="center"/>
            </w:pPr>
            <w:r w:rsidRPr="00BE78CA">
              <w:t>5,238.0</w:t>
            </w:r>
          </w:p>
        </w:tc>
      </w:tr>
      <w:tr w:rsidR="00FB19C0" w:rsidRPr="00BE78CA" w14:paraId="38CE09B2" w14:textId="77777777" w:rsidTr="00C26084">
        <w:tc>
          <w:tcPr>
            <w:tcW w:w="1078" w:type="dxa"/>
            <w:tcBorders>
              <w:top w:val="single" w:sz="4" w:space="0" w:color="365F91"/>
              <w:left w:val="nil"/>
              <w:bottom w:val="single" w:sz="4" w:space="0" w:color="365F91"/>
              <w:right w:val="nil"/>
            </w:tcBorders>
            <w:hideMark/>
          </w:tcPr>
          <w:p w14:paraId="45257712" w14:textId="77777777" w:rsidR="00FB19C0" w:rsidRPr="00BE78CA" w:rsidRDefault="00FB19C0" w:rsidP="00C26084">
            <w:pPr>
              <w:pStyle w:val="TableTextBold"/>
              <w:spacing w:before="50" w:after="50"/>
              <w:rPr>
                <w:noProof w:val="0"/>
              </w:rPr>
            </w:pPr>
            <w:r w:rsidRPr="00BE78CA">
              <w:rPr>
                <w:noProof w:val="0"/>
              </w:rPr>
              <w:t>2013</w:t>
            </w:r>
          </w:p>
        </w:tc>
        <w:tc>
          <w:tcPr>
            <w:tcW w:w="2475" w:type="dxa"/>
            <w:tcBorders>
              <w:top w:val="single" w:sz="4" w:space="0" w:color="365F91"/>
              <w:left w:val="nil"/>
              <w:bottom w:val="single" w:sz="4" w:space="0" w:color="365F91"/>
              <w:right w:val="nil"/>
            </w:tcBorders>
            <w:hideMark/>
          </w:tcPr>
          <w:p w14:paraId="4955C1E8" w14:textId="77777777" w:rsidR="00FB19C0" w:rsidRPr="00BE78CA" w:rsidRDefault="00FB19C0" w:rsidP="00C26084">
            <w:pPr>
              <w:pStyle w:val="TableText"/>
              <w:spacing w:before="50" w:after="50"/>
              <w:jc w:val="center"/>
            </w:pPr>
            <w:r w:rsidRPr="00BE78CA">
              <w:t>546.9</w:t>
            </w:r>
          </w:p>
        </w:tc>
        <w:tc>
          <w:tcPr>
            <w:tcW w:w="2475" w:type="dxa"/>
            <w:tcBorders>
              <w:top w:val="single" w:sz="4" w:space="0" w:color="365F91"/>
              <w:left w:val="nil"/>
              <w:bottom w:val="single" w:sz="4" w:space="0" w:color="365F91"/>
              <w:right w:val="nil"/>
            </w:tcBorders>
            <w:hideMark/>
          </w:tcPr>
          <w:p w14:paraId="79FCCF59" w14:textId="77777777" w:rsidR="00FB19C0" w:rsidRPr="00BE78CA" w:rsidRDefault="00FB19C0" w:rsidP="00C26084">
            <w:pPr>
              <w:pStyle w:val="TableText"/>
              <w:spacing w:before="50" w:after="50"/>
              <w:jc w:val="center"/>
            </w:pPr>
            <w:r w:rsidRPr="00BE78CA">
              <w:t>4,780.6</w:t>
            </w:r>
          </w:p>
        </w:tc>
        <w:tc>
          <w:tcPr>
            <w:tcW w:w="2477" w:type="dxa"/>
            <w:tcBorders>
              <w:top w:val="single" w:sz="4" w:space="0" w:color="365F91"/>
              <w:left w:val="nil"/>
              <w:bottom w:val="single" w:sz="4" w:space="0" w:color="365F91"/>
              <w:right w:val="nil"/>
            </w:tcBorders>
            <w:hideMark/>
          </w:tcPr>
          <w:p w14:paraId="72AB8303" w14:textId="77777777" w:rsidR="00FB19C0" w:rsidRPr="00BE78CA" w:rsidRDefault="00FB19C0" w:rsidP="00C26084">
            <w:pPr>
              <w:pStyle w:val="TableText"/>
              <w:spacing w:before="50" w:after="50"/>
              <w:jc w:val="center"/>
            </w:pPr>
            <w:r w:rsidRPr="00BE78CA">
              <w:t>5,327.5</w:t>
            </w:r>
          </w:p>
        </w:tc>
      </w:tr>
      <w:tr w:rsidR="00FB19C0" w:rsidRPr="00BE78CA" w14:paraId="1113508F" w14:textId="77777777" w:rsidTr="00C26084">
        <w:tc>
          <w:tcPr>
            <w:tcW w:w="1078" w:type="dxa"/>
            <w:tcBorders>
              <w:top w:val="single" w:sz="4" w:space="0" w:color="365F91"/>
              <w:left w:val="nil"/>
              <w:bottom w:val="single" w:sz="4" w:space="0" w:color="365F91"/>
              <w:right w:val="nil"/>
            </w:tcBorders>
            <w:hideMark/>
          </w:tcPr>
          <w:p w14:paraId="5356B207" w14:textId="77777777" w:rsidR="00FB19C0" w:rsidRPr="00BE78CA" w:rsidRDefault="00FB19C0" w:rsidP="00C26084">
            <w:pPr>
              <w:pStyle w:val="TableTextBold"/>
              <w:spacing w:before="50" w:after="50"/>
              <w:rPr>
                <w:noProof w:val="0"/>
              </w:rPr>
            </w:pPr>
            <w:r w:rsidRPr="00BE78CA">
              <w:rPr>
                <w:noProof w:val="0"/>
              </w:rPr>
              <w:t>2014</w:t>
            </w:r>
          </w:p>
        </w:tc>
        <w:tc>
          <w:tcPr>
            <w:tcW w:w="2475" w:type="dxa"/>
            <w:tcBorders>
              <w:top w:val="single" w:sz="4" w:space="0" w:color="365F91"/>
              <w:left w:val="nil"/>
              <w:bottom w:val="single" w:sz="4" w:space="0" w:color="365F91"/>
              <w:right w:val="nil"/>
            </w:tcBorders>
            <w:hideMark/>
          </w:tcPr>
          <w:p w14:paraId="3FF89182" w14:textId="77777777" w:rsidR="00FB19C0" w:rsidRPr="00BE78CA" w:rsidRDefault="00FB19C0" w:rsidP="00C26084">
            <w:pPr>
              <w:pStyle w:val="TableText"/>
              <w:spacing w:before="50" w:after="50"/>
              <w:jc w:val="center"/>
            </w:pPr>
            <w:r w:rsidRPr="00BE78CA">
              <w:t>547.3</w:t>
            </w:r>
          </w:p>
        </w:tc>
        <w:tc>
          <w:tcPr>
            <w:tcW w:w="2475" w:type="dxa"/>
            <w:tcBorders>
              <w:top w:val="single" w:sz="4" w:space="0" w:color="365F91"/>
              <w:left w:val="nil"/>
              <w:bottom w:val="single" w:sz="4" w:space="0" w:color="365F91"/>
              <w:right w:val="nil"/>
            </w:tcBorders>
            <w:hideMark/>
          </w:tcPr>
          <w:p w14:paraId="3DF2EF55" w14:textId="77777777" w:rsidR="00FB19C0" w:rsidRPr="00BE78CA" w:rsidRDefault="00FB19C0" w:rsidP="00C26084">
            <w:pPr>
              <w:pStyle w:val="TableText"/>
              <w:spacing w:before="50" w:after="50"/>
              <w:jc w:val="center"/>
            </w:pPr>
            <w:r w:rsidRPr="00BE78CA">
              <w:t>4,903.9</w:t>
            </w:r>
          </w:p>
        </w:tc>
        <w:tc>
          <w:tcPr>
            <w:tcW w:w="2477" w:type="dxa"/>
            <w:tcBorders>
              <w:top w:val="single" w:sz="4" w:space="0" w:color="365F91"/>
              <w:left w:val="nil"/>
              <w:bottom w:val="single" w:sz="4" w:space="0" w:color="365F91"/>
              <w:right w:val="nil"/>
            </w:tcBorders>
            <w:hideMark/>
          </w:tcPr>
          <w:p w14:paraId="2BD4782E" w14:textId="77777777" w:rsidR="00FB19C0" w:rsidRPr="00BE78CA" w:rsidRDefault="00FB19C0" w:rsidP="00C26084">
            <w:pPr>
              <w:pStyle w:val="TableText"/>
              <w:spacing w:before="50" w:after="50"/>
              <w:jc w:val="center"/>
            </w:pPr>
            <w:r w:rsidRPr="00BE78CA">
              <w:t>5,451.2</w:t>
            </w:r>
          </w:p>
        </w:tc>
      </w:tr>
      <w:tr w:rsidR="00FB19C0" w:rsidRPr="00BE78CA" w14:paraId="60B3B906" w14:textId="77777777" w:rsidTr="00C26084">
        <w:tc>
          <w:tcPr>
            <w:tcW w:w="1078" w:type="dxa"/>
            <w:tcBorders>
              <w:top w:val="single" w:sz="4" w:space="0" w:color="365F91"/>
              <w:left w:val="nil"/>
              <w:bottom w:val="single" w:sz="4" w:space="0" w:color="365F91"/>
              <w:right w:val="nil"/>
            </w:tcBorders>
            <w:hideMark/>
          </w:tcPr>
          <w:p w14:paraId="2D063B3E" w14:textId="77777777" w:rsidR="00FB19C0" w:rsidRPr="00BE78CA" w:rsidRDefault="00FB19C0" w:rsidP="00C26084">
            <w:pPr>
              <w:pStyle w:val="TableTextBold"/>
              <w:spacing w:before="50" w:after="50"/>
              <w:rPr>
                <w:noProof w:val="0"/>
              </w:rPr>
            </w:pPr>
            <w:r w:rsidRPr="00BE78CA">
              <w:rPr>
                <w:noProof w:val="0"/>
              </w:rPr>
              <w:t>2015</w:t>
            </w:r>
          </w:p>
        </w:tc>
        <w:tc>
          <w:tcPr>
            <w:tcW w:w="2475" w:type="dxa"/>
            <w:tcBorders>
              <w:top w:val="single" w:sz="4" w:space="0" w:color="365F91"/>
              <w:left w:val="nil"/>
              <w:bottom w:val="single" w:sz="4" w:space="0" w:color="365F91"/>
              <w:right w:val="nil"/>
            </w:tcBorders>
            <w:hideMark/>
          </w:tcPr>
          <w:p w14:paraId="631B8353" w14:textId="77777777" w:rsidR="00FB19C0" w:rsidRPr="00BE78CA" w:rsidRDefault="00FB19C0" w:rsidP="00C26084">
            <w:pPr>
              <w:pStyle w:val="TableText"/>
              <w:spacing w:before="50" w:after="50"/>
              <w:jc w:val="center"/>
            </w:pPr>
            <w:r w:rsidRPr="00BE78CA">
              <w:t>533.0</w:t>
            </w:r>
          </w:p>
        </w:tc>
        <w:tc>
          <w:tcPr>
            <w:tcW w:w="2475" w:type="dxa"/>
            <w:tcBorders>
              <w:top w:val="single" w:sz="4" w:space="0" w:color="365F91"/>
              <w:left w:val="nil"/>
              <w:bottom w:val="single" w:sz="4" w:space="0" w:color="365F91"/>
              <w:right w:val="nil"/>
            </w:tcBorders>
            <w:hideMark/>
          </w:tcPr>
          <w:p w14:paraId="318A0422" w14:textId="77777777" w:rsidR="00FB19C0" w:rsidRPr="00BE78CA" w:rsidRDefault="00FB19C0" w:rsidP="00C26084">
            <w:pPr>
              <w:pStyle w:val="TableText"/>
              <w:spacing w:before="50" w:after="50"/>
              <w:jc w:val="center"/>
            </w:pPr>
            <w:r w:rsidRPr="00BE78CA">
              <w:t>5,086.2</w:t>
            </w:r>
          </w:p>
        </w:tc>
        <w:tc>
          <w:tcPr>
            <w:tcW w:w="2477" w:type="dxa"/>
            <w:tcBorders>
              <w:top w:val="single" w:sz="4" w:space="0" w:color="365F91"/>
              <w:left w:val="nil"/>
              <w:bottom w:val="single" w:sz="4" w:space="0" w:color="365F91"/>
              <w:right w:val="nil"/>
            </w:tcBorders>
            <w:hideMark/>
          </w:tcPr>
          <w:p w14:paraId="16CD654B" w14:textId="77777777" w:rsidR="00FB19C0" w:rsidRPr="00BE78CA" w:rsidRDefault="00FB19C0" w:rsidP="00C26084">
            <w:pPr>
              <w:pStyle w:val="TableText"/>
              <w:spacing w:before="50" w:after="50"/>
              <w:jc w:val="center"/>
            </w:pPr>
            <w:r w:rsidRPr="00BE78CA">
              <w:t>5,619.3</w:t>
            </w:r>
          </w:p>
        </w:tc>
      </w:tr>
      <w:tr w:rsidR="00FB19C0" w:rsidRPr="00BE78CA" w14:paraId="2765D12E" w14:textId="77777777" w:rsidTr="00C26084">
        <w:tc>
          <w:tcPr>
            <w:tcW w:w="1078" w:type="dxa"/>
            <w:tcBorders>
              <w:top w:val="single" w:sz="4" w:space="0" w:color="365F91"/>
              <w:left w:val="nil"/>
              <w:bottom w:val="single" w:sz="4" w:space="0" w:color="365F91"/>
              <w:right w:val="nil"/>
            </w:tcBorders>
            <w:hideMark/>
          </w:tcPr>
          <w:p w14:paraId="69CDFFA8" w14:textId="77777777" w:rsidR="00FB19C0" w:rsidRPr="00BE78CA" w:rsidRDefault="00FB19C0" w:rsidP="00C26084">
            <w:pPr>
              <w:pStyle w:val="TableTextBold"/>
              <w:spacing w:before="50" w:after="50"/>
              <w:rPr>
                <w:noProof w:val="0"/>
              </w:rPr>
            </w:pPr>
            <w:r w:rsidRPr="00BE78CA">
              <w:rPr>
                <w:noProof w:val="0"/>
              </w:rPr>
              <w:t>2016</w:t>
            </w:r>
          </w:p>
        </w:tc>
        <w:tc>
          <w:tcPr>
            <w:tcW w:w="2475" w:type="dxa"/>
            <w:tcBorders>
              <w:top w:val="single" w:sz="4" w:space="0" w:color="365F91"/>
              <w:left w:val="nil"/>
              <w:bottom w:val="single" w:sz="4" w:space="0" w:color="365F91"/>
              <w:right w:val="nil"/>
            </w:tcBorders>
            <w:hideMark/>
          </w:tcPr>
          <w:p w14:paraId="1ED5C020" w14:textId="77777777" w:rsidR="00FB19C0" w:rsidRPr="00BE78CA" w:rsidRDefault="00FB19C0" w:rsidP="00C26084">
            <w:pPr>
              <w:pStyle w:val="TableText"/>
              <w:spacing w:before="50" w:after="50"/>
              <w:jc w:val="center"/>
            </w:pPr>
            <w:r w:rsidRPr="00BE78CA">
              <w:t>535.4</w:t>
            </w:r>
          </w:p>
        </w:tc>
        <w:tc>
          <w:tcPr>
            <w:tcW w:w="2475" w:type="dxa"/>
            <w:tcBorders>
              <w:top w:val="single" w:sz="4" w:space="0" w:color="365F91"/>
              <w:left w:val="nil"/>
              <w:bottom w:val="single" w:sz="4" w:space="0" w:color="365F91"/>
              <w:right w:val="nil"/>
            </w:tcBorders>
            <w:hideMark/>
          </w:tcPr>
          <w:p w14:paraId="09385B47" w14:textId="77777777" w:rsidR="00FB19C0" w:rsidRPr="00BE78CA" w:rsidRDefault="00FB19C0" w:rsidP="00C26084">
            <w:pPr>
              <w:pStyle w:val="TableText"/>
              <w:spacing w:before="50" w:after="50"/>
              <w:jc w:val="center"/>
            </w:pPr>
            <w:r w:rsidRPr="00BE78CA">
              <w:t>5,268.3</w:t>
            </w:r>
          </w:p>
        </w:tc>
        <w:tc>
          <w:tcPr>
            <w:tcW w:w="2477" w:type="dxa"/>
            <w:tcBorders>
              <w:top w:val="single" w:sz="4" w:space="0" w:color="365F91"/>
              <w:left w:val="nil"/>
              <w:bottom w:val="single" w:sz="4" w:space="0" w:color="365F91"/>
              <w:right w:val="nil"/>
            </w:tcBorders>
            <w:hideMark/>
          </w:tcPr>
          <w:p w14:paraId="5212697D" w14:textId="77777777" w:rsidR="00FB19C0" w:rsidRPr="00BE78CA" w:rsidRDefault="00FB19C0" w:rsidP="00C26084">
            <w:pPr>
              <w:pStyle w:val="TableText"/>
              <w:spacing w:before="50" w:after="50"/>
              <w:jc w:val="center"/>
            </w:pPr>
            <w:r w:rsidRPr="00BE78CA">
              <w:t>5,803.7</w:t>
            </w:r>
          </w:p>
        </w:tc>
      </w:tr>
      <w:tr w:rsidR="00FB19C0" w:rsidRPr="00BE78CA" w14:paraId="6D0C5BA0" w14:textId="77777777" w:rsidTr="00C26084">
        <w:tc>
          <w:tcPr>
            <w:tcW w:w="1078" w:type="dxa"/>
            <w:tcBorders>
              <w:top w:val="single" w:sz="4" w:space="0" w:color="365F91"/>
              <w:left w:val="nil"/>
              <w:bottom w:val="single" w:sz="4" w:space="0" w:color="365F91"/>
              <w:right w:val="nil"/>
            </w:tcBorders>
            <w:hideMark/>
          </w:tcPr>
          <w:p w14:paraId="0816935A" w14:textId="77777777" w:rsidR="00FB19C0" w:rsidRPr="00BE78CA" w:rsidRDefault="00FB19C0" w:rsidP="00C26084">
            <w:pPr>
              <w:pStyle w:val="TableTextBold"/>
              <w:spacing w:before="50" w:after="50"/>
              <w:rPr>
                <w:noProof w:val="0"/>
              </w:rPr>
            </w:pPr>
            <w:r w:rsidRPr="00BE78CA">
              <w:rPr>
                <w:noProof w:val="0"/>
              </w:rPr>
              <w:t>2017</w:t>
            </w:r>
          </w:p>
        </w:tc>
        <w:tc>
          <w:tcPr>
            <w:tcW w:w="2475" w:type="dxa"/>
            <w:tcBorders>
              <w:top w:val="single" w:sz="4" w:space="0" w:color="365F91"/>
              <w:left w:val="nil"/>
              <w:bottom w:val="single" w:sz="4" w:space="0" w:color="365F91"/>
              <w:right w:val="nil"/>
            </w:tcBorders>
            <w:hideMark/>
          </w:tcPr>
          <w:p w14:paraId="651F9BAA" w14:textId="77777777" w:rsidR="00FB19C0" w:rsidRPr="00BE78CA" w:rsidRDefault="00FB19C0" w:rsidP="00C26084">
            <w:pPr>
              <w:pStyle w:val="TableText"/>
              <w:spacing w:before="50" w:after="50"/>
              <w:jc w:val="center"/>
            </w:pPr>
            <w:r w:rsidRPr="00BE78CA">
              <w:t>505.5</w:t>
            </w:r>
          </w:p>
        </w:tc>
        <w:tc>
          <w:tcPr>
            <w:tcW w:w="2475" w:type="dxa"/>
            <w:tcBorders>
              <w:top w:val="single" w:sz="4" w:space="0" w:color="365F91"/>
              <w:left w:val="nil"/>
              <w:bottom w:val="single" w:sz="4" w:space="0" w:color="365F91"/>
              <w:right w:val="nil"/>
            </w:tcBorders>
            <w:hideMark/>
          </w:tcPr>
          <w:p w14:paraId="08A3BCE6" w14:textId="77777777" w:rsidR="00FB19C0" w:rsidRPr="00BE78CA" w:rsidRDefault="00FB19C0" w:rsidP="00C26084">
            <w:pPr>
              <w:pStyle w:val="TableText"/>
              <w:spacing w:before="50" w:after="50"/>
              <w:jc w:val="center"/>
            </w:pPr>
            <w:r w:rsidRPr="00BE78CA">
              <w:t>5,460.9</w:t>
            </w:r>
          </w:p>
        </w:tc>
        <w:tc>
          <w:tcPr>
            <w:tcW w:w="2477" w:type="dxa"/>
            <w:tcBorders>
              <w:top w:val="single" w:sz="4" w:space="0" w:color="365F91"/>
              <w:left w:val="nil"/>
              <w:bottom w:val="single" w:sz="4" w:space="0" w:color="365F91"/>
              <w:right w:val="nil"/>
            </w:tcBorders>
            <w:hideMark/>
          </w:tcPr>
          <w:p w14:paraId="0C928BDD" w14:textId="77777777" w:rsidR="00FB19C0" w:rsidRPr="00BE78CA" w:rsidRDefault="00FB19C0" w:rsidP="00C26084">
            <w:pPr>
              <w:pStyle w:val="TableText"/>
              <w:spacing w:before="50" w:after="50"/>
              <w:jc w:val="center"/>
            </w:pPr>
            <w:r w:rsidRPr="00BE78CA">
              <w:t>5,966.4</w:t>
            </w:r>
          </w:p>
        </w:tc>
      </w:tr>
      <w:tr w:rsidR="00FB19C0" w:rsidRPr="00BE78CA" w14:paraId="49D4232B" w14:textId="77777777" w:rsidTr="00C26084">
        <w:tc>
          <w:tcPr>
            <w:tcW w:w="1078" w:type="dxa"/>
            <w:tcBorders>
              <w:top w:val="single" w:sz="4" w:space="0" w:color="365F91"/>
              <w:left w:val="nil"/>
              <w:bottom w:val="single" w:sz="4" w:space="0" w:color="365F91"/>
              <w:right w:val="nil"/>
            </w:tcBorders>
            <w:hideMark/>
          </w:tcPr>
          <w:p w14:paraId="0E23E7C3" w14:textId="77777777" w:rsidR="00FB19C0" w:rsidRPr="00BE78CA" w:rsidRDefault="00FB19C0" w:rsidP="00C26084">
            <w:pPr>
              <w:pStyle w:val="TableTextBold"/>
              <w:spacing w:before="50" w:after="50"/>
              <w:rPr>
                <w:noProof w:val="0"/>
              </w:rPr>
            </w:pPr>
            <w:r w:rsidRPr="00BE78CA">
              <w:rPr>
                <w:noProof w:val="0"/>
              </w:rPr>
              <w:t>2018</w:t>
            </w:r>
          </w:p>
        </w:tc>
        <w:tc>
          <w:tcPr>
            <w:tcW w:w="2475" w:type="dxa"/>
            <w:tcBorders>
              <w:top w:val="single" w:sz="4" w:space="0" w:color="365F91"/>
              <w:left w:val="nil"/>
              <w:bottom w:val="single" w:sz="4" w:space="0" w:color="365F91"/>
              <w:right w:val="nil"/>
            </w:tcBorders>
            <w:hideMark/>
          </w:tcPr>
          <w:p w14:paraId="127EE734" w14:textId="77777777" w:rsidR="00FB19C0" w:rsidRPr="00BE78CA" w:rsidRDefault="00FB19C0" w:rsidP="00C26084">
            <w:pPr>
              <w:pStyle w:val="TableText"/>
              <w:spacing w:before="50" w:after="50"/>
              <w:jc w:val="center"/>
            </w:pPr>
            <w:r w:rsidRPr="00BE78CA">
              <w:t>490.5</w:t>
            </w:r>
          </w:p>
        </w:tc>
        <w:tc>
          <w:tcPr>
            <w:tcW w:w="2475" w:type="dxa"/>
            <w:tcBorders>
              <w:top w:val="single" w:sz="4" w:space="0" w:color="365F91"/>
              <w:left w:val="nil"/>
              <w:bottom w:val="single" w:sz="4" w:space="0" w:color="365F91"/>
              <w:right w:val="nil"/>
            </w:tcBorders>
            <w:hideMark/>
          </w:tcPr>
          <w:p w14:paraId="297874AF" w14:textId="77777777" w:rsidR="00FB19C0" w:rsidRPr="00BE78CA" w:rsidRDefault="00FB19C0" w:rsidP="00C26084">
            <w:pPr>
              <w:pStyle w:val="TableText"/>
              <w:spacing w:before="50" w:after="50"/>
              <w:jc w:val="center"/>
            </w:pPr>
            <w:r w:rsidRPr="00BE78CA">
              <w:t>5,517.2</w:t>
            </w:r>
          </w:p>
        </w:tc>
        <w:tc>
          <w:tcPr>
            <w:tcW w:w="2477" w:type="dxa"/>
            <w:tcBorders>
              <w:top w:val="single" w:sz="4" w:space="0" w:color="365F91"/>
              <w:left w:val="nil"/>
              <w:bottom w:val="single" w:sz="4" w:space="0" w:color="365F91"/>
              <w:right w:val="nil"/>
            </w:tcBorders>
            <w:hideMark/>
          </w:tcPr>
          <w:p w14:paraId="0D21194C" w14:textId="77777777" w:rsidR="00FB19C0" w:rsidRPr="00BE78CA" w:rsidRDefault="00FB19C0" w:rsidP="00C26084">
            <w:pPr>
              <w:pStyle w:val="TableText"/>
              <w:spacing w:before="50" w:after="50"/>
              <w:jc w:val="center"/>
            </w:pPr>
            <w:r w:rsidRPr="00BE78CA">
              <w:t>6,007.6</w:t>
            </w:r>
          </w:p>
        </w:tc>
      </w:tr>
      <w:tr w:rsidR="00FB19C0" w:rsidRPr="00BE78CA" w14:paraId="6C93DEF8" w14:textId="77777777" w:rsidTr="00C26084">
        <w:tc>
          <w:tcPr>
            <w:tcW w:w="1078" w:type="dxa"/>
            <w:tcBorders>
              <w:top w:val="single" w:sz="4" w:space="0" w:color="365F91"/>
              <w:left w:val="nil"/>
              <w:bottom w:val="single" w:sz="4" w:space="0" w:color="365F91"/>
              <w:right w:val="nil"/>
            </w:tcBorders>
          </w:tcPr>
          <w:p w14:paraId="6A56090D" w14:textId="77777777" w:rsidR="00FB19C0" w:rsidRPr="00BE78CA" w:rsidRDefault="00FB19C0" w:rsidP="00C26084">
            <w:pPr>
              <w:pStyle w:val="TableTextBold"/>
              <w:spacing w:before="50" w:after="50"/>
              <w:rPr>
                <w:noProof w:val="0"/>
              </w:rPr>
            </w:pPr>
            <w:r w:rsidRPr="00BE78CA">
              <w:rPr>
                <w:noProof w:val="0"/>
              </w:rPr>
              <w:t>2019</w:t>
            </w:r>
          </w:p>
        </w:tc>
        <w:tc>
          <w:tcPr>
            <w:tcW w:w="2475" w:type="dxa"/>
            <w:tcBorders>
              <w:top w:val="single" w:sz="4" w:space="0" w:color="365F91"/>
              <w:left w:val="nil"/>
              <w:bottom w:val="single" w:sz="4" w:space="0" w:color="365F91"/>
              <w:right w:val="nil"/>
            </w:tcBorders>
          </w:tcPr>
          <w:p w14:paraId="01A62F2A" w14:textId="77777777" w:rsidR="00FB19C0" w:rsidRPr="00BE78CA" w:rsidRDefault="00FB19C0" w:rsidP="00C26084">
            <w:pPr>
              <w:pStyle w:val="TableText"/>
              <w:spacing w:before="50" w:after="50"/>
              <w:jc w:val="center"/>
            </w:pPr>
            <w:r w:rsidRPr="00BE78CA">
              <w:t>478.9</w:t>
            </w:r>
          </w:p>
        </w:tc>
        <w:tc>
          <w:tcPr>
            <w:tcW w:w="2475" w:type="dxa"/>
            <w:tcBorders>
              <w:top w:val="single" w:sz="4" w:space="0" w:color="365F91"/>
              <w:left w:val="nil"/>
              <w:bottom w:val="single" w:sz="4" w:space="0" w:color="365F91"/>
              <w:right w:val="nil"/>
            </w:tcBorders>
          </w:tcPr>
          <w:p w14:paraId="5F6BFFE6" w14:textId="77777777" w:rsidR="00FB19C0" w:rsidRPr="00BE78CA" w:rsidRDefault="00FB19C0" w:rsidP="00C26084">
            <w:pPr>
              <w:pStyle w:val="TableText"/>
              <w:spacing w:before="50" w:after="50"/>
              <w:jc w:val="center"/>
            </w:pPr>
            <w:r w:rsidRPr="00BE78CA">
              <w:t>5,622.4</w:t>
            </w:r>
          </w:p>
        </w:tc>
        <w:tc>
          <w:tcPr>
            <w:tcW w:w="2477" w:type="dxa"/>
            <w:tcBorders>
              <w:top w:val="single" w:sz="4" w:space="0" w:color="365F91"/>
              <w:left w:val="nil"/>
              <w:bottom w:val="single" w:sz="4" w:space="0" w:color="365F91"/>
              <w:right w:val="nil"/>
            </w:tcBorders>
          </w:tcPr>
          <w:p w14:paraId="4D4509C0" w14:textId="77777777" w:rsidR="00FB19C0" w:rsidRPr="00BE78CA" w:rsidRDefault="00FB19C0" w:rsidP="00C26084">
            <w:pPr>
              <w:pStyle w:val="TableText"/>
              <w:spacing w:before="50" w:after="50"/>
              <w:jc w:val="center"/>
            </w:pPr>
            <w:r w:rsidRPr="00BE78CA">
              <w:t>6,101.3</w:t>
            </w:r>
          </w:p>
        </w:tc>
      </w:tr>
    </w:tbl>
    <w:bookmarkEnd w:id="2896"/>
    <w:p w14:paraId="7FDDB039" w14:textId="77777777" w:rsidR="00FB19C0" w:rsidRPr="00BE78CA" w:rsidRDefault="00FB19C0" w:rsidP="00FB19C0">
      <w:pPr>
        <w:pStyle w:val="Noteundertable"/>
      </w:pPr>
      <w:r w:rsidRPr="00BE78CA">
        <w:rPr>
          <w:b/>
        </w:rPr>
        <w:t>Note:</w:t>
      </w:r>
      <w:r w:rsidRPr="00BE78CA">
        <w:t xml:space="preserve"> </w:t>
      </w:r>
      <w:r w:rsidRPr="00BE78CA">
        <w:tab/>
        <w:t>Columns may not total due to rounding.</w:t>
      </w:r>
    </w:p>
    <w:p w14:paraId="76BE7CB4" w14:textId="77777777" w:rsidR="00FB19C0" w:rsidRPr="00BE78CA" w:rsidRDefault="00FB19C0" w:rsidP="00FB19C0">
      <w:pPr>
        <w:pStyle w:val="Heading4"/>
      </w:pPr>
      <w:r w:rsidRPr="00BE78CA">
        <w:t>Choice of methods</w:t>
      </w:r>
    </w:p>
    <w:p w14:paraId="04C30B4B" w14:textId="77777777" w:rsidR="00FB19C0" w:rsidRPr="00BE78CA" w:rsidRDefault="00FB19C0" w:rsidP="00FB19C0">
      <w:pPr>
        <w:pStyle w:val="BodyText"/>
      </w:pPr>
      <w:r w:rsidRPr="00BE78CA">
        <w:t>Estimations of CH</w:t>
      </w:r>
      <w:r w:rsidRPr="00BE78CA">
        <w:rPr>
          <w:vertAlign w:val="subscript"/>
        </w:rPr>
        <w:t>4</w:t>
      </w:r>
      <w:r w:rsidRPr="00BE78CA">
        <w:t xml:space="preserve"> emissions from </w:t>
      </w:r>
      <w:r w:rsidRPr="00BE78CA">
        <w:rPr>
          <w:i/>
          <w:iCs/>
        </w:rPr>
        <w:t>Solid waste disposal</w:t>
      </w:r>
      <w:r w:rsidRPr="00BE78CA">
        <w:t xml:space="preserve"> to land were calculated using the first order decay (FOD) model. This is the Tier 2 method from the 2006 IPCC Guidelines (IPCC, 2006a).</w:t>
      </w:r>
    </w:p>
    <w:p w14:paraId="4994E023" w14:textId="77777777" w:rsidR="00FB19C0" w:rsidRPr="00BE78CA" w:rsidRDefault="00FB19C0" w:rsidP="00FB19C0">
      <w:pPr>
        <w:pStyle w:val="Heading5"/>
      </w:pPr>
      <w:r w:rsidRPr="00BE78CA">
        <w:t>Municipal landfills (5.A.1.a)</w:t>
      </w:r>
    </w:p>
    <w:p w14:paraId="6F6778C7" w14:textId="77777777" w:rsidR="00FB19C0" w:rsidRPr="00BE78CA" w:rsidRDefault="00FB19C0" w:rsidP="00FB19C0">
      <w:pPr>
        <w:pStyle w:val="BodyText"/>
      </w:pPr>
      <w:r w:rsidRPr="00BE78CA">
        <w:t xml:space="preserve">Municipal landfills use a multi-phase FOD model consistent with the IPCC (2006a) model with country-specific parameters. </w:t>
      </w:r>
    </w:p>
    <w:p w14:paraId="6F9150DE" w14:textId="77777777" w:rsidR="00FB19C0" w:rsidRPr="00BE78CA" w:rsidRDefault="00FB19C0" w:rsidP="00FB19C0">
      <w:pPr>
        <w:pStyle w:val="BodyText"/>
      </w:pPr>
      <w:r w:rsidRPr="00BE78CA">
        <w:lastRenderedPageBreak/>
        <w:t>For each of the 26 landfill sites that had LFG recovery at any time, the FOD multi-phase model (IPCC, 2006a) has been applied to develop estimates of CH</w:t>
      </w:r>
      <w:r w:rsidRPr="00BE78CA">
        <w:rPr>
          <w:vertAlign w:val="subscript"/>
        </w:rPr>
        <w:t>4</w:t>
      </w:r>
      <w:r w:rsidRPr="00BE78CA">
        <w:t xml:space="preserve"> emissions, with site-specific data on waste placement, k</w:t>
      </w:r>
      <w:r w:rsidRPr="00BE78CA">
        <w:noBreakHyphen/>
        <w:t>values dependent on local climate, and LFG recovery efficiency rate that reflects the landfill’s operational status as either open or closed. These sites that are still operational account for approximately 90 per cent of waste disposed to municipal landfills, as shown in table 7.2.3.</w:t>
      </w:r>
    </w:p>
    <w:p w14:paraId="34D8481D" w14:textId="77777777" w:rsidR="00FB19C0" w:rsidRPr="00BE78CA" w:rsidRDefault="00FB19C0" w:rsidP="00FB19C0">
      <w:pPr>
        <w:pStyle w:val="BodyText"/>
      </w:pPr>
      <w:r w:rsidRPr="00BE78CA">
        <w:t>Municipal waste outside of these 26 sites is disposed to smaller landfills that have never had gas recovery. In 1990, there were more than 300 of these sites and in 2019 approximately 21 were still in operation. This number includes very small sites serving small and remote communities. The FOD model has also been applied to estimate the total CH</w:t>
      </w:r>
      <w:r w:rsidRPr="00BE78CA">
        <w:rPr>
          <w:vertAlign w:val="subscript"/>
        </w:rPr>
        <w:t>4</w:t>
      </w:r>
      <w:r w:rsidRPr="00BE78CA">
        <w:t xml:space="preserve"> emissions from these landfills as a whole, using the same approach as for the sites with LFG recovery, except that all of these sites are assumed to have a wet climate and zero LFG recovery.</w:t>
      </w:r>
    </w:p>
    <w:p w14:paraId="685356ED" w14:textId="77777777" w:rsidR="00FB19C0" w:rsidRPr="00BE78CA" w:rsidRDefault="00FB19C0" w:rsidP="00FB19C0">
      <w:pPr>
        <w:pStyle w:val="Heading5"/>
      </w:pPr>
      <w:r w:rsidRPr="00BE78CA">
        <w:t>Non-municipal landfills and farm fills (5.A.2)</w:t>
      </w:r>
    </w:p>
    <w:p w14:paraId="603AAC7F" w14:textId="3495B496" w:rsidR="00FB19C0" w:rsidRPr="00BE78CA" w:rsidRDefault="00FB19C0" w:rsidP="00FB19C0">
      <w:pPr>
        <w:pStyle w:val="BodyText"/>
      </w:pPr>
      <w:bookmarkStart w:id="2897" w:name="_Hlk63339527"/>
      <w:r w:rsidRPr="00BE78CA">
        <w:t xml:space="preserve">Non-municipal landfills include privately owned industrial landfills and a large number of landfill sites (cleanfills and construction and demolition fills) that are consented for largely inert waste. These sites in some cases are allowed to receive 5–10 per cent putrescible waste. </w:t>
      </w:r>
      <w:bookmarkEnd w:id="2897"/>
      <w:r w:rsidRPr="00BE78CA">
        <w:t>Limited information is available on these sites and their management practices, with a lack of historical information in particular. The FOD model has been applied to estimate total CH</w:t>
      </w:r>
      <w:r w:rsidRPr="00BE78CA">
        <w:rPr>
          <w:vertAlign w:val="subscript"/>
        </w:rPr>
        <w:t>4</w:t>
      </w:r>
      <w:r w:rsidRPr="00BE78CA">
        <w:t xml:space="preserve"> emissions from non-municipal landfills.</w:t>
      </w:r>
    </w:p>
    <w:p w14:paraId="45F85B47" w14:textId="77777777" w:rsidR="00FB19C0" w:rsidRPr="00BE78CA" w:rsidRDefault="00FB19C0" w:rsidP="00FB19C0">
      <w:pPr>
        <w:pStyle w:val="BodyText"/>
      </w:pPr>
      <w:r w:rsidRPr="00BE78CA">
        <w:t>For farm fills, the FOD model has been applied to estimate total CH</w:t>
      </w:r>
      <w:r w:rsidRPr="00BE78CA">
        <w:rPr>
          <w:vertAlign w:val="subscript"/>
        </w:rPr>
        <w:t>4</w:t>
      </w:r>
      <w:r w:rsidRPr="00BE78CA">
        <w:t xml:space="preserve"> emissions from the proportion of total farm waste that is landfilled. Farm waste comprises a mix of household and other wastes. Survey data on waste composition are used to determine weighted average values for degradable organic carbon (DOC) content of waste from dairy farms, livestock farms, arable and viticulture farms (GHD, 2013, 2014). Survey data on waste composition from viticulture and arable farms are used to determine a weighted average DOC value for other remaining horticultural farms.</w:t>
      </w:r>
    </w:p>
    <w:p w14:paraId="63D29625" w14:textId="77777777" w:rsidR="00FB19C0" w:rsidRPr="00BE78CA" w:rsidRDefault="00FB19C0" w:rsidP="00FB19C0">
      <w:pPr>
        <w:pStyle w:val="Heading4"/>
      </w:pPr>
      <w:r w:rsidRPr="00BE78CA">
        <w:t>Choice of emission factors and parameters</w:t>
      </w:r>
    </w:p>
    <w:p w14:paraId="20D7041A" w14:textId="77777777" w:rsidR="00FB19C0" w:rsidRPr="00BE78CA" w:rsidRDefault="00FB19C0" w:rsidP="00FB19C0">
      <w:pPr>
        <w:pStyle w:val="Heading5"/>
        <w:spacing w:before="180"/>
      </w:pPr>
      <w:r w:rsidRPr="00BE78CA">
        <w:t>Municipal landfills (5.A.1.a)</w:t>
      </w:r>
    </w:p>
    <w:p w14:paraId="73C51A2E" w14:textId="77777777" w:rsidR="00FB19C0" w:rsidRPr="00BE78CA" w:rsidRDefault="00FB19C0" w:rsidP="00FB19C0">
      <w:pPr>
        <w:pStyle w:val="Heading6"/>
        <w:spacing w:before="180"/>
      </w:pPr>
      <w:r w:rsidRPr="00BE78CA">
        <w:t>Waste composition</w:t>
      </w:r>
    </w:p>
    <w:p w14:paraId="6B8A5483" w14:textId="77777777" w:rsidR="00FB19C0" w:rsidRPr="00BE78CA" w:rsidRDefault="00FB19C0" w:rsidP="00FB19C0">
      <w:pPr>
        <w:pStyle w:val="BodyText"/>
      </w:pPr>
      <w:r w:rsidRPr="00BE78CA">
        <w:t>Many municipal landfills in New Zealand accept industrial waste as well as municipal waste. New Zealand has insufficient data to determine how much of the waste disposed to municipal landfills comes from industrial sources. Where surveys of composition data have occurred at sites that take industrial waste, this is included as part of the overall composition estimates.</w:t>
      </w:r>
    </w:p>
    <w:p w14:paraId="34D924E5" w14:textId="77777777" w:rsidR="00FB19C0" w:rsidRPr="00BE78CA" w:rsidRDefault="00FB19C0" w:rsidP="00FB19C0">
      <w:pPr>
        <w:pStyle w:val="BodyText"/>
        <w:rPr>
          <w:highlight w:val="cyan"/>
        </w:rPr>
      </w:pPr>
      <w:r w:rsidRPr="00BE78CA">
        <w:t xml:space="preserve">Waste composition has been estimated from national surveys carried out in 1995 and 2004 (Ministry for the Environment, 1997; Waste Not Consulting, unpublished(a)). In addition, estimates have been made for 2008, 2012 and 2018 based on individual landfill surveys (Eunomia, unpublished(a); Waste Not Consulting, unpublished(b), unpublished(c)). The waste surveys have been based on the </w:t>
      </w:r>
      <w:r w:rsidRPr="00BE78CA">
        <w:rPr>
          <w:i/>
        </w:rPr>
        <w:t>Solid Waste Analysis Protocol</w:t>
      </w:r>
      <w:r w:rsidRPr="00BE78CA">
        <w:t xml:space="preserve"> (SWAP) (Ministry for the Environment, 2002b) to ensure a consistent methodology for sampling and analysis. While the more recent SWAP surveys do not sample every site, the 2018 </w:t>
      </w:r>
      <w:r w:rsidRPr="00BE78CA">
        <w:rPr>
          <w:spacing w:val="-2"/>
        </w:rPr>
        <w:t>SWAP surveys assessed were conducted by territorial authorities from 18 disposal facilities and transfer stations, which collectively represent 66 per cent of all waste disposed of at municipal landfills in 2018.</w:t>
      </w:r>
    </w:p>
    <w:p w14:paraId="0969300C" w14:textId="77777777" w:rsidR="00FB19C0" w:rsidRPr="00BE78CA" w:rsidRDefault="00FB19C0" w:rsidP="00FB19C0">
      <w:pPr>
        <w:pStyle w:val="BodyText"/>
      </w:pPr>
      <w:r w:rsidRPr="00BE78CA">
        <w:lastRenderedPageBreak/>
        <w:t>No usable waste composition data are available for the period before 1995. For the years 1950 to 1994, data from the 1995 survey have been used, with an adjustment to account for the fact that disposable nappies came into use in the 1960s (Eunomia and Waste Not Consulting, unpublished). Linear interpolation was used for years between the survey years, and the years since 2018 are assumed to be the same as 2018. This will be revised when more survey data are collected in the future.</w:t>
      </w:r>
    </w:p>
    <w:p w14:paraId="23650172" w14:textId="77777777" w:rsidR="00FB19C0" w:rsidRPr="00BE78CA" w:rsidRDefault="00FB19C0" w:rsidP="00FB19C0">
      <w:pPr>
        <w:pStyle w:val="BodyText"/>
      </w:pPr>
      <w:r w:rsidRPr="00BE78CA">
        <w:t>Table 7.2.5 shows the resulting estimated composition data from 1950 to 2019. These have been used for the waste disposed to all municipal landfills.</w:t>
      </w:r>
    </w:p>
    <w:p w14:paraId="74F53805" w14:textId="77777777" w:rsidR="00FB19C0" w:rsidRPr="00BE78CA" w:rsidRDefault="00FB19C0" w:rsidP="00FB19C0">
      <w:pPr>
        <w:pStyle w:val="Table"/>
      </w:pPr>
      <w:bookmarkStart w:id="2898" w:name="_Toc481751600"/>
      <w:bookmarkStart w:id="2899" w:name="_Toc451176170"/>
      <w:bookmarkStart w:id="2900" w:name="_Toc444001618"/>
      <w:bookmarkStart w:id="2901" w:name="_Toc5269564"/>
      <w:bookmarkStart w:id="2902" w:name="_Toc511116823"/>
      <w:bookmarkStart w:id="2903" w:name="_Toc508019325"/>
      <w:bookmarkStart w:id="2904" w:name="_Toc32828522"/>
      <w:bookmarkStart w:id="2905" w:name="_Toc32591352"/>
      <w:bookmarkStart w:id="2906" w:name="_Toc36224645"/>
      <w:bookmarkStart w:id="2907" w:name="_Toc68786532"/>
      <w:r w:rsidRPr="00BE78CA">
        <w:t xml:space="preserve">Table 7.2.5 </w:t>
      </w:r>
      <w:r w:rsidRPr="00BE78CA">
        <w:tab/>
        <w:t>Estimated composition of waste to municipal landfills</w:t>
      </w:r>
      <w:bookmarkEnd w:id="2898"/>
      <w:bookmarkEnd w:id="2899"/>
      <w:bookmarkEnd w:id="2900"/>
      <w:r w:rsidRPr="00BE78CA">
        <w:t xml:space="preserve"> from 1950 to </w:t>
      </w:r>
      <w:bookmarkEnd w:id="2901"/>
      <w:bookmarkEnd w:id="2902"/>
      <w:bookmarkEnd w:id="2903"/>
      <w:bookmarkEnd w:id="2904"/>
      <w:bookmarkEnd w:id="2905"/>
      <w:bookmarkEnd w:id="2906"/>
      <w:r w:rsidRPr="00BE78CA">
        <w:t>2019</w:t>
      </w:r>
      <w:bookmarkEnd w:id="2907"/>
    </w:p>
    <w:tbl>
      <w:tblPr>
        <w:tblW w:w="8448" w:type="dxa"/>
        <w:tblInd w:w="57" w:type="dxa"/>
        <w:tblLook w:val="04A0" w:firstRow="1" w:lastRow="0" w:firstColumn="1" w:lastColumn="0" w:noHBand="0" w:noVBand="1"/>
      </w:tblPr>
      <w:tblGrid>
        <w:gridCol w:w="876"/>
        <w:gridCol w:w="689"/>
        <w:gridCol w:w="772"/>
        <w:gridCol w:w="746"/>
        <w:gridCol w:w="664"/>
        <w:gridCol w:w="761"/>
        <w:gridCol w:w="784"/>
        <w:gridCol w:w="760"/>
        <w:gridCol w:w="644"/>
        <w:gridCol w:w="1752"/>
      </w:tblGrid>
      <w:tr w:rsidR="00FB19C0" w:rsidRPr="00BE78CA" w14:paraId="096018DF" w14:textId="77777777" w:rsidTr="00C26084">
        <w:trPr>
          <w:tblHeader/>
        </w:trPr>
        <w:tc>
          <w:tcPr>
            <w:tcW w:w="964" w:type="dxa"/>
            <w:tcBorders>
              <w:top w:val="single" w:sz="4" w:space="0" w:color="365F91"/>
              <w:left w:val="nil"/>
              <w:bottom w:val="single" w:sz="4" w:space="0" w:color="365F91"/>
              <w:right w:val="nil"/>
            </w:tcBorders>
            <w:shd w:val="clear" w:color="auto" w:fill="365F91"/>
            <w:vAlign w:val="bottom"/>
            <w:hideMark/>
          </w:tcPr>
          <w:p w14:paraId="7E730E33" w14:textId="77777777" w:rsidR="00FB19C0" w:rsidRPr="00BE78CA" w:rsidRDefault="00FB19C0" w:rsidP="00C26084">
            <w:pPr>
              <w:pStyle w:val="TableTextBold"/>
              <w:spacing w:before="50" w:after="50"/>
              <w:rPr>
                <w:rFonts w:cs="Calibri"/>
                <w:noProof w:val="0"/>
                <w:color w:val="FFFFFF"/>
                <w:szCs w:val="16"/>
              </w:rPr>
            </w:pPr>
            <w:r w:rsidRPr="00BE78CA">
              <w:rPr>
                <w:rFonts w:cs="Calibri"/>
                <w:noProof w:val="0"/>
                <w:color w:val="FFFFFF"/>
                <w:szCs w:val="16"/>
              </w:rPr>
              <w:t>Year</w:t>
            </w:r>
          </w:p>
        </w:tc>
        <w:tc>
          <w:tcPr>
            <w:tcW w:w="737" w:type="dxa"/>
            <w:tcBorders>
              <w:top w:val="single" w:sz="4" w:space="0" w:color="365F91"/>
              <w:left w:val="nil"/>
              <w:bottom w:val="single" w:sz="4" w:space="0" w:color="365F91"/>
              <w:right w:val="nil"/>
            </w:tcBorders>
            <w:shd w:val="clear" w:color="auto" w:fill="365F91"/>
            <w:vAlign w:val="bottom"/>
            <w:hideMark/>
          </w:tcPr>
          <w:p w14:paraId="1EF4BA6F" w14:textId="77777777" w:rsidR="00FB19C0" w:rsidRPr="00BE78CA" w:rsidRDefault="00FB19C0" w:rsidP="00C26084">
            <w:pPr>
              <w:pStyle w:val="TableTextBold"/>
              <w:spacing w:before="50" w:after="50"/>
              <w:jc w:val="center"/>
              <w:rPr>
                <w:rFonts w:cs="Calibri"/>
                <w:noProof w:val="0"/>
                <w:color w:val="FFFFFF"/>
                <w:szCs w:val="16"/>
              </w:rPr>
            </w:pPr>
            <w:r w:rsidRPr="00BE78CA">
              <w:rPr>
                <w:rFonts w:cs="Calibri"/>
                <w:noProof w:val="0"/>
                <w:color w:val="FFFFFF"/>
                <w:szCs w:val="16"/>
              </w:rPr>
              <w:t>Food</w:t>
            </w:r>
            <w:r w:rsidRPr="00BE78CA">
              <w:rPr>
                <w:rFonts w:cs="Calibri"/>
                <w:noProof w:val="0"/>
                <w:color w:val="FFFFFF"/>
                <w:szCs w:val="16"/>
              </w:rPr>
              <w:br/>
              <w:t>(</w:t>
            </w:r>
            <w:r w:rsidRPr="00BE78CA">
              <w:rPr>
                <w:noProof w:val="0"/>
                <w:color w:val="FFFFFF"/>
              </w:rPr>
              <w:t>%</w:t>
            </w:r>
            <w:r w:rsidRPr="00BE78CA">
              <w:rPr>
                <w:rFonts w:cs="Calibri"/>
                <w:noProof w:val="0"/>
                <w:color w:val="FFFFFF"/>
                <w:szCs w:val="16"/>
              </w:rPr>
              <w:t>)</w:t>
            </w:r>
          </w:p>
        </w:tc>
        <w:tc>
          <w:tcPr>
            <w:tcW w:w="794" w:type="dxa"/>
            <w:tcBorders>
              <w:top w:val="single" w:sz="4" w:space="0" w:color="365F91"/>
              <w:left w:val="nil"/>
              <w:bottom w:val="single" w:sz="4" w:space="0" w:color="365F91"/>
              <w:right w:val="nil"/>
            </w:tcBorders>
            <w:shd w:val="clear" w:color="auto" w:fill="365F91"/>
            <w:vAlign w:val="bottom"/>
            <w:hideMark/>
          </w:tcPr>
          <w:p w14:paraId="2DA0EA33" w14:textId="77777777" w:rsidR="00FB19C0" w:rsidRPr="00BE78CA" w:rsidRDefault="00FB19C0" w:rsidP="00C26084">
            <w:pPr>
              <w:pStyle w:val="TableTextBold"/>
              <w:spacing w:before="50" w:after="50"/>
              <w:jc w:val="center"/>
              <w:rPr>
                <w:rFonts w:cs="Calibri"/>
                <w:noProof w:val="0"/>
                <w:color w:val="FFFFFF"/>
                <w:szCs w:val="16"/>
              </w:rPr>
            </w:pPr>
            <w:r w:rsidRPr="00BE78CA">
              <w:rPr>
                <w:rFonts w:cs="Calibri"/>
                <w:noProof w:val="0"/>
                <w:color w:val="FFFFFF"/>
                <w:szCs w:val="16"/>
              </w:rPr>
              <w:t>Garden</w:t>
            </w:r>
            <w:r w:rsidRPr="00BE78CA">
              <w:rPr>
                <w:rFonts w:cs="Calibri"/>
                <w:noProof w:val="0"/>
                <w:color w:val="FFFFFF"/>
                <w:szCs w:val="16"/>
              </w:rPr>
              <w:br/>
              <w:t>(</w:t>
            </w:r>
            <w:r w:rsidRPr="00BE78CA">
              <w:rPr>
                <w:noProof w:val="0"/>
                <w:color w:val="FFFFFF"/>
              </w:rPr>
              <w:t>%</w:t>
            </w:r>
            <w:r w:rsidRPr="00BE78CA">
              <w:rPr>
                <w:rFonts w:cs="Calibri"/>
                <w:noProof w:val="0"/>
                <w:color w:val="FFFFFF"/>
                <w:szCs w:val="16"/>
              </w:rPr>
              <w:t>)</w:t>
            </w:r>
          </w:p>
        </w:tc>
        <w:tc>
          <w:tcPr>
            <w:tcW w:w="794" w:type="dxa"/>
            <w:tcBorders>
              <w:top w:val="single" w:sz="4" w:space="0" w:color="365F91"/>
              <w:left w:val="nil"/>
              <w:bottom w:val="single" w:sz="4" w:space="0" w:color="365F91"/>
              <w:right w:val="nil"/>
            </w:tcBorders>
            <w:shd w:val="clear" w:color="auto" w:fill="365F91"/>
            <w:vAlign w:val="bottom"/>
            <w:hideMark/>
          </w:tcPr>
          <w:p w14:paraId="11457102" w14:textId="77777777" w:rsidR="00FB19C0" w:rsidRPr="00BE78CA" w:rsidRDefault="00FB19C0" w:rsidP="00C26084">
            <w:pPr>
              <w:pStyle w:val="TableTextBold"/>
              <w:spacing w:before="50" w:after="50"/>
              <w:jc w:val="center"/>
              <w:rPr>
                <w:rFonts w:cs="Calibri"/>
                <w:noProof w:val="0"/>
                <w:color w:val="FFFFFF"/>
                <w:szCs w:val="16"/>
              </w:rPr>
            </w:pPr>
            <w:r w:rsidRPr="00BE78CA">
              <w:rPr>
                <w:rFonts w:cs="Calibri"/>
                <w:noProof w:val="0"/>
                <w:color w:val="FFFFFF"/>
                <w:szCs w:val="16"/>
              </w:rPr>
              <w:t>Paper (</w:t>
            </w:r>
            <w:r w:rsidRPr="00BE78CA">
              <w:rPr>
                <w:noProof w:val="0"/>
                <w:color w:val="FFFFFF"/>
              </w:rPr>
              <w:t>%</w:t>
            </w:r>
            <w:r w:rsidRPr="00BE78CA">
              <w:rPr>
                <w:rFonts w:cs="Calibri"/>
                <w:noProof w:val="0"/>
                <w:color w:val="FFFFFF"/>
                <w:szCs w:val="16"/>
              </w:rPr>
              <w:t>)</w:t>
            </w:r>
          </w:p>
        </w:tc>
        <w:tc>
          <w:tcPr>
            <w:tcW w:w="680" w:type="dxa"/>
            <w:tcBorders>
              <w:top w:val="single" w:sz="4" w:space="0" w:color="365F91"/>
              <w:left w:val="nil"/>
              <w:bottom w:val="single" w:sz="4" w:space="0" w:color="365F91"/>
              <w:right w:val="nil"/>
            </w:tcBorders>
            <w:shd w:val="clear" w:color="auto" w:fill="365F91"/>
            <w:vAlign w:val="bottom"/>
            <w:hideMark/>
          </w:tcPr>
          <w:p w14:paraId="300D2255" w14:textId="77777777" w:rsidR="00FB19C0" w:rsidRPr="00BE78CA" w:rsidRDefault="00FB19C0" w:rsidP="00C26084">
            <w:pPr>
              <w:pStyle w:val="TableTextBold"/>
              <w:spacing w:before="50" w:after="50"/>
              <w:jc w:val="center"/>
              <w:rPr>
                <w:rFonts w:cs="Calibri"/>
                <w:noProof w:val="0"/>
                <w:color w:val="FFFFFF"/>
                <w:szCs w:val="16"/>
              </w:rPr>
            </w:pPr>
            <w:r w:rsidRPr="00BE78CA">
              <w:rPr>
                <w:rFonts w:cs="Calibri"/>
                <w:noProof w:val="0"/>
                <w:color w:val="FFFFFF"/>
                <w:szCs w:val="16"/>
              </w:rPr>
              <w:t>Wood (</w:t>
            </w:r>
            <w:r w:rsidRPr="00BE78CA">
              <w:rPr>
                <w:noProof w:val="0"/>
                <w:color w:val="FFFFFF"/>
              </w:rPr>
              <w:t>%</w:t>
            </w:r>
            <w:r w:rsidRPr="00BE78CA">
              <w:rPr>
                <w:rFonts w:cs="Calibri"/>
                <w:noProof w:val="0"/>
                <w:color w:val="FFFFFF"/>
                <w:szCs w:val="16"/>
              </w:rPr>
              <w:t>)</w:t>
            </w:r>
          </w:p>
        </w:tc>
        <w:tc>
          <w:tcPr>
            <w:tcW w:w="794" w:type="dxa"/>
            <w:tcBorders>
              <w:top w:val="single" w:sz="4" w:space="0" w:color="365F91"/>
              <w:left w:val="nil"/>
              <w:bottom w:val="single" w:sz="4" w:space="0" w:color="365F91"/>
              <w:right w:val="nil"/>
            </w:tcBorders>
            <w:shd w:val="clear" w:color="auto" w:fill="365F91"/>
            <w:vAlign w:val="bottom"/>
            <w:hideMark/>
          </w:tcPr>
          <w:p w14:paraId="02EAF119" w14:textId="77777777" w:rsidR="00FB19C0" w:rsidRPr="00BE78CA" w:rsidRDefault="00FB19C0" w:rsidP="00C26084">
            <w:pPr>
              <w:pStyle w:val="TableTextBold"/>
              <w:spacing w:before="50" w:after="50"/>
              <w:jc w:val="center"/>
              <w:rPr>
                <w:rFonts w:cs="Calibri"/>
                <w:noProof w:val="0"/>
                <w:color w:val="FFFFFF"/>
                <w:szCs w:val="16"/>
              </w:rPr>
            </w:pPr>
            <w:r w:rsidRPr="00BE78CA">
              <w:rPr>
                <w:rFonts w:cs="Calibri"/>
                <w:noProof w:val="0"/>
                <w:color w:val="FFFFFF"/>
                <w:szCs w:val="16"/>
              </w:rPr>
              <w:t>Textile (</w:t>
            </w:r>
            <w:r w:rsidRPr="00BE78CA">
              <w:rPr>
                <w:noProof w:val="0"/>
                <w:color w:val="FFFFFF"/>
              </w:rPr>
              <w:t>%</w:t>
            </w:r>
            <w:r w:rsidRPr="00BE78CA">
              <w:rPr>
                <w:rFonts w:cs="Calibri"/>
                <w:noProof w:val="0"/>
                <w:color w:val="FFFFFF"/>
                <w:szCs w:val="16"/>
              </w:rPr>
              <w:t>)</w:t>
            </w:r>
          </w:p>
        </w:tc>
        <w:tc>
          <w:tcPr>
            <w:tcW w:w="794" w:type="dxa"/>
            <w:tcBorders>
              <w:top w:val="single" w:sz="4" w:space="0" w:color="365F91"/>
              <w:left w:val="nil"/>
              <w:bottom w:val="single" w:sz="4" w:space="0" w:color="365F91"/>
              <w:right w:val="nil"/>
            </w:tcBorders>
            <w:shd w:val="clear" w:color="auto" w:fill="365F91"/>
            <w:vAlign w:val="bottom"/>
            <w:hideMark/>
          </w:tcPr>
          <w:p w14:paraId="0A2FF3DF" w14:textId="77777777" w:rsidR="00FB19C0" w:rsidRPr="00BE78CA" w:rsidRDefault="00FB19C0" w:rsidP="00C26084">
            <w:pPr>
              <w:pStyle w:val="TableTextBold"/>
              <w:spacing w:before="50" w:after="50"/>
              <w:jc w:val="center"/>
              <w:rPr>
                <w:rFonts w:cs="Calibri"/>
                <w:noProof w:val="0"/>
                <w:color w:val="FFFFFF"/>
                <w:szCs w:val="16"/>
              </w:rPr>
            </w:pPr>
            <w:r w:rsidRPr="00BE78CA">
              <w:rPr>
                <w:rFonts w:cs="Calibri"/>
                <w:noProof w:val="0"/>
                <w:color w:val="FFFFFF"/>
                <w:szCs w:val="16"/>
              </w:rPr>
              <w:t>Nappies (</w:t>
            </w:r>
            <w:r w:rsidRPr="00BE78CA">
              <w:rPr>
                <w:noProof w:val="0"/>
                <w:color w:val="FFFFFF"/>
              </w:rPr>
              <w:t>%</w:t>
            </w:r>
            <w:r w:rsidRPr="00BE78CA">
              <w:rPr>
                <w:rFonts w:cs="Calibri"/>
                <w:noProof w:val="0"/>
                <w:color w:val="FFFFFF"/>
                <w:szCs w:val="16"/>
              </w:rPr>
              <w:t>)</w:t>
            </w:r>
          </w:p>
        </w:tc>
        <w:tc>
          <w:tcPr>
            <w:tcW w:w="794" w:type="dxa"/>
            <w:tcBorders>
              <w:top w:val="single" w:sz="4" w:space="0" w:color="365F91"/>
              <w:left w:val="nil"/>
              <w:bottom w:val="single" w:sz="4" w:space="0" w:color="365F91"/>
              <w:right w:val="nil"/>
            </w:tcBorders>
            <w:shd w:val="clear" w:color="auto" w:fill="365F91"/>
          </w:tcPr>
          <w:p w14:paraId="6CAB76CC" w14:textId="77777777" w:rsidR="00FB19C0" w:rsidRPr="00BE78CA" w:rsidRDefault="00FB19C0" w:rsidP="00C26084">
            <w:pPr>
              <w:pStyle w:val="TableTextBold"/>
              <w:spacing w:before="50" w:after="50"/>
              <w:jc w:val="center"/>
              <w:rPr>
                <w:rFonts w:cs="Calibri"/>
                <w:noProof w:val="0"/>
                <w:color w:val="FFFFFF"/>
                <w:szCs w:val="16"/>
              </w:rPr>
            </w:pPr>
            <w:r w:rsidRPr="00BE78CA">
              <w:rPr>
                <w:rFonts w:cs="Calibri"/>
                <w:noProof w:val="0"/>
                <w:color w:val="FFFFFF"/>
                <w:szCs w:val="16"/>
              </w:rPr>
              <w:t>Sludge</w:t>
            </w:r>
            <w:r w:rsidRPr="00BE78CA">
              <w:rPr>
                <w:rFonts w:cs="Calibri"/>
                <w:noProof w:val="0"/>
                <w:color w:val="FFFFFF"/>
                <w:szCs w:val="16"/>
              </w:rPr>
              <w:br/>
              <w:t>(</w:t>
            </w:r>
            <w:r w:rsidRPr="00BE78CA">
              <w:rPr>
                <w:noProof w:val="0"/>
                <w:color w:val="FFFFFF"/>
              </w:rPr>
              <w:t>%</w:t>
            </w:r>
            <w:r w:rsidRPr="00BE78CA">
              <w:rPr>
                <w:rFonts w:cs="Calibri"/>
                <w:noProof w:val="0"/>
                <w:color w:val="FFFFFF"/>
                <w:szCs w:val="16"/>
              </w:rPr>
              <w:t>)</w:t>
            </w:r>
          </w:p>
        </w:tc>
        <w:tc>
          <w:tcPr>
            <w:tcW w:w="680" w:type="dxa"/>
            <w:tcBorders>
              <w:top w:val="single" w:sz="4" w:space="0" w:color="365F91"/>
              <w:left w:val="nil"/>
              <w:bottom w:val="single" w:sz="4" w:space="0" w:color="365F91"/>
              <w:right w:val="nil"/>
            </w:tcBorders>
            <w:shd w:val="clear" w:color="auto" w:fill="365F91"/>
            <w:vAlign w:val="bottom"/>
            <w:hideMark/>
          </w:tcPr>
          <w:p w14:paraId="08F95734" w14:textId="77777777" w:rsidR="00FB19C0" w:rsidRPr="00BE78CA" w:rsidRDefault="00FB19C0" w:rsidP="00C26084">
            <w:pPr>
              <w:pStyle w:val="TableTextBold"/>
              <w:spacing w:before="50" w:after="50"/>
              <w:jc w:val="center"/>
              <w:rPr>
                <w:rFonts w:cs="Calibri"/>
                <w:noProof w:val="0"/>
                <w:color w:val="FFFFFF"/>
                <w:szCs w:val="16"/>
              </w:rPr>
            </w:pPr>
            <w:r w:rsidRPr="00BE78CA">
              <w:rPr>
                <w:rFonts w:cs="Calibri"/>
                <w:noProof w:val="0"/>
                <w:color w:val="FFFFFF"/>
                <w:szCs w:val="16"/>
              </w:rPr>
              <w:t>Inert (</w:t>
            </w:r>
            <w:r w:rsidRPr="00BE78CA">
              <w:rPr>
                <w:noProof w:val="0"/>
                <w:color w:val="FFFFFF"/>
              </w:rPr>
              <w:t>%</w:t>
            </w:r>
            <w:r w:rsidRPr="00BE78CA">
              <w:rPr>
                <w:rFonts w:cs="Calibri"/>
                <w:noProof w:val="0"/>
                <w:color w:val="FFFFFF"/>
                <w:szCs w:val="16"/>
              </w:rPr>
              <w:t>)</w:t>
            </w:r>
          </w:p>
        </w:tc>
        <w:tc>
          <w:tcPr>
            <w:tcW w:w="1985" w:type="dxa"/>
            <w:tcBorders>
              <w:top w:val="single" w:sz="4" w:space="0" w:color="365F91"/>
              <w:left w:val="nil"/>
              <w:bottom w:val="single" w:sz="4" w:space="0" w:color="365F91"/>
              <w:right w:val="nil"/>
            </w:tcBorders>
            <w:shd w:val="clear" w:color="auto" w:fill="365F91"/>
            <w:vAlign w:val="bottom"/>
            <w:hideMark/>
          </w:tcPr>
          <w:p w14:paraId="60932E32" w14:textId="77777777" w:rsidR="00FB19C0" w:rsidRPr="00BE78CA" w:rsidRDefault="00FB19C0" w:rsidP="00C26084">
            <w:pPr>
              <w:pStyle w:val="TableTextBold"/>
              <w:spacing w:before="50" w:after="50"/>
              <w:rPr>
                <w:rFonts w:cs="Calibri"/>
                <w:noProof w:val="0"/>
                <w:color w:val="FFFFFF"/>
                <w:szCs w:val="16"/>
              </w:rPr>
            </w:pPr>
            <w:r w:rsidRPr="00BE78CA">
              <w:rPr>
                <w:rFonts w:cs="Calibri"/>
                <w:noProof w:val="0"/>
                <w:color w:val="FFFFFF"/>
                <w:szCs w:val="16"/>
              </w:rPr>
              <w:t>Notes</w:t>
            </w:r>
          </w:p>
        </w:tc>
      </w:tr>
      <w:tr w:rsidR="00FB19C0" w:rsidRPr="00BE78CA" w14:paraId="284AE598" w14:textId="77777777" w:rsidTr="00C26084">
        <w:tc>
          <w:tcPr>
            <w:tcW w:w="964" w:type="dxa"/>
            <w:tcBorders>
              <w:top w:val="single" w:sz="4" w:space="0" w:color="365F91"/>
              <w:left w:val="nil"/>
              <w:bottom w:val="single" w:sz="4" w:space="0" w:color="365F91"/>
              <w:right w:val="nil"/>
            </w:tcBorders>
            <w:hideMark/>
          </w:tcPr>
          <w:p w14:paraId="46A6DB48" w14:textId="77777777" w:rsidR="00FB19C0" w:rsidRPr="00BE78CA" w:rsidRDefault="00FB19C0" w:rsidP="00C26084">
            <w:pPr>
              <w:pStyle w:val="TableTextBold"/>
              <w:spacing w:before="50" w:after="50"/>
              <w:rPr>
                <w:rFonts w:cs="Calibri"/>
                <w:noProof w:val="0"/>
                <w:szCs w:val="16"/>
              </w:rPr>
            </w:pPr>
            <w:r w:rsidRPr="00BE78CA">
              <w:rPr>
                <w:rFonts w:cs="Calibri"/>
                <w:noProof w:val="0"/>
                <w:szCs w:val="16"/>
              </w:rPr>
              <w:t>1950–60</w:t>
            </w:r>
          </w:p>
        </w:tc>
        <w:tc>
          <w:tcPr>
            <w:tcW w:w="737" w:type="dxa"/>
            <w:tcBorders>
              <w:top w:val="single" w:sz="4" w:space="0" w:color="365F91"/>
              <w:left w:val="nil"/>
              <w:bottom w:val="single" w:sz="4" w:space="0" w:color="365F91"/>
              <w:right w:val="nil"/>
            </w:tcBorders>
            <w:hideMark/>
          </w:tcPr>
          <w:p w14:paraId="0A3742CF" w14:textId="77777777" w:rsidR="00FB19C0" w:rsidRPr="00BE78CA" w:rsidRDefault="00FB19C0" w:rsidP="00C26084">
            <w:pPr>
              <w:pStyle w:val="TableText"/>
              <w:spacing w:before="50" w:after="50"/>
              <w:jc w:val="center"/>
              <w:rPr>
                <w:rFonts w:cs="Calibri"/>
                <w:szCs w:val="16"/>
              </w:rPr>
            </w:pPr>
            <w:r w:rsidRPr="00BE78CA">
              <w:t>17.2</w:t>
            </w:r>
          </w:p>
        </w:tc>
        <w:tc>
          <w:tcPr>
            <w:tcW w:w="794" w:type="dxa"/>
            <w:tcBorders>
              <w:top w:val="single" w:sz="4" w:space="0" w:color="365F91"/>
              <w:left w:val="nil"/>
              <w:bottom w:val="single" w:sz="4" w:space="0" w:color="365F91"/>
              <w:right w:val="nil"/>
            </w:tcBorders>
            <w:hideMark/>
          </w:tcPr>
          <w:p w14:paraId="050AB706" w14:textId="77777777" w:rsidR="00FB19C0" w:rsidRPr="00BE78CA" w:rsidRDefault="00FB19C0" w:rsidP="00C26084">
            <w:pPr>
              <w:pStyle w:val="TableText"/>
              <w:spacing w:before="50" w:after="50"/>
              <w:jc w:val="center"/>
              <w:rPr>
                <w:rFonts w:cs="Calibri"/>
                <w:szCs w:val="16"/>
              </w:rPr>
            </w:pPr>
            <w:r w:rsidRPr="00BE78CA">
              <w:t>11.0</w:t>
            </w:r>
          </w:p>
        </w:tc>
        <w:tc>
          <w:tcPr>
            <w:tcW w:w="794" w:type="dxa"/>
            <w:tcBorders>
              <w:top w:val="single" w:sz="4" w:space="0" w:color="365F91"/>
              <w:left w:val="nil"/>
              <w:bottom w:val="single" w:sz="4" w:space="0" w:color="365F91"/>
              <w:right w:val="nil"/>
            </w:tcBorders>
            <w:hideMark/>
          </w:tcPr>
          <w:p w14:paraId="071C2106" w14:textId="77777777" w:rsidR="00FB19C0" w:rsidRPr="00BE78CA" w:rsidRDefault="00FB19C0" w:rsidP="00C26084">
            <w:pPr>
              <w:pStyle w:val="TableText"/>
              <w:spacing w:before="50" w:after="50"/>
              <w:jc w:val="center"/>
              <w:rPr>
                <w:rFonts w:cs="Calibri"/>
                <w:szCs w:val="16"/>
              </w:rPr>
            </w:pPr>
            <w:r w:rsidRPr="00BE78CA">
              <w:t>16.3</w:t>
            </w:r>
          </w:p>
        </w:tc>
        <w:tc>
          <w:tcPr>
            <w:tcW w:w="680" w:type="dxa"/>
            <w:tcBorders>
              <w:top w:val="single" w:sz="4" w:space="0" w:color="365F91"/>
              <w:left w:val="nil"/>
              <w:bottom w:val="single" w:sz="4" w:space="0" w:color="365F91"/>
              <w:right w:val="nil"/>
            </w:tcBorders>
            <w:hideMark/>
          </w:tcPr>
          <w:p w14:paraId="5D2B8D5D" w14:textId="77777777" w:rsidR="00FB19C0" w:rsidRPr="00BE78CA" w:rsidRDefault="00FB19C0" w:rsidP="00C26084">
            <w:pPr>
              <w:pStyle w:val="TableText"/>
              <w:spacing w:before="50" w:after="50"/>
              <w:jc w:val="center"/>
              <w:rPr>
                <w:rFonts w:cs="Calibri"/>
                <w:szCs w:val="16"/>
              </w:rPr>
            </w:pPr>
            <w:r w:rsidRPr="00BE78CA">
              <w:t>7.1</w:t>
            </w:r>
          </w:p>
        </w:tc>
        <w:tc>
          <w:tcPr>
            <w:tcW w:w="794" w:type="dxa"/>
            <w:tcBorders>
              <w:top w:val="single" w:sz="4" w:space="0" w:color="365F91"/>
              <w:left w:val="nil"/>
              <w:bottom w:val="single" w:sz="4" w:space="0" w:color="365F91"/>
              <w:right w:val="nil"/>
            </w:tcBorders>
            <w:hideMark/>
          </w:tcPr>
          <w:p w14:paraId="6ADB0CBD" w14:textId="77777777" w:rsidR="00FB19C0" w:rsidRPr="00BE78CA" w:rsidRDefault="00FB19C0" w:rsidP="00C26084">
            <w:pPr>
              <w:pStyle w:val="TableText"/>
              <w:spacing w:before="50" w:after="50"/>
              <w:jc w:val="center"/>
              <w:rPr>
                <w:rFonts w:cs="Calibri"/>
                <w:szCs w:val="16"/>
              </w:rPr>
            </w:pPr>
            <w:r w:rsidRPr="00BE78CA">
              <w:t>0.5</w:t>
            </w:r>
          </w:p>
        </w:tc>
        <w:tc>
          <w:tcPr>
            <w:tcW w:w="794" w:type="dxa"/>
            <w:tcBorders>
              <w:top w:val="single" w:sz="4" w:space="0" w:color="365F91"/>
              <w:left w:val="nil"/>
              <w:bottom w:val="single" w:sz="4" w:space="0" w:color="365F91"/>
              <w:right w:val="nil"/>
            </w:tcBorders>
            <w:hideMark/>
          </w:tcPr>
          <w:p w14:paraId="70849456" w14:textId="77777777" w:rsidR="00FB19C0" w:rsidRPr="00BE78CA" w:rsidRDefault="00FB19C0" w:rsidP="00C26084">
            <w:pPr>
              <w:pStyle w:val="TableText"/>
              <w:spacing w:before="50" w:after="50"/>
              <w:jc w:val="center"/>
              <w:rPr>
                <w:rFonts w:cs="Calibri"/>
                <w:szCs w:val="16"/>
              </w:rPr>
            </w:pPr>
            <w:r w:rsidRPr="00BE78CA">
              <w:t>0.0</w:t>
            </w:r>
          </w:p>
        </w:tc>
        <w:tc>
          <w:tcPr>
            <w:tcW w:w="794" w:type="dxa"/>
            <w:tcBorders>
              <w:top w:val="single" w:sz="4" w:space="0" w:color="365F91"/>
              <w:left w:val="nil"/>
              <w:bottom w:val="single" w:sz="4" w:space="0" w:color="365F91"/>
              <w:right w:val="nil"/>
            </w:tcBorders>
          </w:tcPr>
          <w:p w14:paraId="293B93D1" w14:textId="77777777" w:rsidR="00FB19C0" w:rsidRPr="00BE78CA" w:rsidRDefault="00FB19C0" w:rsidP="00C26084">
            <w:pPr>
              <w:pStyle w:val="TableText"/>
              <w:spacing w:before="50" w:after="50"/>
              <w:jc w:val="center"/>
              <w:rPr>
                <w:rFonts w:cs="Calibri"/>
                <w:szCs w:val="16"/>
              </w:rPr>
            </w:pPr>
            <w:r w:rsidRPr="00BE78CA">
              <w:t>2.9</w:t>
            </w:r>
          </w:p>
        </w:tc>
        <w:tc>
          <w:tcPr>
            <w:tcW w:w="680" w:type="dxa"/>
            <w:tcBorders>
              <w:top w:val="single" w:sz="4" w:space="0" w:color="365F91"/>
              <w:left w:val="nil"/>
              <w:bottom w:val="single" w:sz="4" w:space="0" w:color="365F91"/>
              <w:right w:val="nil"/>
            </w:tcBorders>
            <w:hideMark/>
          </w:tcPr>
          <w:p w14:paraId="6DA2740B" w14:textId="77777777" w:rsidR="00FB19C0" w:rsidRPr="00BE78CA" w:rsidRDefault="00FB19C0" w:rsidP="00C26084">
            <w:pPr>
              <w:pStyle w:val="TableText"/>
              <w:spacing w:before="50" w:after="50"/>
              <w:jc w:val="center"/>
              <w:rPr>
                <w:rFonts w:cs="Calibri"/>
                <w:szCs w:val="16"/>
              </w:rPr>
            </w:pPr>
            <w:r w:rsidRPr="00BE78CA">
              <w:t>45.0</w:t>
            </w:r>
          </w:p>
        </w:tc>
        <w:tc>
          <w:tcPr>
            <w:tcW w:w="1985" w:type="dxa"/>
            <w:tcBorders>
              <w:top w:val="single" w:sz="4" w:space="0" w:color="365F91"/>
              <w:left w:val="nil"/>
              <w:bottom w:val="single" w:sz="4" w:space="0" w:color="365F91"/>
              <w:right w:val="nil"/>
            </w:tcBorders>
            <w:hideMark/>
          </w:tcPr>
          <w:p w14:paraId="0C4AAFE7" w14:textId="77777777" w:rsidR="00FB19C0" w:rsidRPr="00BE78CA" w:rsidRDefault="00FB19C0" w:rsidP="00C26084">
            <w:pPr>
              <w:pStyle w:val="TableText"/>
              <w:spacing w:before="50" w:after="50"/>
              <w:rPr>
                <w:rFonts w:cs="Calibri"/>
                <w:szCs w:val="16"/>
              </w:rPr>
            </w:pPr>
            <w:r w:rsidRPr="00BE78CA">
              <w:rPr>
                <w:rFonts w:cs="Calibri"/>
                <w:szCs w:val="16"/>
              </w:rPr>
              <w:t>No nappies</w:t>
            </w:r>
          </w:p>
        </w:tc>
      </w:tr>
      <w:tr w:rsidR="00FB19C0" w:rsidRPr="00BE78CA" w14:paraId="0D0E1A07" w14:textId="77777777" w:rsidTr="00C26084">
        <w:tc>
          <w:tcPr>
            <w:tcW w:w="964" w:type="dxa"/>
            <w:tcBorders>
              <w:top w:val="single" w:sz="4" w:space="0" w:color="365F91"/>
              <w:left w:val="nil"/>
              <w:bottom w:val="single" w:sz="4" w:space="0" w:color="365F91"/>
              <w:right w:val="nil"/>
            </w:tcBorders>
            <w:hideMark/>
          </w:tcPr>
          <w:p w14:paraId="5C56C64B" w14:textId="77777777" w:rsidR="00FB19C0" w:rsidRPr="00BE78CA" w:rsidRDefault="00FB19C0" w:rsidP="00C26084">
            <w:pPr>
              <w:pStyle w:val="TableTextBold"/>
              <w:spacing w:before="50" w:after="50"/>
              <w:rPr>
                <w:rFonts w:cs="Calibri"/>
                <w:noProof w:val="0"/>
                <w:szCs w:val="16"/>
              </w:rPr>
            </w:pPr>
            <w:r w:rsidRPr="00BE78CA">
              <w:rPr>
                <w:rFonts w:cs="Calibri"/>
                <w:noProof w:val="0"/>
                <w:szCs w:val="16"/>
              </w:rPr>
              <w:t>1961–69</w:t>
            </w:r>
          </w:p>
        </w:tc>
        <w:tc>
          <w:tcPr>
            <w:tcW w:w="737" w:type="dxa"/>
            <w:tcBorders>
              <w:top w:val="single" w:sz="4" w:space="0" w:color="365F91"/>
              <w:left w:val="nil"/>
              <w:bottom w:val="single" w:sz="4" w:space="0" w:color="365F91"/>
              <w:right w:val="nil"/>
            </w:tcBorders>
            <w:hideMark/>
          </w:tcPr>
          <w:p w14:paraId="08020F6E" w14:textId="77777777" w:rsidR="00FB19C0" w:rsidRPr="00BE78CA" w:rsidRDefault="00FB19C0" w:rsidP="00C26084">
            <w:pPr>
              <w:pStyle w:val="TableText"/>
              <w:spacing w:before="50" w:after="50"/>
              <w:jc w:val="center"/>
              <w:rPr>
                <w:rFonts w:cs="Calibri"/>
                <w:szCs w:val="16"/>
              </w:rPr>
            </w:pPr>
            <w:r w:rsidRPr="00BE78CA">
              <w:t>17.2</w:t>
            </w:r>
          </w:p>
        </w:tc>
        <w:tc>
          <w:tcPr>
            <w:tcW w:w="794" w:type="dxa"/>
            <w:tcBorders>
              <w:top w:val="single" w:sz="4" w:space="0" w:color="365F91"/>
              <w:left w:val="nil"/>
              <w:bottom w:val="single" w:sz="4" w:space="0" w:color="365F91"/>
              <w:right w:val="nil"/>
            </w:tcBorders>
            <w:hideMark/>
          </w:tcPr>
          <w:p w14:paraId="52169CD1" w14:textId="77777777" w:rsidR="00FB19C0" w:rsidRPr="00BE78CA" w:rsidRDefault="00FB19C0" w:rsidP="00C26084">
            <w:pPr>
              <w:pStyle w:val="TableText"/>
              <w:spacing w:before="50" w:after="50"/>
              <w:jc w:val="center"/>
              <w:rPr>
                <w:rFonts w:cs="Calibri"/>
                <w:szCs w:val="16"/>
              </w:rPr>
            </w:pPr>
            <w:r w:rsidRPr="00BE78CA">
              <w:t>11.0</w:t>
            </w:r>
          </w:p>
        </w:tc>
        <w:tc>
          <w:tcPr>
            <w:tcW w:w="794" w:type="dxa"/>
            <w:tcBorders>
              <w:top w:val="single" w:sz="4" w:space="0" w:color="365F91"/>
              <w:left w:val="nil"/>
              <w:bottom w:val="single" w:sz="4" w:space="0" w:color="365F91"/>
              <w:right w:val="nil"/>
            </w:tcBorders>
            <w:hideMark/>
          </w:tcPr>
          <w:p w14:paraId="488ADE0F" w14:textId="77777777" w:rsidR="00FB19C0" w:rsidRPr="00BE78CA" w:rsidRDefault="00FB19C0" w:rsidP="00C26084">
            <w:pPr>
              <w:pStyle w:val="TableText"/>
              <w:spacing w:before="50" w:after="50"/>
              <w:jc w:val="center"/>
              <w:rPr>
                <w:rFonts w:cs="Calibri"/>
                <w:szCs w:val="16"/>
              </w:rPr>
            </w:pPr>
            <w:r w:rsidRPr="00BE78CA">
              <w:t>16.3</w:t>
            </w:r>
          </w:p>
        </w:tc>
        <w:tc>
          <w:tcPr>
            <w:tcW w:w="680" w:type="dxa"/>
            <w:tcBorders>
              <w:top w:val="single" w:sz="4" w:space="0" w:color="365F91"/>
              <w:left w:val="nil"/>
              <w:bottom w:val="single" w:sz="4" w:space="0" w:color="365F91"/>
              <w:right w:val="nil"/>
            </w:tcBorders>
            <w:hideMark/>
          </w:tcPr>
          <w:p w14:paraId="1275C104" w14:textId="77777777" w:rsidR="00FB19C0" w:rsidRPr="00BE78CA" w:rsidRDefault="00FB19C0" w:rsidP="00C26084">
            <w:pPr>
              <w:pStyle w:val="TableText"/>
              <w:spacing w:before="50" w:after="50"/>
              <w:jc w:val="center"/>
              <w:rPr>
                <w:rFonts w:cs="Calibri"/>
                <w:szCs w:val="16"/>
              </w:rPr>
            </w:pPr>
            <w:r w:rsidRPr="00BE78CA">
              <w:t>7.1</w:t>
            </w:r>
          </w:p>
        </w:tc>
        <w:tc>
          <w:tcPr>
            <w:tcW w:w="794" w:type="dxa"/>
            <w:tcBorders>
              <w:top w:val="single" w:sz="4" w:space="0" w:color="365F91"/>
              <w:left w:val="nil"/>
              <w:bottom w:val="single" w:sz="4" w:space="0" w:color="365F91"/>
              <w:right w:val="nil"/>
            </w:tcBorders>
            <w:hideMark/>
          </w:tcPr>
          <w:p w14:paraId="4A7A6894" w14:textId="77777777" w:rsidR="00FB19C0" w:rsidRPr="00BE78CA" w:rsidRDefault="00FB19C0" w:rsidP="00C26084">
            <w:pPr>
              <w:pStyle w:val="TableText"/>
              <w:spacing w:before="50" w:after="50"/>
              <w:jc w:val="center"/>
              <w:rPr>
                <w:rFonts w:cs="Calibri"/>
                <w:szCs w:val="16"/>
              </w:rPr>
            </w:pPr>
            <w:r w:rsidRPr="00BE78CA">
              <w:t>0.5</w:t>
            </w:r>
          </w:p>
        </w:tc>
        <w:tc>
          <w:tcPr>
            <w:tcW w:w="794" w:type="dxa"/>
            <w:tcBorders>
              <w:top w:val="single" w:sz="4" w:space="0" w:color="365F91"/>
              <w:left w:val="nil"/>
              <w:bottom w:val="single" w:sz="4" w:space="0" w:color="365F91"/>
              <w:right w:val="nil"/>
            </w:tcBorders>
            <w:hideMark/>
          </w:tcPr>
          <w:p w14:paraId="550AE376" w14:textId="77777777" w:rsidR="00FB19C0" w:rsidRPr="00BE78CA" w:rsidRDefault="00FB19C0" w:rsidP="00C26084">
            <w:pPr>
              <w:pStyle w:val="TableText"/>
              <w:spacing w:before="50" w:after="50"/>
              <w:jc w:val="center"/>
              <w:rPr>
                <w:rFonts w:cs="Calibri"/>
                <w:szCs w:val="16"/>
              </w:rPr>
            </w:pPr>
            <w:r w:rsidRPr="00BE78CA">
              <w:t>1.0</w:t>
            </w:r>
          </w:p>
        </w:tc>
        <w:tc>
          <w:tcPr>
            <w:tcW w:w="794" w:type="dxa"/>
            <w:tcBorders>
              <w:top w:val="single" w:sz="4" w:space="0" w:color="365F91"/>
              <w:left w:val="nil"/>
              <w:bottom w:val="single" w:sz="4" w:space="0" w:color="365F91"/>
              <w:right w:val="nil"/>
            </w:tcBorders>
          </w:tcPr>
          <w:p w14:paraId="1DC4FCB6" w14:textId="77777777" w:rsidR="00FB19C0" w:rsidRPr="00BE78CA" w:rsidRDefault="00FB19C0" w:rsidP="00C26084">
            <w:pPr>
              <w:pStyle w:val="TableText"/>
              <w:spacing w:before="50" w:after="50"/>
              <w:jc w:val="center"/>
              <w:rPr>
                <w:rFonts w:cs="Calibri"/>
                <w:szCs w:val="16"/>
              </w:rPr>
            </w:pPr>
            <w:r w:rsidRPr="00BE78CA">
              <w:t>2.9</w:t>
            </w:r>
          </w:p>
        </w:tc>
        <w:tc>
          <w:tcPr>
            <w:tcW w:w="680" w:type="dxa"/>
            <w:tcBorders>
              <w:top w:val="single" w:sz="4" w:space="0" w:color="365F91"/>
              <w:left w:val="nil"/>
              <w:bottom w:val="single" w:sz="4" w:space="0" w:color="365F91"/>
              <w:right w:val="nil"/>
            </w:tcBorders>
            <w:hideMark/>
          </w:tcPr>
          <w:p w14:paraId="291F999A" w14:textId="77777777" w:rsidR="00FB19C0" w:rsidRPr="00BE78CA" w:rsidRDefault="00FB19C0" w:rsidP="00C26084">
            <w:pPr>
              <w:pStyle w:val="TableText"/>
              <w:spacing w:before="50" w:after="50"/>
              <w:jc w:val="center"/>
              <w:rPr>
                <w:rFonts w:cs="Calibri"/>
                <w:szCs w:val="16"/>
              </w:rPr>
            </w:pPr>
            <w:r w:rsidRPr="00BE78CA">
              <w:t>44.0</w:t>
            </w:r>
          </w:p>
        </w:tc>
        <w:tc>
          <w:tcPr>
            <w:tcW w:w="1985" w:type="dxa"/>
            <w:tcBorders>
              <w:top w:val="single" w:sz="4" w:space="0" w:color="365F91"/>
              <w:left w:val="nil"/>
              <w:bottom w:val="single" w:sz="4" w:space="0" w:color="365F91"/>
              <w:right w:val="nil"/>
            </w:tcBorders>
            <w:hideMark/>
          </w:tcPr>
          <w:p w14:paraId="3C54675C" w14:textId="77777777" w:rsidR="00FB19C0" w:rsidRPr="00BE78CA" w:rsidRDefault="00FB19C0" w:rsidP="00C26084">
            <w:pPr>
              <w:pStyle w:val="TableText"/>
              <w:spacing w:before="50" w:after="50"/>
              <w:rPr>
                <w:rFonts w:cs="Calibri"/>
                <w:szCs w:val="16"/>
              </w:rPr>
            </w:pPr>
            <w:r w:rsidRPr="00BE78CA">
              <w:rPr>
                <w:rFonts w:cs="Calibri"/>
                <w:szCs w:val="16"/>
              </w:rPr>
              <w:t>Interpolation</w:t>
            </w:r>
          </w:p>
        </w:tc>
      </w:tr>
      <w:tr w:rsidR="00FB19C0" w:rsidRPr="00BE78CA" w14:paraId="440916C0" w14:textId="77777777" w:rsidTr="00C26084">
        <w:tc>
          <w:tcPr>
            <w:tcW w:w="964" w:type="dxa"/>
            <w:tcBorders>
              <w:top w:val="single" w:sz="4" w:space="0" w:color="365F91"/>
              <w:left w:val="nil"/>
              <w:bottom w:val="single" w:sz="4" w:space="0" w:color="365F91"/>
              <w:right w:val="nil"/>
            </w:tcBorders>
            <w:hideMark/>
          </w:tcPr>
          <w:p w14:paraId="71093DB4" w14:textId="77777777" w:rsidR="00FB19C0" w:rsidRPr="00BE78CA" w:rsidRDefault="00FB19C0" w:rsidP="00C26084">
            <w:pPr>
              <w:pStyle w:val="TableTextBold"/>
              <w:spacing w:before="50" w:after="50"/>
              <w:rPr>
                <w:rFonts w:cs="Calibri"/>
                <w:noProof w:val="0"/>
                <w:szCs w:val="16"/>
              </w:rPr>
            </w:pPr>
            <w:r w:rsidRPr="00BE78CA">
              <w:rPr>
                <w:rFonts w:cs="Calibri"/>
                <w:noProof w:val="0"/>
                <w:szCs w:val="16"/>
              </w:rPr>
              <w:t>1970–79</w:t>
            </w:r>
          </w:p>
        </w:tc>
        <w:tc>
          <w:tcPr>
            <w:tcW w:w="737" w:type="dxa"/>
            <w:tcBorders>
              <w:top w:val="single" w:sz="4" w:space="0" w:color="365F91"/>
              <w:left w:val="nil"/>
              <w:bottom w:val="single" w:sz="4" w:space="0" w:color="365F91"/>
              <w:right w:val="nil"/>
            </w:tcBorders>
            <w:hideMark/>
          </w:tcPr>
          <w:p w14:paraId="0A912751" w14:textId="77777777" w:rsidR="00FB19C0" w:rsidRPr="00BE78CA" w:rsidRDefault="00FB19C0" w:rsidP="00C26084">
            <w:pPr>
              <w:pStyle w:val="TableText"/>
              <w:spacing w:before="50" w:after="50"/>
              <w:jc w:val="center"/>
              <w:rPr>
                <w:rFonts w:cs="Calibri"/>
                <w:szCs w:val="16"/>
              </w:rPr>
            </w:pPr>
            <w:r w:rsidRPr="00BE78CA">
              <w:t>17.2</w:t>
            </w:r>
          </w:p>
        </w:tc>
        <w:tc>
          <w:tcPr>
            <w:tcW w:w="794" w:type="dxa"/>
            <w:tcBorders>
              <w:top w:val="single" w:sz="4" w:space="0" w:color="365F91"/>
              <w:left w:val="nil"/>
              <w:bottom w:val="single" w:sz="4" w:space="0" w:color="365F91"/>
              <w:right w:val="nil"/>
            </w:tcBorders>
            <w:hideMark/>
          </w:tcPr>
          <w:p w14:paraId="7D9E0AE4" w14:textId="77777777" w:rsidR="00FB19C0" w:rsidRPr="00BE78CA" w:rsidRDefault="00FB19C0" w:rsidP="00C26084">
            <w:pPr>
              <w:pStyle w:val="TableText"/>
              <w:spacing w:before="50" w:after="50"/>
              <w:jc w:val="center"/>
              <w:rPr>
                <w:rFonts w:cs="Calibri"/>
                <w:szCs w:val="16"/>
              </w:rPr>
            </w:pPr>
            <w:r w:rsidRPr="00BE78CA">
              <w:t>11.0</w:t>
            </w:r>
          </w:p>
        </w:tc>
        <w:tc>
          <w:tcPr>
            <w:tcW w:w="794" w:type="dxa"/>
            <w:tcBorders>
              <w:top w:val="single" w:sz="4" w:space="0" w:color="365F91"/>
              <w:left w:val="nil"/>
              <w:bottom w:val="single" w:sz="4" w:space="0" w:color="365F91"/>
              <w:right w:val="nil"/>
            </w:tcBorders>
            <w:hideMark/>
          </w:tcPr>
          <w:p w14:paraId="3314BD12" w14:textId="77777777" w:rsidR="00FB19C0" w:rsidRPr="00BE78CA" w:rsidRDefault="00FB19C0" w:rsidP="00C26084">
            <w:pPr>
              <w:pStyle w:val="TableText"/>
              <w:spacing w:before="50" w:after="50"/>
              <w:jc w:val="center"/>
              <w:rPr>
                <w:rFonts w:cs="Calibri"/>
                <w:szCs w:val="16"/>
              </w:rPr>
            </w:pPr>
            <w:r w:rsidRPr="00BE78CA">
              <w:t>16.3</w:t>
            </w:r>
          </w:p>
        </w:tc>
        <w:tc>
          <w:tcPr>
            <w:tcW w:w="680" w:type="dxa"/>
            <w:tcBorders>
              <w:top w:val="single" w:sz="4" w:space="0" w:color="365F91"/>
              <w:left w:val="nil"/>
              <w:bottom w:val="single" w:sz="4" w:space="0" w:color="365F91"/>
              <w:right w:val="nil"/>
            </w:tcBorders>
            <w:hideMark/>
          </w:tcPr>
          <w:p w14:paraId="3DA63946" w14:textId="77777777" w:rsidR="00FB19C0" w:rsidRPr="00BE78CA" w:rsidRDefault="00FB19C0" w:rsidP="00C26084">
            <w:pPr>
              <w:pStyle w:val="TableText"/>
              <w:spacing w:before="50" w:after="50"/>
              <w:jc w:val="center"/>
              <w:rPr>
                <w:rFonts w:cs="Calibri"/>
                <w:szCs w:val="16"/>
              </w:rPr>
            </w:pPr>
            <w:r w:rsidRPr="00BE78CA">
              <w:t>7.1</w:t>
            </w:r>
          </w:p>
        </w:tc>
        <w:tc>
          <w:tcPr>
            <w:tcW w:w="794" w:type="dxa"/>
            <w:tcBorders>
              <w:top w:val="single" w:sz="4" w:space="0" w:color="365F91"/>
              <w:left w:val="nil"/>
              <w:bottom w:val="single" w:sz="4" w:space="0" w:color="365F91"/>
              <w:right w:val="nil"/>
            </w:tcBorders>
            <w:hideMark/>
          </w:tcPr>
          <w:p w14:paraId="2CF01530" w14:textId="77777777" w:rsidR="00FB19C0" w:rsidRPr="00BE78CA" w:rsidRDefault="00FB19C0" w:rsidP="00C26084">
            <w:pPr>
              <w:pStyle w:val="TableText"/>
              <w:spacing w:before="50" w:after="50"/>
              <w:jc w:val="center"/>
              <w:rPr>
                <w:rFonts w:cs="Calibri"/>
                <w:szCs w:val="16"/>
              </w:rPr>
            </w:pPr>
            <w:r w:rsidRPr="00BE78CA">
              <w:t>0.5</w:t>
            </w:r>
          </w:p>
        </w:tc>
        <w:tc>
          <w:tcPr>
            <w:tcW w:w="794" w:type="dxa"/>
            <w:tcBorders>
              <w:top w:val="single" w:sz="4" w:space="0" w:color="365F91"/>
              <w:left w:val="nil"/>
              <w:bottom w:val="single" w:sz="4" w:space="0" w:color="365F91"/>
              <w:right w:val="nil"/>
            </w:tcBorders>
            <w:hideMark/>
          </w:tcPr>
          <w:p w14:paraId="1169955A" w14:textId="77777777" w:rsidR="00FB19C0" w:rsidRPr="00BE78CA" w:rsidRDefault="00FB19C0" w:rsidP="00C26084">
            <w:pPr>
              <w:pStyle w:val="TableText"/>
              <w:spacing w:before="50" w:after="50"/>
              <w:jc w:val="center"/>
              <w:rPr>
                <w:rFonts w:cs="Calibri"/>
                <w:szCs w:val="16"/>
              </w:rPr>
            </w:pPr>
            <w:r w:rsidRPr="00BE78CA">
              <w:t>2.0</w:t>
            </w:r>
          </w:p>
        </w:tc>
        <w:tc>
          <w:tcPr>
            <w:tcW w:w="794" w:type="dxa"/>
            <w:tcBorders>
              <w:top w:val="single" w:sz="4" w:space="0" w:color="365F91"/>
              <w:left w:val="nil"/>
              <w:bottom w:val="single" w:sz="4" w:space="0" w:color="365F91"/>
              <w:right w:val="nil"/>
            </w:tcBorders>
          </w:tcPr>
          <w:p w14:paraId="1A93590B" w14:textId="77777777" w:rsidR="00FB19C0" w:rsidRPr="00BE78CA" w:rsidRDefault="00FB19C0" w:rsidP="00C26084">
            <w:pPr>
              <w:pStyle w:val="TableText"/>
              <w:spacing w:before="50" w:after="50"/>
              <w:jc w:val="center"/>
              <w:rPr>
                <w:rFonts w:cs="Calibri"/>
                <w:szCs w:val="16"/>
              </w:rPr>
            </w:pPr>
            <w:r w:rsidRPr="00BE78CA">
              <w:t>2.9</w:t>
            </w:r>
          </w:p>
        </w:tc>
        <w:tc>
          <w:tcPr>
            <w:tcW w:w="680" w:type="dxa"/>
            <w:tcBorders>
              <w:top w:val="single" w:sz="4" w:space="0" w:color="365F91"/>
              <w:left w:val="nil"/>
              <w:bottom w:val="single" w:sz="4" w:space="0" w:color="365F91"/>
              <w:right w:val="nil"/>
            </w:tcBorders>
            <w:hideMark/>
          </w:tcPr>
          <w:p w14:paraId="21CBA914" w14:textId="77777777" w:rsidR="00FB19C0" w:rsidRPr="00BE78CA" w:rsidRDefault="00FB19C0" w:rsidP="00C26084">
            <w:pPr>
              <w:pStyle w:val="TableText"/>
              <w:spacing w:before="50" w:after="50"/>
              <w:jc w:val="center"/>
              <w:rPr>
                <w:rFonts w:cs="Calibri"/>
                <w:szCs w:val="16"/>
              </w:rPr>
            </w:pPr>
            <w:r w:rsidRPr="00BE78CA">
              <w:t>43.0</w:t>
            </w:r>
          </w:p>
        </w:tc>
        <w:tc>
          <w:tcPr>
            <w:tcW w:w="1985" w:type="dxa"/>
            <w:tcBorders>
              <w:top w:val="single" w:sz="4" w:space="0" w:color="365F91"/>
              <w:left w:val="nil"/>
              <w:bottom w:val="single" w:sz="4" w:space="0" w:color="365F91"/>
              <w:right w:val="nil"/>
            </w:tcBorders>
            <w:hideMark/>
          </w:tcPr>
          <w:p w14:paraId="1D2232F1" w14:textId="77777777" w:rsidR="00FB19C0" w:rsidRPr="00BE78CA" w:rsidRDefault="00FB19C0" w:rsidP="00C26084">
            <w:pPr>
              <w:pStyle w:val="TableText"/>
              <w:spacing w:before="50" w:after="50"/>
              <w:rPr>
                <w:rFonts w:cs="Calibri"/>
                <w:szCs w:val="16"/>
              </w:rPr>
            </w:pPr>
            <w:r w:rsidRPr="00BE78CA">
              <w:rPr>
                <w:rFonts w:cs="Calibri"/>
                <w:szCs w:val="16"/>
              </w:rPr>
              <w:t>Interpolation</w:t>
            </w:r>
          </w:p>
        </w:tc>
      </w:tr>
      <w:tr w:rsidR="00FB19C0" w:rsidRPr="00BE78CA" w14:paraId="06BF5F54" w14:textId="77777777" w:rsidTr="00C26084">
        <w:tc>
          <w:tcPr>
            <w:tcW w:w="964" w:type="dxa"/>
            <w:tcBorders>
              <w:top w:val="single" w:sz="4" w:space="0" w:color="365F91"/>
              <w:left w:val="nil"/>
              <w:bottom w:val="single" w:sz="4" w:space="0" w:color="365F91"/>
              <w:right w:val="nil"/>
            </w:tcBorders>
            <w:hideMark/>
          </w:tcPr>
          <w:p w14:paraId="2BBA9D5E" w14:textId="77777777" w:rsidR="00FB19C0" w:rsidRPr="00BE78CA" w:rsidRDefault="00FB19C0" w:rsidP="00C26084">
            <w:pPr>
              <w:pStyle w:val="TableTextBold"/>
              <w:spacing w:before="50" w:after="50"/>
              <w:rPr>
                <w:rFonts w:cs="Calibri"/>
                <w:noProof w:val="0"/>
                <w:szCs w:val="16"/>
              </w:rPr>
            </w:pPr>
            <w:r w:rsidRPr="00BE78CA">
              <w:rPr>
                <w:rFonts w:cs="Calibri"/>
                <w:noProof w:val="0"/>
                <w:szCs w:val="16"/>
              </w:rPr>
              <w:t>1980–94</w:t>
            </w:r>
          </w:p>
        </w:tc>
        <w:tc>
          <w:tcPr>
            <w:tcW w:w="737" w:type="dxa"/>
            <w:tcBorders>
              <w:top w:val="single" w:sz="4" w:space="0" w:color="365F91"/>
              <w:left w:val="nil"/>
              <w:bottom w:val="single" w:sz="4" w:space="0" w:color="365F91"/>
              <w:right w:val="nil"/>
            </w:tcBorders>
            <w:hideMark/>
          </w:tcPr>
          <w:p w14:paraId="3133DBEB" w14:textId="77777777" w:rsidR="00FB19C0" w:rsidRPr="00BE78CA" w:rsidRDefault="00FB19C0" w:rsidP="00C26084">
            <w:pPr>
              <w:pStyle w:val="TableText"/>
              <w:spacing w:before="50" w:after="50"/>
              <w:jc w:val="center"/>
              <w:rPr>
                <w:rFonts w:cs="Calibri"/>
                <w:szCs w:val="16"/>
              </w:rPr>
            </w:pPr>
            <w:r w:rsidRPr="00BE78CA">
              <w:t>17.2</w:t>
            </w:r>
          </w:p>
        </w:tc>
        <w:tc>
          <w:tcPr>
            <w:tcW w:w="794" w:type="dxa"/>
            <w:tcBorders>
              <w:top w:val="single" w:sz="4" w:space="0" w:color="365F91"/>
              <w:left w:val="nil"/>
              <w:bottom w:val="single" w:sz="4" w:space="0" w:color="365F91"/>
              <w:right w:val="nil"/>
            </w:tcBorders>
            <w:hideMark/>
          </w:tcPr>
          <w:p w14:paraId="2D8885C3" w14:textId="77777777" w:rsidR="00FB19C0" w:rsidRPr="00BE78CA" w:rsidRDefault="00FB19C0" w:rsidP="00C26084">
            <w:pPr>
              <w:pStyle w:val="TableText"/>
              <w:spacing w:before="50" w:after="50"/>
              <w:jc w:val="center"/>
              <w:rPr>
                <w:rFonts w:cs="Calibri"/>
                <w:szCs w:val="16"/>
              </w:rPr>
            </w:pPr>
            <w:r w:rsidRPr="00BE78CA">
              <w:t>11.0</w:t>
            </w:r>
          </w:p>
        </w:tc>
        <w:tc>
          <w:tcPr>
            <w:tcW w:w="794" w:type="dxa"/>
            <w:tcBorders>
              <w:top w:val="single" w:sz="4" w:space="0" w:color="365F91"/>
              <w:left w:val="nil"/>
              <w:bottom w:val="single" w:sz="4" w:space="0" w:color="365F91"/>
              <w:right w:val="nil"/>
            </w:tcBorders>
            <w:hideMark/>
          </w:tcPr>
          <w:p w14:paraId="698056F0" w14:textId="77777777" w:rsidR="00FB19C0" w:rsidRPr="00BE78CA" w:rsidRDefault="00FB19C0" w:rsidP="00C26084">
            <w:pPr>
              <w:pStyle w:val="TableText"/>
              <w:spacing w:before="50" w:after="50"/>
              <w:jc w:val="center"/>
              <w:rPr>
                <w:rFonts w:cs="Calibri"/>
                <w:szCs w:val="16"/>
              </w:rPr>
            </w:pPr>
            <w:r w:rsidRPr="00BE78CA">
              <w:t>16.3</w:t>
            </w:r>
          </w:p>
        </w:tc>
        <w:tc>
          <w:tcPr>
            <w:tcW w:w="680" w:type="dxa"/>
            <w:tcBorders>
              <w:top w:val="single" w:sz="4" w:space="0" w:color="365F91"/>
              <w:left w:val="nil"/>
              <w:bottom w:val="single" w:sz="4" w:space="0" w:color="365F91"/>
              <w:right w:val="nil"/>
            </w:tcBorders>
            <w:hideMark/>
          </w:tcPr>
          <w:p w14:paraId="7B9431DD" w14:textId="77777777" w:rsidR="00FB19C0" w:rsidRPr="00BE78CA" w:rsidRDefault="00FB19C0" w:rsidP="00C26084">
            <w:pPr>
              <w:pStyle w:val="TableText"/>
              <w:spacing w:before="50" w:after="50"/>
              <w:jc w:val="center"/>
              <w:rPr>
                <w:rFonts w:cs="Calibri"/>
                <w:szCs w:val="16"/>
              </w:rPr>
            </w:pPr>
            <w:r w:rsidRPr="00BE78CA">
              <w:t>7.1</w:t>
            </w:r>
          </w:p>
        </w:tc>
        <w:tc>
          <w:tcPr>
            <w:tcW w:w="794" w:type="dxa"/>
            <w:tcBorders>
              <w:top w:val="single" w:sz="4" w:space="0" w:color="365F91"/>
              <w:left w:val="nil"/>
              <w:bottom w:val="single" w:sz="4" w:space="0" w:color="365F91"/>
              <w:right w:val="nil"/>
            </w:tcBorders>
            <w:hideMark/>
          </w:tcPr>
          <w:p w14:paraId="7F49F513" w14:textId="77777777" w:rsidR="00FB19C0" w:rsidRPr="00BE78CA" w:rsidRDefault="00FB19C0" w:rsidP="00C26084">
            <w:pPr>
              <w:pStyle w:val="TableText"/>
              <w:spacing w:before="50" w:after="50"/>
              <w:jc w:val="center"/>
              <w:rPr>
                <w:rFonts w:cs="Calibri"/>
                <w:szCs w:val="16"/>
              </w:rPr>
            </w:pPr>
            <w:r w:rsidRPr="00BE78CA">
              <w:t>0.5</w:t>
            </w:r>
          </w:p>
        </w:tc>
        <w:tc>
          <w:tcPr>
            <w:tcW w:w="794" w:type="dxa"/>
            <w:tcBorders>
              <w:top w:val="single" w:sz="4" w:space="0" w:color="365F91"/>
              <w:left w:val="nil"/>
              <w:bottom w:val="single" w:sz="4" w:space="0" w:color="365F91"/>
              <w:right w:val="nil"/>
            </w:tcBorders>
            <w:hideMark/>
          </w:tcPr>
          <w:p w14:paraId="534BDB9A" w14:textId="77777777" w:rsidR="00FB19C0" w:rsidRPr="00BE78CA" w:rsidRDefault="00FB19C0" w:rsidP="00C26084">
            <w:pPr>
              <w:pStyle w:val="TableText"/>
              <w:spacing w:before="50" w:after="50"/>
              <w:jc w:val="center"/>
              <w:rPr>
                <w:rFonts w:cs="Calibri"/>
                <w:szCs w:val="16"/>
              </w:rPr>
            </w:pPr>
            <w:r w:rsidRPr="00BE78CA">
              <w:t>2.7</w:t>
            </w:r>
          </w:p>
        </w:tc>
        <w:tc>
          <w:tcPr>
            <w:tcW w:w="794" w:type="dxa"/>
            <w:tcBorders>
              <w:top w:val="single" w:sz="4" w:space="0" w:color="365F91"/>
              <w:left w:val="nil"/>
              <w:bottom w:val="single" w:sz="4" w:space="0" w:color="365F91"/>
              <w:right w:val="nil"/>
            </w:tcBorders>
          </w:tcPr>
          <w:p w14:paraId="20348CF9" w14:textId="77777777" w:rsidR="00FB19C0" w:rsidRPr="00BE78CA" w:rsidRDefault="00FB19C0" w:rsidP="00C26084">
            <w:pPr>
              <w:pStyle w:val="TableText"/>
              <w:spacing w:before="50" w:after="50"/>
              <w:jc w:val="center"/>
              <w:rPr>
                <w:rFonts w:cs="Calibri"/>
                <w:szCs w:val="16"/>
              </w:rPr>
            </w:pPr>
            <w:r w:rsidRPr="00BE78CA">
              <w:t>2.9</w:t>
            </w:r>
          </w:p>
        </w:tc>
        <w:tc>
          <w:tcPr>
            <w:tcW w:w="680" w:type="dxa"/>
            <w:tcBorders>
              <w:top w:val="single" w:sz="4" w:space="0" w:color="365F91"/>
              <w:left w:val="nil"/>
              <w:bottom w:val="single" w:sz="4" w:space="0" w:color="365F91"/>
              <w:right w:val="nil"/>
            </w:tcBorders>
            <w:hideMark/>
          </w:tcPr>
          <w:p w14:paraId="1B10E0C2" w14:textId="77777777" w:rsidR="00FB19C0" w:rsidRPr="00BE78CA" w:rsidRDefault="00FB19C0" w:rsidP="00C26084">
            <w:pPr>
              <w:pStyle w:val="TableText"/>
              <w:spacing w:before="50" w:after="50"/>
              <w:jc w:val="center"/>
              <w:rPr>
                <w:rFonts w:cs="Calibri"/>
                <w:szCs w:val="16"/>
              </w:rPr>
            </w:pPr>
            <w:r w:rsidRPr="00BE78CA">
              <w:t>42.3</w:t>
            </w:r>
          </w:p>
        </w:tc>
        <w:tc>
          <w:tcPr>
            <w:tcW w:w="1985" w:type="dxa"/>
            <w:tcBorders>
              <w:top w:val="single" w:sz="4" w:space="0" w:color="365F91"/>
              <w:left w:val="nil"/>
              <w:bottom w:val="single" w:sz="4" w:space="0" w:color="365F91"/>
              <w:right w:val="nil"/>
            </w:tcBorders>
            <w:hideMark/>
          </w:tcPr>
          <w:p w14:paraId="718B4412" w14:textId="77777777" w:rsidR="00FB19C0" w:rsidRPr="00BE78CA" w:rsidRDefault="00FB19C0" w:rsidP="00C26084">
            <w:pPr>
              <w:pStyle w:val="TableText"/>
              <w:spacing w:before="50" w:after="50"/>
              <w:rPr>
                <w:rFonts w:cs="Calibri"/>
                <w:szCs w:val="16"/>
              </w:rPr>
            </w:pPr>
            <w:r w:rsidRPr="00BE78CA">
              <w:rPr>
                <w:rFonts w:cs="Calibri"/>
                <w:szCs w:val="16"/>
              </w:rPr>
              <w:t>As for 1995</w:t>
            </w:r>
          </w:p>
        </w:tc>
      </w:tr>
      <w:tr w:rsidR="00FB19C0" w:rsidRPr="00BE78CA" w14:paraId="227F8000" w14:textId="77777777" w:rsidTr="00C26084">
        <w:tc>
          <w:tcPr>
            <w:tcW w:w="964" w:type="dxa"/>
            <w:tcBorders>
              <w:top w:val="single" w:sz="4" w:space="0" w:color="365F91"/>
              <w:left w:val="nil"/>
              <w:bottom w:val="single" w:sz="4" w:space="0" w:color="365F91"/>
              <w:right w:val="nil"/>
            </w:tcBorders>
            <w:hideMark/>
          </w:tcPr>
          <w:p w14:paraId="76B8C57F" w14:textId="77777777" w:rsidR="00FB19C0" w:rsidRPr="00BE78CA" w:rsidRDefault="00FB19C0" w:rsidP="00C26084">
            <w:pPr>
              <w:pStyle w:val="TableTextBold"/>
              <w:spacing w:before="50" w:after="50"/>
              <w:rPr>
                <w:rFonts w:cs="Calibri"/>
                <w:noProof w:val="0"/>
                <w:szCs w:val="16"/>
              </w:rPr>
            </w:pPr>
            <w:r w:rsidRPr="00BE78CA">
              <w:rPr>
                <w:rFonts w:cs="Calibri"/>
                <w:noProof w:val="0"/>
                <w:szCs w:val="16"/>
              </w:rPr>
              <w:t>1995</w:t>
            </w:r>
          </w:p>
        </w:tc>
        <w:tc>
          <w:tcPr>
            <w:tcW w:w="737" w:type="dxa"/>
            <w:tcBorders>
              <w:top w:val="single" w:sz="4" w:space="0" w:color="365F91"/>
              <w:left w:val="nil"/>
              <w:bottom w:val="single" w:sz="4" w:space="0" w:color="365F91"/>
              <w:right w:val="nil"/>
            </w:tcBorders>
            <w:hideMark/>
          </w:tcPr>
          <w:p w14:paraId="297D8AE1" w14:textId="77777777" w:rsidR="00FB19C0" w:rsidRPr="00BE78CA" w:rsidRDefault="00FB19C0" w:rsidP="00C26084">
            <w:pPr>
              <w:pStyle w:val="TableText"/>
              <w:spacing w:before="50" w:after="50"/>
              <w:jc w:val="center"/>
              <w:rPr>
                <w:rFonts w:cs="Calibri"/>
                <w:szCs w:val="16"/>
              </w:rPr>
            </w:pPr>
            <w:r w:rsidRPr="00BE78CA">
              <w:t>17.2</w:t>
            </w:r>
          </w:p>
        </w:tc>
        <w:tc>
          <w:tcPr>
            <w:tcW w:w="794" w:type="dxa"/>
            <w:tcBorders>
              <w:top w:val="single" w:sz="4" w:space="0" w:color="365F91"/>
              <w:left w:val="nil"/>
              <w:bottom w:val="single" w:sz="4" w:space="0" w:color="365F91"/>
              <w:right w:val="nil"/>
            </w:tcBorders>
            <w:hideMark/>
          </w:tcPr>
          <w:p w14:paraId="5045A963" w14:textId="77777777" w:rsidR="00FB19C0" w:rsidRPr="00BE78CA" w:rsidRDefault="00FB19C0" w:rsidP="00C26084">
            <w:pPr>
              <w:pStyle w:val="TableText"/>
              <w:spacing w:before="50" w:after="50"/>
              <w:jc w:val="center"/>
              <w:rPr>
                <w:rFonts w:cs="Calibri"/>
                <w:szCs w:val="16"/>
              </w:rPr>
            </w:pPr>
            <w:r w:rsidRPr="00BE78CA">
              <w:t>11.0</w:t>
            </w:r>
          </w:p>
        </w:tc>
        <w:tc>
          <w:tcPr>
            <w:tcW w:w="794" w:type="dxa"/>
            <w:tcBorders>
              <w:top w:val="single" w:sz="4" w:space="0" w:color="365F91"/>
              <w:left w:val="nil"/>
              <w:bottom w:val="single" w:sz="4" w:space="0" w:color="365F91"/>
              <w:right w:val="nil"/>
            </w:tcBorders>
            <w:hideMark/>
          </w:tcPr>
          <w:p w14:paraId="1B801807" w14:textId="77777777" w:rsidR="00FB19C0" w:rsidRPr="00BE78CA" w:rsidRDefault="00FB19C0" w:rsidP="00C26084">
            <w:pPr>
              <w:pStyle w:val="TableText"/>
              <w:spacing w:before="50" w:after="50"/>
              <w:jc w:val="center"/>
              <w:rPr>
                <w:rFonts w:cs="Calibri"/>
                <w:szCs w:val="16"/>
              </w:rPr>
            </w:pPr>
            <w:r w:rsidRPr="00BE78CA">
              <w:t>16.3</w:t>
            </w:r>
          </w:p>
        </w:tc>
        <w:tc>
          <w:tcPr>
            <w:tcW w:w="680" w:type="dxa"/>
            <w:tcBorders>
              <w:top w:val="single" w:sz="4" w:space="0" w:color="365F91"/>
              <w:left w:val="nil"/>
              <w:bottom w:val="single" w:sz="4" w:space="0" w:color="365F91"/>
              <w:right w:val="nil"/>
            </w:tcBorders>
            <w:hideMark/>
          </w:tcPr>
          <w:p w14:paraId="1C268EF3" w14:textId="77777777" w:rsidR="00FB19C0" w:rsidRPr="00BE78CA" w:rsidRDefault="00FB19C0" w:rsidP="00C26084">
            <w:pPr>
              <w:pStyle w:val="TableText"/>
              <w:spacing w:before="50" w:after="50"/>
              <w:jc w:val="center"/>
              <w:rPr>
                <w:rFonts w:cs="Calibri"/>
                <w:szCs w:val="16"/>
              </w:rPr>
            </w:pPr>
            <w:r w:rsidRPr="00BE78CA">
              <w:t>7.1</w:t>
            </w:r>
          </w:p>
        </w:tc>
        <w:tc>
          <w:tcPr>
            <w:tcW w:w="794" w:type="dxa"/>
            <w:tcBorders>
              <w:top w:val="single" w:sz="4" w:space="0" w:color="365F91"/>
              <w:left w:val="nil"/>
              <w:bottom w:val="single" w:sz="4" w:space="0" w:color="365F91"/>
              <w:right w:val="nil"/>
            </w:tcBorders>
            <w:hideMark/>
          </w:tcPr>
          <w:p w14:paraId="0E46C1EB" w14:textId="77777777" w:rsidR="00FB19C0" w:rsidRPr="00BE78CA" w:rsidRDefault="00FB19C0" w:rsidP="00C26084">
            <w:pPr>
              <w:pStyle w:val="TableText"/>
              <w:spacing w:before="50" w:after="50"/>
              <w:jc w:val="center"/>
              <w:rPr>
                <w:rFonts w:cs="Calibri"/>
                <w:szCs w:val="16"/>
              </w:rPr>
            </w:pPr>
            <w:r w:rsidRPr="00BE78CA">
              <w:t>0.5</w:t>
            </w:r>
          </w:p>
        </w:tc>
        <w:tc>
          <w:tcPr>
            <w:tcW w:w="794" w:type="dxa"/>
            <w:tcBorders>
              <w:top w:val="single" w:sz="4" w:space="0" w:color="365F91"/>
              <w:left w:val="nil"/>
              <w:bottom w:val="single" w:sz="4" w:space="0" w:color="365F91"/>
              <w:right w:val="nil"/>
            </w:tcBorders>
            <w:hideMark/>
          </w:tcPr>
          <w:p w14:paraId="4B8A0C58" w14:textId="77777777" w:rsidR="00FB19C0" w:rsidRPr="00BE78CA" w:rsidRDefault="00FB19C0" w:rsidP="00C26084">
            <w:pPr>
              <w:pStyle w:val="TableText"/>
              <w:spacing w:before="50" w:after="50"/>
              <w:jc w:val="center"/>
              <w:rPr>
                <w:rFonts w:cs="Calibri"/>
                <w:szCs w:val="16"/>
              </w:rPr>
            </w:pPr>
            <w:r w:rsidRPr="00BE78CA">
              <w:t>2.7</w:t>
            </w:r>
          </w:p>
        </w:tc>
        <w:tc>
          <w:tcPr>
            <w:tcW w:w="794" w:type="dxa"/>
            <w:tcBorders>
              <w:top w:val="single" w:sz="4" w:space="0" w:color="365F91"/>
              <w:left w:val="nil"/>
              <w:bottom w:val="single" w:sz="4" w:space="0" w:color="365F91"/>
              <w:right w:val="nil"/>
            </w:tcBorders>
          </w:tcPr>
          <w:p w14:paraId="0A0859BF" w14:textId="77777777" w:rsidR="00FB19C0" w:rsidRPr="00BE78CA" w:rsidRDefault="00FB19C0" w:rsidP="00C26084">
            <w:pPr>
              <w:pStyle w:val="TableText"/>
              <w:spacing w:before="50" w:after="50"/>
              <w:jc w:val="center"/>
              <w:rPr>
                <w:rFonts w:cs="Calibri"/>
                <w:szCs w:val="16"/>
              </w:rPr>
            </w:pPr>
            <w:r w:rsidRPr="00BE78CA">
              <w:t>2.9</w:t>
            </w:r>
          </w:p>
        </w:tc>
        <w:tc>
          <w:tcPr>
            <w:tcW w:w="680" w:type="dxa"/>
            <w:tcBorders>
              <w:top w:val="single" w:sz="4" w:space="0" w:color="365F91"/>
              <w:left w:val="nil"/>
              <w:bottom w:val="single" w:sz="4" w:space="0" w:color="365F91"/>
              <w:right w:val="nil"/>
            </w:tcBorders>
            <w:hideMark/>
          </w:tcPr>
          <w:p w14:paraId="7D67BCB0" w14:textId="77777777" w:rsidR="00FB19C0" w:rsidRPr="00BE78CA" w:rsidRDefault="00FB19C0" w:rsidP="00C26084">
            <w:pPr>
              <w:pStyle w:val="TableText"/>
              <w:spacing w:before="50" w:after="50"/>
              <w:jc w:val="center"/>
              <w:rPr>
                <w:rFonts w:cs="Calibri"/>
                <w:szCs w:val="16"/>
              </w:rPr>
            </w:pPr>
            <w:r w:rsidRPr="00BE78CA">
              <w:t>42.3</w:t>
            </w:r>
          </w:p>
        </w:tc>
        <w:tc>
          <w:tcPr>
            <w:tcW w:w="1985" w:type="dxa"/>
            <w:tcBorders>
              <w:top w:val="single" w:sz="4" w:space="0" w:color="365F91"/>
              <w:left w:val="nil"/>
              <w:bottom w:val="single" w:sz="4" w:space="0" w:color="365F91"/>
              <w:right w:val="nil"/>
            </w:tcBorders>
            <w:hideMark/>
          </w:tcPr>
          <w:p w14:paraId="0FBEB702" w14:textId="77777777" w:rsidR="00FB19C0" w:rsidRPr="00BE78CA" w:rsidRDefault="00FB19C0" w:rsidP="00C26084">
            <w:pPr>
              <w:pStyle w:val="TableText"/>
              <w:spacing w:before="50" w:after="50"/>
              <w:rPr>
                <w:rFonts w:cs="Calibri"/>
                <w:szCs w:val="16"/>
              </w:rPr>
            </w:pPr>
            <w:r w:rsidRPr="00BE78CA">
              <w:rPr>
                <w:rFonts w:cs="Calibri"/>
                <w:szCs w:val="16"/>
              </w:rPr>
              <w:t>National survey</w:t>
            </w:r>
          </w:p>
        </w:tc>
      </w:tr>
      <w:tr w:rsidR="00FB19C0" w:rsidRPr="00BE78CA" w14:paraId="1A86698B" w14:textId="77777777" w:rsidTr="00C26084">
        <w:tc>
          <w:tcPr>
            <w:tcW w:w="964" w:type="dxa"/>
            <w:tcBorders>
              <w:top w:val="single" w:sz="4" w:space="0" w:color="365F91"/>
              <w:left w:val="nil"/>
              <w:bottom w:val="single" w:sz="4" w:space="0" w:color="365F91"/>
              <w:right w:val="nil"/>
            </w:tcBorders>
            <w:hideMark/>
          </w:tcPr>
          <w:p w14:paraId="105E434A" w14:textId="77777777" w:rsidR="00FB19C0" w:rsidRPr="00BE78CA" w:rsidRDefault="00FB19C0" w:rsidP="00C26084">
            <w:pPr>
              <w:pStyle w:val="TableTextBold"/>
              <w:spacing w:before="50" w:after="50"/>
              <w:rPr>
                <w:rFonts w:cs="Calibri"/>
                <w:noProof w:val="0"/>
                <w:szCs w:val="16"/>
              </w:rPr>
            </w:pPr>
            <w:r w:rsidRPr="00BE78CA">
              <w:rPr>
                <w:rFonts w:cs="Calibri"/>
                <w:noProof w:val="0"/>
                <w:szCs w:val="16"/>
              </w:rPr>
              <w:t>1996</w:t>
            </w:r>
          </w:p>
        </w:tc>
        <w:tc>
          <w:tcPr>
            <w:tcW w:w="737" w:type="dxa"/>
            <w:tcBorders>
              <w:top w:val="single" w:sz="4" w:space="0" w:color="365F91"/>
              <w:left w:val="nil"/>
              <w:bottom w:val="single" w:sz="4" w:space="0" w:color="365F91"/>
              <w:right w:val="nil"/>
            </w:tcBorders>
            <w:hideMark/>
          </w:tcPr>
          <w:p w14:paraId="0B4825B5" w14:textId="77777777" w:rsidR="00FB19C0" w:rsidRPr="00BE78CA" w:rsidRDefault="00FB19C0" w:rsidP="00C26084">
            <w:pPr>
              <w:pStyle w:val="TableText"/>
              <w:spacing w:before="50" w:after="50"/>
              <w:jc w:val="center"/>
              <w:rPr>
                <w:rFonts w:cs="Calibri"/>
                <w:szCs w:val="16"/>
              </w:rPr>
            </w:pPr>
            <w:r w:rsidRPr="00BE78CA">
              <w:t>16.9</w:t>
            </w:r>
          </w:p>
        </w:tc>
        <w:tc>
          <w:tcPr>
            <w:tcW w:w="794" w:type="dxa"/>
            <w:tcBorders>
              <w:top w:val="single" w:sz="4" w:space="0" w:color="365F91"/>
              <w:left w:val="nil"/>
              <w:bottom w:val="single" w:sz="4" w:space="0" w:color="365F91"/>
              <w:right w:val="nil"/>
            </w:tcBorders>
            <w:hideMark/>
          </w:tcPr>
          <w:p w14:paraId="69DB5097" w14:textId="77777777" w:rsidR="00FB19C0" w:rsidRPr="00BE78CA" w:rsidRDefault="00FB19C0" w:rsidP="00C26084">
            <w:pPr>
              <w:pStyle w:val="TableText"/>
              <w:spacing w:before="50" w:after="50"/>
              <w:jc w:val="center"/>
              <w:rPr>
                <w:rFonts w:cs="Calibri"/>
                <w:szCs w:val="16"/>
              </w:rPr>
            </w:pPr>
            <w:r w:rsidRPr="00BE78CA">
              <w:t>10.8</w:t>
            </w:r>
          </w:p>
        </w:tc>
        <w:tc>
          <w:tcPr>
            <w:tcW w:w="794" w:type="dxa"/>
            <w:tcBorders>
              <w:top w:val="single" w:sz="4" w:space="0" w:color="365F91"/>
              <w:left w:val="nil"/>
              <w:bottom w:val="single" w:sz="4" w:space="0" w:color="365F91"/>
              <w:right w:val="nil"/>
            </w:tcBorders>
            <w:hideMark/>
          </w:tcPr>
          <w:p w14:paraId="1DAFA7C5" w14:textId="77777777" w:rsidR="00FB19C0" w:rsidRPr="00BE78CA" w:rsidRDefault="00FB19C0" w:rsidP="00C26084">
            <w:pPr>
              <w:pStyle w:val="TableText"/>
              <w:spacing w:before="50" w:after="50"/>
              <w:jc w:val="center"/>
              <w:rPr>
                <w:rFonts w:cs="Calibri"/>
                <w:szCs w:val="16"/>
              </w:rPr>
            </w:pPr>
            <w:r w:rsidRPr="00BE78CA">
              <w:t>16.1</w:t>
            </w:r>
          </w:p>
        </w:tc>
        <w:tc>
          <w:tcPr>
            <w:tcW w:w="680" w:type="dxa"/>
            <w:tcBorders>
              <w:top w:val="single" w:sz="4" w:space="0" w:color="365F91"/>
              <w:left w:val="nil"/>
              <w:bottom w:val="single" w:sz="4" w:space="0" w:color="365F91"/>
              <w:right w:val="nil"/>
            </w:tcBorders>
            <w:hideMark/>
          </w:tcPr>
          <w:p w14:paraId="76C3EE28" w14:textId="77777777" w:rsidR="00FB19C0" w:rsidRPr="00BE78CA" w:rsidRDefault="00FB19C0" w:rsidP="00C26084">
            <w:pPr>
              <w:pStyle w:val="TableText"/>
              <w:spacing w:before="50" w:after="50"/>
              <w:jc w:val="center"/>
              <w:rPr>
                <w:rFonts w:cs="Calibri"/>
                <w:szCs w:val="16"/>
              </w:rPr>
            </w:pPr>
            <w:r w:rsidRPr="00BE78CA">
              <w:t>7.9</w:t>
            </w:r>
          </w:p>
        </w:tc>
        <w:tc>
          <w:tcPr>
            <w:tcW w:w="794" w:type="dxa"/>
            <w:tcBorders>
              <w:top w:val="single" w:sz="4" w:space="0" w:color="365F91"/>
              <w:left w:val="nil"/>
              <w:bottom w:val="single" w:sz="4" w:space="0" w:color="365F91"/>
              <w:right w:val="nil"/>
            </w:tcBorders>
            <w:hideMark/>
          </w:tcPr>
          <w:p w14:paraId="55945A35" w14:textId="77777777" w:rsidR="00FB19C0" w:rsidRPr="00BE78CA" w:rsidRDefault="00FB19C0" w:rsidP="00C26084">
            <w:pPr>
              <w:pStyle w:val="TableText"/>
              <w:spacing w:before="50" w:after="50"/>
              <w:jc w:val="center"/>
              <w:rPr>
                <w:rFonts w:cs="Calibri"/>
                <w:szCs w:val="16"/>
              </w:rPr>
            </w:pPr>
            <w:r w:rsidRPr="00BE78CA">
              <w:t>0.9</w:t>
            </w:r>
          </w:p>
        </w:tc>
        <w:tc>
          <w:tcPr>
            <w:tcW w:w="794" w:type="dxa"/>
            <w:tcBorders>
              <w:top w:val="single" w:sz="4" w:space="0" w:color="365F91"/>
              <w:left w:val="nil"/>
              <w:bottom w:val="single" w:sz="4" w:space="0" w:color="365F91"/>
              <w:right w:val="nil"/>
            </w:tcBorders>
            <w:hideMark/>
          </w:tcPr>
          <w:p w14:paraId="37558FD3" w14:textId="77777777" w:rsidR="00FB19C0" w:rsidRPr="00BE78CA" w:rsidRDefault="00FB19C0" w:rsidP="00C26084">
            <w:pPr>
              <w:pStyle w:val="TableText"/>
              <w:spacing w:before="50" w:after="50"/>
              <w:jc w:val="center"/>
              <w:rPr>
                <w:rFonts w:cs="Calibri"/>
                <w:szCs w:val="16"/>
              </w:rPr>
            </w:pPr>
            <w:r w:rsidRPr="00BE78CA">
              <w:t>2.7</w:t>
            </w:r>
          </w:p>
        </w:tc>
        <w:tc>
          <w:tcPr>
            <w:tcW w:w="794" w:type="dxa"/>
            <w:tcBorders>
              <w:top w:val="single" w:sz="4" w:space="0" w:color="365F91"/>
              <w:left w:val="nil"/>
              <w:bottom w:val="single" w:sz="4" w:space="0" w:color="365F91"/>
              <w:right w:val="nil"/>
            </w:tcBorders>
          </w:tcPr>
          <w:p w14:paraId="687B730F" w14:textId="77777777" w:rsidR="00FB19C0" w:rsidRPr="00BE78CA" w:rsidRDefault="00FB19C0" w:rsidP="00C26084">
            <w:pPr>
              <w:pStyle w:val="TableText"/>
              <w:spacing w:before="50" w:after="50"/>
              <w:jc w:val="center"/>
              <w:rPr>
                <w:rFonts w:cs="Calibri"/>
                <w:szCs w:val="16"/>
              </w:rPr>
            </w:pPr>
            <w:r w:rsidRPr="00BE78CA">
              <w:t>2.9</w:t>
            </w:r>
          </w:p>
        </w:tc>
        <w:tc>
          <w:tcPr>
            <w:tcW w:w="680" w:type="dxa"/>
            <w:tcBorders>
              <w:top w:val="single" w:sz="4" w:space="0" w:color="365F91"/>
              <w:left w:val="nil"/>
              <w:bottom w:val="single" w:sz="4" w:space="0" w:color="365F91"/>
              <w:right w:val="nil"/>
            </w:tcBorders>
            <w:hideMark/>
          </w:tcPr>
          <w:p w14:paraId="62F9E562" w14:textId="77777777" w:rsidR="00FB19C0" w:rsidRPr="00BE78CA" w:rsidRDefault="00FB19C0" w:rsidP="00C26084">
            <w:pPr>
              <w:pStyle w:val="TableText"/>
              <w:spacing w:before="50" w:after="50"/>
              <w:jc w:val="center"/>
              <w:rPr>
                <w:rFonts w:cs="Calibri"/>
                <w:szCs w:val="16"/>
              </w:rPr>
            </w:pPr>
            <w:r w:rsidRPr="00BE78CA">
              <w:t>41.9</w:t>
            </w:r>
          </w:p>
        </w:tc>
        <w:tc>
          <w:tcPr>
            <w:tcW w:w="1985" w:type="dxa"/>
            <w:tcBorders>
              <w:top w:val="single" w:sz="4" w:space="0" w:color="365F91"/>
              <w:left w:val="nil"/>
              <w:bottom w:val="single" w:sz="4" w:space="0" w:color="365F91"/>
              <w:right w:val="nil"/>
            </w:tcBorders>
            <w:hideMark/>
          </w:tcPr>
          <w:p w14:paraId="27E1BFC3" w14:textId="77777777" w:rsidR="00FB19C0" w:rsidRPr="00BE78CA" w:rsidRDefault="00FB19C0" w:rsidP="00C26084">
            <w:pPr>
              <w:pStyle w:val="TableText"/>
              <w:spacing w:before="50" w:after="50"/>
              <w:rPr>
                <w:rFonts w:cs="Calibri"/>
                <w:szCs w:val="16"/>
              </w:rPr>
            </w:pPr>
            <w:r w:rsidRPr="00BE78CA">
              <w:rPr>
                <w:rFonts w:cs="Calibri"/>
                <w:szCs w:val="16"/>
              </w:rPr>
              <w:t>Interpolation</w:t>
            </w:r>
          </w:p>
        </w:tc>
      </w:tr>
      <w:tr w:rsidR="00FB19C0" w:rsidRPr="00BE78CA" w14:paraId="4971FA75" w14:textId="77777777" w:rsidTr="00C26084">
        <w:tc>
          <w:tcPr>
            <w:tcW w:w="964" w:type="dxa"/>
            <w:tcBorders>
              <w:top w:val="single" w:sz="4" w:space="0" w:color="365F91"/>
              <w:left w:val="nil"/>
              <w:bottom w:val="single" w:sz="4" w:space="0" w:color="365F91"/>
              <w:right w:val="nil"/>
            </w:tcBorders>
            <w:hideMark/>
          </w:tcPr>
          <w:p w14:paraId="318BBAD6" w14:textId="77777777" w:rsidR="00FB19C0" w:rsidRPr="00BE78CA" w:rsidRDefault="00FB19C0" w:rsidP="00C26084">
            <w:pPr>
              <w:pStyle w:val="TableTextBold"/>
              <w:spacing w:before="50" w:after="50"/>
              <w:rPr>
                <w:rFonts w:cs="Calibri"/>
                <w:noProof w:val="0"/>
                <w:szCs w:val="16"/>
              </w:rPr>
            </w:pPr>
            <w:r w:rsidRPr="00BE78CA">
              <w:rPr>
                <w:rFonts w:cs="Calibri"/>
                <w:noProof w:val="0"/>
                <w:szCs w:val="16"/>
              </w:rPr>
              <w:t>1997</w:t>
            </w:r>
          </w:p>
        </w:tc>
        <w:tc>
          <w:tcPr>
            <w:tcW w:w="737" w:type="dxa"/>
            <w:tcBorders>
              <w:top w:val="single" w:sz="4" w:space="0" w:color="365F91"/>
              <w:left w:val="nil"/>
              <w:bottom w:val="single" w:sz="4" w:space="0" w:color="365F91"/>
              <w:right w:val="nil"/>
            </w:tcBorders>
            <w:hideMark/>
          </w:tcPr>
          <w:p w14:paraId="588B6634" w14:textId="77777777" w:rsidR="00FB19C0" w:rsidRPr="00BE78CA" w:rsidRDefault="00FB19C0" w:rsidP="00C26084">
            <w:pPr>
              <w:pStyle w:val="TableText"/>
              <w:spacing w:before="50" w:after="50"/>
              <w:jc w:val="center"/>
              <w:rPr>
                <w:rFonts w:cs="Calibri"/>
                <w:szCs w:val="16"/>
              </w:rPr>
            </w:pPr>
            <w:r w:rsidRPr="00BE78CA">
              <w:t>16.5</w:t>
            </w:r>
          </w:p>
        </w:tc>
        <w:tc>
          <w:tcPr>
            <w:tcW w:w="794" w:type="dxa"/>
            <w:tcBorders>
              <w:top w:val="single" w:sz="4" w:space="0" w:color="365F91"/>
              <w:left w:val="nil"/>
              <w:bottom w:val="single" w:sz="4" w:space="0" w:color="365F91"/>
              <w:right w:val="nil"/>
            </w:tcBorders>
            <w:hideMark/>
          </w:tcPr>
          <w:p w14:paraId="76DCB726" w14:textId="77777777" w:rsidR="00FB19C0" w:rsidRPr="00BE78CA" w:rsidRDefault="00FB19C0" w:rsidP="00C26084">
            <w:pPr>
              <w:pStyle w:val="TableText"/>
              <w:spacing w:before="50" w:after="50"/>
              <w:jc w:val="center"/>
              <w:rPr>
                <w:rFonts w:cs="Calibri"/>
                <w:szCs w:val="16"/>
              </w:rPr>
            </w:pPr>
            <w:r w:rsidRPr="00BE78CA">
              <w:t>10.6</w:t>
            </w:r>
          </w:p>
        </w:tc>
        <w:tc>
          <w:tcPr>
            <w:tcW w:w="794" w:type="dxa"/>
            <w:tcBorders>
              <w:top w:val="single" w:sz="4" w:space="0" w:color="365F91"/>
              <w:left w:val="nil"/>
              <w:bottom w:val="single" w:sz="4" w:space="0" w:color="365F91"/>
              <w:right w:val="nil"/>
            </w:tcBorders>
            <w:hideMark/>
          </w:tcPr>
          <w:p w14:paraId="0C6B19FB" w14:textId="77777777" w:rsidR="00FB19C0" w:rsidRPr="00BE78CA" w:rsidRDefault="00FB19C0" w:rsidP="00C26084">
            <w:pPr>
              <w:pStyle w:val="TableText"/>
              <w:spacing w:before="50" w:after="50"/>
              <w:jc w:val="center"/>
              <w:rPr>
                <w:rFonts w:cs="Calibri"/>
                <w:szCs w:val="16"/>
              </w:rPr>
            </w:pPr>
            <w:r w:rsidRPr="00BE78CA">
              <w:t>16.0</w:t>
            </w:r>
          </w:p>
        </w:tc>
        <w:tc>
          <w:tcPr>
            <w:tcW w:w="680" w:type="dxa"/>
            <w:tcBorders>
              <w:top w:val="single" w:sz="4" w:space="0" w:color="365F91"/>
              <w:left w:val="nil"/>
              <w:bottom w:val="single" w:sz="4" w:space="0" w:color="365F91"/>
              <w:right w:val="nil"/>
            </w:tcBorders>
            <w:hideMark/>
          </w:tcPr>
          <w:p w14:paraId="03D05853" w14:textId="77777777" w:rsidR="00FB19C0" w:rsidRPr="00BE78CA" w:rsidRDefault="00FB19C0" w:rsidP="00C26084">
            <w:pPr>
              <w:pStyle w:val="TableText"/>
              <w:spacing w:before="50" w:after="50"/>
              <w:jc w:val="center"/>
              <w:rPr>
                <w:rFonts w:cs="Calibri"/>
                <w:szCs w:val="16"/>
              </w:rPr>
            </w:pPr>
            <w:r w:rsidRPr="00BE78CA">
              <w:t>8.6</w:t>
            </w:r>
          </w:p>
        </w:tc>
        <w:tc>
          <w:tcPr>
            <w:tcW w:w="794" w:type="dxa"/>
            <w:tcBorders>
              <w:top w:val="single" w:sz="4" w:space="0" w:color="365F91"/>
              <w:left w:val="nil"/>
              <w:bottom w:val="single" w:sz="4" w:space="0" w:color="365F91"/>
              <w:right w:val="nil"/>
            </w:tcBorders>
            <w:hideMark/>
          </w:tcPr>
          <w:p w14:paraId="6AD92D16" w14:textId="77777777" w:rsidR="00FB19C0" w:rsidRPr="00BE78CA" w:rsidRDefault="00FB19C0" w:rsidP="00C26084">
            <w:pPr>
              <w:pStyle w:val="TableText"/>
              <w:spacing w:before="50" w:after="50"/>
              <w:jc w:val="center"/>
              <w:rPr>
                <w:rFonts w:cs="Calibri"/>
                <w:szCs w:val="16"/>
              </w:rPr>
            </w:pPr>
            <w:r w:rsidRPr="00BE78CA">
              <w:t>1.3</w:t>
            </w:r>
          </w:p>
        </w:tc>
        <w:tc>
          <w:tcPr>
            <w:tcW w:w="794" w:type="dxa"/>
            <w:tcBorders>
              <w:top w:val="single" w:sz="4" w:space="0" w:color="365F91"/>
              <w:left w:val="nil"/>
              <w:bottom w:val="single" w:sz="4" w:space="0" w:color="365F91"/>
              <w:right w:val="nil"/>
            </w:tcBorders>
            <w:hideMark/>
          </w:tcPr>
          <w:p w14:paraId="28A38307" w14:textId="77777777" w:rsidR="00FB19C0" w:rsidRPr="00BE78CA" w:rsidRDefault="00FB19C0" w:rsidP="00C26084">
            <w:pPr>
              <w:pStyle w:val="TableText"/>
              <w:spacing w:before="50" w:after="50"/>
              <w:jc w:val="center"/>
              <w:rPr>
                <w:rFonts w:cs="Calibri"/>
                <w:szCs w:val="16"/>
              </w:rPr>
            </w:pPr>
            <w:r w:rsidRPr="00BE78CA">
              <w:t>2.7</w:t>
            </w:r>
          </w:p>
        </w:tc>
        <w:tc>
          <w:tcPr>
            <w:tcW w:w="794" w:type="dxa"/>
            <w:tcBorders>
              <w:top w:val="single" w:sz="4" w:space="0" w:color="365F91"/>
              <w:left w:val="nil"/>
              <w:bottom w:val="single" w:sz="4" w:space="0" w:color="365F91"/>
              <w:right w:val="nil"/>
            </w:tcBorders>
          </w:tcPr>
          <w:p w14:paraId="23E67BE3" w14:textId="77777777" w:rsidR="00FB19C0" w:rsidRPr="00BE78CA" w:rsidRDefault="00FB19C0" w:rsidP="00C26084">
            <w:pPr>
              <w:pStyle w:val="TableText"/>
              <w:spacing w:before="50" w:after="50"/>
              <w:jc w:val="center"/>
              <w:rPr>
                <w:rFonts w:cs="Calibri"/>
                <w:szCs w:val="16"/>
              </w:rPr>
            </w:pPr>
            <w:r w:rsidRPr="00BE78CA">
              <w:t>2.9</w:t>
            </w:r>
          </w:p>
        </w:tc>
        <w:tc>
          <w:tcPr>
            <w:tcW w:w="680" w:type="dxa"/>
            <w:tcBorders>
              <w:top w:val="single" w:sz="4" w:space="0" w:color="365F91"/>
              <w:left w:val="nil"/>
              <w:bottom w:val="single" w:sz="4" w:space="0" w:color="365F91"/>
              <w:right w:val="nil"/>
            </w:tcBorders>
            <w:hideMark/>
          </w:tcPr>
          <w:p w14:paraId="5C2B6CDC" w14:textId="77777777" w:rsidR="00FB19C0" w:rsidRPr="00BE78CA" w:rsidRDefault="00FB19C0" w:rsidP="00C26084">
            <w:pPr>
              <w:pStyle w:val="TableText"/>
              <w:spacing w:before="50" w:after="50"/>
              <w:jc w:val="center"/>
              <w:rPr>
                <w:rFonts w:cs="Calibri"/>
                <w:szCs w:val="16"/>
              </w:rPr>
            </w:pPr>
            <w:r w:rsidRPr="00BE78CA">
              <w:t>41.4</w:t>
            </w:r>
          </w:p>
        </w:tc>
        <w:tc>
          <w:tcPr>
            <w:tcW w:w="1985" w:type="dxa"/>
            <w:tcBorders>
              <w:top w:val="single" w:sz="4" w:space="0" w:color="365F91"/>
              <w:left w:val="nil"/>
              <w:bottom w:val="single" w:sz="4" w:space="0" w:color="365F91"/>
              <w:right w:val="nil"/>
            </w:tcBorders>
            <w:hideMark/>
          </w:tcPr>
          <w:p w14:paraId="08FC1302" w14:textId="77777777" w:rsidR="00FB19C0" w:rsidRPr="00BE78CA" w:rsidRDefault="00FB19C0" w:rsidP="00C26084">
            <w:pPr>
              <w:pStyle w:val="TableText"/>
              <w:spacing w:before="50" w:after="50"/>
              <w:rPr>
                <w:rFonts w:cs="Calibri"/>
                <w:szCs w:val="16"/>
              </w:rPr>
            </w:pPr>
            <w:r w:rsidRPr="00BE78CA">
              <w:rPr>
                <w:rFonts w:cs="Calibri"/>
                <w:szCs w:val="16"/>
              </w:rPr>
              <w:t>Interpolation</w:t>
            </w:r>
          </w:p>
        </w:tc>
      </w:tr>
      <w:tr w:rsidR="00FB19C0" w:rsidRPr="00BE78CA" w14:paraId="57B94895" w14:textId="77777777" w:rsidTr="00C26084">
        <w:tc>
          <w:tcPr>
            <w:tcW w:w="964" w:type="dxa"/>
            <w:tcBorders>
              <w:top w:val="single" w:sz="4" w:space="0" w:color="365F91"/>
              <w:left w:val="nil"/>
              <w:bottom w:val="single" w:sz="4" w:space="0" w:color="365F91"/>
              <w:right w:val="nil"/>
            </w:tcBorders>
            <w:hideMark/>
          </w:tcPr>
          <w:p w14:paraId="34A24654" w14:textId="77777777" w:rsidR="00FB19C0" w:rsidRPr="00BE78CA" w:rsidRDefault="00FB19C0" w:rsidP="00C26084">
            <w:pPr>
              <w:pStyle w:val="TableTextBold"/>
              <w:spacing w:before="50" w:after="50"/>
              <w:rPr>
                <w:rFonts w:cs="Calibri"/>
                <w:noProof w:val="0"/>
                <w:szCs w:val="16"/>
              </w:rPr>
            </w:pPr>
            <w:r w:rsidRPr="00BE78CA">
              <w:rPr>
                <w:rFonts w:cs="Calibri"/>
                <w:noProof w:val="0"/>
                <w:szCs w:val="16"/>
              </w:rPr>
              <w:t>1998</w:t>
            </w:r>
          </w:p>
        </w:tc>
        <w:tc>
          <w:tcPr>
            <w:tcW w:w="737" w:type="dxa"/>
            <w:tcBorders>
              <w:top w:val="single" w:sz="4" w:space="0" w:color="365F91"/>
              <w:left w:val="nil"/>
              <w:bottom w:val="single" w:sz="4" w:space="0" w:color="365F91"/>
              <w:right w:val="nil"/>
            </w:tcBorders>
            <w:hideMark/>
          </w:tcPr>
          <w:p w14:paraId="5070C69A" w14:textId="77777777" w:rsidR="00FB19C0" w:rsidRPr="00BE78CA" w:rsidRDefault="00FB19C0" w:rsidP="00C26084">
            <w:pPr>
              <w:pStyle w:val="TableText"/>
              <w:spacing w:before="50" w:after="50"/>
              <w:jc w:val="center"/>
              <w:rPr>
                <w:rFonts w:cs="Calibri"/>
                <w:szCs w:val="16"/>
              </w:rPr>
            </w:pPr>
            <w:r w:rsidRPr="00BE78CA">
              <w:t>16.2</w:t>
            </w:r>
          </w:p>
        </w:tc>
        <w:tc>
          <w:tcPr>
            <w:tcW w:w="794" w:type="dxa"/>
            <w:tcBorders>
              <w:top w:val="single" w:sz="4" w:space="0" w:color="365F91"/>
              <w:left w:val="nil"/>
              <w:bottom w:val="single" w:sz="4" w:space="0" w:color="365F91"/>
              <w:right w:val="nil"/>
            </w:tcBorders>
            <w:hideMark/>
          </w:tcPr>
          <w:p w14:paraId="117FE3BB" w14:textId="77777777" w:rsidR="00FB19C0" w:rsidRPr="00BE78CA" w:rsidRDefault="00FB19C0" w:rsidP="00C26084">
            <w:pPr>
              <w:pStyle w:val="TableText"/>
              <w:spacing w:before="50" w:after="50"/>
              <w:jc w:val="center"/>
              <w:rPr>
                <w:rFonts w:cs="Calibri"/>
                <w:szCs w:val="16"/>
              </w:rPr>
            </w:pPr>
            <w:r w:rsidRPr="00BE78CA">
              <w:t>10.4</w:t>
            </w:r>
          </w:p>
        </w:tc>
        <w:tc>
          <w:tcPr>
            <w:tcW w:w="794" w:type="dxa"/>
            <w:tcBorders>
              <w:top w:val="single" w:sz="4" w:space="0" w:color="365F91"/>
              <w:left w:val="nil"/>
              <w:bottom w:val="single" w:sz="4" w:space="0" w:color="365F91"/>
              <w:right w:val="nil"/>
            </w:tcBorders>
            <w:hideMark/>
          </w:tcPr>
          <w:p w14:paraId="725031FB" w14:textId="77777777" w:rsidR="00FB19C0" w:rsidRPr="00BE78CA" w:rsidRDefault="00FB19C0" w:rsidP="00C26084">
            <w:pPr>
              <w:pStyle w:val="TableText"/>
              <w:spacing w:before="50" w:after="50"/>
              <w:jc w:val="center"/>
              <w:rPr>
                <w:rFonts w:cs="Calibri"/>
                <w:szCs w:val="16"/>
              </w:rPr>
            </w:pPr>
            <w:r w:rsidRPr="00BE78CA">
              <w:t>15.8</w:t>
            </w:r>
          </w:p>
        </w:tc>
        <w:tc>
          <w:tcPr>
            <w:tcW w:w="680" w:type="dxa"/>
            <w:tcBorders>
              <w:top w:val="single" w:sz="4" w:space="0" w:color="365F91"/>
              <w:left w:val="nil"/>
              <w:bottom w:val="single" w:sz="4" w:space="0" w:color="365F91"/>
              <w:right w:val="nil"/>
            </w:tcBorders>
            <w:hideMark/>
          </w:tcPr>
          <w:p w14:paraId="099A5B1B" w14:textId="77777777" w:rsidR="00FB19C0" w:rsidRPr="00BE78CA" w:rsidRDefault="00FB19C0" w:rsidP="00C26084">
            <w:pPr>
              <w:pStyle w:val="TableText"/>
              <w:spacing w:before="50" w:after="50"/>
              <w:jc w:val="center"/>
              <w:rPr>
                <w:rFonts w:cs="Calibri"/>
                <w:szCs w:val="16"/>
              </w:rPr>
            </w:pPr>
            <w:r w:rsidRPr="00BE78CA">
              <w:t>9.4</w:t>
            </w:r>
          </w:p>
        </w:tc>
        <w:tc>
          <w:tcPr>
            <w:tcW w:w="794" w:type="dxa"/>
            <w:tcBorders>
              <w:top w:val="single" w:sz="4" w:space="0" w:color="365F91"/>
              <w:left w:val="nil"/>
              <w:bottom w:val="single" w:sz="4" w:space="0" w:color="365F91"/>
              <w:right w:val="nil"/>
            </w:tcBorders>
            <w:hideMark/>
          </w:tcPr>
          <w:p w14:paraId="01A5C419" w14:textId="77777777" w:rsidR="00FB19C0" w:rsidRPr="00BE78CA" w:rsidRDefault="00FB19C0" w:rsidP="00C26084">
            <w:pPr>
              <w:pStyle w:val="TableText"/>
              <w:spacing w:before="50" w:after="50"/>
              <w:jc w:val="center"/>
              <w:rPr>
                <w:rFonts w:cs="Calibri"/>
                <w:szCs w:val="16"/>
              </w:rPr>
            </w:pPr>
            <w:r w:rsidRPr="00BE78CA">
              <w:t>1.6</w:t>
            </w:r>
          </w:p>
        </w:tc>
        <w:tc>
          <w:tcPr>
            <w:tcW w:w="794" w:type="dxa"/>
            <w:tcBorders>
              <w:top w:val="single" w:sz="4" w:space="0" w:color="365F91"/>
              <w:left w:val="nil"/>
              <w:bottom w:val="single" w:sz="4" w:space="0" w:color="365F91"/>
              <w:right w:val="nil"/>
            </w:tcBorders>
            <w:hideMark/>
          </w:tcPr>
          <w:p w14:paraId="4F60A9C7" w14:textId="77777777" w:rsidR="00FB19C0" w:rsidRPr="00BE78CA" w:rsidRDefault="00FB19C0" w:rsidP="00C26084">
            <w:pPr>
              <w:pStyle w:val="TableText"/>
              <w:spacing w:before="50" w:after="50"/>
              <w:jc w:val="center"/>
              <w:rPr>
                <w:rFonts w:cs="Calibri"/>
                <w:szCs w:val="16"/>
              </w:rPr>
            </w:pPr>
            <w:r w:rsidRPr="00BE78CA">
              <w:t>2.7</w:t>
            </w:r>
          </w:p>
        </w:tc>
        <w:tc>
          <w:tcPr>
            <w:tcW w:w="794" w:type="dxa"/>
            <w:tcBorders>
              <w:top w:val="single" w:sz="4" w:space="0" w:color="365F91"/>
              <w:left w:val="nil"/>
              <w:bottom w:val="single" w:sz="4" w:space="0" w:color="365F91"/>
              <w:right w:val="nil"/>
            </w:tcBorders>
          </w:tcPr>
          <w:p w14:paraId="4A5E2810" w14:textId="77777777" w:rsidR="00FB19C0" w:rsidRPr="00BE78CA" w:rsidRDefault="00FB19C0" w:rsidP="00C26084">
            <w:pPr>
              <w:pStyle w:val="TableText"/>
              <w:spacing w:before="50" w:after="50"/>
              <w:jc w:val="center"/>
              <w:rPr>
                <w:rFonts w:cs="Calibri"/>
                <w:szCs w:val="16"/>
              </w:rPr>
            </w:pPr>
            <w:r w:rsidRPr="00BE78CA">
              <w:t>2.9</w:t>
            </w:r>
          </w:p>
        </w:tc>
        <w:tc>
          <w:tcPr>
            <w:tcW w:w="680" w:type="dxa"/>
            <w:tcBorders>
              <w:top w:val="single" w:sz="4" w:space="0" w:color="365F91"/>
              <w:left w:val="nil"/>
              <w:bottom w:val="single" w:sz="4" w:space="0" w:color="365F91"/>
              <w:right w:val="nil"/>
            </w:tcBorders>
            <w:hideMark/>
          </w:tcPr>
          <w:p w14:paraId="1933BAEB" w14:textId="77777777" w:rsidR="00FB19C0" w:rsidRPr="00BE78CA" w:rsidRDefault="00FB19C0" w:rsidP="00C26084">
            <w:pPr>
              <w:pStyle w:val="TableText"/>
              <w:spacing w:before="50" w:after="50"/>
              <w:jc w:val="center"/>
              <w:rPr>
                <w:rFonts w:cs="Calibri"/>
                <w:szCs w:val="16"/>
              </w:rPr>
            </w:pPr>
            <w:r w:rsidRPr="00BE78CA">
              <w:t>41.0</w:t>
            </w:r>
          </w:p>
        </w:tc>
        <w:tc>
          <w:tcPr>
            <w:tcW w:w="1985" w:type="dxa"/>
            <w:tcBorders>
              <w:top w:val="single" w:sz="4" w:space="0" w:color="365F91"/>
              <w:left w:val="nil"/>
              <w:bottom w:val="single" w:sz="4" w:space="0" w:color="365F91"/>
              <w:right w:val="nil"/>
            </w:tcBorders>
            <w:hideMark/>
          </w:tcPr>
          <w:p w14:paraId="70967953" w14:textId="77777777" w:rsidR="00FB19C0" w:rsidRPr="00BE78CA" w:rsidRDefault="00FB19C0" w:rsidP="00C26084">
            <w:pPr>
              <w:pStyle w:val="TableText"/>
              <w:spacing w:before="50" w:after="50"/>
              <w:rPr>
                <w:rFonts w:cs="Calibri"/>
                <w:szCs w:val="16"/>
              </w:rPr>
            </w:pPr>
            <w:r w:rsidRPr="00BE78CA">
              <w:rPr>
                <w:rFonts w:cs="Calibri"/>
                <w:szCs w:val="16"/>
              </w:rPr>
              <w:t>Interpolation</w:t>
            </w:r>
          </w:p>
        </w:tc>
      </w:tr>
      <w:tr w:rsidR="00FB19C0" w:rsidRPr="00BE78CA" w14:paraId="031A4D6C" w14:textId="77777777" w:rsidTr="00C26084">
        <w:tc>
          <w:tcPr>
            <w:tcW w:w="964" w:type="dxa"/>
            <w:tcBorders>
              <w:top w:val="single" w:sz="4" w:space="0" w:color="365F91"/>
              <w:left w:val="nil"/>
              <w:bottom w:val="single" w:sz="4" w:space="0" w:color="365F91"/>
              <w:right w:val="nil"/>
            </w:tcBorders>
            <w:hideMark/>
          </w:tcPr>
          <w:p w14:paraId="7A225777" w14:textId="77777777" w:rsidR="00FB19C0" w:rsidRPr="00BE78CA" w:rsidRDefault="00FB19C0" w:rsidP="00C26084">
            <w:pPr>
              <w:pStyle w:val="TableTextBold"/>
              <w:spacing w:before="50" w:after="50"/>
              <w:rPr>
                <w:rFonts w:cs="Calibri"/>
                <w:noProof w:val="0"/>
                <w:szCs w:val="16"/>
              </w:rPr>
            </w:pPr>
            <w:r w:rsidRPr="00BE78CA">
              <w:rPr>
                <w:rFonts w:cs="Calibri"/>
                <w:noProof w:val="0"/>
                <w:szCs w:val="16"/>
              </w:rPr>
              <w:t>1999</w:t>
            </w:r>
          </w:p>
        </w:tc>
        <w:tc>
          <w:tcPr>
            <w:tcW w:w="737" w:type="dxa"/>
            <w:tcBorders>
              <w:top w:val="single" w:sz="4" w:space="0" w:color="365F91"/>
              <w:left w:val="nil"/>
              <w:bottom w:val="single" w:sz="4" w:space="0" w:color="365F91"/>
              <w:right w:val="nil"/>
            </w:tcBorders>
            <w:hideMark/>
          </w:tcPr>
          <w:p w14:paraId="12825A2F" w14:textId="77777777" w:rsidR="00FB19C0" w:rsidRPr="00BE78CA" w:rsidRDefault="00FB19C0" w:rsidP="00C26084">
            <w:pPr>
              <w:pStyle w:val="TableText"/>
              <w:spacing w:before="50" w:after="50"/>
              <w:jc w:val="center"/>
              <w:rPr>
                <w:rFonts w:cs="Calibri"/>
                <w:szCs w:val="16"/>
              </w:rPr>
            </w:pPr>
            <w:r w:rsidRPr="00BE78CA">
              <w:t>15.9</w:t>
            </w:r>
          </w:p>
        </w:tc>
        <w:tc>
          <w:tcPr>
            <w:tcW w:w="794" w:type="dxa"/>
            <w:tcBorders>
              <w:top w:val="single" w:sz="4" w:space="0" w:color="365F91"/>
              <w:left w:val="nil"/>
              <w:bottom w:val="single" w:sz="4" w:space="0" w:color="365F91"/>
              <w:right w:val="nil"/>
            </w:tcBorders>
            <w:hideMark/>
          </w:tcPr>
          <w:p w14:paraId="2DCA6A8F" w14:textId="77777777" w:rsidR="00FB19C0" w:rsidRPr="00BE78CA" w:rsidRDefault="00FB19C0" w:rsidP="00C26084">
            <w:pPr>
              <w:pStyle w:val="TableText"/>
              <w:spacing w:before="50" w:after="50"/>
              <w:jc w:val="center"/>
              <w:rPr>
                <w:rFonts w:cs="Calibri"/>
                <w:szCs w:val="16"/>
              </w:rPr>
            </w:pPr>
            <w:r w:rsidRPr="00BE78CA">
              <w:t>10.1</w:t>
            </w:r>
          </w:p>
        </w:tc>
        <w:tc>
          <w:tcPr>
            <w:tcW w:w="794" w:type="dxa"/>
            <w:tcBorders>
              <w:top w:val="single" w:sz="4" w:space="0" w:color="365F91"/>
              <w:left w:val="nil"/>
              <w:bottom w:val="single" w:sz="4" w:space="0" w:color="365F91"/>
              <w:right w:val="nil"/>
            </w:tcBorders>
            <w:hideMark/>
          </w:tcPr>
          <w:p w14:paraId="4966AD3E" w14:textId="77777777" w:rsidR="00FB19C0" w:rsidRPr="00BE78CA" w:rsidRDefault="00FB19C0" w:rsidP="00C26084">
            <w:pPr>
              <w:pStyle w:val="TableText"/>
              <w:spacing w:before="50" w:after="50"/>
              <w:jc w:val="center"/>
              <w:rPr>
                <w:rFonts w:cs="Calibri"/>
                <w:szCs w:val="16"/>
              </w:rPr>
            </w:pPr>
            <w:r w:rsidRPr="00BE78CA">
              <w:t>15.7</w:t>
            </w:r>
          </w:p>
        </w:tc>
        <w:tc>
          <w:tcPr>
            <w:tcW w:w="680" w:type="dxa"/>
            <w:tcBorders>
              <w:top w:val="single" w:sz="4" w:space="0" w:color="365F91"/>
              <w:left w:val="nil"/>
              <w:bottom w:val="single" w:sz="4" w:space="0" w:color="365F91"/>
              <w:right w:val="nil"/>
            </w:tcBorders>
            <w:hideMark/>
          </w:tcPr>
          <w:p w14:paraId="0310ED55" w14:textId="77777777" w:rsidR="00FB19C0" w:rsidRPr="00BE78CA" w:rsidRDefault="00FB19C0" w:rsidP="00C26084">
            <w:pPr>
              <w:pStyle w:val="TableText"/>
              <w:spacing w:before="50" w:after="50"/>
              <w:jc w:val="center"/>
              <w:rPr>
                <w:rFonts w:cs="Calibri"/>
                <w:szCs w:val="16"/>
              </w:rPr>
            </w:pPr>
            <w:r w:rsidRPr="00BE78CA">
              <w:t>10.1</w:t>
            </w:r>
          </w:p>
        </w:tc>
        <w:tc>
          <w:tcPr>
            <w:tcW w:w="794" w:type="dxa"/>
            <w:tcBorders>
              <w:top w:val="single" w:sz="4" w:space="0" w:color="365F91"/>
              <w:left w:val="nil"/>
              <w:bottom w:val="single" w:sz="4" w:space="0" w:color="365F91"/>
              <w:right w:val="nil"/>
            </w:tcBorders>
            <w:hideMark/>
          </w:tcPr>
          <w:p w14:paraId="3B6D8622" w14:textId="77777777" w:rsidR="00FB19C0" w:rsidRPr="00BE78CA" w:rsidRDefault="00FB19C0" w:rsidP="00C26084">
            <w:pPr>
              <w:pStyle w:val="TableText"/>
              <w:spacing w:before="50" w:after="50"/>
              <w:jc w:val="center"/>
              <w:rPr>
                <w:rFonts w:cs="Calibri"/>
                <w:szCs w:val="16"/>
              </w:rPr>
            </w:pPr>
            <w:r w:rsidRPr="00BE78CA">
              <w:t>2.0</w:t>
            </w:r>
          </w:p>
        </w:tc>
        <w:tc>
          <w:tcPr>
            <w:tcW w:w="794" w:type="dxa"/>
            <w:tcBorders>
              <w:top w:val="single" w:sz="4" w:space="0" w:color="365F91"/>
              <w:left w:val="nil"/>
              <w:bottom w:val="single" w:sz="4" w:space="0" w:color="365F91"/>
              <w:right w:val="nil"/>
            </w:tcBorders>
            <w:hideMark/>
          </w:tcPr>
          <w:p w14:paraId="73BF9F4A" w14:textId="77777777" w:rsidR="00FB19C0" w:rsidRPr="00BE78CA" w:rsidRDefault="00FB19C0" w:rsidP="00C26084">
            <w:pPr>
              <w:pStyle w:val="TableText"/>
              <w:spacing w:before="50" w:after="50"/>
              <w:jc w:val="center"/>
              <w:rPr>
                <w:rFonts w:cs="Calibri"/>
                <w:szCs w:val="16"/>
              </w:rPr>
            </w:pPr>
            <w:r w:rsidRPr="00BE78CA">
              <w:t>2.7</w:t>
            </w:r>
          </w:p>
        </w:tc>
        <w:tc>
          <w:tcPr>
            <w:tcW w:w="794" w:type="dxa"/>
            <w:tcBorders>
              <w:top w:val="single" w:sz="4" w:space="0" w:color="365F91"/>
              <w:left w:val="nil"/>
              <w:bottom w:val="single" w:sz="4" w:space="0" w:color="365F91"/>
              <w:right w:val="nil"/>
            </w:tcBorders>
          </w:tcPr>
          <w:p w14:paraId="194EE208" w14:textId="77777777" w:rsidR="00FB19C0" w:rsidRPr="00BE78CA" w:rsidRDefault="00FB19C0" w:rsidP="00C26084">
            <w:pPr>
              <w:pStyle w:val="TableText"/>
              <w:spacing w:before="50" w:after="50"/>
              <w:jc w:val="center"/>
              <w:rPr>
                <w:rFonts w:cs="Calibri"/>
                <w:szCs w:val="16"/>
              </w:rPr>
            </w:pPr>
            <w:r w:rsidRPr="00BE78CA">
              <w:t>2.9</w:t>
            </w:r>
          </w:p>
        </w:tc>
        <w:tc>
          <w:tcPr>
            <w:tcW w:w="680" w:type="dxa"/>
            <w:tcBorders>
              <w:top w:val="single" w:sz="4" w:space="0" w:color="365F91"/>
              <w:left w:val="nil"/>
              <w:bottom w:val="single" w:sz="4" w:space="0" w:color="365F91"/>
              <w:right w:val="nil"/>
            </w:tcBorders>
            <w:hideMark/>
          </w:tcPr>
          <w:p w14:paraId="02420209" w14:textId="77777777" w:rsidR="00FB19C0" w:rsidRPr="00BE78CA" w:rsidRDefault="00FB19C0" w:rsidP="00C26084">
            <w:pPr>
              <w:pStyle w:val="TableText"/>
              <w:spacing w:before="50" w:after="50"/>
              <w:jc w:val="center"/>
              <w:rPr>
                <w:rFonts w:cs="Calibri"/>
                <w:szCs w:val="16"/>
              </w:rPr>
            </w:pPr>
            <w:r w:rsidRPr="00BE78CA">
              <w:t>40.6</w:t>
            </w:r>
          </w:p>
        </w:tc>
        <w:tc>
          <w:tcPr>
            <w:tcW w:w="1985" w:type="dxa"/>
            <w:tcBorders>
              <w:top w:val="single" w:sz="4" w:space="0" w:color="365F91"/>
              <w:left w:val="nil"/>
              <w:bottom w:val="single" w:sz="4" w:space="0" w:color="365F91"/>
              <w:right w:val="nil"/>
            </w:tcBorders>
            <w:hideMark/>
          </w:tcPr>
          <w:p w14:paraId="3954BE6E" w14:textId="77777777" w:rsidR="00FB19C0" w:rsidRPr="00BE78CA" w:rsidRDefault="00FB19C0" w:rsidP="00C26084">
            <w:pPr>
              <w:pStyle w:val="TableText"/>
              <w:spacing w:before="50" w:after="50"/>
              <w:rPr>
                <w:rFonts w:cs="Calibri"/>
                <w:szCs w:val="16"/>
              </w:rPr>
            </w:pPr>
            <w:r w:rsidRPr="00BE78CA">
              <w:rPr>
                <w:rFonts w:cs="Calibri"/>
                <w:szCs w:val="16"/>
              </w:rPr>
              <w:t>Interpolation</w:t>
            </w:r>
          </w:p>
        </w:tc>
      </w:tr>
      <w:tr w:rsidR="00FB19C0" w:rsidRPr="00BE78CA" w14:paraId="5E598A1F" w14:textId="77777777" w:rsidTr="00C26084">
        <w:tc>
          <w:tcPr>
            <w:tcW w:w="964" w:type="dxa"/>
            <w:tcBorders>
              <w:top w:val="single" w:sz="4" w:space="0" w:color="365F91"/>
              <w:left w:val="nil"/>
              <w:bottom w:val="single" w:sz="4" w:space="0" w:color="365F91"/>
              <w:right w:val="nil"/>
            </w:tcBorders>
            <w:hideMark/>
          </w:tcPr>
          <w:p w14:paraId="2318C8FB" w14:textId="77777777" w:rsidR="00FB19C0" w:rsidRPr="00BE78CA" w:rsidRDefault="00FB19C0" w:rsidP="00C26084">
            <w:pPr>
              <w:pStyle w:val="TableTextBold"/>
              <w:spacing w:before="50" w:after="50"/>
              <w:rPr>
                <w:rFonts w:cs="Calibri"/>
                <w:noProof w:val="0"/>
                <w:szCs w:val="16"/>
              </w:rPr>
            </w:pPr>
            <w:r w:rsidRPr="00BE78CA">
              <w:rPr>
                <w:rFonts w:cs="Calibri"/>
                <w:noProof w:val="0"/>
                <w:szCs w:val="16"/>
              </w:rPr>
              <w:t>2000</w:t>
            </w:r>
          </w:p>
        </w:tc>
        <w:tc>
          <w:tcPr>
            <w:tcW w:w="737" w:type="dxa"/>
            <w:tcBorders>
              <w:top w:val="single" w:sz="4" w:space="0" w:color="365F91"/>
              <w:left w:val="nil"/>
              <w:bottom w:val="single" w:sz="4" w:space="0" w:color="365F91"/>
              <w:right w:val="nil"/>
            </w:tcBorders>
            <w:hideMark/>
          </w:tcPr>
          <w:p w14:paraId="08E30720" w14:textId="77777777" w:rsidR="00FB19C0" w:rsidRPr="00BE78CA" w:rsidRDefault="00FB19C0" w:rsidP="00C26084">
            <w:pPr>
              <w:pStyle w:val="TableText"/>
              <w:spacing w:before="50" w:after="50"/>
              <w:jc w:val="center"/>
              <w:rPr>
                <w:rFonts w:cs="Calibri"/>
                <w:szCs w:val="16"/>
              </w:rPr>
            </w:pPr>
            <w:r w:rsidRPr="00BE78CA">
              <w:t>15.5</w:t>
            </w:r>
          </w:p>
        </w:tc>
        <w:tc>
          <w:tcPr>
            <w:tcW w:w="794" w:type="dxa"/>
            <w:tcBorders>
              <w:top w:val="single" w:sz="4" w:space="0" w:color="365F91"/>
              <w:left w:val="nil"/>
              <w:bottom w:val="single" w:sz="4" w:space="0" w:color="365F91"/>
              <w:right w:val="nil"/>
            </w:tcBorders>
            <w:hideMark/>
          </w:tcPr>
          <w:p w14:paraId="08951B1D" w14:textId="77777777" w:rsidR="00FB19C0" w:rsidRPr="00BE78CA" w:rsidRDefault="00FB19C0" w:rsidP="00C26084">
            <w:pPr>
              <w:pStyle w:val="TableText"/>
              <w:spacing w:before="50" w:after="50"/>
              <w:jc w:val="center"/>
              <w:rPr>
                <w:rFonts w:cs="Calibri"/>
                <w:szCs w:val="16"/>
              </w:rPr>
            </w:pPr>
            <w:r w:rsidRPr="00BE78CA">
              <w:t>9.9</w:t>
            </w:r>
          </w:p>
        </w:tc>
        <w:tc>
          <w:tcPr>
            <w:tcW w:w="794" w:type="dxa"/>
            <w:tcBorders>
              <w:top w:val="single" w:sz="4" w:space="0" w:color="365F91"/>
              <w:left w:val="nil"/>
              <w:bottom w:val="single" w:sz="4" w:space="0" w:color="365F91"/>
              <w:right w:val="nil"/>
            </w:tcBorders>
            <w:hideMark/>
          </w:tcPr>
          <w:p w14:paraId="5B3DDBC2" w14:textId="77777777" w:rsidR="00FB19C0" w:rsidRPr="00BE78CA" w:rsidRDefault="00FB19C0" w:rsidP="00C26084">
            <w:pPr>
              <w:pStyle w:val="TableText"/>
              <w:spacing w:before="50" w:after="50"/>
              <w:jc w:val="center"/>
              <w:rPr>
                <w:rFonts w:cs="Calibri"/>
                <w:szCs w:val="16"/>
              </w:rPr>
            </w:pPr>
            <w:r w:rsidRPr="00BE78CA">
              <w:t>15.5</w:t>
            </w:r>
          </w:p>
        </w:tc>
        <w:tc>
          <w:tcPr>
            <w:tcW w:w="680" w:type="dxa"/>
            <w:tcBorders>
              <w:top w:val="single" w:sz="4" w:space="0" w:color="365F91"/>
              <w:left w:val="nil"/>
              <w:bottom w:val="single" w:sz="4" w:space="0" w:color="365F91"/>
              <w:right w:val="nil"/>
            </w:tcBorders>
            <w:hideMark/>
          </w:tcPr>
          <w:p w14:paraId="6F249277" w14:textId="77777777" w:rsidR="00FB19C0" w:rsidRPr="00BE78CA" w:rsidRDefault="00FB19C0" w:rsidP="00C26084">
            <w:pPr>
              <w:pStyle w:val="TableText"/>
              <w:spacing w:before="50" w:after="50"/>
              <w:jc w:val="center"/>
              <w:rPr>
                <w:rFonts w:cs="Calibri"/>
                <w:szCs w:val="16"/>
              </w:rPr>
            </w:pPr>
            <w:r w:rsidRPr="00BE78CA">
              <w:t>10.9</w:t>
            </w:r>
          </w:p>
        </w:tc>
        <w:tc>
          <w:tcPr>
            <w:tcW w:w="794" w:type="dxa"/>
            <w:tcBorders>
              <w:top w:val="single" w:sz="4" w:space="0" w:color="365F91"/>
              <w:left w:val="nil"/>
              <w:bottom w:val="single" w:sz="4" w:space="0" w:color="365F91"/>
              <w:right w:val="nil"/>
            </w:tcBorders>
            <w:hideMark/>
          </w:tcPr>
          <w:p w14:paraId="6913DC22" w14:textId="77777777" w:rsidR="00FB19C0" w:rsidRPr="00BE78CA" w:rsidRDefault="00FB19C0" w:rsidP="00C26084">
            <w:pPr>
              <w:pStyle w:val="TableText"/>
              <w:spacing w:before="50" w:after="50"/>
              <w:jc w:val="center"/>
              <w:rPr>
                <w:rFonts w:cs="Calibri"/>
                <w:szCs w:val="16"/>
              </w:rPr>
            </w:pPr>
            <w:r w:rsidRPr="00BE78CA">
              <w:t>2.4</w:t>
            </w:r>
          </w:p>
        </w:tc>
        <w:tc>
          <w:tcPr>
            <w:tcW w:w="794" w:type="dxa"/>
            <w:tcBorders>
              <w:top w:val="single" w:sz="4" w:space="0" w:color="365F91"/>
              <w:left w:val="nil"/>
              <w:bottom w:val="single" w:sz="4" w:space="0" w:color="365F91"/>
              <w:right w:val="nil"/>
            </w:tcBorders>
            <w:hideMark/>
          </w:tcPr>
          <w:p w14:paraId="39F0FCC3" w14:textId="77777777" w:rsidR="00FB19C0" w:rsidRPr="00BE78CA" w:rsidRDefault="00FB19C0" w:rsidP="00C26084">
            <w:pPr>
              <w:pStyle w:val="TableText"/>
              <w:spacing w:before="50" w:after="50"/>
              <w:jc w:val="center"/>
              <w:rPr>
                <w:rFonts w:cs="Calibri"/>
                <w:szCs w:val="16"/>
              </w:rPr>
            </w:pPr>
            <w:r w:rsidRPr="00BE78CA">
              <w:t>2.7</w:t>
            </w:r>
          </w:p>
        </w:tc>
        <w:tc>
          <w:tcPr>
            <w:tcW w:w="794" w:type="dxa"/>
            <w:tcBorders>
              <w:top w:val="single" w:sz="4" w:space="0" w:color="365F91"/>
              <w:left w:val="nil"/>
              <w:bottom w:val="single" w:sz="4" w:space="0" w:color="365F91"/>
              <w:right w:val="nil"/>
            </w:tcBorders>
          </w:tcPr>
          <w:p w14:paraId="6D1D9AB5" w14:textId="77777777" w:rsidR="00FB19C0" w:rsidRPr="00BE78CA" w:rsidRDefault="00FB19C0" w:rsidP="00C26084">
            <w:pPr>
              <w:pStyle w:val="TableText"/>
              <w:spacing w:before="50" w:after="50"/>
              <w:jc w:val="center"/>
              <w:rPr>
                <w:rFonts w:cs="Calibri"/>
                <w:szCs w:val="16"/>
              </w:rPr>
            </w:pPr>
            <w:r w:rsidRPr="00BE78CA">
              <w:t>2.9</w:t>
            </w:r>
          </w:p>
        </w:tc>
        <w:tc>
          <w:tcPr>
            <w:tcW w:w="680" w:type="dxa"/>
            <w:tcBorders>
              <w:top w:val="single" w:sz="4" w:space="0" w:color="365F91"/>
              <w:left w:val="nil"/>
              <w:bottom w:val="single" w:sz="4" w:space="0" w:color="365F91"/>
              <w:right w:val="nil"/>
            </w:tcBorders>
            <w:hideMark/>
          </w:tcPr>
          <w:p w14:paraId="23C4F1BD" w14:textId="77777777" w:rsidR="00FB19C0" w:rsidRPr="00BE78CA" w:rsidRDefault="00FB19C0" w:rsidP="00C26084">
            <w:pPr>
              <w:pStyle w:val="TableText"/>
              <w:spacing w:before="50" w:after="50"/>
              <w:jc w:val="center"/>
              <w:rPr>
                <w:rFonts w:cs="Calibri"/>
                <w:szCs w:val="16"/>
              </w:rPr>
            </w:pPr>
            <w:r w:rsidRPr="00BE78CA">
              <w:t>40.1</w:t>
            </w:r>
          </w:p>
        </w:tc>
        <w:tc>
          <w:tcPr>
            <w:tcW w:w="1985" w:type="dxa"/>
            <w:tcBorders>
              <w:top w:val="single" w:sz="4" w:space="0" w:color="365F91"/>
              <w:left w:val="nil"/>
              <w:bottom w:val="single" w:sz="4" w:space="0" w:color="365F91"/>
              <w:right w:val="nil"/>
            </w:tcBorders>
            <w:hideMark/>
          </w:tcPr>
          <w:p w14:paraId="557AAD5C" w14:textId="77777777" w:rsidR="00FB19C0" w:rsidRPr="00BE78CA" w:rsidRDefault="00FB19C0" w:rsidP="00C26084">
            <w:pPr>
              <w:pStyle w:val="TableText"/>
              <w:spacing w:before="50" w:after="50"/>
              <w:rPr>
                <w:rFonts w:cs="Calibri"/>
                <w:szCs w:val="16"/>
              </w:rPr>
            </w:pPr>
            <w:r w:rsidRPr="00BE78CA">
              <w:rPr>
                <w:rFonts w:cs="Calibri"/>
                <w:szCs w:val="16"/>
              </w:rPr>
              <w:t>Interpolation</w:t>
            </w:r>
          </w:p>
        </w:tc>
      </w:tr>
      <w:tr w:rsidR="00FB19C0" w:rsidRPr="00BE78CA" w14:paraId="66DEE5EE" w14:textId="77777777" w:rsidTr="00C26084">
        <w:tc>
          <w:tcPr>
            <w:tcW w:w="964" w:type="dxa"/>
            <w:tcBorders>
              <w:top w:val="single" w:sz="4" w:space="0" w:color="365F91"/>
              <w:left w:val="nil"/>
              <w:bottom w:val="single" w:sz="4" w:space="0" w:color="365F91"/>
              <w:right w:val="nil"/>
            </w:tcBorders>
            <w:hideMark/>
          </w:tcPr>
          <w:p w14:paraId="2C14B017" w14:textId="77777777" w:rsidR="00FB19C0" w:rsidRPr="00BE78CA" w:rsidRDefault="00FB19C0" w:rsidP="00C26084">
            <w:pPr>
              <w:pStyle w:val="TableTextBold"/>
              <w:spacing w:before="50" w:after="50"/>
              <w:rPr>
                <w:rFonts w:cs="Calibri"/>
                <w:noProof w:val="0"/>
                <w:szCs w:val="16"/>
              </w:rPr>
            </w:pPr>
            <w:r w:rsidRPr="00BE78CA">
              <w:rPr>
                <w:rFonts w:cs="Calibri"/>
                <w:noProof w:val="0"/>
                <w:szCs w:val="16"/>
              </w:rPr>
              <w:t>2001</w:t>
            </w:r>
          </w:p>
        </w:tc>
        <w:tc>
          <w:tcPr>
            <w:tcW w:w="737" w:type="dxa"/>
            <w:tcBorders>
              <w:top w:val="single" w:sz="4" w:space="0" w:color="365F91"/>
              <w:left w:val="nil"/>
              <w:bottom w:val="single" w:sz="4" w:space="0" w:color="365F91"/>
              <w:right w:val="nil"/>
            </w:tcBorders>
            <w:hideMark/>
          </w:tcPr>
          <w:p w14:paraId="30B41A41" w14:textId="77777777" w:rsidR="00FB19C0" w:rsidRPr="00BE78CA" w:rsidRDefault="00FB19C0" w:rsidP="00C26084">
            <w:pPr>
              <w:pStyle w:val="TableText"/>
              <w:spacing w:before="50" w:after="50"/>
              <w:jc w:val="center"/>
              <w:rPr>
                <w:rFonts w:cs="Calibri"/>
                <w:szCs w:val="16"/>
              </w:rPr>
            </w:pPr>
            <w:r w:rsidRPr="00BE78CA">
              <w:t>15.2</w:t>
            </w:r>
          </w:p>
        </w:tc>
        <w:tc>
          <w:tcPr>
            <w:tcW w:w="794" w:type="dxa"/>
            <w:tcBorders>
              <w:top w:val="single" w:sz="4" w:space="0" w:color="365F91"/>
              <w:left w:val="nil"/>
              <w:bottom w:val="single" w:sz="4" w:space="0" w:color="365F91"/>
              <w:right w:val="nil"/>
            </w:tcBorders>
            <w:hideMark/>
          </w:tcPr>
          <w:p w14:paraId="085FF66D" w14:textId="77777777" w:rsidR="00FB19C0" w:rsidRPr="00BE78CA" w:rsidRDefault="00FB19C0" w:rsidP="00C26084">
            <w:pPr>
              <w:pStyle w:val="TableText"/>
              <w:spacing w:before="50" w:after="50"/>
              <w:jc w:val="center"/>
              <w:rPr>
                <w:rFonts w:cs="Calibri"/>
                <w:szCs w:val="16"/>
              </w:rPr>
            </w:pPr>
            <w:r w:rsidRPr="00BE78CA">
              <w:t>9.7</w:t>
            </w:r>
          </w:p>
        </w:tc>
        <w:tc>
          <w:tcPr>
            <w:tcW w:w="794" w:type="dxa"/>
            <w:tcBorders>
              <w:top w:val="single" w:sz="4" w:space="0" w:color="365F91"/>
              <w:left w:val="nil"/>
              <w:bottom w:val="single" w:sz="4" w:space="0" w:color="365F91"/>
              <w:right w:val="nil"/>
            </w:tcBorders>
            <w:hideMark/>
          </w:tcPr>
          <w:p w14:paraId="647D59A9" w14:textId="77777777" w:rsidR="00FB19C0" w:rsidRPr="00BE78CA" w:rsidRDefault="00FB19C0" w:rsidP="00C26084">
            <w:pPr>
              <w:pStyle w:val="TableText"/>
              <w:spacing w:before="50" w:after="50"/>
              <w:jc w:val="center"/>
              <w:rPr>
                <w:rFonts w:cs="Calibri"/>
                <w:szCs w:val="16"/>
              </w:rPr>
            </w:pPr>
            <w:r w:rsidRPr="00BE78CA">
              <w:t>15.4</w:t>
            </w:r>
          </w:p>
        </w:tc>
        <w:tc>
          <w:tcPr>
            <w:tcW w:w="680" w:type="dxa"/>
            <w:tcBorders>
              <w:top w:val="single" w:sz="4" w:space="0" w:color="365F91"/>
              <w:left w:val="nil"/>
              <w:bottom w:val="single" w:sz="4" w:space="0" w:color="365F91"/>
              <w:right w:val="nil"/>
            </w:tcBorders>
            <w:hideMark/>
          </w:tcPr>
          <w:p w14:paraId="37E58CB9" w14:textId="77777777" w:rsidR="00FB19C0" w:rsidRPr="00BE78CA" w:rsidRDefault="00FB19C0" w:rsidP="00C26084">
            <w:pPr>
              <w:pStyle w:val="TableText"/>
              <w:spacing w:before="50" w:after="50"/>
              <w:jc w:val="center"/>
              <w:rPr>
                <w:rFonts w:cs="Calibri"/>
                <w:szCs w:val="16"/>
              </w:rPr>
            </w:pPr>
            <w:r w:rsidRPr="00BE78CA">
              <w:t>11.6</w:t>
            </w:r>
          </w:p>
        </w:tc>
        <w:tc>
          <w:tcPr>
            <w:tcW w:w="794" w:type="dxa"/>
            <w:tcBorders>
              <w:top w:val="single" w:sz="4" w:space="0" w:color="365F91"/>
              <w:left w:val="nil"/>
              <w:bottom w:val="single" w:sz="4" w:space="0" w:color="365F91"/>
              <w:right w:val="nil"/>
            </w:tcBorders>
            <w:hideMark/>
          </w:tcPr>
          <w:p w14:paraId="7C54775C" w14:textId="77777777" w:rsidR="00FB19C0" w:rsidRPr="00BE78CA" w:rsidRDefault="00FB19C0" w:rsidP="00C26084">
            <w:pPr>
              <w:pStyle w:val="TableText"/>
              <w:spacing w:before="50" w:after="50"/>
              <w:jc w:val="center"/>
              <w:rPr>
                <w:rFonts w:cs="Calibri"/>
                <w:szCs w:val="16"/>
              </w:rPr>
            </w:pPr>
            <w:r w:rsidRPr="00BE78CA">
              <w:t>2.8</w:t>
            </w:r>
          </w:p>
        </w:tc>
        <w:tc>
          <w:tcPr>
            <w:tcW w:w="794" w:type="dxa"/>
            <w:tcBorders>
              <w:top w:val="single" w:sz="4" w:space="0" w:color="365F91"/>
              <w:left w:val="nil"/>
              <w:bottom w:val="single" w:sz="4" w:space="0" w:color="365F91"/>
              <w:right w:val="nil"/>
            </w:tcBorders>
            <w:hideMark/>
          </w:tcPr>
          <w:p w14:paraId="4F7402AD" w14:textId="77777777" w:rsidR="00FB19C0" w:rsidRPr="00BE78CA" w:rsidRDefault="00FB19C0" w:rsidP="00C26084">
            <w:pPr>
              <w:pStyle w:val="TableText"/>
              <w:spacing w:before="50" w:after="50"/>
              <w:jc w:val="center"/>
              <w:rPr>
                <w:rFonts w:cs="Calibri"/>
                <w:szCs w:val="16"/>
              </w:rPr>
            </w:pPr>
            <w:r w:rsidRPr="00BE78CA">
              <w:t>2.7</w:t>
            </w:r>
          </w:p>
        </w:tc>
        <w:tc>
          <w:tcPr>
            <w:tcW w:w="794" w:type="dxa"/>
            <w:tcBorders>
              <w:top w:val="single" w:sz="4" w:space="0" w:color="365F91"/>
              <w:left w:val="nil"/>
              <w:bottom w:val="single" w:sz="4" w:space="0" w:color="365F91"/>
              <w:right w:val="nil"/>
            </w:tcBorders>
          </w:tcPr>
          <w:p w14:paraId="3097833C" w14:textId="77777777" w:rsidR="00FB19C0" w:rsidRPr="00BE78CA" w:rsidRDefault="00FB19C0" w:rsidP="00C26084">
            <w:pPr>
              <w:pStyle w:val="TableText"/>
              <w:spacing w:before="50" w:after="50"/>
              <w:jc w:val="center"/>
              <w:rPr>
                <w:rFonts w:cs="Calibri"/>
                <w:szCs w:val="16"/>
              </w:rPr>
            </w:pPr>
            <w:r w:rsidRPr="00BE78CA">
              <w:t>2.9</w:t>
            </w:r>
          </w:p>
        </w:tc>
        <w:tc>
          <w:tcPr>
            <w:tcW w:w="680" w:type="dxa"/>
            <w:tcBorders>
              <w:top w:val="single" w:sz="4" w:space="0" w:color="365F91"/>
              <w:left w:val="nil"/>
              <w:bottom w:val="single" w:sz="4" w:space="0" w:color="365F91"/>
              <w:right w:val="nil"/>
            </w:tcBorders>
            <w:hideMark/>
          </w:tcPr>
          <w:p w14:paraId="3F926D36" w14:textId="77777777" w:rsidR="00FB19C0" w:rsidRPr="00BE78CA" w:rsidRDefault="00FB19C0" w:rsidP="00C26084">
            <w:pPr>
              <w:pStyle w:val="TableText"/>
              <w:spacing w:before="50" w:after="50"/>
              <w:jc w:val="center"/>
              <w:rPr>
                <w:rFonts w:cs="Calibri"/>
                <w:szCs w:val="16"/>
              </w:rPr>
            </w:pPr>
            <w:r w:rsidRPr="00BE78CA">
              <w:t>39.7</w:t>
            </w:r>
          </w:p>
        </w:tc>
        <w:tc>
          <w:tcPr>
            <w:tcW w:w="1985" w:type="dxa"/>
            <w:tcBorders>
              <w:top w:val="single" w:sz="4" w:space="0" w:color="365F91"/>
              <w:left w:val="nil"/>
              <w:bottom w:val="single" w:sz="4" w:space="0" w:color="365F91"/>
              <w:right w:val="nil"/>
            </w:tcBorders>
            <w:hideMark/>
          </w:tcPr>
          <w:p w14:paraId="6F749757" w14:textId="77777777" w:rsidR="00FB19C0" w:rsidRPr="00BE78CA" w:rsidRDefault="00FB19C0" w:rsidP="00C26084">
            <w:pPr>
              <w:pStyle w:val="TableText"/>
              <w:spacing w:before="50" w:after="50"/>
              <w:rPr>
                <w:rFonts w:cs="Calibri"/>
                <w:szCs w:val="16"/>
              </w:rPr>
            </w:pPr>
            <w:r w:rsidRPr="00BE78CA">
              <w:rPr>
                <w:rFonts w:cs="Calibri"/>
                <w:szCs w:val="16"/>
              </w:rPr>
              <w:t>Interpolation</w:t>
            </w:r>
          </w:p>
        </w:tc>
      </w:tr>
      <w:tr w:rsidR="00FB19C0" w:rsidRPr="00BE78CA" w14:paraId="3D434222" w14:textId="77777777" w:rsidTr="00C26084">
        <w:tc>
          <w:tcPr>
            <w:tcW w:w="964" w:type="dxa"/>
            <w:tcBorders>
              <w:top w:val="single" w:sz="4" w:space="0" w:color="365F91"/>
              <w:left w:val="nil"/>
              <w:bottom w:val="single" w:sz="4" w:space="0" w:color="365F91"/>
              <w:right w:val="nil"/>
            </w:tcBorders>
            <w:hideMark/>
          </w:tcPr>
          <w:p w14:paraId="1027C916" w14:textId="77777777" w:rsidR="00FB19C0" w:rsidRPr="00BE78CA" w:rsidRDefault="00FB19C0" w:rsidP="00C26084">
            <w:pPr>
              <w:pStyle w:val="TableTextBold"/>
              <w:spacing w:before="50" w:after="50"/>
              <w:rPr>
                <w:rFonts w:cs="Calibri"/>
                <w:noProof w:val="0"/>
                <w:szCs w:val="16"/>
              </w:rPr>
            </w:pPr>
            <w:r w:rsidRPr="00BE78CA">
              <w:rPr>
                <w:rFonts w:cs="Calibri"/>
                <w:noProof w:val="0"/>
                <w:szCs w:val="16"/>
              </w:rPr>
              <w:t>2002</w:t>
            </w:r>
          </w:p>
        </w:tc>
        <w:tc>
          <w:tcPr>
            <w:tcW w:w="737" w:type="dxa"/>
            <w:tcBorders>
              <w:top w:val="single" w:sz="4" w:space="0" w:color="365F91"/>
              <w:left w:val="nil"/>
              <w:bottom w:val="single" w:sz="4" w:space="0" w:color="365F91"/>
              <w:right w:val="nil"/>
            </w:tcBorders>
            <w:hideMark/>
          </w:tcPr>
          <w:p w14:paraId="6159FA80" w14:textId="77777777" w:rsidR="00FB19C0" w:rsidRPr="00BE78CA" w:rsidRDefault="00FB19C0" w:rsidP="00C26084">
            <w:pPr>
              <w:pStyle w:val="TableText"/>
              <w:spacing w:before="50" w:after="50"/>
              <w:jc w:val="center"/>
              <w:rPr>
                <w:rFonts w:cs="Calibri"/>
                <w:szCs w:val="16"/>
              </w:rPr>
            </w:pPr>
            <w:r w:rsidRPr="00BE78CA">
              <w:t>14.9</w:t>
            </w:r>
          </w:p>
        </w:tc>
        <w:tc>
          <w:tcPr>
            <w:tcW w:w="794" w:type="dxa"/>
            <w:tcBorders>
              <w:top w:val="single" w:sz="4" w:space="0" w:color="365F91"/>
              <w:left w:val="nil"/>
              <w:bottom w:val="single" w:sz="4" w:space="0" w:color="365F91"/>
              <w:right w:val="nil"/>
            </w:tcBorders>
            <w:hideMark/>
          </w:tcPr>
          <w:p w14:paraId="53EBF277" w14:textId="77777777" w:rsidR="00FB19C0" w:rsidRPr="00BE78CA" w:rsidRDefault="00FB19C0" w:rsidP="00C26084">
            <w:pPr>
              <w:pStyle w:val="TableText"/>
              <w:spacing w:before="50" w:after="50"/>
              <w:jc w:val="center"/>
              <w:rPr>
                <w:rFonts w:cs="Calibri"/>
                <w:szCs w:val="16"/>
              </w:rPr>
            </w:pPr>
            <w:r w:rsidRPr="00BE78CA">
              <w:t>9.5</w:t>
            </w:r>
          </w:p>
        </w:tc>
        <w:tc>
          <w:tcPr>
            <w:tcW w:w="794" w:type="dxa"/>
            <w:tcBorders>
              <w:top w:val="single" w:sz="4" w:space="0" w:color="365F91"/>
              <w:left w:val="nil"/>
              <w:bottom w:val="single" w:sz="4" w:space="0" w:color="365F91"/>
              <w:right w:val="nil"/>
            </w:tcBorders>
            <w:hideMark/>
          </w:tcPr>
          <w:p w14:paraId="1DC1A3A3" w14:textId="77777777" w:rsidR="00FB19C0" w:rsidRPr="00BE78CA" w:rsidRDefault="00FB19C0" w:rsidP="00C26084">
            <w:pPr>
              <w:pStyle w:val="TableText"/>
              <w:spacing w:before="50" w:after="50"/>
              <w:jc w:val="center"/>
              <w:rPr>
                <w:rFonts w:cs="Calibri"/>
                <w:szCs w:val="16"/>
              </w:rPr>
            </w:pPr>
            <w:r w:rsidRPr="00BE78CA">
              <w:t>15.2</w:t>
            </w:r>
          </w:p>
        </w:tc>
        <w:tc>
          <w:tcPr>
            <w:tcW w:w="680" w:type="dxa"/>
            <w:tcBorders>
              <w:top w:val="single" w:sz="4" w:space="0" w:color="365F91"/>
              <w:left w:val="nil"/>
              <w:bottom w:val="single" w:sz="4" w:space="0" w:color="365F91"/>
              <w:right w:val="nil"/>
            </w:tcBorders>
            <w:hideMark/>
          </w:tcPr>
          <w:p w14:paraId="28AF66FA" w14:textId="77777777" w:rsidR="00FB19C0" w:rsidRPr="00BE78CA" w:rsidRDefault="00FB19C0" w:rsidP="00C26084">
            <w:pPr>
              <w:pStyle w:val="TableText"/>
              <w:spacing w:before="50" w:after="50"/>
              <w:jc w:val="center"/>
              <w:rPr>
                <w:rFonts w:cs="Calibri"/>
                <w:szCs w:val="16"/>
              </w:rPr>
            </w:pPr>
            <w:r w:rsidRPr="00BE78CA">
              <w:t>12.4</w:t>
            </w:r>
          </w:p>
        </w:tc>
        <w:tc>
          <w:tcPr>
            <w:tcW w:w="794" w:type="dxa"/>
            <w:tcBorders>
              <w:top w:val="single" w:sz="4" w:space="0" w:color="365F91"/>
              <w:left w:val="nil"/>
              <w:bottom w:val="single" w:sz="4" w:space="0" w:color="365F91"/>
              <w:right w:val="nil"/>
            </w:tcBorders>
            <w:hideMark/>
          </w:tcPr>
          <w:p w14:paraId="6C0E5896" w14:textId="77777777" w:rsidR="00FB19C0" w:rsidRPr="00BE78CA" w:rsidRDefault="00FB19C0" w:rsidP="00C26084">
            <w:pPr>
              <w:pStyle w:val="TableText"/>
              <w:spacing w:before="50" w:after="50"/>
              <w:jc w:val="center"/>
              <w:rPr>
                <w:rFonts w:cs="Calibri"/>
                <w:szCs w:val="16"/>
              </w:rPr>
            </w:pPr>
            <w:r w:rsidRPr="00BE78CA">
              <w:t>3.1</w:t>
            </w:r>
          </w:p>
        </w:tc>
        <w:tc>
          <w:tcPr>
            <w:tcW w:w="794" w:type="dxa"/>
            <w:tcBorders>
              <w:top w:val="single" w:sz="4" w:space="0" w:color="365F91"/>
              <w:left w:val="nil"/>
              <w:bottom w:val="single" w:sz="4" w:space="0" w:color="365F91"/>
              <w:right w:val="nil"/>
            </w:tcBorders>
            <w:hideMark/>
          </w:tcPr>
          <w:p w14:paraId="7D69758A" w14:textId="77777777" w:rsidR="00FB19C0" w:rsidRPr="00BE78CA" w:rsidRDefault="00FB19C0" w:rsidP="00C26084">
            <w:pPr>
              <w:pStyle w:val="TableText"/>
              <w:spacing w:before="50" w:after="50"/>
              <w:jc w:val="center"/>
              <w:rPr>
                <w:rFonts w:cs="Calibri"/>
                <w:szCs w:val="16"/>
              </w:rPr>
            </w:pPr>
            <w:r w:rsidRPr="00BE78CA">
              <w:t>2.7</w:t>
            </w:r>
          </w:p>
        </w:tc>
        <w:tc>
          <w:tcPr>
            <w:tcW w:w="794" w:type="dxa"/>
            <w:tcBorders>
              <w:top w:val="single" w:sz="4" w:space="0" w:color="365F91"/>
              <w:left w:val="nil"/>
              <w:bottom w:val="single" w:sz="4" w:space="0" w:color="365F91"/>
              <w:right w:val="nil"/>
            </w:tcBorders>
          </w:tcPr>
          <w:p w14:paraId="51CF237F" w14:textId="77777777" w:rsidR="00FB19C0" w:rsidRPr="00BE78CA" w:rsidRDefault="00FB19C0" w:rsidP="00C26084">
            <w:pPr>
              <w:pStyle w:val="TableText"/>
              <w:spacing w:before="50" w:after="50"/>
              <w:jc w:val="center"/>
              <w:rPr>
                <w:rFonts w:cs="Calibri"/>
                <w:szCs w:val="16"/>
              </w:rPr>
            </w:pPr>
            <w:r w:rsidRPr="00BE78CA">
              <w:t>2.9</w:t>
            </w:r>
          </w:p>
        </w:tc>
        <w:tc>
          <w:tcPr>
            <w:tcW w:w="680" w:type="dxa"/>
            <w:tcBorders>
              <w:top w:val="single" w:sz="4" w:space="0" w:color="365F91"/>
              <w:left w:val="nil"/>
              <w:bottom w:val="single" w:sz="4" w:space="0" w:color="365F91"/>
              <w:right w:val="nil"/>
            </w:tcBorders>
            <w:hideMark/>
          </w:tcPr>
          <w:p w14:paraId="12919C6D" w14:textId="77777777" w:rsidR="00FB19C0" w:rsidRPr="00BE78CA" w:rsidRDefault="00FB19C0" w:rsidP="00C26084">
            <w:pPr>
              <w:pStyle w:val="TableText"/>
              <w:spacing w:before="50" w:after="50"/>
              <w:jc w:val="center"/>
              <w:rPr>
                <w:rFonts w:cs="Calibri"/>
                <w:szCs w:val="16"/>
              </w:rPr>
            </w:pPr>
            <w:r w:rsidRPr="00BE78CA">
              <w:t>39.3</w:t>
            </w:r>
          </w:p>
        </w:tc>
        <w:tc>
          <w:tcPr>
            <w:tcW w:w="1985" w:type="dxa"/>
            <w:tcBorders>
              <w:top w:val="single" w:sz="4" w:space="0" w:color="365F91"/>
              <w:left w:val="nil"/>
              <w:bottom w:val="single" w:sz="4" w:space="0" w:color="365F91"/>
              <w:right w:val="nil"/>
            </w:tcBorders>
            <w:hideMark/>
          </w:tcPr>
          <w:p w14:paraId="772ABA8A" w14:textId="77777777" w:rsidR="00FB19C0" w:rsidRPr="00BE78CA" w:rsidRDefault="00FB19C0" w:rsidP="00C26084">
            <w:pPr>
              <w:pStyle w:val="TableText"/>
              <w:spacing w:before="50" w:after="50"/>
              <w:rPr>
                <w:rFonts w:cs="Calibri"/>
                <w:szCs w:val="16"/>
              </w:rPr>
            </w:pPr>
            <w:r w:rsidRPr="00BE78CA">
              <w:rPr>
                <w:rFonts w:cs="Calibri"/>
                <w:szCs w:val="16"/>
              </w:rPr>
              <w:t>Interpolation</w:t>
            </w:r>
          </w:p>
        </w:tc>
      </w:tr>
      <w:tr w:rsidR="00FB19C0" w:rsidRPr="00BE78CA" w14:paraId="7FB91A66" w14:textId="77777777" w:rsidTr="00C26084">
        <w:tc>
          <w:tcPr>
            <w:tcW w:w="964" w:type="dxa"/>
            <w:tcBorders>
              <w:top w:val="single" w:sz="4" w:space="0" w:color="365F91"/>
              <w:left w:val="nil"/>
              <w:bottom w:val="single" w:sz="4" w:space="0" w:color="365F91"/>
              <w:right w:val="nil"/>
            </w:tcBorders>
            <w:hideMark/>
          </w:tcPr>
          <w:p w14:paraId="584CF1E2" w14:textId="77777777" w:rsidR="00FB19C0" w:rsidRPr="00BE78CA" w:rsidRDefault="00FB19C0" w:rsidP="00C26084">
            <w:pPr>
              <w:pStyle w:val="TableTextBold"/>
              <w:spacing w:before="50" w:after="50"/>
              <w:rPr>
                <w:rFonts w:cs="Calibri"/>
                <w:noProof w:val="0"/>
                <w:szCs w:val="16"/>
              </w:rPr>
            </w:pPr>
            <w:r w:rsidRPr="00BE78CA">
              <w:rPr>
                <w:rFonts w:cs="Calibri"/>
                <w:noProof w:val="0"/>
                <w:szCs w:val="16"/>
              </w:rPr>
              <w:t>2003</w:t>
            </w:r>
          </w:p>
        </w:tc>
        <w:tc>
          <w:tcPr>
            <w:tcW w:w="737" w:type="dxa"/>
            <w:tcBorders>
              <w:top w:val="single" w:sz="4" w:space="0" w:color="365F91"/>
              <w:left w:val="nil"/>
              <w:bottom w:val="single" w:sz="4" w:space="0" w:color="365F91"/>
              <w:right w:val="nil"/>
            </w:tcBorders>
            <w:hideMark/>
          </w:tcPr>
          <w:p w14:paraId="1AE85BA5" w14:textId="77777777" w:rsidR="00FB19C0" w:rsidRPr="00BE78CA" w:rsidRDefault="00FB19C0" w:rsidP="00C26084">
            <w:pPr>
              <w:pStyle w:val="TableText"/>
              <w:spacing w:before="50" w:after="50"/>
              <w:jc w:val="center"/>
              <w:rPr>
                <w:rFonts w:cs="Calibri"/>
                <w:szCs w:val="16"/>
              </w:rPr>
            </w:pPr>
            <w:r w:rsidRPr="00BE78CA">
              <w:t>14.5</w:t>
            </w:r>
          </w:p>
        </w:tc>
        <w:tc>
          <w:tcPr>
            <w:tcW w:w="794" w:type="dxa"/>
            <w:tcBorders>
              <w:top w:val="single" w:sz="4" w:space="0" w:color="365F91"/>
              <w:left w:val="nil"/>
              <w:bottom w:val="single" w:sz="4" w:space="0" w:color="365F91"/>
              <w:right w:val="nil"/>
            </w:tcBorders>
            <w:hideMark/>
          </w:tcPr>
          <w:p w14:paraId="5F109C09" w14:textId="77777777" w:rsidR="00FB19C0" w:rsidRPr="00BE78CA" w:rsidRDefault="00FB19C0" w:rsidP="00C26084">
            <w:pPr>
              <w:pStyle w:val="TableText"/>
              <w:spacing w:before="50" w:after="50"/>
              <w:jc w:val="center"/>
              <w:rPr>
                <w:rFonts w:cs="Calibri"/>
                <w:szCs w:val="16"/>
              </w:rPr>
            </w:pPr>
            <w:r w:rsidRPr="00BE78CA">
              <w:t>9.3</w:t>
            </w:r>
          </w:p>
        </w:tc>
        <w:tc>
          <w:tcPr>
            <w:tcW w:w="794" w:type="dxa"/>
            <w:tcBorders>
              <w:top w:val="single" w:sz="4" w:space="0" w:color="365F91"/>
              <w:left w:val="nil"/>
              <w:bottom w:val="single" w:sz="4" w:space="0" w:color="365F91"/>
              <w:right w:val="nil"/>
            </w:tcBorders>
            <w:hideMark/>
          </w:tcPr>
          <w:p w14:paraId="1B3EEFF8" w14:textId="77777777" w:rsidR="00FB19C0" w:rsidRPr="00BE78CA" w:rsidRDefault="00FB19C0" w:rsidP="00C26084">
            <w:pPr>
              <w:pStyle w:val="TableText"/>
              <w:spacing w:before="50" w:after="50"/>
              <w:jc w:val="center"/>
              <w:rPr>
                <w:rFonts w:cs="Calibri"/>
                <w:szCs w:val="16"/>
              </w:rPr>
            </w:pPr>
            <w:r w:rsidRPr="00BE78CA">
              <w:t>15.1</w:t>
            </w:r>
          </w:p>
        </w:tc>
        <w:tc>
          <w:tcPr>
            <w:tcW w:w="680" w:type="dxa"/>
            <w:tcBorders>
              <w:top w:val="single" w:sz="4" w:space="0" w:color="365F91"/>
              <w:left w:val="nil"/>
              <w:bottom w:val="single" w:sz="4" w:space="0" w:color="365F91"/>
              <w:right w:val="nil"/>
            </w:tcBorders>
            <w:hideMark/>
          </w:tcPr>
          <w:p w14:paraId="5888C9BF" w14:textId="77777777" w:rsidR="00FB19C0" w:rsidRPr="00BE78CA" w:rsidRDefault="00FB19C0" w:rsidP="00C26084">
            <w:pPr>
              <w:pStyle w:val="TableText"/>
              <w:spacing w:before="50" w:after="50"/>
              <w:jc w:val="center"/>
              <w:rPr>
                <w:rFonts w:cs="Calibri"/>
                <w:szCs w:val="16"/>
              </w:rPr>
            </w:pPr>
            <w:r w:rsidRPr="00BE78CA">
              <w:t>13.1</w:t>
            </w:r>
          </w:p>
        </w:tc>
        <w:tc>
          <w:tcPr>
            <w:tcW w:w="794" w:type="dxa"/>
            <w:tcBorders>
              <w:top w:val="single" w:sz="4" w:space="0" w:color="365F91"/>
              <w:left w:val="nil"/>
              <w:bottom w:val="single" w:sz="4" w:space="0" w:color="365F91"/>
              <w:right w:val="nil"/>
            </w:tcBorders>
            <w:hideMark/>
          </w:tcPr>
          <w:p w14:paraId="12B07743" w14:textId="77777777" w:rsidR="00FB19C0" w:rsidRPr="00BE78CA" w:rsidRDefault="00FB19C0" w:rsidP="00C26084">
            <w:pPr>
              <w:pStyle w:val="TableText"/>
              <w:spacing w:before="50" w:after="50"/>
              <w:jc w:val="center"/>
              <w:rPr>
                <w:rFonts w:cs="Calibri"/>
                <w:szCs w:val="16"/>
              </w:rPr>
            </w:pPr>
            <w:r w:rsidRPr="00BE78CA">
              <w:t>3.5</w:t>
            </w:r>
          </w:p>
        </w:tc>
        <w:tc>
          <w:tcPr>
            <w:tcW w:w="794" w:type="dxa"/>
            <w:tcBorders>
              <w:top w:val="single" w:sz="4" w:space="0" w:color="365F91"/>
              <w:left w:val="nil"/>
              <w:bottom w:val="single" w:sz="4" w:space="0" w:color="365F91"/>
              <w:right w:val="nil"/>
            </w:tcBorders>
            <w:hideMark/>
          </w:tcPr>
          <w:p w14:paraId="16DBF4C6" w14:textId="77777777" w:rsidR="00FB19C0" w:rsidRPr="00BE78CA" w:rsidRDefault="00FB19C0" w:rsidP="00C26084">
            <w:pPr>
              <w:pStyle w:val="TableText"/>
              <w:spacing w:before="50" w:after="50"/>
              <w:jc w:val="center"/>
              <w:rPr>
                <w:rFonts w:cs="Calibri"/>
                <w:szCs w:val="16"/>
              </w:rPr>
            </w:pPr>
            <w:r w:rsidRPr="00BE78CA">
              <w:t>2.7</w:t>
            </w:r>
          </w:p>
        </w:tc>
        <w:tc>
          <w:tcPr>
            <w:tcW w:w="794" w:type="dxa"/>
            <w:tcBorders>
              <w:top w:val="single" w:sz="4" w:space="0" w:color="365F91"/>
              <w:left w:val="nil"/>
              <w:bottom w:val="single" w:sz="4" w:space="0" w:color="365F91"/>
              <w:right w:val="nil"/>
            </w:tcBorders>
          </w:tcPr>
          <w:p w14:paraId="0F4A0296" w14:textId="77777777" w:rsidR="00FB19C0" w:rsidRPr="00BE78CA" w:rsidRDefault="00FB19C0" w:rsidP="00C26084">
            <w:pPr>
              <w:pStyle w:val="TableText"/>
              <w:spacing w:before="50" w:after="50"/>
              <w:jc w:val="center"/>
              <w:rPr>
                <w:rFonts w:cs="Calibri"/>
                <w:szCs w:val="16"/>
              </w:rPr>
            </w:pPr>
            <w:r w:rsidRPr="00BE78CA">
              <w:t>2.9</w:t>
            </w:r>
          </w:p>
        </w:tc>
        <w:tc>
          <w:tcPr>
            <w:tcW w:w="680" w:type="dxa"/>
            <w:tcBorders>
              <w:top w:val="single" w:sz="4" w:space="0" w:color="365F91"/>
              <w:left w:val="nil"/>
              <w:bottom w:val="single" w:sz="4" w:space="0" w:color="365F91"/>
              <w:right w:val="nil"/>
            </w:tcBorders>
            <w:hideMark/>
          </w:tcPr>
          <w:p w14:paraId="2551DFE1" w14:textId="77777777" w:rsidR="00FB19C0" w:rsidRPr="00BE78CA" w:rsidRDefault="00FB19C0" w:rsidP="00C26084">
            <w:pPr>
              <w:pStyle w:val="TableText"/>
              <w:spacing w:before="50" w:after="50"/>
              <w:jc w:val="center"/>
              <w:rPr>
                <w:rFonts w:cs="Calibri"/>
                <w:szCs w:val="16"/>
              </w:rPr>
            </w:pPr>
            <w:r w:rsidRPr="00BE78CA">
              <w:t>38.8</w:t>
            </w:r>
          </w:p>
        </w:tc>
        <w:tc>
          <w:tcPr>
            <w:tcW w:w="1985" w:type="dxa"/>
            <w:tcBorders>
              <w:top w:val="single" w:sz="4" w:space="0" w:color="365F91"/>
              <w:left w:val="nil"/>
              <w:bottom w:val="single" w:sz="4" w:space="0" w:color="365F91"/>
              <w:right w:val="nil"/>
            </w:tcBorders>
            <w:hideMark/>
          </w:tcPr>
          <w:p w14:paraId="510674BB" w14:textId="77777777" w:rsidR="00FB19C0" w:rsidRPr="00BE78CA" w:rsidRDefault="00FB19C0" w:rsidP="00C26084">
            <w:pPr>
              <w:pStyle w:val="TableText"/>
              <w:spacing w:before="50" w:after="50"/>
              <w:rPr>
                <w:rFonts w:cs="Calibri"/>
                <w:szCs w:val="16"/>
              </w:rPr>
            </w:pPr>
            <w:r w:rsidRPr="00BE78CA">
              <w:rPr>
                <w:rFonts w:cs="Calibri"/>
                <w:szCs w:val="16"/>
              </w:rPr>
              <w:t>Interpolation</w:t>
            </w:r>
          </w:p>
        </w:tc>
      </w:tr>
      <w:tr w:rsidR="00FB19C0" w:rsidRPr="00BE78CA" w14:paraId="14BDB182" w14:textId="77777777" w:rsidTr="00C26084">
        <w:tc>
          <w:tcPr>
            <w:tcW w:w="964" w:type="dxa"/>
            <w:tcBorders>
              <w:top w:val="single" w:sz="4" w:space="0" w:color="365F91"/>
              <w:left w:val="nil"/>
              <w:bottom w:val="single" w:sz="4" w:space="0" w:color="365F91"/>
              <w:right w:val="nil"/>
            </w:tcBorders>
            <w:hideMark/>
          </w:tcPr>
          <w:p w14:paraId="7B36AD8B" w14:textId="77777777" w:rsidR="00FB19C0" w:rsidRPr="00BE78CA" w:rsidRDefault="00FB19C0" w:rsidP="00C26084">
            <w:pPr>
              <w:pStyle w:val="TableTextBold"/>
              <w:spacing w:before="50" w:after="50"/>
              <w:rPr>
                <w:rFonts w:cs="Calibri"/>
                <w:noProof w:val="0"/>
                <w:szCs w:val="16"/>
              </w:rPr>
            </w:pPr>
            <w:r w:rsidRPr="00BE78CA">
              <w:rPr>
                <w:rFonts w:cs="Calibri"/>
                <w:noProof w:val="0"/>
                <w:szCs w:val="16"/>
              </w:rPr>
              <w:t>2004</w:t>
            </w:r>
          </w:p>
        </w:tc>
        <w:tc>
          <w:tcPr>
            <w:tcW w:w="737" w:type="dxa"/>
            <w:tcBorders>
              <w:top w:val="single" w:sz="4" w:space="0" w:color="365F91"/>
              <w:left w:val="nil"/>
              <w:bottom w:val="single" w:sz="4" w:space="0" w:color="365F91"/>
              <w:right w:val="nil"/>
            </w:tcBorders>
            <w:hideMark/>
          </w:tcPr>
          <w:p w14:paraId="7BAC9C50" w14:textId="77777777" w:rsidR="00FB19C0" w:rsidRPr="00BE78CA" w:rsidRDefault="00FB19C0" w:rsidP="00C26084">
            <w:pPr>
              <w:pStyle w:val="TableText"/>
              <w:spacing w:before="50" w:after="50"/>
              <w:jc w:val="center"/>
              <w:rPr>
                <w:rFonts w:cs="Calibri"/>
                <w:szCs w:val="16"/>
              </w:rPr>
            </w:pPr>
            <w:r w:rsidRPr="00BE78CA">
              <w:t>14.2</w:t>
            </w:r>
          </w:p>
        </w:tc>
        <w:tc>
          <w:tcPr>
            <w:tcW w:w="794" w:type="dxa"/>
            <w:tcBorders>
              <w:top w:val="single" w:sz="4" w:space="0" w:color="365F91"/>
              <w:left w:val="nil"/>
              <w:bottom w:val="single" w:sz="4" w:space="0" w:color="365F91"/>
              <w:right w:val="nil"/>
            </w:tcBorders>
            <w:hideMark/>
          </w:tcPr>
          <w:p w14:paraId="27F59BC8" w14:textId="77777777" w:rsidR="00FB19C0" w:rsidRPr="00BE78CA" w:rsidRDefault="00FB19C0" w:rsidP="00C26084">
            <w:pPr>
              <w:pStyle w:val="TableText"/>
              <w:spacing w:before="50" w:after="50"/>
              <w:jc w:val="center"/>
              <w:rPr>
                <w:rFonts w:cs="Calibri"/>
                <w:szCs w:val="16"/>
              </w:rPr>
            </w:pPr>
            <w:r w:rsidRPr="00BE78CA">
              <w:t>9.1</w:t>
            </w:r>
          </w:p>
        </w:tc>
        <w:tc>
          <w:tcPr>
            <w:tcW w:w="794" w:type="dxa"/>
            <w:tcBorders>
              <w:top w:val="single" w:sz="4" w:space="0" w:color="365F91"/>
              <w:left w:val="nil"/>
              <w:bottom w:val="single" w:sz="4" w:space="0" w:color="365F91"/>
              <w:right w:val="nil"/>
            </w:tcBorders>
            <w:hideMark/>
          </w:tcPr>
          <w:p w14:paraId="1465FEBB" w14:textId="77777777" w:rsidR="00FB19C0" w:rsidRPr="00BE78CA" w:rsidRDefault="00FB19C0" w:rsidP="00C26084">
            <w:pPr>
              <w:pStyle w:val="TableText"/>
              <w:spacing w:before="50" w:after="50"/>
              <w:jc w:val="center"/>
              <w:rPr>
                <w:rFonts w:cs="Calibri"/>
                <w:szCs w:val="16"/>
              </w:rPr>
            </w:pPr>
            <w:r w:rsidRPr="00BE78CA">
              <w:t>14.9</w:t>
            </w:r>
          </w:p>
        </w:tc>
        <w:tc>
          <w:tcPr>
            <w:tcW w:w="680" w:type="dxa"/>
            <w:tcBorders>
              <w:top w:val="single" w:sz="4" w:space="0" w:color="365F91"/>
              <w:left w:val="nil"/>
              <w:bottom w:val="single" w:sz="4" w:space="0" w:color="365F91"/>
              <w:right w:val="nil"/>
            </w:tcBorders>
            <w:hideMark/>
          </w:tcPr>
          <w:p w14:paraId="27EA12D1" w14:textId="77777777" w:rsidR="00FB19C0" w:rsidRPr="00BE78CA" w:rsidRDefault="00FB19C0" w:rsidP="00C26084">
            <w:pPr>
              <w:pStyle w:val="TableText"/>
              <w:spacing w:before="50" w:after="50"/>
              <w:jc w:val="center"/>
              <w:rPr>
                <w:rFonts w:cs="Calibri"/>
                <w:szCs w:val="16"/>
              </w:rPr>
            </w:pPr>
            <w:r w:rsidRPr="00BE78CA">
              <w:t>13.9</w:t>
            </w:r>
          </w:p>
        </w:tc>
        <w:tc>
          <w:tcPr>
            <w:tcW w:w="794" w:type="dxa"/>
            <w:tcBorders>
              <w:top w:val="single" w:sz="4" w:space="0" w:color="365F91"/>
              <w:left w:val="nil"/>
              <w:bottom w:val="single" w:sz="4" w:space="0" w:color="365F91"/>
              <w:right w:val="nil"/>
            </w:tcBorders>
            <w:hideMark/>
          </w:tcPr>
          <w:p w14:paraId="59E0AF52" w14:textId="77777777" w:rsidR="00FB19C0" w:rsidRPr="00BE78CA" w:rsidRDefault="00FB19C0" w:rsidP="00C26084">
            <w:pPr>
              <w:pStyle w:val="TableText"/>
              <w:spacing w:before="50" w:after="50"/>
              <w:jc w:val="center"/>
              <w:rPr>
                <w:rFonts w:cs="Calibri"/>
                <w:szCs w:val="16"/>
              </w:rPr>
            </w:pPr>
            <w:r w:rsidRPr="00BE78CA">
              <w:t>3.9</w:t>
            </w:r>
          </w:p>
        </w:tc>
        <w:tc>
          <w:tcPr>
            <w:tcW w:w="794" w:type="dxa"/>
            <w:tcBorders>
              <w:top w:val="single" w:sz="4" w:space="0" w:color="365F91"/>
              <w:left w:val="nil"/>
              <w:bottom w:val="single" w:sz="4" w:space="0" w:color="365F91"/>
              <w:right w:val="nil"/>
            </w:tcBorders>
            <w:hideMark/>
          </w:tcPr>
          <w:p w14:paraId="1BB2BD00" w14:textId="77777777" w:rsidR="00FB19C0" w:rsidRPr="00BE78CA" w:rsidRDefault="00FB19C0" w:rsidP="00C26084">
            <w:pPr>
              <w:pStyle w:val="TableText"/>
              <w:spacing w:before="50" w:after="50"/>
              <w:jc w:val="center"/>
              <w:rPr>
                <w:rFonts w:cs="Calibri"/>
                <w:szCs w:val="16"/>
              </w:rPr>
            </w:pPr>
            <w:r w:rsidRPr="00BE78CA">
              <w:t>2.7</w:t>
            </w:r>
          </w:p>
        </w:tc>
        <w:tc>
          <w:tcPr>
            <w:tcW w:w="794" w:type="dxa"/>
            <w:tcBorders>
              <w:top w:val="single" w:sz="4" w:space="0" w:color="365F91"/>
              <w:left w:val="nil"/>
              <w:bottom w:val="single" w:sz="4" w:space="0" w:color="365F91"/>
              <w:right w:val="nil"/>
            </w:tcBorders>
          </w:tcPr>
          <w:p w14:paraId="3309652B" w14:textId="77777777" w:rsidR="00FB19C0" w:rsidRPr="00BE78CA" w:rsidRDefault="00FB19C0" w:rsidP="00C26084">
            <w:pPr>
              <w:pStyle w:val="TableText"/>
              <w:spacing w:before="50" w:after="50"/>
              <w:jc w:val="center"/>
              <w:rPr>
                <w:rFonts w:cs="Calibri"/>
                <w:szCs w:val="16"/>
              </w:rPr>
            </w:pPr>
            <w:r w:rsidRPr="00BE78CA">
              <w:t>2.9</w:t>
            </w:r>
          </w:p>
        </w:tc>
        <w:tc>
          <w:tcPr>
            <w:tcW w:w="680" w:type="dxa"/>
            <w:tcBorders>
              <w:top w:val="single" w:sz="4" w:space="0" w:color="365F91"/>
              <w:left w:val="nil"/>
              <w:bottom w:val="single" w:sz="4" w:space="0" w:color="365F91"/>
              <w:right w:val="nil"/>
            </w:tcBorders>
            <w:hideMark/>
          </w:tcPr>
          <w:p w14:paraId="0A7AF6FE" w14:textId="77777777" w:rsidR="00FB19C0" w:rsidRPr="00BE78CA" w:rsidRDefault="00FB19C0" w:rsidP="00C26084">
            <w:pPr>
              <w:pStyle w:val="TableText"/>
              <w:spacing w:before="50" w:after="50"/>
              <w:jc w:val="center"/>
              <w:rPr>
                <w:rFonts w:cs="Calibri"/>
                <w:szCs w:val="16"/>
              </w:rPr>
            </w:pPr>
            <w:r w:rsidRPr="00BE78CA">
              <w:t>38.4</w:t>
            </w:r>
          </w:p>
        </w:tc>
        <w:tc>
          <w:tcPr>
            <w:tcW w:w="1985" w:type="dxa"/>
            <w:tcBorders>
              <w:top w:val="single" w:sz="4" w:space="0" w:color="365F91"/>
              <w:left w:val="nil"/>
              <w:bottom w:val="single" w:sz="4" w:space="0" w:color="365F91"/>
              <w:right w:val="nil"/>
            </w:tcBorders>
            <w:hideMark/>
          </w:tcPr>
          <w:p w14:paraId="2A6235FB" w14:textId="77777777" w:rsidR="00FB19C0" w:rsidRPr="00BE78CA" w:rsidRDefault="00FB19C0" w:rsidP="00C26084">
            <w:pPr>
              <w:pStyle w:val="TableText"/>
              <w:spacing w:before="50" w:after="50"/>
              <w:rPr>
                <w:rFonts w:cs="Calibri"/>
                <w:szCs w:val="16"/>
              </w:rPr>
            </w:pPr>
            <w:r w:rsidRPr="00BE78CA">
              <w:rPr>
                <w:rFonts w:cs="Calibri"/>
                <w:szCs w:val="16"/>
              </w:rPr>
              <w:t>National survey</w:t>
            </w:r>
          </w:p>
        </w:tc>
      </w:tr>
      <w:tr w:rsidR="00FB19C0" w:rsidRPr="00BE78CA" w14:paraId="00F0FB7E" w14:textId="77777777" w:rsidTr="00C26084">
        <w:tc>
          <w:tcPr>
            <w:tcW w:w="964" w:type="dxa"/>
            <w:tcBorders>
              <w:top w:val="single" w:sz="4" w:space="0" w:color="365F91"/>
              <w:left w:val="nil"/>
              <w:bottom w:val="single" w:sz="4" w:space="0" w:color="365F91"/>
              <w:right w:val="nil"/>
            </w:tcBorders>
            <w:hideMark/>
          </w:tcPr>
          <w:p w14:paraId="4C4F7B1A" w14:textId="77777777" w:rsidR="00FB19C0" w:rsidRPr="00BE78CA" w:rsidRDefault="00FB19C0" w:rsidP="00C26084">
            <w:pPr>
              <w:pStyle w:val="TableTextBold"/>
              <w:spacing w:before="50" w:after="50"/>
              <w:rPr>
                <w:rFonts w:cs="Calibri"/>
                <w:noProof w:val="0"/>
                <w:szCs w:val="16"/>
              </w:rPr>
            </w:pPr>
            <w:r w:rsidRPr="00BE78CA">
              <w:rPr>
                <w:rFonts w:cs="Calibri"/>
                <w:noProof w:val="0"/>
                <w:szCs w:val="16"/>
              </w:rPr>
              <w:t>2005</w:t>
            </w:r>
          </w:p>
        </w:tc>
        <w:tc>
          <w:tcPr>
            <w:tcW w:w="737" w:type="dxa"/>
            <w:tcBorders>
              <w:top w:val="single" w:sz="4" w:space="0" w:color="365F91"/>
              <w:left w:val="nil"/>
              <w:bottom w:val="single" w:sz="4" w:space="0" w:color="365F91"/>
              <w:right w:val="nil"/>
            </w:tcBorders>
            <w:hideMark/>
          </w:tcPr>
          <w:p w14:paraId="20327B19" w14:textId="77777777" w:rsidR="00FB19C0" w:rsidRPr="00BE78CA" w:rsidRDefault="00FB19C0" w:rsidP="00C26084">
            <w:pPr>
              <w:pStyle w:val="TableText"/>
              <w:spacing w:before="50" w:after="50"/>
              <w:jc w:val="center"/>
              <w:rPr>
                <w:rFonts w:cs="Calibri"/>
                <w:szCs w:val="16"/>
              </w:rPr>
            </w:pPr>
            <w:r w:rsidRPr="00BE78CA">
              <w:t>14.9</w:t>
            </w:r>
          </w:p>
        </w:tc>
        <w:tc>
          <w:tcPr>
            <w:tcW w:w="794" w:type="dxa"/>
            <w:tcBorders>
              <w:top w:val="single" w:sz="4" w:space="0" w:color="365F91"/>
              <w:left w:val="nil"/>
              <w:bottom w:val="single" w:sz="4" w:space="0" w:color="365F91"/>
              <w:right w:val="nil"/>
            </w:tcBorders>
            <w:hideMark/>
          </w:tcPr>
          <w:p w14:paraId="4BA94214" w14:textId="77777777" w:rsidR="00FB19C0" w:rsidRPr="00BE78CA" w:rsidRDefault="00FB19C0" w:rsidP="00C26084">
            <w:pPr>
              <w:pStyle w:val="TableText"/>
              <w:spacing w:before="50" w:after="50"/>
              <w:jc w:val="center"/>
              <w:rPr>
                <w:rFonts w:cs="Calibri"/>
                <w:szCs w:val="16"/>
              </w:rPr>
            </w:pPr>
            <w:r w:rsidRPr="00BE78CA">
              <w:t>9.2</w:t>
            </w:r>
          </w:p>
        </w:tc>
        <w:tc>
          <w:tcPr>
            <w:tcW w:w="794" w:type="dxa"/>
            <w:tcBorders>
              <w:top w:val="single" w:sz="4" w:space="0" w:color="365F91"/>
              <w:left w:val="nil"/>
              <w:bottom w:val="single" w:sz="4" w:space="0" w:color="365F91"/>
              <w:right w:val="nil"/>
            </w:tcBorders>
            <w:hideMark/>
          </w:tcPr>
          <w:p w14:paraId="3758C47F" w14:textId="77777777" w:rsidR="00FB19C0" w:rsidRPr="00BE78CA" w:rsidRDefault="00FB19C0" w:rsidP="00C26084">
            <w:pPr>
              <w:pStyle w:val="TableText"/>
              <w:spacing w:before="50" w:after="50"/>
              <w:jc w:val="center"/>
              <w:rPr>
                <w:rFonts w:cs="Calibri"/>
                <w:szCs w:val="16"/>
              </w:rPr>
            </w:pPr>
            <w:r w:rsidRPr="00BE78CA">
              <w:t>13.4</w:t>
            </w:r>
          </w:p>
        </w:tc>
        <w:tc>
          <w:tcPr>
            <w:tcW w:w="680" w:type="dxa"/>
            <w:tcBorders>
              <w:top w:val="single" w:sz="4" w:space="0" w:color="365F91"/>
              <w:left w:val="nil"/>
              <w:bottom w:val="single" w:sz="4" w:space="0" w:color="365F91"/>
              <w:right w:val="nil"/>
            </w:tcBorders>
            <w:hideMark/>
          </w:tcPr>
          <w:p w14:paraId="6376FDB2" w14:textId="77777777" w:rsidR="00FB19C0" w:rsidRPr="00BE78CA" w:rsidRDefault="00FB19C0" w:rsidP="00C26084">
            <w:pPr>
              <w:pStyle w:val="TableText"/>
              <w:spacing w:before="50" w:after="50"/>
              <w:jc w:val="center"/>
              <w:rPr>
                <w:rFonts w:cs="Calibri"/>
                <w:szCs w:val="16"/>
              </w:rPr>
            </w:pPr>
            <w:r w:rsidRPr="00BE78CA">
              <w:t>13.4</w:t>
            </w:r>
          </w:p>
        </w:tc>
        <w:tc>
          <w:tcPr>
            <w:tcW w:w="794" w:type="dxa"/>
            <w:tcBorders>
              <w:top w:val="single" w:sz="4" w:space="0" w:color="365F91"/>
              <w:left w:val="nil"/>
              <w:bottom w:val="single" w:sz="4" w:space="0" w:color="365F91"/>
              <w:right w:val="nil"/>
            </w:tcBorders>
            <w:hideMark/>
          </w:tcPr>
          <w:p w14:paraId="66EF9364" w14:textId="77777777" w:rsidR="00FB19C0" w:rsidRPr="00BE78CA" w:rsidRDefault="00FB19C0" w:rsidP="00C26084">
            <w:pPr>
              <w:pStyle w:val="TableText"/>
              <w:spacing w:before="50" w:after="50"/>
              <w:jc w:val="center"/>
              <w:rPr>
                <w:rFonts w:cs="Calibri"/>
                <w:szCs w:val="16"/>
              </w:rPr>
            </w:pPr>
            <w:r w:rsidRPr="00BE78CA">
              <w:t>3.9</w:t>
            </w:r>
          </w:p>
        </w:tc>
        <w:tc>
          <w:tcPr>
            <w:tcW w:w="794" w:type="dxa"/>
            <w:tcBorders>
              <w:top w:val="single" w:sz="4" w:space="0" w:color="365F91"/>
              <w:left w:val="nil"/>
              <w:bottom w:val="single" w:sz="4" w:space="0" w:color="365F91"/>
              <w:right w:val="nil"/>
            </w:tcBorders>
            <w:hideMark/>
          </w:tcPr>
          <w:p w14:paraId="0FF65B97" w14:textId="77777777" w:rsidR="00FB19C0" w:rsidRPr="00BE78CA" w:rsidRDefault="00FB19C0" w:rsidP="00C26084">
            <w:pPr>
              <w:pStyle w:val="TableText"/>
              <w:spacing w:before="50" w:after="50"/>
              <w:jc w:val="center"/>
              <w:rPr>
                <w:rFonts w:cs="Calibri"/>
                <w:szCs w:val="16"/>
              </w:rPr>
            </w:pPr>
            <w:r w:rsidRPr="00BE78CA">
              <w:t>2.9</w:t>
            </w:r>
          </w:p>
        </w:tc>
        <w:tc>
          <w:tcPr>
            <w:tcW w:w="794" w:type="dxa"/>
            <w:tcBorders>
              <w:top w:val="single" w:sz="4" w:space="0" w:color="365F91"/>
              <w:left w:val="nil"/>
              <w:bottom w:val="single" w:sz="4" w:space="0" w:color="365F91"/>
              <w:right w:val="nil"/>
            </w:tcBorders>
          </w:tcPr>
          <w:p w14:paraId="792477C9" w14:textId="77777777" w:rsidR="00FB19C0" w:rsidRPr="00BE78CA" w:rsidRDefault="00FB19C0" w:rsidP="00C26084">
            <w:pPr>
              <w:pStyle w:val="TableText"/>
              <w:spacing w:before="50" w:after="50"/>
              <w:jc w:val="center"/>
              <w:rPr>
                <w:rFonts w:cs="Calibri"/>
                <w:szCs w:val="16"/>
              </w:rPr>
            </w:pPr>
            <w:r w:rsidRPr="00BE78CA">
              <w:t>2.9</w:t>
            </w:r>
          </w:p>
        </w:tc>
        <w:tc>
          <w:tcPr>
            <w:tcW w:w="680" w:type="dxa"/>
            <w:tcBorders>
              <w:top w:val="single" w:sz="4" w:space="0" w:color="365F91"/>
              <w:left w:val="nil"/>
              <w:bottom w:val="single" w:sz="4" w:space="0" w:color="365F91"/>
              <w:right w:val="nil"/>
            </w:tcBorders>
            <w:hideMark/>
          </w:tcPr>
          <w:p w14:paraId="07144240" w14:textId="77777777" w:rsidR="00FB19C0" w:rsidRPr="00BE78CA" w:rsidRDefault="00FB19C0" w:rsidP="00C26084">
            <w:pPr>
              <w:pStyle w:val="TableText"/>
              <w:spacing w:before="50" w:after="50"/>
              <w:jc w:val="center"/>
              <w:rPr>
                <w:rFonts w:cs="Calibri"/>
                <w:szCs w:val="16"/>
              </w:rPr>
            </w:pPr>
            <w:r w:rsidRPr="00BE78CA">
              <w:t>39.4</w:t>
            </w:r>
          </w:p>
        </w:tc>
        <w:tc>
          <w:tcPr>
            <w:tcW w:w="1985" w:type="dxa"/>
            <w:tcBorders>
              <w:top w:val="single" w:sz="4" w:space="0" w:color="365F91"/>
              <w:left w:val="nil"/>
              <w:bottom w:val="single" w:sz="4" w:space="0" w:color="365F91"/>
              <w:right w:val="nil"/>
            </w:tcBorders>
            <w:hideMark/>
          </w:tcPr>
          <w:p w14:paraId="2F3E37D7" w14:textId="77777777" w:rsidR="00FB19C0" w:rsidRPr="00BE78CA" w:rsidRDefault="00FB19C0" w:rsidP="00C26084">
            <w:pPr>
              <w:pStyle w:val="TableText"/>
              <w:spacing w:before="50" w:after="50"/>
              <w:rPr>
                <w:rFonts w:cs="Calibri"/>
                <w:szCs w:val="16"/>
              </w:rPr>
            </w:pPr>
            <w:r w:rsidRPr="00BE78CA">
              <w:rPr>
                <w:rFonts w:cs="Calibri"/>
                <w:szCs w:val="16"/>
              </w:rPr>
              <w:t>Interpolation</w:t>
            </w:r>
          </w:p>
        </w:tc>
      </w:tr>
      <w:tr w:rsidR="00FB19C0" w:rsidRPr="00BE78CA" w14:paraId="6B989C78" w14:textId="77777777" w:rsidTr="00C26084">
        <w:tc>
          <w:tcPr>
            <w:tcW w:w="964" w:type="dxa"/>
            <w:tcBorders>
              <w:top w:val="single" w:sz="4" w:space="0" w:color="365F91"/>
              <w:left w:val="nil"/>
              <w:bottom w:val="single" w:sz="4" w:space="0" w:color="365F91"/>
              <w:right w:val="nil"/>
            </w:tcBorders>
            <w:hideMark/>
          </w:tcPr>
          <w:p w14:paraId="37ECAFB8" w14:textId="77777777" w:rsidR="00FB19C0" w:rsidRPr="00BE78CA" w:rsidRDefault="00FB19C0" w:rsidP="00C26084">
            <w:pPr>
              <w:pStyle w:val="TableTextBold"/>
              <w:spacing w:before="50" w:after="50"/>
              <w:rPr>
                <w:rFonts w:cs="Calibri"/>
                <w:noProof w:val="0"/>
                <w:szCs w:val="16"/>
              </w:rPr>
            </w:pPr>
            <w:r w:rsidRPr="00BE78CA">
              <w:rPr>
                <w:rFonts w:cs="Calibri"/>
                <w:noProof w:val="0"/>
                <w:szCs w:val="16"/>
              </w:rPr>
              <w:t>2006</w:t>
            </w:r>
          </w:p>
        </w:tc>
        <w:tc>
          <w:tcPr>
            <w:tcW w:w="737" w:type="dxa"/>
            <w:tcBorders>
              <w:top w:val="single" w:sz="4" w:space="0" w:color="365F91"/>
              <w:left w:val="nil"/>
              <w:bottom w:val="single" w:sz="4" w:space="0" w:color="365F91"/>
              <w:right w:val="nil"/>
            </w:tcBorders>
            <w:hideMark/>
          </w:tcPr>
          <w:p w14:paraId="0E1E005D" w14:textId="77777777" w:rsidR="00FB19C0" w:rsidRPr="00BE78CA" w:rsidRDefault="00FB19C0" w:rsidP="00C26084">
            <w:pPr>
              <w:pStyle w:val="TableText"/>
              <w:spacing w:before="50" w:after="50"/>
              <w:jc w:val="center"/>
              <w:rPr>
                <w:rFonts w:cs="Calibri"/>
                <w:szCs w:val="16"/>
              </w:rPr>
            </w:pPr>
            <w:r w:rsidRPr="00BE78CA">
              <w:t>15.7</w:t>
            </w:r>
          </w:p>
        </w:tc>
        <w:tc>
          <w:tcPr>
            <w:tcW w:w="794" w:type="dxa"/>
            <w:tcBorders>
              <w:top w:val="single" w:sz="4" w:space="0" w:color="365F91"/>
              <w:left w:val="nil"/>
              <w:bottom w:val="single" w:sz="4" w:space="0" w:color="365F91"/>
              <w:right w:val="nil"/>
            </w:tcBorders>
            <w:hideMark/>
          </w:tcPr>
          <w:p w14:paraId="3000988C" w14:textId="77777777" w:rsidR="00FB19C0" w:rsidRPr="00BE78CA" w:rsidRDefault="00FB19C0" w:rsidP="00C26084">
            <w:pPr>
              <w:pStyle w:val="TableText"/>
              <w:spacing w:before="50" w:after="50"/>
              <w:jc w:val="center"/>
              <w:rPr>
                <w:rFonts w:cs="Calibri"/>
                <w:szCs w:val="16"/>
              </w:rPr>
            </w:pPr>
            <w:r w:rsidRPr="00BE78CA">
              <w:t>9.2</w:t>
            </w:r>
          </w:p>
        </w:tc>
        <w:tc>
          <w:tcPr>
            <w:tcW w:w="794" w:type="dxa"/>
            <w:tcBorders>
              <w:top w:val="single" w:sz="4" w:space="0" w:color="365F91"/>
              <w:left w:val="nil"/>
              <w:bottom w:val="single" w:sz="4" w:space="0" w:color="365F91"/>
              <w:right w:val="nil"/>
            </w:tcBorders>
            <w:hideMark/>
          </w:tcPr>
          <w:p w14:paraId="21E90582" w14:textId="77777777" w:rsidR="00FB19C0" w:rsidRPr="00BE78CA" w:rsidRDefault="00FB19C0" w:rsidP="00C26084">
            <w:pPr>
              <w:pStyle w:val="TableText"/>
              <w:spacing w:before="50" w:after="50"/>
              <w:jc w:val="center"/>
              <w:rPr>
                <w:rFonts w:cs="Calibri"/>
                <w:szCs w:val="16"/>
              </w:rPr>
            </w:pPr>
            <w:r w:rsidRPr="00BE78CA">
              <w:t>12.0</w:t>
            </w:r>
          </w:p>
        </w:tc>
        <w:tc>
          <w:tcPr>
            <w:tcW w:w="680" w:type="dxa"/>
            <w:tcBorders>
              <w:top w:val="single" w:sz="4" w:space="0" w:color="365F91"/>
              <w:left w:val="nil"/>
              <w:bottom w:val="single" w:sz="4" w:space="0" w:color="365F91"/>
              <w:right w:val="nil"/>
            </w:tcBorders>
            <w:hideMark/>
          </w:tcPr>
          <w:p w14:paraId="03850D1E" w14:textId="77777777" w:rsidR="00FB19C0" w:rsidRPr="00BE78CA" w:rsidRDefault="00FB19C0" w:rsidP="00C26084">
            <w:pPr>
              <w:pStyle w:val="TableText"/>
              <w:spacing w:before="50" w:after="50"/>
              <w:jc w:val="center"/>
              <w:rPr>
                <w:rFonts w:cs="Calibri"/>
                <w:szCs w:val="16"/>
              </w:rPr>
            </w:pPr>
            <w:r w:rsidRPr="00BE78CA">
              <w:t>13.0</w:t>
            </w:r>
          </w:p>
        </w:tc>
        <w:tc>
          <w:tcPr>
            <w:tcW w:w="794" w:type="dxa"/>
            <w:tcBorders>
              <w:top w:val="single" w:sz="4" w:space="0" w:color="365F91"/>
              <w:left w:val="nil"/>
              <w:bottom w:val="single" w:sz="4" w:space="0" w:color="365F91"/>
              <w:right w:val="nil"/>
            </w:tcBorders>
            <w:hideMark/>
          </w:tcPr>
          <w:p w14:paraId="2254F6EA" w14:textId="77777777" w:rsidR="00FB19C0" w:rsidRPr="00BE78CA" w:rsidRDefault="00FB19C0" w:rsidP="00C26084">
            <w:pPr>
              <w:pStyle w:val="TableText"/>
              <w:spacing w:before="50" w:after="50"/>
              <w:jc w:val="center"/>
              <w:rPr>
                <w:rFonts w:cs="Calibri"/>
                <w:szCs w:val="16"/>
              </w:rPr>
            </w:pPr>
            <w:r w:rsidRPr="00BE78CA">
              <w:t>3.9</w:t>
            </w:r>
          </w:p>
        </w:tc>
        <w:tc>
          <w:tcPr>
            <w:tcW w:w="794" w:type="dxa"/>
            <w:tcBorders>
              <w:top w:val="single" w:sz="4" w:space="0" w:color="365F91"/>
              <w:left w:val="nil"/>
              <w:bottom w:val="single" w:sz="4" w:space="0" w:color="365F91"/>
              <w:right w:val="nil"/>
            </w:tcBorders>
            <w:hideMark/>
          </w:tcPr>
          <w:p w14:paraId="30913FA2" w14:textId="77777777" w:rsidR="00FB19C0" w:rsidRPr="00BE78CA" w:rsidRDefault="00FB19C0" w:rsidP="00C26084">
            <w:pPr>
              <w:pStyle w:val="TableText"/>
              <w:spacing w:before="50" w:after="50"/>
              <w:jc w:val="center"/>
              <w:rPr>
                <w:rFonts w:cs="Calibri"/>
                <w:szCs w:val="16"/>
              </w:rPr>
            </w:pPr>
            <w:r w:rsidRPr="00BE78CA">
              <w:t>3.0</w:t>
            </w:r>
          </w:p>
        </w:tc>
        <w:tc>
          <w:tcPr>
            <w:tcW w:w="794" w:type="dxa"/>
            <w:tcBorders>
              <w:top w:val="single" w:sz="4" w:space="0" w:color="365F91"/>
              <w:left w:val="nil"/>
              <w:bottom w:val="single" w:sz="4" w:space="0" w:color="365F91"/>
              <w:right w:val="nil"/>
            </w:tcBorders>
          </w:tcPr>
          <w:p w14:paraId="4F42EE69" w14:textId="77777777" w:rsidR="00FB19C0" w:rsidRPr="00BE78CA" w:rsidRDefault="00FB19C0" w:rsidP="00C26084">
            <w:pPr>
              <w:pStyle w:val="TableText"/>
              <w:spacing w:before="50" w:after="50"/>
              <w:jc w:val="center"/>
              <w:rPr>
                <w:rFonts w:cs="Calibri"/>
                <w:szCs w:val="16"/>
              </w:rPr>
            </w:pPr>
            <w:r w:rsidRPr="00BE78CA">
              <w:t>2.9</w:t>
            </w:r>
          </w:p>
        </w:tc>
        <w:tc>
          <w:tcPr>
            <w:tcW w:w="680" w:type="dxa"/>
            <w:tcBorders>
              <w:top w:val="single" w:sz="4" w:space="0" w:color="365F91"/>
              <w:left w:val="nil"/>
              <w:bottom w:val="single" w:sz="4" w:space="0" w:color="365F91"/>
              <w:right w:val="nil"/>
            </w:tcBorders>
            <w:hideMark/>
          </w:tcPr>
          <w:p w14:paraId="55C113B3" w14:textId="77777777" w:rsidR="00FB19C0" w:rsidRPr="00BE78CA" w:rsidRDefault="00FB19C0" w:rsidP="00C26084">
            <w:pPr>
              <w:pStyle w:val="TableText"/>
              <w:spacing w:before="50" w:after="50"/>
              <w:jc w:val="center"/>
              <w:rPr>
                <w:rFonts w:cs="Calibri"/>
                <w:szCs w:val="16"/>
              </w:rPr>
            </w:pPr>
            <w:r w:rsidRPr="00BE78CA">
              <w:t>40.4</w:t>
            </w:r>
          </w:p>
        </w:tc>
        <w:tc>
          <w:tcPr>
            <w:tcW w:w="1985" w:type="dxa"/>
            <w:tcBorders>
              <w:top w:val="single" w:sz="4" w:space="0" w:color="365F91"/>
              <w:left w:val="nil"/>
              <w:bottom w:val="single" w:sz="4" w:space="0" w:color="365F91"/>
              <w:right w:val="nil"/>
            </w:tcBorders>
            <w:hideMark/>
          </w:tcPr>
          <w:p w14:paraId="6B1DA6E5" w14:textId="77777777" w:rsidR="00FB19C0" w:rsidRPr="00BE78CA" w:rsidRDefault="00FB19C0" w:rsidP="00C26084">
            <w:pPr>
              <w:pStyle w:val="TableText"/>
              <w:spacing w:before="50" w:after="50"/>
              <w:rPr>
                <w:rFonts w:cs="Calibri"/>
                <w:szCs w:val="16"/>
              </w:rPr>
            </w:pPr>
            <w:r w:rsidRPr="00BE78CA">
              <w:rPr>
                <w:rFonts w:cs="Calibri"/>
                <w:szCs w:val="16"/>
              </w:rPr>
              <w:t>Interpolation</w:t>
            </w:r>
          </w:p>
        </w:tc>
      </w:tr>
      <w:tr w:rsidR="00FB19C0" w:rsidRPr="00BE78CA" w14:paraId="55031EF1" w14:textId="77777777" w:rsidTr="00C26084">
        <w:tc>
          <w:tcPr>
            <w:tcW w:w="964" w:type="dxa"/>
            <w:tcBorders>
              <w:top w:val="single" w:sz="4" w:space="0" w:color="365F91"/>
              <w:left w:val="nil"/>
              <w:bottom w:val="single" w:sz="4" w:space="0" w:color="365F91"/>
              <w:right w:val="nil"/>
            </w:tcBorders>
            <w:hideMark/>
          </w:tcPr>
          <w:p w14:paraId="58B79C68" w14:textId="77777777" w:rsidR="00FB19C0" w:rsidRPr="00BE78CA" w:rsidRDefault="00FB19C0" w:rsidP="00C26084">
            <w:pPr>
              <w:pStyle w:val="TableTextBold"/>
              <w:spacing w:before="50" w:after="50"/>
              <w:rPr>
                <w:rFonts w:cs="Calibri"/>
                <w:noProof w:val="0"/>
                <w:szCs w:val="16"/>
              </w:rPr>
            </w:pPr>
            <w:r w:rsidRPr="00BE78CA">
              <w:rPr>
                <w:rFonts w:cs="Calibri"/>
                <w:noProof w:val="0"/>
                <w:szCs w:val="16"/>
              </w:rPr>
              <w:t>2007</w:t>
            </w:r>
          </w:p>
        </w:tc>
        <w:tc>
          <w:tcPr>
            <w:tcW w:w="737" w:type="dxa"/>
            <w:tcBorders>
              <w:top w:val="single" w:sz="4" w:space="0" w:color="365F91"/>
              <w:left w:val="nil"/>
              <w:bottom w:val="single" w:sz="4" w:space="0" w:color="365F91"/>
              <w:right w:val="nil"/>
            </w:tcBorders>
            <w:hideMark/>
          </w:tcPr>
          <w:p w14:paraId="16F82284" w14:textId="77777777" w:rsidR="00FB19C0" w:rsidRPr="00BE78CA" w:rsidRDefault="00FB19C0" w:rsidP="00C26084">
            <w:pPr>
              <w:pStyle w:val="TableText"/>
              <w:spacing w:before="50" w:after="50"/>
              <w:jc w:val="center"/>
              <w:rPr>
                <w:rFonts w:cs="Calibri"/>
                <w:szCs w:val="16"/>
              </w:rPr>
            </w:pPr>
            <w:r w:rsidRPr="00BE78CA">
              <w:t>16.4</w:t>
            </w:r>
          </w:p>
        </w:tc>
        <w:tc>
          <w:tcPr>
            <w:tcW w:w="794" w:type="dxa"/>
            <w:tcBorders>
              <w:top w:val="single" w:sz="4" w:space="0" w:color="365F91"/>
              <w:left w:val="nil"/>
              <w:bottom w:val="single" w:sz="4" w:space="0" w:color="365F91"/>
              <w:right w:val="nil"/>
            </w:tcBorders>
            <w:hideMark/>
          </w:tcPr>
          <w:p w14:paraId="4850E889" w14:textId="77777777" w:rsidR="00FB19C0" w:rsidRPr="00BE78CA" w:rsidRDefault="00FB19C0" w:rsidP="00C26084">
            <w:pPr>
              <w:pStyle w:val="TableText"/>
              <w:spacing w:before="50" w:after="50"/>
              <w:jc w:val="center"/>
              <w:rPr>
                <w:rFonts w:cs="Calibri"/>
                <w:szCs w:val="16"/>
              </w:rPr>
            </w:pPr>
            <w:r w:rsidRPr="00BE78CA">
              <w:t>9.3</w:t>
            </w:r>
          </w:p>
        </w:tc>
        <w:tc>
          <w:tcPr>
            <w:tcW w:w="794" w:type="dxa"/>
            <w:tcBorders>
              <w:top w:val="single" w:sz="4" w:space="0" w:color="365F91"/>
              <w:left w:val="nil"/>
              <w:bottom w:val="single" w:sz="4" w:space="0" w:color="365F91"/>
              <w:right w:val="nil"/>
            </w:tcBorders>
            <w:hideMark/>
          </w:tcPr>
          <w:p w14:paraId="62F5ADA7" w14:textId="77777777" w:rsidR="00FB19C0" w:rsidRPr="00BE78CA" w:rsidRDefault="00FB19C0" w:rsidP="00C26084">
            <w:pPr>
              <w:pStyle w:val="TableText"/>
              <w:spacing w:before="50" w:after="50"/>
              <w:jc w:val="center"/>
              <w:rPr>
                <w:rFonts w:cs="Calibri"/>
                <w:szCs w:val="16"/>
              </w:rPr>
            </w:pPr>
            <w:r w:rsidRPr="00BE78CA">
              <w:t>10.5</w:t>
            </w:r>
          </w:p>
        </w:tc>
        <w:tc>
          <w:tcPr>
            <w:tcW w:w="680" w:type="dxa"/>
            <w:tcBorders>
              <w:top w:val="single" w:sz="4" w:space="0" w:color="365F91"/>
              <w:left w:val="nil"/>
              <w:bottom w:val="single" w:sz="4" w:space="0" w:color="365F91"/>
              <w:right w:val="nil"/>
            </w:tcBorders>
            <w:hideMark/>
          </w:tcPr>
          <w:p w14:paraId="0613D05D" w14:textId="77777777" w:rsidR="00FB19C0" w:rsidRPr="00BE78CA" w:rsidRDefault="00FB19C0" w:rsidP="00C26084">
            <w:pPr>
              <w:pStyle w:val="TableText"/>
              <w:spacing w:before="50" w:after="50"/>
              <w:jc w:val="center"/>
              <w:rPr>
                <w:rFonts w:cs="Calibri"/>
                <w:szCs w:val="16"/>
              </w:rPr>
            </w:pPr>
            <w:r w:rsidRPr="00BE78CA">
              <w:t>12.5</w:t>
            </w:r>
          </w:p>
        </w:tc>
        <w:tc>
          <w:tcPr>
            <w:tcW w:w="794" w:type="dxa"/>
            <w:tcBorders>
              <w:top w:val="single" w:sz="4" w:space="0" w:color="365F91"/>
              <w:left w:val="nil"/>
              <w:bottom w:val="single" w:sz="4" w:space="0" w:color="365F91"/>
              <w:right w:val="nil"/>
            </w:tcBorders>
            <w:hideMark/>
          </w:tcPr>
          <w:p w14:paraId="412D3A74" w14:textId="77777777" w:rsidR="00FB19C0" w:rsidRPr="00BE78CA" w:rsidRDefault="00FB19C0" w:rsidP="00C26084">
            <w:pPr>
              <w:pStyle w:val="TableText"/>
              <w:spacing w:before="50" w:after="50"/>
              <w:jc w:val="center"/>
              <w:rPr>
                <w:rFonts w:cs="Calibri"/>
                <w:szCs w:val="16"/>
              </w:rPr>
            </w:pPr>
            <w:r w:rsidRPr="00BE78CA">
              <w:t>3.9</w:t>
            </w:r>
          </w:p>
        </w:tc>
        <w:tc>
          <w:tcPr>
            <w:tcW w:w="794" w:type="dxa"/>
            <w:tcBorders>
              <w:top w:val="single" w:sz="4" w:space="0" w:color="365F91"/>
              <w:left w:val="nil"/>
              <w:bottom w:val="single" w:sz="4" w:space="0" w:color="365F91"/>
              <w:right w:val="nil"/>
            </w:tcBorders>
            <w:hideMark/>
          </w:tcPr>
          <w:p w14:paraId="7F285698" w14:textId="77777777" w:rsidR="00FB19C0" w:rsidRPr="00BE78CA" w:rsidRDefault="00FB19C0" w:rsidP="00C26084">
            <w:pPr>
              <w:pStyle w:val="TableText"/>
              <w:spacing w:before="50" w:after="50"/>
              <w:jc w:val="center"/>
              <w:rPr>
                <w:rFonts w:cs="Calibri"/>
                <w:szCs w:val="16"/>
              </w:rPr>
            </w:pPr>
            <w:r w:rsidRPr="00BE78CA">
              <w:t>3.2</w:t>
            </w:r>
          </w:p>
        </w:tc>
        <w:tc>
          <w:tcPr>
            <w:tcW w:w="794" w:type="dxa"/>
            <w:tcBorders>
              <w:top w:val="single" w:sz="4" w:space="0" w:color="365F91"/>
              <w:left w:val="nil"/>
              <w:bottom w:val="single" w:sz="4" w:space="0" w:color="365F91"/>
              <w:right w:val="nil"/>
            </w:tcBorders>
          </w:tcPr>
          <w:p w14:paraId="498EF8FC" w14:textId="77777777" w:rsidR="00FB19C0" w:rsidRPr="00BE78CA" w:rsidRDefault="00FB19C0" w:rsidP="00C26084">
            <w:pPr>
              <w:pStyle w:val="TableText"/>
              <w:spacing w:before="50" w:after="50"/>
              <w:jc w:val="center"/>
              <w:rPr>
                <w:rFonts w:cs="Calibri"/>
                <w:szCs w:val="16"/>
              </w:rPr>
            </w:pPr>
            <w:r w:rsidRPr="00BE78CA">
              <w:t>2.9</w:t>
            </w:r>
          </w:p>
        </w:tc>
        <w:tc>
          <w:tcPr>
            <w:tcW w:w="680" w:type="dxa"/>
            <w:tcBorders>
              <w:top w:val="single" w:sz="4" w:space="0" w:color="365F91"/>
              <w:left w:val="nil"/>
              <w:bottom w:val="single" w:sz="4" w:space="0" w:color="365F91"/>
              <w:right w:val="nil"/>
            </w:tcBorders>
            <w:hideMark/>
          </w:tcPr>
          <w:p w14:paraId="0CF2A774" w14:textId="77777777" w:rsidR="00FB19C0" w:rsidRPr="00BE78CA" w:rsidRDefault="00FB19C0" w:rsidP="00C26084">
            <w:pPr>
              <w:pStyle w:val="TableText"/>
              <w:spacing w:before="50" w:after="50"/>
              <w:jc w:val="center"/>
              <w:rPr>
                <w:rFonts w:cs="Calibri"/>
                <w:szCs w:val="16"/>
              </w:rPr>
            </w:pPr>
            <w:r w:rsidRPr="00BE78CA">
              <w:t>41.4</w:t>
            </w:r>
          </w:p>
        </w:tc>
        <w:tc>
          <w:tcPr>
            <w:tcW w:w="1985" w:type="dxa"/>
            <w:tcBorders>
              <w:top w:val="single" w:sz="4" w:space="0" w:color="365F91"/>
              <w:left w:val="nil"/>
              <w:bottom w:val="single" w:sz="4" w:space="0" w:color="365F91"/>
              <w:right w:val="nil"/>
            </w:tcBorders>
            <w:hideMark/>
          </w:tcPr>
          <w:p w14:paraId="540EC0B1" w14:textId="77777777" w:rsidR="00FB19C0" w:rsidRPr="00BE78CA" w:rsidRDefault="00FB19C0" w:rsidP="00C26084">
            <w:pPr>
              <w:pStyle w:val="TableText"/>
              <w:spacing w:before="50" w:after="50"/>
              <w:rPr>
                <w:rFonts w:cs="Calibri"/>
                <w:szCs w:val="16"/>
              </w:rPr>
            </w:pPr>
            <w:r w:rsidRPr="00BE78CA">
              <w:rPr>
                <w:rFonts w:cs="Calibri"/>
                <w:szCs w:val="16"/>
              </w:rPr>
              <w:t>Interpolation</w:t>
            </w:r>
          </w:p>
        </w:tc>
      </w:tr>
      <w:tr w:rsidR="00FB19C0" w:rsidRPr="00BE78CA" w14:paraId="4DDAB546" w14:textId="77777777" w:rsidTr="00C26084">
        <w:tc>
          <w:tcPr>
            <w:tcW w:w="964" w:type="dxa"/>
            <w:tcBorders>
              <w:top w:val="single" w:sz="4" w:space="0" w:color="365F91"/>
              <w:left w:val="nil"/>
              <w:bottom w:val="single" w:sz="4" w:space="0" w:color="365F91"/>
              <w:right w:val="nil"/>
            </w:tcBorders>
            <w:hideMark/>
          </w:tcPr>
          <w:p w14:paraId="73C6D8D1" w14:textId="77777777" w:rsidR="00FB19C0" w:rsidRPr="00BE78CA" w:rsidRDefault="00FB19C0" w:rsidP="00C26084">
            <w:pPr>
              <w:pStyle w:val="TableTextBold"/>
              <w:spacing w:before="50" w:after="50"/>
              <w:rPr>
                <w:rFonts w:cs="Calibri"/>
                <w:noProof w:val="0"/>
                <w:szCs w:val="16"/>
              </w:rPr>
            </w:pPr>
            <w:r w:rsidRPr="00BE78CA">
              <w:rPr>
                <w:rFonts w:cs="Calibri"/>
                <w:noProof w:val="0"/>
                <w:szCs w:val="16"/>
              </w:rPr>
              <w:t>2008</w:t>
            </w:r>
          </w:p>
        </w:tc>
        <w:tc>
          <w:tcPr>
            <w:tcW w:w="737" w:type="dxa"/>
            <w:tcBorders>
              <w:top w:val="single" w:sz="4" w:space="0" w:color="365F91"/>
              <w:left w:val="nil"/>
              <w:bottom w:val="single" w:sz="4" w:space="0" w:color="365F91"/>
              <w:right w:val="nil"/>
            </w:tcBorders>
            <w:hideMark/>
          </w:tcPr>
          <w:p w14:paraId="2E78BEE4" w14:textId="77777777" w:rsidR="00FB19C0" w:rsidRPr="00BE78CA" w:rsidRDefault="00FB19C0" w:rsidP="00C26084">
            <w:pPr>
              <w:pStyle w:val="TableText"/>
              <w:spacing w:before="50" w:after="50"/>
              <w:jc w:val="center"/>
              <w:rPr>
                <w:rFonts w:cs="Calibri"/>
                <w:szCs w:val="16"/>
              </w:rPr>
            </w:pPr>
            <w:r w:rsidRPr="00BE78CA">
              <w:t>17.1</w:t>
            </w:r>
          </w:p>
        </w:tc>
        <w:tc>
          <w:tcPr>
            <w:tcW w:w="794" w:type="dxa"/>
            <w:tcBorders>
              <w:top w:val="single" w:sz="4" w:space="0" w:color="365F91"/>
              <w:left w:val="nil"/>
              <w:bottom w:val="single" w:sz="4" w:space="0" w:color="365F91"/>
              <w:right w:val="nil"/>
            </w:tcBorders>
            <w:hideMark/>
          </w:tcPr>
          <w:p w14:paraId="693FF922" w14:textId="77777777" w:rsidR="00FB19C0" w:rsidRPr="00BE78CA" w:rsidRDefault="00FB19C0" w:rsidP="00C26084">
            <w:pPr>
              <w:pStyle w:val="TableText"/>
              <w:spacing w:before="50" w:after="50"/>
              <w:jc w:val="center"/>
              <w:rPr>
                <w:rFonts w:cs="Calibri"/>
                <w:szCs w:val="16"/>
              </w:rPr>
            </w:pPr>
            <w:r w:rsidRPr="00BE78CA">
              <w:t>9.4</w:t>
            </w:r>
          </w:p>
        </w:tc>
        <w:tc>
          <w:tcPr>
            <w:tcW w:w="794" w:type="dxa"/>
            <w:tcBorders>
              <w:top w:val="single" w:sz="4" w:space="0" w:color="365F91"/>
              <w:left w:val="nil"/>
              <w:bottom w:val="single" w:sz="4" w:space="0" w:color="365F91"/>
              <w:right w:val="nil"/>
            </w:tcBorders>
            <w:hideMark/>
          </w:tcPr>
          <w:p w14:paraId="5645720E" w14:textId="77777777" w:rsidR="00FB19C0" w:rsidRPr="00BE78CA" w:rsidRDefault="00FB19C0" w:rsidP="00C26084">
            <w:pPr>
              <w:pStyle w:val="TableText"/>
              <w:spacing w:before="50" w:after="50"/>
              <w:jc w:val="center"/>
              <w:rPr>
                <w:rFonts w:cs="Calibri"/>
                <w:szCs w:val="16"/>
              </w:rPr>
            </w:pPr>
            <w:r w:rsidRPr="00BE78CA">
              <w:t>9.0</w:t>
            </w:r>
          </w:p>
        </w:tc>
        <w:tc>
          <w:tcPr>
            <w:tcW w:w="680" w:type="dxa"/>
            <w:tcBorders>
              <w:top w:val="single" w:sz="4" w:space="0" w:color="365F91"/>
              <w:left w:val="nil"/>
              <w:bottom w:val="single" w:sz="4" w:space="0" w:color="365F91"/>
              <w:right w:val="nil"/>
            </w:tcBorders>
            <w:hideMark/>
          </w:tcPr>
          <w:p w14:paraId="413561B8" w14:textId="77777777" w:rsidR="00FB19C0" w:rsidRPr="00BE78CA" w:rsidRDefault="00FB19C0" w:rsidP="00C26084">
            <w:pPr>
              <w:pStyle w:val="TableText"/>
              <w:spacing w:before="50" w:after="50"/>
              <w:jc w:val="center"/>
              <w:rPr>
                <w:rFonts w:cs="Calibri"/>
                <w:szCs w:val="16"/>
              </w:rPr>
            </w:pPr>
            <w:r w:rsidRPr="00BE78CA">
              <w:t>12.0</w:t>
            </w:r>
          </w:p>
        </w:tc>
        <w:tc>
          <w:tcPr>
            <w:tcW w:w="794" w:type="dxa"/>
            <w:tcBorders>
              <w:top w:val="single" w:sz="4" w:space="0" w:color="365F91"/>
              <w:left w:val="nil"/>
              <w:bottom w:val="single" w:sz="4" w:space="0" w:color="365F91"/>
              <w:right w:val="nil"/>
            </w:tcBorders>
            <w:hideMark/>
          </w:tcPr>
          <w:p w14:paraId="37F2B97E" w14:textId="77777777" w:rsidR="00FB19C0" w:rsidRPr="00BE78CA" w:rsidRDefault="00FB19C0" w:rsidP="00C26084">
            <w:pPr>
              <w:pStyle w:val="TableText"/>
              <w:spacing w:before="50" w:after="50"/>
              <w:jc w:val="center"/>
              <w:rPr>
                <w:rFonts w:cs="Calibri"/>
                <w:szCs w:val="16"/>
              </w:rPr>
            </w:pPr>
            <w:r w:rsidRPr="00BE78CA">
              <w:t>3.8</w:t>
            </w:r>
          </w:p>
        </w:tc>
        <w:tc>
          <w:tcPr>
            <w:tcW w:w="794" w:type="dxa"/>
            <w:tcBorders>
              <w:top w:val="single" w:sz="4" w:space="0" w:color="365F91"/>
              <w:left w:val="nil"/>
              <w:bottom w:val="single" w:sz="4" w:space="0" w:color="365F91"/>
              <w:right w:val="nil"/>
            </w:tcBorders>
            <w:hideMark/>
          </w:tcPr>
          <w:p w14:paraId="75C2F4F5" w14:textId="77777777" w:rsidR="00FB19C0" w:rsidRPr="00BE78CA" w:rsidRDefault="00FB19C0" w:rsidP="00C26084">
            <w:pPr>
              <w:pStyle w:val="TableText"/>
              <w:spacing w:before="50" w:after="50"/>
              <w:jc w:val="center"/>
              <w:rPr>
                <w:rFonts w:cs="Calibri"/>
                <w:szCs w:val="16"/>
              </w:rPr>
            </w:pPr>
            <w:r w:rsidRPr="00BE78CA">
              <w:t>3.3</w:t>
            </w:r>
          </w:p>
        </w:tc>
        <w:tc>
          <w:tcPr>
            <w:tcW w:w="794" w:type="dxa"/>
            <w:tcBorders>
              <w:top w:val="single" w:sz="4" w:space="0" w:color="365F91"/>
              <w:left w:val="nil"/>
              <w:bottom w:val="single" w:sz="4" w:space="0" w:color="365F91"/>
              <w:right w:val="nil"/>
            </w:tcBorders>
          </w:tcPr>
          <w:p w14:paraId="533C4135" w14:textId="77777777" w:rsidR="00FB19C0" w:rsidRPr="00BE78CA" w:rsidRDefault="00FB19C0" w:rsidP="00C26084">
            <w:pPr>
              <w:pStyle w:val="TableText"/>
              <w:spacing w:before="50" w:after="50"/>
              <w:jc w:val="center"/>
              <w:rPr>
                <w:rFonts w:cs="Calibri"/>
                <w:szCs w:val="16"/>
              </w:rPr>
            </w:pPr>
            <w:r w:rsidRPr="00BE78CA">
              <w:t>2.9</w:t>
            </w:r>
          </w:p>
        </w:tc>
        <w:tc>
          <w:tcPr>
            <w:tcW w:w="680" w:type="dxa"/>
            <w:tcBorders>
              <w:top w:val="single" w:sz="4" w:space="0" w:color="365F91"/>
              <w:left w:val="nil"/>
              <w:bottom w:val="single" w:sz="4" w:space="0" w:color="365F91"/>
              <w:right w:val="nil"/>
            </w:tcBorders>
            <w:hideMark/>
          </w:tcPr>
          <w:p w14:paraId="499E5ECD" w14:textId="77777777" w:rsidR="00FB19C0" w:rsidRPr="00BE78CA" w:rsidRDefault="00FB19C0" w:rsidP="00C26084">
            <w:pPr>
              <w:pStyle w:val="TableText"/>
              <w:spacing w:before="50" w:after="50"/>
              <w:jc w:val="center"/>
              <w:rPr>
                <w:rFonts w:cs="Calibri"/>
                <w:szCs w:val="16"/>
              </w:rPr>
            </w:pPr>
            <w:r w:rsidRPr="00BE78CA">
              <w:t>42.4</w:t>
            </w:r>
          </w:p>
        </w:tc>
        <w:tc>
          <w:tcPr>
            <w:tcW w:w="1985" w:type="dxa"/>
            <w:tcBorders>
              <w:top w:val="single" w:sz="4" w:space="0" w:color="365F91"/>
              <w:left w:val="nil"/>
              <w:bottom w:val="single" w:sz="4" w:space="0" w:color="365F91"/>
              <w:right w:val="nil"/>
            </w:tcBorders>
            <w:hideMark/>
          </w:tcPr>
          <w:p w14:paraId="5BA7C26D" w14:textId="77777777" w:rsidR="00FB19C0" w:rsidRPr="00BE78CA" w:rsidRDefault="00FB19C0" w:rsidP="00C26084">
            <w:pPr>
              <w:pStyle w:val="TableText"/>
              <w:spacing w:before="50" w:after="50"/>
              <w:rPr>
                <w:rFonts w:cs="Calibri"/>
                <w:szCs w:val="16"/>
              </w:rPr>
            </w:pPr>
            <w:r w:rsidRPr="00BE78CA">
              <w:rPr>
                <w:rFonts w:cs="Calibri"/>
                <w:szCs w:val="16"/>
              </w:rPr>
              <w:t>Survey</w:t>
            </w:r>
          </w:p>
        </w:tc>
      </w:tr>
      <w:tr w:rsidR="00FB19C0" w:rsidRPr="00BE78CA" w14:paraId="10B150BF" w14:textId="77777777" w:rsidTr="00C26084">
        <w:tc>
          <w:tcPr>
            <w:tcW w:w="964" w:type="dxa"/>
            <w:tcBorders>
              <w:top w:val="single" w:sz="4" w:space="0" w:color="365F91"/>
              <w:left w:val="nil"/>
              <w:bottom w:val="single" w:sz="4" w:space="0" w:color="365F91"/>
              <w:right w:val="nil"/>
            </w:tcBorders>
            <w:hideMark/>
          </w:tcPr>
          <w:p w14:paraId="5A692AED" w14:textId="77777777" w:rsidR="00FB19C0" w:rsidRPr="00BE78CA" w:rsidRDefault="00FB19C0" w:rsidP="00C26084">
            <w:pPr>
              <w:pStyle w:val="TableTextBold"/>
              <w:spacing w:before="50" w:after="50"/>
              <w:rPr>
                <w:rFonts w:cs="Calibri"/>
                <w:noProof w:val="0"/>
                <w:szCs w:val="16"/>
              </w:rPr>
            </w:pPr>
            <w:r w:rsidRPr="00BE78CA">
              <w:rPr>
                <w:rFonts w:cs="Calibri"/>
                <w:noProof w:val="0"/>
                <w:szCs w:val="16"/>
              </w:rPr>
              <w:t>2009</w:t>
            </w:r>
          </w:p>
        </w:tc>
        <w:tc>
          <w:tcPr>
            <w:tcW w:w="737" w:type="dxa"/>
            <w:tcBorders>
              <w:top w:val="single" w:sz="4" w:space="0" w:color="365F91"/>
              <w:left w:val="nil"/>
              <w:bottom w:val="single" w:sz="4" w:space="0" w:color="365F91"/>
              <w:right w:val="nil"/>
            </w:tcBorders>
            <w:hideMark/>
          </w:tcPr>
          <w:p w14:paraId="0FA0A08A" w14:textId="77777777" w:rsidR="00FB19C0" w:rsidRPr="00BE78CA" w:rsidRDefault="00FB19C0" w:rsidP="00C26084">
            <w:pPr>
              <w:pStyle w:val="TableText"/>
              <w:spacing w:before="50" w:after="50"/>
              <w:jc w:val="center"/>
              <w:rPr>
                <w:rFonts w:cs="Calibri"/>
                <w:szCs w:val="16"/>
              </w:rPr>
            </w:pPr>
            <w:r w:rsidRPr="00BE78CA">
              <w:t>17.0</w:t>
            </w:r>
          </w:p>
        </w:tc>
        <w:tc>
          <w:tcPr>
            <w:tcW w:w="794" w:type="dxa"/>
            <w:tcBorders>
              <w:top w:val="single" w:sz="4" w:space="0" w:color="365F91"/>
              <w:left w:val="nil"/>
              <w:bottom w:val="single" w:sz="4" w:space="0" w:color="365F91"/>
              <w:right w:val="nil"/>
            </w:tcBorders>
            <w:hideMark/>
          </w:tcPr>
          <w:p w14:paraId="203B8AD4" w14:textId="77777777" w:rsidR="00FB19C0" w:rsidRPr="00BE78CA" w:rsidRDefault="00FB19C0" w:rsidP="00C26084">
            <w:pPr>
              <w:pStyle w:val="TableText"/>
              <w:spacing w:before="50" w:after="50"/>
              <w:jc w:val="center"/>
              <w:rPr>
                <w:rFonts w:cs="Calibri"/>
                <w:szCs w:val="16"/>
              </w:rPr>
            </w:pPr>
            <w:r w:rsidRPr="00BE78CA">
              <w:t>9.1</w:t>
            </w:r>
          </w:p>
        </w:tc>
        <w:tc>
          <w:tcPr>
            <w:tcW w:w="794" w:type="dxa"/>
            <w:tcBorders>
              <w:top w:val="single" w:sz="4" w:space="0" w:color="365F91"/>
              <w:left w:val="nil"/>
              <w:bottom w:val="single" w:sz="4" w:space="0" w:color="365F91"/>
              <w:right w:val="nil"/>
            </w:tcBorders>
            <w:hideMark/>
          </w:tcPr>
          <w:p w14:paraId="27499F70" w14:textId="77777777" w:rsidR="00FB19C0" w:rsidRPr="00BE78CA" w:rsidRDefault="00FB19C0" w:rsidP="00C26084">
            <w:pPr>
              <w:pStyle w:val="TableText"/>
              <w:spacing w:before="50" w:after="50"/>
              <w:jc w:val="center"/>
              <w:rPr>
                <w:rFonts w:cs="Calibri"/>
                <w:szCs w:val="16"/>
              </w:rPr>
            </w:pPr>
            <w:r w:rsidRPr="00BE78CA">
              <w:t>9.4</w:t>
            </w:r>
          </w:p>
        </w:tc>
        <w:tc>
          <w:tcPr>
            <w:tcW w:w="680" w:type="dxa"/>
            <w:tcBorders>
              <w:top w:val="single" w:sz="4" w:space="0" w:color="365F91"/>
              <w:left w:val="nil"/>
              <w:bottom w:val="single" w:sz="4" w:space="0" w:color="365F91"/>
              <w:right w:val="nil"/>
            </w:tcBorders>
            <w:hideMark/>
          </w:tcPr>
          <w:p w14:paraId="4E765CE9" w14:textId="77777777" w:rsidR="00FB19C0" w:rsidRPr="00BE78CA" w:rsidRDefault="00FB19C0" w:rsidP="00C26084">
            <w:pPr>
              <w:pStyle w:val="TableText"/>
              <w:spacing w:before="50" w:after="50"/>
              <w:jc w:val="center"/>
              <w:rPr>
                <w:rFonts w:cs="Calibri"/>
                <w:szCs w:val="16"/>
              </w:rPr>
            </w:pPr>
            <w:r w:rsidRPr="00BE78CA">
              <w:t>12.0</w:t>
            </w:r>
          </w:p>
        </w:tc>
        <w:tc>
          <w:tcPr>
            <w:tcW w:w="794" w:type="dxa"/>
            <w:tcBorders>
              <w:top w:val="single" w:sz="4" w:space="0" w:color="365F91"/>
              <w:left w:val="nil"/>
              <w:bottom w:val="single" w:sz="4" w:space="0" w:color="365F91"/>
              <w:right w:val="nil"/>
            </w:tcBorders>
            <w:hideMark/>
          </w:tcPr>
          <w:p w14:paraId="2DD72C97" w14:textId="77777777" w:rsidR="00FB19C0" w:rsidRPr="00BE78CA" w:rsidRDefault="00FB19C0" w:rsidP="00C26084">
            <w:pPr>
              <w:pStyle w:val="TableText"/>
              <w:spacing w:before="50" w:after="50"/>
              <w:jc w:val="center"/>
              <w:rPr>
                <w:rFonts w:cs="Calibri"/>
                <w:szCs w:val="16"/>
              </w:rPr>
            </w:pPr>
            <w:r w:rsidRPr="00BE78CA">
              <w:t>4.3</w:t>
            </w:r>
          </w:p>
        </w:tc>
        <w:tc>
          <w:tcPr>
            <w:tcW w:w="794" w:type="dxa"/>
            <w:tcBorders>
              <w:top w:val="single" w:sz="4" w:space="0" w:color="365F91"/>
              <w:left w:val="nil"/>
              <w:bottom w:val="single" w:sz="4" w:space="0" w:color="365F91"/>
              <w:right w:val="nil"/>
            </w:tcBorders>
            <w:hideMark/>
          </w:tcPr>
          <w:p w14:paraId="32D65D72" w14:textId="77777777" w:rsidR="00FB19C0" w:rsidRPr="00BE78CA" w:rsidRDefault="00FB19C0" w:rsidP="00C26084">
            <w:pPr>
              <w:pStyle w:val="TableText"/>
              <w:spacing w:before="50" w:after="50"/>
              <w:jc w:val="center"/>
              <w:rPr>
                <w:rFonts w:cs="Calibri"/>
                <w:szCs w:val="16"/>
              </w:rPr>
            </w:pPr>
            <w:r w:rsidRPr="00BE78CA">
              <w:t>3.2</w:t>
            </w:r>
          </w:p>
        </w:tc>
        <w:tc>
          <w:tcPr>
            <w:tcW w:w="794" w:type="dxa"/>
            <w:tcBorders>
              <w:top w:val="single" w:sz="4" w:space="0" w:color="365F91"/>
              <w:left w:val="nil"/>
              <w:bottom w:val="single" w:sz="4" w:space="0" w:color="365F91"/>
              <w:right w:val="nil"/>
            </w:tcBorders>
          </w:tcPr>
          <w:p w14:paraId="64CBA7EB" w14:textId="77777777" w:rsidR="00FB19C0" w:rsidRPr="00BE78CA" w:rsidRDefault="00FB19C0" w:rsidP="00C26084">
            <w:pPr>
              <w:pStyle w:val="TableText"/>
              <w:spacing w:before="50" w:after="50"/>
              <w:jc w:val="center"/>
              <w:rPr>
                <w:rFonts w:cs="Calibri"/>
                <w:szCs w:val="16"/>
              </w:rPr>
            </w:pPr>
            <w:r w:rsidRPr="00BE78CA">
              <w:t>3.2</w:t>
            </w:r>
          </w:p>
        </w:tc>
        <w:tc>
          <w:tcPr>
            <w:tcW w:w="680" w:type="dxa"/>
            <w:tcBorders>
              <w:top w:val="single" w:sz="4" w:space="0" w:color="365F91"/>
              <w:left w:val="nil"/>
              <w:bottom w:val="single" w:sz="4" w:space="0" w:color="365F91"/>
              <w:right w:val="nil"/>
            </w:tcBorders>
            <w:hideMark/>
          </w:tcPr>
          <w:p w14:paraId="73F5C37A" w14:textId="77777777" w:rsidR="00FB19C0" w:rsidRPr="00BE78CA" w:rsidRDefault="00FB19C0" w:rsidP="00C26084">
            <w:pPr>
              <w:pStyle w:val="TableText"/>
              <w:spacing w:before="50" w:after="50"/>
              <w:jc w:val="center"/>
              <w:rPr>
                <w:rFonts w:cs="Calibri"/>
                <w:szCs w:val="16"/>
              </w:rPr>
            </w:pPr>
            <w:r w:rsidRPr="00BE78CA">
              <w:t>41.8</w:t>
            </w:r>
          </w:p>
        </w:tc>
        <w:tc>
          <w:tcPr>
            <w:tcW w:w="1985" w:type="dxa"/>
            <w:tcBorders>
              <w:top w:val="single" w:sz="4" w:space="0" w:color="365F91"/>
              <w:left w:val="nil"/>
              <w:bottom w:val="single" w:sz="4" w:space="0" w:color="365F91"/>
              <w:right w:val="nil"/>
            </w:tcBorders>
            <w:hideMark/>
          </w:tcPr>
          <w:p w14:paraId="365908BF" w14:textId="77777777" w:rsidR="00FB19C0" w:rsidRPr="00BE78CA" w:rsidRDefault="00FB19C0" w:rsidP="00C26084">
            <w:pPr>
              <w:pStyle w:val="TableText"/>
              <w:spacing w:before="50" w:after="50"/>
              <w:rPr>
                <w:rFonts w:cs="Calibri"/>
                <w:szCs w:val="16"/>
              </w:rPr>
            </w:pPr>
            <w:r w:rsidRPr="00BE78CA">
              <w:rPr>
                <w:rFonts w:cs="Calibri"/>
                <w:szCs w:val="16"/>
              </w:rPr>
              <w:t>Interpolation</w:t>
            </w:r>
          </w:p>
        </w:tc>
      </w:tr>
      <w:tr w:rsidR="00FB19C0" w:rsidRPr="00BE78CA" w14:paraId="7D8992BB" w14:textId="77777777" w:rsidTr="00C26084">
        <w:tc>
          <w:tcPr>
            <w:tcW w:w="964" w:type="dxa"/>
            <w:tcBorders>
              <w:top w:val="single" w:sz="4" w:space="0" w:color="365F91"/>
              <w:left w:val="nil"/>
              <w:bottom w:val="single" w:sz="4" w:space="0" w:color="365F91"/>
              <w:right w:val="nil"/>
            </w:tcBorders>
            <w:hideMark/>
          </w:tcPr>
          <w:p w14:paraId="7D735C31" w14:textId="77777777" w:rsidR="00FB19C0" w:rsidRPr="00BE78CA" w:rsidRDefault="00FB19C0" w:rsidP="00C26084">
            <w:pPr>
              <w:pStyle w:val="TableTextBold"/>
              <w:spacing w:before="50" w:after="50"/>
              <w:rPr>
                <w:rFonts w:cs="Calibri"/>
                <w:noProof w:val="0"/>
                <w:szCs w:val="16"/>
              </w:rPr>
            </w:pPr>
            <w:r w:rsidRPr="00BE78CA">
              <w:rPr>
                <w:rFonts w:cs="Calibri"/>
                <w:noProof w:val="0"/>
                <w:szCs w:val="16"/>
              </w:rPr>
              <w:t>2010</w:t>
            </w:r>
          </w:p>
        </w:tc>
        <w:tc>
          <w:tcPr>
            <w:tcW w:w="737" w:type="dxa"/>
            <w:tcBorders>
              <w:top w:val="single" w:sz="4" w:space="0" w:color="365F91"/>
              <w:left w:val="nil"/>
              <w:bottom w:val="single" w:sz="4" w:space="0" w:color="365F91"/>
              <w:right w:val="nil"/>
            </w:tcBorders>
            <w:hideMark/>
          </w:tcPr>
          <w:p w14:paraId="4DA4B577" w14:textId="77777777" w:rsidR="00FB19C0" w:rsidRPr="00BE78CA" w:rsidRDefault="00FB19C0" w:rsidP="00C26084">
            <w:pPr>
              <w:pStyle w:val="TableText"/>
              <w:spacing w:before="50" w:after="50"/>
              <w:jc w:val="center"/>
              <w:rPr>
                <w:rFonts w:cs="Calibri"/>
                <w:szCs w:val="16"/>
              </w:rPr>
            </w:pPr>
            <w:r w:rsidRPr="00BE78CA">
              <w:t>16.9</w:t>
            </w:r>
          </w:p>
        </w:tc>
        <w:tc>
          <w:tcPr>
            <w:tcW w:w="794" w:type="dxa"/>
            <w:tcBorders>
              <w:top w:val="single" w:sz="4" w:space="0" w:color="365F91"/>
              <w:left w:val="nil"/>
              <w:bottom w:val="single" w:sz="4" w:space="0" w:color="365F91"/>
              <w:right w:val="nil"/>
            </w:tcBorders>
            <w:hideMark/>
          </w:tcPr>
          <w:p w14:paraId="42D28533" w14:textId="77777777" w:rsidR="00FB19C0" w:rsidRPr="00BE78CA" w:rsidRDefault="00FB19C0" w:rsidP="00C26084">
            <w:pPr>
              <w:pStyle w:val="TableText"/>
              <w:spacing w:before="50" w:after="50"/>
              <w:jc w:val="center"/>
              <w:rPr>
                <w:rFonts w:cs="Calibri"/>
                <w:szCs w:val="16"/>
              </w:rPr>
            </w:pPr>
            <w:r w:rsidRPr="00BE78CA">
              <w:t>8.9</w:t>
            </w:r>
          </w:p>
        </w:tc>
        <w:tc>
          <w:tcPr>
            <w:tcW w:w="794" w:type="dxa"/>
            <w:tcBorders>
              <w:top w:val="single" w:sz="4" w:space="0" w:color="365F91"/>
              <w:left w:val="nil"/>
              <w:bottom w:val="single" w:sz="4" w:space="0" w:color="365F91"/>
              <w:right w:val="nil"/>
            </w:tcBorders>
            <w:hideMark/>
          </w:tcPr>
          <w:p w14:paraId="214CCFBE" w14:textId="77777777" w:rsidR="00FB19C0" w:rsidRPr="00BE78CA" w:rsidRDefault="00FB19C0" w:rsidP="00C26084">
            <w:pPr>
              <w:pStyle w:val="TableText"/>
              <w:spacing w:before="50" w:after="50"/>
              <w:jc w:val="center"/>
              <w:rPr>
                <w:rFonts w:cs="Calibri"/>
                <w:szCs w:val="16"/>
              </w:rPr>
            </w:pPr>
            <w:r w:rsidRPr="00BE78CA">
              <w:t>9.8</w:t>
            </w:r>
          </w:p>
        </w:tc>
        <w:tc>
          <w:tcPr>
            <w:tcW w:w="680" w:type="dxa"/>
            <w:tcBorders>
              <w:top w:val="single" w:sz="4" w:space="0" w:color="365F91"/>
              <w:left w:val="nil"/>
              <w:bottom w:val="single" w:sz="4" w:space="0" w:color="365F91"/>
              <w:right w:val="nil"/>
            </w:tcBorders>
            <w:hideMark/>
          </w:tcPr>
          <w:p w14:paraId="1ACA7A2D" w14:textId="77777777" w:rsidR="00FB19C0" w:rsidRPr="00BE78CA" w:rsidRDefault="00FB19C0" w:rsidP="00C26084">
            <w:pPr>
              <w:pStyle w:val="TableText"/>
              <w:spacing w:before="50" w:after="50"/>
              <w:jc w:val="center"/>
              <w:rPr>
                <w:rFonts w:cs="Calibri"/>
                <w:szCs w:val="16"/>
              </w:rPr>
            </w:pPr>
            <w:r w:rsidRPr="00BE78CA">
              <w:t>11.9</w:t>
            </w:r>
          </w:p>
        </w:tc>
        <w:tc>
          <w:tcPr>
            <w:tcW w:w="794" w:type="dxa"/>
            <w:tcBorders>
              <w:top w:val="single" w:sz="4" w:space="0" w:color="365F91"/>
              <w:left w:val="nil"/>
              <w:bottom w:val="single" w:sz="4" w:space="0" w:color="365F91"/>
              <w:right w:val="nil"/>
            </w:tcBorders>
            <w:hideMark/>
          </w:tcPr>
          <w:p w14:paraId="64BDD521" w14:textId="77777777" w:rsidR="00FB19C0" w:rsidRPr="00BE78CA" w:rsidRDefault="00FB19C0" w:rsidP="00C26084">
            <w:pPr>
              <w:pStyle w:val="TableText"/>
              <w:spacing w:before="50" w:after="50"/>
              <w:jc w:val="center"/>
              <w:rPr>
                <w:rFonts w:cs="Calibri"/>
                <w:szCs w:val="16"/>
              </w:rPr>
            </w:pPr>
            <w:r w:rsidRPr="00BE78CA">
              <w:t>4.7</w:t>
            </w:r>
          </w:p>
        </w:tc>
        <w:tc>
          <w:tcPr>
            <w:tcW w:w="794" w:type="dxa"/>
            <w:tcBorders>
              <w:top w:val="single" w:sz="4" w:space="0" w:color="365F91"/>
              <w:left w:val="nil"/>
              <w:bottom w:val="single" w:sz="4" w:space="0" w:color="365F91"/>
              <w:right w:val="nil"/>
            </w:tcBorders>
            <w:hideMark/>
          </w:tcPr>
          <w:p w14:paraId="61A64973" w14:textId="77777777" w:rsidR="00FB19C0" w:rsidRPr="00BE78CA" w:rsidRDefault="00FB19C0" w:rsidP="00C26084">
            <w:pPr>
              <w:pStyle w:val="TableText"/>
              <w:spacing w:before="50" w:after="50"/>
              <w:jc w:val="center"/>
              <w:rPr>
                <w:rFonts w:cs="Calibri"/>
                <w:szCs w:val="16"/>
              </w:rPr>
            </w:pPr>
            <w:r w:rsidRPr="00BE78CA">
              <w:t>3.2</w:t>
            </w:r>
          </w:p>
        </w:tc>
        <w:tc>
          <w:tcPr>
            <w:tcW w:w="794" w:type="dxa"/>
            <w:tcBorders>
              <w:top w:val="single" w:sz="4" w:space="0" w:color="365F91"/>
              <w:left w:val="nil"/>
              <w:bottom w:val="single" w:sz="4" w:space="0" w:color="365F91"/>
              <w:right w:val="nil"/>
            </w:tcBorders>
          </w:tcPr>
          <w:p w14:paraId="435CA149" w14:textId="77777777" w:rsidR="00FB19C0" w:rsidRPr="00BE78CA" w:rsidRDefault="00FB19C0" w:rsidP="00C26084">
            <w:pPr>
              <w:pStyle w:val="TableText"/>
              <w:spacing w:before="50" w:after="50"/>
              <w:jc w:val="center"/>
              <w:rPr>
                <w:rFonts w:cs="Calibri"/>
                <w:szCs w:val="16"/>
              </w:rPr>
            </w:pPr>
            <w:r w:rsidRPr="00BE78CA">
              <w:t>3.4</w:t>
            </w:r>
          </w:p>
        </w:tc>
        <w:tc>
          <w:tcPr>
            <w:tcW w:w="680" w:type="dxa"/>
            <w:tcBorders>
              <w:top w:val="single" w:sz="4" w:space="0" w:color="365F91"/>
              <w:left w:val="nil"/>
              <w:bottom w:val="single" w:sz="4" w:space="0" w:color="365F91"/>
              <w:right w:val="nil"/>
            </w:tcBorders>
            <w:hideMark/>
          </w:tcPr>
          <w:p w14:paraId="53A4458F" w14:textId="77777777" w:rsidR="00FB19C0" w:rsidRPr="00BE78CA" w:rsidRDefault="00FB19C0" w:rsidP="00C26084">
            <w:pPr>
              <w:pStyle w:val="TableText"/>
              <w:spacing w:before="50" w:after="50"/>
              <w:jc w:val="center"/>
              <w:rPr>
                <w:rFonts w:cs="Calibri"/>
                <w:szCs w:val="16"/>
              </w:rPr>
            </w:pPr>
            <w:r w:rsidRPr="00BE78CA">
              <w:t>41.1</w:t>
            </w:r>
          </w:p>
        </w:tc>
        <w:tc>
          <w:tcPr>
            <w:tcW w:w="1985" w:type="dxa"/>
            <w:tcBorders>
              <w:top w:val="single" w:sz="4" w:space="0" w:color="365F91"/>
              <w:left w:val="nil"/>
              <w:bottom w:val="single" w:sz="4" w:space="0" w:color="365F91"/>
              <w:right w:val="nil"/>
            </w:tcBorders>
            <w:hideMark/>
          </w:tcPr>
          <w:p w14:paraId="600D6932" w14:textId="77777777" w:rsidR="00FB19C0" w:rsidRPr="00BE78CA" w:rsidRDefault="00FB19C0" w:rsidP="00C26084">
            <w:pPr>
              <w:pStyle w:val="TableText"/>
              <w:spacing w:before="50" w:after="50"/>
              <w:rPr>
                <w:rFonts w:cs="Calibri"/>
                <w:szCs w:val="16"/>
              </w:rPr>
            </w:pPr>
            <w:r w:rsidRPr="00BE78CA">
              <w:rPr>
                <w:rFonts w:cs="Calibri"/>
                <w:szCs w:val="16"/>
              </w:rPr>
              <w:t>Interpolation</w:t>
            </w:r>
          </w:p>
        </w:tc>
      </w:tr>
      <w:tr w:rsidR="00FB19C0" w:rsidRPr="00BE78CA" w14:paraId="44818581" w14:textId="77777777" w:rsidTr="00C26084">
        <w:tc>
          <w:tcPr>
            <w:tcW w:w="964" w:type="dxa"/>
            <w:tcBorders>
              <w:top w:val="single" w:sz="4" w:space="0" w:color="365F91"/>
              <w:left w:val="nil"/>
              <w:bottom w:val="single" w:sz="4" w:space="0" w:color="365F91"/>
              <w:right w:val="nil"/>
            </w:tcBorders>
            <w:hideMark/>
          </w:tcPr>
          <w:p w14:paraId="21CEFB88" w14:textId="77777777" w:rsidR="00FB19C0" w:rsidRPr="00BE78CA" w:rsidRDefault="00FB19C0" w:rsidP="00C26084">
            <w:pPr>
              <w:pStyle w:val="TableTextBold"/>
              <w:spacing w:before="50" w:after="50"/>
              <w:rPr>
                <w:rFonts w:cs="Calibri"/>
                <w:noProof w:val="0"/>
                <w:szCs w:val="16"/>
              </w:rPr>
            </w:pPr>
            <w:r w:rsidRPr="00BE78CA">
              <w:rPr>
                <w:rFonts w:cs="Calibri"/>
                <w:noProof w:val="0"/>
                <w:szCs w:val="16"/>
              </w:rPr>
              <w:t>2011</w:t>
            </w:r>
          </w:p>
        </w:tc>
        <w:tc>
          <w:tcPr>
            <w:tcW w:w="737" w:type="dxa"/>
            <w:tcBorders>
              <w:top w:val="single" w:sz="4" w:space="0" w:color="365F91"/>
              <w:left w:val="nil"/>
              <w:bottom w:val="single" w:sz="4" w:space="0" w:color="365F91"/>
              <w:right w:val="nil"/>
            </w:tcBorders>
            <w:hideMark/>
          </w:tcPr>
          <w:p w14:paraId="1C9463F4" w14:textId="77777777" w:rsidR="00FB19C0" w:rsidRPr="00BE78CA" w:rsidRDefault="00FB19C0" w:rsidP="00C26084">
            <w:pPr>
              <w:pStyle w:val="TableText"/>
              <w:spacing w:before="50" w:after="50"/>
              <w:jc w:val="center"/>
              <w:rPr>
                <w:rFonts w:cs="Calibri"/>
                <w:szCs w:val="16"/>
              </w:rPr>
            </w:pPr>
            <w:r w:rsidRPr="00BE78CA">
              <w:t>16.9</w:t>
            </w:r>
          </w:p>
        </w:tc>
        <w:tc>
          <w:tcPr>
            <w:tcW w:w="794" w:type="dxa"/>
            <w:tcBorders>
              <w:top w:val="single" w:sz="4" w:space="0" w:color="365F91"/>
              <w:left w:val="nil"/>
              <w:bottom w:val="single" w:sz="4" w:space="0" w:color="365F91"/>
              <w:right w:val="nil"/>
            </w:tcBorders>
            <w:hideMark/>
          </w:tcPr>
          <w:p w14:paraId="03CB4F6D" w14:textId="77777777" w:rsidR="00FB19C0" w:rsidRPr="00BE78CA" w:rsidRDefault="00FB19C0" w:rsidP="00C26084">
            <w:pPr>
              <w:pStyle w:val="TableText"/>
              <w:spacing w:before="50" w:after="50"/>
              <w:jc w:val="center"/>
              <w:rPr>
                <w:rFonts w:cs="Calibri"/>
                <w:szCs w:val="16"/>
              </w:rPr>
            </w:pPr>
            <w:r w:rsidRPr="00BE78CA">
              <w:t>8.6</w:t>
            </w:r>
          </w:p>
        </w:tc>
        <w:tc>
          <w:tcPr>
            <w:tcW w:w="794" w:type="dxa"/>
            <w:tcBorders>
              <w:top w:val="single" w:sz="4" w:space="0" w:color="365F91"/>
              <w:left w:val="nil"/>
              <w:bottom w:val="single" w:sz="4" w:space="0" w:color="365F91"/>
              <w:right w:val="nil"/>
            </w:tcBorders>
            <w:hideMark/>
          </w:tcPr>
          <w:p w14:paraId="29B2BC86" w14:textId="77777777" w:rsidR="00FB19C0" w:rsidRPr="00BE78CA" w:rsidRDefault="00FB19C0" w:rsidP="00C26084">
            <w:pPr>
              <w:pStyle w:val="TableText"/>
              <w:spacing w:before="50" w:after="50"/>
              <w:jc w:val="center"/>
              <w:rPr>
                <w:rFonts w:cs="Calibri"/>
                <w:szCs w:val="16"/>
              </w:rPr>
            </w:pPr>
            <w:r w:rsidRPr="00BE78CA">
              <w:t>10.3</w:t>
            </w:r>
          </w:p>
        </w:tc>
        <w:tc>
          <w:tcPr>
            <w:tcW w:w="680" w:type="dxa"/>
            <w:tcBorders>
              <w:top w:val="single" w:sz="4" w:space="0" w:color="365F91"/>
              <w:left w:val="nil"/>
              <w:bottom w:val="single" w:sz="4" w:space="0" w:color="365F91"/>
              <w:right w:val="nil"/>
            </w:tcBorders>
            <w:hideMark/>
          </w:tcPr>
          <w:p w14:paraId="48F735CC" w14:textId="77777777" w:rsidR="00FB19C0" w:rsidRPr="00BE78CA" w:rsidRDefault="00FB19C0" w:rsidP="00C26084">
            <w:pPr>
              <w:pStyle w:val="TableText"/>
              <w:spacing w:before="50" w:after="50"/>
              <w:jc w:val="center"/>
              <w:rPr>
                <w:rFonts w:cs="Calibri"/>
                <w:szCs w:val="16"/>
              </w:rPr>
            </w:pPr>
            <w:r w:rsidRPr="00BE78CA">
              <w:t>11.9</w:t>
            </w:r>
          </w:p>
        </w:tc>
        <w:tc>
          <w:tcPr>
            <w:tcW w:w="794" w:type="dxa"/>
            <w:tcBorders>
              <w:top w:val="single" w:sz="4" w:space="0" w:color="365F91"/>
              <w:left w:val="nil"/>
              <w:bottom w:val="single" w:sz="4" w:space="0" w:color="365F91"/>
              <w:right w:val="nil"/>
            </w:tcBorders>
            <w:hideMark/>
          </w:tcPr>
          <w:p w14:paraId="4ED7BA23" w14:textId="77777777" w:rsidR="00FB19C0" w:rsidRPr="00BE78CA" w:rsidRDefault="00FB19C0" w:rsidP="00C26084">
            <w:pPr>
              <w:pStyle w:val="TableText"/>
              <w:spacing w:before="50" w:after="50"/>
              <w:jc w:val="center"/>
              <w:rPr>
                <w:rFonts w:cs="Calibri"/>
                <w:szCs w:val="16"/>
              </w:rPr>
            </w:pPr>
            <w:r w:rsidRPr="00BE78CA">
              <w:t>5.2</w:t>
            </w:r>
          </w:p>
        </w:tc>
        <w:tc>
          <w:tcPr>
            <w:tcW w:w="794" w:type="dxa"/>
            <w:tcBorders>
              <w:top w:val="single" w:sz="4" w:space="0" w:color="365F91"/>
              <w:left w:val="nil"/>
              <w:bottom w:val="single" w:sz="4" w:space="0" w:color="365F91"/>
              <w:right w:val="nil"/>
            </w:tcBorders>
            <w:hideMark/>
          </w:tcPr>
          <w:p w14:paraId="450CA130" w14:textId="77777777" w:rsidR="00FB19C0" w:rsidRPr="00BE78CA" w:rsidRDefault="00FB19C0" w:rsidP="00C26084">
            <w:pPr>
              <w:pStyle w:val="TableText"/>
              <w:spacing w:before="50" w:after="50"/>
              <w:jc w:val="center"/>
              <w:rPr>
                <w:rFonts w:cs="Calibri"/>
                <w:szCs w:val="16"/>
              </w:rPr>
            </w:pPr>
            <w:r w:rsidRPr="00BE78CA">
              <w:t>3.1</w:t>
            </w:r>
          </w:p>
        </w:tc>
        <w:tc>
          <w:tcPr>
            <w:tcW w:w="794" w:type="dxa"/>
            <w:tcBorders>
              <w:top w:val="single" w:sz="4" w:space="0" w:color="365F91"/>
              <w:left w:val="nil"/>
              <w:bottom w:val="single" w:sz="4" w:space="0" w:color="365F91"/>
              <w:right w:val="nil"/>
            </w:tcBorders>
          </w:tcPr>
          <w:p w14:paraId="10908B6D" w14:textId="77777777" w:rsidR="00FB19C0" w:rsidRPr="00BE78CA" w:rsidRDefault="00FB19C0" w:rsidP="00C26084">
            <w:pPr>
              <w:pStyle w:val="TableText"/>
              <w:spacing w:before="50" w:after="50"/>
              <w:jc w:val="center"/>
              <w:rPr>
                <w:rFonts w:cs="Calibri"/>
                <w:szCs w:val="16"/>
              </w:rPr>
            </w:pPr>
            <w:r w:rsidRPr="00BE78CA">
              <w:t>3.7</w:t>
            </w:r>
          </w:p>
        </w:tc>
        <w:tc>
          <w:tcPr>
            <w:tcW w:w="680" w:type="dxa"/>
            <w:tcBorders>
              <w:top w:val="single" w:sz="4" w:space="0" w:color="365F91"/>
              <w:left w:val="nil"/>
              <w:bottom w:val="single" w:sz="4" w:space="0" w:color="365F91"/>
              <w:right w:val="nil"/>
            </w:tcBorders>
            <w:hideMark/>
          </w:tcPr>
          <w:p w14:paraId="14419809" w14:textId="77777777" w:rsidR="00FB19C0" w:rsidRPr="00BE78CA" w:rsidRDefault="00FB19C0" w:rsidP="00C26084">
            <w:pPr>
              <w:pStyle w:val="TableText"/>
              <w:spacing w:before="50" w:after="50"/>
              <w:jc w:val="center"/>
              <w:rPr>
                <w:rFonts w:cs="Calibri"/>
                <w:szCs w:val="16"/>
              </w:rPr>
            </w:pPr>
            <w:r w:rsidRPr="00BE78CA">
              <w:t>40.5</w:t>
            </w:r>
          </w:p>
        </w:tc>
        <w:tc>
          <w:tcPr>
            <w:tcW w:w="1985" w:type="dxa"/>
            <w:tcBorders>
              <w:top w:val="single" w:sz="4" w:space="0" w:color="365F91"/>
              <w:left w:val="nil"/>
              <w:bottom w:val="single" w:sz="4" w:space="0" w:color="365F91"/>
              <w:right w:val="nil"/>
            </w:tcBorders>
            <w:hideMark/>
          </w:tcPr>
          <w:p w14:paraId="33725707" w14:textId="77777777" w:rsidR="00FB19C0" w:rsidRPr="00BE78CA" w:rsidRDefault="00FB19C0" w:rsidP="00C26084">
            <w:pPr>
              <w:pStyle w:val="TableText"/>
              <w:spacing w:before="50" w:after="50"/>
              <w:rPr>
                <w:rFonts w:cs="Calibri"/>
                <w:szCs w:val="16"/>
              </w:rPr>
            </w:pPr>
            <w:r w:rsidRPr="00BE78CA">
              <w:rPr>
                <w:rFonts w:cs="Calibri"/>
                <w:szCs w:val="16"/>
              </w:rPr>
              <w:t>Interpolation</w:t>
            </w:r>
          </w:p>
        </w:tc>
      </w:tr>
      <w:tr w:rsidR="00FB19C0" w:rsidRPr="00BE78CA" w14:paraId="3D01B8BF" w14:textId="77777777" w:rsidTr="00C26084">
        <w:tc>
          <w:tcPr>
            <w:tcW w:w="964" w:type="dxa"/>
            <w:tcBorders>
              <w:top w:val="single" w:sz="4" w:space="0" w:color="365F91"/>
              <w:left w:val="nil"/>
              <w:bottom w:val="single" w:sz="4" w:space="0" w:color="365F91"/>
              <w:right w:val="nil"/>
            </w:tcBorders>
            <w:hideMark/>
          </w:tcPr>
          <w:p w14:paraId="37EB7729" w14:textId="77777777" w:rsidR="00FB19C0" w:rsidRPr="00BE78CA" w:rsidRDefault="00FB19C0" w:rsidP="00C26084">
            <w:pPr>
              <w:pStyle w:val="TableTextBold"/>
              <w:spacing w:before="50" w:after="50"/>
              <w:rPr>
                <w:rFonts w:cs="Calibri"/>
                <w:noProof w:val="0"/>
                <w:szCs w:val="16"/>
              </w:rPr>
            </w:pPr>
            <w:r w:rsidRPr="00BE78CA">
              <w:rPr>
                <w:rFonts w:cs="Calibri"/>
                <w:noProof w:val="0"/>
                <w:szCs w:val="16"/>
              </w:rPr>
              <w:t>2012</w:t>
            </w:r>
          </w:p>
        </w:tc>
        <w:tc>
          <w:tcPr>
            <w:tcW w:w="737" w:type="dxa"/>
            <w:tcBorders>
              <w:top w:val="single" w:sz="4" w:space="0" w:color="365F91"/>
              <w:left w:val="nil"/>
              <w:bottom w:val="single" w:sz="4" w:space="0" w:color="365F91"/>
              <w:right w:val="nil"/>
            </w:tcBorders>
            <w:hideMark/>
          </w:tcPr>
          <w:p w14:paraId="5F473CCE" w14:textId="77777777" w:rsidR="00FB19C0" w:rsidRPr="00BE78CA" w:rsidRDefault="00FB19C0" w:rsidP="00C26084">
            <w:pPr>
              <w:pStyle w:val="TableText"/>
              <w:spacing w:before="50" w:after="50"/>
              <w:jc w:val="center"/>
              <w:rPr>
                <w:rFonts w:cs="Calibri"/>
                <w:szCs w:val="16"/>
              </w:rPr>
            </w:pPr>
            <w:r w:rsidRPr="00BE78CA">
              <w:t>16.8</w:t>
            </w:r>
          </w:p>
        </w:tc>
        <w:tc>
          <w:tcPr>
            <w:tcW w:w="794" w:type="dxa"/>
            <w:tcBorders>
              <w:top w:val="single" w:sz="4" w:space="0" w:color="365F91"/>
              <w:left w:val="nil"/>
              <w:bottom w:val="single" w:sz="4" w:space="0" w:color="365F91"/>
              <w:right w:val="nil"/>
            </w:tcBorders>
            <w:hideMark/>
          </w:tcPr>
          <w:p w14:paraId="4AF48DAA" w14:textId="77777777" w:rsidR="00FB19C0" w:rsidRPr="00BE78CA" w:rsidRDefault="00FB19C0" w:rsidP="00C26084">
            <w:pPr>
              <w:pStyle w:val="TableText"/>
              <w:spacing w:before="50" w:after="50"/>
              <w:jc w:val="center"/>
              <w:rPr>
                <w:rFonts w:cs="Calibri"/>
                <w:szCs w:val="16"/>
              </w:rPr>
            </w:pPr>
            <w:r w:rsidRPr="00BE78CA">
              <w:t>8.3</w:t>
            </w:r>
          </w:p>
        </w:tc>
        <w:tc>
          <w:tcPr>
            <w:tcW w:w="794" w:type="dxa"/>
            <w:tcBorders>
              <w:top w:val="single" w:sz="4" w:space="0" w:color="365F91"/>
              <w:left w:val="nil"/>
              <w:bottom w:val="single" w:sz="4" w:space="0" w:color="365F91"/>
              <w:right w:val="nil"/>
            </w:tcBorders>
            <w:hideMark/>
          </w:tcPr>
          <w:p w14:paraId="22EBA301" w14:textId="77777777" w:rsidR="00FB19C0" w:rsidRPr="00BE78CA" w:rsidRDefault="00FB19C0" w:rsidP="00C26084">
            <w:pPr>
              <w:pStyle w:val="TableText"/>
              <w:spacing w:before="50" w:after="50"/>
              <w:jc w:val="center"/>
              <w:rPr>
                <w:rFonts w:cs="Calibri"/>
                <w:szCs w:val="16"/>
              </w:rPr>
            </w:pPr>
            <w:r w:rsidRPr="00BE78CA">
              <w:t>10.7</w:t>
            </w:r>
          </w:p>
        </w:tc>
        <w:tc>
          <w:tcPr>
            <w:tcW w:w="680" w:type="dxa"/>
            <w:tcBorders>
              <w:top w:val="single" w:sz="4" w:space="0" w:color="365F91"/>
              <w:left w:val="nil"/>
              <w:bottom w:val="single" w:sz="4" w:space="0" w:color="365F91"/>
              <w:right w:val="nil"/>
            </w:tcBorders>
            <w:hideMark/>
          </w:tcPr>
          <w:p w14:paraId="44D91496" w14:textId="77777777" w:rsidR="00FB19C0" w:rsidRPr="00BE78CA" w:rsidRDefault="00FB19C0" w:rsidP="00C26084">
            <w:pPr>
              <w:pStyle w:val="TableText"/>
              <w:spacing w:before="50" w:after="50"/>
              <w:jc w:val="center"/>
              <w:rPr>
                <w:rFonts w:cs="Calibri"/>
                <w:szCs w:val="16"/>
              </w:rPr>
            </w:pPr>
            <w:r w:rsidRPr="00BE78CA">
              <w:t>11.9</w:t>
            </w:r>
          </w:p>
        </w:tc>
        <w:tc>
          <w:tcPr>
            <w:tcW w:w="794" w:type="dxa"/>
            <w:tcBorders>
              <w:top w:val="single" w:sz="4" w:space="0" w:color="365F91"/>
              <w:left w:val="nil"/>
              <w:bottom w:val="single" w:sz="4" w:space="0" w:color="365F91"/>
              <w:right w:val="nil"/>
            </w:tcBorders>
            <w:hideMark/>
          </w:tcPr>
          <w:p w14:paraId="56F7934F" w14:textId="77777777" w:rsidR="00FB19C0" w:rsidRPr="00BE78CA" w:rsidRDefault="00FB19C0" w:rsidP="00C26084">
            <w:pPr>
              <w:pStyle w:val="TableText"/>
              <w:spacing w:before="50" w:after="50"/>
              <w:jc w:val="center"/>
              <w:rPr>
                <w:rFonts w:cs="Calibri"/>
                <w:szCs w:val="16"/>
              </w:rPr>
            </w:pPr>
            <w:r w:rsidRPr="00BE78CA">
              <w:t>5.6</w:t>
            </w:r>
          </w:p>
        </w:tc>
        <w:tc>
          <w:tcPr>
            <w:tcW w:w="794" w:type="dxa"/>
            <w:tcBorders>
              <w:top w:val="single" w:sz="4" w:space="0" w:color="365F91"/>
              <w:left w:val="nil"/>
              <w:bottom w:val="single" w:sz="4" w:space="0" w:color="365F91"/>
              <w:right w:val="nil"/>
            </w:tcBorders>
            <w:hideMark/>
          </w:tcPr>
          <w:p w14:paraId="72DB2F36" w14:textId="77777777" w:rsidR="00FB19C0" w:rsidRPr="00BE78CA" w:rsidRDefault="00FB19C0" w:rsidP="00C26084">
            <w:pPr>
              <w:pStyle w:val="TableText"/>
              <w:spacing w:before="50" w:after="50"/>
              <w:jc w:val="center"/>
              <w:rPr>
                <w:rFonts w:cs="Calibri"/>
                <w:szCs w:val="16"/>
              </w:rPr>
            </w:pPr>
            <w:r w:rsidRPr="00BE78CA">
              <w:t>3.0</w:t>
            </w:r>
          </w:p>
        </w:tc>
        <w:tc>
          <w:tcPr>
            <w:tcW w:w="794" w:type="dxa"/>
            <w:tcBorders>
              <w:top w:val="single" w:sz="4" w:space="0" w:color="365F91"/>
              <w:left w:val="nil"/>
              <w:bottom w:val="single" w:sz="4" w:space="0" w:color="365F91"/>
              <w:right w:val="nil"/>
            </w:tcBorders>
          </w:tcPr>
          <w:p w14:paraId="5DAF31F0" w14:textId="77777777" w:rsidR="00FB19C0" w:rsidRPr="00BE78CA" w:rsidRDefault="00FB19C0" w:rsidP="00C26084">
            <w:pPr>
              <w:pStyle w:val="TableText"/>
              <w:spacing w:before="50" w:after="50"/>
              <w:jc w:val="center"/>
              <w:rPr>
                <w:rFonts w:cs="Calibri"/>
                <w:szCs w:val="16"/>
              </w:rPr>
            </w:pPr>
            <w:r w:rsidRPr="00BE78CA">
              <w:t>3.9</w:t>
            </w:r>
          </w:p>
        </w:tc>
        <w:tc>
          <w:tcPr>
            <w:tcW w:w="680" w:type="dxa"/>
            <w:tcBorders>
              <w:top w:val="single" w:sz="4" w:space="0" w:color="365F91"/>
              <w:left w:val="nil"/>
              <w:bottom w:val="single" w:sz="4" w:space="0" w:color="365F91"/>
              <w:right w:val="nil"/>
            </w:tcBorders>
            <w:hideMark/>
          </w:tcPr>
          <w:p w14:paraId="251B9FD4" w14:textId="77777777" w:rsidR="00FB19C0" w:rsidRPr="00BE78CA" w:rsidRDefault="00FB19C0" w:rsidP="00C26084">
            <w:pPr>
              <w:pStyle w:val="TableText"/>
              <w:spacing w:before="50" w:after="50"/>
              <w:jc w:val="center"/>
              <w:rPr>
                <w:rFonts w:cs="Calibri"/>
                <w:szCs w:val="16"/>
              </w:rPr>
            </w:pPr>
            <w:r w:rsidRPr="00BE78CA">
              <w:t>39.9</w:t>
            </w:r>
          </w:p>
        </w:tc>
        <w:tc>
          <w:tcPr>
            <w:tcW w:w="1985" w:type="dxa"/>
            <w:tcBorders>
              <w:top w:val="single" w:sz="4" w:space="0" w:color="365F91"/>
              <w:left w:val="nil"/>
              <w:bottom w:val="single" w:sz="4" w:space="0" w:color="365F91"/>
              <w:right w:val="nil"/>
            </w:tcBorders>
            <w:hideMark/>
          </w:tcPr>
          <w:p w14:paraId="2FCF411D" w14:textId="77777777" w:rsidR="00FB19C0" w:rsidRPr="00BE78CA" w:rsidRDefault="00FB19C0" w:rsidP="00C26084">
            <w:pPr>
              <w:pStyle w:val="TableText"/>
              <w:spacing w:before="50" w:after="50"/>
              <w:rPr>
                <w:rFonts w:cs="Calibri"/>
                <w:szCs w:val="16"/>
              </w:rPr>
            </w:pPr>
            <w:r w:rsidRPr="00BE78CA">
              <w:rPr>
                <w:rFonts w:cs="Calibri"/>
                <w:szCs w:val="16"/>
              </w:rPr>
              <w:t>Survey</w:t>
            </w:r>
          </w:p>
        </w:tc>
      </w:tr>
      <w:tr w:rsidR="00FB19C0" w:rsidRPr="00BE78CA" w14:paraId="7D058178" w14:textId="77777777" w:rsidTr="00C26084">
        <w:tc>
          <w:tcPr>
            <w:tcW w:w="964" w:type="dxa"/>
            <w:tcBorders>
              <w:top w:val="single" w:sz="4" w:space="0" w:color="365F91"/>
              <w:left w:val="nil"/>
              <w:bottom w:val="single" w:sz="4" w:space="0" w:color="365F91"/>
              <w:right w:val="nil"/>
            </w:tcBorders>
          </w:tcPr>
          <w:p w14:paraId="06194E9B" w14:textId="77777777" w:rsidR="00FB19C0" w:rsidRPr="00BE78CA" w:rsidRDefault="00FB19C0" w:rsidP="00C26084">
            <w:pPr>
              <w:pStyle w:val="TableTextBold"/>
              <w:spacing w:before="50" w:after="50"/>
              <w:rPr>
                <w:rFonts w:cs="Calibri"/>
                <w:noProof w:val="0"/>
                <w:szCs w:val="16"/>
              </w:rPr>
            </w:pPr>
            <w:r w:rsidRPr="00BE78CA">
              <w:rPr>
                <w:rFonts w:cs="Calibri"/>
                <w:noProof w:val="0"/>
                <w:szCs w:val="16"/>
              </w:rPr>
              <w:t>2013</w:t>
            </w:r>
          </w:p>
        </w:tc>
        <w:tc>
          <w:tcPr>
            <w:tcW w:w="737" w:type="dxa"/>
            <w:tcBorders>
              <w:top w:val="single" w:sz="4" w:space="0" w:color="365F91"/>
              <w:left w:val="nil"/>
              <w:bottom w:val="single" w:sz="4" w:space="0" w:color="365F91"/>
              <w:right w:val="nil"/>
            </w:tcBorders>
          </w:tcPr>
          <w:p w14:paraId="13E95446" w14:textId="77777777" w:rsidR="00FB19C0" w:rsidRPr="00BE78CA" w:rsidRDefault="00FB19C0" w:rsidP="00C26084">
            <w:pPr>
              <w:pStyle w:val="TableText"/>
              <w:spacing w:before="50" w:after="50"/>
              <w:jc w:val="center"/>
              <w:rPr>
                <w:rFonts w:cs="Calibri"/>
                <w:szCs w:val="16"/>
              </w:rPr>
            </w:pPr>
            <w:r w:rsidRPr="00BE78CA">
              <w:t>15.5</w:t>
            </w:r>
          </w:p>
        </w:tc>
        <w:tc>
          <w:tcPr>
            <w:tcW w:w="794" w:type="dxa"/>
            <w:tcBorders>
              <w:top w:val="single" w:sz="4" w:space="0" w:color="365F91"/>
              <w:left w:val="nil"/>
              <w:bottom w:val="single" w:sz="4" w:space="0" w:color="365F91"/>
              <w:right w:val="nil"/>
            </w:tcBorders>
          </w:tcPr>
          <w:p w14:paraId="7952AB3D" w14:textId="77777777" w:rsidR="00FB19C0" w:rsidRPr="00BE78CA" w:rsidRDefault="00FB19C0" w:rsidP="00C26084">
            <w:pPr>
              <w:pStyle w:val="TableText"/>
              <w:spacing w:before="50" w:after="50"/>
              <w:jc w:val="center"/>
              <w:rPr>
                <w:rFonts w:cs="Calibri"/>
                <w:szCs w:val="16"/>
              </w:rPr>
            </w:pPr>
            <w:r w:rsidRPr="00BE78CA">
              <w:t>7.9</w:t>
            </w:r>
          </w:p>
        </w:tc>
        <w:tc>
          <w:tcPr>
            <w:tcW w:w="794" w:type="dxa"/>
            <w:tcBorders>
              <w:top w:val="single" w:sz="4" w:space="0" w:color="365F91"/>
              <w:left w:val="nil"/>
              <w:bottom w:val="single" w:sz="4" w:space="0" w:color="365F91"/>
              <w:right w:val="nil"/>
            </w:tcBorders>
          </w:tcPr>
          <w:p w14:paraId="73802AA2" w14:textId="77777777" w:rsidR="00FB19C0" w:rsidRPr="00BE78CA" w:rsidRDefault="00FB19C0" w:rsidP="00C26084">
            <w:pPr>
              <w:pStyle w:val="TableText"/>
              <w:spacing w:before="50" w:after="50"/>
              <w:jc w:val="center"/>
              <w:rPr>
                <w:rFonts w:cs="Calibri"/>
                <w:szCs w:val="16"/>
              </w:rPr>
            </w:pPr>
            <w:r w:rsidRPr="00BE78CA">
              <w:t>9.9</w:t>
            </w:r>
          </w:p>
        </w:tc>
        <w:tc>
          <w:tcPr>
            <w:tcW w:w="680" w:type="dxa"/>
            <w:tcBorders>
              <w:top w:val="single" w:sz="4" w:space="0" w:color="365F91"/>
              <w:left w:val="nil"/>
              <w:bottom w:val="single" w:sz="4" w:space="0" w:color="365F91"/>
              <w:right w:val="nil"/>
            </w:tcBorders>
          </w:tcPr>
          <w:p w14:paraId="16F08336" w14:textId="77777777" w:rsidR="00FB19C0" w:rsidRPr="00BE78CA" w:rsidRDefault="00FB19C0" w:rsidP="00C26084">
            <w:pPr>
              <w:pStyle w:val="TableText"/>
              <w:spacing w:before="50" w:after="50"/>
              <w:jc w:val="center"/>
              <w:rPr>
                <w:rFonts w:cs="Calibri"/>
                <w:szCs w:val="16"/>
              </w:rPr>
            </w:pPr>
            <w:r w:rsidRPr="00BE78CA">
              <w:t>12.0</w:t>
            </w:r>
          </w:p>
        </w:tc>
        <w:tc>
          <w:tcPr>
            <w:tcW w:w="794" w:type="dxa"/>
            <w:tcBorders>
              <w:top w:val="single" w:sz="4" w:space="0" w:color="365F91"/>
              <w:left w:val="nil"/>
              <w:bottom w:val="single" w:sz="4" w:space="0" w:color="365F91"/>
              <w:right w:val="nil"/>
            </w:tcBorders>
          </w:tcPr>
          <w:p w14:paraId="23E679EC" w14:textId="77777777" w:rsidR="00FB19C0" w:rsidRPr="00BE78CA" w:rsidRDefault="00FB19C0" w:rsidP="00C26084">
            <w:pPr>
              <w:pStyle w:val="TableText"/>
              <w:spacing w:before="50" w:after="50"/>
              <w:jc w:val="center"/>
              <w:rPr>
                <w:rFonts w:cs="Calibri"/>
                <w:szCs w:val="16"/>
              </w:rPr>
            </w:pPr>
            <w:r w:rsidRPr="00BE78CA">
              <w:t>5.5</w:t>
            </w:r>
          </w:p>
        </w:tc>
        <w:tc>
          <w:tcPr>
            <w:tcW w:w="794" w:type="dxa"/>
            <w:tcBorders>
              <w:top w:val="single" w:sz="4" w:space="0" w:color="365F91"/>
              <w:left w:val="nil"/>
              <w:bottom w:val="single" w:sz="4" w:space="0" w:color="365F91"/>
              <w:right w:val="nil"/>
            </w:tcBorders>
          </w:tcPr>
          <w:p w14:paraId="5BE01B43" w14:textId="77777777" w:rsidR="00FB19C0" w:rsidRPr="00BE78CA" w:rsidRDefault="00FB19C0" w:rsidP="00C26084">
            <w:pPr>
              <w:pStyle w:val="TableText"/>
              <w:spacing w:before="50" w:after="50"/>
              <w:jc w:val="center"/>
              <w:rPr>
                <w:rFonts w:cs="Calibri"/>
                <w:szCs w:val="16"/>
              </w:rPr>
            </w:pPr>
            <w:r w:rsidRPr="00BE78CA">
              <w:t>2.9</w:t>
            </w:r>
          </w:p>
        </w:tc>
        <w:tc>
          <w:tcPr>
            <w:tcW w:w="794" w:type="dxa"/>
            <w:tcBorders>
              <w:top w:val="single" w:sz="4" w:space="0" w:color="365F91"/>
              <w:left w:val="nil"/>
              <w:bottom w:val="single" w:sz="4" w:space="0" w:color="365F91"/>
              <w:right w:val="nil"/>
            </w:tcBorders>
          </w:tcPr>
          <w:p w14:paraId="3F82D2F3" w14:textId="77777777" w:rsidR="00FB19C0" w:rsidRPr="00BE78CA" w:rsidRDefault="00FB19C0" w:rsidP="00C26084">
            <w:pPr>
              <w:pStyle w:val="TableText"/>
              <w:spacing w:before="50" w:after="50"/>
              <w:jc w:val="center"/>
              <w:rPr>
                <w:rFonts w:cs="Calibri"/>
                <w:szCs w:val="16"/>
              </w:rPr>
            </w:pPr>
            <w:r w:rsidRPr="00BE78CA">
              <w:t>3.6</w:t>
            </w:r>
          </w:p>
        </w:tc>
        <w:tc>
          <w:tcPr>
            <w:tcW w:w="680" w:type="dxa"/>
            <w:tcBorders>
              <w:top w:val="single" w:sz="4" w:space="0" w:color="365F91"/>
              <w:left w:val="nil"/>
              <w:bottom w:val="single" w:sz="4" w:space="0" w:color="365F91"/>
              <w:right w:val="nil"/>
            </w:tcBorders>
          </w:tcPr>
          <w:p w14:paraId="18E3868D" w14:textId="77777777" w:rsidR="00FB19C0" w:rsidRPr="00BE78CA" w:rsidRDefault="00FB19C0" w:rsidP="00C26084">
            <w:pPr>
              <w:pStyle w:val="TableText"/>
              <w:spacing w:before="50" w:after="50"/>
              <w:jc w:val="center"/>
              <w:rPr>
                <w:rFonts w:cs="Calibri"/>
                <w:szCs w:val="16"/>
              </w:rPr>
            </w:pPr>
            <w:r w:rsidRPr="00BE78CA">
              <w:t>42.8</w:t>
            </w:r>
          </w:p>
        </w:tc>
        <w:tc>
          <w:tcPr>
            <w:tcW w:w="1985" w:type="dxa"/>
            <w:tcBorders>
              <w:top w:val="single" w:sz="4" w:space="0" w:color="365F91"/>
              <w:left w:val="nil"/>
              <w:bottom w:val="single" w:sz="4" w:space="0" w:color="365F91"/>
              <w:right w:val="nil"/>
            </w:tcBorders>
          </w:tcPr>
          <w:p w14:paraId="6BAD93A1" w14:textId="77777777" w:rsidR="00FB19C0" w:rsidRPr="00BE78CA" w:rsidRDefault="00FB19C0" w:rsidP="00C26084">
            <w:pPr>
              <w:pStyle w:val="TableText"/>
              <w:spacing w:before="50" w:after="50"/>
              <w:rPr>
                <w:rFonts w:cs="Calibri"/>
                <w:szCs w:val="16"/>
              </w:rPr>
            </w:pPr>
            <w:r w:rsidRPr="00BE78CA">
              <w:rPr>
                <w:rFonts w:cs="Calibri"/>
                <w:szCs w:val="16"/>
              </w:rPr>
              <w:t>Interpolation</w:t>
            </w:r>
          </w:p>
        </w:tc>
      </w:tr>
      <w:tr w:rsidR="00FB19C0" w:rsidRPr="00BE78CA" w14:paraId="773C9BF6" w14:textId="77777777" w:rsidTr="00C26084">
        <w:tc>
          <w:tcPr>
            <w:tcW w:w="964" w:type="dxa"/>
            <w:tcBorders>
              <w:top w:val="single" w:sz="4" w:space="0" w:color="365F91"/>
              <w:left w:val="nil"/>
              <w:bottom w:val="single" w:sz="4" w:space="0" w:color="365F91"/>
              <w:right w:val="nil"/>
            </w:tcBorders>
          </w:tcPr>
          <w:p w14:paraId="5744CDB5" w14:textId="77777777" w:rsidR="00FB19C0" w:rsidRPr="00BE78CA" w:rsidRDefault="00FB19C0" w:rsidP="00C26084">
            <w:pPr>
              <w:pStyle w:val="TableTextBold"/>
              <w:spacing w:before="50" w:after="50"/>
              <w:rPr>
                <w:rFonts w:cs="Calibri"/>
                <w:noProof w:val="0"/>
                <w:szCs w:val="16"/>
              </w:rPr>
            </w:pPr>
            <w:r w:rsidRPr="00BE78CA">
              <w:rPr>
                <w:rFonts w:cs="Calibri"/>
                <w:noProof w:val="0"/>
                <w:szCs w:val="16"/>
              </w:rPr>
              <w:t>2014</w:t>
            </w:r>
          </w:p>
        </w:tc>
        <w:tc>
          <w:tcPr>
            <w:tcW w:w="737" w:type="dxa"/>
            <w:tcBorders>
              <w:top w:val="single" w:sz="4" w:space="0" w:color="365F91"/>
              <w:left w:val="nil"/>
              <w:bottom w:val="single" w:sz="4" w:space="0" w:color="365F91"/>
              <w:right w:val="nil"/>
            </w:tcBorders>
          </w:tcPr>
          <w:p w14:paraId="05946F00" w14:textId="77777777" w:rsidR="00FB19C0" w:rsidRPr="00BE78CA" w:rsidRDefault="00FB19C0" w:rsidP="00C26084">
            <w:pPr>
              <w:pStyle w:val="TableText"/>
              <w:spacing w:before="50" w:after="50"/>
              <w:jc w:val="center"/>
              <w:rPr>
                <w:rFonts w:cs="Calibri"/>
                <w:szCs w:val="16"/>
              </w:rPr>
            </w:pPr>
            <w:r w:rsidRPr="00BE78CA">
              <w:t>14.2</w:t>
            </w:r>
          </w:p>
        </w:tc>
        <w:tc>
          <w:tcPr>
            <w:tcW w:w="794" w:type="dxa"/>
            <w:tcBorders>
              <w:top w:val="single" w:sz="4" w:space="0" w:color="365F91"/>
              <w:left w:val="nil"/>
              <w:bottom w:val="single" w:sz="4" w:space="0" w:color="365F91"/>
              <w:right w:val="nil"/>
            </w:tcBorders>
          </w:tcPr>
          <w:p w14:paraId="2A73091A" w14:textId="77777777" w:rsidR="00FB19C0" w:rsidRPr="00BE78CA" w:rsidRDefault="00FB19C0" w:rsidP="00C26084">
            <w:pPr>
              <w:pStyle w:val="TableText"/>
              <w:spacing w:before="50" w:after="50"/>
              <w:jc w:val="center"/>
              <w:rPr>
                <w:rFonts w:cs="Calibri"/>
                <w:szCs w:val="16"/>
              </w:rPr>
            </w:pPr>
            <w:r w:rsidRPr="00BE78CA">
              <w:t>7.5</w:t>
            </w:r>
          </w:p>
        </w:tc>
        <w:tc>
          <w:tcPr>
            <w:tcW w:w="794" w:type="dxa"/>
            <w:tcBorders>
              <w:top w:val="single" w:sz="4" w:space="0" w:color="365F91"/>
              <w:left w:val="nil"/>
              <w:bottom w:val="single" w:sz="4" w:space="0" w:color="365F91"/>
              <w:right w:val="nil"/>
            </w:tcBorders>
          </w:tcPr>
          <w:p w14:paraId="1A30E378" w14:textId="77777777" w:rsidR="00FB19C0" w:rsidRPr="00BE78CA" w:rsidRDefault="00FB19C0" w:rsidP="00C26084">
            <w:pPr>
              <w:pStyle w:val="TableText"/>
              <w:spacing w:before="50" w:after="50"/>
              <w:jc w:val="center"/>
              <w:rPr>
                <w:rFonts w:cs="Calibri"/>
                <w:szCs w:val="16"/>
              </w:rPr>
            </w:pPr>
            <w:r w:rsidRPr="00BE78CA">
              <w:t>9.1</w:t>
            </w:r>
          </w:p>
        </w:tc>
        <w:tc>
          <w:tcPr>
            <w:tcW w:w="680" w:type="dxa"/>
            <w:tcBorders>
              <w:top w:val="single" w:sz="4" w:space="0" w:color="365F91"/>
              <w:left w:val="nil"/>
              <w:bottom w:val="single" w:sz="4" w:space="0" w:color="365F91"/>
              <w:right w:val="nil"/>
            </w:tcBorders>
          </w:tcPr>
          <w:p w14:paraId="60932ED6" w14:textId="77777777" w:rsidR="00FB19C0" w:rsidRPr="00BE78CA" w:rsidRDefault="00FB19C0" w:rsidP="00C26084">
            <w:pPr>
              <w:pStyle w:val="TableText"/>
              <w:spacing w:before="50" w:after="50"/>
              <w:jc w:val="center"/>
              <w:rPr>
                <w:rFonts w:cs="Calibri"/>
                <w:szCs w:val="16"/>
              </w:rPr>
            </w:pPr>
            <w:r w:rsidRPr="00BE78CA">
              <w:t>12.1</w:t>
            </w:r>
          </w:p>
        </w:tc>
        <w:tc>
          <w:tcPr>
            <w:tcW w:w="794" w:type="dxa"/>
            <w:tcBorders>
              <w:top w:val="single" w:sz="4" w:space="0" w:color="365F91"/>
              <w:left w:val="nil"/>
              <w:bottom w:val="single" w:sz="4" w:space="0" w:color="365F91"/>
              <w:right w:val="nil"/>
            </w:tcBorders>
          </w:tcPr>
          <w:p w14:paraId="0978A315" w14:textId="77777777" w:rsidR="00FB19C0" w:rsidRPr="00BE78CA" w:rsidRDefault="00FB19C0" w:rsidP="00C26084">
            <w:pPr>
              <w:pStyle w:val="TableText"/>
              <w:spacing w:before="50" w:after="50"/>
              <w:jc w:val="center"/>
              <w:rPr>
                <w:rFonts w:cs="Calibri"/>
                <w:szCs w:val="16"/>
              </w:rPr>
            </w:pPr>
            <w:r w:rsidRPr="00BE78CA">
              <w:t>5.4</w:t>
            </w:r>
          </w:p>
        </w:tc>
        <w:tc>
          <w:tcPr>
            <w:tcW w:w="794" w:type="dxa"/>
            <w:tcBorders>
              <w:top w:val="single" w:sz="4" w:space="0" w:color="365F91"/>
              <w:left w:val="nil"/>
              <w:bottom w:val="single" w:sz="4" w:space="0" w:color="365F91"/>
              <w:right w:val="nil"/>
            </w:tcBorders>
          </w:tcPr>
          <w:p w14:paraId="74152036" w14:textId="77777777" w:rsidR="00FB19C0" w:rsidRPr="00BE78CA" w:rsidRDefault="00FB19C0" w:rsidP="00C26084">
            <w:pPr>
              <w:pStyle w:val="TableText"/>
              <w:spacing w:before="50" w:after="50"/>
              <w:jc w:val="center"/>
              <w:rPr>
                <w:rFonts w:cs="Calibri"/>
                <w:szCs w:val="16"/>
              </w:rPr>
            </w:pPr>
            <w:r w:rsidRPr="00BE78CA">
              <w:t>2.8</w:t>
            </w:r>
          </w:p>
        </w:tc>
        <w:tc>
          <w:tcPr>
            <w:tcW w:w="794" w:type="dxa"/>
            <w:tcBorders>
              <w:top w:val="single" w:sz="4" w:space="0" w:color="365F91"/>
              <w:left w:val="nil"/>
              <w:bottom w:val="single" w:sz="4" w:space="0" w:color="365F91"/>
              <w:right w:val="nil"/>
            </w:tcBorders>
          </w:tcPr>
          <w:p w14:paraId="6981B1AC" w14:textId="77777777" w:rsidR="00FB19C0" w:rsidRPr="00BE78CA" w:rsidRDefault="00FB19C0" w:rsidP="00C26084">
            <w:pPr>
              <w:pStyle w:val="TableText"/>
              <w:spacing w:before="50" w:after="50"/>
              <w:jc w:val="center"/>
              <w:rPr>
                <w:rFonts w:cs="Calibri"/>
                <w:szCs w:val="16"/>
              </w:rPr>
            </w:pPr>
            <w:r w:rsidRPr="00BE78CA">
              <w:t>3.2</w:t>
            </w:r>
          </w:p>
        </w:tc>
        <w:tc>
          <w:tcPr>
            <w:tcW w:w="680" w:type="dxa"/>
            <w:tcBorders>
              <w:top w:val="single" w:sz="4" w:space="0" w:color="365F91"/>
              <w:left w:val="nil"/>
              <w:bottom w:val="single" w:sz="4" w:space="0" w:color="365F91"/>
              <w:right w:val="nil"/>
            </w:tcBorders>
          </w:tcPr>
          <w:p w14:paraId="2F8A0FA4" w14:textId="77777777" w:rsidR="00FB19C0" w:rsidRPr="00BE78CA" w:rsidRDefault="00FB19C0" w:rsidP="00C26084">
            <w:pPr>
              <w:pStyle w:val="TableText"/>
              <w:spacing w:before="50" w:after="50"/>
              <w:jc w:val="center"/>
              <w:rPr>
                <w:rFonts w:cs="Calibri"/>
                <w:szCs w:val="16"/>
              </w:rPr>
            </w:pPr>
            <w:r w:rsidRPr="00BE78CA">
              <w:t>45.7</w:t>
            </w:r>
          </w:p>
        </w:tc>
        <w:tc>
          <w:tcPr>
            <w:tcW w:w="1985" w:type="dxa"/>
            <w:tcBorders>
              <w:top w:val="single" w:sz="4" w:space="0" w:color="365F91"/>
              <w:left w:val="nil"/>
              <w:bottom w:val="single" w:sz="4" w:space="0" w:color="365F91"/>
              <w:right w:val="nil"/>
            </w:tcBorders>
          </w:tcPr>
          <w:p w14:paraId="5E86DF97" w14:textId="77777777" w:rsidR="00FB19C0" w:rsidRPr="00BE78CA" w:rsidRDefault="00FB19C0" w:rsidP="00C26084">
            <w:pPr>
              <w:pStyle w:val="TableText"/>
              <w:spacing w:before="50" w:after="50"/>
              <w:rPr>
                <w:rFonts w:cs="Calibri"/>
                <w:szCs w:val="16"/>
              </w:rPr>
            </w:pPr>
            <w:r w:rsidRPr="00BE78CA">
              <w:rPr>
                <w:rFonts w:cs="Calibri"/>
                <w:szCs w:val="16"/>
              </w:rPr>
              <w:t>Interpolation</w:t>
            </w:r>
          </w:p>
        </w:tc>
      </w:tr>
      <w:tr w:rsidR="00FB19C0" w:rsidRPr="00BE78CA" w14:paraId="3033E701" w14:textId="77777777" w:rsidTr="00C26084">
        <w:tc>
          <w:tcPr>
            <w:tcW w:w="964" w:type="dxa"/>
            <w:tcBorders>
              <w:top w:val="single" w:sz="4" w:space="0" w:color="365F91"/>
              <w:left w:val="nil"/>
              <w:bottom w:val="single" w:sz="4" w:space="0" w:color="365F91"/>
              <w:right w:val="nil"/>
            </w:tcBorders>
          </w:tcPr>
          <w:p w14:paraId="6B383316" w14:textId="77777777" w:rsidR="00FB19C0" w:rsidRPr="00BE78CA" w:rsidRDefault="00FB19C0" w:rsidP="00C26084">
            <w:pPr>
              <w:pStyle w:val="TableTextBold"/>
              <w:spacing w:before="50" w:after="50"/>
              <w:rPr>
                <w:rFonts w:cs="Calibri"/>
                <w:noProof w:val="0"/>
                <w:szCs w:val="16"/>
              </w:rPr>
            </w:pPr>
            <w:r w:rsidRPr="00BE78CA">
              <w:rPr>
                <w:rFonts w:cs="Calibri"/>
                <w:noProof w:val="0"/>
                <w:szCs w:val="16"/>
              </w:rPr>
              <w:t>2015</w:t>
            </w:r>
          </w:p>
        </w:tc>
        <w:tc>
          <w:tcPr>
            <w:tcW w:w="737" w:type="dxa"/>
            <w:tcBorders>
              <w:top w:val="single" w:sz="4" w:space="0" w:color="365F91"/>
              <w:left w:val="nil"/>
              <w:bottom w:val="single" w:sz="4" w:space="0" w:color="365F91"/>
              <w:right w:val="nil"/>
            </w:tcBorders>
          </w:tcPr>
          <w:p w14:paraId="660CC39B" w14:textId="77777777" w:rsidR="00FB19C0" w:rsidRPr="00BE78CA" w:rsidRDefault="00FB19C0" w:rsidP="00C26084">
            <w:pPr>
              <w:pStyle w:val="TableText"/>
              <w:spacing w:before="50" w:after="50"/>
              <w:jc w:val="center"/>
              <w:rPr>
                <w:rFonts w:cs="Calibri"/>
                <w:szCs w:val="16"/>
              </w:rPr>
            </w:pPr>
            <w:r w:rsidRPr="00BE78CA">
              <w:t>12.9</w:t>
            </w:r>
          </w:p>
        </w:tc>
        <w:tc>
          <w:tcPr>
            <w:tcW w:w="794" w:type="dxa"/>
            <w:tcBorders>
              <w:top w:val="single" w:sz="4" w:space="0" w:color="365F91"/>
              <w:left w:val="nil"/>
              <w:bottom w:val="single" w:sz="4" w:space="0" w:color="365F91"/>
              <w:right w:val="nil"/>
            </w:tcBorders>
          </w:tcPr>
          <w:p w14:paraId="12B911D0" w14:textId="77777777" w:rsidR="00FB19C0" w:rsidRPr="00BE78CA" w:rsidRDefault="00FB19C0" w:rsidP="00C26084">
            <w:pPr>
              <w:pStyle w:val="TableText"/>
              <w:spacing w:before="50" w:after="50"/>
              <w:jc w:val="center"/>
              <w:rPr>
                <w:rFonts w:cs="Calibri"/>
                <w:szCs w:val="16"/>
              </w:rPr>
            </w:pPr>
            <w:r w:rsidRPr="00BE78CA">
              <w:t>7.0</w:t>
            </w:r>
          </w:p>
        </w:tc>
        <w:tc>
          <w:tcPr>
            <w:tcW w:w="794" w:type="dxa"/>
            <w:tcBorders>
              <w:top w:val="single" w:sz="4" w:space="0" w:color="365F91"/>
              <w:left w:val="nil"/>
              <w:bottom w:val="single" w:sz="4" w:space="0" w:color="365F91"/>
              <w:right w:val="nil"/>
            </w:tcBorders>
          </w:tcPr>
          <w:p w14:paraId="60ED1FBE" w14:textId="77777777" w:rsidR="00FB19C0" w:rsidRPr="00BE78CA" w:rsidRDefault="00FB19C0" w:rsidP="00C26084">
            <w:pPr>
              <w:pStyle w:val="TableText"/>
              <w:spacing w:before="50" w:after="50"/>
              <w:jc w:val="center"/>
              <w:rPr>
                <w:rFonts w:cs="Calibri"/>
                <w:szCs w:val="16"/>
              </w:rPr>
            </w:pPr>
            <w:r w:rsidRPr="00BE78CA">
              <w:t>8.3</w:t>
            </w:r>
          </w:p>
        </w:tc>
        <w:tc>
          <w:tcPr>
            <w:tcW w:w="680" w:type="dxa"/>
            <w:tcBorders>
              <w:top w:val="single" w:sz="4" w:space="0" w:color="365F91"/>
              <w:left w:val="nil"/>
              <w:bottom w:val="single" w:sz="4" w:space="0" w:color="365F91"/>
              <w:right w:val="nil"/>
            </w:tcBorders>
          </w:tcPr>
          <w:p w14:paraId="03E7AB4C" w14:textId="77777777" w:rsidR="00FB19C0" w:rsidRPr="00BE78CA" w:rsidRDefault="00FB19C0" w:rsidP="00C26084">
            <w:pPr>
              <w:pStyle w:val="TableText"/>
              <w:spacing w:before="50" w:after="50"/>
              <w:jc w:val="center"/>
              <w:rPr>
                <w:rFonts w:cs="Calibri"/>
                <w:szCs w:val="16"/>
              </w:rPr>
            </w:pPr>
            <w:r w:rsidRPr="00BE78CA">
              <w:t>12.2</w:t>
            </w:r>
          </w:p>
        </w:tc>
        <w:tc>
          <w:tcPr>
            <w:tcW w:w="794" w:type="dxa"/>
            <w:tcBorders>
              <w:top w:val="single" w:sz="4" w:space="0" w:color="365F91"/>
              <w:left w:val="nil"/>
              <w:bottom w:val="single" w:sz="4" w:space="0" w:color="365F91"/>
              <w:right w:val="nil"/>
            </w:tcBorders>
          </w:tcPr>
          <w:p w14:paraId="69A32BF8" w14:textId="77777777" w:rsidR="00FB19C0" w:rsidRPr="00BE78CA" w:rsidRDefault="00FB19C0" w:rsidP="00C26084">
            <w:pPr>
              <w:pStyle w:val="TableText"/>
              <w:spacing w:before="50" w:after="50"/>
              <w:jc w:val="center"/>
              <w:rPr>
                <w:rFonts w:cs="Calibri"/>
                <w:szCs w:val="16"/>
              </w:rPr>
            </w:pPr>
            <w:r w:rsidRPr="00BE78CA">
              <w:t>5.3</w:t>
            </w:r>
          </w:p>
        </w:tc>
        <w:tc>
          <w:tcPr>
            <w:tcW w:w="794" w:type="dxa"/>
            <w:tcBorders>
              <w:top w:val="single" w:sz="4" w:space="0" w:color="365F91"/>
              <w:left w:val="nil"/>
              <w:bottom w:val="single" w:sz="4" w:space="0" w:color="365F91"/>
              <w:right w:val="nil"/>
            </w:tcBorders>
          </w:tcPr>
          <w:p w14:paraId="33DAAD20" w14:textId="77777777" w:rsidR="00FB19C0" w:rsidRPr="00BE78CA" w:rsidRDefault="00FB19C0" w:rsidP="00C26084">
            <w:pPr>
              <w:pStyle w:val="TableText"/>
              <w:spacing w:before="50" w:after="50"/>
              <w:jc w:val="center"/>
              <w:rPr>
                <w:rFonts w:cs="Calibri"/>
                <w:szCs w:val="16"/>
              </w:rPr>
            </w:pPr>
            <w:r w:rsidRPr="00BE78CA">
              <w:t>2.7</w:t>
            </w:r>
          </w:p>
        </w:tc>
        <w:tc>
          <w:tcPr>
            <w:tcW w:w="794" w:type="dxa"/>
            <w:tcBorders>
              <w:top w:val="single" w:sz="4" w:space="0" w:color="365F91"/>
              <w:left w:val="nil"/>
              <w:bottom w:val="single" w:sz="4" w:space="0" w:color="365F91"/>
              <w:right w:val="nil"/>
            </w:tcBorders>
          </w:tcPr>
          <w:p w14:paraId="67306AE8" w14:textId="77777777" w:rsidR="00FB19C0" w:rsidRPr="00BE78CA" w:rsidRDefault="00FB19C0" w:rsidP="00C26084">
            <w:pPr>
              <w:pStyle w:val="TableText"/>
              <w:spacing w:before="50" w:after="50"/>
              <w:jc w:val="center"/>
              <w:rPr>
                <w:rFonts w:cs="Calibri"/>
                <w:szCs w:val="16"/>
              </w:rPr>
            </w:pPr>
            <w:r w:rsidRPr="00BE78CA">
              <w:t>2.9</w:t>
            </w:r>
          </w:p>
        </w:tc>
        <w:tc>
          <w:tcPr>
            <w:tcW w:w="680" w:type="dxa"/>
            <w:tcBorders>
              <w:top w:val="single" w:sz="4" w:space="0" w:color="365F91"/>
              <w:left w:val="nil"/>
              <w:bottom w:val="single" w:sz="4" w:space="0" w:color="365F91"/>
              <w:right w:val="nil"/>
            </w:tcBorders>
          </w:tcPr>
          <w:p w14:paraId="47822EA8" w14:textId="77777777" w:rsidR="00FB19C0" w:rsidRPr="00BE78CA" w:rsidRDefault="00FB19C0" w:rsidP="00C26084">
            <w:pPr>
              <w:pStyle w:val="TableText"/>
              <w:spacing w:before="50" w:after="50"/>
              <w:jc w:val="center"/>
              <w:rPr>
                <w:rFonts w:cs="Calibri"/>
                <w:szCs w:val="16"/>
              </w:rPr>
            </w:pPr>
            <w:r w:rsidRPr="00BE78CA">
              <w:t>48.6</w:t>
            </w:r>
          </w:p>
        </w:tc>
        <w:tc>
          <w:tcPr>
            <w:tcW w:w="1985" w:type="dxa"/>
            <w:tcBorders>
              <w:top w:val="single" w:sz="4" w:space="0" w:color="365F91"/>
              <w:left w:val="nil"/>
              <w:bottom w:val="single" w:sz="4" w:space="0" w:color="365F91"/>
              <w:right w:val="nil"/>
            </w:tcBorders>
          </w:tcPr>
          <w:p w14:paraId="6844BDD8" w14:textId="77777777" w:rsidR="00FB19C0" w:rsidRPr="00BE78CA" w:rsidRDefault="00FB19C0" w:rsidP="00C26084">
            <w:pPr>
              <w:pStyle w:val="TableText"/>
              <w:spacing w:before="50" w:after="50"/>
              <w:rPr>
                <w:rFonts w:cs="Calibri"/>
                <w:szCs w:val="16"/>
              </w:rPr>
            </w:pPr>
            <w:r w:rsidRPr="00BE78CA">
              <w:rPr>
                <w:rFonts w:cs="Calibri"/>
                <w:szCs w:val="16"/>
              </w:rPr>
              <w:t>Interpolation</w:t>
            </w:r>
          </w:p>
        </w:tc>
      </w:tr>
      <w:tr w:rsidR="00FB19C0" w:rsidRPr="00BE78CA" w14:paraId="475374F5" w14:textId="77777777" w:rsidTr="00C26084">
        <w:tc>
          <w:tcPr>
            <w:tcW w:w="964" w:type="dxa"/>
            <w:tcBorders>
              <w:top w:val="single" w:sz="4" w:space="0" w:color="365F91"/>
              <w:left w:val="nil"/>
              <w:bottom w:val="single" w:sz="4" w:space="0" w:color="365F91"/>
              <w:right w:val="nil"/>
            </w:tcBorders>
          </w:tcPr>
          <w:p w14:paraId="5231DB8B" w14:textId="77777777" w:rsidR="00FB19C0" w:rsidRPr="00BE78CA" w:rsidRDefault="00FB19C0" w:rsidP="00C26084">
            <w:pPr>
              <w:pStyle w:val="TableTextBold"/>
              <w:spacing w:before="50" w:after="50"/>
              <w:rPr>
                <w:rFonts w:cs="Calibri"/>
                <w:noProof w:val="0"/>
                <w:szCs w:val="16"/>
              </w:rPr>
            </w:pPr>
            <w:r w:rsidRPr="00BE78CA">
              <w:rPr>
                <w:rFonts w:cs="Calibri"/>
                <w:noProof w:val="0"/>
                <w:szCs w:val="16"/>
              </w:rPr>
              <w:t>2016</w:t>
            </w:r>
          </w:p>
        </w:tc>
        <w:tc>
          <w:tcPr>
            <w:tcW w:w="737" w:type="dxa"/>
            <w:tcBorders>
              <w:top w:val="single" w:sz="4" w:space="0" w:color="365F91"/>
              <w:left w:val="nil"/>
              <w:bottom w:val="single" w:sz="4" w:space="0" w:color="365F91"/>
              <w:right w:val="nil"/>
            </w:tcBorders>
          </w:tcPr>
          <w:p w14:paraId="5DC03697" w14:textId="77777777" w:rsidR="00FB19C0" w:rsidRPr="00BE78CA" w:rsidRDefault="00FB19C0" w:rsidP="00C26084">
            <w:pPr>
              <w:pStyle w:val="TableText"/>
              <w:spacing w:before="50" w:after="50"/>
              <w:jc w:val="center"/>
              <w:rPr>
                <w:rFonts w:cs="Calibri"/>
                <w:szCs w:val="16"/>
              </w:rPr>
            </w:pPr>
            <w:r w:rsidRPr="00BE78CA">
              <w:t>11.6</w:t>
            </w:r>
          </w:p>
        </w:tc>
        <w:tc>
          <w:tcPr>
            <w:tcW w:w="794" w:type="dxa"/>
            <w:tcBorders>
              <w:top w:val="single" w:sz="4" w:space="0" w:color="365F91"/>
              <w:left w:val="nil"/>
              <w:bottom w:val="single" w:sz="4" w:space="0" w:color="365F91"/>
              <w:right w:val="nil"/>
            </w:tcBorders>
          </w:tcPr>
          <w:p w14:paraId="31FB298E" w14:textId="77777777" w:rsidR="00FB19C0" w:rsidRPr="00BE78CA" w:rsidRDefault="00FB19C0" w:rsidP="00C26084">
            <w:pPr>
              <w:pStyle w:val="TableText"/>
              <w:spacing w:before="50" w:after="50"/>
              <w:jc w:val="center"/>
              <w:rPr>
                <w:rFonts w:cs="Calibri"/>
                <w:szCs w:val="16"/>
              </w:rPr>
            </w:pPr>
            <w:r w:rsidRPr="00BE78CA">
              <w:t>6.6</w:t>
            </w:r>
          </w:p>
        </w:tc>
        <w:tc>
          <w:tcPr>
            <w:tcW w:w="794" w:type="dxa"/>
            <w:tcBorders>
              <w:top w:val="single" w:sz="4" w:space="0" w:color="365F91"/>
              <w:left w:val="nil"/>
              <w:bottom w:val="single" w:sz="4" w:space="0" w:color="365F91"/>
              <w:right w:val="nil"/>
            </w:tcBorders>
          </w:tcPr>
          <w:p w14:paraId="0B75F93E" w14:textId="77777777" w:rsidR="00FB19C0" w:rsidRPr="00BE78CA" w:rsidRDefault="00FB19C0" w:rsidP="00C26084">
            <w:pPr>
              <w:pStyle w:val="TableText"/>
              <w:spacing w:before="50" w:after="50"/>
              <w:jc w:val="center"/>
              <w:rPr>
                <w:rFonts w:cs="Calibri"/>
                <w:szCs w:val="16"/>
              </w:rPr>
            </w:pPr>
            <w:r w:rsidRPr="00BE78CA">
              <w:t>7.5</w:t>
            </w:r>
          </w:p>
        </w:tc>
        <w:tc>
          <w:tcPr>
            <w:tcW w:w="680" w:type="dxa"/>
            <w:tcBorders>
              <w:top w:val="single" w:sz="4" w:space="0" w:color="365F91"/>
              <w:left w:val="nil"/>
              <w:bottom w:val="single" w:sz="4" w:space="0" w:color="365F91"/>
              <w:right w:val="nil"/>
            </w:tcBorders>
          </w:tcPr>
          <w:p w14:paraId="47E76C08" w14:textId="77777777" w:rsidR="00FB19C0" w:rsidRPr="00BE78CA" w:rsidRDefault="00FB19C0" w:rsidP="00C26084">
            <w:pPr>
              <w:pStyle w:val="TableText"/>
              <w:spacing w:before="50" w:after="50"/>
              <w:jc w:val="center"/>
              <w:rPr>
                <w:rFonts w:cs="Calibri"/>
                <w:szCs w:val="16"/>
              </w:rPr>
            </w:pPr>
            <w:r w:rsidRPr="00BE78CA">
              <w:t>12.4</w:t>
            </w:r>
          </w:p>
        </w:tc>
        <w:tc>
          <w:tcPr>
            <w:tcW w:w="794" w:type="dxa"/>
            <w:tcBorders>
              <w:top w:val="single" w:sz="4" w:space="0" w:color="365F91"/>
              <w:left w:val="nil"/>
              <w:bottom w:val="single" w:sz="4" w:space="0" w:color="365F91"/>
              <w:right w:val="nil"/>
            </w:tcBorders>
          </w:tcPr>
          <w:p w14:paraId="142844B4" w14:textId="77777777" w:rsidR="00FB19C0" w:rsidRPr="00BE78CA" w:rsidRDefault="00FB19C0" w:rsidP="00C26084">
            <w:pPr>
              <w:pStyle w:val="TableText"/>
              <w:spacing w:before="50" w:after="50"/>
              <w:jc w:val="center"/>
              <w:rPr>
                <w:rFonts w:cs="Calibri"/>
                <w:szCs w:val="16"/>
              </w:rPr>
            </w:pPr>
            <w:r w:rsidRPr="00BE78CA">
              <w:t>5.2</w:t>
            </w:r>
          </w:p>
        </w:tc>
        <w:tc>
          <w:tcPr>
            <w:tcW w:w="794" w:type="dxa"/>
            <w:tcBorders>
              <w:top w:val="single" w:sz="4" w:space="0" w:color="365F91"/>
              <w:left w:val="nil"/>
              <w:bottom w:val="single" w:sz="4" w:space="0" w:color="365F91"/>
              <w:right w:val="nil"/>
            </w:tcBorders>
          </w:tcPr>
          <w:p w14:paraId="67E0600A" w14:textId="77777777" w:rsidR="00FB19C0" w:rsidRPr="00BE78CA" w:rsidRDefault="00FB19C0" w:rsidP="00C26084">
            <w:pPr>
              <w:pStyle w:val="TableText"/>
              <w:spacing w:before="50" w:after="50"/>
              <w:jc w:val="center"/>
              <w:rPr>
                <w:rFonts w:cs="Calibri"/>
                <w:szCs w:val="16"/>
              </w:rPr>
            </w:pPr>
            <w:r w:rsidRPr="00BE78CA">
              <w:t>2.6</w:t>
            </w:r>
          </w:p>
        </w:tc>
        <w:tc>
          <w:tcPr>
            <w:tcW w:w="794" w:type="dxa"/>
            <w:tcBorders>
              <w:top w:val="single" w:sz="4" w:space="0" w:color="365F91"/>
              <w:left w:val="nil"/>
              <w:bottom w:val="single" w:sz="4" w:space="0" w:color="365F91"/>
              <w:right w:val="nil"/>
            </w:tcBorders>
          </w:tcPr>
          <w:p w14:paraId="25D157BF" w14:textId="77777777" w:rsidR="00FB19C0" w:rsidRPr="00BE78CA" w:rsidRDefault="00FB19C0" w:rsidP="00C26084">
            <w:pPr>
              <w:pStyle w:val="TableText"/>
              <w:spacing w:before="50" w:after="50"/>
              <w:jc w:val="center"/>
              <w:rPr>
                <w:rFonts w:cs="Calibri"/>
                <w:szCs w:val="16"/>
              </w:rPr>
            </w:pPr>
            <w:r w:rsidRPr="00BE78CA">
              <w:t>2.6</w:t>
            </w:r>
          </w:p>
        </w:tc>
        <w:tc>
          <w:tcPr>
            <w:tcW w:w="680" w:type="dxa"/>
            <w:tcBorders>
              <w:top w:val="single" w:sz="4" w:space="0" w:color="365F91"/>
              <w:left w:val="nil"/>
              <w:bottom w:val="single" w:sz="4" w:space="0" w:color="365F91"/>
              <w:right w:val="nil"/>
            </w:tcBorders>
          </w:tcPr>
          <w:p w14:paraId="6B1FF461" w14:textId="77777777" w:rsidR="00FB19C0" w:rsidRPr="00BE78CA" w:rsidRDefault="00FB19C0" w:rsidP="00C26084">
            <w:pPr>
              <w:pStyle w:val="TableText"/>
              <w:spacing w:before="50" w:after="50"/>
              <w:jc w:val="center"/>
              <w:rPr>
                <w:rFonts w:cs="Calibri"/>
                <w:szCs w:val="16"/>
              </w:rPr>
            </w:pPr>
            <w:r w:rsidRPr="00BE78CA">
              <w:t>51.5</w:t>
            </w:r>
          </w:p>
        </w:tc>
        <w:tc>
          <w:tcPr>
            <w:tcW w:w="1985" w:type="dxa"/>
            <w:tcBorders>
              <w:top w:val="single" w:sz="4" w:space="0" w:color="365F91"/>
              <w:left w:val="nil"/>
              <w:bottom w:val="single" w:sz="4" w:space="0" w:color="365F91"/>
              <w:right w:val="nil"/>
            </w:tcBorders>
          </w:tcPr>
          <w:p w14:paraId="43EF1DB5" w14:textId="77777777" w:rsidR="00FB19C0" w:rsidRPr="00BE78CA" w:rsidRDefault="00FB19C0" w:rsidP="00C26084">
            <w:pPr>
              <w:pStyle w:val="TableText"/>
              <w:spacing w:before="50" w:after="50"/>
              <w:rPr>
                <w:rFonts w:cs="Calibri"/>
                <w:szCs w:val="16"/>
              </w:rPr>
            </w:pPr>
            <w:r w:rsidRPr="00BE78CA">
              <w:rPr>
                <w:rFonts w:cs="Calibri"/>
                <w:szCs w:val="16"/>
              </w:rPr>
              <w:t>Interpolation</w:t>
            </w:r>
          </w:p>
        </w:tc>
      </w:tr>
      <w:tr w:rsidR="00FB19C0" w:rsidRPr="00BE78CA" w14:paraId="375E856C" w14:textId="77777777" w:rsidTr="00C26084">
        <w:tc>
          <w:tcPr>
            <w:tcW w:w="964" w:type="dxa"/>
            <w:tcBorders>
              <w:top w:val="single" w:sz="4" w:space="0" w:color="365F91"/>
              <w:left w:val="nil"/>
              <w:bottom w:val="single" w:sz="4" w:space="0" w:color="365F91"/>
              <w:right w:val="nil"/>
            </w:tcBorders>
          </w:tcPr>
          <w:p w14:paraId="67BAAA6D" w14:textId="77777777" w:rsidR="00FB19C0" w:rsidRPr="00BE78CA" w:rsidRDefault="00FB19C0" w:rsidP="00C26084">
            <w:pPr>
              <w:pStyle w:val="TableTextBold"/>
              <w:spacing w:before="50" w:after="50"/>
              <w:rPr>
                <w:rFonts w:cs="Calibri"/>
                <w:noProof w:val="0"/>
                <w:szCs w:val="16"/>
              </w:rPr>
            </w:pPr>
            <w:r w:rsidRPr="00BE78CA">
              <w:rPr>
                <w:rFonts w:cs="Calibri"/>
                <w:noProof w:val="0"/>
                <w:szCs w:val="16"/>
              </w:rPr>
              <w:t>2017</w:t>
            </w:r>
          </w:p>
        </w:tc>
        <w:tc>
          <w:tcPr>
            <w:tcW w:w="737" w:type="dxa"/>
            <w:tcBorders>
              <w:top w:val="single" w:sz="4" w:space="0" w:color="365F91"/>
              <w:left w:val="nil"/>
              <w:bottom w:val="single" w:sz="4" w:space="0" w:color="365F91"/>
              <w:right w:val="nil"/>
            </w:tcBorders>
          </w:tcPr>
          <w:p w14:paraId="7F29061D" w14:textId="77777777" w:rsidR="00FB19C0" w:rsidRPr="00BE78CA" w:rsidRDefault="00FB19C0" w:rsidP="00C26084">
            <w:pPr>
              <w:pStyle w:val="TableText"/>
              <w:spacing w:before="50" w:after="50"/>
              <w:jc w:val="center"/>
              <w:rPr>
                <w:rFonts w:cs="Calibri"/>
                <w:szCs w:val="16"/>
              </w:rPr>
            </w:pPr>
            <w:r w:rsidRPr="00BE78CA">
              <w:t>10.3</w:t>
            </w:r>
          </w:p>
        </w:tc>
        <w:tc>
          <w:tcPr>
            <w:tcW w:w="794" w:type="dxa"/>
            <w:tcBorders>
              <w:top w:val="single" w:sz="4" w:space="0" w:color="365F91"/>
              <w:left w:val="nil"/>
              <w:bottom w:val="single" w:sz="4" w:space="0" w:color="365F91"/>
              <w:right w:val="nil"/>
            </w:tcBorders>
          </w:tcPr>
          <w:p w14:paraId="63DC83AA" w14:textId="77777777" w:rsidR="00FB19C0" w:rsidRPr="00BE78CA" w:rsidRDefault="00FB19C0" w:rsidP="00C26084">
            <w:pPr>
              <w:pStyle w:val="TableText"/>
              <w:spacing w:before="50" w:after="50"/>
              <w:jc w:val="center"/>
              <w:rPr>
                <w:rFonts w:cs="Calibri"/>
                <w:szCs w:val="16"/>
              </w:rPr>
            </w:pPr>
            <w:r w:rsidRPr="00BE78CA">
              <w:t>6.2</w:t>
            </w:r>
          </w:p>
        </w:tc>
        <w:tc>
          <w:tcPr>
            <w:tcW w:w="794" w:type="dxa"/>
            <w:tcBorders>
              <w:top w:val="single" w:sz="4" w:space="0" w:color="365F91"/>
              <w:left w:val="nil"/>
              <w:bottom w:val="single" w:sz="4" w:space="0" w:color="365F91"/>
              <w:right w:val="nil"/>
            </w:tcBorders>
          </w:tcPr>
          <w:p w14:paraId="1DB3F7C9" w14:textId="77777777" w:rsidR="00FB19C0" w:rsidRPr="00BE78CA" w:rsidRDefault="00FB19C0" w:rsidP="00C26084">
            <w:pPr>
              <w:pStyle w:val="TableText"/>
              <w:spacing w:before="50" w:after="50"/>
              <w:jc w:val="center"/>
              <w:rPr>
                <w:rFonts w:cs="Calibri"/>
                <w:szCs w:val="16"/>
              </w:rPr>
            </w:pPr>
            <w:r w:rsidRPr="00BE78CA">
              <w:t>6.7</w:t>
            </w:r>
          </w:p>
        </w:tc>
        <w:tc>
          <w:tcPr>
            <w:tcW w:w="680" w:type="dxa"/>
            <w:tcBorders>
              <w:top w:val="single" w:sz="4" w:space="0" w:color="365F91"/>
              <w:left w:val="nil"/>
              <w:bottom w:val="single" w:sz="4" w:space="0" w:color="365F91"/>
              <w:right w:val="nil"/>
            </w:tcBorders>
          </w:tcPr>
          <w:p w14:paraId="1C35AA7F" w14:textId="77777777" w:rsidR="00FB19C0" w:rsidRPr="00BE78CA" w:rsidRDefault="00FB19C0" w:rsidP="00C26084">
            <w:pPr>
              <w:pStyle w:val="TableText"/>
              <w:spacing w:before="50" w:after="50"/>
              <w:jc w:val="center"/>
              <w:rPr>
                <w:rFonts w:cs="Calibri"/>
                <w:szCs w:val="16"/>
              </w:rPr>
            </w:pPr>
            <w:r w:rsidRPr="00BE78CA">
              <w:t>12.5</w:t>
            </w:r>
          </w:p>
        </w:tc>
        <w:tc>
          <w:tcPr>
            <w:tcW w:w="794" w:type="dxa"/>
            <w:tcBorders>
              <w:top w:val="single" w:sz="4" w:space="0" w:color="365F91"/>
              <w:left w:val="nil"/>
              <w:bottom w:val="single" w:sz="4" w:space="0" w:color="365F91"/>
              <w:right w:val="nil"/>
            </w:tcBorders>
          </w:tcPr>
          <w:p w14:paraId="51DA80C2" w14:textId="77777777" w:rsidR="00FB19C0" w:rsidRPr="00BE78CA" w:rsidRDefault="00FB19C0" w:rsidP="00C26084">
            <w:pPr>
              <w:pStyle w:val="TableText"/>
              <w:spacing w:before="50" w:after="50"/>
              <w:jc w:val="center"/>
              <w:rPr>
                <w:rFonts w:cs="Calibri"/>
                <w:szCs w:val="16"/>
              </w:rPr>
            </w:pPr>
            <w:r w:rsidRPr="00BE78CA">
              <w:t>5.1</w:t>
            </w:r>
          </w:p>
        </w:tc>
        <w:tc>
          <w:tcPr>
            <w:tcW w:w="794" w:type="dxa"/>
            <w:tcBorders>
              <w:top w:val="single" w:sz="4" w:space="0" w:color="365F91"/>
              <w:left w:val="nil"/>
              <w:bottom w:val="single" w:sz="4" w:space="0" w:color="365F91"/>
              <w:right w:val="nil"/>
            </w:tcBorders>
          </w:tcPr>
          <w:p w14:paraId="468A7C46" w14:textId="77777777" w:rsidR="00FB19C0" w:rsidRPr="00BE78CA" w:rsidRDefault="00FB19C0" w:rsidP="00C26084">
            <w:pPr>
              <w:pStyle w:val="TableText"/>
              <w:spacing w:before="50" w:after="50"/>
              <w:jc w:val="center"/>
              <w:rPr>
                <w:rFonts w:cs="Calibri"/>
                <w:szCs w:val="16"/>
              </w:rPr>
            </w:pPr>
            <w:r w:rsidRPr="00BE78CA">
              <w:t>2.6</w:t>
            </w:r>
          </w:p>
        </w:tc>
        <w:tc>
          <w:tcPr>
            <w:tcW w:w="794" w:type="dxa"/>
            <w:tcBorders>
              <w:top w:val="single" w:sz="4" w:space="0" w:color="365F91"/>
              <w:left w:val="nil"/>
              <w:bottom w:val="single" w:sz="4" w:space="0" w:color="365F91"/>
              <w:right w:val="nil"/>
            </w:tcBorders>
          </w:tcPr>
          <w:p w14:paraId="49CE758D" w14:textId="77777777" w:rsidR="00FB19C0" w:rsidRPr="00BE78CA" w:rsidRDefault="00FB19C0" w:rsidP="00C26084">
            <w:pPr>
              <w:pStyle w:val="TableText"/>
              <w:spacing w:before="50" w:after="50"/>
              <w:jc w:val="center"/>
              <w:rPr>
                <w:rFonts w:cs="Calibri"/>
                <w:szCs w:val="16"/>
              </w:rPr>
            </w:pPr>
            <w:r w:rsidRPr="00BE78CA">
              <w:t>2.3</w:t>
            </w:r>
          </w:p>
        </w:tc>
        <w:tc>
          <w:tcPr>
            <w:tcW w:w="680" w:type="dxa"/>
            <w:tcBorders>
              <w:top w:val="single" w:sz="4" w:space="0" w:color="365F91"/>
              <w:left w:val="nil"/>
              <w:bottom w:val="single" w:sz="4" w:space="0" w:color="365F91"/>
              <w:right w:val="nil"/>
            </w:tcBorders>
          </w:tcPr>
          <w:p w14:paraId="10808030" w14:textId="77777777" w:rsidR="00FB19C0" w:rsidRPr="00BE78CA" w:rsidRDefault="00FB19C0" w:rsidP="00C26084">
            <w:pPr>
              <w:pStyle w:val="TableText"/>
              <w:spacing w:before="50" w:after="50"/>
              <w:jc w:val="center"/>
              <w:rPr>
                <w:rFonts w:cs="Calibri"/>
                <w:szCs w:val="16"/>
              </w:rPr>
            </w:pPr>
            <w:r w:rsidRPr="00BE78CA">
              <w:t>54.4</w:t>
            </w:r>
          </w:p>
        </w:tc>
        <w:tc>
          <w:tcPr>
            <w:tcW w:w="1985" w:type="dxa"/>
            <w:tcBorders>
              <w:top w:val="single" w:sz="4" w:space="0" w:color="365F91"/>
              <w:left w:val="nil"/>
              <w:bottom w:val="single" w:sz="4" w:space="0" w:color="365F91"/>
              <w:right w:val="nil"/>
            </w:tcBorders>
          </w:tcPr>
          <w:p w14:paraId="2CC25C5F" w14:textId="77777777" w:rsidR="00FB19C0" w:rsidRPr="00BE78CA" w:rsidRDefault="00FB19C0" w:rsidP="00C26084">
            <w:pPr>
              <w:pStyle w:val="TableText"/>
              <w:spacing w:before="50" w:after="50"/>
              <w:rPr>
                <w:rFonts w:cs="Calibri"/>
                <w:szCs w:val="16"/>
              </w:rPr>
            </w:pPr>
            <w:r w:rsidRPr="00BE78CA">
              <w:rPr>
                <w:rFonts w:cs="Calibri"/>
                <w:szCs w:val="16"/>
              </w:rPr>
              <w:t>Interpolation</w:t>
            </w:r>
          </w:p>
        </w:tc>
      </w:tr>
      <w:tr w:rsidR="00FB19C0" w:rsidRPr="00BE78CA" w14:paraId="79BAFE83" w14:textId="77777777" w:rsidTr="00C26084">
        <w:tc>
          <w:tcPr>
            <w:tcW w:w="964" w:type="dxa"/>
            <w:tcBorders>
              <w:top w:val="single" w:sz="4" w:space="0" w:color="365F91"/>
              <w:left w:val="nil"/>
              <w:bottom w:val="single" w:sz="4" w:space="0" w:color="365F91"/>
              <w:right w:val="nil"/>
            </w:tcBorders>
          </w:tcPr>
          <w:p w14:paraId="40316311" w14:textId="77777777" w:rsidR="00FB19C0" w:rsidRPr="00BE78CA" w:rsidRDefault="00FB19C0" w:rsidP="00C26084">
            <w:pPr>
              <w:pStyle w:val="TableTextBold"/>
              <w:spacing w:before="50" w:after="50"/>
              <w:rPr>
                <w:rFonts w:cs="Calibri"/>
                <w:noProof w:val="0"/>
                <w:szCs w:val="16"/>
              </w:rPr>
            </w:pPr>
            <w:r w:rsidRPr="00BE78CA">
              <w:rPr>
                <w:rFonts w:cs="Calibri"/>
                <w:noProof w:val="0"/>
                <w:szCs w:val="16"/>
              </w:rPr>
              <w:t>2018</w:t>
            </w:r>
          </w:p>
        </w:tc>
        <w:tc>
          <w:tcPr>
            <w:tcW w:w="737" w:type="dxa"/>
            <w:tcBorders>
              <w:top w:val="single" w:sz="4" w:space="0" w:color="365F91"/>
              <w:left w:val="nil"/>
              <w:bottom w:val="single" w:sz="4" w:space="0" w:color="365F91"/>
              <w:right w:val="nil"/>
            </w:tcBorders>
          </w:tcPr>
          <w:p w14:paraId="41B24D0E" w14:textId="77777777" w:rsidR="00FB19C0" w:rsidRPr="00BE78CA" w:rsidRDefault="00FB19C0" w:rsidP="00C26084">
            <w:pPr>
              <w:pStyle w:val="TableText"/>
              <w:spacing w:before="50" w:after="50"/>
              <w:jc w:val="center"/>
              <w:rPr>
                <w:rFonts w:cs="Calibri"/>
                <w:szCs w:val="16"/>
              </w:rPr>
            </w:pPr>
            <w:r w:rsidRPr="00BE78CA">
              <w:t>9.0</w:t>
            </w:r>
          </w:p>
        </w:tc>
        <w:tc>
          <w:tcPr>
            <w:tcW w:w="794" w:type="dxa"/>
            <w:tcBorders>
              <w:top w:val="single" w:sz="4" w:space="0" w:color="365F91"/>
              <w:left w:val="nil"/>
              <w:bottom w:val="single" w:sz="4" w:space="0" w:color="365F91"/>
              <w:right w:val="nil"/>
            </w:tcBorders>
          </w:tcPr>
          <w:p w14:paraId="7042EFAB" w14:textId="77777777" w:rsidR="00FB19C0" w:rsidRPr="00BE78CA" w:rsidRDefault="00FB19C0" w:rsidP="00C26084">
            <w:pPr>
              <w:pStyle w:val="TableText"/>
              <w:spacing w:before="50" w:after="50"/>
              <w:jc w:val="center"/>
              <w:rPr>
                <w:rFonts w:cs="Calibri"/>
                <w:szCs w:val="16"/>
              </w:rPr>
            </w:pPr>
            <w:r w:rsidRPr="00BE78CA">
              <w:t>5.7</w:t>
            </w:r>
          </w:p>
        </w:tc>
        <w:tc>
          <w:tcPr>
            <w:tcW w:w="794" w:type="dxa"/>
            <w:tcBorders>
              <w:top w:val="single" w:sz="4" w:space="0" w:color="365F91"/>
              <w:left w:val="nil"/>
              <w:bottom w:val="single" w:sz="4" w:space="0" w:color="365F91"/>
              <w:right w:val="nil"/>
            </w:tcBorders>
          </w:tcPr>
          <w:p w14:paraId="52F16E4D" w14:textId="77777777" w:rsidR="00FB19C0" w:rsidRPr="00BE78CA" w:rsidRDefault="00FB19C0" w:rsidP="00C26084">
            <w:pPr>
              <w:pStyle w:val="TableText"/>
              <w:spacing w:before="50" w:after="50"/>
              <w:jc w:val="center"/>
              <w:rPr>
                <w:rFonts w:cs="Calibri"/>
                <w:szCs w:val="16"/>
              </w:rPr>
            </w:pPr>
            <w:r w:rsidRPr="00BE78CA">
              <w:t>5.9</w:t>
            </w:r>
          </w:p>
        </w:tc>
        <w:tc>
          <w:tcPr>
            <w:tcW w:w="680" w:type="dxa"/>
            <w:tcBorders>
              <w:top w:val="single" w:sz="4" w:space="0" w:color="365F91"/>
              <w:left w:val="nil"/>
              <w:bottom w:val="single" w:sz="4" w:space="0" w:color="365F91"/>
              <w:right w:val="nil"/>
            </w:tcBorders>
          </w:tcPr>
          <w:p w14:paraId="1321717E" w14:textId="77777777" w:rsidR="00FB19C0" w:rsidRPr="00BE78CA" w:rsidRDefault="00FB19C0" w:rsidP="00C26084">
            <w:pPr>
              <w:pStyle w:val="TableText"/>
              <w:spacing w:before="50" w:after="50"/>
              <w:jc w:val="center"/>
              <w:rPr>
                <w:rFonts w:cs="Calibri"/>
                <w:szCs w:val="16"/>
              </w:rPr>
            </w:pPr>
            <w:r w:rsidRPr="00BE78CA">
              <w:t>12.6</w:t>
            </w:r>
          </w:p>
        </w:tc>
        <w:tc>
          <w:tcPr>
            <w:tcW w:w="794" w:type="dxa"/>
            <w:tcBorders>
              <w:top w:val="single" w:sz="4" w:space="0" w:color="365F91"/>
              <w:left w:val="nil"/>
              <w:bottom w:val="single" w:sz="4" w:space="0" w:color="365F91"/>
              <w:right w:val="nil"/>
            </w:tcBorders>
          </w:tcPr>
          <w:p w14:paraId="050BA95F" w14:textId="77777777" w:rsidR="00FB19C0" w:rsidRPr="00BE78CA" w:rsidRDefault="00FB19C0" w:rsidP="00C26084">
            <w:pPr>
              <w:pStyle w:val="TableText"/>
              <w:spacing w:before="50" w:after="50"/>
              <w:jc w:val="center"/>
              <w:rPr>
                <w:rFonts w:cs="Calibri"/>
                <w:szCs w:val="16"/>
              </w:rPr>
            </w:pPr>
            <w:r w:rsidRPr="00BE78CA">
              <w:t>5.0</w:t>
            </w:r>
          </w:p>
        </w:tc>
        <w:tc>
          <w:tcPr>
            <w:tcW w:w="794" w:type="dxa"/>
            <w:tcBorders>
              <w:top w:val="single" w:sz="4" w:space="0" w:color="365F91"/>
              <w:left w:val="nil"/>
              <w:bottom w:val="single" w:sz="4" w:space="0" w:color="365F91"/>
              <w:right w:val="nil"/>
            </w:tcBorders>
          </w:tcPr>
          <w:p w14:paraId="2B6D56A3" w14:textId="77777777" w:rsidR="00FB19C0" w:rsidRPr="00BE78CA" w:rsidRDefault="00FB19C0" w:rsidP="00C26084">
            <w:pPr>
              <w:pStyle w:val="TableText"/>
              <w:spacing w:before="50" w:after="50"/>
              <w:jc w:val="center"/>
              <w:rPr>
                <w:rFonts w:cs="Calibri"/>
                <w:szCs w:val="16"/>
              </w:rPr>
            </w:pPr>
            <w:r w:rsidRPr="00BE78CA">
              <w:t>2.5</w:t>
            </w:r>
          </w:p>
        </w:tc>
        <w:tc>
          <w:tcPr>
            <w:tcW w:w="794" w:type="dxa"/>
            <w:tcBorders>
              <w:top w:val="single" w:sz="4" w:space="0" w:color="365F91"/>
              <w:left w:val="nil"/>
              <w:bottom w:val="single" w:sz="4" w:space="0" w:color="365F91"/>
              <w:right w:val="nil"/>
            </w:tcBorders>
          </w:tcPr>
          <w:p w14:paraId="1CA17CBD" w14:textId="77777777" w:rsidR="00FB19C0" w:rsidRPr="00BE78CA" w:rsidRDefault="00FB19C0" w:rsidP="00C26084">
            <w:pPr>
              <w:pStyle w:val="TableText"/>
              <w:spacing w:before="50" w:after="50"/>
              <w:jc w:val="center"/>
              <w:rPr>
                <w:rFonts w:cs="Calibri"/>
                <w:szCs w:val="16"/>
              </w:rPr>
            </w:pPr>
            <w:r w:rsidRPr="00BE78CA">
              <w:t>1.9</w:t>
            </w:r>
          </w:p>
        </w:tc>
        <w:tc>
          <w:tcPr>
            <w:tcW w:w="680" w:type="dxa"/>
            <w:tcBorders>
              <w:top w:val="single" w:sz="4" w:space="0" w:color="365F91"/>
              <w:left w:val="nil"/>
              <w:bottom w:val="single" w:sz="4" w:space="0" w:color="365F91"/>
              <w:right w:val="nil"/>
            </w:tcBorders>
          </w:tcPr>
          <w:p w14:paraId="7A3B2A1C" w14:textId="77777777" w:rsidR="00FB19C0" w:rsidRPr="00BE78CA" w:rsidRDefault="00FB19C0" w:rsidP="00C26084">
            <w:pPr>
              <w:pStyle w:val="TableText"/>
              <w:spacing w:before="50" w:after="50"/>
              <w:jc w:val="center"/>
              <w:rPr>
                <w:rFonts w:cs="Calibri"/>
                <w:szCs w:val="16"/>
              </w:rPr>
            </w:pPr>
            <w:r w:rsidRPr="00BE78CA">
              <w:t>57.3</w:t>
            </w:r>
          </w:p>
        </w:tc>
        <w:tc>
          <w:tcPr>
            <w:tcW w:w="1985" w:type="dxa"/>
            <w:tcBorders>
              <w:top w:val="single" w:sz="4" w:space="0" w:color="365F91"/>
              <w:left w:val="nil"/>
              <w:bottom w:val="single" w:sz="4" w:space="0" w:color="365F91"/>
              <w:right w:val="nil"/>
            </w:tcBorders>
          </w:tcPr>
          <w:p w14:paraId="4ACB7101" w14:textId="77777777" w:rsidR="00FB19C0" w:rsidRPr="00BE78CA" w:rsidRDefault="00FB19C0" w:rsidP="00C26084">
            <w:pPr>
              <w:pStyle w:val="TableText"/>
              <w:spacing w:before="50" w:after="50"/>
              <w:rPr>
                <w:rFonts w:cs="Calibri"/>
                <w:szCs w:val="16"/>
              </w:rPr>
            </w:pPr>
            <w:r w:rsidRPr="00BE78CA">
              <w:rPr>
                <w:rFonts w:cs="Calibri"/>
                <w:szCs w:val="16"/>
              </w:rPr>
              <w:t>Survey</w:t>
            </w:r>
          </w:p>
        </w:tc>
      </w:tr>
      <w:tr w:rsidR="00FB19C0" w:rsidRPr="00BE78CA" w14:paraId="7307088D" w14:textId="77777777" w:rsidTr="00C26084">
        <w:tc>
          <w:tcPr>
            <w:tcW w:w="964" w:type="dxa"/>
            <w:tcBorders>
              <w:top w:val="single" w:sz="4" w:space="0" w:color="365F91"/>
              <w:left w:val="nil"/>
              <w:bottom w:val="single" w:sz="4" w:space="0" w:color="365F91"/>
              <w:right w:val="nil"/>
            </w:tcBorders>
          </w:tcPr>
          <w:p w14:paraId="15C2EEEA" w14:textId="77777777" w:rsidR="00FB19C0" w:rsidRPr="00BE78CA" w:rsidRDefault="00FB19C0" w:rsidP="00C26084">
            <w:pPr>
              <w:pStyle w:val="TableTextBold"/>
              <w:spacing w:before="50" w:after="50"/>
              <w:rPr>
                <w:rFonts w:cs="Calibri"/>
                <w:noProof w:val="0"/>
                <w:szCs w:val="16"/>
              </w:rPr>
            </w:pPr>
            <w:r w:rsidRPr="00BE78CA">
              <w:rPr>
                <w:rFonts w:cs="Calibri"/>
                <w:noProof w:val="0"/>
                <w:szCs w:val="16"/>
              </w:rPr>
              <w:t>2019</w:t>
            </w:r>
          </w:p>
        </w:tc>
        <w:tc>
          <w:tcPr>
            <w:tcW w:w="737" w:type="dxa"/>
            <w:tcBorders>
              <w:top w:val="single" w:sz="4" w:space="0" w:color="365F91"/>
              <w:left w:val="nil"/>
              <w:bottom w:val="single" w:sz="4" w:space="0" w:color="365F91"/>
              <w:right w:val="nil"/>
            </w:tcBorders>
          </w:tcPr>
          <w:p w14:paraId="72543C47" w14:textId="77777777" w:rsidR="00FB19C0" w:rsidRPr="00BE78CA" w:rsidRDefault="00FB19C0" w:rsidP="00C26084">
            <w:pPr>
              <w:pStyle w:val="TableText"/>
              <w:spacing w:before="50" w:after="50"/>
              <w:jc w:val="center"/>
              <w:rPr>
                <w:rFonts w:cs="Calibri"/>
                <w:szCs w:val="16"/>
              </w:rPr>
            </w:pPr>
            <w:r w:rsidRPr="00BE78CA">
              <w:t>9.0</w:t>
            </w:r>
          </w:p>
        </w:tc>
        <w:tc>
          <w:tcPr>
            <w:tcW w:w="794" w:type="dxa"/>
            <w:tcBorders>
              <w:top w:val="single" w:sz="4" w:space="0" w:color="365F91"/>
              <w:left w:val="nil"/>
              <w:bottom w:val="single" w:sz="4" w:space="0" w:color="365F91"/>
              <w:right w:val="nil"/>
            </w:tcBorders>
          </w:tcPr>
          <w:p w14:paraId="2499759E" w14:textId="77777777" w:rsidR="00FB19C0" w:rsidRPr="00BE78CA" w:rsidRDefault="00FB19C0" w:rsidP="00C26084">
            <w:pPr>
              <w:pStyle w:val="TableText"/>
              <w:spacing w:before="50" w:after="50"/>
              <w:jc w:val="center"/>
              <w:rPr>
                <w:rFonts w:cs="Calibri"/>
                <w:szCs w:val="16"/>
              </w:rPr>
            </w:pPr>
            <w:r w:rsidRPr="00BE78CA">
              <w:t>5.7</w:t>
            </w:r>
          </w:p>
        </w:tc>
        <w:tc>
          <w:tcPr>
            <w:tcW w:w="794" w:type="dxa"/>
            <w:tcBorders>
              <w:top w:val="single" w:sz="4" w:space="0" w:color="365F91"/>
              <w:left w:val="nil"/>
              <w:bottom w:val="single" w:sz="4" w:space="0" w:color="365F91"/>
              <w:right w:val="nil"/>
            </w:tcBorders>
          </w:tcPr>
          <w:p w14:paraId="2E41F1C3" w14:textId="77777777" w:rsidR="00FB19C0" w:rsidRPr="00BE78CA" w:rsidRDefault="00FB19C0" w:rsidP="00C26084">
            <w:pPr>
              <w:pStyle w:val="TableText"/>
              <w:spacing w:before="50" w:after="50"/>
              <w:jc w:val="center"/>
              <w:rPr>
                <w:rFonts w:cs="Calibri"/>
                <w:szCs w:val="16"/>
              </w:rPr>
            </w:pPr>
            <w:r w:rsidRPr="00BE78CA">
              <w:t>5.9</w:t>
            </w:r>
          </w:p>
        </w:tc>
        <w:tc>
          <w:tcPr>
            <w:tcW w:w="680" w:type="dxa"/>
            <w:tcBorders>
              <w:top w:val="single" w:sz="4" w:space="0" w:color="365F91"/>
              <w:left w:val="nil"/>
              <w:bottom w:val="single" w:sz="4" w:space="0" w:color="365F91"/>
              <w:right w:val="nil"/>
            </w:tcBorders>
          </w:tcPr>
          <w:p w14:paraId="32E484A2" w14:textId="77777777" w:rsidR="00FB19C0" w:rsidRPr="00BE78CA" w:rsidRDefault="00FB19C0" w:rsidP="00C26084">
            <w:pPr>
              <w:pStyle w:val="TableText"/>
              <w:spacing w:before="50" w:after="50"/>
              <w:jc w:val="center"/>
              <w:rPr>
                <w:rFonts w:cs="Calibri"/>
                <w:szCs w:val="16"/>
              </w:rPr>
            </w:pPr>
            <w:r w:rsidRPr="00BE78CA">
              <w:t>12.6</w:t>
            </w:r>
          </w:p>
        </w:tc>
        <w:tc>
          <w:tcPr>
            <w:tcW w:w="794" w:type="dxa"/>
            <w:tcBorders>
              <w:top w:val="single" w:sz="4" w:space="0" w:color="365F91"/>
              <w:left w:val="nil"/>
              <w:bottom w:val="single" w:sz="4" w:space="0" w:color="365F91"/>
              <w:right w:val="nil"/>
            </w:tcBorders>
          </w:tcPr>
          <w:p w14:paraId="03C0F693" w14:textId="77777777" w:rsidR="00FB19C0" w:rsidRPr="00BE78CA" w:rsidRDefault="00FB19C0" w:rsidP="00C26084">
            <w:pPr>
              <w:pStyle w:val="TableText"/>
              <w:spacing w:before="50" w:after="50"/>
              <w:jc w:val="center"/>
              <w:rPr>
                <w:rFonts w:cs="Calibri"/>
                <w:szCs w:val="16"/>
              </w:rPr>
            </w:pPr>
            <w:r w:rsidRPr="00BE78CA">
              <w:t>5.0</w:t>
            </w:r>
          </w:p>
        </w:tc>
        <w:tc>
          <w:tcPr>
            <w:tcW w:w="794" w:type="dxa"/>
            <w:tcBorders>
              <w:top w:val="single" w:sz="4" w:space="0" w:color="365F91"/>
              <w:left w:val="nil"/>
              <w:bottom w:val="single" w:sz="4" w:space="0" w:color="365F91"/>
              <w:right w:val="nil"/>
            </w:tcBorders>
          </w:tcPr>
          <w:p w14:paraId="1CC00FF7" w14:textId="77777777" w:rsidR="00FB19C0" w:rsidRPr="00BE78CA" w:rsidRDefault="00FB19C0" w:rsidP="00C26084">
            <w:pPr>
              <w:pStyle w:val="TableText"/>
              <w:spacing w:before="50" w:after="50"/>
              <w:jc w:val="center"/>
              <w:rPr>
                <w:rFonts w:cs="Calibri"/>
                <w:szCs w:val="16"/>
              </w:rPr>
            </w:pPr>
            <w:r w:rsidRPr="00BE78CA">
              <w:t>2.5</w:t>
            </w:r>
          </w:p>
        </w:tc>
        <w:tc>
          <w:tcPr>
            <w:tcW w:w="794" w:type="dxa"/>
            <w:tcBorders>
              <w:top w:val="single" w:sz="4" w:space="0" w:color="365F91"/>
              <w:left w:val="nil"/>
              <w:bottom w:val="single" w:sz="4" w:space="0" w:color="365F91"/>
              <w:right w:val="nil"/>
            </w:tcBorders>
          </w:tcPr>
          <w:p w14:paraId="0F3130CE" w14:textId="77777777" w:rsidR="00FB19C0" w:rsidRPr="00BE78CA" w:rsidRDefault="00FB19C0" w:rsidP="00C26084">
            <w:pPr>
              <w:pStyle w:val="TableText"/>
              <w:spacing w:before="50" w:after="50"/>
              <w:jc w:val="center"/>
              <w:rPr>
                <w:rFonts w:cs="Calibri"/>
                <w:szCs w:val="16"/>
              </w:rPr>
            </w:pPr>
            <w:r w:rsidRPr="00BE78CA">
              <w:t>1.9</w:t>
            </w:r>
          </w:p>
        </w:tc>
        <w:tc>
          <w:tcPr>
            <w:tcW w:w="680" w:type="dxa"/>
            <w:tcBorders>
              <w:top w:val="single" w:sz="4" w:space="0" w:color="365F91"/>
              <w:left w:val="nil"/>
              <w:bottom w:val="single" w:sz="4" w:space="0" w:color="365F91"/>
              <w:right w:val="nil"/>
            </w:tcBorders>
          </w:tcPr>
          <w:p w14:paraId="6D29F98B" w14:textId="77777777" w:rsidR="00FB19C0" w:rsidRPr="00BE78CA" w:rsidRDefault="00FB19C0" w:rsidP="00C26084">
            <w:pPr>
              <w:pStyle w:val="TableText"/>
              <w:spacing w:before="50" w:after="50"/>
              <w:jc w:val="center"/>
              <w:rPr>
                <w:rFonts w:cs="Calibri"/>
                <w:szCs w:val="16"/>
              </w:rPr>
            </w:pPr>
            <w:r w:rsidRPr="00BE78CA">
              <w:t>57.3</w:t>
            </w:r>
          </w:p>
        </w:tc>
        <w:tc>
          <w:tcPr>
            <w:tcW w:w="1985" w:type="dxa"/>
            <w:tcBorders>
              <w:top w:val="single" w:sz="4" w:space="0" w:color="365F91"/>
              <w:left w:val="nil"/>
              <w:bottom w:val="single" w:sz="4" w:space="0" w:color="365F91"/>
              <w:right w:val="nil"/>
            </w:tcBorders>
          </w:tcPr>
          <w:p w14:paraId="7E5737DD" w14:textId="77777777" w:rsidR="00FB19C0" w:rsidRPr="00BE78CA" w:rsidRDefault="00FB19C0" w:rsidP="00C26084">
            <w:pPr>
              <w:pStyle w:val="TableText"/>
              <w:spacing w:before="50" w:after="50"/>
              <w:rPr>
                <w:rFonts w:cs="Calibri"/>
                <w:szCs w:val="16"/>
              </w:rPr>
            </w:pPr>
            <w:r w:rsidRPr="00BE78CA">
              <w:rPr>
                <w:rFonts w:cs="Calibri"/>
                <w:szCs w:val="16"/>
              </w:rPr>
              <w:t>Assumed same as 2018</w:t>
            </w:r>
          </w:p>
        </w:tc>
      </w:tr>
    </w:tbl>
    <w:p w14:paraId="6FDFFF62" w14:textId="77777777" w:rsidR="00FB19C0" w:rsidRPr="00BE78CA" w:rsidRDefault="00FB19C0" w:rsidP="00FB19C0">
      <w:pPr>
        <w:pStyle w:val="BodyText"/>
        <w:spacing w:before="240"/>
        <w:rPr>
          <w:spacing w:val="-2"/>
        </w:rPr>
      </w:pPr>
      <w:r w:rsidRPr="00BE78CA">
        <w:rPr>
          <w:spacing w:val="-2"/>
        </w:rPr>
        <w:t>The changes in composition over time lead to varying amounts of decomposable degradable organic carbon (DDOC) being entered into the landfill over time. Refer to table 7.2.6 for the values used for DDOC and other variables.</w:t>
      </w:r>
    </w:p>
    <w:p w14:paraId="7F553DAC" w14:textId="77777777" w:rsidR="00FB19C0" w:rsidRPr="00BE78CA" w:rsidRDefault="00FB19C0" w:rsidP="00FB19C0">
      <w:pPr>
        <w:pStyle w:val="Heading6"/>
      </w:pPr>
      <w:r w:rsidRPr="00BE78CA">
        <w:lastRenderedPageBreak/>
        <w:t>Methane correction factor, oxidation factor and fraction of methane in landfill gas (F)</w:t>
      </w:r>
    </w:p>
    <w:p w14:paraId="042BDF0E" w14:textId="77777777" w:rsidR="00FB19C0" w:rsidRPr="00BE78CA" w:rsidRDefault="00FB19C0" w:rsidP="00FB19C0">
      <w:pPr>
        <w:pStyle w:val="BodyText"/>
        <w:spacing w:before="100" w:after="100"/>
      </w:pPr>
      <w:r w:rsidRPr="00BE78CA">
        <w:t>The CH</w:t>
      </w:r>
      <w:r w:rsidRPr="00BE78CA">
        <w:rPr>
          <w:vertAlign w:val="subscript"/>
        </w:rPr>
        <w:t>4</w:t>
      </w:r>
      <w:r w:rsidRPr="00BE78CA">
        <w:t xml:space="preserve"> correction factor used is 1.0 for all managed landfill sites, both landfills with LFG recovery and those without. An oxidation factor of 10 per cent is used for waste disposed to these sites.</w:t>
      </w:r>
    </w:p>
    <w:p w14:paraId="2218E166" w14:textId="77777777" w:rsidR="00FB19C0" w:rsidRPr="00BE78CA" w:rsidRDefault="00FB19C0" w:rsidP="00FB19C0">
      <w:pPr>
        <w:pStyle w:val="BodyText"/>
        <w:spacing w:before="100" w:after="100"/>
      </w:pPr>
      <w:r w:rsidRPr="00BE78CA">
        <w:t>For all sites other than managed landfills, there was an unknown mix of shallow and deep disposal areas. A survey carried out in 1971 revealed that larger sites in operation were assessed at that time to be roughly half deep (more than 5 metres) and half shallow. The use of cover material was variable. Therefore, for uncategorised sites, a CH</w:t>
      </w:r>
      <w:r w:rsidRPr="00BE78CA">
        <w:rPr>
          <w:vertAlign w:val="subscript"/>
        </w:rPr>
        <w:t>4</w:t>
      </w:r>
      <w:r w:rsidRPr="00BE78CA">
        <w:t xml:space="preserve"> correction factor of 0.6 and an oxidation factor of zero have been used.</w:t>
      </w:r>
    </w:p>
    <w:p w14:paraId="2F8BBA35" w14:textId="77777777" w:rsidR="00FB19C0" w:rsidRPr="00BE78CA" w:rsidRDefault="00FB19C0" w:rsidP="00FB19C0">
      <w:pPr>
        <w:pStyle w:val="BodyText"/>
        <w:spacing w:before="100" w:after="100"/>
      </w:pPr>
      <w:r w:rsidRPr="00BE78CA">
        <w:t>The fraction of methane in landfill gas (F) is 57 per cent for municipal landfills (Eunomia, unpublished(a)). This figure is based on research in the United Kingdom and the general similarities in landfill management practices between the United Kingdom and New Zealand. Uncategorised sites use the IPCC (2006a) default of 50 per cent.</w:t>
      </w:r>
    </w:p>
    <w:p w14:paraId="1E7346EB" w14:textId="77777777" w:rsidR="00FB19C0" w:rsidRPr="00BE78CA" w:rsidRDefault="00FB19C0" w:rsidP="00FB19C0">
      <w:pPr>
        <w:pStyle w:val="Heading6"/>
        <w:spacing w:before="160"/>
      </w:pPr>
      <w:r w:rsidRPr="00BE78CA">
        <w:t>Methane generation rates</w:t>
      </w:r>
    </w:p>
    <w:p w14:paraId="477459AC" w14:textId="77777777" w:rsidR="00FB19C0" w:rsidRPr="00BE78CA" w:rsidRDefault="00FB19C0" w:rsidP="00FB19C0">
      <w:pPr>
        <w:pStyle w:val="BodyText"/>
        <w:spacing w:before="100" w:after="100"/>
      </w:pPr>
      <w:r w:rsidRPr="00BE78CA">
        <w:t>The study by Eunomia (unpublished(a)) provides the parameters used to determine the quantity and rate of methane generation. Table 7.2.6 details the parameters used.</w:t>
      </w:r>
    </w:p>
    <w:p w14:paraId="55A0ED15" w14:textId="6A0F4DF2" w:rsidR="00FB19C0" w:rsidRPr="00BE78CA" w:rsidRDefault="00FB19C0" w:rsidP="00FB19C0">
      <w:pPr>
        <w:pStyle w:val="Table"/>
        <w:rPr>
          <w:rFonts w:cs="Arial"/>
        </w:rPr>
      </w:pPr>
      <w:bookmarkStart w:id="2908" w:name="_Toc68786533"/>
      <w:r w:rsidRPr="00BE78CA">
        <w:rPr>
          <w:rFonts w:cs="Arial"/>
        </w:rPr>
        <w:t>Table 7.2.6</w:t>
      </w:r>
      <w:r w:rsidRPr="00BE78CA">
        <w:rPr>
          <w:rFonts w:cs="Arial"/>
        </w:rPr>
        <w:tab/>
        <w:t>Parameters by waste type that determine the quantity and rate of methane</w:t>
      </w:r>
      <w:r w:rsidR="005B6417" w:rsidRPr="00BE78CA">
        <w:rPr>
          <w:rFonts w:cs="Arial"/>
        </w:rPr>
        <w:t> </w:t>
      </w:r>
      <w:r w:rsidRPr="00BE78CA">
        <w:rPr>
          <w:rFonts w:cs="Arial"/>
        </w:rPr>
        <w:t>generation</w:t>
      </w:r>
      <w:bookmarkEnd w:id="2908"/>
    </w:p>
    <w:tbl>
      <w:tblPr>
        <w:tblW w:w="8505" w:type="dxa"/>
        <w:tblLook w:val="04A0" w:firstRow="1" w:lastRow="0" w:firstColumn="1" w:lastColumn="0" w:noHBand="0" w:noVBand="1"/>
      </w:tblPr>
      <w:tblGrid>
        <w:gridCol w:w="1701"/>
        <w:gridCol w:w="8"/>
        <w:gridCol w:w="854"/>
        <w:gridCol w:w="855"/>
        <w:gridCol w:w="855"/>
        <w:gridCol w:w="855"/>
        <w:gridCol w:w="1645"/>
        <w:gridCol w:w="877"/>
        <w:gridCol w:w="855"/>
      </w:tblGrid>
      <w:tr w:rsidR="00FB19C0" w:rsidRPr="00BE78CA" w14:paraId="6E9967EA" w14:textId="77777777" w:rsidTr="00C648C2">
        <w:trPr>
          <w:trHeight w:val="275"/>
        </w:trPr>
        <w:tc>
          <w:tcPr>
            <w:tcW w:w="1701" w:type="dxa"/>
            <w:tcBorders>
              <w:left w:val="nil"/>
              <w:right w:val="nil"/>
            </w:tcBorders>
            <w:shd w:val="clear" w:color="auto" w:fill="365F91"/>
            <w:vAlign w:val="bottom"/>
          </w:tcPr>
          <w:p w14:paraId="19B4110D" w14:textId="77777777" w:rsidR="00FB19C0" w:rsidRPr="00BE78CA" w:rsidRDefault="00FB19C0" w:rsidP="00C26084">
            <w:pPr>
              <w:pStyle w:val="TableTextBold"/>
              <w:keepNext/>
              <w:spacing w:before="40" w:after="50"/>
              <w:rPr>
                <w:noProof w:val="0"/>
                <w:color w:val="FFFFFF"/>
              </w:rPr>
            </w:pPr>
          </w:p>
        </w:tc>
        <w:tc>
          <w:tcPr>
            <w:tcW w:w="6804" w:type="dxa"/>
            <w:gridSpan w:val="8"/>
            <w:tcBorders>
              <w:left w:val="nil"/>
            </w:tcBorders>
            <w:shd w:val="clear" w:color="auto" w:fill="365F91"/>
            <w:vAlign w:val="bottom"/>
          </w:tcPr>
          <w:p w14:paraId="2BFEF212" w14:textId="77777777" w:rsidR="00FB19C0" w:rsidRPr="00BE78CA" w:rsidRDefault="00FB19C0" w:rsidP="00C26084">
            <w:pPr>
              <w:pStyle w:val="TableTextBold"/>
              <w:keepNext/>
              <w:spacing w:before="40" w:after="0"/>
              <w:jc w:val="center"/>
              <w:rPr>
                <w:noProof w:val="0"/>
                <w:color w:val="FFFFFF"/>
              </w:rPr>
            </w:pPr>
            <w:r w:rsidRPr="00BE78CA">
              <w:rPr>
                <w:noProof w:val="0"/>
                <w:color w:val="FFFFFF"/>
              </w:rPr>
              <w:t>Waste type</w:t>
            </w:r>
          </w:p>
        </w:tc>
      </w:tr>
      <w:tr w:rsidR="00C648C2" w:rsidRPr="00BE78CA" w14:paraId="75E2A918" w14:textId="77777777" w:rsidTr="00C648C2">
        <w:trPr>
          <w:trHeight w:val="275"/>
        </w:trPr>
        <w:tc>
          <w:tcPr>
            <w:tcW w:w="1709" w:type="dxa"/>
            <w:gridSpan w:val="2"/>
            <w:tcBorders>
              <w:left w:val="nil"/>
              <w:right w:val="nil"/>
            </w:tcBorders>
            <w:shd w:val="clear" w:color="auto" w:fill="365F91"/>
            <w:vAlign w:val="bottom"/>
          </w:tcPr>
          <w:p w14:paraId="0E3471E0" w14:textId="77777777" w:rsidR="00FB19C0" w:rsidRPr="00BE78CA" w:rsidRDefault="00FB19C0" w:rsidP="00C26084">
            <w:pPr>
              <w:pStyle w:val="TableTextBold"/>
              <w:keepNext/>
              <w:spacing w:before="0" w:after="40"/>
              <w:rPr>
                <w:noProof w:val="0"/>
                <w:color w:val="FFFFFF"/>
              </w:rPr>
            </w:pPr>
            <w:r w:rsidRPr="00BE78CA">
              <w:rPr>
                <w:noProof w:val="0"/>
                <w:color w:val="FFFFFF"/>
              </w:rPr>
              <w:t>Parameter</w:t>
            </w:r>
          </w:p>
        </w:tc>
        <w:tc>
          <w:tcPr>
            <w:tcW w:w="854" w:type="dxa"/>
            <w:tcBorders>
              <w:left w:val="nil"/>
            </w:tcBorders>
            <w:shd w:val="clear" w:color="auto" w:fill="365F91"/>
            <w:vAlign w:val="bottom"/>
          </w:tcPr>
          <w:p w14:paraId="0D014737" w14:textId="77777777" w:rsidR="00FB19C0" w:rsidRPr="00BE78CA" w:rsidRDefault="00FB19C0" w:rsidP="00C26084">
            <w:pPr>
              <w:spacing w:after="40"/>
              <w:jc w:val="center"/>
              <w:rPr>
                <w:b/>
                <w:color w:val="FFFFFF"/>
                <w:sz w:val="16"/>
              </w:rPr>
            </w:pPr>
            <w:r w:rsidRPr="00BE78CA">
              <w:rPr>
                <w:b/>
                <w:color w:val="FFFFFF"/>
                <w:sz w:val="16"/>
              </w:rPr>
              <w:t>Food</w:t>
            </w:r>
          </w:p>
        </w:tc>
        <w:tc>
          <w:tcPr>
            <w:tcW w:w="855" w:type="dxa"/>
            <w:tcBorders>
              <w:right w:val="nil"/>
            </w:tcBorders>
            <w:shd w:val="clear" w:color="auto" w:fill="365F91"/>
            <w:vAlign w:val="bottom"/>
          </w:tcPr>
          <w:p w14:paraId="0515BC3C" w14:textId="77777777" w:rsidR="00FB19C0" w:rsidRPr="00BE78CA" w:rsidRDefault="00FB19C0" w:rsidP="00C26084">
            <w:pPr>
              <w:spacing w:after="40"/>
              <w:jc w:val="center"/>
              <w:rPr>
                <w:b/>
                <w:color w:val="FFFFFF"/>
                <w:sz w:val="16"/>
              </w:rPr>
            </w:pPr>
            <w:r w:rsidRPr="00BE78CA">
              <w:rPr>
                <w:b/>
                <w:color w:val="FFFFFF"/>
                <w:sz w:val="16"/>
              </w:rPr>
              <w:t>Garden</w:t>
            </w:r>
          </w:p>
        </w:tc>
        <w:tc>
          <w:tcPr>
            <w:tcW w:w="855" w:type="dxa"/>
            <w:tcBorders>
              <w:left w:val="nil"/>
              <w:right w:val="nil"/>
            </w:tcBorders>
            <w:shd w:val="clear" w:color="auto" w:fill="365F91"/>
            <w:vAlign w:val="bottom"/>
          </w:tcPr>
          <w:p w14:paraId="2DE30691" w14:textId="77777777" w:rsidR="00FB19C0" w:rsidRPr="00BE78CA" w:rsidRDefault="00FB19C0" w:rsidP="00C26084">
            <w:pPr>
              <w:spacing w:after="40"/>
              <w:jc w:val="center"/>
              <w:rPr>
                <w:b/>
                <w:color w:val="FFFFFF"/>
                <w:sz w:val="16"/>
              </w:rPr>
            </w:pPr>
            <w:r w:rsidRPr="00BE78CA">
              <w:rPr>
                <w:b/>
                <w:color w:val="FFFFFF"/>
                <w:sz w:val="16"/>
              </w:rPr>
              <w:t>Paper</w:t>
            </w:r>
          </w:p>
        </w:tc>
        <w:tc>
          <w:tcPr>
            <w:tcW w:w="855" w:type="dxa"/>
            <w:tcBorders>
              <w:left w:val="nil"/>
              <w:right w:val="nil"/>
            </w:tcBorders>
            <w:shd w:val="clear" w:color="auto" w:fill="365F91"/>
            <w:vAlign w:val="bottom"/>
          </w:tcPr>
          <w:p w14:paraId="797FA810" w14:textId="77777777" w:rsidR="00FB19C0" w:rsidRPr="00BE78CA" w:rsidRDefault="00FB19C0" w:rsidP="00C26084">
            <w:pPr>
              <w:pStyle w:val="TableTextBold"/>
              <w:keepNext/>
              <w:spacing w:before="0" w:after="40"/>
              <w:jc w:val="center"/>
              <w:rPr>
                <w:noProof w:val="0"/>
                <w:color w:val="FFFFFF"/>
              </w:rPr>
            </w:pPr>
            <w:r w:rsidRPr="00BE78CA">
              <w:rPr>
                <w:noProof w:val="0"/>
                <w:color w:val="FFFFFF"/>
              </w:rPr>
              <w:t>Wood</w:t>
            </w:r>
          </w:p>
        </w:tc>
        <w:tc>
          <w:tcPr>
            <w:tcW w:w="1645" w:type="dxa"/>
            <w:tcBorders>
              <w:left w:val="nil"/>
              <w:right w:val="nil"/>
            </w:tcBorders>
            <w:shd w:val="clear" w:color="auto" w:fill="365F91"/>
            <w:vAlign w:val="bottom"/>
          </w:tcPr>
          <w:p w14:paraId="315F6147" w14:textId="77777777" w:rsidR="00FB19C0" w:rsidRPr="00BE78CA" w:rsidRDefault="00FB19C0" w:rsidP="00C26084">
            <w:pPr>
              <w:pStyle w:val="TableTextBold"/>
              <w:keepNext/>
              <w:spacing w:before="0" w:after="40"/>
              <w:jc w:val="center"/>
              <w:rPr>
                <w:noProof w:val="0"/>
                <w:color w:val="FFFFFF"/>
              </w:rPr>
            </w:pPr>
            <w:r w:rsidRPr="00BE78CA">
              <w:rPr>
                <w:noProof w:val="0"/>
                <w:color w:val="FFFFFF"/>
              </w:rPr>
              <w:t>Textile</w:t>
            </w:r>
          </w:p>
        </w:tc>
        <w:tc>
          <w:tcPr>
            <w:tcW w:w="877" w:type="dxa"/>
            <w:tcBorders>
              <w:left w:val="nil"/>
              <w:right w:val="nil"/>
            </w:tcBorders>
            <w:shd w:val="clear" w:color="auto" w:fill="365F91"/>
            <w:vAlign w:val="bottom"/>
          </w:tcPr>
          <w:p w14:paraId="3323B730" w14:textId="77777777" w:rsidR="00FB19C0" w:rsidRPr="00BE78CA" w:rsidRDefault="00FB19C0" w:rsidP="00C26084">
            <w:pPr>
              <w:pStyle w:val="TableTextBold"/>
              <w:keepNext/>
              <w:spacing w:before="0" w:after="40"/>
              <w:jc w:val="center"/>
              <w:rPr>
                <w:noProof w:val="0"/>
                <w:color w:val="FFFFFF"/>
              </w:rPr>
            </w:pPr>
            <w:r w:rsidRPr="00BE78CA">
              <w:rPr>
                <w:noProof w:val="0"/>
                <w:color w:val="FFFFFF"/>
              </w:rPr>
              <w:t>Nappies</w:t>
            </w:r>
          </w:p>
        </w:tc>
        <w:tc>
          <w:tcPr>
            <w:tcW w:w="855" w:type="dxa"/>
            <w:tcBorders>
              <w:left w:val="nil"/>
              <w:right w:val="nil"/>
            </w:tcBorders>
            <w:shd w:val="clear" w:color="auto" w:fill="365F91"/>
            <w:vAlign w:val="bottom"/>
          </w:tcPr>
          <w:p w14:paraId="7C377078" w14:textId="77777777" w:rsidR="00FB19C0" w:rsidRPr="00BE78CA" w:rsidRDefault="00FB19C0" w:rsidP="00C26084">
            <w:pPr>
              <w:pStyle w:val="TableTextBold"/>
              <w:keepNext/>
              <w:spacing w:before="0" w:after="40"/>
              <w:jc w:val="center"/>
              <w:rPr>
                <w:noProof w:val="0"/>
                <w:color w:val="FFFFFF"/>
              </w:rPr>
            </w:pPr>
            <w:r w:rsidRPr="00BE78CA">
              <w:rPr>
                <w:noProof w:val="0"/>
                <w:color w:val="FFFFFF"/>
              </w:rPr>
              <w:t>Sludge</w:t>
            </w:r>
            <w:r w:rsidRPr="00BE78CA">
              <w:rPr>
                <w:noProof w:val="0"/>
                <w:color w:val="FFFFFF"/>
                <w:vertAlign w:val="superscript"/>
              </w:rPr>
              <w:t>b</w:t>
            </w:r>
          </w:p>
        </w:tc>
      </w:tr>
      <w:tr w:rsidR="00C648C2" w:rsidRPr="00BE78CA" w14:paraId="531528E4" w14:textId="77777777" w:rsidTr="00C648C2">
        <w:tc>
          <w:tcPr>
            <w:tcW w:w="1709" w:type="dxa"/>
            <w:gridSpan w:val="2"/>
            <w:tcBorders>
              <w:left w:val="nil"/>
              <w:bottom w:val="single" w:sz="4" w:space="0" w:color="365F91"/>
              <w:right w:val="nil"/>
            </w:tcBorders>
          </w:tcPr>
          <w:p w14:paraId="137E0784" w14:textId="77777777" w:rsidR="00FB19C0" w:rsidRPr="00BE78CA" w:rsidRDefault="00FB19C0" w:rsidP="00C26084">
            <w:pPr>
              <w:pStyle w:val="TableText"/>
              <w:spacing w:before="40" w:after="40"/>
            </w:pPr>
            <w:r w:rsidRPr="00BE78CA">
              <w:t>DDOC</w:t>
            </w:r>
          </w:p>
        </w:tc>
        <w:tc>
          <w:tcPr>
            <w:tcW w:w="854" w:type="dxa"/>
            <w:tcBorders>
              <w:left w:val="nil"/>
              <w:bottom w:val="single" w:sz="4" w:space="0" w:color="365F91"/>
            </w:tcBorders>
          </w:tcPr>
          <w:p w14:paraId="64F307ED" w14:textId="77777777" w:rsidR="00FB19C0" w:rsidRPr="00BE78CA" w:rsidRDefault="00FB19C0" w:rsidP="00C26084">
            <w:pPr>
              <w:pStyle w:val="TableText"/>
              <w:spacing w:before="40" w:after="40"/>
              <w:jc w:val="center"/>
            </w:pPr>
            <w:r w:rsidRPr="00BE78CA">
              <w:t>0.11</w:t>
            </w:r>
            <w:r w:rsidRPr="00BE78CA">
              <w:rPr>
                <w:vertAlign w:val="superscript"/>
              </w:rPr>
              <w:t>a</w:t>
            </w:r>
          </w:p>
        </w:tc>
        <w:tc>
          <w:tcPr>
            <w:tcW w:w="855" w:type="dxa"/>
            <w:tcBorders>
              <w:bottom w:val="single" w:sz="4" w:space="0" w:color="365F91"/>
              <w:right w:val="nil"/>
            </w:tcBorders>
          </w:tcPr>
          <w:p w14:paraId="5A83F90C" w14:textId="77777777" w:rsidR="00FB19C0" w:rsidRPr="00BE78CA" w:rsidRDefault="00FB19C0" w:rsidP="00C26084">
            <w:pPr>
              <w:pStyle w:val="TableText"/>
              <w:spacing w:before="40" w:after="40"/>
              <w:jc w:val="center"/>
            </w:pPr>
            <w:r w:rsidRPr="00BE78CA">
              <w:t>0.09</w:t>
            </w:r>
          </w:p>
        </w:tc>
        <w:tc>
          <w:tcPr>
            <w:tcW w:w="855" w:type="dxa"/>
            <w:tcBorders>
              <w:left w:val="nil"/>
              <w:bottom w:val="single" w:sz="4" w:space="0" w:color="365F91"/>
              <w:right w:val="nil"/>
            </w:tcBorders>
          </w:tcPr>
          <w:p w14:paraId="13F6150F" w14:textId="77777777" w:rsidR="00FB19C0" w:rsidRPr="00BE78CA" w:rsidRDefault="00FB19C0" w:rsidP="00C26084">
            <w:pPr>
              <w:pStyle w:val="TableText"/>
              <w:spacing w:before="40" w:after="40"/>
              <w:jc w:val="center"/>
            </w:pPr>
            <w:r w:rsidRPr="00BE78CA">
              <w:t>0.16</w:t>
            </w:r>
          </w:p>
        </w:tc>
        <w:tc>
          <w:tcPr>
            <w:tcW w:w="855" w:type="dxa"/>
            <w:tcBorders>
              <w:left w:val="nil"/>
              <w:bottom w:val="single" w:sz="4" w:space="0" w:color="365F91"/>
              <w:right w:val="nil"/>
            </w:tcBorders>
          </w:tcPr>
          <w:p w14:paraId="62928FCD" w14:textId="77777777" w:rsidR="00FB19C0" w:rsidRPr="00BE78CA" w:rsidRDefault="00FB19C0" w:rsidP="00C26084">
            <w:pPr>
              <w:pStyle w:val="TableText"/>
              <w:spacing w:before="40" w:after="40"/>
              <w:jc w:val="center"/>
            </w:pPr>
            <w:r w:rsidRPr="00BE78CA">
              <w:t>0.06</w:t>
            </w:r>
          </w:p>
        </w:tc>
        <w:tc>
          <w:tcPr>
            <w:tcW w:w="1645" w:type="dxa"/>
            <w:tcBorders>
              <w:left w:val="nil"/>
              <w:bottom w:val="single" w:sz="4" w:space="0" w:color="365F91"/>
              <w:right w:val="nil"/>
            </w:tcBorders>
          </w:tcPr>
          <w:p w14:paraId="2BA3A3E2" w14:textId="77777777" w:rsidR="00FB19C0" w:rsidRPr="00BE78CA" w:rsidRDefault="00FB19C0" w:rsidP="00C26084">
            <w:pPr>
              <w:pStyle w:val="TableText"/>
              <w:spacing w:before="40" w:after="40"/>
              <w:jc w:val="center"/>
              <w:rPr>
                <w:highlight w:val="yellow"/>
              </w:rPr>
            </w:pPr>
            <w:r w:rsidRPr="00BE78CA">
              <w:t>0.20 (1950s) to 0.08 (2020 onwards)</w:t>
            </w:r>
          </w:p>
        </w:tc>
        <w:tc>
          <w:tcPr>
            <w:tcW w:w="877" w:type="dxa"/>
            <w:tcBorders>
              <w:left w:val="nil"/>
              <w:bottom w:val="single" w:sz="4" w:space="0" w:color="365F91"/>
              <w:right w:val="nil"/>
            </w:tcBorders>
          </w:tcPr>
          <w:p w14:paraId="3FD2EAF8" w14:textId="77777777" w:rsidR="00FB19C0" w:rsidRPr="00BE78CA" w:rsidRDefault="00FB19C0" w:rsidP="00C26084">
            <w:pPr>
              <w:pStyle w:val="TableText"/>
              <w:spacing w:before="40" w:after="40"/>
              <w:jc w:val="center"/>
            </w:pPr>
            <w:r w:rsidRPr="00BE78CA">
              <w:t>0.04</w:t>
            </w:r>
          </w:p>
        </w:tc>
        <w:tc>
          <w:tcPr>
            <w:tcW w:w="855" w:type="dxa"/>
            <w:tcBorders>
              <w:left w:val="nil"/>
              <w:bottom w:val="single" w:sz="4" w:space="0" w:color="365F91"/>
              <w:right w:val="nil"/>
            </w:tcBorders>
          </w:tcPr>
          <w:p w14:paraId="198D0C14" w14:textId="77777777" w:rsidR="00FB19C0" w:rsidRPr="00BE78CA" w:rsidRDefault="00FB19C0" w:rsidP="00C26084">
            <w:pPr>
              <w:pStyle w:val="TableText"/>
              <w:spacing w:before="40" w:after="40"/>
              <w:jc w:val="center"/>
            </w:pPr>
            <w:r w:rsidRPr="00BE78CA">
              <w:t>0.025</w:t>
            </w:r>
          </w:p>
        </w:tc>
      </w:tr>
      <w:tr w:rsidR="00C648C2" w:rsidRPr="00BE78CA" w14:paraId="282E989E" w14:textId="77777777" w:rsidTr="00C648C2">
        <w:tc>
          <w:tcPr>
            <w:tcW w:w="1709" w:type="dxa"/>
            <w:gridSpan w:val="2"/>
            <w:tcBorders>
              <w:top w:val="single" w:sz="4" w:space="0" w:color="365F91"/>
              <w:left w:val="nil"/>
              <w:bottom w:val="single" w:sz="4" w:space="0" w:color="365F91"/>
              <w:right w:val="nil"/>
            </w:tcBorders>
          </w:tcPr>
          <w:p w14:paraId="6DCE938F" w14:textId="77777777" w:rsidR="00FB19C0" w:rsidRPr="00BE78CA" w:rsidRDefault="00FB19C0" w:rsidP="00C26084">
            <w:pPr>
              <w:pStyle w:val="TableText"/>
              <w:spacing w:before="40" w:after="40"/>
            </w:pPr>
            <w:r w:rsidRPr="00BE78CA">
              <w:t xml:space="preserve">DOCf </w:t>
            </w:r>
            <w:r w:rsidRPr="00BE78CA">
              <w:rPr>
                <w:vertAlign w:val="superscript"/>
              </w:rPr>
              <w:t>c</w:t>
            </w:r>
          </w:p>
        </w:tc>
        <w:tc>
          <w:tcPr>
            <w:tcW w:w="854" w:type="dxa"/>
            <w:tcBorders>
              <w:top w:val="single" w:sz="4" w:space="0" w:color="365F91"/>
              <w:left w:val="nil"/>
              <w:bottom w:val="single" w:sz="4" w:space="0" w:color="365F91"/>
            </w:tcBorders>
          </w:tcPr>
          <w:p w14:paraId="28FFC1E6" w14:textId="77777777" w:rsidR="00FB19C0" w:rsidRPr="00BE78CA" w:rsidRDefault="00FB19C0" w:rsidP="00C26084">
            <w:pPr>
              <w:pStyle w:val="TableText"/>
              <w:spacing w:before="40" w:after="40"/>
              <w:jc w:val="center"/>
            </w:pPr>
            <w:r w:rsidRPr="00BE78CA">
              <w:t>0.70</w:t>
            </w:r>
          </w:p>
        </w:tc>
        <w:tc>
          <w:tcPr>
            <w:tcW w:w="855" w:type="dxa"/>
            <w:tcBorders>
              <w:top w:val="single" w:sz="4" w:space="0" w:color="365F91"/>
              <w:bottom w:val="single" w:sz="4" w:space="0" w:color="365F91"/>
              <w:right w:val="nil"/>
            </w:tcBorders>
          </w:tcPr>
          <w:p w14:paraId="76BE4C39" w14:textId="77777777" w:rsidR="00FB19C0" w:rsidRPr="00BE78CA" w:rsidRDefault="00FB19C0" w:rsidP="00C26084">
            <w:pPr>
              <w:pStyle w:val="TableText"/>
              <w:spacing w:before="40" w:after="40"/>
              <w:jc w:val="center"/>
            </w:pPr>
            <w:r w:rsidRPr="00BE78CA">
              <w:t>0.56</w:t>
            </w:r>
          </w:p>
        </w:tc>
        <w:tc>
          <w:tcPr>
            <w:tcW w:w="855" w:type="dxa"/>
            <w:tcBorders>
              <w:top w:val="single" w:sz="4" w:space="0" w:color="365F91"/>
              <w:left w:val="nil"/>
              <w:bottom w:val="single" w:sz="4" w:space="0" w:color="365F91"/>
              <w:right w:val="nil"/>
            </w:tcBorders>
          </w:tcPr>
          <w:p w14:paraId="7D7F2555" w14:textId="77777777" w:rsidR="00FB19C0" w:rsidRPr="00BE78CA" w:rsidRDefault="00FB19C0" w:rsidP="00C26084">
            <w:pPr>
              <w:pStyle w:val="TableText"/>
              <w:spacing w:before="40" w:after="40"/>
              <w:jc w:val="center"/>
            </w:pPr>
            <w:r w:rsidRPr="00BE78CA">
              <w:t>0.50</w:t>
            </w:r>
          </w:p>
        </w:tc>
        <w:tc>
          <w:tcPr>
            <w:tcW w:w="855" w:type="dxa"/>
            <w:tcBorders>
              <w:top w:val="single" w:sz="4" w:space="0" w:color="365F91"/>
              <w:left w:val="nil"/>
              <w:bottom w:val="single" w:sz="4" w:space="0" w:color="365F91"/>
              <w:right w:val="nil"/>
            </w:tcBorders>
          </w:tcPr>
          <w:p w14:paraId="11C82D2F" w14:textId="77777777" w:rsidR="00FB19C0" w:rsidRPr="00BE78CA" w:rsidRDefault="00FB19C0" w:rsidP="00C26084">
            <w:pPr>
              <w:pStyle w:val="TableText"/>
              <w:spacing w:before="40" w:after="40"/>
              <w:jc w:val="center"/>
            </w:pPr>
            <w:r w:rsidRPr="00BE78CA">
              <w:t>0.10</w:t>
            </w:r>
          </w:p>
        </w:tc>
        <w:tc>
          <w:tcPr>
            <w:tcW w:w="1645" w:type="dxa"/>
            <w:tcBorders>
              <w:top w:val="single" w:sz="4" w:space="0" w:color="365F91"/>
              <w:left w:val="nil"/>
              <w:bottom w:val="single" w:sz="4" w:space="0" w:color="365F91"/>
              <w:right w:val="nil"/>
            </w:tcBorders>
          </w:tcPr>
          <w:p w14:paraId="477A2EED" w14:textId="77777777" w:rsidR="00FB19C0" w:rsidRPr="00BE78CA" w:rsidRDefault="00FB19C0" w:rsidP="00C26084">
            <w:pPr>
              <w:pStyle w:val="TableText"/>
              <w:spacing w:before="40" w:after="40"/>
              <w:jc w:val="center"/>
            </w:pPr>
            <w:r w:rsidRPr="00BE78CA">
              <w:t>0.50</w:t>
            </w:r>
          </w:p>
        </w:tc>
        <w:tc>
          <w:tcPr>
            <w:tcW w:w="877" w:type="dxa"/>
            <w:tcBorders>
              <w:top w:val="single" w:sz="4" w:space="0" w:color="365F91"/>
              <w:left w:val="nil"/>
              <w:bottom w:val="single" w:sz="4" w:space="0" w:color="365F91"/>
              <w:right w:val="nil"/>
            </w:tcBorders>
          </w:tcPr>
          <w:p w14:paraId="3567258C" w14:textId="77777777" w:rsidR="00FB19C0" w:rsidRPr="00BE78CA" w:rsidRDefault="00FB19C0" w:rsidP="00C26084">
            <w:pPr>
              <w:pStyle w:val="TableText"/>
              <w:spacing w:before="40" w:after="40"/>
              <w:jc w:val="center"/>
            </w:pPr>
            <w:r w:rsidRPr="00BE78CA">
              <w:t>0.50</w:t>
            </w:r>
          </w:p>
        </w:tc>
        <w:tc>
          <w:tcPr>
            <w:tcW w:w="855" w:type="dxa"/>
            <w:tcBorders>
              <w:top w:val="single" w:sz="4" w:space="0" w:color="365F91"/>
              <w:left w:val="nil"/>
              <w:bottom w:val="single" w:sz="4" w:space="0" w:color="365F91"/>
              <w:right w:val="nil"/>
            </w:tcBorders>
          </w:tcPr>
          <w:p w14:paraId="51183178" w14:textId="77777777" w:rsidR="00FB19C0" w:rsidRPr="00BE78CA" w:rsidRDefault="00FB19C0" w:rsidP="00C26084">
            <w:pPr>
              <w:pStyle w:val="TableText"/>
              <w:spacing w:before="40" w:after="40"/>
              <w:jc w:val="center"/>
            </w:pPr>
            <w:r w:rsidRPr="00BE78CA">
              <w:t>0.50</w:t>
            </w:r>
          </w:p>
        </w:tc>
      </w:tr>
      <w:tr w:rsidR="00C648C2" w:rsidRPr="00BE78CA" w14:paraId="28E0EA99" w14:textId="77777777" w:rsidTr="00C648C2">
        <w:tc>
          <w:tcPr>
            <w:tcW w:w="1709" w:type="dxa"/>
            <w:gridSpan w:val="2"/>
            <w:tcBorders>
              <w:top w:val="single" w:sz="4" w:space="0" w:color="365F91"/>
              <w:left w:val="nil"/>
              <w:bottom w:val="single" w:sz="4" w:space="0" w:color="365F91"/>
              <w:right w:val="nil"/>
            </w:tcBorders>
          </w:tcPr>
          <w:p w14:paraId="1EA1BEF1" w14:textId="77777777" w:rsidR="00FB19C0" w:rsidRPr="00BE78CA" w:rsidRDefault="00FB19C0" w:rsidP="00C26084">
            <w:pPr>
              <w:pStyle w:val="TableText"/>
              <w:spacing w:before="40" w:after="40"/>
            </w:pPr>
            <w:r w:rsidRPr="00BE78CA">
              <w:t>DOC (=DDOC/DOCf)</w:t>
            </w:r>
          </w:p>
        </w:tc>
        <w:tc>
          <w:tcPr>
            <w:tcW w:w="854" w:type="dxa"/>
            <w:tcBorders>
              <w:top w:val="single" w:sz="4" w:space="0" w:color="365F91"/>
              <w:left w:val="nil"/>
              <w:bottom w:val="single" w:sz="4" w:space="0" w:color="365F91"/>
            </w:tcBorders>
          </w:tcPr>
          <w:p w14:paraId="3E26D95A" w14:textId="77777777" w:rsidR="00FB19C0" w:rsidRPr="00BE78CA" w:rsidRDefault="00FB19C0" w:rsidP="00C26084">
            <w:pPr>
              <w:pStyle w:val="TableText"/>
              <w:spacing w:before="40" w:after="40"/>
              <w:jc w:val="center"/>
            </w:pPr>
            <w:r w:rsidRPr="00BE78CA">
              <w:t>0.16</w:t>
            </w:r>
          </w:p>
        </w:tc>
        <w:tc>
          <w:tcPr>
            <w:tcW w:w="855" w:type="dxa"/>
            <w:tcBorders>
              <w:top w:val="single" w:sz="4" w:space="0" w:color="365F91"/>
              <w:bottom w:val="single" w:sz="4" w:space="0" w:color="365F91"/>
              <w:right w:val="nil"/>
            </w:tcBorders>
          </w:tcPr>
          <w:p w14:paraId="736D1534" w14:textId="77777777" w:rsidR="00FB19C0" w:rsidRPr="00BE78CA" w:rsidRDefault="00FB19C0" w:rsidP="00C26084">
            <w:pPr>
              <w:pStyle w:val="TableText"/>
              <w:spacing w:before="40" w:after="40"/>
              <w:jc w:val="center"/>
            </w:pPr>
            <w:r w:rsidRPr="00BE78CA">
              <w:t>0.16</w:t>
            </w:r>
          </w:p>
        </w:tc>
        <w:tc>
          <w:tcPr>
            <w:tcW w:w="855" w:type="dxa"/>
            <w:tcBorders>
              <w:top w:val="single" w:sz="4" w:space="0" w:color="365F91"/>
              <w:left w:val="nil"/>
              <w:bottom w:val="single" w:sz="4" w:space="0" w:color="365F91"/>
              <w:right w:val="nil"/>
            </w:tcBorders>
          </w:tcPr>
          <w:p w14:paraId="3AD35EFB" w14:textId="77777777" w:rsidR="00FB19C0" w:rsidRPr="00BE78CA" w:rsidRDefault="00FB19C0" w:rsidP="00C26084">
            <w:pPr>
              <w:pStyle w:val="TableText"/>
              <w:spacing w:before="40" w:after="40"/>
              <w:jc w:val="center"/>
            </w:pPr>
            <w:r w:rsidRPr="00BE78CA">
              <w:t>0.32</w:t>
            </w:r>
          </w:p>
        </w:tc>
        <w:tc>
          <w:tcPr>
            <w:tcW w:w="855" w:type="dxa"/>
            <w:tcBorders>
              <w:top w:val="single" w:sz="4" w:space="0" w:color="365F91"/>
              <w:left w:val="nil"/>
              <w:bottom w:val="single" w:sz="4" w:space="0" w:color="365F91"/>
              <w:right w:val="nil"/>
            </w:tcBorders>
          </w:tcPr>
          <w:p w14:paraId="59EF9D05" w14:textId="77777777" w:rsidR="00FB19C0" w:rsidRPr="00BE78CA" w:rsidRDefault="00FB19C0" w:rsidP="00C26084">
            <w:pPr>
              <w:pStyle w:val="TableText"/>
              <w:spacing w:before="40" w:after="40"/>
              <w:jc w:val="center"/>
            </w:pPr>
            <w:r w:rsidRPr="00BE78CA">
              <w:t>0.60</w:t>
            </w:r>
          </w:p>
        </w:tc>
        <w:tc>
          <w:tcPr>
            <w:tcW w:w="1645" w:type="dxa"/>
            <w:tcBorders>
              <w:top w:val="single" w:sz="4" w:space="0" w:color="365F91"/>
              <w:left w:val="nil"/>
              <w:bottom w:val="single" w:sz="4" w:space="0" w:color="365F91"/>
              <w:right w:val="nil"/>
            </w:tcBorders>
          </w:tcPr>
          <w:p w14:paraId="5867C0DA" w14:textId="77777777" w:rsidR="00FB19C0" w:rsidRPr="00BE78CA" w:rsidRDefault="00FB19C0" w:rsidP="00C26084">
            <w:pPr>
              <w:pStyle w:val="TableText"/>
              <w:spacing w:before="40" w:after="40"/>
              <w:jc w:val="center"/>
              <w:rPr>
                <w:rFonts w:cs="Arial"/>
                <w:szCs w:val="16"/>
              </w:rPr>
            </w:pPr>
            <w:r w:rsidRPr="00BE78CA">
              <w:t>0.20 (1950s) to 0.08 (2020 onwards)</w:t>
            </w:r>
          </w:p>
        </w:tc>
        <w:tc>
          <w:tcPr>
            <w:tcW w:w="877" w:type="dxa"/>
            <w:tcBorders>
              <w:top w:val="single" w:sz="4" w:space="0" w:color="365F91"/>
              <w:left w:val="nil"/>
              <w:bottom w:val="single" w:sz="4" w:space="0" w:color="365F91"/>
              <w:right w:val="nil"/>
            </w:tcBorders>
          </w:tcPr>
          <w:p w14:paraId="1F5E4496" w14:textId="77777777" w:rsidR="00FB19C0" w:rsidRPr="00BE78CA" w:rsidRDefault="00FB19C0" w:rsidP="00C26084">
            <w:pPr>
              <w:pStyle w:val="TableText"/>
              <w:spacing w:before="40" w:after="40"/>
              <w:jc w:val="center"/>
              <w:rPr>
                <w:rFonts w:cs="Arial"/>
                <w:szCs w:val="16"/>
              </w:rPr>
            </w:pPr>
            <w:r w:rsidRPr="00BE78CA">
              <w:rPr>
                <w:rFonts w:cs="Arial"/>
                <w:szCs w:val="16"/>
              </w:rPr>
              <w:t>0.08</w:t>
            </w:r>
          </w:p>
        </w:tc>
        <w:tc>
          <w:tcPr>
            <w:tcW w:w="855" w:type="dxa"/>
            <w:tcBorders>
              <w:top w:val="single" w:sz="4" w:space="0" w:color="365F91"/>
              <w:left w:val="nil"/>
              <w:bottom w:val="single" w:sz="4" w:space="0" w:color="365F91"/>
              <w:right w:val="nil"/>
            </w:tcBorders>
          </w:tcPr>
          <w:p w14:paraId="7E79FCB7" w14:textId="77777777" w:rsidR="00FB19C0" w:rsidRPr="00BE78CA" w:rsidRDefault="00FB19C0" w:rsidP="00C26084">
            <w:pPr>
              <w:pStyle w:val="TableText"/>
              <w:spacing w:before="40" w:after="40"/>
              <w:jc w:val="center"/>
              <w:rPr>
                <w:rFonts w:cs="Arial"/>
                <w:szCs w:val="16"/>
              </w:rPr>
            </w:pPr>
            <w:r w:rsidRPr="00BE78CA">
              <w:rPr>
                <w:rFonts w:cs="Arial"/>
                <w:szCs w:val="16"/>
              </w:rPr>
              <w:t>0.05</w:t>
            </w:r>
          </w:p>
        </w:tc>
      </w:tr>
      <w:tr w:rsidR="00C648C2" w:rsidRPr="00BE78CA" w14:paraId="6CC36931" w14:textId="77777777" w:rsidTr="00C648C2">
        <w:tc>
          <w:tcPr>
            <w:tcW w:w="1709" w:type="dxa"/>
            <w:gridSpan w:val="2"/>
            <w:tcBorders>
              <w:top w:val="single" w:sz="4" w:space="0" w:color="365F91"/>
              <w:left w:val="nil"/>
              <w:bottom w:val="single" w:sz="4" w:space="0" w:color="365F91"/>
              <w:right w:val="nil"/>
            </w:tcBorders>
          </w:tcPr>
          <w:p w14:paraId="5794BBA2" w14:textId="77777777" w:rsidR="00FB19C0" w:rsidRPr="00BE78CA" w:rsidRDefault="00FB19C0" w:rsidP="00C26084">
            <w:pPr>
              <w:pStyle w:val="TableText"/>
              <w:spacing w:before="40" w:after="40"/>
            </w:pPr>
            <w:r w:rsidRPr="00BE78CA">
              <w:t>k-value wet sites (&gt;700 mm rain/yr)</w:t>
            </w:r>
          </w:p>
        </w:tc>
        <w:tc>
          <w:tcPr>
            <w:tcW w:w="854" w:type="dxa"/>
            <w:tcBorders>
              <w:top w:val="single" w:sz="4" w:space="0" w:color="365F91"/>
              <w:left w:val="nil"/>
              <w:bottom w:val="single" w:sz="4" w:space="0" w:color="365F91"/>
            </w:tcBorders>
          </w:tcPr>
          <w:p w14:paraId="7FEF1DB3" w14:textId="77777777" w:rsidR="00FB19C0" w:rsidRPr="00BE78CA" w:rsidRDefault="00FB19C0" w:rsidP="00C26084">
            <w:pPr>
              <w:pStyle w:val="TableText"/>
              <w:spacing w:before="40" w:after="40"/>
              <w:jc w:val="center"/>
            </w:pPr>
            <w:r w:rsidRPr="00BE78CA">
              <w:t>0.694</w:t>
            </w:r>
          </w:p>
        </w:tc>
        <w:tc>
          <w:tcPr>
            <w:tcW w:w="855" w:type="dxa"/>
            <w:tcBorders>
              <w:top w:val="single" w:sz="4" w:space="0" w:color="365F91"/>
              <w:bottom w:val="single" w:sz="4" w:space="0" w:color="365F91"/>
              <w:right w:val="nil"/>
            </w:tcBorders>
          </w:tcPr>
          <w:p w14:paraId="135352CB" w14:textId="77777777" w:rsidR="00FB19C0" w:rsidRPr="00BE78CA" w:rsidRDefault="00FB19C0" w:rsidP="00C26084">
            <w:pPr>
              <w:pStyle w:val="TableText"/>
              <w:spacing w:before="40" w:after="40"/>
              <w:jc w:val="center"/>
            </w:pPr>
            <w:r w:rsidRPr="00BE78CA">
              <w:t>0.116</w:t>
            </w:r>
          </w:p>
        </w:tc>
        <w:tc>
          <w:tcPr>
            <w:tcW w:w="855" w:type="dxa"/>
            <w:tcBorders>
              <w:top w:val="single" w:sz="4" w:space="0" w:color="365F91"/>
              <w:left w:val="nil"/>
              <w:bottom w:val="single" w:sz="4" w:space="0" w:color="365F91"/>
              <w:right w:val="nil"/>
            </w:tcBorders>
          </w:tcPr>
          <w:p w14:paraId="7E9BE579" w14:textId="77777777" w:rsidR="00FB19C0" w:rsidRPr="00BE78CA" w:rsidRDefault="00FB19C0" w:rsidP="00C26084">
            <w:pPr>
              <w:pStyle w:val="TableText"/>
              <w:spacing w:before="40" w:after="40"/>
              <w:jc w:val="center"/>
            </w:pPr>
            <w:r w:rsidRPr="00BE78CA">
              <w:t>0.076</w:t>
            </w:r>
          </w:p>
        </w:tc>
        <w:tc>
          <w:tcPr>
            <w:tcW w:w="855" w:type="dxa"/>
            <w:tcBorders>
              <w:top w:val="single" w:sz="4" w:space="0" w:color="365F91"/>
              <w:left w:val="nil"/>
              <w:bottom w:val="single" w:sz="4" w:space="0" w:color="365F91"/>
              <w:right w:val="nil"/>
            </w:tcBorders>
          </w:tcPr>
          <w:p w14:paraId="3DBF47D8" w14:textId="77777777" w:rsidR="00FB19C0" w:rsidRPr="00BE78CA" w:rsidRDefault="00FB19C0" w:rsidP="00C26084">
            <w:pPr>
              <w:pStyle w:val="TableText"/>
              <w:spacing w:before="40" w:after="40"/>
              <w:jc w:val="center"/>
            </w:pPr>
            <w:r w:rsidRPr="00BE78CA">
              <w:t>0.076</w:t>
            </w:r>
          </w:p>
        </w:tc>
        <w:tc>
          <w:tcPr>
            <w:tcW w:w="1645" w:type="dxa"/>
            <w:tcBorders>
              <w:top w:val="single" w:sz="4" w:space="0" w:color="365F91"/>
              <w:left w:val="nil"/>
              <w:bottom w:val="single" w:sz="4" w:space="0" w:color="365F91"/>
              <w:right w:val="nil"/>
            </w:tcBorders>
          </w:tcPr>
          <w:p w14:paraId="6E341118" w14:textId="77777777" w:rsidR="00FB19C0" w:rsidRPr="00BE78CA" w:rsidRDefault="00FB19C0" w:rsidP="00C26084">
            <w:pPr>
              <w:pStyle w:val="TableText"/>
              <w:spacing w:before="40" w:after="40"/>
              <w:jc w:val="center"/>
              <w:rPr>
                <w:rFonts w:cs="Arial"/>
                <w:szCs w:val="16"/>
              </w:rPr>
            </w:pPr>
            <w:r w:rsidRPr="00BE78CA">
              <w:t>0.076</w:t>
            </w:r>
          </w:p>
        </w:tc>
        <w:tc>
          <w:tcPr>
            <w:tcW w:w="877" w:type="dxa"/>
            <w:tcBorders>
              <w:top w:val="single" w:sz="4" w:space="0" w:color="365F91"/>
              <w:left w:val="nil"/>
              <w:bottom w:val="single" w:sz="4" w:space="0" w:color="365F91"/>
              <w:right w:val="nil"/>
            </w:tcBorders>
          </w:tcPr>
          <w:p w14:paraId="5E80A793" w14:textId="77777777" w:rsidR="00FB19C0" w:rsidRPr="00BE78CA" w:rsidRDefault="00FB19C0" w:rsidP="00C26084">
            <w:pPr>
              <w:pStyle w:val="TableText"/>
              <w:spacing w:before="40" w:after="40"/>
              <w:jc w:val="center"/>
              <w:rPr>
                <w:rFonts w:cs="Arial"/>
                <w:szCs w:val="16"/>
              </w:rPr>
            </w:pPr>
            <w:r w:rsidRPr="00BE78CA">
              <w:t>0.116</w:t>
            </w:r>
          </w:p>
        </w:tc>
        <w:tc>
          <w:tcPr>
            <w:tcW w:w="855" w:type="dxa"/>
            <w:tcBorders>
              <w:top w:val="single" w:sz="4" w:space="0" w:color="365F91"/>
              <w:left w:val="nil"/>
              <w:bottom w:val="single" w:sz="4" w:space="0" w:color="365F91"/>
              <w:right w:val="nil"/>
            </w:tcBorders>
          </w:tcPr>
          <w:p w14:paraId="08A994F0" w14:textId="77777777" w:rsidR="00FB19C0" w:rsidRPr="00BE78CA" w:rsidRDefault="00FB19C0" w:rsidP="00C26084">
            <w:pPr>
              <w:pStyle w:val="TableText"/>
              <w:spacing w:before="40" w:after="40"/>
              <w:jc w:val="center"/>
              <w:rPr>
                <w:rFonts w:cs="Arial"/>
                <w:szCs w:val="16"/>
              </w:rPr>
            </w:pPr>
            <w:r w:rsidRPr="00BE78CA">
              <w:t>0.185</w:t>
            </w:r>
          </w:p>
        </w:tc>
      </w:tr>
      <w:tr w:rsidR="00C648C2" w:rsidRPr="00BE78CA" w14:paraId="7F70ABE6" w14:textId="77777777" w:rsidTr="00C648C2">
        <w:tc>
          <w:tcPr>
            <w:tcW w:w="1709" w:type="dxa"/>
            <w:gridSpan w:val="2"/>
            <w:tcBorders>
              <w:top w:val="single" w:sz="4" w:space="0" w:color="365F91"/>
              <w:left w:val="nil"/>
              <w:bottom w:val="single" w:sz="4" w:space="0" w:color="365F91"/>
              <w:right w:val="nil"/>
            </w:tcBorders>
          </w:tcPr>
          <w:p w14:paraId="1FA76ADF" w14:textId="77777777" w:rsidR="00FB19C0" w:rsidRPr="00BE78CA" w:rsidRDefault="00FB19C0" w:rsidP="00C26084">
            <w:pPr>
              <w:pStyle w:val="TableText"/>
              <w:spacing w:before="40" w:after="40"/>
            </w:pPr>
            <w:r w:rsidRPr="00BE78CA">
              <w:t>k-value dry sites</w:t>
            </w:r>
          </w:p>
        </w:tc>
        <w:tc>
          <w:tcPr>
            <w:tcW w:w="854" w:type="dxa"/>
            <w:tcBorders>
              <w:top w:val="single" w:sz="4" w:space="0" w:color="365F91"/>
              <w:left w:val="nil"/>
              <w:bottom w:val="single" w:sz="4" w:space="0" w:color="365F91"/>
            </w:tcBorders>
          </w:tcPr>
          <w:p w14:paraId="74BBC067" w14:textId="77777777" w:rsidR="00FB19C0" w:rsidRPr="00BE78CA" w:rsidRDefault="00FB19C0" w:rsidP="00C26084">
            <w:pPr>
              <w:pStyle w:val="TableText"/>
              <w:spacing w:before="40" w:after="40"/>
              <w:jc w:val="center"/>
            </w:pPr>
            <w:r w:rsidRPr="00BE78CA">
              <w:t>0.116</w:t>
            </w:r>
          </w:p>
        </w:tc>
        <w:tc>
          <w:tcPr>
            <w:tcW w:w="855" w:type="dxa"/>
            <w:tcBorders>
              <w:top w:val="single" w:sz="4" w:space="0" w:color="365F91"/>
              <w:bottom w:val="single" w:sz="4" w:space="0" w:color="365F91"/>
              <w:right w:val="nil"/>
            </w:tcBorders>
          </w:tcPr>
          <w:p w14:paraId="61D135FD" w14:textId="77777777" w:rsidR="00FB19C0" w:rsidRPr="00BE78CA" w:rsidRDefault="00FB19C0" w:rsidP="00C26084">
            <w:pPr>
              <w:pStyle w:val="TableText"/>
              <w:spacing w:before="40" w:after="40"/>
              <w:jc w:val="center"/>
            </w:pPr>
            <w:r w:rsidRPr="00BE78CA">
              <w:t>0.076</w:t>
            </w:r>
          </w:p>
        </w:tc>
        <w:tc>
          <w:tcPr>
            <w:tcW w:w="855" w:type="dxa"/>
            <w:tcBorders>
              <w:top w:val="single" w:sz="4" w:space="0" w:color="365F91"/>
              <w:left w:val="nil"/>
              <w:bottom w:val="single" w:sz="4" w:space="0" w:color="365F91"/>
              <w:right w:val="nil"/>
            </w:tcBorders>
          </w:tcPr>
          <w:p w14:paraId="32110D71" w14:textId="77777777" w:rsidR="00FB19C0" w:rsidRPr="00BE78CA" w:rsidRDefault="00FB19C0" w:rsidP="00C26084">
            <w:pPr>
              <w:pStyle w:val="TableText"/>
              <w:spacing w:before="40" w:after="40"/>
              <w:jc w:val="center"/>
            </w:pPr>
            <w:r w:rsidRPr="00BE78CA">
              <w:t>0.046</w:t>
            </w:r>
          </w:p>
        </w:tc>
        <w:tc>
          <w:tcPr>
            <w:tcW w:w="855" w:type="dxa"/>
            <w:tcBorders>
              <w:top w:val="single" w:sz="4" w:space="0" w:color="365F91"/>
              <w:left w:val="nil"/>
              <w:bottom w:val="single" w:sz="4" w:space="0" w:color="365F91"/>
              <w:right w:val="nil"/>
            </w:tcBorders>
          </w:tcPr>
          <w:p w14:paraId="533D7C6B" w14:textId="77777777" w:rsidR="00FB19C0" w:rsidRPr="00BE78CA" w:rsidRDefault="00FB19C0" w:rsidP="00C26084">
            <w:pPr>
              <w:pStyle w:val="TableText"/>
              <w:spacing w:before="40" w:after="40"/>
              <w:jc w:val="center"/>
            </w:pPr>
            <w:r w:rsidRPr="00BE78CA">
              <w:t>0.046</w:t>
            </w:r>
          </w:p>
        </w:tc>
        <w:tc>
          <w:tcPr>
            <w:tcW w:w="1645" w:type="dxa"/>
            <w:tcBorders>
              <w:top w:val="single" w:sz="4" w:space="0" w:color="365F91"/>
              <w:left w:val="nil"/>
              <w:bottom w:val="single" w:sz="4" w:space="0" w:color="365F91"/>
              <w:right w:val="nil"/>
            </w:tcBorders>
          </w:tcPr>
          <w:p w14:paraId="78DB02F0" w14:textId="77777777" w:rsidR="00FB19C0" w:rsidRPr="00BE78CA" w:rsidRDefault="00FB19C0" w:rsidP="00C26084">
            <w:pPr>
              <w:pStyle w:val="TableText"/>
              <w:spacing w:before="40" w:after="40"/>
              <w:jc w:val="center"/>
              <w:rPr>
                <w:rFonts w:cs="Arial"/>
                <w:szCs w:val="16"/>
              </w:rPr>
            </w:pPr>
            <w:r w:rsidRPr="00BE78CA">
              <w:t>0.046</w:t>
            </w:r>
          </w:p>
        </w:tc>
        <w:tc>
          <w:tcPr>
            <w:tcW w:w="877" w:type="dxa"/>
            <w:tcBorders>
              <w:top w:val="single" w:sz="4" w:space="0" w:color="365F91"/>
              <w:left w:val="nil"/>
              <w:bottom w:val="single" w:sz="4" w:space="0" w:color="365F91"/>
              <w:right w:val="nil"/>
            </w:tcBorders>
          </w:tcPr>
          <w:p w14:paraId="050CAAE0" w14:textId="77777777" w:rsidR="00FB19C0" w:rsidRPr="00BE78CA" w:rsidRDefault="00FB19C0" w:rsidP="00C26084">
            <w:pPr>
              <w:pStyle w:val="TableText"/>
              <w:spacing w:before="40" w:after="40"/>
              <w:jc w:val="center"/>
              <w:rPr>
                <w:rFonts w:cs="Arial"/>
                <w:szCs w:val="16"/>
              </w:rPr>
            </w:pPr>
            <w:r w:rsidRPr="00BE78CA">
              <w:t>0.076</w:t>
            </w:r>
          </w:p>
        </w:tc>
        <w:tc>
          <w:tcPr>
            <w:tcW w:w="855" w:type="dxa"/>
            <w:tcBorders>
              <w:top w:val="single" w:sz="4" w:space="0" w:color="365F91"/>
              <w:left w:val="nil"/>
              <w:bottom w:val="single" w:sz="4" w:space="0" w:color="365F91"/>
              <w:right w:val="nil"/>
            </w:tcBorders>
          </w:tcPr>
          <w:p w14:paraId="52040640" w14:textId="77777777" w:rsidR="00FB19C0" w:rsidRPr="00BE78CA" w:rsidRDefault="00FB19C0" w:rsidP="00C26084">
            <w:pPr>
              <w:pStyle w:val="TableText"/>
              <w:spacing w:before="40" w:after="40"/>
              <w:jc w:val="center"/>
              <w:rPr>
                <w:rFonts w:cs="Arial"/>
                <w:szCs w:val="16"/>
              </w:rPr>
            </w:pPr>
            <w:r w:rsidRPr="00BE78CA">
              <w:t>0.185</w:t>
            </w:r>
          </w:p>
        </w:tc>
      </w:tr>
    </w:tbl>
    <w:p w14:paraId="207F90EA" w14:textId="77777777" w:rsidR="00FB19C0" w:rsidRPr="00BE78CA" w:rsidRDefault="00FB19C0" w:rsidP="00FB19C0">
      <w:pPr>
        <w:pStyle w:val="Noteundertable"/>
      </w:pPr>
      <w:r w:rsidRPr="00BE78CA">
        <w:rPr>
          <w:b/>
        </w:rPr>
        <w:t>Note:</w:t>
      </w:r>
      <w:r w:rsidRPr="00BE78CA">
        <w:t xml:space="preserve"> </w:t>
      </w:r>
      <w:r w:rsidRPr="00BE78CA">
        <w:tab/>
        <w:t>DDOC = decomposable degradable organic carbon; DOC = degradable organic carbon; DOCf = DOC fraction. All parameters are from Eunomia (unpublished(a)) except: (a) DDOC for food is IPCC (2019); (b) all values for sludge are IPCC (2006a) default wet temperate; and (c) all DOCf values are IPCC (2019) except for garden waste (Eunomia, unpublished(a)).</w:t>
      </w:r>
    </w:p>
    <w:p w14:paraId="58E72C4F" w14:textId="77777777" w:rsidR="00FB19C0" w:rsidRPr="00BE78CA" w:rsidRDefault="00FB19C0" w:rsidP="00FB19C0">
      <w:pPr>
        <w:pStyle w:val="BodyText"/>
        <w:spacing w:before="100" w:after="100"/>
      </w:pPr>
      <w:r w:rsidRPr="00BE78CA">
        <w:t>Eunomia (unpublished(a)) recommended DOC fraction (DOCf) values consistent with the 2019 IPCC refinement to the 2006 guidelines, except for garden, which is adjusted for a proportion of woody branches. DOC values are calculated based on the ratio of the DDOC to DOCf instead of being given explicitly. The DDOC values for all materials differ from IPCC (2006a) defaults, which is largely a reflection of global trends in the characteristics of materials. Accounting for numerous considerations, the most suitable DDOC for food is IPCC (2019). Paper is lower than the IPCC (2006a) default to account for the types of paper such as magazine and newsprint paper that do not degrade as easily as plain paper due to their high lignin content. The wood DDOC is specific to New Zealand, much lower than IPCC (2006a) defaults but closer to IPCC (2019) values, as it accounts for the types of wood disposed in New Zealand landfills, as well as the degradability of these types of wood wastes. DDOC for textiles varies to account for an increasing quantity of synthetic fibres over time. Nappies have a lower DDOC than the IPCC default, which is based on the Swedish anaerobic digestion model, noting that there is no source or justification for the IPCC default. The rates of decay (k-values) are differentiated by climate and composition as determined by Eunomia (unpublished(a)).</w:t>
      </w:r>
    </w:p>
    <w:p w14:paraId="379BC198" w14:textId="1B62A2AA" w:rsidR="00FB19C0" w:rsidRPr="00BE78CA" w:rsidRDefault="00FB19C0" w:rsidP="00FB19C0">
      <w:pPr>
        <w:pStyle w:val="BodyText"/>
      </w:pPr>
      <w:r w:rsidRPr="00BE78CA">
        <w:lastRenderedPageBreak/>
        <w:t>Eunomia (unpublished(a)) has carefully assessed international data, particularly from the United Kingdom, for its applicability to New Zealand landfills. It considered factors that could influence parameters at national and regional levels. For example, New Zealand is an island nation with a maritime climate, as-is the United Kingdom, and some studies based in the United Kingdom take these factors into account when the IPCC default parameters (i</w:t>
      </w:r>
      <w:r w:rsidR="00923689" w:rsidRPr="00BE78CA">
        <w:t>.</w:t>
      </w:r>
      <w:r w:rsidRPr="00BE78CA">
        <w:t>e</w:t>
      </w:r>
      <w:r w:rsidR="00923689" w:rsidRPr="00BE78CA">
        <w:t>.</w:t>
      </w:r>
      <w:r w:rsidRPr="00BE78CA">
        <w:t>, k</w:t>
      </w:r>
      <w:r w:rsidRPr="00BE78CA">
        <w:noBreakHyphen/>
        <w:t>values) do not. Further, landfill site management practices, such as landfill cell capping, gas capture methods, daily cover, intermediate cover, and leachate management in the United Kingdom and New Zealand are reasonably well aligned. Therefore these represent the best data available for New Zealand landfills, until more New Zealand studies are available.</w:t>
      </w:r>
    </w:p>
    <w:p w14:paraId="6D5EB776" w14:textId="77777777" w:rsidR="00FB19C0" w:rsidRPr="00BE78CA" w:rsidRDefault="00FB19C0" w:rsidP="00FB19C0">
      <w:pPr>
        <w:pStyle w:val="Heading6"/>
      </w:pPr>
      <w:r w:rsidRPr="00BE78CA">
        <w:t>Gas recovery</w:t>
      </w:r>
    </w:p>
    <w:p w14:paraId="65B12280" w14:textId="77777777" w:rsidR="00FB19C0" w:rsidRPr="00BE78CA" w:rsidRDefault="00FB19C0" w:rsidP="00FB19C0">
      <w:pPr>
        <w:pStyle w:val="BodyText"/>
      </w:pPr>
      <w:r w:rsidRPr="00BE78CA">
        <w:t>Beginning in the 2021 submission, based on studies of similar landfills in the United Kingdom (Eunomia, unpublished(a)) gas recovery rates use one of two values applied to all years, with the choice of value depending only on whether the site is currently open or not. This is because the values are representative of average recovery rates over the lifetime of the landfill as follows.</w:t>
      </w:r>
    </w:p>
    <w:p w14:paraId="5785736C" w14:textId="77777777" w:rsidR="00FB19C0" w:rsidRPr="00BE78CA" w:rsidRDefault="00FB19C0" w:rsidP="00FB19C0">
      <w:pPr>
        <w:pStyle w:val="Bullet"/>
        <w:numPr>
          <w:ilvl w:val="0"/>
          <w:numId w:val="25"/>
        </w:numPr>
      </w:pPr>
      <w:r w:rsidRPr="00BE78CA">
        <w:t>Sites that are open in the latest reporting year use a 68 per cent gas recovery rate.</w:t>
      </w:r>
    </w:p>
    <w:p w14:paraId="35A9D7CB" w14:textId="77777777" w:rsidR="00FB19C0" w:rsidRPr="00BE78CA" w:rsidRDefault="00FB19C0" w:rsidP="00FB19C0">
      <w:pPr>
        <w:pStyle w:val="Bullet"/>
        <w:numPr>
          <w:ilvl w:val="0"/>
          <w:numId w:val="25"/>
        </w:numPr>
      </w:pPr>
      <w:r w:rsidRPr="00BE78CA">
        <w:t>Sites that are closed in the latest reporting year use a 52 per cent gas recovery rate.</w:t>
      </w:r>
    </w:p>
    <w:p w14:paraId="4FC84D41" w14:textId="116A0563" w:rsidR="00FB19C0" w:rsidRPr="00BE78CA" w:rsidRDefault="00FB19C0" w:rsidP="00FB19C0">
      <w:pPr>
        <w:pStyle w:val="BodyText"/>
      </w:pPr>
      <w:r w:rsidRPr="00BE78CA">
        <w:t>Using a higher recovery rate for open sites reflects that most open sites are modern, large, well-managed facilities that have more efficient systems than older sites that are less well</w:t>
      </w:r>
      <w:r w:rsidR="00923689" w:rsidRPr="00BE78CA">
        <w:noBreakHyphen/>
      </w:r>
      <w:r w:rsidRPr="00BE78CA">
        <w:t>managed. This approach is chosen due to the limited data available in New Zealand. Gas</w:t>
      </w:r>
      <w:r w:rsidR="00923689" w:rsidRPr="00BE78CA">
        <w:t> </w:t>
      </w:r>
      <w:r w:rsidRPr="00BE78CA">
        <w:t>capture data from New Zealand landfills are not reported, and were subject to numerous recommendations by the expert review team to justify the previous recovery rates of up to 90 per cent with very limited direct capture data. This will be revised when more capture data</w:t>
      </w:r>
      <w:r w:rsidR="00923689" w:rsidRPr="00BE78CA">
        <w:t> </w:t>
      </w:r>
      <w:r w:rsidRPr="00BE78CA">
        <w:t>become available to the Ministry for the Environment.</w:t>
      </w:r>
    </w:p>
    <w:p w14:paraId="52488D88" w14:textId="77777777" w:rsidR="00FB19C0" w:rsidRPr="00BE78CA" w:rsidRDefault="00FB19C0" w:rsidP="00FB19C0">
      <w:pPr>
        <w:pStyle w:val="BodyText"/>
      </w:pPr>
      <w:r w:rsidRPr="00BE78CA">
        <w:rPr>
          <w:bCs/>
        </w:rPr>
        <w:t>Noting that most parameters used in the landfill models are similar to those in the United Kingdom, we can compare observed methane recovery rates in the United Kingdom to the parameters used in the New Zealand model. Recovery rates were found to be between 45 per cent and 70 per cent or more (Eunomia, unpublished</w:t>
      </w:r>
      <w:r w:rsidRPr="00BE78CA">
        <w:t>(a)</w:t>
      </w:r>
      <w:r w:rsidRPr="00BE78CA">
        <w:rPr>
          <w:bCs/>
        </w:rPr>
        <w:t>). The values chosen for New Zealand are within this range.</w:t>
      </w:r>
    </w:p>
    <w:p w14:paraId="446A68DB" w14:textId="77777777" w:rsidR="00FB19C0" w:rsidRPr="00BE78CA" w:rsidRDefault="00FB19C0" w:rsidP="00FB19C0">
      <w:pPr>
        <w:pStyle w:val="Heading6"/>
      </w:pPr>
      <w:r w:rsidRPr="00BE78CA">
        <w:t>Summary of parameters used</w:t>
      </w:r>
    </w:p>
    <w:p w14:paraId="41457A37" w14:textId="77777777" w:rsidR="00FB19C0" w:rsidRPr="00BE78CA" w:rsidRDefault="00FB19C0" w:rsidP="00FB19C0">
      <w:pPr>
        <w:pStyle w:val="BodyText"/>
      </w:pPr>
      <w:r w:rsidRPr="00BE78CA">
        <w:t>Table 7.2.7 gives a summary of the parameter values that have been applied for estimating CH</w:t>
      </w:r>
      <w:r w:rsidRPr="00BE78CA">
        <w:rPr>
          <w:vertAlign w:val="subscript"/>
        </w:rPr>
        <w:t>4</w:t>
      </w:r>
      <w:r w:rsidRPr="00BE78CA">
        <w:t xml:space="preserve"> emissions for solid waste disposed to municipal landfills. </w:t>
      </w:r>
    </w:p>
    <w:p w14:paraId="216E75F6" w14:textId="77777777" w:rsidR="00FB19C0" w:rsidRPr="00BE78CA" w:rsidRDefault="00FB19C0" w:rsidP="00FB19C0">
      <w:pPr>
        <w:pStyle w:val="Table"/>
      </w:pPr>
      <w:bookmarkStart w:id="2909" w:name="_Toc32828525"/>
      <w:bookmarkStart w:id="2910" w:name="_Toc32591355"/>
      <w:bookmarkStart w:id="2911" w:name="_Toc5269567"/>
      <w:bookmarkStart w:id="2912" w:name="_Toc511116826"/>
      <w:bookmarkStart w:id="2913" w:name="_Toc508019328"/>
      <w:bookmarkStart w:id="2914" w:name="_Toc481751603"/>
      <w:bookmarkStart w:id="2915" w:name="_Toc451176173"/>
      <w:bookmarkStart w:id="2916" w:name="_Toc444001621"/>
      <w:bookmarkStart w:id="2917" w:name="_Toc36224648"/>
      <w:bookmarkStart w:id="2918" w:name="_Toc68786534"/>
      <w:r w:rsidRPr="00BE78CA">
        <w:t xml:space="preserve">Table 7.2.7 </w:t>
      </w:r>
      <w:r w:rsidRPr="00BE78CA">
        <w:tab/>
        <w:t>Summary of parameters for municipal landfills</w:t>
      </w:r>
      <w:bookmarkEnd w:id="2909"/>
      <w:bookmarkEnd w:id="2910"/>
      <w:bookmarkEnd w:id="2911"/>
      <w:bookmarkEnd w:id="2912"/>
      <w:bookmarkEnd w:id="2913"/>
      <w:bookmarkEnd w:id="2914"/>
      <w:bookmarkEnd w:id="2915"/>
      <w:bookmarkEnd w:id="2916"/>
      <w:bookmarkEnd w:id="2917"/>
      <w:bookmarkEnd w:id="2918"/>
    </w:p>
    <w:tbl>
      <w:tblPr>
        <w:tblW w:w="8505" w:type="dxa"/>
        <w:tblCellMar>
          <w:left w:w="85" w:type="dxa"/>
          <w:right w:w="85" w:type="dxa"/>
        </w:tblCellMar>
        <w:tblLook w:val="04A0" w:firstRow="1" w:lastRow="0" w:firstColumn="1" w:lastColumn="0" w:noHBand="0" w:noVBand="1"/>
      </w:tblPr>
      <w:tblGrid>
        <w:gridCol w:w="2621"/>
        <w:gridCol w:w="1864"/>
        <w:gridCol w:w="1224"/>
        <w:gridCol w:w="2796"/>
      </w:tblGrid>
      <w:tr w:rsidR="00FB19C0" w:rsidRPr="00BE78CA" w14:paraId="75C23B00" w14:textId="77777777" w:rsidTr="000A1597">
        <w:trPr>
          <w:tblHeader/>
        </w:trPr>
        <w:tc>
          <w:tcPr>
            <w:tcW w:w="2552" w:type="dxa"/>
            <w:tcBorders>
              <w:top w:val="single" w:sz="4" w:space="0" w:color="365F91"/>
              <w:left w:val="nil"/>
              <w:bottom w:val="single" w:sz="4" w:space="0" w:color="365F91"/>
              <w:right w:val="nil"/>
            </w:tcBorders>
            <w:shd w:val="clear" w:color="auto" w:fill="365F91"/>
            <w:hideMark/>
          </w:tcPr>
          <w:p w14:paraId="25B01A03" w14:textId="77777777" w:rsidR="00FB19C0" w:rsidRPr="00BE78CA" w:rsidRDefault="00FB19C0" w:rsidP="00C26084">
            <w:pPr>
              <w:pStyle w:val="TableTextBold"/>
              <w:keepNext/>
              <w:spacing w:before="50" w:after="50"/>
              <w:rPr>
                <w:noProof w:val="0"/>
                <w:color w:val="FFFFFF"/>
              </w:rPr>
            </w:pPr>
            <w:r w:rsidRPr="00BE78CA">
              <w:rPr>
                <w:noProof w:val="0"/>
                <w:color w:val="FFFFFF"/>
              </w:rPr>
              <w:t xml:space="preserve">Parameter </w:t>
            </w:r>
          </w:p>
        </w:tc>
        <w:tc>
          <w:tcPr>
            <w:tcW w:w="1814" w:type="dxa"/>
            <w:tcBorders>
              <w:top w:val="single" w:sz="4" w:space="0" w:color="365F91"/>
              <w:left w:val="nil"/>
              <w:bottom w:val="single" w:sz="4" w:space="0" w:color="365F91"/>
              <w:right w:val="nil"/>
            </w:tcBorders>
            <w:shd w:val="clear" w:color="auto" w:fill="365F91"/>
            <w:hideMark/>
          </w:tcPr>
          <w:p w14:paraId="6FE2AF0B" w14:textId="77777777" w:rsidR="00FB19C0" w:rsidRPr="00BE78CA" w:rsidRDefault="00FB19C0" w:rsidP="00C26084">
            <w:pPr>
              <w:pStyle w:val="TableTextBold"/>
              <w:keepNext/>
              <w:spacing w:before="50" w:after="50"/>
              <w:rPr>
                <w:noProof w:val="0"/>
                <w:color w:val="FFFFFF"/>
              </w:rPr>
            </w:pPr>
            <w:r w:rsidRPr="00BE78CA">
              <w:rPr>
                <w:noProof w:val="0"/>
                <w:color w:val="FFFFFF"/>
              </w:rPr>
              <w:t xml:space="preserve">Values </w:t>
            </w:r>
          </w:p>
        </w:tc>
        <w:tc>
          <w:tcPr>
            <w:tcW w:w="1191" w:type="dxa"/>
            <w:tcBorders>
              <w:top w:val="single" w:sz="4" w:space="0" w:color="365F91"/>
              <w:left w:val="nil"/>
              <w:bottom w:val="single" w:sz="4" w:space="0" w:color="365F91"/>
              <w:right w:val="nil"/>
            </w:tcBorders>
            <w:shd w:val="clear" w:color="auto" w:fill="365F91"/>
            <w:hideMark/>
          </w:tcPr>
          <w:p w14:paraId="66621D8C" w14:textId="77777777" w:rsidR="00FB19C0" w:rsidRPr="00BE78CA" w:rsidRDefault="00FB19C0" w:rsidP="00C26084">
            <w:pPr>
              <w:pStyle w:val="TableTextBold"/>
              <w:keepNext/>
              <w:spacing w:before="50" w:after="50"/>
              <w:rPr>
                <w:noProof w:val="0"/>
                <w:color w:val="FFFFFF"/>
              </w:rPr>
            </w:pPr>
            <w:r w:rsidRPr="00BE78CA">
              <w:rPr>
                <w:noProof w:val="0"/>
                <w:color w:val="FFFFFF"/>
              </w:rPr>
              <w:t>Source</w:t>
            </w:r>
          </w:p>
        </w:tc>
        <w:tc>
          <w:tcPr>
            <w:tcW w:w="2722" w:type="dxa"/>
            <w:tcBorders>
              <w:top w:val="single" w:sz="4" w:space="0" w:color="365F91"/>
              <w:left w:val="nil"/>
              <w:bottom w:val="single" w:sz="4" w:space="0" w:color="365F91"/>
              <w:right w:val="nil"/>
            </w:tcBorders>
            <w:shd w:val="clear" w:color="auto" w:fill="365F91"/>
            <w:hideMark/>
          </w:tcPr>
          <w:p w14:paraId="5D147B12" w14:textId="77777777" w:rsidR="00FB19C0" w:rsidRPr="00BE78CA" w:rsidRDefault="00FB19C0" w:rsidP="00C26084">
            <w:pPr>
              <w:pStyle w:val="TableTextBold"/>
              <w:keepNext/>
              <w:spacing w:before="50" w:after="50"/>
              <w:rPr>
                <w:noProof w:val="0"/>
                <w:color w:val="FFFFFF"/>
              </w:rPr>
            </w:pPr>
            <w:r w:rsidRPr="00BE78CA">
              <w:rPr>
                <w:noProof w:val="0"/>
                <w:color w:val="FFFFFF"/>
              </w:rPr>
              <w:t>Reference</w:t>
            </w:r>
          </w:p>
        </w:tc>
      </w:tr>
      <w:tr w:rsidR="00FB19C0" w:rsidRPr="00BE78CA" w14:paraId="3C2AB7A8" w14:textId="77777777" w:rsidTr="000A1597">
        <w:tc>
          <w:tcPr>
            <w:tcW w:w="1814" w:type="dxa"/>
            <w:gridSpan w:val="4"/>
            <w:tcBorders>
              <w:top w:val="single" w:sz="4" w:space="0" w:color="365F91"/>
              <w:left w:val="nil"/>
              <w:bottom w:val="single" w:sz="4" w:space="0" w:color="365F91"/>
              <w:right w:val="nil"/>
            </w:tcBorders>
            <w:hideMark/>
          </w:tcPr>
          <w:p w14:paraId="375E6A8F" w14:textId="77777777" w:rsidR="00FB19C0" w:rsidRPr="00BE78CA" w:rsidRDefault="00FB19C0" w:rsidP="00C26084">
            <w:pPr>
              <w:pStyle w:val="TableTextBold"/>
              <w:keepNext/>
              <w:spacing w:before="50" w:after="50"/>
              <w:rPr>
                <w:noProof w:val="0"/>
              </w:rPr>
            </w:pPr>
            <w:r w:rsidRPr="00BE78CA">
              <w:rPr>
                <w:noProof w:val="0"/>
              </w:rPr>
              <w:t>Managed landfills</w:t>
            </w:r>
          </w:p>
        </w:tc>
      </w:tr>
      <w:tr w:rsidR="00FB19C0" w:rsidRPr="00BE78CA" w14:paraId="7DCF9D64" w14:textId="77777777" w:rsidTr="000A1597">
        <w:tc>
          <w:tcPr>
            <w:tcW w:w="2552" w:type="dxa"/>
            <w:tcBorders>
              <w:top w:val="single" w:sz="4" w:space="0" w:color="365F91"/>
              <w:left w:val="nil"/>
              <w:bottom w:val="single" w:sz="4" w:space="0" w:color="365F91"/>
              <w:right w:val="nil"/>
            </w:tcBorders>
            <w:hideMark/>
          </w:tcPr>
          <w:p w14:paraId="4DD47B5A" w14:textId="77777777" w:rsidR="00FB19C0" w:rsidRPr="00BE78CA" w:rsidRDefault="00FB19C0" w:rsidP="00C26084">
            <w:pPr>
              <w:pStyle w:val="TableText"/>
              <w:keepNext/>
              <w:spacing w:before="50" w:after="50"/>
            </w:pPr>
            <w:r w:rsidRPr="00BE78CA">
              <w:t>k-value (by waste type and rainfall)</w:t>
            </w:r>
          </w:p>
        </w:tc>
        <w:tc>
          <w:tcPr>
            <w:tcW w:w="1814" w:type="dxa"/>
            <w:tcBorders>
              <w:top w:val="single" w:sz="4" w:space="0" w:color="365F91"/>
              <w:left w:val="nil"/>
              <w:bottom w:val="single" w:sz="4" w:space="0" w:color="365F91"/>
              <w:right w:val="nil"/>
            </w:tcBorders>
            <w:hideMark/>
          </w:tcPr>
          <w:p w14:paraId="6B8D04EF" w14:textId="77777777" w:rsidR="00FB19C0" w:rsidRPr="00BE78CA" w:rsidRDefault="00FB19C0" w:rsidP="00C26084">
            <w:pPr>
              <w:pStyle w:val="TableText"/>
              <w:keepNext/>
              <w:spacing w:before="50" w:after="50"/>
            </w:pPr>
            <w:r w:rsidRPr="00BE78CA">
              <w:t>0.046–0.694</w:t>
            </w:r>
          </w:p>
        </w:tc>
        <w:tc>
          <w:tcPr>
            <w:tcW w:w="1191" w:type="dxa"/>
            <w:tcBorders>
              <w:top w:val="single" w:sz="4" w:space="0" w:color="365F91"/>
              <w:left w:val="nil"/>
              <w:bottom w:val="single" w:sz="4" w:space="0" w:color="365F91"/>
              <w:right w:val="nil"/>
            </w:tcBorders>
            <w:hideMark/>
          </w:tcPr>
          <w:p w14:paraId="1C032B7A" w14:textId="77777777" w:rsidR="00FB19C0" w:rsidRPr="00BE78CA" w:rsidRDefault="00FB19C0" w:rsidP="00C26084">
            <w:pPr>
              <w:pStyle w:val="TableText"/>
              <w:keepNext/>
              <w:spacing w:before="50" w:after="50"/>
              <w:rPr>
                <w:rFonts w:cs="Arial"/>
                <w:szCs w:val="16"/>
              </w:rPr>
            </w:pPr>
            <w:r w:rsidRPr="00BE78CA">
              <w:rPr>
                <w:rFonts w:cs="Arial"/>
                <w:szCs w:val="16"/>
              </w:rPr>
              <w:t>Country specific</w:t>
            </w:r>
          </w:p>
        </w:tc>
        <w:tc>
          <w:tcPr>
            <w:tcW w:w="2722" w:type="dxa"/>
            <w:tcBorders>
              <w:top w:val="single" w:sz="4" w:space="0" w:color="365F91"/>
              <w:left w:val="nil"/>
              <w:bottom w:val="single" w:sz="4" w:space="0" w:color="365F91"/>
              <w:right w:val="nil"/>
            </w:tcBorders>
            <w:hideMark/>
          </w:tcPr>
          <w:p w14:paraId="40A7BB77" w14:textId="77777777" w:rsidR="00FB19C0" w:rsidRPr="00BE78CA" w:rsidRDefault="00FB19C0" w:rsidP="00C26084">
            <w:pPr>
              <w:pStyle w:val="TableText"/>
              <w:keepNext/>
              <w:spacing w:before="50" w:after="50"/>
              <w:rPr>
                <w:rFonts w:cs="Arial"/>
                <w:szCs w:val="16"/>
              </w:rPr>
            </w:pPr>
            <w:r w:rsidRPr="00BE78CA">
              <w:rPr>
                <w:rFonts w:cs="Arial"/>
                <w:szCs w:val="16"/>
              </w:rPr>
              <w:t>Eunomia (unpublished</w:t>
            </w:r>
            <w:r w:rsidRPr="00BE78CA">
              <w:t>(a)</w:t>
            </w:r>
            <w:r w:rsidRPr="00BE78CA">
              <w:rPr>
                <w:rFonts w:cs="Arial"/>
                <w:szCs w:val="16"/>
              </w:rPr>
              <w:t>), IPCC (2006a)</w:t>
            </w:r>
          </w:p>
        </w:tc>
      </w:tr>
      <w:tr w:rsidR="00FB19C0" w:rsidRPr="00BE78CA" w14:paraId="489679B7" w14:textId="77777777" w:rsidTr="000A1597">
        <w:tc>
          <w:tcPr>
            <w:tcW w:w="2552" w:type="dxa"/>
            <w:tcBorders>
              <w:top w:val="single" w:sz="4" w:space="0" w:color="365F91"/>
              <w:left w:val="nil"/>
              <w:bottom w:val="single" w:sz="4" w:space="0" w:color="365F91"/>
              <w:right w:val="nil"/>
            </w:tcBorders>
            <w:hideMark/>
          </w:tcPr>
          <w:p w14:paraId="20D60B61" w14:textId="77777777" w:rsidR="00FB19C0" w:rsidRPr="00BE78CA" w:rsidRDefault="00FB19C0" w:rsidP="00C26084">
            <w:pPr>
              <w:pStyle w:val="TableText"/>
              <w:spacing w:before="50" w:after="50"/>
            </w:pPr>
            <w:r w:rsidRPr="00BE78CA">
              <w:t>Methane correction factor</w:t>
            </w:r>
          </w:p>
        </w:tc>
        <w:tc>
          <w:tcPr>
            <w:tcW w:w="1814" w:type="dxa"/>
            <w:tcBorders>
              <w:top w:val="single" w:sz="4" w:space="0" w:color="365F91"/>
              <w:left w:val="nil"/>
              <w:bottom w:val="single" w:sz="4" w:space="0" w:color="365F91"/>
              <w:right w:val="nil"/>
            </w:tcBorders>
            <w:hideMark/>
          </w:tcPr>
          <w:p w14:paraId="4E7F3A11" w14:textId="77777777" w:rsidR="00FB19C0" w:rsidRPr="00BE78CA" w:rsidRDefault="00FB19C0" w:rsidP="00C26084">
            <w:pPr>
              <w:pStyle w:val="TableText"/>
              <w:spacing w:before="50" w:after="50"/>
            </w:pPr>
            <w:r w:rsidRPr="00BE78CA">
              <w:t>1.0</w:t>
            </w:r>
          </w:p>
        </w:tc>
        <w:tc>
          <w:tcPr>
            <w:tcW w:w="1191" w:type="dxa"/>
            <w:tcBorders>
              <w:top w:val="single" w:sz="4" w:space="0" w:color="365F91"/>
              <w:left w:val="nil"/>
              <w:bottom w:val="single" w:sz="4" w:space="0" w:color="365F91"/>
              <w:right w:val="nil"/>
            </w:tcBorders>
            <w:hideMark/>
          </w:tcPr>
          <w:p w14:paraId="01E37000" w14:textId="77777777" w:rsidR="00FB19C0" w:rsidRPr="00BE78CA" w:rsidRDefault="00FB19C0" w:rsidP="00C26084">
            <w:pPr>
              <w:pStyle w:val="TableText"/>
              <w:spacing w:before="50" w:after="50"/>
              <w:rPr>
                <w:rFonts w:cs="Arial"/>
                <w:szCs w:val="16"/>
              </w:rPr>
            </w:pPr>
            <w:r w:rsidRPr="00BE78CA">
              <w:rPr>
                <w:rFonts w:cs="Arial"/>
                <w:szCs w:val="16"/>
              </w:rPr>
              <w:t>IPCC default</w:t>
            </w:r>
          </w:p>
        </w:tc>
        <w:tc>
          <w:tcPr>
            <w:tcW w:w="2722" w:type="dxa"/>
            <w:tcBorders>
              <w:top w:val="single" w:sz="4" w:space="0" w:color="365F91"/>
              <w:left w:val="nil"/>
              <w:bottom w:val="single" w:sz="4" w:space="0" w:color="365F91"/>
              <w:right w:val="nil"/>
            </w:tcBorders>
            <w:hideMark/>
          </w:tcPr>
          <w:p w14:paraId="0D4C70F7" w14:textId="77777777" w:rsidR="00FB19C0" w:rsidRPr="00BE78CA" w:rsidRDefault="00FB19C0" w:rsidP="00C26084">
            <w:pPr>
              <w:pStyle w:val="TableText"/>
              <w:spacing w:before="50" w:after="50"/>
              <w:rPr>
                <w:rFonts w:cs="Arial"/>
                <w:szCs w:val="16"/>
              </w:rPr>
            </w:pPr>
            <w:r w:rsidRPr="00BE78CA">
              <w:rPr>
                <w:rFonts w:cs="Arial"/>
                <w:szCs w:val="16"/>
              </w:rPr>
              <w:t>IPCC (2006a)</w:t>
            </w:r>
          </w:p>
        </w:tc>
      </w:tr>
      <w:tr w:rsidR="00FB19C0" w:rsidRPr="00BE78CA" w14:paraId="1AE68840" w14:textId="77777777" w:rsidTr="000A1597">
        <w:tc>
          <w:tcPr>
            <w:tcW w:w="2552" w:type="dxa"/>
            <w:tcBorders>
              <w:top w:val="single" w:sz="4" w:space="0" w:color="365F91"/>
              <w:left w:val="nil"/>
              <w:bottom w:val="single" w:sz="4" w:space="0" w:color="365F91"/>
              <w:right w:val="nil"/>
            </w:tcBorders>
            <w:hideMark/>
          </w:tcPr>
          <w:p w14:paraId="4FC844FA" w14:textId="77777777" w:rsidR="00FB19C0" w:rsidRPr="00BE78CA" w:rsidRDefault="00FB19C0" w:rsidP="00C26084">
            <w:pPr>
              <w:pStyle w:val="TableText"/>
              <w:spacing w:before="50" w:after="50"/>
            </w:pPr>
            <w:r w:rsidRPr="00BE78CA">
              <w:t>Oxidation factor</w:t>
            </w:r>
          </w:p>
        </w:tc>
        <w:tc>
          <w:tcPr>
            <w:tcW w:w="1814" w:type="dxa"/>
            <w:tcBorders>
              <w:top w:val="single" w:sz="4" w:space="0" w:color="365F91"/>
              <w:left w:val="nil"/>
              <w:bottom w:val="single" w:sz="4" w:space="0" w:color="365F91"/>
              <w:right w:val="nil"/>
            </w:tcBorders>
            <w:hideMark/>
          </w:tcPr>
          <w:p w14:paraId="510AFDC4" w14:textId="77777777" w:rsidR="00FB19C0" w:rsidRPr="00BE78CA" w:rsidRDefault="00FB19C0" w:rsidP="00C26084">
            <w:pPr>
              <w:pStyle w:val="TableText"/>
              <w:spacing w:before="50" w:after="50"/>
            </w:pPr>
            <w:r w:rsidRPr="00BE78CA">
              <w:t>10 per cent</w:t>
            </w:r>
          </w:p>
        </w:tc>
        <w:tc>
          <w:tcPr>
            <w:tcW w:w="1191" w:type="dxa"/>
            <w:tcBorders>
              <w:top w:val="single" w:sz="4" w:space="0" w:color="365F91"/>
              <w:left w:val="nil"/>
              <w:bottom w:val="single" w:sz="4" w:space="0" w:color="365F91"/>
              <w:right w:val="nil"/>
            </w:tcBorders>
            <w:hideMark/>
          </w:tcPr>
          <w:p w14:paraId="2DB624F7" w14:textId="77777777" w:rsidR="00FB19C0" w:rsidRPr="00BE78CA" w:rsidRDefault="00FB19C0" w:rsidP="00C26084">
            <w:pPr>
              <w:pStyle w:val="TableText"/>
              <w:spacing w:before="50" w:after="50"/>
              <w:rPr>
                <w:rFonts w:cs="Arial"/>
                <w:szCs w:val="16"/>
              </w:rPr>
            </w:pPr>
            <w:r w:rsidRPr="00BE78CA">
              <w:rPr>
                <w:rFonts w:cs="Arial"/>
                <w:szCs w:val="16"/>
              </w:rPr>
              <w:t>IPCC default</w:t>
            </w:r>
          </w:p>
        </w:tc>
        <w:tc>
          <w:tcPr>
            <w:tcW w:w="2722" w:type="dxa"/>
            <w:tcBorders>
              <w:top w:val="single" w:sz="4" w:space="0" w:color="365F91"/>
              <w:left w:val="nil"/>
              <w:bottom w:val="single" w:sz="4" w:space="0" w:color="365F91"/>
              <w:right w:val="nil"/>
            </w:tcBorders>
            <w:hideMark/>
          </w:tcPr>
          <w:p w14:paraId="3FB4ECA0" w14:textId="77777777" w:rsidR="00FB19C0" w:rsidRPr="00BE78CA" w:rsidRDefault="00FB19C0" w:rsidP="00C26084">
            <w:pPr>
              <w:pStyle w:val="TableText"/>
              <w:spacing w:before="50" w:after="50"/>
              <w:rPr>
                <w:rFonts w:cs="Arial"/>
                <w:szCs w:val="16"/>
              </w:rPr>
            </w:pPr>
            <w:r w:rsidRPr="00BE78CA">
              <w:rPr>
                <w:rFonts w:cs="Arial"/>
                <w:szCs w:val="16"/>
              </w:rPr>
              <w:t>IPCC (2006a)</w:t>
            </w:r>
          </w:p>
        </w:tc>
      </w:tr>
      <w:tr w:rsidR="00FB19C0" w:rsidRPr="00BE78CA" w14:paraId="0645B550" w14:textId="77777777" w:rsidTr="000A1597">
        <w:tc>
          <w:tcPr>
            <w:tcW w:w="2552" w:type="dxa"/>
            <w:tcBorders>
              <w:top w:val="single" w:sz="4" w:space="0" w:color="365F91"/>
              <w:left w:val="nil"/>
              <w:bottom w:val="single" w:sz="4" w:space="0" w:color="365F91"/>
              <w:right w:val="nil"/>
            </w:tcBorders>
            <w:hideMark/>
          </w:tcPr>
          <w:p w14:paraId="1905B5BA" w14:textId="77777777" w:rsidR="00FB19C0" w:rsidRPr="00BE78CA" w:rsidRDefault="00FB19C0" w:rsidP="00C26084">
            <w:pPr>
              <w:pStyle w:val="TableText"/>
              <w:spacing w:before="50" w:after="50"/>
            </w:pPr>
            <w:r w:rsidRPr="00BE78CA">
              <w:t>Recovery efficiency</w:t>
            </w:r>
          </w:p>
        </w:tc>
        <w:tc>
          <w:tcPr>
            <w:tcW w:w="1814" w:type="dxa"/>
            <w:tcBorders>
              <w:top w:val="single" w:sz="4" w:space="0" w:color="365F91"/>
              <w:left w:val="nil"/>
              <w:bottom w:val="single" w:sz="4" w:space="0" w:color="365F91"/>
              <w:right w:val="nil"/>
            </w:tcBorders>
            <w:hideMark/>
          </w:tcPr>
          <w:p w14:paraId="0B195613" w14:textId="77777777" w:rsidR="00FB19C0" w:rsidRPr="00BE78CA" w:rsidRDefault="00FB19C0" w:rsidP="00C26084">
            <w:pPr>
              <w:pStyle w:val="TableText"/>
              <w:spacing w:before="50" w:after="50"/>
            </w:pPr>
            <w:r w:rsidRPr="00BE78CA">
              <w:t>52 per cent (closed)</w:t>
            </w:r>
            <w:r w:rsidRPr="00BE78CA">
              <w:br/>
              <w:t>68 per cent (open)</w:t>
            </w:r>
            <w:r w:rsidRPr="00BE78CA">
              <w:br/>
              <w:t>0 per cent (no recovery)</w:t>
            </w:r>
          </w:p>
        </w:tc>
        <w:tc>
          <w:tcPr>
            <w:tcW w:w="1191" w:type="dxa"/>
            <w:tcBorders>
              <w:top w:val="single" w:sz="4" w:space="0" w:color="365F91"/>
              <w:left w:val="nil"/>
              <w:bottom w:val="single" w:sz="4" w:space="0" w:color="365F91"/>
              <w:right w:val="nil"/>
            </w:tcBorders>
            <w:hideMark/>
          </w:tcPr>
          <w:p w14:paraId="6607BE8A" w14:textId="77777777" w:rsidR="00FB19C0" w:rsidRPr="00BE78CA" w:rsidRDefault="00FB19C0" w:rsidP="00C26084">
            <w:pPr>
              <w:pStyle w:val="TableText"/>
              <w:spacing w:before="50" w:after="50"/>
              <w:rPr>
                <w:rFonts w:cs="Arial"/>
                <w:szCs w:val="16"/>
              </w:rPr>
            </w:pPr>
            <w:r w:rsidRPr="00BE78CA">
              <w:rPr>
                <w:rFonts w:cs="Arial"/>
                <w:szCs w:val="16"/>
              </w:rPr>
              <w:t>Site specific</w:t>
            </w:r>
          </w:p>
        </w:tc>
        <w:tc>
          <w:tcPr>
            <w:tcW w:w="2722" w:type="dxa"/>
            <w:tcBorders>
              <w:top w:val="single" w:sz="4" w:space="0" w:color="365F91"/>
              <w:left w:val="nil"/>
              <w:bottom w:val="single" w:sz="4" w:space="0" w:color="365F91"/>
              <w:right w:val="nil"/>
            </w:tcBorders>
            <w:hideMark/>
          </w:tcPr>
          <w:p w14:paraId="52259158" w14:textId="77777777" w:rsidR="00FB19C0" w:rsidRPr="00BE78CA" w:rsidRDefault="00FB19C0" w:rsidP="00C26084">
            <w:pPr>
              <w:pStyle w:val="TableText"/>
              <w:spacing w:before="50" w:after="50"/>
              <w:rPr>
                <w:rFonts w:cs="Arial"/>
                <w:szCs w:val="16"/>
              </w:rPr>
            </w:pPr>
            <w:r w:rsidRPr="00BE78CA">
              <w:rPr>
                <w:rFonts w:cs="Arial"/>
                <w:szCs w:val="16"/>
              </w:rPr>
              <w:t>Eunomia (unpublished</w:t>
            </w:r>
            <w:r w:rsidRPr="00BE78CA">
              <w:t>(a)</w:t>
            </w:r>
            <w:r w:rsidRPr="00BE78CA">
              <w:rPr>
                <w:rFonts w:cs="Arial"/>
                <w:szCs w:val="16"/>
              </w:rPr>
              <w:t>)</w:t>
            </w:r>
          </w:p>
        </w:tc>
      </w:tr>
      <w:tr w:rsidR="00FB19C0" w:rsidRPr="00BE78CA" w14:paraId="05DAFC84" w14:textId="77777777" w:rsidTr="000A1597">
        <w:tc>
          <w:tcPr>
            <w:tcW w:w="2552" w:type="dxa"/>
            <w:tcBorders>
              <w:top w:val="single" w:sz="4" w:space="0" w:color="365F91"/>
              <w:left w:val="nil"/>
              <w:bottom w:val="single" w:sz="4" w:space="0" w:color="365F91"/>
              <w:right w:val="nil"/>
            </w:tcBorders>
            <w:hideMark/>
          </w:tcPr>
          <w:p w14:paraId="3B497775" w14:textId="77777777" w:rsidR="00FB19C0" w:rsidRPr="00BE78CA" w:rsidRDefault="00FB19C0" w:rsidP="00C26084">
            <w:pPr>
              <w:pStyle w:val="TableText"/>
              <w:spacing w:before="50" w:after="50"/>
            </w:pPr>
            <w:r w:rsidRPr="00BE78CA">
              <w:t>DDOC (kt C/kt waste) (bulk DOC)</w:t>
            </w:r>
          </w:p>
        </w:tc>
        <w:tc>
          <w:tcPr>
            <w:tcW w:w="1814" w:type="dxa"/>
            <w:tcBorders>
              <w:top w:val="single" w:sz="4" w:space="0" w:color="365F91"/>
              <w:left w:val="nil"/>
              <w:bottom w:val="single" w:sz="4" w:space="0" w:color="365F91"/>
              <w:right w:val="nil"/>
            </w:tcBorders>
            <w:hideMark/>
          </w:tcPr>
          <w:p w14:paraId="0C78A297" w14:textId="77777777" w:rsidR="00FB19C0" w:rsidRPr="00BE78CA" w:rsidRDefault="00FB19C0" w:rsidP="00C26084">
            <w:pPr>
              <w:pStyle w:val="TableText"/>
              <w:spacing w:before="50" w:after="50"/>
            </w:pPr>
            <w:r w:rsidRPr="00BE78CA">
              <w:t>0.025–0.20</w:t>
            </w:r>
          </w:p>
        </w:tc>
        <w:tc>
          <w:tcPr>
            <w:tcW w:w="1191" w:type="dxa"/>
            <w:tcBorders>
              <w:top w:val="single" w:sz="4" w:space="0" w:color="365F91"/>
              <w:left w:val="nil"/>
              <w:bottom w:val="single" w:sz="4" w:space="0" w:color="365F91"/>
              <w:right w:val="nil"/>
            </w:tcBorders>
            <w:hideMark/>
          </w:tcPr>
          <w:p w14:paraId="0B024197" w14:textId="77777777" w:rsidR="00FB19C0" w:rsidRPr="00BE78CA" w:rsidRDefault="00FB19C0" w:rsidP="00C26084">
            <w:pPr>
              <w:pStyle w:val="TableText"/>
              <w:spacing w:before="50" w:after="50"/>
              <w:rPr>
                <w:rFonts w:cs="Arial"/>
                <w:szCs w:val="16"/>
              </w:rPr>
            </w:pPr>
            <w:r w:rsidRPr="00BE78CA">
              <w:t>Country specific</w:t>
            </w:r>
          </w:p>
        </w:tc>
        <w:tc>
          <w:tcPr>
            <w:tcW w:w="2722" w:type="dxa"/>
            <w:tcBorders>
              <w:top w:val="single" w:sz="4" w:space="0" w:color="365F91"/>
              <w:left w:val="nil"/>
              <w:bottom w:val="single" w:sz="4" w:space="0" w:color="365F91"/>
              <w:right w:val="nil"/>
            </w:tcBorders>
            <w:hideMark/>
          </w:tcPr>
          <w:p w14:paraId="709B0350" w14:textId="77777777" w:rsidR="00FB19C0" w:rsidRPr="00BE78CA" w:rsidRDefault="00FB19C0" w:rsidP="00C26084">
            <w:pPr>
              <w:pStyle w:val="TableText"/>
              <w:spacing w:before="50" w:after="50"/>
              <w:rPr>
                <w:rFonts w:cs="Arial"/>
                <w:szCs w:val="16"/>
              </w:rPr>
            </w:pPr>
            <w:r w:rsidRPr="00BE78CA">
              <w:t>Eunomia (unpublished(a)), IPCC (2006a)</w:t>
            </w:r>
          </w:p>
        </w:tc>
      </w:tr>
      <w:tr w:rsidR="00FB19C0" w:rsidRPr="00BE78CA" w14:paraId="1CE87D5B" w14:textId="77777777" w:rsidTr="000A1597">
        <w:tc>
          <w:tcPr>
            <w:tcW w:w="2552" w:type="dxa"/>
            <w:tcBorders>
              <w:top w:val="single" w:sz="4" w:space="0" w:color="365F91"/>
              <w:left w:val="nil"/>
              <w:bottom w:val="single" w:sz="4" w:space="0" w:color="365F91"/>
              <w:right w:val="nil"/>
            </w:tcBorders>
            <w:hideMark/>
          </w:tcPr>
          <w:p w14:paraId="3D160F86" w14:textId="77777777" w:rsidR="00FB19C0" w:rsidRPr="00BE78CA" w:rsidRDefault="00FB19C0" w:rsidP="00C26084">
            <w:pPr>
              <w:pStyle w:val="TableText"/>
              <w:spacing w:before="50" w:after="50"/>
            </w:pPr>
            <w:r w:rsidRPr="00BE78CA">
              <w:t>DOCf that decomposes</w:t>
            </w:r>
          </w:p>
        </w:tc>
        <w:tc>
          <w:tcPr>
            <w:tcW w:w="1814" w:type="dxa"/>
            <w:tcBorders>
              <w:top w:val="single" w:sz="4" w:space="0" w:color="365F91"/>
              <w:left w:val="nil"/>
              <w:bottom w:val="single" w:sz="4" w:space="0" w:color="365F91"/>
              <w:right w:val="nil"/>
            </w:tcBorders>
            <w:hideMark/>
          </w:tcPr>
          <w:p w14:paraId="125E4AAB" w14:textId="77777777" w:rsidR="00FB19C0" w:rsidRPr="00BE78CA" w:rsidRDefault="00FB19C0" w:rsidP="00C26084">
            <w:pPr>
              <w:pStyle w:val="TableText"/>
              <w:spacing w:before="50" w:after="50"/>
            </w:pPr>
            <w:r w:rsidRPr="00BE78CA">
              <w:t>0.1–0.7</w:t>
            </w:r>
          </w:p>
        </w:tc>
        <w:tc>
          <w:tcPr>
            <w:tcW w:w="1191" w:type="dxa"/>
            <w:tcBorders>
              <w:top w:val="single" w:sz="4" w:space="0" w:color="365F91"/>
              <w:left w:val="nil"/>
              <w:bottom w:val="single" w:sz="4" w:space="0" w:color="365F91"/>
              <w:right w:val="nil"/>
            </w:tcBorders>
            <w:hideMark/>
          </w:tcPr>
          <w:p w14:paraId="4663446F" w14:textId="77777777" w:rsidR="00FB19C0" w:rsidRPr="00BE78CA" w:rsidRDefault="00FB19C0" w:rsidP="00C26084">
            <w:pPr>
              <w:pStyle w:val="TableText"/>
              <w:spacing w:before="50" w:after="50"/>
            </w:pPr>
            <w:r w:rsidRPr="00BE78CA">
              <w:t>Country specific</w:t>
            </w:r>
          </w:p>
        </w:tc>
        <w:tc>
          <w:tcPr>
            <w:tcW w:w="2722" w:type="dxa"/>
            <w:tcBorders>
              <w:top w:val="single" w:sz="4" w:space="0" w:color="365F91"/>
              <w:left w:val="nil"/>
              <w:bottom w:val="single" w:sz="4" w:space="0" w:color="365F91"/>
              <w:right w:val="nil"/>
            </w:tcBorders>
            <w:hideMark/>
          </w:tcPr>
          <w:p w14:paraId="694526A5" w14:textId="77777777" w:rsidR="00FB19C0" w:rsidRPr="00BE78CA" w:rsidRDefault="00FB19C0" w:rsidP="00C26084">
            <w:pPr>
              <w:pStyle w:val="TableText"/>
              <w:spacing w:before="50" w:after="50"/>
            </w:pPr>
            <w:r w:rsidRPr="00BE78CA">
              <w:rPr>
                <w:rFonts w:cs="Arial"/>
                <w:szCs w:val="16"/>
              </w:rPr>
              <w:t>Eunomia (unpublished</w:t>
            </w:r>
            <w:r w:rsidRPr="00BE78CA">
              <w:t>(a)</w:t>
            </w:r>
            <w:r w:rsidRPr="00BE78CA">
              <w:rPr>
                <w:rFonts w:cs="Arial"/>
                <w:szCs w:val="16"/>
              </w:rPr>
              <w:t>), IPCC (2006a)</w:t>
            </w:r>
          </w:p>
        </w:tc>
      </w:tr>
      <w:tr w:rsidR="00FB19C0" w:rsidRPr="00BE78CA" w:rsidDel="000837A8" w14:paraId="193D88BC" w14:textId="77777777" w:rsidTr="000A1597">
        <w:tc>
          <w:tcPr>
            <w:tcW w:w="2552" w:type="dxa"/>
            <w:tcBorders>
              <w:top w:val="single" w:sz="4" w:space="0" w:color="365F91"/>
              <w:left w:val="nil"/>
              <w:bottom w:val="single" w:sz="4" w:space="0" w:color="365F91"/>
              <w:right w:val="nil"/>
            </w:tcBorders>
          </w:tcPr>
          <w:p w14:paraId="1E1DD7BD" w14:textId="77777777" w:rsidR="00FB19C0" w:rsidRPr="00BE78CA" w:rsidRDefault="00FB19C0" w:rsidP="00C26084">
            <w:pPr>
              <w:pStyle w:val="TableText"/>
              <w:spacing w:before="50" w:after="50"/>
            </w:pPr>
            <w:r w:rsidRPr="00BE78CA">
              <w:t>Fraction of methane in landfill gas (F)</w:t>
            </w:r>
          </w:p>
        </w:tc>
        <w:tc>
          <w:tcPr>
            <w:tcW w:w="1814" w:type="dxa"/>
            <w:tcBorders>
              <w:top w:val="single" w:sz="4" w:space="0" w:color="365F91"/>
              <w:left w:val="nil"/>
              <w:bottom w:val="single" w:sz="4" w:space="0" w:color="365F91"/>
              <w:right w:val="nil"/>
            </w:tcBorders>
          </w:tcPr>
          <w:p w14:paraId="79EA32AA" w14:textId="77777777" w:rsidR="00FB19C0" w:rsidRPr="00BE78CA" w:rsidRDefault="00FB19C0" w:rsidP="00C26084">
            <w:pPr>
              <w:pStyle w:val="TableText"/>
              <w:spacing w:before="50" w:after="50"/>
            </w:pPr>
            <w:r w:rsidRPr="00BE78CA">
              <w:t>0.57</w:t>
            </w:r>
          </w:p>
        </w:tc>
        <w:tc>
          <w:tcPr>
            <w:tcW w:w="1191" w:type="dxa"/>
            <w:tcBorders>
              <w:top w:val="single" w:sz="4" w:space="0" w:color="365F91"/>
              <w:left w:val="nil"/>
              <w:bottom w:val="single" w:sz="4" w:space="0" w:color="365F91"/>
              <w:right w:val="nil"/>
            </w:tcBorders>
          </w:tcPr>
          <w:p w14:paraId="28A6AF20" w14:textId="77777777" w:rsidR="00FB19C0" w:rsidRPr="00BE78CA" w:rsidRDefault="00FB19C0" w:rsidP="00C26084">
            <w:pPr>
              <w:pStyle w:val="TableText"/>
              <w:spacing w:before="50" w:after="50"/>
            </w:pPr>
            <w:r w:rsidRPr="00BE78CA">
              <w:t>Country specific</w:t>
            </w:r>
          </w:p>
        </w:tc>
        <w:tc>
          <w:tcPr>
            <w:tcW w:w="2722" w:type="dxa"/>
            <w:tcBorders>
              <w:top w:val="single" w:sz="4" w:space="0" w:color="365F91"/>
              <w:left w:val="nil"/>
              <w:bottom w:val="single" w:sz="4" w:space="0" w:color="365F91"/>
              <w:right w:val="nil"/>
            </w:tcBorders>
          </w:tcPr>
          <w:p w14:paraId="1D9932C6" w14:textId="77777777" w:rsidR="00FB19C0" w:rsidRPr="00BE78CA" w:rsidDel="000837A8" w:rsidRDefault="00FB19C0" w:rsidP="00C26084">
            <w:pPr>
              <w:pStyle w:val="TableText"/>
              <w:spacing w:before="50" w:after="50"/>
            </w:pPr>
            <w:r w:rsidRPr="00BE78CA">
              <w:t>Eunomia (unpublished(a))</w:t>
            </w:r>
          </w:p>
        </w:tc>
      </w:tr>
      <w:tr w:rsidR="00FB19C0" w:rsidRPr="00BE78CA" w14:paraId="41B57E84" w14:textId="77777777" w:rsidTr="000A1597">
        <w:tc>
          <w:tcPr>
            <w:tcW w:w="1814" w:type="dxa"/>
            <w:gridSpan w:val="4"/>
            <w:tcBorders>
              <w:top w:val="single" w:sz="4" w:space="0" w:color="365F91"/>
              <w:left w:val="nil"/>
              <w:bottom w:val="single" w:sz="4" w:space="0" w:color="365F91"/>
              <w:right w:val="nil"/>
            </w:tcBorders>
            <w:hideMark/>
          </w:tcPr>
          <w:p w14:paraId="68B34D9D" w14:textId="77777777" w:rsidR="00FB19C0" w:rsidRPr="00BE78CA" w:rsidRDefault="00FB19C0" w:rsidP="00C26084">
            <w:pPr>
              <w:pStyle w:val="TableTextBold"/>
              <w:spacing w:before="50" w:after="50"/>
              <w:rPr>
                <w:noProof w:val="0"/>
              </w:rPr>
            </w:pPr>
            <w:r w:rsidRPr="00BE78CA">
              <w:rPr>
                <w:noProof w:val="0"/>
              </w:rPr>
              <w:lastRenderedPageBreak/>
              <w:t>Uncategorised landfills</w:t>
            </w:r>
          </w:p>
        </w:tc>
      </w:tr>
      <w:tr w:rsidR="00FB19C0" w:rsidRPr="00BE78CA" w14:paraId="21D676A2" w14:textId="77777777" w:rsidTr="000A1597">
        <w:tc>
          <w:tcPr>
            <w:tcW w:w="2552" w:type="dxa"/>
            <w:tcBorders>
              <w:top w:val="single" w:sz="4" w:space="0" w:color="365F91"/>
              <w:left w:val="nil"/>
              <w:bottom w:val="single" w:sz="4" w:space="0" w:color="365F91"/>
              <w:right w:val="nil"/>
            </w:tcBorders>
            <w:hideMark/>
          </w:tcPr>
          <w:p w14:paraId="6AC358CE" w14:textId="77777777" w:rsidR="00FB19C0" w:rsidRPr="00BE78CA" w:rsidRDefault="00FB19C0" w:rsidP="00C26084">
            <w:pPr>
              <w:pStyle w:val="TableText"/>
              <w:spacing w:before="50" w:after="50"/>
            </w:pPr>
            <w:r w:rsidRPr="00BE78CA">
              <w:t>k-value (multi-phase by waste type)</w:t>
            </w:r>
          </w:p>
        </w:tc>
        <w:tc>
          <w:tcPr>
            <w:tcW w:w="1814" w:type="dxa"/>
            <w:tcBorders>
              <w:top w:val="single" w:sz="4" w:space="0" w:color="365F91"/>
              <w:left w:val="nil"/>
              <w:bottom w:val="single" w:sz="4" w:space="0" w:color="365F91"/>
              <w:right w:val="nil"/>
            </w:tcBorders>
            <w:hideMark/>
          </w:tcPr>
          <w:p w14:paraId="6332C248" w14:textId="77777777" w:rsidR="00FB19C0" w:rsidRPr="00BE78CA" w:rsidRDefault="00FB19C0" w:rsidP="00C26084">
            <w:pPr>
              <w:pStyle w:val="TableText"/>
              <w:spacing w:before="50" w:after="50"/>
            </w:pPr>
            <w:r w:rsidRPr="00BE78CA">
              <w:t>0.030–0.185</w:t>
            </w:r>
          </w:p>
        </w:tc>
        <w:tc>
          <w:tcPr>
            <w:tcW w:w="1191" w:type="dxa"/>
            <w:tcBorders>
              <w:top w:val="single" w:sz="4" w:space="0" w:color="365F91"/>
              <w:left w:val="nil"/>
              <w:bottom w:val="single" w:sz="4" w:space="0" w:color="365F91"/>
              <w:right w:val="nil"/>
            </w:tcBorders>
            <w:hideMark/>
          </w:tcPr>
          <w:p w14:paraId="2D543021" w14:textId="77777777" w:rsidR="00FB19C0" w:rsidRPr="00BE78CA" w:rsidRDefault="00FB19C0" w:rsidP="00C26084">
            <w:pPr>
              <w:pStyle w:val="TableText"/>
              <w:spacing w:before="50" w:after="50"/>
            </w:pPr>
            <w:r w:rsidRPr="00BE78CA">
              <w:t>IPCC default</w:t>
            </w:r>
          </w:p>
        </w:tc>
        <w:tc>
          <w:tcPr>
            <w:tcW w:w="2722" w:type="dxa"/>
            <w:tcBorders>
              <w:top w:val="single" w:sz="4" w:space="0" w:color="365F91"/>
              <w:left w:val="nil"/>
              <w:bottom w:val="single" w:sz="4" w:space="0" w:color="365F91"/>
              <w:right w:val="nil"/>
            </w:tcBorders>
            <w:hideMark/>
          </w:tcPr>
          <w:p w14:paraId="11C73204" w14:textId="77777777" w:rsidR="00FB19C0" w:rsidRPr="00BE78CA" w:rsidRDefault="00FB19C0" w:rsidP="00C26084">
            <w:pPr>
              <w:pStyle w:val="TableText"/>
              <w:spacing w:before="50" w:after="50"/>
            </w:pPr>
            <w:r w:rsidRPr="00BE78CA">
              <w:rPr>
                <w:rFonts w:cs="Arial"/>
                <w:szCs w:val="16"/>
              </w:rPr>
              <w:t>IPCC (2006a)</w:t>
            </w:r>
          </w:p>
        </w:tc>
      </w:tr>
      <w:tr w:rsidR="00FB19C0" w:rsidRPr="00BE78CA" w14:paraId="5269CBB7" w14:textId="77777777" w:rsidTr="000A1597">
        <w:tc>
          <w:tcPr>
            <w:tcW w:w="2552" w:type="dxa"/>
            <w:tcBorders>
              <w:top w:val="single" w:sz="4" w:space="0" w:color="365F91"/>
              <w:left w:val="nil"/>
              <w:bottom w:val="single" w:sz="4" w:space="0" w:color="365F91"/>
              <w:right w:val="nil"/>
            </w:tcBorders>
            <w:hideMark/>
          </w:tcPr>
          <w:p w14:paraId="3B91DAA7" w14:textId="77777777" w:rsidR="00FB19C0" w:rsidRPr="00BE78CA" w:rsidRDefault="00FB19C0" w:rsidP="00C26084">
            <w:pPr>
              <w:pStyle w:val="TableText"/>
              <w:spacing w:before="50" w:after="50"/>
            </w:pPr>
            <w:r w:rsidRPr="00BE78CA">
              <w:t>Methane correction factor</w:t>
            </w:r>
          </w:p>
        </w:tc>
        <w:tc>
          <w:tcPr>
            <w:tcW w:w="1814" w:type="dxa"/>
            <w:tcBorders>
              <w:top w:val="single" w:sz="4" w:space="0" w:color="365F91"/>
              <w:left w:val="nil"/>
              <w:bottom w:val="single" w:sz="4" w:space="0" w:color="365F91"/>
              <w:right w:val="nil"/>
            </w:tcBorders>
            <w:hideMark/>
          </w:tcPr>
          <w:p w14:paraId="657DFC2D" w14:textId="77777777" w:rsidR="00FB19C0" w:rsidRPr="00BE78CA" w:rsidRDefault="00FB19C0" w:rsidP="00C26084">
            <w:pPr>
              <w:pStyle w:val="TableText"/>
              <w:spacing w:before="50" w:after="50"/>
            </w:pPr>
            <w:r w:rsidRPr="00BE78CA">
              <w:t>0.6</w:t>
            </w:r>
          </w:p>
        </w:tc>
        <w:tc>
          <w:tcPr>
            <w:tcW w:w="1191" w:type="dxa"/>
            <w:tcBorders>
              <w:top w:val="single" w:sz="4" w:space="0" w:color="365F91"/>
              <w:left w:val="nil"/>
              <w:bottom w:val="single" w:sz="4" w:space="0" w:color="365F91"/>
              <w:right w:val="nil"/>
            </w:tcBorders>
            <w:hideMark/>
          </w:tcPr>
          <w:p w14:paraId="2D403D70" w14:textId="77777777" w:rsidR="00FB19C0" w:rsidRPr="00BE78CA" w:rsidRDefault="00FB19C0" w:rsidP="00C26084">
            <w:pPr>
              <w:pStyle w:val="TableText"/>
              <w:spacing w:before="50" w:after="50"/>
            </w:pPr>
            <w:r w:rsidRPr="00BE78CA">
              <w:t>IPCC default</w:t>
            </w:r>
          </w:p>
        </w:tc>
        <w:tc>
          <w:tcPr>
            <w:tcW w:w="2722" w:type="dxa"/>
            <w:tcBorders>
              <w:top w:val="single" w:sz="4" w:space="0" w:color="365F91"/>
              <w:left w:val="nil"/>
              <w:bottom w:val="single" w:sz="4" w:space="0" w:color="365F91"/>
              <w:right w:val="nil"/>
            </w:tcBorders>
            <w:hideMark/>
          </w:tcPr>
          <w:p w14:paraId="1481CB88" w14:textId="77777777" w:rsidR="00FB19C0" w:rsidRPr="00BE78CA" w:rsidRDefault="00FB19C0" w:rsidP="00C26084">
            <w:pPr>
              <w:pStyle w:val="TableText"/>
              <w:spacing w:before="50" w:after="50"/>
            </w:pPr>
            <w:r w:rsidRPr="00BE78CA">
              <w:rPr>
                <w:rFonts w:cs="Arial"/>
                <w:szCs w:val="16"/>
              </w:rPr>
              <w:t>IPCC (2006a)</w:t>
            </w:r>
          </w:p>
        </w:tc>
      </w:tr>
      <w:tr w:rsidR="00FB19C0" w:rsidRPr="00BE78CA" w14:paraId="73009894" w14:textId="77777777" w:rsidTr="000A1597">
        <w:tc>
          <w:tcPr>
            <w:tcW w:w="2552" w:type="dxa"/>
            <w:tcBorders>
              <w:top w:val="single" w:sz="4" w:space="0" w:color="365F91"/>
              <w:left w:val="nil"/>
              <w:bottom w:val="single" w:sz="4" w:space="0" w:color="365F91"/>
              <w:right w:val="nil"/>
            </w:tcBorders>
            <w:hideMark/>
          </w:tcPr>
          <w:p w14:paraId="3FB904DF" w14:textId="77777777" w:rsidR="00FB19C0" w:rsidRPr="00BE78CA" w:rsidRDefault="00FB19C0" w:rsidP="00C26084">
            <w:pPr>
              <w:pStyle w:val="TableText"/>
              <w:spacing w:before="50" w:after="50"/>
            </w:pPr>
            <w:r w:rsidRPr="00BE78CA">
              <w:t>Oxidation factor</w:t>
            </w:r>
          </w:p>
        </w:tc>
        <w:tc>
          <w:tcPr>
            <w:tcW w:w="1814" w:type="dxa"/>
            <w:tcBorders>
              <w:top w:val="single" w:sz="4" w:space="0" w:color="365F91"/>
              <w:left w:val="nil"/>
              <w:bottom w:val="single" w:sz="4" w:space="0" w:color="365F91"/>
              <w:right w:val="nil"/>
            </w:tcBorders>
            <w:hideMark/>
          </w:tcPr>
          <w:p w14:paraId="37FCAD3D" w14:textId="77777777" w:rsidR="00FB19C0" w:rsidRPr="00BE78CA" w:rsidRDefault="00FB19C0" w:rsidP="00C26084">
            <w:pPr>
              <w:pStyle w:val="TableText"/>
              <w:spacing w:before="50" w:after="50"/>
            </w:pPr>
            <w:r w:rsidRPr="00BE78CA">
              <w:t>0</w:t>
            </w:r>
          </w:p>
        </w:tc>
        <w:tc>
          <w:tcPr>
            <w:tcW w:w="1191" w:type="dxa"/>
            <w:tcBorders>
              <w:top w:val="single" w:sz="4" w:space="0" w:color="365F91"/>
              <w:left w:val="nil"/>
              <w:bottom w:val="single" w:sz="4" w:space="0" w:color="365F91"/>
              <w:right w:val="nil"/>
            </w:tcBorders>
            <w:hideMark/>
          </w:tcPr>
          <w:p w14:paraId="738EC8E9" w14:textId="77777777" w:rsidR="00FB19C0" w:rsidRPr="00BE78CA" w:rsidRDefault="00FB19C0" w:rsidP="00C26084">
            <w:pPr>
              <w:pStyle w:val="TableText"/>
              <w:spacing w:before="50" w:after="50"/>
            </w:pPr>
            <w:r w:rsidRPr="00BE78CA">
              <w:t>IPCC default</w:t>
            </w:r>
          </w:p>
        </w:tc>
        <w:tc>
          <w:tcPr>
            <w:tcW w:w="2722" w:type="dxa"/>
            <w:tcBorders>
              <w:top w:val="single" w:sz="4" w:space="0" w:color="365F91"/>
              <w:left w:val="nil"/>
              <w:bottom w:val="single" w:sz="4" w:space="0" w:color="365F91"/>
              <w:right w:val="nil"/>
            </w:tcBorders>
            <w:hideMark/>
          </w:tcPr>
          <w:p w14:paraId="47BE84FC" w14:textId="77777777" w:rsidR="00FB19C0" w:rsidRPr="00BE78CA" w:rsidRDefault="00FB19C0" w:rsidP="00C26084">
            <w:pPr>
              <w:pStyle w:val="TableText"/>
              <w:spacing w:before="50" w:after="50"/>
            </w:pPr>
            <w:r w:rsidRPr="00BE78CA">
              <w:rPr>
                <w:rFonts w:cs="Arial"/>
                <w:szCs w:val="16"/>
              </w:rPr>
              <w:t>IPCC (2006a)</w:t>
            </w:r>
          </w:p>
        </w:tc>
      </w:tr>
      <w:tr w:rsidR="00FB19C0" w:rsidRPr="00BE78CA" w14:paraId="4F2962F9" w14:textId="77777777" w:rsidTr="000A1597">
        <w:tc>
          <w:tcPr>
            <w:tcW w:w="2552" w:type="dxa"/>
            <w:tcBorders>
              <w:top w:val="single" w:sz="4" w:space="0" w:color="365F91"/>
              <w:left w:val="nil"/>
              <w:bottom w:val="single" w:sz="4" w:space="0" w:color="365F91"/>
              <w:right w:val="nil"/>
            </w:tcBorders>
            <w:hideMark/>
          </w:tcPr>
          <w:p w14:paraId="78EA4838" w14:textId="77777777" w:rsidR="00FB19C0" w:rsidRPr="00BE78CA" w:rsidRDefault="00FB19C0" w:rsidP="00C26084">
            <w:pPr>
              <w:pStyle w:val="TableText"/>
              <w:spacing w:before="50" w:after="50"/>
            </w:pPr>
            <w:r w:rsidRPr="00BE78CA">
              <w:t>DOC (kt C/kt waste) (by waste type)</w:t>
            </w:r>
          </w:p>
        </w:tc>
        <w:tc>
          <w:tcPr>
            <w:tcW w:w="1814" w:type="dxa"/>
            <w:tcBorders>
              <w:top w:val="single" w:sz="4" w:space="0" w:color="365F91"/>
              <w:left w:val="nil"/>
              <w:bottom w:val="single" w:sz="4" w:space="0" w:color="365F91"/>
              <w:right w:val="nil"/>
            </w:tcBorders>
            <w:hideMark/>
          </w:tcPr>
          <w:p w14:paraId="4EE18042" w14:textId="77777777" w:rsidR="00FB19C0" w:rsidRPr="00BE78CA" w:rsidRDefault="00FB19C0" w:rsidP="00C26084">
            <w:pPr>
              <w:pStyle w:val="TableText"/>
              <w:spacing w:before="50" w:after="50"/>
            </w:pPr>
            <w:r w:rsidRPr="00BE78CA">
              <w:t>0.15–0.43</w:t>
            </w:r>
          </w:p>
        </w:tc>
        <w:tc>
          <w:tcPr>
            <w:tcW w:w="1191" w:type="dxa"/>
            <w:tcBorders>
              <w:top w:val="single" w:sz="4" w:space="0" w:color="365F91"/>
              <w:left w:val="nil"/>
              <w:bottom w:val="single" w:sz="4" w:space="0" w:color="365F91"/>
              <w:right w:val="nil"/>
            </w:tcBorders>
            <w:hideMark/>
          </w:tcPr>
          <w:p w14:paraId="3C023DD1" w14:textId="77777777" w:rsidR="00FB19C0" w:rsidRPr="00BE78CA" w:rsidRDefault="00FB19C0" w:rsidP="00C26084">
            <w:pPr>
              <w:pStyle w:val="TableText"/>
              <w:spacing w:before="50" w:after="50"/>
            </w:pPr>
            <w:r w:rsidRPr="00BE78CA">
              <w:t>IPCC default</w:t>
            </w:r>
          </w:p>
        </w:tc>
        <w:tc>
          <w:tcPr>
            <w:tcW w:w="2722" w:type="dxa"/>
            <w:tcBorders>
              <w:top w:val="single" w:sz="4" w:space="0" w:color="365F91"/>
              <w:left w:val="nil"/>
              <w:bottom w:val="single" w:sz="4" w:space="0" w:color="365F91"/>
              <w:right w:val="nil"/>
            </w:tcBorders>
            <w:hideMark/>
          </w:tcPr>
          <w:p w14:paraId="3D0A4C99" w14:textId="77777777" w:rsidR="00FB19C0" w:rsidRPr="00BE78CA" w:rsidRDefault="00FB19C0" w:rsidP="00C26084">
            <w:pPr>
              <w:pStyle w:val="TableText"/>
              <w:spacing w:before="50" w:after="50"/>
              <w:rPr>
                <w:rFonts w:cs="Arial"/>
                <w:szCs w:val="16"/>
              </w:rPr>
            </w:pPr>
            <w:r w:rsidRPr="00BE78CA">
              <w:rPr>
                <w:rFonts w:cs="Arial"/>
              </w:rPr>
              <w:t>IPCC (2006a)</w:t>
            </w:r>
          </w:p>
        </w:tc>
      </w:tr>
      <w:tr w:rsidR="00FB19C0" w:rsidRPr="00BE78CA" w14:paraId="5C2536D9" w14:textId="77777777" w:rsidTr="000A1597">
        <w:tc>
          <w:tcPr>
            <w:tcW w:w="2552" w:type="dxa"/>
            <w:tcBorders>
              <w:top w:val="single" w:sz="4" w:space="0" w:color="365F91"/>
              <w:left w:val="nil"/>
              <w:bottom w:val="single" w:sz="4" w:space="0" w:color="365F91"/>
              <w:right w:val="nil"/>
            </w:tcBorders>
            <w:hideMark/>
          </w:tcPr>
          <w:p w14:paraId="01C6B8B0" w14:textId="77777777" w:rsidR="00FB19C0" w:rsidRPr="00BE78CA" w:rsidRDefault="00FB19C0" w:rsidP="00C26084">
            <w:pPr>
              <w:pStyle w:val="TableText"/>
              <w:spacing w:before="50" w:after="50"/>
            </w:pPr>
            <w:r w:rsidRPr="00BE78CA">
              <w:t>DOCf that decomposes</w:t>
            </w:r>
          </w:p>
        </w:tc>
        <w:tc>
          <w:tcPr>
            <w:tcW w:w="1814" w:type="dxa"/>
            <w:tcBorders>
              <w:top w:val="single" w:sz="4" w:space="0" w:color="365F91"/>
              <w:left w:val="nil"/>
              <w:bottom w:val="single" w:sz="4" w:space="0" w:color="365F91"/>
              <w:right w:val="nil"/>
            </w:tcBorders>
            <w:hideMark/>
          </w:tcPr>
          <w:p w14:paraId="3FA7DD54" w14:textId="77777777" w:rsidR="00FB19C0" w:rsidRPr="00BE78CA" w:rsidRDefault="00FB19C0" w:rsidP="00C26084">
            <w:pPr>
              <w:pStyle w:val="TableText"/>
              <w:spacing w:before="50" w:after="50"/>
            </w:pPr>
            <w:r w:rsidRPr="00BE78CA">
              <w:t>0.5</w:t>
            </w:r>
          </w:p>
        </w:tc>
        <w:tc>
          <w:tcPr>
            <w:tcW w:w="1191" w:type="dxa"/>
            <w:tcBorders>
              <w:top w:val="single" w:sz="4" w:space="0" w:color="365F91"/>
              <w:left w:val="nil"/>
              <w:bottom w:val="single" w:sz="4" w:space="0" w:color="365F91"/>
              <w:right w:val="nil"/>
            </w:tcBorders>
            <w:hideMark/>
          </w:tcPr>
          <w:p w14:paraId="25E2AB7F" w14:textId="77777777" w:rsidR="00FB19C0" w:rsidRPr="00BE78CA" w:rsidRDefault="00FB19C0" w:rsidP="00C26084">
            <w:pPr>
              <w:pStyle w:val="TableText"/>
              <w:spacing w:before="50" w:after="50"/>
            </w:pPr>
            <w:r w:rsidRPr="00BE78CA">
              <w:t>IPCC default</w:t>
            </w:r>
          </w:p>
        </w:tc>
        <w:tc>
          <w:tcPr>
            <w:tcW w:w="2722" w:type="dxa"/>
            <w:tcBorders>
              <w:top w:val="single" w:sz="4" w:space="0" w:color="365F91"/>
              <w:left w:val="nil"/>
              <w:bottom w:val="single" w:sz="4" w:space="0" w:color="365F91"/>
              <w:right w:val="nil"/>
            </w:tcBorders>
            <w:hideMark/>
          </w:tcPr>
          <w:p w14:paraId="03D9F8AA" w14:textId="77777777" w:rsidR="00FB19C0" w:rsidRPr="00BE78CA" w:rsidRDefault="00FB19C0" w:rsidP="00C26084">
            <w:pPr>
              <w:pStyle w:val="TableText"/>
              <w:spacing w:before="50" w:after="50"/>
            </w:pPr>
            <w:r w:rsidRPr="00BE78CA">
              <w:rPr>
                <w:rFonts w:cs="Arial"/>
                <w:szCs w:val="16"/>
              </w:rPr>
              <w:t>IPCC (2006a)</w:t>
            </w:r>
          </w:p>
        </w:tc>
      </w:tr>
      <w:tr w:rsidR="00FB19C0" w:rsidRPr="00BE78CA" w14:paraId="08CAEF85" w14:textId="77777777" w:rsidTr="000A1597">
        <w:tc>
          <w:tcPr>
            <w:tcW w:w="2552" w:type="dxa"/>
            <w:tcBorders>
              <w:top w:val="single" w:sz="4" w:space="0" w:color="365F91"/>
              <w:left w:val="nil"/>
              <w:bottom w:val="single" w:sz="4" w:space="0" w:color="365F91"/>
              <w:right w:val="nil"/>
            </w:tcBorders>
          </w:tcPr>
          <w:p w14:paraId="1AB5F94D" w14:textId="77777777" w:rsidR="00FB19C0" w:rsidRPr="00BE78CA" w:rsidRDefault="00FB19C0" w:rsidP="00C26084">
            <w:pPr>
              <w:pStyle w:val="TableText"/>
              <w:spacing w:before="50" w:after="50"/>
            </w:pPr>
            <w:r w:rsidRPr="00BE78CA">
              <w:t>Fraction of</w:t>
            </w:r>
            <w:r w:rsidRPr="00BE78CA">
              <w:rPr>
                <w:vertAlign w:val="subscript"/>
              </w:rPr>
              <w:t xml:space="preserve"> </w:t>
            </w:r>
            <w:r w:rsidRPr="00BE78CA">
              <w:t>methane in landfill gas (F)</w:t>
            </w:r>
          </w:p>
        </w:tc>
        <w:tc>
          <w:tcPr>
            <w:tcW w:w="1814" w:type="dxa"/>
            <w:tcBorders>
              <w:top w:val="single" w:sz="4" w:space="0" w:color="365F91"/>
              <w:left w:val="nil"/>
              <w:bottom w:val="single" w:sz="4" w:space="0" w:color="365F91"/>
              <w:right w:val="nil"/>
            </w:tcBorders>
          </w:tcPr>
          <w:p w14:paraId="5229C9FA" w14:textId="77777777" w:rsidR="00FB19C0" w:rsidRPr="00BE78CA" w:rsidRDefault="00FB19C0" w:rsidP="00C26084">
            <w:pPr>
              <w:pStyle w:val="TableText"/>
              <w:spacing w:before="50" w:after="50"/>
            </w:pPr>
            <w:r w:rsidRPr="00BE78CA">
              <w:t>0.5</w:t>
            </w:r>
          </w:p>
        </w:tc>
        <w:tc>
          <w:tcPr>
            <w:tcW w:w="1191" w:type="dxa"/>
            <w:tcBorders>
              <w:top w:val="single" w:sz="4" w:space="0" w:color="365F91"/>
              <w:left w:val="nil"/>
              <w:bottom w:val="single" w:sz="4" w:space="0" w:color="365F91"/>
              <w:right w:val="nil"/>
            </w:tcBorders>
          </w:tcPr>
          <w:p w14:paraId="28364ED8" w14:textId="77777777" w:rsidR="00FB19C0" w:rsidRPr="00BE78CA" w:rsidRDefault="00FB19C0" w:rsidP="00C26084">
            <w:pPr>
              <w:pStyle w:val="TableText"/>
              <w:spacing w:before="50" w:after="50"/>
            </w:pPr>
            <w:r w:rsidRPr="00BE78CA">
              <w:t>IPCC default</w:t>
            </w:r>
          </w:p>
        </w:tc>
        <w:tc>
          <w:tcPr>
            <w:tcW w:w="2722" w:type="dxa"/>
            <w:tcBorders>
              <w:top w:val="single" w:sz="4" w:space="0" w:color="365F91"/>
              <w:left w:val="nil"/>
              <w:bottom w:val="single" w:sz="4" w:space="0" w:color="365F91"/>
              <w:right w:val="nil"/>
            </w:tcBorders>
          </w:tcPr>
          <w:p w14:paraId="467B71D6" w14:textId="77777777" w:rsidR="00FB19C0" w:rsidRPr="00BE78CA" w:rsidRDefault="00FB19C0" w:rsidP="00C26084">
            <w:pPr>
              <w:pStyle w:val="TableText"/>
              <w:spacing w:before="50" w:after="50"/>
              <w:rPr>
                <w:rFonts w:cs="Arial"/>
              </w:rPr>
            </w:pPr>
            <w:r w:rsidRPr="00BE78CA">
              <w:rPr>
                <w:rFonts w:cs="Arial"/>
                <w:szCs w:val="16"/>
              </w:rPr>
              <w:t>IPCC (2006a)</w:t>
            </w:r>
          </w:p>
        </w:tc>
      </w:tr>
      <w:tr w:rsidR="00FB19C0" w:rsidRPr="00BE78CA" w14:paraId="579AAE17" w14:textId="77777777" w:rsidTr="000A1597">
        <w:tc>
          <w:tcPr>
            <w:tcW w:w="1814" w:type="dxa"/>
            <w:gridSpan w:val="4"/>
            <w:tcBorders>
              <w:top w:val="single" w:sz="4" w:space="0" w:color="365F91"/>
              <w:left w:val="nil"/>
              <w:bottom w:val="single" w:sz="4" w:space="0" w:color="365F91"/>
              <w:right w:val="nil"/>
            </w:tcBorders>
            <w:hideMark/>
          </w:tcPr>
          <w:p w14:paraId="6C536D72" w14:textId="77777777" w:rsidR="00FB19C0" w:rsidRPr="00BE78CA" w:rsidRDefault="00FB19C0" w:rsidP="00C26084">
            <w:pPr>
              <w:pStyle w:val="TableTextBold"/>
              <w:keepNext/>
              <w:spacing w:before="50" w:after="50"/>
              <w:rPr>
                <w:noProof w:val="0"/>
              </w:rPr>
            </w:pPr>
            <w:r w:rsidRPr="00BE78CA">
              <w:rPr>
                <w:noProof w:val="0"/>
              </w:rPr>
              <w:t>All landfill sites</w:t>
            </w:r>
          </w:p>
        </w:tc>
      </w:tr>
      <w:tr w:rsidR="00FB19C0" w:rsidRPr="00BE78CA" w14:paraId="6263D0EE" w14:textId="77777777" w:rsidTr="000A1597">
        <w:tc>
          <w:tcPr>
            <w:tcW w:w="2552" w:type="dxa"/>
            <w:tcBorders>
              <w:top w:val="single" w:sz="4" w:space="0" w:color="365F91"/>
              <w:left w:val="nil"/>
              <w:bottom w:val="single" w:sz="4" w:space="0" w:color="365F91"/>
              <w:right w:val="nil"/>
            </w:tcBorders>
            <w:hideMark/>
          </w:tcPr>
          <w:p w14:paraId="641595F9" w14:textId="77777777" w:rsidR="00FB19C0" w:rsidRPr="00BE78CA" w:rsidRDefault="00FB19C0" w:rsidP="00C26084">
            <w:pPr>
              <w:pStyle w:val="TableText"/>
              <w:keepNext/>
              <w:spacing w:before="50" w:after="50"/>
            </w:pPr>
            <w:r w:rsidRPr="00BE78CA">
              <w:t>Starting year</w:t>
            </w:r>
          </w:p>
        </w:tc>
        <w:tc>
          <w:tcPr>
            <w:tcW w:w="1814" w:type="dxa"/>
            <w:tcBorders>
              <w:top w:val="single" w:sz="4" w:space="0" w:color="365F91"/>
              <w:left w:val="nil"/>
              <w:bottom w:val="single" w:sz="4" w:space="0" w:color="365F91"/>
              <w:right w:val="nil"/>
            </w:tcBorders>
            <w:hideMark/>
          </w:tcPr>
          <w:p w14:paraId="2B2767B2" w14:textId="77777777" w:rsidR="00FB19C0" w:rsidRPr="00BE78CA" w:rsidRDefault="00FB19C0" w:rsidP="00C26084">
            <w:pPr>
              <w:pStyle w:val="TableText"/>
              <w:keepNext/>
              <w:spacing w:before="50" w:after="50"/>
            </w:pPr>
            <w:r w:rsidRPr="00BE78CA">
              <w:t>1950</w:t>
            </w:r>
          </w:p>
        </w:tc>
        <w:tc>
          <w:tcPr>
            <w:tcW w:w="1191" w:type="dxa"/>
            <w:tcBorders>
              <w:top w:val="single" w:sz="4" w:space="0" w:color="365F91"/>
              <w:left w:val="nil"/>
              <w:bottom w:val="single" w:sz="4" w:space="0" w:color="365F91"/>
              <w:right w:val="nil"/>
            </w:tcBorders>
            <w:hideMark/>
          </w:tcPr>
          <w:p w14:paraId="21C1E345" w14:textId="77777777" w:rsidR="00FB19C0" w:rsidRPr="00BE78CA" w:rsidRDefault="00FB19C0" w:rsidP="00C26084">
            <w:pPr>
              <w:pStyle w:val="TableText"/>
              <w:keepNext/>
              <w:spacing w:before="50" w:after="50"/>
            </w:pPr>
            <w:r w:rsidRPr="00BE78CA">
              <w:t>IPCC default</w:t>
            </w:r>
          </w:p>
        </w:tc>
        <w:tc>
          <w:tcPr>
            <w:tcW w:w="2722" w:type="dxa"/>
            <w:tcBorders>
              <w:top w:val="single" w:sz="4" w:space="0" w:color="365F91"/>
              <w:left w:val="nil"/>
              <w:bottom w:val="single" w:sz="4" w:space="0" w:color="365F91"/>
              <w:right w:val="nil"/>
            </w:tcBorders>
            <w:hideMark/>
          </w:tcPr>
          <w:p w14:paraId="26388C1C" w14:textId="77777777" w:rsidR="00FB19C0" w:rsidRPr="00BE78CA" w:rsidRDefault="00FB19C0" w:rsidP="00C26084">
            <w:pPr>
              <w:pStyle w:val="TableText"/>
              <w:keepNext/>
              <w:spacing w:before="50" w:after="50"/>
            </w:pPr>
            <w:r w:rsidRPr="00BE78CA">
              <w:rPr>
                <w:rFonts w:cs="Arial"/>
                <w:szCs w:val="16"/>
              </w:rPr>
              <w:t>IPCC (2006a)</w:t>
            </w:r>
          </w:p>
        </w:tc>
      </w:tr>
      <w:tr w:rsidR="00FB19C0" w:rsidRPr="00BE78CA" w14:paraId="2C3D749A" w14:textId="77777777" w:rsidTr="000A1597">
        <w:tc>
          <w:tcPr>
            <w:tcW w:w="2552" w:type="dxa"/>
            <w:tcBorders>
              <w:top w:val="single" w:sz="4" w:space="0" w:color="365F91"/>
              <w:left w:val="nil"/>
              <w:bottom w:val="single" w:sz="4" w:space="0" w:color="365F91"/>
              <w:right w:val="nil"/>
            </w:tcBorders>
            <w:hideMark/>
          </w:tcPr>
          <w:p w14:paraId="2A533498" w14:textId="77777777" w:rsidR="00FB19C0" w:rsidRPr="00BE78CA" w:rsidRDefault="00FB19C0" w:rsidP="00C26084">
            <w:pPr>
              <w:pStyle w:val="TableText"/>
              <w:spacing w:before="50" w:after="50"/>
            </w:pPr>
            <w:r w:rsidRPr="00BE78CA">
              <w:t>Delay time</w:t>
            </w:r>
          </w:p>
        </w:tc>
        <w:tc>
          <w:tcPr>
            <w:tcW w:w="1814" w:type="dxa"/>
            <w:tcBorders>
              <w:top w:val="single" w:sz="4" w:space="0" w:color="365F91"/>
              <w:left w:val="nil"/>
              <w:bottom w:val="single" w:sz="4" w:space="0" w:color="365F91"/>
              <w:right w:val="nil"/>
            </w:tcBorders>
            <w:hideMark/>
          </w:tcPr>
          <w:p w14:paraId="551587E7" w14:textId="77777777" w:rsidR="00FB19C0" w:rsidRPr="00BE78CA" w:rsidRDefault="00FB19C0" w:rsidP="00C26084">
            <w:pPr>
              <w:pStyle w:val="TableText"/>
              <w:spacing w:before="50" w:after="50"/>
            </w:pPr>
            <w:r w:rsidRPr="00BE78CA">
              <w:t>6 months</w:t>
            </w:r>
          </w:p>
        </w:tc>
        <w:tc>
          <w:tcPr>
            <w:tcW w:w="1191" w:type="dxa"/>
            <w:tcBorders>
              <w:top w:val="single" w:sz="4" w:space="0" w:color="365F91"/>
              <w:left w:val="nil"/>
              <w:bottom w:val="single" w:sz="4" w:space="0" w:color="365F91"/>
              <w:right w:val="nil"/>
            </w:tcBorders>
            <w:hideMark/>
          </w:tcPr>
          <w:p w14:paraId="360B9D35" w14:textId="77777777" w:rsidR="00FB19C0" w:rsidRPr="00BE78CA" w:rsidRDefault="00FB19C0" w:rsidP="00C26084">
            <w:pPr>
              <w:pStyle w:val="TableText"/>
              <w:spacing w:before="50" w:after="50"/>
            </w:pPr>
            <w:r w:rsidRPr="00BE78CA">
              <w:t>IPCC default</w:t>
            </w:r>
          </w:p>
        </w:tc>
        <w:tc>
          <w:tcPr>
            <w:tcW w:w="2722" w:type="dxa"/>
            <w:tcBorders>
              <w:top w:val="single" w:sz="4" w:space="0" w:color="365F91"/>
              <w:left w:val="nil"/>
              <w:bottom w:val="single" w:sz="4" w:space="0" w:color="365F91"/>
              <w:right w:val="nil"/>
            </w:tcBorders>
            <w:hideMark/>
          </w:tcPr>
          <w:p w14:paraId="769AD07E" w14:textId="77777777" w:rsidR="00FB19C0" w:rsidRPr="00BE78CA" w:rsidRDefault="00FB19C0" w:rsidP="00C26084">
            <w:pPr>
              <w:pStyle w:val="TableText"/>
              <w:spacing w:before="50" w:after="50"/>
            </w:pPr>
            <w:r w:rsidRPr="00BE78CA">
              <w:rPr>
                <w:rFonts w:cs="Arial"/>
                <w:szCs w:val="16"/>
              </w:rPr>
              <w:t>IPCC (2006a)</w:t>
            </w:r>
          </w:p>
        </w:tc>
      </w:tr>
    </w:tbl>
    <w:p w14:paraId="4CAEF11D" w14:textId="77777777" w:rsidR="00FB19C0" w:rsidRPr="00BE78CA" w:rsidRDefault="00FB19C0" w:rsidP="00FB19C0">
      <w:pPr>
        <w:pStyle w:val="Noteundertable"/>
        <w:rPr>
          <w:b/>
        </w:rPr>
      </w:pPr>
      <w:r w:rsidRPr="00BE78CA">
        <w:rPr>
          <w:b/>
        </w:rPr>
        <w:t>Note:</w:t>
      </w:r>
      <w:r w:rsidRPr="00BE78CA">
        <w:rPr>
          <w:b/>
        </w:rPr>
        <w:tab/>
      </w:r>
      <w:r w:rsidRPr="00BE78CA">
        <w:t>DDOC = decomposable degradable organic carbon; DOC = degradable organic carbon; DOCf = DOC fraction; IPCC = Intergovernmental Panel on Climate Change.</w:t>
      </w:r>
    </w:p>
    <w:p w14:paraId="6E64D613" w14:textId="77777777" w:rsidR="00FB19C0" w:rsidRPr="00BE78CA" w:rsidRDefault="00FB19C0" w:rsidP="00FB19C0">
      <w:pPr>
        <w:pStyle w:val="Heading5"/>
      </w:pPr>
      <w:r w:rsidRPr="00BE78CA">
        <w:t>Non-municipal landfills and farm fills (5.A.2)</w:t>
      </w:r>
    </w:p>
    <w:p w14:paraId="2D75905D" w14:textId="77777777" w:rsidR="00FB19C0" w:rsidRPr="00BE78CA" w:rsidRDefault="00FB19C0" w:rsidP="00FB19C0">
      <w:pPr>
        <w:pStyle w:val="Heading6"/>
        <w:spacing w:before="120"/>
      </w:pPr>
      <w:r w:rsidRPr="00BE78CA">
        <w:t>Waste composition</w:t>
      </w:r>
    </w:p>
    <w:p w14:paraId="12300433" w14:textId="77777777" w:rsidR="00FB19C0" w:rsidRPr="00BE78CA" w:rsidRDefault="00FB19C0" w:rsidP="000A1597">
      <w:pPr>
        <w:pStyle w:val="BodyText"/>
        <w:spacing w:before="100" w:after="100"/>
      </w:pPr>
      <w:r w:rsidRPr="00BE78CA">
        <w:t>The main waste types disposed to non-municipal landfills are described in survey data as cleanfill, construction and demolition waste, green waste and wood. Most sites provided data on which types of waste are accepted, but only a few could quantify the amounts. To fill this data gap, an assumption is made that the quantities of each waste type produced in each region could be determined from the general proportion of waste types reported for each region (Tonkin and Taylor Ltd, unpublished(b)). Updated site data on waste composition from non-municipal landfills have been included from the 2016 year (MWH, 2017). These were mapped to the IPCC waste types (IPCC, 2006a) and the IPCC default DOC values were applied, except wood waste, for which a custom DDOC value was used. Wood waste contains a significant proportion of wood processing wastes, which studies show has a higher lignin content that breaks down more slowly and less completely (Eunomia, unpublished(a)) and therefore generates less methane.</w:t>
      </w:r>
    </w:p>
    <w:p w14:paraId="571DC5C8" w14:textId="77777777" w:rsidR="00FB19C0" w:rsidRPr="00BE78CA" w:rsidRDefault="00FB19C0" w:rsidP="000A1597">
      <w:pPr>
        <w:pStyle w:val="BodyText"/>
        <w:spacing w:before="100" w:after="100"/>
      </w:pPr>
      <w:r w:rsidRPr="00BE78CA">
        <w:t>For farm fills, based on information resulting from the non-natural rural wastes survey (GHD, 2013), the DOC for bulk municipal solid waste has been adopted for farm waste because it is expected to comprise a mixture of domestic refuse, inert wastes (scrap metal and glass) and wastes associated with the particular farming activity. This is similar to the kinds of waste in municipal solid waste; therefore, applying the DOC for bulk municipal solid waste is appropriate (Tonkin and Taylor Ltd, unpublished(b)).</w:t>
      </w:r>
    </w:p>
    <w:p w14:paraId="2C397EC5" w14:textId="77777777" w:rsidR="00FB19C0" w:rsidRPr="00BE78CA" w:rsidRDefault="00FB19C0" w:rsidP="00FB19C0">
      <w:pPr>
        <w:pStyle w:val="Heading6"/>
      </w:pPr>
      <w:r w:rsidRPr="00BE78CA">
        <w:t>Other parameters</w:t>
      </w:r>
    </w:p>
    <w:p w14:paraId="34C121BC" w14:textId="77777777" w:rsidR="00FB19C0" w:rsidRPr="00BE78CA" w:rsidRDefault="00FB19C0" w:rsidP="00FB19C0">
      <w:pPr>
        <w:pStyle w:val="BodyText"/>
      </w:pPr>
      <w:r w:rsidRPr="00BE78CA">
        <w:t>The majority of non-municipal landfills and farm fills are shallow, with less than 5 metres depth of waste. These are estimated to account for 90 per cent of the waste disposed with a CH</w:t>
      </w:r>
      <w:r w:rsidRPr="00BE78CA">
        <w:rPr>
          <w:vertAlign w:val="subscript"/>
        </w:rPr>
        <w:t>4</w:t>
      </w:r>
      <w:r w:rsidRPr="00BE78CA">
        <w:t xml:space="preserve"> correction factor value of 0.4. The other 10 per cent (approximately) goes to fills that are assumed to be: </w:t>
      </w:r>
    </w:p>
    <w:p w14:paraId="7037FECA" w14:textId="77777777" w:rsidR="00FB19C0" w:rsidRPr="00BE78CA" w:rsidRDefault="00FB19C0" w:rsidP="00FB19C0">
      <w:pPr>
        <w:pStyle w:val="Bullet"/>
        <w:numPr>
          <w:ilvl w:val="0"/>
          <w:numId w:val="25"/>
        </w:numPr>
      </w:pPr>
      <w:r w:rsidRPr="00BE78CA">
        <w:t>for non-municipal landfills, an unknown mix that would have an average CH</w:t>
      </w:r>
      <w:r w:rsidRPr="00BE78CA">
        <w:rPr>
          <w:vertAlign w:val="subscript"/>
        </w:rPr>
        <w:t>4</w:t>
      </w:r>
      <w:r w:rsidRPr="00BE78CA">
        <w:t xml:space="preserve"> correction factor value of 0.6; this gives an overall average for these sites of 0.42 </w:t>
      </w:r>
    </w:p>
    <w:p w14:paraId="2F366EE4" w14:textId="77777777" w:rsidR="00FB19C0" w:rsidRPr="00BE78CA" w:rsidRDefault="00FB19C0" w:rsidP="00FB19C0">
      <w:pPr>
        <w:pStyle w:val="Bullet"/>
        <w:numPr>
          <w:ilvl w:val="0"/>
          <w:numId w:val="25"/>
        </w:numPr>
      </w:pPr>
      <w:r w:rsidRPr="00BE78CA">
        <w:t>for farm fills, deeper pits with an average depth greater than 5 metres, so the CH</w:t>
      </w:r>
      <w:r w:rsidRPr="00BE78CA">
        <w:rPr>
          <w:vertAlign w:val="subscript"/>
        </w:rPr>
        <w:t>4</w:t>
      </w:r>
      <w:r w:rsidRPr="00BE78CA">
        <w:t xml:space="preserve"> correction factor value is 0.8 and the average for all farm fills is 0.44.</w:t>
      </w:r>
    </w:p>
    <w:p w14:paraId="5648DCB2" w14:textId="77777777" w:rsidR="00FB19C0" w:rsidRPr="00BE78CA" w:rsidRDefault="00FB19C0" w:rsidP="00FB19C0">
      <w:pPr>
        <w:pStyle w:val="BodyText"/>
      </w:pPr>
      <w:r w:rsidRPr="00BE78CA">
        <w:t xml:space="preserve">Default k-values for a wet temperate climate are used. No oxidation is assumed to occur in the cover for these unmanaged sites. </w:t>
      </w:r>
    </w:p>
    <w:p w14:paraId="44477786" w14:textId="77777777" w:rsidR="00FB19C0" w:rsidRPr="00BE78CA" w:rsidRDefault="00FB19C0" w:rsidP="00FB19C0">
      <w:pPr>
        <w:pStyle w:val="Heading6"/>
      </w:pPr>
      <w:r w:rsidRPr="00BE78CA">
        <w:lastRenderedPageBreak/>
        <w:t>Summary of parameters used</w:t>
      </w:r>
    </w:p>
    <w:p w14:paraId="04C127E0" w14:textId="77777777" w:rsidR="00FB19C0" w:rsidRPr="00BE78CA" w:rsidRDefault="00FB19C0" w:rsidP="00E4139F">
      <w:pPr>
        <w:pStyle w:val="BodyText"/>
        <w:spacing w:before="100" w:after="100"/>
      </w:pPr>
      <w:r w:rsidRPr="00BE78CA">
        <w:t>Table 7.2.8 gives a summary of the parameter values that have been applied for estimating CH</w:t>
      </w:r>
      <w:r w:rsidRPr="00BE78CA">
        <w:rPr>
          <w:vertAlign w:val="subscript"/>
        </w:rPr>
        <w:t>4</w:t>
      </w:r>
      <w:r w:rsidRPr="00BE78CA">
        <w:t xml:space="preserve"> emissions for solid waste disposed to non-municipal landfills and farm fills. </w:t>
      </w:r>
    </w:p>
    <w:p w14:paraId="012367D6" w14:textId="77777777" w:rsidR="00FB19C0" w:rsidRPr="00BE78CA" w:rsidRDefault="00FB19C0" w:rsidP="00FB19C0">
      <w:pPr>
        <w:pStyle w:val="Table"/>
      </w:pPr>
      <w:bookmarkStart w:id="2919" w:name="_Toc32828526"/>
      <w:bookmarkStart w:id="2920" w:name="_Toc32591356"/>
      <w:bookmarkStart w:id="2921" w:name="_Toc5269568"/>
      <w:bookmarkStart w:id="2922" w:name="_Toc511116827"/>
      <w:bookmarkStart w:id="2923" w:name="_Toc508019329"/>
      <w:bookmarkStart w:id="2924" w:name="_Toc481751604"/>
      <w:bookmarkStart w:id="2925" w:name="_Toc451176174"/>
      <w:bookmarkStart w:id="2926" w:name="_Toc444001622"/>
      <w:bookmarkStart w:id="2927" w:name="_Toc36224649"/>
      <w:bookmarkStart w:id="2928" w:name="_Toc68786535"/>
      <w:r w:rsidRPr="00BE78CA">
        <w:t>Table 7.2.8</w:t>
      </w:r>
      <w:r w:rsidRPr="00BE78CA">
        <w:tab/>
        <w:t>Summary of parameters for non-municipal landfills and farm fills</w:t>
      </w:r>
      <w:bookmarkEnd w:id="2919"/>
      <w:bookmarkEnd w:id="2920"/>
      <w:bookmarkEnd w:id="2921"/>
      <w:bookmarkEnd w:id="2922"/>
      <w:bookmarkEnd w:id="2923"/>
      <w:bookmarkEnd w:id="2924"/>
      <w:bookmarkEnd w:id="2925"/>
      <w:bookmarkEnd w:id="2926"/>
      <w:bookmarkEnd w:id="2927"/>
      <w:bookmarkEnd w:id="2928"/>
    </w:p>
    <w:tbl>
      <w:tblPr>
        <w:tblW w:w="8505" w:type="dxa"/>
        <w:tblLook w:val="04A0" w:firstRow="1" w:lastRow="0" w:firstColumn="1" w:lastColumn="0" w:noHBand="0" w:noVBand="1"/>
      </w:tblPr>
      <w:tblGrid>
        <w:gridCol w:w="2694"/>
        <w:gridCol w:w="1134"/>
        <w:gridCol w:w="1417"/>
        <w:gridCol w:w="3260"/>
      </w:tblGrid>
      <w:tr w:rsidR="00FB19C0" w:rsidRPr="00BE78CA" w14:paraId="76D2031B" w14:textId="77777777" w:rsidTr="000A1597">
        <w:trPr>
          <w:tblHeader/>
        </w:trPr>
        <w:tc>
          <w:tcPr>
            <w:tcW w:w="2694" w:type="dxa"/>
            <w:tcBorders>
              <w:top w:val="single" w:sz="4" w:space="0" w:color="365F91"/>
              <w:left w:val="nil"/>
              <w:bottom w:val="single" w:sz="4" w:space="0" w:color="365F91"/>
              <w:right w:val="nil"/>
            </w:tcBorders>
            <w:shd w:val="clear" w:color="auto" w:fill="365F91"/>
            <w:hideMark/>
          </w:tcPr>
          <w:p w14:paraId="46533DB4" w14:textId="77777777" w:rsidR="00FB19C0" w:rsidRPr="00BE78CA" w:rsidRDefault="00FB19C0" w:rsidP="00C26084">
            <w:pPr>
              <w:pStyle w:val="TableTextBold"/>
              <w:spacing w:before="50" w:after="50"/>
              <w:rPr>
                <w:noProof w:val="0"/>
                <w:color w:val="FFFFFF"/>
              </w:rPr>
            </w:pPr>
            <w:r w:rsidRPr="00BE78CA">
              <w:rPr>
                <w:noProof w:val="0"/>
                <w:color w:val="FFFFFF"/>
              </w:rPr>
              <w:t xml:space="preserve">Parameter </w:t>
            </w:r>
          </w:p>
        </w:tc>
        <w:tc>
          <w:tcPr>
            <w:tcW w:w="1134" w:type="dxa"/>
            <w:tcBorders>
              <w:top w:val="single" w:sz="4" w:space="0" w:color="365F91"/>
              <w:left w:val="nil"/>
              <w:bottom w:val="single" w:sz="4" w:space="0" w:color="365F91"/>
              <w:right w:val="nil"/>
            </w:tcBorders>
            <w:shd w:val="clear" w:color="auto" w:fill="365F91"/>
            <w:hideMark/>
          </w:tcPr>
          <w:p w14:paraId="02730EBE" w14:textId="77777777" w:rsidR="00FB19C0" w:rsidRPr="00BE78CA" w:rsidRDefault="00FB19C0" w:rsidP="00C26084">
            <w:pPr>
              <w:pStyle w:val="TableTextBold"/>
              <w:spacing w:before="50" w:after="50"/>
              <w:rPr>
                <w:noProof w:val="0"/>
                <w:color w:val="FFFFFF"/>
              </w:rPr>
            </w:pPr>
            <w:r w:rsidRPr="00BE78CA">
              <w:rPr>
                <w:noProof w:val="0"/>
                <w:color w:val="FFFFFF"/>
              </w:rPr>
              <w:t xml:space="preserve">Values </w:t>
            </w:r>
          </w:p>
        </w:tc>
        <w:tc>
          <w:tcPr>
            <w:tcW w:w="1417" w:type="dxa"/>
            <w:tcBorders>
              <w:top w:val="single" w:sz="4" w:space="0" w:color="365F91"/>
              <w:left w:val="nil"/>
              <w:bottom w:val="single" w:sz="4" w:space="0" w:color="365F91"/>
              <w:right w:val="nil"/>
            </w:tcBorders>
            <w:shd w:val="clear" w:color="auto" w:fill="365F91"/>
            <w:hideMark/>
          </w:tcPr>
          <w:p w14:paraId="130940A1" w14:textId="77777777" w:rsidR="00FB19C0" w:rsidRPr="00BE78CA" w:rsidRDefault="00FB19C0" w:rsidP="00C26084">
            <w:pPr>
              <w:pStyle w:val="TableTextBold"/>
              <w:spacing w:before="50" w:after="50"/>
              <w:rPr>
                <w:noProof w:val="0"/>
                <w:color w:val="FFFFFF"/>
              </w:rPr>
            </w:pPr>
            <w:r w:rsidRPr="00BE78CA">
              <w:rPr>
                <w:noProof w:val="0"/>
                <w:color w:val="FFFFFF"/>
              </w:rPr>
              <w:t>Source</w:t>
            </w:r>
          </w:p>
        </w:tc>
        <w:tc>
          <w:tcPr>
            <w:tcW w:w="3260" w:type="dxa"/>
            <w:tcBorders>
              <w:top w:val="single" w:sz="4" w:space="0" w:color="365F91"/>
              <w:left w:val="nil"/>
              <w:bottom w:val="single" w:sz="4" w:space="0" w:color="365F91"/>
              <w:right w:val="nil"/>
            </w:tcBorders>
            <w:shd w:val="clear" w:color="auto" w:fill="365F91"/>
            <w:hideMark/>
          </w:tcPr>
          <w:p w14:paraId="65011D68" w14:textId="77777777" w:rsidR="00FB19C0" w:rsidRPr="00BE78CA" w:rsidRDefault="00FB19C0" w:rsidP="00C26084">
            <w:pPr>
              <w:pStyle w:val="TableTextBold"/>
              <w:spacing w:before="50" w:after="50"/>
              <w:rPr>
                <w:noProof w:val="0"/>
                <w:color w:val="FFFFFF"/>
              </w:rPr>
            </w:pPr>
            <w:r w:rsidRPr="00BE78CA">
              <w:rPr>
                <w:noProof w:val="0"/>
                <w:color w:val="FFFFFF"/>
              </w:rPr>
              <w:t>Reference</w:t>
            </w:r>
          </w:p>
        </w:tc>
      </w:tr>
      <w:tr w:rsidR="00FB19C0" w:rsidRPr="00BE78CA" w14:paraId="0D610D8F" w14:textId="77777777" w:rsidTr="000A1597">
        <w:tc>
          <w:tcPr>
            <w:tcW w:w="8505" w:type="dxa"/>
            <w:gridSpan w:val="4"/>
            <w:tcBorders>
              <w:top w:val="single" w:sz="4" w:space="0" w:color="365F91"/>
              <w:left w:val="nil"/>
              <w:bottom w:val="single" w:sz="4" w:space="0" w:color="365F91"/>
              <w:right w:val="nil"/>
            </w:tcBorders>
            <w:hideMark/>
          </w:tcPr>
          <w:p w14:paraId="71CE2B53" w14:textId="77777777" w:rsidR="00FB19C0" w:rsidRPr="00BE78CA" w:rsidRDefault="00FB19C0" w:rsidP="00C26084">
            <w:pPr>
              <w:pStyle w:val="TableTextBold"/>
              <w:spacing w:before="50" w:after="50"/>
              <w:rPr>
                <w:noProof w:val="0"/>
              </w:rPr>
            </w:pPr>
            <w:r w:rsidRPr="00BE78CA">
              <w:rPr>
                <w:noProof w:val="0"/>
              </w:rPr>
              <w:t>Non-municipal landfills</w:t>
            </w:r>
          </w:p>
        </w:tc>
      </w:tr>
      <w:tr w:rsidR="00FB19C0" w:rsidRPr="00BE78CA" w14:paraId="4F6291DD" w14:textId="77777777" w:rsidTr="000A1597">
        <w:tc>
          <w:tcPr>
            <w:tcW w:w="2694" w:type="dxa"/>
            <w:tcBorders>
              <w:top w:val="single" w:sz="4" w:space="0" w:color="365F91"/>
              <w:left w:val="nil"/>
              <w:bottom w:val="single" w:sz="4" w:space="0" w:color="365F91"/>
              <w:right w:val="nil"/>
            </w:tcBorders>
            <w:hideMark/>
          </w:tcPr>
          <w:p w14:paraId="5F51EAE8" w14:textId="77777777" w:rsidR="00FB19C0" w:rsidRPr="00BE78CA" w:rsidRDefault="00FB19C0" w:rsidP="00C26084">
            <w:pPr>
              <w:pStyle w:val="TableText"/>
              <w:spacing w:before="50" w:after="50"/>
            </w:pPr>
            <w:r w:rsidRPr="00BE78CA">
              <w:t>k-value</w:t>
            </w:r>
          </w:p>
        </w:tc>
        <w:tc>
          <w:tcPr>
            <w:tcW w:w="1134" w:type="dxa"/>
            <w:tcBorders>
              <w:top w:val="single" w:sz="4" w:space="0" w:color="365F91"/>
              <w:left w:val="nil"/>
              <w:bottom w:val="single" w:sz="4" w:space="0" w:color="365F91"/>
              <w:right w:val="nil"/>
            </w:tcBorders>
            <w:hideMark/>
          </w:tcPr>
          <w:p w14:paraId="64ADBCD1" w14:textId="77777777" w:rsidR="00FB19C0" w:rsidRPr="00BE78CA" w:rsidRDefault="00FB19C0" w:rsidP="00C26084">
            <w:pPr>
              <w:pStyle w:val="TableText"/>
              <w:spacing w:before="50" w:after="50"/>
            </w:pPr>
            <w:r w:rsidRPr="00BE78CA">
              <w:t>0.030–0.185</w:t>
            </w:r>
          </w:p>
        </w:tc>
        <w:tc>
          <w:tcPr>
            <w:tcW w:w="1417" w:type="dxa"/>
            <w:tcBorders>
              <w:top w:val="single" w:sz="4" w:space="0" w:color="365F91"/>
              <w:left w:val="nil"/>
              <w:bottom w:val="single" w:sz="4" w:space="0" w:color="365F91"/>
              <w:right w:val="nil"/>
            </w:tcBorders>
            <w:hideMark/>
          </w:tcPr>
          <w:p w14:paraId="78318566" w14:textId="77777777" w:rsidR="00FB19C0" w:rsidRPr="00BE78CA" w:rsidRDefault="00FB19C0" w:rsidP="00C26084">
            <w:pPr>
              <w:pStyle w:val="TableText"/>
              <w:spacing w:before="50" w:after="50"/>
              <w:rPr>
                <w:rFonts w:cs="Arial"/>
                <w:szCs w:val="16"/>
              </w:rPr>
            </w:pPr>
            <w:r w:rsidRPr="00BE78CA">
              <w:rPr>
                <w:rFonts w:cs="Arial"/>
                <w:szCs w:val="16"/>
              </w:rPr>
              <w:t xml:space="preserve">IPCC default </w:t>
            </w:r>
          </w:p>
        </w:tc>
        <w:tc>
          <w:tcPr>
            <w:tcW w:w="3260" w:type="dxa"/>
            <w:tcBorders>
              <w:top w:val="single" w:sz="4" w:space="0" w:color="365F91"/>
              <w:left w:val="nil"/>
              <w:bottom w:val="single" w:sz="4" w:space="0" w:color="365F91"/>
              <w:right w:val="nil"/>
            </w:tcBorders>
            <w:hideMark/>
          </w:tcPr>
          <w:p w14:paraId="1ED79457" w14:textId="77777777" w:rsidR="00FB19C0" w:rsidRPr="00BE78CA" w:rsidRDefault="00FB19C0" w:rsidP="00C26084">
            <w:pPr>
              <w:pStyle w:val="TableText"/>
              <w:spacing w:before="50" w:after="50"/>
              <w:rPr>
                <w:rFonts w:cs="Arial"/>
                <w:szCs w:val="16"/>
              </w:rPr>
            </w:pPr>
            <w:r w:rsidRPr="00BE78CA">
              <w:rPr>
                <w:rFonts w:cs="Arial"/>
                <w:szCs w:val="16"/>
              </w:rPr>
              <w:t>IPCC (2006a)</w:t>
            </w:r>
          </w:p>
        </w:tc>
      </w:tr>
      <w:tr w:rsidR="00FB19C0" w:rsidRPr="00BE78CA" w14:paraId="1D196C7E" w14:textId="77777777" w:rsidTr="000A1597">
        <w:tc>
          <w:tcPr>
            <w:tcW w:w="2694" w:type="dxa"/>
            <w:tcBorders>
              <w:top w:val="single" w:sz="4" w:space="0" w:color="365F91"/>
              <w:left w:val="nil"/>
              <w:bottom w:val="single" w:sz="4" w:space="0" w:color="365F91"/>
              <w:right w:val="nil"/>
            </w:tcBorders>
            <w:hideMark/>
          </w:tcPr>
          <w:p w14:paraId="1382B756" w14:textId="77777777" w:rsidR="00FB19C0" w:rsidRPr="00BE78CA" w:rsidRDefault="00FB19C0" w:rsidP="00C26084">
            <w:pPr>
              <w:pStyle w:val="TableText"/>
              <w:spacing w:before="50" w:after="50"/>
            </w:pPr>
            <w:r w:rsidRPr="00BE78CA">
              <w:t>Methane correction factor</w:t>
            </w:r>
          </w:p>
        </w:tc>
        <w:tc>
          <w:tcPr>
            <w:tcW w:w="1134" w:type="dxa"/>
            <w:tcBorders>
              <w:top w:val="single" w:sz="4" w:space="0" w:color="365F91"/>
              <w:left w:val="nil"/>
              <w:bottom w:val="single" w:sz="4" w:space="0" w:color="365F91"/>
              <w:right w:val="nil"/>
            </w:tcBorders>
            <w:hideMark/>
          </w:tcPr>
          <w:p w14:paraId="18C00EE0" w14:textId="77777777" w:rsidR="00FB19C0" w:rsidRPr="00BE78CA" w:rsidRDefault="00FB19C0" w:rsidP="00C26084">
            <w:pPr>
              <w:pStyle w:val="TableText"/>
              <w:spacing w:before="50" w:after="50"/>
            </w:pPr>
            <w:r w:rsidRPr="00BE78CA">
              <w:t>0.42</w:t>
            </w:r>
          </w:p>
        </w:tc>
        <w:tc>
          <w:tcPr>
            <w:tcW w:w="1417" w:type="dxa"/>
            <w:tcBorders>
              <w:top w:val="single" w:sz="4" w:space="0" w:color="365F91"/>
              <w:left w:val="nil"/>
              <w:bottom w:val="single" w:sz="4" w:space="0" w:color="365F91"/>
              <w:right w:val="nil"/>
            </w:tcBorders>
            <w:hideMark/>
          </w:tcPr>
          <w:p w14:paraId="1B07566F" w14:textId="77777777" w:rsidR="00FB19C0" w:rsidRPr="00BE78CA" w:rsidRDefault="00FB19C0" w:rsidP="00C26084">
            <w:pPr>
              <w:pStyle w:val="TableText"/>
              <w:spacing w:before="50" w:after="50"/>
              <w:rPr>
                <w:rFonts w:cs="Arial"/>
                <w:szCs w:val="16"/>
              </w:rPr>
            </w:pPr>
            <w:r w:rsidRPr="00BE78CA">
              <w:rPr>
                <w:rFonts w:cs="Arial"/>
                <w:szCs w:val="16"/>
              </w:rPr>
              <w:t>Country specific</w:t>
            </w:r>
          </w:p>
        </w:tc>
        <w:tc>
          <w:tcPr>
            <w:tcW w:w="3260" w:type="dxa"/>
            <w:tcBorders>
              <w:top w:val="single" w:sz="4" w:space="0" w:color="365F91"/>
              <w:left w:val="nil"/>
              <w:bottom w:val="single" w:sz="4" w:space="0" w:color="365F91"/>
              <w:right w:val="nil"/>
            </w:tcBorders>
            <w:hideMark/>
          </w:tcPr>
          <w:p w14:paraId="038B9680" w14:textId="77777777" w:rsidR="00FB19C0" w:rsidRPr="00BE78CA" w:rsidRDefault="00FB19C0" w:rsidP="00C26084">
            <w:pPr>
              <w:pStyle w:val="TableText"/>
              <w:spacing w:before="50" w:after="50"/>
              <w:rPr>
                <w:rFonts w:cs="Arial"/>
                <w:szCs w:val="16"/>
              </w:rPr>
            </w:pPr>
            <w:r w:rsidRPr="00BE78CA">
              <w:rPr>
                <w:rFonts w:cs="Arial"/>
                <w:szCs w:val="16"/>
              </w:rPr>
              <w:t>Tonkin and Taylor Ltd (unpublished(b))</w:t>
            </w:r>
          </w:p>
        </w:tc>
      </w:tr>
      <w:tr w:rsidR="00FB19C0" w:rsidRPr="00BE78CA" w14:paraId="60F70CD3" w14:textId="77777777" w:rsidTr="000A1597">
        <w:tc>
          <w:tcPr>
            <w:tcW w:w="2694" w:type="dxa"/>
            <w:tcBorders>
              <w:top w:val="single" w:sz="4" w:space="0" w:color="365F91"/>
              <w:left w:val="nil"/>
              <w:bottom w:val="single" w:sz="4" w:space="0" w:color="365F91"/>
              <w:right w:val="nil"/>
            </w:tcBorders>
            <w:hideMark/>
          </w:tcPr>
          <w:p w14:paraId="7363D5E4" w14:textId="77777777" w:rsidR="00FB19C0" w:rsidRPr="00BE78CA" w:rsidRDefault="00FB19C0" w:rsidP="00C26084">
            <w:pPr>
              <w:pStyle w:val="TableText"/>
              <w:spacing w:before="50" w:after="50"/>
            </w:pPr>
            <w:r w:rsidRPr="00BE78CA">
              <w:t>DOC (kt C/kt waste)</w:t>
            </w:r>
          </w:p>
        </w:tc>
        <w:tc>
          <w:tcPr>
            <w:tcW w:w="1134" w:type="dxa"/>
            <w:tcBorders>
              <w:top w:val="single" w:sz="4" w:space="0" w:color="365F91"/>
              <w:left w:val="nil"/>
              <w:bottom w:val="single" w:sz="4" w:space="0" w:color="365F91"/>
              <w:right w:val="nil"/>
            </w:tcBorders>
            <w:hideMark/>
          </w:tcPr>
          <w:p w14:paraId="58118DE7" w14:textId="77777777" w:rsidR="00FB19C0" w:rsidRPr="00BE78CA" w:rsidRDefault="00FB19C0" w:rsidP="00C26084">
            <w:pPr>
              <w:pStyle w:val="TableText"/>
              <w:spacing w:before="50" w:after="50"/>
            </w:pPr>
            <w:r w:rsidRPr="00BE78CA">
              <w:t>0.040–0.34</w:t>
            </w:r>
          </w:p>
        </w:tc>
        <w:tc>
          <w:tcPr>
            <w:tcW w:w="1417" w:type="dxa"/>
            <w:tcBorders>
              <w:top w:val="single" w:sz="4" w:space="0" w:color="365F91"/>
              <w:left w:val="nil"/>
              <w:bottom w:val="single" w:sz="4" w:space="0" w:color="365F91"/>
              <w:right w:val="nil"/>
            </w:tcBorders>
            <w:hideMark/>
          </w:tcPr>
          <w:p w14:paraId="347DBD59" w14:textId="77777777" w:rsidR="00FB19C0" w:rsidRPr="00BE78CA" w:rsidRDefault="00FB19C0" w:rsidP="00C26084">
            <w:pPr>
              <w:pStyle w:val="TableText"/>
              <w:spacing w:before="50" w:after="50"/>
              <w:rPr>
                <w:rFonts w:cs="Arial"/>
                <w:szCs w:val="16"/>
              </w:rPr>
            </w:pPr>
            <w:r w:rsidRPr="00BE78CA">
              <w:t>Country specific</w:t>
            </w:r>
          </w:p>
        </w:tc>
        <w:tc>
          <w:tcPr>
            <w:tcW w:w="3260" w:type="dxa"/>
            <w:tcBorders>
              <w:top w:val="single" w:sz="4" w:space="0" w:color="365F91"/>
              <w:left w:val="nil"/>
              <w:bottom w:val="single" w:sz="4" w:space="0" w:color="365F91"/>
              <w:right w:val="nil"/>
            </w:tcBorders>
            <w:hideMark/>
          </w:tcPr>
          <w:p w14:paraId="56D5BE6C" w14:textId="77777777" w:rsidR="00FB19C0" w:rsidRPr="00BE78CA" w:rsidRDefault="00FB19C0" w:rsidP="00C26084">
            <w:pPr>
              <w:pStyle w:val="TableText"/>
              <w:spacing w:before="50" w:after="50"/>
              <w:rPr>
                <w:rFonts w:cs="Arial"/>
                <w:szCs w:val="16"/>
              </w:rPr>
            </w:pPr>
            <w:r w:rsidRPr="00BE78CA">
              <w:t>Waste Not Consulting (unpublished(b)), Eunomia (unpublished(a))</w:t>
            </w:r>
          </w:p>
        </w:tc>
      </w:tr>
      <w:tr w:rsidR="00FB19C0" w:rsidRPr="00BE78CA" w14:paraId="0FDD0113" w14:textId="77777777" w:rsidTr="000A1597">
        <w:tc>
          <w:tcPr>
            <w:tcW w:w="8505" w:type="dxa"/>
            <w:gridSpan w:val="4"/>
            <w:tcBorders>
              <w:top w:val="single" w:sz="4" w:space="0" w:color="365F91"/>
              <w:left w:val="nil"/>
              <w:bottom w:val="single" w:sz="4" w:space="0" w:color="365F91"/>
              <w:right w:val="nil"/>
            </w:tcBorders>
            <w:hideMark/>
          </w:tcPr>
          <w:p w14:paraId="00B3E175" w14:textId="77777777" w:rsidR="00FB19C0" w:rsidRPr="00BE78CA" w:rsidRDefault="00FB19C0" w:rsidP="00C26084">
            <w:pPr>
              <w:pStyle w:val="TableTextBold"/>
              <w:spacing w:before="50" w:after="50"/>
              <w:rPr>
                <w:noProof w:val="0"/>
              </w:rPr>
            </w:pPr>
            <w:r w:rsidRPr="00BE78CA">
              <w:rPr>
                <w:noProof w:val="0"/>
              </w:rPr>
              <w:t>Farm fills</w:t>
            </w:r>
          </w:p>
        </w:tc>
      </w:tr>
      <w:tr w:rsidR="00FB19C0" w:rsidRPr="00BE78CA" w14:paraId="0EC71A66" w14:textId="77777777" w:rsidTr="000A1597">
        <w:tc>
          <w:tcPr>
            <w:tcW w:w="2694" w:type="dxa"/>
            <w:tcBorders>
              <w:top w:val="single" w:sz="4" w:space="0" w:color="365F91"/>
              <w:left w:val="nil"/>
              <w:bottom w:val="single" w:sz="4" w:space="0" w:color="365F91"/>
              <w:right w:val="nil"/>
            </w:tcBorders>
            <w:hideMark/>
          </w:tcPr>
          <w:p w14:paraId="2C7EF8E4" w14:textId="77777777" w:rsidR="00FB19C0" w:rsidRPr="00BE78CA" w:rsidRDefault="00FB19C0" w:rsidP="00C26084">
            <w:pPr>
              <w:pStyle w:val="TableText"/>
              <w:spacing w:before="50" w:after="50"/>
            </w:pPr>
            <w:r w:rsidRPr="00BE78CA">
              <w:t>k-value</w:t>
            </w:r>
          </w:p>
        </w:tc>
        <w:tc>
          <w:tcPr>
            <w:tcW w:w="1134" w:type="dxa"/>
            <w:tcBorders>
              <w:top w:val="single" w:sz="4" w:space="0" w:color="365F91"/>
              <w:left w:val="nil"/>
              <w:bottom w:val="single" w:sz="4" w:space="0" w:color="365F91"/>
              <w:right w:val="nil"/>
            </w:tcBorders>
            <w:hideMark/>
          </w:tcPr>
          <w:p w14:paraId="1E1F10A5" w14:textId="77777777" w:rsidR="00FB19C0" w:rsidRPr="00BE78CA" w:rsidRDefault="00FB19C0" w:rsidP="00C26084">
            <w:pPr>
              <w:pStyle w:val="TableText"/>
              <w:spacing w:before="50" w:after="50"/>
            </w:pPr>
            <w:r w:rsidRPr="00BE78CA">
              <w:t>0.09</w:t>
            </w:r>
          </w:p>
        </w:tc>
        <w:tc>
          <w:tcPr>
            <w:tcW w:w="1417" w:type="dxa"/>
            <w:tcBorders>
              <w:top w:val="single" w:sz="4" w:space="0" w:color="365F91"/>
              <w:left w:val="nil"/>
              <w:bottom w:val="single" w:sz="4" w:space="0" w:color="365F91"/>
              <w:right w:val="nil"/>
            </w:tcBorders>
            <w:hideMark/>
          </w:tcPr>
          <w:p w14:paraId="28CE428D" w14:textId="77777777" w:rsidR="00FB19C0" w:rsidRPr="00BE78CA" w:rsidRDefault="00FB19C0" w:rsidP="00C26084">
            <w:pPr>
              <w:pStyle w:val="TableText"/>
              <w:spacing w:before="50" w:after="50"/>
            </w:pPr>
            <w:r w:rsidRPr="00BE78CA">
              <w:t>IPCC default</w:t>
            </w:r>
          </w:p>
        </w:tc>
        <w:tc>
          <w:tcPr>
            <w:tcW w:w="3260" w:type="dxa"/>
            <w:tcBorders>
              <w:top w:val="single" w:sz="4" w:space="0" w:color="365F91"/>
              <w:left w:val="nil"/>
              <w:bottom w:val="single" w:sz="4" w:space="0" w:color="365F91"/>
              <w:right w:val="nil"/>
            </w:tcBorders>
            <w:hideMark/>
          </w:tcPr>
          <w:p w14:paraId="0BDBEAB0" w14:textId="77777777" w:rsidR="00FB19C0" w:rsidRPr="00BE78CA" w:rsidRDefault="00FB19C0" w:rsidP="00C26084">
            <w:pPr>
              <w:pStyle w:val="TableText"/>
              <w:spacing w:before="50" w:after="50"/>
            </w:pPr>
            <w:r w:rsidRPr="00BE78CA">
              <w:rPr>
                <w:rFonts w:cs="Arial"/>
                <w:szCs w:val="16"/>
              </w:rPr>
              <w:t>IPCC (2006a)</w:t>
            </w:r>
          </w:p>
        </w:tc>
      </w:tr>
      <w:tr w:rsidR="00FB19C0" w:rsidRPr="00BE78CA" w14:paraId="06010162" w14:textId="77777777" w:rsidTr="000A1597">
        <w:tc>
          <w:tcPr>
            <w:tcW w:w="2694" w:type="dxa"/>
            <w:tcBorders>
              <w:top w:val="single" w:sz="4" w:space="0" w:color="365F91"/>
              <w:left w:val="nil"/>
              <w:bottom w:val="single" w:sz="4" w:space="0" w:color="365F91"/>
              <w:right w:val="nil"/>
            </w:tcBorders>
            <w:hideMark/>
          </w:tcPr>
          <w:p w14:paraId="074C7C95" w14:textId="77777777" w:rsidR="00FB19C0" w:rsidRPr="00BE78CA" w:rsidRDefault="00FB19C0" w:rsidP="00C26084">
            <w:pPr>
              <w:pStyle w:val="TableText"/>
              <w:spacing w:before="50" w:after="50"/>
            </w:pPr>
            <w:r w:rsidRPr="00BE78CA">
              <w:t>Methane correction factor</w:t>
            </w:r>
          </w:p>
        </w:tc>
        <w:tc>
          <w:tcPr>
            <w:tcW w:w="1134" w:type="dxa"/>
            <w:tcBorders>
              <w:top w:val="single" w:sz="4" w:space="0" w:color="365F91"/>
              <w:left w:val="nil"/>
              <w:bottom w:val="single" w:sz="4" w:space="0" w:color="365F91"/>
              <w:right w:val="nil"/>
            </w:tcBorders>
            <w:hideMark/>
          </w:tcPr>
          <w:p w14:paraId="1C5420D5" w14:textId="77777777" w:rsidR="00FB19C0" w:rsidRPr="00BE78CA" w:rsidRDefault="00FB19C0" w:rsidP="00C26084">
            <w:pPr>
              <w:pStyle w:val="TableText"/>
              <w:spacing w:before="50" w:after="50"/>
            </w:pPr>
            <w:r w:rsidRPr="00BE78CA">
              <w:t>0.44</w:t>
            </w:r>
          </w:p>
        </w:tc>
        <w:tc>
          <w:tcPr>
            <w:tcW w:w="1417" w:type="dxa"/>
            <w:tcBorders>
              <w:top w:val="single" w:sz="4" w:space="0" w:color="365F91"/>
              <w:left w:val="nil"/>
              <w:bottom w:val="single" w:sz="4" w:space="0" w:color="365F91"/>
              <w:right w:val="nil"/>
            </w:tcBorders>
            <w:hideMark/>
          </w:tcPr>
          <w:p w14:paraId="627C4C27" w14:textId="77777777" w:rsidR="00FB19C0" w:rsidRPr="00BE78CA" w:rsidRDefault="00FB19C0" w:rsidP="00C26084">
            <w:pPr>
              <w:pStyle w:val="TableText"/>
              <w:spacing w:before="50" w:after="50"/>
            </w:pPr>
            <w:r w:rsidRPr="00BE78CA">
              <w:t>Country specific</w:t>
            </w:r>
          </w:p>
        </w:tc>
        <w:tc>
          <w:tcPr>
            <w:tcW w:w="3260" w:type="dxa"/>
            <w:tcBorders>
              <w:top w:val="single" w:sz="4" w:space="0" w:color="365F91"/>
              <w:left w:val="nil"/>
              <w:bottom w:val="single" w:sz="4" w:space="0" w:color="365F91"/>
              <w:right w:val="nil"/>
            </w:tcBorders>
            <w:hideMark/>
          </w:tcPr>
          <w:p w14:paraId="55826246" w14:textId="77777777" w:rsidR="00FB19C0" w:rsidRPr="00BE78CA" w:rsidRDefault="00FB19C0" w:rsidP="00C26084">
            <w:pPr>
              <w:pStyle w:val="TableText"/>
              <w:spacing w:before="50" w:after="50"/>
            </w:pPr>
            <w:r w:rsidRPr="00BE78CA">
              <w:rPr>
                <w:rFonts w:cs="Arial"/>
                <w:szCs w:val="16"/>
              </w:rPr>
              <w:t>Tonkin and Taylor Ltd (unpublished(b))</w:t>
            </w:r>
          </w:p>
        </w:tc>
      </w:tr>
      <w:tr w:rsidR="00FB19C0" w:rsidRPr="00BE78CA" w14:paraId="6D322EC4" w14:textId="77777777" w:rsidTr="000A1597">
        <w:tc>
          <w:tcPr>
            <w:tcW w:w="2694" w:type="dxa"/>
            <w:tcBorders>
              <w:top w:val="single" w:sz="4" w:space="0" w:color="365F91"/>
              <w:left w:val="nil"/>
              <w:bottom w:val="single" w:sz="4" w:space="0" w:color="365F91"/>
              <w:right w:val="nil"/>
            </w:tcBorders>
            <w:hideMark/>
          </w:tcPr>
          <w:p w14:paraId="6F9EB9EE" w14:textId="77777777" w:rsidR="00FB19C0" w:rsidRPr="00BE78CA" w:rsidRDefault="00FB19C0" w:rsidP="00C26084">
            <w:pPr>
              <w:pStyle w:val="TableText"/>
              <w:spacing w:before="50" w:after="50"/>
            </w:pPr>
            <w:r w:rsidRPr="00BE78CA">
              <w:t>DOC (kt C/kt waste)</w:t>
            </w:r>
          </w:p>
        </w:tc>
        <w:tc>
          <w:tcPr>
            <w:tcW w:w="1134" w:type="dxa"/>
            <w:tcBorders>
              <w:top w:val="single" w:sz="4" w:space="0" w:color="365F91"/>
              <w:left w:val="nil"/>
              <w:bottom w:val="single" w:sz="4" w:space="0" w:color="365F91"/>
              <w:right w:val="nil"/>
            </w:tcBorders>
            <w:hideMark/>
          </w:tcPr>
          <w:p w14:paraId="374FDB8B" w14:textId="77777777" w:rsidR="00FB19C0" w:rsidRPr="00BE78CA" w:rsidRDefault="00FB19C0" w:rsidP="00C26084">
            <w:pPr>
              <w:pStyle w:val="TableText"/>
              <w:spacing w:before="50" w:after="50"/>
            </w:pPr>
            <w:r w:rsidRPr="00BE78CA">
              <w:t>0.184-0.331</w:t>
            </w:r>
          </w:p>
        </w:tc>
        <w:tc>
          <w:tcPr>
            <w:tcW w:w="1417" w:type="dxa"/>
            <w:tcBorders>
              <w:top w:val="single" w:sz="4" w:space="0" w:color="365F91"/>
              <w:left w:val="nil"/>
              <w:bottom w:val="single" w:sz="4" w:space="0" w:color="365F91"/>
              <w:right w:val="nil"/>
            </w:tcBorders>
            <w:hideMark/>
          </w:tcPr>
          <w:p w14:paraId="0DA6358C" w14:textId="77777777" w:rsidR="00FB19C0" w:rsidRPr="00BE78CA" w:rsidRDefault="00FB19C0" w:rsidP="00C26084">
            <w:pPr>
              <w:pStyle w:val="TableText"/>
              <w:spacing w:before="50" w:after="50"/>
            </w:pPr>
            <w:r w:rsidRPr="00BE78CA">
              <w:t>Country specific</w:t>
            </w:r>
          </w:p>
        </w:tc>
        <w:tc>
          <w:tcPr>
            <w:tcW w:w="3260" w:type="dxa"/>
            <w:tcBorders>
              <w:top w:val="single" w:sz="4" w:space="0" w:color="365F91"/>
              <w:left w:val="nil"/>
              <w:bottom w:val="single" w:sz="4" w:space="0" w:color="365F91"/>
              <w:right w:val="nil"/>
            </w:tcBorders>
            <w:hideMark/>
          </w:tcPr>
          <w:p w14:paraId="3C60EB5D" w14:textId="77777777" w:rsidR="00FB19C0" w:rsidRPr="00BE78CA" w:rsidRDefault="00FB19C0" w:rsidP="00C26084">
            <w:pPr>
              <w:pStyle w:val="TableText"/>
              <w:spacing w:before="50" w:after="50"/>
              <w:rPr>
                <w:rFonts w:cs="Arial"/>
                <w:szCs w:val="16"/>
              </w:rPr>
            </w:pPr>
            <w:r w:rsidRPr="00BE78CA">
              <w:rPr>
                <w:rFonts w:cs="Arial"/>
                <w:szCs w:val="16"/>
              </w:rPr>
              <w:t>GHD (2013, 2014)</w:t>
            </w:r>
          </w:p>
        </w:tc>
      </w:tr>
      <w:tr w:rsidR="00FB19C0" w:rsidRPr="00BE78CA" w14:paraId="5C227D88" w14:textId="77777777" w:rsidTr="000A1597">
        <w:tc>
          <w:tcPr>
            <w:tcW w:w="8505" w:type="dxa"/>
            <w:gridSpan w:val="4"/>
            <w:tcBorders>
              <w:top w:val="single" w:sz="4" w:space="0" w:color="365F91"/>
              <w:left w:val="nil"/>
              <w:bottom w:val="single" w:sz="4" w:space="0" w:color="365F91"/>
              <w:right w:val="nil"/>
            </w:tcBorders>
            <w:hideMark/>
          </w:tcPr>
          <w:p w14:paraId="39390931" w14:textId="77777777" w:rsidR="00FB19C0" w:rsidRPr="00BE78CA" w:rsidRDefault="00FB19C0" w:rsidP="00C26084">
            <w:pPr>
              <w:pStyle w:val="TableTextBold"/>
              <w:keepNext/>
              <w:spacing w:before="50" w:after="50"/>
              <w:rPr>
                <w:noProof w:val="0"/>
              </w:rPr>
            </w:pPr>
            <w:r w:rsidRPr="00BE78CA">
              <w:rPr>
                <w:noProof w:val="0"/>
              </w:rPr>
              <w:t>All sites</w:t>
            </w:r>
          </w:p>
        </w:tc>
      </w:tr>
      <w:tr w:rsidR="00FB19C0" w:rsidRPr="00BE78CA" w14:paraId="449C463A" w14:textId="77777777" w:rsidTr="000A1597">
        <w:tc>
          <w:tcPr>
            <w:tcW w:w="2694" w:type="dxa"/>
            <w:tcBorders>
              <w:top w:val="single" w:sz="4" w:space="0" w:color="365F91"/>
              <w:left w:val="nil"/>
              <w:bottom w:val="single" w:sz="4" w:space="0" w:color="365F91"/>
              <w:right w:val="nil"/>
            </w:tcBorders>
            <w:hideMark/>
          </w:tcPr>
          <w:p w14:paraId="3236B75A" w14:textId="77777777" w:rsidR="00FB19C0" w:rsidRPr="00BE78CA" w:rsidRDefault="00FB19C0" w:rsidP="00C26084">
            <w:pPr>
              <w:pStyle w:val="TableText"/>
              <w:spacing w:before="50" w:after="50"/>
            </w:pPr>
            <w:r w:rsidRPr="00BE78CA">
              <w:t>Oxidation factor</w:t>
            </w:r>
          </w:p>
        </w:tc>
        <w:tc>
          <w:tcPr>
            <w:tcW w:w="1134" w:type="dxa"/>
            <w:tcBorders>
              <w:top w:val="single" w:sz="4" w:space="0" w:color="365F91"/>
              <w:left w:val="nil"/>
              <w:bottom w:val="single" w:sz="4" w:space="0" w:color="365F91"/>
              <w:right w:val="nil"/>
            </w:tcBorders>
            <w:hideMark/>
          </w:tcPr>
          <w:p w14:paraId="7824D594" w14:textId="77777777" w:rsidR="00FB19C0" w:rsidRPr="00BE78CA" w:rsidRDefault="00FB19C0" w:rsidP="00C26084">
            <w:pPr>
              <w:pStyle w:val="TableText"/>
              <w:spacing w:before="50" w:after="50"/>
            </w:pPr>
            <w:r w:rsidRPr="00BE78CA">
              <w:t>0</w:t>
            </w:r>
          </w:p>
        </w:tc>
        <w:tc>
          <w:tcPr>
            <w:tcW w:w="1417" w:type="dxa"/>
            <w:tcBorders>
              <w:top w:val="single" w:sz="4" w:space="0" w:color="365F91"/>
              <w:left w:val="nil"/>
              <w:bottom w:val="single" w:sz="4" w:space="0" w:color="365F91"/>
              <w:right w:val="nil"/>
            </w:tcBorders>
            <w:hideMark/>
          </w:tcPr>
          <w:p w14:paraId="38227F75" w14:textId="77777777" w:rsidR="00FB19C0" w:rsidRPr="00BE78CA" w:rsidRDefault="00FB19C0" w:rsidP="00C26084">
            <w:pPr>
              <w:pStyle w:val="TableText"/>
              <w:spacing w:before="50" w:after="50"/>
            </w:pPr>
            <w:r w:rsidRPr="00BE78CA">
              <w:t>IPCC default</w:t>
            </w:r>
          </w:p>
        </w:tc>
        <w:tc>
          <w:tcPr>
            <w:tcW w:w="3260" w:type="dxa"/>
            <w:tcBorders>
              <w:top w:val="single" w:sz="4" w:space="0" w:color="365F91"/>
              <w:left w:val="nil"/>
              <w:bottom w:val="single" w:sz="4" w:space="0" w:color="365F91"/>
              <w:right w:val="nil"/>
            </w:tcBorders>
            <w:hideMark/>
          </w:tcPr>
          <w:p w14:paraId="1E808C8A" w14:textId="77777777" w:rsidR="00FB19C0" w:rsidRPr="00BE78CA" w:rsidRDefault="00FB19C0" w:rsidP="00C26084">
            <w:pPr>
              <w:pStyle w:val="TableText"/>
              <w:spacing w:before="50" w:after="50"/>
              <w:rPr>
                <w:rFonts w:cs="Arial"/>
                <w:szCs w:val="16"/>
              </w:rPr>
            </w:pPr>
            <w:r w:rsidRPr="00BE78CA">
              <w:rPr>
                <w:rFonts w:cs="Arial"/>
                <w:szCs w:val="16"/>
              </w:rPr>
              <w:t>IPCC (2006a)</w:t>
            </w:r>
          </w:p>
        </w:tc>
      </w:tr>
      <w:tr w:rsidR="00FB19C0" w:rsidRPr="00BE78CA" w14:paraId="21379CAB" w14:textId="77777777" w:rsidTr="000A1597">
        <w:tc>
          <w:tcPr>
            <w:tcW w:w="2694" w:type="dxa"/>
            <w:tcBorders>
              <w:top w:val="single" w:sz="4" w:space="0" w:color="365F91"/>
              <w:left w:val="nil"/>
              <w:bottom w:val="single" w:sz="4" w:space="0" w:color="365F91"/>
              <w:right w:val="nil"/>
            </w:tcBorders>
            <w:hideMark/>
          </w:tcPr>
          <w:p w14:paraId="3A3EEC79" w14:textId="77777777" w:rsidR="00FB19C0" w:rsidRPr="00BE78CA" w:rsidRDefault="00FB19C0" w:rsidP="00C26084">
            <w:pPr>
              <w:pStyle w:val="TableText"/>
              <w:spacing w:before="50" w:after="50"/>
            </w:pPr>
            <w:r w:rsidRPr="00BE78CA">
              <w:t>Starting year</w:t>
            </w:r>
          </w:p>
        </w:tc>
        <w:tc>
          <w:tcPr>
            <w:tcW w:w="1134" w:type="dxa"/>
            <w:tcBorders>
              <w:top w:val="single" w:sz="4" w:space="0" w:color="365F91"/>
              <w:left w:val="nil"/>
              <w:bottom w:val="single" w:sz="4" w:space="0" w:color="365F91"/>
              <w:right w:val="nil"/>
            </w:tcBorders>
            <w:hideMark/>
          </w:tcPr>
          <w:p w14:paraId="1B02A9C9" w14:textId="77777777" w:rsidR="00FB19C0" w:rsidRPr="00BE78CA" w:rsidRDefault="00FB19C0" w:rsidP="00C26084">
            <w:pPr>
              <w:pStyle w:val="TableText"/>
              <w:spacing w:before="50" w:after="50"/>
            </w:pPr>
            <w:r w:rsidRPr="00BE78CA">
              <w:t>1950</w:t>
            </w:r>
          </w:p>
        </w:tc>
        <w:tc>
          <w:tcPr>
            <w:tcW w:w="1417" w:type="dxa"/>
            <w:tcBorders>
              <w:top w:val="single" w:sz="4" w:space="0" w:color="365F91"/>
              <w:left w:val="nil"/>
              <w:bottom w:val="single" w:sz="4" w:space="0" w:color="365F91"/>
              <w:right w:val="nil"/>
            </w:tcBorders>
            <w:hideMark/>
          </w:tcPr>
          <w:p w14:paraId="503856F7" w14:textId="77777777" w:rsidR="00FB19C0" w:rsidRPr="00BE78CA" w:rsidRDefault="00FB19C0" w:rsidP="00C26084">
            <w:pPr>
              <w:pStyle w:val="TableText"/>
              <w:spacing w:before="50" w:after="50"/>
            </w:pPr>
            <w:r w:rsidRPr="00BE78CA">
              <w:t>IPCC default</w:t>
            </w:r>
          </w:p>
        </w:tc>
        <w:tc>
          <w:tcPr>
            <w:tcW w:w="3260" w:type="dxa"/>
            <w:tcBorders>
              <w:top w:val="single" w:sz="4" w:space="0" w:color="365F91"/>
              <w:left w:val="nil"/>
              <w:bottom w:val="single" w:sz="4" w:space="0" w:color="365F91"/>
              <w:right w:val="nil"/>
            </w:tcBorders>
            <w:hideMark/>
          </w:tcPr>
          <w:p w14:paraId="1C6D1E7F" w14:textId="77777777" w:rsidR="00FB19C0" w:rsidRPr="00BE78CA" w:rsidRDefault="00FB19C0" w:rsidP="00C26084">
            <w:pPr>
              <w:pStyle w:val="TableText"/>
              <w:spacing w:before="50" w:after="50"/>
            </w:pPr>
            <w:r w:rsidRPr="00BE78CA">
              <w:rPr>
                <w:rFonts w:cs="Arial"/>
                <w:szCs w:val="16"/>
              </w:rPr>
              <w:t>IPCC (2006a)</w:t>
            </w:r>
          </w:p>
        </w:tc>
      </w:tr>
      <w:tr w:rsidR="00FB19C0" w:rsidRPr="00BE78CA" w14:paraId="722B096A" w14:textId="77777777" w:rsidTr="000A1597">
        <w:tc>
          <w:tcPr>
            <w:tcW w:w="2694" w:type="dxa"/>
            <w:tcBorders>
              <w:top w:val="single" w:sz="4" w:space="0" w:color="365F91"/>
              <w:left w:val="nil"/>
              <w:bottom w:val="single" w:sz="4" w:space="0" w:color="365F91"/>
              <w:right w:val="nil"/>
            </w:tcBorders>
            <w:hideMark/>
          </w:tcPr>
          <w:p w14:paraId="6D821E3D" w14:textId="77777777" w:rsidR="00FB19C0" w:rsidRPr="00BE78CA" w:rsidRDefault="00FB19C0" w:rsidP="00C26084">
            <w:pPr>
              <w:pStyle w:val="TableText"/>
              <w:spacing w:before="50" w:after="50"/>
            </w:pPr>
            <w:r w:rsidRPr="00BE78CA">
              <w:t>Delay time</w:t>
            </w:r>
          </w:p>
        </w:tc>
        <w:tc>
          <w:tcPr>
            <w:tcW w:w="1134" w:type="dxa"/>
            <w:tcBorders>
              <w:top w:val="single" w:sz="4" w:space="0" w:color="365F91"/>
              <w:left w:val="nil"/>
              <w:bottom w:val="single" w:sz="4" w:space="0" w:color="365F91"/>
              <w:right w:val="nil"/>
            </w:tcBorders>
            <w:hideMark/>
          </w:tcPr>
          <w:p w14:paraId="33CF0D5C" w14:textId="77777777" w:rsidR="00FB19C0" w:rsidRPr="00BE78CA" w:rsidRDefault="00FB19C0" w:rsidP="00C26084">
            <w:pPr>
              <w:pStyle w:val="TableText"/>
              <w:spacing w:before="50" w:after="50"/>
            </w:pPr>
            <w:r w:rsidRPr="00BE78CA">
              <w:t>6 months</w:t>
            </w:r>
          </w:p>
        </w:tc>
        <w:tc>
          <w:tcPr>
            <w:tcW w:w="1417" w:type="dxa"/>
            <w:tcBorders>
              <w:top w:val="single" w:sz="4" w:space="0" w:color="365F91"/>
              <w:left w:val="nil"/>
              <w:bottom w:val="single" w:sz="4" w:space="0" w:color="365F91"/>
              <w:right w:val="nil"/>
            </w:tcBorders>
            <w:hideMark/>
          </w:tcPr>
          <w:p w14:paraId="29405E5C" w14:textId="77777777" w:rsidR="00FB19C0" w:rsidRPr="00BE78CA" w:rsidRDefault="00FB19C0" w:rsidP="00C26084">
            <w:pPr>
              <w:pStyle w:val="TableText"/>
              <w:spacing w:before="50" w:after="50"/>
            </w:pPr>
            <w:r w:rsidRPr="00BE78CA">
              <w:t>IPCC default</w:t>
            </w:r>
          </w:p>
        </w:tc>
        <w:tc>
          <w:tcPr>
            <w:tcW w:w="3260" w:type="dxa"/>
            <w:tcBorders>
              <w:top w:val="single" w:sz="4" w:space="0" w:color="365F91"/>
              <w:left w:val="nil"/>
              <w:bottom w:val="single" w:sz="4" w:space="0" w:color="365F91"/>
              <w:right w:val="nil"/>
            </w:tcBorders>
            <w:hideMark/>
          </w:tcPr>
          <w:p w14:paraId="2570C464" w14:textId="77777777" w:rsidR="00FB19C0" w:rsidRPr="00BE78CA" w:rsidRDefault="00FB19C0" w:rsidP="00C26084">
            <w:pPr>
              <w:pStyle w:val="TableText"/>
              <w:spacing w:before="50" w:after="50"/>
            </w:pPr>
            <w:r w:rsidRPr="00BE78CA">
              <w:rPr>
                <w:rFonts w:cs="Arial"/>
                <w:szCs w:val="16"/>
              </w:rPr>
              <w:t>IPCC (2006a)</w:t>
            </w:r>
          </w:p>
        </w:tc>
      </w:tr>
      <w:tr w:rsidR="00FB19C0" w:rsidRPr="00BE78CA" w14:paraId="192DBFCB" w14:textId="77777777" w:rsidTr="000A1597">
        <w:tc>
          <w:tcPr>
            <w:tcW w:w="2694" w:type="dxa"/>
            <w:tcBorders>
              <w:top w:val="single" w:sz="4" w:space="0" w:color="365F91"/>
              <w:left w:val="nil"/>
              <w:bottom w:val="single" w:sz="4" w:space="0" w:color="365F91"/>
              <w:right w:val="nil"/>
            </w:tcBorders>
            <w:hideMark/>
          </w:tcPr>
          <w:p w14:paraId="78152695" w14:textId="77777777" w:rsidR="00FB19C0" w:rsidRPr="00BE78CA" w:rsidRDefault="00FB19C0" w:rsidP="00C26084">
            <w:pPr>
              <w:pStyle w:val="TableText"/>
              <w:spacing w:before="50" w:after="50"/>
            </w:pPr>
            <w:r w:rsidRPr="00BE78CA">
              <w:t>Fraction of DOC that decomposes</w:t>
            </w:r>
          </w:p>
        </w:tc>
        <w:tc>
          <w:tcPr>
            <w:tcW w:w="1134" w:type="dxa"/>
            <w:tcBorders>
              <w:top w:val="single" w:sz="4" w:space="0" w:color="365F91"/>
              <w:left w:val="nil"/>
              <w:bottom w:val="single" w:sz="4" w:space="0" w:color="365F91"/>
              <w:right w:val="nil"/>
            </w:tcBorders>
            <w:hideMark/>
          </w:tcPr>
          <w:p w14:paraId="5E7624BA" w14:textId="77777777" w:rsidR="00FB19C0" w:rsidRPr="00BE78CA" w:rsidRDefault="00FB19C0" w:rsidP="00C26084">
            <w:pPr>
              <w:pStyle w:val="TableText"/>
              <w:spacing w:before="50" w:after="50"/>
            </w:pPr>
            <w:r w:rsidRPr="00BE78CA">
              <w:t>0.5</w:t>
            </w:r>
          </w:p>
        </w:tc>
        <w:tc>
          <w:tcPr>
            <w:tcW w:w="1417" w:type="dxa"/>
            <w:tcBorders>
              <w:top w:val="single" w:sz="4" w:space="0" w:color="365F91"/>
              <w:left w:val="nil"/>
              <w:bottom w:val="single" w:sz="4" w:space="0" w:color="365F91"/>
              <w:right w:val="nil"/>
            </w:tcBorders>
            <w:hideMark/>
          </w:tcPr>
          <w:p w14:paraId="756BE47C" w14:textId="77777777" w:rsidR="00FB19C0" w:rsidRPr="00BE78CA" w:rsidRDefault="00FB19C0" w:rsidP="00C26084">
            <w:pPr>
              <w:pStyle w:val="TableText"/>
              <w:spacing w:before="50" w:after="50"/>
            </w:pPr>
            <w:r w:rsidRPr="00BE78CA">
              <w:t>IPCC default</w:t>
            </w:r>
          </w:p>
        </w:tc>
        <w:tc>
          <w:tcPr>
            <w:tcW w:w="3260" w:type="dxa"/>
            <w:tcBorders>
              <w:top w:val="single" w:sz="4" w:space="0" w:color="365F91"/>
              <w:left w:val="nil"/>
              <w:bottom w:val="single" w:sz="4" w:space="0" w:color="365F91"/>
              <w:right w:val="nil"/>
            </w:tcBorders>
            <w:hideMark/>
          </w:tcPr>
          <w:p w14:paraId="47295EFC" w14:textId="77777777" w:rsidR="00FB19C0" w:rsidRPr="00BE78CA" w:rsidRDefault="00FB19C0" w:rsidP="00C26084">
            <w:pPr>
              <w:pStyle w:val="TableText"/>
              <w:spacing w:before="50" w:after="50"/>
            </w:pPr>
            <w:r w:rsidRPr="00BE78CA">
              <w:rPr>
                <w:rFonts w:cs="Arial"/>
                <w:szCs w:val="16"/>
              </w:rPr>
              <w:t>IPCC (2006a)</w:t>
            </w:r>
          </w:p>
        </w:tc>
      </w:tr>
      <w:tr w:rsidR="00FB19C0" w:rsidRPr="00BE78CA" w14:paraId="25540026" w14:textId="77777777" w:rsidTr="000A1597">
        <w:tc>
          <w:tcPr>
            <w:tcW w:w="2694" w:type="dxa"/>
            <w:tcBorders>
              <w:top w:val="single" w:sz="4" w:space="0" w:color="365F91"/>
              <w:left w:val="nil"/>
              <w:bottom w:val="single" w:sz="4" w:space="0" w:color="365F91"/>
              <w:right w:val="nil"/>
            </w:tcBorders>
            <w:hideMark/>
          </w:tcPr>
          <w:p w14:paraId="0B2384D9" w14:textId="77777777" w:rsidR="00FB19C0" w:rsidRPr="00BE78CA" w:rsidRDefault="00FB19C0" w:rsidP="00C26084">
            <w:pPr>
              <w:pStyle w:val="TableText"/>
              <w:spacing w:before="50" w:after="50"/>
            </w:pPr>
            <w:r w:rsidRPr="00BE78CA">
              <w:t>Fraction of CH</w:t>
            </w:r>
            <w:r w:rsidRPr="00BE78CA">
              <w:rPr>
                <w:vertAlign w:val="subscript"/>
              </w:rPr>
              <w:t>4</w:t>
            </w:r>
            <w:r w:rsidRPr="00BE78CA">
              <w:t xml:space="preserve"> in gas</w:t>
            </w:r>
          </w:p>
        </w:tc>
        <w:tc>
          <w:tcPr>
            <w:tcW w:w="1134" w:type="dxa"/>
            <w:tcBorders>
              <w:top w:val="single" w:sz="4" w:space="0" w:color="365F91"/>
              <w:left w:val="nil"/>
              <w:bottom w:val="single" w:sz="4" w:space="0" w:color="365F91"/>
              <w:right w:val="nil"/>
            </w:tcBorders>
            <w:hideMark/>
          </w:tcPr>
          <w:p w14:paraId="6CAC31DA" w14:textId="77777777" w:rsidR="00FB19C0" w:rsidRPr="00BE78CA" w:rsidRDefault="00FB19C0" w:rsidP="00C26084">
            <w:pPr>
              <w:pStyle w:val="TableText"/>
              <w:spacing w:before="50" w:after="50"/>
            </w:pPr>
            <w:r w:rsidRPr="00BE78CA">
              <w:t>0.5</w:t>
            </w:r>
          </w:p>
        </w:tc>
        <w:tc>
          <w:tcPr>
            <w:tcW w:w="1417" w:type="dxa"/>
            <w:tcBorders>
              <w:top w:val="single" w:sz="4" w:space="0" w:color="365F91"/>
              <w:left w:val="nil"/>
              <w:bottom w:val="single" w:sz="4" w:space="0" w:color="365F91"/>
              <w:right w:val="nil"/>
            </w:tcBorders>
            <w:hideMark/>
          </w:tcPr>
          <w:p w14:paraId="25015ACE" w14:textId="77777777" w:rsidR="00FB19C0" w:rsidRPr="00BE78CA" w:rsidRDefault="00FB19C0" w:rsidP="00C26084">
            <w:pPr>
              <w:pStyle w:val="TableText"/>
              <w:spacing w:before="50" w:after="50"/>
            </w:pPr>
            <w:r w:rsidRPr="00BE78CA">
              <w:t>IPCC default</w:t>
            </w:r>
          </w:p>
        </w:tc>
        <w:tc>
          <w:tcPr>
            <w:tcW w:w="3260" w:type="dxa"/>
            <w:tcBorders>
              <w:top w:val="single" w:sz="4" w:space="0" w:color="365F91"/>
              <w:left w:val="nil"/>
              <w:bottom w:val="single" w:sz="4" w:space="0" w:color="365F91"/>
              <w:right w:val="nil"/>
            </w:tcBorders>
            <w:hideMark/>
          </w:tcPr>
          <w:p w14:paraId="400545D0" w14:textId="77777777" w:rsidR="00FB19C0" w:rsidRPr="00BE78CA" w:rsidRDefault="00FB19C0" w:rsidP="00C26084">
            <w:pPr>
              <w:pStyle w:val="TableText"/>
              <w:spacing w:before="50" w:after="50"/>
              <w:rPr>
                <w:rFonts w:cs="Arial"/>
                <w:szCs w:val="16"/>
              </w:rPr>
            </w:pPr>
            <w:r w:rsidRPr="00BE78CA">
              <w:rPr>
                <w:rFonts w:cs="Arial"/>
                <w:szCs w:val="16"/>
              </w:rPr>
              <w:t>IPCC (2006a)</w:t>
            </w:r>
          </w:p>
        </w:tc>
      </w:tr>
    </w:tbl>
    <w:p w14:paraId="22968580" w14:textId="77777777" w:rsidR="00FB19C0" w:rsidRPr="00BE78CA" w:rsidRDefault="00FB19C0" w:rsidP="00FB19C0">
      <w:pPr>
        <w:pStyle w:val="Noteundertable"/>
        <w:rPr>
          <w:b/>
        </w:rPr>
      </w:pPr>
      <w:bookmarkStart w:id="2929" w:name="_Toc32828332"/>
      <w:r w:rsidRPr="00BE78CA">
        <w:rPr>
          <w:b/>
        </w:rPr>
        <w:t>Note:</w:t>
      </w:r>
      <w:r w:rsidRPr="00BE78CA">
        <w:rPr>
          <w:b/>
        </w:rPr>
        <w:tab/>
      </w:r>
      <w:r w:rsidRPr="00BE78CA">
        <w:t>DOC = degradable organic carbon.</w:t>
      </w:r>
    </w:p>
    <w:p w14:paraId="038C5539" w14:textId="77777777" w:rsidR="00FB19C0" w:rsidRPr="00BE78CA" w:rsidRDefault="00FB19C0" w:rsidP="00E4139F">
      <w:pPr>
        <w:pStyle w:val="Heading3"/>
        <w:spacing w:before="320"/>
      </w:pPr>
      <w:r w:rsidRPr="00BE78CA">
        <w:t>7.2.3</w:t>
      </w:r>
      <w:r w:rsidRPr="00BE78CA">
        <w:tab/>
        <w:t>Uncertainties and time-series consistency</w:t>
      </w:r>
      <w:bookmarkEnd w:id="2929"/>
    </w:p>
    <w:p w14:paraId="39AE1764" w14:textId="77777777" w:rsidR="00FB19C0" w:rsidRPr="00BE78CA" w:rsidRDefault="00FB19C0" w:rsidP="00FB19C0">
      <w:pPr>
        <w:pStyle w:val="Heading4"/>
        <w:spacing w:before="160"/>
      </w:pPr>
      <w:r w:rsidRPr="00BE78CA">
        <w:t>Uncertainties</w:t>
      </w:r>
    </w:p>
    <w:p w14:paraId="66C42D32" w14:textId="77777777" w:rsidR="00FB19C0" w:rsidRPr="00BE78CA" w:rsidRDefault="00FB19C0" w:rsidP="00FB19C0">
      <w:pPr>
        <w:pStyle w:val="BodyText"/>
      </w:pPr>
      <w:r w:rsidRPr="00BE78CA">
        <w:t xml:space="preserve">For emission factors and activity data used for most of the </w:t>
      </w:r>
      <w:r w:rsidRPr="00BE78CA">
        <w:rPr>
          <w:i/>
        </w:rPr>
        <w:t xml:space="preserve">Solid waste disposal </w:t>
      </w:r>
      <w:r w:rsidRPr="00BE78CA">
        <w:rPr>
          <w:iCs/>
        </w:rPr>
        <w:t>category</w:t>
      </w:r>
      <w:r w:rsidRPr="00BE78CA">
        <w:t xml:space="preserve">, the uncertainty estimate is ±40 per cent (table 7.2.9). This is consistent with the estimates provided in the IPCC Guidelines (IPCC, 2006a). </w:t>
      </w:r>
    </w:p>
    <w:p w14:paraId="0F06B727" w14:textId="77777777" w:rsidR="00FB19C0" w:rsidRPr="00BE78CA" w:rsidRDefault="00FB19C0" w:rsidP="00FB19C0">
      <w:pPr>
        <w:pStyle w:val="BodyText"/>
      </w:pPr>
      <w:r w:rsidRPr="00BE78CA">
        <w:t>For managed municipal landfills, the emission factor uncertainty is set at this level because, while better-quality parameters are used in this category, some but not all of the estimates for CH</w:t>
      </w:r>
      <w:r w:rsidRPr="00BE78CA">
        <w:rPr>
          <w:vertAlign w:val="subscript"/>
        </w:rPr>
        <w:t>4</w:t>
      </w:r>
      <w:r w:rsidRPr="00BE78CA">
        <w:t xml:space="preserve"> recovery are based on metered gas-flow data.</w:t>
      </w:r>
    </w:p>
    <w:p w14:paraId="0FACFA6F" w14:textId="77777777" w:rsidR="00FB19C0" w:rsidRPr="00BE78CA" w:rsidRDefault="00FB19C0" w:rsidP="00FB19C0">
      <w:pPr>
        <w:pStyle w:val="BodyText"/>
      </w:pPr>
      <w:r w:rsidRPr="00BE78CA">
        <w:t>For non-municipal landfills and farm fills, the uncertainty in activity data is estimated to be ±140 per cent. Historical information on the amount of waste placed in these sites is very limited, given the nature of the management of such fills.</w:t>
      </w:r>
    </w:p>
    <w:p w14:paraId="7A102EB1" w14:textId="77777777" w:rsidR="00FB19C0" w:rsidRPr="00BE78CA" w:rsidRDefault="00FB19C0" w:rsidP="00FB19C0">
      <w:pPr>
        <w:pStyle w:val="BodyText"/>
      </w:pPr>
      <w:r w:rsidRPr="00BE78CA">
        <w:t>The overall uncertainty in activity data for solid waste disposal is calculated using approach 1 for adding uncertainties together. The overall uncertainty in emission factor is set as the same as the uncertainty for the underlying categories because they are consistent.</w:t>
      </w:r>
    </w:p>
    <w:p w14:paraId="59DC293F" w14:textId="77777777" w:rsidR="00FB19C0" w:rsidRPr="00BE78CA" w:rsidRDefault="00FB19C0" w:rsidP="00FB19C0">
      <w:pPr>
        <w:pStyle w:val="Table"/>
      </w:pPr>
      <w:bookmarkStart w:id="2930" w:name="_Toc32828527"/>
      <w:bookmarkStart w:id="2931" w:name="_Toc32591357"/>
      <w:bookmarkStart w:id="2932" w:name="_Toc5269569"/>
      <w:bookmarkStart w:id="2933" w:name="_Toc511116828"/>
      <w:bookmarkStart w:id="2934" w:name="_Toc508019330"/>
      <w:bookmarkStart w:id="2935" w:name="_Toc481751605"/>
      <w:bookmarkStart w:id="2936" w:name="_Toc451176175"/>
      <w:bookmarkStart w:id="2937" w:name="_Toc444001623"/>
      <w:bookmarkStart w:id="2938" w:name="_Toc36224650"/>
      <w:bookmarkStart w:id="2939" w:name="_Toc68786536"/>
      <w:r w:rsidRPr="00BE78CA">
        <w:t>Table 7.2.9</w:t>
      </w:r>
      <w:r w:rsidRPr="00BE78CA">
        <w:tab/>
        <w:t>Uncertainty in emissions from Solid waste disposal</w:t>
      </w:r>
      <w:bookmarkEnd w:id="2930"/>
      <w:bookmarkEnd w:id="2931"/>
      <w:bookmarkEnd w:id="2932"/>
      <w:bookmarkEnd w:id="2933"/>
      <w:bookmarkEnd w:id="2934"/>
      <w:bookmarkEnd w:id="2935"/>
      <w:bookmarkEnd w:id="2936"/>
      <w:bookmarkEnd w:id="2937"/>
      <w:bookmarkEnd w:id="2938"/>
      <w:bookmarkEnd w:id="2939"/>
    </w:p>
    <w:tbl>
      <w:tblPr>
        <w:tblW w:w="8505" w:type="dxa"/>
        <w:tblBorders>
          <w:top w:val="single" w:sz="6" w:space="0" w:color="365F91"/>
          <w:bottom w:val="single" w:sz="6" w:space="0" w:color="365F91"/>
          <w:insideH w:val="single" w:sz="6" w:space="0" w:color="365F91"/>
        </w:tblBorders>
        <w:tblLook w:val="04A0" w:firstRow="1" w:lastRow="0" w:firstColumn="1" w:lastColumn="0" w:noHBand="0" w:noVBand="1"/>
      </w:tblPr>
      <w:tblGrid>
        <w:gridCol w:w="2782"/>
        <w:gridCol w:w="2809"/>
        <w:gridCol w:w="2914"/>
      </w:tblGrid>
      <w:tr w:rsidR="00FB19C0" w:rsidRPr="00BE78CA" w14:paraId="613FC567" w14:textId="77777777" w:rsidTr="00E4139F">
        <w:tc>
          <w:tcPr>
            <w:tcW w:w="2835" w:type="dxa"/>
            <w:tcBorders>
              <w:top w:val="single" w:sz="4" w:space="0" w:color="365F91"/>
              <w:left w:val="nil"/>
              <w:bottom w:val="single" w:sz="4" w:space="0" w:color="365F91"/>
              <w:right w:val="nil"/>
            </w:tcBorders>
            <w:shd w:val="clear" w:color="auto" w:fill="365F91"/>
            <w:vAlign w:val="bottom"/>
            <w:hideMark/>
          </w:tcPr>
          <w:p w14:paraId="6E2733EB" w14:textId="77777777" w:rsidR="00FB19C0" w:rsidRPr="00BE78CA" w:rsidRDefault="00FB19C0" w:rsidP="00C26084">
            <w:pPr>
              <w:pStyle w:val="TableTextBold"/>
              <w:keepNext/>
              <w:spacing w:before="50" w:after="50"/>
              <w:rPr>
                <w:noProof w:val="0"/>
                <w:color w:val="FFFFFF"/>
              </w:rPr>
            </w:pPr>
            <w:r w:rsidRPr="00BE78CA">
              <w:rPr>
                <w:noProof w:val="0"/>
                <w:color w:val="FFFFFF"/>
              </w:rPr>
              <w:t>Emissions category</w:t>
            </w:r>
          </w:p>
        </w:tc>
        <w:tc>
          <w:tcPr>
            <w:tcW w:w="2869" w:type="dxa"/>
            <w:tcBorders>
              <w:top w:val="single" w:sz="4" w:space="0" w:color="365F91"/>
              <w:left w:val="nil"/>
              <w:bottom w:val="single" w:sz="4" w:space="0" w:color="365F91"/>
              <w:right w:val="nil"/>
            </w:tcBorders>
            <w:shd w:val="clear" w:color="auto" w:fill="365F91"/>
            <w:vAlign w:val="bottom"/>
            <w:hideMark/>
          </w:tcPr>
          <w:p w14:paraId="70FFBCFF" w14:textId="77777777" w:rsidR="00FB19C0" w:rsidRPr="00BE78CA" w:rsidRDefault="00FB19C0" w:rsidP="00C26084">
            <w:pPr>
              <w:pStyle w:val="TableTextBold"/>
              <w:keepNext/>
              <w:spacing w:before="50" w:after="50"/>
              <w:jc w:val="center"/>
              <w:rPr>
                <w:noProof w:val="0"/>
                <w:color w:val="FFFFFF"/>
              </w:rPr>
            </w:pPr>
            <w:r w:rsidRPr="00BE78CA">
              <w:rPr>
                <w:noProof w:val="0"/>
                <w:color w:val="FFFFFF"/>
              </w:rPr>
              <w:t>Uncertainty in activity data (%)</w:t>
            </w:r>
          </w:p>
        </w:tc>
        <w:tc>
          <w:tcPr>
            <w:tcW w:w="2977" w:type="dxa"/>
            <w:tcBorders>
              <w:top w:val="single" w:sz="4" w:space="0" w:color="365F91"/>
              <w:left w:val="nil"/>
              <w:bottom w:val="single" w:sz="4" w:space="0" w:color="365F91"/>
              <w:right w:val="nil"/>
            </w:tcBorders>
            <w:shd w:val="clear" w:color="auto" w:fill="365F91"/>
            <w:vAlign w:val="bottom"/>
            <w:hideMark/>
          </w:tcPr>
          <w:p w14:paraId="1E0281F1" w14:textId="77777777" w:rsidR="00FB19C0" w:rsidRPr="00BE78CA" w:rsidRDefault="00FB19C0" w:rsidP="00C26084">
            <w:pPr>
              <w:pStyle w:val="TableTextBold"/>
              <w:keepNext/>
              <w:spacing w:before="50" w:after="50"/>
              <w:jc w:val="center"/>
              <w:rPr>
                <w:noProof w:val="0"/>
                <w:color w:val="FFFFFF"/>
              </w:rPr>
            </w:pPr>
            <w:r w:rsidRPr="00BE78CA">
              <w:rPr>
                <w:noProof w:val="0"/>
                <w:color w:val="FFFFFF"/>
              </w:rPr>
              <w:t>Uncertainty in emission factors (%)</w:t>
            </w:r>
          </w:p>
        </w:tc>
      </w:tr>
      <w:tr w:rsidR="00FB19C0" w:rsidRPr="00BE78CA" w14:paraId="24BCAE8B" w14:textId="77777777" w:rsidTr="00E4139F">
        <w:trPr>
          <w:trHeight w:val="127"/>
        </w:trPr>
        <w:tc>
          <w:tcPr>
            <w:tcW w:w="2835" w:type="dxa"/>
            <w:tcBorders>
              <w:top w:val="single" w:sz="4" w:space="0" w:color="365F91"/>
              <w:left w:val="nil"/>
              <w:bottom w:val="single" w:sz="6" w:space="0" w:color="365F91"/>
              <w:right w:val="nil"/>
            </w:tcBorders>
            <w:shd w:val="clear" w:color="auto" w:fill="FFFFFF"/>
            <w:hideMark/>
          </w:tcPr>
          <w:p w14:paraId="6684EBDD" w14:textId="77777777" w:rsidR="00FB19C0" w:rsidRPr="00BE78CA" w:rsidRDefault="00FB19C0" w:rsidP="00C26084">
            <w:pPr>
              <w:pStyle w:val="TableText"/>
              <w:spacing w:before="50" w:after="50"/>
              <w:rPr>
                <w:rFonts w:cs="Arial"/>
                <w:bCs/>
              </w:rPr>
            </w:pPr>
            <w:r w:rsidRPr="00BE78CA">
              <w:rPr>
                <w:rFonts w:cs="Arial"/>
                <w:bCs/>
              </w:rPr>
              <w:t>Managed landfills</w:t>
            </w:r>
          </w:p>
        </w:tc>
        <w:tc>
          <w:tcPr>
            <w:tcW w:w="2869" w:type="dxa"/>
            <w:tcBorders>
              <w:top w:val="single" w:sz="4" w:space="0" w:color="365F91"/>
              <w:left w:val="nil"/>
              <w:bottom w:val="single" w:sz="6" w:space="0" w:color="365F91"/>
              <w:right w:val="nil"/>
            </w:tcBorders>
            <w:shd w:val="clear" w:color="auto" w:fill="FFFFFF"/>
            <w:hideMark/>
          </w:tcPr>
          <w:p w14:paraId="14596943" w14:textId="77777777" w:rsidR="00FB19C0" w:rsidRPr="00BE78CA" w:rsidRDefault="00FB19C0" w:rsidP="00C26084">
            <w:pPr>
              <w:pStyle w:val="TableText"/>
              <w:spacing w:before="50" w:after="50"/>
              <w:jc w:val="center"/>
            </w:pPr>
            <w:r w:rsidRPr="00BE78CA">
              <w:t>±40</w:t>
            </w:r>
          </w:p>
        </w:tc>
        <w:tc>
          <w:tcPr>
            <w:tcW w:w="2977" w:type="dxa"/>
            <w:tcBorders>
              <w:top w:val="single" w:sz="4" w:space="0" w:color="365F91"/>
              <w:left w:val="nil"/>
              <w:bottom w:val="single" w:sz="6" w:space="0" w:color="365F91"/>
              <w:right w:val="nil"/>
            </w:tcBorders>
            <w:shd w:val="clear" w:color="auto" w:fill="FFFFFF"/>
            <w:hideMark/>
          </w:tcPr>
          <w:p w14:paraId="4527D900" w14:textId="77777777" w:rsidR="00FB19C0" w:rsidRPr="00BE78CA" w:rsidRDefault="00FB19C0" w:rsidP="00C26084">
            <w:pPr>
              <w:pStyle w:val="TableText"/>
              <w:spacing w:before="50" w:after="50"/>
              <w:jc w:val="center"/>
            </w:pPr>
            <w:r w:rsidRPr="00BE78CA">
              <w:t>±40</w:t>
            </w:r>
          </w:p>
        </w:tc>
      </w:tr>
      <w:tr w:rsidR="00FB19C0" w:rsidRPr="00BE78CA" w14:paraId="5C970F9E" w14:textId="77777777" w:rsidTr="00E4139F">
        <w:tc>
          <w:tcPr>
            <w:tcW w:w="2835" w:type="dxa"/>
            <w:tcBorders>
              <w:top w:val="single" w:sz="6" w:space="0" w:color="365F91"/>
              <w:left w:val="nil"/>
              <w:bottom w:val="single" w:sz="6" w:space="0" w:color="365F91"/>
              <w:right w:val="nil"/>
            </w:tcBorders>
            <w:shd w:val="clear" w:color="auto" w:fill="FFFFFF"/>
            <w:hideMark/>
          </w:tcPr>
          <w:p w14:paraId="7580C04B" w14:textId="77777777" w:rsidR="00FB19C0" w:rsidRPr="00BE78CA" w:rsidRDefault="00FB19C0" w:rsidP="00C26084">
            <w:pPr>
              <w:pStyle w:val="TableText"/>
              <w:spacing w:before="50" w:after="50"/>
              <w:rPr>
                <w:rFonts w:cs="Arial"/>
                <w:bCs/>
              </w:rPr>
            </w:pPr>
            <w:r w:rsidRPr="00BE78CA">
              <w:rPr>
                <w:rFonts w:cs="Arial"/>
                <w:bCs/>
              </w:rPr>
              <w:t>Unmanaged landfills</w:t>
            </w:r>
          </w:p>
        </w:tc>
        <w:tc>
          <w:tcPr>
            <w:tcW w:w="2869" w:type="dxa"/>
            <w:tcBorders>
              <w:top w:val="single" w:sz="6" w:space="0" w:color="365F91"/>
              <w:left w:val="nil"/>
              <w:bottom w:val="single" w:sz="6" w:space="0" w:color="365F91"/>
              <w:right w:val="nil"/>
            </w:tcBorders>
            <w:shd w:val="clear" w:color="auto" w:fill="FFFFFF"/>
            <w:hideMark/>
          </w:tcPr>
          <w:p w14:paraId="675DE71E" w14:textId="77777777" w:rsidR="00FB19C0" w:rsidRPr="00BE78CA" w:rsidRDefault="00FB19C0" w:rsidP="00C26084">
            <w:pPr>
              <w:pStyle w:val="TableText"/>
              <w:spacing w:before="50" w:after="50"/>
              <w:jc w:val="center"/>
            </w:pPr>
            <w:r w:rsidRPr="00BE78CA">
              <w:t>±140</w:t>
            </w:r>
          </w:p>
        </w:tc>
        <w:tc>
          <w:tcPr>
            <w:tcW w:w="2977" w:type="dxa"/>
            <w:tcBorders>
              <w:top w:val="single" w:sz="6" w:space="0" w:color="365F91"/>
              <w:left w:val="nil"/>
              <w:bottom w:val="single" w:sz="6" w:space="0" w:color="365F91"/>
              <w:right w:val="nil"/>
            </w:tcBorders>
            <w:shd w:val="clear" w:color="auto" w:fill="FFFFFF"/>
            <w:hideMark/>
          </w:tcPr>
          <w:p w14:paraId="18785D11" w14:textId="77777777" w:rsidR="00FB19C0" w:rsidRPr="00BE78CA" w:rsidRDefault="00FB19C0" w:rsidP="00C26084">
            <w:pPr>
              <w:pStyle w:val="TableText"/>
              <w:spacing w:before="50" w:after="50"/>
              <w:jc w:val="center"/>
            </w:pPr>
            <w:r w:rsidRPr="00BE78CA">
              <w:t>±40</w:t>
            </w:r>
          </w:p>
        </w:tc>
      </w:tr>
      <w:tr w:rsidR="00FB19C0" w:rsidRPr="00BE78CA" w14:paraId="74EBCD5A" w14:textId="77777777" w:rsidTr="00E4139F">
        <w:tc>
          <w:tcPr>
            <w:tcW w:w="2835" w:type="dxa"/>
            <w:tcBorders>
              <w:top w:val="single" w:sz="6" w:space="0" w:color="365F91"/>
              <w:left w:val="nil"/>
              <w:bottom w:val="single" w:sz="6" w:space="0" w:color="365F91"/>
              <w:right w:val="nil"/>
            </w:tcBorders>
            <w:shd w:val="clear" w:color="auto" w:fill="FFFFFF"/>
            <w:hideMark/>
          </w:tcPr>
          <w:p w14:paraId="2A3F1450" w14:textId="77777777" w:rsidR="00FB19C0" w:rsidRPr="00BE78CA" w:rsidRDefault="00FB19C0" w:rsidP="00C26084">
            <w:pPr>
              <w:pStyle w:val="TableText"/>
              <w:spacing w:before="50" w:after="50"/>
              <w:rPr>
                <w:rFonts w:cs="Arial"/>
                <w:bCs/>
              </w:rPr>
            </w:pPr>
            <w:r w:rsidRPr="00BE78CA">
              <w:rPr>
                <w:rFonts w:cs="Arial"/>
                <w:bCs/>
              </w:rPr>
              <w:t>Uncategorised landfills</w:t>
            </w:r>
          </w:p>
        </w:tc>
        <w:tc>
          <w:tcPr>
            <w:tcW w:w="2869" w:type="dxa"/>
            <w:tcBorders>
              <w:top w:val="single" w:sz="6" w:space="0" w:color="365F91"/>
              <w:left w:val="nil"/>
              <w:bottom w:val="single" w:sz="6" w:space="0" w:color="365F91"/>
              <w:right w:val="nil"/>
            </w:tcBorders>
            <w:shd w:val="clear" w:color="auto" w:fill="FFFFFF"/>
            <w:hideMark/>
          </w:tcPr>
          <w:p w14:paraId="50FB1AD3" w14:textId="77777777" w:rsidR="00FB19C0" w:rsidRPr="00BE78CA" w:rsidRDefault="00FB19C0" w:rsidP="00C26084">
            <w:pPr>
              <w:pStyle w:val="TableText"/>
              <w:spacing w:before="50" w:after="50"/>
              <w:jc w:val="center"/>
            </w:pPr>
            <w:r w:rsidRPr="00BE78CA">
              <w:t>±40</w:t>
            </w:r>
          </w:p>
        </w:tc>
        <w:tc>
          <w:tcPr>
            <w:tcW w:w="2977" w:type="dxa"/>
            <w:tcBorders>
              <w:top w:val="single" w:sz="6" w:space="0" w:color="365F91"/>
              <w:left w:val="nil"/>
              <w:bottom w:val="single" w:sz="6" w:space="0" w:color="365F91"/>
              <w:right w:val="nil"/>
            </w:tcBorders>
            <w:shd w:val="clear" w:color="auto" w:fill="FFFFFF"/>
            <w:hideMark/>
          </w:tcPr>
          <w:p w14:paraId="4C4101B8" w14:textId="77777777" w:rsidR="00FB19C0" w:rsidRPr="00BE78CA" w:rsidRDefault="00FB19C0" w:rsidP="00C26084">
            <w:pPr>
              <w:pStyle w:val="TableText"/>
              <w:spacing w:before="50" w:after="50"/>
              <w:jc w:val="center"/>
            </w:pPr>
            <w:r w:rsidRPr="00BE78CA">
              <w:t>±40</w:t>
            </w:r>
          </w:p>
        </w:tc>
      </w:tr>
      <w:tr w:rsidR="00FB19C0" w:rsidRPr="00BE78CA" w14:paraId="1B69028B" w14:textId="77777777" w:rsidTr="00E4139F">
        <w:tc>
          <w:tcPr>
            <w:tcW w:w="2835" w:type="dxa"/>
            <w:tcBorders>
              <w:top w:val="single" w:sz="6" w:space="0" w:color="365F91"/>
              <w:left w:val="nil"/>
              <w:bottom w:val="single" w:sz="6" w:space="0" w:color="365F91"/>
              <w:right w:val="nil"/>
            </w:tcBorders>
            <w:shd w:val="clear" w:color="auto" w:fill="FFFFFF"/>
            <w:hideMark/>
          </w:tcPr>
          <w:p w14:paraId="1531E9E9" w14:textId="77777777" w:rsidR="00FB19C0" w:rsidRPr="00BE78CA" w:rsidRDefault="00FB19C0" w:rsidP="00C26084">
            <w:pPr>
              <w:pStyle w:val="TableText"/>
              <w:spacing w:before="50" w:after="50"/>
              <w:rPr>
                <w:rFonts w:cs="Arial"/>
                <w:bCs/>
              </w:rPr>
            </w:pPr>
            <w:r w:rsidRPr="00BE78CA">
              <w:rPr>
                <w:rFonts w:cs="Arial"/>
                <w:bCs/>
              </w:rPr>
              <w:t>Overall uncertainty in CH</w:t>
            </w:r>
            <w:r w:rsidRPr="00BE78CA">
              <w:rPr>
                <w:rFonts w:cs="Arial"/>
                <w:bCs/>
                <w:vertAlign w:val="subscript"/>
              </w:rPr>
              <w:t>4</w:t>
            </w:r>
            <w:r w:rsidRPr="00BE78CA">
              <w:rPr>
                <w:rFonts w:cs="Arial"/>
                <w:bCs/>
              </w:rPr>
              <w:t xml:space="preserve"> emissions</w:t>
            </w:r>
          </w:p>
        </w:tc>
        <w:tc>
          <w:tcPr>
            <w:tcW w:w="2869" w:type="dxa"/>
            <w:tcBorders>
              <w:top w:val="single" w:sz="6" w:space="0" w:color="365F91"/>
              <w:left w:val="nil"/>
              <w:bottom w:val="single" w:sz="6" w:space="0" w:color="365F91"/>
              <w:right w:val="nil"/>
            </w:tcBorders>
            <w:shd w:val="clear" w:color="auto" w:fill="FFFFFF"/>
            <w:hideMark/>
          </w:tcPr>
          <w:p w14:paraId="36E75EFF" w14:textId="77777777" w:rsidR="00FB19C0" w:rsidRPr="00BE78CA" w:rsidRDefault="00FB19C0" w:rsidP="00C26084">
            <w:pPr>
              <w:pStyle w:val="TableText"/>
              <w:spacing w:before="50" w:after="50"/>
              <w:jc w:val="center"/>
            </w:pPr>
            <w:r w:rsidRPr="00BE78CA">
              <w:t>±92</w:t>
            </w:r>
          </w:p>
        </w:tc>
        <w:tc>
          <w:tcPr>
            <w:tcW w:w="2977" w:type="dxa"/>
            <w:tcBorders>
              <w:top w:val="single" w:sz="6" w:space="0" w:color="365F91"/>
              <w:left w:val="nil"/>
              <w:bottom w:val="single" w:sz="6" w:space="0" w:color="365F91"/>
              <w:right w:val="nil"/>
            </w:tcBorders>
            <w:shd w:val="clear" w:color="auto" w:fill="FFFFFF"/>
            <w:hideMark/>
          </w:tcPr>
          <w:p w14:paraId="65341DD3" w14:textId="77777777" w:rsidR="00FB19C0" w:rsidRPr="00BE78CA" w:rsidRDefault="00FB19C0" w:rsidP="00C26084">
            <w:pPr>
              <w:pStyle w:val="TableText"/>
              <w:spacing w:before="50" w:after="50"/>
              <w:jc w:val="center"/>
            </w:pPr>
            <w:r w:rsidRPr="00BE78CA">
              <w:t>±40</w:t>
            </w:r>
          </w:p>
        </w:tc>
      </w:tr>
    </w:tbl>
    <w:p w14:paraId="26934EA3" w14:textId="77777777" w:rsidR="00FB19C0" w:rsidRPr="00BE78CA" w:rsidRDefault="00FB19C0" w:rsidP="00FB19C0">
      <w:pPr>
        <w:pStyle w:val="Heading4"/>
        <w:spacing w:before="320"/>
      </w:pPr>
      <w:r w:rsidRPr="00BE78CA">
        <w:lastRenderedPageBreak/>
        <w:t>Time-series consistency</w:t>
      </w:r>
    </w:p>
    <w:p w14:paraId="7C3C8945" w14:textId="77777777" w:rsidR="00FB19C0" w:rsidRPr="00BE78CA" w:rsidRDefault="00FB19C0" w:rsidP="00E4139F">
      <w:pPr>
        <w:pStyle w:val="BodyText"/>
        <w:spacing w:before="100" w:after="100"/>
        <w:rPr>
          <w:spacing w:val="-2"/>
        </w:rPr>
      </w:pPr>
      <w:r w:rsidRPr="00BE78CA">
        <w:rPr>
          <w:spacing w:val="-2"/>
        </w:rPr>
        <w:t xml:space="preserve">As a result of substantial changes in waste disposal practices over time (including closure of the majority of landfill sites that were operating in 1990), the move to waste levy and NZ ETS reporting and ongoing improvement in the quality and completeness of activity data for </w:t>
      </w:r>
      <w:r w:rsidRPr="00BE78CA">
        <w:rPr>
          <w:i/>
          <w:spacing w:val="-2"/>
        </w:rPr>
        <w:t>Solid waste disposal</w:t>
      </w:r>
      <w:r w:rsidRPr="00BE78CA">
        <w:rPr>
          <w:spacing w:val="-2"/>
        </w:rPr>
        <w:t xml:space="preserve">, the basis for calculating emissions has changed significantly. However, these changes have had little effect on the apparent consistency of data or the implied emission factors, because they have occurred gradually and they affect </w:t>
      </w:r>
      <w:r w:rsidRPr="00BE78CA">
        <w:rPr>
          <w:rFonts w:cs="Arial"/>
          <w:bCs/>
          <w:spacing w:val="-2"/>
        </w:rPr>
        <w:t>CH</w:t>
      </w:r>
      <w:r w:rsidRPr="00BE78CA">
        <w:rPr>
          <w:rFonts w:cs="Arial"/>
          <w:bCs/>
          <w:spacing w:val="-2"/>
          <w:vertAlign w:val="subscript"/>
        </w:rPr>
        <w:t>4</w:t>
      </w:r>
      <w:r w:rsidRPr="00BE78CA">
        <w:rPr>
          <w:spacing w:val="-2"/>
        </w:rPr>
        <w:t xml:space="preserve"> emissions over a long period.</w:t>
      </w:r>
    </w:p>
    <w:p w14:paraId="396B15E7" w14:textId="77777777" w:rsidR="00FB19C0" w:rsidRPr="00BE78CA" w:rsidRDefault="00FB19C0" w:rsidP="00FB19C0">
      <w:pPr>
        <w:pStyle w:val="Heading3"/>
      </w:pPr>
      <w:bookmarkStart w:id="2940" w:name="_Toc32828333"/>
      <w:r w:rsidRPr="00BE78CA">
        <w:t>7.2.4</w:t>
      </w:r>
      <w:r w:rsidRPr="00BE78CA">
        <w:tab/>
        <w:t>Source-specific QA/QC verification</w:t>
      </w:r>
      <w:bookmarkEnd w:id="2940"/>
    </w:p>
    <w:p w14:paraId="5C33FFE1" w14:textId="77777777" w:rsidR="00FB19C0" w:rsidRPr="00BE78CA" w:rsidRDefault="00FB19C0" w:rsidP="00E4139F">
      <w:pPr>
        <w:pStyle w:val="BodyText"/>
        <w:spacing w:before="100" w:after="100"/>
      </w:pPr>
      <w:r w:rsidRPr="00BE78CA">
        <w:rPr>
          <w:i/>
        </w:rPr>
        <w:t>Solid waste disposal</w:t>
      </w:r>
      <w:r w:rsidRPr="00BE78CA">
        <w:t xml:space="preserve"> is a key category. In the preparation of this submission, the data for this category underwent Tier 1 quality checks.</w:t>
      </w:r>
    </w:p>
    <w:p w14:paraId="51EC4715" w14:textId="77777777" w:rsidR="00FB19C0" w:rsidRPr="00BE78CA" w:rsidRDefault="00FB19C0" w:rsidP="00FB19C0">
      <w:pPr>
        <w:pStyle w:val="Heading3"/>
      </w:pPr>
      <w:bookmarkStart w:id="2941" w:name="_Toc32828334"/>
      <w:r w:rsidRPr="00BE78CA">
        <w:t>7.2.5</w:t>
      </w:r>
      <w:r w:rsidRPr="00BE78CA">
        <w:tab/>
        <w:t>Source-specific recalculations</w:t>
      </w:r>
      <w:bookmarkEnd w:id="2941"/>
    </w:p>
    <w:p w14:paraId="706FE37E" w14:textId="77777777" w:rsidR="00FB19C0" w:rsidRPr="00BE78CA" w:rsidRDefault="00FB19C0" w:rsidP="00E4139F">
      <w:pPr>
        <w:pStyle w:val="BodyText"/>
        <w:spacing w:before="100" w:after="100"/>
      </w:pPr>
      <w:r w:rsidRPr="00BE78CA">
        <w:t xml:space="preserve">Minor changes made within the </w:t>
      </w:r>
      <w:r w:rsidRPr="00BE78CA">
        <w:rPr>
          <w:i/>
        </w:rPr>
        <w:t xml:space="preserve">Solid waste disposal </w:t>
      </w:r>
      <w:r w:rsidRPr="00BE78CA">
        <w:t>category have led to recalculations of estimates for the full time series in the 2021 submission. Overall, recalculations and improvements have resulted in a decrease in emissions of 373.3 kt CO</w:t>
      </w:r>
      <w:r w:rsidRPr="00BE78CA">
        <w:rPr>
          <w:vertAlign w:val="subscript"/>
        </w:rPr>
        <w:t>2</w:t>
      </w:r>
      <w:r w:rsidRPr="00BE78CA">
        <w:t>-e in 1990 and a decrease of 902.1 kt CO</w:t>
      </w:r>
      <w:r w:rsidRPr="00BE78CA">
        <w:rPr>
          <w:vertAlign w:val="subscript"/>
        </w:rPr>
        <w:t>2</w:t>
      </w:r>
      <w:r w:rsidRPr="00BE78CA">
        <w:t>-e in 2018.</w:t>
      </w:r>
    </w:p>
    <w:p w14:paraId="0F774413" w14:textId="77777777" w:rsidR="00FB19C0" w:rsidRPr="00BE78CA" w:rsidRDefault="00FB19C0" w:rsidP="00E4139F">
      <w:pPr>
        <w:pStyle w:val="BodyText"/>
        <w:spacing w:before="100" w:after="100"/>
      </w:pPr>
      <w:r w:rsidRPr="00BE78CA">
        <w:t>The largest change is the result of changing a significant amount of farm waste to be disposed by open burning instead of landfill, resulting in a decrease in emissions from farm fills of 642.5 kt CO</w:t>
      </w:r>
      <w:r w:rsidRPr="00BE78CA">
        <w:rPr>
          <w:vertAlign w:val="subscript"/>
        </w:rPr>
        <w:t>2</w:t>
      </w:r>
      <w:r w:rsidRPr="00BE78CA">
        <w:t>-e in 1990 and a decrease of 552.0 kt CO</w:t>
      </w:r>
      <w:r w:rsidRPr="00BE78CA">
        <w:rPr>
          <w:vertAlign w:val="subscript"/>
        </w:rPr>
        <w:t>2</w:t>
      </w:r>
      <w:r w:rsidRPr="00BE78CA">
        <w:t>-e in 2018. Recalculations are described in greater detail in chapter 10 of this submission.</w:t>
      </w:r>
    </w:p>
    <w:p w14:paraId="6D7B4492" w14:textId="77777777" w:rsidR="00FB19C0" w:rsidRPr="00BE78CA" w:rsidRDefault="00FB19C0" w:rsidP="00FB19C0">
      <w:pPr>
        <w:pStyle w:val="Heading3"/>
      </w:pPr>
      <w:bookmarkStart w:id="2942" w:name="_Toc32828335"/>
      <w:r w:rsidRPr="00BE78CA">
        <w:t>7.2.6</w:t>
      </w:r>
      <w:r w:rsidRPr="00BE78CA">
        <w:tab/>
        <w:t>Source-specific planned improvements</w:t>
      </w:r>
      <w:bookmarkEnd w:id="2942"/>
    </w:p>
    <w:p w14:paraId="2D0293AB" w14:textId="77777777" w:rsidR="00FB19C0" w:rsidRPr="00BE78CA" w:rsidRDefault="00FB19C0" w:rsidP="00FB19C0">
      <w:pPr>
        <w:pStyle w:val="BodyText"/>
      </w:pPr>
      <w:r w:rsidRPr="00BE78CA">
        <w:t>No improvements are planned in this category.</w:t>
      </w:r>
    </w:p>
    <w:p w14:paraId="56E7E00F" w14:textId="3BA67385" w:rsidR="00FB19C0" w:rsidRPr="00BE78CA" w:rsidRDefault="00FB19C0" w:rsidP="00FB19C0">
      <w:pPr>
        <w:pStyle w:val="BodyText"/>
        <w:spacing w:before="100" w:after="80"/>
      </w:pPr>
      <w:r w:rsidRPr="00BE78CA">
        <w:t xml:space="preserve">Several areas in the </w:t>
      </w:r>
      <w:r w:rsidRPr="00BE78CA">
        <w:rPr>
          <w:i/>
        </w:rPr>
        <w:t>Solid waste disposal</w:t>
      </w:r>
      <w:r w:rsidRPr="00BE78CA">
        <w:t xml:space="preserve"> category are being considered for future improvements particularly for </w:t>
      </w:r>
      <w:r w:rsidRPr="00BE78CA">
        <w:rPr>
          <w:i/>
          <w:iCs/>
        </w:rPr>
        <w:t>Unmanaged waste disposal sites</w:t>
      </w:r>
      <w:r w:rsidRPr="00BE78CA">
        <w:t xml:space="preserve"> (non-municipal landfills and</w:t>
      </w:r>
      <w:r w:rsidR="00A554F4" w:rsidRPr="00BE78CA">
        <w:t> </w:t>
      </w:r>
      <w:r w:rsidRPr="00BE78CA">
        <w:t>farm fills) depending on the availability of budget and resourcing.</w:t>
      </w:r>
    </w:p>
    <w:p w14:paraId="188B9098" w14:textId="77777777" w:rsidR="00FB19C0" w:rsidRPr="00BE78CA" w:rsidRDefault="00FB19C0" w:rsidP="00FB19C0">
      <w:pPr>
        <w:pStyle w:val="BodyText"/>
      </w:pPr>
      <w:r w:rsidRPr="00BE78CA">
        <w:t>Regional councils in Canterbury, Waikato and other regions are likely to continue to carry out surveys and other research on farm waste disposal over time. As and when better activity data become available, they will be used to improve the estimates of waste disposal on farms, which is the largest source of emissions in the Waste sector.</w:t>
      </w:r>
    </w:p>
    <w:p w14:paraId="3D36D556" w14:textId="77777777" w:rsidR="00FB19C0" w:rsidRPr="00BE78CA" w:rsidRDefault="00FB19C0" w:rsidP="00FB19C0">
      <w:pPr>
        <w:pStyle w:val="BodyText"/>
      </w:pPr>
      <w:r w:rsidRPr="00BE78CA">
        <w:t>Emissions of carbon monoxide, oxides of nitrogen and non-methane volatile organic compounds for landfills have not been estimated for this submission. These emissions are considered likely to be immaterial, but the inventory agency will consider estimating them for future submissions.</w:t>
      </w:r>
    </w:p>
    <w:p w14:paraId="7BA30DF8" w14:textId="77777777" w:rsidR="00FB19C0" w:rsidRPr="00BE78CA" w:rsidRDefault="00FB19C0" w:rsidP="00FB19C0">
      <w:pPr>
        <w:pStyle w:val="Heading2"/>
      </w:pPr>
      <w:bookmarkStart w:id="2943" w:name="_Toc32828336"/>
      <w:bookmarkStart w:id="2944" w:name="_Toc5269388"/>
      <w:bookmarkStart w:id="2945" w:name="_Toc511116626"/>
      <w:bookmarkStart w:id="2946" w:name="_Toc481751411"/>
      <w:bookmarkStart w:id="2947" w:name="_Toc448321549"/>
      <w:bookmarkStart w:id="2948" w:name="_Toc36224428"/>
      <w:bookmarkStart w:id="2949" w:name="_Toc68786348"/>
      <w:r w:rsidRPr="00BE78CA">
        <w:t>7.3</w:t>
      </w:r>
      <w:r w:rsidRPr="00BE78CA">
        <w:tab/>
        <w:t>Biological treatment of solid waste (5.B)</w:t>
      </w:r>
      <w:bookmarkEnd w:id="2943"/>
      <w:bookmarkEnd w:id="2944"/>
      <w:bookmarkEnd w:id="2945"/>
      <w:bookmarkEnd w:id="2946"/>
      <w:bookmarkEnd w:id="2947"/>
      <w:bookmarkEnd w:id="2948"/>
      <w:bookmarkEnd w:id="2949"/>
    </w:p>
    <w:p w14:paraId="395BD91B" w14:textId="77777777" w:rsidR="00FB19C0" w:rsidRPr="00BE78CA" w:rsidRDefault="00FB19C0" w:rsidP="00FB19C0">
      <w:pPr>
        <w:pStyle w:val="Heading3"/>
        <w:spacing w:before="180"/>
      </w:pPr>
      <w:bookmarkStart w:id="2950" w:name="_Toc32828337"/>
      <w:r w:rsidRPr="00BE78CA">
        <w:t xml:space="preserve">7.3.1 </w:t>
      </w:r>
      <w:r w:rsidRPr="00BE78CA">
        <w:tab/>
        <w:t>Description</w:t>
      </w:r>
      <w:bookmarkEnd w:id="2950"/>
    </w:p>
    <w:p w14:paraId="13A4BDF3" w14:textId="77777777" w:rsidR="00FB19C0" w:rsidRPr="00BE78CA" w:rsidRDefault="00FB19C0" w:rsidP="00FB19C0">
      <w:pPr>
        <w:pStyle w:val="BodyText"/>
      </w:pPr>
      <w:r w:rsidRPr="00BE78CA">
        <w:t>New Zealand has seen an increase in the use of commercial-scale composting of solid waste in recent years, in addition to ongoing household-scale composting of solid waste. Emissions from composting are reported for the first time in the 2019 submission in 5.B.1. No other biological treatment of solid waste occurs in New Zealand.</w:t>
      </w:r>
    </w:p>
    <w:p w14:paraId="3217BE4A" w14:textId="082EE598" w:rsidR="00FB19C0" w:rsidRPr="00BE78CA" w:rsidRDefault="00FB19C0" w:rsidP="00FB19C0">
      <w:pPr>
        <w:pStyle w:val="BodyText"/>
      </w:pPr>
      <w:r w:rsidRPr="00BE78CA">
        <w:lastRenderedPageBreak/>
        <w:t xml:space="preserve">In 2019, </w:t>
      </w:r>
      <w:r w:rsidRPr="00BE78CA">
        <w:rPr>
          <w:i/>
        </w:rPr>
        <w:t>Biological treatment of solid waste</w:t>
      </w:r>
      <w:r w:rsidRPr="00BE78CA">
        <w:t xml:space="preserve"> accounted for 65.2 kt CO</w:t>
      </w:r>
      <w:r w:rsidRPr="00BE78CA">
        <w:rPr>
          <w:vertAlign w:val="subscript"/>
        </w:rPr>
        <w:t>2</w:t>
      </w:r>
      <w:r w:rsidRPr="00BE78CA">
        <w:t>-e (2.0 per cent) of Waste sector emissions. This was an increase of 60.5 kt CO</w:t>
      </w:r>
      <w:r w:rsidRPr="00BE78CA">
        <w:rPr>
          <w:vertAlign w:val="subscript"/>
        </w:rPr>
        <w:t>2</w:t>
      </w:r>
      <w:r w:rsidRPr="00BE78CA">
        <w:t>-e (1</w:t>
      </w:r>
      <w:r w:rsidR="009B6005" w:rsidRPr="00BE78CA">
        <w:t>,</w:t>
      </w:r>
      <w:r w:rsidRPr="00BE78CA">
        <w:t>288.5 per cent) above the 1990 level of 4.7 kt CO</w:t>
      </w:r>
      <w:r w:rsidRPr="00BE78CA">
        <w:rPr>
          <w:vertAlign w:val="subscript"/>
        </w:rPr>
        <w:t>2</w:t>
      </w:r>
      <w:r w:rsidRPr="00BE78CA">
        <w:t>-e, and an increase of 6.8 kt CO</w:t>
      </w:r>
      <w:r w:rsidRPr="00BE78CA">
        <w:rPr>
          <w:vertAlign w:val="subscript"/>
        </w:rPr>
        <w:t>2</w:t>
      </w:r>
      <w:r w:rsidRPr="00BE78CA">
        <w:t>-e (11.7 per cent) from 2018.</w:t>
      </w:r>
    </w:p>
    <w:p w14:paraId="53EBDA66" w14:textId="77777777" w:rsidR="00FB19C0" w:rsidRPr="00BE78CA" w:rsidRDefault="00FB19C0" w:rsidP="00FB19C0">
      <w:pPr>
        <w:pStyle w:val="Heading3"/>
      </w:pPr>
      <w:bookmarkStart w:id="2951" w:name="_Toc32828338"/>
      <w:r w:rsidRPr="00BE78CA">
        <w:t>7.3.2</w:t>
      </w:r>
      <w:r w:rsidRPr="00BE78CA">
        <w:tab/>
        <w:t>Methodological issues</w:t>
      </w:r>
      <w:bookmarkEnd w:id="2951"/>
    </w:p>
    <w:p w14:paraId="1A2659C4" w14:textId="77777777" w:rsidR="00FB19C0" w:rsidRPr="00BE78CA" w:rsidRDefault="00FB19C0" w:rsidP="00FB19C0">
      <w:pPr>
        <w:pStyle w:val="Heading4"/>
        <w:spacing w:before="180"/>
      </w:pPr>
      <w:r w:rsidRPr="00BE78CA">
        <w:t>Choice of activity data</w:t>
      </w:r>
    </w:p>
    <w:p w14:paraId="4C4E7E75" w14:textId="77777777" w:rsidR="00FB19C0" w:rsidRPr="00BE78CA" w:rsidRDefault="00FB19C0" w:rsidP="00FB19C0">
      <w:pPr>
        <w:pStyle w:val="BodyText"/>
        <w:rPr>
          <w:rFonts w:eastAsia="+mn-ea"/>
        </w:rPr>
      </w:pPr>
      <w:r w:rsidRPr="00BE78CA">
        <w:rPr>
          <w:rFonts w:eastAsia="+mn-ea"/>
        </w:rPr>
        <w:t>Activity data have been estimated based on expert judgement, in part using evidence of large</w:t>
      </w:r>
      <w:r w:rsidRPr="00BE78CA">
        <w:rPr>
          <w:rFonts w:eastAsia="+mn-ea"/>
        </w:rPr>
        <w:noBreakHyphen/>
        <w:t xml:space="preserve">scale commercial composting operating around New Zealand. In 1990, it is estimated that an equivalent of 1 per cent of total municipal solid waste was composted </w:t>
      </w:r>
      <w:r w:rsidRPr="00BE78CA">
        <w:t xml:space="preserve">(refer to the total solid waste reported in table 7.2.2). Between 1991 and 2008, this amount was assumed to grow by 2 per cent per annum. </w:t>
      </w:r>
      <w:r w:rsidRPr="00BE78CA">
        <w:rPr>
          <w:rFonts w:eastAsia="+mn-ea"/>
        </w:rPr>
        <w:t>Between 2009 and 2018, this amount is estimated to have grown much faster (between 10 and 40 per cent per annum), to align to reported volumes for 2019 (Eunomia, unpublished(b)). This reflects the increase in commercial-scale composting estimated since 2009. Activity data for composting can be derived from table 7.2.3 using this description.</w:t>
      </w:r>
    </w:p>
    <w:p w14:paraId="7A562891" w14:textId="77777777" w:rsidR="00FB19C0" w:rsidRPr="00BE78CA" w:rsidRDefault="00FB19C0" w:rsidP="00FB19C0">
      <w:pPr>
        <w:pStyle w:val="BodyText"/>
        <w:rPr>
          <w:rFonts w:eastAsia="+mn-ea"/>
        </w:rPr>
      </w:pPr>
      <w:r w:rsidRPr="00BE78CA">
        <w:rPr>
          <w:rFonts w:eastAsia="+mn-ea"/>
        </w:rPr>
        <w:t xml:space="preserve">Note that the proportion of food and garden waste disposed to managed landfills has decreased between 2012 and 2018 (see table 7.2.5). While this has not been demonstrated to be a direct result, it is consistent with the trend towards composting. </w:t>
      </w:r>
    </w:p>
    <w:p w14:paraId="565F2940" w14:textId="77777777" w:rsidR="00FB19C0" w:rsidRPr="00BE78CA" w:rsidRDefault="00FB19C0" w:rsidP="00FB19C0">
      <w:pPr>
        <w:pStyle w:val="Heading4"/>
      </w:pPr>
      <w:r w:rsidRPr="00BE78CA">
        <w:t>Choice of methods</w:t>
      </w:r>
    </w:p>
    <w:p w14:paraId="1BBE6FB8" w14:textId="77777777" w:rsidR="00FB19C0" w:rsidRPr="00BE78CA" w:rsidRDefault="00FB19C0" w:rsidP="00FB19C0">
      <w:pPr>
        <w:pStyle w:val="BodyText"/>
      </w:pPr>
      <w:r w:rsidRPr="00BE78CA">
        <w:t>Estimates of direct emissions from the composting of solid waste are made using the default Tier 1 methodology (IPCC, 2006a).</w:t>
      </w:r>
    </w:p>
    <w:p w14:paraId="73D095CC" w14:textId="77777777" w:rsidR="00FB19C0" w:rsidRPr="00BE78CA" w:rsidRDefault="00FB19C0" w:rsidP="00FB19C0">
      <w:pPr>
        <w:pStyle w:val="Heading4"/>
      </w:pPr>
      <w:r w:rsidRPr="00BE78CA">
        <w:t>Choice of emission factors</w:t>
      </w:r>
    </w:p>
    <w:p w14:paraId="240F968B" w14:textId="77777777" w:rsidR="00FB19C0" w:rsidRPr="00BE78CA" w:rsidRDefault="00FB19C0" w:rsidP="00FB19C0">
      <w:pPr>
        <w:pStyle w:val="BodyText"/>
      </w:pPr>
      <w:r w:rsidRPr="00BE78CA">
        <w:t>IPCC default parameters are used, as detailed in table 7.3.1.</w:t>
      </w:r>
    </w:p>
    <w:p w14:paraId="050F0779" w14:textId="77777777" w:rsidR="00FB19C0" w:rsidRPr="00BE78CA" w:rsidRDefault="00FB19C0" w:rsidP="00FB19C0">
      <w:pPr>
        <w:pStyle w:val="Table"/>
      </w:pPr>
      <w:bookmarkStart w:id="2952" w:name="_Toc32828528"/>
      <w:bookmarkStart w:id="2953" w:name="_Toc32591358"/>
      <w:bookmarkStart w:id="2954" w:name="_Toc5269570"/>
      <w:bookmarkStart w:id="2955" w:name="_Toc36224651"/>
      <w:bookmarkStart w:id="2956" w:name="_Toc68786537"/>
      <w:r w:rsidRPr="00BE78CA">
        <w:t xml:space="preserve">Table 7.3.1 </w:t>
      </w:r>
      <w:r w:rsidRPr="00BE78CA">
        <w:tab/>
        <w:t>Emission factors applied to estimate emissions from composting</w:t>
      </w:r>
      <w:bookmarkEnd w:id="2952"/>
      <w:bookmarkEnd w:id="2953"/>
      <w:bookmarkEnd w:id="2954"/>
      <w:bookmarkEnd w:id="2955"/>
      <w:bookmarkEnd w:id="2956"/>
    </w:p>
    <w:tbl>
      <w:tblPr>
        <w:tblW w:w="8505" w:type="dxa"/>
        <w:tblLook w:val="04A0" w:firstRow="1" w:lastRow="0" w:firstColumn="1" w:lastColumn="0" w:noHBand="0" w:noVBand="1"/>
      </w:tblPr>
      <w:tblGrid>
        <w:gridCol w:w="3453"/>
        <w:gridCol w:w="2592"/>
        <w:gridCol w:w="2460"/>
      </w:tblGrid>
      <w:tr w:rsidR="00FB19C0" w:rsidRPr="00BE78CA" w14:paraId="6530315C" w14:textId="77777777" w:rsidTr="00E4139F">
        <w:tc>
          <w:tcPr>
            <w:tcW w:w="3501" w:type="dxa"/>
            <w:tcBorders>
              <w:top w:val="single" w:sz="4" w:space="0" w:color="365F91"/>
              <w:left w:val="nil"/>
              <w:bottom w:val="single" w:sz="4" w:space="0" w:color="365F91"/>
              <w:right w:val="nil"/>
            </w:tcBorders>
            <w:shd w:val="clear" w:color="auto" w:fill="365F91"/>
            <w:hideMark/>
          </w:tcPr>
          <w:p w14:paraId="2C9E708B" w14:textId="77777777" w:rsidR="00FB19C0" w:rsidRPr="00BE78CA" w:rsidRDefault="00FB19C0" w:rsidP="00C26084">
            <w:pPr>
              <w:pStyle w:val="TableTextBold"/>
              <w:rPr>
                <w:noProof w:val="0"/>
                <w:color w:val="FFFFFF"/>
              </w:rPr>
            </w:pPr>
            <w:r w:rsidRPr="00BE78CA">
              <w:rPr>
                <w:noProof w:val="0"/>
                <w:color w:val="FFFFFF"/>
              </w:rPr>
              <w:t>Emission factor for composting</w:t>
            </w:r>
          </w:p>
        </w:tc>
        <w:tc>
          <w:tcPr>
            <w:tcW w:w="2625" w:type="dxa"/>
            <w:tcBorders>
              <w:top w:val="single" w:sz="4" w:space="0" w:color="365F91"/>
              <w:left w:val="nil"/>
              <w:bottom w:val="single" w:sz="4" w:space="0" w:color="365F91"/>
              <w:right w:val="nil"/>
            </w:tcBorders>
            <w:shd w:val="clear" w:color="auto" w:fill="365F91"/>
            <w:hideMark/>
          </w:tcPr>
          <w:p w14:paraId="55505831" w14:textId="77777777" w:rsidR="00FB19C0" w:rsidRPr="00BE78CA" w:rsidRDefault="00FB19C0" w:rsidP="00C26084">
            <w:pPr>
              <w:pStyle w:val="TableTextBold"/>
              <w:jc w:val="center"/>
              <w:rPr>
                <w:noProof w:val="0"/>
                <w:color w:val="FFFFFF"/>
              </w:rPr>
            </w:pPr>
            <w:r w:rsidRPr="00BE78CA">
              <w:rPr>
                <w:noProof w:val="0"/>
                <w:color w:val="FFFFFF"/>
              </w:rPr>
              <w:t>Emission factor (g/kg)</w:t>
            </w:r>
          </w:p>
        </w:tc>
        <w:tc>
          <w:tcPr>
            <w:tcW w:w="2487" w:type="dxa"/>
            <w:tcBorders>
              <w:top w:val="single" w:sz="4" w:space="0" w:color="365F91"/>
              <w:left w:val="nil"/>
              <w:bottom w:val="single" w:sz="4" w:space="0" w:color="365F91"/>
              <w:right w:val="nil"/>
            </w:tcBorders>
            <w:shd w:val="clear" w:color="auto" w:fill="365F91"/>
            <w:hideMark/>
          </w:tcPr>
          <w:p w14:paraId="06542586" w14:textId="77777777" w:rsidR="00FB19C0" w:rsidRPr="00BE78CA" w:rsidRDefault="00FB19C0" w:rsidP="00C26084">
            <w:pPr>
              <w:pStyle w:val="TableTextBold"/>
              <w:rPr>
                <w:noProof w:val="0"/>
                <w:color w:val="FFFFFF"/>
              </w:rPr>
            </w:pPr>
            <w:r w:rsidRPr="00BE78CA">
              <w:rPr>
                <w:noProof w:val="0"/>
                <w:color w:val="FFFFFF"/>
              </w:rPr>
              <w:t>Source</w:t>
            </w:r>
          </w:p>
        </w:tc>
      </w:tr>
      <w:tr w:rsidR="00FB19C0" w:rsidRPr="00BE78CA" w14:paraId="6B5A91FB" w14:textId="77777777" w:rsidTr="00E4139F">
        <w:tc>
          <w:tcPr>
            <w:tcW w:w="3501" w:type="dxa"/>
            <w:tcBorders>
              <w:top w:val="single" w:sz="4" w:space="0" w:color="365F91"/>
              <w:left w:val="nil"/>
              <w:bottom w:val="single" w:sz="4" w:space="0" w:color="365F91"/>
              <w:right w:val="nil"/>
            </w:tcBorders>
            <w:hideMark/>
          </w:tcPr>
          <w:p w14:paraId="04E292A8" w14:textId="77777777" w:rsidR="00FB19C0" w:rsidRPr="00BE78CA" w:rsidRDefault="00FB19C0" w:rsidP="00C26084">
            <w:pPr>
              <w:pStyle w:val="TableText"/>
            </w:pPr>
            <w:r w:rsidRPr="00BE78CA">
              <w:t>Methane</w:t>
            </w:r>
          </w:p>
        </w:tc>
        <w:tc>
          <w:tcPr>
            <w:tcW w:w="2625" w:type="dxa"/>
            <w:tcBorders>
              <w:top w:val="single" w:sz="4" w:space="0" w:color="365F91"/>
              <w:left w:val="nil"/>
              <w:bottom w:val="single" w:sz="4" w:space="0" w:color="365F91"/>
              <w:right w:val="nil"/>
            </w:tcBorders>
            <w:hideMark/>
          </w:tcPr>
          <w:p w14:paraId="0320F0A8" w14:textId="77777777" w:rsidR="00FB19C0" w:rsidRPr="00BE78CA" w:rsidRDefault="00FB19C0" w:rsidP="00C26084">
            <w:pPr>
              <w:pStyle w:val="TableText"/>
              <w:ind w:right="373"/>
              <w:jc w:val="center"/>
              <w:rPr>
                <w:rFonts w:cs="Arial"/>
                <w:szCs w:val="16"/>
              </w:rPr>
            </w:pPr>
            <w:r w:rsidRPr="00BE78CA">
              <w:t>4.0</w:t>
            </w:r>
          </w:p>
        </w:tc>
        <w:tc>
          <w:tcPr>
            <w:tcW w:w="2487" w:type="dxa"/>
            <w:tcBorders>
              <w:top w:val="single" w:sz="4" w:space="0" w:color="365F91"/>
              <w:left w:val="nil"/>
              <w:bottom w:val="single" w:sz="4" w:space="0" w:color="365F91"/>
              <w:right w:val="nil"/>
            </w:tcBorders>
            <w:hideMark/>
          </w:tcPr>
          <w:p w14:paraId="21BD044C" w14:textId="77777777" w:rsidR="00FB19C0" w:rsidRPr="00BE78CA" w:rsidRDefault="00FB19C0" w:rsidP="00C26084">
            <w:pPr>
              <w:pStyle w:val="TableText"/>
              <w:ind w:right="373"/>
              <w:rPr>
                <w:rFonts w:cs="Arial"/>
                <w:szCs w:val="16"/>
              </w:rPr>
            </w:pPr>
            <w:r w:rsidRPr="00BE78CA">
              <w:rPr>
                <w:rFonts w:cs="Arial"/>
                <w:szCs w:val="16"/>
              </w:rPr>
              <w:t>IPCC (2006a)</w:t>
            </w:r>
          </w:p>
        </w:tc>
      </w:tr>
      <w:tr w:rsidR="00FB19C0" w:rsidRPr="00BE78CA" w14:paraId="758DB3BE" w14:textId="77777777" w:rsidTr="00E4139F">
        <w:tc>
          <w:tcPr>
            <w:tcW w:w="3501" w:type="dxa"/>
            <w:tcBorders>
              <w:top w:val="single" w:sz="4" w:space="0" w:color="365F91"/>
              <w:left w:val="nil"/>
              <w:bottom w:val="single" w:sz="4" w:space="0" w:color="365F91"/>
              <w:right w:val="nil"/>
            </w:tcBorders>
            <w:hideMark/>
          </w:tcPr>
          <w:p w14:paraId="0C9F27C6" w14:textId="77777777" w:rsidR="00FB19C0" w:rsidRPr="00BE78CA" w:rsidRDefault="00FB19C0" w:rsidP="00C26084">
            <w:pPr>
              <w:pStyle w:val="TableText"/>
            </w:pPr>
            <w:r w:rsidRPr="00BE78CA">
              <w:t>Nitrous oxide</w:t>
            </w:r>
          </w:p>
        </w:tc>
        <w:tc>
          <w:tcPr>
            <w:tcW w:w="2625" w:type="dxa"/>
            <w:tcBorders>
              <w:top w:val="single" w:sz="4" w:space="0" w:color="365F91"/>
              <w:left w:val="nil"/>
              <w:bottom w:val="single" w:sz="4" w:space="0" w:color="365F91"/>
              <w:right w:val="nil"/>
            </w:tcBorders>
            <w:hideMark/>
          </w:tcPr>
          <w:p w14:paraId="50C58576" w14:textId="77777777" w:rsidR="00FB19C0" w:rsidRPr="00BE78CA" w:rsidRDefault="00FB19C0" w:rsidP="00C26084">
            <w:pPr>
              <w:pStyle w:val="TableText"/>
              <w:ind w:right="373"/>
              <w:jc w:val="center"/>
              <w:rPr>
                <w:rFonts w:cs="Arial"/>
                <w:szCs w:val="16"/>
              </w:rPr>
            </w:pPr>
            <w:r w:rsidRPr="00BE78CA">
              <w:t>0.24</w:t>
            </w:r>
          </w:p>
        </w:tc>
        <w:tc>
          <w:tcPr>
            <w:tcW w:w="2487" w:type="dxa"/>
            <w:tcBorders>
              <w:top w:val="single" w:sz="4" w:space="0" w:color="365F91"/>
              <w:left w:val="nil"/>
              <w:bottom w:val="single" w:sz="4" w:space="0" w:color="365F91"/>
              <w:right w:val="nil"/>
            </w:tcBorders>
            <w:hideMark/>
          </w:tcPr>
          <w:p w14:paraId="449DD1FD" w14:textId="77777777" w:rsidR="00FB19C0" w:rsidRPr="00BE78CA" w:rsidRDefault="00FB19C0" w:rsidP="00C26084">
            <w:pPr>
              <w:pStyle w:val="TableText"/>
              <w:ind w:right="373"/>
              <w:rPr>
                <w:rFonts w:cs="Arial"/>
                <w:szCs w:val="16"/>
              </w:rPr>
            </w:pPr>
            <w:r w:rsidRPr="00BE78CA">
              <w:rPr>
                <w:rFonts w:cs="Arial"/>
                <w:szCs w:val="16"/>
              </w:rPr>
              <w:t>IPCC (2006a)</w:t>
            </w:r>
          </w:p>
        </w:tc>
      </w:tr>
    </w:tbl>
    <w:p w14:paraId="5835823F" w14:textId="77777777" w:rsidR="00FB19C0" w:rsidRPr="00BE78CA" w:rsidRDefault="00FB19C0" w:rsidP="00FB19C0">
      <w:pPr>
        <w:pStyle w:val="BodyText"/>
        <w:spacing w:before="240"/>
      </w:pPr>
      <w:r w:rsidRPr="00BE78CA">
        <w:t>The emission factors are sourced from table 4.1 of volume 5, chapter 4 of the IPCC Guidelines (2006a).</w:t>
      </w:r>
    </w:p>
    <w:p w14:paraId="17D29F67" w14:textId="77777777" w:rsidR="00FB19C0" w:rsidRPr="00BE78CA" w:rsidRDefault="00FB19C0" w:rsidP="00FB19C0">
      <w:pPr>
        <w:pStyle w:val="Heading3"/>
      </w:pPr>
      <w:bookmarkStart w:id="2957" w:name="_Toc32828339"/>
      <w:bookmarkStart w:id="2958" w:name="_Toc511116627"/>
      <w:bookmarkStart w:id="2959" w:name="_Toc481751412"/>
      <w:bookmarkStart w:id="2960" w:name="_Toc448321550"/>
      <w:r w:rsidRPr="00BE78CA">
        <w:t>7.3.3</w:t>
      </w:r>
      <w:r w:rsidRPr="00BE78CA">
        <w:tab/>
        <w:t>Uncertainties and time-series consistency</w:t>
      </w:r>
      <w:bookmarkEnd w:id="2957"/>
    </w:p>
    <w:p w14:paraId="0639F735" w14:textId="77777777" w:rsidR="00FB19C0" w:rsidRPr="00BE78CA" w:rsidRDefault="00FB19C0" w:rsidP="00FB19C0">
      <w:pPr>
        <w:pStyle w:val="Heading4"/>
        <w:spacing w:before="180"/>
      </w:pPr>
      <w:r w:rsidRPr="00BE78CA">
        <w:t>Uncertainties</w:t>
      </w:r>
    </w:p>
    <w:p w14:paraId="78CD55FC" w14:textId="77777777" w:rsidR="00FB19C0" w:rsidRPr="00BE78CA" w:rsidRDefault="00FB19C0" w:rsidP="00FB19C0">
      <w:pPr>
        <w:pStyle w:val="BodyText"/>
      </w:pPr>
      <w:r w:rsidRPr="00BE78CA">
        <w:t>As per the IPCC recommendation for uncertainties relating to activity data (IPCC, 2006a), when data quality is poor it can vary by more than a factor of two, or ±&gt;100 per cent. In this case, ±100 per cent is applied because, while data quality is poor, some data are available.</w:t>
      </w:r>
    </w:p>
    <w:p w14:paraId="7868AB6A" w14:textId="77777777" w:rsidR="00FB19C0" w:rsidRPr="00BE78CA" w:rsidRDefault="00FB19C0" w:rsidP="00FB19C0">
      <w:pPr>
        <w:pStyle w:val="BodyText"/>
      </w:pPr>
      <w:r w:rsidRPr="00BE78CA">
        <w:t>Uncertainties in emission factors are based on the range of the emission factors relative to the default (IPCC, 2006a), and the uncertainty for the default CH</w:t>
      </w:r>
      <w:r w:rsidRPr="00BE78CA">
        <w:rPr>
          <w:vertAlign w:val="subscript"/>
        </w:rPr>
        <w:t>4</w:t>
      </w:r>
      <w:r w:rsidRPr="00BE78CA">
        <w:t xml:space="preserve"> emission factor is about ±100 per cent. The range for the N</w:t>
      </w:r>
      <w:r w:rsidRPr="00BE78CA">
        <w:rPr>
          <w:vertAlign w:val="subscript"/>
        </w:rPr>
        <w:t>2</w:t>
      </w:r>
      <w:r w:rsidRPr="00BE78CA">
        <w:t>O emission factor is +150 per cent and –75 per cent, so the uncertainty is given as ±150 per cent. Table 7.3.2 presents uncertainties for composting.</w:t>
      </w:r>
    </w:p>
    <w:p w14:paraId="6284FFE9" w14:textId="77777777" w:rsidR="00FB19C0" w:rsidRPr="00BE78CA" w:rsidRDefault="00FB19C0" w:rsidP="00FB19C0">
      <w:pPr>
        <w:pStyle w:val="Table"/>
      </w:pPr>
      <w:bookmarkStart w:id="2961" w:name="_Toc32828529"/>
      <w:bookmarkStart w:id="2962" w:name="_Toc32591359"/>
      <w:bookmarkStart w:id="2963" w:name="_Toc5269571"/>
      <w:bookmarkStart w:id="2964" w:name="_Toc36224652"/>
      <w:bookmarkStart w:id="2965" w:name="_Toc68786538"/>
      <w:r w:rsidRPr="00BE78CA">
        <w:lastRenderedPageBreak/>
        <w:t>Table 7.3.2</w:t>
      </w:r>
      <w:r w:rsidRPr="00BE78CA">
        <w:tab/>
        <w:t>Uncertainty in emissions from compost</w:t>
      </w:r>
      <w:bookmarkEnd w:id="2961"/>
      <w:bookmarkEnd w:id="2962"/>
      <w:bookmarkEnd w:id="2963"/>
      <w:bookmarkEnd w:id="2964"/>
      <w:bookmarkEnd w:id="2965"/>
    </w:p>
    <w:tbl>
      <w:tblPr>
        <w:tblW w:w="8505" w:type="dxa"/>
        <w:tblBorders>
          <w:top w:val="single" w:sz="6" w:space="0" w:color="365F91"/>
          <w:bottom w:val="single" w:sz="6" w:space="0" w:color="365F91"/>
          <w:insideH w:val="single" w:sz="6" w:space="0" w:color="365F91"/>
        </w:tblBorders>
        <w:tblLook w:val="04A0" w:firstRow="1" w:lastRow="0" w:firstColumn="1" w:lastColumn="0" w:noHBand="0" w:noVBand="1"/>
      </w:tblPr>
      <w:tblGrid>
        <w:gridCol w:w="2620"/>
        <w:gridCol w:w="2787"/>
        <w:gridCol w:w="3098"/>
      </w:tblGrid>
      <w:tr w:rsidR="00FB19C0" w:rsidRPr="00BE78CA" w14:paraId="18930DA2" w14:textId="77777777" w:rsidTr="00E4139F">
        <w:tc>
          <w:tcPr>
            <w:tcW w:w="2620" w:type="dxa"/>
            <w:tcBorders>
              <w:top w:val="single" w:sz="4" w:space="0" w:color="365F91"/>
              <w:left w:val="nil"/>
              <w:bottom w:val="single" w:sz="4" w:space="0" w:color="365F91"/>
              <w:right w:val="nil"/>
            </w:tcBorders>
            <w:shd w:val="clear" w:color="auto" w:fill="365F91"/>
            <w:hideMark/>
          </w:tcPr>
          <w:p w14:paraId="235A77F8" w14:textId="77777777" w:rsidR="00FB19C0" w:rsidRPr="00BE78CA" w:rsidRDefault="00FB19C0" w:rsidP="00E4139F">
            <w:pPr>
              <w:pStyle w:val="TableTextBold"/>
              <w:keepNext/>
              <w:spacing w:before="50" w:after="50"/>
              <w:rPr>
                <w:noProof w:val="0"/>
                <w:color w:val="FFFFFF"/>
              </w:rPr>
            </w:pPr>
            <w:r w:rsidRPr="00BE78CA">
              <w:rPr>
                <w:noProof w:val="0"/>
                <w:color w:val="FFFFFF"/>
              </w:rPr>
              <w:t>Emissions category</w:t>
            </w:r>
          </w:p>
        </w:tc>
        <w:tc>
          <w:tcPr>
            <w:tcW w:w="2787" w:type="dxa"/>
            <w:tcBorders>
              <w:top w:val="single" w:sz="4" w:space="0" w:color="365F91"/>
              <w:left w:val="nil"/>
              <w:bottom w:val="single" w:sz="4" w:space="0" w:color="365F91"/>
              <w:right w:val="nil"/>
            </w:tcBorders>
            <w:shd w:val="clear" w:color="auto" w:fill="365F91"/>
            <w:hideMark/>
          </w:tcPr>
          <w:p w14:paraId="60B93544" w14:textId="77777777" w:rsidR="00FB19C0" w:rsidRPr="00BE78CA" w:rsidRDefault="00FB19C0" w:rsidP="00E4139F">
            <w:pPr>
              <w:pStyle w:val="TableTextBold"/>
              <w:keepNext/>
              <w:spacing w:before="50" w:after="50"/>
              <w:jc w:val="center"/>
              <w:rPr>
                <w:noProof w:val="0"/>
                <w:color w:val="FFFFFF"/>
              </w:rPr>
            </w:pPr>
            <w:r w:rsidRPr="00BE78CA">
              <w:rPr>
                <w:noProof w:val="0"/>
                <w:color w:val="FFFFFF"/>
              </w:rPr>
              <w:t>Uncertainty in activity data (%)</w:t>
            </w:r>
          </w:p>
        </w:tc>
        <w:tc>
          <w:tcPr>
            <w:tcW w:w="3098" w:type="dxa"/>
            <w:tcBorders>
              <w:top w:val="single" w:sz="4" w:space="0" w:color="365F91"/>
              <w:left w:val="nil"/>
              <w:bottom w:val="single" w:sz="4" w:space="0" w:color="365F91"/>
              <w:right w:val="nil"/>
            </w:tcBorders>
            <w:shd w:val="clear" w:color="auto" w:fill="365F91"/>
            <w:hideMark/>
          </w:tcPr>
          <w:p w14:paraId="3C3D592E" w14:textId="77777777" w:rsidR="00FB19C0" w:rsidRPr="00BE78CA" w:rsidRDefault="00FB19C0" w:rsidP="00E4139F">
            <w:pPr>
              <w:pStyle w:val="TableTextBold"/>
              <w:keepNext/>
              <w:spacing w:before="50" w:after="50"/>
              <w:jc w:val="center"/>
              <w:rPr>
                <w:noProof w:val="0"/>
                <w:color w:val="FFFFFF"/>
              </w:rPr>
            </w:pPr>
            <w:r w:rsidRPr="00BE78CA">
              <w:rPr>
                <w:noProof w:val="0"/>
                <w:color w:val="FFFFFF"/>
              </w:rPr>
              <w:t>Uncertainty in emission factors (%)</w:t>
            </w:r>
          </w:p>
        </w:tc>
      </w:tr>
      <w:tr w:rsidR="00FB19C0" w:rsidRPr="00BE78CA" w14:paraId="41C289A9" w14:textId="77777777" w:rsidTr="00E4139F">
        <w:trPr>
          <w:trHeight w:val="127"/>
        </w:trPr>
        <w:tc>
          <w:tcPr>
            <w:tcW w:w="2620" w:type="dxa"/>
            <w:tcBorders>
              <w:top w:val="single" w:sz="4" w:space="0" w:color="365F91"/>
              <w:left w:val="nil"/>
              <w:bottom w:val="single" w:sz="4" w:space="0" w:color="365F91"/>
              <w:right w:val="nil"/>
            </w:tcBorders>
            <w:shd w:val="clear" w:color="auto" w:fill="FFFFFF"/>
            <w:hideMark/>
          </w:tcPr>
          <w:p w14:paraId="5C7EC41C" w14:textId="77777777" w:rsidR="00FB19C0" w:rsidRPr="00BE78CA" w:rsidRDefault="00FB19C0" w:rsidP="00E4139F">
            <w:pPr>
              <w:pStyle w:val="TableText"/>
              <w:spacing w:before="50" w:after="50"/>
              <w:rPr>
                <w:rFonts w:cs="Arial"/>
                <w:bCs/>
              </w:rPr>
            </w:pPr>
            <w:r w:rsidRPr="00BE78CA">
              <w:rPr>
                <w:rFonts w:cs="Arial"/>
                <w:bCs/>
              </w:rPr>
              <w:t>Compost (CH</w:t>
            </w:r>
            <w:r w:rsidRPr="00BE78CA">
              <w:rPr>
                <w:rFonts w:cs="Arial"/>
                <w:bCs/>
                <w:vertAlign w:val="subscript"/>
              </w:rPr>
              <w:t>4</w:t>
            </w:r>
            <w:r w:rsidRPr="00BE78CA">
              <w:rPr>
                <w:rFonts w:cs="Arial"/>
                <w:bCs/>
              </w:rPr>
              <w:t>)</w:t>
            </w:r>
          </w:p>
        </w:tc>
        <w:tc>
          <w:tcPr>
            <w:tcW w:w="2787" w:type="dxa"/>
            <w:tcBorders>
              <w:top w:val="single" w:sz="4" w:space="0" w:color="365F91"/>
              <w:left w:val="nil"/>
              <w:bottom w:val="single" w:sz="4" w:space="0" w:color="365F91"/>
              <w:right w:val="nil"/>
            </w:tcBorders>
            <w:shd w:val="clear" w:color="auto" w:fill="FFFFFF"/>
            <w:hideMark/>
          </w:tcPr>
          <w:p w14:paraId="06365239" w14:textId="77777777" w:rsidR="00FB19C0" w:rsidRPr="00BE78CA" w:rsidRDefault="00FB19C0" w:rsidP="00E4139F">
            <w:pPr>
              <w:pStyle w:val="TableText"/>
              <w:spacing w:before="50" w:after="50"/>
              <w:jc w:val="center"/>
            </w:pPr>
            <w:r w:rsidRPr="00BE78CA">
              <w:t>±100</w:t>
            </w:r>
          </w:p>
        </w:tc>
        <w:tc>
          <w:tcPr>
            <w:tcW w:w="3098" w:type="dxa"/>
            <w:tcBorders>
              <w:top w:val="single" w:sz="4" w:space="0" w:color="365F91"/>
              <w:left w:val="nil"/>
              <w:bottom w:val="single" w:sz="4" w:space="0" w:color="365F91"/>
              <w:right w:val="nil"/>
            </w:tcBorders>
            <w:shd w:val="clear" w:color="auto" w:fill="FFFFFF"/>
            <w:hideMark/>
          </w:tcPr>
          <w:p w14:paraId="6CFD0555" w14:textId="77777777" w:rsidR="00FB19C0" w:rsidRPr="00BE78CA" w:rsidRDefault="00FB19C0" w:rsidP="00E4139F">
            <w:pPr>
              <w:pStyle w:val="TableText"/>
              <w:spacing w:before="50" w:after="50"/>
              <w:jc w:val="center"/>
            </w:pPr>
            <w:r w:rsidRPr="00BE78CA">
              <w:t>±100</w:t>
            </w:r>
          </w:p>
        </w:tc>
      </w:tr>
      <w:tr w:rsidR="00FB19C0" w:rsidRPr="00BE78CA" w14:paraId="55631E12" w14:textId="77777777" w:rsidTr="00E4139F">
        <w:trPr>
          <w:trHeight w:val="127"/>
        </w:trPr>
        <w:tc>
          <w:tcPr>
            <w:tcW w:w="2620" w:type="dxa"/>
            <w:tcBorders>
              <w:top w:val="single" w:sz="4" w:space="0" w:color="365F91"/>
              <w:left w:val="nil"/>
              <w:bottom w:val="single" w:sz="6" w:space="0" w:color="365F91"/>
              <w:right w:val="nil"/>
            </w:tcBorders>
            <w:shd w:val="clear" w:color="auto" w:fill="FFFFFF"/>
            <w:hideMark/>
          </w:tcPr>
          <w:p w14:paraId="5F27F4EE" w14:textId="77777777" w:rsidR="00FB19C0" w:rsidRPr="00BE78CA" w:rsidRDefault="00FB19C0" w:rsidP="00E4139F">
            <w:pPr>
              <w:pStyle w:val="TableText"/>
              <w:spacing w:before="50" w:after="50"/>
              <w:rPr>
                <w:rFonts w:cs="Arial"/>
                <w:bCs/>
              </w:rPr>
            </w:pPr>
            <w:r w:rsidRPr="00BE78CA">
              <w:rPr>
                <w:rFonts w:cs="Arial"/>
                <w:bCs/>
              </w:rPr>
              <w:t>Compost (N</w:t>
            </w:r>
            <w:r w:rsidRPr="00BE78CA">
              <w:rPr>
                <w:rFonts w:cs="Arial"/>
                <w:bCs/>
                <w:vertAlign w:val="subscript"/>
              </w:rPr>
              <w:t>2</w:t>
            </w:r>
            <w:r w:rsidRPr="00BE78CA">
              <w:rPr>
                <w:rFonts w:cs="Arial"/>
                <w:bCs/>
              </w:rPr>
              <w:t>O)</w:t>
            </w:r>
          </w:p>
        </w:tc>
        <w:tc>
          <w:tcPr>
            <w:tcW w:w="2787" w:type="dxa"/>
            <w:tcBorders>
              <w:top w:val="single" w:sz="4" w:space="0" w:color="365F91"/>
              <w:left w:val="nil"/>
              <w:bottom w:val="single" w:sz="6" w:space="0" w:color="365F91"/>
              <w:right w:val="nil"/>
            </w:tcBorders>
            <w:shd w:val="clear" w:color="auto" w:fill="FFFFFF"/>
            <w:hideMark/>
          </w:tcPr>
          <w:p w14:paraId="1AEC34D1" w14:textId="77777777" w:rsidR="00FB19C0" w:rsidRPr="00BE78CA" w:rsidRDefault="00FB19C0" w:rsidP="00E4139F">
            <w:pPr>
              <w:pStyle w:val="TableText"/>
              <w:spacing w:before="50" w:after="50"/>
              <w:jc w:val="center"/>
            </w:pPr>
            <w:r w:rsidRPr="00BE78CA">
              <w:t>±100</w:t>
            </w:r>
          </w:p>
        </w:tc>
        <w:tc>
          <w:tcPr>
            <w:tcW w:w="3098" w:type="dxa"/>
            <w:tcBorders>
              <w:top w:val="single" w:sz="4" w:space="0" w:color="365F91"/>
              <w:left w:val="nil"/>
              <w:bottom w:val="single" w:sz="6" w:space="0" w:color="365F91"/>
              <w:right w:val="nil"/>
            </w:tcBorders>
            <w:shd w:val="clear" w:color="auto" w:fill="FFFFFF"/>
            <w:hideMark/>
          </w:tcPr>
          <w:p w14:paraId="72B2EE0B" w14:textId="77777777" w:rsidR="00FB19C0" w:rsidRPr="00BE78CA" w:rsidRDefault="00FB19C0" w:rsidP="00E4139F">
            <w:pPr>
              <w:pStyle w:val="TableText"/>
              <w:spacing w:before="50" w:after="50"/>
              <w:jc w:val="center"/>
            </w:pPr>
            <w:r w:rsidRPr="00BE78CA">
              <w:t>±150</w:t>
            </w:r>
          </w:p>
        </w:tc>
      </w:tr>
    </w:tbl>
    <w:p w14:paraId="56857EF7" w14:textId="77777777" w:rsidR="00FB19C0" w:rsidRPr="00BE78CA" w:rsidRDefault="00FB19C0" w:rsidP="00FB19C0">
      <w:pPr>
        <w:pStyle w:val="Heading4"/>
        <w:spacing w:before="320"/>
      </w:pPr>
      <w:r w:rsidRPr="00BE78CA">
        <w:t>Time-series consistency</w:t>
      </w:r>
    </w:p>
    <w:p w14:paraId="5A64AF2F" w14:textId="77777777" w:rsidR="00FB19C0" w:rsidRPr="00BE78CA" w:rsidRDefault="00FB19C0" w:rsidP="00E4139F">
      <w:pPr>
        <w:pStyle w:val="BodyText"/>
        <w:spacing w:before="100" w:after="100"/>
      </w:pPr>
      <w:r w:rsidRPr="00BE78CA">
        <w:t>Time-series consistency is ensured by the use of consistent models and parameters across the period.</w:t>
      </w:r>
    </w:p>
    <w:p w14:paraId="63A175AA" w14:textId="77777777" w:rsidR="00FB19C0" w:rsidRPr="00BE78CA" w:rsidRDefault="00FB19C0" w:rsidP="00FB19C0">
      <w:pPr>
        <w:pStyle w:val="Heading3"/>
        <w:spacing w:before="280"/>
      </w:pPr>
      <w:bookmarkStart w:id="2966" w:name="_Toc32828340"/>
      <w:r w:rsidRPr="00BE78CA">
        <w:t xml:space="preserve">7.3.4 </w:t>
      </w:r>
      <w:r w:rsidRPr="00BE78CA">
        <w:tab/>
        <w:t>Source-specific QA/QC and verification</w:t>
      </w:r>
      <w:bookmarkEnd w:id="2966"/>
    </w:p>
    <w:p w14:paraId="442BE18F" w14:textId="77777777" w:rsidR="00FB19C0" w:rsidRPr="00BE78CA" w:rsidRDefault="00FB19C0" w:rsidP="00E4139F">
      <w:pPr>
        <w:pStyle w:val="BodyText"/>
        <w:spacing w:before="100" w:after="100"/>
        <w:rPr>
          <w:spacing w:val="-2"/>
        </w:rPr>
      </w:pPr>
      <w:r w:rsidRPr="00BE78CA">
        <w:rPr>
          <w:spacing w:val="-2"/>
        </w:rPr>
        <w:t xml:space="preserve">These emissions are very small, and basic </w:t>
      </w:r>
      <w:r w:rsidRPr="00BE78CA">
        <w:t>quality-assurance and quality-control</w:t>
      </w:r>
      <w:r w:rsidRPr="00BE78CA">
        <w:rPr>
          <w:spacing w:val="-2"/>
        </w:rPr>
        <w:t xml:space="preserve"> checks are carried out where possible. Detailed </w:t>
      </w:r>
      <w:r w:rsidRPr="00BE78CA">
        <w:t>quality-assurance and quality-control</w:t>
      </w:r>
      <w:r w:rsidRPr="00BE78CA">
        <w:rPr>
          <w:spacing w:val="-2"/>
        </w:rPr>
        <w:t xml:space="preserve"> efforts for the Waste sector focus on the </w:t>
      </w:r>
      <w:r w:rsidRPr="00BE78CA">
        <w:rPr>
          <w:i/>
          <w:spacing w:val="-2"/>
        </w:rPr>
        <w:t>Solid waste disposal</w:t>
      </w:r>
      <w:r w:rsidRPr="00BE78CA">
        <w:rPr>
          <w:spacing w:val="-2"/>
        </w:rPr>
        <w:t xml:space="preserve"> to land and </w:t>
      </w:r>
      <w:r w:rsidRPr="00BE78CA">
        <w:rPr>
          <w:i/>
          <w:spacing w:val="-2"/>
        </w:rPr>
        <w:t>Wastewater treatment and discharge</w:t>
      </w:r>
      <w:r w:rsidRPr="00BE78CA">
        <w:rPr>
          <w:spacing w:val="-2"/>
        </w:rPr>
        <w:t xml:space="preserve"> categories. </w:t>
      </w:r>
    </w:p>
    <w:p w14:paraId="62790CE1" w14:textId="77777777" w:rsidR="00FB19C0" w:rsidRPr="00BE78CA" w:rsidRDefault="00FB19C0" w:rsidP="00FB19C0">
      <w:pPr>
        <w:pStyle w:val="Heading3"/>
        <w:spacing w:before="280"/>
      </w:pPr>
      <w:bookmarkStart w:id="2967" w:name="_Toc32828341"/>
      <w:r w:rsidRPr="00BE78CA">
        <w:t xml:space="preserve">7.3.5 </w:t>
      </w:r>
      <w:r w:rsidRPr="00BE78CA">
        <w:tab/>
        <w:t>Source-specific recalculations</w:t>
      </w:r>
      <w:bookmarkEnd w:id="2967"/>
    </w:p>
    <w:p w14:paraId="58EFFD16" w14:textId="77777777" w:rsidR="00FB19C0" w:rsidRPr="00BE78CA" w:rsidRDefault="00FB19C0" w:rsidP="00E4139F">
      <w:pPr>
        <w:pStyle w:val="BodyText"/>
        <w:spacing w:before="100" w:after="100"/>
      </w:pPr>
      <w:r w:rsidRPr="00BE78CA">
        <w:t xml:space="preserve">Emissions from </w:t>
      </w:r>
      <w:r w:rsidRPr="00BE78CA">
        <w:rPr>
          <w:i/>
          <w:iCs/>
        </w:rPr>
        <w:t>Composting</w:t>
      </w:r>
      <w:r w:rsidRPr="00BE78CA">
        <w:t xml:space="preserve"> (5.B.1.a) have not changed in 1990 and have increased by 23.4 kt CO</w:t>
      </w:r>
      <w:r w:rsidRPr="00BE78CA">
        <w:rPr>
          <w:vertAlign w:val="subscript"/>
        </w:rPr>
        <w:t>2</w:t>
      </w:r>
      <w:r w:rsidRPr="00BE78CA">
        <w:t>-e (67.0 per cent) in 2018. This is due to revising the modelled composting volumes, based on information showing that more waste was composted in more recent times than previously thought.</w:t>
      </w:r>
    </w:p>
    <w:p w14:paraId="09CD1DAC" w14:textId="77777777" w:rsidR="00FB19C0" w:rsidRPr="00BE78CA" w:rsidRDefault="00FB19C0" w:rsidP="00FB19C0">
      <w:pPr>
        <w:pStyle w:val="Heading3"/>
        <w:spacing w:before="280"/>
      </w:pPr>
      <w:bookmarkStart w:id="2968" w:name="_Toc32828342"/>
      <w:r w:rsidRPr="00BE78CA">
        <w:t xml:space="preserve">7.3.6 </w:t>
      </w:r>
      <w:r w:rsidRPr="00BE78CA">
        <w:tab/>
        <w:t>Source-specific planned improvements</w:t>
      </w:r>
      <w:bookmarkEnd w:id="2968"/>
    </w:p>
    <w:p w14:paraId="1CF7F972" w14:textId="77777777" w:rsidR="00FB19C0" w:rsidRPr="00BE78CA" w:rsidRDefault="00FB19C0" w:rsidP="00E4139F">
      <w:pPr>
        <w:pStyle w:val="BodyText"/>
        <w:spacing w:before="100" w:after="100"/>
      </w:pPr>
      <w:r w:rsidRPr="00BE78CA">
        <w:t>No specific improvements are planned for this category. Over time, better activity data will be applied to the inventory if and when they become available.</w:t>
      </w:r>
    </w:p>
    <w:p w14:paraId="70295976" w14:textId="77777777" w:rsidR="00FB19C0" w:rsidRPr="00BE78CA" w:rsidRDefault="00FB19C0" w:rsidP="00FB19C0">
      <w:pPr>
        <w:pStyle w:val="Heading2"/>
      </w:pPr>
      <w:bookmarkStart w:id="2969" w:name="_Toc32828343"/>
      <w:bookmarkStart w:id="2970" w:name="_Toc5269389"/>
      <w:bookmarkStart w:id="2971" w:name="_Toc36224429"/>
      <w:bookmarkStart w:id="2972" w:name="_Toc68786349"/>
      <w:r w:rsidRPr="00BE78CA">
        <w:t>7.4</w:t>
      </w:r>
      <w:r w:rsidRPr="00BE78CA">
        <w:tab/>
        <w:t>Incineration and open burning of waste (5.C)</w:t>
      </w:r>
      <w:bookmarkEnd w:id="2958"/>
      <w:bookmarkEnd w:id="2959"/>
      <w:bookmarkEnd w:id="2960"/>
      <w:bookmarkEnd w:id="2969"/>
      <w:bookmarkEnd w:id="2970"/>
      <w:bookmarkEnd w:id="2971"/>
      <w:bookmarkEnd w:id="2972"/>
    </w:p>
    <w:p w14:paraId="7D59F5E8" w14:textId="77777777" w:rsidR="00FB19C0" w:rsidRPr="00BE78CA" w:rsidRDefault="00FB19C0" w:rsidP="00FB19C0">
      <w:pPr>
        <w:pStyle w:val="Heading3"/>
        <w:spacing w:before="120"/>
      </w:pPr>
      <w:bookmarkStart w:id="2973" w:name="_Toc32828344"/>
      <w:r w:rsidRPr="00BE78CA">
        <w:t xml:space="preserve">7.4.1 </w:t>
      </w:r>
      <w:r w:rsidRPr="00BE78CA">
        <w:tab/>
        <w:t>Description</w:t>
      </w:r>
      <w:bookmarkEnd w:id="2973"/>
    </w:p>
    <w:p w14:paraId="7F3BB0CD" w14:textId="77777777" w:rsidR="00FB19C0" w:rsidRPr="00BE78CA" w:rsidRDefault="00FB19C0" w:rsidP="00E4139F">
      <w:pPr>
        <w:pStyle w:val="BodyText"/>
        <w:spacing w:before="100" w:after="100"/>
      </w:pPr>
      <w:r w:rsidRPr="00BE78CA">
        <w:t>There is no incineration of municipal waste in New Zealand for energy production or otherwise. Incineration is used on a small scale for disposal of medical, quarantine and hazardous wastes and sewage sludge. The practice of incinerating clinical wastes has declined through the time series, due to more stringent environmental regulation and the use of alternative technologies such as sterilisation.</w:t>
      </w:r>
    </w:p>
    <w:p w14:paraId="2FFA9B7D" w14:textId="77777777" w:rsidR="00FB19C0" w:rsidRPr="00BE78CA" w:rsidRDefault="00FB19C0" w:rsidP="00E4139F">
      <w:pPr>
        <w:pStyle w:val="BodyText"/>
        <w:spacing w:before="100" w:after="100"/>
        <w:rPr>
          <w:spacing w:val="-2"/>
        </w:rPr>
      </w:pPr>
      <w:r w:rsidRPr="00BE78CA">
        <w:rPr>
          <w:spacing w:val="-2"/>
        </w:rPr>
        <w:t>Waste incineration is regulated under the Resource Management Act 1991. In addition, in 2004, a national environmental standard was introduced that required consents for all existing low-temperature incinerators, such as those historically used in schools and sometimes in hospitals.</w:t>
      </w:r>
    </w:p>
    <w:p w14:paraId="3C2BDD5B" w14:textId="4AE5A011" w:rsidR="00FB19C0" w:rsidRPr="00BE78CA" w:rsidRDefault="00FB19C0" w:rsidP="00E4139F">
      <w:pPr>
        <w:pStyle w:val="BodyText"/>
        <w:spacing w:before="100" w:after="100"/>
      </w:pPr>
      <w:r w:rsidRPr="00BE78CA">
        <w:t>There is no open burning of waste at municipal or non-municipal landfill facilities in New</w:t>
      </w:r>
      <w:r w:rsidR="00912BCA" w:rsidRPr="00BE78CA">
        <w:t> </w:t>
      </w:r>
      <w:r w:rsidRPr="00BE78CA">
        <w:t>Zealand. It is common for farms to practise open burning of rural waste (GHD, 2014) and,</w:t>
      </w:r>
      <w:r w:rsidR="00912BCA" w:rsidRPr="00BE78CA">
        <w:t> </w:t>
      </w:r>
      <w:r w:rsidRPr="00BE78CA">
        <w:t>while limited information is available on the extent of the practice, emissions from open burning are reported. It is assumed that an equal amount of farm waste that is buried (see table 7.2.4) is burned, which is additional to the amount buried.</w:t>
      </w:r>
    </w:p>
    <w:p w14:paraId="79D7C8D1" w14:textId="77777777" w:rsidR="00FB19C0" w:rsidRPr="00BE78CA" w:rsidRDefault="00FB19C0" w:rsidP="00E4139F">
      <w:pPr>
        <w:pStyle w:val="BodyText"/>
        <w:spacing w:before="100"/>
      </w:pPr>
      <w:r w:rsidRPr="00BE78CA">
        <w:t xml:space="preserve">On its website, the Ministry of Education indicates that waste incineration is still practised in a small number of primary schools located in remote rural areas. Although information is not available on the exact number of schools practising waste incineration, it is estimated that </w:t>
      </w:r>
      <w:r w:rsidRPr="00BE78CA">
        <w:lastRenderedPageBreak/>
        <w:t>around 10 per cent of the total number of schools in New Zealand still incinerate their waste production (personal communication P Guiney, Ministry of Education). Emissions from this source are not estimated for this submission and are reported as not estimated (NE). See annex 6.2 for more information.</w:t>
      </w:r>
    </w:p>
    <w:p w14:paraId="663FF52E" w14:textId="77777777" w:rsidR="00FB19C0" w:rsidRPr="00BE78CA" w:rsidRDefault="00FB19C0" w:rsidP="00FB19C0">
      <w:pPr>
        <w:pStyle w:val="BodyText"/>
      </w:pPr>
      <w:r w:rsidRPr="00BE78CA">
        <w:t xml:space="preserve">Where data are available, the burning of waste materials including waste oil and wood chips for fuelling boilers and a cement kiln is reported under the Energy sector in the </w:t>
      </w:r>
      <w:r w:rsidRPr="00BE78CA">
        <w:rPr>
          <w:i/>
          <w:iCs/>
        </w:rPr>
        <w:t xml:space="preserve">Manufacturing industries and construction </w:t>
      </w:r>
      <w:r w:rsidRPr="00BE78CA">
        <w:rPr>
          <w:iCs/>
        </w:rPr>
        <w:t>category</w:t>
      </w:r>
      <w:r w:rsidRPr="00BE78CA">
        <w:t xml:space="preserve">. In 2019, </w:t>
      </w:r>
      <w:r w:rsidRPr="00BE78CA">
        <w:rPr>
          <w:i/>
        </w:rPr>
        <w:t>Incineration and open burning of waste</w:t>
      </w:r>
      <w:r w:rsidRPr="00BE78CA">
        <w:t xml:space="preserve"> accounted for 186.3 kt CO</w:t>
      </w:r>
      <w:r w:rsidRPr="00BE78CA">
        <w:rPr>
          <w:vertAlign w:val="subscript"/>
        </w:rPr>
        <w:t>2</w:t>
      </w:r>
      <w:r w:rsidRPr="00BE78CA">
        <w:t>-e (5.6 per cent) of Waste sector emissions (see table 7.4.1). This was a decrease of 129.3 kt CO</w:t>
      </w:r>
      <w:r w:rsidRPr="00BE78CA">
        <w:rPr>
          <w:vertAlign w:val="subscript"/>
        </w:rPr>
        <w:t>2</w:t>
      </w:r>
      <w:r w:rsidRPr="00BE78CA">
        <w:t>-e below the 1990 level of 315.5 kt CO</w:t>
      </w:r>
      <w:r w:rsidRPr="00BE78CA">
        <w:rPr>
          <w:vertAlign w:val="subscript"/>
        </w:rPr>
        <w:t>2</w:t>
      </w:r>
      <w:r w:rsidRPr="00BE78CA">
        <w:t>-e, and a decrease of 4.5 kt CO</w:t>
      </w:r>
      <w:r w:rsidRPr="00BE78CA">
        <w:rPr>
          <w:vertAlign w:val="subscript"/>
        </w:rPr>
        <w:t>2</w:t>
      </w:r>
      <w:r w:rsidRPr="00BE78CA">
        <w:t>-e (–2.3 per cent) from 2018.</w:t>
      </w:r>
    </w:p>
    <w:p w14:paraId="3EADDE45" w14:textId="77777777" w:rsidR="00FB19C0" w:rsidRPr="00BE78CA" w:rsidRDefault="00FB19C0" w:rsidP="00FB19C0">
      <w:pPr>
        <w:pStyle w:val="Table"/>
        <w:rPr>
          <w:rFonts w:cs="Arial"/>
        </w:rPr>
      </w:pPr>
      <w:bookmarkStart w:id="2974" w:name="_Toc32828530"/>
      <w:bookmarkStart w:id="2975" w:name="_Toc32591360"/>
      <w:bookmarkStart w:id="2976" w:name="_Toc5269572"/>
      <w:bookmarkStart w:id="2977" w:name="_Toc36224653"/>
      <w:bookmarkStart w:id="2978" w:name="_Toc68786539"/>
      <w:r w:rsidRPr="00BE78CA">
        <w:rPr>
          <w:rFonts w:cs="Arial"/>
        </w:rPr>
        <w:t xml:space="preserve">Table 7.4.1 </w:t>
      </w:r>
      <w:r w:rsidRPr="00BE78CA">
        <w:rPr>
          <w:rFonts w:cs="Arial"/>
        </w:rPr>
        <w:tab/>
        <w:t>Emissions from Incineration and open burning of waste (5.C)</w:t>
      </w:r>
      <w:bookmarkEnd w:id="2974"/>
      <w:bookmarkEnd w:id="2975"/>
      <w:bookmarkEnd w:id="2976"/>
      <w:bookmarkEnd w:id="2977"/>
      <w:bookmarkEnd w:id="2978"/>
    </w:p>
    <w:tbl>
      <w:tblPr>
        <w:tblW w:w="8505" w:type="dxa"/>
        <w:tblLayout w:type="fixed"/>
        <w:tblLook w:val="04A0" w:firstRow="1" w:lastRow="0" w:firstColumn="1" w:lastColumn="0" w:noHBand="0" w:noVBand="1"/>
      </w:tblPr>
      <w:tblGrid>
        <w:gridCol w:w="2974"/>
        <w:gridCol w:w="1072"/>
        <w:gridCol w:w="1249"/>
        <w:gridCol w:w="1788"/>
        <w:gridCol w:w="1422"/>
      </w:tblGrid>
      <w:tr w:rsidR="00FB19C0" w:rsidRPr="00BE78CA" w14:paraId="6F7EFE2E" w14:textId="77777777" w:rsidTr="00AB5566">
        <w:tc>
          <w:tcPr>
            <w:tcW w:w="1749" w:type="pct"/>
            <w:tcBorders>
              <w:top w:val="single" w:sz="4" w:space="0" w:color="365F91"/>
              <w:left w:val="nil"/>
              <w:bottom w:val="single" w:sz="4" w:space="0" w:color="365F91"/>
              <w:right w:val="nil"/>
            </w:tcBorders>
            <w:shd w:val="clear" w:color="auto" w:fill="365F91"/>
            <w:vAlign w:val="bottom"/>
          </w:tcPr>
          <w:p w14:paraId="2F34E0DF" w14:textId="77777777" w:rsidR="00FB19C0" w:rsidRPr="00BE78CA" w:rsidRDefault="00FB19C0" w:rsidP="00C26084">
            <w:pPr>
              <w:pStyle w:val="TableTextBold"/>
              <w:rPr>
                <w:noProof w:val="0"/>
                <w:color w:val="FFFFFF" w:themeColor="background1"/>
              </w:rPr>
            </w:pPr>
          </w:p>
        </w:tc>
        <w:tc>
          <w:tcPr>
            <w:tcW w:w="1364" w:type="pct"/>
            <w:gridSpan w:val="2"/>
            <w:tcBorders>
              <w:top w:val="single" w:sz="4" w:space="0" w:color="365F91"/>
              <w:left w:val="nil"/>
              <w:bottom w:val="single" w:sz="4" w:space="0" w:color="365F91"/>
              <w:right w:val="nil"/>
            </w:tcBorders>
            <w:shd w:val="clear" w:color="auto" w:fill="365F91"/>
            <w:vAlign w:val="bottom"/>
            <w:hideMark/>
          </w:tcPr>
          <w:p w14:paraId="1AA3A2C1" w14:textId="77777777" w:rsidR="00FB19C0" w:rsidRPr="00BE78CA" w:rsidRDefault="00FB19C0" w:rsidP="00C26084">
            <w:pPr>
              <w:pStyle w:val="TableTextBold"/>
              <w:jc w:val="center"/>
              <w:rPr>
                <w:noProof w:val="0"/>
                <w:color w:val="FFFFFF" w:themeColor="background1"/>
              </w:rPr>
            </w:pPr>
            <w:r w:rsidRPr="00BE78CA">
              <w:rPr>
                <w:noProof w:val="0"/>
                <w:color w:val="FFFFFF" w:themeColor="background1"/>
              </w:rPr>
              <w:t>Emissions (kt CO</w:t>
            </w:r>
            <w:r w:rsidRPr="00BE78CA">
              <w:rPr>
                <w:noProof w:val="0"/>
                <w:color w:val="FFFFFF" w:themeColor="background1"/>
                <w:vertAlign w:val="subscript"/>
              </w:rPr>
              <w:t>2</w:t>
            </w:r>
            <w:r w:rsidRPr="00BE78CA">
              <w:rPr>
                <w:noProof w:val="0"/>
                <w:color w:val="FFFFFF" w:themeColor="background1"/>
              </w:rPr>
              <w:t>-e)</w:t>
            </w:r>
          </w:p>
        </w:tc>
        <w:tc>
          <w:tcPr>
            <w:tcW w:w="1051" w:type="pct"/>
            <w:tcBorders>
              <w:top w:val="single" w:sz="4" w:space="0" w:color="365F91"/>
              <w:left w:val="nil"/>
              <w:bottom w:val="single" w:sz="4" w:space="0" w:color="365F91"/>
              <w:right w:val="nil"/>
            </w:tcBorders>
            <w:shd w:val="clear" w:color="auto" w:fill="365F91"/>
            <w:vAlign w:val="bottom"/>
            <w:hideMark/>
          </w:tcPr>
          <w:p w14:paraId="12A7947E" w14:textId="77777777" w:rsidR="00FB19C0" w:rsidRPr="00BE78CA" w:rsidRDefault="00FB19C0" w:rsidP="00C26084">
            <w:pPr>
              <w:pStyle w:val="TableTextBold"/>
              <w:jc w:val="center"/>
              <w:rPr>
                <w:noProof w:val="0"/>
                <w:color w:val="FFFFFF" w:themeColor="background1"/>
              </w:rPr>
            </w:pPr>
            <w:r w:rsidRPr="00BE78CA">
              <w:rPr>
                <w:noProof w:val="0"/>
                <w:color w:val="FFFFFF" w:themeColor="background1"/>
              </w:rPr>
              <w:t>Difference (kt CO</w:t>
            </w:r>
            <w:r w:rsidRPr="00BE78CA">
              <w:rPr>
                <w:noProof w:val="0"/>
                <w:color w:val="FFFFFF" w:themeColor="background1"/>
                <w:vertAlign w:val="subscript"/>
              </w:rPr>
              <w:t>2</w:t>
            </w:r>
            <w:r w:rsidRPr="00BE78CA">
              <w:rPr>
                <w:noProof w:val="0"/>
                <w:color w:val="FFFFFF" w:themeColor="background1"/>
              </w:rPr>
              <w:t>-e)</w:t>
            </w:r>
          </w:p>
        </w:tc>
        <w:tc>
          <w:tcPr>
            <w:tcW w:w="836" w:type="pct"/>
            <w:tcBorders>
              <w:top w:val="single" w:sz="4" w:space="0" w:color="365F91"/>
              <w:left w:val="nil"/>
              <w:bottom w:val="single" w:sz="4" w:space="0" w:color="365F91"/>
              <w:right w:val="nil"/>
            </w:tcBorders>
            <w:shd w:val="clear" w:color="auto" w:fill="365F91"/>
            <w:vAlign w:val="bottom"/>
            <w:hideMark/>
          </w:tcPr>
          <w:p w14:paraId="41F85919" w14:textId="77777777" w:rsidR="00FB19C0" w:rsidRPr="00BE78CA" w:rsidRDefault="00FB19C0" w:rsidP="00C26084">
            <w:pPr>
              <w:pStyle w:val="TableTextBold"/>
              <w:jc w:val="center"/>
              <w:rPr>
                <w:noProof w:val="0"/>
                <w:color w:val="FFFFFF" w:themeColor="background1"/>
              </w:rPr>
            </w:pPr>
            <w:r w:rsidRPr="00BE78CA">
              <w:rPr>
                <w:noProof w:val="0"/>
                <w:color w:val="FFFFFF" w:themeColor="background1"/>
              </w:rPr>
              <w:t>Change (%)</w:t>
            </w:r>
          </w:p>
        </w:tc>
      </w:tr>
      <w:tr w:rsidR="00FB19C0" w:rsidRPr="00BE78CA" w14:paraId="3AA80D62" w14:textId="77777777" w:rsidTr="00AB5566">
        <w:tc>
          <w:tcPr>
            <w:tcW w:w="1749" w:type="pct"/>
            <w:tcBorders>
              <w:top w:val="single" w:sz="4" w:space="0" w:color="365F91"/>
              <w:left w:val="nil"/>
              <w:bottom w:val="single" w:sz="4" w:space="0" w:color="365F91"/>
              <w:right w:val="nil"/>
            </w:tcBorders>
            <w:shd w:val="clear" w:color="auto" w:fill="FFFFFF"/>
            <w:hideMark/>
          </w:tcPr>
          <w:p w14:paraId="75EA0C57" w14:textId="77777777" w:rsidR="00FB19C0" w:rsidRPr="00BE78CA" w:rsidRDefault="00FB19C0" w:rsidP="00C26084">
            <w:pPr>
              <w:pStyle w:val="Tableboldblue"/>
            </w:pPr>
            <w:r w:rsidRPr="00BE78CA">
              <w:t>Source category</w:t>
            </w:r>
          </w:p>
        </w:tc>
        <w:tc>
          <w:tcPr>
            <w:tcW w:w="630" w:type="pct"/>
            <w:tcBorders>
              <w:top w:val="single" w:sz="4" w:space="0" w:color="365F91"/>
              <w:left w:val="nil"/>
              <w:bottom w:val="single" w:sz="4" w:space="0" w:color="365F91"/>
              <w:right w:val="nil"/>
            </w:tcBorders>
            <w:shd w:val="clear" w:color="auto" w:fill="FFFFFF"/>
            <w:vAlign w:val="bottom"/>
            <w:hideMark/>
          </w:tcPr>
          <w:p w14:paraId="2EE85985" w14:textId="77777777" w:rsidR="00FB19C0" w:rsidRPr="00BE78CA" w:rsidRDefault="00FB19C0" w:rsidP="00C26084">
            <w:pPr>
              <w:pStyle w:val="Tableboldblue"/>
              <w:jc w:val="center"/>
            </w:pPr>
            <w:r w:rsidRPr="00BE78CA">
              <w:t>1990</w:t>
            </w:r>
          </w:p>
        </w:tc>
        <w:tc>
          <w:tcPr>
            <w:tcW w:w="734" w:type="pct"/>
            <w:tcBorders>
              <w:top w:val="single" w:sz="4" w:space="0" w:color="365F91"/>
              <w:left w:val="nil"/>
              <w:bottom w:val="single" w:sz="4" w:space="0" w:color="365F91"/>
              <w:right w:val="nil"/>
            </w:tcBorders>
            <w:shd w:val="clear" w:color="auto" w:fill="FFFFFF"/>
            <w:vAlign w:val="bottom"/>
            <w:hideMark/>
          </w:tcPr>
          <w:p w14:paraId="22BF1D28" w14:textId="77777777" w:rsidR="00FB19C0" w:rsidRPr="00BE78CA" w:rsidRDefault="00FB19C0" w:rsidP="00C26084">
            <w:pPr>
              <w:pStyle w:val="Tableboldblue"/>
              <w:jc w:val="center"/>
            </w:pPr>
            <w:r w:rsidRPr="00BE78CA">
              <w:t>2019</w:t>
            </w:r>
          </w:p>
        </w:tc>
        <w:tc>
          <w:tcPr>
            <w:tcW w:w="1051" w:type="pct"/>
            <w:tcBorders>
              <w:top w:val="single" w:sz="4" w:space="0" w:color="365F91"/>
              <w:left w:val="nil"/>
              <w:bottom w:val="single" w:sz="4" w:space="0" w:color="365F91"/>
              <w:right w:val="nil"/>
            </w:tcBorders>
            <w:shd w:val="clear" w:color="auto" w:fill="FFFFFF"/>
            <w:vAlign w:val="bottom"/>
            <w:hideMark/>
          </w:tcPr>
          <w:p w14:paraId="18CE5935" w14:textId="77777777" w:rsidR="00FB19C0" w:rsidRPr="00BE78CA" w:rsidRDefault="00FB19C0" w:rsidP="00C26084">
            <w:pPr>
              <w:pStyle w:val="Tableboldblue"/>
              <w:jc w:val="center"/>
            </w:pPr>
            <w:r w:rsidRPr="00BE78CA">
              <w:t>1990–2019</w:t>
            </w:r>
          </w:p>
        </w:tc>
        <w:tc>
          <w:tcPr>
            <w:tcW w:w="836" w:type="pct"/>
            <w:tcBorders>
              <w:top w:val="single" w:sz="4" w:space="0" w:color="365F91"/>
              <w:left w:val="nil"/>
              <w:bottom w:val="single" w:sz="4" w:space="0" w:color="365F91"/>
              <w:right w:val="nil"/>
            </w:tcBorders>
            <w:shd w:val="clear" w:color="auto" w:fill="FFFFFF"/>
            <w:vAlign w:val="bottom"/>
            <w:hideMark/>
          </w:tcPr>
          <w:p w14:paraId="3F40F948" w14:textId="77777777" w:rsidR="00FB19C0" w:rsidRPr="00BE78CA" w:rsidRDefault="00FB19C0" w:rsidP="00C26084">
            <w:pPr>
              <w:pStyle w:val="Tableboldblue"/>
              <w:jc w:val="center"/>
            </w:pPr>
            <w:r w:rsidRPr="00BE78CA">
              <w:t>1990–2019</w:t>
            </w:r>
          </w:p>
        </w:tc>
      </w:tr>
      <w:tr w:rsidR="00FB19C0" w:rsidRPr="00BE78CA" w14:paraId="25775136" w14:textId="77777777" w:rsidTr="00AB5566">
        <w:tc>
          <w:tcPr>
            <w:tcW w:w="1749" w:type="pct"/>
            <w:tcBorders>
              <w:top w:val="single" w:sz="4" w:space="0" w:color="365F91"/>
              <w:left w:val="nil"/>
              <w:bottom w:val="single" w:sz="4" w:space="0" w:color="365F91"/>
              <w:right w:val="nil"/>
            </w:tcBorders>
            <w:hideMark/>
          </w:tcPr>
          <w:p w14:paraId="5C16345A" w14:textId="77777777" w:rsidR="00FB19C0" w:rsidRPr="00BE78CA" w:rsidRDefault="00FB19C0" w:rsidP="00C26084">
            <w:pPr>
              <w:pStyle w:val="TableText"/>
            </w:pPr>
            <w:r w:rsidRPr="00BE78CA">
              <w:t>Incineration (5.C.1)</w:t>
            </w:r>
          </w:p>
        </w:tc>
        <w:tc>
          <w:tcPr>
            <w:tcW w:w="630" w:type="pct"/>
            <w:tcBorders>
              <w:top w:val="single" w:sz="4" w:space="0" w:color="365F91"/>
              <w:left w:val="nil"/>
              <w:bottom w:val="single" w:sz="4" w:space="0" w:color="365F91"/>
              <w:right w:val="nil"/>
            </w:tcBorders>
            <w:hideMark/>
          </w:tcPr>
          <w:p w14:paraId="5AE35309" w14:textId="77777777" w:rsidR="00FB19C0" w:rsidRPr="00BE78CA" w:rsidRDefault="00FB19C0" w:rsidP="00C26084">
            <w:pPr>
              <w:pStyle w:val="TableText"/>
              <w:tabs>
                <w:tab w:val="decimal" w:pos="329"/>
              </w:tabs>
              <w:jc w:val="center"/>
              <w:rPr>
                <w:rFonts w:cs="Arial"/>
              </w:rPr>
            </w:pPr>
            <w:r w:rsidRPr="00BE78CA">
              <w:t>14.8</w:t>
            </w:r>
          </w:p>
        </w:tc>
        <w:tc>
          <w:tcPr>
            <w:tcW w:w="734" w:type="pct"/>
            <w:tcBorders>
              <w:top w:val="single" w:sz="4" w:space="0" w:color="365F91"/>
              <w:left w:val="nil"/>
              <w:bottom w:val="single" w:sz="4" w:space="0" w:color="365F91"/>
              <w:right w:val="nil"/>
            </w:tcBorders>
            <w:hideMark/>
          </w:tcPr>
          <w:p w14:paraId="5DF56126" w14:textId="77777777" w:rsidR="00FB19C0" w:rsidRPr="00BE78CA" w:rsidRDefault="00FB19C0" w:rsidP="00C26084">
            <w:pPr>
              <w:pStyle w:val="TableText"/>
              <w:tabs>
                <w:tab w:val="decimal" w:pos="249"/>
              </w:tabs>
              <w:jc w:val="center"/>
            </w:pPr>
            <w:r w:rsidRPr="00BE78CA">
              <w:t>2.4</w:t>
            </w:r>
          </w:p>
        </w:tc>
        <w:tc>
          <w:tcPr>
            <w:tcW w:w="1051" w:type="pct"/>
            <w:tcBorders>
              <w:top w:val="single" w:sz="4" w:space="0" w:color="365F91"/>
              <w:left w:val="nil"/>
              <w:bottom w:val="single" w:sz="4" w:space="0" w:color="365F91"/>
              <w:right w:val="nil"/>
            </w:tcBorders>
            <w:hideMark/>
          </w:tcPr>
          <w:p w14:paraId="299CE9B0" w14:textId="77777777" w:rsidR="00FB19C0" w:rsidRPr="00BE78CA" w:rsidRDefault="00FB19C0" w:rsidP="00C26084">
            <w:pPr>
              <w:pStyle w:val="TableText"/>
              <w:tabs>
                <w:tab w:val="decimal" w:pos="249"/>
                <w:tab w:val="decimal" w:pos="598"/>
              </w:tabs>
              <w:jc w:val="center"/>
            </w:pPr>
            <w:r w:rsidRPr="00BE78CA">
              <w:t>–12.3</w:t>
            </w:r>
          </w:p>
        </w:tc>
        <w:tc>
          <w:tcPr>
            <w:tcW w:w="836" w:type="pct"/>
            <w:tcBorders>
              <w:top w:val="single" w:sz="4" w:space="0" w:color="365F91"/>
              <w:left w:val="nil"/>
              <w:bottom w:val="single" w:sz="4" w:space="0" w:color="365F91"/>
              <w:right w:val="nil"/>
            </w:tcBorders>
            <w:hideMark/>
          </w:tcPr>
          <w:p w14:paraId="03BDDA96" w14:textId="77777777" w:rsidR="00FB19C0" w:rsidRPr="00BE78CA" w:rsidRDefault="00FB19C0" w:rsidP="00C26084">
            <w:pPr>
              <w:pStyle w:val="TableText"/>
              <w:tabs>
                <w:tab w:val="decimal" w:pos="249"/>
                <w:tab w:val="decimal" w:pos="598"/>
              </w:tabs>
              <w:jc w:val="center"/>
            </w:pPr>
            <w:r w:rsidRPr="00BE78CA">
              <w:t>–83.5</w:t>
            </w:r>
          </w:p>
        </w:tc>
      </w:tr>
      <w:tr w:rsidR="00FB19C0" w:rsidRPr="00BE78CA" w14:paraId="059B72EE" w14:textId="77777777" w:rsidTr="00AB5566">
        <w:tc>
          <w:tcPr>
            <w:tcW w:w="1749" w:type="pct"/>
            <w:tcBorders>
              <w:top w:val="single" w:sz="4" w:space="0" w:color="365F91"/>
              <w:left w:val="nil"/>
              <w:bottom w:val="single" w:sz="4" w:space="0" w:color="365F91"/>
              <w:right w:val="nil"/>
            </w:tcBorders>
            <w:hideMark/>
          </w:tcPr>
          <w:p w14:paraId="6D73383E" w14:textId="77777777" w:rsidR="00FB19C0" w:rsidRPr="00BE78CA" w:rsidRDefault="00FB19C0" w:rsidP="00C26084">
            <w:pPr>
              <w:pStyle w:val="TableText"/>
            </w:pPr>
            <w:r w:rsidRPr="00BE78CA">
              <w:t>Open burning (5.C.2)</w:t>
            </w:r>
          </w:p>
        </w:tc>
        <w:tc>
          <w:tcPr>
            <w:tcW w:w="630" w:type="pct"/>
            <w:tcBorders>
              <w:top w:val="single" w:sz="4" w:space="0" w:color="365F91"/>
              <w:left w:val="nil"/>
              <w:bottom w:val="single" w:sz="4" w:space="0" w:color="365F91"/>
              <w:right w:val="nil"/>
            </w:tcBorders>
            <w:hideMark/>
          </w:tcPr>
          <w:p w14:paraId="78418221" w14:textId="77777777" w:rsidR="00FB19C0" w:rsidRPr="00BE78CA" w:rsidRDefault="00FB19C0" w:rsidP="00C26084">
            <w:pPr>
              <w:pStyle w:val="TableText"/>
              <w:tabs>
                <w:tab w:val="decimal" w:pos="329"/>
              </w:tabs>
              <w:jc w:val="center"/>
            </w:pPr>
            <w:r w:rsidRPr="00BE78CA">
              <w:t>300.8</w:t>
            </w:r>
          </w:p>
        </w:tc>
        <w:tc>
          <w:tcPr>
            <w:tcW w:w="734" w:type="pct"/>
            <w:tcBorders>
              <w:top w:val="single" w:sz="4" w:space="0" w:color="365F91"/>
              <w:left w:val="nil"/>
              <w:bottom w:val="single" w:sz="4" w:space="0" w:color="365F91"/>
              <w:right w:val="nil"/>
            </w:tcBorders>
            <w:hideMark/>
          </w:tcPr>
          <w:p w14:paraId="042A2381" w14:textId="77777777" w:rsidR="00FB19C0" w:rsidRPr="00BE78CA" w:rsidRDefault="00FB19C0" w:rsidP="00C26084">
            <w:pPr>
              <w:pStyle w:val="TableText"/>
              <w:tabs>
                <w:tab w:val="decimal" w:pos="249"/>
              </w:tabs>
              <w:jc w:val="center"/>
            </w:pPr>
            <w:r w:rsidRPr="00BE78CA">
              <w:t>183.9</w:t>
            </w:r>
          </w:p>
        </w:tc>
        <w:tc>
          <w:tcPr>
            <w:tcW w:w="1051" w:type="pct"/>
            <w:tcBorders>
              <w:top w:val="single" w:sz="4" w:space="0" w:color="365F91"/>
              <w:left w:val="nil"/>
              <w:bottom w:val="single" w:sz="4" w:space="0" w:color="365F91"/>
              <w:right w:val="nil"/>
            </w:tcBorders>
            <w:hideMark/>
          </w:tcPr>
          <w:p w14:paraId="5FA0B48C" w14:textId="77777777" w:rsidR="00FB19C0" w:rsidRPr="00BE78CA" w:rsidRDefault="00FB19C0" w:rsidP="00C26084">
            <w:pPr>
              <w:pStyle w:val="TableText"/>
              <w:tabs>
                <w:tab w:val="decimal" w:pos="249"/>
                <w:tab w:val="decimal" w:pos="598"/>
              </w:tabs>
              <w:jc w:val="center"/>
            </w:pPr>
            <w:r w:rsidRPr="00BE78CA">
              <w:t>–116.9</w:t>
            </w:r>
          </w:p>
        </w:tc>
        <w:tc>
          <w:tcPr>
            <w:tcW w:w="836" w:type="pct"/>
            <w:tcBorders>
              <w:top w:val="single" w:sz="4" w:space="0" w:color="365F91"/>
              <w:left w:val="nil"/>
              <w:bottom w:val="single" w:sz="4" w:space="0" w:color="365F91"/>
              <w:right w:val="nil"/>
            </w:tcBorders>
            <w:hideMark/>
          </w:tcPr>
          <w:p w14:paraId="333B50E7" w14:textId="77777777" w:rsidR="00FB19C0" w:rsidRPr="00BE78CA" w:rsidRDefault="00FB19C0" w:rsidP="00C26084">
            <w:pPr>
              <w:pStyle w:val="TableText"/>
              <w:tabs>
                <w:tab w:val="decimal" w:pos="249"/>
                <w:tab w:val="decimal" w:pos="598"/>
              </w:tabs>
              <w:jc w:val="center"/>
            </w:pPr>
            <w:r w:rsidRPr="00BE78CA">
              <w:t>–38.9</w:t>
            </w:r>
          </w:p>
        </w:tc>
      </w:tr>
      <w:tr w:rsidR="00FB19C0" w:rsidRPr="00BE78CA" w14:paraId="0D923F41" w14:textId="77777777" w:rsidTr="00AB5566">
        <w:tc>
          <w:tcPr>
            <w:tcW w:w="1749" w:type="pct"/>
            <w:tcBorders>
              <w:top w:val="single" w:sz="4" w:space="0" w:color="365F91"/>
              <w:left w:val="nil"/>
              <w:bottom w:val="single" w:sz="4" w:space="0" w:color="365F91"/>
              <w:right w:val="nil"/>
            </w:tcBorders>
            <w:shd w:val="clear" w:color="auto" w:fill="FFFFFF"/>
            <w:hideMark/>
          </w:tcPr>
          <w:p w14:paraId="3794D31A" w14:textId="77777777" w:rsidR="00FB19C0" w:rsidRPr="00BE78CA" w:rsidRDefault="00FB19C0" w:rsidP="00C26084">
            <w:pPr>
              <w:pStyle w:val="Tableboldblue"/>
            </w:pPr>
            <w:r w:rsidRPr="00BE78CA">
              <w:t>Total (5.C)</w:t>
            </w:r>
          </w:p>
        </w:tc>
        <w:tc>
          <w:tcPr>
            <w:tcW w:w="630" w:type="pct"/>
            <w:tcBorders>
              <w:top w:val="single" w:sz="4" w:space="0" w:color="365F91"/>
              <w:left w:val="nil"/>
              <w:bottom w:val="single" w:sz="4" w:space="0" w:color="365F91"/>
              <w:right w:val="nil"/>
            </w:tcBorders>
            <w:shd w:val="clear" w:color="auto" w:fill="FFFFFF"/>
            <w:hideMark/>
          </w:tcPr>
          <w:p w14:paraId="63736097" w14:textId="77777777" w:rsidR="00FB19C0" w:rsidRPr="00BE78CA" w:rsidRDefault="00FB19C0" w:rsidP="00C26084">
            <w:pPr>
              <w:pStyle w:val="Tableboldblue"/>
              <w:tabs>
                <w:tab w:val="decimal" w:pos="329"/>
              </w:tabs>
              <w:jc w:val="center"/>
            </w:pPr>
            <w:r w:rsidRPr="00BE78CA">
              <w:t>315.5</w:t>
            </w:r>
          </w:p>
        </w:tc>
        <w:tc>
          <w:tcPr>
            <w:tcW w:w="734" w:type="pct"/>
            <w:tcBorders>
              <w:top w:val="single" w:sz="4" w:space="0" w:color="365F91"/>
              <w:left w:val="nil"/>
              <w:bottom w:val="single" w:sz="4" w:space="0" w:color="365F91"/>
              <w:right w:val="nil"/>
            </w:tcBorders>
            <w:shd w:val="clear" w:color="auto" w:fill="FFFFFF"/>
            <w:hideMark/>
          </w:tcPr>
          <w:p w14:paraId="5C4D5A05" w14:textId="77777777" w:rsidR="00FB19C0" w:rsidRPr="00BE78CA" w:rsidRDefault="00FB19C0" w:rsidP="00C26084">
            <w:pPr>
              <w:pStyle w:val="Tableboldblue"/>
              <w:tabs>
                <w:tab w:val="decimal" w:pos="249"/>
              </w:tabs>
              <w:jc w:val="center"/>
            </w:pPr>
            <w:r w:rsidRPr="00BE78CA">
              <w:t>186.3</w:t>
            </w:r>
          </w:p>
        </w:tc>
        <w:tc>
          <w:tcPr>
            <w:tcW w:w="1051" w:type="pct"/>
            <w:tcBorders>
              <w:top w:val="single" w:sz="4" w:space="0" w:color="365F91"/>
              <w:left w:val="nil"/>
              <w:bottom w:val="single" w:sz="4" w:space="0" w:color="365F91"/>
              <w:right w:val="nil"/>
            </w:tcBorders>
            <w:shd w:val="clear" w:color="auto" w:fill="FFFFFF"/>
            <w:hideMark/>
          </w:tcPr>
          <w:p w14:paraId="1E835181" w14:textId="77777777" w:rsidR="00FB19C0" w:rsidRPr="00BE78CA" w:rsidRDefault="00FB19C0" w:rsidP="00C26084">
            <w:pPr>
              <w:pStyle w:val="Tableboldblue"/>
              <w:tabs>
                <w:tab w:val="decimal" w:pos="249"/>
              </w:tabs>
              <w:jc w:val="center"/>
            </w:pPr>
            <w:r w:rsidRPr="00BE78CA">
              <w:t>–129.3</w:t>
            </w:r>
          </w:p>
        </w:tc>
        <w:tc>
          <w:tcPr>
            <w:tcW w:w="836" w:type="pct"/>
            <w:tcBorders>
              <w:top w:val="single" w:sz="4" w:space="0" w:color="365F91"/>
              <w:left w:val="nil"/>
              <w:bottom w:val="single" w:sz="4" w:space="0" w:color="365F91"/>
              <w:right w:val="nil"/>
            </w:tcBorders>
            <w:shd w:val="clear" w:color="auto" w:fill="FFFFFF"/>
            <w:hideMark/>
          </w:tcPr>
          <w:p w14:paraId="2EDA739E" w14:textId="77777777" w:rsidR="00FB19C0" w:rsidRPr="00BE78CA" w:rsidRDefault="00FB19C0" w:rsidP="00C26084">
            <w:pPr>
              <w:pStyle w:val="Tableboldblue"/>
              <w:tabs>
                <w:tab w:val="decimal" w:pos="249"/>
              </w:tabs>
              <w:jc w:val="center"/>
            </w:pPr>
            <w:r w:rsidRPr="00BE78CA">
              <w:t>–41.0</w:t>
            </w:r>
          </w:p>
        </w:tc>
      </w:tr>
    </w:tbl>
    <w:p w14:paraId="3E9165B3" w14:textId="77777777" w:rsidR="00FB19C0" w:rsidRPr="00BE78CA" w:rsidRDefault="00FB19C0" w:rsidP="00FB19C0">
      <w:pPr>
        <w:pStyle w:val="Noteundertable"/>
      </w:pPr>
      <w:r w:rsidRPr="00BE78CA">
        <w:rPr>
          <w:b/>
        </w:rPr>
        <w:t>Note:</w:t>
      </w:r>
      <w:r w:rsidRPr="00BE78CA">
        <w:tab/>
        <w:t>Percentages presented are calculated from unrounded values.</w:t>
      </w:r>
    </w:p>
    <w:p w14:paraId="6AF749A2" w14:textId="77777777" w:rsidR="00FB19C0" w:rsidRPr="00BE78CA" w:rsidRDefault="00FB19C0" w:rsidP="00FB19C0">
      <w:pPr>
        <w:pStyle w:val="BodyText"/>
      </w:pPr>
      <w:r w:rsidRPr="00BE78CA">
        <w:t xml:space="preserve">Carbon dioxide emissions from the </w:t>
      </w:r>
      <w:r w:rsidRPr="00BE78CA">
        <w:rPr>
          <w:i/>
        </w:rPr>
        <w:t>Incineration and open burning of waste</w:t>
      </w:r>
      <w:r w:rsidRPr="00BE78CA">
        <w:t xml:space="preserve"> source category was identified as a key category in the 2019 trend assessment.</w:t>
      </w:r>
    </w:p>
    <w:p w14:paraId="2BD0C23D" w14:textId="77777777" w:rsidR="00FB19C0" w:rsidRPr="00BE78CA" w:rsidRDefault="00FB19C0" w:rsidP="00FB19C0">
      <w:pPr>
        <w:pStyle w:val="Heading3"/>
      </w:pPr>
      <w:bookmarkStart w:id="2979" w:name="_Toc32828345"/>
      <w:r w:rsidRPr="00BE78CA">
        <w:t>7.4.2</w:t>
      </w:r>
      <w:r w:rsidRPr="00BE78CA">
        <w:tab/>
        <w:t>Methodological issues</w:t>
      </w:r>
      <w:bookmarkEnd w:id="2979"/>
    </w:p>
    <w:p w14:paraId="02B877B4" w14:textId="77777777" w:rsidR="00FB19C0" w:rsidRPr="00BE78CA" w:rsidRDefault="00FB19C0" w:rsidP="00FB19C0">
      <w:pPr>
        <w:pStyle w:val="Heading4"/>
        <w:spacing w:before="180"/>
      </w:pPr>
      <w:r w:rsidRPr="00BE78CA">
        <w:t>Choice of activity data</w:t>
      </w:r>
    </w:p>
    <w:p w14:paraId="79D4EA30" w14:textId="77777777" w:rsidR="00FB19C0" w:rsidRPr="00BE78CA" w:rsidRDefault="00FB19C0" w:rsidP="00FB19C0">
      <w:pPr>
        <w:pStyle w:val="Heading5"/>
        <w:spacing w:before="180"/>
      </w:pPr>
      <w:r w:rsidRPr="00BE78CA">
        <w:t>Incineration (5.C.1)</w:t>
      </w:r>
    </w:p>
    <w:p w14:paraId="78291D4F" w14:textId="77777777" w:rsidR="00FB19C0" w:rsidRPr="00BE78CA" w:rsidRDefault="00FB19C0" w:rsidP="00FB19C0">
      <w:pPr>
        <w:pStyle w:val="BodyText"/>
        <w:rPr>
          <w:rFonts w:eastAsia="+mn-ea"/>
        </w:rPr>
      </w:pPr>
      <w:r w:rsidRPr="00BE78CA">
        <w:rPr>
          <w:rFonts w:eastAsia="+mn-ea"/>
        </w:rPr>
        <w:t>Limited information was available from individual site operators on the amount of waste burned between 1990 and 2007. For most sites, these activity data needed to be inferred because the only evidence available was the capacity of equipment and the amounts allowed by consent conditions. For the years after 2007, it has generally been assumed that facilities are continuing in operation at the same rates, in the absence of better information.</w:t>
      </w:r>
    </w:p>
    <w:p w14:paraId="5C5669CA" w14:textId="77777777" w:rsidR="00FB19C0" w:rsidRPr="00BE78CA" w:rsidRDefault="00FB19C0" w:rsidP="00FB19C0">
      <w:pPr>
        <w:pStyle w:val="BodyText"/>
        <w:rPr>
          <w:rFonts w:eastAsia="+mn-ea"/>
        </w:rPr>
      </w:pPr>
      <w:r w:rsidRPr="00BE78CA">
        <w:rPr>
          <w:rFonts w:eastAsia="+mn-ea"/>
        </w:rPr>
        <w:t>Table 7.4.2 presents activity data for incineration.</w:t>
      </w:r>
    </w:p>
    <w:p w14:paraId="7A256197" w14:textId="77777777" w:rsidR="00FB19C0" w:rsidRPr="00BE78CA" w:rsidRDefault="00FB19C0" w:rsidP="00FB19C0">
      <w:pPr>
        <w:pStyle w:val="Table"/>
      </w:pPr>
      <w:bookmarkStart w:id="2980" w:name="_Toc5269573"/>
      <w:bookmarkStart w:id="2981" w:name="_Toc32828531"/>
      <w:bookmarkStart w:id="2982" w:name="_Toc32591361"/>
      <w:bookmarkStart w:id="2983" w:name="_Toc36224654"/>
      <w:bookmarkStart w:id="2984" w:name="_Toc68786540"/>
      <w:r w:rsidRPr="00BE78CA">
        <w:t xml:space="preserve">Table 7.4.2 </w:t>
      </w:r>
      <w:r w:rsidRPr="00BE78CA">
        <w:tab/>
        <w:t>Amounts of waste incinerated from 1990 to </w:t>
      </w:r>
      <w:bookmarkEnd w:id="2980"/>
      <w:r w:rsidRPr="00BE78CA">
        <w:t>2019</w:t>
      </w:r>
      <w:bookmarkEnd w:id="2981"/>
      <w:bookmarkEnd w:id="2982"/>
      <w:bookmarkEnd w:id="2983"/>
      <w:bookmarkEnd w:id="2984"/>
    </w:p>
    <w:tbl>
      <w:tblPr>
        <w:tblW w:w="8448" w:type="dxa"/>
        <w:tblInd w:w="57" w:type="dxa"/>
        <w:tblLook w:val="04A0" w:firstRow="1" w:lastRow="0" w:firstColumn="1" w:lastColumn="0" w:noHBand="0" w:noVBand="1"/>
      </w:tblPr>
      <w:tblGrid>
        <w:gridCol w:w="1073"/>
        <w:gridCol w:w="1620"/>
        <w:gridCol w:w="1831"/>
        <w:gridCol w:w="1829"/>
        <w:gridCol w:w="2095"/>
      </w:tblGrid>
      <w:tr w:rsidR="00FB19C0" w:rsidRPr="00BE78CA" w14:paraId="4389ED19" w14:textId="77777777" w:rsidTr="00C26084">
        <w:trPr>
          <w:tblHeader/>
        </w:trPr>
        <w:tc>
          <w:tcPr>
            <w:tcW w:w="1079" w:type="dxa"/>
            <w:tcBorders>
              <w:top w:val="single" w:sz="4" w:space="0" w:color="365F91"/>
              <w:left w:val="nil"/>
              <w:bottom w:val="single" w:sz="4" w:space="0" w:color="365F91"/>
              <w:right w:val="nil"/>
            </w:tcBorders>
            <w:shd w:val="clear" w:color="auto" w:fill="365F91"/>
            <w:vAlign w:val="bottom"/>
            <w:hideMark/>
          </w:tcPr>
          <w:p w14:paraId="071DDDB0" w14:textId="77777777" w:rsidR="00FB19C0" w:rsidRPr="00BE78CA" w:rsidRDefault="00FB19C0" w:rsidP="00C26084">
            <w:pPr>
              <w:pStyle w:val="TableTextBold"/>
              <w:spacing w:before="50" w:after="50"/>
              <w:rPr>
                <w:noProof w:val="0"/>
                <w:color w:val="FFFFFF"/>
              </w:rPr>
            </w:pPr>
            <w:r w:rsidRPr="00BE78CA">
              <w:rPr>
                <w:noProof w:val="0"/>
                <w:color w:val="FFFFFF"/>
              </w:rPr>
              <w:t>Year</w:t>
            </w:r>
          </w:p>
        </w:tc>
        <w:tc>
          <w:tcPr>
            <w:tcW w:w="1632" w:type="dxa"/>
            <w:tcBorders>
              <w:top w:val="single" w:sz="4" w:space="0" w:color="365F91"/>
              <w:left w:val="nil"/>
              <w:bottom w:val="single" w:sz="4" w:space="0" w:color="365F91"/>
              <w:right w:val="nil"/>
            </w:tcBorders>
            <w:shd w:val="clear" w:color="auto" w:fill="365F91"/>
            <w:vAlign w:val="bottom"/>
            <w:hideMark/>
          </w:tcPr>
          <w:p w14:paraId="1FCE57EB" w14:textId="77777777" w:rsidR="00FB19C0" w:rsidRPr="00BE78CA" w:rsidRDefault="00FB19C0" w:rsidP="00C26084">
            <w:pPr>
              <w:pStyle w:val="TableTextBold"/>
              <w:spacing w:before="50" w:after="50"/>
              <w:jc w:val="center"/>
              <w:rPr>
                <w:noProof w:val="0"/>
                <w:color w:val="FFFFFF"/>
              </w:rPr>
            </w:pPr>
            <w:r w:rsidRPr="00BE78CA">
              <w:rPr>
                <w:noProof w:val="0"/>
                <w:color w:val="FFFFFF"/>
              </w:rPr>
              <w:t>Clinical wastes (kt)</w:t>
            </w:r>
          </w:p>
        </w:tc>
        <w:tc>
          <w:tcPr>
            <w:tcW w:w="1842" w:type="dxa"/>
            <w:tcBorders>
              <w:top w:val="single" w:sz="4" w:space="0" w:color="365F91"/>
              <w:left w:val="nil"/>
              <w:bottom w:val="single" w:sz="4" w:space="0" w:color="365F91"/>
              <w:right w:val="nil"/>
            </w:tcBorders>
            <w:shd w:val="clear" w:color="auto" w:fill="365F91"/>
            <w:vAlign w:val="bottom"/>
            <w:hideMark/>
          </w:tcPr>
          <w:p w14:paraId="4A0FA7F0" w14:textId="77777777" w:rsidR="00FB19C0" w:rsidRPr="00BE78CA" w:rsidRDefault="00FB19C0" w:rsidP="00C26084">
            <w:pPr>
              <w:pStyle w:val="TableTextBold"/>
              <w:spacing w:before="50" w:after="50"/>
              <w:jc w:val="center"/>
              <w:rPr>
                <w:noProof w:val="0"/>
                <w:color w:val="FFFFFF"/>
              </w:rPr>
            </w:pPr>
            <w:r w:rsidRPr="00BE78CA">
              <w:rPr>
                <w:noProof w:val="0"/>
                <w:color w:val="FFFFFF"/>
              </w:rPr>
              <w:t>Hazardous wastes (kt)</w:t>
            </w:r>
          </w:p>
        </w:tc>
        <w:tc>
          <w:tcPr>
            <w:tcW w:w="1843" w:type="dxa"/>
            <w:tcBorders>
              <w:top w:val="single" w:sz="4" w:space="0" w:color="365F91"/>
              <w:left w:val="nil"/>
              <w:bottom w:val="single" w:sz="4" w:space="0" w:color="365F91"/>
              <w:right w:val="nil"/>
            </w:tcBorders>
            <w:shd w:val="clear" w:color="auto" w:fill="365F91"/>
            <w:vAlign w:val="bottom"/>
            <w:hideMark/>
          </w:tcPr>
          <w:p w14:paraId="55AA8CA9" w14:textId="77777777" w:rsidR="00FB19C0" w:rsidRPr="00BE78CA" w:rsidRDefault="00FB19C0" w:rsidP="00C26084">
            <w:pPr>
              <w:pStyle w:val="TableTextBold"/>
              <w:spacing w:before="50" w:after="50"/>
              <w:jc w:val="center"/>
              <w:rPr>
                <w:noProof w:val="0"/>
                <w:color w:val="FFFFFF"/>
              </w:rPr>
            </w:pPr>
            <w:r w:rsidRPr="00BE78CA">
              <w:rPr>
                <w:noProof w:val="0"/>
                <w:color w:val="FFFFFF"/>
              </w:rPr>
              <w:t>Sewage sludge (kt)</w:t>
            </w:r>
          </w:p>
        </w:tc>
        <w:tc>
          <w:tcPr>
            <w:tcW w:w="2109" w:type="dxa"/>
            <w:tcBorders>
              <w:top w:val="single" w:sz="4" w:space="0" w:color="365F91"/>
              <w:left w:val="nil"/>
              <w:bottom w:val="single" w:sz="4" w:space="0" w:color="365F91"/>
              <w:right w:val="nil"/>
            </w:tcBorders>
            <w:shd w:val="clear" w:color="auto" w:fill="365F91"/>
            <w:vAlign w:val="bottom"/>
            <w:hideMark/>
          </w:tcPr>
          <w:p w14:paraId="0AE30D82" w14:textId="77777777" w:rsidR="00FB19C0" w:rsidRPr="00BE78CA" w:rsidRDefault="00FB19C0" w:rsidP="00C26084">
            <w:pPr>
              <w:pStyle w:val="TableTextBold"/>
              <w:spacing w:before="50" w:after="50"/>
              <w:jc w:val="center"/>
              <w:rPr>
                <w:noProof w:val="0"/>
                <w:color w:val="FFFFFF"/>
              </w:rPr>
            </w:pPr>
            <w:r w:rsidRPr="00BE78CA">
              <w:rPr>
                <w:noProof w:val="0"/>
                <w:color w:val="FFFFFF"/>
              </w:rPr>
              <w:t>Total waste incinerated (kt)</w:t>
            </w:r>
          </w:p>
        </w:tc>
      </w:tr>
      <w:tr w:rsidR="00FB19C0" w:rsidRPr="00BE78CA" w14:paraId="3EE6F3F2" w14:textId="77777777" w:rsidTr="00C26084">
        <w:tc>
          <w:tcPr>
            <w:tcW w:w="1079" w:type="dxa"/>
            <w:tcBorders>
              <w:top w:val="single" w:sz="4" w:space="0" w:color="365F91"/>
              <w:left w:val="nil"/>
              <w:bottom w:val="single" w:sz="4" w:space="0" w:color="365F91"/>
              <w:right w:val="nil"/>
            </w:tcBorders>
            <w:hideMark/>
          </w:tcPr>
          <w:p w14:paraId="1D59ACC1" w14:textId="77777777" w:rsidR="00FB19C0" w:rsidRPr="00BE78CA" w:rsidRDefault="00FB19C0" w:rsidP="00C26084">
            <w:pPr>
              <w:pStyle w:val="TableTextBold"/>
              <w:spacing w:before="50" w:after="50"/>
              <w:rPr>
                <w:noProof w:val="0"/>
              </w:rPr>
            </w:pPr>
            <w:r w:rsidRPr="00BE78CA">
              <w:rPr>
                <w:noProof w:val="0"/>
              </w:rPr>
              <w:t>1990</w:t>
            </w:r>
          </w:p>
        </w:tc>
        <w:tc>
          <w:tcPr>
            <w:tcW w:w="1632" w:type="dxa"/>
            <w:tcBorders>
              <w:top w:val="single" w:sz="4" w:space="0" w:color="365F91"/>
              <w:left w:val="nil"/>
              <w:bottom w:val="single" w:sz="4" w:space="0" w:color="365F91"/>
              <w:right w:val="nil"/>
            </w:tcBorders>
            <w:hideMark/>
          </w:tcPr>
          <w:p w14:paraId="14452555" w14:textId="77777777" w:rsidR="00FB19C0" w:rsidRPr="00BE78CA" w:rsidRDefault="00FB19C0" w:rsidP="00C26084">
            <w:pPr>
              <w:pStyle w:val="TableText"/>
              <w:spacing w:before="50" w:after="50"/>
              <w:jc w:val="center"/>
              <w:rPr>
                <w:rFonts w:cs="Arial"/>
                <w:szCs w:val="16"/>
              </w:rPr>
            </w:pPr>
            <w:r w:rsidRPr="00BE78CA">
              <w:t>21.5</w:t>
            </w:r>
          </w:p>
        </w:tc>
        <w:tc>
          <w:tcPr>
            <w:tcW w:w="1842" w:type="dxa"/>
            <w:tcBorders>
              <w:top w:val="single" w:sz="4" w:space="0" w:color="365F91"/>
              <w:left w:val="nil"/>
              <w:bottom w:val="single" w:sz="4" w:space="0" w:color="365F91"/>
              <w:right w:val="nil"/>
            </w:tcBorders>
            <w:hideMark/>
          </w:tcPr>
          <w:p w14:paraId="3BB5F0B7" w14:textId="77777777" w:rsidR="00FB19C0" w:rsidRPr="00BE78CA" w:rsidRDefault="00FB19C0" w:rsidP="00C26084">
            <w:pPr>
              <w:pStyle w:val="TableText"/>
              <w:spacing w:before="50" w:after="50"/>
              <w:jc w:val="center"/>
              <w:rPr>
                <w:rFonts w:cs="Arial"/>
                <w:szCs w:val="16"/>
              </w:rPr>
            </w:pPr>
            <w:r w:rsidRPr="00BE78CA">
              <w:t>0.3</w:t>
            </w:r>
          </w:p>
        </w:tc>
        <w:tc>
          <w:tcPr>
            <w:tcW w:w="1843" w:type="dxa"/>
            <w:tcBorders>
              <w:top w:val="single" w:sz="4" w:space="0" w:color="365F91"/>
              <w:left w:val="nil"/>
              <w:bottom w:val="single" w:sz="4" w:space="0" w:color="365F91"/>
              <w:right w:val="nil"/>
            </w:tcBorders>
            <w:hideMark/>
          </w:tcPr>
          <w:p w14:paraId="4DE07738" w14:textId="77777777" w:rsidR="00FB19C0" w:rsidRPr="00BE78CA" w:rsidRDefault="00FB19C0" w:rsidP="00C26084">
            <w:pPr>
              <w:pStyle w:val="TableText"/>
              <w:spacing w:before="50" w:after="50"/>
              <w:jc w:val="center"/>
              <w:rPr>
                <w:rFonts w:cs="Arial"/>
                <w:szCs w:val="16"/>
              </w:rPr>
            </w:pPr>
            <w:r w:rsidRPr="00BE78CA">
              <w:t>4.4</w:t>
            </w:r>
          </w:p>
        </w:tc>
        <w:tc>
          <w:tcPr>
            <w:tcW w:w="2109" w:type="dxa"/>
            <w:tcBorders>
              <w:top w:val="single" w:sz="4" w:space="0" w:color="365F91"/>
              <w:left w:val="nil"/>
              <w:bottom w:val="single" w:sz="4" w:space="0" w:color="365F91"/>
              <w:right w:val="nil"/>
            </w:tcBorders>
            <w:hideMark/>
          </w:tcPr>
          <w:p w14:paraId="374A77E9" w14:textId="77777777" w:rsidR="00FB19C0" w:rsidRPr="00BE78CA" w:rsidRDefault="00FB19C0" w:rsidP="00C26084">
            <w:pPr>
              <w:pStyle w:val="TableText"/>
              <w:spacing w:before="50" w:after="50"/>
              <w:jc w:val="center"/>
              <w:rPr>
                <w:rFonts w:cs="Arial"/>
                <w:szCs w:val="16"/>
              </w:rPr>
            </w:pPr>
            <w:r w:rsidRPr="00BE78CA">
              <w:t>26.2</w:t>
            </w:r>
          </w:p>
        </w:tc>
      </w:tr>
      <w:tr w:rsidR="00FB19C0" w:rsidRPr="00BE78CA" w14:paraId="5D76D738" w14:textId="77777777" w:rsidTr="00C26084">
        <w:tc>
          <w:tcPr>
            <w:tcW w:w="1079" w:type="dxa"/>
            <w:tcBorders>
              <w:top w:val="single" w:sz="4" w:space="0" w:color="365F91"/>
              <w:left w:val="nil"/>
              <w:bottom w:val="single" w:sz="4" w:space="0" w:color="365F91"/>
              <w:right w:val="nil"/>
            </w:tcBorders>
            <w:hideMark/>
          </w:tcPr>
          <w:p w14:paraId="3D295DA3" w14:textId="77777777" w:rsidR="00FB19C0" w:rsidRPr="00BE78CA" w:rsidRDefault="00FB19C0" w:rsidP="00C26084">
            <w:pPr>
              <w:pStyle w:val="TableTextBold"/>
              <w:spacing w:before="50" w:after="50"/>
              <w:rPr>
                <w:noProof w:val="0"/>
              </w:rPr>
            </w:pPr>
            <w:r w:rsidRPr="00BE78CA">
              <w:rPr>
                <w:noProof w:val="0"/>
              </w:rPr>
              <w:t>1991</w:t>
            </w:r>
          </w:p>
        </w:tc>
        <w:tc>
          <w:tcPr>
            <w:tcW w:w="1632" w:type="dxa"/>
            <w:tcBorders>
              <w:top w:val="single" w:sz="4" w:space="0" w:color="365F91"/>
              <w:left w:val="nil"/>
              <w:bottom w:val="single" w:sz="4" w:space="0" w:color="365F91"/>
              <w:right w:val="nil"/>
            </w:tcBorders>
            <w:hideMark/>
          </w:tcPr>
          <w:p w14:paraId="76F9FE11" w14:textId="77777777" w:rsidR="00FB19C0" w:rsidRPr="00BE78CA" w:rsidRDefault="00FB19C0" w:rsidP="00C26084">
            <w:pPr>
              <w:pStyle w:val="TableText"/>
              <w:spacing w:before="50" w:after="50"/>
              <w:jc w:val="center"/>
              <w:rPr>
                <w:rFonts w:cs="Arial"/>
                <w:szCs w:val="16"/>
              </w:rPr>
            </w:pPr>
            <w:r w:rsidRPr="00BE78CA">
              <w:t>21.5</w:t>
            </w:r>
          </w:p>
        </w:tc>
        <w:tc>
          <w:tcPr>
            <w:tcW w:w="1842" w:type="dxa"/>
            <w:tcBorders>
              <w:top w:val="single" w:sz="4" w:space="0" w:color="365F91"/>
              <w:left w:val="nil"/>
              <w:bottom w:val="single" w:sz="4" w:space="0" w:color="365F91"/>
              <w:right w:val="nil"/>
            </w:tcBorders>
            <w:hideMark/>
          </w:tcPr>
          <w:p w14:paraId="6F94D9CB" w14:textId="77777777" w:rsidR="00FB19C0" w:rsidRPr="00BE78CA" w:rsidRDefault="00FB19C0" w:rsidP="00C26084">
            <w:pPr>
              <w:pStyle w:val="TableText"/>
              <w:spacing w:before="50" w:after="50"/>
              <w:jc w:val="center"/>
              <w:rPr>
                <w:rFonts w:cs="Arial"/>
                <w:szCs w:val="16"/>
              </w:rPr>
            </w:pPr>
            <w:r w:rsidRPr="00BE78CA">
              <w:t>0.3</w:t>
            </w:r>
          </w:p>
        </w:tc>
        <w:tc>
          <w:tcPr>
            <w:tcW w:w="1843" w:type="dxa"/>
            <w:tcBorders>
              <w:top w:val="single" w:sz="4" w:space="0" w:color="365F91"/>
              <w:left w:val="nil"/>
              <w:bottom w:val="single" w:sz="4" w:space="0" w:color="365F91"/>
              <w:right w:val="nil"/>
            </w:tcBorders>
            <w:hideMark/>
          </w:tcPr>
          <w:p w14:paraId="3C743842" w14:textId="77777777" w:rsidR="00FB19C0" w:rsidRPr="00BE78CA" w:rsidRDefault="00FB19C0" w:rsidP="00C26084">
            <w:pPr>
              <w:pStyle w:val="TableText"/>
              <w:spacing w:before="50" w:after="50"/>
              <w:jc w:val="center"/>
              <w:rPr>
                <w:rFonts w:cs="Arial"/>
                <w:szCs w:val="16"/>
              </w:rPr>
            </w:pPr>
            <w:r w:rsidRPr="00BE78CA">
              <w:t>4.4</w:t>
            </w:r>
          </w:p>
        </w:tc>
        <w:tc>
          <w:tcPr>
            <w:tcW w:w="2109" w:type="dxa"/>
            <w:tcBorders>
              <w:top w:val="single" w:sz="4" w:space="0" w:color="365F91"/>
              <w:left w:val="nil"/>
              <w:bottom w:val="single" w:sz="4" w:space="0" w:color="365F91"/>
              <w:right w:val="nil"/>
            </w:tcBorders>
            <w:hideMark/>
          </w:tcPr>
          <w:p w14:paraId="519F0B06" w14:textId="77777777" w:rsidR="00FB19C0" w:rsidRPr="00BE78CA" w:rsidRDefault="00FB19C0" w:rsidP="00C26084">
            <w:pPr>
              <w:pStyle w:val="TableText"/>
              <w:spacing w:before="50" w:after="50"/>
              <w:jc w:val="center"/>
              <w:rPr>
                <w:rFonts w:cs="Arial"/>
                <w:szCs w:val="16"/>
              </w:rPr>
            </w:pPr>
            <w:r w:rsidRPr="00BE78CA">
              <w:t>26.2</w:t>
            </w:r>
          </w:p>
        </w:tc>
      </w:tr>
      <w:tr w:rsidR="00FB19C0" w:rsidRPr="00BE78CA" w14:paraId="4C6731B3" w14:textId="77777777" w:rsidTr="00C26084">
        <w:tc>
          <w:tcPr>
            <w:tcW w:w="1079" w:type="dxa"/>
            <w:tcBorders>
              <w:top w:val="single" w:sz="4" w:space="0" w:color="365F91"/>
              <w:left w:val="nil"/>
              <w:bottom w:val="single" w:sz="4" w:space="0" w:color="365F91"/>
              <w:right w:val="nil"/>
            </w:tcBorders>
            <w:hideMark/>
          </w:tcPr>
          <w:p w14:paraId="332B6AB8" w14:textId="77777777" w:rsidR="00FB19C0" w:rsidRPr="00BE78CA" w:rsidRDefault="00FB19C0" w:rsidP="00C26084">
            <w:pPr>
              <w:pStyle w:val="TableTextBold"/>
              <w:spacing w:before="50" w:after="50"/>
              <w:rPr>
                <w:noProof w:val="0"/>
              </w:rPr>
            </w:pPr>
            <w:r w:rsidRPr="00BE78CA">
              <w:rPr>
                <w:noProof w:val="0"/>
              </w:rPr>
              <w:t>1992</w:t>
            </w:r>
          </w:p>
        </w:tc>
        <w:tc>
          <w:tcPr>
            <w:tcW w:w="1632" w:type="dxa"/>
            <w:tcBorders>
              <w:top w:val="single" w:sz="4" w:space="0" w:color="365F91"/>
              <w:left w:val="nil"/>
              <w:bottom w:val="single" w:sz="4" w:space="0" w:color="365F91"/>
              <w:right w:val="nil"/>
            </w:tcBorders>
            <w:hideMark/>
          </w:tcPr>
          <w:p w14:paraId="23A9D37C" w14:textId="77777777" w:rsidR="00FB19C0" w:rsidRPr="00BE78CA" w:rsidRDefault="00FB19C0" w:rsidP="00C26084">
            <w:pPr>
              <w:pStyle w:val="TableText"/>
              <w:spacing w:before="50" w:after="50"/>
              <w:jc w:val="center"/>
              <w:rPr>
                <w:rFonts w:cs="Arial"/>
                <w:szCs w:val="16"/>
              </w:rPr>
            </w:pPr>
            <w:r w:rsidRPr="00BE78CA">
              <w:t>21.5</w:t>
            </w:r>
          </w:p>
        </w:tc>
        <w:tc>
          <w:tcPr>
            <w:tcW w:w="1842" w:type="dxa"/>
            <w:tcBorders>
              <w:top w:val="single" w:sz="4" w:space="0" w:color="365F91"/>
              <w:left w:val="nil"/>
              <w:bottom w:val="single" w:sz="4" w:space="0" w:color="365F91"/>
              <w:right w:val="nil"/>
            </w:tcBorders>
            <w:hideMark/>
          </w:tcPr>
          <w:p w14:paraId="45231031" w14:textId="77777777" w:rsidR="00FB19C0" w:rsidRPr="00BE78CA" w:rsidRDefault="00FB19C0" w:rsidP="00C26084">
            <w:pPr>
              <w:pStyle w:val="TableText"/>
              <w:spacing w:before="50" w:after="50"/>
              <w:jc w:val="center"/>
              <w:rPr>
                <w:rFonts w:cs="Arial"/>
                <w:szCs w:val="16"/>
              </w:rPr>
            </w:pPr>
            <w:r w:rsidRPr="00BE78CA">
              <w:t>0.3</w:t>
            </w:r>
          </w:p>
        </w:tc>
        <w:tc>
          <w:tcPr>
            <w:tcW w:w="1843" w:type="dxa"/>
            <w:tcBorders>
              <w:top w:val="single" w:sz="4" w:space="0" w:color="365F91"/>
              <w:left w:val="nil"/>
              <w:bottom w:val="single" w:sz="4" w:space="0" w:color="365F91"/>
              <w:right w:val="nil"/>
            </w:tcBorders>
            <w:hideMark/>
          </w:tcPr>
          <w:p w14:paraId="6D3100F7" w14:textId="77777777" w:rsidR="00FB19C0" w:rsidRPr="00BE78CA" w:rsidRDefault="00FB19C0" w:rsidP="00C26084">
            <w:pPr>
              <w:pStyle w:val="TableText"/>
              <w:spacing w:before="50" w:after="50"/>
              <w:jc w:val="center"/>
              <w:rPr>
                <w:rFonts w:cs="Arial"/>
                <w:szCs w:val="16"/>
              </w:rPr>
            </w:pPr>
            <w:r w:rsidRPr="00BE78CA">
              <w:t>4.4</w:t>
            </w:r>
          </w:p>
        </w:tc>
        <w:tc>
          <w:tcPr>
            <w:tcW w:w="2109" w:type="dxa"/>
            <w:tcBorders>
              <w:top w:val="single" w:sz="4" w:space="0" w:color="365F91"/>
              <w:left w:val="nil"/>
              <w:bottom w:val="single" w:sz="4" w:space="0" w:color="365F91"/>
              <w:right w:val="nil"/>
            </w:tcBorders>
            <w:hideMark/>
          </w:tcPr>
          <w:p w14:paraId="0BFEE36B" w14:textId="77777777" w:rsidR="00FB19C0" w:rsidRPr="00BE78CA" w:rsidRDefault="00FB19C0" w:rsidP="00C26084">
            <w:pPr>
              <w:pStyle w:val="TableText"/>
              <w:spacing w:before="50" w:after="50"/>
              <w:jc w:val="center"/>
              <w:rPr>
                <w:rFonts w:cs="Arial"/>
                <w:szCs w:val="16"/>
              </w:rPr>
            </w:pPr>
            <w:r w:rsidRPr="00BE78CA">
              <w:t>26.2</w:t>
            </w:r>
          </w:p>
        </w:tc>
      </w:tr>
      <w:tr w:rsidR="00FB19C0" w:rsidRPr="00BE78CA" w14:paraId="0113D88B" w14:textId="77777777" w:rsidTr="00C26084">
        <w:tc>
          <w:tcPr>
            <w:tcW w:w="1079" w:type="dxa"/>
            <w:tcBorders>
              <w:top w:val="single" w:sz="4" w:space="0" w:color="365F91"/>
              <w:left w:val="nil"/>
              <w:bottom w:val="single" w:sz="4" w:space="0" w:color="365F91"/>
              <w:right w:val="nil"/>
            </w:tcBorders>
            <w:hideMark/>
          </w:tcPr>
          <w:p w14:paraId="2DEA71DA" w14:textId="77777777" w:rsidR="00FB19C0" w:rsidRPr="00BE78CA" w:rsidRDefault="00FB19C0" w:rsidP="00C26084">
            <w:pPr>
              <w:pStyle w:val="TableTextBold"/>
              <w:spacing w:before="50" w:after="50"/>
              <w:rPr>
                <w:noProof w:val="0"/>
              </w:rPr>
            </w:pPr>
            <w:r w:rsidRPr="00BE78CA">
              <w:rPr>
                <w:noProof w:val="0"/>
              </w:rPr>
              <w:t>1993</w:t>
            </w:r>
          </w:p>
        </w:tc>
        <w:tc>
          <w:tcPr>
            <w:tcW w:w="1632" w:type="dxa"/>
            <w:tcBorders>
              <w:top w:val="single" w:sz="4" w:space="0" w:color="365F91"/>
              <w:left w:val="nil"/>
              <w:bottom w:val="single" w:sz="4" w:space="0" w:color="365F91"/>
              <w:right w:val="nil"/>
            </w:tcBorders>
            <w:hideMark/>
          </w:tcPr>
          <w:p w14:paraId="161E7929" w14:textId="77777777" w:rsidR="00FB19C0" w:rsidRPr="00BE78CA" w:rsidRDefault="00FB19C0" w:rsidP="00C26084">
            <w:pPr>
              <w:pStyle w:val="TableText"/>
              <w:spacing w:before="50" w:after="50"/>
              <w:jc w:val="center"/>
            </w:pPr>
            <w:r w:rsidRPr="00BE78CA">
              <w:t>21.3</w:t>
            </w:r>
          </w:p>
        </w:tc>
        <w:tc>
          <w:tcPr>
            <w:tcW w:w="1842" w:type="dxa"/>
            <w:tcBorders>
              <w:top w:val="single" w:sz="4" w:space="0" w:color="365F91"/>
              <w:left w:val="nil"/>
              <w:bottom w:val="single" w:sz="4" w:space="0" w:color="365F91"/>
              <w:right w:val="nil"/>
            </w:tcBorders>
            <w:hideMark/>
          </w:tcPr>
          <w:p w14:paraId="2A1ADFE1" w14:textId="77777777" w:rsidR="00FB19C0" w:rsidRPr="00BE78CA" w:rsidRDefault="00FB19C0" w:rsidP="00C26084">
            <w:pPr>
              <w:pStyle w:val="TableText"/>
              <w:spacing w:before="50" w:after="50"/>
              <w:jc w:val="center"/>
            </w:pPr>
            <w:r w:rsidRPr="00BE78CA">
              <w:t>0.3</w:t>
            </w:r>
          </w:p>
        </w:tc>
        <w:tc>
          <w:tcPr>
            <w:tcW w:w="1843" w:type="dxa"/>
            <w:tcBorders>
              <w:top w:val="single" w:sz="4" w:space="0" w:color="365F91"/>
              <w:left w:val="nil"/>
              <w:bottom w:val="single" w:sz="4" w:space="0" w:color="365F91"/>
              <w:right w:val="nil"/>
            </w:tcBorders>
            <w:hideMark/>
          </w:tcPr>
          <w:p w14:paraId="640B873D" w14:textId="77777777" w:rsidR="00FB19C0" w:rsidRPr="00BE78CA" w:rsidRDefault="00FB19C0" w:rsidP="00C26084">
            <w:pPr>
              <w:pStyle w:val="TableText"/>
              <w:spacing w:before="50" w:after="50"/>
              <w:jc w:val="center"/>
            </w:pPr>
            <w:r w:rsidRPr="00BE78CA">
              <w:t>4.4</w:t>
            </w:r>
          </w:p>
        </w:tc>
        <w:tc>
          <w:tcPr>
            <w:tcW w:w="2109" w:type="dxa"/>
            <w:tcBorders>
              <w:top w:val="single" w:sz="4" w:space="0" w:color="365F91"/>
              <w:left w:val="nil"/>
              <w:bottom w:val="single" w:sz="4" w:space="0" w:color="365F91"/>
              <w:right w:val="nil"/>
            </w:tcBorders>
            <w:hideMark/>
          </w:tcPr>
          <w:p w14:paraId="29501A76" w14:textId="77777777" w:rsidR="00FB19C0" w:rsidRPr="00BE78CA" w:rsidRDefault="00FB19C0" w:rsidP="00C26084">
            <w:pPr>
              <w:pStyle w:val="TableText"/>
              <w:spacing w:before="50" w:after="50"/>
              <w:jc w:val="center"/>
            </w:pPr>
            <w:r w:rsidRPr="00BE78CA">
              <w:t>26.0</w:t>
            </w:r>
          </w:p>
        </w:tc>
      </w:tr>
      <w:tr w:rsidR="00FB19C0" w:rsidRPr="00BE78CA" w14:paraId="40C0DCEB" w14:textId="77777777" w:rsidTr="00C26084">
        <w:tc>
          <w:tcPr>
            <w:tcW w:w="1079" w:type="dxa"/>
            <w:tcBorders>
              <w:top w:val="single" w:sz="4" w:space="0" w:color="365F91"/>
              <w:left w:val="nil"/>
              <w:bottom w:val="single" w:sz="4" w:space="0" w:color="365F91"/>
              <w:right w:val="nil"/>
            </w:tcBorders>
            <w:hideMark/>
          </w:tcPr>
          <w:p w14:paraId="7166FE65" w14:textId="77777777" w:rsidR="00FB19C0" w:rsidRPr="00BE78CA" w:rsidRDefault="00FB19C0" w:rsidP="00C26084">
            <w:pPr>
              <w:pStyle w:val="TableTextBold"/>
              <w:spacing w:before="50" w:after="50"/>
              <w:rPr>
                <w:noProof w:val="0"/>
              </w:rPr>
            </w:pPr>
            <w:r w:rsidRPr="00BE78CA">
              <w:rPr>
                <w:noProof w:val="0"/>
              </w:rPr>
              <w:t>1994</w:t>
            </w:r>
          </w:p>
        </w:tc>
        <w:tc>
          <w:tcPr>
            <w:tcW w:w="1632" w:type="dxa"/>
            <w:tcBorders>
              <w:top w:val="single" w:sz="4" w:space="0" w:color="365F91"/>
              <w:left w:val="nil"/>
              <w:bottom w:val="single" w:sz="4" w:space="0" w:color="365F91"/>
              <w:right w:val="nil"/>
            </w:tcBorders>
            <w:hideMark/>
          </w:tcPr>
          <w:p w14:paraId="173A67D9" w14:textId="77777777" w:rsidR="00FB19C0" w:rsidRPr="00BE78CA" w:rsidRDefault="00FB19C0" w:rsidP="00C26084">
            <w:pPr>
              <w:pStyle w:val="TableText"/>
              <w:spacing w:before="50" w:after="50"/>
              <w:jc w:val="center"/>
            </w:pPr>
            <w:r w:rsidRPr="00BE78CA">
              <w:t>21.3</w:t>
            </w:r>
          </w:p>
        </w:tc>
        <w:tc>
          <w:tcPr>
            <w:tcW w:w="1842" w:type="dxa"/>
            <w:tcBorders>
              <w:top w:val="single" w:sz="4" w:space="0" w:color="365F91"/>
              <w:left w:val="nil"/>
              <w:bottom w:val="single" w:sz="4" w:space="0" w:color="365F91"/>
              <w:right w:val="nil"/>
            </w:tcBorders>
            <w:hideMark/>
          </w:tcPr>
          <w:p w14:paraId="36AEB84A" w14:textId="77777777" w:rsidR="00FB19C0" w:rsidRPr="00BE78CA" w:rsidRDefault="00FB19C0" w:rsidP="00C26084">
            <w:pPr>
              <w:pStyle w:val="TableText"/>
              <w:spacing w:before="50" w:after="50"/>
              <w:jc w:val="center"/>
            </w:pPr>
            <w:r w:rsidRPr="00BE78CA">
              <w:t>0.3</w:t>
            </w:r>
          </w:p>
        </w:tc>
        <w:tc>
          <w:tcPr>
            <w:tcW w:w="1843" w:type="dxa"/>
            <w:tcBorders>
              <w:top w:val="single" w:sz="4" w:space="0" w:color="365F91"/>
              <w:left w:val="nil"/>
              <w:bottom w:val="single" w:sz="4" w:space="0" w:color="365F91"/>
              <w:right w:val="nil"/>
            </w:tcBorders>
            <w:hideMark/>
          </w:tcPr>
          <w:p w14:paraId="67E0BB28" w14:textId="77777777" w:rsidR="00FB19C0" w:rsidRPr="00BE78CA" w:rsidRDefault="00FB19C0" w:rsidP="00C26084">
            <w:pPr>
              <w:pStyle w:val="TableText"/>
              <w:spacing w:before="50" w:after="50"/>
              <w:jc w:val="center"/>
            </w:pPr>
            <w:r w:rsidRPr="00BE78CA">
              <w:t>4.4</w:t>
            </w:r>
          </w:p>
        </w:tc>
        <w:tc>
          <w:tcPr>
            <w:tcW w:w="2109" w:type="dxa"/>
            <w:tcBorders>
              <w:top w:val="single" w:sz="4" w:space="0" w:color="365F91"/>
              <w:left w:val="nil"/>
              <w:bottom w:val="single" w:sz="4" w:space="0" w:color="365F91"/>
              <w:right w:val="nil"/>
            </w:tcBorders>
            <w:hideMark/>
          </w:tcPr>
          <w:p w14:paraId="3378EA4A" w14:textId="77777777" w:rsidR="00FB19C0" w:rsidRPr="00BE78CA" w:rsidRDefault="00FB19C0" w:rsidP="00C26084">
            <w:pPr>
              <w:pStyle w:val="TableText"/>
              <w:spacing w:before="50" w:after="50"/>
              <w:jc w:val="center"/>
            </w:pPr>
            <w:r w:rsidRPr="00BE78CA">
              <w:t>26.0</w:t>
            </w:r>
          </w:p>
        </w:tc>
      </w:tr>
      <w:tr w:rsidR="00FB19C0" w:rsidRPr="00BE78CA" w14:paraId="4FAE0941" w14:textId="77777777" w:rsidTr="00C26084">
        <w:tc>
          <w:tcPr>
            <w:tcW w:w="1079" w:type="dxa"/>
            <w:tcBorders>
              <w:top w:val="single" w:sz="4" w:space="0" w:color="365F91"/>
              <w:left w:val="nil"/>
              <w:bottom w:val="single" w:sz="4" w:space="0" w:color="365F91"/>
              <w:right w:val="nil"/>
            </w:tcBorders>
            <w:hideMark/>
          </w:tcPr>
          <w:p w14:paraId="41E7FA83" w14:textId="77777777" w:rsidR="00FB19C0" w:rsidRPr="00BE78CA" w:rsidRDefault="00FB19C0" w:rsidP="00C26084">
            <w:pPr>
              <w:pStyle w:val="TableTextBold"/>
              <w:spacing w:before="50" w:after="50"/>
              <w:rPr>
                <w:noProof w:val="0"/>
              </w:rPr>
            </w:pPr>
            <w:r w:rsidRPr="00BE78CA">
              <w:rPr>
                <w:noProof w:val="0"/>
              </w:rPr>
              <w:t>1995</w:t>
            </w:r>
          </w:p>
        </w:tc>
        <w:tc>
          <w:tcPr>
            <w:tcW w:w="1632" w:type="dxa"/>
            <w:tcBorders>
              <w:top w:val="single" w:sz="4" w:space="0" w:color="365F91"/>
              <w:left w:val="nil"/>
              <w:bottom w:val="single" w:sz="4" w:space="0" w:color="365F91"/>
              <w:right w:val="nil"/>
            </w:tcBorders>
            <w:hideMark/>
          </w:tcPr>
          <w:p w14:paraId="7B8256F1" w14:textId="77777777" w:rsidR="00FB19C0" w:rsidRPr="00BE78CA" w:rsidRDefault="00FB19C0" w:rsidP="00C26084">
            <w:pPr>
              <w:pStyle w:val="TableText"/>
              <w:spacing w:before="50" w:after="50"/>
              <w:jc w:val="center"/>
            </w:pPr>
            <w:r w:rsidRPr="00BE78CA">
              <w:t>21.0</w:t>
            </w:r>
          </w:p>
        </w:tc>
        <w:tc>
          <w:tcPr>
            <w:tcW w:w="1842" w:type="dxa"/>
            <w:tcBorders>
              <w:top w:val="single" w:sz="4" w:space="0" w:color="365F91"/>
              <w:left w:val="nil"/>
              <w:bottom w:val="single" w:sz="4" w:space="0" w:color="365F91"/>
              <w:right w:val="nil"/>
            </w:tcBorders>
            <w:hideMark/>
          </w:tcPr>
          <w:p w14:paraId="524E5635" w14:textId="77777777" w:rsidR="00FB19C0" w:rsidRPr="00BE78CA" w:rsidRDefault="00FB19C0" w:rsidP="00C26084">
            <w:pPr>
              <w:pStyle w:val="TableText"/>
              <w:spacing w:before="50" w:after="50"/>
              <w:jc w:val="center"/>
            </w:pPr>
            <w:r w:rsidRPr="00BE78CA">
              <w:t>0.3</w:t>
            </w:r>
          </w:p>
        </w:tc>
        <w:tc>
          <w:tcPr>
            <w:tcW w:w="1843" w:type="dxa"/>
            <w:tcBorders>
              <w:top w:val="single" w:sz="4" w:space="0" w:color="365F91"/>
              <w:left w:val="nil"/>
              <w:bottom w:val="single" w:sz="4" w:space="0" w:color="365F91"/>
              <w:right w:val="nil"/>
            </w:tcBorders>
            <w:hideMark/>
          </w:tcPr>
          <w:p w14:paraId="224E166F" w14:textId="77777777" w:rsidR="00FB19C0" w:rsidRPr="00BE78CA" w:rsidRDefault="00FB19C0" w:rsidP="00C26084">
            <w:pPr>
              <w:pStyle w:val="TableText"/>
              <w:spacing w:before="50" w:after="50"/>
              <w:jc w:val="center"/>
            </w:pPr>
            <w:r w:rsidRPr="00BE78CA">
              <w:t>4.4</w:t>
            </w:r>
          </w:p>
        </w:tc>
        <w:tc>
          <w:tcPr>
            <w:tcW w:w="2109" w:type="dxa"/>
            <w:tcBorders>
              <w:top w:val="single" w:sz="4" w:space="0" w:color="365F91"/>
              <w:left w:val="nil"/>
              <w:bottom w:val="single" w:sz="4" w:space="0" w:color="365F91"/>
              <w:right w:val="nil"/>
            </w:tcBorders>
            <w:hideMark/>
          </w:tcPr>
          <w:p w14:paraId="28BF585F" w14:textId="77777777" w:rsidR="00FB19C0" w:rsidRPr="00BE78CA" w:rsidRDefault="00FB19C0" w:rsidP="00C26084">
            <w:pPr>
              <w:pStyle w:val="TableText"/>
              <w:spacing w:before="50" w:after="50"/>
              <w:jc w:val="center"/>
            </w:pPr>
            <w:r w:rsidRPr="00BE78CA">
              <w:t>25.7</w:t>
            </w:r>
          </w:p>
        </w:tc>
      </w:tr>
      <w:tr w:rsidR="00FB19C0" w:rsidRPr="00BE78CA" w14:paraId="5ABA8488" w14:textId="77777777" w:rsidTr="00C26084">
        <w:tc>
          <w:tcPr>
            <w:tcW w:w="1079" w:type="dxa"/>
            <w:tcBorders>
              <w:top w:val="single" w:sz="4" w:space="0" w:color="365F91"/>
              <w:left w:val="nil"/>
              <w:bottom w:val="single" w:sz="4" w:space="0" w:color="365F91"/>
              <w:right w:val="nil"/>
            </w:tcBorders>
            <w:hideMark/>
          </w:tcPr>
          <w:p w14:paraId="62A5ED29" w14:textId="77777777" w:rsidR="00FB19C0" w:rsidRPr="00BE78CA" w:rsidRDefault="00FB19C0" w:rsidP="00C26084">
            <w:pPr>
              <w:pStyle w:val="TableTextBold"/>
              <w:spacing w:before="50" w:after="50"/>
              <w:rPr>
                <w:noProof w:val="0"/>
              </w:rPr>
            </w:pPr>
            <w:r w:rsidRPr="00BE78CA">
              <w:rPr>
                <w:noProof w:val="0"/>
              </w:rPr>
              <w:t>1996</w:t>
            </w:r>
          </w:p>
        </w:tc>
        <w:tc>
          <w:tcPr>
            <w:tcW w:w="1632" w:type="dxa"/>
            <w:tcBorders>
              <w:top w:val="single" w:sz="4" w:space="0" w:color="365F91"/>
              <w:left w:val="nil"/>
              <w:bottom w:val="single" w:sz="4" w:space="0" w:color="365F91"/>
              <w:right w:val="nil"/>
            </w:tcBorders>
            <w:hideMark/>
          </w:tcPr>
          <w:p w14:paraId="128822FA" w14:textId="77777777" w:rsidR="00FB19C0" w:rsidRPr="00BE78CA" w:rsidRDefault="00FB19C0" w:rsidP="00C26084">
            <w:pPr>
              <w:pStyle w:val="TableText"/>
              <w:spacing w:before="50" w:after="50"/>
              <w:jc w:val="center"/>
            </w:pPr>
            <w:r w:rsidRPr="00BE78CA">
              <w:t>20.3</w:t>
            </w:r>
          </w:p>
        </w:tc>
        <w:tc>
          <w:tcPr>
            <w:tcW w:w="1842" w:type="dxa"/>
            <w:tcBorders>
              <w:top w:val="single" w:sz="4" w:space="0" w:color="365F91"/>
              <w:left w:val="nil"/>
              <w:bottom w:val="single" w:sz="4" w:space="0" w:color="365F91"/>
              <w:right w:val="nil"/>
            </w:tcBorders>
            <w:hideMark/>
          </w:tcPr>
          <w:p w14:paraId="0BB28593" w14:textId="77777777" w:rsidR="00FB19C0" w:rsidRPr="00BE78CA" w:rsidRDefault="00FB19C0" w:rsidP="00C26084">
            <w:pPr>
              <w:pStyle w:val="TableText"/>
              <w:spacing w:before="50" w:after="50"/>
              <w:jc w:val="center"/>
            </w:pPr>
            <w:r w:rsidRPr="00BE78CA">
              <w:t>0.3</w:t>
            </w:r>
          </w:p>
        </w:tc>
        <w:tc>
          <w:tcPr>
            <w:tcW w:w="1843" w:type="dxa"/>
            <w:tcBorders>
              <w:top w:val="single" w:sz="4" w:space="0" w:color="365F91"/>
              <w:left w:val="nil"/>
              <w:bottom w:val="single" w:sz="4" w:space="0" w:color="365F91"/>
              <w:right w:val="nil"/>
            </w:tcBorders>
            <w:hideMark/>
          </w:tcPr>
          <w:p w14:paraId="5ABB0715" w14:textId="77777777" w:rsidR="00FB19C0" w:rsidRPr="00BE78CA" w:rsidRDefault="00FB19C0" w:rsidP="00C26084">
            <w:pPr>
              <w:pStyle w:val="TableText"/>
              <w:spacing w:before="50" w:after="50"/>
              <w:jc w:val="center"/>
            </w:pPr>
            <w:r w:rsidRPr="00BE78CA">
              <w:t>4.4</w:t>
            </w:r>
          </w:p>
        </w:tc>
        <w:tc>
          <w:tcPr>
            <w:tcW w:w="2109" w:type="dxa"/>
            <w:tcBorders>
              <w:top w:val="single" w:sz="4" w:space="0" w:color="365F91"/>
              <w:left w:val="nil"/>
              <w:bottom w:val="single" w:sz="4" w:space="0" w:color="365F91"/>
              <w:right w:val="nil"/>
            </w:tcBorders>
            <w:hideMark/>
          </w:tcPr>
          <w:p w14:paraId="540B90B0" w14:textId="77777777" w:rsidR="00FB19C0" w:rsidRPr="00BE78CA" w:rsidRDefault="00FB19C0" w:rsidP="00C26084">
            <w:pPr>
              <w:pStyle w:val="TableText"/>
              <w:spacing w:before="50" w:after="50"/>
              <w:jc w:val="center"/>
            </w:pPr>
            <w:r w:rsidRPr="00BE78CA">
              <w:t>25.0</w:t>
            </w:r>
          </w:p>
        </w:tc>
      </w:tr>
      <w:tr w:rsidR="00FB19C0" w:rsidRPr="00BE78CA" w14:paraId="18B2A1DF" w14:textId="77777777" w:rsidTr="00C26084">
        <w:tc>
          <w:tcPr>
            <w:tcW w:w="1079" w:type="dxa"/>
            <w:tcBorders>
              <w:top w:val="single" w:sz="4" w:space="0" w:color="365F91"/>
              <w:left w:val="nil"/>
              <w:bottom w:val="single" w:sz="4" w:space="0" w:color="365F91"/>
              <w:right w:val="nil"/>
            </w:tcBorders>
            <w:hideMark/>
          </w:tcPr>
          <w:p w14:paraId="407B3205" w14:textId="77777777" w:rsidR="00FB19C0" w:rsidRPr="00BE78CA" w:rsidRDefault="00FB19C0" w:rsidP="00C26084">
            <w:pPr>
              <w:pStyle w:val="TableTextBold"/>
              <w:spacing w:before="50" w:after="50"/>
              <w:rPr>
                <w:noProof w:val="0"/>
              </w:rPr>
            </w:pPr>
            <w:r w:rsidRPr="00BE78CA">
              <w:rPr>
                <w:noProof w:val="0"/>
              </w:rPr>
              <w:t>1997</w:t>
            </w:r>
          </w:p>
        </w:tc>
        <w:tc>
          <w:tcPr>
            <w:tcW w:w="1632" w:type="dxa"/>
            <w:tcBorders>
              <w:top w:val="single" w:sz="4" w:space="0" w:color="365F91"/>
              <w:left w:val="nil"/>
              <w:bottom w:val="single" w:sz="4" w:space="0" w:color="365F91"/>
              <w:right w:val="nil"/>
            </w:tcBorders>
            <w:hideMark/>
          </w:tcPr>
          <w:p w14:paraId="513AB0C6" w14:textId="77777777" w:rsidR="00FB19C0" w:rsidRPr="00BE78CA" w:rsidRDefault="00FB19C0" w:rsidP="00C26084">
            <w:pPr>
              <w:pStyle w:val="TableText"/>
              <w:spacing w:before="50" w:after="50"/>
              <w:jc w:val="center"/>
            </w:pPr>
            <w:r w:rsidRPr="00BE78CA">
              <w:t>20.3</w:t>
            </w:r>
          </w:p>
        </w:tc>
        <w:tc>
          <w:tcPr>
            <w:tcW w:w="1842" w:type="dxa"/>
            <w:tcBorders>
              <w:top w:val="single" w:sz="4" w:space="0" w:color="365F91"/>
              <w:left w:val="nil"/>
              <w:bottom w:val="single" w:sz="4" w:space="0" w:color="365F91"/>
              <w:right w:val="nil"/>
            </w:tcBorders>
            <w:hideMark/>
          </w:tcPr>
          <w:p w14:paraId="539C764B" w14:textId="77777777" w:rsidR="00FB19C0" w:rsidRPr="00BE78CA" w:rsidRDefault="00FB19C0" w:rsidP="00C26084">
            <w:pPr>
              <w:pStyle w:val="TableText"/>
              <w:spacing w:before="50" w:after="50"/>
              <w:jc w:val="center"/>
            </w:pPr>
            <w:r w:rsidRPr="00BE78CA">
              <w:t>0.3</w:t>
            </w:r>
          </w:p>
        </w:tc>
        <w:tc>
          <w:tcPr>
            <w:tcW w:w="1843" w:type="dxa"/>
            <w:tcBorders>
              <w:top w:val="single" w:sz="4" w:space="0" w:color="365F91"/>
              <w:left w:val="nil"/>
              <w:bottom w:val="single" w:sz="4" w:space="0" w:color="365F91"/>
              <w:right w:val="nil"/>
            </w:tcBorders>
            <w:hideMark/>
          </w:tcPr>
          <w:p w14:paraId="3472F756" w14:textId="77777777" w:rsidR="00FB19C0" w:rsidRPr="00BE78CA" w:rsidRDefault="00FB19C0" w:rsidP="00C26084">
            <w:pPr>
              <w:pStyle w:val="TableText"/>
              <w:spacing w:before="50" w:after="50"/>
              <w:jc w:val="center"/>
            </w:pPr>
            <w:r w:rsidRPr="00BE78CA">
              <w:t>4.4</w:t>
            </w:r>
          </w:p>
        </w:tc>
        <w:tc>
          <w:tcPr>
            <w:tcW w:w="2109" w:type="dxa"/>
            <w:tcBorders>
              <w:top w:val="single" w:sz="4" w:space="0" w:color="365F91"/>
              <w:left w:val="nil"/>
              <w:bottom w:val="single" w:sz="4" w:space="0" w:color="365F91"/>
              <w:right w:val="nil"/>
            </w:tcBorders>
            <w:hideMark/>
          </w:tcPr>
          <w:p w14:paraId="39875AC9" w14:textId="77777777" w:rsidR="00FB19C0" w:rsidRPr="00BE78CA" w:rsidRDefault="00FB19C0" w:rsidP="00C26084">
            <w:pPr>
              <w:pStyle w:val="TableText"/>
              <w:spacing w:before="50" w:after="50"/>
              <w:jc w:val="center"/>
            </w:pPr>
            <w:r w:rsidRPr="00BE78CA">
              <w:t>25.0</w:t>
            </w:r>
          </w:p>
        </w:tc>
      </w:tr>
      <w:tr w:rsidR="00FB19C0" w:rsidRPr="00BE78CA" w14:paraId="22AD4525" w14:textId="77777777" w:rsidTr="00C26084">
        <w:tc>
          <w:tcPr>
            <w:tcW w:w="1079" w:type="dxa"/>
            <w:tcBorders>
              <w:top w:val="single" w:sz="4" w:space="0" w:color="365F91"/>
              <w:left w:val="nil"/>
              <w:bottom w:val="single" w:sz="4" w:space="0" w:color="365F91"/>
              <w:right w:val="nil"/>
            </w:tcBorders>
            <w:hideMark/>
          </w:tcPr>
          <w:p w14:paraId="17F89B1E" w14:textId="77777777" w:rsidR="00FB19C0" w:rsidRPr="00BE78CA" w:rsidRDefault="00FB19C0" w:rsidP="00C26084">
            <w:pPr>
              <w:pStyle w:val="TableTextBold"/>
              <w:spacing w:before="50" w:after="50"/>
              <w:rPr>
                <w:noProof w:val="0"/>
              </w:rPr>
            </w:pPr>
            <w:r w:rsidRPr="00BE78CA">
              <w:rPr>
                <w:noProof w:val="0"/>
              </w:rPr>
              <w:t>1998</w:t>
            </w:r>
          </w:p>
        </w:tc>
        <w:tc>
          <w:tcPr>
            <w:tcW w:w="1632" w:type="dxa"/>
            <w:tcBorders>
              <w:top w:val="single" w:sz="4" w:space="0" w:color="365F91"/>
              <w:left w:val="nil"/>
              <w:bottom w:val="single" w:sz="4" w:space="0" w:color="365F91"/>
              <w:right w:val="nil"/>
            </w:tcBorders>
            <w:hideMark/>
          </w:tcPr>
          <w:p w14:paraId="37637CBB" w14:textId="77777777" w:rsidR="00FB19C0" w:rsidRPr="00BE78CA" w:rsidRDefault="00FB19C0" w:rsidP="00C26084">
            <w:pPr>
              <w:pStyle w:val="TableText"/>
              <w:spacing w:before="50" w:after="50"/>
              <w:jc w:val="center"/>
            </w:pPr>
            <w:r w:rsidRPr="00BE78CA">
              <w:t>20.0</w:t>
            </w:r>
          </w:p>
        </w:tc>
        <w:tc>
          <w:tcPr>
            <w:tcW w:w="1842" w:type="dxa"/>
            <w:tcBorders>
              <w:top w:val="single" w:sz="4" w:space="0" w:color="365F91"/>
              <w:left w:val="nil"/>
              <w:bottom w:val="single" w:sz="4" w:space="0" w:color="365F91"/>
              <w:right w:val="nil"/>
            </w:tcBorders>
            <w:hideMark/>
          </w:tcPr>
          <w:p w14:paraId="7EB4D990" w14:textId="77777777" w:rsidR="00FB19C0" w:rsidRPr="00BE78CA" w:rsidRDefault="00FB19C0" w:rsidP="00C26084">
            <w:pPr>
              <w:pStyle w:val="TableText"/>
              <w:spacing w:before="50" w:after="50"/>
              <w:jc w:val="center"/>
            </w:pPr>
            <w:r w:rsidRPr="00BE78CA">
              <w:t>0.3</w:t>
            </w:r>
          </w:p>
        </w:tc>
        <w:tc>
          <w:tcPr>
            <w:tcW w:w="1843" w:type="dxa"/>
            <w:tcBorders>
              <w:top w:val="single" w:sz="4" w:space="0" w:color="365F91"/>
              <w:left w:val="nil"/>
              <w:bottom w:val="single" w:sz="4" w:space="0" w:color="365F91"/>
              <w:right w:val="nil"/>
            </w:tcBorders>
            <w:hideMark/>
          </w:tcPr>
          <w:p w14:paraId="7B0B5C06" w14:textId="77777777" w:rsidR="00FB19C0" w:rsidRPr="00BE78CA" w:rsidRDefault="00FB19C0" w:rsidP="00C26084">
            <w:pPr>
              <w:pStyle w:val="TableText"/>
              <w:spacing w:before="50" w:after="50"/>
              <w:jc w:val="center"/>
            </w:pPr>
            <w:r w:rsidRPr="00BE78CA">
              <w:t>4.4</w:t>
            </w:r>
          </w:p>
        </w:tc>
        <w:tc>
          <w:tcPr>
            <w:tcW w:w="2109" w:type="dxa"/>
            <w:tcBorders>
              <w:top w:val="single" w:sz="4" w:space="0" w:color="365F91"/>
              <w:left w:val="nil"/>
              <w:bottom w:val="single" w:sz="4" w:space="0" w:color="365F91"/>
              <w:right w:val="nil"/>
            </w:tcBorders>
            <w:hideMark/>
          </w:tcPr>
          <w:p w14:paraId="7DD655FA" w14:textId="77777777" w:rsidR="00FB19C0" w:rsidRPr="00BE78CA" w:rsidRDefault="00FB19C0" w:rsidP="00C26084">
            <w:pPr>
              <w:pStyle w:val="TableText"/>
              <w:spacing w:before="50" w:after="50"/>
              <w:jc w:val="center"/>
            </w:pPr>
            <w:r w:rsidRPr="00BE78CA">
              <w:t>24.7</w:t>
            </w:r>
          </w:p>
        </w:tc>
      </w:tr>
      <w:tr w:rsidR="00FB19C0" w:rsidRPr="00BE78CA" w14:paraId="0FFAFCF7" w14:textId="77777777" w:rsidTr="00C26084">
        <w:tc>
          <w:tcPr>
            <w:tcW w:w="1079" w:type="dxa"/>
            <w:tcBorders>
              <w:top w:val="single" w:sz="4" w:space="0" w:color="365F91"/>
              <w:left w:val="nil"/>
              <w:bottom w:val="single" w:sz="4" w:space="0" w:color="365F91"/>
              <w:right w:val="nil"/>
            </w:tcBorders>
            <w:hideMark/>
          </w:tcPr>
          <w:p w14:paraId="6C425084" w14:textId="77777777" w:rsidR="00FB19C0" w:rsidRPr="00BE78CA" w:rsidRDefault="00FB19C0" w:rsidP="00C26084">
            <w:pPr>
              <w:pStyle w:val="TableTextBold"/>
              <w:spacing w:before="50" w:after="50"/>
              <w:rPr>
                <w:noProof w:val="0"/>
              </w:rPr>
            </w:pPr>
            <w:r w:rsidRPr="00BE78CA">
              <w:rPr>
                <w:noProof w:val="0"/>
              </w:rPr>
              <w:t>1999</w:t>
            </w:r>
          </w:p>
        </w:tc>
        <w:tc>
          <w:tcPr>
            <w:tcW w:w="1632" w:type="dxa"/>
            <w:tcBorders>
              <w:top w:val="single" w:sz="4" w:space="0" w:color="365F91"/>
              <w:left w:val="nil"/>
              <w:bottom w:val="single" w:sz="4" w:space="0" w:color="365F91"/>
              <w:right w:val="nil"/>
            </w:tcBorders>
            <w:hideMark/>
          </w:tcPr>
          <w:p w14:paraId="4717BB02" w14:textId="77777777" w:rsidR="00FB19C0" w:rsidRPr="00BE78CA" w:rsidRDefault="00FB19C0" w:rsidP="00C26084">
            <w:pPr>
              <w:pStyle w:val="TableText"/>
              <w:spacing w:before="50" w:after="50"/>
              <w:jc w:val="center"/>
            </w:pPr>
            <w:r w:rsidRPr="00BE78CA">
              <w:t>18.9</w:t>
            </w:r>
          </w:p>
        </w:tc>
        <w:tc>
          <w:tcPr>
            <w:tcW w:w="1842" w:type="dxa"/>
            <w:tcBorders>
              <w:top w:val="single" w:sz="4" w:space="0" w:color="365F91"/>
              <w:left w:val="nil"/>
              <w:bottom w:val="single" w:sz="4" w:space="0" w:color="365F91"/>
              <w:right w:val="nil"/>
            </w:tcBorders>
            <w:hideMark/>
          </w:tcPr>
          <w:p w14:paraId="746E1AA8" w14:textId="77777777" w:rsidR="00FB19C0" w:rsidRPr="00BE78CA" w:rsidRDefault="00FB19C0" w:rsidP="00C26084">
            <w:pPr>
              <w:pStyle w:val="TableText"/>
              <w:spacing w:before="50" w:after="50"/>
              <w:jc w:val="center"/>
            </w:pPr>
            <w:r w:rsidRPr="00BE78CA">
              <w:t>0.3</w:t>
            </w:r>
          </w:p>
        </w:tc>
        <w:tc>
          <w:tcPr>
            <w:tcW w:w="1843" w:type="dxa"/>
            <w:tcBorders>
              <w:top w:val="single" w:sz="4" w:space="0" w:color="365F91"/>
              <w:left w:val="nil"/>
              <w:bottom w:val="single" w:sz="4" w:space="0" w:color="365F91"/>
              <w:right w:val="nil"/>
            </w:tcBorders>
            <w:hideMark/>
          </w:tcPr>
          <w:p w14:paraId="3F01A48E" w14:textId="77777777" w:rsidR="00FB19C0" w:rsidRPr="00BE78CA" w:rsidRDefault="00FB19C0" w:rsidP="00C26084">
            <w:pPr>
              <w:pStyle w:val="TableText"/>
              <w:spacing w:before="50" w:after="50"/>
              <w:jc w:val="center"/>
            </w:pPr>
            <w:r w:rsidRPr="00BE78CA">
              <w:t>4.4</w:t>
            </w:r>
          </w:p>
        </w:tc>
        <w:tc>
          <w:tcPr>
            <w:tcW w:w="2109" w:type="dxa"/>
            <w:tcBorders>
              <w:top w:val="single" w:sz="4" w:space="0" w:color="365F91"/>
              <w:left w:val="nil"/>
              <w:bottom w:val="single" w:sz="4" w:space="0" w:color="365F91"/>
              <w:right w:val="nil"/>
            </w:tcBorders>
            <w:hideMark/>
          </w:tcPr>
          <w:p w14:paraId="3D12A970" w14:textId="77777777" w:rsidR="00FB19C0" w:rsidRPr="00BE78CA" w:rsidRDefault="00FB19C0" w:rsidP="00C26084">
            <w:pPr>
              <w:pStyle w:val="TableText"/>
              <w:spacing w:before="50" w:after="50"/>
              <w:jc w:val="center"/>
            </w:pPr>
            <w:r w:rsidRPr="00BE78CA">
              <w:t>23.6</w:t>
            </w:r>
          </w:p>
        </w:tc>
      </w:tr>
      <w:tr w:rsidR="00FB19C0" w:rsidRPr="00BE78CA" w14:paraId="642F5E64" w14:textId="77777777" w:rsidTr="00C26084">
        <w:tc>
          <w:tcPr>
            <w:tcW w:w="1079" w:type="dxa"/>
            <w:tcBorders>
              <w:top w:val="single" w:sz="4" w:space="0" w:color="365F91"/>
              <w:left w:val="nil"/>
              <w:bottom w:val="single" w:sz="4" w:space="0" w:color="365F91"/>
              <w:right w:val="nil"/>
            </w:tcBorders>
            <w:hideMark/>
          </w:tcPr>
          <w:p w14:paraId="2AC749F4" w14:textId="77777777" w:rsidR="00FB19C0" w:rsidRPr="00BE78CA" w:rsidRDefault="00FB19C0" w:rsidP="00C26084">
            <w:pPr>
              <w:pStyle w:val="TableTextBold"/>
              <w:spacing w:before="50" w:after="50"/>
              <w:rPr>
                <w:noProof w:val="0"/>
              </w:rPr>
            </w:pPr>
            <w:r w:rsidRPr="00BE78CA">
              <w:rPr>
                <w:noProof w:val="0"/>
              </w:rPr>
              <w:lastRenderedPageBreak/>
              <w:t>2000</w:t>
            </w:r>
          </w:p>
        </w:tc>
        <w:tc>
          <w:tcPr>
            <w:tcW w:w="1632" w:type="dxa"/>
            <w:tcBorders>
              <w:top w:val="single" w:sz="4" w:space="0" w:color="365F91"/>
              <w:left w:val="nil"/>
              <w:bottom w:val="single" w:sz="4" w:space="0" w:color="365F91"/>
              <w:right w:val="nil"/>
            </w:tcBorders>
            <w:hideMark/>
          </w:tcPr>
          <w:p w14:paraId="3A6CCE49" w14:textId="77777777" w:rsidR="00FB19C0" w:rsidRPr="00BE78CA" w:rsidRDefault="00FB19C0" w:rsidP="00C26084">
            <w:pPr>
              <w:pStyle w:val="TableText"/>
              <w:spacing w:before="50" w:after="50"/>
              <w:jc w:val="center"/>
            </w:pPr>
            <w:r w:rsidRPr="00BE78CA">
              <w:t>17.8</w:t>
            </w:r>
          </w:p>
        </w:tc>
        <w:tc>
          <w:tcPr>
            <w:tcW w:w="1842" w:type="dxa"/>
            <w:tcBorders>
              <w:top w:val="single" w:sz="4" w:space="0" w:color="365F91"/>
              <w:left w:val="nil"/>
              <w:bottom w:val="single" w:sz="4" w:space="0" w:color="365F91"/>
              <w:right w:val="nil"/>
            </w:tcBorders>
            <w:hideMark/>
          </w:tcPr>
          <w:p w14:paraId="7B32ACA5" w14:textId="77777777" w:rsidR="00FB19C0" w:rsidRPr="00BE78CA" w:rsidRDefault="00FB19C0" w:rsidP="00C26084">
            <w:pPr>
              <w:pStyle w:val="TableText"/>
              <w:spacing w:before="50" w:after="50"/>
              <w:jc w:val="center"/>
            </w:pPr>
            <w:r w:rsidRPr="00BE78CA">
              <w:t>0.3</w:t>
            </w:r>
          </w:p>
        </w:tc>
        <w:tc>
          <w:tcPr>
            <w:tcW w:w="1843" w:type="dxa"/>
            <w:tcBorders>
              <w:top w:val="single" w:sz="4" w:space="0" w:color="365F91"/>
              <w:left w:val="nil"/>
              <w:bottom w:val="single" w:sz="4" w:space="0" w:color="365F91"/>
              <w:right w:val="nil"/>
            </w:tcBorders>
            <w:hideMark/>
          </w:tcPr>
          <w:p w14:paraId="621625E2" w14:textId="77777777" w:rsidR="00FB19C0" w:rsidRPr="00BE78CA" w:rsidRDefault="00FB19C0" w:rsidP="00C26084">
            <w:pPr>
              <w:pStyle w:val="TableText"/>
              <w:spacing w:before="50" w:after="50"/>
              <w:jc w:val="center"/>
            </w:pPr>
            <w:r w:rsidRPr="00BE78CA">
              <w:t>4.4</w:t>
            </w:r>
          </w:p>
        </w:tc>
        <w:tc>
          <w:tcPr>
            <w:tcW w:w="2109" w:type="dxa"/>
            <w:tcBorders>
              <w:top w:val="single" w:sz="4" w:space="0" w:color="365F91"/>
              <w:left w:val="nil"/>
              <w:bottom w:val="single" w:sz="4" w:space="0" w:color="365F91"/>
              <w:right w:val="nil"/>
            </w:tcBorders>
            <w:hideMark/>
          </w:tcPr>
          <w:p w14:paraId="06B83755" w14:textId="77777777" w:rsidR="00FB19C0" w:rsidRPr="00BE78CA" w:rsidRDefault="00FB19C0" w:rsidP="00C26084">
            <w:pPr>
              <w:pStyle w:val="TableText"/>
              <w:spacing w:before="50" w:after="50"/>
              <w:jc w:val="center"/>
            </w:pPr>
            <w:r w:rsidRPr="00BE78CA">
              <w:t>22.4</w:t>
            </w:r>
          </w:p>
        </w:tc>
      </w:tr>
      <w:tr w:rsidR="00FB19C0" w:rsidRPr="00BE78CA" w14:paraId="18EF996A" w14:textId="77777777" w:rsidTr="00C26084">
        <w:tc>
          <w:tcPr>
            <w:tcW w:w="1079" w:type="dxa"/>
            <w:tcBorders>
              <w:top w:val="single" w:sz="4" w:space="0" w:color="365F91"/>
              <w:left w:val="nil"/>
              <w:bottom w:val="single" w:sz="4" w:space="0" w:color="365F91"/>
              <w:right w:val="nil"/>
            </w:tcBorders>
            <w:hideMark/>
          </w:tcPr>
          <w:p w14:paraId="08450A1C" w14:textId="77777777" w:rsidR="00FB19C0" w:rsidRPr="00BE78CA" w:rsidRDefault="00FB19C0" w:rsidP="00C26084">
            <w:pPr>
              <w:pStyle w:val="TableTextBold"/>
              <w:spacing w:before="50" w:after="50"/>
              <w:rPr>
                <w:noProof w:val="0"/>
              </w:rPr>
            </w:pPr>
            <w:r w:rsidRPr="00BE78CA">
              <w:rPr>
                <w:noProof w:val="0"/>
              </w:rPr>
              <w:t>2001</w:t>
            </w:r>
          </w:p>
        </w:tc>
        <w:tc>
          <w:tcPr>
            <w:tcW w:w="1632" w:type="dxa"/>
            <w:tcBorders>
              <w:top w:val="single" w:sz="4" w:space="0" w:color="365F91"/>
              <w:left w:val="nil"/>
              <w:bottom w:val="single" w:sz="4" w:space="0" w:color="365F91"/>
              <w:right w:val="nil"/>
            </w:tcBorders>
            <w:hideMark/>
          </w:tcPr>
          <w:p w14:paraId="5BA1773D" w14:textId="77777777" w:rsidR="00FB19C0" w:rsidRPr="00BE78CA" w:rsidRDefault="00FB19C0" w:rsidP="00C26084">
            <w:pPr>
              <w:pStyle w:val="TableText"/>
              <w:spacing w:before="50" w:after="50"/>
              <w:jc w:val="center"/>
            </w:pPr>
            <w:r w:rsidRPr="00BE78CA">
              <w:t>9.3</w:t>
            </w:r>
          </w:p>
        </w:tc>
        <w:tc>
          <w:tcPr>
            <w:tcW w:w="1842" w:type="dxa"/>
            <w:tcBorders>
              <w:top w:val="single" w:sz="4" w:space="0" w:color="365F91"/>
              <w:left w:val="nil"/>
              <w:bottom w:val="single" w:sz="4" w:space="0" w:color="365F91"/>
              <w:right w:val="nil"/>
            </w:tcBorders>
            <w:hideMark/>
          </w:tcPr>
          <w:p w14:paraId="5C68394C" w14:textId="77777777" w:rsidR="00FB19C0" w:rsidRPr="00BE78CA" w:rsidRDefault="00FB19C0" w:rsidP="00C26084">
            <w:pPr>
              <w:pStyle w:val="TableText"/>
              <w:spacing w:before="50" w:after="50"/>
              <w:jc w:val="center"/>
            </w:pPr>
            <w:r w:rsidRPr="00BE78CA">
              <w:t>0.3</w:t>
            </w:r>
          </w:p>
        </w:tc>
        <w:tc>
          <w:tcPr>
            <w:tcW w:w="1843" w:type="dxa"/>
            <w:tcBorders>
              <w:top w:val="single" w:sz="4" w:space="0" w:color="365F91"/>
              <w:left w:val="nil"/>
              <w:bottom w:val="single" w:sz="4" w:space="0" w:color="365F91"/>
              <w:right w:val="nil"/>
            </w:tcBorders>
            <w:hideMark/>
          </w:tcPr>
          <w:p w14:paraId="256B0628" w14:textId="77777777" w:rsidR="00FB19C0" w:rsidRPr="00BE78CA" w:rsidRDefault="00FB19C0" w:rsidP="00C26084">
            <w:pPr>
              <w:pStyle w:val="TableText"/>
              <w:spacing w:before="50" w:after="50"/>
              <w:jc w:val="center"/>
            </w:pPr>
            <w:r w:rsidRPr="00BE78CA">
              <w:t>4.4</w:t>
            </w:r>
          </w:p>
        </w:tc>
        <w:tc>
          <w:tcPr>
            <w:tcW w:w="2109" w:type="dxa"/>
            <w:tcBorders>
              <w:top w:val="single" w:sz="4" w:space="0" w:color="365F91"/>
              <w:left w:val="nil"/>
              <w:bottom w:val="single" w:sz="4" w:space="0" w:color="365F91"/>
              <w:right w:val="nil"/>
            </w:tcBorders>
            <w:hideMark/>
          </w:tcPr>
          <w:p w14:paraId="15D7F570" w14:textId="77777777" w:rsidR="00FB19C0" w:rsidRPr="00BE78CA" w:rsidRDefault="00FB19C0" w:rsidP="00C26084">
            <w:pPr>
              <w:pStyle w:val="TableText"/>
              <w:spacing w:before="50" w:after="50"/>
              <w:jc w:val="center"/>
            </w:pPr>
            <w:r w:rsidRPr="00BE78CA">
              <w:t>13.9</w:t>
            </w:r>
          </w:p>
        </w:tc>
      </w:tr>
      <w:tr w:rsidR="00FB19C0" w:rsidRPr="00BE78CA" w14:paraId="71495B93" w14:textId="77777777" w:rsidTr="00C26084">
        <w:tc>
          <w:tcPr>
            <w:tcW w:w="1079" w:type="dxa"/>
            <w:tcBorders>
              <w:top w:val="single" w:sz="4" w:space="0" w:color="365F91"/>
              <w:left w:val="nil"/>
              <w:bottom w:val="single" w:sz="4" w:space="0" w:color="365F91"/>
              <w:right w:val="nil"/>
            </w:tcBorders>
            <w:hideMark/>
          </w:tcPr>
          <w:p w14:paraId="3ADD352D" w14:textId="77777777" w:rsidR="00FB19C0" w:rsidRPr="00BE78CA" w:rsidRDefault="00FB19C0" w:rsidP="00C26084">
            <w:pPr>
              <w:pStyle w:val="TableTextBold"/>
              <w:spacing w:before="50" w:after="50"/>
              <w:rPr>
                <w:noProof w:val="0"/>
              </w:rPr>
            </w:pPr>
            <w:r w:rsidRPr="00BE78CA">
              <w:rPr>
                <w:noProof w:val="0"/>
              </w:rPr>
              <w:t>2002</w:t>
            </w:r>
          </w:p>
        </w:tc>
        <w:tc>
          <w:tcPr>
            <w:tcW w:w="1632" w:type="dxa"/>
            <w:tcBorders>
              <w:top w:val="single" w:sz="4" w:space="0" w:color="365F91"/>
              <w:left w:val="nil"/>
              <w:bottom w:val="single" w:sz="4" w:space="0" w:color="365F91"/>
              <w:right w:val="nil"/>
            </w:tcBorders>
            <w:hideMark/>
          </w:tcPr>
          <w:p w14:paraId="534DC5A1" w14:textId="77777777" w:rsidR="00FB19C0" w:rsidRPr="00BE78CA" w:rsidRDefault="00FB19C0" w:rsidP="00C26084">
            <w:pPr>
              <w:pStyle w:val="TableText"/>
              <w:spacing w:before="50" w:after="50"/>
              <w:jc w:val="center"/>
            </w:pPr>
            <w:r w:rsidRPr="00BE78CA">
              <w:t>8.2</w:t>
            </w:r>
          </w:p>
        </w:tc>
        <w:tc>
          <w:tcPr>
            <w:tcW w:w="1842" w:type="dxa"/>
            <w:tcBorders>
              <w:top w:val="single" w:sz="4" w:space="0" w:color="365F91"/>
              <w:left w:val="nil"/>
              <w:bottom w:val="single" w:sz="4" w:space="0" w:color="365F91"/>
              <w:right w:val="nil"/>
            </w:tcBorders>
            <w:hideMark/>
          </w:tcPr>
          <w:p w14:paraId="69A399DC" w14:textId="77777777" w:rsidR="00FB19C0" w:rsidRPr="00BE78CA" w:rsidRDefault="00FB19C0" w:rsidP="00C26084">
            <w:pPr>
              <w:pStyle w:val="TableText"/>
              <w:spacing w:before="50" w:after="50"/>
              <w:jc w:val="center"/>
            </w:pPr>
            <w:r w:rsidRPr="00BE78CA">
              <w:t>0.3</w:t>
            </w:r>
          </w:p>
        </w:tc>
        <w:tc>
          <w:tcPr>
            <w:tcW w:w="1843" w:type="dxa"/>
            <w:tcBorders>
              <w:top w:val="single" w:sz="4" w:space="0" w:color="365F91"/>
              <w:left w:val="nil"/>
              <w:bottom w:val="single" w:sz="4" w:space="0" w:color="365F91"/>
              <w:right w:val="nil"/>
            </w:tcBorders>
            <w:hideMark/>
          </w:tcPr>
          <w:p w14:paraId="44528E19" w14:textId="77777777" w:rsidR="00FB19C0" w:rsidRPr="00BE78CA" w:rsidRDefault="00FB19C0" w:rsidP="00C26084">
            <w:pPr>
              <w:pStyle w:val="TableText"/>
              <w:spacing w:before="50" w:after="50"/>
              <w:jc w:val="center"/>
            </w:pPr>
            <w:r w:rsidRPr="00BE78CA">
              <w:t>4.4</w:t>
            </w:r>
          </w:p>
        </w:tc>
        <w:tc>
          <w:tcPr>
            <w:tcW w:w="2109" w:type="dxa"/>
            <w:tcBorders>
              <w:top w:val="single" w:sz="4" w:space="0" w:color="365F91"/>
              <w:left w:val="nil"/>
              <w:bottom w:val="single" w:sz="4" w:space="0" w:color="365F91"/>
              <w:right w:val="nil"/>
            </w:tcBorders>
            <w:hideMark/>
          </w:tcPr>
          <w:p w14:paraId="2E22349E" w14:textId="77777777" w:rsidR="00FB19C0" w:rsidRPr="00BE78CA" w:rsidRDefault="00FB19C0" w:rsidP="00C26084">
            <w:pPr>
              <w:pStyle w:val="TableText"/>
              <w:spacing w:before="50" w:after="50"/>
              <w:jc w:val="center"/>
            </w:pPr>
            <w:r w:rsidRPr="00BE78CA">
              <w:t>12.9</w:t>
            </w:r>
          </w:p>
        </w:tc>
      </w:tr>
      <w:tr w:rsidR="00FB19C0" w:rsidRPr="00BE78CA" w14:paraId="4083E829" w14:textId="77777777" w:rsidTr="00C26084">
        <w:tc>
          <w:tcPr>
            <w:tcW w:w="1079" w:type="dxa"/>
            <w:tcBorders>
              <w:top w:val="single" w:sz="4" w:space="0" w:color="365F91"/>
              <w:left w:val="nil"/>
              <w:bottom w:val="single" w:sz="4" w:space="0" w:color="365F91"/>
              <w:right w:val="nil"/>
            </w:tcBorders>
            <w:hideMark/>
          </w:tcPr>
          <w:p w14:paraId="264B0FDD" w14:textId="77777777" w:rsidR="00FB19C0" w:rsidRPr="00BE78CA" w:rsidRDefault="00FB19C0" w:rsidP="00C26084">
            <w:pPr>
              <w:pStyle w:val="TableTextBold"/>
              <w:spacing w:before="50" w:after="50"/>
              <w:rPr>
                <w:noProof w:val="0"/>
              </w:rPr>
            </w:pPr>
            <w:r w:rsidRPr="00BE78CA">
              <w:rPr>
                <w:noProof w:val="0"/>
              </w:rPr>
              <w:t>2003</w:t>
            </w:r>
          </w:p>
        </w:tc>
        <w:tc>
          <w:tcPr>
            <w:tcW w:w="1632" w:type="dxa"/>
            <w:tcBorders>
              <w:top w:val="single" w:sz="4" w:space="0" w:color="365F91"/>
              <w:left w:val="nil"/>
              <w:bottom w:val="single" w:sz="4" w:space="0" w:color="365F91"/>
              <w:right w:val="nil"/>
            </w:tcBorders>
            <w:hideMark/>
          </w:tcPr>
          <w:p w14:paraId="28AC55B2" w14:textId="77777777" w:rsidR="00FB19C0" w:rsidRPr="00BE78CA" w:rsidRDefault="00FB19C0" w:rsidP="00C26084">
            <w:pPr>
              <w:pStyle w:val="TableText"/>
              <w:spacing w:before="50" w:after="50"/>
              <w:jc w:val="center"/>
            </w:pPr>
            <w:r w:rsidRPr="00BE78CA">
              <w:t>7.3</w:t>
            </w:r>
          </w:p>
        </w:tc>
        <w:tc>
          <w:tcPr>
            <w:tcW w:w="1842" w:type="dxa"/>
            <w:tcBorders>
              <w:top w:val="single" w:sz="4" w:space="0" w:color="365F91"/>
              <w:left w:val="nil"/>
              <w:bottom w:val="single" w:sz="4" w:space="0" w:color="365F91"/>
              <w:right w:val="nil"/>
            </w:tcBorders>
            <w:hideMark/>
          </w:tcPr>
          <w:p w14:paraId="76606148" w14:textId="77777777" w:rsidR="00FB19C0" w:rsidRPr="00BE78CA" w:rsidRDefault="00FB19C0" w:rsidP="00C26084">
            <w:pPr>
              <w:pStyle w:val="TableText"/>
              <w:spacing w:before="50" w:after="50"/>
              <w:jc w:val="center"/>
            </w:pPr>
            <w:r w:rsidRPr="00BE78CA">
              <w:t>0.3</w:t>
            </w:r>
          </w:p>
        </w:tc>
        <w:tc>
          <w:tcPr>
            <w:tcW w:w="1843" w:type="dxa"/>
            <w:tcBorders>
              <w:top w:val="single" w:sz="4" w:space="0" w:color="365F91"/>
              <w:left w:val="nil"/>
              <w:bottom w:val="single" w:sz="4" w:space="0" w:color="365F91"/>
              <w:right w:val="nil"/>
            </w:tcBorders>
            <w:hideMark/>
          </w:tcPr>
          <w:p w14:paraId="6A80FC44" w14:textId="77777777" w:rsidR="00FB19C0" w:rsidRPr="00BE78CA" w:rsidRDefault="00FB19C0" w:rsidP="00C26084">
            <w:pPr>
              <w:pStyle w:val="TableText"/>
              <w:spacing w:before="50" w:after="50"/>
              <w:jc w:val="center"/>
            </w:pPr>
            <w:r w:rsidRPr="00BE78CA">
              <w:t>4.4</w:t>
            </w:r>
          </w:p>
        </w:tc>
        <w:tc>
          <w:tcPr>
            <w:tcW w:w="2109" w:type="dxa"/>
            <w:tcBorders>
              <w:top w:val="single" w:sz="4" w:space="0" w:color="365F91"/>
              <w:left w:val="nil"/>
              <w:bottom w:val="single" w:sz="4" w:space="0" w:color="365F91"/>
              <w:right w:val="nil"/>
            </w:tcBorders>
            <w:hideMark/>
          </w:tcPr>
          <w:p w14:paraId="715AB94E" w14:textId="77777777" w:rsidR="00FB19C0" w:rsidRPr="00BE78CA" w:rsidRDefault="00FB19C0" w:rsidP="00C26084">
            <w:pPr>
              <w:pStyle w:val="TableText"/>
              <w:spacing w:before="50" w:after="50"/>
              <w:jc w:val="center"/>
            </w:pPr>
            <w:r w:rsidRPr="00BE78CA">
              <w:t>12.0</w:t>
            </w:r>
          </w:p>
        </w:tc>
      </w:tr>
      <w:tr w:rsidR="00FB19C0" w:rsidRPr="00BE78CA" w14:paraId="40895DF1" w14:textId="77777777" w:rsidTr="00C26084">
        <w:tc>
          <w:tcPr>
            <w:tcW w:w="1079" w:type="dxa"/>
            <w:tcBorders>
              <w:top w:val="single" w:sz="4" w:space="0" w:color="365F91"/>
              <w:left w:val="nil"/>
              <w:bottom w:val="single" w:sz="4" w:space="0" w:color="365F91"/>
              <w:right w:val="nil"/>
            </w:tcBorders>
            <w:hideMark/>
          </w:tcPr>
          <w:p w14:paraId="1F6E4C6E" w14:textId="77777777" w:rsidR="00FB19C0" w:rsidRPr="00BE78CA" w:rsidRDefault="00FB19C0" w:rsidP="00C26084">
            <w:pPr>
              <w:pStyle w:val="TableTextBold"/>
              <w:spacing w:before="50" w:after="50"/>
              <w:rPr>
                <w:noProof w:val="0"/>
              </w:rPr>
            </w:pPr>
            <w:r w:rsidRPr="00BE78CA">
              <w:rPr>
                <w:noProof w:val="0"/>
              </w:rPr>
              <w:t>2004</w:t>
            </w:r>
          </w:p>
        </w:tc>
        <w:tc>
          <w:tcPr>
            <w:tcW w:w="1632" w:type="dxa"/>
            <w:tcBorders>
              <w:top w:val="single" w:sz="4" w:space="0" w:color="365F91"/>
              <w:left w:val="nil"/>
              <w:bottom w:val="single" w:sz="4" w:space="0" w:color="365F91"/>
              <w:right w:val="nil"/>
            </w:tcBorders>
            <w:hideMark/>
          </w:tcPr>
          <w:p w14:paraId="6576E223" w14:textId="77777777" w:rsidR="00FB19C0" w:rsidRPr="00BE78CA" w:rsidRDefault="00FB19C0" w:rsidP="00C26084">
            <w:pPr>
              <w:pStyle w:val="TableText"/>
              <w:spacing w:before="50" w:after="50"/>
              <w:jc w:val="center"/>
            </w:pPr>
            <w:r w:rsidRPr="00BE78CA">
              <w:t>7.2</w:t>
            </w:r>
          </w:p>
        </w:tc>
        <w:tc>
          <w:tcPr>
            <w:tcW w:w="1842" w:type="dxa"/>
            <w:tcBorders>
              <w:top w:val="single" w:sz="4" w:space="0" w:color="365F91"/>
              <w:left w:val="nil"/>
              <w:bottom w:val="single" w:sz="4" w:space="0" w:color="365F91"/>
              <w:right w:val="nil"/>
            </w:tcBorders>
            <w:hideMark/>
          </w:tcPr>
          <w:p w14:paraId="1CCE522D" w14:textId="77777777" w:rsidR="00FB19C0" w:rsidRPr="00BE78CA" w:rsidRDefault="00FB19C0" w:rsidP="00C26084">
            <w:pPr>
              <w:pStyle w:val="TableText"/>
              <w:spacing w:before="50" w:after="50"/>
              <w:jc w:val="center"/>
            </w:pPr>
            <w:r w:rsidRPr="00BE78CA">
              <w:t>0.3</w:t>
            </w:r>
          </w:p>
        </w:tc>
        <w:tc>
          <w:tcPr>
            <w:tcW w:w="1843" w:type="dxa"/>
            <w:tcBorders>
              <w:top w:val="single" w:sz="4" w:space="0" w:color="365F91"/>
              <w:left w:val="nil"/>
              <w:bottom w:val="single" w:sz="4" w:space="0" w:color="365F91"/>
              <w:right w:val="nil"/>
            </w:tcBorders>
            <w:hideMark/>
          </w:tcPr>
          <w:p w14:paraId="32334CAF" w14:textId="77777777" w:rsidR="00FB19C0" w:rsidRPr="00BE78CA" w:rsidRDefault="00FB19C0" w:rsidP="00C26084">
            <w:pPr>
              <w:pStyle w:val="TableText"/>
              <w:spacing w:before="50" w:after="50"/>
              <w:jc w:val="center"/>
            </w:pPr>
            <w:r w:rsidRPr="00BE78CA">
              <w:t>4.4</w:t>
            </w:r>
          </w:p>
        </w:tc>
        <w:tc>
          <w:tcPr>
            <w:tcW w:w="2109" w:type="dxa"/>
            <w:tcBorders>
              <w:top w:val="single" w:sz="4" w:space="0" w:color="365F91"/>
              <w:left w:val="nil"/>
              <w:bottom w:val="single" w:sz="4" w:space="0" w:color="365F91"/>
              <w:right w:val="nil"/>
            </w:tcBorders>
            <w:hideMark/>
          </w:tcPr>
          <w:p w14:paraId="7511A239" w14:textId="77777777" w:rsidR="00FB19C0" w:rsidRPr="00BE78CA" w:rsidRDefault="00FB19C0" w:rsidP="00C26084">
            <w:pPr>
              <w:pStyle w:val="TableText"/>
              <w:spacing w:before="50" w:after="50"/>
              <w:jc w:val="center"/>
            </w:pPr>
            <w:r w:rsidRPr="00BE78CA">
              <w:t>11.9</w:t>
            </w:r>
          </w:p>
        </w:tc>
      </w:tr>
      <w:tr w:rsidR="00FB19C0" w:rsidRPr="00BE78CA" w14:paraId="15238ADB" w14:textId="77777777" w:rsidTr="00C26084">
        <w:tc>
          <w:tcPr>
            <w:tcW w:w="1079" w:type="dxa"/>
            <w:tcBorders>
              <w:top w:val="single" w:sz="4" w:space="0" w:color="365F91"/>
              <w:left w:val="nil"/>
              <w:bottom w:val="single" w:sz="4" w:space="0" w:color="365F91"/>
              <w:right w:val="nil"/>
            </w:tcBorders>
            <w:hideMark/>
          </w:tcPr>
          <w:p w14:paraId="70E5BC7E" w14:textId="77777777" w:rsidR="00FB19C0" w:rsidRPr="00BE78CA" w:rsidRDefault="00FB19C0" w:rsidP="00C26084">
            <w:pPr>
              <w:pStyle w:val="TableTextBold"/>
              <w:spacing w:before="50" w:after="50"/>
              <w:rPr>
                <w:noProof w:val="0"/>
              </w:rPr>
            </w:pPr>
            <w:r w:rsidRPr="00BE78CA">
              <w:rPr>
                <w:noProof w:val="0"/>
              </w:rPr>
              <w:t>2005</w:t>
            </w:r>
          </w:p>
        </w:tc>
        <w:tc>
          <w:tcPr>
            <w:tcW w:w="1632" w:type="dxa"/>
            <w:tcBorders>
              <w:top w:val="single" w:sz="4" w:space="0" w:color="365F91"/>
              <w:left w:val="nil"/>
              <w:bottom w:val="single" w:sz="4" w:space="0" w:color="365F91"/>
              <w:right w:val="nil"/>
            </w:tcBorders>
            <w:hideMark/>
          </w:tcPr>
          <w:p w14:paraId="387D14BA" w14:textId="77777777" w:rsidR="00FB19C0" w:rsidRPr="00BE78CA" w:rsidRDefault="00FB19C0" w:rsidP="00C26084">
            <w:pPr>
              <w:pStyle w:val="TableText"/>
              <w:spacing w:before="50" w:after="50"/>
              <w:jc w:val="center"/>
            </w:pPr>
            <w:r w:rsidRPr="00BE78CA">
              <w:t>5.3</w:t>
            </w:r>
          </w:p>
        </w:tc>
        <w:tc>
          <w:tcPr>
            <w:tcW w:w="1842" w:type="dxa"/>
            <w:tcBorders>
              <w:top w:val="single" w:sz="4" w:space="0" w:color="365F91"/>
              <w:left w:val="nil"/>
              <w:bottom w:val="single" w:sz="4" w:space="0" w:color="365F91"/>
              <w:right w:val="nil"/>
            </w:tcBorders>
            <w:hideMark/>
          </w:tcPr>
          <w:p w14:paraId="3190ED3A" w14:textId="77777777" w:rsidR="00FB19C0" w:rsidRPr="00BE78CA" w:rsidRDefault="00FB19C0" w:rsidP="00C26084">
            <w:pPr>
              <w:pStyle w:val="TableText"/>
              <w:spacing w:before="50" w:after="50"/>
              <w:jc w:val="center"/>
            </w:pPr>
            <w:r w:rsidRPr="00BE78CA">
              <w:t>0.3</w:t>
            </w:r>
          </w:p>
        </w:tc>
        <w:tc>
          <w:tcPr>
            <w:tcW w:w="1843" w:type="dxa"/>
            <w:tcBorders>
              <w:top w:val="single" w:sz="4" w:space="0" w:color="365F91"/>
              <w:left w:val="nil"/>
              <w:bottom w:val="single" w:sz="4" w:space="0" w:color="365F91"/>
              <w:right w:val="nil"/>
            </w:tcBorders>
            <w:hideMark/>
          </w:tcPr>
          <w:p w14:paraId="1FE992C1" w14:textId="77777777" w:rsidR="00FB19C0" w:rsidRPr="00BE78CA" w:rsidRDefault="00FB19C0" w:rsidP="00C26084">
            <w:pPr>
              <w:pStyle w:val="TableText"/>
              <w:spacing w:before="50" w:after="50"/>
              <w:jc w:val="center"/>
            </w:pPr>
            <w:r w:rsidRPr="00BE78CA">
              <w:t>4.4</w:t>
            </w:r>
          </w:p>
        </w:tc>
        <w:tc>
          <w:tcPr>
            <w:tcW w:w="2109" w:type="dxa"/>
            <w:tcBorders>
              <w:top w:val="single" w:sz="4" w:space="0" w:color="365F91"/>
              <w:left w:val="nil"/>
              <w:bottom w:val="single" w:sz="4" w:space="0" w:color="365F91"/>
              <w:right w:val="nil"/>
            </w:tcBorders>
            <w:hideMark/>
          </w:tcPr>
          <w:p w14:paraId="5EAFB0EE" w14:textId="77777777" w:rsidR="00FB19C0" w:rsidRPr="00BE78CA" w:rsidRDefault="00FB19C0" w:rsidP="00C26084">
            <w:pPr>
              <w:pStyle w:val="TableText"/>
              <w:spacing w:before="50" w:after="50"/>
              <w:jc w:val="center"/>
            </w:pPr>
            <w:r w:rsidRPr="00BE78CA">
              <w:t>10.0</w:t>
            </w:r>
          </w:p>
        </w:tc>
      </w:tr>
      <w:tr w:rsidR="00FB19C0" w:rsidRPr="00BE78CA" w14:paraId="0A2EE243" w14:textId="77777777" w:rsidTr="00C26084">
        <w:tc>
          <w:tcPr>
            <w:tcW w:w="1079" w:type="dxa"/>
            <w:tcBorders>
              <w:top w:val="single" w:sz="4" w:space="0" w:color="365F91"/>
              <w:left w:val="nil"/>
              <w:bottom w:val="single" w:sz="4" w:space="0" w:color="365F91"/>
              <w:right w:val="nil"/>
            </w:tcBorders>
            <w:hideMark/>
          </w:tcPr>
          <w:p w14:paraId="0F92B8B8" w14:textId="77777777" w:rsidR="00FB19C0" w:rsidRPr="00BE78CA" w:rsidRDefault="00FB19C0" w:rsidP="00C26084">
            <w:pPr>
              <w:pStyle w:val="TableTextBold"/>
              <w:spacing w:before="50" w:after="50"/>
              <w:rPr>
                <w:noProof w:val="0"/>
              </w:rPr>
            </w:pPr>
            <w:r w:rsidRPr="00BE78CA">
              <w:rPr>
                <w:noProof w:val="0"/>
              </w:rPr>
              <w:t>2006</w:t>
            </w:r>
          </w:p>
        </w:tc>
        <w:tc>
          <w:tcPr>
            <w:tcW w:w="1632" w:type="dxa"/>
            <w:tcBorders>
              <w:top w:val="single" w:sz="4" w:space="0" w:color="365F91"/>
              <w:left w:val="nil"/>
              <w:bottom w:val="single" w:sz="4" w:space="0" w:color="365F91"/>
              <w:right w:val="nil"/>
            </w:tcBorders>
            <w:hideMark/>
          </w:tcPr>
          <w:p w14:paraId="0AC5376D" w14:textId="77777777" w:rsidR="00FB19C0" w:rsidRPr="00BE78CA" w:rsidRDefault="00FB19C0" w:rsidP="00C26084">
            <w:pPr>
              <w:pStyle w:val="TableText"/>
              <w:spacing w:before="50" w:after="50"/>
              <w:jc w:val="center"/>
            </w:pPr>
            <w:r w:rsidRPr="00BE78CA">
              <w:t>3.2</w:t>
            </w:r>
          </w:p>
        </w:tc>
        <w:tc>
          <w:tcPr>
            <w:tcW w:w="1842" w:type="dxa"/>
            <w:tcBorders>
              <w:top w:val="single" w:sz="4" w:space="0" w:color="365F91"/>
              <w:left w:val="nil"/>
              <w:bottom w:val="single" w:sz="4" w:space="0" w:color="365F91"/>
              <w:right w:val="nil"/>
            </w:tcBorders>
            <w:hideMark/>
          </w:tcPr>
          <w:p w14:paraId="4AEBF623" w14:textId="77777777" w:rsidR="00FB19C0" w:rsidRPr="00BE78CA" w:rsidRDefault="00FB19C0" w:rsidP="00C26084">
            <w:pPr>
              <w:pStyle w:val="TableText"/>
              <w:spacing w:before="50" w:after="50"/>
              <w:jc w:val="center"/>
            </w:pPr>
            <w:r w:rsidRPr="00BE78CA">
              <w:t>0.3</w:t>
            </w:r>
          </w:p>
        </w:tc>
        <w:tc>
          <w:tcPr>
            <w:tcW w:w="1843" w:type="dxa"/>
            <w:tcBorders>
              <w:top w:val="single" w:sz="4" w:space="0" w:color="365F91"/>
              <w:left w:val="nil"/>
              <w:bottom w:val="single" w:sz="4" w:space="0" w:color="365F91"/>
              <w:right w:val="nil"/>
            </w:tcBorders>
            <w:hideMark/>
          </w:tcPr>
          <w:p w14:paraId="594E76A1" w14:textId="77777777" w:rsidR="00FB19C0" w:rsidRPr="00BE78CA" w:rsidRDefault="00FB19C0" w:rsidP="00C26084">
            <w:pPr>
              <w:pStyle w:val="TableText"/>
              <w:spacing w:before="50" w:after="50"/>
              <w:jc w:val="center"/>
            </w:pPr>
            <w:r w:rsidRPr="00BE78CA">
              <w:t>4.4</w:t>
            </w:r>
          </w:p>
        </w:tc>
        <w:tc>
          <w:tcPr>
            <w:tcW w:w="2109" w:type="dxa"/>
            <w:tcBorders>
              <w:top w:val="single" w:sz="4" w:space="0" w:color="365F91"/>
              <w:left w:val="nil"/>
              <w:bottom w:val="single" w:sz="4" w:space="0" w:color="365F91"/>
              <w:right w:val="nil"/>
            </w:tcBorders>
            <w:hideMark/>
          </w:tcPr>
          <w:p w14:paraId="3229D721" w14:textId="77777777" w:rsidR="00FB19C0" w:rsidRPr="00BE78CA" w:rsidRDefault="00FB19C0" w:rsidP="00C26084">
            <w:pPr>
              <w:pStyle w:val="TableText"/>
              <w:spacing w:before="50" w:after="50"/>
              <w:jc w:val="center"/>
            </w:pPr>
            <w:r w:rsidRPr="00BE78CA">
              <w:t>7.9</w:t>
            </w:r>
          </w:p>
        </w:tc>
      </w:tr>
      <w:tr w:rsidR="00FB19C0" w:rsidRPr="00BE78CA" w14:paraId="4E260987" w14:textId="77777777" w:rsidTr="00C26084">
        <w:tc>
          <w:tcPr>
            <w:tcW w:w="1079" w:type="dxa"/>
            <w:tcBorders>
              <w:top w:val="single" w:sz="4" w:space="0" w:color="365F91"/>
              <w:left w:val="nil"/>
              <w:bottom w:val="single" w:sz="4" w:space="0" w:color="365F91"/>
              <w:right w:val="nil"/>
            </w:tcBorders>
            <w:hideMark/>
          </w:tcPr>
          <w:p w14:paraId="43AACC94" w14:textId="77777777" w:rsidR="00FB19C0" w:rsidRPr="00BE78CA" w:rsidRDefault="00FB19C0" w:rsidP="00C26084">
            <w:pPr>
              <w:pStyle w:val="TableTextBold"/>
              <w:spacing w:before="50" w:after="50"/>
              <w:rPr>
                <w:noProof w:val="0"/>
              </w:rPr>
            </w:pPr>
            <w:r w:rsidRPr="00BE78CA">
              <w:rPr>
                <w:noProof w:val="0"/>
              </w:rPr>
              <w:t>2007</w:t>
            </w:r>
          </w:p>
        </w:tc>
        <w:tc>
          <w:tcPr>
            <w:tcW w:w="1632" w:type="dxa"/>
            <w:tcBorders>
              <w:top w:val="single" w:sz="4" w:space="0" w:color="365F91"/>
              <w:left w:val="nil"/>
              <w:bottom w:val="single" w:sz="4" w:space="0" w:color="365F91"/>
              <w:right w:val="nil"/>
            </w:tcBorders>
            <w:hideMark/>
          </w:tcPr>
          <w:p w14:paraId="0A771200" w14:textId="77777777" w:rsidR="00FB19C0" w:rsidRPr="00BE78CA" w:rsidRDefault="00FB19C0" w:rsidP="00C26084">
            <w:pPr>
              <w:pStyle w:val="TableText"/>
              <w:spacing w:before="50" w:after="50"/>
              <w:jc w:val="center"/>
            </w:pPr>
            <w:r w:rsidRPr="00BE78CA">
              <w:t>0.6</w:t>
            </w:r>
          </w:p>
        </w:tc>
        <w:tc>
          <w:tcPr>
            <w:tcW w:w="1842" w:type="dxa"/>
            <w:tcBorders>
              <w:top w:val="single" w:sz="4" w:space="0" w:color="365F91"/>
              <w:left w:val="nil"/>
              <w:bottom w:val="single" w:sz="4" w:space="0" w:color="365F91"/>
              <w:right w:val="nil"/>
            </w:tcBorders>
            <w:hideMark/>
          </w:tcPr>
          <w:p w14:paraId="14FA4160" w14:textId="77777777" w:rsidR="00FB19C0" w:rsidRPr="00BE78CA" w:rsidRDefault="00FB19C0" w:rsidP="00C26084">
            <w:pPr>
              <w:pStyle w:val="TableText"/>
              <w:spacing w:before="50" w:after="50"/>
              <w:jc w:val="center"/>
            </w:pPr>
            <w:r w:rsidRPr="00BE78CA">
              <w:t>0.3</w:t>
            </w:r>
          </w:p>
        </w:tc>
        <w:tc>
          <w:tcPr>
            <w:tcW w:w="1843" w:type="dxa"/>
            <w:tcBorders>
              <w:top w:val="single" w:sz="4" w:space="0" w:color="365F91"/>
              <w:left w:val="nil"/>
              <w:bottom w:val="single" w:sz="4" w:space="0" w:color="365F91"/>
              <w:right w:val="nil"/>
            </w:tcBorders>
            <w:hideMark/>
          </w:tcPr>
          <w:p w14:paraId="5FAABC44" w14:textId="77777777" w:rsidR="00FB19C0" w:rsidRPr="00BE78CA" w:rsidRDefault="00FB19C0" w:rsidP="00C26084">
            <w:pPr>
              <w:pStyle w:val="TableText"/>
              <w:spacing w:before="50" w:after="50"/>
              <w:jc w:val="center"/>
            </w:pPr>
            <w:r w:rsidRPr="00BE78CA">
              <w:t>4.4</w:t>
            </w:r>
          </w:p>
        </w:tc>
        <w:tc>
          <w:tcPr>
            <w:tcW w:w="2109" w:type="dxa"/>
            <w:tcBorders>
              <w:top w:val="single" w:sz="4" w:space="0" w:color="365F91"/>
              <w:left w:val="nil"/>
              <w:bottom w:val="single" w:sz="4" w:space="0" w:color="365F91"/>
              <w:right w:val="nil"/>
            </w:tcBorders>
            <w:hideMark/>
          </w:tcPr>
          <w:p w14:paraId="340565FA" w14:textId="77777777" w:rsidR="00FB19C0" w:rsidRPr="00BE78CA" w:rsidRDefault="00FB19C0" w:rsidP="00C26084">
            <w:pPr>
              <w:pStyle w:val="TableText"/>
              <w:spacing w:before="50" w:after="50"/>
              <w:jc w:val="center"/>
            </w:pPr>
            <w:r w:rsidRPr="00BE78CA">
              <w:t>5.3</w:t>
            </w:r>
          </w:p>
        </w:tc>
      </w:tr>
      <w:tr w:rsidR="00FB19C0" w:rsidRPr="00BE78CA" w14:paraId="333251F8" w14:textId="77777777" w:rsidTr="00C26084">
        <w:tc>
          <w:tcPr>
            <w:tcW w:w="1079" w:type="dxa"/>
            <w:tcBorders>
              <w:top w:val="single" w:sz="4" w:space="0" w:color="365F91"/>
              <w:left w:val="nil"/>
              <w:bottom w:val="single" w:sz="4" w:space="0" w:color="365F91"/>
              <w:right w:val="nil"/>
            </w:tcBorders>
            <w:hideMark/>
          </w:tcPr>
          <w:p w14:paraId="2448547D" w14:textId="77777777" w:rsidR="00FB19C0" w:rsidRPr="00BE78CA" w:rsidRDefault="00FB19C0" w:rsidP="00C26084">
            <w:pPr>
              <w:pStyle w:val="TableTextBold"/>
              <w:spacing w:before="50" w:after="50"/>
              <w:rPr>
                <w:noProof w:val="0"/>
              </w:rPr>
            </w:pPr>
            <w:r w:rsidRPr="00BE78CA">
              <w:rPr>
                <w:noProof w:val="0"/>
              </w:rPr>
              <w:t>2008</w:t>
            </w:r>
          </w:p>
        </w:tc>
        <w:tc>
          <w:tcPr>
            <w:tcW w:w="1632" w:type="dxa"/>
            <w:tcBorders>
              <w:top w:val="single" w:sz="4" w:space="0" w:color="365F91"/>
              <w:left w:val="nil"/>
              <w:bottom w:val="single" w:sz="4" w:space="0" w:color="365F91"/>
              <w:right w:val="nil"/>
            </w:tcBorders>
            <w:hideMark/>
          </w:tcPr>
          <w:p w14:paraId="05DE0E17" w14:textId="77777777" w:rsidR="00FB19C0" w:rsidRPr="00BE78CA" w:rsidRDefault="00FB19C0" w:rsidP="00C26084">
            <w:pPr>
              <w:pStyle w:val="TableText"/>
              <w:spacing w:before="50" w:after="50"/>
              <w:jc w:val="center"/>
            </w:pPr>
            <w:r w:rsidRPr="00BE78CA">
              <w:t>0.6</w:t>
            </w:r>
          </w:p>
        </w:tc>
        <w:tc>
          <w:tcPr>
            <w:tcW w:w="1842" w:type="dxa"/>
            <w:tcBorders>
              <w:top w:val="single" w:sz="4" w:space="0" w:color="365F91"/>
              <w:left w:val="nil"/>
              <w:bottom w:val="single" w:sz="4" w:space="0" w:color="365F91"/>
              <w:right w:val="nil"/>
            </w:tcBorders>
            <w:hideMark/>
          </w:tcPr>
          <w:p w14:paraId="32CF3131" w14:textId="77777777" w:rsidR="00FB19C0" w:rsidRPr="00BE78CA" w:rsidRDefault="00FB19C0" w:rsidP="00C26084">
            <w:pPr>
              <w:pStyle w:val="TableText"/>
              <w:spacing w:before="50" w:after="50"/>
              <w:jc w:val="center"/>
            </w:pPr>
            <w:r w:rsidRPr="00BE78CA">
              <w:t>0.3</w:t>
            </w:r>
          </w:p>
        </w:tc>
        <w:tc>
          <w:tcPr>
            <w:tcW w:w="1843" w:type="dxa"/>
            <w:tcBorders>
              <w:top w:val="single" w:sz="4" w:space="0" w:color="365F91"/>
              <w:left w:val="nil"/>
              <w:bottom w:val="single" w:sz="4" w:space="0" w:color="365F91"/>
              <w:right w:val="nil"/>
            </w:tcBorders>
            <w:hideMark/>
          </w:tcPr>
          <w:p w14:paraId="519EFE6A" w14:textId="77777777" w:rsidR="00FB19C0" w:rsidRPr="00BE78CA" w:rsidRDefault="00FB19C0" w:rsidP="00C26084">
            <w:pPr>
              <w:pStyle w:val="TableText"/>
              <w:spacing w:before="50" w:after="50"/>
              <w:jc w:val="center"/>
            </w:pPr>
            <w:r w:rsidRPr="00BE78CA">
              <w:t>4.5</w:t>
            </w:r>
          </w:p>
        </w:tc>
        <w:tc>
          <w:tcPr>
            <w:tcW w:w="2109" w:type="dxa"/>
            <w:tcBorders>
              <w:top w:val="single" w:sz="4" w:space="0" w:color="365F91"/>
              <w:left w:val="nil"/>
              <w:bottom w:val="single" w:sz="4" w:space="0" w:color="365F91"/>
              <w:right w:val="nil"/>
            </w:tcBorders>
            <w:hideMark/>
          </w:tcPr>
          <w:p w14:paraId="5B930BA3" w14:textId="77777777" w:rsidR="00FB19C0" w:rsidRPr="00BE78CA" w:rsidRDefault="00FB19C0" w:rsidP="00C26084">
            <w:pPr>
              <w:pStyle w:val="TableText"/>
              <w:spacing w:before="50" w:after="50"/>
              <w:jc w:val="center"/>
            </w:pPr>
            <w:r w:rsidRPr="00BE78CA">
              <w:t>5.4</w:t>
            </w:r>
          </w:p>
        </w:tc>
      </w:tr>
      <w:tr w:rsidR="00FB19C0" w:rsidRPr="00BE78CA" w14:paraId="03D0982D" w14:textId="77777777" w:rsidTr="00C26084">
        <w:tc>
          <w:tcPr>
            <w:tcW w:w="1079" w:type="dxa"/>
            <w:tcBorders>
              <w:top w:val="single" w:sz="4" w:space="0" w:color="365F91"/>
              <w:left w:val="nil"/>
              <w:bottom w:val="single" w:sz="4" w:space="0" w:color="365F91"/>
              <w:right w:val="nil"/>
            </w:tcBorders>
            <w:hideMark/>
          </w:tcPr>
          <w:p w14:paraId="2C7F6432" w14:textId="77777777" w:rsidR="00FB19C0" w:rsidRPr="00BE78CA" w:rsidRDefault="00FB19C0" w:rsidP="00C26084">
            <w:pPr>
              <w:pStyle w:val="TableTextBold"/>
              <w:spacing w:before="50" w:after="50"/>
              <w:rPr>
                <w:noProof w:val="0"/>
              </w:rPr>
            </w:pPr>
            <w:r w:rsidRPr="00BE78CA">
              <w:rPr>
                <w:noProof w:val="0"/>
              </w:rPr>
              <w:t>2009</w:t>
            </w:r>
          </w:p>
        </w:tc>
        <w:tc>
          <w:tcPr>
            <w:tcW w:w="1632" w:type="dxa"/>
            <w:tcBorders>
              <w:top w:val="single" w:sz="4" w:space="0" w:color="365F91"/>
              <w:left w:val="nil"/>
              <w:bottom w:val="single" w:sz="4" w:space="0" w:color="365F91"/>
              <w:right w:val="nil"/>
            </w:tcBorders>
            <w:hideMark/>
          </w:tcPr>
          <w:p w14:paraId="2E33A87C" w14:textId="77777777" w:rsidR="00FB19C0" w:rsidRPr="00BE78CA" w:rsidRDefault="00FB19C0" w:rsidP="00C26084">
            <w:pPr>
              <w:pStyle w:val="TableText"/>
              <w:spacing w:before="50" w:after="50"/>
              <w:jc w:val="center"/>
            </w:pPr>
            <w:r w:rsidRPr="00BE78CA">
              <w:t>0.6</w:t>
            </w:r>
          </w:p>
        </w:tc>
        <w:tc>
          <w:tcPr>
            <w:tcW w:w="1842" w:type="dxa"/>
            <w:tcBorders>
              <w:top w:val="single" w:sz="4" w:space="0" w:color="365F91"/>
              <w:left w:val="nil"/>
              <w:bottom w:val="single" w:sz="4" w:space="0" w:color="365F91"/>
              <w:right w:val="nil"/>
            </w:tcBorders>
            <w:hideMark/>
          </w:tcPr>
          <w:p w14:paraId="0ED35A1E" w14:textId="77777777" w:rsidR="00FB19C0" w:rsidRPr="00BE78CA" w:rsidRDefault="00FB19C0" w:rsidP="00C26084">
            <w:pPr>
              <w:pStyle w:val="TableText"/>
              <w:spacing w:before="50" w:after="50"/>
              <w:jc w:val="center"/>
            </w:pPr>
            <w:r w:rsidRPr="00BE78CA">
              <w:t>0.3</w:t>
            </w:r>
          </w:p>
        </w:tc>
        <w:tc>
          <w:tcPr>
            <w:tcW w:w="1843" w:type="dxa"/>
            <w:tcBorders>
              <w:top w:val="single" w:sz="4" w:space="0" w:color="365F91"/>
              <w:left w:val="nil"/>
              <w:bottom w:val="single" w:sz="4" w:space="0" w:color="365F91"/>
              <w:right w:val="nil"/>
            </w:tcBorders>
            <w:hideMark/>
          </w:tcPr>
          <w:p w14:paraId="5D34E5CC" w14:textId="77777777" w:rsidR="00FB19C0" w:rsidRPr="00BE78CA" w:rsidRDefault="00FB19C0" w:rsidP="00C26084">
            <w:pPr>
              <w:pStyle w:val="TableText"/>
              <w:spacing w:before="50" w:after="50"/>
              <w:jc w:val="center"/>
            </w:pPr>
            <w:r w:rsidRPr="00BE78CA">
              <w:t>4.5</w:t>
            </w:r>
          </w:p>
        </w:tc>
        <w:tc>
          <w:tcPr>
            <w:tcW w:w="2109" w:type="dxa"/>
            <w:tcBorders>
              <w:top w:val="single" w:sz="4" w:space="0" w:color="365F91"/>
              <w:left w:val="nil"/>
              <w:bottom w:val="single" w:sz="4" w:space="0" w:color="365F91"/>
              <w:right w:val="nil"/>
            </w:tcBorders>
            <w:hideMark/>
          </w:tcPr>
          <w:p w14:paraId="5160A617" w14:textId="77777777" w:rsidR="00FB19C0" w:rsidRPr="00BE78CA" w:rsidRDefault="00FB19C0" w:rsidP="00C26084">
            <w:pPr>
              <w:pStyle w:val="TableText"/>
              <w:spacing w:before="50" w:after="50"/>
              <w:jc w:val="center"/>
            </w:pPr>
            <w:r w:rsidRPr="00BE78CA">
              <w:t>5.4</w:t>
            </w:r>
          </w:p>
        </w:tc>
      </w:tr>
      <w:tr w:rsidR="00FB19C0" w:rsidRPr="00BE78CA" w14:paraId="07E2D31C" w14:textId="77777777" w:rsidTr="00C26084">
        <w:tc>
          <w:tcPr>
            <w:tcW w:w="1079" w:type="dxa"/>
            <w:tcBorders>
              <w:top w:val="single" w:sz="4" w:space="0" w:color="365F91"/>
              <w:left w:val="nil"/>
              <w:bottom w:val="single" w:sz="4" w:space="0" w:color="365F91"/>
              <w:right w:val="nil"/>
            </w:tcBorders>
            <w:hideMark/>
          </w:tcPr>
          <w:p w14:paraId="746AA553" w14:textId="77777777" w:rsidR="00FB19C0" w:rsidRPr="00BE78CA" w:rsidRDefault="00FB19C0" w:rsidP="00C26084">
            <w:pPr>
              <w:pStyle w:val="TableTextBold"/>
              <w:spacing w:before="50" w:after="50"/>
              <w:rPr>
                <w:noProof w:val="0"/>
              </w:rPr>
            </w:pPr>
            <w:r w:rsidRPr="00BE78CA">
              <w:rPr>
                <w:noProof w:val="0"/>
              </w:rPr>
              <w:t>2010</w:t>
            </w:r>
          </w:p>
        </w:tc>
        <w:tc>
          <w:tcPr>
            <w:tcW w:w="1632" w:type="dxa"/>
            <w:tcBorders>
              <w:top w:val="single" w:sz="4" w:space="0" w:color="365F91"/>
              <w:left w:val="nil"/>
              <w:bottom w:val="single" w:sz="4" w:space="0" w:color="365F91"/>
              <w:right w:val="nil"/>
            </w:tcBorders>
            <w:hideMark/>
          </w:tcPr>
          <w:p w14:paraId="3A555D16" w14:textId="77777777" w:rsidR="00FB19C0" w:rsidRPr="00BE78CA" w:rsidRDefault="00FB19C0" w:rsidP="00C26084">
            <w:pPr>
              <w:pStyle w:val="TableText"/>
              <w:spacing w:before="50" w:after="50"/>
              <w:jc w:val="center"/>
            </w:pPr>
            <w:r w:rsidRPr="00BE78CA">
              <w:t>0.6</w:t>
            </w:r>
          </w:p>
        </w:tc>
        <w:tc>
          <w:tcPr>
            <w:tcW w:w="1842" w:type="dxa"/>
            <w:tcBorders>
              <w:top w:val="single" w:sz="4" w:space="0" w:color="365F91"/>
              <w:left w:val="nil"/>
              <w:bottom w:val="single" w:sz="4" w:space="0" w:color="365F91"/>
              <w:right w:val="nil"/>
            </w:tcBorders>
            <w:hideMark/>
          </w:tcPr>
          <w:p w14:paraId="77E0D940" w14:textId="77777777" w:rsidR="00FB19C0" w:rsidRPr="00BE78CA" w:rsidRDefault="00FB19C0" w:rsidP="00C26084">
            <w:pPr>
              <w:pStyle w:val="TableText"/>
              <w:spacing w:before="50" w:after="50"/>
              <w:jc w:val="center"/>
            </w:pPr>
            <w:r w:rsidRPr="00BE78CA">
              <w:t>0.3</w:t>
            </w:r>
          </w:p>
        </w:tc>
        <w:tc>
          <w:tcPr>
            <w:tcW w:w="1843" w:type="dxa"/>
            <w:tcBorders>
              <w:top w:val="single" w:sz="4" w:space="0" w:color="365F91"/>
              <w:left w:val="nil"/>
              <w:bottom w:val="single" w:sz="4" w:space="0" w:color="365F91"/>
              <w:right w:val="nil"/>
            </w:tcBorders>
            <w:hideMark/>
          </w:tcPr>
          <w:p w14:paraId="07FB584D" w14:textId="77777777" w:rsidR="00FB19C0" w:rsidRPr="00BE78CA" w:rsidRDefault="00FB19C0" w:rsidP="00C26084">
            <w:pPr>
              <w:pStyle w:val="TableText"/>
              <w:spacing w:before="50" w:after="50"/>
              <w:jc w:val="center"/>
            </w:pPr>
            <w:r w:rsidRPr="00BE78CA">
              <w:t>4.5</w:t>
            </w:r>
          </w:p>
        </w:tc>
        <w:tc>
          <w:tcPr>
            <w:tcW w:w="2109" w:type="dxa"/>
            <w:tcBorders>
              <w:top w:val="single" w:sz="4" w:space="0" w:color="365F91"/>
              <w:left w:val="nil"/>
              <w:bottom w:val="single" w:sz="4" w:space="0" w:color="365F91"/>
              <w:right w:val="nil"/>
            </w:tcBorders>
            <w:hideMark/>
          </w:tcPr>
          <w:p w14:paraId="507732C0" w14:textId="77777777" w:rsidR="00FB19C0" w:rsidRPr="00BE78CA" w:rsidRDefault="00FB19C0" w:rsidP="00C26084">
            <w:pPr>
              <w:pStyle w:val="TableText"/>
              <w:spacing w:before="50" w:after="50"/>
              <w:jc w:val="center"/>
            </w:pPr>
            <w:r w:rsidRPr="00BE78CA">
              <w:t>5.4</w:t>
            </w:r>
          </w:p>
        </w:tc>
      </w:tr>
      <w:tr w:rsidR="00FB19C0" w:rsidRPr="00BE78CA" w14:paraId="5381BB9B" w14:textId="77777777" w:rsidTr="00C26084">
        <w:tc>
          <w:tcPr>
            <w:tcW w:w="1079" w:type="dxa"/>
            <w:tcBorders>
              <w:top w:val="single" w:sz="4" w:space="0" w:color="365F91"/>
              <w:left w:val="nil"/>
              <w:bottom w:val="single" w:sz="4" w:space="0" w:color="365F91"/>
              <w:right w:val="nil"/>
            </w:tcBorders>
            <w:hideMark/>
          </w:tcPr>
          <w:p w14:paraId="23C9871B" w14:textId="77777777" w:rsidR="00FB19C0" w:rsidRPr="00BE78CA" w:rsidRDefault="00FB19C0" w:rsidP="00C26084">
            <w:pPr>
              <w:pStyle w:val="TableTextBold"/>
              <w:spacing w:before="50" w:after="50"/>
              <w:rPr>
                <w:noProof w:val="0"/>
              </w:rPr>
            </w:pPr>
            <w:r w:rsidRPr="00BE78CA">
              <w:rPr>
                <w:noProof w:val="0"/>
              </w:rPr>
              <w:t>2011</w:t>
            </w:r>
          </w:p>
        </w:tc>
        <w:tc>
          <w:tcPr>
            <w:tcW w:w="1632" w:type="dxa"/>
            <w:tcBorders>
              <w:top w:val="single" w:sz="4" w:space="0" w:color="365F91"/>
              <w:left w:val="nil"/>
              <w:bottom w:val="single" w:sz="4" w:space="0" w:color="365F91"/>
              <w:right w:val="nil"/>
            </w:tcBorders>
            <w:hideMark/>
          </w:tcPr>
          <w:p w14:paraId="0550D78D" w14:textId="77777777" w:rsidR="00FB19C0" w:rsidRPr="00BE78CA" w:rsidRDefault="00FB19C0" w:rsidP="00C26084">
            <w:pPr>
              <w:pStyle w:val="TableText"/>
              <w:spacing w:before="50" w:after="50"/>
              <w:jc w:val="center"/>
            </w:pPr>
            <w:r w:rsidRPr="00BE78CA">
              <w:t>0.6</w:t>
            </w:r>
          </w:p>
        </w:tc>
        <w:tc>
          <w:tcPr>
            <w:tcW w:w="1842" w:type="dxa"/>
            <w:tcBorders>
              <w:top w:val="single" w:sz="4" w:space="0" w:color="365F91"/>
              <w:left w:val="nil"/>
              <w:bottom w:val="single" w:sz="4" w:space="0" w:color="365F91"/>
              <w:right w:val="nil"/>
            </w:tcBorders>
            <w:hideMark/>
          </w:tcPr>
          <w:p w14:paraId="0969ED4E" w14:textId="77777777" w:rsidR="00FB19C0" w:rsidRPr="00BE78CA" w:rsidRDefault="00FB19C0" w:rsidP="00C26084">
            <w:pPr>
              <w:pStyle w:val="TableText"/>
              <w:spacing w:before="50" w:after="50"/>
              <w:jc w:val="center"/>
            </w:pPr>
            <w:r w:rsidRPr="00BE78CA">
              <w:t>0.3</w:t>
            </w:r>
          </w:p>
        </w:tc>
        <w:tc>
          <w:tcPr>
            <w:tcW w:w="1843" w:type="dxa"/>
            <w:tcBorders>
              <w:top w:val="single" w:sz="4" w:space="0" w:color="365F91"/>
              <w:left w:val="nil"/>
              <w:bottom w:val="single" w:sz="4" w:space="0" w:color="365F91"/>
              <w:right w:val="nil"/>
            </w:tcBorders>
            <w:hideMark/>
          </w:tcPr>
          <w:p w14:paraId="3FC17BD7" w14:textId="77777777" w:rsidR="00FB19C0" w:rsidRPr="00BE78CA" w:rsidRDefault="00FB19C0" w:rsidP="00C26084">
            <w:pPr>
              <w:pStyle w:val="TableText"/>
              <w:spacing w:before="50" w:after="50"/>
              <w:jc w:val="center"/>
            </w:pPr>
            <w:r w:rsidRPr="00BE78CA">
              <w:t>4.5</w:t>
            </w:r>
          </w:p>
        </w:tc>
        <w:tc>
          <w:tcPr>
            <w:tcW w:w="2109" w:type="dxa"/>
            <w:tcBorders>
              <w:top w:val="single" w:sz="4" w:space="0" w:color="365F91"/>
              <w:left w:val="nil"/>
              <w:bottom w:val="single" w:sz="4" w:space="0" w:color="365F91"/>
              <w:right w:val="nil"/>
            </w:tcBorders>
            <w:hideMark/>
          </w:tcPr>
          <w:p w14:paraId="7CB8AAEA" w14:textId="77777777" w:rsidR="00FB19C0" w:rsidRPr="00BE78CA" w:rsidRDefault="00FB19C0" w:rsidP="00C26084">
            <w:pPr>
              <w:pStyle w:val="TableText"/>
              <w:spacing w:before="50" w:after="50"/>
              <w:jc w:val="center"/>
            </w:pPr>
            <w:r w:rsidRPr="00BE78CA">
              <w:t>5.4</w:t>
            </w:r>
          </w:p>
        </w:tc>
      </w:tr>
      <w:tr w:rsidR="00FB19C0" w:rsidRPr="00BE78CA" w14:paraId="1FA217F1" w14:textId="77777777" w:rsidTr="00C26084">
        <w:tc>
          <w:tcPr>
            <w:tcW w:w="1079" w:type="dxa"/>
            <w:tcBorders>
              <w:top w:val="single" w:sz="4" w:space="0" w:color="365F91"/>
              <w:left w:val="nil"/>
              <w:bottom w:val="single" w:sz="4" w:space="0" w:color="365F91"/>
              <w:right w:val="nil"/>
            </w:tcBorders>
            <w:hideMark/>
          </w:tcPr>
          <w:p w14:paraId="33071907" w14:textId="77777777" w:rsidR="00FB19C0" w:rsidRPr="00BE78CA" w:rsidRDefault="00FB19C0" w:rsidP="00C26084">
            <w:pPr>
              <w:pStyle w:val="TableTextBold"/>
              <w:spacing w:before="50" w:after="50"/>
              <w:rPr>
                <w:noProof w:val="0"/>
              </w:rPr>
            </w:pPr>
            <w:r w:rsidRPr="00BE78CA">
              <w:rPr>
                <w:noProof w:val="0"/>
              </w:rPr>
              <w:t>2012</w:t>
            </w:r>
          </w:p>
        </w:tc>
        <w:tc>
          <w:tcPr>
            <w:tcW w:w="1632" w:type="dxa"/>
            <w:tcBorders>
              <w:top w:val="single" w:sz="4" w:space="0" w:color="365F91"/>
              <w:left w:val="nil"/>
              <w:bottom w:val="single" w:sz="4" w:space="0" w:color="365F91"/>
              <w:right w:val="nil"/>
            </w:tcBorders>
            <w:hideMark/>
          </w:tcPr>
          <w:p w14:paraId="3257F4B7" w14:textId="77777777" w:rsidR="00FB19C0" w:rsidRPr="00BE78CA" w:rsidRDefault="00FB19C0" w:rsidP="00C26084">
            <w:pPr>
              <w:pStyle w:val="TableText"/>
              <w:spacing w:before="50" w:after="50"/>
              <w:jc w:val="center"/>
            </w:pPr>
            <w:r w:rsidRPr="00BE78CA">
              <w:t>0.6</w:t>
            </w:r>
          </w:p>
        </w:tc>
        <w:tc>
          <w:tcPr>
            <w:tcW w:w="1842" w:type="dxa"/>
            <w:tcBorders>
              <w:top w:val="single" w:sz="4" w:space="0" w:color="365F91"/>
              <w:left w:val="nil"/>
              <w:bottom w:val="single" w:sz="4" w:space="0" w:color="365F91"/>
              <w:right w:val="nil"/>
            </w:tcBorders>
            <w:hideMark/>
          </w:tcPr>
          <w:p w14:paraId="7353DBC8" w14:textId="77777777" w:rsidR="00FB19C0" w:rsidRPr="00BE78CA" w:rsidRDefault="00FB19C0" w:rsidP="00C26084">
            <w:pPr>
              <w:pStyle w:val="TableText"/>
              <w:spacing w:before="50" w:after="50"/>
              <w:jc w:val="center"/>
            </w:pPr>
            <w:r w:rsidRPr="00BE78CA">
              <w:t>0.3</w:t>
            </w:r>
          </w:p>
        </w:tc>
        <w:tc>
          <w:tcPr>
            <w:tcW w:w="1843" w:type="dxa"/>
            <w:tcBorders>
              <w:top w:val="single" w:sz="4" w:space="0" w:color="365F91"/>
              <w:left w:val="nil"/>
              <w:bottom w:val="single" w:sz="4" w:space="0" w:color="365F91"/>
              <w:right w:val="nil"/>
            </w:tcBorders>
            <w:hideMark/>
          </w:tcPr>
          <w:p w14:paraId="7323768C" w14:textId="77777777" w:rsidR="00FB19C0" w:rsidRPr="00BE78CA" w:rsidRDefault="00FB19C0" w:rsidP="00C26084">
            <w:pPr>
              <w:pStyle w:val="TableText"/>
              <w:spacing w:before="50" w:after="50"/>
              <w:jc w:val="center"/>
            </w:pPr>
            <w:r w:rsidRPr="00BE78CA">
              <w:t>4.5</w:t>
            </w:r>
          </w:p>
        </w:tc>
        <w:tc>
          <w:tcPr>
            <w:tcW w:w="2109" w:type="dxa"/>
            <w:tcBorders>
              <w:top w:val="single" w:sz="4" w:space="0" w:color="365F91"/>
              <w:left w:val="nil"/>
              <w:bottom w:val="single" w:sz="4" w:space="0" w:color="365F91"/>
              <w:right w:val="nil"/>
            </w:tcBorders>
            <w:hideMark/>
          </w:tcPr>
          <w:p w14:paraId="3287D278" w14:textId="77777777" w:rsidR="00FB19C0" w:rsidRPr="00BE78CA" w:rsidRDefault="00FB19C0" w:rsidP="00C26084">
            <w:pPr>
              <w:pStyle w:val="TableText"/>
              <w:spacing w:before="50" w:after="50"/>
              <w:jc w:val="center"/>
            </w:pPr>
            <w:r w:rsidRPr="00BE78CA">
              <w:t>5.4</w:t>
            </w:r>
          </w:p>
        </w:tc>
      </w:tr>
      <w:tr w:rsidR="00FB19C0" w:rsidRPr="00BE78CA" w14:paraId="30C51A83" w14:textId="77777777" w:rsidTr="00C26084">
        <w:tc>
          <w:tcPr>
            <w:tcW w:w="1079" w:type="dxa"/>
            <w:tcBorders>
              <w:top w:val="single" w:sz="4" w:space="0" w:color="365F91"/>
              <w:left w:val="nil"/>
              <w:bottom w:val="single" w:sz="4" w:space="0" w:color="365F91"/>
              <w:right w:val="nil"/>
            </w:tcBorders>
            <w:hideMark/>
          </w:tcPr>
          <w:p w14:paraId="287D43EE" w14:textId="77777777" w:rsidR="00FB19C0" w:rsidRPr="00BE78CA" w:rsidRDefault="00FB19C0" w:rsidP="00C26084">
            <w:pPr>
              <w:pStyle w:val="TableTextBold"/>
              <w:spacing w:before="50" w:after="50"/>
              <w:rPr>
                <w:noProof w:val="0"/>
              </w:rPr>
            </w:pPr>
            <w:r w:rsidRPr="00BE78CA">
              <w:rPr>
                <w:noProof w:val="0"/>
              </w:rPr>
              <w:t>2013</w:t>
            </w:r>
          </w:p>
        </w:tc>
        <w:tc>
          <w:tcPr>
            <w:tcW w:w="1632" w:type="dxa"/>
            <w:tcBorders>
              <w:top w:val="single" w:sz="4" w:space="0" w:color="365F91"/>
              <w:left w:val="nil"/>
              <w:bottom w:val="single" w:sz="4" w:space="0" w:color="365F91"/>
              <w:right w:val="nil"/>
            </w:tcBorders>
            <w:hideMark/>
          </w:tcPr>
          <w:p w14:paraId="68A3D0F5" w14:textId="77777777" w:rsidR="00FB19C0" w:rsidRPr="00BE78CA" w:rsidRDefault="00FB19C0" w:rsidP="00C26084">
            <w:pPr>
              <w:pStyle w:val="TableText"/>
              <w:spacing w:before="50" w:after="50"/>
              <w:jc w:val="center"/>
            </w:pPr>
            <w:r w:rsidRPr="00BE78CA">
              <w:t>0.6</w:t>
            </w:r>
          </w:p>
        </w:tc>
        <w:tc>
          <w:tcPr>
            <w:tcW w:w="1842" w:type="dxa"/>
            <w:tcBorders>
              <w:top w:val="single" w:sz="4" w:space="0" w:color="365F91"/>
              <w:left w:val="nil"/>
              <w:bottom w:val="single" w:sz="4" w:space="0" w:color="365F91"/>
              <w:right w:val="nil"/>
            </w:tcBorders>
            <w:hideMark/>
          </w:tcPr>
          <w:p w14:paraId="6F943C7D" w14:textId="77777777" w:rsidR="00FB19C0" w:rsidRPr="00BE78CA" w:rsidRDefault="00FB19C0" w:rsidP="00C26084">
            <w:pPr>
              <w:pStyle w:val="TableText"/>
              <w:spacing w:before="50" w:after="50"/>
              <w:jc w:val="center"/>
            </w:pPr>
            <w:r w:rsidRPr="00BE78CA">
              <w:t>0.3</w:t>
            </w:r>
          </w:p>
        </w:tc>
        <w:tc>
          <w:tcPr>
            <w:tcW w:w="1843" w:type="dxa"/>
            <w:tcBorders>
              <w:top w:val="single" w:sz="4" w:space="0" w:color="365F91"/>
              <w:left w:val="nil"/>
              <w:bottom w:val="single" w:sz="4" w:space="0" w:color="365F91"/>
              <w:right w:val="nil"/>
            </w:tcBorders>
            <w:hideMark/>
          </w:tcPr>
          <w:p w14:paraId="24E1806C" w14:textId="77777777" w:rsidR="00FB19C0" w:rsidRPr="00BE78CA" w:rsidRDefault="00FB19C0" w:rsidP="00C26084">
            <w:pPr>
              <w:pStyle w:val="TableText"/>
              <w:spacing w:before="50" w:after="50"/>
              <w:jc w:val="center"/>
            </w:pPr>
            <w:r w:rsidRPr="00BE78CA">
              <w:t>4.5</w:t>
            </w:r>
          </w:p>
        </w:tc>
        <w:tc>
          <w:tcPr>
            <w:tcW w:w="2109" w:type="dxa"/>
            <w:tcBorders>
              <w:top w:val="single" w:sz="4" w:space="0" w:color="365F91"/>
              <w:left w:val="nil"/>
              <w:bottom w:val="single" w:sz="4" w:space="0" w:color="365F91"/>
              <w:right w:val="nil"/>
            </w:tcBorders>
            <w:hideMark/>
          </w:tcPr>
          <w:p w14:paraId="7A087032" w14:textId="77777777" w:rsidR="00FB19C0" w:rsidRPr="00BE78CA" w:rsidRDefault="00FB19C0" w:rsidP="00C26084">
            <w:pPr>
              <w:pStyle w:val="TableText"/>
              <w:spacing w:before="50" w:after="50"/>
              <w:jc w:val="center"/>
            </w:pPr>
            <w:r w:rsidRPr="00BE78CA">
              <w:t>5.4</w:t>
            </w:r>
          </w:p>
        </w:tc>
      </w:tr>
      <w:tr w:rsidR="00FB19C0" w:rsidRPr="00BE78CA" w14:paraId="3A2EF633" w14:textId="77777777" w:rsidTr="00C26084">
        <w:tc>
          <w:tcPr>
            <w:tcW w:w="1079" w:type="dxa"/>
            <w:tcBorders>
              <w:top w:val="single" w:sz="4" w:space="0" w:color="365F91"/>
              <w:left w:val="nil"/>
              <w:bottom w:val="single" w:sz="4" w:space="0" w:color="365F91"/>
              <w:right w:val="nil"/>
            </w:tcBorders>
            <w:hideMark/>
          </w:tcPr>
          <w:p w14:paraId="1496E03F" w14:textId="77777777" w:rsidR="00FB19C0" w:rsidRPr="00BE78CA" w:rsidRDefault="00FB19C0" w:rsidP="00C26084">
            <w:pPr>
              <w:pStyle w:val="TableTextBold"/>
              <w:spacing w:before="50" w:after="50"/>
              <w:rPr>
                <w:noProof w:val="0"/>
              </w:rPr>
            </w:pPr>
            <w:r w:rsidRPr="00BE78CA">
              <w:rPr>
                <w:noProof w:val="0"/>
              </w:rPr>
              <w:t>2014</w:t>
            </w:r>
          </w:p>
        </w:tc>
        <w:tc>
          <w:tcPr>
            <w:tcW w:w="1632" w:type="dxa"/>
            <w:tcBorders>
              <w:top w:val="single" w:sz="4" w:space="0" w:color="365F91"/>
              <w:left w:val="nil"/>
              <w:bottom w:val="single" w:sz="4" w:space="0" w:color="365F91"/>
              <w:right w:val="nil"/>
            </w:tcBorders>
            <w:hideMark/>
          </w:tcPr>
          <w:p w14:paraId="7B257D64" w14:textId="77777777" w:rsidR="00FB19C0" w:rsidRPr="00BE78CA" w:rsidRDefault="00FB19C0" w:rsidP="00C26084">
            <w:pPr>
              <w:pStyle w:val="TableText"/>
              <w:spacing w:before="50" w:after="50"/>
              <w:jc w:val="center"/>
            </w:pPr>
            <w:r w:rsidRPr="00BE78CA">
              <w:t>0.6</w:t>
            </w:r>
          </w:p>
        </w:tc>
        <w:tc>
          <w:tcPr>
            <w:tcW w:w="1842" w:type="dxa"/>
            <w:tcBorders>
              <w:top w:val="single" w:sz="4" w:space="0" w:color="365F91"/>
              <w:left w:val="nil"/>
              <w:bottom w:val="single" w:sz="4" w:space="0" w:color="365F91"/>
              <w:right w:val="nil"/>
            </w:tcBorders>
            <w:hideMark/>
          </w:tcPr>
          <w:p w14:paraId="6848617B" w14:textId="77777777" w:rsidR="00FB19C0" w:rsidRPr="00BE78CA" w:rsidRDefault="00FB19C0" w:rsidP="00C26084">
            <w:pPr>
              <w:pStyle w:val="TableText"/>
              <w:spacing w:before="50" w:after="50"/>
              <w:jc w:val="center"/>
            </w:pPr>
            <w:r w:rsidRPr="00BE78CA">
              <w:t>0.3</w:t>
            </w:r>
          </w:p>
        </w:tc>
        <w:tc>
          <w:tcPr>
            <w:tcW w:w="1843" w:type="dxa"/>
            <w:tcBorders>
              <w:top w:val="single" w:sz="4" w:space="0" w:color="365F91"/>
              <w:left w:val="nil"/>
              <w:bottom w:val="single" w:sz="4" w:space="0" w:color="365F91"/>
              <w:right w:val="nil"/>
            </w:tcBorders>
            <w:hideMark/>
          </w:tcPr>
          <w:p w14:paraId="3BD0AB23" w14:textId="77777777" w:rsidR="00FB19C0" w:rsidRPr="00BE78CA" w:rsidRDefault="00FB19C0" w:rsidP="00C26084">
            <w:pPr>
              <w:pStyle w:val="TableText"/>
              <w:spacing w:before="50" w:after="50"/>
              <w:jc w:val="center"/>
            </w:pPr>
            <w:r w:rsidRPr="00BE78CA">
              <w:t>4.5</w:t>
            </w:r>
          </w:p>
        </w:tc>
        <w:tc>
          <w:tcPr>
            <w:tcW w:w="2109" w:type="dxa"/>
            <w:tcBorders>
              <w:top w:val="single" w:sz="4" w:space="0" w:color="365F91"/>
              <w:left w:val="nil"/>
              <w:bottom w:val="single" w:sz="4" w:space="0" w:color="365F91"/>
              <w:right w:val="nil"/>
            </w:tcBorders>
            <w:hideMark/>
          </w:tcPr>
          <w:p w14:paraId="4F42366E" w14:textId="77777777" w:rsidR="00FB19C0" w:rsidRPr="00BE78CA" w:rsidRDefault="00FB19C0" w:rsidP="00C26084">
            <w:pPr>
              <w:pStyle w:val="TableText"/>
              <w:spacing w:before="50" w:after="50"/>
              <w:jc w:val="center"/>
            </w:pPr>
            <w:r w:rsidRPr="00BE78CA">
              <w:t>5.4</w:t>
            </w:r>
          </w:p>
        </w:tc>
      </w:tr>
      <w:tr w:rsidR="00FB19C0" w:rsidRPr="00BE78CA" w14:paraId="68986C5B" w14:textId="77777777" w:rsidTr="00C26084">
        <w:tc>
          <w:tcPr>
            <w:tcW w:w="1079" w:type="dxa"/>
            <w:tcBorders>
              <w:top w:val="single" w:sz="4" w:space="0" w:color="365F91"/>
              <w:left w:val="nil"/>
              <w:bottom w:val="single" w:sz="4" w:space="0" w:color="365F91"/>
              <w:right w:val="nil"/>
            </w:tcBorders>
            <w:hideMark/>
          </w:tcPr>
          <w:p w14:paraId="36A7CD02" w14:textId="77777777" w:rsidR="00FB19C0" w:rsidRPr="00BE78CA" w:rsidRDefault="00FB19C0" w:rsidP="00C26084">
            <w:pPr>
              <w:pStyle w:val="TableTextBold"/>
              <w:spacing w:before="50" w:after="50"/>
              <w:rPr>
                <w:noProof w:val="0"/>
              </w:rPr>
            </w:pPr>
            <w:r w:rsidRPr="00BE78CA">
              <w:rPr>
                <w:noProof w:val="0"/>
              </w:rPr>
              <w:t>2015</w:t>
            </w:r>
          </w:p>
        </w:tc>
        <w:tc>
          <w:tcPr>
            <w:tcW w:w="1632" w:type="dxa"/>
            <w:tcBorders>
              <w:top w:val="single" w:sz="4" w:space="0" w:color="365F91"/>
              <w:left w:val="nil"/>
              <w:bottom w:val="single" w:sz="4" w:space="0" w:color="365F91"/>
              <w:right w:val="nil"/>
            </w:tcBorders>
            <w:hideMark/>
          </w:tcPr>
          <w:p w14:paraId="5E708E55" w14:textId="77777777" w:rsidR="00FB19C0" w:rsidRPr="00BE78CA" w:rsidRDefault="00FB19C0" w:rsidP="00C26084">
            <w:pPr>
              <w:pStyle w:val="TableText"/>
              <w:spacing w:before="50" w:after="50"/>
              <w:jc w:val="center"/>
            </w:pPr>
            <w:r w:rsidRPr="00BE78CA">
              <w:t>0.6</w:t>
            </w:r>
          </w:p>
        </w:tc>
        <w:tc>
          <w:tcPr>
            <w:tcW w:w="1842" w:type="dxa"/>
            <w:tcBorders>
              <w:top w:val="single" w:sz="4" w:space="0" w:color="365F91"/>
              <w:left w:val="nil"/>
              <w:bottom w:val="single" w:sz="4" w:space="0" w:color="365F91"/>
              <w:right w:val="nil"/>
            </w:tcBorders>
            <w:hideMark/>
          </w:tcPr>
          <w:p w14:paraId="1F112D18" w14:textId="77777777" w:rsidR="00FB19C0" w:rsidRPr="00BE78CA" w:rsidRDefault="00FB19C0" w:rsidP="00C26084">
            <w:pPr>
              <w:pStyle w:val="TableText"/>
              <w:spacing w:before="50" w:after="50"/>
              <w:jc w:val="center"/>
            </w:pPr>
            <w:r w:rsidRPr="00BE78CA">
              <w:t>0.3</w:t>
            </w:r>
          </w:p>
        </w:tc>
        <w:tc>
          <w:tcPr>
            <w:tcW w:w="1843" w:type="dxa"/>
            <w:tcBorders>
              <w:top w:val="single" w:sz="4" w:space="0" w:color="365F91"/>
              <w:left w:val="nil"/>
              <w:bottom w:val="single" w:sz="4" w:space="0" w:color="365F91"/>
              <w:right w:val="nil"/>
            </w:tcBorders>
            <w:hideMark/>
          </w:tcPr>
          <w:p w14:paraId="70FBBFDE" w14:textId="77777777" w:rsidR="00FB19C0" w:rsidRPr="00BE78CA" w:rsidRDefault="00FB19C0" w:rsidP="00C26084">
            <w:pPr>
              <w:pStyle w:val="TableText"/>
              <w:spacing w:before="50" w:after="50"/>
              <w:jc w:val="center"/>
            </w:pPr>
            <w:r w:rsidRPr="00BE78CA">
              <w:t>4.5</w:t>
            </w:r>
          </w:p>
        </w:tc>
        <w:tc>
          <w:tcPr>
            <w:tcW w:w="2109" w:type="dxa"/>
            <w:tcBorders>
              <w:top w:val="single" w:sz="4" w:space="0" w:color="365F91"/>
              <w:left w:val="nil"/>
              <w:bottom w:val="single" w:sz="4" w:space="0" w:color="365F91"/>
              <w:right w:val="nil"/>
            </w:tcBorders>
            <w:hideMark/>
          </w:tcPr>
          <w:p w14:paraId="04FC92CD" w14:textId="77777777" w:rsidR="00FB19C0" w:rsidRPr="00BE78CA" w:rsidRDefault="00FB19C0" w:rsidP="00C26084">
            <w:pPr>
              <w:pStyle w:val="TableText"/>
              <w:spacing w:before="50" w:after="50"/>
              <w:jc w:val="center"/>
            </w:pPr>
            <w:r w:rsidRPr="00BE78CA">
              <w:t>5.4</w:t>
            </w:r>
          </w:p>
        </w:tc>
      </w:tr>
      <w:tr w:rsidR="00FB19C0" w:rsidRPr="00BE78CA" w14:paraId="236DC914" w14:textId="77777777" w:rsidTr="00C26084">
        <w:tc>
          <w:tcPr>
            <w:tcW w:w="1079" w:type="dxa"/>
            <w:tcBorders>
              <w:top w:val="single" w:sz="4" w:space="0" w:color="365F91"/>
              <w:left w:val="nil"/>
              <w:bottom w:val="single" w:sz="4" w:space="0" w:color="365F91"/>
              <w:right w:val="nil"/>
            </w:tcBorders>
            <w:hideMark/>
          </w:tcPr>
          <w:p w14:paraId="3A81CD81" w14:textId="77777777" w:rsidR="00FB19C0" w:rsidRPr="00BE78CA" w:rsidRDefault="00FB19C0" w:rsidP="00C26084">
            <w:pPr>
              <w:pStyle w:val="TableTextBold"/>
              <w:spacing w:before="50" w:after="50"/>
              <w:rPr>
                <w:noProof w:val="0"/>
              </w:rPr>
            </w:pPr>
            <w:r w:rsidRPr="00BE78CA">
              <w:rPr>
                <w:noProof w:val="0"/>
              </w:rPr>
              <w:t>2016</w:t>
            </w:r>
          </w:p>
        </w:tc>
        <w:tc>
          <w:tcPr>
            <w:tcW w:w="1632" w:type="dxa"/>
            <w:tcBorders>
              <w:top w:val="single" w:sz="4" w:space="0" w:color="365F91"/>
              <w:left w:val="nil"/>
              <w:bottom w:val="single" w:sz="4" w:space="0" w:color="365F91"/>
              <w:right w:val="nil"/>
            </w:tcBorders>
            <w:hideMark/>
          </w:tcPr>
          <w:p w14:paraId="20B59DAA" w14:textId="77777777" w:rsidR="00FB19C0" w:rsidRPr="00BE78CA" w:rsidRDefault="00FB19C0" w:rsidP="00C26084">
            <w:pPr>
              <w:pStyle w:val="TableText"/>
              <w:spacing w:before="50" w:after="50"/>
              <w:jc w:val="center"/>
            </w:pPr>
            <w:r w:rsidRPr="00BE78CA">
              <w:t>0.6</w:t>
            </w:r>
          </w:p>
        </w:tc>
        <w:tc>
          <w:tcPr>
            <w:tcW w:w="1842" w:type="dxa"/>
            <w:tcBorders>
              <w:top w:val="single" w:sz="4" w:space="0" w:color="365F91"/>
              <w:left w:val="nil"/>
              <w:bottom w:val="single" w:sz="4" w:space="0" w:color="365F91"/>
              <w:right w:val="nil"/>
            </w:tcBorders>
            <w:hideMark/>
          </w:tcPr>
          <w:p w14:paraId="726E4764" w14:textId="77777777" w:rsidR="00FB19C0" w:rsidRPr="00BE78CA" w:rsidRDefault="00FB19C0" w:rsidP="00C26084">
            <w:pPr>
              <w:pStyle w:val="TableText"/>
              <w:spacing w:before="50" w:after="50"/>
              <w:jc w:val="center"/>
            </w:pPr>
            <w:r w:rsidRPr="00BE78CA">
              <w:t>0.3</w:t>
            </w:r>
          </w:p>
        </w:tc>
        <w:tc>
          <w:tcPr>
            <w:tcW w:w="1843" w:type="dxa"/>
            <w:tcBorders>
              <w:top w:val="single" w:sz="4" w:space="0" w:color="365F91"/>
              <w:left w:val="nil"/>
              <w:bottom w:val="single" w:sz="4" w:space="0" w:color="365F91"/>
              <w:right w:val="nil"/>
            </w:tcBorders>
            <w:hideMark/>
          </w:tcPr>
          <w:p w14:paraId="0BB5AFDB" w14:textId="77777777" w:rsidR="00FB19C0" w:rsidRPr="00BE78CA" w:rsidRDefault="00FB19C0" w:rsidP="00C26084">
            <w:pPr>
              <w:pStyle w:val="TableText"/>
              <w:spacing w:before="50" w:after="50"/>
              <w:jc w:val="center"/>
            </w:pPr>
            <w:r w:rsidRPr="00BE78CA">
              <w:t>4.5</w:t>
            </w:r>
          </w:p>
        </w:tc>
        <w:tc>
          <w:tcPr>
            <w:tcW w:w="2109" w:type="dxa"/>
            <w:tcBorders>
              <w:top w:val="single" w:sz="4" w:space="0" w:color="365F91"/>
              <w:left w:val="nil"/>
              <w:bottom w:val="single" w:sz="4" w:space="0" w:color="365F91"/>
              <w:right w:val="nil"/>
            </w:tcBorders>
            <w:hideMark/>
          </w:tcPr>
          <w:p w14:paraId="54282705" w14:textId="77777777" w:rsidR="00FB19C0" w:rsidRPr="00BE78CA" w:rsidRDefault="00FB19C0" w:rsidP="00C26084">
            <w:pPr>
              <w:pStyle w:val="TableText"/>
              <w:spacing w:before="50" w:after="50"/>
              <w:jc w:val="center"/>
            </w:pPr>
            <w:r w:rsidRPr="00BE78CA">
              <w:t>5.4</w:t>
            </w:r>
          </w:p>
        </w:tc>
      </w:tr>
      <w:tr w:rsidR="00FB19C0" w:rsidRPr="00BE78CA" w14:paraId="3A641CC5" w14:textId="77777777" w:rsidTr="00C26084">
        <w:tc>
          <w:tcPr>
            <w:tcW w:w="1079" w:type="dxa"/>
            <w:tcBorders>
              <w:top w:val="single" w:sz="4" w:space="0" w:color="365F91"/>
              <w:left w:val="nil"/>
              <w:bottom w:val="single" w:sz="4" w:space="0" w:color="365F91"/>
              <w:right w:val="nil"/>
            </w:tcBorders>
            <w:hideMark/>
          </w:tcPr>
          <w:p w14:paraId="45C7CB13" w14:textId="77777777" w:rsidR="00FB19C0" w:rsidRPr="00BE78CA" w:rsidRDefault="00FB19C0" w:rsidP="00C26084">
            <w:pPr>
              <w:pStyle w:val="TableTextBold"/>
              <w:spacing w:before="50" w:after="50"/>
              <w:rPr>
                <w:noProof w:val="0"/>
              </w:rPr>
            </w:pPr>
            <w:r w:rsidRPr="00BE78CA">
              <w:rPr>
                <w:noProof w:val="0"/>
              </w:rPr>
              <w:t>2017</w:t>
            </w:r>
          </w:p>
        </w:tc>
        <w:tc>
          <w:tcPr>
            <w:tcW w:w="1632" w:type="dxa"/>
            <w:tcBorders>
              <w:top w:val="single" w:sz="4" w:space="0" w:color="365F91"/>
              <w:left w:val="nil"/>
              <w:bottom w:val="single" w:sz="4" w:space="0" w:color="365F91"/>
              <w:right w:val="nil"/>
            </w:tcBorders>
            <w:hideMark/>
          </w:tcPr>
          <w:p w14:paraId="1CC66455" w14:textId="77777777" w:rsidR="00FB19C0" w:rsidRPr="00BE78CA" w:rsidRDefault="00FB19C0" w:rsidP="00C26084">
            <w:pPr>
              <w:pStyle w:val="TableText"/>
              <w:spacing w:before="50" w:after="50"/>
              <w:jc w:val="center"/>
            </w:pPr>
            <w:r w:rsidRPr="00BE78CA">
              <w:t>0.6</w:t>
            </w:r>
          </w:p>
        </w:tc>
        <w:tc>
          <w:tcPr>
            <w:tcW w:w="1842" w:type="dxa"/>
            <w:tcBorders>
              <w:top w:val="single" w:sz="4" w:space="0" w:color="365F91"/>
              <w:left w:val="nil"/>
              <w:bottom w:val="single" w:sz="4" w:space="0" w:color="365F91"/>
              <w:right w:val="nil"/>
            </w:tcBorders>
            <w:hideMark/>
          </w:tcPr>
          <w:p w14:paraId="0203CED9" w14:textId="77777777" w:rsidR="00FB19C0" w:rsidRPr="00BE78CA" w:rsidRDefault="00FB19C0" w:rsidP="00C26084">
            <w:pPr>
              <w:pStyle w:val="TableText"/>
              <w:spacing w:before="50" w:after="50"/>
              <w:jc w:val="center"/>
            </w:pPr>
            <w:r w:rsidRPr="00BE78CA">
              <w:t>0.3</w:t>
            </w:r>
          </w:p>
        </w:tc>
        <w:tc>
          <w:tcPr>
            <w:tcW w:w="1843" w:type="dxa"/>
            <w:tcBorders>
              <w:top w:val="single" w:sz="4" w:space="0" w:color="365F91"/>
              <w:left w:val="nil"/>
              <w:bottom w:val="single" w:sz="4" w:space="0" w:color="365F91"/>
              <w:right w:val="nil"/>
            </w:tcBorders>
            <w:hideMark/>
          </w:tcPr>
          <w:p w14:paraId="6723169F" w14:textId="77777777" w:rsidR="00FB19C0" w:rsidRPr="00BE78CA" w:rsidRDefault="00FB19C0" w:rsidP="00C26084">
            <w:pPr>
              <w:pStyle w:val="TableText"/>
              <w:spacing w:before="50" w:after="50"/>
              <w:jc w:val="center"/>
            </w:pPr>
            <w:r w:rsidRPr="00BE78CA">
              <w:t>4.5</w:t>
            </w:r>
          </w:p>
        </w:tc>
        <w:tc>
          <w:tcPr>
            <w:tcW w:w="2109" w:type="dxa"/>
            <w:tcBorders>
              <w:top w:val="single" w:sz="4" w:space="0" w:color="365F91"/>
              <w:left w:val="nil"/>
              <w:bottom w:val="single" w:sz="4" w:space="0" w:color="365F91"/>
              <w:right w:val="nil"/>
            </w:tcBorders>
            <w:hideMark/>
          </w:tcPr>
          <w:p w14:paraId="4827D005" w14:textId="77777777" w:rsidR="00FB19C0" w:rsidRPr="00BE78CA" w:rsidRDefault="00FB19C0" w:rsidP="00C26084">
            <w:pPr>
              <w:pStyle w:val="TableText"/>
              <w:spacing w:before="50" w:after="50"/>
              <w:jc w:val="center"/>
            </w:pPr>
            <w:r w:rsidRPr="00BE78CA">
              <w:t>5.4</w:t>
            </w:r>
          </w:p>
        </w:tc>
      </w:tr>
      <w:tr w:rsidR="00FB19C0" w:rsidRPr="00BE78CA" w14:paraId="13CA7F3D" w14:textId="77777777" w:rsidTr="00C26084">
        <w:tc>
          <w:tcPr>
            <w:tcW w:w="1079" w:type="dxa"/>
            <w:tcBorders>
              <w:top w:val="single" w:sz="4" w:space="0" w:color="365F91"/>
              <w:left w:val="nil"/>
              <w:bottom w:val="single" w:sz="4" w:space="0" w:color="365F91"/>
              <w:right w:val="nil"/>
            </w:tcBorders>
            <w:hideMark/>
          </w:tcPr>
          <w:p w14:paraId="2DB079F3" w14:textId="77777777" w:rsidR="00FB19C0" w:rsidRPr="00BE78CA" w:rsidRDefault="00FB19C0" w:rsidP="00C26084">
            <w:pPr>
              <w:pStyle w:val="TableTextBold"/>
              <w:spacing w:before="50" w:after="50"/>
              <w:rPr>
                <w:noProof w:val="0"/>
              </w:rPr>
            </w:pPr>
            <w:r w:rsidRPr="00BE78CA">
              <w:rPr>
                <w:noProof w:val="0"/>
              </w:rPr>
              <w:t>2018</w:t>
            </w:r>
          </w:p>
        </w:tc>
        <w:tc>
          <w:tcPr>
            <w:tcW w:w="1632" w:type="dxa"/>
            <w:tcBorders>
              <w:top w:val="single" w:sz="4" w:space="0" w:color="365F91"/>
              <w:left w:val="nil"/>
              <w:bottom w:val="single" w:sz="4" w:space="0" w:color="365F91"/>
              <w:right w:val="nil"/>
            </w:tcBorders>
            <w:hideMark/>
          </w:tcPr>
          <w:p w14:paraId="66432496" w14:textId="77777777" w:rsidR="00FB19C0" w:rsidRPr="00BE78CA" w:rsidRDefault="00FB19C0" w:rsidP="00C26084">
            <w:pPr>
              <w:pStyle w:val="TableText"/>
              <w:spacing w:before="50" w:after="50"/>
              <w:jc w:val="center"/>
            </w:pPr>
            <w:r w:rsidRPr="00BE78CA">
              <w:t>0.6</w:t>
            </w:r>
          </w:p>
        </w:tc>
        <w:tc>
          <w:tcPr>
            <w:tcW w:w="1842" w:type="dxa"/>
            <w:tcBorders>
              <w:top w:val="single" w:sz="4" w:space="0" w:color="365F91"/>
              <w:left w:val="nil"/>
              <w:bottom w:val="single" w:sz="4" w:space="0" w:color="365F91"/>
              <w:right w:val="nil"/>
            </w:tcBorders>
            <w:hideMark/>
          </w:tcPr>
          <w:p w14:paraId="38DF6902" w14:textId="77777777" w:rsidR="00FB19C0" w:rsidRPr="00BE78CA" w:rsidRDefault="00FB19C0" w:rsidP="00C26084">
            <w:pPr>
              <w:pStyle w:val="TableText"/>
              <w:spacing w:before="50" w:after="50"/>
              <w:jc w:val="center"/>
            </w:pPr>
            <w:r w:rsidRPr="00BE78CA">
              <w:t>0.3</w:t>
            </w:r>
          </w:p>
        </w:tc>
        <w:tc>
          <w:tcPr>
            <w:tcW w:w="1843" w:type="dxa"/>
            <w:tcBorders>
              <w:top w:val="single" w:sz="4" w:space="0" w:color="365F91"/>
              <w:left w:val="nil"/>
              <w:bottom w:val="single" w:sz="4" w:space="0" w:color="365F91"/>
              <w:right w:val="nil"/>
            </w:tcBorders>
            <w:hideMark/>
          </w:tcPr>
          <w:p w14:paraId="6DCC3562" w14:textId="77777777" w:rsidR="00FB19C0" w:rsidRPr="00BE78CA" w:rsidRDefault="00FB19C0" w:rsidP="00C26084">
            <w:pPr>
              <w:pStyle w:val="TableText"/>
              <w:spacing w:before="50" w:after="50"/>
              <w:jc w:val="center"/>
            </w:pPr>
            <w:r w:rsidRPr="00BE78CA">
              <w:t>4.5</w:t>
            </w:r>
          </w:p>
        </w:tc>
        <w:tc>
          <w:tcPr>
            <w:tcW w:w="2109" w:type="dxa"/>
            <w:tcBorders>
              <w:top w:val="single" w:sz="4" w:space="0" w:color="365F91"/>
              <w:left w:val="nil"/>
              <w:bottom w:val="single" w:sz="4" w:space="0" w:color="365F91"/>
              <w:right w:val="nil"/>
            </w:tcBorders>
            <w:hideMark/>
          </w:tcPr>
          <w:p w14:paraId="4E28F1A1" w14:textId="77777777" w:rsidR="00FB19C0" w:rsidRPr="00BE78CA" w:rsidRDefault="00FB19C0" w:rsidP="00C26084">
            <w:pPr>
              <w:pStyle w:val="TableText"/>
              <w:spacing w:before="50" w:after="50"/>
              <w:jc w:val="center"/>
            </w:pPr>
            <w:r w:rsidRPr="00BE78CA">
              <w:t>5.4</w:t>
            </w:r>
          </w:p>
        </w:tc>
      </w:tr>
      <w:tr w:rsidR="00FB19C0" w:rsidRPr="00BE78CA" w14:paraId="7A716EEA" w14:textId="77777777" w:rsidTr="00C26084">
        <w:tc>
          <w:tcPr>
            <w:tcW w:w="1079" w:type="dxa"/>
            <w:tcBorders>
              <w:top w:val="single" w:sz="4" w:space="0" w:color="365F91"/>
              <w:left w:val="nil"/>
              <w:bottom w:val="single" w:sz="4" w:space="0" w:color="365F91"/>
              <w:right w:val="nil"/>
            </w:tcBorders>
          </w:tcPr>
          <w:p w14:paraId="5A800127" w14:textId="77777777" w:rsidR="00FB19C0" w:rsidRPr="00BE78CA" w:rsidRDefault="00FB19C0" w:rsidP="00C26084">
            <w:pPr>
              <w:pStyle w:val="TableTextBold"/>
              <w:spacing w:before="50" w:after="50"/>
              <w:rPr>
                <w:noProof w:val="0"/>
              </w:rPr>
            </w:pPr>
            <w:r w:rsidRPr="00BE78CA">
              <w:rPr>
                <w:noProof w:val="0"/>
              </w:rPr>
              <w:t>2019</w:t>
            </w:r>
          </w:p>
        </w:tc>
        <w:tc>
          <w:tcPr>
            <w:tcW w:w="1632" w:type="dxa"/>
            <w:tcBorders>
              <w:top w:val="single" w:sz="4" w:space="0" w:color="365F91"/>
              <w:left w:val="nil"/>
              <w:bottom w:val="single" w:sz="4" w:space="0" w:color="365F91"/>
              <w:right w:val="nil"/>
            </w:tcBorders>
          </w:tcPr>
          <w:p w14:paraId="7BB925A2" w14:textId="77777777" w:rsidR="00FB19C0" w:rsidRPr="00BE78CA" w:rsidRDefault="00FB19C0" w:rsidP="00C26084">
            <w:pPr>
              <w:pStyle w:val="TableText"/>
              <w:spacing w:before="50" w:after="50"/>
              <w:jc w:val="center"/>
            </w:pPr>
            <w:r w:rsidRPr="00BE78CA">
              <w:t>0.6</w:t>
            </w:r>
          </w:p>
        </w:tc>
        <w:tc>
          <w:tcPr>
            <w:tcW w:w="1842" w:type="dxa"/>
            <w:tcBorders>
              <w:top w:val="single" w:sz="4" w:space="0" w:color="365F91"/>
              <w:left w:val="nil"/>
              <w:bottom w:val="single" w:sz="4" w:space="0" w:color="365F91"/>
              <w:right w:val="nil"/>
            </w:tcBorders>
          </w:tcPr>
          <w:p w14:paraId="08E5AA58" w14:textId="77777777" w:rsidR="00FB19C0" w:rsidRPr="00BE78CA" w:rsidRDefault="00FB19C0" w:rsidP="00C26084">
            <w:pPr>
              <w:pStyle w:val="TableText"/>
              <w:spacing w:before="50" w:after="50"/>
              <w:jc w:val="center"/>
            </w:pPr>
            <w:r w:rsidRPr="00BE78CA">
              <w:t>0.3</w:t>
            </w:r>
          </w:p>
        </w:tc>
        <w:tc>
          <w:tcPr>
            <w:tcW w:w="1843" w:type="dxa"/>
            <w:tcBorders>
              <w:top w:val="single" w:sz="4" w:space="0" w:color="365F91"/>
              <w:left w:val="nil"/>
              <w:bottom w:val="single" w:sz="4" w:space="0" w:color="365F91"/>
              <w:right w:val="nil"/>
            </w:tcBorders>
          </w:tcPr>
          <w:p w14:paraId="6DC4BA6C" w14:textId="77777777" w:rsidR="00FB19C0" w:rsidRPr="00BE78CA" w:rsidRDefault="00FB19C0" w:rsidP="00C26084">
            <w:pPr>
              <w:pStyle w:val="TableText"/>
              <w:spacing w:before="50" w:after="50"/>
              <w:jc w:val="center"/>
            </w:pPr>
            <w:r w:rsidRPr="00BE78CA">
              <w:t>4.5</w:t>
            </w:r>
          </w:p>
        </w:tc>
        <w:tc>
          <w:tcPr>
            <w:tcW w:w="2109" w:type="dxa"/>
            <w:tcBorders>
              <w:top w:val="single" w:sz="4" w:space="0" w:color="365F91"/>
              <w:left w:val="nil"/>
              <w:bottom w:val="single" w:sz="4" w:space="0" w:color="365F91"/>
              <w:right w:val="nil"/>
            </w:tcBorders>
          </w:tcPr>
          <w:p w14:paraId="2F30B3E0" w14:textId="77777777" w:rsidR="00FB19C0" w:rsidRPr="00BE78CA" w:rsidRDefault="00FB19C0" w:rsidP="00C26084">
            <w:pPr>
              <w:pStyle w:val="TableText"/>
              <w:spacing w:before="50" w:after="50"/>
              <w:jc w:val="center"/>
            </w:pPr>
            <w:r w:rsidRPr="00BE78CA">
              <w:t>5.4</w:t>
            </w:r>
          </w:p>
        </w:tc>
      </w:tr>
    </w:tbl>
    <w:p w14:paraId="6CB8FF57" w14:textId="77777777" w:rsidR="00FB19C0" w:rsidRPr="00BE78CA" w:rsidRDefault="00FB19C0" w:rsidP="00FB19C0">
      <w:pPr>
        <w:pStyle w:val="Noteundertable"/>
      </w:pPr>
      <w:r w:rsidRPr="00BE78CA">
        <w:rPr>
          <w:b/>
        </w:rPr>
        <w:t>Note:</w:t>
      </w:r>
      <w:r w:rsidRPr="00BE78CA">
        <w:t xml:space="preserve"> </w:t>
      </w:r>
      <w:r w:rsidRPr="00BE78CA">
        <w:tab/>
        <w:t>Columns may not total due to rounding.</w:t>
      </w:r>
    </w:p>
    <w:p w14:paraId="1028A205" w14:textId="77777777" w:rsidR="00FB19C0" w:rsidRPr="00BE78CA" w:rsidRDefault="00FB19C0" w:rsidP="00FB19C0">
      <w:pPr>
        <w:pStyle w:val="Heading5"/>
      </w:pPr>
      <w:r w:rsidRPr="00BE78CA">
        <w:t>Open burning (5.C.2)</w:t>
      </w:r>
    </w:p>
    <w:p w14:paraId="01DC6593" w14:textId="77777777" w:rsidR="00FB19C0" w:rsidRPr="00BE78CA" w:rsidRDefault="00FB19C0" w:rsidP="00FB19C0">
      <w:pPr>
        <w:pStyle w:val="BodyText"/>
        <w:rPr>
          <w:rFonts w:eastAsia="+mn-ea"/>
        </w:rPr>
      </w:pPr>
      <w:r w:rsidRPr="00BE78CA">
        <w:rPr>
          <w:rFonts w:eastAsia="+mn-ea"/>
        </w:rPr>
        <w:t xml:space="preserve">Little information is available on the quantities of farm wastes burned. </w:t>
      </w:r>
      <w:r w:rsidRPr="00BE78CA">
        <w:t xml:space="preserve">A change introduced in the 2021 submission is that the methods of disposal of farm waste are evenly split between disposal to land in farm fills and disposal by open burning, at 47 per cent each (noting that 6 per cent is disposed in other ways). </w:t>
      </w:r>
      <w:r w:rsidRPr="00BE78CA">
        <w:rPr>
          <w:rFonts w:eastAsia="+mn-ea"/>
        </w:rPr>
        <w:t>Refer to section 7.2.2 for a discussion on farm waste landfilling and open burning. In summary, because open burning is a significant and common practice (GHD, 2013, 2014) it is being considered to be equal in volume. Activity data for open burning are the same as those for farm landfilling in table 7.2.4.</w:t>
      </w:r>
    </w:p>
    <w:p w14:paraId="7F315E03" w14:textId="77777777" w:rsidR="00FB19C0" w:rsidRPr="00BE78CA" w:rsidRDefault="00FB19C0" w:rsidP="00FB19C0">
      <w:pPr>
        <w:pStyle w:val="Heading4"/>
      </w:pPr>
      <w:r w:rsidRPr="00BE78CA">
        <w:t>Choice of methods</w:t>
      </w:r>
    </w:p>
    <w:p w14:paraId="23F0A057" w14:textId="77777777" w:rsidR="00FB19C0" w:rsidRPr="00BE78CA" w:rsidRDefault="00FB19C0" w:rsidP="00FB19C0">
      <w:pPr>
        <w:pStyle w:val="Heading5"/>
        <w:spacing w:before="180"/>
      </w:pPr>
      <w:r w:rsidRPr="00BE78CA">
        <w:t>Incineration (5.C.1)</w:t>
      </w:r>
    </w:p>
    <w:p w14:paraId="6143EEC3" w14:textId="77777777" w:rsidR="00FB19C0" w:rsidRPr="00BE78CA" w:rsidRDefault="00FB19C0" w:rsidP="00FB19C0">
      <w:pPr>
        <w:pStyle w:val="BodyText"/>
      </w:pPr>
      <w:r w:rsidRPr="00BE78CA">
        <w:t>Estimates of direct emissions from the incineration of waste are made using the default Tier 1 methodology (IPCC, 2006a). The data used were collected and collated in 2007, and the sources used included information previously collected for purposes of air quality regulation and consent data from regional councils and site operators (SKM, unpublished(a)).</w:t>
      </w:r>
    </w:p>
    <w:p w14:paraId="062BA1C9" w14:textId="77777777" w:rsidR="00FB19C0" w:rsidRPr="00BE78CA" w:rsidRDefault="00FB19C0" w:rsidP="00FB19C0">
      <w:pPr>
        <w:pStyle w:val="Heading5"/>
      </w:pPr>
      <w:r w:rsidRPr="00BE78CA">
        <w:t>Open burning (5.C.2)</w:t>
      </w:r>
    </w:p>
    <w:p w14:paraId="52EA418F" w14:textId="77777777" w:rsidR="00FB19C0" w:rsidRPr="00BE78CA" w:rsidRDefault="00FB19C0" w:rsidP="00FB19C0">
      <w:pPr>
        <w:pStyle w:val="BodyText"/>
      </w:pPr>
      <w:r w:rsidRPr="00BE78CA">
        <w:t>Estimates of direct emissions from the open burning of rural waste are made using the default Tier 1 methodology (IPCC, 2006a). Farm waste comprises a mix of household and other wastes, which have a composition and diversity similar to general municipal solid waste (Tonkin and Taylor Ltd, unpublished(b)). Therefore, emissions from CH</w:t>
      </w:r>
      <w:r w:rsidRPr="00BE78CA">
        <w:rPr>
          <w:vertAlign w:val="subscript"/>
        </w:rPr>
        <w:t>4</w:t>
      </w:r>
      <w:r w:rsidRPr="00BE78CA">
        <w:t xml:space="preserve"> and N</w:t>
      </w:r>
      <w:r w:rsidRPr="00BE78CA">
        <w:rPr>
          <w:vertAlign w:val="subscript"/>
        </w:rPr>
        <w:t>2</w:t>
      </w:r>
      <w:r w:rsidRPr="00BE78CA">
        <w:t xml:space="preserve">O were estimated using default emission factors for bulk municipal solid waste. </w:t>
      </w:r>
    </w:p>
    <w:p w14:paraId="7FE1E4DC" w14:textId="6C768D2B" w:rsidR="00FB19C0" w:rsidRPr="00BE78CA" w:rsidRDefault="00FB19C0" w:rsidP="00FB19C0">
      <w:pPr>
        <w:pStyle w:val="BodyText"/>
      </w:pPr>
      <w:r w:rsidRPr="00BE78CA">
        <w:lastRenderedPageBreak/>
        <w:t>Emissions of CO</w:t>
      </w:r>
      <w:r w:rsidRPr="00BE78CA">
        <w:rPr>
          <w:vertAlign w:val="subscript"/>
        </w:rPr>
        <w:t>2</w:t>
      </w:r>
      <w:r w:rsidRPr="00BE78CA">
        <w:t xml:space="preserve"> were calculated using the same composition of farm waste as is landfilled, for</w:t>
      </w:r>
      <w:r w:rsidR="00912BCA" w:rsidRPr="00BE78CA">
        <w:t> </w:t>
      </w:r>
      <w:r w:rsidRPr="00BE78CA">
        <w:t xml:space="preserve">consistency (as reported in table 7.2.4). Table 7.4.3 shows the parameters that determine dry-matter content, total carbon content and fossil carbon content (IPCC defaults), which are then weighted against composition. </w:t>
      </w:r>
    </w:p>
    <w:p w14:paraId="1815CAEE" w14:textId="77777777" w:rsidR="00FB19C0" w:rsidRPr="00BE78CA" w:rsidRDefault="00FB19C0" w:rsidP="00FB19C0">
      <w:pPr>
        <w:pStyle w:val="Table"/>
      </w:pPr>
      <w:bookmarkStart w:id="2985" w:name="_Toc32828532"/>
      <w:bookmarkStart w:id="2986" w:name="_Toc32591362"/>
      <w:bookmarkStart w:id="2987" w:name="_Toc5269574"/>
      <w:bookmarkStart w:id="2988" w:name="_Toc36224655"/>
      <w:bookmarkStart w:id="2989" w:name="_Toc68786541"/>
      <w:r w:rsidRPr="00BE78CA">
        <w:t>Table 7.4.3</w:t>
      </w:r>
      <w:r w:rsidRPr="00BE78CA">
        <w:tab/>
        <w:t>Values applied to estimate carbon dioxide emissions from open burning of rural waste</w:t>
      </w:r>
      <w:bookmarkEnd w:id="2985"/>
      <w:bookmarkEnd w:id="2986"/>
      <w:bookmarkEnd w:id="2987"/>
      <w:bookmarkEnd w:id="2988"/>
      <w:bookmarkEnd w:id="2989"/>
    </w:p>
    <w:tbl>
      <w:tblPr>
        <w:tblW w:w="8505" w:type="dxa"/>
        <w:tblLook w:val="04A0" w:firstRow="1" w:lastRow="0" w:firstColumn="1" w:lastColumn="0" w:noHBand="0" w:noVBand="1"/>
      </w:tblPr>
      <w:tblGrid>
        <w:gridCol w:w="1772"/>
        <w:gridCol w:w="1418"/>
        <w:gridCol w:w="1655"/>
        <w:gridCol w:w="1713"/>
        <w:gridCol w:w="1947"/>
      </w:tblGrid>
      <w:tr w:rsidR="00FB19C0" w:rsidRPr="00BE78CA" w14:paraId="5F8837CE" w14:textId="77777777" w:rsidTr="0064289B">
        <w:trPr>
          <w:tblHeader/>
        </w:trPr>
        <w:tc>
          <w:tcPr>
            <w:tcW w:w="1701" w:type="dxa"/>
            <w:tcBorders>
              <w:top w:val="single" w:sz="4" w:space="0" w:color="365F91"/>
              <w:left w:val="nil"/>
              <w:bottom w:val="single" w:sz="4" w:space="0" w:color="365F91"/>
              <w:right w:val="nil"/>
            </w:tcBorders>
            <w:shd w:val="clear" w:color="auto" w:fill="365F91"/>
            <w:vAlign w:val="bottom"/>
            <w:hideMark/>
          </w:tcPr>
          <w:p w14:paraId="1716BB72" w14:textId="77777777" w:rsidR="00FB19C0" w:rsidRPr="00BE78CA" w:rsidRDefault="00FB19C0" w:rsidP="00C26084">
            <w:pPr>
              <w:pStyle w:val="TableTextBold"/>
              <w:spacing w:before="50" w:after="50"/>
              <w:rPr>
                <w:noProof w:val="0"/>
                <w:color w:val="FFFFFF"/>
              </w:rPr>
            </w:pPr>
            <w:r w:rsidRPr="00BE78CA">
              <w:rPr>
                <w:noProof w:val="0"/>
                <w:color w:val="FFFFFF"/>
              </w:rPr>
              <w:t xml:space="preserve">Waste type </w:t>
            </w:r>
          </w:p>
        </w:tc>
        <w:tc>
          <w:tcPr>
            <w:tcW w:w="1361" w:type="dxa"/>
            <w:tcBorders>
              <w:top w:val="single" w:sz="4" w:space="0" w:color="365F91"/>
              <w:left w:val="nil"/>
              <w:bottom w:val="single" w:sz="4" w:space="0" w:color="365F91"/>
              <w:right w:val="nil"/>
            </w:tcBorders>
            <w:shd w:val="clear" w:color="auto" w:fill="365F91"/>
            <w:vAlign w:val="bottom"/>
            <w:hideMark/>
          </w:tcPr>
          <w:p w14:paraId="5E21B39E" w14:textId="77777777" w:rsidR="00FB19C0" w:rsidRPr="00BE78CA" w:rsidRDefault="00FB19C0" w:rsidP="00C26084">
            <w:pPr>
              <w:pStyle w:val="TableTextBold"/>
              <w:spacing w:before="50" w:after="50"/>
              <w:jc w:val="right"/>
              <w:rPr>
                <w:noProof w:val="0"/>
                <w:color w:val="FFFFFF"/>
              </w:rPr>
            </w:pPr>
            <w:r w:rsidRPr="00BE78CA">
              <w:rPr>
                <w:noProof w:val="0"/>
                <w:color w:val="FFFFFF"/>
              </w:rPr>
              <w:t>Composition</w:t>
            </w:r>
            <w:r w:rsidRPr="00BE78CA">
              <w:rPr>
                <w:noProof w:val="0"/>
                <w:color w:val="FFFFFF"/>
              </w:rPr>
              <w:br/>
              <w:t xml:space="preserve"> (%)</w:t>
            </w:r>
          </w:p>
        </w:tc>
        <w:tc>
          <w:tcPr>
            <w:tcW w:w="1588" w:type="dxa"/>
            <w:tcBorders>
              <w:top w:val="single" w:sz="4" w:space="0" w:color="365F91"/>
              <w:left w:val="nil"/>
              <w:bottom w:val="single" w:sz="4" w:space="0" w:color="365F91"/>
              <w:right w:val="nil"/>
            </w:tcBorders>
            <w:shd w:val="clear" w:color="auto" w:fill="365F91"/>
            <w:vAlign w:val="bottom"/>
            <w:hideMark/>
          </w:tcPr>
          <w:p w14:paraId="4DF49EDF" w14:textId="77777777" w:rsidR="00FB19C0" w:rsidRPr="00BE78CA" w:rsidRDefault="00FB19C0" w:rsidP="00C26084">
            <w:pPr>
              <w:pStyle w:val="TableTextBold"/>
              <w:spacing w:before="50" w:after="50"/>
              <w:jc w:val="right"/>
              <w:rPr>
                <w:noProof w:val="0"/>
                <w:color w:val="FFFFFF"/>
              </w:rPr>
            </w:pPr>
            <w:r w:rsidRPr="00BE78CA">
              <w:rPr>
                <w:noProof w:val="0"/>
                <w:color w:val="FFFFFF"/>
              </w:rPr>
              <w:t>Dry matter content (%)</w:t>
            </w:r>
          </w:p>
        </w:tc>
        <w:tc>
          <w:tcPr>
            <w:tcW w:w="1644" w:type="dxa"/>
            <w:tcBorders>
              <w:top w:val="single" w:sz="4" w:space="0" w:color="365F91"/>
              <w:left w:val="nil"/>
              <w:bottom w:val="single" w:sz="4" w:space="0" w:color="365F91"/>
              <w:right w:val="nil"/>
            </w:tcBorders>
            <w:shd w:val="clear" w:color="auto" w:fill="365F91"/>
            <w:vAlign w:val="bottom"/>
            <w:hideMark/>
          </w:tcPr>
          <w:p w14:paraId="3C7FAF1F" w14:textId="77777777" w:rsidR="00FB19C0" w:rsidRPr="00BE78CA" w:rsidRDefault="00FB19C0" w:rsidP="00C26084">
            <w:pPr>
              <w:pStyle w:val="TableTextBold"/>
              <w:spacing w:before="50" w:after="50"/>
              <w:jc w:val="right"/>
              <w:rPr>
                <w:noProof w:val="0"/>
                <w:color w:val="FFFFFF"/>
              </w:rPr>
            </w:pPr>
            <w:r w:rsidRPr="00BE78CA">
              <w:rPr>
                <w:noProof w:val="0"/>
                <w:color w:val="FFFFFF"/>
              </w:rPr>
              <w:t>Total carbon content (%)</w:t>
            </w:r>
          </w:p>
        </w:tc>
        <w:tc>
          <w:tcPr>
            <w:tcW w:w="1869" w:type="dxa"/>
            <w:tcBorders>
              <w:top w:val="single" w:sz="4" w:space="0" w:color="365F91"/>
              <w:left w:val="nil"/>
              <w:bottom w:val="single" w:sz="4" w:space="0" w:color="365F91"/>
              <w:right w:val="nil"/>
            </w:tcBorders>
            <w:shd w:val="clear" w:color="auto" w:fill="365F91"/>
            <w:vAlign w:val="bottom"/>
            <w:hideMark/>
          </w:tcPr>
          <w:p w14:paraId="096E1780" w14:textId="77777777" w:rsidR="00FB19C0" w:rsidRPr="00BE78CA" w:rsidRDefault="00FB19C0" w:rsidP="00C26084">
            <w:pPr>
              <w:pStyle w:val="TableTextBold"/>
              <w:spacing w:before="50" w:after="50"/>
              <w:jc w:val="right"/>
              <w:rPr>
                <w:noProof w:val="0"/>
                <w:color w:val="FFFFFF"/>
              </w:rPr>
            </w:pPr>
            <w:r w:rsidRPr="00BE78CA">
              <w:rPr>
                <w:noProof w:val="0"/>
                <w:color w:val="FFFFFF"/>
              </w:rPr>
              <w:t>Fossil carbon content of total carbon (%)</w:t>
            </w:r>
          </w:p>
        </w:tc>
      </w:tr>
      <w:tr w:rsidR="00FB19C0" w:rsidRPr="00BE78CA" w14:paraId="6AF65200" w14:textId="77777777" w:rsidTr="0064289B">
        <w:tc>
          <w:tcPr>
            <w:tcW w:w="1701" w:type="dxa"/>
            <w:tcBorders>
              <w:top w:val="single" w:sz="4" w:space="0" w:color="365F91"/>
              <w:left w:val="nil"/>
              <w:bottom w:val="single" w:sz="4" w:space="0" w:color="365F91"/>
              <w:right w:val="nil"/>
            </w:tcBorders>
            <w:hideMark/>
          </w:tcPr>
          <w:p w14:paraId="07D1BD6B" w14:textId="77777777" w:rsidR="00FB19C0" w:rsidRPr="00BE78CA" w:rsidRDefault="00FB19C0" w:rsidP="00C26084">
            <w:pPr>
              <w:pStyle w:val="TableText"/>
              <w:spacing w:before="50" w:after="50"/>
            </w:pPr>
            <w:r w:rsidRPr="00BE78CA">
              <w:t>Paper/card</w:t>
            </w:r>
          </w:p>
        </w:tc>
        <w:tc>
          <w:tcPr>
            <w:tcW w:w="1361" w:type="dxa"/>
            <w:tcBorders>
              <w:top w:val="single" w:sz="4" w:space="0" w:color="365F91"/>
              <w:left w:val="nil"/>
              <w:bottom w:val="single" w:sz="4" w:space="0" w:color="365F91"/>
              <w:right w:val="nil"/>
            </w:tcBorders>
            <w:hideMark/>
          </w:tcPr>
          <w:p w14:paraId="145C74B6" w14:textId="77777777" w:rsidR="00FB19C0" w:rsidRPr="00BE78CA" w:rsidRDefault="00FB19C0" w:rsidP="00C26084">
            <w:pPr>
              <w:pStyle w:val="TableText"/>
              <w:spacing w:before="50" w:after="50"/>
              <w:jc w:val="right"/>
            </w:pPr>
            <w:r w:rsidRPr="00BE78CA">
              <w:t>1.1</w:t>
            </w:r>
          </w:p>
        </w:tc>
        <w:tc>
          <w:tcPr>
            <w:tcW w:w="1588" w:type="dxa"/>
            <w:tcBorders>
              <w:top w:val="single" w:sz="4" w:space="0" w:color="365F91"/>
              <w:left w:val="nil"/>
              <w:bottom w:val="single" w:sz="4" w:space="0" w:color="365F91"/>
              <w:right w:val="nil"/>
            </w:tcBorders>
            <w:hideMark/>
          </w:tcPr>
          <w:p w14:paraId="39F61E7E" w14:textId="77777777" w:rsidR="00FB19C0" w:rsidRPr="00BE78CA" w:rsidRDefault="00FB19C0" w:rsidP="00C26084">
            <w:pPr>
              <w:pStyle w:val="TableText"/>
              <w:spacing w:before="50" w:after="50"/>
              <w:jc w:val="right"/>
              <w:rPr>
                <w:rFonts w:cs="Arial"/>
                <w:szCs w:val="16"/>
              </w:rPr>
            </w:pPr>
            <w:r w:rsidRPr="00BE78CA">
              <w:t>90</w:t>
            </w:r>
          </w:p>
        </w:tc>
        <w:tc>
          <w:tcPr>
            <w:tcW w:w="1644" w:type="dxa"/>
            <w:tcBorders>
              <w:top w:val="single" w:sz="4" w:space="0" w:color="365F91"/>
              <w:left w:val="nil"/>
              <w:bottom w:val="single" w:sz="4" w:space="0" w:color="365F91"/>
              <w:right w:val="nil"/>
            </w:tcBorders>
            <w:hideMark/>
          </w:tcPr>
          <w:p w14:paraId="31FCA057" w14:textId="77777777" w:rsidR="00FB19C0" w:rsidRPr="00BE78CA" w:rsidRDefault="00FB19C0" w:rsidP="00C26084">
            <w:pPr>
              <w:pStyle w:val="TableText"/>
              <w:spacing w:before="50" w:after="50"/>
              <w:jc w:val="right"/>
              <w:rPr>
                <w:rFonts w:cs="Arial"/>
                <w:szCs w:val="16"/>
              </w:rPr>
            </w:pPr>
            <w:r w:rsidRPr="00BE78CA">
              <w:t>43</w:t>
            </w:r>
          </w:p>
        </w:tc>
        <w:tc>
          <w:tcPr>
            <w:tcW w:w="1869" w:type="dxa"/>
            <w:tcBorders>
              <w:top w:val="single" w:sz="4" w:space="0" w:color="365F91"/>
              <w:left w:val="nil"/>
              <w:bottom w:val="single" w:sz="4" w:space="0" w:color="365F91"/>
              <w:right w:val="nil"/>
            </w:tcBorders>
            <w:hideMark/>
          </w:tcPr>
          <w:p w14:paraId="439FF7E8" w14:textId="77777777" w:rsidR="00FB19C0" w:rsidRPr="00BE78CA" w:rsidRDefault="00FB19C0" w:rsidP="00C26084">
            <w:pPr>
              <w:pStyle w:val="TableText"/>
              <w:spacing w:before="50" w:after="50"/>
              <w:jc w:val="right"/>
              <w:rPr>
                <w:rFonts w:cs="Arial"/>
                <w:szCs w:val="16"/>
              </w:rPr>
            </w:pPr>
            <w:r w:rsidRPr="00BE78CA">
              <w:t>1</w:t>
            </w:r>
          </w:p>
        </w:tc>
      </w:tr>
      <w:tr w:rsidR="00FB19C0" w:rsidRPr="00BE78CA" w14:paraId="215374F8" w14:textId="77777777" w:rsidTr="0064289B">
        <w:tc>
          <w:tcPr>
            <w:tcW w:w="1701" w:type="dxa"/>
            <w:tcBorders>
              <w:top w:val="single" w:sz="4" w:space="0" w:color="365F91"/>
              <w:left w:val="nil"/>
              <w:bottom w:val="single" w:sz="4" w:space="0" w:color="365F91"/>
              <w:right w:val="nil"/>
            </w:tcBorders>
            <w:hideMark/>
          </w:tcPr>
          <w:p w14:paraId="06B4B839" w14:textId="77777777" w:rsidR="00FB19C0" w:rsidRPr="00BE78CA" w:rsidRDefault="00FB19C0" w:rsidP="00C26084">
            <w:pPr>
              <w:pStyle w:val="TableText"/>
              <w:spacing w:before="50" w:after="50"/>
            </w:pPr>
            <w:r w:rsidRPr="00BE78CA">
              <w:t>Textiles</w:t>
            </w:r>
          </w:p>
        </w:tc>
        <w:tc>
          <w:tcPr>
            <w:tcW w:w="1361" w:type="dxa"/>
            <w:tcBorders>
              <w:top w:val="single" w:sz="4" w:space="0" w:color="365F91"/>
              <w:left w:val="nil"/>
              <w:bottom w:val="single" w:sz="4" w:space="0" w:color="365F91"/>
              <w:right w:val="nil"/>
            </w:tcBorders>
            <w:hideMark/>
          </w:tcPr>
          <w:p w14:paraId="5E0C1DAD" w14:textId="77777777" w:rsidR="00FB19C0" w:rsidRPr="00BE78CA" w:rsidRDefault="00FB19C0" w:rsidP="00C26084">
            <w:pPr>
              <w:pStyle w:val="TableText"/>
              <w:spacing w:before="50" w:after="50"/>
              <w:jc w:val="right"/>
            </w:pPr>
            <w:r w:rsidRPr="00BE78CA">
              <w:t>19.5</w:t>
            </w:r>
          </w:p>
        </w:tc>
        <w:tc>
          <w:tcPr>
            <w:tcW w:w="1588" w:type="dxa"/>
            <w:tcBorders>
              <w:top w:val="single" w:sz="4" w:space="0" w:color="365F91"/>
              <w:left w:val="nil"/>
              <w:bottom w:val="single" w:sz="4" w:space="0" w:color="365F91"/>
              <w:right w:val="nil"/>
            </w:tcBorders>
            <w:hideMark/>
          </w:tcPr>
          <w:p w14:paraId="11DB4DD1" w14:textId="77777777" w:rsidR="00FB19C0" w:rsidRPr="00BE78CA" w:rsidRDefault="00FB19C0" w:rsidP="00C26084">
            <w:pPr>
              <w:pStyle w:val="TableText"/>
              <w:spacing w:before="50" w:after="50"/>
              <w:jc w:val="right"/>
              <w:rPr>
                <w:rFonts w:cs="Arial"/>
                <w:szCs w:val="16"/>
              </w:rPr>
            </w:pPr>
            <w:r w:rsidRPr="00BE78CA">
              <w:t>80</w:t>
            </w:r>
          </w:p>
        </w:tc>
        <w:tc>
          <w:tcPr>
            <w:tcW w:w="1644" w:type="dxa"/>
            <w:tcBorders>
              <w:top w:val="single" w:sz="4" w:space="0" w:color="365F91"/>
              <w:left w:val="nil"/>
              <w:bottom w:val="single" w:sz="4" w:space="0" w:color="365F91"/>
              <w:right w:val="nil"/>
            </w:tcBorders>
            <w:hideMark/>
          </w:tcPr>
          <w:p w14:paraId="254507D8" w14:textId="77777777" w:rsidR="00FB19C0" w:rsidRPr="00BE78CA" w:rsidRDefault="00FB19C0" w:rsidP="00C26084">
            <w:pPr>
              <w:pStyle w:val="TableText"/>
              <w:spacing w:before="50" w:after="50"/>
              <w:jc w:val="right"/>
              <w:rPr>
                <w:rFonts w:cs="Arial"/>
                <w:szCs w:val="16"/>
              </w:rPr>
            </w:pPr>
            <w:r w:rsidRPr="00BE78CA">
              <w:t>50</w:t>
            </w:r>
          </w:p>
        </w:tc>
        <w:tc>
          <w:tcPr>
            <w:tcW w:w="1869" w:type="dxa"/>
            <w:tcBorders>
              <w:top w:val="single" w:sz="4" w:space="0" w:color="365F91"/>
              <w:left w:val="nil"/>
              <w:bottom w:val="single" w:sz="4" w:space="0" w:color="365F91"/>
              <w:right w:val="nil"/>
            </w:tcBorders>
            <w:hideMark/>
          </w:tcPr>
          <w:p w14:paraId="644AB6CB" w14:textId="77777777" w:rsidR="00FB19C0" w:rsidRPr="00BE78CA" w:rsidRDefault="00FB19C0" w:rsidP="00C26084">
            <w:pPr>
              <w:pStyle w:val="TableText"/>
              <w:spacing w:before="50" w:after="50"/>
              <w:jc w:val="right"/>
              <w:rPr>
                <w:rFonts w:cs="Arial"/>
                <w:szCs w:val="16"/>
              </w:rPr>
            </w:pPr>
            <w:r w:rsidRPr="00BE78CA">
              <w:t>20</w:t>
            </w:r>
          </w:p>
        </w:tc>
      </w:tr>
      <w:tr w:rsidR="00FB19C0" w:rsidRPr="00BE78CA" w14:paraId="7D9DC5BA" w14:textId="77777777" w:rsidTr="0064289B">
        <w:tc>
          <w:tcPr>
            <w:tcW w:w="1701" w:type="dxa"/>
            <w:tcBorders>
              <w:top w:val="single" w:sz="4" w:space="0" w:color="365F91"/>
              <w:left w:val="nil"/>
              <w:bottom w:val="single" w:sz="4" w:space="0" w:color="365F91"/>
              <w:right w:val="nil"/>
            </w:tcBorders>
            <w:hideMark/>
          </w:tcPr>
          <w:p w14:paraId="19BB252A" w14:textId="77777777" w:rsidR="00FB19C0" w:rsidRPr="00BE78CA" w:rsidRDefault="00FB19C0" w:rsidP="00C26084">
            <w:pPr>
              <w:pStyle w:val="TableText"/>
              <w:spacing w:before="50" w:after="50"/>
            </w:pPr>
            <w:r w:rsidRPr="00BE78CA">
              <w:t>Food waste</w:t>
            </w:r>
          </w:p>
        </w:tc>
        <w:tc>
          <w:tcPr>
            <w:tcW w:w="1361" w:type="dxa"/>
            <w:tcBorders>
              <w:top w:val="single" w:sz="4" w:space="0" w:color="365F91"/>
              <w:left w:val="nil"/>
              <w:bottom w:val="single" w:sz="4" w:space="0" w:color="365F91"/>
              <w:right w:val="nil"/>
            </w:tcBorders>
            <w:hideMark/>
          </w:tcPr>
          <w:p w14:paraId="3B8D7248" w14:textId="77777777" w:rsidR="00FB19C0" w:rsidRPr="00BE78CA" w:rsidRDefault="00FB19C0" w:rsidP="00C26084">
            <w:pPr>
              <w:pStyle w:val="TableText"/>
              <w:spacing w:before="50" w:after="50"/>
              <w:jc w:val="right"/>
            </w:pPr>
            <w:r w:rsidRPr="00BE78CA">
              <w:t>15.6</w:t>
            </w:r>
          </w:p>
        </w:tc>
        <w:tc>
          <w:tcPr>
            <w:tcW w:w="1588" w:type="dxa"/>
            <w:tcBorders>
              <w:top w:val="single" w:sz="4" w:space="0" w:color="365F91"/>
              <w:left w:val="nil"/>
              <w:bottom w:val="single" w:sz="4" w:space="0" w:color="365F91"/>
              <w:right w:val="nil"/>
            </w:tcBorders>
            <w:hideMark/>
          </w:tcPr>
          <w:p w14:paraId="3C660C92" w14:textId="77777777" w:rsidR="00FB19C0" w:rsidRPr="00BE78CA" w:rsidRDefault="00FB19C0" w:rsidP="00C26084">
            <w:pPr>
              <w:pStyle w:val="TableText"/>
              <w:spacing w:before="50" w:after="50"/>
              <w:jc w:val="right"/>
              <w:rPr>
                <w:rFonts w:cs="Arial"/>
                <w:szCs w:val="16"/>
              </w:rPr>
            </w:pPr>
            <w:r w:rsidRPr="00BE78CA">
              <w:t>40</w:t>
            </w:r>
          </w:p>
        </w:tc>
        <w:tc>
          <w:tcPr>
            <w:tcW w:w="1644" w:type="dxa"/>
            <w:tcBorders>
              <w:top w:val="single" w:sz="4" w:space="0" w:color="365F91"/>
              <w:left w:val="nil"/>
              <w:bottom w:val="single" w:sz="4" w:space="0" w:color="365F91"/>
              <w:right w:val="nil"/>
            </w:tcBorders>
            <w:hideMark/>
          </w:tcPr>
          <w:p w14:paraId="31FD23C4" w14:textId="77777777" w:rsidR="00FB19C0" w:rsidRPr="00BE78CA" w:rsidRDefault="00FB19C0" w:rsidP="00C26084">
            <w:pPr>
              <w:pStyle w:val="TableText"/>
              <w:spacing w:before="50" w:after="50"/>
              <w:jc w:val="right"/>
              <w:rPr>
                <w:rFonts w:cs="Arial"/>
                <w:szCs w:val="16"/>
              </w:rPr>
            </w:pPr>
            <w:r w:rsidRPr="00BE78CA">
              <w:t>38</w:t>
            </w:r>
          </w:p>
        </w:tc>
        <w:tc>
          <w:tcPr>
            <w:tcW w:w="1869" w:type="dxa"/>
            <w:tcBorders>
              <w:top w:val="single" w:sz="4" w:space="0" w:color="365F91"/>
              <w:left w:val="nil"/>
              <w:bottom w:val="single" w:sz="4" w:space="0" w:color="365F91"/>
              <w:right w:val="nil"/>
            </w:tcBorders>
            <w:hideMark/>
          </w:tcPr>
          <w:p w14:paraId="5751F12A" w14:textId="77777777" w:rsidR="00FB19C0" w:rsidRPr="00BE78CA" w:rsidRDefault="00FB19C0" w:rsidP="00C26084">
            <w:pPr>
              <w:pStyle w:val="TableText"/>
              <w:spacing w:before="50" w:after="50"/>
              <w:jc w:val="right"/>
              <w:rPr>
                <w:rFonts w:cs="Arial"/>
                <w:szCs w:val="16"/>
              </w:rPr>
            </w:pPr>
            <w:r w:rsidRPr="00BE78CA">
              <w:t>0</w:t>
            </w:r>
          </w:p>
        </w:tc>
      </w:tr>
      <w:tr w:rsidR="00FB19C0" w:rsidRPr="00BE78CA" w14:paraId="7B276527" w14:textId="77777777" w:rsidTr="0064289B">
        <w:tc>
          <w:tcPr>
            <w:tcW w:w="1701" w:type="dxa"/>
            <w:tcBorders>
              <w:top w:val="single" w:sz="4" w:space="0" w:color="365F91"/>
              <w:left w:val="nil"/>
              <w:bottom w:val="single" w:sz="4" w:space="0" w:color="365F91"/>
              <w:right w:val="nil"/>
            </w:tcBorders>
            <w:hideMark/>
          </w:tcPr>
          <w:p w14:paraId="28B758DF" w14:textId="77777777" w:rsidR="00FB19C0" w:rsidRPr="00BE78CA" w:rsidRDefault="00FB19C0" w:rsidP="00C26084">
            <w:pPr>
              <w:pStyle w:val="TableText"/>
              <w:spacing w:before="50" w:after="50"/>
              <w:rPr>
                <w:rFonts w:cs="Arial"/>
                <w:szCs w:val="16"/>
              </w:rPr>
            </w:pPr>
            <w:r w:rsidRPr="00BE78CA">
              <w:t>Wood</w:t>
            </w:r>
          </w:p>
        </w:tc>
        <w:tc>
          <w:tcPr>
            <w:tcW w:w="1361" w:type="dxa"/>
            <w:tcBorders>
              <w:top w:val="single" w:sz="4" w:space="0" w:color="365F91"/>
              <w:left w:val="nil"/>
              <w:bottom w:val="single" w:sz="4" w:space="0" w:color="365F91"/>
              <w:right w:val="nil"/>
            </w:tcBorders>
            <w:hideMark/>
          </w:tcPr>
          <w:p w14:paraId="1CD936DC" w14:textId="77777777" w:rsidR="00FB19C0" w:rsidRPr="00BE78CA" w:rsidRDefault="00FB19C0" w:rsidP="00C26084">
            <w:pPr>
              <w:pStyle w:val="TableText"/>
              <w:spacing w:before="50" w:after="50"/>
              <w:jc w:val="right"/>
            </w:pPr>
            <w:r w:rsidRPr="00BE78CA">
              <w:t>40.2</w:t>
            </w:r>
          </w:p>
        </w:tc>
        <w:tc>
          <w:tcPr>
            <w:tcW w:w="1588" w:type="dxa"/>
            <w:tcBorders>
              <w:top w:val="single" w:sz="4" w:space="0" w:color="365F91"/>
              <w:left w:val="nil"/>
              <w:bottom w:val="single" w:sz="4" w:space="0" w:color="365F91"/>
              <w:right w:val="nil"/>
            </w:tcBorders>
            <w:hideMark/>
          </w:tcPr>
          <w:p w14:paraId="541A5336" w14:textId="77777777" w:rsidR="00FB19C0" w:rsidRPr="00BE78CA" w:rsidRDefault="00FB19C0" w:rsidP="00C26084">
            <w:pPr>
              <w:pStyle w:val="TableText"/>
              <w:spacing w:before="50" w:after="50"/>
              <w:jc w:val="right"/>
              <w:rPr>
                <w:rFonts w:cs="Arial"/>
                <w:szCs w:val="16"/>
              </w:rPr>
            </w:pPr>
            <w:r w:rsidRPr="00BE78CA">
              <w:t>85</w:t>
            </w:r>
          </w:p>
        </w:tc>
        <w:tc>
          <w:tcPr>
            <w:tcW w:w="1644" w:type="dxa"/>
            <w:tcBorders>
              <w:top w:val="single" w:sz="4" w:space="0" w:color="365F91"/>
              <w:left w:val="nil"/>
              <w:bottom w:val="single" w:sz="4" w:space="0" w:color="365F91"/>
              <w:right w:val="nil"/>
            </w:tcBorders>
            <w:hideMark/>
          </w:tcPr>
          <w:p w14:paraId="10F72ECA" w14:textId="77777777" w:rsidR="00FB19C0" w:rsidRPr="00BE78CA" w:rsidRDefault="00FB19C0" w:rsidP="00C26084">
            <w:pPr>
              <w:pStyle w:val="TableText"/>
              <w:spacing w:before="50" w:after="50"/>
              <w:jc w:val="right"/>
              <w:rPr>
                <w:rFonts w:cs="Arial"/>
                <w:szCs w:val="16"/>
              </w:rPr>
            </w:pPr>
            <w:r w:rsidRPr="00BE78CA">
              <w:t>50</w:t>
            </w:r>
          </w:p>
        </w:tc>
        <w:tc>
          <w:tcPr>
            <w:tcW w:w="1869" w:type="dxa"/>
            <w:tcBorders>
              <w:top w:val="single" w:sz="4" w:space="0" w:color="365F91"/>
              <w:left w:val="nil"/>
              <w:bottom w:val="single" w:sz="4" w:space="0" w:color="365F91"/>
              <w:right w:val="nil"/>
            </w:tcBorders>
            <w:hideMark/>
          </w:tcPr>
          <w:p w14:paraId="75CAABA2" w14:textId="77777777" w:rsidR="00FB19C0" w:rsidRPr="00BE78CA" w:rsidRDefault="00FB19C0" w:rsidP="00C26084">
            <w:pPr>
              <w:pStyle w:val="TableText"/>
              <w:spacing w:before="50" w:after="50"/>
              <w:jc w:val="right"/>
              <w:rPr>
                <w:rFonts w:cs="Arial"/>
                <w:szCs w:val="16"/>
              </w:rPr>
            </w:pPr>
            <w:r w:rsidRPr="00BE78CA">
              <w:t>0</w:t>
            </w:r>
          </w:p>
        </w:tc>
      </w:tr>
      <w:tr w:rsidR="00FB19C0" w:rsidRPr="00BE78CA" w14:paraId="6CEB7808" w14:textId="77777777" w:rsidTr="0064289B">
        <w:tc>
          <w:tcPr>
            <w:tcW w:w="1701" w:type="dxa"/>
            <w:tcBorders>
              <w:top w:val="single" w:sz="4" w:space="0" w:color="365F91"/>
              <w:left w:val="nil"/>
              <w:bottom w:val="single" w:sz="4" w:space="0" w:color="365F91"/>
              <w:right w:val="nil"/>
            </w:tcBorders>
            <w:hideMark/>
          </w:tcPr>
          <w:p w14:paraId="31607A63" w14:textId="77777777" w:rsidR="00FB19C0" w:rsidRPr="00BE78CA" w:rsidRDefault="00FB19C0" w:rsidP="00C26084">
            <w:pPr>
              <w:pStyle w:val="TableText"/>
              <w:spacing w:before="50" w:after="50"/>
            </w:pPr>
            <w:r w:rsidRPr="00BE78CA">
              <w:t>Garden and park waste</w:t>
            </w:r>
          </w:p>
        </w:tc>
        <w:tc>
          <w:tcPr>
            <w:tcW w:w="1361" w:type="dxa"/>
            <w:tcBorders>
              <w:top w:val="single" w:sz="4" w:space="0" w:color="365F91"/>
              <w:left w:val="nil"/>
              <w:bottom w:val="single" w:sz="4" w:space="0" w:color="365F91"/>
              <w:right w:val="nil"/>
            </w:tcBorders>
            <w:hideMark/>
          </w:tcPr>
          <w:p w14:paraId="5D43ED1F" w14:textId="77777777" w:rsidR="00FB19C0" w:rsidRPr="00BE78CA" w:rsidRDefault="00FB19C0" w:rsidP="00C26084">
            <w:pPr>
              <w:pStyle w:val="TableText"/>
              <w:spacing w:before="50" w:after="50"/>
              <w:jc w:val="right"/>
            </w:pPr>
            <w:r w:rsidRPr="00BE78CA">
              <w:t>NA</w:t>
            </w:r>
          </w:p>
        </w:tc>
        <w:tc>
          <w:tcPr>
            <w:tcW w:w="1588" w:type="dxa"/>
            <w:tcBorders>
              <w:top w:val="single" w:sz="4" w:space="0" w:color="365F91"/>
              <w:left w:val="nil"/>
              <w:bottom w:val="single" w:sz="4" w:space="0" w:color="365F91"/>
              <w:right w:val="nil"/>
            </w:tcBorders>
            <w:hideMark/>
          </w:tcPr>
          <w:p w14:paraId="11ECB134" w14:textId="77777777" w:rsidR="00FB19C0" w:rsidRPr="00BE78CA" w:rsidRDefault="00FB19C0" w:rsidP="00C26084">
            <w:pPr>
              <w:pStyle w:val="TableText"/>
              <w:spacing w:before="50" w:after="50"/>
              <w:jc w:val="right"/>
            </w:pPr>
            <w:r w:rsidRPr="00BE78CA">
              <w:t>40</w:t>
            </w:r>
          </w:p>
        </w:tc>
        <w:tc>
          <w:tcPr>
            <w:tcW w:w="1644" w:type="dxa"/>
            <w:tcBorders>
              <w:top w:val="single" w:sz="4" w:space="0" w:color="365F91"/>
              <w:left w:val="nil"/>
              <w:bottom w:val="single" w:sz="4" w:space="0" w:color="365F91"/>
              <w:right w:val="nil"/>
            </w:tcBorders>
            <w:hideMark/>
          </w:tcPr>
          <w:p w14:paraId="4056E3CB" w14:textId="77777777" w:rsidR="00FB19C0" w:rsidRPr="00BE78CA" w:rsidRDefault="00FB19C0" w:rsidP="00C26084">
            <w:pPr>
              <w:pStyle w:val="TableText"/>
              <w:spacing w:before="50" w:after="50"/>
              <w:jc w:val="right"/>
            </w:pPr>
            <w:r w:rsidRPr="00BE78CA">
              <w:t>49</w:t>
            </w:r>
          </w:p>
        </w:tc>
        <w:tc>
          <w:tcPr>
            <w:tcW w:w="1869" w:type="dxa"/>
            <w:tcBorders>
              <w:top w:val="single" w:sz="4" w:space="0" w:color="365F91"/>
              <w:left w:val="nil"/>
              <w:bottom w:val="single" w:sz="4" w:space="0" w:color="365F91"/>
              <w:right w:val="nil"/>
            </w:tcBorders>
            <w:hideMark/>
          </w:tcPr>
          <w:p w14:paraId="606DBCA9" w14:textId="77777777" w:rsidR="00FB19C0" w:rsidRPr="00BE78CA" w:rsidRDefault="00FB19C0" w:rsidP="00C26084">
            <w:pPr>
              <w:pStyle w:val="TableText"/>
              <w:spacing w:before="50" w:after="50"/>
              <w:jc w:val="right"/>
            </w:pPr>
            <w:r w:rsidRPr="00BE78CA">
              <w:t>0</w:t>
            </w:r>
          </w:p>
        </w:tc>
      </w:tr>
      <w:tr w:rsidR="00FB19C0" w:rsidRPr="00BE78CA" w14:paraId="2603FF07" w14:textId="77777777" w:rsidTr="0064289B">
        <w:tc>
          <w:tcPr>
            <w:tcW w:w="1701" w:type="dxa"/>
            <w:tcBorders>
              <w:top w:val="single" w:sz="4" w:space="0" w:color="365F91"/>
              <w:left w:val="nil"/>
              <w:bottom w:val="single" w:sz="4" w:space="0" w:color="365F91"/>
              <w:right w:val="nil"/>
            </w:tcBorders>
            <w:hideMark/>
          </w:tcPr>
          <w:p w14:paraId="2068C68A" w14:textId="77777777" w:rsidR="00FB19C0" w:rsidRPr="00BE78CA" w:rsidRDefault="00FB19C0" w:rsidP="00C26084">
            <w:pPr>
              <w:pStyle w:val="TableText"/>
              <w:spacing w:before="50" w:after="50"/>
            </w:pPr>
            <w:r w:rsidRPr="00BE78CA">
              <w:t>Nappies</w:t>
            </w:r>
          </w:p>
        </w:tc>
        <w:tc>
          <w:tcPr>
            <w:tcW w:w="1361" w:type="dxa"/>
            <w:tcBorders>
              <w:top w:val="single" w:sz="4" w:space="0" w:color="365F91"/>
              <w:left w:val="nil"/>
              <w:bottom w:val="single" w:sz="4" w:space="0" w:color="365F91"/>
              <w:right w:val="nil"/>
            </w:tcBorders>
            <w:hideMark/>
          </w:tcPr>
          <w:p w14:paraId="6E956AE1" w14:textId="77777777" w:rsidR="00FB19C0" w:rsidRPr="00BE78CA" w:rsidRDefault="00FB19C0" w:rsidP="00C26084">
            <w:pPr>
              <w:pStyle w:val="TableText"/>
              <w:spacing w:before="50" w:after="50"/>
              <w:jc w:val="right"/>
            </w:pPr>
            <w:r w:rsidRPr="00BE78CA">
              <w:t>NA</w:t>
            </w:r>
          </w:p>
        </w:tc>
        <w:tc>
          <w:tcPr>
            <w:tcW w:w="1588" w:type="dxa"/>
            <w:tcBorders>
              <w:top w:val="single" w:sz="4" w:space="0" w:color="365F91"/>
              <w:left w:val="nil"/>
              <w:bottom w:val="single" w:sz="4" w:space="0" w:color="365F91"/>
              <w:right w:val="nil"/>
            </w:tcBorders>
            <w:hideMark/>
          </w:tcPr>
          <w:p w14:paraId="75323644" w14:textId="77777777" w:rsidR="00FB19C0" w:rsidRPr="00BE78CA" w:rsidRDefault="00FB19C0" w:rsidP="00C26084">
            <w:pPr>
              <w:pStyle w:val="TableText"/>
              <w:spacing w:before="50" w:after="50"/>
              <w:jc w:val="right"/>
            </w:pPr>
            <w:r w:rsidRPr="00BE78CA">
              <w:t>40</w:t>
            </w:r>
          </w:p>
        </w:tc>
        <w:tc>
          <w:tcPr>
            <w:tcW w:w="1644" w:type="dxa"/>
            <w:tcBorders>
              <w:top w:val="single" w:sz="4" w:space="0" w:color="365F91"/>
              <w:left w:val="nil"/>
              <w:bottom w:val="single" w:sz="4" w:space="0" w:color="365F91"/>
              <w:right w:val="nil"/>
            </w:tcBorders>
            <w:hideMark/>
          </w:tcPr>
          <w:p w14:paraId="2258CAB6" w14:textId="77777777" w:rsidR="00FB19C0" w:rsidRPr="00BE78CA" w:rsidRDefault="00FB19C0" w:rsidP="00C26084">
            <w:pPr>
              <w:pStyle w:val="TableText"/>
              <w:spacing w:before="50" w:after="50"/>
              <w:jc w:val="right"/>
            </w:pPr>
            <w:r w:rsidRPr="00BE78CA">
              <w:t>70</w:t>
            </w:r>
          </w:p>
        </w:tc>
        <w:tc>
          <w:tcPr>
            <w:tcW w:w="1869" w:type="dxa"/>
            <w:tcBorders>
              <w:top w:val="single" w:sz="4" w:space="0" w:color="365F91"/>
              <w:left w:val="nil"/>
              <w:bottom w:val="single" w:sz="4" w:space="0" w:color="365F91"/>
              <w:right w:val="nil"/>
            </w:tcBorders>
            <w:hideMark/>
          </w:tcPr>
          <w:p w14:paraId="43657345" w14:textId="77777777" w:rsidR="00FB19C0" w:rsidRPr="00BE78CA" w:rsidRDefault="00FB19C0" w:rsidP="00C26084">
            <w:pPr>
              <w:pStyle w:val="TableText"/>
              <w:spacing w:before="50" w:after="50"/>
              <w:jc w:val="right"/>
            </w:pPr>
            <w:r w:rsidRPr="00BE78CA">
              <w:t>10</w:t>
            </w:r>
          </w:p>
        </w:tc>
      </w:tr>
      <w:tr w:rsidR="00FB19C0" w:rsidRPr="00BE78CA" w14:paraId="248697CC" w14:textId="77777777" w:rsidTr="0064289B">
        <w:tc>
          <w:tcPr>
            <w:tcW w:w="1701" w:type="dxa"/>
            <w:tcBorders>
              <w:top w:val="single" w:sz="4" w:space="0" w:color="365F91"/>
              <w:left w:val="nil"/>
              <w:bottom w:val="single" w:sz="4" w:space="0" w:color="365F91"/>
              <w:right w:val="nil"/>
            </w:tcBorders>
            <w:hideMark/>
          </w:tcPr>
          <w:p w14:paraId="025B64AC" w14:textId="77777777" w:rsidR="00FB19C0" w:rsidRPr="00BE78CA" w:rsidRDefault="00FB19C0" w:rsidP="00C26084">
            <w:pPr>
              <w:pStyle w:val="TableText"/>
              <w:spacing w:before="50" w:after="50"/>
            </w:pPr>
            <w:r w:rsidRPr="00BE78CA">
              <w:t>Rubber and leather</w:t>
            </w:r>
          </w:p>
        </w:tc>
        <w:tc>
          <w:tcPr>
            <w:tcW w:w="1361" w:type="dxa"/>
            <w:tcBorders>
              <w:top w:val="single" w:sz="4" w:space="0" w:color="365F91"/>
              <w:left w:val="nil"/>
              <w:bottom w:val="single" w:sz="4" w:space="0" w:color="365F91"/>
              <w:right w:val="nil"/>
            </w:tcBorders>
            <w:hideMark/>
          </w:tcPr>
          <w:p w14:paraId="0731C5A6" w14:textId="77777777" w:rsidR="00FB19C0" w:rsidRPr="00BE78CA" w:rsidRDefault="00FB19C0" w:rsidP="00C26084">
            <w:pPr>
              <w:pStyle w:val="TableText"/>
              <w:spacing w:before="50" w:after="50"/>
              <w:jc w:val="right"/>
            </w:pPr>
            <w:r w:rsidRPr="00BE78CA">
              <w:t>0.3</w:t>
            </w:r>
          </w:p>
        </w:tc>
        <w:tc>
          <w:tcPr>
            <w:tcW w:w="1588" w:type="dxa"/>
            <w:tcBorders>
              <w:top w:val="single" w:sz="4" w:space="0" w:color="365F91"/>
              <w:left w:val="nil"/>
              <w:bottom w:val="single" w:sz="4" w:space="0" w:color="365F91"/>
              <w:right w:val="nil"/>
            </w:tcBorders>
            <w:hideMark/>
          </w:tcPr>
          <w:p w14:paraId="1B781666" w14:textId="77777777" w:rsidR="00FB19C0" w:rsidRPr="00BE78CA" w:rsidRDefault="00FB19C0" w:rsidP="00C26084">
            <w:pPr>
              <w:pStyle w:val="TableText"/>
              <w:spacing w:before="50" w:after="50"/>
              <w:jc w:val="right"/>
            </w:pPr>
            <w:r w:rsidRPr="00BE78CA">
              <w:t>84</w:t>
            </w:r>
          </w:p>
        </w:tc>
        <w:tc>
          <w:tcPr>
            <w:tcW w:w="1644" w:type="dxa"/>
            <w:tcBorders>
              <w:top w:val="single" w:sz="4" w:space="0" w:color="365F91"/>
              <w:left w:val="nil"/>
              <w:bottom w:val="single" w:sz="4" w:space="0" w:color="365F91"/>
              <w:right w:val="nil"/>
            </w:tcBorders>
            <w:hideMark/>
          </w:tcPr>
          <w:p w14:paraId="69000E26" w14:textId="77777777" w:rsidR="00FB19C0" w:rsidRPr="00BE78CA" w:rsidRDefault="00FB19C0" w:rsidP="00C26084">
            <w:pPr>
              <w:pStyle w:val="TableText"/>
              <w:spacing w:before="50" w:after="50"/>
              <w:jc w:val="right"/>
            </w:pPr>
            <w:r w:rsidRPr="00BE78CA">
              <w:t>67</w:t>
            </w:r>
          </w:p>
        </w:tc>
        <w:tc>
          <w:tcPr>
            <w:tcW w:w="1869" w:type="dxa"/>
            <w:tcBorders>
              <w:top w:val="single" w:sz="4" w:space="0" w:color="365F91"/>
              <w:left w:val="nil"/>
              <w:bottom w:val="single" w:sz="4" w:space="0" w:color="365F91"/>
              <w:right w:val="nil"/>
            </w:tcBorders>
            <w:hideMark/>
          </w:tcPr>
          <w:p w14:paraId="422BC738" w14:textId="77777777" w:rsidR="00FB19C0" w:rsidRPr="00BE78CA" w:rsidRDefault="00FB19C0" w:rsidP="00C26084">
            <w:pPr>
              <w:pStyle w:val="TableText"/>
              <w:spacing w:before="50" w:after="50"/>
              <w:jc w:val="right"/>
            </w:pPr>
            <w:r w:rsidRPr="00BE78CA">
              <w:t>20</w:t>
            </w:r>
          </w:p>
        </w:tc>
      </w:tr>
      <w:tr w:rsidR="00FB19C0" w:rsidRPr="00BE78CA" w14:paraId="06ABBBB3" w14:textId="77777777" w:rsidTr="0064289B">
        <w:tc>
          <w:tcPr>
            <w:tcW w:w="1701" w:type="dxa"/>
            <w:tcBorders>
              <w:top w:val="single" w:sz="4" w:space="0" w:color="365F91"/>
              <w:left w:val="nil"/>
              <w:bottom w:val="single" w:sz="4" w:space="0" w:color="365F91"/>
              <w:right w:val="nil"/>
            </w:tcBorders>
            <w:hideMark/>
          </w:tcPr>
          <w:p w14:paraId="5A7A2887" w14:textId="77777777" w:rsidR="00FB19C0" w:rsidRPr="00BE78CA" w:rsidRDefault="00FB19C0" w:rsidP="00C26084">
            <w:pPr>
              <w:pStyle w:val="TableText"/>
              <w:spacing w:before="50" w:after="50"/>
            </w:pPr>
            <w:r w:rsidRPr="00BE78CA">
              <w:t>Plastics</w:t>
            </w:r>
          </w:p>
        </w:tc>
        <w:tc>
          <w:tcPr>
            <w:tcW w:w="1361" w:type="dxa"/>
            <w:tcBorders>
              <w:top w:val="single" w:sz="4" w:space="0" w:color="365F91"/>
              <w:left w:val="nil"/>
              <w:bottom w:val="single" w:sz="4" w:space="0" w:color="365F91"/>
              <w:right w:val="nil"/>
            </w:tcBorders>
            <w:hideMark/>
          </w:tcPr>
          <w:p w14:paraId="1B719E75" w14:textId="77777777" w:rsidR="00FB19C0" w:rsidRPr="00BE78CA" w:rsidRDefault="00FB19C0" w:rsidP="00C26084">
            <w:pPr>
              <w:pStyle w:val="TableText"/>
              <w:spacing w:before="50" w:after="50"/>
              <w:jc w:val="right"/>
            </w:pPr>
            <w:r w:rsidRPr="00BE78CA">
              <w:t>10.9</w:t>
            </w:r>
          </w:p>
        </w:tc>
        <w:tc>
          <w:tcPr>
            <w:tcW w:w="1588" w:type="dxa"/>
            <w:tcBorders>
              <w:top w:val="single" w:sz="4" w:space="0" w:color="365F91"/>
              <w:left w:val="nil"/>
              <w:bottom w:val="single" w:sz="4" w:space="0" w:color="365F91"/>
              <w:right w:val="nil"/>
            </w:tcBorders>
            <w:hideMark/>
          </w:tcPr>
          <w:p w14:paraId="70D8B90E" w14:textId="77777777" w:rsidR="00FB19C0" w:rsidRPr="00BE78CA" w:rsidRDefault="00FB19C0" w:rsidP="00C26084">
            <w:pPr>
              <w:pStyle w:val="TableText"/>
              <w:spacing w:before="50" w:after="50"/>
              <w:jc w:val="right"/>
            </w:pPr>
            <w:r w:rsidRPr="00BE78CA">
              <w:t>100</w:t>
            </w:r>
          </w:p>
        </w:tc>
        <w:tc>
          <w:tcPr>
            <w:tcW w:w="1644" w:type="dxa"/>
            <w:tcBorders>
              <w:top w:val="single" w:sz="4" w:space="0" w:color="365F91"/>
              <w:left w:val="nil"/>
              <w:bottom w:val="single" w:sz="4" w:space="0" w:color="365F91"/>
              <w:right w:val="nil"/>
            </w:tcBorders>
            <w:hideMark/>
          </w:tcPr>
          <w:p w14:paraId="45404406" w14:textId="77777777" w:rsidR="00FB19C0" w:rsidRPr="00BE78CA" w:rsidRDefault="00FB19C0" w:rsidP="00C26084">
            <w:pPr>
              <w:pStyle w:val="TableText"/>
              <w:spacing w:before="50" w:after="50"/>
              <w:jc w:val="right"/>
            </w:pPr>
            <w:r w:rsidRPr="00BE78CA">
              <w:t>75</w:t>
            </w:r>
          </w:p>
        </w:tc>
        <w:tc>
          <w:tcPr>
            <w:tcW w:w="1869" w:type="dxa"/>
            <w:tcBorders>
              <w:top w:val="single" w:sz="4" w:space="0" w:color="365F91"/>
              <w:left w:val="nil"/>
              <w:bottom w:val="single" w:sz="4" w:space="0" w:color="365F91"/>
              <w:right w:val="nil"/>
            </w:tcBorders>
            <w:hideMark/>
          </w:tcPr>
          <w:p w14:paraId="4D7E706C" w14:textId="77777777" w:rsidR="00FB19C0" w:rsidRPr="00BE78CA" w:rsidRDefault="00FB19C0" w:rsidP="00C26084">
            <w:pPr>
              <w:pStyle w:val="TableText"/>
              <w:spacing w:before="50" w:after="50"/>
              <w:jc w:val="right"/>
            </w:pPr>
            <w:r w:rsidRPr="00BE78CA">
              <w:t>100</w:t>
            </w:r>
          </w:p>
        </w:tc>
      </w:tr>
      <w:tr w:rsidR="00FB19C0" w:rsidRPr="00BE78CA" w14:paraId="77ACE77F" w14:textId="77777777" w:rsidTr="0064289B">
        <w:tc>
          <w:tcPr>
            <w:tcW w:w="1701" w:type="dxa"/>
            <w:tcBorders>
              <w:top w:val="single" w:sz="4" w:space="0" w:color="365F91"/>
              <w:left w:val="nil"/>
              <w:bottom w:val="single" w:sz="4" w:space="0" w:color="365F91"/>
              <w:right w:val="nil"/>
            </w:tcBorders>
            <w:hideMark/>
          </w:tcPr>
          <w:p w14:paraId="054C7B0D" w14:textId="77777777" w:rsidR="00FB19C0" w:rsidRPr="00BE78CA" w:rsidRDefault="00FB19C0" w:rsidP="00C26084">
            <w:pPr>
              <w:pStyle w:val="TableText"/>
              <w:spacing w:before="50" w:after="50"/>
            </w:pPr>
            <w:r w:rsidRPr="00BE78CA">
              <w:t>Metal</w:t>
            </w:r>
          </w:p>
        </w:tc>
        <w:tc>
          <w:tcPr>
            <w:tcW w:w="1361" w:type="dxa"/>
            <w:tcBorders>
              <w:top w:val="single" w:sz="4" w:space="0" w:color="365F91"/>
              <w:left w:val="nil"/>
              <w:bottom w:val="single" w:sz="4" w:space="0" w:color="365F91"/>
              <w:right w:val="nil"/>
            </w:tcBorders>
            <w:hideMark/>
          </w:tcPr>
          <w:p w14:paraId="62195DF7" w14:textId="77777777" w:rsidR="00FB19C0" w:rsidRPr="00BE78CA" w:rsidRDefault="00FB19C0" w:rsidP="00C26084">
            <w:pPr>
              <w:pStyle w:val="TableText"/>
              <w:spacing w:before="50" w:after="50"/>
              <w:jc w:val="right"/>
            </w:pPr>
            <w:r w:rsidRPr="00BE78CA">
              <w:t>2.5</w:t>
            </w:r>
          </w:p>
        </w:tc>
        <w:tc>
          <w:tcPr>
            <w:tcW w:w="1588" w:type="dxa"/>
            <w:tcBorders>
              <w:top w:val="single" w:sz="4" w:space="0" w:color="365F91"/>
              <w:left w:val="nil"/>
              <w:bottom w:val="single" w:sz="4" w:space="0" w:color="365F91"/>
              <w:right w:val="nil"/>
            </w:tcBorders>
            <w:hideMark/>
          </w:tcPr>
          <w:p w14:paraId="0236A812" w14:textId="77777777" w:rsidR="00FB19C0" w:rsidRPr="00BE78CA" w:rsidRDefault="00FB19C0" w:rsidP="00C26084">
            <w:pPr>
              <w:pStyle w:val="TableText"/>
              <w:spacing w:before="50" w:after="50"/>
              <w:jc w:val="right"/>
            </w:pPr>
            <w:r w:rsidRPr="00BE78CA">
              <w:t>100</w:t>
            </w:r>
          </w:p>
        </w:tc>
        <w:tc>
          <w:tcPr>
            <w:tcW w:w="1644" w:type="dxa"/>
            <w:tcBorders>
              <w:top w:val="single" w:sz="4" w:space="0" w:color="365F91"/>
              <w:left w:val="nil"/>
              <w:bottom w:val="single" w:sz="4" w:space="0" w:color="365F91"/>
              <w:right w:val="nil"/>
            </w:tcBorders>
            <w:hideMark/>
          </w:tcPr>
          <w:p w14:paraId="05DA7E21" w14:textId="77777777" w:rsidR="00FB19C0" w:rsidRPr="00BE78CA" w:rsidRDefault="00FB19C0" w:rsidP="00C26084">
            <w:pPr>
              <w:pStyle w:val="TableText"/>
              <w:spacing w:before="50" w:after="50"/>
              <w:jc w:val="right"/>
            </w:pPr>
            <w:r w:rsidRPr="00BE78CA">
              <w:t>–</w:t>
            </w:r>
          </w:p>
        </w:tc>
        <w:tc>
          <w:tcPr>
            <w:tcW w:w="1869" w:type="dxa"/>
            <w:tcBorders>
              <w:top w:val="single" w:sz="4" w:space="0" w:color="365F91"/>
              <w:left w:val="nil"/>
              <w:bottom w:val="single" w:sz="4" w:space="0" w:color="365F91"/>
              <w:right w:val="nil"/>
            </w:tcBorders>
            <w:hideMark/>
          </w:tcPr>
          <w:p w14:paraId="2A256553" w14:textId="77777777" w:rsidR="00FB19C0" w:rsidRPr="00BE78CA" w:rsidRDefault="00FB19C0" w:rsidP="00C26084">
            <w:pPr>
              <w:pStyle w:val="TableText"/>
              <w:spacing w:before="50" w:after="50"/>
              <w:jc w:val="right"/>
            </w:pPr>
            <w:r w:rsidRPr="00BE78CA">
              <w:t>–</w:t>
            </w:r>
          </w:p>
        </w:tc>
      </w:tr>
      <w:tr w:rsidR="00FB19C0" w:rsidRPr="00BE78CA" w14:paraId="1827163D" w14:textId="77777777" w:rsidTr="0064289B">
        <w:tc>
          <w:tcPr>
            <w:tcW w:w="1701" w:type="dxa"/>
            <w:tcBorders>
              <w:top w:val="single" w:sz="4" w:space="0" w:color="365F91"/>
              <w:left w:val="nil"/>
              <w:bottom w:val="single" w:sz="4" w:space="0" w:color="365F91"/>
              <w:right w:val="nil"/>
            </w:tcBorders>
            <w:hideMark/>
          </w:tcPr>
          <w:p w14:paraId="3F39F999" w14:textId="77777777" w:rsidR="00FB19C0" w:rsidRPr="00BE78CA" w:rsidRDefault="00FB19C0" w:rsidP="00C26084">
            <w:pPr>
              <w:pStyle w:val="TableText"/>
              <w:spacing w:before="50" w:after="50"/>
            </w:pPr>
            <w:r w:rsidRPr="00BE78CA">
              <w:t>Glass</w:t>
            </w:r>
          </w:p>
        </w:tc>
        <w:tc>
          <w:tcPr>
            <w:tcW w:w="1361" w:type="dxa"/>
            <w:tcBorders>
              <w:top w:val="single" w:sz="4" w:space="0" w:color="365F91"/>
              <w:left w:val="nil"/>
              <w:bottom w:val="single" w:sz="4" w:space="0" w:color="365F91"/>
              <w:right w:val="nil"/>
            </w:tcBorders>
            <w:hideMark/>
          </w:tcPr>
          <w:p w14:paraId="2E292798" w14:textId="77777777" w:rsidR="00FB19C0" w:rsidRPr="00BE78CA" w:rsidRDefault="00FB19C0" w:rsidP="00C26084">
            <w:pPr>
              <w:pStyle w:val="TableText"/>
              <w:spacing w:before="50" w:after="50"/>
              <w:jc w:val="right"/>
            </w:pPr>
            <w:r w:rsidRPr="00BE78CA">
              <w:t>0.4</w:t>
            </w:r>
          </w:p>
        </w:tc>
        <w:tc>
          <w:tcPr>
            <w:tcW w:w="1588" w:type="dxa"/>
            <w:tcBorders>
              <w:top w:val="single" w:sz="4" w:space="0" w:color="365F91"/>
              <w:left w:val="nil"/>
              <w:bottom w:val="single" w:sz="4" w:space="0" w:color="365F91"/>
              <w:right w:val="nil"/>
            </w:tcBorders>
            <w:hideMark/>
          </w:tcPr>
          <w:p w14:paraId="7BE0B0DB" w14:textId="77777777" w:rsidR="00FB19C0" w:rsidRPr="00BE78CA" w:rsidRDefault="00FB19C0" w:rsidP="00C26084">
            <w:pPr>
              <w:pStyle w:val="TableText"/>
              <w:spacing w:before="50" w:after="50"/>
              <w:jc w:val="right"/>
            </w:pPr>
            <w:r w:rsidRPr="00BE78CA">
              <w:t>100</w:t>
            </w:r>
          </w:p>
        </w:tc>
        <w:tc>
          <w:tcPr>
            <w:tcW w:w="1644" w:type="dxa"/>
            <w:tcBorders>
              <w:top w:val="single" w:sz="4" w:space="0" w:color="365F91"/>
              <w:left w:val="nil"/>
              <w:bottom w:val="single" w:sz="4" w:space="0" w:color="365F91"/>
              <w:right w:val="nil"/>
            </w:tcBorders>
            <w:hideMark/>
          </w:tcPr>
          <w:p w14:paraId="75EDBC10" w14:textId="77777777" w:rsidR="00FB19C0" w:rsidRPr="00BE78CA" w:rsidRDefault="00FB19C0" w:rsidP="00C26084">
            <w:pPr>
              <w:pStyle w:val="TableText"/>
              <w:spacing w:before="50" w:after="50"/>
              <w:jc w:val="right"/>
            </w:pPr>
            <w:r w:rsidRPr="00BE78CA">
              <w:t>–</w:t>
            </w:r>
          </w:p>
        </w:tc>
        <w:tc>
          <w:tcPr>
            <w:tcW w:w="1869" w:type="dxa"/>
            <w:tcBorders>
              <w:top w:val="single" w:sz="4" w:space="0" w:color="365F91"/>
              <w:left w:val="nil"/>
              <w:bottom w:val="single" w:sz="4" w:space="0" w:color="365F91"/>
              <w:right w:val="nil"/>
            </w:tcBorders>
            <w:hideMark/>
          </w:tcPr>
          <w:p w14:paraId="3C54B16A" w14:textId="77777777" w:rsidR="00FB19C0" w:rsidRPr="00BE78CA" w:rsidRDefault="00FB19C0" w:rsidP="00C26084">
            <w:pPr>
              <w:pStyle w:val="TableText"/>
              <w:spacing w:before="50" w:after="50"/>
              <w:jc w:val="right"/>
            </w:pPr>
            <w:r w:rsidRPr="00BE78CA">
              <w:t>–</w:t>
            </w:r>
          </w:p>
        </w:tc>
      </w:tr>
      <w:tr w:rsidR="00FB19C0" w:rsidRPr="00BE78CA" w14:paraId="38695C81" w14:textId="77777777" w:rsidTr="0064289B">
        <w:tc>
          <w:tcPr>
            <w:tcW w:w="1701" w:type="dxa"/>
            <w:tcBorders>
              <w:top w:val="single" w:sz="4" w:space="0" w:color="365F91"/>
              <w:left w:val="nil"/>
              <w:bottom w:val="single" w:sz="4" w:space="0" w:color="365F91"/>
              <w:right w:val="nil"/>
            </w:tcBorders>
            <w:hideMark/>
          </w:tcPr>
          <w:p w14:paraId="2E8CD6C3" w14:textId="77777777" w:rsidR="00FB19C0" w:rsidRPr="00BE78CA" w:rsidRDefault="00FB19C0" w:rsidP="00C26084">
            <w:pPr>
              <w:pStyle w:val="TableText"/>
              <w:spacing w:before="50" w:after="50"/>
            </w:pPr>
            <w:r w:rsidRPr="00BE78CA">
              <w:t>Other, inert</w:t>
            </w:r>
          </w:p>
        </w:tc>
        <w:tc>
          <w:tcPr>
            <w:tcW w:w="1361" w:type="dxa"/>
            <w:tcBorders>
              <w:top w:val="single" w:sz="4" w:space="0" w:color="365F91"/>
              <w:left w:val="nil"/>
              <w:bottom w:val="single" w:sz="4" w:space="0" w:color="365F91"/>
              <w:right w:val="nil"/>
            </w:tcBorders>
            <w:hideMark/>
          </w:tcPr>
          <w:p w14:paraId="6C17BDF2" w14:textId="77777777" w:rsidR="00FB19C0" w:rsidRPr="00BE78CA" w:rsidRDefault="00FB19C0" w:rsidP="00C26084">
            <w:pPr>
              <w:pStyle w:val="TableText"/>
              <w:spacing w:before="50" w:after="50"/>
              <w:jc w:val="right"/>
            </w:pPr>
            <w:r w:rsidRPr="00BE78CA">
              <w:t>9.6</w:t>
            </w:r>
          </w:p>
        </w:tc>
        <w:tc>
          <w:tcPr>
            <w:tcW w:w="1588" w:type="dxa"/>
            <w:tcBorders>
              <w:top w:val="single" w:sz="4" w:space="0" w:color="365F91"/>
              <w:left w:val="nil"/>
              <w:bottom w:val="single" w:sz="4" w:space="0" w:color="365F91"/>
              <w:right w:val="nil"/>
            </w:tcBorders>
            <w:hideMark/>
          </w:tcPr>
          <w:p w14:paraId="65DED536" w14:textId="77777777" w:rsidR="00FB19C0" w:rsidRPr="00BE78CA" w:rsidRDefault="00FB19C0" w:rsidP="00C26084">
            <w:pPr>
              <w:pStyle w:val="TableText"/>
              <w:spacing w:before="50" w:after="50"/>
              <w:jc w:val="right"/>
            </w:pPr>
            <w:r w:rsidRPr="00BE78CA">
              <w:t>90</w:t>
            </w:r>
          </w:p>
        </w:tc>
        <w:tc>
          <w:tcPr>
            <w:tcW w:w="1644" w:type="dxa"/>
            <w:tcBorders>
              <w:top w:val="single" w:sz="4" w:space="0" w:color="365F91"/>
              <w:left w:val="nil"/>
              <w:bottom w:val="single" w:sz="4" w:space="0" w:color="365F91"/>
              <w:right w:val="nil"/>
            </w:tcBorders>
            <w:hideMark/>
          </w:tcPr>
          <w:p w14:paraId="30A672D4" w14:textId="77777777" w:rsidR="00FB19C0" w:rsidRPr="00BE78CA" w:rsidRDefault="00FB19C0" w:rsidP="00C26084">
            <w:pPr>
              <w:pStyle w:val="TableText"/>
              <w:spacing w:before="50" w:after="50"/>
              <w:jc w:val="right"/>
            </w:pPr>
            <w:r w:rsidRPr="00BE78CA">
              <w:t>3</w:t>
            </w:r>
          </w:p>
        </w:tc>
        <w:tc>
          <w:tcPr>
            <w:tcW w:w="1869" w:type="dxa"/>
            <w:tcBorders>
              <w:top w:val="single" w:sz="4" w:space="0" w:color="365F91"/>
              <w:left w:val="nil"/>
              <w:bottom w:val="single" w:sz="4" w:space="0" w:color="365F91"/>
              <w:right w:val="nil"/>
            </w:tcBorders>
            <w:hideMark/>
          </w:tcPr>
          <w:p w14:paraId="7C8FEC4E" w14:textId="77777777" w:rsidR="00FB19C0" w:rsidRPr="00BE78CA" w:rsidRDefault="00FB19C0" w:rsidP="00C26084">
            <w:pPr>
              <w:pStyle w:val="TableText"/>
              <w:spacing w:before="50" w:after="50"/>
              <w:jc w:val="right"/>
            </w:pPr>
            <w:r w:rsidRPr="00BE78CA">
              <w:t>100</w:t>
            </w:r>
          </w:p>
        </w:tc>
      </w:tr>
      <w:tr w:rsidR="00FB19C0" w:rsidRPr="00BE78CA" w14:paraId="0554CD78" w14:textId="77777777" w:rsidTr="0064289B">
        <w:tc>
          <w:tcPr>
            <w:tcW w:w="1701" w:type="dxa"/>
            <w:tcBorders>
              <w:top w:val="single" w:sz="4" w:space="0" w:color="365F91"/>
              <w:left w:val="nil"/>
              <w:bottom w:val="single" w:sz="4" w:space="0" w:color="365F91"/>
              <w:right w:val="nil"/>
            </w:tcBorders>
            <w:hideMark/>
          </w:tcPr>
          <w:p w14:paraId="3D0E978E" w14:textId="77777777" w:rsidR="00FB19C0" w:rsidRPr="00BE78CA" w:rsidRDefault="00FB19C0" w:rsidP="00C26084">
            <w:pPr>
              <w:pStyle w:val="TableText"/>
              <w:spacing w:before="50" w:after="50"/>
              <w:rPr>
                <w:b/>
              </w:rPr>
            </w:pPr>
            <w:r w:rsidRPr="00BE78CA">
              <w:rPr>
                <w:b/>
              </w:rPr>
              <w:t>Weighted average</w:t>
            </w:r>
          </w:p>
        </w:tc>
        <w:tc>
          <w:tcPr>
            <w:tcW w:w="1361" w:type="dxa"/>
            <w:tcBorders>
              <w:top w:val="single" w:sz="4" w:space="0" w:color="365F91"/>
              <w:left w:val="nil"/>
              <w:bottom w:val="single" w:sz="4" w:space="0" w:color="365F91"/>
              <w:right w:val="nil"/>
            </w:tcBorders>
            <w:hideMark/>
          </w:tcPr>
          <w:p w14:paraId="73D9027E" w14:textId="77777777" w:rsidR="00FB19C0" w:rsidRPr="00BE78CA" w:rsidRDefault="00FB19C0" w:rsidP="00C26084">
            <w:pPr>
              <w:pStyle w:val="TableText"/>
              <w:spacing w:before="50" w:after="50"/>
              <w:jc w:val="right"/>
              <w:rPr>
                <w:b/>
              </w:rPr>
            </w:pPr>
            <w:r w:rsidRPr="00BE78CA">
              <w:rPr>
                <w:b/>
              </w:rPr>
              <w:t>–</w:t>
            </w:r>
          </w:p>
        </w:tc>
        <w:tc>
          <w:tcPr>
            <w:tcW w:w="1588" w:type="dxa"/>
            <w:tcBorders>
              <w:top w:val="single" w:sz="4" w:space="0" w:color="365F91"/>
              <w:left w:val="nil"/>
              <w:bottom w:val="single" w:sz="4" w:space="0" w:color="365F91"/>
              <w:right w:val="nil"/>
            </w:tcBorders>
            <w:hideMark/>
          </w:tcPr>
          <w:p w14:paraId="674188CB" w14:textId="77777777" w:rsidR="00FB19C0" w:rsidRPr="00BE78CA" w:rsidRDefault="00FB19C0" w:rsidP="00C26084">
            <w:pPr>
              <w:pStyle w:val="TableText"/>
              <w:spacing w:before="50" w:after="50"/>
              <w:jc w:val="right"/>
              <w:rPr>
                <w:b/>
              </w:rPr>
            </w:pPr>
            <w:r w:rsidRPr="00BE78CA">
              <w:rPr>
                <w:b/>
              </w:rPr>
              <w:t>79.6</w:t>
            </w:r>
          </w:p>
        </w:tc>
        <w:tc>
          <w:tcPr>
            <w:tcW w:w="1644" w:type="dxa"/>
            <w:tcBorders>
              <w:top w:val="single" w:sz="4" w:space="0" w:color="365F91"/>
              <w:left w:val="nil"/>
              <w:bottom w:val="single" w:sz="4" w:space="0" w:color="365F91"/>
              <w:right w:val="nil"/>
            </w:tcBorders>
            <w:hideMark/>
          </w:tcPr>
          <w:p w14:paraId="5829B8AC" w14:textId="77777777" w:rsidR="00FB19C0" w:rsidRPr="00BE78CA" w:rsidRDefault="00FB19C0" w:rsidP="00C26084">
            <w:pPr>
              <w:pStyle w:val="TableText"/>
              <w:spacing w:before="50" w:after="50"/>
              <w:jc w:val="right"/>
              <w:rPr>
                <w:b/>
              </w:rPr>
            </w:pPr>
            <w:r w:rsidRPr="00BE78CA">
              <w:rPr>
                <w:b/>
              </w:rPr>
              <w:t>44.9</w:t>
            </w:r>
          </w:p>
        </w:tc>
        <w:tc>
          <w:tcPr>
            <w:tcW w:w="1869" w:type="dxa"/>
            <w:tcBorders>
              <w:top w:val="single" w:sz="4" w:space="0" w:color="365F91"/>
              <w:left w:val="nil"/>
              <w:bottom w:val="single" w:sz="4" w:space="0" w:color="365F91"/>
              <w:right w:val="nil"/>
            </w:tcBorders>
            <w:hideMark/>
          </w:tcPr>
          <w:p w14:paraId="539E9206" w14:textId="77777777" w:rsidR="00FB19C0" w:rsidRPr="00BE78CA" w:rsidRDefault="00FB19C0" w:rsidP="00C26084">
            <w:pPr>
              <w:pStyle w:val="TableText"/>
              <w:spacing w:before="50" w:after="50"/>
              <w:jc w:val="right"/>
              <w:rPr>
                <w:b/>
              </w:rPr>
            </w:pPr>
            <w:r w:rsidRPr="00BE78CA">
              <w:rPr>
                <w:b/>
              </w:rPr>
              <w:t>24.4</w:t>
            </w:r>
          </w:p>
        </w:tc>
      </w:tr>
    </w:tbl>
    <w:p w14:paraId="215B2D8B" w14:textId="77777777" w:rsidR="00FB19C0" w:rsidRPr="00BE78CA" w:rsidRDefault="00FB19C0" w:rsidP="00E8441A">
      <w:pPr>
        <w:pStyle w:val="Source"/>
        <w:spacing w:after="80"/>
      </w:pPr>
      <w:r w:rsidRPr="00BE78CA">
        <w:rPr>
          <w:b/>
        </w:rPr>
        <w:t>Source:</w:t>
      </w:r>
      <w:r w:rsidRPr="00BE78CA">
        <w:t xml:space="preserve"> Dry-matter content, total carbon content and fossil carbon content values are from table 2.4 (IPCC, 2006a).</w:t>
      </w:r>
    </w:p>
    <w:p w14:paraId="41EEE2C5" w14:textId="77777777" w:rsidR="00FB19C0" w:rsidRPr="00BE78CA" w:rsidRDefault="00FB19C0" w:rsidP="00E8441A">
      <w:pPr>
        <w:pStyle w:val="Noteundertable"/>
        <w:spacing w:before="0"/>
      </w:pPr>
      <w:r w:rsidRPr="00BE78CA">
        <w:rPr>
          <w:b/>
        </w:rPr>
        <w:t>Note:</w:t>
      </w:r>
      <w:r w:rsidRPr="00BE78CA">
        <w:t xml:space="preserve"> NA = not applicable.</w:t>
      </w:r>
    </w:p>
    <w:p w14:paraId="047E7F07" w14:textId="77777777" w:rsidR="00FB19C0" w:rsidRPr="00BE78CA" w:rsidRDefault="00FB19C0" w:rsidP="00FB19C0">
      <w:pPr>
        <w:pStyle w:val="Heading4"/>
      </w:pPr>
      <w:r w:rsidRPr="00BE78CA">
        <w:t>Choice of emission factors</w:t>
      </w:r>
    </w:p>
    <w:p w14:paraId="03DBF2C2" w14:textId="77777777" w:rsidR="00FB19C0" w:rsidRPr="00BE78CA" w:rsidRDefault="00FB19C0" w:rsidP="00FB19C0">
      <w:pPr>
        <w:pStyle w:val="Heading5"/>
        <w:spacing w:before="180"/>
      </w:pPr>
      <w:r w:rsidRPr="00BE78CA">
        <w:t>Incineration (5.C.1)</w:t>
      </w:r>
    </w:p>
    <w:p w14:paraId="27FCAD55" w14:textId="77777777" w:rsidR="00FB19C0" w:rsidRPr="00BE78CA" w:rsidRDefault="00FB19C0" w:rsidP="00FB19C0">
      <w:pPr>
        <w:pStyle w:val="BodyText"/>
      </w:pPr>
      <w:r w:rsidRPr="00BE78CA">
        <w:t xml:space="preserve">The parameters used to calculate emissions from incineration are detailed in table 7.4.4. </w:t>
      </w:r>
    </w:p>
    <w:p w14:paraId="239259D7" w14:textId="77777777" w:rsidR="00FB19C0" w:rsidRPr="00BE78CA" w:rsidRDefault="00FB19C0" w:rsidP="00FB19C0">
      <w:pPr>
        <w:pStyle w:val="Table"/>
      </w:pPr>
      <w:bookmarkStart w:id="2990" w:name="_Toc32828533"/>
      <w:bookmarkStart w:id="2991" w:name="_Toc32591363"/>
      <w:bookmarkStart w:id="2992" w:name="_Toc5269575"/>
      <w:bookmarkStart w:id="2993" w:name="_Toc511116829"/>
      <w:bookmarkStart w:id="2994" w:name="_Toc508019331"/>
      <w:bookmarkStart w:id="2995" w:name="_Toc481751606"/>
      <w:bookmarkStart w:id="2996" w:name="_Toc451176176"/>
      <w:bookmarkStart w:id="2997" w:name="_Toc444001624"/>
      <w:bookmarkStart w:id="2998" w:name="_Toc36224656"/>
      <w:bookmarkStart w:id="2999" w:name="_Toc68786542"/>
      <w:r w:rsidRPr="00BE78CA">
        <w:t>Table 7.4.4</w:t>
      </w:r>
      <w:r w:rsidRPr="00BE78CA">
        <w:tab/>
        <w:t>Parameter values applied to estimate emissions from incineration</w:t>
      </w:r>
      <w:bookmarkEnd w:id="2990"/>
      <w:bookmarkEnd w:id="2991"/>
      <w:bookmarkEnd w:id="2992"/>
      <w:bookmarkEnd w:id="2993"/>
      <w:bookmarkEnd w:id="2994"/>
      <w:bookmarkEnd w:id="2995"/>
      <w:bookmarkEnd w:id="2996"/>
      <w:bookmarkEnd w:id="2997"/>
      <w:bookmarkEnd w:id="2998"/>
      <w:bookmarkEnd w:id="2999"/>
    </w:p>
    <w:tbl>
      <w:tblPr>
        <w:tblW w:w="8505" w:type="dxa"/>
        <w:tblLook w:val="04A0" w:firstRow="1" w:lastRow="0" w:firstColumn="1" w:lastColumn="0" w:noHBand="0" w:noVBand="1"/>
      </w:tblPr>
      <w:tblGrid>
        <w:gridCol w:w="2343"/>
        <w:gridCol w:w="1548"/>
        <w:gridCol w:w="1656"/>
        <w:gridCol w:w="1244"/>
        <w:gridCol w:w="1714"/>
      </w:tblGrid>
      <w:tr w:rsidR="00FB19C0" w:rsidRPr="00BE78CA" w14:paraId="66D2441C" w14:textId="77777777" w:rsidTr="0023121A">
        <w:trPr>
          <w:tblHeader/>
        </w:trPr>
        <w:tc>
          <w:tcPr>
            <w:tcW w:w="2381" w:type="dxa"/>
            <w:tcBorders>
              <w:top w:val="single" w:sz="4" w:space="0" w:color="365F91"/>
              <w:left w:val="nil"/>
              <w:bottom w:val="single" w:sz="4" w:space="0" w:color="365F91"/>
              <w:right w:val="nil"/>
            </w:tcBorders>
            <w:shd w:val="clear" w:color="auto" w:fill="365F91"/>
            <w:hideMark/>
          </w:tcPr>
          <w:p w14:paraId="408D5D47" w14:textId="77777777" w:rsidR="00FB19C0" w:rsidRPr="00BE78CA" w:rsidRDefault="00FB19C0" w:rsidP="00C26084">
            <w:pPr>
              <w:pStyle w:val="TableTextBold"/>
              <w:keepNext/>
              <w:spacing w:before="50" w:after="50"/>
              <w:rPr>
                <w:noProof w:val="0"/>
                <w:color w:val="FFFFFF"/>
              </w:rPr>
            </w:pPr>
            <w:r w:rsidRPr="00BE78CA">
              <w:rPr>
                <w:noProof w:val="0"/>
                <w:color w:val="FFFFFF"/>
              </w:rPr>
              <w:t xml:space="preserve">Parameter </w:t>
            </w:r>
          </w:p>
        </w:tc>
        <w:tc>
          <w:tcPr>
            <w:tcW w:w="1566" w:type="dxa"/>
            <w:tcBorders>
              <w:top w:val="single" w:sz="4" w:space="0" w:color="365F91"/>
              <w:left w:val="nil"/>
              <w:bottom w:val="single" w:sz="4" w:space="0" w:color="365F91"/>
              <w:right w:val="nil"/>
            </w:tcBorders>
            <w:shd w:val="clear" w:color="auto" w:fill="365F91"/>
            <w:hideMark/>
          </w:tcPr>
          <w:p w14:paraId="0A405446" w14:textId="77777777" w:rsidR="00FB19C0" w:rsidRPr="00BE78CA" w:rsidRDefault="00FB19C0" w:rsidP="00C26084">
            <w:pPr>
              <w:pStyle w:val="TableTextBold"/>
              <w:keepNext/>
              <w:spacing w:before="50" w:after="50"/>
              <w:rPr>
                <w:noProof w:val="0"/>
                <w:color w:val="FFFFFF"/>
              </w:rPr>
            </w:pPr>
            <w:r w:rsidRPr="00BE78CA">
              <w:rPr>
                <w:noProof w:val="0"/>
                <w:color w:val="FFFFFF"/>
              </w:rPr>
              <w:t>Hazardous waste</w:t>
            </w:r>
          </w:p>
        </w:tc>
        <w:tc>
          <w:tcPr>
            <w:tcW w:w="1677" w:type="dxa"/>
            <w:tcBorders>
              <w:top w:val="single" w:sz="4" w:space="0" w:color="365F91"/>
              <w:left w:val="nil"/>
              <w:bottom w:val="single" w:sz="4" w:space="0" w:color="365F91"/>
              <w:right w:val="nil"/>
            </w:tcBorders>
            <w:shd w:val="clear" w:color="auto" w:fill="365F91"/>
            <w:hideMark/>
          </w:tcPr>
          <w:p w14:paraId="60EDAEFC" w14:textId="77777777" w:rsidR="00FB19C0" w:rsidRPr="00BE78CA" w:rsidRDefault="00FB19C0" w:rsidP="00C26084">
            <w:pPr>
              <w:pStyle w:val="TableTextBold"/>
              <w:keepNext/>
              <w:spacing w:before="50" w:after="50"/>
              <w:rPr>
                <w:noProof w:val="0"/>
                <w:color w:val="FFFFFF"/>
              </w:rPr>
            </w:pPr>
            <w:r w:rsidRPr="00BE78CA">
              <w:rPr>
                <w:noProof w:val="0"/>
                <w:color w:val="FFFFFF"/>
              </w:rPr>
              <w:t>Clinical waste</w:t>
            </w:r>
          </w:p>
        </w:tc>
        <w:tc>
          <w:tcPr>
            <w:tcW w:w="1258" w:type="dxa"/>
            <w:tcBorders>
              <w:top w:val="single" w:sz="4" w:space="0" w:color="365F91"/>
              <w:left w:val="nil"/>
              <w:bottom w:val="single" w:sz="4" w:space="0" w:color="365F91"/>
              <w:right w:val="nil"/>
            </w:tcBorders>
            <w:shd w:val="clear" w:color="auto" w:fill="365F91"/>
            <w:hideMark/>
          </w:tcPr>
          <w:p w14:paraId="195EE42C" w14:textId="77777777" w:rsidR="00FB19C0" w:rsidRPr="00BE78CA" w:rsidRDefault="00FB19C0" w:rsidP="00C26084">
            <w:pPr>
              <w:pStyle w:val="TableTextBold"/>
              <w:keepNext/>
              <w:spacing w:before="50" w:after="50"/>
              <w:rPr>
                <w:noProof w:val="0"/>
                <w:color w:val="FFFFFF"/>
              </w:rPr>
            </w:pPr>
            <w:r w:rsidRPr="00BE78CA">
              <w:rPr>
                <w:noProof w:val="0"/>
                <w:color w:val="FFFFFF"/>
              </w:rPr>
              <w:t>Sewage sludge</w:t>
            </w:r>
          </w:p>
        </w:tc>
        <w:tc>
          <w:tcPr>
            <w:tcW w:w="1736" w:type="dxa"/>
            <w:tcBorders>
              <w:top w:val="single" w:sz="4" w:space="0" w:color="365F91"/>
              <w:left w:val="nil"/>
              <w:bottom w:val="single" w:sz="4" w:space="0" w:color="365F91"/>
              <w:right w:val="nil"/>
            </w:tcBorders>
            <w:shd w:val="clear" w:color="auto" w:fill="365F91"/>
            <w:hideMark/>
          </w:tcPr>
          <w:p w14:paraId="686431AA" w14:textId="77777777" w:rsidR="00FB19C0" w:rsidRPr="00BE78CA" w:rsidRDefault="00FB19C0" w:rsidP="00C26084">
            <w:pPr>
              <w:pStyle w:val="TableTextBold"/>
              <w:keepNext/>
              <w:spacing w:before="50" w:after="50"/>
              <w:rPr>
                <w:noProof w:val="0"/>
                <w:color w:val="FFFFFF"/>
              </w:rPr>
            </w:pPr>
            <w:r w:rsidRPr="00BE78CA">
              <w:rPr>
                <w:noProof w:val="0"/>
                <w:color w:val="FFFFFF"/>
              </w:rPr>
              <w:t>Source</w:t>
            </w:r>
          </w:p>
        </w:tc>
      </w:tr>
      <w:tr w:rsidR="00FB19C0" w:rsidRPr="00BE78CA" w14:paraId="63A51A9E" w14:textId="77777777" w:rsidTr="0023121A">
        <w:tc>
          <w:tcPr>
            <w:tcW w:w="2381" w:type="dxa"/>
            <w:tcBorders>
              <w:top w:val="single" w:sz="4" w:space="0" w:color="365F91"/>
              <w:left w:val="nil"/>
              <w:bottom w:val="single" w:sz="4" w:space="0" w:color="365F91"/>
              <w:right w:val="nil"/>
            </w:tcBorders>
            <w:hideMark/>
          </w:tcPr>
          <w:p w14:paraId="2B8BE1F4" w14:textId="77777777" w:rsidR="00FB19C0" w:rsidRPr="00BE78CA" w:rsidRDefault="00FB19C0" w:rsidP="00C26084">
            <w:pPr>
              <w:pStyle w:val="TableText"/>
              <w:keepNext/>
              <w:spacing w:before="50" w:after="50"/>
            </w:pPr>
            <w:r w:rsidRPr="00BE78CA">
              <w:t>Dry-matter content in waste (%)</w:t>
            </w:r>
          </w:p>
        </w:tc>
        <w:tc>
          <w:tcPr>
            <w:tcW w:w="1566" w:type="dxa"/>
            <w:tcBorders>
              <w:top w:val="single" w:sz="4" w:space="0" w:color="365F91"/>
              <w:left w:val="nil"/>
              <w:bottom w:val="single" w:sz="4" w:space="0" w:color="365F91"/>
              <w:right w:val="nil"/>
            </w:tcBorders>
            <w:hideMark/>
          </w:tcPr>
          <w:p w14:paraId="30682A2E" w14:textId="77777777" w:rsidR="00FB19C0" w:rsidRPr="00BE78CA" w:rsidRDefault="00FB19C0" w:rsidP="00C26084">
            <w:pPr>
              <w:pStyle w:val="TableText"/>
              <w:keepNext/>
              <w:spacing w:after="0"/>
            </w:pPr>
            <w:r w:rsidRPr="00BE78CA">
              <w:t>50</w:t>
            </w:r>
          </w:p>
          <w:p w14:paraId="2726E6B4" w14:textId="77777777" w:rsidR="00FB19C0" w:rsidRPr="00BE78CA" w:rsidRDefault="00FB19C0" w:rsidP="00C26084">
            <w:pPr>
              <w:pStyle w:val="TableText"/>
              <w:keepNext/>
              <w:spacing w:before="0"/>
            </w:pPr>
            <w:r w:rsidRPr="00BE78CA">
              <w:t>(table 2.6)</w:t>
            </w:r>
          </w:p>
        </w:tc>
        <w:tc>
          <w:tcPr>
            <w:tcW w:w="1677" w:type="dxa"/>
            <w:tcBorders>
              <w:top w:val="single" w:sz="4" w:space="0" w:color="365F91"/>
              <w:left w:val="nil"/>
              <w:bottom w:val="single" w:sz="4" w:space="0" w:color="365F91"/>
              <w:right w:val="nil"/>
            </w:tcBorders>
            <w:hideMark/>
          </w:tcPr>
          <w:p w14:paraId="1A6D3F84" w14:textId="77777777" w:rsidR="00FB19C0" w:rsidRPr="00BE78CA" w:rsidRDefault="00FB19C0" w:rsidP="00C26084">
            <w:pPr>
              <w:pStyle w:val="TableText"/>
              <w:keepNext/>
              <w:spacing w:after="0"/>
            </w:pPr>
            <w:r w:rsidRPr="00BE78CA">
              <w:t xml:space="preserve">65 </w:t>
            </w:r>
          </w:p>
          <w:p w14:paraId="6C2A604D" w14:textId="77777777" w:rsidR="00FB19C0" w:rsidRPr="00BE78CA" w:rsidRDefault="00FB19C0" w:rsidP="00C26084">
            <w:pPr>
              <w:pStyle w:val="TableText"/>
              <w:keepNext/>
              <w:spacing w:before="0"/>
            </w:pPr>
            <w:r w:rsidRPr="00BE78CA">
              <w:t>(table 2.6)</w:t>
            </w:r>
          </w:p>
        </w:tc>
        <w:tc>
          <w:tcPr>
            <w:tcW w:w="1258" w:type="dxa"/>
            <w:tcBorders>
              <w:top w:val="single" w:sz="4" w:space="0" w:color="365F91"/>
              <w:left w:val="nil"/>
              <w:bottom w:val="single" w:sz="4" w:space="0" w:color="365F91"/>
              <w:right w:val="nil"/>
            </w:tcBorders>
            <w:hideMark/>
          </w:tcPr>
          <w:p w14:paraId="30BD5067" w14:textId="77777777" w:rsidR="00FB19C0" w:rsidRPr="00BE78CA" w:rsidRDefault="00FB19C0" w:rsidP="00C26084">
            <w:pPr>
              <w:pStyle w:val="TableText"/>
              <w:keepNext/>
              <w:spacing w:after="0"/>
            </w:pPr>
            <w:r w:rsidRPr="00BE78CA">
              <w:t>10</w:t>
            </w:r>
          </w:p>
          <w:p w14:paraId="69C23E95" w14:textId="77777777" w:rsidR="00FB19C0" w:rsidRPr="00BE78CA" w:rsidRDefault="00FB19C0" w:rsidP="00C26084">
            <w:pPr>
              <w:pStyle w:val="TableText"/>
              <w:keepNext/>
              <w:spacing w:before="0"/>
            </w:pPr>
            <w:r w:rsidRPr="00BE78CA">
              <w:t>(section 2.3.2)</w:t>
            </w:r>
          </w:p>
        </w:tc>
        <w:tc>
          <w:tcPr>
            <w:tcW w:w="1736" w:type="dxa"/>
            <w:tcBorders>
              <w:top w:val="single" w:sz="4" w:space="0" w:color="365F91"/>
              <w:left w:val="nil"/>
              <w:bottom w:val="single" w:sz="4" w:space="0" w:color="365F91"/>
              <w:right w:val="nil"/>
            </w:tcBorders>
            <w:hideMark/>
          </w:tcPr>
          <w:p w14:paraId="5BE7B8B0" w14:textId="77777777" w:rsidR="00FB19C0" w:rsidRPr="00BE78CA" w:rsidRDefault="00FB19C0" w:rsidP="008F032F">
            <w:pPr>
              <w:pStyle w:val="TableText"/>
              <w:keepNext/>
              <w:spacing w:before="50" w:after="50"/>
            </w:pPr>
            <w:r w:rsidRPr="00BE78CA">
              <w:t>IPCC (2006a)</w:t>
            </w:r>
          </w:p>
        </w:tc>
      </w:tr>
      <w:tr w:rsidR="00FB19C0" w:rsidRPr="00BE78CA" w14:paraId="582FF0C1" w14:textId="77777777" w:rsidTr="0023121A">
        <w:tc>
          <w:tcPr>
            <w:tcW w:w="2381" w:type="dxa"/>
            <w:tcBorders>
              <w:top w:val="single" w:sz="4" w:space="0" w:color="365F91"/>
              <w:left w:val="nil"/>
              <w:bottom w:val="single" w:sz="4" w:space="0" w:color="365F91"/>
              <w:right w:val="nil"/>
            </w:tcBorders>
            <w:hideMark/>
          </w:tcPr>
          <w:p w14:paraId="4FFB01B4" w14:textId="77777777" w:rsidR="00FB19C0" w:rsidRPr="00BE78CA" w:rsidRDefault="00FB19C0" w:rsidP="00C26084">
            <w:pPr>
              <w:pStyle w:val="TableText"/>
              <w:spacing w:before="50" w:after="50"/>
            </w:pPr>
            <w:r w:rsidRPr="00BE78CA">
              <w:t>Fraction of carbon</w:t>
            </w:r>
          </w:p>
        </w:tc>
        <w:tc>
          <w:tcPr>
            <w:tcW w:w="1566" w:type="dxa"/>
            <w:tcBorders>
              <w:top w:val="single" w:sz="4" w:space="0" w:color="365F91"/>
              <w:left w:val="nil"/>
              <w:bottom w:val="single" w:sz="4" w:space="0" w:color="365F91"/>
              <w:right w:val="nil"/>
            </w:tcBorders>
            <w:hideMark/>
          </w:tcPr>
          <w:p w14:paraId="6B7D3C37" w14:textId="77777777" w:rsidR="00FB19C0" w:rsidRPr="00BE78CA" w:rsidRDefault="00FB19C0" w:rsidP="00C26084">
            <w:pPr>
              <w:pStyle w:val="TableText"/>
              <w:spacing w:after="0"/>
            </w:pPr>
            <w:r w:rsidRPr="00BE78CA">
              <w:t>0.275 (wet)</w:t>
            </w:r>
          </w:p>
          <w:p w14:paraId="3E7C046A" w14:textId="77777777" w:rsidR="00FB19C0" w:rsidRPr="00BE78CA" w:rsidRDefault="00FB19C0" w:rsidP="00C26084">
            <w:pPr>
              <w:pStyle w:val="TableText"/>
              <w:spacing w:before="0"/>
            </w:pPr>
            <w:r w:rsidRPr="00BE78CA">
              <w:t>(table 2.6)</w:t>
            </w:r>
          </w:p>
        </w:tc>
        <w:tc>
          <w:tcPr>
            <w:tcW w:w="1677" w:type="dxa"/>
            <w:tcBorders>
              <w:top w:val="single" w:sz="4" w:space="0" w:color="365F91"/>
              <w:left w:val="nil"/>
              <w:bottom w:val="single" w:sz="4" w:space="0" w:color="365F91"/>
              <w:right w:val="nil"/>
            </w:tcBorders>
            <w:hideMark/>
          </w:tcPr>
          <w:p w14:paraId="36C228DB" w14:textId="77777777" w:rsidR="00FB19C0" w:rsidRPr="00BE78CA" w:rsidRDefault="00FB19C0" w:rsidP="00C26084">
            <w:pPr>
              <w:pStyle w:val="TableText"/>
              <w:spacing w:after="0"/>
            </w:pPr>
            <w:r w:rsidRPr="00BE78CA">
              <w:t>0.6 (dry)</w:t>
            </w:r>
          </w:p>
          <w:p w14:paraId="51A624F0" w14:textId="77777777" w:rsidR="00FB19C0" w:rsidRPr="00BE78CA" w:rsidRDefault="00FB19C0" w:rsidP="00C26084">
            <w:pPr>
              <w:pStyle w:val="TableText"/>
              <w:spacing w:before="0"/>
            </w:pPr>
            <w:r w:rsidRPr="00BE78CA">
              <w:t>(table 5.2)</w:t>
            </w:r>
          </w:p>
        </w:tc>
        <w:tc>
          <w:tcPr>
            <w:tcW w:w="1258" w:type="dxa"/>
            <w:tcBorders>
              <w:top w:val="single" w:sz="4" w:space="0" w:color="365F91"/>
              <w:left w:val="nil"/>
              <w:bottom w:val="single" w:sz="4" w:space="0" w:color="365F91"/>
              <w:right w:val="nil"/>
            </w:tcBorders>
            <w:hideMark/>
          </w:tcPr>
          <w:p w14:paraId="6DE3DAAF" w14:textId="77777777" w:rsidR="00FB19C0" w:rsidRPr="00BE78CA" w:rsidRDefault="00FB19C0" w:rsidP="00C26084">
            <w:pPr>
              <w:pStyle w:val="TableText"/>
              <w:spacing w:after="0"/>
            </w:pPr>
            <w:r w:rsidRPr="00BE78CA">
              <w:t>0.45 (dry)</w:t>
            </w:r>
          </w:p>
          <w:p w14:paraId="59496110" w14:textId="77777777" w:rsidR="00FB19C0" w:rsidRPr="00BE78CA" w:rsidRDefault="00FB19C0" w:rsidP="00C26084">
            <w:pPr>
              <w:pStyle w:val="TableText"/>
              <w:spacing w:before="0"/>
            </w:pPr>
            <w:r w:rsidRPr="00BE78CA">
              <w:t>(table 5.2)</w:t>
            </w:r>
          </w:p>
        </w:tc>
        <w:tc>
          <w:tcPr>
            <w:tcW w:w="1736" w:type="dxa"/>
            <w:tcBorders>
              <w:top w:val="single" w:sz="4" w:space="0" w:color="365F91"/>
              <w:left w:val="nil"/>
              <w:bottom w:val="single" w:sz="4" w:space="0" w:color="365F91"/>
              <w:right w:val="nil"/>
            </w:tcBorders>
            <w:hideMark/>
          </w:tcPr>
          <w:p w14:paraId="6F1D7575" w14:textId="77777777" w:rsidR="00FB19C0" w:rsidRPr="00BE78CA" w:rsidRDefault="00FB19C0" w:rsidP="008F032F">
            <w:pPr>
              <w:pStyle w:val="TableText"/>
              <w:spacing w:before="50" w:after="50"/>
            </w:pPr>
            <w:r w:rsidRPr="00BE78CA">
              <w:t>IPCC (2006a)</w:t>
            </w:r>
          </w:p>
        </w:tc>
      </w:tr>
      <w:tr w:rsidR="00FB19C0" w:rsidRPr="00BE78CA" w14:paraId="4EAE5B57" w14:textId="77777777" w:rsidTr="0023121A">
        <w:tc>
          <w:tcPr>
            <w:tcW w:w="2381" w:type="dxa"/>
            <w:tcBorders>
              <w:top w:val="single" w:sz="4" w:space="0" w:color="365F91"/>
              <w:left w:val="nil"/>
              <w:bottom w:val="single" w:sz="4" w:space="0" w:color="365F91"/>
              <w:right w:val="nil"/>
            </w:tcBorders>
            <w:hideMark/>
          </w:tcPr>
          <w:p w14:paraId="423401A4" w14:textId="77777777" w:rsidR="00FB19C0" w:rsidRPr="00BE78CA" w:rsidRDefault="00FB19C0" w:rsidP="00C26084">
            <w:pPr>
              <w:pStyle w:val="TableText"/>
              <w:spacing w:before="50" w:after="50"/>
            </w:pPr>
            <w:r w:rsidRPr="00BE78CA">
              <w:t>Fraction of fossil carbon in total carbon</w:t>
            </w:r>
          </w:p>
        </w:tc>
        <w:tc>
          <w:tcPr>
            <w:tcW w:w="1566" w:type="dxa"/>
            <w:tcBorders>
              <w:top w:val="single" w:sz="4" w:space="0" w:color="365F91"/>
              <w:left w:val="nil"/>
              <w:bottom w:val="single" w:sz="4" w:space="0" w:color="365F91"/>
              <w:right w:val="nil"/>
            </w:tcBorders>
            <w:hideMark/>
          </w:tcPr>
          <w:p w14:paraId="602FCF23" w14:textId="77777777" w:rsidR="00FB19C0" w:rsidRPr="00BE78CA" w:rsidRDefault="00FB19C0" w:rsidP="00C26084">
            <w:pPr>
              <w:pStyle w:val="TableText"/>
              <w:spacing w:after="0"/>
            </w:pPr>
            <w:r w:rsidRPr="00BE78CA">
              <w:t>1</w:t>
            </w:r>
          </w:p>
          <w:p w14:paraId="252A5466" w14:textId="77777777" w:rsidR="00FB19C0" w:rsidRPr="00BE78CA" w:rsidRDefault="00FB19C0" w:rsidP="00C26084">
            <w:pPr>
              <w:pStyle w:val="TableText"/>
              <w:spacing w:before="0"/>
            </w:pPr>
            <w:r w:rsidRPr="00BE78CA">
              <w:t>(table 2.6)</w:t>
            </w:r>
          </w:p>
        </w:tc>
        <w:tc>
          <w:tcPr>
            <w:tcW w:w="1677" w:type="dxa"/>
            <w:tcBorders>
              <w:top w:val="single" w:sz="4" w:space="0" w:color="365F91"/>
              <w:left w:val="nil"/>
              <w:bottom w:val="single" w:sz="4" w:space="0" w:color="365F91"/>
              <w:right w:val="nil"/>
            </w:tcBorders>
            <w:hideMark/>
          </w:tcPr>
          <w:p w14:paraId="63F488FF" w14:textId="77777777" w:rsidR="00FB19C0" w:rsidRPr="00BE78CA" w:rsidRDefault="00FB19C0" w:rsidP="00C26084">
            <w:pPr>
              <w:pStyle w:val="TableText"/>
              <w:spacing w:after="0"/>
            </w:pPr>
            <w:r w:rsidRPr="00BE78CA">
              <w:t xml:space="preserve">0.4 </w:t>
            </w:r>
          </w:p>
          <w:p w14:paraId="37388477" w14:textId="77777777" w:rsidR="00FB19C0" w:rsidRPr="00BE78CA" w:rsidRDefault="00FB19C0" w:rsidP="00C26084">
            <w:pPr>
              <w:pStyle w:val="TableText"/>
              <w:spacing w:before="0"/>
            </w:pPr>
            <w:r w:rsidRPr="00BE78CA">
              <w:t>(table 5.2)</w:t>
            </w:r>
          </w:p>
        </w:tc>
        <w:tc>
          <w:tcPr>
            <w:tcW w:w="1258" w:type="dxa"/>
            <w:tcBorders>
              <w:top w:val="single" w:sz="4" w:space="0" w:color="365F91"/>
              <w:left w:val="nil"/>
              <w:bottom w:val="single" w:sz="4" w:space="0" w:color="365F91"/>
              <w:right w:val="nil"/>
            </w:tcBorders>
            <w:hideMark/>
          </w:tcPr>
          <w:p w14:paraId="0E3E9D4E" w14:textId="77777777" w:rsidR="00FB19C0" w:rsidRPr="00BE78CA" w:rsidRDefault="00FB19C0" w:rsidP="00C26084">
            <w:pPr>
              <w:pStyle w:val="TableText"/>
              <w:spacing w:after="0"/>
            </w:pPr>
            <w:r w:rsidRPr="00BE78CA">
              <w:t>0.0</w:t>
            </w:r>
          </w:p>
          <w:p w14:paraId="1325652C" w14:textId="77777777" w:rsidR="00FB19C0" w:rsidRPr="00BE78CA" w:rsidRDefault="00FB19C0" w:rsidP="00C26084">
            <w:pPr>
              <w:pStyle w:val="TableText"/>
              <w:spacing w:before="0"/>
            </w:pPr>
            <w:r w:rsidRPr="00BE78CA">
              <w:t>(table 5.2)</w:t>
            </w:r>
          </w:p>
        </w:tc>
        <w:tc>
          <w:tcPr>
            <w:tcW w:w="1736" w:type="dxa"/>
            <w:tcBorders>
              <w:top w:val="single" w:sz="4" w:space="0" w:color="365F91"/>
              <w:left w:val="nil"/>
              <w:bottom w:val="single" w:sz="4" w:space="0" w:color="365F91"/>
              <w:right w:val="nil"/>
            </w:tcBorders>
            <w:hideMark/>
          </w:tcPr>
          <w:p w14:paraId="1CA7066E" w14:textId="77777777" w:rsidR="00FB19C0" w:rsidRPr="00BE78CA" w:rsidRDefault="00FB19C0" w:rsidP="008F032F">
            <w:pPr>
              <w:pStyle w:val="TableText"/>
              <w:spacing w:before="50" w:after="50"/>
            </w:pPr>
            <w:r w:rsidRPr="00BE78CA">
              <w:t>IPCC (2006a)</w:t>
            </w:r>
          </w:p>
        </w:tc>
      </w:tr>
      <w:tr w:rsidR="00FB19C0" w:rsidRPr="00BE78CA" w14:paraId="5BB303BA" w14:textId="77777777" w:rsidTr="0023121A">
        <w:tc>
          <w:tcPr>
            <w:tcW w:w="2381" w:type="dxa"/>
            <w:tcBorders>
              <w:top w:val="single" w:sz="4" w:space="0" w:color="365F91"/>
              <w:left w:val="nil"/>
              <w:bottom w:val="single" w:sz="4" w:space="0" w:color="365F91"/>
              <w:right w:val="nil"/>
            </w:tcBorders>
            <w:hideMark/>
          </w:tcPr>
          <w:p w14:paraId="11F2E6FC" w14:textId="77777777" w:rsidR="00FB19C0" w:rsidRPr="00BE78CA" w:rsidRDefault="00FB19C0" w:rsidP="00C26084">
            <w:pPr>
              <w:pStyle w:val="TableText"/>
              <w:spacing w:before="50" w:after="50"/>
              <w:rPr>
                <w:rFonts w:cs="Arial"/>
                <w:szCs w:val="16"/>
              </w:rPr>
            </w:pPr>
            <w:r w:rsidRPr="00BE78CA">
              <w:rPr>
                <w:rFonts w:cs="Arial"/>
                <w:szCs w:val="16"/>
              </w:rPr>
              <w:t>Oxidation factor</w:t>
            </w:r>
          </w:p>
        </w:tc>
        <w:tc>
          <w:tcPr>
            <w:tcW w:w="1566" w:type="dxa"/>
            <w:tcBorders>
              <w:top w:val="single" w:sz="4" w:space="0" w:color="365F91"/>
              <w:left w:val="nil"/>
              <w:bottom w:val="single" w:sz="4" w:space="0" w:color="365F91"/>
              <w:right w:val="nil"/>
            </w:tcBorders>
            <w:hideMark/>
          </w:tcPr>
          <w:p w14:paraId="2E9404E0" w14:textId="77777777" w:rsidR="00FB19C0" w:rsidRPr="00BE78CA" w:rsidRDefault="00FB19C0" w:rsidP="00C26084">
            <w:pPr>
              <w:pStyle w:val="TableText"/>
            </w:pPr>
            <w:r w:rsidRPr="00BE78CA">
              <w:t>1.0</w:t>
            </w:r>
          </w:p>
        </w:tc>
        <w:tc>
          <w:tcPr>
            <w:tcW w:w="1677" w:type="dxa"/>
            <w:tcBorders>
              <w:top w:val="single" w:sz="4" w:space="0" w:color="365F91"/>
              <w:left w:val="nil"/>
              <w:bottom w:val="single" w:sz="4" w:space="0" w:color="365F91"/>
              <w:right w:val="nil"/>
            </w:tcBorders>
            <w:hideMark/>
          </w:tcPr>
          <w:p w14:paraId="7F8BC91B" w14:textId="77777777" w:rsidR="00FB19C0" w:rsidRPr="00BE78CA" w:rsidRDefault="00FB19C0" w:rsidP="00C26084">
            <w:pPr>
              <w:pStyle w:val="TableText"/>
            </w:pPr>
            <w:r w:rsidRPr="00BE78CA">
              <w:t>1.0</w:t>
            </w:r>
          </w:p>
        </w:tc>
        <w:tc>
          <w:tcPr>
            <w:tcW w:w="1258" w:type="dxa"/>
            <w:tcBorders>
              <w:top w:val="single" w:sz="4" w:space="0" w:color="365F91"/>
              <w:left w:val="nil"/>
              <w:bottom w:val="single" w:sz="4" w:space="0" w:color="365F91"/>
              <w:right w:val="nil"/>
            </w:tcBorders>
            <w:hideMark/>
          </w:tcPr>
          <w:p w14:paraId="30AF18CE" w14:textId="77777777" w:rsidR="00FB19C0" w:rsidRPr="00BE78CA" w:rsidRDefault="00FB19C0" w:rsidP="00C26084">
            <w:pPr>
              <w:pStyle w:val="TableText"/>
            </w:pPr>
            <w:r w:rsidRPr="00BE78CA">
              <w:t>1.0</w:t>
            </w:r>
          </w:p>
        </w:tc>
        <w:tc>
          <w:tcPr>
            <w:tcW w:w="1736" w:type="dxa"/>
            <w:tcBorders>
              <w:top w:val="single" w:sz="4" w:space="0" w:color="365F91"/>
              <w:left w:val="nil"/>
              <w:bottom w:val="single" w:sz="4" w:space="0" w:color="365F91"/>
              <w:right w:val="nil"/>
            </w:tcBorders>
            <w:hideMark/>
          </w:tcPr>
          <w:p w14:paraId="48576463" w14:textId="77777777" w:rsidR="00FB19C0" w:rsidRPr="00BE78CA" w:rsidRDefault="00FB19C0" w:rsidP="008F032F">
            <w:pPr>
              <w:pStyle w:val="TableText"/>
              <w:spacing w:before="50" w:after="50"/>
            </w:pPr>
            <w:r w:rsidRPr="00BE78CA">
              <w:t>IPCC (2006a), table 5.2</w:t>
            </w:r>
          </w:p>
        </w:tc>
      </w:tr>
      <w:tr w:rsidR="00FB19C0" w:rsidRPr="00BE78CA" w14:paraId="289D711A" w14:textId="77777777" w:rsidTr="0023121A">
        <w:tc>
          <w:tcPr>
            <w:tcW w:w="2381" w:type="dxa"/>
            <w:tcBorders>
              <w:top w:val="single" w:sz="4" w:space="0" w:color="365F91"/>
              <w:left w:val="nil"/>
              <w:bottom w:val="single" w:sz="4" w:space="0" w:color="365F91"/>
              <w:right w:val="nil"/>
            </w:tcBorders>
            <w:hideMark/>
          </w:tcPr>
          <w:p w14:paraId="7DA2E7A2" w14:textId="77777777" w:rsidR="00FB19C0" w:rsidRPr="00BE78CA" w:rsidRDefault="00FB19C0" w:rsidP="00C26084">
            <w:pPr>
              <w:pStyle w:val="TableText"/>
              <w:spacing w:before="50" w:after="50"/>
              <w:rPr>
                <w:rFonts w:cs="Arial"/>
                <w:szCs w:val="16"/>
              </w:rPr>
            </w:pPr>
            <w:r w:rsidRPr="00BE78CA">
              <w:rPr>
                <w:rFonts w:cs="Arial"/>
                <w:szCs w:val="16"/>
              </w:rPr>
              <w:t>Molar ratio to convert from carbon to carbon dioxide</w:t>
            </w:r>
          </w:p>
        </w:tc>
        <w:tc>
          <w:tcPr>
            <w:tcW w:w="1566" w:type="dxa"/>
            <w:tcBorders>
              <w:top w:val="single" w:sz="4" w:space="0" w:color="365F91"/>
              <w:left w:val="nil"/>
              <w:bottom w:val="single" w:sz="4" w:space="0" w:color="365F91"/>
              <w:right w:val="nil"/>
            </w:tcBorders>
            <w:hideMark/>
          </w:tcPr>
          <w:p w14:paraId="6D9D35B9" w14:textId="77777777" w:rsidR="00FB19C0" w:rsidRPr="00BE78CA" w:rsidRDefault="00FB19C0" w:rsidP="00C26084">
            <w:pPr>
              <w:pStyle w:val="TableText"/>
            </w:pPr>
            <w:r w:rsidRPr="00BE78CA">
              <w:t>44/12</w:t>
            </w:r>
          </w:p>
        </w:tc>
        <w:tc>
          <w:tcPr>
            <w:tcW w:w="1677" w:type="dxa"/>
            <w:tcBorders>
              <w:top w:val="single" w:sz="4" w:space="0" w:color="365F91"/>
              <w:left w:val="nil"/>
              <w:bottom w:val="single" w:sz="4" w:space="0" w:color="365F91"/>
              <w:right w:val="nil"/>
            </w:tcBorders>
            <w:hideMark/>
          </w:tcPr>
          <w:p w14:paraId="4322EE6C" w14:textId="77777777" w:rsidR="00FB19C0" w:rsidRPr="00BE78CA" w:rsidRDefault="00FB19C0" w:rsidP="00C26084">
            <w:pPr>
              <w:pStyle w:val="TableText"/>
            </w:pPr>
            <w:r w:rsidRPr="00BE78CA">
              <w:t>44/12</w:t>
            </w:r>
          </w:p>
        </w:tc>
        <w:tc>
          <w:tcPr>
            <w:tcW w:w="1258" w:type="dxa"/>
            <w:tcBorders>
              <w:top w:val="single" w:sz="4" w:space="0" w:color="365F91"/>
              <w:left w:val="nil"/>
              <w:bottom w:val="single" w:sz="4" w:space="0" w:color="365F91"/>
              <w:right w:val="nil"/>
            </w:tcBorders>
            <w:hideMark/>
          </w:tcPr>
          <w:p w14:paraId="2E217496" w14:textId="77777777" w:rsidR="00FB19C0" w:rsidRPr="00BE78CA" w:rsidRDefault="00FB19C0" w:rsidP="00C26084">
            <w:pPr>
              <w:pStyle w:val="TableText"/>
            </w:pPr>
            <w:r w:rsidRPr="00BE78CA">
              <w:t>44/12</w:t>
            </w:r>
          </w:p>
        </w:tc>
        <w:tc>
          <w:tcPr>
            <w:tcW w:w="1736" w:type="dxa"/>
            <w:tcBorders>
              <w:top w:val="single" w:sz="4" w:space="0" w:color="365F91"/>
              <w:left w:val="nil"/>
              <w:bottom w:val="single" w:sz="4" w:space="0" w:color="365F91"/>
              <w:right w:val="nil"/>
            </w:tcBorders>
          </w:tcPr>
          <w:p w14:paraId="54825FAE" w14:textId="77777777" w:rsidR="00FB19C0" w:rsidRPr="00BE78CA" w:rsidRDefault="00FB19C0" w:rsidP="008F032F">
            <w:pPr>
              <w:pStyle w:val="TableText"/>
              <w:spacing w:before="50" w:after="50"/>
            </w:pPr>
          </w:p>
        </w:tc>
      </w:tr>
      <w:tr w:rsidR="00FB19C0" w:rsidRPr="00BE78CA" w14:paraId="5C210BAD" w14:textId="77777777" w:rsidTr="0023121A">
        <w:tc>
          <w:tcPr>
            <w:tcW w:w="2381" w:type="dxa"/>
            <w:tcBorders>
              <w:top w:val="single" w:sz="4" w:space="0" w:color="365F91"/>
              <w:left w:val="nil"/>
              <w:bottom w:val="single" w:sz="4" w:space="0" w:color="365F91"/>
              <w:right w:val="nil"/>
            </w:tcBorders>
            <w:hideMark/>
          </w:tcPr>
          <w:p w14:paraId="3B08B296" w14:textId="77777777" w:rsidR="00FB19C0" w:rsidRPr="00BE78CA" w:rsidRDefault="00FB19C0" w:rsidP="00C26084">
            <w:pPr>
              <w:pStyle w:val="TableText"/>
              <w:spacing w:before="50" w:after="50"/>
            </w:pPr>
            <w:r w:rsidRPr="00BE78CA">
              <w:t>Overall carbon dioxide emission factor (kg/kt)</w:t>
            </w:r>
          </w:p>
        </w:tc>
        <w:tc>
          <w:tcPr>
            <w:tcW w:w="1566" w:type="dxa"/>
            <w:tcBorders>
              <w:top w:val="single" w:sz="4" w:space="0" w:color="365F91"/>
              <w:left w:val="nil"/>
              <w:bottom w:val="single" w:sz="4" w:space="0" w:color="365F91"/>
              <w:right w:val="nil"/>
            </w:tcBorders>
            <w:hideMark/>
          </w:tcPr>
          <w:p w14:paraId="57B7EA8D" w14:textId="77777777" w:rsidR="00FB19C0" w:rsidRPr="00BE78CA" w:rsidRDefault="00FB19C0" w:rsidP="00C26084">
            <w:pPr>
              <w:pStyle w:val="TableText"/>
            </w:pPr>
            <w:r w:rsidRPr="00BE78CA">
              <w:t>0.504</w:t>
            </w:r>
          </w:p>
        </w:tc>
        <w:tc>
          <w:tcPr>
            <w:tcW w:w="1677" w:type="dxa"/>
            <w:tcBorders>
              <w:top w:val="single" w:sz="4" w:space="0" w:color="365F91"/>
              <w:left w:val="nil"/>
              <w:bottom w:val="single" w:sz="4" w:space="0" w:color="365F91"/>
              <w:right w:val="nil"/>
            </w:tcBorders>
            <w:hideMark/>
          </w:tcPr>
          <w:p w14:paraId="45ADF6B1" w14:textId="77777777" w:rsidR="00FB19C0" w:rsidRPr="00BE78CA" w:rsidRDefault="00FB19C0" w:rsidP="00C26084">
            <w:pPr>
              <w:pStyle w:val="TableText"/>
            </w:pPr>
            <w:r w:rsidRPr="00BE78CA">
              <w:t>0.572</w:t>
            </w:r>
          </w:p>
        </w:tc>
        <w:tc>
          <w:tcPr>
            <w:tcW w:w="1258" w:type="dxa"/>
            <w:tcBorders>
              <w:top w:val="single" w:sz="4" w:space="0" w:color="365F91"/>
              <w:left w:val="nil"/>
              <w:bottom w:val="single" w:sz="4" w:space="0" w:color="365F91"/>
              <w:right w:val="nil"/>
            </w:tcBorders>
            <w:hideMark/>
          </w:tcPr>
          <w:p w14:paraId="3DDDCB7A" w14:textId="77777777" w:rsidR="00FB19C0" w:rsidRPr="00BE78CA" w:rsidRDefault="00FB19C0" w:rsidP="00C26084">
            <w:pPr>
              <w:pStyle w:val="TableText"/>
            </w:pPr>
            <w:r w:rsidRPr="00BE78CA">
              <w:t>0.165</w:t>
            </w:r>
          </w:p>
        </w:tc>
        <w:tc>
          <w:tcPr>
            <w:tcW w:w="1736" w:type="dxa"/>
            <w:tcBorders>
              <w:top w:val="single" w:sz="4" w:space="0" w:color="365F91"/>
              <w:left w:val="nil"/>
              <w:bottom w:val="single" w:sz="4" w:space="0" w:color="365F91"/>
              <w:right w:val="nil"/>
            </w:tcBorders>
          </w:tcPr>
          <w:p w14:paraId="00D3E5BC" w14:textId="77777777" w:rsidR="00FB19C0" w:rsidRPr="00BE78CA" w:rsidRDefault="00FB19C0" w:rsidP="008F032F">
            <w:pPr>
              <w:pStyle w:val="TableText"/>
              <w:spacing w:before="50" w:after="50"/>
            </w:pPr>
          </w:p>
        </w:tc>
      </w:tr>
      <w:tr w:rsidR="00FB19C0" w:rsidRPr="00BE78CA" w14:paraId="1809644E" w14:textId="77777777" w:rsidTr="0023121A">
        <w:tc>
          <w:tcPr>
            <w:tcW w:w="2381" w:type="dxa"/>
            <w:tcBorders>
              <w:top w:val="single" w:sz="4" w:space="0" w:color="365F91"/>
              <w:left w:val="nil"/>
              <w:bottom w:val="single" w:sz="4" w:space="0" w:color="365F91"/>
              <w:right w:val="nil"/>
            </w:tcBorders>
            <w:hideMark/>
          </w:tcPr>
          <w:p w14:paraId="7AC9D665" w14:textId="77777777" w:rsidR="00FB19C0" w:rsidRPr="00BE78CA" w:rsidRDefault="00FB19C0" w:rsidP="00C26084">
            <w:pPr>
              <w:pStyle w:val="TableText"/>
              <w:spacing w:before="50" w:after="50"/>
              <w:rPr>
                <w:rFonts w:cs="Arial"/>
                <w:szCs w:val="16"/>
              </w:rPr>
            </w:pPr>
            <w:r w:rsidRPr="00BE78CA">
              <w:t>Methane emission factor (kg/kt) as directly referenced</w:t>
            </w:r>
          </w:p>
        </w:tc>
        <w:tc>
          <w:tcPr>
            <w:tcW w:w="1566" w:type="dxa"/>
            <w:tcBorders>
              <w:top w:val="single" w:sz="4" w:space="0" w:color="365F91"/>
              <w:left w:val="nil"/>
              <w:bottom w:val="single" w:sz="4" w:space="0" w:color="365F91"/>
              <w:right w:val="nil"/>
            </w:tcBorders>
            <w:hideMark/>
          </w:tcPr>
          <w:p w14:paraId="2C32D13C" w14:textId="77777777" w:rsidR="00FB19C0" w:rsidRPr="00BE78CA" w:rsidRDefault="00FB19C0" w:rsidP="00C26084">
            <w:pPr>
              <w:pStyle w:val="TableText"/>
            </w:pPr>
            <w:r w:rsidRPr="00BE78CA">
              <w:t>NA</w:t>
            </w:r>
          </w:p>
        </w:tc>
        <w:tc>
          <w:tcPr>
            <w:tcW w:w="1677" w:type="dxa"/>
            <w:tcBorders>
              <w:top w:val="single" w:sz="4" w:space="0" w:color="365F91"/>
              <w:left w:val="nil"/>
              <w:bottom w:val="single" w:sz="4" w:space="0" w:color="365F91"/>
              <w:right w:val="nil"/>
            </w:tcBorders>
            <w:hideMark/>
          </w:tcPr>
          <w:p w14:paraId="3491BE0B" w14:textId="77777777" w:rsidR="00FB19C0" w:rsidRPr="00BE78CA" w:rsidRDefault="00FB19C0" w:rsidP="00C26084">
            <w:pPr>
              <w:pStyle w:val="TableText"/>
            </w:pPr>
            <w:r w:rsidRPr="00BE78CA">
              <w:t>NA</w:t>
            </w:r>
          </w:p>
        </w:tc>
        <w:tc>
          <w:tcPr>
            <w:tcW w:w="1258" w:type="dxa"/>
            <w:tcBorders>
              <w:top w:val="single" w:sz="4" w:space="0" w:color="365F91"/>
              <w:left w:val="nil"/>
              <w:bottom w:val="single" w:sz="4" w:space="0" w:color="365F91"/>
              <w:right w:val="nil"/>
            </w:tcBorders>
            <w:hideMark/>
          </w:tcPr>
          <w:p w14:paraId="56347E44" w14:textId="77777777" w:rsidR="00FB19C0" w:rsidRPr="00BE78CA" w:rsidRDefault="00FB19C0" w:rsidP="00C26084">
            <w:pPr>
              <w:pStyle w:val="TableText"/>
              <w:spacing w:after="0"/>
            </w:pPr>
            <w:r w:rsidRPr="00BE78CA">
              <w:t>9.7</w:t>
            </w:r>
          </w:p>
          <w:p w14:paraId="36DCE17A" w14:textId="77777777" w:rsidR="00FB19C0" w:rsidRPr="00BE78CA" w:rsidRDefault="00FB19C0" w:rsidP="00C26084">
            <w:pPr>
              <w:pStyle w:val="TableText"/>
              <w:spacing w:before="0"/>
            </w:pPr>
            <w:r w:rsidRPr="00BE78CA">
              <w:t>(section 5.4.2)</w:t>
            </w:r>
          </w:p>
        </w:tc>
        <w:tc>
          <w:tcPr>
            <w:tcW w:w="1736" w:type="dxa"/>
            <w:tcBorders>
              <w:top w:val="single" w:sz="4" w:space="0" w:color="365F91"/>
              <w:left w:val="nil"/>
              <w:bottom w:val="single" w:sz="4" w:space="0" w:color="365F91"/>
              <w:right w:val="nil"/>
            </w:tcBorders>
            <w:hideMark/>
          </w:tcPr>
          <w:p w14:paraId="52C2D8F1" w14:textId="77777777" w:rsidR="00FB19C0" w:rsidRPr="00BE78CA" w:rsidRDefault="00FB19C0" w:rsidP="008F032F">
            <w:pPr>
              <w:pStyle w:val="TableText"/>
              <w:spacing w:before="50" w:after="50"/>
            </w:pPr>
            <w:r w:rsidRPr="00BE78CA">
              <w:t>IPCC (2006a)</w:t>
            </w:r>
          </w:p>
        </w:tc>
      </w:tr>
      <w:tr w:rsidR="00FB19C0" w:rsidRPr="00BE78CA" w14:paraId="4205583D" w14:textId="77777777" w:rsidTr="0023121A">
        <w:tc>
          <w:tcPr>
            <w:tcW w:w="2381" w:type="dxa"/>
            <w:tcBorders>
              <w:top w:val="single" w:sz="4" w:space="0" w:color="365F91"/>
              <w:left w:val="nil"/>
              <w:bottom w:val="single" w:sz="4" w:space="0" w:color="365F91"/>
              <w:right w:val="nil"/>
            </w:tcBorders>
            <w:hideMark/>
          </w:tcPr>
          <w:p w14:paraId="3B59B424" w14:textId="77777777" w:rsidR="00FB19C0" w:rsidRPr="00BE78CA" w:rsidRDefault="00FB19C0" w:rsidP="00C26084">
            <w:pPr>
              <w:pStyle w:val="TableText"/>
              <w:spacing w:before="50" w:after="50"/>
            </w:pPr>
            <w:r w:rsidRPr="00BE78CA">
              <w:t>Methane energy factor (kg gas/TJ)</w:t>
            </w:r>
          </w:p>
        </w:tc>
        <w:tc>
          <w:tcPr>
            <w:tcW w:w="1566" w:type="dxa"/>
            <w:tcBorders>
              <w:top w:val="single" w:sz="4" w:space="0" w:color="365F91"/>
              <w:left w:val="nil"/>
              <w:bottom w:val="single" w:sz="4" w:space="0" w:color="365F91"/>
              <w:right w:val="nil"/>
            </w:tcBorders>
            <w:hideMark/>
          </w:tcPr>
          <w:p w14:paraId="7B609E91" w14:textId="77777777" w:rsidR="00FB19C0" w:rsidRPr="00BE78CA" w:rsidRDefault="00FB19C0" w:rsidP="00C26084">
            <w:pPr>
              <w:pStyle w:val="TableText"/>
              <w:spacing w:after="0"/>
            </w:pPr>
            <w:r w:rsidRPr="00BE78CA">
              <w:t>30</w:t>
            </w:r>
          </w:p>
          <w:p w14:paraId="44B02A8B" w14:textId="77777777" w:rsidR="00FB19C0" w:rsidRPr="00BE78CA" w:rsidRDefault="00FB19C0" w:rsidP="00C26084">
            <w:pPr>
              <w:pStyle w:val="TableText"/>
              <w:spacing w:before="0"/>
            </w:pPr>
            <w:r w:rsidRPr="00BE78CA">
              <w:t>(table 2.3, Industrial wastes)</w:t>
            </w:r>
          </w:p>
        </w:tc>
        <w:tc>
          <w:tcPr>
            <w:tcW w:w="1677" w:type="dxa"/>
            <w:tcBorders>
              <w:top w:val="single" w:sz="4" w:space="0" w:color="365F91"/>
              <w:left w:val="nil"/>
              <w:bottom w:val="single" w:sz="4" w:space="0" w:color="365F91"/>
              <w:right w:val="nil"/>
            </w:tcBorders>
            <w:hideMark/>
          </w:tcPr>
          <w:p w14:paraId="355CF8BA" w14:textId="77777777" w:rsidR="00FB19C0" w:rsidRPr="00BE78CA" w:rsidRDefault="00FB19C0" w:rsidP="00C26084">
            <w:pPr>
              <w:pStyle w:val="TableText"/>
              <w:spacing w:after="0"/>
            </w:pPr>
            <w:r w:rsidRPr="00BE78CA">
              <w:t>300</w:t>
            </w:r>
          </w:p>
          <w:p w14:paraId="4ABED66E" w14:textId="77777777" w:rsidR="00FB19C0" w:rsidRPr="00BE78CA" w:rsidRDefault="00FB19C0" w:rsidP="00C26084">
            <w:pPr>
              <w:pStyle w:val="TableText"/>
              <w:spacing w:before="0"/>
            </w:pPr>
            <w:r w:rsidRPr="00BE78CA">
              <w:t>(table 2.4, Municipal/ Industrial wastes)</w:t>
            </w:r>
          </w:p>
        </w:tc>
        <w:tc>
          <w:tcPr>
            <w:tcW w:w="1258" w:type="dxa"/>
            <w:tcBorders>
              <w:top w:val="single" w:sz="4" w:space="0" w:color="365F91"/>
              <w:left w:val="nil"/>
              <w:bottom w:val="single" w:sz="4" w:space="0" w:color="365F91"/>
              <w:right w:val="nil"/>
            </w:tcBorders>
            <w:hideMark/>
          </w:tcPr>
          <w:p w14:paraId="16351228" w14:textId="77777777" w:rsidR="00FB19C0" w:rsidRPr="00BE78CA" w:rsidRDefault="00FB19C0" w:rsidP="00C26084">
            <w:pPr>
              <w:pStyle w:val="TableText"/>
            </w:pPr>
            <w:r w:rsidRPr="00BE78CA">
              <w:t>NA</w:t>
            </w:r>
          </w:p>
        </w:tc>
        <w:tc>
          <w:tcPr>
            <w:tcW w:w="1736" w:type="dxa"/>
            <w:tcBorders>
              <w:top w:val="single" w:sz="4" w:space="0" w:color="365F91"/>
              <w:left w:val="nil"/>
              <w:bottom w:val="single" w:sz="4" w:space="0" w:color="365F91"/>
              <w:right w:val="nil"/>
            </w:tcBorders>
            <w:hideMark/>
          </w:tcPr>
          <w:p w14:paraId="0D0633FE" w14:textId="77777777" w:rsidR="00FB19C0" w:rsidRPr="00BE78CA" w:rsidRDefault="00FB19C0" w:rsidP="008F032F">
            <w:pPr>
              <w:pStyle w:val="TableText"/>
              <w:spacing w:before="50" w:after="50"/>
            </w:pPr>
            <w:r w:rsidRPr="00BE78CA">
              <w:t>IPCC (2006b)</w:t>
            </w:r>
          </w:p>
        </w:tc>
      </w:tr>
      <w:tr w:rsidR="00FB19C0" w:rsidRPr="00BE78CA" w14:paraId="4B6A70CC" w14:textId="77777777" w:rsidTr="0023121A">
        <w:tc>
          <w:tcPr>
            <w:tcW w:w="2381" w:type="dxa"/>
            <w:tcBorders>
              <w:top w:val="single" w:sz="4" w:space="0" w:color="365F91"/>
              <w:left w:val="nil"/>
              <w:bottom w:val="single" w:sz="4" w:space="0" w:color="365F91"/>
              <w:right w:val="nil"/>
            </w:tcBorders>
            <w:hideMark/>
          </w:tcPr>
          <w:p w14:paraId="6216E224" w14:textId="77777777" w:rsidR="00FB19C0" w:rsidRPr="00BE78CA" w:rsidRDefault="00FB19C0" w:rsidP="00C26084">
            <w:pPr>
              <w:pStyle w:val="TableText"/>
              <w:spacing w:before="50" w:after="50"/>
            </w:pPr>
            <w:r w:rsidRPr="00BE78CA">
              <w:t>Methane (MJ/kg waste)</w:t>
            </w:r>
          </w:p>
        </w:tc>
        <w:tc>
          <w:tcPr>
            <w:tcW w:w="1566" w:type="dxa"/>
            <w:tcBorders>
              <w:top w:val="single" w:sz="4" w:space="0" w:color="365F91"/>
              <w:left w:val="nil"/>
              <w:bottom w:val="single" w:sz="4" w:space="0" w:color="365F91"/>
              <w:right w:val="nil"/>
            </w:tcBorders>
            <w:hideMark/>
          </w:tcPr>
          <w:p w14:paraId="22EE71F2" w14:textId="77777777" w:rsidR="00FB19C0" w:rsidRPr="00BE78CA" w:rsidRDefault="00FB19C0" w:rsidP="00C26084">
            <w:pPr>
              <w:pStyle w:val="TableText"/>
            </w:pPr>
            <w:r w:rsidRPr="00BE78CA">
              <w:t>12.8</w:t>
            </w:r>
          </w:p>
        </w:tc>
        <w:tc>
          <w:tcPr>
            <w:tcW w:w="1677" w:type="dxa"/>
            <w:tcBorders>
              <w:top w:val="single" w:sz="4" w:space="0" w:color="365F91"/>
              <w:left w:val="nil"/>
              <w:bottom w:val="single" w:sz="4" w:space="0" w:color="365F91"/>
              <w:right w:val="nil"/>
            </w:tcBorders>
            <w:hideMark/>
          </w:tcPr>
          <w:p w14:paraId="309615D9" w14:textId="77777777" w:rsidR="00FB19C0" w:rsidRPr="00BE78CA" w:rsidRDefault="00FB19C0" w:rsidP="00C26084">
            <w:pPr>
              <w:pStyle w:val="TableText"/>
            </w:pPr>
            <w:r w:rsidRPr="00BE78CA">
              <w:t>16.8</w:t>
            </w:r>
          </w:p>
        </w:tc>
        <w:tc>
          <w:tcPr>
            <w:tcW w:w="1258" w:type="dxa"/>
            <w:tcBorders>
              <w:top w:val="single" w:sz="4" w:space="0" w:color="365F91"/>
              <w:left w:val="nil"/>
              <w:bottom w:val="single" w:sz="4" w:space="0" w:color="365F91"/>
              <w:right w:val="nil"/>
            </w:tcBorders>
            <w:hideMark/>
          </w:tcPr>
          <w:p w14:paraId="08D103DF" w14:textId="77777777" w:rsidR="00FB19C0" w:rsidRPr="00BE78CA" w:rsidRDefault="00FB19C0" w:rsidP="00C26084">
            <w:pPr>
              <w:pStyle w:val="TableText"/>
            </w:pPr>
            <w:r w:rsidRPr="00BE78CA">
              <w:t>NA</w:t>
            </w:r>
          </w:p>
        </w:tc>
        <w:tc>
          <w:tcPr>
            <w:tcW w:w="1736" w:type="dxa"/>
            <w:tcBorders>
              <w:top w:val="single" w:sz="4" w:space="0" w:color="365F91"/>
              <w:left w:val="nil"/>
              <w:bottom w:val="single" w:sz="4" w:space="0" w:color="365F91"/>
              <w:right w:val="nil"/>
            </w:tcBorders>
            <w:hideMark/>
          </w:tcPr>
          <w:p w14:paraId="558E33EA" w14:textId="77777777" w:rsidR="00FB19C0" w:rsidRPr="00BE78CA" w:rsidRDefault="00FB19C0" w:rsidP="008F032F">
            <w:pPr>
              <w:pStyle w:val="TableText"/>
              <w:spacing w:before="50" w:after="50"/>
            </w:pPr>
            <w:r w:rsidRPr="00BE78CA">
              <w:t>Ministry of Commerce (1993)</w:t>
            </w:r>
          </w:p>
        </w:tc>
      </w:tr>
      <w:tr w:rsidR="00FB19C0" w:rsidRPr="00BE78CA" w14:paraId="5C52F446" w14:textId="77777777" w:rsidTr="0023121A">
        <w:tc>
          <w:tcPr>
            <w:tcW w:w="2381" w:type="dxa"/>
            <w:tcBorders>
              <w:top w:val="single" w:sz="4" w:space="0" w:color="365F91"/>
              <w:left w:val="nil"/>
              <w:bottom w:val="single" w:sz="4" w:space="0" w:color="365F91"/>
              <w:right w:val="nil"/>
            </w:tcBorders>
            <w:hideMark/>
          </w:tcPr>
          <w:p w14:paraId="4D762550" w14:textId="77777777" w:rsidR="00FB19C0" w:rsidRPr="00BE78CA" w:rsidRDefault="00FB19C0" w:rsidP="00C26084">
            <w:pPr>
              <w:pStyle w:val="TableText"/>
              <w:spacing w:before="50" w:after="50"/>
            </w:pPr>
            <w:r w:rsidRPr="00BE78CA">
              <w:lastRenderedPageBreak/>
              <w:t>Methane emission factor (kg/kt) calculated as a quotient of the above parameters</w:t>
            </w:r>
          </w:p>
        </w:tc>
        <w:tc>
          <w:tcPr>
            <w:tcW w:w="1566" w:type="dxa"/>
            <w:tcBorders>
              <w:top w:val="single" w:sz="4" w:space="0" w:color="365F91"/>
              <w:left w:val="nil"/>
              <w:bottom w:val="single" w:sz="4" w:space="0" w:color="365F91"/>
              <w:right w:val="nil"/>
            </w:tcBorders>
            <w:hideMark/>
          </w:tcPr>
          <w:p w14:paraId="48825AC9" w14:textId="77777777" w:rsidR="00FB19C0" w:rsidRPr="00BE78CA" w:rsidRDefault="00FB19C0" w:rsidP="00C26084">
            <w:pPr>
              <w:pStyle w:val="TableText"/>
            </w:pPr>
            <w:r w:rsidRPr="00BE78CA">
              <w:t>2.34</w:t>
            </w:r>
          </w:p>
        </w:tc>
        <w:tc>
          <w:tcPr>
            <w:tcW w:w="1677" w:type="dxa"/>
            <w:tcBorders>
              <w:top w:val="single" w:sz="4" w:space="0" w:color="365F91"/>
              <w:left w:val="nil"/>
              <w:bottom w:val="single" w:sz="4" w:space="0" w:color="365F91"/>
              <w:right w:val="nil"/>
            </w:tcBorders>
            <w:hideMark/>
          </w:tcPr>
          <w:p w14:paraId="4BE19A00" w14:textId="77777777" w:rsidR="00FB19C0" w:rsidRPr="00BE78CA" w:rsidRDefault="00FB19C0" w:rsidP="00C26084">
            <w:pPr>
              <w:pStyle w:val="TableText"/>
            </w:pPr>
            <w:r w:rsidRPr="00BE78CA">
              <w:t>17.86</w:t>
            </w:r>
          </w:p>
        </w:tc>
        <w:tc>
          <w:tcPr>
            <w:tcW w:w="1258" w:type="dxa"/>
            <w:tcBorders>
              <w:top w:val="single" w:sz="4" w:space="0" w:color="365F91"/>
              <w:left w:val="nil"/>
              <w:bottom w:val="single" w:sz="4" w:space="0" w:color="365F91"/>
              <w:right w:val="nil"/>
            </w:tcBorders>
            <w:hideMark/>
          </w:tcPr>
          <w:p w14:paraId="28DDC8B2" w14:textId="77777777" w:rsidR="00FB19C0" w:rsidRPr="00BE78CA" w:rsidRDefault="00FB19C0" w:rsidP="00C26084">
            <w:pPr>
              <w:pStyle w:val="TableText"/>
            </w:pPr>
            <w:r w:rsidRPr="00BE78CA">
              <w:t>NA</w:t>
            </w:r>
          </w:p>
        </w:tc>
        <w:tc>
          <w:tcPr>
            <w:tcW w:w="1736" w:type="dxa"/>
            <w:tcBorders>
              <w:top w:val="single" w:sz="4" w:space="0" w:color="365F91"/>
              <w:left w:val="nil"/>
              <w:bottom w:val="single" w:sz="4" w:space="0" w:color="365F91"/>
              <w:right w:val="nil"/>
            </w:tcBorders>
          </w:tcPr>
          <w:p w14:paraId="5F690E35" w14:textId="77777777" w:rsidR="00FB19C0" w:rsidRPr="00BE78CA" w:rsidRDefault="00FB19C0" w:rsidP="008F032F">
            <w:pPr>
              <w:pStyle w:val="TableText"/>
              <w:spacing w:before="50" w:after="50"/>
            </w:pPr>
          </w:p>
        </w:tc>
      </w:tr>
      <w:tr w:rsidR="00FB19C0" w:rsidRPr="00BE78CA" w14:paraId="3052FB56" w14:textId="77777777" w:rsidTr="0023121A">
        <w:tc>
          <w:tcPr>
            <w:tcW w:w="2381" w:type="dxa"/>
            <w:tcBorders>
              <w:top w:val="single" w:sz="4" w:space="0" w:color="365F91"/>
              <w:left w:val="nil"/>
              <w:bottom w:val="single" w:sz="4" w:space="0" w:color="365F91"/>
              <w:right w:val="nil"/>
            </w:tcBorders>
            <w:hideMark/>
          </w:tcPr>
          <w:p w14:paraId="75720648" w14:textId="77777777" w:rsidR="00FB19C0" w:rsidRPr="00BE78CA" w:rsidRDefault="00FB19C0" w:rsidP="00C26084">
            <w:pPr>
              <w:pStyle w:val="TableText"/>
              <w:spacing w:before="50" w:after="50"/>
            </w:pPr>
            <w:r w:rsidRPr="00BE78CA">
              <w:t>Nitrous oxide emission factor (kg/kt)</w:t>
            </w:r>
          </w:p>
        </w:tc>
        <w:tc>
          <w:tcPr>
            <w:tcW w:w="1566" w:type="dxa"/>
            <w:tcBorders>
              <w:top w:val="single" w:sz="4" w:space="0" w:color="365F91"/>
              <w:left w:val="nil"/>
              <w:bottom w:val="single" w:sz="4" w:space="0" w:color="365F91"/>
              <w:right w:val="nil"/>
            </w:tcBorders>
            <w:hideMark/>
          </w:tcPr>
          <w:p w14:paraId="3267E4BA" w14:textId="77777777" w:rsidR="00FB19C0" w:rsidRPr="00BE78CA" w:rsidRDefault="00FB19C0" w:rsidP="00C26084">
            <w:pPr>
              <w:pStyle w:val="TableText"/>
            </w:pPr>
            <w:r w:rsidRPr="00BE78CA">
              <w:t>100</w:t>
            </w:r>
          </w:p>
        </w:tc>
        <w:tc>
          <w:tcPr>
            <w:tcW w:w="1677" w:type="dxa"/>
            <w:tcBorders>
              <w:top w:val="single" w:sz="4" w:space="0" w:color="365F91"/>
              <w:left w:val="nil"/>
              <w:bottom w:val="single" w:sz="4" w:space="0" w:color="365F91"/>
              <w:right w:val="nil"/>
            </w:tcBorders>
            <w:hideMark/>
          </w:tcPr>
          <w:p w14:paraId="56BE950D" w14:textId="77777777" w:rsidR="00FB19C0" w:rsidRPr="00BE78CA" w:rsidRDefault="00FB19C0" w:rsidP="00C26084">
            <w:pPr>
              <w:pStyle w:val="TableText"/>
            </w:pPr>
            <w:r w:rsidRPr="00BE78CA">
              <w:t>60</w:t>
            </w:r>
          </w:p>
        </w:tc>
        <w:tc>
          <w:tcPr>
            <w:tcW w:w="1258" w:type="dxa"/>
            <w:tcBorders>
              <w:top w:val="single" w:sz="4" w:space="0" w:color="365F91"/>
              <w:left w:val="nil"/>
              <w:bottom w:val="single" w:sz="4" w:space="0" w:color="365F91"/>
              <w:right w:val="nil"/>
            </w:tcBorders>
            <w:hideMark/>
          </w:tcPr>
          <w:p w14:paraId="6868F99F" w14:textId="77777777" w:rsidR="00FB19C0" w:rsidRPr="00BE78CA" w:rsidRDefault="00FB19C0" w:rsidP="00C26084">
            <w:pPr>
              <w:pStyle w:val="TableText"/>
            </w:pPr>
            <w:r w:rsidRPr="00BE78CA">
              <w:t>900</w:t>
            </w:r>
          </w:p>
        </w:tc>
        <w:tc>
          <w:tcPr>
            <w:tcW w:w="1736" w:type="dxa"/>
            <w:tcBorders>
              <w:top w:val="single" w:sz="4" w:space="0" w:color="365F91"/>
              <w:left w:val="nil"/>
              <w:bottom w:val="single" w:sz="4" w:space="0" w:color="365F91"/>
              <w:right w:val="nil"/>
            </w:tcBorders>
            <w:hideMark/>
          </w:tcPr>
          <w:p w14:paraId="1E3D4A2A" w14:textId="77777777" w:rsidR="00FB19C0" w:rsidRPr="00BE78CA" w:rsidRDefault="00FB19C0" w:rsidP="008F032F">
            <w:pPr>
              <w:pStyle w:val="TableText"/>
              <w:spacing w:before="50" w:after="50"/>
            </w:pPr>
            <w:r w:rsidRPr="00BE78CA">
              <w:t>IPCC (2006b), table 5.6</w:t>
            </w:r>
          </w:p>
        </w:tc>
      </w:tr>
    </w:tbl>
    <w:p w14:paraId="7A80D00E" w14:textId="77777777" w:rsidR="00FB19C0" w:rsidRPr="00BE78CA" w:rsidRDefault="00FB19C0" w:rsidP="00FB19C0">
      <w:pPr>
        <w:pStyle w:val="Noteundertable"/>
      </w:pPr>
      <w:r w:rsidRPr="00BE78CA">
        <w:rPr>
          <w:b/>
        </w:rPr>
        <w:t>Note:</w:t>
      </w:r>
      <w:r w:rsidRPr="00BE78CA">
        <w:t xml:space="preserve"> NA = Not applicable.</w:t>
      </w:r>
    </w:p>
    <w:p w14:paraId="3ABAA3AB" w14:textId="77777777" w:rsidR="00FB19C0" w:rsidRPr="00BE78CA" w:rsidRDefault="00FB19C0" w:rsidP="008F032F">
      <w:pPr>
        <w:pStyle w:val="BodyText"/>
        <w:spacing w:after="100"/>
      </w:pPr>
      <w:r w:rsidRPr="00BE78CA">
        <w:t xml:space="preserve">These parameters are as given in the IPCC Guidelines (IPCC, 2006a, 2006b), noting that: </w:t>
      </w:r>
    </w:p>
    <w:p w14:paraId="2525B742" w14:textId="77777777" w:rsidR="00FB19C0" w:rsidRPr="00BE78CA" w:rsidRDefault="00FB19C0" w:rsidP="008F032F">
      <w:pPr>
        <w:pStyle w:val="Bullet"/>
        <w:numPr>
          <w:ilvl w:val="0"/>
          <w:numId w:val="25"/>
        </w:numPr>
        <w:spacing w:after="100"/>
      </w:pPr>
      <w:r w:rsidRPr="00BE78CA">
        <w:t>some parameters have been chosen as the closest available to the specific type of waste</w:t>
      </w:r>
    </w:p>
    <w:p w14:paraId="32F4142D" w14:textId="77777777" w:rsidR="00FB19C0" w:rsidRPr="00BE78CA" w:rsidRDefault="00FB19C0" w:rsidP="008F032F">
      <w:pPr>
        <w:pStyle w:val="Bullet"/>
        <w:numPr>
          <w:ilvl w:val="0"/>
          <w:numId w:val="25"/>
        </w:numPr>
        <w:spacing w:after="100"/>
      </w:pPr>
      <w:r w:rsidRPr="00BE78CA">
        <w:t>where a range is given, the mid-point is used</w:t>
      </w:r>
    </w:p>
    <w:p w14:paraId="58B6DAD6" w14:textId="77777777" w:rsidR="00FB19C0" w:rsidRPr="00BE78CA" w:rsidRDefault="00FB19C0" w:rsidP="008F032F">
      <w:pPr>
        <w:pStyle w:val="Bullet"/>
        <w:numPr>
          <w:ilvl w:val="0"/>
          <w:numId w:val="25"/>
        </w:numPr>
        <w:spacing w:after="100"/>
      </w:pPr>
      <w:r w:rsidRPr="00BE78CA">
        <w:t>CH</w:t>
      </w:r>
      <w:r w:rsidRPr="00BE78CA">
        <w:rPr>
          <w:vertAlign w:val="subscript"/>
        </w:rPr>
        <w:t>4</w:t>
      </w:r>
      <w:r w:rsidRPr="00BE78CA">
        <w:t xml:space="preserve"> emission factors for hazardous and clinical waste (IPCC, 2006b) have been converted from a terajoule (TJ) basis to a kt basis using factors from the </w:t>
      </w:r>
      <w:r w:rsidRPr="00BE78CA">
        <w:rPr>
          <w:i/>
        </w:rPr>
        <w:t>New Zealand Energy Information Handbook</w:t>
      </w:r>
      <w:r w:rsidRPr="00BE78CA">
        <w:t xml:space="preserve"> (</w:t>
      </w:r>
      <w:r w:rsidRPr="00BE78CA">
        <w:rPr>
          <w:rFonts w:cs="Arial"/>
          <w:szCs w:val="16"/>
        </w:rPr>
        <w:t>Ministry of Commerce,</w:t>
      </w:r>
      <w:r w:rsidRPr="00BE78CA">
        <w:t xml:space="preserve"> 1993), which only had gross calorific values.</w:t>
      </w:r>
    </w:p>
    <w:p w14:paraId="79F6316F" w14:textId="77777777" w:rsidR="00FB19C0" w:rsidRPr="00BE78CA" w:rsidRDefault="00FB19C0" w:rsidP="008F032F">
      <w:pPr>
        <w:pStyle w:val="BodyText"/>
        <w:spacing w:before="100" w:after="100"/>
      </w:pPr>
      <w:r w:rsidRPr="00BE78CA">
        <w:t>Quarantine waste is a significant proportion of the material incinerated in New Zealand. There is no IPCC default category that specifies quarantine waste. The composition is closest to clinical waste, so the emission factors for clinical waste have been used.</w:t>
      </w:r>
    </w:p>
    <w:p w14:paraId="74D36C87" w14:textId="77777777" w:rsidR="00FB19C0" w:rsidRPr="00BE78CA" w:rsidRDefault="00FB19C0" w:rsidP="00FB19C0">
      <w:pPr>
        <w:pStyle w:val="Heading5"/>
        <w:spacing w:before="160"/>
      </w:pPr>
      <w:r w:rsidRPr="00BE78CA">
        <w:t>Open burning (5.C.2)</w:t>
      </w:r>
    </w:p>
    <w:p w14:paraId="6DF764F6" w14:textId="77777777" w:rsidR="00FB19C0" w:rsidRPr="00BE78CA" w:rsidRDefault="00FB19C0" w:rsidP="008F032F">
      <w:pPr>
        <w:pStyle w:val="BodyText"/>
        <w:spacing w:after="100"/>
      </w:pPr>
      <w:r w:rsidRPr="00BE78CA">
        <w:t>Parameters are used as detailed in table 7.4.5.</w:t>
      </w:r>
    </w:p>
    <w:p w14:paraId="46E91D30" w14:textId="77777777" w:rsidR="00FB19C0" w:rsidRPr="00BE78CA" w:rsidRDefault="00FB19C0" w:rsidP="00FB19C0">
      <w:pPr>
        <w:pStyle w:val="Table"/>
      </w:pPr>
      <w:bookmarkStart w:id="3000" w:name="_Toc32828534"/>
      <w:bookmarkStart w:id="3001" w:name="_Toc32591364"/>
      <w:bookmarkStart w:id="3002" w:name="_Toc5269576"/>
      <w:bookmarkStart w:id="3003" w:name="_Toc36224657"/>
      <w:bookmarkStart w:id="3004" w:name="_Toc68786543"/>
      <w:r w:rsidRPr="00BE78CA">
        <w:t>Table 7.4.5</w:t>
      </w:r>
      <w:r w:rsidRPr="00BE78CA">
        <w:tab/>
        <w:t>Parameters used to estimate emissions from open burning</w:t>
      </w:r>
      <w:bookmarkEnd w:id="3000"/>
      <w:bookmarkEnd w:id="3001"/>
      <w:bookmarkEnd w:id="3002"/>
      <w:bookmarkEnd w:id="3003"/>
      <w:bookmarkEnd w:id="3004"/>
    </w:p>
    <w:tbl>
      <w:tblPr>
        <w:tblW w:w="8505" w:type="dxa"/>
        <w:tblBorders>
          <w:top w:val="single" w:sz="6" w:space="0" w:color="365F91"/>
          <w:bottom w:val="single" w:sz="6" w:space="0" w:color="365F91"/>
          <w:insideH w:val="single" w:sz="6" w:space="0" w:color="365F91"/>
        </w:tblBorders>
        <w:tblLook w:val="04A0" w:firstRow="1" w:lastRow="0" w:firstColumn="1" w:lastColumn="0" w:noHBand="0" w:noVBand="1"/>
      </w:tblPr>
      <w:tblGrid>
        <w:gridCol w:w="4253"/>
        <w:gridCol w:w="1984"/>
        <w:gridCol w:w="2268"/>
      </w:tblGrid>
      <w:tr w:rsidR="00FB19C0" w:rsidRPr="00BE78CA" w14:paraId="7B54C078" w14:textId="77777777" w:rsidTr="008F032F">
        <w:trPr>
          <w:tblHeader/>
        </w:trPr>
        <w:tc>
          <w:tcPr>
            <w:tcW w:w="4253" w:type="dxa"/>
            <w:tcBorders>
              <w:top w:val="single" w:sz="4" w:space="0" w:color="365F91"/>
              <w:left w:val="nil"/>
              <w:bottom w:val="single" w:sz="4" w:space="0" w:color="365F91"/>
              <w:right w:val="nil"/>
            </w:tcBorders>
            <w:shd w:val="clear" w:color="auto" w:fill="365F91"/>
            <w:hideMark/>
          </w:tcPr>
          <w:p w14:paraId="7811A2F6" w14:textId="77777777" w:rsidR="00FB19C0" w:rsidRPr="00BE78CA" w:rsidRDefault="00FB19C0" w:rsidP="00C26084">
            <w:pPr>
              <w:pStyle w:val="TableTextBold"/>
              <w:keepNext/>
              <w:spacing w:before="50" w:after="50"/>
              <w:rPr>
                <w:noProof w:val="0"/>
                <w:color w:val="FFFFFF"/>
              </w:rPr>
            </w:pPr>
            <w:r w:rsidRPr="00BE78CA">
              <w:rPr>
                <w:noProof w:val="0"/>
                <w:color w:val="FFFFFF"/>
              </w:rPr>
              <w:t>Parameter</w:t>
            </w:r>
          </w:p>
        </w:tc>
        <w:tc>
          <w:tcPr>
            <w:tcW w:w="1984" w:type="dxa"/>
            <w:tcBorders>
              <w:top w:val="single" w:sz="4" w:space="0" w:color="365F91"/>
              <w:left w:val="nil"/>
              <w:bottom w:val="single" w:sz="4" w:space="0" w:color="365F91"/>
              <w:right w:val="nil"/>
            </w:tcBorders>
            <w:shd w:val="clear" w:color="auto" w:fill="365F91"/>
            <w:hideMark/>
          </w:tcPr>
          <w:p w14:paraId="57A5A01E" w14:textId="77777777" w:rsidR="00FB19C0" w:rsidRPr="00BE78CA" w:rsidRDefault="00FB19C0" w:rsidP="00C26084">
            <w:pPr>
              <w:pStyle w:val="TableTextBold"/>
              <w:keepNext/>
              <w:spacing w:before="50" w:after="50"/>
              <w:jc w:val="center"/>
              <w:rPr>
                <w:noProof w:val="0"/>
                <w:color w:val="FFFFFF"/>
              </w:rPr>
            </w:pPr>
            <w:r w:rsidRPr="00BE78CA">
              <w:rPr>
                <w:noProof w:val="0"/>
                <w:color w:val="FFFFFF"/>
              </w:rPr>
              <w:t>Value</w:t>
            </w:r>
          </w:p>
        </w:tc>
        <w:tc>
          <w:tcPr>
            <w:tcW w:w="2268" w:type="dxa"/>
            <w:tcBorders>
              <w:top w:val="single" w:sz="4" w:space="0" w:color="365F91"/>
              <w:left w:val="nil"/>
              <w:bottom w:val="single" w:sz="4" w:space="0" w:color="365F91"/>
              <w:right w:val="nil"/>
            </w:tcBorders>
            <w:shd w:val="clear" w:color="auto" w:fill="365F91"/>
            <w:hideMark/>
          </w:tcPr>
          <w:p w14:paraId="07FC7658" w14:textId="77777777" w:rsidR="00FB19C0" w:rsidRPr="00BE78CA" w:rsidRDefault="00FB19C0" w:rsidP="00C26084">
            <w:pPr>
              <w:pStyle w:val="TableTextBold"/>
              <w:keepNext/>
              <w:spacing w:before="50" w:after="50"/>
              <w:rPr>
                <w:noProof w:val="0"/>
                <w:color w:val="FFFFFF"/>
              </w:rPr>
            </w:pPr>
            <w:r w:rsidRPr="00BE78CA">
              <w:rPr>
                <w:noProof w:val="0"/>
                <w:color w:val="FFFFFF"/>
              </w:rPr>
              <w:t>Source</w:t>
            </w:r>
          </w:p>
        </w:tc>
      </w:tr>
      <w:tr w:rsidR="00FB19C0" w:rsidRPr="00BE78CA" w14:paraId="19B974BC" w14:textId="77777777" w:rsidTr="008F032F">
        <w:trPr>
          <w:trHeight w:val="127"/>
        </w:trPr>
        <w:tc>
          <w:tcPr>
            <w:tcW w:w="4253" w:type="dxa"/>
            <w:tcBorders>
              <w:top w:val="single" w:sz="4" w:space="0" w:color="365F91"/>
              <w:left w:val="nil"/>
              <w:bottom w:val="single" w:sz="4" w:space="0" w:color="365F91"/>
              <w:right w:val="nil"/>
            </w:tcBorders>
            <w:shd w:val="clear" w:color="auto" w:fill="FFFFFF"/>
            <w:hideMark/>
          </w:tcPr>
          <w:p w14:paraId="7D68A5C4" w14:textId="77777777" w:rsidR="00FB19C0" w:rsidRPr="00BE78CA" w:rsidRDefault="00FB19C0" w:rsidP="008F032F">
            <w:pPr>
              <w:pStyle w:val="TableText"/>
              <w:spacing w:before="40" w:after="40"/>
              <w:rPr>
                <w:rFonts w:cs="Arial"/>
                <w:b/>
                <w:bCs/>
              </w:rPr>
            </w:pPr>
            <w:r w:rsidRPr="00BE78CA">
              <w:rPr>
                <w:rFonts w:cs="Arial"/>
                <w:b/>
                <w:bCs/>
              </w:rPr>
              <w:t>Carbon dioxide</w:t>
            </w:r>
          </w:p>
        </w:tc>
        <w:tc>
          <w:tcPr>
            <w:tcW w:w="1984" w:type="dxa"/>
            <w:tcBorders>
              <w:top w:val="single" w:sz="4" w:space="0" w:color="365F91"/>
              <w:left w:val="nil"/>
              <w:bottom w:val="single" w:sz="4" w:space="0" w:color="365F91"/>
              <w:right w:val="nil"/>
            </w:tcBorders>
            <w:shd w:val="clear" w:color="auto" w:fill="FFFFFF"/>
          </w:tcPr>
          <w:p w14:paraId="32AC38E1" w14:textId="77777777" w:rsidR="00FB19C0" w:rsidRPr="00BE78CA" w:rsidRDefault="00FB19C0" w:rsidP="008F032F">
            <w:pPr>
              <w:pStyle w:val="TableText"/>
              <w:spacing w:before="40" w:after="40"/>
              <w:ind w:right="827"/>
              <w:jc w:val="right"/>
              <w:rPr>
                <w:rFonts w:cs="Arial"/>
              </w:rPr>
            </w:pPr>
          </w:p>
        </w:tc>
        <w:tc>
          <w:tcPr>
            <w:tcW w:w="2268" w:type="dxa"/>
            <w:tcBorders>
              <w:top w:val="single" w:sz="4" w:space="0" w:color="365F91"/>
              <w:left w:val="nil"/>
              <w:bottom w:val="single" w:sz="4" w:space="0" w:color="365F91"/>
              <w:right w:val="nil"/>
            </w:tcBorders>
            <w:shd w:val="clear" w:color="auto" w:fill="FFFFFF"/>
          </w:tcPr>
          <w:p w14:paraId="140EE024" w14:textId="77777777" w:rsidR="00FB19C0" w:rsidRPr="00BE78CA" w:rsidRDefault="00FB19C0" w:rsidP="008F032F">
            <w:pPr>
              <w:pStyle w:val="TableText"/>
              <w:spacing w:before="40" w:after="40"/>
              <w:jc w:val="right"/>
              <w:rPr>
                <w:rFonts w:cs="Arial"/>
              </w:rPr>
            </w:pPr>
          </w:p>
        </w:tc>
      </w:tr>
      <w:tr w:rsidR="00FB19C0" w:rsidRPr="00BE78CA" w14:paraId="16FBB48E" w14:textId="77777777" w:rsidTr="008F032F">
        <w:trPr>
          <w:trHeight w:val="127"/>
        </w:trPr>
        <w:tc>
          <w:tcPr>
            <w:tcW w:w="4253" w:type="dxa"/>
            <w:tcBorders>
              <w:top w:val="single" w:sz="4" w:space="0" w:color="365F91"/>
              <w:left w:val="nil"/>
              <w:bottom w:val="single" w:sz="4" w:space="0" w:color="365F91"/>
              <w:right w:val="nil"/>
            </w:tcBorders>
            <w:shd w:val="clear" w:color="auto" w:fill="FFFFFF"/>
            <w:hideMark/>
          </w:tcPr>
          <w:p w14:paraId="7AC017DA" w14:textId="77777777" w:rsidR="00FB19C0" w:rsidRPr="00BE78CA" w:rsidRDefault="00FB19C0" w:rsidP="008F032F">
            <w:pPr>
              <w:pStyle w:val="TableText"/>
              <w:spacing w:before="40" w:after="40"/>
              <w:ind w:left="227"/>
              <w:rPr>
                <w:rFonts w:cs="Arial"/>
                <w:bCs/>
              </w:rPr>
            </w:pPr>
            <w:r w:rsidRPr="00BE78CA">
              <w:rPr>
                <w:rFonts w:cs="Arial"/>
                <w:bCs/>
              </w:rPr>
              <w:t>Dry-matter content (</w:t>
            </w:r>
            <w:r w:rsidRPr="00BE78CA">
              <w:t>%</w:t>
            </w:r>
            <w:r w:rsidRPr="00BE78CA">
              <w:rPr>
                <w:rFonts w:cs="Arial"/>
                <w:bCs/>
              </w:rPr>
              <w:t>)</w:t>
            </w:r>
          </w:p>
        </w:tc>
        <w:tc>
          <w:tcPr>
            <w:tcW w:w="1984" w:type="dxa"/>
            <w:tcBorders>
              <w:top w:val="single" w:sz="4" w:space="0" w:color="365F91"/>
              <w:left w:val="nil"/>
              <w:bottom w:val="single" w:sz="4" w:space="0" w:color="365F91"/>
              <w:right w:val="nil"/>
            </w:tcBorders>
            <w:shd w:val="clear" w:color="auto" w:fill="FFFFFF"/>
            <w:hideMark/>
          </w:tcPr>
          <w:p w14:paraId="365FF1F1" w14:textId="77777777" w:rsidR="00FB19C0" w:rsidRPr="00BE78CA" w:rsidRDefault="00FB19C0" w:rsidP="008F032F">
            <w:pPr>
              <w:pStyle w:val="TableText"/>
              <w:spacing w:before="40" w:after="40"/>
              <w:ind w:right="827"/>
              <w:jc w:val="right"/>
              <w:rPr>
                <w:rFonts w:cs="Arial"/>
              </w:rPr>
            </w:pPr>
            <w:r w:rsidRPr="00BE78CA">
              <w:rPr>
                <w:rFonts w:cs="Arial"/>
              </w:rPr>
              <w:t>79.6</w:t>
            </w:r>
          </w:p>
        </w:tc>
        <w:tc>
          <w:tcPr>
            <w:tcW w:w="2268" w:type="dxa"/>
            <w:tcBorders>
              <w:top w:val="single" w:sz="4" w:space="0" w:color="365F91"/>
              <w:left w:val="nil"/>
              <w:bottom w:val="single" w:sz="4" w:space="0" w:color="365F91"/>
              <w:right w:val="nil"/>
            </w:tcBorders>
            <w:shd w:val="clear" w:color="auto" w:fill="FFFFFF"/>
            <w:hideMark/>
          </w:tcPr>
          <w:p w14:paraId="19D18C2F" w14:textId="77777777" w:rsidR="00FB19C0" w:rsidRPr="00BE78CA" w:rsidRDefault="00FB19C0" w:rsidP="008F032F">
            <w:pPr>
              <w:pStyle w:val="TableText"/>
              <w:spacing w:before="40" w:after="40"/>
              <w:rPr>
                <w:rFonts w:cs="Arial"/>
              </w:rPr>
            </w:pPr>
            <w:r w:rsidRPr="00BE78CA">
              <w:rPr>
                <w:rFonts w:cs="Arial"/>
              </w:rPr>
              <w:t>Calculated (see table 7.4.3)</w:t>
            </w:r>
          </w:p>
        </w:tc>
      </w:tr>
      <w:tr w:rsidR="00FB19C0" w:rsidRPr="00BE78CA" w14:paraId="6B1023DA" w14:textId="77777777" w:rsidTr="008F032F">
        <w:trPr>
          <w:trHeight w:val="127"/>
        </w:trPr>
        <w:tc>
          <w:tcPr>
            <w:tcW w:w="4253" w:type="dxa"/>
            <w:tcBorders>
              <w:top w:val="single" w:sz="4" w:space="0" w:color="365F91"/>
              <w:left w:val="nil"/>
              <w:bottom w:val="single" w:sz="4" w:space="0" w:color="365F91"/>
              <w:right w:val="nil"/>
            </w:tcBorders>
            <w:shd w:val="clear" w:color="auto" w:fill="FFFFFF"/>
            <w:hideMark/>
          </w:tcPr>
          <w:p w14:paraId="514A5805" w14:textId="77777777" w:rsidR="00FB19C0" w:rsidRPr="00BE78CA" w:rsidRDefault="00FB19C0" w:rsidP="008F032F">
            <w:pPr>
              <w:pStyle w:val="TableText"/>
              <w:spacing w:before="40" w:after="40"/>
              <w:ind w:left="227"/>
              <w:rPr>
                <w:rFonts w:cs="Arial"/>
                <w:bCs/>
              </w:rPr>
            </w:pPr>
            <w:r w:rsidRPr="00BE78CA">
              <w:rPr>
                <w:rFonts w:cs="Arial"/>
                <w:bCs/>
              </w:rPr>
              <w:t>Total carbon content (</w:t>
            </w:r>
            <w:r w:rsidRPr="00BE78CA">
              <w:t>%</w:t>
            </w:r>
            <w:r w:rsidRPr="00BE78CA">
              <w:rPr>
                <w:rFonts w:cs="Arial"/>
                <w:bCs/>
              </w:rPr>
              <w:t>)</w:t>
            </w:r>
          </w:p>
        </w:tc>
        <w:tc>
          <w:tcPr>
            <w:tcW w:w="1984" w:type="dxa"/>
            <w:tcBorders>
              <w:top w:val="single" w:sz="4" w:space="0" w:color="365F91"/>
              <w:left w:val="nil"/>
              <w:bottom w:val="single" w:sz="4" w:space="0" w:color="365F91"/>
              <w:right w:val="nil"/>
            </w:tcBorders>
            <w:shd w:val="clear" w:color="auto" w:fill="FFFFFF"/>
            <w:hideMark/>
          </w:tcPr>
          <w:p w14:paraId="2C1F86A4" w14:textId="77777777" w:rsidR="00FB19C0" w:rsidRPr="00BE78CA" w:rsidRDefault="00FB19C0" w:rsidP="008F032F">
            <w:pPr>
              <w:pStyle w:val="TableText"/>
              <w:spacing w:before="40" w:after="40"/>
              <w:ind w:right="827"/>
              <w:jc w:val="right"/>
              <w:rPr>
                <w:rFonts w:cs="Arial"/>
              </w:rPr>
            </w:pPr>
            <w:r w:rsidRPr="00BE78CA">
              <w:rPr>
                <w:rFonts w:cs="Arial"/>
              </w:rPr>
              <w:t>44.9</w:t>
            </w:r>
          </w:p>
        </w:tc>
        <w:tc>
          <w:tcPr>
            <w:tcW w:w="2268" w:type="dxa"/>
            <w:tcBorders>
              <w:top w:val="single" w:sz="4" w:space="0" w:color="365F91"/>
              <w:left w:val="nil"/>
              <w:bottom w:val="single" w:sz="4" w:space="0" w:color="365F91"/>
              <w:right w:val="nil"/>
            </w:tcBorders>
            <w:shd w:val="clear" w:color="auto" w:fill="FFFFFF"/>
            <w:hideMark/>
          </w:tcPr>
          <w:p w14:paraId="507D1EB7" w14:textId="77777777" w:rsidR="00FB19C0" w:rsidRPr="00BE78CA" w:rsidRDefault="00FB19C0" w:rsidP="008F032F">
            <w:pPr>
              <w:pStyle w:val="TableText"/>
              <w:spacing w:before="40" w:after="40"/>
              <w:rPr>
                <w:rFonts w:cs="Arial"/>
              </w:rPr>
            </w:pPr>
            <w:r w:rsidRPr="00BE78CA">
              <w:rPr>
                <w:rFonts w:cs="Arial"/>
              </w:rPr>
              <w:t>Calculated (see table 7.4.3)</w:t>
            </w:r>
          </w:p>
        </w:tc>
      </w:tr>
      <w:tr w:rsidR="00FB19C0" w:rsidRPr="00BE78CA" w14:paraId="6EE4D4D6" w14:textId="77777777" w:rsidTr="008F032F">
        <w:trPr>
          <w:trHeight w:val="127"/>
        </w:trPr>
        <w:tc>
          <w:tcPr>
            <w:tcW w:w="4253" w:type="dxa"/>
            <w:tcBorders>
              <w:top w:val="single" w:sz="4" w:space="0" w:color="365F91"/>
              <w:left w:val="nil"/>
              <w:bottom w:val="single" w:sz="4" w:space="0" w:color="365F91"/>
              <w:right w:val="nil"/>
            </w:tcBorders>
            <w:shd w:val="clear" w:color="auto" w:fill="FFFFFF"/>
            <w:hideMark/>
          </w:tcPr>
          <w:p w14:paraId="653C4613" w14:textId="77777777" w:rsidR="00FB19C0" w:rsidRPr="00BE78CA" w:rsidRDefault="00FB19C0" w:rsidP="008F032F">
            <w:pPr>
              <w:pStyle w:val="TableText"/>
              <w:spacing w:before="40" w:after="40"/>
              <w:ind w:left="227"/>
              <w:rPr>
                <w:rFonts w:cs="Arial"/>
                <w:bCs/>
              </w:rPr>
            </w:pPr>
            <w:r w:rsidRPr="00BE78CA">
              <w:rPr>
                <w:rFonts w:cs="Arial"/>
                <w:bCs/>
              </w:rPr>
              <w:t>Fossil carbon content (</w:t>
            </w:r>
            <w:r w:rsidRPr="00BE78CA">
              <w:t>%</w:t>
            </w:r>
            <w:r w:rsidRPr="00BE78CA">
              <w:rPr>
                <w:rFonts w:cs="Arial"/>
                <w:bCs/>
              </w:rPr>
              <w:t>)</w:t>
            </w:r>
          </w:p>
        </w:tc>
        <w:tc>
          <w:tcPr>
            <w:tcW w:w="1984" w:type="dxa"/>
            <w:tcBorders>
              <w:top w:val="single" w:sz="4" w:space="0" w:color="365F91"/>
              <w:left w:val="nil"/>
              <w:bottom w:val="single" w:sz="4" w:space="0" w:color="365F91"/>
              <w:right w:val="nil"/>
            </w:tcBorders>
            <w:shd w:val="clear" w:color="auto" w:fill="FFFFFF"/>
            <w:hideMark/>
          </w:tcPr>
          <w:p w14:paraId="545925B0" w14:textId="77777777" w:rsidR="00FB19C0" w:rsidRPr="00BE78CA" w:rsidRDefault="00FB19C0" w:rsidP="008F032F">
            <w:pPr>
              <w:pStyle w:val="TableText"/>
              <w:spacing w:before="40" w:after="40"/>
              <w:ind w:right="827"/>
              <w:jc w:val="right"/>
              <w:rPr>
                <w:rFonts w:cs="Arial"/>
              </w:rPr>
            </w:pPr>
            <w:r w:rsidRPr="00BE78CA">
              <w:rPr>
                <w:rFonts w:cs="Arial"/>
              </w:rPr>
              <w:t>24.4</w:t>
            </w:r>
          </w:p>
        </w:tc>
        <w:tc>
          <w:tcPr>
            <w:tcW w:w="2268" w:type="dxa"/>
            <w:tcBorders>
              <w:top w:val="single" w:sz="4" w:space="0" w:color="365F91"/>
              <w:left w:val="nil"/>
              <w:bottom w:val="single" w:sz="4" w:space="0" w:color="365F91"/>
              <w:right w:val="nil"/>
            </w:tcBorders>
            <w:shd w:val="clear" w:color="auto" w:fill="FFFFFF"/>
            <w:hideMark/>
          </w:tcPr>
          <w:p w14:paraId="7B07A228" w14:textId="77777777" w:rsidR="00FB19C0" w:rsidRPr="00BE78CA" w:rsidRDefault="00FB19C0" w:rsidP="008F032F">
            <w:pPr>
              <w:pStyle w:val="TableText"/>
              <w:spacing w:before="40" w:after="40"/>
              <w:rPr>
                <w:rFonts w:cs="Arial"/>
              </w:rPr>
            </w:pPr>
            <w:r w:rsidRPr="00BE78CA">
              <w:rPr>
                <w:rFonts w:cs="Arial"/>
              </w:rPr>
              <w:t>Calculated (see table 7.4.3)</w:t>
            </w:r>
          </w:p>
        </w:tc>
      </w:tr>
      <w:tr w:rsidR="00FB19C0" w:rsidRPr="00BE78CA" w14:paraId="6AC3DF16" w14:textId="77777777" w:rsidTr="008F032F">
        <w:trPr>
          <w:trHeight w:val="127"/>
        </w:trPr>
        <w:tc>
          <w:tcPr>
            <w:tcW w:w="4253" w:type="dxa"/>
            <w:tcBorders>
              <w:top w:val="single" w:sz="4" w:space="0" w:color="365F91"/>
              <w:left w:val="nil"/>
              <w:bottom w:val="single" w:sz="4" w:space="0" w:color="365F91"/>
              <w:right w:val="nil"/>
            </w:tcBorders>
            <w:shd w:val="clear" w:color="auto" w:fill="FFFFFF"/>
            <w:hideMark/>
          </w:tcPr>
          <w:p w14:paraId="5BC5FCC4" w14:textId="77777777" w:rsidR="00FB19C0" w:rsidRPr="00BE78CA" w:rsidRDefault="00FB19C0" w:rsidP="008F032F">
            <w:pPr>
              <w:pStyle w:val="TableText"/>
              <w:spacing w:before="40" w:after="40"/>
              <w:ind w:left="227"/>
              <w:rPr>
                <w:rFonts w:cs="Arial"/>
                <w:bCs/>
              </w:rPr>
            </w:pPr>
            <w:r w:rsidRPr="00BE78CA">
              <w:rPr>
                <w:rFonts w:cs="Arial"/>
                <w:bCs/>
              </w:rPr>
              <w:t>Oxidation factor (</w:t>
            </w:r>
            <w:r w:rsidRPr="00BE78CA">
              <w:t>%</w:t>
            </w:r>
            <w:r w:rsidRPr="00BE78CA">
              <w:rPr>
                <w:rFonts w:cs="Arial"/>
                <w:bCs/>
              </w:rPr>
              <w:t>)</w:t>
            </w:r>
          </w:p>
        </w:tc>
        <w:tc>
          <w:tcPr>
            <w:tcW w:w="1984" w:type="dxa"/>
            <w:tcBorders>
              <w:top w:val="single" w:sz="4" w:space="0" w:color="365F91"/>
              <w:left w:val="nil"/>
              <w:bottom w:val="single" w:sz="4" w:space="0" w:color="365F91"/>
              <w:right w:val="nil"/>
            </w:tcBorders>
            <w:shd w:val="clear" w:color="auto" w:fill="FFFFFF"/>
            <w:hideMark/>
          </w:tcPr>
          <w:p w14:paraId="557EE21D" w14:textId="77777777" w:rsidR="00FB19C0" w:rsidRPr="00BE78CA" w:rsidRDefault="00FB19C0" w:rsidP="008F032F">
            <w:pPr>
              <w:pStyle w:val="TableText"/>
              <w:spacing w:before="40" w:after="40"/>
              <w:ind w:right="827"/>
              <w:jc w:val="right"/>
              <w:rPr>
                <w:rFonts w:cs="Arial"/>
              </w:rPr>
            </w:pPr>
            <w:r w:rsidRPr="00BE78CA">
              <w:rPr>
                <w:rFonts w:cs="Arial"/>
              </w:rPr>
              <w:t>58</w:t>
            </w:r>
          </w:p>
        </w:tc>
        <w:tc>
          <w:tcPr>
            <w:tcW w:w="2268" w:type="dxa"/>
            <w:tcBorders>
              <w:top w:val="single" w:sz="4" w:space="0" w:color="365F91"/>
              <w:left w:val="nil"/>
              <w:bottom w:val="single" w:sz="4" w:space="0" w:color="365F91"/>
              <w:right w:val="nil"/>
            </w:tcBorders>
            <w:shd w:val="clear" w:color="auto" w:fill="FFFFFF"/>
            <w:hideMark/>
          </w:tcPr>
          <w:p w14:paraId="7FB5567C" w14:textId="77777777" w:rsidR="00FB19C0" w:rsidRPr="00BE78CA" w:rsidRDefault="00FB19C0" w:rsidP="008F032F">
            <w:pPr>
              <w:pStyle w:val="TableText"/>
              <w:spacing w:before="40" w:after="40"/>
              <w:rPr>
                <w:rFonts w:cs="Arial"/>
              </w:rPr>
            </w:pPr>
            <w:r w:rsidRPr="00BE78CA">
              <w:rPr>
                <w:rFonts w:cs="Arial"/>
              </w:rPr>
              <w:t>IPCC default</w:t>
            </w:r>
          </w:p>
        </w:tc>
      </w:tr>
      <w:tr w:rsidR="00FB19C0" w:rsidRPr="00BE78CA" w14:paraId="36C3C274" w14:textId="77777777" w:rsidTr="008F032F">
        <w:trPr>
          <w:trHeight w:val="127"/>
        </w:trPr>
        <w:tc>
          <w:tcPr>
            <w:tcW w:w="4253" w:type="dxa"/>
            <w:tcBorders>
              <w:top w:val="single" w:sz="4" w:space="0" w:color="365F91"/>
              <w:left w:val="nil"/>
              <w:bottom w:val="single" w:sz="4" w:space="0" w:color="365F91"/>
              <w:right w:val="nil"/>
            </w:tcBorders>
            <w:shd w:val="clear" w:color="auto" w:fill="FFFFFF"/>
            <w:hideMark/>
          </w:tcPr>
          <w:p w14:paraId="77523B8F" w14:textId="77777777" w:rsidR="00FB19C0" w:rsidRPr="00BE78CA" w:rsidRDefault="00FB19C0" w:rsidP="008F032F">
            <w:pPr>
              <w:pStyle w:val="TableText"/>
              <w:spacing w:before="40" w:after="40"/>
              <w:ind w:left="227"/>
              <w:rPr>
                <w:rFonts w:cs="Arial"/>
                <w:bCs/>
              </w:rPr>
            </w:pPr>
            <w:r w:rsidRPr="00BE78CA">
              <w:rPr>
                <w:rFonts w:cs="Arial"/>
                <w:bCs/>
              </w:rPr>
              <w:t>Conversion factor</w:t>
            </w:r>
          </w:p>
        </w:tc>
        <w:tc>
          <w:tcPr>
            <w:tcW w:w="1984" w:type="dxa"/>
            <w:tcBorders>
              <w:top w:val="single" w:sz="4" w:space="0" w:color="365F91"/>
              <w:left w:val="nil"/>
              <w:bottom w:val="single" w:sz="4" w:space="0" w:color="365F91"/>
              <w:right w:val="nil"/>
            </w:tcBorders>
            <w:shd w:val="clear" w:color="auto" w:fill="FFFFFF"/>
            <w:hideMark/>
          </w:tcPr>
          <w:p w14:paraId="28C3E4B9" w14:textId="77777777" w:rsidR="00FB19C0" w:rsidRPr="00BE78CA" w:rsidRDefault="00FB19C0" w:rsidP="008F032F">
            <w:pPr>
              <w:pStyle w:val="TableText"/>
              <w:spacing w:before="40" w:after="40"/>
              <w:ind w:right="827"/>
              <w:jc w:val="right"/>
              <w:rPr>
                <w:rFonts w:cs="Arial"/>
              </w:rPr>
            </w:pPr>
            <w:r w:rsidRPr="00BE78CA">
              <w:rPr>
                <w:rFonts w:cs="Arial"/>
              </w:rPr>
              <w:t>44/12</w:t>
            </w:r>
          </w:p>
        </w:tc>
        <w:tc>
          <w:tcPr>
            <w:tcW w:w="2268" w:type="dxa"/>
            <w:tcBorders>
              <w:top w:val="single" w:sz="4" w:space="0" w:color="365F91"/>
              <w:left w:val="nil"/>
              <w:bottom w:val="single" w:sz="4" w:space="0" w:color="365F91"/>
              <w:right w:val="nil"/>
            </w:tcBorders>
            <w:shd w:val="clear" w:color="auto" w:fill="FFFFFF"/>
          </w:tcPr>
          <w:p w14:paraId="7E2A45C6" w14:textId="77777777" w:rsidR="00FB19C0" w:rsidRPr="00BE78CA" w:rsidRDefault="00FB19C0" w:rsidP="008F032F">
            <w:pPr>
              <w:pStyle w:val="TableText"/>
              <w:spacing w:before="40" w:after="40"/>
              <w:rPr>
                <w:rFonts w:cs="Arial"/>
              </w:rPr>
            </w:pPr>
          </w:p>
        </w:tc>
      </w:tr>
      <w:tr w:rsidR="00FB19C0" w:rsidRPr="00BE78CA" w14:paraId="59AEC10F" w14:textId="77777777" w:rsidTr="008F032F">
        <w:trPr>
          <w:trHeight w:val="127"/>
        </w:trPr>
        <w:tc>
          <w:tcPr>
            <w:tcW w:w="4253" w:type="dxa"/>
            <w:tcBorders>
              <w:top w:val="single" w:sz="4" w:space="0" w:color="365F91"/>
              <w:left w:val="nil"/>
              <w:bottom w:val="single" w:sz="4" w:space="0" w:color="365F91"/>
              <w:right w:val="nil"/>
            </w:tcBorders>
            <w:shd w:val="clear" w:color="auto" w:fill="FFFFFF"/>
            <w:hideMark/>
          </w:tcPr>
          <w:p w14:paraId="0F07A9FF" w14:textId="77777777" w:rsidR="00FB19C0" w:rsidRPr="00BE78CA" w:rsidRDefault="00FB19C0" w:rsidP="008F032F">
            <w:pPr>
              <w:pStyle w:val="TableText"/>
              <w:spacing w:before="40" w:after="40"/>
              <w:rPr>
                <w:rFonts w:cs="Arial"/>
                <w:bCs/>
              </w:rPr>
            </w:pPr>
            <w:r w:rsidRPr="00BE78CA">
              <w:rPr>
                <w:rFonts w:cs="Arial"/>
                <w:bCs/>
              </w:rPr>
              <w:t>Methane emission factor (</w:t>
            </w:r>
            <w:r w:rsidRPr="00BE78CA">
              <w:rPr>
                <w:rFonts w:cs="Arial"/>
              </w:rPr>
              <w:t>kg/kt wet waste)</w:t>
            </w:r>
          </w:p>
        </w:tc>
        <w:tc>
          <w:tcPr>
            <w:tcW w:w="1984" w:type="dxa"/>
            <w:tcBorders>
              <w:top w:val="single" w:sz="4" w:space="0" w:color="365F91"/>
              <w:left w:val="nil"/>
              <w:bottom w:val="single" w:sz="4" w:space="0" w:color="365F91"/>
              <w:right w:val="nil"/>
            </w:tcBorders>
            <w:shd w:val="clear" w:color="auto" w:fill="FFFFFF"/>
            <w:hideMark/>
          </w:tcPr>
          <w:p w14:paraId="3411448C" w14:textId="77777777" w:rsidR="00FB19C0" w:rsidRPr="00BE78CA" w:rsidRDefault="00FB19C0" w:rsidP="008F032F">
            <w:pPr>
              <w:pStyle w:val="TableText"/>
              <w:spacing w:before="40" w:after="40"/>
              <w:ind w:right="827"/>
              <w:jc w:val="right"/>
              <w:rPr>
                <w:rFonts w:cs="Arial"/>
              </w:rPr>
            </w:pPr>
            <w:r w:rsidRPr="00BE78CA">
              <w:rPr>
                <w:rFonts w:cs="Arial"/>
              </w:rPr>
              <w:t xml:space="preserve">6,500 </w:t>
            </w:r>
          </w:p>
        </w:tc>
        <w:tc>
          <w:tcPr>
            <w:tcW w:w="2268" w:type="dxa"/>
            <w:tcBorders>
              <w:top w:val="single" w:sz="4" w:space="0" w:color="365F91"/>
              <w:left w:val="nil"/>
              <w:bottom w:val="single" w:sz="4" w:space="0" w:color="365F91"/>
              <w:right w:val="nil"/>
            </w:tcBorders>
            <w:shd w:val="clear" w:color="auto" w:fill="FFFFFF"/>
            <w:hideMark/>
          </w:tcPr>
          <w:p w14:paraId="157F8F72" w14:textId="77777777" w:rsidR="00FB19C0" w:rsidRPr="00BE78CA" w:rsidRDefault="00FB19C0" w:rsidP="008F032F">
            <w:pPr>
              <w:pStyle w:val="TableText"/>
              <w:spacing w:before="40" w:after="40"/>
              <w:rPr>
                <w:rFonts w:cs="Arial"/>
              </w:rPr>
            </w:pPr>
            <w:r w:rsidRPr="00BE78CA">
              <w:rPr>
                <w:rFonts w:cs="Arial"/>
              </w:rPr>
              <w:t>IPCC default</w:t>
            </w:r>
          </w:p>
        </w:tc>
      </w:tr>
      <w:tr w:rsidR="00FB19C0" w:rsidRPr="00BE78CA" w14:paraId="3D6E7C4D" w14:textId="77777777" w:rsidTr="008F032F">
        <w:trPr>
          <w:trHeight w:val="127"/>
        </w:trPr>
        <w:tc>
          <w:tcPr>
            <w:tcW w:w="4253" w:type="dxa"/>
            <w:tcBorders>
              <w:top w:val="single" w:sz="4" w:space="0" w:color="365F91"/>
              <w:left w:val="nil"/>
              <w:bottom w:val="single" w:sz="6" w:space="0" w:color="365F91"/>
              <w:right w:val="nil"/>
            </w:tcBorders>
            <w:shd w:val="clear" w:color="auto" w:fill="FFFFFF"/>
            <w:hideMark/>
          </w:tcPr>
          <w:p w14:paraId="20314294" w14:textId="77777777" w:rsidR="00FB19C0" w:rsidRPr="00BE78CA" w:rsidRDefault="00FB19C0" w:rsidP="008F032F">
            <w:pPr>
              <w:pStyle w:val="TableText"/>
              <w:spacing w:before="40" w:after="40"/>
              <w:rPr>
                <w:rFonts w:cs="Arial"/>
                <w:bCs/>
              </w:rPr>
            </w:pPr>
            <w:r w:rsidRPr="00BE78CA">
              <w:rPr>
                <w:rFonts w:cs="Arial"/>
                <w:bCs/>
              </w:rPr>
              <w:t>Nitrous oxide emission factor (</w:t>
            </w:r>
            <w:r w:rsidRPr="00BE78CA">
              <w:rPr>
                <w:rFonts w:cs="Arial"/>
              </w:rPr>
              <w:t>kg/kt dry waste)</w:t>
            </w:r>
          </w:p>
        </w:tc>
        <w:tc>
          <w:tcPr>
            <w:tcW w:w="1984" w:type="dxa"/>
            <w:tcBorders>
              <w:top w:val="single" w:sz="4" w:space="0" w:color="365F91"/>
              <w:left w:val="nil"/>
              <w:bottom w:val="single" w:sz="6" w:space="0" w:color="365F91"/>
              <w:right w:val="nil"/>
            </w:tcBorders>
            <w:shd w:val="clear" w:color="auto" w:fill="FFFFFF"/>
            <w:hideMark/>
          </w:tcPr>
          <w:p w14:paraId="1CD3F159" w14:textId="77777777" w:rsidR="00FB19C0" w:rsidRPr="00BE78CA" w:rsidRDefault="00FB19C0" w:rsidP="008F032F">
            <w:pPr>
              <w:pStyle w:val="TableText"/>
              <w:spacing w:before="40" w:after="40"/>
              <w:ind w:right="827"/>
              <w:jc w:val="right"/>
              <w:rPr>
                <w:rFonts w:cs="Arial"/>
              </w:rPr>
            </w:pPr>
            <w:r w:rsidRPr="00BE78CA">
              <w:rPr>
                <w:rFonts w:cs="Arial"/>
              </w:rPr>
              <w:t>150</w:t>
            </w:r>
          </w:p>
        </w:tc>
        <w:tc>
          <w:tcPr>
            <w:tcW w:w="2268" w:type="dxa"/>
            <w:tcBorders>
              <w:top w:val="single" w:sz="4" w:space="0" w:color="365F91"/>
              <w:left w:val="nil"/>
              <w:bottom w:val="single" w:sz="6" w:space="0" w:color="365F91"/>
              <w:right w:val="nil"/>
            </w:tcBorders>
            <w:shd w:val="clear" w:color="auto" w:fill="FFFFFF"/>
            <w:hideMark/>
          </w:tcPr>
          <w:p w14:paraId="09DEA50C" w14:textId="77777777" w:rsidR="00FB19C0" w:rsidRPr="00BE78CA" w:rsidRDefault="00FB19C0" w:rsidP="008F032F">
            <w:pPr>
              <w:pStyle w:val="TableText"/>
              <w:spacing w:before="40" w:after="40"/>
              <w:rPr>
                <w:rFonts w:cs="Arial"/>
              </w:rPr>
            </w:pPr>
            <w:r w:rsidRPr="00BE78CA">
              <w:rPr>
                <w:rFonts w:cs="Arial"/>
              </w:rPr>
              <w:t>IPCC default</w:t>
            </w:r>
          </w:p>
        </w:tc>
      </w:tr>
    </w:tbl>
    <w:p w14:paraId="52A35FA0" w14:textId="77777777" w:rsidR="00FB19C0" w:rsidRPr="00BE78CA" w:rsidRDefault="00FB19C0" w:rsidP="00FB19C0">
      <w:pPr>
        <w:pStyle w:val="BodyText"/>
        <w:spacing w:before="240" w:after="100"/>
      </w:pPr>
      <w:r w:rsidRPr="00BE78CA">
        <w:t>To calculate N</w:t>
      </w:r>
      <w:r w:rsidRPr="00BE78CA">
        <w:rPr>
          <w:vertAlign w:val="subscript"/>
        </w:rPr>
        <w:t>2</w:t>
      </w:r>
      <w:r w:rsidRPr="00BE78CA">
        <w:t>O emissions, the activity data are converted using the weighted average dry</w:t>
      </w:r>
      <w:r w:rsidRPr="00BE78CA">
        <w:noBreakHyphen/>
        <w:t>matter content in table 7.4.3 because the default emission factor is presented in terms of dry waste.</w:t>
      </w:r>
    </w:p>
    <w:p w14:paraId="60986C2B" w14:textId="77777777" w:rsidR="00FB19C0" w:rsidRPr="00BE78CA" w:rsidRDefault="00FB19C0" w:rsidP="008F032F">
      <w:pPr>
        <w:pStyle w:val="Heading3"/>
        <w:spacing w:before="240"/>
      </w:pPr>
      <w:bookmarkStart w:id="3005" w:name="_Toc32828346"/>
      <w:r w:rsidRPr="00BE78CA">
        <w:t>7.4.3</w:t>
      </w:r>
      <w:r w:rsidRPr="00BE78CA">
        <w:tab/>
        <w:t>Uncertainties and time-series consistency</w:t>
      </w:r>
      <w:bookmarkEnd w:id="3005"/>
    </w:p>
    <w:p w14:paraId="527A8ECD" w14:textId="77777777" w:rsidR="00FB19C0" w:rsidRPr="00BE78CA" w:rsidRDefault="00FB19C0" w:rsidP="00FB19C0">
      <w:pPr>
        <w:pStyle w:val="Heading4"/>
        <w:spacing w:before="180"/>
      </w:pPr>
      <w:r w:rsidRPr="00BE78CA">
        <w:t>Uncertainties</w:t>
      </w:r>
    </w:p>
    <w:p w14:paraId="42C53EDE" w14:textId="77777777" w:rsidR="00FB19C0" w:rsidRPr="00BE78CA" w:rsidRDefault="00FB19C0" w:rsidP="00FB19C0">
      <w:pPr>
        <w:pStyle w:val="BodyText"/>
        <w:spacing w:before="100" w:after="100"/>
      </w:pPr>
      <w:r w:rsidRPr="00BE78CA">
        <w:t xml:space="preserve">Consistent with the IPCC recommendation for uncertainties relating to activity data (IPCC, 2006a), estimated uncertainty for the amount of wet waste incinerated ranges from ±10 per cent to ±50 per cent, and uncertainty of ±50 per cent is applied (table 7.4.6). </w:t>
      </w:r>
    </w:p>
    <w:p w14:paraId="24098FCF" w14:textId="77777777" w:rsidR="00FB19C0" w:rsidRPr="00BE78CA" w:rsidRDefault="00FB19C0" w:rsidP="00FB19C0">
      <w:pPr>
        <w:pStyle w:val="BodyText"/>
      </w:pPr>
      <w:r w:rsidRPr="00BE78CA">
        <w:t>The data collected for the composition of waste are not detailed. Therefore, following the recommendation for uncertainties relating to emission factors (IPCC, 2006a), the estimated uncertainty for default CO</w:t>
      </w:r>
      <w:r w:rsidRPr="00BE78CA">
        <w:rPr>
          <w:vertAlign w:val="subscript"/>
        </w:rPr>
        <w:t>2</w:t>
      </w:r>
      <w:r w:rsidRPr="00BE78CA">
        <w:t xml:space="preserve"> factors is ±40 per cent. Default factors used in the calculation of CH</w:t>
      </w:r>
      <w:r w:rsidRPr="00BE78CA">
        <w:rPr>
          <w:vertAlign w:val="subscript"/>
        </w:rPr>
        <w:t>4</w:t>
      </w:r>
      <w:r w:rsidRPr="00BE78CA">
        <w:t xml:space="preserve"> and N</w:t>
      </w:r>
      <w:r w:rsidRPr="00BE78CA">
        <w:rPr>
          <w:vertAlign w:val="subscript"/>
        </w:rPr>
        <w:t>2</w:t>
      </w:r>
      <w:r w:rsidRPr="00BE78CA">
        <w:t>O emissions have a much higher uncertainty (IPCC, 2006a); hence, the estimated uncertainty for default CH</w:t>
      </w:r>
      <w:r w:rsidRPr="00BE78CA">
        <w:rPr>
          <w:vertAlign w:val="subscript"/>
        </w:rPr>
        <w:t>4</w:t>
      </w:r>
      <w:r w:rsidRPr="00BE78CA">
        <w:t xml:space="preserve"> and N</w:t>
      </w:r>
      <w:r w:rsidRPr="00BE78CA">
        <w:rPr>
          <w:vertAlign w:val="subscript"/>
        </w:rPr>
        <w:t>2</w:t>
      </w:r>
      <w:r w:rsidRPr="00BE78CA">
        <w:t>O factors is ±100 per cent.</w:t>
      </w:r>
    </w:p>
    <w:p w14:paraId="1DDEC4C7" w14:textId="77777777" w:rsidR="00FB19C0" w:rsidRPr="00BE78CA" w:rsidRDefault="00FB19C0" w:rsidP="00FB19C0">
      <w:pPr>
        <w:pStyle w:val="Table"/>
      </w:pPr>
      <w:bookmarkStart w:id="3006" w:name="_Toc511116830"/>
      <w:bookmarkStart w:id="3007" w:name="_Toc508019332"/>
      <w:bookmarkStart w:id="3008" w:name="_Toc481751607"/>
      <w:bookmarkStart w:id="3009" w:name="_Toc451176177"/>
      <w:bookmarkStart w:id="3010" w:name="_Toc444001625"/>
      <w:bookmarkStart w:id="3011" w:name="_Toc32828535"/>
      <w:bookmarkStart w:id="3012" w:name="_Toc32591365"/>
      <w:bookmarkStart w:id="3013" w:name="_Toc5269577"/>
      <w:bookmarkStart w:id="3014" w:name="_Toc36224658"/>
      <w:bookmarkStart w:id="3015" w:name="_Toc68786544"/>
      <w:bookmarkStart w:id="3016" w:name="_Toc321398849"/>
      <w:r w:rsidRPr="00BE78CA">
        <w:lastRenderedPageBreak/>
        <w:t>Table 7.4.6</w:t>
      </w:r>
      <w:r w:rsidRPr="00BE78CA">
        <w:tab/>
        <w:t>Uncertainty in emissions from incineration</w:t>
      </w:r>
      <w:bookmarkEnd w:id="3006"/>
      <w:bookmarkEnd w:id="3007"/>
      <w:bookmarkEnd w:id="3008"/>
      <w:bookmarkEnd w:id="3009"/>
      <w:bookmarkEnd w:id="3010"/>
      <w:r w:rsidRPr="00BE78CA">
        <w:t xml:space="preserve"> and open burning</w:t>
      </w:r>
      <w:bookmarkEnd w:id="3011"/>
      <w:bookmarkEnd w:id="3012"/>
      <w:bookmarkEnd w:id="3013"/>
      <w:bookmarkEnd w:id="3014"/>
      <w:bookmarkEnd w:id="3015"/>
    </w:p>
    <w:tbl>
      <w:tblPr>
        <w:tblW w:w="8505" w:type="dxa"/>
        <w:tblBorders>
          <w:top w:val="single" w:sz="6" w:space="0" w:color="365F91"/>
          <w:bottom w:val="single" w:sz="6" w:space="0" w:color="365F91"/>
          <w:insideH w:val="single" w:sz="6" w:space="0" w:color="365F91"/>
        </w:tblBorders>
        <w:tblLook w:val="04A0" w:firstRow="1" w:lastRow="0" w:firstColumn="1" w:lastColumn="0" w:noHBand="0" w:noVBand="1"/>
      </w:tblPr>
      <w:tblGrid>
        <w:gridCol w:w="3137"/>
        <w:gridCol w:w="2568"/>
        <w:gridCol w:w="2800"/>
      </w:tblGrid>
      <w:tr w:rsidR="00FB19C0" w:rsidRPr="00BE78CA" w14:paraId="4ACAE6A0" w14:textId="77777777" w:rsidTr="008F032F">
        <w:tc>
          <w:tcPr>
            <w:tcW w:w="3402" w:type="dxa"/>
            <w:tcBorders>
              <w:top w:val="single" w:sz="4" w:space="0" w:color="365F91"/>
              <w:left w:val="nil"/>
              <w:bottom w:val="single" w:sz="4" w:space="0" w:color="365F91"/>
              <w:right w:val="nil"/>
            </w:tcBorders>
            <w:shd w:val="clear" w:color="auto" w:fill="365F91"/>
            <w:hideMark/>
          </w:tcPr>
          <w:p w14:paraId="062FD233" w14:textId="77777777" w:rsidR="00FB19C0" w:rsidRPr="00BE78CA" w:rsidRDefault="00FB19C0" w:rsidP="00C26084">
            <w:pPr>
              <w:pStyle w:val="TableTextBold"/>
              <w:keepNext/>
              <w:spacing w:before="50" w:after="50"/>
              <w:rPr>
                <w:noProof w:val="0"/>
                <w:color w:val="FFFFFF"/>
              </w:rPr>
            </w:pPr>
            <w:r w:rsidRPr="00BE78CA">
              <w:rPr>
                <w:noProof w:val="0"/>
                <w:color w:val="FFFFFF"/>
              </w:rPr>
              <w:t>Emissions category</w:t>
            </w:r>
          </w:p>
        </w:tc>
        <w:tc>
          <w:tcPr>
            <w:tcW w:w="2727" w:type="dxa"/>
            <w:tcBorders>
              <w:top w:val="single" w:sz="4" w:space="0" w:color="365F91"/>
              <w:left w:val="nil"/>
              <w:bottom w:val="single" w:sz="4" w:space="0" w:color="365F91"/>
              <w:right w:val="nil"/>
            </w:tcBorders>
            <w:shd w:val="clear" w:color="auto" w:fill="365F91"/>
            <w:hideMark/>
          </w:tcPr>
          <w:p w14:paraId="739FA213" w14:textId="77777777" w:rsidR="00FB19C0" w:rsidRPr="00BE78CA" w:rsidRDefault="00FB19C0" w:rsidP="00C26084">
            <w:pPr>
              <w:pStyle w:val="TableTextBold"/>
              <w:keepNext/>
              <w:spacing w:before="50" w:after="50"/>
              <w:rPr>
                <w:noProof w:val="0"/>
                <w:color w:val="FFFFFF"/>
              </w:rPr>
            </w:pPr>
            <w:r w:rsidRPr="00BE78CA">
              <w:rPr>
                <w:noProof w:val="0"/>
                <w:color w:val="FFFFFF"/>
              </w:rPr>
              <w:t>Uncertainty in activity data (%)</w:t>
            </w:r>
          </w:p>
        </w:tc>
        <w:tc>
          <w:tcPr>
            <w:tcW w:w="2977" w:type="dxa"/>
            <w:tcBorders>
              <w:top w:val="single" w:sz="4" w:space="0" w:color="365F91"/>
              <w:left w:val="nil"/>
              <w:bottom w:val="single" w:sz="4" w:space="0" w:color="365F91"/>
              <w:right w:val="nil"/>
            </w:tcBorders>
            <w:shd w:val="clear" w:color="auto" w:fill="365F91"/>
            <w:hideMark/>
          </w:tcPr>
          <w:p w14:paraId="4E19B1E8" w14:textId="77777777" w:rsidR="00FB19C0" w:rsidRPr="00BE78CA" w:rsidRDefault="00FB19C0" w:rsidP="00C26084">
            <w:pPr>
              <w:pStyle w:val="TableTextBold"/>
              <w:keepNext/>
              <w:spacing w:before="50" w:after="50"/>
              <w:rPr>
                <w:noProof w:val="0"/>
                <w:color w:val="FFFFFF"/>
              </w:rPr>
            </w:pPr>
            <w:r w:rsidRPr="00BE78CA">
              <w:rPr>
                <w:noProof w:val="0"/>
                <w:color w:val="FFFFFF"/>
              </w:rPr>
              <w:t>Uncertainty in emission factors (%)</w:t>
            </w:r>
          </w:p>
        </w:tc>
      </w:tr>
      <w:tr w:rsidR="00FB19C0" w:rsidRPr="00BE78CA" w14:paraId="224541DE" w14:textId="77777777" w:rsidTr="008F032F">
        <w:trPr>
          <w:trHeight w:val="127"/>
        </w:trPr>
        <w:tc>
          <w:tcPr>
            <w:tcW w:w="3402" w:type="dxa"/>
            <w:tcBorders>
              <w:top w:val="single" w:sz="4" w:space="0" w:color="365F91"/>
              <w:left w:val="nil"/>
              <w:bottom w:val="single" w:sz="4" w:space="0" w:color="365F91"/>
              <w:right w:val="nil"/>
            </w:tcBorders>
            <w:shd w:val="clear" w:color="auto" w:fill="FFFFFF"/>
            <w:hideMark/>
          </w:tcPr>
          <w:p w14:paraId="64FE5DB1" w14:textId="77777777" w:rsidR="00FB19C0" w:rsidRPr="00BE78CA" w:rsidRDefault="00FB19C0" w:rsidP="00C26084">
            <w:pPr>
              <w:pStyle w:val="TableText"/>
              <w:spacing w:before="50" w:after="50"/>
              <w:rPr>
                <w:rFonts w:cs="Arial"/>
                <w:bCs/>
              </w:rPr>
            </w:pPr>
            <w:r w:rsidRPr="00BE78CA">
              <w:rPr>
                <w:rFonts w:cs="Arial"/>
                <w:bCs/>
              </w:rPr>
              <w:t>Waste incineration and open burning (CO</w:t>
            </w:r>
            <w:r w:rsidRPr="00BE78CA">
              <w:rPr>
                <w:rFonts w:cs="Arial"/>
                <w:bCs/>
                <w:vertAlign w:val="subscript"/>
              </w:rPr>
              <w:t>2</w:t>
            </w:r>
            <w:r w:rsidRPr="00BE78CA">
              <w:rPr>
                <w:rFonts w:cs="Arial"/>
                <w:bCs/>
              </w:rPr>
              <w:t>)</w:t>
            </w:r>
          </w:p>
        </w:tc>
        <w:tc>
          <w:tcPr>
            <w:tcW w:w="2727" w:type="dxa"/>
            <w:tcBorders>
              <w:top w:val="single" w:sz="4" w:space="0" w:color="365F91"/>
              <w:left w:val="nil"/>
              <w:bottom w:val="single" w:sz="4" w:space="0" w:color="365F91"/>
              <w:right w:val="nil"/>
            </w:tcBorders>
            <w:shd w:val="clear" w:color="auto" w:fill="FFFFFF"/>
            <w:hideMark/>
          </w:tcPr>
          <w:p w14:paraId="0D5D39C7" w14:textId="77777777" w:rsidR="00FB19C0" w:rsidRPr="00BE78CA" w:rsidRDefault="00FB19C0" w:rsidP="00C26084">
            <w:pPr>
              <w:pStyle w:val="TableText"/>
              <w:spacing w:before="50" w:after="50"/>
              <w:ind w:right="827"/>
              <w:rPr>
                <w:rFonts w:cs="Arial"/>
              </w:rPr>
            </w:pPr>
            <w:r w:rsidRPr="00BE78CA">
              <w:rPr>
                <w:rFonts w:cs="Arial"/>
              </w:rPr>
              <w:t>±50</w:t>
            </w:r>
          </w:p>
        </w:tc>
        <w:tc>
          <w:tcPr>
            <w:tcW w:w="2977" w:type="dxa"/>
            <w:tcBorders>
              <w:top w:val="single" w:sz="4" w:space="0" w:color="365F91"/>
              <w:left w:val="nil"/>
              <w:bottom w:val="single" w:sz="4" w:space="0" w:color="365F91"/>
              <w:right w:val="nil"/>
            </w:tcBorders>
            <w:shd w:val="clear" w:color="auto" w:fill="FFFFFF"/>
            <w:hideMark/>
          </w:tcPr>
          <w:p w14:paraId="4C7E3F0A" w14:textId="77777777" w:rsidR="00FB19C0" w:rsidRPr="00BE78CA" w:rsidRDefault="00FB19C0" w:rsidP="00C26084">
            <w:pPr>
              <w:pStyle w:val="TableText"/>
              <w:spacing w:before="50" w:after="50"/>
              <w:ind w:right="827"/>
              <w:rPr>
                <w:rFonts w:cs="Arial"/>
              </w:rPr>
            </w:pPr>
            <w:r w:rsidRPr="00BE78CA">
              <w:rPr>
                <w:rFonts w:cs="Arial"/>
              </w:rPr>
              <w:t>±40</w:t>
            </w:r>
          </w:p>
        </w:tc>
      </w:tr>
      <w:tr w:rsidR="00FB19C0" w:rsidRPr="00BE78CA" w14:paraId="770BEF0C" w14:textId="77777777" w:rsidTr="008F032F">
        <w:trPr>
          <w:trHeight w:val="127"/>
        </w:trPr>
        <w:tc>
          <w:tcPr>
            <w:tcW w:w="3402" w:type="dxa"/>
            <w:tcBorders>
              <w:top w:val="single" w:sz="4" w:space="0" w:color="365F91"/>
              <w:left w:val="nil"/>
              <w:bottom w:val="single" w:sz="4" w:space="0" w:color="365F91"/>
              <w:right w:val="nil"/>
            </w:tcBorders>
            <w:shd w:val="clear" w:color="auto" w:fill="FFFFFF"/>
            <w:hideMark/>
          </w:tcPr>
          <w:p w14:paraId="55FCB651" w14:textId="77777777" w:rsidR="00FB19C0" w:rsidRPr="00BE78CA" w:rsidRDefault="00FB19C0" w:rsidP="00C26084">
            <w:pPr>
              <w:pStyle w:val="TableText"/>
              <w:spacing w:before="50" w:after="50"/>
              <w:rPr>
                <w:rFonts w:cs="Arial"/>
                <w:bCs/>
              </w:rPr>
            </w:pPr>
            <w:r w:rsidRPr="00BE78CA">
              <w:rPr>
                <w:rFonts w:cs="Arial"/>
                <w:bCs/>
              </w:rPr>
              <w:t>Waste incineration and open burning (CH</w:t>
            </w:r>
            <w:r w:rsidRPr="00BE78CA">
              <w:rPr>
                <w:rFonts w:cs="Arial"/>
                <w:bCs/>
                <w:vertAlign w:val="subscript"/>
              </w:rPr>
              <w:t>4</w:t>
            </w:r>
            <w:r w:rsidRPr="00BE78CA">
              <w:rPr>
                <w:rFonts w:cs="Arial"/>
                <w:bCs/>
              </w:rPr>
              <w:t>)</w:t>
            </w:r>
          </w:p>
        </w:tc>
        <w:tc>
          <w:tcPr>
            <w:tcW w:w="2727" w:type="dxa"/>
            <w:tcBorders>
              <w:top w:val="single" w:sz="4" w:space="0" w:color="365F91"/>
              <w:left w:val="nil"/>
              <w:bottom w:val="single" w:sz="4" w:space="0" w:color="365F91"/>
              <w:right w:val="nil"/>
            </w:tcBorders>
            <w:shd w:val="clear" w:color="auto" w:fill="FFFFFF"/>
            <w:hideMark/>
          </w:tcPr>
          <w:p w14:paraId="5AEB2501" w14:textId="77777777" w:rsidR="00FB19C0" w:rsidRPr="00BE78CA" w:rsidRDefault="00FB19C0" w:rsidP="00C26084">
            <w:pPr>
              <w:pStyle w:val="TableText"/>
              <w:spacing w:before="50" w:after="50"/>
              <w:ind w:right="827"/>
              <w:rPr>
                <w:rFonts w:cs="Arial"/>
              </w:rPr>
            </w:pPr>
            <w:r w:rsidRPr="00BE78CA">
              <w:rPr>
                <w:rFonts w:cs="Arial"/>
              </w:rPr>
              <w:t>±50</w:t>
            </w:r>
          </w:p>
        </w:tc>
        <w:tc>
          <w:tcPr>
            <w:tcW w:w="2977" w:type="dxa"/>
            <w:tcBorders>
              <w:top w:val="single" w:sz="4" w:space="0" w:color="365F91"/>
              <w:left w:val="nil"/>
              <w:bottom w:val="single" w:sz="4" w:space="0" w:color="365F91"/>
              <w:right w:val="nil"/>
            </w:tcBorders>
            <w:shd w:val="clear" w:color="auto" w:fill="FFFFFF"/>
            <w:hideMark/>
          </w:tcPr>
          <w:p w14:paraId="09F78091" w14:textId="77777777" w:rsidR="00FB19C0" w:rsidRPr="00BE78CA" w:rsidRDefault="00FB19C0" w:rsidP="00C26084">
            <w:pPr>
              <w:pStyle w:val="TableText"/>
              <w:spacing w:before="50" w:after="50"/>
              <w:ind w:right="827"/>
              <w:rPr>
                <w:rFonts w:cs="Arial"/>
              </w:rPr>
            </w:pPr>
            <w:r w:rsidRPr="00BE78CA">
              <w:rPr>
                <w:rFonts w:cs="Arial"/>
              </w:rPr>
              <w:t>±100</w:t>
            </w:r>
          </w:p>
        </w:tc>
      </w:tr>
      <w:tr w:rsidR="00FB19C0" w:rsidRPr="00BE78CA" w14:paraId="4A5A59BF" w14:textId="77777777" w:rsidTr="008F032F">
        <w:trPr>
          <w:trHeight w:val="127"/>
        </w:trPr>
        <w:tc>
          <w:tcPr>
            <w:tcW w:w="3402" w:type="dxa"/>
            <w:tcBorders>
              <w:top w:val="single" w:sz="4" w:space="0" w:color="365F91"/>
              <w:left w:val="nil"/>
              <w:bottom w:val="single" w:sz="6" w:space="0" w:color="365F91"/>
              <w:right w:val="nil"/>
            </w:tcBorders>
            <w:shd w:val="clear" w:color="auto" w:fill="FFFFFF"/>
            <w:hideMark/>
          </w:tcPr>
          <w:p w14:paraId="1FDE9E4A" w14:textId="77777777" w:rsidR="00FB19C0" w:rsidRPr="00BE78CA" w:rsidRDefault="00FB19C0" w:rsidP="00C26084">
            <w:pPr>
              <w:pStyle w:val="TableText"/>
              <w:spacing w:before="50" w:after="50"/>
              <w:rPr>
                <w:rFonts w:cs="Arial"/>
                <w:bCs/>
              </w:rPr>
            </w:pPr>
            <w:r w:rsidRPr="00BE78CA">
              <w:rPr>
                <w:rFonts w:cs="Arial"/>
                <w:bCs/>
              </w:rPr>
              <w:t>Waste incineration and open burning (N</w:t>
            </w:r>
            <w:r w:rsidRPr="00BE78CA">
              <w:rPr>
                <w:rFonts w:cs="Arial"/>
                <w:bCs/>
                <w:vertAlign w:val="subscript"/>
              </w:rPr>
              <w:t>2</w:t>
            </w:r>
            <w:r w:rsidRPr="00BE78CA">
              <w:rPr>
                <w:rFonts w:cs="Arial"/>
                <w:bCs/>
              </w:rPr>
              <w:t>O)</w:t>
            </w:r>
          </w:p>
        </w:tc>
        <w:tc>
          <w:tcPr>
            <w:tcW w:w="2727" w:type="dxa"/>
            <w:tcBorders>
              <w:top w:val="single" w:sz="4" w:space="0" w:color="365F91"/>
              <w:left w:val="nil"/>
              <w:bottom w:val="single" w:sz="6" w:space="0" w:color="365F91"/>
              <w:right w:val="nil"/>
            </w:tcBorders>
            <w:shd w:val="clear" w:color="auto" w:fill="FFFFFF"/>
            <w:hideMark/>
          </w:tcPr>
          <w:p w14:paraId="3A6B4B55" w14:textId="77777777" w:rsidR="00FB19C0" w:rsidRPr="00BE78CA" w:rsidRDefault="00FB19C0" w:rsidP="00C26084">
            <w:pPr>
              <w:pStyle w:val="TableText"/>
              <w:spacing w:before="50" w:after="50"/>
              <w:ind w:right="827"/>
              <w:rPr>
                <w:rFonts w:cs="Arial"/>
              </w:rPr>
            </w:pPr>
            <w:r w:rsidRPr="00BE78CA">
              <w:rPr>
                <w:rFonts w:cs="Arial"/>
              </w:rPr>
              <w:t>±50</w:t>
            </w:r>
          </w:p>
        </w:tc>
        <w:tc>
          <w:tcPr>
            <w:tcW w:w="2977" w:type="dxa"/>
            <w:tcBorders>
              <w:top w:val="single" w:sz="4" w:space="0" w:color="365F91"/>
              <w:left w:val="nil"/>
              <w:bottom w:val="single" w:sz="6" w:space="0" w:color="365F91"/>
              <w:right w:val="nil"/>
            </w:tcBorders>
            <w:shd w:val="clear" w:color="auto" w:fill="FFFFFF"/>
            <w:hideMark/>
          </w:tcPr>
          <w:p w14:paraId="4135DC89" w14:textId="77777777" w:rsidR="00FB19C0" w:rsidRPr="00BE78CA" w:rsidRDefault="00FB19C0" w:rsidP="00C26084">
            <w:pPr>
              <w:pStyle w:val="TableText"/>
              <w:spacing w:before="50" w:after="50"/>
              <w:ind w:right="827"/>
              <w:rPr>
                <w:rFonts w:cs="Arial"/>
              </w:rPr>
            </w:pPr>
            <w:r w:rsidRPr="00BE78CA">
              <w:rPr>
                <w:rFonts w:cs="Arial"/>
              </w:rPr>
              <w:t>±100</w:t>
            </w:r>
          </w:p>
        </w:tc>
      </w:tr>
    </w:tbl>
    <w:p w14:paraId="0731D666" w14:textId="77777777" w:rsidR="00FB19C0" w:rsidRPr="00BE78CA" w:rsidRDefault="00FB19C0" w:rsidP="008F032F">
      <w:pPr>
        <w:pStyle w:val="Heading4"/>
        <w:spacing w:before="320"/>
      </w:pPr>
      <w:r w:rsidRPr="00BE78CA">
        <w:t>Time-series consistency</w:t>
      </w:r>
    </w:p>
    <w:p w14:paraId="1DFAAAA6" w14:textId="77777777" w:rsidR="00FB19C0" w:rsidRPr="00BE78CA" w:rsidRDefault="00FB19C0" w:rsidP="00FB19C0">
      <w:pPr>
        <w:pStyle w:val="BodyText"/>
        <w:spacing w:before="100" w:after="100"/>
      </w:pPr>
      <w:r w:rsidRPr="00BE78CA">
        <w:t>Time-series consistency is ensured by the use of consistent models and parameters across the period. Where changes to methodologies or emission factors have occurred, a full time-series recalculation is conducted.</w:t>
      </w:r>
    </w:p>
    <w:p w14:paraId="3471607F" w14:textId="77777777" w:rsidR="00FB19C0" w:rsidRPr="00BE78CA" w:rsidRDefault="00FB19C0" w:rsidP="008F032F">
      <w:pPr>
        <w:pStyle w:val="Heading3"/>
        <w:spacing w:before="280"/>
      </w:pPr>
      <w:bookmarkStart w:id="3017" w:name="_Toc32828347"/>
      <w:r w:rsidRPr="00BE78CA">
        <w:t xml:space="preserve">7.4.4 </w:t>
      </w:r>
      <w:r w:rsidRPr="00BE78CA">
        <w:tab/>
        <w:t>Source-specific QA/QC and verification</w:t>
      </w:r>
      <w:bookmarkEnd w:id="3017"/>
    </w:p>
    <w:p w14:paraId="7C8FB8D5" w14:textId="77777777" w:rsidR="00FB19C0" w:rsidRPr="00BE78CA" w:rsidRDefault="00FB19C0" w:rsidP="008F032F">
      <w:pPr>
        <w:pStyle w:val="BodyText"/>
        <w:spacing w:before="100" w:after="100"/>
      </w:pPr>
      <w:r w:rsidRPr="00BE78CA">
        <w:t xml:space="preserve">Quality-assurance and quality-control checks are carried out where possible. Detailed quality-assurance and quality-control efforts for the Waste sector focus on the </w:t>
      </w:r>
      <w:r w:rsidRPr="00BE78CA">
        <w:rPr>
          <w:i/>
        </w:rPr>
        <w:t>Solid waste disposal</w:t>
      </w:r>
      <w:r w:rsidRPr="00BE78CA">
        <w:t xml:space="preserve"> to land and </w:t>
      </w:r>
      <w:r w:rsidRPr="00BE78CA">
        <w:rPr>
          <w:i/>
        </w:rPr>
        <w:t>Wastewater treatment and discharge</w:t>
      </w:r>
      <w:r w:rsidRPr="00BE78CA">
        <w:t xml:space="preserve"> categories. Activity data for open burning are derived from the landfill data.</w:t>
      </w:r>
    </w:p>
    <w:p w14:paraId="30B2B545" w14:textId="77777777" w:rsidR="00FB19C0" w:rsidRPr="00BE78CA" w:rsidRDefault="00FB19C0" w:rsidP="008F032F">
      <w:pPr>
        <w:pStyle w:val="Heading3"/>
        <w:spacing w:before="280"/>
      </w:pPr>
      <w:bookmarkStart w:id="3018" w:name="_Toc32828348"/>
      <w:r w:rsidRPr="00BE78CA">
        <w:t xml:space="preserve">7.4.5 </w:t>
      </w:r>
      <w:r w:rsidRPr="00BE78CA">
        <w:tab/>
        <w:t>Source-specific recalculations</w:t>
      </w:r>
      <w:bookmarkEnd w:id="3018"/>
    </w:p>
    <w:p w14:paraId="52E0F580" w14:textId="77777777" w:rsidR="00FB19C0" w:rsidRPr="00BE78CA" w:rsidRDefault="00FB19C0" w:rsidP="008F032F">
      <w:pPr>
        <w:pStyle w:val="BodyText"/>
        <w:spacing w:before="100" w:after="100"/>
      </w:pPr>
      <w:r w:rsidRPr="00BE78CA">
        <w:t>No recalculations have been made for incineration (5.C.1). The changes for open burning of farm waste (5.C.2) have increased emissions by 290.9 kt CO</w:t>
      </w:r>
      <w:r w:rsidRPr="00BE78CA">
        <w:rPr>
          <w:vertAlign w:val="subscript"/>
        </w:rPr>
        <w:t>2</w:t>
      </w:r>
      <w:r w:rsidRPr="00BE78CA">
        <w:t>-e (2,951.6 per cent) in 1990 and increased emissions by 182.1 kt CO</w:t>
      </w:r>
      <w:r w:rsidRPr="00BE78CA">
        <w:rPr>
          <w:vertAlign w:val="subscript"/>
        </w:rPr>
        <w:t>2</w:t>
      </w:r>
      <w:r w:rsidRPr="00BE78CA">
        <w:t>-e (2,951.8 per cent) in 2018. This is primarily the result of the increased volumes of waste, and to a lesser extent the effect of changed CO</w:t>
      </w:r>
      <w:r w:rsidRPr="00BE78CA">
        <w:rPr>
          <w:vertAlign w:val="subscript"/>
        </w:rPr>
        <w:t>2</w:t>
      </w:r>
      <w:r w:rsidRPr="00BE78CA">
        <w:t xml:space="preserve"> emission factors, which have been revised to account for the exact composition of the farm waste.</w:t>
      </w:r>
    </w:p>
    <w:p w14:paraId="1B371CBF" w14:textId="77777777" w:rsidR="00FB19C0" w:rsidRPr="00BE78CA" w:rsidRDefault="00FB19C0" w:rsidP="008F032F">
      <w:pPr>
        <w:pStyle w:val="Heading3"/>
        <w:spacing w:before="280"/>
      </w:pPr>
      <w:bookmarkStart w:id="3019" w:name="_Toc32828349"/>
      <w:r w:rsidRPr="00BE78CA">
        <w:t xml:space="preserve">7.4.6 </w:t>
      </w:r>
      <w:r w:rsidRPr="00BE78CA">
        <w:tab/>
        <w:t>Source-specific planned improvements</w:t>
      </w:r>
      <w:bookmarkEnd w:id="3019"/>
    </w:p>
    <w:p w14:paraId="2C569EC9" w14:textId="77777777" w:rsidR="00FB19C0" w:rsidRPr="00BE78CA" w:rsidRDefault="00FB19C0" w:rsidP="008F032F">
      <w:pPr>
        <w:pStyle w:val="BodyText"/>
        <w:spacing w:before="100" w:after="100"/>
      </w:pPr>
      <w:r w:rsidRPr="00BE78CA">
        <w:t>No specific improvements are planned for this category. Over time, surveys by local authorities on disposal of waste in the farm sector may provide a better understanding of open burning in the farm sector. Further work is needed to understand the ratio of farm waste disposed to open burning or landfills (also see section 7.2.6). Anecdotal evidence suggests that incineration may be occurring at lower volumes than is assumed. Changes will be made when evidence becomes available to confirm this, noting that emissions from incineration are well under 1 per cent of the Waste sector, and that there are other incineration sources (rural schools) currently not estimated.</w:t>
      </w:r>
    </w:p>
    <w:p w14:paraId="12163EDE" w14:textId="77777777" w:rsidR="00FB19C0" w:rsidRPr="00BE78CA" w:rsidRDefault="00FB19C0" w:rsidP="008F032F">
      <w:pPr>
        <w:pStyle w:val="Heading2"/>
        <w:spacing w:before="280"/>
      </w:pPr>
      <w:bookmarkStart w:id="3020" w:name="_Toc32828350"/>
      <w:bookmarkStart w:id="3021" w:name="_Toc5269390"/>
      <w:bookmarkStart w:id="3022" w:name="_Toc511116628"/>
      <w:bookmarkStart w:id="3023" w:name="_Toc481751413"/>
      <w:bookmarkStart w:id="3024" w:name="_Toc448321551"/>
      <w:bookmarkStart w:id="3025" w:name="_Toc36224430"/>
      <w:bookmarkStart w:id="3026" w:name="_Toc68786350"/>
      <w:r w:rsidRPr="00BE78CA">
        <w:t xml:space="preserve">7.5 </w:t>
      </w:r>
      <w:r w:rsidRPr="00BE78CA">
        <w:tab/>
        <w:t>Wastewater treatment and discharge (5.D)</w:t>
      </w:r>
      <w:bookmarkEnd w:id="3016"/>
      <w:bookmarkEnd w:id="3020"/>
      <w:bookmarkEnd w:id="3021"/>
      <w:bookmarkEnd w:id="3022"/>
      <w:bookmarkEnd w:id="3023"/>
      <w:bookmarkEnd w:id="3024"/>
      <w:bookmarkEnd w:id="3025"/>
      <w:bookmarkEnd w:id="3026"/>
    </w:p>
    <w:p w14:paraId="7A7686D0" w14:textId="77777777" w:rsidR="00FB19C0" w:rsidRPr="00BE78CA" w:rsidRDefault="00FB19C0" w:rsidP="00FB19C0">
      <w:pPr>
        <w:pStyle w:val="Heading3"/>
        <w:spacing w:before="120"/>
      </w:pPr>
      <w:bookmarkStart w:id="3027" w:name="_Toc32828351"/>
      <w:r w:rsidRPr="00BE78CA">
        <w:t>7.5.1</w:t>
      </w:r>
      <w:r w:rsidRPr="00BE78CA">
        <w:tab/>
        <w:t>Description</w:t>
      </w:r>
      <w:bookmarkEnd w:id="3027"/>
    </w:p>
    <w:p w14:paraId="301ED44C" w14:textId="77777777" w:rsidR="00FB19C0" w:rsidRPr="00BE78CA" w:rsidRDefault="00FB19C0" w:rsidP="008F032F">
      <w:pPr>
        <w:pStyle w:val="BodyText"/>
        <w:spacing w:before="100" w:after="100"/>
      </w:pPr>
      <w:r w:rsidRPr="00BE78CA">
        <w:t xml:space="preserve">In 2019, </w:t>
      </w:r>
      <w:r w:rsidRPr="00BE78CA">
        <w:rPr>
          <w:i/>
        </w:rPr>
        <w:t>Wastewater treatment and discharge</w:t>
      </w:r>
      <w:r w:rsidRPr="00BE78CA">
        <w:t xml:space="preserve"> contributed 372.5 kt CO</w:t>
      </w:r>
      <w:r w:rsidRPr="00BE78CA">
        <w:rPr>
          <w:vertAlign w:val="subscript"/>
        </w:rPr>
        <w:t>2</w:t>
      </w:r>
      <w:r w:rsidRPr="00BE78CA">
        <w:t>-e (11.2 per cent) of emissions from the Waste sector. This was an increase of 69.2 kt CO</w:t>
      </w:r>
      <w:r w:rsidRPr="00BE78CA">
        <w:rPr>
          <w:vertAlign w:val="subscript"/>
        </w:rPr>
        <w:t>2</w:t>
      </w:r>
      <w:r w:rsidRPr="00BE78CA">
        <w:t>-e (22.8 per cent) from the 1990 level of 303.3 kt CO</w:t>
      </w:r>
      <w:r w:rsidRPr="00BE78CA">
        <w:rPr>
          <w:vertAlign w:val="subscript"/>
        </w:rPr>
        <w:t>2</w:t>
      </w:r>
      <w:r w:rsidRPr="00BE78CA">
        <w:t>-e and is due to increases in the volume of industrial and domestic wastewater handled over this period.</w:t>
      </w:r>
    </w:p>
    <w:p w14:paraId="29C32F78" w14:textId="77777777" w:rsidR="00FB19C0" w:rsidRPr="00BE78CA" w:rsidRDefault="00FB19C0" w:rsidP="008F032F">
      <w:pPr>
        <w:pStyle w:val="BodyText"/>
        <w:spacing w:before="100" w:after="100"/>
      </w:pPr>
      <w:r w:rsidRPr="00BE78CA">
        <w:t xml:space="preserve">Small amounts of industrial wastewater are applied as organic amendments to agricultural soils, as well as an extremely small amount of sewage sludge (van der Weerden et al., 2014). Any emissions from this practice are likely to be insignificant and are reported as ‘not estimated’ in the Agriculture sector (see chapter 5, section 5.5.2). Table 7.5.1 presents emissions from </w:t>
      </w:r>
      <w:r w:rsidRPr="00BE78CA">
        <w:rPr>
          <w:i/>
        </w:rPr>
        <w:t>Wastewater treatment and discharge</w:t>
      </w:r>
      <w:r w:rsidRPr="00BE78CA">
        <w:t>.</w:t>
      </w:r>
    </w:p>
    <w:p w14:paraId="4000C97D" w14:textId="77777777" w:rsidR="00FB19C0" w:rsidRPr="00BE78CA" w:rsidRDefault="00FB19C0" w:rsidP="00FB19C0">
      <w:pPr>
        <w:pStyle w:val="BodyText"/>
      </w:pPr>
      <w:r w:rsidRPr="00BE78CA">
        <w:lastRenderedPageBreak/>
        <w:t xml:space="preserve">Sludge amounts are reported as included elsewhere (IE) for domestic and industrial wastewater because most of the sludge is sent to landfills, and activity data and emissions from its disposal are reported in the </w:t>
      </w:r>
      <w:r w:rsidRPr="00BE78CA">
        <w:rPr>
          <w:i/>
        </w:rPr>
        <w:t>Solid waste</w:t>
      </w:r>
      <w:r w:rsidRPr="00BE78CA">
        <w:t xml:space="preserve"> </w:t>
      </w:r>
      <w:r w:rsidRPr="00BE78CA">
        <w:rPr>
          <w:i/>
        </w:rPr>
        <w:t>disposal</w:t>
      </w:r>
      <w:r w:rsidRPr="00BE78CA">
        <w:t xml:space="preserve"> source category (Tonkin and Taylor Ltd, unpublished(a)).</w:t>
      </w:r>
      <w:bookmarkStart w:id="3028" w:name="_Toc32828536"/>
      <w:bookmarkStart w:id="3029" w:name="_Toc32591366"/>
      <w:bookmarkStart w:id="3030" w:name="_Toc5269578"/>
      <w:bookmarkStart w:id="3031" w:name="_Toc36224659"/>
    </w:p>
    <w:p w14:paraId="793E9168" w14:textId="77777777" w:rsidR="00FB19C0" w:rsidRPr="00BE78CA" w:rsidRDefault="00FB19C0" w:rsidP="00FB19C0">
      <w:pPr>
        <w:pStyle w:val="Table"/>
        <w:rPr>
          <w:rFonts w:cs="Arial"/>
        </w:rPr>
      </w:pPr>
      <w:bookmarkStart w:id="3032" w:name="_Toc68786545"/>
      <w:r w:rsidRPr="00BE78CA">
        <w:rPr>
          <w:rFonts w:cs="Arial"/>
        </w:rPr>
        <w:t xml:space="preserve">Table 7.5.1 </w:t>
      </w:r>
      <w:r w:rsidRPr="00BE78CA">
        <w:rPr>
          <w:rFonts w:cs="Arial"/>
        </w:rPr>
        <w:tab/>
        <w:t>Emissions from Wastewater treatment and discharge (5.D)</w:t>
      </w:r>
      <w:bookmarkEnd w:id="3028"/>
      <w:bookmarkEnd w:id="3029"/>
      <w:bookmarkEnd w:id="3030"/>
      <w:bookmarkEnd w:id="3031"/>
      <w:bookmarkEnd w:id="3032"/>
    </w:p>
    <w:tbl>
      <w:tblPr>
        <w:tblW w:w="8505" w:type="dxa"/>
        <w:tblLayout w:type="fixed"/>
        <w:tblLook w:val="04A0" w:firstRow="1" w:lastRow="0" w:firstColumn="1" w:lastColumn="0" w:noHBand="0" w:noVBand="1"/>
      </w:tblPr>
      <w:tblGrid>
        <w:gridCol w:w="2629"/>
        <w:gridCol w:w="1236"/>
        <w:gridCol w:w="1203"/>
        <w:gridCol w:w="1892"/>
        <w:gridCol w:w="1545"/>
      </w:tblGrid>
      <w:tr w:rsidR="00FB19C0" w:rsidRPr="00BE78CA" w14:paraId="3C3B5530" w14:textId="77777777" w:rsidTr="008F032F">
        <w:tc>
          <w:tcPr>
            <w:tcW w:w="1546" w:type="pct"/>
            <w:tcBorders>
              <w:top w:val="single" w:sz="4" w:space="0" w:color="365F91"/>
              <w:left w:val="nil"/>
              <w:bottom w:val="single" w:sz="4" w:space="0" w:color="365F91"/>
              <w:right w:val="nil"/>
            </w:tcBorders>
            <w:shd w:val="clear" w:color="auto" w:fill="365F91"/>
            <w:vAlign w:val="bottom"/>
          </w:tcPr>
          <w:p w14:paraId="705D2A2E" w14:textId="77777777" w:rsidR="00FB19C0" w:rsidRPr="00BE78CA" w:rsidRDefault="00FB19C0" w:rsidP="00C26084">
            <w:pPr>
              <w:pStyle w:val="TableTextBold"/>
              <w:jc w:val="center"/>
              <w:rPr>
                <w:noProof w:val="0"/>
                <w:color w:val="FFFFFF" w:themeColor="background1"/>
              </w:rPr>
            </w:pPr>
          </w:p>
        </w:tc>
        <w:tc>
          <w:tcPr>
            <w:tcW w:w="1434" w:type="pct"/>
            <w:gridSpan w:val="2"/>
            <w:tcBorders>
              <w:top w:val="single" w:sz="4" w:space="0" w:color="365F91"/>
              <w:left w:val="nil"/>
              <w:bottom w:val="single" w:sz="4" w:space="0" w:color="365F91"/>
              <w:right w:val="nil"/>
            </w:tcBorders>
            <w:shd w:val="clear" w:color="auto" w:fill="365F91"/>
            <w:vAlign w:val="bottom"/>
            <w:hideMark/>
          </w:tcPr>
          <w:p w14:paraId="41281A07" w14:textId="77777777" w:rsidR="00FB19C0" w:rsidRPr="00BE78CA" w:rsidRDefault="00FB19C0" w:rsidP="00C26084">
            <w:pPr>
              <w:pStyle w:val="TableTextBold"/>
              <w:jc w:val="center"/>
              <w:rPr>
                <w:noProof w:val="0"/>
                <w:color w:val="FFFFFF" w:themeColor="background1"/>
              </w:rPr>
            </w:pPr>
            <w:r w:rsidRPr="00BE78CA">
              <w:rPr>
                <w:noProof w:val="0"/>
                <w:color w:val="FFFFFF" w:themeColor="background1"/>
              </w:rPr>
              <w:t>Emissions (kt CO</w:t>
            </w:r>
            <w:r w:rsidRPr="00BE78CA">
              <w:rPr>
                <w:noProof w:val="0"/>
                <w:color w:val="FFFFFF" w:themeColor="background1"/>
                <w:vertAlign w:val="subscript"/>
              </w:rPr>
              <w:t>2</w:t>
            </w:r>
            <w:r w:rsidRPr="00BE78CA">
              <w:rPr>
                <w:noProof w:val="0"/>
                <w:color w:val="FFFFFF" w:themeColor="background1"/>
              </w:rPr>
              <w:t>-e)</w:t>
            </w:r>
          </w:p>
        </w:tc>
        <w:tc>
          <w:tcPr>
            <w:tcW w:w="1112" w:type="pct"/>
            <w:tcBorders>
              <w:top w:val="single" w:sz="4" w:space="0" w:color="365F91"/>
              <w:left w:val="nil"/>
              <w:bottom w:val="single" w:sz="4" w:space="0" w:color="365F91"/>
              <w:right w:val="nil"/>
            </w:tcBorders>
            <w:shd w:val="clear" w:color="auto" w:fill="365F91"/>
            <w:vAlign w:val="bottom"/>
            <w:hideMark/>
          </w:tcPr>
          <w:p w14:paraId="3A7B4700" w14:textId="77777777" w:rsidR="00FB19C0" w:rsidRPr="00BE78CA" w:rsidRDefault="00FB19C0" w:rsidP="00C26084">
            <w:pPr>
              <w:pStyle w:val="TableTextBold"/>
              <w:jc w:val="center"/>
              <w:rPr>
                <w:noProof w:val="0"/>
                <w:color w:val="FFFFFF" w:themeColor="background1"/>
              </w:rPr>
            </w:pPr>
            <w:r w:rsidRPr="00BE78CA">
              <w:rPr>
                <w:noProof w:val="0"/>
                <w:color w:val="FFFFFF" w:themeColor="background1"/>
              </w:rPr>
              <w:t>Difference (kt CO</w:t>
            </w:r>
            <w:r w:rsidRPr="00BE78CA">
              <w:rPr>
                <w:noProof w:val="0"/>
                <w:color w:val="FFFFFF" w:themeColor="background1"/>
                <w:vertAlign w:val="subscript"/>
              </w:rPr>
              <w:t>2</w:t>
            </w:r>
            <w:r w:rsidRPr="00BE78CA">
              <w:rPr>
                <w:noProof w:val="0"/>
                <w:color w:val="FFFFFF" w:themeColor="background1"/>
              </w:rPr>
              <w:t>-e)</w:t>
            </w:r>
          </w:p>
        </w:tc>
        <w:tc>
          <w:tcPr>
            <w:tcW w:w="908" w:type="pct"/>
            <w:tcBorders>
              <w:top w:val="single" w:sz="4" w:space="0" w:color="365F91"/>
              <w:left w:val="nil"/>
              <w:bottom w:val="single" w:sz="4" w:space="0" w:color="365F91"/>
              <w:right w:val="nil"/>
            </w:tcBorders>
            <w:shd w:val="clear" w:color="auto" w:fill="365F91"/>
            <w:vAlign w:val="bottom"/>
            <w:hideMark/>
          </w:tcPr>
          <w:p w14:paraId="265F9747" w14:textId="77777777" w:rsidR="00FB19C0" w:rsidRPr="00BE78CA" w:rsidRDefault="00FB19C0" w:rsidP="00C26084">
            <w:pPr>
              <w:pStyle w:val="TableTextBold"/>
              <w:jc w:val="center"/>
              <w:rPr>
                <w:noProof w:val="0"/>
                <w:color w:val="FFFFFF" w:themeColor="background1"/>
              </w:rPr>
            </w:pPr>
            <w:r w:rsidRPr="00BE78CA">
              <w:rPr>
                <w:noProof w:val="0"/>
                <w:color w:val="FFFFFF" w:themeColor="background1"/>
              </w:rPr>
              <w:t>Change (%)</w:t>
            </w:r>
          </w:p>
        </w:tc>
      </w:tr>
      <w:tr w:rsidR="00FB19C0" w:rsidRPr="00BE78CA" w14:paraId="28A17C9D" w14:textId="77777777" w:rsidTr="008F032F">
        <w:tc>
          <w:tcPr>
            <w:tcW w:w="1546" w:type="pct"/>
            <w:tcBorders>
              <w:top w:val="single" w:sz="4" w:space="0" w:color="365F91"/>
              <w:left w:val="nil"/>
              <w:bottom w:val="single" w:sz="4" w:space="0" w:color="365F91"/>
              <w:right w:val="nil"/>
            </w:tcBorders>
            <w:shd w:val="clear" w:color="auto" w:fill="FFFFFF"/>
            <w:hideMark/>
          </w:tcPr>
          <w:p w14:paraId="4B3FD679" w14:textId="77777777" w:rsidR="00FB19C0" w:rsidRPr="00BE78CA" w:rsidRDefault="00FB19C0" w:rsidP="00C26084">
            <w:pPr>
              <w:pStyle w:val="Tableboldblue"/>
            </w:pPr>
            <w:r w:rsidRPr="00BE78CA">
              <w:t>Source category</w:t>
            </w:r>
          </w:p>
        </w:tc>
        <w:tc>
          <w:tcPr>
            <w:tcW w:w="727" w:type="pct"/>
            <w:tcBorders>
              <w:top w:val="single" w:sz="4" w:space="0" w:color="365F91"/>
              <w:left w:val="nil"/>
              <w:bottom w:val="single" w:sz="4" w:space="0" w:color="365F91"/>
              <w:right w:val="nil"/>
            </w:tcBorders>
            <w:shd w:val="clear" w:color="auto" w:fill="FFFFFF"/>
            <w:hideMark/>
          </w:tcPr>
          <w:p w14:paraId="6B13B719" w14:textId="77777777" w:rsidR="00FB19C0" w:rsidRPr="00BE78CA" w:rsidRDefault="00FB19C0" w:rsidP="00C26084">
            <w:pPr>
              <w:pStyle w:val="Tableboldblue"/>
              <w:jc w:val="center"/>
            </w:pPr>
            <w:r w:rsidRPr="00BE78CA">
              <w:t>1990</w:t>
            </w:r>
          </w:p>
        </w:tc>
        <w:tc>
          <w:tcPr>
            <w:tcW w:w="707" w:type="pct"/>
            <w:tcBorders>
              <w:top w:val="single" w:sz="4" w:space="0" w:color="365F91"/>
              <w:left w:val="nil"/>
              <w:bottom w:val="single" w:sz="4" w:space="0" w:color="365F91"/>
              <w:right w:val="nil"/>
            </w:tcBorders>
            <w:shd w:val="clear" w:color="auto" w:fill="FFFFFF"/>
            <w:hideMark/>
          </w:tcPr>
          <w:p w14:paraId="6E641D6F" w14:textId="77777777" w:rsidR="00FB19C0" w:rsidRPr="00BE78CA" w:rsidRDefault="00FB19C0" w:rsidP="00C26084">
            <w:pPr>
              <w:pStyle w:val="Tableboldblue"/>
              <w:jc w:val="center"/>
            </w:pPr>
            <w:r w:rsidRPr="00BE78CA">
              <w:t>2019</w:t>
            </w:r>
          </w:p>
        </w:tc>
        <w:tc>
          <w:tcPr>
            <w:tcW w:w="1112" w:type="pct"/>
            <w:tcBorders>
              <w:top w:val="single" w:sz="4" w:space="0" w:color="365F91"/>
              <w:left w:val="nil"/>
              <w:bottom w:val="single" w:sz="4" w:space="0" w:color="365F91"/>
              <w:right w:val="nil"/>
            </w:tcBorders>
            <w:shd w:val="clear" w:color="auto" w:fill="FFFFFF"/>
            <w:hideMark/>
          </w:tcPr>
          <w:p w14:paraId="11CA2623" w14:textId="77777777" w:rsidR="00FB19C0" w:rsidRPr="00BE78CA" w:rsidRDefault="00FB19C0" w:rsidP="00C26084">
            <w:pPr>
              <w:pStyle w:val="Tableboldblue"/>
              <w:jc w:val="center"/>
            </w:pPr>
            <w:r w:rsidRPr="00BE78CA">
              <w:t>1990–2019</w:t>
            </w:r>
          </w:p>
        </w:tc>
        <w:tc>
          <w:tcPr>
            <w:tcW w:w="908" w:type="pct"/>
            <w:tcBorders>
              <w:top w:val="single" w:sz="4" w:space="0" w:color="365F91"/>
              <w:left w:val="nil"/>
              <w:bottom w:val="single" w:sz="4" w:space="0" w:color="365F91"/>
              <w:right w:val="nil"/>
            </w:tcBorders>
            <w:shd w:val="clear" w:color="auto" w:fill="FFFFFF"/>
            <w:hideMark/>
          </w:tcPr>
          <w:p w14:paraId="1325B51B" w14:textId="77777777" w:rsidR="00FB19C0" w:rsidRPr="00BE78CA" w:rsidRDefault="00FB19C0" w:rsidP="00C26084">
            <w:pPr>
              <w:pStyle w:val="Tableboldblue"/>
              <w:jc w:val="center"/>
            </w:pPr>
            <w:r w:rsidRPr="00BE78CA">
              <w:t>1990–2019</w:t>
            </w:r>
          </w:p>
        </w:tc>
      </w:tr>
      <w:tr w:rsidR="00FB19C0" w:rsidRPr="00BE78CA" w14:paraId="20EFFEFA" w14:textId="77777777" w:rsidTr="008F032F">
        <w:tc>
          <w:tcPr>
            <w:tcW w:w="1546" w:type="pct"/>
            <w:tcBorders>
              <w:top w:val="single" w:sz="4" w:space="0" w:color="365F91"/>
              <w:left w:val="nil"/>
              <w:bottom w:val="single" w:sz="4" w:space="0" w:color="365F91"/>
              <w:right w:val="nil"/>
            </w:tcBorders>
            <w:hideMark/>
          </w:tcPr>
          <w:p w14:paraId="56366887" w14:textId="77777777" w:rsidR="00FB19C0" w:rsidRPr="00BE78CA" w:rsidRDefault="00FB19C0" w:rsidP="00C26084">
            <w:pPr>
              <w:pStyle w:val="TableText"/>
            </w:pPr>
            <w:r w:rsidRPr="00BE78CA">
              <w:t>Domestic wastewater (5.D.1)</w:t>
            </w:r>
          </w:p>
        </w:tc>
        <w:tc>
          <w:tcPr>
            <w:tcW w:w="727" w:type="pct"/>
            <w:tcBorders>
              <w:top w:val="single" w:sz="4" w:space="0" w:color="365F91"/>
              <w:left w:val="nil"/>
              <w:bottom w:val="single" w:sz="4" w:space="0" w:color="365F91"/>
              <w:right w:val="nil"/>
            </w:tcBorders>
            <w:hideMark/>
          </w:tcPr>
          <w:p w14:paraId="0054E68D" w14:textId="77777777" w:rsidR="00FB19C0" w:rsidRPr="00BE78CA" w:rsidRDefault="00FB19C0" w:rsidP="00C26084">
            <w:pPr>
              <w:pStyle w:val="TableText"/>
              <w:jc w:val="center"/>
              <w:rPr>
                <w:rFonts w:cs="Arial"/>
              </w:rPr>
            </w:pPr>
            <w:r w:rsidRPr="00BE78CA">
              <w:t>211.4</w:t>
            </w:r>
          </w:p>
        </w:tc>
        <w:tc>
          <w:tcPr>
            <w:tcW w:w="707" w:type="pct"/>
            <w:tcBorders>
              <w:top w:val="single" w:sz="4" w:space="0" w:color="365F91"/>
              <w:left w:val="nil"/>
              <w:bottom w:val="single" w:sz="4" w:space="0" w:color="365F91"/>
              <w:right w:val="nil"/>
            </w:tcBorders>
            <w:hideMark/>
          </w:tcPr>
          <w:p w14:paraId="541D6B17" w14:textId="77777777" w:rsidR="00FB19C0" w:rsidRPr="00BE78CA" w:rsidRDefault="00FB19C0" w:rsidP="00C26084">
            <w:pPr>
              <w:pStyle w:val="TableText"/>
              <w:tabs>
                <w:tab w:val="decimal" w:pos="245"/>
              </w:tabs>
              <w:jc w:val="center"/>
            </w:pPr>
            <w:r w:rsidRPr="00BE78CA">
              <w:t>269.3</w:t>
            </w:r>
          </w:p>
        </w:tc>
        <w:tc>
          <w:tcPr>
            <w:tcW w:w="1112" w:type="pct"/>
            <w:tcBorders>
              <w:top w:val="single" w:sz="4" w:space="0" w:color="365F91"/>
              <w:left w:val="nil"/>
              <w:bottom w:val="single" w:sz="4" w:space="0" w:color="365F91"/>
              <w:right w:val="nil"/>
            </w:tcBorders>
            <w:hideMark/>
          </w:tcPr>
          <w:p w14:paraId="07A23038" w14:textId="77777777" w:rsidR="00FB19C0" w:rsidRPr="00BE78CA" w:rsidRDefault="00FB19C0" w:rsidP="00C26084">
            <w:pPr>
              <w:pStyle w:val="TableText"/>
              <w:tabs>
                <w:tab w:val="decimal" w:pos="184"/>
              </w:tabs>
              <w:jc w:val="center"/>
            </w:pPr>
            <w:r w:rsidRPr="00BE78CA">
              <w:t>57.9</w:t>
            </w:r>
          </w:p>
        </w:tc>
        <w:tc>
          <w:tcPr>
            <w:tcW w:w="908" w:type="pct"/>
            <w:tcBorders>
              <w:top w:val="single" w:sz="4" w:space="0" w:color="365F91"/>
              <w:left w:val="nil"/>
              <w:bottom w:val="single" w:sz="4" w:space="0" w:color="365F91"/>
              <w:right w:val="nil"/>
            </w:tcBorders>
            <w:hideMark/>
          </w:tcPr>
          <w:p w14:paraId="7420948E" w14:textId="77777777" w:rsidR="00FB19C0" w:rsidRPr="00BE78CA" w:rsidRDefault="00FB19C0" w:rsidP="00C26084">
            <w:pPr>
              <w:pStyle w:val="TableText"/>
              <w:tabs>
                <w:tab w:val="decimal" w:pos="293"/>
              </w:tabs>
              <w:jc w:val="center"/>
            </w:pPr>
            <w:r w:rsidRPr="00BE78CA">
              <w:t>27.4</w:t>
            </w:r>
          </w:p>
        </w:tc>
      </w:tr>
      <w:tr w:rsidR="00FB19C0" w:rsidRPr="00BE78CA" w14:paraId="3C373E66" w14:textId="77777777" w:rsidTr="008F032F">
        <w:tc>
          <w:tcPr>
            <w:tcW w:w="1546" w:type="pct"/>
            <w:tcBorders>
              <w:top w:val="single" w:sz="4" w:space="0" w:color="365F91"/>
              <w:left w:val="nil"/>
              <w:bottom w:val="single" w:sz="4" w:space="0" w:color="365F91"/>
              <w:right w:val="nil"/>
            </w:tcBorders>
            <w:hideMark/>
          </w:tcPr>
          <w:p w14:paraId="32158C2C" w14:textId="77777777" w:rsidR="00FB19C0" w:rsidRPr="00BE78CA" w:rsidRDefault="00FB19C0" w:rsidP="00C26084">
            <w:pPr>
              <w:pStyle w:val="TableText"/>
            </w:pPr>
            <w:r w:rsidRPr="00BE78CA">
              <w:t>Industrial wastewater (5.D.2)</w:t>
            </w:r>
          </w:p>
        </w:tc>
        <w:tc>
          <w:tcPr>
            <w:tcW w:w="727" w:type="pct"/>
            <w:tcBorders>
              <w:top w:val="single" w:sz="4" w:space="0" w:color="365F91"/>
              <w:left w:val="nil"/>
              <w:bottom w:val="single" w:sz="4" w:space="0" w:color="365F91"/>
              <w:right w:val="nil"/>
            </w:tcBorders>
            <w:hideMark/>
          </w:tcPr>
          <w:p w14:paraId="7FAF352B" w14:textId="77777777" w:rsidR="00FB19C0" w:rsidRPr="00BE78CA" w:rsidRDefault="00FB19C0" w:rsidP="00C26084">
            <w:pPr>
              <w:pStyle w:val="TableText"/>
              <w:jc w:val="center"/>
            </w:pPr>
            <w:r w:rsidRPr="00BE78CA">
              <w:t>91.9</w:t>
            </w:r>
          </w:p>
        </w:tc>
        <w:tc>
          <w:tcPr>
            <w:tcW w:w="707" w:type="pct"/>
            <w:tcBorders>
              <w:top w:val="single" w:sz="4" w:space="0" w:color="365F91"/>
              <w:left w:val="nil"/>
              <w:bottom w:val="single" w:sz="4" w:space="0" w:color="365F91"/>
              <w:right w:val="nil"/>
            </w:tcBorders>
            <w:hideMark/>
          </w:tcPr>
          <w:p w14:paraId="7F97B3DE" w14:textId="77777777" w:rsidR="00FB19C0" w:rsidRPr="00BE78CA" w:rsidRDefault="00FB19C0" w:rsidP="00C26084">
            <w:pPr>
              <w:pStyle w:val="TableText"/>
              <w:tabs>
                <w:tab w:val="decimal" w:pos="245"/>
              </w:tabs>
              <w:jc w:val="center"/>
            </w:pPr>
            <w:r w:rsidRPr="00BE78CA">
              <w:t>103.2</w:t>
            </w:r>
          </w:p>
        </w:tc>
        <w:tc>
          <w:tcPr>
            <w:tcW w:w="1112" w:type="pct"/>
            <w:tcBorders>
              <w:top w:val="single" w:sz="4" w:space="0" w:color="365F91"/>
              <w:left w:val="nil"/>
              <w:bottom w:val="single" w:sz="4" w:space="0" w:color="365F91"/>
              <w:right w:val="nil"/>
            </w:tcBorders>
            <w:hideMark/>
          </w:tcPr>
          <w:p w14:paraId="79DC5896" w14:textId="77777777" w:rsidR="00FB19C0" w:rsidRPr="00BE78CA" w:rsidRDefault="00FB19C0" w:rsidP="00C26084">
            <w:pPr>
              <w:pStyle w:val="TableText"/>
              <w:tabs>
                <w:tab w:val="decimal" w:pos="184"/>
              </w:tabs>
              <w:jc w:val="center"/>
            </w:pPr>
            <w:r w:rsidRPr="00BE78CA">
              <w:t>11.3</w:t>
            </w:r>
          </w:p>
        </w:tc>
        <w:tc>
          <w:tcPr>
            <w:tcW w:w="908" w:type="pct"/>
            <w:tcBorders>
              <w:top w:val="single" w:sz="4" w:space="0" w:color="365F91"/>
              <w:left w:val="nil"/>
              <w:bottom w:val="single" w:sz="4" w:space="0" w:color="365F91"/>
              <w:right w:val="nil"/>
            </w:tcBorders>
            <w:hideMark/>
          </w:tcPr>
          <w:p w14:paraId="153F65F6" w14:textId="77777777" w:rsidR="00FB19C0" w:rsidRPr="00BE78CA" w:rsidRDefault="00FB19C0" w:rsidP="00C26084">
            <w:pPr>
              <w:pStyle w:val="TableText"/>
              <w:tabs>
                <w:tab w:val="decimal" w:pos="293"/>
              </w:tabs>
              <w:jc w:val="center"/>
            </w:pPr>
            <w:r w:rsidRPr="00BE78CA">
              <w:t>12.3</w:t>
            </w:r>
          </w:p>
        </w:tc>
      </w:tr>
      <w:tr w:rsidR="00FB19C0" w:rsidRPr="00BE78CA" w14:paraId="06C522E4" w14:textId="77777777" w:rsidTr="008F032F">
        <w:tc>
          <w:tcPr>
            <w:tcW w:w="1546" w:type="pct"/>
            <w:tcBorders>
              <w:top w:val="single" w:sz="4" w:space="0" w:color="365F91"/>
              <w:left w:val="nil"/>
              <w:bottom w:val="single" w:sz="4" w:space="0" w:color="365F91"/>
              <w:right w:val="nil"/>
            </w:tcBorders>
            <w:shd w:val="clear" w:color="auto" w:fill="FFFFFF"/>
            <w:hideMark/>
          </w:tcPr>
          <w:p w14:paraId="2E619317" w14:textId="77777777" w:rsidR="00FB19C0" w:rsidRPr="00BE78CA" w:rsidRDefault="00FB19C0" w:rsidP="00C26084">
            <w:pPr>
              <w:pStyle w:val="Tableboldblue"/>
            </w:pPr>
            <w:r w:rsidRPr="00BE78CA">
              <w:t>Total (5.D)</w:t>
            </w:r>
          </w:p>
        </w:tc>
        <w:tc>
          <w:tcPr>
            <w:tcW w:w="727" w:type="pct"/>
            <w:tcBorders>
              <w:top w:val="single" w:sz="4" w:space="0" w:color="365F91"/>
              <w:left w:val="nil"/>
              <w:bottom w:val="single" w:sz="4" w:space="0" w:color="365F91"/>
              <w:right w:val="nil"/>
            </w:tcBorders>
            <w:shd w:val="clear" w:color="auto" w:fill="FFFFFF"/>
            <w:hideMark/>
          </w:tcPr>
          <w:p w14:paraId="7054B07F" w14:textId="77777777" w:rsidR="00FB19C0" w:rsidRPr="00BE78CA" w:rsidRDefault="00FB19C0" w:rsidP="00C26084">
            <w:pPr>
              <w:pStyle w:val="Tableboldblue"/>
              <w:jc w:val="center"/>
            </w:pPr>
            <w:r w:rsidRPr="00BE78CA">
              <w:t>303.3</w:t>
            </w:r>
          </w:p>
        </w:tc>
        <w:tc>
          <w:tcPr>
            <w:tcW w:w="707" w:type="pct"/>
            <w:tcBorders>
              <w:top w:val="single" w:sz="4" w:space="0" w:color="365F91"/>
              <w:left w:val="nil"/>
              <w:bottom w:val="single" w:sz="4" w:space="0" w:color="365F91"/>
              <w:right w:val="nil"/>
            </w:tcBorders>
            <w:shd w:val="clear" w:color="auto" w:fill="FFFFFF"/>
            <w:hideMark/>
          </w:tcPr>
          <w:p w14:paraId="7C03DB7D" w14:textId="77777777" w:rsidR="00FB19C0" w:rsidRPr="00BE78CA" w:rsidRDefault="00FB19C0" w:rsidP="00C26084">
            <w:pPr>
              <w:pStyle w:val="Tableboldblue"/>
              <w:tabs>
                <w:tab w:val="decimal" w:pos="245"/>
              </w:tabs>
              <w:jc w:val="center"/>
            </w:pPr>
            <w:r w:rsidRPr="00BE78CA">
              <w:t>372.5</w:t>
            </w:r>
          </w:p>
        </w:tc>
        <w:tc>
          <w:tcPr>
            <w:tcW w:w="1112" w:type="pct"/>
            <w:tcBorders>
              <w:top w:val="single" w:sz="4" w:space="0" w:color="365F91"/>
              <w:left w:val="nil"/>
              <w:bottom w:val="single" w:sz="4" w:space="0" w:color="365F91"/>
              <w:right w:val="nil"/>
            </w:tcBorders>
            <w:shd w:val="clear" w:color="auto" w:fill="FFFFFF"/>
            <w:hideMark/>
          </w:tcPr>
          <w:p w14:paraId="3B084538" w14:textId="77777777" w:rsidR="00FB19C0" w:rsidRPr="00BE78CA" w:rsidRDefault="00FB19C0" w:rsidP="00C26084">
            <w:pPr>
              <w:pStyle w:val="Tableboldblue"/>
              <w:tabs>
                <w:tab w:val="decimal" w:pos="184"/>
              </w:tabs>
              <w:jc w:val="center"/>
            </w:pPr>
            <w:r w:rsidRPr="00BE78CA">
              <w:t>69.2</w:t>
            </w:r>
          </w:p>
        </w:tc>
        <w:tc>
          <w:tcPr>
            <w:tcW w:w="908" w:type="pct"/>
            <w:tcBorders>
              <w:top w:val="single" w:sz="4" w:space="0" w:color="365F91"/>
              <w:left w:val="nil"/>
              <w:bottom w:val="single" w:sz="4" w:space="0" w:color="365F91"/>
              <w:right w:val="nil"/>
            </w:tcBorders>
            <w:shd w:val="clear" w:color="auto" w:fill="FFFFFF"/>
            <w:hideMark/>
          </w:tcPr>
          <w:p w14:paraId="47544418" w14:textId="77777777" w:rsidR="00FB19C0" w:rsidRPr="00BE78CA" w:rsidRDefault="00FB19C0" w:rsidP="00C26084">
            <w:pPr>
              <w:pStyle w:val="Tableboldblue"/>
              <w:tabs>
                <w:tab w:val="decimal" w:pos="293"/>
              </w:tabs>
              <w:jc w:val="center"/>
            </w:pPr>
            <w:r w:rsidRPr="00BE78CA">
              <w:t>22.8</w:t>
            </w:r>
          </w:p>
        </w:tc>
      </w:tr>
    </w:tbl>
    <w:p w14:paraId="53D833F5" w14:textId="77777777" w:rsidR="00FB19C0" w:rsidRPr="00BE78CA" w:rsidRDefault="00FB19C0" w:rsidP="00FB19C0">
      <w:pPr>
        <w:pStyle w:val="Noteundertable"/>
      </w:pPr>
      <w:r w:rsidRPr="00BE78CA">
        <w:rPr>
          <w:b/>
        </w:rPr>
        <w:t>Note:</w:t>
      </w:r>
      <w:r w:rsidRPr="00BE78CA">
        <w:tab/>
        <w:t>Percentages presented are calculated from unrounded values.</w:t>
      </w:r>
    </w:p>
    <w:p w14:paraId="284E2183" w14:textId="77777777" w:rsidR="00FB19C0" w:rsidRPr="00BE78CA" w:rsidRDefault="00FB19C0" w:rsidP="00FB19C0">
      <w:pPr>
        <w:pStyle w:val="BodyText"/>
      </w:pPr>
      <w:r w:rsidRPr="00BE78CA">
        <w:t xml:space="preserve">Methane emissions from the </w:t>
      </w:r>
      <w:r w:rsidRPr="00BE78CA">
        <w:rPr>
          <w:i/>
        </w:rPr>
        <w:t>Wastewater treatment and discharge</w:t>
      </w:r>
      <w:r w:rsidRPr="00BE78CA">
        <w:t xml:space="preserve"> source category were identified as a key category in the 2019 level assessment.</w:t>
      </w:r>
    </w:p>
    <w:p w14:paraId="58685A75" w14:textId="77777777" w:rsidR="00FB19C0" w:rsidRPr="00BE78CA" w:rsidRDefault="00FB19C0" w:rsidP="00FB19C0">
      <w:pPr>
        <w:pStyle w:val="Heading4"/>
      </w:pPr>
      <w:r w:rsidRPr="00BE78CA">
        <w:t>Domestic wastewater (5.D.1)</w:t>
      </w:r>
    </w:p>
    <w:p w14:paraId="3663195D" w14:textId="77777777" w:rsidR="00FB19C0" w:rsidRPr="00BE78CA" w:rsidRDefault="00FB19C0" w:rsidP="00FB19C0">
      <w:pPr>
        <w:pStyle w:val="BodyText"/>
      </w:pPr>
      <w:r w:rsidRPr="00BE78CA">
        <w:t>Wastewater from almost every town in New Zealand with a population over 1,000 is collected and treated in community wastewater treatment plants. There are approximately 317 municipal wastewater treatment plants in New Zealand and around a further 50 government or privately owned treatment plants serving populations of more than 100 people (SCS Wetherill Environmental, unpublished).</w:t>
      </w:r>
    </w:p>
    <w:p w14:paraId="12D0DCFB" w14:textId="77777777" w:rsidR="00FB19C0" w:rsidRPr="00BE78CA" w:rsidRDefault="00FB19C0" w:rsidP="00FB19C0">
      <w:pPr>
        <w:pStyle w:val="BodyText"/>
      </w:pPr>
      <w:r w:rsidRPr="00BE78CA">
        <w:t>Although most of the wastewater treatment processes are aerobic, a significant number of wastewater treatment plants use partially anaerobic processes, such as oxidation ponds or septic tanks. Small communities and individual rural dwellings are served mainly by simple septic tanks. While the part of the population using septic tanks is small, compared with the national population, this treatment type produces the most CH</w:t>
      </w:r>
      <w:r w:rsidRPr="00BE78CA">
        <w:rPr>
          <w:vertAlign w:val="subscript"/>
        </w:rPr>
        <w:t>4</w:t>
      </w:r>
      <w:r w:rsidRPr="00BE78CA">
        <w:t xml:space="preserve"> emissions from domestic wastewater, because emissions from other treatment types are small or the CH</w:t>
      </w:r>
      <w:r w:rsidRPr="00BE78CA">
        <w:rPr>
          <w:vertAlign w:val="subscript"/>
        </w:rPr>
        <w:t xml:space="preserve">4 </w:t>
      </w:r>
      <w:r w:rsidRPr="00BE78CA">
        <w:t>is destroyed.</w:t>
      </w:r>
    </w:p>
    <w:p w14:paraId="71BA34A4" w14:textId="77777777" w:rsidR="00FB19C0" w:rsidRPr="00BE78CA" w:rsidRDefault="00FB19C0" w:rsidP="00FB19C0">
      <w:pPr>
        <w:pStyle w:val="Heading4"/>
      </w:pPr>
      <w:r w:rsidRPr="00BE78CA">
        <w:t>Industrial wastewater (5.D.2)</w:t>
      </w:r>
    </w:p>
    <w:p w14:paraId="0F825EE8" w14:textId="77777777" w:rsidR="00FB19C0" w:rsidRPr="00BE78CA" w:rsidRDefault="00FB19C0" w:rsidP="00FB19C0">
      <w:pPr>
        <w:pStyle w:val="BodyText"/>
        <w:rPr>
          <w:rFonts w:eastAsia="+mn-ea"/>
        </w:rPr>
      </w:pPr>
      <w:r w:rsidRPr="00BE78CA">
        <w:rPr>
          <w:rFonts w:eastAsia="+mn-ea"/>
        </w:rPr>
        <w:t>The major sources of industrial wastewater in New Zealand are the meat and the pulp and paper industries. Most of the industrial wastewater treatment is aerobic, and most of the CH</w:t>
      </w:r>
      <w:r w:rsidRPr="00BE78CA">
        <w:rPr>
          <w:rFonts w:eastAsia="+mn-ea"/>
          <w:vertAlign w:val="subscript"/>
        </w:rPr>
        <w:t>4</w:t>
      </w:r>
      <w:r w:rsidRPr="00BE78CA">
        <w:rPr>
          <w:rFonts w:eastAsia="+mn-ea"/>
        </w:rPr>
        <w:t> generated from anaerobic treatment is flared.</w:t>
      </w:r>
    </w:p>
    <w:p w14:paraId="177FB058" w14:textId="77777777" w:rsidR="00FB19C0" w:rsidRPr="00BE78CA" w:rsidRDefault="00FB19C0" w:rsidP="00FB19C0">
      <w:pPr>
        <w:pStyle w:val="BodyText"/>
        <w:rPr>
          <w:rFonts w:eastAsia="+mn-ea"/>
        </w:rPr>
      </w:pPr>
      <w:r w:rsidRPr="00BE78CA">
        <w:rPr>
          <w:rFonts w:eastAsia="+mn-ea"/>
        </w:rPr>
        <w:t>In June 2015, the methodologies and input data used to calculate the industrial wastewater emissions were reviewed, to capture any changes in industry activity and ensure current best practice and knowledge were reflected (Cardno, unpublished). This is discussed further under section 7.5.2.</w:t>
      </w:r>
    </w:p>
    <w:p w14:paraId="189CCD14" w14:textId="77777777" w:rsidR="00FB19C0" w:rsidRPr="00BE78CA" w:rsidRDefault="00FB19C0" w:rsidP="00FB19C0">
      <w:pPr>
        <w:pStyle w:val="Heading3"/>
      </w:pPr>
      <w:bookmarkStart w:id="3033" w:name="_Toc32828352"/>
      <w:r w:rsidRPr="00BE78CA">
        <w:t xml:space="preserve">7.5.2 </w:t>
      </w:r>
      <w:r w:rsidRPr="00BE78CA">
        <w:tab/>
        <w:t>Methodological issues</w:t>
      </w:r>
      <w:bookmarkEnd w:id="3033"/>
    </w:p>
    <w:p w14:paraId="52743914" w14:textId="77777777" w:rsidR="00FB19C0" w:rsidRPr="00BE78CA" w:rsidRDefault="00FB19C0" w:rsidP="00FB19C0">
      <w:pPr>
        <w:pStyle w:val="Heading4"/>
        <w:spacing w:before="160"/>
      </w:pPr>
      <w:r w:rsidRPr="00BE78CA">
        <w:t>Choice of activity data</w:t>
      </w:r>
    </w:p>
    <w:p w14:paraId="4FBE92AD" w14:textId="77777777" w:rsidR="00FB19C0" w:rsidRPr="00BE78CA" w:rsidRDefault="00FB19C0" w:rsidP="00FB19C0">
      <w:pPr>
        <w:pStyle w:val="Heading5"/>
        <w:spacing w:before="120"/>
      </w:pPr>
      <w:r w:rsidRPr="00BE78CA">
        <w:t>Domestic wastewater (5.D.1)</w:t>
      </w:r>
    </w:p>
    <w:p w14:paraId="5D0DCB97" w14:textId="77777777" w:rsidR="00FB19C0" w:rsidRPr="00BE78CA" w:rsidRDefault="00FB19C0" w:rsidP="00FB19C0">
      <w:pPr>
        <w:pStyle w:val="BodyText"/>
      </w:pPr>
      <w:r w:rsidRPr="00BE78CA">
        <w:t xml:space="preserve">Estimates for </w:t>
      </w:r>
      <w:r w:rsidRPr="00BE78CA">
        <w:rPr>
          <w:rFonts w:eastAsia="+mn-ea"/>
        </w:rPr>
        <w:t>CH</w:t>
      </w:r>
      <w:r w:rsidRPr="00BE78CA">
        <w:rPr>
          <w:rFonts w:eastAsia="+mn-ea"/>
          <w:vertAlign w:val="subscript"/>
        </w:rPr>
        <w:t>4</w:t>
      </w:r>
      <w:r w:rsidRPr="00BE78CA">
        <w:t xml:space="preserve"> emissions are derived from combining the population connected to each treatment plant in New Zealand with the treatment methods for each plant (Beca Infrastructure Ltd, unpublished).</w:t>
      </w:r>
    </w:p>
    <w:p w14:paraId="75484A67" w14:textId="77777777" w:rsidR="00FB19C0" w:rsidRPr="00BE78CA" w:rsidRDefault="00FB19C0" w:rsidP="00FB19C0">
      <w:pPr>
        <w:pStyle w:val="BodyText"/>
      </w:pPr>
      <w:r w:rsidRPr="00BE78CA">
        <w:lastRenderedPageBreak/>
        <w:t>The population using each municipal treatment plant and an estimation of the population using septic tanks were determined (Beca Infrastructure Ltd, unpublished; SCS Wetherill Environmental, unpublished). Emissions from the wastewater treatment plants are calculated for 1997, 2001, 2006, and every year from 2013 onwards. Emissions from years before 1997 are calculated based on a fixed aggregate methane correction factor from 1997. Emissions from the remaining years are interpolated.</w:t>
      </w:r>
    </w:p>
    <w:p w14:paraId="715B367E" w14:textId="178D8CFE" w:rsidR="00FB19C0" w:rsidRPr="00BE78CA" w:rsidRDefault="00FB19C0" w:rsidP="00FB19C0">
      <w:pPr>
        <w:pStyle w:val="BodyText"/>
      </w:pPr>
      <w:r w:rsidRPr="00BE78CA">
        <w:t xml:space="preserve">Emissions are proportional to the population treated by each plant, and population data are updated based on the population growth rate of the district in which the plant is located, using the latest population data. This information is obtained from Stats NZ. For intermediate years, data is interpolated. Years before 1997 are driven by national population growth using the </w:t>
      </w:r>
      <w:r w:rsidRPr="00BE78CA">
        <w:rPr>
          <w:rFonts w:eastAsia="+mn-ea"/>
        </w:rPr>
        <w:t>CH</w:t>
      </w:r>
      <w:r w:rsidRPr="00BE78CA">
        <w:rPr>
          <w:rFonts w:eastAsia="+mn-ea"/>
          <w:vertAlign w:val="subscript"/>
        </w:rPr>
        <w:t>4</w:t>
      </w:r>
      <w:r w:rsidRPr="00BE78CA">
        <w:t xml:space="preserve"> correction factor from 1997.</w:t>
      </w:r>
    </w:p>
    <w:p w14:paraId="53468153" w14:textId="77777777" w:rsidR="00FB19C0" w:rsidRPr="00BE78CA" w:rsidRDefault="00FB19C0" w:rsidP="00FB19C0">
      <w:pPr>
        <w:pStyle w:val="BodyText"/>
      </w:pPr>
      <w:r w:rsidRPr="00BE78CA">
        <w:t>In 2019, the total population connected to treatment plants was estimated to be 4.0 million. The connected population excludes people connected to rural septic tanks, estimated at 487,000 people in 2018, and approximately 54,000 people using other aerobic plants. A remaining population of 484,000 people is not accounted for, which is a result of incomplete data on the wastewater treatment plants in New Zealand and the populations connected to each of these plants being estimated. To account for domestic wastewater emissions from the unaccounted for population, CH</w:t>
      </w:r>
      <w:r w:rsidRPr="00BE78CA">
        <w:rPr>
          <w:vertAlign w:val="subscript"/>
        </w:rPr>
        <w:t xml:space="preserve">4 </w:t>
      </w:r>
      <w:r w:rsidRPr="00BE78CA">
        <w:t xml:space="preserve">emissions for the </w:t>
      </w:r>
      <w:r w:rsidRPr="00BE78CA">
        <w:rPr>
          <w:i/>
        </w:rPr>
        <w:t>Domestic wastewater</w:t>
      </w:r>
      <w:r w:rsidRPr="00BE78CA">
        <w:t xml:space="preserve"> source category have been increased by a fraction determined by the missing population as a proportion of the population for which emissions are known. An assumption is made to apply the average wastewater treatment method for this otherwise unaccounted for population.</w:t>
      </w:r>
    </w:p>
    <w:p w14:paraId="52DC293D" w14:textId="77777777" w:rsidR="00FB19C0" w:rsidRPr="00BE78CA" w:rsidRDefault="00FB19C0" w:rsidP="00FB19C0">
      <w:pPr>
        <w:pStyle w:val="BodyText"/>
      </w:pPr>
      <w:r w:rsidRPr="00BE78CA">
        <w:t>Indirect N</w:t>
      </w:r>
      <w:r w:rsidRPr="00BE78CA">
        <w:rPr>
          <w:vertAlign w:val="subscript"/>
        </w:rPr>
        <w:t>2</w:t>
      </w:r>
      <w:r w:rsidRPr="00BE78CA">
        <w:t>O emissions from the disposal of treated domestic wastewater are estimated using per capita protein consumption and national population estimates, less the population using septic tanks because there is no liquid effluent from septic tanks. Activity data for domestic wastewater are reported in table 7.5.2. Also included in table 7.5.2 is an aggregate CH</w:t>
      </w:r>
      <w:r w:rsidRPr="00BE78CA">
        <w:rPr>
          <w:vertAlign w:val="subscript"/>
        </w:rPr>
        <w:t xml:space="preserve">4 </w:t>
      </w:r>
      <w:r w:rsidRPr="00BE78CA">
        <w:t>correction factor that is determined by the sum of the CH</w:t>
      </w:r>
      <w:r w:rsidRPr="00BE78CA">
        <w:rPr>
          <w:vertAlign w:val="subscript"/>
        </w:rPr>
        <w:t>4</w:t>
      </w:r>
      <w:r w:rsidRPr="00BE78CA">
        <w:t xml:space="preserve"> correction factor for various treatment types, weighted by the population served by each type.</w:t>
      </w:r>
    </w:p>
    <w:p w14:paraId="6326EC10" w14:textId="77777777" w:rsidR="00FB19C0" w:rsidRPr="00BE78CA" w:rsidRDefault="00FB19C0" w:rsidP="00FB19C0">
      <w:pPr>
        <w:pStyle w:val="Table"/>
      </w:pPr>
      <w:bookmarkStart w:id="3034" w:name="_Toc5269579"/>
      <w:bookmarkStart w:id="3035" w:name="_Toc511116831"/>
      <w:bookmarkStart w:id="3036" w:name="_Toc508019333"/>
      <w:bookmarkStart w:id="3037" w:name="_Toc32828537"/>
      <w:bookmarkStart w:id="3038" w:name="_Toc32591367"/>
      <w:bookmarkStart w:id="3039" w:name="_Toc36224660"/>
      <w:bookmarkStart w:id="3040" w:name="_Toc68786546"/>
      <w:r w:rsidRPr="00BE78CA">
        <w:t xml:space="preserve">Table 7.5.2 </w:t>
      </w:r>
      <w:r w:rsidRPr="00BE78CA">
        <w:tab/>
        <w:t>Activity data and key factors for domestic wastewater from 1990 to </w:t>
      </w:r>
      <w:bookmarkEnd w:id="3034"/>
      <w:bookmarkEnd w:id="3035"/>
      <w:bookmarkEnd w:id="3036"/>
      <w:bookmarkEnd w:id="3037"/>
      <w:bookmarkEnd w:id="3038"/>
      <w:bookmarkEnd w:id="3039"/>
      <w:r w:rsidRPr="00BE78CA">
        <w:t>2019</w:t>
      </w:r>
      <w:bookmarkEnd w:id="3040"/>
    </w:p>
    <w:tbl>
      <w:tblPr>
        <w:tblW w:w="8505" w:type="dxa"/>
        <w:tblLook w:val="04A0" w:firstRow="1" w:lastRow="0" w:firstColumn="1" w:lastColumn="0" w:noHBand="0" w:noVBand="1"/>
      </w:tblPr>
      <w:tblGrid>
        <w:gridCol w:w="709"/>
        <w:gridCol w:w="1843"/>
        <w:gridCol w:w="3082"/>
        <w:gridCol w:w="2871"/>
      </w:tblGrid>
      <w:tr w:rsidR="00FB19C0" w:rsidRPr="00BE78CA" w14:paraId="3965BBAF" w14:textId="77777777" w:rsidTr="008F032F">
        <w:trPr>
          <w:tblHeader/>
        </w:trPr>
        <w:tc>
          <w:tcPr>
            <w:tcW w:w="709" w:type="dxa"/>
            <w:tcBorders>
              <w:top w:val="single" w:sz="4" w:space="0" w:color="365F91"/>
              <w:left w:val="nil"/>
              <w:bottom w:val="single" w:sz="4" w:space="0" w:color="365F91"/>
              <w:right w:val="nil"/>
            </w:tcBorders>
            <w:shd w:val="clear" w:color="auto" w:fill="365F91"/>
            <w:vAlign w:val="bottom"/>
            <w:hideMark/>
          </w:tcPr>
          <w:p w14:paraId="673B1905" w14:textId="77777777" w:rsidR="00FB19C0" w:rsidRPr="00BE78CA" w:rsidRDefault="00FB19C0" w:rsidP="008F032F">
            <w:pPr>
              <w:pStyle w:val="TableTextBold"/>
              <w:keepNext/>
              <w:spacing w:before="40" w:after="40"/>
              <w:rPr>
                <w:noProof w:val="0"/>
                <w:color w:val="FFFFFF"/>
              </w:rPr>
            </w:pPr>
            <w:r w:rsidRPr="00BE78CA">
              <w:rPr>
                <w:noProof w:val="0"/>
                <w:color w:val="FFFFFF"/>
              </w:rPr>
              <w:t>Year</w:t>
            </w:r>
          </w:p>
        </w:tc>
        <w:tc>
          <w:tcPr>
            <w:tcW w:w="1843" w:type="dxa"/>
            <w:tcBorders>
              <w:top w:val="single" w:sz="4" w:space="0" w:color="365F91"/>
              <w:left w:val="nil"/>
              <w:bottom w:val="single" w:sz="4" w:space="0" w:color="365F91"/>
              <w:right w:val="nil"/>
            </w:tcBorders>
            <w:shd w:val="clear" w:color="auto" w:fill="365F91"/>
            <w:vAlign w:val="bottom"/>
            <w:hideMark/>
          </w:tcPr>
          <w:p w14:paraId="613BD4A4" w14:textId="77777777" w:rsidR="00FB19C0" w:rsidRPr="00BE78CA" w:rsidRDefault="00FB19C0" w:rsidP="008F032F">
            <w:pPr>
              <w:pStyle w:val="TableTextBold"/>
              <w:keepNext/>
              <w:spacing w:before="40" w:after="40"/>
              <w:rPr>
                <w:noProof w:val="0"/>
                <w:color w:val="FFFFFF"/>
              </w:rPr>
            </w:pPr>
            <w:r w:rsidRPr="00BE78CA">
              <w:rPr>
                <w:noProof w:val="0"/>
                <w:color w:val="FFFFFF"/>
              </w:rPr>
              <w:t>National population</w:t>
            </w:r>
          </w:p>
        </w:tc>
        <w:tc>
          <w:tcPr>
            <w:tcW w:w="3082" w:type="dxa"/>
            <w:tcBorders>
              <w:top w:val="single" w:sz="4" w:space="0" w:color="365F91"/>
              <w:left w:val="nil"/>
              <w:bottom w:val="single" w:sz="4" w:space="0" w:color="365F91"/>
              <w:right w:val="nil"/>
            </w:tcBorders>
            <w:shd w:val="clear" w:color="auto" w:fill="365F91"/>
            <w:vAlign w:val="bottom"/>
            <w:hideMark/>
          </w:tcPr>
          <w:p w14:paraId="4F599322" w14:textId="77777777" w:rsidR="00FB19C0" w:rsidRPr="00BE78CA" w:rsidRDefault="00FB19C0" w:rsidP="008F032F">
            <w:pPr>
              <w:pStyle w:val="TableTextBold"/>
              <w:keepNext/>
              <w:spacing w:before="40" w:after="40"/>
              <w:rPr>
                <w:noProof w:val="0"/>
                <w:color w:val="FFFFFF"/>
              </w:rPr>
            </w:pPr>
            <w:r w:rsidRPr="00BE78CA">
              <w:rPr>
                <w:noProof w:val="0"/>
                <w:color w:val="FFFFFF"/>
              </w:rPr>
              <w:t>Aggregate methane correction factor</w:t>
            </w:r>
          </w:p>
        </w:tc>
        <w:tc>
          <w:tcPr>
            <w:tcW w:w="2871" w:type="dxa"/>
            <w:tcBorders>
              <w:top w:val="single" w:sz="4" w:space="0" w:color="365F91"/>
              <w:left w:val="nil"/>
              <w:bottom w:val="single" w:sz="4" w:space="0" w:color="365F91"/>
              <w:right w:val="nil"/>
            </w:tcBorders>
            <w:shd w:val="clear" w:color="auto" w:fill="365F91"/>
            <w:vAlign w:val="bottom"/>
            <w:hideMark/>
          </w:tcPr>
          <w:p w14:paraId="3A6E6D59" w14:textId="77777777" w:rsidR="00FB19C0" w:rsidRPr="00BE78CA" w:rsidRDefault="00FB19C0" w:rsidP="008F032F">
            <w:pPr>
              <w:pStyle w:val="TableTextBold"/>
              <w:keepNext/>
              <w:spacing w:before="40" w:after="40"/>
              <w:jc w:val="center"/>
              <w:rPr>
                <w:noProof w:val="0"/>
                <w:color w:val="FFFFFF"/>
              </w:rPr>
            </w:pPr>
            <w:r w:rsidRPr="00BE78CA">
              <w:rPr>
                <w:noProof w:val="0"/>
                <w:color w:val="FFFFFF"/>
              </w:rPr>
              <w:t xml:space="preserve">Domestic wastewater </w:t>
            </w:r>
            <w:r w:rsidRPr="00BE78CA">
              <w:rPr>
                <w:noProof w:val="0"/>
                <w:color w:val="FFFFFF"/>
              </w:rPr>
              <w:br/>
              <w:t>total organic product (kt)</w:t>
            </w:r>
          </w:p>
        </w:tc>
      </w:tr>
      <w:tr w:rsidR="00FB19C0" w:rsidRPr="00BE78CA" w14:paraId="40547794" w14:textId="77777777" w:rsidTr="008F032F">
        <w:tc>
          <w:tcPr>
            <w:tcW w:w="709" w:type="dxa"/>
            <w:tcBorders>
              <w:top w:val="single" w:sz="4" w:space="0" w:color="365F91"/>
              <w:left w:val="nil"/>
              <w:bottom w:val="single" w:sz="4" w:space="0" w:color="365F91"/>
              <w:right w:val="nil"/>
            </w:tcBorders>
            <w:hideMark/>
          </w:tcPr>
          <w:p w14:paraId="0EDE05F0" w14:textId="77777777" w:rsidR="00FB19C0" w:rsidRPr="00BE78CA" w:rsidRDefault="00FB19C0" w:rsidP="008F032F">
            <w:pPr>
              <w:pStyle w:val="TableTextBold"/>
              <w:keepNext/>
              <w:spacing w:before="40" w:after="40"/>
              <w:rPr>
                <w:noProof w:val="0"/>
              </w:rPr>
            </w:pPr>
            <w:r w:rsidRPr="00BE78CA">
              <w:rPr>
                <w:noProof w:val="0"/>
              </w:rPr>
              <w:t>1990</w:t>
            </w:r>
          </w:p>
        </w:tc>
        <w:tc>
          <w:tcPr>
            <w:tcW w:w="1843" w:type="dxa"/>
            <w:tcBorders>
              <w:top w:val="single" w:sz="4" w:space="0" w:color="365F91"/>
              <w:left w:val="nil"/>
              <w:bottom w:val="single" w:sz="4" w:space="0" w:color="365F91"/>
              <w:right w:val="nil"/>
            </w:tcBorders>
            <w:hideMark/>
          </w:tcPr>
          <w:p w14:paraId="76968819" w14:textId="77777777" w:rsidR="00FB19C0" w:rsidRPr="00BE78CA" w:rsidRDefault="00FB19C0" w:rsidP="008F032F">
            <w:pPr>
              <w:pStyle w:val="TableText"/>
              <w:keepNext/>
              <w:spacing w:before="40" w:after="40"/>
              <w:jc w:val="center"/>
              <w:rPr>
                <w:rFonts w:cs="Arial"/>
                <w:szCs w:val="16"/>
              </w:rPr>
            </w:pPr>
            <w:r w:rsidRPr="00BE78CA">
              <w:t xml:space="preserve"> 3,410,400 </w:t>
            </w:r>
          </w:p>
        </w:tc>
        <w:tc>
          <w:tcPr>
            <w:tcW w:w="3082" w:type="dxa"/>
            <w:tcBorders>
              <w:top w:val="single" w:sz="4" w:space="0" w:color="365F91"/>
              <w:left w:val="nil"/>
              <w:bottom w:val="single" w:sz="4" w:space="0" w:color="365F91"/>
              <w:right w:val="nil"/>
            </w:tcBorders>
            <w:hideMark/>
          </w:tcPr>
          <w:p w14:paraId="07F024F7" w14:textId="77777777" w:rsidR="00FB19C0" w:rsidRPr="00BE78CA" w:rsidRDefault="00FB19C0" w:rsidP="008F032F">
            <w:pPr>
              <w:pStyle w:val="TableText"/>
              <w:keepNext/>
              <w:spacing w:before="40" w:after="40"/>
              <w:jc w:val="center"/>
              <w:rPr>
                <w:rFonts w:cs="Arial"/>
                <w:szCs w:val="16"/>
              </w:rPr>
            </w:pPr>
            <w:r w:rsidRPr="00BE78CA">
              <w:t>Same as 1997</w:t>
            </w:r>
          </w:p>
        </w:tc>
        <w:tc>
          <w:tcPr>
            <w:tcW w:w="2871" w:type="dxa"/>
            <w:tcBorders>
              <w:top w:val="single" w:sz="4" w:space="0" w:color="365F91"/>
              <w:left w:val="nil"/>
              <w:bottom w:val="single" w:sz="4" w:space="0" w:color="365F91"/>
              <w:right w:val="nil"/>
            </w:tcBorders>
            <w:hideMark/>
          </w:tcPr>
          <w:p w14:paraId="22C6D134" w14:textId="77777777" w:rsidR="00FB19C0" w:rsidRPr="00BE78CA" w:rsidRDefault="00FB19C0" w:rsidP="008F032F">
            <w:pPr>
              <w:pStyle w:val="TableText"/>
              <w:keepNext/>
              <w:spacing w:before="40" w:after="40"/>
              <w:jc w:val="center"/>
              <w:rPr>
                <w:rFonts w:cs="Arial"/>
                <w:szCs w:val="16"/>
              </w:rPr>
            </w:pPr>
            <w:r w:rsidRPr="00BE78CA">
              <w:t>136.3</w:t>
            </w:r>
          </w:p>
        </w:tc>
      </w:tr>
      <w:tr w:rsidR="00FB19C0" w:rsidRPr="00BE78CA" w14:paraId="5B5CFCC7" w14:textId="77777777" w:rsidTr="008F032F">
        <w:tc>
          <w:tcPr>
            <w:tcW w:w="709" w:type="dxa"/>
            <w:tcBorders>
              <w:top w:val="single" w:sz="4" w:space="0" w:color="365F91"/>
              <w:left w:val="nil"/>
              <w:bottom w:val="single" w:sz="4" w:space="0" w:color="365F91"/>
              <w:right w:val="nil"/>
            </w:tcBorders>
            <w:hideMark/>
          </w:tcPr>
          <w:p w14:paraId="037C51BF" w14:textId="77777777" w:rsidR="00FB19C0" w:rsidRPr="00BE78CA" w:rsidRDefault="00FB19C0" w:rsidP="008F032F">
            <w:pPr>
              <w:pStyle w:val="TableTextBold"/>
              <w:spacing w:before="40" w:after="40"/>
              <w:rPr>
                <w:noProof w:val="0"/>
              </w:rPr>
            </w:pPr>
            <w:r w:rsidRPr="00BE78CA">
              <w:rPr>
                <w:noProof w:val="0"/>
              </w:rPr>
              <w:t>1991</w:t>
            </w:r>
          </w:p>
        </w:tc>
        <w:tc>
          <w:tcPr>
            <w:tcW w:w="1843" w:type="dxa"/>
            <w:tcBorders>
              <w:top w:val="single" w:sz="4" w:space="0" w:color="365F91"/>
              <w:left w:val="nil"/>
              <w:bottom w:val="single" w:sz="4" w:space="0" w:color="365F91"/>
              <w:right w:val="nil"/>
            </w:tcBorders>
            <w:hideMark/>
          </w:tcPr>
          <w:p w14:paraId="5358ABDB" w14:textId="77777777" w:rsidR="00FB19C0" w:rsidRPr="00BE78CA" w:rsidRDefault="00FB19C0" w:rsidP="008F032F">
            <w:pPr>
              <w:pStyle w:val="TableText"/>
              <w:spacing w:before="40" w:after="40"/>
              <w:jc w:val="center"/>
              <w:rPr>
                <w:rFonts w:cs="Arial"/>
                <w:szCs w:val="16"/>
              </w:rPr>
            </w:pPr>
            <w:r w:rsidRPr="00BE78CA">
              <w:t xml:space="preserve"> 3,516,000 </w:t>
            </w:r>
          </w:p>
        </w:tc>
        <w:tc>
          <w:tcPr>
            <w:tcW w:w="3082" w:type="dxa"/>
            <w:tcBorders>
              <w:top w:val="single" w:sz="4" w:space="0" w:color="365F91"/>
              <w:left w:val="nil"/>
              <w:bottom w:val="single" w:sz="4" w:space="0" w:color="365F91"/>
              <w:right w:val="nil"/>
            </w:tcBorders>
            <w:hideMark/>
          </w:tcPr>
          <w:p w14:paraId="0BC5D57E" w14:textId="77777777" w:rsidR="00FB19C0" w:rsidRPr="00BE78CA" w:rsidRDefault="00FB19C0" w:rsidP="008F032F">
            <w:pPr>
              <w:pStyle w:val="TableText"/>
              <w:spacing w:before="40" w:after="40"/>
              <w:jc w:val="center"/>
              <w:rPr>
                <w:rFonts w:cs="Arial"/>
                <w:szCs w:val="16"/>
              </w:rPr>
            </w:pPr>
            <w:r w:rsidRPr="00BE78CA">
              <w:t>Same as 1997</w:t>
            </w:r>
          </w:p>
        </w:tc>
        <w:tc>
          <w:tcPr>
            <w:tcW w:w="2871" w:type="dxa"/>
            <w:tcBorders>
              <w:top w:val="single" w:sz="4" w:space="0" w:color="365F91"/>
              <w:left w:val="nil"/>
              <w:bottom w:val="single" w:sz="4" w:space="0" w:color="365F91"/>
              <w:right w:val="nil"/>
            </w:tcBorders>
            <w:hideMark/>
          </w:tcPr>
          <w:p w14:paraId="3F9BE996" w14:textId="77777777" w:rsidR="00FB19C0" w:rsidRPr="00BE78CA" w:rsidRDefault="00FB19C0" w:rsidP="008F032F">
            <w:pPr>
              <w:pStyle w:val="TableText"/>
              <w:spacing w:before="40" w:after="40"/>
              <w:jc w:val="center"/>
              <w:rPr>
                <w:rFonts w:cs="Arial"/>
                <w:szCs w:val="16"/>
              </w:rPr>
            </w:pPr>
            <w:r w:rsidRPr="00BE78CA">
              <w:t>140.8</w:t>
            </w:r>
          </w:p>
        </w:tc>
      </w:tr>
      <w:tr w:rsidR="00FB19C0" w:rsidRPr="00BE78CA" w14:paraId="48AF3A64" w14:textId="77777777" w:rsidTr="008F032F">
        <w:tc>
          <w:tcPr>
            <w:tcW w:w="709" w:type="dxa"/>
            <w:tcBorders>
              <w:top w:val="single" w:sz="4" w:space="0" w:color="365F91"/>
              <w:left w:val="nil"/>
              <w:bottom w:val="single" w:sz="4" w:space="0" w:color="365F91"/>
              <w:right w:val="nil"/>
            </w:tcBorders>
            <w:hideMark/>
          </w:tcPr>
          <w:p w14:paraId="195A3D9B" w14:textId="77777777" w:rsidR="00FB19C0" w:rsidRPr="00BE78CA" w:rsidRDefault="00FB19C0" w:rsidP="008F032F">
            <w:pPr>
              <w:pStyle w:val="TableTextBold"/>
              <w:spacing w:before="40" w:after="40"/>
              <w:rPr>
                <w:noProof w:val="0"/>
              </w:rPr>
            </w:pPr>
            <w:r w:rsidRPr="00BE78CA">
              <w:rPr>
                <w:noProof w:val="0"/>
              </w:rPr>
              <w:t>1992</w:t>
            </w:r>
          </w:p>
        </w:tc>
        <w:tc>
          <w:tcPr>
            <w:tcW w:w="1843" w:type="dxa"/>
            <w:tcBorders>
              <w:top w:val="single" w:sz="4" w:space="0" w:color="365F91"/>
              <w:left w:val="nil"/>
              <w:bottom w:val="single" w:sz="4" w:space="0" w:color="365F91"/>
              <w:right w:val="nil"/>
            </w:tcBorders>
            <w:hideMark/>
          </w:tcPr>
          <w:p w14:paraId="35FA1895" w14:textId="77777777" w:rsidR="00FB19C0" w:rsidRPr="00BE78CA" w:rsidRDefault="00FB19C0" w:rsidP="008F032F">
            <w:pPr>
              <w:pStyle w:val="TableText"/>
              <w:spacing w:before="40" w:after="40"/>
              <w:jc w:val="center"/>
              <w:rPr>
                <w:rFonts w:cs="Arial"/>
                <w:szCs w:val="16"/>
              </w:rPr>
            </w:pPr>
            <w:r w:rsidRPr="00BE78CA">
              <w:t xml:space="preserve"> 3,552,200 </w:t>
            </w:r>
          </w:p>
        </w:tc>
        <w:tc>
          <w:tcPr>
            <w:tcW w:w="3082" w:type="dxa"/>
            <w:tcBorders>
              <w:top w:val="single" w:sz="4" w:space="0" w:color="365F91"/>
              <w:left w:val="nil"/>
              <w:bottom w:val="single" w:sz="4" w:space="0" w:color="365F91"/>
              <w:right w:val="nil"/>
            </w:tcBorders>
            <w:hideMark/>
          </w:tcPr>
          <w:p w14:paraId="568DEB96" w14:textId="77777777" w:rsidR="00FB19C0" w:rsidRPr="00BE78CA" w:rsidRDefault="00FB19C0" w:rsidP="008F032F">
            <w:pPr>
              <w:pStyle w:val="TableText"/>
              <w:spacing w:before="40" w:after="40"/>
              <w:jc w:val="center"/>
              <w:rPr>
                <w:rFonts w:cs="Arial"/>
                <w:szCs w:val="16"/>
              </w:rPr>
            </w:pPr>
            <w:r w:rsidRPr="00BE78CA">
              <w:t>Same as 1997</w:t>
            </w:r>
          </w:p>
        </w:tc>
        <w:tc>
          <w:tcPr>
            <w:tcW w:w="2871" w:type="dxa"/>
            <w:tcBorders>
              <w:top w:val="single" w:sz="4" w:space="0" w:color="365F91"/>
              <w:left w:val="nil"/>
              <w:bottom w:val="single" w:sz="4" w:space="0" w:color="365F91"/>
              <w:right w:val="nil"/>
            </w:tcBorders>
            <w:hideMark/>
          </w:tcPr>
          <w:p w14:paraId="1D93C312" w14:textId="77777777" w:rsidR="00FB19C0" w:rsidRPr="00BE78CA" w:rsidRDefault="00FB19C0" w:rsidP="008F032F">
            <w:pPr>
              <w:pStyle w:val="TableText"/>
              <w:spacing w:before="40" w:after="40"/>
              <w:jc w:val="center"/>
              <w:rPr>
                <w:rFonts w:cs="Arial"/>
                <w:szCs w:val="16"/>
              </w:rPr>
            </w:pPr>
            <w:r w:rsidRPr="00BE78CA">
              <w:t>142.7</w:t>
            </w:r>
          </w:p>
        </w:tc>
      </w:tr>
      <w:tr w:rsidR="00FB19C0" w:rsidRPr="00BE78CA" w14:paraId="6F233BFB" w14:textId="77777777" w:rsidTr="008F032F">
        <w:tc>
          <w:tcPr>
            <w:tcW w:w="709" w:type="dxa"/>
            <w:tcBorders>
              <w:top w:val="single" w:sz="4" w:space="0" w:color="365F91"/>
              <w:left w:val="nil"/>
              <w:bottom w:val="single" w:sz="4" w:space="0" w:color="365F91"/>
              <w:right w:val="nil"/>
            </w:tcBorders>
            <w:hideMark/>
          </w:tcPr>
          <w:p w14:paraId="055FF8A8" w14:textId="77777777" w:rsidR="00FB19C0" w:rsidRPr="00BE78CA" w:rsidRDefault="00FB19C0" w:rsidP="008F032F">
            <w:pPr>
              <w:pStyle w:val="TableTextBold"/>
              <w:spacing w:before="40" w:after="40"/>
              <w:rPr>
                <w:noProof w:val="0"/>
              </w:rPr>
            </w:pPr>
            <w:r w:rsidRPr="00BE78CA">
              <w:rPr>
                <w:noProof w:val="0"/>
              </w:rPr>
              <w:t>1993</w:t>
            </w:r>
          </w:p>
        </w:tc>
        <w:tc>
          <w:tcPr>
            <w:tcW w:w="1843" w:type="dxa"/>
            <w:tcBorders>
              <w:top w:val="single" w:sz="4" w:space="0" w:color="365F91"/>
              <w:left w:val="nil"/>
              <w:bottom w:val="single" w:sz="4" w:space="0" w:color="365F91"/>
              <w:right w:val="nil"/>
            </w:tcBorders>
            <w:hideMark/>
          </w:tcPr>
          <w:p w14:paraId="4DD2EED7" w14:textId="77777777" w:rsidR="00FB19C0" w:rsidRPr="00BE78CA" w:rsidRDefault="00FB19C0" w:rsidP="008F032F">
            <w:pPr>
              <w:pStyle w:val="TableText"/>
              <w:spacing w:before="40" w:after="40"/>
              <w:jc w:val="center"/>
            </w:pPr>
            <w:r w:rsidRPr="00BE78CA">
              <w:t xml:space="preserve"> 3,597,800 </w:t>
            </w:r>
          </w:p>
        </w:tc>
        <w:tc>
          <w:tcPr>
            <w:tcW w:w="3082" w:type="dxa"/>
            <w:tcBorders>
              <w:top w:val="single" w:sz="4" w:space="0" w:color="365F91"/>
              <w:left w:val="nil"/>
              <w:bottom w:val="single" w:sz="4" w:space="0" w:color="365F91"/>
              <w:right w:val="nil"/>
            </w:tcBorders>
            <w:hideMark/>
          </w:tcPr>
          <w:p w14:paraId="30219595" w14:textId="77777777" w:rsidR="00FB19C0" w:rsidRPr="00BE78CA" w:rsidRDefault="00FB19C0" w:rsidP="008F032F">
            <w:pPr>
              <w:pStyle w:val="TableText"/>
              <w:spacing w:before="40" w:after="40"/>
              <w:jc w:val="center"/>
            </w:pPr>
            <w:r w:rsidRPr="00BE78CA">
              <w:t>Same as 1997</w:t>
            </w:r>
          </w:p>
        </w:tc>
        <w:tc>
          <w:tcPr>
            <w:tcW w:w="2871" w:type="dxa"/>
            <w:tcBorders>
              <w:top w:val="single" w:sz="4" w:space="0" w:color="365F91"/>
              <w:left w:val="nil"/>
              <w:bottom w:val="single" w:sz="4" w:space="0" w:color="365F91"/>
              <w:right w:val="nil"/>
            </w:tcBorders>
            <w:hideMark/>
          </w:tcPr>
          <w:p w14:paraId="1374490D" w14:textId="77777777" w:rsidR="00FB19C0" w:rsidRPr="00BE78CA" w:rsidRDefault="00FB19C0" w:rsidP="008F032F">
            <w:pPr>
              <w:pStyle w:val="TableText"/>
              <w:spacing w:before="40" w:after="40"/>
              <w:jc w:val="center"/>
            </w:pPr>
            <w:r w:rsidRPr="00BE78CA">
              <w:t>145.0</w:t>
            </w:r>
          </w:p>
        </w:tc>
      </w:tr>
      <w:tr w:rsidR="00FB19C0" w:rsidRPr="00BE78CA" w14:paraId="446192AB" w14:textId="77777777" w:rsidTr="008F032F">
        <w:tc>
          <w:tcPr>
            <w:tcW w:w="709" w:type="dxa"/>
            <w:tcBorders>
              <w:top w:val="single" w:sz="4" w:space="0" w:color="365F91"/>
              <w:left w:val="nil"/>
              <w:bottom w:val="single" w:sz="4" w:space="0" w:color="365F91"/>
              <w:right w:val="nil"/>
            </w:tcBorders>
            <w:hideMark/>
          </w:tcPr>
          <w:p w14:paraId="35C0F83B" w14:textId="77777777" w:rsidR="00FB19C0" w:rsidRPr="00BE78CA" w:rsidRDefault="00FB19C0" w:rsidP="008F032F">
            <w:pPr>
              <w:pStyle w:val="TableTextBold"/>
              <w:spacing w:before="40" w:after="40"/>
              <w:rPr>
                <w:noProof w:val="0"/>
              </w:rPr>
            </w:pPr>
            <w:r w:rsidRPr="00BE78CA">
              <w:rPr>
                <w:noProof w:val="0"/>
              </w:rPr>
              <w:t>1994</w:t>
            </w:r>
          </w:p>
        </w:tc>
        <w:tc>
          <w:tcPr>
            <w:tcW w:w="1843" w:type="dxa"/>
            <w:tcBorders>
              <w:top w:val="single" w:sz="4" w:space="0" w:color="365F91"/>
              <w:left w:val="nil"/>
              <w:bottom w:val="single" w:sz="4" w:space="0" w:color="365F91"/>
              <w:right w:val="nil"/>
            </w:tcBorders>
            <w:hideMark/>
          </w:tcPr>
          <w:p w14:paraId="46FFC693" w14:textId="77777777" w:rsidR="00FB19C0" w:rsidRPr="00BE78CA" w:rsidRDefault="00FB19C0" w:rsidP="008F032F">
            <w:pPr>
              <w:pStyle w:val="TableText"/>
              <w:spacing w:before="40" w:after="40"/>
              <w:jc w:val="center"/>
            </w:pPr>
            <w:r w:rsidRPr="00BE78CA">
              <w:t xml:space="preserve"> 3,648,300 </w:t>
            </w:r>
          </w:p>
        </w:tc>
        <w:tc>
          <w:tcPr>
            <w:tcW w:w="3082" w:type="dxa"/>
            <w:tcBorders>
              <w:top w:val="single" w:sz="4" w:space="0" w:color="365F91"/>
              <w:left w:val="nil"/>
              <w:bottom w:val="single" w:sz="4" w:space="0" w:color="365F91"/>
              <w:right w:val="nil"/>
            </w:tcBorders>
            <w:hideMark/>
          </w:tcPr>
          <w:p w14:paraId="5D71D8C1" w14:textId="77777777" w:rsidR="00FB19C0" w:rsidRPr="00BE78CA" w:rsidRDefault="00FB19C0" w:rsidP="008F032F">
            <w:pPr>
              <w:pStyle w:val="TableText"/>
              <w:spacing w:before="40" w:after="40"/>
              <w:jc w:val="center"/>
            </w:pPr>
            <w:r w:rsidRPr="00BE78CA">
              <w:t>Same as 1997</w:t>
            </w:r>
          </w:p>
        </w:tc>
        <w:tc>
          <w:tcPr>
            <w:tcW w:w="2871" w:type="dxa"/>
            <w:tcBorders>
              <w:top w:val="single" w:sz="4" w:space="0" w:color="365F91"/>
              <w:left w:val="nil"/>
              <w:bottom w:val="single" w:sz="4" w:space="0" w:color="365F91"/>
              <w:right w:val="nil"/>
            </w:tcBorders>
            <w:hideMark/>
          </w:tcPr>
          <w:p w14:paraId="73955EC5" w14:textId="77777777" w:rsidR="00FB19C0" w:rsidRPr="00BE78CA" w:rsidRDefault="00FB19C0" w:rsidP="008F032F">
            <w:pPr>
              <w:pStyle w:val="TableText"/>
              <w:spacing w:before="40" w:after="40"/>
              <w:jc w:val="center"/>
            </w:pPr>
            <w:r w:rsidRPr="00BE78CA">
              <w:t>147.4</w:t>
            </w:r>
          </w:p>
        </w:tc>
      </w:tr>
      <w:tr w:rsidR="00FB19C0" w:rsidRPr="00BE78CA" w14:paraId="498DECA8" w14:textId="77777777" w:rsidTr="008F032F">
        <w:tc>
          <w:tcPr>
            <w:tcW w:w="709" w:type="dxa"/>
            <w:tcBorders>
              <w:top w:val="single" w:sz="4" w:space="0" w:color="365F91"/>
              <w:left w:val="nil"/>
              <w:bottom w:val="single" w:sz="4" w:space="0" w:color="365F91"/>
              <w:right w:val="nil"/>
            </w:tcBorders>
            <w:hideMark/>
          </w:tcPr>
          <w:p w14:paraId="6E44818F" w14:textId="77777777" w:rsidR="00FB19C0" w:rsidRPr="00BE78CA" w:rsidRDefault="00FB19C0" w:rsidP="008F032F">
            <w:pPr>
              <w:pStyle w:val="TableTextBold"/>
              <w:spacing w:before="40" w:after="40"/>
              <w:rPr>
                <w:noProof w:val="0"/>
              </w:rPr>
            </w:pPr>
            <w:r w:rsidRPr="00BE78CA">
              <w:rPr>
                <w:noProof w:val="0"/>
              </w:rPr>
              <w:t>1995</w:t>
            </w:r>
          </w:p>
        </w:tc>
        <w:tc>
          <w:tcPr>
            <w:tcW w:w="1843" w:type="dxa"/>
            <w:tcBorders>
              <w:top w:val="single" w:sz="4" w:space="0" w:color="365F91"/>
              <w:left w:val="nil"/>
              <w:bottom w:val="single" w:sz="4" w:space="0" w:color="365F91"/>
              <w:right w:val="nil"/>
            </w:tcBorders>
            <w:hideMark/>
          </w:tcPr>
          <w:p w14:paraId="552B4A2D" w14:textId="77777777" w:rsidR="00FB19C0" w:rsidRPr="00BE78CA" w:rsidRDefault="00FB19C0" w:rsidP="008F032F">
            <w:pPr>
              <w:pStyle w:val="TableText"/>
              <w:spacing w:before="40" w:after="40"/>
              <w:jc w:val="center"/>
            </w:pPr>
            <w:r w:rsidRPr="00BE78CA">
              <w:t xml:space="preserve"> 3,706,700 </w:t>
            </w:r>
          </w:p>
        </w:tc>
        <w:tc>
          <w:tcPr>
            <w:tcW w:w="3082" w:type="dxa"/>
            <w:tcBorders>
              <w:top w:val="single" w:sz="4" w:space="0" w:color="365F91"/>
              <w:left w:val="nil"/>
              <w:bottom w:val="single" w:sz="4" w:space="0" w:color="365F91"/>
              <w:right w:val="nil"/>
            </w:tcBorders>
            <w:hideMark/>
          </w:tcPr>
          <w:p w14:paraId="78C98AAB" w14:textId="77777777" w:rsidR="00FB19C0" w:rsidRPr="00BE78CA" w:rsidRDefault="00FB19C0" w:rsidP="008F032F">
            <w:pPr>
              <w:pStyle w:val="TableText"/>
              <w:spacing w:before="40" w:after="40"/>
              <w:jc w:val="center"/>
            </w:pPr>
            <w:r w:rsidRPr="00BE78CA">
              <w:t>Same as 1997</w:t>
            </w:r>
          </w:p>
        </w:tc>
        <w:tc>
          <w:tcPr>
            <w:tcW w:w="2871" w:type="dxa"/>
            <w:tcBorders>
              <w:top w:val="single" w:sz="4" w:space="0" w:color="365F91"/>
              <w:left w:val="nil"/>
              <w:bottom w:val="single" w:sz="4" w:space="0" w:color="365F91"/>
              <w:right w:val="nil"/>
            </w:tcBorders>
            <w:hideMark/>
          </w:tcPr>
          <w:p w14:paraId="66D9B8A8" w14:textId="77777777" w:rsidR="00FB19C0" w:rsidRPr="00BE78CA" w:rsidRDefault="00FB19C0" w:rsidP="008F032F">
            <w:pPr>
              <w:pStyle w:val="TableText"/>
              <w:spacing w:before="40" w:after="40"/>
              <w:jc w:val="center"/>
            </w:pPr>
            <w:r w:rsidRPr="00BE78CA">
              <w:t>150.2</w:t>
            </w:r>
          </w:p>
        </w:tc>
      </w:tr>
      <w:tr w:rsidR="00FB19C0" w:rsidRPr="00BE78CA" w14:paraId="4971243D" w14:textId="77777777" w:rsidTr="008F032F">
        <w:tc>
          <w:tcPr>
            <w:tcW w:w="709" w:type="dxa"/>
            <w:tcBorders>
              <w:top w:val="single" w:sz="4" w:space="0" w:color="365F91"/>
              <w:left w:val="nil"/>
              <w:bottom w:val="single" w:sz="4" w:space="0" w:color="365F91"/>
              <w:right w:val="nil"/>
            </w:tcBorders>
            <w:hideMark/>
          </w:tcPr>
          <w:p w14:paraId="64BCCAE3" w14:textId="77777777" w:rsidR="00FB19C0" w:rsidRPr="00BE78CA" w:rsidRDefault="00FB19C0" w:rsidP="008F032F">
            <w:pPr>
              <w:pStyle w:val="TableTextBold"/>
              <w:spacing w:before="40" w:after="40"/>
              <w:rPr>
                <w:noProof w:val="0"/>
              </w:rPr>
            </w:pPr>
            <w:r w:rsidRPr="00BE78CA">
              <w:rPr>
                <w:noProof w:val="0"/>
              </w:rPr>
              <w:t>1996</w:t>
            </w:r>
          </w:p>
        </w:tc>
        <w:tc>
          <w:tcPr>
            <w:tcW w:w="1843" w:type="dxa"/>
            <w:tcBorders>
              <w:top w:val="single" w:sz="4" w:space="0" w:color="365F91"/>
              <w:left w:val="nil"/>
              <w:bottom w:val="single" w:sz="4" w:space="0" w:color="365F91"/>
              <w:right w:val="nil"/>
            </w:tcBorders>
            <w:hideMark/>
          </w:tcPr>
          <w:p w14:paraId="39C048D9" w14:textId="77777777" w:rsidR="00FB19C0" w:rsidRPr="00BE78CA" w:rsidRDefault="00FB19C0" w:rsidP="008F032F">
            <w:pPr>
              <w:pStyle w:val="TableText"/>
              <w:spacing w:before="40" w:after="40"/>
              <w:jc w:val="center"/>
            </w:pPr>
            <w:r w:rsidRPr="00BE78CA">
              <w:t xml:space="preserve"> 3,762,300 </w:t>
            </w:r>
          </w:p>
        </w:tc>
        <w:tc>
          <w:tcPr>
            <w:tcW w:w="3082" w:type="dxa"/>
            <w:tcBorders>
              <w:top w:val="single" w:sz="4" w:space="0" w:color="365F91"/>
              <w:left w:val="nil"/>
              <w:bottom w:val="single" w:sz="4" w:space="0" w:color="365F91"/>
              <w:right w:val="nil"/>
            </w:tcBorders>
            <w:hideMark/>
          </w:tcPr>
          <w:p w14:paraId="20B77344" w14:textId="77777777" w:rsidR="00FB19C0" w:rsidRPr="00BE78CA" w:rsidRDefault="00FB19C0" w:rsidP="008F032F">
            <w:pPr>
              <w:pStyle w:val="TableText"/>
              <w:spacing w:before="40" w:after="40"/>
              <w:jc w:val="center"/>
            </w:pPr>
            <w:r w:rsidRPr="00BE78CA">
              <w:t>Same as 1997</w:t>
            </w:r>
          </w:p>
        </w:tc>
        <w:tc>
          <w:tcPr>
            <w:tcW w:w="2871" w:type="dxa"/>
            <w:tcBorders>
              <w:top w:val="single" w:sz="4" w:space="0" w:color="365F91"/>
              <w:left w:val="nil"/>
              <w:bottom w:val="single" w:sz="4" w:space="0" w:color="365F91"/>
              <w:right w:val="nil"/>
            </w:tcBorders>
            <w:hideMark/>
          </w:tcPr>
          <w:p w14:paraId="38CDC7A7" w14:textId="77777777" w:rsidR="00FB19C0" w:rsidRPr="00BE78CA" w:rsidRDefault="00FB19C0" w:rsidP="008F032F">
            <w:pPr>
              <w:pStyle w:val="TableText"/>
              <w:spacing w:before="40" w:after="40"/>
              <w:jc w:val="center"/>
            </w:pPr>
            <w:r w:rsidRPr="00BE78CA">
              <w:t>152.8</w:t>
            </w:r>
          </w:p>
        </w:tc>
      </w:tr>
      <w:tr w:rsidR="00FB19C0" w:rsidRPr="00BE78CA" w14:paraId="1CB15A6F" w14:textId="77777777" w:rsidTr="008F032F">
        <w:tc>
          <w:tcPr>
            <w:tcW w:w="709" w:type="dxa"/>
            <w:tcBorders>
              <w:top w:val="single" w:sz="4" w:space="0" w:color="365F91"/>
              <w:left w:val="nil"/>
              <w:bottom w:val="single" w:sz="4" w:space="0" w:color="365F91"/>
              <w:right w:val="nil"/>
            </w:tcBorders>
            <w:hideMark/>
          </w:tcPr>
          <w:p w14:paraId="14881872" w14:textId="77777777" w:rsidR="00FB19C0" w:rsidRPr="00BE78CA" w:rsidRDefault="00FB19C0" w:rsidP="008F032F">
            <w:pPr>
              <w:pStyle w:val="TableTextBold"/>
              <w:spacing w:before="40" w:after="40"/>
              <w:rPr>
                <w:noProof w:val="0"/>
              </w:rPr>
            </w:pPr>
            <w:r w:rsidRPr="00BE78CA">
              <w:rPr>
                <w:noProof w:val="0"/>
              </w:rPr>
              <w:t>1997</w:t>
            </w:r>
          </w:p>
        </w:tc>
        <w:tc>
          <w:tcPr>
            <w:tcW w:w="1843" w:type="dxa"/>
            <w:tcBorders>
              <w:top w:val="single" w:sz="4" w:space="0" w:color="365F91"/>
              <w:left w:val="nil"/>
              <w:bottom w:val="single" w:sz="4" w:space="0" w:color="365F91"/>
              <w:right w:val="nil"/>
            </w:tcBorders>
            <w:hideMark/>
          </w:tcPr>
          <w:p w14:paraId="441E908D" w14:textId="77777777" w:rsidR="00FB19C0" w:rsidRPr="00BE78CA" w:rsidRDefault="00FB19C0" w:rsidP="008F032F">
            <w:pPr>
              <w:pStyle w:val="TableText"/>
              <w:spacing w:before="40" w:after="40"/>
              <w:jc w:val="center"/>
            </w:pPr>
            <w:r w:rsidRPr="00BE78CA">
              <w:t xml:space="preserve"> 3,802,700 </w:t>
            </w:r>
          </w:p>
        </w:tc>
        <w:tc>
          <w:tcPr>
            <w:tcW w:w="3082" w:type="dxa"/>
            <w:tcBorders>
              <w:top w:val="single" w:sz="4" w:space="0" w:color="365F91"/>
              <w:left w:val="nil"/>
              <w:bottom w:val="single" w:sz="4" w:space="0" w:color="365F91"/>
              <w:right w:val="nil"/>
            </w:tcBorders>
            <w:hideMark/>
          </w:tcPr>
          <w:p w14:paraId="639C4178" w14:textId="77777777" w:rsidR="00FB19C0" w:rsidRPr="00BE78CA" w:rsidRDefault="00FB19C0" w:rsidP="008F032F">
            <w:pPr>
              <w:pStyle w:val="TableText"/>
              <w:spacing w:before="40" w:after="40"/>
              <w:jc w:val="center"/>
            </w:pPr>
            <w:r w:rsidRPr="00BE78CA">
              <w:t>0.043</w:t>
            </w:r>
          </w:p>
        </w:tc>
        <w:tc>
          <w:tcPr>
            <w:tcW w:w="2871" w:type="dxa"/>
            <w:tcBorders>
              <w:top w:val="single" w:sz="4" w:space="0" w:color="365F91"/>
              <w:left w:val="nil"/>
              <w:bottom w:val="single" w:sz="4" w:space="0" w:color="365F91"/>
              <w:right w:val="nil"/>
            </w:tcBorders>
            <w:hideMark/>
          </w:tcPr>
          <w:p w14:paraId="7C888709" w14:textId="77777777" w:rsidR="00FB19C0" w:rsidRPr="00BE78CA" w:rsidRDefault="00FB19C0" w:rsidP="008F032F">
            <w:pPr>
              <w:pStyle w:val="TableText"/>
              <w:spacing w:before="40" w:after="40"/>
              <w:jc w:val="center"/>
            </w:pPr>
            <w:r w:rsidRPr="00BE78CA">
              <w:t>154.9</w:t>
            </w:r>
          </w:p>
        </w:tc>
      </w:tr>
      <w:tr w:rsidR="00FB19C0" w:rsidRPr="00BE78CA" w14:paraId="57B986CD" w14:textId="77777777" w:rsidTr="008F032F">
        <w:tc>
          <w:tcPr>
            <w:tcW w:w="709" w:type="dxa"/>
            <w:tcBorders>
              <w:top w:val="single" w:sz="4" w:space="0" w:color="365F91"/>
              <w:left w:val="nil"/>
              <w:bottom w:val="single" w:sz="4" w:space="0" w:color="365F91"/>
              <w:right w:val="nil"/>
            </w:tcBorders>
            <w:hideMark/>
          </w:tcPr>
          <w:p w14:paraId="5AE71908" w14:textId="77777777" w:rsidR="00FB19C0" w:rsidRPr="00BE78CA" w:rsidRDefault="00FB19C0" w:rsidP="008F032F">
            <w:pPr>
              <w:pStyle w:val="TableTextBold"/>
              <w:spacing w:before="40" w:after="40"/>
              <w:rPr>
                <w:noProof w:val="0"/>
              </w:rPr>
            </w:pPr>
            <w:r w:rsidRPr="00BE78CA">
              <w:rPr>
                <w:noProof w:val="0"/>
              </w:rPr>
              <w:t>1998</w:t>
            </w:r>
          </w:p>
        </w:tc>
        <w:tc>
          <w:tcPr>
            <w:tcW w:w="1843" w:type="dxa"/>
            <w:tcBorders>
              <w:top w:val="single" w:sz="4" w:space="0" w:color="365F91"/>
              <w:left w:val="nil"/>
              <w:bottom w:val="single" w:sz="4" w:space="0" w:color="365F91"/>
              <w:right w:val="nil"/>
            </w:tcBorders>
            <w:hideMark/>
          </w:tcPr>
          <w:p w14:paraId="6EB83766" w14:textId="77777777" w:rsidR="00FB19C0" w:rsidRPr="00BE78CA" w:rsidRDefault="00FB19C0" w:rsidP="008F032F">
            <w:pPr>
              <w:pStyle w:val="TableText"/>
              <w:spacing w:before="40" w:after="40"/>
              <w:jc w:val="center"/>
            </w:pPr>
            <w:r w:rsidRPr="00BE78CA">
              <w:t xml:space="preserve"> 3,829,200 </w:t>
            </w:r>
          </w:p>
        </w:tc>
        <w:tc>
          <w:tcPr>
            <w:tcW w:w="3082" w:type="dxa"/>
            <w:tcBorders>
              <w:top w:val="single" w:sz="4" w:space="0" w:color="365F91"/>
              <w:left w:val="nil"/>
              <w:bottom w:val="single" w:sz="4" w:space="0" w:color="365F91"/>
              <w:right w:val="nil"/>
            </w:tcBorders>
            <w:hideMark/>
          </w:tcPr>
          <w:p w14:paraId="2C3228AF" w14:textId="77777777" w:rsidR="00FB19C0" w:rsidRPr="00BE78CA" w:rsidRDefault="00FB19C0" w:rsidP="008F032F">
            <w:pPr>
              <w:pStyle w:val="TableText"/>
              <w:spacing w:before="40" w:after="40"/>
              <w:jc w:val="center"/>
            </w:pPr>
            <w:r w:rsidRPr="00BE78CA">
              <w:t>Interpolated</w:t>
            </w:r>
          </w:p>
        </w:tc>
        <w:tc>
          <w:tcPr>
            <w:tcW w:w="2871" w:type="dxa"/>
            <w:tcBorders>
              <w:top w:val="single" w:sz="4" w:space="0" w:color="365F91"/>
              <w:left w:val="nil"/>
              <w:bottom w:val="single" w:sz="4" w:space="0" w:color="365F91"/>
              <w:right w:val="nil"/>
            </w:tcBorders>
            <w:hideMark/>
          </w:tcPr>
          <w:p w14:paraId="1B4F9951" w14:textId="77777777" w:rsidR="00FB19C0" w:rsidRPr="00BE78CA" w:rsidRDefault="00FB19C0" w:rsidP="008F032F">
            <w:pPr>
              <w:pStyle w:val="TableText"/>
              <w:spacing w:before="40" w:after="40"/>
              <w:jc w:val="center"/>
            </w:pPr>
            <w:r w:rsidRPr="00BE78CA">
              <w:t>154.0</w:t>
            </w:r>
          </w:p>
        </w:tc>
      </w:tr>
      <w:tr w:rsidR="00FB19C0" w:rsidRPr="00BE78CA" w14:paraId="44AC5146" w14:textId="77777777" w:rsidTr="008F032F">
        <w:tc>
          <w:tcPr>
            <w:tcW w:w="709" w:type="dxa"/>
            <w:tcBorders>
              <w:top w:val="single" w:sz="4" w:space="0" w:color="365F91"/>
              <w:left w:val="nil"/>
              <w:bottom w:val="single" w:sz="4" w:space="0" w:color="365F91"/>
              <w:right w:val="nil"/>
            </w:tcBorders>
            <w:hideMark/>
          </w:tcPr>
          <w:p w14:paraId="0375402A" w14:textId="77777777" w:rsidR="00FB19C0" w:rsidRPr="00BE78CA" w:rsidRDefault="00FB19C0" w:rsidP="008F032F">
            <w:pPr>
              <w:pStyle w:val="TableTextBold"/>
              <w:spacing w:before="40" w:after="40"/>
              <w:rPr>
                <w:noProof w:val="0"/>
              </w:rPr>
            </w:pPr>
            <w:r w:rsidRPr="00BE78CA">
              <w:rPr>
                <w:noProof w:val="0"/>
              </w:rPr>
              <w:t>1999</w:t>
            </w:r>
          </w:p>
        </w:tc>
        <w:tc>
          <w:tcPr>
            <w:tcW w:w="1843" w:type="dxa"/>
            <w:tcBorders>
              <w:top w:val="single" w:sz="4" w:space="0" w:color="365F91"/>
              <w:left w:val="nil"/>
              <w:bottom w:val="single" w:sz="4" w:space="0" w:color="365F91"/>
              <w:right w:val="nil"/>
            </w:tcBorders>
            <w:hideMark/>
          </w:tcPr>
          <w:p w14:paraId="442B4EFE" w14:textId="77777777" w:rsidR="00FB19C0" w:rsidRPr="00BE78CA" w:rsidRDefault="00FB19C0" w:rsidP="008F032F">
            <w:pPr>
              <w:pStyle w:val="TableText"/>
              <w:spacing w:before="40" w:after="40"/>
              <w:jc w:val="center"/>
            </w:pPr>
            <w:r w:rsidRPr="00BE78CA">
              <w:t xml:space="preserve"> 3,851,100 </w:t>
            </w:r>
          </w:p>
        </w:tc>
        <w:tc>
          <w:tcPr>
            <w:tcW w:w="3082" w:type="dxa"/>
            <w:tcBorders>
              <w:top w:val="single" w:sz="4" w:space="0" w:color="365F91"/>
              <w:left w:val="nil"/>
              <w:bottom w:val="single" w:sz="4" w:space="0" w:color="365F91"/>
              <w:right w:val="nil"/>
            </w:tcBorders>
            <w:hideMark/>
          </w:tcPr>
          <w:p w14:paraId="4C8247E8" w14:textId="77777777" w:rsidR="00FB19C0" w:rsidRPr="00BE78CA" w:rsidRDefault="00FB19C0" w:rsidP="008F032F">
            <w:pPr>
              <w:pStyle w:val="TableText"/>
              <w:spacing w:before="40" w:after="40"/>
              <w:jc w:val="center"/>
            </w:pPr>
            <w:r w:rsidRPr="00BE78CA">
              <w:t>Interpolated</w:t>
            </w:r>
          </w:p>
        </w:tc>
        <w:tc>
          <w:tcPr>
            <w:tcW w:w="2871" w:type="dxa"/>
            <w:tcBorders>
              <w:top w:val="single" w:sz="4" w:space="0" w:color="365F91"/>
              <w:left w:val="nil"/>
              <w:bottom w:val="single" w:sz="4" w:space="0" w:color="365F91"/>
              <w:right w:val="nil"/>
            </w:tcBorders>
            <w:hideMark/>
          </w:tcPr>
          <w:p w14:paraId="3D0D5CC2" w14:textId="77777777" w:rsidR="00FB19C0" w:rsidRPr="00BE78CA" w:rsidRDefault="00FB19C0" w:rsidP="008F032F">
            <w:pPr>
              <w:pStyle w:val="TableText"/>
              <w:spacing w:before="40" w:after="40"/>
              <w:jc w:val="center"/>
            </w:pPr>
            <w:r w:rsidRPr="00BE78CA">
              <w:t>153.1</w:t>
            </w:r>
          </w:p>
        </w:tc>
      </w:tr>
      <w:tr w:rsidR="00FB19C0" w:rsidRPr="00BE78CA" w14:paraId="044C6288" w14:textId="77777777" w:rsidTr="008F032F">
        <w:tc>
          <w:tcPr>
            <w:tcW w:w="709" w:type="dxa"/>
            <w:tcBorders>
              <w:top w:val="single" w:sz="4" w:space="0" w:color="365F91"/>
              <w:left w:val="nil"/>
              <w:bottom w:val="single" w:sz="4" w:space="0" w:color="365F91"/>
              <w:right w:val="nil"/>
            </w:tcBorders>
            <w:hideMark/>
          </w:tcPr>
          <w:p w14:paraId="21B6B942" w14:textId="77777777" w:rsidR="00FB19C0" w:rsidRPr="00BE78CA" w:rsidRDefault="00FB19C0" w:rsidP="008F032F">
            <w:pPr>
              <w:pStyle w:val="TableTextBold"/>
              <w:spacing w:before="40" w:after="40"/>
              <w:rPr>
                <w:noProof w:val="0"/>
              </w:rPr>
            </w:pPr>
            <w:r w:rsidRPr="00BE78CA">
              <w:rPr>
                <w:noProof w:val="0"/>
              </w:rPr>
              <w:t>2000</w:t>
            </w:r>
          </w:p>
        </w:tc>
        <w:tc>
          <w:tcPr>
            <w:tcW w:w="1843" w:type="dxa"/>
            <w:tcBorders>
              <w:top w:val="single" w:sz="4" w:space="0" w:color="365F91"/>
              <w:left w:val="nil"/>
              <w:bottom w:val="single" w:sz="4" w:space="0" w:color="365F91"/>
              <w:right w:val="nil"/>
            </w:tcBorders>
            <w:hideMark/>
          </w:tcPr>
          <w:p w14:paraId="79EDCFBF" w14:textId="77777777" w:rsidR="00FB19C0" w:rsidRPr="00BE78CA" w:rsidRDefault="00FB19C0" w:rsidP="008F032F">
            <w:pPr>
              <w:pStyle w:val="TableText"/>
              <w:spacing w:before="40" w:after="40"/>
              <w:jc w:val="center"/>
            </w:pPr>
            <w:r w:rsidRPr="00BE78CA">
              <w:t xml:space="preserve"> 3,873,100 </w:t>
            </w:r>
          </w:p>
        </w:tc>
        <w:tc>
          <w:tcPr>
            <w:tcW w:w="3082" w:type="dxa"/>
            <w:tcBorders>
              <w:top w:val="single" w:sz="4" w:space="0" w:color="365F91"/>
              <w:left w:val="nil"/>
              <w:bottom w:val="single" w:sz="4" w:space="0" w:color="365F91"/>
              <w:right w:val="nil"/>
            </w:tcBorders>
            <w:hideMark/>
          </w:tcPr>
          <w:p w14:paraId="3347CA20" w14:textId="77777777" w:rsidR="00FB19C0" w:rsidRPr="00BE78CA" w:rsidRDefault="00FB19C0" w:rsidP="008F032F">
            <w:pPr>
              <w:pStyle w:val="TableText"/>
              <w:spacing w:before="40" w:after="40"/>
              <w:jc w:val="center"/>
            </w:pPr>
            <w:r w:rsidRPr="00BE78CA">
              <w:t>Interpolated</w:t>
            </w:r>
          </w:p>
        </w:tc>
        <w:tc>
          <w:tcPr>
            <w:tcW w:w="2871" w:type="dxa"/>
            <w:tcBorders>
              <w:top w:val="single" w:sz="4" w:space="0" w:color="365F91"/>
              <w:left w:val="nil"/>
              <w:bottom w:val="single" w:sz="4" w:space="0" w:color="365F91"/>
              <w:right w:val="nil"/>
            </w:tcBorders>
            <w:hideMark/>
          </w:tcPr>
          <w:p w14:paraId="6421EB4A" w14:textId="77777777" w:rsidR="00FB19C0" w:rsidRPr="00BE78CA" w:rsidRDefault="00FB19C0" w:rsidP="008F032F">
            <w:pPr>
              <w:pStyle w:val="TableText"/>
              <w:spacing w:before="40" w:after="40"/>
              <w:jc w:val="center"/>
            </w:pPr>
            <w:r w:rsidRPr="00BE78CA">
              <w:t>152.2</w:t>
            </w:r>
          </w:p>
        </w:tc>
      </w:tr>
      <w:tr w:rsidR="00FB19C0" w:rsidRPr="00BE78CA" w14:paraId="09470502" w14:textId="77777777" w:rsidTr="008F032F">
        <w:tc>
          <w:tcPr>
            <w:tcW w:w="709" w:type="dxa"/>
            <w:tcBorders>
              <w:top w:val="single" w:sz="4" w:space="0" w:color="365F91"/>
              <w:left w:val="nil"/>
              <w:bottom w:val="single" w:sz="4" w:space="0" w:color="365F91"/>
              <w:right w:val="nil"/>
            </w:tcBorders>
            <w:hideMark/>
          </w:tcPr>
          <w:p w14:paraId="016CBD6C" w14:textId="77777777" w:rsidR="00FB19C0" w:rsidRPr="00BE78CA" w:rsidRDefault="00FB19C0" w:rsidP="008F032F">
            <w:pPr>
              <w:pStyle w:val="TableTextBold"/>
              <w:spacing w:before="40" w:after="40"/>
              <w:rPr>
                <w:noProof w:val="0"/>
              </w:rPr>
            </w:pPr>
            <w:r w:rsidRPr="00BE78CA">
              <w:rPr>
                <w:noProof w:val="0"/>
              </w:rPr>
              <w:t>2001</w:t>
            </w:r>
          </w:p>
        </w:tc>
        <w:tc>
          <w:tcPr>
            <w:tcW w:w="1843" w:type="dxa"/>
            <w:tcBorders>
              <w:top w:val="single" w:sz="4" w:space="0" w:color="365F91"/>
              <w:left w:val="nil"/>
              <w:bottom w:val="single" w:sz="4" w:space="0" w:color="365F91"/>
              <w:right w:val="nil"/>
            </w:tcBorders>
            <w:hideMark/>
          </w:tcPr>
          <w:p w14:paraId="43AB8CAF" w14:textId="77777777" w:rsidR="00FB19C0" w:rsidRPr="00BE78CA" w:rsidRDefault="00FB19C0" w:rsidP="008F032F">
            <w:pPr>
              <w:pStyle w:val="TableText"/>
              <w:spacing w:before="40" w:after="40"/>
              <w:jc w:val="center"/>
            </w:pPr>
            <w:r w:rsidRPr="00BE78CA">
              <w:t xml:space="preserve"> 3,916,200 </w:t>
            </w:r>
          </w:p>
        </w:tc>
        <w:tc>
          <w:tcPr>
            <w:tcW w:w="3082" w:type="dxa"/>
            <w:tcBorders>
              <w:top w:val="single" w:sz="4" w:space="0" w:color="365F91"/>
              <w:left w:val="nil"/>
              <w:bottom w:val="single" w:sz="4" w:space="0" w:color="365F91"/>
              <w:right w:val="nil"/>
            </w:tcBorders>
            <w:hideMark/>
          </w:tcPr>
          <w:p w14:paraId="2740F51C" w14:textId="77777777" w:rsidR="00FB19C0" w:rsidRPr="00BE78CA" w:rsidRDefault="00FB19C0" w:rsidP="008F032F">
            <w:pPr>
              <w:pStyle w:val="TableText"/>
              <w:spacing w:before="40" w:after="40"/>
              <w:jc w:val="center"/>
            </w:pPr>
            <w:r w:rsidRPr="00BE78CA">
              <w:t>0.038</w:t>
            </w:r>
          </w:p>
        </w:tc>
        <w:tc>
          <w:tcPr>
            <w:tcW w:w="2871" w:type="dxa"/>
            <w:tcBorders>
              <w:top w:val="single" w:sz="4" w:space="0" w:color="365F91"/>
              <w:left w:val="nil"/>
              <w:bottom w:val="single" w:sz="4" w:space="0" w:color="365F91"/>
              <w:right w:val="nil"/>
            </w:tcBorders>
            <w:hideMark/>
          </w:tcPr>
          <w:p w14:paraId="020808D2" w14:textId="77777777" w:rsidR="00FB19C0" w:rsidRPr="00BE78CA" w:rsidRDefault="00FB19C0" w:rsidP="008F032F">
            <w:pPr>
              <w:pStyle w:val="TableText"/>
              <w:spacing w:before="40" w:after="40"/>
              <w:jc w:val="center"/>
            </w:pPr>
            <w:r w:rsidRPr="00BE78CA">
              <w:t>151.2</w:t>
            </w:r>
          </w:p>
        </w:tc>
      </w:tr>
      <w:tr w:rsidR="00FB19C0" w:rsidRPr="00BE78CA" w14:paraId="474EB519" w14:textId="77777777" w:rsidTr="008F032F">
        <w:tc>
          <w:tcPr>
            <w:tcW w:w="709" w:type="dxa"/>
            <w:tcBorders>
              <w:top w:val="single" w:sz="4" w:space="0" w:color="365F91"/>
              <w:left w:val="nil"/>
              <w:bottom w:val="single" w:sz="4" w:space="0" w:color="365F91"/>
              <w:right w:val="nil"/>
            </w:tcBorders>
            <w:hideMark/>
          </w:tcPr>
          <w:p w14:paraId="0497D15C" w14:textId="77777777" w:rsidR="00FB19C0" w:rsidRPr="00BE78CA" w:rsidRDefault="00FB19C0" w:rsidP="008F032F">
            <w:pPr>
              <w:pStyle w:val="TableTextBold"/>
              <w:spacing w:before="40" w:after="40"/>
              <w:rPr>
                <w:noProof w:val="0"/>
              </w:rPr>
            </w:pPr>
            <w:r w:rsidRPr="00BE78CA">
              <w:rPr>
                <w:noProof w:val="0"/>
              </w:rPr>
              <w:t>2002</w:t>
            </w:r>
          </w:p>
        </w:tc>
        <w:tc>
          <w:tcPr>
            <w:tcW w:w="1843" w:type="dxa"/>
            <w:tcBorders>
              <w:top w:val="single" w:sz="4" w:space="0" w:color="365F91"/>
              <w:left w:val="nil"/>
              <w:bottom w:val="single" w:sz="4" w:space="0" w:color="365F91"/>
              <w:right w:val="nil"/>
            </w:tcBorders>
            <w:hideMark/>
          </w:tcPr>
          <w:p w14:paraId="4F47604C" w14:textId="77777777" w:rsidR="00FB19C0" w:rsidRPr="00BE78CA" w:rsidRDefault="00FB19C0" w:rsidP="008F032F">
            <w:pPr>
              <w:pStyle w:val="TableText"/>
              <w:spacing w:before="40" w:after="40"/>
              <w:jc w:val="center"/>
            </w:pPr>
            <w:r w:rsidRPr="00BE78CA">
              <w:t xml:space="preserve"> 3,989,500 </w:t>
            </w:r>
          </w:p>
        </w:tc>
        <w:tc>
          <w:tcPr>
            <w:tcW w:w="3082" w:type="dxa"/>
            <w:tcBorders>
              <w:top w:val="single" w:sz="4" w:space="0" w:color="365F91"/>
              <w:left w:val="nil"/>
              <w:bottom w:val="single" w:sz="4" w:space="0" w:color="365F91"/>
              <w:right w:val="nil"/>
            </w:tcBorders>
            <w:hideMark/>
          </w:tcPr>
          <w:p w14:paraId="004622CD" w14:textId="77777777" w:rsidR="00FB19C0" w:rsidRPr="00BE78CA" w:rsidRDefault="00FB19C0" w:rsidP="008F032F">
            <w:pPr>
              <w:pStyle w:val="TableText"/>
              <w:spacing w:before="40" w:after="40"/>
              <w:jc w:val="center"/>
            </w:pPr>
            <w:r w:rsidRPr="00BE78CA">
              <w:t>Interpolated</w:t>
            </w:r>
          </w:p>
        </w:tc>
        <w:tc>
          <w:tcPr>
            <w:tcW w:w="2871" w:type="dxa"/>
            <w:tcBorders>
              <w:top w:val="single" w:sz="4" w:space="0" w:color="365F91"/>
              <w:left w:val="nil"/>
              <w:bottom w:val="single" w:sz="4" w:space="0" w:color="365F91"/>
              <w:right w:val="nil"/>
            </w:tcBorders>
            <w:hideMark/>
          </w:tcPr>
          <w:p w14:paraId="1DB1C13B" w14:textId="77777777" w:rsidR="00FB19C0" w:rsidRPr="00BE78CA" w:rsidRDefault="00FB19C0" w:rsidP="008F032F">
            <w:pPr>
              <w:pStyle w:val="TableText"/>
              <w:spacing w:before="40" w:after="40"/>
              <w:jc w:val="center"/>
            </w:pPr>
            <w:r w:rsidRPr="00BE78CA">
              <w:t>154.6</w:t>
            </w:r>
          </w:p>
        </w:tc>
      </w:tr>
      <w:tr w:rsidR="00FB19C0" w:rsidRPr="00BE78CA" w14:paraId="2CCA0A2B" w14:textId="77777777" w:rsidTr="008F032F">
        <w:tc>
          <w:tcPr>
            <w:tcW w:w="709" w:type="dxa"/>
            <w:tcBorders>
              <w:top w:val="single" w:sz="4" w:space="0" w:color="365F91"/>
              <w:left w:val="nil"/>
              <w:bottom w:val="single" w:sz="4" w:space="0" w:color="365F91"/>
              <w:right w:val="nil"/>
            </w:tcBorders>
            <w:hideMark/>
          </w:tcPr>
          <w:p w14:paraId="31865EF1" w14:textId="77777777" w:rsidR="00FB19C0" w:rsidRPr="00BE78CA" w:rsidRDefault="00FB19C0" w:rsidP="008F032F">
            <w:pPr>
              <w:pStyle w:val="TableTextBold"/>
              <w:spacing w:before="40" w:after="40"/>
              <w:rPr>
                <w:noProof w:val="0"/>
              </w:rPr>
            </w:pPr>
            <w:r w:rsidRPr="00BE78CA">
              <w:rPr>
                <w:noProof w:val="0"/>
              </w:rPr>
              <w:t>2003</w:t>
            </w:r>
          </w:p>
        </w:tc>
        <w:tc>
          <w:tcPr>
            <w:tcW w:w="1843" w:type="dxa"/>
            <w:tcBorders>
              <w:top w:val="single" w:sz="4" w:space="0" w:color="365F91"/>
              <w:left w:val="nil"/>
              <w:bottom w:val="single" w:sz="4" w:space="0" w:color="365F91"/>
              <w:right w:val="nil"/>
            </w:tcBorders>
            <w:hideMark/>
          </w:tcPr>
          <w:p w14:paraId="0AF51BBF" w14:textId="77777777" w:rsidR="00FB19C0" w:rsidRPr="00BE78CA" w:rsidRDefault="00FB19C0" w:rsidP="008F032F">
            <w:pPr>
              <w:pStyle w:val="TableText"/>
              <w:spacing w:before="40" w:after="40"/>
              <w:jc w:val="center"/>
            </w:pPr>
            <w:r w:rsidRPr="00BE78CA">
              <w:t xml:space="preserve"> 4,061,600 </w:t>
            </w:r>
          </w:p>
        </w:tc>
        <w:tc>
          <w:tcPr>
            <w:tcW w:w="3082" w:type="dxa"/>
            <w:tcBorders>
              <w:top w:val="single" w:sz="4" w:space="0" w:color="365F91"/>
              <w:left w:val="nil"/>
              <w:bottom w:val="single" w:sz="4" w:space="0" w:color="365F91"/>
              <w:right w:val="nil"/>
            </w:tcBorders>
            <w:hideMark/>
          </w:tcPr>
          <w:p w14:paraId="783619D8" w14:textId="77777777" w:rsidR="00FB19C0" w:rsidRPr="00BE78CA" w:rsidRDefault="00FB19C0" w:rsidP="008F032F">
            <w:pPr>
              <w:pStyle w:val="TableText"/>
              <w:spacing w:before="40" w:after="40"/>
              <w:jc w:val="center"/>
            </w:pPr>
            <w:r w:rsidRPr="00BE78CA">
              <w:t>Interpolated</w:t>
            </w:r>
          </w:p>
        </w:tc>
        <w:tc>
          <w:tcPr>
            <w:tcW w:w="2871" w:type="dxa"/>
            <w:tcBorders>
              <w:top w:val="single" w:sz="4" w:space="0" w:color="365F91"/>
              <w:left w:val="nil"/>
              <w:bottom w:val="single" w:sz="4" w:space="0" w:color="365F91"/>
              <w:right w:val="nil"/>
            </w:tcBorders>
            <w:hideMark/>
          </w:tcPr>
          <w:p w14:paraId="4E8A5ACB" w14:textId="77777777" w:rsidR="00FB19C0" w:rsidRPr="00BE78CA" w:rsidRDefault="00FB19C0" w:rsidP="008F032F">
            <w:pPr>
              <w:pStyle w:val="TableText"/>
              <w:spacing w:before="40" w:after="40"/>
              <w:jc w:val="center"/>
            </w:pPr>
            <w:r w:rsidRPr="00BE78CA">
              <w:t>158.0</w:t>
            </w:r>
          </w:p>
        </w:tc>
      </w:tr>
      <w:tr w:rsidR="00FB19C0" w:rsidRPr="00BE78CA" w14:paraId="272D23AC" w14:textId="77777777" w:rsidTr="008F032F">
        <w:tc>
          <w:tcPr>
            <w:tcW w:w="709" w:type="dxa"/>
            <w:tcBorders>
              <w:top w:val="single" w:sz="4" w:space="0" w:color="365F91"/>
              <w:left w:val="nil"/>
              <w:bottom w:val="single" w:sz="4" w:space="0" w:color="365F91"/>
              <w:right w:val="nil"/>
            </w:tcBorders>
            <w:hideMark/>
          </w:tcPr>
          <w:p w14:paraId="5DF4E717" w14:textId="77777777" w:rsidR="00FB19C0" w:rsidRPr="00BE78CA" w:rsidRDefault="00FB19C0" w:rsidP="008F032F">
            <w:pPr>
              <w:pStyle w:val="TableTextBold"/>
              <w:spacing w:before="40" w:after="40"/>
              <w:rPr>
                <w:noProof w:val="0"/>
              </w:rPr>
            </w:pPr>
            <w:r w:rsidRPr="00BE78CA">
              <w:rPr>
                <w:noProof w:val="0"/>
              </w:rPr>
              <w:t>2004</w:t>
            </w:r>
          </w:p>
        </w:tc>
        <w:tc>
          <w:tcPr>
            <w:tcW w:w="1843" w:type="dxa"/>
            <w:tcBorders>
              <w:top w:val="single" w:sz="4" w:space="0" w:color="365F91"/>
              <w:left w:val="nil"/>
              <w:bottom w:val="single" w:sz="4" w:space="0" w:color="365F91"/>
              <w:right w:val="nil"/>
            </w:tcBorders>
            <w:hideMark/>
          </w:tcPr>
          <w:p w14:paraId="17524489" w14:textId="77777777" w:rsidR="00FB19C0" w:rsidRPr="00BE78CA" w:rsidRDefault="00FB19C0" w:rsidP="008F032F">
            <w:pPr>
              <w:pStyle w:val="TableText"/>
              <w:spacing w:before="40" w:after="40"/>
              <w:jc w:val="center"/>
            </w:pPr>
            <w:r w:rsidRPr="00BE78CA">
              <w:t xml:space="preserve"> 4,114,300 </w:t>
            </w:r>
          </w:p>
        </w:tc>
        <w:tc>
          <w:tcPr>
            <w:tcW w:w="3082" w:type="dxa"/>
            <w:tcBorders>
              <w:top w:val="single" w:sz="4" w:space="0" w:color="365F91"/>
              <w:left w:val="nil"/>
              <w:bottom w:val="single" w:sz="4" w:space="0" w:color="365F91"/>
              <w:right w:val="nil"/>
            </w:tcBorders>
            <w:hideMark/>
          </w:tcPr>
          <w:p w14:paraId="4A1BF3D1" w14:textId="77777777" w:rsidR="00FB19C0" w:rsidRPr="00BE78CA" w:rsidRDefault="00FB19C0" w:rsidP="008F032F">
            <w:pPr>
              <w:pStyle w:val="TableText"/>
              <w:spacing w:before="40" w:after="40"/>
              <w:jc w:val="center"/>
            </w:pPr>
            <w:r w:rsidRPr="00BE78CA">
              <w:t>Interpolated</w:t>
            </w:r>
          </w:p>
        </w:tc>
        <w:tc>
          <w:tcPr>
            <w:tcW w:w="2871" w:type="dxa"/>
            <w:tcBorders>
              <w:top w:val="single" w:sz="4" w:space="0" w:color="365F91"/>
              <w:left w:val="nil"/>
              <w:bottom w:val="single" w:sz="4" w:space="0" w:color="365F91"/>
              <w:right w:val="nil"/>
            </w:tcBorders>
            <w:hideMark/>
          </w:tcPr>
          <w:p w14:paraId="2D656DAC" w14:textId="77777777" w:rsidR="00FB19C0" w:rsidRPr="00BE78CA" w:rsidRDefault="00FB19C0" w:rsidP="008F032F">
            <w:pPr>
              <w:pStyle w:val="TableText"/>
              <w:spacing w:before="40" w:after="40"/>
              <w:jc w:val="center"/>
            </w:pPr>
            <w:r w:rsidRPr="00BE78CA">
              <w:t>161.5</w:t>
            </w:r>
          </w:p>
        </w:tc>
      </w:tr>
      <w:tr w:rsidR="00FB19C0" w:rsidRPr="00BE78CA" w14:paraId="264B72E3" w14:textId="77777777" w:rsidTr="008F032F">
        <w:tc>
          <w:tcPr>
            <w:tcW w:w="709" w:type="dxa"/>
            <w:tcBorders>
              <w:top w:val="single" w:sz="4" w:space="0" w:color="365F91"/>
              <w:left w:val="nil"/>
              <w:bottom w:val="single" w:sz="4" w:space="0" w:color="365F91"/>
              <w:right w:val="nil"/>
            </w:tcBorders>
            <w:hideMark/>
          </w:tcPr>
          <w:p w14:paraId="09BE3C34" w14:textId="77777777" w:rsidR="00FB19C0" w:rsidRPr="00BE78CA" w:rsidRDefault="00FB19C0" w:rsidP="008F032F">
            <w:pPr>
              <w:pStyle w:val="TableTextBold"/>
              <w:spacing w:before="40" w:after="40"/>
              <w:rPr>
                <w:noProof w:val="0"/>
              </w:rPr>
            </w:pPr>
            <w:r w:rsidRPr="00BE78CA">
              <w:rPr>
                <w:noProof w:val="0"/>
              </w:rPr>
              <w:t>2005</w:t>
            </w:r>
          </w:p>
        </w:tc>
        <w:tc>
          <w:tcPr>
            <w:tcW w:w="1843" w:type="dxa"/>
            <w:tcBorders>
              <w:top w:val="single" w:sz="4" w:space="0" w:color="365F91"/>
              <w:left w:val="nil"/>
              <w:bottom w:val="single" w:sz="4" w:space="0" w:color="365F91"/>
              <w:right w:val="nil"/>
            </w:tcBorders>
            <w:hideMark/>
          </w:tcPr>
          <w:p w14:paraId="62184BA3" w14:textId="77777777" w:rsidR="00FB19C0" w:rsidRPr="00BE78CA" w:rsidRDefault="00FB19C0" w:rsidP="008F032F">
            <w:pPr>
              <w:pStyle w:val="TableText"/>
              <w:spacing w:before="40" w:after="40"/>
              <w:jc w:val="center"/>
            </w:pPr>
            <w:r w:rsidRPr="00BE78CA">
              <w:t xml:space="preserve"> 4,161,000 </w:t>
            </w:r>
          </w:p>
        </w:tc>
        <w:tc>
          <w:tcPr>
            <w:tcW w:w="3082" w:type="dxa"/>
            <w:tcBorders>
              <w:top w:val="single" w:sz="4" w:space="0" w:color="365F91"/>
              <w:left w:val="nil"/>
              <w:bottom w:val="single" w:sz="4" w:space="0" w:color="365F91"/>
              <w:right w:val="nil"/>
            </w:tcBorders>
            <w:hideMark/>
          </w:tcPr>
          <w:p w14:paraId="591AA79F" w14:textId="77777777" w:rsidR="00FB19C0" w:rsidRPr="00BE78CA" w:rsidRDefault="00FB19C0" w:rsidP="008F032F">
            <w:pPr>
              <w:pStyle w:val="TableText"/>
              <w:spacing w:before="40" w:after="40"/>
              <w:jc w:val="center"/>
            </w:pPr>
            <w:r w:rsidRPr="00BE78CA">
              <w:t>Interpolated</w:t>
            </w:r>
          </w:p>
        </w:tc>
        <w:tc>
          <w:tcPr>
            <w:tcW w:w="2871" w:type="dxa"/>
            <w:tcBorders>
              <w:top w:val="single" w:sz="4" w:space="0" w:color="365F91"/>
              <w:left w:val="nil"/>
              <w:bottom w:val="single" w:sz="4" w:space="0" w:color="365F91"/>
              <w:right w:val="nil"/>
            </w:tcBorders>
            <w:hideMark/>
          </w:tcPr>
          <w:p w14:paraId="6E9D5ED1" w14:textId="77777777" w:rsidR="00FB19C0" w:rsidRPr="00BE78CA" w:rsidRDefault="00FB19C0" w:rsidP="008F032F">
            <w:pPr>
              <w:pStyle w:val="TableText"/>
              <w:spacing w:before="40" w:after="40"/>
              <w:jc w:val="center"/>
            </w:pPr>
            <w:r w:rsidRPr="00BE78CA">
              <w:t>164.9</w:t>
            </w:r>
          </w:p>
        </w:tc>
      </w:tr>
      <w:tr w:rsidR="00FB19C0" w:rsidRPr="00BE78CA" w14:paraId="7F8AF378" w14:textId="77777777" w:rsidTr="008F032F">
        <w:tc>
          <w:tcPr>
            <w:tcW w:w="709" w:type="dxa"/>
            <w:tcBorders>
              <w:top w:val="single" w:sz="4" w:space="0" w:color="365F91"/>
              <w:left w:val="nil"/>
              <w:bottom w:val="single" w:sz="4" w:space="0" w:color="365F91"/>
              <w:right w:val="nil"/>
            </w:tcBorders>
            <w:hideMark/>
          </w:tcPr>
          <w:p w14:paraId="378324CA" w14:textId="77777777" w:rsidR="00FB19C0" w:rsidRPr="00BE78CA" w:rsidRDefault="00FB19C0" w:rsidP="008F032F">
            <w:pPr>
              <w:pStyle w:val="TableTextBold"/>
              <w:spacing w:before="40" w:after="40"/>
              <w:rPr>
                <w:noProof w:val="0"/>
              </w:rPr>
            </w:pPr>
            <w:r w:rsidRPr="00BE78CA">
              <w:rPr>
                <w:noProof w:val="0"/>
              </w:rPr>
              <w:t>2006</w:t>
            </w:r>
          </w:p>
        </w:tc>
        <w:tc>
          <w:tcPr>
            <w:tcW w:w="1843" w:type="dxa"/>
            <w:tcBorders>
              <w:top w:val="single" w:sz="4" w:space="0" w:color="365F91"/>
              <w:left w:val="nil"/>
              <w:bottom w:val="single" w:sz="4" w:space="0" w:color="365F91"/>
              <w:right w:val="nil"/>
            </w:tcBorders>
            <w:hideMark/>
          </w:tcPr>
          <w:p w14:paraId="3D27274F" w14:textId="77777777" w:rsidR="00FB19C0" w:rsidRPr="00BE78CA" w:rsidRDefault="00FB19C0" w:rsidP="008F032F">
            <w:pPr>
              <w:pStyle w:val="TableText"/>
              <w:spacing w:before="40" w:after="40"/>
              <w:jc w:val="center"/>
            </w:pPr>
            <w:r w:rsidRPr="00BE78CA">
              <w:t xml:space="preserve"> 4,209,100 </w:t>
            </w:r>
          </w:p>
        </w:tc>
        <w:tc>
          <w:tcPr>
            <w:tcW w:w="3082" w:type="dxa"/>
            <w:tcBorders>
              <w:top w:val="single" w:sz="4" w:space="0" w:color="365F91"/>
              <w:left w:val="nil"/>
              <w:bottom w:val="single" w:sz="4" w:space="0" w:color="365F91"/>
              <w:right w:val="nil"/>
            </w:tcBorders>
            <w:hideMark/>
          </w:tcPr>
          <w:p w14:paraId="221BD7F2" w14:textId="77777777" w:rsidR="00FB19C0" w:rsidRPr="00BE78CA" w:rsidRDefault="00FB19C0" w:rsidP="008F032F">
            <w:pPr>
              <w:pStyle w:val="TableText"/>
              <w:spacing w:before="40" w:after="40"/>
              <w:jc w:val="center"/>
            </w:pPr>
            <w:r w:rsidRPr="00BE78CA">
              <w:t>0.032</w:t>
            </w:r>
          </w:p>
        </w:tc>
        <w:tc>
          <w:tcPr>
            <w:tcW w:w="2871" w:type="dxa"/>
            <w:tcBorders>
              <w:top w:val="single" w:sz="4" w:space="0" w:color="365F91"/>
              <w:left w:val="nil"/>
              <w:bottom w:val="single" w:sz="4" w:space="0" w:color="365F91"/>
              <w:right w:val="nil"/>
            </w:tcBorders>
            <w:hideMark/>
          </w:tcPr>
          <w:p w14:paraId="21381504" w14:textId="77777777" w:rsidR="00FB19C0" w:rsidRPr="00BE78CA" w:rsidRDefault="00FB19C0" w:rsidP="008F032F">
            <w:pPr>
              <w:pStyle w:val="TableText"/>
              <w:spacing w:before="40" w:after="40"/>
              <w:jc w:val="center"/>
            </w:pPr>
            <w:r w:rsidRPr="00BE78CA">
              <w:t>168.0</w:t>
            </w:r>
          </w:p>
        </w:tc>
      </w:tr>
      <w:tr w:rsidR="00FB19C0" w:rsidRPr="00BE78CA" w14:paraId="0B08596C" w14:textId="77777777" w:rsidTr="008F032F">
        <w:tc>
          <w:tcPr>
            <w:tcW w:w="709" w:type="dxa"/>
            <w:tcBorders>
              <w:top w:val="single" w:sz="4" w:space="0" w:color="365F91"/>
              <w:left w:val="nil"/>
              <w:bottom w:val="single" w:sz="4" w:space="0" w:color="365F91"/>
              <w:right w:val="nil"/>
            </w:tcBorders>
            <w:hideMark/>
          </w:tcPr>
          <w:p w14:paraId="10AB4B91" w14:textId="77777777" w:rsidR="00FB19C0" w:rsidRPr="00BE78CA" w:rsidRDefault="00FB19C0" w:rsidP="008F032F">
            <w:pPr>
              <w:pStyle w:val="TableTextBold"/>
              <w:spacing w:before="40" w:after="40"/>
              <w:rPr>
                <w:noProof w:val="0"/>
              </w:rPr>
            </w:pPr>
            <w:r w:rsidRPr="00BE78CA">
              <w:rPr>
                <w:noProof w:val="0"/>
              </w:rPr>
              <w:lastRenderedPageBreak/>
              <w:t>2007</w:t>
            </w:r>
          </w:p>
        </w:tc>
        <w:tc>
          <w:tcPr>
            <w:tcW w:w="1843" w:type="dxa"/>
            <w:tcBorders>
              <w:top w:val="single" w:sz="4" w:space="0" w:color="365F91"/>
              <w:left w:val="nil"/>
              <w:bottom w:val="single" w:sz="4" w:space="0" w:color="365F91"/>
              <w:right w:val="nil"/>
            </w:tcBorders>
            <w:hideMark/>
          </w:tcPr>
          <w:p w14:paraId="167EAEA7" w14:textId="77777777" w:rsidR="00FB19C0" w:rsidRPr="00BE78CA" w:rsidRDefault="00FB19C0" w:rsidP="008F032F">
            <w:pPr>
              <w:pStyle w:val="TableText"/>
              <w:spacing w:before="40" w:after="40"/>
              <w:jc w:val="center"/>
            </w:pPr>
            <w:r w:rsidRPr="00BE78CA">
              <w:t xml:space="preserve"> 4,245,700 </w:t>
            </w:r>
          </w:p>
        </w:tc>
        <w:tc>
          <w:tcPr>
            <w:tcW w:w="3082" w:type="dxa"/>
            <w:tcBorders>
              <w:top w:val="single" w:sz="4" w:space="0" w:color="365F91"/>
              <w:left w:val="nil"/>
              <w:bottom w:val="single" w:sz="4" w:space="0" w:color="365F91"/>
              <w:right w:val="nil"/>
            </w:tcBorders>
            <w:hideMark/>
          </w:tcPr>
          <w:p w14:paraId="14FF0042" w14:textId="77777777" w:rsidR="00FB19C0" w:rsidRPr="00BE78CA" w:rsidRDefault="00FB19C0" w:rsidP="008F032F">
            <w:pPr>
              <w:pStyle w:val="TableText"/>
              <w:spacing w:before="40" w:after="40"/>
              <w:jc w:val="center"/>
            </w:pPr>
            <w:r w:rsidRPr="00BE78CA">
              <w:t>Interpolated</w:t>
            </w:r>
          </w:p>
        </w:tc>
        <w:tc>
          <w:tcPr>
            <w:tcW w:w="2871" w:type="dxa"/>
            <w:tcBorders>
              <w:top w:val="single" w:sz="4" w:space="0" w:color="365F91"/>
              <w:left w:val="nil"/>
              <w:bottom w:val="single" w:sz="4" w:space="0" w:color="365F91"/>
              <w:right w:val="nil"/>
            </w:tcBorders>
            <w:hideMark/>
          </w:tcPr>
          <w:p w14:paraId="15B99150" w14:textId="77777777" w:rsidR="00FB19C0" w:rsidRPr="00BE78CA" w:rsidRDefault="00FB19C0" w:rsidP="008F032F">
            <w:pPr>
              <w:pStyle w:val="TableText"/>
              <w:spacing w:before="40" w:after="40"/>
              <w:jc w:val="center"/>
            </w:pPr>
            <w:r w:rsidRPr="00BE78CA">
              <w:t>170.3</w:t>
            </w:r>
          </w:p>
        </w:tc>
      </w:tr>
      <w:tr w:rsidR="00FB19C0" w:rsidRPr="00BE78CA" w14:paraId="48A265DB" w14:textId="77777777" w:rsidTr="008F032F">
        <w:tc>
          <w:tcPr>
            <w:tcW w:w="709" w:type="dxa"/>
            <w:tcBorders>
              <w:top w:val="single" w:sz="4" w:space="0" w:color="365F91"/>
              <w:left w:val="nil"/>
              <w:bottom w:val="single" w:sz="4" w:space="0" w:color="365F91"/>
              <w:right w:val="nil"/>
            </w:tcBorders>
            <w:hideMark/>
          </w:tcPr>
          <w:p w14:paraId="5A5B2FEB" w14:textId="77777777" w:rsidR="00FB19C0" w:rsidRPr="00BE78CA" w:rsidRDefault="00FB19C0" w:rsidP="008F032F">
            <w:pPr>
              <w:pStyle w:val="TableTextBold"/>
              <w:spacing w:before="40" w:after="40"/>
              <w:rPr>
                <w:noProof w:val="0"/>
              </w:rPr>
            </w:pPr>
            <w:r w:rsidRPr="00BE78CA">
              <w:rPr>
                <w:noProof w:val="0"/>
              </w:rPr>
              <w:t>2008</w:t>
            </w:r>
          </w:p>
        </w:tc>
        <w:tc>
          <w:tcPr>
            <w:tcW w:w="1843" w:type="dxa"/>
            <w:tcBorders>
              <w:top w:val="single" w:sz="4" w:space="0" w:color="365F91"/>
              <w:left w:val="nil"/>
              <w:bottom w:val="single" w:sz="4" w:space="0" w:color="365F91"/>
              <w:right w:val="nil"/>
            </w:tcBorders>
            <w:hideMark/>
          </w:tcPr>
          <w:p w14:paraId="774A203C" w14:textId="77777777" w:rsidR="00FB19C0" w:rsidRPr="00BE78CA" w:rsidRDefault="00FB19C0" w:rsidP="008F032F">
            <w:pPr>
              <w:pStyle w:val="TableText"/>
              <w:spacing w:before="40" w:after="40"/>
              <w:jc w:val="center"/>
            </w:pPr>
            <w:r w:rsidRPr="00BE78CA">
              <w:t xml:space="preserve"> 4,280,300 </w:t>
            </w:r>
          </w:p>
        </w:tc>
        <w:tc>
          <w:tcPr>
            <w:tcW w:w="3082" w:type="dxa"/>
            <w:tcBorders>
              <w:top w:val="single" w:sz="4" w:space="0" w:color="365F91"/>
              <w:left w:val="nil"/>
              <w:bottom w:val="single" w:sz="4" w:space="0" w:color="365F91"/>
              <w:right w:val="nil"/>
            </w:tcBorders>
            <w:hideMark/>
          </w:tcPr>
          <w:p w14:paraId="71C3A424" w14:textId="77777777" w:rsidR="00FB19C0" w:rsidRPr="00BE78CA" w:rsidRDefault="00FB19C0" w:rsidP="008F032F">
            <w:pPr>
              <w:pStyle w:val="TableText"/>
              <w:spacing w:before="40" w:after="40"/>
              <w:jc w:val="center"/>
            </w:pPr>
            <w:r w:rsidRPr="00BE78CA">
              <w:t>Interpolated</w:t>
            </w:r>
          </w:p>
        </w:tc>
        <w:tc>
          <w:tcPr>
            <w:tcW w:w="2871" w:type="dxa"/>
            <w:tcBorders>
              <w:top w:val="single" w:sz="4" w:space="0" w:color="365F91"/>
              <w:left w:val="nil"/>
              <w:bottom w:val="single" w:sz="4" w:space="0" w:color="365F91"/>
              <w:right w:val="nil"/>
            </w:tcBorders>
            <w:hideMark/>
          </w:tcPr>
          <w:p w14:paraId="797CED24" w14:textId="77777777" w:rsidR="00FB19C0" w:rsidRPr="00BE78CA" w:rsidRDefault="00FB19C0" w:rsidP="008F032F">
            <w:pPr>
              <w:pStyle w:val="TableText"/>
              <w:spacing w:before="40" w:after="40"/>
              <w:jc w:val="center"/>
            </w:pPr>
            <w:r w:rsidRPr="00BE78CA">
              <w:t>172.2</w:t>
            </w:r>
          </w:p>
        </w:tc>
      </w:tr>
      <w:tr w:rsidR="00FB19C0" w:rsidRPr="00BE78CA" w14:paraId="61DF6187" w14:textId="77777777" w:rsidTr="008F032F">
        <w:tc>
          <w:tcPr>
            <w:tcW w:w="709" w:type="dxa"/>
            <w:tcBorders>
              <w:top w:val="single" w:sz="4" w:space="0" w:color="365F91"/>
              <w:left w:val="nil"/>
              <w:bottom w:val="single" w:sz="4" w:space="0" w:color="365F91"/>
              <w:right w:val="nil"/>
            </w:tcBorders>
            <w:hideMark/>
          </w:tcPr>
          <w:p w14:paraId="192A4C11" w14:textId="77777777" w:rsidR="00FB19C0" w:rsidRPr="00BE78CA" w:rsidRDefault="00FB19C0" w:rsidP="008F032F">
            <w:pPr>
              <w:pStyle w:val="TableTextBold"/>
              <w:spacing w:before="40" w:after="40"/>
              <w:rPr>
                <w:noProof w:val="0"/>
              </w:rPr>
            </w:pPr>
            <w:r w:rsidRPr="00BE78CA">
              <w:rPr>
                <w:noProof w:val="0"/>
              </w:rPr>
              <w:t>2009</w:t>
            </w:r>
          </w:p>
        </w:tc>
        <w:tc>
          <w:tcPr>
            <w:tcW w:w="1843" w:type="dxa"/>
            <w:tcBorders>
              <w:top w:val="single" w:sz="4" w:space="0" w:color="365F91"/>
              <w:left w:val="nil"/>
              <w:bottom w:val="single" w:sz="4" w:space="0" w:color="365F91"/>
              <w:right w:val="nil"/>
            </w:tcBorders>
            <w:hideMark/>
          </w:tcPr>
          <w:p w14:paraId="06B4E2EC" w14:textId="77777777" w:rsidR="00FB19C0" w:rsidRPr="00BE78CA" w:rsidRDefault="00FB19C0" w:rsidP="008F032F">
            <w:pPr>
              <w:pStyle w:val="TableText"/>
              <w:spacing w:before="40" w:after="40"/>
              <w:jc w:val="center"/>
            </w:pPr>
            <w:r w:rsidRPr="00BE78CA">
              <w:t xml:space="preserve"> 4,332,100 </w:t>
            </w:r>
          </w:p>
        </w:tc>
        <w:tc>
          <w:tcPr>
            <w:tcW w:w="3082" w:type="dxa"/>
            <w:tcBorders>
              <w:top w:val="single" w:sz="4" w:space="0" w:color="365F91"/>
              <w:left w:val="nil"/>
              <w:bottom w:val="single" w:sz="4" w:space="0" w:color="365F91"/>
              <w:right w:val="nil"/>
            </w:tcBorders>
            <w:hideMark/>
          </w:tcPr>
          <w:p w14:paraId="64723ACB" w14:textId="77777777" w:rsidR="00FB19C0" w:rsidRPr="00BE78CA" w:rsidRDefault="00FB19C0" w:rsidP="008F032F">
            <w:pPr>
              <w:pStyle w:val="TableText"/>
              <w:spacing w:before="40" w:after="40"/>
              <w:jc w:val="center"/>
            </w:pPr>
            <w:r w:rsidRPr="00BE78CA">
              <w:t>Interpolated</w:t>
            </w:r>
          </w:p>
        </w:tc>
        <w:tc>
          <w:tcPr>
            <w:tcW w:w="2871" w:type="dxa"/>
            <w:tcBorders>
              <w:top w:val="single" w:sz="4" w:space="0" w:color="365F91"/>
              <w:left w:val="nil"/>
              <w:bottom w:val="single" w:sz="4" w:space="0" w:color="365F91"/>
              <w:right w:val="nil"/>
            </w:tcBorders>
            <w:hideMark/>
          </w:tcPr>
          <w:p w14:paraId="0D466D65" w14:textId="77777777" w:rsidR="00FB19C0" w:rsidRPr="00BE78CA" w:rsidRDefault="00FB19C0" w:rsidP="008F032F">
            <w:pPr>
              <w:pStyle w:val="TableText"/>
              <w:spacing w:before="40" w:after="40"/>
              <w:jc w:val="center"/>
            </w:pPr>
            <w:r w:rsidRPr="00BE78CA">
              <w:t>174.0</w:t>
            </w:r>
          </w:p>
        </w:tc>
      </w:tr>
      <w:tr w:rsidR="00FB19C0" w:rsidRPr="00BE78CA" w14:paraId="105FE2D8" w14:textId="77777777" w:rsidTr="008F032F">
        <w:tc>
          <w:tcPr>
            <w:tcW w:w="709" w:type="dxa"/>
            <w:tcBorders>
              <w:top w:val="single" w:sz="4" w:space="0" w:color="365F91"/>
              <w:left w:val="nil"/>
              <w:bottom w:val="single" w:sz="4" w:space="0" w:color="365F91"/>
              <w:right w:val="nil"/>
            </w:tcBorders>
            <w:hideMark/>
          </w:tcPr>
          <w:p w14:paraId="51AD6DD4" w14:textId="77777777" w:rsidR="00FB19C0" w:rsidRPr="00BE78CA" w:rsidRDefault="00FB19C0" w:rsidP="008F032F">
            <w:pPr>
              <w:pStyle w:val="TableTextBold"/>
              <w:spacing w:before="40" w:after="40"/>
              <w:rPr>
                <w:noProof w:val="0"/>
              </w:rPr>
            </w:pPr>
            <w:r w:rsidRPr="00BE78CA">
              <w:rPr>
                <w:noProof w:val="0"/>
              </w:rPr>
              <w:t>2010</w:t>
            </w:r>
          </w:p>
        </w:tc>
        <w:tc>
          <w:tcPr>
            <w:tcW w:w="1843" w:type="dxa"/>
            <w:tcBorders>
              <w:top w:val="single" w:sz="4" w:space="0" w:color="365F91"/>
              <w:left w:val="nil"/>
              <w:bottom w:val="single" w:sz="4" w:space="0" w:color="365F91"/>
              <w:right w:val="nil"/>
            </w:tcBorders>
            <w:hideMark/>
          </w:tcPr>
          <w:p w14:paraId="055B4C8A" w14:textId="77777777" w:rsidR="00FB19C0" w:rsidRPr="00BE78CA" w:rsidRDefault="00FB19C0" w:rsidP="008F032F">
            <w:pPr>
              <w:pStyle w:val="TableText"/>
              <w:spacing w:before="40" w:after="40"/>
              <w:jc w:val="center"/>
            </w:pPr>
            <w:r w:rsidRPr="00BE78CA">
              <w:t xml:space="preserve"> 4,373,900 </w:t>
            </w:r>
          </w:p>
        </w:tc>
        <w:tc>
          <w:tcPr>
            <w:tcW w:w="3082" w:type="dxa"/>
            <w:tcBorders>
              <w:top w:val="single" w:sz="4" w:space="0" w:color="365F91"/>
              <w:left w:val="nil"/>
              <w:bottom w:val="single" w:sz="4" w:space="0" w:color="365F91"/>
              <w:right w:val="nil"/>
            </w:tcBorders>
            <w:hideMark/>
          </w:tcPr>
          <w:p w14:paraId="1A93FA8A" w14:textId="77777777" w:rsidR="00FB19C0" w:rsidRPr="00BE78CA" w:rsidRDefault="00FB19C0" w:rsidP="008F032F">
            <w:pPr>
              <w:pStyle w:val="TableText"/>
              <w:spacing w:before="40" w:after="40"/>
              <w:jc w:val="center"/>
            </w:pPr>
            <w:r w:rsidRPr="00BE78CA">
              <w:t>Interpolated</w:t>
            </w:r>
          </w:p>
        </w:tc>
        <w:tc>
          <w:tcPr>
            <w:tcW w:w="2871" w:type="dxa"/>
            <w:tcBorders>
              <w:top w:val="single" w:sz="4" w:space="0" w:color="365F91"/>
              <w:left w:val="nil"/>
              <w:bottom w:val="single" w:sz="4" w:space="0" w:color="365F91"/>
              <w:right w:val="nil"/>
            </w:tcBorders>
            <w:hideMark/>
          </w:tcPr>
          <w:p w14:paraId="39FF40A6" w14:textId="77777777" w:rsidR="00FB19C0" w:rsidRPr="00BE78CA" w:rsidRDefault="00FB19C0" w:rsidP="008F032F">
            <w:pPr>
              <w:pStyle w:val="TableText"/>
              <w:spacing w:before="40" w:after="40"/>
              <w:jc w:val="center"/>
            </w:pPr>
            <w:r w:rsidRPr="00BE78CA">
              <w:t>175.8</w:t>
            </w:r>
          </w:p>
        </w:tc>
      </w:tr>
      <w:tr w:rsidR="00FB19C0" w:rsidRPr="00BE78CA" w14:paraId="77D74D39" w14:textId="77777777" w:rsidTr="008F032F">
        <w:tc>
          <w:tcPr>
            <w:tcW w:w="709" w:type="dxa"/>
            <w:tcBorders>
              <w:top w:val="single" w:sz="4" w:space="0" w:color="365F91"/>
              <w:left w:val="nil"/>
              <w:bottom w:val="single" w:sz="4" w:space="0" w:color="365F91"/>
              <w:right w:val="nil"/>
            </w:tcBorders>
            <w:hideMark/>
          </w:tcPr>
          <w:p w14:paraId="498E3755" w14:textId="77777777" w:rsidR="00FB19C0" w:rsidRPr="00BE78CA" w:rsidRDefault="00FB19C0" w:rsidP="008F032F">
            <w:pPr>
              <w:pStyle w:val="TableTextBold"/>
              <w:spacing w:before="40" w:after="40"/>
              <w:rPr>
                <w:noProof w:val="0"/>
              </w:rPr>
            </w:pPr>
            <w:r w:rsidRPr="00BE78CA">
              <w:rPr>
                <w:noProof w:val="0"/>
              </w:rPr>
              <w:t>2011</w:t>
            </w:r>
          </w:p>
        </w:tc>
        <w:tc>
          <w:tcPr>
            <w:tcW w:w="1843" w:type="dxa"/>
            <w:tcBorders>
              <w:top w:val="single" w:sz="4" w:space="0" w:color="365F91"/>
              <w:left w:val="nil"/>
              <w:bottom w:val="single" w:sz="4" w:space="0" w:color="365F91"/>
              <w:right w:val="nil"/>
            </w:tcBorders>
            <w:hideMark/>
          </w:tcPr>
          <w:p w14:paraId="6FEDA0ED" w14:textId="77777777" w:rsidR="00FB19C0" w:rsidRPr="00BE78CA" w:rsidRDefault="00FB19C0" w:rsidP="008F032F">
            <w:pPr>
              <w:pStyle w:val="TableText"/>
              <w:spacing w:before="40" w:after="40"/>
              <w:jc w:val="center"/>
            </w:pPr>
            <w:r w:rsidRPr="00BE78CA">
              <w:t xml:space="preserve"> 4,399,400 </w:t>
            </w:r>
          </w:p>
        </w:tc>
        <w:tc>
          <w:tcPr>
            <w:tcW w:w="3082" w:type="dxa"/>
            <w:tcBorders>
              <w:top w:val="single" w:sz="4" w:space="0" w:color="365F91"/>
              <w:left w:val="nil"/>
              <w:bottom w:val="single" w:sz="4" w:space="0" w:color="365F91"/>
              <w:right w:val="nil"/>
            </w:tcBorders>
            <w:hideMark/>
          </w:tcPr>
          <w:p w14:paraId="0A439744" w14:textId="77777777" w:rsidR="00FB19C0" w:rsidRPr="00BE78CA" w:rsidRDefault="00FB19C0" w:rsidP="008F032F">
            <w:pPr>
              <w:pStyle w:val="TableText"/>
              <w:spacing w:before="40" w:after="40"/>
              <w:jc w:val="center"/>
            </w:pPr>
            <w:r w:rsidRPr="00BE78CA">
              <w:t>Interpolated</w:t>
            </w:r>
          </w:p>
        </w:tc>
        <w:tc>
          <w:tcPr>
            <w:tcW w:w="2871" w:type="dxa"/>
            <w:tcBorders>
              <w:top w:val="single" w:sz="4" w:space="0" w:color="365F91"/>
              <w:left w:val="nil"/>
              <w:bottom w:val="single" w:sz="4" w:space="0" w:color="365F91"/>
              <w:right w:val="nil"/>
            </w:tcBorders>
            <w:hideMark/>
          </w:tcPr>
          <w:p w14:paraId="5E0EC638" w14:textId="77777777" w:rsidR="00FB19C0" w:rsidRPr="00BE78CA" w:rsidRDefault="00FB19C0" w:rsidP="008F032F">
            <w:pPr>
              <w:pStyle w:val="TableText"/>
              <w:spacing w:before="40" w:after="40"/>
              <w:jc w:val="center"/>
            </w:pPr>
            <w:r w:rsidRPr="00BE78CA">
              <w:t>177.8</w:t>
            </w:r>
          </w:p>
        </w:tc>
      </w:tr>
      <w:tr w:rsidR="00FB19C0" w:rsidRPr="00BE78CA" w14:paraId="0669F277" w14:textId="77777777" w:rsidTr="008F032F">
        <w:tc>
          <w:tcPr>
            <w:tcW w:w="709" w:type="dxa"/>
            <w:tcBorders>
              <w:top w:val="single" w:sz="4" w:space="0" w:color="365F91"/>
              <w:left w:val="nil"/>
              <w:bottom w:val="single" w:sz="4" w:space="0" w:color="365F91"/>
              <w:right w:val="nil"/>
            </w:tcBorders>
            <w:hideMark/>
          </w:tcPr>
          <w:p w14:paraId="19BA7FB7" w14:textId="77777777" w:rsidR="00FB19C0" w:rsidRPr="00BE78CA" w:rsidRDefault="00FB19C0" w:rsidP="008F032F">
            <w:pPr>
              <w:pStyle w:val="TableTextBold"/>
              <w:spacing w:before="40" w:after="40"/>
              <w:rPr>
                <w:noProof w:val="0"/>
              </w:rPr>
            </w:pPr>
            <w:r w:rsidRPr="00BE78CA">
              <w:rPr>
                <w:noProof w:val="0"/>
              </w:rPr>
              <w:t>2012</w:t>
            </w:r>
          </w:p>
        </w:tc>
        <w:tc>
          <w:tcPr>
            <w:tcW w:w="1843" w:type="dxa"/>
            <w:tcBorders>
              <w:top w:val="single" w:sz="4" w:space="0" w:color="365F91"/>
              <w:left w:val="nil"/>
              <w:bottom w:val="single" w:sz="4" w:space="0" w:color="365F91"/>
              <w:right w:val="nil"/>
            </w:tcBorders>
            <w:hideMark/>
          </w:tcPr>
          <w:p w14:paraId="22C25AA3" w14:textId="77777777" w:rsidR="00FB19C0" w:rsidRPr="00BE78CA" w:rsidRDefault="00FB19C0" w:rsidP="008F032F">
            <w:pPr>
              <w:pStyle w:val="TableText"/>
              <w:spacing w:before="40" w:after="40"/>
              <w:jc w:val="center"/>
            </w:pPr>
            <w:r w:rsidRPr="00BE78CA">
              <w:t xml:space="preserve"> 4,425,900 </w:t>
            </w:r>
          </w:p>
        </w:tc>
        <w:tc>
          <w:tcPr>
            <w:tcW w:w="3082" w:type="dxa"/>
            <w:tcBorders>
              <w:top w:val="single" w:sz="4" w:space="0" w:color="365F91"/>
              <w:left w:val="nil"/>
              <w:bottom w:val="single" w:sz="4" w:space="0" w:color="365F91"/>
              <w:right w:val="nil"/>
            </w:tcBorders>
            <w:hideMark/>
          </w:tcPr>
          <w:p w14:paraId="151BD9D0" w14:textId="77777777" w:rsidR="00FB19C0" w:rsidRPr="00BE78CA" w:rsidRDefault="00FB19C0" w:rsidP="008F032F">
            <w:pPr>
              <w:pStyle w:val="TableText"/>
              <w:spacing w:before="40" w:after="40"/>
              <w:jc w:val="center"/>
            </w:pPr>
            <w:r w:rsidRPr="00BE78CA">
              <w:t>Interpolated</w:t>
            </w:r>
          </w:p>
        </w:tc>
        <w:tc>
          <w:tcPr>
            <w:tcW w:w="2871" w:type="dxa"/>
            <w:tcBorders>
              <w:top w:val="single" w:sz="4" w:space="0" w:color="365F91"/>
              <w:left w:val="nil"/>
              <w:bottom w:val="single" w:sz="4" w:space="0" w:color="365F91"/>
              <w:right w:val="nil"/>
            </w:tcBorders>
            <w:hideMark/>
          </w:tcPr>
          <w:p w14:paraId="687FB5AF" w14:textId="77777777" w:rsidR="00FB19C0" w:rsidRPr="00BE78CA" w:rsidRDefault="00FB19C0" w:rsidP="008F032F">
            <w:pPr>
              <w:pStyle w:val="TableText"/>
              <w:spacing w:before="40" w:after="40"/>
              <w:jc w:val="center"/>
            </w:pPr>
            <w:r w:rsidRPr="00BE78CA">
              <w:t>179.7</w:t>
            </w:r>
          </w:p>
        </w:tc>
      </w:tr>
      <w:tr w:rsidR="00FB19C0" w:rsidRPr="00BE78CA" w14:paraId="378E409F" w14:textId="77777777" w:rsidTr="008F032F">
        <w:tc>
          <w:tcPr>
            <w:tcW w:w="709" w:type="dxa"/>
            <w:tcBorders>
              <w:top w:val="single" w:sz="4" w:space="0" w:color="365F91"/>
              <w:left w:val="nil"/>
              <w:bottom w:val="single" w:sz="4" w:space="0" w:color="365F91"/>
              <w:right w:val="nil"/>
            </w:tcBorders>
            <w:hideMark/>
          </w:tcPr>
          <w:p w14:paraId="29876452" w14:textId="77777777" w:rsidR="00FB19C0" w:rsidRPr="00BE78CA" w:rsidRDefault="00FB19C0" w:rsidP="008F032F">
            <w:pPr>
              <w:pStyle w:val="TableTextBold"/>
              <w:spacing w:before="40" w:after="40"/>
              <w:rPr>
                <w:noProof w:val="0"/>
              </w:rPr>
            </w:pPr>
            <w:r w:rsidRPr="00BE78CA">
              <w:rPr>
                <w:noProof w:val="0"/>
              </w:rPr>
              <w:t>2013</w:t>
            </w:r>
          </w:p>
        </w:tc>
        <w:tc>
          <w:tcPr>
            <w:tcW w:w="1843" w:type="dxa"/>
            <w:tcBorders>
              <w:top w:val="single" w:sz="4" w:space="0" w:color="365F91"/>
              <w:left w:val="nil"/>
              <w:bottom w:val="single" w:sz="4" w:space="0" w:color="365F91"/>
              <w:right w:val="nil"/>
            </w:tcBorders>
            <w:hideMark/>
          </w:tcPr>
          <w:p w14:paraId="4A207442" w14:textId="77777777" w:rsidR="00FB19C0" w:rsidRPr="00BE78CA" w:rsidRDefault="00FB19C0" w:rsidP="008F032F">
            <w:pPr>
              <w:pStyle w:val="TableText"/>
              <w:spacing w:before="40" w:after="40"/>
              <w:jc w:val="center"/>
            </w:pPr>
            <w:r w:rsidRPr="00BE78CA">
              <w:t xml:space="preserve"> 4,477,400 </w:t>
            </w:r>
          </w:p>
        </w:tc>
        <w:tc>
          <w:tcPr>
            <w:tcW w:w="3082" w:type="dxa"/>
            <w:tcBorders>
              <w:top w:val="single" w:sz="4" w:space="0" w:color="365F91"/>
              <w:left w:val="nil"/>
              <w:bottom w:val="single" w:sz="4" w:space="0" w:color="365F91"/>
              <w:right w:val="nil"/>
            </w:tcBorders>
            <w:hideMark/>
          </w:tcPr>
          <w:p w14:paraId="5A18D2FB" w14:textId="77777777" w:rsidR="00FB19C0" w:rsidRPr="00BE78CA" w:rsidRDefault="00FB19C0" w:rsidP="008F032F">
            <w:pPr>
              <w:pStyle w:val="TableText"/>
              <w:spacing w:before="40" w:after="40"/>
              <w:jc w:val="center"/>
            </w:pPr>
            <w:r w:rsidRPr="00BE78CA">
              <w:t>0.032</w:t>
            </w:r>
          </w:p>
        </w:tc>
        <w:tc>
          <w:tcPr>
            <w:tcW w:w="2871" w:type="dxa"/>
            <w:tcBorders>
              <w:top w:val="single" w:sz="4" w:space="0" w:color="365F91"/>
              <w:left w:val="nil"/>
              <w:bottom w:val="single" w:sz="4" w:space="0" w:color="365F91"/>
              <w:right w:val="nil"/>
            </w:tcBorders>
            <w:hideMark/>
          </w:tcPr>
          <w:p w14:paraId="0562BA35" w14:textId="77777777" w:rsidR="00FB19C0" w:rsidRPr="00BE78CA" w:rsidRDefault="00FB19C0" w:rsidP="008F032F">
            <w:pPr>
              <w:pStyle w:val="TableText"/>
              <w:spacing w:before="40" w:after="40"/>
              <w:jc w:val="center"/>
            </w:pPr>
            <w:r w:rsidRPr="00BE78CA">
              <w:t>181.7</w:t>
            </w:r>
          </w:p>
        </w:tc>
      </w:tr>
      <w:tr w:rsidR="00FB19C0" w:rsidRPr="00BE78CA" w14:paraId="3F0A73C7" w14:textId="77777777" w:rsidTr="008F032F">
        <w:tc>
          <w:tcPr>
            <w:tcW w:w="709" w:type="dxa"/>
            <w:tcBorders>
              <w:top w:val="single" w:sz="4" w:space="0" w:color="365F91"/>
              <w:left w:val="nil"/>
              <w:bottom w:val="single" w:sz="4" w:space="0" w:color="365F91"/>
              <w:right w:val="nil"/>
            </w:tcBorders>
            <w:hideMark/>
          </w:tcPr>
          <w:p w14:paraId="6751E488" w14:textId="77777777" w:rsidR="00FB19C0" w:rsidRPr="00BE78CA" w:rsidRDefault="00FB19C0" w:rsidP="008F032F">
            <w:pPr>
              <w:pStyle w:val="TableTextBold"/>
              <w:spacing w:before="40" w:after="40"/>
              <w:rPr>
                <w:noProof w:val="0"/>
              </w:rPr>
            </w:pPr>
            <w:r w:rsidRPr="00BE78CA">
              <w:rPr>
                <w:noProof w:val="0"/>
              </w:rPr>
              <w:t>2014</w:t>
            </w:r>
          </w:p>
        </w:tc>
        <w:tc>
          <w:tcPr>
            <w:tcW w:w="1843" w:type="dxa"/>
            <w:tcBorders>
              <w:top w:val="single" w:sz="4" w:space="0" w:color="365F91"/>
              <w:left w:val="nil"/>
              <w:bottom w:val="single" w:sz="4" w:space="0" w:color="365F91"/>
              <w:right w:val="nil"/>
            </w:tcBorders>
            <w:hideMark/>
          </w:tcPr>
          <w:p w14:paraId="4BB92E44" w14:textId="77777777" w:rsidR="00FB19C0" w:rsidRPr="00BE78CA" w:rsidRDefault="00FB19C0" w:rsidP="008F032F">
            <w:pPr>
              <w:pStyle w:val="TableText"/>
              <w:spacing w:before="40" w:after="40"/>
              <w:jc w:val="center"/>
            </w:pPr>
            <w:r w:rsidRPr="00BE78CA">
              <w:t xml:space="preserve"> 4,564,400 </w:t>
            </w:r>
          </w:p>
        </w:tc>
        <w:tc>
          <w:tcPr>
            <w:tcW w:w="3082" w:type="dxa"/>
            <w:tcBorders>
              <w:top w:val="single" w:sz="4" w:space="0" w:color="365F91"/>
              <w:left w:val="nil"/>
              <w:bottom w:val="single" w:sz="4" w:space="0" w:color="365F91"/>
              <w:right w:val="nil"/>
            </w:tcBorders>
            <w:hideMark/>
          </w:tcPr>
          <w:p w14:paraId="1A30C005" w14:textId="77777777" w:rsidR="00FB19C0" w:rsidRPr="00BE78CA" w:rsidRDefault="00FB19C0" w:rsidP="008F032F">
            <w:pPr>
              <w:pStyle w:val="TableText"/>
              <w:spacing w:before="40" w:after="40"/>
              <w:jc w:val="center"/>
            </w:pPr>
            <w:r w:rsidRPr="00BE78CA">
              <w:t>0.032</w:t>
            </w:r>
          </w:p>
        </w:tc>
        <w:tc>
          <w:tcPr>
            <w:tcW w:w="2871" w:type="dxa"/>
            <w:tcBorders>
              <w:top w:val="single" w:sz="4" w:space="0" w:color="365F91"/>
              <w:left w:val="nil"/>
              <w:bottom w:val="single" w:sz="4" w:space="0" w:color="365F91"/>
              <w:right w:val="nil"/>
            </w:tcBorders>
            <w:hideMark/>
          </w:tcPr>
          <w:p w14:paraId="5B434712" w14:textId="77777777" w:rsidR="00FB19C0" w:rsidRPr="00BE78CA" w:rsidRDefault="00FB19C0" w:rsidP="008F032F">
            <w:pPr>
              <w:pStyle w:val="TableText"/>
              <w:spacing w:before="40" w:after="40"/>
              <w:jc w:val="center"/>
            </w:pPr>
            <w:r w:rsidRPr="00BE78CA">
              <w:t>185.2</w:t>
            </w:r>
          </w:p>
        </w:tc>
      </w:tr>
      <w:tr w:rsidR="00FB19C0" w:rsidRPr="00BE78CA" w14:paraId="066D235A" w14:textId="77777777" w:rsidTr="008F032F">
        <w:tc>
          <w:tcPr>
            <w:tcW w:w="709" w:type="dxa"/>
            <w:tcBorders>
              <w:top w:val="single" w:sz="4" w:space="0" w:color="365F91"/>
              <w:left w:val="nil"/>
              <w:bottom w:val="single" w:sz="4" w:space="0" w:color="365F91"/>
              <w:right w:val="nil"/>
            </w:tcBorders>
            <w:hideMark/>
          </w:tcPr>
          <w:p w14:paraId="0F0864E6" w14:textId="77777777" w:rsidR="00FB19C0" w:rsidRPr="00BE78CA" w:rsidRDefault="00FB19C0" w:rsidP="008F032F">
            <w:pPr>
              <w:pStyle w:val="TableTextBold"/>
              <w:spacing w:before="40" w:after="40"/>
              <w:rPr>
                <w:noProof w:val="0"/>
              </w:rPr>
            </w:pPr>
            <w:r w:rsidRPr="00BE78CA">
              <w:rPr>
                <w:noProof w:val="0"/>
              </w:rPr>
              <w:t>2015</w:t>
            </w:r>
          </w:p>
        </w:tc>
        <w:tc>
          <w:tcPr>
            <w:tcW w:w="1843" w:type="dxa"/>
            <w:tcBorders>
              <w:top w:val="single" w:sz="4" w:space="0" w:color="365F91"/>
              <w:left w:val="nil"/>
              <w:bottom w:val="single" w:sz="4" w:space="0" w:color="365F91"/>
              <w:right w:val="nil"/>
            </w:tcBorders>
            <w:hideMark/>
          </w:tcPr>
          <w:p w14:paraId="50138998" w14:textId="77777777" w:rsidR="00FB19C0" w:rsidRPr="00BE78CA" w:rsidRDefault="00FB19C0" w:rsidP="008F032F">
            <w:pPr>
              <w:pStyle w:val="TableText"/>
              <w:spacing w:before="40" w:after="40"/>
              <w:jc w:val="center"/>
            </w:pPr>
            <w:r w:rsidRPr="00BE78CA">
              <w:t xml:space="preserve"> 4,663,700 </w:t>
            </w:r>
          </w:p>
        </w:tc>
        <w:tc>
          <w:tcPr>
            <w:tcW w:w="3082" w:type="dxa"/>
            <w:tcBorders>
              <w:top w:val="single" w:sz="4" w:space="0" w:color="365F91"/>
              <w:left w:val="nil"/>
              <w:bottom w:val="single" w:sz="4" w:space="0" w:color="365F91"/>
              <w:right w:val="nil"/>
            </w:tcBorders>
            <w:hideMark/>
          </w:tcPr>
          <w:p w14:paraId="18927559" w14:textId="77777777" w:rsidR="00FB19C0" w:rsidRPr="00BE78CA" w:rsidRDefault="00FB19C0" w:rsidP="008F032F">
            <w:pPr>
              <w:pStyle w:val="TableText"/>
              <w:spacing w:before="40" w:after="40"/>
              <w:jc w:val="center"/>
            </w:pPr>
            <w:r w:rsidRPr="00BE78CA">
              <w:t>0.032</w:t>
            </w:r>
          </w:p>
        </w:tc>
        <w:tc>
          <w:tcPr>
            <w:tcW w:w="2871" w:type="dxa"/>
            <w:tcBorders>
              <w:top w:val="single" w:sz="4" w:space="0" w:color="365F91"/>
              <w:left w:val="nil"/>
              <w:bottom w:val="single" w:sz="4" w:space="0" w:color="365F91"/>
              <w:right w:val="nil"/>
            </w:tcBorders>
            <w:hideMark/>
          </w:tcPr>
          <w:p w14:paraId="45AC84BD" w14:textId="77777777" w:rsidR="00FB19C0" w:rsidRPr="00BE78CA" w:rsidRDefault="00FB19C0" w:rsidP="008F032F">
            <w:pPr>
              <w:pStyle w:val="TableText"/>
              <w:spacing w:before="40" w:after="40"/>
              <w:jc w:val="center"/>
            </w:pPr>
            <w:r w:rsidRPr="00BE78CA">
              <w:t>189.2</w:t>
            </w:r>
          </w:p>
        </w:tc>
      </w:tr>
      <w:tr w:rsidR="00FB19C0" w:rsidRPr="00BE78CA" w14:paraId="4A6EFA06" w14:textId="77777777" w:rsidTr="008F032F">
        <w:tc>
          <w:tcPr>
            <w:tcW w:w="709" w:type="dxa"/>
            <w:tcBorders>
              <w:top w:val="single" w:sz="4" w:space="0" w:color="365F91"/>
              <w:left w:val="nil"/>
              <w:bottom w:val="single" w:sz="4" w:space="0" w:color="365F91"/>
              <w:right w:val="nil"/>
            </w:tcBorders>
            <w:hideMark/>
          </w:tcPr>
          <w:p w14:paraId="23F1DB42" w14:textId="77777777" w:rsidR="00FB19C0" w:rsidRPr="00BE78CA" w:rsidRDefault="00FB19C0" w:rsidP="008F032F">
            <w:pPr>
              <w:pStyle w:val="TableTextBold"/>
              <w:spacing w:before="40" w:after="40"/>
              <w:rPr>
                <w:noProof w:val="0"/>
              </w:rPr>
            </w:pPr>
            <w:r w:rsidRPr="00BE78CA">
              <w:rPr>
                <w:noProof w:val="0"/>
              </w:rPr>
              <w:t>2016</w:t>
            </w:r>
          </w:p>
        </w:tc>
        <w:tc>
          <w:tcPr>
            <w:tcW w:w="1843" w:type="dxa"/>
            <w:tcBorders>
              <w:top w:val="single" w:sz="4" w:space="0" w:color="365F91"/>
              <w:left w:val="nil"/>
              <w:bottom w:val="single" w:sz="4" w:space="0" w:color="365F91"/>
              <w:right w:val="nil"/>
            </w:tcBorders>
            <w:hideMark/>
          </w:tcPr>
          <w:p w14:paraId="10754939" w14:textId="77777777" w:rsidR="00FB19C0" w:rsidRPr="00BE78CA" w:rsidRDefault="00FB19C0" w:rsidP="008F032F">
            <w:pPr>
              <w:pStyle w:val="TableText"/>
              <w:spacing w:before="40" w:after="40"/>
              <w:jc w:val="center"/>
            </w:pPr>
            <w:r w:rsidRPr="00BE78CA">
              <w:t xml:space="preserve"> 4,767,600 </w:t>
            </w:r>
          </w:p>
        </w:tc>
        <w:tc>
          <w:tcPr>
            <w:tcW w:w="3082" w:type="dxa"/>
            <w:tcBorders>
              <w:top w:val="single" w:sz="4" w:space="0" w:color="365F91"/>
              <w:left w:val="nil"/>
              <w:bottom w:val="single" w:sz="4" w:space="0" w:color="365F91"/>
              <w:right w:val="nil"/>
            </w:tcBorders>
            <w:hideMark/>
          </w:tcPr>
          <w:p w14:paraId="7E86C5CD" w14:textId="77777777" w:rsidR="00FB19C0" w:rsidRPr="00BE78CA" w:rsidRDefault="00FB19C0" w:rsidP="008F032F">
            <w:pPr>
              <w:pStyle w:val="TableText"/>
              <w:spacing w:before="40" w:after="40"/>
              <w:jc w:val="center"/>
            </w:pPr>
            <w:r w:rsidRPr="00BE78CA">
              <w:t>0.032</w:t>
            </w:r>
          </w:p>
        </w:tc>
        <w:tc>
          <w:tcPr>
            <w:tcW w:w="2871" w:type="dxa"/>
            <w:tcBorders>
              <w:top w:val="single" w:sz="4" w:space="0" w:color="365F91"/>
              <w:left w:val="nil"/>
              <w:bottom w:val="single" w:sz="4" w:space="0" w:color="365F91"/>
              <w:right w:val="nil"/>
            </w:tcBorders>
            <w:hideMark/>
          </w:tcPr>
          <w:p w14:paraId="135F4F39" w14:textId="77777777" w:rsidR="00FB19C0" w:rsidRPr="00BE78CA" w:rsidRDefault="00FB19C0" w:rsidP="008F032F">
            <w:pPr>
              <w:pStyle w:val="TableText"/>
              <w:spacing w:before="40" w:after="40"/>
              <w:jc w:val="center"/>
            </w:pPr>
            <w:r w:rsidRPr="00BE78CA">
              <w:t>193.3</w:t>
            </w:r>
          </w:p>
        </w:tc>
      </w:tr>
      <w:tr w:rsidR="00FB19C0" w:rsidRPr="00BE78CA" w14:paraId="7B44988C" w14:textId="77777777" w:rsidTr="008F032F">
        <w:tc>
          <w:tcPr>
            <w:tcW w:w="709" w:type="dxa"/>
            <w:tcBorders>
              <w:top w:val="single" w:sz="4" w:space="0" w:color="365F91"/>
              <w:left w:val="nil"/>
              <w:bottom w:val="single" w:sz="4" w:space="0" w:color="365F91"/>
              <w:right w:val="nil"/>
            </w:tcBorders>
            <w:hideMark/>
          </w:tcPr>
          <w:p w14:paraId="1E7A9A7D" w14:textId="77777777" w:rsidR="00FB19C0" w:rsidRPr="00BE78CA" w:rsidRDefault="00FB19C0" w:rsidP="008F032F">
            <w:pPr>
              <w:pStyle w:val="TableTextBold"/>
              <w:spacing w:before="40" w:after="40"/>
              <w:rPr>
                <w:noProof w:val="0"/>
              </w:rPr>
            </w:pPr>
            <w:r w:rsidRPr="00BE78CA">
              <w:rPr>
                <w:noProof w:val="0"/>
              </w:rPr>
              <w:t>2017</w:t>
            </w:r>
          </w:p>
        </w:tc>
        <w:tc>
          <w:tcPr>
            <w:tcW w:w="1843" w:type="dxa"/>
            <w:tcBorders>
              <w:top w:val="single" w:sz="4" w:space="0" w:color="365F91"/>
              <w:left w:val="nil"/>
              <w:bottom w:val="single" w:sz="4" w:space="0" w:color="365F91"/>
              <w:right w:val="nil"/>
            </w:tcBorders>
            <w:hideMark/>
          </w:tcPr>
          <w:p w14:paraId="60856CDF" w14:textId="77777777" w:rsidR="00FB19C0" w:rsidRPr="00BE78CA" w:rsidRDefault="00FB19C0" w:rsidP="008F032F">
            <w:pPr>
              <w:pStyle w:val="TableText"/>
              <w:spacing w:before="40" w:after="40"/>
              <w:jc w:val="center"/>
            </w:pPr>
            <w:r w:rsidRPr="00BE78CA">
              <w:t xml:space="preserve"> 4,859,500 </w:t>
            </w:r>
          </w:p>
        </w:tc>
        <w:tc>
          <w:tcPr>
            <w:tcW w:w="3082" w:type="dxa"/>
            <w:tcBorders>
              <w:top w:val="single" w:sz="4" w:space="0" w:color="365F91"/>
              <w:left w:val="nil"/>
              <w:bottom w:val="single" w:sz="4" w:space="0" w:color="365F91"/>
              <w:right w:val="nil"/>
            </w:tcBorders>
            <w:hideMark/>
          </w:tcPr>
          <w:p w14:paraId="79AEA171" w14:textId="77777777" w:rsidR="00FB19C0" w:rsidRPr="00BE78CA" w:rsidRDefault="00FB19C0" w:rsidP="008F032F">
            <w:pPr>
              <w:pStyle w:val="TableText"/>
              <w:spacing w:before="40" w:after="40"/>
              <w:jc w:val="center"/>
            </w:pPr>
            <w:r w:rsidRPr="00BE78CA">
              <w:t>0.032</w:t>
            </w:r>
          </w:p>
        </w:tc>
        <w:tc>
          <w:tcPr>
            <w:tcW w:w="2871" w:type="dxa"/>
            <w:tcBorders>
              <w:top w:val="single" w:sz="4" w:space="0" w:color="365F91"/>
              <w:left w:val="nil"/>
              <w:bottom w:val="single" w:sz="4" w:space="0" w:color="365F91"/>
              <w:right w:val="nil"/>
            </w:tcBorders>
            <w:hideMark/>
          </w:tcPr>
          <w:p w14:paraId="3B74649C" w14:textId="77777777" w:rsidR="00FB19C0" w:rsidRPr="00BE78CA" w:rsidRDefault="00FB19C0" w:rsidP="008F032F">
            <w:pPr>
              <w:pStyle w:val="TableText"/>
              <w:spacing w:before="40" w:after="40"/>
              <w:jc w:val="center"/>
            </w:pPr>
            <w:r w:rsidRPr="00BE78CA">
              <w:t>196.8</w:t>
            </w:r>
          </w:p>
        </w:tc>
      </w:tr>
      <w:tr w:rsidR="00FB19C0" w:rsidRPr="00BE78CA" w14:paraId="5A0D1DBE" w14:textId="77777777" w:rsidTr="008F032F">
        <w:tc>
          <w:tcPr>
            <w:tcW w:w="709" w:type="dxa"/>
            <w:tcBorders>
              <w:top w:val="single" w:sz="4" w:space="0" w:color="365F91"/>
              <w:left w:val="nil"/>
              <w:bottom w:val="single" w:sz="4" w:space="0" w:color="365F91"/>
              <w:right w:val="nil"/>
            </w:tcBorders>
            <w:hideMark/>
          </w:tcPr>
          <w:p w14:paraId="119D37EF" w14:textId="77777777" w:rsidR="00FB19C0" w:rsidRPr="00BE78CA" w:rsidRDefault="00FB19C0" w:rsidP="008F032F">
            <w:pPr>
              <w:pStyle w:val="TableTextBold"/>
              <w:spacing w:before="40" w:after="40"/>
              <w:rPr>
                <w:noProof w:val="0"/>
              </w:rPr>
            </w:pPr>
            <w:r w:rsidRPr="00BE78CA">
              <w:rPr>
                <w:noProof w:val="0"/>
              </w:rPr>
              <w:t>2018</w:t>
            </w:r>
          </w:p>
        </w:tc>
        <w:tc>
          <w:tcPr>
            <w:tcW w:w="1843" w:type="dxa"/>
            <w:tcBorders>
              <w:top w:val="single" w:sz="4" w:space="0" w:color="365F91"/>
              <w:left w:val="nil"/>
              <w:bottom w:val="single" w:sz="4" w:space="0" w:color="365F91"/>
              <w:right w:val="nil"/>
            </w:tcBorders>
            <w:hideMark/>
          </w:tcPr>
          <w:p w14:paraId="57779614" w14:textId="77777777" w:rsidR="00FB19C0" w:rsidRPr="00BE78CA" w:rsidRDefault="00FB19C0" w:rsidP="008F032F">
            <w:pPr>
              <w:pStyle w:val="TableText"/>
              <w:spacing w:before="40" w:after="40"/>
              <w:jc w:val="center"/>
            </w:pPr>
            <w:r w:rsidRPr="00BE78CA">
              <w:t xml:space="preserve"> 4,941,200 </w:t>
            </w:r>
          </w:p>
        </w:tc>
        <w:tc>
          <w:tcPr>
            <w:tcW w:w="3082" w:type="dxa"/>
            <w:tcBorders>
              <w:top w:val="single" w:sz="4" w:space="0" w:color="365F91"/>
              <w:left w:val="nil"/>
              <w:bottom w:val="single" w:sz="4" w:space="0" w:color="365F91"/>
              <w:right w:val="nil"/>
            </w:tcBorders>
            <w:hideMark/>
          </w:tcPr>
          <w:p w14:paraId="21C55755" w14:textId="77777777" w:rsidR="00FB19C0" w:rsidRPr="00BE78CA" w:rsidRDefault="00FB19C0" w:rsidP="008F032F">
            <w:pPr>
              <w:pStyle w:val="TableText"/>
              <w:spacing w:before="40" w:after="40"/>
              <w:jc w:val="center"/>
            </w:pPr>
            <w:r w:rsidRPr="00BE78CA">
              <w:t>0.032</w:t>
            </w:r>
          </w:p>
        </w:tc>
        <w:tc>
          <w:tcPr>
            <w:tcW w:w="2871" w:type="dxa"/>
            <w:tcBorders>
              <w:top w:val="single" w:sz="4" w:space="0" w:color="365F91"/>
              <w:left w:val="nil"/>
              <w:bottom w:val="single" w:sz="4" w:space="0" w:color="365F91"/>
              <w:right w:val="nil"/>
            </w:tcBorders>
            <w:hideMark/>
          </w:tcPr>
          <w:p w14:paraId="2AB41818" w14:textId="77777777" w:rsidR="00FB19C0" w:rsidRPr="00BE78CA" w:rsidRDefault="00FB19C0" w:rsidP="008F032F">
            <w:pPr>
              <w:pStyle w:val="TableText"/>
              <w:spacing w:before="40" w:after="40"/>
              <w:jc w:val="center"/>
            </w:pPr>
            <w:r w:rsidRPr="00BE78CA">
              <w:t>200.0</w:t>
            </w:r>
          </w:p>
        </w:tc>
      </w:tr>
      <w:tr w:rsidR="00FB19C0" w:rsidRPr="00BE78CA" w14:paraId="46B0AE64" w14:textId="77777777" w:rsidTr="008F032F">
        <w:tc>
          <w:tcPr>
            <w:tcW w:w="709" w:type="dxa"/>
            <w:tcBorders>
              <w:top w:val="single" w:sz="4" w:space="0" w:color="365F91"/>
              <w:left w:val="nil"/>
              <w:bottom w:val="single" w:sz="4" w:space="0" w:color="365F91"/>
              <w:right w:val="nil"/>
            </w:tcBorders>
          </w:tcPr>
          <w:p w14:paraId="443AF7BC" w14:textId="77777777" w:rsidR="00FB19C0" w:rsidRPr="00BE78CA" w:rsidRDefault="00FB19C0" w:rsidP="008F032F">
            <w:pPr>
              <w:pStyle w:val="TableTextBold"/>
              <w:spacing w:before="40" w:after="40"/>
              <w:rPr>
                <w:noProof w:val="0"/>
              </w:rPr>
            </w:pPr>
            <w:r w:rsidRPr="00BE78CA">
              <w:rPr>
                <w:noProof w:val="0"/>
              </w:rPr>
              <w:t>2019</w:t>
            </w:r>
          </w:p>
        </w:tc>
        <w:tc>
          <w:tcPr>
            <w:tcW w:w="1843" w:type="dxa"/>
            <w:tcBorders>
              <w:top w:val="single" w:sz="4" w:space="0" w:color="365F91"/>
              <w:left w:val="nil"/>
              <w:bottom w:val="single" w:sz="4" w:space="0" w:color="365F91"/>
              <w:right w:val="nil"/>
            </w:tcBorders>
          </w:tcPr>
          <w:p w14:paraId="253ECEDA" w14:textId="77777777" w:rsidR="00FB19C0" w:rsidRPr="00BE78CA" w:rsidRDefault="00FB19C0" w:rsidP="008F032F">
            <w:pPr>
              <w:pStyle w:val="TableText"/>
              <w:spacing w:before="40" w:after="40"/>
              <w:jc w:val="center"/>
            </w:pPr>
            <w:r w:rsidRPr="00BE78CA">
              <w:t xml:space="preserve"> 5,037,600 </w:t>
            </w:r>
          </w:p>
        </w:tc>
        <w:tc>
          <w:tcPr>
            <w:tcW w:w="3082" w:type="dxa"/>
            <w:tcBorders>
              <w:top w:val="single" w:sz="4" w:space="0" w:color="365F91"/>
              <w:left w:val="nil"/>
              <w:bottom w:val="single" w:sz="4" w:space="0" w:color="365F91"/>
              <w:right w:val="nil"/>
            </w:tcBorders>
          </w:tcPr>
          <w:p w14:paraId="759235B8" w14:textId="77777777" w:rsidR="00FB19C0" w:rsidRPr="00BE78CA" w:rsidRDefault="00FB19C0" w:rsidP="008F032F">
            <w:pPr>
              <w:pStyle w:val="TableText"/>
              <w:spacing w:before="40" w:after="40"/>
              <w:jc w:val="center"/>
            </w:pPr>
            <w:r w:rsidRPr="00BE78CA">
              <w:t>0.032</w:t>
            </w:r>
          </w:p>
        </w:tc>
        <w:tc>
          <w:tcPr>
            <w:tcW w:w="2871" w:type="dxa"/>
            <w:tcBorders>
              <w:top w:val="single" w:sz="4" w:space="0" w:color="365F91"/>
              <w:left w:val="nil"/>
              <w:bottom w:val="single" w:sz="4" w:space="0" w:color="365F91"/>
              <w:right w:val="nil"/>
            </w:tcBorders>
          </w:tcPr>
          <w:p w14:paraId="0523BA59" w14:textId="77777777" w:rsidR="00FB19C0" w:rsidRPr="00BE78CA" w:rsidRDefault="00FB19C0" w:rsidP="008F032F">
            <w:pPr>
              <w:pStyle w:val="TableText"/>
              <w:spacing w:before="40" w:after="40"/>
              <w:jc w:val="center"/>
            </w:pPr>
            <w:r w:rsidRPr="00BE78CA">
              <w:t>203.9</w:t>
            </w:r>
          </w:p>
        </w:tc>
      </w:tr>
    </w:tbl>
    <w:p w14:paraId="031F05CD" w14:textId="77777777" w:rsidR="00FB19C0" w:rsidRPr="00BE78CA" w:rsidRDefault="00FB19C0" w:rsidP="00FB19C0">
      <w:pPr>
        <w:pStyle w:val="Heading5"/>
        <w:spacing w:before="360"/>
      </w:pPr>
      <w:r w:rsidRPr="00BE78CA">
        <w:t>Industrial wastewater (5.D.2)</w:t>
      </w:r>
    </w:p>
    <w:p w14:paraId="582E4A49" w14:textId="77777777" w:rsidR="00FB19C0" w:rsidRPr="00BE78CA" w:rsidRDefault="00FB19C0" w:rsidP="00FB19C0">
      <w:pPr>
        <w:pStyle w:val="BodyText"/>
      </w:pPr>
      <w:r w:rsidRPr="00BE78CA">
        <w:t>The following industries are identified as having organic-rich wastewaters that are treated anaerobically (in order of significance): meat processing, pulp and paper, and other industries described below. Table 7.5.3 reports the activity data for the amount of total organic product in wastewater (TOW) across the main industries.</w:t>
      </w:r>
    </w:p>
    <w:p w14:paraId="02E4B0F0" w14:textId="77777777" w:rsidR="00FB19C0" w:rsidRPr="00BE78CA" w:rsidRDefault="00FB19C0" w:rsidP="00FB19C0">
      <w:pPr>
        <w:pStyle w:val="Table"/>
        <w:rPr>
          <w:rFonts w:cs="Arial"/>
        </w:rPr>
      </w:pPr>
      <w:bookmarkStart w:id="3041" w:name="_Toc5269580"/>
      <w:bookmarkStart w:id="3042" w:name="_Toc511116832"/>
      <w:bookmarkStart w:id="3043" w:name="_Toc508019334"/>
      <w:bookmarkStart w:id="3044" w:name="_Toc32828538"/>
      <w:bookmarkStart w:id="3045" w:name="_Toc32591368"/>
      <w:bookmarkStart w:id="3046" w:name="_Toc36224661"/>
      <w:bookmarkStart w:id="3047" w:name="_Toc68786547"/>
      <w:r w:rsidRPr="00BE78CA">
        <w:rPr>
          <w:rFonts w:cs="Arial"/>
        </w:rPr>
        <w:t xml:space="preserve">Table 7.5.3 </w:t>
      </w:r>
      <w:r w:rsidRPr="00BE78CA">
        <w:rPr>
          <w:rFonts w:cs="Arial"/>
        </w:rPr>
        <w:tab/>
        <w:t>Total organic product producing methane from industrial wastewater from 1990 to </w:t>
      </w:r>
      <w:bookmarkEnd w:id="3041"/>
      <w:bookmarkEnd w:id="3042"/>
      <w:bookmarkEnd w:id="3043"/>
      <w:bookmarkEnd w:id="3044"/>
      <w:bookmarkEnd w:id="3045"/>
      <w:bookmarkEnd w:id="3046"/>
      <w:r w:rsidRPr="00BE78CA">
        <w:rPr>
          <w:rFonts w:cs="Arial"/>
        </w:rPr>
        <w:t>2019</w:t>
      </w:r>
      <w:bookmarkEnd w:id="3047"/>
    </w:p>
    <w:tbl>
      <w:tblPr>
        <w:tblW w:w="8505" w:type="dxa"/>
        <w:tblLook w:val="04A0" w:firstRow="1" w:lastRow="0" w:firstColumn="1" w:lastColumn="0" w:noHBand="0" w:noVBand="1"/>
      </w:tblPr>
      <w:tblGrid>
        <w:gridCol w:w="1079"/>
        <w:gridCol w:w="1857"/>
        <w:gridCol w:w="1856"/>
        <w:gridCol w:w="1856"/>
        <w:gridCol w:w="1857"/>
      </w:tblGrid>
      <w:tr w:rsidR="00FB19C0" w:rsidRPr="00BE78CA" w14:paraId="371C90EC" w14:textId="77777777" w:rsidTr="008F032F">
        <w:trPr>
          <w:tblHeader/>
        </w:trPr>
        <w:tc>
          <w:tcPr>
            <w:tcW w:w="1079" w:type="dxa"/>
            <w:tcBorders>
              <w:top w:val="single" w:sz="4" w:space="0" w:color="365F91"/>
              <w:left w:val="nil"/>
              <w:bottom w:val="single" w:sz="4" w:space="0" w:color="365F91"/>
              <w:right w:val="nil"/>
            </w:tcBorders>
            <w:shd w:val="clear" w:color="auto" w:fill="365F91"/>
            <w:vAlign w:val="bottom"/>
            <w:hideMark/>
          </w:tcPr>
          <w:p w14:paraId="1A648636" w14:textId="77777777" w:rsidR="00FB19C0" w:rsidRPr="00BE78CA" w:rsidRDefault="00FB19C0" w:rsidP="00C26084">
            <w:pPr>
              <w:pStyle w:val="TableTextBold"/>
              <w:spacing w:before="40" w:after="40"/>
              <w:rPr>
                <w:noProof w:val="0"/>
                <w:color w:val="FFFFFF"/>
              </w:rPr>
            </w:pPr>
            <w:r w:rsidRPr="00BE78CA">
              <w:rPr>
                <w:noProof w:val="0"/>
                <w:color w:val="FFFFFF"/>
              </w:rPr>
              <w:t>Year</w:t>
            </w:r>
          </w:p>
        </w:tc>
        <w:tc>
          <w:tcPr>
            <w:tcW w:w="1857" w:type="dxa"/>
            <w:tcBorders>
              <w:top w:val="single" w:sz="4" w:space="0" w:color="365F91"/>
              <w:left w:val="nil"/>
              <w:bottom w:val="single" w:sz="4" w:space="0" w:color="365F91"/>
              <w:right w:val="nil"/>
            </w:tcBorders>
            <w:shd w:val="clear" w:color="auto" w:fill="365F91"/>
            <w:vAlign w:val="bottom"/>
            <w:hideMark/>
          </w:tcPr>
          <w:p w14:paraId="1D7D80BE" w14:textId="77777777" w:rsidR="00FB19C0" w:rsidRPr="00BE78CA" w:rsidRDefault="00FB19C0" w:rsidP="00C26084">
            <w:pPr>
              <w:pStyle w:val="TableTextBold"/>
              <w:spacing w:before="40" w:after="40"/>
              <w:jc w:val="center"/>
              <w:rPr>
                <w:noProof w:val="0"/>
                <w:color w:val="FFFFFF"/>
              </w:rPr>
            </w:pPr>
            <w:r w:rsidRPr="00BE78CA">
              <w:rPr>
                <w:noProof w:val="0"/>
                <w:color w:val="FFFFFF"/>
              </w:rPr>
              <w:t xml:space="preserve">Meat industries </w:t>
            </w:r>
            <w:r w:rsidRPr="00BE78CA">
              <w:rPr>
                <w:noProof w:val="0"/>
                <w:color w:val="FFFFFF"/>
              </w:rPr>
              <w:br/>
              <w:t>TOW (kt)</w:t>
            </w:r>
          </w:p>
        </w:tc>
        <w:tc>
          <w:tcPr>
            <w:tcW w:w="1856" w:type="dxa"/>
            <w:tcBorders>
              <w:top w:val="single" w:sz="4" w:space="0" w:color="365F91"/>
              <w:left w:val="nil"/>
              <w:bottom w:val="single" w:sz="4" w:space="0" w:color="365F91"/>
              <w:right w:val="nil"/>
            </w:tcBorders>
            <w:shd w:val="clear" w:color="auto" w:fill="365F91"/>
            <w:vAlign w:val="bottom"/>
            <w:hideMark/>
          </w:tcPr>
          <w:p w14:paraId="72C0A933" w14:textId="77777777" w:rsidR="00FB19C0" w:rsidRPr="00BE78CA" w:rsidRDefault="00FB19C0" w:rsidP="00C26084">
            <w:pPr>
              <w:pStyle w:val="TableTextBold"/>
              <w:spacing w:before="40" w:after="40"/>
              <w:jc w:val="center"/>
              <w:rPr>
                <w:noProof w:val="0"/>
                <w:color w:val="FFFFFF"/>
              </w:rPr>
            </w:pPr>
            <w:r w:rsidRPr="00BE78CA">
              <w:rPr>
                <w:noProof w:val="0"/>
                <w:color w:val="FFFFFF"/>
              </w:rPr>
              <w:t>Pulp and paper industry TOW (kt)</w:t>
            </w:r>
          </w:p>
        </w:tc>
        <w:tc>
          <w:tcPr>
            <w:tcW w:w="1856" w:type="dxa"/>
            <w:tcBorders>
              <w:top w:val="single" w:sz="4" w:space="0" w:color="365F91"/>
              <w:left w:val="nil"/>
              <w:bottom w:val="single" w:sz="4" w:space="0" w:color="365F91"/>
              <w:right w:val="nil"/>
            </w:tcBorders>
            <w:shd w:val="clear" w:color="auto" w:fill="365F91"/>
            <w:vAlign w:val="bottom"/>
            <w:hideMark/>
          </w:tcPr>
          <w:p w14:paraId="642801DC" w14:textId="77777777" w:rsidR="00FB19C0" w:rsidRPr="00BE78CA" w:rsidRDefault="00FB19C0" w:rsidP="00C26084">
            <w:pPr>
              <w:pStyle w:val="TableTextBold"/>
              <w:spacing w:before="40" w:after="40"/>
              <w:jc w:val="center"/>
              <w:rPr>
                <w:noProof w:val="0"/>
                <w:color w:val="FFFFFF"/>
              </w:rPr>
            </w:pPr>
            <w:r w:rsidRPr="00BE78CA">
              <w:rPr>
                <w:noProof w:val="0"/>
                <w:color w:val="FFFFFF"/>
              </w:rPr>
              <w:t>All other industries TOW (kt)</w:t>
            </w:r>
          </w:p>
        </w:tc>
        <w:tc>
          <w:tcPr>
            <w:tcW w:w="1857" w:type="dxa"/>
            <w:tcBorders>
              <w:top w:val="single" w:sz="4" w:space="0" w:color="365F91"/>
              <w:left w:val="nil"/>
              <w:bottom w:val="single" w:sz="4" w:space="0" w:color="365F91"/>
              <w:right w:val="nil"/>
            </w:tcBorders>
            <w:shd w:val="clear" w:color="auto" w:fill="365F91"/>
            <w:vAlign w:val="bottom"/>
            <w:hideMark/>
          </w:tcPr>
          <w:p w14:paraId="6DDC4A55" w14:textId="77777777" w:rsidR="00FB19C0" w:rsidRPr="00BE78CA" w:rsidRDefault="00FB19C0" w:rsidP="00C26084">
            <w:pPr>
              <w:pStyle w:val="TableTextBold"/>
              <w:spacing w:before="40" w:after="40"/>
              <w:jc w:val="center"/>
              <w:rPr>
                <w:noProof w:val="0"/>
                <w:color w:val="FFFFFF"/>
              </w:rPr>
            </w:pPr>
            <w:r w:rsidRPr="00BE78CA">
              <w:rPr>
                <w:noProof w:val="0"/>
                <w:color w:val="FFFFFF"/>
              </w:rPr>
              <w:t xml:space="preserve">Total industrial </w:t>
            </w:r>
            <w:r w:rsidRPr="00BE78CA">
              <w:rPr>
                <w:noProof w:val="0"/>
                <w:color w:val="FFFFFF"/>
              </w:rPr>
              <w:br/>
              <w:t>TOW (kt)</w:t>
            </w:r>
          </w:p>
        </w:tc>
      </w:tr>
      <w:tr w:rsidR="00FB19C0" w:rsidRPr="00BE78CA" w14:paraId="5189B3CF" w14:textId="77777777" w:rsidTr="008F032F">
        <w:tc>
          <w:tcPr>
            <w:tcW w:w="1079" w:type="dxa"/>
            <w:tcBorders>
              <w:top w:val="single" w:sz="4" w:space="0" w:color="365F91"/>
              <w:left w:val="nil"/>
              <w:bottom w:val="single" w:sz="4" w:space="0" w:color="365F91"/>
              <w:right w:val="nil"/>
            </w:tcBorders>
            <w:hideMark/>
          </w:tcPr>
          <w:p w14:paraId="5DF072E4" w14:textId="77777777" w:rsidR="00FB19C0" w:rsidRPr="00BE78CA" w:rsidRDefault="00FB19C0" w:rsidP="00C26084">
            <w:pPr>
              <w:pStyle w:val="TableTextBold"/>
              <w:spacing w:before="40" w:after="40"/>
              <w:rPr>
                <w:noProof w:val="0"/>
              </w:rPr>
            </w:pPr>
            <w:r w:rsidRPr="00BE78CA">
              <w:rPr>
                <w:noProof w:val="0"/>
              </w:rPr>
              <w:t>1990</w:t>
            </w:r>
          </w:p>
        </w:tc>
        <w:tc>
          <w:tcPr>
            <w:tcW w:w="1857" w:type="dxa"/>
            <w:tcBorders>
              <w:top w:val="single" w:sz="4" w:space="0" w:color="365F91"/>
              <w:left w:val="nil"/>
              <w:bottom w:val="single" w:sz="4" w:space="0" w:color="365F91"/>
              <w:right w:val="nil"/>
            </w:tcBorders>
            <w:hideMark/>
          </w:tcPr>
          <w:p w14:paraId="6C7487C4" w14:textId="77777777" w:rsidR="00FB19C0" w:rsidRPr="00BE78CA" w:rsidRDefault="00FB19C0" w:rsidP="00C26084">
            <w:pPr>
              <w:pStyle w:val="TableText"/>
              <w:spacing w:before="40" w:after="40"/>
              <w:jc w:val="center"/>
              <w:rPr>
                <w:rFonts w:cs="Arial"/>
                <w:szCs w:val="16"/>
              </w:rPr>
            </w:pPr>
            <w:r w:rsidRPr="00BE78CA">
              <w:t>55.6</w:t>
            </w:r>
          </w:p>
        </w:tc>
        <w:tc>
          <w:tcPr>
            <w:tcW w:w="1856" w:type="dxa"/>
            <w:tcBorders>
              <w:top w:val="single" w:sz="4" w:space="0" w:color="365F91"/>
              <w:left w:val="nil"/>
              <w:bottom w:val="single" w:sz="4" w:space="0" w:color="365F91"/>
              <w:right w:val="nil"/>
            </w:tcBorders>
            <w:hideMark/>
          </w:tcPr>
          <w:p w14:paraId="4D895C78" w14:textId="77777777" w:rsidR="00FB19C0" w:rsidRPr="00BE78CA" w:rsidRDefault="00FB19C0" w:rsidP="00C26084">
            <w:pPr>
              <w:pStyle w:val="TableText"/>
              <w:spacing w:before="40" w:after="40"/>
              <w:jc w:val="center"/>
              <w:rPr>
                <w:rFonts w:cs="Arial"/>
                <w:szCs w:val="16"/>
              </w:rPr>
            </w:pPr>
            <w:r w:rsidRPr="00BE78CA">
              <w:t>71.7</w:t>
            </w:r>
          </w:p>
        </w:tc>
        <w:tc>
          <w:tcPr>
            <w:tcW w:w="1856" w:type="dxa"/>
            <w:tcBorders>
              <w:top w:val="single" w:sz="4" w:space="0" w:color="365F91"/>
              <w:left w:val="nil"/>
              <w:bottom w:val="single" w:sz="4" w:space="0" w:color="365F91"/>
              <w:right w:val="nil"/>
            </w:tcBorders>
            <w:hideMark/>
          </w:tcPr>
          <w:p w14:paraId="29AD4196" w14:textId="77777777" w:rsidR="00FB19C0" w:rsidRPr="00BE78CA" w:rsidRDefault="00FB19C0" w:rsidP="00C26084">
            <w:pPr>
              <w:pStyle w:val="TableText"/>
              <w:spacing w:before="40" w:after="40"/>
              <w:jc w:val="center"/>
              <w:rPr>
                <w:rFonts w:cs="Arial"/>
                <w:szCs w:val="16"/>
              </w:rPr>
            </w:pPr>
            <w:r w:rsidRPr="00BE78CA">
              <w:t>20.2</w:t>
            </w:r>
          </w:p>
        </w:tc>
        <w:tc>
          <w:tcPr>
            <w:tcW w:w="1857" w:type="dxa"/>
            <w:tcBorders>
              <w:top w:val="single" w:sz="4" w:space="0" w:color="365F91"/>
              <w:left w:val="nil"/>
              <w:bottom w:val="single" w:sz="4" w:space="0" w:color="365F91"/>
              <w:right w:val="nil"/>
            </w:tcBorders>
            <w:hideMark/>
          </w:tcPr>
          <w:p w14:paraId="76B9D0BC" w14:textId="77777777" w:rsidR="00FB19C0" w:rsidRPr="00BE78CA" w:rsidRDefault="00FB19C0" w:rsidP="00C26084">
            <w:pPr>
              <w:pStyle w:val="TableText"/>
              <w:spacing w:before="40" w:after="40"/>
              <w:jc w:val="center"/>
              <w:rPr>
                <w:rFonts w:cs="Arial"/>
                <w:szCs w:val="16"/>
              </w:rPr>
            </w:pPr>
            <w:r w:rsidRPr="00BE78CA">
              <w:t>147.5</w:t>
            </w:r>
          </w:p>
        </w:tc>
      </w:tr>
      <w:tr w:rsidR="00FB19C0" w:rsidRPr="00BE78CA" w14:paraId="7CEDA1CE" w14:textId="77777777" w:rsidTr="008F032F">
        <w:tc>
          <w:tcPr>
            <w:tcW w:w="1079" w:type="dxa"/>
            <w:tcBorders>
              <w:top w:val="single" w:sz="4" w:space="0" w:color="365F91"/>
              <w:left w:val="nil"/>
              <w:bottom w:val="single" w:sz="4" w:space="0" w:color="365F91"/>
              <w:right w:val="nil"/>
            </w:tcBorders>
            <w:hideMark/>
          </w:tcPr>
          <w:p w14:paraId="2AC3DB40" w14:textId="77777777" w:rsidR="00FB19C0" w:rsidRPr="00BE78CA" w:rsidRDefault="00FB19C0" w:rsidP="00C26084">
            <w:pPr>
              <w:pStyle w:val="TableTextBold"/>
              <w:spacing w:before="40" w:after="40"/>
              <w:rPr>
                <w:noProof w:val="0"/>
              </w:rPr>
            </w:pPr>
            <w:r w:rsidRPr="00BE78CA">
              <w:rPr>
                <w:noProof w:val="0"/>
              </w:rPr>
              <w:t>1991</w:t>
            </w:r>
          </w:p>
        </w:tc>
        <w:tc>
          <w:tcPr>
            <w:tcW w:w="1857" w:type="dxa"/>
            <w:tcBorders>
              <w:top w:val="single" w:sz="4" w:space="0" w:color="365F91"/>
              <w:left w:val="nil"/>
              <w:bottom w:val="single" w:sz="4" w:space="0" w:color="365F91"/>
              <w:right w:val="nil"/>
            </w:tcBorders>
            <w:hideMark/>
          </w:tcPr>
          <w:p w14:paraId="36BEF1EE" w14:textId="77777777" w:rsidR="00FB19C0" w:rsidRPr="00BE78CA" w:rsidRDefault="00FB19C0" w:rsidP="00C26084">
            <w:pPr>
              <w:pStyle w:val="TableText"/>
              <w:spacing w:before="40" w:after="40"/>
              <w:jc w:val="center"/>
              <w:rPr>
                <w:rFonts w:cs="Arial"/>
                <w:szCs w:val="16"/>
              </w:rPr>
            </w:pPr>
            <w:r w:rsidRPr="00BE78CA">
              <w:t>59.2</w:t>
            </w:r>
          </w:p>
        </w:tc>
        <w:tc>
          <w:tcPr>
            <w:tcW w:w="1856" w:type="dxa"/>
            <w:tcBorders>
              <w:top w:val="single" w:sz="4" w:space="0" w:color="365F91"/>
              <w:left w:val="nil"/>
              <w:bottom w:val="single" w:sz="4" w:space="0" w:color="365F91"/>
              <w:right w:val="nil"/>
            </w:tcBorders>
            <w:hideMark/>
          </w:tcPr>
          <w:p w14:paraId="5653FC78" w14:textId="77777777" w:rsidR="00FB19C0" w:rsidRPr="00BE78CA" w:rsidRDefault="00FB19C0" w:rsidP="00C26084">
            <w:pPr>
              <w:pStyle w:val="TableText"/>
              <w:spacing w:before="40" w:after="40"/>
              <w:jc w:val="center"/>
              <w:rPr>
                <w:rFonts w:cs="Arial"/>
                <w:szCs w:val="16"/>
              </w:rPr>
            </w:pPr>
            <w:r w:rsidRPr="00BE78CA">
              <w:t>78.2</w:t>
            </w:r>
          </w:p>
        </w:tc>
        <w:tc>
          <w:tcPr>
            <w:tcW w:w="1856" w:type="dxa"/>
            <w:tcBorders>
              <w:top w:val="single" w:sz="4" w:space="0" w:color="365F91"/>
              <w:left w:val="nil"/>
              <w:bottom w:val="single" w:sz="4" w:space="0" w:color="365F91"/>
              <w:right w:val="nil"/>
            </w:tcBorders>
            <w:hideMark/>
          </w:tcPr>
          <w:p w14:paraId="6F096C98" w14:textId="77777777" w:rsidR="00FB19C0" w:rsidRPr="00BE78CA" w:rsidRDefault="00FB19C0" w:rsidP="00C26084">
            <w:pPr>
              <w:pStyle w:val="TableText"/>
              <w:spacing w:before="40" w:after="40"/>
              <w:jc w:val="center"/>
              <w:rPr>
                <w:rFonts w:cs="Arial"/>
                <w:szCs w:val="16"/>
              </w:rPr>
            </w:pPr>
            <w:r w:rsidRPr="00BE78CA">
              <w:t>18.8</w:t>
            </w:r>
          </w:p>
        </w:tc>
        <w:tc>
          <w:tcPr>
            <w:tcW w:w="1857" w:type="dxa"/>
            <w:tcBorders>
              <w:top w:val="single" w:sz="4" w:space="0" w:color="365F91"/>
              <w:left w:val="nil"/>
              <w:bottom w:val="single" w:sz="4" w:space="0" w:color="365F91"/>
              <w:right w:val="nil"/>
            </w:tcBorders>
            <w:hideMark/>
          </w:tcPr>
          <w:p w14:paraId="5797FDBA" w14:textId="77777777" w:rsidR="00FB19C0" w:rsidRPr="00BE78CA" w:rsidRDefault="00FB19C0" w:rsidP="00C26084">
            <w:pPr>
              <w:pStyle w:val="TableText"/>
              <w:spacing w:before="40" w:after="40"/>
              <w:jc w:val="center"/>
              <w:rPr>
                <w:rFonts w:cs="Arial"/>
                <w:szCs w:val="16"/>
              </w:rPr>
            </w:pPr>
            <w:r w:rsidRPr="00BE78CA">
              <w:t>156.1</w:t>
            </w:r>
          </w:p>
        </w:tc>
      </w:tr>
      <w:tr w:rsidR="00FB19C0" w:rsidRPr="00BE78CA" w14:paraId="3425E201" w14:textId="77777777" w:rsidTr="008F032F">
        <w:tc>
          <w:tcPr>
            <w:tcW w:w="1079" w:type="dxa"/>
            <w:tcBorders>
              <w:top w:val="single" w:sz="4" w:space="0" w:color="365F91"/>
              <w:left w:val="nil"/>
              <w:bottom w:val="single" w:sz="4" w:space="0" w:color="365F91"/>
              <w:right w:val="nil"/>
            </w:tcBorders>
            <w:hideMark/>
          </w:tcPr>
          <w:p w14:paraId="436568DA" w14:textId="77777777" w:rsidR="00FB19C0" w:rsidRPr="00BE78CA" w:rsidRDefault="00FB19C0" w:rsidP="00C26084">
            <w:pPr>
              <w:pStyle w:val="TableTextBold"/>
              <w:spacing w:before="40" w:after="40"/>
              <w:rPr>
                <w:noProof w:val="0"/>
              </w:rPr>
            </w:pPr>
            <w:r w:rsidRPr="00BE78CA">
              <w:rPr>
                <w:noProof w:val="0"/>
              </w:rPr>
              <w:t>1992</w:t>
            </w:r>
          </w:p>
        </w:tc>
        <w:tc>
          <w:tcPr>
            <w:tcW w:w="1857" w:type="dxa"/>
            <w:tcBorders>
              <w:top w:val="single" w:sz="4" w:space="0" w:color="365F91"/>
              <w:left w:val="nil"/>
              <w:bottom w:val="single" w:sz="4" w:space="0" w:color="365F91"/>
              <w:right w:val="nil"/>
            </w:tcBorders>
            <w:hideMark/>
          </w:tcPr>
          <w:p w14:paraId="24744757" w14:textId="77777777" w:rsidR="00FB19C0" w:rsidRPr="00BE78CA" w:rsidRDefault="00FB19C0" w:rsidP="00C26084">
            <w:pPr>
              <w:pStyle w:val="TableText"/>
              <w:spacing w:before="40" w:after="40"/>
              <w:jc w:val="center"/>
              <w:rPr>
                <w:rFonts w:cs="Arial"/>
                <w:szCs w:val="16"/>
              </w:rPr>
            </w:pPr>
            <w:r w:rsidRPr="00BE78CA">
              <w:t>64.1</w:t>
            </w:r>
          </w:p>
        </w:tc>
        <w:tc>
          <w:tcPr>
            <w:tcW w:w="1856" w:type="dxa"/>
            <w:tcBorders>
              <w:top w:val="single" w:sz="4" w:space="0" w:color="365F91"/>
              <w:left w:val="nil"/>
              <w:bottom w:val="single" w:sz="4" w:space="0" w:color="365F91"/>
              <w:right w:val="nil"/>
            </w:tcBorders>
            <w:hideMark/>
          </w:tcPr>
          <w:p w14:paraId="1BE1ADC6" w14:textId="77777777" w:rsidR="00FB19C0" w:rsidRPr="00BE78CA" w:rsidRDefault="00FB19C0" w:rsidP="00C26084">
            <w:pPr>
              <w:pStyle w:val="TableText"/>
              <w:spacing w:before="40" w:after="40"/>
              <w:jc w:val="center"/>
              <w:rPr>
                <w:rFonts w:cs="Arial"/>
                <w:szCs w:val="16"/>
              </w:rPr>
            </w:pPr>
            <w:r w:rsidRPr="00BE78CA">
              <w:t>76.4</w:t>
            </w:r>
          </w:p>
        </w:tc>
        <w:tc>
          <w:tcPr>
            <w:tcW w:w="1856" w:type="dxa"/>
            <w:tcBorders>
              <w:top w:val="single" w:sz="4" w:space="0" w:color="365F91"/>
              <w:left w:val="nil"/>
              <w:bottom w:val="single" w:sz="4" w:space="0" w:color="365F91"/>
              <w:right w:val="nil"/>
            </w:tcBorders>
            <w:hideMark/>
          </w:tcPr>
          <w:p w14:paraId="3BD43E40" w14:textId="77777777" w:rsidR="00FB19C0" w:rsidRPr="00BE78CA" w:rsidRDefault="00FB19C0" w:rsidP="00C26084">
            <w:pPr>
              <w:pStyle w:val="TableText"/>
              <w:spacing w:before="40" w:after="40"/>
              <w:jc w:val="center"/>
              <w:rPr>
                <w:rFonts w:cs="Arial"/>
                <w:szCs w:val="16"/>
              </w:rPr>
            </w:pPr>
            <w:r w:rsidRPr="00BE78CA">
              <w:t>17.2</w:t>
            </w:r>
          </w:p>
        </w:tc>
        <w:tc>
          <w:tcPr>
            <w:tcW w:w="1857" w:type="dxa"/>
            <w:tcBorders>
              <w:top w:val="single" w:sz="4" w:space="0" w:color="365F91"/>
              <w:left w:val="nil"/>
              <w:bottom w:val="single" w:sz="4" w:space="0" w:color="365F91"/>
              <w:right w:val="nil"/>
            </w:tcBorders>
            <w:hideMark/>
          </w:tcPr>
          <w:p w14:paraId="5864F55D" w14:textId="77777777" w:rsidR="00FB19C0" w:rsidRPr="00BE78CA" w:rsidRDefault="00FB19C0" w:rsidP="00C26084">
            <w:pPr>
              <w:pStyle w:val="TableText"/>
              <w:spacing w:before="40" w:after="40"/>
              <w:jc w:val="center"/>
              <w:rPr>
                <w:rFonts w:cs="Arial"/>
                <w:szCs w:val="16"/>
              </w:rPr>
            </w:pPr>
            <w:r w:rsidRPr="00BE78CA">
              <w:t>157.8</w:t>
            </w:r>
          </w:p>
        </w:tc>
      </w:tr>
      <w:tr w:rsidR="00FB19C0" w:rsidRPr="00BE78CA" w14:paraId="3E900210" w14:textId="77777777" w:rsidTr="008F032F">
        <w:tc>
          <w:tcPr>
            <w:tcW w:w="1079" w:type="dxa"/>
            <w:tcBorders>
              <w:top w:val="single" w:sz="4" w:space="0" w:color="365F91"/>
              <w:left w:val="nil"/>
              <w:bottom w:val="single" w:sz="4" w:space="0" w:color="365F91"/>
              <w:right w:val="nil"/>
            </w:tcBorders>
            <w:hideMark/>
          </w:tcPr>
          <w:p w14:paraId="2C5C0573" w14:textId="77777777" w:rsidR="00FB19C0" w:rsidRPr="00BE78CA" w:rsidRDefault="00FB19C0" w:rsidP="00C26084">
            <w:pPr>
              <w:pStyle w:val="TableTextBold"/>
              <w:spacing w:before="40" w:after="40"/>
              <w:rPr>
                <w:noProof w:val="0"/>
              </w:rPr>
            </w:pPr>
            <w:r w:rsidRPr="00BE78CA">
              <w:rPr>
                <w:noProof w:val="0"/>
              </w:rPr>
              <w:t>1993</w:t>
            </w:r>
          </w:p>
        </w:tc>
        <w:tc>
          <w:tcPr>
            <w:tcW w:w="1857" w:type="dxa"/>
            <w:tcBorders>
              <w:top w:val="single" w:sz="4" w:space="0" w:color="365F91"/>
              <w:left w:val="nil"/>
              <w:bottom w:val="single" w:sz="4" w:space="0" w:color="365F91"/>
              <w:right w:val="nil"/>
            </w:tcBorders>
            <w:hideMark/>
          </w:tcPr>
          <w:p w14:paraId="6149D262" w14:textId="77777777" w:rsidR="00FB19C0" w:rsidRPr="00BE78CA" w:rsidRDefault="00FB19C0" w:rsidP="00C26084">
            <w:pPr>
              <w:pStyle w:val="TableText"/>
              <w:spacing w:before="40" w:after="40"/>
              <w:jc w:val="center"/>
            </w:pPr>
            <w:r w:rsidRPr="00BE78CA">
              <w:t>59.3</w:t>
            </w:r>
          </w:p>
        </w:tc>
        <w:tc>
          <w:tcPr>
            <w:tcW w:w="1856" w:type="dxa"/>
            <w:tcBorders>
              <w:top w:val="single" w:sz="4" w:space="0" w:color="365F91"/>
              <w:left w:val="nil"/>
              <w:bottom w:val="single" w:sz="4" w:space="0" w:color="365F91"/>
              <w:right w:val="nil"/>
            </w:tcBorders>
            <w:hideMark/>
          </w:tcPr>
          <w:p w14:paraId="6818EFFC" w14:textId="77777777" w:rsidR="00FB19C0" w:rsidRPr="00BE78CA" w:rsidRDefault="00FB19C0" w:rsidP="00C26084">
            <w:pPr>
              <w:pStyle w:val="TableText"/>
              <w:spacing w:before="40" w:after="40"/>
              <w:jc w:val="center"/>
            </w:pPr>
            <w:r w:rsidRPr="00BE78CA">
              <w:t>73.0</w:t>
            </w:r>
          </w:p>
        </w:tc>
        <w:tc>
          <w:tcPr>
            <w:tcW w:w="1856" w:type="dxa"/>
            <w:tcBorders>
              <w:top w:val="single" w:sz="4" w:space="0" w:color="365F91"/>
              <w:left w:val="nil"/>
              <w:bottom w:val="single" w:sz="4" w:space="0" w:color="365F91"/>
              <w:right w:val="nil"/>
            </w:tcBorders>
            <w:hideMark/>
          </w:tcPr>
          <w:p w14:paraId="1FBB9674" w14:textId="77777777" w:rsidR="00FB19C0" w:rsidRPr="00BE78CA" w:rsidRDefault="00FB19C0" w:rsidP="00C26084">
            <w:pPr>
              <w:pStyle w:val="TableText"/>
              <w:spacing w:before="40" w:after="40"/>
              <w:jc w:val="center"/>
            </w:pPr>
            <w:r w:rsidRPr="00BE78CA">
              <w:t>15.7</w:t>
            </w:r>
          </w:p>
        </w:tc>
        <w:tc>
          <w:tcPr>
            <w:tcW w:w="1857" w:type="dxa"/>
            <w:tcBorders>
              <w:top w:val="single" w:sz="4" w:space="0" w:color="365F91"/>
              <w:left w:val="nil"/>
              <w:bottom w:val="single" w:sz="4" w:space="0" w:color="365F91"/>
              <w:right w:val="nil"/>
            </w:tcBorders>
            <w:hideMark/>
          </w:tcPr>
          <w:p w14:paraId="7A8795F0" w14:textId="77777777" w:rsidR="00FB19C0" w:rsidRPr="00BE78CA" w:rsidRDefault="00FB19C0" w:rsidP="00C26084">
            <w:pPr>
              <w:pStyle w:val="TableText"/>
              <w:spacing w:before="40" w:after="40"/>
              <w:jc w:val="center"/>
            </w:pPr>
            <w:r w:rsidRPr="00BE78CA">
              <w:t>147.9</w:t>
            </w:r>
          </w:p>
        </w:tc>
      </w:tr>
      <w:tr w:rsidR="00FB19C0" w:rsidRPr="00BE78CA" w14:paraId="39E93EE4" w14:textId="77777777" w:rsidTr="008F032F">
        <w:tc>
          <w:tcPr>
            <w:tcW w:w="1079" w:type="dxa"/>
            <w:tcBorders>
              <w:top w:val="single" w:sz="4" w:space="0" w:color="365F91"/>
              <w:left w:val="nil"/>
              <w:bottom w:val="single" w:sz="4" w:space="0" w:color="365F91"/>
              <w:right w:val="nil"/>
            </w:tcBorders>
            <w:hideMark/>
          </w:tcPr>
          <w:p w14:paraId="35ABEC9D" w14:textId="77777777" w:rsidR="00FB19C0" w:rsidRPr="00BE78CA" w:rsidRDefault="00FB19C0" w:rsidP="00C26084">
            <w:pPr>
              <w:pStyle w:val="TableTextBold"/>
              <w:spacing w:before="40" w:after="40"/>
              <w:rPr>
                <w:noProof w:val="0"/>
              </w:rPr>
            </w:pPr>
            <w:r w:rsidRPr="00BE78CA">
              <w:rPr>
                <w:noProof w:val="0"/>
              </w:rPr>
              <w:t>1994</w:t>
            </w:r>
          </w:p>
        </w:tc>
        <w:tc>
          <w:tcPr>
            <w:tcW w:w="1857" w:type="dxa"/>
            <w:tcBorders>
              <w:top w:val="single" w:sz="4" w:space="0" w:color="365F91"/>
              <w:left w:val="nil"/>
              <w:bottom w:val="single" w:sz="4" w:space="0" w:color="365F91"/>
              <w:right w:val="nil"/>
            </w:tcBorders>
            <w:hideMark/>
          </w:tcPr>
          <w:p w14:paraId="1FA123D8" w14:textId="77777777" w:rsidR="00FB19C0" w:rsidRPr="00BE78CA" w:rsidRDefault="00FB19C0" w:rsidP="00C26084">
            <w:pPr>
              <w:pStyle w:val="TableText"/>
              <w:spacing w:before="40" w:after="40"/>
              <w:jc w:val="center"/>
            </w:pPr>
            <w:r w:rsidRPr="00BE78CA">
              <w:t>62.1</w:t>
            </w:r>
          </w:p>
        </w:tc>
        <w:tc>
          <w:tcPr>
            <w:tcW w:w="1856" w:type="dxa"/>
            <w:tcBorders>
              <w:top w:val="single" w:sz="4" w:space="0" w:color="365F91"/>
              <w:left w:val="nil"/>
              <w:bottom w:val="single" w:sz="4" w:space="0" w:color="365F91"/>
              <w:right w:val="nil"/>
            </w:tcBorders>
            <w:hideMark/>
          </w:tcPr>
          <w:p w14:paraId="03E8E306" w14:textId="77777777" w:rsidR="00FB19C0" w:rsidRPr="00BE78CA" w:rsidRDefault="00FB19C0" w:rsidP="00C26084">
            <w:pPr>
              <w:pStyle w:val="TableText"/>
              <w:spacing w:before="40" w:after="40"/>
              <w:jc w:val="center"/>
            </w:pPr>
            <w:r w:rsidRPr="00BE78CA">
              <w:t>79.4</w:t>
            </w:r>
          </w:p>
        </w:tc>
        <w:tc>
          <w:tcPr>
            <w:tcW w:w="1856" w:type="dxa"/>
            <w:tcBorders>
              <w:top w:val="single" w:sz="4" w:space="0" w:color="365F91"/>
              <w:left w:val="nil"/>
              <w:bottom w:val="single" w:sz="4" w:space="0" w:color="365F91"/>
              <w:right w:val="nil"/>
            </w:tcBorders>
            <w:hideMark/>
          </w:tcPr>
          <w:p w14:paraId="185A1095" w14:textId="77777777" w:rsidR="00FB19C0" w:rsidRPr="00BE78CA" w:rsidRDefault="00FB19C0" w:rsidP="00C26084">
            <w:pPr>
              <w:pStyle w:val="TableText"/>
              <w:spacing w:before="40" w:after="40"/>
              <w:jc w:val="center"/>
            </w:pPr>
            <w:r w:rsidRPr="00BE78CA">
              <w:t>14.4</w:t>
            </w:r>
          </w:p>
        </w:tc>
        <w:tc>
          <w:tcPr>
            <w:tcW w:w="1857" w:type="dxa"/>
            <w:tcBorders>
              <w:top w:val="single" w:sz="4" w:space="0" w:color="365F91"/>
              <w:left w:val="nil"/>
              <w:bottom w:val="single" w:sz="4" w:space="0" w:color="365F91"/>
              <w:right w:val="nil"/>
            </w:tcBorders>
            <w:hideMark/>
          </w:tcPr>
          <w:p w14:paraId="523AEED5" w14:textId="77777777" w:rsidR="00FB19C0" w:rsidRPr="00BE78CA" w:rsidRDefault="00FB19C0" w:rsidP="00C26084">
            <w:pPr>
              <w:pStyle w:val="TableText"/>
              <w:spacing w:before="40" w:after="40"/>
              <w:jc w:val="center"/>
            </w:pPr>
            <w:r w:rsidRPr="00BE78CA">
              <w:t>156.0</w:t>
            </w:r>
          </w:p>
        </w:tc>
      </w:tr>
      <w:tr w:rsidR="00FB19C0" w:rsidRPr="00BE78CA" w14:paraId="46C81848" w14:textId="77777777" w:rsidTr="008F032F">
        <w:tc>
          <w:tcPr>
            <w:tcW w:w="1079" w:type="dxa"/>
            <w:tcBorders>
              <w:top w:val="single" w:sz="4" w:space="0" w:color="365F91"/>
              <w:left w:val="nil"/>
              <w:bottom w:val="single" w:sz="4" w:space="0" w:color="365F91"/>
              <w:right w:val="nil"/>
            </w:tcBorders>
            <w:hideMark/>
          </w:tcPr>
          <w:p w14:paraId="441E7EAE" w14:textId="77777777" w:rsidR="00FB19C0" w:rsidRPr="00BE78CA" w:rsidRDefault="00FB19C0" w:rsidP="00C26084">
            <w:pPr>
              <w:pStyle w:val="TableTextBold"/>
              <w:spacing w:before="40" w:after="40"/>
              <w:rPr>
                <w:noProof w:val="0"/>
              </w:rPr>
            </w:pPr>
            <w:r w:rsidRPr="00BE78CA">
              <w:rPr>
                <w:noProof w:val="0"/>
              </w:rPr>
              <w:t>1995</w:t>
            </w:r>
          </w:p>
        </w:tc>
        <w:tc>
          <w:tcPr>
            <w:tcW w:w="1857" w:type="dxa"/>
            <w:tcBorders>
              <w:top w:val="single" w:sz="4" w:space="0" w:color="365F91"/>
              <w:left w:val="nil"/>
              <w:bottom w:val="single" w:sz="4" w:space="0" w:color="365F91"/>
              <w:right w:val="nil"/>
            </w:tcBorders>
            <w:hideMark/>
          </w:tcPr>
          <w:p w14:paraId="60EEA87C" w14:textId="77777777" w:rsidR="00FB19C0" w:rsidRPr="00BE78CA" w:rsidRDefault="00FB19C0" w:rsidP="00C26084">
            <w:pPr>
              <w:pStyle w:val="TableText"/>
              <w:spacing w:before="40" w:after="40"/>
              <w:jc w:val="center"/>
            </w:pPr>
            <w:r w:rsidRPr="00BE78CA">
              <w:t>64.5</w:t>
            </w:r>
          </w:p>
        </w:tc>
        <w:tc>
          <w:tcPr>
            <w:tcW w:w="1856" w:type="dxa"/>
            <w:tcBorders>
              <w:top w:val="single" w:sz="4" w:space="0" w:color="365F91"/>
              <w:left w:val="nil"/>
              <w:bottom w:val="single" w:sz="4" w:space="0" w:color="365F91"/>
              <w:right w:val="nil"/>
            </w:tcBorders>
            <w:hideMark/>
          </w:tcPr>
          <w:p w14:paraId="3EC27DA1" w14:textId="77777777" w:rsidR="00FB19C0" w:rsidRPr="00BE78CA" w:rsidRDefault="00FB19C0" w:rsidP="00C26084">
            <w:pPr>
              <w:pStyle w:val="TableText"/>
              <w:spacing w:before="40" w:after="40"/>
              <w:jc w:val="center"/>
            </w:pPr>
            <w:r w:rsidRPr="00BE78CA">
              <w:t>80.5</w:t>
            </w:r>
          </w:p>
        </w:tc>
        <w:tc>
          <w:tcPr>
            <w:tcW w:w="1856" w:type="dxa"/>
            <w:tcBorders>
              <w:top w:val="single" w:sz="4" w:space="0" w:color="365F91"/>
              <w:left w:val="nil"/>
              <w:bottom w:val="single" w:sz="4" w:space="0" w:color="365F91"/>
              <w:right w:val="nil"/>
            </w:tcBorders>
            <w:hideMark/>
          </w:tcPr>
          <w:p w14:paraId="465A687F" w14:textId="77777777" w:rsidR="00FB19C0" w:rsidRPr="00BE78CA" w:rsidRDefault="00FB19C0" w:rsidP="00C26084">
            <w:pPr>
              <w:pStyle w:val="TableText"/>
              <w:spacing w:before="40" w:after="40"/>
              <w:jc w:val="center"/>
            </w:pPr>
            <w:r w:rsidRPr="00BE78CA">
              <w:t>13.3</w:t>
            </w:r>
          </w:p>
        </w:tc>
        <w:tc>
          <w:tcPr>
            <w:tcW w:w="1857" w:type="dxa"/>
            <w:tcBorders>
              <w:top w:val="single" w:sz="4" w:space="0" w:color="365F91"/>
              <w:left w:val="nil"/>
              <w:bottom w:val="single" w:sz="4" w:space="0" w:color="365F91"/>
              <w:right w:val="nil"/>
            </w:tcBorders>
            <w:hideMark/>
          </w:tcPr>
          <w:p w14:paraId="1567B644" w14:textId="77777777" w:rsidR="00FB19C0" w:rsidRPr="00BE78CA" w:rsidRDefault="00FB19C0" w:rsidP="00C26084">
            <w:pPr>
              <w:pStyle w:val="TableText"/>
              <w:spacing w:before="40" w:after="40"/>
              <w:jc w:val="center"/>
            </w:pPr>
            <w:r w:rsidRPr="00BE78CA">
              <w:t>158.3</w:t>
            </w:r>
          </w:p>
        </w:tc>
      </w:tr>
      <w:tr w:rsidR="00FB19C0" w:rsidRPr="00BE78CA" w14:paraId="35F00C4E" w14:textId="77777777" w:rsidTr="008F032F">
        <w:tc>
          <w:tcPr>
            <w:tcW w:w="1079" w:type="dxa"/>
            <w:tcBorders>
              <w:top w:val="single" w:sz="4" w:space="0" w:color="365F91"/>
              <w:left w:val="nil"/>
              <w:bottom w:val="single" w:sz="4" w:space="0" w:color="365F91"/>
              <w:right w:val="nil"/>
            </w:tcBorders>
            <w:hideMark/>
          </w:tcPr>
          <w:p w14:paraId="05586A3C" w14:textId="77777777" w:rsidR="00FB19C0" w:rsidRPr="00BE78CA" w:rsidRDefault="00FB19C0" w:rsidP="00C26084">
            <w:pPr>
              <w:pStyle w:val="TableTextBold"/>
              <w:spacing w:before="40" w:after="40"/>
              <w:rPr>
                <w:noProof w:val="0"/>
              </w:rPr>
            </w:pPr>
            <w:r w:rsidRPr="00BE78CA">
              <w:rPr>
                <w:noProof w:val="0"/>
              </w:rPr>
              <w:t>1996</w:t>
            </w:r>
          </w:p>
        </w:tc>
        <w:tc>
          <w:tcPr>
            <w:tcW w:w="1857" w:type="dxa"/>
            <w:tcBorders>
              <w:top w:val="single" w:sz="4" w:space="0" w:color="365F91"/>
              <w:left w:val="nil"/>
              <w:bottom w:val="single" w:sz="4" w:space="0" w:color="365F91"/>
              <w:right w:val="nil"/>
            </w:tcBorders>
            <w:hideMark/>
          </w:tcPr>
          <w:p w14:paraId="2BF03EBD" w14:textId="77777777" w:rsidR="00FB19C0" w:rsidRPr="00BE78CA" w:rsidRDefault="00FB19C0" w:rsidP="00C26084">
            <w:pPr>
              <w:pStyle w:val="TableText"/>
              <w:spacing w:before="40" w:after="40"/>
              <w:jc w:val="center"/>
            </w:pPr>
            <w:r w:rsidRPr="00BE78CA">
              <w:t>65.7</w:t>
            </w:r>
          </w:p>
        </w:tc>
        <w:tc>
          <w:tcPr>
            <w:tcW w:w="1856" w:type="dxa"/>
            <w:tcBorders>
              <w:top w:val="single" w:sz="4" w:space="0" w:color="365F91"/>
              <w:left w:val="nil"/>
              <w:bottom w:val="single" w:sz="4" w:space="0" w:color="365F91"/>
              <w:right w:val="nil"/>
            </w:tcBorders>
            <w:hideMark/>
          </w:tcPr>
          <w:p w14:paraId="3AA3A251" w14:textId="77777777" w:rsidR="00FB19C0" w:rsidRPr="00BE78CA" w:rsidRDefault="00FB19C0" w:rsidP="00C26084">
            <w:pPr>
              <w:pStyle w:val="TableText"/>
              <w:spacing w:before="40" w:after="40"/>
              <w:jc w:val="center"/>
            </w:pPr>
            <w:r w:rsidRPr="00BE78CA">
              <w:t>82.7</w:t>
            </w:r>
          </w:p>
        </w:tc>
        <w:tc>
          <w:tcPr>
            <w:tcW w:w="1856" w:type="dxa"/>
            <w:tcBorders>
              <w:top w:val="single" w:sz="4" w:space="0" w:color="365F91"/>
              <w:left w:val="nil"/>
              <w:bottom w:val="single" w:sz="4" w:space="0" w:color="365F91"/>
              <w:right w:val="nil"/>
            </w:tcBorders>
            <w:hideMark/>
          </w:tcPr>
          <w:p w14:paraId="3296C61B" w14:textId="77777777" w:rsidR="00FB19C0" w:rsidRPr="00BE78CA" w:rsidRDefault="00FB19C0" w:rsidP="00C26084">
            <w:pPr>
              <w:pStyle w:val="TableText"/>
              <w:spacing w:before="40" w:after="40"/>
              <w:jc w:val="center"/>
            </w:pPr>
            <w:r w:rsidRPr="00BE78CA">
              <w:t>11.9</w:t>
            </w:r>
          </w:p>
        </w:tc>
        <w:tc>
          <w:tcPr>
            <w:tcW w:w="1857" w:type="dxa"/>
            <w:tcBorders>
              <w:top w:val="single" w:sz="4" w:space="0" w:color="365F91"/>
              <w:left w:val="nil"/>
              <w:bottom w:val="single" w:sz="4" w:space="0" w:color="365F91"/>
              <w:right w:val="nil"/>
            </w:tcBorders>
            <w:hideMark/>
          </w:tcPr>
          <w:p w14:paraId="5D3ADAFD" w14:textId="77777777" w:rsidR="00FB19C0" w:rsidRPr="00BE78CA" w:rsidRDefault="00FB19C0" w:rsidP="00C26084">
            <w:pPr>
              <w:pStyle w:val="TableText"/>
              <w:spacing w:before="40" w:after="40"/>
              <w:jc w:val="center"/>
            </w:pPr>
            <w:r w:rsidRPr="00BE78CA">
              <w:t>160.4</w:t>
            </w:r>
          </w:p>
        </w:tc>
      </w:tr>
      <w:tr w:rsidR="00FB19C0" w:rsidRPr="00BE78CA" w14:paraId="4C13F67D" w14:textId="77777777" w:rsidTr="008F032F">
        <w:tc>
          <w:tcPr>
            <w:tcW w:w="1079" w:type="dxa"/>
            <w:tcBorders>
              <w:top w:val="single" w:sz="4" w:space="0" w:color="365F91"/>
              <w:left w:val="nil"/>
              <w:bottom w:val="single" w:sz="4" w:space="0" w:color="365F91"/>
              <w:right w:val="nil"/>
            </w:tcBorders>
            <w:hideMark/>
          </w:tcPr>
          <w:p w14:paraId="5514D17E" w14:textId="77777777" w:rsidR="00FB19C0" w:rsidRPr="00BE78CA" w:rsidRDefault="00FB19C0" w:rsidP="00C26084">
            <w:pPr>
              <w:pStyle w:val="TableTextBold"/>
              <w:spacing w:before="40" w:after="40"/>
              <w:rPr>
                <w:noProof w:val="0"/>
              </w:rPr>
            </w:pPr>
            <w:r w:rsidRPr="00BE78CA">
              <w:rPr>
                <w:noProof w:val="0"/>
              </w:rPr>
              <w:t>1997</w:t>
            </w:r>
          </w:p>
        </w:tc>
        <w:tc>
          <w:tcPr>
            <w:tcW w:w="1857" w:type="dxa"/>
            <w:tcBorders>
              <w:top w:val="single" w:sz="4" w:space="0" w:color="365F91"/>
              <w:left w:val="nil"/>
              <w:bottom w:val="single" w:sz="4" w:space="0" w:color="365F91"/>
              <w:right w:val="nil"/>
            </w:tcBorders>
            <w:hideMark/>
          </w:tcPr>
          <w:p w14:paraId="1AB5C1B7" w14:textId="77777777" w:rsidR="00FB19C0" w:rsidRPr="00BE78CA" w:rsidRDefault="00FB19C0" w:rsidP="00C26084">
            <w:pPr>
              <w:pStyle w:val="TableText"/>
              <w:spacing w:before="40" w:after="40"/>
              <w:jc w:val="center"/>
            </w:pPr>
            <w:r w:rsidRPr="00BE78CA">
              <w:t>66.6</w:t>
            </w:r>
          </w:p>
        </w:tc>
        <w:tc>
          <w:tcPr>
            <w:tcW w:w="1856" w:type="dxa"/>
            <w:tcBorders>
              <w:top w:val="single" w:sz="4" w:space="0" w:color="365F91"/>
              <w:left w:val="nil"/>
              <w:bottom w:val="single" w:sz="4" w:space="0" w:color="365F91"/>
              <w:right w:val="nil"/>
            </w:tcBorders>
            <w:hideMark/>
          </w:tcPr>
          <w:p w14:paraId="49D55562" w14:textId="77777777" w:rsidR="00FB19C0" w:rsidRPr="00BE78CA" w:rsidRDefault="00FB19C0" w:rsidP="00C26084">
            <w:pPr>
              <w:pStyle w:val="TableText"/>
              <w:spacing w:before="40" w:after="40"/>
              <w:jc w:val="center"/>
            </w:pPr>
            <w:r w:rsidRPr="00BE78CA">
              <w:t>81.2</w:t>
            </w:r>
          </w:p>
        </w:tc>
        <w:tc>
          <w:tcPr>
            <w:tcW w:w="1856" w:type="dxa"/>
            <w:tcBorders>
              <w:top w:val="single" w:sz="4" w:space="0" w:color="365F91"/>
              <w:left w:val="nil"/>
              <w:bottom w:val="single" w:sz="4" w:space="0" w:color="365F91"/>
              <w:right w:val="nil"/>
            </w:tcBorders>
            <w:hideMark/>
          </w:tcPr>
          <w:p w14:paraId="18396A85" w14:textId="77777777" w:rsidR="00FB19C0" w:rsidRPr="00BE78CA" w:rsidRDefault="00FB19C0" w:rsidP="00C26084">
            <w:pPr>
              <w:pStyle w:val="TableText"/>
              <w:spacing w:before="40" w:after="40"/>
              <w:jc w:val="center"/>
            </w:pPr>
            <w:r w:rsidRPr="00BE78CA">
              <w:t>10.3</w:t>
            </w:r>
          </w:p>
        </w:tc>
        <w:tc>
          <w:tcPr>
            <w:tcW w:w="1857" w:type="dxa"/>
            <w:tcBorders>
              <w:top w:val="single" w:sz="4" w:space="0" w:color="365F91"/>
              <w:left w:val="nil"/>
              <w:bottom w:val="single" w:sz="4" w:space="0" w:color="365F91"/>
              <w:right w:val="nil"/>
            </w:tcBorders>
            <w:hideMark/>
          </w:tcPr>
          <w:p w14:paraId="6DB82297" w14:textId="77777777" w:rsidR="00FB19C0" w:rsidRPr="00BE78CA" w:rsidRDefault="00FB19C0" w:rsidP="00C26084">
            <w:pPr>
              <w:pStyle w:val="TableText"/>
              <w:spacing w:before="40" w:after="40"/>
              <w:jc w:val="center"/>
            </w:pPr>
            <w:r w:rsidRPr="00BE78CA">
              <w:t>158.1</w:t>
            </w:r>
          </w:p>
        </w:tc>
      </w:tr>
      <w:tr w:rsidR="00FB19C0" w:rsidRPr="00BE78CA" w14:paraId="75687919" w14:textId="77777777" w:rsidTr="008F032F">
        <w:tc>
          <w:tcPr>
            <w:tcW w:w="1079" w:type="dxa"/>
            <w:tcBorders>
              <w:top w:val="single" w:sz="4" w:space="0" w:color="365F91"/>
              <w:left w:val="nil"/>
              <w:bottom w:val="single" w:sz="4" w:space="0" w:color="365F91"/>
              <w:right w:val="nil"/>
            </w:tcBorders>
            <w:hideMark/>
          </w:tcPr>
          <w:p w14:paraId="34E3E829" w14:textId="77777777" w:rsidR="00FB19C0" w:rsidRPr="00BE78CA" w:rsidRDefault="00FB19C0" w:rsidP="00C26084">
            <w:pPr>
              <w:pStyle w:val="TableTextBold"/>
              <w:spacing w:before="40" w:after="40"/>
              <w:rPr>
                <w:noProof w:val="0"/>
              </w:rPr>
            </w:pPr>
            <w:r w:rsidRPr="00BE78CA">
              <w:rPr>
                <w:noProof w:val="0"/>
              </w:rPr>
              <w:t>1998</w:t>
            </w:r>
          </w:p>
        </w:tc>
        <w:tc>
          <w:tcPr>
            <w:tcW w:w="1857" w:type="dxa"/>
            <w:tcBorders>
              <w:top w:val="single" w:sz="4" w:space="0" w:color="365F91"/>
              <w:left w:val="nil"/>
              <w:bottom w:val="single" w:sz="4" w:space="0" w:color="365F91"/>
              <w:right w:val="nil"/>
            </w:tcBorders>
            <w:hideMark/>
          </w:tcPr>
          <w:p w14:paraId="264E4310" w14:textId="77777777" w:rsidR="00FB19C0" w:rsidRPr="00BE78CA" w:rsidRDefault="00FB19C0" w:rsidP="00C26084">
            <w:pPr>
              <w:pStyle w:val="TableText"/>
              <w:spacing w:before="40" w:after="40"/>
              <w:jc w:val="center"/>
            </w:pPr>
            <w:r w:rsidRPr="00BE78CA">
              <w:t>68.7</w:t>
            </w:r>
          </w:p>
        </w:tc>
        <w:tc>
          <w:tcPr>
            <w:tcW w:w="1856" w:type="dxa"/>
            <w:tcBorders>
              <w:top w:val="single" w:sz="4" w:space="0" w:color="365F91"/>
              <w:left w:val="nil"/>
              <w:bottom w:val="single" w:sz="4" w:space="0" w:color="365F91"/>
              <w:right w:val="nil"/>
            </w:tcBorders>
            <w:hideMark/>
          </w:tcPr>
          <w:p w14:paraId="236F924F" w14:textId="77777777" w:rsidR="00FB19C0" w:rsidRPr="00BE78CA" w:rsidRDefault="00FB19C0" w:rsidP="00C26084">
            <w:pPr>
              <w:pStyle w:val="TableText"/>
              <w:spacing w:before="40" w:after="40"/>
              <w:jc w:val="center"/>
            </w:pPr>
            <w:r w:rsidRPr="00BE78CA">
              <w:t>82.5</w:t>
            </w:r>
          </w:p>
        </w:tc>
        <w:tc>
          <w:tcPr>
            <w:tcW w:w="1856" w:type="dxa"/>
            <w:tcBorders>
              <w:top w:val="single" w:sz="4" w:space="0" w:color="365F91"/>
              <w:left w:val="nil"/>
              <w:bottom w:val="single" w:sz="4" w:space="0" w:color="365F91"/>
              <w:right w:val="nil"/>
            </w:tcBorders>
            <w:hideMark/>
          </w:tcPr>
          <w:p w14:paraId="0A4C9DD8" w14:textId="77777777" w:rsidR="00FB19C0" w:rsidRPr="00BE78CA" w:rsidRDefault="00FB19C0" w:rsidP="00C26084">
            <w:pPr>
              <w:pStyle w:val="TableText"/>
              <w:spacing w:before="40" w:after="40"/>
              <w:jc w:val="center"/>
            </w:pPr>
            <w:r w:rsidRPr="00BE78CA">
              <w:t>9.2</w:t>
            </w:r>
          </w:p>
        </w:tc>
        <w:tc>
          <w:tcPr>
            <w:tcW w:w="1857" w:type="dxa"/>
            <w:tcBorders>
              <w:top w:val="single" w:sz="4" w:space="0" w:color="365F91"/>
              <w:left w:val="nil"/>
              <w:bottom w:val="single" w:sz="4" w:space="0" w:color="365F91"/>
              <w:right w:val="nil"/>
            </w:tcBorders>
            <w:hideMark/>
          </w:tcPr>
          <w:p w14:paraId="38502356" w14:textId="77777777" w:rsidR="00FB19C0" w:rsidRPr="00BE78CA" w:rsidRDefault="00FB19C0" w:rsidP="00C26084">
            <w:pPr>
              <w:pStyle w:val="TableText"/>
              <w:spacing w:before="40" w:after="40"/>
              <w:jc w:val="center"/>
            </w:pPr>
            <w:r w:rsidRPr="00BE78CA">
              <w:t>160.4</w:t>
            </w:r>
          </w:p>
        </w:tc>
      </w:tr>
      <w:tr w:rsidR="00FB19C0" w:rsidRPr="00BE78CA" w14:paraId="494F9004" w14:textId="77777777" w:rsidTr="008F032F">
        <w:tc>
          <w:tcPr>
            <w:tcW w:w="1079" w:type="dxa"/>
            <w:tcBorders>
              <w:top w:val="single" w:sz="4" w:space="0" w:color="365F91"/>
              <w:left w:val="nil"/>
              <w:bottom w:val="single" w:sz="4" w:space="0" w:color="365F91"/>
              <w:right w:val="nil"/>
            </w:tcBorders>
            <w:hideMark/>
          </w:tcPr>
          <w:p w14:paraId="43FAB2A3" w14:textId="77777777" w:rsidR="00FB19C0" w:rsidRPr="00BE78CA" w:rsidRDefault="00FB19C0" w:rsidP="00C26084">
            <w:pPr>
              <w:pStyle w:val="TableTextBold"/>
              <w:spacing w:before="40" w:after="40"/>
              <w:rPr>
                <w:noProof w:val="0"/>
              </w:rPr>
            </w:pPr>
            <w:r w:rsidRPr="00BE78CA">
              <w:rPr>
                <w:noProof w:val="0"/>
              </w:rPr>
              <w:t>1999</w:t>
            </w:r>
          </w:p>
        </w:tc>
        <w:tc>
          <w:tcPr>
            <w:tcW w:w="1857" w:type="dxa"/>
            <w:tcBorders>
              <w:top w:val="single" w:sz="4" w:space="0" w:color="365F91"/>
              <w:left w:val="nil"/>
              <w:bottom w:val="single" w:sz="4" w:space="0" w:color="365F91"/>
              <w:right w:val="nil"/>
            </w:tcBorders>
            <w:hideMark/>
          </w:tcPr>
          <w:p w14:paraId="03A3E91E" w14:textId="77777777" w:rsidR="00FB19C0" w:rsidRPr="00BE78CA" w:rsidRDefault="00FB19C0" w:rsidP="00C26084">
            <w:pPr>
              <w:pStyle w:val="TableText"/>
              <w:spacing w:before="40" w:after="40"/>
              <w:jc w:val="center"/>
            </w:pPr>
            <w:r w:rsidRPr="00BE78CA">
              <w:t>61.4</w:t>
            </w:r>
          </w:p>
        </w:tc>
        <w:tc>
          <w:tcPr>
            <w:tcW w:w="1856" w:type="dxa"/>
            <w:tcBorders>
              <w:top w:val="single" w:sz="4" w:space="0" w:color="365F91"/>
              <w:left w:val="nil"/>
              <w:bottom w:val="single" w:sz="4" w:space="0" w:color="365F91"/>
              <w:right w:val="nil"/>
            </w:tcBorders>
            <w:hideMark/>
          </w:tcPr>
          <w:p w14:paraId="4232C577" w14:textId="77777777" w:rsidR="00FB19C0" w:rsidRPr="00BE78CA" w:rsidRDefault="00FB19C0" w:rsidP="00C26084">
            <w:pPr>
              <w:pStyle w:val="TableText"/>
              <w:spacing w:before="40" w:after="40"/>
              <w:jc w:val="center"/>
            </w:pPr>
            <w:r w:rsidRPr="00BE78CA">
              <w:t>79.7</w:t>
            </w:r>
          </w:p>
        </w:tc>
        <w:tc>
          <w:tcPr>
            <w:tcW w:w="1856" w:type="dxa"/>
            <w:tcBorders>
              <w:top w:val="single" w:sz="4" w:space="0" w:color="365F91"/>
              <w:left w:val="nil"/>
              <w:bottom w:val="single" w:sz="4" w:space="0" w:color="365F91"/>
              <w:right w:val="nil"/>
            </w:tcBorders>
            <w:hideMark/>
          </w:tcPr>
          <w:p w14:paraId="30CE4E75" w14:textId="77777777" w:rsidR="00FB19C0" w:rsidRPr="00BE78CA" w:rsidRDefault="00FB19C0" w:rsidP="00C26084">
            <w:pPr>
              <w:pStyle w:val="TableText"/>
              <w:spacing w:before="40" w:after="40"/>
              <w:jc w:val="center"/>
            </w:pPr>
            <w:r w:rsidRPr="00BE78CA">
              <w:t>7.8</w:t>
            </w:r>
          </w:p>
        </w:tc>
        <w:tc>
          <w:tcPr>
            <w:tcW w:w="1857" w:type="dxa"/>
            <w:tcBorders>
              <w:top w:val="single" w:sz="4" w:space="0" w:color="365F91"/>
              <w:left w:val="nil"/>
              <w:bottom w:val="single" w:sz="4" w:space="0" w:color="365F91"/>
              <w:right w:val="nil"/>
            </w:tcBorders>
            <w:hideMark/>
          </w:tcPr>
          <w:p w14:paraId="75A4AB61" w14:textId="77777777" w:rsidR="00FB19C0" w:rsidRPr="00BE78CA" w:rsidRDefault="00FB19C0" w:rsidP="00C26084">
            <w:pPr>
              <w:pStyle w:val="TableText"/>
              <w:spacing w:before="40" w:after="40"/>
              <w:jc w:val="center"/>
            </w:pPr>
            <w:r w:rsidRPr="00BE78CA">
              <w:t>148.9</w:t>
            </w:r>
          </w:p>
        </w:tc>
      </w:tr>
      <w:tr w:rsidR="00FB19C0" w:rsidRPr="00BE78CA" w14:paraId="2824DBE9" w14:textId="77777777" w:rsidTr="008F032F">
        <w:tc>
          <w:tcPr>
            <w:tcW w:w="1079" w:type="dxa"/>
            <w:tcBorders>
              <w:top w:val="single" w:sz="4" w:space="0" w:color="365F91"/>
              <w:left w:val="nil"/>
              <w:bottom w:val="single" w:sz="4" w:space="0" w:color="365F91"/>
              <w:right w:val="nil"/>
            </w:tcBorders>
            <w:hideMark/>
          </w:tcPr>
          <w:p w14:paraId="0C54B2F6" w14:textId="77777777" w:rsidR="00FB19C0" w:rsidRPr="00BE78CA" w:rsidRDefault="00FB19C0" w:rsidP="00C26084">
            <w:pPr>
              <w:pStyle w:val="TableTextBold"/>
              <w:spacing w:before="40" w:after="40"/>
              <w:rPr>
                <w:noProof w:val="0"/>
              </w:rPr>
            </w:pPr>
            <w:r w:rsidRPr="00BE78CA">
              <w:rPr>
                <w:noProof w:val="0"/>
              </w:rPr>
              <w:t>2000</w:t>
            </w:r>
          </w:p>
        </w:tc>
        <w:tc>
          <w:tcPr>
            <w:tcW w:w="1857" w:type="dxa"/>
            <w:tcBorders>
              <w:top w:val="single" w:sz="4" w:space="0" w:color="365F91"/>
              <w:left w:val="nil"/>
              <w:bottom w:val="single" w:sz="4" w:space="0" w:color="365F91"/>
              <w:right w:val="nil"/>
            </w:tcBorders>
            <w:hideMark/>
          </w:tcPr>
          <w:p w14:paraId="2862421D" w14:textId="77777777" w:rsidR="00FB19C0" w:rsidRPr="00BE78CA" w:rsidRDefault="00FB19C0" w:rsidP="00C26084">
            <w:pPr>
              <w:pStyle w:val="TableText"/>
              <w:spacing w:before="40" w:after="40"/>
              <w:jc w:val="center"/>
            </w:pPr>
            <w:r w:rsidRPr="00BE78CA">
              <w:t>65.8</w:t>
            </w:r>
          </w:p>
        </w:tc>
        <w:tc>
          <w:tcPr>
            <w:tcW w:w="1856" w:type="dxa"/>
            <w:tcBorders>
              <w:top w:val="single" w:sz="4" w:space="0" w:color="365F91"/>
              <w:left w:val="nil"/>
              <w:bottom w:val="single" w:sz="4" w:space="0" w:color="365F91"/>
              <w:right w:val="nil"/>
            </w:tcBorders>
            <w:hideMark/>
          </w:tcPr>
          <w:p w14:paraId="5C8F1598" w14:textId="77777777" w:rsidR="00FB19C0" w:rsidRPr="00BE78CA" w:rsidRDefault="00FB19C0" w:rsidP="00C26084">
            <w:pPr>
              <w:pStyle w:val="TableText"/>
              <w:spacing w:before="40" w:after="40"/>
              <w:jc w:val="center"/>
            </w:pPr>
            <w:r w:rsidRPr="00BE78CA">
              <w:t>84.9</w:t>
            </w:r>
          </w:p>
        </w:tc>
        <w:tc>
          <w:tcPr>
            <w:tcW w:w="1856" w:type="dxa"/>
            <w:tcBorders>
              <w:top w:val="single" w:sz="4" w:space="0" w:color="365F91"/>
              <w:left w:val="nil"/>
              <w:bottom w:val="single" w:sz="4" w:space="0" w:color="365F91"/>
              <w:right w:val="nil"/>
            </w:tcBorders>
            <w:hideMark/>
          </w:tcPr>
          <w:p w14:paraId="783C57DC" w14:textId="77777777" w:rsidR="00FB19C0" w:rsidRPr="00BE78CA" w:rsidRDefault="00FB19C0" w:rsidP="00C26084">
            <w:pPr>
              <w:pStyle w:val="TableText"/>
              <w:spacing w:before="40" w:after="40"/>
              <w:jc w:val="center"/>
            </w:pPr>
            <w:r w:rsidRPr="00BE78CA">
              <w:t>6.4</w:t>
            </w:r>
          </w:p>
        </w:tc>
        <w:tc>
          <w:tcPr>
            <w:tcW w:w="1857" w:type="dxa"/>
            <w:tcBorders>
              <w:top w:val="single" w:sz="4" w:space="0" w:color="365F91"/>
              <w:left w:val="nil"/>
              <w:bottom w:val="single" w:sz="4" w:space="0" w:color="365F91"/>
              <w:right w:val="nil"/>
            </w:tcBorders>
            <w:hideMark/>
          </w:tcPr>
          <w:p w14:paraId="3E03857D" w14:textId="77777777" w:rsidR="00FB19C0" w:rsidRPr="00BE78CA" w:rsidRDefault="00FB19C0" w:rsidP="00C26084">
            <w:pPr>
              <w:pStyle w:val="TableText"/>
              <w:spacing w:before="40" w:after="40"/>
              <w:jc w:val="center"/>
            </w:pPr>
            <w:r w:rsidRPr="00BE78CA">
              <w:t>157.1</w:t>
            </w:r>
          </w:p>
        </w:tc>
      </w:tr>
      <w:tr w:rsidR="00FB19C0" w:rsidRPr="00BE78CA" w14:paraId="5894CF0D" w14:textId="77777777" w:rsidTr="008F032F">
        <w:tc>
          <w:tcPr>
            <w:tcW w:w="1079" w:type="dxa"/>
            <w:tcBorders>
              <w:top w:val="single" w:sz="4" w:space="0" w:color="365F91"/>
              <w:left w:val="nil"/>
              <w:bottom w:val="single" w:sz="4" w:space="0" w:color="365F91"/>
              <w:right w:val="nil"/>
            </w:tcBorders>
            <w:hideMark/>
          </w:tcPr>
          <w:p w14:paraId="291548C5" w14:textId="77777777" w:rsidR="00FB19C0" w:rsidRPr="00BE78CA" w:rsidRDefault="00FB19C0" w:rsidP="00C26084">
            <w:pPr>
              <w:pStyle w:val="TableTextBold"/>
              <w:spacing w:before="40" w:after="40"/>
              <w:rPr>
                <w:noProof w:val="0"/>
              </w:rPr>
            </w:pPr>
            <w:r w:rsidRPr="00BE78CA">
              <w:rPr>
                <w:noProof w:val="0"/>
              </w:rPr>
              <w:t>2001</w:t>
            </w:r>
          </w:p>
        </w:tc>
        <w:tc>
          <w:tcPr>
            <w:tcW w:w="1857" w:type="dxa"/>
            <w:tcBorders>
              <w:top w:val="single" w:sz="4" w:space="0" w:color="365F91"/>
              <w:left w:val="nil"/>
              <w:bottom w:val="single" w:sz="4" w:space="0" w:color="365F91"/>
              <w:right w:val="nil"/>
            </w:tcBorders>
            <w:hideMark/>
          </w:tcPr>
          <w:p w14:paraId="30958037" w14:textId="77777777" w:rsidR="00FB19C0" w:rsidRPr="00BE78CA" w:rsidRDefault="00FB19C0" w:rsidP="00C26084">
            <w:pPr>
              <w:pStyle w:val="TableText"/>
              <w:spacing w:before="40" w:after="40"/>
              <w:jc w:val="center"/>
            </w:pPr>
            <w:r w:rsidRPr="00BE78CA">
              <w:t>67.7</w:t>
            </w:r>
          </w:p>
        </w:tc>
        <w:tc>
          <w:tcPr>
            <w:tcW w:w="1856" w:type="dxa"/>
            <w:tcBorders>
              <w:top w:val="single" w:sz="4" w:space="0" w:color="365F91"/>
              <w:left w:val="nil"/>
              <w:bottom w:val="single" w:sz="4" w:space="0" w:color="365F91"/>
              <w:right w:val="nil"/>
            </w:tcBorders>
            <w:hideMark/>
          </w:tcPr>
          <w:p w14:paraId="72647EDE" w14:textId="77777777" w:rsidR="00FB19C0" w:rsidRPr="00BE78CA" w:rsidRDefault="00FB19C0" w:rsidP="00C26084">
            <w:pPr>
              <w:pStyle w:val="TableText"/>
              <w:spacing w:before="40" w:after="40"/>
              <w:jc w:val="center"/>
            </w:pPr>
            <w:r w:rsidRPr="00BE78CA">
              <w:t>88.0</w:t>
            </w:r>
          </w:p>
        </w:tc>
        <w:tc>
          <w:tcPr>
            <w:tcW w:w="1856" w:type="dxa"/>
            <w:tcBorders>
              <w:top w:val="single" w:sz="4" w:space="0" w:color="365F91"/>
              <w:left w:val="nil"/>
              <w:bottom w:val="single" w:sz="4" w:space="0" w:color="365F91"/>
              <w:right w:val="nil"/>
            </w:tcBorders>
            <w:hideMark/>
          </w:tcPr>
          <w:p w14:paraId="1463F008" w14:textId="77777777" w:rsidR="00FB19C0" w:rsidRPr="00BE78CA" w:rsidRDefault="00FB19C0" w:rsidP="00C26084">
            <w:pPr>
              <w:pStyle w:val="TableText"/>
              <w:spacing w:before="40" w:after="40"/>
              <w:jc w:val="center"/>
            </w:pPr>
            <w:r w:rsidRPr="00BE78CA">
              <w:t>4.9</w:t>
            </w:r>
          </w:p>
        </w:tc>
        <w:tc>
          <w:tcPr>
            <w:tcW w:w="1857" w:type="dxa"/>
            <w:tcBorders>
              <w:top w:val="single" w:sz="4" w:space="0" w:color="365F91"/>
              <w:left w:val="nil"/>
              <w:bottom w:val="single" w:sz="4" w:space="0" w:color="365F91"/>
              <w:right w:val="nil"/>
            </w:tcBorders>
            <w:hideMark/>
          </w:tcPr>
          <w:p w14:paraId="58FC0D3D" w14:textId="77777777" w:rsidR="00FB19C0" w:rsidRPr="00BE78CA" w:rsidRDefault="00FB19C0" w:rsidP="00C26084">
            <w:pPr>
              <w:pStyle w:val="TableText"/>
              <w:spacing w:before="40" w:after="40"/>
              <w:jc w:val="center"/>
            </w:pPr>
            <w:r w:rsidRPr="00BE78CA">
              <w:t>160.6</w:t>
            </w:r>
          </w:p>
        </w:tc>
      </w:tr>
      <w:tr w:rsidR="00FB19C0" w:rsidRPr="00BE78CA" w14:paraId="7D5442B7" w14:textId="77777777" w:rsidTr="008F032F">
        <w:tc>
          <w:tcPr>
            <w:tcW w:w="1079" w:type="dxa"/>
            <w:tcBorders>
              <w:top w:val="single" w:sz="4" w:space="0" w:color="365F91"/>
              <w:left w:val="nil"/>
              <w:bottom w:val="single" w:sz="4" w:space="0" w:color="365F91"/>
              <w:right w:val="nil"/>
            </w:tcBorders>
            <w:hideMark/>
          </w:tcPr>
          <w:p w14:paraId="5FD80328" w14:textId="77777777" w:rsidR="00FB19C0" w:rsidRPr="00BE78CA" w:rsidRDefault="00FB19C0" w:rsidP="00C26084">
            <w:pPr>
              <w:pStyle w:val="TableTextBold"/>
              <w:spacing w:before="40" w:after="40"/>
              <w:rPr>
                <w:noProof w:val="0"/>
              </w:rPr>
            </w:pPr>
            <w:r w:rsidRPr="00BE78CA">
              <w:rPr>
                <w:noProof w:val="0"/>
              </w:rPr>
              <w:t>2002</w:t>
            </w:r>
          </w:p>
        </w:tc>
        <w:tc>
          <w:tcPr>
            <w:tcW w:w="1857" w:type="dxa"/>
            <w:tcBorders>
              <w:top w:val="single" w:sz="4" w:space="0" w:color="365F91"/>
              <w:left w:val="nil"/>
              <w:bottom w:val="single" w:sz="4" w:space="0" w:color="365F91"/>
              <w:right w:val="nil"/>
            </w:tcBorders>
            <w:hideMark/>
          </w:tcPr>
          <w:p w14:paraId="7CFE02C6" w14:textId="77777777" w:rsidR="00FB19C0" w:rsidRPr="00BE78CA" w:rsidRDefault="00FB19C0" w:rsidP="00C26084">
            <w:pPr>
              <w:pStyle w:val="TableText"/>
              <w:spacing w:before="40" w:after="40"/>
              <w:jc w:val="center"/>
            </w:pPr>
            <w:r w:rsidRPr="00BE78CA">
              <w:t>65.0</w:t>
            </w:r>
          </w:p>
        </w:tc>
        <w:tc>
          <w:tcPr>
            <w:tcW w:w="1856" w:type="dxa"/>
            <w:tcBorders>
              <w:top w:val="single" w:sz="4" w:space="0" w:color="365F91"/>
              <w:left w:val="nil"/>
              <w:bottom w:val="single" w:sz="4" w:space="0" w:color="365F91"/>
              <w:right w:val="nil"/>
            </w:tcBorders>
            <w:hideMark/>
          </w:tcPr>
          <w:p w14:paraId="37BD5FB0" w14:textId="77777777" w:rsidR="00FB19C0" w:rsidRPr="00BE78CA" w:rsidRDefault="00FB19C0" w:rsidP="00C26084">
            <w:pPr>
              <w:pStyle w:val="TableText"/>
              <w:spacing w:before="40" w:after="40"/>
              <w:jc w:val="center"/>
            </w:pPr>
            <w:r w:rsidRPr="00BE78CA">
              <w:t>85.3</w:t>
            </w:r>
          </w:p>
        </w:tc>
        <w:tc>
          <w:tcPr>
            <w:tcW w:w="1856" w:type="dxa"/>
            <w:tcBorders>
              <w:top w:val="single" w:sz="4" w:space="0" w:color="365F91"/>
              <w:left w:val="nil"/>
              <w:bottom w:val="single" w:sz="4" w:space="0" w:color="365F91"/>
              <w:right w:val="nil"/>
            </w:tcBorders>
            <w:hideMark/>
          </w:tcPr>
          <w:p w14:paraId="770CC338" w14:textId="77777777" w:rsidR="00FB19C0" w:rsidRPr="00BE78CA" w:rsidRDefault="00FB19C0" w:rsidP="00C26084">
            <w:pPr>
              <w:pStyle w:val="TableText"/>
              <w:spacing w:before="40" w:after="40"/>
              <w:jc w:val="center"/>
            </w:pPr>
            <w:r w:rsidRPr="00BE78CA">
              <w:t>5.5</w:t>
            </w:r>
          </w:p>
        </w:tc>
        <w:tc>
          <w:tcPr>
            <w:tcW w:w="1857" w:type="dxa"/>
            <w:tcBorders>
              <w:top w:val="single" w:sz="4" w:space="0" w:color="365F91"/>
              <w:left w:val="nil"/>
              <w:bottom w:val="single" w:sz="4" w:space="0" w:color="365F91"/>
              <w:right w:val="nil"/>
            </w:tcBorders>
            <w:hideMark/>
          </w:tcPr>
          <w:p w14:paraId="3FAA24D8" w14:textId="77777777" w:rsidR="00FB19C0" w:rsidRPr="00BE78CA" w:rsidRDefault="00FB19C0" w:rsidP="00C26084">
            <w:pPr>
              <w:pStyle w:val="TableText"/>
              <w:spacing w:before="40" w:after="40"/>
              <w:jc w:val="center"/>
            </w:pPr>
            <w:r w:rsidRPr="00BE78CA">
              <w:t>155.8</w:t>
            </w:r>
          </w:p>
        </w:tc>
      </w:tr>
      <w:tr w:rsidR="00FB19C0" w:rsidRPr="00BE78CA" w14:paraId="02FB46EF" w14:textId="77777777" w:rsidTr="008F032F">
        <w:tc>
          <w:tcPr>
            <w:tcW w:w="1079" w:type="dxa"/>
            <w:tcBorders>
              <w:top w:val="single" w:sz="4" w:space="0" w:color="365F91"/>
              <w:left w:val="nil"/>
              <w:bottom w:val="single" w:sz="4" w:space="0" w:color="365F91"/>
              <w:right w:val="nil"/>
            </w:tcBorders>
            <w:hideMark/>
          </w:tcPr>
          <w:p w14:paraId="249054ED" w14:textId="77777777" w:rsidR="00FB19C0" w:rsidRPr="00BE78CA" w:rsidRDefault="00FB19C0" w:rsidP="00C26084">
            <w:pPr>
              <w:pStyle w:val="TableTextBold"/>
              <w:spacing w:before="40" w:after="40"/>
              <w:rPr>
                <w:noProof w:val="0"/>
              </w:rPr>
            </w:pPr>
            <w:r w:rsidRPr="00BE78CA">
              <w:rPr>
                <w:noProof w:val="0"/>
              </w:rPr>
              <w:t>2003</w:t>
            </w:r>
          </w:p>
        </w:tc>
        <w:tc>
          <w:tcPr>
            <w:tcW w:w="1857" w:type="dxa"/>
            <w:tcBorders>
              <w:top w:val="single" w:sz="4" w:space="0" w:color="365F91"/>
              <w:left w:val="nil"/>
              <w:bottom w:val="single" w:sz="4" w:space="0" w:color="365F91"/>
              <w:right w:val="nil"/>
            </w:tcBorders>
            <w:hideMark/>
          </w:tcPr>
          <w:p w14:paraId="5016D80C" w14:textId="77777777" w:rsidR="00FB19C0" w:rsidRPr="00BE78CA" w:rsidRDefault="00FB19C0" w:rsidP="00C26084">
            <w:pPr>
              <w:pStyle w:val="TableText"/>
              <w:spacing w:before="40" w:after="40"/>
              <w:jc w:val="center"/>
            </w:pPr>
            <w:r w:rsidRPr="00BE78CA">
              <w:t>70.1</w:t>
            </w:r>
          </w:p>
        </w:tc>
        <w:tc>
          <w:tcPr>
            <w:tcW w:w="1856" w:type="dxa"/>
            <w:tcBorders>
              <w:top w:val="single" w:sz="4" w:space="0" w:color="365F91"/>
              <w:left w:val="nil"/>
              <w:bottom w:val="single" w:sz="4" w:space="0" w:color="365F91"/>
              <w:right w:val="nil"/>
            </w:tcBorders>
            <w:hideMark/>
          </w:tcPr>
          <w:p w14:paraId="176B16EF" w14:textId="77777777" w:rsidR="00FB19C0" w:rsidRPr="00BE78CA" w:rsidRDefault="00FB19C0" w:rsidP="00C26084">
            <w:pPr>
              <w:pStyle w:val="TableText"/>
              <w:spacing w:before="40" w:after="40"/>
              <w:jc w:val="center"/>
            </w:pPr>
            <w:r w:rsidRPr="00BE78CA">
              <w:t>85.1</w:t>
            </w:r>
          </w:p>
        </w:tc>
        <w:tc>
          <w:tcPr>
            <w:tcW w:w="1856" w:type="dxa"/>
            <w:tcBorders>
              <w:top w:val="single" w:sz="4" w:space="0" w:color="365F91"/>
              <w:left w:val="nil"/>
              <w:bottom w:val="single" w:sz="4" w:space="0" w:color="365F91"/>
              <w:right w:val="nil"/>
            </w:tcBorders>
            <w:hideMark/>
          </w:tcPr>
          <w:p w14:paraId="025B88BF" w14:textId="77777777" w:rsidR="00FB19C0" w:rsidRPr="00BE78CA" w:rsidRDefault="00FB19C0" w:rsidP="00C26084">
            <w:pPr>
              <w:pStyle w:val="TableText"/>
              <w:spacing w:before="40" w:after="40"/>
              <w:jc w:val="center"/>
            </w:pPr>
            <w:r w:rsidRPr="00BE78CA">
              <w:t>5.0</w:t>
            </w:r>
          </w:p>
        </w:tc>
        <w:tc>
          <w:tcPr>
            <w:tcW w:w="1857" w:type="dxa"/>
            <w:tcBorders>
              <w:top w:val="single" w:sz="4" w:space="0" w:color="365F91"/>
              <w:left w:val="nil"/>
              <w:bottom w:val="single" w:sz="4" w:space="0" w:color="365F91"/>
              <w:right w:val="nil"/>
            </w:tcBorders>
            <w:hideMark/>
          </w:tcPr>
          <w:p w14:paraId="0C99CA87" w14:textId="77777777" w:rsidR="00FB19C0" w:rsidRPr="00BE78CA" w:rsidRDefault="00FB19C0" w:rsidP="00C26084">
            <w:pPr>
              <w:pStyle w:val="TableText"/>
              <w:spacing w:before="40" w:after="40"/>
              <w:jc w:val="center"/>
            </w:pPr>
            <w:r w:rsidRPr="00BE78CA">
              <w:t>160.2</w:t>
            </w:r>
          </w:p>
        </w:tc>
      </w:tr>
      <w:tr w:rsidR="00FB19C0" w:rsidRPr="00BE78CA" w14:paraId="5D060DA7" w14:textId="77777777" w:rsidTr="008F032F">
        <w:tc>
          <w:tcPr>
            <w:tcW w:w="1079" w:type="dxa"/>
            <w:tcBorders>
              <w:top w:val="single" w:sz="4" w:space="0" w:color="365F91"/>
              <w:left w:val="nil"/>
              <w:bottom w:val="single" w:sz="4" w:space="0" w:color="365F91"/>
              <w:right w:val="nil"/>
            </w:tcBorders>
            <w:hideMark/>
          </w:tcPr>
          <w:p w14:paraId="7CDCF788" w14:textId="77777777" w:rsidR="00FB19C0" w:rsidRPr="00BE78CA" w:rsidRDefault="00FB19C0" w:rsidP="00C26084">
            <w:pPr>
              <w:pStyle w:val="TableTextBold"/>
              <w:spacing w:before="40" w:after="40"/>
              <w:rPr>
                <w:noProof w:val="0"/>
              </w:rPr>
            </w:pPr>
            <w:r w:rsidRPr="00BE78CA">
              <w:rPr>
                <w:noProof w:val="0"/>
              </w:rPr>
              <w:t>2004</w:t>
            </w:r>
          </w:p>
        </w:tc>
        <w:tc>
          <w:tcPr>
            <w:tcW w:w="1857" w:type="dxa"/>
            <w:tcBorders>
              <w:top w:val="single" w:sz="4" w:space="0" w:color="365F91"/>
              <w:left w:val="nil"/>
              <w:bottom w:val="single" w:sz="4" w:space="0" w:color="365F91"/>
              <w:right w:val="nil"/>
            </w:tcBorders>
            <w:hideMark/>
          </w:tcPr>
          <w:p w14:paraId="4411209C" w14:textId="77777777" w:rsidR="00FB19C0" w:rsidRPr="00BE78CA" w:rsidRDefault="00FB19C0" w:rsidP="00C26084">
            <w:pPr>
              <w:pStyle w:val="TableText"/>
              <w:spacing w:before="40" w:after="40"/>
              <w:jc w:val="center"/>
            </w:pPr>
            <w:r w:rsidRPr="00BE78CA">
              <w:t>73.8</w:t>
            </w:r>
          </w:p>
        </w:tc>
        <w:tc>
          <w:tcPr>
            <w:tcW w:w="1856" w:type="dxa"/>
            <w:tcBorders>
              <w:top w:val="single" w:sz="4" w:space="0" w:color="365F91"/>
              <w:left w:val="nil"/>
              <w:bottom w:val="single" w:sz="4" w:space="0" w:color="365F91"/>
              <w:right w:val="nil"/>
            </w:tcBorders>
            <w:hideMark/>
          </w:tcPr>
          <w:p w14:paraId="601CE274" w14:textId="77777777" w:rsidR="00FB19C0" w:rsidRPr="00BE78CA" w:rsidRDefault="00FB19C0" w:rsidP="00C26084">
            <w:pPr>
              <w:pStyle w:val="TableText"/>
              <w:spacing w:before="40" w:after="40"/>
              <w:jc w:val="center"/>
            </w:pPr>
            <w:r w:rsidRPr="00BE78CA">
              <w:t>83.1</w:t>
            </w:r>
          </w:p>
        </w:tc>
        <w:tc>
          <w:tcPr>
            <w:tcW w:w="1856" w:type="dxa"/>
            <w:tcBorders>
              <w:top w:val="single" w:sz="4" w:space="0" w:color="365F91"/>
              <w:left w:val="nil"/>
              <w:bottom w:val="single" w:sz="4" w:space="0" w:color="365F91"/>
              <w:right w:val="nil"/>
            </w:tcBorders>
            <w:hideMark/>
          </w:tcPr>
          <w:p w14:paraId="4F28578D" w14:textId="77777777" w:rsidR="00FB19C0" w:rsidRPr="00BE78CA" w:rsidRDefault="00FB19C0" w:rsidP="00C26084">
            <w:pPr>
              <w:pStyle w:val="TableText"/>
              <w:spacing w:before="40" w:after="40"/>
              <w:jc w:val="center"/>
            </w:pPr>
            <w:r w:rsidRPr="00BE78CA">
              <w:t>6.1</w:t>
            </w:r>
          </w:p>
        </w:tc>
        <w:tc>
          <w:tcPr>
            <w:tcW w:w="1857" w:type="dxa"/>
            <w:tcBorders>
              <w:top w:val="single" w:sz="4" w:space="0" w:color="365F91"/>
              <w:left w:val="nil"/>
              <w:bottom w:val="single" w:sz="4" w:space="0" w:color="365F91"/>
              <w:right w:val="nil"/>
            </w:tcBorders>
            <w:hideMark/>
          </w:tcPr>
          <w:p w14:paraId="59B3AD23" w14:textId="77777777" w:rsidR="00FB19C0" w:rsidRPr="00BE78CA" w:rsidRDefault="00FB19C0" w:rsidP="00C26084">
            <w:pPr>
              <w:pStyle w:val="TableText"/>
              <w:spacing w:before="40" w:after="40"/>
              <w:jc w:val="center"/>
            </w:pPr>
            <w:r w:rsidRPr="00BE78CA">
              <w:t>163.1</w:t>
            </w:r>
          </w:p>
        </w:tc>
      </w:tr>
      <w:tr w:rsidR="00FB19C0" w:rsidRPr="00BE78CA" w14:paraId="07D6791D" w14:textId="77777777" w:rsidTr="008F032F">
        <w:tc>
          <w:tcPr>
            <w:tcW w:w="1079" w:type="dxa"/>
            <w:tcBorders>
              <w:top w:val="single" w:sz="4" w:space="0" w:color="365F91"/>
              <w:left w:val="nil"/>
              <w:bottom w:val="single" w:sz="4" w:space="0" w:color="365F91"/>
              <w:right w:val="nil"/>
            </w:tcBorders>
            <w:hideMark/>
          </w:tcPr>
          <w:p w14:paraId="4C4695C3" w14:textId="77777777" w:rsidR="00FB19C0" w:rsidRPr="00BE78CA" w:rsidRDefault="00FB19C0" w:rsidP="00C26084">
            <w:pPr>
              <w:pStyle w:val="TableTextBold"/>
              <w:spacing w:before="40" w:after="40"/>
              <w:rPr>
                <w:noProof w:val="0"/>
              </w:rPr>
            </w:pPr>
            <w:r w:rsidRPr="00BE78CA">
              <w:rPr>
                <w:noProof w:val="0"/>
              </w:rPr>
              <w:t>2005</w:t>
            </w:r>
          </w:p>
        </w:tc>
        <w:tc>
          <w:tcPr>
            <w:tcW w:w="1857" w:type="dxa"/>
            <w:tcBorders>
              <w:top w:val="single" w:sz="4" w:space="0" w:color="365F91"/>
              <w:left w:val="nil"/>
              <w:bottom w:val="single" w:sz="4" w:space="0" w:color="365F91"/>
              <w:right w:val="nil"/>
            </w:tcBorders>
            <w:hideMark/>
          </w:tcPr>
          <w:p w14:paraId="4AEC285D" w14:textId="77777777" w:rsidR="00FB19C0" w:rsidRPr="00BE78CA" w:rsidRDefault="00FB19C0" w:rsidP="00C26084">
            <w:pPr>
              <w:pStyle w:val="TableText"/>
              <w:spacing w:before="40" w:after="40"/>
              <w:jc w:val="center"/>
            </w:pPr>
            <w:r w:rsidRPr="00BE78CA">
              <w:t>72.6</w:t>
            </w:r>
          </w:p>
        </w:tc>
        <w:tc>
          <w:tcPr>
            <w:tcW w:w="1856" w:type="dxa"/>
            <w:tcBorders>
              <w:top w:val="single" w:sz="4" w:space="0" w:color="365F91"/>
              <w:left w:val="nil"/>
              <w:bottom w:val="single" w:sz="4" w:space="0" w:color="365F91"/>
              <w:right w:val="nil"/>
            </w:tcBorders>
            <w:hideMark/>
          </w:tcPr>
          <w:p w14:paraId="60D55F69" w14:textId="77777777" w:rsidR="00FB19C0" w:rsidRPr="00BE78CA" w:rsidRDefault="00FB19C0" w:rsidP="00C26084">
            <w:pPr>
              <w:pStyle w:val="TableText"/>
              <w:spacing w:before="40" w:after="40"/>
              <w:jc w:val="center"/>
            </w:pPr>
            <w:r w:rsidRPr="00BE78CA">
              <w:t>90.3</w:t>
            </w:r>
          </w:p>
        </w:tc>
        <w:tc>
          <w:tcPr>
            <w:tcW w:w="1856" w:type="dxa"/>
            <w:tcBorders>
              <w:top w:val="single" w:sz="4" w:space="0" w:color="365F91"/>
              <w:left w:val="nil"/>
              <w:bottom w:val="single" w:sz="4" w:space="0" w:color="365F91"/>
              <w:right w:val="nil"/>
            </w:tcBorders>
            <w:hideMark/>
          </w:tcPr>
          <w:p w14:paraId="74BA20FF" w14:textId="77777777" w:rsidR="00FB19C0" w:rsidRPr="00BE78CA" w:rsidRDefault="00FB19C0" w:rsidP="00C26084">
            <w:pPr>
              <w:pStyle w:val="TableText"/>
              <w:spacing w:before="40" w:after="40"/>
              <w:jc w:val="center"/>
            </w:pPr>
            <w:r w:rsidRPr="00BE78CA">
              <w:t>5.9</w:t>
            </w:r>
          </w:p>
        </w:tc>
        <w:tc>
          <w:tcPr>
            <w:tcW w:w="1857" w:type="dxa"/>
            <w:tcBorders>
              <w:top w:val="single" w:sz="4" w:space="0" w:color="365F91"/>
              <w:left w:val="nil"/>
              <w:bottom w:val="single" w:sz="4" w:space="0" w:color="365F91"/>
              <w:right w:val="nil"/>
            </w:tcBorders>
            <w:hideMark/>
          </w:tcPr>
          <w:p w14:paraId="2390DF62" w14:textId="77777777" w:rsidR="00FB19C0" w:rsidRPr="00BE78CA" w:rsidRDefault="00FB19C0" w:rsidP="00C26084">
            <w:pPr>
              <w:pStyle w:val="TableText"/>
              <w:spacing w:before="40" w:after="40"/>
              <w:jc w:val="center"/>
            </w:pPr>
            <w:r w:rsidRPr="00BE78CA">
              <w:t>168.8</w:t>
            </w:r>
          </w:p>
        </w:tc>
      </w:tr>
      <w:tr w:rsidR="00FB19C0" w:rsidRPr="00BE78CA" w14:paraId="39ADE76E" w14:textId="77777777" w:rsidTr="008F032F">
        <w:tc>
          <w:tcPr>
            <w:tcW w:w="1079" w:type="dxa"/>
            <w:tcBorders>
              <w:top w:val="single" w:sz="4" w:space="0" w:color="365F91"/>
              <w:left w:val="nil"/>
              <w:bottom w:val="single" w:sz="4" w:space="0" w:color="365F91"/>
              <w:right w:val="nil"/>
            </w:tcBorders>
            <w:hideMark/>
          </w:tcPr>
          <w:p w14:paraId="49F0FE17" w14:textId="77777777" w:rsidR="00FB19C0" w:rsidRPr="00BE78CA" w:rsidRDefault="00FB19C0" w:rsidP="00C26084">
            <w:pPr>
              <w:pStyle w:val="TableTextBold"/>
              <w:spacing w:before="40" w:after="40"/>
              <w:rPr>
                <w:noProof w:val="0"/>
              </w:rPr>
            </w:pPr>
            <w:r w:rsidRPr="00BE78CA">
              <w:rPr>
                <w:noProof w:val="0"/>
              </w:rPr>
              <w:t>2006</w:t>
            </w:r>
          </w:p>
        </w:tc>
        <w:tc>
          <w:tcPr>
            <w:tcW w:w="1857" w:type="dxa"/>
            <w:tcBorders>
              <w:top w:val="single" w:sz="4" w:space="0" w:color="365F91"/>
              <w:left w:val="nil"/>
              <w:bottom w:val="single" w:sz="4" w:space="0" w:color="365F91"/>
              <w:right w:val="nil"/>
            </w:tcBorders>
            <w:hideMark/>
          </w:tcPr>
          <w:p w14:paraId="3D5086CE" w14:textId="77777777" w:rsidR="00FB19C0" w:rsidRPr="00BE78CA" w:rsidRDefault="00FB19C0" w:rsidP="00C26084">
            <w:pPr>
              <w:pStyle w:val="TableText"/>
              <w:spacing w:before="40" w:after="40"/>
              <w:jc w:val="center"/>
            </w:pPr>
            <w:r w:rsidRPr="00BE78CA">
              <w:t>71.3</w:t>
            </w:r>
          </w:p>
        </w:tc>
        <w:tc>
          <w:tcPr>
            <w:tcW w:w="1856" w:type="dxa"/>
            <w:tcBorders>
              <w:top w:val="single" w:sz="4" w:space="0" w:color="365F91"/>
              <w:left w:val="nil"/>
              <w:bottom w:val="single" w:sz="4" w:space="0" w:color="365F91"/>
              <w:right w:val="nil"/>
            </w:tcBorders>
            <w:hideMark/>
          </w:tcPr>
          <w:p w14:paraId="55506D7E" w14:textId="77777777" w:rsidR="00FB19C0" w:rsidRPr="00BE78CA" w:rsidRDefault="00FB19C0" w:rsidP="00C26084">
            <w:pPr>
              <w:pStyle w:val="TableText"/>
              <w:spacing w:before="40" w:after="40"/>
              <w:jc w:val="center"/>
            </w:pPr>
            <w:r w:rsidRPr="00BE78CA">
              <w:t>90.1</w:t>
            </w:r>
          </w:p>
        </w:tc>
        <w:tc>
          <w:tcPr>
            <w:tcW w:w="1856" w:type="dxa"/>
            <w:tcBorders>
              <w:top w:val="single" w:sz="4" w:space="0" w:color="365F91"/>
              <w:left w:val="nil"/>
              <w:bottom w:val="single" w:sz="4" w:space="0" w:color="365F91"/>
              <w:right w:val="nil"/>
            </w:tcBorders>
            <w:hideMark/>
          </w:tcPr>
          <w:p w14:paraId="098560C1" w14:textId="77777777" w:rsidR="00FB19C0" w:rsidRPr="00BE78CA" w:rsidRDefault="00FB19C0" w:rsidP="00C26084">
            <w:pPr>
              <w:pStyle w:val="TableText"/>
              <w:spacing w:before="40" w:after="40"/>
              <w:jc w:val="center"/>
            </w:pPr>
            <w:r w:rsidRPr="00BE78CA">
              <w:t>6.4</w:t>
            </w:r>
          </w:p>
        </w:tc>
        <w:tc>
          <w:tcPr>
            <w:tcW w:w="1857" w:type="dxa"/>
            <w:tcBorders>
              <w:top w:val="single" w:sz="4" w:space="0" w:color="365F91"/>
              <w:left w:val="nil"/>
              <w:bottom w:val="single" w:sz="4" w:space="0" w:color="365F91"/>
              <w:right w:val="nil"/>
            </w:tcBorders>
            <w:hideMark/>
          </w:tcPr>
          <w:p w14:paraId="5CDD87C1" w14:textId="77777777" w:rsidR="00FB19C0" w:rsidRPr="00BE78CA" w:rsidRDefault="00FB19C0" w:rsidP="00C26084">
            <w:pPr>
              <w:pStyle w:val="TableText"/>
              <w:spacing w:before="40" w:after="40"/>
              <w:jc w:val="center"/>
            </w:pPr>
            <w:r w:rsidRPr="00BE78CA">
              <w:t>167.8</w:t>
            </w:r>
          </w:p>
        </w:tc>
      </w:tr>
      <w:tr w:rsidR="00FB19C0" w:rsidRPr="00BE78CA" w14:paraId="42A7DE69" w14:textId="77777777" w:rsidTr="008F032F">
        <w:tc>
          <w:tcPr>
            <w:tcW w:w="1079" w:type="dxa"/>
            <w:tcBorders>
              <w:top w:val="single" w:sz="4" w:space="0" w:color="365F91"/>
              <w:left w:val="nil"/>
              <w:bottom w:val="single" w:sz="4" w:space="0" w:color="365F91"/>
              <w:right w:val="nil"/>
            </w:tcBorders>
            <w:hideMark/>
          </w:tcPr>
          <w:p w14:paraId="5F944B83" w14:textId="77777777" w:rsidR="00FB19C0" w:rsidRPr="00BE78CA" w:rsidRDefault="00FB19C0" w:rsidP="00C26084">
            <w:pPr>
              <w:pStyle w:val="TableTextBold"/>
              <w:spacing w:before="40" w:after="40"/>
              <w:rPr>
                <w:noProof w:val="0"/>
              </w:rPr>
            </w:pPr>
            <w:r w:rsidRPr="00BE78CA">
              <w:rPr>
                <w:noProof w:val="0"/>
              </w:rPr>
              <w:t>2007</w:t>
            </w:r>
          </w:p>
        </w:tc>
        <w:tc>
          <w:tcPr>
            <w:tcW w:w="1857" w:type="dxa"/>
            <w:tcBorders>
              <w:top w:val="single" w:sz="4" w:space="0" w:color="365F91"/>
              <w:left w:val="nil"/>
              <w:bottom w:val="single" w:sz="4" w:space="0" w:color="365F91"/>
              <w:right w:val="nil"/>
            </w:tcBorders>
            <w:hideMark/>
          </w:tcPr>
          <w:p w14:paraId="5721D7A6" w14:textId="77777777" w:rsidR="00FB19C0" w:rsidRPr="00BE78CA" w:rsidRDefault="00FB19C0" w:rsidP="00C26084">
            <w:pPr>
              <w:pStyle w:val="TableText"/>
              <w:spacing w:before="40" w:after="40"/>
              <w:jc w:val="center"/>
            </w:pPr>
            <w:r w:rsidRPr="00BE78CA">
              <w:t>72.5</w:t>
            </w:r>
          </w:p>
        </w:tc>
        <w:tc>
          <w:tcPr>
            <w:tcW w:w="1856" w:type="dxa"/>
            <w:tcBorders>
              <w:top w:val="single" w:sz="4" w:space="0" w:color="365F91"/>
              <w:left w:val="nil"/>
              <w:bottom w:val="single" w:sz="4" w:space="0" w:color="365F91"/>
              <w:right w:val="nil"/>
            </w:tcBorders>
            <w:hideMark/>
          </w:tcPr>
          <w:p w14:paraId="485AED32" w14:textId="77777777" w:rsidR="00FB19C0" w:rsidRPr="00BE78CA" w:rsidRDefault="00FB19C0" w:rsidP="00C26084">
            <w:pPr>
              <w:pStyle w:val="TableText"/>
              <w:spacing w:before="40" w:after="40"/>
              <w:jc w:val="center"/>
            </w:pPr>
            <w:r w:rsidRPr="00BE78CA">
              <w:t>86.4</w:t>
            </w:r>
          </w:p>
        </w:tc>
        <w:tc>
          <w:tcPr>
            <w:tcW w:w="1856" w:type="dxa"/>
            <w:tcBorders>
              <w:top w:val="single" w:sz="4" w:space="0" w:color="365F91"/>
              <w:left w:val="nil"/>
              <w:bottom w:val="single" w:sz="4" w:space="0" w:color="365F91"/>
              <w:right w:val="nil"/>
            </w:tcBorders>
            <w:hideMark/>
          </w:tcPr>
          <w:p w14:paraId="634A7499" w14:textId="77777777" w:rsidR="00FB19C0" w:rsidRPr="00BE78CA" w:rsidRDefault="00FB19C0" w:rsidP="00C26084">
            <w:pPr>
              <w:pStyle w:val="TableText"/>
              <w:spacing w:before="40" w:after="40"/>
              <w:jc w:val="center"/>
            </w:pPr>
            <w:r w:rsidRPr="00BE78CA">
              <w:t>6.7</w:t>
            </w:r>
          </w:p>
        </w:tc>
        <w:tc>
          <w:tcPr>
            <w:tcW w:w="1857" w:type="dxa"/>
            <w:tcBorders>
              <w:top w:val="single" w:sz="4" w:space="0" w:color="365F91"/>
              <w:left w:val="nil"/>
              <w:bottom w:val="single" w:sz="4" w:space="0" w:color="365F91"/>
              <w:right w:val="nil"/>
            </w:tcBorders>
            <w:hideMark/>
          </w:tcPr>
          <w:p w14:paraId="3A67FED4" w14:textId="77777777" w:rsidR="00FB19C0" w:rsidRPr="00BE78CA" w:rsidRDefault="00FB19C0" w:rsidP="00C26084">
            <w:pPr>
              <w:pStyle w:val="TableText"/>
              <w:spacing w:before="40" w:after="40"/>
              <w:jc w:val="center"/>
            </w:pPr>
            <w:r w:rsidRPr="00BE78CA">
              <w:t>165.7</w:t>
            </w:r>
          </w:p>
        </w:tc>
      </w:tr>
      <w:tr w:rsidR="00FB19C0" w:rsidRPr="00BE78CA" w14:paraId="28F8C45A" w14:textId="77777777" w:rsidTr="008F032F">
        <w:tc>
          <w:tcPr>
            <w:tcW w:w="1079" w:type="dxa"/>
            <w:tcBorders>
              <w:top w:val="single" w:sz="4" w:space="0" w:color="365F91"/>
              <w:left w:val="nil"/>
              <w:bottom w:val="single" w:sz="4" w:space="0" w:color="365F91"/>
              <w:right w:val="nil"/>
            </w:tcBorders>
            <w:hideMark/>
          </w:tcPr>
          <w:p w14:paraId="3D0C425A" w14:textId="77777777" w:rsidR="00FB19C0" w:rsidRPr="00BE78CA" w:rsidRDefault="00FB19C0" w:rsidP="00C26084">
            <w:pPr>
              <w:pStyle w:val="TableTextBold"/>
              <w:spacing w:before="40" w:after="40"/>
              <w:rPr>
                <w:noProof w:val="0"/>
              </w:rPr>
            </w:pPr>
            <w:r w:rsidRPr="00BE78CA">
              <w:rPr>
                <w:noProof w:val="0"/>
              </w:rPr>
              <w:t>2008</w:t>
            </w:r>
          </w:p>
        </w:tc>
        <w:tc>
          <w:tcPr>
            <w:tcW w:w="1857" w:type="dxa"/>
            <w:tcBorders>
              <w:top w:val="single" w:sz="4" w:space="0" w:color="365F91"/>
              <w:left w:val="nil"/>
              <w:bottom w:val="single" w:sz="4" w:space="0" w:color="365F91"/>
              <w:right w:val="nil"/>
            </w:tcBorders>
            <w:hideMark/>
          </w:tcPr>
          <w:p w14:paraId="1A5A593B" w14:textId="77777777" w:rsidR="00FB19C0" w:rsidRPr="00BE78CA" w:rsidRDefault="00FB19C0" w:rsidP="00C26084">
            <w:pPr>
              <w:pStyle w:val="TableText"/>
              <w:spacing w:before="40" w:after="40"/>
              <w:jc w:val="center"/>
            </w:pPr>
            <w:r w:rsidRPr="00BE78CA">
              <w:t>72.8</w:t>
            </w:r>
          </w:p>
        </w:tc>
        <w:tc>
          <w:tcPr>
            <w:tcW w:w="1856" w:type="dxa"/>
            <w:tcBorders>
              <w:top w:val="single" w:sz="4" w:space="0" w:color="365F91"/>
              <w:left w:val="nil"/>
              <w:bottom w:val="single" w:sz="4" w:space="0" w:color="365F91"/>
              <w:right w:val="nil"/>
            </w:tcBorders>
            <w:hideMark/>
          </w:tcPr>
          <w:p w14:paraId="171DDA71" w14:textId="77777777" w:rsidR="00FB19C0" w:rsidRPr="00BE78CA" w:rsidRDefault="00FB19C0" w:rsidP="00C26084">
            <w:pPr>
              <w:pStyle w:val="TableText"/>
              <w:spacing w:before="40" w:after="40"/>
              <w:jc w:val="center"/>
            </w:pPr>
            <w:r w:rsidRPr="00BE78CA">
              <w:t>87.0</w:t>
            </w:r>
          </w:p>
        </w:tc>
        <w:tc>
          <w:tcPr>
            <w:tcW w:w="1856" w:type="dxa"/>
            <w:tcBorders>
              <w:top w:val="single" w:sz="4" w:space="0" w:color="365F91"/>
              <w:left w:val="nil"/>
              <w:bottom w:val="single" w:sz="4" w:space="0" w:color="365F91"/>
              <w:right w:val="nil"/>
            </w:tcBorders>
            <w:hideMark/>
          </w:tcPr>
          <w:p w14:paraId="6F51E8C1" w14:textId="77777777" w:rsidR="00FB19C0" w:rsidRPr="00BE78CA" w:rsidRDefault="00FB19C0" w:rsidP="00C26084">
            <w:pPr>
              <w:pStyle w:val="TableText"/>
              <w:spacing w:before="40" w:after="40"/>
              <w:jc w:val="center"/>
            </w:pPr>
            <w:r w:rsidRPr="00BE78CA">
              <w:t>7.7</w:t>
            </w:r>
          </w:p>
        </w:tc>
        <w:tc>
          <w:tcPr>
            <w:tcW w:w="1857" w:type="dxa"/>
            <w:tcBorders>
              <w:top w:val="single" w:sz="4" w:space="0" w:color="365F91"/>
              <w:left w:val="nil"/>
              <w:bottom w:val="single" w:sz="4" w:space="0" w:color="365F91"/>
              <w:right w:val="nil"/>
            </w:tcBorders>
            <w:hideMark/>
          </w:tcPr>
          <w:p w14:paraId="345B2DCC" w14:textId="77777777" w:rsidR="00FB19C0" w:rsidRPr="00BE78CA" w:rsidRDefault="00FB19C0" w:rsidP="00C26084">
            <w:pPr>
              <w:pStyle w:val="TableText"/>
              <w:spacing w:before="40" w:after="40"/>
              <w:jc w:val="center"/>
            </w:pPr>
            <w:r w:rsidRPr="00BE78CA">
              <w:t>167.5</w:t>
            </w:r>
          </w:p>
        </w:tc>
      </w:tr>
      <w:tr w:rsidR="00FB19C0" w:rsidRPr="00BE78CA" w14:paraId="69BCB2BD" w14:textId="77777777" w:rsidTr="008F032F">
        <w:tc>
          <w:tcPr>
            <w:tcW w:w="1079" w:type="dxa"/>
            <w:tcBorders>
              <w:top w:val="single" w:sz="4" w:space="0" w:color="365F91"/>
              <w:left w:val="nil"/>
              <w:bottom w:val="single" w:sz="4" w:space="0" w:color="365F91"/>
              <w:right w:val="nil"/>
            </w:tcBorders>
            <w:hideMark/>
          </w:tcPr>
          <w:p w14:paraId="6A9170FB" w14:textId="77777777" w:rsidR="00FB19C0" w:rsidRPr="00BE78CA" w:rsidRDefault="00FB19C0" w:rsidP="00C26084">
            <w:pPr>
              <w:pStyle w:val="TableTextBold"/>
              <w:spacing w:before="40" w:after="40"/>
              <w:rPr>
                <w:noProof w:val="0"/>
              </w:rPr>
            </w:pPr>
            <w:r w:rsidRPr="00BE78CA">
              <w:rPr>
                <w:noProof w:val="0"/>
              </w:rPr>
              <w:t>2009</w:t>
            </w:r>
          </w:p>
        </w:tc>
        <w:tc>
          <w:tcPr>
            <w:tcW w:w="1857" w:type="dxa"/>
            <w:tcBorders>
              <w:top w:val="single" w:sz="4" w:space="0" w:color="365F91"/>
              <w:left w:val="nil"/>
              <w:bottom w:val="single" w:sz="4" w:space="0" w:color="365F91"/>
              <w:right w:val="nil"/>
            </w:tcBorders>
            <w:hideMark/>
          </w:tcPr>
          <w:p w14:paraId="68A8478A" w14:textId="77777777" w:rsidR="00FB19C0" w:rsidRPr="00BE78CA" w:rsidRDefault="00FB19C0" w:rsidP="00C26084">
            <w:pPr>
              <w:pStyle w:val="TableText"/>
              <w:spacing w:before="40" w:after="40"/>
              <w:jc w:val="center"/>
            </w:pPr>
            <w:r w:rsidRPr="00BE78CA">
              <w:t>68.3</w:t>
            </w:r>
          </w:p>
        </w:tc>
        <w:tc>
          <w:tcPr>
            <w:tcW w:w="1856" w:type="dxa"/>
            <w:tcBorders>
              <w:top w:val="single" w:sz="4" w:space="0" w:color="365F91"/>
              <w:left w:val="nil"/>
              <w:bottom w:val="single" w:sz="4" w:space="0" w:color="365F91"/>
              <w:right w:val="nil"/>
            </w:tcBorders>
            <w:hideMark/>
          </w:tcPr>
          <w:p w14:paraId="1ACD6ABA" w14:textId="77777777" w:rsidR="00FB19C0" w:rsidRPr="00BE78CA" w:rsidRDefault="00FB19C0" w:rsidP="00C26084">
            <w:pPr>
              <w:pStyle w:val="TableText"/>
              <w:spacing w:before="40" w:after="40"/>
              <w:jc w:val="center"/>
            </w:pPr>
            <w:r w:rsidRPr="00BE78CA">
              <w:t>85.7</w:t>
            </w:r>
          </w:p>
        </w:tc>
        <w:tc>
          <w:tcPr>
            <w:tcW w:w="1856" w:type="dxa"/>
            <w:tcBorders>
              <w:top w:val="single" w:sz="4" w:space="0" w:color="365F91"/>
              <w:left w:val="nil"/>
              <w:bottom w:val="single" w:sz="4" w:space="0" w:color="365F91"/>
              <w:right w:val="nil"/>
            </w:tcBorders>
            <w:hideMark/>
          </w:tcPr>
          <w:p w14:paraId="55842322" w14:textId="77777777" w:rsidR="00FB19C0" w:rsidRPr="00BE78CA" w:rsidRDefault="00FB19C0" w:rsidP="00C26084">
            <w:pPr>
              <w:pStyle w:val="TableText"/>
              <w:spacing w:before="40" w:after="40"/>
              <w:jc w:val="center"/>
            </w:pPr>
            <w:r w:rsidRPr="00BE78CA">
              <w:t>7.7</w:t>
            </w:r>
          </w:p>
        </w:tc>
        <w:tc>
          <w:tcPr>
            <w:tcW w:w="1857" w:type="dxa"/>
            <w:tcBorders>
              <w:top w:val="single" w:sz="4" w:space="0" w:color="365F91"/>
              <w:left w:val="nil"/>
              <w:bottom w:val="single" w:sz="4" w:space="0" w:color="365F91"/>
              <w:right w:val="nil"/>
            </w:tcBorders>
            <w:hideMark/>
          </w:tcPr>
          <w:p w14:paraId="4944A6B8" w14:textId="77777777" w:rsidR="00FB19C0" w:rsidRPr="00BE78CA" w:rsidRDefault="00FB19C0" w:rsidP="00C26084">
            <w:pPr>
              <w:pStyle w:val="TableText"/>
              <w:spacing w:before="40" w:after="40"/>
              <w:jc w:val="center"/>
            </w:pPr>
            <w:r w:rsidRPr="00BE78CA">
              <w:t>161.7</w:t>
            </w:r>
          </w:p>
        </w:tc>
      </w:tr>
      <w:tr w:rsidR="00FB19C0" w:rsidRPr="00BE78CA" w14:paraId="5142E2F6" w14:textId="77777777" w:rsidTr="008F032F">
        <w:tc>
          <w:tcPr>
            <w:tcW w:w="1079" w:type="dxa"/>
            <w:tcBorders>
              <w:top w:val="single" w:sz="4" w:space="0" w:color="365F91"/>
              <w:left w:val="nil"/>
              <w:bottom w:val="single" w:sz="4" w:space="0" w:color="365F91"/>
              <w:right w:val="nil"/>
            </w:tcBorders>
            <w:hideMark/>
          </w:tcPr>
          <w:p w14:paraId="0721EAF5" w14:textId="77777777" w:rsidR="00FB19C0" w:rsidRPr="00BE78CA" w:rsidRDefault="00FB19C0" w:rsidP="00C26084">
            <w:pPr>
              <w:pStyle w:val="TableTextBold"/>
              <w:spacing w:before="40" w:after="40"/>
              <w:rPr>
                <w:noProof w:val="0"/>
              </w:rPr>
            </w:pPr>
            <w:r w:rsidRPr="00BE78CA">
              <w:rPr>
                <w:noProof w:val="0"/>
              </w:rPr>
              <w:t>2010</w:t>
            </w:r>
          </w:p>
        </w:tc>
        <w:tc>
          <w:tcPr>
            <w:tcW w:w="1857" w:type="dxa"/>
            <w:tcBorders>
              <w:top w:val="single" w:sz="4" w:space="0" w:color="365F91"/>
              <w:left w:val="nil"/>
              <w:bottom w:val="single" w:sz="4" w:space="0" w:color="365F91"/>
              <w:right w:val="nil"/>
            </w:tcBorders>
            <w:hideMark/>
          </w:tcPr>
          <w:p w14:paraId="3B3F7ADE" w14:textId="77777777" w:rsidR="00FB19C0" w:rsidRPr="00BE78CA" w:rsidRDefault="00FB19C0" w:rsidP="00C26084">
            <w:pPr>
              <w:pStyle w:val="TableText"/>
              <w:spacing w:before="40" w:after="40"/>
              <w:jc w:val="center"/>
            </w:pPr>
            <w:r w:rsidRPr="00BE78CA">
              <w:t>66.6</w:t>
            </w:r>
          </w:p>
        </w:tc>
        <w:tc>
          <w:tcPr>
            <w:tcW w:w="1856" w:type="dxa"/>
            <w:tcBorders>
              <w:top w:val="single" w:sz="4" w:space="0" w:color="365F91"/>
              <w:left w:val="nil"/>
              <w:bottom w:val="single" w:sz="4" w:space="0" w:color="365F91"/>
              <w:right w:val="nil"/>
            </w:tcBorders>
            <w:hideMark/>
          </w:tcPr>
          <w:p w14:paraId="0D596387" w14:textId="77777777" w:rsidR="00FB19C0" w:rsidRPr="00BE78CA" w:rsidRDefault="00FB19C0" w:rsidP="00C26084">
            <w:pPr>
              <w:pStyle w:val="TableText"/>
              <w:spacing w:before="40" w:after="40"/>
              <w:jc w:val="center"/>
            </w:pPr>
            <w:r w:rsidRPr="00BE78CA">
              <w:t>87.6</w:t>
            </w:r>
          </w:p>
        </w:tc>
        <w:tc>
          <w:tcPr>
            <w:tcW w:w="1856" w:type="dxa"/>
            <w:tcBorders>
              <w:top w:val="single" w:sz="4" w:space="0" w:color="365F91"/>
              <w:left w:val="nil"/>
              <w:bottom w:val="single" w:sz="4" w:space="0" w:color="365F91"/>
              <w:right w:val="nil"/>
            </w:tcBorders>
            <w:hideMark/>
          </w:tcPr>
          <w:p w14:paraId="394BF375" w14:textId="77777777" w:rsidR="00FB19C0" w:rsidRPr="00BE78CA" w:rsidRDefault="00FB19C0" w:rsidP="00C26084">
            <w:pPr>
              <w:pStyle w:val="TableText"/>
              <w:spacing w:before="40" w:after="40"/>
              <w:jc w:val="center"/>
            </w:pPr>
            <w:r w:rsidRPr="00BE78CA">
              <w:t>7.5</w:t>
            </w:r>
          </w:p>
        </w:tc>
        <w:tc>
          <w:tcPr>
            <w:tcW w:w="1857" w:type="dxa"/>
            <w:tcBorders>
              <w:top w:val="single" w:sz="4" w:space="0" w:color="365F91"/>
              <w:left w:val="nil"/>
              <w:bottom w:val="single" w:sz="4" w:space="0" w:color="365F91"/>
              <w:right w:val="nil"/>
            </w:tcBorders>
            <w:hideMark/>
          </w:tcPr>
          <w:p w14:paraId="31C798EF" w14:textId="77777777" w:rsidR="00FB19C0" w:rsidRPr="00BE78CA" w:rsidRDefault="00FB19C0" w:rsidP="00C26084">
            <w:pPr>
              <w:pStyle w:val="TableText"/>
              <w:spacing w:before="40" w:after="40"/>
              <w:jc w:val="center"/>
            </w:pPr>
            <w:r w:rsidRPr="00BE78CA">
              <w:t>161.8</w:t>
            </w:r>
          </w:p>
        </w:tc>
      </w:tr>
      <w:tr w:rsidR="00FB19C0" w:rsidRPr="00BE78CA" w14:paraId="1A2A4B78" w14:textId="77777777" w:rsidTr="008F032F">
        <w:tc>
          <w:tcPr>
            <w:tcW w:w="1079" w:type="dxa"/>
            <w:tcBorders>
              <w:top w:val="single" w:sz="4" w:space="0" w:color="365F91"/>
              <w:left w:val="nil"/>
              <w:bottom w:val="single" w:sz="4" w:space="0" w:color="365F91"/>
              <w:right w:val="nil"/>
            </w:tcBorders>
            <w:hideMark/>
          </w:tcPr>
          <w:p w14:paraId="0E09E4EA" w14:textId="77777777" w:rsidR="00FB19C0" w:rsidRPr="00BE78CA" w:rsidRDefault="00FB19C0" w:rsidP="00C26084">
            <w:pPr>
              <w:pStyle w:val="TableTextBold"/>
              <w:spacing w:before="40" w:after="40"/>
              <w:rPr>
                <w:noProof w:val="0"/>
              </w:rPr>
            </w:pPr>
            <w:r w:rsidRPr="00BE78CA">
              <w:rPr>
                <w:noProof w:val="0"/>
              </w:rPr>
              <w:t>2011</w:t>
            </w:r>
          </w:p>
        </w:tc>
        <w:tc>
          <w:tcPr>
            <w:tcW w:w="1857" w:type="dxa"/>
            <w:tcBorders>
              <w:top w:val="single" w:sz="4" w:space="0" w:color="365F91"/>
              <w:left w:val="nil"/>
              <w:bottom w:val="single" w:sz="4" w:space="0" w:color="365F91"/>
              <w:right w:val="nil"/>
            </w:tcBorders>
            <w:hideMark/>
          </w:tcPr>
          <w:p w14:paraId="2C9FADEA" w14:textId="77777777" w:rsidR="00FB19C0" w:rsidRPr="00BE78CA" w:rsidRDefault="00FB19C0" w:rsidP="00C26084">
            <w:pPr>
              <w:pStyle w:val="TableText"/>
              <w:spacing w:before="40" w:after="40"/>
              <w:jc w:val="center"/>
            </w:pPr>
            <w:r w:rsidRPr="00BE78CA">
              <w:t>65.6</w:t>
            </w:r>
          </w:p>
        </w:tc>
        <w:tc>
          <w:tcPr>
            <w:tcW w:w="1856" w:type="dxa"/>
            <w:tcBorders>
              <w:top w:val="single" w:sz="4" w:space="0" w:color="365F91"/>
              <w:left w:val="nil"/>
              <w:bottom w:val="single" w:sz="4" w:space="0" w:color="365F91"/>
              <w:right w:val="nil"/>
            </w:tcBorders>
            <w:hideMark/>
          </w:tcPr>
          <w:p w14:paraId="04DFB9BC" w14:textId="77777777" w:rsidR="00FB19C0" w:rsidRPr="00BE78CA" w:rsidRDefault="00FB19C0" w:rsidP="00C26084">
            <w:pPr>
              <w:pStyle w:val="TableText"/>
              <w:spacing w:before="40" w:after="40"/>
              <w:jc w:val="center"/>
            </w:pPr>
            <w:r w:rsidRPr="00BE78CA">
              <w:t>90.7</w:t>
            </w:r>
          </w:p>
        </w:tc>
        <w:tc>
          <w:tcPr>
            <w:tcW w:w="1856" w:type="dxa"/>
            <w:tcBorders>
              <w:top w:val="single" w:sz="4" w:space="0" w:color="365F91"/>
              <w:left w:val="nil"/>
              <w:bottom w:val="single" w:sz="4" w:space="0" w:color="365F91"/>
              <w:right w:val="nil"/>
            </w:tcBorders>
            <w:hideMark/>
          </w:tcPr>
          <w:p w14:paraId="15E51EF7" w14:textId="77777777" w:rsidR="00FB19C0" w:rsidRPr="00BE78CA" w:rsidRDefault="00FB19C0" w:rsidP="00C26084">
            <w:pPr>
              <w:pStyle w:val="TableText"/>
              <w:spacing w:before="40" w:after="40"/>
              <w:jc w:val="center"/>
            </w:pPr>
            <w:r w:rsidRPr="00BE78CA">
              <w:t>4.1</w:t>
            </w:r>
          </w:p>
        </w:tc>
        <w:tc>
          <w:tcPr>
            <w:tcW w:w="1857" w:type="dxa"/>
            <w:tcBorders>
              <w:top w:val="single" w:sz="4" w:space="0" w:color="365F91"/>
              <w:left w:val="nil"/>
              <w:bottom w:val="single" w:sz="4" w:space="0" w:color="365F91"/>
              <w:right w:val="nil"/>
            </w:tcBorders>
            <w:hideMark/>
          </w:tcPr>
          <w:p w14:paraId="11E1B004" w14:textId="77777777" w:rsidR="00FB19C0" w:rsidRPr="00BE78CA" w:rsidRDefault="00FB19C0" w:rsidP="00C26084">
            <w:pPr>
              <w:pStyle w:val="TableText"/>
              <w:spacing w:before="40" w:after="40"/>
              <w:jc w:val="center"/>
            </w:pPr>
            <w:r w:rsidRPr="00BE78CA">
              <w:t>160.4</w:t>
            </w:r>
          </w:p>
        </w:tc>
      </w:tr>
      <w:tr w:rsidR="00FB19C0" w:rsidRPr="00BE78CA" w14:paraId="20D3F974" w14:textId="77777777" w:rsidTr="008F032F">
        <w:tc>
          <w:tcPr>
            <w:tcW w:w="1079" w:type="dxa"/>
            <w:tcBorders>
              <w:top w:val="single" w:sz="4" w:space="0" w:color="365F91"/>
              <w:left w:val="nil"/>
              <w:bottom w:val="single" w:sz="4" w:space="0" w:color="365F91"/>
              <w:right w:val="nil"/>
            </w:tcBorders>
            <w:hideMark/>
          </w:tcPr>
          <w:p w14:paraId="639DEF0B" w14:textId="77777777" w:rsidR="00FB19C0" w:rsidRPr="00BE78CA" w:rsidRDefault="00FB19C0" w:rsidP="00C26084">
            <w:pPr>
              <w:pStyle w:val="TableTextBold"/>
              <w:spacing w:before="40" w:after="40"/>
              <w:rPr>
                <w:noProof w:val="0"/>
              </w:rPr>
            </w:pPr>
            <w:r w:rsidRPr="00BE78CA">
              <w:rPr>
                <w:noProof w:val="0"/>
              </w:rPr>
              <w:t>2012</w:t>
            </w:r>
          </w:p>
        </w:tc>
        <w:tc>
          <w:tcPr>
            <w:tcW w:w="1857" w:type="dxa"/>
            <w:tcBorders>
              <w:top w:val="single" w:sz="4" w:space="0" w:color="365F91"/>
              <w:left w:val="nil"/>
              <w:bottom w:val="single" w:sz="4" w:space="0" w:color="365F91"/>
              <w:right w:val="nil"/>
            </w:tcBorders>
            <w:hideMark/>
          </w:tcPr>
          <w:p w14:paraId="3CE85888" w14:textId="77777777" w:rsidR="00FB19C0" w:rsidRPr="00BE78CA" w:rsidRDefault="00FB19C0" w:rsidP="00C26084">
            <w:pPr>
              <w:pStyle w:val="TableText"/>
              <w:spacing w:before="40" w:after="40"/>
              <w:jc w:val="center"/>
            </w:pPr>
            <w:r w:rsidRPr="00BE78CA">
              <w:t>65.7</w:t>
            </w:r>
          </w:p>
        </w:tc>
        <w:tc>
          <w:tcPr>
            <w:tcW w:w="1856" w:type="dxa"/>
            <w:tcBorders>
              <w:top w:val="single" w:sz="4" w:space="0" w:color="365F91"/>
              <w:left w:val="nil"/>
              <w:bottom w:val="single" w:sz="4" w:space="0" w:color="365F91"/>
              <w:right w:val="nil"/>
            </w:tcBorders>
            <w:hideMark/>
          </w:tcPr>
          <w:p w14:paraId="38992396" w14:textId="77777777" w:rsidR="00FB19C0" w:rsidRPr="00BE78CA" w:rsidRDefault="00FB19C0" w:rsidP="00C26084">
            <w:pPr>
              <w:pStyle w:val="TableText"/>
              <w:spacing w:before="40" w:after="40"/>
              <w:jc w:val="center"/>
            </w:pPr>
            <w:r w:rsidRPr="00BE78CA">
              <w:t>86.9</w:t>
            </w:r>
          </w:p>
        </w:tc>
        <w:tc>
          <w:tcPr>
            <w:tcW w:w="1856" w:type="dxa"/>
            <w:tcBorders>
              <w:top w:val="single" w:sz="4" w:space="0" w:color="365F91"/>
              <w:left w:val="nil"/>
              <w:bottom w:val="single" w:sz="4" w:space="0" w:color="365F91"/>
              <w:right w:val="nil"/>
            </w:tcBorders>
            <w:hideMark/>
          </w:tcPr>
          <w:p w14:paraId="65F70496" w14:textId="77777777" w:rsidR="00FB19C0" w:rsidRPr="00BE78CA" w:rsidRDefault="00FB19C0" w:rsidP="00C26084">
            <w:pPr>
              <w:pStyle w:val="TableText"/>
              <w:spacing w:before="40" w:after="40"/>
              <w:jc w:val="center"/>
            </w:pPr>
            <w:r w:rsidRPr="00BE78CA">
              <w:t>3.3</w:t>
            </w:r>
          </w:p>
        </w:tc>
        <w:tc>
          <w:tcPr>
            <w:tcW w:w="1857" w:type="dxa"/>
            <w:tcBorders>
              <w:top w:val="single" w:sz="4" w:space="0" w:color="365F91"/>
              <w:left w:val="nil"/>
              <w:bottom w:val="single" w:sz="4" w:space="0" w:color="365F91"/>
              <w:right w:val="nil"/>
            </w:tcBorders>
            <w:hideMark/>
          </w:tcPr>
          <w:p w14:paraId="5077D930" w14:textId="77777777" w:rsidR="00FB19C0" w:rsidRPr="00BE78CA" w:rsidRDefault="00FB19C0" w:rsidP="00C26084">
            <w:pPr>
              <w:pStyle w:val="TableText"/>
              <w:spacing w:before="40" w:after="40"/>
              <w:jc w:val="center"/>
            </w:pPr>
            <w:r w:rsidRPr="00BE78CA">
              <w:t>155.9</w:t>
            </w:r>
          </w:p>
        </w:tc>
      </w:tr>
      <w:tr w:rsidR="00FB19C0" w:rsidRPr="00BE78CA" w14:paraId="1C6F8D2C" w14:textId="77777777" w:rsidTr="008F032F">
        <w:tc>
          <w:tcPr>
            <w:tcW w:w="1079" w:type="dxa"/>
            <w:tcBorders>
              <w:top w:val="single" w:sz="4" w:space="0" w:color="365F91"/>
              <w:left w:val="nil"/>
              <w:bottom w:val="single" w:sz="4" w:space="0" w:color="365F91"/>
              <w:right w:val="nil"/>
            </w:tcBorders>
            <w:hideMark/>
          </w:tcPr>
          <w:p w14:paraId="7F15AA02" w14:textId="77777777" w:rsidR="00FB19C0" w:rsidRPr="00BE78CA" w:rsidRDefault="00FB19C0" w:rsidP="00C26084">
            <w:pPr>
              <w:pStyle w:val="TableTextBold"/>
              <w:spacing w:before="40" w:after="40"/>
              <w:rPr>
                <w:noProof w:val="0"/>
              </w:rPr>
            </w:pPr>
            <w:r w:rsidRPr="00BE78CA">
              <w:rPr>
                <w:noProof w:val="0"/>
              </w:rPr>
              <w:t>2013</w:t>
            </w:r>
          </w:p>
        </w:tc>
        <w:tc>
          <w:tcPr>
            <w:tcW w:w="1857" w:type="dxa"/>
            <w:tcBorders>
              <w:top w:val="single" w:sz="4" w:space="0" w:color="365F91"/>
              <w:left w:val="nil"/>
              <w:bottom w:val="single" w:sz="4" w:space="0" w:color="365F91"/>
              <w:right w:val="nil"/>
            </w:tcBorders>
            <w:hideMark/>
          </w:tcPr>
          <w:p w14:paraId="7D280AE1" w14:textId="77777777" w:rsidR="00FB19C0" w:rsidRPr="00BE78CA" w:rsidRDefault="00FB19C0" w:rsidP="00C26084">
            <w:pPr>
              <w:pStyle w:val="TableText"/>
              <w:spacing w:before="40" w:after="40"/>
              <w:jc w:val="center"/>
            </w:pPr>
            <w:r w:rsidRPr="00BE78CA">
              <w:t>67.9</w:t>
            </w:r>
          </w:p>
        </w:tc>
        <w:tc>
          <w:tcPr>
            <w:tcW w:w="1856" w:type="dxa"/>
            <w:tcBorders>
              <w:top w:val="single" w:sz="4" w:space="0" w:color="365F91"/>
              <w:left w:val="nil"/>
              <w:bottom w:val="single" w:sz="4" w:space="0" w:color="365F91"/>
              <w:right w:val="nil"/>
            </w:tcBorders>
            <w:hideMark/>
          </w:tcPr>
          <w:p w14:paraId="04365932" w14:textId="77777777" w:rsidR="00FB19C0" w:rsidRPr="00BE78CA" w:rsidRDefault="00FB19C0" w:rsidP="00C26084">
            <w:pPr>
              <w:pStyle w:val="TableText"/>
              <w:spacing w:before="40" w:after="40"/>
              <w:jc w:val="center"/>
            </w:pPr>
            <w:r w:rsidRPr="00BE78CA">
              <w:t>83.5</w:t>
            </w:r>
          </w:p>
        </w:tc>
        <w:tc>
          <w:tcPr>
            <w:tcW w:w="1856" w:type="dxa"/>
            <w:tcBorders>
              <w:top w:val="single" w:sz="4" w:space="0" w:color="365F91"/>
              <w:left w:val="nil"/>
              <w:bottom w:val="single" w:sz="4" w:space="0" w:color="365F91"/>
              <w:right w:val="nil"/>
            </w:tcBorders>
            <w:hideMark/>
          </w:tcPr>
          <w:p w14:paraId="34088598" w14:textId="77777777" w:rsidR="00FB19C0" w:rsidRPr="00BE78CA" w:rsidRDefault="00FB19C0" w:rsidP="00C26084">
            <w:pPr>
              <w:pStyle w:val="TableText"/>
              <w:spacing w:before="40" w:after="40"/>
              <w:jc w:val="center"/>
            </w:pPr>
            <w:r w:rsidRPr="00BE78CA">
              <w:t>4.3</w:t>
            </w:r>
          </w:p>
        </w:tc>
        <w:tc>
          <w:tcPr>
            <w:tcW w:w="1857" w:type="dxa"/>
            <w:tcBorders>
              <w:top w:val="single" w:sz="4" w:space="0" w:color="365F91"/>
              <w:left w:val="nil"/>
              <w:bottom w:val="single" w:sz="4" w:space="0" w:color="365F91"/>
              <w:right w:val="nil"/>
            </w:tcBorders>
            <w:hideMark/>
          </w:tcPr>
          <w:p w14:paraId="45F9D50F" w14:textId="77777777" w:rsidR="00FB19C0" w:rsidRPr="00BE78CA" w:rsidRDefault="00FB19C0" w:rsidP="00C26084">
            <w:pPr>
              <w:pStyle w:val="TableText"/>
              <w:spacing w:before="40" w:after="40"/>
              <w:jc w:val="center"/>
            </w:pPr>
            <w:r w:rsidRPr="00BE78CA">
              <w:t>155.7</w:t>
            </w:r>
          </w:p>
        </w:tc>
      </w:tr>
      <w:tr w:rsidR="00FB19C0" w:rsidRPr="00BE78CA" w14:paraId="323D9099" w14:textId="77777777" w:rsidTr="008F032F">
        <w:tc>
          <w:tcPr>
            <w:tcW w:w="1079" w:type="dxa"/>
            <w:tcBorders>
              <w:top w:val="single" w:sz="4" w:space="0" w:color="365F91"/>
              <w:left w:val="nil"/>
              <w:bottom w:val="single" w:sz="4" w:space="0" w:color="365F91"/>
              <w:right w:val="nil"/>
            </w:tcBorders>
            <w:hideMark/>
          </w:tcPr>
          <w:p w14:paraId="7E8799F6" w14:textId="77777777" w:rsidR="00FB19C0" w:rsidRPr="00BE78CA" w:rsidRDefault="00FB19C0" w:rsidP="00C26084">
            <w:pPr>
              <w:pStyle w:val="TableTextBold"/>
              <w:spacing w:before="40" w:after="40"/>
              <w:rPr>
                <w:noProof w:val="0"/>
              </w:rPr>
            </w:pPr>
            <w:r w:rsidRPr="00BE78CA">
              <w:rPr>
                <w:noProof w:val="0"/>
              </w:rPr>
              <w:lastRenderedPageBreak/>
              <w:t>2014</w:t>
            </w:r>
          </w:p>
        </w:tc>
        <w:tc>
          <w:tcPr>
            <w:tcW w:w="1857" w:type="dxa"/>
            <w:tcBorders>
              <w:top w:val="single" w:sz="4" w:space="0" w:color="365F91"/>
              <w:left w:val="nil"/>
              <w:bottom w:val="single" w:sz="4" w:space="0" w:color="365F91"/>
              <w:right w:val="nil"/>
            </w:tcBorders>
            <w:hideMark/>
          </w:tcPr>
          <w:p w14:paraId="332A6F6C" w14:textId="77777777" w:rsidR="00FB19C0" w:rsidRPr="00BE78CA" w:rsidRDefault="00FB19C0" w:rsidP="00C26084">
            <w:pPr>
              <w:pStyle w:val="TableText"/>
              <w:spacing w:before="40" w:after="40"/>
              <w:jc w:val="center"/>
            </w:pPr>
            <w:r w:rsidRPr="00BE78CA">
              <w:t>68.7</w:t>
            </w:r>
          </w:p>
        </w:tc>
        <w:tc>
          <w:tcPr>
            <w:tcW w:w="1856" w:type="dxa"/>
            <w:tcBorders>
              <w:top w:val="single" w:sz="4" w:space="0" w:color="365F91"/>
              <w:left w:val="nil"/>
              <w:bottom w:val="single" w:sz="4" w:space="0" w:color="365F91"/>
              <w:right w:val="nil"/>
            </w:tcBorders>
            <w:hideMark/>
          </w:tcPr>
          <w:p w14:paraId="7E016237" w14:textId="77777777" w:rsidR="00FB19C0" w:rsidRPr="00BE78CA" w:rsidRDefault="00FB19C0" w:rsidP="00C26084">
            <w:pPr>
              <w:pStyle w:val="TableText"/>
              <w:spacing w:before="40" w:after="40"/>
              <w:jc w:val="center"/>
            </w:pPr>
            <w:r w:rsidRPr="00BE78CA">
              <w:t>79.2</w:t>
            </w:r>
          </w:p>
        </w:tc>
        <w:tc>
          <w:tcPr>
            <w:tcW w:w="1856" w:type="dxa"/>
            <w:tcBorders>
              <w:top w:val="single" w:sz="4" w:space="0" w:color="365F91"/>
              <w:left w:val="nil"/>
              <w:bottom w:val="single" w:sz="4" w:space="0" w:color="365F91"/>
              <w:right w:val="nil"/>
            </w:tcBorders>
            <w:hideMark/>
          </w:tcPr>
          <w:p w14:paraId="1621CBF9" w14:textId="77777777" w:rsidR="00FB19C0" w:rsidRPr="00BE78CA" w:rsidRDefault="00FB19C0" w:rsidP="00C26084">
            <w:pPr>
              <w:pStyle w:val="TableText"/>
              <w:spacing w:before="40" w:after="40"/>
              <w:jc w:val="center"/>
            </w:pPr>
            <w:r w:rsidRPr="00BE78CA">
              <w:t>5.5</w:t>
            </w:r>
          </w:p>
        </w:tc>
        <w:tc>
          <w:tcPr>
            <w:tcW w:w="1857" w:type="dxa"/>
            <w:tcBorders>
              <w:top w:val="single" w:sz="4" w:space="0" w:color="365F91"/>
              <w:left w:val="nil"/>
              <w:bottom w:val="single" w:sz="4" w:space="0" w:color="365F91"/>
              <w:right w:val="nil"/>
            </w:tcBorders>
            <w:hideMark/>
          </w:tcPr>
          <w:p w14:paraId="299AC9D4" w14:textId="77777777" w:rsidR="00FB19C0" w:rsidRPr="00BE78CA" w:rsidRDefault="00FB19C0" w:rsidP="00C26084">
            <w:pPr>
              <w:pStyle w:val="TableText"/>
              <w:spacing w:before="40" w:after="40"/>
              <w:jc w:val="center"/>
            </w:pPr>
            <w:r w:rsidRPr="00BE78CA">
              <w:t>153.5</w:t>
            </w:r>
          </w:p>
        </w:tc>
      </w:tr>
      <w:tr w:rsidR="00FB19C0" w:rsidRPr="00BE78CA" w14:paraId="3DF1D0AE" w14:textId="77777777" w:rsidTr="008F032F">
        <w:tc>
          <w:tcPr>
            <w:tcW w:w="1079" w:type="dxa"/>
            <w:tcBorders>
              <w:top w:val="single" w:sz="4" w:space="0" w:color="365F91"/>
              <w:left w:val="nil"/>
              <w:bottom w:val="single" w:sz="4" w:space="0" w:color="365F91"/>
              <w:right w:val="nil"/>
            </w:tcBorders>
            <w:hideMark/>
          </w:tcPr>
          <w:p w14:paraId="7EE11B77" w14:textId="77777777" w:rsidR="00FB19C0" w:rsidRPr="00BE78CA" w:rsidRDefault="00FB19C0" w:rsidP="00C26084">
            <w:pPr>
              <w:pStyle w:val="TableTextBold"/>
              <w:spacing w:before="40" w:after="40"/>
              <w:rPr>
                <w:noProof w:val="0"/>
              </w:rPr>
            </w:pPr>
            <w:r w:rsidRPr="00BE78CA">
              <w:rPr>
                <w:noProof w:val="0"/>
              </w:rPr>
              <w:t>2015</w:t>
            </w:r>
          </w:p>
        </w:tc>
        <w:tc>
          <w:tcPr>
            <w:tcW w:w="1857" w:type="dxa"/>
            <w:tcBorders>
              <w:top w:val="single" w:sz="4" w:space="0" w:color="365F91"/>
              <w:left w:val="nil"/>
              <w:bottom w:val="single" w:sz="4" w:space="0" w:color="365F91"/>
              <w:right w:val="nil"/>
            </w:tcBorders>
            <w:hideMark/>
          </w:tcPr>
          <w:p w14:paraId="1CE794ED" w14:textId="77777777" w:rsidR="00FB19C0" w:rsidRPr="00BE78CA" w:rsidRDefault="00FB19C0" w:rsidP="00C26084">
            <w:pPr>
              <w:pStyle w:val="TableText"/>
              <w:spacing w:before="40" w:after="40"/>
              <w:jc w:val="center"/>
            </w:pPr>
            <w:r w:rsidRPr="00BE78CA">
              <w:t>71.7</w:t>
            </w:r>
          </w:p>
        </w:tc>
        <w:tc>
          <w:tcPr>
            <w:tcW w:w="1856" w:type="dxa"/>
            <w:tcBorders>
              <w:top w:val="single" w:sz="4" w:space="0" w:color="365F91"/>
              <w:left w:val="nil"/>
              <w:bottom w:val="single" w:sz="4" w:space="0" w:color="365F91"/>
              <w:right w:val="nil"/>
            </w:tcBorders>
            <w:hideMark/>
          </w:tcPr>
          <w:p w14:paraId="7B4902C3" w14:textId="77777777" w:rsidR="00FB19C0" w:rsidRPr="00BE78CA" w:rsidRDefault="00FB19C0" w:rsidP="00C26084">
            <w:pPr>
              <w:pStyle w:val="TableText"/>
              <w:spacing w:before="40" w:after="40"/>
              <w:jc w:val="center"/>
            </w:pPr>
            <w:r w:rsidRPr="00BE78CA">
              <w:t>77.7</w:t>
            </w:r>
          </w:p>
        </w:tc>
        <w:tc>
          <w:tcPr>
            <w:tcW w:w="1856" w:type="dxa"/>
            <w:tcBorders>
              <w:top w:val="single" w:sz="4" w:space="0" w:color="365F91"/>
              <w:left w:val="nil"/>
              <w:bottom w:val="single" w:sz="4" w:space="0" w:color="365F91"/>
              <w:right w:val="nil"/>
            </w:tcBorders>
            <w:hideMark/>
          </w:tcPr>
          <w:p w14:paraId="3AFBFBA9" w14:textId="77777777" w:rsidR="00FB19C0" w:rsidRPr="00BE78CA" w:rsidRDefault="00FB19C0" w:rsidP="00C26084">
            <w:pPr>
              <w:pStyle w:val="TableText"/>
              <w:spacing w:before="40" w:after="40"/>
              <w:jc w:val="center"/>
            </w:pPr>
            <w:r w:rsidRPr="00BE78CA">
              <w:t>4.0</w:t>
            </w:r>
          </w:p>
        </w:tc>
        <w:tc>
          <w:tcPr>
            <w:tcW w:w="1857" w:type="dxa"/>
            <w:tcBorders>
              <w:top w:val="single" w:sz="4" w:space="0" w:color="365F91"/>
              <w:left w:val="nil"/>
              <w:bottom w:val="single" w:sz="4" w:space="0" w:color="365F91"/>
              <w:right w:val="nil"/>
            </w:tcBorders>
            <w:hideMark/>
          </w:tcPr>
          <w:p w14:paraId="6FF24FF1" w14:textId="77777777" w:rsidR="00FB19C0" w:rsidRPr="00BE78CA" w:rsidRDefault="00FB19C0" w:rsidP="00C26084">
            <w:pPr>
              <w:pStyle w:val="TableText"/>
              <w:spacing w:before="40" w:after="40"/>
              <w:jc w:val="center"/>
            </w:pPr>
            <w:r w:rsidRPr="00BE78CA">
              <w:t>153.4</w:t>
            </w:r>
          </w:p>
        </w:tc>
      </w:tr>
      <w:tr w:rsidR="00FB19C0" w:rsidRPr="00BE78CA" w14:paraId="2743EEE8" w14:textId="77777777" w:rsidTr="008F032F">
        <w:tc>
          <w:tcPr>
            <w:tcW w:w="1079" w:type="dxa"/>
            <w:tcBorders>
              <w:top w:val="single" w:sz="4" w:space="0" w:color="365F91"/>
              <w:left w:val="nil"/>
              <w:bottom w:val="single" w:sz="4" w:space="0" w:color="365F91"/>
              <w:right w:val="nil"/>
            </w:tcBorders>
            <w:hideMark/>
          </w:tcPr>
          <w:p w14:paraId="00DF6E12" w14:textId="77777777" w:rsidR="00FB19C0" w:rsidRPr="00BE78CA" w:rsidRDefault="00FB19C0" w:rsidP="00C26084">
            <w:pPr>
              <w:pStyle w:val="TableTextBold"/>
              <w:spacing w:before="40" w:after="40"/>
              <w:rPr>
                <w:noProof w:val="0"/>
              </w:rPr>
            </w:pPr>
            <w:r w:rsidRPr="00BE78CA">
              <w:rPr>
                <w:noProof w:val="0"/>
              </w:rPr>
              <w:t>2016</w:t>
            </w:r>
          </w:p>
        </w:tc>
        <w:tc>
          <w:tcPr>
            <w:tcW w:w="1857" w:type="dxa"/>
            <w:tcBorders>
              <w:top w:val="single" w:sz="4" w:space="0" w:color="365F91"/>
              <w:left w:val="nil"/>
              <w:bottom w:val="single" w:sz="4" w:space="0" w:color="365F91"/>
              <w:right w:val="nil"/>
            </w:tcBorders>
            <w:hideMark/>
          </w:tcPr>
          <w:p w14:paraId="168E4743" w14:textId="77777777" w:rsidR="00FB19C0" w:rsidRPr="00BE78CA" w:rsidRDefault="00FB19C0" w:rsidP="00C26084">
            <w:pPr>
              <w:pStyle w:val="TableText"/>
              <w:spacing w:before="40" w:after="40"/>
              <w:jc w:val="center"/>
            </w:pPr>
            <w:r w:rsidRPr="00BE78CA">
              <w:t>69.2</w:t>
            </w:r>
          </w:p>
        </w:tc>
        <w:tc>
          <w:tcPr>
            <w:tcW w:w="1856" w:type="dxa"/>
            <w:tcBorders>
              <w:top w:val="single" w:sz="4" w:space="0" w:color="365F91"/>
              <w:left w:val="nil"/>
              <w:bottom w:val="single" w:sz="4" w:space="0" w:color="365F91"/>
              <w:right w:val="nil"/>
            </w:tcBorders>
            <w:hideMark/>
          </w:tcPr>
          <w:p w14:paraId="6B509AF2" w14:textId="77777777" w:rsidR="00FB19C0" w:rsidRPr="00BE78CA" w:rsidRDefault="00FB19C0" w:rsidP="00C26084">
            <w:pPr>
              <w:pStyle w:val="TableText"/>
              <w:spacing w:before="40" w:after="40"/>
              <w:jc w:val="center"/>
            </w:pPr>
            <w:r w:rsidRPr="00BE78CA">
              <w:t>79.5</w:t>
            </w:r>
          </w:p>
        </w:tc>
        <w:tc>
          <w:tcPr>
            <w:tcW w:w="1856" w:type="dxa"/>
            <w:tcBorders>
              <w:top w:val="single" w:sz="4" w:space="0" w:color="365F91"/>
              <w:left w:val="nil"/>
              <w:bottom w:val="single" w:sz="4" w:space="0" w:color="365F91"/>
              <w:right w:val="nil"/>
            </w:tcBorders>
            <w:hideMark/>
          </w:tcPr>
          <w:p w14:paraId="0E5537CE" w14:textId="77777777" w:rsidR="00FB19C0" w:rsidRPr="00BE78CA" w:rsidRDefault="00FB19C0" w:rsidP="00C26084">
            <w:pPr>
              <w:pStyle w:val="TableText"/>
              <w:spacing w:before="40" w:after="40"/>
              <w:jc w:val="center"/>
            </w:pPr>
            <w:r w:rsidRPr="00BE78CA">
              <w:t>5.4</w:t>
            </w:r>
          </w:p>
        </w:tc>
        <w:tc>
          <w:tcPr>
            <w:tcW w:w="1857" w:type="dxa"/>
            <w:tcBorders>
              <w:top w:val="single" w:sz="4" w:space="0" w:color="365F91"/>
              <w:left w:val="nil"/>
              <w:bottom w:val="single" w:sz="4" w:space="0" w:color="365F91"/>
              <w:right w:val="nil"/>
            </w:tcBorders>
            <w:hideMark/>
          </w:tcPr>
          <w:p w14:paraId="764A9BB2" w14:textId="77777777" w:rsidR="00FB19C0" w:rsidRPr="00BE78CA" w:rsidRDefault="00FB19C0" w:rsidP="00C26084">
            <w:pPr>
              <w:pStyle w:val="TableText"/>
              <w:spacing w:before="40" w:after="40"/>
              <w:jc w:val="center"/>
            </w:pPr>
            <w:r w:rsidRPr="00BE78CA">
              <w:t>154.1</w:t>
            </w:r>
          </w:p>
        </w:tc>
      </w:tr>
      <w:tr w:rsidR="00FB19C0" w:rsidRPr="00BE78CA" w14:paraId="6AD04C6C" w14:textId="77777777" w:rsidTr="008F032F">
        <w:tc>
          <w:tcPr>
            <w:tcW w:w="1079" w:type="dxa"/>
            <w:tcBorders>
              <w:top w:val="single" w:sz="4" w:space="0" w:color="365F91"/>
              <w:left w:val="nil"/>
              <w:bottom w:val="single" w:sz="4" w:space="0" w:color="365F91"/>
              <w:right w:val="nil"/>
            </w:tcBorders>
            <w:hideMark/>
          </w:tcPr>
          <w:p w14:paraId="7430FBD7" w14:textId="77777777" w:rsidR="00FB19C0" w:rsidRPr="00BE78CA" w:rsidRDefault="00FB19C0" w:rsidP="00C26084">
            <w:pPr>
              <w:pStyle w:val="TableTextBold"/>
              <w:spacing w:before="40" w:after="40"/>
              <w:rPr>
                <w:noProof w:val="0"/>
              </w:rPr>
            </w:pPr>
            <w:r w:rsidRPr="00BE78CA">
              <w:rPr>
                <w:noProof w:val="0"/>
              </w:rPr>
              <w:t>2017</w:t>
            </w:r>
          </w:p>
        </w:tc>
        <w:tc>
          <w:tcPr>
            <w:tcW w:w="1857" w:type="dxa"/>
            <w:tcBorders>
              <w:top w:val="single" w:sz="4" w:space="0" w:color="365F91"/>
              <w:left w:val="nil"/>
              <w:bottom w:val="single" w:sz="4" w:space="0" w:color="365F91"/>
              <w:right w:val="nil"/>
            </w:tcBorders>
            <w:hideMark/>
          </w:tcPr>
          <w:p w14:paraId="163A64D7" w14:textId="77777777" w:rsidR="00FB19C0" w:rsidRPr="00BE78CA" w:rsidRDefault="00FB19C0" w:rsidP="00C26084">
            <w:pPr>
              <w:pStyle w:val="TableText"/>
              <w:spacing w:before="40" w:after="40"/>
              <w:jc w:val="center"/>
            </w:pPr>
            <w:r w:rsidRPr="00BE78CA">
              <w:t>71.2</w:t>
            </w:r>
          </w:p>
        </w:tc>
        <w:tc>
          <w:tcPr>
            <w:tcW w:w="1856" w:type="dxa"/>
            <w:tcBorders>
              <w:top w:val="single" w:sz="4" w:space="0" w:color="365F91"/>
              <w:left w:val="nil"/>
              <w:bottom w:val="single" w:sz="4" w:space="0" w:color="365F91"/>
              <w:right w:val="nil"/>
            </w:tcBorders>
            <w:hideMark/>
          </w:tcPr>
          <w:p w14:paraId="593B37CA" w14:textId="77777777" w:rsidR="00FB19C0" w:rsidRPr="00BE78CA" w:rsidRDefault="00FB19C0" w:rsidP="00C26084">
            <w:pPr>
              <w:pStyle w:val="TableText"/>
              <w:spacing w:before="40" w:after="40"/>
              <w:jc w:val="center"/>
            </w:pPr>
            <w:r w:rsidRPr="00BE78CA">
              <w:t>77.9</w:t>
            </w:r>
          </w:p>
        </w:tc>
        <w:tc>
          <w:tcPr>
            <w:tcW w:w="1856" w:type="dxa"/>
            <w:tcBorders>
              <w:top w:val="single" w:sz="4" w:space="0" w:color="365F91"/>
              <w:left w:val="nil"/>
              <w:bottom w:val="single" w:sz="4" w:space="0" w:color="365F91"/>
              <w:right w:val="nil"/>
            </w:tcBorders>
            <w:hideMark/>
          </w:tcPr>
          <w:p w14:paraId="4FD81640" w14:textId="77777777" w:rsidR="00FB19C0" w:rsidRPr="00BE78CA" w:rsidRDefault="00FB19C0" w:rsidP="00C26084">
            <w:pPr>
              <w:pStyle w:val="TableText"/>
              <w:spacing w:before="40" w:after="40"/>
              <w:jc w:val="center"/>
            </w:pPr>
            <w:r w:rsidRPr="00BE78CA">
              <w:t>4.9</w:t>
            </w:r>
          </w:p>
        </w:tc>
        <w:tc>
          <w:tcPr>
            <w:tcW w:w="1857" w:type="dxa"/>
            <w:tcBorders>
              <w:top w:val="single" w:sz="4" w:space="0" w:color="365F91"/>
              <w:left w:val="nil"/>
              <w:bottom w:val="single" w:sz="4" w:space="0" w:color="365F91"/>
              <w:right w:val="nil"/>
            </w:tcBorders>
            <w:hideMark/>
          </w:tcPr>
          <w:p w14:paraId="2FDA753C" w14:textId="77777777" w:rsidR="00FB19C0" w:rsidRPr="00BE78CA" w:rsidRDefault="00FB19C0" w:rsidP="00C26084">
            <w:pPr>
              <w:pStyle w:val="TableText"/>
              <w:spacing w:before="40" w:after="40"/>
              <w:jc w:val="center"/>
            </w:pPr>
            <w:r w:rsidRPr="00BE78CA">
              <w:t>154.1</w:t>
            </w:r>
          </w:p>
        </w:tc>
      </w:tr>
      <w:tr w:rsidR="00FB19C0" w:rsidRPr="00BE78CA" w14:paraId="7B499E5A" w14:textId="77777777" w:rsidTr="008F032F">
        <w:tc>
          <w:tcPr>
            <w:tcW w:w="1079" w:type="dxa"/>
            <w:tcBorders>
              <w:top w:val="single" w:sz="4" w:space="0" w:color="365F91"/>
              <w:left w:val="nil"/>
              <w:bottom w:val="single" w:sz="4" w:space="0" w:color="365F91"/>
              <w:right w:val="nil"/>
            </w:tcBorders>
            <w:hideMark/>
          </w:tcPr>
          <w:p w14:paraId="5410ABF7" w14:textId="77777777" w:rsidR="00FB19C0" w:rsidRPr="00BE78CA" w:rsidRDefault="00FB19C0" w:rsidP="00C26084">
            <w:pPr>
              <w:pStyle w:val="TableTextBold"/>
              <w:spacing w:before="40" w:after="40"/>
              <w:rPr>
                <w:noProof w:val="0"/>
              </w:rPr>
            </w:pPr>
            <w:r w:rsidRPr="00BE78CA">
              <w:rPr>
                <w:noProof w:val="0"/>
              </w:rPr>
              <w:t>2018</w:t>
            </w:r>
          </w:p>
        </w:tc>
        <w:tc>
          <w:tcPr>
            <w:tcW w:w="1857" w:type="dxa"/>
            <w:tcBorders>
              <w:top w:val="single" w:sz="4" w:space="0" w:color="365F91"/>
              <w:left w:val="nil"/>
              <w:bottom w:val="single" w:sz="4" w:space="0" w:color="365F91"/>
              <w:right w:val="nil"/>
            </w:tcBorders>
            <w:hideMark/>
          </w:tcPr>
          <w:p w14:paraId="1EA20FC1" w14:textId="77777777" w:rsidR="00FB19C0" w:rsidRPr="00BE78CA" w:rsidRDefault="00FB19C0" w:rsidP="00C26084">
            <w:pPr>
              <w:pStyle w:val="TableText"/>
              <w:spacing w:before="40" w:after="40"/>
              <w:jc w:val="center"/>
            </w:pPr>
            <w:r w:rsidRPr="00BE78CA">
              <w:t>72.7</w:t>
            </w:r>
          </w:p>
        </w:tc>
        <w:tc>
          <w:tcPr>
            <w:tcW w:w="1856" w:type="dxa"/>
            <w:tcBorders>
              <w:top w:val="single" w:sz="4" w:space="0" w:color="365F91"/>
              <w:left w:val="nil"/>
              <w:bottom w:val="single" w:sz="4" w:space="0" w:color="365F91"/>
              <w:right w:val="nil"/>
            </w:tcBorders>
            <w:hideMark/>
          </w:tcPr>
          <w:p w14:paraId="4A431D9A" w14:textId="77777777" w:rsidR="00FB19C0" w:rsidRPr="00BE78CA" w:rsidRDefault="00FB19C0" w:rsidP="00C26084">
            <w:pPr>
              <w:pStyle w:val="TableText"/>
              <w:spacing w:before="40" w:after="40"/>
              <w:jc w:val="center"/>
            </w:pPr>
            <w:r w:rsidRPr="00BE78CA">
              <w:t>77.7</w:t>
            </w:r>
          </w:p>
        </w:tc>
        <w:tc>
          <w:tcPr>
            <w:tcW w:w="1856" w:type="dxa"/>
            <w:tcBorders>
              <w:top w:val="single" w:sz="4" w:space="0" w:color="365F91"/>
              <w:left w:val="nil"/>
              <w:bottom w:val="single" w:sz="4" w:space="0" w:color="365F91"/>
              <w:right w:val="nil"/>
            </w:tcBorders>
            <w:hideMark/>
          </w:tcPr>
          <w:p w14:paraId="0BD38985" w14:textId="77777777" w:rsidR="00FB19C0" w:rsidRPr="00BE78CA" w:rsidRDefault="00FB19C0" w:rsidP="00C26084">
            <w:pPr>
              <w:pStyle w:val="TableText"/>
              <w:spacing w:before="40" w:after="40"/>
              <w:jc w:val="center"/>
            </w:pPr>
            <w:r w:rsidRPr="00BE78CA">
              <w:t>5.2</w:t>
            </w:r>
          </w:p>
        </w:tc>
        <w:tc>
          <w:tcPr>
            <w:tcW w:w="1857" w:type="dxa"/>
            <w:tcBorders>
              <w:top w:val="single" w:sz="4" w:space="0" w:color="365F91"/>
              <w:left w:val="nil"/>
              <w:bottom w:val="single" w:sz="4" w:space="0" w:color="365F91"/>
              <w:right w:val="nil"/>
            </w:tcBorders>
            <w:hideMark/>
          </w:tcPr>
          <w:p w14:paraId="4D4F6E5C" w14:textId="77777777" w:rsidR="00FB19C0" w:rsidRPr="00BE78CA" w:rsidRDefault="00FB19C0" w:rsidP="00C26084">
            <w:pPr>
              <w:pStyle w:val="TableText"/>
              <w:spacing w:before="40" w:after="40"/>
              <w:jc w:val="center"/>
            </w:pPr>
            <w:r w:rsidRPr="00BE78CA">
              <w:t>155.7</w:t>
            </w:r>
          </w:p>
        </w:tc>
      </w:tr>
      <w:tr w:rsidR="00FB19C0" w:rsidRPr="00BE78CA" w14:paraId="21A9FCD0" w14:textId="77777777" w:rsidTr="008F032F">
        <w:tc>
          <w:tcPr>
            <w:tcW w:w="1079" w:type="dxa"/>
            <w:tcBorders>
              <w:top w:val="single" w:sz="4" w:space="0" w:color="365F91"/>
              <w:left w:val="nil"/>
              <w:bottom w:val="single" w:sz="4" w:space="0" w:color="365F91"/>
              <w:right w:val="nil"/>
            </w:tcBorders>
          </w:tcPr>
          <w:p w14:paraId="524CE837" w14:textId="77777777" w:rsidR="00FB19C0" w:rsidRPr="00BE78CA" w:rsidRDefault="00FB19C0" w:rsidP="00C26084">
            <w:pPr>
              <w:pStyle w:val="TableTextBold"/>
              <w:spacing w:before="40" w:after="40"/>
              <w:rPr>
                <w:noProof w:val="0"/>
              </w:rPr>
            </w:pPr>
            <w:r w:rsidRPr="00BE78CA">
              <w:rPr>
                <w:noProof w:val="0"/>
              </w:rPr>
              <w:t>2019</w:t>
            </w:r>
          </w:p>
        </w:tc>
        <w:tc>
          <w:tcPr>
            <w:tcW w:w="1857" w:type="dxa"/>
            <w:tcBorders>
              <w:top w:val="single" w:sz="4" w:space="0" w:color="365F91"/>
              <w:left w:val="nil"/>
              <w:bottom w:val="single" w:sz="4" w:space="0" w:color="365F91"/>
              <w:right w:val="nil"/>
            </w:tcBorders>
          </w:tcPr>
          <w:p w14:paraId="6B757A31" w14:textId="77777777" w:rsidR="00FB19C0" w:rsidRPr="00BE78CA" w:rsidRDefault="00FB19C0" w:rsidP="00C26084">
            <w:pPr>
              <w:pStyle w:val="TableText"/>
              <w:spacing w:before="40" w:after="40"/>
              <w:jc w:val="center"/>
            </w:pPr>
            <w:r w:rsidRPr="00BE78CA">
              <w:t>73.4</w:t>
            </w:r>
          </w:p>
        </w:tc>
        <w:tc>
          <w:tcPr>
            <w:tcW w:w="1856" w:type="dxa"/>
            <w:tcBorders>
              <w:top w:val="single" w:sz="4" w:space="0" w:color="365F91"/>
              <w:left w:val="nil"/>
              <w:bottom w:val="single" w:sz="4" w:space="0" w:color="365F91"/>
              <w:right w:val="nil"/>
            </w:tcBorders>
          </w:tcPr>
          <w:p w14:paraId="14DD9F71" w14:textId="77777777" w:rsidR="00FB19C0" w:rsidRPr="00BE78CA" w:rsidRDefault="00FB19C0" w:rsidP="00C26084">
            <w:pPr>
              <w:pStyle w:val="TableText"/>
              <w:spacing w:before="40" w:after="40"/>
              <w:jc w:val="center"/>
            </w:pPr>
            <w:r w:rsidRPr="00BE78CA">
              <w:t>77.6</w:t>
            </w:r>
          </w:p>
        </w:tc>
        <w:tc>
          <w:tcPr>
            <w:tcW w:w="1856" w:type="dxa"/>
            <w:tcBorders>
              <w:top w:val="single" w:sz="4" w:space="0" w:color="365F91"/>
              <w:left w:val="nil"/>
              <w:bottom w:val="single" w:sz="4" w:space="0" w:color="365F91"/>
              <w:right w:val="nil"/>
            </w:tcBorders>
          </w:tcPr>
          <w:p w14:paraId="153A6C6C" w14:textId="77777777" w:rsidR="00FB19C0" w:rsidRPr="00BE78CA" w:rsidRDefault="00FB19C0" w:rsidP="00C26084">
            <w:pPr>
              <w:pStyle w:val="TableText"/>
              <w:spacing w:before="40" w:after="40"/>
              <w:jc w:val="center"/>
            </w:pPr>
            <w:r w:rsidRPr="00BE78CA">
              <w:t>5.1</w:t>
            </w:r>
          </w:p>
        </w:tc>
        <w:tc>
          <w:tcPr>
            <w:tcW w:w="1857" w:type="dxa"/>
            <w:tcBorders>
              <w:top w:val="single" w:sz="4" w:space="0" w:color="365F91"/>
              <w:left w:val="nil"/>
              <w:bottom w:val="single" w:sz="4" w:space="0" w:color="365F91"/>
              <w:right w:val="nil"/>
            </w:tcBorders>
          </w:tcPr>
          <w:p w14:paraId="7D5E31D0" w14:textId="77777777" w:rsidR="00FB19C0" w:rsidRPr="00BE78CA" w:rsidRDefault="00FB19C0" w:rsidP="00C26084">
            <w:pPr>
              <w:pStyle w:val="TableText"/>
              <w:spacing w:before="40" w:after="40"/>
              <w:jc w:val="center"/>
            </w:pPr>
            <w:r w:rsidRPr="00BE78CA">
              <w:t>156.2</w:t>
            </w:r>
          </w:p>
        </w:tc>
      </w:tr>
    </w:tbl>
    <w:p w14:paraId="115481F8" w14:textId="77777777" w:rsidR="00FB19C0" w:rsidRPr="00BE78CA" w:rsidRDefault="00FB19C0" w:rsidP="00FB19C0">
      <w:pPr>
        <w:pStyle w:val="Noteundertable"/>
      </w:pPr>
      <w:r w:rsidRPr="00BE78CA">
        <w:rPr>
          <w:b/>
        </w:rPr>
        <w:t>Note:</w:t>
      </w:r>
      <w:r w:rsidRPr="00BE78CA">
        <w:t xml:space="preserve"> </w:t>
      </w:r>
      <w:r w:rsidRPr="00BE78CA">
        <w:tab/>
        <w:t>TOW = total organic product in wastewater. Columns may not total due to rounding.</w:t>
      </w:r>
    </w:p>
    <w:p w14:paraId="720AC8BA" w14:textId="77777777" w:rsidR="00FB19C0" w:rsidRPr="00BE78CA" w:rsidRDefault="00FB19C0" w:rsidP="00FB19C0">
      <w:pPr>
        <w:pStyle w:val="BodyText"/>
      </w:pPr>
      <w:r w:rsidRPr="00BE78CA">
        <w:t>Table 7.5.4 reports the activity data for the total nitrogen in effluent from industrial wastewater.</w:t>
      </w:r>
    </w:p>
    <w:p w14:paraId="22C38C45" w14:textId="77777777" w:rsidR="00FB19C0" w:rsidRPr="00BE78CA" w:rsidRDefault="00FB19C0" w:rsidP="00FB19C0">
      <w:pPr>
        <w:pStyle w:val="Table"/>
      </w:pPr>
      <w:bookmarkStart w:id="3048" w:name="_Toc5269581"/>
      <w:bookmarkStart w:id="3049" w:name="_Toc32828539"/>
      <w:bookmarkStart w:id="3050" w:name="_Toc32591369"/>
      <w:bookmarkStart w:id="3051" w:name="_Toc36224662"/>
      <w:bookmarkStart w:id="3052" w:name="_Toc68786548"/>
      <w:r w:rsidRPr="00BE78CA">
        <w:t xml:space="preserve">Table 7.5.4 </w:t>
      </w:r>
      <w:r w:rsidRPr="00BE78CA">
        <w:tab/>
        <w:t>Nitrogen in effluent from industrial wastewater from 1990 to </w:t>
      </w:r>
      <w:bookmarkEnd w:id="3048"/>
      <w:bookmarkEnd w:id="3049"/>
      <w:bookmarkEnd w:id="3050"/>
      <w:bookmarkEnd w:id="3051"/>
      <w:r w:rsidRPr="00BE78CA">
        <w:t>2019</w:t>
      </w:r>
      <w:bookmarkEnd w:id="3052"/>
    </w:p>
    <w:tbl>
      <w:tblPr>
        <w:tblW w:w="8505" w:type="dxa"/>
        <w:tblLook w:val="04A0" w:firstRow="1" w:lastRow="0" w:firstColumn="1" w:lastColumn="0" w:noHBand="0" w:noVBand="1"/>
      </w:tblPr>
      <w:tblGrid>
        <w:gridCol w:w="915"/>
        <w:gridCol w:w="1570"/>
        <w:gridCol w:w="1526"/>
        <w:gridCol w:w="1597"/>
        <w:gridCol w:w="1341"/>
        <w:gridCol w:w="1556"/>
      </w:tblGrid>
      <w:tr w:rsidR="00FB19C0" w:rsidRPr="00BE78CA" w14:paraId="39EE0264" w14:textId="77777777" w:rsidTr="008F032F">
        <w:trPr>
          <w:tblHeader/>
        </w:trPr>
        <w:tc>
          <w:tcPr>
            <w:tcW w:w="925" w:type="dxa"/>
            <w:tcBorders>
              <w:top w:val="single" w:sz="4" w:space="0" w:color="365F91"/>
              <w:left w:val="nil"/>
              <w:bottom w:val="single" w:sz="4" w:space="0" w:color="365F91"/>
              <w:right w:val="nil"/>
            </w:tcBorders>
            <w:shd w:val="clear" w:color="auto" w:fill="365F91"/>
            <w:vAlign w:val="bottom"/>
            <w:hideMark/>
          </w:tcPr>
          <w:p w14:paraId="42E900EB" w14:textId="77777777" w:rsidR="00FB19C0" w:rsidRPr="00BE78CA" w:rsidRDefault="00FB19C0" w:rsidP="00C26084">
            <w:pPr>
              <w:pStyle w:val="TableTextBold"/>
              <w:spacing w:before="40" w:after="40"/>
              <w:rPr>
                <w:noProof w:val="0"/>
                <w:color w:val="FFFFFF"/>
              </w:rPr>
            </w:pPr>
            <w:r w:rsidRPr="00BE78CA">
              <w:rPr>
                <w:noProof w:val="0"/>
                <w:color w:val="FFFFFF"/>
              </w:rPr>
              <w:t>Year</w:t>
            </w:r>
          </w:p>
        </w:tc>
        <w:tc>
          <w:tcPr>
            <w:tcW w:w="1590" w:type="dxa"/>
            <w:tcBorders>
              <w:top w:val="single" w:sz="4" w:space="0" w:color="365F91"/>
              <w:left w:val="nil"/>
              <w:bottom w:val="single" w:sz="4" w:space="0" w:color="365F91"/>
              <w:right w:val="nil"/>
            </w:tcBorders>
            <w:shd w:val="clear" w:color="auto" w:fill="365F91"/>
            <w:vAlign w:val="bottom"/>
            <w:hideMark/>
          </w:tcPr>
          <w:p w14:paraId="7FD506A4" w14:textId="77777777" w:rsidR="00FB19C0" w:rsidRPr="00BE78CA" w:rsidRDefault="00FB19C0" w:rsidP="00C26084">
            <w:pPr>
              <w:pStyle w:val="TableTextBold"/>
              <w:spacing w:before="40" w:after="40"/>
              <w:jc w:val="center"/>
              <w:rPr>
                <w:noProof w:val="0"/>
                <w:color w:val="FFFFFF"/>
              </w:rPr>
            </w:pPr>
            <w:r w:rsidRPr="00BE78CA">
              <w:rPr>
                <w:noProof w:val="0"/>
                <w:color w:val="FFFFFF"/>
              </w:rPr>
              <w:t xml:space="preserve">Meat industries </w:t>
            </w:r>
            <w:r w:rsidRPr="00BE78CA">
              <w:rPr>
                <w:noProof w:val="0"/>
                <w:color w:val="FFFFFF"/>
              </w:rPr>
              <w:br/>
              <w:t>N in effluent (kt)</w:t>
            </w:r>
          </w:p>
        </w:tc>
        <w:tc>
          <w:tcPr>
            <w:tcW w:w="1548" w:type="dxa"/>
            <w:tcBorders>
              <w:top w:val="single" w:sz="4" w:space="0" w:color="365F91"/>
              <w:left w:val="nil"/>
              <w:bottom w:val="single" w:sz="4" w:space="0" w:color="365F91"/>
              <w:right w:val="nil"/>
            </w:tcBorders>
            <w:shd w:val="clear" w:color="auto" w:fill="365F91"/>
            <w:vAlign w:val="bottom"/>
            <w:hideMark/>
          </w:tcPr>
          <w:p w14:paraId="2A6CC887" w14:textId="77777777" w:rsidR="00FB19C0" w:rsidRPr="00BE78CA" w:rsidRDefault="00FB19C0" w:rsidP="00C26084">
            <w:pPr>
              <w:pStyle w:val="TableTextBold"/>
              <w:spacing w:before="40" w:after="40"/>
              <w:jc w:val="center"/>
              <w:rPr>
                <w:noProof w:val="0"/>
                <w:color w:val="FFFFFF"/>
              </w:rPr>
            </w:pPr>
            <w:r w:rsidRPr="00BE78CA">
              <w:rPr>
                <w:noProof w:val="0"/>
                <w:color w:val="FFFFFF"/>
              </w:rPr>
              <w:t xml:space="preserve">Pulp and paper industry </w:t>
            </w:r>
            <w:r w:rsidRPr="00BE78CA">
              <w:rPr>
                <w:noProof w:val="0"/>
                <w:color w:val="FFFFFF"/>
              </w:rPr>
              <w:br/>
              <w:t>N in effluent (kt)</w:t>
            </w:r>
          </w:p>
        </w:tc>
        <w:tc>
          <w:tcPr>
            <w:tcW w:w="1616" w:type="dxa"/>
            <w:tcBorders>
              <w:top w:val="single" w:sz="4" w:space="0" w:color="365F91"/>
              <w:left w:val="nil"/>
              <w:bottom w:val="single" w:sz="4" w:space="0" w:color="365F91"/>
              <w:right w:val="nil"/>
            </w:tcBorders>
            <w:shd w:val="clear" w:color="auto" w:fill="365F91"/>
            <w:vAlign w:val="bottom"/>
            <w:hideMark/>
          </w:tcPr>
          <w:p w14:paraId="2A559BC4" w14:textId="77777777" w:rsidR="00FB19C0" w:rsidRPr="00BE78CA" w:rsidRDefault="00FB19C0" w:rsidP="00C26084">
            <w:pPr>
              <w:pStyle w:val="TableTextBold"/>
              <w:spacing w:before="40" w:after="40"/>
              <w:jc w:val="center"/>
              <w:rPr>
                <w:noProof w:val="0"/>
                <w:color w:val="FFFFFF"/>
              </w:rPr>
            </w:pPr>
            <w:r w:rsidRPr="00BE78CA">
              <w:rPr>
                <w:noProof w:val="0"/>
                <w:color w:val="FFFFFF"/>
              </w:rPr>
              <w:t xml:space="preserve">Dairy processing </w:t>
            </w:r>
            <w:r w:rsidRPr="00BE78CA">
              <w:rPr>
                <w:noProof w:val="0"/>
                <w:color w:val="FFFFFF"/>
              </w:rPr>
              <w:br/>
              <w:t>N in effluent (kt)</w:t>
            </w:r>
          </w:p>
        </w:tc>
        <w:tc>
          <w:tcPr>
            <w:tcW w:w="1358" w:type="dxa"/>
            <w:tcBorders>
              <w:top w:val="single" w:sz="4" w:space="0" w:color="365F91"/>
              <w:left w:val="nil"/>
              <w:bottom w:val="single" w:sz="4" w:space="0" w:color="365F91"/>
              <w:right w:val="nil"/>
            </w:tcBorders>
            <w:shd w:val="clear" w:color="auto" w:fill="365F91"/>
            <w:vAlign w:val="bottom"/>
            <w:hideMark/>
          </w:tcPr>
          <w:p w14:paraId="314574F0" w14:textId="77777777" w:rsidR="00FB19C0" w:rsidRPr="00BE78CA" w:rsidRDefault="00FB19C0" w:rsidP="00C26084">
            <w:pPr>
              <w:pStyle w:val="TableTextBold"/>
              <w:spacing w:before="40" w:after="40"/>
              <w:jc w:val="center"/>
              <w:rPr>
                <w:noProof w:val="0"/>
                <w:color w:val="FFFFFF"/>
              </w:rPr>
            </w:pPr>
            <w:r w:rsidRPr="00BE78CA">
              <w:rPr>
                <w:noProof w:val="0"/>
                <w:color w:val="FFFFFF"/>
              </w:rPr>
              <w:t>Leather &amp; skins N in effluent (kt)</w:t>
            </w:r>
          </w:p>
        </w:tc>
        <w:tc>
          <w:tcPr>
            <w:tcW w:w="1576" w:type="dxa"/>
            <w:tcBorders>
              <w:top w:val="single" w:sz="4" w:space="0" w:color="365F91"/>
              <w:left w:val="nil"/>
              <w:bottom w:val="single" w:sz="4" w:space="0" w:color="365F91"/>
              <w:right w:val="nil"/>
            </w:tcBorders>
            <w:shd w:val="clear" w:color="auto" w:fill="365F91"/>
            <w:vAlign w:val="bottom"/>
            <w:hideMark/>
          </w:tcPr>
          <w:p w14:paraId="50A3E0A5" w14:textId="77777777" w:rsidR="00FB19C0" w:rsidRPr="00BE78CA" w:rsidRDefault="00FB19C0" w:rsidP="00C26084">
            <w:pPr>
              <w:pStyle w:val="TableTextBold"/>
              <w:spacing w:before="40" w:after="40"/>
              <w:jc w:val="center"/>
              <w:rPr>
                <w:noProof w:val="0"/>
                <w:color w:val="FFFFFF"/>
              </w:rPr>
            </w:pPr>
            <w:r w:rsidRPr="00BE78CA">
              <w:rPr>
                <w:noProof w:val="0"/>
                <w:color w:val="FFFFFF"/>
              </w:rPr>
              <w:t xml:space="preserve">Total industrial </w:t>
            </w:r>
            <w:r w:rsidRPr="00BE78CA">
              <w:rPr>
                <w:noProof w:val="0"/>
                <w:color w:val="FFFFFF"/>
              </w:rPr>
              <w:br/>
              <w:t>N in effluent (kt)</w:t>
            </w:r>
          </w:p>
        </w:tc>
      </w:tr>
      <w:tr w:rsidR="00FB19C0" w:rsidRPr="00BE78CA" w14:paraId="21A09CD2" w14:textId="77777777" w:rsidTr="008F032F">
        <w:tc>
          <w:tcPr>
            <w:tcW w:w="925" w:type="dxa"/>
            <w:tcBorders>
              <w:top w:val="single" w:sz="4" w:space="0" w:color="365F91"/>
              <w:left w:val="nil"/>
              <w:bottom w:val="single" w:sz="4" w:space="0" w:color="365F91"/>
              <w:right w:val="nil"/>
            </w:tcBorders>
            <w:hideMark/>
          </w:tcPr>
          <w:p w14:paraId="7ADE981B" w14:textId="77777777" w:rsidR="00FB19C0" w:rsidRPr="00BE78CA" w:rsidRDefault="00FB19C0" w:rsidP="00C26084">
            <w:pPr>
              <w:pStyle w:val="TableTextBold"/>
              <w:spacing w:before="40" w:after="40"/>
              <w:rPr>
                <w:noProof w:val="0"/>
              </w:rPr>
            </w:pPr>
            <w:r w:rsidRPr="00BE78CA">
              <w:rPr>
                <w:noProof w:val="0"/>
              </w:rPr>
              <w:t>1990</w:t>
            </w:r>
          </w:p>
        </w:tc>
        <w:tc>
          <w:tcPr>
            <w:tcW w:w="1590" w:type="dxa"/>
            <w:tcBorders>
              <w:top w:val="single" w:sz="4" w:space="0" w:color="365F91"/>
              <w:left w:val="nil"/>
              <w:bottom w:val="single" w:sz="4" w:space="0" w:color="365F91"/>
              <w:right w:val="nil"/>
            </w:tcBorders>
            <w:hideMark/>
          </w:tcPr>
          <w:p w14:paraId="487E4596" w14:textId="77777777" w:rsidR="00FB19C0" w:rsidRPr="00BE78CA" w:rsidRDefault="00FB19C0" w:rsidP="00C26084">
            <w:pPr>
              <w:pStyle w:val="TableText"/>
              <w:spacing w:before="40" w:after="40"/>
              <w:jc w:val="center"/>
              <w:rPr>
                <w:rFonts w:cs="Arial"/>
                <w:szCs w:val="16"/>
              </w:rPr>
            </w:pPr>
            <w:r w:rsidRPr="00BE78CA">
              <w:t>1.37</w:t>
            </w:r>
          </w:p>
        </w:tc>
        <w:tc>
          <w:tcPr>
            <w:tcW w:w="1548" w:type="dxa"/>
            <w:tcBorders>
              <w:top w:val="single" w:sz="4" w:space="0" w:color="365F91"/>
              <w:left w:val="nil"/>
              <w:bottom w:val="single" w:sz="4" w:space="0" w:color="365F91"/>
              <w:right w:val="nil"/>
            </w:tcBorders>
            <w:hideMark/>
          </w:tcPr>
          <w:p w14:paraId="2F40560C" w14:textId="77777777" w:rsidR="00FB19C0" w:rsidRPr="00BE78CA" w:rsidRDefault="00FB19C0" w:rsidP="00C26084">
            <w:pPr>
              <w:pStyle w:val="TableText"/>
              <w:spacing w:before="40" w:after="40"/>
              <w:jc w:val="center"/>
              <w:rPr>
                <w:rFonts w:cs="Arial"/>
                <w:szCs w:val="16"/>
              </w:rPr>
            </w:pPr>
            <w:r w:rsidRPr="00BE78CA">
              <w:t>0.07</w:t>
            </w:r>
          </w:p>
        </w:tc>
        <w:tc>
          <w:tcPr>
            <w:tcW w:w="1616" w:type="dxa"/>
            <w:tcBorders>
              <w:top w:val="single" w:sz="4" w:space="0" w:color="365F91"/>
              <w:left w:val="nil"/>
              <w:bottom w:val="single" w:sz="4" w:space="0" w:color="365F91"/>
              <w:right w:val="nil"/>
            </w:tcBorders>
            <w:hideMark/>
          </w:tcPr>
          <w:p w14:paraId="5231D9EF" w14:textId="77777777" w:rsidR="00FB19C0" w:rsidRPr="00BE78CA" w:rsidRDefault="00FB19C0" w:rsidP="00C26084">
            <w:pPr>
              <w:pStyle w:val="TableText"/>
              <w:spacing w:before="40" w:after="40"/>
              <w:jc w:val="center"/>
              <w:rPr>
                <w:rFonts w:cs="Arial"/>
                <w:szCs w:val="16"/>
              </w:rPr>
            </w:pPr>
            <w:r w:rsidRPr="00BE78CA">
              <w:t>0.16</w:t>
            </w:r>
          </w:p>
        </w:tc>
        <w:tc>
          <w:tcPr>
            <w:tcW w:w="1358" w:type="dxa"/>
            <w:tcBorders>
              <w:top w:val="single" w:sz="4" w:space="0" w:color="365F91"/>
              <w:left w:val="nil"/>
              <w:bottom w:val="single" w:sz="4" w:space="0" w:color="365F91"/>
              <w:right w:val="nil"/>
            </w:tcBorders>
            <w:hideMark/>
          </w:tcPr>
          <w:p w14:paraId="5D827BEA" w14:textId="77777777" w:rsidR="00FB19C0" w:rsidRPr="00BE78CA" w:rsidRDefault="00FB19C0" w:rsidP="00C26084">
            <w:pPr>
              <w:pStyle w:val="TableText"/>
              <w:spacing w:before="40" w:after="40"/>
              <w:jc w:val="center"/>
            </w:pPr>
            <w:r w:rsidRPr="00BE78CA">
              <w:t>1.22</w:t>
            </w:r>
          </w:p>
        </w:tc>
        <w:tc>
          <w:tcPr>
            <w:tcW w:w="1576" w:type="dxa"/>
            <w:tcBorders>
              <w:top w:val="single" w:sz="4" w:space="0" w:color="365F91"/>
              <w:left w:val="nil"/>
              <w:bottom w:val="single" w:sz="4" w:space="0" w:color="365F91"/>
              <w:right w:val="nil"/>
            </w:tcBorders>
            <w:hideMark/>
          </w:tcPr>
          <w:p w14:paraId="71D8B4E5" w14:textId="77777777" w:rsidR="00FB19C0" w:rsidRPr="00BE78CA" w:rsidRDefault="00FB19C0" w:rsidP="00C26084">
            <w:pPr>
              <w:pStyle w:val="TableText"/>
              <w:spacing w:before="40" w:after="40"/>
              <w:jc w:val="center"/>
              <w:rPr>
                <w:rFonts w:cs="Arial"/>
                <w:szCs w:val="16"/>
              </w:rPr>
            </w:pPr>
            <w:r w:rsidRPr="00BE78CA">
              <w:t>2.82</w:t>
            </w:r>
          </w:p>
        </w:tc>
      </w:tr>
      <w:tr w:rsidR="00FB19C0" w:rsidRPr="00BE78CA" w14:paraId="62986B11" w14:textId="77777777" w:rsidTr="008F032F">
        <w:tc>
          <w:tcPr>
            <w:tcW w:w="925" w:type="dxa"/>
            <w:tcBorders>
              <w:top w:val="single" w:sz="4" w:space="0" w:color="365F91"/>
              <w:left w:val="nil"/>
              <w:bottom w:val="single" w:sz="4" w:space="0" w:color="365F91"/>
              <w:right w:val="nil"/>
            </w:tcBorders>
            <w:hideMark/>
          </w:tcPr>
          <w:p w14:paraId="29ACDFDC" w14:textId="77777777" w:rsidR="00FB19C0" w:rsidRPr="00BE78CA" w:rsidRDefault="00FB19C0" w:rsidP="00C26084">
            <w:pPr>
              <w:pStyle w:val="TableTextBold"/>
              <w:spacing w:before="40" w:after="40"/>
              <w:rPr>
                <w:noProof w:val="0"/>
              </w:rPr>
            </w:pPr>
            <w:r w:rsidRPr="00BE78CA">
              <w:rPr>
                <w:noProof w:val="0"/>
              </w:rPr>
              <w:t>1991</w:t>
            </w:r>
          </w:p>
        </w:tc>
        <w:tc>
          <w:tcPr>
            <w:tcW w:w="1590" w:type="dxa"/>
            <w:tcBorders>
              <w:top w:val="single" w:sz="4" w:space="0" w:color="365F91"/>
              <w:left w:val="nil"/>
              <w:bottom w:val="single" w:sz="4" w:space="0" w:color="365F91"/>
              <w:right w:val="nil"/>
            </w:tcBorders>
            <w:hideMark/>
          </w:tcPr>
          <w:p w14:paraId="6814BDE8" w14:textId="77777777" w:rsidR="00FB19C0" w:rsidRPr="00BE78CA" w:rsidRDefault="00FB19C0" w:rsidP="00C26084">
            <w:pPr>
              <w:pStyle w:val="TableText"/>
              <w:spacing w:before="40" w:after="40"/>
              <w:jc w:val="center"/>
              <w:rPr>
                <w:rFonts w:cs="Arial"/>
                <w:szCs w:val="16"/>
              </w:rPr>
            </w:pPr>
            <w:r w:rsidRPr="00BE78CA">
              <w:t>1.45</w:t>
            </w:r>
          </w:p>
        </w:tc>
        <w:tc>
          <w:tcPr>
            <w:tcW w:w="1548" w:type="dxa"/>
            <w:tcBorders>
              <w:top w:val="single" w:sz="4" w:space="0" w:color="365F91"/>
              <w:left w:val="nil"/>
              <w:bottom w:val="single" w:sz="4" w:space="0" w:color="365F91"/>
              <w:right w:val="nil"/>
            </w:tcBorders>
            <w:hideMark/>
          </w:tcPr>
          <w:p w14:paraId="7EC655F4" w14:textId="77777777" w:rsidR="00FB19C0" w:rsidRPr="00BE78CA" w:rsidRDefault="00FB19C0" w:rsidP="00C26084">
            <w:pPr>
              <w:pStyle w:val="TableText"/>
              <w:spacing w:before="40" w:after="40"/>
              <w:jc w:val="center"/>
              <w:rPr>
                <w:rFonts w:cs="Arial"/>
                <w:szCs w:val="16"/>
              </w:rPr>
            </w:pPr>
            <w:r w:rsidRPr="00BE78CA">
              <w:t>0.07</w:t>
            </w:r>
          </w:p>
        </w:tc>
        <w:tc>
          <w:tcPr>
            <w:tcW w:w="1616" w:type="dxa"/>
            <w:tcBorders>
              <w:top w:val="single" w:sz="4" w:space="0" w:color="365F91"/>
              <w:left w:val="nil"/>
              <w:bottom w:val="single" w:sz="4" w:space="0" w:color="365F91"/>
              <w:right w:val="nil"/>
            </w:tcBorders>
            <w:hideMark/>
          </w:tcPr>
          <w:p w14:paraId="19DC6854" w14:textId="77777777" w:rsidR="00FB19C0" w:rsidRPr="00BE78CA" w:rsidRDefault="00FB19C0" w:rsidP="00C26084">
            <w:pPr>
              <w:pStyle w:val="TableText"/>
              <w:spacing w:before="40" w:after="40"/>
              <w:jc w:val="center"/>
              <w:rPr>
                <w:rFonts w:cs="Arial"/>
                <w:szCs w:val="16"/>
              </w:rPr>
            </w:pPr>
            <w:r w:rsidRPr="00BE78CA">
              <w:t>0.17</w:t>
            </w:r>
          </w:p>
        </w:tc>
        <w:tc>
          <w:tcPr>
            <w:tcW w:w="1358" w:type="dxa"/>
            <w:tcBorders>
              <w:top w:val="single" w:sz="4" w:space="0" w:color="365F91"/>
              <w:left w:val="nil"/>
              <w:bottom w:val="single" w:sz="4" w:space="0" w:color="365F91"/>
              <w:right w:val="nil"/>
            </w:tcBorders>
            <w:hideMark/>
          </w:tcPr>
          <w:p w14:paraId="379B2D91" w14:textId="77777777" w:rsidR="00FB19C0" w:rsidRPr="00BE78CA" w:rsidRDefault="00FB19C0" w:rsidP="00C26084">
            <w:pPr>
              <w:pStyle w:val="TableText"/>
              <w:spacing w:before="40" w:after="40"/>
              <w:jc w:val="center"/>
            </w:pPr>
            <w:r w:rsidRPr="00BE78CA">
              <w:t>1.22</w:t>
            </w:r>
          </w:p>
        </w:tc>
        <w:tc>
          <w:tcPr>
            <w:tcW w:w="1576" w:type="dxa"/>
            <w:tcBorders>
              <w:top w:val="single" w:sz="4" w:space="0" w:color="365F91"/>
              <w:left w:val="nil"/>
              <w:bottom w:val="single" w:sz="4" w:space="0" w:color="365F91"/>
              <w:right w:val="nil"/>
            </w:tcBorders>
            <w:hideMark/>
          </w:tcPr>
          <w:p w14:paraId="572FDF5A" w14:textId="77777777" w:rsidR="00FB19C0" w:rsidRPr="00BE78CA" w:rsidRDefault="00FB19C0" w:rsidP="00C26084">
            <w:pPr>
              <w:pStyle w:val="TableText"/>
              <w:spacing w:before="40" w:after="40"/>
              <w:jc w:val="center"/>
              <w:rPr>
                <w:rFonts w:cs="Arial"/>
                <w:szCs w:val="16"/>
              </w:rPr>
            </w:pPr>
            <w:r w:rsidRPr="00BE78CA">
              <w:t>2.92</w:t>
            </w:r>
          </w:p>
        </w:tc>
      </w:tr>
      <w:tr w:rsidR="00FB19C0" w:rsidRPr="00BE78CA" w14:paraId="660855BF" w14:textId="77777777" w:rsidTr="008F032F">
        <w:tc>
          <w:tcPr>
            <w:tcW w:w="925" w:type="dxa"/>
            <w:tcBorders>
              <w:top w:val="single" w:sz="4" w:space="0" w:color="365F91"/>
              <w:left w:val="nil"/>
              <w:bottom w:val="single" w:sz="4" w:space="0" w:color="365F91"/>
              <w:right w:val="nil"/>
            </w:tcBorders>
            <w:hideMark/>
          </w:tcPr>
          <w:p w14:paraId="0C50502F" w14:textId="77777777" w:rsidR="00FB19C0" w:rsidRPr="00BE78CA" w:rsidRDefault="00FB19C0" w:rsidP="00C26084">
            <w:pPr>
              <w:pStyle w:val="TableTextBold"/>
              <w:spacing w:before="40" w:after="40"/>
              <w:rPr>
                <w:noProof w:val="0"/>
              </w:rPr>
            </w:pPr>
            <w:r w:rsidRPr="00BE78CA">
              <w:rPr>
                <w:noProof w:val="0"/>
              </w:rPr>
              <w:t>1992</w:t>
            </w:r>
          </w:p>
        </w:tc>
        <w:tc>
          <w:tcPr>
            <w:tcW w:w="1590" w:type="dxa"/>
            <w:tcBorders>
              <w:top w:val="single" w:sz="4" w:space="0" w:color="365F91"/>
              <w:left w:val="nil"/>
              <w:bottom w:val="single" w:sz="4" w:space="0" w:color="365F91"/>
              <w:right w:val="nil"/>
            </w:tcBorders>
            <w:hideMark/>
          </w:tcPr>
          <w:p w14:paraId="0020C8DC" w14:textId="77777777" w:rsidR="00FB19C0" w:rsidRPr="00BE78CA" w:rsidRDefault="00FB19C0" w:rsidP="00C26084">
            <w:pPr>
              <w:pStyle w:val="TableText"/>
              <w:spacing w:before="40" w:after="40"/>
              <w:jc w:val="center"/>
              <w:rPr>
                <w:rFonts w:cs="Arial"/>
                <w:szCs w:val="16"/>
              </w:rPr>
            </w:pPr>
            <w:r w:rsidRPr="00BE78CA">
              <w:t>1.58</w:t>
            </w:r>
          </w:p>
        </w:tc>
        <w:tc>
          <w:tcPr>
            <w:tcW w:w="1548" w:type="dxa"/>
            <w:tcBorders>
              <w:top w:val="single" w:sz="4" w:space="0" w:color="365F91"/>
              <w:left w:val="nil"/>
              <w:bottom w:val="single" w:sz="4" w:space="0" w:color="365F91"/>
              <w:right w:val="nil"/>
            </w:tcBorders>
            <w:hideMark/>
          </w:tcPr>
          <w:p w14:paraId="04C652BA" w14:textId="77777777" w:rsidR="00FB19C0" w:rsidRPr="00BE78CA" w:rsidRDefault="00FB19C0" w:rsidP="00C26084">
            <w:pPr>
              <w:pStyle w:val="TableText"/>
              <w:spacing w:before="40" w:after="40"/>
              <w:jc w:val="center"/>
              <w:rPr>
                <w:rFonts w:cs="Arial"/>
                <w:szCs w:val="16"/>
              </w:rPr>
            </w:pPr>
            <w:r w:rsidRPr="00BE78CA">
              <w:t>0.08</w:t>
            </w:r>
          </w:p>
        </w:tc>
        <w:tc>
          <w:tcPr>
            <w:tcW w:w="1616" w:type="dxa"/>
            <w:tcBorders>
              <w:top w:val="single" w:sz="4" w:space="0" w:color="365F91"/>
              <w:left w:val="nil"/>
              <w:bottom w:val="single" w:sz="4" w:space="0" w:color="365F91"/>
              <w:right w:val="nil"/>
            </w:tcBorders>
            <w:hideMark/>
          </w:tcPr>
          <w:p w14:paraId="476062E4" w14:textId="77777777" w:rsidR="00FB19C0" w:rsidRPr="00BE78CA" w:rsidRDefault="00FB19C0" w:rsidP="00C26084">
            <w:pPr>
              <w:pStyle w:val="TableText"/>
              <w:spacing w:before="40" w:after="40"/>
              <w:jc w:val="center"/>
              <w:rPr>
                <w:rFonts w:cs="Arial"/>
                <w:szCs w:val="16"/>
              </w:rPr>
            </w:pPr>
            <w:r w:rsidRPr="00BE78CA">
              <w:t>0.17</w:t>
            </w:r>
          </w:p>
        </w:tc>
        <w:tc>
          <w:tcPr>
            <w:tcW w:w="1358" w:type="dxa"/>
            <w:tcBorders>
              <w:top w:val="single" w:sz="4" w:space="0" w:color="365F91"/>
              <w:left w:val="nil"/>
              <w:bottom w:val="single" w:sz="4" w:space="0" w:color="365F91"/>
              <w:right w:val="nil"/>
            </w:tcBorders>
            <w:hideMark/>
          </w:tcPr>
          <w:p w14:paraId="57BEAB51" w14:textId="77777777" w:rsidR="00FB19C0" w:rsidRPr="00BE78CA" w:rsidRDefault="00FB19C0" w:rsidP="00C26084">
            <w:pPr>
              <w:pStyle w:val="TableText"/>
              <w:spacing w:before="40" w:after="40"/>
              <w:jc w:val="center"/>
            </w:pPr>
            <w:r w:rsidRPr="00BE78CA">
              <w:t>1.22</w:t>
            </w:r>
          </w:p>
        </w:tc>
        <w:tc>
          <w:tcPr>
            <w:tcW w:w="1576" w:type="dxa"/>
            <w:tcBorders>
              <w:top w:val="single" w:sz="4" w:space="0" w:color="365F91"/>
              <w:left w:val="nil"/>
              <w:bottom w:val="single" w:sz="4" w:space="0" w:color="365F91"/>
              <w:right w:val="nil"/>
            </w:tcBorders>
            <w:hideMark/>
          </w:tcPr>
          <w:p w14:paraId="48BF17FE" w14:textId="77777777" w:rsidR="00FB19C0" w:rsidRPr="00BE78CA" w:rsidRDefault="00FB19C0" w:rsidP="00C26084">
            <w:pPr>
              <w:pStyle w:val="TableText"/>
              <w:spacing w:before="40" w:after="40"/>
              <w:jc w:val="center"/>
              <w:rPr>
                <w:rFonts w:cs="Arial"/>
                <w:szCs w:val="16"/>
              </w:rPr>
            </w:pPr>
            <w:r w:rsidRPr="00BE78CA">
              <w:t>3.05</w:t>
            </w:r>
          </w:p>
        </w:tc>
      </w:tr>
      <w:tr w:rsidR="00FB19C0" w:rsidRPr="00BE78CA" w14:paraId="7F502A9A" w14:textId="77777777" w:rsidTr="008F032F">
        <w:tc>
          <w:tcPr>
            <w:tcW w:w="925" w:type="dxa"/>
            <w:tcBorders>
              <w:top w:val="single" w:sz="4" w:space="0" w:color="365F91"/>
              <w:left w:val="nil"/>
              <w:bottom w:val="single" w:sz="4" w:space="0" w:color="365F91"/>
              <w:right w:val="nil"/>
            </w:tcBorders>
            <w:hideMark/>
          </w:tcPr>
          <w:p w14:paraId="68CE5E7F" w14:textId="77777777" w:rsidR="00FB19C0" w:rsidRPr="00BE78CA" w:rsidRDefault="00FB19C0" w:rsidP="00C26084">
            <w:pPr>
              <w:pStyle w:val="TableTextBold"/>
              <w:spacing w:before="40" w:after="40"/>
              <w:rPr>
                <w:noProof w:val="0"/>
              </w:rPr>
            </w:pPr>
            <w:r w:rsidRPr="00BE78CA">
              <w:rPr>
                <w:noProof w:val="0"/>
              </w:rPr>
              <w:t>1993</w:t>
            </w:r>
          </w:p>
        </w:tc>
        <w:tc>
          <w:tcPr>
            <w:tcW w:w="1590" w:type="dxa"/>
            <w:tcBorders>
              <w:top w:val="single" w:sz="4" w:space="0" w:color="365F91"/>
              <w:left w:val="nil"/>
              <w:bottom w:val="single" w:sz="4" w:space="0" w:color="365F91"/>
              <w:right w:val="nil"/>
            </w:tcBorders>
            <w:hideMark/>
          </w:tcPr>
          <w:p w14:paraId="500C0D5F" w14:textId="77777777" w:rsidR="00FB19C0" w:rsidRPr="00BE78CA" w:rsidRDefault="00FB19C0" w:rsidP="00C26084">
            <w:pPr>
              <w:pStyle w:val="TableText"/>
              <w:spacing w:before="40" w:after="40"/>
              <w:jc w:val="center"/>
            </w:pPr>
            <w:r w:rsidRPr="00BE78CA">
              <w:t>1.44</w:t>
            </w:r>
          </w:p>
        </w:tc>
        <w:tc>
          <w:tcPr>
            <w:tcW w:w="1548" w:type="dxa"/>
            <w:tcBorders>
              <w:top w:val="single" w:sz="4" w:space="0" w:color="365F91"/>
              <w:left w:val="nil"/>
              <w:bottom w:val="single" w:sz="4" w:space="0" w:color="365F91"/>
              <w:right w:val="nil"/>
            </w:tcBorders>
            <w:hideMark/>
          </w:tcPr>
          <w:p w14:paraId="7969CA2D" w14:textId="77777777" w:rsidR="00FB19C0" w:rsidRPr="00BE78CA" w:rsidRDefault="00FB19C0" w:rsidP="00C26084">
            <w:pPr>
              <w:pStyle w:val="TableText"/>
              <w:spacing w:before="40" w:after="40"/>
              <w:jc w:val="center"/>
            </w:pPr>
            <w:r w:rsidRPr="00BE78CA">
              <w:t>0.09</w:t>
            </w:r>
          </w:p>
        </w:tc>
        <w:tc>
          <w:tcPr>
            <w:tcW w:w="1616" w:type="dxa"/>
            <w:tcBorders>
              <w:top w:val="single" w:sz="4" w:space="0" w:color="365F91"/>
              <w:left w:val="nil"/>
              <w:bottom w:val="single" w:sz="4" w:space="0" w:color="365F91"/>
              <w:right w:val="nil"/>
            </w:tcBorders>
            <w:hideMark/>
          </w:tcPr>
          <w:p w14:paraId="6A7E2A4A" w14:textId="77777777" w:rsidR="00FB19C0" w:rsidRPr="00BE78CA" w:rsidRDefault="00FB19C0" w:rsidP="00C26084">
            <w:pPr>
              <w:pStyle w:val="TableText"/>
              <w:spacing w:before="40" w:after="40"/>
              <w:jc w:val="center"/>
            </w:pPr>
            <w:r w:rsidRPr="00BE78CA">
              <w:t>0.19</w:t>
            </w:r>
          </w:p>
        </w:tc>
        <w:tc>
          <w:tcPr>
            <w:tcW w:w="1358" w:type="dxa"/>
            <w:tcBorders>
              <w:top w:val="single" w:sz="4" w:space="0" w:color="365F91"/>
              <w:left w:val="nil"/>
              <w:bottom w:val="single" w:sz="4" w:space="0" w:color="365F91"/>
              <w:right w:val="nil"/>
            </w:tcBorders>
            <w:hideMark/>
          </w:tcPr>
          <w:p w14:paraId="05294229" w14:textId="77777777" w:rsidR="00FB19C0" w:rsidRPr="00BE78CA" w:rsidRDefault="00FB19C0" w:rsidP="00C26084">
            <w:pPr>
              <w:pStyle w:val="TableText"/>
              <w:spacing w:before="40" w:after="40"/>
              <w:jc w:val="center"/>
            </w:pPr>
            <w:r w:rsidRPr="00BE78CA">
              <w:t>1.22</w:t>
            </w:r>
          </w:p>
        </w:tc>
        <w:tc>
          <w:tcPr>
            <w:tcW w:w="1576" w:type="dxa"/>
            <w:tcBorders>
              <w:top w:val="single" w:sz="4" w:space="0" w:color="365F91"/>
              <w:left w:val="nil"/>
              <w:bottom w:val="single" w:sz="4" w:space="0" w:color="365F91"/>
              <w:right w:val="nil"/>
            </w:tcBorders>
            <w:hideMark/>
          </w:tcPr>
          <w:p w14:paraId="1ADBDA3E" w14:textId="77777777" w:rsidR="00FB19C0" w:rsidRPr="00BE78CA" w:rsidRDefault="00FB19C0" w:rsidP="00C26084">
            <w:pPr>
              <w:pStyle w:val="TableText"/>
              <w:spacing w:before="40" w:after="40"/>
              <w:jc w:val="center"/>
            </w:pPr>
            <w:r w:rsidRPr="00BE78CA">
              <w:t>2.95</w:t>
            </w:r>
          </w:p>
        </w:tc>
      </w:tr>
      <w:tr w:rsidR="00FB19C0" w:rsidRPr="00BE78CA" w14:paraId="7EB800C0" w14:textId="77777777" w:rsidTr="008F032F">
        <w:tc>
          <w:tcPr>
            <w:tcW w:w="925" w:type="dxa"/>
            <w:tcBorders>
              <w:top w:val="single" w:sz="4" w:space="0" w:color="365F91"/>
              <w:left w:val="nil"/>
              <w:bottom w:val="single" w:sz="4" w:space="0" w:color="365F91"/>
              <w:right w:val="nil"/>
            </w:tcBorders>
            <w:hideMark/>
          </w:tcPr>
          <w:p w14:paraId="417F4AFC" w14:textId="77777777" w:rsidR="00FB19C0" w:rsidRPr="00BE78CA" w:rsidRDefault="00FB19C0" w:rsidP="00C26084">
            <w:pPr>
              <w:pStyle w:val="TableTextBold"/>
              <w:spacing w:before="40" w:after="40"/>
              <w:rPr>
                <w:noProof w:val="0"/>
              </w:rPr>
            </w:pPr>
            <w:r w:rsidRPr="00BE78CA">
              <w:rPr>
                <w:noProof w:val="0"/>
              </w:rPr>
              <w:t>1994</w:t>
            </w:r>
          </w:p>
        </w:tc>
        <w:tc>
          <w:tcPr>
            <w:tcW w:w="1590" w:type="dxa"/>
            <w:tcBorders>
              <w:top w:val="single" w:sz="4" w:space="0" w:color="365F91"/>
              <w:left w:val="nil"/>
              <w:bottom w:val="single" w:sz="4" w:space="0" w:color="365F91"/>
              <w:right w:val="nil"/>
            </w:tcBorders>
            <w:hideMark/>
          </w:tcPr>
          <w:p w14:paraId="4B6C74E5" w14:textId="77777777" w:rsidR="00FB19C0" w:rsidRPr="00BE78CA" w:rsidRDefault="00FB19C0" w:rsidP="00C26084">
            <w:pPr>
              <w:pStyle w:val="TableText"/>
              <w:spacing w:before="40" w:after="40"/>
              <w:jc w:val="center"/>
            </w:pPr>
            <w:r w:rsidRPr="00BE78CA">
              <w:t>1.50</w:t>
            </w:r>
          </w:p>
        </w:tc>
        <w:tc>
          <w:tcPr>
            <w:tcW w:w="1548" w:type="dxa"/>
            <w:tcBorders>
              <w:top w:val="single" w:sz="4" w:space="0" w:color="365F91"/>
              <w:left w:val="nil"/>
              <w:bottom w:val="single" w:sz="4" w:space="0" w:color="365F91"/>
              <w:right w:val="nil"/>
            </w:tcBorders>
            <w:hideMark/>
          </w:tcPr>
          <w:p w14:paraId="1ACD5CBF" w14:textId="77777777" w:rsidR="00FB19C0" w:rsidRPr="00BE78CA" w:rsidRDefault="00FB19C0" w:rsidP="00C26084">
            <w:pPr>
              <w:pStyle w:val="TableText"/>
              <w:spacing w:before="40" w:after="40"/>
              <w:jc w:val="center"/>
            </w:pPr>
            <w:r w:rsidRPr="00BE78CA">
              <w:t>0.10</w:t>
            </w:r>
          </w:p>
        </w:tc>
        <w:tc>
          <w:tcPr>
            <w:tcW w:w="1616" w:type="dxa"/>
            <w:tcBorders>
              <w:top w:val="single" w:sz="4" w:space="0" w:color="365F91"/>
              <w:left w:val="nil"/>
              <w:bottom w:val="single" w:sz="4" w:space="0" w:color="365F91"/>
              <w:right w:val="nil"/>
            </w:tcBorders>
            <w:hideMark/>
          </w:tcPr>
          <w:p w14:paraId="536BBFE9" w14:textId="77777777" w:rsidR="00FB19C0" w:rsidRPr="00BE78CA" w:rsidRDefault="00FB19C0" w:rsidP="00C26084">
            <w:pPr>
              <w:pStyle w:val="TableText"/>
              <w:spacing w:before="40" w:after="40"/>
              <w:jc w:val="center"/>
            </w:pPr>
            <w:r w:rsidRPr="00BE78CA">
              <w:t>0.19</w:t>
            </w:r>
          </w:p>
        </w:tc>
        <w:tc>
          <w:tcPr>
            <w:tcW w:w="1358" w:type="dxa"/>
            <w:tcBorders>
              <w:top w:val="single" w:sz="4" w:space="0" w:color="365F91"/>
              <w:left w:val="nil"/>
              <w:bottom w:val="single" w:sz="4" w:space="0" w:color="365F91"/>
              <w:right w:val="nil"/>
            </w:tcBorders>
            <w:hideMark/>
          </w:tcPr>
          <w:p w14:paraId="67AE3425" w14:textId="77777777" w:rsidR="00FB19C0" w:rsidRPr="00BE78CA" w:rsidRDefault="00FB19C0" w:rsidP="00C26084">
            <w:pPr>
              <w:pStyle w:val="TableText"/>
              <w:spacing w:before="40" w:after="40"/>
              <w:jc w:val="center"/>
            </w:pPr>
            <w:r w:rsidRPr="00BE78CA">
              <w:t>1.22</w:t>
            </w:r>
          </w:p>
        </w:tc>
        <w:tc>
          <w:tcPr>
            <w:tcW w:w="1576" w:type="dxa"/>
            <w:tcBorders>
              <w:top w:val="single" w:sz="4" w:space="0" w:color="365F91"/>
              <w:left w:val="nil"/>
              <w:bottom w:val="single" w:sz="4" w:space="0" w:color="365F91"/>
              <w:right w:val="nil"/>
            </w:tcBorders>
            <w:hideMark/>
          </w:tcPr>
          <w:p w14:paraId="21135BDD" w14:textId="77777777" w:rsidR="00FB19C0" w:rsidRPr="00BE78CA" w:rsidRDefault="00FB19C0" w:rsidP="00C26084">
            <w:pPr>
              <w:pStyle w:val="TableText"/>
              <w:spacing w:before="40" w:after="40"/>
              <w:jc w:val="center"/>
            </w:pPr>
            <w:r w:rsidRPr="00BE78CA">
              <w:t>3.02</w:t>
            </w:r>
          </w:p>
        </w:tc>
      </w:tr>
      <w:tr w:rsidR="00FB19C0" w:rsidRPr="00BE78CA" w14:paraId="1C0E52D8" w14:textId="77777777" w:rsidTr="008F032F">
        <w:tc>
          <w:tcPr>
            <w:tcW w:w="925" w:type="dxa"/>
            <w:tcBorders>
              <w:top w:val="single" w:sz="4" w:space="0" w:color="365F91"/>
              <w:left w:val="nil"/>
              <w:bottom w:val="single" w:sz="4" w:space="0" w:color="365F91"/>
              <w:right w:val="nil"/>
            </w:tcBorders>
            <w:hideMark/>
          </w:tcPr>
          <w:p w14:paraId="7401D349" w14:textId="77777777" w:rsidR="00FB19C0" w:rsidRPr="00BE78CA" w:rsidRDefault="00FB19C0" w:rsidP="00C26084">
            <w:pPr>
              <w:pStyle w:val="TableTextBold"/>
              <w:spacing w:before="40" w:after="40"/>
              <w:rPr>
                <w:noProof w:val="0"/>
              </w:rPr>
            </w:pPr>
            <w:r w:rsidRPr="00BE78CA">
              <w:rPr>
                <w:noProof w:val="0"/>
              </w:rPr>
              <w:t>1995</w:t>
            </w:r>
          </w:p>
        </w:tc>
        <w:tc>
          <w:tcPr>
            <w:tcW w:w="1590" w:type="dxa"/>
            <w:tcBorders>
              <w:top w:val="single" w:sz="4" w:space="0" w:color="365F91"/>
              <w:left w:val="nil"/>
              <w:bottom w:val="single" w:sz="4" w:space="0" w:color="365F91"/>
              <w:right w:val="nil"/>
            </w:tcBorders>
            <w:hideMark/>
          </w:tcPr>
          <w:p w14:paraId="05139C5F" w14:textId="77777777" w:rsidR="00FB19C0" w:rsidRPr="00BE78CA" w:rsidRDefault="00FB19C0" w:rsidP="00C26084">
            <w:pPr>
              <w:pStyle w:val="TableText"/>
              <w:spacing w:before="40" w:after="40"/>
              <w:jc w:val="center"/>
            </w:pPr>
            <w:r w:rsidRPr="00BE78CA">
              <w:t>1.56</w:t>
            </w:r>
          </w:p>
        </w:tc>
        <w:tc>
          <w:tcPr>
            <w:tcW w:w="1548" w:type="dxa"/>
            <w:tcBorders>
              <w:top w:val="single" w:sz="4" w:space="0" w:color="365F91"/>
              <w:left w:val="nil"/>
              <w:bottom w:val="single" w:sz="4" w:space="0" w:color="365F91"/>
              <w:right w:val="nil"/>
            </w:tcBorders>
            <w:hideMark/>
          </w:tcPr>
          <w:p w14:paraId="5C629DEF" w14:textId="77777777" w:rsidR="00FB19C0" w:rsidRPr="00BE78CA" w:rsidRDefault="00FB19C0" w:rsidP="00C26084">
            <w:pPr>
              <w:pStyle w:val="TableText"/>
              <w:spacing w:before="40" w:after="40"/>
              <w:jc w:val="center"/>
            </w:pPr>
            <w:r w:rsidRPr="00BE78CA">
              <w:t>0.11</w:t>
            </w:r>
          </w:p>
        </w:tc>
        <w:tc>
          <w:tcPr>
            <w:tcW w:w="1616" w:type="dxa"/>
            <w:tcBorders>
              <w:top w:val="single" w:sz="4" w:space="0" w:color="365F91"/>
              <w:left w:val="nil"/>
              <w:bottom w:val="single" w:sz="4" w:space="0" w:color="365F91"/>
              <w:right w:val="nil"/>
            </w:tcBorders>
            <w:hideMark/>
          </w:tcPr>
          <w:p w14:paraId="4E51C738" w14:textId="77777777" w:rsidR="00FB19C0" w:rsidRPr="00BE78CA" w:rsidRDefault="00FB19C0" w:rsidP="00C26084">
            <w:pPr>
              <w:pStyle w:val="TableText"/>
              <w:spacing w:before="40" w:after="40"/>
              <w:jc w:val="center"/>
            </w:pPr>
            <w:r w:rsidRPr="00BE78CA">
              <w:t>0.21</w:t>
            </w:r>
          </w:p>
        </w:tc>
        <w:tc>
          <w:tcPr>
            <w:tcW w:w="1358" w:type="dxa"/>
            <w:tcBorders>
              <w:top w:val="single" w:sz="4" w:space="0" w:color="365F91"/>
              <w:left w:val="nil"/>
              <w:bottom w:val="single" w:sz="4" w:space="0" w:color="365F91"/>
              <w:right w:val="nil"/>
            </w:tcBorders>
            <w:hideMark/>
          </w:tcPr>
          <w:p w14:paraId="325490AD" w14:textId="77777777" w:rsidR="00FB19C0" w:rsidRPr="00BE78CA" w:rsidRDefault="00FB19C0" w:rsidP="00C26084">
            <w:pPr>
              <w:pStyle w:val="TableText"/>
              <w:spacing w:before="40" w:after="40"/>
              <w:jc w:val="center"/>
            </w:pPr>
            <w:r w:rsidRPr="00BE78CA">
              <w:t>1.22</w:t>
            </w:r>
          </w:p>
        </w:tc>
        <w:tc>
          <w:tcPr>
            <w:tcW w:w="1576" w:type="dxa"/>
            <w:tcBorders>
              <w:top w:val="single" w:sz="4" w:space="0" w:color="365F91"/>
              <w:left w:val="nil"/>
              <w:bottom w:val="single" w:sz="4" w:space="0" w:color="365F91"/>
              <w:right w:val="nil"/>
            </w:tcBorders>
            <w:hideMark/>
          </w:tcPr>
          <w:p w14:paraId="713F14D0" w14:textId="77777777" w:rsidR="00FB19C0" w:rsidRPr="00BE78CA" w:rsidRDefault="00FB19C0" w:rsidP="00C26084">
            <w:pPr>
              <w:pStyle w:val="TableText"/>
              <w:spacing w:before="40" w:after="40"/>
              <w:jc w:val="center"/>
            </w:pPr>
            <w:r w:rsidRPr="00BE78CA">
              <w:t>3.10</w:t>
            </w:r>
          </w:p>
        </w:tc>
      </w:tr>
      <w:tr w:rsidR="00FB19C0" w:rsidRPr="00BE78CA" w14:paraId="20A1926B" w14:textId="77777777" w:rsidTr="008F032F">
        <w:tc>
          <w:tcPr>
            <w:tcW w:w="925" w:type="dxa"/>
            <w:tcBorders>
              <w:top w:val="single" w:sz="4" w:space="0" w:color="365F91"/>
              <w:left w:val="nil"/>
              <w:bottom w:val="single" w:sz="4" w:space="0" w:color="365F91"/>
              <w:right w:val="nil"/>
            </w:tcBorders>
            <w:hideMark/>
          </w:tcPr>
          <w:p w14:paraId="6C8CF5DE" w14:textId="77777777" w:rsidR="00FB19C0" w:rsidRPr="00BE78CA" w:rsidRDefault="00FB19C0" w:rsidP="00C26084">
            <w:pPr>
              <w:pStyle w:val="TableTextBold"/>
              <w:spacing w:before="40" w:after="40"/>
              <w:rPr>
                <w:noProof w:val="0"/>
              </w:rPr>
            </w:pPr>
            <w:r w:rsidRPr="00BE78CA">
              <w:rPr>
                <w:noProof w:val="0"/>
              </w:rPr>
              <w:t>1996</w:t>
            </w:r>
          </w:p>
        </w:tc>
        <w:tc>
          <w:tcPr>
            <w:tcW w:w="1590" w:type="dxa"/>
            <w:tcBorders>
              <w:top w:val="single" w:sz="4" w:space="0" w:color="365F91"/>
              <w:left w:val="nil"/>
              <w:bottom w:val="single" w:sz="4" w:space="0" w:color="365F91"/>
              <w:right w:val="nil"/>
            </w:tcBorders>
            <w:hideMark/>
          </w:tcPr>
          <w:p w14:paraId="76C137D6" w14:textId="77777777" w:rsidR="00FB19C0" w:rsidRPr="00BE78CA" w:rsidRDefault="00FB19C0" w:rsidP="00C26084">
            <w:pPr>
              <w:pStyle w:val="TableText"/>
              <w:spacing w:before="40" w:after="40"/>
              <w:jc w:val="center"/>
            </w:pPr>
            <w:r w:rsidRPr="00BE78CA">
              <w:t>1.59</w:t>
            </w:r>
          </w:p>
        </w:tc>
        <w:tc>
          <w:tcPr>
            <w:tcW w:w="1548" w:type="dxa"/>
            <w:tcBorders>
              <w:top w:val="single" w:sz="4" w:space="0" w:color="365F91"/>
              <w:left w:val="nil"/>
              <w:bottom w:val="single" w:sz="4" w:space="0" w:color="365F91"/>
              <w:right w:val="nil"/>
            </w:tcBorders>
            <w:hideMark/>
          </w:tcPr>
          <w:p w14:paraId="6D88060C" w14:textId="77777777" w:rsidR="00FB19C0" w:rsidRPr="00BE78CA" w:rsidRDefault="00FB19C0" w:rsidP="00C26084">
            <w:pPr>
              <w:pStyle w:val="TableText"/>
              <w:spacing w:before="40" w:after="40"/>
              <w:jc w:val="center"/>
            </w:pPr>
            <w:r w:rsidRPr="00BE78CA">
              <w:t>0.11</w:t>
            </w:r>
          </w:p>
        </w:tc>
        <w:tc>
          <w:tcPr>
            <w:tcW w:w="1616" w:type="dxa"/>
            <w:tcBorders>
              <w:top w:val="single" w:sz="4" w:space="0" w:color="365F91"/>
              <w:left w:val="nil"/>
              <w:bottom w:val="single" w:sz="4" w:space="0" w:color="365F91"/>
              <w:right w:val="nil"/>
            </w:tcBorders>
            <w:hideMark/>
          </w:tcPr>
          <w:p w14:paraId="165CFD90" w14:textId="77777777" w:rsidR="00FB19C0" w:rsidRPr="00BE78CA" w:rsidRDefault="00FB19C0" w:rsidP="00C26084">
            <w:pPr>
              <w:pStyle w:val="TableText"/>
              <w:spacing w:before="40" w:after="40"/>
              <w:jc w:val="center"/>
            </w:pPr>
            <w:r w:rsidRPr="00BE78CA">
              <w:t>0.23</w:t>
            </w:r>
          </w:p>
        </w:tc>
        <w:tc>
          <w:tcPr>
            <w:tcW w:w="1358" w:type="dxa"/>
            <w:tcBorders>
              <w:top w:val="single" w:sz="4" w:space="0" w:color="365F91"/>
              <w:left w:val="nil"/>
              <w:bottom w:val="single" w:sz="4" w:space="0" w:color="365F91"/>
              <w:right w:val="nil"/>
            </w:tcBorders>
            <w:hideMark/>
          </w:tcPr>
          <w:p w14:paraId="087832E4" w14:textId="77777777" w:rsidR="00FB19C0" w:rsidRPr="00BE78CA" w:rsidRDefault="00FB19C0" w:rsidP="00C26084">
            <w:pPr>
              <w:pStyle w:val="TableText"/>
              <w:spacing w:before="40" w:after="40"/>
              <w:jc w:val="center"/>
            </w:pPr>
            <w:r w:rsidRPr="00BE78CA">
              <w:t>1.22</w:t>
            </w:r>
          </w:p>
        </w:tc>
        <w:tc>
          <w:tcPr>
            <w:tcW w:w="1576" w:type="dxa"/>
            <w:tcBorders>
              <w:top w:val="single" w:sz="4" w:space="0" w:color="365F91"/>
              <w:left w:val="nil"/>
              <w:bottom w:val="single" w:sz="4" w:space="0" w:color="365F91"/>
              <w:right w:val="nil"/>
            </w:tcBorders>
            <w:hideMark/>
          </w:tcPr>
          <w:p w14:paraId="06450370" w14:textId="77777777" w:rsidR="00FB19C0" w:rsidRPr="00BE78CA" w:rsidRDefault="00FB19C0" w:rsidP="00C26084">
            <w:pPr>
              <w:pStyle w:val="TableText"/>
              <w:spacing w:before="40" w:after="40"/>
              <w:jc w:val="center"/>
            </w:pPr>
            <w:r w:rsidRPr="00BE78CA">
              <w:t>3.15</w:t>
            </w:r>
          </w:p>
        </w:tc>
      </w:tr>
      <w:tr w:rsidR="00FB19C0" w:rsidRPr="00BE78CA" w14:paraId="4AA22BDC" w14:textId="77777777" w:rsidTr="008F032F">
        <w:tc>
          <w:tcPr>
            <w:tcW w:w="925" w:type="dxa"/>
            <w:tcBorders>
              <w:top w:val="single" w:sz="4" w:space="0" w:color="365F91"/>
              <w:left w:val="nil"/>
              <w:bottom w:val="single" w:sz="4" w:space="0" w:color="365F91"/>
              <w:right w:val="nil"/>
            </w:tcBorders>
            <w:hideMark/>
          </w:tcPr>
          <w:p w14:paraId="717AC538" w14:textId="77777777" w:rsidR="00FB19C0" w:rsidRPr="00BE78CA" w:rsidRDefault="00FB19C0" w:rsidP="00C26084">
            <w:pPr>
              <w:pStyle w:val="TableTextBold"/>
              <w:spacing w:before="40" w:after="40"/>
              <w:rPr>
                <w:noProof w:val="0"/>
              </w:rPr>
            </w:pPr>
            <w:r w:rsidRPr="00BE78CA">
              <w:rPr>
                <w:noProof w:val="0"/>
              </w:rPr>
              <w:t>1997</w:t>
            </w:r>
          </w:p>
        </w:tc>
        <w:tc>
          <w:tcPr>
            <w:tcW w:w="1590" w:type="dxa"/>
            <w:tcBorders>
              <w:top w:val="single" w:sz="4" w:space="0" w:color="365F91"/>
              <w:left w:val="nil"/>
              <w:bottom w:val="single" w:sz="4" w:space="0" w:color="365F91"/>
              <w:right w:val="nil"/>
            </w:tcBorders>
            <w:hideMark/>
          </w:tcPr>
          <w:p w14:paraId="0DECF7F2" w14:textId="77777777" w:rsidR="00FB19C0" w:rsidRPr="00BE78CA" w:rsidRDefault="00FB19C0" w:rsidP="00C26084">
            <w:pPr>
              <w:pStyle w:val="TableText"/>
              <w:spacing w:before="40" w:after="40"/>
              <w:jc w:val="center"/>
            </w:pPr>
            <w:r w:rsidRPr="00BE78CA">
              <w:t>1.61</w:t>
            </w:r>
          </w:p>
        </w:tc>
        <w:tc>
          <w:tcPr>
            <w:tcW w:w="1548" w:type="dxa"/>
            <w:tcBorders>
              <w:top w:val="single" w:sz="4" w:space="0" w:color="365F91"/>
              <w:left w:val="nil"/>
              <w:bottom w:val="single" w:sz="4" w:space="0" w:color="365F91"/>
              <w:right w:val="nil"/>
            </w:tcBorders>
            <w:hideMark/>
          </w:tcPr>
          <w:p w14:paraId="56F0C977" w14:textId="77777777" w:rsidR="00FB19C0" w:rsidRPr="00BE78CA" w:rsidRDefault="00FB19C0" w:rsidP="00C26084">
            <w:pPr>
              <w:pStyle w:val="TableText"/>
              <w:spacing w:before="40" w:after="40"/>
              <w:jc w:val="center"/>
            </w:pPr>
            <w:r w:rsidRPr="00BE78CA">
              <w:t>0.11</w:t>
            </w:r>
          </w:p>
        </w:tc>
        <w:tc>
          <w:tcPr>
            <w:tcW w:w="1616" w:type="dxa"/>
            <w:tcBorders>
              <w:top w:val="single" w:sz="4" w:space="0" w:color="365F91"/>
              <w:left w:val="nil"/>
              <w:bottom w:val="single" w:sz="4" w:space="0" w:color="365F91"/>
              <w:right w:val="nil"/>
            </w:tcBorders>
            <w:hideMark/>
          </w:tcPr>
          <w:p w14:paraId="6E6DD02A" w14:textId="77777777" w:rsidR="00FB19C0" w:rsidRPr="00BE78CA" w:rsidRDefault="00FB19C0" w:rsidP="00C26084">
            <w:pPr>
              <w:pStyle w:val="TableText"/>
              <w:spacing w:before="40" w:after="40"/>
              <w:jc w:val="center"/>
            </w:pPr>
            <w:r w:rsidRPr="00BE78CA">
              <w:t>0.24</w:t>
            </w:r>
          </w:p>
        </w:tc>
        <w:tc>
          <w:tcPr>
            <w:tcW w:w="1358" w:type="dxa"/>
            <w:tcBorders>
              <w:top w:val="single" w:sz="4" w:space="0" w:color="365F91"/>
              <w:left w:val="nil"/>
              <w:bottom w:val="single" w:sz="4" w:space="0" w:color="365F91"/>
              <w:right w:val="nil"/>
            </w:tcBorders>
            <w:hideMark/>
          </w:tcPr>
          <w:p w14:paraId="05D7D7B8" w14:textId="77777777" w:rsidR="00FB19C0" w:rsidRPr="00BE78CA" w:rsidRDefault="00FB19C0" w:rsidP="00C26084">
            <w:pPr>
              <w:pStyle w:val="TableText"/>
              <w:spacing w:before="40" w:after="40"/>
              <w:jc w:val="center"/>
            </w:pPr>
            <w:r w:rsidRPr="00BE78CA">
              <w:t>1.22</w:t>
            </w:r>
          </w:p>
        </w:tc>
        <w:tc>
          <w:tcPr>
            <w:tcW w:w="1576" w:type="dxa"/>
            <w:tcBorders>
              <w:top w:val="single" w:sz="4" w:space="0" w:color="365F91"/>
              <w:left w:val="nil"/>
              <w:bottom w:val="single" w:sz="4" w:space="0" w:color="365F91"/>
              <w:right w:val="nil"/>
            </w:tcBorders>
            <w:hideMark/>
          </w:tcPr>
          <w:p w14:paraId="447B5615" w14:textId="77777777" w:rsidR="00FB19C0" w:rsidRPr="00BE78CA" w:rsidRDefault="00FB19C0" w:rsidP="00C26084">
            <w:pPr>
              <w:pStyle w:val="TableText"/>
              <w:spacing w:before="40" w:after="40"/>
              <w:jc w:val="center"/>
            </w:pPr>
            <w:r w:rsidRPr="00BE78CA">
              <w:t>3.18</w:t>
            </w:r>
          </w:p>
        </w:tc>
      </w:tr>
      <w:tr w:rsidR="00FB19C0" w:rsidRPr="00BE78CA" w14:paraId="16D66332" w14:textId="77777777" w:rsidTr="008F032F">
        <w:tc>
          <w:tcPr>
            <w:tcW w:w="925" w:type="dxa"/>
            <w:tcBorders>
              <w:top w:val="single" w:sz="4" w:space="0" w:color="365F91"/>
              <w:left w:val="nil"/>
              <w:bottom w:val="single" w:sz="4" w:space="0" w:color="365F91"/>
              <w:right w:val="nil"/>
            </w:tcBorders>
            <w:hideMark/>
          </w:tcPr>
          <w:p w14:paraId="4A7974A8" w14:textId="77777777" w:rsidR="00FB19C0" w:rsidRPr="00BE78CA" w:rsidRDefault="00FB19C0" w:rsidP="00C26084">
            <w:pPr>
              <w:pStyle w:val="TableTextBold"/>
              <w:spacing w:before="40" w:after="40"/>
              <w:rPr>
                <w:noProof w:val="0"/>
              </w:rPr>
            </w:pPr>
            <w:r w:rsidRPr="00BE78CA">
              <w:rPr>
                <w:noProof w:val="0"/>
              </w:rPr>
              <w:t>1998</w:t>
            </w:r>
          </w:p>
        </w:tc>
        <w:tc>
          <w:tcPr>
            <w:tcW w:w="1590" w:type="dxa"/>
            <w:tcBorders>
              <w:top w:val="single" w:sz="4" w:space="0" w:color="365F91"/>
              <w:left w:val="nil"/>
              <w:bottom w:val="single" w:sz="4" w:space="0" w:color="365F91"/>
              <w:right w:val="nil"/>
            </w:tcBorders>
            <w:hideMark/>
          </w:tcPr>
          <w:p w14:paraId="307D33CA" w14:textId="77777777" w:rsidR="00FB19C0" w:rsidRPr="00BE78CA" w:rsidRDefault="00FB19C0" w:rsidP="00C26084">
            <w:pPr>
              <w:pStyle w:val="TableText"/>
              <w:spacing w:before="40" w:after="40"/>
              <w:jc w:val="center"/>
            </w:pPr>
            <w:r w:rsidRPr="00BE78CA">
              <w:t>1.65</w:t>
            </w:r>
          </w:p>
        </w:tc>
        <w:tc>
          <w:tcPr>
            <w:tcW w:w="1548" w:type="dxa"/>
            <w:tcBorders>
              <w:top w:val="single" w:sz="4" w:space="0" w:color="365F91"/>
              <w:left w:val="nil"/>
              <w:bottom w:val="single" w:sz="4" w:space="0" w:color="365F91"/>
              <w:right w:val="nil"/>
            </w:tcBorders>
            <w:hideMark/>
          </w:tcPr>
          <w:p w14:paraId="4E388F4B" w14:textId="77777777" w:rsidR="00FB19C0" w:rsidRPr="00BE78CA" w:rsidRDefault="00FB19C0" w:rsidP="00C26084">
            <w:pPr>
              <w:pStyle w:val="TableText"/>
              <w:spacing w:before="40" w:after="40"/>
              <w:jc w:val="center"/>
            </w:pPr>
            <w:r w:rsidRPr="00BE78CA">
              <w:t>0.12</w:t>
            </w:r>
          </w:p>
        </w:tc>
        <w:tc>
          <w:tcPr>
            <w:tcW w:w="1616" w:type="dxa"/>
            <w:tcBorders>
              <w:top w:val="single" w:sz="4" w:space="0" w:color="365F91"/>
              <w:left w:val="nil"/>
              <w:bottom w:val="single" w:sz="4" w:space="0" w:color="365F91"/>
              <w:right w:val="nil"/>
            </w:tcBorders>
            <w:hideMark/>
          </w:tcPr>
          <w:p w14:paraId="6ADE11F3" w14:textId="77777777" w:rsidR="00FB19C0" w:rsidRPr="00BE78CA" w:rsidRDefault="00FB19C0" w:rsidP="00C26084">
            <w:pPr>
              <w:pStyle w:val="TableText"/>
              <w:spacing w:before="40" w:after="40"/>
              <w:jc w:val="center"/>
            </w:pPr>
            <w:r w:rsidRPr="00BE78CA">
              <w:t>0.24</w:t>
            </w:r>
          </w:p>
        </w:tc>
        <w:tc>
          <w:tcPr>
            <w:tcW w:w="1358" w:type="dxa"/>
            <w:tcBorders>
              <w:top w:val="single" w:sz="4" w:space="0" w:color="365F91"/>
              <w:left w:val="nil"/>
              <w:bottom w:val="single" w:sz="4" w:space="0" w:color="365F91"/>
              <w:right w:val="nil"/>
            </w:tcBorders>
            <w:hideMark/>
          </w:tcPr>
          <w:p w14:paraId="64639215" w14:textId="77777777" w:rsidR="00FB19C0" w:rsidRPr="00BE78CA" w:rsidRDefault="00FB19C0" w:rsidP="00C26084">
            <w:pPr>
              <w:pStyle w:val="TableText"/>
              <w:spacing w:before="40" w:after="40"/>
              <w:jc w:val="center"/>
            </w:pPr>
            <w:r w:rsidRPr="00BE78CA">
              <w:t>1.22</w:t>
            </w:r>
          </w:p>
        </w:tc>
        <w:tc>
          <w:tcPr>
            <w:tcW w:w="1576" w:type="dxa"/>
            <w:tcBorders>
              <w:top w:val="single" w:sz="4" w:space="0" w:color="365F91"/>
              <w:left w:val="nil"/>
              <w:bottom w:val="single" w:sz="4" w:space="0" w:color="365F91"/>
              <w:right w:val="nil"/>
            </w:tcBorders>
            <w:hideMark/>
          </w:tcPr>
          <w:p w14:paraId="5AE824BE" w14:textId="77777777" w:rsidR="00FB19C0" w:rsidRPr="00BE78CA" w:rsidRDefault="00FB19C0" w:rsidP="00C26084">
            <w:pPr>
              <w:pStyle w:val="TableText"/>
              <w:spacing w:before="40" w:after="40"/>
              <w:jc w:val="center"/>
            </w:pPr>
            <w:r w:rsidRPr="00BE78CA">
              <w:t>3.23</w:t>
            </w:r>
          </w:p>
        </w:tc>
      </w:tr>
      <w:tr w:rsidR="00FB19C0" w:rsidRPr="00BE78CA" w14:paraId="1735B3BD" w14:textId="77777777" w:rsidTr="008F032F">
        <w:tc>
          <w:tcPr>
            <w:tcW w:w="925" w:type="dxa"/>
            <w:tcBorders>
              <w:top w:val="single" w:sz="4" w:space="0" w:color="365F91"/>
              <w:left w:val="nil"/>
              <w:bottom w:val="single" w:sz="4" w:space="0" w:color="365F91"/>
              <w:right w:val="nil"/>
            </w:tcBorders>
            <w:hideMark/>
          </w:tcPr>
          <w:p w14:paraId="39A8244B" w14:textId="77777777" w:rsidR="00FB19C0" w:rsidRPr="00BE78CA" w:rsidRDefault="00FB19C0" w:rsidP="00C26084">
            <w:pPr>
              <w:pStyle w:val="TableTextBold"/>
              <w:spacing w:before="40" w:after="40"/>
              <w:rPr>
                <w:noProof w:val="0"/>
              </w:rPr>
            </w:pPr>
            <w:r w:rsidRPr="00BE78CA">
              <w:rPr>
                <w:noProof w:val="0"/>
              </w:rPr>
              <w:t>1999</w:t>
            </w:r>
          </w:p>
        </w:tc>
        <w:tc>
          <w:tcPr>
            <w:tcW w:w="1590" w:type="dxa"/>
            <w:tcBorders>
              <w:top w:val="single" w:sz="4" w:space="0" w:color="365F91"/>
              <w:left w:val="nil"/>
              <w:bottom w:val="single" w:sz="4" w:space="0" w:color="365F91"/>
              <w:right w:val="nil"/>
            </w:tcBorders>
            <w:hideMark/>
          </w:tcPr>
          <w:p w14:paraId="028534C1" w14:textId="77777777" w:rsidR="00FB19C0" w:rsidRPr="00BE78CA" w:rsidRDefault="00FB19C0" w:rsidP="00C26084">
            <w:pPr>
              <w:pStyle w:val="TableText"/>
              <w:spacing w:before="40" w:after="40"/>
              <w:jc w:val="center"/>
            </w:pPr>
            <w:r w:rsidRPr="00BE78CA">
              <w:t>1.46</w:t>
            </w:r>
          </w:p>
        </w:tc>
        <w:tc>
          <w:tcPr>
            <w:tcW w:w="1548" w:type="dxa"/>
            <w:tcBorders>
              <w:top w:val="single" w:sz="4" w:space="0" w:color="365F91"/>
              <w:left w:val="nil"/>
              <w:bottom w:val="single" w:sz="4" w:space="0" w:color="365F91"/>
              <w:right w:val="nil"/>
            </w:tcBorders>
            <w:hideMark/>
          </w:tcPr>
          <w:p w14:paraId="4B458BFB" w14:textId="77777777" w:rsidR="00FB19C0" w:rsidRPr="00BE78CA" w:rsidRDefault="00FB19C0" w:rsidP="00C26084">
            <w:pPr>
              <w:pStyle w:val="TableText"/>
              <w:spacing w:before="40" w:after="40"/>
              <w:jc w:val="center"/>
            </w:pPr>
            <w:r w:rsidRPr="00BE78CA">
              <w:t>0.13</w:t>
            </w:r>
          </w:p>
        </w:tc>
        <w:tc>
          <w:tcPr>
            <w:tcW w:w="1616" w:type="dxa"/>
            <w:tcBorders>
              <w:top w:val="single" w:sz="4" w:space="0" w:color="365F91"/>
              <w:left w:val="nil"/>
              <w:bottom w:val="single" w:sz="4" w:space="0" w:color="365F91"/>
              <w:right w:val="nil"/>
            </w:tcBorders>
            <w:hideMark/>
          </w:tcPr>
          <w:p w14:paraId="4617FB0C" w14:textId="77777777" w:rsidR="00FB19C0" w:rsidRPr="00BE78CA" w:rsidRDefault="00FB19C0" w:rsidP="00C26084">
            <w:pPr>
              <w:pStyle w:val="TableText"/>
              <w:spacing w:before="40" w:after="40"/>
              <w:jc w:val="center"/>
            </w:pPr>
            <w:r w:rsidRPr="00BE78CA">
              <w:t>0.26</w:t>
            </w:r>
          </w:p>
        </w:tc>
        <w:tc>
          <w:tcPr>
            <w:tcW w:w="1358" w:type="dxa"/>
            <w:tcBorders>
              <w:top w:val="single" w:sz="4" w:space="0" w:color="365F91"/>
              <w:left w:val="nil"/>
              <w:bottom w:val="single" w:sz="4" w:space="0" w:color="365F91"/>
              <w:right w:val="nil"/>
            </w:tcBorders>
            <w:hideMark/>
          </w:tcPr>
          <w:p w14:paraId="2106C431" w14:textId="77777777" w:rsidR="00FB19C0" w:rsidRPr="00BE78CA" w:rsidRDefault="00FB19C0" w:rsidP="00C26084">
            <w:pPr>
              <w:pStyle w:val="TableText"/>
              <w:spacing w:before="40" w:after="40"/>
              <w:jc w:val="center"/>
            </w:pPr>
            <w:r w:rsidRPr="00BE78CA">
              <w:t>1.22</w:t>
            </w:r>
          </w:p>
        </w:tc>
        <w:tc>
          <w:tcPr>
            <w:tcW w:w="1576" w:type="dxa"/>
            <w:tcBorders>
              <w:top w:val="single" w:sz="4" w:space="0" w:color="365F91"/>
              <w:left w:val="nil"/>
              <w:bottom w:val="single" w:sz="4" w:space="0" w:color="365F91"/>
              <w:right w:val="nil"/>
            </w:tcBorders>
            <w:hideMark/>
          </w:tcPr>
          <w:p w14:paraId="1BA1548F" w14:textId="77777777" w:rsidR="00FB19C0" w:rsidRPr="00BE78CA" w:rsidRDefault="00FB19C0" w:rsidP="00C26084">
            <w:pPr>
              <w:pStyle w:val="TableText"/>
              <w:spacing w:before="40" w:after="40"/>
              <w:jc w:val="center"/>
            </w:pPr>
            <w:r w:rsidRPr="00BE78CA">
              <w:t>3.07</w:t>
            </w:r>
          </w:p>
        </w:tc>
      </w:tr>
      <w:tr w:rsidR="00FB19C0" w:rsidRPr="00BE78CA" w14:paraId="701994E8" w14:textId="77777777" w:rsidTr="008F032F">
        <w:tc>
          <w:tcPr>
            <w:tcW w:w="925" w:type="dxa"/>
            <w:tcBorders>
              <w:top w:val="single" w:sz="4" w:space="0" w:color="365F91"/>
              <w:left w:val="nil"/>
              <w:bottom w:val="single" w:sz="4" w:space="0" w:color="365F91"/>
              <w:right w:val="nil"/>
            </w:tcBorders>
            <w:hideMark/>
          </w:tcPr>
          <w:p w14:paraId="023D1F93" w14:textId="77777777" w:rsidR="00FB19C0" w:rsidRPr="00BE78CA" w:rsidRDefault="00FB19C0" w:rsidP="00C26084">
            <w:pPr>
              <w:pStyle w:val="TableTextBold"/>
              <w:spacing w:before="40" w:after="40"/>
              <w:rPr>
                <w:noProof w:val="0"/>
              </w:rPr>
            </w:pPr>
            <w:r w:rsidRPr="00BE78CA">
              <w:rPr>
                <w:noProof w:val="0"/>
              </w:rPr>
              <w:t>2000</w:t>
            </w:r>
          </w:p>
        </w:tc>
        <w:tc>
          <w:tcPr>
            <w:tcW w:w="1590" w:type="dxa"/>
            <w:tcBorders>
              <w:top w:val="single" w:sz="4" w:space="0" w:color="365F91"/>
              <w:left w:val="nil"/>
              <w:bottom w:val="single" w:sz="4" w:space="0" w:color="365F91"/>
              <w:right w:val="nil"/>
            </w:tcBorders>
            <w:hideMark/>
          </w:tcPr>
          <w:p w14:paraId="7DF0E992" w14:textId="77777777" w:rsidR="00FB19C0" w:rsidRPr="00BE78CA" w:rsidRDefault="00FB19C0" w:rsidP="00C26084">
            <w:pPr>
              <w:pStyle w:val="TableText"/>
              <w:spacing w:before="40" w:after="40"/>
              <w:jc w:val="center"/>
            </w:pPr>
            <w:r w:rsidRPr="00BE78CA">
              <w:t>1.56</w:t>
            </w:r>
          </w:p>
        </w:tc>
        <w:tc>
          <w:tcPr>
            <w:tcW w:w="1548" w:type="dxa"/>
            <w:tcBorders>
              <w:top w:val="single" w:sz="4" w:space="0" w:color="365F91"/>
              <w:left w:val="nil"/>
              <w:bottom w:val="single" w:sz="4" w:space="0" w:color="365F91"/>
              <w:right w:val="nil"/>
            </w:tcBorders>
            <w:hideMark/>
          </w:tcPr>
          <w:p w14:paraId="1E3D7576" w14:textId="77777777" w:rsidR="00FB19C0" w:rsidRPr="00BE78CA" w:rsidRDefault="00FB19C0" w:rsidP="00C26084">
            <w:pPr>
              <w:pStyle w:val="TableText"/>
              <w:spacing w:before="40" w:after="40"/>
              <w:jc w:val="center"/>
            </w:pPr>
            <w:r w:rsidRPr="00BE78CA">
              <w:t>0.14</w:t>
            </w:r>
          </w:p>
        </w:tc>
        <w:tc>
          <w:tcPr>
            <w:tcW w:w="1616" w:type="dxa"/>
            <w:tcBorders>
              <w:top w:val="single" w:sz="4" w:space="0" w:color="365F91"/>
              <w:left w:val="nil"/>
              <w:bottom w:val="single" w:sz="4" w:space="0" w:color="365F91"/>
              <w:right w:val="nil"/>
            </w:tcBorders>
            <w:hideMark/>
          </w:tcPr>
          <w:p w14:paraId="36CFFE2B" w14:textId="77777777" w:rsidR="00FB19C0" w:rsidRPr="00BE78CA" w:rsidRDefault="00FB19C0" w:rsidP="00C26084">
            <w:pPr>
              <w:pStyle w:val="TableText"/>
              <w:spacing w:before="40" w:after="40"/>
              <w:jc w:val="center"/>
            </w:pPr>
            <w:r w:rsidRPr="00BE78CA">
              <w:t>0.29</w:t>
            </w:r>
          </w:p>
        </w:tc>
        <w:tc>
          <w:tcPr>
            <w:tcW w:w="1358" w:type="dxa"/>
            <w:tcBorders>
              <w:top w:val="single" w:sz="4" w:space="0" w:color="365F91"/>
              <w:left w:val="nil"/>
              <w:bottom w:val="single" w:sz="4" w:space="0" w:color="365F91"/>
              <w:right w:val="nil"/>
            </w:tcBorders>
            <w:hideMark/>
          </w:tcPr>
          <w:p w14:paraId="64568A57" w14:textId="77777777" w:rsidR="00FB19C0" w:rsidRPr="00BE78CA" w:rsidRDefault="00FB19C0" w:rsidP="00C26084">
            <w:pPr>
              <w:pStyle w:val="TableText"/>
              <w:spacing w:before="40" w:after="40"/>
              <w:jc w:val="center"/>
            </w:pPr>
            <w:r w:rsidRPr="00BE78CA">
              <w:t>1.22</w:t>
            </w:r>
          </w:p>
        </w:tc>
        <w:tc>
          <w:tcPr>
            <w:tcW w:w="1576" w:type="dxa"/>
            <w:tcBorders>
              <w:top w:val="single" w:sz="4" w:space="0" w:color="365F91"/>
              <w:left w:val="nil"/>
              <w:bottom w:val="single" w:sz="4" w:space="0" w:color="365F91"/>
              <w:right w:val="nil"/>
            </w:tcBorders>
            <w:hideMark/>
          </w:tcPr>
          <w:p w14:paraId="670619D3" w14:textId="77777777" w:rsidR="00FB19C0" w:rsidRPr="00BE78CA" w:rsidRDefault="00FB19C0" w:rsidP="00C26084">
            <w:pPr>
              <w:pStyle w:val="TableText"/>
              <w:spacing w:before="40" w:after="40"/>
              <w:jc w:val="center"/>
            </w:pPr>
            <w:r w:rsidRPr="00BE78CA">
              <w:t>3.21</w:t>
            </w:r>
          </w:p>
        </w:tc>
      </w:tr>
      <w:tr w:rsidR="00FB19C0" w:rsidRPr="00BE78CA" w14:paraId="2B28CD09" w14:textId="77777777" w:rsidTr="008F032F">
        <w:tc>
          <w:tcPr>
            <w:tcW w:w="925" w:type="dxa"/>
            <w:tcBorders>
              <w:top w:val="single" w:sz="4" w:space="0" w:color="365F91"/>
              <w:left w:val="nil"/>
              <w:bottom w:val="single" w:sz="4" w:space="0" w:color="365F91"/>
              <w:right w:val="nil"/>
            </w:tcBorders>
            <w:hideMark/>
          </w:tcPr>
          <w:p w14:paraId="20727FA5" w14:textId="77777777" w:rsidR="00FB19C0" w:rsidRPr="00BE78CA" w:rsidRDefault="00FB19C0" w:rsidP="00C26084">
            <w:pPr>
              <w:pStyle w:val="TableTextBold"/>
              <w:spacing w:before="40" w:after="40"/>
              <w:rPr>
                <w:noProof w:val="0"/>
              </w:rPr>
            </w:pPr>
            <w:r w:rsidRPr="00BE78CA">
              <w:rPr>
                <w:noProof w:val="0"/>
              </w:rPr>
              <w:t>2001</w:t>
            </w:r>
          </w:p>
        </w:tc>
        <w:tc>
          <w:tcPr>
            <w:tcW w:w="1590" w:type="dxa"/>
            <w:tcBorders>
              <w:top w:val="single" w:sz="4" w:space="0" w:color="365F91"/>
              <w:left w:val="nil"/>
              <w:bottom w:val="single" w:sz="4" w:space="0" w:color="365F91"/>
              <w:right w:val="nil"/>
            </w:tcBorders>
            <w:hideMark/>
          </w:tcPr>
          <w:p w14:paraId="63979E0D" w14:textId="77777777" w:rsidR="00FB19C0" w:rsidRPr="00BE78CA" w:rsidRDefault="00FB19C0" w:rsidP="00C26084">
            <w:pPr>
              <w:pStyle w:val="TableText"/>
              <w:spacing w:before="40" w:after="40"/>
              <w:jc w:val="center"/>
            </w:pPr>
            <w:r w:rsidRPr="00BE78CA">
              <w:t>1.60</w:t>
            </w:r>
          </w:p>
        </w:tc>
        <w:tc>
          <w:tcPr>
            <w:tcW w:w="1548" w:type="dxa"/>
            <w:tcBorders>
              <w:top w:val="single" w:sz="4" w:space="0" w:color="365F91"/>
              <w:left w:val="nil"/>
              <w:bottom w:val="single" w:sz="4" w:space="0" w:color="365F91"/>
              <w:right w:val="nil"/>
            </w:tcBorders>
            <w:hideMark/>
          </w:tcPr>
          <w:p w14:paraId="4A975301" w14:textId="77777777" w:rsidR="00FB19C0" w:rsidRPr="00BE78CA" w:rsidRDefault="00FB19C0" w:rsidP="00C26084">
            <w:pPr>
              <w:pStyle w:val="TableText"/>
              <w:spacing w:before="40" w:after="40"/>
              <w:jc w:val="center"/>
            </w:pPr>
            <w:r w:rsidRPr="00BE78CA">
              <w:t>0.14</w:t>
            </w:r>
          </w:p>
        </w:tc>
        <w:tc>
          <w:tcPr>
            <w:tcW w:w="1616" w:type="dxa"/>
            <w:tcBorders>
              <w:top w:val="single" w:sz="4" w:space="0" w:color="365F91"/>
              <w:left w:val="nil"/>
              <w:bottom w:val="single" w:sz="4" w:space="0" w:color="365F91"/>
              <w:right w:val="nil"/>
            </w:tcBorders>
            <w:hideMark/>
          </w:tcPr>
          <w:p w14:paraId="2A5837FD" w14:textId="77777777" w:rsidR="00FB19C0" w:rsidRPr="00BE78CA" w:rsidRDefault="00FB19C0" w:rsidP="00C26084">
            <w:pPr>
              <w:pStyle w:val="TableText"/>
              <w:spacing w:before="40" w:after="40"/>
              <w:jc w:val="center"/>
            </w:pPr>
            <w:r w:rsidRPr="00BE78CA">
              <w:t>0.31</w:t>
            </w:r>
          </w:p>
        </w:tc>
        <w:tc>
          <w:tcPr>
            <w:tcW w:w="1358" w:type="dxa"/>
            <w:tcBorders>
              <w:top w:val="single" w:sz="4" w:space="0" w:color="365F91"/>
              <w:left w:val="nil"/>
              <w:bottom w:val="single" w:sz="4" w:space="0" w:color="365F91"/>
              <w:right w:val="nil"/>
            </w:tcBorders>
            <w:hideMark/>
          </w:tcPr>
          <w:p w14:paraId="1568AA99" w14:textId="77777777" w:rsidR="00FB19C0" w:rsidRPr="00BE78CA" w:rsidRDefault="00FB19C0" w:rsidP="00C26084">
            <w:pPr>
              <w:pStyle w:val="TableText"/>
              <w:spacing w:before="40" w:after="40"/>
              <w:jc w:val="center"/>
            </w:pPr>
            <w:r w:rsidRPr="00BE78CA">
              <w:t>1.22</w:t>
            </w:r>
          </w:p>
        </w:tc>
        <w:tc>
          <w:tcPr>
            <w:tcW w:w="1576" w:type="dxa"/>
            <w:tcBorders>
              <w:top w:val="single" w:sz="4" w:space="0" w:color="365F91"/>
              <w:left w:val="nil"/>
              <w:bottom w:val="single" w:sz="4" w:space="0" w:color="365F91"/>
              <w:right w:val="nil"/>
            </w:tcBorders>
            <w:hideMark/>
          </w:tcPr>
          <w:p w14:paraId="6B656035" w14:textId="77777777" w:rsidR="00FB19C0" w:rsidRPr="00BE78CA" w:rsidRDefault="00FB19C0" w:rsidP="00C26084">
            <w:pPr>
              <w:pStyle w:val="TableText"/>
              <w:spacing w:before="40" w:after="40"/>
              <w:jc w:val="center"/>
            </w:pPr>
            <w:r w:rsidRPr="00BE78CA">
              <w:t>3.28</w:t>
            </w:r>
          </w:p>
        </w:tc>
      </w:tr>
      <w:tr w:rsidR="00FB19C0" w:rsidRPr="00BE78CA" w14:paraId="7E2B4FB3" w14:textId="77777777" w:rsidTr="008F032F">
        <w:tc>
          <w:tcPr>
            <w:tcW w:w="925" w:type="dxa"/>
            <w:tcBorders>
              <w:top w:val="single" w:sz="4" w:space="0" w:color="365F91"/>
              <w:left w:val="nil"/>
              <w:bottom w:val="single" w:sz="4" w:space="0" w:color="365F91"/>
              <w:right w:val="nil"/>
            </w:tcBorders>
            <w:hideMark/>
          </w:tcPr>
          <w:p w14:paraId="574EAECE" w14:textId="77777777" w:rsidR="00FB19C0" w:rsidRPr="00BE78CA" w:rsidRDefault="00FB19C0" w:rsidP="00C26084">
            <w:pPr>
              <w:pStyle w:val="TableTextBold"/>
              <w:spacing w:before="40" w:after="40"/>
              <w:rPr>
                <w:noProof w:val="0"/>
              </w:rPr>
            </w:pPr>
            <w:r w:rsidRPr="00BE78CA">
              <w:rPr>
                <w:noProof w:val="0"/>
              </w:rPr>
              <w:t>2002</w:t>
            </w:r>
          </w:p>
        </w:tc>
        <w:tc>
          <w:tcPr>
            <w:tcW w:w="1590" w:type="dxa"/>
            <w:tcBorders>
              <w:top w:val="single" w:sz="4" w:space="0" w:color="365F91"/>
              <w:left w:val="nil"/>
              <w:bottom w:val="single" w:sz="4" w:space="0" w:color="365F91"/>
              <w:right w:val="nil"/>
            </w:tcBorders>
            <w:hideMark/>
          </w:tcPr>
          <w:p w14:paraId="0094FB31" w14:textId="77777777" w:rsidR="00FB19C0" w:rsidRPr="00BE78CA" w:rsidRDefault="00FB19C0" w:rsidP="00C26084">
            <w:pPr>
              <w:pStyle w:val="TableText"/>
              <w:spacing w:before="40" w:after="40"/>
              <w:jc w:val="center"/>
            </w:pPr>
            <w:r w:rsidRPr="00BE78CA">
              <w:t>1.51</w:t>
            </w:r>
          </w:p>
        </w:tc>
        <w:tc>
          <w:tcPr>
            <w:tcW w:w="1548" w:type="dxa"/>
            <w:tcBorders>
              <w:top w:val="single" w:sz="4" w:space="0" w:color="365F91"/>
              <w:left w:val="nil"/>
              <w:bottom w:val="single" w:sz="4" w:space="0" w:color="365F91"/>
              <w:right w:val="nil"/>
            </w:tcBorders>
            <w:hideMark/>
          </w:tcPr>
          <w:p w14:paraId="6E753EEB" w14:textId="77777777" w:rsidR="00FB19C0" w:rsidRPr="00BE78CA" w:rsidRDefault="00FB19C0" w:rsidP="00C26084">
            <w:pPr>
              <w:pStyle w:val="TableText"/>
              <w:spacing w:before="40" w:after="40"/>
              <w:jc w:val="center"/>
            </w:pPr>
            <w:r w:rsidRPr="00BE78CA">
              <w:t>0.16</w:t>
            </w:r>
          </w:p>
        </w:tc>
        <w:tc>
          <w:tcPr>
            <w:tcW w:w="1616" w:type="dxa"/>
            <w:tcBorders>
              <w:top w:val="single" w:sz="4" w:space="0" w:color="365F91"/>
              <w:left w:val="nil"/>
              <w:bottom w:val="single" w:sz="4" w:space="0" w:color="365F91"/>
              <w:right w:val="nil"/>
            </w:tcBorders>
            <w:hideMark/>
          </w:tcPr>
          <w:p w14:paraId="22FBBF73" w14:textId="77777777" w:rsidR="00FB19C0" w:rsidRPr="00BE78CA" w:rsidRDefault="00FB19C0" w:rsidP="00C26084">
            <w:pPr>
              <w:pStyle w:val="TableText"/>
              <w:spacing w:before="40" w:after="40"/>
              <w:jc w:val="center"/>
            </w:pPr>
            <w:r w:rsidRPr="00BE78CA">
              <w:t>0.31</w:t>
            </w:r>
          </w:p>
        </w:tc>
        <w:tc>
          <w:tcPr>
            <w:tcW w:w="1358" w:type="dxa"/>
            <w:tcBorders>
              <w:top w:val="single" w:sz="4" w:space="0" w:color="365F91"/>
              <w:left w:val="nil"/>
              <w:bottom w:val="single" w:sz="4" w:space="0" w:color="365F91"/>
              <w:right w:val="nil"/>
            </w:tcBorders>
            <w:hideMark/>
          </w:tcPr>
          <w:p w14:paraId="2EEC6A62" w14:textId="77777777" w:rsidR="00FB19C0" w:rsidRPr="00BE78CA" w:rsidRDefault="00FB19C0" w:rsidP="00C26084">
            <w:pPr>
              <w:pStyle w:val="TableText"/>
              <w:spacing w:before="40" w:after="40"/>
              <w:jc w:val="center"/>
            </w:pPr>
            <w:r w:rsidRPr="00BE78CA">
              <w:t>0.61</w:t>
            </w:r>
          </w:p>
        </w:tc>
        <w:tc>
          <w:tcPr>
            <w:tcW w:w="1576" w:type="dxa"/>
            <w:tcBorders>
              <w:top w:val="single" w:sz="4" w:space="0" w:color="365F91"/>
              <w:left w:val="nil"/>
              <w:bottom w:val="single" w:sz="4" w:space="0" w:color="365F91"/>
              <w:right w:val="nil"/>
            </w:tcBorders>
            <w:hideMark/>
          </w:tcPr>
          <w:p w14:paraId="3EB9EFA5" w14:textId="77777777" w:rsidR="00FB19C0" w:rsidRPr="00BE78CA" w:rsidRDefault="00FB19C0" w:rsidP="00C26084">
            <w:pPr>
              <w:pStyle w:val="TableText"/>
              <w:spacing w:before="40" w:after="40"/>
              <w:jc w:val="center"/>
            </w:pPr>
            <w:r w:rsidRPr="00BE78CA">
              <w:t>2.60</w:t>
            </w:r>
          </w:p>
        </w:tc>
      </w:tr>
      <w:tr w:rsidR="00FB19C0" w:rsidRPr="00BE78CA" w14:paraId="4627CD4F" w14:textId="77777777" w:rsidTr="008F032F">
        <w:tc>
          <w:tcPr>
            <w:tcW w:w="925" w:type="dxa"/>
            <w:tcBorders>
              <w:top w:val="single" w:sz="4" w:space="0" w:color="365F91"/>
              <w:left w:val="nil"/>
              <w:bottom w:val="single" w:sz="4" w:space="0" w:color="365F91"/>
              <w:right w:val="nil"/>
            </w:tcBorders>
            <w:hideMark/>
          </w:tcPr>
          <w:p w14:paraId="5E9D8029" w14:textId="77777777" w:rsidR="00FB19C0" w:rsidRPr="00BE78CA" w:rsidRDefault="00FB19C0" w:rsidP="00C26084">
            <w:pPr>
              <w:pStyle w:val="TableTextBold"/>
              <w:spacing w:before="40" w:after="40"/>
              <w:rPr>
                <w:noProof w:val="0"/>
              </w:rPr>
            </w:pPr>
            <w:r w:rsidRPr="00BE78CA">
              <w:rPr>
                <w:noProof w:val="0"/>
              </w:rPr>
              <w:t>2003</w:t>
            </w:r>
          </w:p>
        </w:tc>
        <w:tc>
          <w:tcPr>
            <w:tcW w:w="1590" w:type="dxa"/>
            <w:tcBorders>
              <w:top w:val="single" w:sz="4" w:space="0" w:color="365F91"/>
              <w:left w:val="nil"/>
              <w:bottom w:val="single" w:sz="4" w:space="0" w:color="365F91"/>
              <w:right w:val="nil"/>
            </w:tcBorders>
            <w:hideMark/>
          </w:tcPr>
          <w:p w14:paraId="5B4A81BB" w14:textId="77777777" w:rsidR="00FB19C0" w:rsidRPr="00BE78CA" w:rsidRDefault="00FB19C0" w:rsidP="00C26084">
            <w:pPr>
              <w:pStyle w:val="TableText"/>
              <w:spacing w:before="40" w:after="40"/>
              <w:jc w:val="center"/>
            </w:pPr>
            <w:r w:rsidRPr="00BE78CA">
              <w:t>1.63</w:t>
            </w:r>
          </w:p>
        </w:tc>
        <w:tc>
          <w:tcPr>
            <w:tcW w:w="1548" w:type="dxa"/>
            <w:tcBorders>
              <w:top w:val="single" w:sz="4" w:space="0" w:color="365F91"/>
              <w:left w:val="nil"/>
              <w:bottom w:val="single" w:sz="4" w:space="0" w:color="365F91"/>
              <w:right w:val="nil"/>
            </w:tcBorders>
            <w:hideMark/>
          </w:tcPr>
          <w:p w14:paraId="545FBECB" w14:textId="77777777" w:rsidR="00FB19C0" w:rsidRPr="00BE78CA" w:rsidRDefault="00FB19C0" w:rsidP="00C26084">
            <w:pPr>
              <w:pStyle w:val="TableText"/>
              <w:spacing w:before="40" w:after="40"/>
              <w:jc w:val="center"/>
            </w:pPr>
            <w:r w:rsidRPr="00BE78CA">
              <w:t>0.17</w:t>
            </w:r>
          </w:p>
        </w:tc>
        <w:tc>
          <w:tcPr>
            <w:tcW w:w="1616" w:type="dxa"/>
            <w:tcBorders>
              <w:top w:val="single" w:sz="4" w:space="0" w:color="365F91"/>
              <w:left w:val="nil"/>
              <w:bottom w:val="single" w:sz="4" w:space="0" w:color="365F91"/>
              <w:right w:val="nil"/>
            </w:tcBorders>
            <w:hideMark/>
          </w:tcPr>
          <w:p w14:paraId="7827661B" w14:textId="77777777" w:rsidR="00FB19C0" w:rsidRPr="00BE78CA" w:rsidRDefault="00FB19C0" w:rsidP="00C26084">
            <w:pPr>
              <w:pStyle w:val="TableText"/>
              <w:spacing w:before="40" w:after="40"/>
              <w:jc w:val="center"/>
            </w:pPr>
            <w:r w:rsidRPr="00BE78CA">
              <w:t>0.33</w:t>
            </w:r>
          </w:p>
        </w:tc>
        <w:tc>
          <w:tcPr>
            <w:tcW w:w="1358" w:type="dxa"/>
            <w:tcBorders>
              <w:top w:val="single" w:sz="4" w:space="0" w:color="365F91"/>
              <w:left w:val="nil"/>
              <w:bottom w:val="single" w:sz="4" w:space="0" w:color="365F91"/>
              <w:right w:val="nil"/>
            </w:tcBorders>
            <w:hideMark/>
          </w:tcPr>
          <w:p w14:paraId="1A851D63" w14:textId="77777777" w:rsidR="00FB19C0" w:rsidRPr="00BE78CA" w:rsidRDefault="00FB19C0" w:rsidP="00C26084">
            <w:pPr>
              <w:pStyle w:val="TableText"/>
              <w:spacing w:before="40" w:after="40"/>
              <w:jc w:val="center"/>
            </w:pPr>
            <w:r w:rsidRPr="00BE78CA">
              <w:t>0.61</w:t>
            </w:r>
          </w:p>
        </w:tc>
        <w:tc>
          <w:tcPr>
            <w:tcW w:w="1576" w:type="dxa"/>
            <w:tcBorders>
              <w:top w:val="single" w:sz="4" w:space="0" w:color="365F91"/>
              <w:left w:val="nil"/>
              <w:bottom w:val="single" w:sz="4" w:space="0" w:color="365F91"/>
              <w:right w:val="nil"/>
            </w:tcBorders>
            <w:hideMark/>
          </w:tcPr>
          <w:p w14:paraId="7FC510F0" w14:textId="77777777" w:rsidR="00FB19C0" w:rsidRPr="00BE78CA" w:rsidRDefault="00FB19C0" w:rsidP="00C26084">
            <w:pPr>
              <w:pStyle w:val="TableText"/>
              <w:spacing w:before="40" w:after="40"/>
              <w:jc w:val="center"/>
            </w:pPr>
            <w:r w:rsidRPr="00BE78CA">
              <w:t>2.75</w:t>
            </w:r>
          </w:p>
        </w:tc>
      </w:tr>
      <w:tr w:rsidR="00FB19C0" w:rsidRPr="00BE78CA" w14:paraId="44FFD074" w14:textId="77777777" w:rsidTr="008F032F">
        <w:tc>
          <w:tcPr>
            <w:tcW w:w="925" w:type="dxa"/>
            <w:tcBorders>
              <w:top w:val="single" w:sz="4" w:space="0" w:color="365F91"/>
              <w:left w:val="nil"/>
              <w:bottom w:val="single" w:sz="4" w:space="0" w:color="365F91"/>
              <w:right w:val="nil"/>
            </w:tcBorders>
            <w:hideMark/>
          </w:tcPr>
          <w:p w14:paraId="7FFC2EEE" w14:textId="77777777" w:rsidR="00FB19C0" w:rsidRPr="00BE78CA" w:rsidRDefault="00FB19C0" w:rsidP="00C26084">
            <w:pPr>
              <w:pStyle w:val="TableTextBold"/>
              <w:spacing w:before="40" w:after="40"/>
              <w:rPr>
                <w:noProof w:val="0"/>
              </w:rPr>
            </w:pPr>
            <w:r w:rsidRPr="00BE78CA">
              <w:rPr>
                <w:noProof w:val="0"/>
              </w:rPr>
              <w:t>2004</w:t>
            </w:r>
          </w:p>
        </w:tc>
        <w:tc>
          <w:tcPr>
            <w:tcW w:w="1590" w:type="dxa"/>
            <w:tcBorders>
              <w:top w:val="single" w:sz="4" w:space="0" w:color="365F91"/>
              <w:left w:val="nil"/>
              <w:bottom w:val="single" w:sz="4" w:space="0" w:color="365F91"/>
              <w:right w:val="nil"/>
            </w:tcBorders>
            <w:hideMark/>
          </w:tcPr>
          <w:p w14:paraId="08A15B7F" w14:textId="77777777" w:rsidR="00FB19C0" w:rsidRPr="00BE78CA" w:rsidRDefault="00FB19C0" w:rsidP="00C26084">
            <w:pPr>
              <w:pStyle w:val="TableText"/>
              <w:spacing w:before="40" w:after="40"/>
              <w:jc w:val="center"/>
            </w:pPr>
            <w:r w:rsidRPr="00BE78CA">
              <w:t>1.71</w:t>
            </w:r>
          </w:p>
        </w:tc>
        <w:tc>
          <w:tcPr>
            <w:tcW w:w="1548" w:type="dxa"/>
            <w:tcBorders>
              <w:top w:val="single" w:sz="4" w:space="0" w:color="365F91"/>
              <w:left w:val="nil"/>
              <w:bottom w:val="single" w:sz="4" w:space="0" w:color="365F91"/>
              <w:right w:val="nil"/>
            </w:tcBorders>
            <w:hideMark/>
          </w:tcPr>
          <w:p w14:paraId="313FD481" w14:textId="77777777" w:rsidR="00FB19C0" w:rsidRPr="00BE78CA" w:rsidRDefault="00FB19C0" w:rsidP="00C26084">
            <w:pPr>
              <w:pStyle w:val="TableText"/>
              <w:spacing w:before="40" w:after="40"/>
              <w:jc w:val="center"/>
            </w:pPr>
            <w:r w:rsidRPr="00BE78CA">
              <w:t>0.19</w:t>
            </w:r>
          </w:p>
        </w:tc>
        <w:tc>
          <w:tcPr>
            <w:tcW w:w="1616" w:type="dxa"/>
            <w:tcBorders>
              <w:top w:val="single" w:sz="4" w:space="0" w:color="365F91"/>
              <w:left w:val="nil"/>
              <w:bottom w:val="single" w:sz="4" w:space="0" w:color="365F91"/>
              <w:right w:val="nil"/>
            </w:tcBorders>
            <w:hideMark/>
          </w:tcPr>
          <w:p w14:paraId="78C829A2" w14:textId="77777777" w:rsidR="00FB19C0" w:rsidRPr="00BE78CA" w:rsidRDefault="00FB19C0" w:rsidP="00C26084">
            <w:pPr>
              <w:pStyle w:val="TableText"/>
              <w:spacing w:before="40" w:after="40"/>
              <w:jc w:val="center"/>
            </w:pPr>
            <w:r w:rsidRPr="00BE78CA">
              <w:t>0.32</w:t>
            </w:r>
          </w:p>
        </w:tc>
        <w:tc>
          <w:tcPr>
            <w:tcW w:w="1358" w:type="dxa"/>
            <w:tcBorders>
              <w:top w:val="single" w:sz="4" w:space="0" w:color="365F91"/>
              <w:left w:val="nil"/>
              <w:bottom w:val="single" w:sz="4" w:space="0" w:color="365F91"/>
              <w:right w:val="nil"/>
            </w:tcBorders>
            <w:hideMark/>
          </w:tcPr>
          <w:p w14:paraId="31F224B6" w14:textId="77777777" w:rsidR="00FB19C0" w:rsidRPr="00BE78CA" w:rsidRDefault="00FB19C0" w:rsidP="00C26084">
            <w:pPr>
              <w:pStyle w:val="TableText"/>
              <w:spacing w:before="40" w:after="40"/>
              <w:jc w:val="center"/>
            </w:pPr>
            <w:r w:rsidRPr="00BE78CA">
              <w:t>0.61</w:t>
            </w:r>
          </w:p>
        </w:tc>
        <w:tc>
          <w:tcPr>
            <w:tcW w:w="1576" w:type="dxa"/>
            <w:tcBorders>
              <w:top w:val="single" w:sz="4" w:space="0" w:color="365F91"/>
              <w:left w:val="nil"/>
              <w:bottom w:val="single" w:sz="4" w:space="0" w:color="365F91"/>
              <w:right w:val="nil"/>
            </w:tcBorders>
            <w:hideMark/>
          </w:tcPr>
          <w:p w14:paraId="31773382" w14:textId="77777777" w:rsidR="00FB19C0" w:rsidRPr="00BE78CA" w:rsidRDefault="00FB19C0" w:rsidP="00C26084">
            <w:pPr>
              <w:pStyle w:val="TableText"/>
              <w:spacing w:before="40" w:after="40"/>
              <w:jc w:val="center"/>
            </w:pPr>
            <w:r w:rsidRPr="00BE78CA">
              <w:t>2.83</w:t>
            </w:r>
          </w:p>
        </w:tc>
      </w:tr>
      <w:tr w:rsidR="00FB19C0" w:rsidRPr="00BE78CA" w14:paraId="46D8C6B8" w14:textId="77777777" w:rsidTr="008F032F">
        <w:tc>
          <w:tcPr>
            <w:tcW w:w="925" w:type="dxa"/>
            <w:tcBorders>
              <w:top w:val="single" w:sz="4" w:space="0" w:color="365F91"/>
              <w:left w:val="nil"/>
              <w:bottom w:val="single" w:sz="4" w:space="0" w:color="365F91"/>
              <w:right w:val="nil"/>
            </w:tcBorders>
            <w:hideMark/>
          </w:tcPr>
          <w:p w14:paraId="24ECBDE5" w14:textId="77777777" w:rsidR="00FB19C0" w:rsidRPr="00BE78CA" w:rsidRDefault="00FB19C0" w:rsidP="00C26084">
            <w:pPr>
              <w:pStyle w:val="TableTextBold"/>
              <w:spacing w:before="40" w:after="40"/>
              <w:rPr>
                <w:noProof w:val="0"/>
              </w:rPr>
            </w:pPr>
            <w:r w:rsidRPr="00BE78CA">
              <w:rPr>
                <w:noProof w:val="0"/>
              </w:rPr>
              <w:t>2005</w:t>
            </w:r>
          </w:p>
        </w:tc>
        <w:tc>
          <w:tcPr>
            <w:tcW w:w="1590" w:type="dxa"/>
            <w:tcBorders>
              <w:top w:val="single" w:sz="4" w:space="0" w:color="365F91"/>
              <w:left w:val="nil"/>
              <w:bottom w:val="single" w:sz="4" w:space="0" w:color="365F91"/>
              <w:right w:val="nil"/>
            </w:tcBorders>
            <w:hideMark/>
          </w:tcPr>
          <w:p w14:paraId="293DC62C" w14:textId="77777777" w:rsidR="00FB19C0" w:rsidRPr="00BE78CA" w:rsidRDefault="00FB19C0" w:rsidP="00C26084">
            <w:pPr>
              <w:pStyle w:val="TableText"/>
              <w:spacing w:before="40" w:after="40"/>
              <w:jc w:val="center"/>
            </w:pPr>
            <w:r w:rsidRPr="00BE78CA">
              <w:t>1.67</w:t>
            </w:r>
          </w:p>
        </w:tc>
        <w:tc>
          <w:tcPr>
            <w:tcW w:w="1548" w:type="dxa"/>
            <w:tcBorders>
              <w:top w:val="single" w:sz="4" w:space="0" w:color="365F91"/>
              <w:left w:val="nil"/>
              <w:bottom w:val="single" w:sz="4" w:space="0" w:color="365F91"/>
              <w:right w:val="nil"/>
            </w:tcBorders>
            <w:hideMark/>
          </w:tcPr>
          <w:p w14:paraId="41E84081" w14:textId="77777777" w:rsidR="00FB19C0" w:rsidRPr="00BE78CA" w:rsidRDefault="00FB19C0" w:rsidP="00C26084">
            <w:pPr>
              <w:pStyle w:val="TableText"/>
              <w:spacing w:before="40" w:after="40"/>
              <w:jc w:val="center"/>
            </w:pPr>
            <w:r w:rsidRPr="00BE78CA">
              <w:t>0.20</w:t>
            </w:r>
          </w:p>
        </w:tc>
        <w:tc>
          <w:tcPr>
            <w:tcW w:w="1616" w:type="dxa"/>
            <w:tcBorders>
              <w:top w:val="single" w:sz="4" w:space="0" w:color="365F91"/>
              <w:left w:val="nil"/>
              <w:bottom w:val="single" w:sz="4" w:space="0" w:color="365F91"/>
              <w:right w:val="nil"/>
            </w:tcBorders>
            <w:hideMark/>
          </w:tcPr>
          <w:p w14:paraId="05FF6963" w14:textId="77777777" w:rsidR="00FB19C0" w:rsidRPr="00BE78CA" w:rsidRDefault="00FB19C0" w:rsidP="00C26084">
            <w:pPr>
              <w:pStyle w:val="TableText"/>
              <w:spacing w:before="40" w:after="40"/>
              <w:jc w:val="center"/>
            </w:pPr>
            <w:r w:rsidRPr="00BE78CA">
              <w:t>0.33</w:t>
            </w:r>
          </w:p>
        </w:tc>
        <w:tc>
          <w:tcPr>
            <w:tcW w:w="1358" w:type="dxa"/>
            <w:tcBorders>
              <w:top w:val="single" w:sz="4" w:space="0" w:color="365F91"/>
              <w:left w:val="nil"/>
              <w:bottom w:val="single" w:sz="4" w:space="0" w:color="365F91"/>
              <w:right w:val="nil"/>
            </w:tcBorders>
            <w:hideMark/>
          </w:tcPr>
          <w:p w14:paraId="327AAA3F" w14:textId="77777777" w:rsidR="00FB19C0" w:rsidRPr="00BE78CA" w:rsidRDefault="00FB19C0" w:rsidP="00C26084">
            <w:pPr>
              <w:pStyle w:val="TableText"/>
              <w:spacing w:before="40" w:after="40"/>
              <w:jc w:val="center"/>
            </w:pPr>
            <w:r w:rsidRPr="00BE78CA">
              <w:t>0.61</w:t>
            </w:r>
          </w:p>
        </w:tc>
        <w:tc>
          <w:tcPr>
            <w:tcW w:w="1576" w:type="dxa"/>
            <w:tcBorders>
              <w:top w:val="single" w:sz="4" w:space="0" w:color="365F91"/>
              <w:left w:val="nil"/>
              <w:bottom w:val="single" w:sz="4" w:space="0" w:color="365F91"/>
              <w:right w:val="nil"/>
            </w:tcBorders>
            <w:hideMark/>
          </w:tcPr>
          <w:p w14:paraId="26E1FDF7" w14:textId="77777777" w:rsidR="00FB19C0" w:rsidRPr="00BE78CA" w:rsidRDefault="00FB19C0" w:rsidP="00C26084">
            <w:pPr>
              <w:pStyle w:val="TableText"/>
              <w:spacing w:before="40" w:after="40"/>
              <w:jc w:val="center"/>
            </w:pPr>
            <w:r w:rsidRPr="00BE78CA">
              <w:t>2.81</w:t>
            </w:r>
          </w:p>
        </w:tc>
      </w:tr>
      <w:tr w:rsidR="00FB19C0" w:rsidRPr="00BE78CA" w14:paraId="501EDF3A" w14:textId="77777777" w:rsidTr="008F032F">
        <w:tc>
          <w:tcPr>
            <w:tcW w:w="925" w:type="dxa"/>
            <w:tcBorders>
              <w:top w:val="single" w:sz="4" w:space="0" w:color="365F91"/>
              <w:left w:val="nil"/>
              <w:bottom w:val="single" w:sz="4" w:space="0" w:color="365F91"/>
              <w:right w:val="nil"/>
            </w:tcBorders>
            <w:hideMark/>
          </w:tcPr>
          <w:p w14:paraId="054C6075" w14:textId="77777777" w:rsidR="00FB19C0" w:rsidRPr="00BE78CA" w:rsidRDefault="00FB19C0" w:rsidP="00C26084">
            <w:pPr>
              <w:pStyle w:val="TableTextBold"/>
              <w:spacing w:before="40" w:after="40"/>
              <w:rPr>
                <w:noProof w:val="0"/>
              </w:rPr>
            </w:pPr>
            <w:r w:rsidRPr="00BE78CA">
              <w:rPr>
                <w:noProof w:val="0"/>
              </w:rPr>
              <w:t>2006</w:t>
            </w:r>
          </w:p>
        </w:tc>
        <w:tc>
          <w:tcPr>
            <w:tcW w:w="1590" w:type="dxa"/>
            <w:tcBorders>
              <w:top w:val="single" w:sz="4" w:space="0" w:color="365F91"/>
              <w:left w:val="nil"/>
              <w:bottom w:val="single" w:sz="4" w:space="0" w:color="365F91"/>
              <w:right w:val="nil"/>
            </w:tcBorders>
            <w:hideMark/>
          </w:tcPr>
          <w:p w14:paraId="5E1D1349" w14:textId="77777777" w:rsidR="00FB19C0" w:rsidRPr="00BE78CA" w:rsidRDefault="00FB19C0" w:rsidP="00C26084">
            <w:pPr>
              <w:pStyle w:val="TableText"/>
              <w:spacing w:before="40" w:after="40"/>
              <w:jc w:val="center"/>
            </w:pPr>
            <w:r w:rsidRPr="00BE78CA">
              <w:t>1.65</w:t>
            </w:r>
          </w:p>
        </w:tc>
        <w:tc>
          <w:tcPr>
            <w:tcW w:w="1548" w:type="dxa"/>
            <w:tcBorders>
              <w:top w:val="single" w:sz="4" w:space="0" w:color="365F91"/>
              <w:left w:val="nil"/>
              <w:bottom w:val="single" w:sz="4" w:space="0" w:color="365F91"/>
              <w:right w:val="nil"/>
            </w:tcBorders>
            <w:hideMark/>
          </w:tcPr>
          <w:p w14:paraId="1C79CCDC" w14:textId="77777777" w:rsidR="00FB19C0" w:rsidRPr="00BE78CA" w:rsidRDefault="00FB19C0" w:rsidP="00C26084">
            <w:pPr>
              <w:pStyle w:val="TableText"/>
              <w:spacing w:before="40" w:after="40"/>
              <w:jc w:val="center"/>
            </w:pPr>
            <w:r w:rsidRPr="00BE78CA">
              <w:t>0.18</w:t>
            </w:r>
          </w:p>
        </w:tc>
        <w:tc>
          <w:tcPr>
            <w:tcW w:w="1616" w:type="dxa"/>
            <w:tcBorders>
              <w:top w:val="single" w:sz="4" w:space="0" w:color="365F91"/>
              <w:left w:val="nil"/>
              <w:bottom w:val="single" w:sz="4" w:space="0" w:color="365F91"/>
              <w:right w:val="nil"/>
            </w:tcBorders>
            <w:hideMark/>
          </w:tcPr>
          <w:p w14:paraId="07B4D8A3" w14:textId="77777777" w:rsidR="00FB19C0" w:rsidRPr="00BE78CA" w:rsidRDefault="00FB19C0" w:rsidP="00C26084">
            <w:pPr>
              <w:pStyle w:val="TableText"/>
              <w:spacing w:before="40" w:after="40"/>
              <w:jc w:val="center"/>
            </w:pPr>
            <w:r w:rsidRPr="00BE78CA">
              <w:t>0.34</w:t>
            </w:r>
          </w:p>
        </w:tc>
        <w:tc>
          <w:tcPr>
            <w:tcW w:w="1358" w:type="dxa"/>
            <w:tcBorders>
              <w:top w:val="single" w:sz="4" w:space="0" w:color="365F91"/>
              <w:left w:val="nil"/>
              <w:bottom w:val="single" w:sz="4" w:space="0" w:color="365F91"/>
              <w:right w:val="nil"/>
            </w:tcBorders>
            <w:hideMark/>
          </w:tcPr>
          <w:p w14:paraId="3FE787FB" w14:textId="77777777" w:rsidR="00FB19C0" w:rsidRPr="00BE78CA" w:rsidRDefault="00FB19C0" w:rsidP="00C26084">
            <w:pPr>
              <w:pStyle w:val="TableText"/>
              <w:spacing w:before="40" w:after="40"/>
              <w:jc w:val="center"/>
            </w:pPr>
            <w:r w:rsidRPr="00BE78CA">
              <w:t>0.61</w:t>
            </w:r>
          </w:p>
        </w:tc>
        <w:tc>
          <w:tcPr>
            <w:tcW w:w="1576" w:type="dxa"/>
            <w:tcBorders>
              <w:top w:val="single" w:sz="4" w:space="0" w:color="365F91"/>
              <w:left w:val="nil"/>
              <w:bottom w:val="single" w:sz="4" w:space="0" w:color="365F91"/>
              <w:right w:val="nil"/>
            </w:tcBorders>
            <w:hideMark/>
          </w:tcPr>
          <w:p w14:paraId="30588CD0" w14:textId="77777777" w:rsidR="00FB19C0" w:rsidRPr="00BE78CA" w:rsidRDefault="00FB19C0" w:rsidP="00C26084">
            <w:pPr>
              <w:pStyle w:val="TableText"/>
              <w:spacing w:before="40" w:after="40"/>
              <w:jc w:val="center"/>
            </w:pPr>
            <w:r w:rsidRPr="00BE78CA">
              <w:t>2.79</w:t>
            </w:r>
          </w:p>
        </w:tc>
      </w:tr>
      <w:tr w:rsidR="00FB19C0" w:rsidRPr="00BE78CA" w14:paraId="25C0DD16" w14:textId="77777777" w:rsidTr="008F032F">
        <w:tc>
          <w:tcPr>
            <w:tcW w:w="925" w:type="dxa"/>
            <w:tcBorders>
              <w:top w:val="single" w:sz="4" w:space="0" w:color="365F91"/>
              <w:left w:val="nil"/>
              <w:bottom w:val="single" w:sz="4" w:space="0" w:color="365F91"/>
              <w:right w:val="nil"/>
            </w:tcBorders>
            <w:hideMark/>
          </w:tcPr>
          <w:p w14:paraId="4B66A1D7" w14:textId="77777777" w:rsidR="00FB19C0" w:rsidRPr="00BE78CA" w:rsidRDefault="00FB19C0" w:rsidP="00C26084">
            <w:pPr>
              <w:pStyle w:val="TableTextBold"/>
              <w:spacing w:before="40" w:after="40"/>
              <w:rPr>
                <w:noProof w:val="0"/>
              </w:rPr>
            </w:pPr>
            <w:r w:rsidRPr="00BE78CA">
              <w:rPr>
                <w:noProof w:val="0"/>
              </w:rPr>
              <w:t>2007</w:t>
            </w:r>
          </w:p>
        </w:tc>
        <w:tc>
          <w:tcPr>
            <w:tcW w:w="1590" w:type="dxa"/>
            <w:tcBorders>
              <w:top w:val="single" w:sz="4" w:space="0" w:color="365F91"/>
              <w:left w:val="nil"/>
              <w:bottom w:val="single" w:sz="4" w:space="0" w:color="365F91"/>
              <w:right w:val="nil"/>
            </w:tcBorders>
            <w:hideMark/>
          </w:tcPr>
          <w:p w14:paraId="3B5B92EB" w14:textId="77777777" w:rsidR="00FB19C0" w:rsidRPr="00BE78CA" w:rsidRDefault="00FB19C0" w:rsidP="00C26084">
            <w:pPr>
              <w:pStyle w:val="TableText"/>
              <w:spacing w:before="40" w:after="40"/>
              <w:jc w:val="center"/>
            </w:pPr>
            <w:r w:rsidRPr="00BE78CA">
              <w:t>1.68</w:t>
            </w:r>
          </w:p>
        </w:tc>
        <w:tc>
          <w:tcPr>
            <w:tcW w:w="1548" w:type="dxa"/>
            <w:tcBorders>
              <w:top w:val="single" w:sz="4" w:space="0" w:color="365F91"/>
              <w:left w:val="nil"/>
              <w:bottom w:val="single" w:sz="4" w:space="0" w:color="365F91"/>
              <w:right w:val="nil"/>
            </w:tcBorders>
            <w:hideMark/>
          </w:tcPr>
          <w:p w14:paraId="432004BB" w14:textId="77777777" w:rsidR="00FB19C0" w:rsidRPr="00BE78CA" w:rsidRDefault="00FB19C0" w:rsidP="00C26084">
            <w:pPr>
              <w:pStyle w:val="TableText"/>
              <w:spacing w:before="40" w:after="40"/>
              <w:jc w:val="center"/>
            </w:pPr>
            <w:r w:rsidRPr="00BE78CA">
              <w:t>0.19</w:t>
            </w:r>
          </w:p>
        </w:tc>
        <w:tc>
          <w:tcPr>
            <w:tcW w:w="1616" w:type="dxa"/>
            <w:tcBorders>
              <w:top w:val="single" w:sz="4" w:space="0" w:color="365F91"/>
              <w:left w:val="nil"/>
              <w:bottom w:val="single" w:sz="4" w:space="0" w:color="365F91"/>
              <w:right w:val="nil"/>
            </w:tcBorders>
            <w:hideMark/>
          </w:tcPr>
          <w:p w14:paraId="3E625F16" w14:textId="77777777" w:rsidR="00FB19C0" w:rsidRPr="00BE78CA" w:rsidRDefault="00FB19C0" w:rsidP="00C26084">
            <w:pPr>
              <w:pStyle w:val="TableText"/>
              <w:spacing w:before="40" w:after="40"/>
              <w:jc w:val="center"/>
            </w:pPr>
            <w:r w:rsidRPr="00BE78CA">
              <w:t>0.33</w:t>
            </w:r>
          </w:p>
        </w:tc>
        <w:tc>
          <w:tcPr>
            <w:tcW w:w="1358" w:type="dxa"/>
            <w:tcBorders>
              <w:top w:val="single" w:sz="4" w:space="0" w:color="365F91"/>
              <w:left w:val="nil"/>
              <w:bottom w:val="single" w:sz="4" w:space="0" w:color="365F91"/>
              <w:right w:val="nil"/>
            </w:tcBorders>
            <w:hideMark/>
          </w:tcPr>
          <w:p w14:paraId="5EE6B112" w14:textId="77777777" w:rsidR="00FB19C0" w:rsidRPr="00BE78CA" w:rsidRDefault="00FB19C0" w:rsidP="00C26084">
            <w:pPr>
              <w:pStyle w:val="TableText"/>
              <w:spacing w:before="40" w:after="40"/>
              <w:jc w:val="center"/>
            </w:pPr>
            <w:r w:rsidRPr="00BE78CA">
              <w:t>0.61</w:t>
            </w:r>
          </w:p>
        </w:tc>
        <w:tc>
          <w:tcPr>
            <w:tcW w:w="1576" w:type="dxa"/>
            <w:tcBorders>
              <w:top w:val="single" w:sz="4" w:space="0" w:color="365F91"/>
              <w:left w:val="nil"/>
              <w:bottom w:val="single" w:sz="4" w:space="0" w:color="365F91"/>
              <w:right w:val="nil"/>
            </w:tcBorders>
            <w:hideMark/>
          </w:tcPr>
          <w:p w14:paraId="5323F6D3" w14:textId="77777777" w:rsidR="00FB19C0" w:rsidRPr="00BE78CA" w:rsidRDefault="00FB19C0" w:rsidP="00C26084">
            <w:pPr>
              <w:pStyle w:val="TableText"/>
              <w:spacing w:before="40" w:after="40"/>
              <w:jc w:val="center"/>
            </w:pPr>
            <w:r w:rsidRPr="00BE78CA">
              <w:t>2.81</w:t>
            </w:r>
          </w:p>
        </w:tc>
      </w:tr>
      <w:tr w:rsidR="00FB19C0" w:rsidRPr="00BE78CA" w14:paraId="35F6F058" w14:textId="77777777" w:rsidTr="008F032F">
        <w:tc>
          <w:tcPr>
            <w:tcW w:w="925" w:type="dxa"/>
            <w:tcBorders>
              <w:top w:val="single" w:sz="4" w:space="0" w:color="365F91"/>
              <w:left w:val="nil"/>
              <w:bottom w:val="single" w:sz="4" w:space="0" w:color="365F91"/>
              <w:right w:val="nil"/>
            </w:tcBorders>
            <w:hideMark/>
          </w:tcPr>
          <w:p w14:paraId="72EE6610" w14:textId="77777777" w:rsidR="00FB19C0" w:rsidRPr="00BE78CA" w:rsidRDefault="00FB19C0" w:rsidP="00C26084">
            <w:pPr>
              <w:pStyle w:val="TableTextBold"/>
              <w:spacing w:before="40" w:after="40"/>
              <w:rPr>
                <w:noProof w:val="0"/>
              </w:rPr>
            </w:pPr>
            <w:r w:rsidRPr="00BE78CA">
              <w:rPr>
                <w:noProof w:val="0"/>
              </w:rPr>
              <w:t>2008</w:t>
            </w:r>
          </w:p>
        </w:tc>
        <w:tc>
          <w:tcPr>
            <w:tcW w:w="1590" w:type="dxa"/>
            <w:tcBorders>
              <w:top w:val="single" w:sz="4" w:space="0" w:color="365F91"/>
              <w:left w:val="nil"/>
              <w:bottom w:val="single" w:sz="4" w:space="0" w:color="365F91"/>
              <w:right w:val="nil"/>
            </w:tcBorders>
            <w:hideMark/>
          </w:tcPr>
          <w:p w14:paraId="3ECE622F" w14:textId="77777777" w:rsidR="00FB19C0" w:rsidRPr="00BE78CA" w:rsidRDefault="00FB19C0" w:rsidP="00C26084">
            <w:pPr>
              <w:pStyle w:val="TableText"/>
              <w:spacing w:before="40" w:after="40"/>
              <w:jc w:val="center"/>
            </w:pPr>
            <w:r w:rsidRPr="00BE78CA">
              <w:t>1.69</w:t>
            </w:r>
          </w:p>
        </w:tc>
        <w:tc>
          <w:tcPr>
            <w:tcW w:w="1548" w:type="dxa"/>
            <w:tcBorders>
              <w:top w:val="single" w:sz="4" w:space="0" w:color="365F91"/>
              <w:left w:val="nil"/>
              <w:bottom w:val="single" w:sz="4" w:space="0" w:color="365F91"/>
              <w:right w:val="nil"/>
            </w:tcBorders>
            <w:hideMark/>
          </w:tcPr>
          <w:p w14:paraId="0E996DFC" w14:textId="77777777" w:rsidR="00FB19C0" w:rsidRPr="00BE78CA" w:rsidRDefault="00FB19C0" w:rsidP="00C26084">
            <w:pPr>
              <w:pStyle w:val="TableText"/>
              <w:spacing w:before="40" w:after="40"/>
              <w:jc w:val="center"/>
            </w:pPr>
            <w:r w:rsidRPr="00BE78CA">
              <w:t>0.18</w:t>
            </w:r>
          </w:p>
        </w:tc>
        <w:tc>
          <w:tcPr>
            <w:tcW w:w="1616" w:type="dxa"/>
            <w:tcBorders>
              <w:top w:val="single" w:sz="4" w:space="0" w:color="365F91"/>
              <w:left w:val="nil"/>
              <w:bottom w:val="single" w:sz="4" w:space="0" w:color="365F91"/>
              <w:right w:val="nil"/>
            </w:tcBorders>
            <w:hideMark/>
          </w:tcPr>
          <w:p w14:paraId="2F1D05E9" w14:textId="77777777" w:rsidR="00FB19C0" w:rsidRPr="00BE78CA" w:rsidRDefault="00FB19C0" w:rsidP="00C26084">
            <w:pPr>
              <w:pStyle w:val="TableText"/>
              <w:spacing w:before="40" w:after="40"/>
              <w:jc w:val="center"/>
            </w:pPr>
            <w:r w:rsidRPr="00BE78CA">
              <w:t>0.36</w:t>
            </w:r>
          </w:p>
        </w:tc>
        <w:tc>
          <w:tcPr>
            <w:tcW w:w="1358" w:type="dxa"/>
            <w:tcBorders>
              <w:top w:val="single" w:sz="4" w:space="0" w:color="365F91"/>
              <w:left w:val="nil"/>
              <w:bottom w:val="single" w:sz="4" w:space="0" w:color="365F91"/>
              <w:right w:val="nil"/>
            </w:tcBorders>
            <w:hideMark/>
          </w:tcPr>
          <w:p w14:paraId="07787950" w14:textId="77777777" w:rsidR="00FB19C0" w:rsidRPr="00BE78CA" w:rsidRDefault="00FB19C0" w:rsidP="00C26084">
            <w:pPr>
              <w:pStyle w:val="TableText"/>
              <w:spacing w:before="40" w:after="40"/>
              <w:jc w:val="center"/>
            </w:pPr>
            <w:r w:rsidRPr="00BE78CA">
              <w:t>0.61</w:t>
            </w:r>
          </w:p>
        </w:tc>
        <w:tc>
          <w:tcPr>
            <w:tcW w:w="1576" w:type="dxa"/>
            <w:tcBorders>
              <w:top w:val="single" w:sz="4" w:space="0" w:color="365F91"/>
              <w:left w:val="nil"/>
              <w:bottom w:val="single" w:sz="4" w:space="0" w:color="365F91"/>
              <w:right w:val="nil"/>
            </w:tcBorders>
            <w:hideMark/>
          </w:tcPr>
          <w:p w14:paraId="33D2B859" w14:textId="77777777" w:rsidR="00FB19C0" w:rsidRPr="00BE78CA" w:rsidRDefault="00FB19C0" w:rsidP="00C26084">
            <w:pPr>
              <w:pStyle w:val="TableText"/>
              <w:spacing w:before="40" w:after="40"/>
              <w:jc w:val="center"/>
            </w:pPr>
            <w:r w:rsidRPr="00BE78CA">
              <w:t>2.85</w:t>
            </w:r>
          </w:p>
        </w:tc>
      </w:tr>
      <w:tr w:rsidR="00FB19C0" w:rsidRPr="00BE78CA" w14:paraId="67409F77" w14:textId="77777777" w:rsidTr="008F032F">
        <w:tc>
          <w:tcPr>
            <w:tcW w:w="925" w:type="dxa"/>
            <w:tcBorders>
              <w:top w:val="single" w:sz="4" w:space="0" w:color="365F91"/>
              <w:left w:val="nil"/>
              <w:bottom w:val="single" w:sz="4" w:space="0" w:color="365F91"/>
              <w:right w:val="nil"/>
            </w:tcBorders>
            <w:hideMark/>
          </w:tcPr>
          <w:p w14:paraId="5D6F3AC8" w14:textId="77777777" w:rsidR="00FB19C0" w:rsidRPr="00BE78CA" w:rsidRDefault="00FB19C0" w:rsidP="00C26084">
            <w:pPr>
              <w:pStyle w:val="TableTextBold"/>
              <w:spacing w:before="40" w:after="40"/>
              <w:rPr>
                <w:noProof w:val="0"/>
              </w:rPr>
            </w:pPr>
            <w:r w:rsidRPr="00BE78CA">
              <w:rPr>
                <w:noProof w:val="0"/>
              </w:rPr>
              <w:t>2009</w:t>
            </w:r>
          </w:p>
        </w:tc>
        <w:tc>
          <w:tcPr>
            <w:tcW w:w="1590" w:type="dxa"/>
            <w:tcBorders>
              <w:top w:val="single" w:sz="4" w:space="0" w:color="365F91"/>
              <w:left w:val="nil"/>
              <w:bottom w:val="single" w:sz="4" w:space="0" w:color="365F91"/>
              <w:right w:val="nil"/>
            </w:tcBorders>
            <w:hideMark/>
          </w:tcPr>
          <w:p w14:paraId="0F2EEA31" w14:textId="77777777" w:rsidR="00FB19C0" w:rsidRPr="00BE78CA" w:rsidRDefault="00FB19C0" w:rsidP="00C26084">
            <w:pPr>
              <w:pStyle w:val="TableText"/>
              <w:spacing w:before="40" w:after="40"/>
              <w:jc w:val="center"/>
            </w:pPr>
            <w:r w:rsidRPr="00BE78CA">
              <w:t>1.59</w:t>
            </w:r>
          </w:p>
        </w:tc>
        <w:tc>
          <w:tcPr>
            <w:tcW w:w="1548" w:type="dxa"/>
            <w:tcBorders>
              <w:top w:val="single" w:sz="4" w:space="0" w:color="365F91"/>
              <w:left w:val="nil"/>
              <w:bottom w:val="single" w:sz="4" w:space="0" w:color="365F91"/>
              <w:right w:val="nil"/>
            </w:tcBorders>
            <w:hideMark/>
          </w:tcPr>
          <w:p w14:paraId="15DB23FC" w14:textId="77777777" w:rsidR="00FB19C0" w:rsidRPr="00BE78CA" w:rsidRDefault="00FB19C0" w:rsidP="00C26084">
            <w:pPr>
              <w:pStyle w:val="TableText"/>
              <w:spacing w:before="40" w:after="40"/>
              <w:jc w:val="center"/>
            </w:pPr>
            <w:r w:rsidRPr="00BE78CA">
              <w:t>0.17</w:t>
            </w:r>
          </w:p>
        </w:tc>
        <w:tc>
          <w:tcPr>
            <w:tcW w:w="1616" w:type="dxa"/>
            <w:tcBorders>
              <w:top w:val="single" w:sz="4" w:space="0" w:color="365F91"/>
              <w:left w:val="nil"/>
              <w:bottom w:val="single" w:sz="4" w:space="0" w:color="365F91"/>
              <w:right w:val="nil"/>
            </w:tcBorders>
            <w:hideMark/>
          </w:tcPr>
          <w:p w14:paraId="13002748" w14:textId="77777777" w:rsidR="00FB19C0" w:rsidRPr="00BE78CA" w:rsidRDefault="00FB19C0" w:rsidP="00C26084">
            <w:pPr>
              <w:pStyle w:val="TableText"/>
              <w:spacing w:before="40" w:after="40"/>
              <w:jc w:val="center"/>
            </w:pPr>
            <w:r w:rsidRPr="00BE78CA">
              <w:t>0.37</w:t>
            </w:r>
          </w:p>
        </w:tc>
        <w:tc>
          <w:tcPr>
            <w:tcW w:w="1358" w:type="dxa"/>
            <w:tcBorders>
              <w:top w:val="single" w:sz="4" w:space="0" w:color="365F91"/>
              <w:left w:val="nil"/>
              <w:bottom w:val="single" w:sz="4" w:space="0" w:color="365F91"/>
              <w:right w:val="nil"/>
            </w:tcBorders>
            <w:hideMark/>
          </w:tcPr>
          <w:p w14:paraId="07EFB97F" w14:textId="77777777" w:rsidR="00FB19C0" w:rsidRPr="00BE78CA" w:rsidRDefault="00FB19C0" w:rsidP="00C26084">
            <w:pPr>
              <w:pStyle w:val="TableText"/>
              <w:spacing w:before="40" w:after="40"/>
              <w:jc w:val="center"/>
            </w:pPr>
            <w:r w:rsidRPr="00BE78CA">
              <w:t>0.61</w:t>
            </w:r>
          </w:p>
        </w:tc>
        <w:tc>
          <w:tcPr>
            <w:tcW w:w="1576" w:type="dxa"/>
            <w:tcBorders>
              <w:top w:val="single" w:sz="4" w:space="0" w:color="365F91"/>
              <w:left w:val="nil"/>
              <w:bottom w:val="single" w:sz="4" w:space="0" w:color="365F91"/>
              <w:right w:val="nil"/>
            </w:tcBorders>
            <w:hideMark/>
          </w:tcPr>
          <w:p w14:paraId="12ABE36E" w14:textId="77777777" w:rsidR="00FB19C0" w:rsidRPr="00BE78CA" w:rsidRDefault="00FB19C0" w:rsidP="00C26084">
            <w:pPr>
              <w:pStyle w:val="TableText"/>
              <w:spacing w:before="40" w:after="40"/>
              <w:jc w:val="center"/>
            </w:pPr>
            <w:r w:rsidRPr="00BE78CA">
              <w:t>2.74</w:t>
            </w:r>
          </w:p>
        </w:tc>
      </w:tr>
      <w:tr w:rsidR="00FB19C0" w:rsidRPr="00BE78CA" w14:paraId="2C34E2F3" w14:textId="77777777" w:rsidTr="008F032F">
        <w:tc>
          <w:tcPr>
            <w:tcW w:w="925" w:type="dxa"/>
            <w:tcBorders>
              <w:top w:val="single" w:sz="4" w:space="0" w:color="365F91"/>
              <w:left w:val="nil"/>
              <w:bottom w:val="single" w:sz="4" w:space="0" w:color="365F91"/>
              <w:right w:val="nil"/>
            </w:tcBorders>
            <w:hideMark/>
          </w:tcPr>
          <w:p w14:paraId="35329463" w14:textId="77777777" w:rsidR="00FB19C0" w:rsidRPr="00BE78CA" w:rsidRDefault="00FB19C0" w:rsidP="00C26084">
            <w:pPr>
              <w:pStyle w:val="TableTextBold"/>
              <w:spacing w:before="40" w:after="40"/>
              <w:rPr>
                <w:noProof w:val="0"/>
              </w:rPr>
            </w:pPr>
            <w:r w:rsidRPr="00BE78CA">
              <w:rPr>
                <w:noProof w:val="0"/>
              </w:rPr>
              <w:t>2010</w:t>
            </w:r>
          </w:p>
        </w:tc>
        <w:tc>
          <w:tcPr>
            <w:tcW w:w="1590" w:type="dxa"/>
            <w:tcBorders>
              <w:top w:val="single" w:sz="4" w:space="0" w:color="365F91"/>
              <w:left w:val="nil"/>
              <w:bottom w:val="single" w:sz="4" w:space="0" w:color="365F91"/>
              <w:right w:val="nil"/>
            </w:tcBorders>
            <w:hideMark/>
          </w:tcPr>
          <w:p w14:paraId="707372FA" w14:textId="77777777" w:rsidR="00FB19C0" w:rsidRPr="00BE78CA" w:rsidRDefault="00FB19C0" w:rsidP="00C26084">
            <w:pPr>
              <w:pStyle w:val="TableText"/>
              <w:spacing w:before="40" w:after="40"/>
              <w:jc w:val="center"/>
            </w:pPr>
            <w:r w:rsidRPr="00BE78CA">
              <w:t>1.53</w:t>
            </w:r>
          </w:p>
        </w:tc>
        <w:tc>
          <w:tcPr>
            <w:tcW w:w="1548" w:type="dxa"/>
            <w:tcBorders>
              <w:top w:val="single" w:sz="4" w:space="0" w:color="365F91"/>
              <w:left w:val="nil"/>
              <w:bottom w:val="single" w:sz="4" w:space="0" w:color="365F91"/>
              <w:right w:val="nil"/>
            </w:tcBorders>
            <w:hideMark/>
          </w:tcPr>
          <w:p w14:paraId="180ED8EF" w14:textId="77777777" w:rsidR="00FB19C0" w:rsidRPr="00BE78CA" w:rsidRDefault="00FB19C0" w:rsidP="00C26084">
            <w:pPr>
              <w:pStyle w:val="TableText"/>
              <w:spacing w:before="40" w:after="40"/>
              <w:jc w:val="center"/>
            </w:pPr>
            <w:r w:rsidRPr="00BE78CA">
              <w:t>0.18</w:t>
            </w:r>
          </w:p>
        </w:tc>
        <w:tc>
          <w:tcPr>
            <w:tcW w:w="1616" w:type="dxa"/>
            <w:tcBorders>
              <w:top w:val="single" w:sz="4" w:space="0" w:color="365F91"/>
              <w:left w:val="nil"/>
              <w:bottom w:val="single" w:sz="4" w:space="0" w:color="365F91"/>
              <w:right w:val="nil"/>
            </w:tcBorders>
            <w:hideMark/>
          </w:tcPr>
          <w:p w14:paraId="0CA502E6" w14:textId="77777777" w:rsidR="00FB19C0" w:rsidRPr="00BE78CA" w:rsidRDefault="00FB19C0" w:rsidP="00C26084">
            <w:pPr>
              <w:pStyle w:val="TableText"/>
              <w:spacing w:before="40" w:after="40"/>
              <w:jc w:val="center"/>
            </w:pPr>
            <w:r w:rsidRPr="00BE78CA">
              <w:t>0.39</w:t>
            </w:r>
          </w:p>
        </w:tc>
        <w:tc>
          <w:tcPr>
            <w:tcW w:w="1358" w:type="dxa"/>
            <w:tcBorders>
              <w:top w:val="single" w:sz="4" w:space="0" w:color="365F91"/>
              <w:left w:val="nil"/>
              <w:bottom w:val="single" w:sz="4" w:space="0" w:color="365F91"/>
              <w:right w:val="nil"/>
            </w:tcBorders>
            <w:hideMark/>
          </w:tcPr>
          <w:p w14:paraId="316CDC44" w14:textId="77777777" w:rsidR="00FB19C0" w:rsidRPr="00BE78CA" w:rsidRDefault="00FB19C0" w:rsidP="00C26084">
            <w:pPr>
              <w:pStyle w:val="TableText"/>
              <w:spacing w:before="40" w:after="40"/>
              <w:jc w:val="center"/>
            </w:pPr>
            <w:r w:rsidRPr="00BE78CA">
              <w:t>0.61</w:t>
            </w:r>
          </w:p>
        </w:tc>
        <w:tc>
          <w:tcPr>
            <w:tcW w:w="1576" w:type="dxa"/>
            <w:tcBorders>
              <w:top w:val="single" w:sz="4" w:space="0" w:color="365F91"/>
              <w:left w:val="nil"/>
              <w:bottom w:val="single" w:sz="4" w:space="0" w:color="365F91"/>
              <w:right w:val="nil"/>
            </w:tcBorders>
            <w:hideMark/>
          </w:tcPr>
          <w:p w14:paraId="384AE4B6" w14:textId="77777777" w:rsidR="00FB19C0" w:rsidRPr="00BE78CA" w:rsidRDefault="00FB19C0" w:rsidP="00C26084">
            <w:pPr>
              <w:pStyle w:val="TableText"/>
              <w:spacing w:before="40" w:after="40"/>
              <w:jc w:val="center"/>
            </w:pPr>
            <w:r w:rsidRPr="00BE78CA">
              <w:t>2.72</w:t>
            </w:r>
          </w:p>
        </w:tc>
      </w:tr>
      <w:tr w:rsidR="00FB19C0" w:rsidRPr="00BE78CA" w14:paraId="7A2A75F5" w14:textId="77777777" w:rsidTr="008F032F">
        <w:tc>
          <w:tcPr>
            <w:tcW w:w="925" w:type="dxa"/>
            <w:tcBorders>
              <w:top w:val="single" w:sz="4" w:space="0" w:color="365F91"/>
              <w:left w:val="nil"/>
              <w:bottom w:val="single" w:sz="4" w:space="0" w:color="365F91"/>
              <w:right w:val="nil"/>
            </w:tcBorders>
            <w:hideMark/>
          </w:tcPr>
          <w:p w14:paraId="03F34D09" w14:textId="77777777" w:rsidR="00FB19C0" w:rsidRPr="00BE78CA" w:rsidRDefault="00FB19C0" w:rsidP="00C26084">
            <w:pPr>
              <w:pStyle w:val="TableTextBold"/>
              <w:spacing w:before="40" w:after="40"/>
              <w:rPr>
                <w:noProof w:val="0"/>
              </w:rPr>
            </w:pPr>
            <w:r w:rsidRPr="00BE78CA">
              <w:rPr>
                <w:noProof w:val="0"/>
              </w:rPr>
              <w:t>2011</w:t>
            </w:r>
          </w:p>
        </w:tc>
        <w:tc>
          <w:tcPr>
            <w:tcW w:w="1590" w:type="dxa"/>
            <w:tcBorders>
              <w:top w:val="single" w:sz="4" w:space="0" w:color="365F91"/>
              <w:left w:val="nil"/>
              <w:bottom w:val="single" w:sz="4" w:space="0" w:color="365F91"/>
              <w:right w:val="nil"/>
            </w:tcBorders>
            <w:hideMark/>
          </w:tcPr>
          <w:p w14:paraId="27DF140F" w14:textId="77777777" w:rsidR="00FB19C0" w:rsidRPr="00BE78CA" w:rsidRDefault="00FB19C0" w:rsidP="00C26084">
            <w:pPr>
              <w:pStyle w:val="TableText"/>
              <w:spacing w:before="40" w:after="40"/>
              <w:jc w:val="center"/>
            </w:pPr>
            <w:r w:rsidRPr="00BE78CA">
              <w:t>1.48</w:t>
            </w:r>
          </w:p>
        </w:tc>
        <w:tc>
          <w:tcPr>
            <w:tcW w:w="1548" w:type="dxa"/>
            <w:tcBorders>
              <w:top w:val="single" w:sz="4" w:space="0" w:color="365F91"/>
              <w:left w:val="nil"/>
              <w:bottom w:val="single" w:sz="4" w:space="0" w:color="365F91"/>
              <w:right w:val="nil"/>
            </w:tcBorders>
            <w:hideMark/>
          </w:tcPr>
          <w:p w14:paraId="3411495C" w14:textId="77777777" w:rsidR="00FB19C0" w:rsidRPr="00BE78CA" w:rsidRDefault="00FB19C0" w:rsidP="00C26084">
            <w:pPr>
              <w:pStyle w:val="TableText"/>
              <w:spacing w:before="40" w:after="40"/>
              <w:jc w:val="center"/>
            </w:pPr>
            <w:r w:rsidRPr="00BE78CA">
              <w:t>0.20</w:t>
            </w:r>
          </w:p>
        </w:tc>
        <w:tc>
          <w:tcPr>
            <w:tcW w:w="1616" w:type="dxa"/>
            <w:tcBorders>
              <w:top w:val="single" w:sz="4" w:space="0" w:color="365F91"/>
              <w:left w:val="nil"/>
              <w:bottom w:val="single" w:sz="4" w:space="0" w:color="365F91"/>
              <w:right w:val="nil"/>
            </w:tcBorders>
            <w:hideMark/>
          </w:tcPr>
          <w:p w14:paraId="163813F5" w14:textId="77777777" w:rsidR="00FB19C0" w:rsidRPr="00BE78CA" w:rsidRDefault="00FB19C0" w:rsidP="00C26084">
            <w:pPr>
              <w:pStyle w:val="TableText"/>
              <w:spacing w:before="40" w:after="40"/>
              <w:jc w:val="center"/>
            </w:pPr>
            <w:r w:rsidRPr="00BE78CA">
              <w:t>0.43</w:t>
            </w:r>
          </w:p>
        </w:tc>
        <w:tc>
          <w:tcPr>
            <w:tcW w:w="1358" w:type="dxa"/>
            <w:tcBorders>
              <w:top w:val="single" w:sz="4" w:space="0" w:color="365F91"/>
              <w:left w:val="nil"/>
              <w:bottom w:val="single" w:sz="4" w:space="0" w:color="365F91"/>
              <w:right w:val="nil"/>
            </w:tcBorders>
            <w:hideMark/>
          </w:tcPr>
          <w:p w14:paraId="00626710" w14:textId="77777777" w:rsidR="00FB19C0" w:rsidRPr="00BE78CA" w:rsidRDefault="00FB19C0" w:rsidP="00C26084">
            <w:pPr>
              <w:pStyle w:val="TableText"/>
              <w:spacing w:before="40" w:after="40"/>
              <w:jc w:val="center"/>
            </w:pPr>
            <w:r w:rsidRPr="00BE78CA">
              <w:t>0.61</w:t>
            </w:r>
          </w:p>
        </w:tc>
        <w:tc>
          <w:tcPr>
            <w:tcW w:w="1576" w:type="dxa"/>
            <w:tcBorders>
              <w:top w:val="single" w:sz="4" w:space="0" w:color="365F91"/>
              <w:left w:val="nil"/>
              <w:bottom w:val="single" w:sz="4" w:space="0" w:color="365F91"/>
              <w:right w:val="nil"/>
            </w:tcBorders>
            <w:hideMark/>
          </w:tcPr>
          <w:p w14:paraId="5A18881C" w14:textId="77777777" w:rsidR="00FB19C0" w:rsidRPr="00BE78CA" w:rsidRDefault="00FB19C0" w:rsidP="00C26084">
            <w:pPr>
              <w:pStyle w:val="TableText"/>
              <w:spacing w:before="40" w:after="40"/>
              <w:jc w:val="center"/>
            </w:pPr>
            <w:r w:rsidRPr="00BE78CA">
              <w:t>2.73</w:t>
            </w:r>
          </w:p>
        </w:tc>
      </w:tr>
      <w:tr w:rsidR="00FB19C0" w:rsidRPr="00BE78CA" w14:paraId="6B78ECB6" w14:textId="77777777" w:rsidTr="008F032F">
        <w:tc>
          <w:tcPr>
            <w:tcW w:w="925" w:type="dxa"/>
            <w:tcBorders>
              <w:top w:val="single" w:sz="4" w:space="0" w:color="365F91"/>
              <w:left w:val="nil"/>
              <w:bottom w:val="single" w:sz="4" w:space="0" w:color="365F91"/>
              <w:right w:val="nil"/>
            </w:tcBorders>
            <w:hideMark/>
          </w:tcPr>
          <w:p w14:paraId="49FC33C9" w14:textId="77777777" w:rsidR="00FB19C0" w:rsidRPr="00BE78CA" w:rsidRDefault="00FB19C0" w:rsidP="00C26084">
            <w:pPr>
              <w:pStyle w:val="TableTextBold"/>
              <w:spacing w:before="40" w:after="40"/>
              <w:rPr>
                <w:noProof w:val="0"/>
              </w:rPr>
            </w:pPr>
            <w:r w:rsidRPr="00BE78CA">
              <w:rPr>
                <w:noProof w:val="0"/>
              </w:rPr>
              <w:t>2012</w:t>
            </w:r>
          </w:p>
        </w:tc>
        <w:tc>
          <w:tcPr>
            <w:tcW w:w="1590" w:type="dxa"/>
            <w:tcBorders>
              <w:top w:val="single" w:sz="4" w:space="0" w:color="365F91"/>
              <w:left w:val="nil"/>
              <w:bottom w:val="single" w:sz="4" w:space="0" w:color="365F91"/>
              <w:right w:val="nil"/>
            </w:tcBorders>
            <w:hideMark/>
          </w:tcPr>
          <w:p w14:paraId="6B5B828E" w14:textId="77777777" w:rsidR="00FB19C0" w:rsidRPr="00BE78CA" w:rsidRDefault="00FB19C0" w:rsidP="00C26084">
            <w:pPr>
              <w:pStyle w:val="TableText"/>
              <w:spacing w:before="40" w:after="40"/>
              <w:jc w:val="center"/>
            </w:pPr>
            <w:r w:rsidRPr="00BE78CA">
              <w:t>1.47</w:t>
            </w:r>
          </w:p>
        </w:tc>
        <w:tc>
          <w:tcPr>
            <w:tcW w:w="1548" w:type="dxa"/>
            <w:tcBorders>
              <w:top w:val="single" w:sz="4" w:space="0" w:color="365F91"/>
              <w:left w:val="nil"/>
              <w:bottom w:val="single" w:sz="4" w:space="0" w:color="365F91"/>
              <w:right w:val="nil"/>
            </w:tcBorders>
            <w:hideMark/>
          </w:tcPr>
          <w:p w14:paraId="30AC67F0" w14:textId="77777777" w:rsidR="00FB19C0" w:rsidRPr="00BE78CA" w:rsidRDefault="00FB19C0" w:rsidP="00C26084">
            <w:pPr>
              <w:pStyle w:val="TableText"/>
              <w:spacing w:before="40" w:after="40"/>
              <w:jc w:val="center"/>
            </w:pPr>
            <w:r w:rsidRPr="00BE78CA">
              <w:t>0.21</w:t>
            </w:r>
          </w:p>
        </w:tc>
        <w:tc>
          <w:tcPr>
            <w:tcW w:w="1616" w:type="dxa"/>
            <w:tcBorders>
              <w:top w:val="single" w:sz="4" w:space="0" w:color="365F91"/>
              <w:left w:val="nil"/>
              <w:bottom w:val="single" w:sz="4" w:space="0" w:color="365F91"/>
              <w:right w:val="nil"/>
            </w:tcBorders>
            <w:hideMark/>
          </w:tcPr>
          <w:p w14:paraId="611C40D2" w14:textId="77777777" w:rsidR="00FB19C0" w:rsidRPr="00BE78CA" w:rsidRDefault="00FB19C0" w:rsidP="00C26084">
            <w:pPr>
              <w:pStyle w:val="TableText"/>
              <w:spacing w:before="40" w:after="40"/>
              <w:jc w:val="center"/>
            </w:pPr>
            <w:r w:rsidRPr="00BE78CA">
              <w:t>0.42</w:t>
            </w:r>
          </w:p>
        </w:tc>
        <w:tc>
          <w:tcPr>
            <w:tcW w:w="1358" w:type="dxa"/>
            <w:tcBorders>
              <w:top w:val="single" w:sz="4" w:space="0" w:color="365F91"/>
              <w:left w:val="nil"/>
              <w:bottom w:val="single" w:sz="4" w:space="0" w:color="365F91"/>
              <w:right w:val="nil"/>
            </w:tcBorders>
            <w:hideMark/>
          </w:tcPr>
          <w:p w14:paraId="13EFA1F1" w14:textId="77777777" w:rsidR="00FB19C0" w:rsidRPr="00BE78CA" w:rsidRDefault="00FB19C0" w:rsidP="00C26084">
            <w:pPr>
              <w:pStyle w:val="TableText"/>
              <w:spacing w:before="40" w:after="40"/>
              <w:jc w:val="center"/>
            </w:pPr>
            <w:r w:rsidRPr="00BE78CA">
              <w:t>0.61</w:t>
            </w:r>
          </w:p>
        </w:tc>
        <w:tc>
          <w:tcPr>
            <w:tcW w:w="1576" w:type="dxa"/>
            <w:tcBorders>
              <w:top w:val="single" w:sz="4" w:space="0" w:color="365F91"/>
              <w:left w:val="nil"/>
              <w:bottom w:val="single" w:sz="4" w:space="0" w:color="365F91"/>
              <w:right w:val="nil"/>
            </w:tcBorders>
            <w:hideMark/>
          </w:tcPr>
          <w:p w14:paraId="6B24525F" w14:textId="77777777" w:rsidR="00FB19C0" w:rsidRPr="00BE78CA" w:rsidRDefault="00FB19C0" w:rsidP="00C26084">
            <w:pPr>
              <w:pStyle w:val="TableText"/>
              <w:spacing w:before="40" w:after="40"/>
              <w:jc w:val="center"/>
            </w:pPr>
            <w:r w:rsidRPr="00BE78CA">
              <w:t>2.72</w:t>
            </w:r>
          </w:p>
        </w:tc>
      </w:tr>
      <w:tr w:rsidR="00FB19C0" w:rsidRPr="00BE78CA" w14:paraId="38971202" w14:textId="77777777" w:rsidTr="008F032F">
        <w:tc>
          <w:tcPr>
            <w:tcW w:w="925" w:type="dxa"/>
            <w:tcBorders>
              <w:top w:val="single" w:sz="4" w:space="0" w:color="365F91"/>
              <w:left w:val="nil"/>
              <w:bottom w:val="single" w:sz="4" w:space="0" w:color="365F91"/>
              <w:right w:val="nil"/>
            </w:tcBorders>
            <w:hideMark/>
          </w:tcPr>
          <w:p w14:paraId="191DF908" w14:textId="77777777" w:rsidR="00FB19C0" w:rsidRPr="00BE78CA" w:rsidRDefault="00FB19C0" w:rsidP="00C26084">
            <w:pPr>
              <w:pStyle w:val="TableTextBold"/>
              <w:spacing w:before="40" w:after="40"/>
              <w:rPr>
                <w:noProof w:val="0"/>
              </w:rPr>
            </w:pPr>
            <w:r w:rsidRPr="00BE78CA">
              <w:rPr>
                <w:noProof w:val="0"/>
              </w:rPr>
              <w:t>2013</w:t>
            </w:r>
          </w:p>
        </w:tc>
        <w:tc>
          <w:tcPr>
            <w:tcW w:w="1590" w:type="dxa"/>
            <w:tcBorders>
              <w:top w:val="single" w:sz="4" w:space="0" w:color="365F91"/>
              <w:left w:val="nil"/>
              <w:bottom w:val="single" w:sz="4" w:space="0" w:color="365F91"/>
              <w:right w:val="nil"/>
            </w:tcBorders>
            <w:hideMark/>
          </w:tcPr>
          <w:p w14:paraId="2DE76593" w14:textId="77777777" w:rsidR="00FB19C0" w:rsidRPr="00BE78CA" w:rsidRDefault="00FB19C0" w:rsidP="00C26084">
            <w:pPr>
              <w:pStyle w:val="TableText"/>
              <w:spacing w:before="40" w:after="40"/>
              <w:jc w:val="center"/>
            </w:pPr>
            <w:r w:rsidRPr="00BE78CA">
              <w:t>1.53</w:t>
            </w:r>
          </w:p>
        </w:tc>
        <w:tc>
          <w:tcPr>
            <w:tcW w:w="1548" w:type="dxa"/>
            <w:tcBorders>
              <w:top w:val="single" w:sz="4" w:space="0" w:color="365F91"/>
              <w:left w:val="nil"/>
              <w:bottom w:val="single" w:sz="4" w:space="0" w:color="365F91"/>
              <w:right w:val="nil"/>
            </w:tcBorders>
            <w:hideMark/>
          </w:tcPr>
          <w:p w14:paraId="21307EB0" w14:textId="77777777" w:rsidR="00FB19C0" w:rsidRPr="00BE78CA" w:rsidRDefault="00FB19C0" w:rsidP="00C26084">
            <w:pPr>
              <w:pStyle w:val="TableText"/>
              <w:spacing w:before="40" w:after="40"/>
              <w:jc w:val="center"/>
            </w:pPr>
            <w:r w:rsidRPr="00BE78CA">
              <w:t>0.22</w:t>
            </w:r>
          </w:p>
        </w:tc>
        <w:tc>
          <w:tcPr>
            <w:tcW w:w="1616" w:type="dxa"/>
            <w:tcBorders>
              <w:top w:val="single" w:sz="4" w:space="0" w:color="365F91"/>
              <w:left w:val="nil"/>
              <w:bottom w:val="single" w:sz="4" w:space="0" w:color="365F91"/>
              <w:right w:val="nil"/>
            </w:tcBorders>
            <w:hideMark/>
          </w:tcPr>
          <w:p w14:paraId="5C78E7F3" w14:textId="77777777" w:rsidR="00FB19C0" w:rsidRPr="00BE78CA" w:rsidRDefault="00FB19C0" w:rsidP="00C26084">
            <w:pPr>
              <w:pStyle w:val="TableText"/>
              <w:spacing w:before="40" w:after="40"/>
              <w:jc w:val="center"/>
            </w:pPr>
            <w:r w:rsidRPr="00BE78CA">
              <w:t>0.46</w:t>
            </w:r>
          </w:p>
        </w:tc>
        <w:tc>
          <w:tcPr>
            <w:tcW w:w="1358" w:type="dxa"/>
            <w:tcBorders>
              <w:top w:val="single" w:sz="4" w:space="0" w:color="365F91"/>
              <w:left w:val="nil"/>
              <w:bottom w:val="single" w:sz="4" w:space="0" w:color="365F91"/>
              <w:right w:val="nil"/>
            </w:tcBorders>
            <w:hideMark/>
          </w:tcPr>
          <w:p w14:paraId="25673018" w14:textId="77777777" w:rsidR="00FB19C0" w:rsidRPr="00BE78CA" w:rsidRDefault="00FB19C0" w:rsidP="00C26084">
            <w:pPr>
              <w:pStyle w:val="TableText"/>
              <w:spacing w:before="40" w:after="40"/>
              <w:jc w:val="center"/>
            </w:pPr>
            <w:r w:rsidRPr="00BE78CA">
              <w:t>0.61</w:t>
            </w:r>
          </w:p>
        </w:tc>
        <w:tc>
          <w:tcPr>
            <w:tcW w:w="1576" w:type="dxa"/>
            <w:tcBorders>
              <w:top w:val="single" w:sz="4" w:space="0" w:color="365F91"/>
              <w:left w:val="nil"/>
              <w:bottom w:val="single" w:sz="4" w:space="0" w:color="365F91"/>
              <w:right w:val="nil"/>
            </w:tcBorders>
            <w:hideMark/>
          </w:tcPr>
          <w:p w14:paraId="02ACC1E5" w14:textId="77777777" w:rsidR="00FB19C0" w:rsidRPr="00BE78CA" w:rsidRDefault="00FB19C0" w:rsidP="00C26084">
            <w:pPr>
              <w:pStyle w:val="TableText"/>
              <w:spacing w:before="40" w:after="40"/>
              <w:jc w:val="center"/>
            </w:pPr>
            <w:r w:rsidRPr="00BE78CA">
              <w:t>2.82</w:t>
            </w:r>
          </w:p>
        </w:tc>
      </w:tr>
      <w:tr w:rsidR="00FB19C0" w:rsidRPr="00BE78CA" w14:paraId="650FC4C8" w14:textId="77777777" w:rsidTr="008F032F">
        <w:tc>
          <w:tcPr>
            <w:tcW w:w="925" w:type="dxa"/>
            <w:tcBorders>
              <w:top w:val="single" w:sz="4" w:space="0" w:color="365F91"/>
              <w:left w:val="nil"/>
              <w:bottom w:val="single" w:sz="4" w:space="0" w:color="365F91"/>
              <w:right w:val="nil"/>
            </w:tcBorders>
            <w:hideMark/>
          </w:tcPr>
          <w:p w14:paraId="169AA9D4" w14:textId="77777777" w:rsidR="00FB19C0" w:rsidRPr="00BE78CA" w:rsidRDefault="00FB19C0" w:rsidP="00C26084">
            <w:pPr>
              <w:pStyle w:val="TableTextBold"/>
              <w:spacing w:before="40" w:after="40"/>
              <w:rPr>
                <w:noProof w:val="0"/>
              </w:rPr>
            </w:pPr>
            <w:r w:rsidRPr="00BE78CA">
              <w:rPr>
                <w:noProof w:val="0"/>
              </w:rPr>
              <w:t>2014</w:t>
            </w:r>
          </w:p>
        </w:tc>
        <w:tc>
          <w:tcPr>
            <w:tcW w:w="1590" w:type="dxa"/>
            <w:tcBorders>
              <w:top w:val="single" w:sz="4" w:space="0" w:color="365F91"/>
              <w:left w:val="nil"/>
              <w:bottom w:val="single" w:sz="4" w:space="0" w:color="365F91"/>
              <w:right w:val="nil"/>
            </w:tcBorders>
            <w:hideMark/>
          </w:tcPr>
          <w:p w14:paraId="4671DEFD" w14:textId="77777777" w:rsidR="00FB19C0" w:rsidRPr="00BE78CA" w:rsidRDefault="00FB19C0" w:rsidP="00C26084">
            <w:pPr>
              <w:pStyle w:val="TableText"/>
              <w:spacing w:before="40" w:after="40"/>
              <w:jc w:val="center"/>
            </w:pPr>
            <w:r w:rsidRPr="00BE78CA">
              <w:t>1.54</w:t>
            </w:r>
          </w:p>
        </w:tc>
        <w:tc>
          <w:tcPr>
            <w:tcW w:w="1548" w:type="dxa"/>
            <w:tcBorders>
              <w:top w:val="single" w:sz="4" w:space="0" w:color="365F91"/>
              <w:left w:val="nil"/>
              <w:bottom w:val="single" w:sz="4" w:space="0" w:color="365F91"/>
              <w:right w:val="nil"/>
            </w:tcBorders>
            <w:hideMark/>
          </w:tcPr>
          <w:p w14:paraId="198479DD" w14:textId="77777777" w:rsidR="00FB19C0" w:rsidRPr="00BE78CA" w:rsidRDefault="00FB19C0" w:rsidP="00C26084">
            <w:pPr>
              <w:pStyle w:val="TableText"/>
              <w:spacing w:before="40" w:after="40"/>
              <w:jc w:val="center"/>
            </w:pPr>
            <w:r w:rsidRPr="00BE78CA">
              <w:t>0.23</w:t>
            </w:r>
          </w:p>
        </w:tc>
        <w:tc>
          <w:tcPr>
            <w:tcW w:w="1616" w:type="dxa"/>
            <w:tcBorders>
              <w:top w:val="single" w:sz="4" w:space="0" w:color="365F91"/>
              <w:left w:val="nil"/>
              <w:bottom w:val="single" w:sz="4" w:space="0" w:color="365F91"/>
              <w:right w:val="nil"/>
            </w:tcBorders>
            <w:hideMark/>
          </w:tcPr>
          <w:p w14:paraId="0A43C09F" w14:textId="77777777" w:rsidR="00FB19C0" w:rsidRPr="00BE78CA" w:rsidRDefault="00FB19C0" w:rsidP="00C26084">
            <w:pPr>
              <w:pStyle w:val="TableText"/>
              <w:spacing w:before="40" w:after="40"/>
              <w:jc w:val="center"/>
            </w:pPr>
            <w:r w:rsidRPr="00BE78CA">
              <w:t>0.48</w:t>
            </w:r>
          </w:p>
        </w:tc>
        <w:tc>
          <w:tcPr>
            <w:tcW w:w="1358" w:type="dxa"/>
            <w:tcBorders>
              <w:top w:val="single" w:sz="4" w:space="0" w:color="365F91"/>
              <w:left w:val="nil"/>
              <w:bottom w:val="single" w:sz="4" w:space="0" w:color="365F91"/>
              <w:right w:val="nil"/>
            </w:tcBorders>
            <w:hideMark/>
          </w:tcPr>
          <w:p w14:paraId="6441431D" w14:textId="77777777" w:rsidR="00FB19C0" w:rsidRPr="00BE78CA" w:rsidRDefault="00FB19C0" w:rsidP="00C26084">
            <w:pPr>
              <w:pStyle w:val="TableText"/>
              <w:spacing w:before="40" w:after="40"/>
              <w:jc w:val="center"/>
            </w:pPr>
            <w:r w:rsidRPr="00BE78CA">
              <w:t>0.61</w:t>
            </w:r>
          </w:p>
        </w:tc>
        <w:tc>
          <w:tcPr>
            <w:tcW w:w="1576" w:type="dxa"/>
            <w:tcBorders>
              <w:top w:val="single" w:sz="4" w:space="0" w:color="365F91"/>
              <w:left w:val="nil"/>
              <w:bottom w:val="single" w:sz="4" w:space="0" w:color="365F91"/>
              <w:right w:val="nil"/>
            </w:tcBorders>
            <w:hideMark/>
          </w:tcPr>
          <w:p w14:paraId="36B8A7F2" w14:textId="77777777" w:rsidR="00FB19C0" w:rsidRPr="00BE78CA" w:rsidRDefault="00FB19C0" w:rsidP="00C26084">
            <w:pPr>
              <w:pStyle w:val="TableText"/>
              <w:spacing w:before="40" w:after="40"/>
              <w:jc w:val="center"/>
            </w:pPr>
            <w:r w:rsidRPr="00BE78CA">
              <w:t>2.86</w:t>
            </w:r>
          </w:p>
        </w:tc>
      </w:tr>
      <w:tr w:rsidR="00FB19C0" w:rsidRPr="00BE78CA" w14:paraId="1EFD3B3F" w14:textId="77777777" w:rsidTr="008F032F">
        <w:tc>
          <w:tcPr>
            <w:tcW w:w="925" w:type="dxa"/>
            <w:tcBorders>
              <w:top w:val="single" w:sz="4" w:space="0" w:color="365F91"/>
              <w:left w:val="nil"/>
              <w:bottom w:val="single" w:sz="4" w:space="0" w:color="365F91"/>
              <w:right w:val="nil"/>
            </w:tcBorders>
            <w:hideMark/>
          </w:tcPr>
          <w:p w14:paraId="28FD0CA4" w14:textId="77777777" w:rsidR="00FB19C0" w:rsidRPr="00BE78CA" w:rsidRDefault="00FB19C0" w:rsidP="00C26084">
            <w:pPr>
              <w:pStyle w:val="TableTextBold"/>
              <w:spacing w:before="40" w:after="40"/>
              <w:rPr>
                <w:noProof w:val="0"/>
              </w:rPr>
            </w:pPr>
            <w:r w:rsidRPr="00BE78CA">
              <w:rPr>
                <w:noProof w:val="0"/>
              </w:rPr>
              <w:t>2015</w:t>
            </w:r>
          </w:p>
        </w:tc>
        <w:tc>
          <w:tcPr>
            <w:tcW w:w="1590" w:type="dxa"/>
            <w:tcBorders>
              <w:top w:val="single" w:sz="4" w:space="0" w:color="365F91"/>
              <w:left w:val="nil"/>
              <w:bottom w:val="single" w:sz="4" w:space="0" w:color="365F91"/>
              <w:right w:val="nil"/>
            </w:tcBorders>
            <w:hideMark/>
          </w:tcPr>
          <w:p w14:paraId="0EDABD35" w14:textId="77777777" w:rsidR="00FB19C0" w:rsidRPr="00BE78CA" w:rsidRDefault="00FB19C0" w:rsidP="00C26084">
            <w:pPr>
              <w:pStyle w:val="TableText"/>
              <w:spacing w:before="40" w:after="40"/>
              <w:jc w:val="center"/>
            </w:pPr>
            <w:r w:rsidRPr="00BE78CA">
              <w:t>1.59</w:t>
            </w:r>
          </w:p>
        </w:tc>
        <w:tc>
          <w:tcPr>
            <w:tcW w:w="1548" w:type="dxa"/>
            <w:tcBorders>
              <w:top w:val="single" w:sz="4" w:space="0" w:color="365F91"/>
              <w:left w:val="nil"/>
              <w:bottom w:val="single" w:sz="4" w:space="0" w:color="365F91"/>
              <w:right w:val="nil"/>
            </w:tcBorders>
            <w:hideMark/>
          </w:tcPr>
          <w:p w14:paraId="7899549F" w14:textId="77777777" w:rsidR="00FB19C0" w:rsidRPr="00BE78CA" w:rsidRDefault="00FB19C0" w:rsidP="00C26084">
            <w:pPr>
              <w:pStyle w:val="TableText"/>
              <w:spacing w:before="40" w:after="40"/>
              <w:jc w:val="center"/>
            </w:pPr>
            <w:r w:rsidRPr="00BE78CA">
              <w:t>0.25</w:t>
            </w:r>
          </w:p>
        </w:tc>
        <w:tc>
          <w:tcPr>
            <w:tcW w:w="1616" w:type="dxa"/>
            <w:tcBorders>
              <w:top w:val="single" w:sz="4" w:space="0" w:color="365F91"/>
              <w:left w:val="nil"/>
              <w:bottom w:val="single" w:sz="4" w:space="0" w:color="365F91"/>
              <w:right w:val="nil"/>
            </w:tcBorders>
            <w:hideMark/>
          </w:tcPr>
          <w:p w14:paraId="2D5044B5" w14:textId="77777777" w:rsidR="00FB19C0" w:rsidRPr="00BE78CA" w:rsidRDefault="00FB19C0" w:rsidP="00C26084">
            <w:pPr>
              <w:pStyle w:val="TableText"/>
              <w:spacing w:before="40" w:after="40"/>
              <w:jc w:val="center"/>
            </w:pPr>
            <w:r w:rsidRPr="00BE78CA">
              <w:t>0.47</w:t>
            </w:r>
          </w:p>
        </w:tc>
        <w:tc>
          <w:tcPr>
            <w:tcW w:w="1358" w:type="dxa"/>
            <w:tcBorders>
              <w:top w:val="single" w:sz="4" w:space="0" w:color="365F91"/>
              <w:left w:val="nil"/>
              <w:bottom w:val="single" w:sz="4" w:space="0" w:color="365F91"/>
              <w:right w:val="nil"/>
            </w:tcBorders>
            <w:hideMark/>
          </w:tcPr>
          <w:p w14:paraId="7B68B1C9" w14:textId="77777777" w:rsidR="00FB19C0" w:rsidRPr="00BE78CA" w:rsidRDefault="00FB19C0" w:rsidP="00C26084">
            <w:pPr>
              <w:pStyle w:val="TableText"/>
              <w:spacing w:before="40" w:after="40"/>
              <w:jc w:val="center"/>
            </w:pPr>
            <w:r w:rsidRPr="00BE78CA">
              <w:t>0.61</w:t>
            </w:r>
          </w:p>
        </w:tc>
        <w:tc>
          <w:tcPr>
            <w:tcW w:w="1576" w:type="dxa"/>
            <w:tcBorders>
              <w:top w:val="single" w:sz="4" w:space="0" w:color="365F91"/>
              <w:left w:val="nil"/>
              <w:bottom w:val="single" w:sz="4" w:space="0" w:color="365F91"/>
              <w:right w:val="nil"/>
            </w:tcBorders>
            <w:hideMark/>
          </w:tcPr>
          <w:p w14:paraId="7A796AA5" w14:textId="77777777" w:rsidR="00FB19C0" w:rsidRPr="00BE78CA" w:rsidRDefault="00FB19C0" w:rsidP="00C26084">
            <w:pPr>
              <w:pStyle w:val="TableText"/>
              <w:spacing w:before="40" w:after="40"/>
              <w:jc w:val="center"/>
            </w:pPr>
            <w:r w:rsidRPr="00BE78CA">
              <w:t>2.92</w:t>
            </w:r>
          </w:p>
        </w:tc>
      </w:tr>
      <w:tr w:rsidR="00FB19C0" w:rsidRPr="00BE78CA" w14:paraId="0D5FDB42" w14:textId="77777777" w:rsidTr="008F032F">
        <w:tc>
          <w:tcPr>
            <w:tcW w:w="925" w:type="dxa"/>
            <w:tcBorders>
              <w:top w:val="single" w:sz="4" w:space="0" w:color="365F91"/>
              <w:left w:val="nil"/>
              <w:bottom w:val="single" w:sz="4" w:space="0" w:color="365F91"/>
              <w:right w:val="nil"/>
            </w:tcBorders>
            <w:hideMark/>
          </w:tcPr>
          <w:p w14:paraId="73D6AABD" w14:textId="77777777" w:rsidR="00FB19C0" w:rsidRPr="00BE78CA" w:rsidRDefault="00FB19C0" w:rsidP="00C26084">
            <w:pPr>
              <w:pStyle w:val="TableTextBold"/>
              <w:spacing w:before="40" w:after="40"/>
              <w:rPr>
                <w:noProof w:val="0"/>
              </w:rPr>
            </w:pPr>
            <w:r w:rsidRPr="00BE78CA">
              <w:rPr>
                <w:noProof w:val="0"/>
              </w:rPr>
              <w:t>2016</w:t>
            </w:r>
          </w:p>
        </w:tc>
        <w:tc>
          <w:tcPr>
            <w:tcW w:w="1590" w:type="dxa"/>
            <w:tcBorders>
              <w:top w:val="single" w:sz="4" w:space="0" w:color="365F91"/>
              <w:left w:val="nil"/>
              <w:bottom w:val="single" w:sz="4" w:space="0" w:color="365F91"/>
              <w:right w:val="nil"/>
            </w:tcBorders>
            <w:hideMark/>
          </w:tcPr>
          <w:p w14:paraId="0D61001C" w14:textId="77777777" w:rsidR="00FB19C0" w:rsidRPr="00BE78CA" w:rsidRDefault="00FB19C0" w:rsidP="00C26084">
            <w:pPr>
              <w:pStyle w:val="TableText"/>
              <w:spacing w:before="40" w:after="40"/>
              <w:jc w:val="center"/>
            </w:pPr>
            <w:r w:rsidRPr="00BE78CA">
              <w:t>1.51</w:t>
            </w:r>
          </w:p>
        </w:tc>
        <w:tc>
          <w:tcPr>
            <w:tcW w:w="1548" w:type="dxa"/>
            <w:tcBorders>
              <w:top w:val="single" w:sz="4" w:space="0" w:color="365F91"/>
              <w:left w:val="nil"/>
              <w:bottom w:val="single" w:sz="4" w:space="0" w:color="365F91"/>
              <w:right w:val="nil"/>
            </w:tcBorders>
            <w:hideMark/>
          </w:tcPr>
          <w:p w14:paraId="5D4DF7EE" w14:textId="77777777" w:rsidR="00FB19C0" w:rsidRPr="00BE78CA" w:rsidRDefault="00FB19C0" w:rsidP="00C26084">
            <w:pPr>
              <w:pStyle w:val="TableText"/>
              <w:spacing w:before="40" w:after="40"/>
              <w:jc w:val="center"/>
            </w:pPr>
            <w:r w:rsidRPr="00BE78CA">
              <w:t>0.27</w:t>
            </w:r>
          </w:p>
        </w:tc>
        <w:tc>
          <w:tcPr>
            <w:tcW w:w="1616" w:type="dxa"/>
            <w:tcBorders>
              <w:top w:val="single" w:sz="4" w:space="0" w:color="365F91"/>
              <w:left w:val="nil"/>
              <w:bottom w:val="single" w:sz="4" w:space="0" w:color="365F91"/>
              <w:right w:val="nil"/>
            </w:tcBorders>
            <w:hideMark/>
          </w:tcPr>
          <w:p w14:paraId="132D436D" w14:textId="77777777" w:rsidR="00FB19C0" w:rsidRPr="00BE78CA" w:rsidRDefault="00FB19C0" w:rsidP="00C26084">
            <w:pPr>
              <w:pStyle w:val="TableText"/>
              <w:spacing w:before="40" w:after="40"/>
              <w:jc w:val="center"/>
            </w:pPr>
            <w:r w:rsidRPr="00BE78CA">
              <w:t>0.47</w:t>
            </w:r>
          </w:p>
        </w:tc>
        <w:tc>
          <w:tcPr>
            <w:tcW w:w="1358" w:type="dxa"/>
            <w:tcBorders>
              <w:top w:val="single" w:sz="4" w:space="0" w:color="365F91"/>
              <w:left w:val="nil"/>
              <w:bottom w:val="single" w:sz="4" w:space="0" w:color="365F91"/>
              <w:right w:val="nil"/>
            </w:tcBorders>
            <w:hideMark/>
          </w:tcPr>
          <w:p w14:paraId="4A805788" w14:textId="77777777" w:rsidR="00FB19C0" w:rsidRPr="00BE78CA" w:rsidRDefault="00FB19C0" w:rsidP="00C26084">
            <w:pPr>
              <w:pStyle w:val="TableText"/>
              <w:spacing w:before="40" w:after="40"/>
              <w:jc w:val="center"/>
            </w:pPr>
            <w:r w:rsidRPr="00BE78CA">
              <w:t>0.61</w:t>
            </w:r>
          </w:p>
        </w:tc>
        <w:tc>
          <w:tcPr>
            <w:tcW w:w="1576" w:type="dxa"/>
            <w:tcBorders>
              <w:top w:val="single" w:sz="4" w:space="0" w:color="365F91"/>
              <w:left w:val="nil"/>
              <w:bottom w:val="single" w:sz="4" w:space="0" w:color="365F91"/>
              <w:right w:val="nil"/>
            </w:tcBorders>
            <w:hideMark/>
          </w:tcPr>
          <w:p w14:paraId="38AAD951" w14:textId="77777777" w:rsidR="00FB19C0" w:rsidRPr="00BE78CA" w:rsidRDefault="00FB19C0" w:rsidP="00C26084">
            <w:pPr>
              <w:pStyle w:val="TableText"/>
              <w:spacing w:before="40" w:after="40"/>
              <w:jc w:val="center"/>
            </w:pPr>
            <w:r w:rsidRPr="00BE78CA">
              <w:t>2.85</w:t>
            </w:r>
          </w:p>
        </w:tc>
      </w:tr>
      <w:tr w:rsidR="00FB19C0" w:rsidRPr="00BE78CA" w14:paraId="2851C185" w14:textId="77777777" w:rsidTr="008F032F">
        <w:tc>
          <w:tcPr>
            <w:tcW w:w="925" w:type="dxa"/>
            <w:tcBorders>
              <w:top w:val="single" w:sz="4" w:space="0" w:color="365F91"/>
              <w:left w:val="nil"/>
              <w:bottom w:val="single" w:sz="4" w:space="0" w:color="365F91"/>
              <w:right w:val="nil"/>
            </w:tcBorders>
            <w:hideMark/>
          </w:tcPr>
          <w:p w14:paraId="316B3CDB" w14:textId="77777777" w:rsidR="00FB19C0" w:rsidRPr="00BE78CA" w:rsidRDefault="00FB19C0" w:rsidP="00C26084">
            <w:pPr>
              <w:pStyle w:val="TableTextBold"/>
              <w:spacing w:before="40" w:after="40"/>
              <w:rPr>
                <w:noProof w:val="0"/>
              </w:rPr>
            </w:pPr>
            <w:r w:rsidRPr="00BE78CA">
              <w:rPr>
                <w:noProof w:val="0"/>
              </w:rPr>
              <w:t>2017</w:t>
            </w:r>
          </w:p>
        </w:tc>
        <w:tc>
          <w:tcPr>
            <w:tcW w:w="1590" w:type="dxa"/>
            <w:tcBorders>
              <w:top w:val="single" w:sz="4" w:space="0" w:color="365F91"/>
              <w:left w:val="nil"/>
              <w:bottom w:val="single" w:sz="4" w:space="0" w:color="365F91"/>
              <w:right w:val="nil"/>
            </w:tcBorders>
            <w:hideMark/>
          </w:tcPr>
          <w:p w14:paraId="7A0A7B24" w14:textId="77777777" w:rsidR="00FB19C0" w:rsidRPr="00BE78CA" w:rsidRDefault="00FB19C0" w:rsidP="00C26084">
            <w:pPr>
              <w:pStyle w:val="TableText"/>
              <w:spacing w:before="40" w:after="40"/>
              <w:jc w:val="center"/>
            </w:pPr>
            <w:r w:rsidRPr="00BE78CA">
              <w:t>1.55</w:t>
            </w:r>
          </w:p>
        </w:tc>
        <w:tc>
          <w:tcPr>
            <w:tcW w:w="1548" w:type="dxa"/>
            <w:tcBorders>
              <w:top w:val="single" w:sz="4" w:space="0" w:color="365F91"/>
              <w:left w:val="nil"/>
              <w:bottom w:val="single" w:sz="4" w:space="0" w:color="365F91"/>
              <w:right w:val="nil"/>
            </w:tcBorders>
            <w:hideMark/>
          </w:tcPr>
          <w:p w14:paraId="7F230F42" w14:textId="77777777" w:rsidR="00FB19C0" w:rsidRPr="00BE78CA" w:rsidRDefault="00FB19C0" w:rsidP="00C26084">
            <w:pPr>
              <w:pStyle w:val="TableText"/>
              <w:spacing w:before="40" w:after="40"/>
              <w:jc w:val="center"/>
            </w:pPr>
            <w:r w:rsidRPr="00BE78CA">
              <w:t>0.28</w:t>
            </w:r>
          </w:p>
        </w:tc>
        <w:tc>
          <w:tcPr>
            <w:tcW w:w="1616" w:type="dxa"/>
            <w:tcBorders>
              <w:top w:val="single" w:sz="4" w:space="0" w:color="365F91"/>
              <w:left w:val="nil"/>
              <w:bottom w:val="single" w:sz="4" w:space="0" w:color="365F91"/>
              <w:right w:val="nil"/>
            </w:tcBorders>
            <w:hideMark/>
          </w:tcPr>
          <w:p w14:paraId="7F0D487D" w14:textId="77777777" w:rsidR="00FB19C0" w:rsidRPr="00BE78CA" w:rsidRDefault="00FB19C0" w:rsidP="00C26084">
            <w:pPr>
              <w:pStyle w:val="TableText"/>
              <w:spacing w:before="40" w:after="40"/>
              <w:jc w:val="center"/>
            </w:pPr>
            <w:r w:rsidRPr="00BE78CA">
              <w:t>0.47</w:t>
            </w:r>
          </w:p>
        </w:tc>
        <w:tc>
          <w:tcPr>
            <w:tcW w:w="1358" w:type="dxa"/>
            <w:tcBorders>
              <w:top w:val="single" w:sz="4" w:space="0" w:color="365F91"/>
              <w:left w:val="nil"/>
              <w:bottom w:val="single" w:sz="4" w:space="0" w:color="365F91"/>
              <w:right w:val="nil"/>
            </w:tcBorders>
            <w:hideMark/>
          </w:tcPr>
          <w:p w14:paraId="3BA2EACE" w14:textId="77777777" w:rsidR="00FB19C0" w:rsidRPr="00BE78CA" w:rsidRDefault="00FB19C0" w:rsidP="00C26084">
            <w:pPr>
              <w:pStyle w:val="TableText"/>
              <w:spacing w:before="40" w:after="40"/>
              <w:jc w:val="center"/>
            </w:pPr>
            <w:r w:rsidRPr="00BE78CA">
              <w:t>0.61</w:t>
            </w:r>
          </w:p>
        </w:tc>
        <w:tc>
          <w:tcPr>
            <w:tcW w:w="1576" w:type="dxa"/>
            <w:tcBorders>
              <w:top w:val="single" w:sz="4" w:space="0" w:color="365F91"/>
              <w:left w:val="nil"/>
              <w:bottom w:val="single" w:sz="4" w:space="0" w:color="365F91"/>
              <w:right w:val="nil"/>
            </w:tcBorders>
            <w:hideMark/>
          </w:tcPr>
          <w:p w14:paraId="7416C35D" w14:textId="77777777" w:rsidR="00FB19C0" w:rsidRPr="00BE78CA" w:rsidRDefault="00FB19C0" w:rsidP="00C26084">
            <w:pPr>
              <w:pStyle w:val="TableText"/>
              <w:spacing w:before="40" w:after="40"/>
              <w:jc w:val="center"/>
            </w:pPr>
            <w:r w:rsidRPr="00BE78CA">
              <w:t>2.91</w:t>
            </w:r>
          </w:p>
        </w:tc>
      </w:tr>
      <w:tr w:rsidR="00FB19C0" w:rsidRPr="00BE78CA" w14:paraId="773EC414" w14:textId="77777777" w:rsidTr="008F032F">
        <w:tc>
          <w:tcPr>
            <w:tcW w:w="925" w:type="dxa"/>
            <w:tcBorders>
              <w:top w:val="single" w:sz="4" w:space="0" w:color="365F91"/>
              <w:left w:val="nil"/>
              <w:bottom w:val="single" w:sz="4" w:space="0" w:color="365F91"/>
              <w:right w:val="nil"/>
            </w:tcBorders>
            <w:hideMark/>
          </w:tcPr>
          <w:p w14:paraId="6379D32C" w14:textId="77777777" w:rsidR="00FB19C0" w:rsidRPr="00BE78CA" w:rsidRDefault="00FB19C0" w:rsidP="00C26084">
            <w:pPr>
              <w:pStyle w:val="TableTextBold"/>
              <w:spacing w:before="40" w:after="40"/>
              <w:rPr>
                <w:noProof w:val="0"/>
              </w:rPr>
            </w:pPr>
            <w:r w:rsidRPr="00BE78CA">
              <w:rPr>
                <w:noProof w:val="0"/>
              </w:rPr>
              <w:t>2018</w:t>
            </w:r>
          </w:p>
        </w:tc>
        <w:tc>
          <w:tcPr>
            <w:tcW w:w="1590" w:type="dxa"/>
            <w:tcBorders>
              <w:top w:val="single" w:sz="4" w:space="0" w:color="365F91"/>
              <w:left w:val="nil"/>
              <w:bottom w:val="single" w:sz="4" w:space="0" w:color="365F91"/>
              <w:right w:val="nil"/>
            </w:tcBorders>
            <w:hideMark/>
          </w:tcPr>
          <w:p w14:paraId="53A7203E" w14:textId="77777777" w:rsidR="00FB19C0" w:rsidRPr="00BE78CA" w:rsidRDefault="00FB19C0" w:rsidP="00C26084">
            <w:pPr>
              <w:pStyle w:val="TableText"/>
              <w:spacing w:before="40" w:after="40"/>
              <w:jc w:val="center"/>
            </w:pPr>
            <w:r w:rsidRPr="00BE78CA">
              <w:t>1.56</w:t>
            </w:r>
          </w:p>
        </w:tc>
        <w:tc>
          <w:tcPr>
            <w:tcW w:w="1548" w:type="dxa"/>
            <w:tcBorders>
              <w:top w:val="single" w:sz="4" w:space="0" w:color="365F91"/>
              <w:left w:val="nil"/>
              <w:bottom w:val="single" w:sz="4" w:space="0" w:color="365F91"/>
              <w:right w:val="nil"/>
            </w:tcBorders>
            <w:hideMark/>
          </w:tcPr>
          <w:p w14:paraId="4D8CBB85" w14:textId="77777777" w:rsidR="00FB19C0" w:rsidRPr="00BE78CA" w:rsidRDefault="00FB19C0" w:rsidP="00C26084">
            <w:pPr>
              <w:pStyle w:val="TableText"/>
              <w:spacing w:before="40" w:after="40"/>
              <w:jc w:val="center"/>
            </w:pPr>
            <w:r w:rsidRPr="00BE78CA">
              <w:t>0.30</w:t>
            </w:r>
          </w:p>
        </w:tc>
        <w:tc>
          <w:tcPr>
            <w:tcW w:w="1616" w:type="dxa"/>
            <w:tcBorders>
              <w:top w:val="single" w:sz="4" w:space="0" w:color="365F91"/>
              <w:left w:val="nil"/>
              <w:bottom w:val="single" w:sz="4" w:space="0" w:color="365F91"/>
              <w:right w:val="nil"/>
            </w:tcBorders>
            <w:hideMark/>
          </w:tcPr>
          <w:p w14:paraId="2B02C4B8" w14:textId="77777777" w:rsidR="00FB19C0" w:rsidRPr="00BE78CA" w:rsidRDefault="00FB19C0" w:rsidP="00C26084">
            <w:pPr>
              <w:pStyle w:val="TableText"/>
              <w:spacing w:before="40" w:after="40"/>
              <w:jc w:val="center"/>
            </w:pPr>
            <w:r w:rsidRPr="00BE78CA">
              <w:t>0.48</w:t>
            </w:r>
          </w:p>
        </w:tc>
        <w:tc>
          <w:tcPr>
            <w:tcW w:w="1358" w:type="dxa"/>
            <w:tcBorders>
              <w:top w:val="single" w:sz="4" w:space="0" w:color="365F91"/>
              <w:left w:val="nil"/>
              <w:bottom w:val="single" w:sz="4" w:space="0" w:color="365F91"/>
              <w:right w:val="nil"/>
            </w:tcBorders>
            <w:hideMark/>
          </w:tcPr>
          <w:p w14:paraId="244193CC" w14:textId="77777777" w:rsidR="00FB19C0" w:rsidRPr="00BE78CA" w:rsidRDefault="00FB19C0" w:rsidP="00C26084">
            <w:pPr>
              <w:pStyle w:val="TableText"/>
              <w:spacing w:before="40" w:after="40"/>
              <w:jc w:val="center"/>
            </w:pPr>
            <w:r w:rsidRPr="00BE78CA">
              <w:t>0.61</w:t>
            </w:r>
          </w:p>
        </w:tc>
        <w:tc>
          <w:tcPr>
            <w:tcW w:w="1576" w:type="dxa"/>
            <w:tcBorders>
              <w:top w:val="single" w:sz="4" w:space="0" w:color="365F91"/>
              <w:left w:val="nil"/>
              <w:bottom w:val="single" w:sz="4" w:space="0" w:color="365F91"/>
              <w:right w:val="nil"/>
            </w:tcBorders>
            <w:hideMark/>
          </w:tcPr>
          <w:p w14:paraId="02CFC17F" w14:textId="77777777" w:rsidR="00FB19C0" w:rsidRPr="00BE78CA" w:rsidRDefault="00FB19C0" w:rsidP="00C26084">
            <w:pPr>
              <w:pStyle w:val="TableText"/>
              <w:spacing w:before="40" w:after="40"/>
              <w:jc w:val="center"/>
            </w:pPr>
            <w:r w:rsidRPr="00BE78CA">
              <w:t>2.95</w:t>
            </w:r>
          </w:p>
        </w:tc>
      </w:tr>
      <w:tr w:rsidR="00FB19C0" w:rsidRPr="00BE78CA" w14:paraId="7D25ABEA" w14:textId="77777777" w:rsidTr="008F032F">
        <w:tc>
          <w:tcPr>
            <w:tcW w:w="925" w:type="dxa"/>
            <w:tcBorders>
              <w:top w:val="single" w:sz="4" w:space="0" w:color="365F91"/>
              <w:left w:val="nil"/>
              <w:bottom w:val="single" w:sz="4" w:space="0" w:color="365F91"/>
              <w:right w:val="nil"/>
            </w:tcBorders>
          </w:tcPr>
          <w:p w14:paraId="3DF53425" w14:textId="77777777" w:rsidR="00FB19C0" w:rsidRPr="00BE78CA" w:rsidRDefault="00FB19C0" w:rsidP="00C26084">
            <w:pPr>
              <w:pStyle w:val="TableTextBold"/>
              <w:spacing w:before="40" w:after="40"/>
              <w:rPr>
                <w:noProof w:val="0"/>
              </w:rPr>
            </w:pPr>
            <w:r w:rsidRPr="00BE78CA">
              <w:rPr>
                <w:noProof w:val="0"/>
              </w:rPr>
              <w:t>2019</w:t>
            </w:r>
          </w:p>
        </w:tc>
        <w:tc>
          <w:tcPr>
            <w:tcW w:w="1590" w:type="dxa"/>
            <w:tcBorders>
              <w:top w:val="single" w:sz="4" w:space="0" w:color="365F91"/>
              <w:left w:val="nil"/>
              <w:bottom w:val="single" w:sz="4" w:space="0" w:color="365F91"/>
              <w:right w:val="nil"/>
            </w:tcBorders>
          </w:tcPr>
          <w:p w14:paraId="02DE4A2F" w14:textId="77777777" w:rsidR="00FB19C0" w:rsidRPr="00BE78CA" w:rsidRDefault="00FB19C0" w:rsidP="00C26084">
            <w:pPr>
              <w:pStyle w:val="TableText"/>
              <w:spacing w:before="40" w:after="40"/>
              <w:jc w:val="center"/>
            </w:pPr>
            <w:r w:rsidRPr="00BE78CA">
              <w:t>1.60</w:t>
            </w:r>
          </w:p>
        </w:tc>
        <w:tc>
          <w:tcPr>
            <w:tcW w:w="1548" w:type="dxa"/>
            <w:tcBorders>
              <w:top w:val="single" w:sz="4" w:space="0" w:color="365F91"/>
              <w:left w:val="nil"/>
              <w:bottom w:val="single" w:sz="4" w:space="0" w:color="365F91"/>
              <w:right w:val="nil"/>
            </w:tcBorders>
          </w:tcPr>
          <w:p w14:paraId="24D09F47" w14:textId="77777777" w:rsidR="00FB19C0" w:rsidRPr="00BE78CA" w:rsidRDefault="00FB19C0" w:rsidP="00C26084">
            <w:pPr>
              <w:pStyle w:val="TableText"/>
              <w:spacing w:before="40" w:after="40"/>
              <w:jc w:val="center"/>
            </w:pPr>
            <w:r w:rsidRPr="00BE78CA">
              <w:t>0.29</w:t>
            </w:r>
          </w:p>
        </w:tc>
        <w:tc>
          <w:tcPr>
            <w:tcW w:w="1616" w:type="dxa"/>
            <w:tcBorders>
              <w:top w:val="single" w:sz="4" w:space="0" w:color="365F91"/>
              <w:left w:val="nil"/>
              <w:bottom w:val="single" w:sz="4" w:space="0" w:color="365F91"/>
              <w:right w:val="nil"/>
            </w:tcBorders>
          </w:tcPr>
          <w:p w14:paraId="727B3518" w14:textId="77777777" w:rsidR="00FB19C0" w:rsidRPr="00BE78CA" w:rsidRDefault="00FB19C0" w:rsidP="00C26084">
            <w:pPr>
              <w:pStyle w:val="TableText"/>
              <w:spacing w:before="40" w:after="40"/>
              <w:jc w:val="center"/>
            </w:pPr>
            <w:r w:rsidRPr="00BE78CA">
              <w:t>0.48</w:t>
            </w:r>
          </w:p>
        </w:tc>
        <w:tc>
          <w:tcPr>
            <w:tcW w:w="1358" w:type="dxa"/>
            <w:tcBorders>
              <w:top w:val="single" w:sz="4" w:space="0" w:color="365F91"/>
              <w:left w:val="nil"/>
              <w:bottom w:val="single" w:sz="4" w:space="0" w:color="365F91"/>
              <w:right w:val="nil"/>
            </w:tcBorders>
          </w:tcPr>
          <w:p w14:paraId="7BB0C370" w14:textId="77777777" w:rsidR="00FB19C0" w:rsidRPr="00BE78CA" w:rsidRDefault="00FB19C0" w:rsidP="00C26084">
            <w:pPr>
              <w:pStyle w:val="TableText"/>
              <w:spacing w:before="40" w:after="40"/>
              <w:jc w:val="center"/>
            </w:pPr>
            <w:r w:rsidRPr="00BE78CA">
              <w:t>0.61</w:t>
            </w:r>
          </w:p>
        </w:tc>
        <w:tc>
          <w:tcPr>
            <w:tcW w:w="1576" w:type="dxa"/>
            <w:tcBorders>
              <w:top w:val="single" w:sz="4" w:space="0" w:color="365F91"/>
              <w:left w:val="nil"/>
              <w:bottom w:val="single" w:sz="4" w:space="0" w:color="365F91"/>
              <w:right w:val="nil"/>
            </w:tcBorders>
          </w:tcPr>
          <w:p w14:paraId="4746AB47" w14:textId="77777777" w:rsidR="00FB19C0" w:rsidRPr="00BE78CA" w:rsidRDefault="00FB19C0" w:rsidP="00C26084">
            <w:pPr>
              <w:pStyle w:val="TableText"/>
              <w:spacing w:before="40" w:after="40"/>
              <w:jc w:val="center"/>
            </w:pPr>
            <w:r w:rsidRPr="00BE78CA">
              <w:t>2.97</w:t>
            </w:r>
          </w:p>
        </w:tc>
      </w:tr>
    </w:tbl>
    <w:p w14:paraId="29412A25" w14:textId="77777777" w:rsidR="00FB19C0" w:rsidRPr="00BE78CA" w:rsidRDefault="00FB19C0" w:rsidP="00FB19C0">
      <w:pPr>
        <w:pStyle w:val="Noteundertable"/>
      </w:pPr>
      <w:r w:rsidRPr="00BE78CA">
        <w:rPr>
          <w:b/>
        </w:rPr>
        <w:t>Note:</w:t>
      </w:r>
      <w:r w:rsidRPr="00BE78CA">
        <w:t xml:space="preserve"> </w:t>
      </w:r>
      <w:r w:rsidRPr="00BE78CA">
        <w:tab/>
        <w:t>Columns may not total due to rounding.</w:t>
      </w:r>
    </w:p>
    <w:p w14:paraId="43FA83EA" w14:textId="77777777" w:rsidR="00FB19C0" w:rsidRPr="00BE78CA" w:rsidRDefault="00FB19C0" w:rsidP="00FB19C0">
      <w:pPr>
        <w:pStyle w:val="Heading5"/>
      </w:pPr>
      <w:r w:rsidRPr="00BE78CA">
        <w:lastRenderedPageBreak/>
        <w:t>Meat industry</w:t>
      </w:r>
    </w:p>
    <w:p w14:paraId="7CA383DE" w14:textId="77777777" w:rsidR="00FB19C0" w:rsidRPr="00BE78CA" w:rsidRDefault="00FB19C0" w:rsidP="007B13EF">
      <w:pPr>
        <w:pStyle w:val="BodyText"/>
        <w:spacing w:before="100" w:after="100"/>
      </w:pPr>
      <w:r w:rsidRPr="00BE78CA">
        <w:t>Methane emissions from the meat industry are calculated from an estimate of the wastewater output from meat processing. This estimate is based on the total production (kills) from the different producers in the meat industry and uses data that are as far as possible consistent with the data for kills used in the Agriculture sector.</w:t>
      </w:r>
    </w:p>
    <w:p w14:paraId="2806D004" w14:textId="77777777" w:rsidR="00FB19C0" w:rsidRPr="00BE78CA" w:rsidRDefault="00FB19C0" w:rsidP="007B13EF">
      <w:pPr>
        <w:pStyle w:val="BodyText"/>
        <w:spacing w:before="100" w:after="100"/>
      </w:pPr>
      <w:r w:rsidRPr="00BE78CA">
        <w:t>Poultry processing is calculated separately from other meat processing because its fraction of waste treated in anaerobic ponds and the unit chemical oxygen demand (COD) load are higher than other meat processing (Cardno, unpublished).</w:t>
      </w:r>
    </w:p>
    <w:p w14:paraId="2866E061" w14:textId="77777777" w:rsidR="00FB19C0" w:rsidRPr="00BE78CA" w:rsidRDefault="00FB19C0" w:rsidP="007B13EF">
      <w:pPr>
        <w:pStyle w:val="BodyText"/>
        <w:spacing w:before="100" w:after="100"/>
      </w:pPr>
      <w:r w:rsidRPr="00BE78CA">
        <w:t>Rendering loads are not separated out in order to simplify the inventory calculations, because there are only a few standalone rendering plants in New Zealand and the rest are combined with meat processing plants. So the unit COD load includes rendering operations (Cardno, unpublished).</w:t>
      </w:r>
    </w:p>
    <w:p w14:paraId="0DBAA230" w14:textId="77777777" w:rsidR="00FB19C0" w:rsidRPr="00BE78CA" w:rsidRDefault="00FB19C0" w:rsidP="007B13EF">
      <w:pPr>
        <w:pStyle w:val="BodyText"/>
        <w:spacing w:before="100" w:after="100"/>
      </w:pPr>
      <w:r w:rsidRPr="00BE78CA">
        <w:t>Nitrous oxide emissions from the meat industry are calculated using the same activity data as for CH</w:t>
      </w:r>
      <w:r w:rsidRPr="00BE78CA">
        <w:rPr>
          <w:vertAlign w:val="subscript"/>
        </w:rPr>
        <w:t>4</w:t>
      </w:r>
      <w:r w:rsidRPr="00BE78CA">
        <w:t xml:space="preserve"> emissions. </w:t>
      </w:r>
    </w:p>
    <w:p w14:paraId="4BECC0B6" w14:textId="77777777" w:rsidR="00FB19C0" w:rsidRPr="00BE78CA" w:rsidRDefault="00FB19C0" w:rsidP="00FB19C0">
      <w:pPr>
        <w:pStyle w:val="Heading5"/>
      </w:pPr>
      <w:r w:rsidRPr="00BE78CA">
        <w:t>Pulp and paper industry</w:t>
      </w:r>
    </w:p>
    <w:p w14:paraId="54A9E593" w14:textId="77777777" w:rsidR="00FB19C0" w:rsidRPr="00BE78CA" w:rsidRDefault="00FB19C0" w:rsidP="00FB19C0">
      <w:pPr>
        <w:pStyle w:val="BodyText"/>
      </w:pPr>
      <w:r w:rsidRPr="00BE78CA">
        <w:t>Estimated pulp and paper wastewater output is based on paper, paperboard and pulp production. This information is obtained from the Ministry for Primary Industries.</w:t>
      </w:r>
    </w:p>
    <w:p w14:paraId="14D921FB" w14:textId="77777777" w:rsidR="00FB19C0" w:rsidRPr="00BE78CA" w:rsidRDefault="00FB19C0" w:rsidP="00FB19C0">
      <w:pPr>
        <w:pStyle w:val="Heading5"/>
      </w:pPr>
      <w:r w:rsidRPr="00BE78CA">
        <w:t>Wine industry</w:t>
      </w:r>
    </w:p>
    <w:p w14:paraId="68F94B09" w14:textId="77777777" w:rsidR="00FB19C0" w:rsidRPr="00BE78CA" w:rsidRDefault="00FB19C0" w:rsidP="007B13EF">
      <w:pPr>
        <w:pStyle w:val="BodyText"/>
        <w:spacing w:before="100" w:after="100"/>
      </w:pPr>
      <w:r w:rsidRPr="00BE78CA">
        <w:t>Methane emissions from wastewater for the wine industry are based on the outputs obtained from the national organisation for New Zealand’s grape and wine sector. For the purposes of this assessment, an average industry wastewater discharge metric of 2.7 cubic metres of water per tonne of grapes processed is assumed. This value is derived from national data. Note that this value is significantly lower than IPCC default values (Beca Ltd, unpublished).</w:t>
      </w:r>
    </w:p>
    <w:p w14:paraId="3EC08298" w14:textId="77777777" w:rsidR="00FB19C0" w:rsidRPr="00BE78CA" w:rsidRDefault="00FB19C0" w:rsidP="00FB19C0">
      <w:pPr>
        <w:pStyle w:val="Heading5"/>
      </w:pPr>
      <w:r w:rsidRPr="00BE78CA">
        <w:t>Wool scouring industry</w:t>
      </w:r>
    </w:p>
    <w:p w14:paraId="7A5ED164" w14:textId="77777777" w:rsidR="00FB19C0" w:rsidRPr="00BE78CA" w:rsidRDefault="00FB19C0" w:rsidP="007B13EF">
      <w:pPr>
        <w:pStyle w:val="BodyText"/>
        <w:spacing w:before="100" w:after="100"/>
      </w:pPr>
      <w:r w:rsidRPr="00BE78CA">
        <w:t>Methane emissions from wastewater for the wool scouring industry are based on the outputs obtained by SCS Wetherill Environmental (unpublished) for the years up to 2000. From 2001 to 2012, the SCS estimates have been prorated against the industry’s output data and applied to the output data for these years. After 2012, the wool scouring industry used only aerobic treatment of wastewater and, consequently, no emissions are reported for 2013 onwards (Beca Ltd, unpublished).</w:t>
      </w:r>
    </w:p>
    <w:p w14:paraId="2293D0CE" w14:textId="77777777" w:rsidR="00FB19C0" w:rsidRPr="00BE78CA" w:rsidRDefault="00FB19C0" w:rsidP="00FB19C0">
      <w:pPr>
        <w:pStyle w:val="Heading5"/>
      </w:pPr>
      <w:r w:rsidRPr="00BE78CA">
        <w:t>Dairy processing industry</w:t>
      </w:r>
    </w:p>
    <w:p w14:paraId="1BBE42D5" w14:textId="77777777" w:rsidR="00FB19C0" w:rsidRPr="00BE78CA" w:rsidRDefault="00FB19C0" w:rsidP="00FB19C0">
      <w:pPr>
        <w:pStyle w:val="BodyText"/>
      </w:pPr>
      <w:r w:rsidRPr="00BE78CA">
        <w:t>The dairy processing industry predominantly uses aerobic treatment. There is only one factory that uses anaerobic treatment. The emissions from the wastewater treatment process are recovered and most of the captured biogas (consisting of 55 per cent CH</w:t>
      </w:r>
      <w:r w:rsidRPr="00BE78CA">
        <w:rPr>
          <w:vertAlign w:val="subscript"/>
        </w:rPr>
        <w:t>4</w:t>
      </w:r>
      <w:r w:rsidRPr="00BE78CA">
        <w:t xml:space="preserve">) is used in boilers. The remainder is flared (Beca Infrastructure Ltd, unpublished). </w:t>
      </w:r>
      <w:r w:rsidRPr="00BE78CA">
        <w:rPr>
          <w:spacing w:val="-2"/>
        </w:rPr>
        <w:t>Emissions from the biogas recovered from the Tirau dairy processing plant (</w:t>
      </w:r>
      <w:r w:rsidRPr="00BE78CA">
        <w:rPr>
          <w:i/>
          <w:iCs/>
          <w:spacing w:val="-2"/>
        </w:rPr>
        <w:t>Industrial wastewater</w:t>
      </w:r>
      <w:r w:rsidRPr="00BE78CA">
        <w:rPr>
          <w:spacing w:val="-2"/>
        </w:rPr>
        <w:t xml:space="preserve">) for energy recovery are reported as ‘IE’ under the Waste sector and actual emissions are reported in </w:t>
      </w:r>
      <w:r w:rsidRPr="00BE78CA">
        <w:rPr>
          <w:i/>
          <w:iCs/>
          <w:spacing w:val="-2"/>
        </w:rPr>
        <w:t>1.A.2.e – Biomass</w:t>
      </w:r>
      <w:r w:rsidRPr="00BE78CA">
        <w:rPr>
          <w:spacing w:val="-2"/>
        </w:rPr>
        <w:t xml:space="preserve"> under the Energy sector.</w:t>
      </w:r>
    </w:p>
    <w:p w14:paraId="6D16B09B" w14:textId="77777777" w:rsidR="00FB19C0" w:rsidRPr="00BE78CA" w:rsidRDefault="00FB19C0" w:rsidP="007B13EF">
      <w:pPr>
        <w:pStyle w:val="BodyText"/>
        <w:spacing w:after="100"/>
      </w:pPr>
      <w:r w:rsidRPr="00BE78CA">
        <w:t xml:space="preserve">Nitrous oxide emissions from dairy industry wastewater are included, based on the review of methods for industrial wastewater by Cardno (unpublished). Emission estimates are based on the total litres of milk processed, consistent with data reported under the Agriculture sector. </w:t>
      </w:r>
      <w:r w:rsidRPr="00BE78CA">
        <w:lastRenderedPageBreak/>
        <w:t>The production data are then converted from litres to kilograms by multiplying by 1.031 (the weight of 1 litre of milk) for the activity data used in the emissions calculations.</w:t>
      </w:r>
    </w:p>
    <w:p w14:paraId="1A82123D" w14:textId="77777777" w:rsidR="00FB19C0" w:rsidRPr="00BE78CA" w:rsidRDefault="00FB19C0" w:rsidP="007B13EF">
      <w:pPr>
        <w:pStyle w:val="Heading5"/>
        <w:spacing w:before="200"/>
      </w:pPr>
      <w:r w:rsidRPr="00BE78CA">
        <w:t>Leather and skins industry</w:t>
      </w:r>
    </w:p>
    <w:p w14:paraId="0B025F3E" w14:textId="77777777" w:rsidR="00FB19C0" w:rsidRPr="00BE78CA" w:rsidRDefault="00FB19C0" w:rsidP="007B13EF">
      <w:pPr>
        <w:pStyle w:val="BodyText"/>
        <w:spacing w:before="100" w:after="100"/>
        <w:rPr>
          <w:spacing w:val="-2"/>
        </w:rPr>
      </w:pPr>
      <w:r w:rsidRPr="00BE78CA">
        <w:rPr>
          <w:spacing w:val="-2"/>
        </w:rPr>
        <w:t xml:space="preserve">Methane emissions from wastewater for the leather and skins industry, also known as tanneries and fellmongers, are based on the outputs obtained by SCS Wetherill Environmental (unpublished) for the years up to 2001. From 2002, all wastewater from the tanneries is accounted for in domestic wastewater because all tanneries now discharge to the municipal wastewater system; however, some fellmongers still use aerobic treatment (Cardno, unpublished). </w:t>
      </w:r>
    </w:p>
    <w:p w14:paraId="750C8006" w14:textId="77777777" w:rsidR="00FB19C0" w:rsidRPr="00BE78CA" w:rsidRDefault="00FB19C0" w:rsidP="007B13EF">
      <w:pPr>
        <w:pStyle w:val="BodyText"/>
        <w:spacing w:before="100" w:after="100"/>
      </w:pPr>
      <w:r w:rsidRPr="00BE78CA">
        <w:t>Nitrous oxide emissions from wastewater for the leather and skins industry are based on the outputs obtained by SCS Wetherill Environmental (unpublished), reducing in 2002 to account for the tanneries that discharge entirely to the domestic system.</w:t>
      </w:r>
    </w:p>
    <w:p w14:paraId="7B98505A" w14:textId="77777777" w:rsidR="00FB19C0" w:rsidRPr="00BE78CA" w:rsidRDefault="00FB19C0" w:rsidP="00FB19C0">
      <w:pPr>
        <w:pStyle w:val="Heading4"/>
      </w:pPr>
      <w:r w:rsidRPr="00BE78CA">
        <w:t>Choice of methods</w:t>
      </w:r>
    </w:p>
    <w:p w14:paraId="1D4F755F" w14:textId="77777777" w:rsidR="00FB19C0" w:rsidRPr="00BE78CA" w:rsidRDefault="00FB19C0" w:rsidP="007B13EF">
      <w:pPr>
        <w:pStyle w:val="BodyText"/>
        <w:spacing w:before="100" w:after="100"/>
      </w:pPr>
      <w:r w:rsidRPr="00BE78CA">
        <w:t>Methods used to calculate emissions from wastewater handling are summarised in table 7.5.5. For domestic wastewater, the TOW is estimated for each individual treatment plant based on the population in the district served by the plant.</w:t>
      </w:r>
    </w:p>
    <w:p w14:paraId="0C568DEA" w14:textId="77777777" w:rsidR="00FB19C0" w:rsidRPr="00BE78CA" w:rsidRDefault="00FB19C0" w:rsidP="00FB19C0">
      <w:pPr>
        <w:pStyle w:val="Table"/>
        <w:spacing w:before="160"/>
      </w:pPr>
      <w:bookmarkStart w:id="3053" w:name="_Toc32828540"/>
      <w:bookmarkStart w:id="3054" w:name="_Toc32591370"/>
      <w:bookmarkStart w:id="3055" w:name="_Toc5269582"/>
      <w:bookmarkStart w:id="3056" w:name="_Toc511116833"/>
      <w:bookmarkStart w:id="3057" w:name="_Toc508019335"/>
      <w:bookmarkStart w:id="3058" w:name="_Toc481751608"/>
      <w:bookmarkStart w:id="3059" w:name="_Toc451176178"/>
      <w:bookmarkStart w:id="3060" w:name="_Toc444001626"/>
      <w:bookmarkStart w:id="3061" w:name="_Toc36224663"/>
      <w:bookmarkStart w:id="3062" w:name="_Toc68786549"/>
      <w:r w:rsidRPr="00BE78CA">
        <w:t>Table 7.5.5</w:t>
      </w:r>
      <w:r w:rsidRPr="00BE78CA">
        <w:tab/>
        <w:t>Methods used for calculating emissions from wastewater treatment</w:t>
      </w:r>
      <w:bookmarkEnd w:id="3053"/>
      <w:bookmarkEnd w:id="3054"/>
      <w:bookmarkEnd w:id="3055"/>
      <w:bookmarkEnd w:id="3056"/>
      <w:bookmarkEnd w:id="3057"/>
      <w:bookmarkEnd w:id="3058"/>
      <w:bookmarkEnd w:id="3059"/>
      <w:bookmarkEnd w:id="3060"/>
      <w:bookmarkEnd w:id="3061"/>
      <w:bookmarkEnd w:id="3062"/>
    </w:p>
    <w:tbl>
      <w:tblPr>
        <w:tblW w:w="8505" w:type="dxa"/>
        <w:tblBorders>
          <w:top w:val="single" w:sz="6" w:space="0" w:color="365F91"/>
          <w:bottom w:val="single" w:sz="6" w:space="0" w:color="365F91"/>
          <w:insideH w:val="single" w:sz="6" w:space="0" w:color="365F91"/>
        </w:tblBorders>
        <w:tblLook w:val="04A0" w:firstRow="1" w:lastRow="0" w:firstColumn="1" w:lastColumn="0" w:noHBand="0" w:noVBand="1"/>
      </w:tblPr>
      <w:tblGrid>
        <w:gridCol w:w="2268"/>
        <w:gridCol w:w="567"/>
        <w:gridCol w:w="2127"/>
        <w:gridCol w:w="850"/>
        <w:gridCol w:w="2693"/>
      </w:tblGrid>
      <w:tr w:rsidR="00FB19C0" w:rsidRPr="00BE78CA" w14:paraId="0418ACC8" w14:textId="77777777" w:rsidTr="008F032F">
        <w:trPr>
          <w:tblHeader/>
        </w:trPr>
        <w:tc>
          <w:tcPr>
            <w:tcW w:w="2268" w:type="dxa"/>
            <w:tcBorders>
              <w:top w:val="single" w:sz="4" w:space="0" w:color="365F91"/>
              <w:left w:val="nil"/>
              <w:bottom w:val="single" w:sz="4" w:space="0" w:color="365F91"/>
              <w:right w:val="nil"/>
            </w:tcBorders>
            <w:shd w:val="clear" w:color="auto" w:fill="365F91"/>
            <w:hideMark/>
          </w:tcPr>
          <w:p w14:paraId="6F8EF9A9" w14:textId="77777777" w:rsidR="00FB19C0" w:rsidRPr="00BE78CA" w:rsidRDefault="00FB19C0" w:rsidP="00C26084">
            <w:pPr>
              <w:pStyle w:val="TableTextBold"/>
              <w:keepNext/>
              <w:rPr>
                <w:noProof w:val="0"/>
                <w:color w:val="FFFFFF"/>
              </w:rPr>
            </w:pPr>
            <w:r w:rsidRPr="00BE78CA">
              <w:rPr>
                <w:noProof w:val="0"/>
                <w:color w:val="FFFFFF"/>
              </w:rPr>
              <w:t>Emissions category</w:t>
            </w:r>
          </w:p>
        </w:tc>
        <w:tc>
          <w:tcPr>
            <w:tcW w:w="567" w:type="dxa"/>
            <w:tcBorders>
              <w:top w:val="single" w:sz="4" w:space="0" w:color="365F91"/>
              <w:left w:val="nil"/>
              <w:bottom w:val="single" w:sz="4" w:space="0" w:color="365F91"/>
              <w:right w:val="nil"/>
            </w:tcBorders>
            <w:shd w:val="clear" w:color="auto" w:fill="365F91"/>
            <w:hideMark/>
          </w:tcPr>
          <w:p w14:paraId="5B0CB650" w14:textId="77777777" w:rsidR="00FB19C0" w:rsidRPr="00BE78CA" w:rsidRDefault="00FB19C0" w:rsidP="00C26084">
            <w:pPr>
              <w:pStyle w:val="TableTextBold"/>
              <w:keepNext/>
              <w:rPr>
                <w:noProof w:val="0"/>
                <w:color w:val="FFFFFF"/>
              </w:rPr>
            </w:pPr>
            <w:r w:rsidRPr="00BE78CA">
              <w:rPr>
                <w:noProof w:val="0"/>
                <w:color w:val="FFFFFF"/>
              </w:rPr>
              <w:t>Gas</w:t>
            </w:r>
          </w:p>
        </w:tc>
        <w:tc>
          <w:tcPr>
            <w:tcW w:w="2127" w:type="dxa"/>
            <w:tcBorders>
              <w:top w:val="single" w:sz="4" w:space="0" w:color="365F91"/>
              <w:left w:val="nil"/>
              <w:bottom w:val="single" w:sz="4" w:space="0" w:color="365F91"/>
              <w:right w:val="nil"/>
            </w:tcBorders>
            <w:shd w:val="clear" w:color="auto" w:fill="365F91"/>
            <w:hideMark/>
          </w:tcPr>
          <w:p w14:paraId="11BB06E3" w14:textId="77777777" w:rsidR="00FB19C0" w:rsidRPr="00BE78CA" w:rsidRDefault="00FB19C0" w:rsidP="00C26084">
            <w:pPr>
              <w:pStyle w:val="TableTextBold"/>
              <w:keepNext/>
              <w:rPr>
                <w:noProof w:val="0"/>
                <w:color w:val="FFFFFF"/>
              </w:rPr>
            </w:pPr>
            <w:r w:rsidRPr="00BE78CA">
              <w:rPr>
                <w:noProof w:val="0"/>
                <w:color w:val="FFFFFF"/>
              </w:rPr>
              <w:t>Comment</w:t>
            </w:r>
          </w:p>
        </w:tc>
        <w:tc>
          <w:tcPr>
            <w:tcW w:w="850" w:type="dxa"/>
            <w:tcBorders>
              <w:top w:val="single" w:sz="4" w:space="0" w:color="365F91"/>
              <w:left w:val="nil"/>
              <w:bottom w:val="single" w:sz="4" w:space="0" w:color="365F91"/>
              <w:right w:val="nil"/>
            </w:tcBorders>
            <w:shd w:val="clear" w:color="auto" w:fill="365F91"/>
            <w:hideMark/>
          </w:tcPr>
          <w:p w14:paraId="4F03F48D" w14:textId="77777777" w:rsidR="00FB19C0" w:rsidRPr="00BE78CA" w:rsidRDefault="00FB19C0" w:rsidP="00C26084">
            <w:pPr>
              <w:pStyle w:val="TableTextBold"/>
              <w:keepNext/>
              <w:rPr>
                <w:noProof w:val="0"/>
                <w:color w:val="FFFFFF"/>
              </w:rPr>
            </w:pPr>
            <w:r w:rsidRPr="00BE78CA">
              <w:rPr>
                <w:noProof w:val="0"/>
                <w:color w:val="FFFFFF"/>
              </w:rPr>
              <w:t>Method</w:t>
            </w:r>
          </w:p>
        </w:tc>
        <w:tc>
          <w:tcPr>
            <w:tcW w:w="2693" w:type="dxa"/>
            <w:tcBorders>
              <w:top w:val="single" w:sz="4" w:space="0" w:color="365F91"/>
              <w:left w:val="nil"/>
              <w:bottom w:val="single" w:sz="4" w:space="0" w:color="365F91"/>
              <w:right w:val="nil"/>
            </w:tcBorders>
            <w:shd w:val="clear" w:color="auto" w:fill="365F91"/>
            <w:hideMark/>
          </w:tcPr>
          <w:p w14:paraId="65C9A701" w14:textId="77777777" w:rsidR="00FB19C0" w:rsidRPr="00BE78CA" w:rsidRDefault="00FB19C0" w:rsidP="00C26084">
            <w:pPr>
              <w:pStyle w:val="TableTextBold"/>
              <w:keepNext/>
              <w:rPr>
                <w:noProof w:val="0"/>
                <w:color w:val="FFFFFF"/>
              </w:rPr>
            </w:pPr>
            <w:r w:rsidRPr="00BE78CA">
              <w:rPr>
                <w:noProof w:val="0"/>
                <w:color w:val="FFFFFF"/>
              </w:rPr>
              <w:t>Source</w:t>
            </w:r>
          </w:p>
        </w:tc>
      </w:tr>
      <w:tr w:rsidR="00FB19C0" w:rsidRPr="00BE78CA" w14:paraId="180DCF09" w14:textId="77777777" w:rsidTr="008F032F">
        <w:tc>
          <w:tcPr>
            <w:tcW w:w="2268" w:type="dxa"/>
            <w:tcBorders>
              <w:top w:val="single" w:sz="4" w:space="0" w:color="365F91"/>
              <w:left w:val="nil"/>
              <w:bottom w:val="single" w:sz="6" w:space="0" w:color="365F91"/>
              <w:right w:val="nil"/>
            </w:tcBorders>
            <w:shd w:val="clear" w:color="auto" w:fill="FFFFFF"/>
            <w:hideMark/>
          </w:tcPr>
          <w:p w14:paraId="41A918D9" w14:textId="77777777" w:rsidR="00FB19C0" w:rsidRPr="00BE78CA" w:rsidRDefault="00FB19C0" w:rsidP="007B13EF">
            <w:pPr>
              <w:pStyle w:val="TableText"/>
              <w:spacing w:before="50" w:after="40"/>
              <w:rPr>
                <w:rFonts w:cs="Arial"/>
                <w:bCs/>
              </w:rPr>
            </w:pPr>
            <w:r w:rsidRPr="00BE78CA">
              <w:rPr>
                <w:rFonts w:cs="Arial"/>
                <w:bCs/>
              </w:rPr>
              <w:t>Domestic wastewater (5.D.1)</w:t>
            </w:r>
          </w:p>
        </w:tc>
        <w:tc>
          <w:tcPr>
            <w:tcW w:w="567" w:type="dxa"/>
            <w:tcBorders>
              <w:top w:val="single" w:sz="4" w:space="0" w:color="365F91"/>
              <w:left w:val="nil"/>
              <w:bottom w:val="single" w:sz="6" w:space="0" w:color="365F91"/>
              <w:right w:val="nil"/>
            </w:tcBorders>
            <w:shd w:val="clear" w:color="auto" w:fill="FFFFFF"/>
            <w:hideMark/>
          </w:tcPr>
          <w:p w14:paraId="0F2B0C69" w14:textId="77777777" w:rsidR="00FB19C0" w:rsidRPr="00BE78CA" w:rsidRDefault="00FB19C0" w:rsidP="007B13EF">
            <w:pPr>
              <w:pStyle w:val="TableText"/>
              <w:spacing w:before="50" w:after="40"/>
              <w:rPr>
                <w:rFonts w:cs="Arial"/>
                <w:bCs/>
              </w:rPr>
            </w:pPr>
            <w:r w:rsidRPr="00BE78CA">
              <w:t>CH</w:t>
            </w:r>
            <w:r w:rsidRPr="00BE78CA">
              <w:rPr>
                <w:vertAlign w:val="subscript"/>
              </w:rPr>
              <w:t>4</w:t>
            </w:r>
          </w:p>
        </w:tc>
        <w:tc>
          <w:tcPr>
            <w:tcW w:w="2127" w:type="dxa"/>
            <w:tcBorders>
              <w:top w:val="single" w:sz="4" w:space="0" w:color="365F91"/>
              <w:left w:val="nil"/>
              <w:bottom w:val="single" w:sz="6" w:space="0" w:color="365F91"/>
              <w:right w:val="nil"/>
            </w:tcBorders>
            <w:shd w:val="clear" w:color="auto" w:fill="FFFFFF"/>
          </w:tcPr>
          <w:p w14:paraId="0187C7E1" w14:textId="77777777" w:rsidR="00FB19C0" w:rsidRPr="00BE78CA" w:rsidRDefault="00FB19C0" w:rsidP="007B13EF">
            <w:pPr>
              <w:pStyle w:val="TableText"/>
              <w:spacing w:before="50" w:after="40"/>
              <w:rPr>
                <w:rFonts w:cs="Arial"/>
                <w:bCs/>
              </w:rPr>
            </w:pPr>
          </w:p>
        </w:tc>
        <w:tc>
          <w:tcPr>
            <w:tcW w:w="850" w:type="dxa"/>
            <w:tcBorders>
              <w:top w:val="single" w:sz="4" w:space="0" w:color="365F91"/>
              <w:left w:val="nil"/>
              <w:bottom w:val="single" w:sz="6" w:space="0" w:color="365F91"/>
              <w:right w:val="nil"/>
            </w:tcBorders>
            <w:shd w:val="clear" w:color="auto" w:fill="FFFFFF"/>
            <w:hideMark/>
          </w:tcPr>
          <w:p w14:paraId="510BAAE6" w14:textId="77777777" w:rsidR="00FB19C0" w:rsidRPr="00BE78CA" w:rsidRDefault="00FB19C0" w:rsidP="007B13EF">
            <w:pPr>
              <w:pStyle w:val="TableText"/>
              <w:spacing w:before="50" w:after="40"/>
              <w:rPr>
                <w:rFonts w:cs="Arial"/>
              </w:rPr>
            </w:pPr>
            <w:r w:rsidRPr="00BE78CA">
              <w:rPr>
                <w:rFonts w:cs="Arial"/>
              </w:rPr>
              <w:t>Tier 2</w:t>
            </w:r>
          </w:p>
        </w:tc>
        <w:tc>
          <w:tcPr>
            <w:tcW w:w="2693" w:type="dxa"/>
            <w:tcBorders>
              <w:top w:val="single" w:sz="4" w:space="0" w:color="365F91"/>
              <w:left w:val="nil"/>
              <w:bottom w:val="single" w:sz="6" w:space="0" w:color="365F91"/>
              <w:right w:val="nil"/>
            </w:tcBorders>
            <w:shd w:val="clear" w:color="auto" w:fill="FFFFFF"/>
            <w:hideMark/>
          </w:tcPr>
          <w:p w14:paraId="47A8212E" w14:textId="77777777" w:rsidR="00FB19C0" w:rsidRPr="00BE78CA" w:rsidRDefault="00FB19C0" w:rsidP="007B13EF">
            <w:pPr>
              <w:pStyle w:val="TableText"/>
              <w:spacing w:before="50" w:after="40"/>
              <w:rPr>
                <w:rFonts w:cs="Arial"/>
              </w:rPr>
            </w:pPr>
            <w:r w:rsidRPr="00BE78CA">
              <w:rPr>
                <w:rFonts w:cs="Arial"/>
              </w:rPr>
              <w:t>SCS Wetherill Environmental (unpublished), Beca Infrastructure Ltd (unpublished)</w:t>
            </w:r>
          </w:p>
        </w:tc>
      </w:tr>
      <w:tr w:rsidR="00FB19C0" w:rsidRPr="00BE78CA" w14:paraId="7AE11152" w14:textId="77777777" w:rsidTr="008F032F">
        <w:tc>
          <w:tcPr>
            <w:tcW w:w="2268" w:type="dxa"/>
            <w:tcBorders>
              <w:top w:val="single" w:sz="4" w:space="0" w:color="365F91"/>
              <w:left w:val="nil"/>
              <w:bottom w:val="single" w:sz="6" w:space="0" w:color="365F91"/>
              <w:right w:val="nil"/>
            </w:tcBorders>
            <w:shd w:val="clear" w:color="auto" w:fill="FFFFFF"/>
            <w:hideMark/>
          </w:tcPr>
          <w:p w14:paraId="64CC4045" w14:textId="77777777" w:rsidR="00FB19C0" w:rsidRPr="00BE78CA" w:rsidRDefault="00FB19C0" w:rsidP="007B13EF">
            <w:pPr>
              <w:pStyle w:val="TableText"/>
              <w:spacing w:before="50" w:after="40"/>
              <w:rPr>
                <w:rFonts w:cs="Arial"/>
                <w:bCs/>
              </w:rPr>
            </w:pPr>
            <w:r w:rsidRPr="00BE78CA">
              <w:rPr>
                <w:rFonts w:cs="Arial"/>
                <w:bCs/>
              </w:rPr>
              <w:t>Domestic wastewater (5.D.1)</w:t>
            </w:r>
          </w:p>
        </w:tc>
        <w:tc>
          <w:tcPr>
            <w:tcW w:w="567" w:type="dxa"/>
            <w:tcBorders>
              <w:top w:val="single" w:sz="4" w:space="0" w:color="365F91"/>
              <w:left w:val="nil"/>
              <w:bottom w:val="single" w:sz="6" w:space="0" w:color="365F91"/>
              <w:right w:val="nil"/>
            </w:tcBorders>
            <w:shd w:val="clear" w:color="auto" w:fill="FFFFFF"/>
            <w:hideMark/>
          </w:tcPr>
          <w:p w14:paraId="0ACA7328" w14:textId="77777777" w:rsidR="00FB19C0" w:rsidRPr="00BE78CA" w:rsidRDefault="00FB19C0" w:rsidP="007B13EF">
            <w:pPr>
              <w:pStyle w:val="TableText"/>
              <w:spacing w:before="50" w:after="40"/>
              <w:rPr>
                <w:rFonts w:cs="Arial"/>
                <w:bCs/>
              </w:rPr>
            </w:pPr>
            <w:r w:rsidRPr="00BE78CA">
              <w:t>N</w:t>
            </w:r>
            <w:r w:rsidRPr="00BE78CA">
              <w:rPr>
                <w:vertAlign w:val="subscript"/>
              </w:rPr>
              <w:t>2</w:t>
            </w:r>
            <w:r w:rsidRPr="00BE78CA">
              <w:t>O</w:t>
            </w:r>
          </w:p>
        </w:tc>
        <w:tc>
          <w:tcPr>
            <w:tcW w:w="2127" w:type="dxa"/>
            <w:tcBorders>
              <w:top w:val="single" w:sz="4" w:space="0" w:color="365F91"/>
              <w:left w:val="nil"/>
              <w:bottom w:val="single" w:sz="6" w:space="0" w:color="365F91"/>
              <w:right w:val="nil"/>
            </w:tcBorders>
            <w:shd w:val="clear" w:color="auto" w:fill="FFFFFF"/>
            <w:hideMark/>
          </w:tcPr>
          <w:p w14:paraId="13B08214" w14:textId="77777777" w:rsidR="00FB19C0" w:rsidRPr="00BE78CA" w:rsidRDefault="00FB19C0" w:rsidP="007B13EF">
            <w:pPr>
              <w:pStyle w:val="TableText"/>
              <w:spacing w:before="50" w:after="40"/>
              <w:rPr>
                <w:rFonts w:cs="Arial"/>
                <w:bCs/>
              </w:rPr>
            </w:pPr>
            <w:r w:rsidRPr="00BE78CA">
              <w:rPr>
                <w:rFonts w:cs="Arial"/>
                <w:bCs/>
              </w:rPr>
              <w:t>Based on average per-capita protein intake</w:t>
            </w:r>
          </w:p>
        </w:tc>
        <w:tc>
          <w:tcPr>
            <w:tcW w:w="850" w:type="dxa"/>
            <w:tcBorders>
              <w:top w:val="single" w:sz="4" w:space="0" w:color="365F91"/>
              <w:left w:val="nil"/>
              <w:bottom w:val="single" w:sz="6" w:space="0" w:color="365F91"/>
              <w:right w:val="nil"/>
            </w:tcBorders>
            <w:shd w:val="clear" w:color="auto" w:fill="FFFFFF"/>
            <w:hideMark/>
          </w:tcPr>
          <w:p w14:paraId="757AE3BF" w14:textId="77777777" w:rsidR="00FB19C0" w:rsidRPr="00BE78CA" w:rsidRDefault="00FB19C0" w:rsidP="007B13EF">
            <w:pPr>
              <w:pStyle w:val="TableText"/>
              <w:spacing w:before="50" w:after="40"/>
              <w:rPr>
                <w:rFonts w:cs="Arial"/>
              </w:rPr>
            </w:pPr>
            <w:r w:rsidRPr="00BE78CA">
              <w:rPr>
                <w:rFonts w:cs="Arial"/>
              </w:rPr>
              <w:t>Tier 1</w:t>
            </w:r>
          </w:p>
        </w:tc>
        <w:tc>
          <w:tcPr>
            <w:tcW w:w="2693" w:type="dxa"/>
            <w:tcBorders>
              <w:top w:val="single" w:sz="4" w:space="0" w:color="365F91"/>
              <w:left w:val="nil"/>
              <w:bottom w:val="single" w:sz="6" w:space="0" w:color="365F91"/>
              <w:right w:val="nil"/>
            </w:tcBorders>
            <w:shd w:val="clear" w:color="auto" w:fill="FFFFFF"/>
            <w:hideMark/>
          </w:tcPr>
          <w:p w14:paraId="06801638" w14:textId="77777777" w:rsidR="00FB19C0" w:rsidRPr="00BE78CA" w:rsidRDefault="00FB19C0" w:rsidP="007B13EF">
            <w:pPr>
              <w:pStyle w:val="TableText"/>
              <w:spacing w:before="50" w:after="40"/>
              <w:rPr>
                <w:rFonts w:cs="Arial"/>
              </w:rPr>
            </w:pPr>
            <w:r w:rsidRPr="00BE78CA">
              <w:rPr>
                <w:rFonts w:cs="Arial"/>
              </w:rPr>
              <w:t>IPCC (2006a)</w:t>
            </w:r>
          </w:p>
        </w:tc>
      </w:tr>
      <w:tr w:rsidR="00FB19C0" w:rsidRPr="00BE78CA" w14:paraId="70076F39" w14:textId="77777777" w:rsidTr="008F032F">
        <w:tc>
          <w:tcPr>
            <w:tcW w:w="2268" w:type="dxa"/>
            <w:tcBorders>
              <w:top w:val="single" w:sz="4" w:space="0" w:color="365F91"/>
              <w:left w:val="nil"/>
              <w:bottom w:val="single" w:sz="6" w:space="0" w:color="365F91"/>
              <w:right w:val="nil"/>
            </w:tcBorders>
            <w:shd w:val="clear" w:color="auto" w:fill="FFFFFF"/>
            <w:hideMark/>
          </w:tcPr>
          <w:p w14:paraId="276272B9" w14:textId="77777777" w:rsidR="00FB19C0" w:rsidRPr="00BE78CA" w:rsidRDefault="00FB19C0" w:rsidP="007B13EF">
            <w:pPr>
              <w:pStyle w:val="TableText"/>
              <w:spacing w:before="50" w:after="40"/>
              <w:rPr>
                <w:rFonts w:cs="Arial"/>
                <w:bCs/>
              </w:rPr>
            </w:pPr>
            <w:r w:rsidRPr="00BE78CA">
              <w:rPr>
                <w:rFonts w:cs="Arial"/>
                <w:bCs/>
              </w:rPr>
              <w:t xml:space="preserve">Industrial wastewater (5.D.2) </w:t>
            </w:r>
            <w:r w:rsidRPr="00BE78CA">
              <w:rPr>
                <w:rFonts w:cs="Arial"/>
                <w:bCs/>
              </w:rPr>
              <w:br/>
              <w:t>– Meat industry</w:t>
            </w:r>
          </w:p>
        </w:tc>
        <w:tc>
          <w:tcPr>
            <w:tcW w:w="567" w:type="dxa"/>
            <w:tcBorders>
              <w:top w:val="single" w:sz="4" w:space="0" w:color="365F91"/>
              <w:left w:val="nil"/>
              <w:bottom w:val="single" w:sz="6" w:space="0" w:color="365F91"/>
              <w:right w:val="nil"/>
            </w:tcBorders>
            <w:shd w:val="clear" w:color="auto" w:fill="FFFFFF"/>
            <w:hideMark/>
          </w:tcPr>
          <w:p w14:paraId="06D7E778" w14:textId="77777777" w:rsidR="00FB19C0" w:rsidRPr="00BE78CA" w:rsidRDefault="00FB19C0" w:rsidP="007B13EF">
            <w:pPr>
              <w:pStyle w:val="TableText"/>
              <w:spacing w:before="50" w:after="40"/>
              <w:rPr>
                <w:rFonts w:cs="Arial"/>
                <w:bCs/>
              </w:rPr>
            </w:pPr>
            <w:r w:rsidRPr="00BE78CA">
              <w:t>CH</w:t>
            </w:r>
            <w:r w:rsidRPr="00BE78CA">
              <w:rPr>
                <w:vertAlign w:val="subscript"/>
              </w:rPr>
              <w:t>4</w:t>
            </w:r>
          </w:p>
        </w:tc>
        <w:tc>
          <w:tcPr>
            <w:tcW w:w="2127" w:type="dxa"/>
            <w:tcBorders>
              <w:top w:val="single" w:sz="4" w:space="0" w:color="365F91"/>
              <w:left w:val="nil"/>
              <w:bottom w:val="single" w:sz="6" w:space="0" w:color="365F91"/>
              <w:right w:val="nil"/>
            </w:tcBorders>
            <w:shd w:val="clear" w:color="auto" w:fill="FFFFFF"/>
          </w:tcPr>
          <w:p w14:paraId="23D7AC47" w14:textId="77777777" w:rsidR="00FB19C0" w:rsidRPr="00BE78CA" w:rsidRDefault="00FB19C0" w:rsidP="007B13EF">
            <w:pPr>
              <w:pStyle w:val="TableText"/>
              <w:spacing w:before="50" w:after="40"/>
              <w:rPr>
                <w:rFonts w:cs="Arial"/>
                <w:bCs/>
              </w:rPr>
            </w:pPr>
          </w:p>
        </w:tc>
        <w:tc>
          <w:tcPr>
            <w:tcW w:w="850" w:type="dxa"/>
            <w:tcBorders>
              <w:top w:val="single" w:sz="4" w:space="0" w:color="365F91"/>
              <w:left w:val="nil"/>
              <w:bottom w:val="single" w:sz="6" w:space="0" w:color="365F91"/>
              <w:right w:val="nil"/>
            </w:tcBorders>
            <w:shd w:val="clear" w:color="auto" w:fill="FFFFFF"/>
            <w:hideMark/>
          </w:tcPr>
          <w:p w14:paraId="23F8F6C9" w14:textId="77777777" w:rsidR="00FB19C0" w:rsidRPr="00BE78CA" w:rsidRDefault="00FB19C0" w:rsidP="007B13EF">
            <w:pPr>
              <w:pStyle w:val="TableText"/>
              <w:spacing w:before="50" w:after="40"/>
              <w:rPr>
                <w:rFonts w:cs="Arial"/>
              </w:rPr>
            </w:pPr>
            <w:r w:rsidRPr="00BE78CA">
              <w:rPr>
                <w:rFonts w:cs="Arial"/>
              </w:rPr>
              <w:t>Tier 1</w:t>
            </w:r>
          </w:p>
        </w:tc>
        <w:tc>
          <w:tcPr>
            <w:tcW w:w="2693" w:type="dxa"/>
            <w:tcBorders>
              <w:top w:val="single" w:sz="4" w:space="0" w:color="365F91"/>
              <w:left w:val="nil"/>
              <w:bottom w:val="single" w:sz="6" w:space="0" w:color="365F91"/>
              <w:right w:val="nil"/>
            </w:tcBorders>
            <w:shd w:val="clear" w:color="auto" w:fill="FFFFFF"/>
            <w:hideMark/>
          </w:tcPr>
          <w:p w14:paraId="21205271" w14:textId="77777777" w:rsidR="00FB19C0" w:rsidRPr="00BE78CA" w:rsidRDefault="00FB19C0" w:rsidP="007B13EF">
            <w:pPr>
              <w:pStyle w:val="TableText"/>
              <w:spacing w:before="50" w:after="40"/>
              <w:rPr>
                <w:rFonts w:cs="Arial"/>
              </w:rPr>
            </w:pPr>
            <w:r w:rsidRPr="00BE78CA">
              <w:rPr>
                <w:rFonts w:cs="Arial"/>
              </w:rPr>
              <w:t>IPCC (2006a)</w:t>
            </w:r>
          </w:p>
        </w:tc>
      </w:tr>
      <w:tr w:rsidR="00FB19C0" w:rsidRPr="00BE78CA" w14:paraId="770A05B9" w14:textId="77777777" w:rsidTr="008F032F">
        <w:tc>
          <w:tcPr>
            <w:tcW w:w="2268" w:type="dxa"/>
            <w:tcBorders>
              <w:top w:val="single" w:sz="6" w:space="0" w:color="365F91"/>
              <w:left w:val="nil"/>
              <w:bottom w:val="single" w:sz="6" w:space="0" w:color="365F91"/>
              <w:right w:val="nil"/>
            </w:tcBorders>
            <w:shd w:val="clear" w:color="auto" w:fill="FFFFFF"/>
            <w:hideMark/>
          </w:tcPr>
          <w:p w14:paraId="6842C40F" w14:textId="77777777" w:rsidR="00FB19C0" w:rsidRPr="00BE78CA" w:rsidRDefault="00FB19C0" w:rsidP="007B13EF">
            <w:pPr>
              <w:pStyle w:val="TableText"/>
              <w:spacing w:before="50" w:after="40"/>
              <w:rPr>
                <w:rFonts w:cs="Arial"/>
                <w:bCs/>
              </w:rPr>
            </w:pPr>
            <w:r w:rsidRPr="00BE78CA">
              <w:rPr>
                <w:rFonts w:cs="Arial"/>
                <w:bCs/>
              </w:rPr>
              <w:t xml:space="preserve">Industrial wastewater (5.D.2) </w:t>
            </w:r>
            <w:r w:rsidRPr="00BE78CA">
              <w:rPr>
                <w:rFonts w:cs="Arial"/>
                <w:bCs/>
              </w:rPr>
              <w:br/>
              <w:t>– Pulp and paper industry</w:t>
            </w:r>
          </w:p>
        </w:tc>
        <w:tc>
          <w:tcPr>
            <w:tcW w:w="567" w:type="dxa"/>
            <w:tcBorders>
              <w:top w:val="single" w:sz="6" w:space="0" w:color="365F91"/>
              <w:left w:val="nil"/>
              <w:bottom w:val="single" w:sz="6" w:space="0" w:color="365F91"/>
              <w:right w:val="nil"/>
            </w:tcBorders>
            <w:shd w:val="clear" w:color="auto" w:fill="FFFFFF"/>
            <w:hideMark/>
          </w:tcPr>
          <w:p w14:paraId="64685215" w14:textId="77777777" w:rsidR="00FB19C0" w:rsidRPr="00BE78CA" w:rsidRDefault="00FB19C0" w:rsidP="007B13EF">
            <w:pPr>
              <w:pStyle w:val="TableText"/>
              <w:spacing w:before="50" w:after="40"/>
              <w:rPr>
                <w:rFonts w:cs="Arial"/>
                <w:bCs/>
              </w:rPr>
            </w:pPr>
            <w:r w:rsidRPr="00BE78CA">
              <w:t>CH</w:t>
            </w:r>
            <w:r w:rsidRPr="00BE78CA">
              <w:rPr>
                <w:vertAlign w:val="subscript"/>
              </w:rPr>
              <w:t>4</w:t>
            </w:r>
          </w:p>
        </w:tc>
        <w:tc>
          <w:tcPr>
            <w:tcW w:w="2127" w:type="dxa"/>
            <w:tcBorders>
              <w:top w:val="single" w:sz="6" w:space="0" w:color="365F91"/>
              <w:left w:val="nil"/>
              <w:bottom w:val="single" w:sz="6" w:space="0" w:color="365F91"/>
              <w:right w:val="nil"/>
            </w:tcBorders>
            <w:shd w:val="clear" w:color="auto" w:fill="FFFFFF"/>
          </w:tcPr>
          <w:p w14:paraId="1121D948" w14:textId="77777777" w:rsidR="00FB19C0" w:rsidRPr="00BE78CA" w:rsidRDefault="00FB19C0" w:rsidP="007B13EF">
            <w:pPr>
              <w:pStyle w:val="TableText"/>
              <w:spacing w:before="50" w:after="40"/>
              <w:rPr>
                <w:rFonts w:cs="Arial"/>
                <w:bCs/>
              </w:rPr>
            </w:pPr>
          </w:p>
        </w:tc>
        <w:tc>
          <w:tcPr>
            <w:tcW w:w="850" w:type="dxa"/>
            <w:tcBorders>
              <w:top w:val="single" w:sz="6" w:space="0" w:color="365F91"/>
              <w:left w:val="nil"/>
              <w:bottom w:val="single" w:sz="6" w:space="0" w:color="365F91"/>
              <w:right w:val="nil"/>
            </w:tcBorders>
            <w:shd w:val="clear" w:color="auto" w:fill="FFFFFF"/>
            <w:hideMark/>
          </w:tcPr>
          <w:p w14:paraId="5A9956FA" w14:textId="77777777" w:rsidR="00FB19C0" w:rsidRPr="00BE78CA" w:rsidRDefault="00FB19C0" w:rsidP="007B13EF">
            <w:pPr>
              <w:pStyle w:val="TableText"/>
              <w:spacing w:before="50" w:after="40"/>
              <w:rPr>
                <w:rFonts w:cs="Arial"/>
              </w:rPr>
            </w:pPr>
            <w:r w:rsidRPr="00BE78CA">
              <w:rPr>
                <w:rFonts w:cs="Arial"/>
              </w:rPr>
              <w:t>Tier 1</w:t>
            </w:r>
          </w:p>
        </w:tc>
        <w:tc>
          <w:tcPr>
            <w:tcW w:w="2693" w:type="dxa"/>
            <w:tcBorders>
              <w:top w:val="single" w:sz="6" w:space="0" w:color="365F91"/>
              <w:left w:val="nil"/>
              <w:bottom w:val="single" w:sz="6" w:space="0" w:color="365F91"/>
              <w:right w:val="nil"/>
            </w:tcBorders>
            <w:shd w:val="clear" w:color="auto" w:fill="FFFFFF"/>
            <w:hideMark/>
          </w:tcPr>
          <w:p w14:paraId="47AA9B06" w14:textId="77777777" w:rsidR="00FB19C0" w:rsidRPr="00BE78CA" w:rsidRDefault="00FB19C0" w:rsidP="007B13EF">
            <w:pPr>
              <w:pStyle w:val="TableText"/>
              <w:spacing w:before="50" w:after="40"/>
              <w:rPr>
                <w:rFonts w:cs="Arial"/>
              </w:rPr>
            </w:pPr>
            <w:r w:rsidRPr="00BE78CA">
              <w:rPr>
                <w:rFonts w:cs="Arial"/>
              </w:rPr>
              <w:t>IPCC (2006a)</w:t>
            </w:r>
          </w:p>
        </w:tc>
      </w:tr>
      <w:tr w:rsidR="00FB19C0" w:rsidRPr="00BE78CA" w14:paraId="30D02B52" w14:textId="77777777" w:rsidTr="008F032F">
        <w:tc>
          <w:tcPr>
            <w:tcW w:w="2268" w:type="dxa"/>
            <w:tcBorders>
              <w:top w:val="single" w:sz="6" w:space="0" w:color="365F91"/>
              <w:left w:val="nil"/>
              <w:bottom w:val="single" w:sz="6" w:space="0" w:color="365F91"/>
              <w:right w:val="nil"/>
            </w:tcBorders>
            <w:shd w:val="clear" w:color="auto" w:fill="FFFFFF"/>
            <w:hideMark/>
          </w:tcPr>
          <w:p w14:paraId="568A9486" w14:textId="77777777" w:rsidR="00FB19C0" w:rsidRPr="00BE78CA" w:rsidRDefault="00FB19C0" w:rsidP="007B13EF">
            <w:pPr>
              <w:pStyle w:val="TableText"/>
              <w:keepNext/>
              <w:spacing w:before="50" w:after="40"/>
              <w:rPr>
                <w:rFonts w:cs="Arial"/>
                <w:bCs/>
              </w:rPr>
            </w:pPr>
            <w:r w:rsidRPr="00BE78CA">
              <w:rPr>
                <w:rFonts w:cs="Arial"/>
                <w:bCs/>
              </w:rPr>
              <w:t xml:space="preserve">Industrial wastewater (5.D.2) </w:t>
            </w:r>
            <w:r w:rsidRPr="00BE78CA">
              <w:rPr>
                <w:rFonts w:cs="Arial"/>
                <w:bCs/>
              </w:rPr>
              <w:br/>
              <w:t>– Wine industry</w:t>
            </w:r>
          </w:p>
        </w:tc>
        <w:tc>
          <w:tcPr>
            <w:tcW w:w="567" w:type="dxa"/>
            <w:tcBorders>
              <w:top w:val="single" w:sz="6" w:space="0" w:color="365F91"/>
              <w:left w:val="nil"/>
              <w:bottom w:val="single" w:sz="6" w:space="0" w:color="365F91"/>
              <w:right w:val="nil"/>
            </w:tcBorders>
            <w:shd w:val="clear" w:color="auto" w:fill="FFFFFF"/>
            <w:hideMark/>
          </w:tcPr>
          <w:p w14:paraId="1D70BE82" w14:textId="77777777" w:rsidR="00FB19C0" w:rsidRPr="00BE78CA" w:rsidRDefault="00FB19C0" w:rsidP="007B13EF">
            <w:pPr>
              <w:pStyle w:val="TableText"/>
              <w:keepNext/>
              <w:spacing w:before="50" w:after="40"/>
              <w:rPr>
                <w:rFonts w:cs="Arial"/>
                <w:bCs/>
              </w:rPr>
            </w:pPr>
            <w:r w:rsidRPr="00BE78CA">
              <w:t>CH</w:t>
            </w:r>
            <w:r w:rsidRPr="00BE78CA">
              <w:rPr>
                <w:vertAlign w:val="subscript"/>
              </w:rPr>
              <w:t>4</w:t>
            </w:r>
          </w:p>
        </w:tc>
        <w:tc>
          <w:tcPr>
            <w:tcW w:w="2127" w:type="dxa"/>
            <w:tcBorders>
              <w:top w:val="single" w:sz="6" w:space="0" w:color="365F91"/>
              <w:left w:val="nil"/>
              <w:bottom w:val="single" w:sz="6" w:space="0" w:color="365F91"/>
              <w:right w:val="nil"/>
            </w:tcBorders>
            <w:shd w:val="clear" w:color="auto" w:fill="FFFFFF"/>
          </w:tcPr>
          <w:p w14:paraId="0949554D" w14:textId="77777777" w:rsidR="00FB19C0" w:rsidRPr="00BE78CA" w:rsidRDefault="00FB19C0" w:rsidP="007B13EF">
            <w:pPr>
              <w:pStyle w:val="TableText"/>
              <w:keepNext/>
              <w:spacing w:before="50" w:after="40"/>
              <w:rPr>
                <w:rFonts w:cs="Arial"/>
                <w:bCs/>
              </w:rPr>
            </w:pPr>
          </w:p>
        </w:tc>
        <w:tc>
          <w:tcPr>
            <w:tcW w:w="850" w:type="dxa"/>
            <w:tcBorders>
              <w:top w:val="single" w:sz="6" w:space="0" w:color="365F91"/>
              <w:left w:val="nil"/>
              <w:bottom w:val="single" w:sz="6" w:space="0" w:color="365F91"/>
              <w:right w:val="nil"/>
            </w:tcBorders>
            <w:shd w:val="clear" w:color="auto" w:fill="FFFFFF"/>
            <w:hideMark/>
          </w:tcPr>
          <w:p w14:paraId="5D5A16CE" w14:textId="77777777" w:rsidR="00FB19C0" w:rsidRPr="00BE78CA" w:rsidRDefault="00FB19C0" w:rsidP="007B13EF">
            <w:pPr>
              <w:pStyle w:val="TableText"/>
              <w:keepNext/>
              <w:spacing w:before="50" w:after="40"/>
              <w:rPr>
                <w:rFonts w:cs="Arial"/>
              </w:rPr>
            </w:pPr>
            <w:r w:rsidRPr="00BE78CA">
              <w:rPr>
                <w:rFonts w:cs="Arial"/>
              </w:rPr>
              <w:t>Tier 2</w:t>
            </w:r>
          </w:p>
        </w:tc>
        <w:tc>
          <w:tcPr>
            <w:tcW w:w="2693" w:type="dxa"/>
            <w:tcBorders>
              <w:top w:val="single" w:sz="6" w:space="0" w:color="365F91"/>
              <w:left w:val="nil"/>
              <w:bottom w:val="single" w:sz="6" w:space="0" w:color="365F91"/>
              <w:right w:val="nil"/>
            </w:tcBorders>
            <w:shd w:val="clear" w:color="auto" w:fill="FFFFFF"/>
            <w:hideMark/>
          </w:tcPr>
          <w:p w14:paraId="6429C0A3" w14:textId="77777777" w:rsidR="00FB19C0" w:rsidRPr="00BE78CA" w:rsidRDefault="00FB19C0" w:rsidP="007B13EF">
            <w:pPr>
              <w:pStyle w:val="TableText"/>
              <w:keepNext/>
              <w:spacing w:before="50" w:after="40"/>
              <w:rPr>
                <w:rFonts w:cs="Arial"/>
              </w:rPr>
            </w:pPr>
            <w:r w:rsidRPr="00BE78CA">
              <w:rPr>
                <w:rFonts w:cs="Arial"/>
              </w:rPr>
              <w:t>Beca Ltd (unpublished)</w:t>
            </w:r>
          </w:p>
        </w:tc>
      </w:tr>
      <w:tr w:rsidR="00FB19C0" w:rsidRPr="00BE78CA" w14:paraId="7B606384" w14:textId="77777777" w:rsidTr="008F032F">
        <w:tc>
          <w:tcPr>
            <w:tcW w:w="2268" w:type="dxa"/>
            <w:tcBorders>
              <w:top w:val="single" w:sz="6" w:space="0" w:color="365F91"/>
              <w:left w:val="nil"/>
              <w:bottom w:val="single" w:sz="6" w:space="0" w:color="365F91"/>
              <w:right w:val="nil"/>
            </w:tcBorders>
            <w:shd w:val="clear" w:color="auto" w:fill="FFFFFF"/>
            <w:hideMark/>
          </w:tcPr>
          <w:p w14:paraId="3D1AB72A" w14:textId="77777777" w:rsidR="00FB19C0" w:rsidRPr="00BE78CA" w:rsidRDefault="00FB19C0" w:rsidP="007B13EF">
            <w:pPr>
              <w:pStyle w:val="TableText"/>
              <w:spacing w:before="50" w:after="40"/>
              <w:rPr>
                <w:rFonts w:cs="Arial"/>
                <w:bCs/>
              </w:rPr>
            </w:pPr>
            <w:r w:rsidRPr="00BE78CA">
              <w:rPr>
                <w:rFonts w:cs="Arial"/>
                <w:bCs/>
              </w:rPr>
              <w:t>Industrial wastewater (5.D.2)</w:t>
            </w:r>
            <w:r w:rsidRPr="00BE78CA">
              <w:rPr>
                <w:rFonts w:cs="Arial"/>
                <w:bCs/>
              </w:rPr>
              <w:br/>
              <w:t>– Wool scouring industry</w:t>
            </w:r>
          </w:p>
        </w:tc>
        <w:tc>
          <w:tcPr>
            <w:tcW w:w="567" w:type="dxa"/>
            <w:tcBorders>
              <w:top w:val="single" w:sz="6" w:space="0" w:color="365F91"/>
              <w:left w:val="nil"/>
              <w:bottom w:val="single" w:sz="6" w:space="0" w:color="365F91"/>
              <w:right w:val="nil"/>
            </w:tcBorders>
            <w:shd w:val="clear" w:color="auto" w:fill="FFFFFF"/>
            <w:hideMark/>
          </w:tcPr>
          <w:p w14:paraId="44F19FF2" w14:textId="77777777" w:rsidR="00FB19C0" w:rsidRPr="00BE78CA" w:rsidRDefault="00FB19C0" w:rsidP="007B13EF">
            <w:pPr>
              <w:pStyle w:val="TableText"/>
              <w:spacing w:before="50" w:after="40"/>
              <w:rPr>
                <w:rFonts w:cs="Arial"/>
                <w:bCs/>
              </w:rPr>
            </w:pPr>
            <w:r w:rsidRPr="00BE78CA">
              <w:t>CH</w:t>
            </w:r>
            <w:r w:rsidRPr="00BE78CA">
              <w:rPr>
                <w:vertAlign w:val="subscript"/>
              </w:rPr>
              <w:t>4</w:t>
            </w:r>
          </w:p>
        </w:tc>
        <w:tc>
          <w:tcPr>
            <w:tcW w:w="2127" w:type="dxa"/>
            <w:tcBorders>
              <w:top w:val="single" w:sz="6" w:space="0" w:color="365F91"/>
              <w:left w:val="nil"/>
              <w:bottom w:val="single" w:sz="6" w:space="0" w:color="365F91"/>
              <w:right w:val="nil"/>
            </w:tcBorders>
            <w:shd w:val="clear" w:color="auto" w:fill="FFFFFF"/>
          </w:tcPr>
          <w:p w14:paraId="0491F104" w14:textId="77777777" w:rsidR="00FB19C0" w:rsidRPr="00BE78CA" w:rsidRDefault="00FB19C0" w:rsidP="007B13EF">
            <w:pPr>
              <w:pStyle w:val="TableText"/>
              <w:spacing w:before="50" w:after="40"/>
              <w:rPr>
                <w:rFonts w:cs="Arial"/>
                <w:bCs/>
              </w:rPr>
            </w:pPr>
          </w:p>
        </w:tc>
        <w:tc>
          <w:tcPr>
            <w:tcW w:w="850" w:type="dxa"/>
            <w:tcBorders>
              <w:top w:val="single" w:sz="6" w:space="0" w:color="365F91"/>
              <w:left w:val="nil"/>
              <w:bottom w:val="single" w:sz="6" w:space="0" w:color="365F91"/>
              <w:right w:val="nil"/>
            </w:tcBorders>
            <w:shd w:val="clear" w:color="auto" w:fill="FFFFFF"/>
            <w:hideMark/>
          </w:tcPr>
          <w:p w14:paraId="6DD7E1B8" w14:textId="77777777" w:rsidR="00FB19C0" w:rsidRPr="00BE78CA" w:rsidRDefault="00FB19C0" w:rsidP="007B13EF">
            <w:pPr>
              <w:pStyle w:val="TableText"/>
              <w:spacing w:before="50" w:after="40"/>
              <w:rPr>
                <w:rFonts w:cs="Arial"/>
              </w:rPr>
            </w:pPr>
            <w:r w:rsidRPr="00BE78CA">
              <w:rPr>
                <w:rFonts w:cs="Arial"/>
              </w:rPr>
              <w:t>Tier 1</w:t>
            </w:r>
          </w:p>
        </w:tc>
        <w:tc>
          <w:tcPr>
            <w:tcW w:w="2693" w:type="dxa"/>
            <w:tcBorders>
              <w:top w:val="single" w:sz="6" w:space="0" w:color="365F91"/>
              <w:left w:val="nil"/>
              <w:bottom w:val="single" w:sz="6" w:space="0" w:color="365F91"/>
              <w:right w:val="nil"/>
            </w:tcBorders>
            <w:shd w:val="clear" w:color="auto" w:fill="FFFFFF"/>
            <w:hideMark/>
          </w:tcPr>
          <w:p w14:paraId="0DFB43B0" w14:textId="77777777" w:rsidR="00FB19C0" w:rsidRPr="00BE78CA" w:rsidRDefault="00FB19C0" w:rsidP="007B13EF">
            <w:pPr>
              <w:pStyle w:val="TableText"/>
              <w:spacing w:before="50" w:after="40"/>
              <w:rPr>
                <w:rFonts w:cs="Arial"/>
              </w:rPr>
            </w:pPr>
            <w:r w:rsidRPr="00BE78CA">
              <w:rPr>
                <w:rFonts w:cs="Arial"/>
              </w:rPr>
              <w:t>IPCC (2006a)</w:t>
            </w:r>
          </w:p>
        </w:tc>
      </w:tr>
      <w:tr w:rsidR="00FB19C0" w:rsidRPr="00BE78CA" w14:paraId="21922D21" w14:textId="77777777" w:rsidTr="008F032F">
        <w:tc>
          <w:tcPr>
            <w:tcW w:w="2268" w:type="dxa"/>
            <w:tcBorders>
              <w:top w:val="single" w:sz="6" w:space="0" w:color="365F91"/>
              <w:left w:val="nil"/>
              <w:bottom w:val="single" w:sz="6" w:space="0" w:color="365F91"/>
              <w:right w:val="nil"/>
            </w:tcBorders>
            <w:shd w:val="clear" w:color="auto" w:fill="FFFFFF"/>
            <w:hideMark/>
          </w:tcPr>
          <w:p w14:paraId="3BD6C214" w14:textId="77777777" w:rsidR="00FB19C0" w:rsidRPr="00BE78CA" w:rsidRDefault="00FB19C0" w:rsidP="007B13EF">
            <w:pPr>
              <w:pStyle w:val="TableText"/>
              <w:spacing w:before="50" w:after="40"/>
              <w:rPr>
                <w:rFonts w:cs="Arial"/>
                <w:bCs/>
              </w:rPr>
            </w:pPr>
            <w:r w:rsidRPr="00BE78CA">
              <w:rPr>
                <w:rFonts w:cs="Arial"/>
                <w:bCs/>
              </w:rPr>
              <w:t>Industrial wastewater (5.D.2)</w:t>
            </w:r>
          </w:p>
        </w:tc>
        <w:tc>
          <w:tcPr>
            <w:tcW w:w="567" w:type="dxa"/>
            <w:tcBorders>
              <w:top w:val="single" w:sz="6" w:space="0" w:color="365F91"/>
              <w:left w:val="nil"/>
              <w:bottom w:val="single" w:sz="6" w:space="0" w:color="365F91"/>
              <w:right w:val="nil"/>
            </w:tcBorders>
            <w:shd w:val="clear" w:color="auto" w:fill="FFFFFF"/>
            <w:hideMark/>
          </w:tcPr>
          <w:p w14:paraId="38E04E4F" w14:textId="77777777" w:rsidR="00FB19C0" w:rsidRPr="00BE78CA" w:rsidRDefault="00FB19C0" w:rsidP="007B13EF">
            <w:pPr>
              <w:pStyle w:val="TableText"/>
              <w:spacing w:before="50" w:after="40"/>
              <w:rPr>
                <w:rFonts w:cs="Arial"/>
                <w:bCs/>
              </w:rPr>
            </w:pPr>
            <w:r w:rsidRPr="00BE78CA">
              <w:t>N</w:t>
            </w:r>
            <w:r w:rsidRPr="00BE78CA">
              <w:rPr>
                <w:vertAlign w:val="subscript"/>
              </w:rPr>
              <w:t>2</w:t>
            </w:r>
            <w:r w:rsidRPr="00BE78CA">
              <w:t>O</w:t>
            </w:r>
          </w:p>
        </w:tc>
        <w:tc>
          <w:tcPr>
            <w:tcW w:w="2127" w:type="dxa"/>
            <w:tcBorders>
              <w:top w:val="single" w:sz="6" w:space="0" w:color="365F91"/>
              <w:left w:val="nil"/>
              <w:bottom w:val="single" w:sz="6" w:space="0" w:color="365F91"/>
              <w:right w:val="nil"/>
            </w:tcBorders>
            <w:shd w:val="clear" w:color="auto" w:fill="FFFFFF"/>
            <w:hideMark/>
          </w:tcPr>
          <w:p w14:paraId="10290CC3" w14:textId="77777777" w:rsidR="00FB19C0" w:rsidRPr="00BE78CA" w:rsidRDefault="00FB19C0" w:rsidP="007B13EF">
            <w:pPr>
              <w:pStyle w:val="TableText"/>
              <w:spacing w:before="50" w:after="40"/>
              <w:rPr>
                <w:rFonts w:cs="Arial"/>
                <w:bCs/>
              </w:rPr>
            </w:pPr>
            <w:r w:rsidRPr="00BE78CA">
              <w:rPr>
                <w:rFonts w:cs="Arial"/>
                <w:bCs/>
              </w:rPr>
              <w:t xml:space="preserve">Based on chemical oxygen demand from </w:t>
            </w:r>
            <w:r w:rsidRPr="00BE78CA">
              <w:t>CH</w:t>
            </w:r>
            <w:r w:rsidRPr="00BE78CA">
              <w:rPr>
                <w:vertAlign w:val="subscript"/>
              </w:rPr>
              <w:t xml:space="preserve">4 </w:t>
            </w:r>
            <w:r w:rsidRPr="00BE78CA">
              <w:rPr>
                <w:rFonts w:cs="Arial"/>
                <w:bCs/>
              </w:rPr>
              <w:t>emissions</w:t>
            </w:r>
          </w:p>
        </w:tc>
        <w:tc>
          <w:tcPr>
            <w:tcW w:w="850" w:type="dxa"/>
            <w:tcBorders>
              <w:top w:val="single" w:sz="6" w:space="0" w:color="365F91"/>
              <w:left w:val="nil"/>
              <w:bottom w:val="single" w:sz="6" w:space="0" w:color="365F91"/>
              <w:right w:val="nil"/>
            </w:tcBorders>
            <w:shd w:val="clear" w:color="auto" w:fill="FFFFFF"/>
            <w:hideMark/>
          </w:tcPr>
          <w:p w14:paraId="11DB4313" w14:textId="77777777" w:rsidR="00FB19C0" w:rsidRPr="00BE78CA" w:rsidRDefault="00FB19C0" w:rsidP="007B13EF">
            <w:pPr>
              <w:pStyle w:val="TableText"/>
              <w:spacing w:before="50" w:after="40"/>
              <w:rPr>
                <w:rFonts w:cs="Arial"/>
              </w:rPr>
            </w:pPr>
            <w:r w:rsidRPr="00BE78CA">
              <w:rPr>
                <w:rFonts w:cs="Arial"/>
              </w:rPr>
              <w:t>Tier 2</w:t>
            </w:r>
          </w:p>
        </w:tc>
        <w:tc>
          <w:tcPr>
            <w:tcW w:w="2693" w:type="dxa"/>
            <w:tcBorders>
              <w:top w:val="single" w:sz="6" w:space="0" w:color="365F91"/>
              <w:left w:val="nil"/>
              <w:bottom w:val="single" w:sz="6" w:space="0" w:color="365F91"/>
              <w:right w:val="nil"/>
            </w:tcBorders>
            <w:shd w:val="clear" w:color="auto" w:fill="FFFFFF"/>
            <w:hideMark/>
          </w:tcPr>
          <w:p w14:paraId="23A8E627" w14:textId="77777777" w:rsidR="00FB19C0" w:rsidRPr="00BE78CA" w:rsidRDefault="00FB19C0" w:rsidP="007B13EF">
            <w:pPr>
              <w:pStyle w:val="TableText"/>
              <w:spacing w:before="50" w:after="40"/>
              <w:rPr>
                <w:rFonts w:cs="Arial"/>
              </w:rPr>
            </w:pPr>
            <w:r w:rsidRPr="00BE78CA">
              <w:rPr>
                <w:rFonts w:cs="Arial"/>
              </w:rPr>
              <w:t>Cardno (unpublished)</w:t>
            </w:r>
          </w:p>
        </w:tc>
      </w:tr>
    </w:tbl>
    <w:p w14:paraId="7FD9FEFC" w14:textId="77777777" w:rsidR="00FB19C0" w:rsidRPr="00BE78CA" w:rsidRDefault="00FB19C0" w:rsidP="007B13EF">
      <w:pPr>
        <w:pStyle w:val="Heading5"/>
        <w:spacing w:before="280"/>
      </w:pPr>
      <w:r w:rsidRPr="00BE78CA">
        <w:t>Wine industry</w:t>
      </w:r>
    </w:p>
    <w:p w14:paraId="69180BFF" w14:textId="77777777" w:rsidR="00FB19C0" w:rsidRPr="00BE78CA" w:rsidRDefault="00FB19C0" w:rsidP="007B13EF">
      <w:pPr>
        <w:pStyle w:val="BodyText"/>
        <w:spacing w:before="100" w:after="100"/>
      </w:pPr>
      <w:r w:rsidRPr="00BE78CA">
        <w:t>A Tier 2 approach is used to estimate emissions from the wine industry. Information on the wastewater treatment practices of the industry was obtained from a survey (Beca Ltd, unpublished). IPCC default values are used where New Zealand-specific information is not available.</w:t>
      </w:r>
    </w:p>
    <w:p w14:paraId="5A91189E" w14:textId="77777777" w:rsidR="00FB19C0" w:rsidRPr="00BE78CA" w:rsidRDefault="00FB19C0" w:rsidP="007B13EF">
      <w:pPr>
        <w:pStyle w:val="Heading5"/>
        <w:spacing w:before="180"/>
      </w:pPr>
      <w:r w:rsidRPr="00BE78CA">
        <w:t>Nitrous oxide emissions</w:t>
      </w:r>
    </w:p>
    <w:p w14:paraId="0B6A3D38" w14:textId="77777777" w:rsidR="00FB19C0" w:rsidRPr="00BE78CA" w:rsidRDefault="00FB19C0" w:rsidP="00FB19C0">
      <w:pPr>
        <w:pStyle w:val="BodyText"/>
      </w:pPr>
      <w:r w:rsidRPr="00BE78CA">
        <w:t>Direct emissions of N</w:t>
      </w:r>
      <w:r w:rsidRPr="00BE78CA">
        <w:rPr>
          <w:vertAlign w:val="subscript"/>
        </w:rPr>
        <w:t>2</w:t>
      </w:r>
      <w:r w:rsidRPr="00BE78CA">
        <w:t>O from domestic wastewater plants are typically minor and only occur in advanced centralised treatment plants. Good practice guidelines (IPCC, 2006a) advise that the estimation of direct N</w:t>
      </w:r>
      <w:r w:rsidRPr="00BE78CA">
        <w:rPr>
          <w:vertAlign w:val="subscript"/>
        </w:rPr>
        <w:t>2</w:t>
      </w:r>
      <w:r w:rsidRPr="00BE78CA">
        <w:t>O emissions is only necessary where advanced centralised treatment plants account for a major proportion of wastewater treatment. There is one wastewater treatment plant in Auckland that serves about a million people, however, direct N</w:t>
      </w:r>
      <w:r w:rsidRPr="00BE78CA">
        <w:rPr>
          <w:vertAlign w:val="subscript"/>
        </w:rPr>
        <w:t>2</w:t>
      </w:r>
      <w:r w:rsidRPr="00BE78CA">
        <w:t>O emissions are not estimated because they are likely to be small.</w:t>
      </w:r>
    </w:p>
    <w:p w14:paraId="05BB3C54" w14:textId="77777777" w:rsidR="00FB19C0" w:rsidRPr="00BE78CA" w:rsidRDefault="00FB19C0" w:rsidP="00FB19C0">
      <w:pPr>
        <w:pStyle w:val="BodyText"/>
      </w:pPr>
      <w:r w:rsidRPr="00BE78CA">
        <w:lastRenderedPageBreak/>
        <w:t>However, indirect emissions of N</w:t>
      </w:r>
      <w:r w:rsidRPr="00BE78CA">
        <w:rPr>
          <w:vertAlign w:val="subscript"/>
        </w:rPr>
        <w:t>2</w:t>
      </w:r>
      <w:r w:rsidRPr="00BE78CA">
        <w:t>O may occur after disposal of effluent into waterways, lakes or the ocean. New Zealand reports indirect emissions of N</w:t>
      </w:r>
      <w:r w:rsidRPr="00BE78CA">
        <w:rPr>
          <w:vertAlign w:val="subscript"/>
        </w:rPr>
        <w:t>2</w:t>
      </w:r>
      <w:r w:rsidRPr="00BE78CA">
        <w:t>O from domestic wastewater.</w:t>
      </w:r>
    </w:p>
    <w:p w14:paraId="7B0611B8" w14:textId="77777777" w:rsidR="00FB19C0" w:rsidRPr="00BE78CA" w:rsidRDefault="00FB19C0" w:rsidP="00FB19C0">
      <w:pPr>
        <w:pStyle w:val="BodyText"/>
      </w:pPr>
      <w:r w:rsidRPr="00BE78CA">
        <w:t>The IPCC Guidelines (IPCC, 2006a) indicate that, compared with domestic wastewater, the N</w:t>
      </w:r>
      <w:r w:rsidRPr="00BE78CA">
        <w:rPr>
          <w:vertAlign w:val="subscript"/>
        </w:rPr>
        <w:t>2</w:t>
      </w:r>
      <w:r w:rsidRPr="00BE78CA">
        <w:t>O emissions from industrial wastewater are believed to be insignificant. However, these emissions are not insignificant in New Zealand, because the meat and dairy processing industries produce nitrogen-rich wastewaters.</w:t>
      </w:r>
    </w:p>
    <w:p w14:paraId="32E2AA51" w14:textId="77777777" w:rsidR="00FB19C0" w:rsidRPr="00BE78CA" w:rsidRDefault="00FB19C0" w:rsidP="00FB19C0">
      <w:pPr>
        <w:pStyle w:val="BodyText"/>
      </w:pPr>
      <w:r w:rsidRPr="00BE78CA">
        <w:t>The IPCC does not provide a method for calculating N</w:t>
      </w:r>
      <w:r w:rsidRPr="00BE78CA">
        <w:rPr>
          <w:vertAlign w:val="subscript"/>
        </w:rPr>
        <w:t>2</w:t>
      </w:r>
      <w:r w:rsidRPr="00BE78CA">
        <w:t>O emissions from industrial wastewater and, consequently, a New Zealand-derived method has been applied. The total nitrogen load is calculated by adopting the COD load as determined in calculating CH</w:t>
      </w:r>
      <w:r w:rsidRPr="00BE78CA">
        <w:rPr>
          <w:vertAlign w:val="subscript"/>
        </w:rPr>
        <w:t>4</w:t>
      </w:r>
      <w:r w:rsidRPr="00BE78CA">
        <w:t xml:space="preserve"> emissions from the same wastewater, and using an estimated ratio of COD to nitrogen in the wastewater for each of the different producers in the meat, dairy processing and leather and skins industries.</w:t>
      </w:r>
    </w:p>
    <w:p w14:paraId="3CACC39C" w14:textId="77777777" w:rsidR="00FB19C0" w:rsidRPr="00BE78CA" w:rsidRDefault="00FB19C0" w:rsidP="00FB19C0">
      <w:pPr>
        <w:pStyle w:val="Heading4"/>
      </w:pPr>
      <w:r w:rsidRPr="00BE78CA">
        <w:t>Choice of emission factors</w:t>
      </w:r>
    </w:p>
    <w:p w14:paraId="4AD91DE0" w14:textId="77777777" w:rsidR="00FB19C0" w:rsidRPr="00BE78CA" w:rsidRDefault="00FB19C0" w:rsidP="00FB19C0">
      <w:pPr>
        <w:pStyle w:val="Heading5"/>
        <w:spacing w:before="120"/>
      </w:pPr>
      <w:r w:rsidRPr="00BE78CA">
        <w:t>Domestic wastewater (5.D.1)</w:t>
      </w:r>
    </w:p>
    <w:p w14:paraId="065BEAED" w14:textId="77777777" w:rsidR="00FB19C0" w:rsidRPr="00BE78CA" w:rsidRDefault="00FB19C0" w:rsidP="00FB19C0">
      <w:pPr>
        <w:pStyle w:val="Heading6"/>
        <w:spacing w:before="120"/>
        <w:rPr>
          <w:lang w:eastAsia="en-NZ"/>
        </w:rPr>
      </w:pPr>
      <w:r w:rsidRPr="00BE78CA">
        <w:rPr>
          <w:lang w:eastAsia="en-NZ"/>
        </w:rPr>
        <w:t>Methane emissions from domestic wastewater treatment</w:t>
      </w:r>
    </w:p>
    <w:p w14:paraId="0F5043B1" w14:textId="77777777" w:rsidR="00FB19C0" w:rsidRPr="00BE78CA" w:rsidRDefault="00FB19C0" w:rsidP="00FB19C0">
      <w:pPr>
        <w:pStyle w:val="BodyText"/>
      </w:pPr>
      <w:r w:rsidRPr="00BE78CA">
        <w:t>Table 7.5.6 provides a summary of the parameter values applied for estimating CH</w:t>
      </w:r>
      <w:r w:rsidRPr="00BE78CA">
        <w:rPr>
          <w:vertAlign w:val="subscript"/>
        </w:rPr>
        <w:t>4</w:t>
      </w:r>
      <w:r w:rsidRPr="00BE78CA">
        <w:t xml:space="preserve"> emissions from domestic wastewater treatment.</w:t>
      </w:r>
    </w:p>
    <w:p w14:paraId="15419C9E" w14:textId="77777777" w:rsidR="00FB19C0" w:rsidRPr="00BE78CA" w:rsidRDefault="00FB19C0" w:rsidP="00FB19C0">
      <w:pPr>
        <w:pStyle w:val="Table"/>
      </w:pPr>
      <w:bookmarkStart w:id="3063" w:name="_Toc32828541"/>
      <w:bookmarkStart w:id="3064" w:name="_Toc32591371"/>
      <w:bookmarkStart w:id="3065" w:name="_Toc5269583"/>
      <w:bookmarkStart w:id="3066" w:name="_Toc511116834"/>
      <w:bookmarkStart w:id="3067" w:name="_Toc508019336"/>
      <w:bookmarkStart w:id="3068" w:name="_Toc481751609"/>
      <w:bookmarkStart w:id="3069" w:name="_Toc451176179"/>
      <w:bookmarkStart w:id="3070" w:name="_Toc444001627"/>
      <w:bookmarkStart w:id="3071" w:name="_Toc321399252"/>
      <w:bookmarkStart w:id="3072" w:name="_Toc36224664"/>
      <w:bookmarkStart w:id="3073" w:name="_Toc68786550"/>
      <w:r w:rsidRPr="00BE78CA">
        <w:t>Table 7.5.6</w:t>
      </w:r>
      <w:r w:rsidRPr="00BE78CA">
        <w:tab/>
        <w:t>Parameter values applied by New Zealand for estimating methane emissions</w:t>
      </w:r>
      <w:r w:rsidRPr="00BE78CA">
        <w:br/>
        <w:t>for domestic wastewater treatment</w:t>
      </w:r>
      <w:bookmarkEnd w:id="3063"/>
      <w:bookmarkEnd w:id="3064"/>
      <w:bookmarkEnd w:id="3065"/>
      <w:bookmarkEnd w:id="3066"/>
      <w:bookmarkEnd w:id="3067"/>
      <w:bookmarkEnd w:id="3068"/>
      <w:bookmarkEnd w:id="3069"/>
      <w:bookmarkEnd w:id="3070"/>
      <w:bookmarkEnd w:id="3071"/>
      <w:bookmarkEnd w:id="3072"/>
      <w:bookmarkEnd w:id="3073"/>
      <w:r w:rsidRPr="00BE78CA">
        <w:t xml:space="preserve"> </w:t>
      </w:r>
    </w:p>
    <w:tbl>
      <w:tblPr>
        <w:tblW w:w="8505" w:type="dxa"/>
        <w:tblLook w:val="04A0" w:firstRow="1" w:lastRow="0" w:firstColumn="1" w:lastColumn="0" w:noHBand="0" w:noVBand="1"/>
      </w:tblPr>
      <w:tblGrid>
        <w:gridCol w:w="2241"/>
        <w:gridCol w:w="1666"/>
        <w:gridCol w:w="1610"/>
        <w:gridCol w:w="2988"/>
      </w:tblGrid>
      <w:tr w:rsidR="00FB19C0" w:rsidRPr="00BE78CA" w14:paraId="4EC06C74" w14:textId="77777777" w:rsidTr="0021273B">
        <w:trPr>
          <w:tblHeader/>
        </w:trPr>
        <w:tc>
          <w:tcPr>
            <w:tcW w:w="2211" w:type="dxa"/>
            <w:tcBorders>
              <w:top w:val="single" w:sz="4" w:space="0" w:color="5B9BD5"/>
              <w:left w:val="nil"/>
              <w:bottom w:val="single" w:sz="4" w:space="0" w:color="365F91"/>
              <w:right w:val="nil"/>
            </w:tcBorders>
            <w:shd w:val="clear" w:color="auto" w:fill="365F91"/>
            <w:hideMark/>
          </w:tcPr>
          <w:p w14:paraId="11221F89" w14:textId="77777777" w:rsidR="00FB19C0" w:rsidRPr="00BE78CA" w:rsidRDefault="00FB19C0" w:rsidP="007B13EF">
            <w:pPr>
              <w:pStyle w:val="TableTextBold"/>
              <w:keepNext/>
              <w:spacing w:before="50" w:after="50"/>
              <w:rPr>
                <w:noProof w:val="0"/>
                <w:color w:val="FFFFFF"/>
              </w:rPr>
            </w:pPr>
            <w:r w:rsidRPr="00BE78CA">
              <w:rPr>
                <w:noProof w:val="0"/>
                <w:color w:val="FFFFFF"/>
              </w:rPr>
              <w:t>Parameter</w:t>
            </w:r>
          </w:p>
        </w:tc>
        <w:tc>
          <w:tcPr>
            <w:tcW w:w="1644" w:type="dxa"/>
            <w:tcBorders>
              <w:top w:val="single" w:sz="4" w:space="0" w:color="5B9BD5"/>
              <w:left w:val="nil"/>
              <w:bottom w:val="single" w:sz="4" w:space="0" w:color="365F91"/>
              <w:right w:val="nil"/>
            </w:tcBorders>
            <w:shd w:val="clear" w:color="auto" w:fill="365F91"/>
            <w:hideMark/>
          </w:tcPr>
          <w:p w14:paraId="65207ED8" w14:textId="77777777" w:rsidR="00FB19C0" w:rsidRPr="00BE78CA" w:rsidRDefault="00FB19C0" w:rsidP="007B13EF">
            <w:pPr>
              <w:pStyle w:val="TableTextBold"/>
              <w:keepNext/>
              <w:spacing w:before="50" w:after="50"/>
              <w:rPr>
                <w:noProof w:val="0"/>
                <w:color w:val="FFFFFF"/>
              </w:rPr>
            </w:pPr>
            <w:r w:rsidRPr="00BE78CA">
              <w:rPr>
                <w:noProof w:val="0"/>
                <w:color w:val="FFFFFF"/>
              </w:rPr>
              <w:t>Value</w:t>
            </w:r>
          </w:p>
        </w:tc>
        <w:tc>
          <w:tcPr>
            <w:tcW w:w="1588" w:type="dxa"/>
            <w:tcBorders>
              <w:top w:val="single" w:sz="4" w:space="0" w:color="5B9BD5"/>
              <w:left w:val="nil"/>
              <w:bottom w:val="single" w:sz="4" w:space="0" w:color="365F91"/>
              <w:right w:val="nil"/>
            </w:tcBorders>
            <w:shd w:val="clear" w:color="auto" w:fill="365F91"/>
            <w:hideMark/>
          </w:tcPr>
          <w:p w14:paraId="2AAF0787" w14:textId="77777777" w:rsidR="00FB19C0" w:rsidRPr="00BE78CA" w:rsidRDefault="00FB19C0" w:rsidP="007B13EF">
            <w:pPr>
              <w:pStyle w:val="TableTextBold"/>
              <w:keepNext/>
              <w:spacing w:before="50" w:after="50"/>
              <w:rPr>
                <w:noProof w:val="0"/>
                <w:color w:val="FFFFFF"/>
              </w:rPr>
            </w:pPr>
            <w:r w:rsidRPr="00BE78CA">
              <w:rPr>
                <w:noProof w:val="0"/>
                <w:color w:val="FFFFFF"/>
              </w:rPr>
              <w:t>Source</w:t>
            </w:r>
          </w:p>
        </w:tc>
        <w:tc>
          <w:tcPr>
            <w:tcW w:w="2948" w:type="dxa"/>
            <w:tcBorders>
              <w:top w:val="single" w:sz="4" w:space="0" w:color="5B9BD5"/>
              <w:left w:val="nil"/>
              <w:bottom w:val="single" w:sz="4" w:space="0" w:color="365F91"/>
              <w:right w:val="nil"/>
            </w:tcBorders>
            <w:shd w:val="clear" w:color="auto" w:fill="365F91"/>
            <w:hideMark/>
          </w:tcPr>
          <w:p w14:paraId="17C07E77" w14:textId="77777777" w:rsidR="00FB19C0" w:rsidRPr="00BE78CA" w:rsidRDefault="00FB19C0" w:rsidP="007B13EF">
            <w:pPr>
              <w:pStyle w:val="TableTextBold"/>
              <w:keepNext/>
              <w:spacing w:before="50" w:after="50"/>
              <w:rPr>
                <w:noProof w:val="0"/>
                <w:color w:val="FFFFFF"/>
              </w:rPr>
            </w:pPr>
            <w:r w:rsidRPr="00BE78CA">
              <w:rPr>
                <w:noProof w:val="0"/>
                <w:color w:val="FFFFFF"/>
              </w:rPr>
              <w:t>Reference</w:t>
            </w:r>
          </w:p>
        </w:tc>
      </w:tr>
      <w:tr w:rsidR="00FB19C0" w:rsidRPr="00BE78CA" w14:paraId="39CD806E" w14:textId="77777777" w:rsidTr="0021273B">
        <w:tc>
          <w:tcPr>
            <w:tcW w:w="2211" w:type="dxa"/>
            <w:tcBorders>
              <w:top w:val="single" w:sz="4" w:space="0" w:color="365F91"/>
              <w:left w:val="nil"/>
              <w:bottom w:val="single" w:sz="4" w:space="0" w:color="365F91"/>
              <w:right w:val="nil"/>
            </w:tcBorders>
            <w:hideMark/>
          </w:tcPr>
          <w:p w14:paraId="470D7415" w14:textId="77777777" w:rsidR="00FB19C0" w:rsidRPr="00BE78CA" w:rsidRDefault="00FB19C0" w:rsidP="007B13EF">
            <w:pPr>
              <w:pStyle w:val="TableText"/>
              <w:keepNext/>
              <w:spacing w:before="50" w:after="50"/>
            </w:pPr>
            <w:r w:rsidRPr="00BE78CA">
              <w:t>Methane correction factors</w:t>
            </w:r>
          </w:p>
        </w:tc>
        <w:tc>
          <w:tcPr>
            <w:tcW w:w="1644" w:type="dxa"/>
            <w:tcBorders>
              <w:top w:val="single" w:sz="4" w:space="0" w:color="365F91"/>
              <w:left w:val="nil"/>
              <w:bottom w:val="single" w:sz="4" w:space="0" w:color="365F91"/>
              <w:right w:val="nil"/>
            </w:tcBorders>
          </w:tcPr>
          <w:p w14:paraId="6A2B3094" w14:textId="77777777" w:rsidR="00FB19C0" w:rsidRPr="00BE78CA" w:rsidRDefault="00FB19C0" w:rsidP="007B13EF">
            <w:pPr>
              <w:pStyle w:val="TableText"/>
              <w:keepNext/>
              <w:spacing w:before="50" w:after="50"/>
            </w:pPr>
          </w:p>
        </w:tc>
        <w:tc>
          <w:tcPr>
            <w:tcW w:w="1588" w:type="dxa"/>
            <w:tcBorders>
              <w:top w:val="single" w:sz="4" w:space="0" w:color="365F91"/>
              <w:left w:val="nil"/>
              <w:bottom w:val="single" w:sz="4" w:space="0" w:color="365F91"/>
              <w:right w:val="nil"/>
            </w:tcBorders>
          </w:tcPr>
          <w:p w14:paraId="15F38DA3" w14:textId="77777777" w:rsidR="00FB19C0" w:rsidRPr="00BE78CA" w:rsidRDefault="00FB19C0" w:rsidP="007B13EF">
            <w:pPr>
              <w:pStyle w:val="TableText"/>
              <w:keepNext/>
              <w:spacing w:before="50" w:after="50"/>
            </w:pPr>
          </w:p>
        </w:tc>
        <w:tc>
          <w:tcPr>
            <w:tcW w:w="2948" w:type="dxa"/>
            <w:tcBorders>
              <w:top w:val="single" w:sz="4" w:space="0" w:color="365F91"/>
              <w:left w:val="nil"/>
              <w:bottom w:val="single" w:sz="4" w:space="0" w:color="365F91"/>
              <w:right w:val="nil"/>
            </w:tcBorders>
          </w:tcPr>
          <w:p w14:paraId="3B8D60F6" w14:textId="77777777" w:rsidR="00FB19C0" w:rsidRPr="00BE78CA" w:rsidRDefault="00FB19C0" w:rsidP="007B13EF">
            <w:pPr>
              <w:pStyle w:val="TableText"/>
              <w:keepNext/>
              <w:spacing w:before="50" w:after="50"/>
            </w:pPr>
          </w:p>
        </w:tc>
      </w:tr>
      <w:tr w:rsidR="00FB19C0" w:rsidRPr="00BE78CA" w14:paraId="1D526984" w14:textId="77777777" w:rsidTr="0021273B">
        <w:tc>
          <w:tcPr>
            <w:tcW w:w="2211" w:type="dxa"/>
            <w:tcBorders>
              <w:top w:val="single" w:sz="4" w:space="0" w:color="365F91"/>
              <w:left w:val="nil"/>
              <w:bottom w:val="single" w:sz="4" w:space="0" w:color="365F91"/>
              <w:right w:val="nil"/>
            </w:tcBorders>
            <w:hideMark/>
          </w:tcPr>
          <w:p w14:paraId="1BC4C53E" w14:textId="77777777" w:rsidR="00FB19C0" w:rsidRPr="00BE78CA" w:rsidRDefault="00FB19C0" w:rsidP="007B13EF">
            <w:pPr>
              <w:pStyle w:val="TableText"/>
              <w:keepNext/>
              <w:spacing w:before="50" w:after="50"/>
              <w:ind w:left="142"/>
              <w:rPr>
                <w:i/>
                <w:color w:val="000000"/>
              </w:rPr>
            </w:pPr>
            <w:r w:rsidRPr="00BE78CA">
              <w:rPr>
                <w:i/>
                <w:color w:val="000000"/>
              </w:rPr>
              <w:t xml:space="preserve">Handling systems </w:t>
            </w:r>
            <w:r w:rsidRPr="00BE78CA">
              <w:rPr>
                <w:i/>
              </w:rPr>
              <w:t>methane correction factor</w:t>
            </w:r>
          </w:p>
        </w:tc>
        <w:tc>
          <w:tcPr>
            <w:tcW w:w="1644" w:type="dxa"/>
            <w:tcBorders>
              <w:top w:val="single" w:sz="4" w:space="0" w:color="365F91"/>
              <w:left w:val="nil"/>
              <w:bottom w:val="single" w:sz="4" w:space="0" w:color="365F91"/>
              <w:right w:val="nil"/>
            </w:tcBorders>
            <w:hideMark/>
          </w:tcPr>
          <w:p w14:paraId="66CFA7B9" w14:textId="77777777" w:rsidR="00FB19C0" w:rsidRPr="00BE78CA" w:rsidRDefault="00FB19C0" w:rsidP="007B13EF">
            <w:pPr>
              <w:pStyle w:val="TableText"/>
              <w:keepNext/>
              <w:spacing w:before="50" w:after="50"/>
            </w:pPr>
            <w:r w:rsidRPr="00BE78CA">
              <w:t>Range of 0–0.65</w:t>
            </w:r>
          </w:p>
        </w:tc>
        <w:tc>
          <w:tcPr>
            <w:tcW w:w="1588" w:type="dxa"/>
            <w:tcBorders>
              <w:top w:val="single" w:sz="4" w:space="0" w:color="365F91"/>
              <w:left w:val="nil"/>
              <w:bottom w:val="single" w:sz="4" w:space="0" w:color="365F91"/>
              <w:right w:val="nil"/>
            </w:tcBorders>
            <w:hideMark/>
          </w:tcPr>
          <w:p w14:paraId="476259FF" w14:textId="77777777" w:rsidR="00FB19C0" w:rsidRPr="00BE78CA" w:rsidRDefault="00FB19C0" w:rsidP="007B13EF">
            <w:pPr>
              <w:pStyle w:val="TableText"/>
              <w:keepNext/>
              <w:spacing w:before="50" w:after="50"/>
            </w:pPr>
            <w:r w:rsidRPr="00BE78CA">
              <w:t>New Zealand specific</w:t>
            </w:r>
          </w:p>
        </w:tc>
        <w:tc>
          <w:tcPr>
            <w:tcW w:w="2948" w:type="dxa"/>
            <w:tcBorders>
              <w:top w:val="single" w:sz="4" w:space="0" w:color="365F91"/>
              <w:left w:val="nil"/>
              <w:bottom w:val="single" w:sz="4" w:space="0" w:color="365F91"/>
              <w:right w:val="nil"/>
            </w:tcBorders>
            <w:hideMark/>
          </w:tcPr>
          <w:p w14:paraId="232353CB" w14:textId="77777777" w:rsidR="00FB19C0" w:rsidRPr="00BE78CA" w:rsidRDefault="00FB19C0" w:rsidP="007B13EF">
            <w:pPr>
              <w:pStyle w:val="TableText"/>
              <w:keepNext/>
              <w:spacing w:before="50" w:after="50"/>
            </w:pPr>
            <w:r w:rsidRPr="00BE78CA">
              <w:t>SCS Wetherill Environmental (unpublished)</w:t>
            </w:r>
          </w:p>
        </w:tc>
      </w:tr>
      <w:tr w:rsidR="00FB19C0" w:rsidRPr="00BE78CA" w14:paraId="55FECC94" w14:textId="77777777" w:rsidTr="0021273B">
        <w:tc>
          <w:tcPr>
            <w:tcW w:w="2211" w:type="dxa"/>
            <w:tcBorders>
              <w:top w:val="single" w:sz="4" w:space="0" w:color="365F91"/>
              <w:left w:val="nil"/>
              <w:bottom w:val="single" w:sz="4" w:space="0" w:color="365F91"/>
              <w:right w:val="nil"/>
            </w:tcBorders>
            <w:hideMark/>
          </w:tcPr>
          <w:p w14:paraId="7DA6AD77" w14:textId="77777777" w:rsidR="00FB19C0" w:rsidRPr="00BE78CA" w:rsidRDefault="00FB19C0" w:rsidP="007B13EF">
            <w:pPr>
              <w:pStyle w:val="TableText"/>
              <w:spacing w:before="50" w:after="50"/>
              <w:ind w:left="142"/>
              <w:rPr>
                <w:i/>
                <w:color w:val="000000"/>
              </w:rPr>
            </w:pPr>
            <w:r w:rsidRPr="00BE78CA">
              <w:rPr>
                <w:i/>
                <w:color w:val="000000"/>
              </w:rPr>
              <w:t xml:space="preserve">Aggregated </w:t>
            </w:r>
            <w:r w:rsidRPr="00BE78CA">
              <w:rPr>
                <w:i/>
              </w:rPr>
              <w:t>methane correction factor</w:t>
            </w:r>
          </w:p>
        </w:tc>
        <w:tc>
          <w:tcPr>
            <w:tcW w:w="1644" w:type="dxa"/>
            <w:tcBorders>
              <w:top w:val="single" w:sz="4" w:space="0" w:color="365F91"/>
              <w:left w:val="nil"/>
              <w:bottom w:val="single" w:sz="4" w:space="0" w:color="365F91"/>
              <w:right w:val="nil"/>
            </w:tcBorders>
            <w:hideMark/>
          </w:tcPr>
          <w:p w14:paraId="7E599720" w14:textId="77777777" w:rsidR="00FB19C0" w:rsidRPr="00BE78CA" w:rsidRDefault="00FB19C0" w:rsidP="007B13EF">
            <w:pPr>
              <w:pStyle w:val="TableText"/>
              <w:spacing w:before="50" w:after="50"/>
            </w:pPr>
            <w:r w:rsidRPr="00BE78CA">
              <w:t>Range of 0.032–0.043</w:t>
            </w:r>
          </w:p>
        </w:tc>
        <w:tc>
          <w:tcPr>
            <w:tcW w:w="1588" w:type="dxa"/>
            <w:tcBorders>
              <w:top w:val="single" w:sz="4" w:space="0" w:color="365F91"/>
              <w:left w:val="nil"/>
              <w:bottom w:val="single" w:sz="4" w:space="0" w:color="365F91"/>
              <w:right w:val="nil"/>
            </w:tcBorders>
            <w:hideMark/>
          </w:tcPr>
          <w:p w14:paraId="4E07B237" w14:textId="77777777" w:rsidR="00FB19C0" w:rsidRPr="00BE78CA" w:rsidRDefault="00FB19C0" w:rsidP="007B13EF">
            <w:pPr>
              <w:pStyle w:val="TableText"/>
              <w:spacing w:before="50" w:after="50"/>
            </w:pPr>
            <w:r w:rsidRPr="00BE78CA">
              <w:t>New Zealand specific</w:t>
            </w:r>
          </w:p>
        </w:tc>
        <w:tc>
          <w:tcPr>
            <w:tcW w:w="2948" w:type="dxa"/>
            <w:tcBorders>
              <w:top w:val="single" w:sz="4" w:space="0" w:color="365F91"/>
              <w:left w:val="nil"/>
              <w:bottom w:val="single" w:sz="4" w:space="0" w:color="365F91"/>
              <w:right w:val="nil"/>
            </w:tcBorders>
            <w:hideMark/>
          </w:tcPr>
          <w:p w14:paraId="184CD11C" w14:textId="77777777" w:rsidR="00FB19C0" w:rsidRPr="00BE78CA" w:rsidRDefault="00FB19C0" w:rsidP="007B13EF">
            <w:pPr>
              <w:pStyle w:val="TableText"/>
              <w:spacing w:before="50" w:after="50"/>
            </w:pPr>
            <w:r w:rsidRPr="00BE78CA">
              <w:t>SCS Wetherill Environmental (unpublished)</w:t>
            </w:r>
          </w:p>
        </w:tc>
      </w:tr>
      <w:tr w:rsidR="00FB19C0" w:rsidRPr="00BE78CA" w14:paraId="07729536" w14:textId="77777777" w:rsidTr="0021273B">
        <w:tc>
          <w:tcPr>
            <w:tcW w:w="2211" w:type="dxa"/>
            <w:tcBorders>
              <w:top w:val="single" w:sz="4" w:space="0" w:color="365F91"/>
              <w:left w:val="nil"/>
              <w:bottom w:val="single" w:sz="4" w:space="0" w:color="365F91"/>
              <w:right w:val="nil"/>
            </w:tcBorders>
            <w:hideMark/>
          </w:tcPr>
          <w:p w14:paraId="2AFB2674" w14:textId="77777777" w:rsidR="00FB19C0" w:rsidRPr="00BE78CA" w:rsidRDefault="00FB19C0" w:rsidP="007B13EF">
            <w:pPr>
              <w:pStyle w:val="TableText"/>
              <w:spacing w:before="50" w:after="50"/>
              <w:rPr>
                <w:color w:val="000000"/>
              </w:rPr>
            </w:pPr>
            <w:r w:rsidRPr="00BE78CA">
              <w:rPr>
                <w:color w:val="000000"/>
              </w:rPr>
              <w:t>BOD (kg BOD/person/year)</w:t>
            </w:r>
          </w:p>
        </w:tc>
        <w:tc>
          <w:tcPr>
            <w:tcW w:w="1644" w:type="dxa"/>
            <w:tcBorders>
              <w:top w:val="single" w:sz="4" w:space="0" w:color="365F91"/>
              <w:left w:val="nil"/>
              <w:bottom w:val="single" w:sz="4" w:space="0" w:color="365F91"/>
              <w:right w:val="nil"/>
            </w:tcBorders>
            <w:hideMark/>
          </w:tcPr>
          <w:p w14:paraId="7FFEFE10" w14:textId="77777777" w:rsidR="00FB19C0" w:rsidRPr="00BE78CA" w:rsidRDefault="00FB19C0" w:rsidP="007B13EF">
            <w:pPr>
              <w:pStyle w:val="TableText"/>
              <w:spacing w:before="50" w:after="50"/>
            </w:pPr>
            <w:r w:rsidRPr="00BE78CA">
              <w:t>26</w:t>
            </w:r>
          </w:p>
        </w:tc>
        <w:tc>
          <w:tcPr>
            <w:tcW w:w="1588" w:type="dxa"/>
            <w:tcBorders>
              <w:top w:val="single" w:sz="4" w:space="0" w:color="365F91"/>
              <w:left w:val="nil"/>
              <w:bottom w:val="single" w:sz="4" w:space="0" w:color="365F91"/>
              <w:right w:val="nil"/>
            </w:tcBorders>
            <w:hideMark/>
          </w:tcPr>
          <w:p w14:paraId="7465A86A" w14:textId="77777777" w:rsidR="00FB19C0" w:rsidRPr="00BE78CA" w:rsidRDefault="00FB19C0" w:rsidP="007B13EF">
            <w:pPr>
              <w:pStyle w:val="TableText"/>
              <w:spacing w:before="50" w:after="50"/>
            </w:pPr>
            <w:r w:rsidRPr="00BE78CA">
              <w:t>New Zealand specific</w:t>
            </w:r>
          </w:p>
        </w:tc>
        <w:tc>
          <w:tcPr>
            <w:tcW w:w="2948" w:type="dxa"/>
            <w:tcBorders>
              <w:top w:val="single" w:sz="4" w:space="0" w:color="365F91"/>
              <w:left w:val="nil"/>
              <w:bottom w:val="single" w:sz="4" w:space="0" w:color="365F91"/>
              <w:right w:val="nil"/>
            </w:tcBorders>
            <w:hideMark/>
          </w:tcPr>
          <w:p w14:paraId="7AFAED67" w14:textId="77777777" w:rsidR="00FB19C0" w:rsidRPr="00BE78CA" w:rsidRDefault="00FB19C0" w:rsidP="007B13EF">
            <w:pPr>
              <w:pStyle w:val="TableText"/>
              <w:spacing w:before="50" w:after="50"/>
            </w:pPr>
            <w:r w:rsidRPr="00BE78CA">
              <w:t>Beca Infrastructure Ltd (unpublished)</w:t>
            </w:r>
          </w:p>
        </w:tc>
      </w:tr>
      <w:tr w:rsidR="00FB19C0" w:rsidRPr="00BE78CA" w14:paraId="2387F3DB" w14:textId="77777777" w:rsidTr="0021273B">
        <w:tc>
          <w:tcPr>
            <w:tcW w:w="2211" w:type="dxa"/>
            <w:tcBorders>
              <w:top w:val="single" w:sz="4" w:space="0" w:color="365F91"/>
              <w:left w:val="nil"/>
              <w:bottom w:val="single" w:sz="4" w:space="0" w:color="365F91"/>
              <w:right w:val="nil"/>
            </w:tcBorders>
            <w:hideMark/>
          </w:tcPr>
          <w:p w14:paraId="51D2F7C8" w14:textId="77777777" w:rsidR="00FB19C0" w:rsidRPr="00BE78CA" w:rsidRDefault="00FB19C0" w:rsidP="007B13EF">
            <w:pPr>
              <w:pStyle w:val="TableText"/>
              <w:spacing w:before="50" w:after="50"/>
              <w:rPr>
                <w:color w:val="000000"/>
              </w:rPr>
            </w:pPr>
            <w:r w:rsidRPr="00BE78CA">
              <w:rPr>
                <w:color w:val="000000"/>
              </w:rPr>
              <w:t>Correction factor for BOD</w:t>
            </w:r>
          </w:p>
        </w:tc>
        <w:tc>
          <w:tcPr>
            <w:tcW w:w="1644" w:type="dxa"/>
            <w:tcBorders>
              <w:top w:val="single" w:sz="4" w:space="0" w:color="365F91"/>
              <w:left w:val="nil"/>
              <w:bottom w:val="single" w:sz="4" w:space="0" w:color="365F91"/>
              <w:right w:val="nil"/>
            </w:tcBorders>
            <w:hideMark/>
          </w:tcPr>
          <w:p w14:paraId="25789238" w14:textId="77777777" w:rsidR="00FB19C0" w:rsidRPr="00BE78CA" w:rsidRDefault="00FB19C0" w:rsidP="007B13EF">
            <w:pPr>
              <w:pStyle w:val="TableText"/>
              <w:spacing w:before="50" w:after="50"/>
            </w:pPr>
            <w:r w:rsidRPr="00BE78CA">
              <w:t>Range of 1.0–14.9</w:t>
            </w:r>
          </w:p>
        </w:tc>
        <w:tc>
          <w:tcPr>
            <w:tcW w:w="1588" w:type="dxa"/>
            <w:tcBorders>
              <w:top w:val="single" w:sz="4" w:space="0" w:color="365F91"/>
              <w:left w:val="nil"/>
              <w:bottom w:val="single" w:sz="4" w:space="0" w:color="365F91"/>
              <w:right w:val="nil"/>
            </w:tcBorders>
            <w:hideMark/>
          </w:tcPr>
          <w:p w14:paraId="1D8E2AAA" w14:textId="77777777" w:rsidR="00FB19C0" w:rsidRPr="00BE78CA" w:rsidRDefault="00FB19C0" w:rsidP="007B13EF">
            <w:pPr>
              <w:pStyle w:val="TableText"/>
              <w:spacing w:before="50" w:after="50"/>
            </w:pPr>
            <w:r w:rsidRPr="00BE78CA">
              <w:t>New Zealand specific</w:t>
            </w:r>
          </w:p>
        </w:tc>
        <w:tc>
          <w:tcPr>
            <w:tcW w:w="2948" w:type="dxa"/>
            <w:tcBorders>
              <w:top w:val="single" w:sz="4" w:space="0" w:color="365F91"/>
              <w:left w:val="nil"/>
              <w:bottom w:val="single" w:sz="4" w:space="0" w:color="365F91"/>
              <w:right w:val="nil"/>
            </w:tcBorders>
            <w:hideMark/>
          </w:tcPr>
          <w:p w14:paraId="720777B3" w14:textId="77777777" w:rsidR="00FB19C0" w:rsidRPr="00BE78CA" w:rsidRDefault="00FB19C0" w:rsidP="007B13EF">
            <w:pPr>
              <w:pStyle w:val="TableText"/>
              <w:spacing w:before="50" w:after="50"/>
              <w:rPr>
                <w:highlight w:val="yellow"/>
              </w:rPr>
            </w:pPr>
            <w:r w:rsidRPr="00BE78CA">
              <w:t>Beca Infrastructure Ltd (unpublished)</w:t>
            </w:r>
          </w:p>
        </w:tc>
      </w:tr>
      <w:tr w:rsidR="00FB19C0" w:rsidRPr="00BE78CA" w14:paraId="4DE34DED" w14:textId="77777777" w:rsidTr="0021273B">
        <w:tc>
          <w:tcPr>
            <w:tcW w:w="2211" w:type="dxa"/>
            <w:tcBorders>
              <w:top w:val="single" w:sz="4" w:space="0" w:color="365F91"/>
              <w:left w:val="nil"/>
              <w:bottom w:val="single" w:sz="4" w:space="0" w:color="365F91"/>
              <w:right w:val="nil"/>
            </w:tcBorders>
            <w:hideMark/>
          </w:tcPr>
          <w:p w14:paraId="31A2ECB4" w14:textId="77777777" w:rsidR="00FB19C0" w:rsidRPr="00BE78CA" w:rsidRDefault="00FB19C0" w:rsidP="007B13EF">
            <w:pPr>
              <w:pStyle w:val="TableText"/>
              <w:spacing w:before="50" w:after="50"/>
              <w:rPr>
                <w:color w:val="000000"/>
              </w:rPr>
            </w:pPr>
            <w:r w:rsidRPr="00BE78CA">
              <w:rPr>
                <w:color w:val="000000"/>
              </w:rPr>
              <w:t>Maximum methane-producing capacity (kg CH</w:t>
            </w:r>
            <w:r w:rsidRPr="00BE78CA">
              <w:rPr>
                <w:color w:val="000000"/>
                <w:vertAlign w:val="subscript"/>
              </w:rPr>
              <w:t>4</w:t>
            </w:r>
            <w:r w:rsidRPr="00BE78CA">
              <w:rPr>
                <w:color w:val="000000"/>
              </w:rPr>
              <w:t>/kg BOD)</w:t>
            </w:r>
          </w:p>
        </w:tc>
        <w:tc>
          <w:tcPr>
            <w:tcW w:w="1644" w:type="dxa"/>
            <w:tcBorders>
              <w:top w:val="single" w:sz="4" w:space="0" w:color="365F91"/>
              <w:left w:val="nil"/>
              <w:bottom w:val="single" w:sz="4" w:space="0" w:color="365F91"/>
              <w:right w:val="nil"/>
            </w:tcBorders>
            <w:hideMark/>
          </w:tcPr>
          <w:p w14:paraId="525F8E8E" w14:textId="77777777" w:rsidR="00FB19C0" w:rsidRPr="00BE78CA" w:rsidRDefault="00FB19C0" w:rsidP="007B13EF">
            <w:pPr>
              <w:pStyle w:val="TableText"/>
              <w:spacing w:before="50" w:after="50"/>
            </w:pPr>
            <w:r w:rsidRPr="00BE78CA">
              <w:t>0.625</w:t>
            </w:r>
          </w:p>
        </w:tc>
        <w:tc>
          <w:tcPr>
            <w:tcW w:w="1588" w:type="dxa"/>
            <w:tcBorders>
              <w:top w:val="single" w:sz="4" w:space="0" w:color="365F91"/>
              <w:left w:val="nil"/>
              <w:bottom w:val="single" w:sz="4" w:space="0" w:color="365F91"/>
              <w:right w:val="nil"/>
            </w:tcBorders>
            <w:hideMark/>
          </w:tcPr>
          <w:p w14:paraId="36ECBD45" w14:textId="77777777" w:rsidR="00FB19C0" w:rsidRPr="00BE78CA" w:rsidRDefault="00FB19C0" w:rsidP="007B13EF">
            <w:pPr>
              <w:pStyle w:val="TableText"/>
              <w:spacing w:before="50" w:after="50"/>
            </w:pPr>
            <w:r w:rsidRPr="00BE78CA">
              <w:t>New Zealand specific</w:t>
            </w:r>
          </w:p>
        </w:tc>
        <w:tc>
          <w:tcPr>
            <w:tcW w:w="2948" w:type="dxa"/>
            <w:tcBorders>
              <w:top w:val="single" w:sz="4" w:space="0" w:color="365F91"/>
              <w:left w:val="nil"/>
              <w:bottom w:val="single" w:sz="4" w:space="0" w:color="365F91"/>
              <w:right w:val="nil"/>
            </w:tcBorders>
            <w:hideMark/>
          </w:tcPr>
          <w:p w14:paraId="3325D82F" w14:textId="77777777" w:rsidR="00FB19C0" w:rsidRPr="00BE78CA" w:rsidRDefault="00FB19C0" w:rsidP="007B13EF">
            <w:pPr>
              <w:pStyle w:val="TableText"/>
              <w:spacing w:before="50" w:after="50"/>
            </w:pPr>
            <w:r w:rsidRPr="00BE78CA">
              <w:t>SCS Wetherill Environmental (unpublished)</w:t>
            </w:r>
          </w:p>
        </w:tc>
      </w:tr>
    </w:tbl>
    <w:p w14:paraId="2431688C" w14:textId="77777777" w:rsidR="00FB19C0" w:rsidRPr="00BE78CA" w:rsidRDefault="00FB19C0" w:rsidP="00FB19C0">
      <w:pPr>
        <w:pStyle w:val="Noteundertable"/>
      </w:pPr>
      <w:r w:rsidRPr="00BE78CA">
        <w:rPr>
          <w:b/>
        </w:rPr>
        <w:t>Note:</w:t>
      </w:r>
      <w:r w:rsidRPr="00BE78CA">
        <w:t xml:space="preserve"> </w:t>
      </w:r>
      <w:r w:rsidRPr="00BE78CA">
        <w:tab/>
        <w:t>BOD =</w:t>
      </w:r>
      <w:r w:rsidRPr="00BE78CA">
        <w:rPr>
          <w:color w:val="000000"/>
        </w:rPr>
        <w:t xml:space="preserve"> biochemical oxygen demand</w:t>
      </w:r>
      <w:r w:rsidRPr="00BE78CA">
        <w:t>.</w:t>
      </w:r>
    </w:p>
    <w:p w14:paraId="16848878" w14:textId="77777777" w:rsidR="00FB19C0" w:rsidRPr="00BE78CA" w:rsidRDefault="00FB19C0" w:rsidP="00FB19C0">
      <w:pPr>
        <w:pStyle w:val="Heading6"/>
      </w:pPr>
      <w:r w:rsidRPr="00BE78CA">
        <w:rPr>
          <w:lang w:eastAsia="en-NZ"/>
        </w:rPr>
        <w:t>Methane correction factors for handling systems</w:t>
      </w:r>
    </w:p>
    <w:p w14:paraId="7574339D" w14:textId="77777777" w:rsidR="00FB19C0" w:rsidRPr="00BE78CA" w:rsidRDefault="00FB19C0" w:rsidP="00FB19C0">
      <w:pPr>
        <w:pStyle w:val="BodyText"/>
      </w:pPr>
      <w:r w:rsidRPr="00BE78CA">
        <w:t xml:space="preserve">Methane correction factors for the different handling systems in New Zealand were estimated by SCS Wetherill Environmental (unpublished). These factors range from zero up to 0.65 for the different types of anaerobic treatment. The different treatment types are added together, weighted by the population for each type of treatment, to give an aggregated </w:t>
      </w:r>
      <w:r w:rsidRPr="00BE78CA">
        <w:rPr>
          <w:color w:val="000000"/>
        </w:rPr>
        <w:t>CH</w:t>
      </w:r>
      <w:r w:rsidRPr="00BE78CA">
        <w:rPr>
          <w:color w:val="000000"/>
          <w:vertAlign w:val="subscript"/>
        </w:rPr>
        <w:t>4</w:t>
      </w:r>
      <w:r w:rsidRPr="00BE78CA">
        <w:t xml:space="preserve"> correction factor ranging between 0.032 and 0.043. Table 7.5.2 shows the aggregate </w:t>
      </w:r>
      <w:r w:rsidRPr="00BE78CA">
        <w:rPr>
          <w:color w:val="000000"/>
        </w:rPr>
        <w:t>CH</w:t>
      </w:r>
      <w:r w:rsidRPr="00BE78CA">
        <w:rPr>
          <w:color w:val="000000"/>
          <w:vertAlign w:val="subscript"/>
        </w:rPr>
        <w:t>4</w:t>
      </w:r>
      <w:r w:rsidRPr="00BE78CA">
        <w:t xml:space="preserve"> correction factor applied across the time series.</w:t>
      </w:r>
    </w:p>
    <w:p w14:paraId="05ED0DF1" w14:textId="77777777" w:rsidR="00FB19C0" w:rsidRPr="00BE78CA" w:rsidRDefault="00FB19C0" w:rsidP="00FB19C0">
      <w:pPr>
        <w:pStyle w:val="Heading6"/>
        <w:rPr>
          <w:lang w:eastAsia="en-NZ"/>
        </w:rPr>
      </w:pPr>
      <w:r w:rsidRPr="00BE78CA">
        <w:rPr>
          <w:lang w:eastAsia="en-NZ"/>
        </w:rPr>
        <w:t>Adjustments to biochemical oxygen demand</w:t>
      </w:r>
    </w:p>
    <w:p w14:paraId="723C8C6C" w14:textId="77777777" w:rsidR="00FB19C0" w:rsidRPr="00BE78CA" w:rsidRDefault="00FB19C0" w:rsidP="00FB19C0">
      <w:pPr>
        <w:pStyle w:val="BodyText"/>
        <w:rPr>
          <w:spacing w:val="-2"/>
        </w:rPr>
      </w:pPr>
      <w:r w:rsidRPr="00BE78CA">
        <w:rPr>
          <w:spacing w:val="-2"/>
        </w:rPr>
        <w:t>New Zealand uses a value of 26 kilograms biochemical oxygen demand (BOD) per person per year. This is equivalent to the IPCC high-range default value for the Oceania region of about 70 grams per person per day (IPCC, 2006a). This value has been determined as a typical value for wastewater treatment methods adopted in New Zealand (Beca Infrastructure Ltd, unpublished).</w:t>
      </w:r>
    </w:p>
    <w:p w14:paraId="17E3FC14" w14:textId="77777777" w:rsidR="00FB19C0" w:rsidRPr="00BE78CA" w:rsidRDefault="00FB19C0" w:rsidP="00FB19C0">
      <w:pPr>
        <w:pStyle w:val="BodyText"/>
      </w:pPr>
      <w:r w:rsidRPr="00BE78CA">
        <w:lastRenderedPageBreak/>
        <w:t>This value has been increased by 25 per cent for most treatment plants, to allow for the additional wastewater that they take from commercial and industrial activity within the municipal area. Ten of the treatment plants have been identified as accepting much larger amounts of industrial and/or commercial wastewater. The correction factor for BOD for these plants ranges from 77 per cent to 1,390 per cent above the amount of domestic wastewater (Beca Infrastructure Ltd, unpublished). No adjustment to the BOD is made for septic tanks.</w:t>
      </w:r>
    </w:p>
    <w:p w14:paraId="204A5406" w14:textId="77777777" w:rsidR="00FB19C0" w:rsidRPr="00BE78CA" w:rsidRDefault="00FB19C0" w:rsidP="00FB19C0">
      <w:pPr>
        <w:pStyle w:val="Heading6"/>
        <w:rPr>
          <w:lang w:eastAsia="en-NZ"/>
        </w:rPr>
      </w:pPr>
      <w:r w:rsidRPr="00BE78CA">
        <w:rPr>
          <w:lang w:eastAsia="en-NZ"/>
        </w:rPr>
        <w:t>Recovery</w:t>
      </w:r>
    </w:p>
    <w:p w14:paraId="5E862BF7" w14:textId="77777777" w:rsidR="00FB19C0" w:rsidRPr="00BE78CA" w:rsidRDefault="00FB19C0" w:rsidP="00FB19C0">
      <w:pPr>
        <w:pStyle w:val="BodyText"/>
      </w:pPr>
      <w:r w:rsidRPr="00BE78CA">
        <w:t>Methane removal via flaring or for energy production is known to occur at eight plants in New Zealand. All CH</w:t>
      </w:r>
      <w:r w:rsidRPr="00BE78CA">
        <w:rPr>
          <w:vertAlign w:val="subscript"/>
        </w:rPr>
        <w:t>4</w:t>
      </w:r>
      <w:r w:rsidRPr="00BE78CA">
        <w:t xml:space="preserve"> generated at these plants is flared or used for energy production and, consequently, there are no reported CH</w:t>
      </w:r>
      <w:r w:rsidRPr="00BE78CA">
        <w:rPr>
          <w:vertAlign w:val="subscript"/>
        </w:rPr>
        <w:t>4</w:t>
      </w:r>
      <w:r w:rsidRPr="00BE78CA">
        <w:t xml:space="preserve"> emissions for those plants (Beca Infrastructure Ltd, unpublished).</w:t>
      </w:r>
    </w:p>
    <w:p w14:paraId="5C518F00" w14:textId="77777777" w:rsidR="00FB19C0" w:rsidRPr="00BE78CA" w:rsidRDefault="00FB19C0" w:rsidP="00FB19C0">
      <w:pPr>
        <w:pStyle w:val="Heading5"/>
      </w:pPr>
      <w:r w:rsidRPr="00BE78CA">
        <w:t xml:space="preserve">Nitrous oxide emissions from domestic wastewater </w:t>
      </w:r>
    </w:p>
    <w:p w14:paraId="3FE7DEE6" w14:textId="77777777" w:rsidR="00FB19C0" w:rsidRPr="00BE78CA" w:rsidRDefault="00FB19C0" w:rsidP="00FB19C0">
      <w:pPr>
        <w:pStyle w:val="BodyText"/>
      </w:pPr>
      <w:r w:rsidRPr="00BE78CA">
        <w:t>Table 7.5.7 provides a summary of the parameter values applied for estimating N</w:t>
      </w:r>
      <w:r w:rsidRPr="00BE78CA">
        <w:rPr>
          <w:vertAlign w:val="subscript"/>
        </w:rPr>
        <w:t>2</w:t>
      </w:r>
      <w:r w:rsidRPr="00BE78CA">
        <w:t>O emissions from domestic and commercial wastewater treatment.</w:t>
      </w:r>
    </w:p>
    <w:p w14:paraId="3D5EE69C" w14:textId="77777777" w:rsidR="00FB19C0" w:rsidRPr="00BE78CA" w:rsidRDefault="00FB19C0" w:rsidP="00FB19C0">
      <w:pPr>
        <w:pStyle w:val="Table"/>
      </w:pPr>
      <w:bookmarkStart w:id="3074" w:name="_Toc32828542"/>
      <w:bookmarkStart w:id="3075" w:name="_Toc32591372"/>
      <w:bookmarkStart w:id="3076" w:name="_Toc5269584"/>
      <w:bookmarkStart w:id="3077" w:name="_Toc511116835"/>
      <w:bookmarkStart w:id="3078" w:name="_Toc508019337"/>
      <w:bookmarkStart w:id="3079" w:name="_Toc481751610"/>
      <w:bookmarkStart w:id="3080" w:name="_Toc451176180"/>
      <w:bookmarkStart w:id="3081" w:name="_Toc444001628"/>
      <w:bookmarkStart w:id="3082" w:name="_Toc36224665"/>
      <w:bookmarkStart w:id="3083" w:name="_Toc68786551"/>
      <w:r w:rsidRPr="00BE78CA">
        <w:t>Table 7.5.7</w:t>
      </w:r>
      <w:r w:rsidRPr="00BE78CA">
        <w:tab/>
        <w:t>Parameter values applied by New Zealand for estimating nitrous oxide emissions</w:t>
      </w:r>
      <w:r w:rsidRPr="00BE78CA">
        <w:br/>
        <w:t>from domestic and commercial wastewater treatment</w:t>
      </w:r>
      <w:bookmarkEnd w:id="3074"/>
      <w:bookmarkEnd w:id="3075"/>
      <w:bookmarkEnd w:id="3076"/>
      <w:bookmarkEnd w:id="3077"/>
      <w:bookmarkEnd w:id="3078"/>
      <w:bookmarkEnd w:id="3079"/>
      <w:bookmarkEnd w:id="3080"/>
      <w:bookmarkEnd w:id="3081"/>
      <w:bookmarkEnd w:id="3082"/>
      <w:bookmarkEnd w:id="3083"/>
      <w:r w:rsidRPr="00BE78CA">
        <w:t xml:space="preserve"> </w:t>
      </w:r>
    </w:p>
    <w:tbl>
      <w:tblPr>
        <w:tblW w:w="8505" w:type="dxa"/>
        <w:tblLook w:val="04A0" w:firstRow="1" w:lastRow="0" w:firstColumn="1" w:lastColumn="0" w:noHBand="0" w:noVBand="1"/>
      </w:tblPr>
      <w:tblGrid>
        <w:gridCol w:w="3525"/>
        <w:gridCol w:w="809"/>
        <w:gridCol w:w="1686"/>
        <w:gridCol w:w="2485"/>
      </w:tblGrid>
      <w:tr w:rsidR="00FB19C0" w:rsidRPr="00BE78CA" w14:paraId="4C67085B" w14:textId="77777777" w:rsidTr="000667B5">
        <w:trPr>
          <w:tblHeader/>
        </w:trPr>
        <w:tc>
          <w:tcPr>
            <w:tcW w:w="3459" w:type="dxa"/>
            <w:tcBorders>
              <w:top w:val="single" w:sz="4" w:space="0" w:color="365F91"/>
              <w:left w:val="nil"/>
              <w:bottom w:val="single" w:sz="4" w:space="0" w:color="365F91"/>
              <w:right w:val="nil"/>
            </w:tcBorders>
            <w:shd w:val="clear" w:color="auto" w:fill="365F91"/>
            <w:hideMark/>
          </w:tcPr>
          <w:p w14:paraId="7CC1CC54" w14:textId="77777777" w:rsidR="00FB19C0" w:rsidRPr="00BE78CA" w:rsidRDefault="00FB19C0" w:rsidP="007B13EF">
            <w:pPr>
              <w:pStyle w:val="TableTextBold"/>
              <w:spacing w:before="50" w:after="50"/>
              <w:rPr>
                <w:noProof w:val="0"/>
                <w:color w:val="FFFFFF"/>
              </w:rPr>
            </w:pPr>
            <w:r w:rsidRPr="00BE78CA">
              <w:rPr>
                <w:noProof w:val="0"/>
                <w:color w:val="FFFFFF"/>
              </w:rPr>
              <w:t>Parameter</w:t>
            </w:r>
          </w:p>
        </w:tc>
        <w:tc>
          <w:tcPr>
            <w:tcW w:w="794" w:type="dxa"/>
            <w:tcBorders>
              <w:top w:val="single" w:sz="4" w:space="0" w:color="365F91"/>
              <w:left w:val="nil"/>
              <w:bottom w:val="single" w:sz="4" w:space="0" w:color="365F91"/>
              <w:right w:val="nil"/>
            </w:tcBorders>
            <w:shd w:val="clear" w:color="auto" w:fill="365F91"/>
            <w:hideMark/>
          </w:tcPr>
          <w:p w14:paraId="31C8B4AB" w14:textId="77777777" w:rsidR="00FB19C0" w:rsidRPr="00BE78CA" w:rsidRDefault="00FB19C0" w:rsidP="007B13EF">
            <w:pPr>
              <w:pStyle w:val="TableTextBold"/>
              <w:spacing w:before="50" w:after="50"/>
              <w:rPr>
                <w:noProof w:val="0"/>
                <w:color w:val="FFFFFF"/>
              </w:rPr>
            </w:pPr>
            <w:r w:rsidRPr="00BE78CA">
              <w:rPr>
                <w:noProof w:val="0"/>
                <w:color w:val="FFFFFF"/>
              </w:rPr>
              <w:t>Value</w:t>
            </w:r>
          </w:p>
        </w:tc>
        <w:tc>
          <w:tcPr>
            <w:tcW w:w="1654" w:type="dxa"/>
            <w:tcBorders>
              <w:top w:val="single" w:sz="4" w:space="0" w:color="365F91"/>
              <w:left w:val="nil"/>
              <w:bottom w:val="single" w:sz="4" w:space="0" w:color="365F91"/>
              <w:right w:val="nil"/>
            </w:tcBorders>
            <w:shd w:val="clear" w:color="auto" w:fill="365F91"/>
            <w:hideMark/>
          </w:tcPr>
          <w:p w14:paraId="7BC7CB3A" w14:textId="77777777" w:rsidR="00FB19C0" w:rsidRPr="00BE78CA" w:rsidRDefault="00FB19C0" w:rsidP="007B13EF">
            <w:pPr>
              <w:pStyle w:val="TableTextBold"/>
              <w:spacing w:before="50" w:after="50"/>
              <w:rPr>
                <w:noProof w:val="0"/>
                <w:color w:val="FFFFFF"/>
              </w:rPr>
            </w:pPr>
            <w:r w:rsidRPr="00BE78CA">
              <w:rPr>
                <w:noProof w:val="0"/>
                <w:color w:val="FFFFFF"/>
              </w:rPr>
              <w:t>Source</w:t>
            </w:r>
          </w:p>
        </w:tc>
        <w:tc>
          <w:tcPr>
            <w:tcW w:w="2438" w:type="dxa"/>
            <w:tcBorders>
              <w:top w:val="single" w:sz="4" w:space="0" w:color="365F91"/>
              <w:left w:val="nil"/>
              <w:bottom w:val="single" w:sz="4" w:space="0" w:color="365F91"/>
              <w:right w:val="nil"/>
            </w:tcBorders>
            <w:shd w:val="clear" w:color="auto" w:fill="365F91"/>
            <w:hideMark/>
          </w:tcPr>
          <w:p w14:paraId="3ACC585F" w14:textId="77777777" w:rsidR="00FB19C0" w:rsidRPr="00BE78CA" w:rsidRDefault="00FB19C0" w:rsidP="007B13EF">
            <w:pPr>
              <w:pStyle w:val="TableTextBold"/>
              <w:spacing w:before="50" w:after="50"/>
              <w:rPr>
                <w:noProof w:val="0"/>
                <w:color w:val="FFFFFF"/>
              </w:rPr>
            </w:pPr>
            <w:r w:rsidRPr="00BE78CA">
              <w:rPr>
                <w:noProof w:val="0"/>
                <w:color w:val="FFFFFF"/>
              </w:rPr>
              <w:t>Reference</w:t>
            </w:r>
          </w:p>
        </w:tc>
      </w:tr>
      <w:tr w:rsidR="00FB19C0" w:rsidRPr="00BE78CA" w14:paraId="42856DCF" w14:textId="77777777" w:rsidTr="000667B5">
        <w:tc>
          <w:tcPr>
            <w:tcW w:w="3459" w:type="dxa"/>
            <w:tcBorders>
              <w:top w:val="single" w:sz="4" w:space="0" w:color="365F91"/>
              <w:left w:val="nil"/>
              <w:bottom w:val="single" w:sz="4" w:space="0" w:color="365F91"/>
              <w:right w:val="nil"/>
            </w:tcBorders>
            <w:hideMark/>
          </w:tcPr>
          <w:p w14:paraId="27B86EB7" w14:textId="77777777" w:rsidR="00FB19C0" w:rsidRPr="00BE78CA" w:rsidRDefault="00FB19C0" w:rsidP="007B13EF">
            <w:pPr>
              <w:pStyle w:val="TableText"/>
              <w:spacing w:before="50" w:after="50"/>
            </w:pPr>
            <w:r w:rsidRPr="00BE78CA">
              <w:t>Per capita protein consumption (kg/person/year)</w:t>
            </w:r>
          </w:p>
        </w:tc>
        <w:tc>
          <w:tcPr>
            <w:tcW w:w="794" w:type="dxa"/>
            <w:tcBorders>
              <w:top w:val="single" w:sz="4" w:space="0" w:color="365F91"/>
              <w:left w:val="nil"/>
              <w:bottom w:val="single" w:sz="4" w:space="0" w:color="365F91"/>
              <w:right w:val="nil"/>
            </w:tcBorders>
            <w:hideMark/>
          </w:tcPr>
          <w:p w14:paraId="697C2C48" w14:textId="77777777" w:rsidR="00FB19C0" w:rsidRPr="00BE78CA" w:rsidRDefault="00FB19C0" w:rsidP="007B13EF">
            <w:pPr>
              <w:pStyle w:val="TableText"/>
              <w:spacing w:before="50" w:after="50"/>
              <w:jc w:val="center"/>
            </w:pPr>
            <w:r w:rsidRPr="00BE78CA">
              <w:t>36.135</w:t>
            </w:r>
          </w:p>
        </w:tc>
        <w:tc>
          <w:tcPr>
            <w:tcW w:w="1654" w:type="dxa"/>
            <w:tcBorders>
              <w:top w:val="single" w:sz="4" w:space="0" w:color="365F91"/>
              <w:left w:val="nil"/>
              <w:bottom w:val="single" w:sz="4" w:space="0" w:color="365F91"/>
              <w:right w:val="nil"/>
            </w:tcBorders>
            <w:hideMark/>
          </w:tcPr>
          <w:p w14:paraId="5BBBC323" w14:textId="77777777" w:rsidR="00FB19C0" w:rsidRPr="00BE78CA" w:rsidRDefault="00FB19C0" w:rsidP="007B13EF">
            <w:pPr>
              <w:pStyle w:val="TableText"/>
              <w:spacing w:before="50" w:after="50"/>
            </w:pPr>
            <w:r w:rsidRPr="00BE78CA">
              <w:t>New Zealand specific</w:t>
            </w:r>
          </w:p>
        </w:tc>
        <w:tc>
          <w:tcPr>
            <w:tcW w:w="2438" w:type="dxa"/>
            <w:tcBorders>
              <w:top w:val="single" w:sz="4" w:space="0" w:color="365F91"/>
              <w:left w:val="nil"/>
              <w:bottom w:val="single" w:sz="4" w:space="0" w:color="365F91"/>
              <w:right w:val="nil"/>
            </w:tcBorders>
            <w:hideMark/>
          </w:tcPr>
          <w:p w14:paraId="4D39EEA7" w14:textId="77777777" w:rsidR="00FB19C0" w:rsidRPr="00BE78CA" w:rsidRDefault="00FB19C0" w:rsidP="007B13EF">
            <w:pPr>
              <w:pStyle w:val="TableText"/>
              <w:spacing w:before="50" w:after="50"/>
            </w:pPr>
            <w:r w:rsidRPr="00BE78CA">
              <w:t>Beca Infrastructure Ltd (unpublished)</w:t>
            </w:r>
          </w:p>
        </w:tc>
      </w:tr>
      <w:tr w:rsidR="00FB19C0" w:rsidRPr="00BE78CA" w14:paraId="20EBCB43" w14:textId="77777777" w:rsidTr="000667B5">
        <w:tc>
          <w:tcPr>
            <w:tcW w:w="3459" w:type="dxa"/>
            <w:tcBorders>
              <w:top w:val="single" w:sz="4" w:space="0" w:color="365F91"/>
              <w:left w:val="nil"/>
              <w:bottom w:val="single" w:sz="4" w:space="0" w:color="365F91"/>
              <w:right w:val="nil"/>
            </w:tcBorders>
            <w:hideMark/>
          </w:tcPr>
          <w:p w14:paraId="13D282AE" w14:textId="77777777" w:rsidR="00FB19C0" w:rsidRPr="00BE78CA" w:rsidRDefault="00FB19C0" w:rsidP="007B13EF">
            <w:pPr>
              <w:pStyle w:val="TableText"/>
              <w:spacing w:before="50" w:after="50"/>
            </w:pPr>
            <w:r w:rsidRPr="00BE78CA">
              <w:t xml:space="preserve">Fraction of nitrogen in protein </w:t>
            </w:r>
          </w:p>
        </w:tc>
        <w:tc>
          <w:tcPr>
            <w:tcW w:w="794" w:type="dxa"/>
            <w:tcBorders>
              <w:top w:val="single" w:sz="4" w:space="0" w:color="365F91"/>
              <w:left w:val="nil"/>
              <w:bottom w:val="single" w:sz="4" w:space="0" w:color="365F91"/>
              <w:right w:val="nil"/>
            </w:tcBorders>
            <w:hideMark/>
          </w:tcPr>
          <w:p w14:paraId="0DEC16F2" w14:textId="77777777" w:rsidR="00FB19C0" w:rsidRPr="00BE78CA" w:rsidRDefault="00FB19C0" w:rsidP="007B13EF">
            <w:pPr>
              <w:pStyle w:val="TableText"/>
              <w:spacing w:before="50" w:after="50"/>
              <w:jc w:val="center"/>
            </w:pPr>
            <w:r w:rsidRPr="00BE78CA">
              <w:t>0.16</w:t>
            </w:r>
          </w:p>
        </w:tc>
        <w:tc>
          <w:tcPr>
            <w:tcW w:w="1654" w:type="dxa"/>
            <w:tcBorders>
              <w:top w:val="single" w:sz="4" w:space="0" w:color="365F91"/>
              <w:left w:val="nil"/>
              <w:bottom w:val="single" w:sz="4" w:space="0" w:color="365F91"/>
              <w:right w:val="nil"/>
            </w:tcBorders>
            <w:hideMark/>
          </w:tcPr>
          <w:p w14:paraId="3538EB33" w14:textId="77777777" w:rsidR="00FB19C0" w:rsidRPr="00BE78CA" w:rsidRDefault="00FB19C0" w:rsidP="007B13EF">
            <w:pPr>
              <w:pStyle w:val="TableText"/>
              <w:spacing w:before="50" w:after="50"/>
            </w:pPr>
            <w:r w:rsidRPr="00BE78CA">
              <w:t>IPCC default</w:t>
            </w:r>
          </w:p>
        </w:tc>
        <w:tc>
          <w:tcPr>
            <w:tcW w:w="2438" w:type="dxa"/>
            <w:tcBorders>
              <w:top w:val="single" w:sz="4" w:space="0" w:color="365F91"/>
              <w:left w:val="nil"/>
              <w:bottom w:val="single" w:sz="4" w:space="0" w:color="365F91"/>
              <w:right w:val="nil"/>
            </w:tcBorders>
            <w:hideMark/>
          </w:tcPr>
          <w:p w14:paraId="63A3E096" w14:textId="77777777" w:rsidR="00FB19C0" w:rsidRPr="00BE78CA" w:rsidRDefault="00FB19C0" w:rsidP="007B13EF">
            <w:pPr>
              <w:pStyle w:val="TableText"/>
              <w:spacing w:before="50" w:after="50"/>
            </w:pPr>
            <w:r w:rsidRPr="00BE78CA">
              <w:t>IPCC (2006a)</w:t>
            </w:r>
          </w:p>
        </w:tc>
      </w:tr>
      <w:tr w:rsidR="00FB19C0" w:rsidRPr="00BE78CA" w14:paraId="21024D12" w14:textId="77777777" w:rsidTr="000667B5">
        <w:tc>
          <w:tcPr>
            <w:tcW w:w="3459" w:type="dxa"/>
            <w:tcBorders>
              <w:top w:val="single" w:sz="4" w:space="0" w:color="365F91"/>
              <w:left w:val="nil"/>
              <w:bottom w:val="single" w:sz="4" w:space="0" w:color="365F91"/>
              <w:right w:val="nil"/>
            </w:tcBorders>
            <w:hideMark/>
          </w:tcPr>
          <w:p w14:paraId="10E18AFB" w14:textId="77777777" w:rsidR="00FB19C0" w:rsidRPr="00BE78CA" w:rsidRDefault="00FB19C0" w:rsidP="007B13EF">
            <w:pPr>
              <w:pStyle w:val="TableText"/>
              <w:spacing w:before="50" w:after="50"/>
            </w:pPr>
            <w:r w:rsidRPr="00BE78CA">
              <w:t>Fraction of non-consumed protein</w:t>
            </w:r>
          </w:p>
        </w:tc>
        <w:tc>
          <w:tcPr>
            <w:tcW w:w="794" w:type="dxa"/>
            <w:tcBorders>
              <w:top w:val="single" w:sz="4" w:space="0" w:color="365F91"/>
              <w:left w:val="nil"/>
              <w:bottom w:val="single" w:sz="4" w:space="0" w:color="365F91"/>
              <w:right w:val="nil"/>
            </w:tcBorders>
            <w:hideMark/>
          </w:tcPr>
          <w:p w14:paraId="379D7728" w14:textId="77777777" w:rsidR="00FB19C0" w:rsidRPr="00BE78CA" w:rsidRDefault="00FB19C0" w:rsidP="007B13EF">
            <w:pPr>
              <w:pStyle w:val="TableText"/>
              <w:spacing w:before="50" w:after="50"/>
              <w:jc w:val="center"/>
            </w:pPr>
            <w:r w:rsidRPr="00BE78CA">
              <w:t>1.4</w:t>
            </w:r>
          </w:p>
        </w:tc>
        <w:tc>
          <w:tcPr>
            <w:tcW w:w="1654" w:type="dxa"/>
            <w:tcBorders>
              <w:top w:val="single" w:sz="4" w:space="0" w:color="365F91"/>
              <w:left w:val="nil"/>
              <w:bottom w:val="single" w:sz="4" w:space="0" w:color="365F91"/>
              <w:right w:val="nil"/>
            </w:tcBorders>
            <w:hideMark/>
          </w:tcPr>
          <w:p w14:paraId="2EF1074F" w14:textId="77777777" w:rsidR="00FB19C0" w:rsidRPr="00BE78CA" w:rsidRDefault="00FB19C0" w:rsidP="007B13EF">
            <w:pPr>
              <w:pStyle w:val="TableText"/>
              <w:spacing w:before="50" w:after="50"/>
            </w:pPr>
            <w:r w:rsidRPr="00BE78CA">
              <w:t>IPCC default</w:t>
            </w:r>
          </w:p>
        </w:tc>
        <w:tc>
          <w:tcPr>
            <w:tcW w:w="2438" w:type="dxa"/>
            <w:tcBorders>
              <w:top w:val="single" w:sz="4" w:space="0" w:color="365F91"/>
              <w:left w:val="nil"/>
              <w:bottom w:val="single" w:sz="4" w:space="0" w:color="365F91"/>
              <w:right w:val="nil"/>
            </w:tcBorders>
            <w:hideMark/>
          </w:tcPr>
          <w:p w14:paraId="6FB22A01" w14:textId="77777777" w:rsidR="00FB19C0" w:rsidRPr="00BE78CA" w:rsidRDefault="00FB19C0" w:rsidP="007B13EF">
            <w:pPr>
              <w:pStyle w:val="TableText"/>
              <w:spacing w:before="50" w:after="50"/>
            </w:pPr>
            <w:r w:rsidRPr="00BE78CA">
              <w:t>IPCC (2006a)</w:t>
            </w:r>
          </w:p>
        </w:tc>
      </w:tr>
      <w:tr w:rsidR="00FB19C0" w:rsidRPr="00BE78CA" w14:paraId="26E2285D" w14:textId="77777777" w:rsidTr="000667B5">
        <w:tc>
          <w:tcPr>
            <w:tcW w:w="3459" w:type="dxa"/>
            <w:tcBorders>
              <w:top w:val="single" w:sz="4" w:space="0" w:color="365F91"/>
              <w:left w:val="nil"/>
              <w:bottom w:val="single" w:sz="4" w:space="0" w:color="365F91"/>
              <w:right w:val="nil"/>
            </w:tcBorders>
            <w:hideMark/>
          </w:tcPr>
          <w:p w14:paraId="705363CF" w14:textId="77777777" w:rsidR="00FB19C0" w:rsidRPr="00BE78CA" w:rsidRDefault="00FB19C0" w:rsidP="007B13EF">
            <w:pPr>
              <w:pStyle w:val="TableText"/>
              <w:spacing w:before="50" w:after="50"/>
            </w:pPr>
            <w:r w:rsidRPr="00BE78CA">
              <w:t>Fraction of industrial and commercial co</w:t>
            </w:r>
            <w:r w:rsidRPr="00BE78CA">
              <w:noBreakHyphen/>
              <w:t>discharged protein</w:t>
            </w:r>
          </w:p>
        </w:tc>
        <w:tc>
          <w:tcPr>
            <w:tcW w:w="794" w:type="dxa"/>
            <w:tcBorders>
              <w:top w:val="single" w:sz="4" w:space="0" w:color="365F91"/>
              <w:left w:val="nil"/>
              <w:bottom w:val="single" w:sz="4" w:space="0" w:color="365F91"/>
              <w:right w:val="nil"/>
            </w:tcBorders>
            <w:hideMark/>
          </w:tcPr>
          <w:p w14:paraId="4A28E5D9" w14:textId="77777777" w:rsidR="00FB19C0" w:rsidRPr="00BE78CA" w:rsidRDefault="00FB19C0" w:rsidP="007B13EF">
            <w:pPr>
              <w:pStyle w:val="TableText"/>
              <w:spacing w:before="50" w:after="50"/>
              <w:jc w:val="center"/>
            </w:pPr>
            <w:r w:rsidRPr="00BE78CA">
              <w:t>1.25</w:t>
            </w:r>
          </w:p>
        </w:tc>
        <w:tc>
          <w:tcPr>
            <w:tcW w:w="1654" w:type="dxa"/>
            <w:tcBorders>
              <w:top w:val="single" w:sz="4" w:space="0" w:color="365F91"/>
              <w:left w:val="nil"/>
              <w:bottom w:val="single" w:sz="4" w:space="0" w:color="365F91"/>
              <w:right w:val="nil"/>
            </w:tcBorders>
            <w:hideMark/>
          </w:tcPr>
          <w:p w14:paraId="1E06942B" w14:textId="77777777" w:rsidR="00FB19C0" w:rsidRPr="00BE78CA" w:rsidRDefault="00FB19C0" w:rsidP="007B13EF">
            <w:pPr>
              <w:pStyle w:val="TableText"/>
              <w:spacing w:before="50" w:after="50"/>
            </w:pPr>
            <w:r w:rsidRPr="00BE78CA">
              <w:t>IPCC default</w:t>
            </w:r>
          </w:p>
        </w:tc>
        <w:tc>
          <w:tcPr>
            <w:tcW w:w="2438" w:type="dxa"/>
            <w:tcBorders>
              <w:top w:val="single" w:sz="4" w:space="0" w:color="365F91"/>
              <w:left w:val="nil"/>
              <w:bottom w:val="single" w:sz="4" w:space="0" w:color="365F91"/>
              <w:right w:val="nil"/>
            </w:tcBorders>
            <w:hideMark/>
          </w:tcPr>
          <w:p w14:paraId="7D6F0365" w14:textId="77777777" w:rsidR="00FB19C0" w:rsidRPr="00BE78CA" w:rsidRDefault="00FB19C0" w:rsidP="007B13EF">
            <w:pPr>
              <w:pStyle w:val="TableText"/>
              <w:spacing w:before="50" w:after="50"/>
            </w:pPr>
            <w:r w:rsidRPr="00BE78CA">
              <w:t>IPCC (2006a)</w:t>
            </w:r>
          </w:p>
        </w:tc>
      </w:tr>
      <w:tr w:rsidR="00FB19C0" w:rsidRPr="00BE78CA" w14:paraId="571D6945" w14:textId="77777777" w:rsidTr="000667B5">
        <w:tc>
          <w:tcPr>
            <w:tcW w:w="3459" w:type="dxa"/>
            <w:tcBorders>
              <w:top w:val="single" w:sz="4" w:space="0" w:color="365F91"/>
              <w:left w:val="nil"/>
              <w:bottom w:val="single" w:sz="4" w:space="0" w:color="365F91"/>
              <w:right w:val="nil"/>
            </w:tcBorders>
            <w:hideMark/>
          </w:tcPr>
          <w:p w14:paraId="4D333633" w14:textId="77777777" w:rsidR="00FB19C0" w:rsidRPr="00BE78CA" w:rsidRDefault="00FB19C0" w:rsidP="007B13EF">
            <w:pPr>
              <w:pStyle w:val="TableText"/>
              <w:spacing w:before="50" w:after="50"/>
            </w:pPr>
            <w:r w:rsidRPr="00BE78CA">
              <w:t>Nitrogen removed with sludge (kg)</w:t>
            </w:r>
          </w:p>
        </w:tc>
        <w:tc>
          <w:tcPr>
            <w:tcW w:w="794" w:type="dxa"/>
            <w:tcBorders>
              <w:top w:val="single" w:sz="4" w:space="0" w:color="365F91"/>
              <w:left w:val="nil"/>
              <w:bottom w:val="single" w:sz="4" w:space="0" w:color="365F91"/>
              <w:right w:val="nil"/>
            </w:tcBorders>
            <w:hideMark/>
          </w:tcPr>
          <w:p w14:paraId="40B32821" w14:textId="77777777" w:rsidR="00FB19C0" w:rsidRPr="00BE78CA" w:rsidRDefault="00FB19C0" w:rsidP="007B13EF">
            <w:pPr>
              <w:pStyle w:val="TableText"/>
              <w:spacing w:before="50" w:after="50"/>
              <w:jc w:val="center"/>
            </w:pPr>
            <w:r w:rsidRPr="00BE78CA">
              <w:t>0</w:t>
            </w:r>
          </w:p>
        </w:tc>
        <w:tc>
          <w:tcPr>
            <w:tcW w:w="1654" w:type="dxa"/>
            <w:tcBorders>
              <w:top w:val="single" w:sz="4" w:space="0" w:color="365F91"/>
              <w:left w:val="nil"/>
              <w:bottom w:val="single" w:sz="4" w:space="0" w:color="365F91"/>
              <w:right w:val="nil"/>
            </w:tcBorders>
            <w:hideMark/>
          </w:tcPr>
          <w:p w14:paraId="34175F84" w14:textId="77777777" w:rsidR="00FB19C0" w:rsidRPr="00BE78CA" w:rsidRDefault="00FB19C0" w:rsidP="007B13EF">
            <w:pPr>
              <w:pStyle w:val="TableText"/>
              <w:spacing w:before="50" w:after="50"/>
            </w:pPr>
            <w:r w:rsidRPr="00BE78CA">
              <w:t>IPCC default</w:t>
            </w:r>
          </w:p>
        </w:tc>
        <w:tc>
          <w:tcPr>
            <w:tcW w:w="2438" w:type="dxa"/>
            <w:tcBorders>
              <w:top w:val="single" w:sz="4" w:space="0" w:color="365F91"/>
              <w:left w:val="nil"/>
              <w:bottom w:val="single" w:sz="4" w:space="0" w:color="365F91"/>
              <w:right w:val="nil"/>
            </w:tcBorders>
            <w:hideMark/>
          </w:tcPr>
          <w:p w14:paraId="7FB82982" w14:textId="77777777" w:rsidR="00FB19C0" w:rsidRPr="00BE78CA" w:rsidRDefault="00FB19C0" w:rsidP="007B13EF">
            <w:pPr>
              <w:pStyle w:val="TableText"/>
              <w:spacing w:before="50" w:after="50"/>
            </w:pPr>
            <w:r w:rsidRPr="00BE78CA">
              <w:t>IPCC (2006a)</w:t>
            </w:r>
          </w:p>
        </w:tc>
      </w:tr>
      <w:tr w:rsidR="00FB19C0" w:rsidRPr="00BE78CA" w14:paraId="74E6B12B" w14:textId="77777777" w:rsidTr="000667B5">
        <w:tc>
          <w:tcPr>
            <w:tcW w:w="3459" w:type="dxa"/>
            <w:tcBorders>
              <w:top w:val="single" w:sz="4" w:space="0" w:color="365F91"/>
              <w:left w:val="nil"/>
              <w:bottom w:val="single" w:sz="4" w:space="0" w:color="365F91"/>
              <w:right w:val="nil"/>
            </w:tcBorders>
            <w:hideMark/>
          </w:tcPr>
          <w:p w14:paraId="1E5C5E73" w14:textId="77777777" w:rsidR="00FB19C0" w:rsidRPr="00BE78CA" w:rsidRDefault="00FB19C0" w:rsidP="007B13EF">
            <w:pPr>
              <w:pStyle w:val="TableText"/>
              <w:spacing w:before="50" w:after="50"/>
            </w:pPr>
            <w:r w:rsidRPr="00BE78CA">
              <w:t>Emission factor</w:t>
            </w:r>
          </w:p>
        </w:tc>
        <w:tc>
          <w:tcPr>
            <w:tcW w:w="794" w:type="dxa"/>
            <w:tcBorders>
              <w:top w:val="single" w:sz="4" w:space="0" w:color="365F91"/>
              <w:left w:val="nil"/>
              <w:bottom w:val="single" w:sz="4" w:space="0" w:color="365F91"/>
              <w:right w:val="nil"/>
            </w:tcBorders>
            <w:hideMark/>
          </w:tcPr>
          <w:p w14:paraId="58A02835" w14:textId="77777777" w:rsidR="00FB19C0" w:rsidRPr="00BE78CA" w:rsidRDefault="00FB19C0" w:rsidP="007B13EF">
            <w:pPr>
              <w:pStyle w:val="TableText"/>
              <w:spacing w:before="50" w:after="50"/>
              <w:jc w:val="center"/>
            </w:pPr>
            <w:r w:rsidRPr="00BE78CA">
              <w:t>0.005</w:t>
            </w:r>
          </w:p>
        </w:tc>
        <w:tc>
          <w:tcPr>
            <w:tcW w:w="1654" w:type="dxa"/>
            <w:tcBorders>
              <w:top w:val="single" w:sz="4" w:space="0" w:color="365F91"/>
              <w:left w:val="nil"/>
              <w:bottom w:val="single" w:sz="4" w:space="0" w:color="365F91"/>
              <w:right w:val="nil"/>
            </w:tcBorders>
            <w:hideMark/>
          </w:tcPr>
          <w:p w14:paraId="13336F92" w14:textId="77777777" w:rsidR="00FB19C0" w:rsidRPr="00BE78CA" w:rsidRDefault="00FB19C0" w:rsidP="007B13EF">
            <w:pPr>
              <w:pStyle w:val="TableText"/>
              <w:spacing w:before="50" w:after="50"/>
            </w:pPr>
            <w:r w:rsidRPr="00BE78CA">
              <w:t>IPCC default</w:t>
            </w:r>
          </w:p>
        </w:tc>
        <w:tc>
          <w:tcPr>
            <w:tcW w:w="2438" w:type="dxa"/>
            <w:tcBorders>
              <w:top w:val="single" w:sz="4" w:space="0" w:color="365F91"/>
              <w:left w:val="nil"/>
              <w:bottom w:val="single" w:sz="4" w:space="0" w:color="365F91"/>
              <w:right w:val="nil"/>
            </w:tcBorders>
            <w:hideMark/>
          </w:tcPr>
          <w:p w14:paraId="374BE03F" w14:textId="77777777" w:rsidR="00FB19C0" w:rsidRPr="00BE78CA" w:rsidRDefault="00FB19C0" w:rsidP="007B13EF">
            <w:pPr>
              <w:pStyle w:val="TableText"/>
              <w:spacing w:before="50" w:after="50"/>
            </w:pPr>
            <w:r w:rsidRPr="00BE78CA">
              <w:t>IPCC (2006a)</w:t>
            </w:r>
          </w:p>
        </w:tc>
      </w:tr>
      <w:tr w:rsidR="00FB19C0" w:rsidRPr="00BE78CA" w14:paraId="1314D4E6" w14:textId="77777777" w:rsidTr="000667B5">
        <w:tc>
          <w:tcPr>
            <w:tcW w:w="3459" w:type="dxa"/>
            <w:tcBorders>
              <w:top w:val="single" w:sz="4" w:space="0" w:color="365F91"/>
              <w:left w:val="nil"/>
              <w:bottom w:val="single" w:sz="4" w:space="0" w:color="365F91"/>
              <w:right w:val="nil"/>
            </w:tcBorders>
            <w:hideMark/>
          </w:tcPr>
          <w:p w14:paraId="5127A81F" w14:textId="77777777" w:rsidR="00FB19C0" w:rsidRPr="00BE78CA" w:rsidRDefault="00FB19C0" w:rsidP="007B13EF">
            <w:pPr>
              <w:pStyle w:val="TableText"/>
              <w:spacing w:before="50" w:after="50"/>
            </w:pPr>
            <w:r w:rsidRPr="00BE78CA">
              <w:t>Emissions from wastewater treatment plants</w:t>
            </w:r>
          </w:p>
        </w:tc>
        <w:tc>
          <w:tcPr>
            <w:tcW w:w="794" w:type="dxa"/>
            <w:tcBorders>
              <w:top w:val="single" w:sz="4" w:space="0" w:color="365F91"/>
              <w:left w:val="nil"/>
              <w:bottom w:val="single" w:sz="4" w:space="0" w:color="365F91"/>
              <w:right w:val="nil"/>
            </w:tcBorders>
            <w:hideMark/>
          </w:tcPr>
          <w:p w14:paraId="79697D82" w14:textId="77777777" w:rsidR="00FB19C0" w:rsidRPr="00BE78CA" w:rsidRDefault="00FB19C0" w:rsidP="007B13EF">
            <w:pPr>
              <w:pStyle w:val="TableText"/>
              <w:spacing w:before="50" w:after="50"/>
              <w:jc w:val="center"/>
            </w:pPr>
            <w:r w:rsidRPr="00BE78CA">
              <w:t>0</w:t>
            </w:r>
          </w:p>
        </w:tc>
        <w:tc>
          <w:tcPr>
            <w:tcW w:w="1654" w:type="dxa"/>
            <w:tcBorders>
              <w:top w:val="single" w:sz="4" w:space="0" w:color="365F91"/>
              <w:left w:val="nil"/>
              <w:bottom w:val="single" w:sz="4" w:space="0" w:color="365F91"/>
              <w:right w:val="nil"/>
            </w:tcBorders>
            <w:hideMark/>
          </w:tcPr>
          <w:p w14:paraId="5F00D2AB" w14:textId="77777777" w:rsidR="00FB19C0" w:rsidRPr="00BE78CA" w:rsidRDefault="00FB19C0" w:rsidP="007B13EF">
            <w:pPr>
              <w:pStyle w:val="TableText"/>
              <w:spacing w:before="50" w:after="50"/>
            </w:pPr>
            <w:r w:rsidRPr="00BE78CA">
              <w:t>IPCC default</w:t>
            </w:r>
          </w:p>
        </w:tc>
        <w:tc>
          <w:tcPr>
            <w:tcW w:w="2438" w:type="dxa"/>
            <w:tcBorders>
              <w:top w:val="single" w:sz="4" w:space="0" w:color="365F91"/>
              <w:left w:val="nil"/>
              <w:bottom w:val="single" w:sz="4" w:space="0" w:color="365F91"/>
              <w:right w:val="nil"/>
            </w:tcBorders>
            <w:hideMark/>
          </w:tcPr>
          <w:p w14:paraId="3D9EE06F" w14:textId="77777777" w:rsidR="00FB19C0" w:rsidRPr="00BE78CA" w:rsidRDefault="00FB19C0" w:rsidP="007B13EF">
            <w:pPr>
              <w:pStyle w:val="TableText"/>
              <w:spacing w:before="50" w:after="50"/>
            </w:pPr>
            <w:r w:rsidRPr="00BE78CA">
              <w:t>IPCC (2006a)</w:t>
            </w:r>
          </w:p>
        </w:tc>
      </w:tr>
    </w:tbl>
    <w:p w14:paraId="2138357A" w14:textId="77777777" w:rsidR="00FB19C0" w:rsidRPr="00BE78CA" w:rsidRDefault="00FB19C0" w:rsidP="00FB19C0">
      <w:pPr>
        <w:pStyle w:val="BodyText"/>
        <w:spacing w:before="240"/>
      </w:pPr>
      <w:r w:rsidRPr="00BE78CA">
        <w:t>A value of 36.135 kilograms of protein per person per year is used. This figure was the maximum value reported by New Zealand to the Food and Agriculture Organization.</w:t>
      </w:r>
    </w:p>
    <w:p w14:paraId="04684C76" w14:textId="77777777" w:rsidR="00FB19C0" w:rsidRPr="00BE78CA" w:rsidRDefault="00FB19C0" w:rsidP="00FB19C0">
      <w:pPr>
        <w:pStyle w:val="Heading6"/>
      </w:pPr>
      <w:r w:rsidRPr="00BE78CA">
        <w:rPr>
          <w:lang w:eastAsia="en-NZ"/>
        </w:rPr>
        <w:t>Recovery</w:t>
      </w:r>
    </w:p>
    <w:p w14:paraId="3049F4C1" w14:textId="77777777" w:rsidR="00FB19C0" w:rsidRPr="00BE78CA" w:rsidRDefault="00FB19C0" w:rsidP="00FB19C0">
      <w:pPr>
        <w:pStyle w:val="BodyText"/>
      </w:pPr>
      <w:r w:rsidRPr="00BE78CA">
        <w:t xml:space="preserve">There is no recovery of emissions reported for this source. </w:t>
      </w:r>
    </w:p>
    <w:p w14:paraId="203F5832" w14:textId="77777777" w:rsidR="00FB19C0" w:rsidRPr="00BE78CA" w:rsidRDefault="00FB19C0" w:rsidP="00FB19C0">
      <w:pPr>
        <w:pStyle w:val="Heading4"/>
      </w:pPr>
      <w:r w:rsidRPr="00BE78CA">
        <w:t>Industrial wastewater (5.D.2)</w:t>
      </w:r>
    </w:p>
    <w:p w14:paraId="392745F7" w14:textId="77777777" w:rsidR="00FB19C0" w:rsidRPr="00BE78CA" w:rsidRDefault="00FB19C0" w:rsidP="00FB19C0">
      <w:pPr>
        <w:pStyle w:val="Heading5"/>
        <w:spacing w:before="180"/>
      </w:pPr>
      <w:r w:rsidRPr="00BE78CA">
        <w:t>Methane emissions from industrial wastewater treatment – Meat industry</w:t>
      </w:r>
    </w:p>
    <w:p w14:paraId="32B3D95E" w14:textId="77777777" w:rsidR="00FB19C0" w:rsidRPr="00BE78CA" w:rsidRDefault="00FB19C0" w:rsidP="00FB19C0">
      <w:pPr>
        <w:pStyle w:val="BodyText"/>
      </w:pPr>
      <w:r w:rsidRPr="00BE78CA">
        <w:t>Table 7.5.8 provides a summary of the parameter values applied for estimating CH</w:t>
      </w:r>
      <w:r w:rsidRPr="00BE78CA">
        <w:rPr>
          <w:vertAlign w:val="subscript"/>
        </w:rPr>
        <w:t>4</w:t>
      </w:r>
      <w:r w:rsidRPr="00BE78CA">
        <w:t xml:space="preserve"> emissions from wastewater treatment by the meat industry.</w:t>
      </w:r>
    </w:p>
    <w:p w14:paraId="38A6AD50" w14:textId="77777777" w:rsidR="00FB19C0" w:rsidRPr="00BE78CA" w:rsidRDefault="00FB19C0" w:rsidP="00FB19C0">
      <w:pPr>
        <w:pStyle w:val="Table"/>
      </w:pPr>
      <w:bookmarkStart w:id="3084" w:name="_Toc32828543"/>
      <w:bookmarkStart w:id="3085" w:name="_Toc32591373"/>
      <w:bookmarkStart w:id="3086" w:name="_Toc5269585"/>
      <w:bookmarkStart w:id="3087" w:name="_Toc511116836"/>
      <w:bookmarkStart w:id="3088" w:name="_Toc508019338"/>
      <w:bookmarkStart w:id="3089" w:name="_Toc481751611"/>
      <w:bookmarkStart w:id="3090" w:name="_Toc451176181"/>
      <w:bookmarkStart w:id="3091" w:name="_Toc444001629"/>
      <w:bookmarkStart w:id="3092" w:name="_Toc321399253"/>
      <w:bookmarkStart w:id="3093" w:name="_Toc36224666"/>
      <w:bookmarkStart w:id="3094" w:name="_Toc68786552"/>
      <w:r w:rsidRPr="00BE78CA">
        <w:lastRenderedPageBreak/>
        <w:t>Table 7.5.8</w:t>
      </w:r>
      <w:r w:rsidRPr="00BE78CA">
        <w:tab/>
        <w:t>Parameter values applied by New Zealand for estimating methane emissions</w:t>
      </w:r>
      <w:r w:rsidRPr="00BE78CA">
        <w:br/>
        <w:t>from wastewater treatment by the meat industry</w:t>
      </w:r>
      <w:bookmarkEnd w:id="3084"/>
      <w:bookmarkEnd w:id="3085"/>
      <w:bookmarkEnd w:id="3086"/>
      <w:bookmarkEnd w:id="3087"/>
      <w:bookmarkEnd w:id="3088"/>
      <w:bookmarkEnd w:id="3089"/>
      <w:bookmarkEnd w:id="3090"/>
      <w:bookmarkEnd w:id="3091"/>
      <w:bookmarkEnd w:id="3092"/>
      <w:bookmarkEnd w:id="3093"/>
      <w:bookmarkEnd w:id="3094"/>
    </w:p>
    <w:tbl>
      <w:tblPr>
        <w:tblW w:w="8505" w:type="dxa"/>
        <w:tblLook w:val="04A0" w:firstRow="1" w:lastRow="0" w:firstColumn="1" w:lastColumn="0" w:noHBand="0" w:noVBand="1"/>
      </w:tblPr>
      <w:tblGrid>
        <w:gridCol w:w="2268"/>
        <w:gridCol w:w="2410"/>
        <w:gridCol w:w="1701"/>
        <w:gridCol w:w="2126"/>
      </w:tblGrid>
      <w:tr w:rsidR="00FB19C0" w:rsidRPr="00BE78CA" w14:paraId="796BF2AE" w14:textId="77777777" w:rsidTr="00614FDD">
        <w:tc>
          <w:tcPr>
            <w:tcW w:w="2268" w:type="dxa"/>
            <w:tcBorders>
              <w:top w:val="single" w:sz="4" w:space="0" w:color="365F91"/>
              <w:left w:val="nil"/>
              <w:bottom w:val="single" w:sz="4" w:space="0" w:color="365F91"/>
              <w:right w:val="nil"/>
            </w:tcBorders>
            <w:shd w:val="clear" w:color="auto" w:fill="365F91"/>
            <w:hideMark/>
          </w:tcPr>
          <w:p w14:paraId="6D539872" w14:textId="77777777" w:rsidR="00FB19C0" w:rsidRPr="00BE78CA" w:rsidRDefault="00FB19C0" w:rsidP="00C26084">
            <w:pPr>
              <w:pStyle w:val="TableTextBold"/>
              <w:keepNext/>
              <w:spacing w:before="40" w:after="40"/>
              <w:rPr>
                <w:noProof w:val="0"/>
                <w:color w:val="FFFFFF"/>
              </w:rPr>
            </w:pPr>
            <w:r w:rsidRPr="00BE78CA">
              <w:rPr>
                <w:noProof w:val="0"/>
                <w:color w:val="FFFFFF"/>
              </w:rPr>
              <w:t>Parameter</w:t>
            </w:r>
          </w:p>
        </w:tc>
        <w:tc>
          <w:tcPr>
            <w:tcW w:w="2410" w:type="dxa"/>
            <w:tcBorders>
              <w:top w:val="single" w:sz="4" w:space="0" w:color="365F91"/>
              <w:left w:val="nil"/>
              <w:bottom w:val="single" w:sz="4" w:space="0" w:color="365F91"/>
              <w:right w:val="nil"/>
            </w:tcBorders>
            <w:shd w:val="clear" w:color="auto" w:fill="365F91"/>
            <w:hideMark/>
          </w:tcPr>
          <w:p w14:paraId="3B0C4B12" w14:textId="77777777" w:rsidR="00FB19C0" w:rsidRPr="00BE78CA" w:rsidRDefault="00FB19C0" w:rsidP="00C26084">
            <w:pPr>
              <w:pStyle w:val="TableTextBold"/>
              <w:keepNext/>
              <w:spacing w:before="40" w:after="40"/>
              <w:rPr>
                <w:noProof w:val="0"/>
                <w:color w:val="FFFFFF"/>
              </w:rPr>
            </w:pPr>
            <w:r w:rsidRPr="00BE78CA">
              <w:rPr>
                <w:noProof w:val="0"/>
                <w:color w:val="FFFFFF"/>
              </w:rPr>
              <w:t>Value</w:t>
            </w:r>
          </w:p>
        </w:tc>
        <w:tc>
          <w:tcPr>
            <w:tcW w:w="1701" w:type="dxa"/>
            <w:tcBorders>
              <w:top w:val="single" w:sz="4" w:space="0" w:color="365F91"/>
              <w:left w:val="nil"/>
              <w:bottom w:val="single" w:sz="4" w:space="0" w:color="365F91"/>
              <w:right w:val="nil"/>
            </w:tcBorders>
            <w:shd w:val="clear" w:color="auto" w:fill="365F91"/>
            <w:hideMark/>
          </w:tcPr>
          <w:p w14:paraId="61A8BC8A" w14:textId="77777777" w:rsidR="00FB19C0" w:rsidRPr="00BE78CA" w:rsidRDefault="00FB19C0" w:rsidP="00C26084">
            <w:pPr>
              <w:pStyle w:val="TableTextBold"/>
              <w:keepNext/>
              <w:spacing w:before="40" w:after="40"/>
              <w:rPr>
                <w:noProof w:val="0"/>
                <w:color w:val="FFFFFF"/>
              </w:rPr>
            </w:pPr>
            <w:r w:rsidRPr="00BE78CA">
              <w:rPr>
                <w:noProof w:val="0"/>
                <w:color w:val="FFFFFF"/>
              </w:rPr>
              <w:t>Source</w:t>
            </w:r>
          </w:p>
        </w:tc>
        <w:tc>
          <w:tcPr>
            <w:tcW w:w="2126" w:type="dxa"/>
            <w:tcBorders>
              <w:top w:val="single" w:sz="4" w:space="0" w:color="365F91"/>
              <w:left w:val="nil"/>
              <w:bottom w:val="single" w:sz="4" w:space="0" w:color="365F91"/>
              <w:right w:val="nil"/>
            </w:tcBorders>
            <w:shd w:val="clear" w:color="auto" w:fill="365F91"/>
            <w:hideMark/>
          </w:tcPr>
          <w:p w14:paraId="2155F385" w14:textId="77777777" w:rsidR="00FB19C0" w:rsidRPr="00BE78CA" w:rsidRDefault="00FB19C0" w:rsidP="00C26084">
            <w:pPr>
              <w:pStyle w:val="TableTextBold"/>
              <w:keepNext/>
              <w:spacing w:before="40" w:after="40"/>
              <w:rPr>
                <w:noProof w:val="0"/>
                <w:color w:val="FFFFFF"/>
              </w:rPr>
            </w:pPr>
            <w:r w:rsidRPr="00BE78CA">
              <w:rPr>
                <w:noProof w:val="0"/>
                <w:color w:val="FFFFFF"/>
              </w:rPr>
              <w:t>Reference</w:t>
            </w:r>
          </w:p>
        </w:tc>
      </w:tr>
      <w:tr w:rsidR="00FB19C0" w:rsidRPr="00BE78CA" w14:paraId="2584ACFF" w14:textId="77777777" w:rsidTr="00614FDD">
        <w:tc>
          <w:tcPr>
            <w:tcW w:w="2268" w:type="dxa"/>
            <w:tcBorders>
              <w:top w:val="single" w:sz="4" w:space="0" w:color="365F91"/>
              <w:left w:val="nil"/>
              <w:bottom w:val="single" w:sz="4" w:space="0" w:color="365F91"/>
              <w:right w:val="nil"/>
            </w:tcBorders>
            <w:hideMark/>
          </w:tcPr>
          <w:p w14:paraId="3D49F459" w14:textId="77777777" w:rsidR="00FB19C0" w:rsidRPr="00BE78CA" w:rsidRDefault="00FB19C0" w:rsidP="0082543D">
            <w:pPr>
              <w:pStyle w:val="TableText"/>
              <w:keepNext/>
              <w:spacing w:before="40" w:after="40"/>
            </w:pPr>
            <w:r w:rsidRPr="00BE78CA">
              <w:t>Degradable organic component (kg COD/tonne of product)</w:t>
            </w:r>
          </w:p>
        </w:tc>
        <w:tc>
          <w:tcPr>
            <w:tcW w:w="2410" w:type="dxa"/>
            <w:tcBorders>
              <w:top w:val="single" w:sz="4" w:space="0" w:color="365F91"/>
              <w:left w:val="nil"/>
              <w:bottom w:val="single" w:sz="4" w:space="0" w:color="365F91"/>
              <w:right w:val="nil"/>
            </w:tcBorders>
            <w:hideMark/>
          </w:tcPr>
          <w:p w14:paraId="592FCCFA" w14:textId="77777777" w:rsidR="00FB19C0" w:rsidRPr="00BE78CA" w:rsidRDefault="00FB19C0" w:rsidP="0082543D">
            <w:pPr>
              <w:pStyle w:val="TableText"/>
              <w:keepNext/>
              <w:spacing w:before="40" w:after="40"/>
            </w:pPr>
            <w:r w:rsidRPr="00BE78CA">
              <w:t>50</w:t>
            </w:r>
          </w:p>
        </w:tc>
        <w:tc>
          <w:tcPr>
            <w:tcW w:w="1701" w:type="dxa"/>
            <w:tcBorders>
              <w:top w:val="single" w:sz="4" w:space="0" w:color="365F91"/>
              <w:left w:val="nil"/>
              <w:bottom w:val="single" w:sz="4" w:space="0" w:color="365F91"/>
              <w:right w:val="nil"/>
            </w:tcBorders>
            <w:hideMark/>
          </w:tcPr>
          <w:p w14:paraId="19D77A13" w14:textId="77777777" w:rsidR="00FB19C0" w:rsidRPr="00BE78CA" w:rsidRDefault="00FB19C0" w:rsidP="0082543D">
            <w:pPr>
              <w:pStyle w:val="TableText"/>
              <w:keepNext/>
              <w:spacing w:before="40" w:after="40"/>
            </w:pPr>
            <w:r w:rsidRPr="00BE78CA">
              <w:t>New Zealand specific</w:t>
            </w:r>
          </w:p>
        </w:tc>
        <w:tc>
          <w:tcPr>
            <w:tcW w:w="2126" w:type="dxa"/>
            <w:tcBorders>
              <w:top w:val="single" w:sz="4" w:space="0" w:color="365F91"/>
              <w:left w:val="nil"/>
              <w:bottom w:val="single" w:sz="4" w:space="0" w:color="365F91"/>
              <w:right w:val="nil"/>
            </w:tcBorders>
            <w:hideMark/>
          </w:tcPr>
          <w:p w14:paraId="7A72E9EA" w14:textId="77777777" w:rsidR="00FB19C0" w:rsidRPr="00BE78CA" w:rsidRDefault="00FB19C0" w:rsidP="0082543D">
            <w:pPr>
              <w:pStyle w:val="TableText"/>
              <w:keepNext/>
              <w:spacing w:before="40" w:after="40"/>
            </w:pPr>
            <w:r w:rsidRPr="00BE78CA">
              <w:t>SCS Wetherill Environmental (unpublished)</w:t>
            </w:r>
          </w:p>
        </w:tc>
      </w:tr>
      <w:tr w:rsidR="00FB19C0" w:rsidRPr="00BE78CA" w14:paraId="3126FB4A" w14:textId="77777777" w:rsidTr="00614FDD">
        <w:tc>
          <w:tcPr>
            <w:tcW w:w="2268" w:type="dxa"/>
            <w:tcBorders>
              <w:top w:val="single" w:sz="4" w:space="0" w:color="365F91"/>
              <w:left w:val="nil"/>
              <w:bottom w:val="single" w:sz="4" w:space="0" w:color="365F91"/>
              <w:right w:val="nil"/>
            </w:tcBorders>
            <w:hideMark/>
          </w:tcPr>
          <w:p w14:paraId="6DED7732" w14:textId="77777777" w:rsidR="00FB19C0" w:rsidRPr="00BE78CA" w:rsidRDefault="00FB19C0" w:rsidP="0082543D">
            <w:pPr>
              <w:pStyle w:val="TableText"/>
              <w:keepNext/>
              <w:spacing w:before="40" w:after="40"/>
            </w:pPr>
            <w:r w:rsidRPr="00BE78CA">
              <w:t>Methane correction factor</w:t>
            </w:r>
          </w:p>
        </w:tc>
        <w:tc>
          <w:tcPr>
            <w:tcW w:w="2410" w:type="dxa"/>
            <w:tcBorders>
              <w:top w:val="single" w:sz="4" w:space="0" w:color="365F91"/>
              <w:left w:val="nil"/>
              <w:bottom w:val="single" w:sz="4" w:space="0" w:color="365F91"/>
              <w:right w:val="nil"/>
            </w:tcBorders>
            <w:hideMark/>
          </w:tcPr>
          <w:p w14:paraId="4A029AB8" w14:textId="77777777" w:rsidR="00FB19C0" w:rsidRPr="00BE78CA" w:rsidRDefault="00FB19C0" w:rsidP="0082543D">
            <w:pPr>
              <w:pStyle w:val="TableText"/>
              <w:keepNext/>
              <w:spacing w:before="40" w:after="40"/>
            </w:pPr>
            <w:r w:rsidRPr="00BE78CA">
              <w:t>Range of 0–0.55</w:t>
            </w:r>
          </w:p>
        </w:tc>
        <w:tc>
          <w:tcPr>
            <w:tcW w:w="1701" w:type="dxa"/>
            <w:tcBorders>
              <w:top w:val="single" w:sz="4" w:space="0" w:color="365F91"/>
              <w:left w:val="nil"/>
              <w:bottom w:val="single" w:sz="4" w:space="0" w:color="365F91"/>
              <w:right w:val="nil"/>
            </w:tcBorders>
            <w:hideMark/>
          </w:tcPr>
          <w:p w14:paraId="60F671DD" w14:textId="77777777" w:rsidR="00FB19C0" w:rsidRPr="00BE78CA" w:rsidRDefault="00FB19C0" w:rsidP="0082543D">
            <w:pPr>
              <w:pStyle w:val="TableText"/>
              <w:keepNext/>
              <w:spacing w:before="40" w:after="40"/>
            </w:pPr>
            <w:r w:rsidRPr="00BE78CA">
              <w:t>New Zealand specific</w:t>
            </w:r>
          </w:p>
        </w:tc>
        <w:tc>
          <w:tcPr>
            <w:tcW w:w="2126" w:type="dxa"/>
            <w:tcBorders>
              <w:top w:val="single" w:sz="4" w:space="0" w:color="365F91"/>
              <w:left w:val="nil"/>
              <w:bottom w:val="single" w:sz="4" w:space="0" w:color="365F91"/>
              <w:right w:val="nil"/>
            </w:tcBorders>
            <w:hideMark/>
          </w:tcPr>
          <w:p w14:paraId="697B1023" w14:textId="77777777" w:rsidR="00FB19C0" w:rsidRPr="00BE78CA" w:rsidRDefault="00FB19C0" w:rsidP="0082543D">
            <w:pPr>
              <w:pStyle w:val="TableText"/>
              <w:keepNext/>
              <w:spacing w:before="40" w:after="40"/>
            </w:pPr>
            <w:r w:rsidRPr="00BE78CA">
              <w:t>SCS Wetherill Environmental (unpublished)</w:t>
            </w:r>
          </w:p>
        </w:tc>
      </w:tr>
      <w:tr w:rsidR="00FB19C0" w:rsidRPr="00BE78CA" w14:paraId="438ADF13" w14:textId="77777777" w:rsidTr="00F96D31">
        <w:tc>
          <w:tcPr>
            <w:tcW w:w="2268" w:type="dxa"/>
            <w:tcBorders>
              <w:top w:val="single" w:sz="4" w:space="0" w:color="365F91"/>
              <w:left w:val="nil"/>
              <w:bottom w:val="single" w:sz="4" w:space="0" w:color="365F91"/>
              <w:right w:val="nil"/>
            </w:tcBorders>
            <w:hideMark/>
          </w:tcPr>
          <w:p w14:paraId="3F8300ED" w14:textId="77777777" w:rsidR="00FB19C0" w:rsidRPr="00BE78CA" w:rsidRDefault="00FB19C0" w:rsidP="0082543D">
            <w:pPr>
              <w:pStyle w:val="TableText"/>
              <w:spacing w:before="40" w:after="40"/>
            </w:pPr>
            <w:r w:rsidRPr="00BE78CA">
              <w:t>Maximum CH</w:t>
            </w:r>
            <w:r w:rsidRPr="00BE78CA">
              <w:rPr>
                <w:vertAlign w:val="subscript"/>
              </w:rPr>
              <w:t>4</w:t>
            </w:r>
            <w:r w:rsidRPr="00BE78CA">
              <w:t>-producing capacity (kg CH</w:t>
            </w:r>
            <w:r w:rsidRPr="00BE78CA">
              <w:rPr>
                <w:vertAlign w:val="subscript"/>
              </w:rPr>
              <w:t>4</w:t>
            </w:r>
            <w:r w:rsidRPr="00BE78CA">
              <w:t>/kg COD)</w:t>
            </w:r>
          </w:p>
        </w:tc>
        <w:tc>
          <w:tcPr>
            <w:tcW w:w="2410" w:type="dxa"/>
            <w:tcBorders>
              <w:top w:val="single" w:sz="4" w:space="0" w:color="365F91"/>
              <w:left w:val="nil"/>
              <w:bottom w:val="single" w:sz="4" w:space="0" w:color="365F91"/>
              <w:right w:val="nil"/>
            </w:tcBorders>
            <w:hideMark/>
          </w:tcPr>
          <w:p w14:paraId="1FC76309" w14:textId="77777777" w:rsidR="00FB19C0" w:rsidRPr="00BE78CA" w:rsidRDefault="00FB19C0" w:rsidP="0082543D">
            <w:pPr>
              <w:pStyle w:val="TableText"/>
              <w:spacing w:before="40" w:after="40"/>
            </w:pPr>
            <w:r w:rsidRPr="00BE78CA">
              <w:t>0.25</w:t>
            </w:r>
          </w:p>
        </w:tc>
        <w:tc>
          <w:tcPr>
            <w:tcW w:w="1701" w:type="dxa"/>
            <w:tcBorders>
              <w:top w:val="single" w:sz="4" w:space="0" w:color="365F91"/>
              <w:left w:val="nil"/>
              <w:bottom w:val="single" w:sz="4" w:space="0" w:color="365F91"/>
              <w:right w:val="nil"/>
            </w:tcBorders>
            <w:hideMark/>
          </w:tcPr>
          <w:p w14:paraId="3F2F0911" w14:textId="77777777" w:rsidR="00FB19C0" w:rsidRPr="00BE78CA" w:rsidRDefault="00FB19C0" w:rsidP="0082543D">
            <w:pPr>
              <w:pStyle w:val="TableText"/>
              <w:spacing w:before="40" w:after="40"/>
              <w:rPr>
                <w:highlight w:val="yellow"/>
              </w:rPr>
            </w:pPr>
            <w:r w:rsidRPr="00BE78CA">
              <w:t>IPCC default</w:t>
            </w:r>
          </w:p>
        </w:tc>
        <w:tc>
          <w:tcPr>
            <w:tcW w:w="2126" w:type="dxa"/>
            <w:tcBorders>
              <w:top w:val="single" w:sz="4" w:space="0" w:color="365F91"/>
              <w:left w:val="nil"/>
              <w:bottom w:val="single" w:sz="4" w:space="0" w:color="365F91"/>
              <w:right w:val="nil"/>
            </w:tcBorders>
            <w:hideMark/>
          </w:tcPr>
          <w:p w14:paraId="0A7B9EE1" w14:textId="77777777" w:rsidR="00FB19C0" w:rsidRPr="00BE78CA" w:rsidRDefault="00FB19C0" w:rsidP="0082543D">
            <w:pPr>
              <w:pStyle w:val="TableText"/>
              <w:spacing w:before="40" w:after="40"/>
              <w:rPr>
                <w:highlight w:val="yellow"/>
              </w:rPr>
            </w:pPr>
            <w:r w:rsidRPr="00BE78CA">
              <w:t xml:space="preserve">IPCC (2006) </w:t>
            </w:r>
          </w:p>
        </w:tc>
      </w:tr>
      <w:tr w:rsidR="00FB19C0" w:rsidRPr="00BE78CA" w14:paraId="05F01A33" w14:textId="77777777" w:rsidTr="00614FDD">
        <w:tc>
          <w:tcPr>
            <w:tcW w:w="2268" w:type="dxa"/>
            <w:tcBorders>
              <w:top w:val="single" w:sz="4" w:space="0" w:color="365F91"/>
              <w:left w:val="nil"/>
              <w:bottom w:val="single" w:sz="4" w:space="0" w:color="365F91"/>
              <w:right w:val="nil"/>
            </w:tcBorders>
            <w:hideMark/>
          </w:tcPr>
          <w:p w14:paraId="419CC4BA" w14:textId="77777777" w:rsidR="00FB19C0" w:rsidRPr="00BE78CA" w:rsidRDefault="00FB19C0" w:rsidP="0082543D">
            <w:pPr>
              <w:pStyle w:val="TableText"/>
              <w:spacing w:before="40" w:after="40"/>
            </w:pPr>
            <w:r w:rsidRPr="00BE78CA">
              <w:t>Overall emission factor</w:t>
            </w:r>
          </w:p>
        </w:tc>
        <w:tc>
          <w:tcPr>
            <w:tcW w:w="2410" w:type="dxa"/>
            <w:tcBorders>
              <w:top w:val="single" w:sz="4" w:space="0" w:color="365F91"/>
              <w:left w:val="nil"/>
              <w:bottom w:val="single" w:sz="4" w:space="0" w:color="365F91"/>
              <w:right w:val="nil"/>
            </w:tcBorders>
            <w:hideMark/>
          </w:tcPr>
          <w:p w14:paraId="3633F1D5" w14:textId="77777777" w:rsidR="00FB19C0" w:rsidRPr="00BE78CA" w:rsidRDefault="00FB19C0" w:rsidP="0082543D">
            <w:pPr>
              <w:pStyle w:val="TableText"/>
              <w:spacing w:before="40" w:after="0"/>
            </w:pPr>
            <w:r w:rsidRPr="00BE78CA">
              <w:t>0.036 (meat excluding poultry)</w:t>
            </w:r>
          </w:p>
          <w:p w14:paraId="01D13F31" w14:textId="77777777" w:rsidR="00FB19C0" w:rsidRPr="00BE78CA" w:rsidRDefault="00FB19C0" w:rsidP="0082543D">
            <w:pPr>
              <w:pStyle w:val="TableText"/>
              <w:spacing w:before="40" w:after="40"/>
            </w:pPr>
            <w:r w:rsidRPr="00BE78CA">
              <w:t>0.0344 (poultry)</w:t>
            </w:r>
          </w:p>
        </w:tc>
        <w:tc>
          <w:tcPr>
            <w:tcW w:w="1701" w:type="dxa"/>
            <w:tcBorders>
              <w:top w:val="single" w:sz="4" w:space="0" w:color="365F91"/>
              <w:left w:val="nil"/>
              <w:bottom w:val="single" w:sz="4" w:space="0" w:color="365F91"/>
              <w:right w:val="nil"/>
            </w:tcBorders>
            <w:hideMark/>
          </w:tcPr>
          <w:p w14:paraId="5371E0DD" w14:textId="77777777" w:rsidR="00FB19C0" w:rsidRPr="00BE78CA" w:rsidRDefault="00FB19C0" w:rsidP="0082543D">
            <w:pPr>
              <w:pStyle w:val="TableText"/>
              <w:spacing w:before="40" w:after="40"/>
            </w:pPr>
            <w:r w:rsidRPr="00BE78CA">
              <w:t>New Zealand specific</w:t>
            </w:r>
          </w:p>
        </w:tc>
        <w:tc>
          <w:tcPr>
            <w:tcW w:w="2126" w:type="dxa"/>
            <w:tcBorders>
              <w:top w:val="single" w:sz="4" w:space="0" w:color="365F91"/>
              <w:left w:val="nil"/>
              <w:bottom w:val="single" w:sz="4" w:space="0" w:color="365F91"/>
              <w:right w:val="nil"/>
            </w:tcBorders>
            <w:hideMark/>
          </w:tcPr>
          <w:p w14:paraId="52CC629E" w14:textId="77777777" w:rsidR="00FB19C0" w:rsidRPr="00BE78CA" w:rsidRDefault="00FB19C0" w:rsidP="0082543D">
            <w:pPr>
              <w:pStyle w:val="TableText"/>
              <w:spacing w:before="40" w:after="40"/>
            </w:pPr>
            <w:r w:rsidRPr="00BE78CA">
              <w:t>Cardno (unpublished)</w:t>
            </w:r>
          </w:p>
        </w:tc>
      </w:tr>
    </w:tbl>
    <w:p w14:paraId="6729BEFD" w14:textId="77777777" w:rsidR="00FB19C0" w:rsidRPr="00BE78CA" w:rsidRDefault="00FB19C0" w:rsidP="00FB19C0">
      <w:pPr>
        <w:pStyle w:val="Noteundertable"/>
      </w:pPr>
      <w:r w:rsidRPr="00BE78CA">
        <w:rPr>
          <w:b/>
        </w:rPr>
        <w:t>Note:</w:t>
      </w:r>
      <w:r w:rsidRPr="00BE78CA">
        <w:t xml:space="preserve"> </w:t>
      </w:r>
      <w:r w:rsidRPr="00BE78CA">
        <w:tab/>
        <w:t>COD = chemical oxygen demand.</w:t>
      </w:r>
    </w:p>
    <w:p w14:paraId="4790CD0C" w14:textId="77777777" w:rsidR="00FB19C0" w:rsidRPr="00BE78CA" w:rsidRDefault="00FB19C0" w:rsidP="00283903">
      <w:pPr>
        <w:pStyle w:val="Heading6"/>
        <w:spacing w:before="80"/>
      </w:pPr>
      <w:r w:rsidRPr="00BE78CA">
        <w:rPr>
          <w:lang w:eastAsia="en-NZ"/>
        </w:rPr>
        <w:t>Recovery</w:t>
      </w:r>
    </w:p>
    <w:p w14:paraId="191716BC" w14:textId="77777777" w:rsidR="00FB19C0" w:rsidRPr="00BE78CA" w:rsidRDefault="00FB19C0" w:rsidP="00283903">
      <w:pPr>
        <w:pStyle w:val="BodyText"/>
        <w:spacing w:before="80" w:after="0"/>
      </w:pPr>
      <w:r w:rsidRPr="00BE78CA">
        <w:t xml:space="preserve">There is no recovery of emissions reported for this source. </w:t>
      </w:r>
    </w:p>
    <w:p w14:paraId="25CFE7D1" w14:textId="77777777" w:rsidR="00FB19C0" w:rsidRPr="00BE78CA" w:rsidRDefault="00FB19C0" w:rsidP="00FB19C0">
      <w:pPr>
        <w:pStyle w:val="Heading5"/>
      </w:pPr>
      <w:r w:rsidRPr="00BE78CA">
        <w:t>Methane emissions from industrial wastewater treatment – Pulp and paper</w:t>
      </w:r>
    </w:p>
    <w:p w14:paraId="33FCF546" w14:textId="77777777" w:rsidR="00FB19C0" w:rsidRPr="00BE78CA" w:rsidRDefault="00FB19C0" w:rsidP="00FB19C0">
      <w:pPr>
        <w:pStyle w:val="BodyText"/>
        <w:spacing w:before="100"/>
      </w:pPr>
      <w:r w:rsidRPr="00BE78CA">
        <w:t>Table 7.5.9 provides a summary of the parameter values applied for estimating CH</w:t>
      </w:r>
      <w:r w:rsidRPr="00BE78CA">
        <w:rPr>
          <w:vertAlign w:val="subscript"/>
        </w:rPr>
        <w:t>4</w:t>
      </w:r>
      <w:r w:rsidRPr="00BE78CA">
        <w:t xml:space="preserve"> emissions from wastewater treatment by the pulp and paper industry.</w:t>
      </w:r>
    </w:p>
    <w:p w14:paraId="0A5A48B0" w14:textId="77777777" w:rsidR="00FB19C0" w:rsidRPr="00BE78CA" w:rsidRDefault="00FB19C0" w:rsidP="00FB19C0">
      <w:pPr>
        <w:pStyle w:val="Table"/>
      </w:pPr>
      <w:bookmarkStart w:id="3095" w:name="_Toc32828544"/>
      <w:bookmarkStart w:id="3096" w:name="_Toc32591374"/>
      <w:bookmarkStart w:id="3097" w:name="_Toc5269586"/>
      <w:bookmarkStart w:id="3098" w:name="_Toc511116837"/>
      <w:bookmarkStart w:id="3099" w:name="_Toc508019339"/>
      <w:bookmarkStart w:id="3100" w:name="_Toc481751612"/>
      <w:bookmarkStart w:id="3101" w:name="_Toc451176182"/>
      <w:bookmarkStart w:id="3102" w:name="_Toc444001630"/>
      <w:bookmarkStart w:id="3103" w:name="_Toc321399254"/>
      <w:bookmarkStart w:id="3104" w:name="_Toc36224667"/>
      <w:bookmarkStart w:id="3105" w:name="_Toc68786553"/>
      <w:r w:rsidRPr="00BE78CA">
        <w:t>Table 7.5.9</w:t>
      </w:r>
      <w:r w:rsidRPr="00BE78CA">
        <w:tab/>
        <w:t>Parameter values applied by New Zealand for estimating methane emissions</w:t>
      </w:r>
      <w:r w:rsidRPr="00BE78CA">
        <w:br/>
        <w:t>for wastewater treatment by the pulp and paper industry</w:t>
      </w:r>
      <w:bookmarkEnd w:id="3095"/>
      <w:bookmarkEnd w:id="3096"/>
      <w:bookmarkEnd w:id="3097"/>
      <w:bookmarkEnd w:id="3098"/>
      <w:bookmarkEnd w:id="3099"/>
      <w:bookmarkEnd w:id="3100"/>
      <w:bookmarkEnd w:id="3101"/>
      <w:bookmarkEnd w:id="3102"/>
      <w:bookmarkEnd w:id="3103"/>
      <w:bookmarkEnd w:id="3104"/>
      <w:bookmarkEnd w:id="3105"/>
    </w:p>
    <w:tbl>
      <w:tblPr>
        <w:tblW w:w="8505" w:type="dxa"/>
        <w:tblLook w:val="04A0" w:firstRow="1" w:lastRow="0" w:firstColumn="1" w:lastColumn="0" w:noHBand="0" w:noVBand="1"/>
      </w:tblPr>
      <w:tblGrid>
        <w:gridCol w:w="2307"/>
        <w:gridCol w:w="1453"/>
        <w:gridCol w:w="1847"/>
        <w:gridCol w:w="2898"/>
      </w:tblGrid>
      <w:tr w:rsidR="00FB19C0" w:rsidRPr="00BE78CA" w14:paraId="7CA1FC6A" w14:textId="77777777" w:rsidTr="0011453B">
        <w:trPr>
          <w:tblHeader/>
        </w:trPr>
        <w:tc>
          <w:tcPr>
            <w:tcW w:w="2268" w:type="dxa"/>
            <w:tcBorders>
              <w:top w:val="single" w:sz="4" w:space="0" w:color="365F91"/>
              <w:left w:val="nil"/>
              <w:bottom w:val="single" w:sz="4" w:space="0" w:color="365F91"/>
              <w:right w:val="nil"/>
            </w:tcBorders>
            <w:shd w:val="clear" w:color="auto" w:fill="365F91"/>
            <w:hideMark/>
          </w:tcPr>
          <w:p w14:paraId="44A33BA3" w14:textId="77777777" w:rsidR="00FB19C0" w:rsidRPr="00BE78CA" w:rsidRDefault="00FB19C0" w:rsidP="00C26084">
            <w:pPr>
              <w:pStyle w:val="TableTextBold"/>
              <w:keepNext/>
              <w:rPr>
                <w:noProof w:val="0"/>
                <w:color w:val="FFFFFF"/>
              </w:rPr>
            </w:pPr>
            <w:r w:rsidRPr="00BE78CA">
              <w:rPr>
                <w:noProof w:val="0"/>
                <w:color w:val="FFFFFF"/>
              </w:rPr>
              <w:t>Parameter</w:t>
            </w:r>
          </w:p>
        </w:tc>
        <w:tc>
          <w:tcPr>
            <w:tcW w:w="1429" w:type="dxa"/>
            <w:tcBorders>
              <w:top w:val="single" w:sz="4" w:space="0" w:color="365F91"/>
              <w:left w:val="nil"/>
              <w:bottom w:val="single" w:sz="4" w:space="0" w:color="365F91"/>
              <w:right w:val="nil"/>
            </w:tcBorders>
            <w:shd w:val="clear" w:color="auto" w:fill="365F91"/>
            <w:hideMark/>
          </w:tcPr>
          <w:p w14:paraId="4533C2CB" w14:textId="77777777" w:rsidR="00FB19C0" w:rsidRPr="00BE78CA" w:rsidRDefault="00FB19C0" w:rsidP="00C26084">
            <w:pPr>
              <w:pStyle w:val="TableTextBold"/>
              <w:rPr>
                <w:noProof w:val="0"/>
                <w:color w:val="FFFFFF"/>
              </w:rPr>
            </w:pPr>
            <w:r w:rsidRPr="00BE78CA">
              <w:rPr>
                <w:noProof w:val="0"/>
                <w:color w:val="FFFFFF"/>
              </w:rPr>
              <w:t>Value</w:t>
            </w:r>
          </w:p>
        </w:tc>
        <w:tc>
          <w:tcPr>
            <w:tcW w:w="1816" w:type="dxa"/>
            <w:tcBorders>
              <w:top w:val="single" w:sz="4" w:space="0" w:color="365F91"/>
              <w:left w:val="nil"/>
              <w:bottom w:val="single" w:sz="4" w:space="0" w:color="365F91"/>
              <w:right w:val="nil"/>
            </w:tcBorders>
            <w:shd w:val="clear" w:color="auto" w:fill="365F91"/>
            <w:hideMark/>
          </w:tcPr>
          <w:p w14:paraId="6DC4B2C5" w14:textId="77777777" w:rsidR="00FB19C0" w:rsidRPr="00BE78CA" w:rsidRDefault="00FB19C0" w:rsidP="00C26084">
            <w:pPr>
              <w:pStyle w:val="TableTextBold"/>
              <w:rPr>
                <w:noProof w:val="0"/>
                <w:color w:val="FFFFFF"/>
              </w:rPr>
            </w:pPr>
            <w:r w:rsidRPr="00BE78CA">
              <w:rPr>
                <w:noProof w:val="0"/>
                <w:color w:val="FFFFFF"/>
              </w:rPr>
              <w:t>Source</w:t>
            </w:r>
          </w:p>
        </w:tc>
        <w:tc>
          <w:tcPr>
            <w:tcW w:w="2850" w:type="dxa"/>
            <w:tcBorders>
              <w:top w:val="single" w:sz="4" w:space="0" w:color="365F91"/>
              <w:left w:val="nil"/>
              <w:bottom w:val="single" w:sz="4" w:space="0" w:color="365F91"/>
              <w:right w:val="nil"/>
            </w:tcBorders>
            <w:shd w:val="clear" w:color="auto" w:fill="365F91"/>
            <w:hideMark/>
          </w:tcPr>
          <w:p w14:paraId="2E0B2548" w14:textId="77777777" w:rsidR="00FB19C0" w:rsidRPr="00BE78CA" w:rsidRDefault="00FB19C0" w:rsidP="00C26084">
            <w:pPr>
              <w:pStyle w:val="TableTextBold"/>
              <w:rPr>
                <w:noProof w:val="0"/>
                <w:color w:val="FFFFFF"/>
              </w:rPr>
            </w:pPr>
            <w:r w:rsidRPr="00BE78CA">
              <w:rPr>
                <w:noProof w:val="0"/>
                <w:color w:val="FFFFFF"/>
              </w:rPr>
              <w:t>Reference</w:t>
            </w:r>
          </w:p>
        </w:tc>
      </w:tr>
      <w:tr w:rsidR="00FB19C0" w:rsidRPr="00BE78CA" w14:paraId="7CFFFA35" w14:textId="77777777" w:rsidTr="0011453B">
        <w:tc>
          <w:tcPr>
            <w:tcW w:w="2268" w:type="dxa"/>
            <w:tcBorders>
              <w:top w:val="single" w:sz="4" w:space="0" w:color="365F91"/>
              <w:left w:val="nil"/>
              <w:bottom w:val="single" w:sz="4" w:space="0" w:color="365F91"/>
              <w:right w:val="nil"/>
            </w:tcBorders>
            <w:hideMark/>
          </w:tcPr>
          <w:p w14:paraId="6D5D76BA" w14:textId="77777777" w:rsidR="00FB19C0" w:rsidRPr="00BE78CA" w:rsidRDefault="00FB19C0" w:rsidP="00C26084">
            <w:pPr>
              <w:pStyle w:val="TableText"/>
              <w:keepNext/>
              <w:spacing w:before="40" w:after="40"/>
            </w:pPr>
            <w:r w:rsidRPr="00BE78CA">
              <w:t>Degradable organic component (kg COD/tonne of product)</w:t>
            </w:r>
          </w:p>
        </w:tc>
        <w:tc>
          <w:tcPr>
            <w:tcW w:w="1429" w:type="dxa"/>
            <w:tcBorders>
              <w:top w:val="single" w:sz="4" w:space="0" w:color="365F91"/>
              <w:left w:val="nil"/>
              <w:bottom w:val="single" w:sz="4" w:space="0" w:color="365F91"/>
              <w:right w:val="nil"/>
            </w:tcBorders>
            <w:hideMark/>
          </w:tcPr>
          <w:p w14:paraId="35A0A01A" w14:textId="77777777" w:rsidR="00FB19C0" w:rsidRPr="00BE78CA" w:rsidRDefault="00FB19C0" w:rsidP="00C26084">
            <w:pPr>
              <w:pStyle w:val="TableText"/>
              <w:spacing w:before="40" w:after="40"/>
            </w:pPr>
            <w:r w:rsidRPr="00BE78CA">
              <w:t>36</w:t>
            </w:r>
          </w:p>
        </w:tc>
        <w:tc>
          <w:tcPr>
            <w:tcW w:w="1816" w:type="dxa"/>
            <w:tcBorders>
              <w:top w:val="single" w:sz="4" w:space="0" w:color="365F91"/>
              <w:left w:val="nil"/>
              <w:bottom w:val="single" w:sz="4" w:space="0" w:color="365F91"/>
              <w:right w:val="nil"/>
            </w:tcBorders>
            <w:hideMark/>
          </w:tcPr>
          <w:p w14:paraId="6E2AD9E3" w14:textId="77777777" w:rsidR="00FB19C0" w:rsidRPr="00BE78CA" w:rsidRDefault="00FB19C0" w:rsidP="00C26084">
            <w:pPr>
              <w:pStyle w:val="TableText"/>
              <w:spacing w:before="40" w:after="40"/>
            </w:pPr>
            <w:r w:rsidRPr="00BE78CA">
              <w:t>New Zealand specific</w:t>
            </w:r>
          </w:p>
        </w:tc>
        <w:tc>
          <w:tcPr>
            <w:tcW w:w="2850" w:type="dxa"/>
            <w:tcBorders>
              <w:top w:val="single" w:sz="4" w:space="0" w:color="365F91"/>
              <w:left w:val="nil"/>
              <w:bottom w:val="single" w:sz="4" w:space="0" w:color="365F91"/>
              <w:right w:val="nil"/>
            </w:tcBorders>
            <w:hideMark/>
          </w:tcPr>
          <w:p w14:paraId="7CF5CE80" w14:textId="77777777" w:rsidR="00FB19C0" w:rsidRPr="00BE78CA" w:rsidRDefault="00FB19C0" w:rsidP="00C26084">
            <w:pPr>
              <w:pStyle w:val="TableText"/>
              <w:spacing w:before="40" w:after="40"/>
            </w:pPr>
            <w:r w:rsidRPr="00BE78CA">
              <w:t>Beca Infrastructure Ltd (unpublished)</w:t>
            </w:r>
          </w:p>
        </w:tc>
      </w:tr>
      <w:tr w:rsidR="00FB19C0" w:rsidRPr="00BE78CA" w14:paraId="759F889C" w14:textId="77777777" w:rsidTr="0011453B">
        <w:tc>
          <w:tcPr>
            <w:tcW w:w="2268" w:type="dxa"/>
            <w:tcBorders>
              <w:top w:val="single" w:sz="4" w:space="0" w:color="365F91"/>
              <w:left w:val="nil"/>
              <w:bottom w:val="single" w:sz="4" w:space="0" w:color="365F91"/>
              <w:right w:val="nil"/>
            </w:tcBorders>
            <w:hideMark/>
          </w:tcPr>
          <w:p w14:paraId="032ED13F" w14:textId="77777777" w:rsidR="00FB19C0" w:rsidRPr="00BE78CA" w:rsidRDefault="00FB19C0" w:rsidP="00C26084">
            <w:pPr>
              <w:pStyle w:val="TableText"/>
              <w:keepNext/>
              <w:spacing w:before="40" w:after="40"/>
            </w:pPr>
            <w:r w:rsidRPr="00BE78CA">
              <w:t>Methane correction factor</w:t>
            </w:r>
          </w:p>
        </w:tc>
        <w:tc>
          <w:tcPr>
            <w:tcW w:w="1429" w:type="dxa"/>
            <w:tcBorders>
              <w:top w:val="single" w:sz="4" w:space="0" w:color="365F91"/>
              <w:left w:val="nil"/>
              <w:bottom w:val="single" w:sz="4" w:space="0" w:color="365F91"/>
              <w:right w:val="nil"/>
            </w:tcBorders>
            <w:hideMark/>
          </w:tcPr>
          <w:p w14:paraId="361E1975" w14:textId="77777777" w:rsidR="00FB19C0" w:rsidRPr="00BE78CA" w:rsidRDefault="00FB19C0" w:rsidP="00C26084">
            <w:pPr>
              <w:pStyle w:val="TableText"/>
              <w:spacing w:before="40" w:after="40"/>
            </w:pPr>
            <w:r w:rsidRPr="00BE78CA">
              <w:t>Range of 0–0.8</w:t>
            </w:r>
          </w:p>
        </w:tc>
        <w:tc>
          <w:tcPr>
            <w:tcW w:w="1816" w:type="dxa"/>
            <w:tcBorders>
              <w:top w:val="single" w:sz="4" w:space="0" w:color="365F91"/>
              <w:left w:val="nil"/>
              <w:bottom w:val="single" w:sz="4" w:space="0" w:color="365F91"/>
              <w:right w:val="nil"/>
            </w:tcBorders>
            <w:hideMark/>
          </w:tcPr>
          <w:p w14:paraId="3BC3607E" w14:textId="77777777" w:rsidR="00FB19C0" w:rsidRPr="00BE78CA" w:rsidRDefault="00FB19C0" w:rsidP="00C26084">
            <w:pPr>
              <w:pStyle w:val="TableText"/>
              <w:spacing w:before="40" w:after="40"/>
            </w:pPr>
            <w:r w:rsidRPr="00BE78CA">
              <w:t>New Zealand specific</w:t>
            </w:r>
          </w:p>
        </w:tc>
        <w:tc>
          <w:tcPr>
            <w:tcW w:w="2850" w:type="dxa"/>
            <w:tcBorders>
              <w:top w:val="single" w:sz="4" w:space="0" w:color="365F91"/>
              <w:left w:val="nil"/>
              <w:bottom w:val="single" w:sz="4" w:space="0" w:color="365F91"/>
              <w:right w:val="nil"/>
            </w:tcBorders>
            <w:hideMark/>
          </w:tcPr>
          <w:p w14:paraId="51599B16" w14:textId="77777777" w:rsidR="00FB19C0" w:rsidRPr="00BE78CA" w:rsidRDefault="00FB19C0" w:rsidP="00C26084">
            <w:pPr>
              <w:pStyle w:val="TableText"/>
              <w:spacing w:before="40" w:after="40"/>
            </w:pPr>
            <w:r w:rsidRPr="00BE78CA">
              <w:t>Beca Infrastructure Ltd (unpublished)</w:t>
            </w:r>
          </w:p>
        </w:tc>
      </w:tr>
      <w:tr w:rsidR="00FB19C0" w:rsidRPr="00BE78CA" w14:paraId="09A0E9A6" w14:textId="77777777" w:rsidTr="0011453B">
        <w:tc>
          <w:tcPr>
            <w:tcW w:w="2268" w:type="dxa"/>
            <w:tcBorders>
              <w:top w:val="single" w:sz="4" w:space="0" w:color="365F91"/>
              <w:left w:val="nil"/>
              <w:bottom w:val="single" w:sz="4" w:space="0" w:color="365F91"/>
              <w:right w:val="nil"/>
            </w:tcBorders>
            <w:hideMark/>
          </w:tcPr>
          <w:p w14:paraId="0448BEEA" w14:textId="77777777" w:rsidR="00FB19C0" w:rsidRPr="00BE78CA" w:rsidRDefault="00FB19C0" w:rsidP="00C26084">
            <w:pPr>
              <w:pStyle w:val="TableText"/>
              <w:spacing w:before="40" w:after="40"/>
            </w:pPr>
            <w:r w:rsidRPr="00BE78CA">
              <w:t>Maximum CH</w:t>
            </w:r>
            <w:r w:rsidRPr="00BE78CA">
              <w:rPr>
                <w:vertAlign w:val="subscript"/>
              </w:rPr>
              <w:t>4</w:t>
            </w:r>
            <w:r w:rsidRPr="00BE78CA">
              <w:t>-producing capacity (kg CH</w:t>
            </w:r>
            <w:r w:rsidRPr="00BE78CA">
              <w:rPr>
                <w:vertAlign w:val="subscript"/>
              </w:rPr>
              <w:t>4</w:t>
            </w:r>
            <w:r w:rsidRPr="00BE78CA">
              <w:t>/kg COD)</w:t>
            </w:r>
          </w:p>
        </w:tc>
        <w:tc>
          <w:tcPr>
            <w:tcW w:w="1429" w:type="dxa"/>
            <w:tcBorders>
              <w:top w:val="single" w:sz="4" w:space="0" w:color="365F91"/>
              <w:left w:val="nil"/>
              <w:bottom w:val="single" w:sz="4" w:space="0" w:color="365F91"/>
              <w:right w:val="nil"/>
            </w:tcBorders>
            <w:hideMark/>
          </w:tcPr>
          <w:p w14:paraId="75D0BC65" w14:textId="77777777" w:rsidR="00FB19C0" w:rsidRPr="00BE78CA" w:rsidRDefault="00FB19C0" w:rsidP="00C26084">
            <w:pPr>
              <w:pStyle w:val="TableText"/>
              <w:spacing w:before="40" w:after="40"/>
            </w:pPr>
            <w:r w:rsidRPr="00BE78CA">
              <w:t>0.25</w:t>
            </w:r>
          </w:p>
        </w:tc>
        <w:tc>
          <w:tcPr>
            <w:tcW w:w="1816" w:type="dxa"/>
            <w:tcBorders>
              <w:top w:val="single" w:sz="4" w:space="0" w:color="365F91"/>
              <w:left w:val="nil"/>
              <w:bottom w:val="single" w:sz="4" w:space="0" w:color="365F91"/>
              <w:right w:val="nil"/>
            </w:tcBorders>
            <w:hideMark/>
          </w:tcPr>
          <w:p w14:paraId="63D86108" w14:textId="77777777" w:rsidR="00FB19C0" w:rsidRPr="00BE78CA" w:rsidRDefault="00FB19C0" w:rsidP="00C26084">
            <w:pPr>
              <w:pStyle w:val="TableText"/>
              <w:spacing w:before="40" w:after="40"/>
            </w:pPr>
            <w:r w:rsidRPr="00BE78CA">
              <w:t xml:space="preserve">IPCC default </w:t>
            </w:r>
          </w:p>
        </w:tc>
        <w:tc>
          <w:tcPr>
            <w:tcW w:w="2850" w:type="dxa"/>
            <w:tcBorders>
              <w:top w:val="single" w:sz="4" w:space="0" w:color="365F91"/>
              <w:left w:val="nil"/>
              <w:bottom w:val="single" w:sz="4" w:space="0" w:color="365F91"/>
              <w:right w:val="nil"/>
            </w:tcBorders>
            <w:hideMark/>
          </w:tcPr>
          <w:p w14:paraId="7F0F50EF" w14:textId="77777777" w:rsidR="00FB19C0" w:rsidRPr="00BE78CA" w:rsidRDefault="00FB19C0" w:rsidP="00C26084">
            <w:pPr>
              <w:pStyle w:val="TableText"/>
              <w:spacing w:before="40" w:after="40"/>
            </w:pPr>
            <w:r w:rsidRPr="00BE78CA">
              <w:t>IPCC (2006a)</w:t>
            </w:r>
          </w:p>
        </w:tc>
      </w:tr>
      <w:tr w:rsidR="00FB19C0" w:rsidRPr="00BE78CA" w14:paraId="160DFD3F" w14:textId="77777777" w:rsidTr="0011453B">
        <w:tc>
          <w:tcPr>
            <w:tcW w:w="2268" w:type="dxa"/>
            <w:tcBorders>
              <w:top w:val="single" w:sz="4" w:space="0" w:color="365F91"/>
              <w:left w:val="nil"/>
              <w:bottom w:val="single" w:sz="4" w:space="0" w:color="365F91"/>
              <w:right w:val="nil"/>
            </w:tcBorders>
            <w:hideMark/>
          </w:tcPr>
          <w:p w14:paraId="7D302C7D" w14:textId="77777777" w:rsidR="00FB19C0" w:rsidRPr="00BE78CA" w:rsidRDefault="00FB19C0" w:rsidP="00C26084">
            <w:pPr>
              <w:pStyle w:val="TableText"/>
              <w:spacing w:before="40" w:after="40"/>
            </w:pPr>
            <w:r w:rsidRPr="00BE78CA">
              <w:t>Overall emission factor</w:t>
            </w:r>
          </w:p>
        </w:tc>
        <w:tc>
          <w:tcPr>
            <w:tcW w:w="1429" w:type="dxa"/>
            <w:tcBorders>
              <w:top w:val="single" w:sz="4" w:space="0" w:color="365F91"/>
              <w:left w:val="nil"/>
              <w:bottom w:val="single" w:sz="4" w:space="0" w:color="365F91"/>
              <w:right w:val="nil"/>
            </w:tcBorders>
            <w:hideMark/>
          </w:tcPr>
          <w:p w14:paraId="3C27B78A" w14:textId="77777777" w:rsidR="00FB19C0" w:rsidRPr="00BE78CA" w:rsidRDefault="00FB19C0" w:rsidP="00C26084">
            <w:pPr>
              <w:pStyle w:val="TableText"/>
              <w:spacing w:before="40" w:after="40"/>
            </w:pPr>
            <w:r w:rsidRPr="00BE78CA">
              <w:t>0.0117</w:t>
            </w:r>
          </w:p>
        </w:tc>
        <w:tc>
          <w:tcPr>
            <w:tcW w:w="1816" w:type="dxa"/>
            <w:tcBorders>
              <w:top w:val="single" w:sz="4" w:space="0" w:color="365F91"/>
              <w:left w:val="nil"/>
              <w:bottom w:val="single" w:sz="4" w:space="0" w:color="365F91"/>
              <w:right w:val="nil"/>
            </w:tcBorders>
            <w:hideMark/>
          </w:tcPr>
          <w:p w14:paraId="5AB8F3FC" w14:textId="77777777" w:rsidR="00FB19C0" w:rsidRPr="00BE78CA" w:rsidRDefault="00FB19C0" w:rsidP="00C26084">
            <w:pPr>
              <w:pStyle w:val="TableText"/>
              <w:spacing w:before="40" w:after="40"/>
            </w:pPr>
            <w:r w:rsidRPr="00BE78CA">
              <w:t>New Zealand specific</w:t>
            </w:r>
          </w:p>
        </w:tc>
        <w:tc>
          <w:tcPr>
            <w:tcW w:w="2850" w:type="dxa"/>
            <w:tcBorders>
              <w:top w:val="single" w:sz="4" w:space="0" w:color="365F91"/>
              <w:left w:val="nil"/>
              <w:bottom w:val="single" w:sz="4" w:space="0" w:color="365F91"/>
              <w:right w:val="nil"/>
            </w:tcBorders>
            <w:hideMark/>
          </w:tcPr>
          <w:p w14:paraId="0474F5FF" w14:textId="77777777" w:rsidR="00FB19C0" w:rsidRPr="00BE78CA" w:rsidRDefault="00FB19C0" w:rsidP="00C26084">
            <w:pPr>
              <w:pStyle w:val="TableText"/>
              <w:spacing w:before="40" w:after="40"/>
            </w:pPr>
            <w:r w:rsidRPr="00BE78CA">
              <w:t>Cardno (unpublished)</w:t>
            </w:r>
          </w:p>
        </w:tc>
      </w:tr>
    </w:tbl>
    <w:p w14:paraId="31B929E9" w14:textId="77777777" w:rsidR="00FB19C0" w:rsidRPr="00BE78CA" w:rsidRDefault="00FB19C0" w:rsidP="00FB19C0">
      <w:pPr>
        <w:pStyle w:val="Noteundertable"/>
      </w:pPr>
      <w:r w:rsidRPr="00BE78CA">
        <w:rPr>
          <w:b/>
        </w:rPr>
        <w:t>Note:</w:t>
      </w:r>
      <w:r w:rsidRPr="00BE78CA">
        <w:t xml:space="preserve"> </w:t>
      </w:r>
      <w:r w:rsidRPr="00BE78CA">
        <w:tab/>
        <w:t>COD = chemical oxygen demand.</w:t>
      </w:r>
    </w:p>
    <w:p w14:paraId="2789A930" w14:textId="77777777" w:rsidR="00FB19C0" w:rsidRPr="00BE78CA" w:rsidRDefault="00FB19C0" w:rsidP="00FB19C0">
      <w:pPr>
        <w:pStyle w:val="Heading6"/>
        <w:spacing w:before="100"/>
      </w:pPr>
      <w:r w:rsidRPr="00BE78CA">
        <w:rPr>
          <w:lang w:eastAsia="en-NZ"/>
        </w:rPr>
        <w:t>Recovery</w:t>
      </w:r>
    </w:p>
    <w:p w14:paraId="672C4C3C" w14:textId="77777777" w:rsidR="00FB19C0" w:rsidRPr="00BE78CA" w:rsidRDefault="00FB19C0" w:rsidP="00FB19C0">
      <w:pPr>
        <w:pStyle w:val="BodyText"/>
        <w:spacing w:before="80" w:after="0"/>
      </w:pPr>
      <w:r w:rsidRPr="00BE78CA">
        <w:t xml:space="preserve">There is no recovery of emissions reported for this source. </w:t>
      </w:r>
    </w:p>
    <w:p w14:paraId="297583AC" w14:textId="77777777" w:rsidR="00FB19C0" w:rsidRPr="00BE78CA" w:rsidRDefault="00FB19C0" w:rsidP="00FB19C0">
      <w:pPr>
        <w:pStyle w:val="Heading5"/>
        <w:spacing w:before="200"/>
      </w:pPr>
      <w:r w:rsidRPr="00BE78CA">
        <w:t>Methane emissions from industrial wastewater treatment – Wine</w:t>
      </w:r>
    </w:p>
    <w:p w14:paraId="1C492A37" w14:textId="77777777" w:rsidR="00FB19C0" w:rsidRPr="00BE78CA" w:rsidRDefault="00FB19C0" w:rsidP="00FB19C0">
      <w:pPr>
        <w:pStyle w:val="BodyText"/>
        <w:spacing w:before="80"/>
      </w:pPr>
      <w:r w:rsidRPr="00BE78CA">
        <w:t>Table 7.5.10 provides a summary of the parameter values applied for estimating CH</w:t>
      </w:r>
      <w:r w:rsidRPr="00BE78CA">
        <w:rPr>
          <w:vertAlign w:val="subscript"/>
        </w:rPr>
        <w:t>4</w:t>
      </w:r>
      <w:r w:rsidRPr="00BE78CA">
        <w:t xml:space="preserve"> emissions from wastewater treatment by the wine industry.</w:t>
      </w:r>
    </w:p>
    <w:p w14:paraId="3DE53375" w14:textId="77777777" w:rsidR="00FB19C0" w:rsidRPr="00BE78CA" w:rsidRDefault="00FB19C0" w:rsidP="00FB19C0">
      <w:pPr>
        <w:pStyle w:val="Table"/>
      </w:pPr>
      <w:bookmarkStart w:id="3106" w:name="_Toc32828545"/>
      <w:bookmarkStart w:id="3107" w:name="_Toc32591375"/>
      <w:bookmarkStart w:id="3108" w:name="_Toc5269587"/>
      <w:bookmarkStart w:id="3109" w:name="_Toc511116838"/>
      <w:bookmarkStart w:id="3110" w:name="_Toc508019340"/>
      <w:bookmarkStart w:id="3111" w:name="_Toc481751613"/>
      <w:bookmarkStart w:id="3112" w:name="_Toc451176183"/>
      <w:bookmarkStart w:id="3113" w:name="_Toc444001631"/>
      <w:bookmarkStart w:id="3114" w:name="_Toc36224668"/>
      <w:bookmarkStart w:id="3115" w:name="_Toc68786554"/>
      <w:r w:rsidRPr="00BE78CA">
        <w:t>Table 7.5.10</w:t>
      </w:r>
      <w:r w:rsidRPr="00BE78CA">
        <w:tab/>
        <w:t>Parameter values applied by New Zealand for estimating methane emissions</w:t>
      </w:r>
      <w:r w:rsidRPr="00BE78CA">
        <w:br/>
        <w:t>for wastewater treatment by the wine industry</w:t>
      </w:r>
      <w:bookmarkEnd w:id="3106"/>
      <w:bookmarkEnd w:id="3107"/>
      <w:bookmarkEnd w:id="3108"/>
      <w:bookmarkEnd w:id="3109"/>
      <w:bookmarkEnd w:id="3110"/>
      <w:bookmarkEnd w:id="3111"/>
      <w:bookmarkEnd w:id="3112"/>
      <w:bookmarkEnd w:id="3113"/>
      <w:bookmarkEnd w:id="3114"/>
      <w:bookmarkEnd w:id="3115"/>
    </w:p>
    <w:tbl>
      <w:tblPr>
        <w:tblW w:w="8505" w:type="dxa"/>
        <w:tblLook w:val="04A0" w:firstRow="1" w:lastRow="0" w:firstColumn="1" w:lastColumn="0" w:noHBand="0" w:noVBand="1"/>
      </w:tblPr>
      <w:tblGrid>
        <w:gridCol w:w="2395"/>
        <w:gridCol w:w="1269"/>
        <w:gridCol w:w="1690"/>
        <w:gridCol w:w="3151"/>
      </w:tblGrid>
      <w:tr w:rsidR="00FB19C0" w:rsidRPr="00BE78CA" w14:paraId="2ADC8453" w14:textId="77777777" w:rsidTr="00A9498A">
        <w:trPr>
          <w:tblHeader/>
        </w:trPr>
        <w:tc>
          <w:tcPr>
            <w:tcW w:w="2410" w:type="dxa"/>
            <w:tcBorders>
              <w:top w:val="single" w:sz="4" w:space="0" w:color="365F91"/>
              <w:left w:val="nil"/>
              <w:bottom w:val="single" w:sz="4" w:space="0" w:color="365F91"/>
              <w:right w:val="nil"/>
            </w:tcBorders>
            <w:shd w:val="clear" w:color="auto" w:fill="365F91"/>
            <w:hideMark/>
          </w:tcPr>
          <w:p w14:paraId="1CF3E12E" w14:textId="77777777" w:rsidR="00FB19C0" w:rsidRPr="00BE78CA" w:rsidRDefault="00FB19C0" w:rsidP="00C26084">
            <w:pPr>
              <w:pStyle w:val="TableTextBold"/>
              <w:keepNext/>
              <w:rPr>
                <w:noProof w:val="0"/>
                <w:color w:val="FFFFFF"/>
              </w:rPr>
            </w:pPr>
            <w:r w:rsidRPr="00BE78CA">
              <w:rPr>
                <w:noProof w:val="0"/>
                <w:color w:val="FFFFFF"/>
              </w:rPr>
              <w:t>Parameter</w:t>
            </w:r>
          </w:p>
        </w:tc>
        <w:tc>
          <w:tcPr>
            <w:tcW w:w="1276" w:type="dxa"/>
            <w:tcBorders>
              <w:top w:val="single" w:sz="4" w:space="0" w:color="365F91"/>
              <w:left w:val="nil"/>
              <w:bottom w:val="single" w:sz="4" w:space="0" w:color="365F91"/>
              <w:right w:val="nil"/>
            </w:tcBorders>
            <w:shd w:val="clear" w:color="auto" w:fill="365F91"/>
            <w:hideMark/>
          </w:tcPr>
          <w:p w14:paraId="531254BC" w14:textId="77777777" w:rsidR="00FB19C0" w:rsidRPr="00BE78CA" w:rsidRDefault="00FB19C0" w:rsidP="00C26084">
            <w:pPr>
              <w:pStyle w:val="TableTextBold"/>
              <w:keepNext/>
              <w:rPr>
                <w:noProof w:val="0"/>
                <w:color w:val="FFFFFF"/>
              </w:rPr>
            </w:pPr>
            <w:r w:rsidRPr="00BE78CA">
              <w:rPr>
                <w:noProof w:val="0"/>
                <w:color w:val="FFFFFF"/>
              </w:rPr>
              <w:t>Value</w:t>
            </w:r>
          </w:p>
        </w:tc>
        <w:tc>
          <w:tcPr>
            <w:tcW w:w="1701" w:type="dxa"/>
            <w:tcBorders>
              <w:top w:val="single" w:sz="4" w:space="0" w:color="365F91"/>
              <w:left w:val="nil"/>
              <w:bottom w:val="single" w:sz="4" w:space="0" w:color="365F91"/>
              <w:right w:val="nil"/>
            </w:tcBorders>
            <w:shd w:val="clear" w:color="auto" w:fill="365F91"/>
            <w:hideMark/>
          </w:tcPr>
          <w:p w14:paraId="0149A4E4" w14:textId="77777777" w:rsidR="00FB19C0" w:rsidRPr="00BE78CA" w:rsidRDefault="00FB19C0" w:rsidP="00C26084">
            <w:pPr>
              <w:pStyle w:val="TableTextBold"/>
              <w:keepNext/>
              <w:rPr>
                <w:noProof w:val="0"/>
                <w:color w:val="FFFFFF"/>
              </w:rPr>
            </w:pPr>
            <w:r w:rsidRPr="00BE78CA">
              <w:rPr>
                <w:noProof w:val="0"/>
                <w:color w:val="FFFFFF"/>
              </w:rPr>
              <w:t>Source</w:t>
            </w:r>
          </w:p>
        </w:tc>
        <w:tc>
          <w:tcPr>
            <w:tcW w:w="3175" w:type="dxa"/>
            <w:tcBorders>
              <w:top w:val="single" w:sz="4" w:space="0" w:color="365F91"/>
              <w:left w:val="nil"/>
              <w:bottom w:val="single" w:sz="4" w:space="0" w:color="365F91"/>
              <w:right w:val="nil"/>
            </w:tcBorders>
            <w:shd w:val="clear" w:color="auto" w:fill="365F91"/>
            <w:hideMark/>
          </w:tcPr>
          <w:p w14:paraId="01476439" w14:textId="77777777" w:rsidR="00FB19C0" w:rsidRPr="00BE78CA" w:rsidRDefault="00FB19C0" w:rsidP="00C26084">
            <w:pPr>
              <w:pStyle w:val="TableTextBold"/>
              <w:keepNext/>
              <w:rPr>
                <w:noProof w:val="0"/>
                <w:color w:val="FFFFFF"/>
              </w:rPr>
            </w:pPr>
            <w:r w:rsidRPr="00BE78CA">
              <w:rPr>
                <w:noProof w:val="0"/>
                <w:color w:val="FFFFFF"/>
              </w:rPr>
              <w:t>Reference</w:t>
            </w:r>
          </w:p>
        </w:tc>
      </w:tr>
      <w:tr w:rsidR="00FB19C0" w:rsidRPr="00BE78CA" w14:paraId="3C059EAA" w14:textId="77777777" w:rsidTr="00A9498A">
        <w:tc>
          <w:tcPr>
            <w:tcW w:w="2410" w:type="dxa"/>
            <w:tcBorders>
              <w:top w:val="single" w:sz="4" w:space="0" w:color="365F91"/>
              <w:left w:val="nil"/>
              <w:bottom w:val="single" w:sz="4" w:space="0" w:color="365F91"/>
              <w:right w:val="nil"/>
            </w:tcBorders>
            <w:hideMark/>
          </w:tcPr>
          <w:p w14:paraId="68CD2A2B" w14:textId="77777777" w:rsidR="00FB19C0" w:rsidRPr="00BE78CA" w:rsidRDefault="00FB19C0" w:rsidP="00C26084">
            <w:pPr>
              <w:pStyle w:val="TableText"/>
              <w:keepNext/>
              <w:spacing w:before="40" w:after="40"/>
            </w:pPr>
            <w:r w:rsidRPr="00BE78CA">
              <w:t>Degradable organic component (kg COD/tonne of product)</w:t>
            </w:r>
          </w:p>
        </w:tc>
        <w:tc>
          <w:tcPr>
            <w:tcW w:w="1276" w:type="dxa"/>
            <w:tcBorders>
              <w:top w:val="single" w:sz="4" w:space="0" w:color="365F91"/>
              <w:left w:val="nil"/>
              <w:bottom w:val="single" w:sz="4" w:space="0" w:color="365F91"/>
              <w:right w:val="nil"/>
            </w:tcBorders>
            <w:hideMark/>
          </w:tcPr>
          <w:p w14:paraId="21D7A627" w14:textId="77777777" w:rsidR="00FB19C0" w:rsidRPr="00BE78CA" w:rsidRDefault="00FB19C0" w:rsidP="00C26084">
            <w:pPr>
              <w:pStyle w:val="TableText"/>
              <w:keepNext/>
              <w:tabs>
                <w:tab w:val="decimal" w:pos="80"/>
              </w:tabs>
              <w:spacing w:before="40" w:after="40"/>
              <w:rPr>
                <w:highlight w:val="yellow"/>
              </w:rPr>
            </w:pPr>
            <w:r w:rsidRPr="00BE78CA">
              <w:t>12.42</w:t>
            </w:r>
          </w:p>
        </w:tc>
        <w:tc>
          <w:tcPr>
            <w:tcW w:w="1701" w:type="dxa"/>
            <w:tcBorders>
              <w:top w:val="single" w:sz="4" w:space="0" w:color="365F91"/>
              <w:left w:val="nil"/>
              <w:bottom w:val="single" w:sz="4" w:space="0" w:color="365F91"/>
              <w:right w:val="nil"/>
            </w:tcBorders>
            <w:hideMark/>
          </w:tcPr>
          <w:p w14:paraId="690DDEF6" w14:textId="77777777" w:rsidR="00FB19C0" w:rsidRPr="00BE78CA" w:rsidRDefault="00FB19C0" w:rsidP="00C26084">
            <w:pPr>
              <w:pStyle w:val="TableText"/>
              <w:keepNext/>
              <w:spacing w:before="40" w:after="40"/>
            </w:pPr>
            <w:r w:rsidRPr="00BE78CA">
              <w:t>New Zealand specific</w:t>
            </w:r>
          </w:p>
        </w:tc>
        <w:tc>
          <w:tcPr>
            <w:tcW w:w="3175" w:type="dxa"/>
            <w:tcBorders>
              <w:top w:val="single" w:sz="4" w:space="0" w:color="365F91"/>
              <w:left w:val="nil"/>
              <w:bottom w:val="single" w:sz="4" w:space="0" w:color="365F91"/>
              <w:right w:val="nil"/>
            </w:tcBorders>
            <w:hideMark/>
          </w:tcPr>
          <w:p w14:paraId="542F776E" w14:textId="77777777" w:rsidR="00FB19C0" w:rsidRPr="00BE78CA" w:rsidRDefault="00FB19C0" w:rsidP="00C26084">
            <w:pPr>
              <w:pStyle w:val="TableText"/>
              <w:keepNext/>
              <w:spacing w:before="40" w:after="40"/>
            </w:pPr>
            <w:r w:rsidRPr="00BE78CA">
              <w:t>Beca Infrastructure Ltd (unpublished)</w:t>
            </w:r>
          </w:p>
        </w:tc>
      </w:tr>
      <w:tr w:rsidR="00FB19C0" w:rsidRPr="00BE78CA" w14:paraId="4F15E87B" w14:textId="77777777" w:rsidTr="00A9498A">
        <w:tc>
          <w:tcPr>
            <w:tcW w:w="2410" w:type="dxa"/>
            <w:tcBorders>
              <w:top w:val="single" w:sz="4" w:space="0" w:color="365F91"/>
              <w:left w:val="nil"/>
              <w:bottom w:val="single" w:sz="4" w:space="0" w:color="365F91"/>
              <w:right w:val="nil"/>
            </w:tcBorders>
            <w:hideMark/>
          </w:tcPr>
          <w:p w14:paraId="3EA4A238" w14:textId="77777777" w:rsidR="00FB19C0" w:rsidRPr="00BE78CA" w:rsidRDefault="00FB19C0" w:rsidP="00C26084">
            <w:pPr>
              <w:pStyle w:val="TableText"/>
              <w:keepNext/>
              <w:spacing w:before="40" w:after="40"/>
            </w:pPr>
            <w:r w:rsidRPr="00BE78CA">
              <w:t>Methane correction factor</w:t>
            </w:r>
          </w:p>
        </w:tc>
        <w:tc>
          <w:tcPr>
            <w:tcW w:w="1276" w:type="dxa"/>
            <w:tcBorders>
              <w:top w:val="single" w:sz="4" w:space="0" w:color="365F91"/>
              <w:left w:val="nil"/>
              <w:bottom w:val="single" w:sz="4" w:space="0" w:color="365F91"/>
              <w:right w:val="nil"/>
            </w:tcBorders>
            <w:hideMark/>
          </w:tcPr>
          <w:p w14:paraId="4CF01C9A" w14:textId="77777777" w:rsidR="00FB19C0" w:rsidRPr="00BE78CA" w:rsidRDefault="00FB19C0" w:rsidP="00C26084">
            <w:pPr>
              <w:pStyle w:val="TableText"/>
              <w:keepNext/>
              <w:tabs>
                <w:tab w:val="decimal" w:pos="80"/>
              </w:tabs>
              <w:spacing w:before="40" w:after="40"/>
              <w:rPr>
                <w:highlight w:val="yellow"/>
              </w:rPr>
            </w:pPr>
            <w:r w:rsidRPr="00BE78CA">
              <w:t>Range of 0–0.5</w:t>
            </w:r>
          </w:p>
        </w:tc>
        <w:tc>
          <w:tcPr>
            <w:tcW w:w="1701" w:type="dxa"/>
            <w:tcBorders>
              <w:top w:val="single" w:sz="4" w:space="0" w:color="365F91"/>
              <w:left w:val="nil"/>
              <w:bottom w:val="single" w:sz="4" w:space="0" w:color="365F91"/>
              <w:right w:val="nil"/>
            </w:tcBorders>
            <w:hideMark/>
          </w:tcPr>
          <w:p w14:paraId="32862D1E" w14:textId="77777777" w:rsidR="00FB19C0" w:rsidRPr="00BE78CA" w:rsidRDefault="00FB19C0" w:rsidP="00C26084">
            <w:pPr>
              <w:pStyle w:val="TableText"/>
              <w:keepNext/>
              <w:spacing w:before="40" w:after="40"/>
            </w:pPr>
            <w:r w:rsidRPr="00BE78CA">
              <w:t>New Zealand specific</w:t>
            </w:r>
          </w:p>
        </w:tc>
        <w:tc>
          <w:tcPr>
            <w:tcW w:w="3175" w:type="dxa"/>
            <w:tcBorders>
              <w:top w:val="single" w:sz="4" w:space="0" w:color="365F91"/>
              <w:left w:val="nil"/>
              <w:bottom w:val="single" w:sz="4" w:space="0" w:color="365F91"/>
              <w:right w:val="nil"/>
            </w:tcBorders>
            <w:hideMark/>
          </w:tcPr>
          <w:p w14:paraId="607DA453" w14:textId="77777777" w:rsidR="00FB19C0" w:rsidRPr="00BE78CA" w:rsidRDefault="00FB19C0" w:rsidP="00C26084">
            <w:pPr>
              <w:pStyle w:val="TableText"/>
              <w:keepNext/>
              <w:spacing w:before="40" w:after="40"/>
            </w:pPr>
            <w:r w:rsidRPr="00BE78CA">
              <w:t>Beca Infrastructure Ltd (unpublished)</w:t>
            </w:r>
          </w:p>
        </w:tc>
      </w:tr>
      <w:tr w:rsidR="00FB19C0" w:rsidRPr="00BE78CA" w14:paraId="1C31980F" w14:textId="77777777" w:rsidTr="00A9498A">
        <w:tc>
          <w:tcPr>
            <w:tcW w:w="2410" w:type="dxa"/>
            <w:tcBorders>
              <w:top w:val="single" w:sz="4" w:space="0" w:color="365F91"/>
              <w:left w:val="nil"/>
              <w:bottom w:val="single" w:sz="4" w:space="0" w:color="365F91"/>
              <w:right w:val="nil"/>
            </w:tcBorders>
            <w:hideMark/>
          </w:tcPr>
          <w:p w14:paraId="168498D8" w14:textId="77777777" w:rsidR="00FB19C0" w:rsidRPr="00BE78CA" w:rsidRDefault="00FB19C0" w:rsidP="00C26084">
            <w:pPr>
              <w:pStyle w:val="TableText"/>
              <w:spacing w:before="40" w:after="40"/>
            </w:pPr>
            <w:r w:rsidRPr="00BE78CA">
              <w:t>Maximum CH</w:t>
            </w:r>
            <w:r w:rsidRPr="00BE78CA">
              <w:rPr>
                <w:vertAlign w:val="subscript"/>
              </w:rPr>
              <w:t>4</w:t>
            </w:r>
            <w:r w:rsidRPr="00BE78CA">
              <w:t>-producing capacity (kg CH</w:t>
            </w:r>
            <w:r w:rsidRPr="00BE78CA">
              <w:rPr>
                <w:vertAlign w:val="subscript"/>
              </w:rPr>
              <w:t>4</w:t>
            </w:r>
            <w:r w:rsidRPr="00BE78CA">
              <w:t>/kg COD)</w:t>
            </w:r>
          </w:p>
        </w:tc>
        <w:tc>
          <w:tcPr>
            <w:tcW w:w="1276" w:type="dxa"/>
            <w:tcBorders>
              <w:top w:val="single" w:sz="4" w:space="0" w:color="365F91"/>
              <w:left w:val="nil"/>
              <w:bottom w:val="single" w:sz="4" w:space="0" w:color="365F91"/>
              <w:right w:val="nil"/>
            </w:tcBorders>
            <w:hideMark/>
          </w:tcPr>
          <w:p w14:paraId="77E847FE" w14:textId="77777777" w:rsidR="00FB19C0" w:rsidRPr="00BE78CA" w:rsidRDefault="00FB19C0" w:rsidP="00C26084">
            <w:pPr>
              <w:pStyle w:val="TableText"/>
              <w:tabs>
                <w:tab w:val="decimal" w:pos="80"/>
              </w:tabs>
              <w:spacing w:before="40" w:after="40"/>
            </w:pPr>
            <w:r w:rsidRPr="00BE78CA">
              <w:t>0.25</w:t>
            </w:r>
          </w:p>
        </w:tc>
        <w:tc>
          <w:tcPr>
            <w:tcW w:w="1701" w:type="dxa"/>
            <w:tcBorders>
              <w:top w:val="single" w:sz="4" w:space="0" w:color="365F91"/>
              <w:left w:val="nil"/>
              <w:bottom w:val="single" w:sz="4" w:space="0" w:color="365F91"/>
              <w:right w:val="nil"/>
            </w:tcBorders>
            <w:hideMark/>
          </w:tcPr>
          <w:p w14:paraId="251EDDF3" w14:textId="77777777" w:rsidR="00FB19C0" w:rsidRPr="00BE78CA" w:rsidRDefault="00FB19C0" w:rsidP="00C26084">
            <w:pPr>
              <w:pStyle w:val="TableText"/>
              <w:spacing w:before="40" w:after="40"/>
            </w:pPr>
            <w:r w:rsidRPr="00BE78CA">
              <w:t xml:space="preserve">IPCC default </w:t>
            </w:r>
          </w:p>
        </w:tc>
        <w:tc>
          <w:tcPr>
            <w:tcW w:w="3175" w:type="dxa"/>
            <w:tcBorders>
              <w:top w:val="single" w:sz="4" w:space="0" w:color="365F91"/>
              <w:left w:val="nil"/>
              <w:bottom w:val="single" w:sz="4" w:space="0" w:color="365F91"/>
              <w:right w:val="nil"/>
            </w:tcBorders>
            <w:hideMark/>
          </w:tcPr>
          <w:p w14:paraId="2C3584BA" w14:textId="77777777" w:rsidR="00FB19C0" w:rsidRPr="00BE78CA" w:rsidRDefault="00FB19C0" w:rsidP="00C26084">
            <w:pPr>
              <w:pStyle w:val="TableText"/>
              <w:spacing w:before="40" w:after="40"/>
            </w:pPr>
            <w:r w:rsidRPr="00BE78CA">
              <w:t>IPCC (2006a)</w:t>
            </w:r>
          </w:p>
        </w:tc>
      </w:tr>
      <w:tr w:rsidR="00FB19C0" w:rsidRPr="00BE78CA" w14:paraId="5F381EE0" w14:textId="77777777" w:rsidTr="00A9498A">
        <w:tc>
          <w:tcPr>
            <w:tcW w:w="2410" w:type="dxa"/>
            <w:tcBorders>
              <w:top w:val="single" w:sz="4" w:space="0" w:color="365F91"/>
              <w:left w:val="nil"/>
              <w:bottom w:val="single" w:sz="4" w:space="0" w:color="365F91"/>
              <w:right w:val="nil"/>
            </w:tcBorders>
            <w:hideMark/>
          </w:tcPr>
          <w:p w14:paraId="35A32BAD" w14:textId="77777777" w:rsidR="00FB19C0" w:rsidRPr="00BE78CA" w:rsidRDefault="00FB19C0" w:rsidP="00C26084">
            <w:pPr>
              <w:pStyle w:val="TableText"/>
              <w:spacing w:before="40" w:after="40"/>
            </w:pPr>
            <w:r w:rsidRPr="00BE78CA">
              <w:t>Overall emission factor</w:t>
            </w:r>
          </w:p>
        </w:tc>
        <w:tc>
          <w:tcPr>
            <w:tcW w:w="1276" w:type="dxa"/>
            <w:tcBorders>
              <w:top w:val="single" w:sz="4" w:space="0" w:color="365F91"/>
              <w:left w:val="nil"/>
              <w:bottom w:val="single" w:sz="4" w:space="0" w:color="365F91"/>
              <w:right w:val="nil"/>
            </w:tcBorders>
            <w:hideMark/>
          </w:tcPr>
          <w:p w14:paraId="4FCF567A" w14:textId="77777777" w:rsidR="00FB19C0" w:rsidRPr="00BE78CA" w:rsidRDefault="00FB19C0" w:rsidP="00C26084">
            <w:pPr>
              <w:pStyle w:val="TableText"/>
              <w:tabs>
                <w:tab w:val="decimal" w:pos="80"/>
              </w:tabs>
              <w:spacing w:before="40" w:after="40"/>
            </w:pPr>
            <w:r w:rsidRPr="00BE78CA">
              <w:t>0.0167</w:t>
            </w:r>
          </w:p>
        </w:tc>
        <w:tc>
          <w:tcPr>
            <w:tcW w:w="1701" w:type="dxa"/>
            <w:tcBorders>
              <w:top w:val="single" w:sz="4" w:space="0" w:color="365F91"/>
              <w:left w:val="nil"/>
              <w:bottom w:val="single" w:sz="4" w:space="0" w:color="365F91"/>
              <w:right w:val="nil"/>
            </w:tcBorders>
            <w:hideMark/>
          </w:tcPr>
          <w:p w14:paraId="60355CDC" w14:textId="77777777" w:rsidR="00FB19C0" w:rsidRPr="00BE78CA" w:rsidRDefault="00FB19C0" w:rsidP="00C26084">
            <w:pPr>
              <w:pStyle w:val="TableText"/>
              <w:spacing w:before="40" w:after="40"/>
            </w:pPr>
            <w:r w:rsidRPr="00BE78CA">
              <w:t>New Zealand specific</w:t>
            </w:r>
          </w:p>
        </w:tc>
        <w:tc>
          <w:tcPr>
            <w:tcW w:w="3175" w:type="dxa"/>
            <w:tcBorders>
              <w:top w:val="single" w:sz="4" w:space="0" w:color="365F91"/>
              <w:left w:val="nil"/>
              <w:bottom w:val="single" w:sz="4" w:space="0" w:color="365F91"/>
              <w:right w:val="nil"/>
            </w:tcBorders>
            <w:hideMark/>
          </w:tcPr>
          <w:p w14:paraId="7A385C41" w14:textId="77777777" w:rsidR="00FB19C0" w:rsidRPr="00BE78CA" w:rsidRDefault="00FB19C0" w:rsidP="00C26084">
            <w:pPr>
              <w:pStyle w:val="TableText"/>
              <w:spacing w:before="40" w:after="40"/>
            </w:pPr>
            <w:r w:rsidRPr="00BE78CA">
              <w:t>Cardno (unpublished)</w:t>
            </w:r>
          </w:p>
        </w:tc>
      </w:tr>
    </w:tbl>
    <w:p w14:paraId="07055B8F" w14:textId="77777777" w:rsidR="00FB19C0" w:rsidRPr="00BE78CA" w:rsidRDefault="00FB19C0" w:rsidP="00FB19C0">
      <w:pPr>
        <w:pStyle w:val="Noteundertable"/>
      </w:pPr>
      <w:r w:rsidRPr="00BE78CA">
        <w:rPr>
          <w:b/>
        </w:rPr>
        <w:t>Note:</w:t>
      </w:r>
      <w:r w:rsidRPr="00BE78CA">
        <w:t xml:space="preserve"> </w:t>
      </w:r>
      <w:r w:rsidRPr="00BE78CA">
        <w:tab/>
        <w:t>COD = chemical oxygen demand.</w:t>
      </w:r>
    </w:p>
    <w:p w14:paraId="73962ACD" w14:textId="77777777" w:rsidR="00FB19C0" w:rsidRPr="00BE78CA" w:rsidRDefault="00FB19C0" w:rsidP="00FB19C0">
      <w:pPr>
        <w:pStyle w:val="Heading6"/>
        <w:spacing w:before="100"/>
      </w:pPr>
      <w:r w:rsidRPr="00BE78CA">
        <w:rPr>
          <w:lang w:eastAsia="en-NZ"/>
        </w:rPr>
        <w:t>Recovery</w:t>
      </w:r>
    </w:p>
    <w:p w14:paraId="62F500F8" w14:textId="77777777" w:rsidR="00FB19C0" w:rsidRPr="00BE78CA" w:rsidRDefault="00FB19C0" w:rsidP="00283903">
      <w:pPr>
        <w:pStyle w:val="BodyText"/>
        <w:spacing w:before="80"/>
      </w:pPr>
      <w:r w:rsidRPr="00BE78CA">
        <w:t xml:space="preserve">There is no recovery of emissions reported for this source. </w:t>
      </w:r>
    </w:p>
    <w:p w14:paraId="6C3305BB" w14:textId="77777777" w:rsidR="00FB19C0" w:rsidRPr="00BE78CA" w:rsidRDefault="00FB19C0" w:rsidP="00F37E7A">
      <w:pPr>
        <w:pStyle w:val="Heading5"/>
      </w:pPr>
      <w:r w:rsidRPr="00BE78CA">
        <w:lastRenderedPageBreak/>
        <w:t>Methane emissions from industrial wastewater treatment – Wool scouring industry</w:t>
      </w:r>
    </w:p>
    <w:p w14:paraId="7C6FB664" w14:textId="77777777" w:rsidR="00FB19C0" w:rsidRPr="00BE78CA" w:rsidRDefault="00FB19C0" w:rsidP="00FB19C0">
      <w:pPr>
        <w:pStyle w:val="BodyText"/>
        <w:spacing w:before="80" w:after="100"/>
      </w:pPr>
      <w:r w:rsidRPr="00BE78CA">
        <w:t>Table 7.5.11 provides a summary of the parameter values applied for estimating CH</w:t>
      </w:r>
      <w:r w:rsidRPr="00BE78CA">
        <w:rPr>
          <w:vertAlign w:val="subscript"/>
        </w:rPr>
        <w:t>4</w:t>
      </w:r>
      <w:r w:rsidRPr="00BE78CA">
        <w:t xml:space="preserve"> emissions from wastewater treatment by the wool scouring industry.</w:t>
      </w:r>
    </w:p>
    <w:p w14:paraId="64B5040D" w14:textId="77777777" w:rsidR="00FB19C0" w:rsidRPr="00BE78CA" w:rsidRDefault="00FB19C0" w:rsidP="00FB19C0">
      <w:pPr>
        <w:pStyle w:val="Table"/>
      </w:pPr>
      <w:bookmarkStart w:id="3116" w:name="_Toc32828546"/>
      <w:bookmarkStart w:id="3117" w:name="_Toc32591376"/>
      <w:bookmarkStart w:id="3118" w:name="_Toc5269588"/>
      <w:bookmarkStart w:id="3119" w:name="_Toc511116839"/>
      <w:bookmarkStart w:id="3120" w:name="_Toc508019341"/>
      <w:bookmarkStart w:id="3121" w:name="_Toc481751614"/>
      <w:bookmarkStart w:id="3122" w:name="_Toc451176184"/>
      <w:bookmarkStart w:id="3123" w:name="_Toc444001632"/>
      <w:bookmarkStart w:id="3124" w:name="_Toc321399255"/>
      <w:bookmarkStart w:id="3125" w:name="_Toc36224669"/>
      <w:bookmarkStart w:id="3126" w:name="_Toc68786555"/>
      <w:r w:rsidRPr="00BE78CA">
        <w:t>Table 7.5.11</w:t>
      </w:r>
      <w:r w:rsidRPr="00BE78CA">
        <w:tab/>
        <w:t>Parameter values applied by New Zealand for estimating methane emissions</w:t>
      </w:r>
      <w:r w:rsidRPr="00BE78CA">
        <w:br/>
        <w:t>for wastewater treatment by the wool scouring industry</w:t>
      </w:r>
      <w:bookmarkEnd w:id="3116"/>
      <w:bookmarkEnd w:id="3117"/>
      <w:bookmarkEnd w:id="3118"/>
      <w:bookmarkEnd w:id="3119"/>
      <w:bookmarkEnd w:id="3120"/>
      <w:bookmarkEnd w:id="3121"/>
      <w:bookmarkEnd w:id="3122"/>
      <w:bookmarkEnd w:id="3123"/>
      <w:bookmarkEnd w:id="3124"/>
      <w:bookmarkEnd w:id="3125"/>
      <w:bookmarkEnd w:id="3126"/>
    </w:p>
    <w:tbl>
      <w:tblPr>
        <w:tblW w:w="8505" w:type="dxa"/>
        <w:tblBorders>
          <w:top w:val="single" w:sz="8" w:space="0" w:color="5B9BD5"/>
          <w:bottom w:val="single" w:sz="8" w:space="0" w:color="5B9BD5"/>
          <w:insideH w:val="single" w:sz="8" w:space="0" w:color="5B9BD5"/>
        </w:tblBorders>
        <w:tblLook w:val="04A0" w:firstRow="1" w:lastRow="0" w:firstColumn="1" w:lastColumn="0" w:noHBand="0" w:noVBand="1"/>
      </w:tblPr>
      <w:tblGrid>
        <w:gridCol w:w="2694"/>
        <w:gridCol w:w="856"/>
        <w:gridCol w:w="1837"/>
        <w:gridCol w:w="3118"/>
      </w:tblGrid>
      <w:tr w:rsidR="00FB19C0" w:rsidRPr="00BE78CA" w14:paraId="57BBD459" w14:textId="77777777" w:rsidTr="00A9498A">
        <w:tc>
          <w:tcPr>
            <w:tcW w:w="2694" w:type="dxa"/>
            <w:tcBorders>
              <w:top w:val="single" w:sz="4" w:space="0" w:color="365F91"/>
              <w:left w:val="nil"/>
              <w:bottom w:val="single" w:sz="4" w:space="0" w:color="365F91"/>
              <w:right w:val="nil"/>
            </w:tcBorders>
            <w:shd w:val="clear" w:color="auto" w:fill="365F91"/>
            <w:hideMark/>
          </w:tcPr>
          <w:p w14:paraId="0F694BF4" w14:textId="77777777" w:rsidR="00FB19C0" w:rsidRPr="00BE78CA" w:rsidRDefault="00FB19C0" w:rsidP="00C26084">
            <w:pPr>
              <w:pStyle w:val="TableTextBold"/>
              <w:keepNext/>
              <w:rPr>
                <w:noProof w:val="0"/>
                <w:color w:val="FFFFFF"/>
              </w:rPr>
            </w:pPr>
            <w:r w:rsidRPr="00BE78CA">
              <w:rPr>
                <w:noProof w:val="0"/>
                <w:color w:val="FFFFFF"/>
              </w:rPr>
              <w:t>Parameter</w:t>
            </w:r>
          </w:p>
        </w:tc>
        <w:tc>
          <w:tcPr>
            <w:tcW w:w="856" w:type="dxa"/>
            <w:tcBorders>
              <w:top w:val="single" w:sz="4" w:space="0" w:color="365F91"/>
              <w:left w:val="nil"/>
              <w:bottom w:val="single" w:sz="4" w:space="0" w:color="365F91"/>
              <w:right w:val="nil"/>
            </w:tcBorders>
            <w:shd w:val="clear" w:color="auto" w:fill="365F91"/>
            <w:hideMark/>
          </w:tcPr>
          <w:p w14:paraId="55939253" w14:textId="77777777" w:rsidR="00FB19C0" w:rsidRPr="00BE78CA" w:rsidRDefault="00FB19C0" w:rsidP="00C26084">
            <w:pPr>
              <w:pStyle w:val="TableTextBold"/>
              <w:keepNext/>
              <w:jc w:val="center"/>
              <w:rPr>
                <w:noProof w:val="0"/>
                <w:color w:val="FFFFFF"/>
              </w:rPr>
            </w:pPr>
            <w:r w:rsidRPr="00BE78CA">
              <w:rPr>
                <w:noProof w:val="0"/>
                <w:color w:val="FFFFFF"/>
              </w:rPr>
              <w:t>Value</w:t>
            </w:r>
          </w:p>
        </w:tc>
        <w:tc>
          <w:tcPr>
            <w:tcW w:w="1837" w:type="dxa"/>
            <w:tcBorders>
              <w:top w:val="single" w:sz="4" w:space="0" w:color="365F91"/>
              <w:left w:val="nil"/>
              <w:bottom w:val="single" w:sz="4" w:space="0" w:color="365F91"/>
              <w:right w:val="nil"/>
            </w:tcBorders>
            <w:shd w:val="clear" w:color="auto" w:fill="365F91"/>
            <w:hideMark/>
          </w:tcPr>
          <w:p w14:paraId="19616D52" w14:textId="77777777" w:rsidR="00FB19C0" w:rsidRPr="00BE78CA" w:rsidRDefault="00FB19C0" w:rsidP="00C26084">
            <w:pPr>
              <w:pStyle w:val="TableTextBold"/>
              <w:keepNext/>
              <w:rPr>
                <w:noProof w:val="0"/>
                <w:color w:val="FFFFFF"/>
              </w:rPr>
            </w:pPr>
            <w:r w:rsidRPr="00BE78CA">
              <w:rPr>
                <w:noProof w:val="0"/>
                <w:color w:val="FFFFFF"/>
              </w:rPr>
              <w:t>Source</w:t>
            </w:r>
          </w:p>
        </w:tc>
        <w:tc>
          <w:tcPr>
            <w:tcW w:w="3118" w:type="dxa"/>
            <w:tcBorders>
              <w:top w:val="single" w:sz="4" w:space="0" w:color="365F91"/>
              <w:left w:val="nil"/>
              <w:bottom w:val="single" w:sz="4" w:space="0" w:color="365F91"/>
              <w:right w:val="nil"/>
            </w:tcBorders>
            <w:shd w:val="clear" w:color="auto" w:fill="365F91"/>
            <w:hideMark/>
          </w:tcPr>
          <w:p w14:paraId="49AB9D3C" w14:textId="77777777" w:rsidR="00FB19C0" w:rsidRPr="00BE78CA" w:rsidRDefault="00FB19C0" w:rsidP="00C26084">
            <w:pPr>
              <w:pStyle w:val="TableTextBold"/>
              <w:keepNext/>
              <w:rPr>
                <w:noProof w:val="0"/>
                <w:color w:val="FFFFFF"/>
              </w:rPr>
            </w:pPr>
            <w:r w:rsidRPr="00BE78CA">
              <w:rPr>
                <w:noProof w:val="0"/>
                <w:color w:val="FFFFFF"/>
              </w:rPr>
              <w:t>Reference</w:t>
            </w:r>
          </w:p>
        </w:tc>
      </w:tr>
      <w:tr w:rsidR="00FB19C0" w:rsidRPr="00BE78CA" w14:paraId="3F89C341" w14:textId="77777777" w:rsidTr="00A9498A">
        <w:tc>
          <w:tcPr>
            <w:tcW w:w="2694" w:type="dxa"/>
            <w:tcBorders>
              <w:top w:val="single" w:sz="4" w:space="0" w:color="365F91"/>
              <w:left w:val="nil"/>
              <w:bottom w:val="single" w:sz="4" w:space="0" w:color="365F91"/>
              <w:right w:val="nil"/>
            </w:tcBorders>
            <w:hideMark/>
          </w:tcPr>
          <w:p w14:paraId="5BCE3418" w14:textId="77777777" w:rsidR="00FB19C0" w:rsidRPr="00BE78CA" w:rsidRDefault="00FB19C0" w:rsidP="00C26084">
            <w:pPr>
              <w:pStyle w:val="TableText"/>
              <w:spacing w:before="40" w:after="40"/>
            </w:pPr>
            <w:r w:rsidRPr="00BE78CA">
              <w:t>Degradable organic component (kg COD/tonne of product)</w:t>
            </w:r>
          </w:p>
        </w:tc>
        <w:tc>
          <w:tcPr>
            <w:tcW w:w="856" w:type="dxa"/>
            <w:tcBorders>
              <w:top w:val="single" w:sz="4" w:space="0" w:color="365F91"/>
              <w:left w:val="nil"/>
              <w:bottom w:val="single" w:sz="4" w:space="0" w:color="365F91"/>
              <w:right w:val="nil"/>
            </w:tcBorders>
            <w:hideMark/>
          </w:tcPr>
          <w:p w14:paraId="10B16DCA" w14:textId="77777777" w:rsidR="00FB19C0" w:rsidRPr="00BE78CA" w:rsidRDefault="00FB19C0" w:rsidP="00C26084">
            <w:pPr>
              <w:pStyle w:val="TableText"/>
              <w:spacing w:before="40" w:after="40"/>
              <w:jc w:val="center"/>
            </w:pPr>
            <w:r w:rsidRPr="00BE78CA">
              <w:t>22</w:t>
            </w:r>
          </w:p>
        </w:tc>
        <w:tc>
          <w:tcPr>
            <w:tcW w:w="1837" w:type="dxa"/>
            <w:tcBorders>
              <w:top w:val="single" w:sz="4" w:space="0" w:color="365F91"/>
              <w:left w:val="nil"/>
              <w:bottom w:val="single" w:sz="4" w:space="0" w:color="365F91"/>
              <w:right w:val="nil"/>
            </w:tcBorders>
            <w:hideMark/>
          </w:tcPr>
          <w:p w14:paraId="01CD9589" w14:textId="77777777" w:rsidR="00FB19C0" w:rsidRPr="00BE78CA" w:rsidRDefault="00FB19C0" w:rsidP="00C26084">
            <w:pPr>
              <w:pStyle w:val="TableText"/>
              <w:spacing w:before="40" w:after="40"/>
            </w:pPr>
            <w:r w:rsidRPr="00BE78CA">
              <w:t>New Zealand specific</w:t>
            </w:r>
          </w:p>
        </w:tc>
        <w:tc>
          <w:tcPr>
            <w:tcW w:w="3118" w:type="dxa"/>
            <w:tcBorders>
              <w:top w:val="single" w:sz="4" w:space="0" w:color="365F91"/>
              <w:left w:val="nil"/>
              <w:bottom w:val="single" w:sz="4" w:space="0" w:color="365F91"/>
              <w:right w:val="nil"/>
            </w:tcBorders>
            <w:hideMark/>
          </w:tcPr>
          <w:p w14:paraId="46EE5042" w14:textId="77777777" w:rsidR="00FB19C0" w:rsidRPr="00BE78CA" w:rsidRDefault="00FB19C0" w:rsidP="00C26084">
            <w:pPr>
              <w:pStyle w:val="TableText"/>
              <w:spacing w:before="40" w:after="40"/>
            </w:pPr>
            <w:r w:rsidRPr="00BE78CA">
              <w:t>SCS Wetherill Environmental (unpublished)</w:t>
            </w:r>
          </w:p>
        </w:tc>
      </w:tr>
      <w:tr w:rsidR="00FB19C0" w:rsidRPr="00BE78CA" w14:paraId="6AB267F7" w14:textId="77777777" w:rsidTr="00A9498A">
        <w:tc>
          <w:tcPr>
            <w:tcW w:w="2694" w:type="dxa"/>
            <w:tcBorders>
              <w:top w:val="single" w:sz="4" w:space="0" w:color="365F91"/>
              <w:left w:val="nil"/>
              <w:bottom w:val="single" w:sz="4" w:space="0" w:color="365F91"/>
              <w:right w:val="nil"/>
            </w:tcBorders>
            <w:hideMark/>
          </w:tcPr>
          <w:p w14:paraId="231465D6" w14:textId="77777777" w:rsidR="00FB19C0" w:rsidRPr="00BE78CA" w:rsidRDefault="00FB19C0" w:rsidP="00C26084">
            <w:pPr>
              <w:pStyle w:val="TableText"/>
              <w:spacing w:before="40" w:after="40"/>
            </w:pPr>
            <w:r w:rsidRPr="00BE78CA">
              <w:t xml:space="preserve">Methane correction factor </w:t>
            </w:r>
          </w:p>
        </w:tc>
        <w:tc>
          <w:tcPr>
            <w:tcW w:w="856" w:type="dxa"/>
            <w:tcBorders>
              <w:top w:val="single" w:sz="4" w:space="0" w:color="365F91"/>
              <w:left w:val="nil"/>
              <w:bottom w:val="single" w:sz="4" w:space="0" w:color="365F91"/>
              <w:right w:val="nil"/>
            </w:tcBorders>
            <w:hideMark/>
          </w:tcPr>
          <w:p w14:paraId="609398AF" w14:textId="77777777" w:rsidR="00FB19C0" w:rsidRPr="00BE78CA" w:rsidRDefault="00FB19C0" w:rsidP="00C26084">
            <w:pPr>
              <w:pStyle w:val="TableText"/>
              <w:keepNext/>
              <w:spacing w:before="40" w:after="40"/>
              <w:jc w:val="center"/>
            </w:pPr>
            <w:r w:rsidRPr="00BE78CA">
              <w:t>0.29</w:t>
            </w:r>
          </w:p>
        </w:tc>
        <w:tc>
          <w:tcPr>
            <w:tcW w:w="1837" w:type="dxa"/>
            <w:tcBorders>
              <w:top w:val="single" w:sz="4" w:space="0" w:color="365F91"/>
              <w:left w:val="nil"/>
              <w:bottom w:val="single" w:sz="4" w:space="0" w:color="365F91"/>
              <w:right w:val="nil"/>
            </w:tcBorders>
            <w:hideMark/>
          </w:tcPr>
          <w:p w14:paraId="19555887" w14:textId="77777777" w:rsidR="00FB19C0" w:rsidRPr="00BE78CA" w:rsidRDefault="00FB19C0" w:rsidP="00C26084">
            <w:pPr>
              <w:pStyle w:val="TableText"/>
              <w:keepNext/>
              <w:spacing w:before="40" w:after="40"/>
            </w:pPr>
            <w:r w:rsidRPr="00BE78CA">
              <w:t>New Zealand specific</w:t>
            </w:r>
          </w:p>
        </w:tc>
        <w:tc>
          <w:tcPr>
            <w:tcW w:w="3118" w:type="dxa"/>
            <w:tcBorders>
              <w:top w:val="single" w:sz="4" w:space="0" w:color="365F91"/>
              <w:left w:val="nil"/>
              <w:bottom w:val="single" w:sz="4" w:space="0" w:color="365F91"/>
              <w:right w:val="nil"/>
            </w:tcBorders>
            <w:hideMark/>
          </w:tcPr>
          <w:p w14:paraId="7A31FC8B" w14:textId="77777777" w:rsidR="00FB19C0" w:rsidRPr="00BE78CA" w:rsidRDefault="00FB19C0" w:rsidP="00C26084">
            <w:pPr>
              <w:pStyle w:val="TableText"/>
              <w:keepNext/>
              <w:spacing w:before="40" w:after="40"/>
            </w:pPr>
            <w:r w:rsidRPr="00BE78CA">
              <w:t>SCS Wetherill Environmental (unpublished)</w:t>
            </w:r>
          </w:p>
        </w:tc>
      </w:tr>
      <w:tr w:rsidR="00FB19C0" w:rsidRPr="00BE78CA" w14:paraId="3EEC48A5" w14:textId="77777777" w:rsidTr="00A9498A">
        <w:tc>
          <w:tcPr>
            <w:tcW w:w="2694" w:type="dxa"/>
            <w:tcBorders>
              <w:top w:val="single" w:sz="4" w:space="0" w:color="365F91"/>
              <w:left w:val="nil"/>
              <w:bottom w:val="single" w:sz="4" w:space="0" w:color="365F91"/>
              <w:right w:val="nil"/>
            </w:tcBorders>
            <w:hideMark/>
          </w:tcPr>
          <w:p w14:paraId="594B5827" w14:textId="77777777" w:rsidR="00FB19C0" w:rsidRPr="00BE78CA" w:rsidRDefault="00FB19C0" w:rsidP="00C26084">
            <w:pPr>
              <w:pStyle w:val="TableText"/>
              <w:spacing w:before="40" w:after="40"/>
            </w:pPr>
            <w:r w:rsidRPr="00BE78CA">
              <w:t>Maximum CH</w:t>
            </w:r>
            <w:r w:rsidRPr="00BE78CA">
              <w:rPr>
                <w:vertAlign w:val="subscript"/>
              </w:rPr>
              <w:t>4</w:t>
            </w:r>
            <w:r w:rsidRPr="00BE78CA">
              <w:t xml:space="preserve"> producing capacity (kg CH</w:t>
            </w:r>
            <w:r w:rsidRPr="00BE78CA">
              <w:rPr>
                <w:vertAlign w:val="subscript"/>
              </w:rPr>
              <w:t>4</w:t>
            </w:r>
            <w:r w:rsidRPr="00BE78CA">
              <w:t>/kg COD)</w:t>
            </w:r>
          </w:p>
        </w:tc>
        <w:tc>
          <w:tcPr>
            <w:tcW w:w="856" w:type="dxa"/>
            <w:tcBorders>
              <w:top w:val="single" w:sz="4" w:space="0" w:color="365F91"/>
              <w:left w:val="nil"/>
              <w:bottom w:val="single" w:sz="4" w:space="0" w:color="365F91"/>
              <w:right w:val="nil"/>
            </w:tcBorders>
            <w:hideMark/>
          </w:tcPr>
          <w:p w14:paraId="3A81BFD0" w14:textId="77777777" w:rsidR="00FB19C0" w:rsidRPr="00BE78CA" w:rsidRDefault="00FB19C0" w:rsidP="00C26084">
            <w:pPr>
              <w:pStyle w:val="TableText"/>
              <w:spacing w:before="40" w:after="40"/>
              <w:jc w:val="center"/>
            </w:pPr>
            <w:r w:rsidRPr="00BE78CA">
              <w:t>0.25</w:t>
            </w:r>
          </w:p>
        </w:tc>
        <w:tc>
          <w:tcPr>
            <w:tcW w:w="1837" w:type="dxa"/>
            <w:tcBorders>
              <w:top w:val="single" w:sz="4" w:space="0" w:color="365F91"/>
              <w:left w:val="nil"/>
              <w:bottom w:val="single" w:sz="4" w:space="0" w:color="365F91"/>
              <w:right w:val="nil"/>
            </w:tcBorders>
            <w:hideMark/>
          </w:tcPr>
          <w:p w14:paraId="1EA85AC4" w14:textId="77777777" w:rsidR="00FB19C0" w:rsidRPr="00BE78CA" w:rsidRDefault="00FB19C0" w:rsidP="00C26084">
            <w:pPr>
              <w:pStyle w:val="TableText"/>
              <w:spacing w:before="40" w:after="40"/>
            </w:pPr>
            <w:r w:rsidRPr="00BE78CA">
              <w:t xml:space="preserve">IPCC default </w:t>
            </w:r>
          </w:p>
        </w:tc>
        <w:tc>
          <w:tcPr>
            <w:tcW w:w="3118" w:type="dxa"/>
            <w:tcBorders>
              <w:top w:val="single" w:sz="4" w:space="0" w:color="365F91"/>
              <w:left w:val="nil"/>
              <w:bottom w:val="single" w:sz="4" w:space="0" w:color="365F91"/>
              <w:right w:val="nil"/>
            </w:tcBorders>
            <w:hideMark/>
          </w:tcPr>
          <w:p w14:paraId="3BAEE0A1" w14:textId="77777777" w:rsidR="00FB19C0" w:rsidRPr="00BE78CA" w:rsidRDefault="00FB19C0" w:rsidP="00C26084">
            <w:pPr>
              <w:pStyle w:val="TableText"/>
              <w:spacing w:before="40" w:after="40"/>
            </w:pPr>
            <w:r w:rsidRPr="00BE78CA">
              <w:t>IPCC (2006a)</w:t>
            </w:r>
          </w:p>
        </w:tc>
      </w:tr>
      <w:tr w:rsidR="00FB19C0" w:rsidRPr="00BE78CA" w14:paraId="2B5396DA" w14:textId="77777777" w:rsidTr="00A9498A">
        <w:tc>
          <w:tcPr>
            <w:tcW w:w="2694" w:type="dxa"/>
            <w:tcBorders>
              <w:top w:val="single" w:sz="4" w:space="0" w:color="365F91"/>
              <w:left w:val="nil"/>
              <w:bottom w:val="single" w:sz="4" w:space="0" w:color="365F91"/>
              <w:right w:val="nil"/>
            </w:tcBorders>
            <w:hideMark/>
          </w:tcPr>
          <w:p w14:paraId="09ABB8B6" w14:textId="77777777" w:rsidR="00FB19C0" w:rsidRPr="00BE78CA" w:rsidRDefault="00FB19C0" w:rsidP="00C26084">
            <w:pPr>
              <w:pStyle w:val="TableText"/>
              <w:spacing w:before="40" w:after="40"/>
            </w:pPr>
            <w:r w:rsidRPr="00BE78CA">
              <w:t>Overall emission factor</w:t>
            </w:r>
          </w:p>
        </w:tc>
        <w:tc>
          <w:tcPr>
            <w:tcW w:w="856" w:type="dxa"/>
            <w:tcBorders>
              <w:top w:val="single" w:sz="4" w:space="0" w:color="365F91"/>
              <w:left w:val="nil"/>
              <w:bottom w:val="single" w:sz="4" w:space="0" w:color="365F91"/>
              <w:right w:val="nil"/>
            </w:tcBorders>
            <w:hideMark/>
          </w:tcPr>
          <w:p w14:paraId="1BD9DEA2" w14:textId="77777777" w:rsidR="00FB19C0" w:rsidRPr="00BE78CA" w:rsidRDefault="00FB19C0" w:rsidP="00C26084">
            <w:pPr>
              <w:pStyle w:val="TableText"/>
              <w:spacing w:before="40" w:after="40"/>
              <w:jc w:val="center"/>
            </w:pPr>
            <w:r w:rsidRPr="00BE78CA">
              <w:t>0.0065</w:t>
            </w:r>
          </w:p>
        </w:tc>
        <w:tc>
          <w:tcPr>
            <w:tcW w:w="1837" w:type="dxa"/>
            <w:tcBorders>
              <w:top w:val="single" w:sz="4" w:space="0" w:color="365F91"/>
              <w:left w:val="nil"/>
              <w:bottom w:val="single" w:sz="4" w:space="0" w:color="365F91"/>
              <w:right w:val="nil"/>
            </w:tcBorders>
            <w:hideMark/>
          </w:tcPr>
          <w:p w14:paraId="103EAF64" w14:textId="77777777" w:rsidR="00FB19C0" w:rsidRPr="00BE78CA" w:rsidRDefault="00FB19C0" w:rsidP="00C26084">
            <w:pPr>
              <w:pStyle w:val="TableText"/>
              <w:spacing w:before="40" w:after="40"/>
            </w:pPr>
            <w:r w:rsidRPr="00BE78CA">
              <w:t>New Zealand specific</w:t>
            </w:r>
          </w:p>
        </w:tc>
        <w:tc>
          <w:tcPr>
            <w:tcW w:w="3118" w:type="dxa"/>
            <w:tcBorders>
              <w:top w:val="single" w:sz="4" w:space="0" w:color="365F91"/>
              <w:left w:val="nil"/>
              <w:bottom w:val="single" w:sz="4" w:space="0" w:color="365F91"/>
              <w:right w:val="nil"/>
            </w:tcBorders>
            <w:hideMark/>
          </w:tcPr>
          <w:p w14:paraId="4FDB4E31" w14:textId="77777777" w:rsidR="00FB19C0" w:rsidRPr="00BE78CA" w:rsidRDefault="00FB19C0" w:rsidP="00C26084">
            <w:pPr>
              <w:pStyle w:val="TableText"/>
              <w:spacing w:before="40" w:after="40"/>
            </w:pPr>
            <w:r w:rsidRPr="00BE78CA">
              <w:t>SCS Wetherill Environmental (unpublished)</w:t>
            </w:r>
          </w:p>
        </w:tc>
      </w:tr>
    </w:tbl>
    <w:p w14:paraId="40CEF5FF" w14:textId="77777777" w:rsidR="00FB19C0" w:rsidRPr="00BE78CA" w:rsidRDefault="00FB19C0" w:rsidP="00FB19C0">
      <w:pPr>
        <w:pStyle w:val="Noteundertable"/>
        <w:spacing w:after="80"/>
      </w:pPr>
      <w:r w:rsidRPr="00BE78CA">
        <w:rPr>
          <w:b/>
        </w:rPr>
        <w:t>Note:</w:t>
      </w:r>
      <w:r w:rsidRPr="00BE78CA">
        <w:t xml:space="preserve"> </w:t>
      </w:r>
      <w:r w:rsidRPr="00BE78CA">
        <w:tab/>
        <w:t>COD = chemical oxygen demand.</w:t>
      </w:r>
    </w:p>
    <w:p w14:paraId="5EC01871" w14:textId="77777777" w:rsidR="00FB19C0" w:rsidRPr="00BE78CA" w:rsidRDefault="00FB19C0" w:rsidP="00FB19C0">
      <w:pPr>
        <w:pStyle w:val="Heading6"/>
      </w:pPr>
      <w:r w:rsidRPr="00BE78CA">
        <w:rPr>
          <w:lang w:eastAsia="en-NZ"/>
        </w:rPr>
        <w:t>Recovery</w:t>
      </w:r>
    </w:p>
    <w:p w14:paraId="0A769AF8" w14:textId="77777777" w:rsidR="00FB19C0" w:rsidRPr="00BE78CA" w:rsidRDefault="00FB19C0" w:rsidP="007B13EF">
      <w:pPr>
        <w:pStyle w:val="BodyText"/>
        <w:spacing w:before="80" w:after="80"/>
      </w:pPr>
      <w:r w:rsidRPr="00BE78CA">
        <w:t xml:space="preserve">There is no recovery of emissions reported for this source. </w:t>
      </w:r>
    </w:p>
    <w:p w14:paraId="0323CF80" w14:textId="77777777" w:rsidR="00FB19C0" w:rsidRPr="00BE78CA" w:rsidRDefault="00FB19C0" w:rsidP="00F37E7A">
      <w:pPr>
        <w:pStyle w:val="Heading5"/>
      </w:pPr>
      <w:r w:rsidRPr="00BE78CA">
        <w:t>Methane emissions from industrial wastewater treatment – Leather and skins industry</w:t>
      </w:r>
    </w:p>
    <w:p w14:paraId="0FDC05D8" w14:textId="77777777" w:rsidR="00FB19C0" w:rsidRPr="00BE78CA" w:rsidRDefault="00FB19C0" w:rsidP="00F37E7A">
      <w:pPr>
        <w:pStyle w:val="BodyText"/>
      </w:pPr>
      <w:r w:rsidRPr="00BE78CA">
        <w:t>Table 7.5.12 provides a summary of the parameter values applied for estimating CH</w:t>
      </w:r>
      <w:r w:rsidRPr="00BE78CA">
        <w:rPr>
          <w:vertAlign w:val="subscript"/>
        </w:rPr>
        <w:t>4</w:t>
      </w:r>
      <w:r w:rsidRPr="00BE78CA">
        <w:t xml:space="preserve"> emissions from wastewater treatment by the leather and skins industry.</w:t>
      </w:r>
    </w:p>
    <w:p w14:paraId="06D8E69F" w14:textId="77777777" w:rsidR="00FB19C0" w:rsidRPr="00BE78CA" w:rsidRDefault="00FB19C0" w:rsidP="00FB19C0">
      <w:pPr>
        <w:pStyle w:val="Table"/>
      </w:pPr>
      <w:bookmarkStart w:id="3127" w:name="_Toc32828547"/>
      <w:bookmarkStart w:id="3128" w:name="_Toc32591377"/>
      <w:bookmarkStart w:id="3129" w:name="_Toc5269589"/>
      <w:bookmarkStart w:id="3130" w:name="_Toc511116840"/>
      <w:bookmarkStart w:id="3131" w:name="_Toc36224670"/>
      <w:bookmarkStart w:id="3132" w:name="_Toc68786556"/>
      <w:r w:rsidRPr="00BE78CA">
        <w:t>Table 7.5.12</w:t>
      </w:r>
      <w:r w:rsidRPr="00BE78CA">
        <w:tab/>
        <w:t>Parameter values applied by New Zealand for estimating methane emissions</w:t>
      </w:r>
      <w:r w:rsidRPr="00BE78CA">
        <w:br/>
        <w:t>for wastewater treatment by the leather and skins industry</w:t>
      </w:r>
      <w:bookmarkEnd w:id="3127"/>
      <w:bookmarkEnd w:id="3128"/>
      <w:bookmarkEnd w:id="3129"/>
      <w:bookmarkEnd w:id="3130"/>
      <w:bookmarkEnd w:id="3131"/>
      <w:bookmarkEnd w:id="3132"/>
    </w:p>
    <w:tbl>
      <w:tblPr>
        <w:tblW w:w="8448" w:type="dxa"/>
        <w:tblInd w:w="57" w:type="dxa"/>
        <w:tblLook w:val="04A0" w:firstRow="1" w:lastRow="0" w:firstColumn="1" w:lastColumn="0" w:noHBand="0" w:noVBand="1"/>
      </w:tblPr>
      <w:tblGrid>
        <w:gridCol w:w="2297"/>
        <w:gridCol w:w="1289"/>
        <w:gridCol w:w="1734"/>
        <w:gridCol w:w="3128"/>
      </w:tblGrid>
      <w:tr w:rsidR="00FB19C0" w:rsidRPr="00BE78CA" w14:paraId="7BC0E73D" w14:textId="77777777" w:rsidTr="00C26084">
        <w:trPr>
          <w:tblHeader/>
        </w:trPr>
        <w:tc>
          <w:tcPr>
            <w:tcW w:w="2325" w:type="dxa"/>
            <w:tcBorders>
              <w:top w:val="single" w:sz="4" w:space="0" w:color="365F91"/>
              <w:left w:val="nil"/>
              <w:bottom w:val="single" w:sz="4" w:space="0" w:color="365F91"/>
              <w:right w:val="nil"/>
            </w:tcBorders>
            <w:shd w:val="clear" w:color="auto" w:fill="365F91"/>
            <w:hideMark/>
          </w:tcPr>
          <w:p w14:paraId="4A142040" w14:textId="77777777" w:rsidR="00FB19C0" w:rsidRPr="00BE78CA" w:rsidRDefault="00FB19C0" w:rsidP="00C26084">
            <w:pPr>
              <w:pStyle w:val="TableTextBold"/>
              <w:rPr>
                <w:noProof w:val="0"/>
                <w:color w:val="FFFFFF"/>
              </w:rPr>
            </w:pPr>
            <w:r w:rsidRPr="00BE78CA">
              <w:rPr>
                <w:noProof w:val="0"/>
                <w:color w:val="FFFFFF"/>
              </w:rPr>
              <w:t>Parameter</w:t>
            </w:r>
          </w:p>
        </w:tc>
        <w:tc>
          <w:tcPr>
            <w:tcW w:w="1304" w:type="dxa"/>
            <w:tcBorders>
              <w:top w:val="single" w:sz="4" w:space="0" w:color="365F91"/>
              <w:left w:val="nil"/>
              <w:bottom w:val="single" w:sz="4" w:space="0" w:color="365F91"/>
              <w:right w:val="nil"/>
            </w:tcBorders>
            <w:shd w:val="clear" w:color="auto" w:fill="365F91"/>
            <w:hideMark/>
          </w:tcPr>
          <w:p w14:paraId="012623D3" w14:textId="77777777" w:rsidR="00FB19C0" w:rsidRPr="00BE78CA" w:rsidRDefault="00FB19C0" w:rsidP="00C26084">
            <w:pPr>
              <w:pStyle w:val="TableTextBold"/>
              <w:rPr>
                <w:noProof w:val="0"/>
                <w:color w:val="FFFFFF"/>
              </w:rPr>
            </w:pPr>
            <w:r w:rsidRPr="00BE78CA">
              <w:rPr>
                <w:noProof w:val="0"/>
                <w:color w:val="FFFFFF"/>
              </w:rPr>
              <w:t>Value</w:t>
            </w:r>
          </w:p>
        </w:tc>
        <w:tc>
          <w:tcPr>
            <w:tcW w:w="1758" w:type="dxa"/>
            <w:tcBorders>
              <w:top w:val="single" w:sz="4" w:space="0" w:color="365F91"/>
              <w:left w:val="nil"/>
              <w:bottom w:val="single" w:sz="4" w:space="0" w:color="365F91"/>
              <w:right w:val="nil"/>
            </w:tcBorders>
            <w:shd w:val="clear" w:color="auto" w:fill="365F91"/>
            <w:hideMark/>
          </w:tcPr>
          <w:p w14:paraId="2F3910B2" w14:textId="77777777" w:rsidR="00FB19C0" w:rsidRPr="00BE78CA" w:rsidRDefault="00FB19C0" w:rsidP="00C26084">
            <w:pPr>
              <w:pStyle w:val="TableTextBold"/>
              <w:rPr>
                <w:noProof w:val="0"/>
                <w:color w:val="FFFFFF"/>
              </w:rPr>
            </w:pPr>
            <w:r w:rsidRPr="00BE78CA">
              <w:rPr>
                <w:noProof w:val="0"/>
                <w:color w:val="FFFFFF"/>
              </w:rPr>
              <w:t>Source</w:t>
            </w:r>
          </w:p>
        </w:tc>
        <w:tc>
          <w:tcPr>
            <w:tcW w:w="3175" w:type="dxa"/>
            <w:tcBorders>
              <w:top w:val="single" w:sz="4" w:space="0" w:color="365F91"/>
              <w:left w:val="nil"/>
              <w:bottom w:val="single" w:sz="4" w:space="0" w:color="365F91"/>
              <w:right w:val="nil"/>
            </w:tcBorders>
            <w:shd w:val="clear" w:color="auto" w:fill="365F91"/>
            <w:hideMark/>
          </w:tcPr>
          <w:p w14:paraId="3B425B9A" w14:textId="77777777" w:rsidR="00FB19C0" w:rsidRPr="00BE78CA" w:rsidRDefault="00FB19C0" w:rsidP="00C26084">
            <w:pPr>
              <w:pStyle w:val="TableTextBold"/>
              <w:rPr>
                <w:noProof w:val="0"/>
                <w:color w:val="FFFFFF"/>
              </w:rPr>
            </w:pPr>
            <w:r w:rsidRPr="00BE78CA">
              <w:rPr>
                <w:noProof w:val="0"/>
                <w:color w:val="FFFFFF"/>
              </w:rPr>
              <w:t>Reference</w:t>
            </w:r>
          </w:p>
        </w:tc>
      </w:tr>
      <w:tr w:rsidR="00FB19C0" w:rsidRPr="00BE78CA" w14:paraId="301F07CD" w14:textId="77777777" w:rsidTr="00C26084">
        <w:tc>
          <w:tcPr>
            <w:tcW w:w="2325" w:type="dxa"/>
            <w:tcBorders>
              <w:top w:val="single" w:sz="4" w:space="0" w:color="365F91"/>
              <w:left w:val="nil"/>
              <w:bottom w:val="single" w:sz="4" w:space="0" w:color="365F91"/>
              <w:right w:val="nil"/>
            </w:tcBorders>
            <w:hideMark/>
          </w:tcPr>
          <w:p w14:paraId="327411D6" w14:textId="77777777" w:rsidR="00FB19C0" w:rsidRPr="00BE78CA" w:rsidRDefault="00FB19C0" w:rsidP="00C26084">
            <w:pPr>
              <w:pStyle w:val="TableText"/>
              <w:keepNext/>
              <w:spacing w:before="40" w:after="40"/>
            </w:pPr>
            <w:r w:rsidRPr="00BE78CA">
              <w:t>Degradable organic component (kg COD/tonne of product)</w:t>
            </w:r>
          </w:p>
        </w:tc>
        <w:tc>
          <w:tcPr>
            <w:tcW w:w="1304" w:type="dxa"/>
            <w:tcBorders>
              <w:top w:val="single" w:sz="4" w:space="0" w:color="365F91"/>
              <w:left w:val="nil"/>
              <w:bottom w:val="single" w:sz="4" w:space="0" w:color="365F91"/>
              <w:right w:val="nil"/>
            </w:tcBorders>
            <w:hideMark/>
          </w:tcPr>
          <w:p w14:paraId="29DD1031" w14:textId="77777777" w:rsidR="00FB19C0" w:rsidRPr="00BE78CA" w:rsidRDefault="00FB19C0" w:rsidP="00C26084">
            <w:pPr>
              <w:pStyle w:val="TableText"/>
              <w:spacing w:before="40" w:after="40"/>
            </w:pPr>
            <w:r w:rsidRPr="00BE78CA">
              <w:t>180</w:t>
            </w:r>
          </w:p>
        </w:tc>
        <w:tc>
          <w:tcPr>
            <w:tcW w:w="1758" w:type="dxa"/>
            <w:tcBorders>
              <w:top w:val="single" w:sz="4" w:space="0" w:color="365F91"/>
              <w:left w:val="nil"/>
              <w:bottom w:val="single" w:sz="4" w:space="0" w:color="365F91"/>
              <w:right w:val="nil"/>
            </w:tcBorders>
            <w:hideMark/>
          </w:tcPr>
          <w:p w14:paraId="20C2EC4A" w14:textId="77777777" w:rsidR="00FB19C0" w:rsidRPr="00BE78CA" w:rsidRDefault="00FB19C0" w:rsidP="00C26084">
            <w:pPr>
              <w:pStyle w:val="TableText"/>
              <w:spacing w:before="40" w:after="40"/>
            </w:pPr>
            <w:r w:rsidRPr="00BE78CA">
              <w:t>New Zealand specific</w:t>
            </w:r>
          </w:p>
        </w:tc>
        <w:tc>
          <w:tcPr>
            <w:tcW w:w="3175" w:type="dxa"/>
            <w:tcBorders>
              <w:top w:val="single" w:sz="4" w:space="0" w:color="365F91"/>
              <w:left w:val="nil"/>
              <w:bottom w:val="single" w:sz="4" w:space="0" w:color="365F91"/>
              <w:right w:val="nil"/>
            </w:tcBorders>
            <w:hideMark/>
          </w:tcPr>
          <w:p w14:paraId="70EF871B" w14:textId="77777777" w:rsidR="00FB19C0" w:rsidRPr="00BE78CA" w:rsidRDefault="00FB19C0" w:rsidP="00C26084">
            <w:pPr>
              <w:pStyle w:val="TableText"/>
              <w:spacing w:before="40" w:after="40"/>
              <w:rPr>
                <w:highlight w:val="yellow"/>
              </w:rPr>
            </w:pPr>
            <w:r w:rsidRPr="00BE78CA">
              <w:t>SCS Wetherill Environmental (unpublished)</w:t>
            </w:r>
          </w:p>
        </w:tc>
      </w:tr>
      <w:tr w:rsidR="00FB19C0" w:rsidRPr="00BE78CA" w14:paraId="3CFD68C6" w14:textId="77777777" w:rsidTr="00C26084">
        <w:tc>
          <w:tcPr>
            <w:tcW w:w="2325" w:type="dxa"/>
            <w:tcBorders>
              <w:top w:val="single" w:sz="4" w:space="0" w:color="365F91"/>
              <w:left w:val="nil"/>
              <w:bottom w:val="single" w:sz="4" w:space="0" w:color="365F91"/>
              <w:right w:val="nil"/>
            </w:tcBorders>
            <w:hideMark/>
          </w:tcPr>
          <w:p w14:paraId="317B1A04" w14:textId="77777777" w:rsidR="00FB19C0" w:rsidRPr="00BE78CA" w:rsidRDefault="00FB19C0" w:rsidP="00C26084">
            <w:pPr>
              <w:pStyle w:val="TableText"/>
              <w:keepNext/>
              <w:spacing w:before="40" w:after="40"/>
            </w:pPr>
            <w:r w:rsidRPr="00BE78CA">
              <w:t>Methane correction factor</w:t>
            </w:r>
          </w:p>
        </w:tc>
        <w:tc>
          <w:tcPr>
            <w:tcW w:w="1304" w:type="dxa"/>
            <w:tcBorders>
              <w:top w:val="single" w:sz="4" w:space="0" w:color="365F91"/>
              <w:left w:val="nil"/>
              <w:bottom w:val="single" w:sz="4" w:space="0" w:color="365F91"/>
              <w:right w:val="nil"/>
            </w:tcBorders>
            <w:hideMark/>
          </w:tcPr>
          <w:p w14:paraId="5AA1DD6C" w14:textId="77777777" w:rsidR="00FB19C0" w:rsidRPr="00BE78CA" w:rsidRDefault="00FB19C0" w:rsidP="00C26084">
            <w:pPr>
              <w:pStyle w:val="TableText"/>
              <w:spacing w:before="40" w:after="40"/>
            </w:pPr>
            <w:r w:rsidRPr="00BE78CA">
              <w:t>Range of 0–0.55</w:t>
            </w:r>
          </w:p>
        </w:tc>
        <w:tc>
          <w:tcPr>
            <w:tcW w:w="1758" w:type="dxa"/>
            <w:tcBorders>
              <w:top w:val="single" w:sz="4" w:space="0" w:color="365F91"/>
              <w:left w:val="nil"/>
              <w:bottom w:val="single" w:sz="4" w:space="0" w:color="365F91"/>
              <w:right w:val="nil"/>
            </w:tcBorders>
            <w:hideMark/>
          </w:tcPr>
          <w:p w14:paraId="0EB86D80" w14:textId="77777777" w:rsidR="00FB19C0" w:rsidRPr="00BE78CA" w:rsidRDefault="00FB19C0" w:rsidP="00C26084">
            <w:pPr>
              <w:pStyle w:val="TableText"/>
              <w:spacing w:before="40" w:after="40"/>
            </w:pPr>
            <w:r w:rsidRPr="00BE78CA">
              <w:t>New Zealand specific</w:t>
            </w:r>
          </w:p>
        </w:tc>
        <w:tc>
          <w:tcPr>
            <w:tcW w:w="3175" w:type="dxa"/>
            <w:tcBorders>
              <w:top w:val="single" w:sz="4" w:space="0" w:color="365F91"/>
              <w:left w:val="nil"/>
              <w:bottom w:val="single" w:sz="4" w:space="0" w:color="365F91"/>
              <w:right w:val="nil"/>
            </w:tcBorders>
            <w:hideMark/>
          </w:tcPr>
          <w:p w14:paraId="544D853D" w14:textId="77777777" w:rsidR="00FB19C0" w:rsidRPr="00BE78CA" w:rsidRDefault="00FB19C0" w:rsidP="00C26084">
            <w:pPr>
              <w:pStyle w:val="TableText"/>
              <w:spacing w:before="40" w:after="40"/>
              <w:rPr>
                <w:highlight w:val="yellow"/>
              </w:rPr>
            </w:pPr>
            <w:r w:rsidRPr="00BE78CA">
              <w:t>SCS Wetherill Environmental (unpublished)</w:t>
            </w:r>
          </w:p>
        </w:tc>
      </w:tr>
      <w:tr w:rsidR="00FB19C0" w:rsidRPr="00BE78CA" w14:paraId="554BFFE5" w14:textId="77777777" w:rsidTr="00C26084">
        <w:tc>
          <w:tcPr>
            <w:tcW w:w="2325" w:type="dxa"/>
            <w:tcBorders>
              <w:top w:val="single" w:sz="4" w:space="0" w:color="365F91"/>
              <w:left w:val="nil"/>
              <w:bottom w:val="single" w:sz="4" w:space="0" w:color="365F91"/>
              <w:right w:val="nil"/>
            </w:tcBorders>
            <w:hideMark/>
          </w:tcPr>
          <w:p w14:paraId="60A9582F" w14:textId="77777777" w:rsidR="00FB19C0" w:rsidRPr="00BE78CA" w:rsidRDefault="00FB19C0" w:rsidP="00C26084">
            <w:pPr>
              <w:pStyle w:val="TableText"/>
              <w:spacing w:before="40" w:after="40"/>
            </w:pPr>
            <w:r w:rsidRPr="00BE78CA">
              <w:t>Maximum CH</w:t>
            </w:r>
            <w:r w:rsidRPr="00BE78CA">
              <w:rPr>
                <w:vertAlign w:val="subscript"/>
              </w:rPr>
              <w:t>4</w:t>
            </w:r>
            <w:r w:rsidRPr="00BE78CA">
              <w:t>-producing capacity (kg CH</w:t>
            </w:r>
            <w:r w:rsidRPr="00BE78CA">
              <w:rPr>
                <w:vertAlign w:val="subscript"/>
              </w:rPr>
              <w:t>4</w:t>
            </w:r>
            <w:r w:rsidRPr="00BE78CA">
              <w:t>/kg COD)</w:t>
            </w:r>
          </w:p>
        </w:tc>
        <w:tc>
          <w:tcPr>
            <w:tcW w:w="1304" w:type="dxa"/>
            <w:tcBorders>
              <w:top w:val="single" w:sz="4" w:space="0" w:color="365F91"/>
              <w:left w:val="nil"/>
              <w:bottom w:val="single" w:sz="4" w:space="0" w:color="365F91"/>
              <w:right w:val="nil"/>
            </w:tcBorders>
            <w:hideMark/>
          </w:tcPr>
          <w:p w14:paraId="5BA8DE43" w14:textId="77777777" w:rsidR="00FB19C0" w:rsidRPr="00BE78CA" w:rsidRDefault="00FB19C0" w:rsidP="00C26084">
            <w:pPr>
              <w:pStyle w:val="TableText"/>
              <w:spacing w:before="40" w:after="40"/>
            </w:pPr>
            <w:r w:rsidRPr="00BE78CA">
              <w:t>0.25</w:t>
            </w:r>
          </w:p>
        </w:tc>
        <w:tc>
          <w:tcPr>
            <w:tcW w:w="1758" w:type="dxa"/>
            <w:tcBorders>
              <w:top w:val="single" w:sz="4" w:space="0" w:color="365F91"/>
              <w:left w:val="nil"/>
              <w:bottom w:val="single" w:sz="4" w:space="0" w:color="365F91"/>
              <w:right w:val="nil"/>
            </w:tcBorders>
            <w:hideMark/>
          </w:tcPr>
          <w:p w14:paraId="78638C59" w14:textId="77777777" w:rsidR="00FB19C0" w:rsidRPr="00BE78CA" w:rsidRDefault="00FB19C0" w:rsidP="00C26084">
            <w:pPr>
              <w:pStyle w:val="TableText"/>
              <w:spacing w:before="40" w:after="40"/>
            </w:pPr>
            <w:r w:rsidRPr="00BE78CA">
              <w:t xml:space="preserve">IPCC default </w:t>
            </w:r>
          </w:p>
        </w:tc>
        <w:tc>
          <w:tcPr>
            <w:tcW w:w="3175" w:type="dxa"/>
            <w:tcBorders>
              <w:top w:val="single" w:sz="4" w:space="0" w:color="365F91"/>
              <w:left w:val="nil"/>
              <w:bottom w:val="single" w:sz="4" w:space="0" w:color="365F91"/>
              <w:right w:val="nil"/>
            </w:tcBorders>
            <w:hideMark/>
          </w:tcPr>
          <w:p w14:paraId="1E0C34A2" w14:textId="77777777" w:rsidR="00FB19C0" w:rsidRPr="00BE78CA" w:rsidRDefault="00FB19C0" w:rsidP="00C26084">
            <w:pPr>
              <w:pStyle w:val="TableText"/>
              <w:spacing w:before="40" w:after="40"/>
            </w:pPr>
            <w:r w:rsidRPr="00BE78CA">
              <w:t>IPCC (2006a)</w:t>
            </w:r>
          </w:p>
        </w:tc>
      </w:tr>
      <w:tr w:rsidR="00FB19C0" w:rsidRPr="00BE78CA" w14:paraId="2FEB8EDB" w14:textId="77777777" w:rsidTr="00C26084">
        <w:tc>
          <w:tcPr>
            <w:tcW w:w="2325" w:type="dxa"/>
            <w:tcBorders>
              <w:top w:val="single" w:sz="4" w:space="0" w:color="365F91"/>
              <w:left w:val="nil"/>
              <w:bottom w:val="single" w:sz="4" w:space="0" w:color="365F91"/>
              <w:right w:val="nil"/>
            </w:tcBorders>
            <w:hideMark/>
          </w:tcPr>
          <w:p w14:paraId="5FA4D43F" w14:textId="77777777" w:rsidR="00FB19C0" w:rsidRPr="00BE78CA" w:rsidRDefault="00FB19C0" w:rsidP="00C26084">
            <w:pPr>
              <w:pStyle w:val="TableText"/>
              <w:spacing w:before="40" w:after="40"/>
            </w:pPr>
            <w:r w:rsidRPr="00BE78CA">
              <w:t>Overall emission factor</w:t>
            </w:r>
          </w:p>
        </w:tc>
        <w:tc>
          <w:tcPr>
            <w:tcW w:w="1304" w:type="dxa"/>
            <w:tcBorders>
              <w:top w:val="single" w:sz="4" w:space="0" w:color="365F91"/>
              <w:left w:val="nil"/>
              <w:bottom w:val="single" w:sz="4" w:space="0" w:color="365F91"/>
              <w:right w:val="nil"/>
            </w:tcBorders>
            <w:hideMark/>
          </w:tcPr>
          <w:p w14:paraId="516F6FD8" w14:textId="77777777" w:rsidR="00FB19C0" w:rsidRPr="00BE78CA" w:rsidRDefault="00FB19C0" w:rsidP="00C26084">
            <w:pPr>
              <w:pStyle w:val="TableText"/>
              <w:spacing w:before="40" w:after="40"/>
            </w:pPr>
            <w:r w:rsidRPr="00BE78CA">
              <w:t>0.0124</w:t>
            </w:r>
          </w:p>
        </w:tc>
        <w:tc>
          <w:tcPr>
            <w:tcW w:w="1758" w:type="dxa"/>
            <w:tcBorders>
              <w:top w:val="single" w:sz="4" w:space="0" w:color="365F91"/>
              <w:left w:val="nil"/>
              <w:bottom w:val="single" w:sz="4" w:space="0" w:color="365F91"/>
              <w:right w:val="nil"/>
            </w:tcBorders>
            <w:hideMark/>
          </w:tcPr>
          <w:p w14:paraId="3B228E15" w14:textId="77777777" w:rsidR="00FB19C0" w:rsidRPr="00BE78CA" w:rsidRDefault="00FB19C0" w:rsidP="00C26084">
            <w:pPr>
              <w:pStyle w:val="TableText"/>
              <w:spacing w:before="40" w:after="40"/>
            </w:pPr>
            <w:r w:rsidRPr="00BE78CA">
              <w:t>New Zealand specific</w:t>
            </w:r>
          </w:p>
        </w:tc>
        <w:tc>
          <w:tcPr>
            <w:tcW w:w="3175" w:type="dxa"/>
            <w:tcBorders>
              <w:top w:val="single" w:sz="4" w:space="0" w:color="365F91"/>
              <w:left w:val="nil"/>
              <w:bottom w:val="single" w:sz="4" w:space="0" w:color="365F91"/>
              <w:right w:val="nil"/>
            </w:tcBorders>
            <w:hideMark/>
          </w:tcPr>
          <w:p w14:paraId="37B18296" w14:textId="77777777" w:rsidR="00FB19C0" w:rsidRPr="00BE78CA" w:rsidRDefault="00FB19C0" w:rsidP="00C26084">
            <w:pPr>
              <w:pStyle w:val="TableText"/>
              <w:spacing w:before="40" w:after="40"/>
              <w:rPr>
                <w:highlight w:val="yellow"/>
              </w:rPr>
            </w:pPr>
            <w:r w:rsidRPr="00BE78CA">
              <w:t>SCS Wetherill Environmental (unpublished)</w:t>
            </w:r>
          </w:p>
        </w:tc>
      </w:tr>
    </w:tbl>
    <w:p w14:paraId="7AD443A4" w14:textId="77777777" w:rsidR="00FB19C0" w:rsidRPr="00BE78CA" w:rsidRDefault="00FB19C0" w:rsidP="00FB19C0">
      <w:pPr>
        <w:pStyle w:val="Noteundertable"/>
        <w:spacing w:before="80" w:after="80"/>
      </w:pPr>
      <w:r w:rsidRPr="00BE78CA">
        <w:rPr>
          <w:b/>
        </w:rPr>
        <w:t>Note:</w:t>
      </w:r>
      <w:r w:rsidRPr="00BE78CA">
        <w:t xml:space="preserve"> </w:t>
      </w:r>
      <w:r w:rsidRPr="00BE78CA">
        <w:tab/>
        <w:t>COD = chemical oxygen demand.</w:t>
      </w:r>
    </w:p>
    <w:p w14:paraId="3C33F3D9" w14:textId="77777777" w:rsidR="00FB19C0" w:rsidRPr="00BE78CA" w:rsidRDefault="00FB19C0" w:rsidP="00F37E7A">
      <w:pPr>
        <w:pStyle w:val="Heading6"/>
      </w:pPr>
      <w:r w:rsidRPr="00BE78CA">
        <w:rPr>
          <w:lang w:eastAsia="en-NZ"/>
        </w:rPr>
        <w:t>Recovery</w:t>
      </w:r>
    </w:p>
    <w:p w14:paraId="301E9CAE" w14:textId="77777777" w:rsidR="00FB19C0" w:rsidRPr="00BE78CA" w:rsidRDefault="00FB19C0" w:rsidP="007B13EF">
      <w:pPr>
        <w:pStyle w:val="BodyText"/>
        <w:spacing w:before="80" w:after="80"/>
      </w:pPr>
      <w:r w:rsidRPr="00BE78CA">
        <w:t xml:space="preserve">There is no recovery of emissions reported for this source. </w:t>
      </w:r>
    </w:p>
    <w:p w14:paraId="216D98AD" w14:textId="77777777" w:rsidR="00FB19C0" w:rsidRPr="00BE78CA" w:rsidRDefault="00FB19C0" w:rsidP="00283903">
      <w:pPr>
        <w:pStyle w:val="Heading5"/>
        <w:spacing w:before="200"/>
      </w:pPr>
      <w:r w:rsidRPr="00BE78CA">
        <w:t>Nitrous oxide emissions from industrial wastewater treatment – Meat industry</w:t>
      </w:r>
    </w:p>
    <w:p w14:paraId="0486FA0C" w14:textId="77777777" w:rsidR="00FB19C0" w:rsidRPr="00BE78CA" w:rsidRDefault="00FB19C0" w:rsidP="00F37E7A">
      <w:pPr>
        <w:pStyle w:val="BodyText"/>
      </w:pPr>
      <w:r w:rsidRPr="00BE78CA">
        <w:t>Table 7.5.13 provides a summary of the parameter values applied for estimating N</w:t>
      </w:r>
      <w:r w:rsidRPr="00BE78CA">
        <w:rPr>
          <w:vertAlign w:val="subscript"/>
        </w:rPr>
        <w:t>2</w:t>
      </w:r>
      <w:r w:rsidRPr="00BE78CA">
        <w:t>O emissions from wastewater treatment by the meat industry.</w:t>
      </w:r>
    </w:p>
    <w:p w14:paraId="49333FA1" w14:textId="77777777" w:rsidR="00FB19C0" w:rsidRPr="00BE78CA" w:rsidRDefault="00FB19C0" w:rsidP="00FB19C0">
      <w:pPr>
        <w:pStyle w:val="Table"/>
      </w:pPr>
      <w:bookmarkStart w:id="3133" w:name="_Toc32828548"/>
      <w:bookmarkStart w:id="3134" w:name="_Toc32591378"/>
      <w:bookmarkStart w:id="3135" w:name="_Toc5269590"/>
      <w:bookmarkStart w:id="3136" w:name="_Toc511116841"/>
      <w:bookmarkStart w:id="3137" w:name="_Toc508019342"/>
      <w:bookmarkStart w:id="3138" w:name="_Toc481751615"/>
      <w:bookmarkStart w:id="3139" w:name="_Toc451176185"/>
      <w:bookmarkStart w:id="3140" w:name="_Toc444001633"/>
      <w:bookmarkStart w:id="3141" w:name="_Toc321399258"/>
      <w:bookmarkStart w:id="3142" w:name="_Toc36224671"/>
      <w:bookmarkStart w:id="3143" w:name="_Toc68786557"/>
      <w:r w:rsidRPr="00BE78CA">
        <w:t>Table 7.5.13</w:t>
      </w:r>
      <w:r w:rsidRPr="00BE78CA">
        <w:tab/>
        <w:t>Parameter values applied by New Zealand for estimating nitrous oxide emissions</w:t>
      </w:r>
      <w:r w:rsidRPr="00BE78CA">
        <w:br/>
        <w:t>for wastewater treatment for the meat industry</w:t>
      </w:r>
      <w:bookmarkEnd w:id="3133"/>
      <w:bookmarkEnd w:id="3134"/>
      <w:bookmarkEnd w:id="3135"/>
      <w:bookmarkEnd w:id="3136"/>
      <w:bookmarkEnd w:id="3137"/>
      <w:bookmarkEnd w:id="3138"/>
      <w:bookmarkEnd w:id="3139"/>
      <w:bookmarkEnd w:id="3140"/>
      <w:bookmarkEnd w:id="3141"/>
      <w:bookmarkEnd w:id="3142"/>
      <w:bookmarkEnd w:id="3143"/>
    </w:p>
    <w:tbl>
      <w:tblPr>
        <w:tblW w:w="8505" w:type="dxa"/>
        <w:tblBorders>
          <w:top w:val="single" w:sz="4" w:space="0" w:color="365F91"/>
          <w:bottom w:val="single" w:sz="4" w:space="0" w:color="365F91"/>
          <w:insideH w:val="single" w:sz="4" w:space="0" w:color="365F91"/>
          <w:insideV w:val="single" w:sz="4" w:space="0" w:color="365F91"/>
        </w:tblBorders>
        <w:tblLook w:val="04A0" w:firstRow="1" w:lastRow="0" w:firstColumn="1" w:lastColumn="0" w:noHBand="0" w:noVBand="1"/>
      </w:tblPr>
      <w:tblGrid>
        <w:gridCol w:w="2376"/>
        <w:gridCol w:w="2160"/>
        <w:gridCol w:w="1843"/>
        <w:gridCol w:w="2126"/>
      </w:tblGrid>
      <w:tr w:rsidR="00FB19C0" w:rsidRPr="00BE78CA" w14:paraId="0E5A5DDC" w14:textId="77777777" w:rsidTr="00F625B1">
        <w:tc>
          <w:tcPr>
            <w:tcW w:w="2376" w:type="dxa"/>
            <w:tcBorders>
              <w:top w:val="single" w:sz="4" w:space="0" w:color="365F91"/>
              <w:left w:val="nil"/>
              <w:bottom w:val="single" w:sz="4" w:space="0" w:color="365F91"/>
              <w:right w:val="single" w:sz="4" w:space="0" w:color="365F91"/>
            </w:tcBorders>
            <w:shd w:val="clear" w:color="auto" w:fill="365F91"/>
            <w:hideMark/>
          </w:tcPr>
          <w:p w14:paraId="4E1CCFD7" w14:textId="77777777" w:rsidR="00FB19C0" w:rsidRPr="00BE78CA" w:rsidRDefault="00FB19C0" w:rsidP="00F37E7A">
            <w:pPr>
              <w:pStyle w:val="TableTextBold"/>
              <w:keepNext/>
              <w:rPr>
                <w:noProof w:val="0"/>
                <w:color w:val="FFFFFF"/>
              </w:rPr>
            </w:pPr>
            <w:r w:rsidRPr="00BE78CA">
              <w:rPr>
                <w:noProof w:val="0"/>
                <w:color w:val="FFFFFF"/>
              </w:rPr>
              <w:t>Parameter</w:t>
            </w:r>
          </w:p>
        </w:tc>
        <w:tc>
          <w:tcPr>
            <w:tcW w:w="2160" w:type="dxa"/>
            <w:tcBorders>
              <w:top w:val="single" w:sz="4" w:space="0" w:color="365F91"/>
              <w:left w:val="single" w:sz="4" w:space="0" w:color="365F91"/>
              <w:bottom w:val="single" w:sz="4" w:space="0" w:color="365F91"/>
              <w:right w:val="single" w:sz="4" w:space="0" w:color="365F91"/>
            </w:tcBorders>
            <w:shd w:val="clear" w:color="auto" w:fill="365F91"/>
            <w:hideMark/>
          </w:tcPr>
          <w:p w14:paraId="425E4877" w14:textId="77777777" w:rsidR="00FB19C0" w:rsidRPr="00BE78CA" w:rsidRDefault="00FB19C0" w:rsidP="00F37E7A">
            <w:pPr>
              <w:pStyle w:val="TableTextBold"/>
              <w:keepNext/>
              <w:rPr>
                <w:noProof w:val="0"/>
                <w:color w:val="FFFFFF"/>
              </w:rPr>
            </w:pPr>
            <w:r w:rsidRPr="00BE78CA">
              <w:rPr>
                <w:noProof w:val="0"/>
                <w:color w:val="FFFFFF"/>
              </w:rPr>
              <w:t>Value</w:t>
            </w:r>
          </w:p>
        </w:tc>
        <w:tc>
          <w:tcPr>
            <w:tcW w:w="1843" w:type="dxa"/>
            <w:tcBorders>
              <w:top w:val="single" w:sz="4" w:space="0" w:color="365F91"/>
              <w:left w:val="single" w:sz="4" w:space="0" w:color="365F91"/>
              <w:bottom w:val="single" w:sz="4" w:space="0" w:color="365F91"/>
              <w:right w:val="single" w:sz="4" w:space="0" w:color="365F91"/>
            </w:tcBorders>
            <w:shd w:val="clear" w:color="auto" w:fill="365F91"/>
            <w:hideMark/>
          </w:tcPr>
          <w:p w14:paraId="360EE382" w14:textId="77777777" w:rsidR="00FB19C0" w:rsidRPr="00BE78CA" w:rsidRDefault="00FB19C0" w:rsidP="00F37E7A">
            <w:pPr>
              <w:pStyle w:val="TableTextBold"/>
              <w:keepNext/>
              <w:rPr>
                <w:noProof w:val="0"/>
                <w:color w:val="FFFFFF"/>
              </w:rPr>
            </w:pPr>
            <w:r w:rsidRPr="00BE78CA">
              <w:rPr>
                <w:noProof w:val="0"/>
                <w:color w:val="FFFFFF"/>
              </w:rPr>
              <w:t>Source</w:t>
            </w:r>
          </w:p>
        </w:tc>
        <w:tc>
          <w:tcPr>
            <w:tcW w:w="2126" w:type="dxa"/>
            <w:tcBorders>
              <w:top w:val="single" w:sz="4" w:space="0" w:color="365F91"/>
              <w:left w:val="single" w:sz="4" w:space="0" w:color="365F91"/>
              <w:bottom w:val="single" w:sz="4" w:space="0" w:color="365F91"/>
              <w:right w:val="nil"/>
            </w:tcBorders>
            <w:shd w:val="clear" w:color="auto" w:fill="365F91"/>
            <w:hideMark/>
          </w:tcPr>
          <w:p w14:paraId="743AC9BD" w14:textId="77777777" w:rsidR="00FB19C0" w:rsidRPr="00BE78CA" w:rsidRDefault="00FB19C0" w:rsidP="00F37E7A">
            <w:pPr>
              <w:pStyle w:val="TableTextBold"/>
              <w:keepNext/>
              <w:rPr>
                <w:noProof w:val="0"/>
                <w:color w:val="FFFFFF"/>
              </w:rPr>
            </w:pPr>
            <w:r w:rsidRPr="00BE78CA">
              <w:rPr>
                <w:noProof w:val="0"/>
                <w:color w:val="FFFFFF"/>
              </w:rPr>
              <w:t>Reference</w:t>
            </w:r>
          </w:p>
        </w:tc>
      </w:tr>
      <w:tr w:rsidR="00FB19C0" w:rsidRPr="00BE78CA" w14:paraId="7B51587C" w14:textId="77777777" w:rsidTr="00F625B1">
        <w:tc>
          <w:tcPr>
            <w:tcW w:w="2376" w:type="dxa"/>
            <w:tcBorders>
              <w:top w:val="single" w:sz="4" w:space="0" w:color="365F91"/>
              <w:left w:val="nil"/>
              <w:bottom w:val="single" w:sz="4" w:space="0" w:color="365F91"/>
              <w:right w:val="nil"/>
            </w:tcBorders>
            <w:hideMark/>
          </w:tcPr>
          <w:p w14:paraId="3BCF80B0" w14:textId="77777777" w:rsidR="00FB19C0" w:rsidRPr="00BE78CA" w:rsidRDefault="00FB19C0" w:rsidP="00F37E7A">
            <w:pPr>
              <w:pStyle w:val="TableText"/>
              <w:keepNext/>
              <w:spacing w:before="40" w:after="40"/>
            </w:pPr>
            <w:r w:rsidRPr="00BE78CA">
              <w:t>Degradable organic component (kg COD/tonne of product)</w:t>
            </w:r>
          </w:p>
        </w:tc>
        <w:tc>
          <w:tcPr>
            <w:tcW w:w="2160" w:type="dxa"/>
            <w:tcBorders>
              <w:top w:val="single" w:sz="4" w:space="0" w:color="365F91"/>
              <w:left w:val="nil"/>
              <w:bottom w:val="single" w:sz="4" w:space="0" w:color="365F91"/>
              <w:right w:val="nil"/>
            </w:tcBorders>
            <w:hideMark/>
          </w:tcPr>
          <w:p w14:paraId="2288A985" w14:textId="77777777" w:rsidR="00FB19C0" w:rsidRPr="00BE78CA" w:rsidRDefault="00FB19C0" w:rsidP="00F37E7A">
            <w:pPr>
              <w:pStyle w:val="TableText"/>
              <w:keepNext/>
              <w:spacing w:before="40" w:after="40"/>
            </w:pPr>
            <w:r w:rsidRPr="00BE78CA">
              <w:t>50</w:t>
            </w:r>
          </w:p>
        </w:tc>
        <w:tc>
          <w:tcPr>
            <w:tcW w:w="1843" w:type="dxa"/>
            <w:tcBorders>
              <w:top w:val="single" w:sz="4" w:space="0" w:color="365F91"/>
              <w:left w:val="nil"/>
              <w:bottom w:val="single" w:sz="4" w:space="0" w:color="365F91"/>
              <w:right w:val="nil"/>
            </w:tcBorders>
            <w:hideMark/>
          </w:tcPr>
          <w:p w14:paraId="6FDC1507" w14:textId="77777777" w:rsidR="00FB19C0" w:rsidRPr="00BE78CA" w:rsidRDefault="00FB19C0" w:rsidP="00F37E7A">
            <w:pPr>
              <w:pStyle w:val="TableText"/>
              <w:keepNext/>
              <w:spacing w:before="40" w:after="40"/>
            </w:pPr>
            <w:r w:rsidRPr="00BE78CA">
              <w:t>New Zealand specific</w:t>
            </w:r>
          </w:p>
        </w:tc>
        <w:tc>
          <w:tcPr>
            <w:tcW w:w="2126" w:type="dxa"/>
            <w:tcBorders>
              <w:top w:val="single" w:sz="4" w:space="0" w:color="365F91"/>
              <w:left w:val="nil"/>
              <w:bottom w:val="single" w:sz="4" w:space="0" w:color="365F91"/>
              <w:right w:val="nil"/>
            </w:tcBorders>
            <w:hideMark/>
          </w:tcPr>
          <w:p w14:paraId="691F92D8" w14:textId="77777777" w:rsidR="00FB19C0" w:rsidRPr="00BE78CA" w:rsidRDefault="00FB19C0" w:rsidP="00F37E7A">
            <w:pPr>
              <w:pStyle w:val="TableText"/>
              <w:keepNext/>
              <w:spacing w:before="40" w:after="40"/>
            </w:pPr>
            <w:r w:rsidRPr="00BE78CA">
              <w:t>SCS Wetherill Environmental (unpublished)</w:t>
            </w:r>
          </w:p>
        </w:tc>
      </w:tr>
      <w:tr w:rsidR="00FB19C0" w:rsidRPr="00BE78CA" w14:paraId="0016C2C0" w14:textId="77777777" w:rsidTr="00F625B1">
        <w:tc>
          <w:tcPr>
            <w:tcW w:w="2376" w:type="dxa"/>
            <w:tcBorders>
              <w:top w:val="single" w:sz="4" w:space="0" w:color="365F91"/>
              <w:left w:val="nil"/>
              <w:bottom w:val="single" w:sz="4" w:space="0" w:color="365F91"/>
              <w:right w:val="nil"/>
            </w:tcBorders>
            <w:hideMark/>
          </w:tcPr>
          <w:p w14:paraId="7ABC7C16" w14:textId="77777777" w:rsidR="00FB19C0" w:rsidRPr="00BE78CA" w:rsidRDefault="00FB19C0" w:rsidP="00C26084">
            <w:pPr>
              <w:pStyle w:val="TableText"/>
              <w:spacing w:before="40" w:after="40"/>
            </w:pPr>
            <w:r w:rsidRPr="00BE78CA">
              <w:t>Ratio of total nitrogen to biodegradable COD (TN:COD</w:t>
            </w:r>
            <w:r w:rsidRPr="00BE78CA">
              <w:rPr>
                <w:vertAlign w:val="subscript"/>
              </w:rPr>
              <w:t>b</w:t>
            </w:r>
            <w:r w:rsidRPr="00BE78CA">
              <w:t>)</w:t>
            </w:r>
          </w:p>
        </w:tc>
        <w:tc>
          <w:tcPr>
            <w:tcW w:w="2160" w:type="dxa"/>
            <w:tcBorders>
              <w:top w:val="single" w:sz="4" w:space="0" w:color="365F91"/>
              <w:left w:val="nil"/>
              <w:bottom w:val="single" w:sz="4" w:space="0" w:color="365F91"/>
              <w:right w:val="nil"/>
            </w:tcBorders>
            <w:hideMark/>
          </w:tcPr>
          <w:p w14:paraId="2BF15FB0" w14:textId="77777777" w:rsidR="00FB19C0" w:rsidRPr="00BE78CA" w:rsidRDefault="00FB19C0" w:rsidP="00C26084">
            <w:pPr>
              <w:pStyle w:val="TableText"/>
              <w:spacing w:before="40" w:after="40"/>
            </w:pPr>
            <w:r w:rsidRPr="00BE78CA">
              <w:t>0.090</w:t>
            </w:r>
          </w:p>
        </w:tc>
        <w:tc>
          <w:tcPr>
            <w:tcW w:w="1843" w:type="dxa"/>
            <w:tcBorders>
              <w:top w:val="single" w:sz="4" w:space="0" w:color="365F91"/>
              <w:left w:val="nil"/>
              <w:bottom w:val="single" w:sz="4" w:space="0" w:color="365F91"/>
              <w:right w:val="nil"/>
            </w:tcBorders>
            <w:hideMark/>
          </w:tcPr>
          <w:p w14:paraId="65F0BAFA" w14:textId="77777777" w:rsidR="00FB19C0" w:rsidRPr="00BE78CA" w:rsidRDefault="00FB19C0" w:rsidP="00C26084">
            <w:pPr>
              <w:pStyle w:val="TableText"/>
              <w:spacing w:before="40" w:after="40"/>
            </w:pPr>
            <w:r w:rsidRPr="00BE78CA">
              <w:t>New Zealand specific</w:t>
            </w:r>
          </w:p>
        </w:tc>
        <w:tc>
          <w:tcPr>
            <w:tcW w:w="2126" w:type="dxa"/>
            <w:tcBorders>
              <w:top w:val="single" w:sz="4" w:space="0" w:color="365F91"/>
              <w:left w:val="nil"/>
              <w:bottom w:val="single" w:sz="4" w:space="0" w:color="365F91"/>
              <w:right w:val="nil"/>
            </w:tcBorders>
            <w:hideMark/>
          </w:tcPr>
          <w:p w14:paraId="5F41F311" w14:textId="77777777" w:rsidR="00FB19C0" w:rsidRPr="00BE78CA" w:rsidRDefault="00FB19C0" w:rsidP="00C26084">
            <w:pPr>
              <w:pStyle w:val="TableText"/>
              <w:spacing w:before="40" w:after="40"/>
            </w:pPr>
            <w:r w:rsidRPr="00BE78CA">
              <w:t>Cardno (unpublished)</w:t>
            </w:r>
          </w:p>
        </w:tc>
      </w:tr>
      <w:tr w:rsidR="00FB19C0" w:rsidRPr="00BE78CA" w14:paraId="3B99072F" w14:textId="77777777" w:rsidTr="00F625B1">
        <w:tc>
          <w:tcPr>
            <w:tcW w:w="2376" w:type="dxa"/>
            <w:tcBorders>
              <w:top w:val="single" w:sz="4" w:space="0" w:color="365F91"/>
              <w:left w:val="nil"/>
              <w:bottom w:val="single" w:sz="4" w:space="0" w:color="365F91"/>
              <w:right w:val="nil"/>
            </w:tcBorders>
            <w:hideMark/>
          </w:tcPr>
          <w:p w14:paraId="0439DEA0" w14:textId="77777777" w:rsidR="00FB19C0" w:rsidRPr="00BE78CA" w:rsidRDefault="00FB19C0" w:rsidP="00C26084">
            <w:pPr>
              <w:pStyle w:val="TableText"/>
              <w:spacing w:before="40" w:after="40"/>
            </w:pPr>
            <w:r w:rsidRPr="00BE78CA">
              <w:t>Overall emission factor</w:t>
            </w:r>
          </w:p>
        </w:tc>
        <w:tc>
          <w:tcPr>
            <w:tcW w:w="2160" w:type="dxa"/>
            <w:tcBorders>
              <w:top w:val="single" w:sz="4" w:space="0" w:color="365F91"/>
              <w:left w:val="nil"/>
              <w:bottom w:val="single" w:sz="4" w:space="0" w:color="365F91"/>
              <w:right w:val="nil"/>
            </w:tcBorders>
            <w:hideMark/>
          </w:tcPr>
          <w:p w14:paraId="3B1E4D4F" w14:textId="42318B83" w:rsidR="00FB19C0" w:rsidRPr="00BE78CA" w:rsidRDefault="00FB19C0" w:rsidP="00C26084">
            <w:pPr>
              <w:pStyle w:val="TableText"/>
              <w:spacing w:before="40" w:after="40"/>
            </w:pPr>
            <w:r w:rsidRPr="00BE78CA">
              <w:t>Range of 0.0013–0.0019</w:t>
            </w:r>
          </w:p>
        </w:tc>
        <w:tc>
          <w:tcPr>
            <w:tcW w:w="1843" w:type="dxa"/>
            <w:tcBorders>
              <w:top w:val="single" w:sz="4" w:space="0" w:color="365F91"/>
              <w:left w:val="nil"/>
              <w:bottom w:val="single" w:sz="4" w:space="0" w:color="365F91"/>
              <w:right w:val="nil"/>
            </w:tcBorders>
            <w:hideMark/>
          </w:tcPr>
          <w:p w14:paraId="1488A524" w14:textId="77777777" w:rsidR="00FB19C0" w:rsidRPr="00BE78CA" w:rsidRDefault="00FB19C0" w:rsidP="00C26084">
            <w:pPr>
              <w:pStyle w:val="TableText"/>
              <w:spacing w:before="40" w:after="40"/>
            </w:pPr>
            <w:r w:rsidRPr="00BE78CA">
              <w:t>New Zealand specific</w:t>
            </w:r>
          </w:p>
        </w:tc>
        <w:tc>
          <w:tcPr>
            <w:tcW w:w="2126" w:type="dxa"/>
            <w:tcBorders>
              <w:top w:val="single" w:sz="4" w:space="0" w:color="365F91"/>
              <w:left w:val="nil"/>
              <w:bottom w:val="single" w:sz="4" w:space="0" w:color="365F91"/>
              <w:right w:val="nil"/>
            </w:tcBorders>
            <w:hideMark/>
          </w:tcPr>
          <w:p w14:paraId="59340462" w14:textId="77777777" w:rsidR="00FB19C0" w:rsidRPr="00BE78CA" w:rsidRDefault="00FB19C0" w:rsidP="00C26084">
            <w:pPr>
              <w:pStyle w:val="TableText"/>
              <w:spacing w:before="40" w:after="40"/>
            </w:pPr>
            <w:r w:rsidRPr="00BE78CA">
              <w:t>Cardno (unpublished)</w:t>
            </w:r>
          </w:p>
        </w:tc>
      </w:tr>
    </w:tbl>
    <w:p w14:paraId="78B558E8" w14:textId="77777777" w:rsidR="00FB19C0" w:rsidRPr="00BE78CA" w:rsidRDefault="00FB19C0" w:rsidP="00FB19C0">
      <w:pPr>
        <w:pStyle w:val="Noteundertable"/>
        <w:spacing w:before="80"/>
      </w:pPr>
      <w:r w:rsidRPr="00BE78CA">
        <w:rPr>
          <w:b/>
        </w:rPr>
        <w:t>Note:</w:t>
      </w:r>
      <w:r w:rsidRPr="00BE78CA">
        <w:t xml:space="preserve"> </w:t>
      </w:r>
      <w:r w:rsidRPr="00BE78CA">
        <w:tab/>
        <w:t>COD = chemical oxygen demand.</w:t>
      </w:r>
    </w:p>
    <w:p w14:paraId="6020BD62" w14:textId="77777777" w:rsidR="00FB19C0" w:rsidRPr="00BE78CA" w:rsidRDefault="00FB19C0" w:rsidP="00FB19C0">
      <w:pPr>
        <w:pStyle w:val="Heading6"/>
        <w:spacing w:before="120"/>
      </w:pPr>
      <w:r w:rsidRPr="00BE78CA">
        <w:rPr>
          <w:lang w:eastAsia="en-NZ"/>
        </w:rPr>
        <w:lastRenderedPageBreak/>
        <w:t>Recovery</w:t>
      </w:r>
    </w:p>
    <w:p w14:paraId="630E313D" w14:textId="77777777" w:rsidR="00FB19C0" w:rsidRPr="00BE78CA" w:rsidRDefault="00FB19C0" w:rsidP="00FB19C0">
      <w:pPr>
        <w:pStyle w:val="BodyText"/>
        <w:spacing w:before="80"/>
      </w:pPr>
      <w:r w:rsidRPr="00BE78CA">
        <w:t>There is no recovery of emissions reported for this source.</w:t>
      </w:r>
    </w:p>
    <w:p w14:paraId="3283ECCB" w14:textId="77777777" w:rsidR="00FB19C0" w:rsidRPr="00BE78CA" w:rsidRDefault="00FB19C0" w:rsidP="00FB19C0">
      <w:pPr>
        <w:pStyle w:val="Heading5"/>
        <w:spacing w:before="120"/>
      </w:pPr>
      <w:r w:rsidRPr="00BE78CA">
        <w:t>Nitrous oxide emissions from industrial wastewater treatment – Dairy processing industry</w:t>
      </w:r>
    </w:p>
    <w:p w14:paraId="0A1FF659" w14:textId="77777777" w:rsidR="00FB19C0" w:rsidRPr="00BE78CA" w:rsidRDefault="00FB19C0" w:rsidP="00FB19C0">
      <w:pPr>
        <w:pStyle w:val="BodyText"/>
        <w:spacing w:before="80"/>
      </w:pPr>
      <w:r w:rsidRPr="00BE78CA">
        <w:t>Table 7.5.14 provides a summary of the parameter values applied for estimating N</w:t>
      </w:r>
      <w:r w:rsidRPr="00BE78CA">
        <w:rPr>
          <w:vertAlign w:val="subscript"/>
        </w:rPr>
        <w:t>2</w:t>
      </w:r>
      <w:r w:rsidRPr="00BE78CA">
        <w:t>O emissions from wastewater treatment by the dairy processing industry.</w:t>
      </w:r>
    </w:p>
    <w:p w14:paraId="073A7C91" w14:textId="77777777" w:rsidR="00FB19C0" w:rsidRPr="00BE78CA" w:rsidRDefault="00FB19C0" w:rsidP="00FB19C0">
      <w:pPr>
        <w:pStyle w:val="Table"/>
      </w:pPr>
      <w:bookmarkStart w:id="3144" w:name="_Toc32828549"/>
      <w:bookmarkStart w:id="3145" w:name="_Toc32591379"/>
      <w:bookmarkStart w:id="3146" w:name="_Toc5269591"/>
      <w:bookmarkStart w:id="3147" w:name="_Toc511116842"/>
      <w:bookmarkStart w:id="3148" w:name="_Toc508019343"/>
      <w:bookmarkStart w:id="3149" w:name="_Toc481751616"/>
      <w:bookmarkStart w:id="3150" w:name="_Toc451176186"/>
      <w:bookmarkStart w:id="3151" w:name="_Toc444001634"/>
      <w:bookmarkStart w:id="3152" w:name="_Toc36224672"/>
      <w:bookmarkStart w:id="3153" w:name="_Toc68786558"/>
      <w:r w:rsidRPr="00BE78CA">
        <w:t>Table 7.5.14</w:t>
      </w:r>
      <w:r w:rsidRPr="00BE78CA">
        <w:tab/>
        <w:t>Parameter values applied by New Zealand for estimating nitrous oxide emissions</w:t>
      </w:r>
      <w:r w:rsidRPr="00BE78CA">
        <w:br/>
        <w:t>for wastewater treatment for the dairy processing industry</w:t>
      </w:r>
      <w:bookmarkEnd w:id="3144"/>
      <w:bookmarkEnd w:id="3145"/>
      <w:bookmarkEnd w:id="3146"/>
      <w:bookmarkEnd w:id="3147"/>
      <w:bookmarkEnd w:id="3148"/>
      <w:bookmarkEnd w:id="3149"/>
      <w:bookmarkEnd w:id="3150"/>
      <w:bookmarkEnd w:id="3151"/>
      <w:bookmarkEnd w:id="3152"/>
      <w:bookmarkEnd w:id="3153"/>
    </w:p>
    <w:tbl>
      <w:tblPr>
        <w:tblW w:w="8505" w:type="dxa"/>
        <w:tblBorders>
          <w:top w:val="single" w:sz="4" w:space="0" w:color="365F91"/>
          <w:bottom w:val="single" w:sz="4" w:space="0" w:color="365F91"/>
          <w:insideH w:val="single" w:sz="4" w:space="0" w:color="365F91"/>
        </w:tblBorders>
        <w:tblLook w:val="04A0" w:firstRow="1" w:lastRow="0" w:firstColumn="1" w:lastColumn="0" w:noHBand="0" w:noVBand="1"/>
      </w:tblPr>
      <w:tblGrid>
        <w:gridCol w:w="4111"/>
        <w:gridCol w:w="851"/>
        <w:gridCol w:w="1701"/>
        <w:gridCol w:w="1842"/>
      </w:tblGrid>
      <w:tr w:rsidR="00FB19C0" w:rsidRPr="00BE78CA" w14:paraId="670558AB" w14:textId="77777777" w:rsidTr="00F37E7A">
        <w:tc>
          <w:tcPr>
            <w:tcW w:w="4111" w:type="dxa"/>
            <w:tcBorders>
              <w:top w:val="single" w:sz="4" w:space="0" w:color="365F91"/>
              <w:left w:val="nil"/>
              <w:bottom w:val="single" w:sz="4" w:space="0" w:color="365F91"/>
              <w:right w:val="nil"/>
            </w:tcBorders>
            <w:shd w:val="clear" w:color="auto" w:fill="365F91"/>
            <w:hideMark/>
          </w:tcPr>
          <w:p w14:paraId="69C97E0C" w14:textId="77777777" w:rsidR="00FB19C0" w:rsidRPr="00BE78CA" w:rsidRDefault="00FB19C0" w:rsidP="00C26084">
            <w:pPr>
              <w:pStyle w:val="TableTextBold"/>
              <w:spacing w:before="40" w:after="40"/>
              <w:rPr>
                <w:noProof w:val="0"/>
                <w:color w:val="FFFFFF"/>
              </w:rPr>
            </w:pPr>
            <w:r w:rsidRPr="00BE78CA">
              <w:rPr>
                <w:noProof w:val="0"/>
                <w:color w:val="FFFFFF"/>
              </w:rPr>
              <w:t>Parameter</w:t>
            </w:r>
          </w:p>
        </w:tc>
        <w:tc>
          <w:tcPr>
            <w:tcW w:w="851" w:type="dxa"/>
            <w:tcBorders>
              <w:top w:val="single" w:sz="4" w:space="0" w:color="365F91"/>
              <w:left w:val="nil"/>
              <w:bottom w:val="single" w:sz="4" w:space="0" w:color="365F91"/>
              <w:right w:val="nil"/>
            </w:tcBorders>
            <w:shd w:val="clear" w:color="auto" w:fill="365F91"/>
            <w:hideMark/>
          </w:tcPr>
          <w:p w14:paraId="71F5751D" w14:textId="77777777" w:rsidR="00FB19C0" w:rsidRPr="00BE78CA" w:rsidRDefault="00FB19C0" w:rsidP="00C26084">
            <w:pPr>
              <w:pStyle w:val="TableTextBold"/>
              <w:spacing w:before="40" w:after="40"/>
              <w:rPr>
                <w:noProof w:val="0"/>
                <w:color w:val="FFFFFF"/>
              </w:rPr>
            </w:pPr>
            <w:r w:rsidRPr="00BE78CA">
              <w:rPr>
                <w:noProof w:val="0"/>
                <w:color w:val="FFFFFF"/>
              </w:rPr>
              <w:t>Value</w:t>
            </w:r>
          </w:p>
        </w:tc>
        <w:tc>
          <w:tcPr>
            <w:tcW w:w="1701" w:type="dxa"/>
            <w:tcBorders>
              <w:top w:val="single" w:sz="4" w:space="0" w:color="365F91"/>
              <w:left w:val="nil"/>
              <w:bottom w:val="single" w:sz="4" w:space="0" w:color="365F91"/>
              <w:right w:val="nil"/>
            </w:tcBorders>
            <w:shd w:val="clear" w:color="auto" w:fill="365F91"/>
            <w:hideMark/>
          </w:tcPr>
          <w:p w14:paraId="709AC2CF" w14:textId="77777777" w:rsidR="00FB19C0" w:rsidRPr="00BE78CA" w:rsidRDefault="00FB19C0" w:rsidP="00C26084">
            <w:pPr>
              <w:pStyle w:val="TableTextBold"/>
              <w:spacing w:before="40" w:after="40"/>
              <w:rPr>
                <w:noProof w:val="0"/>
                <w:color w:val="FFFFFF"/>
              </w:rPr>
            </w:pPr>
            <w:r w:rsidRPr="00BE78CA">
              <w:rPr>
                <w:noProof w:val="0"/>
                <w:color w:val="FFFFFF"/>
              </w:rPr>
              <w:t>Source</w:t>
            </w:r>
          </w:p>
        </w:tc>
        <w:tc>
          <w:tcPr>
            <w:tcW w:w="1842" w:type="dxa"/>
            <w:tcBorders>
              <w:top w:val="single" w:sz="4" w:space="0" w:color="365F91"/>
              <w:left w:val="nil"/>
              <w:bottom w:val="single" w:sz="4" w:space="0" w:color="365F91"/>
              <w:right w:val="nil"/>
            </w:tcBorders>
            <w:shd w:val="clear" w:color="auto" w:fill="365F91"/>
            <w:hideMark/>
          </w:tcPr>
          <w:p w14:paraId="7C3060FA" w14:textId="77777777" w:rsidR="00FB19C0" w:rsidRPr="00BE78CA" w:rsidRDefault="00FB19C0" w:rsidP="00C26084">
            <w:pPr>
              <w:pStyle w:val="TableTextBold"/>
              <w:spacing w:before="40" w:after="40"/>
              <w:rPr>
                <w:noProof w:val="0"/>
                <w:color w:val="FFFFFF"/>
              </w:rPr>
            </w:pPr>
            <w:r w:rsidRPr="00BE78CA">
              <w:rPr>
                <w:noProof w:val="0"/>
                <w:color w:val="FFFFFF"/>
              </w:rPr>
              <w:t>Reference</w:t>
            </w:r>
          </w:p>
        </w:tc>
      </w:tr>
      <w:tr w:rsidR="00FB19C0" w:rsidRPr="00BE78CA" w14:paraId="14B484DF" w14:textId="77777777" w:rsidTr="00F37E7A">
        <w:tc>
          <w:tcPr>
            <w:tcW w:w="4111" w:type="dxa"/>
            <w:tcBorders>
              <w:top w:val="single" w:sz="4" w:space="0" w:color="365F91"/>
              <w:left w:val="nil"/>
              <w:bottom w:val="single" w:sz="4" w:space="0" w:color="365F91"/>
              <w:right w:val="nil"/>
            </w:tcBorders>
            <w:hideMark/>
          </w:tcPr>
          <w:p w14:paraId="53279015" w14:textId="77777777" w:rsidR="00FB19C0" w:rsidRPr="00BE78CA" w:rsidRDefault="00FB19C0" w:rsidP="00C26084">
            <w:pPr>
              <w:pStyle w:val="TableText"/>
              <w:spacing w:before="40" w:after="40"/>
            </w:pPr>
            <w:r w:rsidRPr="00BE78CA">
              <w:t>Degradable organic component (kg COD/tonne of product)</w:t>
            </w:r>
          </w:p>
        </w:tc>
        <w:tc>
          <w:tcPr>
            <w:tcW w:w="851" w:type="dxa"/>
            <w:tcBorders>
              <w:top w:val="single" w:sz="4" w:space="0" w:color="365F91"/>
              <w:left w:val="nil"/>
              <w:bottom w:val="single" w:sz="4" w:space="0" w:color="365F91"/>
              <w:right w:val="nil"/>
            </w:tcBorders>
            <w:hideMark/>
          </w:tcPr>
          <w:p w14:paraId="2FCF480D" w14:textId="77777777" w:rsidR="00FB19C0" w:rsidRPr="00BE78CA" w:rsidRDefault="00FB19C0" w:rsidP="00C26084">
            <w:pPr>
              <w:pStyle w:val="TableText"/>
              <w:spacing w:before="40" w:after="40"/>
            </w:pPr>
            <w:r w:rsidRPr="00BE78CA">
              <w:t>2</w:t>
            </w:r>
          </w:p>
        </w:tc>
        <w:tc>
          <w:tcPr>
            <w:tcW w:w="1701" w:type="dxa"/>
            <w:tcBorders>
              <w:top w:val="single" w:sz="4" w:space="0" w:color="365F91"/>
              <w:left w:val="nil"/>
              <w:bottom w:val="single" w:sz="4" w:space="0" w:color="365F91"/>
              <w:right w:val="nil"/>
            </w:tcBorders>
            <w:hideMark/>
          </w:tcPr>
          <w:p w14:paraId="3E0BED12" w14:textId="77777777" w:rsidR="00FB19C0" w:rsidRPr="00BE78CA" w:rsidRDefault="00FB19C0" w:rsidP="00C26084">
            <w:pPr>
              <w:pStyle w:val="TableText"/>
              <w:spacing w:before="40" w:after="40"/>
            </w:pPr>
            <w:r w:rsidRPr="00BE78CA">
              <w:t>New Zealand specific</w:t>
            </w:r>
          </w:p>
        </w:tc>
        <w:tc>
          <w:tcPr>
            <w:tcW w:w="1842" w:type="dxa"/>
            <w:tcBorders>
              <w:top w:val="single" w:sz="4" w:space="0" w:color="365F91"/>
              <w:left w:val="nil"/>
              <w:bottom w:val="single" w:sz="4" w:space="0" w:color="365F91"/>
              <w:right w:val="nil"/>
            </w:tcBorders>
            <w:hideMark/>
          </w:tcPr>
          <w:p w14:paraId="6A9296EA" w14:textId="77777777" w:rsidR="00FB19C0" w:rsidRPr="00BE78CA" w:rsidRDefault="00FB19C0" w:rsidP="00C26084">
            <w:pPr>
              <w:pStyle w:val="TableText"/>
              <w:spacing w:before="40" w:after="40"/>
            </w:pPr>
            <w:r w:rsidRPr="00BE78CA">
              <w:t>Cardno (unpublished)</w:t>
            </w:r>
          </w:p>
        </w:tc>
      </w:tr>
      <w:tr w:rsidR="00FB19C0" w:rsidRPr="00BE78CA" w14:paraId="158A8ACD" w14:textId="77777777" w:rsidTr="00F37E7A">
        <w:tc>
          <w:tcPr>
            <w:tcW w:w="4111" w:type="dxa"/>
            <w:tcBorders>
              <w:top w:val="single" w:sz="4" w:space="0" w:color="365F91"/>
              <w:left w:val="nil"/>
              <w:bottom w:val="single" w:sz="4" w:space="0" w:color="365F91"/>
              <w:right w:val="nil"/>
            </w:tcBorders>
            <w:hideMark/>
          </w:tcPr>
          <w:p w14:paraId="6C5A2E22" w14:textId="77777777" w:rsidR="00FB19C0" w:rsidRPr="00BE78CA" w:rsidRDefault="00FB19C0" w:rsidP="00C26084">
            <w:pPr>
              <w:pStyle w:val="TableText"/>
              <w:spacing w:before="40" w:after="40"/>
            </w:pPr>
            <w:r w:rsidRPr="00BE78CA">
              <w:t>Ratio of total nitrogen to biodegradable COD (TN:COD</w:t>
            </w:r>
            <w:r w:rsidRPr="00BE78CA">
              <w:rPr>
                <w:vertAlign w:val="subscript"/>
              </w:rPr>
              <w:t>b</w:t>
            </w:r>
            <w:r w:rsidRPr="00BE78CA">
              <w:t>)</w:t>
            </w:r>
          </w:p>
        </w:tc>
        <w:tc>
          <w:tcPr>
            <w:tcW w:w="851" w:type="dxa"/>
            <w:tcBorders>
              <w:top w:val="single" w:sz="4" w:space="0" w:color="365F91"/>
              <w:left w:val="nil"/>
              <w:bottom w:val="single" w:sz="4" w:space="0" w:color="365F91"/>
              <w:right w:val="nil"/>
            </w:tcBorders>
            <w:hideMark/>
          </w:tcPr>
          <w:p w14:paraId="5AA8C75C" w14:textId="77777777" w:rsidR="00FB19C0" w:rsidRPr="00BE78CA" w:rsidRDefault="00FB19C0" w:rsidP="00C26084">
            <w:pPr>
              <w:pStyle w:val="TableText"/>
              <w:spacing w:before="40" w:after="40"/>
            </w:pPr>
            <w:r w:rsidRPr="00BE78CA">
              <w:t>0.044</w:t>
            </w:r>
          </w:p>
        </w:tc>
        <w:tc>
          <w:tcPr>
            <w:tcW w:w="1701" w:type="dxa"/>
            <w:tcBorders>
              <w:top w:val="single" w:sz="4" w:space="0" w:color="365F91"/>
              <w:left w:val="nil"/>
              <w:bottom w:val="single" w:sz="4" w:space="0" w:color="365F91"/>
              <w:right w:val="nil"/>
            </w:tcBorders>
            <w:hideMark/>
          </w:tcPr>
          <w:p w14:paraId="17F4FBC0" w14:textId="77777777" w:rsidR="00FB19C0" w:rsidRPr="00BE78CA" w:rsidRDefault="00FB19C0" w:rsidP="00C26084">
            <w:pPr>
              <w:pStyle w:val="TableText"/>
              <w:spacing w:before="40" w:after="40"/>
            </w:pPr>
            <w:r w:rsidRPr="00BE78CA">
              <w:t>New Zealand specific</w:t>
            </w:r>
          </w:p>
        </w:tc>
        <w:tc>
          <w:tcPr>
            <w:tcW w:w="1842" w:type="dxa"/>
            <w:tcBorders>
              <w:top w:val="single" w:sz="4" w:space="0" w:color="365F91"/>
              <w:left w:val="nil"/>
              <w:bottom w:val="single" w:sz="4" w:space="0" w:color="365F91"/>
              <w:right w:val="nil"/>
            </w:tcBorders>
            <w:hideMark/>
          </w:tcPr>
          <w:p w14:paraId="2C6ABABC" w14:textId="77777777" w:rsidR="00FB19C0" w:rsidRPr="00BE78CA" w:rsidRDefault="00FB19C0" w:rsidP="00C26084">
            <w:pPr>
              <w:pStyle w:val="TableText"/>
              <w:spacing w:before="40" w:after="40"/>
            </w:pPr>
            <w:r w:rsidRPr="00BE78CA">
              <w:t>Cardno (unpublished)</w:t>
            </w:r>
          </w:p>
        </w:tc>
      </w:tr>
      <w:tr w:rsidR="00FB19C0" w:rsidRPr="00BE78CA" w14:paraId="785A65F3" w14:textId="77777777" w:rsidTr="00F37E7A">
        <w:tc>
          <w:tcPr>
            <w:tcW w:w="4111" w:type="dxa"/>
            <w:tcBorders>
              <w:top w:val="single" w:sz="4" w:space="0" w:color="365F91"/>
              <w:left w:val="nil"/>
              <w:bottom w:val="single" w:sz="4" w:space="0" w:color="365F91"/>
              <w:right w:val="nil"/>
            </w:tcBorders>
            <w:hideMark/>
          </w:tcPr>
          <w:p w14:paraId="7EFB9F67" w14:textId="77777777" w:rsidR="00FB19C0" w:rsidRPr="00BE78CA" w:rsidRDefault="00FB19C0" w:rsidP="00C26084">
            <w:pPr>
              <w:pStyle w:val="TableText"/>
              <w:spacing w:before="40" w:after="40"/>
            </w:pPr>
            <w:r w:rsidRPr="00BE78CA">
              <w:t>Overall emission factor</w:t>
            </w:r>
          </w:p>
        </w:tc>
        <w:tc>
          <w:tcPr>
            <w:tcW w:w="851" w:type="dxa"/>
            <w:tcBorders>
              <w:top w:val="single" w:sz="4" w:space="0" w:color="365F91"/>
              <w:left w:val="nil"/>
              <w:bottom w:val="single" w:sz="4" w:space="0" w:color="365F91"/>
              <w:right w:val="nil"/>
            </w:tcBorders>
            <w:hideMark/>
          </w:tcPr>
          <w:p w14:paraId="161F36D2" w14:textId="77777777" w:rsidR="00FB19C0" w:rsidRPr="00BE78CA" w:rsidRDefault="00FB19C0" w:rsidP="00C26084">
            <w:pPr>
              <w:pStyle w:val="TableText"/>
              <w:spacing w:before="40" w:after="40"/>
            </w:pPr>
            <w:r w:rsidRPr="00BE78CA">
              <w:t>0.0028</w:t>
            </w:r>
          </w:p>
        </w:tc>
        <w:tc>
          <w:tcPr>
            <w:tcW w:w="1701" w:type="dxa"/>
            <w:tcBorders>
              <w:top w:val="single" w:sz="4" w:space="0" w:color="365F91"/>
              <w:left w:val="nil"/>
              <w:bottom w:val="single" w:sz="4" w:space="0" w:color="365F91"/>
              <w:right w:val="nil"/>
            </w:tcBorders>
            <w:hideMark/>
          </w:tcPr>
          <w:p w14:paraId="4686C844" w14:textId="77777777" w:rsidR="00FB19C0" w:rsidRPr="00BE78CA" w:rsidRDefault="00FB19C0" w:rsidP="00C26084">
            <w:pPr>
              <w:pStyle w:val="TableText"/>
              <w:spacing w:before="40" w:after="40"/>
            </w:pPr>
            <w:r w:rsidRPr="00BE78CA">
              <w:t>New Zealand specific</w:t>
            </w:r>
          </w:p>
        </w:tc>
        <w:tc>
          <w:tcPr>
            <w:tcW w:w="1842" w:type="dxa"/>
            <w:tcBorders>
              <w:top w:val="single" w:sz="4" w:space="0" w:color="365F91"/>
              <w:left w:val="nil"/>
              <w:bottom w:val="single" w:sz="4" w:space="0" w:color="365F91"/>
              <w:right w:val="nil"/>
            </w:tcBorders>
            <w:hideMark/>
          </w:tcPr>
          <w:p w14:paraId="3BBDB876" w14:textId="77777777" w:rsidR="00FB19C0" w:rsidRPr="00BE78CA" w:rsidRDefault="00FB19C0" w:rsidP="00C26084">
            <w:pPr>
              <w:pStyle w:val="TableText"/>
              <w:spacing w:before="40" w:after="40"/>
            </w:pPr>
            <w:r w:rsidRPr="00BE78CA">
              <w:t>Cardno (unpublished)</w:t>
            </w:r>
          </w:p>
        </w:tc>
      </w:tr>
    </w:tbl>
    <w:p w14:paraId="3F060860" w14:textId="77777777" w:rsidR="00FB19C0" w:rsidRPr="00BE78CA" w:rsidRDefault="00FB19C0" w:rsidP="00FB19C0">
      <w:pPr>
        <w:pStyle w:val="Noteundertable"/>
        <w:spacing w:before="80"/>
      </w:pPr>
      <w:r w:rsidRPr="00BE78CA">
        <w:rPr>
          <w:b/>
        </w:rPr>
        <w:t>Note:</w:t>
      </w:r>
      <w:r w:rsidRPr="00BE78CA">
        <w:t xml:space="preserve"> </w:t>
      </w:r>
      <w:r w:rsidRPr="00BE78CA">
        <w:tab/>
        <w:t>COD = chemical oxygen demand.</w:t>
      </w:r>
    </w:p>
    <w:p w14:paraId="657C1055" w14:textId="77777777" w:rsidR="00FB19C0" w:rsidRPr="00BE78CA" w:rsidRDefault="00FB19C0" w:rsidP="00FB19C0">
      <w:pPr>
        <w:pStyle w:val="Heading6"/>
      </w:pPr>
      <w:r w:rsidRPr="00BE78CA">
        <w:rPr>
          <w:lang w:eastAsia="en-NZ"/>
        </w:rPr>
        <w:t>Recovery</w:t>
      </w:r>
    </w:p>
    <w:p w14:paraId="638B7554" w14:textId="77777777" w:rsidR="00FB19C0" w:rsidRPr="00BE78CA" w:rsidRDefault="00FB19C0" w:rsidP="00FB19C0">
      <w:pPr>
        <w:pStyle w:val="BodyText"/>
        <w:spacing w:before="80" w:after="80"/>
      </w:pPr>
      <w:r w:rsidRPr="00BE78CA">
        <w:t>There is no recovery of emissions reported for this source.</w:t>
      </w:r>
    </w:p>
    <w:p w14:paraId="7820F94B" w14:textId="77777777" w:rsidR="00FB19C0" w:rsidRPr="00BE78CA" w:rsidRDefault="00FB19C0" w:rsidP="00FB19C0">
      <w:pPr>
        <w:pStyle w:val="Heading5"/>
        <w:spacing w:before="160"/>
        <w:ind w:right="-113"/>
        <w:rPr>
          <w:spacing w:val="-2"/>
        </w:rPr>
      </w:pPr>
      <w:r w:rsidRPr="00BE78CA">
        <w:rPr>
          <w:spacing w:val="-2"/>
        </w:rPr>
        <w:t>Nitrous oxide emissions from industrial wastewater treatment – Leather and skins industry</w:t>
      </w:r>
    </w:p>
    <w:p w14:paraId="2408B406" w14:textId="77777777" w:rsidR="00FB19C0" w:rsidRPr="00BE78CA" w:rsidRDefault="00FB19C0" w:rsidP="00FB19C0">
      <w:pPr>
        <w:pStyle w:val="BodyText"/>
      </w:pPr>
      <w:r w:rsidRPr="00BE78CA">
        <w:t>Table 7.5.15 provides a summary of the parameter values applied for estimating N</w:t>
      </w:r>
      <w:r w:rsidRPr="00BE78CA">
        <w:rPr>
          <w:vertAlign w:val="subscript"/>
        </w:rPr>
        <w:t>2</w:t>
      </w:r>
      <w:r w:rsidRPr="00BE78CA">
        <w:t>O emissions from wastewater treatment by the leather and skins industry.</w:t>
      </w:r>
    </w:p>
    <w:p w14:paraId="7CEF14BB" w14:textId="77777777" w:rsidR="00FB19C0" w:rsidRPr="00BE78CA" w:rsidRDefault="00FB19C0" w:rsidP="00FB19C0">
      <w:pPr>
        <w:pStyle w:val="Table"/>
      </w:pPr>
      <w:bookmarkStart w:id="3154" w:name="_Toc32828550"/>
      <w:bookmarkStart w:id="3155" w:name="_Toc32591380"/>
      <w:bookmarkStart w:id="3156" w:name="_Toc5269592"/>
      <w:bookmarkStart w:id="3157" w:name="_Toc511116843"/>
      <w:bookmarkStart w:id="3158" w:name="_Toc36224673"/>
      <w:bookmarkStart w:id="3159" w:name="_Toc68786559"/>
      <w:r w:rsidRPr="00BE78CA">
        <w:t>Table 7.5.15</w:t>
      </w:r>
      <w:r w:rsidRPr="00BE78CA">
        <w:tab/>
        <w:t>Parameter values applied by New Zealand for estimating nitrous oxide emissions</w:t>
      </w:r>
      <w:r w:rsidRPr="00BE78CA">
        <w:br/>
        <w:t>for wastewater treatment for the meat industry</w:t>
      </w:r>
      <w:bookmarkEnd w:id="3154"/>
      <w:bookmarkEnd w:id="3155"/>
      <w:bookmarkEnd w:id="3156"/>
      <w:bookmarkEnd w:id="3157"/>
      <w:bookmarkEnd w:id="3158"/>
      <w:bookmarkEnd w:id="3159"/>
    </w:p>
    <w:tbl>
      <w:tblPr>
        <w:tblW w:w="8505" w:type="dxa"/>
        <w:tblBorders>
          <w:top w:val="single" w:sz="4" w:space="0" w:color="365F91"/>
          <w:bottom w:val="single" w:sz="4" w:space="0" w:color="365F91"/>
          <w:insideH w:val="single" w:sz="4" w:space="0" w:color="365F91"/>
          <w:insideV w:val="single" w:sz="4" w:space="0" w:color="365F91"/>
        </w:tblBorders>
        <w:tblLook w:val="04A0" w:firstRow="1" w:lastRow="0" w:firstColumn="1" w:lastColumn="0" w:noHBand="0" w:noVBand="1"/>
      </w:tblPr>
      <w:tblGrid>
        <w:gridCol w:w="2552"/>
        <w:gridCol w:w="709"/>
        <w:gridCol w:w="1842"/>
        <w:gridCol w:w="3402"/>
      </w:tblGrid>
      <w:tr w:rsidR="00FB19C0" w:rsidRPr="00BE78CA" w14:paraId="28FBB304" w14:textId="77777777" w:rsidTr="00CF2A9A">
        <w:tc>
          <w:tcPr>
            <w:tcW w:w="2552" w:type="dxa"/>
            <w:tcBorders>
              <w:top w:val="single" w:sz="4" w:space="0" w:color="365F91"/>
              <w:left w:val="nil"/>
              <w:bottom w:val="single" w:sz="4" w:space="0" w:color="365F91"/>
              <w:right w:val="single" w:sz="4" w:space="0" w:color="365F91"/>
            </w:tcBorders>
            <w:shd w:val="clear" w:color="auto" w:fill="365F91"/>
            <w:hideMark/>
          </w:tcPr>
          <w:p w14:paraId="7AFB3FDE" w14:textId="77777777" w:rsidR="00FB19C0" w:rsidRPr="00BE78CA" w:rsidRDefault="00FB19C0" w:rsidP="00C26084">
            <w:pPr>
              <w:pStyle w:val="TableTextBold"/>
              <w:rPr>
                <w:noProof w:val="0"/>
                <w:color w:val="FFFFFF"/>
              </w:rPr>
            </w:pPr>
            <w:r w:rsidRPr="00BE78CA">
              <w:rPr>
                <w:noProof w:val="0"/>
                <w:color w:val="FFFFFF"/>
              </w:rPr>
              <w:t>Parameter</w:t>
            </w:r>
          </w:p>
        </w:tc>
        <w:tc>
          <w:tcPr>
            <w:tcW w:w="709" w:type="dxa"/>
            <w:tcBorders>
              <w:top w:val="single" w:sz="4" w:space="0" w:color="365F91"/>
              <w:left w:val="single" w:sz="4" w:space="0" w:color="365F91"/>
              <w:bottom w:val="single" w:sz="4" w:space="0" w:color="365F91"/>
              <w:right w:val="single" w:sz="4" w:space="0" w:color="365F91"/>
            </w:tcBorders>
            <w:shd w:val="clear" w:color="auto" w:fill="365F91"/>
            <w:hideMark/>
          </w:tcPr>
          <w:p w14:paraId="13CE2442" w14:textId="77777777" w:rsidR="00FB19C0" w:rsidRPr="00BE78CA" w:rsidRDefault="00FB19C0" w:rsidP="00C26084">
            <w:pPr>
              <w:pStyle w:val="TableTextBold"/>
              <w:jc w:val="both"/>
              <w:rPr>
                <w:noProof w:val="0"/>
                <w:color w:val="FFFFFF"/>
              </w:rPr>
            </w:pPr>
            <w:r w:rsidRPr="00BE78CA">
              <w:rPr>
                <w:noProof w:val="0"/>
                <w:color w:val="FFFFFF"/>
              </w:rPr>
              <w:t>Value</w:t>
            </w:r>
          </w:p>
        </w:tc>
        <w:tc>
          <w:tcPr>
            <w:tcW w:w="1842" w:type="dxa"/>
            <w:tcBorders>
              <w:top w:val="single" w:sz="4" w:space="0" w:color="365F91"/>
              <w:left w:val="single" w:sz="4" w:space="0" w:color="365F91"/>
              <w:bottom w:val="single" w:sz="4" w:space="0" w:color="365F91"/>
              <w:right w:val="single" w:sz="4" w:space="0" w:color="365F91"/>
            </w:tcBorders>
            <w:shd w:val="clear" w:color="auto" w:fill="365F91"/>
            <w:hideMark/>
          </w:tcPr>
          <w:p w14:paraId="6651AE26" w14:textId="77777777" w:rsidR="00FB19C0" w:rsidRPr="00BE78CA" w:rsidRDefault="00FB19C0" w:rsidP="00C26084">
            <w:pPr>
              <w:pStyle w:val="TableTextBold"/>
              <w:rPr>
                <w:noProof w:val="0"/>
                <w:color w:val="FFFFFF"/>
              </w:rPr>
            </w:pPr>
            <w:r w:rsidRPr="00BE78CA">
              <w:rPr>
                <w:noProof w:val="0"/>
                <w:color w:val="FFFFFF"/>
              </w:rPr>
              <w:t>Source</w:t>
            </w:r>
          </w:p>
        </w:tc>
        <w:tc>
          <w:tcPr>
            <w:tcW w:w="3402" w:type="dxa"/>
            <w:tcBorders>
              <w:top w:val="single" w:sz="4" w:space="0" w:color="365F91"/>
              <w:left w:val="single" w:sz="4" w:space="0" w:color="365F91"/>
              <w:bottom w:val="single" w:sz="4" w:space="0" w:color="365F91"/>
              <w:right w:val="nil"/>
            </w:tcBorders>
            <w:shd w:val="clear" w:color="auto" w:fill="365F91"/>
            <w:hideMark/>
          </w:tcPr>
          <w:p w14:paraId="6692CE28" w14:textId="77777777" w:rsidR="00FB19C0" w:rsidRPr="00BE78CA" w:rsidRDefault="00FB19C0" w:rsidP="00C26084">
            <w:pPr>
              <w:pStyle w:val="TableTextBold"/>
              <w:rPr>
                <w:noProof w:val="0"/>
                <w:color w:val="FFFFFF"/>
              </w:rPr>
            </w:pPr>
            <w:r w:rsidRPr="00BE78CA">
              <w:rPr>
                <w:noProof w:val="0"/>
                <w:color w:val="FFFFFF"/>
              </w:rPr>
              <w:t>Reference</w:t>
            </w:r>
          </w:p>
        </w:tc>
      </w:tr>
      <w:tr w:rsidR="00FB19C0" w:rsidRPr="00BE78CA" w14:paraId="4EC61AE5" w14:textId="77777777" w:rsidTr="00CF2A9A">
        <w:tc>
          <w:tcPr>
            <w:tcW w:w="2552" w:type="dxa"/>
            <w:tcBorders>
              <w:top w:val="single" w:sz="4" w:space="0" w:color="365F91"/>
              <w:left w:val="nil"/>
              <w:bottom w:val="single" w:sz="4" w:space="0" w:color="365F91"/>
              <w:right w:val="nil"/>
            </w:tcBorders>
            <w:hideMark/>
          </w:tcPr>
          <w:p w14:paraId="5B0F7C2A" w14:textId="77777777" w:rsidR="00FB19C0" w:rsidRPr="00BE78CA" w:rsidRDefault="00FB19C0" w:rsidP="00C26084">
            <w:pPr>
              <w:pStyle w:val="TableText"/>
              <w:spacing w:before="40" w:after="40"/>
            </w:pPr>
            <w:r w:rsidRPr="00BE78CA">
              <w:t>Degradable organic component (kg COD/tonne of product)</w:t>
            </w:r>
          </w:p>
        </w:tc>
        <w:tc>
          <w:tcPr>
            <w:tcW w:w="709" w:type="dxa"/>
            <w:tcBorders>
              <w:top w:val="single" w:sz="4" w:space="0" w:color="365F91"/>
              <w:left w:val="nil"/>
              <w:bottom w:val="single" w:sz="4" w:space="0" w:color="365F91"/>
              <w:right w:val="nil"/>
            </w:tcBorders>
            <w:hideMark/>
          </w:tcPr>
          <w:p w14:paraId="7C1B3DAE" w14:textId="77777777" w:rsidR="00FB19C0" w:rsidRPr="00BE78CA" w:rsidRDefault="00FB19C0" w:rsidP="00C26084">
            <w:pPr>
              <w:pStyle w:val="TableText"/>
              <w:tabs>
                <w:tab w:val="decimal" w:pos="176"/>
              </w:tabs>
              <w:spacing w:before="40" w:after="40"/>
              <w:jc w:val="both"/>
            </w:pPr>
            <w:r w:rsidRPr="00BE78CA">
              <w:t>180</w:t>
            </w:r>
          </w:p>
        </w:tc>
        <w:tc>
          <w:tcPr>
            <w:tcW w:w="1842" w:type="dxa"/>
            <w:tcBorders>
              <w:top w:val="single" w:sz="4" w:space="0" w:color="365F91"/>
              <w:left w:val="nil"/>
              <w:bottom w:val="single" w:sz="4" w:space="0" w:color="365F91"/>
              <w:right w:val="nil"/>
            </w:tcBorders>
            <w:hideMark/>
          </w:tcPr>
          <w:p w14:paraId="3C1A4807" w14:textId="77777777" w:rsidR="00FB19C0" w:rsidRPr="00BE78CA" w:rsidRDefault="00FB19C0" w:rsidP="00C26084">
            <w:pPr>
              <w:pStyle w:val="TableText"/>
              <w:spacing w:before="40" w:after="40"/>
            </w:pPr>
            <w:r w:rsidRPr="00BE78CA">
              <w:t>New Zealand specific</w:t>
            </w:r>
          </w:p>
        </w:tc>
        <w:tc>
          <w:tcPr>
            <w:tcW w:w="3402" w:type="dxa"/>
            <w:tcBorders>
              <w:top w:val="single" w:sz="4" w:space="0" w:color="365F91"/>
              <w:left w:val="nil"/>
              <w:bottom w:val="single" w:sz="4" w:space="0" w:color="365F91"/>
              <w:right w:val="nil"/>
            </w:tcBorders>
            <w:hideMark/>
          </w:tcPr>
          <w:p w14:paraId="574A0C48" w14:textId="77777777" w:rsidR="00FB19C0" w:rsidRPr="00BE78CA" w:rsidRDefault="00FB19C0" w:rsidP="00C26084">
            <w:pPr>
              <w:pStyle w:val="TableText"/>
              <w:spacing w:before="40" w:after="40"/>
            </w:pPr>
            <w:r w:rsidRPr="00BE78CA">
              <w:t>SCS Wetherill Environmental (unpublished)</w:t>
            </w:r>
          </w:p>
        </w:tc>
      </w:tr>
      <w:tr w:rsidR="00FB19C0" w:rsidRPr="00BE78CA" w14:paraId="7865EB5C" w14:textId="77777777" w:rsidTr="00CF2A9A">
        <w:tc>
          <w:tcPr>
            <w:tcW w:w="2552" w:type="dxa"/>
            <w:tcBorders>
              <w:top w:val="single" w:sz="4" w:space="0" w:color="365F91"/>
              <w:left w:val="nil"/>
              <w:bottom w:val="single" w:sz="4" w:space="0" w:color="365F91"/>
              <w:right w:val="nil"/>
            </w:tcBorders>
            <w:hideMark/>
          </w:tcPr>
          <w:p w14:paraId="21029CE2" w14:textId="77777777" w:rsidR="00FB19C0" w:rsidRPr="00BE78CA" w:rsidRDefault="00FB19C0" w:rsidP="00C26084">
            <w:pPr>
              <w:pStyle w:val="TableText"/>
              <w:spacing w:before="40" w:after="40"/>
            </w:pPr>
            <w:r w:rsidRPr="00BE78CA">
              <w:t>Ratio of total nitrogen to biodegradable COD (TN:COD</w:t>
            </w:r>
            <w:r w:rsidRPr="00BE78CA">
              <w:rPr>
                <w:vertAlign w:val="subscript"/>
              </w:rPr>
              <w:t>b</w:t>
            </w:r>
            <w:r w:rsidRPr="00BE78CA">
              <w:t>)</w:t>
            </w:r>
          </w:p>
        </w:tc>
        <w:tc>
          <w:tcPr>
            <w:tcW w:w="709" w:type="dxa"/>
            <w:tcBorders>
              <w:top w:val="single" w:sz="4" w:space="0" w:color="365F91"/>
              <w:left w:val="nil"/>
              <w:bottom w:val="single" w:sz="4" w:space="0" w:color="365F91"/>
              <w:right w:val="nil"/>
            </w:tcBorders>
            <w:hideMark/>
          </w:tcPr>
          <w:p w14:paraId="7C494DD5" w14:textId="77777777" w:rsidR="00FB19C0" w:rsidRPr="00BE78CA" w:rsidRDefault="00FB19C0" w:rsidP="00C26084">
            <w:pPr>
              <w:pStyle w:val="TableText"/>
              <w:spacing w:before="40" w:after="40"/>
              <w:jc w:val="both"/>
            </w:pPr>
            <w:r w:rsidRPr="00BE78CA">
              <w:t>0.080</w:t>
            </w:r>
          </w:p>
        </w:tc>
        <w:tc>
          <w:tcPr>
            <w:tcW w:w="1842" w:type="dxa"/>
            <w:tcBorders>
              <w:top w:val="single" w:sz="4" w:space="0" w:color="365F91"/>
              <w:left w:val="nil"/>
              <w:bottom w:val="single" w:sz="4" w:space="0" w:color="365F91"/>
              <w:right w:val="nil"/>
            </w:tcBorders>
            <w:hideMark/>
          </w:tcPr>
          <w:p w14:paraId="233BEC60" w14:textId="77777777" w:rsidR="00FB19C0" w:rsidRPr="00BE78CA" w:rsidRDefault="00FB19C0" w:rsidP="00C26084">
            <w:pPr>
              <w:pStyle w:val="TableText"/>
              <w:spacing w:before="40" w:after="40"/>
            </w:pPr>
            <w:r w:rsidRPr="00BE78CA">
              <w:t>New Zealand specific</w:t>
            </w:r>
          </w:p>
        </w:tc>
        <w:tc>
          <w:tcPr>
            <w:tcW w:w="3402" w:type="dxa"/>
            <w:tcBorders>
              <w:top w:val="single" w:sz="4" w:space="0" w:color="365F91"/>
              <w:left w:val="nil"/>
              <w:bottom w:val="single" w:sz="4" w:space="0" w:color="365F91"/>
              <w:right w:val="nil"/>
            </w:tcBorders>
            <w:hideMark/>
          </w:tcPr>
          <w:p w14:paraId="4CE7EC6D" w14:textId="77777777" w:rsidR="00FB19C0" w:rsidRPr="00BE78CA" w:rsidRDefault="00FB19C0" w:rsidP="00C26084">
            <w:pPr>
              <w:pStyle w:val="TableText"/>
              <w:spacing w:before="40" w:after="40"/>
            </w:pPr>
            <w:r w:rsidRPr="00BE78CA">
              <w:t>SCS Wetherill Environmental (unpublished)</w:t>
            </w:r>
          </w:p>
        </w:tc>
      </w:tr>
      <w:tr w:rsidR="00FB19C0" w:rsidRPr="00BE78CA" w14:paraId="4BE9A2E1" w14:textId="77777777" w:rsidTr="00CF2A9A">
        <w:tc>
          <w:tcPr>
            <w:tcW w:w="2552" w:type="dxa"/>
            <w:tcBorders>
              <w:top w:val="single" w:sz="4" w:space="0" w:color="365F91"/>
              <w:left w:val="nil"/>
              <w:bottom w:val="single" w:sz="4" w:space="0" w:color="365F91"/>
              <w:right w:val="nil"/>
            </w:tcBorders>
            <w:hideMark/>
          </w:tcPr>
          <w:p w14:paraId="7903197C" w14:textId="77777777" w:rsidR="00FB19C0" w:rsidRPr="00BE78CA" w:rsidRDefault="00FB19C0" w:rsidP="00C26084">
            <w:pPr>
              <w:pStyle w:val="TableText"/>
              <w:spacing w:before="40" w:after="40"/>
            </w:pPr>
            <w:r w:rsidRPr="00BE78CA">
              <w:t>Overall emission factor</w:t>
            </w:r>
          </w:p>
        </w:tc>
        <w:tc>
          <w:tcPr>
            <w:tcW w:w="709" w:type="dxa"/>
            <w:tcBorders>
              <w:top w:val="single" w:sz="4" w:space="0" w:color="365F91"/>
              <w:left w:val="nil"/>
              <w:bottom w:val="single" w:sz="4" w:space="0" w:color="365F91"/>
              <w:right w:val="nil"/>
            </w:tcBorders>
            <w:hideMark/>
          </w:tcPr>
          <w:p w14:paraId="06F5AE00" w14:textId="77777777" w:rsidR="00FB19C0" w:rsidRPr="00BE78CA" w:rsidRDefault="00FB19C0" w:rsidP="00C26084">
            <w:pPr>
              <w:pStyle w:val="TableText"/>
              <w:spacing w:before="40" w:after="40"/>
              <w:jc w:val="both"/>
            </w:pPr>
            <w:r w:rsidRPr="00BE78CA">
              <w:t>0.02</w:t>
            </w:r>
          </w:p>
        </w:tc>
        <w:tc>
          <w:tcPr>
            <w:tcW w:w="1842" w:type="dxa"/>
            <w:tcBorders>
              <w:top w:val="single" w:sz="4" w:space="0" w:color="365F91"/>
              <w:left w:val="nil"/>
              <w:bottom w:val="single" w:sz="4" w:space="0" w:color="365F91"/>
              <w:right w:val="nil"/>
            </w:tcBorders>
            <w:hideMark/>
          </w:tcPr>
          <w:p w14:paraId="1A20E488" w14:textId="77777777" w:rsidR="00FB19C0" w:rsidRPr="00BE78CA" w:rsidRDefault="00FB19C0" w:rsidP="00C26084">
            <w:pPr>
              <w:pStyle w:val="TableText"/>
              <w:spacing w:before="40" w:after="40"/>
            </w:pPr>
            <w:r w:rsidRPr="00BE78CA">
              <w:t>New Zealand specific</w:t>
            </w:r>
          </w:p>
        </w:tc>
        <w:tc>
          <w:tcPr>
            <w:tcW w:w="3402" w:type="dxa"/>
            <w:tcBorders>
              <w:top w:val="single" w:sz="4" w:space="0" w:color="365F91"/>
              <w:left w:val="nil"/>
              <w:bottom w:val="single" w:sz="4" w:space="0" w:color="365F91"/>
              <w:right w:val="nil"/>
            </w:tcBorders>
            <w:hideMark/>
          </w:tcPr>
          <w:p w14:paraId="7AEC0786" w14:textId="77777777" w:rsidR="00FB19C0" w:rsidRPr="00BE78CA" w:rsidRDefault="00FB19C0" w:rsidP="00C26084">
            <w:pPr>
              <w:pStyle w:val="TableText"/>
              <w:spacing w:before="40" w:after="40"/>
            </w:pPr>
            <w:r w:rsidRPr="00BE78CA">
              <w:t>SCS Wetherill Environmental (unpublished)</w:t>
            </w:r>
          </w:p>
        </w:tc>
      </w:tr>
    </w:tbl>
    <w:p w14:paraId="5D1A6DAD" w14:textId="77777777" w:rsidR="00FB19C0" w:rsidRPr="00BE78CA" w:rsidRDefault="00FB19C0" w:rsidP="00FB19C0">
      <w:pPr>
        <w:pStyle w:val="Noteundertable"/>
      </w:pPr>
      <w:r w:rsidRPr="00BE78CA">
        <w:rPr>
          <w:b/>
        </w:rPr>
        <w:t>Note:</w:t>
      </w:r>
      <w:r w:rsidRPr="00BE78CA">
        <w:t xml:space="preserve"> </w:t>
      </w:r>
      <w:r w:rsidRPr="00BE78CA">
        <w:tab/>
        <w:t>COD = chemical oxygen demand.</w:t>
      </w:r>
    </w:p>
    <w:p w14:paraId="59EE5AD1" w14:textId="77777777" w:rsidR="00FB19C0" w:rsidRPr="00BE78CA" w:rsidRDefault="00FB19C0" w:rsidP="00FB19C0">
      <w:pPr>
        <w:pStyle w:val="Heading6"/>
        <w:spacing w:before="120"/>
      </w:pPr>
      <w:r w:rsidRPr="00BE78CA">
        <w:rPr>
          <w:lang w:eastAsia="en-NZ"/>
        </w:rPr>
        <w:t>Recovery</w:t>
      </w:r>
    </w:p>
    <w:p w14:paraId="281EDD04" w14:textId="77777777" w:rsidR="00FB19C0" w:rsidRPr="00BE78CA" w:rsidRDefault="00FB19C0" w:rsidP="00FB19C0">
      <w:pPr>
        <w:pStyle w:val="BodyText"/>
        <w:spacing w:before="80" w:after="80"/>
      </w:pPr>
      <w:r w:rsidRPr="00BE78CA">
        <w:t>There is no recovery of emissions reported for this source.</w:t>
      </w:r>
    </w:p>
    <w:p w14:paraId="4311BB2B" w14:textId="77777777" w:rsidR="00FB19C0" w:rsidRPr="00BE78CA" w:rsidRDefault="00FB19C0" w:rsidP="00FB19C0">
      <w:pPr>
        <w:pStyle w:val="Heading3"/>
        <w:spacing w:before="320"/>
      </w:pPr>
      <w:bookmarkStart w:id="3160" w:name="_Toc32828353"/>
      <w:r w:rsidRPr="00BE78CA">
        <w:t xml:space="preserve">7.5.3 </w:t>
      </w:r>
      <w:r w:rsidRPr="00BE78CA">
        <w:tab/>
        <w:t>Uncertainties and time-series consistency</w:t>
      </w:r>
      <w:bookmarkEnd w:id="3160"/>
    </w:p>
    <w:p w14:paraId="1A463CDC" w14:textId="77777777" w:rsidR="00FB19C0" w:rsidRPr="00BE78CA" w:rsidRDefault="00FB19C0" w:rsidP="00FB19C0">
      <w:pPr>
        <w:pStyle w:val="Heading4"/>
        <w:spacing w:before="160"/>
      </w:pPr>
      <w:r w:rsidRPr="00BE78CA">
        <w:t>Uncertainties</w:t>
      </w:r>
    </w:p>
    <w:p w14:paraId="13998E67" w14:textId="77777777" w:rsidR="00FB19C0" w:rsidRPr="00BE78CA" w:rsidRDefault="00FB19C0" w:rsidP="00FB19C0">
      <w:pPr>
        <w:pStyle w:val="Table"/>
        <w:spacing w:before="200"/>
      </w:pPr>
      <w:bookmarkStart w:id="3161" w:name="_Toc32828551"/>
      <w:bookmarkStart w:id="3162" w:name="_Toc32591381"/>
      <w:bookmarkStart w:id="3163" w:name="_Toc5269593"/>
      <w:bookmarkStart w:id="3164" w:name="_Toc511116844"/>
      <w:bookmarkStart w:id="3165" w:name="_Toc508019344"/>
      <w:bookmarkStart w:id="3166" w:name="_Toc481751617"/>
      <w:bookmarkStart w:id="3167" w:name="_Toc451176187"/>
      <w:bookmarkStart w:id="3168" w:name="_Toc444001635"/>
      <w:bookmarkStart w:id="3169" w:name="_Toc36224674"/>
      <w:bookmarkStart w:id="3170" w:name="_Toc68786560"/>
      <w:r w:rsidRPr="00BE78CA">
        <w:t>Table 7.5.16</w:t>
      </w:r>
      <w:r w:rsidRPr="00BE78CA">
        <w:tab/>
        <w:t>Uncertainty in emissions from wastewater</w:t>
      </w:r>
      <w:bookmarkEnd w:id="3161"/>
      <w:bookmarkEnd w:id="3162"/>
      <w:bookmarkEnd w:id="3163"/>
      <w:bookmarkEnd w:id="3164"/>
      <w:bookmarkEnd w:id="3165"/>
      <w:bookmarkEnd w:id="3166"/>
      <w:bookmarkEnd w:id="3167"/>
      <w:bookmarkEnd w:id="3168"/>
      <w:bookmarkEnd w:id="3169"/>
      <w:bookmarkEnd w:id="3170"/>
    </w:p>
    <w:tbl>
      <w:tblPr>
        <w:tblW w:w="8505" w:type="dxa"/>
        <w:tblBorders>
          <w:top w:val="single" w:sz="6" w:space="0" w:color="365F91"/>
          <w:bottom w:val="single" w:sz="6" w:space="0" w:color="365F91"/>
          <w:insideH w:val="single" w:sz="6" w:space="0" w:color="365F91"/>
        </w:tblBorders>
        <w:tblLook w:val="04A0" w:firstRow="1" w:lastRow="0" w:firstColumn="1" w:lastColumn="0" w:noHBand="0" w:noVBand="1"/>
      </w:tblPr>
      <w:tblGrid>
        <w:gridCol w:w="3082"/>
        <w:gridCol w:w="2507"/>
        <w:gridCol w:w="2916"/>
      </w:tblGrid>
      <w:tr w:rsidR="00FB19C0" w:rsidRPr="00BE78CA" w14:paraId="024B1942" w14:textId="77777777" w:rsidTr="00F625B1">
        <w:tc>
          <w:tcPr>
            <w:tcW w:w="3062" w:type="dxa"/>
            <w:tcBorders>
              <w:top w:val="single" w:sz="4" w:space="0" w:color="365F91"/>
              <w:left w:val="nil"/>
              <w:bottom w:val="single" w:sz="4" w:space="0" w:color="365F91"/>
              <w:right w:val="nil"/>
            </w:tcBorders>
            <w:shd w:val="clear" w:color="auto" w:fill="365F91"/>
            <w:vAlign w:val="bottom"/>
            <w:hideMark/>
          </w:tcPr>
          <w:p w14:paraId="04F8CE07" w14:textId="77777777" w:rsidR="00FB19C0" w:rsidRPr="00BE78CA" w:rsidRDefault="00FB19C0" w:rsidP="00C26084">
            <w:pPr>
              <w:pStyle w:val="TableTextBold"/>
              <w:keepNext/>
              <w:rPr>
                <w:noProof w:val="0"/>
                <w:color w:val="FFFFFF"/>
              </w:rPr>
            </w:pPr>
            <w:r w:rsidRPr="00BE78CA">
              <w:rPr>
                <w:noProof w:val="0"/>
                <w:color w:val="FFFFFF"/>
              </w:rPr>
              <w:t>Emissions category</w:t>
            </w:r>
          </w:p>
        </w:tc>
        <w:tc>
          <w:tcPr>
            <w:tcW w:w="2490" w:type="dxa"/>
            <w:tcBorders>
              <w:top w:val="single" w:sz="4" w:space="0" w:color="365F91"/>
              <w:left w:val="nil"/>
              <w:bottom w:val="single" w:sz="4" w:space="0" w:color="365F91"/>
              <w:right w:val="nil"/>
            </w:tcBorders>
            <w:shd w:val="clear" w:color="auto" w:fill="365F91"/>
            <w:vAlign w:val="bottom"/>
            <w:hideMark/>
          </w:tcPr>
          <w:p w14:paraId="58049664" w14:textId="77777777" w:rsidR="00FB19C0" w:rsidRPr="00BE78CA" w:rsidRDefault="00FB19C0" w:rsidP="00C26084">
            <w:pPr>
              <w:pStyle w:val="TableTextBold"/>
              <w:jc w:val="center"/>
              <w:rPr>
                <w:noProof w:val="0"/>
                <w:color w:val="FFFFFF"/>
              </w:rPr>
            </w:pPr>
            <w:r w:rsidRPr="00BE78CA">
              <w:rPr>
                <w:noProof w:val="0"/>
                <w:color w:val="FFFFFF"/>
              </w:rPr>
              <w:t>Uncertainty in activity data (%)</w:t>
            </w:r>
          </w:p>
        </w:tc>
        <w:tc>
          <w:tcPr>
            <w:tcW w:w="2896" w:type="dxa"/>
            <w:tcBorders>
              <w:top w:val="single" w:sz="4" w:space="0" w:color="365F91"/>
              <w:left w:val="nil"/>
              <w:bottom w:val="single" w:sz="4" w:space="0" w:color="365F91"/>
              <w:right w:val="nil"/>
            </w:tcBorders>
            <w:shd w:val="clear" w:color="auto" w:fill="365F91"/>
            <w:vAlign w:val="bottom"/>
            <w:hideMark/>
          </w:tcPr>
          <w:p w14:paraId="430A6ED7" w14:textId="77777777" w:rsidR="00FB19C0" w:rsidRPr="00BE78CA" w:rsidRDefault="00FB19C0" w:rsidP="00C26084">
            <w:pPr>
              <w:pStyle w:val="TableTextBold"/>
              <w:jc w:val="center"/>
              <w:rPr>
                <w:noProof w:val="0"/>
              </w:rPr>
            </w:pPr>
            <w:r w:rsidRPr="00BE78CA">
              <w:rPr>
                <w:noProof w:val="0"/>
                <w:color w:val="FFFFFF"/>
              </w:rPr>
              <w:t>Uncertainty in emission factors (%)</w:t>
            </w:r>
          </w:p>
        </w:tc>
      </w:tr>
      <w:tr w:rsidR="00FB19C0" w:rsidRPr="00BE78CA" w14:paraId="559CF7CD" w14:textId="77777777" w:rsidTr="00F625B1">
        <w:trPr>
          <w:trHeight w:val="127"/>
        </w:trPr>
        <w:tc>
          <w:tcPr>
            <w:tcW w:w="3062" w:type="dxa"/>
            <w:tcBorders>
              <w:top w:val="single" w:sz="4" w:space="0" w:color="365F91"/>
              <w:left w:val="nil"/>
              <w:bottom w:val="single" w:sz="6" w:space="0" w:color="365F91"/>
              <w:right w:val="nil"/>
            </w:tcBorders>
            <w:shd w:val="clear" w:color="auto" w:fill="FFFFFF"/>
            <w:hideMark/>
          </w:tcPr>
          <w:p w14:paraId="1614A2B7" w14:textId="77777777" w:rsidR="00FB19C0" w:rsidRPr="00BE78CA" w:rsidRDefault="00FB19C0" w:rsidP="00C26084">
            <w:pPr>
              <w:pStyle w:val="TableText"/>
              <w:keepNext/>
              <w:spacing w:before="40" w:after="40"/>
              <w:rPr>
                <w:rFonts w:cs="Arial"/>
                <w:bCs/>
              </w:rPr>
            </w:pPr>
            <w:r w:rsidRPr="00BE78CA">
              <w:rPr>
                <w:rFonts w:cs="Arial"/>
                <w:bCs/>
              </w:rPr>
              <w:t>Domestic and industrial wastewater (CH</w:t>
            </w:r>
            <w:r w:rsidRPr="00BE78CA">
              <w:rPr>
                <w:rFonts w:cs="Arial"/>
                <w:bCs/>
                <w:vertAlign w:val="subscript"/>
              </w:rPr>
              <w:t>4</w:t>
            </w:r>
            <w:r w:rsidRPr="00BE78CA">
              <w:rPr>
                <w:rFonts w:cs="Arial"/>
                <w:bCs/>
              </w:rPr>
              <w:t>)</w:t>
            </w:r>
          </w:p>
        </w:tc>
        <w:tc>
          <w:tcPr>
            <w:tcW w:w="2490" w:type="dxa"/>
            <w:tcBorders>
              <w:top w:val="single" w:sz="4" w:space="0" w:color="365F91"/>
              <w:left w:val="nil"/>
              <w:bottom w:val="single" w:sz="6" w:space="0" w:color="365F91"/>
              <w:right w:val="nil"/>
            </w:tcBorders>
            <w:shd w:val="clear" w:color="auto" w:fill="FFFFFF"/>
            <w:hideMark/>
          </w:tcPr>
          <w:p w14:paraId="30B300A1" w14:textId="77777777" w:rsidR="00FB19C0" w:rsidRPr="00BE78CA" w:rsidRDefault="00FB19C0" w:rsidP="00C26084">
            <w:pPr>
              <w:pStyle w:val="TableText"/>
              <w:spacing w:before="40" w:after="40"/>
              <w:jc w:val="center"/>
              <w:rPr>
                <w:rFonts w:cs="Arial"/>
              </w:rPr>
            </w:pPr>
            <w:r w:rsidRPr="00BE78CA">
              <w:rPr>
                <w:rFonts w:cs="Arial"/>
              </w:rPr>
              <w:t>±10</w:t>
            </w:r>
          </w:p>
        </w:tc>
        <w:tc>
          <w:tcPr>
            <w:tcW w:w="2896" w:type="dxa"/>
            <w:tcBorders>
              <w:top w:val="single" w:sz="4" w:space="0" w:color="365F91"/>
              <w:left w:val="nil"/>
              <w:bottom w:val="single" w:sz="6" w:space="0" w:color="365F91"/>
              <w:right w:val="nil"/>
            </w:tcBorders>
            <w:shd w:val="clear" w:color="auto" w:fill="FFFFFF"/>
            <w:hideMark/>
          </w:tcPr>
          <w:p w14:paraId="5E2BE92B" w14:textId="77777777" w:rsidR="00FB19C0" w:rsidRPr="00BE78CA" w:rsidRDefault="00FB19C0" w:rsidP="00C26084">
            <w:pPr>
              <w:pStyle w:val="TableText"/>
              <w:spacing w:before="40" w:after="40"/>
              <w:jc w:val="center"/>
              <w:rPr>
                <w:rFonts w:cs="Arial"/>
              </w:rPr>
            </w:pPr>
            <w:r w:rsidRPr="00BE78CA">
              <w:rPr>
                <w:rFonts w:cs="Arial"/>
              </w:rPr>
              <w:t>±40</w:t>
            </w:r>
          </w:p>
        </w:tc>
      </w:tr>
      <w:tr w:rsidR="00FB19C0" w:rsidRPr="00BE78CA" w14:paraId="0D86A234" w14:textId="77777777" w:rsidTr="00F625B1">
        <w:tc>
          <w:tcPr>
            <w:tcW w:w="3062" w:type="dxa"/>
            <w:tcBorders>
              <w:top w:val="single" w:sz="6" w:space="0" w:color="365F91"/>
              <w:left w:val="nil"/>
              <w:bottom w:val="single" w:sz="6" w:space="0" w:color="365F91"/>
              <w:right w:val="nil"/>
            </w:tcBorders>
            <w:shd w:val="clear" w:color="auto" w:fill="FFFFFF"/>
            <w:hideMark/>
          </w:tcPr>
          <w:p w14:paraId="01DB63DF" w14:textId="77777777" w:rsidR="00FB19C0" w:rsidRPr="00BE78CA" w:rsidRDefault="00FB19C0" w:rsidP="00C26084">
            <w:pPr>
              <w:pStyle w:val="TableText"/>
              <w:spacing w:before="40" w:after="40"/>
              <w:rPr>
                <w:rFonts w:cs="Arial"/>
                <w:bCs/>
              </w:rPr>
            </w:pPr>
            <w:r w:rsidRPr="00BE78CA">
              <w:rPr>
                <w:rFonts w:cs="Arial"/>
                <w:bCs/>
              </w:rPr>
              <w:t>Domestic and industrial wastewater (N</w:t>
            </w:r>
            <w:r w:rsidRPr="00BE78CA">
              <w:rPr>
                <w:rFonts w:cs="Arial"/>
                <w:bCs/>
                <w:vertAlign w:val="subscript"/>
              </w:rPr>
              <w:t>2</w:t>
            </w:r>
            <w:r w:rsidRPr="00BE78CA">
              <w:rPr>
                <w:rFonts w:cs="Arial"/>
                <w:bCs/>
              </w:rPr>
              <w:t>O)</w:t>
            </w:r>
          </w:p>
        </w:tc>
        <w:tc>
          <w:tcPr>
            <w:tcW w:w="2490" w:type="dxa"/>
            <w:tcBorders>
              <w:top w:val="single" w:sz="6" w:space="0" w:color="365F91"/>
              <w:left w:val="nil"/>
              <w:bottom w:val="single" w:sz="6" w:space="0" w:color="365F91"/>
              <w:right w:val="nil"/>
            </w:tcBorders>
            <w:shd w:val="clear" w:color="auto" w:fill="FFFFFF"/>
            <w:hideMark/>
          </w:tcPr>
          <w:p w14:paraId="589300CE" w14:textId="77777777" w:rsidR="00FB19C0" w:rsidRPr="00BE78CA" w:rsidRDefault="00FB19C0" w:rsidP="00C26084">
            <w:pPr>
              <w:pStyle w:val="TableText"/>
              <w:spacing w:before="40" w:after="40"/>
              <w:jc w:val="center"/>
              <w:rPr>
                <w:rFonts w:cs="Arial"/>
              </w:rPr>
            </w:pPr>
            <w:r w:rsidRPr="00BE78CA">
              <w:rPr>
                <w:rFonts w:cs="Arial"/>
              </w:rPr>
              <w:t>±10</w:t>
            </w:r>
          </w:p>
        </w:tc>
        <w:tc>
          <w:tcPr>
            <w:tcW w:w="2896" w:type="dxa"/>
            <w:tcBorders>
              <w:top w:val="single" w:sz="6" w:space="0" w:color="365F91"/>
              <w:left w:val="nil"/>
              <w:bottom w:val="single" w:sz="6" w:space="0" w:color="365F91"/>
              <w:right w:val="nil"/>
            </w:tcBorders>
            <w:shd w:val="clear" w:color="auto" w:fill="FFFFFF"/>
            <w:hideMark/>
          </w:tcPr>
          <w:p w14:paraId="1A92D1C8" w14:textId="77777777" w:rsidR="00FB19C0" w:rsidRPr="00BE78CA" w:rsidRDefault="00FB19C0" w:rsidP="00C26084">
            <w:pPr>
              <w:pStyle w:val="TableText"/>
              <w:spacing w:before="40" w:after="40"/>
              <w:jc w:val="center"/>
              <w:rPr>
                <w:rFonts w:cs="Arial"/>
              </w:rPr>
            </w:pPr>
            <w:r w:rsidRPr="00BE78CA">
              <w:rPr>
                <w:rFonts w:cs="Arial"/>
              </w:rPr>
              <w:t>±90</w:t>
            </w:r>
          </w:p>
        </w:tc>
      </w:tr>
    </w:tbl>
    <w:p w14:paraId="01094F61" w14:textId="77777777" w:rsidR="00FB19C0" w:rsidRPr="00BE78CA" w:rsidRDefault="00FB19C0" w:rsidP="00FB19C0">
      <w:pPr>
        <w:pStyle w:val="Heading5"/>
        <w:spacing w:before="320"/>
      </w:pPr>
      <w:r w:rsidRPr="00BE78CA">
        <w:t xml:space="preserve">Methane emissions </w:t>
      </w:r>
    </w:p>
    <w:p w14:paraId="5D36EF57" w14:textId="77777777" w:rsidR="00FB19C0" w:rsidRPr="00BE78CA" w:rsidRDefault="00FB19C0" w:rsidP="00FB19C0">
      <w:pPr>
        <w:pStyle w:val="BodyText"/>
        <w:spacing w:before="100" w:after="100"/>
      </w:pPr>
      <w:r w:rsidRPr="00BE78CA">
        <w:t>The parameters used to estimate CH</w:t>
      </w:r>
      <w:r w:rsidRPr="00BE78CA">
        <w:rPr>
          <w:vertAlign w:val="subscript"/>
        </w:rPr>
        <w:t>4</w:t>
      </w:r>
      <w:r w:rsidRPr="00BE78CA">
        <w:t xml:space="preserve"> emissions from domestic and industrial wastewater (see table 7.5.16) have an estimated uncertainty of ±40 per cent (SCS Wetherill Environmental, unpublished). This uncertainty stems from:</w:t>
      </w:r>
    </w:p>
    <w:p w14:paraId="1F88B1CD" w14:textId="77777777" w:rsidR="00FB19C0" w:rsidRPr="00BE78CA" w:rsidRDefault="00FB19C0" w:rsidP="00FB19C0">
      <w:pPr>
        <w:pStyle w:val="Bullet"/>
        <w:numPr>
          <w:ilvl w:val="0"/>
          <w:numId w:val="25"/>
        </w:numPr>
      </w:pPr>
      <w:r w:rsidRPr="00BE78CA">
        <w:lastRenderedPageBreak/>
        <w:t xml:space="preserve">uncertainties in the factors used to calculate emissions from the different wastewater treatment processes </w:t>
      </w:r>
    </w:p>
    <w:p w14:paraId="5A19D891" w14:textId="77777777" w:rsidR="00FB19C0" w:rsidRPr="00BE78CA" w:rsidRDefault="00FB19C0" w:rsidP="00FB19C0">
      <w:pPr>
        <w:pStyle w:val="Bullet"/>
        <w:numPr>
          <w:ilvl w:val="0"/>
          <w:numId w:val="25"/>
        </w:numPr>
      </w:pPr>
      <w:r w:rsidRPr="00BE78CA">
        <w:t xml:space="preserve">uncertainties in the quantities of wastewater handled by the different wastewater treatment plants </w:t>
      </w:r>
    </w:p>
    <w:p w14:paraId="2C961D60" w14:textId="77777777" w:rsidR="00FB19C0" w:rsidRPr="00BE78CA" w:rsidRDefault="00FB19C0" w:rsidP="00FB19C0">
      <w:pPr>
        <w:pStyle w:val="Bullet"/>
        <w:numPr>
          <w:ilvl w:val="0"/>
          <w:numId w:val="25"/>
        </w:numPr>
      </w:pPr>
      <w:r w:rsidRPr="00BE78CA">
        <w:t xml:space="preserve">uncertainties in the accuracy and completeness of the data relating to each plant </w:t>
      </w:r>
    </w:p>
    <w:p w14:paraId="15F1B888" w14:textId="77777777" w:rsidR="00FB19C0" w:rsidRPr="00BE78CA" w:rsidRDefault="00FB19C0" w:rsidP="00FB19C0">
      <w:pPr>
        <w:pStyle w:val="Bullet"/>
        <w:numPr>
          <w:ilvl w:val="0"/>
          <w:numId w:val="25"/>
        </w:numPr>
      </w:pPr>
      <w:r w:rsidRPr="00BE78CA">
        <w:t>uncertainties in the factors used to calculate the degradable organic content in the wastewater</w:t>
      </w:r>
    </w:p>
    <w:p w14:paraId="7540E5E9" w14:textId="77777777" w:rsidR="00FB19C0" w:rsidRPr="00BE78CA" w:rsidRDefault="00FB19C0" w:rsidP="00FB19C0">
      <w:pPr>
        <w:pStyle w:val="Bullet"/>
        <w:numPr>
          <w:ilvl w:val="0"/>
          <w:numId w:val="25"/>
        </w:numPr>
      </w:pPr>
      <w:r w:rsidRPr="00BE78CA">
        <w:t>uncertainties in the wastewater treatment methods.</w:t>
      </w:r>
    </w:p>
    <w:p w14:paraId="55C117CD" w14:textId="77777777" w:rsidR="00FB19C0" w:rsidRPr="00BE78CA" w:rsidRDefault="00FB19C0" w:rsidP="00FB19C0">
      <w:pPr>
        <w:pStyle w:val="Heading5"/>
        <w:spacing w:before="160"/>
      </w:pPr>
      <w:r w:rsidRPr="00BE78CA">
        <w:t xml:space="preserve">Nitrous oxide emissions </w:t>
      </w:r>
    </w:p>
    <w:p w14:paraId="6BBAEC8F" w14:textId="77777777" w:rsidR="00FB19C0" w:rsidRPr="00BE78CA" w:rsidRDefault="00FB19C0" w:rsidP="00FB19C0">
      <w:pPr>
        <w:pStyle w:val="BodyText"/>
        <w:spacing w:before="100" w:after="100"/>
      </w:pPr>
      <w:r w:rsidRPr="00BE78CA">
        <w:t>Large uncertainties are associated with the IPCC default emission factors for N</w:t>
      </w:r>
      <w:r w:rsidRPr="00BE78CA">
        <w:rPr>
          <w:vertAlign w:val="subscript"/>
        </w:rPr>
        <w:t>2</w:t>
      </w:r>
      <w:r w:rsidRPr="00BE78CA">
        <w:t xml:space="preserve">O emissions from wastewater treatment effluent (IPCC, 2006a). The uncertainty is estimated to be ±90 per cent based on the ranges experienced in collecting and applying similar data internationally, and expert judgement on the application of this experience to New Zealand (Law et al., 2012). </w:t>
      </w:r>
    </w:p>
    <w:p w14:paraId="7D122906" w14:textId="77777777" w:rsidR="00FB19C0" w:rsidRPr="00BE78CA" w:rsidRDefault="00FB19C0" w:rsidP="00FB19C0">
      <w:pPr>
        <w:pStyle w:val="Heading4"/>
      </w:pPr>
      <w:r w:rsidRPr="00BE78CA">
        <w:t>Time-series consistency</w:t>
      </w:r>
    </w:p>
    <w:p w14:paraId="3CBCCDC8" w14:textId="77777777" w:rsidR="00FB19C0" w:rsidRPr="00BE78CA" w:rsidRDefault="00FB19C0" w:rsidP="00FB19C0">
      <w:pPr>
        <w:pStyle w:val="BodyText"/>
        <w:spacing w:before="100" w:after="100"/>
      </w:pPr>
      <w:r w:rsidRPr="00BE78CA">
        <w:t>Time-series consistency is ensured by the use of consistent models and parameters across the period. Where changes to methodologies or emission factors have occurred, the entire time series has been recalculated.</w:t>
      </w:r>
    </w:p>
    <w:p w14:paraId="322F3C36" w14:textId="77777777" w:rsidR="00FB19C0" w:rsidRPr="00BE78CA" w:rsidRDefault="00FB19C0" w:rsidP="00FB19C0">
      <w:pPr>
        <w:pStyle w:val="Heading3"/>
        <w:spacing w:before="280"/>
      </w:pPr>
      <w:bookmarkStart w:id="3171" w:name="_Toc32828354"/>
      <w:r w:rsidRPr="00BE78CA">
        <w:t xml:space="preserve">7.5.4 </w:t>
      </w:r>
      <w:r w:rsidRPr="00BE78CA">
        <w:tab/>
        <w:t>Source-specific QA/QC and verification</w:t>
      </w:r>
      <w:bookmarkEnd w:id="3171"/>
    </w:p>
    <w:p w14:paraId="5925B331" w14:textId="77777777" w:rsidR="00FB19C0" w:rsidRPr="00BE78CA" w:rsidRDefault="00FB19C0" w:rsidP="00FB19C0">
      <w:pPr>
        <w:pStyle w:val="BodyText"/>
        <w:spacing w:before="100" w:after="100"/>
      </w:pPr>
      <w:r w:rsidRPr="00BE78CA">
        <w:t xml:space="preserve">In the preparation for this inventory submission, the data for the </w:t>
      </w:r>
      <w:r w:rsidRPr="00BE78CA">
        <w:rPr>
          <w:i/>
        </w:rPr>
        <w:t xml:space="preserve">Wastewater treatment and discharge </w:t>
      </w:r>
      <w:r w:rsidRPr="00BE78CA">
        <w:t xml:space="preserve">category underwent Tier 1 quality checks. </w:t>
      </w:r>
    </w:p>
    <w:p w14:paraId="165834E5" w14:textId="77777777" w:rsidR="00FB19C0" w:rsidRPr="00BE78CA" w:rsidRDefault="00FB19C0" w:rsidP="00FB19C0">
      <w:pPr>
        <w:pStyle w:val="Heading3"/>
        <w:spacing w:before="280"/>
      </w:pPr>
      <w:bookmarkStart w:id="3172" w:name="_Toc32828355"/>
      <w:r w:rsidRPr="00BE78CA">
        <w:t xml:space="preserve">7.5.5 </w:t>
      </w:r>
      <w:r w:rsidRPr="00BE78CA">
        <w:tab/>
        <w:t>Source-specific recalculations</w:t>
      </w:r>
      <w:bookmarkEnd w:id="3172"/>
    </w:p>
    <w:p w14:paraId="50F203B7" w14:textId="77777777" w:rsidR="00FB19C0" w:rsidRPr="00BE78CA" w:rsidRDefault="00FB19C0" w:rsidP="00FB19C0">
      <w:pPr>
        <w:pStyle w:val="Heading4"/>
        <w:spacing w:before="160"/>
      </w:pPr>
      <w:r w:rsidRPr="00BE78CA">
        <w:t xml:space="preserve">Emissions from domestic and industrial wastewater treatment </w:t>
      </w:r>
    </w:p>
    <w:p w14:paraId="6F856B1B" w14:textId="77777777" w:rsidR="00FB19C0" w:rsidRPr="00BE78CA" w:rsidRDefault="00FB19C0" w:rsidP="00FB19C0">
      <w:pPr>
        <w:pStyle w:val="BodyText"/>
        <w:spacing w:before="100" w:after="100"/>
      </w:pPr>
      <w:r w:rsidRPr="00BE78CA">
        <w:t xml:space="preserve">Emissions from </w:t>
      </w:r>
      <w:r w:rsidRPr="00BE78CA">
        <w:rPr>
          <w:i/>
          <w:iCs/>
        </w:rPr>
        <w:t>Domestic wastewater</w:t>
      </w:r>
      <w:r w:rsidRPr="00BE78CA">
        <w:t xml:space="preserve"> (5.D.1) have reduced by 4.0 kt CO</w:t>
      </w:r>
      <w:r w:rsidRPr="00BE78CA">
        <w:rPr>
          <w:vertAlign w:val="subscript"/>
        </w:rPr>
        <w:t>2</w:t>
      </w:r>
      <w:r w:rsidRPr="00BE78CA">
        <w:t>-e (1.8 per cent) in 1990 and increased by 4.4 kt CO</w:t>
      </w:r>
      <w:r w:rsidRPr="00BE78CA">
        <w:rPr>
          <w:vertAlign w:val="subscript"/>
        </w:rPr>
        <w:t>2</w:t>
      </w:r>
      <w:r w:rsidRPr="00BE78CA">
        <w:t>-e (1.7 per cent) in 2018. This is the result of revising population data using the latest estimates available and applying these consistently across the time series where possible, in addition to correcting some minor errors in the 2020 submission in the population calculations. There were no recalculations for industrial wastewater (5.D.2).</w:t>
      </w:r>
    </w:p>
    <w:p w14:paraId="6C6ACCAA" w14:textId="77777777" w:rsidR="00FB19C0" w:rsidRPr="00BE78CA" w:rsidRDefault="00FB19C0" w:rsidP="00FB19C0">
      <w:pPr>
        <w:pStyle w:val="BodyText"/>
        <w:spacing w:before="100" w:after="100"/>
      </w:pPr>
      <w:r w:rsidRPr="00BE78CA">
        <w:t>More details on recalculations are provided in chapter 10.</w:t>
      </w:r>
    </w:p>
    <w:p w14:paraId="583A784A" w14:textId="77777777" w:rsidR="00FB19C0" w:rsidRPr="00BE78CA" w:rsidRDefault="00FB19C0" w:rsidP="00FB19C0">
      <w:pPr>
        <w:pStyle w:val="Heading3"/>
      </w:pPr>
      <w:bookmarkStart w:id="3173" w:name="_Toc32828356"/>
      <w:r w:rsidRPr="00BE78CA">
        <w:t xml:space="preserve">7.5.6 </w:t>
      </w:r>
      <w:r w:rsidRPr="00BE78CA">
        <w:tab/>
        <w:t>Source-specific planned improvements</w:t>
      </w:r>
      <w:bookmarkEnd w:id="3173"/>
    </w:p>
    <w:p w14:paraId="56258353" w14:textId="77777777" w:rsidR="00FB19C0" w:rsidRPr="00BE78CA" w:rsidRDefault="00FB19C0" w:rsidP="00FB19C0">
      <w:pPr>
        <w:pStyle w:val="BodyText"/>
      </w:pPr>
      <w:r w:rsidRPr="00BE78CA">
        <w:t>No specific improvements are planned for this source category.</w:t>
      </w:r>
    </w:p>
    <w:p w14:paraId="782BFC30" w14:textId="77777777" w:rsidR="00FB19C0" w:rsidRPr="00BE78CA" w:rsidRDefault="00FB19C0" w:rsidP="00FB19C0">
      <w:pPr>
        <w:pStyle w:val="Heading2"/>
        <w:spacing w:before="0" w:after="280"/>
      </w:pPr>
      <w:r w:rsidRPr="00BE78CA">
        <w:rPr>
          <w:b w:val="0"/>
        </w:rPr>
        <w:br w:type="page"/>
      </w:r>
      <w:bookmarkStart w:id="3174" w:name="_Toc32828357"/>
      <w:bookmarkStart w:id="3175" w:name="_Toc5269391"/>
      <w:bookmarkStart w:id="3176" w:name="_Toc511116629"/>
      <w:bookmarkStart w:id="3177" w:name="_Toc481751414"/>
      <w:bookmarkStart w:id="3178" w:name="_Toc448321552"/>
      <w:bookmarkStart w:id="3179" w:name="_Toc36224431"/>
      <w:bookmarkStart w:id="3180" w:name="_Toc68786351"/>
      <w:r w:rsidRPr="00BE78CA">
        <w:lastRenderedPageBreak/>
        <w:t>Chapter 7: References</w:t>
      </w:r>
      <w:bookmarkEnd w:id="3174"/>
      <w:bookmarkEnd w:id="3175"/>
      <w:bookmarkEnd w:id="3176"/>
      <w:bookmarkEnd w:id="3177"/>
      <w:bookmarkEnd w:id="3178"/>
      <w:bookmarkEnd w:id="3179"/>
      <w:bookmarkEnd w:id="3180"/>
    </w:p>
    <w:p w14:paraId="4A76B300" w14:textId="77777777" w:rsidR="00FB19C0" w:rsidRPr="00BE78CA" w:rsidRDefault="00FB19C0" w:rsidP="00FB19C0">
      <w:pPr>
        <w:pStyle w:val="References"/>
      </w:pPr>
      <w:r w:rsidRPr="00BE78CA">
        <w:t>Beca Infrastructure Ltd. Unpublished. National Greenhouse Gas Inventory from Wastewater Treatment and Discharge. Report commissioned by the Ministry for the Environment in 2007.</w:t>
      </w:r>
    </w:p>
    <w:p w14:paraId="46BDE0B0" w14:textId="77777777" w:rsidR="00FB19C0" w:rsidRPr="00BE78CA" w:rsidRDefault="00FB19C0" w:rsidP="00FB19C0">
      <w:pPr>
        <w:pStyle w:val="References"/>
      </w:pPr>
      <w:r w:rsidRPr="00BE78CA">
        <w:t xml:space="preserve">Beca Ltd. Unpublished. Industrial Wastewater Greenhouse Gas (GHG) Estimates from the Pulp and Paper, Wool Scouring and Wine Industries for New Zealand’s GHG Inventory. Report commissioned by the Ministry for the Environment in 2013. </w:t>
      </w:r>
    </w:p>
    <w:p w14:paraId="7D61AA08" w14:textId="77777777" w:rsidR="00FB19C0" w:rsidRPr="00BE78CA" w:rsidRDefault="00FB19C0" w:rsidP="00FB19C0">
      <w:pPr>
        <w:pStyle w:val="References"/>
        <w:rPr>
          <w:i/>
        </w:rPr>
      </w:pPr>
      <w:r w:rsidRPr="00BE78CA">
        <w:t>Cardno. Unpublished. Greenhouse Gas Emissions from Industrial Wastewater Treatment. Report commissioned by the Ministry for the Environment in 2015.</w:t>
      </w:r>
    </w:p>
    <w:p w14:paraId="26C4FCE7" w14:textId="77777777" w:rsidR="00FB19C0" w:rsidRPr="00BE78CA" w:rsidRDefault="00FB19C0" w:rsidP="00FB19C0">
      <w:pPr>
        <w:pStyle w:val="References"/>
      </w:pPr>
      <w:r w:rsidRPr="00BE78CA">
        <w:t>Eunomia Research and Consulting and Waste Not Consulting. Unpublished. Incorporating Waste Minimisation Act Data into New Zealand’s Greenhouse Gas Estimates. Report commissioned by the Ministry for the Environment in 2014.</w:t>
      </w:r>
    </w:p>
    <w:p w14:paraId="6E26F777" w14:textId="77777777" w:rsidR="00FB19C0" w:rsidRPr="00BE78CA" w:rsidRDefault="00FB19C0" w:rsidP="00FB19C0">
      <w:pPr>
        <w:pStyle w:val="References"/>
      </w:pPr>
      <w:r w:rsidRPr="00BE78CA">
        <w:t>Eunomia. Unpublished(a). Improvements to Estimates of Greenhouse Gas Emissions from Landfills. Report commissioned by the Ministry for the Environment in 2020.</w:t>
      </w:r>
    </w:p>
    <w:p w14:paraId="67F0905B" w14:textId="77777777" w:rsidR="00FB19C0" w:rsidRPr="00BE78CA" w:rsidRDefault="00FB19C0" w:rsidP="00FB19C0">
      <w:pPr>
        <w:pStyle w:val="References"/>
      </w:pPr>
      <w:r w:rsidRPr="00BE78CA">
        <w:t>Eunomia. Unpublished(b). Data updated from National Resource Recovery Project situational analysis report (2019). Commissioned by the Ministry for the Environment in 2020.</w:t>
      </w:r>
    </w:p>
    <w:p w14:paraId="12DEE447" w14:textId="77777777" w:rsidR="00FB19C0" w:rsidRPr="00BE78CA" w:rsidRDefault="00FB19C0" w:rsidP="00FB19C0">
      <w:pPr>
        <w:pStyle w:val="References"/>
      </w:pPr>
      <w:r w:rsidRPr="00BE78CA">
        <w:t xml:space="preserve">GHD. 2013. </w:t>
      </w:r>
      <w:r w:rsidRPr="00BE78CA">
        <w:rPr>
          <w:i/>
        </w:rPr>
        <w:t>Non-natural Rural Wastes: Site survey analysis</w:t>
      </w:r>
      <w:r w:rsidRPr="00BE78CA">
        <w:t>.</w:t>
      </w:r>
      <w:r w:rsidRPr="00BE78CA">
        <w:rPr>
          <w:i/>
        </w:rPr>
        <w:t xml:space="preserve"> </w:t>
      </w:r>
      <w:r w:rsidRPr="00BE78CA">
        <w:t>GHD Ltd for the</w:t>
      </w:r>
      <w:r w:rsidRPr="00BE78CA">
        <w:rPr>
          <w:i/>
        </w:rPr>
        <w:t xml:space="preserve"> </w:t>
      </w:r>
      <w:r w:rsidRPr="00BE78CA">
        <w:t xml:space="preserve">Canterbury Regional Council, published as Canterbury Regional Council Report No R13/52. Available from </w:t>
      </w:r>
      <w:hyperlink r:id="rId244" w:history="1">
        <w:r w:rsidRPr="00BE78CA">
          <w:rPr>
            <w:rStyle w:val="Hyperlink"/>
          </w:rPr>
          <w:t>https://ecan.govt.nz/document/download?uri=1851763</w:t>
        </w:r>
      </w:hyperlink>
      <w:r w:rsidRPr="00BE78CA">
        <w:t xml:space="preserve"> (accessed 9 November 2017).</w:t>
      </w:r>
    </w:p>
    <w:p w14:paraId="0BE83CE1" w14:textId="77777777" w:rsidR="00FB19C0" w:rsidRPr="00BE78CA" w:rsidRDefault="00FB19C0" w:rsidP="00FB19C0">
      <w:pPr>
        <w:pStyle w:val="References"/>
      </w:pPr>
      <w:r w:rsidRPr="00BE78CA">
        <w:t xml:space="preserve">GHD. 2014. </w:t>
      </w:r>
      <w:r w:rsidRPr="00BE78CA">
        <w:rPr>
          <w:i/>
        </w:rPr>
        <w:t>Rural Waste Surveys Data Analysis: Waikato and Bay of Plenty</w:t>
      </w:r>
      <w:r w:rsidRPr="00BE78CA">
        <w:t xml:space="preserve">. GHD Ltd for the Waikato Regional Council, published as Waikato Regional Council Report No 3114554. Available from </w:t>
      </w:r>
      <w:hyperlink r:id="rId245" w:history="1">
        <w:r w:rsidRPr="00BE78CA">
          <w:rPr>
            <w:rStyle w:val="Hyperlink"/>
          </w:rPr>
          <w:t>www.waikatoregion.govt.nz/assets/PageFiles/30542/TR201455.pdf</w:t>
        </w:r>
      </w:hyperlink>
      <w:r w:rsidRPr="00BE78CA">
        <w:t xml:space="preserve"> (accessed 9 November 2017).</w:t>
      </w:r>
    </w:p>
    <w:p w14:paraId="67744958" w14:textId="77777777" w:rsidR="00FB19C0" w:rsidRPr="00BE78CA" w:rsidRDefault="00FB19C0" w:rsidP="00FB19C0">
      <w:pPr>
        <w:pStyle w:val="References"/>
        <w:rPr>
          <w:spacing w:val="-2"/>
        </w:rPr>
      </w:pPr>
      <w:r w:rsidRPr="00BE78CA">
        <w:rPr>
          <w:spacing w:val="-2"/>
        </w:rPr>
        <w:t xml:space="preserve">IPCC. 2006a. Eggleston HS, Buendia L, Miwa K, Ngara T, Tanabe K (eds). </w:t>
      </w:r>
      <w:r w:rsidRPr="00BE78CA">
        <w:rPr>
          <w:i/>
          <w:spacing w:val="-2"/>
        </w:rPr>
        <w:t>2006 IPCC Guidelines for National Greenhouse Gas Inventories. Volume 5. Waste</w:t>
      </w:r>
      <w:r w:rsidRPr="00BE78CA">
        <w:rPr>
          <w:spacing w:val="-2"/>
        </w:rPr>
        <w:t xml:space="preserve">. IPCC National Greenhouse Gas Inventories Programme. Japan: Institute for Global Environmental Strategies for IPCC. </w:t>
      </w:r>
    </w:p>
    <w:p w14:paraId="732EAB5A" w14:textId="77777777" w:rsidR="00FB19C0" w:rsidRPr="00BE78CA" w:rsidRDefault="00FB19C0" w:rsidP="00FB19C0">
      <w:pPr>
        <w:pStyle w:val="References"/>
        <w:rPr>
          <w:spacing w:val="-2"/>
        </w:rPr>
      </w:pPr>
      <w:r w:rsidRPr="00BE78CA">
        <w:rPr>
          <w:spacing w:val="-2"/>
        </w:rPr>
        <w:t xml:space="preserve">IPCC. 2006b. Eggleston HS, Buendia L, Miwa K, Ngara T, Tanabe K (eds). </w:t>
      </w:r>
      <w:r w:rsidRPr="00BE78CA">
        <w:rPr>
          <w:i/>
          <w:spacing w:val="-2"/>
        </w:rPr>
        <w:t>2006 IPCC Guidelines for National Greenhouse Gas Inventories. Volume 2. Energy</w:t>
      </w:r>
      <w:r w:rsidRPr="00BE78CA">
        <w:rPr>
          <w:spacing w:val="-2"/>
        </w:rPr>
        <w:t xml:space="preserve">. IPCC National Greenhouse Gas Inventories Programme. Japan: Institute for Global Environmental Strategies for IPCC. </w:t>
      </w:r>
    </w:p>
    <w:p w14:paraId="60709B99" w14:textId="77777777" w:rsidR="00FB19C0" w:rsidRPr="00BE78CA" w:rsidRDefault="00FB19C0" w:rsidP="00FB19C0">
      <w:pPr>
        <w:pStyle w:val="References"/>
        <w:rPr>
          <w:spacing w:val="-2"/>
        </w:rPr>
      </w:pPr>
      <w:r w:rsidRPr="00BE78CA">
        <w:rPr>
          <w:spacing w:val="-2"/>
        </w:rPr>
        <w:t xml:space="preserve">IPCC. 2019. </w:t>
      </w:r>
      <w:r w:rsidRPr="00BE78CA">
        <w:t>Calvo Buendia E, Tanabe K, Kranjc A, Baasansuren J, Fukuda M, Ngarize S, Osako A, Pyrozhenko Y, Shermanau P, Federici S</w:t>
      </w:r>
      <w:r w:rsidRPr="00BE78CA">
        <w:rPr>
          <w:spacing w:val="-2"/>
        </w:rPr>
        <w:t xml:space="preserve"> (eds). </w:t>
      </w:r>
      <w:r w:rsidRPr="00BE78CA">
        <w:rPr>
          <w:i/>
          <w:spacing w:val="-2"/>
        </w:rPr>
        <w:t>2019 Refinement to the 2006 IPCC Guidelines for National Greenhouse Gas Inventories. Volume 5. Waste</w:t>
      </w:r>
      <w:r w:rsidRPr="00BE78CA">
        <w:rPr>
          <w:spacing w:val="-2"/>
        </w:rPr>
        <w:t xml:space="preserve">. IPCC National Greenhouse Gas Inventories Programme. Switzerland: Intergovernmental Panel on Climate Change. </w:t>
      </w:r>
    </w:p>
    <w:p w14:paraId="5B0E18D1" w14:textId="77777777" w:rsidR="00FB19C0" w:rsidRPr="00BE78CA" w:rsidRDefault="00FB19C0" w:rsidP="00FB19C0">
      <w:pPr>
        <w:pStyle w:val="References"/>
      </w:pPr>
      <w:r w:rsidRPr="00BE78CA">
        <w:t xml:space="preserve">Law Y, Ye L, Pan Y, Yuan Z. 2012. Nitrous oxide emissions from wastewater treatment processes. </w:t>
      </w:r>
      <w:r w:rsidRPr="00BE78CA">
        <w:rPr>
          <w:i/>
        </w:rPr>
        <w:t>Philosophical Transactions of the Royal Society ‘B’</w:t>
      </w:r>
      <w:r w:rsidRPr="00BE78CA">
        <w:t xml:space="preserve"> 367(1593): 1265–1277. </w:t>
      </w:r>
    </w:p>
    <w:p w14:paraId="46DAFAC5" w14:textId="77777777" w:rsidR="00FB19C0" w:rsidRPr="00BE78CA" w:rsidRDefault="00FB19C0" w:rsidP="00FB19C0">
      <w:pPr>
        <w:pStyle w:val="References"/>
      </w:pPr>
      <w:r w:rsidRPr="00BE78CA">
        <w:t xml:space="preserve">Ministry for the Environment. 1997. </w:t>
      </w:r>
      <w:r w:rsidRPr="00BE78CA">
        <w:rPr>
          <w:i/>
        </w:rPr>
        <w:t>National Waste Data Report</w:t>
      </w:r>
      <w:r w:rsidRPr="00BE78CA">
        <w:t>. Wellington: Ministry for the Environment.</w:t>
      </w:r>
    </w:p>
    <w:p w14:paraId="59D3202C" w14:textId="77777777" w:rsidR="00FB19C0" w:rsidRPr="00BE78CA" w:rsidRDefault="00FB19C0" w:rsidP="00FB19C0">
      <w:pPr>
        <w:pStyle w:val="References"/>
      </w:pPr>
      <w:r w:rsidRPr="00BE78CA">
        <w:t xml:space="preserve">Ministry for the Environment. 2002a. </w:t>
      </w:r>
      <w:r w:rsidRPr="00BE78CA">
        <w:rPr>
          <w:i/>
        </w:rPr>
        <w:t>The New Zealand Waste Strategy</w:t>
      </w:r>
      <w:r w:rsidRPr="00BE78CA">
        <w:t>. Wellington: Ministry for the Environment.</w:t>
      </w:r>
    </w:p>
    <w:p w14:paraId="13861233" w14:textId="77777777" w:rsidR="00FB19C0" w:rsidRPr="00BE78CA" w:rsidRDefault="00FB19C0" w:rsidP="00FB19C0">
      <w:pPr>
        <w:pStyle w:val="References"/>
      </w:pPr>
      <w:r w:rsidRPr="00BE78CA">
        <w:t xml:space="preserve">Ministry for the Environment. 2002b. </w:t>
      </w:r>
      <w:r w:rsidRPr="00BE78CA">
        <w:rPr>
          <w:i/>
        </w:rPr>
        <w:t>Solid Waste Analysis Protocol</w:t>
      </w:r>
      <w:r w:rsidRPr="00BE78CA">
        <w:t>.</w:t>
      </w:r>
      <w:r w:rsidRPr="00BE78CA">
        <w:rPr>
          <w:i/>
        </w:rPr>
        <w:t xml:space="preserve"> </w:t>
      </w:r>
      <w:r w:rsidRPr="00BE78CA">
        <w:t>Wellington: Ministry for the Environment.</w:t>
      </w:r>
    </w:p>
    <w:p w14:paraId="1974FCAE" w14:textId="77777777" w:rsidR="00FB19C0" w:rsidRPr="00BE78CA" w:rsidRDefault="00FB19C0" w:rsidP="00FB19C0">
      <w:pPr>
        <w:pStyle w:val="References"/>
      </w:pPr>
      <w:r w:rsidRPr="00BE78CA">
        <w:t xml:space="preserve">Ministry for the Environment. 2010. </w:t>
      </w:r>
      <w:r w:rsidRPr="00BE78CA">
        <w:rPr>
          <w:i/>
        </w:rPr>
        <w:t>The New Zealand Waste Strategy: Reducing Harm, Improving Efficiency</w:t>
      </w:r>
      <w:r w:rsidRPr="00BE78CA">
        <w:t>.</w:t>
      </w:r>
      <w:r w:rsidRPr="00BE78CA">
        <w:rPr>
          <w:i/>
        </w:rPr>
        <w:t xml:space="preserve"> </w:t>
      </w:r>
      <w:r w:rsidRPr="00BE78CA">
        <w:t xml:space="preserve">Wellington: Ministry for the Environment. </w:t>
      </w:r>
    </w:p>
    <w:p w14:paraId="380E63FF" w14:textId="77777777" w:rsidR="00FB19C0" w:rsidRPr="00BE78CA" w:rsidRDefault="00FB19C0" w:rsidP="00FB19C0">
      <w:pPr>
        <w:pStyle w:val="References"/>
        <w:rPr>
          <w:rFonts w:cs="Arial"/>
          <w:szCs w:val="16"/>
        </w:rPr>
      </w:pPr>
      <w:r w:rsidRPr="00BE78CA">
        <w:rPr>
          <w:rFonts w:cs="Arial"/>
          <w:szCs w:val="16"/>
        </w:rPr>
        <w:t xml:space="preserve">Ministry of Commerce. 1993. </w:t>
      </w:r>
      <w:r w:rsidRPr="00BE78CA">
        <w:rPr>
          <w:rFonts w:cs="Arial"/>
          <w:i/>
          <w:szCs w:val="16"/>
        </w:rPr>
        <w:t>New Zealand Energy Information Handbook:</w:t>
      </w:r>
      <w:r w:rsidRPr="00BE78CA">
        <w:rPr>
          <w:rFonts w:cs="Arial"/>
          <w:szCs w:val="16"/>
        </w:rPr>
        <w:t xml:space="preserve"> </w:t>
      </w:r>
      <w:r w:rsidRPr="00BE78CA">
        <w:rPr>
          <w:rFonts w:cs="Arial"/>
          <w:i/>
          <w:szCs w:val="16"/>
        </w:rPr>
        <w:t>Energy Data, Conversion Factors, Definitions.</w:t>
      </w:r>
      <w:r w:rsidRPr="00BE78CA">
        <w:rPr>
          <w:rFonts w:cs="Arial"/>
          <w:szCs w:val="16"/>
        </w:rPr>
        <w:t xml:space="preserve"> Taylor Baines and Associates.</w:t>
      </w:r>
    </w:p>
    <w:p w14:paraId="1B1EFDBD" w14:textId="77777777" w:rsidR="00FB19C0" w:rsidRPr="00BE78CA" w:rsidRDefault="00FB19C0" w:rsidP="00FB19C0">
      <w:pPr>
        <w:pStyle w:val="References"/>
        <w:rPr>
          <w:i/>
        </w:rPr>
      </w:pPr>
      <w:r w:rsidRPr="00BE78CA">
        <w:t xml:space="preserve">MWH. 2017. </w:t>
      </w:r>
      <w:r w:rsidRPr="00BE78CA">
        <w:rPr>
          <w:i/>
        </w:rPr>
        <w:t xml:space="preserve">National Waste Disposal Survey. Final Report. </w:t>
      </w:r>
      <w:r w:rsidRPr="00BE78CA">
        <w:t xml:space="preserve">MWH for the Ministry for the Environment, published as National waste disposal survey final report 2017 No CR275. Available from </w:t>
      </w:r>
      <w:hyperlink r:id="rId246" w:history="1">
        <w:r w:rsidRPr="00BE78CA">
          <w:rPr>
            <w:rStyle w:val="Hyperlink"/>
          </w:rPr>
          <w:t>www.mfe.govt.nz/sites/default/files/media/Waste/National%20Waste%20Disposal%20Survey%20Final%20Report.pdf</w:t>
        </w:r>
      </w:hyperlink>
      <w:r w:rsidRPr="00BE78CA">
        <w:t xml:space="preserve"> (accessed 9 November 2017).</w:t>
      </w:r>
    </w:p>
    <w:p w14:paraId="0EF8F5CF" w14:textId="77777777" w:rsidR="00FB19C0" w:rsidRPr="00BE78CA" w:rsidRDefault="00FB19C0" w:rsidP="00FB19C0">
      <w:pPr>
        <w:pStyle w:val="References"/>
      </w:pPr>
      <w:r w:rsidRPr="00BE78CA">
        <w:lastRenderedPageBreak/>
        <w:t>SCS Wetherill Environmental. Unpublished. National Greenhouse Gas Inventory from the Waste Sector 1990–2020.</w:t>
      </w:r>
      <w:r w:rsidRPr="00BE78CA">
        <w:rPr>
          <w:i/>
        </w:rPr>
        <w:t xml:space="preserve"> </w:t>
      </w:r>
      <w:r w:rsidRPr="00BE78CA">
        <w:t>Report commissioned by the Ministry for the Environment in 2002.</w:t>
      </w:r>
    </w:p>
    <w:p w14:paraId="7FFAB7E0" w14:textId="77777777" w:rsidR="00FB19C0" w:rsidRPr="00BE78CA" w:rsidRDefault="00FB19C0" w:rsidP="00FB19C0">
      <w:pPr>
        <w:pStyle w:val="References"/>
      </w:pPr>
      <w:r w:rsidRPr="00BE78CA">
        <w:t>SKM. Unpublished(a). Greenhouse Gases from the Waste Incineration Sector. Report commissioned by the Ministry for the Environment in 2007.</w:t>
      </w:r>
    </w:p>
    <w:p w14:paraId="506CF69F" w14:textId="77777777" w:rsidR="00FB19C0" w:rsidRPr="00BE78CA" w:rsidRDefault="00FB19C0" w:rsidP="00FB19C0">
      <w:pPr>
        <w:pStyle w:val="References"/>
      </w:pPr>
      <w:r w:rsidRPr="00BE78CA">
        <w:t>SKM. Unpublished(b). Estimates of Landfill Methane Recovered in New Zealand 1990–2012. Report commissioned by the Ministry for the Environment in 2009.</w:t>
      </w:r>
    </w:p>
    <w:p w14:paraId="7F3E217A" w14:textId="77777777" w:rsidR="00FB19C0" w:rsidRPr="00BE78CA" w:rsidRDefault="00FB19C0" w:rsidP="00FB19C0">
      <w:pPr>
        <w:pStyle w:val="References"/>
      </w:pPr>
      <w:r w:rsidRPr="00BE78CA">
        <w:t>Tonkin and Taylor Ltd. Unpublished(a). National Greenhouse Gas Emissions from Wastewater Sludge. Report commissioned by the Ministry for the Environment in 2011.</w:t>
      </w:r>
    </w:p>
    <w:p w14:paraId="0D973EDB" w14:textId="77777777" w:rsidR="00FB19C0" w:rsidRPr="00BE78CA" w:rsidRDefault="00FB19C0" w:rsidP="00FB19C0">
      <w:pPr>
        <w:pStyle w:val="References"/>
      </w:pPr>
      <w:r w:rsidRPr="00BE78CA">
        <w:t>Tonkin and Taylor Ltd. Unpublished(b). GHG Estimates from Non-municipal Landfills New Zealand. Report commissioned by the Ministry for the Environment in 2014.</w:t>
      </w:r>
    </w:p>
    <w:p w14:paraId="7E532302" w14:textId="77777777" w:rsidR="00FB19C0" w:rsidRPr="00BE78CA" w:rsidRDefault="00FB19C0" w:rsidP="00FB19C0">
      <w:pPr>
        <w:pStyle w:val="References"/>
      </w:pPr>
      <w:r w:rsidRPr="00BE78CA">
        <w:t>van der Weerden A, de Klein C, Kelliher R, Rollo M. 2014.</w:t>
      </w:r>
      <w:r w:rsidRPr="00BE78CA">
        <w:rPr>
          <w:i/>
        </w:rPr>
        <w:t xml:space="preserve"> Reporting to 2006 IPCC Guidelines for N</w:t>
      </w:r>
      <w:r w:rsidRPr="00BE78CA">
        <w:rPr>
          <w:i/>
          <w:vertAlign w:val="subscript"/>
        </w:rPr>
        <w:t>2</w:t>
      </w:r>
      <w:r w:rsidRPr="00BE78CA">
        <w:rPr>
          <w:i/>
        </w:rPr>
        <w:t>O Emissions from Additional Sources of Organic N: Final report</w:t>
      </w:r>
      <w:r w:rsidRPr="00BE78CA">
        <w:t xml:space="preserve">. Wellington: Ministry for Primary Industries. </w:t>
      </w:r>
    </w:p>
    <w:p w14:paraId="5673008E" w14:textId="77777777" w:rsidR="00FB19C0" w:rsidRPr="00BE78CA" w:rsidRDefault="00FB19C0" w:rsidP="00FB19C0">
      <w:pPr>
        <w:pStyle w:val="References"/>
      </w:pPr>
      <w:r w:rsidRPr="00BE78CA">
        <w:t>Waste Not Consulting. Unpublished(a). Waste Composition and Construction Waste Data. Report commissioned by the Ministry for the Environment in 2006.</w:t>
      </w:r>
    </w:p>
    <w:p w14:paraId="14E9391B" w14:textId="77777777" w:rsidR="00FB19C0" w:rsidRPr="00BE78CA" w:rsidRDefault="00FB19C0" w:rsidP="00FB19C0">
      <w:pPr>
        <w:pStyle w:val="References"/>
      </w:pPr>
      <w:r w:rsidRPr="00BE78CA">
        <w:t xml:space="preserve">Waste Not Consulting. Unpublished(b). Reviewing the 2008 National Waste Composition Estimate and Producing a 2012 Estimate. Report commissioned by the Ministry for the Environment in 2013. </w:t>
      </w:r>
    </w:p>
    <w:p w14:paraId="52407B67" w14:textId="77777777" w:rsidR="00FB19C0" w:rsidRPr="00BE78CA" w:rsidRDefault="00FB19C0" w:rsidP="00FB19C0">
      <w:pPr>
        <w:pStyle w:val="References"/>
      </w:pPr>
      <w:r w:rsidRPr="00BE78CA">
        <w:t>Waste Not Consulting. Unpublished(c). Update of National Average Waste Composition for Class 1 Landfills. Report commissioned by the Ministry for the Environment in 2020.</w:t>
      </w:r>
    </w:p>
    <w:p w14:paraId="32980552" w14:textId="4C89CDFF" w:rsidR="005A2CAB" w:rsidRPr="00BE78CA" w:rsidRDefault="005A2CAB" w:rsidP="005A2CAB">
      <w:pPr>
        <w:pStyle w:val="References"/>
      </w:pPr>
    </w:p>
    <w:p w14:paraId="02EFF1D4" w14:textId="77777777" w:rsidR="00F6028F" w:rsidRPr="00BE78CA" w:rsidRDefault="00F6028F" w:rsidP="005A2CAB">
      <w:pPr>
        <w:pStyle w:val="References"/>
        <w:sectPr w:rsidR="00F6028F" w:rsidRPr="00BE78CA" w:rsidSect="00C26084">
          <w:footerReference w:type="even" r:id="rId247"/>
          <w:footerReference w:type="default" r:id="rId248"/>
          <w:pgSz w:w="11906" w:h="16838" w:code="9"/>
          <w:pgMar w:top="1418" w:right="1701" w:bottom="1418" w:left="1701" w:header="567" w:footer="567" w:gutter="0"/>
          <w:cols w:space="708"/>
          <w:docGrid w:linePitch="360"/>
        </w:sectPr>
      </w:pPr>
    </w:p>
    <w:p w14:paraId="6278E59A" w14:textId="77777777" w:rsidR="007F00E5" w:rsidRPr="00BE78CA" w:rsidRDefault="007F00E5" w:rsidP="007F00E5">
      <w:pPr>
        <w:pStyle w:val="Heading1"/>
      </w:pPr>
      <w:bookmarkStart w:id="3181" w:name="_Toc5269392"/>
      <w:bookmarkStart w:id="3182" w:name="_Toc36224432"/>
      <w:bookmarkStart w:id="3183" w:name="_Toc68786352"/>
      <w:r w:rsidRPr="00BE78CA">
        <w:lastRenderedPageBreak/>
        <w:t>Chapter 8: Tokelau</w:t>
      </w:r>
      <w:bookmarkEnd w:id="3181"/>
      <w:r w:rsidRPr="00BE78CA">
        <w:t xml:space="preserve"> (other) sector</w:t>
      </w:r>
      <w:bookmarkEnd w:id="3182"/>
      <w:bookmarkEnd w:id="3183"/>
    </w:p>
    <w:p w14:paraId="530D3616" w14:textId="77777777" w:rsidR="007F00E5" w:rsidRPr="00BE78CA" w:rsidRDefault="007F00E5" w:rsidP="007F00E5">
      <w:pPr>
        <w:pStyle w:val="BodyText"/>
      </w:pPr>
      <w:r w:rsidRPr="00BE78CA">
        <w:t xml:space="preserve">New Zealand ratified the </w:t>
      </w:r>
      <w:r w:rsidRPr="00BE78CA">
        <w:rPr>
          <w:bCs/>
        </w:rPr>
        <w:t>United Nations Framework Convention on Climate Change</w:t>
      </w:r>
      <w:r w:rsidRPr="00BE78CA">
        <w:t xml:space="preserve"> (the Convention) on 16 September 1993 and the Paris Agreement on 4 October 2016. The extension to Tokelau (as of 13 November 2017) of New Zealand’s ratification of the Convention and of the Paris Agreement requires New Zealand to include Tokelau in the obligatory climate change reporting managed by the Ministry for the Environment. Delivering on this obligation, among other things, means that New Zealand’s national greenhouse gas (GHG) inventory shall include the GHG estimates from Tokelau. </w:t>
      </w:r>
    </w:p>
    <w:p w14:paraId="3CE0CE79" w14:textId="77777777" w:rsidR="007F00E5" w:rsidRPr="00BE78CA" w:rsidRDefault="007F00E5" w:rsidP="007F00E5">
      <w:pPr>
        <w:pStyle w:val="BodyText"/>
        <w:spacing w:before="100" w:after="100"/>
      </w:pPr>
      <w:r w:rsidRPr="00BE78CA">
        <w:t>Roles and responsibilities in relation to GHG inventory reporting from Tokelau are outlined below in section 8.1.3. The information on quality assurance and quality control planning for Tokelau is included in annex 6.</w:t>
      </w:r>
    </w:p>
    <w:p w14:paraId="175DC1B0" w14:textId="77777777" w:rsidR="007F00E5" w:rsidRPr="00BE78CA" w:rsidRDefault="007F00E5" w:rsidP="007F00E5">
      <w:pPr>
        <w:pStyle w:val="BodyText"/>
        <w:spacing w:before="100" w:after="100"/>
      </w:pPr>
      <w:r w:rsidRPr="00BE78CA">
        <w:t>To maintain transparency of the inventory and visibility of the GHG data from Tokelau, common reporting format (CRF) sector 6 (Other) is used to present emissions from Tokelau by sector in the CRF. This chapter provides an overview of Tokelau’s economy and industry. It includes information on emissions trends and methodological notes in regard to the GHG emissions from Tokelau.</w:t>
      </w:r>
    </w:p>
    <w:p w14:paraId="02DC4C97" w14:textId="77777777" w:rsidR="007F00E5" w:rsidRPr="00BE78CA" w:rsidRDefault="007F00E5" w:rsidP="007F00E5">
      <w:pPr>
        <w:pStyle w:val="Heading2"/>
        <w:spacing w:before="280"/>
      </w:pPr>
      <w:bookmarkStart w:id="3184" w:name="_Toc5269393"/>
      <w:bookmarkStart w:id="3185" w:name="_Toc36224433"/>
      <w:bookmarkStart w:id="3186" w:name="_Toc68786353"/>
      <w:r w:rsidRPr="00BE78CA">
        <w:t xml:space="preserve">8.1 </w:t>
      </w:r>
      <w:r w:rsidRPr="00BE78CA">
        <w:tab/>
        <w:t>Tokelau overview</w:t>
      </w:r>
      <w:bookmarkEnd w:id="3184"/>
      <w:bookmarkEnd w:id="3185"/>
      <w:bookmarkEnd w:id="3186"/>
    </w:p>
    <w:p w14:paraId="5872F38D" w14:textId="77777777" w:rsidR="007F00E5" w:rsidRPr="00BE78CA" w:rsidRDefault="007F00E5" w:rsidP="007F00E5">
      <w:pPr>
        <w:pStyle w:val="Heading3"/>
        <w:spacing w:before="160"/>
      </w:pPr>
      <w:r w:rsidRPr="00BE78CA">
        <w:t xml:space="preserve">8.1.1 </w:t>
      </w:r>
      <w:r w:rsidRPr="00BE78CA">
        <w:tab/>
        <w:t>Geography</w:t>
      </w:r>
    </w:p>
    <w:p w14:paraId="4CF658FE" w14:textId="77777777" w:rsidR="007F00E5" w:rsidRPr="00BE78CA" w:rsidRDefault="007F00E5" w:rsidP="007F00E5">
      <w:pPr>
        <w:pStyle w:val="BodyText"/>
        <w:spacing w:before="100" w:after="100"/>
      </w:pPr>
      <w:r w:rsidRPr="00BE78CA">
        <w:t>Tokelau is a non-self-governing territory</w:t>
      </w:r>
      <w:r w:rsidRPr="00BE78CA">
        <w:rPr>
          <w:rStyle w:val="FootnoteReference"/>
        </w:rPr>
        <w:footnoteReference w:id="69"/>
      </w:r>
      <w:r w:rsidRPr="00BE78CA">
        <w:t xml:space="preserve"> of New Zealand. Tokelau is made up of three small coral atolls: Atafu, Nukunonu and Fakaofo. The total land area is only 12 square kilometres within an Exclusive Economic Zone (EEZ) covering 318,990 square kilometres. Atafu, the northern atoll, has a surface area of 3.5 square kilometres; Nukunonu, the central atoll, is 4.7 square kilometres and Fakaofo, the southern atoll, is 4 square kilometres (figure 8.1.1).</w:t>
      </w:r>
    </w:p>
    <w:p w14:paraId="21C0E0EA" w14:textId="77777777" w:rsidR="007F00E5" w:rsidRPr="00BE78CA" w:rsidRDefault="007F00E5" w:rsidP="007F00E5">
      <w:pPr>
        <w:pStyle w:val="Figure"/>
      </w:pPr>
      <w:bookmarkStart w:id="3187" w:name="_Toc5269721"/>
      <w:bookmarkStart w:id="3188" w:name="_Toc36292824"/>
      <w:bookmarkStart w:id="3189" w:name="_Toc64972931"/>
      <w:bookmarkStart w:id="3190" w:name="_Toc68786688"/>
      <w:r w:rsidRPr="00BE78CA">
        <w:t xml:space="preserve">Figure 8.1.1 </w:t>
      </w:r>
      <w:r w:rsidRPr="00BE78CA">
        <w:tab/>
        <w:t>Map of Tokelau</w:t>
      </w:r>
      <w:bookmarkEnd w:id="3187"/>
      <w:bookmarkEnd w:id="3188"/>
      <w:bookmarkEnd w:id="3189"/>
      <w:bookmarkEnd w:id="3190"/>
    </w:p>
    <w:p w14:paraId="7F814646" w14:textId="77777777" w:rsidR="007F00E5" w:rsidRPr="00BE78CA" w:rsidRDefault="007F00E5" w:rsidP="007F00E5">
      <w:pPr>
        <w:pStyle w:val="BodyText"/>
        <w:jc w:val="center"/>
      </w:pPr>
      <w:r w:rsidRPr="00BE78CA">
        <w:rPr>
          <w:noProof/>
        </w:rPr>
        <w:drawing>
          <wp:inline distT="0" distB="0" distL="0" distR="0" wp14:anchorId="7D1588A1" wp14:editId="3E277CA1">
            <wp:extent cx="3968151" cy="2016908"/>
            <wp:effectExtent l="0" t="0" r="0" b="254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249">
                      <a:extLst>
                        <a:ext uri="{28A0092B-C50C-407E-A947-70E740481C1C}">
                          <a14:useLocalDpi xmlns:a14="http://schemas.microsoft.com/office/drawing/2010/main" val="0"/>
                        </a:ext>
                      </a:extLst>
                    </a:blip>
                    <a:srcRect l="6992" t="43109" r="47675" b="13998"/>
                    <a:stretch>
                      <a:fillRect/>
                    </a:stretch>
                  </pic:blipFill>
                  <pic:spPr bwMode="auto">
                    <a:xfrm>
                      <a:off x="0" y="0"/>
                      <a:ext cx="3987004" cy="2026491"/>
                    </a:xfrm>
                    <a:prstGeom prst="rect">
                      <a:avLst/>
                    </a:prstGeom>
                    <a:noFill/>
                    <a:ln>
                      <a:noFill/>
                    </a:ln>
                  </pic:spPr>
                </pic:pic>
              </a:graphicData>
            </a:graphic>
          </wp:inline>
        </w:drawing>
      </w:r>
    </w:p>
    <w:p w14:paraId="1D71E065" w14:textId="77777777" w:rsidR="007F00E5" w:rsidRPr="00BE78CA" w:rsidRDefault="007F00E5" w:rsidP="007F00E5">
      <w:pPr>
        <w:pStyle w:val="BodyText"/>
        <w:rPr>
          <w:spacing w:val="-2"/>
        </w:rPr>
      </w:pPr>
      <w:r w:rsidRPr="00BE78CA">
        <w:rPr>
          <w:spacing w:val="-2"/>
        </w:rPr>
        <w:lastRenderedPageBreak/>
        <w:t>From Atafu in the north to Fakaofo in the south, Tokelau extends for less than 200 kilometres. The atolls are about 3 to 5 metres above sea level. The maximum width of any island (motu) on the atolls’ rims is 200 metres. Tokelau is therefore particularly vulnerable to natural hazards.</w:t>
      </w:r>
    </w:p>
    <w:p w14:paraId="34BA4B00" w14:textId="77777777" w:rsidR="007F00E5" w:rsidRPr="00BE78CA" w:rsidRDefault="007F00E5" w:rsidP="007F00E5">
      <w:pPr>
        <w:pStyle w:val="Heading3"/>
        <w:spacing w:before="240"/>
      </w:pPr>
      <w:r w:rsidRPr="00BE78CA">
        <w:t xml:space="preserve">8.1.2 </w:t>
      </w:r>
      <w:r w:rsidRPr="00BE78CA">
        <w:tab/>
        <w:t>Censuses of dwellings and population</w:t>
      </w:r>
    </w:p>
    <w:p w14:paraId="69DBFD57" w14:textId="77777777" w:rsidR="007F00E5" w:rsidRPr="00BE78CA" w:rsidRDefault="007F00E5" w:rsidP="007F00E5">
      <w:pPr>
        <w:pStyle w:val="BodyText"/>
        <w:spacing w:before="100"/>
      </w:pPr>
      <w:r w:rsidRPr="00BE78CA">
        <w:t xml:space="preserve">Tokelauans have New Zealand citizenship. </w:t>
      </w:r>
    </w:p>
    <w:p w14:paraId="3792D13E" w14:textId="77777777" w:rsidR="007F00E5" w:rsidRPr="00BE78CA" w:rsidRDefault="007F00E5" w:rsidP="007F00E5">
      <w:pPr>
        <w:pStyle w:val="BodyText"/>
        <w:spacing w:before="100"/>
        <w:rPr>
          <w:rFonts w:eastAsia="Calibri"/>
        </w:rPr>
      </w:pPr>
      <w:r w:rsidRPr="00BE78CA">
        <w:rPr>
          <w:rFonts w:eastAsia="Calibri"/>
        </w:rPr>
        <w:t>Tokelau has carried out independent censuses of population and dwellings five yearly; detailed data are available on the number of inhabitants, livestock, housing, and some appliances. Only the past three censuses in Tokelau (2006, 2011 and 2016) have used a precise definition of who is a ‘</w:t>
      </w:r>
      <w:r w:rsidRPr="00BE78CA">
        <w:rPr>
          <w:rFonts w:eastAsia="Calibri"/>
          <w:i/>
        </w:rPr>
        <w:t>de jure</w:t>
      </w:r>
      <w:r w:rsidRPr="00BE78CA">
        <w:rPr>
          <w:rFonts w:eastAsia="Calibri"/>
        </w:rPr>
        <w:t xml:space="preserve"> Tokelauan’ and the people who actually lived in Tokelau during the census night (</w:t>
      </w:r>
      <w:r w:rsidRPr="00BE78CA">
        <w:rPr>
          <w:rFonts w:eastAsia="Calibri"/>
          <w:i/>
        </w:rPr>
        <w:t>de facto</w:t>
      </w:r>
      <w:r w:rsidRPr="00BE78CA">
        <w:rPr>
          <w:rFonts w:eastAsia="Calibri"/>
          <w:iCs/>
        </w:rPr>
        <w:t xml:space="preserve"> </w:t>
      </w:r>
      <w:r w:rsidRPr="00BE78CA">
        <w:rPr>
          <w:rFonts w:eastAsia="Calibri"/>
        </w:rPr>
        <w:t xml:space="preserve">population). Tokelau’s </w:t>
      </w:r>
      <w:r w:rsidRPr="00BE78CA">
        <w:rPr>
          <w:rFonts w:eastAsia="Calibri"/>
          <w:i/>
        </w:rPr>
        <w:t>de jure</w:t>
      </w:r>
      <w:r w:rsidRPr="00BE78CA">
        <w:rPr>
          <w:rFonts w:eastAsia="Calibri"/>
        </w:rPr>
        <w:t xml:space="preserve"> population on 18 September 2016 was 1,499 people. The </w:t>
      </w:r>
      <w:r w:rsidRPr="00BE78CA">
        <w:rPr>
          <w:rFonts w:eastAsia="Calibri"/>
          <w:i/>
        </w:rPr>
        <w:t>de facto</w:t>
      </w:r>
      <w:r w:rsidRPr="00BE78CA">
        <w:rPr>
          <w:rFonts w:eastAsia="Calibri"/>
          <w:iCs/>
        </w:rPr>
        <w:t xml:space="preserve"> </w:t>
      </w:r>
      <w:r w:rsidRPr="00BE78CA">
        <w:rPr>
          <w:rFonts w:eastAsia="Calibri"/>
        </w:rPr>
        <w:t xml:space="preserve">population has been used for the purposes of estimating emissions, which was 1,285 people in 2016. From 1990 to 2016, the population was fluctuating but generally declined for both </w:t>
      </w:r>
      <w:r w:rsidRPr="00BE78CA">
        <w:rPr>
          <w:rFonts w:eastAsia="Calibri"/>
          <w:i/>
        </w:rPr>
        <w:t>de facto</w:t>
      </w:r>
      <w:r w:rsidRPr="00BE78CA">
        <w:rPr>
          <w:rFonts w:eastAsia="Calibri"/>
        </w:rPr>
        <w:t xml:space="preserve"> and </w:t>
      </w:r>
      <w:r w:rsidRPr="00BE78CA">
        <w:rPr>
          <w:rFonts w:eastAsia="Calibri"/>
          <w:i/>
        </w:rPr>
        <w:t>de jure</w:t>
      </w:r>
      <w:r w:rsidRPr="00BE78CA">
        <w:rPr>
          <w:rFonts w:eastAsia="Calibri"/>
        </w:rPr>
        <w:t xml:space="preserve"> measures. For reference, about 15,000 people identify as Tokelauan who live overseas, mainly in New Zealand.</w:t>
      </w:r>
    </w:p>
    <w:p w14:paraId="1671FAD0" w14:textId="77777777" w:rsidR="007F00E5" w:rsidRPr="00BE78CA" w:rsidRDefault="007F00E5" w:rsidP="007F00E5">
      <w:pPr>
        <w:pStyle w:val="BodyText"/>
        <w:spacing w:before="100"/>
        <w:rPr>
          <w:rFonts w:eastAsia="Calibri"/>
        </w:rPr>
      </w:pPr>
      <w:r w:rsidRPr="00BE78CA">
        <w:rPr>
          <w:rFonts w:eastAsia="Calibri"/>
        </w:rPr>
        <w:t xml:space="preserve">Tokelau has a subsistence economy in which sharing (inati) plays an important and significant role. The inhabitants are dependent on local natural resources, particularly fishing in the lagoon and deep sea, growing coconuts and breadfruit, and keeping domesticated pigs and chickens. </w:t>
      </w:r>
    </w:p>
    <w:p w14:paraId="2DAFB563" w14:textId="77777777" w:rsidR="007F00E5" w:rsidRPr="00BE78CA" w:rsidRDefault="007F00E5" w:rsidP="007F00E5">
      <w:pPr>
        <w:pStyle w:val="BodyText"/>
        <w:spacing w:before="100"/>
        <w:rPr>
          <w:rFonts w:eastAsia="Calibri"/>
        </w:rPr>
      </w:pPr>
      <w:r w:rsidRPr="00BE78CA">
        <w:rPr>
          <w:rFonts w:eastAsia="Calibri"/>
        </w:rPr>
        <w:t>The coral atolls provide a subsistence lifestyle within a fragile environment. Tokelau imports most of its foodstuffs from Samoa. The Tokelau economy is dependent on two major financial resources: economic and administrative assistance from New Zealand, and income from fisheries. New Zealand provides general budget support to help the delivery of essential services, consistent with its constitutional and United Nations Charter obligations.</w:t>
      </w:r>
    </w:p>
    <w:p w14:paraId="48CE56CE" w14:textId="77777777" w:rsidR="007F00E5" w:rsidRPr="00BE78CA" w:rsidRDefault="007F00E5" w:rsidP="007F00E5">
      <w:pPr>
        <w:pStyle w:val="Heading3"/>
        <w:spacing w:before="280"/>
      </w:pPr>
      <w:r w:rsidRPr="00BE78CA">
        <w:t xml:space="preserve">8.1.3 </w:t>
      </w:r>
      <w:r w:rsidRPr="00BE78CA">
        <w:tab/>
        <w:t xml:space="preserve">Emissions reporting </w:t>
      </w:r>
    </w:p>
    <w:p w14:paraId="2EE4ED63" w14:textId="77777777" w:rsidR="007F00E5" w:rsidRPr="00BE78CA" w:rsidRDefault="007F00E5" w:rsidP="007F00E5">
      <w:pPr>
        <w:pStyle w:val="BodyText"/>
        <w:spacing w:after="100"/>
      </w:pPr>
      <w:r w:rsidRPr="00BE78CA">
        <w:t>Due to the small land size area, small population and absence of industry, Tokelau has a very low impact on the environment and emits very small amounts of GHGs. The total amount of all GHGs from all sources in Tokelau in 2019 was 4.30 kilotonnes carbon dioxide equivalent</w:t>
      </w:r>
      <w:r w:rsidRPr="00BE78CA" w:rsidDel="000B3E2B">
        <w:t xml:space="preserve"> </w:t>
      </w:r>
      <w:r w:rsidRPr="00BE78CA">
        <w:t>(kt CO</w:t>
      </w:r>
      <w:r w:rsidRPr="00BE78CA">
        <w:rPr>
          <w:vertAlign w:val="subscript"/>
        </w:rPr>
        <w:t>2</w:t>
      </w:r>
      <w:r w:rsidRPr="00BE78CA">
        <w:t>-e), contributing approximately 0.005 per cent to New Zealand’s gross emissions. This is below the significance threshold as defined in paragraph 37(b) of the United Nations Framework Convention on Climate Change (UNFCCC) reporting guidelines for GHG inventories (UNFCCC, 2014). The emissions in Tokelau are limited to:</w:t>
      </w:r>
    </w:p>
    <w:p w14:paraId="1F73AC8F" w14:textId="77777777" w:rsidR="007F00E5" w:rsidRPr="00BE78CA" w:rsidRDefault="007F00E5" w:rsidP="007F00E5">
      <w:pPr>
        <w:pStyle w:val="Bullet"/>
        <w:spacing w:after="100"/>
      </w:pPr>
      <w:r w:rsidRPr="00BE78CA">
        <w:t>carbon dioxide (CO</w:t>
      </w:r>
      <w:r w:rsidRPr="00BE78CA">
        <w:rPr>
          <w:vertAlign w:val="subscript"/>
        </w:rPr>
        <w:t>2</w:t>
      </w:r>
      <w:r w:rsidRPr="00BE78CA">
        <w:t>) from boat engines and vehicles</w:t>
      </w:r>
    </w:p>
    <w:p w14:paraId="33AFA944" w14:textId="77777777" w:rsidR="007F00E5" w:rsidRPr="00BE78CA" w:rsidRDefault="007F00E5" w:rsidP="007F00E5">
      <w:pPr>
        <w:pStyle w:val="Bullet"/>
        <w:spacing w:after="100"/>
      </w:pPr>
      <w:r w:rsidRPr="00BE78CA">
        <w:t>CO</w:t>
      </w:r>
      <w:r w:rsidRPr="00BE78CA">
        <w:rPr>
          <w:vertAlign w:val="subscript"/>
        </w:rPr>
        <w:t>2</w:t>
      </w:r>
      <w:r w:rsidRPr="00BE78CA">
        <w:t xml:space="preserve"> from back-up power generators</w:t>
      </w:r>
    </w:p>
    <w:p w14:paraId="74FD5BD5" w14:textId="77777777" w:rsidR="007F00E5" w:rsidRPr="00BE78CA" w:rsidRDefault="007F00E5" w:rsidP="007F00E5">
      <w:pPr>
        <w:pStyle w:val="Bullet"/>
        <w:spacing w:after="100"/>
      </w:pPr>
      <w:r w:rsidRPr="00BE78CA">
        <w:t>fluorinated gases from the use of refrigerants</w:t>
      </w:r>
    </w:p>
    <w:p w14:paraId="36B8FB2E" w14:textId="77777777" w:rsidR="007F00E5" w:rsidRPr="00BE78CA" w:rsidRDefault="007F00E5" w:rsidP="007F00E5">
      <w:pPr>
        <w:pStyle w:val="Bullet"/>
        <w:spacing w:after="100"/>
      </w:pPr>
      <w:r w:rsidRPr="00BE78CA">
        <w:t>methane (CH</w:t>
      </w:r>
      <w:r w:rsidRPr="00BE78CA">
        <w:rPr>
          <w:vertAlign w:val="subscript"/>
        </w:rPr>
        <w:t>4</w:t>
      </w:r>
      <w:r w:rsidRPr="00BE78CA">
        <w:t>) and nitrous oxide (N</w:t>
      </w:r>
      <w:r w:rsidRPr="00BE78CA">
        <w:rPr>
          <w:vertAlign w:val="subscript"/>
        </w:rPr>
        <w:t>2</w:t>
      </w:r>
      <w:r w:rsidRPr="00BE78CA">
        <w:t>O) from livestock (pigs and poultry)</w:t>
      </w:r>
    </w:p>
    <w:p w14:paraId="7188F6D7" w14:textId="77777777" w:rsidR="007F00E5" w:rsidRPr="00BE78CA" w:rsidRDefault="007F00E5" w:rsidP="007F00E5">
      <w:pPr>
        <w:pStyle w:val="Bullet"/>
      </w:pPr>
      <w:r w:rsidRPr="00BE78CA">
        <w:t>CH</w:t>
      </w:r>
      <w:r w:rsidRPr="00BE78CA">
        <w:rPr>
          <w:vertAlign w:val="subscript"/>
        </w:rPr>
        <w:t>4</w:t>
      </w:r>
      <w:r w:rsidRPr="00BE78CA">
        <w:t>, CO</w:t>
      </w:r>
      <w:r w:rsidRPr="00BE78CA">
        <w:rPr>
          <w:vertAlign w:val="subscript"/>
        </w:rPr>
        <w:t>2</w:t>
      </w:r>
      <w:r w:rsidRPr="00BE78CA">
        <w:t xml:space="preserve"> and N</w:t>
      </w:r>
      <w:r w:rsidRPr="00BE78CA">
        <w:rPr>
          <w:vertAlign w:val="subscript"/>
        </w:rPr>
        <w:t>2</w:t>
      </w:r>
      <w:r w:rsidRPr="00BE78CA">
        <w:t>O from waste.</w:t>
      </w:r>
    </w:p>
    <w:p w14:paraId="2E727BDC" w14:textId="77777777" w:rsidR="007F00E5" w:rsidRPr="00BE78CA" w:rsidRDefault="007F00E5" w:rsidP="007F00E5">
      <w:pPr>
        <w:pStyle w:val="Heading5"/>
      </w:pPr>
      <w:r w:rsidRPr="00BE78CA">
        <w:t>2019</w:t>
      </w:r>
    </w:p>
    <w:p w14:paraId="7906742B" w14:textId="77777777" w:rsidR="007F00E5" w:rsidRPr="00BE78CA" w:rsidRDefault="007F00E5" w:rsidP="007F00E5">
      <w:pPr>
        <w:pStyle w:val="BodyText"/>
        <w:spacing w:before="100" w:after="100"/>
      </w:pPr>
      <w:r w:rsidRPr="00BE78CA">
        <w:t>In 2019, emissions from the Tokelau sector contributed 4.30 kt CO</w:t>
      </w:r>
      <w:r w:rsidRPr="00BE78CA">
        <w:rPr>
          <w:vertAlign w:val="subscript"/>
        </w:rPr>
        <w:t>2</w:t>
      </w:r>
      <w:r w:rsidRPr="00BE78CA">
        <w:t xml:space="preserve">-e (0.005 per cent) of New Zealand’s gross GHG emissions. The largest source category is </w:t>
      </w:r>
      <w:r w:rsidRPr="00BE78CA">
        <w:rPr>
          <w:i/>
        </w:rPr>
        <w:t>Domestic navigation</w:t>
      </w:r>
      <w:r w:rsidRPr="00BE78CA">
        <w:rPr>
          <w:iCs/>
        </w:rPr>
        <w:t>, which</w:t>
      </w:r>
      <w:r w:rsidRPr="00BE78CA">
        <w:t> contributed 2.20 kt CO</w:t>
      </w:r>
      <w:r w:rsidRPr="00BE78CA">
        <w:rPr>
          <w:vertAlign w:val="subscript"/>
        </w:rPr>
        <w:t>2</w:t>
      </w:r>
      <w:r w:rsidRPr="00BE78CA">
        <w:t>-e (87.0 per cent of all energy emissions and 51.2 per cent of gross emissions from Tokelau).</w:t>
      </w:r>
    </w:p>
    <w:p w14:paraId="07A3A03E" w14:textId="77777777" w:rsidR="007F00E5" w:rsidRPr="00BE78CA" w:rsidRDefault="007F00E5" w:rsidP="00433EFF">
      <w:pPr>
        <w:pStyle w:val="BodyText"/>
        <w:spacing w:before="100" w:after="100"/>
      </w:pPr>
      <w:r w:rsidRPr="00BE78CA">
        <w:lastRenderedPageBreak/>
        <w:t>Carbon dioxide dominated emissions from Tokelau, contributing 59.1 per cent (2.54 kt CO</w:t>
      </w:r>
      <w:r w:rsidRPr="00BE78CA">
        <w:rPr>
          <w:vertAlign w:val="subscript"/>
        </w:rPr>
        <w:t>2</w:t>
      </w:r>
      <w:r w:rsidRPr="00BE78CA">
        <w:t>-e) of its total emissions in 2019. At 2.50 kt CO</w:t>
      </w:r>
      <w:r w:rsidRPr="00BE78CA">
        <w:rPr>
          <w:vertAlign w:val="subscript"/>
        </w:rPr>
        <w:t>2</w:t>
      </w:r>
      <w:r w:rsidRPr="00BE78CA">
        <w:t>, the Energy sector contributed 98.5 per cent of total CO</w:t>
      </w:r>
      <w:r w:rsidRPr="00BE78CA">
        <w:rPr>
          <w:vertAlign w:val="subscript"/>
        </w:rPr>
        <w:t>2</w:t>
      </w:r>
      <w:r w:rsidRPr="00BE78CA">
        <w:t xml:space="preserve"> emissions, mostly from </w:t>
      </w:r>
      <w:r w:rsidRPr="00BE78CA">
        <w:rPr>
          <w:i/>
        </w:rPr>
        <w:t>Domestic navigation</w:t>
      </w:r>
      <w:r w:rsidRPr="00BE78CA">
        <w:t xml:space="preserve">; with the remaining 1.5 per cent (0.04 kt) came from </w:t>
      </w:r>
      <w:r w:rsidRPr="00BE78CA">
        <w:rPr>
          <w:i/>
        </w:rPr>
        <w:t>Open burning of waste</w:t>
      </w:r>
      <w:r w:rsidRPr="00BE78CA">
        <w:t xml:space="preserve"> in the Waste sector. </w:t>
      </w:r>
    </w:p>
    <w:p w14:paraId="2B471F80" w14:textId="77777777" w:rsidR="007F00E5" w:rsidRPr="00BE78CA" w:rsidRDefault="007F00E5" w:rsidP="00433EFF">
      <w:pPr>
        <w:pStyle w:val="BodyText"/>
        <w:spacing w:before="100" w:after="100"/>
      </w:pPr>
      <w:r w:rsidRPr="00BE78CA">
        <w:t>Methane emissions contributed 34.3 per cent (1.47 kt CO</w:t>
      </w:r>
      <w:r w:rsidRPr="00BE78CA">
        <w:rPr>
          <w:vertAlign w:val="subscript"/>
        </w:rPr>
        <w:t>2</w:t>
      </w:r>
      <w:r w:rsidRPr="00BE78CA">
        <w:t>-e) to the total emissions from Tokelau. The Agriculture sector in Tokelau contributed 55.94 per cent of CH</w:t>
      </w:r>
      <w:r w:rsidRPr="00BE78CA">
        <w:rPr>
          <w:vertAlign w:val="subscript"/>
        </w:rPr>
        <w:t>4</w:t>
      </w:r>
      <w:r w:rsidRPr="00BE78CA">
        <w:t xml:space="preserve"> emissions (0.82 kt CO</w:t>
      </w:r>
      <w:r w:rsidRPr="00BE78CA">
        <w:rPr>
          <w:vertAlign w:val="subscript"/>
        </w:rPr>
        <w:t>2</w:t>
      </w:r>
      <w:r w:rsidRPr="00BE78CA">
        <w:t xml:space="preserve">-e), which mostly came from </w:t>
      </w:r>
      <w:r w:rsidRPr="00BE78CA">
        <w:rPr>
          <w:i/>
        </w:rPr>
        <w:t>Manure management</w:t>
      </w:r>
      <w:r w:rsidRPr="00BE78CA">
        <w:t>. A significant portion of CH</w:t>
      </w:r>
      <w:r w:rsidRPr="00BE78CA">
        <w:rPr>
          <w:vertAlign w:val="subscript"/>
        </w:rPr>
        <w:t>4</w:t>
      </w:r>
      <w:r w:rsidRPr="00BE78CA">
        <w:t> emissions, 43.6 per cent (0.64 kt CO</w:t>
      </w:r>
      <w:r w:rsidRPr="00BE78CA">
        <w:rPr>
          <w:vertAlign w:val="subscript"/>
        </w:rPr>
        <w:t>2</w:t>
      </w:r>
      <w:r w:rsidRPr="00BE78CA">
        <w:t xml:space="preserve">-e), came from the Waste sector, largely from </w:t>
      </w:r>
      <w:r w:rsidRPr="00BE78CA">
        <w:rPr>
          <w:i/>
        </w:rPr>
        <w:t>Solid waste disposal</w:t>
      </w:r>
      <w:r w:rsidRPr="00BE78CA">
        <w:t>. The Energy sector contributed the remaining 0.48 per cent of CH</w:t>
      </w:r>
      <w:r w:rsidRPr="00BE78CA">
        <w:rPr>
          <w:vertAlign w:val="subscript"/>
        </w:rPr>
        <w:t>4</w:t>
      </w:r>
      <w:r w:rsidRPr="00BE78CA">
        <w:t xml:space="preserve"> emissions (0.01 kt CO</w:t>
      </w:r>
      <w:r w:rsidRPr="00BE78CA">
        <w:rPr>
          <w:vertAlign w:val="subscript"/>
        </w:rPr>
        <w:t>2</w:t>
      </w:r>
      <w:r w:rsidRPr="00BE78CA">
        <w:t xml:space="preserve">-e) that mostly came from </w:t>
      </w:r>
      <w:r w:rsidRPr="00BE78CA">
        <w:rPr>
          <w:i/>
        </w:rPr>
        <w:t>Domestic navigation</w:t>
      </w:r>
      <w:r w:rsidRPr="00BE78CA">
        <w:t>.</w:t>
      </w:r>
    </w:p>
    <w:p w14:paraId="62903515" w14:textId="77777777" w:rsidR="007F00E5" w:rsidRPr="00BE78CA" w:rsidRDefault="007F00E5" w:rsidP="00433EFF">
      <w:pPr>
        <w:pStyle w:val="BodyText"/>
        <w:spacing w:before="100" w:after="100"/>
      </w:pPr>
      <w:r w:rsidRPr="00BE78CA">
        <w:t>Nitrous oxide emissions contributed 1.2 per cent (0.05 kt CO</w:t>
      </w:r>
      <w:r w:rsidRPr="00BE78CA">
        <w:rPr>
          <w:vertAlign w:val="subscript"/>
        </w:rPr>
        <w:t>2</w:t>
      </w:r>
      <w:r w:rsidRPr="00BE78CA">
        <w:t>-e) to the total emissions from Tokelau. The Industrial Processes and Product Use (IPPU) sector contributed the largest amount of N</w:t>
      </w:r>
      <w:r w:rsidRPr="00BE78CA">
        <w:rPr>
          <w:vertAlign w:val="subscript"/>
        </w:rPr>
        <w:t>2</w:t>
      </w:r>
      <w:r w:rsidRPr="00BE78CA">
        <w:t>O, 42.5 per cent (0.02 kt CO</w:t>
      </w:r>
      <w:r w:rsidRPr="00BE78CA">
        <w:rPr>
          <w:vertAlign w:val="subscript"/>
        </w:rPr>
        <w:t>2</w:t>
      </w:r>
      <w:r w:rsidRPr="00BE78CA">
        <w:t>-e) of the total N</w:t>
      </w:r>
      <w:r w:rsidRPr="00BE78CA">
        <w:rPr>
          <w:vertAlign w:val="subscript"/>
        </w:rPr>
        <w:t>2</w:t>
      </w:r>
      <w:r w:rsidRPr="00BE78CA">
        <w:t xml:space="preserve">O, from </w:t>
      </w:r>
      <w:r w:rsidRPr="00BE78CA">
        <w:rPr>
          <w:i/>
        </w:rPr>
        <w:t>Medical applications.</w:t>
      </w:r>
      <w:r w:rsidRPr="00BE78CA">
        <w:t xml:space="preserve"> The Energy sector contributed a further</w:t>
      </w:r>
      <w:r w:rsidRPr="00BE78CA" w:rsidDel="007B238F">
        <w:t xml:space="preserve"> </w:t>
      </w:r>
      <w:r w:rsidRPr="00BE78CA">
        <w:t>35.7 per cent (0.02 kt CO</w:t>
      </w:r>
      <w:r w:rsidRPr="00BE78CA">
        <w:rPr>
          <w:vertAlign w:val="subscript"/>
        </w:rPr>
        <w:t>2</w:t>
      </w:r>
      <w:r w:rsidRPr="00BE78CA">
        <w:t>-e) that comes largely from </w:t>
      </w:r>
      <w:r w:rsidRPr="00BE78CA">
        <w:rPr>
          <w:i/>
        </w:rPr>
        <w:t>Domestic navigation</w:t>
      </w:r>
      <w:r w:rsidRPr="00BE78CA">
        <w:t>. The Waste sector contributed the remaining 21.8 per cent of N</w:t>
      </w:r>
      <w:r w:rsidRPr="00BE78CA">
        <w:rPr>
          <w:vertAlign w:val="subscript"/>
        </w:rPr>
        <w:t>2</w:t>
      </w:r>
      <w:r w:rsidRPr="00BE78CA">
        <w:t>O (0.01 kt CO</w:t>
      </w:r>
      <w:r w:rsidRPr="00BE78CA">
        <w:rPr>
          <w:vertAlign w:val="subscript"/>
        </w:rPr>
        <w:t>2</w:t>
      </w:r>
      <w:r w:rsidRPr="00BE78CA">
        <w:t xml:space="preserve">-e) from </w:t>
      </w:r>
      <w:r w:rsidRPr="00BE78CA">
        <w:rPr>
          <w:i/>
        </w:rPr>
        <w:t>Open burning</w:t>
      </w:r>
      <w:r w:rsidRPr="00BE78CA">
        <w:t>.</w:t>
      </w:r>
    </w:p>
    <w:p w14:paraId="515160B0" w14:textId="77777777" w:rsidR="007F00E5" w:rsidRPr="00BE78CA" w:rsidRDefault="007F00E5" w:rsidP="00433EFF">
      <w:pPr>
        <w:pStyle w:val="BodyText"/>
        <w:spacing w:before="100" w:after="100"/>
      </w:pPr>
      <w:r w:rsidRPr="00BE78CA">
        <w:t>Emissions of fluorinated gases from Tokelau consisted of hydrofluorocarbon (HFC) emissions only, contributing 5.4 per cent (0.23 kt CO</w:t>
      </w:r>
      <w:r w:rsidRPr="00BE78CA">
        <w:rPr>
          <w:vertAlign w:val="subscript"/>
        </w:rPr>
        <w:t>2</w:t>
      </w:r>
      <w:r w:rsidRPr="00BE78CA">
        <w:t xml:space="preserve">-e) to the total emissions from Tokelau. These emissions largely came from the use of </w:t>
      </w:r>
      <w:r w:rsidRPr="00BE78CA">
        <w:rPr>
          <w:i/>
        </w:rPr>
        <w:t>Air conditioning</w:t>
      </w:r>
      <w:r w:rsidRPr="00BE78CA">
        <w:t xml:space="preserve">. Emissions of perfluorocarbons (PFCs), nitrogen trifluoride and sulphur hexafluoride are not occurring in Tokelau. </w:t>
      </w:r>
    </w:p>
    <w:p w14:paraId="39F715A8" w14:textId="77777777" w:rsidR="007F00E5" w:rsidRPr="00BE78CA" w:rsidRDefault="007F00E5" w:rsidP="007F00E5">
      <w:pPr>
        <w:pStyle w:val="BodyText"/>
      </w:pPr>
      <w:r w:rsidRPr="00BE78CA">
        <w:t xml:space="preserve">Figures 8.1.2 and 8.1.3 show emissions from Tokelau by gas and by sector. </w:t>
      </w:r>
    </w:p>
    <w:p w14:paraId="5706A014" w14:textId="77777777" w:rsidR="007F00E5" w:rsidRPr="00BE78CA" w:rsidRDefault="007F00E5" w:rsidP="007F00E5">
      <w:pPr>
        <w:pStyle w:val="Figure"/>
        <w:spacing w:after="0"/>
      </w:pPr>
      <w:bookmarkStart w:id="3191" w:name="_Toc5269722"/>
      <w:bookmarkStart w:id="3192" w:name="_Toc36292825"/>
      <w:bookmarkStart w:id="3193" w:name="_Toc64972932"/>
      <w:bookmarkStart w:id="3194" w:name="_Toc68786689"/>
      <w:r w:rsidRPr="00BE78CA">
        <w:t xml:space="preserve">Figure 8.1.2 </w:t>
      </w:r>
      <w:r w:rsidRPr="00BE78CA">
        <w:tab/>
        <w:t xml:space="preserve">Tokelau’s emissions by gas in </w:t>
      </w:r>
      <w:bookmarkEnd w:id="3191"/>
      <w:bookmarkEnd w:id="3192"/>
      <w:r w:rsidRPr="00BE78CA">
        <w:t>2019</w:t>
      </w:r>
      <w:bookmarkEnd w:id="3193"/>
      <w:bookmarkEnd w:id="3194"/>
    </w:p>
    <w:p w14:paraId="3437F522" w14:textId="77777777" w:rsidR="007F00E5" w:rsidRPr="00BE78CA" w:rsidRDefault="007F00E5" w:rsidP="007F00E5">
      <w:pPr>
        <w:pStyle w:val="BodyText"/>
        <w:spacing w:after="0"/>
      </w:pPr>
      <w:bookmarkStart w:id="3195" w:name="_Toc5269723"/>
      <w:r w:rsidRPr="00BE78CA">
        <w:rPr>
          <w:noProof/>
        </w:rPr>
        <w:drawing>
          <wp:inline distT="0" distB="0" distL="0" distR="0" wp14:anchorId="0BE4F4F3" wp14:editId="176AB062">
            <wp:extent cx="5355175" cy="256204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50">
                      <a:extLst>
                        <a:ext uri="{28A0092B-C50C-407E-A947-70E740481C1C}">
                          <a14:useLocalDpi xmlns:a14="http://schemas.microsoft.com/office/drawing/2010/main" val="0"/>
                        </a:ext>
                      </a:extLst>
                    </a:blip>
                    <a:srcRect t="20114" b="1895"/>
                    <a:stretch/>
                  </pic:blipFill>
                  <pic:spPr bwMode="auto">
                    <a:xfrm>
                      <a:off x="0" y="0"/>
                      <a:ext cx="5355175" cy="2562045"/>
                    </a:xfrm>
                    <a:prstGeom prst="rect">
                      <a:avLst/>
                    </a:prstGeom>
                    <a:noFill/>
                    <a:ln>
                      <a:noFill/>
                    </a:ln>
                    <a:extLst>
                      <a:ext uri="{53640926-AAD7-44D8-BBD7-CCE9431645EC}">
                        <a14:shadowObscured xmlns:a14="http://schemas.microsoft.com/office/drawing/2010/main"/>
                      </a:ext>
                    </a:extLst>
                  </pic:spPr>
                </pic:pic>
              </a:graphicData>
            </a:graphic>
          </wp:inline>
        </w:drawing>
      </w:r>
    </w:p>
    <w:p w14:paraId="364125DE" w14:textId="77777777" w:rsidR="007F00E5" w:rsidRPr="00BE78CA" w:rsidRDefault="007F00E5" w:rsidP="00433EFF">
      <w:pPr>
        <w:pStyle w:val="Figure"/>
        <w:spacing w:before="240"/>
      </w:pPr>
      <w:bookmarkStart w:id="3196" w:name="_Toc36292826"/>
      <w:bookmarkStart w:id="3197" w:name="_Toc64972933"/>
      <w:bookmarkStart w:id="3198" w:name="_Toc68786690"/>
      <w:r w:rsidRPr="00BE78CA">
        <w:lastRenderedPageBreak/>
        <w:t xml:space="preserve">Figure 8.1.3 </w:t>
      </w:r>
      <w:r w:rsidRPr="00BE78CA">
        <w:tab/>
        <w:t xml:space="preserve">Tokelau’s emissions by sector in </w:t>
      </w:r>
      <w:bookmarkEnd w:id="3195"/>
      <w:bookmarkEnd w:id="3196"/>
      <w:r w:rsidRPr="00BE78CA">
        <w:t>2019</w:t>
      </w:r>
      <w:bookmarkEnd w:id="3197"/>
      <w:bookmarkEnd w:id="3198"/>
    </w:p>
    <w:p w14:paraId="7C569661" w14:textId="77777777" w:rsidR="007F00E5" w:rsidRPr="00BE78CA" w:rsidRDefault="007F00E5" w:rsidP="007F00E5">
      <w:pPr>
        <w:pStyle w:val="BodyText"/>
        <w:spacing w:before="0"/>
      </w:pPr>
      <w:r w:rsidRPr="00BE78CA">
        <w:rPr>
          <w:noProof/>
        </w:rPr>
        <w:drawing>
          <wp:inline distT="0" distB="0" distL="0" distR="0" wp14:anchorId="2F2E9232" wp14:editId="0123FC32">
            <wp:extent cx="5417288" cy="1820173"/>
            <wp:effectExtent l="0" t="0" r="0" b="381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51">
                      <a:extLst>
                        <a:ext uri="{28A0092B-C50C-407E-A947-70E740481C1C}">
                          <a14:useLocalDpi xmlns:a14="http://schemas.microsoft.com/office/drawing/2010/main" val="0"/>
                        </a:ext>
                      </a:extLst>
                    </a:blip>
                    <a:srcRect l="1265" t="27726" r="1843" b="2289"/>
                    <a:stretch/>
                  </pic:blipFill>
                  <pic:spPr bwMode="auto">
                    <a:xfrm>
                      <a:off x="0" y="0"/>
                      <a:ext cx="5417288" cy="1820173"/>
                    </a:xfrm>
                    <a:prstGeom prst="rect">
                      <a:avLst/>
                    </a:prstGeom>
                    <a:noFill/>
                    <a:ln>
                      <a:noFill/>
                    </a:ln>
                    <a:extLst>
                      <a:ext uri="{53640926-AAD7-44D8-BBD7-CCE9431645EC}">
                        <a14:shadowObscured xmlns:a14="http://schemas.microsoft.com/office/drawing/2010/main"/>
                      </a:ext>
                    </a:extLst>
                  </pic:spPr>
                </pic:pic>
              </a:graphicData>
            </a:graphic>
          </wp:inline>
        </w:drawing>
      </w:r>
    </w:p>
    <w:p w14:paraId="20D3F430" w14:textId="77777777" w:rsidR="007F00E5" w:rsidRPr="00BE78CA" w:rsidRDefault="007F00E5" w:rsidP="007F00E5">
      <w:pPr>
        <w:pStyle w:val="Heading4"/>
      </w:pPr>
      <w:r w:rsidRPr="00BE78CA">
        <w:t>1990–2019</w:t>
      </w:r>
    </w:p>
    <w:p w14:paraId="7E4B8D1B" w14:textId="77777777" w:rsidR="007F00E5" w:rsidRPr="00BE78CA" w:rsidRDefault="007F00E5" w:rsidP="007F00E5">
      <w:pPr>
        <w:pStyle w:val="BodyText"/>
      </w:pPr>
      <w:r w:rsidRPr="00BE78CA">
        <w:t>In 1990, the total emissions from Tokelau were 3.17 kt CO</w:t>
      </w:r>
      <w:r w:rsidRPr="00BE78CA">
        <w:rPr>
          <w:vertAlign w:val="subscript"/>
        </w:rPr>
        <w:t>2</w:t>
      </w:r>
      <w:r w:rsidRPr="00BE78CA">
        <w:t>-e. Between 1990 and 2019, the total emissions increased by 35.7 per cent (1.13 kt CO</w:t>
      </w:r>
      <w:r w:rsidRPr="00BE78CA">
        <w:rPr>
          <w:vertAlign w:val="subscript"/>
        </w:rPr>
        <w:t>2</w:t>
      </w:r>
      <w:r w:rsidRPr="00BE78CA">
        <w:t>-e) to 4.30 kt CO</w:t>
      </w:r>
      <w:r w:rsidRPr="00BE78CA">
        <w:rPr>
          <w:vertAlign w:val="subscript"/>
        </w:rPr>
        <w:t>2</w:t>
      </w:r>
      <w:r w:rsidRPr="00BE78CA">
        <w:t>-e (table 8.1.1). From 1990 to 2019, the average annual increase in gross emissions was 1.23</w:t>
      </w:r>
      <w:r w:rsidRPr="00BE78CA">
        <w:rPr>
          <w:rFonts w:cs="Arial"/>
          <w:szCs w:val="16"/>
        </w:rPr>
        <w:t xml:space="preserve"> </w:t>
      </w:r>
      <w:r w:rsidRPr="00BE78CA">
        <w:t>per cent.</w:t>
      </w:r>
    </w:p>
    <w:p w14:paraId="33714370" w14:textId="77777777" w:rsidR="007F00E5" w:rsidRPr="00BE78CA" w:rsidRDefault="007F00E5" w:rsidP="007F00E5">
      <w:pPr>
        <w:pStyle w:val="BodyText"/>
      </w:pPr>
      <w:r w:rsidRPr="00BE78CA">
        <w:t xml:space="preserve">The emission categories that contributed the most to this change were </w:t>
      </w:r>
      <w:r w:rsidRPr="00BE78CA">
        <w:rPr>
          <w:i/>
        </w:rPr>
        <w:t>Domestic navigation</w:t>
      </w:r>
      <w:r w:rsidRPr="00BE78CA">
        <w:t xml:space="preserve"> and </w:t>
      </w:r>
      <w:r w:rsidRPr="00BE78CA">
        <w:rPr>
          <w:i/>
        </w:rPr>
        <w:t>Refrigeration and air conditioning</w:t>
      </w:r>
      <w:r w:rsidRPr="00BE78CA">
        <w:t xml:space="preserve">. </w:t>
      </w:r>
    </w:p>
    <w:p w14:paraId="1B34F8A1" w14:textId="77777777" w:rsidR="007F00E5" w:rsidRPr="00BE78CA" w:rsidRDefault="007F00E5" w:rsidP="007F00E5">
      <w:pPr>
        <w:pStyle w:val="BodyText"/>
      </w:pPr>
      <w:r w:rsidRPr="00BE78CA">
        <w:t xml:space="preserve">The changes in </w:t>
      </w:r>
      <w:r w:rsidRPr="00BE78CA">
        <w:rPr>
          <w:i/>
        </w:rPr>
        <w:t>Domestic navigation</w:t>
      </w:r>
      <w:r w:rsidRPr="00BE78CA">
        <w:t xml:space="preserve"> are a result of Tokelau gaining ownership and use of the ferry </w:t>
      </w:r>
      <w:r w:rsidRPr="00BE78CA">
        <w:rPr>
          <w:i/>
        </w:rPr>
        <w:t>Mataliki</w:t>
      </w:r>
      <w:r w:rsidRPr="00BE78CA">
        <w:t xml:space="preserve"> in 2016, cargo vessel </w:t>
      </w:r>
      <w:r w:rsidRPr="00BE78CA">
        <w:rPr>
          <w:i/>
        </w:rPr>
        <w:t>Kalopaga</w:t>
      </w:r>
      <w:r w:rsidRPr="00BE78CA">
        <w:t xml:space="preserve"> in 2018 and </w:t>
      </w:r>
      <w:r w:rsidRPr="00BE78CA">
        <w:rPr>
          <w:i/>
          <w:iCs/>
        </w:rPr>
        <w:t>Fetu o te Moana</w:t>
      </w:r>
      <w:r w:rsidRPr="00BE78CA">
        <w:t xml:space="preserve"> in 2019 leading to an increasing number of sea voyages between the atolls, which increased transport emissions. Emissions from Tokelau’s IPPU sector have also increased mainly due to the introduction of air conditioning after 2006. Further changes in Tokelau’s Energy sector emissions are a significant rise then drop (by approximately 400 per cent and 82.5 per cent respectively) in consumption of imported petroleum products used for electricity production in Tokelau. Emissions from Tokelau’s Agriculture sector decreased slightly as a result of a reduced population of pigs.</w:t>
      </w:r>
    </w:p>
    <w:p w14:paraId="5A330344" w14:textId="77777777" w:rsidR="007F00E5" w:rsidRPr="00BE78CA" w:rsidRDefault="007F00E5" w:rsidP="007F00E5">
      <w:pPr>
        <w:pStyle w:val="Table"/>
      </w:pPr>
      <w:bookmarkStart w:id="3199" w:name="_Toc36224675"/>
      <w:bookmarkStart w:id="3200" w:name="_Toc68786561"/>
      <w:bookmarkStart w:id="3201" w:name="_Toc5269724"/>
      <w:r w:rsidRPr="00BE78CA">
        <w:t xml:space="preserve">Table 8.1.1 </w:t>
      </w:r>
      <w:r w:rsidRPr="00BE78CA">
        <w:tab/>
        <w:t>Gross emissions from Tokelau by gas in 1990 and </w:t>
      </w:r>
      <w:bookmarkEnd w:id="3199"/>
      <w:r w:rsidRPr="00BE78CA">
        <w:t>2019</w:t>
      </w:r>
      <w:bookmarkEnd w:id="3200"/>
    </w:p>
    <w:tbl>
      <w:tblPr>
        <w:tblW w:w="8505" w:type="dxa"/>
        <w:tblBorders>
          <w:bottom w:val="single" w:sz="8" w:space="0" w:color="365F91"/>
          <w:insideH w:val="single" w:sz="8" w:space="0" w:color="365F91"/>
        </w:tblBorders>
        <w:tblLook w:val="01E0" w:firstRow="1" w:lastRow="1" w:firstColumn="1" w:lastColumn="1" w:noHBand="0" w:noVBand="0"/>
      </w:tblPr>
      <w:tblGrid>
        <w:gridCol w:w="2764"/>
        <w:gridCol w:w="1454"/>
        <w:gridCol w:w="1309"/>
        <w:gridCol w:w="1599"/>
        <w:gridCol w:w="1379"/>
      </w:tblGrid>
      <w:tr w:rsidR="007F00E5" w:rsidRPr="00BE78CA" w14:paraId="50E714BA" w14:textId="77777777" w:rsidTr="00433EFF">
        <w:tc>
          <w:tcPr>
            <w:tcW w:w="2764" w:type="dxa"/>
            <w:vMerge w:val="restart"/>
            <w:tcBorders>
              <w:top w:val="single" w:sz="4" w:space="0" w:color="365F91"/>
              <w:left w:val="nil"/>
              <w:bottom w:val="nil"/>
              <w:right w:val="nil"/>
              <w:tl2br w:val="nil"/>
              <w:tr2bl w:val="nil"/>
            </w:tcBorders>
            <w:shd w:val="clear" w:color="auto" w:fill="365F91"/>
            <w:vAlign w:val="bottom"/>
          </w:tcPr>
          <w:p w14:paraId="72112C2E" w14:textId="77777777" w:rsidR="007F00E5" w:rsidRPr="00BE78CA" w:rsidRDefault="007F00E5" w:rsidP="00C26084">
            <w:pPr>
              <w:pStyle w:val="TableTextBold"/>
              <w:rPr>
                <w:noProof w:val="0"/>
                <w:color w:val="FFFFFF"/>
              </w:rPr>
            </w:pPr>
            <w:r w:rsidRPr="00BE78CA">
              <w:rPr>
                <w:noProof w:val="0"/>
                <w:color w:val="FFFFFF"/>
              </w:rPr>
              <w:t>Direct greenhouse gas emissions</w:t>
            </w:r>
          </w:p>
        </w:tc>
        <w:tc>
          <w:tcPr>
            <w:tcW w:w="2763" w:type="dxa"/>
            <w:gridSpan w:val="2"/>
            <w:tcBorders>
              <w:top w:val="single" w:sz="4" w:space="0" w:color="365F91"/>
              <w:left w:val="nil"/>
              <w:bottom w:val="nil"/>
              <w:right w:val="nil"/>
              <w:tl2br w:val="nil"/>
              <w:tr2bl w:val="nil"/>
            </w:tcBorders>
            <w:shd w:val="clear" w:color="auto" w:fill="365F91"/>
            <w:vAlign w:val="bottom"/>
          </w:tcPr>
          <w:p w14:paraId="17D8D0CE" w14:textId="77777777" w:rsidR="007F00E5" w:rsidRPr="00BE78CA" w:rsidRDefault="007F00E5" w:rsidP="00C26084">
            <w:pPr>
              <w:pStyle w:val="TableTextBold"/>
              <w:spacing w:after="40"/>
              <w:jc w:val="center"/>
              <w:rPr>
                <w:noProof w:val="0"/>
                <w:color w:val="FFFFFF"/>
              </w:rPr>
            </w:pPr>
            <w:r w:rsidRPr="00BE78CA">
              <w:rPr>
                <w:noProof w:val="0"/>
                <w:color w:val="FFFFFF"/>
              </w:rPr>
              <w:t>kt CO</w:t>
            </w:r>
            <w:r w:rsidRPr="00BE78CA">
              <w:rPr>
                <w:noProof w:val="0"/>
                <w:color w:val="FFFFFF"/>
                <w:vertAlign w:val="subscript"/>
              </w:rPr>
              <w:t>2</w:t>
            </w:r>
            <w:r w:rsidRPr="00BE78CA">
              <w:rPr>
                <w:noProof w:val="0"/>
                <w:color w:val="FFFFFF"/>
              </w:rPr>
              <w:t>-e</w:t>
            </w:r>
          </w:p>
        </w:tc>
        <w:tc>
          <w:tcPr>
            <w:tcW w:w="1599" w:type="dxa"/>
            <w:vMerge w:val="restart"/>
            <w:tcBorders>
              <w:top w:val="single" w:sz="4" w:space="0" w:color="365F91"/>
              <w:left w:val="nil"/>
              <w:bottom w:val="nil"/>
              <w:right w:val="nil"/>
              <w:tl2br w:val="nil"/>
              <w:tr2bl w:val="nil"/>
            </w:tcBorders>
            <w:shd w:val="clear" w:color="auto" w:fill="365F91"/>
            <w:vAlign w:val="bottom"/>
          </w:tcPr>
          <w:p w14:paraId="73CF3E7B" w14:textId="77777777" w:rsidR="007F00E5" w:rsidRPr="00BE78CA" w:rsidRDefault="007F00E5" w:rsidP="00C26084">
            <w:pPr>
              <w:pStyle w:val="TableTextBold"/>
              <w:jc w:val="center"/>
              <w:rPr>
                <w:noProof w:val="0"/>
                <w:color w:val="FFFFFF"/>
              </w:rPr>
            </w:pPr>
            <w:r w:rsidRPr="00BE78CA">
              <w:rPr>
                <w:noProof w:val="0"/>
                <w:color w:val="FFFFFF"/>
              </w:rPr>
              <w:t>Change from 1990 (kt CO</w:t>
            </w:r>
            <w:r w:rsidRPr="00BE78CA">
              <w:rPr>
                <w:noProof w:val="0"/>
                <w:color w:val="FFFFFF"/>
                <w:vertAlign w:val="subscript"/>
              </w:rPr>
              <w:t>2</w:t>
            </w:r>
            <w:r w:rsidRPr="00BE78CA">
              <w:rPr>
                <w:noProof w:val="0"/>
                <w:color w:val="FFFFFF"/>
              </w:rPr>
              <w:t>-e)</w:t>
            </w:r>
          </w:p>
        </w:tc>
        <w:tc>
          <w:tcPr>
            <w:tcW w:w="1379" w:type="dxa"/>
            <w:vMerge w:val="restart"/>
            <w:tcBorders>
              <w:top w:val="single" w:sz="4" w:space="0" w:color="365F91"/>
              <w:left w:val="nil"/>
              <w:bottom w:val="nil"/>
              <w:right w:val="nil"/>
              <w:tl2br w:val="nil"/>
              <w:tr2bl w:val="nil"/>
            </w:tcBorders>
            <w:shd w:val="clear" w:color="auto" w:fill="365F91"/>
            <w:vAlign w:val="bottom"/>
          </w:tcPr>
          <w:p w14:paraId="709CF81B" w14:textId="77777777" w:rsidR="007F00E5" w:rsidRPr="00BE78CA" w:rsidRDefault="007F00E5" w:rsidP="00C26084">
            <w:pPr>
              <w:pStyle w:val="TableTextBold"/>
              <w:jc w:val="center"/>
              <w:rPr>
                <w:noProof w:val="0"/>
                <w:color w:val="FFFFFF"/>
              </w:rPr>
            </w:pPr>
            <w:r w:rsidRPr="00BE78CA">
              <w:rPr>
                <w:noProof w:val="0"/>
                <w:color w:val="FFFFFF"/>
              </w:rPr>
              <w:t>Change from 1990 (%)</w:t>
            </w:r>
          </w:p>
        </w:tc>
      </w:tr>
      <w:tr w:rsidR="007F00E5" w:rsidRPr="00BE78CA" w14:paraId="2D141FF0" w14:textId="77777777" w:rsidTr="00433EFF">
        <w:tc>
          <w:tcPr>
            <w:tcW w:w="2764" w:type="dxa"/>
            <w:vMerge/>
            <w:tcBorders>
              <w:top w:val="nil"/>
              <w:bottom w:val="single" w:sz="4" w:space="0" w:color="365F91"/>
            </w:tcBorders>
            <w:shd w:val="clear" w:color="auto" w:fill="365F91"/>
            <w:vAlign w:val="bottom"/>
          </w:tcPr>
          <w:p w14:paraId="4C12F338" w14:textId="77777777" w:rsidR="007F00E5" w:rsidRPr="00BE78CA" w:rsidRDefault="007F00E5" w:rsidP="00C26084">
            <w:pPr>
              <w:pStyle w:val="TableTextBold"/>
              <w:spacing w:before="40" w:after="40"/>
              <w:rPr>
                <w:rFonts w:ascii="Arial" w:hAnsi="Arial"/>
                <w:noProof w:val="0"/>
                <w:color w:val="FFFFFF"/>
              </w:rPr>
            </w:pPr>
          </w:p>
        </w:tc>
        <w:tc>
          <w:tcPr>
            <w:tcW w:w="1454" w:type="dxa"/>
            <w:tcBorders>
              <w:top w:val="nil"/>
              <w:bottom w:val="single" w:sz="4" w:space="0" w:color="365F91"/>
            </w:tcBorders>
            <w:shd w:val="clear" w:color="auto" w:fill="365F91"/>
            <w:vAlign w:val="bottom"/>
          </w:tcPr>
          <w:p w14:paraId="0E098868" w14:textId="77777777" w:rsidR="007F00E5" w:rsidRPr="00BE78CA" w:rsidRDefault="007F00E5" w:rsidP="00C26084">
            <w:pPr>
              <w:pStyle w:val="TableTextBold"/>
              <w:spacing w:before="40"/>
              <w:jc w:val="center"/>
              <w:rPr>
                <w:noProof w:val="0"/>
                <w:color w:val="FFFFFF"/>
              </w:rPr>
            </w:pPr>
            <w:r w:rsidRPr="00BE78CA">
              <w:rPr>
                <w:noProof w:val="0"/>
                <w:color w:val="FFFFFF"/>
              </w:rPr>
              <w:t>1990</w:t>
            </w:r>
          </w:p>
        </w:tc>
        <w:tc>
          <w:tcPr>
            <w:tcW w:w="1309" w:type="dxa"/>
            <w:tcBorders>
              <w:top w:val="nil"/>
              <w:bottom w:val="single" w:sz="4" w:space="0" w:color="365F91"/>
            </w:tcBorders>
            <w:shd w:val="clear" w:color="auto" w:fill="365F91"/>
            <w:vAlign w:val="bottom"/>
          </w:tcPr>
          <w:p w14:paraId="1EC2C830" w14:textId="77777777" w:rsidR="007F00E5" w:rsidRPr="00BE78CA" w:rsidRDefault="007F00E5" w:rsidP="00C26084">
            <w:pPr>
              <w:pStyle w:val="TableTextBold"/>
              <w:spacing w:before="40"/>
              <w:jc w:val="center"/>
              <w:rPr>
                <w:noProof w:val="0"/>
                <w:color w:val="FFFFFF"/>
              </w:rPr>
            </w:pPr>
            <w:r w:rsidRPr="00BE78CA">
              <w:rPr>
                <w:noProof w:val="0"/>
                <w:color w:val="FFFFFF"/>
              </w:rPr>
              <w:t>2019</w:t>
            </w:r>
          </w:p>
        </w:tc>
        <w:tc>
          <w:tcPr>
            <w:tcW w:w="1599" w:type="dxa"/>
            <w:vMerge/>
            <w:tcBorders>
              <w:top w:val="nil"/>
              <w:bottom w:val="single" w:sz="4" w:space="0" w:color="365F91"/>
            </w:tcBorders>
            <w:shd w:val="clear" w:color="auto" w:fill="365F91"/>
            <w:vAlign w:val="bottom"/>
          </w:tcPr>
          <w:p w14:paraId="31869B13" w14:textId="77777777" w:rsidR="007F00E5" w:rsidRPr="00BE78CA" w:rsidRDefault="007F00E5" w:rsidP="00C26084">
            <w:pPr>
              <w:pStyle w:val="TableTextBold"/>
              <w:spacing w:before="40" w:after="40"/>
              <w:jc w:val="center"/>
              <w:rPr>
                <w:rFonts w:ascii="Arial" w:hAnsi="Arial"/>
                <w:noProof w:val="0"/>
                <w:color w:val="FFFFFF"/>
              </w:rPr>
            </w:pPr>
          </w:p>
        </w:tc>
        <w:tc>
          <w:tcPr>
            <w:tcW w:w="1379" w:type="dxa"/>
            <w:vMerge/>
            <w:tcBorders>
              <w:top w:val="nil"/>
              <w:bottom w:val="single" w:sz="4" w:space="0" w:color="365F91"/>
            </w:tcBorders>
            <w:shd w:val="clear" w:color="auto" w:fill="365F91"/>
            <w:vAlign w:val="bottom"/>
          </w:tcPr>
          <w:p w14:paraId="13F8063D" w14:textId="77777777" w:rsidR="007F00E5" w:rsidRPr="00BE78CA" w:rsidRDefault="007F00E5" w:rsidP="00C26084">
            <w:pPr>
              <w:pStyle w:val="TableTextBold"/>
              <w:spacing w:before="40" w:after="40"/>
              <w:jc w:val="center"/>
              <w:rPr>
                <w:rFonts w:ascii="Arial" w:hAnsi="Arial"/>
                <w:noProof w:val="0"/>
                <w:color w:val="FFFFFF"/>
              </w:rPr>
            </w:pPr>
          </w:p>
        </w:tc>
      </w:tr>
      <w:tr w:rsidR="007F00E5" w:rsidRPr="00BE78CA" w14:paraId="6A7E7B60" w14:textId="77777777" w:rsidTr="00433EFF">
        <w:tc>
          <w:tcPr>
            <w:tcW w:w="2764" w:type="dxa"/>
            <w:tcBorders>
              <w:top w:val="single" w:sz="4" w:space="0" w:color="365F91"/>
            </w:tcBorders>
            <w:shd w:val="clear" w:color="auto" w:fill="auto"/>
          </w:tcPr>
          <w:p w14:paraId="781A027D" w14:textId="77777777" w:rsidR="007F00E5" w:rsidRPr="00BE78CA" w:rsidRDefault="007F00E5" w:rsidP="00C26084">
            <w:pPr>
              <w:pStyle w:val="TableText"/>
            </w:pPr>
            <w:r w:rsidRPr="00BE78CA">
              <w:t>CO</w:t>
            </w:r>
            <w:r w:rsidRPr="00BE78CA">
              <w:rPr>
                <w:vertAlign w:val="subscript"/>
              </w:rPr>
              <w:t xml:space="preserve">2 </w:t>
            </w:r>
          </w:p>
        </w:tc>
        <w:tc>
          <w:tcPr>
            <w:tcW w:w="1454" w:type="dxa"/>
            <w:tcBorders>
              <w:top w:val="single" w:sz="4" w:space="0" w:color="365F91"/>
            </w:tcBorders>
            <w:shd w:val="clear" w:color="auto" w:fill="auto"/>
            <w:vAlign w:val="bottom"/>
          </w:tcPr>
          <w:p w14:paraId="18DE807B" w14:textId="77777777" w:rsidR="007F00E5" w:rsidRPr="00BE78CA" w:rsidRDefault="007F00E5" w:rsidP="00C26084">
            <w:pPr>
              <w:pStyle w:val="TableText"/>
              <w:jc w:val="center"/>
            </w:pPr>
            <w:r w:rsidRPr="00BE78CA">
              <w:t>1.30</w:t>
            </w:r>
          </w:p>
        </w:tc>
        <w:tc>
          <w:tcPr>
            <w:tcW w:w="1309" w:type="dxa"/>
            <w:tcBorders>
              <w:top w:val="single" w:sz="4" w:space="0" w:color="365F91"/>
            </w:tcBorders>
            <w:shd w:val="clear" w:color="auto" w:fill="auto"/>
            <w:vAlign w:val="bottom"/>
          </w:tcPr>
          <w:p w14:paraId="2AF3A6F5" w14:textId="77777777" w:rsidR="007F00E5" w:rsidRPr="00BE78CA" w:rsidRDefault="007F00E5" w:rsidP="00C26084">
            <w:pPr>
              <w:pStyle w:val="TableText"/>
              <w:jc w:val="center"/>
            </w:pPr>
            <w:r w:rsidRPr="00BE78CA">
              <w:t>2.54</w:t>
            </w:r>
          </w:p>
        </w:tc>
        <w:tc>
          <w:tcPr>
            <w:tcW w:w="1599" w:type="dxa"/>
            <w:tcBorders>
              <w:top w:val="single" w:sz="4" w:space="0" w:color="365F91"/>
            </w:tcBorders>
            <w:shd w:val="clear" w:color="auto" w:fill="auto"/>
            <w:vAlign w:val="bottom"/>
          </w:tcPr>
          <w:p w14:paraId="6058C84A" w14:textId="77777777" w:rsidR="007F00E5" w:rsidRPr="00BE78CA" w:rsidRDefault="007F00E5" w:rsidP="00C26084">
            <w:pPr>
              <w:pStyle w:val="TableText"/>
              <w:jc w:val="center"/>
            </w:pPr>
            <w:r w:rsidRPr="00BE78CA">
              <w:t>1.24</w:t>
            </w:r>
          </w:p>
        </w:tc>
        <w:tc>
          <w:tcPr>
            <w:tcW w:w="1379" w:type="dxa"/>
            <w:tcBorders>
              <w:top w:val="single" w:sz="4" w:space="0" w:color="365F91"/>
            </w:tcBorders>
            <w:shd w:val="clear" w:color="auto" w:fill="auto"/>
            <w:vAlign w:val="bottom"/>
          </w:tcPr>
          <w:p w14:paraId="49089D11" w14:textId="77777777" w:rsidR="007F00E5" w:rsidRPr="00BE78CA" w:rsidRDefault="007F00E5" w:rsidP="00C26084">
            <w:pPr>
              <w:pStyle w:val="TableText"/>
              <w:jc w:val="center"/>
            </w:pPr>
            <w:r w:rsidRPr="00BE78CA">
              <w:t>95.7</w:t>
            </w:r>
          </w:p>
        </w:tc>
      </w:tr>
      <w:tr w:rsidR="007F00E5" w:rsidRPr="00BE78CA" w14:paraId="7DD3101F" w14:textId="77777777" w:rsidTr="00433EFF">
        <w:tc>
          <w:tcPr>
            <w:tcW w:w="2764" w:type="dxa"/>
            <w:shd w:val="clear" w:color="auto" w:fill="auto"/>
          </w:tcPr>
          <w:p w14:paraId="115008CA" w14:textId="77777777" w:rsidR="007F00E5" w:rsidRPr="00BE78CA" w:rsidRDefault="007F00E5" w:rsidP="00C26084">
            <w:pPr>
              <w:pStyle w:val="TableText"/>
            </w:pPr>
            <w:r w:rsidRPr="00BE78CA">
              <w:t>CH</w:t>
            </w:r>
            <w:r w:rsidRPr="00BE78CA">
              <w:rPr>
                <w:vertAlign w:val="subscript"/>
              </w:rPr>
              <w:t xml:space="preserve">4 </w:t>
            </w:r>
          </w:p>
        </w:tc>
        <w:tc>
          <w:tcPr>
            <w:tcW w:w="1454" w:type="dxa"/>
            <w:shd w:val="clear" w:color="auto" w:fill="auto"/>
            <w:vAlign w:val="bottom"/>
          </w:tcPr>
          <w:p w14:paraId="466DEAF9" w14:textId="77777777" w:rsidR="007F00E5" w:rsidRPr="00BE78CA" w:rsidRDefault="007F00E5" w:rsidP="00C26084">
            <w:pPr>
              <w:pStyle w:val="TableText"/>
              <w:jc w:val="center"/>
            </w:pPr>
            <w:r w:rsidRPr="00BE78CA">
              <w:t>1.78</w:t>
            </w:r>
          </w:p>
        </w:tc>
        <w:tc>
          <w:tcPr>
            <w:tcW w:w="1309" w:type="dxa"/>
            <w:shd w:val="clear" w:color="auto" w:fill="auto"/>
            <w:vAlign w:val="bottom"/>
          </w:tcPr>
          <w:p w14:paraId="01DC3824" w14:textId="77777777" w:rsidR="007F00E5" w:rsidRPr="00BE78CA" w:rsidRDefault="007F00E5" w:rsidP="00C26084">
            <w:pPr>
              <w:pStyle w:val="TableText"/>
              <w:jc w:val="center"/>
            </w:pPr>
            <w:r w:rsidRPr="00BE78CA">
              <w:t>1.47</w:t>
            </w:r>
          </w:p>
        </w:tc>
        <w:tc>
          <w:tcPr>
            <w:tcW w:w="1599" w:type="dxa"/>
            <w:shd w:val="clear" w:color="auto" w:fill="auto"/>
            <w:vAlign w:val="bottom"/>
          </w:tcPr>
          <w:p w14:paraId="78625CD8" w14:textId="77777777" w:rsidR="007F00E5" w:rsidRPr="00BE78CA" w:rsidRDefault="007F00E5" w:rsidP="00C26084">
            <w:pPr>
              <w:pStyle w:val="TableText"/>
              <w:jc w:val="center"/>
            </w:pPr>
            <w:r w:rsidRPr="00BE78CA">
              <w:t>–0.31</w:t>
            </w:r>
          </w:p>
        </w:tc>
        <w:tc>
          <w:tcPr>
            <w:tcW w:w="1379" w:type="dxa"/>
            <w:shd w:val="clear" w:color="auto" w:fill="auto"/>
            <w:vAlign w:val="bottom"/>
          </w:tcPr>
          <w:p w14:paraId="7090CB45" w14:textId="77777777" w:rsidR="007F00E5" w:rsidRPr="00BE78CA" w:rsidRDefault="007F00E5" w:rsidP="00C26084">
            <w:pPr>
              <w:pStyle w:val="TableText"/>
              <w:jc w:val="center"/>
            </w:pPr>
            <w:r w:rsidRPr="00BE78CA">
              <w:t>–17.4</w:t>
            </w:r>
          </w:p>
        </w:tc>
      </w:tr>
      <w:tr w:rsidR="007F00E5" w:rsidRPr="00BE78CA" w14:paraId="67C2D2BE" w14:textId="77777777" w:rsidTr="00433EFF">
        <w:tc>
          <w:tcPr>
            <w:tcW w:w="2764" w:type="dxa"/>
            <w:shd w:val="clear" w:color="auto" w:fill="auto"/>
          </w:tcPr>
          <w:p w14:paraId="251E716B" w14:textId="77777777" w:rsidR="007F00E5" w:rsidRPr="00BE78CA" w:rsidRDefault="007F00E5" w:rsidP="00C26084">
            <w:pPr>
              <w:pStyle w:val="TableText"/>
            </w:pPr>
            <w:r w:rsidRPr="00BE78CA">
              <w:t>N</w:t>
            </w:r>
            <w:r w:rsidRPr="00BE78CA">
              <w:rPr>
                <w:vertAlign w:val="subscript"/>
              </w:rPr>
              <w:t>2</w:t>
            </w:r>
            <w:r w:rsidRPr="00BE78CA">
              <w:t xml:space="preserve">O </w:t>
            </w:r>
          </w:p>
        </w:tc>
        <w:tc>
          <w:tcPr>
            <w:tcW w:w="1454" w:type="dxa"/>
            <w:shd w:val="clear" w:color="auto" w:fill="auto"/>
            <w:vAlign w:val="bottom"/>
          </w:tcPr>
          <w:p w14:paraId="1BF1EEF7" w14:textId="77777777" w:rsidR="007F00E5" w:rsidRPr="00BE78CA" w:rsidRDefault="007F00E5" w:rsidP="00C26084">
            <w:pPr>
              <w:pStyle w:val="TableText"/>
              <w:jc w:val="center"/>
            </w:pPr>
            <w:r w:rsidRPr="00BE78CA">
              <w:t>0.09</w:t>
            </w:r>
          </w:p>
        </w:tc>
        <w:tc>
          <w:tcPr>
            <w:tcW w:w="1309" w:type="dxa"/>
            <w:shd w:val="clear" w:color="auto" w:fill="auto"/>
            <w:vAlign w:val="bottom"/>
          </w:tcPr>
          <w:p w14:paraId="2B692C15" w14:textId="77777777" w:rsidR="007F00E5" w:rsidRPr="00BE78CA" w:rsidRDefault="007F00E5" w:rsidP="00C26084">
            <w:pPr>
              <w:pStyle w:val="TableText"/>
              <w:jc w:val="center"/>
            </w:pPr>
            <w:r w:rsidRPr="00BE78CA">
              <w:t>0.05</w:t>
            </w:r>
          </w:p>
        </w:tc>
        <w:tc>
          <w:tcPr>
            <w:tcW w:w="1599" w:type="dxa"/>
            <w:shd w:val="clear" w:color="auto" w:fill="auto"/>
            <w:vAlign w:val="bottom"/>
          </w:tcPr>
          <w:p w14:paraId="7CCCFDDD" w14:textId="77777777" w:rsidR="007F00E5" w:rsidRPr="00BE78CA" w:rsidRDefault="007F00E5" w:rsidP="00C26084">
            <w:pPr>
              <w:pStyle w:val="TableText"/>
              <w:jc w:val="center"/>
            </w:pPr>
            <w:r w:rsidRPr="00BE78CA">
              <w:t>–0.04</w:t>
            </w:r>
          </w:p>
        </w:tc>
        <w:tc>
          <w:tcPr>
            <w:tcW w:w="1379" w:type="dxa"/>
            <w:shd w:val="clear" w:color="auto" w:fill="auto"/>
            <w:vAlign w:val="bottom"/>
          </w:tcPr>
          <w:p w14:paraId="5F33F820" w14:textId="77777777" w:rsidR="007F00E5" w:rsidRPr="00BE78CA" w:rsidRDefault="007F00E5" w:rsidP="00C26084">
            <w:pPr>
              <w:pStyle w:val="TableText"/>
              <w:jc w:val="center"/>
            </w:pPr>
            <w:r w:rsidRPr="00BE78CA">
              <w:t>–40.9</w:t>
            </w:r>
          </w:p>
        </w:tc>
      </w:tr>
      <w:tr w:rsidR="007F00E5" w:rsidRPr="00BE78CA" w14:paraId="55A064BB" w14:textId="77777777" w:rsidTr="00433EFF">
        <w:tc>
          <w:tcPr>
            <w:tcW w:w="2764" w:type="dxa"/>
            <w:shd w:val="clear" w:color="auto" w:fill="auto"/>
          </w:tcPr>
          <w:p w14:paraId="381BAB2D" w14:textId="77777777" w:rsidR="007F00E5" w:rsidRPr="00BE78CA" w:rsidRDefault="007F00E5" w:rsidP="00C26084">
            <w:pPr>
              <w:pStyle w:val="TableText"/>
            </w:pPr>
            <w:r w:rsidRPr="00BE78CA">
              <w:t>HFCs</w:t>
            </w:r>
          </w:p>
        </w:tc>
        <w:tc>
          <w:tcPr>
            <w:tcW w:w="1454" w:type="dxa"/>
            <w:shd w:val="clear" w:color="auto" w:fill="auto"/>
            <w:vAlign w:val="bottom"/>
          </w:tcPr>
          <w:p w14:paraId="1882A342" w14:textId="77777777" w:rsidR="007F00E5" w:rsidRPr="00BE78CA" w:rsidRDefault="007F00E5" w:rsidP="00C26084">
            <w:pPr>
              <w:pStyle w:val="TableText"/>
              <w:jc w:val="center"/>
            </w:pPr>
            <w:r w:rsidRPr="00BE78CA">
              <w:t>NO</w:t>
            </w:r>
          </w:p>
        </w:tc>
        <w:tc>
          <w:tcPr>
            <w:tcW w:w="1309" w:type="dxa"/>
            <w:shd w:val="clear" w:color="auto" w:fill="auto"/>
            <w:vAlign w:val="bottom"/>
          </w:tcPr>
          <w:p w14:paraId="66BDE082" w14:textId="77777777" w:rsidR="007F00E5" w:rsidRPr="00BE78CA" w:rsidRDefault="007F00E5" w:rsidP="00C26084">
            <w:pPr>
              <w:pStyle w:val="TableText"/>
              <w:jc w:val="center"/>
            </w:pPr>
            <w:r w:rsidRPr="00BE78CA">
              <w:t>0.23</w:t>
            </w:r>
          </w:p>
        </w:tc>
        <w:tc>
          <w:tcPr>
            <w:tcW w:w="1599" w:type="dxa"/>
            <w:shd w:val="clear" w:color="auto" w:fill="auto"/>
            <w:vAlign w:val="bottom"/>
          </w:tcPr>
          <w:p w14:paraId="1D5ACAA6" w14:textId="77777777" w:rsidR="007F00E5" w:rsidRPr="00BE78CA" w:rsidRDefault="007F00E5" w:rsidP="00C26084">
            <w:pPr>
              <w:pStyle w:val="TableText"/>
              <w:jc w:val="center"/>
            </w:pPr>
            <w:r w:rsidRPr="00BE78CA">
              <w:t>0.23</w:t>
            </w:r>
          </w:p>
        </w:tc>
        <w:tc>
          <w:tcPr>
            <w:tcW w:w="1379" w:type="dxa"/>
            <w:shd w:val="clear" w:color="auto" w:fill="auto"/>
            <w:vAlign w:val="center"/>
          </w:tcPr>
          <w:p w14:paraId="3F1CF99A" w14:textId="77777777" w:rsidR="007F00E5" w:rsidRPr="00BE78CA" w:rsidRDefault="007F00E5" w:rsidP="00C26084">
            <w:pPr>
              <w:pStyle w:val="TableText"/>
              <w:jc w:val="center"/>
            </w:pPr>
            <w:r w:rsidRPr="00BE78CA">
              <w:t>NA</w:t>
            </w:r>
          </w:p>
        </w:tc>
      </w:tr>
      <w:tr w:rsidR="007F00E5" w:rsidRPr="00BE78CA" w14:paraId="574B61C3" w14:textId="77777777" w:rsidTr="00433EFF">
        <w:tc>
          <w:tcPr>
            <w:tcW w:w="2764" w:type="dxa"/>
            <w:shd w:val="clear" w:color="auto" w:fill="auto"/>
          </w:tcPr>
          <w:p w14:paraId="05454755" w14:textId="77777777" w:rsidR="007F00E5" w:rsidRPr="00BE78CA" w:rsidRDefault="007F00E5" w:rsidP="00C26084">
            <w:pPr>
              <w:pStyle w:val="TableText"/>
            </w:pPr>
            <w:r w:rsidRPr="00BE78CA">
              <w:t>PFCs</w:t>
            </w:r>
          </w:p>
        </w:tc>
        <w:tc>
          <w:tcPr>
            <w:tcW w:w="1454" w:type="dxa"/>
            <w:shd w:val="clear" w:color="auto" w:fill="auto"/>
            <w:vAlign w:val="bottom"/>
          </w:tcPr>
          <w:p w14:paraId="4DCE42D9" w14:textId="77777777" w:rsidR="007F00E5" w:rsidRPr="00BE78CA" w:rsidRDefault="007F00E5" w:rsidP="00C26084">
            <w:pPr>
              <w:pStyle w:val="TableText"/>
              <w:jc w:val="center"/>
            </w:pPr>
            <w:r w:rsidRPr="00BE78CA">
              <w:t>NO</w:t>
            </w:r>
          </w:p>
        </w:tc>
        <w:tc>
          <w:tcPr>
            <w:tcW w:w="1309" w:type="dxa"/>
            <w:shd w:val="clear" w:color="auto" w:fill="auto"/>
            <w:vAlign w:val="bottom"/>
          </w:tcPr>
          <w:p w14:paraId="7CE756CB" w14:textId="77777777" w:rsidR="007F00E5" w:rsidRPr="00BE78CA" w:rsidRDefault="007F00E5" w:rsidP="00C26084">
            <w:pPr>
              <w:pStyle w:val="TableText"/>
              <w:jc w:val="center"/>
            </w:pPr>
            <w:r w:rsidRPr="00BE78CA">
              <w:t>NO</w:t>
            </w:r>
          </w:p>
        </w:tc>
        <w:tc>
          <w:tcPr>
            <w:tcW w:w="1599" w:type="dxa"/>
            <w:shd w:val="clear" w:color="auto" w:fill="auto"/>
            <w:vAlign w:val="center"/>
          </w:tcPr>
          <w:p w14:paraId="51F9B363" w14:textId="77777777" w:rsidR="007F00E5" w:rsidRPr="00BE78CA" w:rsidRDefault="007F00E5" w:rsidP="00C26084">
            <w:pPr>
              <w:pStyle w:val="TableText"/>
              <w:jc w:val="center"/>
            </w:pPr>
            <w:r w:rsidRPr="00BE78CA">
              <w:t>NA</w:t>
            </w:r>
          </w:p>
        </w:tc>
        <w:tc>
          <w:tcPr>
            <w:tcW w:w="1379" w:type="dxa"/>
            <w:shd w:val="clear" w:color="auto" w:fill="auto"/>
            <w:vAlign w:val="center"/>
          </w:tcPr>
          <w:p w14:paraId="7363D0BA" w14:textId="77777777" w:rsidR="007F00E5" w:rsidRPr="00BE78CA" w:rsidRDefault="007F00E5" w:rsidP="00C26084">
            <w:pPr>
              <w:pStyle w:val="TableText"/>
              <w:jc w:val="center"/>
            </w:pPr>
            <w:r w:rsidRPr="00BE78CA">
              <w:t>NA</w:t>
            </w:r>
          </w:p>
        </w:tc>
      </w:tr>
      <w:tr w:rsidR="007F00E5" w:rsidRPr="00BE78CA" w14:paraId="2D2B5201" w14:textId="77777777" w:rsidTr="00433EFF">
        <w:tc>
          <w:tcPr>
            <w:tcW w:w="2764" w:type="dxa"/>
            <w:shd w:val="clear" w:color="auto" w:fill="auto"/>
          </w:tcPr>
          <w:p w14:paraId="01F248CA" w14:textId="77777777" w:rsidR="007F00E5" w:rsidRPr="00BE78CA" w:rsidRDefault="007F00E5" w:rsidP="00C26084">
            <w:pPr>
              <w:pStyle w:val="TableText"/>
            </w:pPr>
            <w:r w:rsidRPr="00BE78CA">
              <w:t>SF</w:t>
            </w:r>
            <w:r w:rsidRPr="00BE78CA">
              <w:rPr>
                <w:vertAlign w:val="subscript"/>
              </w:rPr>
              <w:t>6</w:t>
            </w:r>
          </w:p>
        </w:tc>
        <w:tc>
          <w:tcPr>
            <w:tcW w:w="1454" w:type="dxa"/>
            <w:shd w:val="clear" w:color="auto" w:fill="auto"/>
            <w:vAlign w:val="bottom"/>
          </w:tcPr>
          <w:p w14:paraId="46DF23C8" w14:textId="77777777" w:rsidR="007F00E5" w:rsidRPr="00BE78CA" w:rsidRDefault="007F00E5" w:rsidP="00C26084">
            <w:pPr>
              <w:pStyle w:val="TableText"/>
              <w:jc w:val="center"/>
            </w:pPr>
            <w:r w:rsidRPr="00BE78CA">
              <w:t>NO</w:t>
            </w:r>
          </w:p>
        </w:tc>
        <w:tc>
          <w:tcPr>
            <w:tcW w:w="1309" w:type="dxa"/>
            <w:shd w:val="clear" w:color="auto" w:fill="auto"/>
            <w:vAlign w:val="bottom"/>
          </w:tcPr>
          <w:p w14:paraId="796C848D" w14:textId="77777777" w:rsidR="007F00E5" w:rsidRPr="00BE78CA" w:rsidRDefault="007F00E5" w:rsidP="00C26084">
            <w:pPr>
              <w:pStyle w:val="TableText"/>
              <w:jc w:val="center"/>
            </w:pPr>
            <w:r w:rsidRPr="00BE78CA">
              <w:t>NO</w:t>
            </w:r>
          </w:p>
        </w:tc>
        <w:tc>
          <w:tcPr>
            <w:tcW w:w="1599" w:type="dxa"/>
            <w:shd w:val="clear" w:color="auto" w:fill="auto"/>
            <w:vAlign w:val="center"/>
          </w:tcPr>
          <w:p w14:paraId="5325FE59" w14:textId="77777777" w:rsidR="007F00E5" w:rsidRPr="00BE78CA" w:rsidRDefault="007F00E5" w:rsidP="00C26084">
            <w:pPr>
              <w:pStyle w:val="TableText"/>
              <w:jc w:val="center"/>
            </w:pPr>
            <w:r w:rsidRPr="00BE78CA">
              <w:t>NA</w:t>
            </w:r>
          </w:p>
        </w:tc>
        <w:tc>
          <w:tcPr>
            <w:tcW w:w="1379" w:type="dxa"/>
            <w:shd w:val="clear" w:color="auto" w:fill="auto"/>
            <w:vAlign w:val="center"/>
          </w:tcPr>
          <w:p w14:paraId="739B702D" w14:textId="77777777" w:rsidR="007F00E5" w:rsidRPr="00BE78CA" w:rsidRDefault="007F00E5" w:rsidP="00C26084">
            <w:pPr>
              <w:pStyle w:val="TableText"/>
              <w:jc w:val="center"/>
            </w:pPr>
            <w:r w:rsidRPr="00BE78CA">
              <w:t>NA</w:t>
            </w:r>
          </w:p>
        </w:tc>
      </w:tr>
      <w:tr w:rsidR="007F00E5" w:rsidRPr="00BE78CA" w14:paraId="01EDF96E" w14:textId="77777777" w:rsidTr="00433EFF">
        <w:tc>
          <w:tcPr>
            <w:tcW w:w="2764" w:type="dxa"/>
            <w:shd w:val="clear" w:color="auto" w:fill="auto"/>
          </w:tcPr>
          <w:p w14:paraId="71F5BA51" w14:textId="77777777" w:rsidR="007F00E5" w:rsidRPr="00BE78CA" w:rsidRDefault="007F00E5" w:rsidP="00C26084">
            <w:pPr>
              <w:pStyle w:val="TableText"/>
            </w:pPr>
            <w:r w:rsidRPr="00BE78CA">
              <w:t>NF</w:t>
            </w:r>
            <w:r w:rsidRPr="00BE78CA">
              <w:rPr>
                <w:vertAlign w:val="subscript"/>
              </w:rPr>
              <w:t>3</w:t>
            </w:r>
          </w:p>
        </w:tc>
        <w:tc>
          <w:tcPr>
            <w:tcW w:w="1454" w:type="dxa"/>
            <w:shd w:val="clear" w:color="auto" w:fill="auto"/>
            <w:vAlign w:val="bottom"/>
          </w:tcPr>
          <w:p w14:paraId="7AF999FA" w14:textId="77777777" w:rsidR="007F00E5" w:rsidRPr="00BE78CA" w:rsidRDefault="007F00E5" w:rsidP="00C26084">
            <w:pPr>
              <w:pStyle w:val="TableText"/>
              <w:jc w:val="center"/>
            </w:pPr>
            <w:r w:rsidRPr="00BE78CA">
              <w:t>NO</w:t>
            </w:r>
          </w:p>
        </w:tc>
        <w:tc>
          <w:tcPr>
            <w:tcW w:w="1309" w:type="dxa"/>
            <w:shd w:val="clear" w:color="auto" w:fill="auto"/>
            <w:vAlign w:val="bottom"/>
          </w:tcPr>
          <w:p w14:paraId="54950308" w14:textId="77777777" w:rsidR="007F00E5" w:rsidRPr="00BE78CA" w:rsidRDefault="007F00E5" w:rsidP="00C26084">
            <w:pPr>
              <w:pStyle w:val="TableText"/>
              <w:jc w:val="center"/>
            </w:pPr>
            <w:r w:rsidRPr="00BE78CA">
              <w:t>NO</w:t>
            </w:r>
          </w:p>
        </w:tc>
        <w:tc>
          <w:tcPr>
            <w:tcW w:w="1599" w:type="dxa"/>
            <w:shd w:val="clear" w:color="auto" w:fill="auto"/>
            <w:vAlign w:val="center"/>
          </w:tcPr>
          <w:p w14:paraId="73A22371" w14:textId="77777777" w:rsidR="007F00E5" w:rsidRPr="00BE78CA" w:rsidRDefault="007F00E5" w:rsidP="00C26084">
            <w:pPr>
              <w:pStyle w:val="TableText"/>
              <w:jc w:val="center"/>
            </w:pPr>
            <w:r w:rsidRPr="00BE78CA">
              <w:t>NA</w:t>
            </w:r>
          </w:p>
        </w:tc>
        <w:tc>
          <w:tcPr>
            <w:tcW w:w="1379" w:type="dxa"/>
            <w:shd w:val="clear" w:color="auto" w:fill="auto"/>
            <w:vAlign w:val="center"/>
          </w:tcPr>
          <w:p w14:paraId="2E36A894" w14:textId="77777777" w:rsidR="007F00E5" w:rsidRPr="00BE78CA" w:rsidRDefault="007F00E5" w:rsidP="00C26084">
            <w:pPr>
              <w:pStyle w:val="TableText"/>
              <w:jc w:val="center"/>
            </w:pPr>
            <w:r w:rsidRPr="00BE78CA">
              <w:t>NA</w:t>
            </w:r>
          </w:p>
        </w:tc>
      </w:tr>
      <w:tr w:rsidR="007F00E5" w:rsidRPr="00BE78CA" w14:paraId="0CCD7EEA" w14:textId="77777777" w:rsidTr="00433EFF">
        <w:tc>
          <w:tcPr>
            <w:tcW w:w="2764" w:type="dxa"/>
            <w:shd w:val="clear" w:color="auto" w:fill="auto"/>
          </w:tcPr>
          <w:p w14:paraId="2186A543" w14:textId="77777777" w:rsidR="007F00E5" w:rsidRPr="00BE78CA" w:rsidRDefault="007F00E5" w:rsidP="00C26084">
            <w:pPr>
              <w:pStyle w:val="TableTextBold"/>
              <w:rPr>
                <w:noProof w:val="0"/>
              </w:rPr>
            </w:pPr>
            <w:r w:rsidRPr="00BE78CA">
              <w:rPr>
                <w:noProof w:val="0"/>
              </w:rPr>
              <w:t>Gross, all gases</w:t>
            </w:r>
          </w:p>
        </w:tc>
        <w:tc>
          <w:tcPr>
            <w:tcW w:w="1454" w:type="dxa"/>
            <w:shd w:val="clear" w:color="auto" w:fill="auto"/>
            <w:vAlign w:val="center"/>
          </w:tcPr>
          <w:p w14:paraId="457ECCF0" w14:textId="77777777" w:rsidR="007F00E5" w:rsidRPr="00BE78CA" w:rsidRDefault="007F00E5" w:rsidP="00C26084">
            <w:pPr>
              <w:pStyle w:val="TableTextBold"/>
              <w:jc w:val="center"/>
              <w:rPr>
                <w:noProof w:val="0"/>
              </w:rPr>
            </w:pPr>
            <w:r w:rsidRPr="00BE78CA">
              <w:rPr>
                <w:noProof w:val="0"/>
              </w:rPr>
              <w:t>3.17</w:t>
            </w:r>
          </w:p>
        </w:tc>
        <w:tc>
          <w:tcPr>
            <w:tcW w:w="1309" w:type="dxa"/>
            <w:shd w:val="clear" w:color="auto" w:fill="auto"/>
            <w:vAlign w:val="center"/>
          </w:tcPr>
          <w:p w14:paraId="2C88FC9D" w14:textId="77777777" w:rsidR="007F00E5" w:rsidRPr="00BE78CA" w:rsidRDefault="007F00E5" w:rsidP="00C26084">
            <w:pPr>
              <w:pStyle w:val="TableTextBold"/>
              <w:jc w:val="center"/>
              <w:rPr>
                <w:noProof w:val="0"/>
              </w:rPr>
            </w:pPr>
            <w:r w:rsidRPr="00BE78CA">
              <w:rPr>
                <w:noProof w:val="0"/>
              </w:rPr>
              <w:t>4.30</w:t>
            </w:r>
          </w:p>
        </w:tc>
        <w:tc>
          <w:tcPr>
            <w:tcW w:w="1599" w:type="dxa"/>
            <w:shd w:val="clear" w:color="auto" w:fill="auto"/>
            <w:vAlign w:val="center"/>
          </w:tcPr>
          <w:p w14:paraId="1E4FDC51" w14:textId="77777777" w:rsidR="007F00E5" w:rsidRPr="00BE78CA" w:rsidRDefault="007F00E5" w:rsidP="00C26084">
            <w:pPr>
              <w:pStyle w:val="TableTextBold"/>
              <w:jc w:val="center"/>
              <w:rPr>
                <w:noProof w:val="0"/>
              </w:rPr>
            </w:pPr>
            <w:r w:rsidRPr="00BE78CA">
              <w:rPr>
                <w:noProof w:val="0"/>
              </w:rPr>
              <w:t>1.13</w:t>
            </w:r>
          </w:p>
        </w:tc>
        <w:tc>
          <w:tcPr>
            <w:tcW w:w="1379" w:type="dxa"/>
            <w:shd w:val="clear" w:color="auto" w:fill="auto"/>
            <w:vAlign w:val="center"/>
          </w:tcPr>
          <w:p w14:paraId="78C3DBA0" w14:textId="77777777" w:rsidR="007F00E5" w:rsidRPr="00BE78CA" w:rsidRDefault="007F00E5" w:rsidP="00C26084">
            <w:pPr>
              <w:pStyle w:val="TableTextBold"/>
              <w:jc w:val="center"/>
              <w:rPr>
                <w:noProof w:val="0"/>
              </w:rPr>
            </w:pPr>
            <w:r w:rsidRPr="00BE78CA">
              <w:rPr>
                <w:noProof w:val="0"/>
              </w:rPr>
              <w:t>35.7</w:t>
            </w:r>
          </w:p>
        </w:tc>
      </w:tr>
    </w:tbl>
    <w:p w14:paraId="428A9F2A" w14:textId="77777777" w:rsidR="007F00E5" w:rsidRPr="00BE78CA" w:rsidRDefault="007F00E5" w:rsidP="007F00E5">
      <w:pPr>
        <w:pStyle w:val="Noteundertable"/>
      </w:pPr>
      <w:r w:rsidRPr="00BE78CA">
        <w:rPr>
          <w:b/>
        </w:rPr>
        <w:t xml:space="preserve">Note: </w:t>
      </w:r>
      <w:r w:rsidRPr="00BE78CA">
        <w:rPr>
          <w:b/>
        </w:rPr>
        <w:tab/>
      </w:r>
      <w:r w:rsidRPr="00BE78CA">
        <w:t>Emissions from the Land Use, Land-Use Change and Forestry sector are not estimated for Tokelau.</w:t>
      </w:r>
      <w:r w:rsidRPr="00BE78CA">
        <w:rPr>
          <w:b/>
        </w:rPr>
        <w:t xml:space="preserve"> </w:t>
      </w:r>
      <w:r w:rsidRPr="00BE78CA">
        <w:t>The percentage change for hydrofluorocarbons (HFCs) is not applicable (NA) because HFC production or use was not occurring (NO) in 1990. Columns may not total due to rounding. Presented percentages are calculated from unrounded values.</w:t>
      </w:r>
    </w:p>
    <w:bookmarkEnd w:id="3201"/>
    <w:p w14:paraId="5B08E506" w14:textId="77777777" w:rsidR="007F00E5" w:rsidRPr="00BE78CA" w:rsidRDefault="007F00E5" w:rsidP="007F00E5">
      <w:pPr>
        <w:pStyle w:val="BodyText"/>
        <w:keepNext/>
      </w:pPr>
      <w:r w:rsidRPr="00BE78CA">
        <w:lastRenderedPageBreak/>
        <w:t>Figure 8.1.4 shows emission trends by sector for Tokelau.</w:t>
      </w:r>
    </w:p>
    <w:p w14:paraId="7F46FE0D" w14:textId="77777777" w:rsidR="007F00E5" w:rsidRPr="00BE78CA" w:rsidRDefault="007F00E5" w:rsidP="007F00E5">
      <w:pPr>
        <w:pStyle w:val="Figure"/>
        <w:rPr>
          <w:rFonts w:eastAsia="Calibri"/>
        </w:rPr>
      </w:pPr>
      <w:bookmarkStart w:id="3202" w:name="_Toc36292827"/>
      <w:bookmarkStart w:id="3203" w:name="_Toc64972934"/>
      <w:bookmarkStart w:id="3204" w:name="_Toc68786691"/>
      <w:r w:rsidRPr="00BE78CA">
        <w:rPr>
          <w:rFonts w:eastAsia="Calibri"/>
        </w:rPr>
        <w:t xml:space="preserve">Figure 8.1.4 </w:t>
      </w:r>
      <w:r w:rsidRPr="00BE78CA">
        <w:rPr>
          <w:rFonts w:eastAsia="Calibri"/>
        </w:rPr>
        <w:tab/>
        <w:t>Emissions by sector for Tokelau (kt CO</w:t>
      </w:r>
      <w:r w:rsidRPr="00BE78CA">
        <w:rPr>
          <w:rFonts w:eastAsia="Calibri"/>
          <w:vertAlign w:val="subscript"/>
        </w:rPr>
        <w:t>2</w:t>
      </w:r>
      <w:r w:rsidRPr="00BE78CA">
        <w:rPr>
          <w:rFonts w:eastAsia="Calibri"/>
        </w:rPr>
        <w:t xml:space="preserve">-e) from 1990 to </w:t>
      </w:r>
      <w:bookmarkEnd w:id="3202"/>
      <w:r w:rsidRPr="00BE78CA">
        <w:rPr>
          <w:rFonts w:eastAsia="Calibri"/>
        </w:rPr>
        <w:t>2019</w:t>
      </w:r>
      <w:bookmarkEnd w:id="3203"/>
      <w:bookmarkEnd w:id="3204"/>
    </w:p>
    <w:p w14:paraId="618D47FC" w14:textId="1F54A68A" w:rsidR="007F00E5" w:rsidRPr="00BE78CA" w:rsidRDefault="00B017ED" w:rsidP="007F00E5">
      <w:pPr>
        <w:pStyle w:val="BodyText"/>
        <w:spacing w:before="80" w:after="60"/>
        <w:jc w:val="center"/>
        <w:rPr>
          <w:rFonts w:eastAsia="Calibri"/>
        </w:rPr>
      </w:pPr>
      <w:r w:rsidRPr="00BE78CA">
        <w:rPr>
          <w:noProof/>
        </w:rPr>
        <w:drawing>
          <wp:inline distT="0" distB="0" distL="0" distR="0" wp14:anchorId="32F13187" wp14:editId="6DC06390">
            <wp:extent cx="5400040" cy="2558415"/>
            <wp:effectExtent l="0" t="0" r="0" b="0"/>
            <wp:docPr id="85" name="Chart 85">
              <a:extLst xmlns:a="http://schemas.openxmlformats.org/drawingml/2006/main">
                <a:ext uri="{FF2B5EF4-FFF2-40B4-BE49-F238E27FC236}">
                  <a16:creationId xmlns:a16="http://schemas.microsoft.com/office/drawing/2014/main" id="{00000000-0008-0000-03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2"/>
              </a:graphicData>
            </a:graphic>
          </wp:inline>
        </w:drawing>
      </w:r>
    </w:p>
    <w:p w14:paraId="040F73C7" w14:textId="77777777" w:rsidR="007F00E5" w:rsidRPr="00BE78CA" w:rsidRDefault="007F00E5" w:rsidP="007F00E5">
      <w:pPr>
        <w:pStyle w:val="Heading5"/>
        <w:spacing w:before="120"/>
      </w:pPr>
      <w:r w:rsidRPr="00BE78CA">
        <w:t>2018–2019</w:t>
      </w:r>
    </w:p>
    <w:p w14:paraId="5FD95BFA" w14:textId="77777777" w:rsidR="007F00E5" w:rsidRPr="00BE78CA" w:rsidRDefault="007F00E5" w:rsidP="007F00E5">
      <w:pPr>
        <w:pStyle w:val="BodyText"/>
        <w:spacing w:after="100"/>
      </w:pPr>
      <w:r w:rsidRPr="00BE78CA">
        <w:t>Total Tokelau emissions in 2019 were 0.66 kt CO</w:t>
      </w:r>
      <w:r w:rsidRPr="00BE78CA">
        <w:rPr>
          <w:vertAlign w:val="subscript"/>
        </w:rPr>
        <w:t>2</w:t>
      </w:r>
      <w:r w:rsidRPr="00BE78CA">
        <w:t>-e (18.2 per cent) higher than emissions in 2018. The higher emissions are largely the result of increases in CO</w:t>
      </w:r>
      <w:r w:rsidRPr="00BE78CA">
        <w:rPr>
          <w:vertAlign w:val="subscript"/>
        </w:rPr>
        <w:t>2</w:t>
      </w:r>
      <w:r w:rsidRPr="00BE78CA">
        <w:t xml:space="preserve"> emissions in the </w:t>
      </w:r>
      <w:r w:rsidRPr="00BE78CA">
        <w:rPr>
          <w:i/>
        </w:rPr>
        <w:t>Domestic navigation</w:t>
      </w:r>
      <w:r w:rsidRPr="00BE78CA">
        <w:t xml:space="preserve"> category, due to increased shipping within Tokelau. </w:t>
      </w:r>
    </w:p>
    <w:p w14:paraId="30AA78FD" w14:textId="77777777" w:rsidR="007F00E5" w:rsidRPr="00BE78CA" w:rsidRDefault="007F00E5" w:rsidP="007F00E5">
      <w:pPr>
        <w:pStyle w:val="Heading5"/>
        <w:spacing w:before="180"/>
      </w:pPr>
      <w:r w:rsidRPr="00BE78CA">
        <w:t>Key categories</w:t>
      </w:r>
    </w:p>
    <w:p w14:paraId="16F03C5B" w14:textId="77777777" w:rsidR="007F00E5" w:rsidRPr="00BE78CA" w:rsidRDefault="007F00E5" w:rsidP="007F00E5">
      <w:pPr>
        <w:pStyle w:val="BodyText"/>
        <w:spacing w:after="100"/>
        <w:rPr>
          <w:b/>
        </w:rPr>
      </w:pPr>
      <w:r w:rsidRPr="00BE78CA">
        <w:t>Emission categories from Tokelau have been included in the key category analysis, along with all categories reported in New Zealand’s inventory. None of the emission categories from Tokelau are key categories (either level or trend) in the 2021 submission.</w:t>
      </w:r>
    </w:p>
    <w:p w14:paraId="19483C9D" w14:textId="77777777" w:rsidR="007F00E5" w:rsidRPr="00BE78CA" w:rsidRDefault="007F00E5" w:rsidP="007F00E5">
      <w:pPr>
        <w:pStyle w:val="Heading4"/>
        <w:spacing w:before="200"/>
      </w:pPr>
      <w:r w:rsidRPr="00BE78CA">
        <w:t>Reporting arrangements</w:t>
      </w:r>
    </w:p>
    <w:p w14:paraId="034A0671" w14:textId="53EEC42F" w:rsidR="007F00E5" w:rsidRPr="00BE78CA" w:rsidRDefault="007F00E5" w:rsidP="007F00E5">
      <w:pPr>
        <w:pStyle w:val="BodyText"/>
        <w:spacing w:after="100"/>
      </w:pPr>
      <w:r w:rsidRPr="00BE78CA">
        <w:t>Including Tokelau in New Zealand’s inventory reporting is a gradual process. This requires building the expert capacity and establishing connections with the various organisations and businesses in Tokelau that participate in data collection and processing. Estimates include emissions from the largest Tokelau contributors, which are the Energy, IPPU, Agriculture and</w:t>
      </w:r>
      <w:r w:rsidR="00433EFF" w:rsidRPr="00BE78CA">
        <w:t> </w:t>
      </w:r>
      <w:r w:rsidRPr="00BE78CA">
        <w:t xml:space="preserve">Waste sectors using Tier 1 methodologies with Intergovernmental Panel on Climate Change (IPCC) default emission factors for all reported categories (IPCC, 2006a). The Land Use, Land-Use Change and Forestry (LULUCF) sector is not estimated because there are no planted or managed forests in Tokelau and any emissions are expected to be negligible. </w:t>
      </w:r>
    </w:p>
    <w:p w14:paraId="49E5C164" w14:textId="77777777" w:rsidR="007F00E5" w:rsidRPr="00BE78CA" w:rsidRDefault="007F00E5" w:rsidP="007F00E5">
      <w:pPr>
        <w:pStyle w:val="BodyText"/>
        <w:spacing w:after="100"/>
      </w:pPr>
      <w:r w:rsidRPr="00BE78CA">
        <w:t>New Zealand and Tokelau signed a Memorandum of Understanding (MoU) on 18 January 2018 to establish the relationship between Tokelau and New Zealand regarding the governance of international climate change reporting relating to the inclusion of Tokelau in New Zealand’s national inventory system. According to the MoU, both New Zealand’s central inventory agency (the Ministry for the Environment) and Tokelau’s Ministry of Climate, Oceans and Resilience, formerly known as the Climate Change Division within the Office of the Council for the Ongoing Government of Tokelau, have roles in inventory reporting.</w:t>
      </w:r>
    </w:p>
    <w:p w14:paraId="0E38F6D8" w14:textId="77777777" w:rsidR="007F00E5" w:rsidRPr="00BE78CA" w:rsidRDefault="007F00E5" w:rsidP="007F00E5">
      <w:pPr>
        <w:pStyle w:val="BodyText"/>
        <w:spacing w:after="100"/>
      </w:pPr>
      <w:r w:rsidRPr="00BE78CA">
        <w:t>The Ministry for the Environment will take responsibility for the following:</w:t>
      </w:r>
    </w:p>
    <w:p w14:paraId="3A627AF6" w14:textId="77777777" w:rsidR="007F00E5" w:rsidRPr="00BE78CA" w:rsidRDefault="007F00E5" w:rsidP="007F00E5">
      <w:pPr>
        <w:pStyle w:val="Bullet"/>
      </w:pPr>
      <w:r w:rsidRPr="00BE78CA">
        <w:t>coordination of communications between New Zealand and Tokelau officials, as well as communications with project consultants in New Zealand and overseas</w:t>
      </w:r>
    </w:p>
    <w:p w14:paraId="6F13F593" w14:textId="77777777" w:rsidR="007F00E5" w:rsidRPr="00BE78CA" w:rsidRDefault="007F00E5" w:rsidP="007F00E5">
      <w:pPr>
        <w:pStyle w:val="Bullet"/>
      </w:pPr>
      <w:r w:rsidRPr="00BE78CA">
        <w:lastRenderedPageBreak/>
        <w:t>coordination with other New Zealand government agencies participating in the inventory production, should their consulting or advice be required for the project</w:t>
      </w:r>
    </w:p>
    <w:p w14:paraId="6BC0E9CF" w14:textId="77777777" w:rsidR="007F00E5" w:rsidRPr="00BE78CA" w:rsidRDefault="007F00E5" w:rsidP="007F00E5">
      <w:pPr>
        <w:pStyle w:val="Bullet"/>
        <w:spacing w:after="110"/>
      </w:pPr>
      <w:r w:rsidRPr="00BE78CA">
        <w:t>initial consultation on developing a national GHG inventory system for Tokelau, together with the relevant instructive materials, principles, protocols and procedures of Tier 1 statistics, and methodological guidance for the inventory</w:t>
      </w:r>
    </w:p>
    <w:p w14:paraId="62D68922" w14:textId="77777777" w:rsidR="007F00E5" w:rsidRPr="00BE78CA" w:rsidRDefault="007F00E5" w:rsidP="007F00E5">
      <w:pPr>
        <w:pStyle w:val="Bullet"/>
        <w:spacing w:after="110"/>
      </w:pPr>
      <w:r w:rsidRPr="00BE78CA">
        <w:t>technical advice on various aspects of the project regarding the subject matter, the legal background (the Convention reporting guidance), software issues, and the quality assurance and quality control issues associated with the changes in the national inventory system</w:t>
      </w:r>
    </w:p>
    <w:p w14:paraId="5B57BC96" w14:textId="77777777" w:rsidR="007F00E5" w:rsidRPr="00BE78CA" w:rsidRDefault="007F00E5" w:rsidP="007F00E5">
      <w:pPr>
        <w:pStyle w:val="Bullet"/>
        <w:spacing w:after="110"/>
      </w:pPr>
      <w:r w:rsidRPr="00BE78CA">
        <w:t>production of the complete set of the data tables in agreed formats</w:t>
      </w:r>
    </w:p>
    <w:p w14:paraId="4FEA9B29" w14:textId="77777777" w:rsidR="007F00E5" w:rsidRPr="00BE78CA" w:rsidRDefault="007F00E5" w:rsidP="007F00E5">
      <w:pPr>
        <w:pStyle w:val="Bullet"/>
        <w:spacing w:after="110"/>
      </w:pPr>
      <w:r w:rsidRPr="00BE78CA">
        <w:t>final integration of the Tokelau GHG inventory component into the joint inventory submission to the Convention</w:t>
      </w:r>
    </w:p>
    <w:p w14:paraId="764F5779" w14:textId="77777777" w:rsidR="007F00E5" w:rsidRPr="00BE78CA" w:rsidRDefault="007F00E5" w:rsidP="007F00E5">
      <w:pPr>
        <w:pStyle w:val="Bullet"/>
        <w:spacing w:after="110"/>
      </w:pPr>
      <w:r w:rsidRPr="00BE78CA">
        <w:t>submitting the joint inventory to the Convention and coordinating communication with the Convention associated with the inventory submission and review</w:t>
      </w:r>
    </w:p>
    <w:p w14:paraId="5CDBA628" w14:textId="77777777" w:rsidR="007F00E5" w:rsidRPr="00BE78CA" w:rsidRDefault="007F00E5" w:rsidP="007F00E5">
      <w:pPr>
        <w:pStyle w:val="Bullet"/>
      </w:pPr>
      <w:r w:rsidRPr="00BE78CA">
        <w:t>publication of the joint inventory report and the CRF tables online, as well as all supplementary materials.</w:t>
      </w:r>
    </w:p>
    <w:p w14:paraId="71822744" w14:textId="77777777" w:rsidR="007F00E5" w:rsidRPr="00BE78CA" w:rsidRDefault="007F00E5" w:rsidP="007F00E5">
      <w:pPr>
        <w:pStyle w:val="BodyText"/>
      </w:pPr>
      <w:r w:rsidRPr="00BE78CA">
        <w:t>The Ministry of Climate, Oceans and Resilience will take responsibility for the following:</w:t>
      </w:r>
    </w:p>
    <w:p w14:paraId="29295AA2" w14:textId="77777777" w:rsidR="007F00E5" w:rsidRPr="00BE78CA" w:rsidRDefault="007F00E5" w:rsidP="007F00E5">
      <w:pPr>
        <w:pStyle w:val="Bullet"/>
        <w:spacing w:after="110"/>
      </w:pPr>
      <w:r w:rsidRPr="00BE78CA">
        <w:t>coordinating the project implementation in Tokelau by communicating with the relevant agencies, organisations and individuals involved in Tokelau’s GHG inventory; coordinating their efforts and delegating responsibilities to ensure sufficient information and support are provided to those agencies, organisations and individuals to enable the GHG inventory production</w:t>
      </w:r>
    </w:p>
    <w:p w14:paraId="3286C74D" w14:textId="77777777" w:rsidR="007F00E5" w:rsidRPr="00BE78CA" w:rsidRDefault="007F00E5" w:rsidP="007F00E5">
      <w:pPr>
        <w:pStyle w:val="Bullet"/>
        <w:spacing w:after="110"/>
      </w:pPr>
      <w:r w:rsidRPr="00BE78CA">
        <w:t>providing timely advice on all cultural aspects of the project and assisting in resolving any issues associated with potential cultural issues</w:t>
      </w:r>
    </w:p>
    <w:p w14:paraId="7798B5A1" w14:textId="77777777" w:rsidR="007F00E5" w:rsidRPr="00BE78CA" w:rsidRDefault="007F00E5" w:rsidP="007F00E5">
      <w:pPr>
        <w:pStyle w:val="Bullet"/>
        <w:spacing w:after="110"/>
      </w:pPr>
      <w:r w:rsidRPr="00BE78CA">
        <w:t>ensuring that the agreed project schedule is fully complied with and the relevant timeframes are met, which includes submission of Tokelau’s GHG data and information to New Zealand’s national inventory compiler within the agreed timeframe</w:t>
      </w:r>
    </w:p>
    <w:p w14:paraId="387CC777" w14:textId="77777777" w:rsidR="007F00E5" w:rsidRPr="00BE78CA" w:rsidRDefault="007F00E5" w:rsidP="007F00E5">
      <w:pPr>
        <w:pStyle w:val="Bullet"/>
        <w:spacing w:after="110"/>
      </w:pPr>
      <w:r w:rsidRPr="00BE78CA">
        <w:t xml:space="preserve">coordinating Tokelau’s efforts in activity data collection for the inventory reporting and data processing </w:t>
      </w:r>
    </w:p>
    <w:p w14:paraId="25FD0250" w14:textId="77777777" w:rsidR="007F00E5" w:rsidRPr="00BE78CA" w:rsidRDefault="007F00E5" w:rsidP="007F00E5">
      <w:pPr>
        <w:pStyle w:val="Bullet"/>
      </w:pPr>
      <w:r w:rsidRPr="00BE78CA">
        <w:t xml:space="preserve">producing a peer-reviewed draft of the Tokelau chapter based on the 2006 IPCC guidelines and the Convention reporting guidelines, and in compliance with the Convention inventory quality principles and good practices. </w:t>
      </w:r>
    </w:p>
    <w:p w14:paraId="764E87FB" w14:textId="77777777" w:rsidR="007F00E5" w:rsidRPr="00BE78CA" w:rsidRDefault="007F00E5" w:rsidP="007F00E5">
      <w:pPr>
        <w:pStyle w:val="BodyText"/>
      </w:pPr>
      <w:r w:rsidRPr="00BE78CA">
        <w:t>Both the Ministry for the Environment and Ministry of Climate, Oceans and Resilience are responsible for adhering to the principles and protocols for producers of Tier 1 statistics.</w:t>
      </w:r>
    </w:p>
    <w:p w14:paraId="3DC3AEFB" w14:textId="77777777" w:rsidR="007F00E5" w:rsidRPr="00BE78CA" w:rsidRDefault="007F00E5" w:rsidP="007F00E5">
      <w:pPr>
        <w:pStyle w:val="Heading4"/>
      </w:pPr>
      <w:r w:rsidRPr="00BE78CA">
        <w:t>Methodological issues</w:t>
      </w:r>
    </w:p>
    <w:p w14:paraId="171CA455" w14:textId="77777777" w:rsidR="007F00E5" w:rsidRPr="00BE78CA" w:rsidRDefault="007F00E5" w:rsidP="007F00E5">
      <w:pPr>
        <w:pStyle w:val="Heading5"/>
        <w:spacing w:before="120"/>
      </w:pPr>
      <w:r w:rsidRPr="00BE78CA">
        <w:t>Methods and emission factors</w:t>
      </w:r>
    </w:p>
    <w:p w14:paraId="40D91FDB" w14:textId="77777777" w:rsidR="007F00E5" w:rsidRPr="00BE78CA" w:rsidRDefault="007F00E5" w:rsidP="007F00E5">
      <w:pPr>
        <w:pStyle w:val="BodyText"/>
      </w:pPr>
      <w:r w:rsidRPr="00BE78CA">
        <w:t xml:space="preserve">Tokelau is making its second steps in GHG inventory reporting. Consequently, Tier 1 methodological approaches with default emission factors were used for estimating emissions from all Tokelau source categories. </w:t>
      </w:r>
    </w:p>
    <w:p w14:paraId="64A7D944" w14:textId="77777777" w:rsidR="007F00E5" w:rsidRPr="00BE78CA" w:rsidRDefault="007F00E5" w:rsidP="007F00E5">
      <w:pPr>
        <w:pStyle w:val="BodyText"/>
      </w:pPr>
      <w:r w:rsidRPr="00BE78CA">
        <w:t xml:space="preserve">Tokelau is in a different climate zone from New Zealand and has a different lifestyle and different technologies. There are also differences in the scale of operations, especially in the Agriculture sector, that do not allow applying New Zealand’s definition of a farm to Tokelau. </w:t>
      </w:r>
      <w:r w:rsidRPr="00BE78CA">
        <w:lastRenderedPageBreak/>
        <w:t xml:space="preserve">For estimating emissions from Tokelau, the 2006 IPCC default emission factors for Oceania with a warm climate are used, whereas New Zealand uses default emission factors associated with a temperate climate. </w:t>
      </w:r>
    </w:p>
    <w:p w14:paraId="1646F533" w14:textId="40E148B4" w:rsidR="007F00E5" w:rsidRPr="00BE78CA" w:rsidRDefault="007F00E5" w:rsidP="007F00E5">
      <w:pPr>
        <w:pStyle w:val="BodyText"/>
      </w:pPr>
      <w:r w:rsidRPr="00BE78CA">
        <w:t>The calorific values for fuels used for Tokelau are also different from those used for New Zealand because those fuels are coming from different sources. Relevant emission factors used for estimating emissions and references to the methods are included in sections 8.2 to</w:t>
      </w:r>
      <w:r w:rsidR="00787317" w:rsidRPr="00BE78CA">
        <w:t> </w:t>
      </w:r>
      <w:r w:rsidRPr="00BE78CA">
        <w:t>8.5 dedicated to the inventory sectors reported by Tokelau.</w:t>
      </w:r>
    </w:p>
    <w:p w14:paraId="3B3963CB" w14:textId="77777777" w:rsidR="007F00E5" w:rsidRPr="00BE78CA" w:rsidRDefault="007F00E5" w:rsidP="007F00E5">
      <w:pPr>
        <w:pStyle w:val="Heading5"/>
      </w:pPr>
      <w:r w:rsidRPr="00BE78CA">
        <w:t>Activity data</w:t>
      </w:r>
    </w:p>
    <w:p w14:paraId="23B63A6A" w14:textId="77777777" w:rsidR="007F00E5" w:rsidRPr="00BE78CA" w:rsidRDefault="007F00E5" w:rsidP="007F00E5">
      <w:pPr>
        <w:pStyle w:val="BodyText"/>
      </w:pPr>
      <w:r w:rsidRPr="00BE78CA">
        <w:t xml:space="preserve">The Tokelau National Statistics Office collects and processes activity data from Tokelau for inventory preparation. Table 8.1.2 contains the key sources of the activity data from Tokelau used in Tokelau’s GHG inventory. </w:t>
      </w:r>
    </w:p>
    <w:p w14:paraId="20EBBBEB" w14:textId="77777777" w:rsidR="007F00E5" w:rsidRPr="00BE78CA" w:rsidRDefault="007F00E5" w:rsidP="007F00E5">
      <w:pPr>
        <w:pStyle w:val="Table"/>
      </w:pPr>
      <w:bookmarkStart w:id="3205" w:name="_Toc5269595"/>
      <w:bookmarkStart w:id="3206" w:name="_Toc36224676"/>
      <w:bookmarkStart w:id="3207" w:name="_Toc68786562"/>
      <w:r w:rsidRPr="00BE78CA">
        <w:t>Table 8.1.2</w:t>
      </w:r>
      <w:r w:rsidRPr="00BE78CA">
        <w:tab/>
        <w:t>Key sources for activity data in Tokelau</w:t>
      </w:r>
      <w:bookmarkEnd w:id="3205"/>
      <w:bookmarkEnd w:id="3206"/>
      <w:bookmarkEnd w:id="3207"/>
    </w:p>
    <w:tbl>
      <w:tblPr>
        <w:tblW w:w="8505" w:type="dxa"/>
        <w:tblBorders>
          <w:top w:val="single" w:sz="4" w:space="0" w:color="365F91"/>
          <w:bottom w:val="single" w:sz="4" w:space="0" w:color="365F91"/>
          <w:insideH w:val="single" w:sz="4" w:space="0" w:color="365F91"/>
        </w:tblBorders>
        <w:tblLayout w:type="fixed"/>
        <w:tblCellMar>
          <w:left w:w="85" w:type="dxa"/>
          <w:right w:w="85" w:type="dxa"/>
        </w:tblCellMar>
        <w:tblLook w:val="04A0" w:firstRow="1" w:lastRow="0" w:firstColumn="1" w:lastColumn="0" w:noHBand="0" w:noVBand="1"/>
      </w:tblPr>
      <w:tblGrid>
        <w:gridCol w:w="567"/>
        <w:gridCol w:w="1521"/>
        <w:gridCol w:w="2709"/>
        <w:gridCol w:w="3708"/>
      </w:tblGrid>
      <w:tr w:rsidR="007F00E5" w:rsidRPr="00BE78CA" w14:paraId="4A6D1C0D" w14:textId="77777777" w:rsidTr="00433EFF">
        <w:trPr>
          <w:tblHeader/>
        </w:trPr>
        <w:tc>
          <w:tcPr>
            <w:tcW w:w="567" w:type="dxa"/>
            <w:shd w:val="clear" w:color="auto" w:fill="365F91"/>
            <w:vAlign w:val="bottom"/>
          </w:tcPr>
          <w:p w14:paraId="0E94DDD2" w14:textId="77777777" w:rsidR="007F00E5" w:rsidRPr="00BE78CA" w:rsidRDefault="007F00E5" w:rsidP="00C26084">
            <w:pPr>
              <w:pStyle w:val="TableTextBold"/>
              <w:keepNext/>
              <w:rPr>
                <w:rFonts w:eastAsia="Calibri" w:cs="Calibri"/>
                <w:bCs/>
                <w:noProof w:val="0"/>
                <w:color w:val="FFFFFF"/>
                <w:szCs w:val="16"/>
              </w:rPr>
            </w:pPr>
            <w:r w:rsidRPr="00BE78CA">
              <w:rPr>
                <w:rFonts w:eastAsia="Calibri" w:cs="Calibri"/>
                <w:bCs/>
                <w:noProof w:val="0"/>
                <w:color w:val="FFFFFF"/>
                <w:szCs w:val="16"/>
              </w:rPr>
              <w:t>Item</w:t>
            </w:r>
          </w:p>
        </w:tc>
        <w:tc>
          <w:tcPr>
            <w:tcW w:w="1521" w:type="dxa"/>
            <w:shd w:val="clear" w:color="auto" w:fill="365F91"/>
            <w:vAlign w:val="bottom"/>
          </w:tcPr>
          <w:p w14:paraId="000E84A7" w14:textId="77777777" w:rsidR="007F00E5" w:rsidRPr="00BE78CA" w:rsidRDefault="007F00E5" w:rsidP="00C26084">
            <w:pPr>
              <w:pStyle w:val="TableTextBold"/>
              <w:keepNext/>
              <w:rPr>
                <w:rFonts w:eastAsia="Calibri" w:cs="Calibri"/>
                <w:bCs/>
                <w:noProof w:val="0"/>
                <w:color w:val="FFFFFF"/>
                <w:szCs w:val="16"/>
              </w:rPr>
            </w:pPr>
            <w:r w:rsidRPr="00BE78CA">
              <w:rPr>
                <w:rFonts w:eastAsia="Calibri" w:cs="Calibri"/>
                <w:bCs/>
                <w:noProof w:val="0"/>
                <w:color w:val="FFFFFF"/>
                <w:szCs w:val="16"/>
              </w:rPr>
              <w:t>Name/abbreviation</w:t>
            </w:r>
          </w:p>
        </w:tc>
        <w:tc>
          <w:tcPr>
            <w:tcW w:w="2709" w:type="dxa"/>
            <w:shd w:val="clear" w:color="auto" w:fill="365F91"/>
            <w:vAlign w:val="bottom"/>
          </w:tcPr>
          <w:p w14:paraId="4803B975" w14:textId="77777777" w:rsidR="007F00E5" w:rsidRPr="00BE78CA" w:rsidRDefault="007F00E5" w:rsidP="00C26084">
            <w:pPr>
              <w:pStyle w:val="TableTextBold"/>
              <w:keepNext/>
              <w:rPr>
                <w:rFonts w:eastAsia="Calibri" w:cs="Calibri"/>
                <w:bCs/>
                <w:noProof w:val="0"/>
                <w:color w:val="FFFFFF"/>
                <w:szCs w:val="16"/>
              </w:rPr>
            </w:pPr>
            <w:r w:rsidRPr="00BE78CA">
              <w:rPr>
                <w:rFonts w:eastAsia="Calibri" w:cs="Calibri"/>
                <w:bCs/>
                <w:noProof w:val="0"/>
                <w:color w:val="FFFFFF"/>
                <w:szCs w:val="16"/>
              </w:rPr>
              <w:t>Explanation</w:t>
            </w:r>
          </w:p>
        </w:tc>
        <w:tc>
          <w:tcPr>
            <w:tcW w:w="3708" w:type="dxa"/>
            <w:shd w:val="clear" w:color="auto" w:fill="365F91"/>
            <w:vAlign w:val="bottom"/>
          </w:tcPr>
          <w:p w14:paraId="51EE9F96" w14:textId="77777777" w:rsidR="007F00E5" w:rsidRPr="00BE78CA" w:rsidRDefault="007F00E5" w:rsidP="00C26084">
            <w:pPr>
              <w:pStyle w:val="TableTextBold"/>
              <w:keepNext/>
              <w:rPr>
                <w:rFonts w:eastAsia="Calibri" w:cs="Calibri"/>
                <w:bCs/>
                <w:noProof w:val="0"/>
                <w:color w:val="FFFFFF"/>
                <w:szCs w:val="16"/>
              </w:rPr>
            </w:pPr>
            <w:r w:rsidRPr="00BE78CA">
              <w:rPr>
                <w:rFonts w:eastAsia="Calibri" w:cs="Calibri"/>
                <w:bCs/>
                <w:noProof w:val="0"/>
                <w:color w:val="FFFFFF"/>
                <w:szCs w:val="16"/>
              </w:rPr>
              <w:t>Used where</w:t>
            </w:r>
          </w:p>
        </w:tc>
      </w:tr>
      <w:tr w:rsidR="007F00E5" w:rsidRPr="00BE78CA" w14:paraId="38B3A95A" w14:textId="77777777" w:rsidTr="00433EFF">
        <w:tc>
          <w:tcPr>
            <w:tcW w:w="567" w:type="dxa"/>
            <w:shd w:val="clear" w:color="auto" w:fill="FFFFFF"/>
          </w:tcPr>
          <w:p w14:paraId="56DA0167" w14:textId="77777777" w:rsidR="007F00E5" w:rsidRPr="00BE78CA" w:rsidRDefault="007F00E5" w:rsidP="00C26084">
            <w:pPr>
              <w:pStyle w:val="TableText"/>
              <w:spacing w:before="50"/>
              <w:rPr>
                <w:rFonts w:eastAsia="Calibri" w:cs="Calibri"/>
                <w:b/>
                <w:bCs/>
                <w:szCs w:val="16"/>
              </w:rPr>
            </w:pPr>
            <w:r w:rsidRPr="00BE78CA">
              <w:rPr>
                <w:rFonts w:eastAsia="Calibri" w:cs="Calibri"/>
                <w:b/>
                <w:bCs/>
                <w:szCs w:val="16"/>
              </w:rPr>
              <w:t>1</w:t>
            </w:r>
          </w:p>
        </w:tc>
        <w:tc>
          <w:tcPr>
            <w:tcW w:w="1521" w:type="dxa"/>
            <w:shd w:val="clear" w:color="auto" w:fill="auto"/>
          </w:tcPr>
          <w:p w14:paraId="0474AEBA" w14:textId="77777777" w:rsidR="007F00E5" w:rsidRPr="00BE78CA" w:rsidRDefault="007F00E5" w:rsidP="00C26084">
            <w:pPr>
              <w:pStyle w:val="TableText"/>
              <w:spacing w:before="50"/>
              <w:rPr>
                <w:rFonts w:eastAsia="Calibri" w:cs="Calibri"/>
                <w:szCs w:val="16"/>
              </w:rPr>
            </w:pPr>
            <w:r w:rsidRPr="00BE78CA">
              <w:rPr>
                <w:rFonts w:eastAsia="Calibri" w:cs="Calibri"/>
                <w:szCs w:val="16"/>
              </w:rPr>
              <w:t>Census</w:t>
            </w:r>
          </w:p>
        </w:tc>
        <w:tc>
          <w:tcPr>
            <w:tcW w:w="2709" w:type="dxa"/>
            <w:shd w:val="clear" w:color="auto" w:fill="auto"/>
          </w:tcPr>
          <w:p w14:paraId="0B5FD50A" w14:textId="77777777" w:rsidR="007F00E5" w:rsidRPr="00BE78CA" w:rsidRDefault="007F00E5" w:rsidP="00C26084">
            <w:pPr>
              <w:pStyle w:val="TableText"/>
              <w:spacing w:before="50" w:after="0"/>
              <w:rPr>
                <w:rFonts w:eastAsia="Calibri" w:cs="Calibri"/>
                <w:szCs w:val="16"/>
              </w:rPr>
            </w:pPr>
            <w:r w:rsidRPr="00BE78CA">
              <w:rPr>
                <w:rFonts w:eastAsia="Calibri" w:cs="Calibri"/>
                <w:szCs w:val="16"/>
              </w:rPr>
              <w:t>Tokelau Census of Population and Dwellings 2006, 2011, 2016</w:t>
            </w:r>
          </w:p>
          <w:p w14:paraId="767C8E56" w14:textId="77777777" w:rsidR="007F00E5" w:rsidRPr="00BE78CA" w:rsidRDefault="007F00E5" w:rsidP="00C26084">
            <w:pPr>
              <w:pStyle w:val="TableText"/>
              <w:spacing w:before="50"/>
              <w:rPr>
                <w:rFonts w:eastAsia="Calibri" w:cs="Calibri"/>
                <w:szCs w:val="16"/>
              </w:rPr>
            </w:pPr>
            <w:r w:rsidRPr="00BE78CA">
              <w:rPr>
                <w:rFonts w:eastAsia="Calibri" w:cs="Calibri"/>
                <w:szCs w:val="16"/>
              </w:rPr>
              <w:t>www.tinyurl.com/TokelauCensus</w:t>
            </w:r>
          </w:p>
        </w:tc>
        <w:tc>
          <w:tcPr>
            <w:tcW w:w="3708" w:type="dxa"/>
            <w:shd w:val="clear" w:color="auto" w:fill="auto"/>
          </w:tcPr>
          <w:p w14:paraId="236D71CE" w14:textId="77777777" w:rsidR="007F00E5" w:rsidRPr="00BE78CA" w:rsidRDefault="007F00E5" w:rsidP="00C26084">
            <w:pPr>
              <w:pStyle w:val="TableText"/>
              <w:spacing w:before="50"/>
              <w:rPr>
                <w:rFonts w:eastAsia="Calibri" w:cs="Calibri"/>
                <w:szCs w:val="16"/>
              </w:rPr>
            </w:pPr>
            <w:r w:rsidRPr="00BE78CA">
              <w:rPr>
                <w:rFonts w:eastAsia="Calibri" w:cs="Calibri"/>
                <w:szCs w:val="16"/>
              </w:rPr>
              <w:t>Census data; interpolations for populations of people and livestock; solid and water waste disposal (flush toilets), number of private aluminium boats/outboard motors, home appliances</w:t>
            </w:r>
          </w:p>
        </w:tc>
      </w:tr>
      <w:tr w:rsidR="007F00E5" w:rsidRPr="00BE78CA" w14:paraId="428C3788" w14:textId="77777777" w:rsidTr="00433EFF">
        <w:tc>
          <w:tcPr>
            <w:tcW w:w="567" w:type="dxa"/>
            <w:shd w:val="clear" w:color="auto" w:fill="FFFFFF"/>
          </w:tcPr>
          <w:p w14:paraId="5F74C067" w14:textId="77777777" w:rsidR="007F00E5" w:rsidRPr="00BE78CA" w:rsidRDefault="007F00E5" w:rsidP="00C26084">
            <w:pPr>
              <w:pStyle w:val="TableText"/>
              <w:spacing w:before="50"/>
              <w:rPr>
                <w:rFonts w:eastAsia="Calibri" w:cs="Calibri"/>
                <w:b/>
                <w:bCs/>
                <w:szCs w:val="16"/>
              </w:rPr>
            </w:pPr>
            <w:r w:rsidRPr="00BE78CA">
              <w:rPr>
                <w:rFonts w:eastAsia="Calibri" w:cs="Calibri"/>
                <w:b/>
                <w:bCs/>
                <w:szCs w:val="16"/>
              </w:rPr>
              <w:t>2</w:t>
            </w:r>
          </w:p>
        </w:tc>
        <w:tc>
          <w:tcPr>
            <w:tcW w:w="1521" w:type="dxa"/>
            <w:shd w:val="clear" w:color="auto" w:fill="auto"/>
          </w:tcPr>
          <w:p w14:paraId="1D06200A" w14:textId="77777777" w:rsidR="007F00E5" w:rsidRPr="00BE78CA" w:rsidRDefault="007F00E5" w:rsidP="00C26084">
            <w:pPr>
              <w:pStyle w:val="TableText"/>
              <w:spacing w:before="50"/>
              <w:rPr>
                <w:rFonts w:eastAsia="Calibri" w:cs="Calibri"/>
                <w:szCs w:val="16"/>
              </w:rPr>
            </w:pPr>
            <w:r w:rsidRPr="00BE78CA">
              <w:rPr>
                <w:rFonts w:eastAsia="Calibri" w:cs="Calibri"/>
                <w:szCs w:val="16"/>
              </w:rPr>
              <w:t>Archives NZ</w:t>
            </w:r>
          </w:p>
        </w:tc>
        <w:tc>
          <w:tcPr>
            <w:tcW w:w="2709" w:type="dxa"/>
            <w:shd w:val="clear" w:color="auto" w:fill="auto"/>
          </w:tcPr>
          <w:p w14:paraId="0F07D356" w14:textId="77777777" w:rsidR="007F00E5" w:rsidRPr="00BE78CA" w:rsidRDefault="007F00E5" w:rsidP="00C26084">
            <w:pPr>
              <w:pStyle w:val="TableText"/>
              <w:spacing w:before="50"/>
              <w:rPr>
                <w:rFonts w:eastAsia="Calibri" w:cs="Calibri"/>
                <w:szCs w:val="16"/>
              </w:rPr>
            </w:pPr>
            <w:r w:rsidRPr="00BE78CA">
              <w:rPr>
                <w:rFonts w:eastAsia="Calibri" w:cs="Calibri"/>
                <w:szCs w:val="16"/>
              </w:rPr>
              <w:t>Archives New Zealand, Wellington</w:t>
            </w:r>
          </w:p>
        </w:tc>
        <w:tc>
          <w:tcPr>
            <w:tcW w:w="3708" w:type="dxa"/>
            <w:shd w:val="clear" w:color="auto" w:fill="auto"/>
          </w:tcPr>
          <w:p w14:paraId="3A434A75" w14:textId="77777777" w:rsidR="007F00E5" w:rsidRPr="00BE78CA" w:rsidRDefault="007F00E5" w:rsidP="00C26084">
            <w:pPr>
              <w:pStyle w:val="TableText"/>
              <w:spacing w:before="50"/>
              <w:rPr>
                <w:rFonts w:eastAsia="Calibri" w:cs="Calibri"/>
                <w:szCs w:val="16"/>
              </w:rPr>
            </w:pPr>
            <w:r w:rsidRPr="00BE78CA">
              <w:rPr>
                <w:rFonts w:eastAsia="Calibri" w:cs="Calibri"/>
                <w:szCs w:val="16"/>
              </w:rPr>
              <w:t>Historic Census records going back to 1951, at five-year intervals (Tokelau National Statistics Office collation and analysis)</w:t>
            </w:r>
          </w:p>
        </w:tc>
      </w:tr>
      <w:tr w:rsidR="007F00E5" w:rsidRPr="00BE78CA" w14:paraId="0DE8DA81" w14:textId="77777777" w:rsidTr="00433EFF">
        <w:tc>
          <w:tcPr>
            <w:tcW w:w="567" w:type="dxa"/>
            <w:shd w:val="clear" w:color="auto" w:fill="FFFFFF"/>
          </w:tcPr>
          <w:p w14:paraId="183B2BC2" w14:textId="77777777" w:rsidR="007F00E5" w:rsidRPr="00BE78CA" w:rsidRDefault="007F00E5" w:rsidP="00C26084">
            <w:pPr>
              <w:pStyle w:val="TableText"/>
              <w:spacing w:before="50"/>
              <w:rPr>
                <w:rFonts w:eastAsia="Calibri" w:cs="Calibri"/>
                <w:b/>
                <w:bCs/>
                <w:szCs w:val="16"/>
              </w:rPr>
            </w:pPr>
            <w:r w:rsidRPr="00BE78CA">
              <w:rPr>
                <w:rFonts w:eastAsia="Calibri" w:cs="Calibri"/>
                <w:b/>
                <w:bCs/>
                <w:szCs w:val="16"/>
              </w:rPr>
              <w:t>3</w:t>
            </w:r>
          </w:p>
        </w:tc>
        <w:tc>
          <w:tcPr>
            <w:tcW w:w="1521" w:type="dxa"/>
            <w:shd w:val="clear" w:color="auto" w:fill="auto"/>
          </w:tcPr>
          <w:p w14:paraId="310A72AA" w14:textId="77777777" w:rsidR="007F00E5" w:rsidRPr="00BE78CA" w:rsidRDefault="007F00E5" w:rsidP="00C26084">
            <w:pPr>
              <w:pStyle w:val="TableText"/>
              <w:spacing w:before="50"/>
              <w:rPr>
                <w:rFonts w:eastAsia="Calibri" w:cs="Calibri"/>
                <w:szCs w:val="16"/>
              </w:rPr>
            </w:pPr>
            <w:r w:rsidRPr="00BE78CA">
              <w:rPr>
                <w:rFonts w:eastAsia="Calibri" w:cs="Calibri"/>
                <w:szCs w:val="16"/>
              </w:rPr>
              <w:t>HIES</w:t>
            </w:r>
          </w:p>
        </w:tc>
        <w:tc>
          <w:tcPr>
            <w:tcW w:w="2709" w:type="dxa"/>
            <w:shd w:val="clear" w:color="auto" w:fill="auto"/>
          </w:tcPr>
          <w:p w14:paraId="78DDBEA5" w14:textId="77777777" w:rsidR="007F00E5" w:rsidRPr="00BE78CA" w:rsidRDefault="007F00E5" w:rsidP="00C26084">
            <w:pPr>
              <w:pStyle w:val="TableText"/>
              <w:spacing w:before="50" w:after="0"/>
              <w:rPr>
                <w:rFonts w:eastAsia="Calibri" w:cs="Calibri"/>
                <w:szCs w:val="16"/>
              </w:rPr>
            </w:pPr>
            <w:r w:rsidRPr="00BE78CA">
              <w:rPr>
                <w:rFonts w:eastAsia="Calibri" w:cs="Calibri"/>
                <w:szCs w:val="16"/>
              </w:rPr>
              <w:t>Tokelau Household Income and Expenditure Survey 2015/16</w:t>
            </w:r>
          </w:p>
          <w:p w14:paraId="6DE7A671" w14:textId="77777777" w:rsidR="007F00E5" w:rsidRPr="00BE78CA" w:rsidRDefault="007F00E5" w:rsidP="00C26084">
            <w:pPr>
              <w:pStyle w:val="TableText"/>
              <w:spacing w:before="0"/>
              <w:rPr>
                <w:rFonts w:eastAsia="Calibri" w:cs="Calibri"/>
                <w:szCs w:val="16"/>
              </w:rPr>
            </w:pPr>
            <w:r w:rsidRPr="00BE78CA">
              <w:rPr>
                <w:rFonts w:eastAsia="Calibri" w:cs="Calibri"/>
                <w:szCs w:val="16"/>
              </w:rPr>
              <w:t>www.tinyurl.com/TokelauHIES</w:t>
            </w:r>
          </w:p>
        </w:tc>
        <w:tc>
          <w:tcPr>
            <w:tcW w:w="3708" w:type="dxa"/>
            <w:shd w:val="clear" w:color="auto" w:fill="auto"/>
          </w:tcPr>
          <w:p w14:paraId="6AE92978" w14:textId="77777777" w:rsidR="007F00E5" w:rsidRPr="00BE78CA" w:rsidRDefault="007F00E5" w:rsidP="00C26084">
            <w:pPr>
              <w:pStyle w:val="TableText"/>
              <w:spacing w:before="50"/>
              <w:rPr>
                <w:rFonts w:eastAsia="Calibri" w:cs="Calibri"/>
                <w:szCs w:val="16"/>
              </w:rPr>
            </w:pPr>
            <w:r w:rsidRPr="00BE78CA">
              <w:rPr>
                <w:rFonts w:eastAsia="Calibri" w:cs="Calibri"/>
                <w:szCs w:val="16"/>
              </w:rPr>
              <w:t>Population and dwellings data supplementary to Census, in partnership with Pacific Community (SPC)</w:t>
            </w:r>
          </w:p>
        </w:tc>
      </w:tr>
      <w:tr w:rsidR="007F00E5" w:rsidRPr="00BE78CA" w14:paraId="7DC9F219" w14:textId="77777777" w:rsidTr="00433EFF">
        <w:tc>
          <w:tcPr>
            <w:tcW w:w="567" w:type="dxa"/>
            <w:shd w:val="clear" w:color="auto" w:fill="FFFFFF"/>
          </w:tcPr>
          <w:p w14:paraId="39134EB8" w14:textId="77777777" w:rsidR="007F00E5" w:rsidRPr="00BE78CA" w:rsidRDefault="007F00E5" w:rsidP="00C26084">
            <w:pPr>
              <w:pStyle w:val="TableText"/>
              <w:spacing w:before="50"/>
              <w:rPr>
                <w:rFonts w:eastAsia="Calibri" w:cs="Calibri"/>
                <w:b/>
                <w:bCs/>
                <w:szCs w:val="16"/>
              </w:rPr>
            </w:pPr>
            <w:r w:rsidRPr="00BE78CA">
              <w:rPr>
                <w:rFonts w:eastAsia="Calibri" w:cs="Calibri"/>
                <w:b/>
                <w:bCs/>
                <w:szCs w:val="16"/>
              </w:rPr>
              <w:t>4</w:t>
            </w:r>
          </w:p>
        </w:tc>
        <w:tc>
          <w:tcPr>
            <w:tcW w:w="1521" w:type="dxa"/>
            <w:shd w:val="clear" w:color="auto" w:fill="auto"/>
          </w:tcPr>
          <w:p w14:paraId="34BFCA1A" w14:textId="77777777" w:rsidR="007F00E5" w:rsidRPr="00BE78CA" w:rsidRDefault="007F00E5" w:rsidP="00C26084">
            <w:pPr>
              <w:pStyle w:val="TableText"/>
              <w:spacing w:before="50"/>
              <w:rPr>
                <w:rFonts w:eastAsia="Calibri" w:cs="Calibri"/>
                <w:szCs w:val="16"/>
              </w:rPr>
            </w:pPr>
            <w:r w:rsidRPr="00BE78CA">
              <w:rPr>
                <w:rFonts w:eastAsia="Calibri" w:cs="Calibri"/>
                <w:szCs w:val="16"/>
              </w:rPr>
              <w:t>SNZ, Stats NZ</w:t>
            </w:r>
          </w:p>
        </w:tc>
        <w:tc>
          <w:tcPr>
            <w:tcW w:w="2709" w:type="dxa"/>
            <w:shd w:val="clear" w:color="auto" w:fill="auto"/>
          </w:tcPr>
          <w:p w14:paraId="3CB91871" w14:textId="77777777" w:rsidR="007F00E5" w:rsidRPr="00BE78CA" w:rsidRDefault="007F00E5" w:rsidP="00C26084">
            <w:pPr>
              <w:pStyle w:val="TableText"/>
              <w:spacing w:before="50" w:after="0"/>
              <w:rPr>
                <w:rFonts w:eastAsia="Calibri" w:cs="Calibri"/>
                <w:szCs w:val="16"/>
              </w:rPr>
            </w:pPr>
            <w:r w:rsidRPr="00BE78CA">
              <w:rPr>
                <w:rFonts w:eastAsia="Calibri" w:cs="Calibri"/>
                <w:szCs w:val="16"/>
              </w:rPr>
              <w:t>Statistics New Zealand, Wellington</w:t>
            </w:r>
          </w:p>
          <w:p w14:paraId="23EB8E74" w14:textId="77777777" w:rsidR="007F00E5" w:rsidRPr="00BE78CA" w:rsidRDefault="00087879" w:rsidP="00C26084">
            <w:pPr>
              <w:pStyle w:val="TableText"/>
              <w:spacing w:before="0"/>
              <w:rPr>
                <w:rFonts w:eastAsia="Calibri" w:cs="Calibri"/>
                <w:szCs w:val="16"/>
              </w:rPr>
            </w:pPr>
            <w:hyperlink r:id="rId253" w:history="1">
              <w:r w:rsidR="007F00E5" w:rsidRPr="00BE78CA">
                <w:rPr>
                  <w:rStyle w:val="Hyperlink"/>
                  <w:rFonts w:eastAsia="Calibri" w:cs="Calibri"/>
                  <w:color w:val="auto"/>
                  <w:szCs w:val="16"/>
                </w:rPr>
                <w:t>www.stats.govt.nz</w:t>
              </w:r>
            </w:hyperlink>
          </w:p>
        </w:tc>
        <w:tc>
          <w:tcPr>
            <w:tcW w:w="3708" w:type="dxa"/>
            <w:shd w:val="clear" w:color="auto" w:fill="auto"/>
          </w:tcPr>
          <w:p w14:paraId="1EC4C518" w14:textId="77777777" w:rsidR="007F00E5" w:rsidRPr="00BE78CA" w:rsidRDefault="007F00E5" w:rsidP="00C26084">
            <w:pPr>
              <w:pStyle w:val="TableText"/>
              <w:spacing w:before="50"/>
              <w:rPr>
                <w:rFonts w:eastAsia="Calibri" w:cs="Calibri"/>
                <w:szCs w:val="16"/>
              </w:rPr>
            </w:pPr>
            <w:r w:rsidRPr="00BE78CA">
              <w:rPr>
                <w:rFonts w:eastAsia="Calibri" w:cs="Calibri"/>
                <w:szCs w:val="16"/>
              </w:rPr>
              <w:t>Major partner in collection, analysis and publication of Tokelau Census data</w:t>
            </w:r>
          </w:p>
        </w:tc>
      </w:tr>
      <w:tr w:rsidR="007F00E5" w:rsidRPr="00BE78CA" w14:paraId="657A8497" w14:textId="77777777" w:rsidTr="00433EFF">
        <w:tc>
          <w:tcPr>
            <w:tcW w:w="567" w:type="dxa"/>
            <w:shd w:val="clear" w:color="auto" w:fill="FFFFFF"/>
          </w:tcPr>
          <w:p w14:paraId="475994C1" w14:textId="77777777" w:rsidR="007F00E5" w:rsidRPr="00BE78CA" w:rsidRDefault="007F00E5" w:rsidP="00C26084">
            <w:pPr>
              <w:pStyle w:val="TableText"/>
              <w:spacing w:before="50"/>
              <w:rPr>
                <w:rFonts w:eastAsia="Calibri" w:cs="Calibri"/>
                <w:b/>
                <w:bCs/>
                <w:szCs w:val="16"/>
              </w:rPr>
            </w:pPr>
            <w:r w:rsidRPr="00BE78CA">
              <w:rPr>
                <w:rFonts w:eastAsia="Calibri" w:cs="Calibri"/>
                <w:b/>
                <w:bCs/>
                <w:szCs w:val="16"/>
              </w:rPr>
              <w:t>5</w:t>
            </w:r>
          </w:p>
        </w:tc>
        <w:tc>
          <w:tcPr>
            <w:tcW w:w="1521" w:type="dxa"/>
            <w:shd w:val="clear" w:color="auto" w:fill="auto"/>
          </w:tcPr>
          <w:p w14:paraId="52AC8AB3" w14:textId="77777777" w:rsidR="007F00E5" w:rsidRPr="00BE78CA" w:rsidRDefault="007F00E5" w:rsidP="00C26084">
            <w:pPr>
              <w:pStyle w:val="TableText"/>
              <w:spacing w:before="50"/>
              <w:rPr>
                <w:rFonts w:eastAsia="Calibri" w:cs="Calibri"/>
                <w:szCs w:val="16"/>
              </w:rPr>
            </w:pPr>
            <w:r w:rsidRPr="00BE78CA">
              <w:rPr>
                <w:rFonts w:eastAsia="Calibri" w:cs="Calibri"/>
                <w:szCs w:val="16"/>
              </w:rPr>
              <w:t>TNSO</w:t>
            </w:r>
          </w:p>
        </w:tc>
        <w:tc>
          <w:tcPr>
            <w:tcW w:w="2709" w:type="dxa"/>
            <w:shd w:val="clear" w:color="auto" w:fill="auto"/>
          </w:tcPr>
          <w:p w14:paraId="4051E605" w14:textId="77777777" w:rsidR="007F00E5" w:rsidRPr="00BE78CA" w:rsidRDefault="007F00E5" w:rsidP="00C26084">
            <w:pPr>
              <w:pStyle w:val="TableText"/>
              <w:spacing w:before="50" w:after="0"/>
              <w:rPr>
                <w:rFonts w:eastAsia="Calibri" w:cs="Calibri"/>
                <w:szCs w:val="16"/>
              </w:rPr>
            </w:pPr>
            <w:r w:rsidRPr="00BE78CA">
              <w:rPr>
                <w:rFonts w:eastAsia="Calibri" w:cs="Calibri"/>
                <w:szCs w:val="16"/>
              </w:rPr>
              <w:t>Tokelau National Statistics Office, Apia</w:t>
            </w:r>
          </w:p>
          <w:p w14:paraId="20F2245C" w14:textId="77777777" w:rsidR="007F00E5" w:rsidRPr="00BE78CA" w:rsidRDefault="00087879" w:rsidP="00C26084">
            <w:pPr>
              <w:pStyle w:val="TableText"/>
              <w:spacing w:before="0"/>
              <w:rPr>
                <w:rFonts w:eastAsia="Calibri" w:cs="Calibri"/>
                <w:szCs w:val="16"/>
              </w:rPr>
            </w:pPr>
            <w:hyperlink r:id="rId254" w:history="1">
              <w:r w:rsidR="007F00E5" w:rsidRPr="00BE78CA">
                <w:rPr>
                  <w:rStyle w:val="Hyperlink"/>
                  <w:rFonts w:eastAsia="Calibri" w:cs="Calibri"/>
                  <w:color w:val="auto"/>
                  <w:szCs w:val="16"/>
                </w:rPr>
                <w:t>www.tokelau.org.nz/Stats.html</w:t>
              </w:r>
            </w:hyperlink>
          </w:p>
        </w:tc>
        <w:tc>
          <w:tcPr>
            <w:tcW w:w="3708" w:type="dxa"/>
            <w:shd w:val="clear" w:color="auto" w:fill="auto"/>
          </w:tcPr>
          <w:p w14:paraId="0469AF66" w14:textId="77777777" w:rsidR="007F00E5" w:rsidRPr="00BE78CA" w:rsidRDefault="007F00E5" w:rsidP="00C26084">
            <w:pPr>
              <w:pStyle w:val="TableText"/>
              <w:spacing w:before="50"/>
              <w:rPr>
                <w:rFonts w:eastAsia="Calibri" w:cs="Calibri"/>
                <w:szCs w:val="16"/>
              </w:rPr>
            </w:pPr>
            <w:r w:rsidRPr="00BE78CA">
              <w:rPr>
                <w:rFonts w:eastAsia="Calibri" w:cs="Calibri"/>
                <w:szCs w:val="16"/>
              </w:rPr>
              <w:t xml:space="preserve">Joint collection, analysis and publication of Tokelau Census data </w:t>
            </w:r>
          </w:p>
        </w:tc>
      </w:tr>
      <w:tr w:rsidR="007F00E5" w:rsidRPr="00BE78CA" w14:paraId="1D588D93" w14:textId="77777777" w:rsidTr="00433EFF">
        <w:tc>
          <w:tcPr>
            <w:tcW w:w="567" w:type="dxa"/>
            <w:shd w:val="clear" w:color="auto" w:fill="FFFFFF"/>
          </w:tcPr>
          <w:p w14:paraId="283D78F6" w14:textId="77777777" w:rsidR="007F00E5" w:rsidRPr="00BE78CA" w:rsidRDefault="007F00E5" w:rsidP="00C26084">
            <w:pPr>
              <w:pStyle w:val="TableText"/>
              <w:spacing w:before="50"/>
              <w:rPr>
                <w:rFonts w:eastAsia="Calibri" w:cs="Calibri"/>
                <w:b/>
                <w:bCs/>
                <w:szCs w:val="16"/>
              </w:rPr>
            </w:pPr>
            <w:r w:rsidRPr="00BE78CA">
              <w:rPr>
                <w:rFonts w:eastAsia="Calibri" w:cs="Calibri"/>
                <w:b/>
                <w:bCs/>
                <w:szCs w:val="16"/>
              </w:rPr>
              <w:t>6</w:t>
            </w:r>
          </w:p>
        </w:tc>
        <w:tc>
          <w:tcPr>
            <w:tcW w:w="1521" w:type="dxa"/>
            <w:shd w:val="clear" w:color="auto" w:fill="auto"/>
          </w:tcPr>
          <w:p w14:paraId="5956429E" w14:textId="77777777" w:rsidR="007F00E5" w:rsidRPr="00BE78CA" w:rsidRDefault="007F00E5" w:rsidP="00C26084">
            <w:pPr>
              <w:pStyle w:val="TableText"/>
              <w:spacing w:before="50"/>
              <w:rPr>
                <w:rFonts w:eastAsia="Calibri" w:cs="Calibri"/>
                <w:szCs w:val="16"/>
              </w:rPr>
            </w:pPr>
            <w:r w:rsidRPr="00BE78CA">
              <w:rPr>
                <w:rFonts w:eastAsia="Calibri" w:cs="Calibri"/>
                <w:szCs w:val="16"/>
              </w:rPr>
              <w:t>DoE</w:t>
            </w:r>
          </w:p>
        </w:tc>
        <w:tc>
          <w:tcPr>
            <w:tcW w:w="2709" w:type="dxa"/>
            <w:shd w:val="clear" w:color="auto" w:fill="auto"/>
          </w:tcPr>
          <w:p w14:paraId="5D468BA7" w14:textId="77777777" w:rsidR="007F00E5" w:rsidRPr="00BE78CA" w:rsidRDefault="007F00E5" w:rsidP="00C26084">
            <w:pPr>
              <w:pStyle w:val="TableText"/>
              <w:spacing w:before="50"/>
              <w:rPr>
                <w:rFonts w:eastAsia="Calibri" w:cs="Calibri"/>
                <w:szCs w:val="16"/>
              </w:rPr>
            </w:pPr>
            <w:r w:rsidRPr="00BE78CA">
              <w:rPr>
                <w:rFonts w:eastAsia="Calibri" w:cs="Calibri"/>
                <w:szCs w:val="16"/>
              </w:rPr>
              <w:t>Tokelau Department of Energy</w:t>
            </w:r>
          </w:p>
        </w:tc>
        <w:tc>
          <w:tcPr>
            <w:tcW w:w="3708" w:type="dxa"/>
            <w:shd w:val="clear" w:color="auto" w:fill="auto"/>
          </w:tcPr>
          <w:p w14:paraId="766860DA" w14:textId="77777777" w:rsidR="007F00E5" w:rsidRPr="00BE78CA" w:rsidRDefault="007F00E5" w:rsidP="00C26084">
            <w:pPr>
              <w:pStyle w:val="TableText"/>
              <w:spacing w:before="50"/>
              <w:rPr>
                <w:rFonts w:eastAsia="Calibri" w:cs="Calibri"/>
                <w:szCs w:val="16"/>
              </w:rPr>
            </w:pPr>
            <w:r w:rsidRPr="00BE78CA">
              <w:rPr>
                <w:rFonts w:eastAsia="Calibri" w:cs="Calibri"/>
                <w:szCs w:val="16"/>
              </w:rPr>
              <w:t>Estimate of diesel use for 24/7 power generation in 2004, plus before and after installation of solar in July–September 2012 (personal communication Mr Robin Pene, DoE director)</w:t>
            </w:r>
          </w:p>
        </w:tc>
      </w:tr>
      <w:tr w:rsidR="007F00E5" w:rsidRPr="00BE78CA" w14:paraId="679D7EB8" w14:textId="77777777" w:rsidTr="00433EFF">
        <w:tc>
          <w:tcPr>
            <w:tcW w:w="567" w:type="dxa"/>
            <w:shd w:val="clear" w:color="auto" w:fill="FFFFFF"/>
          </w:tcPr>
          <w:p w14:paraId="693BF5F9" w14:textId="77777777" w:rsidR="007F00E5" w:rsidRPr="00BE78CA" w:rsidRDefault="007F00E5" w:rsidP="00C26084">
            <w:pPr>
              <w:pStyle w:val="TableText"/>
              <w:spacing w:before="50"/>
              <w:rPr>
                <w:rFonts w:eastAsia="Calibri" w:cs="Calibri"/>
                <w:b/>
                <w:bCs/>
                <w:szCs w:val="16"/>
              </w:rPr>
            </w:pPr>
            <w:r w:rsidRPr="00BE78CA">
              <w:rPr>
                <w:rFonts w:eastAsia="Calibri" w:cs="Calibri"/>
                <w:b/>
                <w:bCs/>
                <w:szCs w:val="16"/>
              </w:rPr>
              <w:t>7</w:t>
            </w:r>
          </w:p>
        </w:tc>
        <w:tc>
          <w:tcPr>
            <w:tcW w:w="1521" w:type="dxa"/>
            <w:shd w:val="clear" w:color="auto" w:fill="auto"/>
          </w:tcPr>
          <w:p w14:paraId="3C584CCA" w14:textId="77777777" w:rsidR="007F00E5" w:rsidRPr="00BE78CA" w:rsidRDefault="007F00E5" w:rsidP="00C26084">
            <w:pPr>
              <w:pStyle w:val="TableText"/>
              <w:spacing w:before="50"/>
              <w:rPr>
                <w:rFonts w:eastAsia="Calibri" w:cs="Calibri"/>
                <w:szCs w:val="16"/>
              </w:rPr>
            </w:pPr>
            <w:r w:rsidRPr="00BE78CA">
              <w:rPr>
                <w:rFonts w:eastAsia="Calibri" w:cs="Calibri"/>
                <w:szCs w:val="16"/>
              </w:rPr>
              <w:t>PPS</w:t>
            </w:r>
          </w:p>
        </w:tc>
        <w:tc>
          <w:tcPr>
            <w:tcW w:w="2709" w:type="dxa"/>
            <w:shd w:val="clear" w:color="auto" w:fill="auto"/>
          </w:tcPr>
          <w:p w14:paraId="2286BA7A" w14:textId="77777777" w:rsidR="007F00E5" w:rsidRPr="00BE78CA" w:rsidRDefault="007F00E5" w:rsidP="00C26084">
            <w:pPr>
              <w:pStyle w:val="TableText"/>
              <w:spacing w:before="50"/>
              <w:rPr>
                <w:rFonts w:eastAsia="Calibri" w:cs="Calibri"/>
                <w:szCs w:val="16"/>
              </w:rPr>
            </w:pPr>
            <w:r w:rsidRPr="00BE78CA">
              <w:rPr>
                <w:rFonts w:eastAsia="Calibri" w:cs="Calibri"/>
                <w:szCs w:val="16"/>
              </w:rPr>
              <w:t>Petroleum Product Supplies Ltd Apia</w:t>
            </w:r>
          </w:p>
        </w:tc>
        <w:tc>
          <w:tcPr>
            <w:tcW w:w="3708" w:type="dxa"/>
            <w:shd w:val="clear" w:color="auto" w:fill="auto"/>
          </w:tcPr>
          <w:p w14:paraId="25AC8CAD" w14:textId="77777777" w:rsidR="007F00E5" w:rsidRPr="00BE78CA" w:rsidRDefault="007F00E5" w:rsidP="00C26084">
            <w:pPr>
              <w:pStyle w:val="TableText"/>
              <w:spacing w:before="50"/>
              <w:rPr>
                <w:rFonts w:eastAsia="Calibri" w:cs="Calibri"/>
                <w:szCs w:val="16"/>
              </w:rPr>
            </w:pPr>
            <w:r w:rsidRPr="00BE78CA">
              <w:rPr>
                <w:rFonts w:eastAsia="Calibri" w:cs="Calibri"/>
                <w:szCs w:val="16"/>
              </w:rPr>
              <w:t>Fuel prices and volumes supplied for shipping and on-atoll use of diesel, petrol, kerosene and lubricant oil</w:t>
            </w:r>
          </w:p>
        </w:tc>
      </w:tr>
      <w:tr w:rsidR="007F00E5" w:rsidRPr="00BE78CA" w14:paraId="11A75EDB" w14:textId="77777777" w:rsidTr="00433EFF">
        <w:tc>
          <w:tcPr>
            <w:tcW w:w="567" w:type="dxa"/>
            <w:shd w:val="clear" w:color="auto" w:fill="FFFFFF"/>
          </w:tcPr>
          <w:p w14:paraId="201349B0" w14:textId="77777777" w:rsidR="007F00E5" w:rsidRPr="00BE78CA" w:rsidRDefault="007F00E5" w:rsidP="00C26084">
            <w:pPr>
              <w:pStyle w:val="TableText"/>
              <w:spacing w:before="50"/>
              <w:rPr>
                <w:rFonts w:eastAsia="Calibri" w:cs="Calibri"/>
                <w:b/>
                <w:bCs/>
                <w:szCs w:val="16"/>
              </w:rPr>
            </w:pPr>
            <w:r w:rsidRPr="00BE78CA">
              <w:rPr>
                <w:rFonts w:eastAsia="Calibri" w:cs="Calibri"/>
                <w:b/>
                <w:bCs/>
                <w:szCs w:val="16"/>
              </w:rPr>
              <w:t>8</w:t>
            </w:r>
          </w:p>
        </w:tc>
        <w:tc>
          <w:tcPr>
            <w:tcW w:w="1521" w:type="dxa"/>
            <w:shd w:val="clear" w:color="auto" w:fill="auto"/>
          </w:tcPr>
          <w:p w14:paraId="1EFEAD8C" w14:textId="77777777" w:rsidR="007F00E5" w:rsidRPr="00BE78CA" w:rsidRDefault="007F00E5" w:rsidP="00C26084">
            <w:pPr>
              <w:pStyle w:val="TableText"/>
              <w:spacing w:before="50"/>
              <w:rPr>
                <w:rFonts w:eastAsia="Calibri" w:cs="Calibri"/>
                <w:szCs w:val="16"/>
              </w:rPr>
            </w:pPr>
            <w:r w:rsidRPr="00BE78CA">
              <w:rPr>
                <w:rFonts w:eastAsia="Calibri" w:cs="Calibri"/>
                <w:szCs w:val="16"/>
              </w:rPr>
              <w:t>DoF</w:t>
            </w:r>
          </w:p>
        </w:tc>
        <w:tc>
          <w:tcPr>
            <w:tcW w:w="2709" w:type="dxa"/>
            <w:shd w:val="clear" w:color="auto" w:fill="auto"/>
          </w:tcPr>
          <w:p w14:paraId="2B5487B6" w14:textId="77777777" w:rsidR="007F00E5" w:rsidRPr="00BE78CA" w:rsidRDefault="007F00E5" w:rsidP="00C26084">
            <w:pPr>
              <w:pStyle w:val="TableText"/>
              <w:spacing w:before="50"/>
              <w:rPr>
                <w:rFonts w:eastAsia="Calibri" w:cs="Calibri"/>
                <w:szCs w:val="16"/>
              </w:rPr>
            </w:pPr>
            <w:r w:rsidRPr="00BE78CA">
              <w:rPr>
                <w:rFonts w:eastAsia="Calibri" w:cs="Calibri"/>
                <w:szCs w:val="16"/>
              </w:rPr>
              <w:t>Tokelau Department of Finance</w:t>
            </w:r>
          </w:p>
        </w:tc>
        <w:tc>
          <w:tcPr>
            <w:tcW w:w="3708" w:type="dxa"/>
            <w:shd w:val="clear" w:color="auto" w:fill="auto"/>
          </w:tcPr>
          <w:p w14:paraId="64E71F44" w14:textId="77777777" w:rsidR="007F00E5" w:rsidRPr="00BE78CA" w:rsidRDefault="007F00E5" w:rsidP="00C26084">
            <w:pPr>
              <w:pStyle w:val="TableText"/>
              <w:spacing w:before="50"/>
              <w:rPr>
                <w:rFonts w:eastAsia="Calibri" w:cs="Calibri"/>
                <w:szCs w:val="16"/>
              </w:rPr>
            </w:pPr>
            <w:r w:rsidRPr="00BE78CA">
              <w:rPr>
                <w:rFonts w:eastAsia="Calibri" w:cs="Calibri"/>
                <w:szCs w:val="16"/>
              </w:rPr>
              <w:t>Paid invoices and payment records to PPS, Origin, and on-atoll stores</w:t>
            </w:r>
          </w:p>
        </w:tc>
      </w:tr>
      <w:tr w:rsidR="007F00E5" w:rsidRPr="00BE78CA" w14:paraId="65F13213" w14:textId="77777777" w:rsidTr="00433EFF">
        <w:tc>
          <w:tcPr>
            <w:tcW w:w="567" w:type="dxa"/>
            <w:shd w:val="clear" w:color="auto" w:fill="FFFFFF"/>
          </w:tcPr>
          <w:p w14:paraId="5CEEA14B" w14:textId="77777777" w:rsidR="007F00E5" w:rsidRPr="00BE78CA" w:rsidRDefault="007F00E5" w:rsidP="00C26084">
            <w:pPr>
              <w:pStyle w:val="TableText"/>
              <w:spacing w:before="50"/>
              <w:rPr>
                <w:rFonts w:eastAsia="Calibri" w:cs="Calibri"/>
                <w:b/>
                <w:bCs/>
                <w:szCs w:val="16"/>
              </w:rPr>
            </w:pPr>
            <w:r w:rsidRPr="00BE78CA">
              <w:rPr>
                <w:rFonts w:eastAsia="Calibri" w:cs="Calibri"/>
                <w:b/>
                <w:bCs/>
                <w:szCs w:val="16"/>
              </w:rPr>
              <w:t>9</w:t>
            </w:r>
          </w:p>
        </w:tc>
        <w:tc>
          <w:tcPr>
            <w:tcW w:w="1521" w:type="dxa"/>
            <w:shd w:val="clear" w:color="auto" w:fill="auto"/>
          </w:tcPr>
          <w:p w14:paraId="49AE9AC1" w14:textId="77777777" w:rsidR="007F00E5" w:rsidRPr="00BE78CA" w:rsidRDefault="007F00E5" w:rsidP="00C26084">
            <w:pPr>
              <w:pStyle w:val="TableText"/>
              <w:spacing w:before="50"/>
              <w:rPr>
                <w:rFonts w:eastAsia="Calibri" w:cs="Calibri"/>
                <w:szCs w:val="16"/>
              </w:rPr>
            </w:pPr>
            <w:r w:rsidRPr="00BE78CA">
              <w:rPr>
                <w:rFonts w:eastAsia="Calibri" w:cs="Calibri"/>
                <w:szCs w:val="16"/>
              </w:rPr>
              <w:t>2018 vehicle survey</w:t>
            </w:r>
          </w:p>
        </w:tc>
        <w:tc>
          <w:tcPr>
            <w:tcW w:w="2709" w:type="dxa"/>
            <w:shd w:val="clear" w:color="auto" w:fill="auto"/>
          </w:tcPr>
          <w:p w14:paraId="4A73B627" w14:textId="77777777" w:rsidR="007F00E5" w:rsidRPr="00BE78CA" w:rsidRDefault="007F00E5" w:rsidP="00C26084">
            <w:pPr>
              <w:pStyle w:val="TableText"/>
              <w:spacing w:before="50"/>
              <w:rPr>
                <w:rFonts w:eastAsia="Calibri" w:cs="Calibri"/>
                <w:szCs w:val="16"/>
              </w:rPr>
            </w:pPr>
            <w:r w:rsidRPr="00BE78CA">
              <w:rPr>
                <w:rFonts w:eastAsia="Calibri" w:cs="Calibri"/>
                <w:szCs w:val="16"/>
              </w:rPr>
              <w:t>Photo survey of Tokelau motorised vehicles on-atoll, August–December 2018</w:t>
            </w:r>
          </w:p>
        </w:tc>
        <w:tc>
          <w:tcPr>
            <w:tcW w:w="3708" w:type="dxa"/>
            <w:shd w:val="clear" w:color="auto" w:fill="auto"/>
          </w:tcPr>
          <w:p w14:paraId="541FE06A" w14:textId="77777777" w:rsidR="007F00E5" w:rsidRPr="00BE78CA" w:rsidRDefault="007F00E5" w:rsidP="00C26084">
            <w:pPr>
              <w:pStyle w:val="TableText"/>
              <w:spacing w:before="50"/>
              <w:rPr>
                <w:rFonts w:eastAsia="Calibri" w:cs="Calibri"/>
                <w:szCs w:val="16"/>
              </w:rPr>
            </w:pPr>
            <w:r w:rsidRPr="00BE78CA">
              <w:rPr>
                <w:rFonts w:eastAsia="Calibri" w:cs="Calibri"/>
                <w:szCs w:val="16"/>
              </w:rPr>
              <w:t>Personal communication JA Jasperse, TNSO</w:t>
            </w:r>
          </w:p>
        </w:tc>
      </w:tr>
      <w:tr w:rsidR="007F00E5" w:rsidRPr="00BE78CA" w14:paraId="1E00C44F" w14:textId="77777777" w:rsidTr="00433EFF">
        <w:tc>
          <w:tcPr>
            <w:tcW w:w="567" w:type="dxa"/>
            <w:shd w:val="clear" w:color="auto" w:fill="FFFFFF"/>
          </w:tcPr>
          <w:p w14:paraId="711AEE7F" w14:textId="77777777" w:rsidR="007F00E5" w:rsidRPr="00BE78CA" w:rsidRDefault="007F00E5" w:rsidP="00C26084">
            <w:pPr>
              <w:pStyle w:val="TableText"/>
              <w:spacing w:before="50"/>
              <w:rPr>
                <w:rFonts w:eastAsia="Calibri" w:cs="Calibri"/>
                <w:b/>
                <w:bCs/>
                <w:szCs w:val="16"/>
              </w:rPr>
            </w:pPr>
            <w:r w:rsidRPr="00BE78CA">
              <w:rPr>
                <w:rFonts w:eastAsia="Calibri" w:cs="Calibri"/>
                <w:b/>
                <w:bCs/>
                <w:szCs w:val="16"/>
              </w:rPr>
              <w:t>10</w:t>
            </w:r>
          </w:p>
        </w:tc>
        <w:tc>
          <w:tcPr>
            <w:tcW w:w="1521" w:type="dxa"/>
            <w:shd w:val="clear" w:color="auto" w:fill="auto"/>
          </w:tcPr>
          <w:p w14:paraId="313C780C" w14:textId="77777777" w:rsidR="007F00E5" w:rsidRPr="00BE78CA" w:rsidRDefault="007F00E5" w:rsidP="00C26084">
            <w:pPr>
              <w:pStyle w:val="TableText"/>
              <w:spacing w:before="50"/>
              <w:rPr>
                <w:rFonts w:eastAsia="Calibri" w:cs="Calibri"/>
                <w:szCs w:val="16"/>
              </w:rPr>
            </w:pPr>
            <w:r w:rsidRPr="00BE78CA">
              <w:rPr>
                <w:rFonts w:eastAsia="Calibri" w:cs="Calibri"/>
                <w:szCs w:val="16"/>
              </w:rPr>
              <w:t>Origin</w:t>
            </w:r>
          </w:p>
        </w:tc>
        <w:tc>
          <w:tcPr>
            <w:tcW w:w="2709" w:type="dxa"/>
            <w:shd w:val="clear" w:color="auto" w:fill="auto"/>
          </w:tcPr>
          <w:p w14:paraId="77D62C36" w14:textId="77777777" w:rsidR="007F00E5" w:rsidRPr="00BE78CA" w:rsidRDefault="007F00E5" w:rsidP="00C26084">
            <w:pPr>
              <w:pStyle w:val="TableText"/>
              <w:spacing w:before="50"/>
              <w:rPr>
                <w:rFonts w:eastAsia="Calibri" w:cs="Calibri"/>
                <w:szCs w:val="16"/>
              </w:rPr>
            </w:pPr>
            <w:r w:rsidRPr="00BE78CA">
              <w:rPr>
                <w:rFonts w:eastAsia="Calibri" w:cs="Calibri"/>
                <w:szCs w:val="16"/>
              </w:rPr>
              <w:t>Origin Energy Samoa Ltd, Apia</w:t>
            </w:r>
          </w:p>
        </w:tc>
        <w:tc>
          <w:tcPr>
            <w:tcW w:w="3708" w:type="dxa"/>
            <w:shd w:val="clear" w:color="auto" w:fill="auto"/>
          </w:tcPr>
          <w:p w14:paraId="6E6B1B3C" w14:textId="77777777" w:rsidR="007F00E5" w:rsidRPr="00BE78CA" w:rsidRDefault="007F00E5" w:rsidP="00C26084">
            <w:pPr>
              <w:pStyle w:val="TableText"/>
              <w:spacing w:before="50"/>
              <w:rPr>
                <w:rFonts w:eastAsia="Calibri" w:cs="Calibri"/>
                <w:szCs w:val="16"/>
              </w:rPr>
            </w:pPr>
            <w:r w:rsidRPr="00BE78CA">
              <w:rPr>
                <w:rFonts w:eastAsia="Calibri" w:cs="Calibri"/>
                <w:szCs w:val="16"/>
              </w:rPr>
              <w:t>Prices and volumes supplied for on-atoll use of propane for cooking</w:t>
            </w:r>
          </w:p>
        </w:tc>
      </w:tr>
      <w:tr w:rsidR="007F00E5" w:rsidRPr="00BE78CA" w14:paraId="48F3242C" w14:textId="77777777" w:rsidTr="00433EFF">
        <w:tc>
          <w:tcPr>
            <w:tcW w:w="567" w:type="dxa"/>
            <w:shd w:val="clear" w:color="auto" w:fill="FFFFFF"/>
          </w:tcPr>
          <w:p w14:paraId="1E77D9C0" w14:textId="77777777" w:rsidR="007F00E5" w:rsidRPr="00BE78CA" w:rsidRDefault="007F00E5" w:rsidP="00C26084">
            <w:pPr>
              <w:pStyle w:val="TableText"/>
              <w:spacing w:before="50"/>
              <w:rPr>
                <w:rFonts w:eastAsia="Calibri" w:cs="Calibri"/>
                <w:b/>
                <w:bCs/>
                <w:szCs w:val="16"/>
              </w:rPr>
            </w:pPr>
            <w:r w:rsidRPr="00BE78CA">
              <w:rPr>
                <w:rFonts w:eastAsia="Calibri" w:cs="Calibri"/>
                <w:b/>
                <w:bCs/>
                <w:szCs w:val="16"/>
              </w:rPr>
              <w:t>11</w:t>
            </w:r>
          </w:p>
        </w:tc>
        <w:tc>
          <w:tcPr>
            <w:tcW w:w="1521" w:type="dxa"/>
            <w:shd w:val="clear" w:color="auto" w:fill="auto"/>
          </w:tcPr>
          <w:p w14:paraId="76E9666D" w14:textId="77777777" w:rsidR="007F00E5" w:rsidRPr="00BE78CA" w:rsidRDefault="007F00E5" w:rsidP="00C26084">
            <w:pPr>
              <w:pStyle w:val="TableText"/>
              <w:spacing w:before="50"/>
              <w:rPr>
                <w:rFonts w:eastAsia="Calibri" w:cs="Calibri"/>
                <w:szCs w:val="16"/>
              </w:rPr>
            </w:pPr>
            <w:r w:rsidRPr="00BE78CA">
              <w:rPr>
                <w:rFonts w:eastAsia="Calibri" w:cs="Calibri"/>
                <w:szCs w:val="16"/>
              </w:rPr>
              <w:t>PCTrade-Green</w:t>
            </w:r>
          </w:p>
        </w:tc>
        <w:tc>
          <w:tcPr>
            <w:tcW w:w="2709" w:type="dxa"/>
            <w:shd w:val="clear" w:color="auto" w:fill="auto"/>
          </w:tcPr>
          <w:p w14:paraId="730B4EF8" w14:textId="77777777" w:rsidR="007F00E5" w:rsidRPr="00BE78CA" w:rsidRDefault="007F00E5" w:rsidP="00C26084">
            <w:pPr>
              <w:pStyle w:val="TableText"/>
              <w:spacing w:before="50"/>
              <w:rPr>
                <w:rFonts w:eastAsia="Calibri" w:cs="Calibri"/>
                <w:szCs w:val="16"/>
              </w:rPr>
            </w:pPr>
            <w:r w:rsidRPr="00BE78CA">
              <w:rPr>
                <w:rFonts w:eastAsia="Calibri" w:cs="Calibri"/>
                <w:szCs w:val="16"/>
              </w:rPr>
              <w:t>Excel version of PCTrade package developed by Stats NZ, Christchurch</w:t>
            </w:r>
          </w:p>
        </w:tc>
        <w:tc>
          <w:tcPr>
            <w:tcW w:w="3708" w:type="dxa"/>
            <w:shd w:val="clear" w:color="auto" w:fill="auto"/>
          </w:tcPr>
          <w:p w14:paraId="13E1652D" w14:textId="77777777" w:rsidR="007F00E5" w:rsidRPr="00BE78CA" w:rsidRDefault="007F00E5" w:rsidP="00C26084">
            <w:pPr>
              <w:pStyle w:val="TableText"/>
              <w:spacing w:before="50"/>
              <w:rPr>
                <w:rFonts w:eastAsia="Calibri" w:cs="Calibri"/>
                <w:szCs w:val="16"/>
              </w:rPr>
            </w:pPr>
            <w:r w:rsidRPr="00BE78CA">
              <w:rPr>
                <w:rFonts w:eastAsia="Calibri" w:cs="Calibri"/>
                <w:szCs w:val="16"/>
              </w:rPr>
              <w:t>Used for analysing cargo shipping manifests, providing number of return voyages Apia–Tokelau over time, imports of goods, and exports of recyclables to date (2014 – June 2019 data available)</w:t>
            </w:r>
          </w:p>
        </w:tc>
      </w:tr>
      <w:tr w:rsidR="007F00E5" w:rsidRPr="00BE78CA" w14:paraId="49A69A67" w14:textId="77777777" w:rsidTr="00433EFF">
        <w:tc>
          <w:tcPr>
            <w:tcW w:w="567" w:type="dxa"/>
            <w:shd w:val="clear" w:color="auto" w:fill="FFFFFF"/>
          </w:tcPr>
          <w:p w14:paraId="32BF87FF" w14:textId="77777777" w:rsidR="007F00E5" w:rsidRPr="00BE78CA" w:rsidRDefault="007F00E5" w:rsidP="00C26084">
            <w:pPr>
              <w:pStyle w:val="TableText"/>
              <w:spacing w:before="50"/>
              <w:rPr>
                <w:rFonts w:eastAsia="Calibri" w:cs="Calibri"/>
                <w:b/>
                <w:bCs/>
                <w:szCs w:val="16"/>
              </w:rPr>
            </w:pPr>
            <w:r w:rsidRPr="00BE78CA">
              <w:rPr>
                <w:rFonts w:eastAsia="Calibri" w:cs="Calibri"/>
                <w:b/>
                <w:bCs/>
                <w:szCs w:val="16"/>
              </w:rPr>
              <w:t>12</w:t>
            </w:r>
          </w:p>
        </w:tc>
        <w:tc>
          <w:tcPr>
            <w:tcW w:w="1521" w:type="dxa"/>
            <w:shd w:val="clear" w:color="auto" w:fill="auto"/>
          </w:tcPr>
          <w:p w14:paraId="78D11D92" w14:textId="77777777" w:rsidR="007F00E5" w:rsidRPr="00BE78CA" w:rsidRDefault="007F00E5" w:rsidP="00C26084">
            <w:pPr>
              <w:pStyle w:val="TableText"/>
              <w:spacing w:before="50"/>
              <w:rPr>
                <w:rFonts w:eastAsia="Calibri" w:cs="Calibri"/>
                <w:szCs w:val="16"/>
              </w:rPr>
            </w:pPr>
            <w:r w:rsidRPr="00BE78CA">
              <w:rPr>
                <w:rFonts w:eastAsia="Calibri" w:cs="Calibri"/>
                <w:szCs w:val="16"/>
              </w:rPr>
              <w:t>DoH</w:t>
            </w:r>
          </w:p>
        </w:tc>
        <w:tc>
          <w:tcPr>
            <w:tcW w:w="2709" w:type="dxa"/>
            <w:shd w:val="clear" w:color="auto" w:fill="auto"/>
          </w:tcPr>
          <w:p w14:paraId="09686560" w14:textId="77777777" w:rsidR="007F00E5" w:rsidRPr="00BE78CA" w:rsidRDefault="007F00E5" w:rsidP="00C26084">
            <w:pPr>
              <w:pStyle w:val="TableText"/>
              <w:spacing w:before="50"/>
              <w:rPr>
                <w:rFonts w:eastAsia="Calibri" w:cs="Calibri"/>
                <w:szCs w:val="16"/>
              </w:rPr>
            </w:pPr>
            <w:r w:rsidRPr="00BE78CA">
              <w:rPr>
                <w:rFonts w:eastAsia="Calibri" w:cs="Calibri"/>
                <w:szCs w:val="16"/>
              </w:rPr>
              <w:t>Tokelau Department of Health</w:t>
            </w:r>
          </w:p>
        </w:tc>
        <w:tc>
          <w:tcPr>
            <w:tcW w:w="3708" w:type="dxa"/>
            <w:shd w:val="clear" w:color="auto" w:fill="auto"/>
          </w:tcPr>
          <w:p w14:paraId="0505C6C1" w14:textId="77777777" w:rsidR="007F00E5" w:rsidRPr="00BE78CA" w:rsidRDefault="007F00E5" w:rsidP="00C26084">
            <w:pPr>
              <w:pStyle w:val="TableText"/>
              <w:spacing w:before="50"/>
              <w:rPr>
                <w:rFonts w:eastAsia="Calibri" w:cs="Calibri"/>
                <w:szCs w:val="16"/>
              </w:rPr>
            </w:pPr>
            <w:r w:rsidRPr="00BE78CA">
              <w:rPr>
                <w:rFonts w:eastAsia="Calibri" w:cs="Calibri"/>
                <w:szCs w:val="16"/>
              </w:rPr>
              <w:t>Anecdotal information on inhalers, laser gas, fire extinguishers</w:t>
            </w:r>
          </w:p>
        </w:tc>
      </w:tr>
      <w:tr w:rsidR="007F00E5" w:rsidRPr="00BE78CA" w14:paraId="4C789ECC" w14:textId="77777777" w:rsidTr="00433EFF">
        <w:tc>
          <w:tcPr>
            <w:tcW w:w="567" w:type="dxa"/>
            <w:shd w:val="clear" w:color="auto" w:fill="FFFFFF"/>
          </w:tcPr>
          <w:p w14:paraId="177E356A" w14:textId="77777777" w:rsidR="007F00E5" w:rsidRPr="00BE78CA" w:rsidRDefault="007F00E5" w:rsidP="00C26084">
            <w:pPr>
              <w:pStyle w:val="TableText"/>
              <w:spacing w:before="50"/>
              <w:rPr>
                <w:rFonts w:eastAsia="Calibri" w:cs="Calibri"/>
                <w:b/>
                <w:bCs/>
                <w:szCs w:val="16"/>
              </w:rPr>
            </w:pPr>
            <w:r w:rsidRPr="00BE78CA">
              <w:rPr>
                <w:rFonts w:eastAsia="Calibri" w:cs="Calibri"/>
                <w:b/>
                <w:bCs/>
                <w:szCs w:val="16"/>
              </w:rPr>
              <w:t>13</w:t>
            </w:r>
          </w:p>
        </w:tc>
        <w:tc>
          <w:tcPr>
            <w:tcW w:w="1521" w:type="dxa"/>
            <w:shd w:val="clear" w:color="auto" w:fill="auto"/>
          </w:tcPr>
          <w:p w14:paraId="5FD3EEBC" w14:textId="77777777" w:rsidR="007F00E5" w:rsidRPr="00BE78CA" w:rsidRDefault="007F00E5" w:rsidP="00C26084">
            <w:pPr>
              <w:pStyle w:val="TableText"/>
              <w:spacing w:before="50"/>
              <w:rPr>
                <w:rFonts w:eastAsia="Calibri" w:cs="Calibri"/>
                <w:szCs w:val="16"/>
              </w:rPr>
            </w:pPr>
            <w:r w:rsidRPr="00BE78CA">
              <w:rPr>
                <w:rFonts w:eastAsia="Calibri" w:cs="Calibri"/>
                <w:szCs w:val="16"/>
              </w:rPr>
              <w:t>TSS</w:t>
            </w:r>
          </w:p>
        </w:tc>
        <w:tc>
          <w:tcPr>
            <w:tcW w:w="2709" w:type="dxa"/>
            <w:shd w:val="clear" w:color="auto" w:fill="auto"/>
          </w:tcPr>
          <w:p w14:paraId="607A8A39" w14:textId="77777777" w:rsidR="007F00E5" w:rsidRPr="00BE78CA" w:rsidRDefault="007F00E5" w:rsidP="00C26084">
            <w:pPr>
              <w:pStyle w:val="TableText"/>
              <w:spacing w:before="50"/>
              <w:rPr>
                <w:rFonts w:eastAsia="Calibri" w:cs="Calibri"/>
                <w:szCs w:val="16"/>
              </w:rPr>
            </w:pPr>
            <w:r w:rsidRPr="00BE78CA">
              <w:rPr>
                <w:rFonts w:eastAsia="Calibri" w:cs="Calibri"/>
                <w:szCs w:val="16"/>
              </w:rPr>
              <w:t>Tokelau Department of Transport and Support Services, Apia</w:t>
            </w:r>
          </w:p>
        </w:tc>
        <w:tc>
          <w:tcPr>
            <w:tcW w:w="3708" w:type="dxa"/>
            <w:shd w:val="clear" w:color="auto" w:fill="auto"/>
          </w:tcPr>
          <w:p w14:paraId="58158413" w14:textId="77777777" w:rsidR="007F00E5" w:rsidRPr="00BE78CA" w:rsidRDefault="007F00E5" w:rsidP="00C26084">
            <w:pPr>
              <w:pStyle w:val="TableText"/>
              <w:spacing w:before="50"/>
              <w:rPr>
                <w:rFonts w:eastAsia="Calibri" w:cs="Calibri"/>
                <w:szCs w:val="16"/>
              </w:rPr>
            </w:pPr>
            <w:r w:rsidRPr="00BE78CA">
              <w:rPr>
                <w:rFonts w:eastAsia="Calibri" w:cs="Calibri"/>
                <w:szCs w:val="16"/>
              </w:rPr>
              <w:t>Cargo shipping manifests for analysis of imports of all goods, and export of recyclables</w:t>
            </w:r>
          </w:p>
        </w:tc>
      </w:tr>
      <w:tr w:rsidR="007F00E5" w:rsidRPr="00BE78CA" w14:paraId="3D34206E" w14:textId="77777777" w:rsidTr="00433EFF">
        <w:tc>
          <w:tcPr>
            <w:tcW w:w="567" w:type="dxa"/>
            <w:shd w:val="clear" w:color="auto" w:fill="FFFFFF"/>
          </w:tcPr>
          <w:p w14:paraId="4A70E667" w14:textId="77777777" w:rsidR="007F00E5" w:rsidRPr="00BE78CA" w:rsidRDefault="007F00E5" w:rsidP="00C26084">
            <w:pPr>
              <w:pStyle w:val="TableTextBold"/>
              <w:spacing w:before="50"/>
              <w:rPr>
                <w:rFonts w:eastAsia="Calibri"/>
                <w:noProof w:val="0"/>
              </w:rPr>
            </w:pPr>
            <w:r w:rsidRPr="00BE78CA">
              <w:rPr>
                <w:rFonts w:eastAsia="Calibri"/>
                <w:noProof w:val="0"/>
              </w:rPr>
              <w:t>14</w:t>
            </w:r>
          </w:p>
        </w:tc>
        <w:tc>
          <w:tcPr>
            <w:tcW w:w="1521" w:type="dxa"/>
            <w:shd w:val="clear" w:color="auto" w:fill="auto"/>
          </w:tcPr>
          <w:p w14:paraId="6843E5A4" w14:textId="77777777" w:rsidR="007F00E5" w:rsidRPr="00BE78CA" w:rsidRDefault="007F00E5" w:rsidP="00C26084">
            <w:pPr>
              <w:pStyle w:val="TableText"/>
              <w:keepNext/>
              <w:spacing w:before="50"/>
              <w:rPr>
                <w:rFonts w:eastAsia="Calibri" w:cs="Calibri"/>
                <w:szCs w:val="16"/>
              </w:rPr>
            </w:pPr>
            <w:r w:rsidRPr="00BE78CA">
              <w:rPr>
                <w:rFonts w:eastAsia="Calibri" w:cs="Calibri"/>
                <w:szCs w:val="16"/>
              </w:rPr>
              <w:t>2014 Imports study</w:t>
            </w:r>
          </w:p>
        </w:tc>
        <w:tc>
          <w:tcPr>
            <w:tcW w:w="2709" w:type="dxa"/>
            <w:shd w:val="clear" w:color="auto" w:fill="auto"/>
          </w:tcPr>
          <w:p w14:paraId="0FCDB7D2" w14:textId="77777777" w:rsidR="007F00E5" w:rsidRPr="00BE78CA" w:rsidRDefault="007F00E5" w:rsidP="00C26084">
            <w:pPr>
              <w:pStyle w:val="TableText"/>
              <w:keepNext/>
              <w:spacing w:before="50"/>
              <w:rPr>
                <w:rFonts w:eastAsia="Calibri" w:cs="Calibri"/>
                <w:szCs w:val="16"/>
              </w:rPr>
            </w:pPr>
            <w:r w:rsidRPr="00BE78CA">
              <w:rPr>
                <w:rFonts w:eastAsia="Calibri" w:cs="Calibri"/>
                <w:szCs w:val="16"/>
              </w:rPr>
              <w:t>Jasperse</w:t>
            </w:r>
            <w:r w:rsidRPr="00BE78CA">
              <w:rPr>
                <w:rFonts w:eastAsia="Calibri" w:cs="Calibri"/>
                <w:i/>
                <w:iCs/>
                <w:szCs w:val="16"/>
              </w:rPr>
              <w:t xml:space="preserve"> </w:t>
            </w:r>
            <w:r w:rsidRPr="00BE78CA">
              <w:rPr>
                <w:rFonts w:eastAsia="Calibri" w:cs="Calibri"/>
                <w:szCs w:val="16"/>
              </w:rPr>
              <w:t xml:space="preserve">JA. 2016. </w:t>
            </w:r>
            <w:r w:rsidRPr="00BE78CA">
              <w:rPr>
                <w:rFonts w:eastAsia="Calibri" w:cs="Calibri"/>
                <w:i/>
                <w:iCs/>
                <w:szCs w:val="16"/>
              </w:rPr>
              <w:t xml:space="preserve">Analysis of 2014 imports into Tokelau from Samoa, Part 2: Stores’ invoices reconciled with cargo manifests, and quality of life </w:t>
            </w:r>
            <w:r w:rsidRPr="00BE78CA">
              <w:rPr>
                <w:rFonts w:eastAsia="Calibri" w:cs="Calibri"/>
                <w:i/>
                <w:iCs/>
                <w:szCs w:val="16"/>
              </w:rPr>
              <w:lastRenderedPageBreak/>
              <w:t>implications</w:t>
            </w:r>
            <w:r w:rsidRPr="00BE78CA">
              <w:rPr>
                <w:rFonts w:eastAsia="Calibri" w:cs="Calibri"/>
                <w:szCs w:val="16"/>
              </w:rPr>
              <w:t xml:space="preserve">, Tokelau National Statistics Office </w:t>
            </w:r>
          </w:p>
        </w:tc>
        <w:tc>
          <w:tcPr>
            <w:tcW w:w="3708" w:type="dxa"/>
            <w:shd w:val="clear" w:color="auto" w:fill="auto"/>
          </w:tcPr>
          <w:p w14:paraId="6211B4B3" w14:textId="77777777" w:rsidR="007F00E5" w:rsidRPr="00BE78CA" w:rsidRDefault="007F00E5" w:rsidP="00C26084">
            <w:pPr>
              <w:pStyle w:val="TableText"/>
              <w:keepNext/>
              <w:spacing w:before="50" w:after="0"/>
              <w:rPr>
                <w:rFonts w:eastAsia="Calibri" w:cs="Calibri"/>
                <w:szCs w:val="16"/>
              </w:rPr>
            </w:pPr>
            <w:r w:rsidRPr="00BE78CA">
              <w:rPr>
                <w:rFonts w:eastAsia="Calibri" w:cs="Calibri"/>
                <w:szCs w:val="16"/>
              </w:rPr>
              <w:lastRenderedPageBreak/>
              <w:t>Various Energy and Waste sector data, for example, calculation of per capita protein consumption</w:t>
            </w:r>
          </w:p>
          <w:p w14:paraId="5C4E26D2" w14:textId="77777777" w:rsidR="007F00E5" w:rsidRPr="00BE78CA" w:rsidRDefault="00087879" w:rsidP="00C26084">
            <w:pPr>
              <w:pStyle w:val="TableText"/>
              <w:keepNext/>
              <w:spacing w:before="50"/>
              <w:rPr>
                <w:rFonts w:eastAsia="Calibri" w:cs="Calibri"/>
                <w:szCs w:val="16"/>
              </w:rPr>
            </w:pPr>
            <w:hyperlink r:id="rId255" w:history="1">
              <w:r w:rsidR="007F00E5" w:rsidRPr="00BE78CA">
                <w:rPr>
                  <w:rStyle w:val="Hyperlink"/>
                  <w:rFonts w:eastAsia="Calibri" w:cs="Calibri"/>
                  <w:color w:val="auto"/>
                  <w:szCs w:val="16"/>
                </w:rPr>
                <w:t>www.tokelau.org.nz/Bulletin/September+2016/2014+imports+final.html</w:t>
              </w:r>
            </w:hyperlink>
          </w:p>
        </w:tc>
      </w:tr>
      <w:tr w:rsidR="007F00E5" w:rsidRPr="00BE78CA" w14:paraId="273CFB2F" w14:textId="77777777" w:rsidTr="00433EFF">
        <w:tc>
          <w:tcPr>
            <w:tcW w:w="567" w:type="dxa"/>
            <w:shd w:val="clear" w:color="auto" w:fill="FFFFFF"/>
          </w:tcPr>
          <w:p w14:paraId="13CCE325" w14:textId="77777777" w:rsidR="007F00E5" w:rsidRPr="00BE78CA" w:rsidRDefault="007F00E5" w:rsidP="00C26084">
            <w:pPr>
              <w:pStyle w:val="TableText"/>
              <w:spacing w:before="50"/>
              <w:rPr>
                <w:rFonts w:eastAsia="Calibri" w:cs="Calibri"/>
                <w:b/>
                <w:bCs/>
                <w:szCs w:val="16"/>
              </w:rPr>
            </w:pPr>
            <w:r w:rsidRPr="00BE78CA">
              <w:rPr>
                <w:rFonts w:eastAsia="Calibri" w:cs="Calibri"/>
                <w:b/>
                <w:bCs/>
                <w:szCs w:val="16"/>
              </w:rPr>
              <w:t>15</w:t>
            </w:r>
          </w:p>
        </w:tc>
        <w:tc>
          <w:tcPr>
            <w:tcW w:w="1521" w:type="dxa"/>
            <w:shd w:val="clear" w:color="auto" w:fill="auto"/>
          </w:tcPr>
          <w:p w14:paraId="3632CB59" w14:textId="77777777" w:rsidR="007F00E5" w:rsidRPr="00BE78CA" w:rsidRDefault="007F00E5" w:rsidP="00C26084">
            <w:pPr>
              <w:pStyle w:val="TableText"/>
              <w:spacing w:before="50"/>
              <w:rPr>
                <w:rFonts w:eastAsia="Calibri" w:cs="Calibri"/>
                <w:szCs w:val="16"/>
              </w:rPr>
            </w:pPr>
            <w:r w:rsidRPr="00BE78CA">
              <w:rPr>
                <w:rFonts w:eastAsia="Calibri" w:cs="Calibri"/>
                <w:szCs w:val="16"/>
              </w:rPr>
              <w:t>EDNRE</w:t>
            </w:r>
          </w:p>
        </w:tc>
        <w:tc>
          <w:tcPr>
            <w:tcW w:w="2709" w:type="dxa"/>
            <w:shd w:val="clear" w:color="auto" w:fill="auto"/>
          </w:tcPr>
          <w:p w14:paraId="55AFE50E" w14:textId="77777777" w:rsidR="007F00E5" w:rsidRPr="00BE78CA" w:rsidRDefault="007F00E5" w:rsidP="00C26084">
            <w:pPr>
              <w:pStyle w:val="TableText"/>
              <w:spacing w:before="50"/>
              <w:rPr>
                <w:rFonts w:eastAsia="Calibri" w:cs="Calibri"/>
                <w:szCs w:val="16"/>
              </w:rPr>
            </w:pPr>
            <w:r w:rsidRPr="00BE78CA">
              <w:rPr>
                <w:rFonts w:eastAsia="Calibri" w:cs="Calibri"/>
                <w:szCs w:val="16"/>
              </w:rPr>
              <w:t>Tokelau Department of Economic Development, Natural Resources and Environment</w:t>
            </w:r>
          </w:p>
        </w:tc>
        <w:tc>
          <w:tcPr>
            <w:tcW w:w="3708" w:type="dxa"/>
            <w:shd w:val="clear" w:color="auto" w:fill="auto"/>
          </w:tcPr>
          <w:p w14:paraId="57F32E1D" w14:textId="77777777" w:rsidR="007F00E5" w:rsidRPr="00BE78CA" w:rsidRDefault="007F00E5" w:rsidP="00C26084">
            <w:pPr>
              <w:pStyle w:val="TableText"/>
              <w:spacing w:before="50"/>
              <w:rPr>
                <w:rFonts w:eastAsia="Calibri" w:cs="Calibri"/>
                <w:szCs w:val="16"/>
              </w:rPr>
            </w:pPr>
            <w:r w:rsidRPr="00BE78CA">
              <w:rPr>
                <w:rFonts w:eastAsia="Calibri" w:cs="Calibri"/>
                <w:szCs w:val="16"/>
              </w:rPr>
              <w:t>Anecdotal information on waste disposal and export</w:t>
            </w:r>
          </w:p>
        </w:tc>
      </w:tr>
      <w:tr w:rsidR="007F00E5" w:rsidRPr="00BE78CA" w14:paraId="38EC0F58" w14:textId="77777777" w:rsidTr="00433EFF">
        <w:tc>
          <w:tcPr>
            <w:tcW w:w="567" w:type="dxa"/>
            <w:shd w:val="clear" w:color="auto" w:fill="FFFFFF"/>
          </w:tcPr>
          <w:p w14:paraId="697CFC15" w14:textId="77777777" w:rsidR="007F00E5" w:rsidRPr="00BE78CA" w:rsidRDefault="007F00E5" w:rsidP="00C26084">
            <w:pPr>
              <w:pStyle w:val="TableText"/>
              <w:spacing w:before="50"/>
              <w:rPr>
                <w:rFonts w:eastAsia="Calibri" w:cs="Calibri"/>
                <w:b/>
                <w:bCs/>
                <w:szCs w:val="16"/>
              </w:rPr>
            </w:pPr>
            <w:r w:rsidRPr="00BE78CA">
              <w:rPr>
                <w:rFonts w:eastAsia="Calibri" w:cs="Calibri"/>
                <w:b/>
                <w:bCs/>
                <w:szCs w:val="16"/>
              </w:rPr>
              <w:t>16</w:t>
            </w:r>
          </w:p>
        </w:tc>
        <w:tc>
          <w:tcPr>
            <w:tcW w:w="1521" w:type="dxa"/>
            <w:shd w:val="clear" w:color="auto" w:fill="auto"/>
          </w:tcPr>
          <w:p w14:paraId="7ADFB2CD" w14:textId="77777777" w:rsidR="007F00E5" w:rsidRPr="00BE78CA" w:rsidRDefault="007F00E5" w:rsidP="00C26084">
            <w:pPr>
              <w:pStyle w:val="TableText"/>
              <w:spacing w:before="50"/>
              <w:rPr>
                <w:rFonts w:eastAsia="Calibri" w:cs="Calibri"/>
                <w:szCs w:val="16"/>
              </w:rPr>
            </w:pPr>
            <w:r w:rsidRPr="00BE78CA">
              <w:rPr>
                <w:rFonts w:eastAsia="Calibri" w:cs="Calibri"/>
                <w:szCs w:val="16"/>
              </w:rPr>
              <w:t>PCRAFI</w:t>
            </w:r>
          </w:p>
        </w:tc>
        <w:tc>
          <w:tcPr>
            <w:tcW w:w="2709" w:type="dxa"/>
            <w:shd w:val="clear" w:color="auto" w:fill="auto"/>
          </w:tcPr>
          <w:p w14:paraId="72DB685E" w14:textId="77777777" w:rsidR="007F00E5" w:rsidRPr="00BE78CA" w:rsidRDefault="007F00E5" w:rsidP="00C26084">
            <w:pPr>
              <w:pStyle w:val="TableText"/>
              <w:spacing w:before="50"/>
              <w:rPr>
                <w:rFonts w:eastAsia="Calibri" w:cs="Calibri"/>
                <w:szCs w:val="16"/>
              </w:rPr>
            </w:pPr>
            <w:r w:rsidRPr="00BE78CA">
              <w:rPr>
                <w:rFonts w:eastAsia="Calibri" w:cs="Calibri"/>
                <w:szCs w:val="16"/>
              </w:rPr>
              <w:t xml:space="preserve">Koroisamanunu, Iva; Joy Papao; Mereoni Ketewai; and Arieta Sokota: </w:t>
            </w:r>
            <w:r w:rsidRPr="00BE78CA">
              <w:rPr>
                <w:rFonts w:eastAsia="Calibri" w:cs="Calibri"/>
                <w:i/>
                <w:iCs/>
                <w:szCs w:val="16"/>
              </w:rPr>
              <w:t>Mission Preliminary Report (Fieldwork undertaken from 8 August – 2 September 2013). SOPAC technical note (PR193)</w:t>
            </w:r>
            <w:r w:rsidRPr="00BE78CA">
              <w:rPr>
                <w:rFonts w:eastAsia="Calibri" w:cs="Calibri"/>
                <w:szCs w:val="16"/>
              </w:rPr>
              <w:t>, May 2014. Water and Sanitation Programme and Disaster Reduction Programme. Applied Geoscience and Technology Division (SOPAC), Suva, Fiji Islands</w:t>
            </w:r>
          </w:p>
        </w:tc>
        <w:tc>
          <w:tcPr>
            <w:tcW w:w="3708" w:type="dxa"/>
            <w:shd w:val="clear" w:color="auto" w:fill="auto"/>
          </w:tcPr>
          <w:p w14:paraId="663FCEC3" w14:textId="77777777" w:rsidR="007F00E5" w:rsidRPr="00BE78CA" w:rsidRDefault="007F00E5" w:rsidP="00C26084">
            <w:pPr>
              <w:pStyle w:val="TableText"/>
              <w:spacing w:before="50"/>
              <w:rPr>
                <w:rFonts w:eastAsia="Calibri" w:cs="Calibri"/>
                <w:szCs w:val="16"/>
              </w:rPr>
            </w:pPr>
            <w:r w:rsidRPr="00BE78CA">
              <w:rPr>
                <w:rFonts w:eastAsia="Calibri" w:cs="Calibri"/>
                <w:szCs w:val="16"/>
              </w:rPr>
              <w:t>Information on drinking water, wastewater and sanitation</w:t>
            </w:r>
          </w:p>
        </w:tc>
      </w:tr>
      <w:tr w:rsidR="007F00E5" w:rsidRPr="00BE78CA" w14:paraId="110501D1" w14:textId="77777777" w:rsidTr="00433EFF">
        <w:tc>
          <w:tcPr>
            <w:tcW w:w="567" w:type="dxa"/>
            <w:shd w:val="clear" w:color="auto" w:fill="FFFFFF"/>
          </w:tcPr>
          <w:p w14:paraId="53156A26" w14:textId="77777777" w:rsidR="007F00E5" w:rsidRPr="00BE78CA" w:rsidRDefault="007F00E5" w:rsidP="00C26084">
            <w:pPr>
              <w:pStyle w:val="TableText"/>
              <w:spacing w:before="50"/>
              <w:rPr>
                <w:rFonts w:eastAsia="Calibri" w:cs="Calibri"/>
                <w:b/>
                <w:bCs/>
                <w:szCs w:val="16"/>
              </w:rPr>
            </w:pPr>
            <w:r w:rsidRPr="00BE78CA">
              <w:rPr>
                <w:rFonts w:eastAsia="Calibri" w:cs="Calibri"/>
                <w:b/>
                <w:bCs/>
                <w:szCs w:val="16"/>
              </w:rPr>
              <w:t>17</w:t>
            </w:r>
          </w:p>
        </w:tc>
        <w:tc>
          <w:tcPr>
            <w:tcW w:w="1521" w:type="dxa"/>
            <w:shd w:val="clear" w:color="auto" w:fill="auto"/>
          </w:tcPr>
          <w:p w14:paraId="77962312" w14:textId="77777777" w:rsidR="007F00E5" w:rsidRPr="00BE78CA" w:rsidRDefault="007F00E5" w:rsidP="00C26084">
            <w:pPr>
              <w:pStyle w:val="TableText"/>
              <w:spacing w:before="50"/>
              <w:rPr>
                <w:rFonts w:eastAsia="Calibri" w:cs="Calibri"/>
                <w:szCs w:val="16"/>
              </w:rPr>
            </w:pPr>
            <w:r w:rsidRPr="00BE78CA">
              <w:rPr>
                <w:rFonts w:eastAsia="Calibri" w:cs="Calibri"/>
                <w:szCs w:val="16"/>
              </w:rPr>
              <w:t>MiCORE</w:t>
            </w:r>
          </w:p>
        </w:tc>
        <w:tc>
          <w:tcPr>
            <w:tcW w:w="2709" w:type="dxa"/>
            <w:shd w:val="clear" w:color="auto" w:fill="auto"/>
          </w:tcPr>
          <w:p w14:paraId="55CC5FA0" w14:textId="77777777" w:rsidR="007F00E5" w:rsidRPr="00BE78CA" w:rsidRDefault="007F00E5" w:rsidP="00C26084">
            <w:pPr>
              <w:pStyle w:val="TableText"/>
              <w:spacing w:before="50"/>
              <w:rPr>
                <w:rFonts w:eastAsia="Calibri" w:cs="Calibri"/>
                <w:szCs w:val="16"/>
              </w:rPr>
            </w:pPr>
            <w:r w:rsidRPr="00BE78CA">
              <w:rPr>
                <w:rFonts w:eastAsia="Calibri" w:cs="Calibri"/>
                <w:szCs w:val="16"/>
              </w:rPr>
              <w:t>Tokelau Ministry of Climate, Oceans and Resilience</w:t>
            </w:r>
          </w:p>
        </w:tc>
        <w:tc>
          <w:tcPr>
            <w:tcW w:w="3708" w:type="dxa"/>
            <w:shd w:val="clear" w:color="auto" w:fill="auto"/>
          </w:tcPr>
          <w:p w14:paraId="1C7D6128" w14:textId="77777777" w:rsidR="007F00E5" w:rsidRPr="00BE78CA" w:rsidRDefault="007F00E5" w:rsidP="00C26084">
            <w:pPr>
              <w:pStyle w:val="TableText"/>
              <w:spacing w:before="50"/>
              <w:rPr>
                <w:rFonts w:eastAsia="Calibri" w:cs="Calibri"/>
                <w:szCs w:val="16"/>
              </w:rPr>
            </w:pPr>
            <w:r w:rsidRPr="00BE78CA">
              <w:rPr>
                <w:rFonts w:eastAsia="Calibri" w:cs="Calibri"/>
                <w:szCs w:val="16"/>
              </w:rPr>
              <w:t>Partner to Memorandum of Understanding with New Zealand Ministry for the Environment leading to the present inventory</w:t>
            </w:r>
          </w:p>
        </w:tc>
      </w:tr>
    </w:tbl>
    <w:p w14:paraId="082370F1" w14:textId="77777777" w:rsidR="007F00E5" w:rsidRPr="00BE78CA" w:rsidRDefault="007F00E5" w:rsidP="007F00E5">
      <w:pPr>
        <w:pStyle w:val="Heading5"/>
        <w:spacing w:before="360"/>
      </w:pPr>
      <w:r w:rsidRPr="00BE78CA">
        <w:t>Tokelau’s data and information in the Common Reporting Format Reporter</w:t>
      </w:r>
    </w:p>
    <w:p w14:paraId="52B08200" w14:textId="77777777" w:rsidR="007F00E5" w:rsidRPr="00BE78CA" w:rsidRDefault="007F00E5" w:rsidP="007F00E5">
      <w:pPr>
        <w:pStyle w:val="BodyText"/>
      </w:pPr>
      <w:r w:rsidRPr="00BE78CA">
        <w:t xml:space="preserve">Because methodologies for estimating emissions in Tokelau and New Zealand differ, adding Tokelau and New Zealand’s activity data at a category level and estimating combined emissions within each category is currently not possible. Due to limitations of the CRF software, including specific categories for Tokelau consistently across all inventory sectors is also not possible. </w:t>
      </w:r>
    </w:p>
    <w:p w14:paraId="58781988" w14:textId="77777777" w:rsidR="007F00E5" w:rsidRPr="00BE78CA" w:rsidRDefault="007F00E5" w:rsidP="007F00E5">
      <w:pPr>
        <w:pStyle w:val="BodyText"/>
      </w:pPr>
      <w:r w:rsidRPr="00BE78CA">
        <w:t xml:space="preserve">Tokelau requested New Zealand’s inventory team to maintain visibility of the data from Tokelau in the CRF, so that Tokelau officials could use them for other reporting and policy purposes. Reporting Tokelau as a different inventory sector provides this visibility. </w:t>
      </w:r>
    </w:p>
    <w:p w14:paraId="127866F4" w14:textId="77777777" w:rsidR="007F00E5" w:rsidRPr="00BE78CA" w:rsidRDefault="007F00E5" w:rsidP="007F00E5">
      <w:pPr>
        <w:pStyle w:val="BodyText"/>
      </w:pPr>
      <w:r w:rsidRPr="00BE78CA">
        <w:t xml:space="preserve">To maintain transparency of the inventory and visibility of the GHG data from Tokelau, CRF sector 6 (Other) was used to present emissions from Tokelau by sector in the CRF. Currently, the CRF Reporter does not allow creating subcategory levels in sector 6. To avoid double counting in the CRF, the data and information are aggregated for each of the Energy, IPPU, Agriculture and Waste sectors. In addition, annex 7 includes detailed tables with time series from 1990 to 2019 for each category reported for Tokelau. For comparability reasons, these tables are in the same format as the CRF entry tables, and the table names follow the CRF naming convention for emission categories. The executive summary and chapter 2 of the National Inventory Report include comparisons between Tokelau and New Zealand’s emissions. </w:t>
      </w:r>
    </w:p>
    <w:p w14:paraId="30124B60" w14:textId="77777777" w:rsidR="007F00E5" w:rsidRPr="00BE78CA" w:rsidRDefault="007F00E5" w:rsidP="007F00E5">
      <w:pPr>
        <w:pStyle w:val="Heading3"/>
        <w:spacing w:before="280"/>
      </w:pPr>
      <w:r w:rsidRPr="00BE78CA">
        <w:t>8.1.4</w:t>
      </w:r>
      <w:r w:rsidRPr="00BE78CA">
        <w:tab/>
        <w:t>Recalculation and improvements</w:t>
      </w:r>
    </w:p>
    <w:p w14:paraId="48E26636" w14:textId="77777777" w:rsidR="007F00E5" w:rsidRPr="00BE78CA" w:rsidRDefault="007F00E5" w:rsidP="007F00E5">
      <w:pPr>
        <w:pStyle w:val="BodyText"/>
        <w:rPr>
          <w:lang w:eastAsia="en-GB"/>
        </w:rPr>
      </w:pPr>
      <w:r w:rsidRPr="00BE78CA">
        <w:rPr>
          <w:lang w:eastAsia="en-GB"/>
        </w:rPr>
        <w:t xml:space="preserve">There has been one minor recalculation in the Tokelau emission estimates since the 2020 submission. </w:t>
      </w:r>
      <w:r w:rsidRPr="00BE78CA">
        <w:rPr>
          <w:rFonts w:eastAsia="Arial"/>
        </w:rPr>
        <w:t>The recalculation made for the Tokelau sector has resulted in no change in emissions in 1990 and a 0.6 per cent (0.02 kt CO</w:t>
      </w:r>
      <w:r w:rsidRPr="00BE78CA">
        <w:rPr>
          <w:rFonts w:eastAsia="Arial"/>
          <w:vertAlign w:val="subscript"/>
        </w:rPr>
        <w:t>2</w:t>
      </w:r>
      <w:r w:rsidRPr="00BE78CA">
        <w:rPr>
          <w:rFonts w:eastAsia="Arial"/>
        </w:rPr>
        <w:t xml:space="preserve">-e) increase in emissions in 2018. </w:t>
      </w:r>
      <w:r w:rsidRPr="00BE78CA">
        <w:rPr>
          <w:lang w:eastAsia="en-GB"/>
        </w:rPr>
        <w:t xml:space="preserve">This is a result of re-interpolating diesel used for electricity generation in 2016 to 2018 using the latest activity data for 2019. </w:t>
      </w:r>
    </w:p>
    <w:p w14:paraId="3077F245" w14:textId="77777777" w:rsidR="007F00E5" w:rsidRPr="00BE78CA" w:rsidRDefault="007F00E5" w:rsidP="007F00E5">
      <w:pPr>
        <w:pStyle w:val="Heading2"/>
        <w:spacing w:before="280"/>
      </w:pPr>
      <w:bookmarkStart w:id="3208" w:name="_Toc5269394"/>
      <w:bookmarkStart w:id="3209" w:name="_Toc36224434"/>
      <w:bookmarkStart w:id="3210" w:name="_Toc68786354"/>
      <w:r w:rsidRPr="00BE78CA">
        <w:t xml:space="preserve">8.2 </w:t>
      </w:r>
      <w:r w:rsidRPr="00BE78CA">
        <w:tab/>
        <w:t>Energy emissions from Tokelau (CRF 6. Tokelau_1)</w:t>
      </w:r>
      <w:bookmarkEnd w:id="3208"/>
      <w:bookmarkEnd w:id="3209"/>
      <w:bookmarkEnd w:id="3210"/>
    </w:p>
    <w:p w14:paraId="049613F1" w14:textId="77777777" w:rsidR="007F00E5" w:rsidRPr="00BE78CA" w:rsidRDefault="007F00E5" w:rsidP="007F00E5">
      <w:pPr>
        <w:pStyle w:val="BodyText"/>
      </w:pPr>
      <w:r w:rsidRPr="00BE78CA">
        <w:t>The total amount of all energy emissions in Tokelau in 2019 was 2.53 kt CO</w:t>
      </w:r>
      <w:r w:rsidRPr="00BE78CA">
        <w:rPr>
          <w:vertAlign w:val="subscript"/>
        </w:rPr>
        <w:t>2</w:t>
      </w:r>
      <w:r w:rsidRPr="00BE78CA">
        <w:t xml:space="preserve">-e. This contributed 58.8 per cent to the total emissions from Tokelau and 0.0031 per cent to </w:t>
      </w:r>
      <w:r w:rsidRPr="00BE78CA">
        <w:lastRenderedPageBreak/>
        <w:t xml:space="preserve">New Zealand’s gross emissions including Tokelau. The categories that contributed to the energy emissions were </w:t>
      </w:r>
      <w:r w:rsidRPr="00BE78CA">
        <w:rPr>
          <w:i/>
        </w:rPr>
        <w:t>Domestic navigation</w:t>
      </w:r>
      <w:r w:rsidRPr="00BE78CA">
        <w:t>,</w:t>
      </w:r>
      <w:r w:rsidRPr="00BE78CA">
        <w:rPr>
          <w:i/>
        </w:rPr>
        <w:t xml:space="preserve"> Public electricity and heat production </w:t>
      </w:r>
      <w:r w:rsidRPr="00BE78CA">
        <w:t>and</w:t>
      </w:r>
      <w:r w:rsidRPr="00BE78CA">
        <w:rPr>
          <w:iCs/>
        </w:rPr>
        <w:t> </w:t>
      </w:r>
      <w:r w:rsidRPr="00BE78CA">
        <w:rPr>
          <w:i/>
        </w:rPr>
        <w:t>Other – Residential</w:t>
      </w:r>
      <w:r w:rsidRPr="00BE78CA">
        <w:t>.</w:t>
      </w:r>
    </w:p>
    <w:p w14:paraId="0C87B3FC" w14:textId="77777777" w:rsidR="007F00E5" w:rsidRPr="00BE78CA" w:rsidRDefault="007F00E5" w:rsidP="007F00E5">
      <w:pPr>
        <w:pStyle w:val="BodyText"/>
      </w:pPr>
      <w:r w:rsidRPr="00BE78CA">
        <w:t xml:space="preserve">For all energy categories, emissions were estimated using the Tier 1 methodological approach with default emission factors (2006 IPCC Guidelines). Default uncertainty values from the 2006 IPCC Guidelines were used for all estimates (IPCC, 2006a). </w:t>
      </w:r>
    </w:p>
    <w:p w14:paraId="4D107D33" w14:textId="77777777" w:rsidR="007F00E5" w:rsidRPr="00BE78CA" w:rsidRDefault="007F00E5" w:rsidP="007F00E5">
      <w:pPr>
        <w:pStyle w:val="BodyText"/>
      </w:pPr>
      <w:r w:rsidRPr="00BE78CA">
        <w:rPr>
          <w:lang w:eastAsia="en-GB"/>
        </w:rPr>
        <w:t xml:space="preserve">Tokelau predominately uses diesel oil and petrol (for back-up generators and transport) and liquefied petroleum gas (LPG) (for cooking purposes). Solid fuels are not used in Tokelau, other than on a small scale, and are not estimated, for instance the husks of </w:t>
      </w:r>
      <w:r w:rsidRPr="00BE78CA">
        <w:t>locally</w:t>
      </w:r>
      <w:r w:rsidRPr="00BE78CA">
        <w:rPr>
          <w:lang w:eastAsia="en-GB"/>
        </w:rPr>
        <w:t xml:space="preserve"> grown coconuts. </w:t>
      </w:r>
    </w:p>
    <w:p w14:paraId="0C9FDF47" w14:textId="77777777" w:rsidR="007F00E5" w:rsidRPr="00BE78CA" w:rsidRDefault="007F00E5" w:rsidP="007F00E5">
      <w:pPr>
        <w:pStyle w:val="BodyText"/>
        <w:rPr>
          <w:lang w:eastAsia="en-GB"/>
        </w:rPr>
      </w:pPr>
      <w:r w:rsidRPr="00BE78CA">
        <w:rPr>
          <w:lang w:eastAsia="en-GB"/>
        </w:rPr>
        <w:t xml:space="preserve">Miniscule amounts of other fossil fuels are imported by Tokelau, which are assumed to be combusted. These include gasoline, other kerosene and lubricants: their combustion is accounted for under </w:t>
      </w:r>
      <w:r w:rsidRPr="00BE78CA">
        <w:rPr>
          <w:i/>
          <w:lang w:eastAsia="en-GB"/>
        </w:rPr>
        <w:t>Gas/diesel oil</w:t>
      </w:r>
      <w:r w:rsidRPr="00BE78CA">
        <w:rPr>
          <w:lang w:eastAsia="en-GB"/>
        </w:rPr>
        <w:t xml:space="preserve">. Approximately 40 drums (205-litre capacity per drum) of oil are imported annually, the bulk of which is presumably mixed with petrol and used for ‘outboard’ engines and combusted, with only a few drums used to lubricate cars and other engines. Because none of those are recycled, combustion is the most likely outcome. Oil changes carried out in Apia during servicing of the ferries </w:t>
      </w:r>
      <w:r w:rsidRPr="00BE78CA">
        <w:rPr>
          <w:i/>
          <w:lang w:eastAsia="en-GB"/>
        </w:rPr>
        <w:t>Mataliki</w:t>
      </w:r>
      <w:r w:rsidRPr="00BE78CA">
        <w:rPr>
          <w:lang w:eastAsia="en-GB"/>
        </w:rPr>
        <w:t xml:space="preserve"> and </w:t>
      </w:r>
      <w:r w:rsidRPr="00BE78CA">
        <w:rPr>
          <w:i/>
          <w:lang w:eastAsia="en-GB"/>
        </w:rPr>
        <w:t>Kalopaga</w:t>
      </w:r>
      <w:r w:rsidRPr="00BE78CA">
        <w:rPr>
          <w:lang w:eastAsia="en-GB"/>
        </w:rPr>
        <w:t>, after every five roundtrips, has the more significant amount of waste oil remaining in Samoa not Tokelau.</w:t>
      </w:r>
    </w:p>
    <w:p w14:paraId="6C4560C9" w14:textId="77777777" w:rsidR="007F00E5" w:rsidRPr="00BE78CA" w:rsidRDefault="007F00E5" w:rsidP="007F00E5">
      <w:pPr>
        <w:pStyle w:val="BodyText"/>
        <w:rPr>
          <w:lang w:eastAsia="en-GB"/>
        </w:rPr>
      </w:pPr>
      <w:r w:rsidRPr="00BE78CA">
        <w:rPr>
          <w:lang w:eastAsia="en-GB"/>
        </w:rPr>
        <w:t>For consistency with New Zealand’s Energy sector, gross calorific values were used for Energy sector estimates from Tokelau. The relevant default IPCC emission factors were adjusted accordingly by multiplying them by 0.95 and 0.90 for liquid and gaseous fuels respectively.</w:t>
      </w:r>
    </w:p>
    <w:p w14:paraId="3C9EEF7D" w14:textId="77777777" w:rsidR="007F00E5" w:rsidRPr="00BE78CA" w:rsidRDefault="007F00E5" w:rsidP="007F00E5">
      <w:pPr>
        <w:pStyle w:val="Heading3"/>
        <w:spacing w:before="280"/>
      </w:pPr>
      <w:r w:rsidRPr="00BE78CA">
        <w:t xml:space="preserve">8.2.1 </w:t>
      </w:r>
      <w:r w:rsidRPr="00BE78CA">
        <w:tab/>
        <w:t>Reference approach</w:t>
      </w:r>
    </w:p>
    <w:p w14:paraId="38565A9D" w14:textId="77777777" w:rsidR="007F00E5" w:rsidRPr="00BE78CA" w:rsidRDefault="007F00E5" w:rsidP="007F00E5">
      <w:pPr>
        <w:pStyle w:val="BodyText"/>
        <w:rPr>
          <w:lang w:eastAsia="en-GB"/>
        </w:rPr>
      </w:pPr>
      <w:r w:rsidRPr="00BE78CA">
        <w:rPr>
          <w:lang w:eastAsia="en-GB"/>
        </w:rPr>
        <w:t xml:space="preserve">The reference approach calculations were performed according to the methods described in the 2006 IPCC Guidelines. Equations 6.1 to 6.4 from chapter 6 in the 2006 IPCC Guidelines were used for calculating apparent consumption and estimating emissions (IPCC, 2006a). Gross calorific values were used for all calculations. </w:t>
      </w:r>
    </w:p>
    <w:p w14:paraId="63DF0875" w14:textId="77777777" w:rsidR="007F00E5" w:rsidRPr="00BE78CA" w:rsidRDefault="007F00E5" w:rsidP="007F00E5">
      <w:pPr>
        <w:pStyle w:val="BodyText"/>
        <w:rPr>
          <w:lang w:eastAsia="en-GB"/>
        </w:rPr>
      </w:pPr>
      <w:r w:rsidRPr="00BE78CA">
        <w:rPr>
          <w:lang w:eastAsia="en-GB"/>
        </w:rPr>
        <w:t>In 2019, total CO</w:t>
      </w:r>
      <w:r w:rsidRPr="00BE78CA">
        <w:rPr>
          <w:vertAlign w:val="subscript"/>
          <w:lang w:eastAsia="en-GB"/>
        </w:rPr>
        <w:t>2</w:t>
      </w:r>
      <w:r w:rsidRPr="00BE78CA">
        <w:rPr>
          <w:lang w:eastAsia="en-GB"/>
        </w:rPr>
        <w:t xml:space="preserve"> emissions from the reference approach in Tokelau were 2.46 kt, which differs from the sectoral approach by 1.6 per cent. The average variation of differences between the sectoral and reference approach across the time series was 2.2 per cent. </w:t>
      </w:r>
    </w:p>
    <w:p w14:paraId="7E545F05" w14:textId="77777777" w:rsidR="007F00E5" w:rsidRPr="00BE78CA" w:rsidRDefault="007F00E5" w:rsidP="007F00E5">
      <w:pPr>
        <w:pStyle w:val="Heading3"/>
        <w:spacing w:before="280"/>
      </w:pPr>
      <w:r w:rsidRPr="00BE78CA">
        <w:rPr>
          <w:lang w:eastAsia="en-GB"/>
        </w:rPr>
        <w:t>8.2.2</w:t>
      </w:r>
      <w:r w:rsidRPr="00BE78CA">
        <w:rPr>
          <w:lang w:eastAsia="en-GB"/>
        </w:rPr>
        <w:tab/>
        <w:t>International bunker fuels</w:t>
      </w:r>
    </w:p>
    <w:p w14:paraId="05CE3FF3" w14:textId="77777777" w:rsidR="007F00E5" w:rsidRPr="00BE78CA" w:rsidRDefault="007F00E5" w:rsidP="007F00E5">
      <w:pPr>
        <w:pStyle w:val="BodyText"/>
        <w:rPr>
          <w:lang w:eastAsia="en-GB"/>
        </w:rPr>
      </w:pPr>
      <w:r w:rsidRPr="00BE78CA">
        <w:rPr>
          <w:lang w:eastAsia="en-GB"/>
        </w:rPr>
        <w:t>There is no fuel usage for international navigation in Tokelau, because only domestic voyages are made by Tokelau’s vessels. All international voyages use the fuel loaded in Samoa and there is no refuelling in Tokelau for the international routes.</w:t>
      </w:r>
    </w:p>
    <w:p w14:paraId="54780DF1" w14:textId="77777777" w:rsidR="007F00E5" w:rsidRPr="00BE78CA" w:rsidRDefault="007F00E5" w:rsidP="007F00E5">
      <w:pPr>
        <w:pStyle w:val="BodyText"/>
      </w:pPr>
      <w:r w:rsidRPr="00BE78CA">
        <w:rPr>
          <w:lang w:eastAsia="en-GB"/>
        </w:rPr>
        <w:t xml:space="preserve">There is no aviation transportation (domestic or international) in Tokelau. </w:t>
      </w:r>
    </w:p>
    <w:p w14:paraId="1CBBA707" w14:textId="77777777" w:rsidR="007F00E5" w:rsidRPr="00BE78CA" w:rsidRDefault="007F00E5" w:rsidP="007F00E5">
      <w:pPr>
        <w:pStyle w:val="Heading3"/>
        <w:spacing w:before="280"/>
      </w:pPr>
      <w:r w:rsidRPr="00BE78CA">
        <w:t xml:space="preserve">8.2.3 </w:t>
      </w:r>
      <w:r w:rsidRPr="00BE78CA">
        <w:tab/>
        <w:t xml:space="preserve">Stationary combustion: </w:t>
      </w:r>
      <w:r w:rsidRPr="00BE78CA">
        <w:rPr>
          <w:i/>
        </w:rPr>
        <w:t>Public electricity and heat production</w:t>
      </w:r>
    </w:p>
    <w:p w14:paraId="66036E2A" w14:textId="77777777" w:rsidR="007F00E5" w:rsidRPr="00BE78CA" w:rsidRDefault="007F00E5" w:rsidP="007F00E5">
      <w:pPr>
        <w:pStyle w:val="Heading4"/>
        <w:spacing w:before="160"/>
      </w:pPr>
      <w:r w:rsidRPr="00BE78CA">
        <w:t>Description</w:t>
      </w:r>
    </w:p>
    <w:p w14:paraId="2CA62B0F" w14:textId="77777777" w:rsidR="007F00E5" w:rsidRPr="00BE78CA" w:rsidRDefault="007F00E5" w:rsidP="007F00E5">
      <w:pPr>
        <w:pStyle w:val="BodyText"/>
        <w:spacing w:before="100" w:after="100"/>
      </w:pPr>
      <w:r w:rsidRPr="00BE78CA">
        <w:t xml:space="preserve">The main source of emissions from this category in Tokelau includes electricity production from back-up generators. Tokelau uses liquid fossil fuels for these purposes, therefore, only liquid fossil fuels are reported under the </w:t>
      </w:r>
      <w:r w:rsidRPr="00BE78CA">
        <w:rPr>
          <w:i/>
        </w:rPr>
        <w:t>Energy industries</w:t>
      </w:r>
      <w:r w:rsidRPr="00BE78CA">
        <w:t xml:space="preserve"> category.</w:t>
      </w:r>
    </w:p>
    <w:p w14:paraId="7DCEA434" w14:textId="77777777" w:rsidR="007F00E5" w:rsidRPr="00BE78CA" w:rsidRDefault="007F00E5" w:rsidP="007F00E5">
      <w:pPr>
        <w:pStyle w:val="BodyText"/>
        <w:spacing w:before="100" w:after="100"/>
      </w:pPr>
      <w:r w:rsidRPr="00BE78CA">
        <w:lastRenderedPageBreak/>
        <w:t>Like most small Pacific Island nations and territories, Tokelau has been heavily reliant on the importation of fossil fuels for energy generation. Imports increased significantly in 2004, when electric power became available for households 24 hours a day, 7 days a week. Prior to that, electricity was generated between 6 pm and 10 pm daily, and annual diesel consumption was about 20 per cent of the value in 2011.</w:t>
      </w:r>
    </w:p>
    <w:p w14:paraId="7B7E6336" w14:textId="77777777" w:rsidR="007F00E5" w:rsidRPr="00BE78CA" w:rsidRDefault="007F00E5" w:rsidP="007F00E5">
      <w:pPr>
        <w:pStyle w:val="BodyText"/>
      </w:pPr>
      <w:r w:rsidRPr="00BE78CA">
        <w:t xml:space="preserve">In 2012, the installation of 4,000 solar photovoltaics (PV) systems across the three atolls was completed (figure 8.2.1). Each of the three Tokelau atolls now has a significant array of solar PV systems that cater for almost all local electric power requirements. </w:t>
      </w:r>
    </w:p>
    <w:p w14:paraId="3AB1066E" w14:textId="77777777" w:rsidR="007F00E5" w:rsidRPr="00BE78CA" w:rsidRDefault="007F00E5" w:rsidP="007F00E5">
      <w:pPr>
        <w:pStyle w:val="Figure"/>
      </w:pPr>
      <w:bookmarkStart w:id="3211" w:name="_Toc5269725"/>
      <w:bookmarkStart w:id="3212" w:name="_Toc36292828"/>
      <w:bookmarkStart w:id="3213" w:name="_Toc64972935"/>
      <w:bookmarkStart w:id="3214" w:name="_Toc68786692"/>
      <w:r w:rsidRPr="00BE78CA">
        <w:t xml:space="preserve">Figure 8.2.1 </w:t>
      </w:r>
      <w:r w:rsidRPr="00BE78CA">
        <w:tab/>
        <w:t>Cluster block diagram for Tokelau’s solar project</w:t>
      </w:r>
      <w:bookmarkEnd w:id="3211"/>
      <w:bookmarkEnd w:id="3212"/>
      <w:bookmarkEnd w:id="3213"/>
      <w:bookmarkEnd w:id="3214"/>
    </w:p>
    <w:p w14:paraId="34506E85" w14:textId="6CF8F4D5" w:rsidR="007F00E5" w:rsidRPr="00BE78CA" w:rsidRDefault="007F00E5" w:rsidP="007F00E5">
      <w:pPr>
        <w:pStyle w:val="BodyText"/>
      </w:pPr>
      <w:r w:rsidRPr="00BE78CA">
        <w:rPr>
          <w:noProof/>
        </w:rPr>
        <w:drawing>
          <wp:anchor distT="0" distB="0" distL="114300" distR="114300" simplePos="0" relativeHeight="251661312" behindDoc="0" locked="0" layoutInCell="1" allowOverlap="1" wp14:anchorId="192AC29E" wp14:editId="18021D91">
            <wp:simplePos x="0" y="0"/>
            <wp:positionH relativeFrom="column">
              <wp:posOffset>3384814</wp:posOffset>
            </wp:positionH>
            <wp:positionV relativeFrom="paragraph">
              <wp:posOffset>1946275</wp:posOffset>
            </wp:positionV>
            <wp:extent cx="1908630" cy="1173668"/>
            <wp:effectExtent l="0" t="0" r="0" b="7620"/>
            <wp:wrapNone/>
            <wp:docPr id="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6" cstate="print">
                      <a:extLst>
                        <a:ext uri="{28A0092B-C50C-407E-A947-70E740481C1C}">
                          <a14:useLocalDpi xmlns:a14="http://schemas.microsoft.com/office/drawing/2010/main" val="0"/>
                        </a:ext>
                      </a:extLst>
                    </a:blip>
                    <a:srcRect l="21301" t="41788" r="39508" b="12994"/>
                    <a:stretch>
                      <a:fillRect/>
                    </a:stretch>
                  </pic:blipFill>
                  <pic:spPr bwMode="auto">
                    <a:xfrm>
                      <a:off x="0" y="0"/>
                      <a:ext cx="1908630" cy="1173668"/>
                    </a:xfrm>
                    <a:prstGeom prst="rect">
                      <a:avLst/>
                    </a:prstGeom>
                    <a:noFill/>
                  </pic:spPr>
                </pic:pic>
              </a:graphicData>
            </a:graphic>
            <wp14:sizeRelH relativeFrom="page">
              <wp14:pctWidth>0</wp14:pctWidth>
            </wp14:sizeRelH>
            <wp14:sizeRelV relativeFrom="page">
              <wp14:pctHeight>0</wp14:pctHeight>
            </wp14:sizeRelV>
          </wp:anchor>
        </w:drawing>
      </w:r>
      <w:r w:rsidRPr="00BE78CA">
        <w:rPr>
          <w:noProof/>
        </w:rPr>
        <w:drawing>
          <wp:inline distT="0" distB="0" distL="0" distR="0" wp14:anchorId="716E5E27" wp14:editId="321EFD66">
            <wp:extent cx="4810125" cy="2781300"/>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257">
                      <a:extLst>
                        <a:ext uri="{28A0092B-C50C-407E-A947-70E740481C1C}">
                          <a14:useLocalDpi xmlns:a14="http://schemas.microsoft.com/office/drawing/2010/main" val="0"/>
                        </a:ext>
                      </a:extLst>
                    </a:blip>
                    <a:srcRect l="32317" t="31769" r="32909" b="32118"/>
                    <a:stretch>
                      <a:fillRect/>
                    </a:stretch>
                  </pic:blipFill>
                  <pic:spPr bwMode="auto">
                    <a:xfrm>
                      <a:off x="0" y="0"/>
                      <a:ext cx="4810125" cy="2781300"/>
                    </a:xfrm>
                    <a:prstGeom prst="rect">
                      <a:avLst/>
                    </a:prstGeom>
                    <a:noFill/>
                    <a:ln>
                      <a:noFill/>
                    </a:ln>
                  </pic:spPr>
                </pic:pic>
              </a:graphicData>
            </a:graphic>
          </wp:inline>
        </w:drawing>
      </w:r>
    </w:p>
    <w:p w14:paraId="0CACC5E0" w14:textId="77777777" w:rsidR="007F00E5" w:rsidRPr="00BE78CA" w:rsidRDefault="007F00E5" w:rsidP="006D1767">
      <w:pPr>
        <w:pStyle w:val="Source"/>
        <w:spacing w:after="120"/>
      </w:pPr>
      <w:r w:rsidRPr="00BE78CA">
        <w:t xml:space="preserve">Source: SMA. </w:t>
      </w:r>
    </w:p>
    <w:p w14:paraId="5B2FE8E2" w14:textId="77777777" w:rsidR="007F00E5" w:rsidRPr="00BE78CA" w:rsidRDefault="007F00E5" w:rsidP="007F00E5">
      <w:pPr>
        <w:pStyle w:val="BodyText"/>
      </w:pPr>
      <w:r w:rsidRPr="00BE78CA">
        <w:t>Tokelau received wide media coverage for its installation of solar PV units.</w:t>
      </w:r>
      <w:r w:rsidRPr="00BE78CA">
        <w:rPr>
          <w:vertAlign w:val="superscript"/>
        </w:rPr>
        <w:footnoteReference w:id="70"/>
      </w:r>
      <w:r w:rsidRPr="00BE78CA">
        <w:t xml:space="preserve"> The change resulted in a significant drop in liquid fossil fuels consumption for electricity production in Tokelau (by approximately 82.5 per cent) and a decrease in the total energy emissions by 36.4 per cent between 2011 and 2013. However, some power generation using diesel remains necessary as back up, during the failure of solar PV units, prolonged cloudy spells, and to meet the steadily increasing demand from households and the public sector.</w:t>
      </w:r>
    </w:p>
    <w:p w14:paraId="5805FD04" w14:textId="77777777" w:rsidR="007F00E5" w:rsidRPr="00BE78CA" w:rsidRDefault="007F00E5" w:rsidP="007F00E5">
      <w:pPr>
        <w:pStyle w:val="Heading5"/>
      </w:pPr>
      <w:r w:rsidRPr="00BE78CA">
        <w:t>Energy emission trends</w:t>
      </w:r>
    </w:p>
    <w:p w14:paraId="78C87743" w14:textId="77777777" w:rsidR="007F00E5" w:rsidRPr="00BE78CA" w:rsidRDefault="007F00E5" w:rsidP="007F00E5">
      <w:pPr>
        <w:pStyle w:val="BodyText"/>
      </w:pPr>
      <w:r w:rsidRPr="00BE78CA">
        <w:rPr>
          <w:lang w:eastAsia="en-GB"/>
        </w:rPr>
        <w:t xml:space="preserve">For Tokelau, the </w:t>
      </w:r>
      <w:r w:rsidRPr="00BE78CA">
        <w:rPr>
          <w:i/>
          <w:lang w:eastAsia="en-GB"/>
        </w:rPr>
        <w:t>Public electricity and heat production</w:t>
      </w:r>
      <w:r w:rsidRPr="00BE78CA">
        <w:rPr>
          <w:lang w:eastAsia="en-GB"/>
        </w:rPr>
        <w:t xml:space="preserve"> category accounted for </w:t>
      </w:r>
      <w:r w:rsidRPr="00BE78CA">
        <w:t>100 per cent</w:t>
      </w:r>
      <w:r w:rsidRPr="00BE78CA">
        <w:rPr>
          <w:lang w:eastAsia="en-GB"/>
        </w:rPr>
        <w:t xml:space="preserve"> of the emissions from the </w:t>
      </w:r>
      <w:r w:rsidRPr="00BE78CA">
        <w:rPr>
          <w:i/>
          <w:lang w:eastAsia="en-GB"/>
        </w:rPr>
        <w:t>Energy industries</w:t>
      </w:r>
      <w:r w:rsidRPr="00BE78CA">
        <w:rPr>
          <w:lang w:eastAsia="en-GB"/>
        </w:rPr>
        <w:t xml:space="preserve"> category for the entire time series. In </w:t>
      </w:r>
      <w:r w:rsidRPr="00BE78CA">
        <w:t>2019</w:t>
      </w:r>
      <w:r w:rsidRPr="00BE78CA">
        <w:rPr>
          <w:lang w:eastAsia="en-GB"/>
        </w:rPr>
        <w:t xml:space="preserve">, emissions from the </w:t>
      </w:r>
      <w:r w:rsidRPr="00BE78CA">
        <w:rPr>
          <w:i/>
          <w:lang w:eastAsia="en-GB"/>
        </w:rPr>
        <w:t>Energy industries</w:t>
      </w:r>
      <w:r w:rsidRPr="00BE78CA">
        <w:rPr>
          <w:lang w:eastAsia="en-GB"/>
        </w:rPr>
        <w:t xml:space="preserve"> category totalled </w:t>
      </w:r>
      <w:r w:rsidRPr="00BE78CA">
        <w:t xml:space="preserve">0.25 </w:t>
      </w:r>
      <w:r w:rsidRPr="00BE78CA">
        <w:rPr>
          <w:lang w:eastAsia="en-GB"/>
        </w:rPr>
        <w:t>kt CO</w:t>
      </w:r>
      <w:r w:rsidRPr="00BE78CA">
        <w:rPr>
          <w:vertAlign w:val="subscript"/>
          <w:lang w:eastAsia="en-GB"/>
        </w:rPr>
        <w:t>2</w:t>
      </w:r>
      <w:r w:rsidRPr="00BE78CA">
        <w:rPr>
          <w:lang w:eastAsia="en-GB"/>
        </w:rPr>
        <w:t>-e (</w:t>
      </w:r>
      <w:r w:rsidRPr="00BE78CA">
        <w:t>10.1 per cent</w:t>
      </w:r>
      <w:r w:rsidRPr="00BE78CA">
        <w:rPr>
          <w:lang w:eastAsia="en-GB"/>
        </w:rPr>
        <w:t xml:space="preserve"> of all energy emissions from Tokelau). Emissions from energy industries have </w:t>
      </w:r>
      <w:r w:rsidRPr="00BE78CA">
        <w:t>increased by 0.02 </w:t>
      </w:r>
      <w:r w:rsidRPr="00BE78CA">
        <w:rPr>
          <w:lang w:eastAsia="en-GB"/>
        </w:rPr>
        <w:t>kt CO</w:t>
      </w:r>
      <w:r w:rsidRPr="00BE78CA">
        <w:rPr>
          <w:vertAlign w:val="subscript"/>
          <w:lang w:eastAsia="en-GB"/>
        </w:rPr>
        <w:t>2</w:t>
      </w:r>
      <w:r w:rsidRPr="00BE78CA">
        <w:rPr>
          <w:lang w:eastAsia="en-GB"/>
        </w:rPr>
        <w:t>-e (10.4</w:t>
      </w:r>
      <w:r w:rsidRPr="00BE78CA">
        <w:t xml:space="preserve"> per cent</w:t>
      </w:r>
      <w:r w:rsidRPr="00BE78CA">
        <w:rPr>
          <w:lang w:eastAsia="en-GB"/>
        </w:rPr>
        <w:t xml:space="preserve">) since the 1990 level of </w:t>
      </w:r>
      <w:r w:rsidRPr="00BE78CA">
        <w:t xml:space="preserve">0.23 </w:t>
      </w:r>
      <w:r w:rsidRPr="00BE78CA">
        <w:rPr>
          <w:lang w:eastAsia="en-GB"/>
        </w:rPr>
        <w:t>kt CO</w:t>
      </w:r>
      <w:r w:rsidRPr="00BE78CA">
        <w:rPr>
          <w:vertAlign w:val="subscript"/>
          <w:lang w:eastAsia="en-GB"/>
        </w:rPr>
        <w:t>2</w:t>
      </w:r>
      <w:r w:rsidRPr="00BE78CA">
        <w:rPr>
          <w:lang w:eastAsia="en-GB"/>
        </w:rPr>
        <w:t>-e. Effectively, the increase in emissions due to continuously generating electricity from fossil fuels in 2004 was offset by the decrease due to installing the solar PV units in 2012 and solar energy dominating the electricity production sources in Tokelau since then.</w:t>
      </w:r>
      <w:r w:rsidRPr="00BE78CA">
        <w:t xml:space="preserve"> Figure 8.2.2 shows emission trends in the Energy sector by category for Tokelau.</w:t>
      </w:r>
    </w:p>
    <w:p w14:paraId="3D944C5C" w14:textId="77777777" w:rsidR="007F00E5" w:rsidRPr="00BE78CA" w:rsidRDefault="007F00E5" w:rsidP="007F00E5">
      <w:pPr>
        <w:pStyle w:val="Figure"/>
        <w:rPr>
          <w:rFonts w:eastAsia="Calibri"/>
        </w:rPr>
      </w:pPr>
      <w:bookmarkStart w:id="3215" w:name="_Toc36292829"/>
      <w:bookmarkStart w:id="3216" w:name="_Toc64972936"/>
      <w:bookmarkStart w:id="3217" w:name="_Toc68786693"/>
      <w:r w:rsidRPr="00BE78CA">
        <w:rPr>
          <w:rFonts w:eastAsia="Calibri"/>
        </w:rPr>
        <w:lastRenderedPageBreak/>
        <w:t xml:space="preserve">Figure 8.2.2 </w:t>
      </w:r>
      <w:r w:rsidRPr="00BE78CA">
        <w:rPr>
          <w:rFonts w:eastAsia="Calibri"/>
        </w:rPr>
        <w:tab/>
        <w:t>Energy emissions by category for Tokelau (kt CO</w:t>
      </w:r>
      <w:r w:rsidRPr="00BE78CA">
        <w:rPr>
          <w:rFonts w:eastAsia="Calibri"/>
          <w:vertAlign w:val="subscript"/>
        </w:rPr>
        <w:t>2</w:t>
      </w:r>
      <w:r w:rsidRPr="00BE78CA">
        <w:rPr>
          <w:rFonts w:eastAsia="Calibri"/>
        </w:rPr>
        <w:t xml:space="preserve">-e) from 1990 to </w:t>
      </w:r>
      <w:bookmarkEnd w:id="3215"/>
      <w:r w:rsidRPr="00BE78CA">
        <w:rPr>
          <w:rFonts w:eastAsia="Calibri"/>
        </w:rPr>
        <w:t>2019</w:t>
      </w:r>
      <w:bookmarkEnd w:id="3216"/>
      <w:bookmarkEnd w:id="3217"/>
    </w:p>
    <w:p w14:paraId="7D424B8C" w14:textId="77777777" w:rsidR="007F00E5" w:rsidRPr="00BE78CA" w:rsidRDefault="007F00E5" w:rsidP="007F00E5">
      <w:pPr>
        <w:pStyle w:val="BodyText"/>
        <w:spacing w:before="60" w:after="0"/>
        <w:rPr>
          <w:lang w:eastAsia="en-GB"/>
        </w:rPr>
      </w:pPr>
      <w:r w:rsidRPr="00BE78CA">
        <w:rPr>
          <w:noProof/>
        </w:rPr>
        <w:drawing>
          <wp:inline distT="0" distB="0" distL="0" distR="0" wp14:anchorId="69EBF603" wp14:editId="1C49C7A1">
            <wp:extent cx="5029540" cy="2743200"/>
            <wp:effectExtent l="0" t="0" r="0" b="0"/>
            <wp:docPr id="51" name="Chart 51">
              <a:extLst xmlns:a="http://schemas.openxmlformats.org/drawingml/2006/main">
                <a:ext uri="{FF2B5EF4-FFF2-40B4-BE49-F238E27FC236}">
                  <a16:creationId xmlns:a16="http://schemas.microsoft.com/office/drawing/2014/main" id="{00000000-0008-0000-03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8"/>
              </a:graphicData>
            </a:graphic>
          </wp:inline>
        </w:drawing>
      </w:r>
    </w:p>
    <w:p w14:paraId="735929CD" w14:textId="77777777" w:rsidR="007F00E5" w:rsidRPr="00BE78CA" w:rsidRDefault="007F00E5" w:rsidP="007F00E5">
      <w:pPr>
        <w:pStyle w:val="Heading4"/>
      </w:pPr>
      <w:r w:rsidRPr="00BE78CA">
        <w:t>Methodological issues</w:t>
      </w:r>
    </w:p>
    <w:p w14:paraId="3EA585B3" w14:textId="77777777" w:rsidR="007F00E5" w:rsidRPr="00BE78CA" w:rsidRDefault="007F00E5" w:rsidP="007F00E5">
      <w:pPr>
        <w:pStyle w:val="Heading5"/>
        <w:spacing w:before="120"/>
      </w:pPr>
      <w:r w:rsidRPr="00BE78CA">
        <w:t>Activity data</w:t>
      </w:r>
    </w:p>
    <w:p w14:paraId="6F06F0FA" w14:textId="77777777" w:rsidR="007F00E5" w:rsidRPr="00BE78CA" w:rsidRDefault="007F00E5" w:rsidP="007F00E5">
      <w:pPr>
        <w:pStyle w:val="BodyText"/>
        <w:rPr>
          <w:lang w:eastAsia="en-GB"/>
        </w:rPr>
      </w:pPr>
      <w:r w:rsidRPr="00BE78CA">
        <w:rPr>
          <w:lang w:eastAsia="en-GB"/>
        </w:rPr>
        <w:t xml:space="preserve">The sources of activity data for the </w:t>
      </w:r>
      <w:r w:rsidRPr="00BE78CA">
        <w:rPr>
          <w:i/>
          <w:lang w:eastAsia="en-GB"/>
        </w:rPr>
        <w:t>Energy industries</w:t>
      </w:r>
      <w:r w:rsidRPr="00BE78CA">
        <w:rPr>
          <w:lang w:eastAsia="en-GB"/>
        </w:rPr>
        <w:t xml:space="preserve"> category are included in table 8.1.2. Key sources for the energy supply and consumption data are the Tokelau Department of Energy and Petroleum Product Supplies Ltd (Apia, Samoa). The Tokelau Department of Energy</w:t>
      </w:r>
      <w:r w:rsidRPr="00BE78CA" w:rsidDel="003F6449">
        <w:rPr>
          <w:lang w:eastAsia="en-GB"/>
        </w:rPr>
        <w:t xml:space="preserve"> </w:t>
      </w:r>
      <w:r w:rsidRPr="00BE78CA">
        <w:rPr>
          <w:lang w:eastAsia="en-GB"/>
        </w:rPr>
        <w:t xml:space="preserve">provided background data for estimates of diesel use for power generation around the time that electricity changed to 24 hours a day, 7 days a week in Tokelau in 2004; as well as before and after installation of solar PV powered plants in July to September 2012 and participated in making those estimates (item 6 in table 8.1.2). Based on purchase information, the Department of Finance provided the data on fuel prices and volumes supplied by Petroleum Product Supplies Ltd for shipping and on-atoll use of diesel, petrol, kerosene and lubricant oil (item 7 in table 8.1.2). Only liquid fossil fuels (gas and diesel oil) are used in the </w:t>
      </w:r>
      <w:r w:rsidRPr="00BE78CA">
        <w:rPr>
          <w:i/>
          <w:lang w:eastAsia="en-GB"/>
        </w:rPr>
        <w:t>Energy industries</w:t>
      </w:r>
      <w:r w:rsidRPr="00BE78CA">
        <w:rPr>
          <w:lang w:eastAsia="en-GB"/>
        </w:rPr>
        <w:t xml:space="preserve"> category. Because all fossil fuels in Tokelau are imported, activity data are mostly obtained from analysis of invoices from main suppliers and shipping manifests.</w:t>
      </w:r>
    </w:p>
    <w:p w14:paraId="78579590" w14:textId="77777777" w:rsidR="007F00E5" w:rsidRPr="00BE78CA" w:rsidRDefault="007F00E5" w:rsidP="007F00E5">
      <w:pPr>
        <w:pStyle w:val="BodyText"/>
        <w:rPr>
          <w:lang w:eastAsia="en-GB"/>
        </w:rPr>
      </w:pPr>
      <w:r w:rsidRPr="00BE78CA">
        <w:rPr>
          <w:lang w:eastAsia="en-GB"/>
        </w:rPr>
        <w:t>In the course of the analysis of available data, big discrepancies were discovered between the fuel imports shown on shipping manifests and the more reliable financial fuel purchase data that were audited. Detailed data were not available for each year from 1990</w:t>
      </w:r>
      <w:r w:rsidRPr="00BE78CA">
        <w:rPr>
          <w:color w:val="000000"/>
        </w:rPr>
        <w:t xml:space="preserve"> to </w:t>
      </w:r>
      <w:r w:rsidRPr="00BE78CA">
        <w:rPr>
          <w:lang w:eastAsia="en-GB"/>
        </w:rPr>
        <w:t>2019 (or data reliability was not high), so a trade-off was made between data granularity and data quality. The biggest and most reliably recorded data variations are reflected in the time series. For electricity generation, there were two important events: first, the changeover to 24 hour, 7 days a week electricity in 2004 (from 6 pm to 10 pm prior to that, at an estimated 20 per cent of the 24 hour, 7 days a week</w:t>
      </w:r>
      <w:r w:rsidRPr="00BE78CA" w:rsidDel="005C0F9A">
        <w:rPr>
          <w:lang w:eastAsia="en-GB"/>
        </w:rPr>
        <w:t xml:space="preserve"> </w:t>
      </w:r>
      <w:r w:rsidRPr="00BE78CA">
        <w:rPr>
          <w:lang w:eastAsia="en-GB"/>
        </w:rPr>
        <w:t>value in 2011); and second the introduction of solar PV-powered plants in 2012. The change during 2012, due to the installation of solar PV-powered plants, was reasonably well documented and, therefore, reflected in the time series. For the years 1990</w:t>
      </w:r>
      <w:r w:rsidRPr="00BE78CA">
        <w:rPr>
          <w:color w:val="000000"/>
        </w:rPr>
        <w:t xml:space="preserve"> to </w:t>
      </w:r>
      <w:r w:rsidRPr="00BE78CA">
        <w:rPr>
          <w:lang w:eastAsia="en-GB"/>
        </w:rPr>
        <w:t>2003, 2005</w:t>
      </w:r>
      <w:r w:rsidRPr="00BE78CA">
        <w:rPr>
          <w:color w:val="000000"/>
        </w:rPr>
        <w:t xml:space="preserve"> to 20</w:t>
      </w:r>
      <w:r w:rsidRPr="00BE78CA">
        <w:rPr>
          <w:lang w:eastAsia="en-GB"/>
        </w:rPr>
        <w:t>11 and 2013</w:t>
      </w:r>
      <w:r w:rsidRPr="00BE78CA">
        <w:rPr>
          <w:color w:val="000000"/>
        </w:rPr>
        <w:t xml:space="preserve"> to 20</w:t>
      </w:r>
      <w:r w:rsidRPr="00BE78CA">
        <w:rPr>
          <w:lang w:eastAsia="en-GB"/>
        </w:rPr>
        <w:t xml:space="preserve">15, the activity data (and corresponding emissions) are shown as constant. </w:t>
      </w:r>
    </w:p>
    <w:p w14:paraId="5311A122" w14:textId="77777777" w:rsidR="007F00E5" w:rsidRPr="00BE78CA" w:rsidRDefault="007F00E5" w:rsidP="007F00E5">
      <w:pPr>
        <w:pStyle w:val="BodyText"/>
        <w:rPr>
          <w:lang w:eastAsia="en-GB"/>
        </w:rPr>
      </w:pPr>
      <w:r w:rsidRPr="00BE78CA">
        <w:rPr>
          <w:lang w:eastAsia="en-GB"/>
        </w:rPr>
        <w:t>The diesel data for 2013</w:t>
      </w:r>
      <w:r w:rsidRPr="00BE78CA">
        <w:rPr>
          <w:color w:val="000000"/>
        </w:rPr>
        <w:t xml:space="preserve"> to 20</w:t>
      </w:r>
      <w:r w:rsidRPr="00BE78CA">
        <w:rPr>
          <w:lang w:eastAsia="en-GB"/>
        </w:rPr>
        <w:t>15 were entirely based on analysis during 2018 of fuel purchases, when, for the first time, Tokelau’s analysts could clearly separate out the diesel used on</w:t>
      </w:r>
      <w:r w:rsidRPr="00BE78CA">
        <w:rPr>
          <w:lang w:eastAsia="en-GB"/>
        </w:rPr>
        <w:noBreakHyphen/>
        <w:t xml:space="preserve">atoll and for shipping. The methodology for such analyses that was put in place for the 2019 inventory submission was refined in each subsequent submission. </w:t>
      </w:r>
    </w:p>
    <w:p w14:paraId="665F7DE0" w14:textId="59CC9BED" w:rsidR="007F00E5" w:rsidRPr="00BE78CA" w:rsidRDefault="007F00E5" w:rsidP="007F00E5">
      <w:pPr>
        <w:pStyle w:val="BodyText"/>
        <w:rPr>
          <w:lang w:eastAsia="en-GB"/>
        </w:rPr>
      </w:pPr>
      <w:r w:rsidRPr="00BE78CA">
        <w:rPr>
          <w:lang w:eastAsia="en-GB"/>
        </w:rPr>
        <w:lastRenderedPageBreak/>
        <w:t>Diesel is delivered on ‘dangerous goods sailings’ to Tokelau in the ships’ fuel bunkers. On</w:t>
      </w:r>
      <w:r w:rsidR="00787317" w:rsidRPr="00BE78CA">
        <w:rPr>
          <w:lang w:eastAsia="en-GB"/>
        </w:rPr>
        <w:t> </w:t>
      </w:r>
      <w:r w:rsidRPr="00BE78CA">
        <w:rPr>
          <w:lang w:eastAsia="en-GB"/>
        </w:rPr>
        <w:t>arrival, it is pumped into drums on a barge, for shipping to shore and transport to the generator sites.</w:t>
      </w:r>
    </w:p>
    <w:p w14:paraId="786CE31F" w14:textId="77777777" w:rsidR="007F00E5" w:rsidRPr="00BE78CA" w:rsidRDefault="007F00E5" w:rsidP="007F00E5">
      <w:pPr>
        <w:pStyle w:val="Heading5"/>
      </w:pPr>
      <w:r w:rsidRPr="00BE78CA">
        <w:t>Methods and emission factors</w:t>
      </w:r>
    </w:p>
    <w:p w14:paraId="045219EC" w14:textId="77777777" w:rsidR="007F00E5" w:rsidRPr="00BE78CA" w:rsidRDefault="007F00E5" w:rsidP="007F00E5">
      <w:pPr>
        <w:pStyle w:val="BodyText"/>
        <w:rPr>
          <w:lang w:eastAsia="en-GB"/>
        </w:rPr>
      </w:pPr>
      <w:r w:rsidRPr="00BE78CA">
        <w:rPr>
          <w:lang w:eastAsia="en-GB"/>
        </w:rPr>
        <w:t xml:space="preserve">A Tier 1 method was applied for estimating emissions from the </w:t>
      </w:r>
      <w:r w:rsidRPr="00BE78CA">
        <w:rPr>
          <w:i/>
          <w:lang w:eastAsia="en-GB"/>
        </w:rPr>
        <w:t>Public electricity and heat production</w:t>
      </w:r>
      <w:r w:rsidRPr="00BE78CA" w:rsidDel="00194BA4">
        <w:rPr>
          <w:i/>
          <w:lang w:eastAsia="en-GB"/>
        </w:rPr>
        <w:t xml:space="preserve"> </w:t>
      </w:r>
      <w:r w:rsidRPr="00BE78CA">
        <w:rPr>
          <w:lang w:eastAsia="en-GB"/>
        </w:rPr>
        <w:t>category. The method required the data on the amount of LPG combusted in the source category and a default emissions factor from table 2.2, section 2.3.2.1, volume 2 of the 2006 IPCC Guidelines. Default emission factors from the 2006 IPCC Guidelines were converted from net calorific values to gross calorific values using the Organisation for Economic Co</w:t>
      </w:r>
      <w:r w:rsidRPr="00BE78CA">
        <w:rPr>
          <w:lang w:eastAsia="en-GB"/>
        </w:rPr>
        <w:noBreakHyphen/>
        <w:t>operation and Development (OECD) and International Energy Agency (IEA) assumptions to make these conversions:</w:t>
      </w:r>
    </w:p>
    <w:p w14:paraId="5CB9175F" w14:textId="77777777" w:rsidR="007F00E5" w:rsidRPr="00BE78CA" w:rsidRDefault="007F00E5" w:rsidP="007F00E5">
      <w:pPr>
        <w:pStyle w:val="BodyText"/>
        <w:jc w:val="center"/>
        <w:rPr>
          <w:rFonts w:ascii="Cambria Math" w:hAnsi="Cambria Math"/>
          <w:sz w:val="24"/>
          <w:szCs w:val="24"/>
          <w:lang w:eastAsia="en-GB"/>
        </w:rPr>
      </w:pPr>
      <w:r w:rsidRPr="00BE78CA">
        <w:rPr>
          <w:rFonts w:ascii="Cambria Math" w:hAnsi="Cambria Math"/>
          <w:sz w:val="24"/>
          <w:szCs w:val="24"/>
          <w:lang w:eastAsia="en-GB"/>
        </w:rPr>
        <w:t>Gross Emission Factor (liquid fuels) = 0.95 x Net Emission Factor</w:t>
      </w:r>
    </w:p>
    <w:p w14:paraId="43C290E5" w14:textId="77777777" w:rsidR="007F00E5" w:rsidRPr="00BE78CA" w:rsidRDefault="007F00E5" w:rsidP="007F00E5">
      <w:pPr>
        <w:pStyle w:val="BodyText"/>
        <w:rPr>
          <w:lang w:eastAsia="en-GB"/>
        </w:rPr>
      </w:pPr>
      <w:r w:rsidRPr="00BE78CA">
        <w:rPr>
          <w:lang w:eastAsia="en-GB"/>
        </w:rPr>
        <w:t xml:space="preserve">Equations 2.1 and 2.2 from section 2.3.1.1 in the 2006 IPCC Guidelines were used for estimating emissions (IPCC, 2006a). </w:t>
      </w:r>
    </w:p>
    <w:p w14:paraId="1A3D84EC" w14:textId="77777777" w:rsidR="007F00E5" w:rsidRPr="00BE78CA" w:rsidRDefault="007F00E5" w:rsidP="007F00E5">
      <w:pPr>
        <w:pStyle w:val="Heading4"/>
      </w:pPr>
      <w:r w:rsidRPr="00BE78CA">
        <w:t>Uncertainties</w:t>
      </w:r>
    </w:p>
    <w:p w14:paraId="45212282" w14:textId="77777777" w:rsidR="007F00E5" w:rsidRPr="00BE78CA" w:rsidRDefault="007F00E5" w:rsidP="007F00E5">
      <w:pPr>
        <w:pStyle w:val="BodyText"/>
        <w:rPr>
          <w:lang w:eastAsia="en-GB"/>
        </w:rPr>
      </w:pPr>
      <w:r w:rsidRPr="00BE78CA">
        <w:rPr>
          <w:lang w:eastAsia="en-GB"/>
        </w:rPr>
        <w:t>For this submission, it was not possible to develop Tokelau-specific uncertainty values, so, for emission factors, default uncertainty values provided in the 2006 IPCC Guidelines were used for CO</w:t>
      </w:r>
      <w:r w:rsidRPr="00BE78CA">
        <w:rPr>
          <w:vertAlign w:val="subscript"/>
          <w:lang w:eastAsia="en-GB"/>
        </w:rPr>
        <w:t>2</w:t>
      </w:r>
      <w:r w:rsidRPr="00BE78CA">
        <w:rPr>
          <w:lang w:eastAsia="en-GB"/>
        </w:rPr>
        <w:t xml:space="preserve"> and CH</w:t>
      </w:r>
      <w:r w:rsidRPr="00BE78CA">
        <w:rPr>
          <w:vertAlign w:val="subscript"/>
          <w:lang w:eastAsia="en-GB"/>
        </w:rPr>
        <w:t>4</w:t>
      </w:r>
      <w:r w:rsidRPr="00BE78CA">
        <w:rPr>
          <w:lang w:eastAsia="en-GB"/>
        </w:rPr>
        <w:t xml:space="preserve"> (for public power, co-generation and district heating) (IPCC, 2006a). Because no quantified default emissions factor is provided for N</w:t>
      </w:r>
      <w:r w:rsidRPr="00BE78CA">
        <w:rPr>
          <w:vertAlign w:val="subscript"/>
          <w:lang w:eastAsia="en-GB"/>
        </w:rPr>
        <w:t>2</w:t>
      </w:r>
      <w:r w:rsidRPr="00BE78CA">
        <w:rPr>
          <w:lang w:eastAsia="en-GB"/>
        </w:rPr>
        <w:t>O, New Zealand’s emission factor uncertainty across the Energy sector for N</w:t>
      </w:r>
      <w:r w:rsidRPr="00BE78CA">
        <w:rPr>
          <w:vertAlign w:val="subscript"/>
          <w:lang w:eastAsia="en-GB"/>
        </w:rPr>
        <w:t>2</w:t>
      </w:r>
      <w:r w:rsidRPr="00BE78CA">
        <w:rPr>
          <w:lang w:eastAsia="en-GB"/>
        </w:rPr>
        <w:t xml:space="preserve">O was used for this category. </w:t>
      </w:r>
    </w:p>
    <w:p w14:paraId="2335A7BA" w14:textId="77777777" w:rsidR="007F00E5" w:rsidRPr="00BE78CA" w:rsidRDefault="007F00E5" w:rsidP="007F00E5">
      <w:pPr>
        <w:pStyle w:val="BodyText"/>
        <w:rPr>
          <w:lang w:eastAsia="en-GB"/>
        </w:rPr>
      </w:pPr>
      <w:r w:rsidRPr="00BE78CA">
        <w:rPr>
          <w:lang w:eastAsia="en-GB"/>
        </w:rPr>
        <w:t xml:space="preserve">For activity data, due to the lack of detailed pre-2018 fuel data, an upper level of the default uncertainty range for the main activity electricity and heat production associated with data extrapolation from the 2006 IPCC Guidelines was applied (IPCC, 2006a). Table 8.2.1 shows the use of uncertainties for the </w:t>
      </w:r>
      <w:r w:rsidRPr="00BE78CA">
        <w:rPr>
          <w:i/>
          <w:lang w:eastAsia="en-GB"/>
        </w:rPr>
        <w:t xml:space="preserve">Energy industries </w:t>
      </w:r>
      <w:r w:rsidRPr="00BE78CA">
        <w:rPr>
          <w:lang w:eastAsia="en-GB"/>
        </w:rPr>
        <w:t>category.</w:t>
      </w:r>
    </w:p>
    <w:p w14:paraId="5C703D85" w14:textId="77777777" w:rsidR="007F00E5" w:rsidRPr="00BE78CA" w:rsidRDefault="007F00E5" w:rsidP="007F00E5">
      <w:pPr>
        <w:pStyle w:val="Table"/>
      </w:pPr>
      <w:bookmarkStart w:id="3218" w:name="_Toc5269596"/>
      <w:bookmarkStart w:id="3219" w:name="_Toc36224677"/>
      <w:bookmarkStart w:id="3220" w:name="_Toc68786563"/>
      <w:r w:rsidRPr="00BE78CA">
        <w:t>Table 8.2.1</w:t>
      </w:r>
      <w:r w:rsidRPr="00BE78CA">
        <w:tab/>
        <w:t>Uncertainties for the Energy industries category</w:t>
      </w:r>
      <w:bookmarkEnd w:id="3218"/>
      <w:bookmarkEnd w:id="3219"/>
      <w:bookmarkEnd w:id="3220"/>
    </w:p>
    <w:tbl>
      <w:tblPr>
        <w:tblW w:w="8505" w:type="dxa"/>
        <w:tblBorders>
          <w:top w:val="single" w:sz="4" w:space="0" w:color="365F91"/>
          <w:bottom w:val="single" w:sz="4" w:space="0" w:color="365F91"/>
          <w:insideH w:val="single" w:sz="4" w:space="0" w:color="365F91"/>
          <w:insideV w:val="single" w:sz="4" w:space="0" w:color="365F91"/>
        </w:tblBorders>
        <w:tblLook w:val="0420" w:firstRow="1" w:lastRow="0" w:firstColumn="0" w:lastColumn="0" w:noHBand="0" w:noVBand="1"/>
      </w:tblPr>
      <w:tblGrid>
        <w:gridCol w:w="566"/>
        <w:gridCol w:w="983"/>
        <w:gridCol w:w="1407"/>
        <w:gridCol w:w="1691"/>
        <w:gridCol w:w="3858"/>
      </w:tblGrid>
      <w:tr w:rsidR="007F00E5" w:rsidRPr="00BE78CA" w14:paraId="53DD9669" w14:textId="77777777" w:rsidTr="00005EB6">
        <w:trPr>
          <w:tblHeader/>
        </w:trPr>
        <w:tc>
          <w:tcPr>
            <w:tcW w:w="333" w:type="pct"/>
            <w:shd w:val="clear" w:color="auto" w:fill="365F91"/>
            <w:noWrap/>
            <w:vAlign w:val="bottom"/>
            <w:hideMark/>
          </w:tcPr>
          <w:p w14:paraId="58F504EF" w14:textId="77777777" w:rsidR="007F00E5" w:rsidRPr="00BE78CA" w:rsidRDefault="007F00E5" w:rsidP="00C26084">
            <w:pPr>
              <w:pStyle w:val="TableTextBold"/>
              <w:keepNext/>
              <w:rPr>
                <w:noProof w:val="0"/>
                <w:color w:val="FFFFFF"/>
                <w:szCs w:val="16"/>
              </w:rPr>
            </w:pPr>
            <w:r w:rsidRPr="00BE78CA">
              <w:rPr>
                <w:noProof w:val="0"/>
                <w:color w:val="FFFFFF"/>
                <w:szCs w:val="16"/>
              </w:rPr>
              <w:t>Gas</w:t>
            </w:r>
          </w:p>
        </w:tc>
        <w:tc>
          <w:tcPr>
            <w:tcW w:w="578" w:type="pct"/>
            <w:shd w:val="clear" w:color="auto" w:fill="365F91"/>
            <w:noWrap/>
            <w:vAlign w:val="bottom"/>
            <w:hideMark/>
          </w:tcPr>
          <w:p w14:paraId="4ACB3B10" w14:textId="77777777" w:rsidR="007F00E5" w:rsidRPr="00BE78CA" w:rsidRDefault="007F00E5" w:rsidP="00C26084">
            <w:pPr>
              <w:pStyle w:val="TableTextBold"/>
              <w:keepNext/>
              <w:rPr>
                <w:noProof w:val="0"/>
                <w:color w:val="FFFFFF"/>
                <w:szCs w:val="16"/>
              </w:rPr>
            </w:pPr>
            <w:r w:rsidRPr="00BE78CA">
              <w:rPr>
                <w:noProof w:val="0"/>
                <w:color w:val="FFFFFF"/>
                <w:szCs w:val="16"/>
              </w:rPr>
              <w:t>Fuel type</w:t>
            </w:r>
          </w:p>
        </w:tc>
        <w:tc>
          <w:tcPr>
            <w:tcW w:w="827" w:type="pct"/>
            <w:shd w:val="clear" w:color="auto" w:fill="365F91"/>
            <w:vAlign w:val="bottom"/>
            <w:hideMark/>
          </w:tcPr>
          <w:p w14:paraId="71A5A06A" w14:textId="77777777" w:rsidR="007F00E5" w:rsidRPr="00BE78CA" w:rsidRDefault="007F00E5" w:rsidP="00C26084">
            <w:pPr>
              <w:pStyle w:val="TableTextBold"/>
              <w:keepNext/>
              <w:jc w:val="center"/>
              <w:rPr>
                <w:noProof w:val="0"/>
                <w:color w:val="FFFFFF"/>
                <w:szCs w:val="16"/>
              </w:rPr>
            </w:pPr>
            <w:r w:rsidRPr="00BE78CA">
              <w:rPr>
                <w:noProof w:val="0"/>
                <w:color w:val="FFFFFF"/>
                <w:szCs w:val="16"/>
              </w:rPr>
              <w:t>Activity data (AD) uncertainty (%)</w:t>
            </w:r>
          </w:p>
        </w:tc>
        <w:tc>
          <w:tcPr>
            <w:tcW w:w="994" w:type="pct"/>
            <w:shd w:val="clear" w:color="auto" w:fill="365F91"/>
            <w:vAlign w:val="bottom"/>
            <w:hideMark/>
          </w:tcPr>
          <w:p w14:paraId="7A07E6E9" w14:textId="77777777" w:rsidR="007F00E5" w:rsidRPr="00BE78CA" w:rsidRDefault="007F00E5" w:rsidP="00C26084">
            <w:pPr>
              <w:pStyle w:val="TableTextBold"/>
              <w:keepNext/>
              <w:jc w:val="center"/>
              <w:rPr>
                <w:noProof w:val="0"/>
                <w:color w:val="FFFFFF"/>
                <w:szCs w:val="16"/>
              </w:rPr>
            </w:pPr>
            <w:r w:rsidRPr="00BE78CA">
              <w:rPr>
                <w:noProof w:val="0"/>
                <w:color w:val="FFFFFF"/>
                <w:szCs w:val="16"/>
              </w:rPr>
              <w:t>Emission factor (EF) uncertainty (%)</w:t>
            </w:r>
          </w:p>
        </w:tc>
        <w:tc>
          <w:tcPr>
            <w:tcW w:w="2268" w:type="pct"/>
            <w:shd w:val="clear" w:color="auto" w:fill="365F91"/>
            <w:vAlign w:val="bottom"/>
          </w:tcPr>
          <w:p w14:paraId="1C3261C5" w14:textId="77777777" w:rsidR="007F00E5" w:rsidRPr="00BE78CA" w:rsidRDefault="007F00E5" w:rsidP="00C26084">
            <w:pPr>
              <w:pStyle w:val="TableTextBold"/>
              <w:keepNext/>
              <w:jc w:val="center"/>
              <w:rPr>
                <w:noProof w:val="0"/>
                <w:color w:val="FFFFFF"/>
                <w:szCs w:val="16"/>
              </w:rPr>
            </w:pPr>
            <w:r w:rsidRPr="00BE78CA">
              <w:rPr>
                <w:noProof w:val="0"/>
                <w:color w:val="FFFFFF"/>
                <w:szCs w:val="16"/>
              </w:rPr>
              <w:t>Source</w:t>
            </w:r>
          </w:p>
        </w:tc>
      </w:tr>
      <w:tr w:rsidR="007F00E5" w:rsidRPr="00BE78CA" w14:paraId="0C1CE776" w14:textId="77777777" w:rsidTr="00005EB6">
        <w:tc>
          <w:tcPr>
            <w:tcW w:w="333" w:type="pct"/>
            <w:shd w:val="clear" w:color="auto" w:fill="auto"/>
            <w:noWrap/>
            <w:hideMark/>
          </w:tcPr>
          <w:p w14:paraId="76E01DCC" w14:textId="77777777" w:rsidR="007F00E5" w:rsidRPr="00BE78CA" w:rsidRDefault="007F00E5" w:rsidP="00C26084">
            <w:pPr>
              <w:pStyle w:val="TableText"/>
              <w:rPr>
                <w:szCs w:val="16"/>
              </w:rPr>
            </w:pPr>
            <w:r w:rsidRPr="00BE78CA">
              <w:rPr>
                <w:szCs w:val="16"/>
              </w:rPr>
              <w:t>CO</w:t>
            </w:r>
            <w:r w:rsidRPr="00BE78CA">
              <w:rPr>
                <w:szCs w:val="16"/>
                <w:vertAlign w:val="subscript"/>
              </w:rPr>
              <w:t>2</w:t>
            </w:r>
          </w:p>
        </w:tc>
        <w:tc>
          <w:tcPr>
            <w:tcW w:w="578" w:type="pct"/>
            <w:shd w:val="clear" w:color="auto" w:fill="auto"/>
            <w:noWrap/>
            <w:hideMark/>
          </w:tcPr>
          <w:p w14:paraId="0EE40B48" w14:textId="77777777" w:rsidR="007F00E5" w:rsidRPr="00BE78CA" w:rsidRDefault="007F00E5" w:rsidP="00C26084">
            <w:pPr>
              <w:pStyle w:val="TableText"/>
              <w:rPr>
                <w:szCs w:val="16"/>
              </w:rPr>
            </w:pPr>
            <w:r w:rsidRPr="00BE78CA">
              <w:rPr>
                <w:szCs w:val="16"/>
              </w:rPr>
              <w:t>Liquid fuels</w:t>
            </w:r>
          </w:p>
        </w:tc>
        <w:tc>
          <w:tcPr>
            <w:tcW w:w="827" w:type="pct"/>
            <w:shd w:val="clear" w:color="auto" w:fill="auto"/>
            <w:noWrap/>
            <w:hideMark/>
          </w:tcPr>
          <w:p w14:paraId="5D91797C" w14:textId="77777777" w:rsidR="007F00E5" w:rsidRPr="00BE78CA" w:rsidRDefault="007F00E5" w:rsidP="00C26084">
            <w:pPr>
              <w:pStyle w:val="TableText"/>
              <w:jc w:val="center"/>
              <w:rPr>
                <w:szCs w:val="16"/>
              </w:rPr>
            </w:pPr>
            <w:r w:rsidRPr="00BE78CA">
              <w:rPr>
                <w:szCs w:val="16"/>
              </w:rPr>
              <w:t>10</w:t>
            </w:r>
          </w:p>
        </w:tc>
        <w:tc>
          <w:tcPr>
            <w:tcW w:w="994" w:type="pct"/>
            <w:shd w:val="clear" w:color="auto" w:fill="auto"/>
            <w:noWrap/>
            <w:hideMark/>
          </w:tcPr>
          <w:p w14:paraId="30EE69F5" w14:textId="77777777" w:rsidR="007F00E5" w:rsidRPr="00BE78CA" w:rsidRDefault="007F00E5" w:rsidP="00C26084">
            <w:pPr>
              <w:pStyle w:val="TableText"/>
              <w:jc w:val="center"/>
              <w:rPr>
                <w:szCs w:val="16"/>
              </w:rPr>
            </w:pPr>
            <w:r w:rsidRPr="00BE78CA">
              <w:rPr>
                <w:szCs w:val="16"/>
              </w:rPr>
              <w:t>±7</w:t>
            </w:r>
          </w:p>
        </w:tc>
        <w:tc>
          <w:tcPr>
            <w:tcW w:w="2268" w:type="pct"/>
          </w:tcPr>
          <w:p w14:paraId="4563A2A9" w14:textId="77777777" w:rsidR="007F00E5" w:rsidRPr="00BE78CA" w:rsidRDefault="007F00E5" w:rsidP="00C26084">
            <w:pPr>
              <w:pStyle w:val="TableText"/>
              <w:rPr>
                <w:szCs w:val="16"/>
              </w:rPr>
            </w:pPr>
            <w:r w:rsidRPr="00BE78CA">
              <w:rPr>
                <w:szCs w:val="16"/>
              </w:rPr>
              <w:t>AD: page 2.41, IPCC, 2006a (table 2.15)</w:t>
            </w:r>
          </w:p>
          <w:p w14:paraId="1A641240" w14:textId="77777777" w:rsidR="007F00E5" w:rsidRPr="00BE78CA" w:rsidRDefault="007F00E5" w:rsidP="00C26084">
            <w:pPr>
              <w:pStyle w:val="TableText"/>
              <w:spacing w:before="0"/>
              <w:rPr>
                <w:szCs w:val="16"/>
              </w:rPr>
            </w:pPr>
            <w:r w:rsidRPr="00BE78CA">
              <w:rPr>
                <w:szCs w:val="16"/>
              </w:rPr>
              <w:t xml:space="preserve">EF: page 2.38, IPCC, 2006a </w:t>
            </w:r>
          </w:p>
        </w:tc>
      </w:tr>
      <w:tr w:rsidR="007F00E5" w:rsidRPr="00BE78CA" w14:paraId="3241E571" w14:textId="77777777" w:rsidTr="00005EB6">
        <w:tc>
          <w:tcPr>
            <w:tcW w:w="333" w:type="pct"/>
            <w:shd w:val="clear" w:color="auto" w:fill="auto"/>
            <w:noWrap/>
            <w:hideMark/>
          </w:tcPr>
          <w:p w14:paraId="4BE854E9" w14:textId="77777777" w:rsidR="007F00E5" w:rsidRPr="00BE78CA" w:rsidRDefault="007F00E5" w:rsidP="00C26084">
            <w:pPr>
              <w:pStyle w:val="TableText"/>
              <w:rPr>
                <w:szCs w:val="16"/>
              </w:rPr>
            </w:pPr>
            <w:r w:rsidRPr="00BE78CA">
              <w:rPr>
                <w:szCs w:val="16"/>
              </w:rPr>
              <w:t>CH</w:t>
            </w:r>
            <w:r w:rsidRPr="00BE78CA">
              <w:rPr>
                <w:szCs w:val="16"/>
                <w:vertAlign w:val="subscript"/>
              </w:rPr>
              <w:t>4</w:t>
            </w:r>
          </w:p>
        </w:tc>
        <w:tc>
          <w:tcPr>
            <w:tcW w:w="578" w:type="pct"/>
            <w:shd w:val="clear" w:color="auto" w:fill="auto"/>
            <w:noWrap/>
            <w:hideMark/>
          </w:tcPr>
          <w:p w14:paraId="2B0E4D95" w14:textId="77777777" w:rsidR="007F00E5" w:rsidRPr="00BE78CA" w:rsidRDefault="007F00E5" w:rsidP="00C26084">
            <w:pPr>
              <w:pStyle w:val="TableText"/>
              <w:rPr>
                <w:szCs w:val="16"/>
              </w:rPr>
            </w:pPr>
            <w:r w:rsidRPr="00BE78CA">
              <w:rPr>
                <w:szCs w:val="16"/>
              </w:rPr>
              <w:t>Liquid fuels</w:t>
            </w:r>
          </w:p>
        </w:tc>
        <w:tc>
          <w:tcPr>
            <w:tcW w:w="827" w:type="pct"/>
            <w:shd w:val="clear" w:color="auto" w:fill="auto"/>
            <w:noWrap/>
            <w:hideMark/>
          </w:tcPr>
          <w:p w14:paraId="5EC305EC" w14:textId="77777777" w:rsidR="007F00E5" w:rsidRPr="00BE78CA" w:rsidRDefault="007F00E5" w:rsidP="00C26084">
            <w:pPr>
              <w:pStyle w:val="TableText"/>
              <w:jc w:val="center"/>
              <w:rPr>
                <w:szCs w:val="16"/>
              </w:rPr>
            </w:pPr>
            <w:r w:rsidRPr="00BE78CA">
              <w:rPr>
                <w:szCs w:val="16"/>
              </w:rPr>
              <w:t>10</w:t>
            </w:r>
          </w:p>
        </w:tc>
        <w:tc>
          <w:tcPr>
            <w:tcW w:w="994" w:type="pct"/>
            <w:shd w:val="clear" w:color="auto" w:fill="auto"/>
            <w:noWrap/>
            <w:hideMark/>
          </w:tcPr>
          <w:p w14:paraId="7AC722CC" w14:textId="77777777" w:rsidR="007F00E5" w:rsidRPr="00BE78CA" w:rsidRDefault="007F00E5" w:rsidP="00C26084">
            <w:pPr>
              <w:pStyle w:val="TableText"/>
              <w:jc w:val="center"/>
              <w:rPr>
                <w:szCs w:val="16"/>
              </w:rPr>
            </w:pPr>
            <w:r w:rsidRPr="00BE78CA">
              <w:rPr>
                <w:szCs w:val="16"/>
              </w:rPr>
              <w:t>±50.0</w:t>
            </w:r>
          </w:p>
        </w:tc>
        <w:tc>
          <w:tcPr>
            <w:tcW w:w="2268" w:type="pct"/>
          </w:tcPr>
          <w:p w14:paraId="448ED3CF" w14:textId="77777777" w:rsidR="007F00E5" w:rsidRPr="00BE78CA" w:rsidRDefault="007F00E5" w:rsidP="00C26084">
            <w:pPr>
              <w:pStyle w:val="TableText"/>
              <w:rPr>
                <w:szCs w:val="16"/>
              </w:rPr>
            </w:pPr>
            <w:r w:rsidRPr="00BE78CA">
              <w:rPr>
                <w:szCs w:val="16"/>
              </w:rPr>
              <w:t>AD: page 2.41, IPCC, 2006a (table 2.15)</w:t>
            </w:r>
          </w:p>
          <w:p w14:paraId="36609506" w14:textId="77777777" w:rsidR="007F00E5" w:rsidRPr="00BE78CA" w:rsidRDefault="007F00E5" w:rsidP="00C26084">
            <w:pPr>
              <w:pStyle w:val="TableText"/>
              <w:spacing w:before="0"/>
              <w:rPr>
                <w:szCs w:val="16"/>
              </w:rPr>
            </w:pPr>
            <w:r w:rsidRPr="00BE78CA">
              <w:rPr>
                <w:szCs w:val="16"/>
              </w:rPr>
              <w:t>EF: page 2.38, IPCC, 2006a (table 2.12)</w:t>
            </w:r>
          </w:p>
        </w:tc>
      </w:tr>
      <w:tr w:rsidR="007F00E5" w:rsidRPr="00BE78CA" w14:paraId="69E50847" w14:textId="77777777" w:rsidTr="00005EB6">
        <w:tc>
          <w:tcPr>
            <w:tcW w:w="333" w:type="pct"/>
            <w:shd w:val="clear" w:color="auto" w:fill="auto"/>
            <w:noWrap/>
            <w:hideMark/>
          </w:tcPr>
          <w:p w14:paraId="250BE6DC" w14:textId="77777777" w:rsidR="007F00E5" w:rsidRPr="00BE78CA" w:rsidRDefault="007F00E5" w:rsidP="00C26084">
            <w:pPr>
              <w:pStyle w:val="TableText"/>
              <w:rPr>
                <w:szCs w:val="16"/>
              </w:rPr>
            </w:pPr>
            <w:r w:rsidRPr="00BE78CA">
              <w:rPr>
                <w:szCs w:val="16"/>
              </w:rPr>
              <w:t>N</w:t>
            </w:r>
            <w:r w:rsidRPr="00BE78CA">
              <w:rPr>
                <w:szCs w:val="16"/>
                <w:vertAlign w:val="subscript"/>
              </w:rPr>
              <w:t>2</w:t>
            </w:r>
            <w:r w:rsidRPr="00BE78CA">
              <w:rPr>
                <w:szCs w:val="16"/>
              </w:rPr>
              <w:t>O</w:t>
            </w:r>
          </w:p>
        </w:tc>
        <w:tc>
          <w:tcPr>
            <w:tcW w:w="578" w:type="pct"/>
            <w:shd w:val="clear" w:color="auto" w:fill="auto"/>
            <w:noWrap/>
            <w:hideMark/>
          </w:tcPr>
          <w:p w14:paraId="54A45259" w14:textId="77777777" w:rsidR="007F00E5" w:rsidRPr="00BE78CA" w:rsidRDefault="007F00E5" w:rsidP="00C26084">
            <w:pPr>
              <w:pStyle w:val="TableText"/>
              <w:rPr>
                <w:szCs w:val="16"/>
              </w:rPr>
            </w:pPr>
            <w:r w:rsidRPr="00BE78CA">
              <w:rPr>
                <w:szCs w:val="16"/>
              </w:rPr>
              <w:t>Liquid fuels</w:t>
            </w:r>
          </w:p>
        </w:tc>
        <w:tc>
          <w:tcPr>
            <w:tcW w:w="827" w:type="pct"/>
            <w:shd w:val="clear" w:color="auto" w:fill="auto"/>
            <w:noWrap/>
            <w:hideMark/>
          </w:tcPr>
          <w:p w14:paraId="3EF804A9" w14:textId="77777777" w:rsidR="007F00E5" w:rsidRPr="00BE78CA" w:rsidRDefault="007F00E5" w:rsidP="00C26084">
            <w:pPr>
              <w:pStyle w:val="TableText"/>
              <w:jc w:val="center"/>
              <w:rPr>
                <w:szCs w:val="16"/>
              </w:rPr>
            </w:pPr>
            <w:r w:rsidRPr="00BE78CA">
              <w:rPr>
                <w:szCs w:val="16"/>
              </w:rPr>
              <w:t>10</w:t>
            </w:r>
          </w:p>
        </w:tc>
        <w:tc>
          <w:tcPr>
            <w:tcW w:w="994" w:type="pct"/>
            <w:shd w:val="clear" w:color="auto" w:fill="auto"/>
            <w:noWrap/>
            <w:hideMark/>
          </w:tcPr>
          <w:p w14:paraId="4BD7A98D" w14:textId="77777777" w:rsidR="007F00E5" w:rsidRPr="00BE78CA" w:rsidRDefault="007F00E5" w:rsidP="00C26084">
            <w:pPr>
              <w:pStyle w:val="TableText"/>
              <w:jc w:val="center"/>
              <w:rPr>
                <w:szCs w:val="16"/>
              </w:rPr>
            </w:pPr>
            <w:r w:rsidRPr="00BE78CA">
              <w:rPr>
                <w:szCs w:val="16"/>
              </w:rPr>
              <w:t>±50.0</w:t>
            </w:r>
          </w:p>
        </w:tc>
        <w:tc>
          <w:tcPr>
            <w:tcW w:w="2268" w:type="pct"/>
          </w:tcPr>
          <w:p w14:paraId="2B905E1D" w14:textId="77777777" w:rsidR="007F00E5" w:rsidRPr="00BE78CA" w:rsidRDefault="007F00E5" w:rsidP="00C26084">
            <w:pPr>
              <w:pStyle w:val="TableText"/>
              <w:rPr>
                <w:szCs w:val="16"/>
              </w:rPr>
            </w:pPr>
            <w:r w:rsidRPr="00BE78CA">
              <w:rPr>
                <w:szCs w:val="16"/>
              </w:rPr>
              <w:t>AD: page 2.41, IPCC, 2006a (table 2.15)</w:t>
            </w:r>
          </w:p>
          <w:p w14:paraId="5C775AD8" w14:textId="77777777" w:rsidR="007F00E5" w:rsidRPr="00BE78CA" w:rsidRDefault="007F00E5" w:rsidP="00C26084">
            <w:pPr>
              <w:pStyle w:val="TableText"/>
              <w:spacing w:before="0"/>
              <w:rPr>
                <w:szCs w:val="16"/>
              </w:rPr>
            </w:pPr>
            <w:r w:rsidRPr="00BE78CA">
              <w:rPr>
                <w:szCs w:val="16"/>
              </w:rPr>
              <w:t>EF: New Zealand’s value is used (table 3.3.1, chapter 3)</w:t>
            </w:r>
          </w:p>
        </w:tc>
      </w:tr>
    </w:tbl>
    <w:p w14:paraId="127B76A5" w14:textId="77777777" w:rsidR="007F00E5" w:rsidRPr="00BE78CA" w:rsidRDefault="007F00E5" w:rsidP="007F00E5">
      <w:pPr>
        <w:pStyle w:val="Heading4"/>
        <w:spacing w:before="360"/>
      </w:pPr>
      <w:r w:rsidRPr="00BE78CA">
        <w:t>Source-specific recalculations</w:t>
      </w:r>
    </w:p>
    <w:p w14:paraId="25834C2B" w14:textId="77777777" w:rsidR="007F00E5" w:rsidRPr="00BE78CA" w:rsidRDefault="007F00E5" w:rsidP="007F00E5">
      <w:pPr>
        <w:pStyle w:val="BodyText"/>
      </w:pPr>
      <w:r w:rsidRPr="00BE78CA">
        <w:rPr>
          <w:lang w:eastAsia="en-GB"/>
        </w:rPr>
        <w:t xml:space="preserve">There has been one minor recalculation in the Tokelau emission estimates since the 2020 submission. </w:t>
      </w:r>
      <w:r w:rsidRPr="00BE78CA">
        <w:rPr>
          <w:rFonts w:eastAsia="Arial"/>
        </w:rPr>
        <w:t>The recalculation made for the Tokelau sector has resulted in no change in emissions in 1990 and a 0.6 per cent (0.02 kt CO</w:t>
      </w:r>
      <w:r w:rsidRPr="00BE78CA">
        <w:rPr>
          <w:rFonts w:eastAsia="Arial"/>
          <w:vertAlign w:val="subscript"/>
        </w:rPr>
        <w:t>2</w:t>
      </w:r>
      <w:r w:rsidRPr="00BE78CA">
        <w:rPr>
          <w:rFonts w:eastAsia="Arial"/>
        </w:rPr>
        <w:t xml:space="preserve">-e) increase in emissions in 2018. </w:t>
      </w:r>
      <w:r w:rsidRPr="00BE78CA">
        <w:rPr>
          <w:lang w:eastAsia="en-GB"/>
        </w:rPr>
        <w:t>This is a result of re-interpolating diesel used for electricity generation in 2016 to 2018 using the latest activity data for 2019.</w:t>
      </w:r>
    </w:p>
    <w:p w14:paraId="390DD840" w14:textId="77777777" w:rsidR="007F00E5" w:rsidRPr="00BE78CA" w:rsidRDefault="007F00E5" w:rsidP="007F00E5">
      <w:pPr>
        <w:pStyle w:val="Heading4"/>
      </w:pPr>
      <w:r w:rsidRPr="00BE78CA">
        <w:lastRenderedPageBreak/>
        <w:t>Source-specific planned improvements</w:t>
      </w:r>
    </w:p>
    <w:p w14:paraId="632DE5CA" w14:textId="77777777" w:rsidR="007F00E5" w:rsidRPr="00BE78CA" w:rsidRDefault="007F00E5" w:rsidP="007F00E5">
      <w:pPr>
        <w:pStyle w:val="BodyText"/>
      </w:pPr>
      <w:r w:rsidRPr="00BE78CA">
        <w:t>There are no planned improvements for energy industries. Some areas identified for possible improvements are better monitoring of diesel fuel actually landing on-atoll at the power sites, and clearly separating fuel used for power generation from heavy machinery and diesel</w:t>
      </w:r>
      <w:r w:rsidRPr="00BE78CA">
        <w:noBreakHyphen/>
        <w:t>powered vehicles. Data on gross electricity production from oil were acquired in late 2019 from the International Renewable Energy Agency; these could provide additional detail and verification of energy use back to their base year 2000. Future imports of coolants (ethylene glycol) for the solar PV-powered plants may also be considered in future.</w:t>
      </w:r>
    </w:p>
    <w:p w14:paraId="72D56EB7" w14:textId="77777777" w:rsidR="007F00E5" w:rsidRPr="00BE78CA" w:rsidRDefault="007F00E5" w:rsidP="007F00E5">
      <w:pPr>
        <w:pStyle w:val="Heading3"/>
      </w:pPr>
      <w:r w:rsidRPr="00BE78CA">
        <w:t xml:space="preserve">8.2.4 </w:t>
      </w:r>
      <w:r w:rsidRPr="00BE78CA">
        <w:tab/>
        <w:t xml:space="preserve">Stationary combustion: </w:t>
      </w:r>
      <w:r w:rsidRPr="00BE78CA">
        <w:rPr>
          <w:i/>
        </w:rPr>
        <w:t>Other sectors – residential</w:t>
      </w:r>
    </w:p>
    <w:p w14:paraId="010557BF" w14:textId="77777777" w:rsidR="007F00E5" w:rsidRPr="00BE78CA" w:rsidRDefault="007F00E5" w:rsidP="007F00E5">
      <w:pPr>
        <w:pStyle w:val="Heading4"/>
        <w:spacing w:before="160"/>
      </w:pPr>
      <w:r w:rsidRPr="00BE78CA">
        <w:t>Description</w:t>
      </w:r>
    </w:p>
    <w:p w14:paraId="4503F834" w14:textId="77777777" w:rsidR="007F00E5" w:rsidRPr="00BE78CA" w:rsidRDefault="007F00E5" w:rsidP="007F00E5">
      <w:pPr>
        <w:pStyle w:val="BodyText"/>
      </w:pPr>
      <w:r w:rsidRPr="00BE78CA">
        <w:t xml:space="preserve">There is no significant industry in Tokelau. All energy is used by domestic and fishing activities and community–government activities (for example, meeting halls and offices, village freezers, building projects, stevedoring). Therefore, emissions associated with energy consumption in Tokelau (except fishing) are included in the category </w:t>
      </w:r>
      <w:r w:rsidRPr="00BE78CA">
        <w:rPr>
          <w:i/>
        </w:rPr>
        <w:t>Other sectors – Residential</w:t>
      </w:r>
      <w:r w:rsidRPr="00BE78CA">
        <w:t xml:space="preserve">. The small amount of emissions associated with communal activities are not easily distinguishable from those coming from residential activities and are therefore included under the </w:t>
      </w:r>
      <w:r w:rsidRPr="00BE78CA">
        <w:rPr>
          <w:i/>
        </w:rPr>
        <w:t>Other sectors – Residential</w:t>
      </w:r>
      <w:r w:rsidRPr="00BE78CA">
        <w:t xml:space="preserve"> category. Emissions from fishing are included under </w:t>
      </w:r>
      <w:r w:rsidRPr="00BE78CA">
        <w:rPr>
          <w:i/>
        </w:rPr>
        <w:t>Domestic navigation</w:t>
      </w:r>
      <w:r w:rsidRPr="00BE78CA">
        <w:t xml:space="preserve">. This is because it is difficult to distinguish fuel use for fishing from fuel use for domestic navigation in Tokelau, because families use the same boats for both purposes. </w:t>
      </w:r>
    </w:p>
    <w:p w14:paraId="4455B71C" w14:textId="77777777" w:rsidR="007F00E5" w:rsidRPr="00BE78CA" w:rsidRDefault="007F00E5" w:rsidP="007F00E5">
      <w:pPr>
        <w:pStyle w:val="BodyText"/>
      </w:pPr>
      <w:r w:rsidRPr="00BE78CA">
        <w:t>According to the 2016 Tokelau Census, every household has a fridge and a freezer, and some households now have air conditioning. Most households (over 60 per cent) also own a washing machine, a computer and a television. The United Nations Development Programme, under the Tokelau Energy Sector Support Project, has in the past funded a programme of replacing old inefficient fridges and freezers with new ones. Home appliances in Tokelau mainly use the power provided by solar PV-powered plants, supplemented as needed by back-up diesel</w:t>
      </w:r>
      <w:r w:rsidRPr="00BE78CA">
        <w:noBreakHyphen/>
        <w:t xml:space="preserve">powered generators. Emissions associated with the use of diesel-powered back-up generators are included under the </w:t>
      </w:r>
      <w:r w:rsidRPr="00BE78CA">
        <w:rPr>
          <w:i/>
        </w:rPr>
        <w:t xml:space="preserve">Energy industries </w:t>
      </w:r>
      <w:r w:rsidRPr="00BE78CA">
        <w:t xml:space="preserve">category. </w:t>
      </w:r>
    </w:p>
    <w:p w14:paraId="275E98C5" w14:textId="0B19D99C" w:rsidR="007F00E5" w:rsidRPr="00BE78CA" w:rsidRDefault="007F00E5" w:rsidP="007F00E5">
      <w:pPr>
        <w:pStyle w:val="BodyText"/>
      </w:pPr>
      <w:r w:rsidRPr="00BE78CA">
        <w:t>Gas cooking using imported natural gas (LPG) is the preferred method used by about 72.0</w:t>
      </w:r>
      <w:r w:rsidR="004231F8" w:rsidRPr="00BE78CA">
        <w:t> </w:t>
      </w:r>
      <w:r w:rsidRPr="00BE78CA">
        <w:t>per</w:t>
      </w:r>
      <w:r w:rsidR="004231F8" w:rsidRPr="00BE78CA">
        <w:t> </w:t>
      </w:r>
      <w:r w:rsidRPr="00BE78CA">
        <w:t>cent</w:t>
      </w:r>
      <w:r w:rsidR="004231F8" w:rsidRPr="00BE78CA">
        <w:t xml:space="preserve"> </w:t>
      </w:r>
      <w:r w:rsidRPr="00BE78CA">
        <w:t>of</w:t>
      </w:r>
      <w:r w:rsidR="004231F8" w:rsidRPr="00BE78CA">
        <w:t xml:space="preserve"> </w:t>
      </w:r>
      <w:r w:rsidRPr="00BE78CA">
        <w:t>households, replacing kerosene stoves. For the past decade, the use of kerosene stoves</w:t>
      </w:r>
      <w:r w:rsidR="004231F8" w:rsidRPr="00BE78CA">
        <w:t xml:space="preserve"> </w:t>
      </w:r>
      <w:r w:rsidRPr="00BE78CA">
        <w:t>dropped from 56.6 per cent of households in 2006 to 23.6 per cent in 2016 (2016</w:t>
      </w:r>
      <w:r w:rsidR="004231F8" w:rsidRPr="00BE78CA">
        <w:t xml:space="preserve"> </w:t>
      </w:r>
      <w:r w:rsidRPr="00BE78CA">
        <w:t xml:space="preserve">Tokelau Census). Associated activity data and emissions are included under </w:t>
      </w:r>
      <w:r w:rsidRPr="00BE78CA">
        <w:rPr>
          <w:i/>
        </w:rPr>
        <w:t>Other sectors – Residential</w:t>
      </w:r>
      <w:r w:rsidRPr="00BE78CA">
        <w:t xml:space="preserve"> category.</w:t>
      </w:r>
    </w:p>
    <w:p w14:paraId="7317911C" w14:textId="77777777" w:rsidR="007F00E5" w:rsidRPr="00BE78CA" w:rsidRDefault="007F00E5" w:rsidP="007F00E5">
      <w:pPr>
        <w:pStyle w:val="BodyText"/>
      </w:pPr>
      <w:r w:rsidRPr="00BE78CA">
        <w:t xml:space="preserve">In 2019, emissions from the </w:t>
      </w:r>
      <w:r w:rsidRPr="00BE78CA">
        <w:rPr>
          <w:i/>
        </w:rPr>
        <w:t>Other sectors – Residential</w:t>
      </w:r>
      <w:r w:rsidRPr="00BE78CA">
        <w:t xml:space="preserve"> category</w:t>
      </w:r>
      <w:r w:rsidRPr="00BE78CA">
        <w:rPr>
          <w:lang w:eastAsia="en-GB"/>
        </w:rPr>
        <w:t xml:space="preserve"> </w:t>
      </w:r>
      <w:r w:rsidRPr="00BE78CA">
        <w:t>were 0.07 kt CO</w:t>
      </w:r>
      <w:r w:rsidRPr="00BE78CA">
        <w:rPr>
          <w:vertAlign w:val="subscript"/>
        </w:rPr>
        <w:t>2</w:t>
      </w:r>
      <w:r w:rsidRPr="00BE78CA">
        <w:t>-e (2.9 per cent of all energy emissions from Tokelau).</w:t>
      </w:r>
    </w:p>
    <w:p w14:paraId="6A26CD50" w14:textId="77777777" w:rsidR="007F00E5" w:rsidRPr="00BE78CA" w:rsidRDefault="007F00E5" w:rsidP="007F00E5">
      <w:pPr>
        <w:pStyle w:val="Heading4"/>
      </w:pPr>
      <w:r w:rsidRPr="00BE78CA">
        <w:t>Methodological issues</w:t>
      </w:r>
    </w:p>
    <w:p w14:paraId="6D9F76DD" w14:textId="77777777" w:rsidR="007F00E5" w:rsidRPr="00BE78CA" w:rsidRDefault="007F00E5" w:rsidP="007F00E5">
      <w:pPr>
        <w:pStyle w:val="Heading5"/>
        <w:spacing w:before="120"/>
        <w:rPr>
          <w:lang w:eastAsia="en-GB"/>
        </w:rPr>
      </w:pPr>
      <w:r w:rsidRPr="00BE78CA">
        <w:rPr>
          <w:lang w:eastAsia="en-GB"/>
        </w:rPr>
        <w:t>Activity data</w:t>
      </w:r>
    </w:p>
    <w:p w14:paraId="199FDF58" w14:textId="77777777" w:rsidR="007F00E5" w:rsidRPr="00BE78CA" w:rsidRDefault="007F00E5" w:rsidP="007F00E5">
      <w:pPr>
        <w:pStyle w:val="BodyText"/>
      </w:pPr>
      <w:r w:rsidRPr="00BE78CA">
        <w:rPr>
          <w:lang w:eastAsia="en-GB"/>
        </w:rPr>
        <w:t xml:space="preserve">The sources of activity data for the </w:t>
      </w:r>
      <w:r w:rsidRPr="00BE78CA">
        <w:rPr>
          <w:i/>
          <w:lang w:eastAsia="en-GB"/>
        </w:rPr>
        <w:t>Other sectors – Residential</w:t>
      </w:r>
      <w:r w:rsidRPr="00BE78CA">
        <w:rPr>
          <w:lang w:eastAsia="en-GB"/>
        </w:rPr>
        <w:t xml:space="preserve"> category are included in table 8.1.2. The key data source for the category is paid invoices from Origin Energy Samoa Ltd (Apia, Samoa) providing prices and volumes of propane supplied on-atoll for cooking.</w:t>
      </w:r>
    </w:p>
    <w:p w14:paraId="2547EB8B" w14:textId="77777777" w:rsidR="007F00E5" w:rsidRPr="00BE78CA" w:rsidRDefault="007F00E5" w:rsidP="007F00E5">
      <w:pPr>
        <w:pStyle w:val="Heading5"/>
        <w:rPr>
          <w:lang w:eastAsia="en-GB"/>
        </w:rPr>
      </w:pPr>
      <w:r w:rsidRPr="00BE78CA">
        <w:rPr>
          <w:lang w:eastAsia="en-GB"/>
        </w:rPr>
        <w:lastRenderedPageBreak/>
        <w:t>Methods and emission factors</w:t>
      </w:r>
    </w:p>
    <w:p w14:paraId="5323EC4A" w14:textId="77777777" w:rsidR="007F00E5" w:rsidRPr="00BE78CA" w:rsidRDefault="007F00E5" w:rsidP="007F00E5">
      <w:pPr>
        <w:pStyle w:val="BodyText"/>
        <w:rPr>
          <w:lang w:eastAsia="en-GB"/>
        </w:rPr>
      </w:pPr>
      <w:r w:rsidRPr="00BE78CA">
        <w:rPr>
          <w:lang w:eastAsia="en-GB"/>
        </w:rPr>
        <w:t xml:space="preserve">A Tier 1 method was applied for estimating emissions from the </w:t>
      </w:r>
      <w:r w:rsidRPr="00BE78CA">
        <w:rPr>
          <w:i/>
          <w:lang w:eastAsia="en-GB"/>
        </w:rPr>
        <w:t>Other sectors – Residential</w:t>
      </w:r>
      <w:r w:rsidRPr="00BE78CA">
        <w:rPr>
          <w:lang w:eastAsia="en-GB"/>
        </w:rPr>
        <w:t xml:space="preserve"> category. The method required the data on the amount of LPG combusted in the source category and a default emissions factor from table 2.2, section 2.3.2.1, volume 2 of the 2006 IPCC Guidelines. Default emission factors from the 2006 IPCC Guidelines were converted from net calorific values to gross calorific values using the OECD and IEA assumptions to make these conversions:</w:t>
      </w:r>
    </w:p>
    <w:p w14:paraId="242CC6F3" w14:textId="77777777" w:rsidR="007F00E5" w:rsidRPr="00BE78CA" w:rsidRDefault="007F00E5" w:rsidP="007F00E5">
      <w:pPr>
        <w:pStyle w:val="BodyText"/>
        <w:spacing w:before="80" w:after="80"/>
        <w:jc w:val="center"/>
        <w:rPr>
          <w:rFonts w:ascii="Cambria Math" w:hAnsi="Cambria Math"/>
          <w:sz w:val="24"/>
          <w:szCs w:val="24"/>
          <w:lang w:eastAsia="en-GB"/>
        </w:rPr>
      </w:pPr>
      <w:r w:rsidRPr="00BE78CA">
        <w:rPr>
          <w:rFonts w:ascii="Cambria Math" w:hAnsi="Cambria Math"/>
          <w:sz w:val="24"/>
          <w:szCs w:val="24"/>
          <w:lang w:eastAsia="en-GB"/>
        </w:rPr>
        <w:t>Gross Emission Factor (gaseous fuels) = 0.90 x Net Emission Factor</w:t>
      </w:r>
    </w:p>
    <w:p w14:paraId="64D9199D" w14:textId="77777777" w:rsidR="007F00E5" w:rsidRPr="00BE78CA" w:rsidRDefault="007F00E5" w:rsidP="007F00E5">
      <w:pPr>
        <w:pStyle w:val="BodyText"/>
        <w:rPr>
          <w:lang w:eastAsia="en-GB"/>
        </w:rPr>
      </w:pPr>
      <w:r w:rsidRPr="00BE78CA">
        <w:rPr>
          <w:lang w:eastAsia="en-GB"/>
        </w:rPr>
        <w:t xml:space="preserve">Equations 2.1 and 2.2 from section 2.3.1.1 in the 2006 IPCC Guidelines were used for estimating emissions (IPCC, 2006a). </w:t>
      </w:r>
    </w:p>
    <w:p w14:paraId="77B884DB" w14:textId="77777777" w:rsidR="007F00E5" w:rsidRPr="00BE78CA" w:rsidRDefault="007F00E5" w:rsidP="007F00E5">
      <w:pPr>
        <w:pStyle w:val="Heading4"/>
      </w:pPr>
      <w:r w:rsidRPr="00BE78CA">
        <w:t>Uncertainties</w:t>
      </w:r>
    </w:p>
    <w:p w14:paraId="7CCDCA2E" w14:textId="77777777" w:rsidR="007F00E5" w:rsidRPr="00BE78CA" w:rsidRDefault="007F00E5" w:rsidP="007F00E5">
      <w:pPr>
        <w:pStyle w:val="BodyText"/>
        <w:rPr>
          <w:lang w:eastAsia="en-GB"/>
        </w:rPr>
      </w:pPr>
      <w:r w:rsidRPr="00BE78CA">
        <w:rPr>
          <w:lang w:eastAsia="en-GB"/>
        </w:rPr>
        <w:t>For this submission, it was not possible to develop Tokelau-specific uncertainty values, so for emission factors, default uncertainty values provided in the 2006 IPCC Guidelines were used for CO</w:t>
      </w:r>
      <w:r w:rsidRPr="00BE78CA">
        <w:rPr>
          <w:vertAlign w:val="subscript"/>
          <w:lang w:eastAsia="en-GB"/>
        </w:rPr>
        <w:t xml:space="preserve">2 </w:t>
      </w:r>
      <w:r w:rsidRPr="00BE78CA">
        <w:rPr>
          <w:lang w:eastAsia="en-GB"/>
        </w:rPr>
        <w:t>and CH</w:t>
      </w:r>
      <w:r w:rsidRPr="00BE78CA">
        <w:rPr>
          <w:vertAlign w:val="subscript"/>
          <w:lang w:eastAsia="en-GB"/>
        </w:rPr>
        <w:t>4</w:t>
      </w:r>
      <w:r w:rsidRPr="00BE78CA">
        <w:rPr>
          <w:lang w:eastAsia="en-GB"/>
        </w:rPr>
        <w:t xml:space="preserve"> (for commercial, institutional and residential combustion) (IPCC, 2006a). Because no quantified default emissions factor is provided for N</w:t>
      </w:r>
      <w:r w:rsidRPr="00BE78CA">
        <w:rPr>
          <w:vertAlign w:val="subscript"/>
          <w:lang w:eastAsia="en-GB"/>
        </w:rPr>
        <w:t>2</w:t>
      </w:r>
      <w:r w:rsidRPr="00BE78CA">
        <w:rPr>
          <w:lang w:eastAsia="en-GB"/>
        </w:rPr>
        <w:t>O, New Zealand’s emission factor uncertainty across the Energy sector for N</w:t>
      </w:r>
      <w:r w:rsidRPr="00BE78CA">
        <w:rPr>
          <w:vertAlign w:val="subscript"/>
          <w:lang w:eastAsia="en-GB"/>
        </w:rPr>
        <w:t>2</w:t>
      </w:r>
      <w:r w:rsidRPr="00BE78CA">
        <w:rPr>
          <w:lang w:eastAsia="en-GB"/>
        </w:rPr>
        <w:t xml:space="preserve">O was used for this category. </w:t>
      </w:r>
    </w:p>
    <w:p w14:paraId="7DD23407" w14:textId="77777777" w:rsidR="007F00E5" w:rsidRPr="00BE78CA" w:rsidRDefault="007F00E5" w:rsidP="007F00E5">
      <w:pPr>
        <w:pStyle w:val="BodyText"/>
        <w:rPr>
          <w:lang w:eastAsia="en-GB"/>
        </w:rPr>
      </w:pPr>
      <w:r w:rsidRPr="00BE78CA">
        <w:rPr>
          <w:lang w:eastAsia="en-GB"/>
        </w:rPr>
        <w:t xml:space="preserve">For activity data, a mid-range level of default uncertainty range associated with data extrapolation from the 2006 IPCC Guidelines was applied (IPCC, 2006a). Table 8.2.2 shows the use of uncertainties for the </w:t>
      </w:r>
      <w:r w:rsidRPr="00BE78CA">
        <w:rPr>
          <w:i/>
          <w:lang w:eastAsia="en-GB"/>
        </w:rPr>
        <w:t xml:space="preserve">Other sectors – Residential </w:t>
      </w:r>
      <w:r w:rsidRPr="00BE78CA">
        <w:rPr>
          <w:lang w:eastAsia="en-GB"/>
        </w:rPr>
        <w:t>category.</w:t>
      </w:r>
    </w:p>
    <w:p w14:paraId="0422F159" w14:textId="77777777" w:rsidR="007F00E5" w:rsidRPr="00BE78CA" w:rsidRDefault="007F00E5" w:rsidP="007F00E5">
      <w:pPr>
        <w:pStyle w:val="Table"/>
      </w:pPr>
      <w:bookmarkStart w:id="3221" w:name="_Toc5269597"/>
      <w:bookmarkStart w:id="3222" w:name="_Toc36224678"/>
      <w:bookmarkStart w:id="3223" w:name="_Toc68786564"/>
      <w:r w:rsidRPr="00BE78CA">
        <w:t>Table 8.2.2</w:t>
      </w:r>
      <w:r w:rsidRPr="00BE78CA">
        <w:tab/>
        <w:t xml:space="preserve">Uncertainties for the </w:t>
      </w:r>
      <w:r w:rsidRPr="00BE78CA">
        <w:rPr>
          <w:iCs/>
        </w:rPr>
        <w:t>Other sectors – Residential</w:t>
      </w:r>
      <w:r w:rsidRPr="00BE78CA">
        <w:rPr>
          <w:i/>
        </w:rPr>
        <w:t xml:space="preserve"> </w:t>
      </w:r>
      <w:r w:rsidRPr="00BE78CA">
        <w:t>category</w:t>
      </w:r>
      <w:bookmarkEnd w:id="3221"/>
      <w:bookmarkEnd w:id="3222"/>
      <w:bookmarkEnd w:id="3223"/>
    </w:p>
    <w:tbl>
      <w:tblPr>
        <w:tblW w:w="8505" w:type="dxa"/>
        <w:tblBorders>
          <w:top w:val="single" w:sz="4" w:space="0" w:color="365F91"/>
          <w:bottom w:val="single" w:sz="4" w:space="0" w:color="365F91"/>
          <w:insideH w:val="single" w:sz="4" w:space="0" w:color="365F91"/>
          <w:insideV w:val="single" w:sz="4" w:space="0" w:color="365F91"/>
        </w:tblBorders>
        <w:tblLook w:val="0420" w:firstRow="1" w:lastRow="0" w:firstColumn="0" w:lastColumn="0" w:noHBand="0" w:noVBand="1"/>
      </w:tblPr>
      <w:tblGrid>
        <w:gridCol w:w="567"/>
        <w:gridCol w:w="1119"/>
        <w:gridCol w:w="1575"/>
        <w:gridCol w:w="1701"/>
        <w:gridCol w:w="3543"/>
      </w:tblGrid>
      <w:tr w:rsidR="007F00E5" w:rsidRPr="00BE78CA" w14:paraId="5F1EFF0A" w14:textId="77777777" w:rsidTr="00005EB6">
        <w:trPr>
          <w:tblHeader/>
        </w:trPr>
        <w:tc>
          <w:tcPr>
            <w:tcW w:w="333" w:type="pct"/>
            <w:shd w:val="clear" w:color="auto" w:fill="365F91"/>
            <w:noWrap/>
            <w:vAlign w:val="bottom"/>
            <w:hideMark/>
          </w:tcPr>
          <w:p w14:paraId="4B91A019" w14:textId="77777777" w:rsidR="007F00E5" w:rsidRPr="00BE78CA" w:rsidRDefault="007F00E5" w:rsidP="00C26084">
            <w:pPr>
              <w:pStyle w:val="TableTextBold"/>
              <w:rPr>
                <w:noProof w:val="0"/>
                <w:color w:val="FFFFFF"/>
                <w:szCs w:val="16"/>
              </w:rPr>
            </w:pPr>
            <w:r w:rsidRPr="00BE78CA">
              <w:rPr>
                <w:noProof w:val="0"/>
                <w:color w:val="FFFFFF"/>
                <w:szCs w:val="16"/>
              </w:rPr>
              <w:t>Gas</w:t>
            </w:r>
          </w:p>
        </w:tc>
        <w:tc>
          <w:tcPr>
            <w:tcW w:w="658" w:type="pct"/>
            <w:shd w:val="clear" w:color="auto" w:fill="365F91"/>
            <w:noWrap/>
            <w:vAlign w:val="bottom"/>
            <w:hideMark/>
          </w:tcPr>
          <w:p w14:paraId="2CB7C4D6" w14:textId="77777777" w:rsidR="007F00E5" w:rsidRPr="00BE78CA" w:rsidRDefault="007F00E5" w:rsidP="00C26084">
            <w:pPr>
              <w:pStyle w:val="TableTextBold"/>
              <w:rPr>
                <w:noProof w:val="0"/>
                <w:color w:val="FFFFFF"/>
                <w:szCs w:val="16"/>
              </w:rPr>
            </w:pPr>
            <w:r w:rsidRPr="00BE78CA">
              <w:rPr>
                <w:noProof w:val="0"/>
                <w:color w:val="FFFFFF"/>
                <w:szCs w:val="16"/>
              </w:rPr>
              <w:t>Fuel type</w:t>
            </w:r>
          </w:p>
        </w:tc>
        <w:tc>
          <w:tcPr>
            <w:tcW w:w="926" w:type="pct"/>
            <w:shd w:val="clear" w:color="auto" w:fill="365F91"/>
            <w:vAlign w:val="bottom"/>
            <w:hideMark/>
          </w:tcPr>
          <w:p w14:paraId="210712D8" w14:textId="77777777" w:rsidR="007F00E5" w:rsidRPr="00BE78CA" w:rsidRDefault="007F00E5" w:rsidP="00C26084">
            <w:pPr>
              <w:pStyle w:val="TableTextBold"/>
              <w:jc w:val="center"/>
              <w:rPr>
                <w:noProof w:val="0"/>
                <w:color w:val="FFFFFF"/>
                <w:szCs w:val="16"/>
              </w:rPr>
            </w:pPr>
            <w:r w:rsidRPr="00BE78CA">
              <w:rPr>
                <w:noProof w:val="0"/>
                <w:color w:val="FFFFFF"/>
                <w:szCs w:val="16"/>
              </w:rPr>
              <w:t>Activity data (AD) uncertainty (%)</w:t>
            </w:r>
          </w:p>
        </w:tc>
        <w:tc>
          <w:tcPr>
            <w:tcW w:w="1000" w:type="pct"/>
            <w:shd w:val="clear" w:color="auto" w:fill="365F91"/>
            <w:vAlign w:val="bottom"/>
            <w:hideMark/>
          </w:tcPr>
          <w:p w14:paraId="276ABECA" w14:textId="77777777" w:rsidR="007F00E5" w:rsidRPr="00BE78CA" w:rsidRDefault="007F00E5" w:rsidP="00C26084">
            <w:pPr>
              <w:pStyle w:val="TableTextBold"/>
              <w:jc w:val="center"/>
              <w:rPr>
                <w:noProof w:val="0"/>
                <w:color w:val="FFFFFF"/>
                <w:szCs w:val="16"/>
              </w:rPr>
            </w:pPr>
            <w:r w:rsidRPr="00BE78CA">
              <w:rPr>
                <w:noProof w:val="0"/>
                <w:color w:val="FFFFFF"/>
                <w:szCs w:val="16"/>
              </w:rPr>
              <w:t>Emission factor (EF) uncertainty (%)</w:t>
            </w:r>
          </w:p>
        </w:tc>
        <w:tc>
          <w:tcPr>
            <w:tcW w:w="2083" w:type="pct"/>
            <w:shd w:val="clear" w:color="auto" w:fill="365F91"/>
            <w:vAlign w:val="bottom"/>
          </w:tcPr>
          <w:p w14:paraId="45260873" w14:textId="77777777" w:rsidR="007F00E5" w:rsidRPr="00BE78CA" w:rsidRDefault="007F00E5" w:rsidP="00C26084">
            <w:pPr>
              <w:pStyle w:val="TableTextBold"/>
              <w:jc w:val="center"/>
              <w:rPr>
                <w:noProof w:val="0"/>
                <w:color w:val="FFFFFF"/>
                <w:szCs w:val="16"/>
              </w:rPr>
            </w:pPr>
            <w:r w:rsidRPr="00BE78CA">
              <w:rPr>
                <w:noProof w:val="0"/>
                <w:color w:val="FFFFFF"/>
                <w:szCs w:val="16"/>
              </w:rPr>
              <w:t>Source</w:t>
            </w:r>
          </w:p>
        </w:tc>
      </w:tr>
      <w:tr w:rsidR="007F00E5" w:rsidRPr="00BE78CA" w14:paraId="66E892E7" w14:textId="77777777" w:rsidTr="00005EB6">
        <w:tc>
          <w:tcPr>
            <w:tcW w:w="333" w:type="pct"/>
            <w:shd w:val="clear" w:color="auto" w:fill="auto"/>
            <w:noWrap/>
            <w:hideMark/>
          </w:tcPr>
          <w:p w14:paraId="432B059D" w14:textId="77777777" w:rsidR="007F00E5" w:rsidRPr="00BE78CA" w:rsidRDefault="007F00E5" w:rsidP="00C26084">
            <w:pPr>
              <w:pStyle w:val="TableText"/>
              <w:rPr>
                <w:szCs w:val="16"/>
              </w:rPr>
            </w:pPr>
            <w:r w:rsidRPr="00BE78CA">
              <w:rPr>
                <w:szCs w:val="16"/>
              </w:rPr>
              <w:t>CO</w:t>
            </w:r>
            <w:r w:rsidRPr="00BE78CA">
              <w:rPr>
                <w:szCs w:val="16"/>
                <w:vertAlign w:val="subscript"/>
              </w:rPr>
              <w:t>2</w:t>
            </w:r>
          </w:p>
        </w:tc>
        <w:tc>
          <w:tcPr>
            <w:tcW w:w="658" w:type="pct"/>
            <w:shd w:val="clear" w:color="auto" w:fill="auto"/>
            <w:noWrap/>
            <w:hideMark/>
          </w:tcPr>
          <w:p w14:paraId="64832FD9" w14:textId="77777777" w:rsidR="007F00E5" w:rsidRPr="00BE78CA" w:rsidRDefault="007F00E5" w:rsidP="00C26084">
            <w:pPr>
              <w:pStyle w:val="TableText"/>
              <w:rPr>
                <w:szCs w:val="16"/>
              </w:rPr>
            </w:pPr>
            <w:r w:rsidRPr="00BE78CA">
              <w:rPr>
                <w:szCs w:val="16"/>
              </w:rPr>
              <w:t>Liquid fuels</w:t>
            </w:r>
          </w:p>
        </w:tc>
        <w:tc>
          <w:tcPr>
            <w:tcW w:w="926" w:type="pct"/>
            <w:shd w:val="clear" w:color="auto" w:fill="auto"/>
            <w:noWrap/>
            <w:hideMark/>
          </w:tcPr>
          <w:p w14:paraId="17CF938B" w14:textId="77777777" w:rsidR="007F00E5" w:rsidRPr="00BE78CA" w:rsidRDefault="007F00E5" w:rsidP="00C26084">
            <w:pPr>
              <w:pStyle w:val="TableText"/>
              <w:jc w:val="center"/>
              <w:rPr>
                <w:szCs w:val="16"/>
              </w:rPr>
            </w:pPr>
            <w:r w:rsidRPr="00BE78CA">
              <w:rPr>
                <w:szCs w:val="16"/>
              </w:rPr>
              <w:t>20</w:t>
            </w:r>
          </w:p>
        </w:tc>
        <w:tc>
          <w:tcPr>
            <w:tcW w:w="1000" w:type="pct"/>
            <w:shd w:val="clear" w:color="auto" w:fill="auto"/>
            <w:noWrap/>
            <w:hideMark/>
          </w:tcPr>
          <w:p w14:paraId="115BEAB4" w14:textId="77777777" w:rsidR="007F00E5" w:rsidRPr="00BE78CA" w:rsidRDefault="007F00E5" w:rsidP="00C26084">
            <w:pPr>
              <w:pStyle w:val="TableText"/>
              <w:jc w:val="center"/>
              <w:rPr>
                <w:szCs w:val="16"/>
              </w:rPr>
            </w:pPr>
            <w:r w:rsidRPr="00BE78CA">
              <w:rPr>
                <w:szCs w:val="16"/>
              </w:rPr>
              <w:t>±7</w:t>
            </w:r>
          </w:p>
        </w:tc>
        <w:tc>
          <w:tcPr>
            <w:tcW w:w="2083" w:type="pct"/>
          </w:tcPr>
          <w:p w14:paraId="0E47BF81" w14:textId="77777777" w:rsidR="007F00E5" w:rsidRPr="00BE78CA" w:rsidRDefault="007F00E5" w:rsidP="00C26084">
            <w:pPr>
              <w:pStyle w:val="TableText"/>
              <w:rPr>
                <w:szCs w:val="16"/>
              </w:rPr>
            </w:pPr>
            <w:r w:rsidRPr="00BE78CA">
              <w:rPr>
                <w:szCs w:val="16"/>
              </w:rPr>
              <w:t>AD: page 2.41, IPCC, 2006a (table 2.15)</w:t>
            </w:r>
          </w:p>
          <w:p w14:paraId="718A6F9B" w14:textId="77777777" w:rsidR="007F00E5" w:rsidRPr="00BE78CA" w:rsidRDefault="007F00E5" w:rsidP="00C26084">
            <w:pPr>
              <w:pStyle w:val="TableText"/>
              <w:spacing w:before="0"/>
              <w:rPr>
                <w:szCs w:val="16"/>
              </w:rPr>
            </w:pPr>
            <w:r w:rsidRPr="00BE78CA">
              <w:rPr>
                <w:szCs w:val="16"/>
              </w:rPr>
              <w:t>EF: page 2.38, IPCC, 2006a</w:t>
            </w:r>
            <w:r w:rsidRPr="00BE78CA" w:rsidDel="00AE346E">
              <w:rPr>
                <w:szCs w:val="16"/>
              </w:rPr>
              <w:t xml:space="preserve"> </w:t>
            </w:r>
          </w:p>
        </w:tc>
      </w:tr>
      <w:tr w:rsidR="007F00E5" w:rsidRPr="00BE78CA" w14:paraId="65F8E8F8" w14:textId="77777777" w:rsidTr="00005EB6">
        <w:tc>
          <w:tcPr>
            <w:tcW w:w="333" w:type="pct"/>
            <w:shd w:val="clear" w:color="auto" w:fill="auto"/>
            <w:noWrap/>
            <w:hideMark/>
          </w:tcPr>
          <w:p w14:paraId="0358A307" w14:textId="77777777" w:rsidR="007F00E5" w:rsidRPr="00BE78CA" w:rsidRDefault="007F00E5" w:rsidP="00C26084">
            <w:pPr>
              <w:pStyle w:val="TableText"/>
              <w:rPr>
                <w:szCs w:val="16"/>
              </w:rPr>
            </w:pPr>
            <w:r w:rsidRPr="00BE78CA">
              <w:rPr>
                <w:szCs w:val="16"/>
              </w:rPr>
              <w:t>CH</w:t>
            </w:r>
            <w:r w:rsidRPr="00BE78CA">
              <w:rPr>
                <w:szCs w:val="16"/>
                <w:vertAlign w:val="subscript"/>
              </w:rPr>
              <w:t>4</w:t>
            </w:r>
          </w:p>
        </w:tc>
        <w:tc>
          <w:tcPr>
            <w:tcW w:w="658" w:type="pct"/>
            <w:shd w:val="clear" w:color="auto" w:fill="auto"/>
            <w:noWrap/>
            <w:hideMark/>
          </w:tcPr>
          <w:p w14:paraId="7A7307B9" w14:textId="77777777" w:rsidR="007F00E5" w:rsidRPr="00BE78CA" w:rsidRDefault="007F00E5" w:rsidP="00C26084">
            <w:pPr>
              <w:pStyle w:val="TableText"/>
              <w:rPr>
                <w:szCs w:val="16"/>
              </w:rPr>
            </w:pPr>
            <w:r w:rsidRPr="00BE78CA">
              <w:rPr>
                <w:szCs w:val="16"/>
              </w:rPr>
              <w:t>Liquid fuels</w:t>
            </w:r>
          </w:p>
        </w:tc>
        <w:tc>
          <w:tcPr>
            <w:tcW w:w="926" w:type="pct"/>
            <w:shd w:val="clear" w:color="auto" w:fill="auto"/>
            <w:noWrap/>
            <w:hideMark/>
          </w:tcPr>
          <w:p w14:paraId="29FC4FA6" w14:textId="77777777" w:rsidR="007F00E5" w:rsidRPr="00BE78CA" w:rsidRDefault="007F00E5" w:rsidP="00C26084">
            <w:pPr>
              <w:pStyle w:val="TableText"/>
              <w:jc w:val="center"/>
              <w:rPr>
                <w:szCs w:val="16"/>
              </w:rPr>
            </w:pPr>
            <w:r w:rsidRPr="00BE78CA">
              <w:rPr>
                <w:szCs w:val="16"/>
              </w:rPr>
              <w:t>20</w:t>
            </w:r>
          </w:p>
        </w:tc>
        <w:tc>
          <w:tcPr>
            <w:tcW w:w="1000" w:type="pct"/>
            <w:shd w:val="clear" w:color="auto" w:fill="auto"/>
            <w:noWrap/>
            <w:hideMark/>
          </w:tcPr>
          <w:p w14:paraId="4F886E7E" w14:textId="77777777" w:rsidR="007F00E5" w:rsidRPr="00BE78CA" w:rsidRDefault="007F00E5" w:rsidP="00C26084">
            <w:pPr>
              <w:pStyle w:val="TableText"/>
              <w:jc w:val="center"/>
              <w:rPr>
                <w:szCs w:val="16"/>
              </w:rPr>
            </w:pPr>
            <w:r w:rsidRPr="00BE78CA">
              <w:rPr>
                <w:szCs w:val="16"/>
              </w:rPr>
              <w:t>±50.0</w:t>
            </w:r>
          </w:p>
        </w:tc>
        <w:tc>
          <w:tcPr>
            <w:tcW w:w="2083" w:type="pct"/>
          </w:tcPr>
          <w:p w14:paraId="4003B3C9" w14:textId="77777777" w:rsidR="007F00E5" w:rsidRPr="00BE78CA" w:rsidRDefault="007F00E5" w:rsidP="00C26084">
            <w:pPr>
              <w:pStyle w:val="TableText"/>
              <w:rPr>
                <w:szCs w:val="16"/>
              </w:rPr>
            </w:pPr>
            <w:r w:rsidRPr="00BE78CA">
              <w:rPr>
                <w:szCs w:val="16"/>
              </w:rPr>
              <w:t>AD: page 2.41, IPCC, 2006a (table 2.15)</w:t>
            </w:r>
          </w:p>
          <w:p w14:paraId="691501F4" w14:textId="77777777" w:rsidR="007F00E5" w:rsidRPr="00BE78CA" w:rsidRDefault="007F00E5" w:rsidP="00C26084">
            <w:pPr>
              <w:pStyle w:val="TableText"/>
              <w:spacing w:before="0"/>
              <w:rPr>
                <w:szCs w:val="16"/>
              </w:rPr>
            </w:pPr>
            <w:r w:rsidRPr="00BE78CA">
              <w:rPr>
                <w:szCs w:val="16"/>
              </w:rPr>
              <w:t>EF: page 2.38, IPCC, 2006a (table 2.12)</w:t>
            </w:r>
          </w:p>
        </w:tc>
      </w:tr>
      <w:tr w:rsidR="007F00E5" w:rsidRPr="00BE78CA" w14:paraId="7DC6701F" w14:textId="77777777" w:rsidTr="00005EB6">
        <w:tc>
          <w:tcPr>
            <w:tcW w:w="333" w:type="pct"/>
            <w:shd w:val="clear" w:color="auto" w:fill="auto"/>
            <w:noWrap/>
            <w:hideMark/>
          </w:tcPr>
          <w:p w14:paraId="190E718D" w14:textId="77777777" w:rsidR="007F00E5" w:rsidRPr="00BE78CA" w:rsidRDefault="007F00E5" w:rsidP="00C26084">
            <w:pPr>
              <w:pStyle w:val="TableText"/>
              <w:rPr>
                <w:szCs w:val="16"/>
              </w:rPr>
            </w:pPr>
            <w:r w:rsidRPr="00BE78CA">
              <w:rPr>
                <w:szCs w:val="16"/>
              </w:rPr>
              <w:t>N</w:t>
            </w:r>
            <w:r w:rsidRPr="00BE78CA">
              <w:rPr>
                <w:szCs w:val="16"/>
                <w:vertAlign w:val="subscript"/>
              </w:rPr>
              <w:t>2</w:t>
            </w:r>
            <w:r w:rsidRPr="00BE78CA">
              <w:rPr>
                <w:szCs w:val="16"/>
              </w:rPr>
              <w:t>O</w:t>
            </w:r>
          </w:p>
        </w:tc>
        <w:tc>
          <w:tcPr>
            <w:tcW w:w="658" w:type="pct"/>
            <w:shd w:val="clear" w:color="auto" w:fill="auto"/>
            <w:noWrap/>
            <w:hideMark/>
          </w:tcPr>
          <w:p w14:paraId="5A26E093" w14:textId="77777777" w:rsidR="007F00E5" w:rsidRPr="00BE78CA" w:rsidRDefault="007F00E5" w:rsidP="00C26084">
            <w:pPr>
              <w:pStyle w:val="TableText"/>
              <w:rPr>
                <w:szCs w:val="16"/>
              </w:rPr>
            </w:pPr>
            <w:r w:rsidRPr="00BE78CA">
              <w:rPr>
                <w:szCs w:val="16"/>
              </w:rPr>
              <w:t>Liquid fuels</w:t>
            </w:r>
          </w:p>
        </w:tc>
        <w:tc>
          <w:tcPr>
            <w:tcW w:w="926" w:type="pct"/>
            <w:shd w:val="clear" w:color="auto" w:fill="auto"/>
            <w:noWrap/>
            <w:hideMark/>
          </w:tcPr>
          <w:p w14:paraId="208243A4" w14:textId="77777777" w:rsidR="007F00E5" w:rsidRPr="00BE78CA" w:rsidRDefault="007F00E5" w:rsidP="00C26084">
            <w:pPr>
              <w:pStyle w:val="TableText"/>
              <w:jc w:val="center"/>
              <w:rPr>
                <w:szCs w:val="16"/>
              </w:rPr>
            </w:pPr>
            <w:r w:rsidRPr="00BE78CA">
              <w:rPr>
                <w:szCs w:val="16"/>
              </w:rPr>
              <w:t>20</w:t>
            </w:r>
          </w:p>
        </w:tc>
        <w:tc>
          <w:tcPr>
            <w:tcW w:w="1000" w:type="pct"/>
            <w:shd w:val="clear" w:color="auto" w:fill="auto"/>
            <w:noWrap/>
            <w:hideMark/>
          </w:tcPr>
          <w:p w14:paraId="4069B50F" w14:textId="77777777" w:rsidR="007F00E5" w:rsidRPr="00BE78CA" w:rsidRDefault="007F00E5" w:rsidP="00C26084">
            <w:pPr>
              <w:pStyle w:val="TableText"/>
              <w:jc w:val="center"/>
              <w:rPr>
                <w:szCs w:val="16"/>
              </w:rPr>
            </w:pPr>
            <w:r w:rsidRPr="00BE78CA">
              <w:rPr>
                <w:szCs w:val="16"/>
              </w:rPr>
              <w:t>±50.0</w:t>
            </w:r>
          </w:p>
        </w:tc>
        <w:tc>
          <w:tcPr>
            <w:tcW w:w="2083" w:type="pct"/>
          </w:tcPr>
          <w:p w14:paraId="3253C90E" w14:textId="77777777" w:rsidR="007F00E5" w:rsidRPr="00BE78CA" w:rsidRDefault="007F00E5" w:rsidP="00C26084">
            <w:pPr>
              <w:pStyle w:val="TableText"/>
              <w:rPr>
                <w:szCs w:val="16"/>
              </w:rPr>
            </w:pPr>
            <w:r w:rsidRPr="00BE78CA">
              <w:rPr>
                <w:szCs w:val="16"/>
              </w:rPr>
              <w:t>AD: page 2.41, IPCC, 2006a (table 2.15)</w:t>
            </w:r>
          </w:p>
          <w:p w14:paraId="5354F84C" w14:textId="77777777" w:rsidR="007F00E5" w:rsidRPr="00BE78CA" w:rsidRDefault="007F00E5" w:rsidP="00C26084">
            <w:pPr>
              <w:pStyle w:val="TableText"/>
              <w:spacing w:before="0"/>
              <w:rPr>
                <w:szCs w:val="16"/>
              </w:rPr>
            </w:pPr>
            <w:r w:rsidRPr="00BE78CA">
              <w:rPr>
                <w:szCs w:val="16"/>
              </w:rPr>
              <w:t>EF: New Zealand’s value (table 3.3.1, chapter 3)</w:t>
            </w:r>
          </w:p>
        </w:tc>
      </w:tr>
    </w:tbl>
    <w:p w14:paraId="40C84069" w14:textId="77777777" w:rsidR="007F00E5" w:rsidRPr="00BE78CA" w:rsidRDefault="007F00E5" w:rsidP="007F00E5">
      <w:pPr>
        <w:pStyle w:val="Heading4"/>
        <w:spacing w:before="360"/>
      </w:pPr>
      <w:r w:rsidRPr="00BE78CA">
        <w:t>Source-specific planned improvements</w:t>
      </w:r>
    </w:p>
    <w:p w14:paraId="5D5BCC64" w14:textId="7DABB2DB" w:rsidR="007F00E5" w:rsidRPr="00BE78CA" w:rsidRDefault="007F00E5" w:rsidP="007F00E5">
      <w:pPr>
        <w:pStyle w:val="BodyText"/>
        <w:rPr>
          <w:lang w:eastAsia="en-GB"/>
        </w:rPr>
      </w:pPr>
      <w:r w:rsidRPr="00BE78CA">
        <w:rPr>
          <w:lang w:eastAsia="en-GB"/>
        </w:rPr>
        <w:t xml:space="preserve">There are no planned improvements for the </w:t>
      </w:r>
      <w:r w:rsidRPr="00BE78CA">
        <w:rPr>
          <w:i/>
          <w:lang w:eastAsia="en-GB"/>
        </w:rPr>
        <w:t>Other sectors – Residential</w:t>
      </w:r>
      <w:r w:rsidRPr="00BE78CA">
        <w:rPr>
          <w:lang w:eastAsia="en-GB"/>
        </w:rPr>
        <w:t xml:space="preserve"> category. One area</w:t>
      </w:r>
      <w:r w:rsidR="00D44CB0" w:rsidRPr="00BE78CA">
        <w:rPr>
          <w:lang w:eastAsia="en-GB"/>
        </w:rPr>
        <w:t> </w:t>
      </w:r>
      <w:r w:rsidRPr="00BE78CA">
        <w:rPr>
          <w:lang w:eastAsia="en-GB"/>
        </w:rPr>
        <w:t>identified for possible improvement is to consider additional LPG imports purchased from</w:t>
      </w:r>
      <w:r w:rsidR="00D44CB0" w:rsidRPr="00BE78CA">
        <w:rPr>
          <w:lang w:eastAsia="en-GB"/>
        </w:rPr>
        <w:t> </w:t>
      </w:r>
      <w:r w:rsidRPr="00BE78CA">
        <w:rPr>
          <w:lang w:eastAsia="en-GB"/>
        </w:rPr>
        <w:t>Aute</w:t>
      </w:r>
      <w:r w:rsidR="00D44CB0" w:rsidRPr="00BE78CA">
        <w:rPr>
          <w:lang w:eastAsia="en-GB"/>
        </w:rPr>
        <w:t> </w:t>
      </w:r>
      <w:r w:rsidRPr="00BE78CA">
        <w:rPr>
          <w:lang w:eastAsia="en-GB"/>
        </w:rPr>
        <w:t>Gas (Apia, Samoa), for Nukunonu. However, the difference is likely to be small, compared</w:t>
      </w:r>
      <w:r w:rsidR="00D44CB0" w:rsidRPr="00BE78CA">
        <w:rPr>
          <w:lang w:eastAsia="en-GB"/>
        </w:rPr>
        <w:t xml:space="preserve"> </w:t>
      </w:r>
      <w:r w:rsidRPr="00BE78CA">
        <w:rPr>
          <w:lang w:eastAsia="en-GB"/>
        </w:rPr>
        <w:t>with the current approach (where Nukunonu is taken as the average between the</w:t>
      </w:r>
      <w:r w:rsidR="00D44CB0" w:rsidRPr="00BE78CA">
        <w:rPr>
          <w:lang w:eastAsia="en-GB"/>
        </w:rPr>
        <w:t xml:space="preserve"> </w:t>
      </w:r>
      <w:r w:rsidRPr="00BE78CA">
        <w:rPr>
          <w:lang w:eastAsia="en-GB"/>
        </w:rPr>
        <w:t xml:space="preserve">fuel purchases from Origin, by Atafu and Fakaofo). For future submissions, further analysis of activity data from Tokelau, to reflect year-to-year variations, will be considered as far as resources will allow. </w:t>
      </w:r>
    </w:p>
    <w:p w14:paraId="25BD06C6" w14:textId="77777777" w:rsidR="007F00E5" w:rsidRPr="00BE78CA" w:rsidRDefault="007F00E5" w:rsidP="007F00E5">
      <w:pPr>
        <w:pStyle w:val="Heading3"/>
      </w:pPr>
      <w:r w:rsidRPr="00BE78CA">
        <w:t xml:space="preserve">8.2.5 </w:t>
      </w:r>
      <w:r w:rsidRPr="00BE78CA">
        <w:tab/>
        <w:t xml:space="preserve">Mobile combustion: </w:t>
      </w:r>
      <w:r w:rsidRPr="00BE78CA">
        <w:rPr>
          <w:i/>
        </w:rPr>
        <w:t>Domestic navigation</w:t>
      </w:r>
    </w:p>
    <w:p w14:paraId="5FB9A9BA" w14:textId="77777777" w:rsidR="007F00E5" w:rsidRPr="00BE78CA" w:rsidRDefault="007F00E5" w:rsidP="007F00E5">
      <w:pPr>
        <w:pStyle w:val="Heading4"/>
        <w:spacing w:before="160"/>
      </w:pPr>
      <w:r w:rsidRPr="00BE78CA">
        <w:t>Description</w:t>
      </w:r>
    </w:p>
    <w:p w14:paraId="70B12F91" w14:textId="77777777" w:rsidR="007F00E5" w:rsidRPr="00BE78CA" w:rsidRDefault="007F00E5" w:rsidP="007F00E5">
      <w:pPr>
        <w:pStyle w:val="BodyText"/>
      </w:pPr>
      <w:r w:rsidRPr="00BE78CA">
        <w:t xml:space="preserve">The only means of transport to and from Tokelau is by sea; there is no air transportation. All travel and supplies to Tokelau originate and terminate in Samoa, Tokelau’s closest neighbour. A direct trip from any of the three atolls to the nearest port, Apia, usually takes </w:t>
      </w:r>
      <w:r w:rsidRPr="00BE78CA">
        <w:lastRenderedPageBreak/>
        <w:t>between 26 hours and 40 hours. There are no ports and terminals in Tokelau, and no offshore anchorage is available: barges that can enter the fringe reef are used for loading and offloading ships.</w:t>
      </w:r>
    </w:p>
    <w:p w14:paraId="587AB633" w14:textId="77777777" w:rsidR="007F00E5" w:rsidRPr="00BE78CA" w:rsidRDefault="007F00E5" w:rsidP="007F00E5">
      <w:pPr>
        <w:pStyle w:val="BodyText"/>
      </w:pPr>
      <w:r w:rsidRPr="00BE78CA">
        <w:t xml:space="preserve">The passenger ferries and cargo ships arriving from Apia (distance approximately 500 kilometres) generally visit the three atolls in succession: they are 60 kilometres and 90 kilometres apart, respectively. A round trip is about 1,300 kilometres using diesel from Apia. Up until 2018, the fraction (300/1300) is used to estimate domestic navigation within Tokelau. For 2019, actual data on the number of inter-atoll trips was used. </w:t>
      </w:r>
    </w:p>
    <w:p w14:paraId="76ACAB59" w14:textId="77777777" w:rsidR="007F00E5" w:rsidRPr="00BE78CA" w:rsidRDefault="007F00E5" w:rsidP="007F00E5">
      <w:pPr>
        <w:pStyle w:val="BodyText"/>
      </w:pPr>
      <w:r w:rsidRPr="00BE78CA">
        <w:t>Until recently, the main forms of road transport on the atolls were trucks, pick-ups, motorbikes and a range of golf carts. Some vehicles are electric, fuelled by solar PV energy. Solar-powered streetlights ensure safety on the roadways. The private importation of other vehicles has increased recently.</w:t>
      </w:r>
    </w:p>
    <w:p w14:paraId="593679F4" w14:textId="77777777" w:rsidR="007F00E5" w:rsidRPr="00BE78CA" w:rsidRDefault="007F00E5" w:rsidP="007F00E5">
      <w:pPr>
        <w:pStyle w:val="BodyText"/>
      </w:pPr>
      <w:r w:rsidRPr="00BE78CA">
        <w:t xml:space="preserve">The number of petrol cars has been very small in Tokelau, and in 2019 there were only about 40 cars (in addition to the vehicles above) and 30 motorbikes, with the entire network of unsealed roads being about 10 kilometres. Census 2001 and prior record only four registered cars. Aluminium boats with an outboard motor are widely used by families. Emissions from fuels used for road transport are orders of magnitude lower than from boats, and it was not possible to distinguish the small amounts of fuels used by cars from the total amount used by boats and cars. That is why emissions from road transport are included under the </w:t>
      </w:r>
      <w:r w:rsidRPr="00BE78CA">
        <w:rPr>
          <w:i/>
        </w:rPr>
        <w:t>Domestic navigation</w:t>
      </w:r>
      <w:r w:rsidRPr="00BE78CA">
        <w:t xml:space="preserve"> category. </w:t>
      </w:r>
    </w:p>
    <w:p w14:paraId="19F172F7" w14:textId="77777777" w:rsidR="007F00E5" w:rsidRPr="00BE78CA" w:rsidRDefault="007F00E5" w:rsidP="007F00E5">
      <w:pPr>
        <w:pStyle w:val="BodyText"/>
      </w:pPr>
      <w:r w:rsidRPr="00BE78CA">
        <w:t xml:space="preserve">According to its 2016 census, Tokelau has 176 aluminium boats with 160 outboard motors, which use most of the imported petrol to travel within and outside the large lagoons. Most of the diesel use is by the ferries travelling to and from Samoa. </w:t>
      </w:r>
      <w:r w:rsidRPr="00BE78CA">
        <w:rPr>
          <w:i/>
          <w:iCs/>
        </w:rPr>
        <w:t>Fetu o te Moana</w:t>
      </w:r>
      <w:r w:rsidRPr="00BE78CA">
        <w:t xml:space="preserve"> is a new search and rescue vessel delivered in 2019 that also provides general inter-atoll transport. </w:t>
      </w:r>
    </w:p>
    <w:p w14:paraId="5ED421BB" w14:textId="77777777" w:rsidR="007F00E5" w:rsidRPr="00BE78CA" w:rsidRDefault="007F00E5" w:rsidP="007F00E5">
      <w:pPr>
        <w:pStyle w:val="BodyText"/>
      </w:pPr>
      <w:r w:rsidRPr="00BE78CA">
        <w:t xml:space="preserve">For Tokelau, the category </w:t>
      </w:r>
      <w:r w:rsidRPr="00BE78CA">
        <w:rPr>
          <w:i/>
        </w:rPr>
        <w:t>Domestic navigation</w:t>
      </w:r>
      <w:r w:rsidRPr="00BE78CA">
        <w:t xml:space="preserve"> accounted for 100 per cent of the emissions from the </w:t>
      </w:r>
      <w:r w:rsidRPr="00BE78CA">
        <w:rPr>
          <w:i/>
        </w:rPr>
        <w:t>Transport</w:t>
      </w:r>
      <w:r w:rsidRPr="00BE78CA">
        <w:t xml:space="preserve"> category for the entire time series. In 2019, emissions from the </w:t>
      </w:r>
      <w:r w:rsidRPr="00BE78CA">
        <w:rPr>
          <w:i/>
        </w:rPr>
        <w:t>Domestic navigation</w:t>
      </w:r>
      <w:r w:rsidRPr="00BE78CA">
        <w:t xml:space="preserve"> category totalled 2.20 kt CO</w:t>
      </w:r>
      <w:r w:rsidRPr="00BE78CA">
        <w:rPr>
          <w:vertAlign w:val="subscript"/>
        </w:rPr>
        <w:t>2</w:t>
      </w:r>
      <w:r w:rsidRPr="00BE78CA">
        <w:t>-e (87.0 per cent of all energy emissions from Tokelau).</w:t>
      </w:r>
    </w:p>
    <w:p w14:paraId="0B1EDF06" w14:textId="77777777" w:rsidR="007F00E5" w:rsidRPr="00BE78CA" w:rsidRDefault="007F00E5" w:rsidP="007F00E5">
      <w:pPr>
        <w:pStyle w:val="Heading4"/>
      </w:pPr>
      <w:r w:rsidRPr="00BE78CA">
        <w:t>Methodological issues</w:t>
      </w:r>
    </w:p>
    <w:p w14:paraId="3A5EA5B9" w14:textId="77777777" w:rsidR="007F00E5" w:rsidRPr="00BE78CA" w:rsidRDefault="007F00E5" w:rsidP="007F00E5">
      <w:pPr>
        <w:pStyle w:val="Heading5"/>
        <w:spacing w:before="120"/>
      </w:pPr>
      <w:r w:rsidRPr="00BE78CA">
        <w:t>Activity data</w:t>
      </w:r>
    </w:p>
    <w:p w14:paraId="5C087B0E" w14:textId="77777777" w:rsidR="007F00E5" w:rsidRPr="00BE78CA" w:rsidRDefault="007F00E5" w:rsidP="007F00E5">
      <w:pPr>
        <w:pStyle w:val="BodyText"/>
        <w:rPr>
          <w:rFonts w:ascii="TimesNewRomanPSMT" w:hAnsi="TimesNewRomanPSMT" w:cs="TimesNewRomanPSMT"/>
          <w:sz w:val="20"/>
        </w:rPr>
      </w:pPr>
      <w:r w:rsidRPr="00BE78CA">
        <w:rPr>
          <w:lang w:eastAsia="en-GB"/>
        </w:rPr>
        <w:t xml:space="preserve">The sources of activity data for the </w:t>
      </w:r>
      <w:r w:rsidRPr="00BE78CA">
        <w:rPr>
          <w:i/>
          <w:lang w:eastAsia="en-GB"/>
        </w:rPr>
        <w:t>Transport</w:t>
      </w:r>
      <w:r w:rsidRPr="00BE78CA">
        <w:rPr>
          <w:lang w:eastAsia="en-GB"/>
        </w:rPr>
        <w:t xml:space="preserve"> category are included in table 8.1.2. Activity data sources for the category are paid invoices from Petroleum Product Supplies Ltd (Apia, Samoa) with data on fuel prices and volumes supplied </w:t>
      </w:r>
      <w:r w:rsidRPr="00BE78CA">
        <w:t>for</w:t>
      </w:r>
      <w:r w:rsidRPr="00BE78CA">
        <w:rPr>
          <w:lang w:eastAsia="en-GB"/>
        </w:rPr>
        <w:t xml:space="preserve"> shipping and on-atoll use: diesel, petrol, kerosene and lubricant oil (item 7 in table 8.1.2); the Tokelau Department of Finance’s invoices and payment records to Petroleum Product Supplies Ltd, Origin and on-atoll stores; and a photo survey of Tokelau motorised vehicles </w:t>
      </w:r>
      <w:r w:rsidRPr="00BE78CA">
        <w:t>on</w:t>
      </w:r>
      <w:r w:rsidRPr="00BE78CA">
        <w:rPr>
          <w:lang w:eastAsia="en-GB"/>
        </w:rPr>
        <w:t xml:space="preserve">-atoll, August–December 2018. Additional energy data related to cargo manifests were obtained from an </w:t>
      </w:r>
      <w:r w:rsidRPr="00BE78CA">
        <w:rPr>
          <w:i/>
          <w:lang w:eastAsia="en-GB"/>
        </w:rPr>
        <w:t>Analysis of 2014 Imports into Tokelau from Samoa, Part 2: Stores’ invoices reconciled with cargo manifests, and quality of life implications</w:t>
      </w:r>
      <w:r w:rsidRPr="00BE78CA">
        <w:rPr>
          <w:lang w:eastAsia="en-GB"/>
        </w:rPr>
        <w:t xml:space="preserve"> (</w:t>
      </w:r>
      <w:r w:rsidRPr="00BE78CA">
        <w:t>Jasperse</w:t>
      </w:r>
      <w:r w:rsidRPr="00BE78CA">
        <w:rPr>
          <w:lang w:eastAsia="en-GB"/>
        </w:rPr>
        <w:t>, 2016). Only liquid fossil fuels (gas and diesel oil) are used for fuelling Tokelau’s transport.</w:t>
      </w:r>
    </w:p>
    <w:p w14:paraId="4C65A18D" w14:textId="77777777" w:rsidR="007F00E5" w:rsidRPr="00BE78CA" w:rsidRDefault="007F00E5" w:rsidP="007F00E5">
      <w:pPr>
        <w:pStyle w:val="BodyText"/>
        <w:spacing w:after="100"/>
        <w:rPr>
          <w:lang w:eastAsia="en-GB"/>
        </w:rPr>
      </w:pPr>
      <w:r w:rsidRPr="00BE78CA">
        <w:rPr>
          <w:lang w:eastAsia="en-GB"/>
        </w:rPr>
        <w:t xml:space="preserve">Due to large discrepancies between different sources of raw data, reliable statistics on fuel consumption across the period 1990 to 2019 are not available. Some anecdotal transport data exist for the number of roundtrips Apia–Tokelau during the </w:t>
      </w:r>
      <w:r w:rsidRPr="00BE78CA">
        <w:t>years</w:t>
      </w:r>
      <w:r w:rsidRPr="00BE78CA">
        <w:rPr>
          <w:lang w:eastAsia="en-GB"/>
        </w:rPr>
        <w:t xml:space="preserve"> 1990 to 2014; after this period actual records are available. </w:t>
      </w:r>
    </w:p>
    <w:p w14:paraId="71F3736A" w14:textId="77777777" w:rsidR="007F00E5" w:rsidRPr="00BE78CA" w:rsidRDefault="007F00E5" w:rsidP="007F00E5">
      <w:pPr>
        <w:pStyle w:val="Heading5"/>
        <w:spacing w:before="120"/>
        <w:rPr>
          <w:lang w:eastAsia="en-GB"/>
        </w:rPr>
      </w:pPr>
      <w:r w:rsidRPr="00BE78CA">
        <w:rPr>
          <w:lang w:eastAsia="en-GB"/>
        </w:rPr>
        <w:lastRenderedPageBreak/>
        <w:t>Methods and emission factors</w:t>
      </w:r>
    </w:p>
    <w:p w14:paraId="239F9781" w14:textId="77777777" w:rsidR="007F00E5" w:rsidRPr="00BE78CA" w:rsidRDefault="007F00E5" w:rsidP="007F00E5">
      <w:pPr>
        <w:pStyle w:val="BodyText"/>
        <w:spacing w:before="100" w:after="100"/>
        <w:rPr>
          <w:lang w:eastAsia="en-GB"/>
        </w:rPr>
      </w:pPr>
      <w:r w:rsidRPr="00BE78CA">
        <w:rPr>
          <w:lang w:eastAsia="en-GB"/>
        </w:rPr>
        <w:t xml:space="preserve">A Tier 1 method was applied for estimating emissions from the </w:t>
      </w:r>
      <w:r w:rsidRPr="00BE78CA">
        <w:rPr>
          <w:i/>
          <w:lang w:eastAsia="en-GB"/>
        </w:rPr>
        <w:t>Domestic navigation</w:t>
      </w:r>
      <w:r w:rsidRPr="00BE78CA">
        <w:rPr>
          <w:lang w:eastAsia="en-GB"/>
        </w:rPr>
        <w:t xml:space="preserve"> category. The method required the data on the amount of fuel combusted in the source category and a default emissions factor from tables 3.5.2 (for CO</w:t>
      </w:r>
      <w:r w:rsidRPr="00BE78CA">
        <w:rPr>
          <w:vertAlign w:val="subscript"/>
          <w:lang w:eastAsia="en-GB"/>
        </w:rPr>
        <w:t>2</w:t>
      </w:r>
      <w:r w:rsidRPr="00BE78CA">
        <w:rPr>
          <w:lang w:eastAsia="en-GB"/>
        </w:rPr>
        <w:t>) and 3.5.3 (for non-CO</w:t>
      </w:r>
      <w:r w:rsidRPr="00BE78CA">
        <w:rPr>
          <w:vertAlign w:val="subscript"/>
          <w:lang w:eastAsia="en-GB"/>
        </w:rPr>
        <w:t>2</w:t>
      </w:r>
      <w:r w:rsidRPr="00BE78CA">
        <w:rPr>
          <w:lang w:eastAsia="en-GB"/>
        </w:rPr>
        <w:t xml:space="preserve"> gases), section 3.5.1.2, volume 2 of the 2006 IPCC Guidelines. Default emission factors from the 2006 IPCC Guidelines were converted from net calorific values to gross calorific values using the OECD and IEA assumptions to make these conversions:</w:t>
      </w:r>
    </w:p>
    <w:p w14:paraId="3C83FC37" w14:textId="77777777" w:rsidR="007F00E5" w:rsidRPr="00BE78CA" w:rsidRDefault="007F00E5" w:rsidP="007F00E5">
      <w:pPr>
        <w:pStyle w:val="BodyText"/>
        <w:spacing w:before="100" w:after="100"/>
        <w:jc w:val="center"/>
        <w:rPr>
          <w:rFonts w:ascii="Cambria Math" w:hAnsi="Cambria Math"/>
          <w:sz w:val="24"/>
          <w:szCs w:val="24"/>
          <w:lang w:eastAsia="en-GB"/>
        </w:rPr>
      </w:pPr>
      <w:r w:rsidRPr="00BE78CA">
        <w:rPr>
          <w:rFonts w:ascii="Cambria Math" w:hAnsi="Cambria Math"/>
          <w:sz w:val="24"/>
          <w:szCs w:val="24"/>
          <w:lang w:eastAsia="en-GB"/>
        </w:rPr>
        <w:t>Gross Emission Factor (liquid fuels) = 0.95 x Net Emission Factor</w:t>
      </w:r>
    </w:p>
    <w:p w14:paraId="2E6FA758" w14:textId="77777777" w:rsidR="007F00E5" w:rsidRPr="00BE78CA" w:rsidRDefault="007F00E5" w:rsidP="007F00E5">
      <w:pPr>
        <w:pStyle w:val="BodyText"/>
        <w:spacing w:before="100" w:after="100"/>
        <w:rPr>
          <w:lang w:eastAsia="en-GB"/>
        </w:rPr>
      </w:pPr>
      <w:r w:rsidRPr="00BE78CA">
        <w:rPr>
          <w:lang w:eastAsia="en-GB"/>
        </w:rPr>
        <w:t xml:space="preserve">Equation 3.5.1 in section 3.5.1.1 in the 2006 IPCC Guidelines was used for estimating emissions (IPCC, 2006a). </w:t>
      </w:r>
    </w:p>
    <w:p w14:paraId="0C739AE3" w14:textId="77777777" w:rsidR="007F00E5" w:rsidRPr="00BE78CA" w:rsidRDefault="007F00E5" w:rsidP="007F00E5">
      <w:pPr>
        <w:pStyle w:val="Heading4"/>
        <w:spacing w:before="180"/>
      </w:pPr>
      <w:r w:rsidRPr="00BE78CA">
        <w:t>Uncertainties</w:t>
      </w:r>
    </w:p>
    <w:p w14:paraId="4A09A79E" w14:textId="77777777" w:rsidR="007F00E5" w:rsidRPr="00BE78CA" w:rsidRDefault="007F00E5" w:rsidP="007F00E5">
      <w:pPr>
        <w:pStyle w:val="BodyText"/>
        <w:spacing w:before="80" w:after="80"/>
        <w:rPr>
          <w:lang w:eastAsia="en-GB"/>
        </w:rPr>
      </w:pPr>
      <w:r w:rsidRPr="00BE78CA">
        <w:rPr>
          <w:lang w:eastAsia="en-GB"/>
        </w:rPr>
        <w:t>For this submission, it was not possible to develop Tokelau-specific uncertainty values, so for emission factors, default uncertainty provided in the 2006 IPCC Guidelines were used for CO</w:t>
      </w:r>
      <w:r w:rsidRPr="00BE78CA">
        <w:rPr>
          <w:vertAlign w:val="subscript"/>
          <w:lang w:eastAsia="en-GB"/>
        </w:rPr>
        <w:t>2</w:t>
      </w:r>
      <w:r w:rsidRPr="00BE78CA">
        <w:rPr>
          <w:lang w:eastAsia="en-GB"/>
        </w:rPr>
        <w:t xml:space="preserve"> (for diesel) and CH</w:t>
      </w:r>
      <w:r w:rsidRPr="00BE78CA">
        <w:rPr>
          <w:vertAlign w:val="subscript"/>
          <w:lang w:eastAsia="en-GB"/>
        </w:rPr>
        <w:t>4</w:t>
      </w:r>
      <w:r w:rsidRPr="00BE78CA">
        <w:rPr>
          <w:lang w:eastAsia="en-GB"/>
        </w:rPr>
        <w:t xml:space="preserve"> (upper value) (IPCC, 2006a). For N</w:t>
      </w:r>
      <w:r w:rsidRPr="00BE78CA">
        <w:rPr>
          <w:vertAlign w:val="subscript"/>
          <w:lang w:eastAsia="en-GB"/>
        </w:rPr>
        <w:t>2</w:t>
      </w:r>
      <w:r w:rsidRPr="00BE78CA">
        <w:rPr>
          <w:lang w:eastAsia="en-GB"/>
        </w:rPr>
        <w:t>O, New Zealand’s emissions factor uncertainty across the Energy sector for N</w:t>
      </w:r>
      <w:r w:rsidRPr="00BE78CA">
        <w:rPr>
          <w:vertAlign w:val="subscript"/>
          <w:lang w:eastAsia="en-GB"/>
        </w:rPr>
        <w:t>2</w:t>
      </w:r>
      <w:r w:rsidRPr="00BE78CA">
        <w:rPr>
          <w:lang w:eastAsia="en-GB"/>
        </w:rPr>
        <w:t xml:space="preserve">O was used for this category, which is within the default uncertainty range. </w:t>
      </w:r>
    </w:p>
    <w:p w14:paraId="6F70383B" w14:textId="77777777" w:rsidR="007F00E5" w:rsidRPr="00BE78CA" w:rsidRDefault="007F00E5" w:rsidP="007F00E5">
      <w:pPr>
        <w:pStyle w:val="BodyText"/>
        <w:spacing w:before="80" w:after="80"/>
        <w:rPr>
          <w:lang w:eastAsia="en-GB"/>
        </w:rPr>
      </w:pPr>
      <w:r w:rsidRPr="00BE78CA">
        <w:rPr>
          <w:lang w:eastAsia="en-GB"/>
        </w:rPr>
        <w:t xml:space="preserve">For activity data, due to discrepancies between different data sources, an upper level of default uncertainty range associated with incomplete surveys from the 2006 IPCC Guidelines was applied (IPCC, 2006a). Table 8.2.3 shows the use of uncertainties for </w:t>
      </w:r>
      <w:r w:rsidRPr="00BE78CA">
        <w:rPr>
          <w:i/>
          <w:lang w:eastAsia="en-GB"/>
        </w:rPr>
        <w:t>Domestic navigation</w:t>
      </w:r>
      <w:r w:rsidRPr="00BE78CA">
        <w:rPr>
          <w:lang w:eastAsia="en-GB"/>
        </w:rPr>
        <w:t xml:space="preserve"> (diesel).</w:t>
      </w:r>
    </w:p>
    <w:p w14:paraId="3F2A157C" w14:textId="77777777" w:rsidR="007F00E5" w:rsidRPr="00BE78CA" w:rsidRDefault="007F00E5" w:rsidP="007F00E5">
      <w:pPr>
        <w:pStyle w:val="Table"/>
      </w:pPr>
      <w:bookmarkStart w:id="3224" w:name="_Toc5269598"/>
      <w:bookmarkStart w:id="3225" w:name="_Toc36224679"/>
      <w:bookmarkStart w:id="3226" w:name="_Toc68786565"/>
      <w:r w:rsidRPr="00BE78CA">
        <w:t>Table 8.2.3</w:t>
      </w:r>
      <w:r w:rsidRPr="00BE78CA">
        <w:tab/>
        <w:t>Uncertainties for the Mobile combustion category</w:t>
      </w:r>
      <w:bookmarkEnd w:id="3224"/>
      <w:bookmarkEnd w:id="3225"/>
      <w:bookmarkEnd w:id="3226"/>
    </w:p>
    <w:tbl>
      <w:tblPr>
        <w:tblW w:w="8505" w:type="dxa"/>
        <w:tblBorders>
          <w:top w:val="single" w:sz="4" w:space="0" w:color="1F497D"/>
          <w:bottom w:val="single" w:sz="4" w:space="0" w:color="1F497D"/>
          <w:insideH w:val="single" w:sz="4" w:space="0" w:color="1F497D"/>
          <w:insideV w:val="single" w:sz="4" w:space="0" w:color="1F497D"/>
        </w:tblBorders>
        <w:tblLook w:val="0420" w:firstRow="1" w:lastRow="0" w:firstColumn="0" w:lastColumn="0" w:noHBand="0" w:noVBand="1"/>
      </w:tblPr>
      <w:tblGrid>
        <w:gridCol w:w="567"/>
        <w:gridCol w:w="1119"/>
        <w:gridCol w:w="1716"/>
        <w:gridCol w:w="1842"/>
        <w:gridCol w:w="3261"/>
      </w:tblGrid>
      <w:tr w:rsidR="007F00E5" w:rsidRPr="00BE78CA" w14:paraId="751E18F5" w14:textId="77777777" w:rsidTr="00594546">
        <w:trPr>
          <w:tblHeader/>
        </w:trPr>
        <w:tc>
          <w:tcPr>
            <w:tcW w:w="333" w:type="pct"/>
            <w:tcBorders>
              <w:right w:val="single" w:sz="4" w:space="0" w:color="365F91"/>
            </w:tcBorders>
            <w:shd w:val="clear" w:color="auto" w:fill="365F91"/>
            <w:noWrap/>
            <w:vAlign w:val="bottom"/>
            <w:hideMark/>
          </w:tcPr>
          <w:p w14:paraId="4C871F2C" w14:textId="77777777" w:rsidR="007F00E5" w:rsidRPr="00BE78CA" w:rsidRDefault="007F00E5" w:rsidP="00C26084">
            <w:pPr>
              <w:pStyle w:val="TableTextBold"/>
              <w:spacing w:before="40" w:after="40"/>
              <w:rPr>
                <w:noProof w:val="0"/>
                <w:color w:val="FFFFFF"/>
                <w:szCs w:val="16"/>
              </w:rPr>
            </w:pPr>
            <w:r w:rsidRPr="00BE78CA">
              <w:rPr>
                <w:noProof w:val="0"/>
                <w:color w:val="FFFFFF"/>
                <w:szCs w:val="16"/>
              </w:rPr>
              <w:t>Gas</w:t>
            </w:r>
          </w:p>
        </w:tc>
        <w:tc>
          <w:tcPr>
            <w:tcW w:w="658" w:type="pct"/>
            <w:tcBorders>
              <w:top w:val="single" w:sz="4" w:space="0" w:color="365F91"/>
              <w:left w:val="single" w:sz="4" w:space="0" w:color="365F91"/>
              <w:bottom w:val="single" w:sz="4" w:space="0" w:color="365F91"/>
              <w:right w:val="single" w:sz="4" w:space="0" w:color="365F91"/>
            </w:tcBorders>
            <w:shd w:val="clear" w:color="auto" w:fill="365F91"/>
            <w:noWrap/>
            <w:vAlign w:val="bottom"/>
            <w:hideMark/>
          </w:tcPr>
          <w:p w14:paraId="76C3AEC0" w14:textId="77777777" w:rsidR="007F00E5" w:rsidRPr="00BE78CA" w:rsidRDefault="007F00E5" w:rsidP="00C26084">
            <w:pPr>
              <w:pStyle w:val="TableTextBold"/>
              <w:spacing w:before="40" w:after="40"/>
              <w:rPr>
                <w:noProof w:val="0"/>
                <w:color w:val="FFFFFF"/>
                <w:szCs w:val="16"/>
              </w:rPr>
            </w:pPr>
            <w:r w:rsidRPr="00BE78CA">
              <w:rPr>
                <w:noProof w:val="0"/>
                <w:color w:val="FFFFFF"/>
                <w:szCs w:val="16"/>
              </w:rPr>
              <w:t>Fuel type</w:t>
            </w:r>
          </w:p>
        </w:tc>
        <w:tc>
          <w:tcPr>
            <w:tcW w:w="1009" w:type="pct"/>
            <w:tcBorders>
              <w:top w:val="single" w:sz="4" w:space="0" w:color="365F91"/>
              <w:left w:val="single" w:sz="4" w:space="0" w:color="365F91"/>
              <w:bottom w:val="single" w:sz="4" w:space="0" w:color="365F91"/>
              <w:right w:val="single" w:sz="4" w:space="0" w:color="365F91"/>
            </w:tcBorders>
            <w:shd w:val="clear" w:color="auto" w:fill="365F91"/>
            <w:vAlign w:val="bottom"/>
            <w:hideMark/>
          </w:tcPr>
          <w:p w14:paraId="4C13FECD" w14:textId="77777777" w:rsidR="007F00E5" w:rsidRPr="00BE78CA" w:rsidRDefault="007F00E5" w:rsidP="00C26084">
            <w:pPr>
              <w:pStyle w:val="TableTextBold"/>
              <w:spacing w:before="40" w:after="40"/>
              <w:jc w:val="center"/>
              <w:rPr>
                <w:noProof w:val="0"/>
                <w:color w:val="FFFFFF"/>
                <w:szCs w:val="16"/>
              </w:rPr>
            </w:pPr>
            <w:r w:rsidRPr="00BE78CA">
              <w:rPr>
                <w:noProof w:val="0"/>
                <w:color w:val="FFFFFF"/>
                <w:szCs w:val="16"/>
              </w:rPr>
              <w:t>Activity data (AD) uncertainty (%)</w:t>
            </w:r>
          </w:p>
        </w:tc>
        <w:tc>
          <w:tcPr>
            <w:tcW w:w="1083" w:type="pct"/>
            <w:tcBorders>
              <w:left w:val="single" w:sz="4" w:space="0" w:color="365F91"/>
            </w:tcBorders>
            <w:shd w:val="clear" w:color="auto" w:fill="365F91"/>
            <w:vAlign w:val="bottom"/>
            <w:hideMark/>
          </w:tcPr>
          <w:p w14:paraId="3622CC79" w14:textId="77777777" w:rsidR="007F00E5" w:rsidRPr="00BE78CA" w:rsidRDefault="007F00E5" w:rsidP="00C26084">
            <w:pPr>
              <w:pStyle w:val="TableTextBold"/>
              <w:spacing w:before="40" w:after="40"/>
              <w:jc w:val="center"/>
              <w:rPr>
                <w:noProof w:val="0"/>
                <w:color w:val="FFFFFF"/>
                <w:szCs w:val="16"/>
              </w:rPr>
            </w:pPr>
            <w:r w:rsidRPr="00BE78CA">
              <w:rPr>
                <w:noProof w:val="0"/>
                <w:color w:val="FFFFFF"/>
                <w:szCs w:val="16"/>
              </w:rPr>
              <w:t>Emission factor (EF) uncertainty (%)</w:t>
            </w:r>
          </w:p>
        </w:tc>
        <w:tc>
          <w:tcPr>
            <w:tcW w:w="1917" w:type="pct"/>
            <w:tcBorders>
              <w:left w:val="single" w:sz="4" w:space="0" w:color="365F91"/>
            </w:tcBorders>
            <w:shd w:val="clear" w:color="auto" w:fill="365F91"/>
            <w:vAlign w:val="bottom"/>
          </w:tcPr>
          <w:p w14:paraId="700B1B2A" w14:textId="77777777" w:rsidR="007F00E5" w:rsidRPr="00BE78CA" w:rsidRDefault="007F00E5" w:rsidP="00C26084">
            <w:pPr>
              <w:pStyle w:val="TableTextBold"/>
              <w:spacing w:before="40" w:after="40"/>
              <w:jc w:val="center"/>
              <w:rPr>
                <w:noProof w:val="0"/>
                <w:color w:val="FFFFFF"/>
                <w:szCs w:val="16"/>
              </w:rPr>
            </w:pPr>
            <w:r w:rsidRPr="00BE78CA">
              <w:rPr>
                <w:noProof w:val="0"/>
                <w:color w:val="FFFFFF"/>
                <w:szCs w:val="16"/>
              </w:rPr>
              <w:t>Source</w:t>
            </w:r>
          </w:p>
        </w:tc>
      </w:tr>
      <w:tr w:rsidR="007F00E5" w:rsidRPr="00BE78CA" w14:paraId="668668BC" w14:textId="77777777" w:rsidTr="00594546">
        <w:tc>
          <w:tcPr>
            <w:tcW w:w="333" w:type="pct"/>
            <w:tcBorders>
              <w:right w:val="single" w:sz="4" w:space="0" w:color="365F91"/>
            </w:tcBorders>
            <w:shd w:val="clear" w:color="auto" w:fill="auto"/>
            <w:noWrap/>
            <w:hideMark/>
          </w:tcPr>
          <w:p w14:paraId="1EB07534" w14:textId="77777777" w:rsidR="007F00E5" w:rsidRPr="00BE78CA" w:rsidRDefault="007F00E5" w:rsidP="00C26084">
            <w:pPr>
              <w:pStyle w:val="TableText"/>
              <w:spacing w:before="40" w:after="40"/>
              <w:rPr>
                <w:szCs w:val="16"/>
              </w:rPr>
            </w:pPr>
            <w:r w:rsidRPr="00BE78CA">
              <w:rPr>
                <w:szCs w:val="16"/>
              </w:rPr>
              <w:t>CO</w:t>
            </w:r>
            <w:r w:rsidRPr="00BE78CA">
              <w:rPr>
                <w:szCs w:val="16"/>
                <w:vertAlign w:val="subscript"/>
              </w:rPr>
              <w:t>2</w:t>
            </w:r>
          </w:p>
        </w:tc>
        <w:tc>
          <w:tcPr>
            <w:tcW w:w="658" w:type="pct"/>
            <w:tcBorders>
              <w:top w:val="single" w:sz="4" w:space="0" w:color="365F91"/>
              <w:left w:val="single" w:sz="4" w:space="0" w:color="365F91"/>
              <w:bottom w:val="single" w:sz="4" w:space="0" w:color="365F91"/>
              <w:right w:val="single" w:sz="4" w:space="0" w:color="365F91"/>
            </w:tcBorders>
            <w:shd w:val="clear" w:color="auto" w:fill="auto"/>
            <w:noWrap/>
            <w:hideMark/>
          </w:tcPr>
          <w:p w14:paraId="728D0BA7" w14:textId="77777777" w:rsidR="007F00E5" w:rsidRPr="00BE78CA" w:rsidRDefault="007F00E5" w:rsidP="00C26084">
            <w:pPr>
              <w:pStyle w:val="TableText"/>
              <w:spacing w:before="40" w:after="40"/>
              <w:rPr>
                <w:szCs w:val="16"/>
              </w:rPr>
            </w:pPr>
            <w:r w:rsidRPr="00BE78CA">
              <w:rPr>
                <w:szCs w:val="16"/>
              </w:rPr>
              <w:t>Liquid fuels</w:t>
            </w:r>
          </w:p>
        </w:tc>
        <w:tc>
          <w:tcPr>
            <w:tcW w:w="1009" w:type="pct"/>
            <w:tcBorders>
              <w:top w:val="single" w:sz="4" w:space="0" w:color="365F91"/>
              <w:left w:val="single" w:sz="4" w:space="0" w:color="365F91"/>
              <w:bottom w:val="single" w:sz="4" w:space="0" w:color="365F91"/>
              <w:right w:val="single" w:sz="4" w:space="0" w:color="365F91"/>
            </w:tcBorders>
            <w:shd w:val="clear" w:color="auto" w:fill="auto"/>
            <w:noWrap/>
            <w:hideMark/>
          </w:tcPr>
          <w:p w14:paraId="2804F59D" w14:textId="77777777" w:rsidR="007F00E5" w:rsidRPr="00BE78CA" w:rsidRDefault="007F00E5" w:rsidP="00C26084">
            <w:pPr>
              <w:pStyle w:val="TableText"/>
              <w:spacing w:before="40" w:after="40"/>
              <w:jc w:val="center"/>
              <w:rPr>
                <w:szCs w:val="16"/>
              </w:rPr>
            </w:pPr>
            <w:r w:rsidRPr="00BE78CA">
              <w:rPr>
                <w:szCs w:val="16"/>
              </w:rPr>
              <w:t>±50</w:t>
            </w:r>
          </w:p>
        </w:tc>
        <w:tc>
          <w:tcPr>
            <w:tcW w:w="1083" w:type="pct"/>
            <w:tcBorders>
              <w:left w:val="single" w:sz="4" w:space="0" w:color="365F91"/>
            </w:tcBorders>
            <w:shd w:val="clear" w:color="auto" w:fill="auto"/>
            <w:noWrap/>
            <w:hideMark/>
          </w:tcPr>
          <w:p w14:paraId="614F49E5" w14:textId="77777777" w:rsidR="007F00E5" w:rsidRPr="00BE78CA" w:rsidRDefault="007F00E5" w:rsidP="00C26084">
            <w:pPr>
              <w:pStyle w:val="TableText"/>
              <w:spacing w:before="40" w:after="40"/>
              <w:jc w:val="center"/>
              <w:rPr>
                <w:szCs w:val="16"/>
              </w:rPr>
            </w:pPr>
            <w:r w:rsidRPr="00BE78CA">
              <w:rPr>
                <w:szCs w:val="16"/>
              </w:rPr>
              <w:t>±1.5</w:t>
            </w:r>
          </w:p>
        </w:tc>
        <w:tc>
          <w:tcPr>
            <w:tcW w:w="1917" w:type="pct"/>
            <w:tcBorders>
              <w:left w:val="single" w:sz="4" w:space="0" w:color="365F91"/>
            </w:tcBorders>
          </w:tcPr>
          <w:p w14:paraId="39D2C96F" w14:textId="77777777" w:rsidR="007F00E5" w:rsidRPr="00BE78CA" w:rsidRDefault="007F00E5" w:rsidP="00C26084">
            <w:pPr>
              <w:pStyle w:val="TableText"/>
              <w:spacing w:before="40" w:after="40"/>
              <w:rPr>
                <w:szCs w:val="16"/>
              </w:rPr>
            </w:pPr>
            <w:r w:rsidRPr="00BE78CA">
              <w:rPr>
                <w:szCs w:val="16"/>
              </w:rPr>
              <w:t>Section 3.5.1.7, IPCC, 2006a</w:t>
            </w:r>
          </w:p>
        </w:tc>
      </w:tr>
      <w:tr w:rsidR="007F00E5" w:rsidRPr="00BE78CA" w14:paraId="4E4D12FE" w14:textId="77777777" w:rsidTr="00594546">
        <w:tc>
          <w:tcPr>
            <w:tcW w:w="333" w:type="pct"/>
            <w:tcBorders>
              <w:right w:val="single" w:sz="4" w:space="0" w:color="365F91"/>
            </w:tcBorders>
            <w:shd w:val="clear" w:color="auto" w:fill="auto"/>
            <w:noWrap/>
            <w:hideMark/>
          </w:tcPr>
          <w:p w14:paraId="4D6CE417" w14:textId="77777777" w:rsidR="007F00E5" w:rsidRPr="00BE78CA" w:rsidRDefault="007F00E5" w:rsidP="00C26084">
            <w:pPr>
              <w:pStyle w:val="TableText"/>
              <w:spacing w:before="40" w:after="40"/>
              <w:rPr>
                <w:szCs w:val="16"/>
              </w:rPr>
            </w:pPr>
            <w:r w:rsidRPr="00BE78CA">
              <w:rPr>
                <w:szCs w:val="16"/>
              </w:rPr>
              <w:t>CH</w:t>
            </w:r>
            <w:r w:rsidRPr="00BE78CA">
              <w:rPr>
                <w:szCs w:val="16"/>
                <w:vertAlign w:val="subscript"/>
              </w:rPr>
              <w:t>4</w:t>
            </w:r>
          </w:p>
        </w:tc>
        <w:tc>
          <w:tcPr>
            <w:tcW w:w="658" w:type="pct"/>
            <w:tcBorders>
              <w:top w:val="single" w:sz="4" w:space="0" w:color="365F91"/>
              <w:left w:val="single" w:sz="4" w:space="0" w:color="365F91"/>
              <w:bottom w:val="single" w:sz="4" w:space="0" w:color="365F91"/>
              <w:right w:val="single" w:sz="4" w:space="0" w:color="365F91"/>
            </w:tcBorders>
            <w:shd w:val="clear" w:color="auto" w:fill="auto"/>
            <w:noWrap/>
            <w:hideMark/>
          </w:tcPr>
          <w:p w14:paraId="6577207E" w14:textId="77777777" w:rsidR="007F00E5" w:rsidRPr="00BE78CA" w:rsidRDefault="007F00E5" w:rsidP="00C26084">
            <w:pPr>
              <w:pStyle w:val="TableText"/>
              <w:spacing w:before="40" w:after="40"/>
              <w:rPr>
                <w:szCs w:val="16"/>
              </w:rPr>
            </w:pPr>
            <w:r w:rsidRPr="00BE78CA">
              <w:rPr>
                <w:szCs w:val="16"/>
              </w:rPr>
              <w:t>Liquid fuels</w:t>
            </w:r>
          </w:p>
        </w:tc>
        <w:tc>
          <w:tcPr>
            <w:tcW w:w="1009" w:type="pct"/>
            <w:tcBorders>
              <w:top w:val="single" w:sz="4" w:space="0" w:color="365F91"/>
              <w:left w:val="single" w:sz="4" w:space="0" w:color="365F91"/>
              <w:bottom w:val="single" w:sz="4" w:space="0" w:color="365F91"/>
              <w:right w:val="single" w:sz="4" w:space="0" w:color="365F91"/>
            </w:tcBorders>
            <w:shd w:val="clear" w:color="auto" w:fill="auto"/>
            <w:noWrap/>
            <w:hideMark/>
          </w:tcPr>
          <w:p w14:paraId="26266F52" w14:textId="77777777" w:rsidR="007F00E5" w:rsidRPr="00BE78CA" w:rsidRDefault="007F00E5" w:rsidP="00C26084">
            <w:pPr>
              <w:pStyle w:val="TableText"/>
              <w:spacing w:before="40" w:after="40"/>
              <w:jc w:val="center"/>
              <w:rPr>
                <w:szCs w:val="16"/>
              </w:rPr>
            </w:pPr>
            <w:r w:rsidRPr="00BE78CA">
              <w:rPr>
                <w:szCs w:val="16"/>
              </w:rPr>
              <w:t>±50</w:t>
            </w:r>
          </w:p>
        </w:tc>
        <w:tc>
          <w:tcPr>
            <w:tcW w:w="1083" w:type="pct"/>
            <w:tcBorders>
              <w:left w:val="single" w:sz="4" w:space="0" w:color="365F91"/>
            </w:tcBorders>
            <w:shd w:val="clear" w:color="auto" w:fill="auto"/>
            <w:noWrap/>
            <w:hideMark/>
          </w:tcPr>
          <w:p w14:paraId="2B8965B2" w14:textId="77777777" w:rsidR="007F00E5" w:rsidRPr="00BE78CA" w:rsidRDefault="007F00E5" w:rsidP="00C26084">
            <w:pPr>
              <w:pStyle w:val="TableText"/>
              <w:spacing w:before="40" w:after="40"/>
              <w:jc w:val="center"/>
              <w:rPr>
                <w:szCs w:val="16"/>
              </w:rPr>
            </w:pPr>
            <w:r w:rsidRPr="00BE78CA">
              <w:rPr>
                <w:szCs w:val="16"/>
              </w:rPr>
              <w:t>±50.0</w:t>
            </w:r>
          </w:p>
        </w:tc>
        <w:tc>
          <w:tcPr>
            <w:tcW w:w="1917" w:type="pct"/>
            <w:tcBorders>
              <w:left w:val="single" w:sz="4" w:space="0" w:color="365F91"/>
            </w:tcBorders>
          </w:tcPr>
          <w:p w14:paraId="510F2D63" w14:textId="77777777" w:rsidR="007F00E5" w:rsidRPr="00BE78CA" w:rsidRDefault="007F00E5" w:rsidP="00C26084">
            <w:pPr>
              <w:pStyle w:val="TableText"/>
              <w:spacing w:before="40" w:after="40"/>
              <w:rPr>
                <w:szCs w:val="16"/>
              </w:rPr>
            </w:pPr>
            <w:r w:rsidRPr="00BE78CA">
              <w:rPr>
                <w:szCs w:val="16"/>
              </w:rPr>
              <w:t>Section 3.5.1.7, IPCC, 2006a</w:t>
            </w:r>
          </w:p>
        </w:tc>
      </w:tr>
      <w:tr w:rsidR="007F00E5" w:rsidRPr="00BE78CA" w14:paraId="09D8A993" w14:textId="77777777" w:rsidTr="00594546">
        <w:tc>
          <w:tcPr>
            <w:tcW w:w="333" w:type="pct"/>
            <w:tcBorders>
              <w:right w:val="single" w:sz="4" w:space="0" w:color="365F91"/>
            </w:tcBorders>
            <w:shd w:val="clear" w:color="auto" w:fill="auto"/>
            <w:noWrap/>
            <w:hideMark/>
          </w:tcPr>
          <w:p w14:paraId="7DDE86EA" w14:textId="77777777" w:rsidR="007F00E5" w:rsidRPr="00BE78CA" w:rsidRDefault="007F00E5" w:rsidP="00C26084">
            <w:pPr>
              <w:pStyle w:val="TableText"/>
              <w:spacing w:before="40" w:after="40"/>
              <w:rPr>
                <w:szCs w:val="16"/>
              </w:rPr>
            </w:pPr>
            <w:r w:rsidRPr="00BE78CA">
              <w:rPr>
                <w:szCs w:val="16"/>
              </w:rPr>
              <w:t>N</w:t>
            </w:r>
            <w:r w:rsidRPr="00BE78CA">
              <w:rPr>
                <w:szCs w:val="16"/>
                <w:vertAlign w:val="subscript"/>
              </w:rPr>
              <w:t>2</w:t>
            </w:r>
            <w:r w:rsidRPr="00BE78CA">
              <w:rPr>
                <w:szCs w:val="16"/>
              </w:rPr>
              <w:t>O</w:t>
            </w:r>
          </w:p>
        </w:tc>
        <w:tc>
          <w:tcPr>
            <w:tcW w:w="658" w:type="pct"/>
            <w:tcBorders>
              <w:top w:val="single" w:sz="4" w:space="0" w:color="365F91"/>
              <w:left w:val="single" w:sz="4" w:space="0" w:color="365F91"/>
              <w:bottom w:val="single" w:sz="4" w:space="0" w:color="365F91"/>
              <w:right w:val="single" w:sz="4" w:space="0" w:color="365F91"/>
            </w:tcBorders>
            <w:shd w:val="clear" w:color="auto" w:fill="auto"/>
            <w:noWrap/>
            <w:hideMark/>
          </w:tcPr>
          <w:p w14:paraId="5CEACDBF" w14:textId="77777777" w:rsidR="007F00E5" w:rsidRPr="00BE78CA" w:rsidRDefault="007F00E5" w:rsidP="00C26084">
            <w:pPr>
              <w:pStyle w:val="TableText"/>
              <w:spacing w:before="40" w:after="40"/>
              <w:rPr>
                <w:szCs w:val="16"/>
              </w:rPr>
            </w:pPr>
            <w:r w:rsidRPr="00BE78CA">
              <w:rPr>
                <w:szCs w:val="16"/>
              </w:rPr>
              <w:t>Liquid fuels</w:t>
            </w:r>
          </w:p>
        </w:tc>
        <w:tc>
          <w:tcPr>
            <w:tcW w:w="1009" w:type="pct"/>
            <w:tcBorders>
              <w:top w:val="single" w:sz="4" w:space="0" w:color="365F91"/>
              <w:left w:val="single" w:sz="4" w:space="0" w:color="365F91"/>
              <w:bottom w:val="single" w:sz="4" w:space="0" w:color="365F91"/>
              <w:right w:val="single" w:sz="4" w:space="0" w:color="365F91"/>
            </w:tcBorders>
            <w:shd w:val="clear" w:color="auto" w:fill="auto"/>
            <w:noWrap/>
            <w:hideMark/>
          </w:tcPr>
          <w:p w14:paraId="36E3F347" w14:textId="77777777" w:rsidR="007F00E5" w:rsidRPr="00BE78CA" w:rsidRDefault="007F00E5" w:rsidP="00C26084">
            <w:pPr>
              <w:pStyle w:val="TableText"/>
              <w:spacing w:before="40" w:after="40"/>
              <w:jc w:val="center"/>
              <w:rPr>
                <w:szCs w:val="16"/>
              </w:rPr>
            </w:pPr>
            <w:r w:rsidRPr="00BE78CA">
              <w:rPr>
                <w:szCs w:val="16"/>
              </w:rPr>
              <w:t>±50</w:t>
            </w:r>
          </w:p>
        </w:tc>
        <w:tc>
          <w:tcPr>
            <w:tcW w:w="1083" w:type="pct"/>
            <w:tcBorders>
              <w:left w:val="single" w:sz="4" w:space="0" w:color="365F91"/>
            </w:tcBorders>
            <w:shd w:val="clear" w:color="auto" w:fill="auto"/>
            <w:noWrap/>
            <w:hideMark/>
          </w:tcPr>
          <w:p w14:paraId="61F8AAEE" w14:textId="77777777" w:rsidR="007F00E5" w:rsidRPr="00BE78CA" w:rsidRDefault="007F00E5" w:rsidP="00C26084">
            <w:pPr>
              <w:pStyle w:val="TableText"/>
              <w:spacing w:before="40" w:after="40"/>
              <w:jc w:val="center"/>
              <w:rPr>
                <w:szCs w:val="16"/>
              </w:rPr>
            </w:pPr>
            <w:r w:rsidRPr="00BE78CA">
              <w:rPr>
                <w:szCs w:val="16"/>
              </w:rPr>
              <w:t>±50.0</w:t>
            </w:r>
          </w:p>
        </w:tc>
        <w:tc>
          <w:tcPr>
            <w:tcW w:w="1917" w:type="pct"/>
            <w:tcBorders>
              <w:left w:val="single" w:sz="4" w:space="0" w:color="365F91"/>
            </w:tcBorders>
          </w:tcPr>
          <w:p w14:paraId="1BC258E2" w14:textId="77777777" w:rsidR="007F00E5" w:rsidRPr="00BE78CA" w:rsidRDefault="007F00E5" w:rsidP="00C26084">
            <w:pPr>
              <w:pStyle w:val="TableText"/>
              <w:spacing w:before="40" w:after="40"/>
              <w:rPr>
                <w:szCs w:val="16"/>
              </w:rPr>
            </w:pPr>
            <w:r w:rsidRPr="00BE78CA">
              <w:rPr>
                <w:szCs w:val="16"/>
              </w:rPr>
              <w:t>New Zealand’s value is used (table 3.3.1, chapter 3), section 3.5.1.7, IPCC, 2006a</w:t>
            </w:r>
          </w:p>
        </w:tc>
      </w:tr>
    </w:tbl>
    <w:p w14:paraId="57EE2D37" w14:textId="77777777" w:rsidR="007F00E5" w:rsidRPr="00BE78CA" w:rsidRDefault="007F00E5" w:rsidP="00594546">
      <w:pPr>
        <w:pStyle w:val="Heading4"/>
        <w:spacing w:before="360"/>
      </w:pPr>
      <w:r w:rsidRPr="00BE78CA">
        <w:t>Source-specific planned improvements</w:t>
      </w:r>
    </w:p>
    <w:p w14:paraId="67497563" w14:textId="77777777" w:rsidR="007F00E5" w:rsidRPr="00BE78CA" w:rsidRDefault="007F00E5" w:rsidP="007F00E5">
      <w:pPr>
        <w:pStyle w:val="BodyText"/>
        <w:rPr>
          <w:lang w:eastAsia="en-GB"/>
        </w:rPr>
      </w:pPr>
      <w:r w:rsidRPr="00BE78CA">
        <w:rPr>
          <w:lang w:eastAsia="en-GB"/>
        </w:rPr>
        <w:t xml:space="preserve">There are no planned improvements for </w:t>
      </w:r>
      <w:r w:rsidRPr="00BE78CA">
        <w:rPr>
          <w:i/>
          <w:lang w:eastAsia="en-GB"/>
        </w:rPr>
        <w:t>Transport</w:t>
      </w:r>
      <w:r w:rsidRPr="00BE78CA">
        <w:rPr>
          <w:lang w:eastAsia="en-GB"/>
        </w:rPr>
        <w:t xml:space="preserve">. For future submissions, further analysis of activity data to reflect year-to-year variations will be considered as far as resources allow. </w:t>
      </w:r>
    </w:p>
    <w:p w14:paraId="08295213" w14:textId="77777777" w:rsidR="007F00E5" w:rsidRPr="00BE78CA" w:rsidRDefault="007F00E5" w:rsidP="007F00E5">
      <w:pPr>
        <w:pStyle w:val="Heading2"/>
        <w:spacing w:before="320"/>
      </w:pPr>
      <w:bookmarkStart w:id="3227" w:name="_Toc5269395"/>
      <w:bookmarkStart w:id="3228" w:name="_Toc36224435"/>
      <w:bookmarkStart w:id="3229" w:name="_Toc68786355"/>
      <w:r w:rsidRPr="00BE78CA">
        <w:t>8.3</w:t>
      </w:r>
      <w:r w:rsidRPr="00BE78CA">
        <w:tab/>
        <w:t>Emissions from Industrial Processes and Product Use</w:t>
      </w:r>
      <w:r w:rsidRPr="00BE78CA">
        <w:br/>
        <w:t>in Tokelau (CRF 6. Tokelau_2)</w:t>
      </w:r>
      <w:bookmarkEnd w:id="3227"/>
      <w:bookmarkEnd w:id="3228"/>
      <w:bookmarkEnd w:id="3229"/>
    </w:p>
    <w:p w14:paraId="343E6717" w14:textId="77777777" w:rsidR="007F00E5" w:rsidRPr="00BE78CA" w:rsidRDefault="007F00E5" w:rsidP="007F00E5">
      <w:pPr>
        <w:pStyle w:val="BodyText"/>
      </w:pPr>
      <w:r w:rsidRPr="00BE78CA">
        <w:t>There is no significant industry in Tokelau. The emissions associated with the IPPU sector are coming from the following activities:</w:t>
      </w:r>
    </w:p>
    <w:p w14:paraId="59059C12" w14:textId="77777777" w:rsidR="007F00E5" w:rsidRPr="00BE78CA" w:rsidRDefault="007F00E5" w:rsidP="007F00E5">
      <w:pPr>
        <w:pStyle w:val="Bullet"/>
      </w:pPr>
      <w:r w:rsidRPr="00BE78CA">
        <w:t>use of refrigeration and air conditioning – HFCs</w:t>
      </w:r>
    </w:p>
    <w:p w14:paraId="474139A7" w14:textId="77777777" w:rsidR="007F00E5" w:rsidRPr="00BE78CA" w:rsidRDefault="007F00E5" w:rsidP="007F00E5">
      <w:pPr>
        <w:pStyle w:val="Bullet"/>
      </w:pPr>
      <w:r w:rsidRPr="00BE78CA">
        <w:t xml:space="preserve">use of metered dose inhalers – HFC-134a and HFC-227ea </w:t>
      </w:r>
    </w:p>
    <w:p w14:paraId="2C4D90B7" w14:textId="77777777" w:rsidR="007F00E5" w:rsidRPr="00BE78CA" w:rsidRDefault="007F00E5" w:rsidP="007F00E5">
      <w:pPr>
        <w:pStyle w:val="Bullet"/>
      </w:pPr>
      <w:r w:rsidRPr="00BE78CA">
        <w:t>medical applications of N</w:t>
      </w:r>
      <w:r w:rsidRPr="00BE78CA">
        <w:rPr>
          <w:vertAlign w:val="subscript"/>
        </w:rPr>
        <w:t>2</w:t>
      </w:r>
      <w:r w:rsidRPr="00BE78CA">
        <w:t>O.</w:t>
      </w:r>
    </w:p>
    <w:p w14:paraId="36B5762D" w14:textId="77777777" w:rsidR="007F00E5" w:rsidRPr="00BE78CA" w:rsidRDefault="007F00E5" w:rsidP="007F00E5">
      <w:pPr>
        <w:pStyle w:val="BodyText"/>
      </w:pPr>
      <w:r w:rsidRPr="00BE78CA">
        <w:t xml:space="preserve">Thus, the source categories included in this report are </w:t>
      </w:r>
      <w:r w:rsidRPr="00BE78CA">
        <w:rPr>
          <w:i/>
        </w:rPr>
        <w:t>Refrigeration and air conditioning</w:t>
      </w:r>
      <w:r w:rsidRPr="00BE78CA">
        <w:t xml:space="preserve"> (2.F.1), </w:t>
      </w:r>
      <w:r w:rsidRPr="00BE78CA">
        <w:rPr>
          <w:i/>
        </w:rPr>
        <w:t>Metered dose inhalers</w:t>
      </w:r>
      <w:r w:rsidRPr="00BE78CA">
        <w:t xml:space="preserve"> (2.F.4) and </w:t>
      </w:r>
      <w:r w:rsidRPr="00BE78CA">
        <w:rPr>
          <w:i/>
        </w:rPr>
        <w:t xml:space="preserve">Medical applications </w:t>
      </w:r>
      <w:r w:rsidRPr="00BE78CA">
        <w:t>(2.G.3).</w:t>
      </w:r>
    </w:p>
    <w:p w14:paraId="6A8370F0" w14:textId="77777777" w:rsidR="007F00E5" w:rsidRPr="00BE78CA" w:rsidRDefault="007F00E5" w:rsidP="007F00E5">
      <w:pPr>
        <w:pStyle w:val="BodyText"/>
      </w:pPr>
      <w:r w:rsidRPr="00BE78CA">
        <w:lastRenderedPageBreak/>
        <w:t>The total amount of all IPPU emissions in Tokelau in 2019 was 0.26 kt CO</w:t>
      </w:r>
      <w:r w:rsidRPr="00BE78CA">
        <w:rPr>
          <w:vertAlign w:val="subscript"/>
        </w:rPr>
        <w:t>2</w:t>
      </w:r>
      <w:r w:rsidRPr="00BE78CA">
        <w:t xml:space="preserve">-e. They contributed 6.0 per cent to the total emissions from Tokelau and 0.0003 per cent to New Zealand’s gross emissions including Tokelau. The biggest contributor to the total IPPU HFC emissions is </w:t>
      </w:r>
      <w:r w:rsidRPr="00BE78CA">
        <w:rPr>
          <w:i/>
        </w:rPr>
        <w:t>Stationary air conditioning</w:t>
      </w:r>
      <w:r w:rsidRPr="00BE78CA">
        <w:t xml:space="preserve"> followed by </w:t>
      </w:r>
      <w:r w:rsidRPr="00BE78CA">
        <w:rPr>
          <w:i/>
        </w:rPr>
        <w:t>Domestic refrigeration</w:t>
      </w:r>
      <w:r w:rsidRPr="00BE78CA">
        <w:t>, with 66.7 per cent and 17.4 per cent of IPPU emissions from Tokelau, respectively. Figure 8.3.1 shows emission trends in the IPPU sector by category for Tokelau.</w:t>
      </w:r>
    </w:p>
    <w:p w14:paraId="4F90AA29" w14:textId="77777777" w:rsidR="007F00E5" w:rsidRPr="00BE78CA" w:rsidRDefault="007F00E5" w:rsidP="007F00E5">
      <w:pPr>
        <w:pStyle w:val="Figure"/>
        <w:spacing w:after="0"/>
        <w:rPr>
          <w:rFonts w:eastAsia="Calibri"/>
        </w:rPr>
      </w:pPr>
      <w:bookmarkStart w:id="3230" w:name="_Toc36292830"/>
      <w:bookmarkStart w:id="3231" w:name="_Toc64972937"/>
      <w:bookmarkStart w:id="3232" w:name="_Toc68786694"/>
      <w:r w:rsidRPr="00BE78CA">
        <w:rPr>
          <w:rFonts w:eastAsia="Calibri"/>
        </w:rPr>
        <w:t xml:space="preserve">Figure 8.3.1 </w:t>
      </w:r>
      <w:r w:rsidRPr="00BE78CA">
        <w:rPr>
          <w:rFonts w:eastAsia="Calibri"/>
        </w:rPr>
        <w:tab/>
        <w:t>IPPU emissions by category for Tokelau (kt CO</w:t>
      </w:r>
      <w:r w:rsidRPr="00BE78CA">
        <w:rPr>
          <w:rFonts w:eastAsia="Calibri"/>
          <w:vertAlign w:val="subscript"/>
        </w:rPr>
        <w:t>2</w:t>
      </w:r>
      <w:r w:rsidRPr="00BE78CA">
        <w:rPr>
          <w:rFonts w:eastAsia="Calibri"/>
        </w:rPr>
        <w:t xml:space="preserve">-e) from 1990 to </w:t>
      </w:r>
      <w:bookmarkEnd w:id="3230"/>
      <w:r w:rsidRPr="00BE78CA">
        <w:rPr>
          <w:rFonts w:eastAsia="Calibri"/>
        </w:rPr>
        <w:t>2019</w:t>
      </w:r>
      <w:bookmarkEnd w:id="3231"/>
      <w:bookmarkEnd w:id="3232"/>
    </w:p>
    <w:p w14:paraId="7BDCD436" w14:textId="787D0A19" w:rsidR="007F00E5" w:rsidRPr="00BE78CA" w:rsidRDefault="00B017ED" w:rsidP="007F00E5">
      <w:pPr>
        <w:pStyle w:val="BodyText"/>
        <w:spacing w:before="80" w:after="0"/>
        <w:rPr>
          <w:rFonts w:eastAsia="Calibri"/>
        </w:rPr>
      </w:pPr>
      <w:r w:rsidRPr="00BE78CA">
        <w:rPr>
          <w:noProof/>
        </w:rPr>
        <w:drawing>
          <wp:inline distT="0" distB="0" distL="0" distR="0" wp14:anchorId="776C5B7E" wp14:editId="13C9F099">
            <wp:extent cx="4756785" cy="2639833"/>
            <wp:effectExtent l="0" t="0" r="5715" b="8255"/>
            <wp:docPr id="86" name="Chart 86">
              <a:extLst xmlns:a="http://schemas.openxmlformats.org/drawingml/2006/main">
                <a:ext uri="{FF2B5EF4-FFF2-40B4-BE49-F238E27FC236}">
                  <a16:creationId xmlns:a16="http://schemas.microsoft.com/office/drawing/2014/main" id="{00000000-0008-0000-0300-00000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9"/>
              </a:graphicData>
            </a:graphic>
          </wp:inline>
        </w:drawing>
      </w:r>
    </w:p>
    <w:p w14:paraId="61C61C58" w14:textId="77777777" w:rsidR="007F00E5" w:rsidRPr="00BE78CA" w:rsidRDefault="007F00E5" w:rsidP="007F00E5">
      <w:pPr>
        <w:pStyle w:val="Heading3"/>
      </w:pPr>
      <w:r w:rsidRPr="00BE78CA">
        <w:t>8.3.1</w:t>
      </w:r>
      <w:r w:rsidRPr="00BE78CA">
        <w:tab/>
        <w:t xml:space="preserve">Emissions from Refrigeration and air conditioning in Tokelau </w:t>
      </w:r>
    </w:p>
    <w:p w14:paraId="083A3836" w14:textId="77777777" w:rsidR="007F00E5" w:rsidRPr="00BE78CA" w:rsidRDefault="007F00E5" w:rsidP="007F00E5">
      <w:pPr>
        <w:pStyle w:val="BodyText"/>
      </w:pPr>
      <w:r w:rsidRPr="00BE78CA">
        <w:t xml:space="preserve">Due to a very small number of air-conditioned vehicles in Tokelau, all emissions from this category are reported under </w:t>
      </w:r>
      <w:r w:rsidRPr="00BE78CA">
        <w:rPr>
          <w:i/>
        </w:rPr>
        <w:t>Stationary air conditioning</w:t>
      </w:r>
      <w:r w:rsidRPr="00BE78CA">
        <w:t xml:space="preserve"> (2.F.1.f). </w:t>
      </w:r>
    </w:p>
    <w:p w14:paraId="3C8B13BC" w14:textId="77777777" w:rsidR="007F00E5" w:rsidRPr="00BE78CA" w:rsidRDefault="007F00E5" w:rsidP="007F00E5">
      <w:pPr>
        <w:pStyle w:val="BodyText"/>
      </w:pPr>
      <w:r w:rsidRPr="00BE78CA">
        <w:t xml:space="preserve">Because most fridge and freezer appliances are installed in households, the emissions associated with refrigeration are reported under </w:t>
      </w:r>
      <w:r w:rsidRPr="00BE78CA">
        <w:rPr>
          <w:i/>
        </w:rPr>
        <w:t>Domestic refrigeration</w:t>
      </w:r>
      <w:r w:rsidRPr="00BE78CA">
        <w:t xml:space="preserve"> (2.F.1.b). Emissions from fridge and freezer appliances are based on the number of those appliances, however, no HFCs were used before 1994. To account for the phase-in of HFCs, it has been assumed that the proportion of appliances using HFCs increased 10 per cent per year, starting at 10 per cent of appliances in 1994 and reaching 100 per cent of appliances in 2003. This phase</w:t>
      </w:r>
      <w:r w:rsidRPr="00BE78CA">
        <w:noBreakHyphen/>
        <w:t>in is reflected in figure 8.3.1. Emissions continue to change after 2003 due to changes in the overall number of appliances.</w:t>
      </w:r>
    </w:p>
    <w:p w14:paraId="3E80DBE7" w14:textId="77777777" w:rsidR="007F00E5" w:rsidRPr="00BE78CA" w:rsidRDefault="007F00E5" w:rsidP="007F00E5">
      <w:pPr>
        <w:pStyle w:val="Heading4"/>
      </w:pPr>
      <w:r w:rsidRPr="00BE78CA">
        <w:t>Source-specific planned improvements</w:t>
      </w:r>
    </w:p>
    <w:p w14:paraId="70810721" w14:textId="77777777" w:rsidR="007F00E5" w:rsidRPr="00BE78CA" w:rsidRDefault="007F00E5" w:rsidP="007F00E5">
      <w:pPr>
        <w:pStyle w:val="BodyText"/>
      </w:pPr>
      <w:r w:rsidRPr="00BE78CA">
        <w:t xml:space="preserve">Due to resource constraints, improvements were prioritised according to the amount of emissions contributed by each sector to the total emissions from Tokelau. Because the IPPU sector contributes only a very small amount of emissions, no improvements, except ongoing data refinement as far as resources allow, are planned for the next inventory submission. </w:t>
      </w:r>
    </w:p>
    <w:p w14:paraId="20FB7181" w14:textId="77777777" w:rsidR="007F00E5" w:rsidRPr="00BE78CA" w:rsidRDefault="007F00E5" w:rsidP="007F00E5">
      <w:pPr>
        <w:pStyle w:val="Heading4"/>
      </w:pPr>
      <w:r w:rsidRPr="00BE78CA">
        <w:t>Methodological issues</w:t>
      </w:r>
    </w:p>
    <w:p w14:paraId="693E26B8" w14:textId="77777777" w:rsidR="007F00E5" w:rsidRPr="00BE78CA" w:rsidRDefault="007F00E5" w:rsidP="007F00E5">
      <w:pPr>
        <w:pStyle w:val="Heading5"/>
        <w:spacing w:before="160"/>
      </w:pPr>
      <w:r w:rsidRPr="00BE78CA">
        <w:t>Activity data</w:t>
      </w:r>
    </w:p>
    <w:p w14:paraId="10605E47" w14:textId="77777777" w:rsidR="007F00E5" w:rsidRPr="00BE78CA" w:rsidRDefault="007F00E5" w:rsidP="007F00E5">
      <w:pPr>
        <w:pStyle w:val="BodyText"/>
        <w:spacing w:after="100"/>
      </w:pPr>
      <w:r w:rsidRPr="00BE78CA">
        <w:t>The data for the number of appliances are sourced from:</w:t>
      </w:r>
    </w:p>
    <w:p w14:paraId="5C0D7FD1" w14:textId="77777777" w:rsidR="007F00E5" w:rsidRPr="00BE78CA" w:rsidRDefault="007F00E5" w:rsidP="007F00E5">
      <w:pPr>
        <w:pStyle w:val="Bullet"/>
        <w:spacing w:after="100"/>
      </w:pPr>
      <w:r w:rsidRPr="00BE78CA">
        <w:t xml:space="preserve">Tokelau Census of Population and Dwellings (2006, 2011, 2016) (item 1 in table 8.1.2) for 2006 to 2016 data points </w:t>
      </w:r>
    </w:p>
    <w:p w14:paraId="0CED4D58" w14:textId="77777777" w:rsidR="007F00E5" w:rsidRPr="00BE78CA" w:rsidRDefault="007F00E5" w:rsidP="007F00E5">
      <w:pPr>
        <w:pStyle w:val="Bullet"/>
        <w:spacing w:after="100"/>
      </w:pPr>
      <w:r w:rsidRPr="00BE78CA">
        <w:lastRenderedPageBreak/>
        <w:t xml:space="preserve">Archives New Zealand (Wellington, New Zealand) for historic Census records going back to 1950, mostly at five-year intervals </w:t>
      </w:r>
    </w:p>
    <w:p w14:paraId="06BCE956" w14:textId="77777777" w:rsidR="007F00E5" w:rsidRPr="00BE78CA" w:rsidRDefault="007F00E5" w:rsidP="007F00E5">
      <w:pPr>
        <w:pStyle w:val="Bullet"/>
        <w:spacing w:after="100"/>
      </w:pPr>
      <w:r w:rsidRPr="00BE78CA">
        <w:t xml:space="preserve">Tokelau Household Income and Expenditure Survey 2015/16 for population and dwellings data supplementary to the Census </w:t>
      </w:r>
    </w:p>
    <w:p w14:paraId="18503CD8" w14:textId="77777777" w:rsidR="007F00E5" w:rsidRPr="00BE78CA" w:rsidRDefault="007F00E5" w:rsidP="007F00E5">
      <w:pPr>
        <w:pStyle w:val="Bullet"/>
        <w:spacing w:after="100"/>
      </w:pPr>
      <w:r w:rsidRPr="00BE78CA">
        <w:t>Tokelau Department of Health for anecdotal information on inhalers, the laser gas, and fire extinguishers</w:t>
      </w:r>
    </w:p>
    <w:p w14:paraId="593AF193" w14:textId="77777777" w:rsidR="007F00E5" w:rsidRPr="00BE78CA" w:rsidRDefault="007F00E5" w:rsidP="007F00E5">
      <w:pPr>
        <w:pStyle w:val="Bullet"/>
        <w:spacing w:after="100"/>
      </w:pPr>
      <w:r w:rsidRPr="00BE78CA">
        <w:t>Tokelau Department of Transport and Support Services (Apia, Samoa) for cargo shipping manifests for analysis of imports of all goods</w:t>
      </w:r>
    </w:p>
    <w:p w14:paraId="45527CB4" w14:textId="77777777" w:rsidR="007F00E5" w:rsidRPr="00BE78CA" w:rsidRDefault="007F00E5" w:rsidP="007F00E5">
      <w:pPr>
        <w:pStyle w:val="Bullet"/>
        <w:spacing w:after="100"/>
      </w:pPr>
      <w:r w:rsidRPr="00BE78CA">
        <w:t>Statistics New Zealand (Wellington, New Zealand), which helped in the collection, analysis and publication of Tokelau Census data</w:t>
      </w:r>
    </w:p>
    <w:p w14:paraId="0886D93D" w14:textId="77777777" w:rsidR="007F00E5" w:rsidRPr="00BE78CA" w:rsidRDefault="007F00E5" w:rsidP="007F00E5">
      <w:pPr>
        <w:pStyle w:val="Bullet"/>
      </w:pPr>
      <w:r w:rsidRPr="00BE78CA">
        <w:t>Tokelau National Statistics Office, which performed collection, analysis and publication of Tokelau Census data with subsequent data collation and analyses.</w:t>
      </w:r>
    </w:p>
    <w:p w14:paraId="3848B674" w14:textId="77777777" w:rsidR="007F00E5" w:rsidRPr="00BE78CA" w:rsidRDefault="007F00E5" w:rsidP="007F00E5">
      <w:pPr>
        <w:pStyle w:val="BodyText"/>
        <w:rPr>
          <w:highlight w:val="yellow"/>
        </w:rPr>
      </w:pPr>
      <w:r w:rsidRPr="00BE78CA">
        <w:t xml:space="preserve">The raw data on the number of appliances used in Tokelau obtained from the Census have been further analysed and cross-referenced through other sources (for example, see those listed in table 8.1.2); available data points are increased by equal increments between the data collection years. </w:t>
      </w:r>
    </w:p>
    <w:p w14:paraId="588C49F2" w14:textId="77777777" w:rsidR="007F00E5" w:rsidRPr="00BE78CA" w:rsidRDefault="007F00E5" w:rsidP="007F00E5">
      <w:pPr>
        <w:pStyle w:val="Heading5"/>
      </w:pPr>
      <w:r w:rsidRPr="00BE78CA">
        <w:t>Method and emission factors</w:t>
      </w:r>
    </w:p>
    <w:p w14:paraId="18FD9F89" w14:textId="77777777" w:rsidR="007F00E5" w:rsidRPr="00BE78CA" w:rsidRDefault="007F00E5" w:rsidP="007F00E5">
      <w:pPr>
        <w:pStyle w:val="BodyText"/>
        <w:spacing w:after="100"/>
      </w:pPr>
      <w:r w:rsidRPr="00BE78CA">
        <w:t xml:space="preserve">For both air conditioning and domestic refrigeration, the following assumptions were made: </w:t>
      </w:r>
    </w:p>
    <w:p w14:paraId="54DDFD58" w14:textId="77777777" w:rsidR="007F00E5" w:rsidRPr="00BE78CA" w:rsidRDefault="007F00E5" w:rsidP="007F00E5">
      <w:pPr>
        <w:pStyle w:val="Bullet"/>
        <w:spacing w:after="100"/>
      </w:pPr>
      <w:r w:rsidRPr="00BE78CA">
        <w:t>no chemicals are imported or exported, except as a component of each sort of equipment; emissions are assumed to be derived from current equipment only</w:t>
      </w:r>
    </w:p>
    <w:p w14:paraId="634D0A1C" w14:textId="77777777" w:rsidR="007F00E5" w:rsidRPr="00BE78CA" w:rsidRDefault="007F00E5" w:rsidP="007F00E5">
      <w:pPr>
        <w:pStyle w:val="Bullet"/>
        <w:spacing w:after="100"/>
      </w:pPr>
      <w:r w:rsidRPr="00BE78CA">
        <w:t>HFCs and PFCs are neither produced nor exported or disposed of in Tokelau. Therefore, the net consumption is essentially equal to imports</w:t>
      </w:r>
    </w:p>
    <w:p w14:paraId="1D89B8A7" w14:textId="77777777" w:rsidR="007F00E5" w:rsidRPr="00BE78CA" w:rsidRDefault="007F00E5" w:rsidP="007F00E5">
      <w:pPr>
        <w:pStyle w:val="Bullet"/>
        <w:spacing w:after="100"/>
      </w:pPr>
      <w:r w:rsidRPr="00BE78CA">
        <w:t>a composite default emissions factor of 15 per cent can be used for estimating emissions for both domestic refrigeration and stationary air conditioning</w:t>
      </w:r>
    </w:p>
    <w:p w14:paraId="477DA866" w14:textId="77777777" w:rsidR="007F00E5" w:rsidRPr="00BE78CA" w:rsidRDefault="007F00E5" w:rsidP="007F00E5">
      <w:pPr>
        <w:pStyle w:val="Bullet"/>
        <w:spacing w:after="100"/>
      </w:pPr>
      <w:r w:rsidRPr="00BE78CA">
        <w:t>assumed percentage of new equipment exported (0 per cent for Tokelau)</w:t>
      </w:r>
    </w:p>
    <w:p w14:paraId="3AB220B4" w14:textId="77777777" w:rsidR="007F00E5" w:rsidRPr="00BE78CA" w:rsidRDefault="007F00E5" w:rsidP="007F00E5">
      <w:pPr>
        <w:pStyle w:val="Bullet"/>
        <w:spacing w:after="100"/>
      </w:pPr>
      <w:r w:rsidRPr="00BE78CA">
        <w:t>assumed percentage of new equipment imported (100 per cent for Tokelau)</w:t>
      </w:r>
    </w:p>
    <w:p w14:paraId="5E9D7673" w14:textId="77777777" w:rsidR="007F00E5" w:rsidRPr="00BE78CA" w:rsidRDefault="007F00E5" w:rsidP="007F00E5">
      <w:pPr>
        <w:pStyle w:val="Bullet"/>
        <w:spacing w:after="100"/>
      </w:pPr>
      <w:r w:rsidRPr="00BE78CA">
        <w:t xml:space="preserve">the HFC emissions from stationary air conditioning did not occur until 2006 </w:t>
      </w:r>
    </w:p>
    <w:p w14:paraId="59D60A8B" w14:textId="77777777" w:rsidR="007F00E5" w:rsidRPr="00BE78CA" w:rsidRDefault="007F00E5" w:rsidP="007F00E5">
      <w:pPr>
        <w:pStyle w:val="Bullet"/>
        <w:spacing w:after="100"/>
      </w:pPr>
      <w:r w:rsidRPr="00BE78CA">
        <w:t>the HFC emissions from domestic refrigeration did not occur until 1994 (the same as for New Zealand)</w:t>
      </w:r>
    </w:p>
    <w:p w14:paraId="035F5E80" w14:textId="77777777" w:rsidR="007F00E5" w:rsidRPr="00BE78CA" w:rsidRDefault="007F00E5" w:rsidP="007F00E5">
      <w:pPr>
        <w:pStyle w:val="Bullet"/>
        <w:spacing w:after="100"/>
      </w:pPr>
      <w:r w:rsidRPr="00BE78CA">
        <w:t>the average charge for fridges and freezers has the upper limit of the mass of gas of 0.5 kilograms (from table 7.9 of the 2006 IPCC Guidelines (IPCC, 2006b))</w:t>
      </w:r>
    </w:p>
    <w:p w14:paraId="7CB90C78" w14:textId="77777777" w:rsidR="007F00E5" w:rsidRPr="00BE78CA" w:rsidRDefault="007F00E5" w:rsidP="007F00E5">
      <w:pPr>
        <w:pStyle w:val="Bullet"/>
        <w:spacing w:after="100"/>
      </w:pPr>
      <w:r w:rsidRPr="00BE78CA">
        <w:t>the average charge for an air conditioning unit is 10 kilograms (default value from 2006 IPCC Guidelines (IPCC, 2006a))</w:t>
      </w:r>
    </w:p>
    <w:p w14:paraId="62204BBB" w14:textId="77777777" w:rsidR="007F00E5" w:rsidRPr="00BE78CA" w:rsidRDefault="007F00E5" w:rsidP="007F00E5">
      <w:pPr>
        <w:pStyle w:val="Bullet"/>
      </w:pPr>
      <w:r w:rsidRPr="00BE78CA">
        <w:t>for air conditioning units and fridges and freezers, Tokelau reports the same set of HFCs as New Zealand. These are HFC-32, HFC-125 and HFC-134a for air conditioning units, and HFC-134a for refrigeration.</w:t>
      </w:r>
    </w:p>
    <w:p w14:paraId="0C0633C2" w14:textId="77777777" w:rsidR="007F00E5" w:rsidRPr="00BE78CA" w:rsidRDefault="007F00E5" w:rsidP="007F00E5">
      <w:pPr>
        <w:pStyle w:val="BodyText"/>
      </w:pPr>
      <w:r w:rsidRPr="00BE78CA">
        <w:t xml:space="preserve">The Tier 1a method from the 2006 IPCC Guidelines is used for estimating emissions from category 2.F.1 in Tokelau (IPCC, 2006b). In this method, activity data are represented by a net consumption value (equation 7.1 from volume 3 of the 2006 IPCC Guidelines), while the emission factor is a value that represents a weighted average of several parameters, as shown in table 7.9 from volume 3 of the 2006 IPCC guidelines below (IPCC, 2006b). </w:t>
      </w:r>
    </w:p>
    <w:p w14:paraId="64FC3F63" w14:textId="77777777" w:rsidR="007F00E5" w:rsidRPr="00BE78CA" w:rsidRDefault="007F00E5" w:rsidP="007F00E5">
      <w:pPr>
        <w:pStyle w:val="BodyText"/>
        <w:keepNext/>
      </w:pPr>
      <w:r w:rsidRPr="00BE78CA">
        <w:lastRenderedPageBreak/>
        <w:t>The calculation formula for net consumption within the Tier 1a method is as follows.</w:t>
      </w:r>
    </w:p>
    <w:p w14:paraId="3C18B5B9" w14:textId="77777777" w:rsidR="007F00E5" w:rsidRPr="00BE78CA" w:rsidRDefault="007F00E5" w:rsidP="00925BAE">
      <w:pPr>
        <w:pStyle w:val="BodyText"/>
        <w:pBdr>
          <w:top w:val="single" w:sz="2" w:space="10" w:color="auto"/>
          <w:left w:val="single" w:sz="2" w:space="0" w:color="auto"/>
          <w:bottom w:val="single" w:sz="2" w:space="10" w:color="auto"/>
          <w:right w:val="single" w:sz="2" w:space="10" w:color="auto"/>
        </w:pBdr>
        <w:ind w:left="454" w:right="851"/>
        <w:jc w:val="center"/>
        <w:rPr>
          <w:rFonts w:ascii="Cambria Math" w:hAnsi="Cambria Math"/>
          <w:b/>
          <w:bCs/>
          <w:smallCaps/>
          <w:sz w:val="24"/>
          <w:szCs w:val="24"/>
        </w:rPr>
      </w:pPr>
      <w:r w:rsidRPr="00BE78CA">
        <w:rPr>
          <w:rFonts w:ascii="Cambria Math" w:hAnsi="Cambria Math"/>
          <w:b/>
          <w:bCs/>
          <w:smallCaps/>
          <w:sz w:val="24"/>
          <w:szCs w:val="24"/>
        </w:rPr>
        <w:t>Equation 7.1</w:t>
      </w:r>
    </w:p>
    <w:p w14:paraId="1B003E3F" w14:textId="77777777" w:rsidR="007F00E5" w:rsidRPr="00BE78CA" w:rsidRDefault="007F00E5" w:rsidP="00925BAE">
      <w:pPr>
        <w:pStyle w:val="BodyText"/>
        <w:pBdr>
          <w:top w:val="single" w:sz="2" w:space="10" w:color="auto"/>
          <w:left w:val="single" w:sz="2" w:space="0" w:color="auto"/>
          <w:bottom w:val="single" w:sz="2" w:space="10" w:color="auto"/>
          <w:right w:val="single" w:sz="2" w:space="10" w:color="auto"/>
        </w:pBdr>
        <w:spacing w:before="0" w:after="0"/>
        <w:ind w:left="454" w:right="851"/>
        <w:jc w:val="center"/>
        <w:rPr>
          <w:rFonts w:ascii="Cambria Math" w:hAnsi="Cambria Math"/>
          <w:b/>
          <w:bCs/>
          <w:smallCaps/>
          <w:sz w:val="24"/>
          <w:szCs w:val="24"/>
        </w:rPr>
      </w:pPr>
      <w:r w:rsidRPr="00BE78CA">
        <w:rPr>
          <w:rFonts w:ascii="Cambria Math" w:hAnsi="Cambria Math"/>
          <w:b/>
          <w:bCs/>
          <w:smallCaps/>
          <w:sz w:val="24"/>
          <w:szCs w:val="24"/>
        </w:rPr>
        <w:t>Calculation of net consumption of a chemical in a specific application</w:t>
      </w:r>
    </w:p>
    <w:p w14:paraId="7360A7AA" w14:textId="77777777" w:rsidR="007F00E5" w:rsidRPr="00BE78CA" w:rsidRDefault="007F00E5" w:rsidP="00925BAE">
      <w:pPr>
        <w:pStyle w:val="BodyText"/>
        <w:pBdr>
          <w:top w:val="single" w:sz="2" w:space="10" w:color="auto"/>
          <w:left w:val="single" w:sz="2" w:space="0" w:color="auto"/>
          <w:bottom w:val="single" w:sz="2" w:space="10" w:color="auto"/>
          <w:right w:val="single" w:sz="2" w:space="10" w:color="auto"/>
        </w:pBdr>
        <w:ind w:left="454" w:right="851"/>
        <w:jc w:val="center"/>
        <w:rPr>
          <w:rFonts w:ascii="Cambria Math" w:hAnsi="Cambria Math"/>
          <w:i/>
          <w:iCs/>
          <w:sz w:val="24"/>
          <w:szCs w:val="24"/>
        </w:rPr>
      </w:pPr>
      <w:r w:rsidRPr="00BE78CA">
        <w:rPr>
          <w:rFonts w:ascii="Cambria Math" w:hAnsi="Cambria Math"/>
          <w:i/>
          <w:iCs/>
          <w:sz w:val="24"/>
          <w:szCs w:val="24"/>
        </w:rPr>
        <w:t>Net Consumption = Production + Imports – Exports – Destruction</w:t>
      </w:r>
    </w:p>
    <w:p w14:paraId="5E0D081C" w14:textId="77777777" w:rsidR="007F00E5" w:rsidRPr="00BE78CA" w:rsidRDefault="007F00E5" w:rsidP="007F00E5">
      <w:pPr>
        <w:pStyle w:val="BodyText"/>
      </w:pPr>
      <w:r w:rsidRPr="00BE78CA">
        <w:t>Net consumption values for each HFC are then used to calculate annual emissions for applications exhibiting prompt emissions as follows.</w:t>
      </w:r>
    </w:p>
    <w:p w14:paraId="34FD14FB" w14:textId="77777777" w:rsidR="007F00E5" w:rsidRPr="00BE78CA" w:rsidRDefault="007F00E5" w:rsidP="0081229E">
      <w:pPr>
        <w:pStyle w:val="BodyText"/>
        <w:pBdr>
          <w:top w:val="single" w:sz="2" w:space="10" w:color="auto"/>
          <w:left w:val="single" w:sz="2" w:space="0" w:color="auto"/>
          <w:bottom w:val="single" w:sz="2" w:space="10" w:color="auto"/>
          <w:right w:val="single" w:sz="2" w:space="10" w:color="auto"/>
        </w:pBdr>
        <w:ind w:left="454" w:right="851"/>
        <w:jc w:val="center"/>
        <w:rPr>
          <w:rFonts w:ascii="Cambria Math" w:hAnsi="Cambria Math"/>
          <w:b/>
          <w:bCs/>
          <w:smallCaps/>
          <w:sz w:val="24"/>
          <w:szCs w:val="24"/>
        </w:rPr>
      </w:pPr>
      <w:r w:rsidRPr="00BE78CA">
        <w:rPr>
          <w:rFonts w:ascii="Cambria Math" w:hAnsi="Cambria Math"/>
          <w:b/>
          <w:bCs/>
          <w:smallCaps/>
          <w:sz w:val="24"/>
          <w:szCs w:val="24"/>
        </w:rPr>
        <w:t>Equation 7.2A</w:t>
      </w:r>
    </w:p>
    <w:p w14:paraId="6C1AAFDB" w14:textId="77777777" w:rsidR="007F00E5" w:rsidRPr="00BE78CA" w:rsidRDefault="007F00E5" w:rsidP="0081229E">
      <w:pPr>
        <w:pStyle w:val="BodyText"/>
        <w:pBdr>
          <w:top w:val="single" w:sz="2" w:space="10" w:color="auto"/>
          <w:left w:val="single" w:sz="2" w:space="0" w:color="auto"/>
          <w:bottom w:val="single" w:sz="2" w:space="10" w:color="auto"/>
          <w:right w:val="single" w:sz="2" w:space="10" w:color="auto"/>
        </w:pBdr>
        <w:spacing w:before="0" w:after="0"/>
        <w:ind w:left="454" w:right="851"/>
        <w:jc w:val="center"/>
        <w:rPr>
          <w:rFonts w:ascii="Cambria Math" w:hAnsi="Cambria Math"/>
          <w:b/>
          <w:bCs/>
          <w:smallCaps/>
          <w:sz w:val="24"/>
          <w:szCs w:val="24"/>
        </w:rPr>
      </w:pPr>
      <w:r w:rsidRPr="00BE78CA">
        <w:rPr>
          <w:rFonts w:ascii="Cambria Math" w:hAnsi="Cambria Math"/>
          <w:b/>
          <w:bCs/>
          <w:smallCaps/>
          <w:sz w:val="24"/>
          <w:szCs w:val="24"/>
        </w:rPr>
        <w:t>Calculation of emissions of a chemical from a specific application</w:t>
      </w:r>
    </w:p>
    <w:p w14:paraId="56D95A1F" w14:textId="77777777" w:rsidR="007F00E5" w:rsidRPr="00BE78CA" w:rsidRDefault="007F00E5" w:rsidP="0081229E">
      <w:pPr>
        <w:pStyle w:val="BodyText"/>
        <w:pBdr>
          <w:top w:val="single" w:sz="2" w:space="10" w:color="auto"/>
          <w:left w:val="single" w:sz="2" w:space="0" w:color="auto"/>
          <w:bottom w:val="single" w:sz="2" w:space="10" w:color="auto"/>
          <w:right w:val="single" w:sz="2" w:space="10" w:color="auto"/>
        </w:pBdr>
        <w:spacing w:before="0" w:after="0"/>
        <w:ind w:left="454" w:right="851"/>
        <w:jc w:val="center"/>
        <w:rPr>
          <w:rFonts w:ascii="Cambria Math" w:hAnsi="Cambria Math"/>
          <w:i/>
          <w:iCs/>
          <w:sz w:val="24"/>
          <w:szCs w:val="24"/>
        </w:rPr>
      </w:pPr>
      <w:r w:rsidRPr="00BE78CA">
        <w:rPr>
          <w:rFonts w:ascii="Cambria Math" w:hAnsi="Cambria Math"/>
          <w:i/>
          <w:iCs/>
          <w:sz w:val="24"/>
          <w:szCs w:val="24"/>
        </w:rPr>
        <w:t xml:space="preserve">Annual Emissions = Net Consumption </w:t>
      </w:r>
      <w:r w:rsidRPr="00BE78CA">
        <w:rPr>
          <w:rFonts w:ascii="Cambria Math" w:hAnsi="Cambria Math"/>
          <w:i/>
          <w:iCs/>
          <w:sz w:val="24"/>
          <w:szCs w:val="24"/>
        </w:rPr>
        <w:sym w:font="Symbol" w:char="F0B7"/>
      </w:r>
      <w:r w:rsidRPr="00BE78CA">
        <w:rPr>
          <w:rFonts w:ascii="Cambria Math" w:hAnsi="Cambria Math"/>
          <w:i/>
          <w:iCs/>
          <w:sz w:val="24"/>
          <w:szCs w:val="24"/>
        </w:rPr>
        <w:t xml:space="preserve"> Composite</w:t>
      </w:r>
      <w:r w:rsidRPr="00BE78CA">
        <w:rPr>
          <w:rFonts w:ascii="Cambria Math" w:hAnsi="Cambria Math"/>
          <w:i/>
          <w:iCs/>
          <w:smallCaps/>
          <w:sz w:val="24"/>
          <w:szCs w:val="24"/>
        </w:rPr>
        <w:t xml:space="preserve"> </w:t>
      </w:r>
      <w:r w:rsidRPr="00BE78CA">
        <w:rPr>
          <w:rFonts w:ascii="Cambria Math" w:hAnsi="Cambria Math"/>
          <w:i/>
          <w:iCs/>
          <w:sz w:val="24"/>
          <w:szCs w:val="24"/>
        </w:rPr>
        <w:t>EF</w:t>
      </w:r>
    </w:p>
    <w:p w14:paraId="6B6330F3" w14:textId="77777777" w:rsidR="007F00E5" w:rsidRPr="00BE78CA" w:rsidRDefault="007F00E5" w:rsidP="007F00E5">
      <w:pPr>
        <w:pStyle w:val="Heading4"/>
        <w:spacing w:before="360"/>
      </w:pPr>
      <w:r w:rsidRPr="00BE78CA">
        <w:t>Uncertainties</w:t>
      </w:r>
    </w:p>
    <w:p w14:paraId="5759C460" w14:textId="77777777" w:rsidR="007F00E5" w:rsidRPr="00BE78CA" w:rsidRDefault="007F00E5" w:rsidP="007F00E5">
      <w:pPr>
        <w:pStyle w:val="BodyText"/>
      </w:pPr>
      <w:r w:rsidRPr="00BE78CA">
        <w:t>Because a composite emission factor was used for both 2.F.1.b and 2.F.1.f categories, the uncertainty level for activity data is assumed at a level of ±32 per cent (see table 8.3.1). The 2006 IPCC Guidelines (IPCC, 2006b) do not provide a default value for the composite factors, so New Zealand’s value for uncertainties to describe refrigerant leakages was used for both categories.</w:t>
      </w:r>
    </w:p>
    <w:p w14:paraId="29CF7882" w14:textId="77777777" w:rsidR="007F00E5" w:rsidRPr="00BE78CA" w:rsidRDefault="007F00E5" w:rsidP="007F00E5">
      <w:pPr>
        <w:pStyle w:val="Table"/>
      </w:pPr>
      <w:bookmarkStart w:id="3233" w:name="_Toc5269599"/>
      <w:bookmarkStart w:id="3234" w:name="_Toc36224680"/>
      <w:bookmarkStart w:id="3235" w:name="_Toc68786566"/>
      <w:r w:rsidRPr="00BE78CA">
        <w:t>Table 8.3.1</w:t>
      </w:r>
      <w:r w:rsidRPr="00BE78CA">
        <w:tab/>
        <w:t>Uncertainties for Refrigeration and air conditioning category</w:t>
      </w:r>
      <w:bookmarkEnd w:id="3233"/>
      <w:bookmarkEnd w:id="3234"/>
      <w:bookmarkEnd w:id="3235"/>
    </w:p>
    <w:tbl>
      <w:tblPr>
        <w:tblW w:w="8505" w:type="dxa"/>
        <w:tblBorders>
          <w:top w:val="single" w:sz="4" w:space="0" w:color="1F497D"/>
          <w:bottom w:val="single" w:sz="4" w:space="0" w:color="1F497D"/>
          <w:insideH w:val="single" w:sz="4" w:space="0" w:color="1F497D"/>
          <w:insideV w:val="single" w:sz="4" w:space="0" w:color="1F497D"/>
        </w:tblBorders>
        <w:tblLook w:val="0420" w:firstRow="1" w:lastRow="0" w:firstColumn="0" w:lastColumn="0" w:noHBand="0" w:noVBand="1"/>
      </w:tblPr>
      <w:tblGrid>
        <w:gridCol w:w="686"/>
        <w:gridCol w:w="1158"/>
        <w:gridCol w:w="1313"/>
        <w:gridCol w:w="1665"/>
        <w:gridCol w:w="3683"/>
      </w:tblGrid>
      <w:tr w:rsidR="007F00E5" w:rsidRPr="00BE78CA" w14:paraId="302ACA2E" w14:textId="77777777" w:rsidTr="004923EB">
        <w:trPr>
          <w:tblHeader/>
        </w:trPr>
        <w:tc>
          <w:tcPr>
            <w:tcW w:w="403" w:type="pct"/>
            <w:tcBorders>
              <w:top w:val="single" w:sz="4" w:space="0" w:color="365F91"/>
              <w:bottom w:val="single" w:sz="4" w:space="0" w:color="365F91"/>
              <w:right w:val="nil"/>
            </w:tcBorders>
            <w:shd w:val="clear" w:color="auto" w:fill="365F91"/>
            <w:noWrap/>
            <w:vAlign w:val="bottom"/>
            <w:hideMark/>
          </w:tcPr>
          <w:p w14:paraId="174EE0B5" w14:textId="77777777" w:rsidR="007F00E5" w:rsidRPr="00BE78CA" w:rsidRDefault="007F00E5" w:rsidP="00C26084">
            <w:pPr>
              <w:pStyle w:val="TableTextBold"/>
              <w:rPr>
                <w:noProof w:val="0"/>
                <w:color w:val="FFFFFF"/>
              </w:rPr>
            </w:pPr>
            <w:r w:rsidRPr="00BE78CA">
              <w:rPr>
                <w:noProof w:val="0"/>
                <w:color w:val="FFFFFF"/>
              </w:rPr>
              <w:t>Gas</w:t>
            </w:r>
          </w:p>
        </w:tc>
        <w:tc>
          <w:tcPr>
            <w:tcW w:w="681" w:type="pct"/>
            <w:tcBorders>
              <w:top w:val="single" w:sz="4" w:space="0" w:color="365F91"/>
              <w:left w:val="nil"/>
              <w:bottom w:val="single" w:sz="4" w:space="0" w:color="365F91"/>
              <w:right w:val="nil"/>
            </w:tcBorders>
            <w:shd w:val="clear" w:color="auto" w:fill="365F91"/>
            <w:noWrap/>
            <w:vAlign w:val="bottom"/>
            <w:hideMark/>
          </w:tcPr>
          <w:p w14:paraId="480F2C30" w14:textId="77777777" w:rsidR="007F00E5" w:rsidRPr="00BE78CA" w:rsidRDefault="007F00E5" w:rsidP="00C26084">
            <w:pPr>
              <w:pStyle w:val="TableTextBold"/>
              <w:rPr>
                <w:noProof w:val="0"/>
                <w:color w:val="FFFFFF"/>
              </w:rPr>
            </w:pPr>
            <w:r w:rsidRPr="00BE78CA">
              <w:rPr>
                <w:noProof w:val="0"/>
                <w:color w:val="FFFFFF"/>
              </w:rPr>
              <w:t>Subcategory</w:t>
            </w:r>
          </w:p>
        </w:tc>
        <w:tc>
          <w:tcPr>
            <w:tcW w:w="772" w:type="pct"/>
            <w:tcBorders>
              <w:top w:val="single" w:sz="4" w:space="0" w:color="365F91"/>
              <w:left w:val="nil"/>
              <w:bottom w:val="single" w:sz="4" w:space="0" w:color="365F91"/>
              <w:right w:val="nil"/>
            </w:tcBorders>
            <w:shd w:val="clear" w:color="auto" w:fill="365F91"/>
            <w:vAlign w:val="bottom"/>
            <w:hideMark/>
          </w:tcPr>
          <w:p w14:paraId="091EFC44" w14:textId="77777777" w:rsidR="007F00E5" w:rsidRPr="00BE78CA" w:rsidRDefault="007F00E5" w:rsidP="00C26084">
            <w:pPr>
              <w:pStyle w:val="TableTextBold"/>
              <w:rPr>
                <w:noProof w:val="0"/>
                <w:color w:val="FFFFFF"/>
              </w:rPr>
            </w:pPr>
            <w:r w:rsidRPr="00BE78CA">
              <w:rPr>
                <w:noProof w:val="0"/>
                <w:color w:val="FFFFFF"/>
              </w:rPr>
              <w:t>Activity data uncertainty (%)</w:t>
            </w:r>
          </w:p>
        </w:tc>
        <w:tc>
          <w:tcPr>
            <w:tcW w:w="979" w:type="pct"/>
            <w:tcBorders>
              <w:top w:val="single" w:sz="4" w:space="0" w:color="365F91"/>
              <w:left w:val="nil"/>
              <w:bottom w:val="single" w:sz="4" w:space="0" w:color="365F91"/>
              <w:right w:val="nil"/>
            </w:tcBorders>
            <w:shd w:val="clear" w:color="auto" w:fill="365F91"/>
            <w:vAlign w:val="bottom"/>
            <w:hideMark/>
          </w:tcPr>
          <w:p w14:paraId="04C0737B" w14:textId="77777777" w:rsidR="007F00E5" w:rsidRPr="00BE78CA" w:rsidRDefault="007F00E5" w:rsidP="00C26084">
            <w:pPr>
              <w:pStyle w:val="TableTextBold"/>
              <w:rPr>
                <w:noProof w:val="0"/>
                <w:color w:val="FFFFFF"/>
              </w:rPr>
            </w:pPr>
            <w:r w:rsidRPr="00BE78CA">
              <w:rPr>
                <w:noProof w:val="0"/>
                <w:color w:val="FFFFFF"/>
              </w:rPr>
              <w:t>Emission factor uncertainty (%)</w:t>
            </w:r>
          </w:p>
        </w:tc>
        <w:tc>
          <w:tcPr>
            <w:tcW w:w="2166" w:type="pct"/>
            <w:tcBorders>
              <w:top w:val="single" w:sz="4" w:space="0" w:color="365F91"/>
              <w:left w:val="nil"/>
              <w:bottom w:val="single" w:sz="4" w:space="0" w:color="365F91"/>
            </w:tcBorders>
            <w:shd w:val="clear" w:color="auto" w:fill="365F91"/>
            <w:vAlign w:val="bottom"/>
          </w:tcPr>
          <w:p w14:paraId="661AE0B1" w14:textId="77777777" w:rsidR="007F00E5" w:rsidRPr="00BE78CA" w:rsidRDefault="007F00E5" w:rsidP="00C26084">
            <w:pPr>
              <w:pStyle w:val="TableTextBold"/>
              <w:rPr>
                <w:noProof w:val="0"/>
                <w:color w:val="FFFFFF"/>
              </w:rPr>
            </w:pPr>
            <w:r w:rsidRPr="00BE78CA">
              <w:rPr>
                <w:noProof w:val="0"/>
                <w:color w:val="FFFFFF"/>
              </w:rPr>
              <w:t>Source</w:t>
            </w:r>
          </w:p>
        </w:tc>
      </w:tr>
      <w:tr w:rsidR="007F00E5" w:rsidRPr="00BE78CA" w14:paraId="7D433A6B" w14:textId="77777777" w:rsidTr="004923EB">
        <w:tc>
          <w:tcPr>
            <w:tcW w:w="403" w:type="pct"/>
            <w:tcBorders>
              <w:top w:val="single" w:sz="4" w:space="0" w:color="365F91"/>
              <w:right w:val="single" w:sz="4" w:space="0" w:color="365F91"/>
            </w:tcBorders>
            <w:shd w:val="clear" w:color="auto" w:fill="auto"/>
            <w:noWrap/>
            <w:hideMark/>
          </w:tcPr>
          <w:p w14:paraId="749B256B" w14:textId="77777777" w:rsidR="007F00E5" w:rsidRPr="00BE78CA" w:rsidRDefault="007F00E5" w:rsidP="00C26084">
            <w:pPr>
              <w:pStyle w:val="TableText"/>
            </w:pPr>
            <w:r w:rsidRPr="00BE78CA">
              <w:t>HFCs</w:t>
            </w:r>
          </w:p>
        </w:tc>
        <w:tc>
          <w:tcPr>
            <w:tcW w:w="681" w:type="pct"/>
            <w:tcBorders>
              <w:top w:val="single" w:sz="4" w:space="0" w:color="365F91"/>
              <w:left w:val="single" w:sz="4" w:space="0" w:color="365F91"/>
              <w:bottom w:val="single" w:sz="4" w:space="0" w:color="365F91"/>
              <w:right w:val="single" w:sz="4" w:space="0" w:color="365F91"/>
            </w:tcBorders>
            <w:shd w:val="clear" w:color="auto" w:fill="auto"/>
            <w:noWrap/>
            <w:hideMark/>
          </w:tcPr>
          <w:p w14:paraId="7EF76A7C" w14:textId="77777777" w:rsidR="007F00E5" w:rsidRPr="00BE78CA" w:rsidRDefault="007F00E5" w:rsidP="00C26084">
            <w:pPr>
              <w:pStyle w:val="TableText"/>
            </w:pPr>
            <w:r w:rsidRPr="00BE78CA">
              <w:t>2.F.1</w:t>
            </w:r>
          </w:p>
        </w:tc>
        <w:tc>
          <w:tcPr>
            <w:tcW w:w="772" w:type="pct"/>
            <w:tcBorders>
              <w:top w:val="single" w:sz="4" w:space="0" w:color="365F91"/>
              <w:left w:val="single" w:sz="4" w:space="0" w:color="365F91"/>
              <w:bottom w:val="single" w:sz="4" w:space="0" w:color="365F91"/>
              <w:right w:val="single" w:sz="4" w:space="0" w:color="365F91"/>
            </w:tcBorders>
            <w:shd w:val="clear" w:color="auto" w:fill="auto"/>
            <w:noWrap/>
            <w:hideMark/>
          </w:tcPr>
          <w:p w14:paraId="74BD178C" w14:textId="77777777" w:rsidR="007F00E5" w:rsidRPr="00BE78CA" w:rsidRDefault="007F00E5" w:rsidP="00C26084">
            <w:pPr>
              <w:pStyle w:val="TableText"/>
            </w:pPr>
            <w:r w:rsidRPr="00BE78CA">
              <w:t>±32</w:t>
            </w:r>
          </w:p>
        </w:tc>
        <w:tc>
          <w:tcPr>
            <w:tcW w:w="979" w:type="pct"/>
            <w:tcBorders>
              <w:top w:val="single" w:sz="4" w:space="0" w:color="365F91"/>
              <w:left w:val="single" w:sz="4" w:space="0" w:color="365F91"/>
            </w:tcBorders>
            <w:shd w:val="clear" w:color="auto" w:fill="auto"/>
            <w:noWrap/>
            <w:hideMark/>
          </w:tcPr>
          <w:p w14:paraId="153D437B" w14:textId="77777777" w:rsidR="007F00E5" w:rsidRPr="00BE78CA" w:rsidRDefault="007F00E5" w:rsidP="00C26084">
            <w:pPr>
              <w:pStyle w:val="TableText"/>
            </w:pPr>
            <w:r w:rsidRPr="00BE78CA">
              <w:t>NA</w:t>
            </w:r>
          </w:p>
        </w:tc>
        <w:tc>
          <w:tcPr>
            <w:tcW w:w="2166" w:type="pct"/>
            <w:tcBorders>
              <w:top w:val="single" w:sz="4" w:space="0" w:color="365F91"/>
              <w:left w:val="single" w:sz="4" w:space="0" w:color="365F91"/>
            </w:tcBorders>
          </w:tcPr>
          <w:p w14:paraId="6A5295A1" w14:textId="77777777" w:rsidR="007F00E5" w:rsidRPr="00BE78CA" w:rsidRDefault="007F00E5" w:rsidP="00C26084">
            <w:pPr>
              <w:pStyle w:val="TableText"/>
            </w:pPr>
            <w:r w:rsidRPr="00BE78CA">
              <w:t>New Zealand’s value is used (table 4.7.3, chapter 4)</w:t>
            </w:r>
          </w:p>
        </w:tc>
      </w:tr>
    </w:tbl>
    <w:p w14:paraId="17252185" w14:textId="77777777" w:rsidR="007F00E5" w:rsidRPr="00BE78CA" w:rsidRDefault="007F00E5" w:rsidP="007F00E5">
      <w:pPr>
        <w:pStyle w:val="Heading3"/>
        <w:spacing w:before="480"/>
      </w:pPr>
      <w:r w:rsidRPr="00BE78CA">
        <w:t xml:space="preserve">8.3.2 </w:t>
      </w:r>
      <w:r w:rsidRPr="00BE78CA">
        <w:tab/>
        <w:t xml:space="preserve">Emissions from Metered dose inhalers and </w:t>
      </w:r>
      <w:r w:rsidRPr="00BE78CA">
        <w:br/>
        <w:t>Medical applications in Tokelau</w:t>
      </w:r>
    </w:p>
    <w:p w14:paraId="0683AE88" w14:textId="77777777" w:rsidR="007F00E5" w:rsidRPr="00BE78CA" w:rsidRDefault="007F00E5" w:rsidP="007F00E5">
      <w:pPr>
        <w:pStyle w:val="BodyText"/>
      </w:pPr>
      <w:r w:rsidRPr="00BE78CA">
        <w:t xml:space="preserve">The </w:t>
      </w:r>
      <w:r w:rsidRPr="00BE78CA">
        <w:rPr>
          <w:i/>
        </w:rPr>
        <w:t>Metered dose inhalers</w:t>
      </w:r>
      <w:r w:rsidRPr="00BE78CA">
        <w:t xml:space="preserve"> (2.F.4.a) and </w:t>
      </w:r>
      <w:r w:rsidRPr="00BE78CA">
        <w:rPr>
          <w:i/>
        </w:rPr>
        <w:t xml:space="preserve">Medical applications </w:t>
      </w:r>
      <w:r w:rsidRPr="00BE78CA">
        <w:t>categories (2.G.3.a) contribute negligible amounts of HFC (HFC-134a and HFC-227ea) and N</w:t>
      </w:r>
      <w:r w:rsidRPr="00BE78CA">
        <w:rPr>
          <w:vertAlign w:val="subscript"/>
        </w:rPr>
        <w:t>2</w:t>
      </w:r>
      <w:r w:rsidRPr="00BE78CA">
        <w:t xml:space="preserve">O emissions respectively to the total emissions from the IPPU sector in Tokelau. They are reported by scaling New Zealand’s emissions from the same category by Tokelau’s </w:t>
      </w:r>
      <w:r w:rsidRPr="00BE78CA">
        <w:rPr>
          <w:i/>
        </w:rPr>
        <w:t>de facto</w:t>
      </w:r>
      <w:r w:rsidRPr="00BE78CA">
        <w:t xml:space="preserve"> population.</w:t>
      </w:r>
    </w:p>
    <w:p w14:paraId="04CB4843" w14:textId="77777777" w:rsidR="007F00E5" w:rsidRPr="00BE78CA" w:rsidRDefault="007F00E5" w:rsidP="007F00E5">
      <w:pPr>
        <w:pStyle w:val="BodyText"/>
      </w:pPr>
      <w:r w:rsidRPr="00BE78CA">
        <w:t xml:space="preserve">In 2019, the </w:t>
      </w:r>
      <w:r w:rsidRPr="00BE78CA">
        <w:rPr>
          <w:i/>
        </w:rPr>
        <w:t xml:space="preserve">Metered dose inhalers </w:t>
      </w:r>
      <w:r w:rsidRPr="00BE78CA">
        <w:t xml:space="preserve">category contributed 7.4 per cent to total IPPU emissions from Tokelau, and the category </w:t>
      </w:r>
      <w:r w:rsidRPr="00BE78CA">
        <w:rPr>
          <w:i/>
        </w:rPr>
        <w:t>Medical applications</w:t>
      </w:r>
      <w:r w:rsidRPr="00BE78CA">
        <w:t xml:space="preserve"> contributed 8.5 per cent to the sector, which amounted to 0.04 kt CO</w:t>
      </w:r>
      <w:r w:rsidRPr="00BE78CA">
        <w:rPr>
          <w:vertAlign w:val="subscript"/>
        </w:rPr>
        <w:t>2</w:t>
      </w:r>
      <w:r w:rsidRPr="00BE78CA">
        <w:t>-e from both categories.</w:t>
      </w:r>
    </w:p>
    <w:p w14:paraId="059FF64E" w14:textId="77777777" w:rsidR="007F00E5" w:rsidRPr="00BE78CA" w:rsidRDefault="007F00E5" w:rsidP="007F00E5">
      <w:pPr>
        <w:pStyle w:val="Heading4"/>
      </w:pPr>
      <w:r w:rsidRPr="00BE78CA">
        <w:t>Methodological issues</w:t>
      </w:r>
    </w:p>
    <w:p w14:paraId="64B8B825" w14:textId="77777777" w:rsidR="007F00E5" w:rsidRPr="00BE78CA" w:rsidRDefault="007F00E5" w:rsidP="007F00E5">
      <w:pPr>
        <w:pStyle w:val="Heading5"/>
        <w:spacing w:before="180"/>
      </w:pPr>
      <w:r w:rsidRPr="00BE78CA">
        <w:t>Activity data</w:t>
      </w:r>
    </w:p>
    <w:p w14:paraId="1D7D4AEB" w14:textId="77777777" w:rsidR="007F00E5" w:rsidRPr="00BE78CA" w:rsidRDefault="007F00E5" w:rsidP="007F00E5">
      <w:pPr>
        <w:pStyle w:val="BodyText"/>
      </w:pPr>
      <w:r w:rsidRPr="00BE78CA">
        <w:t xml:space="preserve">Only anecdotal evidence associated with the activity data for both categories is available from Tokelau’s Department of Health (see table 8.1.2). They are reported by scaling New Zealand’s emissions from the same category by Tokelau’s </w:t>
      </w:r>
      <w:r w:rsidRPr="00BE78CA">
        <w:rPr>
          <w:i/>
        </w:rPr>
        <w:t>de facto</w:t>
      </w:r>
      <w:r w:rsidRPr="00BE78CA">
        <w:t xml:space="preserve"> population for the entire time series to each gas. </w:t>
      </w:r>
    </w:p>
    <w:p w14:paraId="6AAFED4A" w14:textId="77777777" w:rsidR="007F00E5" w:rsidRPr="00BE78CA" w:rsidRDefault="007F00E5" w:rsidP="007F00E5">
      <w:pPr>
        <w:pStyle w:val="Heading5"/>
      </w:pPr>
      <w:r w:rsidRPr="00BE78CA">
        <w:lastRenderedPageBreak/>
        <w:t>Method and emission factors</w:t>
      </w:r>
    </w:p>
    <w:p w14:paraId="7A2F1A81" w14:textId="77777777" w:rsidR="007F00E5" w:rsidRPr="00BE78CA" w:rsidRDefault="007F00E5" w:rsidP="0081229E">
      <w:pPr>
        <w:pStyle w:val="BodyText"/>
        <w:spacing w:after="100"/>
      </w:pPr>
      <w:r w:rsidRPr="00BE78CA">
        <w:t xml:space="preserve">For both categories, effectively a Tier 1a methodology was applied because New Zealand applied this methodology for estimating emissions from 2.F.4 and Tier 1 methodology for 2.G.3 (IPCC, 2006b). In addition, population ratios from population statistics of Tokelau and New Zealand have been calculated for each year of the time series except the years when the emissions were not occurring (until 1995 for HFC-134a and 2011 for HFC-227ea). </w:t>
      </w:r>
    </w:p>
    <w:p w14:paraId="7C18B2E8" w14:textId="77777777" w:rsidR="007F00E5" w:rsidRPr="00BE78CA" w:rsidRDefault="007F00E5" w:rsidP="0081229E">
      <w:pPr>
        <w:pStyle w:val="BodyText"/>
        <w:spacing w:after="100"/>
      </w:pPr>
      <w:r w:rsidRPr="00BE78CA">
        <w:t>For 2.F.4.a, a product life factor of 100 per cent was used. For 2.G.3a, it was assumed that N</w:t>
      </w:r>
      <w:r w:rsidRPr="00BE78CA">
        <w:rPr>
          <w:vertAlign w:val="subscript"/>
        </w:rPr>
        <w:t>2</w:t>
      </w:r>
      <w:r w:rsidRPr="00BE78CA">
        <w:t>O is used as a propellant in pressurised and aerosol food products, none of the N</w:t>
      </w:r>
      <w:r w:rsidRPr="00BE78CA">
        <w:rPr>
          <w:vertAlign w:val="subscript"/>
        </w:rPr>
        <w:t>2</w:t>
      </w:r>
      <w:r w:rsidRPr="00BE78CA">
        <w:t>O is reacted during the process and all of the N</w:t>
      </w:r>
      <w:r w:rsidRPr="00BE78CA">
        <w:rPr>
          <w:vertAlign w:val="subscript"/>
        </w:rPr>
        <w:t>2</w:t>
      </w:r>
      <w:r w:rsidRPr="00BE78CA">
        <w:t>O is emitted to the atmosphere. Therefore, a default emissions factor of 1.0 was used for this category.</w:t>
      </w:r>
    </w:p>
    <w:p w14:paraId="5A946BC9" w14:textId="77777777" w:rsidR="007F00E5" w:rsidRPr="00BE78CA" w:rsidRDefault="007F00E5" w:rsidP="007F00E5">
      <w:pPr>
        <w:pStyle w:val="Heading4"/>
      </w:pPr>
      <w:r w:rsidRPr="00BE78CA">
        <w:t>Uncertainty</w:t>
      </w:r>
    </w:p>
    <w:p w14:paraId="0AF7E174" w14:textId="77777777" w:rsidR="007F00E5" w:rsidRPr="00BE78CA" w:rsidRDefault="007F00E5" w:rsidP="0081229E">
      <w:pPr>
        <w:pStyle w:val="BodyText"/>
        <w:spacing w:after="100"/>
      </w:pPr>
      <w:r w:rsidRPr="00BE78CA">
        <w:t>For consistency of reporting, the same uncertainty values for categories 2.G.3.a were applied for Tokelau and New Zealand (see section 4.8.3 in chapter 4 and table 8.3.2). The same uncertainty for 2.F.1 has also been applied to 2.F.4 in the absence of further information.</w:t>
      </w:r>
    </w:p>
    <w:p w14:paraId="6290D40A" w14:textId="77777777" w:rsidR="007F00E5" w:rsidRPr="00BE78CA" w:rsidRDefault="007F00E5" w:rsidP="007F00E5">
      <w:pPr>
        <w:pStyle w:val="Table"/>
      </w:pPr>
      <w:bookmarkStart w:id="3236" w:name="_Toc5269600"/>
      <w:bookmarkStart w:id="3237" w:name="_Toc36224681"/>
      <w:bookmarkStart w:id="3238" w:name="_Toc68786567"/>
      <w:r w:rsidRPr="00BE78CA">
        <w:t>Table 8.3.2</w:t>
      </w:r>
      <w:r w:rsidRPr="00BE78CA">
        <w:tab/>
        <w:t>Uncertainty in emissions from Other product manufacture and use</w:t>
      </w:r>
      <w:bookmarkEnd w:id="3236"/>
      <w:bookmarkEnd w:id="3237"/>
      <w:bookmarkEnd w:id="3238"/>
    </w:p>
    <w:tbl>
      <w:tblPr>
        <w:tblW w:w="8505" w:type="dxa"/>
        <w:tblBorders>
          <w:top w:val="single" w:sz="4" w:space="0" w:color="365F91"/>
          <w:bottom w:val="single" w:sz="4" w:space="0" w:color="365F91"/>
          <w:insideH w:val="single" w:sz="4" w:space="0" w:color="365F91"/>
        </w:tblBorders>
        <w:tblCellMar>
          <w:left w:w="0" w:type="dxa"/>
          <w:right w:w="0" w:type="dxa"/>
        </w:tblCellMar>
        <w:tblLook w:val="04A0" w:firstRow="1" w:lastRow="0" w:firstColumn="1" w:lastColumn="0" w:noHBand="0" w:noVBand="1"/>
      </w:tblPr>
      <w:tblGrid>
        <w:gridCol w:w="2114"/>
        <w:gridCol w:w="3799"/>
        <w:gridCol w:w="2592"/>
      </w:tblGrid>
      <w:tr w:rsidR="007F00E5" w:rsidRPr="00BE78CA" w14:paraId="4DFDCFB3" w14:textId="77777777" w:rsidTr="001831DD">
        <w:tc>
          <w:tcPr>
            <w:tcW w:w="2127" w:type="dxa"/>
            <w:shd w:val="clear" w:color="auto" w:fill="365F91"/>
            <w:tcMar>
              <w:top w:w="0" w:type="dxa"/>
              <w:left w:w="108" w:type="dxa"/>
              <w:bottom w:w="0" w:type="dxa"/>
              <w:right w:w="108" w:type="dxa"/>
            </w:tcMar>
            <w:vAlign w:val="bottom"/>
            <w:hideMark/>
          </w:tcPr>
          <w:p w14:paraId="6923669C" w14:textId="77777777" w:rsidR="007F00E5" w:rsidRPr="00BE78CA" w:rsidRDefault="007F00E5" w:rsidP="00C26084">
            <w:pPr>
              <w:pStyle w:val="TableTextBold"/>
              <w:keepNext/>
              <w:rPr>
                <w:noProof w:val="0"/>
                <w:color w:val="FFFFFF"/>
              </w:rPr>
            </w:pPr>
            <w:r w:rsidRPr="00BE78CA">
              <w:rPr>
                <w:noProof w:val="0"/>
                <w:color w:val="FFFFFF"/>
              </w:rPr>
              <w:t>Category</w:t>
            </w:r>
          </w:p>
        </w:tc>
        <w:tc>
          <w:tcPr>
            <w:tcW w:w="3827" w:type="dxa"/>
            <w:shd w:val="clear" w:color="auto" w:fill="365F91"/>
            <w:tcMar>
              <w:top w:w="0" w:type="dxa"/>
              <w:left w:w="108" w:type="dxa"/>
              <w:bottom w:w="0" w:type="dxa"/>
              <w:right w:w="108" w:type="dxa"/>
            </w:tcMar>
            <w:vAlign w:val="bottom"/>
            <w:hideMark/>
          </w:tcPr>
          <w:p w14:paraId="0E246CDB" w14:textId="77777777" w:rsidR="007F00E5" w:rsidRPr="00BE78CA" w:rsidRDefault="007F00E5" w:rsidP="00C26084">
            <w:pPr>
              <w:pStyle w:val="TableTextBold"/>
              <w:keepNext/>
              <w:rPr>
                <w:noProof w:val="0"/>
                <w:color w:val="FFFFFF"/>
              </w:rPr>
            </w:pPr>
            <w:r w:rsidRPr="00BE78CA">
              <w:rPr>
                <w:noProof w:val="0"/>
                <w:color w:val="FFFFFF"/>
              </w:rPr>
              <w:t>Uncertainty in activity data (%)</w:t>
            </w:r>
          </w:p>
        </w:tc>
        <w:tc>
          <w:tcPr>
            <w:tcW w:w="2608" w:type="dxa"/>
            <w:shd w:val="clear" w:color="auto" w:fill="365F91"/>
            <w:tcMar>
              <w:top w:w="0" w:type="dxa"/>
              <w:left w:w="108" w:type="dxa"/>
              <w:bottom w:w="0" w:type="dxa"/>
              <w:right w:w="108" w:type="dxa"/>
            </w:tcMar>
            <w:vAlign w:val="bottom"/>
            <w:hideMark/>
          </w:tcPr>
          <w:p w14:paraId="2670BC8A" w14:textId="77777777" w:rsidR="007F00E5" w:rsidRPr="00BE78CA" w:rsidRDefault="007F00E5" w:rsidP="00C26084">
            <w:pPr>
              <w:pStyle w:val="TableTextBold"/>
              <w:keepNext/>
              <w:rPr>
                <w:noProof w:val="0"/>
                <w:color w:val="FFFFFF"/>
              </w:rPr>
            </w:pPr>
            <w:r w:rsidRPr="00BE78CA">
              <w:rPr>
                <w:noProof w:val="0"/>
                <w:color w:val="FFFFFF"/>
              </w:rPr>
              <w:t>Uncertainty in emission factors</w:t>
            </w:r>
          </w:p>
        </w:tc>
      </w:tr>
      <w:tr w:rsidR="007F00E5" w:rsidRPr="00BE78CA" w14:paraId="18DBACA7" w14:textId="77777777" w:rsidTr="001831DD">
        <w:tc>
          <w:tcPr>
            <w:tcW w:w="2127" w:type="dxa"/>
            <w:shd w:val="clear" w:color="auto" w:fill="FFFFFF"/>
            <w:tcMar>
              <w:top w:w="0" w:type="dxa"/>
              <w:left w:w="108" w:type="dxa"/>
              <w:bottom w:w="0" w:type="dxa"/>
              <w:right w:w="108" w:type="dxa"/>
            </w:tcMar>
            <w:hideMark/>
          </w:tcPr>
          <w:p w14:paraId="1D15F081" w14:textId="77777777" w:rsidR="007F00E5" w:rsidRPr="00BE78CA" w:rsidRDefault="007F00E5" w:rsidP="00C26084">
            <w:pPr>
              <w:pStyle w:val="TableText"/>
            </w:pPr>
            <w:r w:rsidRPr="00BE78CA">
              <w:t>N</w:t>
            </w:r>
            <w:r w:rsidRPr="00BE78CA">
              <w:rPr>
                <w:vertAlign w:val="subscript"/>
              </w:rPr>
              <w:t>2</w:t>
            </w:r>
            <w:r w:rsidRPr="00BE78CA">
              <w:t>O from other product uses</w:t>
            </w:r>
          </w:p>
        </w:tc>
        <w:tc>
          <w:tcPr>
            <w:tcW w:w="3827" w:type="dxa"/>
            <w:shd w:val="clear" w:color="auto" w:fill="FFFFFF"/>
            <w:tcMar>
              <w:top w:w="0" w:type="dxa"/>
              <w:left w:w="108" w:type="dxa"/>
              <w:bottom w:w="0" w:type="dxa"/>
              <w:right w:w="108" w:type="dxa"/>
            </w:tcMar>
            <w:hideMark/>
          </w:tcPr>
          <w:p w14:paraId="6DB83C9C" w14:textId="77777777" w:rsidR="007F00E5" w:rsidRPr="00BE78CA" w:rsidRDefault="007F00E5" w:rsidP="00C26084">
            <w:pPr>
              <w:pStyle w:val="TableText"/>
              <w:spacing w:after="0"/>
            </w:pPr>
            <w:r w:rsidRPr="00BE78CA">
              <w:t>±30 (2002–12)</w:t>
            </w:r>
          </w:p>
          <w:p w14:paraId="4FFA0BE8" w14:textId="77777777" w:rsidR="007F00E5" w:rsidRPr="00BE78CA" w:rsidRDefault="007F00E5" w:rsidP="00C26084">
            <w:pPr>
              <w:pStyle w:val="TableText"/>
            </w:pPr>
            <w:r w:rsidRPr="00BE78CA">
              <w:t xml:space="preserve">±5 (2013–18) </w:t>
            </w:r>
          </w:p>
          <w:p w14:paraId="46A79806" w14:textId="77777777" w:rsidR="007F00E5" w:rsidRPr="00BE78CA" w:rsidRDefault="007F00E5" w:rsidP="00C26084">
            <w:pPr>
              <w:pStyle w:val="TableText"/>
              <w:spacing w:before="0"/>
            </w:pPr>
            <w:r w:rsidRPr="00BE78CA">
              <w:t>For simplicity, an average of 15% has been used</w:t>
            </w:r>
          </w:p>
        </w:tc>
        <w:tc>
          <w:tcPr>
            <w:tcW w:w="2608" w:type="dxa"/>
            <w:shd w:val="clear" w:color="auto" w:fill="FFFFFF"/>
            <w:tcMar>
              <w:top w:w="0" w:type="dxa"/>
              <w:left w:w="108" w:type="dxa"/>
              <w:bottom w:w="0" w:type="dxa"/>
              <w:right w:w="108" w:type="dxa"/>
            </w:tcMar>
            <w:hideMark/>
          </w:tcPr>
          <w:p w14:paraId="268008BB" w14:textId="77777777" w:rsidR="007F00E5" w:rsidRPr="00BE78CA" w:rsidRDefault="007F00E5" w:rsidP="00C26084">
            <w:pPr>
              <w:pStyle w:val="TableText"/>
            </w:pPr>
            <w:r w:rsidRPr="00BE78CA">
              <w:t>NA</w:t>
            </w:r>
          </w:p>
        </w:tc>
      </w:tr>
    </w:tbl>
    <w:p w14:paraId="3E7B376B" w14:textId="77777777" w:rsidR="007F00E5" w:rsidRPr="00BE78CA" w:rsidRDefault="007F00E5" w:rsidP="007F00E5">
      <w:pPr>
        <w:pStyle w:val="Heading2"/>
        <w:spacing w:before="400"/>
      </w:pPr>
      <w:bookmarkStart w:id="3239" w:name="_Toc5269396"/>
      <w:bookmarkStart w:id="3240" w:name="_Toc36224436"/>
      <w:bookmarkStart w:id="3241" w:name="_Toc68786356"/>
      <w:r w:rsidRPr="00BE78CA">
        <w:t>8.4</w:t>
      </w:r>
      <w:r w:rsidRPr="00BE78CA">
        <w:tab/>
        <w:t>Emissions from the Agriculture sector in Tokelau</w:t>
      </w:r>
      <w:r w:rsidRPr="00BE78CA">
        <w:br/>
        <w:t>(CRF 6. Tokelau_3)</w:t>
      </w:r>
      <w:bookmarkEnd w:id="3239"/>
      <w:bookmarkEnd w:id="3240"/>
      <w:bookmarkEnd w:id="3241"/>
    </w:p>
    <w:p w14:paraId="1809D8EB" w14:textId="77777777" w:rsidR="007F00E5" w:rsidRPr="00BE78CA" w:rsidRDefault="007F00E5" w:rsidP="007F00E5">
      <w:pPr>
        <w:pStyle w:val="BodyText"/>
        <w:spacing w:after="100"/>
      </w:pPr>
      <w:r w:rsidRPr="00BE78CA">
        <w:t>Fish, not locally produced plants or animals, are the most important food source in Tokelau. The low fertility of the coral soil means few crops are supported. Food needs are not met by locally grown produce and are heavily supplemented by imports.</w:t>
      </w:r>
    </w:p>
    <w:p w14:paraId="4CD36911" w14:textId="77777777" w:rsidR="007F00E5" w:rsidRPr="00BE78CA" w:rsidRDefault="007F00E5" w:rsidP="007F00E5">
      <w:pPr>
        <w:pStyle w:val="BodyText"/>
        <w:spacing w:after="100"/>
      </w:pPr>
      <w:r w:rsidRPr="00BE78CA">
        <w:t>Cultivated food crops are</w:t>
      </w:r>
      <w:r w:rsidRPr="00BE78CA" w:rsidDel="00302D78">
        <w:t xml:space="preserve"> </w:t>
      </w:r>
      <w:r w:rsidRPr="00BE78CA">
        <w:t>limited to breadfruit (</w:t>
      </w:r>
      <w:r w:rsidRPr="00BE78CA">
        <w:rPr>
          <w:i/>
        </w:rPr>
        <w:t>Artocarpus altilis</w:t>
      </w:r>
      <w:r w:rsidRPr="00BE78CA">
        <w:t>), giant swamp taro ‘pulaka’ (</w:t>
      </w:r>
      <w:r w:rsidRPr="00BE78CA">
        <w:rPr>
          <w:i/>
        </w:rPr>
        <w:t>Cyrtosperma chamissonis</w:t>
      </w:r>
      <w:r w:rsidRPr="00BE78CA">
        <w:t>), taro palagi (</w:t>
      </w:r>
      <w:r w:rsidRPr="00BE78CA">
        <w:rPr>
          <w:i/>
        </w:rPr>
        <w:t>Xanthosoma sagittifolium</w:t>
      </w:r>
      <w:r w:rsidRPr="00BE78CA">
        <w:t>), giant taro (</w:t>
      </w:r>
      <w:r w:rsidRPr="00BE78CA">
        <w:rPr>
          <w:i/>
        </w:rPr>
        <w:t>Alocasia macrorrhizos</w:t>
      </w:r>
      <w:r w:rsidRPr="00BE78CA">
        <w:t>), banana (</w:t>
      </w:r>
      <w:r w:rsidRPr="00BE78CA">
        <w:rPr>
          <w:i/>
        </w:rPr>
        <w:t>Mus</w:t>
      </w:r>
      <w:r w:rsidRPr="00BE78CA">
        <w:t xml:space="preserve"> sp. [2 varieties]), papaya (</w:t>
      </w:r>
      <w:r w:rsidRPr="00BE78CA">
        <w:rPr>
          <w:i/>
        </w:rPr>
        <w:t>Carica papaya</w:t>
      </w:r>
      <w:r w:rsidRPr="00BE78CA">
        <w:t>), pumpkin (</w:t>
      </w:r>
      <w:r w:rsidRPr="00BE78CA">
        <w:rPr>
          <w:i/>
        </w:rPr>
        <w:t>Cucurbita</w:t>
      </w:r>
      <w:r w:rsidRPr="00BE78CA">
        <w:t xml:space="preserve"> sp.) and coconut (</w:t>
      </w:r>
      <w:r w:rsidRPr="00BE78CA">
        <w:rPr>
          <w:i/>
        </w:rPr>
        <w:t>Cocos nucifera</w:t>
      </w:r>
      <w:r w:rsidRPr="00BE78CA">
        <w:t>).</w:t>
      </w:r>
    </w:p>
    <w:p w14:paraId="657285C5" w14:textId="77777777" w:rsidR="007F00E5" w:rsidRPr="00BE78CA" w:rsidRDefault="007F00E5" w:rsidP="007F00E5">
      <w:pPr>
        <w:pStyle w:val="BodyText"/>
        <w:spacing w:after="100"/>
      </w:pPr>
      <w:r w:rsidRPr="00BE78CA">
        <w:t>There is a small amount of subsistence agriculture in Tokelau. Coconuts are used for human and livestock consumption. Fakaofo grows small amounts of swamp taro. The villages have breadfruit trees and some banana patches; the women’s committees run community gardens and grow pandanus ‘fala’ (</w:t>
      </w:r>
      <w:r w:rsidRPr="00BE78CA">
        <w:rPr>
          <w:i/>
        </w:rPr>
        <w:t>Pandanus odoratissimus</w:t>
      </w:r>
      <w:r w:rsidRPr="00BE78CA">
        <w:t>) for traditional crafts (mats, hats, fans). A recent United Nations Development Programme-sponsored project for the establishment of keyhole gardens</w:t>
      </w:r>
      <w:r w:rsidRPr="00BE78CA">
        <w:rPr>
          <w:vertAlign w:val="superscript"/>
        </w:rPr>
        <w:footnoteReference w:id="71"/>
      </w:r>
      <w:r w:rsidRPr="00BE78CA">
        <w:t xml:space="preserve"> by Tokelau youth has been abandoned. </w:t>
      </w:r>
    </w:p>
    <w:p w14:paraId="7582B32D" w14:textId="77777777" w:rsidR="007F00E5" w:rsidRPr="00BE78CA" w:rsidRDefault="007F00E5" w:rsidP="007F00E5">
      <w:pPr>
        <w:pStyle w:val="BodyText"/>
        <w:spacing w:after="100"/>
      </w:pPr>
      <w:r w:rsidRPr="00BE78CA">
        <w:t>There is no industrial-scale farming in Tokelau. Tokelau atolls do not have any large agricultural and horticultural development that would fall under New Zealand’s definition of a farm. There are no cows, sheep or deer, with agricultural livestock represented by small numbers of pen-kept pigs and free</w:t>
      </w:r>
      <w:r w:rsidRPr="00BE78CA">
        <w:noBreakHyphen/>
        <w:t>range chickens only.</w:t>
      </w:r>
    </w:p>
    <w:p w14:paraId="3220B2AB" w14:textId="77777777" w:rsidR="007F00E5" w:rsidRPr="00BE78CA" w:rsidRDefault="007F00E5" w:rsidP="007F00E5">
      <w:pPr>
        <w:pStyle w:val="BodyText"/>
      </w:pPr>
      <w:r w:rsidRPr="00BE78CA">
        <w:lastRenderedPageBreak/>
        <w:t xml:space="preserve">There is also no pasture in Tokelau and no managed agricultural soils, therefore, emissions from the </w:t>
      </w:r>
      <w:r w:rsidRPr="00BE78CA">
        <w:rPr>
          <w:i/>
        </w:rPr>
        <w:t>Direct N</w:t>
      </w:r>
      <w:r w:rsidRPr="00BE78CA">
        <w:rPr>
          <w:i/>
          <w:vertAlign w:val="subscript"/>
        </w:rPr>
        <w:t>2</w:t>
      </w:r>
      <w:r w:rsidRPr="00BE78CA">
        <w:rPr>
          <w:i/>
        </w:rPr>
        <w:t>O emissions from managed soils</w:t>
      </w:r>
      <w:r w:rsidRPr="00BE78CA">
        <w:t xml:space="preserve"> and </w:t>
      </w:r>
      <w:r w:rsidRPr="00BE78CA">
        <w:rPr>
          <w:i/>
        </w:rPr>
        <w:t>Indirect N</w:t>
      </w:r>
      <w:r w:rsidRPr="00BE78CA">
        <w:rPr>
          <w:i/>
          <w:vertAlign w:val="subscript"/>
        </w:rPr>
        <w:t>2</w:t>
      </w:r>
      <w:r w:rsidRPr="00BE78CA">
        <w:rPr>
          <w:i/>
        </w:rPr>
        <w:t>O emissions from managed soils</w:t>
      </w:r>
      <w:r w:rsidRPr="00BE78CA">
        <w:t xml:space="preserve"> categories are discounted and reported as NO (not occurring).</w:t>
      </w:r>
    </w:p>
    <w:p w14:paraId="2B732490" w14:textId="77777777" w:rsidR="007F00E5" w:rsidRPr="00BE78CA" w:rsidRDefault="007F00E5" w:rsidP="007F00E5">
      <w:pPr>
        <w:pStyle w:val="BodyText"/>
      </w:pPr>
      <w:r w:rsidRPr="00BE78CA">
        <w:t>This submission includes agricultural emissions from Tokelau associated with enteric fermentation and manure management from swine and poultry.</w:t>
      </w:r>
    </w:p>
    <w:p w14:paraId="7B4E6500" w14:textId="77777777" w:rsidR="007F00E5" w:rsidRPr="00BE78CA" w:rsidRDefault="007F00E5" w:rsidP="007F00E5">
      <w:pPr>
        <w:pStyle w:val="BodyText"/>
      </w:pPr>
      <w:r w:rsidRPr="00BE78CA">
        <w:t>Total emissions from the Agriculture sector in Tokelau amounted to 0.82 kt CO</w:t>
      </w:r>
      <w:r w:rsidRPr="00BE78CA">
        <w:rPr>
          <w:vertAlign w:val="subscript"/>
        </w:rPr>
        <w:t>2</w:t>
      </w:r>
      <w:r w:rsidRPr="00BE78CA">
        <w:t>-e in 2019, making this sector the second biggest emitter in Tokelau: 19.17 per cent of the total emissions from Tokelau and 0.001 per cent of New Zealand’s gross emissions. Figure 8.3.1 shows emission trends in the Agriculture sector by category for Tokelau.</w:t>
      </w:r>
    </w:p>
    <w:p w14:paraId="0985B627" w14:textId="77777777" w:rsidR="007F00E5" w:rsidRPr="00BE78CA" w:rsidRDefault="007F00E5" w:rsidP="007F00E5">
      <w:pPr>
        <w:pStyle w:val="Figure"/>
        <w:spacing w:after="0"/>
        <w:rPr>
          <w:rFonts w:eastAsia="Calibri"/>
        </w:rPr>
      </w:pPr>
      <w:bookmarkStart w:id="3242" w:name="_Toc36292831"/>
      <w:bookmarkStart w:id="3243" w:name="_Toc64972938"/>
      <w:bookmarkStart w:id="3244" w:name="_Toc68786695"/>
      <w:r w:rsidRPr="00BE78CA">
        <w:rPr>
          <w:rFonts w:eastAsia="Calibri"/>
        </w:rPr>
        <w:t xml:space="preserve">Figure 8.3.2 </w:t>
      </w:r>
      <w:r w:rsidRPr="00BE78CA">
        <w:rPr>
          <w:rFonts w:eastAsia="Calibri"/>
        </w:rPr>
        <w:tab/>
        <w:t>Agriculture emissions by category for Tokelau (kt CO</w:t>
      </w:r>
      <w:r w:rsidRPr="00BE78CA">
        <w:rPr>
          <w:rFonts w:eastAsia="Calibri"/>
          <w:vertAlign w:val="subscript"/>
        </w:rPr>
        <w:t>2</w:t>
      </w:r>
      <w:r w:rsidRPr="00BE78CA">
        <w:rPr>
          <w:rFonts w:eastAsia="Calibri"/>
        </w:rPr>
        <w:t xml:space="preserve">-e) from 1990 to </w:t>
      </w:r>
      <w:bookmarkEnd w:id="3242"/>
      <w:r w:rsidRPr="00BE78CA">
        <w:rPr>
          <w:rFonts w:eastAsia="Calibri"/>
        </w:rPr>
        <w:t>2019</w:t>
      </w:r>
      <w:bookmarkEnd w:id="3243"/>
      <w:bookmarkEnd w:id="3244"/>
    </w:p>
    <w:p w14:paraId="69A9A11A" w14:textId="77777777" w:rsidR="007F00E5" w:rsidRPr="00BE78CA" w:rsidRDefault="007F00E5" w:rsidP="007F00E5">
      <w:pPr>
        <w:pStyle w:val="BodyText"/>
        <w:spacing w:after="0"/>
        <w:rPr>
          <w:rFonts w:eastAsia="Calibri"/>
        </w:rPr>
      </w:pPr>
      <w:r w:rsidRPr="00BE78CA">
        <w:rPr>
          <w:noProof/>
        </w:rPr>
        <w:drawing>
          <wp:inline distT="0" distB="0" distL="0" distR="0" wp14:anchorId="6A7D7FE8" wp14:editId="6BA0D353">
            <wp:extent cx="4988718" cy="2947308"/>
            <wp:effectExtent l="0" t="0" r="2540" b="5715"/>
            <wp:docPr id="53" name="Chart 53">
              <a:extLst xmlns:a="http://schemas.openxmlformats.org/drawingml/2006/main">
                <a:ext uri="{FF2B5EF4-FFF2-40B4-BE49-F238E27FC236}">
                  <a16:creationId xmlns:a16="http://schemas.microsoft.com/office/drawing/2014/main" id="{00000000-0008-0000-0300-00000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0"/>
              </a:graphicData>
            </a:graphic>
          </wp:inline>
        </w:drawing>
      </w:r>
    </w:p>
    <w:p w14:paraId="2B963F5C" w14:textId="77777777" w:rsidR="007F00E5" w:rsidRPr="00BE78CA" w:rsidRDefault="007F00E5" w:rsidP="007F00E5">
      <w:pPr>
        <w:pStyle w:val="Heading4"/>
      </w:pPr>
      <w:r w:rsidRPr="00BE78CA">
        <w:t>Source-specific planned improvements</w:t>
      </w:r>
    </w:p>
    <w:p w14:paraId="3E0968E4" w14:textId="77777777" w:rsidR="007F00E5" w:rsidRPr="00BE78CA" w:rsidRDefault="007F00E5" w:rsidP="007F00E5">
      <w:pPr>
        <w:pStyle w:val="BodyText"/>
        <w:rPr>
          <w:spacing w:val="-2"/>
        </w:rPr>
      </w:pPr>
      <w:r w:rsidRPr="00BE78CA">
        <w:rPr>
          <w:lang w:eastAsia="en-GB"/>
        </w:rPr>
        <w:t xml:space="preserve">There are no planned improvements for agriculture. For future submissions, further analysis of historical activity data, to reflect year-to-year variations, will be considered as far as resources allow. </w:t>
      </w:r>
    </w:p>
    <w:p w14:paraId="0A09BCB6" w14:textId="77777777" w:rsidR="007F00E5" w:rsidRPr="00BE78CA" w:rsidRDefault="007F00E5" w:rsidP="007F00E5">
      <w:pPr>
        <w:pStyle w:val="Heading3"/>
      </w:pPr>
      <w:r w:rsidRPr="00BE78CA">
        <w:t xml:space="preserve">8.4.1 </w:t>
      </w:r>
      <w:r w:rsidRPr="00BE78CA">
        <w:tab/>
        <w:t>Emissions from Enteric fermentation in Tokelau</w:t>
      </w:r>
    </w:p>
    <w:p w14:paraId="32994957" w14:textId="77777777" w:rsidR="007F00E5" w:rsidRPr="00BE78CA" w:rsidRDefault="007F00E5" w:rsidP="007F00E5">
      <w:pPr>
        <w:pStyle w:val="BodyText"/>
      </w:pPr>
      <w:r w:rsidRPr="00BE78CA">
        <w:t>The only domestic farm animals kept are pigs (in community pens) and chickens (free range) (table 8.4.1). There is potential to generate energy from the piggery waste and reduce the effluent pollution of the lagoon.</w:t>
      </w:r>
    </w:p>
    <w:p w14:paraId="3D9F636D" w14:textId="77777777" w:rsidR="007F00E5" w:rsidRPr="00BE78CA" w:rsidRDefault="007F00E5" w:rsidP="007F00E5">
      <w:pPr>
        <w:pStyle w:val="Table"/>
      </w:pPr>
      <w:bookmarkStart w:id="3245" w:name="_Toc5269601"/>
      <w:bookmarkStart w:id="3246" w:name="_Toc36224682"/>
      <w:bookmarkStart w:id="3247" w:name="_Toc68786568"/>
      <w:r w:rsidRPr="00BE78CA">
        <w:t xml:space="preserve">Table 8.4.1 </w:t>
      </w:r>
      <w:r w:rsidRPr="00BE78CA">
        <w:tab/>
        <w:t>Number of livestock in Tokelau (2016)</w:t>
      </w:r>
      <w:bookmarkEnd w:id="3245"/>
      <w:bookmarkEnd w:id="3246"/>
      <w:bookmarkEnd w:id="3247"/>
      <w:r w:rsidRPr="00BE78CA">
        <w:t xml:space="preserve"> </w:t>
      </w:r>
    </w:p>
    <w:tbl>
      <w:tblPr>
        <w:tblW w:w="8505" w:type="dxa"/>
        <w:tblLayout w:type="fixed"/>
        <w:tblLook w:val="04A0" w:firstRow="1" w:lastRow="0" w:firstColumn="1" w:lastColumn="0" w:noHBand="0" w:noVBand="1"/>
      </w:tblPr>
      <w:tblGrid>
        <w:gridCol w:w="1963"/>
        <w:gridCol w:w="2617"/>
        <w:gridCol w:w="2136"/>
        <w:gridCol w:w="1789"/>
      </w:tblGrid>
      <w:tr w:rsidR="007F00E5" w:rsidRPr="00BE78CA" w14:paraId="775BDBCF" w14:textId="77777777" w:rsidTr="001831DD">
        <w:trPr>
          <w:trHeight w:val="322"/>
        </w:trPr>
        <w:tc>
          <w:tcPr>
            <w:tcW w:w="1963" w:type="dxa"/>
            <w:tcBorders>
              <w:top w:val="single" w:sz="4" w:space="0" w:color="365F91"/>
              <w:left w:val="nil"/>
              <w:bottom w:val="single" w:sz="4" w:space="0" w:color="365F91"/>
              <w:right w:val="nil"/>
            </w:tcBorders>
            <w:shd w:val="clear" w:color="auto" w:fill="365F91"/>
            <w:hideMark/>
          </w:tcPr>
          <w:p w14:paraId="26B617C1" w14:textId="77777777" w:rsidR="007F00E5" w:rsidRPr="00BE78CA" w:rsidRDefault="007F00E5" w:rsidP="00C26084">
            <w:pPr>
              <w:pStyle w:val="TableTextBold"/>
              <w:jc w:val="center"/>
              <w:rPr>
                <w:noProof w:val="0"/>
                <w:color w:val="FFFFFF"/>
                <w:szCs w:val="16"/>
              </w:rPr>
            </w:pPr>
            <w:r w:rsidRPr="00BE78CA">
              <w:rPr>
                <w:noProof w:val="0"/>
                <w:color w:val="FFFFFF"/>
                <w:szCs w:val="16"/>
              </w:rPr>
              <w:t>Atoll</w:t>
            </w:r>
          </w:p>
        </w:tc>
        <w:tc>
          <w:tcPr>
            <w:tcW w:w="2617" w:type="dxa"/>
            <w:tcBorders>
              <w:top w:val="single" w:sz="4" w:space="0" w:color="365F91"/>
              <w:left w:val="nil"/>
              <w:bottom w:val="single" w:sz="4" w:space="0" w:color="365F91"/>
              <w:right w:val="nil"/>
            </w:tcBorders>
            <w:shd w:val="clear" w:color="auto" w:fill="365F91"/>
            <w:hideMark/>
          </w:tcPr>
          <w:p w14:paraId="32BA01B5" w14:textId="77777777" w:rsidR="007F00E5" w:rsidRPr="00BE78CA" w:rsidRDefault="007F00E5" w:rsidP="00C26084">
            <w:pPr>
              <w:pStyle w:val="TableTextBold"/>
              <w:jc w:val="center"/>
              <w:rPr>
                <w:noProof w:val="0"/>
                <w:color w:val="FFFFFF"/>
                <w:szCs w:val="16"/>
              </w:rPr>
            </w:pPr>
            <w:r w:rsidRPr="00BE78CA">
              <w:rPr>
                <w:noProof w:val="0"/>
                <w:color w:val="FFFFFF"/>
                <w:szCs w:val="16"/>
              </w:rPr>
              <w:t>Households</w:t>
            </w:r>
          </w:p>
        </w:tc>
        <w:tc>
          <w:tcPr>
            <w:tcW w:w="2136" w:type="dxa"/>
            <w:tcBorders>
              <w:top w:val="single" w:sz="4" w:space="0" w:color="365F91"/>
              <w:left w:val="nil"/>
              <w:bottom w:val="single" w:sz="4" w:space="0" w:color="365F91"/>
              <w:right w:val="nil"/>
            </w:tcBorders>
            <w:shd w:val="clear" w:color="auto" w:fill="365F91"/>
            <w:hideMark/>
          </w:tcPr>
          <w:p w14:paraId="24E0583E" w14:textId="77777777" w:rsidR="007F00E5" w:rsidRPr="00BE78CA" w:rsidRDefault="007F00E5" w:rsidP="00C26084">
            <w:pPr>
              <w:pStyle w:val="TableTextBold"/>
              <w:jc w:val="center"/>
              <w:rPr>
                <w:noProof w:val="0"/>
                <w:color w:val="FFFFFF"/>
                <w:szCs w:val="16"/>
              </w:rPr>
            </w:pPr>
            <w:r w:rsidRPr="00BE78CA">
              <w:rPr>
                <w:noProof w:val="0"/>
                <w:color w:val="FFFFFF"/>
                <w:szCs w:val="16"/>
              </w:rPr>
              <w:t>Pigs</w:t>
            </w:r>
          </w:p>
        </w:tc>
        <w:tc>
          <w:tcPr>
            <w:tcW w:w="1789" w:type="dxa"/>
            <w:tcBorders>
              <w:top w:val="single" w:sz="4" w:space="0" w:color="365F91"/>
              <w:left w:val="nil"/>
              <w:bottom w:val="single" w:sz="4" w:space="0" w:color="365F91"/>
              <w:right w:val="nil"/>
            </w:tcBorders>
            <w:shd w:val="clear" w:color="auto" w:fill="365F91"/>
            <w:hideMark/>
          </w:tcPr>
          <w:p w14:paraId="4DA6140B" w14:textId="77777777" w:rsidR="007F00E5" w:rsidRPr="00BE78CA" w:rsidRDefault="007F00E5" w:rsidP="00C26084">
            <w:pPr>
              <w:pStyle w:val="TableTextBold"/>
              <w:jc w:val="center"/>
              <w:rPr>
                <w:noProof w:val="0"/>
                <w:color w:val="FFFFFF"/>
                <w:szCs w:val="16"/>
              </w:rPr>
            </w:pPr>
            <w:r w:rsidRPr="00BE78CA">
              <w:rPr>
                <w:noProof w:val="0"/>
                <w:color w:val="FFFFFF"/>
                <w:szCs w:val="16"/>
              </w:rPr>
              <w:t>Chickens</w:t>
            </w:r>
          </w:p>
        </w:tc>
      </w:tr>
      <w:tr w:rsidR="007F00E5" w:rsidRPr="00BE78CA" w14:paraId="39076C68" w14:textId="77777777" w:rsidTr="001831DD">
        <w:trPr>
          <w:trHeight w:val="115"/>
        </w:trPr>
        <w:tc>
          <w:tcPr>
            <w:tcW w:w="1963" w:type="dxa"/>
            <w:tcBorders>
              <w:top w:val="single" w:sz="4" w:space="0" w:color="365F91"/>
              <w:left w:val="nil"/>
              <w:bottom w:val="nil"/>
              <w:right w:val="nil"/>
            </w:tcBorders>
            <w:shd w:val="clear" w:color="auto" w:fill="auto"/>
            <w:hideMark/>
          </w:tcPr>
          <w:p w14:paraId="1A0C9108" w14:textId="77777777" w:rsidR="007F00E5" w:rsidRPr="00BE78CA" w:rsidRDefault="007F00E5" w:rsidP="00FD3198">
            <w:pPr>
              <w:pStyle w:val="TableText"/>
              <w:spacing w:before="50" w:after="50"/>
              <w:rPr>
                <w:szCs w:val="16"/>
              </w:rPr>
            </w:pPr>
            <w:r w:rsidRPr="00BE78CA">
              <w:rPr>
                <w:szCs w:val="16"/>
              </w:rPr>
              <w:t>Atafu</w:t>
            </w:r>
          </w:p>
        </w:tc>
        <w:tc>
          <w:tcPr>
            <w:tcW w:w="2617" w:type="dxa"/>
            <w:tcBorders>
              <w:top w:val="single" w:sz="4" w:space="0" w:color="365F91"/>
              <w:left w:val="nil"/>
              <w:bottom w:val="nil"/>
              <w:right w:val="nil"/>
            </w:tcBorders>
            <w:shd w:val="clear" w:color="auto" w:fill="auto"/>
            <w:hideMark/>
          </w:tcPr>
          <w:p w14:paraId="6F24AB0F" w14:textId="77777777" w:rsidR="007F00E5" w:rsidRPr="00BE78CA" w:rsidRDefault="007F00E5" w:rsidP="00FD3198">
            <w:pPr>
              <w:pStyle w:val="TableText"/>
              <w:spacing w:before="50" w:after="50"/>
              <w:jc w:val="center"/>
              <w:rPr>
                <w:szCs w:val="16"/>
              </w:rPr>
            </w:pPr>
            <w:r w:rsidRPr="00BE78CA">
              <w:rPr>
                <w:szCs w:val="16"/>
              </w:rPr>
              <w:t>88</w:t>
            </w:r>
          </w:p>
        </w:tc>
        <w:tc>
          <w:tcPr>
            <w:tcW w:w="2136" w:type="dxa"/>
            <w:tcBorders>
              <w:top w:val="single" w:sz="4" w:space="0" w:color="365F91"/>
              <w:left w:val="nil"/>
              <w:bottom w:val="nil"/>
              <w:right w:val="nil"/>
            </w:tcBorders>
            <w:shd w:val="clear" w:color="auto" w:fill="auto"/>
            <w:hideMark/>
          </w:tcPr>
          <w:p w14:paraId="6CC33F67" w14:textId="77777777" w:rsidR="007F00E5" w:rsidRPr="00BE78CA" w:rsidRDefault="007F00E5" w:rsidP="00FD3198">
            <w:pPr>
              <w:pStyle w:val="TableText"/>
              <w:spacing w:before="50" w:after="50"/>
              <w:jc w:val="center"/>
              <w:rPr>
                <w:szCs w:val="16"/>
              </w:rPr>
            </w:pPr>
            <w:r w:rsidRPr="00BE78CA">
              <w:rPr>
                <w:szCs w:val="16"/>
              </w:rPr>
              <w:t>742</w:t>
            </w:r>
          </w:p>
        </w:tc>
        <w:tc>
          <w:tcPr>
            <w:tcW w:w="1789" w:type="dxa"/>
            <w:tcBorders>
              <w:top w:val="single" w:sz="4" w:space="0" w:color="365F91"/>
              <w:left w:val="nil"/>
              <w:bottom w:val="nil"/>
              <w:right w:val="nil"/>
            </w:tcBorders>
            <w:shd w:val="clear" w:color="auto" w:fill="auto"/>
            <w:hideMark/>
          </w:tcPr>
          <w:p w14:paraId="1964546C" w14:textId="77777777" w:rsidR="007F00E5" w:rsidRPr="00BE78CA" w:rsidRDefault="007F00E5" w:rsidP="00FD3198">
            <w:pPr>
              <w:pStyle w:val="TableText"/>
              <w:spacing w:before="50" w:after="50"/>
              <w:jc w:val="center"/>
              <w:rPr>
                <w:szCs w:val="16"/>
              </w:rPr>
            </w:pPr>
            <w:r w:rsidRPr="00BE78CA">
              <w:rPr>
                <w:szCs w:val="16"/>
              </w:rPr>
              <w:t>270</w:t>
            </w:r>
          </w:p>
        </w:tc>
      </w:tr>
      <w:tr w:rsidR="007F00E5" w:rsidRPr="00BE78CA" w14:paraId="0AFA08AB" w14:textId="77777777" w:rsidTr="001831DD">
        <w:trPr>
          <w:trHeight w:val="223"/>
        </w:trPr>
        <w:tc>
          <w:tcPr>
            <w:tcW w:w="1963" w:type="dxa"/>
            <w:tcBorders>
              <w:top w:val="nil"/>
              <w:left w:val="nil"/>
              <w:bottom w:val="nil"/>
              <w:right w:val="nil"/>
            </w:tcBorders>
            <w:shd w:val="clear" w:color="auto" w:fill="auto"/>
            <w:hideMark/>
          </w:tcPr>
          <w:p w14:paraId="6CD69BF5" w14:textId="77777777" w:rsidR="007F00E5" w:rsidRPr="00BE78CA" w:rsidRDefault="007F00E5" w:rsidP="00FD3198">
            <w:pPr>
              <w:pStyle w:val="TableText"/>
              <w:spacing w:before="50" w:after="50"/>
              <w:rPr>
                <w:szCs w:val="16"/>
              </w:rPr>
            </w:pPr>
            <w:r w:rsidRPr="00BE78CA">
              <w:rPr>
                <w:szCs w:val="16"/>
              </w:rPr>
              <w:t>Fakaofo</w:t>
            </w:r>
          </w:p>
        </w:tc>
        <w:tc>
          <w:tcPr>
            <w:tcW w:w="2617" w:type="dxa"/>
            <w:tcBorders>
              <w:top w:val="nil"/>
              <w:left w:val="nil"/>
              <w:bottom w:val="nil"/>
              <w:right w:val="nil"/>
            </w:tcBorders>
            <w:shd w:val="clear" w:color="auto" w:fill="auto"/>
            <w:hideMark/>
          </w:tcPr>
          <w:p w14:paraId="0029FF78" w14:textId="77777777" w:rsidR="007F00E5" w:rsidRPr="00BE78CA" w:rsidRDefault="007F00E5" w:rsidP="00FD3198">
            <w:pPr>
              <w:pStyle w:val="TableText"/>
              <w:spacing w:before="50" w:after="50"/>
              <w:jc w:val="center"/>
              <w:rPr>
                <w:szCs w:val="16"/>
              </w:rPr>
            </w:pPr>
            <w:r w:rsidRPr="00BE78CA">
              <w:rPr>
                <w:szCs w:val="16"/>
              </w:rPr>
              <w:t>85</w:t>
            </w:r>
          </w:p>
        </w:tc>
        <w:tc>
          <w:tcPr>
            <w:tcW w:w="2136" w:type="dxa"/>
            <w:tcBorders>
              <w:top w:val="nil"/>
              <w:left w:val="nil"/>
              <w:bottom w:val="nil"/>
              <w:right w:val="nil"/>
            </w:tcBorders>
            <w:shd w:val="clear" w:color="auto" w:fill="auto"/>
            <w:hideMark/>
          </w:tcPr>
          <w:p w14:paraId="663A3CA3" w14:textId="77777777" w:rsidR="007F00E5" w:rsidRPr="00BE78CA" w:rsidRDefault="007F00E5" w:rsidP="00FD3198">
            <w:pPr>
              <w:pStyle w:val="TableText"/>
              <w:spacing w:before="50" w:after="50"/>
              <w:jc w:val="center"/>
              <w:rPr>
                <w:szCs w:val="16"/>
              </w:rPr>
            </w:pPr>
            <w:r w:rsidRPr="00BE78CA">
              <w:rPr>
                <w:szCs w:val="16"/>
              </w:rPr>
              <w:t>419</w:t>
            </w:r>
          </w:p>
        </w:tc>
        <w:tc>
          <w:tcPr>
            <w:tcW w:w="1789" w:type="dxa"/>
            <w:tcBorders>
              <w:top w:val="nil"/>
              <w:left w:val="nil"/>
              <w:bottom w:val="nil"/>
              <w:right w:val="nil"/>
            </w:tcBorders>
            <w:shd w:val="clear" w:color="auto" w:fill="auto"/>
            <w:hideMark/>
          </w:tcPr>
          <w:p w14:paraId="63353333" w14:textId="77777777" w:rsidR="007F00E5" w:rsidRPr="00BE78CA" w:rsidRDefault="007F00E5" w:rsidP="00FD3198">
            <w:pPr>
              <w:pStyle w:val="TableText"/>
              <w:spacing w:before="50" w:after="50"/>
              <w:jc w:val="center"/>
              <w:rPr>
                <w:szCs w:val="16"/>
              </w:rPr>
            </w:pPr>
            <w:r w:rsidRPr="00BE78CA">
              <w:rPr>
                <w:szCs w:val="16"/>
              </w:rPr>
              <w:t>50</w:t>
            </w:r>
          </w:p>
        </w:tc>
      </w:tr>
      <w:tr w:rsidR="007F00E5" w:rsidRPr="00BE78CA" w14:paraId="183B74EA" w14:textId="77777777" w:rsidTr="001831DD">
        <w:trPr>
          <w:trHeight w:val="141"/>
        </w:trPr>
        <w:tc>
          <w:tcPr>
            <w:tcW w:w="1963" w:type="dxa"/>
            <w:tcBorders>
              <w:top w:val="nil"/>
              <w:left w:val="nil"/>
              <w:bottom w:val="single" w:sz="4" w:space="0" w:color="365F91"/>
              <w:right w:val="nil"/>
            </w:tcBorders>
            <w:shd w:val="clear" w:color="auto" w:fill="auto"/>
            <w:hideMark/>
          </w:tcPr>
          <w:p w14:paraId="352B3322" w14:textId="77777777" w:rsidR="007F00E5" w:rsidRPr="00BE78CA" w:rsidRDefault="007F00E5" w:rsidP="00FD3198">
            <w:pPr>
              <w:pStyle w:val="TableText"/>
              <w:spacing w:before="50" w:after="50"/>
              <w:rPr>
                <w:szCs w:val="16"/>
              </w:rPr>
            </w:pPr>
            <w:r w:rsidRPr="00BE78CA">
              <w:rPr>
                <w:szCs w:val="16"/>
              </w:rPr>
              <w:t>Nukunonu</w:t>
            </w:r>
          </w:p>
        </w:tc>
        <w:tc>
          <w:tcPr>
            <w:tcW w:w="2617" w:type="dxa"/>
            <w:tcBorders>
              <w:top w:val="nil"/>
              <w:left w:val="nil"/>
              <w:bottom w:val="single" w:sz="4" w:space="0" w:color="365F91"/>
              <w:right w:val="nil"/>
            </w:tcBorders>
            <w:shd w:val="clear" w:color="auto" w:fill="auto"/>
            <w:hideMark/>
          </w:tcPr>
          <w:p w14:paraId="55555CDE" w14:textId="77777777" w:rsidR="007F00E5" w:rsidRPr="00BE78CA" w:rsidRDefault="007F00E5" w:rsidP="00FD3198">
            <w:pPr>
              <w:pStyle w:val="TableText"/>
              <w:spacing w:before="50" w:after="50"/>
              <w:jc w:val="center"/>
              <w:rPr>
                <w:szCs w:val="16"/>
              </w:rPr>
            </w:pPr>
            <w:r w:rsidRPr="00BE78CA">
              <w:rPr>
                <w:szCs w:val="16"/>
              </w:rPr>
              <w:t>83</w:t>
            </w:r>
          </w:p>
        </w:tc>
        <w:tc>
          <w:tcPr>
            <w:tcW w:w="2136" w:type="dxa"/>
            <w:tcBorders>
              <w:top w:val="nil"/>
              <w:left w:val="nil"/>
              <w:bottom w:val="single" w:sz="4" w:space="0" w:color="365F91"/>
              <w:right w:val="nil"/>
            </w:tcBorders>
            <w:shd w:val="clear" w:color="auto" w:fill="auto"/>
            <w:hideMark/>
          </w:tcPr>
          <w:p w14:paraId="46D88F5C" w14:textId="77777777" w:rsidR="007F00E5" w:rsidRPr="00BE78CA" w:rsidRDefault="007F00E5" w:rsidP="00FD3198">
            <w:pPr>
              <w:pStyle w:val="TableText"/>
              <w:spacing w:before="50" w:after="50"/>
              <w:jc w:val="center"/>
              <w:rPr>
                <w:szCs w:val="16"/>
              </w:rPr>
            </w:pPr>
            <w:r w:rsidRPr="00BE78CA">
              <w:rPr>
                <w:szCs w:val="16"/>
              </w:rPr>
              <w:t>536</w:t>
            </w:r>
          </w:p>
        </w:tc>
        <w:tc>
          <w:tcPr>
            <w:tcW w:w="1789" w:type="dxa"/>
            <w:tcBorders>
              <w:top w:val="nil"/>
              <w:left w:val="nil"/>
              <w:bottom w:val="single" w:sz="4" w:space="0" w:color="365F91"/>
              <w:right w:val="nil"/>
            </w:tcBorders>
            <w:shd w:val="clear" w:color="auto" w:fill="auto"/>
            <w:hideMark/>
          </w:tcPr>
          <w:p w14:paraId="7D0086AC" w14:textId="77777777" w:rsidR="007F00E5" w:rsidRPr="00BE78CA" w:rsidRDefault="007F00E5" w:rsidP="00FD3198">
            <w:pPr>
              <w:pStyle w:val="TableText"/>
              <w:spacing w:before="50" w:after="50"/>
              <w:jc w:val="center"/>
              <w:rPr>
                <w:szCs w:val="16"/>
              </w:rPr>
            </w:pPr>
            <w:r w:rsidRPr="00BE78CA">
              <w:rPr>
                <w:szCs w:val="16"/>
              </w:rPr>
              <w:t>305</w:t>
            </w:r>
          </w:p>
        </w:tc>
      </w:tr>
      <w:tr w:rsidR="007F00E5" w:rsidRPr="00BE78CA" w14:paraId="5C2CB366" w14:textId="77777777" w:rsidTr="001831DD">
        <w:trPr>
          <w:trHeight w:val="315"/>
        </w:trPr>
        <w:tc>
          <w:tcPr>
            <w:tcW w:w="1963" w:type="dxa"/>
            <w:tcBorders>
              <w:top w:val="single" w:sz="4" w:space="0" w:color="365F91"/>
              <w:left w:val="nil"/>
              <w:bottom w:val="single" w:sz="4" w:space="0" w:color="365F91"/>
              <w:right w:val="nil"/>
            </w:tcBorders>
            <w:shd w:val="clear" w:color="auto" w:fill="auto"/>
            <w:hideMark/>
          </w:tcPr>
          <w:p w14:paraId="3C00F55F" w14:textId="77777777" w:rsidR="007F00E5" w:rsidRPr="00BE78CA" w:rsidRDefault="007F00E5" w:rsidP="00FD3198">
            <w:pPr>
              <w:pStyle w:val="TableText"/>
              <w:spacing w:before="50" w:after="50"/>
              <w:rPr>
                <w:szCs w:val="16"/>
              </w:rPr>
            </w:pPr>
            <w:r w:rsidRPr="00BE78CA">
              <w:rPr>
                <w:szCs w:val="16"/>
              </w:rPr>
              <w:t>Tokelau</w:t>
            </w:r>
          </w:p>
        </w:tc>
        <w:tc>
          <w:tcPr>
            <w:tcW w:w="2617" w:type="dxa"/>
            <w:tcBorders>
              <w:top w:val="single" w:sz="4" w:space="0" w:color="365F91"/>
              <w:left w:val="nil"/>
              <w:bottom w:val="single" w:sz="4" w:space="0" w:color="365F91"/>
              <w:right w:val="nil"/>
            </w:tcBorders>
            <w:shd w:val="clear" w:color="auto" w:fill="auto"/>
            <w:hideMark/>
          </w:tcPr>
          <w:p w14:paraId="0BD2187A" w14:textId="77777777" w:rsidR="007F00E5" w:rsidRPr="00BE78CA" w:rsidRDefault="007F00E5" w:rsidP="00FD3198">
            <w:pPr>
              <w:pStyle w:val="TableText"/>
              <w:spacing w:before="50" w:after="50"/>
              <w:jc w:val="center"/>
              <w:rPr>
                <w:szCs w:val="16"/>
              </w:rPr>
            </w:pPr>
            <w:r w:rsidRPr="00BE78CA">
              <w:rPr>
                <w:szCs w:val="16"/>
              </w:rPr>
              <w:t>256</w:t>
            </w:r>
          </w:p>
        </w:tc>
        <w:tc>
          <w:tcPr>
            <w:tcW w:w="2136" w:type="dxa"/>
            <w:tcBorders>
              <w:top w:val="single" w:sz="4" w:space="0" w:color="365F91"/>
              <w:left w:val="nil"/>
              <w:bottom w:val="single" w:sz="4" w:space="0" w:color="365F91"/>
              <w:right w:val="nil"/>
            </w:tcBorders>
            <w:shd w:val="clear" w:color="auto" w:fill="auto"/>
            <w:hideMark/>
          </w:tcPr>
          <w:p w14:paraId="1601C76E" w14:textId="77777777" w:rsidR="007F00E5" w:rsidRPr="00BE78CA" w:rsidRDefault="007F00E5" w:rsidP="00FD3198">
            <w:pPr>
              <w:pStyle w:val="TableText"/>
              <w:spacing w:before="50" w:after="50"/>
              <w:jc w:val="center"/>
              <w:rPr>
                <w:szCs w:val="16"/>
              </w:rPr>
            </w:pPr>
            <w:r w:rsidRPr="00BE78CA">
              <w:rPr>
                <w:szCs w:val="16"/>
              </w:rPr>
              <w:t>1,697</w:t>
            </w:r>
          </w:p>
        </w:tc>
        <w:tc>
          <w:tcPr>
            <w:tcW w:w="1789" w:type="dxa"/>
            <w:tcBorders>
              <w:top w:val="single" w:sz="4" w:space="0" w:color="365F91"/>
              <w:left w:val="nil"/>
              <w:bottom w:val="single" w:sz="4" w:space="0" w:color="365F91"/>
              <w:right w:val="nil"/>
            </w:tcBorders>
            <w:shd w:val="clear" w:color="auto" w:fill="auto"/>
            <w:hideMark/>
          </w:tcPr>
          <w:p w14:paraId="5D4C88E5" w14:textId="77777777" w:rsidR="007F00E5" w:rsidRPr="00BE78CA" w:rsidRDefault="007F00E5" w:rsidP="00FD3198">
            <w:pPr>
              <w:pStyle w:val="TableText"/>
              <w:spacing w:before="50" w:after="50"/>
              <w:jc w:val="center"/>
              <w:rPr>
                <w:szCs w:val="16"/>
              </w:rPr>
            </w:pPr>
            <w:r w:rsidRPr="00BE78CA">
              <w:rPr>
                <w:szCs w:val="16"/>
              </w:rPr>
              <w:t>625</w:t>
            </w:r>
          </w:p>
        </w:tc>
      </w:tr>
    </w:tbl>
    <w:p w14:paraId="39EB33B6" w14:textId="77777777" w:rsidR="007F00E5" w:rsidRPr="00BE78CA" w:rsidRDefault="007F00E5" w:rsidP="007F00E5">
      <w:pPr>
        <w:pStyle w:val="BodyText"/>
        <w:spacing w:before="240" w:after="100"/>
        <w:rPr>
          <w:rFonts w:eastAsia="Calibri"/>
        </w:rPr>
      </w:pPr>
      <w:r w:rsidRPr="00BE78CA">
        <w:rPr>
          <w:rFonts w:eastAsia="Calibri"/>
        </w:rPr>
        <w:lastRenderedPageBreak/>
        <w:t xml:space="preserve">Because the 2006 IPCC Guidelines do not provide a default emission factor for enteric fermentation for poultry, this category is reported as NE (not estimated) (paragraph 37(b), footnote 6 of the UNFCCC reporting guidelines) (UNFCCC, 2014). Therefore, only swine (pigs) are included under the </w:t>
      </w:r>
      <w:r w:rsidRPr="00BE78CA">
        <w:rPr>
          <w:rFonts w:eastAsia="Calibri"/>
          <w:i/>
        </w:rPr>
        <w:t>Enteric fermentation</w:t>
      </w:r>
      <w:r w:rsidRPr="00BE78CA">
        <w:rPr>
          <w:rFonts w:eastAsia="Calibri"/>
        </w:rPr>
        <w:t xml:space="preserve"> (3.A.3) category.</w:t>
      </w:r>
    </w:p>
    <w:p w14:paraId="0F2B96ED" w14:textId="77777777" w:rsidR="007F00E5" w:rsidRPr="00BE78CA" w:rsidRDefault="007F00E5" w:rsidP="007F00E5">
      <w:pPr>
        <w:pStyle w:val="BodyText"/>
        <w:spacing w:before="100" w:after="100"/>
      </w:pPr>
      <w:r w:rsidRPr="00BE78CA">
        <w:t xml:space="preserve">The </w:t>
      </w:r>
      <w:r w:rsidRPr="00BE78CA">
        <w:rPr>
          <w:i/>
        </w:rPr>
        <w:t xml:space="preserve">Enteric fermentation – Swine </w:t>
      </w:r>
      <w:r w:rsidRPr="00BE78CA">
        <w:t>category contributed 7.5 per cent to the total Agriculture emissions in Tokelau in 2019, and amounted to 0.06 kt CO</w:t>
      </w:r>
      <w:r w:rsidRPr="00BE78CA">
        <w:rPr>
          <w:vertAlign w:val="subscript"/>
        </w:rPr>
        <w:t>2</w:t>
      </w:r>
      <w:r w:rsidRPr="00BE78CA">
        <w:t>-e.</w:t>
      </w:r>
    </w:p>
    <w:p w14:paraId="1649B25B" w14:textId="77777777" w:rsidR="007F00E5" w:rsidRPr="00BE78CA" w:rsidRDefault="007F00E5" w:rsidP="007F00E5">
      <w:pPr>
        <w:pStyle w:val="Heading4"/>
      </w:pPr>
      <w:r w:rsidRPr="00BE78CA">
        <w:t>Methodological issues</w:t>
      </w:r>
    </w:p>
    <w:p w14:paraId="244BFFA3" w14:textId="77777777" w:rsidR="007F00E5" w:rsidRPr="00BE78CA" w:rsidRDefault="007F00E5" w:rsidP="007F00E5">
      <w:pPr>
        <w:pStyle w:val="Heading5"/>
        <w:spacing w:before="120"/>
      </w:pPr>
      <w:r w:rsidRPr="00BE78CA">
        <w:t>Activity data</w:t>
      </w:r>
    </w:p>
    <w:p w14:paraId="129ADAFF" w14:textId="77777777" w:rsidR="007F00E5" w:rsidRPr="00BE78CA" w:rsidRDefault="007F00E5" w:rsidP="007F00E5">
      <w:pPr>
        <w:pStyle w:val="BodyText"/>
        <w:spacing w:before="100"/>
      </w:pPr>
      <w:r w:rsidRPr="00BE78CA">
        <w:t>Animal population figures were obtained from the Tokelau Census data (see table 8.1.2). The animal population between the census years is calculated by equal increments between the data collection points, to obtain the average animal population (AAP) per year.</w:t>
      </w:r>
    </w:p>
    <w:p w14:paraId="59D026C0" w14:textId="77777777" w:rsidR="007F00E5" w:rsidRPr="00BE78CA" w:rsidRDefault="007F00E5" w:rsidP="007F00E5">
      <w:pPr>
        <w:pStyle w:val="BodyText"/>
        <w:spacing w:before="100"/>
      </w:pPr>
      <w:r w:rsidRPr="00BE78CA">
        <w:t>An average pig weight of 80 kilograms is used.</w:t>
      </w:r>
    </w:p>
    <w:p w14:paraId="216B83D8" w14:textId="77777777" w:rsidR="007F00E5" w:rsidRPr="00BE78CA" w:rsidRDefault="007F00E5" w:rsidP="007F00E5">
      <w:pPr>
        <w:pStyle w:val="Heading5"/>
      </w:pPr>
      <w:r w:rsidRPr="00BE78CA">
        <w:t>Methods and emission factors</w:t>
      </w:r>
    </w:p>
    <w:p w14:paraId="34ADC51E" w14:textId="77777777" w:rsidR="007F00E5" w:rsidRPr="00BE78CA" w:rsidRDefault="007F00E5" w:rsidP="007F00E5">
      <w:pPr>
        <w:pStyle w:val="BodyText"/>
        <w:spacing w:before="100"/>
      </w:pPr>
      <w:r w:rsidRPr="00BE78CA">
        <w:t>Tier 1 methodology with a default emissions factor of 1.5 kg CH</w:t>
      </w:r>
      <w:r w:rsidRPr="00BE78CA">
        <w:rPr>
          <w:vertAlign w:val="subscript"/>
        </w:rPr>
        <w:t>4</w:t>
      </w:r>
      <w:r w:rsidRPr="00BE78CA">
        <w:t>/head/year from table 10.10, volume 4 of the 2006 IPCC Guidelines was used for calculating emissions from this category (IPCC, 2006c). Tokelau’s allocation by climate zone is 100 per cent to a warm climate.</w:t>
      </w:r>
    </w:p>
    <w:p w14:paraId="096FECF7" w14:textId="77777777" w:rsidR="007F00E5" w:rsidRPr="00BE78CA" w:rsidRDefault="007F00E5" w:rsidP="007F00E5">
      <w:pPr>
        <w:pStyle w:val="BodyText"/>
        <w:spacing w:before="100"/>
      </w:pPr>
      <w:r w:rsidRPr="00BE78CA">
        <w:t>The following equation was used for calculating emissions from swine.</w:t>
      </w:r>
    </w:p>
    <w:p w14:paraId="25E263C6" w14:textId="77777777" w:rsidR="007F00E5" w:rsidRPr="00BE78CA" w:rsidRDefault="007F00E5" w:rsidP="007F00E5">
      <w:pPr>
        <w:pStyle w:val="BodyText"/>
        <w:spacing w:after="0"/>
        <w:jc w:val="center"/>
        <w:rPr>
          <w:rFonts w:ascii="Cambria Math" w:hAnsi="Cambria Math"/>
          <w:sz w:val="24"/>
          <w:szCs w:val="24"/>
        </w:rPr>
      </w:pPr>
      <w:r w:rsidRPr="00BE78CA">
        <w:rPr>
          <w:rFonts w:ascii="Cambria Math" w:hAnsi="Cambria Math"/>
          <w:sz w:val="24"/>
          <w:szCs w:val="24"/>
        </w:rPr>
        <w:t>Emissions (kt CH</w:t>
      </w:r>
      <w:r w:rsidRPr="00BE78CA">
        <w:rPr>
          <w:rFonts w:ascii="Cambria Math" w:hAnsi="Cambria Math"/>
          <w:sz w:val="24"/>
          <w:szCs w:val="24"/>
          <w:vertAlign w:val="subscript"/>
        </w:rPr>
        <w:t>4</w:t>
      </w:r>
      <w:r w:rsidRPr="00BE78CA">
        <w:rPr>
          <w:rFonts w:ascii="Cambria Math" w:hAnsi="Cambria Math"/>
          <w:sz w:val="24"/>
          <w:szCs w:val="24"/>
        </w:rPr>
        <w:t>) = AAP (Swine) 1.5 [kg CH</w:t>
      </w:r>
      <w:r w:rsidRPr="00BE78CA">
        <w:rPr>
          <w:rFonts w:ascii="Cambria Math" w:hAnsi="Cambria Math"/>
          <w:sz w:val="24"/>
          <w:szCs w:val="24"/>
          <w:vertAlign w:val="subscript"/>
        </w:rPr>
        <w:t>4</w:t>
      </w:r>
      <w:r w:rsidRPr="00BE78CA">
        <w:rPr>
          <w:rFonts w:ascii="Cambria Math" w:hAnsi="Cambria Math"/>
          <w:sz w:val="24"/>
          <w:szCs w:val="24"/>
        </w:rPr>
        <w:t xml:space="preserve"> head</w:t>
      </w:r>
      <w:r w:rsidRPr="00BE78CA">
        <w:rPr>
          <w:rFonts w:ascii="Cambria Math" w:hAnsi="Cambria Math"/>
          <w:sz w:val="24"/>
          <w:szCs w:val="24"/>
          <w:vertAlign w:val="superscript"/>
        </w:rPr>
        <w:t>–</w:t>
      </w:r>
      <w:r w:rsidRPr="00BE78CA">
        <w:rPr>
          <w:rFonts w:ascii="Cambria Math" w:hAnsi="Cambria Math"/>
          <w:sz w:val="24"/>
          <w:szCs w:val="24"/>
        </w:rPr>
        <w:t>1 year</w:t>
      </w:r>
      <w:r w:rsidRPr="00BE78CA">
        <w:rPr>
          <w:rFonts w:ascii="Cambria Math" w:hAnsi="Cambria Math"/>
          <w:sz w:val="24"/>
          <w:szCs w:val="24"/>
          <w:vertAlign w:val="superscript"/>
        </w:rPr>
        <w:t>–1</w:t>
      </w:r>
      <w:r w:rsidRPr="00BE78CA">
        <w:rPr>
          <w:rFonts w:ascii="Cambria Math" w:hAnsi="Cambria Math"/>
          <w:sz w:val="24"/>
          <w:szCs w:val="24"/>
        </w:rPr>
        <w:t>]/10</w:t>
      </w:r>
      <w:r w:rsidRPr="00BE78CA">
        <w:rPr>
          <w:rFonts w:ascii="Cambria Math" w:hAnsi="Cambria Math"/>
          <w:sz w:val="24"/>
          <w:szCs w:val="24"/>
          <w:vertAlign w:val="superscript"/>
        </w:rPr>
        <w:t>6</w:t>
      </w:r>
      <w:r w:rsidRPr="00BE78CA">
        <w:rPr>
          <w:rFonts w:ascii="Cambria Math" w:hAnsi="Cambria Math"/>
          <w:sz w:val="24"/>
          <w:szCs w:val="24"/>
        </w:rPr>
        <w:t>[kg/kt]</w:t>
      </w:r>
    </w:p>
    <w:p w14:paraId="791A6490" w14:textId="77777777" w:rsidR="007F00E5" w:rsidRPr="00BE78CA" w:rsidRDefault="007F00E5" w:rsidP="007F00E5">
      <w:pPr>
        <w:pStyle w:val="Heading4"/>
      </w:pPr>
      <w:r w:rsidRPr="00BE78CA">
        <w:t>Uncertainty</w:t>
      </w:r>
    </w:p>
    <w:p w14:paraId="0490ED04" w14:textId="77777777" w:rsidR="007F00E5" w:rsidRPr="00BE78CA" w:rsidRDefault="007F00E5" w:rsidP="007F00E5">
      <w:pPr>
        <w:pStyle w:val="BodyText"/>
        <w:spacing w:before="100" w:after="100"/>
      </w:pPr>
      <w:r w:rsidRPr="00BE78CA">
        <w:t>Section 10.2.3 (volume 4) of the 2006 IPCC Guidelines states that the uncertainty associated with animal populations will vary widely, depending on the source, but should be known within </w:t>
      </w:r>
      <w:r w:rsidRPr="00BE78CA">
        <w:rPr>
          <w:u w:val="single"/>
        </w:rPr>
        <w:t>+</w:t>
      </w:r>
      <w:r w:rsidRPr="00BE78CA">
        <w:t xml:space="preserve">20 per cent (IPCC, 2006c). The default emissions factor uncertainty is </w:t>
      </w:r>
      <w:r w:rsidRPr="00BE78CA">
        <w:rPr>
          <w:u w:val="single"/>
        </w:rPr>
        <w:t>+</w:t>
      </w:r>
      <w:r w:rsidRPr="00BE78CA">
        <w:t xml:space="preserve">30 per cent to 50 per cent (default mid-range is </w:t>
      </w:r>
      <w:r w:rsidRPr="00BE78CA">
        <w:rPr>
          <w:u w:val="single"/>
        </w:rPr>
        <w:t>+</w:t>
      </w:r>
      <w:r w:rsidRPr="00BE78CA">
        <w:t>40 per cent).</w:t>
      </w:r>
    </w:p>
    <w:p w14:paraId="46E159F1" w14:textId="77777777" w:rsidR="007F00E5" w:rsidRPr="00BE78CA" w:rsidRDefault="007F00E5" w:rsidP="007F00E5">
      <w:pPr>
        <w:pStyle w:val="BodyText"/>
        <w:spacing w:before="100" w:after="100"/>
      </w:pPr>
      <w:r w:rsidRPr="00BE78CA">
        <w:t xml:space="preserve">For this category, the default uncertainty value of </w:t>
      </w:r>
      <w:r w:rsidRPr="00BE78CA">
        <w:rPr>
          <w:u w:val="single"/>
        </w:rPr>
        <w:t>+</w:t>
      </w:r>
      <w:r w:rsidRPr="00BE78CA">
        <w:t xml:space="preserve">20 per cent for activity data and an upper range default emissions factor uncertainty of </w:t>
      </w:r>
      <w:r w:rsidRPr="00BE78CA">
        <w:rPr>
          <w:u w:val="single"/>
        </w:rPr>
        <w:t>+</w:t>
      </w:r>
      <w:r w:rsidRPr="00BE78CA">
        <w:t>50 per cent were used.</w:t>
      </w:r>
    </w:p>
    <w:p w14:paraId="4E4441D3" w14:textId="77777777" w:rsidR="007F00E5" w:rsidRPr="00BE78CA" w:rsidRDefault="007F00E5" w:rsidP="007F00E5">
      <w:pPr>
        <w:pStyle w:val="Heading3"/>
        <w:spacing w:before="320"/>
      </w:pPr>
      <w:r w:rsidRPr="00BE78CA">
        <w:t xml:space="preserve">8.4.2 </w:t>
      </w:r>
      <w:r w:rsidRPr="00BE78CA">
        <w:tab/>
        <w:t>Emissions from Manure management in Tokelau</w:t>
      </w:r>
    </w:p>
    <w:p w14:paraId="2B9E1C3D" w14:textId="77777777" w:rsidR="007F00E5" w:rsidRPr="00BE78CA" w:rsidRDefault="007F00E5" w:rsidP="007F00E5">
      <w:pPr>
        <w:pStyle w:val="BodyText"/>
        <w:spacing w:before="100" w:after="100"/>
      </w:pPr>
      <w:r w:rsidRPr="00BE78CA">
        <w:t xml:space="preserve">The 2006 IPCC Guidelines provide default emission factors for </w:t>
      </w:r>
      <w:r w:rsidRPr="00BE78CA">
        <w:rPr>
          <w:i/>
        </w:rPr>
        <w:t>Manure management</w:t>
      </w:r>
      <w:r w:rsidRPr="00BE78CA">
        <w:t xml:space="preserve"> (3.B.1) for both swine and poultry, therefore, both animal types are included in reporting from this category (IPCC, 2006c).</w:t>
      </w:r>
    </w:p>
    <w:p w14:paraId="6BAE08CE" w14:textId="77777777" w:rsidR="007F00E5" w:rsidRPr="00BE78CA" w:rsidRDefault="007F00E5" w:rsidP="007F00E5">
      <w:pPr>
        <w:pStyle w:val="BodyText"/>
        <w:spacing w:before="100" w:after="100"/>
      </w:pPr>
      <w:r w:rsidRPr="00BE78CA">
        <w:rPr>
          <w:i/>
        </w:rPr>
        <w:t>Manure management – Swine</w:t>
      </w:r>
      <w:r w:rsidRPr="00BE78CA">
        <w:t xml:space="preserve"> contributed 92.4 per cent to the total agriculture emissions in Tokelau in 2019, and amounted to 0.76 kt CO</w:t>
      </w:r>
      <w:r w:rsidRPr="00BE78CA">
        <w:rPr>
          <w:vertAlign w:val="subscript"/>
        </w:rPr>
        <w:t>2</w:t>
      </w:r>
      <w:r w:rsidRPr="00BE78CA">
        <w:t xml:space="preserve">-e. </w:t>
      </w:r>
      <w:r w:rsidRPr="00BE78CA">
        <w:rPr>
          <w:i/>
        </w:rPr>
        <w:t>Manure management</w:t>
      </w:r>
      <w:r w:rsidRPr="00BE78CA">
        <w:t xml:space="preserve"> – </w:t>
      </w:r>
      <w:r w:rsidRPr="00BE78CA">
        <w:rPr>
          <w:i/>
        </w:rPr>
        <w:t>poultry</w:t>
      </w:r>
      <w:r w:rsidRPr="00BE78CA">
        <w:t xml:space="preserve"> was negligible (0.0005 kt CO</w:t>
      </w:r>
      <w:r w:rsidRPr="00BE78CA">
        <w:rPr>
          <w:vertAlign w:val="subscript"/>
        </w:rPr>
        <w:t>2</w:t>
      </w:r>
      <w:r w:rsidRPr="00BE78CA">
        <w:t>-e).</w:t>
      </w:r>
    </w:p>
    <w:p w14:paraId="0E94ACF7" w14:textId="77777777" w:rsidR="007F00E5" w:rsidRPr="00BE78CA" w:rsidRDefault="007F00E5" w:rsidP="007F00E5">
      <w:pPr>
        <w:pStyle w:val="Heading4"/>
      </w:pPr>
      <w:r w:rsidRPr="00BE78CA">
        <w:t>Methodological issues</w:t>
      </w:r>
    </w:p>
    <w:p w14:paraId="78BC4962" w14:textId="77777777" w:rsidR="007F00E5" w:rsidRPr="00BE78CA" w:rsidRDefault="007F00E5" w:rsidP="007F00E5">
      <w:pPr>
        <w:pStyle w:val="Heading5"/>
        <w:spacing w:before="160"/>
      </w:pPr>
      <w:r w:rsidRPr="00BE78CA">
        <w:t>Activity data</w:t>
      </w:r>
    </w:p>
    <w:p w14:paraId="6A5823A5" w14:textId="77777777" w:rsidR="007F00E5" w:rsidRPr="00BE78CA" w:rsidRDefault="007F00E5" w:rsidP="007F00E5">
      <w:pPr>
        <w:pStyle w:val="BodyText"/>
        <w:spacing w:before="100" w:after="100"/>
      </w:pPr>
      <w:r w:rsidRPr="00BE78CA">
        <w:t xml:space="preserve">The activity data entries for </w:t>
      </w:r>
      <w:r w:rsidRPr="00BE78CA">
        <w:rPr>
          <w:i/>
        </w:rPr>
        <w:t>Manure management</w:t>
      </w:r>
      <w:r w:rsidRPr="00BE78CA">
        <w:t xml:space="preserve"> are exactly the same as for </w:t>
      </w:r>
      <w:r w:rsidRPr="00BE78CA">
        <w:rPr>
          <w:i/>
        </w:rPr>
        <w:t>Enteric fermentation</w:t>
      </w:r>
      <w:r w:rsidRPr="00BE78CA">
        <w:t xml:space="preserve"> (see section 8.4.1).</w:t>
      </w:r>
    </w:p>
    <w:p w14:paraId="525C5246" w14:textId="77777777" w:rsidR="007F00E5" w:rsidRPr="00BE78CA" w:rsidRDefault="007F00E5" w:rsidP="007F00E5">
      <w:pPr>
        <w:pStyle w:val="BodyText"/>
        <w:spacing w:before="100"/>
      </w:pPr>
      <w:r w:rsidRPr="00BE78CA">
        <w:t>The assumption is that all poultry are dry layers.</w:t>
      </w:r>
    </w:p>
    <w:p w14:paraId="3ACD1F65" w14:textId="77777777" w:rsidR="007F00E5" w:rsidRPr="00BE78CA" w:rsidRDefault="007F00E5" w:rsidP="007F00E5">
      <w:pPr>
        <w:pStyle w:val="Heading5"/>
        <w:spacing w:before="160"/>
      </w:pPr>
      <w:r w:rsidRPr="00BE78CA">
        <w:lastRenderedPageBreak/>
        <w:t>Methods and emission factors</w:t>
      </w:r>
    </w:p>
    <w:p w14:paraId="6A3A48F8" w14:textId="31E25E13" w:rsidR="007F00E5" w:rsidRPr="00BE78CA" w:rsidRDefault="007F00E5" w:rsidP="007F00E5">
      <w:pPr>
        <w:pStyle w:val="BodyText"/>
      </w:pPr>
      <w:r w:rsidRPr="00BE78CA">
        <w:t>A Tier 1 methodology with default emission factors provided in table 10.15, volume 4 of the</w:t>
      </w:r>
      <w:r w:rsidR="001831DD" w:rsidRPr="00BE78CA">
        <w:t> </w:t>
      </w:r>
      <w:r w:rsidRPr="00BE78CA">
        <w:t xml:space="preserve">2006 IPCC Guidelines was used for estimating emissions from the </w:t>
      </w:r>
      <w:r w:rsidRPr="00BE78CA">
        <w:rPr>
          <w:i/>
        </w:rPr>
        <w:t>Manure management</w:t>
      </w:r>
      <w:r w:rsidRPr="00BE78CA">
        <w:t xml:space="preserve"> category. The Tier 1 method is based on animal population data and does not require distinguishing between different manure management systems. Equation 10.22 from volume 4 of the 2006 IPCC Guidelines was applied in conjunction with the default emission factors from table 10.14, volume 4 of 2006 IPCC Guidelines for Oceania/warm climate. These are 18.5 kg CH</w:t>
      </w:r>
      <w:r w:rsidRPr="00BE78CA">
        <w:rPr>
          <w:vertAlign w:val="subscript"/>
        </w:rPr>
        <w:t>4</w:t>
      </w:r>
      <w:r w:rsidRPr="00BE78CA">
        <w:t>/head/year for swine and 0.03 kg CH</w:t>
      </w:r>
      <w:r w:rsidRPr="00BE78CA">
        <w:rPr>
          <w:vertAlign w:val="subscript"/>
        </w:rPr>
        <w:t>4</w:t>
      </w:r>
      <w:r w:rsidRPr="00BE78CA">
        <w:t>/head/year for poultry (IPCC, 2006c).</w:t>
      </w:r>
    </w:p>
    <w:p w14:paraId="590E45C8" w14:textId="77777777" w:rsidR="007F00E5" w:rsidRPr="00BE78CA" w:rsidRDefault="007F00E5" w:rsidP="007F00E5">
      <w:pPr>
        <w:pStyle w:val="Heading4"/>
      </w:pPr>
      <w:r w:rsidRPr="00BE78CA">
        <w:t>Uncertainty</w:t>
      </w:r>
    </w:p>
    <w:p w14:paraId="1397F4E2" w14:textId="77777777" w:rsidR="007F00E5" w:rsidRPr="00BE78CA" w:rsidRDefault="007F00E5" w:rsidP="007F00E5">
      <w:pPr>
        <w:pStyle w:val="BodyText"/>
      </w:pPr>
      <w:r w:rsidRPr="00BE78CA">
        <w:t xml:space="preserve">Default uncertainty values for activity data and emission factors were used for this category. Section 10.2.3 in volume 4 of the 2006 IPCC Guidelines states that the uncertainty associated with populations will vary widely, depending on the source, but should be known within </w:t>
      </w:r>
      <w:r w:rsidRPr="00BE78CA">
        <w:rPr>
          <w:u w:val="single"/>
        </w:rPr>
        <w:t>+</w:t>
      </w:r>
      <w:r w:rsidRPr="00BE78CA">
        <w:t xml:space="preserve">20 per cent (IPCC, 2006c). The default emissions factor uncertainty for </w:t>
      </w:r>
      <w:r w:rsidRPr="00BE78CA">
        <w:rPr>
          <w:i/>
        </w:rPr>
        <w:t>Manure management</w:t>
      </w:r>
      <w:r w:rsidRPr="00BE78CA">
        <w:t xml:space="preserve"> is </w:t>
      </w:r>
      <w:r w:rsidRPr="00BE78CA">
        <w:rPr>
          <w:u w:val="single"/>
        </w:rPr>
        <w:t>+</w:t>
      </w:r>
      <w:r w:rsidRPr="00BE78CA">
        <w:t>30 per cent.</w:t>
      </w:r>
    </w:p>
    <w:p w14:paraId="479A32CE" w14:textId="77777777" w:rsidR="007F00E5" w:rsidRPr="00BE78CA" w:rsidRDefault="007F00E5" w:rsidP="007F00E5">
      <w:pPr>
        <w:pStyle w:val="Heading2"/>
      </w:pPr>
      <w:bookmarkStart w:id="3248" w:name="_Toc5269397"/>
      <w:bookmarkStart w:id="3249" w:name="_Toc36224437"/>
      <w:bookmarkStart w:id="3250" w:name="_Toc68786357"/>
      <w:r w:rsidRPr="00BE78CA">
        <w:t xml:space="preserve">8.5 </w:t>
      </w:r>
      <w:r w:rsidRPr="00BE78CA">
        <w:tab/>
        <w:t>Emissions from the Waste sector in Tokelau</w:t>
      </w:r>
      <w:r w:rsidRPr="00BE78CA">
        <w:br/>
        <w:t>(CRF 6 Tokelau_5)</w:t>
      </w:r>
      <w:bookmarkEnd w:id="3248"/>
      <w:bookmarkEnd w:id="3249"/>
      <w:bookmarkEnd w:id="3250"/>
    </w:p>
    <w:p w14:paraId="019BE53A" w14:textId="77777777" w:rsidR="007F00E5" w:rsidRPr="00BE78CA" w:rsidRDefault="007F00E5" w:rsidP="007F00E5">
      <w:pPr>
        <w:pStyle w:val="BodyText"/>
      </w:pPr>
      <w:r w:rsidRPr="00BE78CA">
        <w:t>The total amount of all Waste sector emissions in Tokelau in 2019 was 0.69 kt CO</w:t>
      </w:r>
      <w:r w:rsidRPr="00BE78CA">
        <w:rPr>
          <w:vertAlign w:val="subscript"/>
        </w:rPr>
        <w:t>2</w:t>
      </w:r>
      <w:r w:rsidRPr="00BE78CA">
        <w:t xml:space="preserve">-e, making the Waste sector the third-biggest emitter in Tokelau. The Waste sector contributed 16.1 per cent to the total emissions from Tokelau and 0.0008 per cent to New Zealand’s gross emissions including Tokelau. The sources of emissions in the Waste sector in Tokelau are from the categories </w:t>
      </w:r>
      <w:r w:rsidRPr="00BE78CA">
        <w:rPr>
          <w:i/>
        </w:rPr>
        <w:t>Solid waste disposal</w:t>
      </w:r>
      <w:r w:rsidRPr="00BE78CA">
        <w:t xml:space="preserve">, </w:t>
      </w:r>
      <w:r w:rsidRPr="00BE78CA">
        <w:rPr>
          <w:i/>
        </w:rPr>
        <w:t xml:space="preserve">Wastewater treatment and discharge </w:t>
      </w:r>
      <w:r w:rsidRPr="00BE78CA">
        <w:rPr>
          <w:iCs/>
        </w:rPr>
        <w:t xml:space="preserve">and </w:t>
      </w:r>
      <w:r w:rsidRPr="00BE78CA">
        <w:rPr>
          <w:i/>
        </w:rPr>
        <w:t>Incineration and open burning of waste</w:t>
      </w:r>
      <w:r w:rsidRPr="00BE78CA">
        <w:rPr>
          <w:iCs/>
        </w:rPr>
        <w:t>, which</w:t>
      </w:r>
      <w:r w:rsidRPr="00BE78CA">
        <w:t xml:space="preserve"> contributed 44.2 per cent, 38.2 per cent and 17.6 per cent, respectively, to the total emissions from the Waste sector in Tokelau.</w:t>
      </w:r>
    </w:p>
    <w:p w14:paraId="54B5941F" w14:textId="77777777" w:rsidR="007F00E5" w:rsidRPr="00BE78CA" w:rsidRDefault="007F00E5" w:rsidP="007F00E5">
      <w:pPr>
        <w:pStyle w:val="BodyText"/>
      </w:pPr>
      <w:r w:rsidRPr="00BE78CA">
        <w:t>The raw data related to the Waste sector were obtained from multiple sources (see items 1 to 5, 11 and 13 to 16 in table 8.1.2). The data were compiled, analysed and processed by the Tokelau National Statistics Office to produce activity data. The human population data are used as a driver for estimates in all of the Waste categories.</w:t>
      </w:r>
    </w:p>
    <w:p w14:paraId="55004FFD" w14:textId="77777777" w:rsidR="007F00E5" w:rsidRPr="00BE78CA" w:rsidRDefault="007F00E5" w:rsidP="007F00E5">
      <w:pPr>
        <w:pStyle w:val="BodyText"/>
      </w:pPr>
      <w:r w:rsidRPr="00BE78CA">
        <w:t xml:space="preserve">Emissions from all categories reported in the Waste sector for Tokelau were estimated using a Tier 1 methodological approach (IPCC, 2006d). </w:t>
      </w:r>
    </w:p>
    <w:p w14:paraId="08098357" w14:textId="77777777" w:rsidR="007F00E5" w:rsidRPr="00BE78CA" w:rsidRDefault="007F00E5" w:rsidP="007F00E5">
      <w:pPr>
        <w:pStyle w:val="BodyText"/>
      </w:pPr>
      <w:r w:rsidRPr="00BE78CA">
        <w:t>Figure 8.5.1 shows emission trends in the Waste sector by category for Tokelau.</w:t>
      </w:r>
    </w:p>
    <w:p w14:paraId="70005FB1" w14:textId="77777777" w:rsidR="007F00E5" w:rsidRPr="00BE78CA" w:rsidRDefault="007F00E5" w:rsidP="0081229E">
      <w:pPr>
        <w:pStyle w:val="Figure"/>
        <w:spacing w:after="80"/>
        <w:rPr>
          <w:rFonts w:eastAsia="Calibri"/>
        </w:rPr>
      </w:pPr>
      <w:bookmarkStart w:id="3251" w:name="_Toc36292832"/>
      <w:bookmarkStart w:id="3252" w:name="_Toc64972939"/>
      <w:bookmarkStart w:id="3253" w:name="_Toc68786696"/>
      <w:r w:rsidRPr="00BE78CA">
        <w:rPr>
          <w:rFonts w:eastAsia="Calibri"/>
        </w:rPr>
        <w:lastRenderedPageBreak/>
        <w:t xml:space="preserve">Figure 8.5.1 </w:t>
      </w:r>
      <w:r w:rsidRPr="00BE78CA">
        <w:rPr>
          <w:rFonts w:eastAsia="Calibri"/>
        </w:rPr>
        <w:tab/>
        <w:t>Waste sector emissions by category for Tokelau (kt CO</w:t>
      </w:r>
      <w:r w:rsidRPr="00BE78CA">
        <w:rPr>
          <w:rFonts w:eastAsia="Calibri"/>
          <w:vertAlign w:val="subscript"/>
        </w:rPr>
        <w:t>2</w:t>
      </w:r>
      <w:r w:rsidRPr="00BE78CA">
        <w:rPr>
          <w:rFonts w:eastAsia="Calibri"/>
        </w:rPr>
        <w:t xml:space="preserve">-e) from 1990 to </w:t>
      </w:r>
      <w:bookmarkEnd w:id="3251"/>
      <w:r w:rsidRPr="00BE78CA">
        <w:rPr>
          <w:rFonts w:eastAsia="Calibri"/>
        </w:rPr>
        <w:t>2019</w:t>
      </w:r>
      <w:bookmarkEnd w:id="3252"/>
      <w:bookmarkEnd w:id="3253"/>
    </w:p>
    <w:p w14:paraId="59640741" w14:textId="77777777" w:rsidR="007F00E5" w:rsidRPr="00BE78CA" w:rsidRDefault="007F00E5" w:rsidP="007F00E5">
      <w:pPr>
        <w:pStyle w:val="BodyText"/>
        <w:rPr>
          <w:rFonts w:eastAsia="Calibri"/>
        </w:rPr>
      </w:pPr>
      <w:r w:rsidRPr="00BE78CA">
        <w:rPr>
          <w:rFonts w:eastAsia="Calibri"/>
          <w:noProof/>
        </w:rPr>
        <w:drawing>
          <wp:inline distT="0" distB="0" distL="0" distR="0" wp14:anchorId="13D81483" wp14:editId="13B92844">
            <wp:extent cx="5372075" cy="2829464"/>
            <wp:effectExtent l="0" t="0" r="3810" b="571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61">
                      <a:extLst>
                        <a:ext uri="{28A0092B-C50C-407E-A947-70E740481C1C}">
                          <a14:useLocalDpi xmlns:a14="http://schemas.microsoft.com/office/drawing/2010/main" val="0"/>
                        </a:ext>
                      </a:extLst>
                    </a:blip>
                    <a:srcRect t="12338" b="3269"/>
                    <a:stretch/>
                  </pic:blipFill>
                  <pic:spPr bwMode="auto">
                    <a:xfrm>
                      <a:off x="0" y="0"/>
                      <a:ext cx="5372075" cy="2829464"/>
                    </a:xfrm>
                    <a:prstGeom prst="rect">
                      <a:avLst/>
                    </a:prstGeom>
                    <a:noFill/>
                    <a:ln>
                      <a:noFill/>
                    </a:ln>
                    <a:extLst>
                      <a:ext uri="{53640926-AAD7-44D8-BBD7-CCE9431645EC}">
                        <a14:shadowObscured xmlns:a14="http://schemas.microsoft.com/office/drawing/2010/main"/>
                      </a:ext>
                    </a:extLst>
                  </pic:spPr>
                </pic:pic>
              </a:graphicData>
            </a:graphic>
          </wp:inline>
        </w:drawing>
      </w:r>
    </w:p>
    <w:p w14:paraId="6D772F7D" w14:textId="77777777" w:rsidR="007F00E5" w:rsidRPr="00BE78CA" w:rsidRDefault="007F00E5" w:rsidP="007F00E5">
      <w:pPr>
        <w:pStyle w:val="Heading4"/>
      </w:pPr>
      <w:r w:rsidRPr="00BE78CA">
        <w:t>Source-specific planned improvements</w:t>
      </w:r>
    </w:p>
    <w:p w14:paraId="1065B750" w14:textId="77777777" w:rsidR="007F00E5" w:rsidRPr="00BE78CA" w:rsidRDefault="007F00E5" w:rsidP="007F00E5">
      <w:pPr>
        <w:pStyle w:val="BodyText"/>
      </w:pPr>
      <w:r w:rsidRPr="00BE78CA">
        <w:t xml:space="preserve">There are no planned improvements for the Waste sector. Possible improvements in the Waste sector will focus on ongoing data refinement as far as resources allow. </w:t>
      </w:r>
    </w:p>
    <w:p w14:paraId="293636EE" w14:textId="77777777" w:rsidR="007F00E5" w:rsidRPr="00BE78CA" w:rsidRDefault="007F00E5" w:rsidP="007F00E5">
      <w:pPr>
        <w:pStyle w:val="Heading3"/>
        <w:spacing w:before="240"/>
      </w:pPr>
      <w:r w:rsidRPr="00BE78CA">
        <w:t xml:space="preserve">8.5.1 </w:t>
      </w:r>
      <w:r w:rsidRPr="00BE78CA">
        <w:tab/>
        <w:t>Emissions from Solid waste disposal in Tokelau</w:t>
      </w:r>
    </w:p>
    <w:p w14:paraId="1FE60B26" w14:textId="77777777" w:rsidR="007F00E5" w:rsidRPr="00BE78CA" w:rsidRDefault="007F00E5" w:rsidP="007F00E5">
      <w:pPr>
        <w:pStyle w:val="BodyText"/>
      </w:pPr>
      <w:r w:rsidRPr="00BE78CA">
        <w:rPr>
          <w:spacing w:val="-2"/>
        </w:rPr>
        <w:t>According to the 2016 Tokelau Census, most household rubbish is collected by village workers. Fakaofo had the highest proportion of households where all rubbish was collected (72.9 per cent). Of all private occupied dwellings, 98.8 per cent had at least some of their household rubbish collected. Most of the collected rubbish is either burned on the reef or buried in centralised areas of the islands. Exceptions are the organic waste, which is fed daily to pigs, large beer bottles that are exported for recycling to Apia (Samoa) and metal waste that is collected and sold as scrap in Apia under an MoU with a Samoan company</w:t>
      </w:r>
      <w:r w:rsidRPr="00BE78CA">
        <w:t>.</w:t>
      </w:r>
      <w:r w:rsidRPr="00BE78CA">
        <w:rPr>
          <w:rStyle w:val="FootnoteReference"/>
        </w:rPr>
        <w:footnoteReference w:id="72"/>
      </w:r>
      <w:r w:rsidRPr="00BE78CA">
        <w:t xml:space="preserve"> </w:t>
      </w:r>
    </w:p>
    <w:p w14:paraId="57467D9B" w14:textId="77777777" w:rsidR="007F00E5" w:rsidRPr="00BE78CA" w:rsidRDefault="007F00E5" w:rsidP="007F00E5">
      <w:pPr>
        <w:pStyle w:val="BodyText"/>
      </w:pPr>
      <w:r w:rsidRPr="00BE78CA">
        <w:t>Where village workers do not collect household rubbish, households use alternative methods for disposal. The most common methods are burning, burial and disposing of in the garden. There are no dedicated categorised landfills in Tokelau, therefore, solid waste disposal is reported for uncategorised landfills only.</w:t>
      </w:r>
    </w:p>
    <w:p w14:paraId="464D841E" w14:textId="77777777" w:rsidR="007F00E5" w:rsidRPr="00BE78CA" w:rsidRDefault="007F00E5" w:rsidP="007F00E5">
      <w:pPr>
        <w:pStyle w:val="BodyText"/>
      </w:pPr>
      <w:r w:rsidRPr="00BE78CA">
        <w:t xml:space="preserve">The </w:t>
      </w:r>
      <w:r w:rsidRPr="00BE78CA">
        <w:rPr>
          <w:i/>
        </w:rPr>
        <w:t xml:space="preserve">Solid waste disposal </w:t>
      </w:r>
      <w:r w:rsidRPr="00BE78CA">
        <w:t>category contributed 44.2 per cent to the total Waste emissions in Tokelau in 2019, which amounted to 0.31 kt CO</w:t>
      </w:r>
      <w:r w:rsidRPr="00BE78CA">
        <w:rPr>
          <w:vertAlign w:val="subscript"/>
        </w:rPr>
        <w:t>2</w:t>
      </w:r>
      <w:r w:rsidRPr="00BE78CA">
        <w:t>-e.</w:t>
      </w:r>
    </w:p>
    <w:p w14:paraId="26D24073" w14:textId="77777777" w:rsidR="007F00E5" w:rsidRPr="00BE78CA" w:rsidRDefault="007F00E5" w:rsidP="007F00E5">
      <w:pPr>
        <w:pStyle w:val="Heading4"/>
      </w:pPr>
      <w:r w:rsidRPr="00BE78CA">
        <w:lastRenderedPageBreak/>
        <w:t>Methodological issues</w:t>
      </w:r>
    </w:p>
    <w:p w14:paraId="6AFF558A" w14:textId="77777777" w:rsidR="007F00E5" w:rsidRPr="00BE78CA" w:rsidRDefault="007F00E5" w:rsidP="007F00E5">
      <w:pPr>
        <w:pStyle w:val="Heading5"/>
        <w:spacing w:before="180"/>
      </w:pPr>
      <w:r w:rsidRPr="00BE78CA">
        <w:t>Activity data</w:t>
      </w:r>
    </w:p>
    <w:p w14:paraId="60818033" w14:textId="77777777" w:rsidR="007F00E5" w:rsidRPr="00BE78CA" w:rsidRDefault="007F00E5" w:rsidP="007F00E5">
      <w:pPr>
        <w:pStyle w:val="Bullet"/>
        <w:spacing w:before="120"/>
      </w:pPr>
      <w:r w:rsidRPr="00BE78CA">
        <w:t>The total amount of solid waste is based on the 2006 IPCC default 690 kg/person/year for Oceania (IPCC, 2006d). This is likely to be an overestimate, however, a country-specific value is not available.</w:t>
      </w:r>
    </w:p>
    <w:p w14:paraId="6320021C" w14:textId="77777777" w:rsidR="007F00E5" w:rsidRPr="00BE78CA" w:rsidRDefault="007F00E5" w:rsidP="007F00E5">
      <w:pPr>
        <w:pStyle w:val="Bullet"/>
      </w:pPr>
      <w:r w:rsidRPr="00BE78CA">
        <w:t>Solid waste is assumed to be half buried and the other half burned. As above, this does not account for exported solid waste or organic waste fed to pigs and will be an overestimate.</w:t>
      </w:r>
    </w:p>
    <w:p w14:paraId="5DFDE75A" w14:textId="77777777" w:rsidR="007F00E5" w:rsidRPr="00BE78CA" w:rsidRDefault="007F00E5" w:rsidP="007F00E5">
      <w:pPr>
        <w:pStyle w:val="Bullet"/>
      </w:pPr>
      <w:r w:rsidRPr="00BE78CA">
        <w:t>The composition of solid waste for the landfill calculations is based on the 2006 IPCC default (67.5 per cent food, 6 per cent paper/cardboard, 2.5 per cent wood, and the remaining 24 per cent is ‘inert’) (IPCC, 2006d). This does not take into account the food waste that is fed to animals or used for composting and gardens, nor data on waste composition, such as disposable nappies, and will likely be an overestimate overall.</w:t>
      </w:r>
    </w:p>
    <w:p w14:paraId="70A15936" w14:textId="77777777" w:rsidR="007F00E5" w:rsidRPr="00BE78CA" w:rsidRDefault="007F00E5" w:rsidP="007F00E5">
      <w:pPr>
        <w:pStyle w:val="Heading5"/>
      </w:pPr>
      <w:r w:rsidRPr="00BE78CA">
        <w:t>Methods and emission factors</w:t>
      </w:r>
    </w:p>
    <w:p w14:paraId="78E84D92" w14:textId="77777777" w:rsidR="007F00E5" w:rsidRPr="00BE78CA" w:rsidRDefault="007F00E5" w:rsidP="007F00E5">
      <w:pPr>
        <w:pStyle w:val="BodyText"/>
      </w:pPr>
      <w:r w:rsidRPr="00BE78CA">
        <w:t>A Tier 1 methodology has been applied to estimate emissions from this category. The Tier 1 approach is to use all default values. It is assumed that 50 per cent of waste is buried (landfilled) and the other 50 per cent is burned. Any amounts of waste shipped offshore are additional and are not counted. Table 8.5.1 sums up the information about parameters used for calculating emissions from this category.</w:t>
      </w:r>
    </w:p>
    <w:p w14:paraId="02F4DC0B" w14:textId="77777777" w:rsidR="007F00E5" w:rsidRPr="00BE78CA" w:rsidRDefault="007F00E5" w:rsidP="007F00E5">
      <w:pPr>
        <w:pStyle w:val="Table"/>
        <w:rPr>
          <w:rFonts w:eastAsia="Calibri"/>
        </w:rPr>
      </w:pPr>
      <w:bookmarkStart w:id="3254" w:name="_Toc5269602"/>
      <w:bookmarkStart w:id="3255" w:name="_Toc36224683"/>
      <w:bookmarkStart w:id="3256" w:name="_Toc68786569"/>
      <w:r w:rsidRPr="00BE78CA">
        <w:rPr>
          <w:rFonts w:eastAsia="Calibri"/>
        </w:rPr>
        <w:t>Table 8.5.1</w:t>
      </w:r>
      <w:r w:rsidRPr="00BE78CA">
        <w:rPr>
          <w:rFonts w:eastAsia="Calibri"/>
        </w:rPr>
        <w:tab/>
        <w:t>Summary of parameters for uncategorised landfills in Tokelau</w:t>
      </w:r>
      <w:bookmarkEnd w:id="3254"/>
      <w:bookmarkEnd w:id="3255"/>
      <w:bookmarkEnd w:id="3256"/>
    </w:p>
    <w:tbl>
      <w:tblPr>
        <w:tblW w:w="8505" w:type="dxa"/>
        <w:tblLook w:val="04A0" w:firstRow="1" w:lastRow="0" w:firstColumn="1" w:lastColumn="0" w:noHBand="0" w:noVBand="1"/>
      </w:tblPr>
      <w:tblGrid>
        <w:gridCol w:w="2694"/>
        <w:gridCol w:w="992"/>
        <w:gridCol w:w="1984"/>
        <w:gridCol w:w="2835"/>
      </w:tblGrid>
      <w:tr w:rsidR="007F00E5" w:rsidRPr="00BE78CA" w14:paraId="7F51C0C5" w14:textId="77777777" w:rsidTr="00902485">
        <w:trPr>
          <w:tblHeader/>
        </w:trPr>
        <w:tc>
          <w:tcPr>
            <w:tcW w:w="2694" w:type="dxa"/>
            <w:tcBorders>
              <w:top w:val="single" w:sz="4" w:space="0" w:color="365F91"/>
              <w:bottom w:val="single" w:sz="4" w:space="0" w:color="365F91"/>
            </w:tcBorders>
            <w:shd w:val="clear" w:color="auto" w:fill="365F91"/>
          </w:tcPr>
          <w:p w14:paraId="06AA4B2C" w14:textId="77777777" w:rsidR="007F00E5" w:rsidRPr="00BE78CA" w:rsidRDefault="007F00E5" w:rsidP="00C26084">
            <w:pPr>
              <w:pStyle w:val="TableTextBold"/>
              <w:rPr>
                <w:rFonts w:cs="Calibri"/>
                <w:noProof w:val="0"/>
                <w:color w:val="FFFFFF"/>
                <w:szCs w:val="16"/>
              </w:rPr>
            </w:pPr>
            <w:r w:rsidRPr="00BE78CA">
              <w:rPr>
                <w:rFonts w:cs="Calibri"/>
                <w:noProof w:val="0"/>
                <w:color w:val="FFFFFF"/>
                <w:szCs w:val="16"/>
              </w:rPr>
              <w:t xml:space="preserve">Parameter </w:t>
            </w:r>
          </w:p>
        </w:tc>
        <w:tc>
          <w:tcPr>
            <w:tcW w:w="992" w:type="dxa"/>
            <w:tcBorders>
              <w:top w:val="single" w:sz="4" w:space="0" w:color="365F91"/>
              <w:bottom w:val="single" w:sz="4" w:space="0" w:color="365F91"/>
            </w:tcBorders>
            <w:shd w:val="clear" w:color="auto" w:fill="365F91"/>
          </w:tcPr>
          <w:p w14:paraId="4E127ACD" w14:textId="77777777" w:rsidR="007F00E5" w:rsidRPr="00BE78CA" w:rsidRDefault="007F00E5" w:rsidP="00C26084">
            <w:pPr>
              <w:pStyle w:val="TableTextBold"/>
              <w:rPr>
                <w:rFonts w:cs="Calibri"/>
                <w:noProof w:val="0"/>
                <w:color w:val="FFFFFF"/>
                <w:szCs w:val="16"/>
              </w:rPr>
            </w:pPr>
            <w:r w:rsidRPr="00BE78CA">
              <w:rPr>
                <w:rFonts w:cs="Calibri"/>
                <w:noProof w:val="0"/>
                <w:color w:val="FFFFFF"/>
                <w:szCs w:val="16"/>
              </w:rPr>
              <w:t xml:space="preserve">Values </w:t>
            </w:r>
          </w:p>
        </w:tc>
        <w:tc>
          <w:tcPr>
            <w:tcW w:w="1984" w:type="dxa"/>
            <w:tcBorders>
              <w:top w:val="single" w:sz="4" w:space="0" w:color="365F91"/>
              <w:bottom w:val="single" w:sz="4" w:space="0" w:color="365F91"/>
            </w:tcBorders>
            <w:shd w:val="clear" w:color="auto" w:fill="365F91"/>
          </w:tcPr>
          <w:p w14:paraId="35FDF490" w14:textId="77777777" w:rsidR="007F00E5" w:rsidRPr="00BE78CA" w:rsidRDefault="007F00E5" w:rsidP="00C26084">
            <w:pPr>
              <w:pStyle w:val="TableTextBold"/>
              <w:rPr>
                <w:rFonts w:cs="Calibri"/>
                <w:noProof w:val="0"/>
                <w:color w:val="FFFFFF"/>
                <w:szCs w:val="16"/>
              </w:rPr>
            </w:pPr>
            <w:r w:rsidRPr="00BE78CA">
              <w:rPr>
                <w:rFonts w:cs="Calibri"/>
                <w:noProof w:val="0"/>
                <w:color w:val="FFFFFF"/>
                <w:szCs w:val="16"/>
              </w:rPr>
              <w:t>Source</w:t>
            </w:r>
          </w:p>
        </w:tc>
        <w:tc>
          <w:tcPr>
            <w:tcW w:w="2835" w:type="dxa"/>
            <w:tcBorders>
              <w:top w:val="single" w:sz="4" w:space="0" w:color="365F91"/>
              <w:bottom w:val="single" w:sz="4" w:space="0" w:color="365F91"/>
            </w:tcBorders>
            <w:shd w:val="clear" w:color="auto" w:fill="365F91"/>
          </w:tcPr>
          <w:p w14:paraId="6A9C0AA8" w14:textId="77777777" w:rsidR="007F00E5" w:rsidRPr="00BE78CA" w:rsidRDefault="007F00E5" w:rsidP="00C26084">
            <w:pPr>
              <w:pStyle w:val="TableTextBold"/>
              <w:rPr>
                <w:rFonts w:cs="Calibri"/>
                <w:noProof w:val="0"/>
                <w:color w:val="FFFFFF"/>
                <w:szCs w:val="16"/>
              </w:rPr>
            </w:pPr>
            <w:r w:rsidRPr="00BE78CA">
              <w:rPr>
                <w:rFonts w:cs="Calibri"/>
                <w:noProof w:val="0"/>
                <w:color w:val="FFFFFF"/>
                <w:szCs w:val="16"/>
              </w:rPr>
              <w:t>Reference</w:t>
            </w:r>
          </w:p>
        </w:tc>
      </w:tr>
      <w:tr w:rsidR="007F00E5" w:rsidRPr="00BE78CA" w14:paraId="438B28B4" w14:textId="77777777" w:rsidTr="00902485">
        <w:tc>
          <w:tcPr>
            <w:tcW w:w="2694" w:type="dxa"/>
            <w:tcBorders>
              <w:top w:val="single" w:sz="4" w:space="0" w:color="365F91"/>
              <w:bottom w:val="single" w:sz="4" w:space="0" w:color="365F91"/>
            </w:tcBorders>
          </w:tcPr>
          <w:p w14:paraId="7E5D3B6D" w14:textId="77777777" w:rsidR="007F00E5" w:rsidRPr="00BE78CA" w:rsidRDefault="007F00E5" w:rsidP="00C26084">
            <w:pPr>
              <w:pStyle w:val="TableText"/>
              <w:rPr>
                <w:rFonts w:eastAsia="Calibri" w:cs="Calibri"/>
                <w:szCs w:val="16"/>
              </w:rPr>
            </w:pPr>
            <w:r w:rsidRPr="00BE78CA">
              <w:rPr>
                <w:rFonts w:eastAsia="Calibri" w:cs="Calibri"/>
                <w:szCs w:val="16"/>
              </w:rPr>
              <w:t>Bulk MSW DOC(kt C/kt waste)</w:t>
            </w:r>
          </w:p>
        </w:tc>
        <w:tc>
          <w:tcPr>
            <w:tcW w:w="992" w:type="dxa"/>
            <w:tcBorders>
              <w:top w:val="single" w:sz="4" w:space="0" w:color="365F91"/>
              <w:bottom w:val="single" w:sz="4" w:space="0" w:color="365F91"/>
            </w:tcBorders>
          </w:tcPr>
          <w:p w14:paraId="59BDBA29" w14:textId="77777777" w:rsidR="007F00E5" w:rsidRPr="00BE78CA" w:rsidRDefault="007F00E5" w:rsidP="00C26084">
            <w:pPr>
              <w:pStyle w:val="TableText"/>
              <w:rPr>
                <w:rFonts w:eastAsia="Calibri" w:cs="Calibri"/>
                <w:szCs w:val="16"/>
              </w:rPr>
            </w:pPr>
            <w:r w:rsidRPr="00BE78CA">
              <w:rPr>
                <w:rFonts w:eastAsia="Calibri" w:cs="Calibri"/>
                <w:szCs w:val="16"/>
              </w:rPr>
              <w:t>0.14</w:t>
            </w:r>
          </w:p>
        </w:tc>
        <w:tc>
          <w:tcPr>
            <w:tcW w:w="1984" w:type="dxa"/>
            <w:tcBorders>
              <w:top w:val="single" w:sz="4" w:space="0" w:color="365F91"/>
              <w:bottom w:val="single" w:sz="4" w:space="0" w:color="365F91"/>
            </w:tcBorders>
          </w:tcPr>
          <w:p w14:paraId="5E9B9095" w14:textId="77777777" w:rsidR="007F00E5" w:rsidRPr="00BE78CA" w:rsidRDefault="007F00E5" w:rsidP="00C26084">
            <w:pPr>
              <w:pStyle w:val="TableText"/>
              <w:rPr>
                <w:rFonts w:eastAsia="Calibri" w:cs="Calibri"/>
                <w:szCs w:val="16"/>
              </w:rPr>
            </w:pPr>
            <w:r w:rsidRPr="00BE78CA">
              <w:rPr>
                <w:rFonts w:eastAsia="Calibri" w:cs="Calibri"/>
                <w:szCs w:val="16"/>
              </w:rPr>
              <w:t>IPCC default</w:t>
            </w:r>
          </w:p>
        </w:tc>
        <w:tc>
          <w:tcPr>
            <w:tcW w:w="2835" w:type="dxa"/>
            <w:tcBorders>
              <w:top w:val="single" w:sz="4" w:space="0" w:color="365F91"/>
              <w:bottom w:val="single" w:sz="4" w:space="0" w:color="365F91"/>
            </w:tcBorders>
          </w:tcPr>
          <w:p w14:paraId="11068E3B" w14:textId="77777777" w:rsidR="007F00E5" w:rsidRPr="00BE78CA" w:rsidRDefault="007F00E5" w:rsidP="00C26084">
            <w:pPr>
              <w:pStyle w:val="TableText"/>
              <w:rPr>
                <w:rFonts w:eastAsia="Calibri" w:cs="Calibri"/>
                <w:szCs w:val="16"/>
              </w:rPr>
            </w:pPr>
            <w:r w:rsidRPr="00BE78CA">
              <w:rPr>
                <w:rFonts w:eastAsia="Calibri" w:cs="Calibri"/>
                <w:szCs w:val="16"/>
              </w:rPr>
              <w:t>IPCC, 2006d (worksheets for SWDS)</w:t>
            </w:r>
          </w:p>
        </w:tc>
      </w:tr>
      <w:tr w:rsidR="007F00E5" w:rsidRPr="00BE78CA" w14:paraId="023DB6FC" w14:textId="77777777" w:rsidTr="00902485">
        <w:tc>
          <w:tcPr>
            <w:tcW w:w="2694" w:type="dxa"/>
            <w:tcBorders>
              <w:top w:val="single" w:sz="4" w:space="0" w:color="365F91"/>
              <w:bottom w:val="single" w:sz="4" w:space="0" w:color="365F91"/>
            </w:tcBorders>
          </w:tcPr>
          <w:p w14:paraId="4CA54EDE" w14:textId="77777777" w:rsidR="007F00E5" w:rsidRPr="00BE78CA" w:rsidRDefault="007F00E5" w:rsidP="00C26084">
            <w:pPr>
              <w:pStyle w:val="TableText"/>
              <w:rPr>
                <w:rFonts w:eastAsia="Calibri" w:cs="Calibri"/>
                <w:szCs w:val="16"/>
              </w:rPr>
            </w:pPr>
            <w:r w:rsidRPr="00BE78CA">
              <w:rPr>
                <w:rFonts w:eastAsia="Calibri" w:cs="Calibri"/>
                <w:szCs w:val="16"/>
              </w:rPr>
              <w:t>k-value</w:t>
            </w:r>
          </w:p>
        </w:tc>
        <w:tc>
          <w:tcPr>
            <w:tcW w:w="992" w:type="dxa"/>
            <w:tcBorders>
              <w:top w:val="single" w:sz="4" w:space="0" w:color="365F91"/>
              <w:bottom w:val="single" w:sz="4" w:space="0" w:color="365F91"/>
            </w:tcBorders>
          </w:tcPr>
          <w:p w14:paraId="7CCF6D71" w14:textId="77777777" w:rsidR="007F00E5" w:rsidRPr="00BE78CA" w:rsidRDefault="007F00E5" w:rsidP="00C26084">
            <w:pPr>
              <w:pStyle w:val="TableText"/>
              <w:rPr>
                <w:rFonts w:eastAsia="Calibri" w:cs="Calibri"/>
                <w:szCs w:val="16"/>
              </w:rPr>
            </w:pPr>
            <w:r w:rsidRPr="00BE78CA">
              <w:rPr>
                <w:rFonts w:eastAsia="Calibri" w:cs="Calibri"/>
                <w:szCs w:val="16"/>
              </w:rPr>
              <w:t>0.17</w:t>
            </w:r>
          </w:p>
        </w:tc>
        <w:tc>
          <w:tcPr>
            <w:tcW w:w="1984" w:type="dxa"/>
            <w:tcBorders>
              <w:top w:val="single" w:sz="4" w:space="0" w:color="365F91"/>
              <w:bottom w:val="single" w:sz="4" w:space="0" w:color="365F91"/>
            </w:tcBorders>
          </w:tcPr>
          <w:p w14:paraId="3CA67D3D" w14:textId="77777777" w:rsidR="007F00E5" w:rsidRPr="00BE78CA" w:rsidRDefault="007F00E5" w:rsidP="00C26084">
            <w:pPr>
              <w:pStyle w:val="TableText"/>
              <w:rPr>
                <w:rFonts w:eastAsia="Calibri" w:cs="Calibri"/>
                <w:szCs w:val="16"/>
              </w:rPr>
            </w:pPr>
            <w:r w:rsidRPr="00BE78CA">
              <w:rPr>
                <w:rFonts w:eastAsia="Calibri" w:cs="Calibri"/>
                <w:szCs w:val="16"/>
              </w:rPr>
              <w:t>IPCC default</w:t>
            </w:r>
          </w:p>
        </w:tc>
        <w:tc>
          <w:tcPr>
            <w:tcW w:w="2835" w:type="dxa"/>
            <w:tcBorders>
              <w:top w:val="single" w:sz="4" w:space="0" w:color="365F91"/>
              <w:bottom w:val="single" w:sz="4" w:space="0" w:color="365F91"/>
            </w:tcBorders>
          </w:tcPr>
          <w:p w14:paraId="5A1F6A4B" w14:textId="77777777" w:rsidR="007F00E5" w:rsidRPr="00BE78CA" w:rsidRDefault="007F00E5" w:rsidP="00C26084">
            <w:pPr>
              <w:pStyle w:val="TableText"/>
              <w:rPr>
                <w:rFonts w:eastAsia="Calibri" w:cs="Calibri"/>
                <w:szCs w:val="16"/>
              </w:rPr>
            </w:pPr>
            <w:r w:rsidRPr="00BE78CA">
              <w:rPr>
                <w:rFonts w:eastAsia="Calibri" w:cs="Calibri"/>
                <w:szCs w:val="16"/>
              </w:rPr>
              <w:t>Table 3.2, IPCC, 2006d</w:t>
            </w:r>
          </w:p>
        </w:tc>
      </w:tr>
      <w:tr w:rsidR="007F00E5" w:rsidRPr="00BE78CA" w14:paraId="65961A79" w14:textId="77777777" w:rsidTr="00902485">
        <w:tc>
          <w:tcPr>
            <w:tcW w:w="2694" w:type="dxa"/>
            <w:tcBorders>
              <w:top w:val="single" w:sz="4" w:space="0" w:color="365F91"/>
              <w:bottom w:val="single" w:sz="4" w:space="0" w:color="365F91"/>
            </w:tcBorders>
          </w:tcPr>
          <w:p w14:paraId="14A19F11" w14:textId="77777777" w:rsidR="007F00E5" w:rsidRPr="00BE78CA" w:rsidRDefault="007F00E5" w:rsidP="00C26084">
            <w:pPr>
              <w:pStyle w:val="TableText"/>
              <w:rPr>
                <w:rFonts w:eastAsia="Calibri" w:cs="Calibri"/>
                <w:szCs w:val="16"/>
              </w:rPr>
            </w:pPr>
            <w:r w:rsidRPr="00BE78CA">
              <w:rPr>
                <w:rFonts w:eastAsia="Calibri" w:cs="Calibri"/>
                <w:szCs w:val="16"/>
              </w:rPr>
              <w:t>Methane correction factor</w:t>
            </w:r>
          </w:p>
        </w:tc>
        <w:tc>
          <w:tcPr>
            <w:tcW w:w="992" w:type="dxa"/>
            <w:tcBorders>
              <w:top w:val="single" w:sz="4" w:space="0" w:color="365F91"/>
              <w:bottom w:val="single" w:sz="4" w:space="0" w:color="365F91"/>
            </w:tcBorders>
          </w:tcPr>
          <w:p w14:paraId="17600787" w14:textId="77777777" w:rsidR="007F00E5" w:rsidRPr="00BE78CA" w:rsidRDefault="007F00E5" w:rsidP="00C26084">
            <w:pPr>
              <w:pStyle w:val="TableText"/>
              <w:rPr>
                <w:rFonts w:eastAsia="Calibri" w:cs="Calibri"/>
                <w:szCs w:val="16"/>
              </w:rPr>
            </w:pPr>
            <w:r w:rsidRPr="00BE78CA">
              <w:rPr>
                <w:rFonts w:eastAsia="Calibri" w:cs="Calibri"/>
                <w:szCs w:val="16"/>
              </w:rPr>
              <w:t>0.6</w:t>
            </w:r>
          </w:p>
        </w:tc>
        <w:tc>
          <w:tcPr>
            <w:tcW w:w="1984" w:type="dxa"/>
            <w:tcBorders>
              <w:top w:val="single" w:sz="4" w:space="0" w:color="365F91"/>
              <w:bottom w:val="single" w:sz="4" w:space="0" w:color="365F91"/>
            </w:tcBorders>
          </w:tcPr>
          <w:p w14:paraId="5A0D80EF" w14:textId="77777777" w:rsidR="007F00E5" w:rsidRPr="00BE78CA" w:rsidRDefault="007F00E5" w:rsidP="00C26084">
            <w:pPr>
              <w:pStyle w:val="TableText"/>
              <w:rPr>
                <w:rFonts w:eastAsia="Calibri" w:cs="Calibri"/>
                <w:szCs w:val="16"/>
              </w:rPr>
            </w:pPr>
            <w:r w:rsidRPr="00BE78CA">
              <w:rPr>
                <w:rFonts w:eastAsia="Calibri" w:cs="Calibri"/>
                <w:szCs w:val="16"/>
              </w:rPr>
              <w:t>IPCC default</w:t>
            </w:r>
          </w:p>
        </w:tc>
        <w:tc>
          <w:tcPr>
            <w:tcW w:w="2835" w:type="dxa"/>
            <w:tcBorders>
              <w:top w:val="single" w:sz="4" w:space="0" w:color="365F91"/>
              <w:bottom w:val="single" w:sz="4" w:space="0" w:color="365F91"/>
            </w:tcBorders>
          </w:tcPr>
          <w:p w14:paraId="5318482F" w14:textId="77777777" w:rsidR="007F00E5" w:rsidRPr="00BE78CA" w:rsidRDefault="007F00E5" w:rsidP="00C26084">
            <w:pPr>
              <w:pStyle w:val="TableText"/>
              <w:rPr>
                <w:rFonts w:eastAsia="Calibri" w:cs="Calibri"/>
                <w:szCs w:val="16"/>
              </w:rPr>
            </w:pPr>
            <w:r w:rsidRPr="00BE78CA">
              <w:rPr>
                <w:rFonts w:eastAsia="Calibri" w:cs="Calibri"/>
                <w:szCs w:val="16"/>
              </w:rPr>
              <w:t>Table 3.1, IPCC, 2006d</w:t>
            </w:r>
          </w:p>
        </w:tc>
      </w:tr>
      <w:tr w:rsidR="007F00E5" w:rsidRPr="00BE78CA" w14:paraId="7C1B0FB3" w14:textId="77777777" w:rsidTr="00902485">
        <w:tc>
          <w:tcPr>
            <w:tcW w:w="2694" w:type="dxa"/>
            <w:tcBorders>
              <w:top w:val="single" w:sz="4" w:space="0" w:color="365F91"/>
              <w:bottom w:val="single" w:sz="4" w:space="0" w:color="365F91"/>
            </w:tcBorders>
          </w:tcPr>
          <w:p w14:paraId="4A828745" w14:textId="77777777" w:rsidR="007F00E5" w:rsidRPr="00BE78CA" w:rsidRDefault="007F00E5" w:rsidP="00C26084">
            <w:pPr>
              <w:pStyle w:val="TableText"/>
              <w:rPr>
                <w:rFonts w:eastAsia="Calibri" w:cs="Calibri"/>
                <w:szCs w:val="16"/>
              </w:rPr>
            </w:pPr>
            <w:r w:rsidRPr="00BE78CA">
              <w:rPr>
                <w:rFonts w:eastAsia="Calibri" w:cs="Calibri"/>
                <w:szCs w:val="16"/>
              </w:rPr>
              <w:t>Oxidation factor</w:t>
            </w:r>
          </w:p>
        </w:tc>
        <w:tc>
          <w:tcPr>
            <w:tcW w:w="992" w:type="dxa"/>
            <w:tcBorders>
              <w:top w:val="single" w:sz="4" w:space="0" w:color="365F91"/>
              <w:bottom w:val="single" w:sz="4" w:space="0" w:color="365F91"/>
            </w:tcBorders>
          </w:tcPr>
          <w:p w14:paraId="0C8C50D0" w14:textId="77777777" w:rsidR="007F00E5" w:rsidRPr="00BE78CA" w:rsidRDefault="007F00E5" w:rsidP="00C26084">
            <w:pPr>
              <w:pStyle w:val="TableText"/>
              <w:rPr>
                <w:rFonts w:eastAsia="Calibri" w:cs="Calibri"/>
                <w:szCs w:val="16"/>
              </w:rPr>
            </w:pPr>
            <w:r w:rsidRPr="00BE78CA">
              <w:rPr>
                <w:rFonts w:eastAsia="Calibri" w:cs="Calibri"/>
                <w:szCs w:val="16"/>
              </w:rPr>
              <w:t>0 per cent</w:t>
            </w:r>
          </w:p>
        </w:tc>
        <w:tc>
          <w:tcPr>
            <w:tcW w:w="1984" w:type="dxa"/>
            <w:tcBorders>
              <w:top w:val="single" w:sz="4" w:space="0" w:color="365F91"/>
              <w:bottom w:val="single" w:sz="4" w:space="0" w:color="365F91"/>
            </w:tcBorders>
          </w:tcPr>
          <w:p w14:paraId="7E0500DE" w14:textId="77777777" w:rsidR="007F00E5" w:rsidRPr="00BE78CA" w:rsidRDefault="007F00E5" w:rsidP="00C26084">
            <w:pPr>
              <w:pStyle w:val="TableText"/>
              <w:rPr>
                <w:rFonts w:eastAsia="Calibri" w:cs="Calibri"/>
                <w:szCs w:val="16"/>
              </w:rPr>
            </w:pPr>
            <w:r w:rsidRPr="00BE78CA">
              <w:rPr>
                <w:rFonts w:eastAsia="Calibri" w:cs="Calibri"/>
                <w:szCs w:val="16"/>
              </w:rPr>
              <w:t>IPCC default</w:t>
            </w:r>
          </w:p>
        </w:tc>
        <w:tc>
          <w:tcPr>
            <w:tcW w:w="2835" w:type="dxa"/>
            <w:tcBorders>
              <w:top w:val="single" w:sz="4" w:space="0" w:color="365F91"/>
              <w:bottom w:val="single" w:sz="4" w:space="0" w:color="365F91"/>
            </w:tcBorders>
          </w:tcPr>
          <w:p w14:paraId="20FF4587" w14:textId="77777777" w:rsidR="007F00E5" w:rsidRPr="00BE78CA" w:rsidRDefault="007F00E5" w:rsidP="00C26084">
            <w:pPr>
              <w:pStyle w:val="TableText"/>
              <w:rPr>
                <w:rFonts w:eastAsia="Calibri" w:cs="Calibri"/>
                <w:szCs w:val="16"/>
              </w:rPr>
            </w:pPr>
            <w:r w:rsidRPr="00BE78CA">
              <w:rPr>
                <w:rFonts w:eastAsia="Calibri" w:cs="Calibri"/>
                <w:szCs w:val="16"/>
              </w:rPr>
              <w:t>Table 3.2, IPCC, 2006d</w:t>
            </w:r>
          </w:p>
        </w:tc>
      </w:tr>
      <w:tr w:rsidR="007F00E5" w:rsidRPr="00BE78CA" w14:paraId="244D0326" w14:textId="77777777" w:rsidTr="00902485">
        <w:tc>
          <w:tcPr>
            <w:tcW w:w="2694" w:type="dxa"/>
            <w:tcBorders>
              <w:top w:val="single" w:sz="4" w:space="0" w:color="365F91"/>
              <w:bottom w:val="single" w:sz="4" w:space="0" w:color="365F91"/>
            </w:tcBorders>
          </w:tcPr>
          <w:p w14:paraId="3536470E" w14:textId="77777777" w:rsidR="007F00E5" w:rsidRPr="00BE78CA" w:rsidRDefault="007F00E5" w:rsidP="00C26084">
            <w:pPr>
              <w:pStyle w:val="TableText"/>
              <w:rPr>
                <w:rFonts w:eastAsia="Calibri" w:cs="Calibri"/>
                <w:szCs w:val="16"/>
              </w:rPr>
            </w:pPr>
            <w:r w:rsidRPr="00BE78CA">
              <w:rPr>
                <w:rFonts w:eastAsia="Calibri" w:cs="Calibri"/>
                <w:szCs w:val="16"/>
              </w:rPr>
              <w:t>Starting year</w:t>
            </w:r>
          </w:p>
        </w:tc>
        <w:tc>
          <w:tcPr>
            <w:tcW w:w="992" w:type="dxa"/>
            <w:tcBorders>
              <w:top w:val="single" w:sz="4" w:space="0" w:color="365F91"/>
              <w:bottom w:val="single" w:sz="4" w:space="0" w:color="365F91"/>
            </w:tcBorders>
          </w:tcPr>
          <w:p w14:paraId="7E50B5D4" w14:textId="77777777" w:rsidR="007F00E5" w:rsidRPr="00BE78CA" w:rsidRDefault="007F00E5" w:rsidP="00C26084">
            <w:pPr>
              <w:pStyle w:val="TableText"/>
              <w:rPr>
                <w:rFonts w:eastAsia="Calibri" w:cs="Calibri"/>
                <w:szCs w:val="16"/>
              </w:rPr>
            </w:pPr>
            <w:r w:rsidRPr="00BE78CA">
              <w:rPr>
                <w:rFonts w:eastAsia="Calibri" w:cs="Calibri"/>
                <w:szCs w:val="16"/>
              </w:rPr>
              <w:t>1950</w:t>
            </w:r>
          </w:p>
        </w:tc>
        <w:tc>
          <w:tcPr>
            <w:tcW w:w="1984" w:type="dxa"/>
            <w:tcBorders>
              <w:top w:val="single" w:sz="4" w:space="0" w:color="365F91"/>
              <w:bottom w:val="single" w:sz="4" w:space="0" w:color="365F91"/>
            </w:tcBorders>
          </w:tcPr>
          <w:p w14:paraId="795C8CBC" w14:textId="77777777" w:rsidR="007F00E5" w:rsidRPr="00BE78CA" w:rsidRDefault="007F00E5" w:rsidP="00C26084">
            <w:pPr>
              <w:pStyle w:val="TableText"/>
              <w:rPr>
                <w:rFonts w:eastAsia="Calibri" w:cs="Calibri"/>
                <w:szCs w:val="16"/>
              </w:rPr>
            </w:pPr>
            <w:r w:rsidRPr="00BE78CA">
              <w:rPr>
                <w:rFonts w:eastAsia="Calibri" w:cs="Calibri"/>
                <w:szCs w:val="16"/>
              </w:rPr>
              <w:t>IPCC default</w:t>
            </w:r>
          </w:p>
        </w:tc>
        <w:tc>
          <w:tcPr>
            <w:tcW w:w="2835" w:type="dxa"/>
            <w:tcBorders>
              <w:top w:val="single" w:sz="4" w:space="0" w:color="365F91"/>
              <w:bottom w:val="single" w:sz="4" w:space="0" w:color="365F91"/>
            </w:tcBorders>
          </w:tcPr>
          <w:p w14:paraId="6E8FF8E9" w14:textId="77777777" w:rsidR="007F00E5" w:rsidRPr="00BE78CA" w:rsidRDefault="007F00E5" w:rsidP="00C26084">
            <w:pPr>
              <w:pStyle w:val="TableText"/>
              <w:rPr>
                <w:rFonts w:eastAsia="Calibri" w:cs="Calibri"/>
                <w:szCs w:val="16"/>
              </w:rPr>
            </w:pPr>
            <w:r w:rsidRPr="00BE78CA">
              <w:rPr>
                <w:rFonts w:eastAsia="Calibri" w:cs="Calibri"/>
                <w:szCs w:val="16"/>
              </w:rPr>
              <w:t>Section 3.6, p 3.24, IPCC, 2006d</w:t>
            </w:r>
          </w:p>
        </w:tc>
      </w:tr>
      <w:tr w:rsidR="007F00E5" w:rsidRPr="00BE78CA" w14:paraId="3776D6E5" w14:textId="77777777" w:rsidTr="00902485">
        <w:tc>
          <w:tcPr>
            <w:tcW w:w="2694" w:type="dxa"/>
            <w:tcBorders>
              <w:top w:val="single" w:sz="4" w:space="0" w:color="365F91"/>
              <w:bottom w:val="single" w:sz="4" w:space="0" w:color="365F91"/>
            </w:tcBorders>
          </w:tcPr>
          <w:p w14:paraId="397E9010" w14:textId="77777777" w:rsidR="007F00E5" w:rsidRPr="00BE78CA" w:rsidRDefault="007F00E5" w:rsidP="00C26084">
            <w:pPr>
              <w:pStyle w:val="TableText"/>
              <w:rPr>
                <w:rFonts w:eastAsia="Calibri" w:cs="Calibri"/>
                <w:szCs w:val="16"/>
              </w:rPr>
            </w:pPr>
            <w:r w:rsidRPr="00BE78CA">
              <w:rPr>
                <w:rFonts w:eastAsia="Calibri" w:cs="Calibri"/>
                <w:szCs w:val="16"/>
              </w:rPr>
              <w:t>Delay time</w:t>
            </w:r>
          </w:p>
        </w:tc>
        <w:tc>
          <w:tcPr>
            <w:tcW w:w="992" w:type="dxa"/>
            <w:tcBorders>
              <w:top w:val="single" w:sz="4" w:space="0" w:color="365F91"/>
              <w:bottom w:val="single" w:sz="4" w:space="0" w:color="365F91"/>
            </w:tcBorders>
          </w:tcPr>
          <w:p w14:paraId="476985B0" w14:textId="77777777" w:rsidR="007F00E5" w:rsidRPr="00BE78CA" w:rsidRDefault="007F00E5" w:rsidP="00C26084">
            <w:pPr>
              <w:pStyle w:val="TableText"/>
              <w:rPr>
                <w:rFonts w:eastAsia="Calibri" w:cs="Calibri"/>
                <w:szCs w:val="16"/>
              </w:rPr>
            </w:pPr>
            <w:r w:rsidRPr="00BE78CA">
              <w:rPr>
                <w:rFonts w:eastAsia="Calibri" w:cs="Calibri"/>
                <w:szCs w:val="16"/>
              </w:rPr>
              <w:t>6 months</w:t>
            </w:r>
          </w:p>
        </w:tc>
        <w:tc>
          <w:tcPr>
            <w:tcW w:w="1984" w:type="dxa"/>
            <w:tcBorders>
              <w:top w:val="single" w:sz="4" w:space="0" w:color="365F91"/>
              <w:bottom w:val="single" w:sz="4" w:space="0" w:color="365F91"/>
            </w:tcBorders>
          </w:tcPr>
          <w:p w14:paraId="363A7C8B" w14:textId="77777777" w:rsidR="007F00E5" w:rsidRPr="00BE78CA" w:rsidRDefault="007F00E5" w:rsidP="00C26084">
            <w:pPr>
              <w:pStyle w:val="TableText"/>
              <w:rPr>
                <w:rFonts w:eastAsia="Calibri" w:cs="Calibri"/>
                <w:szCs w:val="16"/>
              </w:rPr>
            </w:pPr>
            <w:r w:rsidRPr="00BE78CA">
              <w:rPr>
                <w:rFonts w:eastAsia="Calibri" w:cs="Calibri"/>
                <w:szCs w:val="16"/>
              </w:rPr>
              <w:t>IPCC default</w:t>
            </w:r>
          </w:p>
        </w:tc>
        <w:tc>
          <w:tcPr>
            <w:tcW w:w="2835" w:type="dxa"/>
            <w:tcBorders>
              <w:top w:val="single" w:sz="4" w:space="0" w:color="365F91"/>
              <w:bottom w:val="single" w:sz="4" w:space="0" w:color="365F91"/>
            </w:tcBorders>
          </w:tcPr>
          <w:p w14:paraId="7CC89E89" w14:textId="77777777" w:rsidR="007F00E5" w:rsidRPr="00BE78CA" w:rsidRDefault="007F00E5" w:rsidP="00C26084">
            <w:pPr>
              <w:pStyle w:val="TableText"/>
              <w:rPr>
                <w:rFonts w:eastAsia="Calibri" w:cs="Calibri"/>
                <w:szCs w:val="16"/>
              </w:rPr>
            </w:pPr>
            <w:r w:rsidRPr="00BE78CA">
              <w:rPr>
                <w:rFonts w:eastAsia="Calibri" w:cs="Calibri"/>
                <w:szCs w:val="16"/>
              </w:rPr>
              <w:t>Section 3.2.3, p 3.19, IPCC, 2006d</w:t>
            </w:r>
          </w:p>
        </w:tc>
      </w:tr>
      <w:tr w:rsidR="007F00E5" w:rsidRPr="00BE78CA" w14:paraId="71125894" w14:textId="77777777" w:rsidTr="00902485">
        <w:tc>
          <w:tcPr>
            <w:tcW w:w="2694" w:type="dxa"/>
            <w:tcBorders>
              <w:top w:val="single" w:sz="4" w:space="0" w:color="365F91"/>
              <w:bottom w:val="single" w:sz="4" w:space="0" w:color="365F91"/>
            </w:tcBorders>
          </w:tcPr>
          <w:p w14:paraId="651EE309" w14:textId="77777777" w:rsidR="007F00E5" w:rsidRPr="00BE78CA" w:rsidRDefault="007F00E5" w:rsidP="00C26084">
            <w:pPr>
              <w:pStyle w:val="TableText"/>
              <w:rPr>
                <w:rFonts w:eastAsia="Calibri" w:cs="Calibri"/>
                <w:szCs w:val="16"/>
              </w:rPr>
            </w:pPr>
            <w:r w:rsidRPr="00BE78CA">
              <w:rPr>
                <w:rFonts w:eastAsia="Calibri" w:cs="Calibri"/>
                <w:szCs w:val="16"/>
              </w:rPr>
              <w:t>Fraction of DOC that decomposes</w:t>
            </w:r>
          </w:p>
        </w:tc>
        <w:tc>
          <w:tcPr>
            <w:tcW w:w="992" w:type="dxa"/>
            <w:tcBorders>
              <w:top w:val="single" w:sz="4" w:space="0" w:color="365F91"/>
              <w:bottom w:val="single" w:sz="4" w:space="0" w:color="365F91"/>
            </w:tcBorders>
          </w:tcPr>
          <w:p w14:paraId="6CF8B3EC" w14:textId="77777777" w:rsidR="007F00E5" w:rsidRPr="00BE78CA" w:rsidRDefault="007F00E5" w:rsidP="00C26084">
            <w:pPr>
              <w:pStyle w:val="TableText"/>
              <w:rPr>
                <w:rFonts w:eastAsia="Calibri" w:cs="Calibri"/>
                <w:szCs w:val="16"/>
              </w:rPr>
            </w:pPr>
            <w:r w:rsidRPr="00BE78CA">
              <w:rPr>
                <w:rFonts w:eastAsia="Calibri" w:cs="Calibri"/>
                <w:szCs w:val="16"/>
              </w:rPr>
              <w:t>0.5</w:t>
            </w:r>
          </w:p>
        </w:tc>
        <w:tc>
          <w:tcPr>
            <w:tcW w:w="1984" w:type="dxa"/>
            <w:tcBorders>
              <w:top w:val="single" w:sz="4" w:space="0" w:color="365F91"/>
              <w:bottom w:val="single" w:sz="4" w:space="0" w:color="365F91"/>
            </w:tcBorders>
          </w:tcPr>
          <w:p w14:paraId="1C1B54E8" w14:textId="77777777" w:rsidR="007F00E5" w:rsidRPr="00BE78CA" w:rsidRDefault="007F00E5" w:rsidP="00C26084">
            <w:pPr>
              <w:pStyle w:val="TableText"/>
              <w:rPr>
                <w:rFonts w:eastAsia="Calibri" w:cs="Calibri"/>
                <w:szCs w:val="16"/>
              </w:rPr>
            </w:pPr>
            <w:r w:rsidRPr="00BE78CA">
              <w:rPr>
                <w:rFonts w:eastAsia="Calibri" w:cs="Calibri"/>
                <w:szCs w:val="16"/>
              </w:rPr>
              <w:t>IPCC default</w:t>
            </w:r>
          </w:p>
        </w:tc>
        <w:tc>
          <w:tcPr>
            <w:tcW w:w="2835" w:type="dxa"/>
            <w:tcBorders>
              <w:top w:val="single" w:sz="4" w:space="0" w:color="365F91"/>
              <w:bottom w:val="single" w:sz="4" w:space="0" w:color="365F91"/>
            </w:tcBorders>
          </w:tcPr>
          <w:p w14:paraId="5F94F89C" w14:textId="77777777" w:rsidR="007F00E5" w:rsidRPr="00BE78CA" w:rsidRDefault="007F00E5" w:rsidP="00C26084">
            <w:pPr>
              <w:pStyle w:val="TableText"/>
              <w:rPr>
                <w:rFonts w:eastAsia="Calibri" w:cs="Calibri"/>
                <w:szCs w:val="16"/>
              </w:rPr>
            </w:pPr>
            <w:r w:rsidRPr="00BE78CA">
              <w:rPr>
                <w:rFonts w:eastAsia="Calibri" w:cs="Calibri"/>
                <w:szCs w:val="16"/>
              </w:rPr>
              <w:t>Section 3.2.3, p 3.13, IPCC, 2006d</w:t>
            </w:r>
          </w:p>
        </w:tc>
      </w:tr>
      <w:tr w:rsidR="007F00E5" w:rsidRPr="00BE78CA" w14:paraId="439C07E8" w14:textId="77777777" w:rsidTr="00902485">
        <w:tc>
          <w:tcPr>
            <w:tcW w:w="2694" w:type="dxa"/>
            <w:tcBorders>
              <w:top w:val="single" w:sz="4" w:space="0" w:color="365F91"/>
              <w:bottom w:val="single" w:sz="4" w:space="0" w:color="365F91"/>
            </w:tcBorders>
          </w:tcPr>
          <w:p w14:paraId="67DD12C9" w14:textId="77777777" w:rsidR="007F00E5" w:rsidRPr="00BE78CA" w:rsidRDefault="007F00E5" w:rsidP="00C26084">
            <w:pPr>
              <w:pStyle w:val="TableText"/>
              <w:rPr>
                <w:rFonts w:eastAsia="Calibri" w:cs="Calibri"/>
                <w:szCs w:val="16"/>
              </w:rPr>
            </w:pPr>
            <w:r w:rsidRPr="00BE78CA">
              <w:rPr>
                <w:rFonts w:eastAsia="Calibri" w:cs="Calibri"/>
                <w:szCs w:val="16"/>
              </w:rPr>
              <w:t>Fraction of CH</w:t>
            </w:r>
            <w:r w:rsidRPr="00BE78CA">
              <w:rPr>
                <w:rFonts w:eastAsia="Calibri" w:cs="Calibri"/>
                <w:szCs w:val="16"/>
                <w:vertAlign w:val="subscript"/>
              </w:rPr>
              <w:t>4</w:t>
            </w:r>
            <w:r w:rsidRPr="00BE78CA">
              <w:rPr>
                <w:rFonts w:eastAsia="Calibri" w:cs="Calibri"/>
                <w:szCs w:val="16"/>
              </w:rPr>
              <w:t xml:space="preserve"> in gas</w:t>
            </w:r>
          </w:p>
        </w:tc>
        <w:tc>
          <w:tcPr>
            <w:tcW w:w="992" w:type="dxa"/>
            <w:tcBorders>
              <w:top w:val="single" w:sz="4" w:space="0" w:color="365F91"/>
              <w:bottom w:val="single" w:sz="4" w:space="0" w:color="365F91"/>
            </w:tcBorders>
          </w:tcPr>
          <w:p w14:paraId="27268DF3" w14:textId="77777777" w:rsidR="007F00E5" w:rsidRPr="00BE78CA" w:rsidRDefault="007F00E5" w:rsidP="00C26084">
            <w:pPr>
              <w:pStyle w:val="TableText"/>
              <w:rPr>
                <w:rFonts w:eastAsia="Calibri" w:cs="Calibri"/>
                <w:szCs w:val="16"/>
              </w:rPr>
            </w:pPr>
            <w:r w:rsidRPr="00BE78CA">
              <w:rPr>
                <w:rFonts w:eastAsia="Calibri" w:cs="Calibri"/>
                <w:szCs w:val="16"/>
              </w:rPr>
              <w:t>0.5</w:t>
            </w:r>
          </w:p>
        </w:tc>
        <w:tc>
          <w:tcPr>
            <w:tcW w:w="1984" w:type="dxa"/>
            <w:tcBorders>
              <w:top w:val="single" w:sz="4" w:space="0" w:color="365F91"/>
              <w:bottom w:val="single" w:sz="4" w:space="0" w:color="365F91"/>
            </w:tcBorders>
          </w:tcPr>
          <w:p w14:paraId="0D207075" w14:textId="77777777" w:rsidR="007F00E5" w:rsidRPr="00BE78CA" w:rsidRDefault="007F00E5" w:rsidP="00C26084">
            <w:pPr>
              <w:pStyle w:val="TableText"/>
              <w:rPr>
                <w:rFonts w:eastAsia="Calibri" w:cs="Calibri"/>
                <w:szCs w:val="16"/>
              </w:rPr>
            </w:pPr>
            <w:r w:rsidRPr="00BE78CA">
              <w:rPr>
                <w:rFonts w:eastAsia="Calibri" w:cs="Calibri"/>
                <w:szCs w:val="16"/>
              </w:rPr>
              <w:t>IPCC default</w:t>
            </w:r>
          </w:p>
        </w:tc>
        <w:tc>
          <w:tcPr>
            <w:tcW w:w="2835" w:type="dxa"/>
            <w:tcBorders>
              <w:top w:val="single" w:sz="4" w:space="0" w:color="365F91"/>
              <w:bottom w:val="single" w:sz="4" w:space="0" w:color="365F91"/>
            </w:tcBorders>
          </w:tcPr>
          <w:p w14:paraId="3086EF6D" w14:textId="77777777" w:rsidR="007F00E5" w:rsidRPr="00BE78CA" w:rsidRDefault="007F00E5" w:rsidP="00C26084">
            <w:pPr>
              <w:pStyle w:val="TableText"/>
              <w:rPr>
                <w:rFonts w:eastAsia="Calibri" w:cs="Calibri"/>
                <w:szCs w:val="16"/>
              </w:rPr>
            </w:pPr>
            <w:r w:rsidRPr="00BE78CA">
              <w:rPr>
                <w:rFonts w:eastAsia="Calibri" w:cs="Calibri"/>
                <w:szCs w:val="16"/>
              </w:rPr>
              <w:t>Section 3.2.3, p 3.15, IPCC, 2006d</w:t>
            </w:r>
          </w:p>
        </w:tc>
      </w:tr>
      <w:tr w:rsidR="007F00E5" w:rsidRPr="00BE78CA" w14:paraId="43DD8ADD" w14:textId="77777777" w:rsidTr="00902485">
        <w:tc>
          <w:tcPr>
            <w:tcW w:w="2694" w:type="dxa"/>
            <w:tcBorders>
              <w:top w:val="single" w:sz="4" w:space="0" w:color="365F91"/>
              <w:bottom w:val="single" w:sz="4" w:space="0" w:color="365F91"/>
            </w:tcBorders>
          </w:tcPr>
          <w:p w14:paraId="53E82AEB" w14:textId="77777777" w:rsidR="007F00E5" w:rsidRPr="00BE78CA" w:rsidRDefault="007F00E5" w:rsidP="00C26084">
            <w:pPr>
              <w:pStyle w:val="TableText"/>
              <w:rPr>
                <w:rFonts w:eastAsia="Calibri" w:cs="Calibri"/>
                <w:szCs w:val="16"/>
              </w:rPr>
            </w:pPr>
            <w:r w:rsidRPr="00BE78CA">
              <w:rPr>
                <w:rFonts w:eastAsia="Calibri" w:cs="Calibri"/>
                <w:szCs w:val="16"/>
              </w:rPr>
              <w:t>Amount of waste per person per year</w:t>
            </w:r>
          </w:p>
        </w:tc>
        <w:tc>
          <w:tcPr>
            <w:tcW w:w="992" w:type="dxa"/>
            <w:tcBorders>
              <w:top w:val="single" w:sz="4" w:space="0" w:color="365F91"/>
              <w:bottom w:val="single" w:sz="4" w:space="0" w:color="365F91"/>
            </w:tcBorders>
          </w:tcPr>
          <w:p w14:paraId="0CC358D5" w14:textId="77777777" w:rsidR="007F00E5" w:rsidRPr="00BE78CA" w:rsidRDefault="007F00E5" w:rsidP="00C26084">
            <w:pPr>
              <w:pStyle w:val="TableText"/>
              <w:rPr>
                <w:rFonts w:eastAsia="Calibri" w:cs="Calibri"/>
                <w:szCs w:val="16"/>
              </w:rPr>
            </w:pPr>
            <w:r w:rsidRPr="00BE78CA">
              <w:rPr>
                <w:rFonts w:eastAsia="Calibri" w:cs="Calibri"/>
                <w:szCs w:val="16"/>
              </w:rPr>
              <w:t>690 kg</w:t>
            </w:r>
          </w:p>
        </w:tc>
        <w:tc>
          <w:tcPr>
            <w:tcW w:w="1984" w:type="dxa"/>
            <w:tcBorders>
              <w:top w:val="single" w:sz="4" w:space="0" w:color="365F91"/>
              <w:bottom w:val="single" w:sz="4" w:space="0" w:color="365F91"/>
            </w:tcBorders>
          </w:tcPr>
          <w:p w14:paraId="3D33A697" w14:textId="77777777" w:rsidR="007F00E5" w:rsidRPr="00BE78CA" w:rsidRDefault="007F00E5" w:rsidP="00C26084">
            <w:pPr>
              <w:pStyle w:val="TableText"/>
              <w:rPr>
                <w:rFonts w:eastAsia="Calibri" w:cs="Calibri"/>
                <w:szCs w:val="16"/>
              </w:rPr>
            </w:pPr>
            <w:r w:rsidRPr="00BE78CA">
              <w:rPr>
                <w:rFonts w:eastAsia="Calibri" w:cs="Calibri"/>
                <w:szCs w:val="16"/>
              </w:rPr>
              <w:t>IPCC default for Oceania</w:t>
            </w:r>
          </w:p>
        </w:tc>
        <w:tc>
          <w:tcPr>
            <w:tcW w:w="2835" w:type="dxa"/>
            <w:tcBorders>
              <w:top w:val="single" w:sz="4" w:space="0" w:color="365F91"/>
              <w:bottom w:val="single" w:sz="4" w:space="0" w:color="365F91"/>
            </w:tcBorders>
          </w:tcPr>
          <w:p w14:paraId="018AC613" w14:textId="77777777" w:rsidR="007F00E5" w:rsidRPr="00BE78CA" w:rsidRDefault="007F00E5" w:rsidP="00C26084">
            <w:pPr>
              <w:pStyle w:val="TableText"/>
              <w:rPr>
                <w:rFonts w:eastAsia="Calibri" w:cs="Calibri"/>
                <w:szCs w:val="16"/>
              </w:rPr>
            </w:pPr>
            <w:r w:rsidRPr="00BE78CA">
              <w:rPr>
                <w:rFonts w:eastAsia="Calibri" w:cs="Calibri"/>
                <w:szCs w:val="16"/>
              </w:rPr>
              <w:t xml:space="preserve">Annex 2A.1, IPCC, 2006d </w:t>
            </w:r>
          </w:p>
        </w:tc>
      </w:tr>
      <w:tr w:rsidR="007F00E5" w:rsidRPr="00BE78CA" w14:paraId="56B0EB3F" w14:textId="77777777" w:rsidTr="00902485">
        <w:tc>
          <w:tcPr>
            <w:tcW w:w="2694" w:type="dxa"/>
            <w:tcBorders>
              <w:top w:val="single" w:sz="4" w:space="0" w:color="365F91"/>
              <w:bottom w:val="single" w:sz="4" w:space="0" w:color="365F91"/>
            </w:tcBorders>
          </w:tcPr>
          <w:p w14:paraId="25251076" w14:textId="77777777" w:rsidR="007F00E5" w:rsidRPr="00BE78CA" w:rsidRDefault="007F00E5" w:rsidP="00C26084">
            <w:pPr>
              <w:pStyle w:val="TableText"/>
              <w:rPr>
                <w:rFonts w:eastAsia="Calibri" w:cs="Calibri"/>
                <w:szCs w:val="16"/>
              </w:rPr>
            </w:pPr>
            <w:r w:rsidRPr="00BE78CA">
              <w:rPr>
                <w:rFonts w:eastAsia="Calibri" w:cs="Calibri"/>
                <w:szCs w:val="16"/>
              </w:rPr>
              <w:t>Amount of waste landfilled</w:t>
            </w:r>
          </w:p>
        </w:tc>
        <w:tc>
          <w:tcPr>
            <w:tcW w:w="992" w:type="dxa"/>
            <w:tcBorders>
              <w:top w:val="single" w:sz="4" w:space="0" w:color="365F91"/>
              <w:bottom w:val="single" w:sz="4" w:space="0" w:color="365F91"/>
            </w:tcBorders>
          </w:tcPr>
          <w:p w14:paraId="19F54B72" w14:textId="77777777" w:rsidR="007F00E5" w:rsidRPr="00BE78CA" w:rsidRDefault="007F00E5" w:rsidP="00C26084">
            <w:pPr>
              <w:pStyle w:val="TableText"/>
              <w:rPr>
                <w:rFonts w:eastAsia="Calibri" w:cs="Calibri"/>
                <w:szCs w:val="16"/>
              </w:rPr>
            </w:pPr>
            <w:r w:rsidRPr="00BE78CA">
              <w:rPr>
                <w:rFonts w:eastAsia="Calibri" w:cs="Calibri"/>
                <w:szCs w:val="16"/>
              </w:rPr>
              <w:t>50 per cent</w:t>
            </w:r>
          </w:p>
        </w:tc>
        <w:tc>
          <w:tcPr>
            <w:tcW w:w="1984" w:type="dxa"/>
            <w:tcBorders>
              <w:top w:val="single" w:sz="4" w:space="0" w:color="365F91"/>
              <w:bottom w:val="single" w:sz="4" w:space="0" w:color="365F91"/>
            </w:tcBorders>
          </w:tcPr>
          <w:p w14:paraId="725C2050" w14:textId="77777777" w:rsidR="007F00E5" w:rsidRPr="00BE78CA" w:rsidRDefault="007F00E5" w:rsidP="00C26084">
            <w:pPr>
              <w:pStyle w:val="TableText"/>
              <w:rPr>
                <w:rFonts w:eastAsia="Calibri" w:cs="Calibri"/>
                <w:szCs w:val="16"/>
              </w:rPr>
            </w:pPr>
            <w:r w:rsidRPr="00BE78CA">
              <w:rPr>
                <w:rFonts w:eastAsia="Calibri" w:cs="Calibri"/>
                <w:szCs w:val="16"/>
              </w:rPr>
              <w:t>Assumption</w:t>
            </w:r>
          </w:p>
        </w:tc>
        <w:tc>
          <w:tcPr>
            <w:tcW w:w="2835" w:type="dxa"/>
            <w:tcBorders>
              <w:top w:val="single" w:sz="4" w:space="0" w:color="365F91"/>
              <w:bottom w:val="single" w:sz="4" w:space="0" w:color="365F91"/>
            </w:tcBorders>
          </w:tcPr>
          <w:p w14:paraId="53509D57" w14:textId="77777777" w:rsidR="007F00E5" w:rsidRPr="00BE78CA" w:rsidRDefault="007F00E5" w:rsidP="00C26084">
            <w:pPr>
              <w:pStyle w:val="TableText"/>
              <w:rPr>
                <w:rFonts w:eastAsia="Calibri" w:cs="Calibri"/>
                <w:szCs w:val="16"/>
              </w:rPr>
            </w:pPr>
          </w:p>
        </w:tc>
      </w:tr>
    </w:tbl>
    <w:p w14:paraId="5C3DA527" w14:textId="77777777" w:rsidR="007F00E5" w:rsidRPr="00BE78CA" w:rsidRDefault="007F00E5" w:rsidP="007F00E5">
      <w:pPr>
        <w:pStyle w:val="Noteundertable"/>
      </w:pPr>
      <w:r w:rsidRPr="00BE78CA">
        <w:rPr>
          <w:b/>
        </w:rPr>
        <w:t>Note:</w:t>
      </w:r>
      <w:r w:rsidRPr="00BE78CA">
        <w:t xml:space="preserve"> </w:t>
      </w:r>
      <w:r w:rsidRPr="00BE78CA">
        <w:tab/>
        <w:t xml:space="preserve">MSW = municipal waste disposal; </w:t>
      </w:r>
      <w:r w:rsidRPr="00BE78CA">
        <w:rPr>
          <w:rFonts w:eastAsia="Calibri"/>
        </w:rPr>
        <w:t>DOC</w:t>
      </w:r>
      <w:r w:rsidRPr="00BE78CA">
        <w:t xml:space="preserve"> = degradable organic carbon; SWDS = solid waste disposable sites.</w:t>
      </w:r>
    </w:p>
    <w:p w14:paraId="43F5BE22" w14:textId="77777777" w:rsidR="007F00E5" w:rsidRPr="00BE78CA" w:rsidRDefault="007F00E5" w:rsidP="007F00E5">
      <w:pPr>
        <w:pStyle w:val="Heading4"/>
      </w:pPr>
      <w:r w:rsidRPr="00BE78CA">
        <w:t>Uncertainty</w:t>
      </w:r>
    </w:p>
    <w:p w14:paraId="458BE695" w14:textId="77777777" w:rsidR="007F00E5" w:rsidRPr="00BE78CA" w:rsidRDefault="007F00E5" w:rsidP="007F00E5">
      <w:pPr>
        <w:pStyle w:val="BodyText"/>
      </w:pPr>
      <w:r w:rsidRPr="00BE78CA">
        <w:t>The same uncertainty data for uncategorised landfills were used for Tokelau and New Zealand (see table 7.2.9, chapter 7; for methodological notes, refer to the uncertainties</w:t>
      </w:r>
      <w:r w:rsidRPr="00BE78CA">
        <w:rPr>
          <w:i/>
        </w:rPr>
        <w:t xml:space="preserve"> </w:t>
      </w:r>
      <w:r w:rsidRPr="00BE78CA">
        <w:t>for the</w:t>
      </w:r>
      <w:r w:rsidRPr="00BE78CA">
        <w:rPr>
          <w:i/>
        </w:rPr>
        <w:t xml:space="preserve"> Solid waste</w:t>
      </w:r>
      <w:r w:rsidRPr="00BE78CA">
        <w:t xml:space="preserve"> category, section 7.2.3, chapter 7, and table 8.5.2). </w:t>
      </w:r>
    </w:p>
    <w:p w14:paraId="2319BFDE" w14:textId="77777777" w:rsidR="007F00E5" w:rsidRPr="00BE78CA" w:rsidRDefault="007F00E5" w:rsidP="007F00E5">
      <w:pPr>
        <w:pStyle w:val="Table"/>
      </w:pPr>
      <w:bookmarkStart w:id="3257" w:name="_Toc5269603"/>
      <w:bookmarkStart w:id="3258" w:name="_Toc36224684"/>
      <w:bookmarkStart w:id="3259" w:name="_Toc68786570"/>
      <w:r w:rsidRPr="00BE78CA">
        <w:t>Table 8.5.2</w:t>
      </w:r>
      <w:r w:rsidRPr="00BE78CA">
        <w:tab/>
        <w:t>Uncertainty in emissions from the Solid waste disposal category</w:t>
      </w:r>
      <w:bookmarkEnd w:id="3257"/>
      <w:bookmarkEnd w:id="3258"/>
      <w:bookmarkEnd w:id="3259"/>
    </w:p>
    <w:tbl>
      <w:tblPr>
        <w:tblW w:w="8505" w:type="dxa"/>
        <w:tblBorders>
          <w:top w:val="single" w:sz="4" w:space="0" w:color="365F91"/>
          <w:bottom w:val="single" w:sz="4" w:space="0" w:color="365F91"/>
          <w:insideH w:val="single" w:sz="4" w:space="0" w:color="365F91"/>
        </w:tblBorders>
        <w:tblCellMar>
          <w:left w:w="0" w:type="dxa"/>
          <w:right w:w="0" w:type="dxa"/>
        </w:tblCellMar>
        <w:tblLook w:val="04A0" w:firstRow="1" w:lastRow="0" w:firstColumn="1" w:lastColumn="0" w:noHBand="0" w:noVBand="1"/>
      </w:tblPr>
      <w:tblGrid>
        <w:gridCol w:w="2835"/>
        <w:gridCol w:w="2694"/>
        <w:gridCol w:w="2976"/>
      </w:tblGrid>
      <w:tr w:rsidR="007F00E5" w:rsidRPr="00BE78CA" w14:paraId="36A34B5B" w14:textId="77777777" w:rsidTr="00902485">
        <w:trPr>
          <w:tblHeader/>
        </w:trPr>
        <w:tc>
          <w:tcPr>
            <w:tcW w:w="2835" w:type="dxa"/>
            <w:shd w:val="clear" w:color="auto" w:fill="365F91"/>
            <w:tcMar>
              <w:top w:w="0" w:type="dxa"/>
              <w:left w:w="108" w:type="dxa"/>
              <w:bottom w:w="0" w:type="dxa"/>
              <w:right w:w="108" w:type="dxa"/>
            </w:tcMar>
            <w:vAlign w:val="bottom"/>
            <w:hideMark/>
          </w:tcPr>
          <w:p w14:paraId="2DE2640B" w14:textId="77777777" w:rsidR="007F00E5" w:rsidRPr="00BE78CA" w:rsidRDefault="007F00E5" w:rsidP="00C26084">
            <w:pPr>
              <w:pStyle w:val="TableTextBold"/>
              <w:keepNext/>
              <w:spacing w:before="50" w:after="50"/>
              <w:rPr>
                <w:noProof w:val="0"/>
                <w:color w:val="FFFFFF"/>
                <w:szCs w:val="16"/>
              </w:rPr>
            </w:pPr>
            <w:r w:rsidRPr="00BE78CA">
              <w:rPr>
                <w:noProof w:val="0"/>
                <w:color w:val="FFFFFF"/>
                <w:szCs w:val="16"/>
              </w:rPr>
              <w:t>Emissions category</w:t>
            </w:r>
          </w:p>
        </w:tc>
        <w:tc>
          <w:tcPr>
            <w:tcW w:w="2694" w:type="dxa"/>
            <w:shd w:val="clear" w:color="auto" w:fill="365F91"/>
            <w:tcMar>
              <w:top w:w="0" w:type="dxa"/>
              <w:left w:w="108" w:type="dxa"/>
              <w:bottom w:w="0" w:type="dxa"/>
              <w:right w:w="108" w:type="dxa"/>
            </w:tcMar>
            <w:vAlign w:val="bottom"/>
            <w:hideMark/>
          </w:tcPr>
          <w:p w14:paraId="6124BCE8" w14:textId="77777777" w:rsidR="007F00E5" w:rsidRPr="00BE78CA" w:rsidRDefault="007F00E5" w:rsidP="00C26084">
            <w:pPr>
              <w:pStyle w:val="TableTextBold"/>
              <w:keepNext/>
              <w:spacing w:before="50" w:after="50"/>
              <w:jc w:val="center"/>
              <w:rPr>
                <w:noProof w:val="0"/>
                <w:color w:val="FFFFFF"/>
                <w:szCs w:val="16"/>
              </w:rPr>
            </w:pPr>
            <w:r w:rsidRPr="00BE78CA">
              <w:rPr>
                <w:noProof w:val="0"/>
                <w:color w:val="FFFFFF"/>
                <w:szCs w:val="16"/>
              </w:rPr>
              <w:t>Uncertainty in activity data (%)</w:t>
            </w:r>
          </w:p>
        </w:tc>
        <w:tc>
          <w:tcPr>
            <w:tcW w:w="2976" w:type="dxa"/>
            <w:shd w:val="clear" w:color="auto" w:fill="365F91"/>
            <w:tcMar>
              <w:top w:w="0" w:type="dxa"/>
              <w:left w:w="108" w:type="dxa"/>
              <w:bottom w:w="0" w:type="dxa"/>
              <w:right w:w="108" w:type="dxa"/>
            </w:tcMar>
            <w:vAlign w:val="bottom"/>
            <w:hideMark/>
          </w:tcPr>
          <w:p w14:paraId="596FF1FD" w14:textId="77777777" w:rsidR="007F00E5" w:rsidRPr="00BE78CA" w:rsidRDefault="007F00E5" w:rsidP="00C26084">
            <w:pPr>
              <w:pStyle w:val="TableTextBold"/>
              <w:keepNext/>
              <w:spacing w:before="50" w:after="50"/>
              <w:jc w:val="center"/>
              <w:rPr>
                <w:noProof w:val="0"/>
                <w:color w:val="FFFFFF"/>
                <w:szCs w:val="16"/>
              </w:rPr>
            </w:pPr>
            <w:r w:rsidRPr="00BE78CA">
              <w:rPr>
                <w:noProof w:val="0"/>
                <w:color w:val="FFFFFF"/>
                <w:szCs w:val="16"/>
              </w:rPr>
              <w:t>Uncertainty in emission factors (%)</w:t>
            </w:r>
          </w:p>
        </w:tc>
      </w:tr>
      <w:tr w:rsidR="007F00E5" w:rsidRPr="00BE78CA" w14:paraId="0BE9E8E2" w14:textId="77777777" w:rsidTr="00902485">
        <w:tc>
          <w:tcPr>
            <w:tcW w:w="2835" w:type="dxa"/>
            <w:shd w:val="clear" w:color="auto" w:fill="FFFFFF"/>
            <w:tcMar>
              <w:top w:w="0" w:type="dxa"/>
              <w:left w:w="108" w:type="dxa"/>
              <w:bottom w:w="0" w:type="dxa"/>
              <w:right w:w="108" w:type="dxa"/>
            </w:tcMar>
            <w:hideMark/>
          </w:tcPr>
          <w:p w14:paraId="318EB0BC" w14:textId="77777777" w:rsidR="007F00E5" w:rsidRPr="00BE78CA" w:rsidRDefault="007F00E5" w:rsidP="00C26084">
            <w:pPr>
              <w:pStyle w:val="TableText"/>
              <w:spacing w:before="50" w:after="50"/>
              <w:rPr>
                <w:szCs w:val="16"/>
              </w:rPr>
            </w:pPr>
            <w:r w:rsidRPr="00BE78CA">
              <w:rPr>
                <w:szCs w:val="16"/>
              </w:rPr>
              <w:t>Uncategorised landfills</w:t>
            </w:r>
          </w:p>
        </w:tc>
        <w:tc>
          <w:tcPr>
            <w:tcW w:w="2694" w:type="dxa"/>
            <w:shd w:val="clear" w:color="auto" w:fill="FFFFFF"/>
            <w:tcMar>
              <w:top w:w="0" w:type="dxa"/>
              <w:left w:w="108" w:type="dxa"/>
              <w:bottom w:w="0" w:type="dxa"/>
              <w:right w:w="108" w:type="dxa"/>
            </w:tcMar>
            <w:hideMark/>
          </w:tcPr>
          <w:p w14:paraId="4A1EEB7F" w14:textId="77777777" w:rsidR="007F00E5" w:rsidRPr="00BE78CA" w:rsidRDefault="007F00E5" w:rsidP="00C26084">
            <w:pPr>
              <w:pStyle w:val="TableText"/>
              <w:spacing w:before="50" w:after="50"/>
              <w:jc w:val="center"/>
              <w:rPr>
                <w:szCs w:val="16"/>
              </w:rPr>
            </w:pPr>
            <w:r w:rsidRPr="00BE78CA">
              <w:rPr>
                <w:szCs w:val="16"/>
              </w:rPr>
              <w:t>±140</w:t>
            </w:r>
          </w:p>
        </w:tc>
        <w:tc>
          <w:tcPr>
            <w:tcW w:w="2976" w:type="dxa"/>
            <w:shd w:val="clear" w:color="auto" w:fill="FFFFFF"/>
            <w:tcMar>
              <w:top w:w="0" w:type="dxa"/>
              <w:left w:w="108" w:type="dxa"/>
              <w:bottom w:w="0" w:type="dxa"/>
              <w:right w:w="108" w:type="dxa"/>
            </w:tcMar>
            <w:hideMark/>
          </w:tcPr>
          <w:p w14:paraId="1F3D40C1" w14:textId="77777777" w:rsidR="007F00E5" w:rsidRPr="00BE78CA" w:rsidRDefault="007F00E5" w:rsidP="00C26084">
            <w:pPr>
              <w:pStyle w:val="TableText"/>
              <w:spacing w:before="50" w:after="50"/>
              <w:jc w:val="center"/>
              <w:rPr>
                <w:szCs w:val="16"/>
              </w:rPr>
            </w:pPr>
            <w:r w:rsidRPr="00BE78CA">
              <w:rPr>
                <w:szCs w:val="16"/>
              </w:rPr>
              <w:t>±40</w:t>
            </w:r>
          </w:p>
        </w:tc>
      </w:tr>
    </w:tbl>
    <w:p w14:paraId="2797E57E" w14:textId="77777777" w:rsidR="007F00E5" w:rsidRPr="00BE78CA" w:rsidRDefault="007F00E5" w:rsidP="007F00E5">
      <w:pPr>
        <w:pStyle w:val="Heading3"/>
        <w:spacing w:before="480"/>
      </w:pPr>
      <w:r w:rsidRPr="00BE78CA">
        <w:lastRenderedPageBreak/>
        <w:t xml:space="preserve">8.5.2 </w:t>
      </w:r>
      <w:r w:rsidRPr="00BE78CA">
        <w:tab/>
        <w:t>Emissions from Open burning and incineration in Tokelau</w:t>
      </w:r>
    </w:p>
    <w:p w14:paraId="094BDFE1" w14:textId="77777777" w:rsidR="007F00E5" w:rsidRPr="00BE78CA" w:rsidRDefault="007F00E5" w:rsidP="007F00E5">
      <w:pPr>
        <w:pStyle w:val="BodyText"/>
      </w:pPr>
      <w:r w:rsidRPr="00BE78CA">
        <w:t xml:space="preserve">Because Tokelau has no major incineration facilities, all emissions associated with waste burning are reported under the </w:t>
      </w:r>
      <w:r w:rsidRPr="00BE78CA">
        <w:rPr>
          <w:i/>
        </w:rPr>
        <w:t>Open burning</w:t>
      </w:r>
      <w:r w:rsidRPr="00BE78CA">
        <w:t xml:space="preserve"> category. Carbon dioxide, CH</w:t>
      </w:r>
      <w:r w:rsidRPr="00BE78CA">
        <w:rPr>
          <w:vertAlign w:val="subscript"/>
        </w:rPr>
        <w:t>4</w:t>
      </w:r>
      <w:r w:rsidRPr="00BE78CA">
        <w:t xml:space="preserve"> and N</w:t>
      </w:r>
      <w:r w:rsidRPr="00BE78CA">
        <w:rPr>
          <w:vertAlign w:val="subscript"/>
        </w:rPr>
        <w:t>2</w:t>
      </w:r>
      <w:r w:rsidRPr="00BE78CA">
        <w:t>O are reported in this category.</w:t>
      </w:r>
    </w:p>
    <w:p w14:paraId="3ED86AB1" w14:textId="77777777" w:rsidR="007F00E5" w:rsidRPr="00BE78CA" w:rsidRDefault="007F00E5" w:rsidP="007F00E5">
      <w:pPr>
        <w:pStyle w:val="BodyText"/>
      </w:pPr>
      <w:r w:rsidRPr="00BE78CA">
        <w:t>The composition of solid waste for CO</w:t>
      </w:r>
      <w:r w:rsidRPr="00BE78CA">
        <w:rPr>
          <w:vertAlign w:val="subscript"/>
        </w:rPr>
        <w:t>2</w:t>
      </w:r>
      <w:r w:rsidRPr="00BE78CA">
        <w:t xml:space="preserve"> from open burning is the same as for landfills, except that the 24 per cent ‘inert’ is considered to be ‘other inert’ for open burning purposes (and not disaggregated into glass, metal, plastic and so on). Keeping the 24 per cent in ‘other inert’ is likely to result in an overestimate.</w:t>
      </w:r>
    </w:p>
    <w:p w14:paraId="0F81EBBC" w14:textId="77777777" w:rsidR="007F00E5" w:rsidRPr="00BE78CA" w:rsidRDefault="007F00E5" w:rsidP="007F00E5">
      <w:pPr>
        <w:pStyle w:val="BodyText"/>
      </w:pPr>
      <w:r w:rsidRPr="00BE78CA">
        <w:t>The emission factors for open burning of solid waste for CH</w:t>
      </w:r>
      <w:r w:rsidRPr="00BE78CA">
        <w:rPr>
          <w:vertAlign w:val="subscript"/>
        </w:rPr>
        <w:t>4</w:t>
      </w:r>
      <w:r w:rsidRPr="00BE78CA">
        <w:t xml:space="preserve"> and N</w:t>
      </w:r>
      <w:r w:rsidRPr="00BE78CA">
        <w:rPr>
          <w:vertAlign w:val="subscript"/>
        </w:rPr>
        <w:t>2</w:t>
      </w:r>
      <w:r w:rsidRPr="00BE78CA">
        <w:t>O are the IPCC defaults for municipal solid waste and are based on a generic waste composition. It is not clear if this will over- or under-estimate emissions.</w:t>
      </w:r>
    </w:p>
    <w:p w14:paraId="063D4033" w14:textId="77777777" w:rsidR="007F00E5" w:rsidRPr="00BE78CA" w:rsidRDefault="007F00E5" w:rsidP="007F00E5">
      <w:pPr>
        <w:pStyle w:val="BodyText"/>
      </w:pPr>
      <w:r w:rsidRPr="00BE78CA">
        <w:t xml:space="preserve">The category </w:t>
      </w:r>
      <w:r w:rsidRPr="00BE78CA">
        <w:rPr>
          <w:i/>
        </w:rPr>
        <w:t xml:space="preserve">Open burning and incineration </w:t>
      </w:r>
      <w:r w:rsidRPr="00BE78CA">
        <w:t>contributed 17.6 per cent to the total Waste sector emissions in Tokelau in 2019, which amounted to 0.12 kt CO</w:t>
      </w:r>
      <w:r w:rsidRPr="00BE78CA">
        <w:rPr>
          <w:vertAlign w:val="subscript"/>
        </w:rPr>
        <w:t>2</w:t>
      </w:r>
      <w:r w:rsidRPr="00BE78CA">
        <w:t>-e.</w:t>
      </w:r>
    </w:p>
    <w:p w14:paraId="76D4A124" w14:textId="77777777" w:rsidR="007F00E5" w:rsidRPr="00BE78CA" w:rsidRDefault="007F00E5" w:rsidP="007F00E5">
      <w:pPr>
        <w:pStyle w:val="Heading4"/>
      </w:pPr>
      <w:r w:rsidRPr="00BE78CA">
        <w:t>Methodological issues</w:t>
      </w:r>
    </w:p>
    <w:p w14:paraId="5636E042" w14:textId="77777777" w:rsidR="007F00E5" w:rsidRPr="00BE78CA" w:rsidRDefault="007F00E5" w:rsidP="007F00E5">
      <w:pPr>
        <w:pStyle w:val="Heading5"/>
        <w:spacing w:before="160"/>
      </w:pPr>
      <w:r w:rsidRPr="00BE78CA">
        <w:t>Activity data</w:t>
      </w:r>
    </w:p>
    <w:p w14:paraId="12461953" w14:textId="77777777" w:rsidR="007F00E5" w:rsidRPr="00BE78CA" w:rsidRDefault="007F00E5" w:rsidP="007F00E5">
      <w:pPr>
        <w:pStyle w:val="BodyText"/>
      </w:pPr>
      <w:r w:rsidRPr="00BE78CA">
        <w:t>The calculations are based on Tokelau’s population data and assume that 50 per cent of the waste is landfilled and the other 50 per cent is burned. This information is reported as ‘non</w:t>
      </w:r>
      <w:r w:rsidRPr="00BE78CA">
        <w:noBreakHyphen/>
        <w:t>biogenic’ open burning, because only fossil carbon is reported, and the emission factors for CH</w:t>
      </w:r>
      <w:r w:rsidRPr="00BE78CA">
        <w:rPr>
          <w:vertAlign w:val="subscript"/>
        </w:rPr>
        <w:t>4</w:t>
      </w:r>
      <w:r w:rsidRPr="00BE78CA">
        <w:t xml:space="preserve"> and N</w:t>
      </w:r>
      <w:r w:rsidRPr="00BE78CA">
        <w:rPr>
          <w:vertAlign w:val="subscript"/>
        </w:rPr>
        <w:t>2</w:t>
      </w:r>
      <w:r w:rsidRPr="00BE78CA">
        <w:t>O are for municipal solid waste, which does not distinguish biogenic and non</w:t>
      </w:r>
      <w:r w:rsidRPr="00BE78CA">
        <w:noBreakHyphen/>
        <w:t xml:space="preserve">biogenic wastes. </w:t>
      </w:r>
    </w:p>
    <w:p w14:paraId="2646345C" w14:textId="77777777" w:rsidR="007F00E5" w:rsidRPr="00BE78CA" w:rsidRDefault="007F00E5" w:rsidP="007F00E5">
      <w:pPr>
        <w:pStyle w:val="Heading5"/>
      </w:pPr>
      <w:r w:rsidRPr="00BE78CA">
        <w:t>Methods and emission factors</w:t>
      </w:r>
    </w:p>
    <w:p w14:paraId="6E537187" w14:textId="77777777" w:rsidR="007F00E5" w:rsidRPr="00BE78CA" w:rsidRDefault="007F00E5" w:rsidP="007F00E5">
      <w:pPr>
        <w:pStyle w:val="BodyText"/>
      </w:pPr>
      <w:r w:rsidRPr="00BE78CA">
        <w:t>A Tier 1 methodology with default 2006 IPCC parameters was used for calculating emissions from this category.</w:t>
      </w:r>
    </w:p>
    <w:p w14:paraId="12374C85" w14:textId="77777777" w:rsidR="007F00E5" w:rsidRPr="00BE78CA" w:rsidRDefault="007F00E5" w:rsidP="007F00E5">
      <w:pPr>
        <w:pStyle w:val="BodyText"/>
      </w:pPr>
      <w:r w:rsidRPr="00BE78CA">
        <w:t>The emission factor for CO</w:t>
      </w:r>
      <w:r w:rsidRPr="00BE78CA">
        <w:rPr>
          <w:vertAlign w:val="subscript"/>
        </w:rPr>
        <w:t>2</w:t>
      </w:r>
      <w:r w:rsidRPr="00BE78CA">
        <w:t xml:space="preserve"> was the weighted average of calculated factors from table 8.5.3 and a 58 per cent oxidation factor for open burning. For other gases, the following 2006 IPCC default emission factors were used: for CH</w:t>
      </w:r>
      <w:r w:rsidRPr="00BE78CA">
        <w:rPr>
          <w:vertAlign w:val="subscript"/>
        </w:rPr>
        <w:t>4</w:t>
      </w:r>
      <w:r w:rsidRPr="00BE78CA">
        <w:t>, the default emissions factor for municipal solid waste in section 5.4.2 (6,500 kg CH</w:t>
      </w:r>
      <w:r w:rsidRPr="00BE78CA">
        <w:rPr>
          <w:vertAlign w:val="subscript"/>
        </w:rPr>
        <w:t>4</w:t>
      </w:r>
      <w:r w:rsidRPr="00BE78CA">
        <w:t>/gigagrams (Gg) wet waste); for N</w:t>
      </w:r>
      <w:r w:rsidRPr="00BE78CA">
        <w:rPr>
          <w:vertAlign w:val="subscript"/>
        </w:rPr>
        <w:t>2</w:t>
      </w:r>
      <w:r w:rsidRPr="00BE78CA">
        <w:t>O, the default emissions factor for open burning of municipal solid waste from table 5.6 (150 kg N</w:t>
      </w:r>
      <w:r w:rsidRPr="00BE78CA">
        <w:rPr>
          <w:vertAlign w:val="subscript"/>
        </w:rPr>
        <w:t>2</w:t>
      </w:r>
      <w:r w:rsidRPr="00BE78CA">
        <w:t>O/Gg dry waste) (IPCC, 2006d). Converted waste volume to dry weight by using dry matter conversion was calculated for CO</w:t>
      </w:r>
      <w:r w:rsidRPr="00BE78CA">
        <w:rPr>
          <w:vertAlign w:val="subscript"/>
        </w:rPr>
        <w:t>2</w:t>
      </w:r>
      <w:r w:rsidRPr="00BE78CA">
        <w:t xml:space="preserve"> (56.1 per cent). Table 8.5.3 shows waste type and the composition data based on default 2006 IPCC parameters used in estimating emissions from Open burning of waste.</w:t>
      </w:r>
    </w:p>
    <w:p w14:paraId="6E7F432F" w14:textId="77777777" w:rsidR="007F00E5" w:rsidRPr="00BE78CA" w:rsidRDefault="007F00E5" w:rsidP="007F00E5">
      <w:pPr>
        <w:pStyle w:val="Table"/>
        <w:rPr>
          <w:rFonts w:eastAsia="Calibri" w:cs="Arial"/>
          <w:szCs w:val="16"/>
        </w:rPr>
      </w:pPr>
      <w:bookmarkStart w:id="3260" w:name="_Toc5269604"/>
      <w:bookmarkStart w:id="3261" w:name="_Toc36224685"/>
      <w:bookmarkStart w:id="3262" w:name="_Toc68786571"/>
      <w:r w:rsidRPr="00BE78CA">
        <w:rPr>
          <w:rFonts w:eastAsia="Calibri" w:cs="Arial"/>
          <w:szCs w:val="16"/>
        </w:rPr>
        <w:t>Table 8.5.3</w:t>
      </w:r>
      <w:r w:rsidRPr="00BE78CA">
        <w:rPr>
          <w:rFonts w:eastAsia="Calibri" w:cs="Arial"/>
          <w:szCs w:val="16"/>
        </w:rPr>
        <w:tab/>
        <w:t>Composition data and carbon content used for estimating emissions from Open burning of waste</w:t>
      </w:r>
      <w:bookmarkEnd w:id="3260"/>
      <w:bookmarkEnd w:id="3261"/>
      <w:bookmarkEnd w:id="3262"/>
    </w:p>
    <w:tbl>
      <w:tblPr>
        <w:tblW w:w="8505" w:type="dxa"/>
        <w:tblBorders>
          <w:top w:val="single" w:sz="4" w:space="0" w:color="365F91"/>
          <w:bottom w:val="single" w:sz="4" w:space="0" w:color="365F91"/>
          <w:insideH w:val="single" w:sz="4" w:space="0" w:color="365F91"/>
          <w:insideV w:val="single" w:sz="4" w:space="0" w:color="365F91"/>
        </w:tblBorders>
        <w:tblLook w:val="04A0" w:firstRow="1" w:lastRow="0" w:firstColumn="1" w:lastColumn="0" w:noHBand="0" w:noVBand="1"/>
      </w:tblPr>
      <w:tblGrid>
        <w:gridCol w:w="2019"/>
        <w:gridCol w:w="1587"/>
        <w:gridCol w:w="1497"/>
        <w:gridCol w:w="1134"/>
        <w:gridCol w:w="1276"/>
        <w:gridCol w:w="992"/>
      </w:tblGrid>
      <w:tr w:rsidR="007F00E5" w:rsidRPr="00BE78CA" w14:paraId="44270C56" w14:textId="77777777" w:rsidTr="00902485">
        <w:trPr>
          <w:tblHeader/>
        </w:trPr>
        <w:tc>
          <w:tcPr>
            <w:tcW w:w="2019" w:type="dxa"/>
            <w:shd w:val="clear" w:color="auto" w:fill="365F91"/>
            <w:vAlign w:val="bottom"/>
          </w:tcPr>
          <w:p w14:paraId="23415D1C" w14:textId="77777777" w:rsidR="007F00E5" w:rsidRPr="00BE78CA" w:rsidRDefault="007F00E5" w:rsidP="00C26084">
            <w:pPr>
              <w:pStyle w:val="TableTextBold"/>
              <w:rPr>
                <w:rFonts w:eastAsia="Calibri" w:cs="Calibri"/>
                <w:bCs/>
                <w:noProof w:val="0"/>
                <w:color w:val="FFFFFF"/>
                <w:szCs w:val="16"/>
              </w:rPr>
            </w:pPr>
            <w:r w:rsidRPr="00BE78CA">
              <w:rPr>
                <w:rFonts w:eastAsia="Calibri" w:cs="Calibri"/>
                <w:bCs/>
                <w:noProof w:val="0"/>
                <w:color w:val="FFFFFF"/>
                <w:szCs w:val="16"/>
              </w:rPr>
              <w:t>Waste type</w:t>
            </w:r>
          </w:p>
        </w:tc>
        <w:tc>
          <w:tcPr>
            <w:tcW w:w="1587" w:type="dxa"/>
            <w:shd w:val="clear" w:color="auto" w:fill="365F91"/>
            <w:vAlign w:val="bottom"/>
          </w:tcPr>
          <w:p w14:paraId="1D9DB88A" w14:textId="77777777" w:rsidR="007F00E5" w:rsidRPr="00BE78CA" w:rsidRDefault="007F00E5" w:rsidP="00C26084">
            <w:pPr>
              <w:pStyle w:val="TableTextBold"/>
              <w:jc w:val="center"/>
              <w:rPr>
                <w:rFonts w:eastAsia="Calibri" w:cs="Calibri"/>
                <w:bCs/>
                <w:noProof w:val="0"/>
                <w:color w:val="FFFFFF"/>
                <w:szCs w:val="16"/>
              </w:rPr>
            </w:pPr>
            <w:r w:rsidRPr="00BE78CA">
              <w:rPr>
                <w:rFonts w:eastAsia="Calibri" w:cs="Calibri"/>
                <w:bCs/>
                <w:noProof w:val="0"/>
                <w:color w:val="FFFFFF"/>
                <w:szCs w:val="16"/>
              </w:rPr>
              <w:t>Landfill composition (%)</w:t>
            </w:r>
          </w:p>
        </w:tc>
        <w:tc>
          <w:tcPr>
            <w:tcW w:w="1497" w:type="dxa"/>
            <w:shd w:val="clear" w:color="auto" w:fill="365F91"/>
            <w:vAlign w:val="bottom"/>
          </w:tcPr>
          <w:p w14:paraId="46BD56E8" w14:textId="77777777" w:rsidR="007F00E5" w:rsidRPr="00BE78CA" w:rsidRDefault="007F00E5" w:rsidP="00C26084">
            <w:pPr>
              <w:pStyle w:val="TableTextBold"/>
              <w:jc w:val="center"/>
              <w:rPr>
                <w:rFonts w:eastAsia="Calibri" w:cs="Calibri"/>
                <w:bCs/>
                <w:noProof w:val="0"/>
                <w:color w:val="FFFFFF"/>
                <w:szCs w:val="16"/>
              </w:rPr>
            </w:pPr>
            <w:r w:rsidRPr="00BE78CA">
              <w:rPr>
                <w:rFonts w:eastAsia="Calibri" w:cs="Calibri"/>
                <w:bCs/>
                <w:noProof w:val="0"/>
                <w:color w:val="FFFFFF"/>
                <w:szCs w:val="16"/>
              </w:rPr>
              <w:t>CO</w:t>
            </w:r>
            <w:r w:rsidRPr="00BE78CA">
              <w:rPr>
                <w:rFonts w:eastAsia="Calibri" w:cs="Calibri"/>
                <w:bCs/>
                <w:noProof w:val="0"/>
                <w:color w:val="FFFFFF"/>
                <w:szCs w:val="16"/>
                <w:vertAlign w:val="subscript"/>
              </w:rPr>
              <w:t>2</w:t>
            </w:r>
            <w:r w:rsidRPr="00BE78CA">
              <w:rPr>
                <w:rFonts w:eastAsia="Calibri" w:cs="Calibri"/>
                <w:bCs/>
                <w:noProof w:val="0"/>
                <w:color w:val="FFFFFF"/>
                <w:szCs w:val="16"/>
              </w:rPr>
              <w:t xml:space="preserve"> incineration composition (%)</w:t>
            </w:r>
          </w:p>
        </w:tc>
        <w:tc>
          <w:tcPr>
            <w:tcW w:w="1134" w:type="dxa"/>
            <w:shd w:val="clear" w:color="auto" w:fill="365F91"/>
            <w:vAlign w:val="bottom"/>
          </w:tcPr>
          <w:p w14:paraId="68BBD4C6" w14:textId="77777777" w:rsidR="007F00E5" w:rsidRPr="00BE78CA" w:rsidRDefault="007F00E5" w:rsidP="00C26084">
            <w:pPr>
              <w:pStyle w:val="TableTextBold"/>
              <w:jc w:val="center"/>
              <w:rPr>
                <w:rFonts w:eastAsia="Calibri" w:cs="Calibri"/>
                <w:bCs/>
                <w:noProof w:val="0"/>
                <w:color w:val="FFFFFF"/>
                <w:szCs w:val="16"/>
              </w:rPr>
            </w:pPr>
            <w:r w:rsidRPr="00BE78CA">
              <w:rPr>
                <w:rFonts w:eastAsia="Calibri" w:cs="Calibri"/>
                <w:bCs/>
                <w:noProof w:val="0"/>
                <w:color w:val="FFFFFF"/>
                <w:szCs w:val="16"/>
              </w:rPr>
              <w:t>Dry matter (%)</w:t>
            </w:r>
          </w:p>
        </w:tc>
        <w:tc>
          <w:tcPr>
            <w:tcW w:w="1276" w:type="dxa"/>
            <w:shd w:val="clear" w:color="auto" w:fill="365F91"/>
            <w:vAlign w:val="bottom"/>
          </w:tcPr>
          <w:p w14:paraId="08DEAF9C" w14:textId="77777777" w:rsidR="007F00E5" w:rsidRPr="00BE78CA" w:rsidRDefault="007F00E5" w:rsidP="00C26084">
            <w:pPr>
              <w:pStyle w:val="TableTextBold"/>
              <w:jc w:val="center"/>
              <w:rPr>
                <w:rFonts w:eastAsia="Calibri" w:cs="Calibri"/>
                <w:bCs/>
                <w:noProof w:val="0"/>
                <w:color w:val="FFFFFF"/>
                <w:szCs w:val="16"/>
              </w:rPr>
            </w:pPr>
            <w:r w:rsidRPr="00BE78CA">
              <w:rPr>
                <w:rFonts w:eastAsia="Calibri" w:cs="Calibri"/>
                <w:bCs/>
                <w:noProof w:val="0"/>
                <w:color w:val="FFFFFF"/>
                <w:szCs w:val="16"/>
              </w:rPr>
              <w:t>Total carbon (%)</w:t>
            </w:r>
          </w:p>
        </w:tc>
        <w:tc>
          <w:tcPr>
            <w:tcW w:w="992" w:type="dxa"/>
            <w:shd w:val="clear" w:color="auto" w:fill="365F91"/>
            <w:vAlign w:val="bottom"/>
          </w:tcPr>
          <w:p w14:paraId="6203BAED" w14:textId="77777777" w:rsidR="007F00E5" w:rsidRPr="00BE78CA" w:rsidRDefault="007F00E5" w:rsidP="00C26084">
            <w:pPr>
              <w:pStyle w:val="TableTextBold"/>
              <w:jc w:val="center"/>
              <w:rPr>
                <w:rFonts w:eastAsia="Calibri" w:cs="Calibri"/>
                <w:bCs/>
                <w:noProof w:val="0"/>
                <w:color w:val="FFFFFF"/>
                <w:szCs w:val="16"/>
              </w:rPr>
            </w:pPr>
            <w:r w:rsidRPr="00BE78CA">
              <w:rPr>
                <w:rFonts w:eastAsia="Calibri" w:cs="Calibri"/>
                <w:bCs/>
                <w:noProof w:val="0"/>
                <w:color w:val="FFFFFF"/>
                <w:szCs w:val="16"/>
              </w:rPr>
              <w:t>Fossil carbon (%)</w:t>
            </w:r>
          </w:p>
        </w:tc>
      </w:tr>
      <w:tr w:rsidR="007F00E5" w:rsidRPr="00BE78CA" w14:paraId="1601B0F7" w14:textId="77777777" w:rsidTr="00902485">
        <w:tc>
          <w:tcPr>
            <w:tcW w:w="2019" w:type="dxa"/>
            <w:shd w:val="clear" w:color="auto" w:fill="FFFFFF"/>
          </w:tcPr>
          <w:p w14:paraId="29110AD9" w14:textId="77777777" w:rsidR="007F00E5" w:rsidRPr="00BE78CA" w:rsidRDefault="007F00E5" w:rsidP="00C26084">
            <w:pPr>
              <w:pStyle w:val="TableText"/>
              <w:rPr>
                <w:rFonts w:eastAsia="Calibri" w:cs="Calibri"/>
                <w:bCs/>
                <w:szCs w:val="16"/>
              </w:rPr>
            </w:pPr>
            <w:r w:rsidRPr="00BE78CA">
              <w:rPr>
                <w:rFonts w:eastAsia="Calibri" w:cs="Calibri"/>
                <w:bCs/>
                <w:szCs w:val="16"/>
              </w:rPr>
              <w:t>Paper/card</w:t>
            </w:r>
          </w:p>
        </w:tc>
        <w:tc>
          <w:tcPr>
            <w:tcW w:w="3084" w:type="dxa"/>
            <w:gridSpan w:val="2"/>
            <w:shd w:val="clear" w:color="auto" w:fill="auto"/>
          </w:tcPr>
          <w:p w14:paraId="0DD9E4E0" w14:textId="77777777" w:rsidR="007F00E5" w:rsidRPr="00BE78CA" w:rsidRDefault="007F00E5" w:rsidP="00C26084">
            <w:pPr>
              <w:pStyle w:val="TableText"/>
              <w:jc w:val="center"/>
              <w:rPr>
                <w:rFonts w:eastAsia="Calibri" w:cs="Calibri"/>
                <w:szCs w:val="16"/>
              </w:rPr>
            </w:pPr>
            <w:r w:rsidRPr="00BE78CA">
              <w:rPr>
                <w:rFonts w:eastAsia="Calibri" w:cs="Calibri"/>
                <w:szCs w:val="16"/>
              </w:rPr>
              <w:t>6.0</w:t>
            </w:r>
          </w:p>
        </w:tc>
        <w:tc>
          <w:tcPr>
            <w:tcW w:w="1134" w:type="dxa"/>
            <w:shd w:val="clear" w:color="auto" w:fill="auto"/>
          </w:tcPr>
          <w:p w14:paraId="7B2E2822" w14:textId="77777777" w:rsidR="007F00E5" w:rsidRPr="00BE78CA" w:rsidRDefault="007F00E5" w:rsidP="00C26084">
            <w:pPr>
              <w:pStyle w:val="TableText"/>
              <w:jc w:val="center"/>
              <w:rPr>
                <w:rFonts w:eastAsia="Calibri" w:cs="Calibri"/>
                <w:szCs w:val="16"/>
              </w:rPr>
            </w:pPr>
            <w:r w:rsidRPr="00BE78CA">
              <w:rPr>
                <w:rFonts w:eastAsia="Calibri" w:cs="Calibri"/>
                <w:szCs w:val="16"/>
              </w:rPr>
              <w:t>90</w:t>
            </w:r>
          </w:p>
        </w:tc>
        <w:tc>
          <w:tcPr>
            <w:tcW w:w="1276" w:type="dxa"/>
            <w:shd w:val="clear" w:color="auto" w:fill="auto"/>
          </w:tcPr>
          <w:p w14:paraId="34C69A7C" w14:textId="77777777" w:rsidR="007F00E5" w:rsidRPr="00BE78CA" w:rsidRDefault="007F00E5" w:rsidP="00C26084">
            <w:pPr>
              <w:pStyle w:val="TableText"/>
              <w:jc w:val="center"/>
              <w:rPr>
                <w:rFonts w:eastAsia="Calibri" w:cs="Calibri"/>
                <w:szCs w:val="16"/>
              </w:rPr>
            </w:pPr>
            <w:r w:rsidRPr="00BE78CA">
              <w:rPr>
                <w:rFonts w:eastAsia="Calibri" w:cs="Calibri"/>
                <w:szCs w:val="16"/>
              </w:rPr>
              <w:t>43</w:t>
            </w:r>
          </w:p>
        </w:tc>
        <w:tc>
          <w:tcPr>
            <w:tcW w:w="992" w:type="dxa"/>
            <w:shd w:val="clear" w:color="auto" w:fill="auto"/>
          </w:tcPr>
          <w:p w14:paraId="422163E2" w14:textId="77777777" w:rsidR="007F00E5" w:rsidRPr="00BE78CA" w:rsidRDefault="007F00E5" w:rsidP="00C26084">
            <w:pPr>
              <w:pStyle w:val="TableText"/>
              <w:jc w:val="center"/>
              <w:rPr>
                <w:rFonts w:eastAsia="Calibri" w:cs="Calibri"/>
                <w:szCs w:val="16"/>
              </w:rPr>
            </w:pPr>
            <w:r w:rsidRPr="00BE78CA">
              <w:rPr>
                <w:rFonts w:eastAsia="Calibri" w:cs="Calibri"/>
                <w:szCs w:val="16"/>
              </w:rPr>
              <w:t>1</w:t>
            </w:r>
          </w:p>
        </w:tc>
      </w:tr>
      <w:tr w:rsidR="007F00E5" w:rsidRPr="00BE78CA" w14:paraId="1A8631F4" w14:textId="77777777" w:rsidTr="00902485">
        <w:tc>
          <w:tcPr>
            <w:tcW w:w="2019" w:type="dxa"/>
            <w:shd w:val="clear" w:color="auto" w:fill="FFFFFF"/>
          </w:tcPr>
          <w:p w14:paraId="59EEC1BB" w14:textId="77777777" w:rsidR="007F00E5" w:rsidRPr="00BE78CA" w:rsidRDefault="007F00E5" w:rsidP="00C26084">
            <w:pPr>
              <w:pStyle w:val="TableText"/>
              <w:rPr>
                <w:rFonts w:eastAsia="Calibri" w:cs="Calibri"/>
                <w:bCs/>
                <w:szCs w:val="16"/>
              </w:rPr>
            </w:pPr>
            <w:r w:rsidRPr="00BE78CA">
              <w:rPr>
                <w:rFonts w:eastAsia="Calibri" w:cs="Calibri"/>
                <w:bCs/>
                <w:szCs w:val="16"/>
              </w:rPr>
              <w:t>Textiles</w:t>
            </w:r>
          </w:p>
        </w:tc>
        <w:tc>
          <w:tcPr>
            <w:tcW w:w="3084" w:type="dxa"/>
            <w:gridSpan w:val="2"/>
            <w:shd w:val="clear" w:color="auto" w:fill="auto"/>
          </w:tcPr>
          <w:p w14:paraId="378B0025" w14:textId="77777777" w:rsidR="007F00E5" w:rsidRPr="00BE78CA" w:rsidRDefault="007F00E5" w:rsidP="00C26084">
            <w:pPr>
              <w:pStyle w:val="TableText"/>
              <w:jc w:val="center"/>
              <w:rPr>
                <w:rFonts w:eastAsia="Calibri" w:cs="Calibri"/>
                <w:szCs w:val="16"/>
              </w:rPr>
            </w:pPr>
            <w:r w:rsidRPr="00BE78CA">
              <w:rPr>
                <w:rFonts w:eastAsia="Calibri" w:cs="Calibri"/>
                <w:szCs w:val="16"/>
              </w:rPr>
              <w:t>0</w:t>
            </w:r>
          </w:p>
        </w:tc>
        <w:tc>
          <w:tcPr>
            <w:tcW w:w="1134" w:type="dxa"/>
            <w:shd w:val="clear" w:color="auto" w:fill="auto"/>
          </w:tcPr>
          <w:p w14:paraId="6A9163C8" w14:textId="77777777" w:rsidR="007F00E5" w:rsidRPr="00BE78CA" w:rsidRDefault="007F00E5" w:rsidP="00C26084">
            <w:pPr>
              <w:pStyle w:val="TableText"/>
              <w:jc w:val="center"/>
              <w:rPr>
                <w:rFonts w:eastAsia="Calibri" w:cs="Calibri"/>
                <w:szCs w:val="16"/>
              </w:rPr>
            </w:pPr>
            <w:r w:rsidRPr="00BE78CA">
              <w:rPr>
                <w:rFonts w:eastAsia="Calibri" w:cs="Calibri"/>
                <w:szCs w:val="16"/>
              </w:rPr>
              <w:t>80</w:t>
            </w:r>
          </w:p>
        </w:tc>
        <w:tc>
          <w:tcPr>
            <w:tcW w:w="1276" w:type="dxa"/>
            <w:shd w:val="clear" w:color="auto" w:fill="auto"/>
          </w:tcPr>
          <w:p w14:paraId="66ADCF6A" w14:textId="77777777" w:rsidR="007F00E5" w:rsidRPr="00BE78CA" w:rsidRDefault="007F00E5" w:rsidP="00C26084">
            <w:pPr>
              <w:pStyle w:val="TableText"/>
              <w:jc w:val="center"/>
              <w:rPr>
                <w:rFonts w:eastAsia="Calibri" w:cs="Calibri"/>
                <w:szCs w:val="16"/>
              </w:rPr>
            </w:pPr>
            <w:r w:rsidRPr="00BE78CA">
              <w:rPr>
                <w:rFonts w:eastAsia="Calibri" w:cs="Calibri"/>
                <w:szCs w:val="16"/>
              </w:rPr>
              <w:t>50</w:t>
            </w:r>
          </w:p>
        </w:tc>
        <w:tc>
          <w:tcPr>
            <w:tcW w:w="992" w:type="dxa"/>
            <w:shd w:val="clear" w:color="auto" w:fill="auto"/>
          </w:tcPr>
          <w:p w14:paraId="34FAF498" w14:textId="77777777" w:rsidR="007F00E5" w:rsidRPr="00BE78CA" w:rsidRDefault="007F00E5" w:rsidP="00C26084">
            <w:pPr>
              <w:pStyle w:val="TableText"/>
              <w:jc w:val="center"/>
              <w:rPr>
                <w:rFonts w:eastAsia="Calibri" w:cs="Calibri"/>
                <w:szCs w:val="16"/>
              </w:rPr>
            </w:pPr>
            <w:r w:rsidRPr="00BE78CA">
              <w:rPr>
                <w:rFonts w:eastAsia="Calibri" w:cs="Calibri"/>
                <w:szCs w:val="16"/>
              </w:rPr>
              <w:t>20</w:t>
            </w:r>
          </w:p>
        </w:tc>
      </w:tr>
      <w:tr w:rsidR="007F00E5" w:rsidRPr="00BE78CA" w14:paraId="162B8F54" w14:textId="77777777" w:rsidTr="00902485">
        <w:tc>
          <w:tcPr>
            <w:tcW w:w="2019" w:type="dxa"/>
            <w:shd w:val="clear" w:color="auto" w:fill="FFFFFF"/>
          </w:tcPr>
          <w:p w14:paraId="2937231A" w14:textId="77777777" w:rsidR="007F00E5" w:rsidRPr="00BE78CA" w:rsidRDefault="007F00E5" w:rsidP="00C26084">
            <w:pPr>
              <w:pStyle w:val="TableText"/>
              <w:rPr>
                <w:rFonts w:eastAsia="Calibri" w:cs="Calibri"/>
                <w:bCs/>
                <w:szCs w:val="16"/>
              </w:rPr>
            </w:pPr>
            <w:r w:rsidRPr="00BE78CA">
              <w:rPr>
                <w:rFonts w:eastAsia="Calibri" w:cs="Calibri"/>
                <w:bCs/>
                <w:szCs w:val="16"/>
              </w:rPr>
              <w:t>Food waste</w:t>
            </w:r>
          </w:p>
        </w:tc>
        <w:tc>
          <w:tcPr>
            <w:tcW w:w="3084" w:type="dxa"/>
            <w:gridSpan w:val="2"/>
            <w:shd w:val="clear" w:color="auto" w:fill="auto"/>
          </w:tcPr>
          <w:p w14:paraId="434A5E88" w14:textId="77777777" w:rsidR="007F00E5" w:rsidRPr="00BE78CA" w:rsidRDefault="007F00E5" w:rsidP="00C26084">
            <w:pPr>
              <w:pStyle w:val="TableText"/>
              <w:jc w:val="center"/>
              <w:rPr>
                <w:rFonts w:eastAsia="Calibri" w:cs="Calibri"/>
                <w:szCs w:val="16"/>
              </w:rPr>
            </w:pPr>
            <w:r w:rsidRPr="00BE78CA">
              <w:rPr>
                <w:rFonts w:eastAsia="Calibri" w:cs="Calibri"/>
                <w:szCs w:val="16"/>
              </w:rPr>
              <w:t>67.5</w:t>
            </w:r>
          </w:p>
        </w:tc>
        <w:tc>
          <w:tcPr>
            <w:tcW w:w="1134" w:type="dxa"/>
            <w:shd w:val="clear" w:color="auto" w:fill="auto"/>
          </w:tcPr>
          <w:p w14:paraId="17196931" w14:textId="77777777" w:rsidR="007F00E5" w:rsidRPr="00BE78CA" w:rsidRDefault="007F00E5" w:rsidP="00C26084">
            <w:pPr>
              <w:pStyle w:val="TableText"/>
              <w:jc w:val="center"/>
              <w:rPr>
                <w:rFonts w:eastAsia="Calibri" w:cs="Calibri"/>
                <w:szCs w:val="16"/>
              </w:rPr>
            </w:pPr>
            <w:r w:rsidRPr="00BE78CA">
              <w:rPr>
                <w:rFonts w:eastAsia="Calibri" w:cs="Calibri"/>
                <w:szCs w:val="16"/>
              </w:rPr>
              <w:t>40</w:t>
            </w:r>
          </w:p>
        </w:tc>
        <w:tc>
          <w:tcPr>
            <w:tcW w:w="1276" w:type="dxa"/>
            <w:shd w:val="clear" w:color="auto" w:fill="auto"/>
          </w:tcPr>
          <w:p w14:paraId="44E531DA" w14:textId="77777777" w:rsidR="007F00E5" w:rsidRPr="00BE78CA" w:rsidRDefault="007F00E5" w:rsidP="00C26084">
            <w:pPr>
              <w:pStyle w:val="TableText"/>
              <w:jc w:val="center"/>
              <w:rPr>
                <w:rFonts w:eastAsia="Calibri" w:cs="Calibri"/>
                <w:szCs w:val="16"/>
              </w:rPr>
            </w:pPr>
            <w:r w:rsidRPr="00BE78CA">
              <w:rPr>
                <w:rFonts w:eastAsia="Calibri" w:cs="Calibri"/>
                <w:szCs w:val="16"/>
              </w:rPr>
              <w:t>38</w:t>
            </w:r>
          </w:p>
        </w:tc>
        <w:tc>
          <w:tcPr>
            <w:tcW w:w="992" w:type="dxa"/>
            <w:shd w:val="clear" w:color="auto" w:fill="auto"/>
          </w:tcPr>
          <w:p w14:paraId="27B642C0" w14:textId="77777777" w:rsidR="007F00E5" w:rsidRPr="00BE78CA" w:rsidRDefault="007F00E5" w:rsidP="00C26084">
            <w:pPr>
              <w:pStyle w:val="TableText"/>
              <w:jc w:val="center"/>
              <w:rPr>
                <w:rFonts w:eastAsia="Calibri" w:cs="Calibri"/>
                <w:szCs w:val="16"/>
              </w:rPr>
            </w:pPr>
            <w:r w:rsidRPr="00BE78CA">
              <w:rPr>
                <w:rFonts w:eastAsia="Calibri" w:cs="Calibri"/>
                <w:szCs w:val="16"/>
              </w:rPr>
              <w:t>0</w:t>
            </w:r>
          </w:p>
        </w:tc>
      </w:tr>
      <w:tr w:rsidR="007F00E5" w:rsidRPr="00BE78CA" w14:paraId="727E4CB8" w14:textId="77777777" w:rsidTr="00902485">
        <w:tc>
          <w:tcPr>
            <w:tcW w:w="2019" w:type="dxa"/>
            <w:shd w:val="clear" w:color="auto" w:fill="FFFFFF"/>
          </w:tcPr>
          <w:p w14:paraId="2026393F" w14:textId="77777777" w:rsidR="007F00E5" w:rsidRPr="00BE78CA" w:rsidRDefault="007F00E5" w:rsidP="00C26084">
            <w:pPr>
              <w:pStyle w:val="TableText"/>
              <w:rPr>
                <w:rFonts w:eastAsia="Calibri" w:cs="Calibri"/>
                <w:bCs/>
                <w:szCs w:val="16"/>
              </w:rPr>
            </w:pPr>
            <w:r w:rsidRPr="00BE78CA">
              <w:rPr>
                <w:rFonts w:eastAsia="Calibri" w:cs="Calibri"/>
                <w:bCs/>
                <w:szCs w:val="16"/>
              </w:rPr>
              <w:t>Wood</w:t>
            </w:r>
          </w:p>
        </w:tc>
        <w:tc>
          <w:tcPr>
            <w:tcW w:w="3084" w:type="dxa"/>
            <w:gridSpan w:val="2"/>
            <w:shd w:val="clear" w:color="auto" w:fill="auto"/>
          </w:tcPr>
          <w:p w14:paraId="756EF469" w14:textId="77777777" w:rsidR="007F00E5" w:rsidRPr="00BE78CA" w:rsidRDefault="007F00E5" w:rsidP="00C26084">
            <w:pPr>
              <w:pStyle w:val="TableText"/>
              <w:jc w:val="center"/>
              <w:rPr>
                <w:rFonts w:eastAsia="Calibri" w:cs="Calibri"/>
                <w:szCs w:val="16"/>
              </w:rPr>
            </w:pPr>
            <w:r w:rsidRPr="00BE78CA">
              <w:rPr>
                <w:rFonts w:eastAsia="Calibri" w:cs="Calibri"/>
                <w:szCs w:val="16"/>
              </w:rPr>
              <w:t>2.5</w:t>
            </w:r>
          </w:p>
        </w:tc>
        <w:tc>
          <w:tcPr>
            <w:tcW w:w="1134" w:type="dxa"/>
            <w:shd w:val="clear" w:color="auto" w:fill="auto"/>
          </w:tcPr>
          <w:p w14:paraId="3CA347C5" w14:textId="77777777" w:rsidR="007F00E5" w:rsidRPr="00BE78CA" w:rsidRDefault="007F00E5" w:rsidP="00C26084">
            <w:pPr>
              <w:pStyle w:val="TableText"/>
              <w:jc w:val="center"/>
              <w:rPr>
                <w:rFonts w:eastAsia="Calibri" w:cs="Calibri"/>
                <w:szCs w:val="16"/>
              </w:rPr>
            </w:pPr>
            <w:r w:rsidRPr="00BE78CA">
              <w:rPr>
                <w:rFonts w:eastAsia="Calibri" w:cs="Calibri"/>
                <w:szCs w:val="16"/>
              </w:rPr>
              <w:t>85</w:t>
            </w:r>
          </w:p>
        </w:tc>
        <w:tc>
          <w:tcPr>
            <w:tcW w:w="1276" w:type="dxa"/>
            <w:shd w:val="clear" w:color="auto" w:fill="auto"/>
          </w:tcPr>
          <w:p w14:paraId="5F05327F" w14:textId="77777777" w:rsidR="007F00E5" w:rsidRPr="00BE78CA" w:rsidRDefault="007F00E5" w:rsidP="00C26084">
            <w:pPr>
              <w:pStyle w:val="TableText"/>
              <w:jc w:val="center"/>
              <w:rPr>
                <w:rFonts w:eastAsia="Calibri" w:cs="Calibri"/>
                <w:szCs w:val="16"/>
              </w:rPr>
            </w:pPr>
            <w:r w:rsidRPr="00BE78CA">
              <w:rPr>
                <w:rFonts w:eastAsia="Calibri" w:cs="Calibri"/>
                <w:szCs w:val="16"/>
              </w:rPr>
              <w:t>50</w:t>
            </w:r>
          </w:p>
        </w:tc>
        <w:tc>
          <w:tcPr>
            <w:tcW w:w="992" w:type="dxa"/>
            <w:shd w:val="clear" w:color="auto" w:fill="auto"/>
          </w:tcPr>
          <w:p w14:paraId="656F1B7C" w14:textId="77777777" w:rsidR="007F00E5" w:rsidRPr="00BE78CA" w:rsidRDefault="007F00E5" w:rsidP="00C26084">
            <w:pPr>
              <w:pStyle w:val="TableText"/>
              <w:jc w:val="center"/>
              <w:rPr>
                <w:rFonts w:eastAsia="Calibri" w:cs="Calibri"/>
                <w:szCs w:val="16"/>
              </w:rPr>
            </w:pPr>
            <w:r w:rsidRPr="00BE78CA">
              <w:rPr>
                <w:rFonts w:eastAsia="Calibri" w:cs="Calibri"/>
                <w:szCs w:val="16"/>
              </w:rPr>
              <w:t>0</w:t>
            </w:r>
          </w:p>
        </w:tc>
      </w:tr>
      <w:tr w:rsidR="007F00E5" w:rsidRPr="00BE78CA" w14:paraId="2CB77246" w14:textId="77777777" w:rsidTr="00902485">
        <w:tc>
          <w:tcPr>
            <w:tcW w:w="2019" w:type="dxa"/>
            <w:shd w:val="clear" w:color="auto" w:fill="FFFFFF"/>
          </w:tcPr>
          <w:p w14:paraId="72522587" w14:textId="77777777" w:rsidR="007F00E5" w:rsidRPr="00BE78CA" w:rsidRDefault="007F00E5" w:rsidP="00C26084">
            <w:pPr>
              <w:pStyle w:val="TableText"/>
              <w:rPr>
                <w:rFonts w:eastAsia="Calibri" w:cs="Calibri"/>
                <w:bCs/>
                <w:szCs w:val="16"/>
              </w:rPr>
            </w:pPr>
            <w:r w:rsidRPr="00BE78CA">
              <w:rPr>
                <w:rFonts w:eastAsia="Calibri" w:cs="Calibri"/>
                <w:bCs/>
                <w:szCs w:val="16"/>
              </w:rPr>
              <w:t>Garden and park waste</w:t>
            </w:r>
          </w:p>
        </w:tc>
        <w:tc>
          <w:tcPr>
            <w:tcW w:w="3084" w:type="dxa"/>
            <w:gridSpan w:val="2"/>
            <w:shd w:val="clear" w:color="auto" w:fill="auto"/>
          </w:tcPr>
          <w:p w14:paraId="5476A174" w14:textId="77777777" w:rsidR="007F00E5" w:rsidRPr="00BE78CA" w:rsidRDefault="007F00E5" w:rsidP="00C26084">
            <w:pPr>
              <w:pStyle w:val="TableText"/>
              <w:jc w:val="center"/>
              <w:rPr>
                <w:rFonts w:eastAsia="Calibri" w:cs="Calibri"/>
                <w:szCs w:val="16"/>
              </w:rPr>
            </w:pPr>
            <w:r w:rsidRPr="00BE78CA">
              <w:rPr>
                <w:rFonts w:eastAsia="Calibri" w:cs="Calibri"/>
                <w:szCs w:val="16"/>
              </w:rPr>
              <w:t>0</w:t>
            </w:r>
          </w:p>
        </w:tc>
        <w:tc>
          <w:tcPr>
            <w:tcW w:w="1134" w:type="dxa"/>
            <w:shd w:val="clear" w:color="auto" w:fill="auto"/>
          </w:tcPr>
          <w:p w14:paraId="661CD141" w14:textId="77777777" w:rsidR="007F00E5" w:rsidRPr="00BE78CA" w:rsidRDefault="007F00E5" w:rsidP="00C26084">
            <w:pPr>
              <w:pStyle w:val="TableText"/>
              <w:jc w:val="center"/>
              <w:rPr>
                <w:rFonts w:eastAsia="Calibri" w:cs="Calibri"/>
                <w:szCs w:val="16"/>
              </w:rPr>
            </w:pPr>
            <w:r w:rsidRPr="00BE78CA">
              <w:rPr>
                <w:rFonts w:eastAsia="Calibri" w:cs="Calibri"/>
                <w:szCs w:val="16"/>
              </w:rPr>
              <w:t>40</w:t>
            </w:r>
          </w:p>
        </w:tc>
        <w:tc>
          <w:tcPr>
            <w:tcW w:w="1276" w:type="dxa"/>
            <w:shd w:val="clear" w:color="auto" w:fill="auto"/>
          </w:tcPr>
          <w:p w14:paraId="7A949CF3" w14:textId="77777777" w:rsidR="007F00E5" w:rsidRPr="00BE78CA" w:rsidRDefault="007F00E5" w:rsidP="00C26084">
            <w:pPr>
              <w:pStyle w:val="TableText"/>
              <w:jc w:val="center"/>
              <w:rPr>
                <w:rFonts w:eastAsia="Calibri" w:cs="Calibri"/>
                <w:szCs w:val="16"/>
              </w:rPr>
            </w:pPr>
            <w:r w:rsidRPr="00BE78CA">
              <w:rPr>
                <w:rFonts w:eastAsia="Calibri" w:cs="Calibri"/>
                <w:szCs w:val="16"/>
              </w:rPr>
              <w:t>49</w:t>
            </w:r>
          </w:p>
        </w:tc>
        <w:tc>
          <w:tcPr>
            <w:tcW w:w="992" w:type="dxa"/>
            <w:shd w:val="clear" w:color="auto" w:fill="auto"/>
          </w:tcPr>
          <w:p w14:paraId="32561D86" w14:textId="77777777" w:rsidR="007F00E5" w:rsidRPr="00BE78CA" w:rsidRDefault="007F00E5" w:rsidP="00C26084">
            <w:pPr>
              <w:pStyle w:val="TableText"/>
              <w:jc w:val="center"/>
              <w:rPr>
                <w:rFonts w:eastAsia="Calibri" w:cs="Calibri"/>
                <w:szCs w:val="16"/>
              </w:rPr>
            </w:pPr>
            <w:r w:rsidRPr="00BE78CA">
              <w:rPr>
                <w:rFonts w:eastAsia="Calibri" w:cs="Calibri"/>
                <w:szCs w:val="16"/>
              </w:rPr>
              <w:t>0</w:t>
            </w:r>
          </w:p>
        </w:tc>
      </w:tr>
      <w:tr w:rsidR="007F00E5" w:rsidRPr="00BE78CA" w14:paraId="0AB8B1B9" w14:textId="77777777" w:rsidTr="00902485">
        <w:tc>
          <w:tcPr>
            <w:tcW w:w="2019" w:type="dxa"/>
            <w:shd w:val="clear" w:color="auto" w:fill="FFFFFF"/>
          </w:tcPr>
          <w:p w14:paraId="14A7C40B" w14:textId="77777777" w:rsidR="007F00E5" w:rsidRPr="00BE78CA" w:rsidRDefault="007F00E5" w:rsidP="00C26084">
            <w:pPr>
              <w:pStyle w:val="TableText"/>
              <w:rPr>
                <w:rFonts w:eastAsia="Calibri" w:cs="Calibri"/>
                <w:bCs/>
                <w:szCs w:val="16"/>
              </w:rPr>
            </w:pPr>
            <w:r w:rsidRPr="00BE78CA">
              <w:rPr>
                <w:rFonts w:eastAsia="Calibri" w:cs="Calibri"/>
                <w:bCs/>
                <w:szCs w:val="16"/>
              </w:rPr>
              <w:t>Nappies</w:t>
            </w:r>
          </w:p>
        </w:tc>
        <w:tc>
          <w:tcPr>
            <w:tcW w:w="3084" w:type="dxa"/>
            <w:gridSpan w:val="2"/>
            <w:shd w:val="clear" w:color="auto" w:fill="auto"/>
          </w:tcPr>
          <w:p w14:paraId="0318A0F5" w14:textId="77777777" w:rsidR="007F00E5" w:rsidRPr="00BE78CA" w:rsidRDefault="007F00E5" w:rsidP="00C26084">
            <w:pPr>
              <w:pStyle w:val="TableText"/>
              <w:jc w:val="center"/>
              <w:rPr>
                <w:rFonts w:eastAsia="Calibri" w:cs="Calibri"/>
                <w:szCs w:val="16"/>
              </w:rPr>
            </w:pPr>
            <w:r w:rsidRPr="00BE78CA">
              <w:rPr>
                <w:rFonts w:eastAsia="Calibri" w:cs="Calibri"/>
                <w:szCs w:val="16"/>
              </w:rPr>
              <w:t>0</w:t>
            </w:r>
          </w:p>
        </w:tc>
        <w:tc>
          <w:tcPr>
            <w:tcW w:w="1134" w:type="dxa"/>
            <w:shd w:val="clear" w:color="auto" w:fill="auto"/>
          </w:tcPr>
          <w:p w14:paraId="62E38B01" w14:textId="77777777" w:rsidR="007F00E5" w:rsidRPr="00BE78CA" w:rsidRDefault="007F00E5" w:rsidP="00C26084">
            <w:pPr>
              <w:pStyle w:val="TableText"/>
              <w:jc w:val="center"/>
              <w:rPr>
                <w:rFonts w:eastAsia="Calibri" w:cs="Calibri"/>
                <w:szCs w:val="16"/>
              </w:rPr>
            </w:pPr>
            <w:r w:rsidRPr="00BE78CA">
              <w:rPr>
                <w:rFonts w:eastAsia="Calibri" w:cs="Calibri"/>
                <w:szCs w:val="16"/>
              </w:rPr>
              <w:t>40</w:t>
            </w:r>
          </w:p>
        </w:tc>
        <w:tc>
          <w:tcPr>
            <w:tcW w:w="1276" w:type="dxa"/>
            <w:shd w:val="clear" w:color="auto" w:fill="auto"/>
          </w:tcPr>
          <w:p w14:paraId="4E588174" w14:textId="77777777" w:rsidR="007F00E5" w:rsidRPr="00BE78CA" w:rsidRDefault="007F00E5" w:rsidP="00C26084">
            <w:pPr>
              <w:pStyle w:val="TableText"/>
              <w:jc w:val="center"/>
              <w:rPr>
                <w:rFonts w:eastAsia="Calibri" w:cs="Calibri"/>
                <w:szCs w:val="16"/>
              </w:rPr>
            </w:pPr>
            <w:r w:rsidRPr="00BE78CA">
              <w:rPr>
                <w:rFonts w:eastAsia="Calibri" w:cs="Calibri"/>
                <w:szCs w:val="16"/>
              </w:rPr>
              <w:t>70</w:t>
            </w:r>
          </w:p>
        </w:tc>
        <w:tc>
          <w:tcPr>
            <w:tcW w:w="992" w:type="dxa"/>
            <w:shd w:val="clear" w:color="auto" w:fill="auto"/>
          </w:tcPr>
          <w:p w14:paraId="346B12B0" w14:textId="77777777" w:rsidR="007F00E5" w:rsidRPr="00BE78CA" w:rsidRDefault="007F00E5" w:rsidP="00C26084">
            <w:pPr>
              <w:pStyle w:val="TableText"/>
              <w:jc w:val="center"/>
              <w:rPr>
                <w:rFonts w:eastAsia="Calibri" w:cs="Calibri"/>
                <w:szCs w:val="16"/>
              </w:rPr>
            </w:pPr>
            <w:r w:rsidRPr="00BE78CA">
              <w:rPr>
                <w:rFonts w:eastAsia="Calibri" w:cs="Calibri"/>
                <w:szCs w:val="16"/>
              </w:rPr>
              <w:t>10</w:t>
            </w:r>
          </w:p>
        </w:tc>
      </w:tr>
      <w:tr w:rsidR="007F00E5" w:rsidRPr="00BE78CA" w14:paraId="40078199" w14:textId="77777777" w:rsidTr="00902485">
        <w:tc>
          <w:tcPr>
            <w:tcW w:w="2019" w:type="dxa"/>
            <w:shd w:val="clear" w:color="auto" w:fill="FFFFFF"/>
          </w:tcPr>
          <w:p w14:paraId="6A86BA21" w14:textId="77777777" w:rsidR="007F00E5" w:rsidRPr="00BE78CA" w:rsidRDefault="007F00E5" w:rsidP="00C26084">
            <w:pPr>
              <w:pStyle w:val="TableText"/>
              <w:rPr>
                <w:rFonts w:eastAsia="Calibri" w:cs="Calibri"/>
                <w:bCs/>
                <w:szCs w:val="16"/>
              </w:rPr>
            </w:pPr>
            <w:r w:rsidRPr="00BE78CA">
              <w:rPr>
                <w:rFonts w:eastAsia="Calibri" w:cs="Calibri"/>
                <w:bCs/>
                <w:szCs w:val="16"/>
              </w:rPr>
              <w:lastRenderedPageBreak/>
              <w:t>Rubber and leather</w:t>
            </w:r>
          </w:p>
        </w:tc>
        <w:tc>
          <w:tcPr>
            <w:tcW w:w="1587" w:type="dxa"/>
            <w:vMerge w:val="restart"/>
            <w:shd w:val="clear" w:color="auto" w:fill="auto"/>
            <w:vAlign w:val="center"/>
          </w:tcPr>
          <w:p w14:paraId="4D9F7F78" w14:textId="77777777" w:rsidR="007F00E5" w:rsidRPr="00BE78CA" w:rsidRDefault="007F00E5" w:rsidP="00C26084">
            <w:pPr>
              <w:pStyle w:val="TableText"/>
              <w:spacing w:after="0"/>
              <w:jc w:val="center"/>
              <w:rPr>
                <w:rFonts w:eastAsia="Calibri" w:cs="Calibri"/>
                <w:szCs w:val="16"/>
              </w:rPr>
            </w:pPr>
            <w:r w:rsidRPr="00BE78CA">
              <w:rPr>
                <w:rFonts w:eastAsia="Calibri" w:cs="Calibri"/>
                <w:szCs w:val="16"/>
              </w:rPr>
              <w:t>24.0</w:t>
            </w:r>
          </w:p>
          <w:p w14:paraId="7AEA059E" w14:textId="77777777" w:rsidR="007F00E5" w:rsidRPr="00BE78CA" w:rsidRDefault="007F00E5" w:rsidP="00C26084">
            <w:pPr>
              <w:pStyle w:val="TableText"/>
              <w:jc w:val="center"/>
              <w:rPr>
                <w:rFonts w:eastAsia="Calibri" w:cs="Calibri"/>
                <w:szCs w:val="16"/>
              </w:rPr>
            </w:pPr>
            <w:r w:rsidRPr="00BE78CA">
              <w:rPr>
                <w:rFonts w:eastAsia="Calibri" w:cs="Calibri"/>
                <w:szCs w:val="16"/>
              </w:rPr>
              <w:t>(‘inert’)</w:t>
            </w:r>
          </w:p>
        </w:tc>
        <w:tc>
          <w:tcPr>
            <w:tcW w:w="1497" w:type="dxa"/>
            <w:shd w:val="clear" w:color="auto" w:fill="auto"/>
          </w:tcPr>
          <w:p w14:paraId="7EE6753B" w14:textId="77777777" w:rsidR="007F00E5" w:rsidRPr="00BE78CA" w:rsidRDefault="007F00E5" w:rsidP="00C26084">
            <w:pPr>
              <w:pStyle w:val="TableText"/>
              <w:jc w:val="center"/>
              <w:rPr>
                <w:rFonts w:eastAsia="Calibri" w:cs="Calibri"/>
                <w:szCs w:val="16"/>
              </w:rPr>
            </w:pPr>
            <w:r w:rsidRPr="00BE78CA">
              <w:rPr>
                <w:rFonts w:eastAsia="Calibri" w:cs="Calibri"/>
                <w:szCs w:val="16"/>
              </w:rPr>
              <w:t>0</w:t>
            </w:r>
          </w:p>
        </w:tc>
        <w:tc>
          <w:tcPr>
            <w:tcW w:w="1134" w:type="dxa"/>
            <w:shd w:val="clear" w:color="auto" w:fill="auto"/>
          </w:tcPr>
          <w:p w14:paraId="6A2C5BEE" w14:textId="77777777" w:rsidR="007F00E5" w:rsidRPr="00BE78CA" w:rsidRDefault="007F00E5" w:rsidP="00C26084">
            <w:pPr>
              <w:pStyle w:val="TableText"/>
              <w:jc w:val="center"/>
              <w:rPr>
                <w:rFonts w:eastAsia="Calibri" w:cs="Calibri"/>
                <w:szCs w:val="16"/>
              </w:rPr>
            </w:pPr>
            <w:r w:rsidRPr="00BE78CA">
              <w:rPr>
                <w:rFonts w:eastAsia="Calibri" w:cs="Calibri"/>
                <w:szCs w:val="16"/>
              </w:rPr>
              <w:t>84</w:t>
            </w:r>
          </w:p>
        </w:tc>
        <w:tc>
          <w:tcPr>
            <w:tcW w:w="1276" w:type="dxa"/>
            <w:shd w:val="clear" w:color="auto" w:fill="auto"/>
          </w:tcPr>
          <w:p w14:paraId="42CFB145" w14:textId="77777777" w:rsidR="007F00E5" w:rsidRPr="00BE78CA" w:rsidRDefault="007F00E5" w:rsidP="00C26084">
            <w:pPr>
              <w:pStyle w:val="TableText"/>
              <w:jc w:val="center"/>
              <w:rPr>
                <w:rFonts w:eastAsia="Calibri" w:cs="Calibri"/>
                <w:szCs w:val="16"/>
              </w:rPr>
            </w:pPr>
            <w:r w:rsidRPr="00BE78CA">
              <w:rPr>
                <w:rFonts w:eastAsia="Calibri" w:cs="Calibri"/>
                <w:szCs w:val="16"/>
              </w:rPr>
              <w:t>67</w:t>
            </w:r>
          </w:p>
        </w:tc>
        <w:tc>
          <w:tcPr>
            <w:tcW w:w="992" w:type="dxa"/>
            <w:shd w:val="clear" w:color="auto" w:fill="auto"/>
          </w:tcPr>
          <w:p w14:paraId="34D08EEA" w14:textId="77777777" w:rsidR="007F00E5" w:rsidRPr="00BE78CA" w:rsidRDefault="007F00E5" w:rsidP="00C26084">
            <w:pPr>
              <w:pStyle w:val="TableText"/>
              <w:jc w:val="center"/>
              <w:rPr>
                <w:rFonts w:eastAsia="Calibri" w:cs="Calibri"/>
                <w:szCs w:val="16"/>
              </w:rPr>
            </w:pPr>
            <w:r w:rsidRPr="00BE78CA">
              <w:rPr>
                <w:rFonts w:eastAsia="Calibri" w:cs="Calibri"/>
                <w:szCs w:val="16"/>
              </w:rPr>
              <w:t>20</w:t>
            </w:r>
          </w:p>
        </w:tc>
      </w:tr>
      <w:tr w:rsidR="007F00E5" w:rsidRPr="00BE78CA" w14:paraId="6A9B2296" w14:textId="77777777" w:rsidTr="00902485">
        <w:tc>
          <w:tcPr>
            <w:tcW w:w="2019" w:type="dxa"/>
            <w:shd w:val="clear" w:color="auto" w:fill="FFFFFF"/>
          </w:tcPr>
          <w:p w14:paraId="7B039535" w14:textId="77777777" w:rsidR="007F00E5" w:rsidRPr="00BE78CA" w:rsidRDefault="007F00E5" w:rsidP="00C26084">
            <w:pPr>
              <w:pStyle w:val="TableText"/>
              <w:rPr>
                <w:rFonts w:eastAsia="Calibri" w:cs="Calibri"/>
                <w:bCs/>
                <w:szCs w:val="16"/>
              </w:rPr>
            </w:pPr>
            <w:r w:rsidRPr="00BE78CA">
              <w:rPr>
                <w:rFonts w:eastAsia="Calibri" w:cs="Calibri"/>
                <w:bCs/>
                <w:szCs w:val="16"/>
              </w:rPr>
              <w:t>Plastics</w:t>
            </w:r>
          </w:p>
        </w:tc>
        <w:tc>
          <w:tcPr>
            <w:tcW w:w="1587" w:type="dxa"/>
            <w:vMerge/>
            <w:shd w:val="clear" w:color="auto" w:fill="auto"/>
          </w:tcPr>
          <w:p w14:paraId="53800F29" w14:textId="77777777" w:rsidR="007F00E5" w:rsidRPr="00BE78CA" w:rsidRDefault="007F00E5" w:rsidP="00C26084">
            <w:pPr>
              <w:spacing w:before="120"/>
              <w:rPr>
                <w:rFonts w:eastAsia="Calibri" w:cs="Calibri"/>
                <w:sz w:val="16"/>
                <w:szCs w:val="16"/>
              </w:rPr>
            </w:pPr>
          </w:p>
        </w:tc>
        <w:tc>
          <w:tcPr>
            <w:tcW w:w="1497" w:type="dxa"/>
            <w:shd w:val="clear" w:color="auto" w:fill="auto"/>
          </w:tcPr>
          <w:p w14:paraId="72D269F0" w14:textId="77777777" w:rsidR="007F00E5" w:rsidRPr="00BE78CA" w:rsidRDefault="007F00E5" w:rsidP="00C26084">
            <w:pPr>
              <w:pStyle w:val="TableText"/>
              <w:jc w:val="center"/>
              <w:rPr>
                <w:rFonts w:eastAsia="Calibri" w:cs="Calibri"/>
                <w:szCs w:val="16"/>
              </w:rPr>
            </w:pPr>
            <w:r w:rsidRPr="00BE78CA">
              <w:rPr>
                <w:rFonts w:eastAsia="Calibri" w:cs="Calibri"/>
                <w:szCs w:val="16"/>
              </w:rPr>
              <w:t>0</w:t>
            </w:r>
          </w:p>
        </w:tc>
        <w:tc>
          <w:tcPr>
            <w:tcW w:w="1134" w:type="dxa"/>
            <w:shd w:val="clear" w:color="auto" w:fill="auto"/>
          </w:tcPr>
          <w:p w14:paraId="0D37186C" w14:textId="77777777" w:rsidR="007F00E5" w:rsidRPr="00BE78CA" w:rsidRDefault="007F00E5" w:rsidP="00C26084">
            <w:pPr>
              <w:pStyle w:val="TableText"/>
              <w:jc w:val="center"/>
              <w:rPr>
                <w:rFonts w:eastAsia="Calibri" w:cs="Calibri"/>
                <w:szCs w:val="16"/>
              </w:rPr>
            </w:pPr>
            <w:r w:rsidRPr="00BE78CA">
              <w:rPr>
                <w:rFonts w:eastAsia="Calibri" w:cs="Calibri"/>
                <w:szCs w:val="16"/>
              </w:rPr>
              <w:t>100</w:t>
            </w:r>
          </w:p>
        </w:tc>
        <w:tc>
          <w:tcPr>
            <w:tcW w:w="1276" w:type="dxa"/>
            <w:shd w:val="clear" w:color="auto" w:fill="auto"/>
          </w:tcPr>
          <w:p w14:paraId="15B0A102" w14:textId="77777777" w:rsidR="007F00E5" w:rsidRPr="00BE78CA" w:rsidRDefault="007F00E5" w:rsidP="00C26084">
            <w:pPr>
              <w:pStyle w:val="TableText"/>
              <w:jc w:val="center"/>
              <w:rPr>
                <w:rFonts w:eastAsia="Calibri" w:cs="Calibri"/>
                <w:szCs w:val="16"/>
              </w:rPr>
            </w:pPr>
            <w:r w:rsidRPr="00BE78CA">
              <w:rPr>
                <w:rFonts w:eastAsia="Calibri" w:cs="Calibri"/>
                <w:szCs w:val="16"/>
              </w:rPr>
              <w:t>75</w:t>
            </w:r>
          </w:p>
        </w:tc>
        <w:tc>
          <w:tcPr>
            <w:tcW w:w="992" w:type="dxa"/>
            <w:shd w:val="clear" w:color="auto" w:fill="auto"/>
          </w:tcPr>
          <w:p w14:paraId="341D7EED" w14:textId="77777777" w:rsidR="007F00E5" w:rsidRPr="00BE78CA" w:rsidRDefault="007F00E5" w:rsidP="00C26084">
            <w:pPr>
              <w:pStyle w:val="TableText"/>
              <w:jc w:val="center"/>
              <w:rPr>
                <w:rFonts w:eastAsia="Calibri" w:cs="Calibri"/>
                <w:szCs w:val="16"/>
              </w:rPr>
            </w:pPr>
            <w:r w:rsidRPr="00BE78CA">
              <w:rPr>
                <w:rFonts w:eastAsia="Calibri" w:cs="Calibri"/>
                <w:szCs w:val="16"/>
              </w:rPr>
              <w:t>100</w:t>
            </w:r>
          </w:p>
        </w:tc>
      </w:tr>
      <w:tr w:rsidR="007F00E5" w:rsidRPr="00BE78CA" w14:paraId="19A7077B" w14:textId="77777777" w:rsidTr="00902485">
        <w:tc>
          <w:tcPr>
            <w:tcW w:w="2019" w:type="dxa"/>
            <w:shd w:val="clear" w:color="auto" w:fill="FFFFFF"/>
          </w:tcPr>
          <w:p w14:paraId="5C8AC230" w14:textId="77777777" w:rsidR="007F00E5" w:rsidRPr="00BE78CA" w:rsidRDefault="007F00E5" w:rsidP="00C26084">
            <w:pPr>
              <w:pStyle w:val="TableText"/>
              <w:rPr>
                <w:rFonts w:eastAsia="Calibri" w:cs="Calibri"/>
                <w:bCs/>
                <w:szCs w:val="16"/>
              </w:rPr>
            </w:pPr>
            <w:r w:rsidRPr="00BE78CA">
              <w:rPr>
                <w:rFonts w:eastAsia="Calibri" w:cs="Calibri"/>
                <w:bCs/>
                <w:szCs w:val="16"/>
              </w:rPr>
              <w:t>Metal</w:t>
            </w:r>
          </w:p>
        </w:tc>
        <w:tc>
          <w:tcPr>
            <w:tcW w:w="1587" w:type="dxa"/>
            <w:vMerge/>
            <w:shd w:val="clear" w:color="auto" w:fill="auto"/>
          </w:tcPr>
          <w:p w14:paraId="52488247" w14:textId="77777777" w:rsidR="007F00E5" w:rsidRPr="00BE78CA" w:rsidRDefault="007F00E5" w:rsidP="00C26084">
            <w:pPr>
              <w:spacing w:before="120"/>
              <w:rPr>
                <w:rFonts w:eastAsia="Calibri" w:cs="Calibri"/>
                <w:sz w:val="16"/>
                <w:szCs w:val="16"/>
              </w:rPr>
            </w:pPr>
          </w:p>
        </w:tc>
        <w:tc>
          <w:tcPr>
            <w:tcW w:w="1497" w:type="dxa"/>
            <w:shd w:val="clear" w:color="auto" w:fill="auto"/>
          </w:tcPr>
          <w:p w14:paraId="42BACBA3" w14:textId="77777777" w:rsidR="007F00E5" w:rsidRPr="00BE78CA" w:rsidRDefault="007F00E5" w:rsidP="00C26084">
            <w:pPr>
              <w:pStyle w:val="TableText"/>
              <w:jc w:val="center"/>
              <w:rPr>
                <w:rFonts w:eastAsia="Calibri" w:cs="Calibri"/>
                <w:szCs w:val="16"/>
              </w:rPr>
            </w:pPr>
            <w:r w:rsidRPr="00BE78CA">
              <w:rPr>
                <w:rFonts w:eastAsia="Calibri" w:cs="Calibri"/>
                <w:szCs w:val="16"/>
              </w:rPr>
              <w:t>0</w:t>
            </w:r>
          </w:p>
        </w:tc>
        <w:tc>
          <w:tcPr>
            <w:tcW w:w="1134" w:type="dxa"/>
            <w:shd w:val="clear" w:color="auto" w:fill="auto"/>
          </w:tcPr>
          <w:p w14:paraId="132310FF" w14:textId="77777777" w:rsidR="007F00E5" w:rsidRPr="00BE78CA" w:rsidRDefault="007F00E5" w:rsidP="00C26084">
            <w:pPr>
              <w:pStyle w:val="TableText"/>
              <w:jc w:val="center"/>
              <w:rPr>
                <w:rFonts w:eastAsia="Calibri" w:cs="Calibri"/>
                <w:szCs w:val="16"/>
              </w:rPr>
            </w:pPr>
            <w:r w:rsidRPr="00BE78CA">
              <w:rPr>
                <w:rFonts w:eastAsia="Calibri" w:cs="Calibri"/>
                <w:szCs w:val="16"/>
              </w:rPr>
              <w:t>100</w:t>
            </w:r>
          </w:p>
        </w:tc>
        <w:tc>
          <w:tcPr>
            <w:tcW w:w="1276" w:type="dxa"/>
            <w:shd w:val="clear" w:color="auto" w:fill="auto"/>
          </w:tcPr>
          <w:p w14:paraId="434FC5E0" w14:textId="77777777" w:rsidR="007F00E5" w:rsidRPr="00BE78CA" w:rsidRDefault="007F00E5" w:rsidP="00C26084">
            <w:pPr>
              <w:pStyle w:val="TableText"/>
              <w:jc w:val="center"/>
              <w:rPr>
                <w:rFonts w:eastAsia="Calibri" w:cs="Calibri"/>
                <w:szCs w:val="16"/>
              </w:rPr>
            </w:pPr>
            <w:r w:rsidRPr="00BE78CA">
              <w:rPr>
                <w:rFonts w:eastAsia="Calibri" w:cs="Calibri"/>
                <w:szCs w:val="16"/>
              </w:rPr>
              <w:t>NA</w:t>
            </w:r>
          </w:p>
        </w:tc>
        <w:tc>
          <w:tcPr>
            <w:tcW w:w="992" w:type="dxa"/>
            <w:shd w:val="clear" w:color="auto" w:fill="auto"/>
          </w:tcPr>
          <w:p w14:paraId="666707E7" w14:textId="77777777" w:rsidR="007F00E5" w:rsidRPr="00BE78CA" w:rsidRDefault="007F00E5" w:rsidP="00C26084">
            <w:pPr>
              <w:pStyle w:val="TableText"/>
              <w:jc w:val="center"/>
              <w:rPr>
                <w:rFonts w:eastAsia="Calibri" w:cs="Calibri"/>
                <w:szCs w:val="16"/>
              </w:rPr>
            </w:pPr>
            <w:r w:rsidRPr="00BE78CA">
              <w:rPr>
                <w:rFonts w:eastAsia="Calibri" w:cs="Calibri"/>
                <w:szCs w:val="16"/>
              </w:rPr>
              <w:t>NA</w:t>
            </w:r>
          </w:p>
        </w:tc>
      </w:tr>
      <w:tr w:rsidR="007F00E5" w:rsidRPr="00BE78CA" w14:paraId="46E5A742" w14:textId="77777777" w:rsidTr="00902485">
        <w:tc>
          <w:tcPr>
            <w:tcW w:w="2019" w:type="dxa"/>
            <w:shd w:val="clear" w:color="auto" w:fill="FFFFFF"/>
          </w:tcPr>
          <w:p w14:paraId="37D6B600" w14:textId="77777777" w:rsidR="007F00E5" w:rsidRPr="00BE78CA" w:rsidRDefault="007F00E5" w:rsidP="00C26084">
            <w:pPr>
              <w:pStyle w:val="TableText"/>
              <w:rPr>
                <w:rFonts w:eastAsia="Calibri" w:cs="Calibri"/>
                <w:bCs/>
                <w:szCs w:val="16"/>
              </w:rPr>
            </w:pPr>
            <w:r w:rsidRPr="00BE78CA">
              <w:rPr>
                <w:rFonts w:eastAsia="Calibri" w:cs="Calibri"/>
                <w:bCs/>
                <w:szCs w:val="16"/>
              </w:rPr>
              <w:t>Glass</w:t>
            </w:r>
          </w:p>
        </w:tc>
        <w:tc>
          <w:tcPr>
            <w:tcW w:w="1587" w:type="dxa"/>
            <w:vMerge/>
            <w:shd w:val="clear" w:color="auto" w:fill="auto"/>
          </w:tcPr>
          <w:p w14:paraId="4311004E" w14:textId="77777777" w:rsidR="007F00E5" w:rsidRPr="00BE78CA" w:rsidRDefault="007F00E5" w:rsidP="00C26084">
            <w:pPr>
              <w:spacing w:before="120"/>
              <w:rPr>
                <w:rFonts w:eastAsia="Calibri" w:cs="Calibri"/>
                <w:sz w:val="16"/>
                <w:szCs w:val="16"/>
              </w:rPr>
            </w:pPr>
          </w:p>
        </w:tc>
        <w:tc>
          <w:tcPr>
            <w:tcW w:w="1497" w:type="dxa"/>
            <w:shd w:val="clear" w:color="auto" w:fill="auto"/>
          </w:tcPr>
          <w:p w14:paraId="7E459629" w14:textId="77777777" w:rsidR="007F00E5" w:rsidRPr="00BE78CA" w:rsidRDefault="007F00E5" w:rsidP="00C26084">
            <w:pPr>
              <w:pStyle w:val="TableText"/>
              <w:jc w:val="center"/>
              <w:rPr>
                <w:rFonts w:eastAsia="Calibri" w:cs="Calibri"/>
                <w:szCs w:val="16"/>
              </w:rPr>
            </w:pPr>
            <w:r w:rsidRPr="00BE78CA">
              <w:rPr>
                <w:rFonts w:eastAsia="Calibri" w:cs="Calibri"/>
                <w:szCs w:val="16"/>
              </w:rPr>
              <w:t>0</w:t>
            </w:r>
          </w:p>
        </w:tc>
        <w:tc>
          <w:tcPr>
            <w:tcW w:w="1134" w:type="dxa"/>
            <w:shd w:val="clear" w:color="auto" w:fill="auto"/>
          </w:tcPr>
          <w:p w14:paraId="4E9E9D54" w14:textId="77777777" w:rsidR="007F00E5" w:rsidRPr="00BE78CA" w:rsidRDefault="007F00E5" w:rsidP="00C26084">
            <w:pPr>
              <w:pStyle w:val="TableText"/>
              <w:jc w:val="center"/>
              <w:rPr>
                <w:rFonts w:eastAsia="Calibri" w:cs="Calibri"/>
                <w:szCs w:val="16"/>
              </w:rPr>
            </w:pPr>
            <w:r w:rsidRPr="00BE78CA">
              <w:rPr>
                <w:rFonts w:eastAsia="Calibri" w:cs="Calibri"/>
                <w:szCs w:val="16"/>
              </w:rPr>
              <w:t>100</w:t>
            </w:r>
          </w:p>
        </w:tc>
        <w:tc>
          <w:tcPr>
            <w:tcW w:w="1276" w:type="dxa"/>
            <w:shd w:val="clear" w:color="auto" w:fill="auto"/>
          </w:tcPr>
          <w:p w14:paraId="360671DD" w14:textId="77777777" w:rsidR="007F00E5" w:rsidRPr="00BE78CA" w:rsidRDefault="007F00E5" w:rsidP="00C26084">
            <w:pPr>
              <w:pStyle w:val="TableText"/>
              <w:jc w:val="center"/>
              <w:rPr>
                <w:rFonts w:eastAsia="Calibri" w:cs="Calibri"/>
                <w:szCs w:val="16"/>
              </w:rPr>
            </w:pPr>
            <w:r w:rsidRPr="00BE78CA">
              <w:rPr>
                <w:rFonts w:eastAsia="Calibri" w:cs="Calibri"/>
                <w:szCs w:val="16"/>
              </w:rPr>
              <w:t>NA</w:t>
            </w:r>
          </w:p>
        </w:tc>
        <w:tc>
          <w:tcPr>
            <w:tcW w:w="992" w:type="dxa"/>
            <w:shd w:val="clear" w:color="auto" w:fill="auto"/>
          </w:tcPr>
          <w:p w14:paraId="304AF6AA" w14:textId="77777777" w:rsidR="007F00E5" w:rsidRPr="00BE78CA" w:rsidRDefault="007F00E5" w:rsidP="00C26084">
            <w:pPr>
              <w:pStyle w:val="TableText"/>
              <w:jc w:val="center"/>
              <w:rPr>
                <w:rFonts w:eastAsia="Calibri" w:cs="Calibri"/>
                <w:szCs w:val="16"/>
              </w:rPr>
            </w:pPr>
            <w:r w:rsidRPr="00BE78CA">
              <w:rPr>
                <w:rFonts w:eastAsia="Calibri" w:cs="Calibri"/>
                <w:szCs w:val="16"/>
              </w:rPr>
              <w:t>NA</w:t>
            </w:r>
          </w:p>
        </w:tc>
      </w:tr>
      <w:tr w:rsidR="007F00E5" w:rsidRPr="00BE78CA" w14:paraId="46D069B8" w14:textId="77777777" w:rsidTr="00902485">
        <w:tc>
          <w:tcPr>
            <w:tcW w:w="2019" w:type="dxa"/>
            <w:tcBorders>
              <w:bottom w:val="single" w:sz="4" w:space="0" w:color="365F91"/>
            </w:tcBorders>
            <w:shd w:val="clear" w:color="auto" w:fill="FFFFFF"/>
          </w:tcPr>
          <w:p w14:paraId="734E5E19" w14:textId="77777777" w:rsidR="007F00E5" w:rsidRPr="00BE78CA" w:rsidRDefault="007F00E5" w:rsidP="00C26084">
            <w:pPr>
              <w:pStyle w:val="TableText"/>
              <w:rPr>
                <w:rFonts w:eastAsia="Calibri" w:cs="Calibri"/>
                <w:bCs/>
                <w:szCs w:val="16"/>
              </w:rPr>
            </w:pPr>
            <w:r w:rsidRPr="00BE78CA">
              <w:rPr>
                <w:rFonts w:eastAsia="Calibri" w:cs="Calibri"/>
                <w:bCs/>
                <w:szCs w:val="16"/>
              </w:rPr>
              <w:t>Other, inert</w:t>
            </w:r>
          </w:p>
        </w:tc>
        <w:tc>
          <w:tcPr>
            <w:tcW w:w="1587" w:type="dxa"/>
            <w:vMerge/>
            <w:tcBorders>
              <w:bottom w:val="single" w:sz="4" w:space="0" w:color="365F91"/>
            </w:tcBorders>
            <w:shd w:val="clear" w:color="auto" w:fill="auto"/>
          </w:tcPr>
          <w:p w14:paraId="207CDE18" w14:textId="77777777" w:rsidR="007F00E5" w:rsidRPr="00BE78CA" w:rsidRDefault="007F00E5" w:rsidP="00C26084">
            <w:pPr>
              <w:spacing w:before="120"/>
              <w:rPr>
                <w:rFonts w:eastAsia="Calibri" w:cs="Calibri"/>
                <w:sz w:val="16"/>
                <w:szCs w:val="16"/>
              </w:rPr>
            </w:pPr>
          </w:p>
        </w:tc>
        <w:tc>
          <w:tcPr>
            <w:tcW w:w="1497" w:type="dxa"/>
            <w:tcBorders>
              <w:bottom w:val="single" w:sz="4" w:space="0" w:color="365F91"/>
            </w:tcBorders>
            <w:shd w:val="clear" w:color="auto" w:fill="auto"/>
          </w:tcPr>
          <w:p w14:paraId="7160FFAE" w14:textId="77777777" w:rsidR="007F00E5" w:rsidRPr="00BE78CA" w:rsidRDefault="007F00E5" w:rsidP="00C26084">
            <w:pPr>
              <w:pStyle w:val="TableText"/>
              <w:jc w:val="center"/>
              <w:rPr>
                <w:rFonts w:eastAsia="Calibri" w:cs="Calibri"/>
                <w:szCs w:val="16"/>
              </w:rPr>
            </w:pPr>
            <w:r w:rsidRPr="00BE78CA">
              <w:rPr>
                <w:rFonts w:eastAsia="Calibri" w:cs="Calibri"/>
                <w:szCs w:val="16"/>
              </w:rPr>
              <w:t>24.0</w:t>
            </w:r>
          </w:p>
        </w:tc>
        <w:tc>
          <w:tcPr>
            <w:tcW w:w="1134" w:type="dxa"/>
            <w:tcBorders>
              <w:bottom w:val="single" w:sz="4" w:space="0" w:color="365F91"/>
            </w:tcBorders>
            <w:shd w:val="clear" w:color="auto" w:fill="auto"/>
          </w:tcPr>
          <w:p w14:paraId="313DA28F" w14:textId="77777777" w:rsidR="007F00E5" w:rsidRPr="00BE78CA" w:rsidRDefault="007F00E5" w:rsidP="00C26084">
            <w:pPr>
              <w:pStyle w:val="TableText"/>
              <w:jc w:val="center"/>
              <w:rPr>
                <w:rFonts w:eastAsia="Calibri" w:cs="Calibri"/>
                <w:szCs w:val="16"/>
              </w:rPr>
            </w:pPr>
            <w:r w:rsidRPr="00BE78CA">
              <w:rPr>
                <w:rFonts w:eastAsia="Calibri" w:cs="Calibri"/>
                <w:szCs w:val="16"/>
              </w:rPr>
              <w:t>90</w:t>
            </w:r>
          </w:p>
        </w:tc>
        <w:tc>
          <w:tcPr>
            <w:tcW w:w="1276" w:type="dxa"/>
            <w:tcBorders>
              <w:bottom w:val="single" w:sz="4" w:space="0" w:color="365F91"/>
            </w:tcBorders>
            <w:shd w:val="clear" w:color="auto" w:fill="auto"/>
          </w:tcPr>
          <w:p w14:paraId="2492149A" w14:textId="77777777" w:rsidR="007F00E5" w:rsidRPr="00BE78CA" w:rsidRDefault="007F00E5" w:rsidP="00C26084">
            <w:pPr>
              <w:pStyle w:val="TableText"/>
              <w:jc w:val="center"/>
              <w:rPr>
                <w:rFonts w:eastAsia="Calibri" w:cs="Calibri"/>
                <w:szCs w:val="16"/>
              </w:rPr>
            </w:pPr>
            <w:r w:rsidRPr="00BE78CA">
              <w:rPr>
                <w:rFonts w:eastAsia="Calibri" w:cs="Calibri"/>
                <w:szCs w:val="16"/>
              </w:rPr>
              <w:t>3</w:t>
            </w:r>
          </w:p>
        </w:tc>
        <w:tc>
          <w:tcPr>
            <w:tcW w:w="992" w:type="dxa"/>
            <w:tcBorders>
              <w:bottom w:val="single" w:sz="4" w:space="0" w:color="365F91"/>
            </w:tcBorders>
            <w:shd w:val="clear" w:color="auto" w:fill="auto"/>
          </w:tcPr>
          <w:p w14:paraId="132D2AD2" w14:textId="77777777" w:rsidR="007F00E5" w:rsidRPr="00BE78CA" w:rsidRDefault="007F00E5" w:rsidP="00C26084">
            <w:pPr>
              <w:pStyle w:val="TableText"/>
              <w:jc w:val="center"/>
              <w:rPr>
                <w:rFonts w:eastAsia="Calibri" w:cs="Calibri"/>
                <w:szCs w:val="16"/>
              </w:rPr>
            </w:pPr>
            <w:r w:rsidRPr="00BE78CA">
              <w:rPr>
                <w:rFonts w:eastAsia="Calibri" w:cs="Calibri"/>
                <w:szCs w:val="16"/>
              </w:rPr>
              <w:t>100</w:t>
            </w:r>
          </w:p>
        </w:tc>
      </w:tr>
      <w:tr w:rsidR="007F00E5" w:rsidRPr="00BE78CA" w14:paraId="16936683" w14:textId="77777777" w:rsidTr="00902485">
        <w:tc>
          <w:tcPr>
            <w:tcW w:w="5103" w:type="dxa"/>
            <w:gridSpan w:val="3"/>
            <w:tcBorders>
              <w:right w:val="nil"/>
            </w:tcBorders>
            <w:shd w:val="clear" w:color="auto" w:fill="FFFFFF" w:themeFill="background1"/>
          </w:tcPr>
          <w:p w14:paraId="447490DC" w14:textId="77777777" w:rsidR="007F00E5" w:rsidRPr="00BE78CA" w:rsidRDefault="007F00E5" w:rsidP="00902485">
            <w:pPr>
              <w:pStyle w:val="Tableboldblue"/>
              <w:jc w:val="right"/>
              <w:rPr>
                <w:rFonts w:eastAsia="Calibri"/>
              </w:rPr>
            </w:pPr>
            <w:r w:rsidRPr="00BE78CA">
              <w:rPr>
                <w:rFonts w:eastAsia="Calibri"/>
              </w:rPr>
              <w:t>Calculated weighted average</w:t>
            </w:r>
          </w:p>
        </w:tc>
        <w:tc>
          <w:tcPr>
            <w:tcW w:w="1134" w:type="dxa"/>
            <w:shd w:val="clear" w:color="auto" w:fill="FFFFFF" w:themeFill="background1"/>
          </w:tcPr>
          <w:p w14:paraId="46E619AB" w14:textId="77777777" w:rsidR="007F00E5" w:rsidRPr="00BE78CA" w:rsidRDefault="007F00E5" w:rsidP="00902485">
            <w:pPr>
              <w:pStyle w:val="Tableboldblue"/>
              <w:jc w:val="right"/>
              <w:rPr>
                <w:rFonts w:eastAsia="Calibri"/>
              </w:rPr>
            </w:pPr>
            <w:r w:rsidRPr="00BE78CA">
              <w:rPr>
                <w:rFonts w:eastAsia="Calibri"/>
              </w:rPr>
              <w:t>56.13</w:t>
            </w:r>
          </w:p>
        </w:tc>
        <w:tc>
          <w:tcPr>
            <w:tcW w:w="1276" w:type="dxa"/>
            <w:shd w:val="clear" w:color="auto" w:fill="FFFFFF" w:themeFill="background1"/>
          </w:tcPr>
          <w:p w14:paraId="0473957C" w14:textId="77777777" w:rsidR="007F00E5" w:rsidRPr="00BE78CA" w:rsidRDefault="007F00E5" w:rsidP="00902485">
            <w:pPr>
              <w:pStyle w:val="Tableboldblue"/>
              <w:jc w:val="right"/>
              <w:rPr>
                <w:rFonts w:eastAsia="Calibri"/>
              </w:rPr>
            </w:pPr>
            <w:r w:rsidRPr="00BE78CA">
              <w:rPr>
                <w:rFonts w:eastAsia="Calibri"/>
              </w:rPr>
              <w:t>30.20</w:t>
            </w:r>
          </w:p>
        </w:tc>
        <w:tc>
          <w:tcPr>
            <w:tcW w:w="992" w:type="dxa"/>
            <w:shd w:val="clear" w:color="auto" w:fill="FFFFFF" w:themeFill="background1"/>
          </w:tcPr>
          <w:p w14:paraId="613A59C9" w14:textId="77777777" w:rsidR="007F00E5" w:rsidRPr="00BE78CA" w:rsidRDefault="007F00E5" w:rsidP="00902485">
            <w:pPr>
              <w:pStyle w:val="Tableboldblue"/>
              <w:jc w:val="right"/>
              <w:rPr>
                <w:rFonts w:eastAsia="Calibri"/>
              </w:rPr>
            </w:pPr>
            <w:r w:rsidRPr="00BE78CA">
              <w:rPr>
                <w:rFonts w:eastAsia="Calibri"/>
              </w:rPr>
              <w:t>24.06</w:t>
            </w:r>
          </w:p>
        </w:tc>
      </w:tr>
    </w:tbl>
    <w:p w14:paraId="2FD0780C" w14:textId="77777777" w:rsidR="007F00E5" w:rsidRPr="00BE78CA" w:rsidRDefault="007F00E5" w:rsidP="007F00E5">
      <w:pPr>
        <w:pStyle w:val="BodyText"/>
        <w:spacing w:before="240"/>
      </w:pPr>
      <w:r w:rsidRPr="00BE78CA">
        <w:t xml:space="preserve">Percentages in table 8.5.3 are defaults from table 2.3 and table 2.4 of volume 5, 2006 IPCC Guidelines (IPCC, 2006d). </w:t>
      </w:r>
    </w:p>
    <w:p w14:paraId="6B9A30A2" w14:textId="77777777" w:rsidR="007F00E5" w:rsidRPr="00BE78CA" w:rsidRDefault="007F00E5" w:rsidP="007F00E5">
      <w:pPr>
        <w:pStyle w:val="BodyText"/>
        <w:rPr>
          <w:spacing w:val="-2"/>
        </w:rPr>
      </w:pPr>
      <w:r w:rsidRPr="00BE78CA">
        <w:rPr>
          <w:spacing w:val="-2"/>
        </w:rPr>
        <w:t>An assumption was made that ‘inert’ waste for landfills is classified entirely as ‘other inert’ waste for incineration (the impact of this assumption is that emissions are slightly higher than distributing the 24 per cent over the various inert types due to the high fossil carbon percentage).</w:t>
      </w:r>
    </w:p>
    <w:p w14:paraId="1548B39C" w14:textId="77777777" w:rsidR="007F00E5" w:rsidRPr="00BE78CA" w:rsidRDefault="007F00E5" w:rsidP="007F00E5">
      <w:pPr>
        <w:pStyle w:val="Heading4"/>
      </w:pPr>
      <w:r w:rsidRPr="00BE78CA">
        <w:t>Uncertainty</w:t>
      </w:r>
    </w:p>
    <w:p w14:paraId="211F2BC9" w14:textId="77777777" w:rsidR="007F00E5" w:rsidRPr="00BE78CA" w:rsidRDefault="007F00E5" w:rsidP="007F00E5">
      <w:pPr>
        <w:pStyle w:val="BodyText"/>
      </w:pPr>
      <w:r w:rsidRPr="00BE78CA">
        <w:t xml:space="preserve">The same uncertainty data for open burning of waste were used for Tokelau and New Zealand (see table 7.4.6, chapter 7; for methodological notes, refer to uncertainties in emissions from incineration and open burning, section 7.4.3, chapter 7). </w:t>
      </w:r>
    </w:p>
    <w:p w14:paraId="43DF75C4" w14:textId="77777777" w:rsidR="007F00E5" w:rsidRPr="00BE78CA" w:rsidRDefault="007F00E5" w:rsidP="007F00E5">
      <w:pPr>
        <w:pStyle w:val="Table"/>
      </w:pPr>
      <w:bookmarkStart w:id="3263" w:name="_Toc5269605"/>
      <w:bookmarkStart w:id="3264" w:name="_Toc36224686"/>
      <w:bookmarkStart w:id="3265" w:name="_Toc68786572"/>
      <w:r w:rsidRPr="00BE78CA">
        <w:t>Table 8.5.4</w:t>
      </w:r>
      <w:r w:rsidRPr="00BE78CA">
        <w:tab/>
        <w:t>Uncertainty in emissions from open burning of waste for Tokelau.</w:t>
      </w:r>
      <w:bookmarkEnd w:id="3263"/>
      <w:bookmarkEnd w:id="3264"/>
      <w:bookmarkEnd w:id="3265"/>
    </w:p>
    <w:tbl>
      <w:tblPr>
        <w:tblW w:w="8505" w:type="dxa"/>
        <w:tblBorders>
          <w:top w:val="single" w:sz="4" w:space="0" w:color="365F91"/>
          <w:bottom w:val="single" w:sz="4" w:space="0" w:color="365F91"/>
          <w:insideH w:val="single" w:sz="4" w:space="0" w:color="365F91"/>
        </w:tblBorders>
        <w:tblCellMar>
          <w:left w:w="0" w:type="dxa"/>
          <w:right w:w="0" w:type="dxa"/>
        </w:tblCellMar>
        <w:tblLook w:val="04A0" w:firstRow="1" w:lastRow="0" w:firstColumn="1" w:lastColumn="0" w:noHBand="0" w:noVBand="1"/>
      </w:tblPr>
      <w:tblGrid>
        <w:gridCol w:w="2620"/>
        <w:gridCol w:w="2787"/>
        <w:gridCol w:w="3098"/>
      </w:tblGrid>
      <w:tr w:rsidR="007F00E5" w:rsidRPr="00BE78CA" w14:paraId="419FC428" w14:textId="77777777" w:rsidTr="006B5EF7">
        <w:tc>
          <w:tcPr>
            <w:tcW w:w="2620" w:type="dxa"/>
            <w:shd w:val="clear" w:color="auto" w:fill="365F91"/>
            <w:tcMar>
              <w:top w:w="0" w:type="dxa"/>
              <w:left w:w="108" w:type="dxa"/>
              <w:bottom w:w="0" w:type="dxa"/>
              <w:right w:w="108" w:type="dxa"/>
            </w:tcMar>
            <w:vAlign w:val="bottom"/>
            <w:hideMark/>
          </w:tcPr>
          <w:p w14:paraId="6EB5BF6F" w14:textId="77777777" w:rsidR="007F00E5" w:rsidRPr="00BE78CA" w:rsidRDefault="007F00E5" w:rsidP="00C26084">
            <w:pPr>
              <w:pStyle w:val="TableTextBold"/>
              <w:keepNext/>
              <w:spacing w:before="50" w:after="50"/>
              <w:rPr>
                <w:noProof w:val="0"/>
                <w:color w:val="FFFFFF"/>
                <w:szCs w:val="16"/>
              </w:rPr>
            </w:pPr>
            <w:r w:rsidRPr="00BE78CA">
              <w:rPr>
                <w:noProof w:val="0"/>
                <w:color w:val="FFFFFF"/>
                <w:szCs w:val="16"/>
              </w:rPr>
              <w:t>Emissions category</w:t>
            </w:r>
          </w:p>
        </w:tc>
        <w:tc>
          <w:tcPr>
            <w:tcW w:w="2787" w:type="dxa"/>
            <w:shd w:val="clear" w:color="auto" w:fill="365F91"/>
            <w:tcMar>
              <w:top w:w="0" w:type="dxa"/>
              <w:left w:w="108" w:type="dxa"/>
              <w:bottom w:w="0" w:type="dxa"/>
              <w:right w:w="108" w:type="dxa"/>
            </w:tcMar>
            <w:vAlign w:val="bottom"/>
            <w:hideMark/>
          </w:tcPr>
          <w:p w14:paraId="4D7E005B" w14:textId="77777777" w:rsidR="007F00E5" w:rsidRPr="00BE78CA" w:rsidRDefault="007F00E5" w:rsidP="00C26084">
            <w:pPr>
              <w:pStyle w:val="TableTextBold"/>
              <w:keepNext/>
              <w:spacing w:before="50" w:after="50"/>
              <w:jc w:val="center"/>
              <w:rPr>
                <w:noProof w:val="0"/>
                <w:color w:val="FFFFFF"/>
                <w:szCs w:val="16"/>
              </w:rPr>
            </w:pPr>
            <w:r w:rsidRPr="00BE78CA">
              <w:rPr>
                <w:noProof w:val="0"/>
                <w:color w:val="FFFFFF"/>
                <w:szCs w:val="16"/>
              </w:rPr>
              <w:t>Uncertainty in activity data (%)</w:t>
            </w:r>
          </w:p>
        </w:tc>
        <w:tc>
          <w:tcPr>
            <w:tcW w:w="3098" w:type="dxa"/>
            <w:shd w:val="clear" w:color="auto" w:fill="365F91"/>
            <w:tcMar>
              <w:top w:w="0" w:type="dxa"/>
              <w:left w:w="108" w:type="dxa"/>
              <w:bottom w:w="0" w:type="dxa"/>
              <w:right w:w="108" w:type="dxa"/>
            </w:tcMar>
            <w:vAlign w:val="bottom"/>
            <w:hideMark/>
          </w:tcPr>
          <w:p w14:paraId="75E086C9" w14:textId="77777777" w:rsidR="007F00E5" w:rsidRPr="00BE78CA" w:rsidRDefault="007F00E5" w:rsidP="00C26084">
            <w:pPr>
              <w:pStyle w:val="TableTextBold"/>
              <w:keepNext/>
              <w:spacing w:before="50" w:after="50"/>
              <w:jc w:val="center"/>
              <w:rPr>
                <w:noProof w:val="0"/>
                <w:color w:val="FFFFFF"/>
                <w:szCs w:val="16"/>
              </w:rPr>
            </w:pPr>
            <w:r w:rsidRPr="00BE78CA">
              <w:rPr>
                <w:noProof w:val="0"/>
                <w:color w:val="FFFFFF"/>
                <w:szCs w:val="16"/>
              </w:rPr>
              <w:t>Uncertainty in emission factors (%)</w:t>
            </w:r>
          </w:p>
        </w:tc>
      </w:tr>
      <w:tr w:rsidR="007F00E5" w:rsidRPr="00BE78CA" w14:paraId="7F8F9E10" w14:textId="77777777" w:rsidTr="006B5EF7">
        <w:trPr>
          <w:trHeight w:val="127"/>
        </w:trPr>
        <w:tc>
          <w:tcPr>
            <w:tcW w:w="2620" w:type="dxa"/>
            <w:shd w:val="clear" w:color="auto" w:fill="FFFFFF"/>
            <w:tcMar>
              <w:top w:w="0" w:type="dxa"/>
              <w:left w:w="108" w:type="dxa"/>
              <w:bottom w:w="0" w:type="dxa"/>
              <w:right w:w="108" w:type="dxa"/>
            </w:tcMar>
            <w:hideMark/>
          </w:tcPr>
          <w:p w14:paraId="2935052E" w14:textId="77777777" w:rsidR="007F00E5" w:rsidRPr="00BE78CA" w:rsidRDefault="007F00E5" w:rsidP="00C26084">
            <w:pPr>
              <w:pStyle w:val="TableText"/>
              <w:rPr>
                <w:szCs w:val="16"/>
              </w:rPr>
            </w:pPr>
            <w:r w:rsidRPr="00BE78CA">
              <w:rPr>
                <w:szCs w:val="16"/>
              </w:rPr>
              <w:t>Waste open burning (CO</w:t>
            </w:r>
            <w:r w:rsidRPr="00BE78CA">
              <w:rPr>
                <w:szCs w:val="16"/>
                <w:vertAlign w:val="subscript"/>
              </w:rPr>
              <w:t>2</w:t>
            </w:r>
            <w:r w:rsidRPr="00BE78CA">
              <w:rPr>
                <w:szCs w:val="16"/>
              </w:rPr>
              <w:t>)</w:t>
            </w:r>
          </w:p>
        </w:tc>
        <w:tc>
          <w:tcPr>
            <w:tcW w:w="2787" w:type="dxa"/>
            <w:shd w:val="clear" w:color="auto" w:fill="FFFFFF"/>
            <w:tcMar>
              <w:top w:w="0" w:type="dxa"/>
              <w:left w:w="108" w:type="dxa"/>
              <w:bottom w:w="0" w:type="dxa"/>
              <w:right w:w="108" w:type="dxa"/>
            </w:tcMar>
            <w:hideMark/>
          </w:tcPr>
          <w:p w14:paraId="72147699" w14:textId="77777777" w:rsidR="007F00E5" w:rsidRPr="00BE78CA" w:rsidRDefault="007F00E5" w:rsidP="00C26084">
            <w:pPr>
              <w:pStyle w:val="TableText"/>
              <w:jc w:val="center"/>
              <w:rPr>
                <w:szCs w:val="16"/>
              </w:rPr>
            </w:pPr>
            <w:r w:rsidRPr="00BE78CA">
              <w:rPr>
                <w:szCs w:val="16"/>
              </w:rPr>
              <w:t>±50</w:t>
            </w:r>
          </w:p>
        </w:tc>
        <w:tc>
          <w:tcPr>
            <w:tcW w:w="3098" w:type="dxa"/>
            <w:shd w:val="clear" w:color="auto" w:fill="FFFFFF"/>
            <w:tcMar>
              <w:top w:w="0" w:type="dxa"/>
              <w:left w:w="108" w:type="dxa"/>
              <w:bottom w:w="0" w:type="dxa"/>
              <w:right w:w="108" w:type="dxa"/>
            </w:tcMar>
            <w:hideMark/>
          </w:tcPr>
          <w:p w14:paraId="1616B0F7" w14:textId="77777777" w:rsidR="007F00E5" w:rsidRPr="00BE78CA" w:rsidRDefault="007F00E5" w:rsidP="00C26084">
            <w:pPr>
              <w:pStyle w:val="TableText"/>
              <w:jc w:val="center"/>
              <w:rPr>
                <w:szCs w:val="16"/>
              </w:rPr>
            </w:pPr>
            <w:r w:rsidRPr="00BE78CA">
              <w:rPr>
                <w:szCs w:val="16"/>
              </w:rPr>
              <w:t>±40</w:t>
            </w:r>
          </w:p>
        </w:tc>
      </w:tr>
      <w:tr w:rsidR="007F00E5" w:rsidRPr="00BE78CA" w14:paraId="615B80F3" w14:textId="77777777" w:rsidTr="006B5EF7">
        <w:trPr>
          <w:trHeight w:val="127"/>
        </w:trPr>
        <w:tc>
          <w:tcPr>
            <w:tcW w:w="2620" w:type="dxa"/>
            <w:shd w:val="clear" w:color="auto" w:fill="FFFFFF"/>
            <w:tcMar>
              <w:top w:w="0" w:type="dxa"/>
              <w:left w:w="108" w:type="dxa"/>
              <w:bottom w:w="0" w:type="dxa"/>
              <w:right w:w="108" w:type="dxa"/>
            </w:tcMar>
            <w:hideMark/>
          </w:tcPr>
          <w:p w14:paraId="43AFBDB4" w14:textId="77777777" w:rsidR="007F00E5" w:rsidRPr="00BE78CA" w:rsidRDefault="007F00E5" w:rsidP="00C26084">
            <w:pPr>
              <w:pStyle w:val="TableText"/>
              <w:rPr>
                <w:szCs w:val="16"/>
              </w:rPr>
            </w:pPr>
            <w:r w:rsidRPr="00BE78CA">
              <w:rPr>
                <w:szCs w:val="16"/>
              </w:rPr>
              <w:t>Waste open burning (CH</w:t>
            </w:r>
            <w:r w:rsidRPr="00BE78CA">
              <w:rPr>
                <w:szCs w:val="16"/>
                <w:vertAlign w:val="subscript"/>
              </w:rPr>
              <w:t>4</w:t>
            </w:r>
            <w:r w:rsidRPr="00BE78CA">
              <w:rPr>
                <w:szCs w:val="16"/>
              </w:rPr>
              <w:t>)</w:t>
            </w:r>
          </w:p>
        </w:tc>
        <w:tc>
          <w:tcPr>
            <w:tcW w:w="2787" w:type="dxa"/>
            <w:shd w:val="clear" w:color="auto" w:fill="FFFFFF"/>
            <w:tcMar>
              <w:top w:w="0" w:type="dxa"/>
              <w:left w:w="108" w:type="dxa"/>
              <w:bottom w:w="0" w:type="dxa"/>
              <w:right w:w="108" w:type="dxa"/>
            </w:tcMar>
            <w:hideMark/>
          </w:tcPr>
          <w:p w14:paraId="480D7FD3" w14:textId="77777777" w:rsidR="007F00E5" w:rsidRPr="00BE78CA" w:rsidRDefault="007F00E5" w:rsidP="00C26084">
            <w:pPr>
              <w:pStyle w:val="TableText"/>
              <w:jc w:val="center"/>
              <w:rPr>
                <w:szCs w:val="16"/>
              </w:rPr>
            </w:pPr>
            <w:r w:rsidRPr="00BE78CA">
              <w:rPr>
                <w:szCs w:val="16"/>
              </w:rPr>
              <w:t>±50</w:t>
            </w:r>
          </w:p>
        </w:tc>
        <w:tc>
          <w:tcPr>
            <w:tcW w:w="3098" w:type="dxa"/>
            <w:shd w:val="clear" w:color="auto" w:fill="FFFFFF"/>
            <w:tcMar>
              <w:top w:w="0" w:type="dxa"/>
              <w:left w:w="108" w:type="dxa"/>
              <w:bottom w:w="0" w:type="dxa"/>
              <w:right w:w="108" w:type="dxa"/>
            </w:tcMar>
            <w:hideMark/>
          </w:tcPr>
          <w:p w14:paraId="48EDAEE6" w14:textId="77777777" w:rsidR="007F00E5" w:rsidRPr="00BE78CA" w:rsidRDefault="007F00E5" w:rsidP="00C26084">
            <w:pPr>
              <w:pStyle w:val="TableText"/>
              <w:jc w:val="center"/>
              <w:rPr>
                <w:szCs w:val="16"/>
              </w:rPr>
            </w:pPr>
            <w:r w:rsidRPr="00BE78CA">
              <w:rPr>
                <w:szCs w:val="16"/>
              </w:rPr>
              <w:t>±100</w:t>
            </w:r>
          </w:p>
        </w:tc>
      </w:tr>
      <w:tr w:rsidR="007F00E5" w:rsidRPr="00BE78CA" w14:paraId="4C9F216C" w14:textId="77777777" w:rsidTr="006B5EF7">
        <w:trPr>
          <w:trHeight w:val="127"/>
        </w:trPr>
        <w:tc>
          <w:tcPr>
            <w:tcW w:w="2620" w:type="dxa"/>
            <w:shd w:val="clear" w:color="auto" w:fill="FFFFFF"/>
            <w:tcMar>
              <w:top w:w="0" w:type="dxa"/>
              <w:left w:w="108" w:type="dxa"/>
              <w:bottom w:w="0" w:type="dxa"/>
              <w:right w:w="108" w:type="dxa"/>
            </w:tcMar>
            <w:hideMark/>
          </w:tcPr>
          <w:p w14:paraId="0E6ECA7D" w14:textId="77777777" w:rsidR="007F00E5" w:rsidRPr="00BE78CA" w:rsidRDefault="007F00E5" w:rsidP="00C26084">
            <w:pPr>
              <w:pStyle w:val="TableText"/>
              <w:rPr>
                <w:szCs w:val="16"/>
              </w:rPr>
            </w:pPr>
            <w:r w:rsidRPr="00BE78CA">
              <w:rPr>
                <w:szCs w:val="16"/>
              </w:rPr>
              <w:t>Waste open burning (N</w:t>
            </w:r>
            <w:r w:rsidRPr="00BE78CA">
              <w:rPr>
                <w:szCs w:val="16"/>
                <w:vertAlign w:val="subscript"/>
              </w:rPr>
              <w:t>2</w:t>
            </w:r>
            <w:r w:rsidRPr="00BE78CA">
              <w:rPr>
                <w:szCs w:val="16"/>
              </w:rPr>
              <w:t>O)</w:t>
            </w:r>
          </w:p>
        </w:tc>
        <w:tc>
          <w:tcPr>
            <w:tcW w:w="2787" w:type="dxa"/>
            <w:shd w:val="clear" w:color="auto" w:fill="FFFFFF"/>
            <w:tcMar>
              <w:top w:w="0" w:type="dxa"/>
              <w:left w:w="108" w:type="dxa"/>
              <w:bottom w:w="0" w:type="dxa"/>
              <w:right w:w="108" w:type="dxa"/>
            </w:tcMar>
            <w:hideMark/>
          </w:tcPr>
          <w:p w14:paraId="4B5AD994" w14:textId="77777777" w:rsidR="007F00E5" w:rsidRPr="00BE78CA" w:rsidRDefault="007F00E5" w:rsidP="00C26084">
            <w:pPr>
              <w:pStyle w:val="TableText"/>
              <w:jc w:val="center"/>
              <w:rPr>
                <w:szCs w:val="16"/>
              </w:rPr>
            </w:pPr>
            <w:r w:rsidRPr="00BE78CA">
              <w:rPr>
                <w:szCs w:val="16"/>
              </w:rPr>
              <w:t>±50</w:t>
            </w:r>
          </w:p>
        </w:tc>
        <w:tc>
          <w:tcPr>
            <w:tcW w:w="3098" w:type="dxa"/>
            <w:shd w:val="clear" w:color="auto" w:fill="FFFFFF"/>
            <w:tcMar>
              <w:top w:w="0" w:type="dxa"/>
              <w:left w:w="108" w:type="dxa"/>
              <w:bottom w:w="0" w:type="dxa"/>
              <w:right w:w="108" w:type="dxa"/>
            </w:tcMar>
            <w:hideMark/>
          </w:tcPr>
          <w:p w14:paraId="7759D722" w14:textId="77777777" w:rsidR="007F00E5" w:rsidRPr="00BE78CA" w:rsidRDefault="007F00E5" w:rsidP="00C26084">
            <w:pPr>
              <w:pStyle w:val="TableText"/>
              <w:jc w:val="center"/>
              <w:rPr>
                <w:szCs w:val="16"/>
              </w:rPr>
            </w:pPr>
            <w:r w:rsidRPr="00BE78CA">
              <w:rPr>
                <w:szCs w:val="16"/>
              </w:rPr>
              <w:t>±100</w:t>
            </w:r>
          </w:p>
        </w:tc>
      </w:tr>
    </w:tbl>
    <w:p w14:paraId="0FD1FFA2" w14:textId="77777777" w:rsidR="007F00E5" w:rsidRPr="00BE78CA" w:rsidRDefault="007F00E5" w:rsidP="007F00E5">
      <w:pPr>
        <w:pStyle w:val="Heading3"/>
        <w:spacing w:before="480"/>
      </w:pPr>
      <w:r w:rsidRPr="00BE78CA">
        <w:t xml:space="preserve">8.5.3 </w:t>
      </w:r>
      <w:r w:rsidRPr="00BE78CA">
        <w:tab/>
        <w:t>Emissions from Wastewater treatment and discharge in Tokelau</w:t>
      </w:r>
    </w:p>
    <w:p w14:paraId="0648A3B3" w14:textId="77777777" w:rsidR="007F00E5" w:rsidRPr="00BE78CA" w:rsidRDefault="007F00E5" w:rsidP="007F00E5">
      <w:pPr>
        <w:pStyle w:val="BodyText"/>
      </w:pPr>
      <w:r w:rsidRPr="00BE78CA">
        <w:t xml:space="preserve">In the absence of industrial plants in Tokelau, all emissions associated with wastewater treatment and discharge are reported under the </w:t>
      </w:r>
      <w:r w:rsidRPr="00BE78CA">
        <w:rPr>
          <w:i/>
        </w:rPr>
        <w:t>Domestic wastewater</w:t>
      </w:r>
      <w:r w:rsidRPr="00BE78CA">
        <w:t xml:space="preserve"> category (5.D.1). The category uses the same population values as in the </w:t>
      </w:r>
      <w:r w:rsidRPr="00BE78CA">
        <w:rPr>
          <w:i/>
        </w:rPr>
        <w:t>Solid waste disposal</w:t>
      </w:r>
      <w:r w:rsidRPr="00BE78CA">
        <w:t xml:space="preserve"> and </w:t>
      </w:r>
      <w:r w:rsidRPr="00BE78CA">
        <w:rPr>
          <w:i/>
        </w:rPr>
        <w:t xml:space="preserve">Open burning of Waste </w:t>
      </w:r>
      <w:r w:rsidRPr="00BE78CA">
        <w:t>categories (see above). The category includes emissions of CH</w:t>
      </w:r>
      <w:r w:rsidRPr="00BE78CA">
        <w:rPr>
          <w:vertAlign w:val="subscript"/>
        </w:rPr>
        <w:t>4</w:t>
      </w:r>
      <w:r w:rsidRPr="00BE78CA">
        <w:t xml:space="preserve"> and N</w:t>
      </w:r>
      <w:r w:rsidRPr="00BE78CA">
        <w:rPr>
          <w:vertAlign w:val="subscript"/>
        </w:rPr>
        <w:t>2</w:t>
      </w:r>
      <w:r w:rsidRPr="00BE78CA">
        <w:t>O.</w:t>
      </w:r>
    </w:p>
    <w:p w14:paraId="2BBCC632" w14:textId="77777777" w:rsidR="007F00E5" w:rsidRPr="00BE78CA" w:rsidRDefault="007F00E5" w:rsidP="007F00E5">
      <w:pPr>
        <w:pStyle w:val="BodyText"/>
      </w:pPr>
      <w:r w:rsidRPr="00BE78CA">
        <w:t xml:space="preserve">The </w:t>
      </w:r>
      <w:r w:rsidRPr="00BE78CA">
        <w:rPr>
          <w:i/>
        </w:rPr>
        <w:t xml:space="preserve">Domestic wastewater </w:t>
      </w:r>
      <w:r w:rsidRPr="00BE78CA">
        <w:t>category</w:t>
      </w:r>
      <w:r w:rsidRPr="00BE78CA">
        <w:rPr>
          <w:i/>
        </w:rPr>
        <w:t xml:space="preserve"> </w:t>
      </w:r>
      <w:r w:rsidRPr="00BE78CA">
        <w:t>contributed 38.2 per cent to the total of Waste sector emissions from Tokelau in 2019, which amounted to 0.26 kt CO</w:t>
      </w:r>
      <w:r w:rsidRPr="00BE78CA">
        <w:rPr>
          <w:vertAlign w:val="subscript"/>
        </w:rPr>
        <w:t>2</w:t>
      </w:r>
      <w:r w:rsidRPr="00BE78CA">
        <w:t>-e.</w:t>
      </w:r>
    </w:p>
    <w:p w14:paraId="040C408A" w14:textId="77777777" w:rsidR="007F00E5" w:rsidRPr="00BE78CA" w:rsidRDefault="007F00E5" w:rsidP="007F00E5">
      <w:pPr>
        <w:pStyle w:val="Heading4"/>
      </w:pPr>
      <w:r w:rsidRPr="00BE78CA">
        <w:t>Methodological issues</w:t>
      </w:r>
    </w:p>
    <w:p w14:paraId="65148F79" w14:textId="77777777" w:rsidR="007F00E5" w:rsidRPr="00BE78CA" w:rsidRDefault="007F00E5" w:rsidP="007F00E5">
      <w:pPr>
        <w:pStyle w:val="BodyText"/>
        <w:spacing w:before="100" w:after="100"/>
      </w:pPr>
      <w:r w:rsidRPr="00BE78CA">
        <w:t>A Tier 1 methodology with the 2006 IPCC default emission factors (except the protein consumption value) for all gases was applied for estimating emissions from this category.</w:t>
      </w:r>
    </w:p>
    <w:p w14:paraId="60D10EA4" w14:textId="77777777" w:rsidR="007F00E5" w:rsidRPr="00BE78CA" w:rsidRDefault="007F00E5" w:rsidP="007F00E5">
      <w:pPr>
        <w:pStyle w:val="BodyText"/>
        <w:spacing w:before="100" w:after="100"/>
      </w:pPr>
      <w:r w:rsidRPr="00BE78CA">
        <w:t>Assumptions for estimating CH</w:t>
      </w:r>
      <w:r w:rsidRPr="00BE78CA">
        <w:rPr>
          <w:vertAlign w:val="subscript"/>
        </w:rPr>
        <w:t>4</w:t>
      </w:r>
      <w:r w:rsidRPr="00BE78CA">
        <w:t xml:space="preserve"> emissions from wastewater:</w:t>
      </w:r>
    </w:p>
    <w:p w14:paraId="4F2B82D1" w14:textId="77777777" w:rsidR="007F00E5" w:rsidRPr="00BE78CA" w:rsidRDefault="007F00E5" w:rsidP="007F00E5">
      <w:pPr>
        <w:pStyle w:val="Bullet"/>
      </w:pPr>
      <w:r w:rsidRPr="00BE78CA">
        <w:t>60 grams biochemical oxygen demand (BOD) per person per day (as for Canada, Europe, Russia and Oceania), which calculates as 21.9 kg/person/year</w:t>
      </w:r>
    </w:p>
    <w:p w14:paraId="53467294" w14:textId="77777777" w:rsidR="007F00E5" w:rsidRPr="00BE78CA" w:rsidRDefault="007F00E5" w:rsidP="007F00E5">
      <w:pPr>
        <w:pStyle w:val="Bullet"/>
      </w:pPr>
      <w:r w:rsidRPr="00BE78CA">
        <w:t>for population, the same time series as in categories 5.A.3 and 5.C was used</w:t>
      </w:r>
    </w:p>
    <w:p w14:paraId="50A66BC2" w14:textId="77777777" w:rsidR="007F00E5" w:rsidRPr="00BE78CA" w:rsidRDefault="007F00E5" w:rsidP="007F00E5">
      <w:pPr>
        <w:pStyle w:val="Bullet"/>
      </w:pPr>
      <w:r w:rsidRPr="00BE78CA">
        <w:lastRenderedPageBreak/>
        <w:t xml:space="preserve">despite having no wastewater collection system, a correction factor for industrial BOD discharged in sewers of 1.25 is used (default for collected systems) to account for any industrial and commercial activity in Tokelau, such as fishing. No other estimates of industrial wastewater are made (effectively 5.D.2 </w:t>
      </w:r>
      <w:r w:rsidRPr="00BE78CA">
        <w:rPr>
          <w:i/>
        </w:rPr>
        <w:t>Industrial wastewater</w:t>
      </w:r>
      <w:r w:rsidRPr="00BE78CA">
        <w:t xml:space="preserve"> is ‘IE’ (included elsewhere) and included in 5.D.1 </w:t>
      </w:r>
      <w:r w:rsidRPr="00BE78CA">
        <w:rPr>
          <w:i/>
        </w:rPr>
        <w:t>Domestic wastewater</w:t>
      </w:r>
      <w:r w:rsidRPr="00BE78CA">
        <w:t>)</w:t>
      </w:r>
    </w:p>
    <w:p w14:paraId="1B80E312" w14:textId="77777777" w:rsidR="007F00E5" w:rsidRPr="00BE78CA" w:rsidRDefault="007F00E5" w:rsidP="007F00E5">
      <w:pPr>
        <w:pStyle w:val="Bullet"/>
      </w:pPr>
      <w:r w:rsidRPr="00BE78CA">
        <w:t>in 2016, most Tokelauans had access to a private toilet in their homes using septic tanks: 72.9 per cent of private occupied dwellings had an indoor flush toilet, and 21.6 per cent of dwellings had an outdoor flush toilet. Atafu had the highest proportion of dwellings with an indoor toilet (87.4 per cent), and Nukunonu had the highest proportion of households with an outdoor toilet (34.9 per cent) (Census 2016, similar to values for 2011 and 2006). The percentage of open water toilets gradually reduced from 65 per cent of dwellings in 1991 to nil by 2016.</w:t>
      </w:r>
    </w:p>
    <w:p w14:paraId="3A93EB1A" w14:textId="77777777" w:rsidR="007F00E5" w:rsidRPr="00BE78CA" w:rsidRDefault="007F00E5" w:rsidP="007F00E5">
      <w:pPr>
        <w:pStyle w:val="BodyText"/>
      </w:pPr>
      <w:r w:rsidRPr="00BE78CA">
        <w:t>Table 8.5.5 sums up default parameters used for estimating CH</w:t>
      </w:r>
      <w:r w:rsidRPr="00BE78CA">
        <w:rPr>
          <w:vertAlign w:val="subscript"/>
        </w:rPr>
        <w:t>4</w:t>
      </w:r>
      <w:r w:rsidRPr="00BE78CA">
        <w:t xml:space="preserve"> emissions for Tokelau wastewater treatment. The default BOD correction factor for collected systems is used to account for industrial and commercial water, because there is no separate estimate.</w:t>
      </w:r>
    </w:p>
    <w:p w14:paraId="57AF1BD0" w14:textId="77777777" w:rsidR="007F00E5" w:rsidRPr="00BE78CA" w:rsidRDefault="007F00E5" w:rsidP="007F00E5">
      <w:pPr>
        <w:pStyle w:val="Table"/>
      </w:pPr>
      <w:bookmarkStart w:id="3266" w:name="_Toc5269606"/>
      <w:bookmarkStart w:id="3267" w:name="_Toc36224687"/>
      <w:bookmarkStart w:id="3268" w:name="_Toc68786573"/>
      <w:r w:rsidRPr="00BE78CA">
        <w:t>Table 8.5.5</w:t>
      </w:r>
      <w:r w:rsidRPr="00BE78CA">
        <w:tab/>
        <w:t>Parameters for estimating methane emissions for Tokelau wastewater treatment</w:t>
      </w:r>
      <w:bookmarkEnd w:id="3266"/>
      <w:bookmarkEnd w:id="3267"/>
      <w:bookmarkEnd w:id="3268"/>
      <w:r w:rsidRPr="00BE78CA">
        <w:t xml:space="preserve"> </w:t>
      </w:r>
    </w:p>
    <w:tbl>
      <w:tblPr>
        <w:tblW w:w="8505" w:type="dxa"/>
        <w:tblBorders>
          <w:top w:val="single" w:sz="4" w:space="0" w:color="365F91"/>
          <w:bottom w:val="single" w:sz="4" w:space="0" w:color="365F91"/>
          <w:insideH w:val="single" w:sz="4" w:space="0" w:color="365F91"/>
          <w:insideV w:val="single" w:sz="4" w:space="0" w:color="365F91"/>
        </w:tblBorders>
        <w:tblLook w:val="04A0" w:firstRow="1" w:lastRow="0" w:firstColumn="1" w:lastColumn="0" w:noHBand="0" w:noVBand="1"/>
      </w:tblPr>
      <w:tblGrid>
        <w:gridCol w:w="3311"/>
        <w:gridCol w:w="742"/>
        <w:gridCol w:w="1598"/>
        <w:gridCol w:w="2854"/>
      </w:tblGrid>
      <w:tr w:rsidR="007F00E5" w:rsidRPr="00BE78CA" w14:paraId="6E27FAAC" w14:textId="77777777" w:rsidTr="006B5EF7">
        <w:tc>
          <w:tcPr>
            <w:tcW w:w="3289" w:type="dxa"/>
            <w:shd w:val="clear" w:color="auto" w:fill="365F91"/>
          </w:tcPr>
          <w:p w14:paraId="73CACC75" w14:textId="77777777" w:rsidR="007F00E5" w:rsidRPr="00BE78CA" w:rsidRDefault="007F00E5" w:rsidP="00C26084">
            <w:pPr>
              <w:pStyle w:val="TableTextBold"/>
              <w:spacing w:before="40" w:after="40"/>
              <w:rPr>
                <w:noProof w:val="0"/>
                <w:color w:val="FFFFFF"/>
                <w:szCs w:val="16"/>
              </w:rPr>
            </w:pPr>
            <w:r w:rsidRPr="00BE78CA">
              <w:rPr>
                <w:noProof w:val="0"/>
                <w:color w:val="FFFFFF"/>
                <w:szCs w:val="16"/>
              </w:rPr>
              <w:t>Parameter</w:t>
            </w:r>
          </w:p>
        </w:tc>
        <w:tc>
          <w:tcPr>
            <w:tcW w:w="737" w:type="dxa"/>
            <w:tcBorders>
              <w:bottom w:val="single" w:sz="4" w:space="0" w:color="365F91"/>
            </w:tcBorders>
            <w:shd w:val="clear" w:color="auto" w:fill="365F91"/>
          </w:tcPr>
          <w:p w14:paraId="461292CC" w14:textId="77777777" w:rsidR="007F00E5" w:rsidRPr="00BE78CA" w:rsidRDefault="007F00E5" w:rsidP="00C26084">
            <w:pPr>
              <w:pStyle w:val="TableTextBold"/>
              <w:spacing w:before="40" w:after="40"/>
              <w:rPr>
                <w:noProof w:val="0"/>
                <w:color w:val="FFFFFF"/>
                <w:szCs w:val="16"/>
              </w:rPr>
            </w:pPr>
            <w:r w:rsidRPr="00BE78CA">
              <w:rPr>
                <w:noProof w:val="0"/>
                <w:color w:val="FFFFFF"/>
                <w:szCs w:val="16"/>
              </w:rPr>
              <w:t>Value</w:t>
            </w:r>
          </w:p>
        </w:tc>
        <w:tc>
          <w:tcPr>
            <w:tcW w:w="1587" w:type="dxa"/>
            <w:tcBorders>
              <w:bottom w:val="single" w:sz="4" w:space="0" w:color="365F91"/>
            </w:tcBorders>
            <w:shd w:val="clear" w:color="auto" w:fill="365F91"/>
          </w:tcPr>
          <w:p w14:paraId="51968455" w14:textId="77777777" w:rsidR="007F00E5" w:rsidRPr="00BE78CA" w:rsidRDefault="007F00E5" w:rsidP="00C26084">
            <w:pPr>
              <w:pStyle w:val="TableTextBold"/>
              <w:spacing w:before="40" w:after="40"/>
              <w:rPr>
                <w:noProof w:val="0"/>
                <w:color w:val="FFFFFF"/>
                <w:szCs w:val="16"/>
              </w:rPr>
            </w:pPr>
            <w:r w:rsidRPr="00BE78CA">
              <w:rPr>
                <w:noProof w:val="0"/>
                <w:color w:val="FFFFFF"/>
                <w:szCs w:val="16"/>
              </w:rPr>
              <w:t>Source</w:t>
            </w:r>
          </w:p>
        </w:tc>
        <w:tc>
          <w:tcPr>
            <w:tcW w:w="2835" w:type="dxa"/>
            <w:shd w:val="clear" w:color="auto" w:fill="365F91"/>
          </w:tcPr>
          <w:p w14:paraId="165FA41F" w14:textId="77777777" w:rsidR="007F00E5" w:rsidRPr="00BE78CA" w:rsidRDefault="007F00E5" w:rsidP="00C26084">
            <w:pPr>
              <w:pStyle w:val="TableTextBold"/>
              <w:spacing w:before="40" w:after="40"/>
              <w:rPr>
                <w:noProof w:val="0"/>
                <w:color w:val="FFFFFF"/>
                <w:szCs w:val="16"/>
              </w:rPr>
            </w:pPr>
            <w:r w:rsidRPr="00BE78CA">
              <w:rPr>
                <w:noProof w:val="0"/>
                <w:color w:val="FFFFFF"/>
                <w:szCs w:val="16"/>
              </w:rPr>
              <w:t>Reference</w:t>
            </w:r>
          </w:p>
        </w:tc>
      </w:tr>
      <w:tr w:rsidR="007F00E5" w:rsidRPr="00BE78CA" w14:paraId="29EF8894" w14:textId="77777777" w:rsidTr="006B5EF7">
        <w:tc>
          <w:tcPr>
            <w:tcW w:w="3289" w:type="dxa"/>
            <w:tcBorders>
              <w:right w:val="nil"/>
            </w:tcBorders>
          </w:tcPr>
          <w:p w14:paraId="0EC88848" w14:textId="77777777" w:rsidR="007F00E5" w:rsidRPr="00BE78CA" w:rsidRDefault="007F00E5" w:rsidP="00C26084">
            <w:pPr>
              <w:pStyle w:val="TableText"/>
              <w:spacing w:before="50" w:after="50"/>
              <w:rPr>
                <w:szCs w:val="16"/>
              </w:rPr>
            </w:pPr>
            <w:r w:rsidRPr="00BE78CA">
              <w:rPr>
                <w:szCs w:val="16"/>
              </w:rPr>
              <w:t>Methane correction factors</w:t>
            </w:r>
          </w:p>
        </w:tc>
        <w:tc>
          <w:tcPr>
            <w:tcW w:w="737" w:type="dxa"/>
            <w:tcBorders>
              <w:left w:val="nil"/>
              <w:right w:val="nil"/>
            </w:tcBorders>
          </w:tcPr>
          <w:p w14:paraId="3E20E5EF" w14:textId="77777777" w:rsidR="007F00E5" w:rsidRPr="00BE78CA" w:rsidRDefault="007F00E5" w:rsidP="00C26084">
            <w:pPr>
              <w:pStyle w:val="TableText"/>
              <w:spacing w:before="50" w:after="50"/>
              <w:rPr>
                <w:szCs w:val="16"/>
              </w:rPr>
            </w:pPr>
          </w:p>
        </w:tc>
        <w:tc>
          <w:tcPr>
            <w:tcW w:w="1587" w:type="dxa"/>
            <w:tcBorders>
              <w:left w:val="nil"/>
              <w:right w:val="nil"/>
            </w:tcBorders>
          </w:tcPr>
          <w:p w14:paraId="0F21C902" w14:textId="77777777" w:rsidR="007F00E5" w:rsidRPr="00BE78CA" w:rsidRDefault="007F00E5" w:rsidP="00C26084">
            <w:pPr>
              <w:pStyle w:val="TableText"/>
              <w:spacing w:before="50" w:after="50"/>
              <w:rPr>
                <w:szCs w:val="16"/>
              </w:rPr>
            </w:pPr>
          </w:p>
        </w:tc>
        <w:tc>
          <w:tcPr>
            <w:tcW w:w="2835" w:type="dxa"/>
            <w:tcBorders>
              <w:left w:val="nil"/>
            </w:tcBorders>
          </w:tcPr>
          <w:p w14:paraId="1E291AA2" w14:textId="77777777" w:rsidR="007F00E5" w:rsidRPr="00BE78CA" w:rsidRDefault="007F00E5" w:rsidP="00C26084">
            <w:pPr>
              <w:pStyle w:val="TableText"/>
              <w:spacing w:before="50" w:after="50"/>
              <w:rPr>
                <w:szCs w:val="16"/>
              </w:rPr>
            </w:pPr>
          </w:p>
        </w:tc>
      </w:tr>
      <w:tr w:rsidR="007F00E5" w:rsidRPr="00BE78CA" w14:paraId="17417680" w14:textId="77777777" w:rsidTr="006B5EF7">
        <w:tc>
          <w:tcPr>
            <w:tcW w:w="3289" w:type="dxa"/>
            <w:tcBorders>
              <w:right w:val="nil"/>
            </w:tcBorders>
          </w:tcPr>
          <w:p w14:paraId="6557536E" w14:textId="77777777" w:rsidR="007F00E5" w:rsidRPr="00BE78CA" w:rsidRDefault="007F00E5" w:rsidP="00C26084">
            <w:pPr>
              <w:pStyle w:val="TableText"/>
              <w:spacing w:before="50" w:after="50"/>
              <w:ind w:left="113"/>
              <w:rPr>
                <w:i/>
                <w:szCs w:val="16"/>
              </w:rPr>
            </w:pPr>
            <w:r w:rsidRPr="00BE78CA">
              <w:rPr>
                <w:i/>
                <w:szCs w:val="16"/>
              </w:rPr>
              <w:t>Septic system</w:t>
            </w:r>
          </w:p>
        </w:tc>
        <w:tc>
          <w:tcPr>
            <w:tcW w:w="737" w:type="dxa"/>
            <w:tcBorders>
              <w:left w:val="nil"/>
              <w:right w:val="nil"/>
            </w:tcBorders>
          </w:tcPr>
          <w:p w14:paraId="62288F9B" w14:textId="77777777" w:rsidR="007F00E5" w:rsidRPr="00BE78CA" w:rsidRDefault="007F00E5" w:rsidP="00C26084">
            <w:pPr>
              <w:pStyle w:val="TableText"/>
              <w:spacing w:before="50" w:after="50"/>
              <w:rPr>
                <w:szCs w:val="16"/>
              </w:rPr>
            </w:pPr>
            <w:r w:rsidRPr="00BE78CA">
              <w:rPr>
                <w:szCs w:val="16"/>
              </w:rPr>
              <w:t>0.5</w:t>
            </w:r>
          </w:p>
        </w:tc>
        <w:tc>
          <w:tcPr>
            <w:tcW w:w="1587" w:type="dxa"/>
            <w:tcBorders>
              <w:left w:val="nil"/>
              <w:right w:val="nil"/>
            </w:tcBorders>
          </w:tcPr>
          <w:p w14:paraId="491A15AF" w14:textId="77777777" w:rsidR="007F00E5" w:rsidRPr="00BE78CA" w:rsidRDefault="007F00E5" w:rsidP="00C26084">
            <w:pPr>
              <w:pStyle w:val="TableText"/>
              <w:spacing w:before="50" w:after="50"/>
              <w:rPr>
                <w:szCs w:val="16"/>
              </w:rPr>
            </w:pPr>
            <w:r w:rsidRPr="00BE78CA">
              <w:rPr>
                <w:szCs w:val="16"/>
              </w:rPr>
              <w:t>IPCC default</w:t>
            </w:r>
          </w:p>
        </w:tc>
        <w:tc>
          <w:tcPr>
            <w:tcW w:w="2835" w:type="dxa"/>
            <w:tcBorders>
              <w:left w:val="nil"/>
            </w:tcBorders>
          </w:tcPr>
          <w:p w14:paraId="08BEB564" w14:textId="77777777" w:rsidR="007F00E5" w:rsidRPr="00BE78CA" w:rsidRDefault="007F00E5" w:rsidP="00C26084">
            <w:pPr>
              <w:pStyle w:val="TableText"/>
              <w:spacing w:before="50" w:after="50"/>
              <w:rPr>
                <w:szCs w:val="16"/>
              </w:rPr>
            </w:pPr>
            <w:r w:rsidRPr="00BE78CA">
              <w:rPr>
                <w:szCs w:val="16"/>
              </w:rPr>
              <w:t>Table 6.3, section 6.2.2.2, IPCC, 2006d</w:t>
            </w:r>
          </w:p>
        </w:tc>
      </w:tr>
      <w:tr w:rsidR="007F00E5" w:rsidRPr="00BE78CA" w14:paraId="6C28889A" w14:textId="77777777" w:rsidTr="006B5EF7">
        <w:tc>
          <w:tcPr>
            <w:tcW w:w="3289" w:type="dxa"/>
            <w:tcBorders>
              <w:right w:val="nil"/>
            </w:tcBorders>
          </w:tcPr>
          <w:p w14:paraId="456BD6AE" w14:textId="77777777" w:rsidR="007F00E5" w:rsidRPr="00BE78CA" w:rsidRDefault="007F00E5" w:rsidP="00C26084">
            <w:pPr>
              <w:pStyle w:val="TableText"/>
              <w:spacing w:before="50" w:after="50"/>
              <w:ind w:left="113"/>
              <w:rPr>
                <w:i/>
                <w:szCs w:val="16"/>
              </w:rPr>
            </w:pPr>
            <w:r w:rsidRPr="00BE78CA">
              <w:rPr>
                <w:i/>
                <w:szCs w:val="16"/>
              </w:rPr>
              <w:t>Sea, river and lake discharge</w:t>
            </w:r>
          </w:p>
        </w:tc>
        <w:tc>
          <w:tcPr>
            <w:tcW w:w="737" w:type="dxa"/>
            <w:tcBorders>
              <w:left w:val="nil"/>
              <w:right w:val="nil"/>
            </w:tcBorders>
          </w:tcPr>
          <w:p w14:paraId="5517A44E" w14:textId="77777777" w:rsidR="007F00E5" w:rsidRPr="00BE78CA" w:rsidRDefault="007F00E5" w:rsidP="00C26084">
            <w:pPr>
              <w:pStyle w:val="TableText"/>
              <w:spacing w:before="50" w:after="50"/>
              <w:rPr>
                <w:szCs w:val="16"/>
              </w:rPr>
            </w:pPr>
            <w:r w:rsidRPr="00BE78CA">
              <w:rPr>
                <w:szCs w:val="16"/>
              </w:rPr>
              <w:t>0.1</w:t>
            </w:r>
          </w:p>
        </w:tc>
        <w:tc>
          <w:tcPr>
            <w:tcW w:w="1587" w:type="dxa"/>
            <w:tcBorders>
              <w:left w:val="nil"/>
              <w:right w:val="nil"/>
            </w:tcBorders>
          </w:tcPr>
          <w:p w14:paraId="07072F0A" w14:textId="77777777" w:rsidR="007F00E5" w:rsidRPr="00BE78CA" w:rsidRDefault="007F00E5" w:rsidP="00C26084">
            <w:pPr>
              <w:pStyle w:val="TableText"/>
              <w:spacing w:before="50" w:after="50"/>
              <w:rPr>
                <w:szCs w:val="16"/>
              </w:rPr>
            </w:pPr>
            <w:r w:rsidRPr="00BE78CA">
              <w:rPr>
                <w:szCs w:val="16"/>
              </w:rPr>
              <w:t>IPCC default</w:t>
            </w:r>
          </w:p>
        </w:tc>
        <w:tc>
          <w:tcPr>
            <w:tcW w:w="2835" w:type="dxa"/>
            <w:tcBorders>
              <w:left w:val="nil"/>
            </w:tcBorders>
          </w:tcPr>
          <w:p w14:paraId="39A438EC" w14:textId="77777777" w:rsidR="007F00E5" w:rsidRPr="00BE78CA" w:rsidRDefault="007F00E5" w:rsidP="00C26084">
            <w:pPr>
              <w:pStyle w:val="TableText"/>
              <w:spacing w:before="50" w:after="50"/>
              <w:rPr>
                <w:szCs w:val="16"/>
              </w:rPr>
            </w:pPr>
            <w:r w:rsidRPr="00BE78CA">
              <w:rPr>
                <w:szCs w:val="16"/>
              </w:rPr>
              <w:t xml:space="preserve">Table 6.3, section 6.2.2.2, IPCC, 2006d </w:t>
            </w:r>
          </w:p>
        </w:tc>
      </w:tr>
      <w:tr w:rsidR="007F00E5" w:rsidRPr="00BE78CA" w14:paraId="6768D5FF" w14:textId="77777777" w:rsidTr="006B5EF7">
        <w:tc>
          <w:tcPr>
            <w:tcW w:w="3289" w:type="dxa"/>
            <w:tcBorders>
              <w:right w:val="nil"/>
            </w:tcBorders>
          </w:tcPr>
          <w:p w14:paraId="6A0D7819" w14:textId="77777777" w:rsidR="007F00E5" w:rsidRPr="00BE78CA" w:rsidRDefault="007F00E5" w:rsidP="00C26084">
            <w:pPr>
              <w:pStyle w:val="TableText"/>
              <w:spacing w:before="50" w:after="50"/>
              <w:ind w:left="113"/>
              <w:rPr>
                <w:i/>
                <w:szCs w:val="16"/>
              </w:rPr>
            </w:pPr>
            <w:r w:rsidRPr="00BE78CA">
              <w:rPr>
                <w:i/>
                <w:szCs w:val="16"/>
              </w:rPr>
              <w:t>Weighted average methane correction factor</w:t>
            </w:r>
          </w:p>
        </w:tc>
        <w:tc>
          <w:tcPr>
            <w:tcW w:w="737" w:type="dxa"/>
            <w:tcBorders>
              <w:left w:val="nil"/>
              <w:right w:val="nil"/>
            </w:tcBorders>
          </w:tcPr>
          <w:p w14:paraId="21C5568A" w14:textId="77777777" w:rsidR="007F00E5" w:rsidRPr="00BE78CA" w:rsidRDefault="007F00E5" w:rsidP="00C26084">
            <w:pPr>
              <w:pStyle w:val="TableText"/>
              <w:spacing w:before="50" w:after="50"/>
              <w:rPr>
                <w:szCs w:val="16"/>
              </w:rPr>
            </w:pPr>
            <w:r w:rsidRPr="00BE78CA">
              <w:rPr>
                <w:szCs w:val="16"/>
              </w:rPr>
              <w:t>0.233</w:t>
            </w:r>
          </w:p>
        </w:tc>
        <w:tc>
          <w:tcPr>
            <w:tcW w:w="1587" w:type="dxa"/>
            <w:tcBorders>
              <w:left w:val="nil"/>
              <w:right w:val="nil"/>
            </w:tcBorders>
          </w:tcPr>
          <w:p w14:paraId="2A959E7C" w14:textId="77777777" w:rsidR="007F00E5" w:rsidRPr="00BE78CA" w:rsidRDefault="007F00E5" w:rsidP="00C26084">
            <w:pPr>
              <w:pStyle w:val="TableText"/>
              <w:spacing w:before="50" w:after="50"/>
              <w:rPr>
                <w:szCs w:val="16"/>
              </w:rPr>
            </w:pPr>
            <w:r w:rsidRPr="00BE78CA">
              <w:rPr>
                <w:szCs w:val="16"/>
              </w:rPr>
              <w:t>Calculated</w:t>
            </w:r>
          </w:p>
        </w:tc>
        <w:tc>
          <w:tcPr>
            <w:tcW w:w="2835" w:type="dxa"/>
            <w:tcBorders>
              <w:left w:val="nil"/>
            </w:tcBorders>
          </w:tcPr>
          <w:p w14:paraId="48EDD749" w14:textId="77777777" w:rsidR="007F00E5" w:rsidRPr="00BE78CA" w:rsidRDefault="007F00E5" w:rsidP="00C26084">
            <w:pPr>
              <w:pStyle w:val="TableText"/>
              <w:spacing w:before="50" w:after="50"/>
              <w:rPr>
                <w:szCs w:val="16"/>
              </w:rPr>
            </w:pPr>
          </w:p>
        </w:tc>
      </w:tr>
      <w:tr w:rsidR="007F00E5" w:rsidRPr="00BE78CA" w14:paraId="688C475B" w14:textId="77777777" w:rsidTr="006B5EF7">
        <w:tc>
          <w:tcPr>
            <w:tcW w:w="3289" w:type="dxa"/>
            <w:tcBorders>
              <w:right w:val="nil"/>
            </w:tcBorders>
          </w:tcPr>
          <w:p w14:paraId="3BE6869B" w14:textId="77777777" w:rsidR="007F00E5" w:rsidRPr="00BE78CA" w:rsidRDefault="007F00E5" w:rsidP="00C26084">
            <w:pPr>
              <w:pStyle w:val="TableText"/>
              <w:spacing w:before="50" w:after="50"/>
              <w:rPr>
                <w:szCs w:val="16"/>
              </w:rPr>
            </w:pPr>
            <w:r w:rsidRPr="00BE78CA">
              <w:rPr>
                <w:szCs w:val="16"/>
              </w:rPr>
              <w:t>Maximum methane producing capacity (kg CH</w:t>
            </w:r>
            <w:r w:rsidRPr="00BE78CA">
              <w:rPr>
                <w:szCs w:val="16"/>
                <w:vertAlign w:val="subscript"/>
              </w:rPr>
              <w:t>4</w:t>
            </w:r>
            <w:r w:rsidRPr="00BE78CA">
              <w:rPr>
                <w:szCs w:val="16"/>
              </w:rPr>
              <w:t>/kg BOD)</w:t>
            </w:r>
          </w:p>
        </w:tc>
        <w:tc>
          <w:tcPr>
            <w:tcW w:w="737" w:type="dxa"/>
            <w:tcBorders>
              <w:left w:val="nil"/>
              <w:right w:val="nil"/>
            </w:tcBorders>
          </w:tcPr>
          <w:p w14:paraId="15C6C286" w14:textId="77777777" w:rsidR="007F00E5" w:rsidRPr="00BE78CA" w:rsidRDefault="007F00E5" w:rsidP="00C26084">
            <w:pPr>
              <w:pStyle w:val="TableText"/>
              <w:spacing w:before="50" w:after="50"/>
              <w:rPr>
                <w:szCs w:val="16"/>
              </w:rPr>
            </w:pPr>
            <w:r w:rsidRPr="00BE78CA">
              <w:rPr>
                <w:szCs w:val="16"/>
              </w:rPr>
              <w:t>0.6</w:t>
            </w:r>
          </w:p>
        </w:tc>
        <w:tc>
          <w:tcPr>
            <w:tcW w:w="1587" w:type="dxa"/>
            <w:tcBorders>
              <w:left w:val="nil"/>
              <w:right w:val="nil"/>
            </w:tcBorders>
          </w:tcPr>
          <w:p w14:paraId="05215CD5" w14:textId="77777777" w:rsidR="007F00E5" w:rsidRPr="00BE78CA" w:rsidRDefault="007F00E5" w:rsidP="00C26084">
            <w:pPr>
              <w:pStyle w:val="TableText"/>
              <w:spacing w:before="50" w:after="50"/>
              <w:rPr>
                <w:szCs w:val="16"/>
              </w:rPr>
            </w:pPr>
            <w:r w:rsidRPr="00BE78CA">
              <w:rPr>
                <w:szCs w:val="16"/>
              </w:rPr>
              <w:t>IPCC default</w:t>
            </w:r>
          </w:p>
        </w:tc>
        <w:tc>
          <w:tcPr>
            <w:tcW w:w="2835" w:type="dxa"/>
            <w:tcBorders>
              <w:left w:val="nil"/>
            </w:tcBorders>
          </w:tcPr>
          <w:p w14:paraId="6BF31C29" w14:textId="77777777" w:rsidR="007F00E5" w:rsidRPr="00BE78CA" w:rsidRDefault="007F00E5" w:rsidP="00C26084">
            <w:pPr>
              <w:pStyle w:val="TableText"/>
              <w:spacing w:before="50" w:after="50"/>
              <w:rPr>
                <w:szCs w:val="16"/>
              </w:rPr>
            </w:pPr>
            <w:r w:rsidRPr="00BE78CA">
              <w:rPr>
                <w:szCs w:val="16"/>
              </w:rPr>
              <w:t>Table 6.2, section 6.2.2.2, IPCC, 2006d</w:t>
            </w:r>
          </w:p>
        </w:tc>
      </w:tr>
      <w:tr w:rsidR="007F00E5" w:rsidRPr="00BE78CA" w14:paraId="6D8259AE" w14:textId="77777777" w:rsidTr="006B5EF7">
        <w:tc>
          <w:tcPr>
            <w:tcW w:w="3289" w:type="dxa"/>
            <w:tcBorders>
              <w:right w:val="nil"/>
            </w:tcBorders>
          </w:tcPr>
          <w:p w14:paraId="689A4EA4" w14:textId="77777777" w:rsidR="007F00E5" w:rsidRPr="00BE78CA" w:rsidRDefault="007F00E5" w:rsidP="00C26084">
            <w:pPr>
              <w:pStyle w:val="TableText"/>
              <w:spacing w:before="50" w:after="50"/>
              <w:rPr>
                <w:szCs w:val="16"/>
              </w:rPr>
            </w:pPr>
            <w:r w:rsidRPr="00BE78CA">
              <w:rPr>
                <w:szCs w:val="16"/>
              </w:rPr>
              <w:t>Biochemical oxygen demand (BOD) (kg BOD/person/year)</w:t>
            </w:r>
          </w:p>
        </w:tc>
        <w:tc>
          <w:tcPr>
            <w:tcW w:w="737" w:type="dxa"/>
            <w:tcBorders>
              <w:left w:val="nil"/>
              <w:right w:val="nil"/>
            </w:tcBorders>
          </w:tcPr>
          <w:p w14:paraId="02C7C897" w14:textId="77777777" w:rsidR="007F00E5" w:rsidRPr="00BE78CA" w:rsidRDefault="007F00E5" w:rsidP="00C26084">
            <w:pPr>
              <w:pStyle w:val="TableText"/>
              <w:spacing w:before="50" w:after="50"/>
              <w:rPr>
                <w:szCs w:val="16"/>
              </w:rPr>
            </w:pPr>
            <w:r w:rsidRPr="00BE78CA">
              <w:rPr>
                <w:szCs w:val="16"/>
              </w:rPr>
              <w:t>21.9</w:t>
            </w:r>
          </w:p>
        </w:tc>
        <w:tc>
          <w:tcPr>
            <w:tcW w:w="1587" w:type="dxa"/>
            <w:tcBorders>
              <w:left w:val="nil"/>
              <w:right w:val="nil"/>
            </w:tcBorders>
          </w:tcPr>
          <w:p w14:paraId="4567089F" w14:textId="77777777" w:rsidR="007F00E5" w:rsidRPr="00BE78CA" w:rsidRDefault="007F00E5" w:rsidP="00C26084">
            <w:pPr>
              <w:pStyle w:val="TableText"/>
              <w:spacing w:before="50" w:after="50"/>
              <w:rPr>
                <w:szCs w:val="16"/>
              </w:rPr>
            </w:pPr>
            <w:r w:rsidRPr="00BE78CA">
              <w:rPr>
                <w:szCs w:val="16"/>
              </w:rPr>
              <w:t>IPCC default for Oceania</w:t>
            </w:r>
          </w:p>
        </w:tc>
        <w:tc>
          <w:tcPr>
            <w:tcW w:w="2835" w:type="dxa"/>
            <w:tcBorders>
              <w:left w:val="nil"/>
            </w:tcBorders>
          </w:tcPr>
          <w:p w14:paraId="1CC28559" w14:textId="77777777" w:rsidR="007F00E5" w:rsidRPr="00BE78CA" w:rsidRDefault="007F00E5" w:rsidP="00C26084">
            <w:pPr>
              <w:pStyle w:val="TableText"/>
              <w:spacing w:before="50" w:after="50"/>
              <w:rPr>
                <w:szCs w:val="16"/>
              </w:rPr>
            </w:pPr>
            <w:r w:rsidRPr="00BE78CA">
              <w:rPr>
                <w:rFonts w:eastAsia="Calibri"/>
                <w:szCs w:val="16"/>
              </w:rPr>
              <w:t>IPCC</w:t>
            </w:r>
            <w:r w:rsidRPr="00BE78CA">
              <w:rPr>
                <w:szCs w:val="16"/>
              </w:rPr>
              <w:t>, 2006d</w:t>
            </w:r>
            <w:r w:rsidRPr="00BE78CA">
              <w:rPr>
                <w:rFonts w:eastAsia="Calibri"/>
                <w:szCs w:val="16"/>
              </w:rPr>
              <w:t xml:space="preserve"> (worksheets for SWDS)</w:t>
            </w:r>
          </w:p>
        </w:tc>
      </w:tr>
      <w:tr w:rsidR="007F00E5" w:rsidRPr="00BE78CA" w14:paraId="06BA6F40" w14:textId="77777777" w:rsidTr="006B5EF7">
        <w:tc>
          <w:tcPr>
            <w:tcW w:w="3289" w:type="dxa"/>
            <w:tcBorders>
              <w:right w:val="nil"/>
            </w:tcBorders>
          </w:tcPr>
          <w:p w14:paraId="3CB76AD0" w14:textId="77777777" w:rsidR="007F00E5" w:rsidRPr="00BE78CA" w:rsidRDefault="007F00E5" w:rsidP="00C26084">
            <w:pPr>
              <w:pStyle w:val="TableText"/>
              <w:spacing w:before="50" w:after="50"/>
              <w:rPr>
                <w:szCs w:val="16"/>
              </w:rPr>
            </w:pPr>
            <w:r w:rsidRPr="00BE78CA">
              <w:rPr>
                <w:szCs w:val="16"/>
              </w:rPr>
              <w:t>Correction factor for BOD</w:t>
            </w:r>
          </w:p>
        </w:tc>
        <w:tc>
          <w:tcPr>
            <w:tcW w:w="737" w:type="dxa"/>
            <w:tcBorders>
              <w:left w:val="nil"/>
              <w:right w:val="nil"/>
            </w:tcBorders>
          </w:tcPr>
          <w:p w14:paraId="6389781D" w14:textId="77777777" w:rsidR="007F00E5" w:rsidRPr="00BE78CA" w:rsidRDefault="007F00E5" w:rsidP="00C26084">
            <w:pPr>
              <w:pStyle w:val="TableText"/>
              <w:spacing w:before="50" w:after="50"/>
              <w:rPr>
                <w:szCs w:val="16"/>
              </w:rPr>
            </w:pPr>
            <w:r w:rsidRPr="00BE78CA">
              <w:rPr>
                <w:szCs w:val="16"/>
              </w:rPr>
              <w:t>1.25</w:t>
            </w:r>
          </w:p>
        </w:tc>
        <w:tc>
          <w:tcPr>
            <w:tcW w:w="1587" w:type="dxa"/>
            <w:tcBorders>
              <w:left w:val="nil"/>
              <w:right w:val="nil"/>
            </w:tcBorders>
          </w:tcPr>
          <w:p w14:paraId="2BD1E679" w14:textId="77777777" w:rsidR="007F00E5" w:rsidRPr="00BE78CA" w:rsidRDefault="007F00E5" w:rsidP="00C26084">
            <w:pPr>
              <w:pStyle w:val="TableText"/>
              <w:spacing w:before="50" w:after="50"/>
              <w:rPr>
                <w:szCs w:val="16"/>
              </w:rPr>
            </w:pPr>
            <w:r w:rsidRPr="00BE78CA">
              <w:rPr>
                <w:szCs w:val="16"/>
              </w:rPr>
              <w:t>IPCC default for collected systems</w:t>
            </w:r>
          </w:p>
        </w:tc>
        <w:tc>
          <w:tcPr>
            <w:tcW w:w="2835" w:type="dxa"/>
            <w:tcBorders>
              <w:left w:val="nil"/>
            </w:tcBorders>
          </w:tcPr>
          <w:p w14:paraId="2E83860D" w14:textId="77777777" w:rsidR="007F00E5" w:rsidRPr="00BE78CA" w:rsidRDefault="007F00E5" w:rsidP="00C26084">
            <w:pPr>
              <w:pStyle w:val="TableText"/>
              <w:spacing w:before="50" w:after="50"/>
              <w:rPr>
                <w:szCs w:val="16"/>
              </w:rPr>
            </w:pPr>
            <w:r w:rsidRPr="00BE78CA">
              <w:rPr>
                <w:szCs w:val="16"/>
              </w:rPr>
              <w:t>Section 6.2.2.3, p 6.14, IPCC, 2006d</w:t>
            </w:r>
          </w:p>
        </w:tc>
      </w:tr>
    </w:tbl>
    <w:p w14:paraId="394AAB83" w14:textId="77777777" w:rsidR="007F00E5" w:rsidRPr="00BE78CA" w:rsidRDefault="007F00E5" w:rsidP="007F00E5">
      <w:pPr>
        <w:pStyle w:val="Noteundertable"/>
      </w:pPr>
      <w:r w:rsidRPr="00BE78CA">
        <w:rPr>
          <w:b/>
        </w:rPr>
        <w:t>Note:</w:t>
      </w:r>
      <w:r w:rsidRPr="00BE78CA">
        <w:t xml:space="preserve"> </w:t>
      </w:r>
      <w:r w:rsidRPr="00BE78CA">
        <w:tab/>
        <w:t>BOD = biochemical oxygen demand; SWDS = solid waste disposable sites.</w:t>
      </w:r>
    </w:p>
    <w:p w14:paraId="00A2A273" w14:textId="77777777" w:rsidR="007F00E5" w:rsidRPr="00BE78CA" w:rsidRDefault="007F00E5" w:rsidP="007F00E5">
      <w:pPr>
        <w:pStyle w:val="Heading4"/>
      </w:pPr>
      <w:r w:rsidRPr="00BE78CA">
        <w:t>Assumptions for estimating nitrous oxide emissions from wastewater</w:t>
      </w:r>
    </w:p>
    <w:p w14:paraId="7A3ED1CB" w14:textId="77777777" w:rsidR="007F00E5" w:rsidRPr="00BE78CA" w:rsidRDefault="007F00E5" w:rsidP="007F00E5">
      <w:pPr>
        <w:pStyle w:val="BodyText"/>
        <w:spacing w:before="100" w:after="100"/>
      </w:pPr>
      <w:r w:rsidRPr="00BE78CA">
        <w:t>Table 8.5.6 shows the parameters used to calculate N</w:t>
      </w:r>
      <w:r w:rsidRPr="00BE78CA">
        <w:rPr>
          <w:vertAlign w:val="subscript"/>
        </w:rPr>
        <w:t>2</w:t>
      </w:r>
      <w:r w:rsidRPr="00BE78CA">
        <w:t>O emissions from wastewater. It is assumed that septic tanks do not discharge to the sea and that only the population using open water toilets contributes to the nitrogen in effluent calculation.</w:t>
      </w:r>
    </w:p>
    <w:p w14:paraId="5703458B" w14:textId="77777777" w:rsidR="007F00E5" w:rsidRPr="00BE78CA" w:rsidRDefault="007F00E5" w:rsidP="007F00E5">
      <w:pPr>
        <w:pStyle w:val="BodyText"/>
        <w:spacing w:before="100"/>
      </w:pPr>
      <w:r w:rsidRPr="00BE78CA">
        <w:t>Protein consumption of 32.45 kg/person/year has been calculated based on known consumption compiled by the Tokelau National Statistics Office. The fraction of industrial and commercial co-discharged protein accounts for any commercial and industrial activities because there is no separate estimate.</w:t>
      </w:r>
    </w:p>
    <w:p w14:paraId="338FC0FC" w14:textId="682E23DD" w:rsidR="007F00E5" w:rsidRPr="00BE78CA" w:rsidRDefault="007F00E5" w:rsidP="007F00E5">
      <w:pPr>
        <w:pStyle w:val="Table"/>
      </w:pPr>
      <w:bookmarkStart w:id="3269" w:name="_Toc5269607"/>
      <w:bookmarkStart w:id="3270" w:name="_Toc36224688"/>
      <w:bookmarkStart w:id="3271" w:name="_Toc68786574"/>
      <w:r w:rsidRPr="00BE78CA">
        <w:t>Table 8.5.6</w:t>
      </w:r>
      <w:r w:rsidRPr="00BE78CA">
        <w:tab/>
        <w:t>Parameter values applied for estimating nitrous oxide emissions for</w:t>
      </w:r>
      <w:r w:rsidRPr="00BE78CA">
        <w:br/>
        <w:t>Tokelau wastewater treatment</w:t>
      </w:r>
      <w:bookmarkEnd w:id="3269"/>
      <w:bookmarkEnd w:id="3270"/>
      <w:bookmarkEnd w:id="3271"/>
      <w:r w:rsidRPr="00BE78CA">
        <w:t xml:space="preserve"> </w:t>
      </w:r>
    </w:p>
    <w:tbl>
      <w:tblPr>
        <w:tblW w:w="8505" w:type="dxa"/>
        <w:tblBorders>
          <w:top w:val="single" w:sz="4" w:space="0" w:color="365F91"/>
          <w:bottom w:val="single" w:sz="4" w:space="0" w:color="365F91"/>
          <w:insideH w:val="single" w:sz="4" w:space="0" w:color="365F91"/>
        </w:tblBorders>
        <w:tblLook w:val="04A0" w:firstRow="1" w:lastRow="0" w:firstColumn="1" w:lastColumn="0" w:noHBand="0" w:noVBand="1"/>
      </w:tblPr>
      <w:tblGrid>
        <w:gridCol w:w="3259"/>
        <w:gridCol w:w="680"/>
        <w:gridCol w:w="1712"/>
        <w:gridCol w:w="2854"/>
      </w:tblGrid>
      <w:tr w:rsidR="007F00E5" w:rsidRPr="00BE78CA" w14:paraId="4530FF90" w14:textId="77777777" w:rsidTr="006B5EF7">
        <w:trPr>
          <w:tblHeader/>
        </w:trPr>
        <w:tc>
          <w:tcPr>
            <w:tcW w:w="3237" w:type="dxa"/>
            <w:shd w:val="clear" w:color="auto" w:fill="365F91"/>
          </w:tcPr>
          <w:p w14:paraId="2CEB5512" w14:textId="77777777" w:rsidR="007F00E5" w:rsidRPr="00BE78CA" w:rsidRDefault="007F00E5" w:rsidP="00C26084">
            <w:pPr>
              <w:pStyle w:val="TableTextBold"/>
              <w:rPr>
                <w:noProof w:val="0"/>
                <w:color w:val="FFFFFF"/>
                <w:szCs w:val="16"/>
              </w:rPr>
            </w:pPr>
            <w:r w:rsidRPr="00BE78CA">
              <w:rPr>
                <w:noProof w:val="0"/>
                <w:color w:val="FFFFFF"/>
                <w:szCs w:val="16"/>
              </w:rPr>
              <w:t>Parameter</w:t>
            </w:r>
          </w:p>
        </w:tc>
        <w:tc>
          <w:tcPr>
            <w:tcW w:w="675" w:type="dxa"/>
            <w:shd w:val="clear" w:color="auto" w:fill="365F91"/>
          </w:tcPr>
          <w:p w14:paraId="5B2B5EFE" w14:textId="77777777" w:rsidR="007F00E5" w:rsidRPr="00BE78CA" w:rsidRDefault="007F00E5" w:rsidP="00C26084">
            <w:pPr>
              <w:pStyle w:val="TableTextBold"/>
              <w:rPr>
                <w:noProof w:val="0"/>
                <w:color w:val="FFFFFF"/>
                <w:szCs w:val="16"/>
              </w:rPr>
            </w:pPr>
            <w:r w:rsidRPr="00BE78CA">
              <w:rPr>
                <w:noProof w:val="0"/>
                <w:color w:val="FFFFFF"/>
                <w:szCs w:val="16"/>
              </w:rPr>
              <w:t>Value</w:t>
            </w:r>
          </w:p>
        </w:tc>
        <w:tc>
          <w:tcPr>
            <w:tcW w:w="1701" w:type="dxa"/>
            <w:shd w:val="clear" w:color="auto" w:fill="365F91"/>
          </w:tcPr>
          <w:p w14:paraId="29E80CBE" w14:textId="77777777" w:rsidR="007F00E5" w:rsidRPr="00BE78CA" w:rsidRDefault="007F00E5" w:rsidP="00C26084">
            <w:pPr>
              <w:pStyle w:val="TableTextBold"/>
              <w:rPr>
                <w:noProof w:val="0"/>
                <w:color w:val="FFFFFF"/>
                <w:szCs w:val="16"/>
              </w:rPr>
            </w:pPr>
            <w:r w:rsidRPr="00BE78CA">
              <w:rPr>
                <w:noProof w:val="0"/>
                <w:color w:val="FFFFFF"/>
                <w:szCs w:val="16"/>
              </w:rPr>
              <w:t>Source</w:t>
            </w:r>
          </w:p>
        </w:tc>
        <w:tc>
          <w:tcPr>
            <w:tcW w:w="2835" w:type="dxa"/>
            <w:shd w:val="clear" w:color="auto" w:fill="365F91"/>
          </w:tcPr>
          <w:p w14:paraId="463DA007" w14:textId="77777777" w:rsidR="007F00E5" w:rsidRPr="00BE78CA" w:rsidRDefault="007F00E5" w:rsidP="00C26084">
            <w:pPr>
              <w:pStyle w:val="TableTextBold"/>
              <w:rPr>
                <w:noProof w:val="0"/>
                <w:color w:val="FFFFFF"/>
                <w:szCs w:val="16"/>
              </w:rPr>
            </w:pPr>
            <w:r w:rsidRPr="00BE78CA">
              <w:rPr>
                <w:noProof w:val="0"/>
                <w:color w:val="FFFFFF"/>
                <w:szCs w:val="16"/>
              </w:rPr>
              <w:t>Reference</w:t>
            </w:r>
          </w:p>
        </w:tc>
      </w:tr>
      <w:tr w:rsidR="007F00E5" w:rsidRPr="00BE78CA" w14:paraId="68B10D3E" w14:textId="77777777" w:rsidTr="006B5EF7">
        <w:tc>
          <w:tcPr>
            <w:tcW w:w="3237" w:type="dxa"/>
          </w:tcPr>
          <w:p w14:paraId="03C91B0C" w14:textId="77777777" w:rsidR="007F00E5" w:rsidRPr="00BE78CA" w:rsidRDefault="007F00E5" w:rsidP="00C26084">
            <w:pPr>
              <w:pStyle w:val="TableText"/>
              <w:rPr>
                <w:szCs w:val="16"/>
              </w:rPr>
            </w:pPr>
            <w:r w:rsidRPr="00BE78CA">
              <w:rPr>
                <w:szCs w:val="16"/>
              </w:rPr>
              <w:t>Per capita protein consumption (kg/person/year)</w:t>
            </w:r>
          </w:p>
        </w:tc>
        <w:tc>
          <w:tcPr>
            <w:tcW w:w="675" w:type="dxa"/>
          </w:tcPr>
          <w:p w14:paraId="551F45C5" w14:textId="77777777" w:rsidR="007F00E5" w:rsidRPr="00BE78CA" w:rsidRDefault="007F00E5" w:rsidP="00C26084">
            <w:pPr>
              <w:pStyle w:val="TableText"/>
              <w:rPr>
                <w:szCs w:val="16"/>
              </w:rPr>
            </w:pPr>
            <w:r w:rsidRPr="00BE78CA">
              <w:rPr>
                <w:szCs w:val="16"/>
              </w:rPr>
              <w:t>32.448</w:t>
            </w:r>
          </w:p>
        </w:tc>
        <w:tc>
          <w:tcPr>
            <w:tcW w:w="1701" w:type="dxa"/>
          </w:tcPr>
          <w:p w14:paraId="2BC46910" w14:textId="77777777" w:rsidR="007F00E5" w:rsidRPr="00BE78CA" w:rsidRDefault="007F00E5" w:rsidP="00C26084">
            <w:pPr>
              <w:pStyle w:val="TableText"/>
              <w:rPr>
                <w:szCs w:val="16"/>
              </w:rPr>
            </w:pPr>
            <w:r w:rsidRPr="00BE78CA">
              <w:rPr>
                <w:szCs w:val="16"/>
              </w:rPr>
              <w:t>Tokelau specific</w:t>
            </w:r>
          </w:p>
        </w:tc>
        <w:tc>
          <w:tcPr>
            <w:tcW w:w="2835" w:type="dxa"/>
          </w:tcPr>
          <w:p w14:paraId="28FF6421" w14:textId="77777777" w:rsidR="007F00E5" w:rsidRPr="00BE78CA" w:rsidRDefault="007F00E5" w:rsidP="00C26084">
            <w:pPr>
              <w:pStyle w:val="TableText"/>
              <w:rPr>
                <w:szCs w:val="16"/>
              </w:rPr>
            </w:pPr>
            <w:r w:rsidRPr="00BE78CA">
              <w:rPr>
                <w:szCs w:val="16"/>
              </w:rPr>
              <w:t>Developed by Tokelau’s National Statistics Office using imports data (see table 8.1.2)</w:t>
            </w:r>
          </w:p>
        </w:tc>
      </w:tr>
      <w:tr w:rsidR="007F00E5" w:rsidRPr="00BE78CA" w14:paraId="1E03B55E" w14:textId="77777777" w:rsidTr="006B5EF7">
        <w:tc>
          <w:tcPr>
            <w:tcW w:w="3237" w:type="dxa"/>
          </w:tcPr>
          <w:p w14:paraId="6B55F9C2" w14:textId="77777777" w:rsidR="007F00E5" w:rsidRPr="00BE78CA" w:rsidRDefault="007F00E5" w:rsidP="00C26084">
            <w:pPr>
              <w:pStyle w:val="TableText"/>
              <w:rPr>
                <w:szCs w:val="16"/>
              </w:rPr>
            </w:pPr>
            <w:r w:rsidRPr="00BE78CA">
              <w:rPr>
                <w:szCs w:val="16"/>
              </w:rPr>
              <w:t xml:space="preserve">Fraction of nitrogen in protein </w:t>
            </w:r>
          </w:p>
        </w:tc>
        <w:tc>
          <w:tcPr>
            <w:tcW w:w="675" w:type="dxa"/>
          </w:tcPr>
          <w:p w14:paraId="5C5B7971" w14:textId="77777777" w:rsidR="007F00E5" w:rsidRPr="00BE78CA" w:rsidRDefault="007F00E5" w:rsidP="00C26084">
            <w:pPr>
              <w:pStyle w:val="TableText"/>
              <w:rPr>
                <w:szCs w:val="16"/>
              </w:rPr>
            </w:pPr>
            <w:r w:rsidRPr="00BE78CA">
              <w:rPr>
                <w:szCs w:val="16"/>
              </w:rPr>
              <w:t>0.16</w:t>
            </w:r>
          </w:p>
        </w:tc>
        <w:tc>
          <w:tcPr>
            <w:tcW w:w="1701" w:type="dxa"/>
          </w:tcPr>
          <w:p w14:paraId="3C4EC888" w14:textId="77777777" w:rsidR="007F00E5" w:rsidRPr="00BE78CA" w:rsidRDefault="007F00E5" w:rsidP="00C26084">
            <w:pPr>
              <w:pStyle w:val="TableText"/>
              <w:rPr>
                <w:szCs w:val="16"/>
              </w:rPr>
            </w:pPr>
            <w:r w:rsidRPr="00BE78CA">
              <w:rPr>
                <w:szCs w:val="16"/>
              </w:rPr>
              <w:t>IPCC default</w:t>
            </w:r>
          </w:p>
        </w:tc>
        <w:tc>
          <w:tcPr>
            <w:tcW w:w="2835" w:type="dxa"/>
          </w:tcPr>
          <w:p w14:paraId="356FD323" w14:textId="77777777" w:rsidR="007F00E5" w:rsidRPr="00BE78CA" w:rsidRDefault="007F00E5" w:rsidP="00C26084">
            <w:pPr>
              <w:pStyle w:val="TableText"/>
              <w:rPr>
                <w:szCs w:val="16"/>
              </w:rPr>
            </w:pPr>
            <w:r w:rsidRPr="00BE78CA">
              <w:rPr>
                <w:szCs w:val="16"/>
              </w:rPr>
              <w:t>Section 6.3.1.3, p 6.25, IPCC, 2006d</w:t>
            </w:r>
          </w:p>
        </w:tc>
      </w:tr>
      <w:tr w:rsidR="007F00E5" w:rsidRPr="00BE78CA" w14:paraId="31B10831" w14:textId="77777777" w:rsidTr="006B5EF7">
        <w:tc>
          <w:tcPr>
            <w:tcW w:w="3237" w:type="dxa"/>
          </w:tcPr>
          <w:p w14:paraId="0F518DD9" w14:textId="77777777" w:rsidR="007F00E5" w:rsidRPr="00BE78CA" w:rsidRDefault="007F00E5" w:rsidP="00C26084">
            <w:pPr>
              <w:pStyle w:val="TableText"/>
              <w:rPr>
                <w:szCs w:val="16"/>
              </w:rPr>
            </w:pPr>
            <w:r w:rsidRPr="00BE78CA">
              <w:rPr>
                <w:szCs w:val="16"/>
              </w:rPr>
              <w:t>Fraction of non-consumed protein</w:t>
            </w:r>
          </w:p>
        </w:tc>
        <w:tc>
          <w:tcPr>
            <w:tcW w:w="675" w:type="dxa"/>
          </w:tcPr>
          <w:p w14:paraId="46BB883C" w14:textId="77777777" w:rsidR="007F00E5" w:rsidRPr="00BE78CA" w:rsidRDefault="007F00E5" w:rsidP="00C26084">
            <w:pPr>
              <w:pStyle w:val="TableText"/>
              <w:rPr>
                <w:szCs w:val="16"/>
              </w:rPr>
            </w:pPr>
            <w:r w:rsidRPr="00BE78CA">
              <w:rPr>
                <w:szCs w:val="16"/>
              </w:rPr>
              <w:t>1.1</w:t>
            </w:r>
          </w:p>
        </w:tc>
        <w:tc>
          <w:tcPr>
            <w:tcW w:w="1701" w:type="dxa"/>
          </w:tcPr>
          <w:p w14:paraId="23664DCD" w14:textId="77777777" w:rsidR="007F00E5" w:rsidRPr="00BE78CA" w:rsidRDefault="007F00E5" w:rsidP="00C26084">
            <w:pPr>
              <w:pStyle w:val="TableText"/>
              <w:rPr>
                <w:szCs w:val="16"/>
              </w:rPr>
            </w:pPr>
            <w:r w:rsidRPr="00BE78CA">
              <w:rPr>
                <w:szCs w:val="16"/>
              </w:rPr>
              <w:t>IPCC default for developing countries</w:t>
            </w:r>
          </w:p>
        </w:tc>
        <w:tc>
          <w:tcPr>
            <w:tcW w:w="2835" w:type="dxa"/>
          </w:tcPr>
          <w:p w14:paraId="26C36972" w14:textId="77777777" w:rsidR="007F00E5" w:rsidRPr="00BE78CA" w:rsidRDefault="007F00E5" w:rsidP="00C26084">
            <w:pPr>
              <w:pStyle w:val="TableText"/>
              <w:rPr>
                <w:szCs w:val="16"/>
              </w:rPr>
            </w:pPr>
            <w:r w:rsidRPr="00BE78CA">
              <w:rPr>
                <w:szCs w:val="16"/>
              </w:rPr>
              <w:t>Table 6.11, section 6.3.3, IPCC, 2006d</w:t>
            </w:r>
          </w:p>
        </w:tc>
      </w:tr>
      <w:tr w:rsidR="007F00E5" w:rsidRPr="00BE78CA" w14:paraId="26095D3F" w14:textId="77777777" w:rsidTr="006B5EF7">
        <w:tc>
          <w:tcPr>
            <w:tcW w:w="3237" w:type="dxa"/>
          </w:tcPr>
          <w:p w14:paraId="6F94081B" w14:textId="77777777" w:rsidR="007F00E5" w:rsidRPr="00BE78CA" w:rsidRDefault="007F00E5" w:rsidP="00C26084">
            <w:pPr>
              <w:pStyle w:val="TableText"/>
              <w:rPr>
                <w:szCs w:val="16"/>
              </w:rPr>
            </w:pPr>
            <w:r w:rsidRPr="00BE78CA">
              <w:rPr>
                <w:szCs w:val="16"/>
              </w:rPr>
              <w:lastRenderedPageBreak/>
              <w:t>Fraction of industrial and commercial co</w:t>
            </w:r>
            <w:r w:rsidRPr="00BE78CA">
              <w:rPr>
                <w:szCs w:val="16"/>
              </w:rPr>
              <w:noBreakHyphen/>
              <w:t>discharged protein</w:t>
            </w:r>
          </w:p>
        </w:tc>
        <w:tc>
          <w:tcPr>
            <w:tcW w:w="675" w:type="dxa"/>
          </w:tcPr>
          <w:p w14:paraId="1D07D884" w14:textId="77777777" w:rsidR="007F00E5" w:rsidRPr="00BE78CA" w:rsidRDefault="007F00E5" w:rsidP="00C26084">
            <w:pPr>
              <w:pStyle w:val="TableText"/>
              <w:rPr>
                <w:szCs w:val="16"/>
              </w:rPr>
            </w:pPr>
            <w:r w:rsidRPr="00BE78CA">
              <w:rPr>
                <w:szCs w:val="16"/>
              </w:rPr>
              <w:t>1.25</w:t>
            </w:r>
          </w:p>
        </w:tc>
        <w:tc>
          <w:tcPr>
            <w:tcW w:w="1701" w:type="dxa"/>
          </w:tcPr>
          <w:p w14:paraId="5109F839" w14:textId="77777777" w:rsidR="007F00E5" w:rsidRPr="00BE78CA" w:rsidRDefault="007F00E5" w:rsidP="00C26084">
            <w:pPr>
              <w:pStyle w:val="TableText"/>
              <w:rPr>
                <w:szCs w:val="16"/>
              </w:rPr>
            </w:pPr>
            <w:r w:rsidRPr="00BE78CA">
              <w:rPr>
                <w:szCs w:val="16"/>
              </w:rPr>
              <w:t>IPCC default</w:t>
            </w:r>
          </w:p>
        </w:tc>
        <w:tc>
          <w:tcPr>
            <w:tcW w:w="2835" w:type="dxa"/>
          </w:tcPr>
          <w:p w14:paraId="06848C5C" w14:textId="77777777" w:rsidR="007F00E5" w:rsidRPr="00BE78CA" w:rsidRDefault="007F00E5" w:rsidP="00C26084">
            <w:pPr>
              <w:pStyle w:val="TableText"/>
              <w:rPr>
                <w:szCs w:val="16"/>
              </w:rPr>
            </w:pPr>
            <w:r w:rsidRPr="00BE78CA">
              <w:rPr>
                <w:szCs w:val="16"/>
              </w:rPr>
              <w:t>Table 6.11, section 6.3.3, IPCC, 2006d</w:t>
            </w:r>
          </w:p>
        </w:tc>
      </w:tr>
      <w:tr w:rsidR="007F00E5" w:rsidRPr="00BE78CA" w14:paraId="2ACB5282" w14:textId="77777777" w:rsidTr="006B5EF7">
        <w:tc>
          <w:tcPr>
            <w:tcW w:w="3237" w:type="dxa"/>
          </w:tcPr>
          <w:p w14:paraId="504AF9BA" w14:textId="77777777" w:rsidR="007F00E5" w:rsidRPr="00BE78CA" w:rsidRDefault="007F00E5" w:rsidP="00C26084">
            <w:pPr>
              <w:pStyle w:val="TableText"/>
              <w:rPr>
                <w:szCs w:val="16"/>
              </w:rPr>
            </w:pPr>
            <w:r w:rsidRPr="00BE78CA">
              <w:rPr>
                <w:szCs w:val="16"/>
              </w:rPr>
              <w:t>Nitrogen removed with sludge (kg)</w:t>
            </w:r>
          </w:p>
        </w:tc>
        <w:tc>
          <w:tcPr>
            <w:tcW w:w="675" w:type="dxa"/>
          </w:tcPr>
          <w:p w14:paraId="675B251E" w14:textId="77777777" w:rsidR="007F00E5" w:rsidRPr="00BE78CA" w:rsidRDefault="007F00E5" w:rsidP="00C26084">
            <w:pPr>
              <w:pStyle w:val="TableText"/>
              <w:rPr>
                <w:szCs w:val="16"/>
              </w:rPr>
            </w:pPr>
            <w:r w:rsidRPr="00BE78CA">
              <w:rPr>
                <w:szCs w:val="16"/>
              </w:rPr>
              <w:t>0</w:t>
            </w:r>
          </w:p>
        </w:tc>
        <w:tc>
          <w:tcPr>
            <w:tcW w:w="1701" w:type="dxa"/>
          </w:tcPr>
          <w:p w14:paraId="2EABD3DB" w14:textId="77777777" w:rsidR="007F00E5" w:rsidRPr="00BE78CA" w:rsidRDefault="007F00E5" w:rsidP="00C26084">
            <w:pPr>
              <w:pStyle w:val="TableText"/>
              <w:rPr>
                <w:szCs w:val="16"/>
              </w:rPr>
            </w:pPr>
            <w:r w:rsidRPr="00BE78CA">
              <w:rPr>
                <w:szCs w:val="16"/>
              </w:rPr>
              <w:t>IPCC default</w:t>
            </w:r>
          </w:p>
        </w:tc>
        <w:tc>
          <w:tcPr>
            <w:tcW w:w="2835" w:type="dxa"/>
          </w:tcPr>
          <w:p w14:paraId="10EB37E0" w14:textId="77777777" w:rsidR="007F00E5" w:rsidRPr="00BE78CA" w:rsidRDefault="007F00E5" w:rsidP="00C26084">
            <w:pPr>
              <w:pStyle w:val="TableText"/>
              <w:rPr>
                <w:szCs w:val="16"/>
              </w:rPr>
            </w:pPr>
            <w:r w:rsidRPr="00BE78CA">
              <w:rPr>
                <w:szCs w:val="16"/>
              </w:rPr>
              <w:t>Section 6.3.1.3, p 6.25, IPCC, 2006d</w:t>
            </w:r>
          </w:p>
        </w:tc>
      </w:tr>
      <w:tr w:rsidR="007F00E5" w:rsidRPr="00BE78CA" w14:paraId="6A0D3D87" w14:textId="77777777" w:rsidTr="006B5EF7">
        <w:tc>
          <w:tcPr>
            <w:tcW w:w="3237" w:type="dxa"/>
          </w:tcPr>
          <w:p w14:paraId="55291FAA" w14:textId="77777777" w:rsidR="007F00E5" w:rsidRPr="00BE78CA" w:rsidRDefault="007F00E5" w:rsidP="00C26084">
            <w:pPr>
              <w:pStyle w:val="TableText"/>
              <w:rPr>
                <w:szCs w:val="16"/>
              </w:rPr>
            </w:pPr>
            <w:r w:rsidRPr="00BE78CA">
              <w:rPr>
                <w:szCs w:val="16"/>
              </w:rPr>
              <w:t>Emissions factor</w:t>
            </w:r>
          </w:p>
        </w:tc>
        <w:tc>
          <w:tcPr>
            <w:tcW w:w="675" w:type="dxa"/>
          </w:tcPr>
          <w:p w14:paraId="25B09FD1" w14:textId="77777777" w:rsidR="007F00E5" w:rsidRPr="00BE78CA" w:rsidRDefault="007F00E5" w:rsidP="00C26084">
            <w:pPr>
              <w:pStyle w:val="TableText"/>
              <w:rPr>
                <w:szCs w:val="16"/>
              </w:rPr>
            </w:pPr>
            <w:r w:rsidRPr="00BE78CA">
              <w:rPr>
                <w:szCs w:val="16"/>
              </w:rPr>
              <w:t>0.005</w:t>
            </w:r>
          </w:p>
        </w:tc>
        <w:tc>
          <w:tcPr>
            <w:tcW w:w="1701" w:type="dxa"/>
          </w:tcPr>
          <w:p w14:paraId="03EFCD5A" w14:textId="77777777" w:rsidR="007F00E5" w:rsidRPr="00BE78CA" w:rsidRDefault="007F00E5" w:rsidP="00C26084">
            <w:pPr>
              <w:pStyle w:val="TableText"/>
              <w:rPr>
                <w:szCs w:val="16"/>
              </w:rPr>
            </w:pPr>
            <w:r w:rsidRPr="00BE78CA">
              <w:rPr>
                <w:szCs w:val="16"/>
              </w:rPr>
              <w:t>IPCC default</w:t>
            </w:r>
          </w:p>
        </w:tc>
        <w:tc>
          <w:tcPr>
            <w:tcW w:w="2835" w:type="dxa"/>
          </w:tcPr>
          <w:p w14:paraId="21A5A08E" w14:textId="77777777" w:rsidR="007F00E5" w:rsidRPr="00BE78CA" w:rsidRDefault="007F00E5" w:rsidP="00C26084">
            <w:pPr>
              <w:pStyle w:val="TableText"/>
              <w:rPr>
                <w:szCs w:val="16"/>
              </w:rPr>
            </w:pPr>
            <w:r w:rsidRPr="00BE78CA">
              <w:rPr>
                <w:szCs w:val="16"/>
              </w:rPr>
              <w:t>Table 6.11, section 6.3.3, IPCC, 2006d</w:t>
            </w:r>
          </w:p>
        </w:tc>
      </w:tr>
      <w:tr w:rsidR="007F00E5" w:rsidRPr="00BE78CA" w14:paraId="37FDFBC8" w14:textId="77777777" w:rsidTr="006B5EF7">
        <w:tc>
          <w:tcPr>
            <w:tcW w:w="3237" w:type="dxa"/>
          </w:tcPr>
          <w:p w14:paraId="18FE4AFF" w14:textId="77777777" w:rsidR="007F00E5" w:rsidRPr="00BE78CA" w:rsidRDefault="007F00E5" w:rsidP="00C26084">
            <w:pPr>
              <w:pStyle w:val="TableText"/>
              <w:rPr>
                <w:szCs w:val="16"/>
              </w:rPr>
            </w:pPr>
            <w:r w:rsidRPr="00BE78CA">
              <w:rPr>
                <w:szCs w:val="16"/>
              </w:rPr>
              <w:t>Emissions from wastewater treatment plants</w:t>
            </w:r>
          </w:p>
        </w:tc>
        <w:tc>
          <w:tcPr>
            <w:tcW w:w="675" w:type="dxa"/>
          </w:tcPr>
          <w:p w14:paraId="6E8FE224" w14:textId="77777777" w:rsidR="007F00E5" w:rsidRPr="00BE78CA" w:rsidRDefault="007F00E5" w:rsidP="00C26084">
            <w:pPr>
              <w:pStyle w:val="TableText"/>
              <w:rPr>
                <w:szCs w:val="16"/>
              </w:rPr>
            </w:pPr>
            <w:r w:rsidRPr="00BE78CA">
              <w:rPr>
                <w:szCs w:val="16"/>
              </w:rPr>
              <w:t>0</w:t>
            </w:r>
          </w:p>
        </w:tc>
        <w:tc>
          <w:tcPr>
            <w:tcW w:w="1701" w:type="dxa"/>
          </w:tcPr>
          <w:p w14:paraId="20E36030" w14:textId="77777777" w:rsidR="007F00E5" w:rsidRPr="00BE78CA" w:rsidRDefault="007F00E5" w:rsidP="00C26084">
            <w:pPr>
              <w:pStyle w:val="TableText"/>
              <w:rPr>
                <w:szCs w:val="16"/>
              </w:rPr>
            </w:pPr>
            <w:r w:rsidRPr="00BE78CA">
              <w:rPr>
                <w:szCs w:val="16"/>
              </w:rPr>
              <w:t>IPCC default</w:t>
            </w:r>
          </w:p>
        </w:tc>
        <w:tc>
          <w:tcPr>
            <w:tcW w:w="2835" w:type="dxa"/>
          </w:tcPr>
          <w:p w14:paraId="4DEDD47F" w14:textId="77777777" w:rsidR="007F00E5" w:rsidRPr="00BE78CA" w:rsidRDefault="007F00E5" w:rsidP="00C26084">
            <w:pPr>
              <w:pStyle w:val="TableText"/>
              <w:rPr>
                <w:szCs w:val="16"/>
              </w:rPr>
            </w:pPr>
            <w:r w:rsidRPr="00BE78CA">
              <w:rPr>
                <w:szCs w:val="16"/>
              </w:rPr>
              <w:t>IPCC (2006d)</w:t>
            </w:r>
          </w:p>
        </w:tc>
      </w:tr>
    </w:tbl>
    <w:p w14:paraId="25B0F3DC" w14:textId="77777777" w:rsidR="007F00E5" w:rsidRPr="00BE78CA" w:rsidRDefault="007F00E5" w:rsidP="007F00E5">
      <w:pPr>
        <w:pStyle w:val="Heading4"/>
        <w:spacing w:before="360"/>
      </w:pPr>
      <w:r w:rsidRPr="00BE78CA">
        <w:t>Uncertainty</w:t>
      </w:r>
    </w:p>
    <w:p w14:paraId="10880E59" w14:textId="77777777" w:rsidR="007F00E5" w:rsidRPr="00BE78CA" w:rsidRDefault="007F00E5" w:rsidP="007F00E5">
      <w:pPr>
        <w:pStyle w:val="BodyText"/>
      </w:pPr>
      <w:r w:rsidRPr="00BE78CA">
        <w:t>The same uncertainty data for domestic wastewater were used for Tokelau and New Zealand (see table 7.5.16, chapter 7; for methodological notes, refer to uncertainties in emissions from domestic wastewater in section 7.5.3, chapter 7). Table 8.5.7 shows uncertainties for activity data and emission factors used by Tokelau for domestic wastewater.</w:t>
      </w:r>
    </w:p>
    <w:p w14:paraId="4E9B347D" w14:textId="77777777" w:rsidR="007F00E5" w:rsidRPr="00BE78CA" w:rsidRDefault="007F00E5" w:rsidP="007F00E5">
      <w:pPr>
        <w:pStyle w:val="Table"/>
        <w:rPr>
          <w:rFonts w:eastAsia="Calibri"/>
        </w:rPr>
      </w:pPr>
      <w:bookmarkStart w:id="3272" w:name="_Toc5269608"/>
      <w:bookmarkStart w:id="3273" w:name="_Toc36224689"/>
      <w:bookmarkStart w:id="3274" w:name="_Toc68786575"/>
      <w:r w:rsidRPr="00BE78CA">
        <w:t>Table 8.5.7</w:t>
      </w:r>
      <w:r w:rsidRPr="00BE78CA">
        <w:tab/>
        <w:t>Uncertainty in emissions from domestic wastewater</w:t>
      </w:r>
      <w:bookmarkEnd w:id="3272"/>
      <w:bookmarkEnd w:id="3273"/>
      <w:bookmarkEnd w:id="3274"/>
    </w:p>
    <w:tbl>
      <w:tblPr>
        <w:tblW w:w="8505" w:type="dxa"/>
        <w:tblBorders>
          <w:top w:val="single" w:sz="4" w:space="0" w:color="365F91"/>
          <w:bottom w:val="single" w:sz="4" w:space="0" w:color="365F91"/>
          <w:insideH w:val="single" w:sz="4" w:space="0" w:color="365F91"/>
          <w:insideV w:val="single" w:sz="4" w:space="0" w:color="365F91"/>
        </w:tblBorders>
        <w:tblCellMar>
          <w:left w:w="0" w:type="dxa"/>
          <w:right w:w="0" w:type="dxa"/>
        </w:tblCellMar>
        <w:tblLook w:val="04A0" w:firstRow="1" w:lastRow="0" w:firstColumn="1" w:lastColumn="0" w:noHBand="0" w:noVBand="1"/>
      </w:tblPr>
      <w:tblGrid>
        <w:gridCol w:w="3368"/>
        <w:gridCol w:w="2443"/>
        <w:gridCol w:w="2694"/>
      </w:tblGrid>
      <w:tr w:rsidR="007F00E5" w:rsidRPr="00BE78CA" w14:paraId="258DC18A" w14:textId="77777777" w:rsidTr="00441FA8">
        <w:tc>
          <w:tcPr>
            <w:tcW w:w="3345" w:type="dxa"/>
            <w:shd w:val="clear" w:color="auto" w:fill="365F91"/>
            <w:tcMar>
              <w:top w:w="0" w:type="dxa"/>
              <w:left w:w="108" w:type="dxa"/>
              <w:bottom w:w="0" w:type="dxa"/>
              <w:right w:w="108" w:type="dxa"/>
            </w:tcMar>
            <w:vAlign w:val="bottom"/>
            <w:hideMark/>
          </w:tcPr>
          <w:p w14:paraId="3339762E" w14:textId="77777777" w:rsidR="007F00E5" w:rsidRPr="00BE78CA" w:rsidRDefault="007F00E5" w:rsidP="00C26084">
            <w:pPr>
              <w:pStyle w:val="TableTextBold"/>
              <w:keepNext/>
              <w:rPr>
                <w:noProof w:val="0"/>
                <w:color w:val="FFFFFF"/>
                <w:szCs w:val="16"/>
              </w:rPr>
            </w:pPr>
            <w:r w:rsidRPr="00BE78CA">
              <w:rPr>
                <w:noProof w:val="0"/>
                <w:color w:val="FFFFFF"/>
                <w:szCs w:val="16"/>
              </w:rPr>
              <w:t>Emissions category</w:t>
            </w:r>
          </w:p>
        </w:tc>
        <w:tc>
          <w:tcPr>
            <w:tcW w:w="2427" w:type="dxa"/>
            <w:shd w:val="clear" w:color="auto" w:fill="365F91"/>
            <w:tcMar>
              <w:top w:w="0" w:type="dxa"/>
              <w:left w:w="108" w:type="dxa"/>
              <w:bottom w:w="0" w:type="dxa"/>
              <w:right w:w="108" w:type="dxa"/>
            </w:tcMar>
            <w:vAlign w:val="bottom"/>
            <w:hideMark/>
          </w:tcPr>
          <w:p w14:paraId="3E77833A" w14:textId="77777777" w:rsidR="007F00E5" w:rsidRPr="00BE78CA" w:rsidRDefault="007F00E5" w:rsidP="00C26084">
            <w:pPr>
              <w:pStyle w:val="TableTextBold"/>
              <w:jc w:val="center"/>
              <w:rPr>
                <w:noProof w:val="0"/>
                <w:color w:val="FFFFFF"/>
                <w:szCs w:val="16"/>
              </w:rPr>
            </w:pPr>
            <w:r w:rsidRPr="00BE78CA">
              <w:rPr>
                <w:noProof w:val="0"/>
                <w:color w:val="FFFFFF"/>
                <w:szCs w:val="16"/>
              </w:rPr>
              <w:t>Uncertainty in activity data (%)</w:t>
            </w:r>
          </w:p>
        </w:tc>
        <w:tc>
          <w:tcPr>
            <w:tcW w:w="2676" w:type="dxa"/>
            <w:shd w:val="clear" w:color="auto" w:fill="365F91"/>
            <w:tcMar>
              <w:top w:w="0" w:type="dxa"/>
              <w:left w:w="108" w:type="dxa"/>
              <w:bottom w:w="0" w:type="dxa"/>
              <w:right w:w="108" w:type="dxa"/>
            </w:tcMar>
            <w:vAlign w:val="bottom"/>
            <w:hideMark/>
          </w:tcPr>
          <w:p w14:paraId="09F20A9C" w14:textId="77777777" w:rsidR="007F00E5" w:rsidRPr="00BE78CA" w:rsidRDefault="007F00E5" w:rsidP="00C26084">
            <w:pPr>
              <w:pStyle w:val="TableTextBold"/>
              <w:jc w:val="center"/>
              <w:rPr>
                <w:noProof w:val="0"/>
                <w:szCs w:val="16"/>
              </w:rPr>
            </w:pPr>
            <w:r w:rsidRPr="00BE78CA">
              <w:rPr>
                <w:noProof w:val="0"/>
                <w:color w:val="FFFFFF"/>
                <w:szCs w:val="16"/>
              </w:rPr>
              <w:t>Uncertainty in emission factors (%)</w:t>
            </w:r>
          </w:p>
        </w:tc>
      </w:tr>
      <w:tr w:rsidR="007F00E5" w:rsidRPr="00BE78CA" w14:paraId="248F2DD0" w14:textId="77777777" w:rsidTr="00441FA8">
        <w:trPr>
          <w:trHeight w:val="127"/>
        </w:trPr>
        <w:tc>
          <w:tcPr>
            <w:tcW w:w="3345" w:type="dxa"/>
            <w:shd w:val="clear" w:color="auto" w:fill="FFFFFF"/>
            <w:tcMar>
              <w:top w:w="0" w:type="dxa"/>
              <w:left w:w="108" w:type="dxa"/>
              <w:bottom w:w="0" w:type="dxa"/>
              <w:right w:w="108" w:type="dxa"/>
            </w:tcMar>
            <w:hideMark/>
          </w:tcPr>
          <w:p w14:paraId="4A468DD2" w14:textId="77777777" w:rsidR="007F00E5" w:rsidRPr="00BE78CA" w:rsidRDefault="007F00E5" w:rsidP="00C26084">
            <w:pPr>
              <w:pStyle w:val="TableText"/>
              <w:rPr>
                <w:szCs w:val="16"/>
              </w:rPr>
            </w:pPr>
            <w:r w:rsidRPr="00BE78CA">
              <w:rPr>
                <w:szCs w:val="16"/>
              </w:rPr>
              <w:t>Domestic and industrial wastewater (CH</w:t>
            </w:r>
            <w:r w:rsidRPr="00BE78CA">
              <w:rPr>
                <w:szCs w:val="16"/>
                <w:vertAlign w:val="subscript"/>
              </w:rPr>
              <w:t>4</w:t>
            </w:r>
            <w:r w:rsidRPr="00BE78CA">
              <w:rPr>
                <w:szCs w:val="16"/>
              </w:rPr>
              <w:t>)</w:t>
            </w:r>
          </w:p>
        </w:tc>
        <w:tc>
          <w:tcPr>
            <w:tcW w:w="2427" w:type="dxa"/>
            <w:shd w:val="clear" w:color="auto" w:fill="FFFFFF"/>
            <w:tcMar>
              <w:top w:w="0" w:type="dxa"/>
              <w:left w:w="108" w:type="dxa"/>
              <w:bottom w:w="0" w:type="dxa"/>
              <w:right w:w="108" w:type="dxa"/>
            </w:tcMar>
            <w:hideMark/>
          </w:tcPr>
          <w:p w14:paraId="0FBB7E18" w14:textId="77777777" w:rsidR="007F00E5" w:rsidRPr="00BE78CA" w:rsidRDefault="007F00E5" w:rsidP="00C26084">
            <w:pPr>
              <w:pStyle w:val="TableText"/>
              <w:jc w:val="center"/>
              <w:rPr>
                <w:szCs w:val="16"/>
              </w:rPr>
            </w:pPr>
            <w:r w:rsidRPr="00BE78CA">
              <w:rPr>
                <w:szCs w:val="16"/>
              </w:rPr>
              <w:t>±10</w:t>
            </w:r>
          </w:p>
        </w:tc>
        <w:tc>
          <w:tcPr>
            <w:tcW w:w="2676" w:type="dxa"/>
            <w:shd w:val="clear" w:color="auto" w:fill="FFFFFF"/>
            <w:tcMar>
              <w:top w:w="0" w:type="dxa"/>
              <w:left w:w="108" w:type="dxa"/>
              <w:bottom w:w="0" w:type="dxa"/>
              <w:right w:w="108" w:type="dxa"/>
            </w:tcMar>
            <w:hideMark/>
          </w:tcPr>
          <w:p w14:paraId="26E1192A" w14:textId="77777777" w:rsidR="007F00E5" w:rsidRPr="00BE78CA" w:rsidRDefault="007F00E5" w:rsidP="00C26084">
            <w:pPr>
              <w:pStyle w:val="TableText"/>
              <w:jc w:val="center"/>
              <w:rPr>
                <w:szCs w:val="16"/>
              </w:rPr>
            </w:pPr>
            <w:r w:rsidRPr="00BE78CA">
              <w:rPr>
                <w:szCs w:val="16"/>
              </w:rPr>
              <w:t>±40</w:t>
            </w:r>
          </w:p>
        </w:tc>
      </w:tr>
      <w:tr w:rsidR="007F00E5" w:rsidRPr="00BE78CA" w14:paraId="0238D399" w14:textId="77777777" w:rsidTr="00441FA8">
        <w:tc>
          <w:tcPr>
            <w:tcW w:w="3345" w:type="dxa"/>
            <w:shd w:val="clear" w:color="auto" w:fill="FFFFFF"/>
            <w:tcMar>
              <w:top w:w="0" w:type="dxa"/>
              <w:left w:w="108" w:type="dxa"/>
              <w:bottom w:w="0" w:type="dxa"/>
              <w:right w:w="108" w:type="dxa"/>
            </w:tcMar>
            <w:hideMark/>
          </w:tcPr>
          <w:p w14:paraId="23DD37F7" w14:textId="77777777" w:rsidR="007F00E5" w:rsidRPr="00BE78CA" w:rsidRDefault="007F00E5" w:rsidP="00C26084">
            <w:pPr>
              <w:pStyle w:val="TableText"/>
              <w:rPr>
                <w:szCs w:val="16"/>
              </w:rPr>
            </w:pPr>
            <w:r w:rsidRPr="00BE78CA">
              <w:rPr>
                <w:szCs w:val="16"/>
              </w:rPr>
              <w:t>Domestic and industrial wastewater (N</w:t>
            </w:r>
            <w:r w:rsidRPr="00BE78CA">
              <w:rPr>
                <w:szCs w:val="16"/>
                <w:vertAlign w:val="subscript"/>
              </w:rPr>
              <w:t>2</w:t>
            </w:r>
            <w:r w:rsidRPr="00BE78CA">
              <w:rPr>
                <w:szCs w:val="16"/>
              </w:rPr>
              <w:t>O)</w:t>
            </w:r>
          </w:p>
        </w:tc>
        <w:tc>
          <w:tcPr>
            <w:tcW w:w="2427" w:type="dxa"/>
            <w:shd w:val="clear" w:color="auto" w:fill="FFFFFF"/>
            <w:tcMar>
              <w:top w:w="0" w:type="dxa"/>
              <w:left w:w="108" w:type="dxa"/>
              <w:bottom w:w="0" w:type="dxa"/>
              <w:right w:w="108" w:type="dxa"/>
            </w:tcMar>
            <w:hideMark/>
          </w:tcPr>
          <w:p w14:paraId="78B8C96E" w14:textId="77777777" w:rsidR="007F00E5" w:rsidRPr="00BE78CA" w:rsidRDefault="007F00E5" w:rsidP="00C26084">
            <w:pPr>
              <w:pStyle w:val="TableText"/>
              <w:jc w:val="center"/>
              <w:rPr>
                <w:szCs w:val="16"/>
              </w:rPr>
            </w:pPr>
            <w:r w:rsidRPr="00BE78CA">
              <w:rPr>
                <w:szCs w:val="16"/>
              </w:rPr>
              <w:t>±10</w:t>
            </w:r>
          </w:p>
        </w:tc>
        <w:tc>
          <w:tcPr>
            <w:tcW w:w="2676" w:type="dxa"/>
            <w:shd w:val="clear" w:color="auto" w:fill="FFFFFF"/>
            <w:tcMar>
              <w:top w:w="0" w:type="dxa"/>
              <w:left w:w="108" w:type="dxa"/>
              <w:bottom w:w="0" w:type="dxa"/>
              <w:right w:w="108" w:type="dxa"/>
            </w:tcMar>
            <w:hideMark/>
          </w:tcPr>
          <w:p w14:paraId="641484D5" w14:textId="77777777" w:rsidR="007F00E5" w:rsidRPr="00BE78CA" w:rsidRDefault="007F00E5" w:rsidP="00C26084">
            <w:pPr>
              <w:pStyle w:val="TableText"/>
              <w:jc w:val="center"/>
              <w:rPr>
                <w:szCs w:val="16"/>
              </w:rPr>
            </w:pPr>
            <w:r w:rsidRPr="00BE78CA">
              <w:rPr>
                <w:szCs w:val="16"/>
              </w:rPr>
              <w:t>±90</w:t>
            </w:r>
          </w:p>
        </w:tc>
      </w:tr>
    </w:tbl>
    <w:p w14:paraId="591A3D7E" w14:textId="77777777" w:rsidR="007F00E5" w:rsidRPr="00BE78CA" w:rsidRDefault="007F00E5" w:rsidP="007F00E5">
      <w:pPr>
        <w:pStyle w:val="BodyText"/>
      </w:pPr>
    </w:p>
    <w:p w14:paraId="5EB5EB5B" w14:textId="77777777" w:rsidR="007F00E5" w:rsidRPr="00BE78CA" w:rsidRDefault="007F00E5" w:rsidP="007F00E5">
      <w:pPr>
        <w:pStyle w:val="Heading2"/>
        <w:spacing w:before="0" w:after="360"/>
      </w:pPr>
      <w:r w:rsidRPr="00BE78CA">
        <w:br w:type="page"/>
      </w:r>
      <w:bookmarkStart w:id="3275" w:name="_Toc5269398"/>
      <w:bookmarkStart w:id="3276" w:name="_Toc36224438"/>
      <w:bookmarkStart w:id="3277" w:name="_Toc68786358"/>
      <w:r w:rsidRPr="00BE78CA">
        <w:lastRenderedPageBreak/>
        <w:t>Chapter 8: References</w:t>
      </w:r>
      <w:bookmarkEnd w:id="3275"/>
      <w:bookmarkEnd w:id="3276"/>
      <w:bookmarkEnd w:id="3277"/>
    </w:p>
    <w:p w14:paraId="0412F813" w14:textId="77777777" w:rsidR="007F00E5" w:rsidRPr="00BE78CA" w:rsidRDefault="007F00E5" w:rsidP="007F00E5">
      <w:pPr>
        <w:pStyle w:val="References"/>
      </w:pPr>
      <w:r w:rsidRPr="00BE78CA">
        <w:t xml:space="preserve">Government of Tokelau. 2017. </w:t>
      </w:r>
      <w:r w:rsidRPr="00BE78CA">
        <w:rPr>
          <w:i/>
        </w:rPr>
        <w:t>Solid Waste Management: MOU Signed between Tokelau EDNRE and Pacific Recycle Co. Ltd</w:t>
      </w:r>
      <w:r w:rsidRPr="00BE78CA">
        <w:t>. Retrieved</w:t>
      </w:r>
      <w:r w:rsidRPr="00BE78CA">
        <w:rPr>
          <w:sz w:val="19"/>
          <w:szCs w:val="19"/>
        </w:rPr>
        <w:t xml:space="preserve"> f</w:t>
      </w:r>
      <w:r w:rsidRPr="00BE78CA">
        <w:t xml:space="preserve">rom </w:t>
      </w:r>
      <w:hyperlink r:id="rId262" w:history="1">
        <w:r w:rsidRPr="00BE78CA">
          <w:rPr>
            <w:rStyle w:val="Hyperlink"/>
          </w:rPr>
          <w:t>www.tokelau.org.nz/Bulletin/December+2017/Solid+Waste+ Management+MOU+Signed+between+Tokelau+EDNRE+and+Pacific++Recycle+Co.+Ltd.html</w:t>
        </w:r>
      </w:hyperlink>
      <w:r w:rsidRPr="00BE78CA">
        <w:t xml:space="preserve"> (9 March 2018).</w:t>
      </w:r>
    </w:p>
    <w:p w14:paraId="66C3A799" w14:textId="77777777" w:rsidR="007F00E5" w:rsidRPr="00BE78CA" w:rsidRDefault="007F00E5" w:rsidP="007F00E5">
      <w:pPr>
        <w:pStyle w:val="References"/>
      </w:pPr>
      <w:r w:rsidRPr="00BE78CA">
        <w:t xml:space="preserve">IPCC. 2006a. Eggleston HS, Buendia L, Miwa K, Ngara T, Tanabe K (eds). </w:t>
      </w:r>
      <w:r w:rsidRPr="00BE78CA">
        <w:rPr>
          <w:i/>
          <w:iCs/>
        </w:rPr>
        <w:t>2006 IPCC Guidelines for National Greenhouse Gas Inventories. Volume 2. Energy</w:t>
      </w:r>
      <w:r w:rsidRPr="00BE78CA">
        <w:t>. IPCC National Greenhouse Gas Inventories Programme. Japan: Institute for Global Environmental Strategies for IPCC.</w:t>
      </w:r>
    </w:p>
    <w:p w14:paraId="7B018959" w14:textId="77777777" w:rsidR="007F00E5" w:rsidRPr="00BE78CA" w:rsidRDefault="007F00E5" w:rsidP="007F00E5">
      <w:pPr>
        <w:pStyle w:val="References"/>
      </w:pPr>
      <w:r w:rsidRPr="00BE78CA">
        <w:t xml:space="preserve">IPCC. 2006b. Eggleston HS, Buendia L, Miwa K, Ngara T, Tanabe K (eds). </w:t>
      </w:r>
      <w:r w:rsidRPr="00BE78CA">
        <w:rPr>
          <w:i/>
        </w:rPr>
        <w:t>2006 IPCC</w:t>
      </w:r>
      <w:r w:rsidRPr="00BE78CA">
        <w:t xml:space="preserve"> </w:t>
      </w:r>
      <w:r w:rsidRPr="00BE78CA">
        <w:rPr>
          <w:i/>
        </w:rPr>
        <w:t>Guidelines for National Greenhouse Gas Inventories. Volume 3. Industrial Processes and Product Use</w:t>
      </w:r>
      <w:r w:rsidRPr="00BE78CA">
        <w:t>. IPCC National Greenhouse Gas Inventories Programme. Japan: IPCC by the Institute for Global Environmental Strategies.</w:t>
      </w:r>
    </w:p>
    <w:p w14:paraId="04FF0356" w14:textId="77777777" w:rsidR="007F00E5" w:rsidRPr="00BE78CA" w:rsidRDefault="007F00E5" w:rsidP="007F00E5">
      <w:pPr>
        <w:pStyle w:val="References"/>
      </w:pPr>
      <w:r w:rsidRPr="00BE78CA">
        <w:t xml:space="preserve">IPCC. 2006c. Eggleston HS, Buendia L, Miwa K, Ngara T, Tanabe K (eds). </w:t>
      </w:r>
      <w:r w:rsidRPr="00BE78CA">
        <w:rPr>
          <w:i/>
          <w:iCs/>
        </w:rPr>
        <w:t>2006 IPCC Guidelines for National Greenhouse Gas Inventories. Volume 4. Agriculture, Forestry and Other Land Use. IPCC National Greenhouse Gas Inventories Programme</w:t>
      </w:r>
      <w:r w:rsidRPr="00BE78CA">
        <w:t>. Japan: Institute for Global Environmental Strategies for IPCC.</w:t>
      </w:r>
    </w:p>
    <w:p w14:paraId="462FB237" w14:textId="77777777" w:rsidR="007F00E5" w:rsidRPr="00BE78CA" w:rsidRDefault="007F00E5" w:rsidP="007F00E5">
      <w:pPr>
        <w:pStyle w:val="References"/>
        <w:rPr>
          <w:spacing w:val="-2"/>
        </w:rPr>
      </w:pPr>
      <w:r w:rsidRPr="00BE78CA">
        <w:rPr>
          <w:spacing w:val="-2"/>
        </w:rPr>
        <w:t xml:space="preserve">IPCC. 2006d. Eggleston HS, Buendia L, Miwa K, Ngara T, Tanabe K (eds). </w:t>
      </w:r>
      <w:r w:rsidRPr="00BE78CA">
        <w:rPr>
          <w:i/>
          <w:spacing w:val="-2"/>
        </w:rPr>
        <w:t>2006 IPCC Guidelines for National Greenhouse Gas Inventories. Volume 5. Waste</w:t>
      </w:r>
      <w:r w:rsidRPr="00BE78CA">
        <w:rPr>
          <w:spacing w:val="-2"/>
        </w:rPr>
        <w:t xml:space="preserve">. IPCC National Greenhouse Gas Inventories Programme. Japan: Institute for Global Environmental Strategies for IPCC. </w:t>
      </w:r>
    </w:p>
    <w:p w14:paraId="2ED4B5C2" w14:textId="77777777" w:rsidR="007F00E5" w:rsidRPr="00BE78CA" w:rsidRDefault="007F00E5" w:rsidP="007F00E5">
      <w:pPr>
        <w:pStyle w:val="References"/>
      </w:pPr>
      <w:r w:rsidRPr="00BE78CA">
        <w:t>Jasperse JA. 2016.</w:t>
      </w:r>
      <w:r w:rsidRPr="00BE78CA">
        <w:rPr>
          <w:i/>
          <w:lang w:eastAsia="en-GB"/>
        </w:rPr>
        <w:t xml:space="preserve"> Analysis of 2014 imports into Tokelau from Samoa, Part 2: Stores’ invoices reconciled with cargo manifests, and quality of life implications</w:t>
      </w:r>
      <w:r w:rsidRPr="00BE78CA">
        <w:rPr>
          <w:lang w:eastAsia="en-GB"/>
        </w:rPr>
        <w:t xml:space="preserve">. Apia, Samoa: </w:t>
      </w:r>
      <w:r w:rsidRPr="00BE78CA">
        <w:t xml:space="preserve">Tokelau National Statistics Office. Retrieved from </w:t>
      </w:r>
      <w:hyperlink r:id="rId263" w:history="1">
        <w:r w:rsidRPr="00BE78CA">
          <w:rPr>
            <w:rStyle w:val="Hyperlink"/>
          </w:rPr>
          <w:t>www.tokelau.org.nz/Bulletin/September+2016/2014+imports +final.html</w:t>
        </w:r>
      </w:hyperlink>
      <w:r w:rsidRPr="00BE78CA">
        <w:rPr>
          <w:rStyle w:val="Hyperlink"/>
        </w:rPr>
        <w:t xml:space="preserve"> </w:t>
      </w:r>
      <w:r w:rsidRPr="00BE78CA">
        <w:t>(28 February 2019).</w:t>
      </w:r>
    </w:p>
    <w:p w14:paraId="314D9BC9" w14:textId="77777777" w:rsidR="007F00E5" w:rsidRPr="00BE78CA" w:rsidRDefault="007F00E5" w:rsidP="007F00E5">
      <w:pPr>
        <w:pStyle w:val="References"/>
      </w:pPr>
      <w:r w:rsidRPr="00BE78CA">
        <w:rPr>
          <w:rFonts w:eastAsia="Calibri"/>
        </w:rPr>
        <w:t xml:space="preserve">Koroisamanunu I, Papao J, Ketewai M and Sokota A. 2014. </w:t>
      </w:r>
      <w:r w:rsidRPr="00BE78CA">
        <w:rPr>
          <w:rFonts w:eastAsia="Calibri"/>
          <w:i/>
        </w:rPr>
        <w:t>Mission Preliminary Report (Fieldwork undertaken from 8 August – 2 September 2013). SOPAC technical note (PR193), May 2014</w:t>
      </w:r>
      <w:r w:rsidRPr="00BE78CA">
        <w:rPr>
          <w:rFonts w:eastAsia="Calibri"/>
        </w:rPr>
        <w:t>. Suva, Fiji: Water and Sanitation Programme and Disaster Reduction Programme. Applied Geoscience and Technology Division (SOPAC).</w:t>
      </w:r>
    </w:p>
    <w:p w14:paraId="095E2C5D" w14:textId="77777777" w:rsidR="007F00E5" w:rsidRPr="00BE78CA" w:rsidRDefault="007F00E5" w:rsidP="007F00E5">
      <w:pPr>
        <w:pStyle w:val="References"/>
      </w:pPr>
      <w:r w:rsidRPr="00BE78CA">
        <w:t>UNFCCC. 2014</w:t>
      </w:r>
      <w:r w:rsidRPr="00BE78CA">
        <w:rPr>
          <w:i/>
        </w:rPr>
        <w:t>. Report of the Conference of the Parties on its nineteenth session, held in Warsaw from 11 to 23 November 2013: Addendum – Part 2: Action taken by the Conference of the Parties at its nineteenth session</w:t>
      </w:r>
      <w:r w:rsidRPr="00BE78CA">
        <w:t>. FCCC/CP/2013/10/Add.3, Decision 24/CP.19.</w:t>
      </w:r>
    </w:p>
    <w:p w14:paraId="7CD8A40E" w14:textId="77777777" w:rsidR="007F00E5" w:rsidRPr="00BE78CA" w:rsidRDefault="007F00E5" w:rsidP="007F00E5">
      <w:pPr>
        <w:pStyle w:val="References"/>
      </w:pPr>
      <w:r w:rsidRPr="00BE78CA">
        <w:t>United Nations. 1945.</w:t>
      </w:r>
      <w:r w:rsidRPr="00BE78CA">
        <w:rPr>
          <w:rFonts w:cs="Calibri"/>
          <w:color w:val="222222"/>
          <w:sz w:val="18"/>
          <w:szCs w:val="18"/>
          <w:shd w:val="clear" w:color="auto" w:fill="FFFFFF"/>
        </w:rPr>
        <w:t xml:space="preserve"> </w:t>
      </w:r>
      <w:r w:rsidRPr="00BE78CA">
        <w:rPr>
          <w:bCs/>
          <w:i/>
        </w:rPr>
        <w:t xml:space="preserve">Charter of the United Nations, 1945. </w:t>
      </w:r>
      <w:r w:rsidRPr="00BE78CA">
        <w:rPr>
          <w:bCs/>
        </w:rPr>
        <w:t xml:space="preserve">Retrieved from </w:t>
      </w:r>
      <w:hyperlink r:id="rId264" w:history="1">
        <w:r w:rsidRPr="00BE78CA">
          <w:rPr>
            <w:rStyle w:val="Hyperlink"/>
          </w:rPr>
          <w:t>www.un.org/en/sections/un-charter/ chapter-xi</w:t>
        </w:r>
      </w:hyperlink>
      <w:r w:rsidRPr="00BE78CA">
        <w:t xml:space="preserve"> (7 February 2019).</w:t>
      </w:r>
    </w:p>
    <w:p w14:paraId="1E1A96BD" w14:textId="77777777" w:rsidR="007F00E5" w:rsidRPr="00BE78CA" w:rsidRDefault="007F00E5" w:rsidP="007F00E5"/>
    <w:p w14:paraId="5EB374FB" w14:textId="77777777" w:rsidR="0062032E" w:rsidRPr="00BE78CA" w:rsidRDefault="0062032E" w:rsidP="005A2CAB">
      <w:pPr>
        <w:pStyle w:val="References"/>
        <w:sectPr w:rsidR="0062032E" w:rsidRPr="00BE78CA" w:rsidSect="00C26084">
          <w:footerReference w:type="even" r:id="rId265"/>
          <w:footerReference w:type="default" r:id="rId266"/>
          <w:pgSz w:w="11906" w:h="16838" w:code="9"/>
          <w:pgMar w:top="1418" w:right="1701" w:bottom="1418" w:left="1701" w:header="567" w:footer="567" w:gutter="0"/>
          <w:cols w:space="708"/>
          <w:docGrid w:linePitch="360"/>
        </w:sectPr>
      </w:pPr>
    </w:p>
    <w:p w14:paraId="34DA97DD" w14:textId="77777777" w:rsidR="00BA7983" w:rsidRPr="00BE78CA" w:rsidRDefault="00BA7983" w:rsidP="00BA7983">
      <w:pPr>
        <w:pStyle w:val="Heading1"/>
      </w:pPr>
      <w:bookmarkStart w:id="3278" w:name="_Toc5269399"/>
      <w:bookmarkStart w:id="3279" w:name="_Toc36224439"/>
      <w:bookmarkStart w:id="3280" w:name="_Toc68786359"/>
      <w:r w:rsidRPr="00BE78CA">
        <w:lastRenderedPageBreak/>
        <w:t>Chapter 9: Indirect carbon dioxide and nitrous oxide emissions</w:t>
      </w:r>
      <w:bookmarkEnd w:id="3278"/>
      <w:bookmarkEnd w:id="3279"/>
      <w:bookmarkEnd w:id="3280"/>
      <w:r w:rsidRPr="00BE78CA">
        <w:t xml:space="preserve"> </w:t>
      </w:r>
    </w:p>
    <w:p w14:paraId="4100C470" w14:textId="77777777" w:rsidR="00BA7983" w:rsidRPr="00BE78CA" w:rsidRDefault="00BA7983" w:rsidP="00BA7983">
      <w:pPr>
        <w:pStyle w:val="BodyText"/>
      </w:pPr>
      <w:r w:rsidRPr="00BE78CA">
        <w:t>New Zealand elected not to report indirect carbon dioxide emissions in its 2021 Inventory submission. Indirect nitrous oxide emissions are reported in the Agriculture sector (chapter 5) and the Land Use, Land-Use Change and Forestry sector (chapter 6).</w:t>
      </w:r>
    </w:p>
    <w:p w14:paraId="5DB091CB" w14:textId="3D14F37C" w:rsidR="00F6028F" w:rsidRPr="00BE78CA" w:rsidRDefault="00F6028F" w:rsidP="005A2CAB">
      <w:pPr>
        <w:pStyle w:val="References"/>
      </w:pPr>
    </w:p>
    <w:p w14:paraId="242E8819" w14:textId="77777777" w:rsidR="00BA7983" w:rsidRPr="00BE78CA" w:rsidRDefault="00BA7983" w:rsidP="005A2CAB">
      <w:pPr>
        <w:pStyle w:val="References"/>
        <w:sectPr w:rsidR="00BA7983" w:rsidRPr="00BE78CA" w:rsidSect="00C26084">
          <w:pgSz w:w="11906" w:h="16838" w:code="9"/>
          <w:pgMar w:top="1418" w:right="1701" w:bottom="1418" w:left="1701" w:header="567" w:footer="567" w:gutter="0"/>
          <w:cols w:space="708"/>
          <w:docGrid w:linePitch="360"/>
        </w:sectPr>
      </w:pPr>
    </w:p>
    <w:p w14:paraId="3EFB1CD9" w14:textId="77777777" w:rsidR="007E0025" w:rsidRPr="00BE78CA" w:rsidRDefault="007E0025" w:rsidP="007E0025">
      <w:pPr>
        <w:pStyle w:val="Heading1"/>
      </w:pPr>
      <w:bookmarkStart w:id="3281" w:name="X15723e2af0975b848fa432e68188ad746a6b4f3"/>
      <w:bookmarkStart w:id="3282" w:name="_Toc68786360"/>
      <w:r w:rsidRPr="00BE78CA">
        <w:lastRenderedPageBreak/>
        <w:t>Chapter 10: Recalculations and improvements</w:t>
      </w:r>
      <w:bookmarkEnd w:id="3281"/>
      <w:bookmarkEnd w:id="3282"/>
    </w:p>
    <w:p w14:paraId="428E96F6" w14:textId="77777777" w:rsidR="007E0025" w:rsidRPr="00BE78CA" w:rsidRDefault="007E0025" w:rsidP="00686C2D">
      <w:pPr>
        <w:pStyle w:val="BodyText"/>
      </w:pPr>
      <w:r w:rsidRPr="00BE78CA">
        <w:t>This chapter summarises the recalculations and improvements made to the inventory following the 2020 submission. Further</w:t>
      </w:r>
      <w:r w:rsidRPr="00BE78CA" w:rsidDel="000F4E1B">
        <w:t xml:space="preserve"> </w:t>
      </w:r>
      <w:r w:rsidRPr="00BE78CA">
        <w:t>details on the recalculations and improvements for each sector are provided in chapters 3 to 8 and 11.</w:t>
      </w:r>
    </w:p>
    <w:p w14:paraId="734224F2" w14:textId="77777777" w:rsidR="007E0025" w:rsidRPr="00BE78CA" w:rsidRDefault="007E0025" w:rsidP="00686C2D">
      <w:pPr>
        <w:pStyle w:val="BodyText"/>
      </w:pPr>
      <w:r w:rsidRPr="00BE78CA">
        <w:t>Recalculations of estimates reported in the previous submission of the inventory are due to improvements in:</w:t>
      </w:r>
    </w:p>
    <w:p w14:paraId="4B903FFD" w14:textId="77777777" w:rsidR="007E0025" w:rsidRPr="00BE78CA" w:rsidRDefault="007E0025" w:rsidP="00686C2D">
      <w:pPr>
        <w:pStyle w:val="Bullet"/>
      </w:pPr>
      <w:r w:rsidRPr="00BE78CA">
        <w:t>activity data</w:t>
      </w:r>
    </w:p>
    <w:p w14:paraId="77F3B249" w14:textId="77777777" w:rsidR="007E0025" w:rsidRPr="00BE78CA" w:rsidRDefault="007E0025" w:rsidP="00686C2D">
      <w:pPr>
        <w:pStyle w:val="Bullet"/>
      </w:pPr>
      <w:r w:rsidRPr="00BE78CA">
        <w:t>parameters for estimating emissions including emission factors</w:t>
      </w:r>
    </w:p>
    <w:p w14:paraId="5B0B9181" w14:textId="77777777" w:rsidR="007E0025" w:rsidRPr="00BE78CA" w:rsidRDefault="007E0025" w:rsidP="00686C2D">
      <w:pPr>
        <w:pStyle w:val="Bullet"/>
      </w:pPr>
      <w:r w:rsidRPr="00BE78CA">
        <w:t>methodology, including correcting errors</w:t>
      </w:r>
    </w:p>
    <w:p w14:paraId="65D9ECC9" w14:textId="77777777" w:rsidR="007E0025" w:rsidRPr="00BE78CA" w:rsidRDefault="007E0025" w:rsidP="00686C2D">
      <w:pPr>
        <w:pStyle w:val="Bullet"/>
      </w:pPr>
      <w:r w:rsidRPr="00BE78CA">
        <w:t>activity data and emission factors that became available for certain sources that were previously reported as ‘NE’ (not estimated) because of insufficient data.</w:t>
      </w:r>
    </w:p>
    <w:p w14:paraId="745DBC93" w14:textId="77777777" w:rsidR="007E0025" w:rsidRPr="00BE78CA" w:rsidRDefault="007E0025" w:rsidP="00686C2D">
      <w:pPr>
        <w:pStyle w:val="BodyText"/>
      </w:pPr>
      <w:r w:rsidRPr="00BE78CA">
        <w:t xml:space="preserve">It is good practice to recalculate the whole time series from </w:t>
      </w:r>
      <w:r w:rsidRPr="00BE78CA">
        <w:rPr>
          <w:bCs/>
        </w:rPr>
        <w:t>1990</w:t>
      </w:r>
      <w:r w:rsidRPr="00BE78CA">
        <w:t xml:space="preserve"> to the latest reporting year, to ensure consistency across the time series. This means some estimates of emissions and/or removals reported in this submission are different from estimates reported in the previous submission. There may be exceptions to recalculating the entire time series and, where this has occurred, explanations are provided.</w:t>
      </w:r>
    </w:p>
    <w:p w14:paraId="4B184046" w14:textId="77777777" w:rsidR="007E0025" w:rsidRPr="00BE78CA" w:rsidRDefault="007E0025" w:rsidP="007E0025">
      <w:pPr>
        <w:pStyle w:val="Heading2"/>
      </w:pPr>
      <w:bookmarkStart w:id="3283" w:name="implications-and-justifications"/>
      <w:bookmarkStart w:id="3284" w:name="_Toc68786361"/>
      <w:r w:rsidRPr="00BE78CA">
        <w:t xml:space="preserve">10.1 </w:t>
      </w:r>
      <w:r w:rsidRPr="00BE78CA">
        <w:tab/>
        <w:t>Implications and justifications</w:t>
      </w:r>
      <w:bookmarkEnd w:id="3283"/>
      <w:bookmarkEnd w:id="3284"/>
    </w:p>
    <w:p w14:paraId="7C66946B" w14:textId="324714AC" w:rsidR="007E0025" w:rsidRPr="00BE78CA" w:rsidRDefault="007E0025" w:rsidP="007E0025">
      <w:pPr>
        <w:pStyle w:val="BodyText"/>
      </w:pPr>
      <w:r w:rsidRPr="00BE78CA">
        <w:t>The effect of recalculations on New Zealand’s gross emissions is shown in figure 10.1.1. The</w:t>
      </w:r>
      <w:r w:rsidR="00686C2D" w:rsidRPr="00BE78CA">
        <w:t> </w:t>
      </w:r>
      <w:r w:rsidRPr="00BE78CA">
        <w:t>years 1990 to 2018 were subject to recalculations since the 2020 submission. There was</w:t>
      </w:r>
      <w:r w:rsidR="009A5255" w:rsidRPr="00BE78CA">
        <w:t> </w:t>
      </w:r>
      <w:r w:rsidRPr="00BE78CA">
        <w:t>a</w:t>
      </w:r>
      <w:r w:rsidR="00686C2D" w:rsidRPr="00BE78CA">
        <w:t> </w:t>
      </w:r>
      <w:r w:rsidRPr="00BE78CA">
        <w:t>2.4 per cent (1,538.3 kilotonnes carbon dioxide equivalent (kt CO</w:t>
      </w:r>
      <w:r w:rsidRPr="00BE78CA">
        <w:rPr>
          <w:vertAlign w:val="subscript"/>
        </w:rPr>
        <w:t>2</w:t>
      </w:r>
      <w:r w:rsidRPr="00BE78CA">
        <w:t>-e) increase in gross</w:t>
      </w:r>
      <w:r w:rsidR="009A5255" w:rsidRPr="00BE78CA">
        <w:t> </w:t>
      </w:r>
      <w:r w:rsidRPr="00BE78CA">
        <w:t>emissions in 1990 and a 2.2 per cent (1,716.0 kt CO</w:t>
      </w:r>
      <w:r w:rsidRPr="00BE78CA">
        <w:rPr>
          <w:vertAlign w:val="subscript"/>
        </w:rPr>
        <w:t>2</w:t>
      </w:r>
      <w:r w:rsidRPr="00BE78CA">
        <w:t>-e) increase for the 2018 year. The</w:t>
      </w:r>
      <w:r w:rsidR="009A5255" w:rsidRPr="00BE78CA">
        <w:t> </w:t>
      </w:r>
      <w:r w:rsidRPr="00BE78CA">
        <w:t>greatest</w:t>
      </w:r>
      <w:r w:rsidR="00686C2D" w:rsidRPr="00BE78CA">
        <w:t> </w:t>
      </w:r>
      <w:r w:rsidRPr="00BE78CA">
        <w:t>contribution to the increase in estimates for gross emissions across the 1990 to</w:t>
      </w:r>
      <w:r w:rsidR="009A5255" w:rsidRPr="00BE78CA">
        <w:t> </w:t>
      </w:r>
      <w:r w:rsidRPr="00BE78CA">
        <w:t>2018</w:t>
      </w:r>
      <w:r w:rsidR="00686C2D" w:rsidRPr="00BE78CA">
        <w:t> </w:t>
      </w:r>
      <w:r w:rsidRPr="00BE78CA">
        <w:t>time series</w:t>
      </w:r>
      <w:r w:rsidRPr="00BE78CA" w:rsidDel="00913C76">
        <w:t xml:space="preserve"> </w:t>
      </w:r>
      <w:r w:rsidRPr="00BE78CA">
        <w:t>came from the Agriculture sector. This increase is the result of the use of</w:t>
      </w:r>
      <w:r w:rsidR="009A5255" w:rsidRPr="00BE78CA">
        <w:t> </w:t>
      </w:r>
      <w:r w:rsidRPr="00BE78CA">
        <w:t>Land</w:t>
      </w:r>
      <w:r w:rsidR="00686C2D" w:rsidRPr="00BE78CA">
        <w:t> </w:t>
      </w:r>
      <w:r w:rsidRPr="00BE78CA">
        <w:t xml:space="preserve">Use, Land-Use Change and Forestry (LULUCF) data on managed organic soils in cropland and grassland, which is used to estimate emissions from the </w:t>
      </w:r>
      <w:r w:rsidRPr="00BE78CA">
        <w:rPr>
          <w:i/>
          <w:iCs/>
        </w:rPr>
        <w:t>Cultivation of organic</w:t>
      </w:r>
      <w:r w:rsidR="009A5255" w:rsidRPr="00BE78CA">
        <w:rPr>
          <w:i/>
          <w:iCs/>
        </w:rPr>
        <w:t> </w:t>
      </w:r>
      <w:r w:rsidRPr="00BE78CA">
        <w:rPr>
          <w:i/>
          <w:iCs/>
        </w:rPr>
        <w:t>soils</w:t>
      </w:r>
      <w:r w:rsidRPr="00BE78CA">
        <w:t xml:space="preserve"> (CRF 3.D.1.6).</w:t>
      </w:r>
    </w:p>
    <w:p w14:paraId="0658C8A8" w14:textId="77777777" w:rsidR="007E0025" w:rsidRPr="00BE78CA" w:rsidRDefault="007E0025" w:rsidP="0054289D">
      <w:pPr>
        <w:pStyle w:val="Figure"/>
        <w:spacing w:after="60"/>
      </w:pPr>
      <w:bookmarkStart w:id="3285" w:name="_Toc68786697"/>
      <w:r w:rsidRPr="00BE78CA">
        <w:lastRenderedPageBreak/>
        <w:t xml:space="preserve">Figure 10.1.1 </w:t>
      </w:r>
      <w:r w:rsidRPr="00BE78CA">
        <w:tab/>
        <w:t>Effect of recalculations on New Zealand’s gross greenhouse gas emissions from 1990 to 2018</w:t>
      </w:r>
      <w:bookmarkEnd w:id="3285"/>
    </w:p>
    <w:p w14:paraId="17168B35" w14:textId="77777777" w:rsidR="007E0025" w:rsidRPr="00BE78CA" w:rsidRDefault="007E0025" w:rsidP="007E0025">
      <w:pPr>
        <w:pStyle w:val="BodyText"/>
      </w:pPr>
      <w:r w:rsidRPr="00BE78CA">
        <w:rPr>
          <w:noProof/>
        </w:rPr>
        <w:drawing>
          <wp:inline distT="0" distB="0" distL="0" distR="0" wp14:anchorId="420BBB61" wp14:editId="57204FE7">
            <wp:extent cx="5397500" cy="4048125"/>
            <wp:effectExtent l="0" t="0" r="0" b="0"/>
            <wp:docPr id="55" name="Picture"/>
            <wp:cNvGraphicFramePr/>
            <a:graphic xmlns:a="http://schemas.openxmlformats.org/drawingml/2006/main">
              <a:graphicData uri="http://schemas.openxmlformats.org/drawingml/2006/picture">
                <pic:pic xmlns:pic="http://schemas.openxmlformats.org/drawingml/2006/picture">
                  <pic:nvPicPr>
                    <pic:cNvPr id="0" name="Picture" descr="code/graphs/images/fig_10_1_1.png"/>
                    <pic:cNvPicPr>
                      <a:picLocks noChangeAspect="1" noChangeArrowheads="1"/>
                    </pic:cNvPicPr>
                  </pic:nvPicPr>
                  <pic:blipFill>
                    <a:blip r:embed="rId267"/>
                    <a:stretch>
                      <a:fillRect/>
                    </a:stretch>
                  </pic:blipFill>
                  <pic:spPr bwMode="auto">
                    <a:xfrm>
                      <a:off x="0" y="0"/>
                      <a:ext cx="5397500" cy="4048125"/>
                    </a:xfrm>
                    <a:prstGeom prst="rect">
                      <a:avLst/>
                    </a:prstGeom>
                    <a:noFill/>
                    <a:ln w="9525">
                      <a:noFill/>
                      <a:headEnd/>
                      <a:tailEnd/>
                    </a:ln>
                  </pic:spPr>
                </pic:pic>
              </a:graphicData>
            </a:graphic>
          </wp:inline>
        </w:drawing>
      </w:r>
    </w:p>
    <w:p w14:paraId="56E7303E" w14:textId="6CDBBBA9" w:rsidR="007E0025" w:rsidRPr="00BE78CA" w:rsidRDefault="007E0025" w:rsidP="007E0025">
      <w:pPr>
        <w:pStyle w:val="BodyText"/>
      </w:pPr>
      <w:r w:rsidRPr="00BE78CA">
        <w:t>The effect of recalculations on net emissions, which include the LULUCF sector, was an increase of 16.5 per cent (5,820.9 kt CO</w:t>
      </w:r>
      <w:r w:rsidRPr="00BE78CA">
        <w:rPr>
          <w:vertAlign w:val="subscript"/>
        </w:rPr>
        <w:t>2</w:t>
      </w:r>
      <w:r w:rsidRPr="00BE78CA">
        <w:t>-e) in net emissions in 1990 and a decrease of 3.0</w:t>
      </w:r>
      <w:r w:rsidR="00E92768" w:rsidRPr="00BE78CA">
        <w:t> </w:t>
      </w:r>
      <w:r w:rsidRPr="00BE78CA">
        <w:t>per</w:t>
      </w:r>
      <w:r w:rsidR="00E92768" w:rsidRPr="00BE78CA">
        <w:t> </w:t>
      </w:r>
      <w:r w:rsidRPr="00BE78CA">
        <w:t>cent (1,646.3 kt CO</w:t>
      </w:r>
      <w:r w:rsidRPr="00BE78CA">
        <w:rPr>
          <w:vertAlign w:val="subscript"/>
        </w:rPr>
        <w:t>2</w:t>
      </w:r>
      <w:r w:rsidRPr="00BE78CA">
        <w:t>-e) in net emissions in 2018. This is the combined effect of a number of changes made to gross emissions and changes in LULUCF sector emissions mainly due to updated carbon stocks and stock change for the pre</w:t>
      </w:r>
      <w:r w:rsidRPr="00BE78CA">
        <w:noBreakHyphen/>
        <w:t>1990 planted forest estate to more</w:t>
      </w:r>
      <w:r w:rsidR="00E92768" w:rsidRPr="00BE78CA">
        <w:t> </w:t>
      </w:r>
      <w:r w:rsidRPr="00BE78CA">
        <w:t>accurately reflect the improvements in management practices and genetics across the different age cohorts through time.</w:t>
      </w:r>
    </w:p>
    <w:p w14:paraId="7E329901" w14:textId="77777777" w:rsidR="007E0025" w:rsidRPr="00BE78CA" w:rsidRDefault="007E0025" w:rsidP="007E0025">
      <w:pPr>
        <w:pStyle w:val="BodyText"/>
      </w:pPr>
      <w:r w:rsidRPr="00BE78CA">
        <w:t>The following tables show for each sector the category that had the largest recalculations across the time series that affect net emissions. Table 10.1.1 shows the recalculations that increased net emissions estimates the most for each sector.</w:t>
      </w:r>
    </w:p>
    <w:p w14:paraId="7624BD70" w14:textId="77777777" w:rsidR="007E0025" w:rsidRPr="00BE78CA" w:rsidRDefault="007E0025" w:rsidP="007E0025">
      <w:pPr>
        <w:pStyle w:val="Table"/>
      </w:pPr>
      <w:bookmarkStart w:id="3286" w:name="_Toc68786576"/>
      <w:r w:rsidRPr="00BE78CA">
        <w:t xml:space="preserve">Table 10.1.1 </w:t>
      </w:r>
      <w:r w:rsidRPr="00BE78CA">
        <w:tab/>
        <w:t>Largest recalculations in each sector that increase net emissions estimates</w:t>
      </w:r>
      <w:bookmarkEnd w:id="3286"/>
    </w:p>
    <w:tbl>
      <w:tblPr>
        <w:tblW w:w="8505" w:type="dxa"/>
        <w:tblBorders>
          <w:top w:val="single" w:sz="4" w:space="0" w:color="365F91"/>
          <w:left w:val="single" w:sz="4" w:space="0" w:color="FFFFFF"/>
          <w:bottom w:val="single" w:sz="4" w:space="0" w:color="365F91"/>
          <w:right w:val="single" w:sz="4" w:space="0" w:color="FFFFFF"/>
          <w:insideH w:val="single" w:sz="4" w:space="0" w:color="365F91"/>
        </w:tblBorders>
        <w:tblLayout w:type="fixed"/>
        <w:tblLook w:val="0420" w:firstRow="1" w:lastRow="0" w:firstColumn="0" w:lastColumn="0" w:noHBand="0" w:noVBand="1"/>
      </w:tblPr>
      <w:tblGrid>
        <w:gridCol w:w="1134"/>
        <w:gridCol w:w="3686"/>
        <w:gridCol w:w="1984"/>
        <w:gridCol w:w="1701"/>
      </w:tblGrid>
      <w:tr w:rsidR="007E0025" w:rsidRPr="00BE78CA" w14:paraId="08395900" w14:textId="77777777" w:rsidTr="00C26084">
        <w:trPr>
          <w:cantSplit/>
          <w:tblHeader/>
        </w:trPr>
        <w:tc>
          <w:tcPr>
            <w:tcW w:w="1134" w:type="dxa"/>
            <w:tcBorders>
              <w:left w:val="nil"/>
            </w:tcBorders>
            <w:shd w:val="clear" w:color="auto" w:fill="365F91"/>
            <w:tcMar>
              <w:top w:w="0" w:type="dxa"/>
              <w:left w:w="108" w:type="dxa"/>
              <w:bottom w:w="0" w:type="dxa"/>
              <w:right w:w="108" w:type="dxa"/>
            </w:tcMar>
            <w:vAlign w:val="bottom"/>
          </w:tcPr>
          <w:p w14:paraId="7A84581C" w14:textId="77777777" w:rsidR="007E0025" w:rsidRPr="00BE78CA" w:rsidRDefault="007E0025" w:rsidP="00C26084">
            <w:pPr>
              <w:pStyle w:val="TableTextBold"/>
              <w:rPr>
                <w:noProof w:val="0"/>
                <w:color w:val="FFFFFF" w:themeColor="background1"/>
              </w:rPr>
            </w:pPr>
            <w:r w:rsidRPr="00BE78CA">
              <w:rPr>
                <w:rFonts w:eastAsia="Calibri"/>
                <w:noProof w:val="0"/>
                <w:color w:val="FFFFFF" w:themeColor="background1"/>
              </w:rPr>
              <w:t>Sector</w:t>
            </w:r>
          </w:p>
        </w:tc>
        <w:tc>
          <w:tcPr>
            <w:tcW w:w="3686" w:type="dxa"/>
            <w:shd w:val="clear" w:color="auto" w:fill="365F91"/>
            <w:tcMar>
              <w:top w:w="0" w:type="dxa"/>
              <w:left w:w="108" w:type="dxa"/>
              <w:bottom w:w="0" w:type="dxa"/>
              <w:right w:w="108" w:type="dxa"/>
            </w:tcMar>
            <w:vAlign w:val="bottom"/>
          </w:tcPr>
          <w:p w14:paraId="42353610" w14:textId="77777777" w:rsidR="007E0025" w:rsidRPr="00BE78CA" w:rsidRDefault="007E0025" w:rsidP="00C26084">
            <w:pPr>
              <w:pStyle w:val="TableTextBold"/>
              <w:rPr>
                <w:noProof w:val="0"/>
                <w:color w:val="FFFFFF" w:themeColor="background1"/>
              </w:rPr>
            </w:pPr>
            <w:r w:rsidRPr="00BE78CA">
              <w:rPr>
                <w:rFonts w:eastAsia="Calibri"/>
                <w:noProof w:val="0"/>
                <w:color w:val="FFFFFF" w:themeColor="background1"/>
              </w:rPr>
              <w:t>Category with the largest increase in estimated emissions across the entire time series</w:t>
            </w:r>
          </w:p>
        </w:tc>
        <w:tc>
          <w:tcPr>
            <w:tcW w:w="1984" w:type="dxa"/>
            <w:shd w:val="clear" w:color="auto" w:fill="365F91"/>
            <w:tcMar>
              <w:top w:w="0" w:type="dxa"/>
              <w:left w:w="108" w:type="dxa"/>
              <w:bottom w:w="0" w:type="dxa"/>
              <w:right w:w="108" w:type="dxa"/>
            </w:tcMar>
            <w:vAlign w:val="bottom"/>
          </w:tcPr>
          <w:p w14:paraId="0E67E273" w14:textId="77777777" w:rsidR="007E0025" w:rsidRPr="00BE78CA" w:rsidRDefault="007E0025" w:rsidP="0054289D">
            <w:pPr>
              <w:pStyle w:val="TableTextBold"/>
              <w:jc w:val="center"/>
              <w:rPr>
                <w:noProof w:val="0"/>
                <w:color w:val="FFFFFF" w:themeColor="background1"/>
              </w:rPr>
            </w:pPr>
            <w:r w:rsidRPr="00BE78CA">
              <w:rPr>
                <w:rFonts w:eastAsia="Calibri"/>
                <w:noProof w:val="0"/>
                <w:color w:val="FFFFFF" w:themeColor="background1"/>
              </w:rPr>
              <w:t>Largest single increase in emissions for the category (kt CO</w:t>
            </w:r>
            <w:r w:rsidRPr="00BE78CA">
              <w:rPr>
                <w:rFonts w:eastAsia="Calibri"/>
                <w:noProof w:val="0"/>
                <w:color w:val="FFFFFF" w:themeColor="background1"/>
                <w:vertAlign w:val="subscript"/>
              </w:rPr>
              <w:t>2</w:t>
            </w:r>
            <w:r w:rsidRPr="00BE78CA">
              <w:rPr>
                <w:rFonts w:eastAsia="Calibri"/>
                <w:noProof w:val="0"/>
                <w:color w:val="FFFFFF" w:themeColor="background1"/>
              </w:rPr>
              <w:t>-e)</w:t>
            </w:r>
          </w:p>
        </w:tc>
        <w:tc>
          <w:tcPr>
            <w:tcW w:w="1701" w:type="dxa"/>
            <w:tcBorders>
              <w:right w:val="nil"/>
            </w:tcBorders>
            <w:shd w:val="clear" w:color="auto" w:fill="365F91"/>
            <w:tcMar>
              <w:top w:w="0" w:type="dxa"/>
              <w:left w:w="108" w:type="dxa"/>
              <w:bottom w:w="0" w:type="dxa"/>
              <w:right w:w="108" w:type="dxa"/>
            </w:tcMar>
            <w:vAlign w:val="bottom"/>
          </w:tcPr>
          <w:p w14:paraId="42671910" w14:textId="77777777" w:rsidR="007E0025" w:rsidRPr="00BE78CA" w:rsidRDefault="007E0025" w:rsidP="0054289D">
            <w:pPr>
              <w:pStyle w:val="TableTextBold"/>
              <w:jc w:val="center"/>
              <w:rPr>
                <w:noProof w:val="0"/>
                <w:color w:val="FFFFFF" w:themeColor="background1"/>
              </w:rPr>
            </w:pPr>
            <w:r w:rsidRPr="00BE78CA">
              <w:rPr>
                <w:rFonts w:eastAsia="Calibri"/>
                <w:noProof w:val="0"/>
                <w:color w:val="FFFFFF" w:themeColor="background1"/>
              </w:rPr>
              <w:t>Year of the largest increase in estimated emissions</w:t>
            </w:r>
          </w:p>
        </w:tc>
      </w:tr>
      <w:tr w:rsidR="007E0025" w:rsidRPr="00BE78CA" w14:paraId="6C47202E" w14:textId="77777777" w:rsidTr="00C26084">
        <w:trPr>
          <w:cantSplit/>
        </w:trPr>
        <w:tc>
          <w:tcPr>
            <w:tcW w:w="1134" w:type="dxa"/>
            <w:shd w:val="clear" w:color="auto" w:fill="FFFFFF"/>
            <w:tcMar>
              <w:top w:w="0" w:type="dxa"/>
              <w:left w:w="108" w:type="dxa"/>
              <w:bottom w:w="0" w:type="dxa"/>
              <w:right w:w="108" w:type="dxa"/>
            </w:tcMar>
          </w:tcPr>
          <w:p w14:paraId="1B1814D7" w14:textId="77777777" w:rsidR="007E0025" w:rsidRPr="00BE78CA" w:rsidRDefault="007E0025" w:rsidP="00C26084">
            <w:pPr>
              <w:pStyle w:val="TableText"/>
            </w:pPr>
            <w:r w:rsidRPr="00BE78CA">
              <w:rPr>
                <w:rFonts w:eastAsia="Calibri"/>
              </w:rPr>
              <w:t>Energy</w:t>
            </w:r>
          </w:p>
        </w:tc>
        <w:tc>
          <w:tcPr>
            <w:tcW w:w="3686" w:type="dxa"/>
            <w:shd w:val="clear" w:color="auto" w:fill="FFFFFF"/>
            <w:tcMar>
              <w:top w:w="0" w:type="dxa"/>
              <w:left w:w="108" w:type="dxa"/>
              <w:bottom w:w="0" w:type="dxa"/>
              <w:right w:w="108" w:type="dxa"/>
            </w:tcMar>
          </w:tcPr>
          <w:p w14:paraId="05E44CA8" w14:textId="77777777" w:rsidR="007E0025" w:rsidRPr="00BE78CA" w:rsidRDefault="007E0025" w:rsidP="00C26084">
            <w:pPr>
              <w:pStyle w:val="TableText"/>
            </w:pPr>
            <w:r w:rsidRPr="00BE78CA">
              <w:rPr>
                <w:rFonts w:eastAsia="Calibri"/>
              </w:rPr>
              <w:t>1.A.4.a Commercial/institutional</w:t>
            </w:r>
          </w:p>
        </w:tc>
        <w:tc>
          <w:tcPr>
            <w:tcW w:w="1984" w:type="dxa"/>
            <w:shd w:val="clear" w:color="auto" w:fill="FFFFFF"/>
            <w:tcMar>
              <w:top w:w="0" w:type="dxa"/>
              <w:left w:w="108" w:type="dxa"/>
              <w:bottom w:w="0" w:type="dxa"/>
              <w:right w:w="108" w:type="dxa"/>
            </w:tcMar>
          </w:tcPr>
          <w:p w14:paraId="225D86A0" w14:textId="77777777" w:rsidR="007E0025" w:rsidRPr="00BE78CA" w:rsidRDefault="007E0025" w:rsidP="0054289D">
            <w:pPr>
              <w:pStyle w:val="TableText"/>
              <w:jc w:val="center"/>
            </w:pPr>
            <w:r w:rsidRPr="00BE78CA">
              <w:rPr>
                <w:rFonts w:eastAsia="Calibri"/>
              </w:rPr>
              <w:t>329.0</w:t>
            </w:r>
          </w:p>
        </w:tc>
        <w:tc>
          <w:tcPr>
            <w:tcW w:w="1701" w:type="dxa"/>
            <w:shd w:val="clear" w:color="auto" w:fill="FFFFFF"/>
            <w:tcMar>
              <w:top w:w="0" w:type="dxa"/>
              <w:left w:w="108" w:type="dxa"/>
              <w:bottom w:w="0" w:type="dxa"/>
              <w:right w:w="108" w:type="dxa"/>
            </w:tcMar>
          </w:tcPr>
          <w:p w14:paraId="79026770" w14:textId="77777777" w:rsidR="007E0025" w:rsidRPr="00BE78CA" w:rsidRDefault="007E0025" w:rsidP="0054289D">
            <w:pPr>
              <w:pStyle w:val="TableText"/>
              <w:jc w:val="center"/>
            </w:pPr>
            <w:r w:rsidRPr="00BE78CA">
              <w:rPr>
                <w:rFonts w:eastAsia="Calibri"/>
              </w:rPr>
              <w:t>2017</w:t>
            </w:r>
          </w:p>
        </w:tc>
      </w:tr>
      <w:tr w:rsidR="007E0025" w:rsidRPr="00BE78CA" w14:paraId="1EDE6CC9" w14:textId="77777777" w:rsidTr="00C26084">
        <w:trPr>
          <w:cantSplit/>
        </w:trPr>
        <w:tc>
          <w:tcPr>
            <w:tcW w:w="1134" w:type="dxa"/>
            <w:shd w:val="clear" w:color="auto" w:fill="FFFFFF"/>
            <w:tcMar>
              <w:top w:w="0" w:type="dxa"/>
              <w:left w:w="108" w:type="dxa"/>
              <w:bottom w:w="0" w:type="dxa"/>
              <w:right w:w="108" w:type="dxa"/>
            </w:tcMar>
          </w:tcPr>
          <w:p w14:paraId="7FAA8582" w14:textId="77777777" w:rsidR="007E0025" w:rsidRPr="00BE78CA" w:rsidRDefault="007E0025" w:rsidP="00C26084">
            <w:pPr>
              <w:pStyle w:val="TableText"/>
            </w:pPr>
            <w:r w:rsidRPr="00BE78CA">
              <w:rPr>
                <w:rFonts w:eastAsia="Calibri"/>
              </w:rPr>
              <w:t>IPPU</w:t>
            </w:r>
          </w:p>
        </w:tc>
        <w:tc>
          <w:tcPr>
            <w:tcW w:w="3686" w:type="dxa"/>
            <w:shd w:val="clear" w:color="auto" w:fill="FFFFFF"/>
            <w:tcMar>
              <w:top w:w="0" w:type="dxa"/>
              <w:left w:w="108" w:type="dxa"/>
              <w:bottom w:w="0" w:type="dxa"/>
              <w:right w:w="108" w:type="dxa"/>
            </w:tcMar>
          </w:tcPr>
          <w:p w14:paraId="4BD0D5B8" w14:textId="77777777" w:rsidR="007E0025" w:rsidRPr="00BE78CA" w:rsidRDefault="007E0025" w:rsidP="00C26084">
            <w:pPr>
              <w:pStyle w:val="TableText"/>
            </w:pPr>
            <w:r w:rsidRPr="00BE78CA">
              <w:rPr>
                <w:rFonts w:eastAsia="Calibri"/>
              </w:rPr>
              <w:t>2.F.1.e HFC-134a</w:t>
            </w:r>
          </w:p>
        </w:tc>
        <w:tc>
          <w:tcPr>
            <w:tcW w:w="1984" w:type="dxa"/>
            <w:shd w:val="clear" w:color="auto" w:fill="FFFFFF"/>
            <w:tcMar>
              <w:top w:w="0" w:type="dxa"/>
              <w:left w:w="108" w:type="dxa"/>
              <w:bottom w:w="0" w:type="dxa"/>
              <w:right w:w="108" w:type="dxa"/>
            </w:tcMar>
          </w:tcPr>
          <w:p w14:paraId="25A3D9AC" w14:textId="77777777" w:rsidR="007E0025" w:rsidRPr="00BE78CA" w:rsidRDefault="007E0025" w:rsidP="0054289D">
            <w:pPr>
              <w:pStyle w:val="TableText"/>
              <w:jc w:val="center"/>
            </w:pPr>
            <w:r w:rsidRPr="00BE78CA">
              <w:rPr>
                <w:rFonts w:eastAsia="Calibri"/>
              </w:rPr>
              <w:t>29.5</w:t>
            </w:r>
          </w:p>
        </w:tc>
        <w:tc>
          <w:tcPr>
            <w:tcW w:w="1701" w:type="dxa"/>
            <w:shd w:val="clear" w:color="auto" w:fill="FFFFFF"/>
            <w:tcMar>
              <w:top w:w="0" w:type="dxa"/>
              <w:left w:w="108" w:type="dxa"/>
              <w:bottom w:w="0" w:type="dxa"/>
              <w:right w:w="108" w:type="dxa"/>
            </w:tcMar>
          </w:tcPr>
          <w:p w14:paraId="19E26F8E" w14:textId="77777777" w:rsidR="007E0025" w:rsidRPr="00BE78CA" w:rsidRDefault="007E0025" w:rsidP="0054289D">
            <w:pPr>
              <w:pStyle w:val="TableText"/>
              <w:jc w:val="center"/>
            </w:pPr>
            <w:r w:rsidRPr="00BE78CA">
              <w:rPr>
                <w:rFonts w:eastAsia="Calibri"/>
              </w:rPr>
              <w:t>2004</w:t>
            </w:r>
          </w:p>
        </w:tc>
      </w:tr>
      <w:tr w:rsidR="007E0025" w:rsidRPr="00BE78CA" w14:paraId="45252188" w14:textId="77777777" w:rsidTr="00C26084">
        <w:trPr>
          <w:cantSplit/>
        </w:trPr>
        <w:tc>
          <w:tcPr>
            <w:tcW w:w="1134" w:type="dxa"/>
            <w:shd w:val="clear" w:color="auto" w:fill="FFFFFF"/>
            <w:tcMar>
              <w:top w:w="0" w:type="dxa"/>
              <w:left w:w="108" w:type="dxa"/>
              <w:bottom w:w="0" w:type="dxa"/>
              <w:right w:w="108" w:type="dxa"/>
            </w:tcMar>
          </w:tcPr>
          <w:p w14:paraId="56001876" w14:textId="77777777" w:rsidR="007E0025" w:rsidRPr="00BE78CA" w:rsidRDefault="007E0025" w:rsidP="00C26084">
            <w:pPr>
              <w:pStyle w:val="TableText"/>
            </w:pPr>
            <w:r w:rsidRPr="00BE78CA">
              <w:rPr>
                <w:rFonts w:eastAsia="Calibri"/>
              </w:rPr>
              <w:t>Agriculture</w:t>
            </w:r>
          </w:p>
        </w:tc>
        <w:tc>
          <w:tcPr>
            <w:tcW w:w="3686" w:type="dxa"/>
            <w:shd w:val="clear" w:color="auto" w:fill="FFFFFF"/>
            <w:tcMar>
              <w:top w:w="0" w:type="dxa"/>
              <w:left w:w="108" w:type="dxa"/>
              <w:bottom w:w="0" w:type="dxa"/>
              <w:right w:w="108" w:type="dxa"/>
            </w:tcMar>
          </w:tcPr>
          <w:p w14:paraId="5CB73E9B" w14:textId="77777777" w:rsidR="007E0025" w:rsidRPr="00BE78CA" w:rsidRDefault="007E0025" w:rsidP="00C26084">
            <w:pPr>
              <w:pStyle w:val="TableText"/>
            </w:pPr>
            <w:r w:rsidRPr="00BE78CA">
              <w:rPr>
                <w:rFonts w:eastAsia="Calibri"/>
              </w:rPr>
              <w:t>3.D.1.6 Cultivation of organic soils</w:t>
            </w:r>
          </w:p>
        </w:tc>
        <w:tc>
          <w:tcPr>
            <w:tcW w:w="1984" w:type="dxa"/>
            <w:shd w:val="clear" w:color="auto" w:fill="FFFFFF"/>
            <w:tcMar>
              <w:top w:w="0" w:type="dxa"/>
              <w:left w:w="108" w:type="dxa"/>
              <w:bottom w:w="0" w:type="dxa"/>
              <w:right w:w="108" w:type="dxa"/>
            </w:tcMar>
          </w:tcPr>
          <w:p w14:paraId="7CE9B50B" w14:textId="77777777" w:rsidR="007E0025" w:rsidRPr="00BE78CA" w:rsidRDefault="007E0025" w:rsidP="0054289D">
            <w:pPr>
              <w:pStyle w:val="TableText"/>
              <w:jc w:val="center"/>
            </w:pPr>
            <w:r w:rsidRPr="00BE78CA">
              <w:rPr>
                <w:rFonts w:eastAsia="Calibri"/>
              </w:rPr>
              <w:t>623.5</w:t>
            </w:r>
          </w:p>
        </w:tc>
        <w:tc>
          <w:tcPr>
            <w:tcW w:w="1701" w:type="dxa"/>
            <w:shd w:val="clear" w:color="auto" w:fill="FFFFFF"/>
            <w:tcMar>
              <w:top w:w="0" w:type="dxa"/>
              <w:left w:w="108" w:type="dxa"/>
              <w:bottom w:w="0" w:type="dxa"/>
              <w:right w:w="108" w:type="dxa"/>
            </w:tcMar>
          </w:tcPr>
          <w:p w14:paraId="2CD3670D" w14:textId="77777777" w:rsidR="007E0025" w:rsidRPr="00BE78CA" w:rsidRDefault="007E0025" w:rsidP="0054289D">
            <w:pPr>
              <w:pStyle w:val="TableText"/>
              <w:jc w:val="center"/>
            </w:pPr>
            <w:r w:rsidRPr="00BE78CA">
              <w:rPr>
                <w:rFonts w:eastAsia="Calibri"/>
              </w:rPr>
              <w:t>2014</w:t>
            </w:r>
          </w:p>
        </w:tc>
      </w:tr>
      <w:tr w:rsidR="007E0025" w:rsidRPr="00BE78CA" w14:paraId="640D4ED2" w14:textId="77777777" w:rsidTr="00C26084">
        <w:trPr>
          <w:cantSplit/>
        </w:trPr>
        <w:tc>
          <w:tcPr>
            <w:tcW w:w="1134" w:type="dxa"/>
            <w:shd w:val="clear" w:color="auto" w:fill="FFFFFF"/>
            <w:tcMar>
              <w:top w:w="0" w:type="dxa"/>
              <w:left w:w="108" w:type="dxa"/>
              <w:bottom w:w="0" w:type="dxa"/>
              <w:right w:w="108" w:type="dxa"/>
            </w:tcMar>
          </w:tcPr>
          <w:p w14:paraId="3C844702" w14:textId="77777777" w:rsidR="007E0025" w:rsidRPr="00BE78CA" w:rsidRDefault="007E0025" w:rsidP="00C26084">
            <w:pPr>
              <w:pStyle w:val="TableText"/>
            </w:pPr>
            <w:r w:rsidRPr="00BE78CA">
              <w:rPr>
                <w:rFonts w:eastAsia="Calibri"/>
              </w:rPr>
              <w:t>LULUCF</w:t>
            </w:r>
          </w:p>
        </w:tc>
        <w:tc>
          <w:tcPr>
            <w:tcW w:w="3686" w:type="dxa"/>
            <w:shd w:val="clear" w:color="auto" w:fill="FFFFFF"/>
            <w:tcMar>
              <w:top w:w="0" w:type="dxa"/>
              <w:left w:w="108" w:type="dxa"/>
              <w:bottom w:w="0" w:type="dxa"/>
              <w:right w:w="108" w:type="dxa"/>
            </w:tcMar>
          </w:tcPr>
          <w:p w14:paraId="39A4E115" w14:textId="77777777" w:rsidR="007E0025" w:rsidRPr="00BE78CA" w:rsidRDefault="007E0025" w:rsidP="00C26084">
            <w:pPr>
              <w:pStyle w:val="TableText"/>
            </w:pPr>
            <w:r w:rsidRPr="00BE78CA">
              <w:rPr>
                <w:rFonts w:eastAsia="Calibri"/>
              </w:rPr>
              <w:t>4.A.1.i Pre-1990 natural forest converted to pre-1990 planted forest</w:t>
            </w:r>
          </w:p>
        </w:tc>
        <w:tc>
          <w:tcPr>
            <w:tcW w:w="1984" w:type="dxa"/>
            <w:shd w:val="clear" w:color="auto" w:fill="FFFFFF"/>
            <w:tcMar>
              <w:top w:w="0" w:type="dxa"/>
              <w:left w:w="108" w:type="dxa"/>
              <w:bottom w:w="0" w:type="dxa"/>
              <w:right w:w="108" w:type="dxa"/>
            </w:tcMar>
          </w:tcPr>
          <w:p w14:paraId="055BB5CE" w14:textId="77777777" w:rsidR="007E0025" w:rsidRPr="00BE78CA" w:rsidRDefault="007E0025" w:rsidP="0054289D">
            <w:pPr>
              <w:pStyle w:val="TableText"/>
              <w:jc w:val="center"/>
            </w:pPr>
            <w:r w:rsidRPr="00BE78CA">
              <w:rPr>
                <w:rFonts w:eastAsia="Calibri"/>
              </w:rPr>
              <w:t>7,134.2</w:t>
            </w:r>
          </w:p>
        </w:tc>
        <w:tc>
          <w:tcPr>
            <w:tcW w:w="1701" w:type="dxa"/>
            <w:shd w:val="clear" w:color="auto" w:fill="FFFFFF"/>
            <w:tcMar>
              <w:top w:w="0" w:type="dxa"/>
              <w:left w:w="108" w:type="dxa"/>
              <w:bottom w:w="0" w:type="dxa"/>
              <w:right w:w="108" w:type="dxa"/>
            </w:tcMar>
          </w:tcPr>
          <w:p w14:paraId="2A5A44C7" w14:textId="77777777" w:rsidR="007E0025" w:rsidRPr="00BE78CA" w:rsidRDefault="007E0025" w:rsidP="0054289D">
            <w:pPr>
              <w:pStyle w:val="TableText"/>
              <w:jc w:val="center"/>
            </w:pPr>
            <w:r w:rsidRPr="00BE78CA">
              <w:rPr>
                <w:rFonts w:eastAsia="Calibri"/>
              </w:rPr>
              <w:t>1992</w:t>
            </w:r>
          </w:p>
        </w:tc>
      </w:tr>
      <w:tr w:rsidR="007E0025" w:rsidRPr="00BE78CA" w14:paraId="51B960E0" w14:textId="77777777" w:rsidTr="00C26084">
        <w:trPr>
          <w:cantSplit/>
        </w:trPr>
        <w:tc>
          <w:tcPr>
            <w:tcW w:w="1134" w:type="dxa"/>
            <w:shd w:val="clear" w:color="auto" w:fill="FFFFFF"/>
            <w:tcMar>
              <w:top w:w="0" w:type="dxa"/>
              <w:left w:w="108" w:type="dxa"/>
              <w:bottom w:w="0" w:type="dxa"/>
              <w:right w:w="108" w:type="dxa"/>
            </w:tcMar>
          </w:tcPr>
          <w:p w14:paraId="6D95C7E5" w14:textId="77777777" w:rsidR="007E0025" w:rsidRPr="00BE78CA" w:rsidRDefault="007E0025" w:rsidP="00C26084">
            <w:pPr>
              <w:pStyle w:val="TableText"/>
            </w:pPr>
            <w:r w:rsidRPr="00BE78CA">
              <w:rPr>
                <w:rFonts w:eastAsia="Calibri"/>
              </w:rPr>
              <w:t>Waste</w:t>
            </w:r>
          </w:p>
        </w:tc>
        <w:tc>
          <w:tcPr>
            <w:tcW w:w="3686" w:type="dxa"/>
            <w:shd w:val="clear" w:color="auto" w:fill="FFFFFF"/>
            <w:tcMar>
              <w:top w:w="0" w:type="dxa"/>
              <w:left w:w="108" w:type="dxa"/>
              <w:bottom w:w="0" w:type="dxa"/>
              <w:right w:w="108" w:type="dxa"/>
            </w:tcMar>
          </w:tcPr>
          <w:p w14:paraId="262294D4" w14:textId="77777777" w:rsidR="007E0025" w:rsidRPr="00BE78CA" w:rsidRDefault="007E0025" w:rsidP="00C26084">
            <w:pPr>
              <w:pStyle w:val="TableText"/>
            </w:pPr>
            <w:r w:rsidRPr="00BE78CA">
              <w:rPr>
                <w:rFonts w:eastAsia="Calibri"/>
              </w:rPr>
              <w:t>5.A.1.a Anaerobic</w:t>
            </w:r>
          </w:p>
        </w:tc>
        <w:tc>
          <w:tcPr>
            <w:tcW w:w="1984" w:type="dxa"/>
            <w:shd w:val="clear" w:color="auto" w:fill="FFFFFF"/>
            <w:tcMar>
              <w:top w:w="0" w:type="dxa"/>
              <w:left w:w="108" w:type="dxa"/>
              <w:bottom w:w="0" w:type="dxa"/>
              <w:right w:w="108" w:type="dxa"/>
            </w:tcMar>
          </w:tcPr>
          <w:p w14:paraId="17B44D94" w14:textId="77777777" w:rsidR="007E0025" w:rsidRPr="00BE78CA" w:rsidRDefault="007E0025" w:rsidP="0054289D">
            <w:pPr>
              <w:pStyle w:val="TableText"/>
              <w:jc w:val="center"/>
            </w:pPr>
            <w:r w:rsidRPr="00BE78CA">
              <w:rPr>
                <w:rFonts w:eastAsia="Calibri"/>
              </w:rPr>
              <w:t>375.8</w:t>
            </w:r>
          </w:p>
        </w:tc>
        <w:tc>
          <w:tcPr>
            <w:tcW w:w="1701" w:type="dxa"/>
            <w:shd w:val="clear" w:color="auto" w:fill="FFFFFF"/>
            <w:tcMar>
              <w:top w:w="0" w:type="dxa"/>
              <w:left w:w="108" w:type="dxa"/>
              <w:bottom w:w="0" w:type="dxa"/>
              <w:right w:w="108" w:type="dxa"/>
            </w:tcMar>
          </w:tcPr>
          <w:p w14:paraId="7B10E1F5" w14:textId="77777777" w:rsidR="007E0025" w:rsidRPr="00BE78CA" w:rsidRDefault="007E0025" w:rsidP="0054289D">
            <w:pPr>
              <w:pStyle w:val="TableText"/>
              <w:jc w:val="center"/>
            </w:pPr>
            <w:r w:rsidRPr="00BE78CA">
              <w:rPr>
                <w:rFonts w:eastAsia="Calibri"/>
              </w:rPr>
              <w:t>1993</w:t>
            </w:r>
          </w:p>
        </w:tc>
      </w:tr>
      <w:tr w:rsidR="007E0025" w:rsidRPr="00BE78CA" w14:paraId="37FADF94" w14:textId="77777777" w:rsidTr="00C26084">
        <w:trPr>
          <w:cantSplit/>
        </w:trPr>
        <w:tc>
          <w:tcPr>
            <w:tcW w:w="1134" w:type="dxa"/>
            <w:shd w:val="clear" w:color="auto" w:fill="FFFFFF"/>
            <w:tcMar>
              <w:top w:w="0" w:type="dxa"/>
              <w:left w:w="108" w:type="dxa"/>
              <w:bottom w:w="0" w:type="dxa"/>
              <w:right w:w="108" w:type="dxa"/>
            </w:tcMar>
          </w:tcPr>
          <w:p w14:paraId="4FC6485E" w14:textId="77777777" w:rsidR="007E0025" w:rsidRPr="00BE78CA" w:rsidRDefault="007E0025" w:rsidP="00C26084">
            <w:pPr>
              <w:pStyle w:val="TableText"/>
            </w:pPr>
            <w:r w:rsidRPr="00BE78CA">
              <w:rPr>
                <w:rFonts w:eastAsia="Calibri"/>
              </w:rPr>
              <w:t>Tokelau</w:t>
            </w:r>
          </w:p>
        </w:tc>
        <w:tc>
          <w:tcPr>
            <w:tcW w:w="3686" w:type="dxa"/>
            <w:shd w:val="clear" w:color="auto" w:fill="FFFFFF"/>
            <w:tcMar>
              <w:top w:w="0" w:type="dxa"/>
              <w:left w:w="108" w:type="dxa"/>
              <w:bottom w:w="0" w:type="dxa"/>
              <w:right w:w="108" w:type="dxa"/>
            </w:tcMar>
          </w:tcPr>
          <w:p w14:paraId="04D31392" w14:textId="77777777" w:rsidR="007E0025" w:rsidRPr="00BE78CA" w:rsidRDefault="007E0025" w:rsidP="00C26084">
            <w:pPr>
              <w:pStyle w:val="TableText"/>
            </w:pPr>
            <w:r w:rsidRPr="00BE78CA">
              <w:rPr>
                <w:rFonts w:eastAsia="Calibri"/>
              </w:rPr>
              <w:t>6. Tokelau_1. Energy</w:t>
            </w:r>
          </w:p>
        </w:tc>
        <w:tc>
          <w:tcPr>
            <w:tcW w:w="1984" w:type="dxa"/>
            <w:shd w:val="clear" w:color="auto" w:fill="FFFFFF"/>
            <w:tcMar>
              <w:top w:w="0" w:type="dxa"/>
              <w:left w:w="108" w:type="dxa"/>
              <w:bottom w:w="0" w:type="dxa"/>
              <w:right w:w="108" w:type="dxa"/>
            </w:tcMar>
          </w:tcPr>
          <w:p w14:paraId="30A27E37" w14:textId="77777777" w:rsidR="007E0025" w:rsidRPr="00BE78CA" w:rsidRDefault="007E0025" w:rsidP="0054289D">
            <w:pPr>
              <w:pStyle w:val="TableText"/>
              <w:jc w:val="center"/>
            </w:pPr>
            <w:r w:rsidRPr="00BE78CA">
              <w:rPr>
                <w:rFonts w:eastAsia="Calibri"/>
              </w:rPr>
              <w:t>0.015</w:t>
            </w:r>
          </w:p>
        </w:tc>
        <w:tc>
          <w:tcPr>
            <w:tcW w:w="1701" w:type="dxa"/>
            <w:shd w:val="clear" w:color="auto" w:fill="FFFFFF"/>
            <w:tcMar>
              <w:top w:w="0" w:type="dxa"/>
              <w:left w:w="108" w:type="dxa"/>
              <w:bottom w:w="0" w:type="dxa"/>
              <w:right w:w="108" w:type="dxa"/>
            </w:tcMar>
          </w:tcPr>
          <w:p w14:paraId="64D0C3F8" w14:textId="77777777" w:rsidR="007E0025" w:rsidRPr="00BE78CA" w:rsidRDefault="007E0025" w:rsidP="0054289D">
            <w:pPr>
              <w:pStyle w:val="TableText"/>
              <w:jc w:val="center"/>
            </w:pPr>
            <w:r w:rsidRPr="00BE78CA">
              <w:rPr>
                <w:rFonts w:eastAsia="Calibri"/>
              </w:rPr>
              <w:t>2018</w:t>
            </w:r>
          </w:p>
        </w:tc>
      </w:tr>
    </w:tbl>
    <w:p w14:paraId="2E600C7B" w14:textId="77777777" w:rsidR="007E0025" w:rsidRPr="00BE78CA" w:rsidRDefault="007E0025" w:rsidP="007E0025">
      <w:pPr>
        <w:pStyle w:val="BodyText"/>
        <w:spacing w:before="240"/>
      </w:pPr>
      <w:r w:rsidRPr="00BE78CA">
        <w:lastRenderedPageBreak/>
        <w:t>Table 10.1.2 shows the recalculations that reduced net emissions estimates the most for each sector.</w:t>
      </w:r>
    </w:p>
    <w:p w14:paraId="35CB8AC0" w14:textId="77777777" w:rsidR="007E0025" w:rsidRPr="00BE78CA" w:rsidRDefault="007E0025" w:rsidP="00042805">
      <w:pPr>
        <w:pStyle w:val="Table"/>
      </w:pPr>
      <w:bookmarkStart w:id="3287" w:name="_Toc68786577"/>
      <w:r w:rsidRPr="00BE78CA">
        <w:t xml:space="preserve">Table 10.1.2 </w:t>
      </w:r>
      <w:r w:rsidRPr="00BE78CA">
        <w:tab/>
        <w:t>Largest recalculations in each sector that reduce net emissions estimates</w:t>
      </w:r>
      <w:bookmarkEnd w:id="3287"/>
    </w:p>
    <w:tbl>
      <w:tblPr>
        <w:tblW w:w="8505" w:type="dxa"/>
        <w:tblBorders>
          <w:top w:val="single" w:sz="4" w:space="0" w:color="365F91"/>
          <w:bottom w:val="single" w:sz="4" w:space="0" w:color="365F91"/>
          <w:right w:val="single" w:sz="4" w:space="0" w:color="FFFFFF"/>
          <w:insideH w:val="single" w:sz="4" w:space="0" w:color="365F91"/>
        </w:tblBorders>
        <w:tblLook w:val="0420" w:firstRow="1" w:lastRow="0" w:firstColumn="0" w:lastColumn="0" w:noHBand="0" w:noVBand="1"/>
      </w:tblPr>
      <w:tblGrid>
        <w:gridCol w:w="1134"/>
        <w:gridCol w:w="3686"/>
        <w:gridCol w:w="1984"/>
        <w:gridCol w:w="1701"/>
      </w:tblGrid>
      <w:tr w:rsidR="0054289D" w:rsidRPr="00BE78CA" w14:paraId="475FC552" w14:textId="77777777" w:rsidTr="0054289D">
        <w:trPr>
          <w:cantSplit/>
          <w:tblHeader/>
        </w:trPr>
        <w:tc>
          <w:tcPr>
            <w:tcW w:w="1134" w:type="dxa"/>
            <w:shd w:val="clear" w:color="auto" w:fill="365F91"/>
            <w:tcMar>
              <w:top w:w="0" w:type="dxa"/>
              <w:left w:w="108" w:type="dxa"/>
              <w:bottom w:w="0" w:type="dxa"/>
              <w:right w:w="108" w:type="dxa"/>
            </w:tcMar>
            <w:vAlign w:val="bottom"/>
          </w:tcPr>
          <w:p w14:paraId="5C96A6D7" w14:textId="77777777" w:rsidR="007E0025" w:rsidRPr="00BE78CA" w:rsidRDefault="007E0025" w:rsidP="0054289D">
            <w:pPr>
              <w:pStyle w:val="TableTextBold"/>
              <w:spacing w:before="50" w:after="50"/>
              <w:rPr>
                <w:noProof w:val="0"/>
                <w:color w:val="FFFFFF" w:themeColor="background1"/>
              </w:rPr>
            </w:pPr>
            <w:r w:rsidRPr="00BE78CA">
              <w:rPr>
                <w:rFonts w:eastAsia="Calibri"/>
                <w:noProof w:val="0"/>
                <w:color w:val="FFFFFF" w:themeColor="background1"/>
              </w:rPr>
              <w:t>Sector</w:t>
            </w:r>
          </w:p>
        </w:tc>
        <w:tc>
          <w:tcPr>
            <w:tcW w:w="3686" w:type="dxa"/>
            <w:shd w:val="clear" w:color="auto" w:fill="365F91"/>
            <w:tcMar>
              <w:top w:w="0" w:type="dxa"/>
              <w:left w:w="108" w:type="dxa"/>
              <w:bottom w:w="0" w:type="dxa"/>
              <w:right w:w="108" w:type="dxa"/>
            </w:tcMar>
            <w:vAlign w:val="bottom"/>
          </w:tcPr>
          <w:p w14:paraId="1A8B5DB3" w14:textId="77777777" w:rsidR="007E0025" w:rsidRPr="00BE78CA" w:rsidRDefault="007E0025" w:rsidP="0054289D">
            <w:pPr>
              <w:pStyle w:val="TableTextBold"/>
              <w:spacing w:before="50" w:after="50"/>
              <w:rPr>
                <w:noProof w:val="0"/>
                <w:color w:val="FFFFFF" w:themeColor="background1"/>
              </w:rPr>
            </w:pPr>
            <w:r w:rsidRPr="00BE78CA">
              <w:rPr>
                <w:rFonts w:eastAsia="Calibri"/>
                <w:noProof w:val="0"/>
                <w:color w:val="FFFFFF" w:themeColor="background1"/>
              </w:rPr>
              <w:t>Category with the largest reduction in estimated emissions across the entire time series</w:t>
            </w:r>
          </w:p>
        </w:tc>
        <w:tc>
          <w:tcPr>
            <w:tcW w:w="1984" w:type="dxa"/>
            <w:shd w:val="clear" w:color="auto" w:fill="365F91"/>
            <w:tcMar>
              <w:top w:w="0" w:type="dxa"/>
              <w:left w:w="108" w:type="dxa"/>
              <w:bottom w:w="0" w:type="dxa"/>
              <w:right w:w="108" w:type="dxa"/>
            </w:tcMar>
            <w:vAlign w:val="bottom"/>
          </w:tcPr>
          <w:p w14:paraId="6F965C77" w14:textId="77777777" w:rsidR="007E0025" w:rsidRPr="00BE78CA" w:rsidRDefault="007E0025" w:rsidP="0054289D">
            <w:pPr>
              <w:pStyle w:val="TableTextBold"/>
              <w:spacing w:before="50" w:after="50"/>
              <w:jc w:val="center"/>
              <w:rPr>
                <w:noProof w:val="0"/>
                <w:color w:val="FFFFFF" w:themeColor="background1"/>
              </w:rPr>
            </w:pPr>
            <w:r w:rsidRPr="00BE78CA">
              <w:rPr>
                <w:rFonts w:eastAsia="Calibri"/>
                <w:noProof w:val="0"/>
                <w:color w:val="FFFFFF" w:themeColor="background1"/>
              </w:rPr>
              <w:t>Largest single decrease in emissions for the category (kt CO</w:t>
            </w:r>
            <w:r w:rsidRPr="00BE78CA">
              <w:rPr>
                <w:rFonts w:eastAsia="Calibri"/>
                <w:noProof w:val="0"/>
                <w:color w:val="FFFFFF" w:themeColor="background1"/>
                <w:vertAlign w:val="subscript"/>
              </w:rPr>
              <w:t>2</w:t>
            </w:r>
            <w:r w:rsidRPr="00BE78CA">
              <w:rPr>
                <w:rFonts w:eastAsia="Calibri"/>
                <w:noProof w:val="0"/>
                <w:color w:val="FFFFFF" w:themeColor="background1"/>
              </w:rPr>
              <w:t>-e)</w:t>
            </w:r>
          </w:p>
        </w:tc>
        <w:tc>
          <w:tcPr>
            <w:tcW w:w="1701" w:type="dxa"/>
            <w:tcBorders>
              <w:right w:val="nil"/>
            </w:tcBorders>
            <w:shd w:val="clear" w:color="auto" w:fill="365F91"/>
            <w:tcMar>
              <w:top w:w="0" w:type="dxa"/>
              <w:left w:w="108" w:type="dxa"/>
              <w:bottom w:w="0" w:type="dxa"/>
              <w:right w:w="108" w:type="dxa"/>
            </w:tcMar>
            <w:vAlign w:val="bottom"/>
          </w:tcPr>
          <w:p w14:paraId="76662329" w14:textId="77777777" w:rsidR="007E0025" w:rsidRPr="00BE78CA" w:rsidRDefault="007E0025" w:rsidP="0054289D">
            <w:pPr>
              <w:pStyle w:val="TableTextBold"/>
              <w:spacing w:before="50" w:after="50"/>
              <w:jc w:val="center"/>
              <w:rPr>
                <w:noProof w:val="0"/>
                <w:color w:val="FFFFFF" w:themeColor="background1"/>
              </w:rPr>
            </w:pPr>
            <w:r w:rsidRPr="00BE78CA">
              <w:rPr>
                <w:rFonts w:eastAsia="Calibri"/>
                <w:noProof w:val="0"/>
                <w:color w:val="FFFFFF" w:themeColor="background1"/>
              </w:rPr>
              <w:t>Year of the largest decrease in estimated emissions</w:t>
            </w:r>
          </w:p>
        </w:tc>
      </w:tr>
      <w:tr w:rsidR="0054289D" w:rsidRPr="00BE78CA" w14:paraId="55EC77F6" w14:textId="77777777" w:rsidTr="0054289D">
        <w:trPr>
          <w:cantSplit/>
        </w:trPr>
        <w:tc>
          <w:tcPr>
            <w:tcW w:w="1134" w:type="dxa"/>
            <w:shd w:val="clear" w:color="auto" w:fill="FFFFFF"/>
            <w:tcMar>
              <w:top w:w="0" w:type="dxa"/>
              <w:left w:w="108" w:type="dxa"/>
              <w:bottom w:w="0" w:type="dxa"/>
              <w:right w:w="108" w:type="dxa"/>
            </w:tcMar>
          </w:tcPr>
          <w:p w14:paraId="4021A425" w14:textId="77777777" w:rsidR="007E0025" w:rsidRPr="00BE78CA" w:rsidRDefault="007E0025" w:rsidP="0054289D">
            <w:pPr>
              <w:pStyle w:val="TableText"/>
              <w:spacing w:before="50" w:after="50"/>
            </w:pPr>
            <w:r w:rsidRPr="00BE78CA">
              <w:rPr>
                <w:rFonts w:eastAsia="Calibri"/>
              </w:rPr>
              <w:t>Energy</w:t>
            </w:r>
          </w:p>
        </w:tc>
        <w:tc>
          <w:tcPr>
            <w:tcW w:w="3686" w:type="dxa"/>
            <w:shd w:val="clear" w:color="auto" w:fill="FFFFFF"/>
            <w:tcMar>
              <w:top w:w="0" w:type="dxa"/>
              <w:left w:w="108" w:type="dxa"/>
              <w:bottom w:w="0" w:type="dxa"/>
              <w:right w:w="108" w:type="dxa"/>
            </w:tcMar>
          </w:tcPr>
          <w:p w14:paraId="65A2F29C" w14:textId="77777777" w:rsidR="007E0025" w:rsidRPr="00BE78CA" w:rsidRDefault="007E0025" w:rsidP="0054289D">
            <w:pPr>
              <w:pStyle w:val="TableText"/>
              <w:spacing w:before="50" w:after="50"/>
            </w:pPr>
            <w:r w:rsidRPr="00BE78CA">
              <w:rPr>
                <w:rFonts w:eastAsia="Calibri"/>
              </w:rPr>
              <w:t>1.A.2.e Solid fuels</w:t>
            </w:r>
          </w:p>
        </w:tc>
        <w:tc>
          <w:tcPr>
            <w:tcW w:w="1984" w:type="dxa"/>
            <w:shd w:val="clear" w:color="auto" w:fill="FFFFFF"/>
            <w:tcMar>
              <w:top w:w="0" w:type="dxa"/>
              <w:left w:w="108" w:type="dxa"/>
              <w:bottom w:w="0" w:type="dxa"/>
              <w:right w:w="108" w:type="dxa"/>
            </w:tcMar>
          </w:tcPr>
          <w:p w14:paraId="37423C57" w14:textId="77777777" w:rsidR="007E0025" w:rsidRPr="00BE78CA" w:rsidRDefault="007E0025" w:rsidP="0054289D">
            <w:pPr>
              <w:pStyle w:val="TableText"/>
              <w:spacing w:before="50" w:after="50"/>
              <w:jc w:val="center"/>
            </w:pPr>
            <w:r w:rsidRPr="00BE78CA">
              <w:rPr>
                <w:rFonts w:eastAsia="Calibri"/>
              </w:rPr>
              <w:t>–365.1</w:t>
            </w:r>
          </w:p>
        </w:tc>
        <w:tc>
          <w:tcPr>
            <w:tcW w:w="1701" w:type="dxa"/>
            <w:shd w:val="clear" w:color="auto" w:fill="FFFFFF"/>
            <w:tcMar>
              <w:top w:w="0" w:type="dxa"/>
              <w:left w:w="108" w:type="dxa"/>
              <w:bottom w:w="0" w:type="dxa"/>
              <w:right w:w="108" w:type="dxa"/>
            </w:tcMar>
          </w:tcPr>
          <w:p w14:paraId="03119E24" w14:textId="77777777" w:rsidR="007E0025" w:rsidRPr="00BE78CA" w:rsidRDefault="007E0025" w:rsidP="0054289D">
            <w:pPr>
              <w:pStyle w:val="TableText"/>
              <w:spacing w:before="50" w:after="50"/>
              <w:jc w:val="center"/>
            </w:pPr>
            <w:r w:rsidRPr="00BE78CA">
              <w:rPr>
                <w:rFonts w:eastAsia="Calibri"/>
              </w:rPr>
              <w:t>2017</w:t>
            </w:r>
          </w:p>
        </w:tc>
      </w:tr>
      <w:tr w:rsidR="0054289D" w:rsidRPr="00BE78CA" w14:paraId="3A1E94F3" w14:textId="77777777" w:rsidTr="0054289D">
        <w:trPr>
          <w:cantSplit/>
        </w:trPr>
        <w:tc>
          <w:tcPr>
            <w:tcW w:w="1134" w:type="dxa"/>
            <w:shd w:val="clear" w:color="auto" w:fill="FFFFFF"/>
            <w:tcMar>
              <w:top w:w="0" w:type="dxa"/>
              <w:left w:w="108" w:type="dxa"/>
              <w:bottom w:w="0" w:type="dxa"/>
              <w:right w:w="108" w:type="dxa"/>
            </w:tcMar>
          </w:tcPr>
          <w:p w14:paraId="6BC2EAA3" w14:textId="77777777" w:rsidR="007E0025" w:rsidRPr="00BE78CA" w:rsidRDefault="007E0025" w:rsidP="0054289D">
            <w:pPr>
              <w:pStyle w:val="TableText"/>
              <w:spacing w:before="50" w:after="50"/>
            </w:pPr>
            <w:r w:rsidRPr="00BE78CA">
              <w:rPr>
                <w:rFonts w:eastAsia="Calibri"/>
              </w:rPr>
              <w:t>IPPU</w:t>
            </w:r>
          </w:p>
        </w:tc>
        <w:tc>
          <w:tcPr>
            <w:tcW w:w="3686" w:type="dxa"/>
            <w:shd w:val="clear" w:color="auto" w:fill="FFFFFF"/>
            <w:tcMar>
              <w:top w:w="0" w:type="dxa"/>
              <w:left w:w="108" w:type="dxa"/>
              <w:bottom w:w="0" w:type="dxa"/>
              <w:right w:w="108" w:type="dxa"/>
            </w:tcMar>
          </w:tcPr>
          <w:p w14:paraId="2FB070FE" w14:textId="77777777" w:rsidR="007E0025" w:rsidRPr="00BE78CA" w:rsidRDefault="007E0025" w:rsidP="0054289D">
            <w:pPr>
              <w:pStyle w:val="TableText"/>
              <w:spacing w:before="50" w:after="50"/>
            </w:pPr>
            <w:r w:rsidRPr="00BE78CA">
              <w:rPr>
                <w:rFonts w:eastAsia="Calibri"/>
              </w:rPr>
              <w:t>2.F.4.b HFC-134a</w:t>
            </w:r>
          </w:p>
        </w:tc>
        <w:tc>
          <w:tcPr>
            <w:tcW w:w="1984" w:type="dxa"/>
            <w:shd w:val="clear" w:color="auto" w:fill="FFFFFF"/>
            <w:tcMar>
              <w:top w:w="0" w:type="dxa"/>
              <w:left w:w="108" w:type="dxa"/>
              <w:bottom w:w="0" w:type="dxa"/>
              <w:right w:w="108" w:type="dxa"/>
            </w:tcMar>
          </w:tcPr>
          <w:p w14:paraId="1EEB8AD4" w14:textId="77777777" w:rsidR="007E0025" w:rsidRPr="00BE78CA" w:rsidRDefault="007E0025" w:rsidP="0054289D">
            <w:pPr>
              <w:pStyle w:val="TableText"/>
              <w:spacing w:before="50" w:after="50"/>
              <w:jc w:val="center"/>
            </w:pPr>
            <w:r w:rsidRPr="00BE78CA">
              <w:rPr>
                <w:rFonts w:eastAsia="Calibri"/>
              </w:rPr>
              <w:t>–3.6</w:t>
            </w:r>
          </w:p>
        </w:tc>
        <w:tc>
          <w:tcPr>
            <w:tcW w:w="1701" w:type="dxa"/>
            <w:shd w:val="clear" w:color="auto" w:fill="FFFFFF"/>
            <w:tcMar>
              <w:top w:w="0" w:type="dxa"/>
              <w:left w:w="108" w:type="dxa"/>
              <w:bottom w:w="0" w:type="dxa"/>
              <w:right w:w="108" w:type="dxa"/>
            </w:tcMar>
          </w:tcPr>
          <w:p w14:paraId="4D39B697" w14:textId="77777777" w:rsidR="007E0025" w:rsidRPr="00BE78CA" w:rsidRDefault="007E0025" w:rsidP="0054289D">
            <w:pPr>
              <w:pStyle w:val="TableText"/>
              <w:spacing w:before="50" w:after="50"/>
              <w:jc w:val="center"/>
            </w:pPr>
            <w:r w:rsidRPr="00BE78CA">
              <w:rPr>
                <w:rFonts w:eastAsia="Calibri"/>
              </w:rPr>
              <w:t>2018</w:t>
            </w:r>
          </w:p>
        </w:tc>
      </w:tr>
      <w:tr w:rsidR="0054289D" w:rsidRPr="00BE78CA" w14:paraId="7ADAB849" w14:textId="77777777" w:rsidTr="0054289D">
        <w:trPr>
          <w:cantSplit/>
        </w:trPr>
        <w:tc>
          <w:tcPr>
            <w:tcW w:w="1134" w:type="dxa"/>
            <w:shd w:val="clear" w:color="auto" w:fill="FFFFFF"/>
            <w:tcMar>
              <w:top w:w="0" w:type="dxa"/>
              <w:left w:w="108" w:type="dxa"/>
              <w:bottom w:w="0" w:type="dxa"/>
              <w:right w:w="108" w:type="dxa"/>
            </w:tcMar>
          </w:tcPr>
          <w:p w14:paraId="4244FCCD" w14:textId="77777777" w:rsidR="007E0025" w:rsidRPr="00BE78CA" w:rsidRDefault="007E0025" w:rsidP="0054289D">
            <w:pPr>
              <w:pStyle w:val="TableText"/>
              <w:spacing w:before="50" w:after="50"/>
            </w:pPr>
            <w:r w:rsidRPr="00BE78CA">
              <w:rPr>
                <w:rFonts w:eastAsia="Calibri"/>
              </w:rPr>
              <w:t>Agriculture</w:t>
            </w:r>
          </w:p>
        </w:tc>
        <w:tc>
          <w:tcPr>
            <w:tcW w:w="3686" w:type="dxa"/>
            <w:shd w:val="clear" w:color="auto" w:fill="FFFFFF"/>
            <w:tcMar>
              <w:top w:w="0" w:type="dxa"/>
              <w:left w:w="108" w:type="dxa"/>
              <w:bottom w:w="0" w:type="dxa"/>
              <w:right w:w="108" w:type="dxa"/>
            </w:tcMar>
          </w:tcPr>
          <w:p w14:paraId="6BA32C19" w14:textId="77777777" w:rsidR="007E0025" w:rsidRPr="00BE78CA" w:rsidRDefault="007E0025" w:rsidP="0054289D">
            <w:pPr>
              <w:pStyle w:val="TableText"/>
              <w:spacing w:before="50" w:after="50"/>
            </w:pPr>
            <w:r w:rsidRPr="00BE78CA">
              <w:rPr>
                <w:rFonts w:eastAsia="Calibri"/>
              </w:rPr>
              <w:t>3.D.1.1 Inorganic N fertilisers</w:t>
            </w:r>
          </w:p>
        </w:tc>
        <w:tc>
          <w:tcPr>
            <w:tcW w:w="1984" w:type="dxa"/>
            <w:shd w:val="clear" w:color="auto" w:fill="FFFFFF"/>
            <w:tcMar>
              <w:top w:w="0" w:type="dxa"/>
              <w:left w:w="108" w:type="dxa"/>
              <w:bottom w:w="0" w:type="dxa"/>
              <w:right w:w="108" w:type="dxa"/>
            </w:tcMar>
          </w:tcPr>
          <w:p w14:paraId="6DDF9CF0" w14:textId="77777777" w:rsidR="007E0025" w:rsidRPr="00BE78CA" w:rsidRDefault="007E0025" w:rsidP="0054289D">
            <w:pPr>
              <w:pStyle w:val="TableText"/>
              <w:spacing w:before="50" w:after="50"/>
              <w:jc w:val="center"/>
            </w:pPr>
            <w:r w:rsidRPr="00BE78CA">
              <w:rPr>
                <w:rFonts w:eastAsia="Calibri"/>
              </w:rPr>
              <w:t>–141.4</w:t>
            </w:r>
          </w:p>
        </w:tc>
        <w:tc>
          <w:tcPr>
            <w:tcW w:w="1701" w:type="dxa"/>
            <w:shd w:val="clear" w:color="auto" w:fill="FFFFFF"/>
            <w:tcMar>
              <w:top w:w="0" w:type="dxa"/>
              <w:left w:w="108" w:type="dxa"/>
              <w:bottom w:w="0" w:type="dxa"/>
              <w:right w:w="108" w:type="dxa"/>
            </w:tcMar>
          </w:tcPr>
          <w:p w14:paraId="369485B8" w14:textId="77777777" w:rsidR="007E0025" w:rsidRPr="00BE78CA" w:rsidRDefault="007E0025" w:rsidP="0054289D">
            <w:pPr>
              <w:pStyle w:val="TableText"/>
              <w:spacing w:before="50" w:after="50"/>
              <w:jc w:val="center"/>
            </w:pPr>
            <w:r w:rsidRPr="00BE78CA">
              <w:rPr>
                <w:rFonts w:eastAsia="Calibri"/>
              </w:rPr>
              <w:t>2002</w:t>
            </w:r>
          </w:p>
        </w:tc>
      </w:tr>
      <w:tr w:rsidR="0054289D" w:rsidRPr="00BE78CA" w14:paraId="42F1E329" w14:textId="77777777" w:rsidTr="0054289D">
        <w:trPr>
          <w:cantSplit/>
        </w:trPr>
        <w:tc>
          <w:tcPr>
            <w:tcW w:w="1134" w:type="dxa"/>
            <w:shd w:val="clear" w:color="auto" w:fill="FFFFFF"/>
            <w:tcMar>
              <w:top w:w="0" w:type="dxa"/>
              <w:left w:w="108" w:type="dxa"/>
              <w:bottom w:w="0" w:type="dxa"/>
              <w:right w:w="108" w:type="dxa"/>
            </w:tcMar>
          </w:tcPr>
          <w:p w14:paraId="33DCBD8F" w14:textId="77777777" w:rsidR="007E0025" w:rsidRPr="00BE78CA" w:rsidRDefault="007E0025" w:rsidP="0054289D">
            <w:pPr>
              <w:pStyle w:val="TableText"/>
              <w:spacing w:before="50" w:after="50"/>
            </w:pPr>
            <w:r w:rsidRPr="00BE78CA">
              <w:rPr>
                <w:rFonts w:eastAsia="Calibri"/>
              </w:rPr>
              <w:t>LULUCF</w:t>
            </w:r>
          </w:p>
        </w:tc>
        <w:tc>
          <w:tcPr>
            <w:tcW w:w="3686" w:type="dxa"/>
            <w:shd w:val="clear" w:color="auto" w:fill="FFFFFF"/>
            <w:tcMar>
              <w:top w:w="0" w:type="dxa"/>
              <w:left w:w="108" w:type="dxa"/>
              <w:bottom w:w="0" w:type="dxa"/>
              <w:right w:w="108" w:type="dxa"/>
            </w:tcMar>
          </w:tcPr>
          <w:p w14:paraId="3660E64D" w14:textId="77777777" w:rsidR="007E0025" w:rsidRPr="00BE78CA" w:rsidRDefault="007E0025" w:rsidP="0054289D">
            <w:pPr>
              <w:pStyle w:val="TableText"/>
              <w:spacing w:before="50" w:after="50"/>
            </w:pPr>
            <w:r w:rsidRPr="00BE78CA">
              <w:rPr>
                <w:rFonts w:eastAsia="Calibri"/>
              </w:rPr>
              <w:t>4.A.1.i Pre-1990 planted forest remaining pre-1990 planted forest</w:t>
            </w:r>
          </w:p>
        </w:tc>
        <w:tc>
          <w:tcPr>
            <w:tcW w:w="1984" w:type="dxa"/>
            <w:shd w:val="clear" w:color="auto" w:fill="FFFFFF"/>
            <w:tcMar>
              <w:top w:w="0" w:type="dxa"/>
              <w:left w:w="108" w:type="dxa"/>
              <w:bottom w:w="0" w:type="dxa"/>
              <w:right w:w="108" w:type="dxa"/>
            </w:tcMar>
          </w:tcPr>
          <w:p w14:paraId="3E6FD929" w14:textId="77777777" w:rsidR="007E0025" w:rsidRPr="00BE78CA" w:rsidRDefault="007E0025" w:rsidP="0054289D">
            <w:pPr>
              <w:pStyle w:val="TableText"/>
              <w:spacing w:before="50" w:after="50"/>
              <w:jc w:val="center"/>
            </w:pPr>
            <w:r w:rsidRPr="00BE78CA">
              <w:rPr>
                <w:rFonts w:eastAsia="Calibri"/>
              </w:rPr>
              <w:t>–9,597.8</w:t>
            </w:r>
          </w:p>
        </w:tc>
        <w:tc>
          <w:tcPr>
            <w:tcW w:w="1701" w:type="dxa"/>
            <w:shd w:val="clear" w:color="auto" w:fill="FFFFFF"/>
            <w:tcMar>
              <w:top w:w="0" w:type="dxa"/>
              <w:left w:w="108" w:type="dxa"/>
              <w:bottom w:w="0" w:type="dxa"/>
              <w:right w:w="108" w:type="dxa"/>
            </w:tcMar>
          </w:tcPr>
          <w:p w14:paraId="63EAD4C8" w14:textId="77777777" w:rsidR="007E0025" w:rsidRPr="00BE78CA" w:rsidRDefault="007E0025" w:rsidP="0054289D">
            <w:pPr>
              <w:pStyle w:val="TableText"/>
              <w:spacing w:before="50" w:after="50"/>
              <w:jc w:val="center"/>
            </w:pPr>
            <w:r w:rsidRPr="00BE78CA">
              <w:rPr>
                <w:rFonts w:eastAsia="Calibri"/>
              </w:rPr>
              <w:t>2007</w:t>
            </w:r>
          </w:p>
        </w:tc>
      </w:tr>
      <w:tr w:rsidR="0054289D" w:rsidRPr="00BE78CA" w14:paraId="4598F7C5" w14:textId="77777777" w:rsidTr="0054289D">
        <w:trPr>
          <w:cantSplit/>
        </w:trPr>
        <w:tc>
          <w:tcPr>
            <w:tcW w:w="1134" w:type="dxa"/>
            <w:shd w:val="clear" w:color="auto" w:fill="FFFFFF"/>
            <w:tcMar>
              <w:top w:w="0" w:type="dxa"/>
              <w:left w:w="108" w:type="dxa"/>
              <w:bottom w:w="0" w:type="dxa"/>
              <w:right w:w="108" w:type="dxa"/>
            </w:tcMar>
          </w:tcPr>
          <w:p w14:paraId="54A461F4" w14:textId="77777777" w:rsidR="007E0025" w:rsidRPr="00BE78CA" w:rsidRDefault="007E0025" w:rsidP="0054289D">
            <w:pPr>
              <w:pStyle w:val="TableText"/>
              <w:spacing w:before="50" w:after="50"/>
            </w:pPr>
            <w:r w:rsidRPr="00BE78CA">
              <w:rPr>
                <w:rFonts w:eastAsia="Calibri"/>
              </w:rPr>
              <w:t>Waste</w:t>
            </w:r>
          </w:p>
        </w:tc>
        <w:tc>
          <w:tcPr>
            <w:tcW w:w="3686" w:type="dxa"/>
            <w:shd w:val="clear" w:color="auto" w:fill="FFFFFF"/>
            <w:tcMar>
              <w:top w:w="0" w:type="dxa"/>
              <w:left w:w="108" w:type="dxa"/>
              <w:bottom w:w="0" w:type="dxa"/>
              <w:right w:w="108" w:type="dxa"/>
            </w:tcMar>
          </w:tcPr>
          <w:p w14:paraId="414EA11C" w14:textId="77777777" w:rsidR="007E0025" w:rsidRPr="00BE78CA" w:rsidRDefault="007E0025" w:rsidP="0054289D">
            <w:pPr>
              <w:pStyle w:val="TableText"/>
              <w:spacing w:before="50" w:after="50"/>
            </w:pPr>
            <w:r w:rsidRPr="00BE78CA">
              <w:rPr>
                <w:rFonts w:eastAsia="Calibri"/>
              </w:rPr>
              <w:t>5.A.2 Unmanaged waste disposal sites</w:t>
            </w:r>
          </w:p>
        </w:tc>
        <w:tc>
          <w:tcPr>
            <w:tcW w:w="1984" w:type="dxa"/>
            <w:shd w:val="clear" w:color="auto" w:fill="FFFFFF"/>
            <w:tcMar>
              <w:top w:w="0" w:type="dxa"/>
              <w:left w:w="108" w:type="dxa"/>
              <w:bottom w:w="0" w:type="dxa"/>
              <w:right w:w="108" w:type="dxa"/>
            </w:tcMar>
          </w:tcPr>
          <w:p w14:paraId="0087965A" w14:textId="77777777" w:rsidR="007E0025" w:rsidRPr="00BE78CA" w:rsidRDefault="007E0025" w:rsidP="0054289D">
            <w:pPr>
              <w:pStyle w:val="TableText"/>
              <w:spacing w:before="50" w:after="50"/>
              <w:jc w:val="center"/>
            </w:pPr>
            <w:r w:rsidRPr="00BE78CA">
              <w:rPr>
                <w:rFonts w:eastAsia="Calibri"/>
              </w:rPr>
              <w:t>–764.5</w:t>
            </w:r>
          </w:p>
        </w:tc>
        <w:tc>
          <w:tcPr>
            <w:tcW w:w="1701" w:type="dxa"/>
            <w:shd w:val="clear" w:color="auto" w:fill="FFFFFF"/>
            <w:tcMar>
              <w:top w:w="0" w:type="dxa"/>
              <w:left w:w="108" w:type="dxa"/>
              <w:bottom w:w="0" w:type="dxa"/>
              <w:right w:w="108" w:type="dxa"/>
            </w:tcMar>
          </w:tcPr>
          <w:p w14:paraId="6C9FB2BD" w14:textId="77777777" w:rsidR="007E0025" w:rsidRPr="00BE78CA" w:rsidRDefault="007E0025" w:rsidP="0054289D">
            <w:pPr>
              <w:pStyle w:val="TableText"/>
              <w:spacing w:before="50" w:after="50"/>
              <w:jc w:val="center"/>
            </w:pPr>
            <w:r w:rsidRPr="00BE78CA">
              <w:rPr>
                <w:rFonts w:eastAsia="Calibri"/>
              </w:rPr>
              <w:t>2002</w:t>
            </w:r>
          </w:p>
        </w:tc>
      </w:tr>
      <w:tr w:rsidR="0054289D" w:rsidRPr="00BE78CA" w14:paraId="691EFA28" w14:textId="77777777" w:rsidTr="0054289D">
        <w:trPr>
          <w:cantSplit/>
        </w:trPr>
        <w:tc>
          <w:tcPr>
            <w:tcW w:w="1134" w:type="dxa"/>
            <w:shd w:val="clear" w:color="auto" w:fill="FFFFFF"/>
            <w:tcMar>
              <w:top w:w="0" w:type="dxa"/>
              <w:left w:w="108" w:type="dxa"/>
              <w:bottom w:w="0" w:type="dxa"/>
              <w:right w:w="108" w:type="dxa"/>
            </w:tcMar>
          </w:tcPr>
          <w:p w14:paraId="1866105E" w14:textId="77777777" w:rsidR="007E0025" w:rsidRPr="00BE78CA" w:rsidRDefault="007E0025" w:rsidP="0054289D">
            <w:pPr>
              <w:pStyle w:val="TableText"/>
              <w:spacing w:before="50" w:after="50"/>
            </w:pPr>
            <w:r w:rsidRPr="00BE78CA">
              <w:rPr>
                <w:rFonts w:eastAsia="Calibri"/>
              </w:rPr>
              <w:t>Tokelau</w:t>
            </w:r>
          </w:p>
        </w:tc>
        <w:tc>
          <w:tcPr>
            <w:tcW w:w="3686" w:type="dxa"/>
            <w:shd w:val="clear" w:color="auto" w:fill="FFFFFF"/>
            <w:tcMar>
              <w:top w:w="0" w:type="dxa"/>
              <w:left w:w="108" w:type="dxa"/>
              <w:bottom w:w="0" w:type="dxa"/>
              <w:right w:w="108" w:type="dxa"/>
            </w:tcMar>
          </w:tcPr>
          <w:p w14:paraId="1E8EAAC9" w14:textId="77777777" w:rsidR="007E0025" w:rsidRPr="00BE78CA" w:rsidRDefault="007E0025" w:rsidP="0054289D">
            <w:pPr>
              <w:pStyle w:val="TableText"/>
              <w:spacing w:before="50" w:after="50"/>
            </w:pPr>
            <w:r w:rsidRPr="00BE78CA">
              <w:rPr>
                <w:rFonts w:eastAsia="Calibri"/>
              </w:rPr>
              <w:t>No reductions</w:t>
            </w:r>
          </w:p>
        </w:tc>
        <w:tc>
          <w:tcPr>
            <w:tcW w:w="1984" w:type="dxa"/>
            <w:shd w:val="clear" w:color="auto" w:fill="FFFFFF"/>
            <w:tcMar>
              <w:top w:w="0" w:type="dxa"/>
              <w:left w:w="108" w:type="dxa"/>
              <w:bottom w:w="0" w:type="dxa"/>
              <w:right w:w="108" w:type="dxa"/>
            </w:tcMar>
          </w:tcPr>
          <w:p w14:paraId="623AA32E" w14:textId="77777777" w:rsidR="007E0025" w:rsidRPr="00BE78CA" w:rsidRDefault="007E0025" w:rsidP="0054289D">
            <w:pPr>
              <w:pStyle w:val="TableText"/>
              <w:spacing w:before="50" w:after="50"/>
              <w:jc w:val="center"/>
            </w:pPr>
            <w:r w:rsidRPr="00BE78CA">
              <w:rPr>
                <w:rFonts w:eastAsia="Calibri"/>
              </w:rPr>
              <w:t>NA</w:t>
            </w:r>
          </w:p>
        </w:tc>
        <w:tc>
          <w:tcPr>
            <w:tcW w:w="1701" w:type="dxa"/>
            <w:shd w:val="clear" w:color="auto" w:fill="FFFFFF"/>
            <w:tcMar>
              <w:top w:w="0" w:type="dxa"/>
              <w:left w:w="108" w:type="dxa"/>
              <w:bottom w:w="0" w:type="dxa"/>
              <w:right w:w="108" w:type="dxa"/>
            </w:tcMar>
          </w:tcPr>
          <w:p w14:paraId="7E930475" w14:textId="77777777" w:rsidR="007E0025" w:rsidRPr="00BE78CA" w:rsidRDefault="007E0025" w:rsidP="0054289D">
            <w:pPr>
              <w:pStyle w:val="TableText"/>
              <w:spacing w:before="50" w:after="50"/>
              <w:jc w:val="center"/>
            </w:pPr>
            <w:r w:rsidRPr="00BE78CA">
              <w:t>NA</w:t>
            </w:r>
          </w:p>
        </w:tc>
      </w:tr>
    </w:tbl>
    <w:p w14:paraId="646FC1E5" w14:textId="77777777" w:rsidR="007E0025" w:rsidRPr="00BE78CA" w:rsidRDefault="007E0025" w:rsidP="0054289D">
      <w:pPr>
        <w:pStyle w:val="BodyText"/>
        <w:spacing w:before="240"/>
      </w:pPr>
      <w:r w:rsidRPr="00BE78CA">
        <w:t>The following sections detail the effect of and reasons for recalculations for each sector and summarise the improvements that resulted in the recalculations.</w:t>
      </w:r>
    </w:p>
    <w:p w14:paraId="2E6E6794" w14:textId="77777777" w:rsidR="007E0025" w:rsidRPr="00BE78CA" w:rsidRDefault="007E0025" w:rsidP="0054289D">
      <w:pPr>
        <w:pStyle w:val="Heading3"/>
        <w:spacing w:before="240"/>
      </w:pPr>
      <w:r w:rsidRPr="00BE78CA">
        <w:t xml:space="preserve">10.1.1 </w:t>
      </w:r>
      <w:r w:rsidRPr="00BE78CA">
        <w:tab/>
        <w:t>Energy</w:t>
      </w:r>
    </w:p>
    <w:p w14:paraId="5C885621" w14:textId="04B8C0EE" w:rsidR="007E0025" w:rsidRPr="00BE78CA" w:rsidRDefault="007E0025" w:rsidP="007E0025">
      <w:pPr>
        <w:pStyle w:val="BodyText"/>
      </w:pPr>
      <w:r w:rsidRPr="00BE78CA">
        <w:t>Changes to activity data in the Energy sector have resulted in a 0.1 per cent (33.8 kt CO</w:t>
      </w:r>
      <w:r w:rsidRPr="00BE78CA">
        <w:rPr>
          <w:vertAlign w:val="subscript"/>
        </w:rPr>
        <w:t>2</w:t>
      </w:r>
      <w:r w:rsidRPr="00BE78CA">
        <w:t>-e) decrease in energy emissions in 1990 and a 1.9 per cent (605.8 kt CO</w:t>
      </w:r>
      <w:r w:rsidRPr="00BE78CA">
        <w:rPr>
          <w:vertAlign w:val="subscript"/>
        </w:rPr>
        <w:t>2</w:t>
      </w:r>
      <w:r w:rsidRPr="00BE78CA">
        <w:t>-e) increase in energy emissions in 2018 (figure 10.1.2). No significant improvements or methodological changes have occurred for the Energy sector. However, changes in the level of emissions estimates have occurred due to small changes in the activity data. Energy activity data for the years 1990</w:t>
      </w:r>
      <w:r w:rsidR="0054289D" w:rsidRPr="00BE78CA">
        <w:t> </w:t>
      </w:r>
      <w:r w:rsidRPr="00BE78CA">
        <w:t>to 2018 have been updated according to the latest energy statistics published by the Ministry of Business, Innovation and Employment.</w:t>
      </w:r>
    </w:p>
    <w:p w14:paraId="755D271F" w14:textId="569C6ED9" w:rsidR="007E0025" w:rsidRPr="00BE78CA" w:rsidRDefault="007E0025" w:rsidP="007E0025">
      <w:pPr>
        <w:pStyle w:val="Figure"/>
      </w:pPr>
      <w:bookmarkStart w:id="3288" w:name="_Toc68786698"/>
      <w:r w:rsidRPr="00BE78CA">
        <w:t xml:space="preserve">Figure 10.1.2 </w:t>
      </w:r>
      <w:r w:rsidRPr="00BE78CA">
        <w:tab/>
        <w:t>Effect of changes to activity data on New Zealand’s Energy sector from 1990</w:t>
      </w:r>
      <w:r w:rsidR="005B6417" w:rsidRPr="00BE78CA">
        <w:t> </w:t>
      </w:r>
      <w:r w:rsidRPr="00BE78CA">
        <w:t>to</w:t>
      </w:r>
      <w:r w:rsidR="005B6417" w:rsidRPr="00BE78CA">
        <w:t> </w:t>
      </w:r>
      <w:r w:rsidRPr="00BE78CA">
        <w:t>2018</w:t>
      </w:r>
      <w:bookmarkEnd w:id="3288"/>
    </w:p>
    <w:p w14:paraId="11B2C920" w14:textId="77777777" w:rsidR="007E0025" w:rsidRPr="00BE78CA" w:rsidRDefault="007E0025" w:rsidP="0006071C">
      <w:pPr>
        <w:pStyle w:val="BodyText"/>
        <w:spacing w:before="80"/>
      </w:pPr>
      <w:r w:rsidRPr="00BE78CA">
        <w:rPr>
          <w:noProof/>
        </w:rPr>
        <w:drawing>
          <wp:inline distT="0" distB="0" distL="0" distR="0" wp14:anchorId="0DA63EB1" wp14:editId="7CEC0BAD">
            <wp:extent cx="5313872" cy="3821502"/>
            <wp:effectExtent l="0" t="0" r="1270" b="7620"/>
            <wp:docPr id="56" name="Picture"/>
            <wp:cNvGraphicFramePr/>
            <a:graphic xmlns:a="http://schemas.openxmlformats.org/drawingml/2006/main">
              <a:graphicData uri="http://schemas.openxmlformats.org/drawingml/2006/picture">
                <pic:pic xmlns:pic="http://schemas.openxmlformats.org/drawingml/2006/picture">
                  <pic:nvPicPr>
                    <pic:cNvPr id="0" name="Picture" descr="code/graphs/images/fig_10_1_2.png"/>
                    <pic:cNvPicPr>
                      <a:picLocks noChangeAspect="1" noChangeArrowheads="1"/>
                    </pic:cNvPicPr>
                  </pic:nvPicPr>
                  <pic:blipFill>
                    <a:blip r:embed="rId268"/>
                    <a:stretch>
                      <a:fillRect/>
                    </a:stretch>
                  </pic:blipFill>
                  <pic:spPr bwMode="auto">
                    <a:xfrm>
                      <a:off x="0" y="0"/>
                      <a:ext cx="5327032" cy="3830966"/>
                    </a:xfrm>
                    <a:prstGeom prst="rect">
                      <a:avLst/>
                    </a:prstGeom>
                    <a:noFill/>
                    <a:ln w="9525">
                      <a:noFill/>
                      <a:headEnd/>
                      <a:tailEnd/>
                    </a:ln>
                  </pic:spPr>
                </pic:pic>
              </a:graphicData>
            </a:graphic>
          </wp:inline>
        </w:drawing>
      </w:r>
    </w:p>
    <w:p w14:paraId="12DA83A7" w14:textId="77777777" w:rsidR="007E0025" w:rsidRPr="00BE78CA" w:rsidRDefault="007E0025" w:rsidP="007E0025">
      <w:pPr>
        <w:pStyle w:val="Heading3"/>
      </w:pPr>
      <w:bookmarkStart w:id="3289" w:name="industrial-processes-and-product-use"/>
      <w:r w:rsidRPr="00BE78CA">
        <w:lastRenderedPageBreak/>
        <w:t xml:space="preserve">10.1.2 </w:t>
      </w:r>
      <w:r w:rsidRPr="00BE78CA">
        <w:tab/>
        <w:t>Industrial Processes and Product Use</w:t>
      </w:r>
      <w:bookmarkEnd w:id="3289"/>
    </w:p>
    <w:p w14:paraId="63F96BE4" w14:textId="0E0952F8" w:rsidR="007E0025" w:rsidRPr="00BE78CA" w:rsidRDefault="007E0025" w:rsidP="007E0025">
      <w:pPr>
        <w:pStyle w:val="BodyText"/>
      </w:pPr>
      <w:r w:rsidRPr="00BE78CA">
        <w:t>Improvements and recalculations made in the Industrial Processes and Product Use (IPPU) sector have resulted in no change for 1990 and a 0.6 per cent increase in emissions for 2018</w:t>
      </w:r>
      <w:r w:rsidR="00C646D1" w:rsidRPr="00BE78CA">
        <w:t> </w:t>
      </w:r>
      <w:r w:rsidRPr="00BE78CA">
        <w:t>(28.8 kt CO</w:t>
      </w:r>
      <w:r w:rsidRPr="00BE78CA">
        <w:rPr>
          <w:vertAlign w:val="subscript"/>
        </w:rPr>
        <w:t>2</w:t>
      </w:r>
      <w:r w:rsidRPr="00BE78CA">
        <w:t>-e) (figure 10.1.3). The increase in 2018 is due to correction of an error in the</w:t>
      </w:r>
      <w:r w:rsidR="00C646D1" w:rsidRPr="00BE78CA">
        <w:t> </w:t>
      </w:r>
      <w:r w:rsidRPr="00BE78CA">
        <w:rPr>
          <w:i/>
        </w:rPr>
        <w:t>Other</w:t>
      </w:r>
      <w:r w:rsidR="0006071C" w:rsidRPr="00BE78CA">
        <w:rPr>
          <w:i/>
        </w:rPr>
        <w:t> </w:t>
      </w:r>
      <w:r w:rsidRPr="00BE78CA">
        <w:rPr>
          <w:i/>
        </w:rPr>
        <w:t>process uses of carbonates</w:t>
      </w:r>
      <w:r w:rsidRPr="00BE78CA">
        <w:t xml:space="preserve"> category, and a recalculation of emissions from the </w:t>
      </w:r>
      <w:r w:rsidRPr="00BE78CA">
        <w:rPr>
          <w:i/>
        </w:rPr>
        <w:t>Refrigeration and air conditioning</w:t>
      </w:r>
      <w:r w:rsidRPr="00BE78CA">
        <w:t xml:space="preserve"> category. Most of the increase in reported emissions for 2018 (24.5 kt CO</w:t>
      </w:r>
      <w:r w:rsidRPr="00BE78CA">
        <w:rPr>
          <w:vertAlign w:val="subscript"/>
        </w:rPr>
        <w:t>2</w:t>
      </w:r>
      <w:r w:rsidRPr="00BE78CA">
        <w:t>-e) is due to a reassessment of the maintenance practices now occurring in</w:t>
      </w:r>
      <w:r w:rsidR="00C646D1" w:rsidRPr="00BE78CA">
        <w:t> </w:t>
      </w:r>
      <w:r w:rsidRPr="00BE78CA">
        <w:t>the vehicle industry and the resulting bank of HFC-134a in mobile air conditioning and other</w:t>
      </w:r>
      <w:r w:rsidR="00C646D1" w:rsidRPr="00BE78CA">
        <w:t> </w:t>
      </w:r>
      <w:r w:rsidRPr="00BE78CA">
        <w:t>sub-applications. This has been partly offset by lower estimated emissions from non</w:t>
      </w:r>
      <w:r w:rsidR="00C646D1" w:rsidRPr="00BE78CA">
        <w:noBreakHyphen/>
      </w:r>
      <w:r w:rsidRPr="00BE78CA">
        <w:t>medical aerosols.</w:t>
      </w:r>
    </w:p>
    <w:p w14:paraId="72ACFBF1" w14:textId="79E346F2" w:rsidR="007E0025" w:rsidRPr="00BE78CA" w:rsidRDefault="007E0025" w:rsidP="007E0025">
      <w:pPr>
        <w:pStyle w:val="BodyText"/>
      </w:pPr>
      <w:r w:rsidRPr="00BE78CA">
        <w:t>Other recalculations and improvements, as detailed in table 10.1.3, have had only a minor</w:t>
      </w:r>
      <w:r w:rsidR="00C646D1" w:rsidRPr="00BE78CA">
        <w:t> </w:t>
      </w:r>
      <w:r w:rsidRPr="00BE78CA">
        <w:t>effect.</w:t>
      </w:r>
    </w:p>
    <w:p w14:paraId="714A3EE4" w14:textId="77777777" w:rsidR="007E0025" w:rsidRPr="00BE78CA" w:rsidRDefault="007E0025" w:rsidP="00761233">
      <w:pPr>
        <w:pStyle w:val="Table"/>
      </w:pPr>
      <w:bookmarkStart w:id="3290" w:name="_Toc68786578"/>
      <w:r w:rsidRPr="00BE78CA">
        <w:t xml:space="preserve">Table 10.1.3 </w:t>
      </w:r>
      <w:r w:rsidRPr="00BE78CA">
        <w:tab/>
        <w:t>Explanations and justifications for recalculations in the IPPU sector</w:t>
      </w:r>
      <w:bookmarkEnd w:id="3290"/>
    </w:p>
    <w:tbl>
      <w:tblPr>
        <w:tblW w:w="8505" w:type="dxa"/>
        <w:tblBorders>
          <w:top w:val="single" w:sz="4" w:space="0" w:color="365F91"/>
          <w:bottom w:val="single" w:sz="4" w:space="0" w:color="365F91"/>
          <w:insideH w:val="single" w:sz="4" w:space="0" w:color="365F91"/>
        </w:tblBorders>
        <w:tblLook w:val="0420" w:firstRow="1" w:lastRow="0" w:firstColumn="0" w:lastColumn="0" w:noHBand="0" w:noVBand="1"/>
      </w:tblPr>
      <w:tblGrid>
        <w:gridCol w:w="4536"/>
        <w:gridCol w:w="1276"/>
        <w:gridCol w:w="2693"/>
      </w:tblGrid>
      <w:tr w:rsidR="00C646D1" w:rsidRPr="00BE78CA" w14:paraId="3E220672" w14:textId="77777777" w:rsidTr="00761233">
        <w:trPr>
          <w:cantSplit/>
          <w:tblHeader/>
        </w:trPr>
        <w:tc>
          <w:tcPr>
            <w:tcW w:w="4536" w:type="dxa"/>
            <w:shd w:val="clear" w:color="auto" w:fill="365F91"/>
            <w:tcMar>
              <w:top w:w="0" w:type="dxa"/>
              <w:left w:w="108" w:type="dxa"/>
              <w:bottom w:w="0" w:type="dxa"/>
              <w:right w:w="108" w:type="dxa"/>
            </w:tcMar>
            <w:vAlign w:val="bottom"/>
          </w:tcPr>
          <w:p w14:paraId="485B91DC" w14:textId="77777777" w:rsidR="007E0025" w:rsidRPr="00BE78CA" w:rsidRDefault="007E0025" w:rsidP="00C646D1">
            <w:pPr>
              <w:pStyle w:val="TableTextBold"/>
              <w:rPr>
                <w:noProof w:val="0"/>
                <w:color w:val="FFFFFF" w:themeColor="background1"/>
              </w:rPr>
            </w:pPr>
            <w:r w:rsidRPr="00BE78CA">
              <w:rPr>
                <w:rFonts w:eastAsia="Calibri"/>
                <w:noProof w:val="0"/>
                <w:color w:val="FFFFFF" w:themeColor="background1"/>
              </w:rPr>
              <w:t>Explanation of recalculation</w:t>
            </w:r>
          </w:p>
        </w:tc>
        <w:tc>
          <w:tcPr>
            <w:tcW w:w="1276" w:type="dxa"/>
            <w:shd w:val="clear" w:color="auto" w:fill="365F91"/>
            <w:tcMar>
              <w:top w:w="0" w:type="dxa"/>
              <w:left w:w="108" w:type="dxa"/>
              <w:bottom w:w="0" w:type="dxa"/>
              <w:right w:w="108" w:type="dxa"/>
            </w:tcMar>
            <w:vAlign w:val="bottom"/>
          </w:tcPr>
          <w:p w14:paraId="7BF78773" w14:textId="77777777" w:rsidR="007E0025" w:rsidRPr="00BE78CA" w:rsidRDefault="007E0025" w:rsidP="00C646D1">
            <w:pPr>
              <w:pStyle w:val="TableTextBold"/>
              <w:rPr>
                <w:noProof w:val="0"/>
                <w:color w:val="FFFFFF" w:themeColor="background1"/>
              </w:rPr>
            </w:pPr>
            <w:r w:rsidRPr="00BE78CA">
              <w:rPr>
                <w:rFonts w:eastAsia="Calibri"/>
                <w:noProof w:val="0"/>
                <w:color w:val="FFFFFF" w:themeColor="background1"/>
              </w:rPr>
              <w:t>Underpinning IPCC principle</w:t>
            </w:r>
          </w:p>
        </w:tc>
        <w:tc>
          <w:tcPr>
            <w:tcW w:w="2693" w:type="dxa"/>
            <w:shd w:val="clear" w:color="auto" w:fill="365F91"/>
            <w:tcMar>
              <w:top w:w="0" w:type="dxa"/>
              <w:left w:w="108" w:type="dxa"/>
              <w:bottom w:w="0" w:type="dxa"/>
              <w:right w:w="108" w:type="dxa"/>
            </w:tcMar>
            <w:vAlign w:val="bottom"/>
          </w:tcPr>
          <w:p w14:paraId="62144182" w14:textId="77777777" w:rsidR="007E0025" w:rsidRPr="00BE78CA" w:rsidRDefault="007E0025" w:rsidP="00C646D1">
            <w:pPr>
              <w:pStyle w:val="TableTextBold"/>
              <w:rPr>
                <w:noProof w:val="0"/>
                <w:color w:val="FFFFFF" w:themeColor="background1"/>
              </w:rPr>
            </w:pPr>
            <w:r w:rsidRPr="00BE78CA">
              <w:rPr>
                <w:rFonts w:eastAsia="Calibri"/>
                <w:noProof w:val="0"/>
                <w:color w:val="FFFFFF" w:themeColor="background1"/>
              </w:rPr>
              <w:t>Additional justification</w:t>
            </w:r>
          </w:p>
        </w:tc>
      </w:tr>
      <w:tr w:rsidR="00D31ACB" w:rsidRPr="00BE78CA" w14:paraId="6FF499F1" w14:textId="77777777" w:rsidTr="00761233">
        <w:trPr>
          <w:cantSplit/>
        </w:trPr>
        <w:tc>
          <w:tcPr>
            <w:tcW w:w="4536" w:type="dxa"/>
            <w:shd w:val="clear" w:color="auto" w:fill="FFFFFF"/>
            <w:tcMar>
              <w:top w:w="0" w:type="dxa"/>
              <w:left w:w="108" w:type="dxa"/>
              <w:bottom w:w="0" w:type="dxa"/>
              <w:right w:w="108" w:type="dxa"/>
            </w:tcMar>
          </w:tcPr>
          <w:p w14:paraId="3A5E24AC" w14:textId="77777777" w:rsidR="007E0025" w:rsidRPr="00BE78CA" w:rsidRDefault="007E0025" w:rsidP="00C646D1">
            <w:pPr>
              <w:pStyle w:val="TableText"/>
            </w:pPr>
            <w:r w:rsidRPr="00BE78CA">
              <w:rPr>
                <w:rFonts w:eastAsia="Calibri"/>
              </w:rPr>
              <w:t xml:space="preserve">An error in the reported data has been corrected in </w:t>
            </w:r>
            <w:r w:rsidRPr="00BE78CA">
              <w:rPr>
                <w:rFonts w:eastAsia="Calibri"/>
                <w:i/>
                <w:iCs/>
              </w:rPr>
              <w:t xml:space="preserve">Other process uses of carbonates </w:t>
            </w:r>
            <w:r w:rsidRPr="00BE78CA">
              <w:rPr>
                <w:rFonts w:eastAsia="Calibri"/>
              </w:rPr>
              <w:t>(2.A.4.d) for 2018.</w:t>
            </w:r>
          </w:p>
        </w:tc>
        <w:tc>
          <w:tcPr>
            <w:tcW w:w="1276" w:type="dxa"/>
            <w:shd w:val="clear" w:color="auto" w:fill="FFFFFF"/>
            <w:tcMar>
              <w:top w:w="0" w:type="dxa"/>
              <w:left w:w="108" w:type="dxa"/>
              <w:bottom w:w="0" w:type="dxa"/>
              <w:right w:w="108" w:type="dxa"/>
            </w:tcMar>
          </w:tcPr>
          <w:p w14:paraId="48B1AB7B" w14:textId="77777777" w:rsidR="007E0025" w:rsidRPr="00BE78CA" w:rsidRDefault="007E0025" w:rsidP="00C646D1">
            <w:pPr>
              <w:pStyle w:val="TableText"/>
            </w:pPr>
            <w:r w:rsidRPr="00BE78CA">
              <w:rPr>
                <w:rFonts w:eastAsia="Calibri"/>
              </w:rPr>
              <w:t>Accuracy</w:t>
            </w:r>
          </w:p>
        </w:tc>
        <w:tc>
          <w:tcPr>
            <w:tcW w:w="2693" w:type="dxa"/>
            <w:shd w:val="clear" w:color="auto" w:fill="FFFFFF"/>
            <w:tcMar>
              <w:top w:w="0" w:type="dxa"/>
              <w:left w:w="108" w:type="dxa"/>
              <w:bottom w:w="0" w:type="dxa"/>
              <w:right w:w="108" w:type="dxa"/>
            </w:tcMar>
          </w:tcPr>
          <w:p w14:paraId="630C7515" w14:textId="77777777" w:rsidR="007E0025" w:rsidRPr="00BE78CA" w:rsidRDefault="007E0025" w:rsidP="00C646D1">
            <w:pPr>
              <w:pStyle w:val="TableText"/>
            </w:pPr>
            <w:r w:rsidRPr="00BE78CA">
              <w:rPr>
                <w:rFonts w:eastAsia="Calibri"/>
              </w:rPr>
              <w:t>Correction of an error.</w:t>
            </w:r>
          </w:p>
        </w:tc>
      </w:tr>
      <w:tr w:rsidR="00D31ACB" w:rsidRPr="00BE78CA" w14:paraId="1BCC55E9" w14:textId="77777777" w:rsidTr="00761233">
        <w:trPr>
          <w:cantSplit/>
        </w:trPr>
        <w:tc>
          <w:tcPr>
            <w:tcW w:w="4536" w:type="dxa"/>
            <w:shd w:val="clear" w:color="auto" w:fill="FFFFFF"/>
            <w:tcMar>
              <w:top w:w="0" w:type="dxa"/>
              <w:left w:w="108" w:type="dxa"/>
              <w:bottom w:w="0" w:type="dxa"/>
              <w:right w:w="108" w:type="dxa"/>
            </w:tcMar>
          </w:tcPr>
          <w:p w14:paraId="15C2A14C" w14:textId="77777777" w:rsidR="007E0025" w:rsidRPr="00BE78CA" w:rsidRDefault="007E0025" w:rsidP="00C646D1">
            <w:pPr>
              <w:pStyle w:val="TableText"/>
            </w:pPr>
            <w:r w:rsidRPr="00BE78CA">
              <w:rPr>
                <w:rFonts w:eastAsia="Calibri"/>
              </w:rPr>
              <w:t xml:space="preserve">Activity data in the </w:t>
            </w:r>
            <w:r w:rsidRPr="00BE78CA">
              <w:rPr>
                <w:rFonts w:eastAsia="Calibri"/>
                <w:i/>
                <w:iCs/>
              </w:rPr>
              <w:t>Lime production</w:t>
            </w:r>
            <w:r w:rsidRPr="00BE78CA">
              <w:rPr>
                <w:rFonts w:eastAsia="Calibri"/>
              </w:rPr>
              <w:t xml:space="preserve"> (2.A.2) category have been recalculated for 1990–2012, so that the whole time series is now calculated on a consistent basis. This has affected activity data only, and reported emissions are unchanged.</w:t>
            </w:r>
          </w:p>
        </w:tc>
        <w:tc>
          <w:tcPr>
            <w:tcW w:w="1276" w:type="dxa"/>
            <w:shd w:val="clear" w:color="auto" w:fill="FFFFFF"/>
            <w:tcMar>
              <w:top w:w="0" w:type="dxa"/>
              <w:left w:w="108" w:type="dxa"/>
              <w:bottom w:w="0" w:type="dxa"/>
              <w:right w:w="108" w:type="dxa"/>
            </w:tcMar>
          </w:tcPr>
          <w:p w14:paraId="66B2A611" w14:textId="77777777" w:rsidR="007E0025" w:rsidRPr="00BE78CA" w:rsidRDefault="007E0025" w:rsidP="00C646D1">
            <w:pPr>
              <w:pStyle w:val="TableText"/>
            </w:pPr>
            <w:r w:rsidRPr="00BE78CA">
              <w:rPr>
                <w:rFonts w:eastAsia="Calibri"/>
              </w:rPr>
              <w:t>Comparability, consistency </w:t>
            </w:r>
          </w:p>
        </w:tc>
        <w:tc>
          <w:tcPr>
            <w:tcW w:w="2693" w:type="dxa"/>
            <w:shd w:val="clear" w:color="auto" w:fill="FFFFFF"/>
            <w:tcMar>
              <w:top w:w="0" w:type="dxa"/>
              <w:left w:w="108" w:type="dxa"/>
              <w:bottom w:w="0" w:type="dxa"/>
              <w:right w:w="108" w:type="dxa"/>
            </w:tcMar>
          </w:tcPr>
          <w:p w14:paraId="6E99C2A0" w14:textId="77777777" w:rsidR="007E0025" w:rsidRPr="00BE78CA" w:rsidRDefault="007E0025" w:rsidP="00C646D1">
            <w:pPr>
              <w:pStyle w:val="TableText"/>
            </w:pPr>
            <w:r w:rsidRPr="00BE78CA">
              <w:rPr>
                <w:rFonts w:eastAsia="Calibri"/>
              </w:rPr>
              <w:t>Responds to an expert review team recommendation.</w:t>
            </w:r>
          </w:p>
        </w:tc>
      </w:tr>
      <w:tr w:rsidR="00D31ACB" w:rsidRPr="00BE78CA" w14:paraId="29C3D3AB" w14:textId="77777777" w:rsidTr="00761233">
        <w:trPr>
          <w:cantSplit/>
        </w:trPr>
        <w:tc>
          <w:tcPr>
            <w:tcW w:w="4536" w:type="dxa"/>
            <w:shd w:val="clear" w:color="auto" w:fill="FFFFFF"/>
            <w:tcMar>
              <w:top w:w="0" w:type="dxa"/>
              <w:left w:w="108" w:type="dxa"/>
              <w:bottom w:w="0" w:type="dxa"/>
              <w:right w:w="108" w:type="dxa"/>
            </w:tcMar>
          </w:tcPr>
          <w:p w14:paraId="090880C6" w14:textId="77777777" w:rsidR="007E0025" w:rsidRPr="00BE78CA" w:rsidRDefault="007E0025" w:rsidP="00C646D1">
            <w:pPr>
              <w:pStyle w:val="TableText"/>
            </w:pPr>
            <w:r w:rsidRPr="00BE78CA">
              <w:rPr>
                <w:rFonts w:eastAsia="Calibri"/>
              </w:rPr>
              <w:t xml:space="preserve">Emissions from </w:t>
            </w:r>
            <w:r w:rsidRPr="00BE78CA">
              <w:rPr>
                <w:rFonts w:eastAsia="Calibri"/>
                <w:i/>
                <w:iCs/>
              </w:rPr>
              <w:t>Lubricant use</w:t>
            </w:r>
            <w:r w:rsidRPr="00BE78CA">
              <w:rPr>
                <w:rFonts w:eastAsia="Calibri"/>
              </w:rPr>
              <w:t xml:space="preserve"> (2.D.1) for 2018 have been recalculated to reflect changes in reported import data.</w:t>
            </w:r>
          </w:p>
        </w:tc>
        <w:tc>
          <w:tcPr>
            <w:tcW w:w="1276" w:type="dxa"/>
            <w:shd w:val="clear" w:color="auto" w:fill="FFFFFF"/>
            <w:tcMar>
              <w:top w:w="0" w:type="dxa"/>
              <w:left w:w="108" w:type="dxa"/>
              <w:bottom w:w="0" w:type="dxa"/>
              <w:right w:w="108" w:type="dxa"/>
            </w:tcMar>
          </w:tcPr>
          <w:p w14:paraId="2640D717" w14:textId="77777777" w:rsidR="007E0025" w:rsidRPr="00BE78CA" w:rsidRDefault="007E0025" w:rsidP="00C646D1">
            <w:pPr>
              <w:pStyle w:val="TableText"/>
            </w:pPr>
            <w:r w:rsidRPr="00BE78CA">
              <w:rPr>
                <w:rFonts w:eastAsia="Calibri"/>
              </w:rPr>
              <w:t>Accuracy</w:t>
            </w:r>
          </w:p>
        </w:tc>
        <w:tc>
          <w:tcPr>
            <w:tcW w:w="2693" w:type="dxa"/>
            <w:shd w:val="clear" w:color="auto" w:fill="FFFFFF"/>
            <w:tcMar>
              <w:top w:w="0" w:type="dxa"/>
              <w:left w:w="108" w:type="dxa"/>
              <w:bottom w:w="0" w:type="dxa"/>
              <w:right w:w="108" w:type="dxa"/>
            </w:tcMar>
          </w:tcPr>
          <w:p w14:paraId="208858CF" w14:textId="77777777" w:rsidR="007E0025" w:rsidRPr="00BE78CA" w:rsidRDefault="007E0025" w:rsidP="00C646D1">
            <w:pPr>
              <w:pStyle w:val="TableText"/>
            </w:pPr>
            <w:r w:rsidRPr="00BE78CA">
              <w:rPr>
                <w:rFonts w:eastAsia="Calibri"/>
              </w:rPr>
              <w:t>Improved data available.</w:t>
            </w:r>
          </w:p>
        </w:tc>
      </w:tr>
      <w:tr w:rsidR="00D31ACB" w:rsidRPr="00BE78CA" w14:paraId="30B60855" w14:textId="77777777" w:rsidTr="00761233">
        <w:trPr>
          <w:cantSplit/>
        </w:trPr>
        <w:tc>
          <w:tcPr>
            <w:tcW w:w="4536" w:type="dxa"/>
            <w:shd w:val="clear" w:color="auto" w:fill="FFFFFF"/>
            <w:tcMar>
              <w:top w:w="0" w:type="dxa"/>
              <w:left w:w="108" w:type="dxa"/>
              <w:bottom w:w="0" w:type="dxa"/>
              <w:right w:w="108" w:type="dxa"/>
            </w:tcMar>
          </w:tcPr>
          <w:p w14:paraId="589C1220" w14:textId="77777777" w:rsidR="007E0025" w:rsidRPr="00BE78CA" w:rsidRDefault="007E0025" w:rsidP="00C646D1">
            <w:pPr>
              <w:pStyle w:val="TableText"/>
            </w:pPr>
            <w:r w:rsidRPr="00BE78CA">
              <w:rPr>
                <w:rFonts w:eastAsia="Calibri"/>
              </w:rPr>
              <w:t xml:space="preserve">Emissions from mobile air conditioning in the </w:t>
            </w:r>
            <w:r w:rsidRPr="00BE78CA">
              <w:rPr>
                <w:rFonts w:eastAsia="Calibri"/>
                <w:i/>
                <w:iCs/>
              </w:rPr>
              <w:t>Refrigeration and air conditioning</w:t>
            </w:r>
            <w:r w:rsidRPr="00BE78CA">
              <w:rPr>
                <w:rFonts w:eastAsia="Calibri"/>
              </w:rPr>
              <w:t xml:space="preserve"> (2.F.1) category for 1994–2018 have been recalculated because of a reassessment of servicing and refilling practices for vehicles in service. This has also resulted in a recalculation for industrial refrigeration, because it affects the overall mass balance for HFC-134a across both sub-applications.</w:t>
            </w:r>
          </w:p>
        </w:tc>
        <w:tc>
          <w:tcPr>
            <w:tcW w:w="1276" w:type="dxa"/>
            <w:shd w:val="clear" w:color="auto" w:fill="FFFFFF"/>
            <w:tcMar>
              <w:top w:w="0" w:type="dxa"/>
              <w:left w:w="108" w:type="dxa"/>
              <w:bottom w:w="0" w:type="dxa"/>
              <w:right w:w="108" w:type="dxa"/>
            </w:tcMar>
          </w:tcPr>
          <w:p w14:paraId="767028A4" w14:textId="77777777" w:rsidR="007E0025" w:rsidRPr="00BE78CA" w:rsidRDefault="007E0025" w:rsidP="00C646D1">
            <w:pPr>
              <w:pStyle w:val="TableText"/>
            </w:pPr>
            <w:r w:rsidRPr="00BE78CA">
              <w:rPr>
                <w:rFonts w:eastAsia="Calibri"/>
              </w:rPr>
              <w:t>Accuracy</w:t>
            </w:r>
          </w:p>
        </w:tc>
        <w:tc>
          <w:tcPr>
            <w:tcW w:w="2693" w:type="dxa"/>
            <w:shd w:val="clear" w:color="auto" w:fill="FFFFFF"/>
            <w:tcMar>
              <w:top w:w="0" w:type="dxa"/>
              <w:left w:w="108" w:type="dxa"/>
              <w:bottom w:w="0" w:type="dxa"/>
              <w:right w:w="108" w:type="dxa"/>
            </w:tcMar>
          </w:tcPr>
          <w:p w14:paraId="47D425AC" w14:textId="77777777" w:rsidR="007E0025" w:rsidRPr="00BE78CA" w:rsidRDefault="007E0025" w:rsidP="00C646D1">
            <w:pPr>
              <w:pStyle w:val="TableText"/>
            </w:pPr>
            <w:r w:rsidRPr="00BE78CA">
              <w:rPr>
                <w:rFonts w:eastAsia="Calibri"/>
              </w:rPr>
              <w:t>A small improvement has been made to the model used for calculation. In addition, changing composition of the vehicle fleet may be expected to affect the assessments made in modelling refrigerant use over time.</w:t>
            </w:r>
          </w:p>
        </w:tc>
      </w:tr>
      <w:tr w:rsidR="00D31ACB" w:rsidRPr="00BE78CA" w14:paraId="266BE42F" w14:textId="77777777" w:rsidTr="00761233">
        <w:trPr>
          <w:cantSplit/>
        </w:trPr>
        <w:tc>
          <w:tcPr>
            <w:tcW w:w="4536" w:type="dxa"/>
            <w:shd w:val="clear" w:color="auto" w:fill="FFFFFF"/>
            <w:tcMar>
              <w:top w:w="0" w:type="dxa"/>
              <w:left w:w="108" w:type="dxa"/>
              <w:bottom w:w="0" w:type="dxa"/>
              <w:right w:w="108" w:type="dxa"/>
            </w:tcMar>
          </w:tcPr>
          <w:p w14:paraId="526A7E58" w14:textId="77777777" w:rsidR="007E0025" w:rsidRPr="00BE78CA" w:rsidRDefault="007E0025" w:rsidP="00C646D1">
            <w:pPr>
              <w:pStyle w:val="TableText"/>
            </w:pPr>
            <w:r w:rsidRPr="00BE78CA">
              <w:rPr>
                <w:rFonts w:eastAsia="Calibri"/>
              </w:rPr>
              <w:t xml:space="preserve">A small error in survey responses, which led to double counting of some hydrofluorocarbon (HFCs) imported in 2016 and used for </w:t>
            </w:r>
            <w:r w:rsidRPr="00BE78CA">
              <w:rPr>
                <w:rFonts w:eastAsia="Calibri"/>
                <w:i/>
                <w:iCs/>
              </w:rPr>
              <w:t>Foam blowing agents</w:t>
            </w:r>
            <w:r w:rsidRPr="00BE78CA">
              <w:rPr>
                <w:rFonts w:eastAsia="Calibri"/>
              </w:rPr>
              <w:t xml:space="preserve"> (2.F.2), has been corrected.</w:t>
            </w:r>
          </w:p>
        </w:tc>
        <w:tc>
          <w:tcPr>
            <w:tcW w:w="1276" w:type="dxa"/>
            <w:shd w:val="clear" w:color="auto" w:fill="FFFFFF"/>
            <w:tcMar>
              <w:top w:w="0" w:type="dxa"/>
              <w:left w:w="108" w:type="dxa"/>
              <w:bottom w:w="0" w:type="dxa"/>
              <w:right w:w="108" w:type="dxa"/>
            </w:tcMar>
          </w:tcPr>
          <w:p w14:paraId="5A7DCB29" w14:textId="77777777" w:rsidR="007E0025" w:rsidRPr="00BE78CA" w:rsidRDefault="007E0025" w:rsidP="00C646D1">
            <w:pPr>
              <w:pStyle w:val="TableText"/>
            </w:pPr>
            <w:r w:rsidRPr="00BE78CA">
              <w:rPr>
                <w:rFonts w:eastAsia="Calibri"/>
              </w:rPr>
              <w:t>Accuracy</w:t>
            </w:r>
          </w:p>
        </w:tc>
        <w:tc>
          <w:tcPr>
            <w:tcW w:w="2693" w:type="dxa"/>
            <w:shd w:val="clear" w:color="auto" w:fill="FFFFFF"/>
            <w:tcMar>
              <w:top w:w="0" w:type="dxa"/>
              <w:left w:w="108" w:type="dxa"/>
              <w:bottom w:w="0" w:type="dxa"/>
              <w:right w:w="108" w:type="dxa"/>
            </w:tcMar>
          </w:tcPr>
          <w:p w14:paraId="26E7D1E4" w14:textId="77777777" w:rsidR="007E0025" w:rsidRPr="00BE78CA" w:rsidRDefault="007E0025" w:rsidP="00C646D1">
            <w:pPr>
              <w:pStyle w:val="TableText"/>
            </w:pPr>
            <w:r w:rsidRPr="00BE78CA">
              <w:rPr>
                <w:rFonts w:eastAsia="Calibri"/>
              </w:rPr>
              <w:t>Correction of an error.</w:t>
            </w:r>
          </w:p>
        </w:tc>
      </w:tr>
      <w:tr w:rsidR="00D31ACB" w:rsidRPr="00BE78CA" w14:paraId="5678F9E2" w14:textId="77777777" w:rsidTr="00761233">
        <w:trPr>
          <w:cantSplit/>
        </w:trPr>
        <w:tc>
          <w:tcPr>
            <w:tcW w:w="4536" w:type="dxa"/>
            <w:shd w:val="clear" w:color="auto" w:fill="FFFFFF"/>
            <w:tcMar>
              <w:top w:w="0" w:type="dxa"/>
              <w:left w:w="108" w:type="dxa"/>
              <w:bottom w:w="0" w:type="dxa"/>
              <w:right w:w="108" w:type="dxa"/>
            </w:tcMar>
          </w:tcPr>
          <w:p w14:paraId="141D9613" w14:textId="77777777" w:rsidR="007E0025" w:rsidRPr="00BE78CA" w:rsidRDefault="007E0025" w:rsidP="00C646D1">
            <w:pPr>
              <w:pStyle w:val="TableText"/>
            </w:pPr>
            <w:r w:rsidRPr="00BE78CA">
              <w:rPr>
                <w:rFonts w:eastAsia="Calibri"/>
              </w:rPr>
              <w:t>Emissions from non-medical aerosols (2.F.4.b) for 2017–18 have been recalculated because surveys indicate that the proportion of these aerosols containing HFCs has declined.</w:t>
            </w:r>
          </w:p>
        </w:tc>
        <w:tc>
          <w:tcPr>
            <w:tcW w:w="1276" w:type="dxa"/>
            <w:shd w:val="clear" w:color="auto" w:fill="FFFFFF"/>
            <w:tcMar>
              <w:top w:w="0" w:type="dxa"/>
              <w:left w:w="108" w:type="dxa"/>
              <w:bottom w:w="0" w:type="dxa"/>
              <w:right w:w="108" w:type="dxa"/>
            </w:tcMar>
          </w:tcPr>
          <w:p w14:paraId="4E1316D1" w14:textId="77777777" w:rsidR="007E0025" w:rsidRPr="00BE78CA" w:rsidRDefault="007E0025" w:rsidP="00C646D1">
            <w:pPr>
              <w:pStyle w:val="TableText"/>
            </w:pPr>
            <w:r w:rsidRPr="00BE78CA">
              <w:rPr>
                <w:rFonts w:eastAsia="Calibri"/>
              </w:rPr>
              <w:t>Accuracy</w:t>
            </w:r>
          </w:p>
        </w:tc>
        <w:tc>
          <w:tcPr>
            <w:tcW w:w="2693" w:type="dxa"/>
            <w:shd w:val="clear" w:color="auto" w:fill="FFFFFF"/>
            <w:tcMar>
              <w:top w:w="0" w:type="dxa"/>
              <w:left w:w="108" w:type="dxa"/>
              <w:bottom w:w="0" w:type="dxa"/>
              <w:right w:w="108" w:type="dxa"/>
            </w:tcMar>
          </w:tcPr>
          <w:p w14:paraId="4D5F2771" w14:textId="77777777" w:rsidR="007E0025" w:rsidRPr="00BE78CA" w:rsidRDefault="007E0025" w:rsidP="00C646D1">
            <w:pPr>
              <w:pStyle w:val="TableText"/>
            </w:pPr>
            <w:r w:rsidRPr="00BE78CA">
              <w:rPr>
                <w:rFonts w:eastAsia="Calibri"/>
              </w:rPr>
              <w:t>Data quality is limited but this change reflects improved information from surveys.</w:t>
            </w:r>
          </w:p>
        </w:tc>
      </w:tr>
    </w:tbl>
    <w:p w14:paraId="7A173927" w14:textId="77777777" w:rsidR="007E0025" w:rsidRPr="00BE78CA" w:rsidRDefault="007E0025" w:rsidP="007E0025">
      <w:pPr>
        <w:pStyle w:val="Figure"/>
      </w:pPr>
      <w:bookmarkStart w:id="3291" w:name="_Toc68786699"/>
      <w:r w:rsidRPr="00BE78CA">
        <w:lastRenderedPageBreak/>
        <w:t xml:space="preserve">Figure 10.1.3 </w:t>
      </w:r>
      <w:r w:rsidRPr="00BE78CA">
        <w:tab/>
        <w:t>Effect of recalculations on the IPPU sector from 1990 to 2018</w:t>
      </w:r>
      <w:bookmarkEnd w:id="3291"/>
    </w:p>
    <w:p w14:paraId="67F87624" w14:textId="77777777" w:rsidR="007E0025" w:rsidRPr="00BE78CA" w:rsidRDefault="007E0025" w:rsidP="00761233">
      <w:pPr>
        <w:pStyle w:val="BodyText"/>
        <w:spacing w:after="0"/>
      </w:pPr>
      <w:r w:rsidRPr="00BE78CA">
        <w:rPr>
          <w:noProof/>
        </w:rPr>
        <w:drawing>
          <wp:inline distT="0" distB="0" distL="0" distR="0" wp14:anchorId="00C5601D" wp14:editId="1A40FFF5">
            <wp:extent cx="5397091" cy="3890513"/>
            <wp:effectExtent l="0" t="0" r="0" b="0"/>
            <wp:docPr id="57" name="Picture"/>
            <wp:cNvGraphicFramePr/>
            <a:graphic xmlns:a="http://schemas.openxmlformats.org/drawingml/2006/main">
              <a:graphicData uri="http://schemas.openxmlformats.org/drawingml/2006/picture">
                <pic:pic xmlns:pic="http://schemas.openxmlformats.org/drawingml/2006/picture">
                  <pic:nvPicPr>
                    <pic:cNvPr id="0" name="Picture" descr="code/graphs/images/fig_10_1_3.png"/>
                    <pic:cNvPicPr>
                      <a:picLocks noChangeAspect="1" noChangeArrowheads="1"/>
                    </pic:cNvPicPr>
                  </pic:nvPicPr>
                  <pic:blipFill>
                    <a:blip r:embed="rId269"/>
                    <a:stretch>
                      <a:fillRect/>
                    </a:stretch>
                  </pic:blipFill>
                  <pic:spPr bwMode="auto">
                    <a:xfrm>
                      <a:off x="0" y="0"/>
                      <a:ext cx="5399952" cy="3892575"/>
                    </a:xfrm>
                    <a:prstGeom prst="rect">
                      <a:avLst/>
                    </a:prstGeom>
                    <a:noFill/>
                    <a:ln w="9525">
                      <a:noFill/>
                      <a:headEnd/>
                      <a:tailEnd/>
                    </a:ln>
                  </pic:spPr>
                </pic:pic>
              </a:graphicData>
            </a:graphic>
          </wp:inline>
        </w:drawing>
      </w:r>
    </w:p>
    <w:p w14:paraId="41D92F5A" w14:textId="77777777" w:rsidR="007E0025" w:rsidRPr="00BE78CA" w:rsidRDefault="007E0025" w:rsidP="00943696">
      <w:pPr>
        <w:pStyle w:val="Heading3"/>
        <w:spacing w:before="240"/>
      </w:pPr>
      <w:r w:rsidRPr="00BE78CA">
        <w:t xml:space="preserve">10.1.3 </w:t>
      </w:r>
      <w:r w:rsidRPr="00BE78CA">
        <w:tab/>
        <w:t>Agriculture</w:t>
      </w:r>
    </w:p>
    <w:p w14:paraId="43FA553B" w14:textId="77777777" w:rsidR="007E0025" w:rsidRPr="00BE78CA" w:rsidRDefault="007E0025" w:rsidP="00943696">
      <w:pPr>
        <w:pStyle w:val="BodyText"/>
        <w:spacing w:after="100"/>
      </w:pPr>
      <w:r w:rsidRPr="00BE78CA">
        <w:t>Improvements and recalculations made to the Agriculture sector in the 2021 inventory submission have resulted in a 5.2 percent (1,658.3 kt CO</w:t>
      </w:r>
      <w:r w:rsidRPr="00BE78CA">
        <w:rPr>
          <w:vertAlign w:val="subscript"/>
        </w:rPr>
        <w:t>2</w:t>
      </w:r>
      <w:r w:rsidRPr="00BE78CA">
        <w:t>-e) increase in estimated agricultural emissions in 1990 and a 4.7 percent (1,773.6 kt CO</w:t>
      </w:r>
      <w:r w:rsidRPr="00BE78CA">
        <w:rPr>
          <w:vertAlign w:val="subscript"/>
        </w:rPr>
        <w:t>2</w:t>
      </w:r>
      <w:r w:rsidRPr="00BE78CA">
        <w:t>-e) increase in agricultural emissions in 2018, as shown in figure 10.1.4.</w:t>
      </w:r>
    </w:p>
    <w:p w14:paraId="75A4817C" w14:textId="77777777" w:rsidR="007E0025" w:rsidRPr="00BE78CA" w:rsidRDefault="007E0025" w:rsidP="00943696">
      <w:pPr>
        <w:pStyle w:val="BodyText"/>
        <w:spacing w:after="100"/>
      </w:pPr>
      <w:r w:rsidRPr="00BE78CA">
        <w:t>The improvements implemented in the 2021 Agriculture inventory are:</w:t>
      </w:r>
    </w:p>
    <w:p w14:paraId="43087612" w14:textId="77777777" w:rsidR="007E0025" w:rsidRPr="00BE78CA" w:rsidRDefault="007E0025" w:rsidP="00943696">
      <w:pPr>
        <w:pStyle w:val="Bullet"/>
        <w:spacing w:after="100"/>
      </w:pPr>
      <w:r w:rsidRPr="00BE78CA">
        <w:t xml:space="preserve">the use of LULUCF data on managed organic soils in cropland and grassland, which are used to estimate emissions from the </w:t>
      </w:r>
      <w:r w:rsidRPr="00BE78CA">
        <w:rPr>
          <w:i/>
        </w:rPr>
        <w:t>Cultivation of organic soils</w:t>
      </w:r>
      <w:r w:rsidRPr="00BE78CA">
        <w:t xml:space="preserve"> (CRF 3.D.1.6)</w:t>
      </w:r>
    </w:p>
    <w:p w14:paraId="36A66C7A" w14:textId="0EA40605" w:rsidR="007E0025" w:rsidRPr="00BE78CA" w:rsidRDefault="007E0025" w:rsidP="00943696">
      <w:pPr>
        <w:pStyle w:val="Bullet"/>
        <w:spacing w:after="100"/>
      </w:pPr>
      <w:r w:rsidRPr="00BE78CA">
        <w:t xml:space="preserve">the adoption of updated pasture quality data for the </w:t>
      </w:r>
      <w:r w:rsidR="0029383C" w:rsidRPr="00BE78CA">
        <w:t>d</w:t>
      </w:r>
      <w:r w:rsidRPr="00BE78CA">
        <w:t>airy cattle, beef</w:t>
      </w:r>
      <w:r w:rsidRPr="00BE78CA">
        <w:rPr>
          <w:i/>
          <w:iCs/>
        </w:rPr>
        <w:t xml:space="preserve"> </w:t>
      </w:r>
      <w:r w:rsidRPr="00BE78CA">
        <w:t xml:space="preserve">cattle, </w:t>
      </w:r>
      <w:r w:rsidR="0029383C" w:rsidRPr="00BE78CA">
        <w:t>s</w:t>
      </w:r>
      <w:r w:rsidRPr="00BE78CA">
        <w:t xml:space="preserve">heep and </w:t>
      </w:r>
      <w:r w:rsidR="0029383C" w:rsidRPr="00BE78CA">
        <w:t>d</w:t>
      </w:r>
      <w:r w:rsidRPr="00BE78CA">
        <w:t xml:space="preserve">eer </w:t>
      </w:r>
      <w:r w:rsidR="0029383C" w:rsidRPr="00BE78CA">
        <w:t>livestock types</w:t>
      </w:r>
    </w:p>
    <w:p w14:paraId="299C594A" w14:textId="4587B380" w:rsidR="007E0025" w:rsidRPr="00BE78CA" w:rsidRDefault="007E0025" w:rsidP="00943696">
      <w:pPr>
        <w:pStyle w:val="Bullet"/>
        <w:spacing w:after="100"/>
      </w:pPr>
      <w:r w:rsidRPr="00BE78CA">
        <w:t xml:space="preserve">a correction has also been applied to sheep nitrogen excretion calculations, which are used to calculate nitrous oxide emissions from </w:t>
      </w:r>
      <w:r w:rsidRPr="00BE78CA">
        <w:rPr>
          <w:i/>
        </w:rPr>
        <w:t>Agricultural soils</w:t>
      </w:r>
    </w:p>
    <w:p w14:paraId="6E1A44F8" w14:textId="77777777" w:rsidR="007E0025" w:rsidRPr="00BE78CA" w:rsidRDefault="007E0025" w:rsidP="00943696">
      <w:pPr>
        <w:pStyle w:val="Bullet"/>
        <w:spacing w:after="100"/>
      </w:pPr>
      <w:r w:rsidRPr="00BE78CA">
        <w:t>emissions estimates from livestock have also been updated using the latest available activity data from the sources described in chapter 5, section 5.1.4.</w:t>
      </w:r>
    </w:p>
    <w:p w14:paraId="00D4DD2D" w14:textId="77777777" w:rsidR="007E0025" w:rsidRPr="00BE78CA" w:rsidRDefault="007E0025" w:rsidP="007E0025">
      <w:pPr>
        <w:pStyle w:val="Heading5"/>
      </w:pPr>
      <w:bookmarkStart w:id="3292" w:name="X14c4b9e50e41f705a2c49afe09bb0dd79228236"/>
      <w:r w:rsidRPr="00BE78CA">
        <w:t>Use of LULUCF data on managed organic soils</w:t>
      </w:r>
      <w:bookmarkEnd w:id="3292"/>
    </w:p>
    <w:p w14:paraId="0135BD3A" w14:textId="319101FD" w:rsidR="007E0025" w:rsidRPr="00BE78CA" w:rsidRDefault="007E0025" w:rsidP="007E0025">
      <w:pPr>
        <w:pStyle w:val="BodyText"/>
      </w:pPr>
      <w:r w:rsidRPr="00BE78CA">
        <w:t>For the 2021 inventory submission, a new set of figures for the area of managed organic soils</w:t>
      </w:r>
      <w:r w:rsidR="00943696" w:rsidRPr="00BE78CA">
        <w:t> </w:t>
      </w:r>
      <w:r w:rsidRPr="00BE78CA">
        <w:t>has been adopted. This new area is consistent with the area of organic soils on cropland and grassland reported in the LULUCF section of the inventory (see chapter 6). This area is relatively constant, but is updated by the Ministry for the Environment each year to account for land-use change and was around 174,000 hectares in 2019. The use of these figures ensures the Agriculture inventory is using up-to-date values that are aligned with data used in</w:t>
      </w:r>
      <w:r w:rsidR="00943696" w:rsidRPr="00BE78CA">
        <w:t> </w:t>
      </w:r>
      <w:r w:rsidRPr="00BE78CA">
        <w:t>the LULUCF section of the inventory (chapter 6).</w:t>
      </w:r>
    </w:p>
    <w:p w14:paraId="05A8FE31" w14:textId="3E202C0B" w:rsidR="007E0025" w:rsidRPr="00BE78CA" w:rsidRDefault="007E0025" w:rsidP="007E0025">
      <w:pPr>
        <w:pStyle w:val="BodyText"/>
      </w:pPr>
      <w:r w:rsidRPr="00BE78CA">
        <w:lastRenderedPageBreak/>
        <w:t>Previously, these emissions were calculated using data from research conducted in 2011 (Dresser et al., 2011). Based on this research, the inventory assumed that there were 160,385 hectares of managed organic soils with 5 per cent (8,019 hectares) of this area being</w:t>
      </w:r>
      <w:r w:rsidR="00943696" w:rsidRPr="00BE78CA">
        <w:t> </w:t>
      </w:r>
      <w:r w:rsidRPr="00BE78CA">
        <w:t>cultivated annually through pasture renewal. New Zealand’s managed organic soils emissions were subsequently based on this 8,019 hectare area, which was assumed to be constant through time.</w:t>
      </w:r>
    </w:p>
    <w:p w14:paraId="3F2C4B8B" w14:textId="77777777" w:rsidR="007E0025" w:rsidRPr="00BE78CA" w:rsidRDefault="007E0025" w:rsidP="007E0025">
      <w:pPr>
        <w:pStyle w:val="BodyText"/>
      </w:pPr>
      <w:r w:rsidRPr="00BE78CA">
        <w:t>In 2020, expert opinion was sought through a review on the appropriate area New Zealand should use to calculate nitrous oxide (N</w:t>
      </w:r>
      <w:r w:rsidRPr="00BE78CA">
        <w:rPr>
          <w:vertAlign w:val="subscript"/>
        </w:rPr>
        <w:t>2</w:t>
      </w:r>
      <w:r w:rsidRPr="00BE78CA">
        <w:t>O) emissions from managed organic soils. This review concluded that managed organic soils on cropland and grassland have been modified through drainage for agriculture, and this area would therefore be better classified as managed. The review also recommended that further research be undertaken.</w:t>
      </w:r>
    </w:p>
    <w:p w14:paraId="215AE55E" w14:textId="6F5D7131" w:rsidR="007E0025" w:rsidRPr="00BE78CA" w:rsidRDefault="007E0025" w:rsidP="007E0025">
      <w:pPr>
        <w:pStyle w:val="BodyText"/>
      </w:pPr>
      <w:r w:rsidRPr="00BE78CA">
        <w:t>This improvement was proposed and discussed at the 2020 Agriculture Inventory Advisory Panel meeting. During this meeting, the Panel agreed that the former definition used in the Agriculture inventory to determine the area for managed organic soils is inconsistent with the</w:t>
      </w:r>
      <w:r w:rsidR="00943696" w:rsidRPr="00BE78CA">
        <w:t> </w:t>
      </w:r>
      <w:r w:rsidRPr="00BE78CA">
        <w:t>Intergovernmental Panel on Climate Change (IPCC</w:t>
      </w:r>
      <w:r w:rsidRPr="00BE78CA">
        <w:rPr>
          <w:iCs/>
        </w:rPr>
        <w:t>)</w:t>
      </w:r>
      <w:r w:rsidRPr="00BE78CA">
        <w:rPr>
          <w:i/>
        </w:rPr>
        <w:t xml:space="preserve"> 2006 IPCC Guidelines for National Greenhouse Gas Inventories</w:t>
      </w:r>
      <w:r w:rsidRPr="00BE78CA">
        <w:rPr>
          <w:iCs/>
        </w:rPr>
        <w:t xml:space="preserve"> (IPCC, 2006)</w:t>
      </w:r>
      <w:r w:rsidRPr="00BE78CA">
        <w:t xml:space="preserve">. The Advisory Panel agreed that the area of organic soils under the </w:t>
      </w:r>
      <w:r w:rsidRPr="00BE78CA">
        <w:rPr>
          <w:i/>
          <w:iCs/>
        </w:rPr>
        <w:t>Grassland</w:t>
      </w:r>
      <w:r w:rsidRPr="00BE78CA">
        <w:t xml:space="preserve"> and </w:t>
      </w:r>
      <w:r w:rsidRPr="00BE78CA">
        <w:rPr>
          <w:i/>
          <w:iCs/>
        </w:rPr>
        <w:t>Cropland</w:t>
      </w:r>
      <w:r w:rsidRPr="00BE78CA">
        <w:t xml:space="preserve"> land use categories (174,000 hectares) can be defined as ‘managed’ under the 2006 IPCC Guidelines.</w:t>
      </w:r>
    </w:p>
    <w:p w14:paraId="371E07AA" w14:textId="77777777" w:rsidR="007E0025" w:rsidRPr="00BE78CA" w:rsidRDefault="007E0025" w:rsidP="007E0025">
      <w:pPr>
        <w:pStyle w:val="BodyText"/>
      </w:pPr>
      <w:r w:rsidRPr="00BE78CA">
        <w:t>The implementation of this change caused estimated emissions from the Agriculture sector to increase by 1.8 per cent in 1990 and 1.6 per cent in 2019 (see table 10.1.4).</w:t>
      </w:r>
    </w:p>
    <w:p w14:paraId="1618C74C" w14:textId="0DCC263C" w:rsidR="007E0025" w:rsidRPr="00BE78CA" w:rsidRDefault="007E0025" w:rsidP="00BC02CB">
      <w:pPr>
        <w:pStyle w:val="Table"/>
      </w:pPr>
      <w:bookmarkStart w:id="3293" w:name="_Toc68786579"/>
      <w:r w:rsidRPr="00BE78CA">
        <w:t xml:space="preserve">Table 10.1.4 </w:t>
      </w:r>
      <w:r w:rsidRPr="00BE78CA">
        <w:tab/>
        <w:t>Comparison of current and previous emissions estimates before and after change</w:t>
      </w:r>
      <w:r w:rsidR="00BC02CB" w:rsidRPr="00BE78CA">
        <w:br/>
      </w:r>
      <w:r w:rsidRPr="00BE78CA">
        <w:t>to the area of managed organic soils used in the inventory</w:t>
      </w:r>
      <w:bookmarkEnd w:id="3293"/>
    </w:p>
    <w:tbl>
      <w:tblPr>
        <w:tblW w:w="8494" w:type="dxa"/>
        <w:tblBorders>
          <w:top w:val="single" w:sz="4" w:space="0" w:color="365F91"/>
          <w:bottom w:val="single" w:sz="4" w:space="0" w:color="365F91"/>
          <w:insideH w:val="single" w:sz="4" w:space="0" w:color="365F91"/>
        </w:tblBorders>
        <w:tblLayout w:type="fixed"/>
        <w:tblCellMar>
          <w:left w:w="85" w:type="dxa"/>
          <w:right w:w="85" w:type="dxa"/>
        </w:tblCellMar>
        <w:tblLook w:val="0420" w:firstRow="1" w:lastRow="0" w:firstColumn="0" w:lastColumn="0" w:noHBand="0" w:noVBand="1"/>
      </w:tblPr>
      <w:tblGrid>
        <w:gridCol w:w="1639"/>
        <w:gridCol w:w="2127"/>
        <w:gridCol w:w="850"/>
        <w:gridCol w:w="851"/>
        <w:gridCol w:w="1559"/>
        <w:gridCol w:w="1468"/>
      </w:tblGrid>
      <w:tr w:rsidR="007E0025" w:rsidRPr="00BE78CA" w14:paraId="742093DE" w14:textId="77777777" w:rsidTr="004E3CDC">
        <w:trPr>
          <w:cantSplit/>
          <w:tblHeader/>
        </w:trPr>
        <w:tc>
          <w:tcPr>
            <w:tcW w:w="1639" w:type="dxa"/>
            <w:tcBorders>
              <w:bottom w:val="single" w:sz="4" w:space="0" w:color="365F91"/>
            </w:tcBorders>
            <w:shd w:val="clear" w:color="auto" w:fill="365F91"/>
            <w:tcMar>
              <w:top w:w="0" w:type="dxa"/>
              <w:left w:w="85" w:type="dxa"/>
              <w:bottom w:w="0" w:type="dxa"/>
              <w:right w:w="85" w:type="dxa"/>
            </w:tcMar>
            <w:vAlign w:val="bottom"/>
          </w:tcPr>
          <w:p w14:paraId="4FA26D79" w14:textId="77777777" w:rsidR="007E0025" w:rsidRPr="00BE78CA" w:rsidRDefault="007E0025" w:rsidP="00C26084">
            <w:pPr>
              <w:pStyle w:val="TableTextBold"/>
              <w:rPr>
                <w:noProof w:val="0"/>
                <w:color w:val="FFFFFF" w:themeColor="background1"/>
              </w:rPr>
            </w:pPr>
          </w:p>
        </w:tc>
        <w:tc>
          <w:tcPr>
            <w:tcW w:w="2127" w:type="dxa"/>
            <w:shd w:val="clear" w:color="auto" w:fill="365F91"/>
            <w:tcMar>
              <w:top w:w="0" w:type="dxa"/>
              <w:left w:w="85" w:type="dxa"/>
              <w:bottom w:w="0" w:type="dxa"/>
              <w:right w:w="85" w:type="dxa"/>
            </w:tcMar>
            <w:vAlign w:val="bottom"/>
          </w:tcPr>
          <w:p w14:paraId="254EA402" w14:textId="77777777" w:rsidR="007E0025" w:rsidRPr="00BE78CA" w:rsidRDefault="007E0025" w:rsidP="00C26084">
            <w:pPr>
              <w:pStyle w:val="TableTextBold"/>
              <w:rPr>
                <w:noProof w:val="0"/>
                <w:color w:val="FFFFFF" w:themeColor="background1"/>
              </w:rPr>
            </w:pPr>
          </w:p>
        </w:tc>
        <w:tc>
          <w:tcPr>
            <w:tcW w:w="850" w:type="dxa"/>
            <w:shd w:val="clear" w:color="auto" w:fill="365F91"/>
            <w:tcMar>
              <w:top w:w="0" w:type="dxa"/>
              <w:left w:w="85" w:type="dxa"/>
              <w:bottom w:w="0" w:type="dxa"/>
              <w:right w:w="85" w:type="dxa"/>
            </w:tcMar>
            <w:vAlign w:val="bottom"/>
          </w:tcPr>
          <w:p w14:paraId="54F6AD87" w14:textId="77777777" w:rsidR="007E0025" w:rsidRPr="00BE78CA" w:rsidRDefault="007E0025" w:rsidP="00C26084">
            <w:pPr>
              <w:pStyle w:val="TableTextBold"/>
              <w:jc w:val="center"/>
              <w:rPr>
                <w:noProof w:val="0"/>
                <w:color w:val="FFFFFF" w:themeColor="background1"/>
              </w:rPr>
            </w:pPr>
            <w:r w:rsidRPr="00BE78CA">
              <w:rPr>
                <w:rFonts w:eastAsia="Calibri" w:cs="Calibri"/>
                <w:noProof w:val="0"/>
                <w:color w:val="FFFFFF" w:themeColor="background1"/>
                <w:szCs w:val="16"/>
              </w:rPr>
              <w:t>1990</w:t>
            </w:r>
          </w:p>
        </w:tc>
        <w:tc>
          <w:tcPr>
            <w:tcW w:w="851" w:type="dxa"/>
            <w:shd w:val="clear" w:color="auto" w:fill="365F91"/>
            <w:tcMar>
              <w:top w:w="0" w:type="dxa"/>
              <w:left w:w="85" w:type="dxa"/>
              <w:bottom w:w="0" w:type="dxa"/>
              <w:right w:w="85" w:type="dxa"/>
            </w:tcMar>
            <w:vAlign w:val="bottom"/>
          </w:tcPr>
          <w:p w14:paraId="166BF4DA" w14:textId="77777777" w:rsidR="007E0025" w:rsidRPr="00BE78CA" w:rsidRDefault="007E0025" w:rsidP="00C26084">
            <w:pPr>
              <w:pStyle w:val="TableTextBold"/>
              <w:jc w:val="center"/>
              <w:rPr>
                <w:noProof w:val="0"/>
                <w:color w:val="FFFFFF" w:themeColor="background1"/>
              </w:rPr>
            </w:pPr>
            <w:r w:rsidRPr="00BE78CA">
              <w:rPr>
                <w:rFonts w:eastAsia="Calibri" w:cs="Calibri"/>
                <w:noProof w:val="0"/>
                <w:color w:val="FFFFFF" w:themeColor="background1"/>
                <w:szCs w:val="16"/>
              </w:rPr>
              <w:t>2019</w:t>
            </w:r>
          </w:p>
        </w:tc>
        <w:tc>
          <w:tcPr>
            <w:tcW w:w="1559" w:type="dxa"/>
            <w:shd w:val="clear" w:color="auto" w:fill="365F91"/>
            <w:tcMar>
              <w:top w:w="0" w:type="dxa"/>
              <w:left w:w="85" w:type="dxa"/>
              <w:bottom w:w="0" w:type="dxa"/>
              <w:right w:w="85" w:type="dxa"/>
            </w:tcMar>
            <w:vAlign w:val="bottom"/>
          </w:tcPr>
          <w:p w14:paraId="469D1CBF" w14:textId="77777777" w:rsidR="007E0025" w:rsidRPr="00BE78CA" w:rsidRDefault="007E0025" w:rsidP="00C26084">
            <w:pPr>
              <w:pStyle w:val="TableTextBold"/>
              <w:jc w:val="center"/>
              <w:rPr>
                <w:noProof w:val="0"/>
                <w:color w:val="FFFFFF" w:themeColor="background1"/>
              </w:rPr>
            </w:pPr>
            <w:r w:rsidRPr="00BE78CA">
              <w:rPr>
                <w:rFonts w:eastAsia="Calibri" w:cs="Calibri"/>
                <w:noProof w:val="0"/>
                <w:color w:val="FFFFFF" w:themeColor="background1"/>
                <w:szCs w:val="16"/>
              </w:rPr>
              <w:t>Change in emission outputs between 1990 and 2019</w:t>
            </w:r>
            <w:r w:rsidRPr="00BE78CA">
              <w:rPr>
                <w:rFonts w:eastAsia="Calibri" w:cs="Calibri"/>
                <w:noProof w:val="0"/>
                <w:color w:val="FFFFFF" w:themeColor="background1"/>
                <w:szCs w:val="16"/>
              </w:rPr>
              <w:br/>
              <w:t>(kt CO</w:t>
            </w:r>
            <w:r w:rsidRPr="00BE78CA">
              <w:rPr>
                <w:rFonts w:eastAsia="Calibri" w:cs="Calibri"/>
                <w:noProof w:val="0"/>
                <w:color w:val="FFFFFF" w:themeColor="background1"/>
                <w:szCs w:val="16"/>
                <w:vertAlign w:val="subscript"/>
              </w:rPr>
              <w:t>2</w:t>
            </w:r>
            <w:r w:rsidRPr="00BE78CA">
              <w:rPr>
                <w:rFonts w:eastAsia="Calibri" w:cs="Calibri"/>
                <w:noProof w:val="0"/>
                <w:color w:val="FFFFFF" w:themeColor="background1"/>
                <w:szCs w:val="16"/>
              </w:rPr>
              <w:t>-e)</w:t>
            </w:r>
          </w:p>
        </w:tc>
        <w:tc>
          <w:tcPr>
            <w:tcW w:w="1468" w:type="dxa"/>
            <w:shd w:val="clear" w:color="auto" w:fill="365F91"/>
            <w:tcMar>
              <w:top w:w="0" w:type="dxa"/>
              <w:left w:w="85" w:type="dxa"/>
              <w:bottom w:w="0" w:type="dxa"/>
              <w:right w:w="85" w:type="dxa"/>
            </w:tcMar>
            <w:vAlign w:val="bottom"/>
          </w:tcPr>
          <w:p w14:paraId="1464A527" w14:textId="77777777" w:rsidR="007E0025" w:rsidRPr="00BE78CA" w:rsidRDefault="007E0025" w:rsidP="00C26084">
            <w:pPr>
              <w:pStyle w:val="TableTextBold"/>
              <w:jc w:val="center"/>
              <w:rPr>
                <w:noProof w:val="0"/>
                <w:color w:val="FFFFFF" w:themeColor="background1"/>
              </w:rPr>
            </w:pPr>
            <w:r w:rsidRPr="00BE78CA">
              <w:rPr>
                <w:rFonts w:eastAsia="Calibri" w:cs="Calibri"/>
                <w:noProof w:val="0"/>
                <w:color w:val="FFFFFF" w:themeColor="background1"/>
                <w:szCs w:val="16"/>
              </w:rPr>
              <w:t>Percentage change in emission outputs between 1990 and 2019 (%)</w:t>
            </w:r>
          </w:p>
        </w:tc>
      </w:tr>
      <w:tr w:rsidR="000A2E1D" w:rsidRPr="00BE78CA" w14:paraId="79D321FE" w14:textId="77777777" w:rsidTr="00BC02CB">
        <w:trPr>
          <w:cantSplit/>
        </w:trPr>
        <w:tc>
          <w:tcPr>
            <w:tcW w:w="1639" w:type="dxa"/>
            <w:vMerge w:val="restart"/>
            <w:shd w:val="clear" w:color="auto" w:fill="FFFFFF"/>
            <w:tcMar>
              <w:top w:w="0" w:type="dxa"/>
              <w:left w:w="85" w:type="dxa"/>
              <w:bottom w:w="0" w:type="dxa"/>
              <w:right w:w="85" w:type="dxa"/>
            </w:tcMar>
            <w:vAlign w:val="center"/>
          </w:tcPr>
          <w:p w14:paraId="20D5AF86" w14:textId="77777777" w:rsidR="000A2E1D" w:rsidRPr="00BE78CA" w:rsidRDefault="000A2E1D" w:rsidP="00C26084">
            <w:pPr>
              <w:pStyle w:val="TableText"/>
            </w:pPr>
            <w:r w:rsidRPr="00BE78CA">
              <w:rPr>
                <w:rFonts w:eastAsia="Calibri"/>
              </w:rPr>
              <w:t>Total emissions from Agriculture category (kt CO</w:t>
            </w:r>
            <w:r w:rsidRPr="00BE78CA">
              <w:rPr>
                <w:rFonts w:eastAsia="Calibri"/>
                <w:vertAlign w:val="subscript"/>
              </w:rPr>
              <w:t>2</w:t>
            </w:r>
            <w:r w:rsidRPr="00BE78CA">
              <w:rPr>
                <w:rFonts w:eastAsia="Calibri"/>
              </w:rPr>
              <w:t>-e)</w:t>
            </w:r>
          </w:p>
        </w:tc>
        <w:tc>
          <w:tcPr>
            <w:tcW w:w="2127" w:type="dxa"/>
            <w:shd w:val="clear" w:color="auto" w:fill="FFFFFF"/>
            <w:tcMar>
              <w:top w:w="0" w:type="dxa"/>
              <w:left w:w="85" w:type="dxa"/>
              <w:bottom w:w="0" w:type="dxa"/>
              <w:right w:w="85" w:type="dxa"/>
            </w:tcMar>
            <w:vAlign w:val="center"/>
          </w:tcPr>
          <w:p w14:paraId="40BB7588" w14:textId="77777777" w:rsidR="000A2E1D" w:rsidRPr="00BE78CA" w:rsidRDefault="000A2E1D" w:rsidP="00C26084">
            <w:pPr>
              <w:pStyle w:val="TableText"/>
            </w:pPr>
            <w:r w:rsidRPr="00BE78CA">
              <w:rPr>
                <w:rFonts w:eastAsia="Calibri"/>
              </w:rPr>
              <w:t>2021 (1990–2019) emissions estimate using previous organic soils methodology</w:t>
            </w:r>
          </w:p>
        </w:tc>
        <w:tc>
          <w:tcPr>
            <w:tcW w:w="850" w:type="dxa"/>
            <w:shd w:val="clear" w:color="auto" w:fill="FFFFFF"/>
            <w:tcMar>
              <w:top w:w="0" w:type="dxa"/>
              <w:left w:w="85" w:type="dxa"/>
              <w:bottom w:w="0" w:type="dxa"/>
              <w:right w:w="85" w:type="dxa"/>
            </w:tcMar>
          </w:tcPr>
          <w:p w14:paraId="7298B1AD" w14:textId="77777777" w:rsidR="000A2E1D" w:rsidRPr="00BE78CA" w:rsidRDefault="000A2E1D" w:rsidP="00C26084">
            <w:pPr>
              <w:pStyle w:val="TableText"/>
              <w:jc w:val="center"/>
            </w:pPr>
            <w:r w:rsidRPr="00BE78CA">
              <w:rPr>
                <w:rFonts w:eastAsia="Calibri"/>
              </w:rPr>
              <w:t>33,226.5</w:t>
            </w:r>
          </w:p>
        </w:tc>
        <w:tc>
          <w:tcPr>
            <w:tcW w:w="851" w:type="dxa"/>
            <w:shd w:val="clear" w:color="auto" w:fill="FFFFFF"/>
            <w:tcMar>
              <w:top w:w="0" w:type="dxa"/>
              <w:left w:w="85" w:type="dxa"/>
              <w:bottom w:w="0" w:type="dxa"/>
              <w:right w:w="85" w:type="dxa"/>
            </w:tcMar>
          </w:tcPr>
          <w:p w14:paraId="66E540CB" w14:textId="77777777" w:rsidR="000A2E1D" w:rsidRPr="00BE78CA" w:rsidRDefault="000A2E1D" w:rsidP="00C26084">
            <w:pPr>
              <w:pStyle w:val="TableText"/>
              <w:jc w:val="center"/>
            </w:pPr>
            <w:r w:rsidRPr="00BE78CA">
              <w:rPr>
                <w:rFonts w:eastAsia="Calibri"/>
              </w:rPr>
              <w:t>38,994.8</w:t>
            </w:r>
          </w:p>
        </w:tc>
        <w:tc>
          <w:tcPr>
            <w:tcW w:w="1559" w:type="dxa"/>
            <w:shd w:val="clear" w:color="auto" w:fill="FFFFFF"/>
            <w:tcMar>
              <w:top w:w="0" w:type="dxa"/>
              <w:left w:w="85" w:type="dxa"/>
              <w:bottom w:w="0" w:type="dxa"/>
              <w:right w:w="85" w:type="dxa"/>
            </w:tcMar>
          </w:tcPr>
          <w:p w14:paraId="03F38AD6" w14:textId="77777777" w:rsidR="000A2E1D" w:rsidRPr="00BE78CA" w:rsidRDefault="000A2E1D" w:rsidP="00C26084">
            <w:pPr>
              <w:pStyle w:val="TableText"/>
              <w:jc w:val="center"/>
            </w:pPr>
            <w:r w:rsidRPr="00BE78CA">
              <w:rPr>
                <w:rFonts w:eastAsia="Calibri"/>
              </w:rPr>
              <w:t>5,768.3</w:t>
            </w:r>
          </w:p>
        </w:tc>
        <w:tc>
          <w:tcPr>
            <w:tcW w:w="1468" w:type="dxa"/>
            <w:shd w:val="clear" w:color="auto" w:fill="FFFFFF"/>
            <w:tcMar>
              <w:top w:w="0" w:type="dxa"/>
              <w:left w:w="85" w:type="dxa"/>
              <w:bottom w:w="0" w:type="dxa"/>
              <w:right w:w="85" w:type="dxa"/>
            </w:tcMar>
          </w:tcPr>
          <w:p w14:paraId="3121D41D" w14:textId="77777777" w:rsidR="000A2E1D" w:rsidRPr="00BE78CA" w:rsidRDefault="000A2E1D" w:rsidP="00C26084">
            <w:pPr>
              <w:pStyle w:val="TableText"/>
              <w:jc w:val="center"/>
            </w:pPr>
            <w:r w:rsidRPr="00BE78CA">
              <w:rPr>
                <w:rFonts w:eastAsia="Calibri"/>
              </w:rPr>
              <w:t>17.4</w:t>
            </w:r>
          </w:p>
        </w:tc>
      </w:tr>
      <w:tr w:rsidR="000A2E1D" w:rsidRPr="00BE78CA" w14:paraId="66300E02" w14:textId="77777777" w:rsidTr="00C26084">
        <w:trPr>
          <w:cantSplit/>
        </w:trPr>
        <w:tc>
          <w:tcPr>
            <w:tcW w:w="1639" w:type="dxa"/>
            <w:vMerge/>
            <w:shd w:val="clear" w:color="auto" w:fill="FFFFFF"/>
            <w:tcMar>
              <w:top w:w="0" w:type="dxa"/>
              <w:left w:w="85" w:type="dxa"/>
              <w:bottom w:w="0" w:type="dxa"/>
              <w:right w:w="85" w:type="dxa"/>
            </w:tcMar>
            <w:vAlign w:val="center"/>
          </w:tcPr>
          <w:p w14:paraId="33CBF5B9" w14:textId="77777777" w:rsidR="000A2E1D" w:rsidRPr="00BE78CA" w:rsidRDefault="000A2E1D" w:rsidP="00C26084">
            <w:pPr>
              <w:pStyle w:val="TableText"/>
            </w:pPr>
          </w:p>
        </w:tc>
        <w:tc>
          <w:tcPr>
            <w:tcW w:w="2127" w:type="dxa"/>
            <w:shd w:val="clear" w:color="auto" w:fill="FFFFFF"/>
            <w:tcMar>
              <w:top w:w="0" w:type="dxa"/>
              <w:left w:w="85" w:type="dxa"/>
              <w:bottom w:w="0" w:type="dxa"/>
              <w:right w:w="85" w:type="dxa"/>
            </w:tcMar>
            <w:vAlign w:val="center"/>
          </w:tcPr>
          <w:p w14:paraId="329E9C24" w14:textId="77777777" w:rsidR="000A2E1D" w:rsidRPr="00BE78CA" w:rsidRDefault="000A2E1D" w:rsidP="00C26084">
            <w:pPr>
              <w:pStyle w:val="TableText"/>
            </w:pPr>
            <w:r w:rsidRPr="00BE78CA">
              <w:rPr>
                <w:rFonts w:eastAsia="Calibri" w:cs="Calibri"/>
                <w:color w:val="111111"/>
                <w:szCs w:val="16"/>
              </w:rPr>
              <w:t>2021 (1990–2019) emissions estimate using new organic soils methodology</w:t>
            </w:r>
          </w:p>
        </w:tc>
        <w:tc>
          <w:tcPr>
            <w:tcW w:w="850" w:type="dxa"/>
            <w:shd w:val="clear" w:color="auto" w:fill="FFFFFF"/>
            <w:tcMar>
              <w:top w:w="0" w:type="dxa"/>
              <w:left w:w="85" w:type="dxa"/>
              <w:bottom w:w="0" w:type="dxa"/>
              <w:right w:w="85" w:type="dxa"/>
            </w:tcMar>
          </w:tcPr>
          <w:p w14:paraId="09D8D411" w14:textId="77777777" w:rsidR="000A2E1D" w:rsidRPr="00BE78CA" w:rsidRDefault="000A2E1D" w:rsidP="00C26084">
            <w:pPr>
              <w:pStyle w:val="TableText"/>
              <w:jc w:val="center"/>
            </w:pPr>
            <w:r w:rsidRPr="00BE78CA">
              <w:rPr>
                <w:rFonts w:eastAsia="Calibri" w:cs="Calibri"/>
                <w:color w:val="111111"/>
                <w:szCs w:val="16"/>
              </w:rPr>
              <w:t>33,840.3</w:t>
            </w:r>
          </w:p>
        </w:tc>
        <w:tc>
          <w:tcPr>
            <w:tcW w:w="851" w:type="dxa"/>
            <w:shd w:val="clear" w:color="auto" w:fill="FFFFFF"/>
            <w:tcMar>
              <w:top w:w="0" w:type="dxa"/>
              <w:left w:w="85" w:type="dxa"/>
              <w:bottom w:w="0" w:type="dxa"/>
              <w:right w:w="85" w:type="dxa"/>
            </w:tcMar>
          </w:tcPr>
          <w:p w14:paraId="5E4C527C" w14:textId="77777777" w:rsidR="000A2E1D" w:rsidRPr="00BE78CA" w:rsidRDefault="000A2E1D" w:rsidP="00C26084">
            <w:pPr>
              <w:pStyle w:val="TableText"/>
              <w:jc w:val="center"/>
            </w:pPr>
            <w:r w:rsidRPr="00BE78CA">
              <w:rPr>
                <w:rFonts w:eastAsia="Calibri" w:cs="Calibri"/>
                <w:color w:val="111111"/>
                <w:szCs w:val="16"/>
              </w:rPr>
              <w:t>39,617.7</w:t>
            </w:r>
          </w:p>
        </w:tc>
        <w:tc>
          <w:tcPr>
            <w:tcW w:w="1559" w:type="dxa"/>
            <w:shd w:val="clear" w:color="auto" w:fill="FFFFFF"/>
            <w:tcMar>
              <w:top w:w="0" w:type="dxa"/>
              <w:left w:w="85" w:type="dxa"/>
              <w:bottom w:w="0" w:type="dxa"/>
              <w:right w:w="85" w:type="dxa"/>
            </w:tcMar>
          </w:tcPr>
          <w:p w14:paraId="310555BC" w14:textId="77777777" w:rsidR="000A2E1D" w:rsidRPr="00BE78CA" w:rsidRDefault="000A2E1D" w:rsidP="00C26084">
            <w:pPr>
              <w:pStyle w:val="TableText"/>
              <w:jc w:val="center"/>
            </w:pPr>
            <w:r w:rsidRPr="00BE78CA">
              <w:rPr>
                <w:rFonts w:eastAsia="Calibri" w:cs="Calibri"/>
                <w:color w:val="111111"/>
                <w:szCs w:val="16"/>
              </w:rPr>
              <w:t>5,777.4</w:t>
            </w:r>
          </w:p>
        </w:tc>
        <w:tc>
          <w:tcPr>
            <w:tcW w:w="1468" w:type="dxa"/>
            <w:shd w:val="clear" w:color="auto" w:fill="FFFFFF"/>
            <w:tcMar>
              <w:top w:w="0" w:type="dxa"/>
              <w:left w:w="85" w:type="dxa"/>
              <w:bottom w:w="0" w:type="dxa"/>
              <w:right w:w="85" w:type="dxa"/>
            </w:tcMar>
          </w:tcPr>
          <w:p w14:paraId="34B6DC59" w14:textId="77777777" w:rsidR="000A2E1D" w:rsidRPr="00BE78CA" w:rsidRDefault="000A2E1D" w:rsidP="00C26084">
            <w:pPr>
              <w:pStyle w:val="TableText"/>
              <w:jc w:val="center"/>
            </w:pPr>
            <w:r w:rsidRPr="00BE78CA">
              <w:rPr>
                <w:rFonts w:eastAsia="Calibri" w:cs="Calibri"/>
                <w:color w:val="111111"/>
                <w:szCs w:val="16"/>
              </w:rPr>
              <w:t>17.1</w:t>
            </w:r>
          </w:p>
        </w:tc>
      </w:tr>
      <w:tr w:rsidR="000A2E1D" w:rsidRPr="00BE78CA" w14:paraId="4C01668C" w14:textId="77777777" w:rsidTr="00C26084">
        <w:trPr>
          <w:cantSplit/>
        </w:trPr>
        <w:tc>
          <w:tcPr>
            <w:tcW w:w="1639" w:type="dxa"/>
            <w:vMerge/>
            <w:tcBorders>
              <w:bottom w:val="nil"/>
            </w:tcBorders>
            <w:shd w:val="clear" w:color="auto" w:fill="FFFFFF"/>
            <w:tcMar>
              <w:top w:w="0" w:type="dxa"/>
              <w:left w:w="85" w:type="dxa"/>
              <w:bottom w:w="0" w:type="dxa"/>
              <w:right w:w="85" w:type="dxa"/>
            </w:tcMar>
            <w:vAlign w:val="center"/>
          </w:tcPr>
          <w:p w14:paraId="5C964E19" w14:textId="77777777" w:rsidR="000A2E1D" w:rsidRPr="00BE78CA" w:rsidRDefault="000A2E1D" w:rsidP="00C26084">
            <w:pPr>
              <w:pStyle w:val="TableText"/>
            </w:pPr>
          </w:p>
        </w:tc>
        <w:tc>
          <w:tcPr>
            <w:tcW w:w="2127" w:type="dxa"/>
            <w:shd w:val="clear" w:color="auto" w:fill="FFFFFF"/>
            <w:tcMar>
              <w:top w:w="0" w:type="dxa"/>
              <w:left w:w="85" w:type="dxa"/>
              <w:bottom w:w="0" w:type="dxa"/>
              <w:right w:w="85" w:type="dxa"/>
            </w:tcMar>
            <w:vAlign w:val="center"/>
          </w:tcPr>
          <w:p w14:paraId="0D3EFA17" w14:textId="77777777" w:rsidR="000A2E1D" w:rsidRPr="00BE78CA" w:rsidRDefault="000A2E1D" w:rsidP="00C26084">
            <w:pPr>
              <w:pStyle w:val="TableText"/>
            </w:pPr>
            <w:r w:rsidRPr="00BE78CA">
              <w:rPr>
                <w:rFonts w:eastAsia="Calibri" w:cs="Calibri"/>
                <w:color w:val="111111"/>
                <w:szCs w:val="16"/>
              </w:rPr>
              <w:t>Difference in emission estimates compared with current inventory</w:t>
            </w:r>
          </w:p>
        </w:tc>
        <w:tc>
          <w:tcPr>
            <w:tcW w:w="850" w:type="dxa"/>
            <w:shd w:val="clear" w:color="auto" w:fill="FFFFFF"/>
            <w:tcMar>
              <w:top w:w="0" w:type="dxa"/>
              <w:left w:w="85" w:type="dxa"/>
              <w:bottom w:w="0" w:type="dxa"/>
              <w:right w:w="85" w:type="dxa"/>
            </w:tcMar>
          </w:tcPr>
          <w:p w14:paraId="440CF223" w14:textId="77777777" w:rsidR="000A2E1D" w:rsidRPr="00BE78CA" w:rsidRDefault="000A2E1D" w:rsidP="00C26084">
            <w:pPr>
              <w:pStyle w:val="TableText"/>
              <w:jc w:val="center"/>
            </w:pPr>
            <w:r w:rsidRPr="00BE78CA">
              <w:rPr>
                <w:rFonts w:eastAsia="Calibri" w:cs="Calibri"/>
                <w:color w:val="111111"/>
                <w:szCs w:val="16"/>
              </w:rPr>
              <w:t>613.8</w:t>
            </w:r>
          </w:p>
        </w:tc>
        <w:tc>
          <w:tcPr>
            <w:tcW w:w="851" w:type="dxa"/>
            <w:shd w:val="clear" w:color="auto" w:fill="FFFFFF"/>
            <w:tcMar>
              <w:top w:w="0" w:type="dxa"/>
              <w:left w:w="85" w:type="dxa"/>
              <w:bottom w:w="0" w:type="dxa"/>
              <w:right w:w="85" w:type="dxa"/>
            </w:tcMar>
          </w:tcPr>
          <w:p w14:paraId="3FB201E1" w14:textId="77777777" w:rsidR="000A2E1D" w:rsidRPr="00BE78CA" w:rsidRDefault="000A2E1D" w:rsidP="00C26084">
            <w:pPr>
              <w:pStyle w:val="TableText"/>
              <w:jc w:val="center"/>
            </w:pPr>
            <w:r w:rsidRPr="00BE78CA">
              <w:rPr>
                <w:rFonts w:eastAsia="Calibri" w:cs="Calibri"/>
                <w:color w:val="111111"/>
                <w:szCs w:val="16"/>
              </w:rPr>
              <w:t>622.9</w:t>
            </w:r>
          </w:p>
        </w:tc>
        <w:tc>
          <w:tcPr>
            <w:tcW w:w="1559" w:type="dxa"/>
            <w:shd w:val="clear" w:color="auto" w:fill="FFFFFF"/>
            <w:tcMar>
              <w:top w:w="0" w:type="dxa"/>
              <w:left w:w="85" w:type="dxa"/>
              <w:bottom w:w="0" w:type="dxa"/>
              <w:right w:w="85" w:type="dxa"/>
            </w:tcMar>
          </w:tcPr>
          <w:p w14:paraId="2AFEF46C" w14:textId="77777777" w:rsidR="000A2E1D" w:rsidRPr="00BE78CA" w:rsidRDefault="000A2E1D" w:rsidP="00C26084">
            <w:pPr>
              <w:pStyle w:val="TableText"/>
              <w:jc w:val="center"/>
            </w:pPr>
            <w:r w:rsidRPr="00BE78CA">
              <w:rPr>
                <w:rFonts w:eastAsia="Calibri" w:cs="Calibri"/>
                <w:color w:val="111111"/>
                <w:szCs w:val="16"/>
              </w:rPr>
              <w:t>9.2</w:t>
            </w:r>
          </w:p>
        </w:tc>
        <w:tc>
          <w:tcPr>
            <w:tcW w:w="1468" w:type="dxa"/>
            <w:shd w:val="clear" w:color="auto" w:fill="FFFFFF"/>
            <w:tcMar>
              <w:top w:w="0" w:type="dxa"/>
              <w:left w:w="85" w:type="dxa"/>
              <w:bottom w:w="0" w:type="dxa"/>
              <w:right w:w="85" w:type="dxa"/>
            </w:tcMar>
          </w:tcPr>
          <w:p w14:paraId="11F3AB5A" w14:textId="77777777" w:rsidR="000A2E1D" w:rsidRPr="00BE78CA" w:rsidRDefault="000A2E1D" w:rsidP="00C26084">
            <w:pPr>
              <w:pStyle w:val="TableText"/>
              <w:jc w:val="center"/>
            </w:pPr>
            <w:r w:rsidRPr="00BE78CA">
              <w:t>NA</w:t>
            </w:r>
          </w:p>
        </w:tc>
      </w:tr>
      <w:tr w:rsidR="007E0025" w:rsidRPr="00BE78CA" w14:paraId="2135D765" w14:textId="77777777" w:rsidTr="00BC02CB">
        <w:trPr>
          <w:cantSplit/>
        </w:trPr>
        <w:tc>
          <w:tcPr>
            <w:tcW w:w="1639" w:type="dxa"/>
            <w:tcBorders>
              <w:top w:val="nil"/>
            </w:tcBorders>
            <w:shd w:val="clear" w:color="auto" w:fill="FFFFFF"/>
            <w:tcMar>
              <w:top w:w="0" w:type="dxa"/>
              <w:left w:w="85" w:type="dxa"/>
              <w:bottom w:w="0" w:type="dxa"/>
              <w:right w:w="85" w:type="dxa"/>
            </w:tcMar>
            <w:vAlign w:val="center"/>
          </w:tcPr>
          <w:p w14:paraId="6CC7F44E" w14:textId="77777777" w:rsidR="007E0025" w:rsidRPr="00BE78CA" w:rsidRDefault="007E0025" w:rsidP="00C26084">
            <w:pPr>
              <w:pStyle w:val="TableText"/>
            </w:pPr>
          </w:p>
        </w:tc>
        <w:tc>
          <w:tcPr>
            <w:tcW w:w="2127" w:type="dxa"/>
            <w:shd w:val="clear" w:color="auto" w:fill="FFFFFF"/>
            <w:tcMar>
              <w:top w:w="0" w:type="dxa"/>
              <w:left w:w="85" w:type="dxa"/>
              <w:bottom w:w="0" w:type="dxa"/>
              <w:right w:w="85" w:type="dxa"/>
            </w:tcMar>
            <w:vAlign w:val="center"/>
          </w:tcPr>
          <w:p w14:paraId="4DF4404F" w14:textId="77777777" w:rsidR="007E0025" w:rsidRPr="00BE78CA" w:rsidRDefault="007E0025" w:rsidP="00C26084">
            <w:pPr>
              <w:pStyle w:val="TableText"/>
            </w:pPr>
            <w:r w:rsidRPr="00BE78CA">
              <w:rPr>
                <w:rFonts w:eastAsia="Calibri" w:cs="Calibri"/>
                <w:color w:val="111111"/>
                <w:szCs w:val="16"/>
              </w:rPr>
              <w:t>Percentage difference in emission estimates</w:t>
            </w:r>
          </w:p>
        </w:tc>
        <w:tc>
          <w:tcPr>
            <w:tcW w:w="850" w:type="dxa"/>
            <w:shd w:val="clear" w:color="auto" w:fill="FFFFFF"/>
            <w:tcMar>
              <w:top w:w="0" w:type="dxa"/>
              <w:left w:w="85" w:type="dxa"/>
              <w:bottom w:w="0" w:type="dxa"/>
              <w:right w:w="85" w:type="dxa"/>
            </w:tcMar>
          </w:tcPr>
          <w:p w14:paraId="2E53E6CD" w14:textId="77777777" w:rsidR="007E0025" w:rsidRPr="00BE78CA" w:rsidRDefault="007E0025" w:rsidP="00C26084">
            <w:pPr>
              <w:pStyle w:val="TableText"/>
              <w:jc w:val="center"/>
            </w:pPr>
            <w:r w:rsidRPr="00BE78CA">
              <w:rPr>
                <w:rFonts w:eastAsia="Calibri" w:cs="Calibri"/>
                <w:color w:val="111111"/>
                <w:szCs w:val="16"/>
              </w:rPr>
              <w:t>1.8</w:t>
            </w:r>
          </w:p>
        </w:tc>
        <w:tc>
          <w:tcPr>
            <w:tcW w:w="851" w:type="dxa"/>
            <w:shd w:val="clear" w:color="auto" w:fill="FFFFFF"/>
            <w:tcMar>
              <w:top w:w="0" w:type="dxa"/>
              <w:left w:w="85" w:type="dxa"/>
              <w:bottom w:w="0" w:type="dxa"/>
              <w:right w:w="85" w:type="dxa"/>
            </w:tcMar>
          </w:tcPr>
          <w:p w14:paraId="63CA009D" w14:textId="77777777" w:rsidR="007E0025" w:rsidRPr="00BE78CA" w:rsidRDefault="007E0025" w:rsidP="00C26084">
            <w:pPr>
              <w:pStyle w:val="TableText"/>
              <w:jc w:val="center"/>
            </w:pPr>
            <w:r w:rsidRPr="00BE78CA">
              <w:rPr>
                <w:rFonts w:eastAsia="Calibri" w:cs="Calibri"/>
                <w:color w:val="111111"/>
                <w:szCs w:val="16"/>
              </w:rPr>
              <w:t>1.6</w:t>
            </w:r>
          </w:p>
        </w:tc>
        <w:tc>
          <w:tcPr>
            <w:tcW w:w="1559" w:type="dxa"/>
            <w:shd w:val="clear" w:color="auto" w:fill="FFFFFF"/>
            <w:tcMar>
              <w:top w:w="0" w:type="dxa"/>
              <w:left w:w="85" w:type="dxa"/>
              <w:bottom w:w="0" w:type="dxa"/>
              <w:right w:w="85" w:type="dxa"/>
            </w:tcMar>
          </w:tcPr>
          <w:p w14:paraId="57868570" w14:textId="77777777" w:rsidR="007E0025" w:rsidRPr="00BE78CA" w:rsidRDefault="007E0025" w:rsidP="00C26084">
            <w:pPr>
              <w:pStyle w:val="TableText"/>
              <w:jc w:val="center"/>
            </w:pPr>
            <w:r w:rsidRPr="00BE78CA">
              <w:t>NA</w:t>
            </w:r>
          </w:p>
        </w:tc>
        <w:tc>
          <w:tcPr>
            <w:tcW w:w="1468" w:type="dxa"/>
            <w:shd w:val="clear" w:color="auto" w:fill="FFFFFF"/>
            <w:tcMar>
              <w:top w:w="0" w:type="dxa"/>
              <w:left w:w="85" w:type="dxa"/>
              <w:bottom w:w="0" w:type="dxa"/>
              <w:right w:w="85" w:type="dxa"/>
            </w:tcMar>
          </w:tcPr>
          <w:p w14:paraId="5EBA03EF" w14:textId="77777777" w:rsidR="007E0025" w:rsidRPr="00BE78CA" w:rsidRDefault="007E0025" w:rsidP="00C26084">
            <w:pPr>
              <w:pStyle w:val="TableText"/>
              <w:jc w:val="center"/>
            </w:pPr>
            <w:r w:rsidRPr="00BE78CA">
              <w:t>NA</w:t>
            </w:r>
          </w:p>
        </w:tc>
      </w:tr>
    </w:tbl>
    <w:p w14:paraId="299502ED" w14:textId="77777777" w:rsidR="007E0025" w:rsidRPr="00BE78CA" w:rsidRDefault="007E0025" w:rsidP="00BC02CB">
      <w:pPr>
        <w:pStyle w:val="Heading5"/>
        <w:spacing w:before="360"/>
      </w:pPr>
      <w:bookmarkStart w:id="3294" w:name="adoption-of-updated-pasture-quality-data"/>
      <w:r w:rsidRPr="00BE78CA">
        <w:t>Adoption of updated pasture quality data</w:t>
      </w:r>
      <w:bookmarkEnd w:id="3294"/>
    </w:p>
    <w:p w14:paraId="549E11A4" w14:textId="7B72236F" w:rsidR="007E0025" w:rsidRPr="00BE78CA" w:rsidRDefault="007E0025" w:rsidP="007E0025">
      <w:pPr>
        <w:pStyle w:val="BodyText"/>
      </w:pPr>
      <w:r w:rsidRPr="00BE78CA">
        <w:t>A revised set of figures on the metabolisable energy content,</w:t>
      </w:r>
      <w:r w:rsidRPr="00BE78CA">
        <w:rPr>
          <w:rStyle w:val="FootnoteReference"/>
        </w:rPr>
        <w:footnoteReference w:id="73"/>
      </w:r>
      <w:r w:rsidRPr="00BE78CA">
        <w:t xml:space="preserve"> nitrogen content and digestibility of pasture for the entire time series (1990 to 2019) has been implemented for</w:t>
      </w:r>
      <w:r w:rsidR="005B731B" w:rsidRPr="00BE78CA">
        <w:t> </w:t>
      </w:r>
      <w:r w:rsidRPr="00BE78CA">
        <w:t>the</w:t>
      </w:r>
      <w:r w:rsidR="005B731B" w:rsidRPr="00BE78CA">
        <w:t> </w:t>
      </w:r>
      <w:r w:rsidRPr="00BE78CA">
        <w:t>2021 submission. These new values are based on recent research by Giltrap and McNeill (unpublished).</w:t>
      </w:r>
    </w:p>
    <w:p w14:paraId="4F17AEB9" w14:textId="77777777" w:rsidR="007E0025" w:rsidRPr="00BE78CA" w:rsidRDefault="007E0025" w:rsidP="007E0025">
      <w:pPr>
        <w:pStyle w:val="BodyText"/>
      </w:pPr>
      <w:r w:rsidRPr="00BE78CA">
        <w:lastRenderedPageBreak/>
        <w:t>The Agriculture inventory requires pasture quality data to calculate methane (</w:t>
      </w:r>
      <w:r w:rsidRPr="00BE78CA">
        <w:rPr>
          <w:rFonts w:eastAsia="Calibri" w:cs="Calibri"/>
          <w:bCs/>
        </w:rPr>
        <w:t>CH</w:t>
      </w:r>
      <w:r w:rsidRPr="00BE78CA">
        <w:rPr>
          <w:rFonts w:eastAsia="Calibri" w:cs="Calibri"/>
          <w:bCs/>
          <w:vertAlign w:val="subscript"/>
        </w:rPr>
        <w:t>4</w:t>
      </w:r>
      <w:r w:rsidRPr="00BE78CA">
        <w:t xml:space="preserve">) and </w:t>
      </w:r>
      <w:r w:rsidRPr="00BE78CA">
        <w:rPr>
          <w:rFonts w:eastAsia="Calibri" w:cs="Calibri"/>
          <w:bCs/>
        </w:rPr>
        <w:t>N</w:t>
      </w:r>
      <w:r w:rsidRPr="00BE78CA">
        <w:rPr>
          <w:rFonts w:eastAsia="Calibri" w:cs="Calibri"/>
          <w:bCs/>
          <w:vertAlign w:val="subscript"/>
        </w:rPr>
        <w:t>2</w:t>
      </w:r>
      <w:r w:rsidRPr="00BE78CA">
        <w:rPr>
          <w:rFonts w:eastAsia="Calibri" w:cs="Calibri"/>
          <w:bCs/>
        </w:rPr>
        <w:t>O</w:t>
      </w:r>
      <w:r w:rsidRPr="00BE78CA">
        <w:t xml:space="preserve"> emissions from cattle (dairy and beef), sheep and deer. For inventory purposes, there are three key components of pasture quality:</w:t>
      </w:r>
    </w:p>
    <w:p w14:paraId="5A96C97F" w14:textId="77777777" w:rsidR="007E0025" w:rsidRPr="00BE78CA" w:rsidRDefault="007E0025" w:rsidP="005B731B">
      <w:pPr>
        <w:pStyle w:val="Bullet"/>
      </w:pPr>
      <w:r w:rsidRPr="00BE78CA">
        <w:t>metabolisable energy (ME)</w:t>
      </w:r>
    </w:p>
    <w:p w14:paraId="65BCE241" w14:textId="77777777" w:rsidR="007E0025" w:rsidRPr="00BE78CA" w:rsidRDefault="007E0025" w:rsidP="005B731B">
      <w:pPr>
        <w:pStyle w:val="Bullet"/>
      </w:pPr>
      <w:r w:rsidRPr="00BE78CA">
        <w:t>nitrogen (N) content</w:t>
      </w:r>
    </w:p>
    <w:p w14:paraId="1A40BEA4" w14:textId="77777777" w:rsidR="007E0025" w:rsidRPr="00BE78CA" w:rsidRDefault="007E0025" w:rsidP="005B731B">
      <w:pPr>
        <w:pStyle w:val="Bullet"/>
      </w:pPr>
      <w:r w:rsidRPr="00BE78CA">
        <w:t>organic matter digestibility (OMD).</w:t>
      </w:r>
    </w:p>
    <w:p w14:paraId="40DE6A0D" w14:textId="77777777" w:rsidR="007E0025" w:rsidRPr="00BE78CA" w:rsidRDefault="007E0025" w:rsidP="007E0025">
      <w:pPr>
        <w:pStyle w:val="BodyText"/>
      </w:pPr>
      <w:r w:rsidRPr="00BE78CA">
        <w:t xml:space="preserve">Holding all else equal, higher ME pasture content will lower livestock emissions; higher N pasture content will increase </w:t>
      </w:r>
      <w:r w:rsidRPr="00BE78CA">
        <w:rPr>
          <w:rFonts w:eastAsia="Calibri" w:cs="Calibri"/>
          <w:bCs/>
        </w:rPr>
        <w:t>N</w:t>
      </w:r>
      <w:r w:rsidRPr="00BE78CA">
        <w:rPr>
          <w:rFonts w:eastAsia="Calibri" w:cs="Calibri"/>
          <w:bCs/>
          <w:vertAlign w:val="subscript"/>
        </w:rPr>
        <w:t>2</w:t>
      </w:r>
      <w:r w:rsidRPr="00BE78CA">
        <w:rPr>
          <w:rFonts w:eastAsia="Calibri" w:cs="Calibri"/>
          <w:bCs/>
        </w:rPr>
        <w:t>O</w:t>
      </w:r>
      <w:r w:rsidRPr="00BE78CA">
        <w:t xml:space="preserve"> emissions, and a higher OMD value will lead to lower livestock emissions.</w:t>
      </w:r>
    </w:p>
    <w:p w14:paraId="2F9751B6" w14:textId="213DE565" w:rsidR="007E0025" w:rsidRPr="00BE78CA" w:rsidRDefault="007E0025" w:rsidP="007E0025">
      <w:pPr>
        <w:pStyle w:val="BodyText"/>
      </w:pPr>
      <w:r w:rsidRPr="00BE78CA">
        <w:t>Pasture quality data used in previous versions of the Agriculture inventory were based on data</w:t>
      </w:r>
      <w:r w:rsidR="00E92768" w:rsidRPr="00BE78CA">
        <w:t> </w:t>
      </w:r>
      <w:r w:rsidRPr="00BE78CA">
        <w:t>collected in the early 2000s from a small group of farms (10 and 19 for dairy and sheep and beef respectively).</w:t>
      </w:r>
    </w:p>
    <w:p w14:paraId="5B26768D" w14:textId="5DCBC6C7" w:rsidR="007E0025" w:rsidRPr="00BE78CA" w:rsidRDefault="007E0025" w:rsidP="007E0025">
      <w:pPr>
        <w:pStyle w:val="BodyText"/>
      </w:pPr>
      <w:r w:rsidRPr="00BE78CA">
        <w:t>Over the past two decades, new pasture samples have been collected from around the country, with the revised dataset now containing around 2,500 observations in total. Based on</w:t>
      </w:r>
      <w:r w:rsidR="00E92768" w:rsidRPr="00BE78CA">
        <w:t> </w:t>
      </w:r>
      <w:r w:rsidRPr="00BE78CA">
        <w:t>this extended dataset, researchers calculated a revised set of national weighted averages for ME, OMD and N to be used in the inventory (Giltrap and McNeill, unpublished).</w:t>
      </w:r>
    </w:p>
    <w:p w14:paraId="6D9EEB57" w14:textId="77777777" w:rsidR="007E0025" w:rsidRPr="00BE78CA" w:rsidRDefault="007E0025" w:rsidP="007E0025">
      <w:pPr>
        <w:pStyle w:val="BodyText"/>
      </w:pPr>
      <w:r w:rsidRPr="00BE78CA">
        <w:t>The new values were discussed at the 2020 Agriculture Inventory Advisory Panel meeting, which recommended that they be implemented in the Agriculture inventory.</w:t>
      </w:r>
    </w:p>
    <w:p w14:paraId="04B76CEF" w14:textId="77777777" w:rsidR="007E0025" w:rsidRPr="00BE78CA" w:rsidRDefault="007E0025" w:rsidP="007E0025">
      <w:pPr>
        <w:pStyle w:val="BodyText"/>
      </w:pPr>
      <w:r w:rsidRPr="00BE78CA">
        <w:t>The differences between the old and new values are shown in table 10.1.5. On average, the new OMD and ME values are approximately 2 per cent lower than those previously used. The recommended N value (on average) for dairy is lower at 5.6 per cent, and 2.3 per cent higher for sheep and beef than the previous values.</w:t>
      </w:r>
    </w:p>
    <w:p w14:paraId="0BDAB7E9" w14:textId="4B653A7A" w:rsidR="007E0025" w:rsidRPr="00BE78CA" w:rsidRDefault="007E0025" w:rsidP="005B731B">
      <w:pPr>
        <w:pStyle w:val="Table"/>
      </w:pPr>
      <w:bookmarkStart w:id="3295" w:name="_Toc68786580"/>
      <w:r w:rsidRPr="00BE78CA">
        <w:t xml:space="preserve">Table 10.1.5 </w:t>
      </w:r>
      <w:r w:rsidRPr="00BE78CA">
        <w:tab/>
        <w:t>Comparison of previous and new pasture quality values (ME (MJ kg–1 DMI), OMD (%) and N</w:t>
      </w:r>
      <w:r w:rsidR="005B731B" w:rsidRPr="00BE78CA">
        <w:t> </w:t>
      </w:r>
      <w:r w:rsidRPr="00BE78CA">
        <w:t>content (%)) by month and livestock type – values in brackets show percentage change compared with previous values</w:t>
      </w:r>
      <w:bookmarkEnd w:id="3295"/>
    </w:p>
    <w:tbl>
      <w:tblPr>
        <w:tblW w:w="8494" w:type="dxa"/>
        <w:tblLook w:val="0420" w:firstRow="1" w:lastRow="0" w:firstColumn="0" w:lastColumn="0" w:noHBand="0" w:noVBand="1"/>
      </w:tblPr>
      <w:tblGrid>
        <w:gridCol w:w="1350"/>
        <w:gridCol w:w="1250"/>
        <w:gridCol w:w="1167"/>
        <w:gridCol w:w="1155"/>
        <w:gridCol w:w="1250"/>
        <w:gridCol w:w="1167"/>
        <w:gridCol w:w="1155"/>
      </w:tblGrid>
      <w:tr w:rsidR="00B37965" w:rsidRPr="00BE78CA" w14:paraId="530C0F3C" w14:textId="77777777" w:rsidTr="005B731B">
        <w:trPr>
          <w:cantSplit/>
          <w:tblHeader/>
        </w:trPr>
        <w:tc>
          <w:tcPr>
            <w:tcW w:w="0" w:type="auto"/>
            <w:tcBorders>
              <w:top w:val="single" w:sz="4" w:space="0" w:color="365F91"/>
              <w:bottom w:val="single" w:sz="4" w:space="0" w:color="365F91"/>
            </w:tcBorders>
            <w:shd w:val="clear" w:color="auto" w:fill="365F91"/>
            <w:tcMar>
              <w:top w:w="0" w:type="dxa"/>
              <w:left w:w="85" w:type="dxa"/>
              <w:bottom w:w="0" w:type="dxa"/>
              <w:right w:w="85" w:type="dxa"/>
            </w:tcMar>
            <w:vAlign w:val="bottom"/>
          </w:tcPr>
          <w:p w14:paraId="60CE2A21" w14:textId="77777777" w:rsidR="007E0025" w:rsidRPr="00BE78CA" w:rsidRDefault="007E0025" w:rsidP="005B731B">
            <w:pPr>
              <w:pStyle w:val="TableTextBold"/>
              <w:spacing w:after="0"/>
              <w:jc w:val="center"/>
              <w:rPr>
                <w:noProof w:val="0"/>
                <w:color w:val="FFFFFF" w:themeColor="background1"/>
              </w:rPr>
            </w:pPr>
          </w:p>
        </w:tc>
        <w:tc>
          <w:tcPr>
            <w:tcW w:w="0" w:type="auto"/>
            <w:gridSpan w:val="3"/>
            <w:tcBorders>
              <w:top w:val="single" w:sz="4" w:space="0" w:color="365F91"/>
              <w:bottom w:val="single" w:sz="4" w:space="0" w:color="365F91"/>
            </w:tcBorders>
            <w:shd w:val="clear" w:color="auto" w:fill="365F91"/>
            <w:tcMar>
              <w:top w:w="0" w:type="dxa"/>
              <w:left w:w="85" w:type="dxa"/>
              <w:bottom w:w="0" w:type="dxa"/>
              <w:right w:w="85" w:type="dxa"/>
            </w:tcMar>
            <w:vAlign w:val="bottom"/>
          </w:tcPr>
          <w:p w14:paraId="60330E93" w14:textId="77777777" w:rsidR="007E0025" w:rsidRPr="00BE78CA" w:rsidRDefault="007E0025" w:rsidP="005B731B">
            <w:pPr>
              <w:pStyle w:val="TableTextBold"/>
              <w:spacing w:after="0"/>
              <w:jc w:val="center"/>
              <w:rPr>
                <w:noProof w:val="0"/>
                <w:color w:val="FFFFFF" w:themeColor="background1"/>
              </w:rPr>
            </w:pPr>
            <w:r w:rsidRPr="00BE78CA">
              <w:rPr>
                <w:rFonts w:eastAsia="Calibri" w:cs="Calibri"/>
                <w:noProof w:val="0"/>
                <w:color w:val="FFFFFF" w:themeColor="background1"/>
                <w:szCs w:val="16"/>
              </w:rPr>
              <w:t>Dairy</w:t>
            </w:r>
          </w:p>
        </w:tc>
        <w:tc>
          <w:tcPr>
            <w:tcW w:w="0" w:type="auto"/>
            <w:gridSpan w:val="3"/>
            <w:tcBorders>
              <w:top w:val="single" w:sz="4" w:space="0" w:color="365F91"/>
              <w:bottom w:val="single" w:sz="4" w:space="0" w:color="365F91"/>
            </w:tcBorders>
            <w:shd w:val="clear" w:color="auto" w:fill="365F91"/>
            <w:tcMar>
              <w:top w:w="0" w:type="dxa"/>
              <w:left w:w="85" w:type="dxa"/>
              <w:bottom w:w="0" w:type="dxa"/>
              <w:right w:w="85" w:type="dxa"/>
            </w:tcMar>
            <w:vAlign w:val="bottom"/>
          </w:tcPr>
          <w:p w14:paraId="21C30E65" w14:textId="77777777" w:rsidR="007E0025" w:rsidRPr="00BE78CA" w:rsidRDefault="007E0025" w:rsidP="005B731B">
            <w:pPr>
              <w:pStyle w:val="TableTextBold"/>
              <w:spacing w:after="0"/>
              <w:jc w:val="center"/>
              <w:rPr>
                <w:noProof w:val="0"/>
                <w:color w:val="FFFFFF" w:themeColor="background1"/>
              </w:rPr>
            </w:pPr>
            <w:r w:rsidRPr="00BE78CA">
              <w:rPr>
                <w:rFonts w:eastAsia="Calibri" w:cs="Calibri"/>
                <w:noProof w:val="0"/>
                <w:color w:val="FFFFFF" w:themeColor="background1"/>
                <w:szCs w:val="16"/>
              </w:rPr>
              <w:t>Sheep and beef</w:t>
            </w:r>
          </w:p>
        </w:tc>
      </w:tr>
      <w:tr w:rsidR="007E0025" w:rsidRPr="00BE78CA" w14:paraId="03286719" w14:textId="77777777" w:rsidTr="005B731B">
        <w:trPr>
          <w:cantSplit/>
        </w:trPr>
        <w:tc>
          <w:tcPr>
            <w:tcW w:w="0" w:type="auto"/>
            <w:tcBorders>
              <w:top w:val="single" w:sz="4" w:space="0" w:color="365F91"/>
              <w:bottom w:val="single" w:sz="4" w:space="0" w:color="365F91"/>
            </w:tcBorders>
            <w:shd w:val="clear" w:color="auto" w:fill="365F91"/>
            <w:tcMar>
              <w:top w:w="0" w:type="dxa"/>
              <w:left w:w="85" w:type="dxa"/>
              <w:bottom w:w="0" w:type="dxa"/>
              <w:right w:w="85" w:type="dxa"/>
            </w:tcMar>
          </w:tcPr>
          <w:p w14:paraId="10B142C6" w14:textId="77777777" w:rsidR="007E0025" w:rsidRPr="00BE78CA" w:rsidRDefault="007E0025" w:rsidP="00C26084">
            <w:pPr>
              <w:pStyle w:val="TableTextBold"/>
              <w:rPr>
                <w:noProof w:val="0"/>
                <w:color w:val="FFFFFF" w:themeColor="background1"/>
              </w:rPr>
            </w:pPr>
            <w:r w:rsidRPr="00BE78CA">
              <w:rPr>
                <w:rFonts w:eastAsia="Calibri"/>
                <w:noProof w:val="0"/>
                <w:color w:val="FFFFFF" w:themeColor="background1"/>
              </w:rPr>
              <w:t>Month</w:t>
            </w:r>
          </w:p>
        </w:tc>
        <w:tc>
          <w:tcPr>
            <w:tcW w:w="0" w:type="auto"/>
            <w:tcBorders>
              <w:top w:val="single" w:sz="4" w:space="0" w:color="365F91"/>
              <w:bottom w:val="single" w:sz="4" w:space="0" w:color="365F91"/>
            </w:tcBorders>
            <w:shd w:val="clear" w:color="auto" w:fill="365F91"/>
            <w:tcMar>
              <w:top w:w="0" w:type="dxa"/>
              <w:left w:w="85" w:type="dxa"/>
              <w:bottom w:w="0" w:type="dxa"/>
              <w:right w:w="85" w:type="dxa"/>
            </w:tcMar>
          </w:tcPr>
          <w:p w14:paraId="7B5B4E76" w14:textId="77777777" w:rsidR="007E0025" w:rsidRPr="00BE78CA" w:rsidRDefault="007E0025" w:rsidP="00C26084">
            <w:pPr>
              <w:pStyle w:val="TableTextBold"/>
              <w:jc w:val="right"/>
              <w:rPr>
                <w:noProof w:val="0"/>
                <w:color w:val="FFFFFF" w:themeColor="background1"/>
              </w:rPr>
            </w:pPr>
            <w:r w:rsidRPr="00BE78CA">
              <w:rPr>
                <w:rFonts w:eastAsia="Calibri"/>
                <w:noProof w:val="0"/>
                <w:color w:val="FFFFFF" w:themeColor="background1"/>
              </w:rPr>
              <w:t xml:space="preserve"> ME</w:t>
            </w:r>
          </w:p>
        </w:tc>
        <w:tc>
          <w:tcPr>
            <w:tcW w:w="0" w:type="auto"/>
            <w:tcBorders>
              <w:top w:val="single" w:sz="4" w:space="0" w:color="365F91"/>
              <w:bottom w:val="single" w:sz="4" w:space="0" w:color="365F91"/>
            </w:tcBorders>
            <w:shd w:val="clear" w:color="auto" w:fill="365F91"/>
            <w:tcMar>
              <w:top w:w="0" w:type="dxa"/>
              <w:left w:w="85" w:type="dxa"/>
              <w:bottom w:w="0" w:type="dxa"/>
              <w:right w:w="85" w:type="dxa"/>
            </w:tcMar>
          </w:tcPr>
          <w:p w14:paraId="78DE0F55" w14:textId="77777777" w:rsidR="007E0025" w:rsidRPr="00BE78CA" w:rsidRDefault="007E0025" w:rsidP="00C26084">
            <w:pPr>
              <w:pStyle w:val="TableTextBold"/>
              <w:jc w:val="right"/>
              <w:rPr>
                <w:noProof w:val="0"/>
                <w:color w:val="FFFFFF" w:themeColor="background1"/>
              </w:rPr>
            </w:pPr>
            <w:r w:rsidRPr="00BE78CA">
              <w:rPr>
                <w:rFonts w:eastAsia="Calibri"/>
                <w:noProof w:val="0"/>
                <w:color w:val="FFFFFF" w:themeColor="background1"/>
              </w:rPr>
              <w:t xml:space="preserve"> OMD</w:t>
            </w:r>
          </w:p>
        </w:tc>
        <w:tc>
          <w:tcPr>
            <w:tcW w:w="0" w:type="auto"/>
            <w:tcBorders>
              <w:top w:val="single" w:sz="4" w:space="0" w:color="365F91"/>
              <w:bottom w:val="single" w:sz="4" w:space="0" w:color="365F91"/>
            </w:tcBorders>
            <w:shd w:val="clear" w:color="auto" w:fill="365F91"/>
            <w:tcMar>
              <w:top w:w="0" w:type="dxa"/>
              <w:left w:w="85" w:type="dxa"/>
              <w:bottom w:w="0" w:type="dxa"/>
              <w:right w:w="85" w:type="dxa"/>
            </w:tcMar>
          </w:tcPr>
          <w:p w14:paraId="79FF237D" w14:textId="77777777" w:rsidR="007E0025" w:rsidRPr="00BE78CA" w:rsidRDefault="007E0025" w:rsidP="00C26084">
            <w:pPr>
              <w:pStyle w:val="TableTextBold"/>
              <w:jc w:val="right"/>
              <w:rPr>
                <w:noProof w:val="0"/>
                <w:color w:val="FFFFFF" w:themeColor="background1"/>
              </w:rPr>
            </w:pPr>
            <w:r w:rsidRPr="00BE78CA">
              <w:rPr>
                <w:rFonts w:eastAsia="Calibri"/>
                <w:noProof w:val="0"/>
                <w:color w:val="FFFFFF" w:themeColor="background1"/>
              </w:rPr>
              <w:t xml:space="preserve"> N content</w:t>
            </w:r>
          </w:p>
        </w:tc>
        <w:tc>
          <w:tcPr>
            <w:tcW w:w="0" w:type="auto"/>
            <w:tcBorders>
              <w:top w:val="single" w:sz="4" w:space="0" w:color="365F91"/>
              <w:bottom w:val="single" w:sz="4" w:space="0" w:color="365F91"/>
            </w:tcBorders>
            <w:shd w:val="clear" w:color="auto" w:fill="365F91"/>
            <w:tcMar>
              <w:top w:w="0" w:type="dxa"/>
              <w:left w:w="85" w:type="dxa"/>
              <w:bottom w:w="0" w:type="dxa"/>
              <w:right w:w="85" w:type="dxa"/>
            </w:tcMar>
          </w:tcPr>
          <w:p w14:paraId="4C017D1A" w14:textId="77777777" w:rsidR="007E0025" w:rsidRPr="00BE78CA" w:rsidRDefault="007E0025" w:rsidP="00C26084">
            <w:pPr>
              <w:pStyle w:val="TableTextBold"/>
              <w:jc w:val="right"/>
              <w:rPr>
                <w:noProof w:val="0"/>
                <w:color w:val="FFFFFF" w:themeColor="background1"/>
              </w:rPr>
            </w:pPr>
            <w:r w:rsidRPr="00BE78CA">
              <w:rPr>
                <w:rFonts w:eastAsia="Calibri"/>
                <w:noProof w:val="0"/>
                <w:color w:val="FFFFFF" w:themeColor="background1"/>
              </w:rPr>
              <w:t>ME</w:t>
            </w:r>
          </w:p>
        </w:tc>
        <w:tc>
          <w:tcPr>
            <w:tcW w:w="0" w:type="auto"/>
            <w:tcBorders>
              <w:top w:val="single" w:sz="4" w:space="0" w:color="365F91"/>
              <w:bottom w:val="single" w:sz="4" w:space="0" w:color="365F91"/>
            </w:tcBorders>
            <w:shd w:val="clear" w:color="auto" w:fill="365F91"/>
            <w:tcMar>
              <w:top w:w="0" w:type="dxa"/>
              <w:left w:w="85" w:type="dxa"/>
              <w:bottom w:w="0" w:type="dxa"/>
              <w:right w:w="85" w:type="dxa"/>
            </w:tcMar>
          </w:tcPr>
          <w:p w14:paraId="702930AC" w14:textId="77777777" w:rsidR="007E0025" w:rsidRPr="00BE78CA" w:rsidRDefault="007E0025" w:rsidP="00C26084">
            <w:pPr>
              <w:pStyle w:val="TableTextBold"/>
              <w:jc w:val="right"/>
              <w:rPr>
                <w:noProof w:val="0"/>
                <w:color w:val="FFFFFF" w:themeColor="background1"/>
              </w:rPr>
            </w:pPr>
            <w:r w:rsidRPr="00BE78CA">
              <w:rPr>
                <w:rFonts w:eastAsia="Calibri"/>
                <w:noProof w:val="0"/>
                <w:color w:val="FFFFFF" w:themeColor="background1"/>
              </w:rPr>
              <w:t>OMD</w:t>
            </w:r>
          </w:p>
        </w:tc>
        <w:tc>
          <w:tcPr>
            <w:tcW w:w="0" w:type="auto"/>
            <w:tcBorders>
              <w:top w:val="single" w:sz="4" w:space="0" w:color="365F91"/>
              <w:bottom w:val="single" w:sz="4" w:space="0" w:color="365F91"/>
            </w:tcBorders>
            <w:shd w:val="clear" w:color="auto" w:fill="365F91"/>
            <w:tcMar>
              <w:top w:w="0" w:type="dxa"/>
              <w:left w:w="85" w:type="dxa"/>
              <w:bottom w:w="0" w:type="dxa"/>
              <w:right w:w="85" w:type="dxa"/>
            </w:tcMar>
          </w:tcPr>
          <w:p w14:paraId="773D3BB4" w14:textId="77777777" w:rsidR="007E0025" w:rsidRPr="00BE78CA" w:rsidRDefault="007E0025" w:rsidP="00C26084">
            <w:pPr>
              <w:pStyle w:val="TableTextBold"/>
              <w:jc w:val="right"/>
              <w:rPr>
                <w:noProof w:val="0"/>
                <w:color w:val="FFFFFF" w:themeColor="background1"/>
              </w:rPr>
            </w:pPr>
            <w:r w:rsidRPr="00BE78CA">
              <w:rPr>
                <w:rFonts w:eastAsia="Calibri"/>
                <w:noProof w:val="0"/>
                <w:color w:val="FFFFFF" w:themeColor="background1"/>
              </w:rPr>
              <w:t>N content</w:t>
            </w:r>
          </w:p>
        </w:tc>
      </w:tr>
      <w:tr w:rsidR="007E0025" w:rsidRPr="00BE78CA" w14:paraId="01491178" w14:textId="77777777" w:rsidTr="005B731B">
        <w:trPr>
          <w:cantSplit/>
        </w:trPr>
        <w:tc>
          <w:tcPr>
            <w:tcW w:w="0" w:type="auto"/>
            <w:tcBorders>
              <w:top w:val="single" w:sz="4" w:space="0" w:color="365F91"/>
              <w:left w:val="single" w:sz="4" w:space="0" w:color="FFFFFF"/>
              <w:bottom w:val="single" w:sz="8" w:space="0" w:color="365F91"/>
            </w:tcBorders>
            <w:shd w:val="clear" w:color="auto" w:fill="FFFFFF"/>
            <w:tcMar>
              <w:top w:w="0" w:type="dxa"/>
              <w:left w:w="85" w:type="dxa"/>
              <w:bottom w:w="0" w:type="dxa"/>
              <w:right w:w="85" w:type="dxa"/>
            </w:tcMar>
          </w:tcPr>
          <w:p w14:paraId="4007E38D" w14:textId="77777777" w:rsidR="007E0025" w:rsidRPr="00BE78CA" w:rsidRDefault="007E0025" w:rsidP="00C26084">
            <w:pPr>
              <w:pStyle w:val="TableText"/>
            </w:pPr>
            <w:r w:rsidRPr="00BE78CA">
              <w:rPr>
                <w:rFonts w:eastAsia="Calibri"/>
              </w:rPr>
              <w:t>Jan</w:t>
            </w:r>
          </w:p>
        </w:tc>
        <w:tc>
          <w:tcPr>
            <w:tcW w:w="0" w:type="auto"/>
            <w:tcBorders>
              <w:top w:val="single" w:sz="4" w:space="0" w:color="365F91"/>
              <w:bottom w:val="single" w:sz="8" w:space="0" w:color="365F91"/>
            </w:tcBorders>
            <w:shd w:val="clear" w:color="auto" w:fill="FFFFFF"/>
            <w:tcMar>
              <w:top w:w="0" w:type="dxa"/>
              <w:left w:w="85" w:type="dxa"/>
              <w:bottom w:w="0" w:type="dxa"/>
              <w:right w:w="85" w:type="dxa"/>
            </w:tcMar>
          </w:tcPr>
          <w:p w14:paraId="09B17E48" w14:textId="77777777" w:rsidR="007E0025" w:rsidRPr="00BE78CA" w:rsidRDefault="007E0025" w:rsidP="00C26084">
            <w:pPr>
              <w:pStyle w:val="TableText"/>
              <w:jc w:val="right"/>
            </w:pPr>
            <w:r w:rsidRPr="00BE78CA">
              <w:rPr>
                <w:rFonts w:eastAsia="Calibri"/>
              </w:rPr>
              <w:t xml:space="preserve"> 10.6 (–4.6%)</w:t>
            </w:r>
          </w:p>
        </w:tc>
        <w:tc>
          <w:tcPr>
            <w:tcW w:w="0" w:type="auto"/>
            <w:tcBorders>
              <w:top w:val="single" w:sz="4" w:space="0" w:color="365F91"/>
              <w:bottom w:val="single" w:sz="8" w:space="0" w:color="365F91"/>
            </w:tcBorders>
            <w:shd w:val="clear" w:color="auto" w:fill="FFFFFF"/>
            <w:tcMar>
              <w:top w:w="0" w:type="dxa"/>
              <w:left w:w="85" w:type="dxa"/>
              <w:bottom w:w="0" w:type="dxa"/>
              <w:right w:w="85" w:type="dxa"/>
            </w:tcMar>
          </w:tcPr>
          <w:p w14:paraId="79464367" w14:textId="77777777" w:rsidR="007E0025" w:rsidRPr="00BE78CA" w:rsidRDefault="007E0025" w:rsidP="00C26084">
            <w:pPr>
              <w:pStyle w:val="TableText"/>
              <w:jc w:val="right"/>
            </w:pPr>
            <w:r w:rsidRPr="00BE78CA">
              <w:rPr>
                <w:rFonts w:eastAsia="Calibri"/>
              </w:rPr>
              <w:t>74.1 (–2.8%)</w:t>
            </w:r>
          </w:p>
        </w:tc>
        <w:tc>
          <w:tcPr>
            <w:tcW w:w="0" w:type="auto"/>
            <w:tcBorders>
              <w:top w:val="single" w:sz="4" w:space="0" w:color="365F91"/>
              <w:bottom w:val="single" w:sz="8" w:space="0" w:color="365F91"/>
            </w:tcBorders>
            <w:shd w:val="clear" w:color="auto" w:fill="FFFFFF"/>
            <w:tcMar>
              <w:top w:w="0" w:type="dxa"/>
              <w:left w:w="85" w:type="dxa"/>
              <w:bottom w:w="0" w:type="dxa"/>
              <w:right w:w="85" w:type="dxa"/>
            </w:tcMar>
          </w:tcPr>
          <w:p w14:paraId="1794CFEA" w14:textId="77777777" w:rsidR="007E0025" w:rsidRPr="00BE78CA" w:rsidRDefault="007E0025" w:rsidP="00C26084">
            <w:pPr>
              <w:pStyle w:val="TableText"/>
              <w:jc w:val="right"/>
            </w:pPr>
            <w:r w:rsidRPr="00BE78CA">
              <w:rPr>
                <w:rFonts w:eastAsia="Calibri"/>
              </w:rPr>
              <w:t xml:space="preserve"> 3 (–22.5%)</w:t>
            </w:r>
          </w:p>
        </w:tc>
        <w:tc>
          <w:tcPr>
            <w:tcW w:w="0" w:type="auto"/>
            <w:tcBorders>
              <w:top w:val="single" w:sz="4" w:space="0" w:color="365F91"/>
              <w:bottom w:val="single" w:sz="8" w:space="0" w:color="365F91"/>
            </w:tcBorders>
            <w:shd w:val="clear" w:color="auto" w:fill="FFFFFF"/>
            <w:tcMar>
              <w:top w:w="0" w:type="dxa"/>
              <w:left w:w="85" w:type="dxa"/>
              <w:bottom w:w="0" w:type="dxa"/>
              <w:right w:w="85" w:type="dxa"/>
            </w:tcMar>
          </w:tcPr>
          <w:p w14:paraId="42F90379" w14:textId="77777777" w:rsidR="007E0025" w:rsidRPr="00BE78CA" w:rsidRDefault="007E0025" w:rsidP="00C26084">
            <w:pPr>
              <w:pStyle w:val="TableText"/>
              <w:jc w:val="right"/>
            </w:pPr>
            <w:r w:rsidRPr="00BE78CA">
              <w:rPr>
                <w:rFonts w:eastAsia="Calibri"/>
              </w:rPr>
              <w:t>9.6 (-3.1%)</w:t>
            </w:r>
          </w:p>
        </w:tc>
        <w:tc>
          <w:tcPr>
            <w:tcW w:w="0" w:type="auto"/>
            <w:tcBorders>
              <w:top w:val="single" w:sz="4" w:space="0" w:color="365F91"/>
              <w:bottom w:val="single" w:sz="8" w:space="0" w:color="365F91"/>
            </w:tcBorders>
            <w:shd w:val="clear" w:color="auto" w:fill="FFFFFF"/>
            <w:tcMar>
              <w:top w:w="0" w:type="dxa"/>
              <w:left w:w="85" w:type="dxa"/>
              <w:bottom w:w="0" w:type="dxa"/>
              <w:right w:w="85" w:type="dxa"/>
            </w:tcMar>
          </w:tcPr>
          <w:p w14:paraId="66070D06" w14:textId="77777777" w:rsidR="007E0025" w:rsidRPr="00BE78CA" w:rsidRDefault="007E0025" w:rsidP="00C26084">
            <w:pPr>
              <w:pStyle w:val="TableText"/>
              <w:jc w:val="right"/>
            </w:pPr>
            <w:r w:rsidRPr="00BE78CA">
              <w:rPr>
                <w:rFonts w:eastAsia="Calibri"/>
              </w:rPr>
              <w:t>67.4 (–1.0%)</w:t>
            </w:r>
          </w:p>
        </w:tc>
        <w:tc>
          <w:tcPr>
            <w:tcW w:w="0" w:type="auto"/>
            <w:tcBorders>
              <w:top w:val="single" w:sz="4" w:space="0" w:color="365F91"/>
              <w:bottom w:val="single" w:sz="8" w:space="0" w:color="365F91"/>
              <w:right w:val="single" w:sz="4" w:space="0" w:color="FFFFFF"/>
            </w:tcBorders>
            <w:shd w:val="clear" w:color="auto" w:fill="FFFFFF"/>
            <w:tcMar>
              <w:top w:w="0" w:type="dxa"/>
              <w:left w:w="85" w:type="dxa"/>
              <w:bottom w:w="0" w:type="dxa"/>
              <w:right w:w="85" w:type="dxa"/>
            </w:tcMar>
          </w:tcPr>
          <w:p w14:paraId="378B97BD" w14:textId="77777777" w:rsidR="007E0025" w:rsidRPr="00BE78CA" w:rsidRDefault="007E0025" w:rsidP="00C26084">
            <w:pPr>
              <w:pStyle w:val="TableText"/>
              <w:jc w:val="right"/>
            </w:pPr>
            <w:r w:rsidRPr="00BE78CA">
              <w:rPr>
                <w:rFonts w:eastAsia="Calibri"/>
              </w:rPr>
              <w:t>2.6 (–15.8%)</w:t>
            </w:r>
          </w:p>
        </w:tc>
      </w:tr>
      <w:tr w:rsidR="007E0025" w:rsidRPr="00BE78CA" w14:paraId="2C941EB4" w14:textId="77777777" w:rsidTr="00C26084">
        <w:trPr>
          <w:cantSplit/>
        </w:trPr>
        <w:tc>
          <w:tcPr>
            <w:tcW w:w="0" w:type="auto"/>
            <w:tcBorders>
              <w:top w:val="single" w:sz="8" w:space="0" w:color="365F91"/>
              <w:left w:val="single" w:sz="4" w:space="0" w:color="FFFFFF"/>
              <w:bottom w:val="single" w:sz="8" w:space="0" w:color="365F91"/>
            </w:tcBorders>
            <w:shd w:val="clear" w:color="auto" w:fill="FFFFFF"/>
            <w:tcMar>
              <w:top w:w="0" w:type="dxa"/>
              <w:left w:w="85" w:type="dxa"/>
              <w:bottom w:w="0" w:type="dxa"/>
              <w:right w:w="85" w:type="dxa"/>
            </w:tcMar>
          </w:tcPr>
          <w:p w14:paraId="6B2FD9F8" w14:textId="77777777" w:rsidR="007E0025" w:rsidRPr="00BE78CA" w:rsidRDefault="007E0025" w:rsidP="00C26084">
            <w:pPr>
              <w:pStyle w:val="TableText"/>
            </w:pPr>
            <w:r w:rsidRPr="00BE78CA">
              <w:rPr>
                <w:rFonts w:eastAsia="Calibri"/>
              </w:rPr>
              <w:t>Feb</w:t>
            </w:r>
          </w:p>
        </w:tc>
        <w:tc>
          <w:tcPr>
            <w:tcW w:w="0" w:type="auto"/>
            <w:tcBorders>
              <w:top w:val="single" w:sz="8" w:space="0" w:color="365F91"/>
              <w:bottom w:val="single" w:sz="8" w:space="0" w:color="365F91"/>
            </w:tcBorders>
            <w:shd w:val="clear" w:color="auto" w:fill="FFFFFF"/>
            <w:tcMar>
              <w:top w:w="0" w:type="dxa"/>
              <w:left w:w="85" w:type="dxa"/>
              <w:bottom w:w="0" w:type="dxa"/>
              <w:right w:w="85" w:type="dxa"/>
            </w:tcMar>
          </w:tcPr>
          <w:p w14:paraId="25C9F3D6" w14:textId="77777777" w:rsidR="007E0025" w:rsidRPr="00BE78CA" w:rsidRDefault="007E0025" w:rsidP="00C26084">
            <w:pPr>
              <w:pStyle w:val="TableText"/>
              <w:jc w:val="right"/>
            </w:pPr>
            <w:r w:rsidRPr="00BE78CA">
              <w:rPr>
                <w:rFonts w:eastAsia="Calibri"/>
              </w:rPr>
              <w:t xml:space="preserve"> 10.3 (–3.0%)</w:t>
            </w:r>
          </w:p>
        </w:tc>
        <w:tc>
          <w:tcPr>
            <w:tcW w:w="0" w:type="auto"/>
            <w:tcBorders>
              <w:top w:val="single" w:sz="8" w:space="0" w:color="365F91"/>
              <w:bottom w:val="single" w:sz="8" w:space="0" w:color="365F91"/>
            </w:tcBorders>
            <w:shd w:val="clear" w:color="auto" w:fill="FFFFFF"/>
            <w:tcMar>
              <w:top w:w="0" w:type="dxa"/>
              <w:left w:w="85" w:type="dxa"/>
              <w:bottom w:w="0" w:type="dxa"/>
              <w:right w:w="85" w:type="dxa"/>
            </w:tcMar>
          </w:tcPr>
          <w:p w14:paraId="4F9C179B" w14:textId="77777777" w:rsidR="007E0025" w:rsidRPr="00BE78CA" w:rsidRDefault="007E0025" w:rsidP="00C26084">
            <w:pPr>
              <w:pStyle w:val="TableText"/>
              <w:jc w:val="right"/>
            </w:pPr>
            <w:r w:rsidRPr="00BE78CA">
              <w:rPr>
                <w:rFonts w:eastAsia="Calibri"/>
              </w:rPr>
              <w:t>71.1 (–3.5%)</w:t>
            </w:r>
          </w:p>
        </w:tc>
        <w:tc>
          <w:tcPr>
            <w:tcW w:w="0" w:type="auto"/>
            <w:tcBorders>
              <w:top w:val="single" w:sz="8" w:space="0" w:color="365F91"/>
              <w:bottom w:val="single" w:sz="8" w:space="0" w:color="365F91"/>
            </w:tcBorders>
            <w:shd w:val="clear" w:color="auto" w:fill="FFFFFF"/>
            <w:tcMar>
              <w:top w:w="0" w:type="dxa"/>
              <w:left w:w="85" w:type="dxa"/>
              <w:bottom w:w="0" w:type="dxa"/>
              <w:right w:w="85" w:type="dxa"/>
            </w:tcMar>
          </w:tcPr>
          <w:p w14:paraId="32427E5C" w14:textId="77777777" w:rsidR="007E0025" w:rsidRPr="00BE78CA" w:rsidRDefault="007E0025" w:rsidP="00C26084">
            <w:pPr>
              <w:pStyle w:val="TableText"/>
              <w:jc w:val="right"/>
            </w:pPr>
            <w:r w:rsidRPr="00BE78CA">
              <w:rPr>
                <w:rFonts w:eastAsia="Calibri"/>
              </w:rPr>
              <w:t>2.9 (–29.4%)</w:t>
            </w:r>
          </w:p>
        </w:tc>
        <w:tc>
          <w:tcPr>
            <w:tcW w:w="0" w:type="auto"/>
            <w:tcBorders>
              <w:top w:val="single" w:sz="8" w:space="0" w:color="365F91"/>
              <w:bottom w:val="single" w:sz="8" w:space="0" w:color="365F91"/>
            </w:tcBorders>
            <w:shd w:val="clear" w:color="auto" w:fill="FFFFFF"/>
            <w:tcMar>
              <w:top w:w="0" w:type="dxa"/>
              <w:left w:w="85" w:type="dxa"/>
              <w:bottom w:w="0" w:type="dxa"/>
              <w:right w:w="85" w:type="dxa"/>
            </w:tcMar>
          </w:tcPr>
          <w:p w14:paraId="3BF65C39" w14:textId="77777777" w:rsidR="007E0025" w:rsidRPr="00BE78CA" w:rsidRDefault="007E0025" w:rsidP="00C26084">
            <w:pPr>
              <w:pStyle w:val="TableText"/>
              <w:jc w:val="right"/>
            </w:pPr>
            <w:r w:rsidRPr="00BE78CA">
              <w:rPr>
                <w:rFonts w:eastAsia="Calibri"/>
              </w:rPr>
              <w:t>9.2 (-7.6%)</w:t>
            </w:r>
          </w:p>
        </w:tc>
        <w:tc>
          <w:tcPr>
            <w:tcW w:w="0" w:type="auto"/>
            <w:tcBorders>
              <w:top w:val="single" w:sz="8" w:space="0" w:color="365F91"/>
              <w:bottom w:val="single" w:sz="8" w:space="0" w:color="365F91"/>
            </w:tcBorders>
            <w:shd w:val="clear" w:color="auto" w:fill="FFFFFF"/>
            <w:tcMar>
              <w:top w:w="0" w:type="dxa"/>
              <w:left w:w="85" w:type="dxa"/>
              <w:bottom w:w="0" w:type="dxa"/>
              <w:right w:w="85" w:type="dxa"/>
            </w:tcMar>
          </w:tcPr>
          <w:p w14:paraId="753CD783" w14:textId="77777777" w:rsidR="007E0025" w:rsidRPr="00BE78CA" w:rsidRDefault="007E0025" w:rsidP="00C26084">
            <w:pPr>
              <w:pStyle w:val="TableText"/>
              <w:jc w:val="right"/>
            </w:pPr>
            <w:r w:rsidRPr="00BE78CA">
              <w:rPr>
                <w:rFonts w:eastAsia="Calibri"/>
              </w:rPr>
              <w:t>64 (–6.4%)</w:t>
            </w:r>
          </w:p>
        </w:tc>
        <w:tc>
          <w:tcPr>
            <w:tcW w:w="0" w:type="auto"/>
            <w:tcBorders>
              <w:top w:val="single" w:sz="8" w:space="0" w:color="365F91"/>
              <w:bottom w:val="single" w:sz="8" w:space="0" w:color="365F91"/>
              <w:right w:val="single" w:sz="4" w:space="0" w:color="FFFFFF"/>
            </w:tcBorders>
            <w:shd w:val="clear" w:color="auto" w:fill="FFFFFF"/>
            <w:tcMar>
              <w:top w:w="0" w:type="dxa"/>
              <w:left w:w="85" w:type="dxa"/>
              <w:bottom w:w="0" w:type="dxa"/>
              <w:right w:w="85" w:type="dxa"/>
            </w:tcMar>
          </w:tcPr>
          <w:p w14:paraId="3A24B081" w14:textId="77777777" w:rsidR="007E0025" w:rsidRPr="00BE78CA" w:rsidRDefault="007E0025" w:rsidP="00C26084">
            <w:pPr>
              <w:pStyle w:val="TableText"/>
              <w:jc w:val="right"/>
            </w:pPr>
            <w:r w:rsidRPr="00BE78CA">
              <w:rPr>
                <w:rFonts w:eastAsia="Calibri"/>
              </w:rPr>
              <w:t>2.4 (–23.5%)</w:t>
            </w:r>
          </w:p>
        </w:tc>
      </w:tr>
      <w:tr w:rsidR="007E0025" w:rsidRPr="00BE78CA" w14:paraId="69B0D37F" w14:textId="77777777" w:rsidTr="00C26084">
        <w:trPr>
          <w:cantSplit/>
        </w:trPr>
        <w:tc>
          <w:tcPr>
            <w:tcW w:w="0" w:type="auto"/>
            <w:tcBorders>
              <w:top w:val="single" w:sz="8" w:space="0" w:color="365F91"/>
              <w:left w:val="single" w:sz="4" w:space="0" w:color="FFFFFF"/>
              <w:bottom w:val="single" w:sz="8" w:space="0" w:color="365F91"/>
            </w:tcBorders>
            <w:shd w:val="clear" w:color="auto" w:fill="FFFFFF"/>
            <w:tcMar>
              <w:top w:w="0" w:type="dxa"/>
              <w:left w:w="85" w:type="dxa"/>
              <w:bottom w:w="0" w:type="dxa"/>
              <w:right w:w="85" w:type="dxa"/>
            </w:tcMar>
          </w:tcPr>
          <w:p w14:paraId="496AB110" w14:textId="77777777" w:rsidR="007E0025" w:rsidRPr="00BE78CA" w:rsidRDefault="007E0025" w:rsidP="00C26084">
            <w:pPr>
              <w:pStyle w:val="TableText"/>
            </w:pPr>
            <w:r w:rsidRPr="00BE78CA">
              <w:rPr>
                <w:rFonts w:eastAsia="Calibri"/>
              </w:rPr>
              <w:t>Mar</w:t>
            </w:r>
          </w:p>
        </w:tc>
        <w:tc>
          <w:tcPr>
            <w:tcW w:w="0" w:type="auto"/>
            <w:tcBorders>
              <w:top w:val="single" w:sz="8" w:space="0" w:color="365F91"/>
              <w:bottom w:val="single" w:sz="8" w:space="0" w:color="365F91"/>
            </w:tcBorders>
            <w:shd w:val="clear" w:color="auto" w:fill="FFFFFF"/>
            <w:tcMar>
              <w:top w:w="0" w:type="dxa"/>
              <w:left w:w="85" w:type="dxa"/>
              <w:bottom w:w="0" w:type="dxa"/>
              <w:right w:w="85" w:type="dxa"/>
            </w:tcMar>
          </w:tcPr>
          <w:p w14:paraId="1D178C34" w14:textId="77777777" w:rsidR="007E0025" w:rsidRPr="00BE78CA" w:rsidRDefault="007E0025" w:rsidP="00C26084">
            <w:pPr>
              <w:pStyle w:val="TableText"/>
              <w:jc w:val="right"/>
            </w:pPr>
            <w:r w:rsidRPr="00BE78CA">
              <w:rPr>
                <w:rFonts w:eastAsia="Calibri"/>
              </w:rPr>
              <w:t xml:space="preserve"> 10 (–6.9%)</w:t>
            </w:r>
          </w:p>
        </w:tc>
        <w:tc>
          <w:tcPr>
            <w:tcW w:w="0" w:type="auto"/>
            <w:tcBorders>
              <w:top w:val="single" w:sz="8" w:space="0" w:color="365F91"/>
              <w:bottom w:val="single" w:sz="8" w:space="0" w:color="365F91"/>
            </w:tcBorders>
            <w:shd w:val="clear" w:color="auto" w:fill="FFFFFF"/>
            <w:tcMar>
              <w:top w:w="0" w:type="dxa"/>
              <w:left w:w="85" w:type="dxa"/>
              <w:bottom w:w="0" w:type="dxa"/>
              <w:right w:w="85" w:type="dxa"/>
            </w:tcMar>
          </w:tcPr>
          <w:p w14:paraId="2B6A751E" w14:textId="77777777" w:rsidR="007E0025" w:rsidRPr="00BE78CA" w:rsidRDefault="007E0025" w:rsidP="00C26084">
            <w:pPr>
              <w:pStyle w:val="TableText"/>
              <w:jc w:val="right"/>
            </w:pPr>
            <w:r w:rsidRPr="00BE78CA">
              <w:rPr>
                <w:rFonts w:eastAsia="Calibri"/>
              </w:rPr>
              <w:t>69.7 (–6.7%)</w:t>
            </w:r>
          </w:p>
        </w:tc>
        <w:tc>
          <w:tcPr>
            <w:tcW w:w="0" w:type="auto"/>
            <w:tcBorders>
              <w:top w:val="single" w:sz="8" w:space="0" w:color="365F91"/>
              <w:bottom w:val="single" w:sz="8" w:space="0" w:color="365F91"/>
            </w:tcBorders>
            <w:shd w:val="clear" w:color="auto" w:fill="FFFFFF"/>
            <w:tcMar>
              <w:top w:w="0" w:type="dxa"/>
              <w:left w:w="85" w:type="dxa"/>
              <w:bottom w:w="0" w:type="dxa"/>
              <w:right w:w="85" w:type="dxa"/>
            </w:tcMar>
          </w:tcPr>
          <w:p w14:paraId="2E1BCBA7" w14:textId="77777777" w:rsidR="007E0025" w:rsidRPr="00BE78CA" w:rsidRDefault="007E0025" w:rsidP="00C26084">
            <w:pPr>
              <w:pStyle w:val="TableText"/>
              <w:jc w:val="right"/>
            </w:pPr>
            <w:r w:rsidRPr="00BE78CA">
              <w:rPr>
                <w:rFonts w:eastAsia="Calibri"/>
              </w:rPr>
              <w:t>3.1 (–19.4%)</w:t>
            </w:r>
          </w:p>
        </w:tc>
        <w:tc>
          <w:tcPr>
            <w:tcW w:w="0" w:type="auto"/>
            <w:tcBorders>
              <w:top w:val="single" w:sz="8" w:space="0" w:color="365F91"/>
              <w:bottom w:val="single" w:sz="8" w:space="0" w:color="365F91"/>
            </w:tcBorders>
            <w:shd w:val="clear" w:color="auto" w:fill="FFFFFF"/>
            <w:tcMar>
              <w:top w:w="0" w:type="dxa"/>
              <w:left w:w="85" w:type="dxa"/>
              <w:bottom w:w="0" w:type="dxa"/>
              <w:right w:w="85" w:type="dxa"/>
            </w:tcMar>
          </w:tcPr>
          <w:p w14:paraId="7B6091A4" w14:textId="77777777" w:rsidR="007E0025" w:rsidRPr="00BE78CA" w:rsidRDefault="007E0025" w:rsidP="00C26084">
            <w:pPr>
              <w:pStyle w:val="TableText"/>
              <w:jc w:val="right"/>
            </w:pPr>
            <w:r w:rsidRPr="00BE78CA">
              <w:rPr>
                <w:rFonts w:eastAsia="Calibri"/>
              </w:rPr>
              <w:t>9 (-6.7%)</w:t>
            </w:r>
          </w:p>
        </w:tc>
        <w:tc>
          <w:tcPr>
            <w:tcW w:w="0" w:type="auto"/>
            <w:tcBorders>
              <w:top w:val="single" w:sz="8" w:space="0" w:color="365F91"/>
              <w:bottom w:val="single" w:sz="8" w:space="0" w:color="365F91"/>
            </w:tcBorders>
            <w:shd w:val="clear" w:color="auto" w:fill="FFFFFF"/>
            <w:tcMar>
              <w:top w:w="0" w:type="dxa"/>
              <w:left w:w="85" w:type="dxa"/>
              <w:bottom w:w="0" w:type="dxa"/>
              <w:right w:w="85" w:type="dxa"/>
            </w:tcMar>
          </w:tcPr>
          <w:p w14:paraId="42C047D3" w14:textId="77777777" w:rsidR="007E0025" w:rsidRPr="00BE78CA" w:rsidRDefault="007E0025" w:rsidP="00C26084">
            <w:pPr>
              <w:pStyle w:val="TableText"/>
              <w:jc w:val="right"/>
            </w:pPr>
            <w:r w:rsidRPr="00BE78CA">
              <w:rPr>
                <w:rFonts w:eastAsia="Calibri"/>
              </w:rPr>
              <w:t>62.5 (–5.8%)</w:t>
            </w:r>
          </w:p>
        </w:tc>
        <w:tc>
          <w:tcPr>
            <w:tcW w:w="0" w:type="auto"/>
            <w:tcBorders>
              <w:top w:val="single" w:sz="8" w:space="0" w:color="365F91"/>
              <w:bottom w:val="single" w:sz="8" w:space="0" w:color="365F91"/>
              <w:right w:val="single" w:sz="4" w:space="0" w:color="FFFFFF"/>
            </w:tcBorders>
            <w:shd w:val="clear" w:color="auto" w:fill="FFFFFF"/>
            <w:tcMar>
              <w:top w:w="0" w:type="dxa"/>
              <w:left w:w="85" w:type="dxa"/>
              <w:bottom w:w="0" w:type="dxa"/>
              <w:right w:w="85" w:type="dxa"/>
            </w:tcMar>
          </w:tcPr>
          <w:p w14:paraId="65903E3F" w14:textId="77777777" w:rsidR="007E0025" w:rsidRPr="00BE78CA" w:rsidRDefault="007E0025" w:rsidP="00C26084">
            <w:pPr>
              <w:pStyle w:val="TableText"/>
              <w:jc w:val="right"/>
            </w:pPr>
            <w:r w:rsidRPr="00BE78CA">
              <w:rPr>
                <w:rFonts w:eastAsia="Calibri"/>
              </w:rPr>
              <w:t>2.7 (–12.8%)</w:t>
            </w:r>
          </w:p>
        </w:tc>
      </w:tr>
      <w:tr w:rsidR="007E0025" w:rsidRPr="00BE78CA" w14:paraId="32722FEC" w14:textId="77777777" w:rsidTr="00C26084">
        <w:trPr>
          <w:cantSplit/>
        </w:trPr>
        <w:tc>
          <w:tcPr>
            <w:tcW w:w="0" w:type="auto"/>
            <w:tcBorders>
              <w:top w:val="single" w:sz="8" w:space="0" w:color="365F91"/>
              <w:left w:val="single" w:sz="4" w:space="0" w:color="FFFFFF"/>
              <w:bottom w:val="single" w:sz="8" w:space="0" w:color="365F91"/>
            </w:tcBorders>
            <w:shd w:val="clear" w:color="auto" w:fill="FFFFFF"/>
            <w:tcMar>
              <w:top w:w="0" w:type="dxa"/>
              <w:left w:w="85" w:type="dxa"/>
              <w:bottom w:w="0" w:type="dxa"/>
              <w:right w:w="85" w:type="dxa"/>
            </w:tcMar>
          </w:tcPr>
          <w:p w14:paraId="3FAE9C75" w14:textId="77777777" w:rsidR="007E0025" w:rsidRPr="00BE78CA" w:rsidRDefault="007E0025" w:rsidP="00C26084">
            <w:pPr>
              <w:pStyle w:val="TableText"/>
            </w:pPr>
            <w:r w:rsidRPr="00BE78CA">
              <w:rPr>
                <w:rFonts w:eastAsia="Calibri"/>
              </w:rPr>
              <w:t>April</w:t>
            </w:r>
          </w:p>
        </w:tc>
        <w:tc>
          <w:tcPr>
            <w:tcW w:w="0" w:type="auto"/>
            <w:tcBorders>
              <w:top w:val="single" w:sz="8" w:space="0" w:color="365F91"/>
              <w:bottom w:val="single" w:sz="8" w:space="0" w:color="365F91"/>
            </w:tcBorders>
            <w:shd w:val="clear" w:color="auto" w:fill="FFFFFF"/>
            <w:tcMar>
              <w:top w:w="0" w:type="dxa"/>
              <w:left w:w="85" w:type="dxa"/>
              <w:bottom w:w="0" w:type="dxa"/>
              <w:right w:w="85" w:type="dxa"/>
            </w:tcMar>
          </w:tcPr>
          <w:p w14:paraId="28B50EDF" w14:textId="77777777" w:rsidR="007E0025" w:rsidRPr="00BE78CA" w:rsidRDefault="007E0025" w:rsidP="00C26084">
            <w:pPr>
              <w:pStyle w:val="TableText"/>
              <w:jc w:val="right"/>
            </w:pPr>
            <w:r w:rsidRPr="00BE78CA">
              <w:rPr>
                <w:rFonts w:eastAsia="Calibri"/>
              </w:rPr>
              <w:t xml:space="preserve"> 10.6 (–6.9%)</w:t>
            </w:r>
          </w:p>
        </w:tc>
        <w:tc>
          <w:tcPr>
            <w:tcW w:w="0" w:type="auto"/>
            <w:tcBorders>
              <w:top w:val="single" w:sz="8" w:space="0" w:color="365F91"/>
              <w:bottom w:val="single" w:sz="8" w:space="0" w:color="365F91"/>
            </w:tcBorders>
            <w:shd w:val="clear" w:color="auto" w:fill="FFFFFF"/>
            <w:tcMar>
              <w:top w:w="0" w:type="dxa"/>
              <w:left w:w="85" w:type="dxa"/>
              <w:bottom w:w="0" w:type="dxa"/>
              <w:right w:w="85" w:type="dxa"/>
            </w:tcMar>
          </w:tcPr>
          <w:p w14:paraId="450836BC" w14:textId="77777777" w:rsidR="007E0025" w:rsidRPr="00BE78CA" w:rsidRDefault="007E0025" w:rsidP="00C26084">
            <w:pPr>
              <w:pStyle w:val="TableText"/>
              <w:jc w:val="right"/>
            </w:pPr>
            <w:r w:rsidRPr="00BE78CA">
              <w:rPr>
                <w:rFonts w:eastAsia="Calibri"/>
              </w:rPr>
              <w:t>73.7 (–6.7%)</w:t>
            </w:r>
          </w:p>
        </w:tc>
        <w:tc>
          <w:tcPr>
            <w:tcW w:w="0" w:type="auto"/>
            <w:tcBorders>
              <w:top w:val="single" w:sz="8" w:space="0" w:color="365F91"/>
              <w:bottom w:val="single" w:sz="8" w:space="0" w:color="365F91"/>
            </w:tcBorders>
            <w:shd w:val="clear" w:color="auto" w:fill="FFFFFF"/>
            <w:tcMar>
              <w:top w:w="0" w:type="dxa"/>
              <w:left w:w="85" w:type="dxa"/>
              <w:bottom w:w="0" w:type="dxa"/>
              <w:right w:w="85" w:type="dxa"/>
            </w:tcMar>
          </w:tcPr>
          <w:p w14:paraId="6728AD33" w14:textId="77777777" w:rsidR="007E0025" w:rsidRPr="00BE78CA" w:rsidRDefault="007E0025" w:rsidP="00C26084">
            <w:pPr>
              <w:pStyle w:val="TableText"/>
              <w:jc w:val="right"/>
            </w:pPr>
            <w:r w:rsidRPr="00BE78CA">
              <w:rPr>
                <w:rFonts w:eastAsia="Calibri"/>
              </w:rPr>
              <w:t xml:space="preserve"> 3.4 (–8.8%)</w:t>
            </w:r>
          </w:p>
        </w:tc>
        <w:tc>
          <w:tcPr>
            <w:tcW w:w="0" w:type="auto"/>
            <w:tcBorders>
              <w:top w:val="single" w:sz="8" w:space="0" w:color="365F91"/>
              <w:bottom w:val="single" w:sz="8" w:space="0" w:color="365F91"/>
            </w:tcBorders>
            <w:shd w:val="clear" w:color="auto" w:fill="FFFFFF"/>
            <w:tcMar>
              <w:top w:w="0" w:type="dxa"/>
              <w:left w:w="85" w:type="dxa"/>
              <w:bottom w:w="0" w:type="dxa"/>
              <w:right w:w="85" w:type="dxa"/>
            </w:tcMar>
          </w:tcPr>
          <w:p w14:paraId="1E8974BE" w14:textId="77777777" w:rsidR="007E0025" w:rsidRPr="00BE78CA" w:rsidRDefault="007E0025" w:rsidP="00C26084">
            <w:pPr>
              <w:pStyle w:val="TableText"/>
              <w:jc w:val="right"/>
            </w:pPr>
            <w:r w:rsidRPr="00BE78CA">
              <w:rPr>
                <w:rFonts w:eastAsia="Calibri"/>
              </w:rPr>
              <w:t>9.6 (0%)</w:t>
            </w:r>
          </w:p>
        </w:tc>
        <w:tc>
          <w:tcPr>
            <w:tcW w:w="0" w:type="auto"/>
            <w:tcBorders>
              <w:top w:val="single" w:sz="8" w:space="0" w:color="365F91"/>
              <w:bottom w:val="single" w:sz="8" w:space="0" w:color="365F91"/>
            </w:tcBorders>
            <w:shd w:val="clear" w:color="auto" w:fill="FFFFFF"/>
            <w:tcMar>
              <w:top w:w="0" w:type="dxa"/>
              <w:left w:w="85" w:type="dxa"/>
              <w:bottom w:w="0" w:type="dxa"/>
              <w:right w:w="85" w:type="dxa"/>
            </w:tcMar>
          </w:tcPr>
          <w:p w14:paraId="1A505021" w14:textId="77777777" w:rsidR="007E0025" w:rsidRPr="00BE78CA" w:rsidRDefault="007E0025" w:rsidP="00C26084">
            <w:pPr>
              <w:pStyle w:val="TableText"/>
              <w:jc w:val="right"/>
            </w:pPr>
            <w:r w:rsidRPr="00BE78CA">
              <w:rPr>
                <w:rFonts w:eastAsia="Calibri"/>
              </w:rPr>
              <w:t>67 (–1.3%)</w:t>
            </w:r>
          </w:p>
        </w:tc>
        <w:tc>
          <w:tcPr>
            <w:tcW w:w="0" w:type="auto"/>
            <w:tcBorders>
              <w:top w:val="single" w:sz="8" w:space="0" w:color="365F91"/>
              <w:bottom w:val="single" w:sz="8" w:space="0" w:color="365F91"/>
              <w:right w:val="single" w:sz="4" w:space="0" w:color="FFFFFF"/>
            </w:tcBorders>
            <w:shd w:val="clear" w:color="auto" w:fill="FFFFFF"/>
            <w:tcMar>
              <w:top w:w="0" w:type="dxa"/>
              <w:left w:w="85" w:type="dxa"/>
              <w:bottom w:w="0" w:type="dxa"/>
              <w:right w:w="85" w:type="dxa"/>
            </w:tcMar>
          </w:tcPr>
          <w:p w14:paraId="161EB0D2" w14:textId="77777777" w:rsidR="007E0025" w:rsidRPr="00BE78CA" w:rsidRDefault="007E0025" w:rsidP="00C26084">
            <w:pPr>
              <w:pStyle w:val="TableText"/>
              <w:jc w:val="right"/>
            </w:pPr>
            <w:r w:rsidRPr="00BE78CA">
              <w:rPr>
                <w:rFonts w:eastAsia="Calibri"/>
              </w:rPr>
              <w:t>3 (–1.0%)</w:t>
            </w:r>
          </w:p>
        </w:tc>
      </w:tr>
      <w:tr w:rsidR="007E0025" w:rsidRPr="00BE78CA" w14:paraId="2A6E0EBE" w14:textId="77777777" w:rsidTr="00C26084">
        <w:trPr>
          <w:cantSplit/>
        </w:trPr>
        <w:tc>
          <w:tcPr>
            <w:tcW w:w="0" w:type="auto"/>
            <w:tcBorders>
              <w:top w:val="single" w:sz="8" w:space="0" w:color="365F91"/>
              <w:left w:val="single" w:sz="4" w:space="0" w:color="FFFFFF"/>
              <w:bottom w:val="single" w:sz="8" w:space="0" w:color="365F91"/>
            </w:tcBorders>
            <w:shd w:val="clear" w:color="auto" w:fill="FFFFFF"/>
            <w:tcMar>
              <w:top w:w="0" w:type="dxa"/>
              <w:left w:w="85" w:type="dxa"/>
              <w:bottom w:w="0" w:type="dxa"/>
              <w:right w:w="85" w:type="dxa"/>
            </w:tcMar>
          </w:tcPr>
          <w:p w14:paraId="61A53D16" w14:textId="77777777" w:rsidR="007E0025" w:rsidRPr="00BE78CA" w:rsidRDefault="007E0025" w:rsidP="00C26084">
            <w:pPr>
              <w:pStyle w:val="TableText"/>
            </w:pPr>
            <w:r w:rsidRPr="00BE78CA">
              <w:rPr>
                <w:rFonts w:eastAsia="Calibri"/>
              </w:rPr>
              <w:t>May</w:t>
            </w:r>
          </w:p>
        </w:tc>
        <w:tc>
          <w:tcPr>
            <w:tcW w:w="0" w:type="auto"/>
            <w:tcBorders>
              <w:top w:val="single" w:sz="8" w:space="0" w:color="365F91"/>
              <w:bottom w:val="single" w:sz="8" w:space="0" w:color="365F91"/>
            </w:tcBorders>
            <w:shd w:val="clear" w:color="auto" w:fill="FFFFFF"/>
            <w:tcMar>
              <w:top w:w="0" w:type="dxa"/>
              <w:left w:w="85" w:type="dxa"/>
              <w:bottom w:w="0" w:type="dxa"/>
              <w:right w:w="85" w:type="dxa"/>
            </w:tcMar>
          </w:tcPr>
          <w:p w14:paraId="1B25525B" w14:textId="77777777" w:rsidR="007E0025" w:rsidRPr="00BE78CA" w:rsidRDefault="007E0025" w:rsidP="00C26084">
            <w:pPr>
              <w:pStyle w:val="TableText"/>
              <w:jc w:val="right"/>
            </w:pPr>
            <w:r w:rsidRPr="00BE78CA">
              <w:rPr>
                <w:rFonts w:eastAsia="Calibri"/>
              </w:rPr>
              <w:t>10.8 (–10.5%)</w:t>
            </w:r>
          </w:p>
        </w:tc>
        <w:tc>
          <w:tcPr>
            <w:tcW w:w="0" w:type="auto"/>
            <w:tcBorders>
              <w:top w:val="single" w:sz="8" w:space="0" w:color="365F91"/>
              <w:bottom w:val="single" w:sz="8" w:space="0" w:color="365F91"/>
            </w:tcBorders>
            <w:shd w:val="clear" w:color="auto" w:fill="FFFFFF"/>
            <w:tcMar>
              <w:top w:w="0" w:type="dxa"/>
              <w:left w:w="85" w:type="dxa"/>
              <w:bottom w:w="0" w:type="dxa"/>
              <w:right w:w="85" w:type="dxa"/>
            </w:tcMar>
          </w:tcPr>
          <w:p w14:paraId="01D52CFA" w14:textId="77777777" w:rsidR="007E0025" w:rsidRPr="00BE78CA" w:rsidRDefault="007E0025" w:rsidP="00C26084">
            <w:pPr>
              <w:pStyle w:val="TableText"/>
              <w:jc w:val="right"/>
            </w:pPr>
            <w:r w:rsidRPr="00BE78CA">
              <w:rPr>
                <w:rFonts w:eastAsia="Calibri"/>
              </w:rPr>
              <w:t>75.3 (–7.8%)</w:t>
            </w:r>
          </w:p>
        </w:tc>
        <w:tc>
          <w:tcPr>
            <w:tcW w:w="0" w:type="auto"/>
            <w:tcBorders>
              <w:top w:val="single" w:sz="8" w:space="0" w:color="365F91"/>
              <w:bottom w:val="single" w:sz="8" w:space="0" w:color="365F91"/>
            </w:tcBorders>
            <w:shd w:val="clear" w:color="auto" w:fill="FFFFFF"/>
            <w:tcMar>
              <w:top w:w="0" w:type="dxa"/>
              <w:left w:w="85" w:type="dxa"/>
              <w:bottom w:w="0" w:type="dxa"/>
              <w:right w:w="85" w:type="dxa"/>
            </w:tcMar>
          </w:tcPr>
          <w:p w14:paraId="6A2B23F9" w14:textId="77777777" w:rsidR="007E0025" w:rsidRPr="00BE78CA" w:rsidRDefault="007E0025" w:rsidP="00C26084">
            <w:pPr>
              <w:pStyle w:val="TableText"/>
              <w:jc w:val="right"/>
            </w:pPr>
            <w:r w:rsidRPr="00BE78CA">
              <w:rPr>
                <w:rFonts w:eastAsia="Calibri"/>
              </w:rPr>
              <w:t xml:space="preserve"> 3.6 (–3.6%)</w:t>
            </w:r>
          </w:p>
        </w:tc>
        <w:tc>
          <w:tcPr>
            <w:tcW w:w="0" w:type="auto"/>
            <w:tcBorders>
              <w:top w:val="single" w:sz="8" w:space="0" w:color="365F91"/>
              <w:bottom w:val="single" w:sz="8" w:space="0" w:color="365F91"/>
            </w:tcBorders>
            <w:shd w:val="clear" w:color="auto" w:fill="FFFFFF"/>
            <w:tcMar>
              <w:top w:w="0" w:type="dxa"/>
              <w:left w:w="85" w:type="dxa"/>
              <w:bottom w:w="0" w:type="dxa"/>
              <w:right w:w="85" w:type="dxa"/>
            </w:tcMar>
          </w:tcPr>
          <w:p w14:paraId="140FE74C" w14:textId="77777777" w:rsidR="007E0025" w:rsidRPr="00BE78CA" w:rsidRDefault="007E0025" w:rsidP="00C26084">
            <w:pPr>
              <w:pStyle w:val="TableText"/>
              <w:jc w:val="right"/>
            </w:pPr>
            <w:r w:rsidRPr="00BE78CA">
              <w:rPr>
                <w:rFonts w:eastAsia="Calibri"/>
              </w:rPr>
              <w:t>9.7 (-1%)</w:t>
            </w:r>
          </w:p>
        </w:tc>
        <w:tc>
          <w:tcPr>
            <w:tcW w:w="0" w:type="auto"/>
            <w:tcBorders>
              <w:top w:val="single" w:sz="8" w:space="0" w:color="365F91"/>
              <w:bottom w:val="single" w:sz="8" w:space="0" w:color="365F91"/>
            </w:tcBorders>
            <w:shd w:val="clear" w:color="auto" w:fill="FFFFFF"/>
            <w:tcMar>
              <w:top w:w="0" w:type="dxa"/>
              <w:left w:w="85" w:type="dxa"/>
              <w:bottom w:w="0" w:type="dxa"/>
              <w:right w:w="85" w:type="dxa"/>
            </w:tcMar>
          </w:tcPr>
          <w:p w14:paraId="4128FEF0" w14:textId="77777777" w:rsidR="007E0025" w:rsidRPr="00BE78CA" w:rsidRDefault="007E0025" w:rsidP="00C26084">
            <w:pPr>
              <w:pStyle w:val="TableText"/>
              <w:jc w:val="right"/>
            </w:pPr>
            <w:r w:rsidRPr="00BE78CA">
              <w:rPr>
                <w:rFonts w:eastAsia="Calibri"/>
              </w:rPr>
              <w:t>68.8 (–3.9%)</w:t>
            </w:r>
          </w:p>
        </w:tc>
        <w:tc>
          <w:tcPr>
            <w:tcW w:w="0" w:type="auto"/>
            <w:tcBorders>
              <w:top w:val="single" w:sz="8" w:space="0" w:color="365F91"/>
              <w:bottom w:val="single" w:sz="8" w:space="0" w:color="365F91"/>
              <w:right w:val="single" w:sz="4" w:space="0" w:color="FFFFFF"/>
            </w:tcBorders>
            <w:shd w:val="clear" w:color="auto" w:fill="FFFFFF"/>
            <w:tcMar>
              <w:top w:w="0" w:type="dxa"/>
              <w:left w:w="85" w:type="dxa"/>
              <w:bottom w:w="0" w:type="dxa"/>
              <w:right w:w="85" w:type="dxa"/>
            </w:tcMar>
          </w:tcPr>
          <w:p w14:paraId="5CC91D18" w14:textId="77777777" w:rsidR="007E0025" w:rsidRPr="00BE78CA" w:rsidRDefault="007E0025" w:rsidP="00C26084">
            <w:pPr>
              <w:pStyle w:val="TableText"/>
              <w:jc w:val="right"/>
            </w:pPr>
            <w:r w:rsidRPr="00BE78CA">
              <w:rPr>
                <w:rFonts w:eastAsia="Calibri"/>
              </w:rPr>
              <w:t>3.1 (–4.2%)</w:t>
            </w:r>
          </w:p>
        </w:tc>
      </w:tr>
      <w:tr w:rsidR="007E0025" w:rsidRPr="00BE78CA" w14:paraId="0F5FBDCF" w14:textId="77777777" w:rsidTr="00C26084">
        <w:trPr>
          <w:cantSplit/>
        </w:trPr>
        <w:tc>
          <w:tcPr>
            <w:tcW w:w="0" w:type="auto"/>
            <w:tcBorders>
              <w:top w:val="single" w:sz="8" w:space="0" w:color="365F91"/>
              <w:left w:val="single" w:sz="4" w:space="0" w:color="FFFFFF"/>
              <w:bottom w:val="single" w:sz="8" w:space="0" w:color="365F91"/>
            </w:tcBorders>
            <w:shd w:val="clear" w:color="auto" w:fill="FFFFFF"/>
            <w:tcMar>
              <w:top w:w="0" w:type="dxa"/>
              <w:left w:w="85" w:type="dxa"/>
              <w:bottom w:w="0" w:type="dxa"/>
              <w:right w:w="85" w:type="dxa"/>
            </w:tcMar>
          </w:tcPr>
          <w:p w14:paraId="5B384D83" w14:textId="77777777" w:rsidR="007E0025" w:rsidRPr="00BE78CA" w:rsidRDefault="007E0025" w:rsidP="00C26084">
            <w:pPr>
              <w:pStyle w:val="TableText"/>
            </w:pPr>
            <w:r w:rsidRPr="00BE78CA">
              <w:rPr>
                <w:rFonts w:eastAsia="Calibri"/>
              </w:rPr>
              <w:t>Jun</w:t>
            </w:r>
          </w:p>
        </w:tc>
        <w:tc>
          <w:tcPr>
            <w:tcW w:w="0" w:type="auto"/>
            <w:tcBorders>
              <w:top w:val="single" w:sz="8" w:space="0" w:color="365F91"/>
              <w:bottom w:val="single" w:sz="8" w:space="0" w:color="365F91"/>
            </w:tcBorders>
            <w:shd w:val="clear" w:color="auto" w:fill="FFFFFF"/>
            <w:tcMar>
              <w:top w:w="0" w:type="dxa"/>
              <w:left w:w="85" w:type="dxa"/>
              <w:bottom w:w="0" w:type="dxa"/>
              <w:right w:w="85" w:type="dxa"/>
            </w:tcMar>
          </w:tcPr>
          <w:p w14:paraId="1A02872A" w14:textId="77777777" w:rsidR="007E0025" w:rsidRPr="00BE78CA" w:rsidRDefault="007E0025" w:rsidP="00C26084">
            <w:pPr>
              <w:pStyle w:val="TableText"/>
              <w:jc w:val="right"/>
            </w:pPr>
            <w:r w:rsidRPr="00BE78CA">
              <w:rPr>
                <w:rFonts w:eastAsia="Calibri"/>
              </w:rPr>
              <w:t xml:space="preserve"> 11.5 (–1.3%)</w:t>
            </w:r>
          </w:p>
        </w:tc>
        <w:tc>
          <w:tcPr>
            <w:tcW w:w="0" w:type="auto"/>
            <w:tcBorders>
              <w:top w:val="single" w:sz="8" w:space="0" w:color="365F91"/>
              <w:bottom w:val="single" w:sz="8" w:space="0" w:color="365F91"/>
            </w:tcBorders>
            <w:shd w:val="clear" w:color="auto" w:fill="FFFFFF"/>
            <w:tcMar>
              <w:top w:w="0" w:type="dxa"/>
              <w:left w:w="85" w:type="dxa"/>
              <w:bottom w:w="0" w:type="dxa"/>
              <w:right w:w="85" w:type="dxa"/>
            </w:tcMar>
          </w:tcPr>
          <w:p w14:paraId="6E08114C" w14:textId="77777777" w:rsidR="007E0025" w:rsidRPr="00BE78CA" w:rsidRDefault="007E0025" w:rsidP="00C26084">
            <w:pPr>
              <w:pStyle w:val="TableText"/>
              <w:jc w:val="right"/>
            </w:pPr>
            <w:r w:rsidRPr="00BE78CA">
              <w:rPr>
                <w:rFonts w:eastAsia="Calibri"/>
              </w:rPr>
              <w:t>78.3 (–2.5%)</w:t>
            </w:r>
          </w:p>
        </w:tc>
        <w:tc>
          <w:tcPr>
            <w:tcW w:w="0" w:type="auto"/>
            <w:tcBorders>
              <w:top w:val="single" w:sz="8" w:space="0" w:color="365F91"/>
              <w:bottom w:val="single" w:sz="8" w:space="0" w:color="365F91"/>
            </w:tcBorders>
            <w:shd w:val="clear" w:color="auto" w:fill="FFFFFF"/>
            <w:tcMar>
              <w:top w:w="0" w:type="dxa"/>
              <w:left w:w="85" w:type="dxa"/>
              <w:bottom w:w="0" w:type="dxa"/>
              <w:right w:w="85" w:type="dxa"/>
            </w:tcMar>
          </w:tcPr>
          <w:p w14:paraId="468C95E8" w14:textId="77777777" w:rsidR="007E0025" w:rsidRPr="00BE78CA" w:rsidRDefault="007E0025" w:rsidP="00C26084">
            <w:pPr>
              <w:pStyle w:val="TableText"/>
              <w:jc w:val="right"/>
            </w:pPr>
            <w:r w:rsidRPr="00BE78CA">
              <w:rPr>
                <w:rFonts w:eastAsia="Calibri"/>
              </w:rPr>
              <w:t xml:space="preserve"> 3.8 (–2.4%)</w:t>
            </w:r>
          </w:p>
        </w:tc>
        <w:tc>
          <w:tcPr>
            <w:tcW w:w="0" w:type="auto"/>
            <w:tcBorders>
              <w:top w:val="single" w:sz="8" w:space="0" w:color="365F91"/>
              <w:bottom w:val="single" w:sz="8" w:space="0" w:color="365F91"/>
            </w:tcBorders>
            <w:shd w:val="clear" w:color="auto" w:fill="FFFFFF"/>
            <w:tcMar>
              <w:top w:w="0" w:type="dxa"/>
              <w:left w:w="85" w:type="dxa"/>
              <w:bottom w:w="0" w:type="dxa"/>
              <w:right w:w="85" w:type="dxa"/>
            </w:tcMar>
          </w:tcPr>
          <w:p w14:paraId="1A5FC485" w14:textId="77777777" w:rsidR="007E0025" w:rsidRPr="00BE78CA" w:rsidRDefault="007E0025" w:rsidP="00C26084">
            <w:pPr>
              <w:pStyle w:val="TableText"/>
              <w:jc w:val="right"/>
            </w:pPr>
            <w:r w:rsidRPr="00BE78CA">
              <w:rPr>
                <w:rFonts w:eastAsia="Calibri"/>
              </w:rPr>
              <w:t>10.5 (-2.9%)</w:t>
            </w:r>
          </w:p>
        </w:tc>
        <w:tc>
          <w:tcPr>
            <w:tcW w:w="0" w:type="auto"/>
            <w:tcBorders>
              <w:top w:val="single" w:sz="8" w:space="0" w:color="365F91"/>
              <w:bottom w:val="single" w:sz="8" w:space="0" w:color="365F91"/>
            </w:tcBorders>
            <w:shd w:val="clear" w:color="auto" w:fill="FFFFFF"/>
            <w:tcMar>
              <w:top w:w="0" w:type="dxa"/>
              <w:left w:w="85" w:type="dxa"/>
              <w:bottom w:w="0" w:type="dxa"/>
              <w:right w:w="85" w:type="dxa"/>
            </w:tcMar>
          </w:tcPr>
          <w:p w14:paraId="6702D09F" w14:textId="77777777" w:rsidR="007E0025" w:rsidRPr="00BE78CA" w:rsidRDefault="007E0025" w:rsidP="00C26084">
            <w:pPr>
              <w:pStyle w:val="TableText"/>
              <w:jc w:val="right"/>
            </w:pPr>
            <w:r w:rsidRPr="00BE78CA">
              <w:rPr>
                <w:rFonts w:eastAsia="Calibri"/>
              </w:rPr>
              <w:t>72.2 (–2.2%)</w:t>
            </w:r>
          </w:p>
        </w:tc>
        <w:tc>
          <w:tcPr>
            <w:tcW w:w="0" w:type="auto"/>
            <w:tcBorders>
              <w:top w:val="single" w:sz="8" w:space="0" w:color="365F91"/>
              <w:bottom w:val="single" w:sz="8" w:space="0" w:color="365F91"/>
              <w:right w:val="single" w:sz="4" w:space="0" w:color="FFFFFF"/>
            </w:tcBorders>
            <w:shd w:val="clear" w:color="auto" w:fill="FFFFFF"/>
            <w:tcMar>
              <w:top w:w="0" w:type="dxa"/>
              <w:left w:w="85" w:type="dxa"/>
              <w:bottom w:w="0" w:type="dxa"/>
              <w:right w:w="85" w:type="dxa"/>
            </w:tcMar>
          </w:tcPr>
          <w:p w14:paraId="720A4757" w14:textId="77777777" w:rsidR="007E0025" w:rsidRPr="00BE78CA" w:rsidRDefault="007E0025" w:rsidP="00C26084">
            <w:pPr>
              <w:pStyle w:val="TableText"/>
              <w:jc w:val="right"/>
            </w:pPr>
            <w:r w:rsidRPr="00BE78CA">
              <w:rPr>
                <w:rFonts w:eastAsia="Calibri"/>
              </w:rPr>
              <w:t>3.4 (–10.7%)</w:t>
            </w:r>
          </w:p>
        </w:tc>
      </w:tr>
      <w:tr w:rsidR="007E0025" w:rsidRPr="00BE78CA" w14:paraId="4A6DAEC0" w14:textId="77777777" w:rsidTr="00C26084">
        <w:trPr>
          <w:cantSplit/>
        </w:trPr>
        <w:tc>
          <w:tcPr>
            <w:tcW w:w="0" w:type="auto"/>
            <w:tcBorders>
              <w:top w:val="single" w:sz="8" w:space="0" w:color="365F91"/>
              <w:left w:val="single" w:sz="4" w:space="0" w:color="FFFFFF"/>
              <w:bottom w:val="single" w:sz="8" w:space="0" w:color="365F91"/>
            </w:tcBorders>
            <w:shd w:val="clear" w:color="auto" w:fill="FFFFFF"/>
            <w:tcMar>
              <w:top w:w="0" w:type="dxa"/>
              <w:left w:w="85" w:type="dxa"/>
              <w:bottom w:w="0" w:type="dxa"/>
              <w:right w:w="85" w:type="dxa"/>
            </w:tcMar>
          </w:tcPr>
          <w:p w14:paraId="67016292" w14:textId="77777777" w:rsidR="007E0025" w:rsidRPr="00BE78CA" w:rsidRDefault="007E0025" w:rsidP="00C26084">
            <w:pPr>
              <w:pStyle w:val="TableText"/>
            </w:pPr>
            <w:r w:rsidRPr="00BE78CA">
              <w:rPr>
                <w:rFonts w:eastAsia="Calibri"/>
              </w:rPr>
              <w:t>Jul</w:t>
            </w:r>
          </w:p>
        </w:tc>
        <w:tc>
          <w:tcPr>
            <w:tcW w:w="0" w:type="auto"/>
            <w:tcBorders>
              <w:top w:val="single" w:sz="8" w:space="0" w:color="365F91"/>
              <w:bottom w:val="single" w:sz="8" w:space="0" w:color="365F91"/>
            </w:tcBorders>
            <w:shd w:val="clear" w:color="auto" w:fill="FFFFFF"/>
            <w:tcMar>
              <w:top w:w="0" w:type="dxa"/>
              <w:left w:w="85" w:type="dxa"/>
              <w:bottom w:w="0" w:type="dxa"/>
              <w:right w:w="85" w:type="dxa"/>
            </w:tcMar>
          </w:tcPr>
          <w:p w14:paraId="3B2F79F8" w14:textId="77777777" w:rsidR="007E0025" w:rsidRPr="00BE78CA" w:rsidRDefault="007E0025" w:rsidP="00C26084">
            <w:pPr>
              <w:pStyle w:val="TableText"/>
              <w:jc w:val="right"/>
            </w:pPr>
            <w:r w:rsidRPr="00BE78CA">
              <w:rPr>
                <w:rFonts w:eastAsia="Calibri"/>
              </w:rPr>
              <w:t xml:space="preserve"> 11.8 (–6.6%)</w:t>
            </w:r>
          </w:p>
        </w:tc>
        <w:tc>
          <w:tcPr>
            <w:tcW w:w="0" w:type="auto"/>
            <w:tcBorders>
              <w:top w:val="single" w:sz="8" w:space="0" w:color="365F91"/>
              <w:bottom w:val="single" w:sz="8" w:space="0" w:color="365F91"/>
            </w:tcBorders>
            <w:shd w:val="clear" w:color="auto" w:fill="FFFFFF"/>
            <w:tcMar>
              <w:top w:w="0" w:type="dxa"/>
              <w:left w:w="85" w:type="dxa"/>
              <w:bottom w:w="0" w:type="dxa"/>
              <w:right w:w="85" w:type="dxa"/>
            </w:tcMar>
          </w:tcPr>
          <w:p w14:paraId="2766ED65" w14:textId="77777777" w:rsidR="007E0025" w:rsidRPr="00BE78CA" w:rsidRDefault="007E0025" w:rsidP="00C26084">
            <w:pPr>
              <w:pStyle w:val="TableText"/>
              <w:jc w:val="right"/>
            </w:pPr>
            <w:r w:rsidRPr="00BE78CA">
              <w:rPr>
                <w:rFonts w:eastAsia="Calibri"/>
              </w:rPr>
              <w:t>79.4 (–5.4%)</w:t>
            </w:r>
          </w:p>
        </w:tc>
        <w:tc>
          <w:tcPr>
            <w:tcW w:w="0" w:type="auto"/>
            <w:tcBorders>
              <w:top w:val="single" w:sz="8" w:space="0" w:color="365F91"/>
              <w:bottom w:val="single" w:sz="8" w:space="0" w:color="365F91"/>
            </w:tcBorders>
            <w:shd w:val="clear" w:color="auto" w:fill="FFFFFF"/>
            <w:tcMar>
              <w:top w:w="0" w:type="dxa"/>
              <w:left w:w="85" w:type="dxa"/>
              <w:bottom w:w="0" w:type="dxa"/>
              <w:right w:w="85" w:type="dxa"/>
            </w:tcMar>
          </w:tcPr>
          <w:p w14:paraId="32AE0E6A" w14:textId="77777777" w:rsidR="007E0025" w:rsidRPr="00BE78CA" w:rsidRDefault="007E0025" w:rsidP="00C26084">
            <w:pPr>
              <w:pStyle w:val="TableText"/>
              <w:jc w:val="right"/>
            </w:pPr>
            <w:r w:rsidRPr="00BE78CA">
              <w:rPr>
                <w:rFonts w:eastAsia="Calibri"/>
              </w:rPr>
              <w:t xml:space="preserve"> 4 (–7%)</w:t>
            </w:r>
          </w:p>
        </w:tc>
        <w:tc>
          <w:tcPr>
            <w:tcW w:w="0" w:type="auto"/>
            <w:tcBorders>
              <w:top w:val="single" w:sz="8" w:space="0" w:color="365F91"/>
              <w:bottom w:val="single" w:sz="8" w:space="0" w:color="365F91"/>
            </w:tcBorders>
            <w:shd w:val="clear" w:color="auto" w:fill="FFFFFF"/>
            <w:tcMar>
              <w:top w:w="0" w:type="dxa"/>
              <w:left w:w="85" w:type="dxa"/>
              <w:bottom w:w="0" w:type="dxa"/>
              <w:right w:w="85" w:type="dxa"/>
            </w:tcMar>
          </w:tcPr>
          <w:p w14:paraId="5A6BC05D" w14:textId="77777777" w:rsidR="007E0025" w:rsidRPr="00BE78CA" w:rsidRDefault="007E0025" w:rsidP="00C26084">
            <w:pPr>
              <w:pStyle w:val="TableText"/>
              <w:jc w:val="right"/>
            </w:pPr>
            <w:r w:rsidRPr="00BE78CA">
              <w:rPr>
                <w:rFonts w:eastAsia="Calibri"/>
              </w:rPr>
              <w:t>10.8 (0%)</w:t>
            </w:r>
          </w:p>
        </w:tc>
        <w:tc>
          <w:tcPr>
            <w:tcW w:w="0" w:type="auto"/>
            <w:tcBorders>
              <w:top w:val="single" w:sz="8" w:space="0" w:color="365F91"/>
              <w:bottom w:val="single" w:sz="8" w:space="0" w:color="365F91"/>
            </w:tcBorders>
            <w:shd w:val="clear" w:color="auto" w:fill="FFFFFF"/>
            <w:tcMar>
              <w:top w:w="0" w:type="dxa"/>
              <w:left w:w="85" w:type="dxa"/>
              <w:bottom w:w="0" w:type="dxa"/>
              <w:right w:w="85" w:type="dxa"/>
            </w:tcMar>
          </w:tcPr>
          <w:p w14:paraId="72BF910A" w14:textId="77777777" w:rsidR="007E0025" w:rsidRPr="00BE78CA" w:rsidRDefault="007E0025" w:rsidP="00C26084">
            <w:pPr>
              <w:pStyle w:val="TableText"/>
              <w:jc w:val="right"/>
            </w:pPr>
            <w:r w:rsidRPr="00BE78CA">
              <w:rPr>
                <w:rFonts w:eastAsia="Calibri"/>
              </w:rPr>
              <w:t>73.6 (–0.3%)</w:t>
            </w:r>
          </w:p>
        </w:tc>
        <w:tc>
          <w:tcPr>
            <w:tcW w:w="0" w:type="auto"/>
            <w:tcBorders>
              <w:top w:val="single" w:sz="8" w:space="0" w:color="365F91"/>
              <w:bottom w:val="single" w:sz="8" w:space="0" w:color="365F91"/>
              <w:right w:val="single" w:sz="4" w:space="0" w:color="FFFFFF"/>
            </w:tcBorders>
            <w:shd w:val="clear" w:color="auto" w:fill="FFFFFF"/>
            <w:tcMar>
              <w:top w:w="0" w:type="dxa"/>
              <w:left w:w="85" w:type="dxa"/>
              <w:bottom w:w="0" w:type="dxa"/>
              <w:right w:w="85" w:type="dxa"/>
            </w:tcMar>
          </w:tcPr>
          <w:p w14:paraId="3A2C23FF" w14:textId="77777777" w:rsidR="007E0025" w:rsidRPr="00BE78CA" w:rsidRDefault="007E0025" w:rsidP="00C26084">
            <w:pPr>
              <w:pStyle w:val="TableText"/>
              <w:jc w:val="right"/>
            </w:pPr>
            <w:r w:rsidRPr="00BE78CA">
              <w:rPr>
                <w:rFonts w:eastAsia="Calibri"/>
              </w:rPr>
              <w:t>3.6 (–15.5%)</w:t>
            </w:r>
          </w:p>
        </w:tc>
      </w:tr>
      <w:tr w:rsidR="007E0025" w:rsidRPr="00BE78CA" w14:paraId="640CD22D" w14:textId="77777777" w:rsidTr="00C26084">
        <w:trPr>
          <w:cantSplit/>
        </w:trPr>
        <w:tc>
          <w:tcPr>
            <w:tcW w:w="0" w:type="auto"/>
            <w:tcBorders>
              <w:top w:val="single" w:sz="8" w:space="0" w:color="365F91"/>
              <w:left w:val="single" w:sz="4" w:space="0" w:color="FFFFFF"/>
              <w:bottom w:val="single" w:sz="8" w:space="0" w:color="365F91"/>
            </w:tcBorders>
            <w:shd w:val="clear" w:color="auto" w:fill="FFFFFF"/>
            <w:tcMar>
              <w:top w:w="0" w:type="dxa"/>
              <w:left w:w="85" w:type="dxa"/>
              <w:bottom w:w="0" w:type="dxa"/>
              <w:right w:w="85" w:type="dxa"/>
            </w:tcMar>
          </w:tcPr>
          <w:p w14:paraId="6CD5CFAB" w14:textId="77777777" w:rsidR="007E0025" w:rsidRPr="00BE78CA" w:rsidRDefault="007E0025" w:rsidP="00C26084">
            <w:pPr>
              <w:pStyle w:val="TableText"/>
            </w:pPr>
            <w:r w:rsidRPr="00BE78CA">
              <w:rPr>
                <w:rFonts w:eastAsia="Calibri"/>
              </w:rPr>
              <w:t>Aug</w:t>
            </w:r>
          </w:p>
        </w:tc>
        <w:tc>
          <w:tcPr>
            <w:tcW w:w="0" w:type="auto"/>
            <w:tcBorders>
              <w:top w:val="single" w:sz="8" w:space="0" w:color="365F91"/>
              <w:bottom w:val="single" w:sz="8" w:space="0" w:color="365F91"/>
            </w:tcBorders>
            <w:shd w:val="clear" w:color="auto" w:fill="FFFFFF"/>
            <w:tcMar>
              <w:top w:w="0" w:type="dxa"/>
              <w:left w:w="85" w:type="dxa"/>
              <w:bottom w:w="0" w:type="dxa"/>
              <w:right w:w="85" w:type="dxa"/>
            </w:tcMar>
          </w:tcPr>
          <w:p w14:paraId="618CBDBE" w14:textId="77777777" w:rsidR="007E0025" w:rsidRPr="00BE78CA" w:rsidRDefault="007E0025" w:rsidP="00C26084">
            <w:pPr>
              <w:pStyle w:val="TableText"/>
              <w:jc w:val="right"/>
            </w:pPr>
            <w:r w:rsidRPr="00BE78CA">
              <w:rPr>
                <w:rFonts w:eastAsia="Calibri"/>
              </w:rPr>
              <w:t xml:space="preserve"> 12.1 (–4.7%)</w:t>
            </w:r>
          </w:p>
        </w:tc>
        <w:tc>
          <w:tcPr>
            <w:tcW w:w="0" w:type="auto"/>
            <w:tcBorders>
              <w:top w:val="single" w:sz="8" w:space="0" w:color="365F91"/>
              <w:bottom w:val="single" w:sz="8" w:space="0" w:color="365F91"/>
            </w:tcBorders>
            <w:shd w:val="clear" w:color="auto" w:fill="FFFFFF"/>
            <w:tcMar>
              <w:top w:w="0" w:type="dxa"/>
              <w:left w:w="85" w:type="dxa"/>
              <w:bottom w:w="0" w:type="dxa"/>
              <w:right w:w="85" w:type="dxa"/>
            </w:tcMar>
          </w:tcPr>
          <w:p w14:paraId="6F580E24" w14:textId="77777777" w:rsidR="007E0025" w:rsidRPr="00BE78CA" w:rsidRDefault="007E0025" w:rsidP="00C26084">
            <w:pPr>
              <w:pStyle w:val="TableText"/>
              <w:jc w:val="right"/>
            </w:pPr>
            <w:r w:rsidRPr="00BE78CA">
              <w:rPr>
                <w:rFonts w:eastAsia="Calibri"/>
              </w:rPr>
              <w:t xml:space="preserve"> 81.1 (–2%)</w:t>
            </w:r>
          </w:p>
        </w:tc>
        <w:tc>
          <w:tcPr>
            <w:tcW w:w="0" w:type="auto"/>
            <w:tcBorders>
              <w:top w:val="single" w:sz="8" w:space="0" w:color="365F91"/>
              <w:bottom w:val="single" w:sz="8" w:space="0" w:color="365F91"/>
            </w:tcBorders>
            <w:shd w:val="clear" w:color="auto" w:fill="FFFFFF"/>
            <w:tcMar>
              <w:top w:w="0" w:type="dxa"/>
              <w:left w:w="85" w:type="dxa"/>
              <w:bottom w:w="0" w:type="dxa"/>
              <w:right w:w="85" w:type="dxa"/>
            </w:tcMar>
          </w:tcPr>
          <w:p w14:paraId="20237F67" w14:textId="77777777" w:rsidR="007E0025" w:rsidRPr="00BE78CA" w:rsidRDefault="007E0025" w:rsidP="00C26084">
            <w:pPr>
              <w:pStyle w:val="TableText"/>
              <w:jc w:val="right"/>
            </w:pPr>
            <w:r w:rsidRPr="00BE78CA">
              <w:rPr>
                <w:rFonts w:eastAsia="Calibri"/>
              </w:rPr>
              <w:t xml:space="preserve"> 4.1 (–9.5%)</w:t>
            </w:r>
          </w:p>
        </w:tc>
        <w:tc>
          <w:tcPr>
            <w:tcW w:w="0" w:type="auto"/>
            <w:tcBorders>
              <w:top w:val="single" w:sz="8" w:space="0" w:color="365F91"/>
              <w:bottom w:val="single" w:sz="8" w:space="0" w:color="365F91"/>
            </w:tcBorders>
            <w:shd w:val="clear" w:color="auto" w:fill="FFFFFF"/>
            <w:tcMar>
              <w:top w:w="0" w:type="dxa"/>
              <w:left w:w="85" w:type="dxa"/>
              <w:bottom w:w="0" w:type="dxa"/>
              <w:right w:w="85" w:type="dxa"/>
            </w:tcMar>
          </w:tcPr>
          <w:p w14:paraId="0CDB63DE" w14:textId="77777777" w:rsidR="007E0025" w:rsidRPr="00BE78CA" w:rsidRDefault="007E0025" w:rsidP="00C26084">
            <w:pPr>
              <w:pStyle w:val="TableText"/>
              <w:jc w:val="right"/>
            </w:pPr>
            <w:r w:rsidRPr="00BE78CA">
              <w:rPr>
                <w:rFonts w:eastAsia="Calibri"/>
              </w:rPr>
              <w:t>11.1 (–2.7%)</w:t>
            </w:r>
          </w:p>
        </w:tc>
        <w:tc>
          <w:tcPr>
            <w:tcW w:w="0" w:type="auto"/>
            <w:tcBorders>
              <w:top w:val="single" w:sz="8" w:space="0" w:color="365F91"/>
              <w:bottom w:val="single" w:sz="8" w:space="0" w:color="365F91"/>
            </w:tcBorders>
            <w:shd w:val="clear" w:color="auto" w:fill="FFFFFF"/>
            <w:tcMar>
              <w:top w:w="0" w:type="dxa"/>
              <w:left w:w="85" w:type="dxa"/>
              <w:bottom w:w="0" w:type="dxa"/>
              <w:right w:w="85" w:type="dxa"/>
            </w:tcMar>
          </w:tcPr>
          <w:p w14:paraId="57930022" w14:textId="77777777" w:rsidR="007E0025" w:rsidRPr="00BE78CA" w:rsidRDefault="007E0025" w:rsidP="00C26084">
            <w:pPr>
              <w:pStyle w:val="TableText"/>
              <w:jc w:val="right"/>
            </w:pPr>
            <w:r w:rsidRPr="00BE78CA">
              <w:rPr>
                <w:rFonts w:eastAsia="Calibri"/>
              </w:rPr>
              <w:t>75.6 (–2.4%)</w:t>
            </w:r>
          </w:p>
        </w:tc>
        <w:tc>
          <w:tcPr>
            <w:tcW w:w="0" w:type="auto"/>
            <w:tcBorders>
              <w:top w:val="single" w:sz="8" w:space="0" w:color="365F91"/>
              <w:bottom w:val="single" w:sz="8" w:space="0" w:color="365F91"/>
              <w:right w:val="single" w:sz="4" w:space="0" w:color="FFFFFF"/>
            </w:tcBorders>
            <w:shd w:val="clear" w:color="auto" w:fill="FFFFFF"/>
            <w:tcMar>
              <w:top w:w="0" w:type="dxa"/>
              <w:left w:w="85" w:type="dxa"/>
              <w:bottom w:w="0" w:type="dxa"/>
              <w:right w:w="85" w:type="dxa"/>
            </w:tcMar>
          </w:tcPr>
          <w:p w14:paraId="3D78F2F1" w14:textId="77777777" w:rsidR="007E0025" w:rsidRPr="00BE78CA" w:rsidRDefault="007E0025" w:rsidP="00C26084">
            <w:pPr>
              <w:pStyle w:val="TableText"/>
              <w:jc w:val="right"/>
            </w:pPr>
            <w:r w:rsidRPr="00BE78CA">
              <w:rPr>
                <w:rFonts w:eastAsia="Calibri"/>
              </w:rPr>
              <w:t>3.7 (–17.8%)</w:t>
            </w:r>
          </w:p>
        </w:tc>
      </w:tr>
      <w:tr w:rsidR="007E0025" w:rsidRPr="00BE78CA" w14:paraId="4CB1153F" w14:textId="77777777" w:rsidTr="00C26084">
        <w:trPr>
          <w:cantSplit/>
        </w:trPr>
        <w:tc>
          <w:tcPr>
            <w:tcW w:w="0" w:type="auto"/>
            <w:tcBorders>
              <w:top w:val="single" w:sz="8" w:space="0" w:color="365F91"/>
              <w:left w:val="single" w:sz="4" w:space="0" w:color="FFFFFF"/>
              <w:bottom w:val="single" w:sz="8" w:space="0" w:color="365F91"/>
            </w:tcBorders>
            <w:shd w:val="clear" w:color="auto" w:fill="FFFFFF"/>
            <w:tcMar>
              <w:top w:w="0" w:type="dxa"/>
              <w:left w:w="85" w:type="dxa"/>
              <w:bottom w:w="0" w:type="dxa"/>
              <w:right w:w="85" w:type="dxa"/>
            </w:tcMar>
          </w:tcPr>
          <w:p w14:paraId="5AE80540" w14:textId="77777777" w:rsidR="007E0025" w:rsidRPr="00BE78CA" w:rsidRDefault="007E0025" w:rsidP="00C26084">
            <w:pPr>
              <w:pStyle w:val="TableText"/>
            </w:pPr>
            <w:r w:rsidRPr="00BE78CA">
              <w:rPr>
                <w:rFonts w:eastAsia="Calibri"/>
              </w:rPr>
              <w:t>Sept</w:t>
            </w:r>
          </w:p>
        </w:tc>
        <w:tc>
          <w:tcPr>
            <w:tcW w:w="0" w:type="auto"/>
            <w:tcBorders>
              <w:top w:val="single" w:sz="8" w:space="0" w:color="365F91"/>
              <w:bottom w:val="single" w:sz="8" w:space="0" w:color="365F91"/>
            </w:tcBorders>
            <w:shd w:val="clear" w:color="auto" w:fill="FFFFFF"/>
            <w:tcMar>
              <w:top w:w="0" w:type="dxa"/>
              <w:left w:w="85" w:type="dxa"/>
              <w:bottom w:w="0" w:type="dxa"/>
              <w:right w:w="85" w:type="dxa"/>
            </w:tcMar>
          </w:tcPr>
          <w:p w14:paraId="121E6097" w14:textId="77777777" w:rsidR="007E0025" w:rsidRPr="00BE78CA" w:rsidRDefault="007E0025" w:rsidP="00C26084">
            <w:pPr>
              <w:pStyle w:val="TableText"/>
              <w:jc w:val="right"/>
            </w:pPr>
            <w:r w:rsidRPr="00BE78CA">
              <w:rPr>
                <w:rFonts w:eastAsia="Calibri"/>
              </w:rPr>
              <w:t xml:space="preserve"> 12.3 (–5%)</w:t>
            </w:r>
          </w:p>
        </w:tc>
        <w:tc>
          <w:tcPr>
            <w:tcW w:w="0" w:type="auto"/>
            <w:tcBorders>
              <w:top w:val="single" w:sz="8" w:space="0" w:color="365F91"/>
              <w:bottom w:val="single" w:sz="8" w:space="0" w:color="365F91"/>
            </w:tcBorders>
            <w:shd w:val="clear" w:color="auto" w:fill="FFFFFF"/>
            <w:tcMar>
              <w:top w:w="0" w:type="dxa"/>
              <w:left w:w="85" w:type="dxa"/>
              <w:bottom w:w="0" w:type="dxa"/>
              <w:right w:w="85" w:type="dxa"/>
            </w:tcMar>
          </w:tcPr>
          <w:p w14:paraId="326C2965" w14:textId="77777777" w:rsidR="007E0025" w:rsidRPr="00BE78CA" w:rsidRDefault="007E0025" w:rsidP="00C26084">
            <w:pPr>
              <w:pStyle w:val="TableText"/>
              <w:jc w:val="right"/>
            </w:pPr>
            <w:r w:rsidRPr="00BE78CA">
              <w:rPr>
                <w:rFonts w:eastAsia="Calibri"/>
              </w:rPr>
              <w:t>82.4 (–4.1%)</w:t>
            </w:r>
          </w:p>
        </w:tc>
        <w:tc>
          <w:tcPr>
            <w:tcW w:w="0" w:type="auto"/>
            <w:tcBorders>
              <w:top w:val="single" w:sz="8" w:space="0" w:color="365F91"/>
              <w:bottom w:val="single" w:sz="8" w:space="0" w:color="365F91"/>
            </w:tcBorders>
            <w:shd w:val="clear" w:color="auto" w:fill="FFFFFF"/>
            <w:tcMar>
              <w:top w:w="0" w:type="dxa"/>
              <w:left w:w="85" w:type="dxa"/>
              <w:bottom w:w="0" w:type="dxa"/>
              <w:right w:w="85" w:type="dxa"/>
            </w:tcMar>
          </w:tcPr>
          <w:p w14:paraId="7A7CC56E" w14:textId="77777777" w:rsidR="007E0025" w:rsidRPr="00BE78CA" w:rsidRDefault="007E0025" w:rsidP="00C26084">
            <w:pPr>
              <w:pStyle w:val="TableText"/>
              <w:jc w:val="right"/>
            </w:pPr>
            <w:r w:rsidRPr="00BE78CA">
              <w:rPr>
                <w:rFonts w:eastAsia="Calibri"/>
              </w:rPr>
              <w:t>4.2 (–11.1%)</w:t>
            </w:r>
          </w:p>
        </w:tc>
        <w:tc>
          <w:tcPr>
            <w:tcW w:w="0" w:type="auto"/>
            <w:tcBorders>
              <w:top w:val="single" w:sz="8" w:space="0" w:color="365F91"/>
              <w:bottom w:val="single" w:sz="8" w:space="0" w:color="365F91"/>
            </w:tcBorders>
            <w:shd w:val="clear" w:color="auto" w:fill="FFFFFF"/>
            <w:tcMar>
              <w:top w:w="0" w:type="dxa"/>
              <w:left w:w="85" w:type="dxa"/>
              <w:bottom w:w="0" w:type="dxa"/>
              <w:right w:w="85" w:type="dxa"/>
            </w:tcMar>
          </w:tcPr>
          <w:p w14:paraId="1FAF0094" w14:textId="77777777" w:rsidR="007E0025" w:rsidRPr="00BE78CA" w:rsidRDefault="007E0025" w:rsidP="00C26084">
            <w:pPr>
              <w:pStyle w:val="TableText"/>
              <w:jc w:val="right"/>
            </w:pPr>
            <w:r w:rsidRPr="00BE78CA">
              <w:rPr>
                <w:rFonts w:eastAsia="Calibri"/>
              </w:rPr>
              <w:t>11.3 (–0.9%)</w:t>
            </w:r>
          </w:p>
        </w:tc>
        <w:tc>
          <w:tcPr>
            <w:tcW w:w="0" w:type="auto"/>
            <w:tcBorders>
              <w:top w:val="single" w:sz="8" w:space="0" w:color="365F91"/>
              <w:bottom w:val="single" w:sz="8" w:space="0" w:color="365F91"/>
            </w:tcBorders>
            <w:shd w:val="clear" w:color="auto" w:fill="FFFFFF"/>
            <w:tcMar>
              <w:top w:w="0" w:type="dxa"/>
              <w:left w:w="85" w:type="dxa"/>
              <w:bottom w:w="0" w:type="dxa"/>
              <w:right w:w="85" w:type="dxa"/>
            </w:tcMar>
          </w:tcPr>
          <w:p w14:paraId="17B5EBBC" w14:textId="77777777" w:rsidR="007E0025" w:rsidRPr="00BE78CA" w:rsidRDefault="007E0025" w:rsidP="00C26084">
            <w:pPr>
              <w:pStyle w:val="TableText"/>
              <w:jc w:val="right"/>
            </w:pPr>
            <w:r w:rsidRPr="00BE78CA">
              <w:rPr>
                <w:rFonts w:eastAsia="Calibri"/>
              </w:rPr>
              <w:t>77.2 (–0.6%)</w:t>
            </w:r>
          </w:p>
        </w:tc>
        <w:tc>
          <w:tcPr>
            <w:tcW w:w="0" w:type="auto"/>
            <w:tcBorders>
              <w:top w:val="single" w:sz="8" w:space="0" w:color="365F91"/>
              <w:bottom w:val="single" w:sz="8" w:space="0" w:color="365F91"/>
              <w:right w:val="single" w:sz="4" w:space="0" w:color="FFFFFF"/>
            </w:tcBorders>
            <w:shd w:val="clear" w:color="auto" w:fill="FFFFFF"/>
            <w:tcMar>
              <w:top w:w="0" w:type="dxa"/>
              <w:left w:w="85" w:type="dxa"/>
              <w:bottom w:w="0" w:type="dxa"/>
              <w:right w:w="85" w:type="dxa"/>
            </w:tcMar>
          </w:tcPr>
          <w:p w14:paraId="39214717" w14:textId="77777777" w:rsidR="007E0025" w:rsidRPr="00BE78CA" w:rsidRDefault="007E0025" w:rsidP="00C26084">
            <w:pPr>
              <w:pStyle w:val="TableText"/>
              <w:jc w:val="right"/>
            </w:pPr>
            <w:r w:rsidRPr="00BE78CA">
              <w:rPr>
                <w:rFonts w:eastAsia="Calibri"/>
              </w:rPr>
              <w:t>3.7 (–19.4%)</w:t>
            </w:r>
          </w:p>
        </w:tc>
      </w:tr>
      <w:tr w:rsidR="007E0025" w:rsidRPr="00BE78CA" w14:paraId="3C16916E" w14:textId="77777777" w:rsidTr="00C26084">
        <w:trPr>
          <w:cantSplit/>
        </w:trPr>
        <w:tc>
          <w:tcPr>
            <w:tcW w:w="0" w:type="auto"/>
            <w:tcBorders>
              <w:top w:val="single" w:sz="8" w:space="0" w:color="365F91"/>
              <w:left w:val="single" w:sz="4" w:space="0" w:color="FFFFFF"/>
              <w:bottom w:val="single" w:sz="8" w:space="0" w:color="365F91"/>
            </w:tcBorders>
            <w:shd w:val="clear" w:color="auto" w:fill="FFFFFF"/>
            <w:tcMar>
              <w:top w:w="0" w:type="dxa"/>
              <w:left w:w="85" w:type="dxa"/>
              <w:bottom w:w="0" w:type="dxa"/>
              <w:right w:w="85" w:type="dxa"/>
            </w:tcMar>
          </w:tcPr>
          <w:p w14:paraId="4088EE33" w14:textId="77777777" w:rsidR="007E0025" w:rsidRPr="00BE78CA" w:rsidRDefault="007E0025" w:rsidP="00C26084">
            <w:pPr>
              <w:pStyle w:val="TableText"/>
            </w:pPr>
            <w:r w:rsidRPr="00BE78CA">
              <w:rPr>
                <w:rFonts w:eastAsia="Calibri"/>
              </w:rPr>
              <w:t>Oct</w:t>
            </w:r>
          </w:p>
        </w:tc>
        <w:tc>
          <w:tcPr>
            <w:tcW w:w="0" w:type="auto"/>
            <w:tcBorders>
              <w:top w:val="single" w:sz="8" w:space="0" w:color="365F91"/>
              <w:bottom w:val="single" w:sz="8" w:space="0" w:color="365F91"/>
            </w:tcBorders>
            <w:shd w:val="clear" w:color="auto" w:fill="FFFFFF"/>
            <w:tcMar>
              <w:top w:w="0" w:type="dxa"/>
              <w:left w:w="85" w:type="dxa"/>
              <w:bottom w:w="0" w:type="dxa"/>
              <w:right w:w="85" w:type="dxa"/>
            </w:tcMar>
          </w:tcPr>
          <w:p w14:paraId="6026EBF9" w14:textId="77777777" w:rsidR="007E0025" w:rsidRPr="00BE78CA" w:rsidRDefault="007E0025" w:rsidP="00C26084">
            <w:pPr>
              <w:pStyle w:val="TableText"/>
              <w:jc w:val="right"/>
            </w:pPr>
            <w:r w:rsidRPr="00BE78CA">
              <w:rPr>
                <w:rFonts w:eastAsia="Calibri"/>
              </w:rPr>
              <w:t xml:space="preserve"> 12.3 (–2.4%)</w:t>
            </w:r>
          </w:p>
        </w:tc>
        <w:tc>
          <w:tcPr>
            <w:tcW w:w="0" w:type="auto"/>
            <w:tcBorders>
              <w:top w:val="single" w:sz="8" w:space="0" w:color="365F91"/>
              <w:bottom w:val="single" w:sz="8" w:space="0" w:color="365F91"/>
            </w:tcBorders>
            <w:shd w:val="clear" w:color="auto" w:fill="FFFFFF"/>
            <w:tcMar>
              <w:top w:w="0" w:type="dxa"/>
              <w:left w:w="85" w:type="dxa"/>
              <w:bottom w:w="0" w:type="dxa"/>
              <w:right w:w="85" w:type="dxa"/>
            </w:tcMar>
          </w:tcPr>
          <w:p w14:paraId="50379A4E" w14:textId="77777777" w:rsidR="007E0025" w:rsidRPr="00BE78CA" w:rsidRDefault="007E0025" w:rsidP="00C26084">
            <w:pPr>
              <w:pStyle w:val="TableText"/>
              <w:jc w:val="right"/>
            </w:pPr>
            <w:r w:rsidRPr="00BE78CA">
              <w:rPr>
                <w:rFonts w:eastAsia="Calibri"/>
              </w:rPr>
              <w:t xml:space="preserve"> 82 (–1.9%)</w:t>
            </w:r>
          </w:p>
        </w:tc>
        <w:tc>
          <w:tcPr>
            <w:tcW w:w="0" w:type="auto"/>
            <w:tcBorders>
              <w:top w:val="single" w:sz="8" w:space="0" w:color="365F91"/>
              <w:bottom w:val="single" w:sz="8" w:space="0" w:color="365F91"/>
            </w:tcBorders>
            <w:shd w:val="clear" w:color="auto" w:fill="FFFFFF"/>
            <w:tcMar>
              <w:top w:w="0" w:type="dxa"/>
              <w:left w:w="85" w:type="dxa"/>
              <w:bottom w:w="0" w:type="dxa"/>
              <w:right w:w="85" w:type="dxa"/>
            </w:tcMar>
          </w:tcPr>
          <w:p w14:paraId="00277CEE" w14:textId="77777777" w:rsidR="007E0025" w:rsidRPr="00BE78CA" w:rsidRDefault="007E0025" w:rsidP="00C26084">
            <w:pPr>
              <w:pStyle w:val="TableText"/>
              <w:jc w:val="right"/>
            </w:pPr>
            <w:r w:rsidRPr="00BE78CA">
              <w:rPr>
                <w:rFonts w:eastAsia="Calibri"/>
              </w:rPr>
              <w:t xml:space="preserve"> 3.7 (–0.3%)</w:t>
            </w:r>
          </w:p>
        </w:tc>
        <w:tc>
          <w:tcPr>
            <w:tcW w:w="0" w:type="auto"/>
            <w:tcBorders>
              <w:top w:val="single" w:sz="8" w:space="0" w:color="365F91"/>
              <w:bottom w:val="single" w:sz="8" w:space="0" w:color="365F91"/>
            </w:tcBorders>
            <w:shd w:val="clear" w:color="auto" w:fill="FFFFFF"/>
            <w:tcMar>
              <w:top w:w="0" w:type="dxa"/>
              <w:left w:w="85" w:type="dxa"/>
              <w:bottom w:w="0" w:type="dxa"/>
              <w:right w:w="85" w:type="dxa"/>
            </w:tcMar>
          </w:tcPr>
          <w:p w14:paraId="05F05ABB" w14:textId="77777777" w:rsidR="007E0025" w:rsidRPr="00BE78CA" w:rsidRDefault="007E0025" w:rsidP="00C26084">
            <w:pPr>
              <w:pStyle w:val="TableText"/>
              <w:jc w:val="right"/>
            </w:pPr>
            <w:r w:rsidRPr="00BE78CA">
              <w:rPr>
                <w:rFonts w:eastAsia="Calibri"/>
              </w:rPr>
              <w:t>11.3 (–0.9%)</w:t>
            </w:r>
          </w:p>
        </w:tc>
        <w:tc>
          <w:tcPr>
            <w:tcW w:w="0" w:type="auto"/>
            <w:tcBorders>
              <w:top w:val="single" w:sz="8" w:space="0" w:color="365F91"/>
              <w:bottom w:val="single" w:sz="8" w:space="0" w:color="365F91"/>
            </w:tcBorders>
            <w:shd w:val="clear" w:color="auto" w:fill="FFFFFF"/>
            <w:tcMar>
              <w:top w:w="0" w:type="dxa"/>
              <w:left w:w="85" w:type="dxa"/>
              <w:bottom w:w="0" w:type="dxa"/>
              <w:right w:w="85" w:type="dxa"/>
            </w:tcMar>
          </w:tcPr>
          <w:p w14:paraId="70D5681C" w14:textId="77777777" w:rsidR="007E0025" w:rsidRPr="00BE78CA" w:rsidRDefault="007E0025" w:rsidP="00C26084">
            <w:pPr>
              <w:pStyle w:val="TableText"/>
              <w:jc w:val="right"/>
            </w:pPr>
            <w:r w:rsidRPr="00BE78CA">
              <w:rPr>
                <w:rFonts w:eastAsia="Calibri"/>
              </w:rPr>
              <w:t>76.7 (–1.3%)</w:t>
            </w:r>
          </w:p>
        </w:tc>
        <w:tc>
          <w:tcPr>
            <w:tcW w:w="0" w:type="auto"/>
            <w:tcBorders>
              <w:top w:val="single" w:sz="8" w:space="0" w:color="365F91"/>
              <w:bottom w:val="single" w:sz="8" w:space="0" w:color="365F91"/>
              <w:right w:val="single" w:sz="4" w:space="0" w:color="FFFFFF"/>
            </w:tcBorders>
            <w:shd w:val="clear" w:color="auto" w:fill="FFFFFF"/>
            <w:tcMar>
              <w:top w:w="0" w:type="dxa"/>
              <w:left w:w="85" w:type="dxa"/>
              <w:bottom w:w="0" w:type="dxa"/>
              <w:right w:w="85" w:type="dxa"/>
            </w:tcMar>
          </w:tcPr>
          <w:p w14:paraId="460800E1" w14:textId="77777777" w:rsidR="007E0025" w:rsidRPr="00BE78CA" w:rsidRDefault="007E0025" w:rsidP="00C26084">
            <w:pPr>
              <w:pStyle w:val="TableText"/>
              <w:jc w:val="right"/>
            </w:pPr>
            <w:r w:rsidRPr="00BE78CA">
              <w:rPr>
                <w:rFonts w:eastAsia="Calibri"/>
              </w:rPr>
              <w:t>3.3 (–7.7%)</w:t>
            </w:r>
          </w:p>
        </w:tc>
      </w:tr>
      <w:tr w:rsidR="007E0025" w:rsidRPr="00BE78CA" w14:paraId="1ACB670F" w14:textId="77777777" w:rsidTr="00C26084">
        <w:trPr>
          <w:cantSplit/>
        </w:trPr>
        <w:tc>
          <w:tcPr>
            <w:tcW w:w="0" w:type="auto"/>
            <w:tcBorders>
              <w:top w:val="single" w:sz="8" w:space="0" w:color="365F91"/>
              <w:left w:val="single" w:sz="4" w:space="0" w:color="FFFFFF"/>
              <w:bottom w:val="single" w:sz="8" w:space="0" w:color="365F91"/>
            </w:tcBorders>
            <w:shd w:val="clear" w:color="auto" w:fill="FFFFFF"/>
            <w:tcMar>
              <w:top w:w="0" w:type="dxa"/>
              <w:left w:w="85" w:type="dxa"/>
              <w:bottom w:w="0" w:type="dxa"/>
              <w:right w:w="85" w:type="dxa"/>
            </w:tcMar>
          </w:tcPr>
          <w:p w14:paraId="48D5ECB2" w14:textId="77777777" w:rsidR="007E0025" w:rsidRPr="00BE78CA" w:rsidRDefault="007E0025" w:rsidP="00C26084">
            <w:pPr>
              <w:pStyle w:val="TableText"/>
            </w:pPr>
            <w:r w:rsidRPr="00BE78CA">
              <w:rPr>
                <w:rFonts w:eastAsia="Calibri"/>
              </w:rPr>
              <w:t>Nov</w:t>
            </w:r>
          </w:p>
        </w:tc>
        <w:tc>
          <w:tcPr>
            <w:tcW w:w="0" w:type="auto"/>
            <w:tcBorders>
              <w:top w:val="single" w:sz="8" w:space="0" w:color="365F91"/>
              <w:bottom w:val="single" w:sz="8" w:space="0" w:color="365F91"/>
            </w:tcBorders>
            <w:shd w:val="clear" w:color="auto" w:fill="FFFFFF"/>
            <w:tcMar>
              <w:top w:w="0" w:type="dxa"/>
              <w:left w:w="85" w:type="dxa"/>
              <w:bottom w:w="0" w:type="dxa"/>
              <w:right w:w="85" w:type="dxa"/>
            </w:tcMar>
          </w:tcPr>
          <w:p w14:paraId="51E64A4B" w14:textId="77777777" w:rsidR="007E0025" w:rsidRPr="00BE78CA" w:rsidRDefault="007E0025" w:rsidP="00C26084">
            <w:pPr>
              <w:pStyle w:val="TableText"/>
              <w:jc w:val="right"/>
            </w:pPr>
            <w:r w:rsidRPr="00BE78CA">
              <w:rPr>
                <w:rFonts w:eastAsia="Calibri"/>
              </w:rPr>
              <w:t xml:space="preserve"> 11.3 (–3.0%)</w:t>
            </w:r>
          </w:p>
        </w:tc>
        <w:tc>
          <w:tcPr>
            <w:tcW w:w="0" w:type="auto"/>
            <w:tcBorders>
              <w:top w:val="single" w:sz="8" w:space="0" w:color="365F91"/>
              <w:bottom w:val="single" w:sz="8" w:space="0" w:color="365F91"/>
            </w:tcBorders>
            <w:shd w:val="clear" w:color="auto" w:fill="FFFFFF"/>
            <w:tcMar>
              <w:top w:w="0" w:type="dxa"/>
              <w:left w:w="85" w:type="dxa"/>
              <w:bottom w:w="0" w:type="dxa"/>
              <w:right w:w="85" w:type="dxa"/>
            </w:tcMar>
          </w:tcPr>
          <w:p w14:paraId="0ABD1317" w14:textId="77777777" w:rsidR="007E0025" w:rsidRPr="00BE78CA" w:rsidRDefault="007E0025" w:rsidP="00C26084">
            <w:pPr>
              <w:pStyle w:val="TableText"/>
              <w:jc w:val="right"/>
            </w:pPr>
            <w:r w:rsidRPr="00BE78CA">
              <w:rPr>
                <w:rFonts w:eastAsia="Calibri"/>
              </w:rPr>
              <w:t xml:space="preserve"> 77 (–1.9%)</w:t>
            </w:r>
          </w:p>
        </w:tc>
        <w:tc>
          <w:tcPr>
            <w:tcW w:w="0" w:type="auto"/>
            <w:tcBorders>
              <w:top w:val="single" w:sz="8" w:space="0" w:color="365F91"/>
              <w:bottom w:val="single" w:sz="8" w:space="0" w:color="365F91"/>
            </w:tcBorders>
            <w:shd w:val="clear" w:color="auto" w:fill="FFFFFF"/>
            <w:tcMar>
              <w:top w:w="0" w:type="dxa"/>
              <w:left w:w="85" w:type="dxa"/>
              <w:bottom w:w="0" w:type="dxa"/>
              <w:right w:w="85" w:type="dxa"/>
            </w:tcMar>
          </w:tcPr>
          <w:p w14:paraId="129205CB" w14:textId="77777777" w:rsidR="007E0025" w:rsidRPr="00BE78CA" w:rsidRDefault="007E0025" w:rsidP="00C26084">
            <w:pPr>
              <w:pStyle w:val="TableText"/>
              <w:jc w:val="right"/>
            </w:pPr>
            <w:r w:rsidRPr="00BE78CA">
              <w:rPr>
                <w:rFonts w:eastAsia="Calibri"/>
              </w:rPr>
              <w:t>3.2 (–14.6%)</w:t>
            </w:r>
          </w:p>
        </w:tc>
        <w:tc>
          <w:tcPr>
            <w:tcW w:w="0" w:type="auto"/>
            <w:tcBorders>
              <w:top w:val="single" w:sz="8" w:space="0" w:color="365F91"/>
              <w:bottom w:val="single" w:sz="8" w:space="0" w:color="365F91"/>
            </w:tcBorders>
            <w:shd w:val="clear" w:color="auto" w:fill="FFFFFF"/>
            <w:tcMar>
              <w:top w:w="0" w:type="dxa"/>
              <w:left w:w="85" w:type="dxa"/>
              <w:bottom w:w="0" w:type="dxa"/>
              <w:right w:w="85" w:type="dxa"/>
            </w:tcMar>
          </w:tcPr>
          <w:p w14:paraId="06F4E536" w14:textId="77777777" w:rsidR="007E0025" w:rsidRPr="00BE78CA" w:rsidRDefault="007E0025" w:rsidP="00C26084">
            <w:pPr>
              <w:pStyle w:val="TableText"/>
              <w:jc w:val="right"/>
            </w:pPr>
            <w:r w:rsidRPr="00BE78CA">
              <w:rPr>
                <w:rFonts w:eastAsia="Calibri"/>
              </w:rPr>
              <w:t>10.3 (–10.7%)</w:t>
            </w:r>
          </w:p>
        </w:tc>
        <w:tc>
          <w:tcPr>
            <w:tcW w:w="0" w:type="auto"/>
            <w:tcBorders>
              <w:top w:val="single" w:sz="8" w:space="0" w:color="365F91"/>
              <w:bottom w:val="single" w:sz="8" w:space="0" w:color="365F91"/>
            </w:tcBorders>
            <w:shd w:val="clear" w:color="auto" w:fill="FFFFFF"/>
            <w:tcMar>
              <w:top w:w="0" w:type="dxa"/>
              <w:left w:w="85" w:type="dxa"/>
              <w:bottom w:w="0" w:type="dxa"/>
              <w:right w:w="85" w:type="dxa"/>
            </w:tcMar>
          </w:tcPr>
          <w:p w14:paraId="7C09FF63" w14:textId="77777777" w:rsidR="007E0025" w:rsidRPr="00BE78CA" w:rsidRDefault="007E0025" w:rsidP="00C26084">
            <w:pPr>
              <w:pStyle w:val="TableText"/>
              <w:jc w:val="right"/>
            </w:pPr>
            <w:r w:rsidRPr="00BE78CA">
              <w:rPr>
                <w:rFonts w:eastAsia="Calibri"/>
              </w:rPr>
              <w:t>70.8 (–9.7%)</w:t>
            </w:r>
          </w:p>
        </w:tc>
        <w:tc>
          <w:tcPr>
            <w:tcW w:w="0" w:type="auto"/>
            <w:tcBorders>
              <w:top w:val="single" w:sz="8" w:space="0" w:color="365F91"/>
              <w:bottom w:val="single" w:sz="8" w:space="0" w:color="365F91"/>
              <w:right w:val="single" w:sz="4" w:space="0" w:color="FFFFFF"/>
            </w:tcBorders>
            <w:shd w:val="clear" w:color="auto" w:fill="FFFFFF"/>
            <w:tcMar>
              <w:top w:w="0" w:type="dxa"/>
              <w:left w:w="85" w:type="dxa"/>
              <w:bottom w:w="0" w:type="dxa"/>
              <w:right w:w="85" w:type="dxa"/>
            </w:tcMar>
          </w:tcPr>
          <w:p w14:paraId="269770B4" w14:textId="77777777" w:rsidR="007E0025" w:rsidRPr="00BE78CA" w:rsidRDefault="007E0025" w:rsidP="00C26084">
            <w:pPr>
              <w:pStyle w:val="TableText"/>
              <w:jc w:val="right"/>
            </w:pPr>
            <w:r w:rsidRPr="00BE78CA">
              <w:rPr>
                <w:rFonts w:eastAsia="Calibri"/>
              </w:rPr>
              <w:t>2.8 (–7.1%)</w:t>
            </w:r>
          </w:p>
        </w:tc>
      </w:tr>
      <w:tr w:rsidR="007E0025" w:rsidRPr="00BE78CA" w14:paraId="7E25A07D" w14:textId="77777777" w:rsidTr="00C26084">
        <w:trPr>
          <w:cantSplit/>
        </w:trPr>
        <w:tc>
          <w:tcPr>
            <w:tcW w:w="0" w:type="auto"/>
            <w:tcBorders>
              <w:top w:val="single" w:sz="8" w:space="0" w:color="365F91"/>
              <w:left w:val="single" w:sz="4" w:space="0" w:color="FFFFFF"/>
              <w:bottom w:val="single" w:sz="8" w:space="0" w:color="365F91"/>
            </w:tcBorders>
            <w:shd w:val="clear" w:color="auto" w:fill="FFFFFF"/>
            <w:tcMar>
              <w:top w:w="0" w:type="dxa"/>
              <w:left w:w="85" w:type="dxa"/>
              <w:bottom w:w="0" w:type="dxa"/>
              <w:right w:w="85" w:type="dxa"/>
            </w:tcMar>
          </w:tcPr>
          <w:p w14:paraId="083D70BC" w14:textId="77777777" w:rsidR="007E0025" w:rsidRPr="00BE78CA" w:rsidRDefault="007E0025" w:rsidP="00C26084">
            <w:pPr>
              <w:pStyle w:val="TableText"/>
            </w:pPr>
            <w:r w:rsidRPr="00BE78CA">
              <w:rPr>
                <w:rFonts w:eastAsia="Calibri"/>
              </w:rPr>
              <w:t>Dec</w:t>
            </w:r>
          </w:p>
        </w:tc>
        <w:tc>
          <w:tcPr>
            <w:tcW w:w="0" w:type="auto"/>
            <w:tcBorders>
              <w:top w:val="single" w:sz="8" w:space="0" w:color="365F91"/>
              <w:bottom w:val="single" w:sz="8" w:space="0" w:color="365F91"/>
            </w:tcBorders>
            <w:shd w:val="clear" w:color="auto" w:fill="FFFFFF"/>
            <w:tcMar>
              <w:top w:w="0" w:type="dxa"/>
              <w:left w:w="85" w:type="dxa"/>
              <w:bottom w:w="0" w:type="dxa"/>
              <w:right w:w="85" w:type="dxa"/>
            </w:tcMar>
          </w:tcPr>
          <w:p w14:paraId="381A9E4F" w14:textId="77777777" w:rsidR="007E0025" w:rsidRPr="00BE78CA" w:rsidRDefault="007E0025" w:rsidP="00C26084">
            <w:pPr>
              <w:pStyle w:val="TableText"/>
              <w:jc w:val="right"/>
            </w:pPr>
            <w:r w:rsidRPr="00BE78CA">
              <w:rPr>
                <w:rFonts w:eastAsia="Calibri"/>
              </w:rPr>
              <w:t xml:space="preserve"> 11.1 (–2.5%)</w:t>
            </w:r>
          </w:p>
        </w:tc>
        <w:tc>
          <w:tcPr>
            <w:tcW w:w="0" w:type="auto"/>
            <w:tcBorders>
              <w:top w:val="single" w:sz="8" w:space="0" w:color="365F91"/>
              <w:bottom w:val="single" w:sz="8" w:space="0" w:color="365F91"/>
            </w:tcBorders>
            <w:shd w:val="clear" w:color="auto" w:fill="FFFFFF"/>
            <w:tcMar>
              <w:top w:w="0" w:type="dxa"/>
              <w:left w:w="85" w:type="dxa"/>
              <w:bottom w:w="0" w:type="dxa"/>
              <w:right w:w="85" w:type="dxa"/>
            </w:tcMar>
          </w:tcPr>
          <w:p w14:paraId="70381782" w14:textId="77777777" w:rsidR="007E0025" w:rsidRPr="00BE78CA" w:rsidRDefault="007E0025" w:rsidP="00C26084">
            <w:pPr>
              <w:pStyle w:val="TableText"/>
              <w:jc w:val="right"/>
            </w:pPr>
            <w:r w:rsidRPr="00BE78CA">
              <w:rPr>
                <w:rFonts w:eastAsia="Calibri"/>
              </w:rPr>
              <w:t>75.2 (–1.9%)</w:t>
            </w:r>
          </w:p>
        </w:tc>
        <w:tc>
          <w:tcPr>
            <w:tcW w:w="0" w:type="auto"/>
            <w:tcBorders>
              <w:top w:val="single" w:sz="8" w:space="0" w:color="365F91"/>
              <w:bottom w:val="single" w:sz="8" w:space="0" w:color="365F91"/>
            </w:tcBorders>
            <w:shd w:val="clear" w:color="auto" w:fill="FFFFFF"/>
            <w:tcMar>
              <w:top w:w="0" w:type="dxa"/>
              <w:left w:w="85" w:type="dxa"/>
              <w:bottom w:w="0" w:type="dxa"/>
              <w:right w:w="85" w:type="dxa"/>
            </w:tcMar>
          </w:tcPr>
          <w:p w14:paraId="32EADC20" w14:textId="77777777" w:rsidR="007E0025" w:rsidRPr="00BE78CA" w:rsidRDefault="007E0025" w:rsidP="00C26084">
            <w:pPr>
              <w:pStyle w:val="TableText"/>
              <w:jc w:val="right"/>
            </w:pPr>
            <w:r w:rsidRPr="00BE78CA">
              <w:rPr>
                <w:rFonts w:eastAsia="Calibri"/>
              </w:rPr>
              <w:t>3.2 (–17.5%)</w:t>
            </w:r>
          </w:p>
        </w:tc>
        <w:tc>
          <w:tcPr>
            <w:tcW w:w="0" w:type="auto"/>
            <w:tcBorders>
              <w:top w:val="single" w:sz="8" w:space="0" w:color="365F91"/>
              <w:bottom w:val="single" w:sz="8" w:space="0" w:color="365F91"/>
            </w:tcBorders>
            <w:shd w:val="clear" w:color="auto" w:fill="FFFFFF"/>
            <w:tcMar>
              <w:top w:w="0" w:type="dxa"/>
              <w:left w:w="85" w:type="dxa"/>
              <w:bottom w:w="0" w:type="dxa"/>
              <w:right w:w="85" w:type="dxa"/>
            </w:tcMar>
          </w:tcPr>
          <w:p w14:paraId="770B81E0" w14:textId="77777777" w:rsidR="007E0025" w:rsidRPr="00BE78CA" w:rsidRDefault="007E0025" w:rsidP="00C26084">
            <w:pPr>
              <w:pStyle w:val="TableText"/>
              <w:jc w:val="right"/>
            </w:pPr>
            <w:r w:rsidRPr="00BE78CA">
              <w:rPr>
                <w:rFonts w:eastAsia="Calibri"/>
              </w:rPr>
              <w:t>10.1 (–2%)</w:t>
            </w:r>
          </w:p>
        </w:tc>
        <w:tc>
          <w:tcPr>
            <w:tcW w:w="0" w:type="auto"/>
            <w:tcBorders>
              <w:top w:val="single" w:sz="8" w:space="0" w:color="365F91"/>
              <w:bottom w:val="single" w:sz="8" w:space="0" w:color="365F91"/>
            </w:tcBorders>
            <w:shd w:val="clear" w:color="auto" w:fill="FFFFFF"/>
            <w:tcMar>
              <w:top w:w="0" w:type="dxa"/>
              <w:left w:w="85" w:type="dxa"/>
              <w:bottom w:w="0" w:type="dxa"/>
              <w:right w:w="85" w:type="dxa"/>
            </w:tcMar>
          </w:tcPr>
          <w:p w14:paraId="0F826ECE" w14:textId="77777777" w:rsidR="007E0025" w:rsidRPr="00BE78CA" w:rsidRDefault="007E0025" w:rsidP="00C26084">
            <w:pPr>
              <w:pStyle w:val="TableText"/>
              <w:jc w:val="right"/>
            </w:pPr>
            <w:r w:rsidRPr="00BE78CA">
              <w:rPr>
                <w:rFonts w:eastAsia="Calibri"/>
              </w:rPr>
              <w:t>68.7 (–0.9%)</w:t>
            </w:r>
          </w:p>
        </w:tc>
        <w:tc>
          <w:tcPr>
            <w:tcW w:w="0" w:type="auto"/>
            <w:tcBorders>
              <w:top w:val="single" w:sz="8" w:space="0" w:color="365F91"/>
              <w:bottom w:val="single" w:sz="8" w:space="0" w:color="365F91"/>
              <w:right w:val="single" w:sz="4" w:space="0" w:color="FFFFFF"/>
            </w:tcBorders>
            <w:shd w:val="clear" w:color="auto" w:fill="FFFFFF"/>
            <w:tcMar>
              <w:top w:w="0" w:type="dxa"/>
              <w:left w:w="85" w:type="dxa"/>
              <w:bottom w:w="0" w:type="dxa"/>
              <w:right w:w="85" w:type="dxa"/>
            </w:tcMar>
          </w:tcPr>
          <w:p w14:paraId="19E19534" w14:textId="77777777" w:rsidR="007E0025" w:rsidRPr="00BE78CA" w:rsidRDefault="007E0025" w:rsidP="00C26084">
            <w:pPr>
              <w:pStyle w:val="TableText"/>
              <w:jc w:val="right"/>
            </w:pPr>
            <w:r w:rsidRPr="00BE78CA">
              <w:rPr>
                <w:rFonts w:eastAsia="Calibri"/>
              </w:rPr>
              <w:t>2.7 (–10.3%)</w:t>
            </w:r>
          </w:p>
        </w:tc>
      </w:tr>
      <w:tr w:rsidR="007E0025" w:rsidRPr="00BE78CA" w14:paraId="10EC5999" w14:textId="77777777" w:rsidTr="00C26084">
        <w:trPr>
          <w:cantSplit/>
        </w:trPr>
        <w:tc>
          <w:tcPr>
            <w:tcW w:w="0" w:type="auto"/>
            <w:tcBorders>
              <w:top w:val="single" w:sz="8" w:space="0" w:color="365F91"/>
              <w:left w:val="single" w:sz="4" w:space="0" w:color="FFFFFF"/>
              <w:bottom w:val="single" w:sz="4" w:space="0" w:color="365F91"/>
            </w:tcBorders>
            <w:shd w:val="clear" w:color="auto" w:fill="FFFFFF"/>
            <w:tcMar>
              <w:top w:w="0" w:type="dxa"/>
              <w:left w:w="85" w:type="dxa"/>
              <w:bottom w:w="0" w:type="dxa"/>
              <w:right w:w="85" w:type="dxa"/>
            </w:tcMar>
          </w:tcPr>
          <w:p w14:paraId="048AC8E2" w14:textId="77777777" w:rsidR="007E0025" w:rsidRPr="00BE78CA" w:rsidRDefault="007E0025" w:rsidP="00C26084">
            <w:pPr>
              <w:pStyle w:val="TableText"/>
            </w:pPr>
            <w:r w:rsidRPr="00BE78CA">
              <w:rPr>
                <w:rFonts w:eastAsia="Calibri"/>
                <w:b/>
              </w:rPr>
              <w:t>Yearly average</w:t>
            </w:r>
          </w:p>
        </w:tc>
        <w:tc>
          <w:tcPr>
            <w:tcW w:w="0" w:type="auto"/>
            <w:tcBorders>
              <w:top w:val="single" w:sz="8" w:space="0" w:color="365F91"/>
              <w:bottom w:val="single" w:sz="4" w:space="0" w:color="365F91"/>
            </w:tcBorders>
            <w:shd w:val="clear" w:color="auto" w:fill="FFFFFF"/>
            <w:tcMar>
              <w:top w:w="0" w:type="dxa"/>
              <w:left w:w="85" w:type="dxa"/>
              <w:bottom w:w="0" w:type="dxa"/>
              <w:right w:w="85" w:type="dxa"/>
            </w:tcMar>
          </w:tcPr>
          <w:p w14:paraId="5B49481D" w14:textId="77777777" w:rsidR="007E0025" w:rsidRPr="00BE78CA" w:rsidRDefault="007E0025" w:rsidP="00C26084">
            <w:pPr>
              <w:pStyle w:val="TableText"/>
              <w:jc w:val="right"/>
            </w:pPr>
            <w:r w:rsidRPr="00BE78CA">
              <w:rPr>
                <w:rFonts w:eastAsia="Calibri"/>
                <w:b/>
              </w:rPr>
              <w:t xml:space="preserve"> 11.2 (–2.1%)</w:t>
            </w:r>
          </w:p>
        </w:tc>
        <w:tc>
          <w:tcPr>
            <w:tcW w:w="0" w:type="auto"/>
            <w:tcBorders>
              <w:top w:val="single" w:sz="8" w:space="0" w:color="365F91"/>
              <w:bottom w:val="single" w:sz="4" w:space="0" w:color="365F91"/>
            </w:tcBorders>
            <w:shd w:val="clear" w:color="auto" w:fill="FFFFFF"/>
            <w:tcMar>
              <w:top w:w="0" w:type="dxa"/>
              <w:left w:w="85" w:type="dxa"/>
              <w:bottom w:w="0" w:type="dxa"/>
              <w:right w:w="85" w:type="dxa"/>
            </w:tcMar>
          </w:tcPr>
          <w:p w14:paraId="25605B5A" w14:textId="77777777" w:rsidR="007E0025" w:rsidRPr="00BE78CA" w:rsidRDefault="007E0025" w:rsidP="00C26084">
            <w:pPr>
              <w:pStyle w:val="TableText"/>
              <w:jc w:val="right"/>
            </w:pPr>
            <w:r w:rsidRPr="00BE78CA">
              <w:rPr>
                <w:rFonts w:eastAsia="Calibri"/>
                <w:b/>
              </w:rPr>
              <w:t>76.6 (–2.2%)</w:t>
            </w:r>
          </w:p>
        </w:tc>
        <w:tc>
          <w:tcPr>
            <w:tcW w:w="0" w:type="auto"/>
            <w:tcBorders>
              <w:top w:val="single" w:sz="8" w:space="0" w:color="365F91"/>
              <w:bottom w:val="single" w:sz="4" w:space="0" w:color="365F91"/>
            </w:tcBorders>
            <w:shd w:val="clear" w:color="auto" w:fill="FFFFFF"/>
            <w:tcMar>
              <w:top w:w="0" w:type="dxa"/>
              <w:left w:w="85" w:type="dxa"/>
              <w:bottom w:w="0" w:type="dxa"/>
              <w:right w:w="85" w:type="dxa"/>
            </w:tcMar>
          </w:tcPr>
          <w:p w14:paraId="7C9D44DD" w14:textId="77777777" w:rsidR="007E0025" w:rsidRPr="00BE78CA" w:rsidRDefault="007E0025" w:rsidP="00C26084">
            <w:pPr>
              <w:pStyle w:val="TableText"/>
              <w:jc w:val="right"/>
            </w:pPr>
            <w:r w:rsidRPr="00BE78CA">
              <w:rPr>
                <w:rFonts w:eastAsia="Calibri"/>
                <w:b/>
              </w:rPr>
              <w:t xml:space="preserve"> 3.5 (–5.6%)</w:t>
            </w:r>
          </w:p>
        </w:tc>
        <w:tc>
          <w:tcPr>
            <w:tcW w:w="0" w:type="auto"/>
            <w:tcBorders>
              <w:top w:val="single" w:sz="8" w:space="0" w:color="365F91"/>
              <w:bottom w:val="single" w:sz="4" w:space="0" w:color="365F91"/>
            </w:tcBorders>
            <w:shd w:val="clear" w:color="auto" w:fill="FFFFFF"/>
            <w:tcMar>
              <w:top w:w="0" w:type="dxa"/>
              <w:left w:w="85" w:type="dxa"/>
              <w:bottom w:w="0" w:type="dxa"/>
              <w:right w:w="85" w:type="dxa"/>
            </w:tcMar>
          </w:tcPr>
          <w:p w14:paraId="3867C2D4" w14:textId="77777777" w:rsidR="007E0025" w:rsidRPr="00BE78CA" w:rsidRDefault="007E0025" w:rsidP="00C26084">
            <w:pPr>
              <w:pStyle w:val="TableText"/>
              <w:jc w:val="right"/>
            </w:pPr>
            <w:r w:rsidRPr="00BE78CA">
              <w:rPr>
                <w:rFonts w:eastAsia="Calibri"/>
                <w:b/>
              </w:rPr>
              <w:t>10.2 (—2.1%)</w:t>
            </w:r>
          </w:p>
        </w:tc>
        <w:tc>
          <w:tcPr>
            <w:tcW w:w="0" w:type="auto"/>
            <w:tcBorders>
              <w:top w:val="single" w:sz="8" w:space="0" w:color="365F91"/>
              <w:bottom w:val="single" w:sz="4" w:space="0" w:color="365F91"/>
            </w:tcBorders>
            <w:shd w:val="clear" w:color="auto" w:fill="FFFFFF"/>
            <w:tcMar>
              <w:top w:w="0" w:type="dxa"/>
              <w:left w:w="85" w:type="dxa"/>
              <w:bottom w:w="0" w:type="dxa"/>
              <w:right w:w="85" w:type="dxa"/>
            </w:tcMar>
          </w:tcPr>
          <w:p w14:paraId="7FAA1242" w14:textId="77777777" w:rsidR="007E0025" w:rsidRPr="00BE78CA" w:rsidRDefault="007E0025" w:rsidP="00C26084">
            <w:pPr>
              <w:pStyle w:val="TableText"/>
              <w:jc w:val="right"/>
            </w:pPr>
            <w:r w:rsidRPr="00BE78CA">
              <w:rPr>
                <w:rFonts w:eastAsia="Calibri"/>
                <w:b/>
              </w:rPr>
              <w:t>70.4 (–1.5%)</w:t>
            </w:r>
          </w:p>
        </w:tc>
        <w:tc>
          <w:tcPr>
            <w:tcW w:w="0" w:type="auto"/>
            <w:tcBorders>
              <w:top w:val="single" w:sz="8" w:space="0" w:color="365F91"/>
              <w:bottom w:val="single" w:sz="4" w:space="0" w:color="365F91"/>
              <w:right w:val="single" w:sz="4" w:space="0" w:color="FFFFFF"/>
            </w:tcBorders>
            <w:shd w:val="clear" w:color="auto" w:fill="FFFFFF"/>
            <w:tcMar>
              <w:top w:w="0" w:type="dxa"/>
              <w:left w:w="85" w:type="dxa"/>
              <w:bottom w:w="0" w:type="dxa"/>
              <w:right w:w="85" w:type="dxa"/>
            </w:tcMar>
          </w:tcPr>
          <w:p w14:paraId="3A8B669D" w14:textId="77777777" w:rsidR="007E0025" w:rsidRPr="00BE78CA" w:rsidRDefault="007E0025" w:rsidP="00C26084">
            <w:pPr>
              <w:pStyle w:val="TableText"/>
              <w:jc w:val="right"/>
            </w:pPr>
            <w:r w:rsidRPr="00BE78CA">
              <w:rPr>
                <w:rFonts w:eastAsia="Calibri"/>
                <w:b/>
              </w:rPr>
              <w:t>3.1 (–2.3%)</w:t>
            </w:r>
          </w:p>
        </w:tc>
      </w:tr>
    </w:tbl>
    <w:p w14:paraId="5635FDC6" w14:textId="77777777" w:rsidR="007E0025" w:rsidRPr="00BE78CA" w:rsidRDefault="007E0025" w:rsidP="007E0025">
      <w:pPr>
        <w:pStyle w:val="Noteundertable"/>
        <w:rPr>
          <w:szCs w:val="18"/>
        </w:rPr>
      </w:pPr>
      <w:r w:rsidRPr="00BE78CA">
        <w:rPr>
          <w:szCs w:val="18"/>
        </w:rPr>
        <w:t xml:space="preserve">Note: </w:t>
      </w:r>
      <w:r w:rsidRPr="00BE78CA">
        <w:rPr>
          <w:szCs w:val="18"/>
        </w:rPr>
        <w:tab/>
        <w:t xml:space="preserve">DMI = </w:t>
      </w:r>
      <w:r w:rsidRPr="00BE78CA">
        <w:rPr>
          <w:rFonts w:eastAsia="Calibri" w:cs="Calibri"/>
          <w:szCs w:val="18"/>
        </w:rPr>
        <w:t>dry matter intake;</w:t>
      </w:r>
      <w:r w:rsidRPr="00BE78CA">
        <w:rPr>
          <w:szCs w:val="18"/>
        </w:rPr>
        <w:t xml:space="preserve"> ME = </w:t>
      </w:r>
      <w:r w:rsidRPr="00BE78CA">
        <w:rPr>
          <w:rFonts w:eastAsia="Calibri" w:cs="Calibri"/>
          <w:szCs w:val="18"/>
        </w:rPr>
        <w:t>metabolisable energy;</w:t>
      </w:r>
      <w:r w:rsidRPr="00BE78CA">
        <w:rPr>
          <w:szCs w:val="18"/>
        </w:rPr>
        <w:t xml:space="preserve"> MJ = megajoule; N = nitrogen; OMD = </w:t>
      </w:r>
      <w:r w:rsidRPr="00BE78CA">
        <w:rPr>
          <w:rFonts w:eastAsia="Calibri" w:cs="Calibri"/>
          <w:szCs w:val="18"/>
        </w:rPr>
        <w:t>organic matter digestibility.</w:t>
      </w:r>
    </w:p>
    <w:p w14:paraId="705581CC" w14:textId="77777777" w:rsidR="007E0025" w:rsidRPr="00BE78CA" w:rsidRDefault="007E0025" w:rsidP="007E0025">
      <w:pPr>
        <w:pStyle w:val="BodyText"/>
      </w:pPr>
      <w:r w:rsidRPr="00BE78CA">
        <w:lastRenderedPageBreak/>
        <w:t>The implementation of this improvement caused estimated emissions from the Agriculture sector to increase by 3.0 per cent in 1990 and 2.7 per cent in 2019 (see table 10.1.6).</w:t>
      </w:r>
    </w:p>
    <w:p w14:paraId="1B616C64" w14:textId="77777777" w:rsidR="007E0025" w:rsidRPr="00BE78CA" w:rsidRDefault="007E0025" w:rsidP="005B731B">
      <w:pPr>
        <w:pStyle w:val="Table"/>
      </w:pPr>
      <w:bookmarkStart w:id="3296" w:name="_Toc68786581"/>
      <w:r w:rsidRPr="00BE78CA">
        <w:t xml:space="preserve">Table 10.1.6 </w:t>
      </w:r>
      <w:r w:rsidRPr="00BE78CA">
        <w:tab/>
        <w:t>Comparison of current and previous emissions estimates before and after the adoption of updated pasture quality data, 1990 to 2019</w:t>
      </w:r>
      <w:bookmarkEnd w:id="3296"/>
    </w:p>
    <w:tbl>
      <w:tblPr>
        <w:tblW w:w="8494" w:type="dxa"/>
        <w:tblBorders>
          <w:top w:val="single" w:sz="4" w:space="0" w:color="365F91"/>
          <w:left w:val="single" w:sz="4" w:space="0" w:color="FFFFFF"/>
          <w:bottom w:val="single" w:sz="4" w:space="0" w:color="365F91"/>
          <w:right w:val="single" w:sz="4" w:space="0" w:color="FFFFFF"/>
          <w:insideH w:val="single" w:sz="4" w:space="0" w:color="365F91"/>
        </w:tblBorders>
        <w:tblLook w:val="0420" w:firstRow="1" w:lastRow="0" w:firstColumn="0" w:lastColumn="0" w:noHBand="0" w:noVBand="1"/>
      </w:tblPr>
      <w:tblGrid>
        <w:gridCol w:w="1656"/>
        <w:gridCol w:w="2075"/>
        <w:gridCol w:w="794"/>
        <w:gridCol w:w="794"/>
        <w:gridCol w:w="1531"/>
        <w:gridCol w:w="1644"/>
      </w:tblGrid>
      <w:tr w:rsidR="00B37965" w:rsidRPr="00BE78CA" w14:paraId="32E4A6F8" w14:textId="77777777" w:rsidTr="00275053">
        <w:trPr>
          <w:cantSplit/>
          <w:tblHeader/>
        </w:trPr>
        <w:tc>
          <w:tcPr>
            <w:tcW w:w="0" w:type="auto"/>
            <w:tcBorders>
              <w:left w:val="nil"/>
            </w:tcBorders>
            <w:shd w:val="clear" w:color="auto" w:fill="365F91"/>
            <w:tcMar>
              <w:top w:w="0" w:type="dxa"/>
              <w:left w:w="108" w:type="dxa"/>
              <w:bottom w:w="0" w:type="dxa"/>
              <w:right w:w="108" w:type="dxa"/>
            </w:tcMar>
            <w:vAlign w:val="bottom"/>
          </w:tcPr>
          <w:p w14:paraId="038806C8" w14:textId="77777777" w:rsidR="007E0025" w:rsidRPr="00BE78CA" w:rsidRDefault="007E0025" w:rsidP="005B731B">
            <w:pPr>
              <w:pStyle w:val="TableTextBold"/>
              <w:jc w:val="center"/>
              <w:rPr>
                <w:noProof w:val="0"/>
                <w:color w:val="FFFFFF" w:themeColor="background1"/>
              </w:rPr>
            </w:pPr>
          </w:p>
        </w:tc>
        <w:tc>
          <w:tcPr>
            <w:tcW w:w="0" w:type="auto"/>
            <w:shd w:val="clear" w:color="auto" w:fill="365F91"/>
            <w:tcMar>
              <w:top w:w="0" w:type="dxa"/>
              <w:left w:w="108" w:type="dxa"/>
              <w:bottom w:w="0" w:type="dxa"/>
              <w:right w:w="108" w:type="dxa"/>
            </w:tcMar>
            <w:vAlign w:val="bottom"/>
          </w:tcPr>
          <w:p w14:paraId="1478E0F4" w14:textId="77777777" w:rsidR="007E0025" w:rsidRPr="00BE78CA" w:rsidRDefault="007E0025" w:rsidP="005B731B">
            <w:pPr>
              <w:pStyle w:val="TableTextBold"/>
              <w:jc w:val="center"/>
              <w:rPr>
                <w:noProof w:val="0"/>
                <w:color w:val="FFFFFF" w:themeColor="background1"/>
              </w:rPr>
            </w:pPr>
          </w:p>
        </w:tc>
        <w:tc>
          <w:tcPr>
            <w:tcW w:w="794" w:type="dxa"/>
            <w:shd w:val="clear" w:color="auto" w:fill="365F91"/>
            <w:tcMar>
              <w:top w:w="0" w:type="dxa"/>
              <w:left w:w="108" w:type="dxa"/>
              <w:bottom w:w="0" w:type="dxa"/>
              <w:right w:w="108" w:type="dxa"/>
            </w:tcMar>
            <w:vAlign w:val="bottom"/>
          </w:tcPr>
          <w:p w14:paraId="7C5AB040" w14:textId="77777777" w:rsidR="007E0025" w:rsidRPr="00BE78CA" w:rsidRDefault="007E0025" w:rsidP="005B731B">
            <w:pPr>
              <w:pStyle w:val="TableTextBold"/>
              <w:jc w:val="center"/>
              <w:rPr>
                <w:noProof w:val="0"/>
                <w:color w:val="FFFFFF" w:themeColor="background1"/>
              </w:rPr>
            </w:pPr>
            <w:r w:rsidRPr="00BE78CA">
              <w:rPr>
                <w:rFonts w:eastAsia="Calibri" w:cs="Calibri"/>
                <w:noProof w:val="0"/>
                <w:color w:val="FFFFFF" w:themeColor="background1"/>
                <w:szCs w:val="16"/>
              </w:rPr>
              <w:t>1990</w:t>
            </w:r>
          </w:p>
        </w:tc>
        <w:tc>
          <w:tcPr>
            <w:tcW w:w="794" w:type="dxa"/>
            <w:shd w:val="clear" w:color="auto" w:fill="365F91"/>
            <w:tcMar>
              <w:top w:w="0" w:type="dxa"/>
              <w:left w:w="108" w:type="dxa"/>
              <w:bottom w:w="0" w:type="dxa"/>
              <w:right w:w="108" w:type="dxa"/>
            </w:tcMar>
            <w:vAlign w:val="bottom"/>
          </w:tcPr>
          <w:p w14:paraId="3E288F9F" w14:textId="77777777" w:rsidR="007E0025" w:rsidRPr="00BE78CA" w:rsidRDefault="007E0025" w:rsidP="005B731B">
            <w:pPr>
              <w:pStyle w:val="TableTextBold"/>
              <w:jc w:val="center"/>
              <w:rPr>
                <w:noProof w:val="0"/>
                <w:color w:val="FFFFFF" w:themeColor="background1"/>
              </w:rPr>
            </w:pPr>
            <w:r w:rsidRPr="00BE78CA">
              <w:rPr>
                <w:rFonts w:eastAsia="Calibri" w:cs="Calibri"/>
                <w:noProof w:val="0"/>
                <w:color w:val="FFFFFF" w:themeColor="background1"/>
                <w:szCs w:val="16"/>
              </w:rPr>
              <w:t>2019</w:t>
            </w:r>
          </w:p>
        </w:tc>
        <w:tc>
          <w:tcPr>
            <w:tcW w:w="1531" w:type="dxa"/>
            <w:shd w:val="clear" w:color="auto" w:fill="365F91"/>
            <w:tcMar>
              <w:top w:w="0" w:type="dxa"/>
              <w:left w:w="108" w:type="dxa"/>
              <w:bottom w:w="0" w:type="dxa"/>
              <w:right w:w="108" w:type="dxa"/>
            </w:tcMar>
            <w:vAlign w:val="bottom"/>
          </w:tcPr>
          <w:p w14:paraId="351A90B8" w14:textId="77777777" w:rsidR="007E0025" w:rsidRPr="00BE78CA" w:rsidRDefault="007E0025" w:rsidP="005B731B">
            <w:pPr>
              <w:pStyle w:val="TableTextBold"/>
              <w:jc w:val="center"/>
              <w:rPr>
                <w:noProof w:val="0"/>
                <w:color w:val="FFFFFF" w:themeColor="background1"/>
              </w:rPr>
            </w:pPr>
            <w:r w:rsidRPr="00BE78CA">
              <w:rPr>
                <w:rFonts w:eastAsia="Calibri" w:cs="Calibri"/>
                <w:noProof w:val="0"/>
                <w:color w:val="FFFFFF" w:themeColor="background1"/>
                <w:szCs w:val="16"/>
              </w:rPr>
              <w:t>Change in emission outputs between 1990 and 2019 (kt CO</w:t>
            </w:r>
            <w:r w:rsidRPr="00BE78CA">
              <w:rPr>
                <w:rFonts w:eastAsia="Calibri" w:cs="Calibri"/>
                <w:noProof w:val="0"/>
                <w:color w:val="FFFFFF" w:themeColor="background1"/>
                <w:szCs w:val="16"/>
                <w:vertAlign w:val="subscript"/>
              </w:rPr>
              <w:t>2</w:t>
            </w:r>
            <w:r w:rsidRPr="00BE78CA">
              <w:rPr>
                <w:rFonts w:eastAsia="Calibri" w:cs="Calibri"/>
                <w:noProof w:val="0"/>
                <w:color w:val="FFFFFF" w:themeColor="background1"/>
                <w:szCs w:val="16"/>
              </w:rPr>
              <w:t>-e)</w:t>
            </w:r>
          </w:p>
        </w:tc>
        <w:tc>
          <w:tcPr>
            <w:tcW w:w="1644" w:type="dxa"/>
            <w:tcBorders>
              <w:right w:val="nil"/>
            </w:tcBorders>
            <w:shd w:val="clear" w:color="auto" w:fill="365F91"/>
            <w:tcMar>
              <w:top w:w="0" w:type="dxa"/>
              <w:left w:w="108" w:type="dxa"/>
              <w:bottom w:w="0" w:type="dxa"/>
              <w:right w:w="108" w:type="dxa"/>
            </w:tcMar>
            <w:vAlign w:val="bottom"/>
          </w:tcPr>
          <w:p w14:paraId="572EA108" w14:textId="77777777" w:rsidR="007E0025" w:rsidRPr="00BE78CA" w:rsidRDefault="007E0025" w:rsidP="005B731B">
            <w:pPr>
              <w:pStyle w:val="TableTextBold"/>
              <w:jc w:val="center"/>
              <w:rPr>
                <w:noProof w:val="0"/>
                <w:color w:val="FFFFFF" w:themeColor="background1"/>
              </w:rPr>
            </w:pPr>
            <w:r w:rsidRPr="00BE78CA">
              <w:rPr>
                <w:rFonts w:eastAsia="Calibri" w:cs="Calibri"/>
                <w:noProof w:val="0"/>
                <w:color w:val="FFFFFF" w:themeColor="background1"/>
                <w:szCs w:val="16"/>
              </w:rPr>
              <w:t xml:space="preserve">Percentage change in emission outputs between </w:t>
            </w:r>
            <w:r w:rsidRPr="00BE78CA">
              <w:rPr>
                <w:rFonts w:eastAsia="Calibri" w:cs="Calibri"/>
                <w:noProof w:val="0"/>
                <w:color w:val="FFFFFF" w:themeColor="background1"/>
                <w:szCs w:val="16"/>
              </w:rPr>
              <w:br/>
              <w:t>1990 and 2019</w:t>
            </w:r>
          </w:p>
        </w:tc>
      </w:tr>
      <w:tr w:rsidR="00643C27" w:rsidRPr="00BE78CA" w14:paraId="5D92DB15" w14:textId="77777777" w:rsidTr="00275053">
        <w:trPr>
          <w:cantSplit/>
        </w:trPr>
        <w:tc>
          <w:tcPr>
            <w:tcW w:w="0" w:type="auto"/>
            <w:vMerge w:val="restart"/>
            <w:shd w:val="clear" w:color="auto" w:fill="FFFFFF"/>
            <w:tcMar>
              <w:top w:w="0" w:type="dxa"/>
              <w:left w:w="108" w:type="dxa"/>
              <w:bottom w:w="0" w:type="dxa"/>
              <w:right w:w="108" w:type="dxa"/>
            </w:tcMar>
            <w:vAlign w:val="center"/>
          </w:tcPr>
          <w:p w14:paraId="08E643A0" w14:textId="77777777" w:rsidR="00643C27" w:rsidRPr="00BE78CA" w:rsidRDefault="00643C27" w:rsidP="005B731B">
            <w:pPr>
              <w:pStyle w:val="TableText"/>
            </w:pPr>
            <w:r w:rsidRPr="00BE78CA">
              <w:rPr>
                <w:rFonts w:eastAsia="Calibri"/>
              </w:rPr>
              <w:t>Total emissions from Agriculture category (kt CO</w:t>
            </w:r>
            <w:r w:rsidRPr="00BE78CA">
              <w:rPr>
                <w:rFonts w:eastAsia="Calibri"/>
                <w:vertAlign w:val="subscript"/>
              </w:rPr>
              <w:t>2</w:t>
            </w:r>
            <w:r w:rsidRPr="00BE78CA">
              <w:rPr>
                <w:rFonts w:eastAsia="Calibri"/>
              </w:rPr>
              <w:t>-e)</w:t>
            </w:r>
          </w:p>
        </w:tc>
        <w:tc>
          <w:tcPr>
            <w:tcW w:w="0" w:type="auto"/>
            <w:shd w:val="clear" w:color="auto" w:fill="FFFFFF"/>
            <w:tcMar>
              <w:top w:w="0" w:type="dxa"/>
              <w:left w:w="108" w:type="dxa"/>
              <w:bottom w:w="0" w:type="dxa"/>
              <w:right w:w="108" w:type="dxa"/>
            </w:tcMar>
            <w:vAlign w:val="center"/>
          </w:tcPr>
          <w:p w14:paraId="04BD0834" w14:textId="77777777" w:rsidR="00643C27" w:rsidRPr="00BE78CA" w:rsidRDefault="00643C27" w:rsidP="005B731B">
            <w:pPr>
              <w:pStyle w:val="TableText"/>
            </w:pPr>
            <w:r w:rsidRPr="00BE78CA">
              <w:rPr>
                <w:rFonts w:eastAsia="Calibri"/>
              </w:rPr>
              <w:t>2021 (1990–2019) emissions estimate using previous pasture quality values</w:t>
            </w:r>
          </w:p>
        </w:tc>
        <w:tc>
          <w:tcPr>
            <w:tcW w:w="794" w:type="dxa"/>
            <w:shd w:val="clear" w:color="auto" w:fill="FFFFFF"/>
            <w:tcMar>
              <w:top w:w="0" w:type="dxa"/>
              <w:left w:w="108" w:type="dxa"/>
              <w:bottom w:w="0" w:type="dxa"/>
              <w:right w:w="108" w:type="dxa"/>
            </w:tcMar>
          </w:tcPr>
          <w:p w14:paraId="62F05368" w14:textId="77777777" w:rsidR="00643C27" w:rsidRPr="00BE78CA" w:rsidRDefault="00643C27" w:rsidP="005B731B">
            <w:pPr>
              <w:pStyle w:val="TableText"/>
              <w:jc w:val="center"/>
            </w:pPr>
            <w:r w:rsidRPr="00BE78CA">
              <w:rPr>
                <w:rFonts w:eastAsia="Calibri"/>
              </w:rPr>
              <w:t>32,863.0</w:t>
            </w:r>
          </w:p>
        </w:tc>
        <w:tc>
          <w:tcPr>
            <w:tcW w:w="794" w:type="dxa"/>
            <w:shd w:val="clear" w:color="auto" w:fill="FFFFFF"/>
            <w:tcMar>
              <w:top w:w="0" w:type="dxa"/>
              <w:left w:w="108" w:type="dxa"/>
              <w:bottom w:w="0" w:type="dxa"/>
              <w:right w:w="108" w:type="dxa"/>
            </w:tcMar>
          </w:tcPr>
          <w:p w14:paraId="38BCB68A" w14:textId="77777777" w:rsidR="00643C27" w:rsidRPr="00BE78CA" w:rsidRDefault="00643C27" w:rsidP="005B731B">
            <w:pPr>
              <w:pStyle w:val="TableText"/>
              <w:jc w:val="center"/>
            </w:pPr>
            <w:r w:rsidRPr="00BE78CA">
              <w:rPr>
                <w:rFonts w:eastAsia="Calibri"/>
              </w:rPr>
              <w:t>38,571.6</w:t>
            </w:r>
          </w:p>
        </w:tc>
        <w:tc>
          <w:tcPr>
            <w:tcW w:w="1531" w:type="dxa"/>
            <w:shd w:val="clear" w:color="auto" w:fill="FFFFFF"/>
            <w:tcMar>
              <w:top w:w="0" w:type="dxa"/>
              <w:left w:w="108" w:type="dxa"/>
              <w:bottom w:w="0" w:type="dxa"/>
              <w:right w:w="108" w:type="dxa"/>
            </w:tcMar>
          </w:tcPr>
          <w:p w14:paraId="3AB3AC57" w14:textId="77777777" w:rsidR="00643C27" w:rsidRPr="00BE78CA" w:rsidRDefault="00643C27" w:rsidP="005B731B">
            <w:pPr>
              <w:pStyle w:val="TableText"/>
              <w:jc w:val="center"/>
            </w:pPr>
            <w:r w:rsidRPr="00BE78CA">
              <w:rPr>
                <w:rFonts w:eastAsia="Calibri"/>
              </w:rPr>
              <w:t>5,708.6</w:t>
            </w:r>
          </w:p>
        </w:tc>
        <w:tc>
          <w:tcPr>
            <w:tcW w:w="1644" w:type="dxa"/>
            <w:shd w:val="clear" w:color="auto" w:fill="FFFFFF"/>
            <w:tcMar>
              <w:top w:w="0" w:type="dxa"/>
              <w:left w:w="108" w:type="dxa"/>
              <w:bottom w:w="0" w:type="dxa"/>
              <w:right w:w="108" w:type="dxa"/>
            </w:tcMar>
          </w:tcPr>
          <w:p w14:paraId="19E76824" w14:textId="77777777" w:rsidR="00643C27" w:rsidRPr="00BE78CA" w:rsidRDefault="00643C27" w:rsidP="005B731B">
            <w:pPr>
              <w:pStyle w:val="TableText"/>
              <w:jc w:val="center"/>
            </w:pPr>
            <w:r w:rsidRPr="00BE78CA">
              <w:rPr>
                <w:rFonts w:eastAsia="Calibri"/>
              </w:rPr>
              <w:t>17.4</w:t>
            </w:r>
          </w:p>
        </w:tc>
      </w:tr>
      <w:tr w:rsidR="00643C27" w:rsidRPr="00BE78CA" w14:paraId="77D01BAA" w14:textId="77777777" w:rsidTr="00C26084">
        <w:trPr>
          <w:cantSplit/>
        </w:trPr>
        <w:tc>
          <w:tcPr>
            <w:tcW w:w="0" w:type="auto"/>
            <w:vMerge/>
            <w:shd w:val="clear" w:color="auto" w:fill="FFFFFF"/>
            <w:tcMar>
              <w:top w:w="0" w:type="dxa"/>
              <w:left w:w="108" w:type="dxa"/>
              <w:bottom w:w="0" w:type="dxa"/>
              <w:right w:w="108" w:type="dxa"/>
            </w:tcMar>
            <w:vAlign w:val="center"/>
          </w:tcPr>
          <w:p w14:paraId="65EBA2B2" w14:textId="77777777" w:rsidR="00643C27" w:rsidRPr="00BE78CA" w:rsidRDefault="00643C27" w:rsidP="005B731B">
            <w:pPr>
              <w:pStyle w:val="TableText"/>
            </w:pPr>
          </w:p>
        </w:tc>
        <w:tc>
          <w:tcPr>
            <w:tcW w:w="0" w:type="auto"/>
            <w:shd w:val="clear" w:color="auto" w:fill="FFFFFF"/>
            <w:tcMar>
              <w:top w:w="0" w:type="dxa"/>
              <w:left w:w="108" w:type="dxa"/>
              <w:bottom w:w="0" w:type="dxa"/>
              <w:right w:w="108" w:type="dxa"/>
            </w:tcMar>
            <w:vAlign w:val="center"/>
          </w:tcPr>
          <w:p w14:paraId="1BCD805A" w14:textId="77777777" w:rsidR="00643C27" w:rsidRPr="00BE78CA" w:rsidRDefault="00643C27" w:rsidP="005B731B">
            <w:pPr>
              <w:pStyle w:val="TableText"/>
            </w:pPr>
            <w:r w:rsidRPr="00BE78CA">
              <w:rPr>
                <w:rFonts w:eastAsia="Calibri"/>
              </w:rPr>
              <w:t>2021 (1990–2019) emissions estimate using new pasture quality values</w:t>
            </w:r>
          </w:p>
        </w:tc>
        <w:tc>
          <w:tcPr>
            <w:tcW w:w="794" w:type="dxa"/>
            <w:shd w:val="clear" w:color="auto" w:fill="FFFFFF"/>
            <w:tcMar>
              <w:top w:w="0" w:type="dxa"/>
              <w:left w:w="108" w:type="dxa"/>
              <w:bottom w:w="0" w:type="dxa"/>
              <w:right w:w="108" w:type="dxa"/>
            </w:tcMar>
          </w:tcPr>
          <w:p w14:paraId="35C1AF93" w14:textId="77777777" w:rsidR="00643C27" w:rsidRPr="00BE78CA" w:rsidRDefault="00643C27" w:rsidP="005B731B">
            <w:pPr>
              <w:pStyle w:val="TableText"/>
              <w:jc w:val="center"/>
            </w:pPr>
            <w:r w:rsidRPr="00BE78CA">
              <w:rPr>
                <w:rFonts w:eastAsia="Calibri"/>
              </w:rPr>
              <w:t>33,840.3</w:t>
            </w:r>
          </w:p>
        </w:tc>
        <w:tc>
          <w:tcPr>
            <w:tcW w:w="794" w:type="dxa"/>
            <w:shd w:val="clear" w:color="auto" w:fill="FFFFFF"/>
            <w:tcMar>
              <w:top w:w="0" w:type="dxa"/>
              <w:left w:w="108" w:type="dxa"/>
              <w:bottom w:w="0" w:type="dxa"/>
              <w:right w:w="108" w:type="dxa"/>
            </w:tcMar>
          </w:tcPr>
          <w:p w14:paraId="62795AB0" w14:textId="77777777" w:rsidR="00643C27" w:rsidRPr="00BE78CA" w:rsidRDefault="00643C27" w:rsidP="005B731B">
            <w:pPr>
              <w:pStyle w:val="TableText"/>
              <w:jc w:val="center"/>
            </w:pPr>
            <w:r w:rsidRPr="00BE78CA">
              <w:rPr>
                <w:rFonts w:eastAsia="Calibri"/>
              </w:rPr>
              <w:t>39,617.7</w:t>
            </w:r>
          </w:p>
        </w:tc>
        <w:tc>
          <w:tcPr>
            <w:tcW w:w="1531" w:type="dxa"/>
            <w:shd w:val="clear" w:color="auto" w:fill="FFFFFF"/>
            <w:tcMar>
              <w:top w:w="0" w:type="dxa"/>
              <w:left w:w="108" w:type="dxa"/>
              <w:bottom w:w="0" w:type="dxa"/>
              <w:right w:w="108" w:type="dxa"/>
            </w:tcMar>
          </w:tcPr>
          <w:p w14:paraId="64990C4B" w14:textId="77777777" w:rsidR="00643C27" w:rsidRPr="00BE78CA" w:rsidRDefault="00643C27" w:rsidP="005B731B">
            <w:pPr>
              <w:pStyle w:val="TableText"/>
              <w:jc w:val="center"/>
            </w:pPr>
            <w:r w:rsidRPr="00BE78CA">
              <w:rPr>
                <w:rFonts w:eastAsia="Calibri"/>
              </w:rPr>
              <w:t>5,777.4</w:t>
            </w:r>
          </w:p>
        </w:tc>
        <w:tc>
          <w:tcPr>
            <w:tcW w:w="1644" w:type="dxa"/>
            <w:shd w:val="clear" w:color="auto" w:fill="FFFFFF"/>
            <w:tcMar>
              <w:top w:w="0" w:type="dxa"/>
              <w:left w:w="108" w:type="dxa"/>
              <w:bottom w:w="0" w:type="dxa"/>
              <w:right w:w="108" w:type="dxa"/>
            </w:tcMar>
          </w:tcPr>
          <w:p w14:paraId="5E798AD6" w14:textId="77777777" w:rsidR="00643C27" w:rsidRPr="00BE78CA" w:rsidRDefault="00643C27" w:rsidP="005B731B">
            <w:pPr>
              <w:pStyle w:val="TableText"/>
              <w:jc w:val="center"/>
            </w:pPr>
            <w:r w:rsidRPr="00BE78CA">
              <w:rPr>
                <w:rFonts w:eastAsia="Calibri"/>
              </w:rPr>
              <w:t>17.1</w:t>
            </w:r>
          </w:p>
        </w:tc>
      </w:tr>
      <w:tr w:rsidR="00643C27" w:rsidRPr="00BE78CA" w14:paraId="3A01C8FC" w14:textId="77777777" w:rsidTr="00275053">
        <w:trPr>
          <w:cantSplit/>
        </w:trPr>
        <w:tc>
          <w:tcPr>
            <w:tcW w:w="0" w:type="auto"/>
            <w:vMerge/>
            <w:tcBorders>
              <w:bottom w:val="nil"/>
            </w:tcBorders>
            <w:shd w:val="clear" w:color="auto" w:fill="FFFFFF"/>
            <w:tcMar>
              <w:top w:w="0" w:type="dxa"/>
              <w:left w:w="108" w:type="dxa"/>
              <w:bottom w:w="0" w:type="dxa"/>
              <w:right w:w="108" w:type="dxa"/>
            </w:tcMar>
            <w:vAlign w:val="center"/>
          </w:tcPr>
          <w:p w14:paraId="05C2467E" w14:textId="77777777" w:rsidR="00643C27" w:rsidRPr="00BE78CA" w:rsidRDefault="00643C27" w:rsidP="005B731B">
            <w:pPr>
              <w:pStyle w:val="TableText"/>
            </w:pPr>
          </w:p>
        </w:tc>
        <w:tc>
          <w:tcPr>
            <w:tcW w:w="0" w:type="auto"/>
            <w:shd w:val="clear" w:color="auto" w:fill="FFFFFF"/>
            <w:tcMar>
              <w:top w:w="0" w:type="dxa"/>
              <w:left w:w="108" w:type="dxa"/>
              <w:bottom w:w="0" w:type="dxa"/>
              <w:right w:w="108" w:type="dxa"/>
            </w:tcMar>
            <w:vAlign w:val="center"/>
          </w:tcPr>
          <w:p w14:paraId="0916FB76" w14:textId="77777777" w:rsidR="00643C27" w:rsidRPr="00BE78CA" w:rsidRDefault="00643C27" w:rsidP="005B731B">
            <w:pPr>
              <w:pStyle w:val="TableText"/>
            </w:pPr>
            <w:r w:rsidRPr="00BE78CA">
              <w:rPr>
                <w:rFonts w:eastAsia="Calibri"/>
              </w:rPr>
              <w:t>Difference in emission estimates compared with current inventory</w:t>
            </w:r>
          </w:p>
        </w:tc>
        <w:tc>
          <w:tcPr>
            <w:tcW w:w="794" w:type="dxa"/>
            <w:shd w:val="clear" w:color="auto" w:fill="FFFFFF"/>
            <w:tcMar>
              <w:top w:w="0" w:type="dxa"/>
              <w:left w:w="108" w:type="dxa"/>
              <w:bottom w:w="0" w:type="dxa"/>
              <w:right w:w="108" w:type="dxa"/>
            </w:tcMar>
          </w:tcPr>
          <w:p w14:paraId="51B98D5F" w14:textId="77777777" w:rsidR="00643C27" w:rsidRPr="00BE78CA" w:rsidRDefault="00643C27" w:rsidP="005B731B">
            <w:pPr>
              <w:pStyle w:val="TableText"/>
              <w:jc w:val="center"/>
            </w:pPr>
            <w:r w:rsidRPr="00BE78CA">
              <w:rPr>
                <w:rFonts w:eastAsia="Calibri"/>
              </w:rPr>
              <w:t>977.2</w:t>
            </w:r>
          </w:p>
        </w:tc>
        <w:tc>
          <w:tcPr>
            <w:tcW w:w="794" w:type="dxa"/>
            <w:shd w:val="clear" w:color="auto" w:fill="FFFFFF"/>
            <w:tcMar>
              <w:top w:w="0" w:type="dxa"/>
              <w:left w:w="108" w:type="dxa"/>
              <w:bottom w:w="0" w:type="dxa"/>
              <w:right w:w="108" w:type="dxa"/>
            </w:tcMar>
          </w:tcPr>
          <w:p w14:paraId="5671557E" w14:textId="77777777" w:rsidR="00643C27" w:rsidRPr="00BE78CA" w:rsidRDefault="00643C27" w:rsidP="005B731B">
            <w:pPr>
              <w:pStyle w:val="TableText"/>
              <w:jc w:val="center"/>
            </w:pPr>
            <w:r w:rsidRPr="00BE78CA">
              <w:rPr>
                <w:rFonts w:eastAsia="Calibri"/>
              </w:rPr>
              <w:t>1,046.1</w:t>
            </w:r>
          </w:p>
        </w:tc>
        <w:tc>
          <w:tcPr>
            <w:tcW w:w="1531" w:type="dxa"/>
            <w:shd w:val="clear" w:color="auto" w:fill="FFFFFF"/>
            <w:tcMar>
              <w:top w:w="0" w:type="dxa"/>
              <w:left w:w="108" w:type="dxa"/>
              <w:bottom w:w="0" w:type="dxa"/>
              <w:right w:w="108" w:type="dxa"/>
            </w:tcMar>
          </w:tcPr>
          <w:p w14:paraId="54E9B6C3" w14:textId="77777777" w:rsidR="00643C27" w:rsidRPr="00BE78CA" w:rsidRDefault="00643C27" w:rsidP="005B731B">
            <w:pPr>
              <w:pStyle w:val="TableText"/>
              <w:jc w:val="center"/>
            </w:pPr>
            <w:r w:rsidRPr="00BE78CA">
              <w:rPr>
                <w:rFonts w:eastAsia="Calibri"/>
              </w:rPr>
              <w:t>68.8</w:t>
            </w:r>
          </w:p>
        </w:tc>
        <w:tc>
          <w:tcPr>
            <w:tcW w:w="1644" w:type="dxa"/>
            <w:shd w:val="clear" w:color="auto" w:fill="FFFFFF"/>
            <w:tcMar>
              <w:top w:w="0" w:type="dxa"/>
              <w:left w:w="108" w:type="dxa"/>
              <w:bottom w:w="0" w:type="dxa"/>
              <w:right w:w="108" w:type="dxa"/>
            </w:tcMar>
          </w:tcPr>
          <w:p w14:paraId="25153793" w14:textId="77777777" w:rsidR="00643C27" w:rsidRPr="00BE78CA" w:rsidRDefault="00643C27" w:rsidP="005B731B">
            <w:pPr>
              <w:pStyle w:val="TableText"/>
              <w:jc w:val="center"/>
            </w:pPr>
            <w:r w:rsidRPr="00BE78CA">
              <w:t>NA</w:t>
            </w:r>
          </w:p>
        </w:tc>
      </w:tr>
      <w:tr w:rsidR="00275053" w:rsidRPr="00BE78CA" w14:paraId="6151C741" w14:textId="77777777" w:rsidTr="00275053">
        <w:trPr>
          <w:cantSplit/>
        </w:trPr>
        <w:tc>
          <w:tcPr>
            <w:tcW w:w="0" w:type="auto"/>
            <w:tcBorders>
              <w:top w:val="nil"/>
            </w:tcBorders>
            <w:shd w:val="clear" w:color="auto" w:fill="FFFFFF"/>
            <w:tcMar>
              <w:top w:w="0" w:type="dxa"/>
              <w:left w:w="108" w:type="dxa"/>
              <w:bottom w:w="0" w:type="dxa"/>
              <w:right w:w="108" w:type="dxa"/>
            </w:tcMar>
            <w:vAlign w:val="center"/>
          </w:tcPr>
          <w:p w14:paraId="7188496E" w14:textId="77777777" w:rsidR="007E0025" w:rsidRPr="00BE78CA" w:rsidRDefault="007E0025" w:rsidP="005B731B">
            <w:pPr>
              <w:pStyle w:val="TableText"/>
            </w:pPr>
          </w:p>
        </w:tc>
        <w:tc>
          <w:tcPr>
            <w:tcW w:w="0" w:type="auto"/>
            <w:shd w:val="clear" w:color="auto" w:fill="FFFFFF"/>
            <w:tcMar>
              <w:top w:w="0" w:type="dxa"/>
              <w:left w:w="108" w:type="dxa"/>
              <w:bottom w:w="0" w:type="dxa"/>
              <w:right w:w="108" w:type="dxa"/>
            </w:tcMar>
            <w:vAlign w:val="center"/>
          </w:tcPr>
          <w:p w14:paraId="1475F1A8" w14:textId="77777777" w:rsidR="007E0025" w:rsidRPr="00BE78CA" w:rsidRDefault="007E0025" w:rsidP="005B731B">
            <w:pPr>
              <w:pStyle w:val="TableText"/>
            </w:pPr>
            <w:r w:rsidRPr="00BE78CA">
              <w:rPr>
                <w:rFonts w:eastAsia="Calibri"/>
              </w:rPr>
              <w:t>Percentage difference in emission estimates</w:t>
            </w:r>
          </w:p>
        </w:tc>
        <w:tc>
          <w:tcPr>
            <w:tcW w:w="794" w:type="dxa"/>
            <w:shd w:val="clear" w:color="auto" w:fill="FFFFFF"/>
            <w:tcMar>
              <w:top w:w="0" w:type="dxa"/>
              <w:left w:w="108" w:type="dxa"/>
              <w:bottom w:w="0" w:type="dxa"/>
              <w:right w:w="108" w:type="dxa"/>
            </w:tcMar>
          </w:tcPr>
          <w:p w14:paraId="0BC474B4" w14:textId="77777777" w:rsidR="007E0025" w:rsidRPr="00BE78CA" w:rsidRDefault="007E0025" w:rsidP="005B731B">
            <w:pPr>
              <w:pStyle w:val="TableText"/>
              <w:jc w:val="center"/>
            </w:pPr>
            <w:r w:rsidRPr="00BE78CA">
              <w:rPr>
                <w:rFonts w:eastAsia="Calibri"/>
              </w:rPr>
              <w:t>3.0</w:t>
            </w:r>
          </w:p>
        </w:tc>
        <w:tc>
          <w:tcPr>
            <w:tcW w:w="794" w:type="dxa"/>
            <w:shd w:val="clear" w:color="auto" w:fill="FFFFFF"/>
            <w:tcMar>
              <w:top w:w="0" w:type="dxa"/>
              <w:left w:w="108" w:type="dxa"/>
              <w:bottom w:w="0" w:type="dxa"/>
              <w:right w:w="108" w:type="dxa"/>
            </w:tcMar>
          </w:tcPr>
          <w:p w14:paraId="0ABDD97D" w14:textId="77777777" w:rsidR="007E0025" w:rsidRPr="00BE78CA" w:rsidRDefault="007E0025" w:rsidP="005B731B">
            <w:pPr>
              <w:pStyle w:val="TableText"/>
              <w:jc w:val="center"/>
            </w:pPr>
            <w:r w:rsidRPr="00BE78CA">
              <w:rPr>
                <w:rFonts w:eastAsia="Calibri"/>
              </w:rPr>
              <w:t>2.7</w:t>
            </w:r>
          </w:p>
        </w:tc>
        <w:tc>
          <w:tcPr>
            <w:tcW w:w="1531" w:type="dxa"/>
            <w:shd w:val="clear" w:color="auto" w:fill="FFFFFF"/>
            <w:tcMar>
              <w:top w:w="0" w:type="dxa"/>
              <w:left w:w="108" w:type="dxa"/>
              <w:bottom w:w="0" w:type="dxa"/>
              <w:right w:w="108" w:type="dxa"/>
            </w:tcMar>
          </w:tcPr>
          <w:p w14:paraId="304D3773" w14:textId="77777777" w:rsidR="007E0025" w:rsidRPr="00BE78CA" w:rsidRDefault="007E0025" w:rsidP="005B731B">
            <w:pPr>
              <w:pStyle w:val="TableText"/>
              <w:jc w:val="center"/>
            </w:pPr>
            <w:r w:rsidRPr="00BE78CA">
              <w:t>NA</w:t>
            </w:r>
          </w:p>
        </w:tc>
        <w:tc>
          <w:tcPr>
            <w:tcW w:w="1644" w:type="dxa"/>
            <w:shd w:val="clear" w:color="auto" w:fill="FFFFFF"/>
            <w:tcMar>
              <w:top w:w="0" w:type="dxa"/>
              <w:left w:w="108" w:type="dxa"/>
              <w:bottom w:w="0" w:type="dxa"/>
              <w:right w:w="108" w:type="dxa"/>
            </w:tcMar>
          </w:tcPr>
          <w:p w14:paraId="1D55029B" w14:textId="77777777" w:rsidR="007E0025" w:rsidRPr="00BE78CA" w:rsidRDefault="007E0025" w:rsidP="005B731B">
            <w:pPr>
              <w:pStyle w:val="TableText"/>
              <w:jc w:val="center"/>
            </w:pPr>
            <w:r w:rsidRPr="00BE78CA">
              <w:t>NA</w:t>
            </w:r>
          </w:p>
        </w:tc>
      </w:tr>
    </w:tbl>
    <w:p w14:paraId="1955E561" w14:textId="77777777" w:rsidR="007E0025" w:rsidRPr="00BE78CA" w:rsidRDefault="007E0025" w:rsidP="007E0025">
      <w:pPr>
        <w:pStyle w:val="Noteundertable"/>
      </w:pPr>
      <w:r w:rsidRPr="00BE78CA">
        <w:rPr>
          <w:b/>
        </w:rPr>
        <w:t>Note:</w:t>
      </w:r>
      <w:r w:rsidRPr="00BE78CA">
        <w:t xml:space="preserve"> </w:t>
      </w:r>
      <w:r w:rsidRPr="00BE78CA">
        <w:tab/>
        <w:t>Net emissions are expressed as a negative value to help clarify that the value is a removal and not an emission. Percentages presented are calculated from unrounded values.</w:t>
      </w:r>
    </w:p>
    <w:p w14:paraId="0F4D68C6" w14:textId="77777777" w:rsidR="007E0025" w:rsidRPr="00BE78CA" w:rsidRDefault="007E0025" w:rsidP="007E0025">
      <w:pPr>
        <w:pStyle w:val="Heading5"/>
      </w:pPr>
      <w:bookmarkStart w:id="3297" w:name="X1e6096dbc24fba07d3fbd0ff1a64536d7188196"/>
      <w:r w:rsidRPr="00BE78CA">
        <w:t>Corrections to sheep nitrogen excretion calculations</w:t>
      </w:r>
      <w:bookmarkEnd w:id="3297"/>
    </w:p>
    <w:p w14:paraId="27B91FB1" w14:textId="77777777" w:rsidR="007E0025" w:rsidRPr="00BE78CA" w:rsidRDefault="007E0025" w:rsidP="007E0025">
      <w:pPr>
        <w:pStyle w:val="BodyText"/>
      </w:pPr>
      <w:r w:rsidRPr="00BE78CA">
        <w:t xml:space="preserve">The tier 2 component of the inventory model calculates </w:t>
      </w:r>
      <w:r w:rsidRPr="00BE78CA">
        <w:rPr>
          <w:rFonts w:cs="Calibri"/>
        </w:rPr>
        <w:t>nitrogen excretion rates</w:t>
      </w:r>
      <w:r w:rsidRPr="00BE78CA">
        <w:t xml:space="preserve"> (N</w:t>
      </w:r>
      <w:r w:rsidRPr="00BE78CA">
        <w:rPr>
          <w:vertAlign w:val="subscript"/>
        </w:rPr>
        <w:t>ex</w:t>
      </w:r>
      <w:r w:rsidRPr="00BE78CA">
        <w:t xml:space="preserve">) for dairy cattle, beef cattle, sheep and deer, which are then used to calculate </w:t>
      </w:r>
      <w:r w:rsidRPr="00BE78CA">
        <w:rPr>
          <w:rFonts w:eastAsia="Calibri" w:cs="Calibri"/>
          <w:bCs/>
        </w:rPr>
        <w:t>N</w:t>
      </w:r>
      <w:r w:rsidRPr="00BE78CA">
        <w:rPr>
          <w:rFonts w:eastAsia="Calibri" w:cs="Calibri"/>
          <w:bCs/>
          <w:vertAlign w:val="subscript"/>
        </w:rPr>
        <w:t>2</w:t>
      </w:r>
      <w:r w:rsidRPr="00BE78CA">
        <w:rPr>
          <w:rFonts w:eastAsia="Calibri" w:cs="Calibri"/>
          <w:bCs/>
        </w:rPr>
        <w:t>O</w:t>
      </w:r>
      <w:r w:rsidRPr="00BE78CA">
        <w:t xml:space="preserve"> emissions. In the current inventory model, these N</w:t>
      </w:r>
      <w:r w:rsidRPr="00BE78CA">
        <w:rPr>
          <w:vertAlign w:val="subscript"/>
        </w:rPr>
        <w:t>ex</w:t>
      </w:r>
      <w:r w:rsidRPr="00BE78CA">
        <w:t xml:space="preserve"> estimates are calculated by month and animal subcategory.</w:t>
      </w:r>
    </w:p>
    <w:p w14:paraId="04017FC7" w14:textId="77777777" w:rsidR="007E0025" w:rsidRPr="00BE78CA" w:rsidRDefault="007E0025" w:rsidP="007E0025">
      <w:pPr>
        <w:pStyle w:val="BodyText"/>
      </w:pPr>
      <w:r w:rsidRPr="00BE78CA">
        <w:t>A review of the Agriculture inventory model in 2020 found the N</w:t>
      </w:r>
      <w:r w:rsidRPr="00BE78CA">
        <w:rPr>
          <w:vertAlign w:val="subscript"/>
        </w:rPr>
        <w:t>ex</w:t>
      </w:r>
      <w:r w:rsidRPr="00BE78CA">
        <w:t xml:space="preserve"> figures calculated for sheep were incorrect. This error meant the N</w:t>
      </w:r>
      <w:r w:rsidRPr="00BE78CA">
        <w:rPr>
          <w:vertAlign w:val="subscript"/>
        </w:rPr>
        <w:t>ex</w:t>
      </w:r>
      <w:r w:rsidRPr="00BE78CA">
        <w:t xml:space="preserve"> figure calculated for sheep was 4 per cent to 5 per cent lower than the correct value. The error did not occur for the dairy, beef or deer parts of the model.</w:t>
      </w:r>
    </w:p>
    <w:p w14:paraId="488FAACB" w14:textId="77777777" w:rsidR="007E0025" w:rsidRPr="00BE78CA" w:rsidRDefault="007E0025" w:rsidP="007E0025">
      <w:pPr>
        <w:pStyle w:val="BodyText"/>
      </w:pPr>
      <w:r w:rsidRPr="00BE78CA">
        <w:t>This error was corrected in the 2021 submission. The correction had a small effect on estimated emissions from the Agriculture sector, as shown in table 10.1.7. After the implementation of the correction, reported emissions increased by 0.2 per cent (62.5 kt CO</w:t>
      </w:r>
      <w:r w:rsidRPr="00BE78CA">
        <w:rPr>
          <w:vertAlign w:val="subscript"/>
        </w:rPr>
        <w:t>2</w:t>
      </w:r>
      <w:r w:rsidRPr="00BE78CA">
        <w:t>-e) in 1990 and 0.1 per cent (47.4 kt CO</w:t>
      </w:r>
      <w:r w:rsidRPr="00BE78CA">
        <w:rPr>
          <w:vertAlign w:val="subscript"/>
        </w:rPr>
        <w:t>2</w:t>
      </w:r>
      <w:r w:rsidRPr="00BE78CA">
        <w:t>-e) in 2019.</w:t>
      </w:r>
    </w:p>
    <w:p w14:paraId="4A97FBBF" w14:textId="4BCD36A8" w:rsidR="007E0025" w:rsidRPr="00BE78CA" w:rsidRDefault="007E0025" w:rsidP="00977F38">
      <w:pPr>
        <w:pStyle w:val="Table"/>
      </w:pPr>
      <w:bookmarkStart w:id="3298" w:name="_Toc68786582"/>
      <w:r w:rsidRPr="00BE78CA">
        <w:t xml:space="preserve">Table 10.1.7 </w:t>
      </w:r>
      <w:r w:rsidRPr="00BE78CA">
        <w:tab/>
        <w:t>Comparison of current and previous emissions estimates before and after corrections to</w:t>
      </w:r>
      <w:r w:rsidR="00977F38" w:rsidRPr="00BE78CA">
        <w:t> </w:t>
      </w:r>
      <w:r w:rsidRPr="00BE78CA">
        <w:t>sheep</w:t>
      </w:r>
      <w:r w:rsidR="00977F38" w:rsidRPr="00BE78CA">
        <w:t> </w:t>
      </w:r>
      <w:r w:rsidRPr="00BE78CA">
        <w:t>nitrogen excretion (</w:t>
      </w:r>
      <w:r w:rsidRPr="00BE78CA">
        <w:rPr>
          <w:rFonts w:eastAsia="Calibri" w:cs="Calibri"/>
          <w:color w:val="111111"/>
          <w:sz w:val="16"/>
          <w:szCs w:val="16"/>
        </w:rPr>
        <w:t>N</w:t>
      </w:r>
      <w:r w:rsidRPr="00BE78CA">
        <w:rPr>
          <w:color w:val="111111"/>
          <w:sz w:val="16"/>
          <w:vertAlign w:val="subscript"/>
        </w:rPr>
        <w:t>ex</w:t>
      </w:r>
      <w:r w:rsidRPr="00BE78CA">
        <w:t>) calculations</w:t>
      </w:r>
      <w:bookmarkEnd w:id="3298"/>
    </w:p>
    <w:tbl>
      <w:tblPr>
        <w:tblW w:w="8494" w:type="dxa"/>
        <w:tblLayout w:type="fixed"/>
        <w:tblLook w:val="0420" w:firstRow="1" w:lastRow="0" w:firstColumn="0" w:lastColumn="0" w:noHBand="0" w:noVBand="1"/>
      </w:tblPr>
      <w:tblGrid>
        <w:gridCol w:w="1469"/>
        <w:gridCol w:w="2292"/>
        <w:gridCol w:w="823"/>
        <w:gridCol w:w="795"/>
        <w:gridCol w:w="1587"/>
        <w:gridCol w:w="1528"/>
      </w:tblGrid>
      <w:tr w:rsidR="00B37965" w:rsidRPr="00BE78CA" w14:paraId="60135CDC" w14:textId="77777777" w:rsidTr="00B37965">
        <w:trPr>
          <w:cantSplit/>
          <w:tblHeader/>
        </w:trPr>
        <w:tc>
          <w:tcPr>
            <w:tcW w:w="1469" w:type="dxa"/>
            <w:tcBorders>
              <w:top w:val="single" w:sz="4" w:space="0" w:color="365F91"/>
              <w:bottom w:val="single" w:sz="4" w:space="0" w:color="365F91"/>
            </w:tcBorders>
            <w:shd w:val="clear" w:color="auto" w:fill="365F91"/>
            <w:tcMar>
              <w:top w:w="0" w:type="dxa"/>
              <w:left w:w="108" w:type="dxa"/>
              <w:bottom w:w="0" w:type="dxa"/>
              <w:right w:w="108" w:type="dxa"/>
            </w:tcMar>
            <w:vAlign w:val="bottom"/>
          </w:tcPr>
          <w:p w14:paraId="43A1AB99" w14:textId="77777777" w:rsidR="007E0025" w:rsidRPr="00BE78CA" w:rsidRDefault="007E0025" w:rsidP="002543FA">
            <w:pPr>
              <w:pStyle w:val="TableTextBold"/>
              <w:spacing w:before="50" w:after="50"/>
              <w:jc w:val="center"/>
              <w:rPr>
                <w:noProof w:val="0"/>
                <w:color w:val="FFFFFF" w:themeColor="background1"/>
              </w:rPr>
            </w:pPr>
          </w:p>
        </w:tc>
        <w:tc>
          <w:tcPr>
            <w:tcW w:w="2292" w:type="dxa"/>
            <w:tcBorders>
              <w:top w:val="single" w:sz="4" w:space="0" w:color="365F91"/>
              <w:bottom w:val="single" w:sz="4" w:space="0" w:color="365F91"/>
            </w:tcBorders>
            <w:shd w:val="clear" w:color="auto" w:fill="365F91"/>
            <w:tcMar>
              <w:top w:w="0" w:type="dxa"/>
              <w:left w:w="108" w:type="dxa"/>
              <w:bottom w:w="0" w:type="dxa"/>
              <w:right w:w="108" w:type="dxa"/>
            </w:tcMar>
            <w:vAlign w:val="bottom"/>
          </w:tcPr>
          <w:p w14:paraId="2C40E4ED" w14:textId="77777777" w:rsidR="007E0025" w:rsidRPr="00BE78CA" w:rsidRDefault="007E0025" w:rsidP="002543FA">
            <w:pPr>
              <w:pStyle w:val="TableTextBold"/>
              <w:spacing w:before="50" w:after="50"/>
              <w:jc w:val="center"/>
              <w:rPr>
                <w:noProof w:val="0"/>
                <w:color w:val="FFFFFF" w:themeColor="background1"/>
              </w:rPr>
            </w:pPr>
          </w:p>
        </w:tc>
        <w:tc>
          <w:tcPr>
            <w:tcW w:w="823" w:type="dxa"/>
            <w:tcBorders>
              <w:top w:val="single" w:sz="4" w:space="0" w:color="365F91"/>
              <w:bottom w:val="single" w:sz="4" w:space="0" w:color="365F91"/>
            </w:tcBorders>
            <w:shd w:val="clear" w:color="auto" w:fill="365F91"/>
            <w:tcMar>
              <w:top w:w="0" w:type="dxa"/>
              <w:left w:w="108" w:type="dxa"/>
              <w:bottom w:w="0" w:type="dxa"/>
              <w:right w:w="108" w:type="dxa"/>
            </w:tcMar>
            <w:vAlign w:val="bottom"/>
          </w:tcPr>
          <w:p w14:paraId="509B117E" w14:textId="77777777" w:rsidR="007E0025" w:rsidRPr="00BE78CA" w:rsidRDefault="007E0025" w:rsidP="002543FA">
            <w:pPr>
              <w:pStyle w:val="TableTextBold"/>
              <w:spacing w:before="50" w:after="50"/>
              <w:jc w:val="center"/>
              <w:rPr>
                <w:noProof w:val="0"/>
                <w:color w:val="FFFFFF" w:themeColor="background1"/>
              </w:rPr>
            </w:pPr>
            <w:r w:rsidRPr="00BE78CA">
              <w:rPr>
                <w:rFonts w:eastAsia="Calibri" w:cs="Calibri"/>
                <w:noProof w:val="0"/>
                <w:color w:val="FFFFFF" w:themeColor="background1"/>
                <w:szCs w:val="16"/>
              </w:rPr>
              <w:t>1990</w:t>
            </w:r>
          </w:p>
        </w:tc>
        <w:tc>
          <w:tcPr>
            <w:tcW w:w="795" w:type="dxa"/>
            <w:tcBorders>
              <w:top w:val="single" w:sz="4" w:space="0" w:color="365F91"/>
              <w:bottom w:val="single" w:sz="4" w:space="0" w:color="365F91"/>
            </w:tcBorders>
            <w:shd w:val="clear" w:color="auto" w:fill="365F91"/>
            <w:tcMar>
              <w:top w:w="0" w:type="dxa"/>
              <w:left w:w="108" w:type="dxa"/>
              <w:bottom w:w="0" w:type="dxa"/>
              <w:right w:w="108" w:type="dxa"/>
            </w:tcMar>
            <w:vAlign w:val="bottom"/>
          </w:tcPr>
          <w:p w14:paraId="67FAEDDB" w14:textId="77777777" w:rsidR="007E0025" w:rsidRPr="00BE78CA" w:rsidRDefault="007E0025" w:rsidP="002543FA">
            <w:pPr>
              <w:pStyle w:val="TableTextBold"/>
              <w:spacing w:before="50" w:after="50"/>
              <w:jc w:val="center"/>
              <w:rPr>
                <w:noProof w:val="0"/>
                <w:color w:val="FFFFFF" w:themeColor="background1"/>
              </w:rPr>
            </w:pPr>
            <w:r w:rsidRPr="00BE78CA">
              <w:rPr>
                <w:rFonts w:eastAsia="Calibri" w:cs="Calibri"/>
                <w:noProof w:val="0"/>
                <w:color w:val="FFFFFF" w:themeColor="background1"/>
                <w:szCs w:val="16"/>
              </w:rPr>
              <w:t>2019</w:t>
            </w:r>
          </w:p>
        </w:tc>
        <w:tc>
          <w:tcPr>
            <w:tcW w:w="1587" w:type="dxa"/>
            <w:tcBorders>
              <w:top w:val="single" w:sz="4" w:space="0" w:color="365F91"/>
              <w:bottom w:val="single" w:sz="4" w:space="0" w:color="365F91"/>
            </w:tcBorders>
            <w:shd w:val="clear" w:color="auto" w:fill="365F91"/>
            <w:tcMar>
              <w:top w:w="0" w:type="dxa"/>
              <w:left w:w="108" w:type="dxa"/>
              <w:bottom w:w="0" w:type="dxa"/>
              <w:right w:w="108" w:type="dxa"/>
            </w:tcMar>
            <w:vAlign w:val="bottom"/>
          </w:tcPr>
          <w:p w14:paraId="2083D7A8" w14:textId="77777777" w:rsidR="007E0025" w:rsidRPr="00BE78CA" w:rsidRDefault="007E0025" w:rsidP="002543FA">
            <w:pPr>
              <w:pStyle w:val="TableTextBold"/>
              <w:spacing w:before="50" w:after="50"/>
              <w:jc w:val="center"/>
              <w:rPr>
                <w:noProof w:val="0"/>
                <w:color w:val="FFFFFF" w:themeColor="background1"/>
              </w:rPr>
            </w:pPr>
            <w:r w:rsidRPr="00BE78CA">
              <w:rPr>
                <w:rFonts w:eastAsia="Calibri" w:cs="Calibri"/>
                <w:noProof w:val="0"/>
                <w:color w:val="FFFFFF" w:themeColor="background1"/>
                <w:szCs w:val="16"/>
              </w:rPr>
              <w:t>Change in emission outputs between 1990 and 2019</w:t>
            </w:r>
            <w:r w:rsidRPr="00BE78CA">
              <w:rPr>
                <w:rFonts w:eastAsia="Calibri" w:cs="Calibri"/>
                <w:noProof w:val="0"/>
                <w:color w:val="FFFFFF" w:themeColor="background1"/>
                <w:szCs w:val="16"/>
              </w:rPr>
              <w:br/>
              <w:t>(kt CO</w:t>
            </w:r>
            <w:r w:rsidRPr="00BE78CA">
              <w:rPr>
                <w:rFonts w:eastAsia="Calibri" w:cs="Calibri"/>
                <w:noProof w:val="0"/>
                <w:color w:val="FFFFFF" w:themeColor="background1"/>
                <w:szCs w:val="16"/>
                <w:vertAlign w:val="subscript"/>
              </w:rPr>
              <w:t>2</w:t>
            </w:r>
            <w:r w:rsidRPr="00BE78CA">
              <w:rPr>
                <w:rFonts w:eastAsia="Calibri" w:cs="Calibri"/>
                <w:noProof w:val="0"/>
                <w:color w:val="FFFFFF" w:themeColor="background1"/>
                <w:szCs w:val="16"/>
              </w:rPr>
              <w:t>-e)</w:t>
            </w:r>
          </w:p>
        </w:tc>
        <w:tc>
          <w:tcPr>
            <w:tcW w:w="1528" w:type="dxa"/>
            <w:tcBorders>
              <w:top w:val="single" w:sz="4" w:space="0" w:color="365F91"/>
              <w:bottom w:val="single" w:sz="4" w:space="0" w:color="365F91"/>
            </w:tcBorders>
            <w:shd w:val="clear" w:color="auto" w:fill="365F91"/>
            <w:tcMar>
              <w:top w:w="0" w:type="dxa"/>
              <w:left w:w="108" w:type="dxa"/>
              <w:bottom w:w="0" w:type="dxa"/>
              <w:right w:w="108" w:type="dxa"/>
            </w:tcMar>
            <w:vAlign w:val="bottom"/>
          </w:tcPr>
          <w:p w14:paraId="7CF50D7D" w14:textId="77777777" w:rsidR="007E0025" w:rsidRPr="00BE78CA" w:rsidRDefault="007E0025" w:rsidP="002543FA">
            <w:pPr>
              <w:pStyle w:val="TableTextBold"/>
              <w:spacing w:before="50" w:after="50"/>
              <w:jc w:val="center"/>
              <w:rPr>
                <w:noProof w:val="0"/>
                <w:color w:val="FFFFFF" w:themeColor="background1"/>
              </w:rPr>
            </w:pPr>
            <w:r w:rsidRPr="00BE78CA">
              <w:rPr>
                <w:rFonts w:eastAsia="Calibri" w:cs="Calibri"/>
                <w:noProof w:val="0"/>
                <w:color w:val="FFFFFF" w:themeColor="background1"/>
                <w:szCs w:val="16"/>
              </w:rPr>
              <w:t>Percentage change in emission outputs between 1990 and 2019</w:t>
            </w:r>
          </w:p>
        </w:tc>
      </w:tr>
      <w:tr w:rsidR="00643C27" w:rsidRPr="00BE78CA" w14:paraId="33C590F9" w14:textId="77777777" w:rsidTr="00643C27">
        <w:trPr>
          <w:cantSplit/>
        </w:trPr>
        <w:tc>
          <w:tcPr>
            <w:tcW w:w="1469" w:type="dxa"/>
            <w:vMerge w:val="restart"/>
            <w:tcBorders>
              <w:top w:val="single" w:sz="4" w:space="0" w:color="365F91"/>
              <w:left w:val="single" w:sz="4" w:space="0" w:color="FFFFFF"/>
            </w:tcBorders>
            <w:shd w:val="clear" w:color="auto" w:fill="FFFFFF"/>
            <w:tcMar>
              <w:top w:w="0" w:type="dxa"/>
              <w:left w:w="108" w:type="dxa"/>
              <w:bottom w:w="0" w:type="dxa"/>
              <w:right w:w="108" w:type="dxa"/>
            </w:tcMar>
            <w:vAlign w:val="center"/>
          </w:tcPr>
          <w:p w14:paraId="61DE45DA" w14:textId="77777777" w:rsidR="00643C27" w:rsidRPr="00BE78CA" w:rsidRDefault="00643C27" w:rsidP="002543FA">
            <w:pPr>
              <w:pStyle w:val="TableText"/>
              <w:spacing w:before="50" w:after="50"/>
            </w:pPr>
            <w:r w:rsidRPr="00BE78CA">
              <w:rPr>
                <w:rFonts w:eastAsia="Calibri"/>
              </w:rPr>
              <w:t>Total emissions from Agriculture category (kt CO</w:t>
            </w:r>
            <w:r w:rsidRPr="00BE78CA">
              <w:rPr>
                <w:rFonts w:eastAsia="Calibri"/>
                <w:vertAlign w:val="subscript"/>
              </w:rPr>
              <w:t>2</w:t>
            </w:r>
            <w:r w:rsidRPr="00BE78CA">
              <w:rPr>
                <w:rFonts w:eastAsia="Calibri"/>
              </w:rPr>
              <w:t>-e)</w:t>
            </w:r>
          </w:p>
        </w:tc>
        <w:tc>
          <w:tcPr>
            <w:tcW w:w="2292" w:type="dxa"/>
            <w:tcBorders>
              <w:top w:val="single" w:sz="4" w:space="0" w:color="365F91"/>
              <w:bottom w:val="single" w:sz="8" w:space="0" w:color="365F91"/>
            </w:tcBorders>
            <w:shd w:val="clear" w:color="auto" w:fill="FFFFFF"/>
            <w:tcMar>
              <w:top w:w="0" w:type="dxa"/>
              <w:left w:w="108" w:type="dxa"/>
              <w:bottom w:w="0" w:type="dxa"/>
              <w:right w:w="108" w:type="dxa"/>
            </w:tcMar>
            <w:vAlign w:val="center"/>
          </w:tcPr>
          <w:p w14:paraId="272AA58C" w14:textId="77777777" w:rsidR="00643C27" w:rsidRPr="00BE78CA" w:rsidRDefault="00643C27" w:rsidP="002543FA">
            <w:pPr>
              <w:pStyle w:val="TableText"/>
              <w:spacing w:before="50" w:after="50"/>
            </w:pPr>
            <w:r w:rsidRPr="00BE78CA">
              <w:rPr>
                <w:rFonts w:eastAsia="Calibri"/>
              </w:rPr>
              <w:t>2021 (1990–2019) emissions estimate before sheep N</w:t>
            </w:r>
            <w:r w:rsidRPr="00BE78CA">
              <w:rPr>
                <w:vertAlign w:val="subscript"/>
              </w:rPr>
              <w:t>ex</w:t>
            </w:r>
            <w:r w:rsidRPr="00BE78CA">
              <w:rPr>
                <w:rFonts w:eastAsia="Calibri"/>
              </w:rPr>
              <w:t xml:space="preserve"> correction</w:t>
            </w:r>
          </w:p>
        </w:tc>
        <w:tc>
          <w:tcPr>
            <w:tcW w:w="823" w:type="dxa"/>
            <w:tcBorders>
              <w:top w:val="single" w:sz="4" w:space="0" w:color="365F91"/>
              <w:bottom w:val="single" w:sz="8" w:space="0" w:color="365F91"/>
            </w:tcBorders>
            <w:shd w:val="clear" w:color="auto" w:fill="FFFFFF"/>
            <w:tcMar>
              <w:top w:w="0" w:type="dxa"/>
              <w:left w:w="108" w:type="dxa"/>
              <w:bottom w:w="0" w:type="dxa"/>
              <w:right w:w="108" w:type="dxa"/>
            </w:tcMar>
          </w:tcPr>
          <w:p w14:paraId="2A1DAE2C" w14:textId="77777777" w:rsidR="00643C27" w:rsidRPr="00BE78CA" w:rsidRDefault="00643C27" w:rsidP="002543FA">
            <w:pPr>
              <w:pStyle w:val="TableText"/>
              <w:spacing w:before="50" w:after="50"/>
              <w:jc w:val="center"/>
            </w:pPr>
            <w:r w:rsidRPr="00BE78CA">
              <w:rPr>
                <w:rFonts w:eastAsia="Calibri"/>
              </w:rPr>
              <w:t>33,777.8</w:t>
            </w:r>
          </w:p>
        </w:tc>
        <w:tc>
          <w:tcPr>
            <w:tcW w:w="795" w:type="dxa"/>
            <w:tcBorders>
              <w:top w:val="single" w:sz="4" w:space="0" w:color="365F91"/>
              <w:bottom w:val="single" w:sz="8" w:space="0" w:color="365F91"/>
            </w:tcBorders>
            <w:shd w:val="clear" w:color="auto" w:fill="FFFFFF"/>
            <w:tcMar>
              <w:top w:w="0" w:type="dxa"/>
              <w:left w:w="108" w:type="dxa"/>
              <w:bottom w:w="0" w:type="dxa"/>
              <w:right w:w="108" w:type="dxa"/>
            </w:tcMar>
          </w:tcPr>
          <w:p w14:paraId="4FAF9E4F" w14:textId="77777777" w:rsidR="00643C27" w:rsidRPr="00BE78CA" w:rsidRDefault="00643C27" w:rsidP="002543FA">
            <w:pPr>
              <w:pStyle w:val="TableText"/>
              <w:spacing w:before="50" w:after="50"/>
              <w:jc w:val="center"/>
            </w:pPr>
            <w:r w:rsidRPr="00BE78CA">
              <w:rPr>
                <w:rFonts w:eastAsia="Calibri"/>
              </w:rPr>
              <w:t>39,570.3</w:t>
            </w:r>
          </w:p>
        </w:tc>
        <w:tc>
          <w:tcPr>
            <w:tcW w:w="1587" w:type="dxa"/>
            <w:tcBorders>
              <w:top w:val="single" w:sz="4" w:space="0" w:color="365F91"/>
              <w:bottom w:val="single" w:sz="8" w:space="0" w:color="365F91"/>
            </w:tcBorders>
            <w:shd w:val="clear" w:color="auto" w:fill="FFFFFF"/>
            <w:tcMar>
              <w:top w:w="0" w:type="dxa"/>
              <w:left w:w="108" w:type="dxa"/>
              <w:bottom w:w="0" w:type="dxa"/>
              <w:right w:w="108" w:type="dxa"/>
            </w:tcMar>
          </w:tcPr>
          <w:p w14:paraId="1F590BC0" w14:textId="77777777" w:rsidR="00643C27" w:rsidRPr="00BE78CA" w:rsidRDefault="00643C27" w:rsidP="002543FA">
            <w:pPr>
              <w:pStyle w:val="TableText"/>
              <w:spacing w:before="50" w:after="50"/>
              <w:jc w:val="center"/>
            </w:pPr>
            <w:r w:rsidRPr="00BE78CA">
              <w:rPr>
                <w:rFonts w:eastAsia="Calibri"/>
              </w:rPr>
              <w:t>5,792.4</w:t>
            </w:r>
          </w:p>
        </w:tc>
        <w:tc>
          <w:tcPr>
            <w:tcW w:w="1528" w:type="dxa"/>
            <w:tcBorders>
              <w:top w:val="single" w:sz="4" w:space="0" w:color="365F91"/>
              <w:bottom w:val="single" w:sz="8" w:space="0" w:color="365F91"/>
              <w:right w:val="single" w:sz="4" w:space="0" w:color="FFFFFF"/>
            </w:tcBorders>
            <w:shd w:val="clear" w:color="auto" w:fill="FFFFFF"/>
            <w:tcMar>
              <w:top w:w="0" w:type="dxa"/>
              <w:left w:w="108" w:type="dxa"/>
              <w:bottom w:w="0" w:type="dxa"/>
              <w:right w:w="108" w:type="dxa"/>
            </w:tcMar>
          </w:tcPr>
          <w:p w14:paraId="3624906E" w14:textId="77777777" w:rsidR="00643C27" w:rsidRPr="00BE78CA" w:rsidRDefault="00643C27" w:rsidP="002543FA">
            <w:pPr>
              <w:pStyle w:val="TableText"/>
              <w:spacing w:before="50" w:after="50"/>
              <w:jc w:val="center"/>
            </w:pPr>
            <w:r w:rsidRPr="00BE78CA">
              <w:rPr>
                <w:rFonts w:eastAsia="Calibri"/>
              </w:rPr>
              <w:t>17.1</w:t>
            </w:r>
          </w:p>
        </w:tc>
      </w:tr>
      <w:tr w:rsidR="00643C27" w:rsidRPr="00BE78CA" w14:paraId="3E11AB7E" w14:textId="77777777" w:rsidTr="00643C27">
        <w:trPr>
          <w:cantSplit/>
        </w:trPr>
        <w:tc>
          <w:tcPr>
            <w:tcW w:w="1469" w:type="dxa"/>
            <w:vMerge/>
            <w:tcBorders>
              <w:left w:val="single" w:sz="4" w:space="0" w:color="FFFFFF"/>
            </w:tcBorders>
            <w:shd w:val="clear" w:color="auto" w:fill="FFFFFF"/>
            <w:tcMar>
              <w:top w:w="0" w:type="dxa"/>
              <w:left w:w="108" w:type="dxa"/>
              <w:bottom w:w="0" w:type="dxa"/>
              <w:right w:w="108" w:type="dxa"/>
            </w:tcMar>
            <w:vAlign w:val="center"/>
          </w:tcPr>
          <w:p w14:paraId="3D575F19" w14:textId="77777777" w:rsidR="00643C27" w:rsidRPr="00BE78CA" w:rsidRDefault="00643C27" w:rsidP="002543FA">
            <w:pPr>
              <w:pStyle w:val="TableText"/>
              <w:spacing w:before="50" w:after="50"/>
            </w:pPr>
          </w:p>
        </w:tc>
        <w:tc>
          <w:tcPr>
            <w:tcW w:w="2292" w:type="dxa"/>
            <w:tcBorders>
              <w:top w:val="single" w:sz="8" w:space="0" w:color="365F91"/>
              <w:bottom w:val="single" w:sz="8" w:space="0" w:color="365F91"/>
            </w:tcBorders>
            <w:shd w:val="clear" w:color="auto" w:fill="FFFFFF"/>
            <w:tcMar>
              <w:top w:w="0" w:type="dxa"/>
              <w:left w:w="108" w:type="dxa"/>
              <w:bottom w:w="0" w:type="dxa"/>
              <w:right w:w="108" w:type="dxa"/>
            </w:tcMar>
            <w:vAlign w:val="center"/>
          </w:tcPr>
          <w:p w14:paraId="5BE8163A" w14:textId="77777777" w:rsidR="00643C27" w:rsidRPr="00BE78CA" w:rsidRDefault="00643C27" w:rsidP="002543FA">
            <w:pPr>
              <w:pStyle w:val="TableText"/>
              <w:spacing w:before="50" w:after="50"/>
            </w:pPr>
            <w:r w:rsidRPr="00BE78CA">
              <w:rPr>
                <w:rFonts w:eastAsia="Calibri"/>
              </w:rPr>
              <w:t>2021 (1990–2019) emissions estimate after sheep N</w:t>
            </w:r>
            <w:r w:rsidRPr="00BE78CA">
              <w:rPr>
                <w:vertAlign w:val="subscript"/>
              </w:rPr>
              <w:t>ex</w:t>
            </w:r>
            <w:r w:rsidRPr="00BE78CA">
              <w:rPr>
                <w:rFonts w:eastAsia="Calibri"/>
              </w:rPr>
              <w:t xml:space="preserve"> correction</w:t>
            </w:r>
          </w:p>
        </w:tc>
        <w:tc>
          <w:tcPr>
            <w:tcW w:w="823" w:type="dxa"/>
            <w:tcBorders>
              <w:top w:val="single" w:sz="8" w:space="0" w:color="365F91"/>
              <w:bottom w:val="single" w:sz="8" w:space="0" w:color="365F91"/>
            </w:tcBorders>
            <w:shd w:val="clear" w:color="auto" w:fill="FFFFFF"/>
            <w:tcMar>
              <w:top w:w="0" w:type="dxa"/>
              <w:left w:w="108" w:type="dxa"/>
              <w:bottom w:w="0" w:type="dxa"/>
              <w:right w:w="108" w:type="dxa"/>
            </w:tcMar>
          </w:tcPr>
          <w:p w14:paraId="71A9883B" w14:textId="77777777" w:rsidR="00643C27" w:rsidRPr="00BE78CA" w:rsidRDefault="00643C27" w:rsidP="002543FA">
            <w:pPr>
              <w:pStyle w:val="TableText"/>
              <w:spacing w:before="50" w:after="50"/>
              <w:jc w:val="center"/>
            </w:pPr>
            <w:r w:rsidRPr="00BE78CA">
              <w:rPr>
                <w:rFonts w:eastAsia="Calibri"/>
              </w:rPr>
              <w:t>33,840.3</w:t>
            </w:r>
          </w:p>
        </w:tc>
        <w:tc>
          <w:tcPr>
            <w:tcW w:w="795" w:type="dxa"/>
            <w:tcBorders>
              <w:top w:val="single" w:sz="8" w:space="0" w:color="365F91"/>
              <w:bottom w:val="single" w:sz="8" w:space="0" w:color="365F91"/>
            </w:tcBorders>
            <w:shd w:val="clear" w:color="auto" w:fill="FFFFFF"/>
            <w:tcMar>
              <w:top w:w="0" w:type="dxa"/>
              <w:left w:w="108" w:type="dxa"/>
              <w:bottom w:w="0" w:type="dxa"/>
              <w:right w:w="108" w:type="dxa"/>
            </w:tcMar>
          </w:tcPr>
          <w:p w14:paraId="0FDC457C" w14:textId="77777777" w:rsidR="00643C27" w:rsidRPr="00BE78CA" w:rsidRDefault="00643C27" w:rsidP="002543FA">
            <w:pPr>
              <w:pStyle w:val="TableText"/>
              <w:spacing w:before="50" w:after="50"/>
              <w:jc w:val="center"/>
            </w:pPr>
            <w:r w:rsidRPr="00BE78CA">
              <w:rPr>
                <w:rFonts w:eastAsia="Calibri"/>
              </w:rPr>
              <w:t>39,617.7</w:t>
            </w:r>
          </w:p>
        </w:tc>
        <w:tc>
          <w:tcPr>
            <w:tcW w:w="1587" w:type="dxa"/>
            <w:tcBorders>
              <w:top w:val="single" w:sz="8" w:space="0" w:color="365F91"/>
              <w:bottom w:val="single" w:sz="8" w:space="0" w:color="365F91"/>
            </w:tcBorders>
            <w:shd w:val="clear" w:color="auto" w:fill="FFFFFF"/>
            <w:tcMar>
              <w:top w:w="0" w:type="dxa"/>
              <w:left w:w="108" w:type="dxa"/>
              <w:bottom w:w="0" w:type="dxa"/>
              <w:right w:w="108" w:type="dxa"/>
            </w:tcMar>
          </w:tcPr>
          <w:p w14:paraId="106257E1" w14:textId="77777777" w:rsidR="00643C27" w:rsidRPr="00BE78CA" w:rsidRDefault="00643C27" w:rsidP="002543FA">
            <w:pPr>
              <w:pStyle w:val="TableText"/>
              <w:spacing w:before="50" w:after="50"/>
              <w:jc w:val="center"/>
            </w:pPr>
            <w:r w:rsidRPr="00BE78CA">
              <w:rPr>
                <w:rFonts w:eastAsia="Calibri"/>
              </w:rPr>
              <w:t>5,777.4</w:t>
            </w:r>
          </w:p>
        </w:tc>
        <w:tc>
          <w:tcPr>
            <w:tcW w:w="1528" w:type="dxa"/>
            <w:tcBorders>
              <w:top w:val="single" w:sz="8" w:space="0" w:color="365F91"/>
              <w:bottom w:val="single" w:sz="8" w:space="0" w:color="365F91"/>
              <w:right w:val="single" w:sz="4" w:space="0" w:color="FFFFFF"/>
            </w:tcBorders>
            <w:shd w:val="clear" w:color="auto" w:fill="FFFFFF"/>
            <w:tcMar>
              <w:top w:w="0" w:type="dxa"/>
              <w:left w:w="108" w:type="dxa"/>
              <w:bottom w:w="0" w:type="dxa"/>
              <w:right w:w="108" w:type="dxa"/>
            </w:tcMar>
          </w:tcPr>
          <w:p w14:paraId="27D1FE33" w14:textId="77777777" w:rsidR="00643C27" w:rsidRPr="00BE78CA" w:rsidRDefault="00643C27" w:rsidP="002543FA">
            <w:pPr>
              <w:pStyle w:val="TableText"/>
              <w:spacing w:before="50" w:after="50"/>
              <w:jc w:val="center"/>
            </w:pPr>
            <w:r w:rsidRPr="00BE78CA">
              <w:rPr>
                <w:rFonts w:eastAsia="Calibri"/>
              </w:rPr>
              <w:t>17.1</w:t>
            </w:r>
          </w:p>
        </w:tc>
      </w:tr>
      <w:tr w:rsidR="00643C27" w:rsidRPr="00BE78CA" w14:paraId="51AA08A5" w14:textId="77777777" w:rsidTr="00643C27">
        <w:trPr>
          <w:cantSplit/>
        </w:trPr>
        <w:tc>
          <w:tcPr>
            <w:tcW w:w="1469" w:type="dxa"/>
            <w:vMerge/>
            <w:tcBorders>
              <w:left w:val="single" w:sz="4" w:space="0" w:color="FFFFFF"/>
            </w:tcBorders>
            <w:shd w:val="clear" w:color="auto" w:fill="FFFFFF"/>
            <w:tcMar>
              <w:top w:w="0" w:type="dxa"/>
              <w:left w:w="108" w:type="dxa"/>
              <w:bottom w:w="0" w:type="dxa"/>
              <w:right w:w="108" w:type="dxa"/>
            </w:tcMar>
            <w:vAlign w:val="center"/>
          </w:tcPr>
          <w:p w14:paraId="46ECC6C2" w14:textId="77777777" w:rsidR="00643C27" w:rsidRPr="00BE78CA" w:rsidRDefault="00643C27" w:rsidP="002543FA">
            <w:pPr>
              <w:pStyle w:val="TableText"/>
              <w:spacing w:before="50" w:after="50"/>
            </w:pPr>
          </w:p>
        </w:tc>
        <w:tc>
          <w:tcPr>
            <w:tcW w:w="2292" w:type="dxa"/>
            <w:tcBorders>
              <w:top w:val="single" w:sz="8" w:space="0" w:color="365F91"/>
              <w:bottom w:val="single" w:sz="8" w:space="0" w:color="365F91"/>
            </w:tcBorders>
            <w:shd w:val="clear" w:color="auto" w:fill="FFFFFF"/>
            <w:tcMar>
              <w:top w:w="0" w:type="dxa"/>
              <w:left w:w="108" w:type="dxa"/>
              <w:bottom w:w="0" w:type="dxa"/>
              <w:right w:w="108" w:type="dxa"/>
            </w:tcMar>
            <w:vAlign w:val="center"/>
          </w:tcPr>
          <w:p w14:paraId="0491CCFB" w14:textId="77777777" w:rsidR="00643C27" w:rsidRPr="00BE78CA" w:rsidRDefault="00643C27" w:rsidP="002543FA">
            <w:pPr>
              <w:pStyle w:val="TableText"/>
              <w:spacing w:before="50" w:after="50"/>
            </w:pPr>
            <w:r w:rsidRPr="00BE78CA">
              <w:rPr>
                <w:rFonts w:eastAsia="Calibri"/>
              </w:rPr>
              <w:t>Difference in emission estimates</w:t>
            </w:r>
          </w:p>
        </w:tc>
        <w:tc>
          <w:tcPr>
            <w:tcW w:w="823" w:type="dxa"/>
            <w:tcBorders>
              <w:top w:val="single" w:sz="8" w:space="0" w:color="365F91"/>
              <w:bottom w:val="single" w:sz="8" w:space="0" w:color="365F91"/>
            </w:tcBorders>
            <w:shd w:val="clear" w:color="auto" w:fill="FFFFFF"/>
            <w:tcMar>
              <w:top w:w="0" w:type="dxa"/>
              <w:left w:w="108" w:type="dxa"/>
              <w:bottom w:w="0" w:type="dxa"/>
              <w:right w:w="108" w:type="dxa"/>
            </w:tcMar>
          </w:tcPr>
          <w:p w14:paraId="68717E1E" w14:textId="77777777" w:rsidR="00643C27" w:rsidRPr="00BE78CA" w:rsidRDefault="00643C27" w:rsidP="002543FA">
            <w:pPr>
              <w:pStyle w:val="TableText"/>
              <w:spacing w:before="50" w:after="50"/>
              <w:jc w:val="center"/>
            </w:pPr>
            <w:r w:rsidRPr="00BE78CA">
              <w:rPr>
                <w:rFonts w:eastAsia="Calibri"/>
              </w:rPr>
              <w:t>62.5</w:t>
            </w:r>
          </w:p>
        </w:tc>
        <w:tc>
          <w:tcPr>
            <w:tcW w:w="795" w:type="dxa"/>
            <w:tcBorders>
              <w:top w:val="single" w:sz="8" w:space="0" w:color="365F91"/>
              <w:bottom w:val="single" w:sz="8" w:space="0" w:color="365F91"/>
            </w:tcBorders>
            <w:shd w:val="clear" w:color="auto" w:fill="FFFFFF"/>
            <w:tcMar>
              <w:top w:w="0" w:type="dxa"/>
              <w:left w:w="108" w:type="dxa"/>
              <w:bottom w:w="0" w:type="dxa"/>
              <w:right w:w="108" w:type="dxa"/>
            </w:tcMar>
          </w:tcPr>
          <w:p w14:paraId="650022EE" w14:textId="77777777" w:rsidR="00643C27" w:rsidRPr="00BE78CA" w:rsidRDefault="00643C27" w:rsidP="002543FA">
            <w:pPr>
              <w:pStyle w:val="TableText"/>
              <w:spacing w:before="50" w:after="50"/>
              <w:jc w:val="center"/>
            </w:pPr>
            <w:r w:rsidRPr="00BE78CA">
              <w:rPr>
                <w:rFonts w:eastAsia="Calibri"/>
              </w:rPr>
              <w:t>47.4</w:t>
            </w:r>
          </w:p>
        </w:tc>
        <w:tc>
          <w:tcPr>
            <w:tcW w:w="1587" w:type="dxa"/>
            <w:tcBorders>
              <w:top w:val="single" w:sz="8" w:space="0" w:color="365F91"/>
              <w:bottom w:val="single" w:sz="8" w:space="0" w:color="365F91"/>
            </w:tcBorders>
            <w:shd w:val="clear" w:color="auto" w:fill="FFFFFF"/>
            <w:tcMar>
              <w:top w:w="0" w:type="dxa"/>
              <w:left w:w="108" w:type="dxa"/>
              <w:bottom w:w="0" w:type="dxa"/>
              <w:right w:w="108" w:type="dxa"/>
            </w:tcMar>
          </w:tcPr>
          <w:p w14:paraId="51490317" w14:textId="77777777" w:rsidR="00643C27" w:rsidRPr="00BE78CA" w:rsidRDefault="00643C27" w:rsidP="002543FA">
            <w:pPr>
              <w:pStyle w:val="TableText"/>
              <w:spacing w:before="50" w:after="50"/>
              <w:jc w:val="center"/>
            </w:pPr>
            <w:r w:rsidRPr="00BE78CA">
              <w:rPr>
                <w:rFonts w:eastAsia="Calibri"/>
              </w:rPr>
              <w:t>–15.0</w:t>
            </w:r>
          </w:p>
        </w:tc>
        <w:tc>
          <w:tcPr>
            <w:tcW w:w="1528" w:type="dxa"/>
            <w:tcBorders>
              <w:top w:val="single" w:sz="8" w:space="0" w:color="365F91"/>
              <w:bottom w:val="single" w:sz="8" w:space="0" w:color="365F91"/>
              <w:right w:val="single" w:sz="4" w:space="0" w:color="FFFFFF"/>
            </w:tcBorders>
            <w:shd w:val="clear" w:color="auto" w:fill="FFFFFF"/>
            <w:tcMar>
              <w:top w:w="0" w:type="dxa"/>
              <w:left w:w="108" w:type="dxa"/>
              <w:bottom w:w="0" w:type="dxa"/>
              <w:right w:w="108" w:type="dxa"/>
            </w:tcMar>
          </w:tcPr>
          <w:p w14:paraId="79086224" w14:textId="77777777" w:rsidR="00643C27" w:rsidRPr="00BE78CA" w:rsidRDefault="00643C27" w:rsidP="002543FA">
            <w:pPr>
              <w:pStyle w:val="TableText"/>
              <w:spacing w:before="50" w:after="50"/>
              <w:jc w:val="center"/>
            </w:pPr>
            <w:r w:rsidRPr="00BE78CA">
              <w:t>NA</w:t>
            </w:r>
          </w:p>
        </w:tc>
      </w:tr>
      <w:tr w:rsidR="00643C27" w:rsidRPr="00BE78CA" w14:paraId="49D4F406" w14:textId="77777777" w:rsidTr="00643C27">
        <w:trPr>
          <w:cantSplit/>
        </w:trPr>
        <w:tc>
          <w:tcPr>
            <w:tcW w:w="1469" w:type="dxa"/>
            <w:vMerge/>
            <w:tcBorders>
              <w:left w:val="single" w:sz="4" w:space="0" w:color="FFFFFF"/>
              <w:bottom w:val="single" w:sz="4" w:space="0" w:color="365F91"/>
            </w:tcBorders>
            <w:shd w:val="clear" w:color="auto" w:fill="FFFFFF"/>
            <w:tcMar>
              <w:top w:w="0" w:type="dxa"/>
              <w:left w:w="108" w:type="dxa"/>
              <w:bottom w:w="0" w:type="dxa"/>
              <w:right w:w="108" w:type="dxa"/>
            </w:tcMar>
            <w:vAlign w:val="center"/>
          </w:tcPr>
          <w:p w14:paraId="031A8EAB" w14:textId="77777777" w:rsidR="00643C27" w:rsidRPr="00BE78CA" w:rsidRDefault="00643C27" w:rsidP="002543FA">
            <w:pPr>
              <w:pStyle w:val="TableText"/>
              <w:spacing w:before="50" w:after="50"/>
            </w:pPr>
          </w:p>
        </w:tc>
        <w:tc>
          <w:tcPr>
            <w:tcW w:w="2292" w:type="dxa"/>
            <w:tcBorders>
              <w:top w:val="single" w:sz="8" w:space="0" w:color="365F91"/>
              <w:bottom w:val="single" w:sz="4" w:space="0" w:color="365F91"/>
            </w:tcBorders>
            <w:shd w:val="clear" w:color="auto" w:fill="FFFFFF"/>
            <w:tcMar>
              <w:top w:w="0" w:type="dxa"/>
              <w:left w:w="108" w:type="dxa"/>
              <w:bottom w:w="0" w:type="dxa"/>
              <w:right w:w="108" w:type="dxa"/>
            </w:tcMar>
            <w:vAlign w:val="center"/>
          </w:tcPr>
          <w:p w14:paraId="2CDFD8BD" w14:textId="77777777" w:rsidR="00643C27" w:rsidRPr="00BE78CA" w:rsidRDefault="00643C27" w:rsidP="002543FA">
            <w:pPr>
              <w:pStyle w:val="TableText"/>
              <w:spacing w:before="50" w:after="50"/>
            </w:pPr>
            <w:r w:rsidRPr="00BE78CA">
              <w:rPr>
                <w:rFonts w:eastAsia="Calibri"/>
              </w:rPr>
              <w:t>Percentage difference in emission estimates</w:t>
            </w:r>
          </w:p>
        </w:tc>
        <w:tc>
          <w:tcPr>
            <w:tcW w:w="823" w:type="dxa"/>
            <w:tcBorders>
              <w:top w:val="single" w:sz="8" w:space="0" w:color="365F91"/>
              <w:bottom w:val="single" w:sz="4" w:space="0" w:color="365F91"/>
            </w:tcBorders>
            <w:shd w:val="clear" w:color="auto" w:fill="FFFFFF"/>
            <w:tcMar>
              <w:top w:w="0" w:type="dxa"/>
              <w:left w:w="108" w:type="dxa"/>
              <w:bottom w:w="0" w:type="dxa"/>
              <w:right w:w="108" w:type="dxa"/>
            </w:tcMar>
          </w:tcPr>
          <w:p w14:paraId="228AA15B" w14:textId="77777777" w:rsidR="00643C27" w:rsidRPr="00BE78CA" w:rsidRDefault="00643C27" w:rsidP="002543FA">
            <w:pPr>
              <w:pStyle w:val="TableText"/>
              <w:spacing w:before="50" w:after="50"/>
              <w:jc w:val="center"/>
            </w:pPr>
            <w:r w:rsidRPr="00BE78CA">
              <w:rPr>
                <w:rFonts w:eastAsia="Calibri"/>
              </w:rPr>
              <w:t>0.2</w:t>
            </w:r>
          </w:p>
        </w:tc>
        <w:tc>
          <w:tcPr>
            <w:tcW w:w="795" w:type="dxa"/>
            <w:tcBorders>
              <w:top w:val="single" w:sz="8" w:space="0" w:color="365F91"/>
              <w:bottom w:val="single" w:sz="4" w:space="0" w:color="365F91"/>
            </w:tcBorders>
            <w:shd w:val="clear" w:color="auto" w:fill="FFFFFF"/>
            <w:tcMar>
              <w:top w:w="0" w:type="dxa"/>
              <w:left w:w="108" w:type="dxa"/>
              <w:bottom w:w="0" w:type="dxa"/>
              <w:right w:w="108" w:type="dxa"/>
            </w:tcMar>
          </w:tcPr>
          <w:p w14:paraId="3B5CF09B" w14:textId="77777777" w:rsidR="00643C27" w:rsidRPr="00BE78CA" w:rsidRDefault="00643C27" w:rsidP="002543FA">
            <w:pPr>
              <w:pStyle w:val="TableText"/>
              <w:spacing w:before="50" w:after="50"/>
              <w:jc w:val="center"/>
            </w:pPr>
            <w:r w:rsidRPr="00BE78CA">
              <w:rPr>
                <w:rFonts w:eastAsia="Calibri"/>
              </w:rPr>
              <w:t>0.1</w:t>
            </w:r>
          </w:p>
        </w:tc>
        <w:tc>
          <w:tcPr>
            <w:tcW w:w="1587" w:type="dxa"/>
            <w:tcBorders>
              <w:top w:val="single" w:sz="8" w:space="0" w:color="365F91"/>
              <w:bottom w:val="single" w:sz="4" w:space="0" w:color="365F91"/>
            </w:tcBorders>
            <w:shd w:val="clear" w:color="auto" w:fill="FFFFFF"/>
            <w:tcMar>
              <w:top w:w="0" w:type="dxa"/>
              <w:left w:w="108" w:type="dxa"/>
              <w:bottom w:w="0" w:type="dxa"/>
              <w:right w:w="108" w:type="dxa"/>
            </w:tcMar>
          </w:tcPr>
          <w:p w14:paraId="77874E43" w14:textId="77777777" w:rsidR="00643C27" w:rsidRPr="00BE78CA" w:rsidRDefault="00643C27" w:rsidP="002543FA">
            <w:pPr>
              <w:pStyle w:val="TableText"/>
              <w:spacing w:before="50" w:after="50"/>
              <w:jc w:val="center"/>
            </w:pPr>
            <w:r w:rsidRPr="00BE78CA">
              <w:t>NA</w:t>
            </w:r>
          </w:p>
        </w:tc>
        <w:tc>
          <w:tcPr>
            <w:tcW w:w="1528" w:type="dxa"/>
            <w:tcBorders>
              <w:top w:val="single" w:sz="8" w:space="0" w:color="365F91"/>
              <w:bottom w:val="single" w:sz="4" w:space="0" w:color="365F91"/>
              <w:right w:val="single" w:sz="4" w:space="0" w:color="FFFFFF"/>
            </w:tcBorders>
            <w:shd w:val="clear" w:color="auto" w:fill="FFFFFF"/>
            <w:tcMar>
              <w:top w:w="0" w:type="dxa"/>
              <w:left w:w="108" w:type="dxa"/>
              <w:bottom w:w="0" w:type="dxa"/>
              <w:right w:w="108" w:type="dxa"/>
            </w:tcMar>
          </w:tcPr>
          <w:p w14:paraId="1CD24605" w14:textId="77777777" w:rsidR="00643C27" w:rsidRPr="00BE78CA" w:rsidRDefault="00643C27" w:rsidP="002543FA">
            <w:pPr>
              <w:pStyle w:val="TableText"/>
              <w:spacing w:before="50" w:after="50"/>
              <w:jc w:val="center"/>
            </w:pPr>
            <w:r w:rsidRPr="00BE78CA">
              <w:t>NA</w:t>
            </w:r>
          </w:p>
        </w:tc>
      </w:tr>
    </w:tbl>
    <w:p w14:paraId="09A26B97" w14:textId="77777777" w:rsidR="007E0025" w:rsidRPr="00BE78CA" w:rsidRDefault="007E0025" w:rsidP="007E0025">
      <w:pPr>
        <w:pStyle w:val="Heading5"/>
      </w:pPr>
      <w:bookmarkStart w:id="3299" w:name="revision-of-agricultural-statistics"/>
      <w:r w:rsidRPr="00BE78CA">
        <w:lastRenderedPageBreak/>
        <w:t>Revision of agricultural statistics</w:t>
      </w:r>
      <w:bookmarkEnd w:id="3299"/>
    </w:p>
    <w:p w14:paraId="3706386D" w14:textId="78AC532D" w:rsidR="007E0025" w:rsidRPr="00BE78CA" w:rsidRDefault="007E0025" w:rsidP="007E0025">
      <w:pPr>
        <w:pStyle w:val="BodyText"/>
      </w:pPr>
      <w:r w:rsidRPr="00BE78CA">
        <w:t>Revision and finalisation of agricultural data from Stats NZ can mean emissions estimates for the latest two years vary from the previous submission for certain source categories.</w:t>
      </w:r>
    </w:p>
    <w:p w14:paraId="04AF8CC3" w14:textId="0F1116D0" w:rsidR="007E0025" w:rsidRPr="00BE78CA" w:rsidRDefault="007E0025" w:rsidP="007E0025">
      <w:pPr>
        <w:pStyle w:val="BodyText"/>
      </w:pPr>
      <w:r w:rsidRPr="00BE78CA">
        <w:t>The calculation of emissions for the most recent year (2019) requires population estimates for</w:t>
      </w:r>
      <w:r w:rsidR="00BB5269" w:rsidRPr="00BE78CA">
        <w:t> </w:t>
      </w:r>
      <w:r w:rsidRPr="00BE78CA">
        <w:t>2020 that are only provisional at the time the inventory is compiled.</w:t>
      </w:r>
    </w:p>
    <w:p w14:paraId="5DB7BC2D" w14:textId="77777777" w:rsidR="007E0025" w:rsidRPr="00BE78CA" w:rsidRDefault="007E0025" w:rsidP="007E0025">
      <w:pPr>
        <w:pStyle w:val="BodyText"/>
      </w:pPr>
      <w:r w:rsidRPr="00BE78CA">
        <w:t>As part of Stats NZ’s work on the Agricultural Production survey, the Ministry for Primary Industries (MPI) provides estimates of what it expects it to show in an ‘Expectations Report’. These estimates are based on a range of sources, including Beef + Lamb NZ and livestock slaughter statistics. The primary purpose of this data is for Stats NZ to use as a benchmark for its aggregated survey responses.</w:t>
      </w:r>
    </w:p>
    <w:p w14:paraId="6CBAF20C" w14:textId="77777777" w:rsidR="007E0025" w:rsidRPr="00BE78CA" w:rsidRDefault="007E0025" w:rsidP="007E0025">
      <w:pPr>
        <w:pStyle w:val="BodyText"/>
      </w:pPr>
      <w:r w:rsidRPr="00BE78CA">
        <w:t>These figures can change after receiving final animal numbers and data. The final figures will be taken account of in the 2022 (1990–2020) submission.</w:t>
      </w:r>
    </w:p>
    <w:p w14:paraId="5AE49F2F" w14:textId="42A8F703" w:rsidR="007E0025" w:rsidRPr="00BE78CA" w:rsidRDefault="007E0025" w:rsidP="007E0025">
      <w:pPr>
        <w:pStyle w:val="Figure"/>
      </w:pPr>
      <w:bookmarkStart w:id="3300" w:name="_Toc68786700"/>
      <w:r w:rsidRPr="00BE78CA">
        <w:t xml:space="preserve">Figure 10.1.4 </w:t>
      </w:r>
      <w:r w:rsidRPr="00BE78CA">
        <w:tab/>
        <w:t>Effect of recalculations on New Zealand’s Agriculture sector from 1990</w:t>
      </w:r>
      <w:r w:rsidR="005B6417" w:rsidRPr="00BE78CA">
        <w:t> </w:t>
      </w:r>
      <w:r w:rsidRPr="00BE78CA">
        <w:t>to</w:t>
      </w:r>
      <w:r w:rsidR="005B6417" w:rsidRPr="00BE78CA">
        <w:t> </w:t>
      </w:r>
      <w:r w:rsidRPr="00BE78CA">
        <w:t>2018</w:t>
      </w:r>
      <w:bookmarkEnd w:id="3300"/>
    </w:p>
    <w:p w14:paraId="0FBBAC6A" w14:textId="77777777" w:rsidR="007E0025" w:rsidRPr="00BE78CA" w:rsidRDefault="007E0025" w:rsidP="002543FA">
      <w:pPr>
        <w:pStyle w:val="BodyText"/>
        <w:spacing w:after="0"/>
      </w:pPr>
      <w:r w:rsidRPr="00BE78CA">
        <w:rPr>
          <w:noProof/>
        </w:rPr>
        <w:drawing>
          <wp:inline distT="0" distB="0" distL="0" distR="0" wp14:anchorId="6C910D3B" wp14:editId="13B59339">
            <wp:extent cx="5397500" cy="4048125"/>
            <wp:effectExtent l="0" t="0" r="0" b="0"/>
            <wp:docPr id="58" name="Picture"/>
            <wp:cNvGraphicFramePr/>
            <a:graphic xmlns:a="http://schemas.openxmlformats.org/drawingml/2006/main">
              <a:graphicData uri="http://schemas.openxmlformats.org/drawingml/2006/picture">
                <pic:pic xmlns:pic="http://schemas.openxmlformats.org/drawingml/2006/picture">
                  <pic:nvPicPr>
                    <pic:cNvPr id="0" name="Picture" descr="code/graphs/images/fig_10_1_4.png"/>
                    <pic:cNvPicPr>
                      <a:picLocks noChangeAspect="1" noChangeArrowheads="1"/>
                    </pic:cNvPicPr>
                  </pic:nvPicPr>
                  <pic:blipFill>
                    <a:blip r:embed="rId270"/>
                    <a:stretch>
                      <a:fillRect/>
                    </a:stretch>
                  </pic:blipFill>
                  <pic:spPr bwMode="auto">
                    <a:xfrm>
                      <a:off x="0" y="0"/>
                      <a:ext cx="5397500" cy="4048125"/>
                    </a:xfrm>
                    <a:prstGeom prst="rect">
                      <a:avLst/>
                    </a:prstGeom>
                    <a:noFill/>
                    <a:ln w="9525">
                      <a:noFill/>
                      <a:headEnd/>
                      <a:tailEnd/>
                    </a:ln>
                  </pic:spPr>
                </pic:pic>
              </a:graphicData>
            </a:graphic>
          </wp:inline>
        </w:drawing>
      </w:r>
    </w:p>
    <w:p w14:paraId="2DD205EC" w14:textId="77777777" w:rsidR="007E0025" w:rsidRPr="00BE78CA" w:rsidRDefault="007E0025" w:rsidP="00943696">
      <w:pPr>
        <w:pStyle w:val="Heading3"/>
        <w:spacing w:before="240"/>
      </w:pPr>
      <w:bookmarkStart w:id="3301" w:name="land-use-land-use-change-and-forestry"/>
      <w:r w:rsidRPr="00BE78CA">
        <w:t xml:space="preserve">10.1.4 </w:t>
      </w:r>
      <w:r w:rsidRPr="00BE78CA">
        <w:tab/>
        <w:t>Land use, land-use change and forestry</w:t>
      </w:r>
      <w:bookmarkEnd w:id="3301"/>
    </w:p>
    <w:p w14:paraId="6D39F70A" w14:textId="77777777" w:rsidR="007E0025" w:rsidRPr="00BE78CA" w:rsidRDefault="007E0025" w:rsidP="007E0025">
      <w:pPr>
        <w:pStyle w:val="BodyText"/>
        <w:rPr>
          <w:rFonts w:cs="Calibri"/>
        </w:rPr>
      </w:pPr>
      <w:r w:rsidRPr="00BE78CA">
        <w:rPr>
          <w:rFonts w:cs="Calibri"/>
        </w:rPr>
        <w:t>Improvements made to the LULUCF sector have resulted in a 15.1 per cent (4,282.6 kt CO</w:t>
      </w:r>
      <w:r w:rsidRPr="00BE78CA">
        <w:rPr>
          <w:rFonts w:cs="Calibri"/>
          <w:vertAlign w:val="subscript"/>
        </w:rPr>
        <w:t>2</w:t>
      </w:r>
      <w:r w:rsidRPr="00BE78CA">
        <w:rPr>
          <w:rFonts w:cs="Calibri"/>
        </w:rPr>
        <w:t>-e) decrease in net LULUCF removals in 1990 and a 14.4 per cent (3,362.3 kt CO</w:t>
      </w:r>
      <w:r w:rsidRPr="00BE78CA">
        <w:rPr>
          <w:rFonts w:cs="Calibri"/>
          <w:vertAlign w:val="subscript"/>
        </w:rPr>
        <w:t>2</w:t>
      </w:r>
      <w:r w:rsidRPr="00BE78CA">
        <w:rPr>
          <w:rFonts w:cs="Calibri"/>
        </w:rPr>
        <w:t>-e) increase in net LULUCF removals in 2018 (figure 10.1.5).</w:t>
      </w:r>
    </w:p>
    <w:p w14:paraId="63C71F56" w14:textId="77777777" w:rsidR="007E0025" w:rsidRPr="00BE78CA" w:rsidRDefault="007E0025" w:rsidP="007E0025">
      <w:pPr>
        <w:pStyle w:val="BodyText"/>
      </w:pPr>
      <w:r w:rsidRPr="00BE78CA">
        <w:t>Significant improvements to the 2021 inventory submission are summarised in table 10.1.8. Further details on these changes are given in chapter 6.</w:t>
      </w:r>
    </w:p>
    <w:p w14:paraId="690A04E0" w14:textId="77777777" w:rsidR="007E0025" w:rsidRPr="00BE78CA" w:rsidRDefault="007E0025" w:rsidP="007E0025">
      <w:pPr>
        <w:pStyle w:val="Figure"/>
      </w:pPr>
      <w:bookmarkStart w:id="3302" w:name="_Toc68786701"/>
      <w:r w:rsidRPr="00BE78CA">
        <w:lastRenderedPageBreak/>
        <w:t xml:space="preserve">Figure 10.1.5 </w:t>
      </w:r>
      <w:r w:rsidRPr="00BE78CA">
        <w:tab/>
        <w:t>Effect of recalculations on net emissions from New Zealand’s LULUCF sector from 1990 to 2018</w:t>
      </w:r>
      <w:bookmarkEnd w:id="3302"/>
    </w:p>
    <w:p w14:paraId="4069EF06" w14:textId="77777777" w:rsidR="007E0025" w:rsidRPr="00BE78CA" w:rsidRDefault="007E0025" w:rsidP="007E0025">
      <w:pPr>
        <w:pStyle w:val="BodyText"/>
      </w:pPr>
      <w:r w:rsidRPr="00BE78CA">
        <w:rPr>
          <w:noProof/>
        </w:rPr>
        <w:drawing>
          <wp:inline distT="0" distB="0" distL="0" distR="0" wp14:anchorId="37DDBA77" wp14:editId="50472904">
            <wp:extent cx="5397500" cy="4048125"/>
            <wp:effectExtent l="0" t="0" r="0" b="0"/>
            <wp:docPr id="59" name="Picture"/>
            <wp:cNvGraphicFramePr/>
            <a:graphic xmlns:a="http://schemas.openxmlformats.org/drawingml/2006/main">
              <a:graphicData uri="http://schemas.openxmlformats.org/drawingml/2006/picture">
                <pic:pic xmlns:pic="http://schemas.openxmlformats.org/drawingml/2006/picture">
                  <pic:nvPicPr>
                    <pic:cNvPr id="0" name="Picture" descr="code/graphs/images/fig_10_1_5.png"/>
                    <pic:cNvPicPr>
                      <a:picLocks noChangeAspect="1" noChangeArrowheads="1"/>
                    </pic:cNvPicPr>
                  </pic:nvPicPr>
                  <pic:blipFill>
                    <a:blip r:embed="rId271"/>
                    <a:stretch>
                      <a:fillRect/>
                    </a:stretch>
                  </pic:blipFill>
                  <pic:spPr bwMode="auto">
                    <a:xfrm>
                      <a:off x="0" y="0"/>
                      <a:ext cx="5397500" cy="4048125"/>
                    </a:xfrm>
                    <a:prstGeom prst="rect">
                      <a:avLst/>
                    </a:prstGeom>
                    <a:noFill/>
                    <a:ln w="9525">
                      <a:noFill/>
                      <a:headEnd/>
                      <a:tailEnd/>
                    </a:ln>
                  </pic:spPr>
                </pic:pic>
              </a:graphicData>
            </a:graphic>
          </wp:inline>
        </w:drawing>
      </w:r>
    </w:p>
    <w:p w14:paraId="3B03975D" w14:textId="274AAC3A" w:rsidR="007E0025" w:rsidRPr="00BE78CA" w:rsidRDefault="007E0025" w:rsidP="00943696">
      <w:pPr>
        <w:pStyle w:val="Noteundertable"/>
        <w:spacing w:before="0"/>
      </w:pPr>
      <w:r w:rsidRPr="00BE78CA">
        <w:rPr>
          <w:b/>
        </w:rPr>
        <w:t>Note:</w:t>
      </w:r>
      <w:r w:rsidRPr="00BE78CA">
        <w:t xml:space="preserve"> </w:t>
      </w:r>
      <w:r w:rsidRPr="00BE78CA">
        <w:tab/>
        <w:t>Net emissions are expressed as a negative value to help clarify that the value is a removal and not an</w:t>
      </w:r>
      <w:r w:rsidR="002543FA" w:rsidRPr="00BE78CA">
        <w:t> </w:t>
      </w:r>
      <w:r w:rsidRPr="00BE78CA">
        <w:t>emission.</w:t>
      </w:r>
    </w:p>
    <w:p w14:paraId="13D2B0FE" w14:textId="77777777" w:rsidR="007E0025" w:rsidRPr="00BE78CA" w:rsidRDefault="007E0025" w:rsidP="002543FA">
      <w:pPr>
        <w:pStyle w:val="Table"/>
      </w:pPr>
      <w:bookmarkStart w:id="3303" w:name="_Toc68786583"/>
      <w:r w:rsidRPr="00BE78CA">
        <w:t xml:space="preserve">Table 10.1.8 </w:t>
      </w:r>
      <w:r w:rsidRPr="00BE78CA">
        <w:tab/>
        <w:t>Explanations and justifications for recalculations in the LULUCF sector</w:t>
      </w:r>
      <w:bookmarkEnd w:id="3303"/>
    </w:p>
    <w:tbl>
      <w:tblPr>
        <w:tblW w:w="8494" w:type="dxa"/>
        <w:tblBorders>
          <w:top w:val="single" w:sz="2" w:space="0" w:color="365F91"/>
          <w:bottom w:val="single" w:sz="2" w:space="0" w:color="365F91"/>
          <w:insideH w:val="single" w:sz="2" w:space="0" w:color="365F91"/>
          <w:insideV w:val="single" w:sz="2" w:space="0" w:color="365F91"/>
        </w:tblBorders>
        <w:tblLayout w:type="fixed"/>
        <w:tblLook w:val="0420" w:firstRow="1" w:lastRow="0" w:firstColumn="0" w:lastColumn="0" w:noHBand="0" w:noVBand="1"/>
      </w:tblPr>
      <w:tblGrid>
        <w:gridCol w:w="4818"/>
        <w:gridCol w:w="1295"/>
        <w:gridCol w:w="2381"/>
      </w:tblGrid>
      <w:tr w:rsidR="002543FA" w:rsidRPr="00BE78CA" w14:paraId="3933E548" w14:textId="77777777" w:rsidTr="002543FA">
        <w:trPr>
          <w:cantSplit/>
          <w:tblHeader/>
        </w:trPr>
        <w:tc>
          <w:tcPr>
            <w:tcW w:w="4818" w:type="dxa"/>
            <w:shd w:val="clear" w:color="auto" w:fill="365F91"/>
            <w:tcMar>
              <w:top w:w="0" w:type="dxa"/>
              <w:left w:w="108" w:type="dxa"/>
              <w:bottom w:w="0" w:type="dxa"/>
              <w:right w:w="108" w:type="dxa"/>
            </w:tcMar>
            <w:vAlign w:val="bottom"/>
          </w:tcPr>
          <w:p w14:paraId="14DCAA76" w14:textId="77777777" w:rsidR="007E0025" w:rsidRPr="00BE78CA" w:rsidRDefault="007E0025" w:rsidP="00E47694">
            <w:pPr>
              <w:pStyle w:val="TableTextBold"/>
              <w:spacing w:before="50" w:after="50"/>
              <w:rPr>
                <w:noProof w:val="0"/>
                <w:color w:val="FFFFFF" w:themeColor="background1"/>
              </w:rPr>
            </w:pPr>
            <w:r w:rsidRPr="00BE78CA">
              <w:rPr>
                <w:rFonts w:eastAsia="Calibri"/>
                <w:noProof w:val="0"/>
                <w:color w:val="FFFFFF" w:themeColor="background1"/>
              </w:rPr>
              <w:t>Explanation of recalculation</w:t>
            </w:r>
          </w:p>
        </w:tc>
        <w:tc>
          <w:tcPr>
            <w:tcW w:w="1295" w:type="dxa"/>
            <w:shd w:val="clear" w:color="auto" w:fill="365F91"/>
            <w:tcMar>
              <w:top w:w="0" w:type="dxa"/>
              <w:left w:w="108" w:type="dxa"/>
              <w:bottom w:w="0" w:type="dxa"/>
              <w:right w:w="108" w:type="dxa"/>
            </w:tcMar>
            <w:vAlign w:val="bottom"/>
          </w:tcPr>
          <w:p w14:paraId="70842E75" w14:textId="77777777" w:rsidR="007E0025" w:rsidRPr="00BE78CA" w:rsidRDefault="007E0025" w:rsidP="00336157">
            <w:pPr>
              <w:pStyle w:val="TableTextBold"/>
              <w:spacing w:before="50" w:after="50"/>
              <w:rPr>
                <w:noProof w:val="0"/>
                <w:color w:val="FFFFFF" w:themeColor="background1"/>
              </w:rPr>
            </w:pPr>
            <w:r w:rsidRPr="00BE78CA">
              <w:rPr>
                <w:rFonts w:eastAsia="Calibri"/>
                <w:noProof w:val="0"/>
                <w:color w:val="FFFFFF" w:themeColor="background1"/>
              </w:rPr>
              <w:t>Underpinning IPCC principle</w:t>
            </w:r>
          </w:p>
        </w:tc>
        <w:tc>
          <w:tcPr>
            <w:tcW w:w="2381" w:type="dxa"/>
            <w:shd w:val="clear" w:color="auto" w:fill="365F91"/>
            <w:tcMar>
              <w:top w:w="0" w:type="dxa"/>
              <w:left w:w="108" w:type="dxa"/>
              <w:bottom w:w="0" w:type="dxa"/>
              <w:right w:w="108" w:type="dxa"/>
            </w:tcMar>
            <w:vAlign w:val="bottom"/>
          </w:tcPr>
          <w:p w14:paraId="19F7242F" w14:textId="77777777" w:rsidR="007E0025" w:rsidRPr="00BE78CA" w:rsidRDefault="007E0025" w:rsidP="00E47694">
            <w:pPr>
              <w:pStyle w:val="TableTextBold"/>
              <w:spacing w:before="50" w:after="50"/>
              <w:rPr>
                <w:noProof w:val="0"/>
                <w:color w:val="FFFFFF" w:themeColor="background1"/>
              </w:rPr>
            </w:pPr>
            <w:r w:rsidRPr="00BE78CA">
              <w:rPr>
                <w:rFonts w:eastAsia="Calibri"/>
                <w:noProof w:val="0"/>
                <w:color w:val="FFFFFF" w:themeColor="background1"/>
              </w:rPr>
              <w:t>Additional justification</w:t>
            </w:r>
          </w:p>
        </w:tc>
      </w:tr>
      <w:tr w:rsidR="007E0025" w:rsidRPr="00BE78CA" w14:paraId="768C410F" w14:textId="77777777" w:rsidTr="002543FA">
        <w:trPr>
          <w:cantSplit/>
        </w:trPr>
        <w:tc>
          <w:tcPr>
            <w:tcW w:w="4818" w:type="dxa"/>
            <w:shd w:val="clear" w:color="auto" w:fill="FFFFFF"/>
            <w:tcMar>
              <w:top w:w="0" w:type="dxa"/>
              <w:left w:w="108" w:type="dxa"/>
              <w:bottom w:w="0" w:type="dxa"/>
              <w:right w:w="108" w:type="dxa"/>
            </w:tcMar>
            <w:vAlign w:val="center"/>
          </w:tcPr>
          <w:p w14:paraId="16EFDC91" w14:textId="77777777" w:rsidR="007E0025" w:rsidRPr="00BE78CA" w:rsidRDefault="007E0025" w:rsidP="00E47694">
            <w:pPr>
              <w:pStyle w:val="TableText"/>
              <w:spacing w:before="50" w:after="50"/>
            </w:pPr>
            <w:r w:rsidRPr="00BE78CA">
              <w:rPr>
                <w:rFonts w:eastAsia="Calibri"/>
              </w:rPr>
              <w:t>The pre-1990 planted forest yield table has been revised for the 2021 submission. Improved genetics and management practices mean a single yield table is no longer representative of the entire pre-1990 planted forest estate through time and multiple rotations. Therefore, in this submission, three period-specific yield tables have been applied: one for all cohorts planted in years before 1990, one for cohorts planted between 1990 and 2009, and a third for those planted between 2010 and 2019. See section 6.4.2 of the National Inventory Report for more information. This results in significant changes to net emissions through time. The improvement results in a decrease of removals in 1990 and an increase of removals in 2018 compared with the previous submission.</w:t>
            </w:r>
          </w:p>
        </w:tc>
        <w:tc>
          <w:tcPr>
            <w:tcW w:w="1295" w:type="dxa"/>
            <w:shd w:val="clear" w:color="auto" w:fill="FFFFFF"/>
            <w:tcMar>
              <w:top w:w="0" w:type="dxa"/>
              <w:left w:w="108" w:type="dxa"/>
              <w:bottom w:w="0" w:type="dxa"/>
              <w:right w:w="108" w:type="dxa"/>
            </w:tcMar>
            <w:vAlign w:val="center"/>
          </w:tcPr>
          <w:p w14:paraId="0AED5F40" w14:textId="77777777" w:rsidR="007E0025" w:rsidRPr="00BE78CA" w:rsidRDefault="007E0025" w:rsidP="00336157">
            <w:pPr>
              <w:pStyle w:val="TableText"/>
              <w:spacing w:before="50" w:after="50"/>
            </w:pPr>
            <w:r w:rsidRPr="00BE78CA">
              <w:rPr>
                <w:rFonts w:eastAsia="Calibri"/>
              </w:rPr>
              <w:t>Accuracy</w:t>
            </w:r>
          </w:p>
        </w:tc>
        <w:tc>
          <w:tcPr>
            <w:tcW w:w="2381" w:type="dxa"/>
            <w:shd w:val="clear" w:color="auto" w:fill="FFFFFF"/>
            <w:tcMar>
              <w:top w:w="0" w:type="dxa"/>
              <w:left w:w="108" w:type="dxa"/>
              <w:bottom w:w="0" w:type="dxa"/>
              <w:right w:w="108" w:type="dxa"/>
            </w:tcMar>
            <w:vAlign w:val="center"/>
          </w:tcPr>
          <w:p w14:paraId="4F6BD30C" w14:textId="77777777" w:rsidR="007E0025" w:rsidRPr="00BE78CA" w:rsidRDefault="007E0025" w:rsidP="00E47694">
            <w:pPr>
              <w:pStyle w:val="TableText"/>
              <w:spacing w:before="50" w:after="50"/>
            </w:pPr>
            <w:r w:rsidRPr="00BE78CA">
              <w:rPr>
                <w:rFonts w:eastAsia="Calibri"/>
              </w:rPr>
              <w:t>Key category improvement (</w:t>
            </w:r>
            <w:r w:rsidRPr="00BE78CA">
              <w:rPr>
                <w:rFonts w:eastAsia="Calibri"/>
                <w:i/>
                <w:iCs/>
              </w:rPr>
              <w:t>Forest land remaining forest land</w:t>
            </w:r>
            <w:r w:rsidRPr="00BE78CA">
              <w:rPr>
                <w:rFonts w:eastAsia="Calibri"/>
              </w:rPr>
              <w:t xml:space="preserve">, </w:t>
            </w:r>
            <w:r w:rsidRPr="00BE78CA">
              <w:rPr>
                <w:rFonts w:eastAsia="Calibri"/>
                <w:i/>
                <w:iCs/>
              </w:rPr>
              <w:t>Land converted to cropland</w:t>
            </w:r>
            <w:r w:rsidRPr="00BE78CA">
              <w:rPr>
                <w:rFonts w:eastAsia="Calibri"/>
              </w:rPr>
              <w:t xml:space="preserve">, </w:t>
            </w:r>
            <w:r w:rsidRPr="00BE78CA">
              <w:rPr>
                <w:rFonts w:eastAsia="Calibri"/>
                <w:i/>
                <w:iCs/>
              </w:rPr>
              <w:t>Land converted to grassland</w:t>
            </w:r>
            <w:r w:rsidRPr="00BE78CA">
              <w:rPr>
                <w:rFonts w:eastAsia="Calibri"/>
              </w:rPr>
              <w:t xml:space="preserve">, </w:t>
            </w:r>
            <w:r w:rsidRPr="00BE78CA">
              <w:rPr>
                <w:rFonts w:eastAsia="Calibri"/>
                <w:i/>
                <w:iCs/>
              </w:rPr>
              <w:t>Land converted to wetlands</w:t>
            </w:r>
            <w:r w:rsidRPr="00BE78CA">
              <w:rPr>
                <w:rFonts w:eastAsia="Calibri"/>
              </w:rPr>
              <w:t>)</w:t>
            </w:r>
          </w:p>
        </w:tc>
      </w:tr>
      <w:tr w:rsidR="007E0025" w:rsidRPr="00BE78CA" w14:paraId="3209706E" w14:textId="77777777" w:rsidTr="002543FA">
        <w:trPr>
          <w:cantSplit/>
        </w:trPr>
        <w:tc>
          <w:tcPr>
            <w:tcW w:w="4818" w:type="dxa"/>
            <w:shd w:val="clear" w:color="auto" w:fill="FFFFFF"/>
            <w:tcMar>
              <w:top w:w="0" w:type="dxa"/>
              <w:left w:w="108" w:type="dxa"/>
              <w:bottom w:w="0" w:type="dxa"/>
              <w:right w:w="108" w:type="dxa"/>
            </w:tcMar>
            <w:vAlign w:val="center"/>
          </w:tcPr>
          <w:p w14:paraId="7DA8C426" w14:textId="77777777" w:rsidR="007E0025" w:rsidRPr="00BE78CA" w:rsidRDefault="007E0025" w:rsidP="00E47694">
            <w:pPr>
              <w:pStyle w:val="TableText"/>
              <w:spacing w:before="50" w:after="50"/>
            </w:pPr>
            <w:r w:rsidRPr="00BE78CA">
              <w:rPr>
                <w:rFonts w:eastAsia="Calibri"/>
              </w:rPr>
              <w:t>Improved mapping of wilding pines has led to the reclassification of nearly 20,000 hectares of forest previously classified as post-1989 planted forest to post-1989 natural forest. This has led to a reduction in removals from the post-1989 forest estate because of the difference in yields applied to post-1989 natural and planted forest.</w:t>
            </w:r>
          </w:p>
        </w:tc>
        <w:tc>
          <w:tcPr>
            <w:tcW w:w="1295" w:type="dxa"/>
            <w:shd w:val="clear" w:color="auto" w:fill="FFFFFF"/>
            <w:tcMar>
              <w:top w:w="0" w:type="dxa"/>
              <w:left w:w="108" w:type="dxa"/>
              <w:bottom w:w="0" w:type="dxa"/>
              <w:right w:w="108" w:type="dxa"/>
            </w:tcMar>
            <w:vAlign w:val="center"/>
          </w:tcPr>
          <w:p w14:paraId="4E79CEA1" w14:textId="77777777" w:rsidR="007E0025" w:rsidRPr="00BE78CA" w:rsidRDefault="007E0025" w:rsidP="00336157">
            <w:pPr>
              <w:pStyle w:val="TableText"/>
              <w:spacing w:before="50" w:after="50"/>
            </w:pPr>
            <w:r w:rsidRPr="00BE78CA">
              <w:rPr>
                <w:rFonts w:eastAsia="Calibri"/>
              </w:rPr>
              <w:t>Accuracy</w:t>
            </w:r>
          </w:p>
        </w:tc>
        <w:tc>
          <w:tcPr>
            <w:tcW w:w="2381" w:type="dxa"/>
            <w:shd w:val="clear" w:color="auto" w:fill="FFFFFF"/>
            <w:tcMar>
              <w:top w:w="0" w:type="dxa"/>
              <w:left w:w="108" w:type="dxa"/>
              <w:bottom w:w="0" w:type="dxa"/>
              <w:right w:w="108" w:type="dxa"/>
            </w:tcMar>
            <w:vAlign w:val="center"/>
          </w:tcPr>
          <w:p w14:paraId="31F8D4D3" w14:textId="77777777" w:rsidR="007E0025" w:rsidRPr="00BE78CA" w:rsidRDefault="007E0025" w:rsidP="00E47694">
            <w:pPr>
              <w:pStyle w:val="TableText"/>
              <w:spacing w:before="50" w:after="50"/>
            </w:pPr>
            <w:r w:rsidRPr="00BE78CA">
              <w:rPr>
                <w:rFonts w:eastAsia="Calibri"/>
              </w:rPr>
              <w:t xml:space="preserve">Key category improvement </w:t>
            </w:r>
            <w:r w:rsidRPr="00BE78CA">
              <w:rPr>
                <w:rFonts w:eastAsia="Calibri"/>
                <w:i/>
                <w:iCs/>
              </w:rPr>
              <w:t>(Forest land remaining forest land</w:t>
            </w:r>
            <w:r w:rsidRPr="00BE78CA">
              <w:rPr>
                <w:rFonts w:eastAsia="Calibri"/>
              </w:rPr>
              <w:t xml:space="preserve">, </w:t>
            </w:r>
            <w:r w:rsidRPr="00BE78CA">
              <w:rPr>
                <w:rFonts w:eastAsia="Calibri"/>
                <w:i/>
                <w:iCs/>
              </w:rPr>
              <w:t>Land converted to forest land</w:t>
            </w:r>
            <w:r w:rsidRPr="00BE78CA">
              <w:rPr>
                <w:rFonts w:eastAsia="Calibri"/>
              </w:rPr>
              <w:t>,</w:t>
            </w:r>
            <w:r w:rsidRPr="00BE78CA">
              <w:rPr>
                <w:rFonts w:eastAsia="Calibri"/>
                <w:i/>
                <w:iCs/>
              </w:rPr>
              <w:t xml:space="preserve"> Land converted to grassland</w:t>
            </w:r>
            <w:r w:rsidRPr="00BE78CA">
              <w:rPr>
                <w:rFonts w:eastAsia="Calibri"/>
              </w:rPr>
              <w:t>)</w:t>
            </w:r>
          </w:p>
        </w:tc>
      </w:tr>
      <w:tr w:rsidR="007E0025" w:rsidRPr="00BE78CA" w14:paraId="3EC23128" w14:textId="77777777" w:rsidTr="002543FA">
        <w:trPr>
          <w:cantSplit/>
        </w:trPr>
        <w:tc>
          <w:tcPr>
            <w:tcW w:w="4818" w:type="dxa"/>
            <w:shd w:val="clear" w:color="auto" w:fill="FFFFFF"/>
            <w:tcMar>
              <w:top w:w="0" w:type="dxa"/>
              <w:left w:w="108" w:type="dxa"/>
              <w:bottom w:w="0" w:type="dxa"/>
              <w:right w:w="108" w:type="dxa"/>
            </w:tcMar>
            <w:vAlign w:val="center"/>
          </w:tcPr>
          <w:p w14:paraId="2F2AF445" w14:textId="77777777" w:rsidR="007E0025" w:rsidRPr="00BE78CA" w:rsidRDefault="007E0025" w:rsidP="00E47694">
            <w:pPr>
              <w:pStyle w:val="TableText"/>
              <w:spacing w:before="50" w:after="50"/>
            </w:pPr>
            <w:r w:rsidRPr="00BE78CA">
              <w:rPr>
                <w:rFonts w:eastAsia="Calibri"/>
              </w:rPr>
              <w:t>The harvest age profile of the post-1989 planted forest estate has been improved to increase accuracy. In previous submissions, a single age cohort was applied to the harvest area of the post-1989 planted forest estate each year. However, this is not representative of the actual stand ages that are being harvested and can result in a skewed age profile of trees still standing in the forest. Applying a harvest age profile to post-1989 planted forest results in a small decrease in emissions due to the simultaneous changes to carbon gains and carbon losses from harvesting.</w:t>
            </w:r>
          </w:p>
        </w:tc>
        <w:tc>
          <w:tcPr>
            <w:tcW w:w="1295" w:type="dxa"/>
            <w:shd w:val="clear" w:color="auto" w:fill="FFFFFF"/>
            <w:tcMar>
              <w:top w:w="0" w:type="dxa"/>
              <w:left w:w="108" w:type="dxa"/>
              <w:bottom w:w="0" w:type="dxa"/>
              <w:right w:w="108" w:type="dxa"/>
            </w:tcMar>
            <w:vAlign w:val="center"/>
          </w:tcPr>
          <w:p w14:paraId="1DE9B969" w14:textId="77777777" w:rsidR="007E0025" w:rsidRPr="00BE78CA" w:rsidRDefault="007E0025" w:rsidP="00336157">
            <w:pPr>
              <w:pStyle w:val="TableText"/>
              <w:spacing w:before="50" w:after="50"/>
            </w:pPr>
            <w:r w:rsidRPr="00BE78CA">
              <w:rPr>
                <w:rFonts w:eastAsia="Calibri"/>
              </w:rPr>
              <w:t>Accuracy</w:t>
            </w:r>
          </w:p>
        </w:tc>
        <w:tc>
          <w:tcPr>
            <w:tcW w:w="2381" w:type="dxa"/>
            <w:shd w:val="clear" w:color="auto" w:fill="FFFFFF"/>
            <w:tcMar>
              <w:top w:w="0" w:type="dxa"/>
              <w:left w:w="108" w:type="dxa"/>
              <w:bottom w:w="0" w:type="dxa"/>
              <w:right w:w="108" w:type="dxa"/>
            </w:tcMar>
            <w:vAlign w:val="center"/>
          </w:tcPr>
          <w:p w14:paraId="2A7AA96B" w14:textId="77777777" w:rsidR="007E0025" w:rsidRPr="00BE78CA" w:rsidRDefault="007E0025" w:rsidP="00E47694">
            <w:pPr>
              <w:pStyle w:val="TableText"/>
              <w:spacing w:before="50" w:after="50"/>
            </w:pPr>
            <w:r w:rsidRPr="00BE78CA">
              <w:rPr>
                <w:rFonts w:eastAsia="Calibri"/>
              </w:rPr>
              <w:t>Key category improvement (</w:t>
            </w:r>
            <w:r w:rsidRPr="00BE78CA">
              <w:rPr>
                <w:rFonts w:eastAsia="Calibri"/>
                <w:i/>
                <w:iCs/>
              </w:rPr>
              <w:t>Forest land remaining forest land</w:t>
            </w:r>
            <w:r w:rsidRPr="00BE78CA">
              <w:rPr>
                <w:rFonts w:eastAsia="Calibri"/>
              </w:rPr>
              <w:t xml:space="preserve">, </w:t>
            </w:r>
            <w:r w:rsidRPr="00BE78CA">
              <w:rPr>
                <w:rFonts w:eastAsia="Calibri"/>
                <w:i/>
                <w:iCs/>
              </w:rPr>
              <w:t>Land converted to forest land</w:t>
            </w:r>
            <w:r w:rsidRPr="00BE78CA">
              <w:rPr>
                <w:rFonts w:eastAsia="Calibri"/>
              </w:rPr>
              <w:t xml:space="preserve">, </w:t>
            </w:r>
            <w:r w:rsidRPr="00BE78CA">
              <w:rPr>
                <w:rFonts w:eastAsia="Calibri"/>
                <w:i/>
                <w:iCs/>
              </w:rPr>
              <w:t>Land converted to cropland</w:t>
            </w:r>
            <w:r w:rsidRPr="00BE78CA">
              <w:rPr>
                <w:rFonts w:eastAsia="Calibri"/>
              </w:rPr>
              <w:t xml:space="preserve">, </w:t>
            </w:r>
            <w:r w:rsidRPr="00BE78CA">
              <w:rPr>
                <w:rFonts w:eastAsia="Calibri"/>
                <w:i/>
                <w:iCs/>
              </w:rPr>
              <w:t>Land converted to grassland</w:t>
            </w:r>
            <w:r w:rsidRPr="00BE78CA">
              <w:rPr>
                <w:rFonts w:eastAsia="Calibri"/>
              </w:rPr>
              <w:t xml:space="preserve">, </w:t>
            </w:r>
            <w:r w:rsidRPr="00BE78CA">
              <w:rPr>
                <w:rFonts w:eastAsia="Calibri"/>
                <w:i/>
                <w:iCs/>
              </w:rPr>
              <w:t>Land converted to wetlands</w:t>
            </w:r>
            <w:r w:rsidRPr="00BE78CA">
              <w:rPr>
                <w:rFonts w:eastAsia="Calibri"/>
              </w:rPr>
              <w:t>) </w:t>
            </w:r>
          </w:p>
        </w:tc>
      </w:tr>
    </w:tbl>
    <w:p w14:paraId="3AE4A9B7" w14:textId="77777777" w:rsidR="007E0025" w:rsidRPr="00BE78CA" w:rsidRDefault="007E0025" w:rsidP="007E0025">
      <w:pPr>
        <w:pStyle w:val="Heading3"/>
      </w:pPr>
      <w:r w:rsidRPr="00BE78CA">
        <w:lastRenderedPageBreak/>
        <w:t xml:space="preserve">10.1.5 </w:t>
      </w:r>
      <w:r w:rsidRPr="00BE78CA">
        <w:tab/>
        <w:t>Waste</w:t>
      </w:r>
    </w:p>
    <w:p w14:paraId="714FB7AE" w14:textId="77777777" w:rsidR="007E0025" w:rsidRPr="00BE78CA" w:rsidRDefault="007E0025" w:rsidP="007E0025">
      <w:pPr>
        <w:pStyle w:val="BodyText"/>
      </w:pPr>
      <w:r w:rsidRPr="00BE78CA">
        <w:t>Improvements and recalculations made to estimates in the Waste sector have resulted in a 2.1 per cent (86.3 kt CO</w:t>
      </w:r>
      <w:r w:rsidRPr="00BE78CA">
        <w:rPr>
          <w:vertAlign w:val="subscript"/>
        </w:rPr>
        <w:t>2</w:t>
      </w:r>
      <w:r w:rsidRPr="00BE78CA">
        <w:t>-e) decrease in emissions in 1990 and a 17.1 per cent (692.1 kt CO</w:t>
      </w:r>
      <w:r w:rsidRPr="00BE78CA">
        <w:rPr>
          <w:vertAlign w:val="subscript"/>
        </w:rPr>
        <w:t>2</w:t>
      </w:r>
      <w:r w:rsidRPr="00BE78CA">
        <w:t xml:space="preserve">-e) decrease in emissions in 2018 (figure 10.1.6). Several large improvements and recalculations have been made to the Waste sector in the 2021 submission, along with other smaller changes. The methods for </w:t>
      </w:r>
      <w:r w:rsidRPr="00BE78CA">
        <w:rPr>
          <w:i/>
        </w:rPr>
        <w:t>Managed waste disposal sites</w:t>
      </w:r>
      <w:r w:rsidRPr="00BE78CA">
        <w:t xml:space="preserve"> have been significantly revised, causing emissions to occur earlier in the time series and largely explain the overall decreasing trend in Waste sector emissions evident since 2002. Further key changes in estimates for </w:t>
      </w:r>
      <w:r w:rsidRPr="00BE78CA">
        <w:rPr>
          <w:i/>
        </w:rPr>
        <w:t>Unmanaged waste disposal sites</w:t>
      </w:r>
      <w:r w:rsidRPr="00BE78CA">
        <w:t xml:space="preserve"> and </w:t>
      </w:r>
      <w:r w:rsidRPr="00BE78CA">
        <w:rPr>
          <w:i/>
        </w:rPr>
        <w:t>Open burning</w:t>
      </w:r>
      <w:r w:rsidRPr="00BE78CA">
        <w:t xml:space="preserve"> have reduced emissions overall, mainly due to the significantly increasing proportion of farm waste burned instead of buried. Farm waste contains a lot of wood-based material, so burning it produces less emissions than burying.</w:t>
      </w:r>
    </w:p>
    <w:p w14:paraId="1A468520" w14:textId="77777777" w:rsidR="007E0025" w:rsidRPr="00BE78CA" w:rsidRDefault="007E0025" w:rsidP="007E0025">
      <w:pPr>
        <w:pStyle w:val="BodyText"/>
      </w:pPr>
      <w:r w:rsidRPr="00BE78CA">
        <w:t>A full list of recalculations is given in table 10.1.9.</w:t>
      </w:r>
    </w:p>
    <w:p w14:paraId="1E6DDA4B" w14:textId="77777777" w:rsidR="007E0025" w:rsidRPr="00BE78CA" w:rsidRDefault="007E0025" w:rsidP="007E0025">
      <w:pPr>
        <w:pStyle w:val="Figure"/>
      </w:pPr>
      <w:bookmarkStart w:id="3304" w:name="_Toc68786702"/>
      <w:r w:rsidRPr="00BE78CA">
        <w:t xml:space="preserve">Figure 10.1.6 </w:t>
      </w:r>
      <w:r w:rsidRPr="00BE78CA">
        <w:tab/>
        <w:t>Effect of recalculations on New Zealand’s Waste sector from 1990 to 2018</w:t>
      </w:r>
      <w:bookmarkEnd w:id="3304"/>
    </w:p>
    <w:p w14:paraId="775C3587" w14:textId="77777777" w:rsidR="007E0025" w:rsidRPr="00BE78CA" w:rsidRDefault="007E0025" w:rsidP="007E0025">
      <w:pPr>
        <w:pStyle w:val="BodyText"/>
      </w:pPr>
      <w:r w:rsidRPr="00BE78CA">
        <w:rPr>
          <w:noProof/>
        </w:rPr>
        <w:drawing>
          <wp:inline distT="0" distB="0" distL="0" distR="0" wp14:anchorId="54FD6AB9" wp14:editId="4547F628">
            <wp:extent cx="5397451" cy="3890513"/>
            <wp:effectExtent l="0" t="0" r="0" b="0"/>
            <wp:docPr id="60" name="Picture"/>
            <wp:cNvGraphicFramePr/>
            <a:graphic xmlns:a="http://schemas.openxmlformats.org/drawingml/2006/main">
              <a:graphicData uri="http://schemas.openxmlformats.org/drawingml/2006/picture">
                <pic:pic xmlns:pic="http://schemas.openxmlformats.org/drawingml/2006/picture">
                  <pic:nvPicPr>
                    <pic:cNvPr id="0" name="Picture" descr="code/graphs/images/fig_10_1_6.png"/>
                    <pic:cNvPicPr>
                      <a:picLocks noChangeAspect="1" noChangeArrowheads="1"/>
                    </pic:cNvPicPr>
                  </pic:nvPicPr>
                  <pic:blipFill>
                    <a:blip r:embed="rId272"/>
                    <a:stretch>
                      <a:fillRect/>
                    </a:stretch>
                  </pic:blipFill>
                  <pic:spPr bwMode="auto">
                    <a:xfrm>
                      <a:off x="0" y="0"/>
                      <a:ext cx="5403431" cy="3894824"/>
                    </a:xfrm>
                    <a:prstGeom prst="rect">
                      <a:avLst/>
                    </a:prstGeom>
                    <a:noFill/>
                    <a:ln w="9525">
                      <a:noFill/>
                      <a:headEnd/>
                      <a:tailEnd/>
                    </a:ln>
                  </pic:spPr>
                </pic:pic>
              </a:graphicData>
            </a:graphic>
          </wp:inline>
        </w:drawing>
      </w:r>
    </w:p>
    <w:p w14:paraId="277E646B" w14:textId="77777777" w:rsidR="007E0025" w:rsidRPr="00BE78CA" w:rsidRDefault="007E0025" w:rsidP="007E5510">
      <w:pPr>
        <w:pStyle w:val="Table"/>
      </w:pPr>
      <w:bookmarkStart w:id="3305" w:name="_Toc68786584"/>
      <w:r w:rsidRPr="00BE78CA">
        <w:t xml:space="preserve">Table 10.1.9 </w:t>
      </w:r>
      <w:r w:rsidRPr="00BE78CA">
        <w:tab/>
        <w:t>Explanations and justifications for recalculations in the Waste sector</w:t>
      </w:r>
      <w:bookmarkEnd w:id="3305"/>
    </w:p>
    <w:tbl>
      <w:tblPr>
        <w:tblW w:w="8494" w:type="dxa"/>
        <w:tblBorders>
          <w:top w:val="single" w:sz="2" w:space="0" w:color="365F91"/>
          <w:bottom w:val="single" w:sz="2" w:space="0" w:color="365F91"/>
        </w:tblBorders>
        <w:tblLayout w:type="fixed"/>
        <w:tblLook w:val="0420" w:firstRow="1" w:lastRow="0" w:firstColumn="0" w:lastColumn="0" w:noHBand="0" w:noVBand="1"/>
      </w:tblPr>
      <w:tblGrid>
        <w:gridCol w:w="5103"/>
        <w:gridCol w:w="1701"/>
        <w:gridCol w:w="1690"/>
      </w:tblGrid>
      <w:tr w:rsidR="007E0025" w:rsidRPr="00BE78CA" w14:paraId="1975DFFF" w14:textId="77777777" w:rsidTr="00336157">
        <w:trPr>
          <w:cantSplit/>
          <w:tblHeader/>
        </w:trPr>
        <w:tc>
          <w:tcPr>
            <w:tcW w:w="5103" w:type="dxa"/>
            <w:tcBorders>
              <w:top w:val="single" w:sz="2" w:space="0" w:color="365F91"/>
              <w:bottom w:val="single" w:sz="2" w:space="0" w:color="365F91"/>
            </w:tcBorders>
            <w:shd w:val="clear" w:color="auto" w:fill="365F91"/>
            <w:tcMar>
              <w:top w:w="0" w:type="dxa"/>
              <w:left w:w="85" w:type="dxa"/>
              <w:bottom w:w="0" w:type="dxa"/>
              <w:right w:w="85" w:type="dxa"/>
            </w:tcMar>
            <w:vAlign w:val="bottom"/>
          </w:tcPr>
          <w:p w14:paraId="36DF37C3" w14:textId="77777777" w:rsidR="007E0025" w:rsidRPr="00BE78CA" w:rsidRDefault="007E0025" w:rsidP="00C26084">
            <w:pPr>
              <w:pStyle w:val="TableTextBold"/>
              <w:rPr>
                <w:noProof w:val="0"/>
                <w:color w:val="FFFFFF" w:themeColor="background1"/>
              </w:rPr>
            </w:pPr>
            <w:r w:rsidRPr="00BE78CA">
              <w:rPr>
                <w:rFonts w:eastAsia="Calibri"/>
                <w:noProof w:val="0"/>
                <w:color w:val="FFFFFF" w:themeColor="background1"/>
              </w:rPr>
              <w:t>Explanation of recalculation</w:t>
            </w:r>
          </w:p>
        </w:tc>
        <w:tc>
          <w:tcPr>
            <w:tcW w:w="1701" w:type="dxa"/>
            <w:tcBorders>
              <w:top w:val="single" w:sz="2" w:space="0" w:color="365F91"/>
              <w:bottom w:val="single" w:sz="2" w:space="0" w:color="365F91"/>
            </w:tcBorders>
            <w:shd w:val="clear" w:color="auto" w:fill="365F91"/>
            <w:tcMar>
              <w:top w:w="0" w:type="dxa"/>
              <w:left w:w="85" w:type="dxa"/>
              <w:bottom w:w="0" w:type="dxa"/>
              <w:right w:w="85" w:type="dxa"/>
            </w:tcMar>
            <w:vAlign w:val="bottom"/>
          </w:tcPr>
          <w:p w14:paraId="2C6AF3FB" w14:textId="77777777" w:rsidR="007E0025" w:rsidRPr="00BE78CA" w:rsidRDefault="007E0025" w:rsidP="00C26084">
            <w:pPr>
              <w:pStyle w:val="TableTextBold"/>
              <w:rPr>
                <w:noProof w:val="0"/>
                <w:color w:val="FFFFFF" w:themeColor="background1"/>
              </w:rPr>
            </w:pPr>
            <w:r w:rsidRPr="00BE78CA">
              <w:rPr>
                <w:rFonts w:eastAsia="Calibri"/>
                <w:noProof w:val="0"/>
                <w:color w:val="FFFFFF" w:themeColor="background1"/>
              </w:rPr>
              <w:t>Underpinning IPCC principle</w:t>
            </w:r>
          </w:p>
        </w:tc>
        <w:tc>
          <w:tcPr>
            <w:tcW w:w="1690" w:type="dxa"/>
            <w:tcBorders>
              <w:top w:val="single" w:sz="2" w:space="0" w:color="365F91"/>
              <w:bottom w:val="single" w:sz="2" w:space="0" w:color="365F91"/>
            </w:tcBorders>
            <w:shd w:val="clear" w:color="auto" w:fill="365F91"/>
            <w:tcMar>
              <w:top w:w="0" w:type="dxa"/>
              <w:left w:w="85" w:type="dxa"/>
              <w:bottom w:w="0" w:type="dxa"/>
              <w:right w:w="85" w:type="dxa"/>
            </w:tcMar>
            <w:vAlign w:val="bottom"/>
          </w:tcPr>
          <w:p w14:paraId="1E1EAA3E" w14:textId="77777777" w:rsidR="007E0025" w:rsidRPr="00BE78CA" w:rsidRDefault="007E0025" w:rsidP="00C26084">
            <w:pPr>
              <w:pStyle w:val="TableTextBold"/>
              <w:rPr>
                <w:noProof w:val="0"/>
                <w:color w:val="FFFFFF" w:themeColor="background1"/>
              </w:rPr>
            </w:pPr>
            <w:r w:rsidRPr="00BE78CA">
              <w:rPr>
                <w:rFonts w:eastAsia="Calibri"/>
                <w:noProof w:val="0"/>
                <w:color w:val="FFFFFF" w:themeColor="background1"/>
              </w:rPr>
              <w:t>Additional justification</w:t>
            </w:r>
          </w:p>
        </w:tc>
      </w:tr>
      <w:tr w:rsidR="007E0025" w:rsidRPr="00BE78CA" w14:paraId="5EA166A8" w14:textId="77777777" w:rsidTr="00336157">
        <w:tc>
          <w:tcPr>
            <w:tcW w:w="5103" w:type="dxa"/>
            <w:tcBorders>
              <w:top w:val="single" w:sz="2" w:space="0" w:color="365F91"/>
            </w:tcBorders>
            <w:shd w:val="clear" w:color="auto" w:fill="FFFFFF"/>
            <w:tcMar>
              <w:top w:w="0" w:type="dxa"/>
              <w:left w:w="85" w:type="dxa"/>
              <w:bottom w:w="0" w:type="dxa"/>
              <w:right w:w="85" w:type="dxa"/>
            </w:tcMar>
            <w:vAlign w:val="bottom"/>
          </w:tcPr>
          <w:p w14:paraId="5A1EFA73" w14:textId="77777777" w:rsidR="007E0025" w:rsidRPr="00BE78CA" w:rsidRDefault="007E0025" w:rsidP="00C26084">
            <w:pPr>
              <w:pStyle w:val="TableText"/>
              <w:rPr>
                <w:rFonts w:eastAsia="Calibri"/>
              </w:rPr>
            </w:pPr>
            <w:r w:rsidRPr="00BE78CA">
              <w:rPr>
                <w:rFonts w:eastAsia="Calibri"/>
              </w:rPr>
              <w:t xml:space="preserve">The </w:t>
            </w:r>
            <w:r w:rsidRPr="00BE78CA">
              <w:rPr>
                <w:rFonts w:eastAsia="Calibri"/>
                <w:i/>
                <w:iCs/>
              </w:rPr>
              <w:t>Managed solid waste disposal sites</w:t>
            </w:r>
            <w:r w:rsidRPr="00BE78CA">
              <w:rPr>
                <w:rFonts w:eastAsia="Calibri"/>
              </w:rPr>
              <w:t xml:space="preserve"> (5.A.1.a) category has been recalculated due to several improvements (Eunomia, unpublished). This has increased emissions by 351.0 kt CO</w:t>
            </w:r>
            <w:r w:rsidRPr="00BE78CA">
              <w:rPr>
                <w:rFonts w:eastAsia="Calibri"/>
                <w:vertAlign w:val="subscript"/>
              </w:rPr>
              <w:t>2</w:t>
            </w:r>
            <w:r w:rsidRPr="00BE78CA">
              <w:rPr>
                <w:rFonts w:eastAsia="Calibri"/>
              </w:rPr>
              <w:t>-e (23.9 per cent) in 1990 and reduced emissions by 241.4 kt CO</w:t>
            </w:r>
            <w:r w:rsidRPr="00BE78CA">
              <w:rPr>
                <w:rFonts w:eastAsia="Calibri"/>
                <w:vertAlign w:val="subscript"/>
              </w:rPr>
              <w:t>2</w:t>
            </w:r>
            <w:r w:rsidRPr="00BE78CA">
              <w:rPr>
                <w:rFonts w:eastAsia="Calibri"/>
              </w:rPr>
              <w:t>-e (17.3 per cent) in 2018. The largest change is to use a revised set of k-values by waste type, which changes the timing of emissions to be sooner on average, and is why emissions are greater in 1990 but are lower toward the end of the time series. Previous k-values were bulk-waste k-values for about 90 per cent of sites, so this is now a multi-phase model. For reference, the IPCC default temperate wet k-values also produce emissions sooner than the previously used bulk-waste k-values, but not as soon as the latest k-values.</w:t>
            </w:r>
          </w:p>
          <w:p w14:paraId="717AEC2F" w14:textId="77777777" w:rsidR="007E0025" w:rsidRPr="00BE78CA" w:rsidRDefault="007E0025" w:rsidP="00C26084">
            <w:pPr>
              <w:pStyle w:val="TableText"/>
              <w:rPr>
                <w:rFonts w:eastAsia="Calibri"/>
              </w:rPr>
            </w:pPr>
            <w:r w:rsidRPr="00BE78CA">
              <w:rPr>
                <w:rFonts w:eastAsia="Calibri"/>
              </w:rPr>
              <w:lastRenderedPageBreak/>
              <w:t>Further changes also from Eunomia (unpublished) have a combined effect of slightly reducing emissions and are explained below.</w:t>
            </w:r>
          </w:p>
          <w:p w14:paraId="13C3C22F" w14:textId="77777777" w:rsidR="007E0025" w:rsidRPr="00BE78CA" w:rsidRDefault="007E0025" w:rsidP="00336157">
            <w:pPr>
              <w:pStyle w:val="TableBullet"/>
              <w:spacing w:before="0"/>
            </w:pPr>
            <w:r w:rsidRPr="00BE78CA">
              <w:rPr>
                <w:rFonts w:eastAsia="Calibri"/>
              </w:rPr>
              <w:t>Recovery efficiency rates are simplified to landfill operating status (open 68 per cent and closed 52 per cent), which has reduced average recovery rates by about 1 percentage point instead of having up to 90 per cent recovery rates for some sites for which there was insufficient evidence.</w:t>
            </w:r>
          </w:p>
          <w:p w14:paraId="57FD4955" w14:textId="77777777" w:rsidR="007E0025" w:rsidRPr="00BE78CA" w:rsidRDefault="007E0025" w:rsidP="00336157">
            <w:pPr>
              <w:pStyle w:val="TableBullet"/>
              <w:spacing w:before="0"/>
            </w:pPr>
            <w:r w:rsidRPr="00BE78CA">
              <w:rPr>
                <w:rFonts w:eastAsia="Calibri"/>
              </w:rPr>
              <w:t>The average composition of managed landfills was updated for 2018 (Waste Not Consulting, unpublished) and re-interpolated back to the 2012 estimate.</w:t>
            </w:r>
          </w:p>
          <w:p w14:paraId="2AF32DED" w14:textId="77777777" w:rsidR="007E0025" w:rsidRPr="00BE78CA" w:rsidRDefault="007E0025" w:rsidP="00336157">
            <w:pPr>
              <w:pStyle w:val="TableBullet"/>
              <w:spacing w:before="0"/>
            </w:pPr>
            <w:r w:rsidRPr="00BE78CA">
              <w:rPr>
                <w:rFonts w:eastAsia="Calibri"/>
              </w:rPr>
              <w:t>Degradable organic carbon (DOC) and DOC fraction (DOCf) have been revised for all waste types except sludge, which is still the IPCC default.</w:t>
            </w:r>
          </w:p>
          <w:p w14:paraId="4E35B417" w14:textId="77777777" w:rsidR="007E0025" w:rsidRPr="00BE78CA" w:rsidRDefault="007E0025" w:rsidP="00336157">
            <w:pPr>
              <w:pStyle w:val="TableBullet"/>
              <w:spacing w:before="0"/>
            </w:pPr>
            <w:r w:rsidRPr="00BE78CA">
              <w:rPr>
                <w:rFonts w:eastAsia="Calibri"/>
              </w:rPr>
              <w:t>The fraction of methane in landfill gas (parameter F) is revised to 57 per cent.</w:t>
            </w:r>
          </w:p>
        </w:tc>
        <w:tc>
          <w:tcPr>
            <w:tcW w:w="1701" w:type="dxa"/>
            <w:tcBorders>
              <w:top w:val="single" w:sz="2" w:space="0" w:color="365F91"/>
            </w:tcBorders>
            <w:shd w:val="clear" w:color="auto" w:fill="FFFFFF"/>
            <w:tcMar>
              <w:top w:w="0" w:type="dxa"/>
              <w:left w:w="85" w:type="dxa"/>
              <w:bottom w:w="0" w:type="dxa"/>
              <w:right w:w="85" w:type="dxa"/>
            </w:tcMar>
            <w:vAlign w:val="center"/>
          </w:tcPr>
          <w:p w14:paraId="7D4AABC5" w14:textId="77777777" w:rsidR="007E0025" w:rsidRPr="00BE78CA" w:rsidRDefault="007E0025" w:rsidP="00336157">
            <w:pPr>
              <w:pStyle w:val="TableText"/>
            </w:pPr>
            <w:r w:rsidRPr="00BE78CA">
              <w:rPr>
                <w:rFonts w:eastAsia="Calibri"/>
              </w:rPr>
              <w:lastRenderedPageBreak/>
              <w:t>Accuracy</w:t>
            </w:r>
          </w:p>
        </w:tc>
        <w:tc>
          <w:tcPr>
            <w:tcW w:w="1690" w:type="dxa"/>
            <w:tcBorders>
              <w:top w:val="single" w:sz="2" w:space="0" w:color="365F91"/>
            </w:tcBorders>
            <w:shd w:val="clear" w:color="auto" w:fill="FFFFFF"/>
            <w:tcMar>
              <w:top w:w="0" w:type="dxa"/>
              <w:left w:w="85" w:type="dxa"/>
              <w:bottom w:w="0" w:type="dxa"/>
              <w:right w:w="85" w:type="dxa"/>
            </w:tcMar>
            <w:vAlign w:val="center"/>
          </w:tcPr>
          <w:p w14:paraId="34ACA778" w14:textId="77777777" w:rsidR="007E0025" w:rsidRPr="00BE78CA" w:rsidRDefault="007E0025" w:rsidP="00C26084">
            <w:pPr>
              <w:pStyle w:val="TableText"/>
            </w:pPr>
            <w:r w:rsidRPr="00BE78CA">
              <w:rPr>
                <w:rFonts w:eastAsia="Calibri"/>
                <w:i/>
                <w:iCs/>
              </w:rPr>
              <w:t xml:space="preserve">Solid waste disposal </w:t>
            </w:r>
            <w:r w:rsidRPr="00BE78CA">
              <w:rPr>
                <w:rFonts w:eastAsia="Calibri"/>
              </w:rPr>
              <w:t>is a key category in the 2020 submission</w:t>
            </w:r>
          </w:p>
        </w:tc>
      </w:tr>
      <w:tr w:rsidR="007E0025" w:rsidRPr="00BE78CA" w14:paraId="5922AAC3" w14:textId="77777777" w:rsidTr="00336157">
        <w:trPr>
          <w:cantSplit/>
        </w:trPr>
        <w:tc>
          <w:tcPr>
            <w:tcW w:w="5103" w:type="dxa"/>
            <w:shd w:val="clear" w:color="auto" w:fill="FFFFFF"/>
            <w:tcMar>
              <w:top w:w="0" w:type="dxa"/>
              <w:left w:w="85" w:type="dxa"/>
              <w:bottom w:w="0" w:type="dxa"/>
              <w:right w:w="85" w:type="dxa"/>
            </w:tcMar>
            <w:vAlign w:val="center"/>
          </w:tcPr>
          <w:p w14:paraId="70EC207B" w14:textId="77777777" w:rsidR="007E0025" w:rsidRPr="00BE78CA" w:rsidRDefault="007E0025" w:rsidP="00C26084">
            <w:pPr>
              <w:pStyle w:val="TableText"/>
              <w:rPr>
                <w:rFonts w:eastAsia="Calibri"/>
              </w:rPr>
            </w:pPr>
            <w:r w:rsidRPr="00BE78CA">
              <w:rPr>
                <w:rFonts w:eastAsia="Calibri"/>
              </w:rPr>
              <w:t xml:space="preserve">Farm waste produces emissions from both landfilling (farm fills, part of 5.A.2 </w:t>
            </w:r>
            <w:r w:rsidRPr="00BE78CA">
              <w:rPr>
                <w:rFonts w:eastAsia="Calibri"/>
                <w:i/>
                <w:iCs/>
              </w:rPr>
              <w:t>Unmanaged solid waste disposal sites</w:t>
            </w:r>
            <w:r w:rsidRPr="00BE78CA">
              <w:rPr>
                <w:rFonts w:eastAsia="Calibri"/>
              </w:rPr>
              <w:t xml:space="preserve">) and </w:t>
            </w:r>
            <w:r w:rsidRPr="00BE78CA">
              <w:rPr>
                <w:rFonts w:eastAsia="Calibri"/>
                <w:i/>
                <w:iCs/>
              </w:rPr>
              <w:t>Open burning</w:t>
            </w:r>
            <w:r w:rsidRPr="00BE78CA">
              <w:rPr>
                <w:rFonts w:eastAsia="Calibri"/>
              </w:rPr>
              <w:t xml:space="preserve"> (5.C.2.2.b). This submission has revised the proportion of waste that is burned and buried to 47 per cent and 47 per cent respectively. The remaining 6 per cent is treated in other ways and this amount has not changed. Previously, it was assumed that most (about 92 per cent of farm waste) was buried and only 2 per cent was burned. Further reports suggest that open burning is much more prevalent than previously thought (GHD, 2013, 2014) providing the rationale for the change.</w:t>
            </w:r>
          </w:p>
          <w:p w14:paraId="2DA70CA4" w14:textId="77777777" w:rsidR="007E0025" w:rsidRPr="00BE78CA" w:rsidRDefault="007E0025" w:rsidP="00C26084">
            <w:pPr>
              <w:pStyle w:val="TableText"/>
              <w:rPr>
                <w:rFonts w:eastAsia="Calibri"/>
              </w:rPr>
            </w:pPr>
            <w:r w:rsidRPr="00BE78CA">
              <w:rPr>
                <w:rFonts w:eastAsia="Calibri"/>
              </w:rPr>
              <w:t>The effects of this change are as follows.</w:t>
            </w:r>
          </w:p>
          <w:p w14:paraId="7C9CB017" w14:textId="77777777" w:rsidR="007E0025" w:rsidRPr="00BE78CA" w:rsidRDefault="007E0025" w:rsidP="00336157">
            <w:pPr>
              <w:pStyle w:val="TableBullet"/>
              <w:spacing w:before="0"/>
            </w:pPr>
            <w:r w:rsidRPr="00BE78CA">
              <w:rPr>
                <w:rFonts w:eastAsia="Calibri"/>
              </w:rPr>
              <w:t>For landfilling of farm waste (part of 5.A.2), this has reduced emissions by 642.5 kt CO</w:t>
            </w:r>
            <w:r w:rsidRPr="00BE78CA">
              <w:rPr>
                <w:rFonts w:eastAsia="Calibri"/>
                <w:vertAlign w:val="subscript"/>
              </w:rPr>
              <w:t>2</w:t>
            </w:r>
            <w:r w:rsidRPr="00BE78CA">
              <w:rPr>
                <w:rFonts w:eastAsia="Calibri"/>
              </w:rPr>
              <w:t>-e (46.8 per cent) in 1990 and reduced emissions by 552.0 kt CO</w:t>
            </w:r>
            <w:r w:rsidRPr="00BE78CA">
              <w:rPr>
                <w:rFonts w:eastAsia="Calibri"/>
                <w:vertAlign w:val="subscript"/>
              </w:rPr>
              <w:t>2</w:t>
            </w:r>
            <w:r w:rsidRPr="00BE78CA">
              <w:rPr>
                <w:rFonts w:eastAsia="Calibri"/>
              </w:rPr>
              <w:t>-e (46.8 per cent) in 2018. This also includes minor corrections to DOC values.</w:t>
            </w:r>
          </w:p>
          <w:p w14:paraId="221C4B42" w14:textId="77777777" w:rsidR="007E0025" w:rsidRPr="00BE78CA" w:rsidRDefault="007E0025" w:rsidP="00336157">
            <w:pPr>
              <w:pStyle w:val="TableBullet"/>
              <w:spacing w:before="0"/>
            </w:pPr>
            <w:r w:rsidRPr="00BE78CA">
              <w:rPr>
                <w:rFonts w:eastAsia="Calibri"/>
              </w:rPr>
              <w:t>For open burning of farm waste (5.C.2), this has increased emissions by 290.9 kt CO</w:t>
            </w:r>
            <w:r w:rsidRPr="00BE78CA">
              <w:rPr>
                <w:rFonts w:eastAsia="Calibri"/>
                <w:vertAlign w:val="subscript"/>
              </w:rPr>
              <w:t>2</w:t>
            </w:r>
            <w:r w:rsidRPr="00BE78CA">
              <w:rPr>
                <w:rFonts w:eastAsia="Calibri"/>
              </w:rPr>
              <w:t>-e (2,951.6 per cent) in 1990 and increased emissions by 182.1 kt CO</w:t>
            </w:r>
            <w:r w:rsidRPr="00BE78CA">
              <w:rPr>
                <w:rFonts w:eastAsia="Calibri"/>
                <w:vertAlign w:val="subscript"/>
              </w:rPr>
              <w:t>2</w:t>
            </w:r>
            <w:r w:rsidRPr="00BE78CA">
              <w:rPr>
                <w:rFonts w:eastAsia="Calibri"/>
              </w:rPr>
              <w:t>-e (2,951.8 per cent) in 2018. This also includes</w:t>
            </w:r>
            <w:r w:rsidRPr="00BE78CA">
              <w:t xml:space="preserve"> </w:t>
            </w:r>
            <w:r w:rsidRPr="00BE78CA">
              <w:rPr>
                <w:rFonts w:eastAsia="Calibri"/>
              </w:rPr>
              <w:t>carbon dioxide (CO</w:t>
            </w:r>
            <w:r w:rsidRPr="00BE78CA">
              <w:rPr>
                <w:rFonts w:eastAsia="Calibri"/>
                <w:vertAlign w:val="subscript"/>
              </w:rPr>
              <w:t>2</w:t>
            </w:r>
            <w:r w:rsidRPr="00BE78CA">
              <w:rPr>
                <w:rFonts w:eastAsia="Calibri"/>
              </w:rPr>
              <w:t>) emissions factors, which have been revised to account for the exact composition of the farm waste.</w:t>
            </w:r>
          </w:p>
          <w:p w14:paraId="327FE1D8" w14:textId="77777777" w:rsidR="007E0025" w:rsidRPr="00BE78CA" w:rsidRDefault="007E0025" w:rsidP="00C26084">
            <w:pPr>
              <w:pStyle w:val="TableText"/>
            </w:pPr>
            <w:r w:rsidRPr="00BE78CA">
              <w:rPr>
                <w:rFonts w:eastAsia="Calibri"/>
              </w:rPr>
              <w:t>The net effect on emissions from farm waste (burying and burning together) is to have reduced emissions by 351.6 kt CO</w:t>
            </w:r>
            <w:r w:rsidRPr="00BE78CA">
              <w:rPr>
                <w:vertAlign w:val="subscript"/>
              </w:rPr>
              <w:t>2</w:t>
            </w:r>
            <w:r w:rsidRPr="00BE78CA">
              <w:rPr>
                <w:rFonts w:eastAsia="Calibri"/>
              </w:rPr>
              <w:t>-e (25.4 per cent) in 1990 and reduced emissions by 369.8 kt CO</w:t>
            </w:r>
            <w:r w:rsidRPr="00BE78CA">
              <w:rPr>
                <w:vertAlign w:val="subscript"/>
              </w:rPr>
              <w:t>2</w:t>
            </w:r>
            <w:r w:rsidRPr="00BE78CA">
              <w:rPr>
                <w:rFonts w:eastAsia="Calibri"/>
              </w:rPr>
              <w:t>-e (31.2 per cent) in 2018. This change is also responsible for significantly increasing the CO</w:t>
            </w:r>
            <w:r w:rsidRPr="00BE78CA">
              <w:rPr>
                <w:vertAlign w:val="subscript"/>
              </w:rPr>
              <w:t>2</w:t>
            </w:r>
            <w:r w:rsidRPr="00BE78CA">
              <w:rPr>
                <w:rFonts w:eastAsia="Calibri"/>
              </w:rPr>
              <w:t xml:space="preserve"> emissions produced in the waste sector, now several per cent of all waste emissions instead of much less than 1 per cent in previous submissions. Methane (CH</w:t>
            </w:r>
            <w:r w:rsidRPr="00BE78CA">
              <w:rPr>
                <w:vertAlign w:val="subscript"/>
              </w:rPr>
              <w:t>4</w:t>
            </w:r>
            <w:r w:rsidRPr="00BE78CA">
              <w:t>)</w:t>
            </w:r>
            <w:r w:rsidRPr="00BE78CA">
              <w:rPr>
                <w:rFonts w:eastAsia="Calibri"/>
              </w:rPr>
              <w:t xml:space="preserve"> emissions have reduced from above 95 per cent to about 92 per cent of the Waste sector. This is because the shift to increased burning significantly reduces CH</w:t>
            </w:r>
            <w:r w:rsidRPr="00BE78CA">
              <w:rPr>
                <w:vertAlign w:val="subscript"/>
              </w:rPr>
              <w:t>4</w:t>
            </w:r>
            <w:r w:rsidRPr="00BE78CA">
              <w:rPr>
                <w:rFonts w:eastAsia="Calibri"/>
              </w:rPr>
              <w:t xml:space="preserve"> emissions from wood-based products, compared with burying them, but increases CO</w:t>
            </w:r>
            <w:r w:rsidRPr="00BE78CA">
              <w:rPr>
                <w:vertAlign w:val="subscript"/>
              </w:rPr>
              <w:t>2</w:t>
            </w:r>
            <w:r w:rsidRPr="00BE78CA">
              <w:rPr>
                <w:rFonts w:eastAsia="Calibri"/>
              </w:rPr>
              <w:t xml:space="preserve"> emissions from things like plastics, both of which are common in farm waste.</w:t>
            </w:r>
          </w:p>
        </w:tc>
        <w:tc>
          <w:tcPr>
            <w:tcW w:w="1701" w:type="dxa"/>
            <w:shd w:val="clear" w:color="auto" w:fill="FFFFFF"/>
            <w:tcMar>
              <w:top w:w="0" w:type="dxa"/>
              <w:left w:w="85" w:type="dxa"/>
              <w:bottom w:w="0" w:type="dxa"/>
              <w:right w:w="85" w:type="dxa"/>
            </w:tcMar>
            <w:vAlign w:val="center"/>
          </w:tcPr>
          <w:p w14:paraId="6F07DE27" w14:textId="77777777" w:rsidR="007E0025" w:rsidRPr="00BE78CA" w:rsidRDefault="007E0025" w:rsidP="00336157">
            <w:pPr>
              <w:pStyle w:val="TableText"/>
            </w:pPr>
            <w:r w:rsidRPr="00BE78CA">
              <w:rPr>
                <w:rFonts w:eastAsia="Calibri"/>
              </w:rPr>
              <w:t>Accuracy</w:t>
            </w:r>
          </w:p>
        </w:tc>
        <w:tc>
          <w:tcPr>
            <w:tcW w:w="1690" w:type="dxa"/>
            <w:shd w:val="clear" w:color="auto" w:fill="FFFFFF"/>
            <w:tcMar>
              <w:top w:w="0" w:type="dxa"/>
              <w:left w:w="85" w:type="dxa"/>
              <w:bottom w:w="0" w:type="dxa"/>
              <w:right w:w="85" w:type="dxa"/>
            </w:tcMar>
            <w:vAlign w:val="center"/>
          </w:tcPr>
          <w:p w14:paraId="1BE27156" w14:textId="77777777" w:rsidR="007E0025" w:rsidRPr="00BE78CA" w:rsidRDefault="007E0025" w:rsidP="00C26084">
            <w:pPr>
              <w:pStyle w:val="TableText"/>
            </w:pPr>
            <w:r w:rsidRPr="00BE78CA">
              <w:rPr>
                <w:rFonts w:eastAsia="Calibri"/>
                <w:i/>
                <w:iCs/>
              </w:rPr>
              <w:t>Solid waste disposal</w:t>
            </w:r>
            <w:r w:rsidRPr="00BE78CA">
              <w:rPr>
                <w:rFonts w:eastAsia="Calibri"/>
              </w:rPr>
              <w:t xml:space="preserve"> is a key category in the 2020 submission</w:t>
            </w:r>
          </w:p>
        </w:tc>
      </w:tr>
      <w:tr w:rsidR="007E0025" w:rsidRPr="00BE78CA" w14:paraId="578A149A" w14:textId="77777777" w:rsidTr="00336157">
        <w:trPr>
          <w:cantSplit/>
        </w:trPr>
        <w:tc>
          <w:tcPr>
            <w:tcW w:w="5103" w:type="dxa"/>
            <w:shd w:val="clear" w:color="auto" w:fill="FFFFFF"/>
            <w:tcMar>
              <w:top w:w="0" w:type="dxa"/>
              <w:left w:w="85" w:type="dxa"/>
              <w:bottom w:w="0" w:type="dxa"/>
              <w:right w:w="85" w:type="dxa"/>
            </w:tcMar>
            <w:vAlign w:val="center"/>
          </w:tcPr>
          <w:p w14:paraId="21FDCF5C" w14:textId="77777777" w:rsidR="007E0025" w:rsidRPr="00BE78CA" w:rsidRDefault="007E0025" w:rsidP="00C26084">
            <w:pPr>
              <w:pStyle w:val="TableText"/>
            </w:pPr>
            <w:r w:rsidRPr="00BE78CA">
              <w:rPr>
                <w:rFonts w:eastAsia="Calibri"/>
              </w:rPr>
              <w:t xml:space="preserve">Emissions from non-municipal solid waste sites (part of 5.A.2 </w:t>
            </w:r>
            <w:r w:rsidRPr="00BE78CA">
              <w:rPr>
                <w:rFonts w:eastAsia="Calibri"/>
                <w:i/>
                <w:iCs/>
              </w:rPr>
              <w:t>Unmanaged solid waste disposal sites</w:t>
            </w:r>
            <w:r w:rsidRPr="00BE78CA">
              <w:rPr>
                <w:rFonts w:eastAsia="Calibri"/>
              </w:rPr>
              <w:t>) have reduced by 81.7 kt CO</w:t>
            </w:r>
            <w:r w:rsidRPr="00BE78CA">
              <w:rPr>
                <w:rFonts w:eastAsia="Calibri"/>
                <w:vertAlign w:val="subscript"/>
              </w:rPr>
              <w:t>2</w:t>
            </w:r>
            <w:r w:rsidRPr="00BE78CA">
              <w:rPr>
                <w:rFonts w:eastAsia="Calibri"/>
              </w:rPr>
              <w:t>-e (10.0 per cent) in 1990 and reduced emissions by 108.8 kt CO</w:t>
            </w:r>
            <w:r w:rsidRPr="00BE78CA">
              <w:rPr>
                <w:rFonts w:eastAsia="Calibri"/>
                <w:vertAlign w:val="subscript"/>
              </w:rPr>
              <w:t>2</w:t>
            </w:r>
            <w:r w:rsidRPr="00BE78CA">
              <w:rPr>
                <w:rFonts w:eastAsia="Calibri"/>
              </w:rPr>
              <w:t>-e (10.4 per cent) in 2018. This is the result of revising the DOC value applied to a proportion of wood waste. A significant amount of wood waste disposed to these sites is wood processing waste, which has a lower emissions producing potential compared with normal, non-processing wood wastes (Eunomia 2020).</w:t>
            </w:r>
          </w:p>
        </w:tc>
        <w:tc>
          <w:tcPr>
            <w:tcW w:w="1701" w:type="dxa"/>
            <w:shd w:val="clear" w:color="auto" w:fill="FFFFFF"/>
            <w:tcMar>
              <w:top w:w="0" w:type="dxa"/>
              <w:left w:w="85" w:type="dxa"/>
              <w:bottom w:w="0" w:type="dxa"/>
              <w:right w:w="85" w:type="dxa"/>
            </w:tcMar>
            <w:vAlign w:val="center"/>
          </w:tcPr>
          <w:p w14:paraId="2108D211" w14:textId="77777777" w:rsidR="007E0025" w:rsidRPr="00BE78CA" w:rsidRDefault="007E0025" w:rsidP="00336157">
            <w:pPr>
              <w:pStyle w:val="TableText"/>
            </w:pPr>
            <w:r w:rsidRPr="00BE78CA">
              <w:rPr>
                <w:rFonts w:eastAsia="Calibri"/>
              </w:rPr>
              <w:t>Accuracy</w:t>
            </w:r>
          </w:p>
        </w:tc>
        <w:tc>
          <w:tcPr>
            <w:tcW w:w="1690" w:type="dxa"/>
            <w:shd w:val="clear" w:color="auto" w:fill="FFFFFF"/>
            <w:tcMar>
              <w:top w:w="0" w:type="dxa"/>
              <w:left w:w="85" w:type="dxa"/>
              <w:bottom w:w="0" w:type="dxa"/>
              <w:right w:w="85" w:type="dxa"/>
            </w:tcMar>
            <w:vAlign w:val="center"/>
          </w:tcPr>
          <w:p w14:paraId="6A6FA140" w14:textId="77777777" w:rsidR="007E0025" w:rsidRPr="00BE78CA" w:rsidRDefault="007E0025" w:rsidP="00C26084">
            <w:pPr>
              <w:pStyle w:val="TableText"/>
            </w:pPr>
            <w:r w:rsidRPr="00BE78CA">
              <w:rPr>
                <w:rFonts w:eastAsia="Calibri"/>
                <w:i/>
                <w:iCs/>
              </w:rPr>
              <w:t xml:space="preserve">Solid waste disposal </w:t>
            </w:r>
            <w:r w:rsidRPr="00BE78CA">
              <w:rPr>
                <w:rFonts w:eastAsia="Calibri"/>
              </w:rPr>
              <w:t>is a key category in the 2020 submission</w:t>
            </w:r>
          </w:p>
        </w:tc>
      </w:tr>
      <w:tr w:rsidR="007E0025" w:rsidRPr="00BE78CA" w14:paraId="5C0B5C23" w14:textId="77777777" w:rsidTr="00336157">
        <w:trPr>
          <w:cantSplit/>
        </w:trPr>
        <w:tc>
          <w:tcPr>
            <w:tcW w:w="5103" w:type="dxa"/>
            <w:shd w:val="clear" w:color="auto" w:fill="FFFFFF"/>
            <w:tcMar>
              <w:top w:w="0" w:type="dxa"/>
              <w:left w:w="85" w:type="dxa"/>
              <w:bottom w:w="0" w:type="dxa"/>
              <w:right w:w="85" w:type="dxa"/>
            </w:tcMar>
            <w:vAlign w:val="center"/>
          </w:tcPr>
          <w:p w14:paraId="6745378D" w14:textId="77777777" w:rsidR="007E0025" w:rsidRPr="00BE78CA" w:rsidRDefault="007E0025" w:rsidP="00C26084">
            <w:pPr>
              <w:pStyle w:val="TableText"/>
            </w:pPr>
            <w:r w:rsidRPr="00BE78CA">
              <w:rPr>
                <w:rFonts w:eastAsia="Calibri"/>
              </w:rPr>
              <w:t xml:space="preserve">Emissions from </w:t>
            </w:r>
            <w:r w:rsidRPr="00BE78CA">
              <w:rPr>
                <w:rFonts w:eastAsia="Calibri"/>
                <w:i/>
                <w:iCs/>
              </w:rPr>
              <w:t>Domestic wastewater</w:t>
            </w:r>
            <w:r w:rsidRPr="00BE78CA">
              <w:rPr>
                <w:rFonts w:eastAsia="Calibri"/>
              </w:rPr>
              <w:t xml:space="preserve"> (5.D.1) have reduced by 4.0 kt CO</w:t>
            </w:r>
            <w:r w:rsidRPr="00BE78CA">
              <w:rPr>
                <w:rFonts w:eastAsia="Calibri"/>
                <w:vertAlign w:val="subscript"/>
              </w:rPr>
              <w:t>2</w:t>
            </w:r>
            <w:r w:rsidRPr="00BE78CA">
              <w:rPr>
                <w:rFonts w:eastAsia="Calibri"/>
              </w:rPr>
              <w:t>-e (1.8 per cent) in 1990 and increased by 4.4 kt CO</w:t>
            </w:r>
            <w:r w:rsidRPr="00BE78CA">
              <w:rPr>
                <w:rFonts w:eastAsia="Calibri"/>
                <w:vertAlign w:val="subscript"/>
              </w:rPr>
              <w:t>2</w:t>
            </w:r>
            <w:r w:rsidRPr="00BE78CA">
              <w:rPr>
                <w:rFonts w:eastAsia="Calibri"/>
              </w:rPr>
              <w:t xml:space="preserve">-e (1.7 per cent) in 2018. This is the result of revising population data using the latest estimates available and applying these consistently across the time series where possible, in addition to correcting minor errors in the population calculations </w:t>
            </w:r>
            <w:r w:rsidRPr="00BE78CA">
              <w:t>in the 2020 submission.</w:t>
            </w:r>
          </w:p>
        </w:tc>
        <w:tc>
          <w:tcPr>
            <w:tcW w:w="1701" w:type="dxa"/>
            <w:shd w:val="clear" w:color="auto" w:fill="FFFFFF"/>
            <w:tcMar>
              <w:top w:w="0" w:type="dxa"/>
              <w:left w:w="85" w:type="dxa"/>
              <w:bottom w:w="0" w:type="dxa"/>
              <w:right w:w="85" w:type="dxa"/>
            </w:tcMar>
            <w:vAlign w:val="center"/>
          </w:tcPr>
          <w:p w14:paraId="657113BB" w14:textId="77777777" w:rsidR="007E0025" w:rsidRPr="00BE78CA" w:rsidRDefault="007E0025" w:rsidP="00336157">
            <w:pPr>
              <w:pStyle w:val="TableText"/>
            </w:pPr>
            <w:r w:rsidRPr="00BE78CA">
              <w:rPr>
                <w:rFonts w:eastAsia="Calibri"/>
              </w:rPr>
              <w:t>Accuracy, consistency</w:t>
            </w:r>
          </w:p>
        </w:tc>
        <w:tc>
          <w:tcPr>
            <w:tcW w:w="1690" w:type="dxa"/>
            <w:shd w:val="clear" w:color="auto" w:fill="FFFFFF"/>
            <w:tcMar>
              <w:top w:w="0" w:type="dxa"/>
              <w:left w:w="85" w:type="dxa"/>
              <w:bottom w:w="0" w:type="dxa"/>
              <w:right w:w="85" w:type="dxa"/>
            </w:tcMar>
            <w:vAlign w:val="center"/>
          </w:tcPr>
          <w:p w14:paraId="3E0EE246" w14:textId="77777777" w:rsidR="007E0025" w:rsidRPr="00BE78CA" w:rsidRDefault="007E0025" w:rsidP="00C26084">
            <w:pPr>
              <w:pStyle w:val="TableText"/>
            </w:pPr>
            <w:r w:rsidRPr="00BE78CA">
              <w:rPr>
                <w:rFonts w:eastAsia="Calibri"/>
                <w:i/>
                <w:iCs/>
              </w:rPr>
              <w:t>Wastewater treatment and discharge</w:t>
            </w:r>
            <w:r w:rsidRPr="00BE78CA">
              <w:rPr>
                <w:rFonts w:eastAsia="Calibri"/>
              </w:rPr>
              <w:t xml:space="preserve"> is a key category in the 2020 submission</w:t>
            </w:r>
          </w:p>
        </w:tc>
      </w:tr>
      <w:tr w:rsidR="007E0025" w:rsidRPr="00BE78CA" w14:paraId="56314D1F" w14:textId="77777777" w:rsidTr="00336157">
        <w:trPr>
          <w:cantSplit/>
        </w:trPr>
        <w:tc>
          <w:tcPr>
            <w:tcW w:w="5103" w:type="dxa"/>
            <w:shd w:val="clear" w:color="auto" w:fill="FFFFFF"/>
            <w:tcMar>
              <w:top w:w="0" w:type="dxa"/>
              <w:left w:w="85" w:type="dxa"/>
              <w:bottom w:w="0" w:type="dxa"/>
              <w:right w:w="85" w:type="dxa"/>
            </w:tcMar>
            <w:vAlign w:val="center"/>
          </w:tcPr>
          <w:p w14:paraId="3ADA9A35" w14:textId="77777777" w:rsidR="007E0025" w:rsidRPr="00BE78CA" w:rsidRDefault="007E0025" w:rsidP="00C26084">
            <w:pPr>
              <w:pStyle w:val="TableText"/>
            </w:pPr>
            <w:r w:rsidRPr="00BE78CA">
              <w:rPr>
                <w:rFonts w:eastAsia="Calibri"/>
              </w:rPr>
              <w:t xml:space="preserve">Emissions from </w:t>
            </w:r>
            <w:r w:rsidRPr="00BE78CA">
              <w:rPr>
                <w:rFonts w:eastAsia="Calibri"/>
                <w:i/>
                <w:iCs/>
              </w:rPr>
              <w:t>Composting</w:t>
            </w:r>
            <w:r w:rsidRPr="00BE78CA">
              <w:rPr>
                <w:rFonts w:eastAsia="Calibri"/>
              </w:rPr>
              <w:t xml:space="preserve"> (5.B.1.a) have not changed in 1990 and have increased by 23.4 kt CO</w:t>
            </w:r>
            <w:r w:rsidRPr="00BE78CA">
              <w:rPr>
                <w:rFonts w:eastAsia="Calibri"/>
                <w:vertAlign w:val="subscript"/>
              </w:rPr>
              <w:t>2</w:t>
            </w:r>
            <w:r w:rsidRPr="00BE78CA">
              <w:rPr>
                <w:rFonts w:eastAsia="Calibri"/>
              </w:rPr>
              <w:t>-e (67.0 per cent) in 2018. This is due to revising the modelled composting volumes, based on information showing that more waste was composted in more recent times than previously thought.</w:t>
            </w:r>
          </w:p>
        </w:tc>
        <w:tc>
          <w:tcPr>
            <w:tcW w:w="1701" w:type="dxa"/>
            <w:shd w:val="clear" w:color="auto" w:fill="FFFFFF"/>
            <w:tcMar>
              <w:top w:w="0" w:type="dxa"/>
              <w:left w:w="85" w:type="dxa"/>
              <w:bottom w:w="0" w:type="dxa"/>
              <w:right w:w="85" w:type="dxa"/>
            </w:tcMar>
            <w:vAlign w:val="center"/>
          </w:tcPr>
          <w:p w14:paraId="6F5AC7E1" w14:textId="77777777" w:rsidR="007E0025" w:rsidRPr="00BE78CA" w:rsidRDefault="007E0025" w:rsidP="00336157">
            <w:pPr>
              <w:pStyle w:val="TableText"/>
            </w:pPr>
            <w:r w:rsidRPr="00BE78CA">
              <w:rPr>
                <w:rFonts w:eastAsia="Calibri"/>
              </w:rPr>
              <w:t>Accuracy</w:t>
            </w:r>
          </w:p>
        </w:tc>
        <w:tc>
          <w:tcPr>
            <w:tcW w:w="1690" w:type="dxa"/>
            <w:shd w:val="clear" w:color="auto" w:fill="FFFFFF"/>
            <w:tcMar>
              <w:top w:w="0" w:type="dxa"/>
              <w:left w:w="85" w:type="dxa"/>
              <w:bottom w:w="0" w:type="dxa"/>
              <w:right w:w="85" w:type="dxa"/>
            </w:tcMar>
            <w:vAlign w:val="center"/>
          </w:tcPr>
          <w:p w14:paraId="08B300C5" w14:textId="77777777" w:rsidR="007E0025" w:rsidRPr="00BE78CA" w:rsidRDefault="007E0025" w:rsidP="00C26084">
            <w:pPr>
              <w:spacing w:before="40" w:after="40"/>
              <w:ind w:left="100" w:right="100"/>
            </w:pPr>
          </w:p>
        </w:tc>
      </w:tr>
    </w:tbl>
    <w:p w14:paraId="3C688A02" w14:textId="77777777" w:rsidR="007E0025" w:rsidRPr="00BE78CA" w:rsidRDefault="007E0025" w:rsidP="007E0025">
      <w:pPr>
        <w:pStyle w:val="Heading3"/>
      </w:pPr>
      <w:r w:rsidRPr="00BE78CA">
        <w:lastRenderedPageBreak/>
        <w:t xml:space="preserve">10.1.6 </w:t>
      </w:r>
      <w:r w:rsidRPr="00BE78CA">
        <w:tab/>
        <w:t>Other sector (Tokelau)</w:t>
      </w:r>
    </w:p>
    <w:p w14:paraId="11835036" w14:textId="0C6519A1" w:rsidR="007E0025" w:rsidRPr="00BE78CA" w:rsidRDefault="007E0025" w:rsidP="007E0025">
      <w:pPr>
        <w:pStyle w:val="BodyText"/>
      </w:pPr>
      <w:r w:rsidRPr="00BE78CA">
        <w:t>One minor recalculation has been made in the Tokelau emission estimates since the 2020 submission. The recalculation made for the Tokelau sector has resulted in no change in emissions in 1990 and a 0.6 per cent (0.02 kt CO</w:t>
      </w:r>
      <w:r w:rsidRPr="00BE78CA">
        <w:rPr>
          <w:vertAlign w:val="subscript"/>
        </w:rPr>
        <w:t>2</w:t>
      </w:r>
      <w:r w:rsidRPr="00BE78CA">
        <w:t>-e) increase in emissions in 2018. This is a result of re-interpolating diesel used for electricity generation in 2016 to 2018 using the latest</w:t>
      </w:r>
      <w:r w:rsidR="00336157" w:rsidRPr="00BE78CA">
        <w:t> </w:t>
      </w:r>
      <w:r w:rsidRPr="00BE78CA">
        <w:t>activity data for 2019. The recalculation is described in table 10.1.10.</w:t>
      </w:r>
    </w:p>
    <w:p w14:paraId="75A8E727" w14:textId="77777777" w:rsidR="007E0025" w:rsidRPr="00BE78CA" w:rsidRDefault="007E0025" w:rsidP="007E0025">
      <w:pPr>
        <w:pStyle w:val="Table"/>
      </w:pPr>
      <w:bookmarkStart w:id="3306" w:name="_Toc68786585"/>
      <w:r w:rsidRPr="00BE78CA">
        <w:t xml:space="preserve">Table 10.1.10 </w:t>
      </w:r>
      <w:r w:rsidRPr="00BE78CA">
        <w:tab/>
        <w:t>Explanation and justifications for recalculations in the other sector (Tokelau)</w:t>
      </w:r>
      <w:bookmarkEnd w:id="3306"/>
    </w:p>
    <w:tbl>
      <w:tblPr>
        <w:tblW w:w="8494" w:type="dxa"/>
        <w:tblBorders>
          <w:top w:val="single" w:sz="2" w:space="0" w:color="365F91"/>
          <w:bottom w:val="single" w:sz="2" w:space="0" w:color="365F91"/>
          <w:insideH w:val="single" w:sz="2" w:space="0" w:color="365F91"/>
        </w:tblBorders>
        <w:tblLook w:val="0420" w:firstRow="1" w:lastRow="0" w:firstColumn="0" w:lastColumn="0" w:noHBand="0" w:noVBand="1"/>
      </w:tblPr>
      <w:tblGrid>
        <w:gridCol w:w="5245"/>
        <w:gridCol w:w="1559"/>
        <w:gridCol w:w="1690"/>
      </w:tblGrid>
      <w:tr w:rsidR="007E0025" w:rsidRPr="00BE78CA" w14:paraId="67C69176" w14:textId="77777777" w:rsidTr="00F10E1C">
        <w:trPr>
          <w:cantSplit/>
          <w:tblHeader/>
        </w:trPr>
        <w:tc>
          <w:tcPr>
            <w:tcW w:w="5245" w:type="dxa"/>
            <w:shd w:val="clear" w:color="auto" w:fill="365F91"/>
            <w:tcMar>
              <w:top w:w="0" w:type="dxa"/>
              <w:left w:w="85" w:type="dxa"/>
              <w:bottom w:w="0" w:type="dxa"/>
              <w:right w:w="85" w:type="dxa"/>
            </w:tcMar>
            <w:vAlign w:val="bottom"/>
          </w:tcPr>
          <w:p w14:paraId="6BB8C491" w14:textId="77777777" w:rsidR="007E0025" w:rsidRPr="00BE78CA" w:rsidRDefault="007E0025" w:rsidP="00C26084">
            <w:pPr>
              <w:pStyle w:val="TableTextBold"/>
              <w:rPr>
                <w:noProof w:val="0"/>
                <w:color w:val="FFFFFF" w:themeColor="background1"/>
              </w:rPr>
            </w:pPr>
            <w:r w:rsidRPr="00BE78CA">
              <w:rPr>
                <w:rFonts w:eastAsia="Calibri"/>
                <w:noProof w:val="0"/>
                <w:color w:val="FFFFFF" w:themeColor="background1"/>
              </w:rPr>
              <w:t>Explanation of recalculation</w:t>
            </w:r>
          </w:p>
        </w:tc>
        <w:tc>
          <w:tcPr>
            <w:tcW w:w="1559" w:type="dxa"/>
            <w:shd w:val="clear" w:color="auto" w:fill="365F91"/>
            <w:tcMar>
              <w:top w:w="0" w:type="dxa"/>
              <w:left w:w="85" w:type="dxa"/>
              <w:bottom w:w="0" w:type="dxa"/>
              <w:right w:w="85" w:type="dxa"/>
            </w:tcMar>
            <w:vAlign w:val="bottom"/>
          </w:tcPr>
          <w:p w14:paraId="2A59E331" w14:textId="77777777" w:rsidR="007E0025" w:rsidRPr="00BE78CA" w:rsidRDefault="007E0025" w:rsidP="00C26084">
            <w:pPr>
              <w:pStyle w:val="TableTextBold"/>
              <w:rPr>
                <w:noProof w:val="0"/>
                <w:color w:val="FFFFFF" w:themeColor="background1"/>
              </w:rPr>
            </w:pPr>
            <w:r w:rsidRPr="00BE78CA">
              <w:rPr>
                <w:rFonts w:eastAsia="Calibri"/>
                <w:noProof w:val="0"/>
                <w:color w:val="FFFFFF" w:themeColor="background1"/>
              </w:rPr>
              <w:t>Underpinning IPCC principle</w:t>
            </w:r>
          </w:p>
        </w:tc>
        <w:tc>
          <w:tcPr>
            <w:tcW w:w="1690" w:type="dxa"/>
            <w:shd w:val="clear" w:color="auto" w:fill="365F91"/>
            <w:tcMar>
              <w:top w:w="0" w:type="dxa"/>
              <w:left w:w="85" w:type="dxa"/>
              <w:bottom w:w="0" w:type="dxa"/>
              <w:right w:w="85" w:type="dxa"/>
            </w:tcMar>
            <w:vAlign w:val="bottom"/>
          </w:tcPr>
          <w:p w14:paraId="556D93A9" w14:textId="77777777" w:rsidR="007E0025" w:rsidRPr="00BE78CA" w:rsidRDefault="007E0025" w:rsidP="00C26084">
            <w:pPr>
              <w:pStyle w:val="TableTextBold"/>
              <w:rPr>
                <w:noProof w:val="0"/>
                <w:color w:val="FFFFFF" w:themeColor="background1"/>
              </w:rPr>
            </w:pPr>
            <w:r w:rsidRPr="00BE78CA">
              <w:rPr>
                <w:rFonts w:eastAsia="Calibri"/>
                <w:noProof w:val="0"/>
                <w:color w:val="FFFFFF" w:themeColor="background1"/>
              </w:rPr>
              <w:t>Additional justification</w:t>
            </w:r>
          </w:p>
        </w:tc>
      </w:tr>
      <w:tr w:rsidR="007E0025" w:rsidRPr="00BE78CA" w14:paraId="0F585708" w14:textId="77777777" w:rsidTr="00F10E1C">
        <w:trPr>
          <w:cantSplit/>
        </w:trPr>
        <w:tc>
          <w:tcPr>
            <w:tcW w:w="5245" w:type="dxa"/>
            <w:shd w:val="clear" w:color="auto" w:fill="FFFFFF"/>
            <w:tcMar>
              <w:top w:w="0" w:type="dxa"/>
              <w:left w:w="85" w:type="dxa"/>
              <w:bottom w:w="0" w:type="dxa"/>
              <w:right w:w="85" w:type="dxa"/>
            </w:tcMar>
            <w:vAlign w:val="center"/>
          </w:tcPr>
          <w:p w14:paraId="47C73841" w14:textId="1FFB5660" w:rsidR="007E0025" w:rsidRPr="00BE78CA" w:rsidRDefault="007E0025" w:rsidP="00C26084">
            <w:pPr>
              <w:pStyle w:val="TableText"/>
            </w:pPr>
            <w:r w:rsidRPr="00BE78CA">
              <w:rPr>
                <w:rFonts w:eastAsia="Calibri"/>
              </w:rPr>
              <w:t>Public electricity and heat production has been recalculated as a result of re</w:t>
            </w:r>
            <w:r w:rsidR="0075637C" w:rsidRPr="00BE78CA">
              <w:rPr>
                <w:rFonts w:eastAsia="Calibri"/>
              </w:rPr>
              <w:noBreakHyphen/>
            </w:r>
            <w:r w:rsidRPr="00BE78CA">
              <w:rPr>
                <w:rFonts w:eastAsia="Calibri"/>
              </w:rPr>
              <w:t>interpolating diesel used for electricity generation in 2016 to 2018 using the latest activity data for 2019.</w:t>
            </w:r>
          </w:p>
        </w:tc>
        <w:tc>
          <w:tcPr>
            <w:tcW w:w="1559" w:type="dxa"/>
            <w:shd w:val="clear" w:color="auto" w:fill="FFFFFF"/>
            <w:tcMar>
              <w:top w:w="0" w:type="dxa"/>
              <w:left w:w="85" w:type="dxa"/>
              <w:bottom w:w="0" w:type="dxa"/>
              <w:right w:w="85" w:type="dxa"/>
            </w:tcMar>
            <w:vAlign w:val="center"/>
          </w:tcPr>
          <w:p w14:paraId="40C5EE07" w14:textId="77777777" w:rsidR="007E0025" w:rsidRPr="00BE78CA" w:rsidRDefault="007E0025" w:rsidP="00C26084">
            <w:pPr>
              <w:pStyle w:val="TableText"/>
            </w:pPr>
            <w:r w:rsidRPr="00BE78CA">
              <w:rPr>
                <w:rFonts w:eastAsia="Calibri"/>
              </w:rPr>
              <w:t>Accuracy</w:t>
            </w:r>
          </w:p>
        </w:tc>
        <w:tc>
          <w:tcPr>
            <w:tcW w:w="1690" w:type="dxa"/>
            <w:shd w:val="clear" w:color="auto" w:fill="FFFFFF"/>
            <w:tcMar>
              <w:top w:w="0" w:type="dxa"/>
              <w:left w:w="85" w:type="dxa"/>
              <w:bottom w:w="0" w:type="dxa"/>
              <w:right w:w="85" w:type="dxa"/>
            </w:tcMar>
            <w:vAlign w:val="center"/>
          </w:tcPr>
          <w:p w14:paraId="04496946" w14:textId="77777777" w:rsidR="007E0025" w:rsidRPr="00BE78CA" w:rsidRDefault="007E0025" w:rsidP="00C26084">
            <w:pPr>
              <w:pStyle w:val="TableText"/>
            </w:pPr>
          </w:p>
        </w:tc>
      </w:tr>
    </w:tbl>
    <w:p w14:paraId="4B0F9503" w14:textId="77777777" w:rsidR="007E0025" w:rsidRPr="00BE78CA" w:rsidRDefault="007E0025" w:rsidP="00336157">
      <w:pPr>
        <w:pStyle w:val="Figure"/>
        <w:spacing w:before="280"/>
      </w:pPr>
      <w:bookmarkStart w:id="3307" w:name="_Toc68786703"/>
      <w:r w:rsidRPr="00BE78CA">
        <w:t xml:space="preserve">Figure 10.1.7 </w:t>
      </w:r>
      <w:r w:rsidRPr="00BE78CA">
        <w:tab/>
        <w:t>Effect of recalculations on the Other sector (Tokelau) from 1990 to 2018</w:t>
      </w:r>
      <w:bookmarkEnd w:id="3307"/>
    </w:p>
    <w:p w14:paraId="2FD47C64" w14:textId="77777777" w:rsidR="007E0025" w:rsidRPr="00BE78CA" w:rsidRDefault="007E0025" w:rsidP="00336157">
      <w:pPr>
        <w:pStyle w:val="BodyText"/>
        <w:spacing w:after="0"/>
      </w:pPr>
      <w:r w:rsidRPr="00BE78CA">
        <w:rPr>
          <w:noProof/>
        </w:rPr>
        <w:drawing>
          <wp:inline distT="0" distB="0" distL="0" distR="0" wp14:anchorId="698CFFDD" wp14:editId="61409EF2">
            <wp:extent cx="5397500" cy="4048125"/>
            <wp:effectExtent l="0" t="0" r="0" b="0"/>
            <wp:docPr id="61" name="Picture"/>
            <wp:cNvGraphicFramePr/>
            <a:graphic xmlns:a="http://schemas.openxmlformats.org/drawingml/2006/main">
              <a:graphicData uri="http://schemas.openxmlformats.org/drawingml/2006/picture">
                <pic:pic xmlns:pic="http://schemas.openxmlformats.org/drawingml/2006/picture">
                  <pic:nvPicPr>
                    <pic:cNvPr id="0" name="Picture" descr="code/graphs/images/fig_10_1_7.png"/>
                    <pic:cNvPicPr>
                      <a:picLocks noChangeAspect="1" noChangeArrowheads="1"/>
                    </pic:cNvPicPr>
                  </pic:nvPicPr>
                  <pic:blipFill>
                    <a:blip r:embed="rId273"/>
                    <a:stretch>
                      <a:fillRect/>
                    </a:stretch>
                  </pic:blipFill>
                  <pic:spPr bwMode="auto">
                    <a:xfrm>
                      <a:off x="0" y="0"/>
                      <a:ext cx="5397500" cy="4048125"/>
                    </a:xfrm>
                    <a:prstGeom prst="rect">
                      <a:avLst/>
                    </a:prstGeom>
                    <a:noFill/>
                    <a:ln w="9525">
                      <a:noFill/>
                      <a:headEnd/>
                      <a:tailEnd/>
                    </a:ln>
                  </pic:spPr>
                </pic:pic>
              </a:graphicData>
            </a:graphic>
          </wp:inline>
        </w:drawing>
      </w:r>
    </w:p>
    <w:p w14:paraId="05B4DC2D" w14:textId="77777777" w:rsidR="007E0025" w:rsidRPr="00BE78CA" w:rsidRDefault="007E0025" w:rsidP="00943696">
      <w:pPr>
        <w:pStyle w:val="Heading3"/>
        <w:spacing w:before="240"/>
      </w:pPr>
      <w:bookmarkStart w:id="3308" w:name="X6c8b88601f63a469ee5403e42c906fecbaa5ca6"/>
      <w:r w:rsidRPr="00BE78CA">
        <w:t xml:space="preserve">10.1.7 </w:t>
      </w:r>
      <w:r w:rsidRPr="00BE78CA">
        <w:tab/>
        <w:t>Article 3.3 activities under the Kyoto Protocol</w:t>
      </w:r>
      <w:bookmarkEnd w:id="3308"/>
    </w:p>
    <w:p w14:paraId="066F67A5" w14:textId="052B2FFA" w:rsidR="007E0025" w:rsidRPr="00BE78CA" w:rsidRDefault="007E0025" w:rsidP="007E0025">
      <w:pPr>
        <w:pStyle w:val="BodyText"/>
      </w:pPr>
      <w:r w:rsidRPr="00BE78CA">
        <w:t>New Zealand’s greenhouse gas emission estimates from activities under Article 3.3 and Article</w:t>
      </w:r>
      <w:r w:rsidR="00943696" w:rsidRPr="00BE78CA">
        <w:t> </w:t>
      </w:r>
      <w:r w:rsidRPr="00BE78CA">
        <w:t xml:space="preserve">3.4 of the Kyoto Protocol have been recalculated since the </w:t>
      </w:r>
      <w:r w:rsidRPr="00BE78CA">
        <w:rPr>
          <w:bCs/>
        </w:rPr>
        <w:t>2020</w:t>
      </w:r>
      <w:r w:rsidRPr="00BE78CA">
        <w:t xml:space="preserve"> inventory submission (tables 10.1.12, 10.1.13 and 10.1.14). The recalculations incorporate improved activity data and emission factors (see chapter 11, section 11.4.3 and table 10.2.1). Table 10.1.11 lists the</w:t>
      </w:r>
      <w:r w:rsidR="00943696" w:rsidRPr="00BE78CA">
        <w:t> </w:t>
      </w:r>
      <w:r w:rsidRPr="00BE78CA">
        <w:t>recalculations in order of decreasing magnitude. The recalculations under Article 3.3 and</w:t>
      </w:r>
      <w:r w:rsidR="00943696" w:rsidRPr="00BE78CA">
        <w:t> </w:t>
      </w:r>
      <w:r w:rsidRPr="00BE78CA">
        <w:t xml:space="preserve">Article 3.4 of the Kyoto Protocol result in a methodological misalignment between the calculation of emissions reported under </w:t>
      </w:r>
      <w:r w:rsidRPr="00BE78CA">
        <w:rPr>
          <w:i/>
          <w:iCs/>
        </w:rPr>
        <w:t>Forest management</w:t>
      </w:r>
      <w:r w:rsidRPr="00BE78CA">
        <w:t xml:space="preserve"> and the calculation of the Forest Management Reference Level</w:t>
      </w:r>
      <w:r w:rsidRPr="00BE78CA">
        <w:rPr>
          <w:i/>
          <w:iCs/>
        </w:rPr>
        <w:t xml:space="preserve"> </w:t>
      </w:r>
      <w:r w:rsidRPr="00BE78CA">
        <w:t>(FMRL)</w:t>
      </w:r>
      <w:r w:rsidRPr="00BE78CA">
        <w:rPr>
          <w:i/>
          <w:iCs/>
        </w:rPr>
        <w:t>.</w:t>
      </w:r>
      <w:r w:rsidRPr="00BE78CA">
        <w:t xml:space="preserve"> To address this misalignment, a technical correction has</w:t>
      </w:r>
      <w:r w:rsidR="00943696" w:rsidRPr="00BE78CA">
        <w:t> </w:t>
      </w:r>
      <w:r w:rsidRPr="00BE78CA">
        <w:t xml:space="preserve">been made to the FMRL and is described further in annex 5, section A5.1. </w:t>
      </w:r>
    </w:p>
    <w:p w14:paraId="7AE7C861" w14:textId="77777777" w:rsidR="007E0025" w:rsidRPr="00BE78CA" w:rsidRDefault="007E0025" w:rsidP="007E0025">
      <w:pPr>
        <w:pStyle w:val="BodyText"/>
      </w:pPr>
      <w:r w:rsidRPr="00BE78CA">
        <w:lastRenderedPageBreak/>
        <w:t xml:space="preserve">Improvements in activity data (table 10.1.13) have affected emissions recalculations from the </w:t>
      </w:r>
      <w:r w:rsidRPr="00BE78CA">
        <w:rPr>
          <w:i/>
          <w:iCs/>
        </w:rPr>
        <w:t>Afforestation/reforestation</w:t>
      </w:r>
      <w:r w:rsidRPr="00BE78CA">
        <w:t xml:space="preserve">, </w:t>
      </w:r>
      <w:r w:rsidRPr="00BE78CA">
        <w:rPr>
          <w:i/>
          <w:iCs/>
        </w:rPr>
        <w:t>Deforestation</w:t>
      </w:r>
      <w:r w:rsidRPr="00BE78CA">
        <w:t xml:space="preserve"> and </w:t>
      </w:r>
      <w:r w:rsidRPr="00BE78CA">
        <w:rPr>
          <w:i/>
          <w:iCs/>
        </w:rPr>
        <w:t>Forest management</w:t>
      </w:r>
      <w:r w:rsidRPr="00BE78CA">
        <w:t xml:space="preserve"> categories (table 10.1.12), because New Zealand has not elected to report on any of the voluntary activities under Article 3.4 of the Kyoto Protocol for the second commitment period. </w:t>
      </w:r>
    </w:p>
    <w:p w14:paraId="28FF2E38" w14:textId="12D3B3FE" w:rsidR="007E0025" w:rsidRPr="00BE78CA" w:rsidRDefault="007E0025" w:rsidP="00336157">
      <w:pPr>
        <w:pStyle w:val="Table"/>
      </w:pPr>
      <w:bookmarkStart w:id="3309" w:name="_Toc68786586"/>
      <w:r w:rsidRPr="00BE78CA">
        <w:t xml:space="preserve">Table 10.1.11 </w:t>
      </w:r>
      <w:r w:rsidRPr="00BE78CA">
        <w:tab/>
        <w:t>Explanations and justifications for recalculations of New Zealand’s previous</w:t>
      </w:r>
      <w:r w:rsidR="00336157" w:rsidRPr="00BE78CA">
        <w:br/>
      </w:r>
      <w:r w:rsidRPr="00BE78CA">
        <w:t>Kyoto Protocol LULUCF estimates</w:t>
      </w:r>
      <w:bookmarkEnd w:id="3309"/>
    </w:p>
    <w:tbl>
      <w:tblPr>
        <w:tblW w:w="8494" w:type="dxa"/>
        <w:tblBorders>
          <w:top w:val="single" w:sz="2" w:space="0" w:color="365F91"/>
          <w:bottom w:val="single" w:sz="2" w:space="0" w:color="365F91"/>
          <w:insideH w:val="single" w:sz="2" w:space="0" w:color="365F91"/>
        </w:tblBorders>
        <w:tblLook w:val="0420" w:firstRow="1" w:lastRow="0" w:firstColumn="0" w:lastColumn="0" w:noHBand="0" w:noVBand="1"/>
      </w:tblPr>
      <w:tblGrid>
        <w:gridCol w:w="5099"/>
        <w:gridCol w:w="1277"/>
        <w:gridCol w:w="2118"/>
      </w:tblGrid>
      <w:tr w:rsidR="007E0025" w:rsidRPr="00BE78CA" w14:paraId="272BF617" w14:textId="77777777" w:rsidTr="00C26084">
        <w:trPr>
          <w:cantSplit/>
          <w:tblHeader/>
        </w:trPr>
        <w:tc>
          <w:tcPr>
            <w:tcW w:w="3001" w:type="pct"/>
            <w:shd w:val="clear" w:color="auto" w:fill="365F91"/>
            <w:tcMar>
              <w:top w:w="0" w:type="dxa"/>
              <w:left w:w="85" w:type="dxa"/>
              <w:bottom w:w="0" w:type="dxa"/>
              <w:right w:w="85" w:type="dxa"/>
            </w:tcMar>
            <w:vAlign w:val="bottom"/>
          </w:tcPr>
          <w:p w14:paraId="609CF348" w14:textId="77777777" w:rsidR="007E0025" w:rsidRPr="00BE78CA" w:rsidRDefault="007E0025" w:rsidP="00C26084">
            <w:pPr>
              <w:pStyle w:val="TableTextBold"/>
              <w:rPr>
                <w:noProof w:val="0"/>
                <w:color w:val="FFFFFF" w:themeColor="background1"/>
              </w:rPr>
            </w:pPr>
            <w:r w:rsidRPr="00BE78CA">
              <w:rPr>
                <w:rFonts w:eastAsia="Calibri"/>
                <w:noProof w:val="0"/>
                <w:color w:val="FFFFFF" w:themeColor="background1"/>
              </w:rPr>
              <w:t>Explanation of recalculation</w:t>
            </w:r>
          </w:p>
        </w:tc>
        <w:tc>
          <w:tcPr>
            <w:tcW w:w="752" w:type="pct"/>
            <w:shd w:val="clear" w:color="auto" w:fill="365F91"/>
            <w:tcMar>
              <w:top w:w="0" w:type="dxa"/>
              <w:left w:w="85" w:type="dxa"/>
              <w:bottom w:w="0" w:type="dxa"/>
              <w:right w:w="85" w:type="dxa"/>
            </w:tcMar>
            <w:vAlign w:val="bottom"/>
          </w:tcPr>
          <w:p w14:paraId="002E024D" w14:textId="77777777" w:rsidR="007E0025" w:rsidRPr="00BE78CA" w:rsidRDefault="007E0025" w:rsidP="00C26084">
            <w:pPr>
              <w:pStyle w:val="TableTextBold"/>
              <w:rPr>
                <w:noProof w:val="0"/>
                <w:color w:val="FFFFFF" w:themeColor="background1"/>
              </w:rPr>
            </w:pPr>
            <w:r w:rsidRPr="00BE78CA">
              <w:rPr>
                <w:rFonts w:eastAsia="Calibri"/>
                <w:noProof w:val="0"/>
                <w:color w:val="FFFFFF" w:themeColor="background1"/>
              </w:rPr>
              <w:t>Underpinning IPCC principle</w:t>
            </w:r>
          </w:p>
        </w:tc>
        <w:tc>
          <w:tcPr>
            <w:tcW w:w="1248" w:type="pct"/>
            <w:shd w:val="clear" w:color="auto" w:fill="365F91"/>
            <w:tcMar>
              <w:top w:w="0" w:type="dxa"/>
              <w:left w:w="85" w:type="dxa"/>
              <w:bottom w:w="0" w:type="dxa"/>
              <w:right w:w="85" w:type="dxa"/>
            </w:tcMar>
            <w:vAlign w:val="bottom"/>
          </w:tcPr>
          <w:p w14:paraId="001B0218" w14:textId="77777777" w:rsidR="007E0025" w:rsidRPr="00BE78CA" w:rsidRDefault="007E0025" w:rsidP="00C26084">
            <w:pPr>
              <w:pStyle w:val="TableTextBold"/>
              <w:rPr>
                <w:noProof w:val="0"/>
                <w:color w:val="FFFFFF" w:themeColor="background1"/>
              </w:rPr>
            </w:pPr>
            <w:r w:rsidRPr="00BE78CA">
              <w:rPr>
                <w:rFonts w:eastAsia="Calibri"/>
                <w:noProof w:val="0"/>
                <w:color w:val="FFFFFF" w:themeColor="background1"/>
              </w:rPr>
              <w:t>Additional justification</w:t>
            </w:r>
          </w:p>
        </w:tc>
      </w:tr>
      <w:tr w:rsidR="007E0025" w:rsidRPr="00BE78CA" w14:paraId="1CEC9F40" w14:textId="77777777" w:rsidTr="00C26084">
        <w:trPr>
          <w:cantSplit/>
        </w:trPr>
        <w:tc>
          <w:tcPr>
            <w:tcW w:w="3001" w:type="pct"/>
            <w:shd w:val="clear" w:color="auto" w:fill="FFFFFF"/>
            <w:tcMar>
              <w:top w:w="0" w:type="dxa"/>
              <w:left w:w="85" w:type="dxa"/>
              <w:bottom w:w="0" w:type="dxa"/>
              <w:right w:w="85" w:type="dxa"/>
            </w:tcMar>
            <w:vAlign w:val="center"/>
          </w:tcPr>
          <w:p w14:paraId="5C8C8803" w14:textId="77777777" w:rsidR="007E0025" w:rsidRPr="00BE78CA" w:rsidRDefault="007E0025" w:rsidP="00986ECD">
            <w:pPr>
              <w:pStyle w:val="TableText"/>
              <w:spacing w:before="40"/>
            </w:pPr>
            <w:r w:rsidRPr="00BE78CA">
              <w:rPr>
                <w:rFonts w:eastAsia="Calibri"/>
              </w:rPr>
              <w:t>The pre-1990 planted forest yield table has been revised for the 2021 submission. Improved genetics and management practices mean a single yield table is no longer representative of the entire pre-1990 planted forest estate through time and multiple rotations. Therefore, in this submission, three period-specific yield tables have been applied: one for all cohorts planted in years before 1990, one for cohorts planted between 1990 and 2009 and a third for those planted between 2010 and 2019. This results in significant changes to net emissions through time. The improvement results in a decrease of removals in 1990 and an increase of removals in 2018 compared with the previous submission.</w:t>
            </w:r>
          </w:p>
        </w:tc>
        <w:tc>
          <w:tcPr>
            <w:tcW w:w="752" w:type="pct"/>
            <w:shd w:val="clear" w:color="auto" w:fill="FFFFFF"/>
            <w:tcMar>
              <w:top w:w="0" w:type="dxa"/>
              <w:left w:w="85" w:type="dxa"/>
              <w:bottom w:w="0" w:type="dxa"/>
              <w:right w:w="85" w:type="dxa"/>
            </w:tcMar>
            <w:vAlign w:val="center"/>
          </w:tcPr>
          <w:p w14:paraId="164AD410" w14:textId="77777777" w:rsidR="007E0025" w:rsidRPr="00BE78CA" w:rsidRDefault="007E0025" w:rsidP="00986ECD">
            <w:pPr>
              <w:pStyle w:val="TableText"/>
              <w:spacing w:before="40"/>
            </w:pPr>
            <w:r w:rsidRPr="00BE78CA">
              <w:rPr>
                <w:rFonts w:eastAsia="Calibri"/>
              </w:rPr>
              <w:t>Accuracy</w:t>
            </w:r>
          </w:p>
        </w:tc>
        <w:tc>
          <w:tcPr>
            <w:tcW w:w="1248" w:type="pct"/>
            <w:shd w:val="clear" w:color="auto" w:fill="FFFFFF"/>
            <w:tcMar>
              <w:top w:w="0" w:type="dxa"/>
              <w:left w:w="85" w:type="dxa"/>
              <w:bottom w:w="0" w:type="dxa"/>
              <w:right w:w="85" w:type="dxa"/>
            </w:tcMar>
            <w:vAlign w:val="center"/>
          </w:tcPr>
          <w:p w14:paraId="4FB63A6F" w14:textId="77777777" w:rsidR="007E0025" w:rsidRPr="00BE78CA" w:rsidRDefault="007E0025" w:rsidP="00986ECD">
            <w:pPr>
              <w:pStyle w:val="TableText"/>
              <w:spacing w:before="40"/>
            </w:pPr>
            <w:r w:rsidRPr="00BE78CA">
              <w:rPr>
                <w:rFonts w:eastAsia="Calibri"/>
              </w:rPr>
              <w:t>Key category improvement (</w:t>
            </w:r>
            <w:r w:rsidRPr="00BE78CA">
              <w:rPr>
                <w:rFonts w:eastAsia="Calibri"/>
                <w:i/>
                <w:iCs/>
              </w:rPr>
              <w:t>Deforestation and Forest management</w:t>
            </w:r>
            <w:r w:rsidRPr="00BE78CA">
              <w:rPr>
                <w:rFonts w:eastAsia="Calibri"/>
              </w:rPr>
              <w:t>)</w:t>
            </w:r>
          </w:p>
        </w:tc>
      </w:tr>
      <w:tr w:rsidR="007E0025" w:rsidRPr="00BE78CA" w14:paraId="1C27151F" w14:textId="77777777" w:rsidTr="00C26084">
        <w:trPr>
          <w:cantSplit/>
        </w:trPr>
        <w:tc>
          <w:tcPr>
            <w:tcW w:w="3001" w:type="pct"/>
            <w:shd w:val="clear" w:color="auto" w:fill="FFFFFF"/>
            <w:tcMar>
              <w:top w:w="0" w:type="dxa"/>
              <w:left w:w="85" w:type="dxa"/>
              <w:bottom w:w="0" w:type="dxa"/>
              <w:right w:w="85" w:type="dxa"/>
            </w:tcMar>
            <w:vAlign w:val="center"/>
          </w:tcPr>
          <w:p w14:paraId="3CA61572" w14:textId="77777777" w:rsidR="007E0025" w:rsidRPr="00BE78CA" w:rsidRDefault="007E0025" w:rsidP="00986ECD">
            <w:pPr>
              <w:pStyle w:val="TableText"/>
              <w:spacing w:before="40"/>
            </w:pPr>
            <w:r w:rsidRPr="00BE78CA">
              <w:rPr>
                <w:rFonts w:eastAsia="Calibri"/>
              </w:rPr>
              <w:t>Improved mapping of wilding pines has led to the reclassification of around 20,000 hectares of forest previously classified as post-1989 planted forest to post-1989 natural forest. This has led to a reduction in removals from the post-1989 forest estate because of the difference in yields applied to post-1989 natural and planted forest.</w:t>
            </w:r>
          </w:p>
        </w:tc>
        <w:tc>
          <w:tcPr>
            <w:tcW w:w="752" w:type="pct"/>
            <w:shd w:val="clear" w:color="auto" w:fill="FFFFFF"/>
            <w:tcMar>
              <w:top w:w="0" w:type="dxa"/>
              <w:left w:w="85" w:type="dxa"/>
              <w:bottom w:w="0" w:type="dxa"/>
              <w:right w:w="85" w:type="dxa"/>
            </w:tcMar>
            <w:vAlign w:val="center"/>
          </w:tcPr>
          <w:p w14:paraId="4A917CEC" w14:textId="77777777" w:rsidR="007E0025" w:rsidRPr="00BE78CA" w:rsidRDefault="007E0025" w:rsidP="00986ECD">
            <w:pPr>
              <w:pStyle w:val="TableText"/>
              <w:spacing w:before="40"/>
            </w:pPr>
            <w:r w:rsidRPr="00BE78CA">
              <w:rPr>
                <w:rFonts w:eastAsia="Calibri"/>
              </w:rPr>
              <w:t>Accuracy</w:t>
            </w:r>
          </w:p>
        </w:tc>
        <w:tc>
          <w:tcPr>
            <w:tcW w:w="1248" w:type="pct"/>
            <w:shd w:val="clear" w:color="auto" w:fill="FFFFFF"/>
            <w:tcMar>
              <w:top w:w="0" w:type="dxa"/>
              <w:left w:w="85" w:type="dxa"/>
              <w:bottom w:w="0" w:type="dxa"/>
              <w:right w:w="85" w:type="dxa"/>
            </w:tcMar>
            <w:vAlign w:val="center"/>
          </w:tcPr>
          <w:p w14:paraId="4A7240A7" w14:textId="77777777" w:rsidR="007E0025" w:rsidRPr="00BE78CA" w:rsidRDefault="007E0025" w:rsidP="00986ECD">
            <w:pPr>
              <w:pStyle w:val="TableText"/>
              <w:spacing w:before="40"/>
            </w:pPr>
            <w:r w:rsidRPr="00BE78CA">
              <w:rPr>
                <w:rFonts w:eastAsia="Calibri"/>
              </w:rPr>
              <w:t>Key category improvement (</w:t>
            </w:r>
            <w:r w:rsidRPr="00BE78CA">
              <w:rPr>
                <w:rFonts w:eastAsia="Calibri"/>
                <w:i/>
                <w:iCs/>
              </w:rPr>
              <w:t>Afforestation/reforestation</w:t>
            </w:r>
            <w:r w:rsidRPr="00BE78CA">
              <w:rPr>
                <w:rFonts w:eastAsia="Calibri"/>
              </w:rPr>
              <w:t xml:space="preserve"> and </w:t>
            </w:r>
            <w:r w:rsidRPr="00BE78CA">
              <w:rPr>
                <w:rFonts w:eastAsia="Calibri"/>
                <w:i/>
                <w:iCs/>
              </w:rPr>
              <w:t>Deforestation</w:t>
            </w:r>
            <w:r w:rsidRPr="00BE78CA">
              <w:rPr>
                <w:rFonts w:eastAsia="Calibri"/>
              </w:rPr>
              <w:t>)</w:t>
            </w:r>
          </w:p>
        </w:tc>
      </w:tr>
      <w:tr w:rsidR="007E0025" w:rsidRPr="00BE78CA" w14:paraId="6C1A46BE" w14:textId="77777777" w:rsidTr="00C26084">
        <w:trPr>
          <w:cantSplit/>
        </w:trPr>
        <w:tc>
          <w:tcPr>
            <w:tcW w:w="3001" w:type="pct"/>
            <w:shd w:val="clear" w:color="auto" w:fill="FFFFFF"/>
            <w:tcMar>
              <w:top w:w="0" w:type="dxa"/>
              <w:left w:w="85" w:type="dxa"/>
              <w:bottom w:w="0" w:type="dxa"/>
              <w:right w:w="85" w:type="dxa"/>
            </w:tcMar>
            <w:vAlign w:val="center"/>
          </w:tcPr>
          <w:p w14:paraId="2262008F" w14:textId="77777777" w:rsidR="007E0025" w:rsidRPr="00BE78CA" w:rsidRDefault="007E0025" w:rsidP="00986ECD">
            <w:pPr>
              <w:pStyle w:val="TableText"/>
              <w:spacing w:before="40"/>
            </w:pPr>
            <w:r w:rsidRPr="00BE78CA">
              <w:rPr>
                <w:rFonts w:eastAsia="Calibri"/>
              </w:rPr>
              <w:t>The harvest age profile of the post-1989 planted forest estate has been improved to increase accuracy. In previous submissions, a single age cohort was applied to the harvest area of the post-1989 planted forest estate each year. However, this is not representative of the actual stand ages that are being harvested and can result in a skewed age profile of trees still standing in the forest. Applying a harvest age profile to post-1989 planted forest results in a small decrease in emissions due to the simultaneous changes to carbon gains and carbon losses from harvesting.</w:t>
            </w:r>
          </w:p>
        </w:tc>
        <w:tc>
          <w:tcPr>
            <w:tcW w:w="752" w:type="pct"/>
            <w:shd w:val="clear" w:color="auto" w:fill="FFFFFF"/>
            <w:tcMar>
              <w:top w:w="0" w:type="dxa"/>
              <w:left w:w="85" w:type="dxa"/>
              <w:bottom w:w="0" w:type="dxa"/>
              <w:right w:w="85" w:type="dxa"/>
            </w:tcMar>
            <w:vAlign w:val="center"/>
          </w:tcPr>
          <w:p w14:paraId="24BC2D91" w14:textId="77777777" w:rsidR="007E0025" w:rsidRPr="00BE78CA" w:rsidRDefault="007E0025" w:rsidP="00986ECD">
            <w:pPr>
              <w:pStyle w:val="TableText"/>
              <w:spacing w:before="40"/>
            </w:pPr>
            <w:r w:rsidRPr="00BE78CA">
              <w:rPr>
                <w:rFonts w:eastAsia="Calibri"/>
              </w:rPr>
              <w:t>Accuracy</w:t>
            </w:r>
          </w:p>
        </w:tc>
        <w:tc>
          <w:tcPr>
            <w:tcW w:w="1248" w:type="pct"/>
            <w:shd w:val="clear" w:color="auto" w:fill="FFFFFF"/>
            <w:tcMar>
              <w:top w:w="0" w:type="dxa"/>
              <w:left w:w="85" w:type="dxa"/>
              <w:bottom w:w="0" w:type="dxa"/>
              <w:right w:w="85" w:type="dxa"/>
            </w:tcMar>
            <w:vAlign w:val="center"/>
          </w:tcPr>
          <w:p w14:paraId="622CCF51" w14:textId="77777777" w:rsidR="007E0025" w:rsidRPr="00BE78CA" w:rsidRDefault="007E0025" w:rsidP="00986ECD">
            <w:pPr>
              <w:pStyle w:val="TableText"/>
              <w:spacing w:before="40"/>
            </w:pPr>
            <w:r w:rsidRPr="00BE78CA">
              <w:rPr>
                <w:rFonts w:eastAsia="Calibri"/>
              </w:rPr>
              <w:t>Key category improvement (</w:t>
            </w:r>
            <w:r w:rsidRPr="00BE78CA">
              <w:rPr>
                <w:rFonts w:eastAsia="Calibri"/>
                <w:i/>
                <w:iCs/>
              </w:rPr>
              <w:t>Afforestation/reforestation</w:t>
            </w:r>
            <w:r w:rsidRPr="00BE78CA">
              <w:rPr>
                <w:rFonts w:eastAsia="Calibri"/>
              </w:rPr>
              <w:t xml:space="preserve"> and </w:t>
            </w:r>
            <w:r w:rsidRPr="00BE78CA">
              <w:rPr>
                <w:rFonts w:eastAsia="Calibri"/>
                <w:i/>
                <w:iCs/>
              </w:rPr>
              <w:t>Deforestation</w:t>
            </w:r>
            <w:r w:rsidRPr="00BE78CA">
              <w:rPr>
                <w:rFonts w:eastAsia="Calibri"/>
              </w:rPr>
              <w:t>)</w:t>
            </w:r>
          </w:p>
        </w:tc>
      </w:tr>
    </w:tbl>
    <w:p w14:paraId="4718CB94" w14:textId="77777777" w:rsidR="007E0025" w:rsidRPr="00BE78CA" w:rsidRDefault="007E0025" w:rsidP="00B37965">
      <w:pPr>
        <w:pStyle w:val="Table"/>
        <w:spacing w:before="360"/>
      </w:pPr>
      <w:bookmarkStart w:id="3310" w:name="_Toc68786587"/>
      <w:r w:rsidRPr="00BE78CA">
        <w:t xml:space="preserve">Table 10.1.12 </w:t>
      </w:r>
      <w:r w:rsidRPr="00BE78CA">
        <w:tab/>
        <w:t>Impact of the recalculations of New Zealand’s net emissions under Article 3.3 and Article 3.4 of the Kyoto Protocol in 2018</w:t>
      </w:r>
      <w:bookmarkEnd w:id="3310"/>
    </w:p>
    <w:tbl>
      <w:tblPr>
        <w:tblW w:w="8494" w:type="dxa"/>
        <w:tblBorders>
          <w:top w:val="single" w:sz="2" w:space="0" w:color="365F91"/>
          <w:bottom w:val="single" w:sz="2" w:space="0" w:color="365F91"/>
          <w:insideH w:val="single" w:sz="2" w:space="0" w:color="365F91"/>
          <w:insideV w:val="single" w:sz="2" w:space="0" w:color="365F91"/>
        </w:tblBorders>
        <w:tblLook w:val="0420" w:firstRow="1" w:lastRow="0" w:firstColumn="0" w:lastColumn="0" w:noHBand="0" w:noVBand="1"/>
      </w:tblPr>
      <w:tblGrid>
        <w:gridCol w:w="2843"/>
        <w:gridCol w:w="1451"/>
        <w:gridCol w:w="1451"/>
        <w:gridCol w:w="2749"/>
      </w:tblGrid>
      <w:tr w:rsidR="007E0025" w:rsidRPr="00BE78CA" w14:paraId="3DE50980" w14:textId="77777777" w:rsidTr="00C26084">
        <w:trPr>
          <w:cantSplit/>
          <w:tblHeader/>
        </w:trPr>
        <w:tc>
          <w:tcPr>
            <w:tcW w:w="0" w:type="auto"/>
            <w:gridSpan w:val="4"/>
            <w:shd w:val="clear" w:color="auto" w:fill="365F91"/>
            <w:tcMar>
              <w:top w:w="0" w:type="dxa"/>
              <w:left w:w="85" w:type="dxa"/>
              <w:bottom w:w="0" w:type="dxa"/>
              <w:right w:w="85" w:type="dxa"/>
            </w:tcMar>
            <w:vAlign w:val="center"/>
          </w:tcPr>
          <w:p w14:paraId="1D46BD9E" w14:textId="77777777" w:rsidR="007E0025" w:rsidRPr="00BE78CA" w:rsidRDefault="007E0025" w:rsidP="00986ECD">
            <w:pPr>
              <w:pStyle w:val="TableTextBold"/>
              <w:spacing w:after="0"/>
              <w:jc w:val="center"/>
              <w:rPr>
                <w:noProof w:val="0"/>
                <w:color w:val="FFFFFF" w:themeColor="background1"/>
              </w:rPr>
            </w:pPr>
            <w:r w:rsidRPr="00BE78CA">
              <w:rPr>
                <w:rFonts w:eastAsia="Calibri"/>
                <w:noProof w:val="0"/>
                <w:color w:val="FFFFFF" w:themeColor="background1"/>
              </w:rPr>
              <w:t>2018 net emissions (kt CO</w:t>
            </w:r>
            <w:r w:rsidRPr="00BE78CA">
              <w:rPr>
                <w:rFonts w:eastAsia="Calibri"/>
                <w:noProof w:val="0"/>
                <w:color w:val="FFFFFF" w:themeColor="background1"/>
                <w:vertAlign w:val="subscript"/>
              </w:rPr>
              <w:t>2</w:t>
            </w:r>
            <w:r w:rsidRPr="00BE78CA">
              <w:rPr>
                <w:rFonts w:eastAsia="Calibri"/>
                <w:noProof w:val="0"/>
                <w:color w:val="FFFFFF" w:themeColor="background1"/>
              </w:rPr>
              <w:t>-e)</w:t>
            </w:r>
          </w:p>
        </w:tc>
      </w:tr>
      <w:tr w:rsidR="007E0025" w:rsidRPr="00BE78CA" w14:paraId="09E74ADA" w14:textId="77777777" w:rsidTr="00C26084">
        <w:trPr>
          <w:cantSplit/>
          <w:tblHeader/>
        </w:trPr>
        <w:tc>
          <w:tcPr>
            <w:tcW w:w="0" w:type="auto"/>
            <w:shd w:val="clear" w:color="auto" w:fill="365F91"/>
            <w:tcMar>
              <w:top w:w="0" w:type="dxa"/>
              <w:left w:w="85" w:type="dxa"/>
              <w:bottom w:w="0" w:type="dxa"/>
              <w:right w:w="85" w:type="dxa"/>
            </w:tcMar>
            <w:vAlign w:val="center"/>
          </w:tcPr>
          <w:p w14:paraId="16AA48B2" w14:textId="77777777" w:rsidR="007E0025" w:rsidRPr="00BE78CA" w:rsidRDefault="007E0025" w:rsidP="00986ECD">
            <w:pPr>
              <w:pStyle w:val="TableTextBold"/>
              <w:spacing w:before="40"/>
              <w:rPr>
                <w:rFonts w:eastAsia="Calibri"/>
                <w:noProof w:val="0"/>
                <w:color w:val="FFFFFF" w:themeColor="background1"/>
              </w:rPr>
            </w:pPr>
            <w:r w:rsidRPr="00BE78CA">
              <w:rPr>
                <w:rFonts w:eastAsia="Calibri"/>
                <w:noProof w:val="0"/>
                <w:color w:val="FFFFFF" w:themeColor="background1"/>
              </w:rPr>
              <w:t>Activities under the Kyoto Protocol</w:t>
            </w:r>
          </w:p>
        </w:tc>
        <w:tc>
          <w:tcPr>
            <w:tcW w:w="0" w:type="auto"/>
            <w:shd w:val="clear" w:color="auto" w:fill="365F91"/>
            <w:tcMar>
              <w:top w:w="0" w:type="dxa"/>
              <w:left w:w="85" w:type="dxa"/>
              <w:bottom w:w="0" w:type="dxa"/>
              <w:right w:w="85" w:type="dxa"/>
            </w:tcMar>
            <w:vAlign w:val="center"/>
          </w:tcPr>
          <w:p w14:paraId="1DB39C4C" w14:textId="77777777" w:rsidR="007E0025" w:rsidRPr="00BE78CA" w:rsidRDefault="007E0025" w:rsidP="00986ECD">
            <w:pPr>
              <w:pStyle w:val="TableTextBold"/>
              <w:spacing w:before="40"/>
              <w:jc w:val="center"/>
              <w:rPr>
                <w:rFonts w:eastAsia="Calibri"/>
                <w:noProof w:val="0"/>
                <w:color w:val="FFFFFF" w:themeColor="background1"/>
              </w:rPr>
            </w:pPr>
            <w:r w:rsidRPr="00BE78CA">
              <w:rPr>
                <w:rFonts w:eastAsia="Calibri"/>
                <w:noProof w:val="0"/>
                <w:color w:val="FFFFFF" w:themeColor="background1"/>
              </w:rPr>
              <w:t>2020 submission</w:t>
            </w:r>
          </w:p>
        </w:tc>
        <w:tc>
          <w:tcPr>
            <w:tcW w:w="0" w:type="auto"/>
            <w:shd w:val="clear" w:color="auto" w:fill="365F91"/>
            <w:tcMar>
              <w:top w:w="0" w:type="dxa"/>
              <w:left w:w="85" w:type="dxa"/>
              <w:bottom w:w="0" w:type="dxa"/>
              <w:right w:w="85" w:type="dxa"/>
            </w:tcMar>
            <w:vAlign w:val="center"/>
          </w:tcPr>
          <w:p w14:paraId="0E7FDBF7" w14:textId="77777777" w:rsidR="007E0025" w:rsidRPr="00BE78CA" w:rsidRDefault="007E0025" w:rsidP="00986ECD">
            <w:pPr>
              <w:pStyle w:val="TableTextBold"/>
              <w:spacing w:before="40"/>
              <w:jc w:val="center"/>
              <w:rPr>
                <w:noProof w:val="0"/>
                <w:color w:val="FFFFFF" w:themeColor="background1"/>
              </w:rPr>
            </w:pPr>
            <w:r w:rsidRPr="00BE78CA">
              <w:rPr>
                <w:rFonts w:eastAsia="Calibri"/>
                <w:noProof w:val="0"/>
                <w:color w:val="FFFFFF" w:themeColor="background1"/>
              </w:rPr>
              <w:t>2021 submission</w:t>
            </w:r>
          </w:p>
        </w:tc>
        <w:tc>
          <w:tcPr>
            <w:tcW w:w="0" w:type="auto"/>
            <w:shd w:val="clear" w:color="auto" w:fill="365F91"/>
            <w:tcMar>
              <w:top w:w="0" w:type="dxa"/>
              <w:left w:w="85" w:type="dxa"/>
              <w:bottom w:w="0" w:type="dxa"/>
              <w:right w:w="85" w:type="dxa"/>
            </w:tcMar>
            <w:vAlign w:val="center"/>
          </w:tcPr>
          <w:p w14:paraId="5A2649BA" w14:textId="77777777" w:rsidR="007E0025" w:rsidRPr="00BE78CA" w:rsidRDefault="007E0025" w:rsidP="00986ECD">
            <w:pPr>
              <w:pStyle w:val="TableTextBold"/>
              <w:spacing w:before="40"/>
              <w:jc w:val="center"/>
              <w:rPr>
                <w:rFonts w:eastAsia="Calibri"/>
                <w:noProof w:val="0"/>
                <w:color w:val="FFFFFF" w:themeColor="background1"/>
              </w:rPr>
            </w:pPr>
            <w:r w:rsidRPr="00BE78CA">
              <w:rPr>
                <w:rFonts w:eastAsia="Calibri"/>
                <w:noProof w:val="0"/>
                <w:color w:val="FFFFFF" w:themeColor="background1"/>
              </w:rPr>
              <w:t>Change from 2020 submission (%)</w:t>
            </w:r>
          </w:p>
        </w:tc>
      </w:tr>
      <w:tr w:rsidR="007E0025" w:rsidRPr="00BE78CA" w14:paraId="60F8FA6C" w14:textId="77777777" w:rsidTr="00C26084">
        <w:trPr>
          <w:cantSplit/>
        </w:trPr>
        <w:tc>
          <w:tcPr>
            <w:tcW w:w="0" w:type="auto"/>
            <w:shd w:val="clear" w:color="auto" w:fill="auto"/>
            <w:tcMar>
              <w:top w:w="0" w:type="dxa"/>
              <w:left w:w="85" w:type="dxa"/>
              <w:bottom w:w="0" w:type="dxa"/>
              <w:right w:w="85" w:type="dxa"/>
            </w:tcMar>
            <w:vAlign w:val="center"/>
          </w:tcPr>
          <w:p w14:paraId="092F3E5A" w14:textId="77777777" w:rsidR="007E0025" w:rsidRPr="00BE78CA" w:rsidRDefault="007E0025" w:rsidP="00986ECD">
            <w:pPr>
              <w:pStyle w:val="TableText"/>
              <w:rPr>
                <w:rFonts w:eastAsia="Calibri"/>
              </w:rPr>
            </w:pPr>
            <w:r w:rsidRPr="00BE78CA">
              <w:rPr>
                <w:rFonts w:eastAsia="Calibri"/>
              </w:rPr>
              <w:t>Afforestation/reforestation</w:t>
            </w:r>
          </w:p>
        </w:tc>
        <w:tc>
          <w:tcPr>
            <w:tcW w:w="0" w:type="auto"/>
            <w:shd w:val="clear" w:color="auto" w:fill="auto"/>
            <w:tcMar>
              <w:top w:w="0" w:type="dxa"/>
              <w:left w:w="85" w:type="dxa"/>
              <w:bottom w:w="0" w:type="dxa"/>
              <w:right w:w="85" w:type="dxa"/>
            </w:tcMar>
            <w:vAlign w:val="center"/>
          </w:tcPr>
          <w:p w14:paraId="7477BC2A" w14:textId="77777777" w:rsidR="007E0025" w:rsidRPr="00BE78CA" w:rsidRDefault="007E0025" w:rsidP="00986ECD">
            <w:pPr>
              <w:pStyle w:val="TableText"/>
              <w:jc w:val="center"/>
              <w:rPr>
                <w:rFonts w:eastAsia="Calibri"/>
              </w:rPr>
            </w:pPr>
            <w:r w:rsidRPr="00BE78CA">
              <w:rPr>
                <w:rFonts w:eastAsia="Calibri"/>
              </w:rPr>
              <w:t>–17,593.2</w:t>
            </w:r>
          </w:p>
        </w:tc>
        <w:tc>
          <w:tcPr>
            <w:tcW w:w="0" w:type="auto"/>
            <w:shd w:val="clear" w:color="auto" w:fill="auto"/>
            <w:tcMar>
              <w:top w:w="0" w:type="dxa"/>
              <w:left w:w="85" w:type="dxa"/>
              <w:bottom w:w="0" w:type="dxa"/>
              <w:right w:w="85" w:type="dxa"/>
            </w:tcMar>
            <w:vAlign w:val="center"/>
          </w:tcPr>
          <w:p w14:paraId="307A7D50" w14:textId="77777777" w:rsidR="007E0025" w:rsidRPr="00BE78CA" w:rsidRDefault="007E0025" w:rsidP="00986ECD">
            <w:pPr>
              <w:pStyle w:val="TableText"/>
              <w:jc w:val="center"/>
              <w:rPr>
                <w:rFonts w:eastAsia="Calibri"/>
              </w:rPr>
            </w:pPr>
            <w:r w:rsidRPr="00BE78CA">
              <w:rPr>
                <w:rFonts w:eastAsia="Calibri"/>
              </w:rPr>
              <w:t>–17,197.6</w:t>
            </w:r>
          </w:p>
        </w:tc>
        <w:tc>
          <w:tcPr>
            <w:tcW w:w="0" w:type="auto"/>
            <w:shd w:val="clear" w:color="auto" w:fill="auto"/>
            <w:tcMar>
              <w:top w:w="0" w:type="dxa"/>
              <w:left w:w="85" w:type="dxa"/>
              <w:bottom w:w="0" w:type="dxa"/>
              <w:right w:w="85" w:type="dxa"/>
            </w:tcMar>
            <w:vAlign w:val="center"/>
          </w:tcPr>
          <w:p w14:paraId="662628D2" w14:textId="77777777" w:rsidR="007E0025" w:rsidRPr="00BE78CA" w:rsidRDefault="007E0025" w:rsidP="00986ECD">
            <w:pPr>
              <w:pStyle w:val="TableText"/>
              <w:jc w:val="center"/>
              <w:rPr>
                <w:rFonts w:eastAsia="Calibri"/>
              </w:rPr>
            </w:pPr>
            <w:r w:rsidRPr="00BE78CA">
              <w:rPr>
                <w:rFonts w:eastAsia="Calibri"/>
              </w:rPr>
              <w:t>2.2</w:t>
            </w:r>
          </w:p>
        </w:tc>
      </w:tr>
      <w:tr w:rsidR="007E0025" w:rsidRPr="00BE78CA" w14:paraId="6B86C63B" w14:textId="77777777" w:rsidTr="00C26084">
        <w:trPr>
          <w:cantSplit/>
        </w:trPr>
        <w:tc>
          <w:tcPr>
            <w:tcW w:w="0" w:type="auto"/>
            <w:shd w:val="clear" w:color="auto" w:fill="FFFFFF"/>
            <w:tcMar>
              <w:top w:w="0" w:type="dxa"/>
              <w:left w:w="85" w:type="dxa"/>
              <w:bottom w:w="0" w:type="dxa"/>
              <w:right w:w="85" w:type="dxa"/>
            </w:tcMar>
            <w:vAlign w:val="center"/>
          </w:tcPr>
          <w:p w14:paraId="4AABDDEC" w14:textId="77777777" w:rsidR="007E0025" w:rsidRPr="00BE78CA" w:rsidRDefault="007E0025" w:rsidP="00986ECD">
            <w:pPr>
              <w:pStyle w:val="TableText"/>
            </w:pPr>
            <w:r w:rsidRPr="00BE78CA">
              <w:rPr>
                <w:rFonts w:eastAsia="Calibri"/>
              </w:rPr>
              <w:t>Deforestation</w:t>
            </w:r>
          </w:p>
        </w:tc>
        <w:tc>
          <w:tcPr>
            <w:tcW w:w="0" w:type="auto"/>
            <w:shd w:val="clear" w:color="auto" w:fill="FFFFFF"/>
            <w:tcMar>
              <w:top w:w="0" w:type="dxa"/>
              <w:left w:w="85" w:type="dxa"/>
              <w:bottom w:w="0" w:type="dxa"/>
              <w:right w:w="85" w:type="dxa"/>
            </w:tcMar>
            <w:vAlign w:val="center"/>
          </w:tcPr>
          <w:p w14:paraId="3E6D74A9" w14:textId="77777777" w:rsidR="007E0025" w:rsidRPr="00BE78CA" w:rsidRDefault="007E0025" w:rsidP="00986ECD">
            <w:pPr>
              <w:pStyle w:val="TableText"/>
              <w:jc w:val="center"/>
            </w:pPr>
            <w:r w:rsidRPr="00BE78CA">
              <w:rPr>
                <w:rFonts w:eastAsia="Calibri"/>
              </w:rPr>
              <w:t>2,146.2</w:t>
            </w:r>
          </w:p>
        </w:tc>
        <w:tc>
          <w:tcPr>
            <w:tcW w:w="0" w:type="auto"/>
            <w:shd w:val="clear" w:color="auto" w:fill="FFFFFF"/>
            <w:tcMar>
              <w:top w:w="0" w:type="dxa"/>
              <w:left w:w="85" w:type="dxa"/>
              <w:bottom w:w="0" w:type="dxa"/>
              <w:right w:w="85" w:type="dxa"/>
            </w:tcMar>
            <w:vAlign w:val="center"/>
          </w:tcPr>
          <w:p w14:paraId="08214DA4" w14:textId="77777777" w:rsidR="007E0025" w:rsidRPr="00BE78CA" w:rsidRDefault="007E0025" w:rsidP="00986ECD">
            <w:pPr>
              <w:pStyle w:val="TableText"/>
              <w:jc w:val="center"/>
            </w:pPr>
            <w:r w:rsidRPr="00BE78CA">
              <w:rPr>
                <w:rFonts w:eastAsia="Calibri"/>
              </w:rPr>
              <w:t>2,269.9</w:t>
            </w:r>
          </w:p>
        </w:tc>
        <w:tc>
          <w:tcPr>
            <w:tcW w:w="0" w:type="auto"/>
            <w:shd w:val="clear" w:color="auto" w:fill="FFFFFF"/>
            <w:tcMar>
              <w:top w:w="0" w:type="dxa"/>
              <w:left w:w="85" w:type="dxa"/>
              <w:bottom w:w="0" w:type="dxa"/>
              <w:right w:w="85" w:type="dxa"/>
            </w:tcMar>
            <w:vAlign w:val="center"/>
          </w:tcPr>
          <w:p w14:paraId="00AC42AE" w14:textId="77777777" w:rsidR="007E0025" w:rsidRPr="00BE78CA" w:rsidRDefault="007E0025" w:rsidP="00986ECD">
            <w:pPr>
              <w:pStyle w:val="TableText"/>
              <w:jc w:val="center"/>
            </w:pPr>
            <w:r w:rsidRPr="00BE78CA">
              <w:rPr>
                <w:rFonts w:eastAsia="Calibri"/>
              </w:rPr>
              <w:t>5.8</w:t>
            </w:r>
          </w:p>
        </w:tc>
      </w:tr>
      <w:tr w:rsidR="007E0025" w:rsidRPr="00BE78CA" w14:paraId="6FB52E3E" w14:textId="77777777" w:rsidTr="00C26084">
        <w:trPr>
          <w:cantSplit/>
        </w:trPr>
        <w:tc>
          <w:tcPr>
            <w:tcW w:w="0" w:type="auto"/>
            <w:shd w:val="clear" w:color="auto" w:fill="FFFFFF"/>
            <w:tcMar>
              <w:top w:w="0" w:type="dxa"/>
              <w:left w:w="85" w:type="dxa"/>
              <w:bottom w:w="0" w:type="dxa"/>
              <w:right w:w="85" w:type="dxa"/>
            </w:tcMar>
            <w:vAlign w:val="center"/>
          </w:tcPr>
          <w:p w14:paraId="2C6FA80B" w14:textId="77777777" w:rsidR="007E0025" w:rsidRPr="00BE78CA" w:rsidRDefault="007E0025" w:rsidP="00986ECD">
            <w:pPr>
              <w:pStyle w:val="TableText"/>
            </w:pPr>
            <w:r w:rsidRPr="00BE78CA">
              <w:rPr>
                <w:rFonts w:eastAsia="Calibri"/>
              </w:rPr>
              <w:t>Forest management</w:t>
            </w:r>
          </w:p>
        </w:tc>
        <w:tc>
          <w:tcPr>
            <w:tcW w:w="0" w:type="auto"/>
            <w:shd w:val="clear" w:color="auto" w:fill="FFFFFF"/>
            <w:tcMar>
              <w:top w:w="0" w:type="dxa"/>
              <w:left w:w="85" w:type="dxa"/>
              <w:bottom w:w="0" w:type="dxa"/>
              <w:right w:w="85" w:type="dxa"/>
            </w:tcMar>
            <w:vAlign w:val="center"/>
          </w:tcPr>
          <w:p w14:paraId="528E6E82" w14:textId="77777777" w:rsidR="007E0025" w:rsidRPr="00BE78CA" w:rsidRDefault="007E0025" w:rsidP="00986ECD">
            <w:pPr>
              <w:pStyle w:val="TableText"/>
              <w:jc w:val="center"/>
            </w:pPr>
            <w:r w:rsidRPr="00BE78CA">
              <w:rPr>
                <w:rFonts w:eastAsia="Calibri"/>
              </w:rPr>
              <w:t>–13,898.9</w:t>
            </w:r>
          </w:p>
        </w:tc>
        <w:tc>
          <w:tcPr>
            <w:tcW w:w="0" w:type="auto"/>
            <w:shd w:val="clear" w:color="auto" w:fill="FFFFFF"/>
            <w:tcMar>
              <w:top w:w="0" w:type="dxa"/>
              <w:left w:w="85" w:type="dxa"/>
              <w:bottom w:w="0" w:type="dxa"/>
              <w:right w:w="85" w:type="dxa"/>
            </w:tcMar>
            <w:vAlign w:val="center"/>
          </w:tcPr>
          <w:p w14:paraId="3D325A20" w14:textId="77777777" w:rsidR="007E0025" w:rsidRPr="00BE78CA" w:rsidRDefault="007E0025" w:rsidP="00986ECD">
            <w:pPr>
              <w:pStyle w:val="TableText"/>
              <w:jc w:val="center"/>
            </w:pPr>
            <w:r w:rsidRPr="00BE78CA">
              <w:rPr>
                <w:rFonts w:eastAsia="Calibri"/>
              </w:rPr>
              <w:t>–18,509.3</w:t>
            </w:r>
          </w:p>
        </w:tc>
        <w:tc>
          <w:tcPr>
            <w:tcW w:w="0" w:type="auto"/>
            <w:shd w:val="clear" w:color="auto" w:fill="FFFFFF"/>
            <w:tcMar>
              <w:top w:w="0" w:type="dxa"/>
              <w:left w:w="85" w:type="dxa"/>
              <w:bottom w:w="0" w:type="dxa"/>
              <w:right w:w="85" w:type="dxa"/>
            </w:tcMar>
            <w:vAlign w:val="center"/>
          </w:tcPr>
          <w:p w14:paraId="4FB862DA" w14:textId="77777777" w:rsidR="007E0025" w:rsidRPr="00BE78CA" w:rsidRDefault="007E0025" w:rsidP="00986ECD">
            <w:pPr>
              <w:pStyle w:val="TableText"/>
              <w:jc w:val="center"/>
            </w:pPr>
            <w:r w:rsidRPr="00BE78CA">
              <w:rPr>
                <w:rFonts w:eastAsia="Calibri"/>
              </w:rPr>
              <w:t>–33.2</w:t>
            </w:r>
          </w:p>
        </w:tc>
      </w:tr>
      <w:tr w:rsidR="007E0025" w:rsidRPr="00BE78CA" w14:paraId="1855AA8D" w14:textId="77777777" w:rsidTr="00C26084">
        <w:trPr>
          <w:cantSplit/>
        </w:trPr>
        <w:tc>
          <w:tcPr>
            <w:tcW w:w="0" w:type="auto"/>
            <w:shd w:val="clear" w:color="auto" w:fill="FFFFFF"/>
            <w:tcMar>
              <w:top w:w="0" w:type="dxa"/>
              <w:left w:w="85" w:type="dxa"/>
              <w:bottom w:w="0" w:type="dxa"/>
              <w:right w:w="85" w:type="dxa"/>
            </w:tcMar>
            <w:vAlign w:val="center"/>
          </w:tcPr>
          <w:p w14:paraId="14BBF3B1" w14:textId="77777777" w:rsidR="007E0025" w:rsidRPr="00BE78CA" w:rsidRDefault="007E0025" w:rsidP="00986ECD">
            <w:pPr>
              <w:pStyle w:val="TableText"/>
            </w:pPr>
            <w:r w:rsidRPr="00BE78CA">
              <w:rPr>
                <w:rFonts w:eastAsia="Calibri"/>
              </w:rPr>
              <w:t>Total</w:t>
            </w:r>
          </w:p>
        </w:tc>
        <w:tc>
          <w:tcPr>
            <w:tcW w:w="0" w:type="auto"/>
            <w:shd w:val="clear" w:color="auto" w:fill="FFFFFF"/>
            <w:tcMar>
              <w:top w:w="0" w:type="dxa"/>
              <w:left w:w="85" w:type="dxa"/>
              <w:bottom w:w="0" w:type="dxa"/>
              <w:right w:w="85" w:type="dxa"/>
            </w:tcMar>
            <w:vAlign w:val="center"/>
          </w:tcPr>
          <w:p w14:paraId="098087D3" w14:textId="77777777" w:rsidR="007E0025" w:rsidRPr="00BE78CA" w:rsidRDefault="007E0025" w:rsidP="00986ECD">
            <w:pPr>
              <w:pStyle w:val="TableText"/>
              <w:jc w:val="center"/>
            </w:pPr>
            <w:r w:rsidRPr="00BE78CA">
              <w:rPr>
                <w:rFonts w:eastAsia="Calibri"/>
              </w:rPr>
              <w:t>–29,346.0</w:t>
            </w:r>
          </w:p>
        </w:tc>
        <w:tc>
          <w:tcPr>
            <w:tcW w:w="0" w:type="auto"/>
            <w:shd w:val="clear" w:color="auto" w:fill="FFFFFF"/>
            <w:tcMar>
              <w:top w:w="0" w:type="dxa"/>
              <w:left w:w="85" w:type="dxa"/>
              <w:bottom w:w="0" w:type="dxa"/>
              <w:right w:w="85" w:type="dxa"/>
            </w:tcMar>
            <w:vAlign w:val="center"/>
          </w:tcPr>
          <w:p w14:paraId="22E757CF" w14:textId="77777777" w:rsidR="007E0025" w:rsidRPr="00BE78CA" w:rsidRDefault="007E0025" w:rsidP="00986ECD">
            <w:pPr>
              <w:pStyle w:val="TableText"/>
              <w:jc w:val="center"/>
            </w:pPr>
            <w:r w:rsidRPr="00BE78CA">
              <w:rPr>
                <w:rFonts w:eastAsia="Calibri"/>
              </w:rPr>
              <w:t>–33,437.0</w:t>
            </w:r>
          </w:p>
        </w:tc>
        <w:tc>
          <w:tcPr>
            <w:tcW w:w="0" w:type="auto"/>
            <w:shd w:val="clear" w:color="auto" w:fill="FFFFFF"/>
            <w:tcMar>
              <w:top w:w="0" w:type="dxa"/>
              <w:left w:w="85" w:type="dxa"/>
              <w:bottom w:w="0" w:type="dxa"/>
              <w:right w:w="85" w:type="dxa"/>
            </w:tcMar>
            <w:vAlign w:val="center"/>
          </w:tcPr>
          <w:p w14:paraId="202075D8" w14:textId="77777777" w:rsidR="007E0025" w:rsidRPr="00BE78CA" w:rsidRDefault="007E0025" w:rsidP="00986ECD">
            <w:pPr>
              <w:pStyle w:val="TableText"/>
              <w:jc w:val="center"/>
            </w:pPr>
            <w:r w:rsidRPr="00BE78CA">
              <w:rPr>
                <w:rFonts w:eastAsia="Calibri"/>
              </w:rPr>
              <w:t>–13.9</w:t>
            </w:r>
          </w:p>
        </w:tc>
      </w:tr>
    </w:tbl>
    <w:p w14:paraId="297C96DA" w14:textId="77777777" w:rsidR="007E0025" w:rsidRPr="00BE78CA" w:rsidRDefault="007E0025" w:rsidP="007E0025">
      <w:pPr>
        <w:pStyle w:val="Noteundertable"/>
      </w:pPr>
      <w:r w:rsidRPr="00BE78CA">
        <w:rPr>
          <w:b/>
        </w:rPr>
        <w:t>Note:</w:t>
      </w:r>
      <w:r w:rsidRPr="00BE78CA">
        <w:t xml:space="preserve"> </w:t>
      </w:r>
      <w:r w:rsidRPr="00BE78CA">
        <w:tab/>
        <w:t>Net emissions are expressed as a negative value to help clarify that the value is a removal and not an emission. Percentages presented are calculated from unrounded values.</w:t>
      </w:r>
    </w:p>
    <w:p w14:paraId="2BB3E271" w14:textId="77777777" w:rsidR="007E0025" w:rsidRPr="00BE78CA" w:rsidRDefault="007E0025" w:rsidP="00336157">
      <w:pPr>
        <w:pStyle w:val="Table"/>
      </w:pPr>
      <w:bookmarkStart w:id="3311" w:name="_Toc68786588"/>
      <w:r w:rsidRPr="00BE78CA">
        <w:t xml:space="preserve">Table 10.1.13 </w:t>
      </w:r>
      <w:r w:rsidRPr="00BE78CA">
        <w:tab/>
        <w:t>Recalculations to New Zealand’s 2018 activity data under the Kyoto Protocol</w:t>
      </w:r>
      <w:bookmarkEnd w:id="3311"/>
    </w:p>
    <w:tbl>
      <w:tblPr>
        <w:tblW w:w="8494" w:type="dxa"/>
        <w:tblBorders>
          <w:top w:val="single" w:sz="4" w:space="0" w:color="365F91"/>
          <w:bottom w:val="single" w:sz="4" w:space="0" w:color="365F91"/>
          <w:insideH w:val="single" w:sz="4" w:space="0" w:color="365F91"/>
        </w:tblBorders>
        <w:tblLayout w:type="fixed"/>
        <w:tblLook w:val="0420" w:firstRow="1" w:lastRow="0" w:firstColumn="0" w:lastColumn="0" w:noHBand="0" w:noVBand="1"/>
      </w:tblPr>
      <w:tblGrid>
        <w:gridCol w:w="2843"/>
        <w:gridCol w:w="1451"/>
        <w:gridCol w:w="1451"/>
        <w:gridCol w:w="2749"/>
      </w:tblGrid>
      <w:tr w:rsidR="007E0025" w:rsidRPr="00BE78CA" w14:paraId="1B79A581" w14:textId="77777777" w:rsidTr="00EB70EF">
        <w:trPr>
          <w:cantSplit/>
          <w:tblHeader/>
        </w:trPr>
        <w:tc>
          <w:tcPr>
            <w:tcW w:w="8494" w:type="dxa"/>
            <w:gridSpan w:val="4"/>
            <w:shd w:val="clear" w:color="auto" w:fill="365F91"/>
            <w:tcMar>
              <w:top w:w="0" w:type="dxa"/>
              <w:left w:w="85" w:type="dxa"/>
              <w:bottom w:w="0" w:type="dxa"/>
              <w:right w:w="85" w:type="dxa"/>
            </w:tcMar>
          </w:tcPr>
          <w:p w14:paraId="2F02DA33" w14:textId="77777777" w:rsidR="007E0025" w:rsidRPr="00BE78CA" w:rsidRDefault="007E0025" w:rsidP="00986ECD">
            <w:pPr>
              <w:pStyle w:val="TableTextBold"/>
              <w:jc w:val="center"/>
              <w:rPr>
                <w:noProof w:val="0"/>
                <w:color w:val="FFFFFF" w:themeColor="background1"/>
              </w:rPr>
            </w:pPr>
            <w:r w:rsidRPr="00BE78CA">
              <w:rPr>
                <w:rFonts w:eastAsia="Calibri"/>
                <w:noProof w:val="0"/>
                <w:color w:val="FFFFFF" w:themeColor="background1"/>
              </w:rPr>
              <w:t>Cumulative area as at 2018 (ha)</w:t>
            </w:r>
          </w:p>
        </w:tc>
      </w:tr>
      <w:tr w:rsidR="007E0025" w:rsidRPr="00BE78CA" w14:paraId="66815E98" w14:textId="77777777" w:rsidTr="00EB70EF">
        <w:trPr>
          <w:cantSplit/>
        </w:trPr>
        <w:tc>
          <w:tcPr>
            <w:tcW w:w="2843" w:type="dxa"/>
            <w:shd w:val="clear" w:color="auto" w:fill="365F91"/>
            <w:tcMar>
              <w:top w:w="0" w:type="dxa"/>
              <w:left w:w="85" w:type="dxa"/>
              <w:bottom w:w="0" w:type="dxa"/>
              <w:right w:w="85" w:type="dxa"/>
            </w:tcMar>
          </w:tcPr>
          <w:p w14:paraId="24CF0A93" w14:textId="77777777" w:rsidR="007E0025" w:rsidRPr="00BE78CA" w:rsidRDefault="007E0025" w:rsidP="00986ECD">
            <w:pPr>
              <w:pStyle w:val="TableTextBold"/>
              <w:spacing w:before="40"/>
              <w:rPr>
                <w:noProof w:val="0"/>
                <w:color w:val="FFFFFF" w:themeColor="background1"/>
              </w:rPr>
            </w:pPr>
            <w:r w:rsidRPr="00BE78CA">
              <w:rPr>
                <w:rFonts w:eastAsia="Calibri"/>
                <w:noProof w:val="0"/>
                <w:color w:val="FFFFFF" w:themeColor="background1"/>
              </w:rPr>
              <w:t>Activities under the Kyoto Protocol</w:t>
            </w:r>
          </w:p>
        </w:tc>
        <w:tc>
          <w:tcPr>
            <w:tcW w:w="1451" w:type="dxa"/>
            <w:tcBorders>
              <w:bottom w:val="single" w:sz="4" w:space="0" w:color="365F91"/>
            </w:tcBorders>
            <w:shd w:val="clear" w:color="auto" w:fill="365F91"/>
            <w:tcMar>
              <w:top w:w="0" w:type="dxa"/>
              <w:left w:w="85" w:type="dxa"/>
              <w:bottom w:w="0" w:type="dxa"/>
              <w:right w:w="85" w:type="dxa"/>
            </w:tcMar>
          </w:tcPr>
          <w:p w14:paraId="35D57289" w14:textId="77777777" w:rsidR="007E0025" w:rsidRPr="00BE78CA" w:rsidRDefault="007E0025" w:rsidP="00986ECD">
            <w:pPr>
              <w:pStyle w:val="TableTextBold"/>
              <w:spacing w:before="40"/>
              <w:jc w:val="center"/>
              <w:rPr>
                <w:noProof w:val="0"/>
                <w:color w:val="FFFFFF" w:themeColor="background1"/>
              </w:rPr>
            </w:pPr>
            <w:r w:rsidRPr="00BE78CA">
              <w:rPr>
                <w:rFonts w:eastAsia="Calibri"/>
                <w:noProof w:val="0"/>
                <w:color w:val="FFFFFF" w:themeColor="background1"/>
              </w:rPr>
              <w:t>2020 submission</w:t>
            </w:r>
          </w:p>
        </w:tc>
        <w:tc>
          <w:tcPr>
            <w:tcW w:w="1451" w:type="dxa"/>
            <w:tcBorders>
              <w:bottom w:val="single" w:sz="4" w:space="0" w:color="365F91"/>
            </w:tcBorders>
            <w:shd w:val="clear" w:color="auto" w:fill="365F91"/>
            <w:tcMar>
              <w:top w:w="0" w:type="dxa"/>
              <w:left w:w="85" w:type="dxa"/>
              <w:bottom w:w="0" w:type="dxa"/>
              <w:right w:w="85" w:type="dxa"/>
            </w:tcMar>
          </w:tcPr>
          <w:p w14:paraId="5897B009" w14:textId="77777777" w:rsidR="007E0025" w:rsidRPr="00BE78CA" w:rsidRDefault="007E0025" w:rsidP="00986ECD">
            <w:pPr>
              <w:pStyle w:val="TableTextBold"/>
              <w:spacing w:before="40"/>
              <w:jc w:val="center"/>
              <w:rPr>
                <w:noProof w:val="0"/>
                <w:color w:val="FFFFFF" w:themeColor="background1"/>
              </w:rPr>
            </w:pPr>
            <w:r w:rsidRPr="00BE78CA">
              <w:rPr>
                <w:rFonts w:eastAsia="Calibri"/>
                <w:noProof w:val="0"/>
                <w:color w:val="FFFFFF" w:themeColor="background1"/>
              </w:rPr>
              <w:t>2021 submission</w:t>
            </w:r>
          </w:p>
        </w:tc>
        <w:tc>
          <w:tcPr>
            <w:tcW w:w="2749" w:type="dxa"/>
            <w:tcBorders>
              <w:bottom w:val="single" w:sz="4" w:space="0" w:color="365F91"/>
            </w:tcBorders>
            <w:shd w:val="clear" w:color="auto" w:fill="365F91"/>
            <w:tcMar>
              <w:top w:w="0" w:type="dxa"/>
              <w:left w:w="85" w:type="dxa"/>
              <w:bottom w:w="0" w:type="dxa"/>
              <w:right w:w="85" w:type="dxa"/>
            </w:tcMar>
          </w:tcPr>
          <w:p w14:paraId="4E4920EF" w14:textId="77777777" w:rsidR="007E0025" w:rsidRPr="00BE78CA" w:rsidRDefault="007E0025" w:rsidP="00986ECD">
            <w:pPr>
              <w:pStyle w:val="TableTextBold"/>
              <w:spacing w:before="40"/>
              <w:jc w:val="center"/>
              <w:rPr>
                <w:noProof w:val="0"/>
                <w:color w:val="FFFFFF" w:themeColor="background1"/>
              </w:rPr>
            </w:pPr>
            <w:r w:rsidRPr="00BE78CA">
              <w:rPr>
                <w:rFonts w:eastAsia="Calibri"/>
                <w:noProof w:val="0"/>
                <w:color w:val="FFFFFF" w:themeColor="background1"/>
              </w:rPr>
              <w:t>Change from 2020 submission (%)</w:t>
            </w:r>
          </w:p>
        </w:tc>
      </w:tr>
      <w:tr w:rsidR="007E0025" w:rsidRPr="00BE78CA" w14:paraId="59B07180" w14:textId="77777777" w:rsidTr="00EB70EF">
        <w:trPr>
          <w:cantSplit/>
        </w:trPr>
        <w:tc>
          <w:tcPr>
            <w:tcW w:w="2843" w:type="dxa"/>
            <w:tcBorders>
              <w:right w:val="single" w:sz="4" w:space="0" w:color="365F91"/>
            </w:tcBorders>
            <w:shd w:val="clear" w:color="auto" w:fill="FFFFFF"/>
            <w:tcMar>
              <w:top w:w="0" w:type="dxa"/>
              <w:left w:w="85" w:type="dxa"/>
              <w:bottom w:w="0" w:type="dxa"/>
              <w:right w:w="85" w:type="dxa"/>
            </w:tcMar>
          </w:tcPr>
          <w:p w14:paraId="0C16CB08" w14:textId="77777777" w:rsidR="007E0025" w:rsidRPr="00BE78CA" w:rsidRDefault="007E0025" w:rsidP="00986ECD">
            <w:pPr>
              <w:pStyle w:val="TableText"/>
            </w:pPr>
            <w:r w:rsidRPr="00BE78CA">
              <w:rPr>
                <w:rFonts w:eastAsia="Calibri"/>
              </w:rPr>
              <w:t>Afforestation/reforestation</w:t>
            </w:r>
          </w:p>
        </w:tc>
        <w:tc>
          <w:tcPr>
            <w:tcW w:w="1451" w:type="dxa"/>
            <w:tcBorders>
              <w:left w:val="single" w:sz="4" w:space="0" w:color="365F91"/>
              <w:right w:val="single" w:sz="4" w:space="0" w:color="365F91"/>
            </w:tcBorders>
            <w:shd w:val="clear" w:color="auto" w:fill="FFFFFF"/>
            <w:tcMar>
              <w:top w:w="0" w:type="dxa"/>
              <w:left w:w="85" w:type="dxa"/>
              <w:bottom w:w="0" w:type="dxa"/>
              <w:right w:w="85" w:type="dxa"/>
            </w:tcMar>
          </w:tcPr>
          <w:p w14:paraId="6177B544" w14:textId="77777777" w:rsidR="007E0025" w:rsidRPr="00BE78CA" w:rsidRDefault="007E0025" w:rsidP="00986ECD">
            <w:pPr>
              <w:pStyle w:val="TableText"/>
              <w:jc w:val="center"/>
            </w:pPr>
            <w:r w:rsidRPr="00BE78CA">
              <w:rPr>
                <w:rFonts w:eastAsia="Calibri"/>
              </w:rPr>
              <w:t>698,497</w:t>
            </w:r>
          </w:p>
        </w:tc>
        <w:tc>
          <w:tcPr>
            <w:tcW w:w="1451" w:type="dxa"/>
            <w:tcBorders>
              <w:left w:val="single" w:sz="4" w:space="0" w:color="365F91"/>
              <w:right w:val="single" w:sz="4" w:space="0" w:color="365F91"/>
            </w:tcBorders>
            <w:shd w:val="clear" w:color="auto" w:fill="FFFFFF"/>
            <w:tcMar>
              <w:top w:w="0" w:type="dxa"/>
              <w:left w:w="85" w:type="dxa"/>
              <w:bottom w:w="0" w:type="dxa"/>
              <w:right w:w="85" w:type="dxa"/>
            </w:tcMar>
          </w:tcPr>
          <w:p w14:paraId="4871D6DB" w14:textId="77777777" w:rsidR="007E0025" w:rsidRPr="00BE78CA" w:rsidRDefault="007E0025" w:rsidP="00986ECD">
            <w:pPr>
              <w:pStyle w:val="TableText"/>
              <w:jc w:val="center"/>
            </w:pPr>
            <w:r w:rsidRPr="00BE78CA">
              <w:rPr>
                <w:rFonts w:eastAsia="Calibri"/>
              </w:rPr>
              <w:t>716,331</w:t>
            </w:r>
          </w:p>
        </w:tc>
        <w:tc>
          <w:tcPr>
            <w:tcW w:w="2749" w:type="dxa"/>
            <w:tcBorders>
              <w:left w:val="single" w:sz="4" w:space="0" w:color="365F91"/>
            </w:tcBorders>
            <w:shd w:val="clear" w:color="auto" w:fill="FFFFFF"/>
            <w:tcMar>
              <w:top w:w="0" w:type="dxa"/>
              <w:left w:w="85" w:type="dxa"/>
              <w:bottom w:w="0" w:type="dxa"/>
              <w:right w:w="85" w:type="dxa"/>
            </w:tcMar>
          </w:tcPr>
          <w:p w14:paraId="524C71A4" w14:textId="77777777" w:rsidR="007E0025" w:rsidRPr="00BE78CA" w:rsidRDefault="007E0025" w:rsidP="00986ECD">
            <w:pPr>
              <w:pStyle w:val="TableText"/>
              <w:jc w:val="center"/>
            </w:pPr>
            <w:r w:rsidRPr="00BE78CA">
              <w:rPr>
                <w:rFonts w:eastAsia="Calibri"/>
              </w:rPr>
              <w:t>2.6</w:t>
            </w:r>
          </w:p>
        </w:tc>
      </w:tr>
      <w:tr w:rsidR="007E0025" w:rsidRPr="00BE78CA" w14:paraId="37D4C433" w14:textId="77777777" w:rsidTr="00EB70EF">
        <w:trPr>
          <w:cantSplit/>
        </w:trPr>
        <w:tc>
          <w:tcPr>
            <w:tcW w:w="2843" w:type="dxa"/>
            <w:tcBorders>
              <w:right w:val="single" w:sz="4" w:space="0" w:color="365F91"/>
            </w:tcBorders>
            <w:shd w:val="clear" w:color="auto" w:fill="FFFFFF"/>
            <w:tcMar>
              <w:top w:w="0" w:type="dxa"/>
              <w:left w:w="85" w:type="dxa"/>
              <w:bottom w:w="0" w:type="dxa"/>
              <w:right w:w="85" w:type="dxa"/>
            </w:tcMar>
          </w:tcPr>
          <w:p w14:paraId="60FF1BEE" w14:textId="77777777" w:rsidR="007E0025" w:rsidRPr="00BE78CA" w:rsidRDefault="007E0025" w:rsidP="00986ECD">
            <w:pPr>
              <w:pStyle w:val="TableText"/>
            </w:pPr>
            <w:r w:rsidRPr="00BE78CA">
              <w:rPr>
                <w:rFonts w:eastAsia="Calibri"/>
              </w:rPr>
              <w:t>Deforestation</w:t>
            </w:r>
          </w:p>
        </w:tc>
        <w:tc>
          <w:tcPr>
            <w:tcW w:w="1451" w:type="dxa"/>
            <w:tcBorders>
              <w:left w:val="single" w:sz="4" w:space="0" w:color="365F91"/>
              <w:right w:val="single" w:sz="4" w:space="0" w:color="365F91"/>
            </w:tcBorders>
            <w:shd w:val="clear" w:color="auto" w:fill="FFFFFF"/>
            <w:tcMar>
              <w:top w:w="0" w:type="dxa"/>
              <w:left w:w="85" w:type="dxa"/>
              <w:bottom w:w="0" w:type="dxa"/>
              <w:right w:w="85" w:type="dxa"/>
            </w:tcMar>
          </w:tcPr>
          <w:p w14:paraId="35DF70E6" w14:textId="77777777" w:rsidR="007E0025" w:rsidRPr="00BE78CA" w:rsidRDefault="007E0025" w:rsidP="00986ECD">
            <w:pPr>
              <w:pStyle w:val="TableText"/>
              <w:jc w:val="center"/>
            </w:pPr>
            <w:r w:rsidRPr="00BE78CA">
              <w:rPr>
                <w:rFonts w:eastAsia="Calibri"/>
              </w:rPr>
              <w:t>201,206</w:t>
            </w:r>
          </w:p>
        </w:tc>
        <w:tc>
          <w:tcPr>
            <w:tcW w:w="1451" w:type="dxa"/>
            <w:tcBorders>
              <w:left w:val="single" w:sz="4" w:space="0" w:color="365F91"/>
              <w:right w:val="single" w:sz="4" w:space="0" w:color="365F91"/>
            </w:tcBorders>
            <w:shd w:val="clear" w:color="auto" w:fill="FFFFFF"/>
            <w:tcMar>
              <w:top w:w="0" w:type="dxa"/>
              <w:left w:w="85" w:type="dxa"/>
              <w:bottom w:w="0" w:type="dxa"/>
              <w:right w:w="85" w:type="dxa"/>
            </w:tcMar>
          </w:tcPr>
          <w:p w14:paraId="57FAEF8F" w14:textId="77777777" w:rsidR="007E0025" w:rsidRPr="00BE78CA" w:rsidRDefault="007E0025" w:rsidP="00986ECD">
            <w:pPr>
              <w:pStyle w:val="TableText"/>
              <w:jc w:val="center"/>
            </w:pPr>
            <w:r w:rsidRPr="00BE78CA">
              <w:rPr>
                <w:rFonts w:eastAsia="Calibri"/>
              </w:rPr>
              <w:t>197,896</w:t>
            </w:r>
          </w:p>
        </w:tc>
        <w:tc>
          <w:tcPr>
            <w:tcW w:w="2749" w:type="dxa"/>
            <w:tcBorders>
              <w:left w:val="single" w:sz="4" w:space="0" w:color="365F91"/>
            </w:tcBorders>
            <w:shd w:val="clear" w:color="auto" w:fill="FFFFFF"/>
            <w:tcMar>
              <w:top w:w="0" w:type="dxa"/>
              <w:left w:w="85" w:type="dxa"/>
              <w:bottom w:w="0" w:type="dxa"/>
              <w:right w:w="85" w:type="dxa"/>
            </w:tcMar>
          </w:tcPr>
          <w:p w14:paraId="50C53024" w14:textId="77777777" w:rsidR="007E0025" w:rsidRPr="00BE78CA" w:rsidRDefault="007E0025" w:rsidP="00986ECD">
            <w:pPr>
              <w:pStyle w:val="TableText"/>
              <w:jc w:val="center"/>
            </w:pPr>
            <w:r w:rsidRPr="00BE78CA">
              <w:rPr>
                <w:rFonts w:eastAsia="Calibri"/>
              </w:rPr>
              <w:t>–1.6</w:t>
            </w:r>
          </w:p>
        </w:tc>
      </w:tr>
      <w:tr w:rsidR="007E0025" w:rsidRPr="00BE78CA" w14:paraId="0C291BE3" w14:textId="77777777" w:rsidTr="00EB70EF">
        <w:trPr>
          <w:cantSplit/>
        </w:trPr>
        <w:tc>
          <w:tcPr>
            <w:tcW w:w="2843" w:type="dxa"/>
            <w:tcBorders>
              <w:right w:val="single" w:sz="4" w:space="0" w:color="365F91"/>
            </w:tcBorders>
            <w:shd w:val="clear" w:color="auto" w:fill="FFFFFF"/>
            <w:tcMar>
              <w:top w:w="0" w:type="dxa"/>
              <w:left w:w="85" w:type="dxa"/>
              <w:bottom w:w="0" w:type="dxa"/>
              <w:right w:w="85" w:type="dxa"/>
            </w:tcMar>
          </w:tcPr>
          <w:p w14:paraId="78779A50" w14:textId="77777777" w:rsidR="007E0025" w:rsidRPr="00BE78CA" w:rsidRDefault="007E0025" w:rsidP="00986ECD">
            <w:pPr>
              <w:pStyle w:val="TableText"/>
            </w:pPr>
            <w:r w:rsidRPr="00BE78CA">
              <w:rPr>
                <w:rFonts w:eastAsia="Calibri"/>
              </w:rPr>
              <w:t>Forest management</w:t>
            </w:r>
          </w:p>
        </w:tc>
        <w:tc>
          <w:tcPr>
            <w:tcW w:w="1451" w:type="dxa"/>
            <w:tcBorders>
              <w:left w:val="single" w:sz="4" w:space="0" w:color="365F91"/>
              <w:right w:val="single" w:sz="4" w:space="0" w:color="365F91"/>
            </w:tcBorders>
            <w:shd w:val="clear" w:color="auto" w:fill="FFFFFF"/>
            <w:tcMar>
              <w:top w:w="0" w:type="dxa"/>
              <w:left w:w="85" w:type="dxa"/>
              <w:bottom w:w="0" w:type="dxa"/>
              <w:right w:w="85" w:type="dxa"/>
            </w:tcMar>
          </w:tcPr>
          <w:p w14:paraId="1F67DB56" w14:textId="77777777" w:rsidR="007E0025" w:rsidRPr="00BE78CA" w:rsidRDefault="007E0025" w:rsidP="00986ECD">
            <w:pPr>
              <w:pStyle w:val="TableText"/>
              <w:jc w:val="center"/>
            </w:pPr>
            <w:r w:rsidRPr="00BE78CA">
              <w:rPr>
                <w:rFonts w:eastAsia="Calibri"/>
              </w:rPr>
              <w:t>9,208,933</w:t>
            </w:r>
          </w:p>
        </w:tc>
        <w:tc>
          <w:tcPr>
            <w:tcW w:w="1451" w:type="dxa"/>
            <w:tcBorders>
              <w:left w:val="single" w:sz="4" w:space="0" w:color="365F91"/>
              <w:right w:val="single" w:sz="4" w:space="0" w:color="365F91"/>
            </w:tcBorders>
            <w:shd w:val="clear" w:color="auto" w:fill="FFFFFF"/>
            <w:tcMar>
              <w:top w:w="0" w:type="dxa"/>
              <w:left w:w="85" w:type="dxa"/>
              <w:bottom w:w="0" w:type="dxa"/>
              <w:right w:w="85" w:type="dxa"/>
            </w:tcMar>
          </w:tcPr>
          <w:p w14:paraId="6E5637D9" w14:textId="77777777" w:rsidR="007E0025" w:rsidRPr="00BE78CA" w:rsidRDefault="007E0025" w:rsidP="00986ECD">
            <w:pPr>
              <w:pStyle w:val="TableText"/>
              <w:jc w:val="center"/>
            </w:pPr>
            <w:r w:rsidRPr="00BE78CA">
              <w:rPr>
                <w:rFonts w:eastAsia="Calibri"/>
              </w:rPr>
              <w:t>9,204,683</w:t>
            </w:r>
          </w:p>
        </w:tc>
        <w:tc>
          <w:tcPr>
            <w:tcW w:w="2749" w:type="dxa"/>
            <w:tcBorders>
              <w:left w:val="single" w:sz="4" w:space="0" w:color="365F91"/>
            </w:tcBorders>
            <w:shd w:val="clear" w:color="auto" w:fill="FFFFFF"/>
            <w:tcMar>
              <w:top w:w="0" w:type="dxa"/>
              <w:left w:w="85" w:type="dxa"/>
              <w:bottom w:w="0" w:type="dxa"/>
              <w:right w:w="85" w:type="dxa"/>
            </w:tcMar>
          </w:tcPr>
          <w:p w14:paraId="7CA97637" w14:textId="77777777" w:rsidR="007E0025" w:rsidRPr="00BE78CA" w:rsidRDefault="007E0025" w:rsidP="00986ECD">
            <w:pPr>
              <w:pStyle w:val="TableText"/>
              <w:jc w:val="center"/>
            </w:pPr>
            <w:r w:rsidRPr="00BE78CA">
              <w:rPr>
                <w:rFonts w:eastAsia="Calibri"/>
              </w:rPr>
              <w:t>–0.0</w:t>
            </w:r>
          </w:p>
        </w:tc>
      </w:tr>
      <w:tr w:rsidR="007E0025" w:rsidRPr="00BE78CA" w14:paraId="4C1A3C22" w14:textId="77777777" w:rsidTr="00EB70EF">
        <w:trPr>
          <w:cantSplit/>
        </w:trPr>
        <w:tc>
          <w:tcPr>
            <w:tcW w:w="2843" w:type="dxa"/>
            <w:tcBorders>
              <w:right w:val="single" w:sz="4" w:space="0" w:color="365F91"/>
            </w:tcBorders>
            <w:shd w:val="clear" w:color="auto" w:fill="365F91"/>
            <w:tcMar>
              <w:top w:w="0" w:type="dxa"/>
              <w:left w:w="85" w:type="dxa"/>
              <w:bottom w:w="0" w:type="dxa"/>
              <w:right w:w="85" w:type="dxa"/>
            </w:tcMar>
          </w:tcPr>
          <w:p w14:paraId="201F8957" w14:textId="77777777" w:rsidR="007E0025" w:rsidRPr="00BE78CA" w:rsidRDefault="007E0025" w:rsidP="00986ECD">
            <w:pPr>
              <w:pStyle w:val="TableTextBold"/>
              <w:rPr>
                <w:bCs/>
                <w:noProof w:val="0"/>
                <w:color w:val="FFFFFF" w:themeColor="background1"/>
              </w:rPr>
            </w:pPr>
            <w:r w:rsidRPr="00BE78CA">
              <w:rPr>
                <w:rFonts w:eastAsia="Calibri"/>
                <w:noProof w:val="0"/>
                <w:color w:val="FFFFFF" w:themeColor="background1"/>
              </w:rPr>
              <w:t>Activities occurring in 2018</w:t>
            </w:r>
          </w:p>
        </w:tc>
        <w:tc>
          <w:tcPr>
            <w:tcW w:w="1451" w:type="dxa"/>
            <w:tcBorders>
              <w:left w:val="single" w:sz="4" w:space="0" w:color="365F91"/>
              <w:right w:val="single" w:sz="4" w:space="0" w:color="365F91"/>
            </w:tcBorders>
            <w:shd w:val="clear" w:color="auto" w:fill="365F91"/>
            <w:tcMar>
              <w:top w:w="0" w:type="dxa"/>
              <w:left w:w="85" w:type="dxa"/>
              <w:bottom w:w="0" w:type="dxa"/>
              <w:right w:w="85" w:type="dxa"/>
            </w:tcMar>
          </w:tcPr>
          <w:p w14:paraId="74E49915" w14:textId="77777777" w:rsidR="007E0025" w:rsidRPr="00BE78CA" w:rsidRDefault="007E0025" w:rsidP="00986ECD">
            <w:pPr>
              <w:pStyle w:val="TableTextBold"/>
              <w:rPr>
                <w:rFonts w:eastAsia="Calibri"/>
                <w:noProof w:val="0"/>
                <w:color w:val="FFFFFF" w:themeColor="background1"/>
              </w:rPr>
            </w:pPr>
          </w:p>
        </w:tc>
        <w:tc>
          <w:tcPr>
            <w:tcW w:w="1451" w:type="dxa"/>
            <w:tcBorders>
              <w:left w:val="single" w:sz="4" w:space="0" w:color="365F91"/>
              <w:right w:val="single" w:sz="4" w:space="0" w:color="365F91"/>
            </w:tcBorders>
            <w:shd w:val="clear" w:color="auto" w:fill="365F91"/>
            <w:tcMar>
              <w:top w:w="0" w:type="dxa"/>
              <w:left w:w="85" w:type="dxa"/>
              <w:bottom w:w="0" w:type="dxa"/>
              <w:right w:w="85" w:type="dxa"/>
            </w:tcMar>
          </w:tcPr>
          <w:p w14:paraId="00D1A99A" w14:textId="77777777" w:rsidR="007E0025" w:rsidRPr="00BE78CA" w:rsidRDefault="007E0025" w:rsidP="00986ECD">
            <w:pPr>
              <w:pStyle w:val="TableTextBold"/>
              <w:rPr>
                <w:rFonts w:eastAsia="Calibri"/>
                <w:noProof w:val="0"/>
                <w:color w:val="FFFFFF" w:themeColor="background1"/>
              </w:rPr>
            </w:pPr>
          </w:p>
        </w:tc>
        <w:tc>
          <w:tcPr>
            <w:tcW w:w="2749" w:type="dxa"/>
            <w:tcBorders>
              <w:left w:val="single" w:sz="4" w:space="0" w:color="365F91"/>
            </w:tcBorders>
            <w:shd w:val="clear" w:color="auto" w:fill="365F91"/>
            <w:tcMar>
              <w:top w:w="0" w:type="dxa"/>
              <w:left w:w="85" w:type="dxa"/>
              <w:bottom w:w="0" w:type="dxa"/>
              <w:right w:w="85" w:type="dxa"/>
            </w:tcMar>
          </w:tcPr>
          <w:p w14:paraId="06642CE0" w14:textId="77777777" w:rsidR="007E0025" w:rsidRPr="00BE78CA" w:rsidRDefault="007E0025" w:rsidP="00986ECD">
            <w:pPr>
              <w:pStyle w:val="TableTextBold"/>
              <w:rPr>
                <w:rFonts w:eastAsia="Calibri"/>
                <w:noProof w:val="0"/>
                <w:color w:val="FFFFFF" w:themeColor="background1"/>
              </w:rPr>
            </w:pPr>
          </w:p>
        </w:tc>
      </w:tr>
      <w:tr w:rsidR="007E0025" w:rsidRPr="00BE78CA" w14:paraId="085D6E56" w14:textId="77777777" w:rsidTr="00EB70EF">
        <w:trPr>
          <w:cantSplit/>
        </w:trPr>
        <w:tc>
          <w:tcPr>
            <w:tcW w:w="2843" w:type="dxa"/>
            <w:tcBorders>
              <w:right w:val="single" w:sz="4" w:space="0" w:color="365F91"/>
            </w:tcBorders>
            <w:shd w:val="clear" w:color="auto" w:fill="FFFFFF"/>
            <w:tcMar>
              <w:top w:w="0" w:type="dxa"/>
              <w:left w:w="85" w:type="dxa"/>
              <w:bottom w:w="0" w:type="dxa"/>
              <w:right w:w="85" w:type="dxa"/>
            </w:tcMar>
          </w:tcPr>
          <w:p w14:paraId="2581B083" w14:textId="77777777" w:rsidR="007E0025" w:rsidRPr="00BE78CA" w:rsidRDefault="007E0025" w:rsidP="00986ECD">
            <w:pPr>
              <w:pStyle w:val="TableText"/>
            </w:pPr>
            <w:r w:rsidRPr="00BE78CA">
              <w:rPr>
                <w:rFonts w:eastAsia="Calibri"/>
              </w:rPr>
              <w:t>New planting</w:t>
            </w:r>
          </w:p>
        </w:tc>
        <w:tc>
          <w:tcPr>
            <w:tcW w:w="1451" w:type="dxa"/>
            <w:tcBorders>
              <w:left w:val="single" w:sz="4" w:space="0" w:color="365F91"/>
              <w:right w:val="single" w:sz="4" w:space="0" w:color="365F91"/>
            </w:tcBorders>
            <w:shd w:val="clear" w:color="auto" w:fill="FFFFFF"/>
            <w:tcMar>
              <w:top w:w="0" w:type="dxa"/>
              <w:left w:w="85" w:type="dxa"/>
              <w:bottom w:w="0" w:type="dxa"/>
              <w:right w:w="85" w:type="dxa"/>
            </w:tcMar>
          </w:tcPr>
          <w:p w14:paraId="7B5D691A" w14:textId="77777777" w:rsidR="007E0025" w:rsidRPr="00BE78CA" w:rsidRDefault="007E0025" w:rsidP="00986ECD">
            <w:pPr>
              <w:pStyle w:val="TableText"/>
              <w:jc w:val="center"/>
            </w:pPr>
            <w:r w:rsidRPr="00BE78CA">
              <w:rPr>
                <w:rFonts w:eastAsia="Calibri"/>
              </w:rPr>
              <w:t>9,443</w:t>
            </w:r>
          </w:p>
        </w:tc>
        <w:tc>
          <w:tcPr>
            <w:tcW w:w="1451" w:type="dxa"/>
            <w:tcBorders>
              <w:left w:val="single" w:sz="4" w:space="0" w:color="365F91"/>
              <w:right w:val="single" w:sz="4" w:space="0" w:color="365F91"/>
            </w:tcBorders>
            <w:shd w:val="clear" w:color="auto" w:fill="FFFFFF"/>
            <w:tcMar>
              <w:top w:w="0" w:type="dxa"/>
              <w:left w:w="85" w:type="dxa"/>
              <w:bottom w:w="0" w:type="dxa"/>
              <w:right w:w="85" w:type="dxa"/>
            </w:tcMar>
          </w:tcPr>
          <w:p w14:paraId="499610A4" w14:textId="77777777" w:rsidR="007E0025" w:rsidRPr="00BE78CA" w:rsidRDefault="007E0025" w:rsidP="00986ECD">
            <w:pPr>
              <w:pStyle w:val="TableText"/>
              <w:jc w:val="center"/>
            </w:pPr>
            <w:r w:rsidRPr="00BE78CA">
              <w:rPr>
                <w:rFonts w:eastAsia="Calibri"/>
              </w:rPr>
              <w:t>8,323</w:t>
            </w:r>
          </w:p>
        </w:tc>
        <w:tc>
          <w:tcPr>
            <w:tcW w:w="2749" w:type="dxa"/>
            <w:tcBorders>
              <w:left w:val="single" w:sz="4" w:space="0" w:color="365F91"/>
            </w:tcBorders>
            <w:shd w:val="clear" w:color="auto" w:fill="FFFFFF"/>
            <w:tcMar>
              <w:top w:w="0" w:type="dxa"/>
              <w:left w:w="85" w:type="dxa"/>
              <w:bottom w:w="0" w:type="dxa"/>
              <w:right w:w="85" w:type="dxa"/>
            </w:tcMar>
          </w:tcPr>
          <w:p w14:paraId="1D0949B5" w14:textId="77777777" w:rsidR="007E0025" w:rsidRPr="00BE78CA" w:rsidRDefault="007E0025" w:rsidP="00986ECD">
            <w:pPr>
              <w:pStyle w:val="TableText"/>
              <w:jc w:val="center"/>
            </w:pPr>
            <w:r w:rsidRPr="00BE78CA">
              <w:rPr>
                <w:rFonts w:eastAsia="Calibri"/>
              </w:rPr>
              <w:t>–11.9</w:t>
            </w:r>
          </w:p>
        </w:tc>
      </w:tr>
      <w:tr w:rsidR="007E0025" w:rsidRPr="00BE78CA" w14:paraId="09831108" w14:textId="77777777" w:rsidTr="00EB70EF">
        <w:trPr>
          <w:cantSplit/>
        </w:trPr>
        <w:tc>
          <w:tcPr>
            <w:tcW w:w="2843" w:type="dxa"/>
            <w:tcBorders>
              <w:right w:val="single" w:sz="4" w:space="0" w:color="365F91"/>
            </w:tcBorders>
            <w:shd w:val="clear" w:color="auto" w:fill="FFFFFF"/>
            <w:tcMar>
              <w:top w:w="0" w:type="dxa"/>
              <w:left w:w="85" w:type="dxa"/>
              <w:bottom w:w="0" w:type="dxa"/>
              <w:right w:w="85" w:type="dxa"/>
            </w:tcMar>
          </w:tcPr>
          <w:p w14:paraId="035E9AF5" w14:textId="77777777" w:rsidR="007E0025" w:rsidRPr="00BE78CA" w:rsidRDefault="007E0025" w:rsidP="00986ECD">
            <w:pPr>
              <w:pStyle w:val="TableText"/>
            </w:pPr>
            <w:r w:rsidRPr="00BE78CA">
              <w:rPr>
                <w:rFonts w:eastAsia="Calibri"/>
              </w:rPr>
              <w:t>Deforestation</w:t>
            </w:r>
          </w:p>
        </w:tc>
        <w:tc>
          <w:tcPr>
            <w:tcW w:w="1451" w:type="dxa"/>
            <w:tcBorders>
              <w:left w:val="single" w:sz="4" w:space="0" w:color="365F91"/>
              <w:right w:val="single" w:sz="4" w:space="0" w:color="365F91"/>
            </w:tcBorders>
            <w:shd w:val="clear" w:color="auto" w:fill="FFFFFF"/>
            <w:tcMar>
              <w:top w:w="0" w:type="dxa"/>
              <w:left w:w="85" w:type="dxa"/>
              <w:bottom w:w="0" w:type="dxa"/>
              <w:right w:w="85" w:type="dxa"/>
            </w:tcMar>
          </w:tcPr>
          <w:p w14:paraId="5F6B67F1" w14:textId="77777777" w:rsidR="007E0025" w:rsidRPr="00BE78CA" w:rsidRDefault="007E0025" w:rsidP="00986ECD">
            <w:pPr>
              <w:pStyle w:val="TableText"/>
            </w:pPr>
          </w:p>
        </w:tc>
        <w:tc>
          <w:tcPr>
            <w:tcW w:w="1451" w:type="dxa"/>
            <w:tcBorders>
              <w:left w:val="single" w:sz="4" w:space="0" w:color="365F91"/>
              <w:right w:val="single" w:sz="4" w:space="0" w:color="365F91"/>
            </w:tcBorders>
            <w:shd w:val="clear" w:color="auto" w:fill="FFFFFF"/>
            <w:tcMar>
              <w:top w:w="0" w:type="dxa"/>
              <w:left w:w="85" w:type="dxa"/>
              <w:bottom w:w="0" w:type="dxa"/>
              <w:right w:w="85" w:type="dxa"/>
            </w:tcMar>
          </w:tcPr>
          <w:p w14:paraId="367F7892" w14:textId="77777777" w:rsidR="007E0025" w:rsidRPr="00BE78CA" w:rsidRDefault="007E0025" w:rsidP="00986ECD">
            <w:pPr>
              <w:pStyle w:val="TableText"/>
            </w:pPr>
          </w:p>
        </w:tc>
        <w:tc>
          <w:tcPr>
            <w:tcW w:w="2749" w:type="dxa"/>
            <w:tcBorders>
              <w:left w:val="single" w:sz="4" w:space="0" w:color="365F91"/>
            </w:tcBorders>
            <w:shd w:val="clear" w:color="auto" w:fill="FFFFFF"/>
            <w:tcMar>
              <w:top w:w="0" w:type="dxa"/>
              <w:left w:w="85" w:type="dxa"/>
              <w:bottom w:w="0" w:type="dxa"/>
              <w:right w:w="85" w:type="dxa"/>
            </w:tcMar>
          </w:tcPr>
          <w:p w14:paraId="534141B8" w14:textId="77777777" w:rsidR="007E0025" w:rsidRPr="00BE78CA" w:rsidRDefault="007E0025" w:rsidP="00986ECD">
            <w:pPr>
              <w:pStyle w:val="TableText"/>
              <w:jc w:val="center"/>
            </w:pPr>
          </w:p>
        </w:tc>
      </w:tr>
      <w:tr w:rsidR="007E0025" w:rsidRPr="00BE78CA" w14:paraId="21E00CDA" w14:textId="77777777" w:rsidTr="00EB70EF">
        <w:trPr>
          <w:cantSplit/>
        </w:trPr>
        <w:tc>
          <w:tcPr>
            <w:tcW w:w="2843" w:type="dxa"/>
            <w:tcBorders>
              <w:right w:val="single" w:sz="4" w:space="0" w:color="365F91"/>
            </w:tcBorders>
            <w:shd w:val="clear" w:color="auto" w:fill="FFFFFF"/>
            <w:tcMar>
              <w:top w:w="0" w:type="dxa"/>
              <w:left w:w="85" w:type="dxa"/>
              <w:bottom w:w="0" w:type="dxa"/>
              <w:right w:w="85" w:type="dxa"/>
            </w:tcMar>
          </w:tcPr>
          <w:p w14:paraId="04310393" w14:textId="77777777" w:rsidR="007E0025" w:rsidRPr="00BE78CA" w:rsidRDefault="007E0025" w:rsidP="00986ECD">
            <w:pPr>
              <w:pStyle w:val="TableText1"/>
              <w:spacing w:line="240" w:lineRule="auto"/>
            </w:pPr>
            <w:r w:rsidRPr="00BE78CA">
              <w:rPr>
                <w:rFonts w:eastAsia="Calibri"/>
              </w:rPr>
              <w:lastRenderedPageBreak/>
              <w:t xml:space="preserve">Pre-1990 </w:t>
            </w:r>
            <w:r w:rsidRPr="00BE78CA">
              <w:t>natural</w:t>
            </w:r>
            <w:r w:rsidRPr="00BE78CA">
              <w:rPr>
                <w:rFonts w:eastAsia="Calibri"/>
              </w:rPr>
              <w:t xml:space="preserve"> forest</w:t>
            </w:r>
          </w:p>
        </w:tc>
        <w:tc>
          <w:tcPr>
            <w:tcW w:w="1451" w:type="dxa"/>
            <w:tcBorders>
              <w:left w:val="single" w:sz="4" w:space="0" w:color="365F91"/>
              <w:right w:val="single" w:sz="4" w:space="0" w:color="365F91"/>
            </w:tcBorders>
            <w:shd w:val="clear" w:color="auto" w:fill="FFFFFF"/>
            <w:tcMar>
              <w:top w:w="0" w:type="dxa"/>
              <w:left w:w="85" w:type="dxa"/>
              <w:bottom w:w="0" w:type="dxa"/>
              <w:right w:w="85" w:type="dxa"/>
            </w:tcMar>
          </w:tcPr>
          <w:p w14:paraId="6762E38F" w14:textId="77777777" w:rsidR="007E0025" w:rsidRPr="00BE78CA" w:rsidRDefault="007E0025" w:rsidP="00986ECD">
            <w:pPr>
              <w:pStyle w:val="TableText"/>
              <w:jc w:val="center"/>
            </w:pPr>
            <w:r w:rsidRPr="00BE78CA">
              <w:rPr>
                <w:rFonts w:eastAsia="Calibri"/>
              </w:rPr>
              <w:t>740</w:t>
            </w:r>
          </w:p>
        </w:tc>
        <w:tc>
          <w:tcPr>
            <w:tcW w:w="1451" w:type="dxa"/>
            <w:tcBorders>
              <w:left w:val="single" w:sz="4" w:space="0" w:color="365F91"/>
              <w:right w:val="single" w:sz="4" w:space="0" w:color="365F91"/>
            </w:tcBorders>
            <w:shd w:val="clear" w:color="auto" w:fill="FFFFFF"/>
            <w:tcMar>
              <w:top w:w="0" w:type="dxa"/>
              <w:left w:w="85" w:type="dxa"/>
              <w:bottom w:w="0" w:type="dxa"/>
              <w:right w:w="85" w:type="dxa"/>
            </w:tcMar>
          </w:tcPr>
          <w:p w14:paraId="57C0D7E3" w14:textId="77777777" w:rsidR="007E0025" w:rsidRPr="00BE78CA" w:rsidRDefault="007E0025" w:rsidP="00986ECD">
            <w:pPr>
              <w:pStyle w:val="TableText"/>
              <w:jc w:val="center"/>
            </w:pPr>
            <w:r w:rsidRPr="00BE78CA">
              <w:rPr>
                <w:rFonts w:eastAsia="Calibri"/>
              </w:rPr>
              <w:t>750</w:t>
            </w:r>
          </w:p>
        </w:tc>
        <w:tc>
          <w:tcPr>
            <w:tcW w:w="2749" w:type="dxa"/>
            <w:tcBorders>
              <w:left w:val="single" w:sz="4" w:space="0" w:color="365F91"/>
            </w:tcBorders>
            <w:shd w:val="clear" w:color="auto" w:fill="FFFFFF"/>
            <w:tcMar>
              <w:top w:w="0" w:type="dxa"/>
              <w:left w:w="85" w:type="dxa"/>
              <w:bottom w:w="0" w:type="dxa"/>
              <w:right w:w="85" w:type="dxa"/>
            </w:tcMar>
          </w:tcPr>
          <w:p w14:paraId="1C2711BC" w14:textId="77777777" w:rsidR="007E0025" w:rsidRPr="00BE78CA" w:rsidRDefault="007E0025" w:rsidP="00986ECD">
            <w:pPr>
              <w:pStyle w:val="TableText"/>
              <w:jc w:val="center"/>
            </w:pPr>
            <w:r w:rsidRPr="00BE78CA">
              <w:rPr>
                <w:rFonts w:eastAsia="Calibri"/>
              </w:rPr>
              <w:t>1.3</w:t>
            </w:r>
          </w:p>
        </w:tc>
      </w:tr>
      <w:tr w:rsidR="007E0025" w:rsidRPr="00BE78CA" w14:paraId="00237338" w14:textId="77777777" w:rsidTr="00EB70EF">
        <w:trPr>
          <w:cantSplit/>
        </w:trPr>
        <w:tc>
          <w:tcPr>
            <w:tcW w:w="2843" w:type="dxa"/>
            <w:tcBorders>
              <w:right w:val="single" w:sz="4" w:space="0" w:color="365F91"/>
            </w:tcBorders>
            <w:shd w:val="clear" w:color="auto" w:fill="FFFFFF"/>
            <w:tcMar>
              <w:top w:w="0" w:type="dxa"/>
              <w:left w:w="85" w:type="dxa"/>
              <w:bottom w:w="0" w:type="dxa"/>
              <w:right w:w="85" w:type="dxa"/>
            </w:tcMar>
          </w:tcPr>
          <w:p w14:paraId="2B59B979" w14:textId="77777777" w:rsidR="007E0025" w:rsidRPr="00BE78CA" w:rsidRDefault="007E0025" w:rsidP="00986ECD">
            <w:pPr>
              <w:pStyle w:val="TableText1"/>
              <w:spacing w:line="240" w:lineRule="auto"/>
            </w:pPr>
            <w:r w:rsidRPr="00BE78CA">
              <w:rPr>
                <w:rFonts w:eastAsia="Calibri"/>
              </w:rPr>
              <w:t xml:space="preserve">Pre-1990 planted </w:t>
            </w:r>
            <w:r w:rsidRPr="00BE78CA">
              <w:t>forest</w:t>
            </w:r>
          </w:p>
        </w:tc>
        <w:tc>
          <w:tcPr>
            <w:tcW w:w="1451" w:type="dxa"/>
            <w:tcBorders>
              <w:left w:val="single" w:sz="4" w:space="0" w:color="365F91"/>
              <w:right w:val="single" w:sz="4" w:space="0" w:color="365F91"/>
            </w:tcBorders>
            <w:shd w:val="clear" w:color="auto" w:fill="FFFFFF"/>
            <w:tcMar>
              <w:top w:w="0" w:type="dxa"/>
              <w:left w:w="85" w:type="dxa"/>
              <w:bottom w:w="0" w:type="dxa"/>
              <w:right w:w="85" w:type="dxa"/>
            </w:tcMar>
          </w:tcPr>
          <w:p w14:paraId="2C2D2C3A" w14:textId="77777777" w:rsidR="007E0025" w:rsidRPr="00BE78CA" w:rsidRDefault="007E0025" w:rsidP="00986ECD">
            <w:pPr>
              <w:pStyle w:val="TableText"/>
              <w:jc w:val="center"/>
            </w:pPr>
            <w:r w:rsidRPr="00BE78CA">
              <w:rPr>
                <w:rFonts w:eastAsia="Calibri"/>
              </w:rPr>
              <w:t>2,308</w:t>
            </w:r>
          </w:p>
        </w:tc>
        <w:tc>
          <w:tcPr>
            <w:tcW w:w="1451" w:type="dxa"/>
            <w:tcBorders>
              <w:left w:val="single" w:sz="4" w:space="0" w:color="365F91"/>
              <w:right w:val="single" w:sz="4" w:space="0" w:color="365F91"/>
            </w:tcBorders>
            <w:shd w:val="clear" w:color="auto" w:fill="FFFFFF"/>
            <w:tcMar>
              <w:top w:w="0" w:type="dxa"/>
              <w:left w:w="85" w:type="dxa"/>
              <w:bottom w:w="0" w:type="dxa"/>
              <w:right w:w="85" w:type="dxa"/>
            </w:tcMar>
          </w:tcPr>
          <w:p w14:paraId="5C067BAB" w14:textId="77777777" w:rsidR="007E0025" w:rsidRPr="00BE78CA" w:rsidRDefault="007E0025" w:rsidP="00986ECD">
            <w:pPr>
              <w:pStyle w:val="TableText"/>
              <w:jc w:val="center"/>
            </w:pPr>
            <w:r w:rsidRPr="00BE78CA">
              <w:rPr>
                <w:rFonts w:eastAsia="Calibri"/>
              </w:rPr>
              <w:t>2,369</w:t>
            </w:r>
          </w:p>
        </w:tc>
        <w:tc>
          <w:tcPr>
            <w:tcW w:w="2749" w:type="dxa"/>
            <w:tcBorders>
              <w:left w:val="single" w:sz="4" w:space="0" w:color="365F91"/>
            </w:tcBorders>
            <w:shd w:val="clear" w:color="auto" w:fill="FFFFFF"/>
            <w:tcMar>
              <w:top w:w="0" w:type="dxa"/>
              <w:left w:w="85" w:type="dxa"/>
              <w:bottom w:w="0" w:type="dxa"/>
              <w:right w:w="85" w:type="dxa"/>
            </w:tcMar>
          </w:tcPr>
          <w:p w14:paraId="7FC33DB6" w14:textId="77777777" w:rsidR="007E0025" w:rsidRPr="00BE78CA" w:rsidRDefault="007E0025" w:rsidP="00986ECD">
            <w:pPr>
              <w:pStyle w:val="TableText"/>
              <w:jc w:val="center"/>
            </w:pPr>
            <w:r w:rsidRPr="00BE78CA">
              <w:rPr>
                <w:rFonts w:eastAsia="Calibri"/>
              </w:rPr>
              <w:t>2.7</w:t>
            </w:r>
          </w:p>
        </w:tc>
      </w:tr>
      <w:tr w:rsidR="007E0025" w:rsidRPr="00BE78CA" w14:paraId="6FDC156D" w14:textId="77777777" w:rsidTr="00EB70EF">
        <w:trPr>
          <w:cantSplit/>
        </w:trPr>
        <w:tc>
          <w:tcPr>
            <w:tcW w:w="2843" w:type="dxa"/>
            <w:tcBorders>
              <w:right w:val="single" w:sz="4" w:space="0" w:color="365F91"/>
            </w:tcBorders>
            <w:shd w:val="clear" w:color="auto" w:fill="FFFFFF"/>
            <w:tcMar>
              <w:top w:w="0" w:type="dxa"/>
              <w:left w:w="85" w:type="dxa"/>
              <w:bottom w:w="0" w:type="dxa"/>
              <w:right w:w="85" w:type="dxa"/>
            </w:tcMar>
          </w:tcPr>
          <w:p w14:paraId="6B07E7CF" w14:textId="77777777" w:rsidR="007E0025" w:rsidRPr="00BE78CA" w:rsidRDefault="007E0025" w:rsidP="00986ECD">
            <w:pPr>
              <w:pStyle w:val="TableText1"/>
              <w:spacing w:line="240" w:lineRule="auto"/>
            </w:pPr>
            <w:r w:rsidRPr="00BE78CA">
              <w:rPr>
                <w:rFonts w:eastAsia="Calibri"/>
              </w:rPr>
              <w:t>Post-1989 forest</w:t>
            </w:r>
          </w:p>
        </w:tc>
        <w:tc>
          <w:tcPr>
            <w:tcW w:w="1451" w:type="dxa"/>
            <w:tcBorders>
              <w:left w:val="single" w:sz="4" w:space="0" w:color="365F91"/>
              <w:right w:val="single" w:sz="4" w:space="0" w:color="365F91"/>
            </w:tcBorders>
            <w:shd w:val="clear" w:color="auto" w:fill="FFFFFF"/>
            <w:tcMar>
              <w:top w:w="0" w:type="dxa"/>
              <w:left w:w="85" w:type="dxa"/>
              <w:bottom w:w="0" w:type="dxa"/>
              <w:right w:w="85" w:type="dxa"/>
            </w:tcMar>
          </w:tcPr>
          <w:p w14:paraId="2954E072" w14:textId="77777777" w:rsidR="007E0025" w:rsidRPr="00BE78CA" w:rsidRDefault="007E0025" w:rsidP="00986ECD">
            <w:pPr>
              <w:pStyle w:val="TableText"/>
              <w:jc w:val="center"/>
            </w:pPr>
            <w:r w:rsidRPr="00BE78CA">
              <w:rPr>
                <w:rFonts w:eastAsia="Calibri"/>
              </w:rPr>
              <w:t>692</w:t>
            </w:r>
          </w:p>
        </w:tc>
        <w:tc>
          <w:tcPr>
            <w:tcW w:w="1451" w:type="dxa"/>
            <w:tcBorders>
              <w:left w:val="single" w:sz="4" w:space="0" w:color="365F91"/>
              <w:right w:val="single" w:sz="4" w:space="0" w:color="365F91"/>
            </w:tcBorders>
            <w:shd w:val="clear" w:color="auto" w:fill="FFFFFF"/>
            <w:tcMar>
              <w:top w:w="0" w:type="dxa"/>
              <w:left w:w="85" w:type="dxa"/>
              <w:bottom w:w="0" w:type="dxa"/>
              <w:right w:w="85" w:type="dxa"/>
            </w:tcMar>
          </w:tcPr>
          <w:p w14:paraId="38333B06" w14:textId="77777777" w:rsidR="007E0025" w:rsidRPr="00BE78CA" w:rsidRDefault="007E0025" w:rsidP="00986ECD">
            <w:pPr>
              <w:pStyle w:val="TableText"/>
              <w:jc w:val="center"/>
            </w:pPr>
            <w:r w:rsidRPr="00BE78CA">
              <w:rPr>
                <w:rFonts w:eastAsia="Calibri"/>
              </w:rPr>
              <w:t>687</w:t>
            </w:r>
          </w:p>
        </w:tc>
        <w:tc>
          <w:tcPr>
            <w:tcW w:w="2749" w:type="dxa"/>
            <w:tcBorders>
              <w:left w:val="single" w:sz="4" w:space="0" w:color="365F91"/>
            </w:tcBorders>
            <w:shd w:val="clear" w:color="auto" w:fill="FFFFFF"/>
            <w:tcMar>
              <w:top w:w="0" w:type="dxa"/>
              <w:left w:w="85" w:type="dxa"/>
              <w:bottom w:w="0" w:type="dxa"/>
              <w:right w:w="85" w:type="dxa"/>
            </w:tcMar>
          </w:tcPr>
          <w:p w14:paraId="206C2535" w14:textId="77777777" w:rsidR="007E0025" w:rsidRPr="00BE78CA" w:rsidRDefault="007E0025" w:rsidP="00986ECD">
            <w:pPr>
              <w:pStyle w:val="TableText"/>
              <w:jc w:val="center"/>
            </w:pPr>
            <w:r w:rsidRPr="00BE78CA">
              <w:rPr>
                <w:rFonts w:eastAsia="Calibri"/>
              </w:rPr>
              <w:t>–0.8</w:t>
            </w:r>
          </w:p>
        </w:tc>
      </w:tr>
      <w:tr w:rsidR="007E0025" w:rsidRPr="00BE78CA" w14:paraId="312AFBE8" w14:textId="77777777" w:rsidTr="00EB70EF">
        <w:trPr>
          <w:cantSplit/>
        </w:trPr>
        <w:tc>
          <w:tcPr>
            <w:tcW w:w="2843" w:type="dxa"/>
            <w:tcBorders>
              <w:right w:val="single" w:sz="4" w:space="0" w:color="365F91"/>
            </w:tcBorders>
            <w:shd w:val="clear" w:color="auto" w:fill="FFFFFF"/>
            <w:tcMar>
              <w:top w:w="0" w:type="dxa"/>
              <w:left w:w="85" w:type="dxa"/>
              <w:bottom w:w="0" w:type="dxa"/>
              <w:right w:w="85" w:type="dxa"/>
            </w:tcMar>
          </w:tcPr>
          <w:p w14:paraId="692EF91F" w14:textId="77777777" w:rsidR="007E0025" w:rsidRPr="00BE78CA" w:rsidRDefault="007E0025" w:rsidP="00986ECD">
            <w:pPr>
              <w:pStyle w:val="TableText1"/>
              <w:spacing w:line="240" w:lineRule="auto"/>
            </w:pPr>
            <w:r w:rsidRPr="00BE78CA">
              <w:rPr>
                <w:rFonts w:eastAsia="Calibri"/>
              </w:rPr>
              <w:t>Post-1989 natural forest</w:t>
            </w:r>
          </w:p>
        </w:tc>
        <w:tc>
          <w:tcPr>
            <w:tcW w:w="1451" w:type="dxa"/>
            <w:tcBorders>
              <w:left w:val="single" w:sz="4" w:space="0" w:color="365F91"/>
              <w:right w:val="single" w:sz="4" w:space="0" w:color="365F91"/>
            </w:tcBorders>
            <w:shd w:val="clear" w:color="auto" w:fill="FFFFFF"/>
            <w:tcMar>
              <w:top w:w="0" w:type="dxa"/>
              <w:left w:w="85" w:type="dxa"/>
              <w:bottom w:w="0" w:type="dxa"/>
              <w:right w:w="85" w:type="dxa"/>
            </w:tcMar>
          </w:tcPr>
          <w:p w14:paraId="4A180449" w14:textId="77777777" w:rsidR="007E0025" w:rsidRPr="00BE78CA" w:rsidRDefault="007E0025" w:rsidP="00986ECD">
            <w:pPr>
              <w:pStyle w:val="TableText"/>
              <w:jc w:val="center"/>
            </w:pPr>
            <w:r w:rsidRPr="00BE78CA">
              <w:rPr>
                <w:rFonts w:eastAsia="Calibri"/>
              </w:rPr>
              <w:t>0</w:t>
            </w:r>
          </w:p>
        </w:tc>
        <w:tc>
          <w:tcPr>
            <w:tcW w:w="1451" w:type="dxa"/>
            <w:tcBorders>
              <w:left w:val="single" w:sz="4" w:space="0" w:color="365F91"/>
              <w:right w:val="single" w:sz="4" w:space="0" w:color="365F91"/>
            </w:tcBorders>
            <w:shd w:val="clear" w:color="auto" w:fill="FFFFFF"/>
            <w:tcMar>
              <w:top w:w="0" w:type="dxa"/>
              <w:left w:w="85" w:type="dxa"/>
              <w:bottom w:w="0" w:type="dxa"/>
              <w:right w:w="85" w:type="dxa"/>
            </w:tcMar>
          </w:tcPr>
          <w:p w14:paraId="16693F30" w14:textId="77777777" w:rsidR="007E0025" w:rsidRPr="00BE78CA" w:rsidRDefault="007E0025" w:rsidP="00986ECD">
            <w:pPr>
              <w:pStyle w:val="TableText"/>
              <w:jc w:val="center"/>
            </w:pPr>
            <w:r w:rsidRPr="00BE78CA">
              <w:rPr>
                <w:rFonts w:eastAsia="Calibri"/>
              </w:rPr>
              <w:t>0</w:t>
            </w:r>
          </w:p>
        </w:tc>
        <w:tc>
          <w:tcPr>
            <w:tcW w:w="2749" w:type="dxa"/>
            <w:tcBorders>
              <w:left w:val="single" w:sz="4" w:space="0" w:color="365F91"/>
            </w:tcBorders>
            <w:shd w:val="clear" w:color="auto" w:fill="FFFFFF"/>
            <w:tcMar>
              <w:top w:w="0" w:type="dxa"/>
              <w:left w:w="85" w:type="dxa"/>
              <w:bottom w:w="0" w:type="dxa"/>
              <w:right w:w="85" w:type="dxa"/>
            </w:tcMar>
          </w:tcPr>
          <w:p w14:paraId="5EA9BFAB" w14:textId="77777777" w:rsidR="007E0025" w:rsidRPr="00BE78CA" w:rsidRDefault="007E0025" w:rsidP="00986ECD">
            <w:pPr>
              <w:pStyle w:val="TableText"/>
              <w:jc w:val="center"/>
            </w:pPr>
            <w:r w:rsidRPr="00BE78CA">
              <w:rPr>
                <w:rFonts w:eastAsia="Calibri"/>
              </w:rPr>
              <w:t>–0.8</w:t>
            </w:r>
          </w:p>
        </w:tc>
      </w:tr>
    </w:tbl>
    <w:p w14:paraId="590EC5A0" w14:textId="77777777" w:rsidR="007E0025" w:rsidRPr="00BE78CA" w:rsidRDefault="007E0025" w:rsidP="007E0025">
      <w:pPr>
        <w:pStyle w:val="Noteundertable"/>
      </w:pPr>
      <w:r w:rsidRPr="00BE78CA">
        <w:rPr>
          <w:b/>
        </w:rPr>
        <w:t>Note:</w:t>
      </w:r>
      <w:r w:rsidRPr="00BE78CA">
        <w:t xml:space="preserve"> </w:t>
      </w:r>
      <w:r w:rsidRPr="00BE78CA">
        <w:tab/>
        <w:t>Percentages presented are calculated from unrounded values.</w:t>
      </w:r>
      <w:bookmarkStart w:id="3312" w:name="X1fe50eee1613289d52dd00961fd4966d5e2d673"/>
    </w:p>
    <w:p w14:paraId="26C07CDE" w14:textId="62894A87" w:rsidR="007E0025" w:rsidRPr="00BE78CA" w:rsidRDefault="007E0025" w:rsidP="007E0025">
      <w:pPr>
        <w:pStyle w:val="Heading2"/>
      </w:pPr>
      <w:bookmarkStart w:id="3313" w:name="_Toc68786362"/>
      <w:r w:rsidRPr="00BE78CA">
        <w:t xml:space="preserve">10.2 </w:t>
      </w:r>
      <w:r w:rsidRPr="00BE78CA">
        <w:tab/>
        <w:t>Recalculations and planned improvements in response to</w:t>
      </w:r>
      <w:r w:rsidR="00347AFE" w:rsidRPr="00BE78CA">
        <w:t> </w:t>
      </w:r>
      <w:r w:rsidRPr="00BE78CA">
        <w:t>the review process</w:t>
      </w:r>
      <w:bookmarkEnd w:id="3312"/>
      <w:bookmarkEnd w:id="3313"/>
    </w:p>
    <w:p w14:paraId="41832026" w14:textId="77777777" w:rsidR="007E0025" w:rsidRPr="00BE78CA" w:rsidRDefault="007E0025" w:rsidP="007E0025">
      <w:pPr>
        <w:pStyle w:val="BodyText"/>
      </w:pPr>
      <w:r w:rsidRPr="00BE78CA">
        <w:t>New Zealand has made improvements to the inventory to take into account the findings from the reviews of previous submissions. There was an in-country review of the 2019 submission and the 2019 assessment review report (2019 ARR) was published in June 2020 (UNFCCC, 2020), which is responded to in this submission.</w:t>
      </w:r>
    </w:p>
    <w:p w14:paraId="5E7520ED" w14:textId="77777777" w:rsidR="007E0025" w:rsidRPr="00BE78CA" w:rsidRDefault="007E0025" w:rsidP="007E0025">
      <w:pPr>
        <w:pStyle w:val="BodyText"/>
      </w:pPr>
      <w:r w:rsidRPr="00BE78CA">
        <w:t>The 2019 ARR includes findings from reviews of the 2019 and earlier submissions of New Zealand’s inventory. New Zealand has endeavoured to address as many recommendations as practicable in the 2020 and 2021 submissions. Further improvements will be implemented in future submissions.</w:t>
      </w:r>
    </w:p>
    <w:p w14:paraId="4E7D1D1B" w14:textId="77777777" w:rsidR="007E0025" w:rsidRPr="00BE78CA" w:rsidRDefault="007E0025" w:rsidP="007E0025">
      <w:pPr>
        <w:pStyle w:val="BodyText"/>
      </w:pPr>
      <w:r w:rsidRPr="00BE78CA">
        <w:t>Table 3 and table 4 of the 2019 ARR contain assessment of progress in addressing recommendations provided by the expert review teams (ERTs) during the reviews of the 2017 and earlier inventory submissions. These recommendations are detailed in table 10.2.1 along with New Zealand’s latest responses to those recommendations.</w:t>
      </w:r>
    </w:p>
    <w:p w14:paraId="30D27C10" w14:textId="77777777" w:rsidR="007E0025" w:rsidRPr="00BE78CA" w:rsidRDefault="007E0025" w:rsidP="007E0025">
      <w:pPr>
        <w:pStyle w:val="BodyText"/>
      </w:pPr>
      <w:r w:rsidRPr="00BE78CA">
        <w:t>Table 5 of the 2019 ARR contains new recommendations related to the review of the 2019 inventory submission. These recommendations, along with New Zealand’s latest responses to date, are detailed in table 10.2.2.</w:t>
      </w:r>
    </w:p>
    <w:p w14:paraId="15EE30D5" w14:textId="5055CD2A" w:rsidR="007E0025" w:rsidRPr="00BE78CA" w:rsidRDefault="007E0025" w:rsidP="007E5510">
      <w:pPr>
        <w:pStyle w:val="Table"/>
      </w:pPr>
      <w:bookmarkStart w:id="3314" w:name="_Toc68786589"/>
      <w:r w:rsidRPr="00BE78CA">
        <w:t xml:space="preserve">Table 10.2.1 </w:t>
      </w:r>
      <w:r w:rsidRPr="00BE78CA">
        <w:tab/>
        <w:t>New Zealand’s response to recommendations still relevant as recorded in table</w:t>
      </w:r>
      <w:r w:rsidR="007E5510" w:rsidRPr="00BE78CA">
        <w:t> </w:t>
      </w:r>
      <w:r w:rsidRPr="00BE78CA">
        <w:t>3 and table</w:t>
      </w:r>
      <w:r w:rsidR="007E5510" w:rsidRPr="00BE78CA">
        <w:t> </w:t>
      </w:r>
      <w:r w:rsidRPr="00BE78CA">
        <w:t>4 of</w:t>
      </w:r>
      <w:r w:rsidR="007E5510" w:rsidRPr="00BE78CA">
        <w:t> </w:t>
      </w:r>
      <w:r w:rsidRPr="00BE78CA">
        <w:t>the 2019 assessment review report for issues raised in earlier reviews</w:t>
      </w:r>
      <w:bookmarkEnd w:id="3314"/>
    </w:p>
    <w:tbl>
      <w:tblPr>
        <w:tblW w:w="8494" w:type="dxa"/>
        <w:tblBorders>
          <w:top w:val="single" w:sz="2" w:space="0" w:color="365F91"/>
          <w:bottom w:val="single" w:sz="2" w:space="0" w:color="365F91"/>
          <w:insideH w:val="single" w:sz="2" w:space="0" w:color="365F91"/>
          <w:insideV w:val="single" w:sz="2" w:space="0" w:color="365F91"/>
        </w:tblBorders>
        <w:tblLook w:val="0420" w:firstRow="1" w:lastRow="0" w:firstColumn="0" w:lastColumn="0" w:noHBand="0" w:noVBand="1"/>
      </w:tblPr>
      <w:tblGrid>
        <w:gridCol w:w="1904"/>
        <w:gridCol w:w="893"/>
        <w:gridCol w:w="3019"/>
        <w:gridCol w:w="2678"/>
      </w:tblGrid>
      <w:tr w:rsidR="007E0025" w:rsidRPr="00BE78CA" w14:paraId="2C505BDE" w14:textId="77777777" w:rsidTr="00347AFE">
        <w:trPr>
          <w:tblHeader/>
        </w:trPr>
        <w:tc>
          <w:tcPr>
            <w:tcW w:w="1904" w:type="dxa"/>
            <w:shd w:val="clear" w:color="auto" w:fill="365F91"/>
            <w:tcMar>
              <w:top w:w="0" w:type="dxa"/>
              <w:left w:w="85" w:type="dxa"/>
              <w:bottom w:w="0" w:type="dxa"/>
              <w:right w:w="85" w:type="dxa"/>
            </w:tcMar>
            <w:vAlign w:val="bottom"/>
          </w:tcPr>
          <w:p w14:paraId="6DD405A3" w14:textId="77777777" w:rsidR="007E0025" w:rsidRPr="00BE78CA" w:rsidRDefault="007E0025" w:rsidP="00C26084">
            <w:pPr>
              <w:pStyle w:val="TableTextBold"/>
              <w:rPr>
                <w:noProof w:val="0"/>
                <w:color w:val="FFFFFF" w:themeColor="background1"/>
              </w:rPr>
            </w:pPr>
            <w:r w:rsidRPr="00BE78CA">
              <w:rPr>
                <w:rFonts w:eastAsia="Calibri"/>
                <w:noProof w:val="0"/>
                <w:color w:val="FFFFFF" w:themeColor="background1"/>
              </w:rPr>
              <w:t>Sector</w:t>
            </w:r>
          </w:p>
        </w:tc>
        <w:tc>
          <w:tcPr>
            <w:tcW w:w="893" w:type="dxa"/>
            <w:shd w:val="clear" w:color="auto" w:fill="365F91"/>
            <w:tcMar>
              <w:top w:w="0" w:type="dxa"/>
              <w:left w:w="85" w:type="dxa"/>
              <w:bottom w:w="0" w:type="dxa"/>
              <w:right w:w="85" w:type="dxa"/>
            </w:tcMar>
            <w:vAlign w:val="bottom"/>
          </w:tcPr>
          <w:p w14:paraId="79E92922" w14:textId="77777777" w:rsidR="007E0025" w:rsidRPr="00BE78CA" w:rsidRDefault="007E0025" w:rsidP="00C26084">
            <w:pPr>
              <w:pStyle w:val="TableTextBold"/>
              <w:rPr>
                <w:noProof w:val="0"/>
                <w:color w:val="FFFFFF" w:themeColor="background1"/>
              </w:rPr>
            </w:pPr>
            <w:r w:rsidRPr="00BE78CA">
              <w:rPr>
                <w:rFonts w:eastAsia="Calibri"/>
                <w:noProof w:val="0"/>
                <w:color w:val="FFFFFF" w:themeColor="background1"/>
              </w:rPr>
              <w:t>ID number</w:t>
            </w:r>
          </w:p>
        </w:tc>
        <w:tc>
          <w:tcPr>
            <w:tcW w:w="3019" w:type="dxa"/>
            <w:shd w:val="clear" w:color="auto" w:fill="365F91"/>
            <w:tcMar>
              <w:top w:w="0" w:type="dxa"/>
              <w:left w:w="85" w:type="dxa"/>
              <w:bottom w:w="0" w:type="dxa"/>
              <w:right w:w="85" w:type="dxa"/>
            </w:tcMar>
            <w:vAlign w:val="bottom"/>
          </w:tcPr>
          <w:p w14:paraId="00DC055A" w14:textId="77777777" w:rsidR="007E0025" w:rsidRPr="00BE78CA" w:rsidRDefault="007E0025" w:rsidP="00C26084">
            <w:pPr>
              <w:pStyle w:val="TableTextBold"/>
              <w:rPr>
                <w:noProof w:val="0"/>
                <w:color w:val="FFFFFF" w:themeColor="background1"/>
              </w:rPr>
            </w:pPr>
            <w:r w:rsidRPr="00BE78CA">
              <w:rPr>
                <w:rFonts w:eastAsia="Calibri"/>
                <w:noProof w:val="0"/>
                <w:color w:val="FFFFFF" w:themeColor="background1"/>
              </w:rPr>
              <w:t>Expert review team (ERT) recommendation</w:t>
            </w:r>
          </w:p>
        </w:tc>
        <w:tc>
          <w:tcPr>
            <w:tcW w:w="2678" w:type="dxa"/>
            <w:shd w:val="clear" w:color="auto" w:fill="365F91"/>
            <w:tcMar>
              <w:top w:w="0" w:type="dxa"/>
              <w:left w:w="85" w:type="dxa"/>
              <w:bottom w:w="0" w:type="dxa"/>
              <w:right w:w="85" w:type="dxa"/>
            </w:tcMar>
            <w:vAlign w:val="bottom"/>
          </w:tcPr>
          <w:p w14:paraId="13C5F4E3" w14:textId="77777777" w:rsidR="007E0025" w:rsidRPr="00BE78CA" w:rsidRDefault="007E0025" w:rsidP="00C26084">
            <w:pPr>
              <w:pStyle w:val="TableTextBold"/>
              <w:rPr>
                <w:noProof w:val="0"/>
                <w:color w:val="FFFFFF" w:themeColor="background1"/>
              </w:rPr>
            </w:pPr>
            <w:r w:rsidRPr="00BE78CA">
              <w:rPr>
                <w:rFonts w:eastAsia="Calibri"/>
                <w:noProof w:val="0"/>
                <w:color w:val="FFFFFF" w:themeColor="background1"/>
              </w:rPr>
              <w:t>New Zealand response</w:t>
            </w:r>
          </w:p>
        </w:tc>
      </w:tr>
      <w:tr w:rsidR="007E0025" w:rsidRPr="00BE78CA" w14:paraId="47205F4A" w14:textId="77777777" w:rsidTr="00C26084">
        <w:tc>
          <w:tcPr>
            <w:tcW w:w="1904" w:type="dxa"/>
            <w:shd w:val="clear" w:color="auto" w:fill="FFFFFF"/>
            <w:tcMar>
              <w:top w:w="0" w:type="dxa"/>
              <w:left w:w="85" w:type="dxa"/>
              <w:bottom w:w="0" w:type="dxa"/>
              <w:right w:w="85" w:type="dxa"/>
            </w:tcMar>
          </w:tcPr>
          <w:p w14:paraId="21E129DB" w14:textId="77777777" w:rsidR="007E0025" w:rsidRPr="00BE78CA" w:rsidRDefault="007E0025" w:rsidP="00C26084">
            <w:pPr>
              <w:pStyle w:val="TableText"/>
            </w:pPr>
            <w:r w:rsidRPr="00BE78CA">
              <w:rPr>
                <w:rFonts w:eastAsia="Calibri"/>
                <w:color w:val="111111"/>
              </w:rPr>
              <w:t>Energy – Fuel Combustion – reference approach – liquid fuels – CO</w:t>
            </w:r>
            <w:r w:rsidRPr="00BE78CA">
              <w:rPr>
                <w:rFonts w:eastAsia="Calibri"/>
                <w:color w:val="111111"/>
                <w:vertAlign w:val="subscript"/>
              </w:rPr>
              <w:t>2</w:t>
            </w:r>
          </w:p>
        </w:tc>
        <w:tc>
          <w:tcPr>
            <w:tcW w:w="893" w:type="dxa"/>
            <w:shd w:val="clear" w:color="auto" w:fill="FFFFFF"/>
            <w:tcMar>
              <w:top w:w="0" w:type="dxa"/>
              <w:left w:w="85" w:type="dxa"/>
              <w:bottom w:w="0" w:type="dxa"/>
              <w:right w:w="85" w:type="dxa"/>
            </w:tcMar>
          </w:tcPr>
          <w:p w14:paraId="560F7C5A" w14:textId="77777777" w:rsidR="007E0025" w:rsidRPr="00BE78CA" w:rsidRDefault="007E0025" w:rsidP="00C26084">
            <w:pPr>
              <w:pStyle w:val="TableText"/>
            </w:pPr>
            <w:r w:rsidRPr="00BE78CA">
              <w:rPr>
                <w:rFonts w:eastAsia="Calibri"/>
                <w:color w:val="111111"/>
              </w:rPr>
              <w:t>E.2, 2019</w:t>
            </w:r>
          </w:p>
        </w:tc>
        <w:tc>
          <w:tcPr>
            <w:tcW w:w="3019" w:type="dxa"/>
            <w:shd w:val="clear" w:color="auto" w:fill="FFFFFF"/>
            <w:tcMar>
              <w:top w:w="0" w:type="dxa"/>
              <w:left w:w="85" w:type="dxa"/>
              <w:bottom w:w="0" w:type="dxa"/>
              <w:right w:w="85" w:type="dxa"/>
            </w:tcMar>
          </w:tcPr>
          <w:p w14:paraId="2B227D53" w14:textId="77777777" w:rsidR="007E0025" w:rsidRPr="00BE78CA" w:rsidRDefault="007E0025" w:rsidP="00C26084">
            <w:pPr>
              <w:pStyle w:val="TableText"/>
            </w:pPr>
            <w:r w:rsidRPr="00BE78CA">
              <w:rPr>
                <w:rFonts w:eastAsia="Calibri"/>
                <w:color w:val="111111"/>
              </w:rPr>
              <w:t>Endeavour to separate naphtha and crude oil with a view to improving the transparency of the reference approach as well as the accuracy of the reporting of NEU of fuels and feedstocks.</w:t>
            </w:r>
          </w:p>
        </w:tc>
        <w:tc>
          <w:tcPr>
            <w:tcW w:w="2678" w:type="dxa"/>
            <w:shd w:val="clear" w:color="auto" w:fill="FFFFFF"/>
            <w:tcMar>
              <w:top w:w="0" w:type="dxa"/>
              <w:left w:w="85" w:type="dxa"/>
              <w:bottom w:w="0" w:type="dxa"/>
              <w:right w:w="85" w:type="dxa"/>
            </w:tcMar>
          </w:tcPr>
          <w:p w14:paraId="652E953E" w14:textId="77777777" w:rsidR="007E0025" w:rsidRPr="00BE78CA" w:rsidRDefault="007E0025" w:rsidP="00C26084">
            <w:pPr>
              <w:pStyle w:val="TableText"/>
            </w:pPr>
            <w:r w:rsidRPr="00BE78CA">
              <w:rPr>
                <w:rFonts w:eastAsia="Calibri"/>
                <w:b/>
                <w:bCs/>
                <w:color w:val="111111"/>
              </w:rPr>
              <w:t>Resolved.</w:t>
            </w:r>
            <w:r w:rsidRPr="00BE78CA">
              <w:rPr>
                <w:rFonts w:eastAsia="Calibri"/>
                <w:color w:val="111111"/>
              </w:rPr>
              <w:t xml:space="preserve"> Naphtha and crude oil have been disaggregated in the reference approach.</w:t>
            </w:r>
          </w:p>
        </w:tc>
      </w:tr>
      <w:tr w:rsidR="007E0025" w:rsidRPr="00BE78CA" w14:paraId="0598E5CF" w14:textId="77777777" w:rsidTr="00C26084">
        <w:tc>
          <w:tcPr>
            <w:tcW w:w="1904" w:type="dxa"/>
            <w:shd w:val="clear" w:color="auto" w:fill="FFFFFF"/>
            <w:tcMar>
              <w:top w:w="0" w:type="dxa"/>
              <w:left w:w="85" w:type="dxa"/>
              <w:bottom w:w="0" w:type="dxa"/>
              <w:right w:w="85" w:type="dxa"/>
            </w:tcMar>
          </w:tcPr>
          <w:p w14:paraId="3FF465B6" w14:textId="77777777" w:rsidR="007E0025" w:rsidRPr="00BE78CA" w:rsidRDefault="007E0025" w:rsidP="00C26084">
            <w:pPr>
              <w:pStyle w:val="TableText"/>
            </w:pPr>
            <w:r w:rsidRPr="00BE78CA">
              <w:rPr>
                <w:rFonts w:eastAsia="Calibri"/>
                <w:color w:val="111111"/>
              </w:rPr>
              <w:t>Energy – Fuel Combustion –reference approach – liquid fuels – CO</w:t>
            </w:r>
            <w:r w:rsidRPr="00BE78CA">
              <w:rPr>
                <w:rFonts w:eastAsia="Calibri"/>
                <w:color w:val="111111"/>
                <w:vertAlign w:val="subscript"/>
              </w:rPr>
              <w:t>2</w:t>
            </w:r>
          </w:p>
        </w:tc>
        <w:tc>
          <w:tcPr>
            <w:tcW w:w="893" w:type="dxa"/>
            <w:shd w:val="clear" w:color="auto" w:fill="FFFFFF"/>
            <w:tcMar>
              <w:top w:w="0" w:type="dxa"/>
              <w:left w:w="85" w:type="dxa"/>
              <w:bottom w:w="0" w:type="dxa"/>
              <w:right w:w="85" w:type="dxa"/>
            </w:tcMar>
          </w:tcPr>
          <w:p w14:paraId="1DEECA11" w14:textId="77777777" w:rsidR="007E0025" w:rsidRPr="00BE78CA" w:rsidRDefault="007E0025" w:rsidP="00C26084">
            <w:pPr>
              <w:pStyle w:val="TableText"/>
            </w:pPr>
            <w:r w:rsidRPr="00BE78CA">
              <w:rPr>
                <w:rFonts w:eastAsia="Calibri"/>
                <w:color w:val="111111"/>
              </w:rPr>
              <w:t>E.3, 2019</w:t>
            </w:r>
          </w:p>
        </w:tc>
        <w:tc>
          <w:tcPr>
            <w:tcW w:w="3019" w:type="dxa"/>
            <w:shd w:val="clear" w:color="auto" w:fill="FFFFFF"/>
            <w:tcMar>
              <w:top w:w="0" w:type="dxa"/>
              <w:left w:w="85" w:type="dxa"/>
              <w:bottom w:w="0" w:type="dxa"/>
              <w:right w:w="85" w:type="dxa"/>
            </w:tcMar>
          </w:tcPr>
          <w:p w14:paraId="6CCAA492" w14:textId="77777777" w:rsidR="007E0025" w:rsidRPr="00BE78CA" w:rsidRDefault="007E0025" w:rsidP="00C26084">
            <w:pPr>
              <w:pStyle w:val="TableText"/>
            </w:pPr>
            <w:r w:rsidRPr="00BE78CA">
              <w:rPr>
                <w:rFonts w:eastAsia="Calibri"/>
                <w:color w:val="111111"/>
              </w:rPr>
              <w:t>Endeavour to incorporate disaggregated data for lubricants, petroleum coke and bitumen in the submission or, if this is not possible, report on progress in addressing the recommendation.</w:t>
            </w:r>
          </w:p>
        </w:tc>
        <w:tc>
          <w:tcPr>
            <w:tcW w:w="2678" w:type="dxa"/>
            <w:shd w:val="clear" w:color="auto" w:fill="FFFFFF"/>
            <w:tcMar>
              <w:top w:w="0" w:type="dxa"/>
              <w:left w:w="85" w:type="dxa"/>
              <w:bottom w:w="0" w:type="dxa"/>
              <w:right w:w="85" w:type="dxa"/>
            </w:tcMar>
          </w:tcPr>
          <w:p w14:paraId="3518704C" w14:textId="77777777" w:rsidR="007E0025" w:rsidRPr="00BE78CA" w:rsidRDefault="007E0025" w:rsidP="00C26084">
            <w:pPr>
              <w:pStyle w:val="TableText"/>
            </w:pPr>
            <w:r w:rsidRPr="00BE78CA">
              <w:rPr>
                <w:rFonts w:eastAsia="Calibri"/>
                <w:b/>
                <w:bCs/>
                <w:color w:val="111111"/>
              </w:rPr>
              <w:t>Resolved.</w:t>
            </w:r>
            <w:r w:rsidRPr="00BE78CA">
              <w:rPr>
                <w:rFonts w:eastAsia="Calibri"/>
                <w:color w:val="111111"/>
              </w:rPr>
              <w:t xml:space="preserve"> These products have been disaggregated in the reference approach.</w:t>
            </w:r>
          </w:p>
        </w:tc>
      </w:tr>
      <w:tr w:rsidR="007E0025" w:rsidRPr="00BE78CA" w14:paraId="18BB9404" w14:textId="77777777" w:rsidTr="00C26084">
        <w:tc>
          <w:tcPr>
            <w:tcW w:w="1904" w:type="dxa"/>
            <w:shd w:val="clear" w:color="auto" w:fill="FFFFFF"/>
            <w:tcMar>
              <w:top w:w="0" w:type="dxa"/>
              <w:left w:w="85" w:type="dxa"/>
              <w:bottom w:w="0" w:type="dxa"/>
              <w:right w:w="85" w:type="dxa"/>
            </w:tcMar>
          </w:tcPr>
          <w:p w14:paraId="55B4F3A4" w14:textId="77777777" w:rsidR="007E0025" w:rsidRPr="00BE78CA" w:rsidRDefault="007E0025" w:rsidP="00C26084">
            <w:pPr>
              <w:pStyle w:val="TableText"/>
            </w:pPr>
            <w:r w:rsidRPr="00BE78CA">
              <w:rPr>
                <w:rFonts w:eastAsia="Calibri"/>
                <w:color w:val="111111"/>
              </w:rPr>
              <w:t>Energy – Fuel Combustion – reference approach – all fuels – CO</w:t>
            </w:r>
            <w:r w:rsidRPr="00BE78CA">
              <w:rPr>
                <w:rFonts w:eastAsia="Calibri"/>
                <w:color w:val="111111"/>
                <w:vertAlign w:val="subscript"/>
              </w:rPr>
              <w:t>2</w:t>
            </w:r>
          </w:p>
        </w:tc>
        <w:tc>
          <w:tcPr>
            <w:tcW w:w="893" w:type="dxa"/>
            <w:shd w:val="clear" w:color="auto" w:fill="FFFFFF"/>
            <w:tcMar>
              <w:top w:w="0" w:type="dxa"/>
              <w:left w:w="85" w:type="dxa"/>
              <w:bottom w:w="0" w:type="dxa"/>
              <w:right w:w="85" w:type="dxa"/>
            </w:tcMar>
          </w:tcPr>
          <w:p w14:paraId="19F3B252" w14:textId="77777777" w:rsidR="007E0025" w:rsidRPr="00BE78CA" w:rsidRDefault="007E0025" w:rsidP="00C26084">
            <w:pPr>
              <w:pStyle w:val="TableText"/>
            </w:pPr>
            <w:r w:rsidRPr="00BE78CA">
              <w:rPr>
                <w:rFonts w:eastAsia="Calibri"/>
                <w:color w:val="111111"/>
              </w:rPr>
              <w:t>E.5, 2019</w:t>
            </w:r>
          </w:p>
        </w:tc>
        <w:tc>
          <w:tcPr>
            <w:tcW w:w="3019" w:type="dxa"/>
            <w:shd w:val="clear" w:color="auto" w:fill="FFFFFF"/>
            <w:tcMar>
              <w:top w:w="0" w:type="dxa"/>
              <w:left w:w="85" w:type="dxa"/>
              <w:bottom w:w="0" w:type="dxa"/>
              <w:right w:w="85" w:type="dxa"/>
            </w:tcMar>
          </w:tcPr>
          <w:p w14:paraId="350CC22A" w14:textId="77777777" w:rsidR="007E0025" w:rsidRPr="00BE78CA" w:rsidRDefault="007E0025" w:rsidP="00C26084">
            <w:pPr>
              <w:pStyle w:val="TableText"/>
            </w:pPr>
            <w:r w:rsidRPr="00BE78CA">
              <w:rPr>
                <w:rFonts w:eastAsia="Calibri"/>
                <w:color w:val="111111"/>
              </w:rPr>
              <w:t>Provide in the NIR a comparison of the allocation of fuel consumption data used in the inventory (CRF table 1.A(b)) and in the energy balance.</w:t>
            </w:r>
          </w:p>
        </w:tc>
        <w:tc>
          <w:tcPr>
            <w:tcW w:w="2678" w:type="dxa"/>
            <w:shd w:val="clear" w:color="auto" w:fill="FFFFFF"/>
            <w:tcMar>
              <w:top w:w="0" w:type="dxa"/>
              <w:left w:w="85" w:type="dxa"/>
              <w:bottom w:w="0" w:type="dxa"/>
              <w:right w:w="85" w:type="dxa"/>
            </w:tcMar>
          </w:tcPr>
          <w:p w14:paraId="45819EF2" w14:textId="77777777" w:rsidR="007E0025" w:rsidRPr="00BE78CA" w:rsidRDefault="007E0025" w:rsidP="00C26084">
            <w:pPr>
              <w:pStyle w:val="TableText"/>
            </w:pPr>
            <w:r w:rsidRPr="00BE78CA">
              <w:rPr>
                <w:rFonts w:eastAsia="Calibri"/>
                <w:b/>
                <w:bCs/>
                <w:color w:val="111111"/>
              </w:rPr>
              <w:t>Resolved.</w:t>
            </w:r>
            <w:r w:rsidRPr="00BE78CA">
              <w:rPr>
                <w:rFonts w:eastAsia="Calibri"/>
                <w:color w:val="111111"/>
              </w:rPr>
              <w:t xml:space="preserve"> Explanatory text included in NIR chapter 3, section 3.3.6.</w:t>
            </w:r>
          </w:p>
        </w:tc>
      </w:tr>
      <w:tr w:rsidR="007E0025" w:rsidRPr="00BE78CA" w14:paraId="41203529" w14:textId="77777777" w:rsidTr="00C26084">
        <w:tc>
          <w:tcPr>
            <w:tcW w:w="1904" w:type="dxa"/>
            <w:shd w:val="clear" w:color="auto" w:fill="FFFFFF"/>
            <w:tcMar>
              <w:top w:w="0" w:type="dxa"/>
              <w:left w:w="85" w:type="dxa"/>
              <w:bottom w:w="0" w:type="dxa"/>
              <w:right w:w="85" w:type="dxa"/>
            </w:tcMar>
          </w:tcPr>
          <w:p w14:paraId="6F2A18B8" w14:textId="77777777" w:rsidR="007E0025" w:rsidRPr="00BE78CA" w:rsidRDefault="007E0025" w:rsidP="00C26084">
            <w:pPr>
              <w:pStyle w:val="TableText"/>
            </w:pPr>
            <w:r w:rsidRPr="00BE78CA">
              <w:rPr>
                <w:rFonts w:eastAsia="Calibri"/>
                <w:color w:val="111111"/>
              </w:rPr>
              <w:t>IPPU – General</w:t>
            </w:r>
          </w:p>
        </w:tc>
        <w:tc>
          <w:tcPr>
            <w:tcW w:w="893" w:type="dxa"/>
            <w:shd w:val="clear" w:color="auto" w:fill="FFFFFF"/>
            <w:tcMar>
              <w:top w:w="0" w:type="dxa"/>
              <w:left w:w="85" w:type="dxa"/>
              <w:bottom w:w="0" w:type="dxa"/>
              <w:right w:w="85" w:type="dxa"/>
            </w:tcMar>
          </w:tcPr>
          <w:p w14:paraId="3D033EAF" w14:textId="77777777" w:rsidR="007E0025" w:rsidRPr="00BE78CA" w:rsidRDefault="007E0025" w:rsidP="00C26084">
            <w:pPr>
              <w:pStyle w:val="TableText"/>
            </w:pPr>
            <w:r w:rsidRPr="00BE78CA">
              <w:rPr>
                <w:rFonts w:eastAsia="Calibri"/>
                <w:color w:val="111111"/>
              </w:rPr>
              <w:t>I.1, 2019</w:t>
            </w:r>
          </w:p>
        </w:tc>
        <w:tc>
          <w:tcPr>
            <w:tcW w:w="3019" w:type="dxa"/>
            <w:shd w:val="clear" w:color="auto" w:fill="FFFFFF"/>
            <w:tcMar>
              <w:top w:w="0" w:type="dxa"/>
              <w:left w:w="85" w:type="dxa"/>
              <w:bottom w:w="0" w:type="dxa"/>
              <w:right w:w="85" w:type="dxa"/>
            </w:tcMar>
          </w:tcPr>
          <w:p w14:paraId="40889285" w14:textId="77777777" w:rsidR="007E0025" w:rsidRPr="00BE78CA" w:rsidRDefault="007E0025" w:rsidP="00C26084">
            <w:pPr>
              <w:pStyle w:val="TableText"/>
            </w:pPr>
            <w:r w:rsidRPr="00BE78CA">
              <w:rPr>
                <w:rFonts w:eastAsia="Calibri"/>
                <w:color w:val="111111"/>
              </w:rPr>
              <w:t>Include in the NIR detailed information and methodological descriptions on how plant-specific data are estimated.</w:t>
            </w:r>
          </w:p>
        </w:tc>
        <w:tc>
          <w:tcPr>
            <w:tcW w:w="2678" w:type="dxa"/>
            <w:shd w:val="clear" w:color="auto" w:fill="FFFFFF"/>
            <w:tcMar>
              <w:top w:w="0" w:type="dxa"/>
              <w:left w:w="85" w:type="dxa"/>
              <w:bottom w:w="0" w:type="dxa"/>
              <w:right w:w="85" w:type="dxa"/>
            </w:tcMar>
          </w:tcPr>
          <w:p w14:paraId="5269D514" w14:textId="77777777" w:rsidR="007E0025" w:rsidRPr="00BE78CA" w:rsidRDefault="007E0025" w:rsidP="00C26084">
            <w:pPr>
              <w:pStyle w:val="TableText"/>
            </w:pPr>
            <w:r w:rsidRPr="00BE78CA">
              <w:rPr>
                <w:rFonts w:eastAsia="Calibri"/>
                <w:b/>
                <w:bCs/>
                <w:color w:val="111111"/>
              </w:rPr>
              <w:t>Resolved.</w:t>
            </w:r>
            <w:r w:rsidRPr="00BE78CA">
              <w:rPr>
                <w:rFonts w:eastAsia="Calibri"/>
                <w:color w:val="111111"/>
              </w:rPr>
              <w:t xml:space="preserve"> Plant-specific descriptions and references to New Zealand Emissions Trading Scheme regulations have been included in the 2018 NIR chapter 4.</w:t>
            </w:r>
          </w:p>
        </w:tc>
      </w:tr>
      <w:tr w:rsidR="007E0025" w:rsidRPr="00BE78CA" w14:paraId="01DA542E" w14:textId="77777777" w:rsidTr="00C26084">
        <w:tc>
          <w:tcPr>
            <w:tcW w:w="1904" w:type="dxa"/>
            <w:shd w:val="clear" w:color="auto" w:fill="FFFFFF"/>
            <w:tcMar>
              <w:top w:w="0" w:type="dxa"/>
              <w:left w:w="85" w:type="dxa"/>
              <w:bottom w:w="0" w:type="dxa"/>
              <w:right w:w="85" w:type="dxa"/>
            </w:tcMar>
          </w:tcPr>
          <w:p w14:paraId="0BA43805" w14:textId="766FB844" w:rsidR="007E0025" w:rsidRPr="00BE78CA" w:rsidRDefault="007E0025" w:rsidP="00C26084">
            <w:pPr>
              <w:pStyle w:val="TableText"/>
            </w:pPr>
            <w:r w:rsidRPr="00BE78CA">
              <w:rPr>
                <w:rFonts w:eastAsia="Calibri"/>
                <w:color w:val="111111"/>
              </w:rPr>
              <w:lastRenderedPageBreak/>
              <w:t xml:space="preserve">IPPU – Mineral industry </w:t>
            </w:r>
            <w:r w:rsidR="001A22B7" w:rsidRPr="00BE78CA">
              <w:rPr>
                <w:rFonts w:eastAsia="Calibri"/>
                <w:color w:val="111111"/>
              </w:rPr>
              <w:br/>
            </w:r>
            <w:r w:rsidRPr="00BE78CA">
              <w:rPr>
                <w:rFonts w:eastAsia="Calibri"/>
                <w:color w:val="111111"/>
              </w:rPr>
              <w:t>– CO</w:t>
            </w:r>
            <w:r w:rsidRPr="00BE78CA">
              <w:rPr>
                <w:rFonts w:eastAsia="Calibri"/>
                <w:color w:val="111111"/>
                <w:vertAlign w:val="subscript"/>
              </w:rPr>
              <w:t>2</w:t>
            </w:r>
          </w:p>
        </w:tc>
        <w:tc>
          <w:tcPr>
            <w:tcW w:w="893" w:type="dxa"/>
            <w:shd w:val="clear" w:color="auto" w:fill="FFFFFF"/>
            <w:tcMar>
              <w:top w:w="0" w:type="dxa"/>
              <w:left w:w="85" w:type="dxa"/>
              <w:bottom w:w="0" w:type="dxa"/>
              <w:right w:w="85" w:type="dxa"/>
            </w:tcMar>
          </w:tcPr>
          <w:p w14:paraId="3605CE4A" w14:textId="77777777" w:rsidR="007E0025" w:rsidRPr="00BE78CA" w:rsidRDefault="007E0025" w:rsidP="00C26084">
            <w:pPr>
              <w:pStyle w:val="TableText"/>
            </w:pPr>
            <w:r w:rsidRPr="00BE78CA">
              <w:rPr>
                <w:rFonts w:eastAsia="Calibri"/>
                <w:color w:val="111111"/>
              </w:rPr>
              <w:t>I.3, 2019</w:t>
            </w:r>
          </w:p>
        </w:tc>
        <w:tc>
          <w:tcPr>
            <w:tcW w:w="3019" w:type="dxa"/>
            <w:shd w:val="clear" w:color="auto" w:fill="FFFFFF"/>
            <w:tcMar>
              <w:top w:w="0" w:type="dxa"/>
              <w:left w:w="85" w:type="dxa"/>
              <w:bottom w:w="0" w:type="dxa"/>
              <w:right w:w="85" w:type="dxa"/>
            </w:tcMar>
          </w:tcPr>
          <w:p w14:paraId="17C7C8BF" w14:textId="77777777" w:rsidR="007E0025" w:rsidRPr="00BE78CA" w:rsidRDefault="007E0025" w:rsidP="00C26084">
            <w:pPr>
              <w:pStyle w:val="TableText"/>
            </w:pPr>
            <w:r w:rsidRPr="00BE78CA">
              <w:rPr>
                <w:rFonts w:eastAsia="Calibri"/>
                <w:color w:val="111111"/>
              </w:rPr>
              <w:t>Review the calculation of the uncertainty for category 2.A and correct the values in NIR tables 4.2.1 and A2.1.1, if needed.</w:t>
            </w:r>
          </w:p>
        </w:tc>
        <w:tc>
          <w:tcPr>
            <w:tcW w:w="2678" w:type="dxa"/>
            <w:shd w:val="clear" w:color="auto" w:fill="FFFFFF"/>
            <w:tcMar>
              <w:top w:w="0" w:type="dxa"/>
              <w:left w:w="85" w:type="dxa"/>
              <w:bottom w:w="0" w:type="dxa"/>
              <w:right w:w="85" w:type="dxa"/>
            </w:tcMar>
          </w:tcPr>
          <w:p w14:paraId="666D1563" w14:textId="77777777" w:rsidR="007E0025" w:rsidRPr="00BE78CA" w:rsidRDefault="007E0025" w:rsidP="00C26084">
            <w:pPr>
              <w:pStyle w:val="TableText"/>
            </w:pPr>
            <w:r w:rsidRPr="00BE78CA">
              <w:rPr>
                <w:rFonts w:eastAsia="Calibri"/>
                <w:b/>
                <w:bCs/>
                <w:color w:val="111111"/>
              </w:rPr>
              <w:t>Resolved.</w:t>
            </w:r>
            <w:r w:rsidRPr="00BE78CA">
              <w:rPr>
                <w:rFonts w:eastAsia="Calibri"/>
                <w:color w:val="111111"/>
              </w:rPr>
              <w:t xml:space="preserve"> This has been reviewed and corrected in NIR chapter 4, table 4.2.1 and annex 2, table A2.1.1.</w:t>
            </w:r>
          </w:p>
        </w:tc>
      </w:tr>
      <w:tr w:rsidR="007E0025" w:rsidRPr="00BE78CA" w14:paraId="1A3ECAF1" w14:textId="77777777" w:rsidTr="00C26084">
        <w:tc>
          <w:tcPr>
            <w:tcW w:w="1904" w:type="dxa"/>
            <w:shd w:val="clear" w:color="auto" w:fill="FFFFFF"/>
            <w:tcMar>
              <w:top w:w="0" w:type="dxa"/>
              <w:left w:w="85" w:type="dxa"/>
              <w:bottom w:w="0" w:type="dxa"/>
              <w:right w:w="85" w:type="dxa"/>
            </w:tcMar>
          </w:tcPr>
          <w:p w14:paraId="2FDC1AB0" w14:textId="36FCF1D4" w:rsidR="007E0025" w:rsidRPr="00BE78CA" w:rsidRDefault="007E0025" w:rsidP="00C26084">
            <w:pPr>
              <w:pStyle w:val="TableText"/>
            </w:pPr>
            <w:r w:rsidRPr="00BE78CA">
              <w:rPr>
                <w:rFonts w:eastAsia="Calibri"/>
                <w:color w:val="111111"/>
              </w:rPr>
              <w:t>IPPU – Lime production</w:t>
            </w:r>
            <w:r w:rsidR="001A22B7" w:rsidRPr="00BE78CA">
              <w:rPr>
                <w:rFonts w:eastAsia="Calibri"/>
                <w:color w:val="111111"/>
              </w:rPr>
              <w:br/>
            </w:r>
            <w:r w:rsidRPr="00BE78CA">
              <w:rPr>
                <w:rFonts w:eastAsia="Calibri"/>
                <w:color w:val="111111"/>
              </w:rPr>
              <w:t xml:space="preserve"> – CO</w:t>
            </w:r>
            <w:r w:rsidRPr="00BE78CA">
              <w:rPr>
                <w:rFonts w:eastAsia="Calibri"/>
                <w:color w:val="111111"/>
                <w:vertAlign w:val="subscript"/>
              </w:rPr>
              <w:t>2</w:t>
            </w:r>
          </w:p>
        </w:tc>
        <w:tc>
          <w:tcPr>
            <w:tcW w:w="893" w:type="dxa"/>
            <w:shd w:val="clear" w:color="auto" w:fill="FFFFFF"/>
            <w:tcMar>
              <w:top w:w="0" w:type="dxa"/>
              <w:left w:w="85" w:type="dxa"/>
              <w:bottom w:w="0" w:type="dxa"/>
              <w:right w:w="85" w:type="dxa"/>
            </w:tcMar>
          </w:tcPr>
          <w:p w14:paraId="29F8B1B3" w14:textId="77777777" w:rsidR="007E0025" w:rsidRPr="00BE78CA" w:rsidRDefault="007E0025" w:rsidP="00C26084">
            <w:pPr>
              <w:pStyle w:val="TableText"/>
            </w:pPr>
            <w:r w:rsidRPr="00BE78CA">
              <w:rPr>
                <w:rFonts w:eastAsia="Calibri"/>
                <w:color w:val="111111"/>
              </w:rPr>
              <w:t>I.6, 2019</w:t>
            </w:r>
          </w:p>
        </w:tc>
        <w:tc>
          <w:tcPr>
            <w:tcW w:w="3019" w:type="dxa"/>
            <w:shd w:val="clear" w:color="auto" w:fill="FFFFFF"/>
            <w:tcMar>
              <w:top w:w="0" w:type="dxa"/>
              <w:left w:w="85" w:type="dxa"/>
              <w:bottom w:w="0" w:type="dxa"/>
              <w:right w:w="85" w:type="dxa"/>
            </w:tcMar>
          </w:tcPr>
          <w:p w14:paraId="44C5EFC0" w14:textId="77777777" w:rsidR="007E0025" w:rsidRPr="00BE78CA" w:rsidRDefault="007E0025" w:rsidP="00C26084">
            <w:pPr>
              <w:pStyle w:val="TableText"/>
            </w:pPr>
            <w:r w:rsidRPr="00BE78CA">
              <w:rPr>
                <w:rFonts w:eastAsia="Calibri"/>
                <w:color w:val="111111"/>
              </w:rPr>
              <w:t>Update the description in the NIR to correctly reflect the AD and EFs used and to clarify the assumptions and methods applied for 1990–2013 and 2014 onward.</w:t>
            </w:r>
          </w:p>
        </w:tc>
        <w:tc>
          <w:tcPr>
            <w:tcW w:w="2678" w:type="dxa"/>
            <w:shd w:val="clear" w:color="auto" w:fill="FFFFFF"/>
            <w:tcMar>
              <w:top w:w="0" w:type="dxa"/>
              <w:left w:w="85" w:type="dxa"/>
              <w:bottom w:w="0" w:type="dxa"/>
              <w:right w:w="85" w:type="dxa"/>
            </w:tcMar>
          </w:tcPr>
          <w:p w14:paraId="788B7CC7" w14:textId="77777777" w:rsidR="007E0025" w:rsidRPr="00BE78CA" w:rsidRDefault="007E0025" w:rsidP="00C26084">
            <w:pPr>
              <w:pStyle w:val="TableText"/>
            </w:pPr>
            <w:r w:rsidRPr="00BE78CA">
              <w:rPr>
                <w:rFonts w:eastAsia="Calibri"/>
                <w:b/>
                <w:bCs/>
                <w:color w:val="111111"/>
              </w:rPr>
              <w:t>Resolved.</w:t>
            </w:r>
            <w:r w:rsidRPr="00BE78CA">
              <w:rPr>
                <w:rFonts w:eastAsia="Calibri"/>
                <w:color w:val="111111"/>
              </w:rPr>
              <w:t xml:space="preserve"> Consistent activity data are now used for the entire time series.</w:t>
            </w:r>
          </w:p>
        </w:tc>
      </w:tr>
      <w:tr w:rsidR="007E0025" w:rsidRPr="00BE78CA" w14:paraId="67D38084" w14:textId="77777777" w:rsidTr="00C26084">
        <w:tc>
          <w:tcPr>
            <w:tcW w:w="1904" w:type="dxa"/>
            <w:shd w:val="clear" w:color="auto" w:fill="FFFFFF"/>
            <w:tcMar>
              <w:top w:w="0" w:type="dxa"/>
              <w:left w:w="85" w:type="dxa"/>
              <w:bottom w:w="0" w:type="dxa"/>
              <w:right w:w="85" w:type="dxa"/>
            </w:tcMar>
          </w:tcPr>
          <w:p w14:paraId="75FC41B6" w14:textId="77777777" w:rsidR="007E0025" w:rsidRPr="00BE78CA" w:rsidRDefault="007E0025" w:rsidP="00C26084">
            <w:pPr>
              <w:pStyle w:val="TableText"/>
            </w:pPr>
            <w:r w:rsidRPr="00BE78CA">
              <w:rPr>
                <w:rFonts w:eastAsia="Calibri"/>
                <w:color w:val="111111"/>
              </w:rPr>
              <w:t>IPPU – Ammonia production – CO</w:t>
            </w:r>
            <w:r w:rsidRPr="00BE78CA">
              <w:rPr>
                <w:rFonts w:eastAsia="Calibri"/>
                <w:color w:val="111111"/>
                <w:vertAlign w:val="subscript"/>
              </w:rPr>
              <w:t>2</w:t>
            </w:r>
          </w:p>
        </w:tc>
        <w:tc>
          <w:tcPr>
            <w:tcW w:w="893" w:type="dxa"/>
            <w:shd w:val="clear" w:color="auto" w:fill="FFFFFF"/>
            <w:tcMar>
              <w:top w:w="0" w:type="dxa"/>
              <w:left w:w="85" w:type="dxa"/>
              <w:bottom w:w="0" w:type="dxa"/>
              <w:right w:w="85" w:type="dxa"/>
            </w:tcMar>
          </w:tcPr>
          <w:p w14:paraId="6971CBDD" w14:textId="77777777" w:rsidR="007E0025" w:rsidRPr="00BE78CA" w:rsidRDefault="007E0025" w:rsidP="00C26084">
            <w:pPr>
              <w:pStyle w:val="TableText"/>
            </w:pPr>
            <w:r w:rsidRPr="00BE78CA">
              <w:rPr>
                <w:rFonts w:eastAsia="Calibri"/>
                <w:color w:val="111111"/>
              </w:rPr>
              <w:t>I.9, 2019</w:t>
            </w:r>
          </w:p>
        </w:tc>
        <w:tc>
          <w:tcPr>
            <w:tcW w:w="3019" w:type="dxa"/>
            <w:shd w:val="clear" w:color="auto" w:fill="FFFFFF"/>
            <w:tcMar>
              <w:top w:w="0" w:type="dxa"/>
              <w:left w:w="85" w:type="dxa"/>
              <w:bottom w:w="0" w:type="dxa"/>
              <w:right w:w="85" w:type="dxa"/>
            </w:tcMar>
          </w:tcPr>
          <w:p w14:paraId="5257CC83" w14:textId="68CFA630" w:rsidR="00347AFE" w:rsidRPr="00BE78CA" w:rsidRDefault="007E0025" w:rsidP="008A7E42">
            <w:pPr>
              <w:pStyle w:val="TableText"/>
              <w:ind w:left="284" w:hanging="284"/>
              <w:rPr>
                <w:rFonts w:eastAsia="Calibri"/>
                <w:color w:val="111111"/>
              </w:rPr>
            </w:pPr>
            <w:r w:rsidRPr="00BE78CA">
              <w:rPr>
                <w:rFonts w:eastAsia="Calibri"/>
                <w:color w:val="111111"/>
              </w:rPr>
              <w:t xml:space="preserve">(a) </w:t>
            </w:r>
            <w:r w:rsidR="008A7E42" w:rsidRPr="00BE78CA">
              <w:rPr>
                <w:rFonts w:eastAsia="Calibri"/>
                <w:color w:val="111111"/>
              </w:rPr>
              <w:tab/>
            </w:r>
            <w:r w:rsidRPr="00BE78CA">
              <w:rPr>
                <w:rFonts w:eastAsia="Calibri"/>
                <w:color w:val="111111"/>
              </w:rPr>
              <w:t xml:space="preserve">Clarify in the NIR (section 4.3.2) that urea used as fertilizer is reported under category 3.H; </w:t>
            </w:r>
          </w:p>
          <w:p w14:paraId="1C4D15D9" w14:textId="77777777" w:rsidR="00004496" w:rsidRPr="00BE78CA" w:rsidRDefault="007E0025" w:rsidP="008A7E42">
            <w:pPr>
              <w:pStyle w:val="TableText"/>
              <w:spacing w:before="0"/>
              <w:ind w:left="284" w:hanging="284"/>
              <w:rPr>
                <w:rFonts w:eastAsia="Calibri"/>
                <w:color w:val="111111"/>
              </w:rPr>
            </w:pPr>
            <w:r w:rsidRPr="00BE78CA">
              <w:rPr>
                <w:rFonts w:eastAsia="Calibri"/>
                <w:color w:val="111111"/>
              </w:rPr>
              <w:t xml:space="preserve">(b) </w:t>
            </w:r>
            <w:r w:rsidR="008A7E42" w:rsidRPr="00BE78CA">
              <w:rPr>
                <w:rFonts w:eastAsia="Calibri"/>
                <w:color w:val="111111"/>
              </w:rPr>
              <w:tab/>
            </w:r>
            <w:r w:rsidRPr="00BE78CA">
              <w:rPr>
                <w:rFonts w:eastAsia="Calibri"/>
                <w:color w:val="111111"/>
              </w:rPr>
              <w:t xml:space="preserve">Either </w:t>
            </w:r>
          </w:p>
          <w:p w14:paraId="57E8BB39" w14:textId="641AD616" w:rsidR="00347AFE" w:rsidRPr="00BE78CA" w:rsidRDefault="007E0025" w:rsidP="00004496">
            <w:pPr>
              <w:pStyle w:val="TableText"/>
              <w:spacing w:before="0"/>
              <w:ind w:left="568" w:hanging="284"/>
              <w:rPr>
                <w:rFonts w:eastAsia="Calibri"/>
                <w:color w:val="111111"/>
              </w:rPr>
            </w:pPr>
            <w:r w:rsidRPr="00BE78CA">
              <w:rPr>
                <w:rFonts w:eastAsia="Calibri"/>
                <w:color w:val="111111"/>
              </w:rPr>
              <w:t xml:space="preserve">(1) </w:t>
            </w:r>
            <w:r w:rsidR="00004496" w:rsidRPr="00BE78CA">
              <w:rPr>
                <w:rFonts w:eastAsia="Calibri"/>
                <w:color w:val="111111"/>
              </w:rPr>
              <w:tab/>
            </w:r>
            <w:r w:rsidRPr="00BE78CA">
              <w:rPr>
                <w:rFonts w:eastAsia="Calibri"/>
                <w:color w:val="111111"/>
              </w:rPr>
              <w:t xml:space="preserve">provide an estimate for urea use in selective catalytic reduction (under category 2.D.3) in line with the 2006 IPCC Guidelines or </w:t>
            </w:r>
          </w:p>
          <w:p w14:paraId="4DA6DB17" w14:textId="61B1FB42" w:rsidR="007E0025" w:rsidRPr="00BE78CA" w:rsidRDefault="007E0025" w:rsidP="00801B7D">
            <w:pPr>
              <w:pStyle w:val="TableText"/>
              <w:spacing w:before="0"/>
              <w:ind w:left="568" w:hanging="284"/>
            </w:pPr>
            <w:r w:rsidRPr="00BE78CA">
              <w:rPr>
                <w:rFonts w:eastAsia="Calibri"/>
                <w:color w:val="111111"/>
              </w:rPr>
              <w:t xml:space="preserve">(2) </w:t>
            </w:r>
            <w:r w:rsidR="008A7E42" w:rsidRPr="00BE78CA">
              <w:rPr>
                <w:rFonts w:eastAsia="Calibri"/>
                <w:color w:val="111111"/>
              </w:rPr>
              <w:tab/>
            </w:r>
            <w:r w:rsidRPr="00BE78CA">
              <w:rPr>
                <w:rFonts w:eastAsia="Calibri"/>
                <w:color w:val="111111"/>
              </w:rPr>
              <w:t>provide a justification for its exclusion in terms of the likely level of emissions, in accordance with the requirements in paragraph 37(b) of the UNFCCC Annex I inventory reporting guidelines.</w:t>
            </w:r>
          </w:p>
        </w:tc>
        <w:tc>
          <w:tcPr>
            <w:tcW w:w="2678" w:type="dxa"/>
            <w:shd w:val="clear" w:color="auto" w:fill="FFFFFF"/>
            <w:tcMar>
              <w:top w:w="0" w:type="dxa"/>
              <w:left w:w="85" w:type="dxa"/>
              <w:bottom w:w="0" w:type="dxa"/>
              <w:right w:w="85" w:type="dxa"/>
            </w:tcMar>
          </w:tcPr>
          <w:p w14:paraId="152FDA39" w14:textId="77777777" w:rsidR="007E0025" w:rsidRPr="00BE78CA" w:rsidRDefault="007E0025" w:rsidP="00C26084">
            <w:pPr>
              <w:pStyle w:val="TableText"/>
            </w:pPr>
            <w:r w:rsidRPr="00BE78CA">
              <w:rPr>
                <w:rFonts w:eastAsia="Calibri"/>
                <w:b/>
                <w:bCs/>
                <w:color w:val="111111"/>
              </w:rPr>
              <w:t>Resolved.</w:t>
            </w:r>
            <w:r w:rsidRPr="00BE78CA">
              <w:rPr>
                <w:rFonts w:eastAsia="Calibri"/>
                <w:color w:val="111111"/>
              </w:rPr>
              <w:t xml:space="preserve"> The use of urea as a catalyst is now reported (CRF 2.D.3).</w:t>
            </w:r>
          </w:p>
        </w:tc>
      </w:tr>
      <w:tr w:rsidR="007E0025" w:rsidRPr="00BE78CA" w14:paraId="188A0DDD" w14:textId="77777777" w:rsidTr="00C26084">
        <w:tc>
          <w:tcPr>
            <w:tcW w:w="1904" w:type="dxa"/>
            <w:shd w:val="clear" w:color="auto" w:fill="FFFFFF"/>
            <w:tcMar>
              <w:top w:w="0" w:type="dxa"/>
              <w:left w:w="85" w:type="dxa"/>
              <w:bottom w:w="0" w:type="dxa"/>
              <w:right w:w="85" w:type="dxa"/>
            </w:tcMar>
          </w:tcPr>
          <w:p w14:paraId="37F6308E" w14:textId="77777777" w:rsidR="007E0025" w:rsidRPr="00BE78CA" w:rsidRDefault="007E0025" w:rsidP="00C26084">
            <w:pPr>
              <w:pStyle w:val="TableText"/>
            </w:pPr>
            <w:r w:rsidRPr="00BE78CA">
              <w:rPr>
                <w:rFonts w:eastAsia="Calibri"/>
                <w:color w:val="111111"/>
              </w:rPr>
              <w:t>IPPU – Iron and steel production – CO</w:t>
            </w:r>
            <w:r w:rsidRPr="00BE78CA">
              <w:rPr>
                <w:rFonts w:eastAsia="Calibri"/>
                <w:color w:val="111111"/>
                <w:vertAlign w:val="subscript"/>
              </w:rPr>
              <w:t>2</w:t>
            </w:r>
          </w:p>
        </w:tc>
        <w:tc>
          <w:tcPr>
            <w:tcW w:w="893" w:type="dxa"/>
            <w:shd w:val="clear" w:color="auto" w:fill="FFFFFF"/>
            <w:tcMar>
              <w:top w:w="0" w:type="dxa"/>
              <w:left w:w="85" w:type="dxa"/>
              <w:bottom w:w="0" w:type="dxa"/>
              <w:right w:w="85" w:type="dxa"/>
            </w:tcMar>
          </w:tcPr>
          <w:p w14:paraId="7AB180F0" w14:textId="77777777" w:rsidR="007E0025" w:rsidRPr="00BE78CA" w:rsidRDefault="007E0025" w:rsidP="00C26084">
            <w:pPr>
              <w:pStyle w:val="TableText"/>
            </w:pPr>
            <w:r w:rsidRPr="00BE78CA">
              <w:rPr>
                <w:rFonts w:eastAsia="Calibri"/>
                <w:color w:val="111111"/>
              </w:rPr>
              <w:t>I.11, 2019</w:t>
            </w:r>
          </w:p>
        </w:tc>
        <w:tc>
          <w:tcPr>
            <w:tcW w:w="3019" w:type="dxa"/>
            <w:shd w:val="clear" w:color="auto" w:fill="FFFFFF"/>
            <w:tcMar>
              <w:top w:w="0" w:type="dxa"/>
              <w:left w:w="85" w:type="dxa"/>
              <w:bottom w:w="0" w:type="dxa"/>
              <w:right w:w="85" w:type="dxa"/>
            </w:tcMar>
          </w:tcPr>
          <w:p w14:paraId="06AC70BA" w14:textId="77777777" w:rsidR="007E0025" w:rsidRPr="00BE78CA" w:rsidRDefault="007E0025" w:rsidP="00C26084">
            <w:pPr>
              <w:pStyle w:val="TableText"/>
            </w:pPr>
            <w:r w:rsidRPr="00BE78CA">
              <w:rPr>
                <w:rFonts w:eastAsia="Calibri"/>
                <w:color w:val="111111"/>
              </w:rPr>
              <w:t>Estimate CO</w:t>
            </w:r>
            <w:r w:rsidRPr="00BE78CA">
              <w:rPr>
                <w:rFonts w:eastAsia="Calibri"/>
                <w:color w:val="111111"/>
                <w:vertAlign w:val="subscript"/>
              </w:rPr>
              <w:t>2</w:t>
            </w:r>
            <w:r w:rsidRPr="00BE78CA">
              <w:rPr>
                <w:rFonts w:eastAsia="Calibri"/>
                <w:color w:val="111111"/>
              </w:rPr>
              <w:t xml:space="preserve"> emissions from electric steel production at the Pacific Steel plant, either by using a carbon balance or by applying an appropriate EF, and report these emissions under category 2.C.1.</w:t>
            </w:r>
          </w:p>
        </w:tc>
        <w:tc>
          <w:tcPr>
            <w:tcW w:w="2678" w:type="dxa"/>
            <w:shd w:val="clear" w:color="auto" w:fill="FFFFFF"/>
            <w:tcMar>
              <w:top w:w="0" w:type="dxa"/>
              <w:left w:w="85" w:type="dxa"/>
              <w:bottom w:w="0" w:type="dxa"/>
              <w:right w:w="85" w:type="dxa"/>
            </w:tcMar>
          </w:tcPr>
          <w:p w14:paraId="206D34A9" w14:textId="77777777" w:rsidR="007E0025" w:rsidRPr="00BE78CA" w:rsidRDefault="007E0025" w:rsidP="00C26084">
            <w:pPr>
              <w:pStyle w:val="TableText"/>
            </w:pPr>
            <w:r w:rsidRPr="00BE78CA">
              <w:rPr>
                <w:rFonts w:eastAsia="Calibri"/>
                <w:b/>
                <w:bCs/>
                <w:color w:val="111111"/>
              </w:rPr>
              <w:t>Addressing.</w:t>
            </w:r>
            <w:r w:rsidRPr="00BE78CA">
              <w:rPr>
                <w:rFonts w:eastAsia="Calibri"/>
                <w:color w:val="111111"/>
              </w:rPr>
              <w:t xml:space="preserve"> The electric arc steel plant was closed in 2015. The relevant historical data are unavailable but an estimate will be made for the next submission.</w:t>
            </w:r>
          </w:p>
        </w:tc>
      </w:tr>
      <w:tr w:rsidR="007E0025" w:rsidRPr="00BE78CA" w14:paraId="3616AF0F" w14:textId="77777777" w:rsidTr="00C26084">
        <w:tc>
          <w:tcPr>
            <w:tcW w:w="1904" w:type="dxa"/>
            <w:shd w:val="clear" w:color="auto" w:fill="FFFFFF"/>
            <w:tcMar>
              <w:top w:w="0" w:type="dxa"/>
              <w:left w:w="85" w:type="dxa"/>
              <w:bottom w:w="0" w:type="dxa"/>
              <w:right w:w="85" w:type="dxa"/>
            </w:tcMar>
          </w:tcPr>
          <w:p w14:paraId="0342A24B" w14:textId="77777777" w:rsidR="007E0025" w:rsidRPr="00BE78CA" w:rsidRDefault="007E0025" w:rsidP="00C26084">
            <w:pPr>
              <w:pStyle w:val="TableText"/>
            </w:pPr>
            <w:r w:rsidRPr="00BE78CA">
              <w:rPr>
                <w:rFonts w:eastAsia="Calibri"/>
                <w:color w:val="111111"/>
              </w:rPr>
              <w:t>IPPU – Magnesium production – SF</w:t>
            </w:r>
            <w:r w:rsidRPr="00BE78CA">
              <w:rPr>
                <w:rFonts w:eastAsia="Calibri"/>
                <w:color w:val="111111"/>
                <w:vertAlign w:val="subscript"/>
              </w:rPr>
              <w:t>6</w:t>
            </w:r>
          </w:p>
        </w:tc>
        <w:tc>
          <w:tcPr>
            <w:tcW w:w="893" w:type="dxa"/>
            <w:shd w:val="clear" w:color="auto" w:fill="FFFFFF"/>
            <w:tcMar>
              <w:top w:w="0" w:type="dxa"/>
              <w:left w:w="85" w:type="dxa"/>
              <w:bottom w:w="0" w:type="dxa"/>
              <w:right w:w="85" w:type="dxa"/>
            </w:tcMar>
          </w:tcPr>
          <w:p w14:paraId="2E58C3E8" w14:textId="77777777" w:rsidR="007E0025" w:rsidRPr="00BE78CA" w:rsidRDefault="007E0025" w:rsidP="00C26084">
            <w:pPr>
              <w:pStyle w:val="TableText"/>
            </w:pPr>
            <w:r w:rsidRPr="00BE78CA">
              <w:rPr>
                <w:rFonts w:eastAsia="Calibri"/>
                <w:color w:val="111111"/>
              </w:rPr>
              <w:t>I.14, 2019</w:t>
            </w:r>
          </w:p>
        </w:tc>
        <w:tc>
          <w:tcPr>
            <w:tcW w:w="3019" w:type="dxa"/>
            <w:shd w:val="clear" w:color="auto" w:fill="FFFFFF"/>
            <w:tcMar>
              <w:top w:w="0" w:type="dxa"/>
              <w:left w:w="85" w:type="dxa"/>
              <w:bottom w:w="0" w:type="dxa"/>
              <w:right w:w="85" w:type="dxa"/>
            </w:tcMar>
          </w:tcPr>
          <w:p w14:paraId="1E6058A7" w14:textId="77777777" w:rsidR="007E0025" w:rsidRPr="00BE78CA" w:rsidRDefault="007E0025" w:rsidP="00C26084">
            <w:pPr>
              <w:pStyle w:val="TableText"/>
            </w:pPr>
            <w:r w:rsidRPr="00BE78CA">
              <w:rPr>
                <w:rFonts w:eastAsia="Calibri"/>
                <w:color w:val="111111"/>
              </w:rPr>
              <w:t>State in the NIR that for SF</w:t>
            </w:r>
            <w:r w:rsidRPr="00BE78CA">
              <w:rPr>
                <w:rFonts w:eastAsia="Calibri"/>
                <w:color w:val="111111"/>
                <w:vertAlign w:val="subscript"/>
              </w:rPr>
              <w:t>6</w:t>
            </w:r>
            <w:r w:rsidRPr="00BE78CA">
              <w:rPr>
                <w:rFonts w:eastAsia="Calibri"/>
                <w:color w:val="111111"/>
              </w:rPr>
              <w:t xml:space="preserve"> emissions from magnesium casting, a country- specific uncertainty is used rather than the IPCC default uncertainty, and explain the reason for its use.</w:t>
            </w:r>
          </w:p>
        </w:tc>
        <w:tc>
          <w:tcPr>
            <w:tcW w:w="2678" w:type="dxa"/>
            <w:shd w:val="clear" w:color="auto" w:fill="FFFFFF"/>
            <w:tcMar>
              <w:top w:w="0" w:type="dxa"/>
              <w:left w:w="85" w:type="dxa"/>
              <w:bottom w:w="0" w:type="dxa"/>
              <w:right w:w="85" w:type="dxa"/>
            </w:tcMar>
          </w:tcPr>
          <w:p w14:paraId="7135C014" w14:textId="77777777" w:rsidR="007E0025" w:rsidRPr="00BE78CA" w:rsidRDefault="007E0025" w:rsidP="00C26084">
            <w:pPr>
              <w:pStyle w:val="TableText"/>
            </w:pPr>
            <w:r w:rsidRPr="00BE78CA">
              <w:rPr>
                <w:rFonts w:eastAsia="Calibri"/>
                <w:b/>
                <w:bCs/>
                <w:color w:val="111111"/>
              </w:rPr>
              <w:t>Resolved.</w:t>
            </w:r>
            <w:r w:rsidRPr="00BE78CA">
              <w:rPr>
                <w:rFonts w:eastAsia="Calibri"/>
                <w:color w:val="111111"/>
              </w:rPr>
              <w:t xml:space="preserve"> This table has been corrected.</w:t>
            </w:r>
          </w:p>
        </w:tc>
      </w:tr>
      <w:tr w:rsidR="007E0025" w:rsidRPr="00BE78CA" w14:paraId="511EFA75" w14:textId="77777777" w:rsidTr="00C26084">
        <w:tc>
          <w:tcPr>
            <w:tcW w:w="1904" w:type="dxa"/>
            <w:shd w:val="clear" w:color="auto" w:fill="FFFFFF"/>
            <w:tcMar>
              <w:top w:w="0" w:type="dxa"/>
              <w:left w:w="85" w:type="dxa"/>
              <w:bottom w:w="0" w:type="dxa"/>
              <w:right w:w="85" w:type="dxa"/>
            </w:tcMar>
          </w:tcPr>
          <w:p w14:paraId="1F46AC97" w14:textId="52774C93" w:rsidR="007E0025" w:rsidRPr="00BE78CA" w:rsidRDefault="007E0025" w:rsidP="00C26084">
            <w:pPr>
              <w:pStyle w:val="TableText"/>
            </w:pPr>
            <w:r w:rsidRPr="00BE78CA">
              <w:rPr>
                <w:rFonts w:eastAsia="Calibri"/>
                <w:color w:val="111111"/>
              </w:rPr>
              <w:t xml:space="preserve">IPPU – Electronics industry – Product uses as substitutes for ozone-depleting substances </w:t>
            </w:r>
            <w:r w:rsidR="001A22B7" w:rsidRPr="00BE78CA">
              <w:rPr>
                <w:rFonts w:eastAsia="Calibri"/>
                <w:color w:val="111111"/>
              </w:rPr>
              <w:br/>
            </w:r>
            <w:r w:rsidRPr="00BE78CA">
              <w:rPr>
                <w:rFonts w:eastAsia="Calibri"/>
                <w:color w:val="111111"/>
              </w:rPr>
              <w:t xml:space="preserve">– Other product manufacture and use </w:t>
            </w:r>
            <w:r w:rsidR="001A22B7" w:rsidRPr="00BE78CA">
              <w:rPr>
                <w:rFonts w:eastAsia="Calibri"/>
                <w:color w:val="111111"/>
              </w:rPr>
              <w:br/>
            </w:r>
            <w:r w:rsidRPr="00BE78CA">
              <w:rPr>
                <w:rFonts w:eastAsia="Calibri"/>
                <w:color w:val="111111"/>
              </w:rPr>
              <w:t>– HFCs, PFCs and SF</w:t>
            </w:r>
            <w:r w:rsidRPr="00BE78CA">
              <w:rPr>
                <w:rFonts w:eastAsia="Calibri"/>
                <w:color w:val="111111"/>
                <w:vertAlign w:val="subscript"/>
              </w:rPr>
              <w:t>6</w:t>
            </w:r>
          </w:p>
        </w:tc>
        <w:tc>
          <w:tcPr>
            <w:tcW w:w="893" w:type="dxa"/>
            <w:shd w:val="clear" w:color="auto" w:fill="FFFFFF"/>
            <w:tcMar>
              <w:top w:w="0" w:type="dxa"/>
              <w:left w:w="85" w:type="dxa"/>
              <w:bottom w:w="0" w:type="dxa"/>
              <w:right w:w="85" w:type="dxa"/>
            </w:tcMar>
          </w:tcPr>
          <w:p w14:paraId="7557E409" w14:textId="77777777" w:rsidR="007E0025" w:rsidRPr="00BE78CA" w:rsidRDefault="007E0025" w:rsidP="00C26084">
            <w:pPr>
              <w:pStyle w:val="TableText"/>
            </w:pPr>
            <w:r w:rsidRPr="00BE78CA">
              <w:rPr>
                <w:rFonts w:eastAsia="Calibri"/>
                <w:color w:val="111111"/>
              </w:rPr>
              <w:t>I.17, 2019</w:t>
            </w:r>
          </w:p>
        </w:tc>
        <w:tc>
          <w:tcPr>
            <w:tcW w:w="3019" w:type="dxa"/>
            <w:shd w:val="clear" w:color="auto" w:fill="FFFFFF"/>
            <w:tcMar>
              <w:top w:w="0" w:type="dxa"/>
              <w:left w:w="85" w:type="dxa"/>
              <w:bottom w:w="0" w:type="dxa"/>
              <w:right w:w="85" w:type="dxa"/>
            </w:tcMar>
          </w:tcPr>
          <w:p w14:paraId="47D41C8A" w14:textId="77777777" w:rsidR="007E0025" w:rsidRPr="00BE78CA" w:rsidRDefault="007E0025" w:rsidP="00C26084">
            <w:pPr>
              <w:pStyle w:val="TableText"/>
            </w:pPr>
            <w:r w:rsidRPr="00BE78CA">
              <w:rPr>
                <w:rFonts w:eastAsia="Calibri"/>
                <w:color w:val="111111"/>
              </w:rPr>
              <w:t>Include in the NIR all the information indicated in the section “Reporting and documentation” of the 2006 IPCC Guidelines for these categories.</w:t>
            </w:r>
          </w:p>
        </w:tc>
        <w:tc>
          <w:tcPr>
            <w:tcW w:w="2678" w:type="dxa"/>
            <w:shd w:val="clear" w:color="auto" w:fill="FFFFFF"/>
            <w:tcMar>
              <w:top w:w="0" w:type="dxa"/>
              <w:left w:w="85" w:type="dxa"/>
              <w:bottom w:w="0" w:type="dxa"/>
              <w:right w:w="85" w:type="dxa"/>
            </w:tcMar>
          </w:tcPr>
          <w:p w14:paraId="2F57A9EF" w14:textId="77777777" w:rsidR="007E0025" w:rsidRPr="00BE78CA" w:rsidRDefault="007E0025" w:rsidP="00C26084">
            <w:pPr>
              <w:pStyle w:val="TableText"/>
            </w:pPr>
            <w:r w:rsidRPr="00BE78CA">
              <w:rPr>
                <w:rFonts w:eastAsia="Calibri"/>
                <w:b/>
                <w:bCs/>
                <w:color w:val="111111"/>
              </w:rPr>
              <w:t>Addressing.</w:t>
            </w:r>
            <w:r w:rsidRPr="00BE78CA">
              <w:rPr>
                <w:rFonts w:eastAsia="Calibri"/>
                <w:color w:val="111111"/>
              </w:rPr>
              <w:t xml:space="preserve"> This is not relevant to 2.E (Electronics industry). For 2.D and 2.G, all recommended information is reported in the NIR. For 2.F, the description of these information sources in the NIR has been improved by adding information about sources, and survey details can be made available to reviewers as required. The description in the NIR will be further reviewed and improved for future submissions.</w:t>
            </w:r>
          </w:p>
        </w:tc>
      </w:tr>
      <w:tr w:rsidR="007E0025" w:rsidRPr="00BE78CA" w14:paraId="0D1E56DE" w14:textId="77777777" w:rsidTr="00C26084">
        <w:tc>
          <w:tcPr>
            <w:tcW w:w="1904" w:type="dxa"/>
            <w:shd w:val="clear" w:color="auto" w:fill="FFFFFF"/>
            <w:tcMar>
              <w:top w:w="0" w:type="dxa"/>
              <w:left w:w="85" w:type="dxa"/>
              <w:bottom w:w="0" w:type="dxa"/>
              <w:right w:w="85" w:type="dxa"/>
            </w:tcMar>
          </w:tcPr>
          <w:p w14:paraId="2C7B4308" w14:textId="45C19392" w:rsidR="007E0025" w:rsidRPr="00BE78CA" w:rsidRDefault="007E0025" w:rsidP="00C26084">
            <w:pPr>
              <w:pStyle w:val="TableText"/>
            </w:pPr>
            <w:r w:rsidRPr="00BE78CA">
              <w:rPr>
                <w:rFonts w:eastAsia="Calibri"/>
                <w:color w:val="111111"/>
              </w:rPr>
              <w:t>IPPU – Product uses as substitutes for ozone-depleting substances</w:t>
            </w:r>
            <w:r w:rsidR="001A22B7" w:rsidRPr="00BE78CA">
              <w:rPr>
                <w:rFonts w:eastAsia="Calibri"/>
                <w:color w:val="111111"/>
              </w:rPr>
              <w:br/>
            </w:r>
            <w:r w:rsidRPr="00BE78CA">
              <w:rPr>
                <w:rFonts w:eastAsia="Calibri"/>
                <w:color w:val="111111"/>
              </w:rPr>
              <w:t xml:space="preserve"> – HFCs</w:t>
            </w:r>
          </w:p>
        </w:tc>
        <w:tc>
          <w:tcPr>
            <w:tcW w:w="893" w:type="dxa"/>
            <w:shd w:val="clear" w:color="auto" w:fill="FFFFFF"/>
            <w:tcMar>
              <w:top w:w="0" w:type="dxa"/>
              <w:left w:w="85" w:type="dxa"/>
              <w:bottom w:w="0" w:type="dxa"/>
              <w:right w:w="85" w:type="dxa"/>
            </w:tcMar>
          </w:tcPr>
          <w:p w14:paraId="0FC74C4C" w14:textId="77777777" w:rsidR="007E0025" w:rsidRPr="00BE78CA" w:rsidRDefault="007E0025" w:rsidP="00C26084">
            <w:pPr>
              <w:pStyle w:val="TableText"/>
            </w:pPr>
            <w:r w:rsidRPr="00BE78CA">
              <w:rPr>
                <w:rFonts w:eastAsia="Calibri"/>
                <w:color w:val="111111"/>
              </w:rPr>
              <w:t>I.18, 2019</w:t>
            </w:r>
          </w:p>
        </w:tc>
        <w:tc>
          <w:tcPr>
            <w:tcW w:w="3019" w:type="dxa"/>
            <w:shd w:val="clear" w:color="auto" w:fill="FFFFFF"/>
            <w:tcMar>
              <w:top w:w="0" w:type="dxa"/>
              <w:left w:w="85" w:type="dxa"/>
              <w:bottom w:w="0" w:type="dxa"/>
              <w:right w:w="85" w:type="dxa"/>
            </w:tcMar>
          </w:tcPr>
          <w:p w14:paraId="6BC6B089" w14:textId="77777777" w:rsidR="007E0025" w:rsidRPr="00BE78CA" w:rsidRDefault="007E0025" w:rsidP="00C26084">
            <w:pPr>
              <w:pStyle w:val="TableText"/>
            </w:pPr>
            <w:r w:rsidRPr="00BE78CA">
              <w:rPr>
                <w:rFonts w:eastAsia="Calibri"/>
                <w:color w:val="111111"/>
              </w:rPr>
              <w:t>Explain, in section 4.7.3 of the NIR, which approach (other than a combination of uncertainties) was used to derive the uncertainty of 35 per cent, presented in NIR table A.2.1.1.</w:t>
            </w:r>
          </w:p>
        </w:tc>
        <w:tc>
          <w:tcPr>
            <w:tcW w:w="2678" w:type="dxa"/>
            <w:shd w:val="clear" w:color="auto" w:fill="FFFFFF"/>
            <w:tcMar>
              <w:top w:w="0" w:type="dxa"/>
              <w:left w:w="85" w:type="dxa"/>
              <w:bottom w:w="0" w:type="dxa"/>
              <w:right w:w="85" w:type="dxa"/>
            </w:tcMar>
          </w:tcPr>
          <w:p w14:paraId="406F6910" w14:textId="77777777" w:rsidR="007E0025" w:rsidRPr="00BE78CA" w:rsidRDefault="007E0025" w:rsidP="00C26084">
            <w:pPr>
              <w:pStyle w:val="TableText"/>
            </w:pPr>
            <w:r w:rsidRPr="00BE78CA">
              <w:rPr>
                <w:rFonts w:eastAsia="Calibri"/>
                <w:b/>
                <w:bCs/>
                <w:color w:val="111111"/>
              </w:rPr>
              <w:t>Resolved.</w:t>
            </w:r>
            <w:r w:rsidRPr="00BE78CA">
              <w:rPr>
                <w:rFonts w:eastAsia="Calibri"/>
                <w:color w:val="111111"/>
              </w:rPr>
              <w:t xml:space="preserve"> This explanation was provided to the expert review team (ERT), and briefly explained in section 4.7.3. Details are available to the ERT on request.</w:t>
            </w:r>
          </w:p>
        </w:tc>
      </w:tr>
      <w:tr w:rsidR="007E0025" w:rsidRPr="00BE78CA" w14:paraId="1B6BB0D4" w14:textId="77777777" w:rsidTr="00C26084">
        <w:tc>
          <w:tcPr>
            <w:tcW w:w="1904" w:type="dxa"/>
            <w:shd w:val="clear" w:color="auto" w:fill="FFFFFF"/>
            <w:tcMar>
              <w:top w:w="0" w:type="dxa"/>
              <w:left w:w="85" w:type="dxa"/>
              <w:bottom w:w="0" w:type="dxa"/>
              <w:right w:w="85" w:type="dxa"/>
            </w:tcMar>
          </w:tcPr>
          <w:p w14:paraId="5FF74422" w14:textId="77777777" w:rsidR="007E0025" w:rsidRPr="00BE78CA" w:rsidRDefault="007E0025" w:rsidP="00C26084">
            <w:pPr>
              <w:pStyle w:val="TableText"/>
            </w:pPr>
            <w:r w:rsidRPr="00BE78CA">
              <w:rPr>
                <w:rFonts w:eastAsia="Calibri"/>
                <w:color w:val="111111"/>
              </w:rPr>
              <w:t>IPPU – Refrigeration and air conditioning – HFCs</w:t>
            </w:r>
          </w:p>
        </w:tc>
        <w:tc>
          <w:tcPr>
            <w:tcW w:w="893" w:type="dxa"/>
            <w:shd w:val="clear" w:color="auto" w:fill="FFFFFF"/>
            <w:tcMar>
              <w:top w:w="0" w:type="dxa"/>
              <w:left w:w="85" w:type="dxa"/>
              <w:bottom w:w="0" w:type="dxa"/>
              <w:right w:w="85" w:type="dxa"/>
            </w:tcMar>
          </w:tcPr>
          <w:p w14:paraId="2BFDC31D" w14:textId="77777777" w:rsidR="007E0025" w:rsidRPr="00BE78CA" w:rsidRDefault="007E0025" w:rsidP="00C26084">
            <w:pPr>
              <w:pStyle w:val="TableText"/>
            </w:pPr>
            <w:r w:rsidRPr="00BE78CA">
              <w:rPr>
                <w:rFonts w:eastAsia="Calibri"/>
                <w:color w:val="111111"/>
              </w:rPr>
              <w:t>I.19, 2019</w:t>
            </w:r>
          </w:p>
        </w:tc>
        <w:tc>
          <w:tcPr>
            <w:tcW w:w="3019" w:type="dxa"/>
            <w:shd w:val="clear" w:color="auto" w:fill="FFFFFF"/>
            <w:tcMar>
              <w:top w:w="0" w:type="dxa"/>
              <w:left w:w="85" w:type="dxa"/>
              <w:bottom w:w="0" w:type="dxa"/>
              <w:right w:w="85" w:type="dxa"/>
            </w:tcMar>
          </w:tcPr>
          <w:p w14:paraId="4133058E" w14:textId="77777777" w:rsidR="007E0025" w:rsidRPr="00BE78CA" w:rsidRDefault="007E0025" w:rsidP="00C26084">
            <w:pPr>
              <w:pStyle w:val="TableText"/>
            </w:pPr>
            <w:r w:rsidRPr="00BE78CA">
              <w:rPr>
                <w:rFonts w:eastAsia="Calibri"/>
                <w:color w:val="111111"/>
              </w:rPr>
              <w:t>Describe in the NIR the methodology used to derive the 2 per cent decline in refrigerant charge in vehicle air- conditioning systems, and demonstrate that this methodology is in line with the splicing techniques in the 2006 IPCC Guidelines.</w:t>
            </w:r>
          </w:p>
        </w:tc>
        <w:tc>
          <w:tcPr>
            <w:tcW w:w="2678" w:type="dxa"/>
            <w:shd w:val="clear" w:color="auto" w:fill="FFFFFF"/>
            <w:tcMar>
              <w:top w:w="0" w:type="dxa"/>
              <w:left w:w="85" w:type="dxa"/>
              <w:bottom w:w="0" w:type="dxa"/>
              <w:right w:w="85" w:type="dxa"/>
            </w:tcMar>
          </w:tcPr>
          <w:p w14:paraId="5D68E024" w14:textId="77777777" w:rsidR="007E0025" w:rsidRPr="00BE78CA" w:rsidRDefault="007E0025" w:rsidP="00C26084">
            <w:pPr>
              <w:pStyle w:val="TableText"/>
            </w:pPr>
            <w:r w:rsidRPr="00BE78CA">
              <w:rPr>
                <w:rFonts w:eastAsia="Calibri"/>
                <w:b/>
                <w:bCs/>
                <w:color w:val="111111"/>
              </w:rPr>
              <w:t>Resolved.</w:t>
            </w:r>
            <w:r w:rsidRPr="00BE78CA">
              <w:rPr>
                <w:rFonts w:eastAsia="Calibri"/>
                <w:color w:val="111111"/>
              </w:rPr>
              <w:t xml:space="preserve"> This description is included in the NIR chapter 4, section 4.7.2.</w:t>
            </w:r>
          </w:p>
        </w:tc>
      </w:tr>
      <w:tr w:rsidR="007E0025" w:rsidRPr="00BE78CA" w14:paraId="0EE7FF14" w14:textId="77777777" w:rsidTr="00C26084">
        <w:tc>
          <w:tcPr>
            <w:tcW w:w="1904" w:type="dxa"/>
            <w:shd w:val="clear" w:color="auto" w:fill="FFFFFF"/>
            <w:tcMar>
              <w:top w:w="0" w:type="dxa"/>
              <w:left w:w="85" w:type="dxa"/>
              <w:bottom w:w="0" w:type="dxa"/>
              <w:right w:w="85" w:type="dxa"/>
            </w:tcMar>
          </w:tcPr>
          <w:p w14:paraId="0D6B7023" w14:textId="77777777" w:rsidR="007E0025" w:rsidRPr="00BE78CA" w:rsidRDefault="007E0025" w:rsidP="00C26084">
            <w:pPr>
              <w:pStyle w:val="TableText"/>
            </w:pPr>
            <w:r w:rsidRPr="00BE78CA">
              <w:rPr>
                <w:rFonts w:eastAsia="Calibri"/>
                <w:color w:val="111111"/>
              </w:rPr>
              <w:t>IPPU – Refrigeration and air conditioning – HFCs</w:t>
            </w:r>
          </w:p>
        </w:tc>
        <w:tc>
          <w:tcPr>
            <w:tcW w:w="893" w:type="dxa"/>
            <w:shd w:val="clear" w:color="auto" w:fill="FFFFFF"/>
            <w:tcMar>
              <w:top w:w="0" w:type="dxa"/>
              <w:left w:w="85" w:type="dxa"/>
              <w:bottom w:w="0" w:type="dxa"/>
              <w:right w:w="85" w:type="dxa"/>
            </w:tcMar>
          </w:tcPr>
          <w:p w14:paraId="6DB9AE40" w14:textId="77777777" w:rsidR="007E0025" w:rsidRPr="00BE78CA" w:rsidRDefault="007E0025" w:rsidP="00C26084">
            <w:pPr>
              <w:pStyle w:val="TableText"/>
            </w:pPr>
            <w:r w:rsidRPr="00BE78CA">
              <w:rPr>
                <w:rFonts w:eastAsia="Calibri"/>
                <w:color w:val="111111"/>
              </w:rPr>
              <w:t>I.21, 2019</w:t>
            </w:r>
          </w:p>
        </w:tc>
        <w:tc>
          <w:tcPr>
            <w:tcW w:w="3019" w:type="dxa"/>
            <w:shd w:val="clear" w:color="auto" w:fill="FFFFFF"/>
            <w:tcMar>
              <w:top w:w="0" w:type="dxa"/>
              <w:left w:w="85" w:type="dxa"/>
              <w:bottom w:w="0" w:type="dxa"/>
              <w:right w:w="85" w:type="dxa"/>
            </w:tcMar>
          </w:tcPr>
          <w:p w14:paraId="075ECEA8" w14:textId="796FEBF8" w:rsidR="007E0025" w:rsidRPr="00BE78CA" w:rsidRDefault="007E0025" w:rsidP="00C26084">
            <w:pPr>
              <w:pStyle w:val="TableText"/>
            </w:pPr>
            <w:r w:rsidRPr="00BE78CA">
              <w:rPr>
                <w:rFonts w:eastAsia="Calibri"/>
                <w:color w:val="111111"/>
              </w:rPr>
              <w:t>Update the average charge of HFC- 134a for the years from 2010 onward by taking into consideration the cars added to the fleet in recent years on the basis of data available from importers and/or from fleet</w:t>
            </w:r>
            <w:r w:rsidR="001A22B7" w:rsidRPr="00BE78CA">
              <w:rPr>
                <w:rFonts w:eastAsia="Calibri"/>
                <w:color w:val="111111"/>
              </w:rPr>
              <w:t> </w:t>
            </w:r>
            <w:r w:rsidRPr="00BE78CA">
              <w:rPr>
                <w:rFonts w:eastAsia="Calibri"/>
                <w:color w:val="111111"/>
              </w:rPr>
              <w:t>statistics.</w:t>
            </w:r>
          </w:p>
        </w:tc>
        <w:tc>
          <w:tcPr>
            <w:tcW w:w="2678" w:type="dxa"/>
            <w:shd w:val="clear" w:color="auto" w:fill="FFFFFF"/>
            <w:tcMar>
              <w:top w:w="0" w:type="dxa"/>
              <w:left w:w="85" w:type="dxa"/>
              <w:bottom w:w="0" w:type="dxa"/>
              <w:right w:w="85" w:type="dxa"/>
            </w:tcMar>
          </w:tcPr>
          <w:p w14:paraId="5B2AAAD1" w14:textId="77777777" w:rsidR="007E0025" w:rsidRPr="00BE78CA" w:rsidRDefault="007E0025" w:rsidP="00C26084">
            <w:pPr>
              <w:pStyle w:val="TableText"/>
            </w:pPr>
            <w:r w:rsidRPr="00BE78CA">
              <w:rPr>
                <w:rFonts w:eastAsia="Calibri"/>
                <w:b/>
                <w:bCs/>
                <w:color w:val="111111"/>
              </w:rPr>
              <w:t xml:space="preserve">Resolved. </w:t>
            </w:r>
            <w:r w:rsidRPr="00BE78CA">
              <w:rPr>
                <w:rFonts w:eastAsia="Calibri"/>
                <w:color w:val="111111"/>
              </w:rPr>
              <w:t>This has been reassessed and a brief explanation provided in the NIR chapter 4, section 4.7.2.</w:t>
            </w:r>
          </w:p>
        </w:tc>
      </w:tr>
      <w:tr w:rsidR="007E0025" w:rsidRPr="00BE78CA" w14:paraId="303042CB" w14:textId="77777777" w:rsidTr="00C26084">
        <w:tc>
          <w:tcPr>
            <w:tcW w:w="1904" w:type="dxa"/>
            <w:shd w:val="clear" w:color="auto" w:fill="FFFFFF"/>
            <w:tcMar>
              <w:top w:w="0" w:type="dxa"/>
              <w:left w:w="85" w:type="dxa"/>
              <w:bottom w:w="0" w:type="dxa"/>
              <w:right w:w="85" w:type="dxa"/>
            </w:tcMar>
          </w:tcPr>
          <w:p w14:paraId="75314BFF" w14:textId="77777777" w:rsidR="007E0025" w:rsidRPr="00BE78CA" w:rsidRDefault="007E0025" w:rsidP="008A7E42">
            <w:pPr>
              <w:pStyle w:val="TableText"/>
              <w:keepNext/>
            </w:pPr>
            <w:r w:rsidRPr="00BE78CA">
              <w:rPr>
                <w:rFonts w:eastAsia="Calibri"/>
                <w:color w:val="111111"/>
              </w:rPr>
              <w:lastRenderedPageBreak/>
              <w:t>IPPU – SF</w:t>
            </w:r>
            <w:r w:rsidRPr="00BE78CA">
              <w:rPr>
                <w:rFonts w:eastAsia="Calibri"/>
                <w:color w:val="111111"/>
                <w:vertAlign w:val="subscript"/>
              </w:rPr>
              <w:t>6</w:t>
            </w:r>
            <w:r w:rsidRPr="00BE78CA">
              <w:rPr>
                <w:rFonts w:eastAsia="Calibri"/>
                <w:color w:val="111111"/>
              </w:rPr>
              <w:t xml:space="preserve"> and PFCs from other product use – SF</w:t>
            </w:r>
            <w:r w:rsidRPr="00BE78CA">
              <w:rPr>
                <w:rFonts w:eastAsia="Calibri"/>
                <w:color w:val="111111"/>
                <w:vertAlign w:val="subscript"/>
              </w:rPr>
              <w:t>6</w:t>
            </w:r>
          </w:p>
        </w:tc>
        <w:tc>
          <w:tcPr>
            <w:tcW w:w="893" w:type="dxa"/>
            <w:shd w:val="clear" w:color="auto" w:fill="FFFFFF"/>
            <w:tcMar>
              <w:top w:w="0" w:type="dxa"/>
              <w:left w:w="85" w:type="dxa"/>
              <w:bottom w:w="0" w:type="dxa"/>
              <w:right w:w="85" w:type="dxa"/>
            </w:tcMar>
          </w:tcPr>
          <w:p w14:paraId="7F3D7C81" w14:textId="77777777" w:rsidR="007E0025" w:rsidRPr="00BE78CA" w:rsidRDefault="007E0025" w:rsidP="00C26084">
            <w:pPr>
              <w:pStyle w:val="TableText"/>
            </w:pPr>
            <w:r w:rsidRPr="00BE78CA">
              <w:rPr>
                <w:rFonts w:eastAsia="Calibri"/>
                <w:color w:val="111111"/>
              </w:rPr>
              <w:t>I.22, 2019</w:t>
            </w:r>
          </w:p>
        </w:tc>
        <w:tc>
          <w:tcPr>
            <w:tcW w:w="3019" w:type="dxa"/>
            <w:shd w:val="clear" w:color="auto" w:fill="FFFFFF"/>
            <w:tcMar>
              <w:top w:w="0" w:type="dxa"/>
              <w:left w:w="85" w:type="dxa"/>
              <w:bottom w:w="0" w:type="dxa"/>
              <w:right w:w="85" w:type="dxa"/>
            </w:tcMar>
          </w:tcPr>
          <w:p w14:paraId="74DE5F44" w14:textId="77777777" w:rsidR="007E0025" w:rsidRPr="00BE78CA" w:rsidRDefault="007E0025" w:rsidP="00C26084">
            <w:pPr>
              <w:pStyle w:val="TableText"/>
            </w:pPr>
            <w:r w:rsidRPr="00BE78CA">
              <w:rPr>
                <w:rFonts w:eastAsia="Calibri"/>
                <w:color w:val="111111"/>
              </w:rPr>
              <w:t>Include in the NIR an explanation of the analysis of SF</w:t>
            </w:r>
            <w:r w:rsidRPr="00BE78CA">
              <w:rPr>
                <w:rFonts w:eastAsia="Calibri"/>
                <w:color w:val="111111"/>
                <w:vertAlign w:val="subscript"/>
              </w:rPr>
              <w:t>6</w:t>
            </w:r>
            <w:r w:rsidRPr="00BE78CA">
              <w:rPr>
                <w:rFonts w:eastAsia="Calibri"/>
                <w:color w:val="111111"/>
              </w:rPr>
              <w:t xml:space="preserve"> emissions from SF</w:t>
            </w:r>
            <w:r w:rsidRPr="00BE78CA">
              <w:rPr>
                <w:rFonts w:eastAsia="Calibri"/>
                <w:color w:val="111111"/>
                <w:vertAlign w:val="subscript"/>
              </w:rPr>
              <w:t>6</w:t>
            </w:r>
            <w:r w:rsidRPr="00BE78CA">
              <w:rPr>
                <w:rFonts w:eastAsia="Calibri"/>
                <w:color w:val="111111"/>
              </w:rPr>
              <w:t xml:space="preserve"> use in shoe and double-glazed window manufacture based on the information that was provided to the 2015 ERT as responses to questions and a background report.</w:t>
            </w:r>
          </w:p>
        </w:tc>
        <w:tc>
          <w:tcPr>
            <w:tcW w:w="2678" w:type="dxa"/>
            <w:shd w:val="clear" w:color="auto" w:fill="FFFFFF"/>
            <w:tcMar>
              <w:top w:w="0" w:type="dxa"/>
              <w:left w:w="85" w:type="dxa"/>
              <w:bottom w:w="0" w:type="dxa"/>
              <w:right w:w="85" w:type="dxa"/>
            </w:tcMar>
          </w:tcPr>
          <w:p w14:paraId="11F99E08" w14:textId="77777777" w:rsidR="007E0025" w:rsidRPr="00BE78CA" w:rsidRDefault="007E0025" w:rsidP="00C26084">
            <w:pPr>
              <w:pStyle w:val="TableText"/>
            </w:pPr>
            <w:r w:rsidRPr="00BE78CA">
              <w:rPr>
                <w:rFonts w:eastAsia="Calibri"/>
                <w:b/>
                <w:bCs/>
                <w:color w:val="111111"/>
              </w:rPr>
              <w:t xml:space="preserve">Resolved. </w:t>
            </w:r>
            <w:r w:rsidRPr="00BE78CA">
              <w:rPr>
                <w:rFonts w:eastAsia="Calibri"/>
                <w:color w:val="111111"/>
              </w:rPr>
              <w:t>This information is included in the NIR chapter 4, section 4.8.2.</w:t>
            </w:r>
          </w:p>
        </w:tc>
      </w:tr>
      <w:tr w:rsidR="007E0025" w:rsidRPr="00BE78CA" w14:paraId="0BA52FB6" w14:textId="77777777" w:rsidTr="00C26084">
        <w:tc>
          <w:tcPr>
            <w:tcW w:w="1904" w:type="dxa"/>
            <w:shd w:val="clear" w:color="auto" w:fill="FFFFFF"/>
            <w:tcMar>
              <w:top w:w="0" w:type="dxa"/>
              <w:left w:w="85" w:type="dxa"/>
              <w:bottom w:w="0" w:type="dxa"/>
              <w:right w:w="85" w:type="dxa"/>
            </w:tcMar>
          </w:tcPr>
          <w:p w14:paraId="467F2DD4" w14:textId="77777777" w:rsidR="007E0025" w:rsidRPr="00BE78CA" w:rsidRDefault="007E0025" w:rsidP="00C26084">
            <w:pPr>
              <w:pStyle w:val="TableText"/>
            </w:pPr>
            <w:r w:rsidRPr="00BE78CA">
              <w:rPr>
                <w:rFonts w:eastAsia="Calibri"/>
                <w:color w:val="111111"/>
              </w:rPr>
              <w:t>Agriculture – Other livestock – CH</w:t>
            </w:r>
            <w:r w:rsidRPr="00BE78CA">
              <w:rPr>
                <w:rFonts w:eastAsia="Calibri"/>
                <w:color w:val="111111"/>
                <w:vertAlign w:val="subscript"/>
              </w:rPr>
              <w:t>4</w:t>
            </w:r>
          </w:p>
        </w:tc>
        <w:tc>
          <w:tcPr>
            <w:tcW w:w="893" w:type="dxa"/>
            <w:shd w:val="clear" w:color="auto" w:fill="FFFFFF"/>
            <w:tcMar>
              <w:top w:w="0" w:type="dxa"/>
              <w:left w:w="85" w:type="dxa"/>
              <w:bottom w:w="0" w:type="dxa"/>
              <w:right w:w="85" w:type="dxa"/>
            </w:tcMar>
          </w:tcPr>
          <w:p w14:paraId="180DEDD1" w14:textId="77777777" w:rsidR="007E0025" w:rsidRPr="00BE78CA" w:rsidRDefault="007E0025" w:rsidP="00C26084">
            <w:pPr>
              <w:pStyle w:val="TableText"/>
            </w:pPr>
            <w:r w:rsidRPr="00BE78CA">
              <w:rPr>
                <w:rFonts w:eastAsia="Calibri"/>
                <w:color w:val="111111"/>
              </w:rPr>
              <w:t>A.2, 2019</w:t>
            </w:r>
          </w:p>
        </w:tc>
        <w:tc>
          <w:tcPr>
            <w:tcW w:w="3019" w:type="dxa"/>
            <w:shd w:val="clear" w:color="auto" w:fill="FFFFFF"/>
            <w:tcMar>
              <w:top w:w="0" w:type="dxa"/>
              <w:left w:w="85" w:type="dxa"/>
              <w:bottom w:w="0" w:type="dxa"/>
              <w:right w:w="85" w:type="dxa"/>
            </w:tcMar>
          </w:tcPr>
          <w:p w14:paraId="69692F8F" w14:textId="77777777" w:rsidR="007E0025" w:rsidRPr="00BE78CA" w:rsidRDefault="007E0025" w:rsidP="00C26084">
            <w:pPr>
              <w:pStyle w:val="TableText"/>
            </w:pPr>
            <w:r w:rsidRPr="00BE78CA">
              <w:rPr>
                <w:rFonts w:eastAsia="Calibri"/>
                <w:color w:val="111111"/>
              </w:rPr>
              <w:t>Provide in the NIR information on the breeding of rabbits and fur-bearing animals.</w:t>
            </w:r>
          </w:p>
        </w:tc>
        <w:tc>
          <w:tcPr>
            <w:tcW w:w="2678" w:type="dxa"/>
            <w:shd w:val="clear" w:color="auto" w:fill="FFFFFF"/>
            <w:tcMar>
              <w:top w:w="0" w:type="dxa"/>
              <w:left w:w="85" w:type="dxa"/>
              <w:bottom w:w="0" w:type="dxa"/>
              <w:right w:w="85" w:type="dxa"/>
            </w:tcMar>
          </w:tcPr>
          <w:p w14:paraId="0352697A" w14:textId="77777777" w:rsidR="007E0025" w:rsidRPr="00BE78CA" w:rsidRDefault="007E0025" w:rsidP="00C26084">
            <w:pPr>
              <w:pStyle w:val="TableText"/>
            </w:pPr>
            <w:r w:rsidRPr="00BE78CA">
              <w:rPr>
                <w:rFonts w:eastAsia="Calibri"/>
                <w:b/>
                <w:bCs/>
                <w:color w:val="111111"/>
              </w:rPr>
              <w:t xml:space="preserve">Resolved. </w:t>
            </w:r>
            <w:r w:rsidRPr="00BE78CA">
              <w:rPr>
                <w:rFonts w:eastAsia="Calibri"/>
                <w:color w:val="111111"/>
              </w:rPr>
              <w:t>New Zealand has investigated this issue. Rabbits are considered an agricultural pest and only a very small number of rabbits are farmed. There is no farming of other fur-bearing animals. This explanation has been included in chapter 1, section 1.4 and chapter 5, section 5.1.4.</w:t>
            </w:r>
          </w:p>
        </w:tc>
      </w:tr>
      <w:tr w:rsidR="007E0025" w:rsidRPr="00BE78CA" w14:paraId="423760C3" w14:textId="77777777" w:rsidTr="00C26084">
        <w:tc>
          <w:tcPr>
            <w:tcW w:w="1904" w:type="dxa"/>
            <w:shd w:val="clear" w:color="auto" w:fill="FFFFFF"/>
            <w:tcMar>
              <w:top w:w="0" w:type="dxa"/>
              <w:left w:w="85" w:type="dxa"/>
              <w:bottom w:w="0" w:type="dxa"/>
              <w:right w:w="85" w:type="dxa"/>
            </w:tcMar>
          </w:tcPr>
          <w:p w14:paraId="5B240A0C" w14:textId="55BC7A3C" w:rsidR="007E0025" w:rsidRPr="00BE78CA" w:rsidRDefault="007E0025" w:rsidP="00C26084">
            <w:pPr>
              <w:pStyle w:val="TableText"/>
            </w:pPr>
            <w:r w:rsidRPr="00BE78CA">
              <w:rPr>
                <w:rFonts w:eastAsia="Calibri"/>
                <w:color w:val="111111"/>
              </w:rPr>
              <w:t xml:space="preserve">LULUCF – Forest land </w:t>
            </w:r>
            <w:r w:rsidR="001A22B7" w:rsidRPr="00BE78CA">
              <w:rPr>
                <w:rFonts w:eastAsia="Calibri"/>
                <w:color w:val="111111"/>
              </w:rPr>
              <w:br/>
            </w:r>
            <w:r w:rsidRPr="00BE78CA">
              <w:rPr>
                <w:rFonts w:eastAsia="Calibri"/>
                <w:color w:val="111111"/>
              </w:rPr>
              <w:t>– CO</w:t>
            </w:r>
            <w:r w:rsidRPr="00BE78CA">
              <w:rPr>
                <w:rFonts w:eastAsia="Calibri"/>
                <w:color w:val="111111"/>
                <w:vertAlign w:val="subscript"/>
              </w:rPr>
              <w:t>2</w:t>
            </w:r>
          </w:p>
        </w:tc>
        <w:tc>
          <w:tcPr>
            <w:tcW w:w="893" w:type="dxa"/>
            <w:shd w:val="clear" w:color="auto" w:fill="FFFFFF"/>
            <w:tcMar>
              <w:top w:w="0" w:type="dxa"/>
              <w:left w:w="85" w:type="dxa"/>
              <w:bottom w:w="0" w:type="dxa"/>
              <w:right w:w="85" w:type="dxa"/>
            </w:tcMar>
          </w:tcPr>
          <w:p w14:paraId="10A25049" w14:textId="77777777" w:rsidR="007E0025" w:rsidRPr="00BE78CA" w:rsidRDefault="007E0025" w:rsidP="00C26084">
            <w:pPr>
              <w:pStyle w:val="TableText"/>
            </w:pPr>
            <w:r w:rsidRPr="00BE78CA">
              <w:rPr>
                <w:rFonts w:eastAsia="Calibri"/>
                <w:color w:val="111111"/>
              </w:rPr>
              <w:t>L.3, 2019</w:t>
            </w:r>
          </w:p>
        </w:tc>
        <w:tc>
          <w:tcPr>
            <w:tcW w:w="3019" w:type="dxa"/>
            <w:shd w:val="clear" w:color="auto" w:fill="FFFFFF"/>
            <w:tcMar>
              <w:top w:w="0" w:type="dxa"/>
              <w:left w:w="85" w:type="dxa"/>
              <w:bottom w:w="0" w:type="dxa"/>
              <w:right w:w="85" w:type="dxa"/>
            </w:tcMar>
          </w:tcPr>
          <w:p w14:paraId="3DEEB438" w14:textId="77777777" w:rsidR="007E0025" w:rsidRPr="00BE78CA" w:rsidRDefault="007E0025" w:rsidP="00C26084">
            <w:pPr>
              <w:pStyle w:val="TableText"/>
            </w:pPr>
            <w:r w:rsidRPr="00BE78CA">
              <w:rPr>
                <w:rFonts w:eastAsia="Calibri"/>
                <w:color w:val="111111"/>
              </w:rPr>
              <w:t>Consider ways to reduce uncertainties in the stock change estimates when further developing the methods for estimating CSC in pre-1990 natural forests.</w:t>
            </w:r>
          </w:p>
        </w:tc>
        <w:tc>
          <w:tcPr>
            <w:tcW w:w="2678" w:type="dxa"/>
            <w:shd w:val="clear" w:color="auto" w:fill="FFFFFF"/>
            <w:tcMar>
              <w:top w:w="0" w:type="dxa"/>
              <w:left w:w="85" w:type="dxa"/>
              <w:bottom w:w="0" w:type="dxa"/>
              <w:right w:w="85" w:type="dxa"/>
            </w:tcMar>
          </w:tcPr>
          <w:p w14:paraId="0984AEED" w14:textId="77777777" w:rsidR="007E0025" w:rsidRPr="00BE78CA" w:rsidRDefault="007E0025" w:rsidP="00C26084">
            <w:pPr>
              <w:pStyle w:val="TableText"/>
            </w:pPr>
            <w:r w:rsidRPr="00BE78CA">
              <w:rPr>
                <w:rFonts w:eastAsia="Calibri"/>
                <w:b/>
                <w:bCs/>
                <w:color w:val="111111"/>
              </w:rPr>
              <w:t xml:space="preserve">Resolved. </w:t>
            </w:r>
            <w:r w:rsidRPr="00BE78CA">
              <w:rPr>
                <w:rFonts w:eastAsia="Calibri"/>
                <w:color w:val="111111"/>
              </w:rPr>
              <w:t>Uncertainty of the pre-1990 natural forest carbon stock change has been reduced through applying different methods, as described in chapter 6, section 6.4.2 of the NIR.</w:t>
            </w:r>
          </w:p>
        </w:tc>
      </w:tr>
      <w:tr w:rsidR="007E0025" w:rsidRPr="00BE78CA" w14:paraId="4FBFA918" w14:textId="77777777" w:rsidTr="00C26084">
        <w:tc>
          <w:tcPr>
            <w:tcW w:w="1904" w:type="dxa"/>
            <w:shd w:val="clear" w:color="auto" w:fill="FFFFFF"/>
            <w:tcMar>
              <w:top w:w="0" w:type="dxa"/>
              <w:left w:w="85" w:type="dxa"/>
              <w:bottom w:w="0" w:type="dxa"/>
              <w:right w:w="85" w:type="dxa"/>
            </w:tcMar>
          </w:tcPr>
          <w:p w14:paraId="6187E830" w14:textId="3AAA346D" w:rsidR="007E0025" w:rsidRPr="00BE78CA" w:rsidRDefault="007E0025" w:rsidP="00C26084">
            <w:pPr>
              <w:pStyle w:val="TableText"/>
            </w:pPr>
            <w:r w:rsidRPr="00BE78CA">
              <w:rPr>
                <w:rFonts w:eastAsia="Calibri"/>
                <w:color w:val="111111"/>
              </w:rPr>
              <w:t>LULUCF – Forest land remaining forest land</w:t>
            </w:r>
            <w:r w:rsidR="001A22B7" w:rsidRPr="00BE78CA">
              <w:rPr>
                <w:rFonts w:eastAsia="Calibri"/>
                <w:color w:val="111111"/>
              </w:rPr>
              <w:br/>
            </w:r>
            <w:r w:rsidRPr="00BE78CA">
              <w:rPr>
                <w:rFonts w:eastAsia="Calibri"/>
                <w:color w:val="111111"/>
              </w:rPr>
              <w:t xml:space="preserve"> – CO</w:t>
            </w:r>
            <w:r w:rsidRPr="00BE78CA">
              <w:rPr>
                <w:rFonts w:eastAsia="Calibri"/>
                <w:color w:val="111111"/>
                <w:vertAlign w:val="subscript"/>
              </w:rPr>
              <w:t>2</w:t>
            </w:r>
          </w:p>
        </w:tc>
        <w:tc>
          <w:tcPr>
            <w:tcW w:w="893" w:type="dxa"/>
            <w:shd w:val="clear" w:color="auto" w:fill="FFFFFF"/>
            <w:tcMar>
              <w:top w:w="0" w:type="dxa"/>
              <w:left w:w="85" w:type="dxa"/>
              <w:bottom w:w="0" w:type="dxa"/>
              <w:right w:w="85" w:type="dxa"/>
            </w:tcMar>
          </w:tcPr>
          <w:p w14:paraId="35E360FD" w14:textId="77777777" w:rsidR="007E0025" w:rsidRPr="00BE78CA" w:rsidRDefault="007E0025" w:rsidP="00C26084">
            <w:pPr>
              <w:pStyle w:val="TableText"/>
            </w:pPr>
            <w:r w:rsidRPr="00BE78CA">
              <w:rPr>
                <w:rFonts w:eastAsia="Calibri"/>
                <w:color w:val="111111"/>
              </w:rPr>
              <w:t>L.4, 2019</w:t>
            </w:r>
          </w:p>
        </w:tc>
        <w:tc>
          <w:tcPr>
            <w:tcW w:w="3019" w:type="dxa"/>
            <w:shd w:val="clear" w:color="auto" w:fill="FFFFFF"/>
            <w:tcMar>
              <w:top w:w="0" w:type="dxa"/>
              <w:left w:w="85" w:type="dxa"/>
              <w:bottom w:w="0" w:type="dxa"/>
              <w:right w:w="85" w:type="dxa"/>
            </w:tcMar>
          </w:tcPr>
          <w:p w14:paraId="6F0CA4CC" w14:textId="77777777" w:rsidR="007E0025" w:rsidRPr="00BE78CA" w:rsidRDefault="007E0025" w:rsidP="00C26084">
            <w:pPr>
              <w:pStyle w:val="TableText"/>
            </w:pPr>
            <w:r w:rsidRPr="00BE78CA">
              <w:rPr>
                <w:rFonts w:eastAsia="Calibri"/>
                <w:color w:val="111111"/>
              </w:rPr>
              <w:t>Update the below-ground biomass ratios, noting that choosing a value above the median in the range of 9</w:t>
            </w:r>
            <w:r w:rsidRPr="00BE78CA">
              <w:rPr>
                <w:rFonts w:eastAsia="Calibri"/>
                <w:color w:val="111111"/>
              </w:rPr>
              <w:noBreakHyphen/>
              <w:t>33 per cent without further documentation entails the risk of overestimation of removals from forest land remaining forest land, and in the meantime, report in the NIR on the progress of this work.</w:t>
            </w:r>
          </w:p>
        </w:tc>
        <w:tc>
          <w:tcPr>
            <w:tcW w:w="2678" w:type="dxa"/>
            <w:shd w:val="clear" w:color="auto" w:fill="FFFFFF"/>
            <w:tcMar>
              <w:top w:w="0" w:type="dxa"/>
              <w:left w:w="85" w:type="dxa"/>
              <w:bottom w:w="0" w:type="dxa"/>
              <w:right w:w="85" w:type="dxa"/>
            </w:tcMar>
          </w:tcPr>
          <w:p w14:paraId="531B0C9C" w14:textId="77777777" w:rsidR="007E0025" w:rsidRPr="00BE78CA" w:rsidRDefault="007E0025" w:rsidP="00C26084">
            <w:pPr>
              <w:pStyle w:val="TableText"/>
            </w:pPr>
            <w:r w:rsidRPr="00BE78CA">
              <w:rPr>
                <w:rFonts w:eastAsia="Calibri"/>
                <w:b/>
                <w:bCs/>
                <w:color w:val="111111"/>
              </w:rPr>
              <w:t>Resolved.</w:t>
            </w:r>
            <w:r w:rsidRPr="00BE78CA">
              <w:rPr>
                <w:rFonts w:eastAsia="Calibri"/>
                <w:color w:val="111111"/>
              </w:rPr>
              <w:t xml:space="preserve"> Below-ground biomass ratios have been updated in chapter 6, section 6.4.2 of the 2021 submission.</w:t>
            </w:r>
          </w:p>
        </w:tc>
      </w:tr>
      <w:tr w:rsidR="007E0025" w:rsidRPr="00BE78CA" w14:paraId="175D5128" w14:textId="77777777" w:rsidTr="00C26084">
        <w:tc>
          <w:tcPr>
            <w:tcW w:w="1904" w:type="dxa"/>
            <w:shd w:val="clear" w:color="auto" w:fill="FFFFFF"/>
            <w:tcMar>
              <w:top w:w="0" w:type="dxa"/>
              <w:left w:w="85" w:type="dxa"/>
              <w:bottom w:w="0" w:type="dxa"/>
              <w:right w:w="85" w:type="dxa"/>
            </w:tcMar>
          </w:tcPr>
          <w:p w14:paraId="06C6D131" w14:textId="77777777" w:rsidR="007E0025" w:rsidRPr="00BE78CA" w:rsidRDefault="007E0025" w:rsidP="00C26084">
            <w:pPr>
              <w:pStyle w:val="TableText"/>
            </w:pPr>
            <w:r w:rsidRPr="00BE78CA">
              <w:rPr>
                <w:rFonts w:eastAsia="Calibri"/>
                <w:color w:val="111111"/>
              </w:rPr>
              <w:t>LULUCF – Wetlands – CO</w:t>
            </w:r>
            <w:r w:rsidRPr="00BE78CA">
              <w:rPr>
                <w:rFonts w:eastAsia="Calibri"/>
                <w:color w:val="111111"/>
                <w:vertAlign w:val="subscript"/>
              </w:rPr>
              <w:t>2</w:t>
            </w:r>
          </w:p>
        </w:tc>
        <w:tc>
          <w:tcPr>
            <w:tcW w:w="893" w:type="dxa"/>
            <w:shd w:val="clear" w:color="auto" w:fill="FFFFFF"/>
            <w:tcMar>
              <w:top w:w="0" w:type="dxa"/>
              <w:left w:w="85" w:type="dxa"/>
              <w:bottom w:w="0" w:type="dxa"/>
              <w:right w:w="85" w:type="dxa"/>
            </w:tcMar>
          </w:tcPr>
          <w:p w14:paraId="1454059E" w14:textId="77777777" w:rsidR="007E0025" w:rsidRPr="00BE78CA" w:rsidRDefault="007E0025" w:rsidP="00C26084">
            <w:pPr>
              <w:pStyle w:val="TableText"/>
            </w:pPr>
            <w:r w:rsidRPr="00BE78CA">
              <w:rPr>
                <w:rFonts w:eastAsia="Calibri"/>
                <w:color w:val="111111"/>
              </w:rPr>
              <w:t>L.6, 2019</w:t>
            </w:r>
          </w:p>
        </w:tc>
        <w:tc>
          <w:tcPr>
            <w:tcW w:w="3019" w:type="dxa"/>
            <w:shd w:val="clear" w:color="auto" w:fill="FFFFFF"/>
            <w:tcMar>
              <w:top w:w="0" w:type="dxa"/>
              <w:left w:w="85" w:type="dxa"/>
              <w:bottom w:w="0" w:type="dxa"/>
              <w:right w:w="85" w:type="dxa"/>
            </w:tcMar>
          </w:tcPr>
          <w:p w14:paraId="76683671" w14:textId="77777777" w:rsidR="007E0025" w:rsidRPr="00BE78CA" w:rsidRDefault="007E0025" w:rsidP="00C26084">
            <w:pPr>
              <w:pStyle w:val="TableText"/>
            </w:pPr>
            <w:r w:rsidRPr="00BE78CA">
              <w:rPr>
                <w:rFonts w:eastAsia="Calibri"/>
                <w:color w:val="111111"/>
              </w:rPr>
              <w:t>Continue the ongoing work to improve estimates for wetlands and report the emissions for subcategories 4.D.1.1 (peat extraction remaining peat extraction) and 4.D.2.1 (land converted to peat extraction).</w:t>
            </w:r>
          </w:p>
        </w:tc>
        <w:tc>
          <w:tcPr>
            <w:tcW w:w="2678" w:type="dxa"/>
            <w:shd w:val="clear" w:color="auto" w:fill="FFFFFF"/>
            <w:tcMar>
              <w:top w:w="0" w:type="dxa"/>
              <w:left w:w="85" w:type="dxa"/>
              <w:bottom w:w="0" w:type="dxa"/>
              <w:right w:w="85" w:type="dxa"/>
            </w:tcMar>
          </w:tcPr>
          <w:p w14:paraId="16FD8829" w14:textId="77777777" w:rsidR="007E0025" w:rsidRPr="00BE78CA" w:rsidRDefault="007E0025" w:rsidP="00C26084">
            <w:pPr>
              <w:pStyle w:val="TableText"/>
            </w:pPr>
            <w:r w:rsidRPr="00BE78CA">
              <w:rPr>
                <w:rFonts w:eastAsia="Calibri"/>
                <w:b/>
                <w:bCs/>
                <w:color w:val="111111"/>
              </w:rPr>
              <w:t xml:space="preserve">Resolved. </w:t>
            </w:r>
            <w:r w:rsidRPr="00BE78CA">
              <w:rPr>
                <w:rFonts w:eastAsia="Calibri"/>
                <w:color w:val="111111"/>
              </w:rPr>
              <w:t>Land converted to peat extraction is reported as ‘not occurring’ (NO) because the areas under peat extraction have remained static since 1990.</w:t>
            </w:r>
          </w:p>
        </w:tc>
      </w:tr>
      <w:tr w:rsidR="007E0025" w:rsidRPr="00BE78CA" w14:paraId="214945E4" w14:textId="77777777" w:rsidTr="00C26084">
        <w:tc>
          <w:tcPr>
            <w:tcW w:w="1904" w:type="dxa"/>
            <w:shd w:val="clear" w:color="auto" w:fill="FFFFFF"/>
            <w:tcMar>
              <w:top w:w="0" w:type="dxa"/>
              <w:left w:w="85" w:type="dxa"/>
              <w:bottom w:w="0" w:type="dxa"/>
              <w:right w:w="85" w:type="dxa"/>
            </w:tcMar>
          </w:tcPr>
          <w:p w14:paraId="71FF3136" w14:textId="77777777" w:rsidR="007E0025" w:rsidRPr="00BE78CA" w:rsidRDefault="007E0025" w:rsidP="00C26084">
            <w:pPr>
              <w:pStyle w:val="TableText"/>
            </w:pPr>
            <w:r w:rsidRPr="00BE78CA">
              <w:rPr>
                <w:rFonts w:eastAsia="Calibri"/>
                <w:color w:val="111111"/>
              </w:rPr>
              <w:t>LULUCF – Direct N</w:t>
            </w:r>
            <w:r w:rsidRPr="00BE78CA">
              <w:rPr>
                <w:rFonts w:eastAsia="Calibri"/>
                <w:color w:val="111111"/>
                <w:vertAlign w:val="subscript"/>
              </w:rPr>
              <w:t>2</w:t>
            </w:r>
            <w:r w:rsidRPr="00BE78CA">
              <w:rPr>
                <w:rFonts w:eastAsia="Calibri"/>
                <w:color w:val="111111"/>
              </w:rPr>
              <w:t>O emissions from N mineralization/ immobilization – N</w:t>
            </w:r>
            <w:r w:rsidRPr="00BE78CA">
              <w:rPr>
                <w:rFonts w:eastAsia="Calibri"/>
                <w:color w:val="111111"/>
                <w:vertAlign w:val="subscript"/>
              </w:rPr>
              <w:t>2</w:t>
            </w:r>
            <w:r w:rsidRPr="00BE78CA">
              <w:rPr>
                <w:rFonts w:eastAsia="Calibri"/>
                <w:color w:val="111111"/>
              </w:rPr>
              <w:t>O</w:t>
            </w:r>
          </w:p>
        </w:tc>
        <w:tc>
          <w:tcPr>
            <w:tcW w:w="893" w:type="dxa"/>
            <w:shd w:val="clear" w:color="auto" w:fill="FFFFFF"/>
            <w:tcMar>
              <w:top w:w="0" w:type="dxa"/>
              <w:left w:w="85" w:type="dxa"/>
              <w:bottom w:w="0" w:type="dxa"/>
              <w:right w:w="85" w:type="dxa"/>
            </w:tcMar>
          </w:tcPr>
          <w:p w14:paraId="660FE1F8" w14:textId="77777777" w:rsidR="007E0025" w:rsidRPr="00BE78CA" w:rsidRDefault="007E0025" w:rsidP="00C26084">
            <w:pPr>
              <w:pStyle w:val="TableText"/>
            </w:pPr>
            <w:r w:rsidRPr="00BE78CA">
              <w:rPr>
                <w:rFonts w:eastAsia="Calibri"/>
                <w:color w:val="111111"/>
              </w:rPr>
              <w:t>L.7, 2019</w:t>
            </w:r>
          </w:p>
        </w:tc>
        <w:tc>
          <w:tcPr>
            <w:tcW w:w="3019" w:type="dxa"/>
            <w:shd w:val="clear" w:color="auto" w:fill="FFFFFF"/>
            <w:tcMar>
              <w:top w:w="0" w:type="dxa"/>
              <w:left w:w="85" w:type="dxa"/>
              <w:bottom w:w="0" w:type="dxa"/>
              <w:right w:w="85" w:type="dxa"/>
            </w:tcMar>
          </w:tcPr>
          <w:p w14:paraId="0A5CE2F4" w14:textId="77777777" w:rsidR="007E0025" w:rsidRPr="00BE78CA" w:rsidRDefault="007E0025" w:rsidP="00C26084">
            <w:pPr>
              <w:pStyle w:val="TableText"/>
            </w:pPr>
            <w:r w:rsidRPr="00BE78CA">
              <w:rPr>
                <w:rFonts w:eastAsia="Calibri"/>
                <w:color w:val="111111"/>
              </w:rPr>
              <w:t>Correct the C/N ratio to 15:1 in the NIR (p.300).</w:t>
            </w:r>
          </w:p>
        </w:tc>
        <w:tc>
          <w:tcPr>
            <w:tcW w:w="2678" w:type="dxa"/>
            <w:shd w:val="clear" w:color="auto" w:fill="FFFFFF"/>
            <w:tcMar>
              <w:top w:w="0" w:type="dxa"/>
              <w:left w:w="85" w:type="dxa"/>
              <w:bottom w:w="0" w:type="dxa"/>
              <w:right w:w="85" w:type="dxa"/>
            </w:tcMar>
          </w:tcPr>
          <w:p w14:paraId="287B67C9" w14:textId="77777777" w:rsidR="007E0025" w:rsidRPr="00BE78CA" w:rsidRDefault="007E0025" w:rsidP="00C26084">
            <w:pPr>
              <w:pStyle w:val="TableText"/>
            </w:pPr>
            <w:r w:rsidRPr="00BE78CA">
              <w:rPr>
                <w:rFonts w:eastAsia="Calibri"/>
                <w:b/>
                <w:bCs/>
                <w:color w:val="111111"/>
              </w:rPr>
              <w:t>Resolved.</w:t>
            </w:r>
            <w:r w:rsidRPr="00BE78CA">
              <w:rPr>
                <w:rFonts w:eastAsia="Calibri"/>
                <w:color w:val="111111"/>
              </w:rPr>
              <w:t xml:space="preserve"> This has been correctly reported since the 2020 submission.</w:t>
            </w:r>
          </w:p>
        </w:tc>
      </w:tr>
      <w:tr w:rsidR="007E0025" w:rsidRPr="00BE78CA" w14:paraId="2F626D1A" w14:textId="77777777" w:rsidTr="00C26084">
        <w:tc>
          <w:tcPr>
            <w:tcW w:w="1904" w:type="dxa"/>
            <w:shd w:val="clear" w:color="auto" w:fill="FFFFFF"/>
            <w:tcMar>
              <w:top w:w="0" w:type="dxa"/>
              <w:left w:w="85" w:type="dxa"/>
              <w:bottom w:w="0" w:type="dxa"/>
              <w:right w:w="85" w:type="dxa"/>
            </w:tcMar>
          </w:tcPr>
          <w:p w14:paraId="130AF454" w14:textId="77777777" w:rsidR="007E0025" w:rsidRPr="00BE78CA" w:rsidRDefault="007E0025" w:rsidP="00C26084">
            <w:pPr>
              <w:pStyle w:val="TableText"/>
            </w:pPr>
            <w:r w:rsidRPr="00BE78CA">
              <w:rPr>
                <w:rFonts w:eastAsia="Calibri"/>
                <w:color w:val="111111"/>
              </w:rPr>
              <w:t>Waste – Solid waste disposal on land – CH</w:t>
            </w:r>
            <w:r w:rsidRPr="00BE78CA">
              <w:rPr>
                <w:rFonts w:eastAsia="Calibri"/>
                <w:color w:val="111111"/>
                <w:vertAlign w:val="subscript"/>
              </w:rPr>
              <w:t>4</w:t>
            </w:r>
          </w:p>
        </w:tc>
        <w:tc>
          <w:tcPr>
            <w:tcW w:w="893" w:type="dxa"/>
            <w:shd w:val="clear" w:color="auto" w:fill="FFFFFF"/>
            <w:tcMar>
              <w:top w:w="0" w:type="dxa"/>
              <w:left w:w="85" w:type="dxa"/>
              <w:bottom w:w="0" w:type="dxa"/>
              <w:right w:w="85" w:type="dxa"/>
            </w:tcMar>
          </w:tcPr>
          <w:p w14:paraId="264BEC58" w14:textId="77777777" w:rsidR="007E0025" w:rsidRPr="00BE78CA" w:rsidRDefault="007E0025" w:rsidP="00C26084">
            <w:pPr>
              <w:pStyle w:val="TableText"/>
            </w:pPr>
            <w:r w:rsidRPr="00BE78CA">
              <w:rPr>
                <w:rFonts w:eastAsia="Calibri"/>
                <w:color w:val="111111"/>
              </w:rPr>
              <w:t>W.4, 2019</w:t>
            </w:r>
          </w:p>
        </w:tc>
        <w:tc>
          <w:tcPr>
            <w:tcW w:w="3019" w:type="dxa"/>
            <w:shd w:val="clear" w:color="auto" w:fill="FFFFFF"/>
            <w:tcMar>
              <w:top w:w="0" w:type="dxa"/>
              <w:left w:w="85" w:type="dxa"/>
              <w:bottom w:w="0" w:type="dxa"/>
              <w:right w:w="85" w:type="dxa"/>
            </w:tcMar>
          </w:tcPr>
          <w:p w14:paraId="49B6BDCA" w14:textId="77777777" w:rsidR="007E0025" w:rsidRPr="00BE78CA" w:rsidRDefault="007E0025" w:rsidP="00C26084">
            <w:pPr>
              <w:pStyle w:val="TableText"/>
            </w:pPr>
            <w:r w:rsidRPr="00BE78CA">
              <w:rPr>
                <w:rFonts w:eastAsia="Calibri"/>
                <w:color w:val="111111"/>
              </w:rPr>
              <w:t>Provide substantive justification for the country-specific default values on CH</w:t>
            </w:r>
            <w:r w:rsidRPr="00BE78CA">
              <w:rPr>
                <w:rFonts w:eastAsia="Calibri"/>
                <w:color w:val="111111"/>
                <w:vertAlign w:val="subscript"/>
              </w:rPr>
              <w:t>4</w:t>
            </w:r>
            <w:r w:rsidRPr="00BE78CA">
              <w:rPr>
                <w:rFonts w:eastAsia="Calibri"/>
                <w:color w:val="111111"/>
              </w:rPr>
              <w:t xml:space="preserve"> recovery efficiency, including justification for the factors that can enhance the recovery, or revise estimates for CH</w:t>
            </w:r>
            <w:r w:rsidRPr="00BE78CA">
              <w:rPr>
                <w:rFonts w:eastAsia="Calibri"/>
                <w:color w:val="111111"/>
                <w:vertAlign w:val="subscript"/>
              </w:rPr>
              <w:t>4</w:t>
            </w:r>
            <w:r w:rsidRPr="00BE78CA">
              <w:rPr>
                <w:rFonts w:eastAsia="Calibri"/>
                <w:color w:val="111111"/>
              </w:rPr>
              <w:t xml:space="preserve"> recovery at SWDS for which metered data are not available to 20 per cent, in order to be consistent with the guidance in the 2006 IPCC Guidelines.</w:t>
            </w:r>
          </w:p>
        </w:tc>
        <w:tc>
          <w:tcPr>
            <w:tcW w:w="2678" w:type="dxa"/>
            <w:shd w:val="clear" w:color="auto" w:fill="FFFFFF"/>
            <w:tcMar>
              <w:top w:w="0" w:type="dxa"/>
              <w:left w:w="85" w:type="dxa"/>
              <w:bottom w:w="0" w:type="dxa"/>
              <w:right w:w="85" w:type="dxa"/>
            </w:tcMar>
          </w:tcPr>
          <w:p w14:paraId="029BD5B7" w14:textId="77777777" w:rsidR="007E0025" w:rsidRPr="00BE78CA" w:rsidRDefault="007E0025" w:rsidP="00C26084">
            <w:pPr>
              <w:pStyle w:val="TableText"/>
            </w:pPr>
            <w:r w:rsidRPr="00BE78CA">
              <w:rPr>
                <w:rFonts w:eastAsia="Calibri"/>
                <w:b/>
                <w:bCs/>
                <w:color w:val="111111"/>
              </w:rPr>
              <w:t>Resolved.</w:t>
            </w:r>
            <w:r w:rsidRPr="00BE78CA">
              <w:rPr>
                <w:rFonts w:eastAsia="Calibri"/>
                <w:color w:val="111111"/>
              </w:rPr>
              <w:t xml:space="preserve"> Methane recovery efficiency has been revised for the 2021 submission according to the Eunomia report (unpublished). Refer to chapter 7, section 7.2.2.</w:t>
            </w:r>
          </w:p>
        </w:tc>
      </w:tr>
      <w:tr w:rsidR="007E0025" w:rsidRPr="00BE78CA" w14:paraId="5EB699C1" w14:textId="77777777" w:rsidTr="00C26084">
        <w:tc>
          <w:tcPr>
            <w:tcW w:w="1904" w:type="dxa"/>
            <w:shd w:val="clear" w:color="auto" w:fill="FFFFFF"/>
            <w:tcMar>
              <w:top w:w="0" w:type="dxa"/>
              <w:left w:w="85" w:type="dxa"/>
              <w:bottom w:w="0" w:type="dxa"/>
              <w:right w:w="85" w:type="dxa"/>
            </w:tcMar>
          </w:tcPr>
          <w:p w14:paraId="6E004AF2" w14:textId="77777777" w:rsidR="007E0025" w:rsidRPr="00BE78CA" w:rsidRDefault="007E0025" w:rsidP="00C26084">
            <w:pPr>
              <w:pStyle w:val="TableText"/>
            </w:pPr>
            <w:r w:rsidRPr="00BE78CA">
              <w:rPr>
                <w:rFonts w:eastAsia="Calibri"/>
                <w:color w:val="111111"/>
              </w:rPr>
              <w:t>Waste – Managed waste disposal sites – CH</w:t>
            </w:r>
            <w:r w:rsidRPr="00BE78CA">
              <w:rPr>
                <w:rFonts w:eastAsia="Calibri"/>
                <w:color w:val="111111"/>
                <w:vertAlign w:val="subscript"/>
              </w:rPr>
              <w:t>4</w:t>
            </w:r>
          </w:p>
        </w:tc>
        <w:tc>
          <w:tcPr>
            <w:tcW w:w="893" w:type="dxa"/>
            <w:shd w:val="clear" w:color="auto" w:fill="FFFFFF"/>
            <w:tcMar>
              <w:top w:w="0" w:type="dxa"/>
              <w:left w:w="85" w:type="dxa"/>
              <w:bottom w:w="0" w:type="dxa"/>
              <w:right w:w="85" w:type="dxa"/>
            </w:tcMar>
          </w:tcPr>
          <w:p w14:paraId="1C482838" w14:textId="77777777" w:rsidR="007E0025" w:rsidRPr="00BE78CA" w:rsidRDefault="007E0025" w:rsidP="00C26084">
            <w:pPr>
              <w:pStyle w:val="TableText"/>
            </w:pPr>
            <w:r w:rsidRPr="00BE78CA">
              <w:rPr>
                <w:rFonts w:eastAsia="Calibri"/>
                <w:color w:val="111111"/>
              </w:rPr>
              <w:t>W.8, 2019</w:t>
            </w:r>
          </w:p>
        </w:tc>
        <w:tc>
          <w:tcPr>
            <w:tcW w:w="3019" w:type="dxa"/>
            <w:shd w:val="clear" w:color="auto" w:fill="FFFFFF"/>
            <w:tcMar>
              <w:top w:w="0" w:type="dxa"/>
              <w:left w:w="85" w:type="dxa"/>
              <w:bottom w:w="0" w:type="dxa"/>
              <w:right w:w="85" w:type="dxa"/>
            </w:tcMar>
          </w:tcPr>
          <w:p w14:paraId="173B9B07" w14:textId="77777777" w:rsidR="007E0025" w:rsidRPr="00BE78CA" w:rsidRDefault="007E0025" w:rsidP="00C26084">
            <w:pPr>
              <w:pStyle w:val="TableText"/>
            </w:pPr>
            <w:r w:rsidRPr="00BE78CA">
              <w:rPr>
                <w:rFonts w:eastAsia="Calibri"/>
                <w:color w:val="111111"/>
              </w:rPr>
              <w:t>Either provide a better justification for the country-specific rate constant for biodegradation in landfills for municipal solid waste, or calculate CH</w:t>
            </w:r>
            <w:r w:rsidRPr="00BE78CA">
              <w:rPr>
                <w:rFonts w:eastAsia="Calibri"/>
                <w:color w:val="111111"/>
                <w:vertAlign w:val="subscript"/>
              </w:rPr>
              <w:t>4</w:t>
            </w:r>
            <w:r w:rsidRPr="00BE78CA">
              <w:rPr>
                <w:rFonts w:eastAsia="Calibri"/>
                <w:color w:val="111111"/>
              </w:rPr>
              <w:t xml:space="preserve"> generation for municipal landfills with the default rate constant k for biodegradation from the 2006 IPCC Guidelines.</w:t>
            </w:r>
          </w:p>
        </w:tc>
        <w:tc>
          <w:tcPr>
            <w:tcW w:w="2678" w:type="dxa"/>
            <w:shd w:val="clear" w:color="auto" w:fill="FFFFFF"/>
            <w:tcMar>
              <w:top w:w="0" w:type="dxa"/>
              <w:left w:w="85" w:type="dxa"/>
              <w:bottom w:w="0" w:type="dxa"/>
              <w:right w:w="85" w:type="dxa"/>
            </w:tcMar>
          </w:tcPr>
          <w:p w14:paraId="64B7153C" w14:textId="77777777" w:rsidR="007E0025" w:rsidRPr="00BE78CA" w:rsidRDefault="007E0025" w:rsidP="00C26084">
            <w:pPr>
              <w:pStyle w:val="TableText"/>
            </w:pPr>
            <w:r w:rsidRPr="00BE78CA">
              <w:rPr>
                <w:rFonts w:eastAsia="Calibri"/>
                <w:b/>
                <w:bCs/>
                <w:color w:val="111111"/>
              </w:rPr>
              <w:t>Resolved.</w:t>
            </w:r>
            <w:r w:rsidRPr="00BE78CA">
              <w:rPr>
                <w:rFonts w:eastAsia="Calibri"/>
                <w:color w:val="111111"/>
              </w:rPr>
              <w:t xml:space="preserve"> The k-values have been revised for the 2021 submission according to the Eunomia report (unpublished). Refer to chapter 7, section 7.2.2.</w:t>
            </w:r>
          </w:p>
        </w:tc>
      </w:tr>
      <w:tr w:rsidR="007E0025" w:rsidRPr="00BE78CA" w14:paraId="6F3AEAED" w14:textId="77777777" w:rsidTr="00C26084">
        <w:tc>
          <w:tcPr>
            <w:tcW w:w="1904" w:type="dxa"/>
            <w:shd w:val="clear" w:color="auto" w:fill="FFFFFF"/>
            <w:tcMar>
              <w:top w:w="0" w:type="dxa"/>
              <w:left w:w="85" w:type="dxa"/>
              <w:bottom w:w="0" w:type="dxa"/>
              <w:right w:w="85" w:type="dxa"/>
            </w:tcMar>
          </w:tcPr>
          <w:p w14:paraId="1E355DBA" w14:textId="77777777" w:rsidR="007E0025" w:rsidRPr="00BE78CA" w:rsidRDefault="007E0025" w:rsidP="00C26084">
            <w:pPr>
              <w:pStyle w:val="TableText"/>
            </w:pPr>
            <w:r w:rsidRPr="00BE78CA">
              <w:rPr>
                <w:rFonts w:eastAsia="Calibri"/>
                <w:color w:val="111111"/>
              </w:rPr>
              <w:t>KP-LULUCF activities – AR – CO</w:t>
            </w:r>
            <w:r w:rsidRPr="00BE78CA">
              <w:rPr>
                <w:rFonts w:eastAsia="Calibri"/>
                <w:color w:val="111111"/>
                <w:vertAlign w:val="subscript"/>
              </w:rPr>
              <w:t>2</w:t>
            </w:r>
          </w:p>
        </w:tc>
        <w:tc>
          <w:tcPr>
            <w:tcW w:w="893" w:type="dxa"/>
            <w:shd w:val="clear" w:color="auto" w:fill="FFFFFF"/>
            <w:tcMar>
              <w:top w:w="0" w:type="dxa"/>
              <w:left w:w="85" w:type="dxa"/>
              <w:bottom w:w="0" w:type="dxa"/>
              <w:right w:w="85" w:type="dxa"/>
            </w:tcMar>
          </w:tcPr>
          <w:p w14:paraId="00596F88" w14:textId="77777777" w:rsidR="007E0025" w:rsidRPr="00BE78CA" w:rsidRDefault="007E0025" w:rsidP="00C26084">
            <w:pPr>
              <w:pStyle w:val="TableText"/>
            </w:pPr>
            <w:r w:rsidRPr="00BE78CA">
              <w:rPr>
                <w:rFonts w:eastAsia="Calibri"/>
                <w:color w:val="111111"/>
              </w:rPr>
              <w:t>KL.2, 2019</w:t>
            </w:r>
          </w:p>
        </w:tc>
        <w:tc>
          <w:tcPr>
            <w:tcW w:w="3019" w:type="dxa"/>
            <w:shd w:val="clear" w:color="auto" w:fill="FFFFFF"/>
            <w:tcMar>
              <w:top w:w="0" w:type="dxa"/>
              <w:left w:w="85" w:type="dxa"/>
              <w:bottom w:w="0" w:type="dxa"/>
              <w:right w:w="85" w:type="dxa"/>
            </w:tcMar>
          </w:tcPr>
          <w:p w14:paraId="02186869" w14:textId="77777777" w:rsidR="007E0025" w:rsidRPr="00BE78CA" w:rsidRDefault="007E0025" w:rsidP="00C26084">
            <w:pPr>
              <w:pStyle w:val="TableText"/>
            </w:pPr>
            <w:r w:rsidRPr="00BE78CA">
              <w:rPr>
                <w:rFonts w:eastAsia="Calibri"/>
                <w:color w:val="111111"/>
              </w:rPr>
              <w:t>Include in the NIR synthesized information on the correspondence between forest land (i.e. the area of planted forest versus natural forest as presented in CRF table 4.A) and AR areas reported in CRF table 4(KP-1)A.1.</w:t>
            </w:r>
          </w:p>
        </w:tc>
        <w:tc>
          <w:tcPr>
            <w:tcW w:w="2678" w:type="dxa"/>
            <w:shd w:val="clear" w:color="auto" w:fill="FFFFFF"/>
            <w:tcMar>
              <w:top w:w="0" w:type="dxa"/>
              <w:left w:w="85" w:type="dxa"/>
              <w:bottom w:w="0" w:type="dxa"/>
              <w:right w:w="85" w:type="dxa"/>
            </w:tcMar>
          </w:tcPr>
          <w:p w14:paraId="7D6A39DE" w14:textId="77777777" w:rsidR="007E0025" w:rsidRPr="00BE78CA" w:rsidRDefault="007E0025" w:rsidP="00C26084">
            <w:pPr>
              <w:pStyle w:val="TableText"/>
            </w:pPr>
            <w:r w:rsidRPr="00BE78CA">
              <w:rPr>
                <w:rFonts w:eastAsia="Calibri"/>
                <w:b/>
                <w:bCs/>
                <w:color w:val="111111"/>
              </w:rPr>
              <w:t xml:space="preserve">Resolved. </w:t>
            </w:r>
            <w:r w:rsidRPr="00BE78CA">
              <w:rPr>
                <w:rFonts w:eastAsia="Calibri"/>
                <w:color w:val="111111"/>
              </w:rPr>
              <w:t>Table 11.3.2 has been added to section 11.3.2 in chapter 11, providing this information.</w:t>
            </w:r>
          </w:p>
        </w:tc>
      </w:tr>
      <w:tr w:rsidR="007E0025" w:rsidRPr="00BE78CA" w14:paraId="56A1219B" w14:textId="77777777" w:rsidTr="00C26084">
        <w:tc>
          <w:tcPr>
            <w:tcW w:w="1904" w:type="dxa"/>
            <w:shd w:val="clear" w:color="auto" w:fill="FFFFFF"/>
            <w:tcMar>
              <w:top w:w="0" w:type="dxa"/>
              <w:left w:w="85" w:type="dxa"/>
              <w:bottom w:w="0" w:type="dxa"/>
              <w:right w:w="85" w:type="dxa"/>
            </w:tcMar>
          </w:tcPr>
          <w:p w14:paraId="425378AA" w14:textId="77777777" w:rsidR="007E0025" w:rsidRPr="00BE78CA" w:rsidRDefault="007E0025" w:rsidP="008A7E42">
            <w:pPr>
              <w:pStyle w:val="TableText"/>
              <w:keepNext/>
            </w:pPr>
            <w:r w:rsidRPr="00BE78CA">
              <w:rPr>
                <w:rFonts w:eastAsia="Calibri"/>
                <w:color w:val="111111"/>
              </w:rPr>
              <w:lastRenderedPageBreak/>
              <w:t>KP-LULUCF activities – AR – CO</w:t>
            </w:r>
            <w:r w:rsidRPr="00BE78CA">
              <w:rPr>
                <w:rFonts w:eastAsia="Calibri"/>
                <w:color w:val="111111"/>
                <w:vertAlign w:val="subscript"/>
              </w:rPr>
              <w:t>2</w:t>
            </w:r>
          </w:p>
        </w:tc>
        <w:tc>
          <w:tcPr>
            <w:tcW w:w="893" w:type="dxa"/>
            <w:shd w:val="clear" w:color="auto" w:fill="FFFFFF"/>
            <w:tcMar>
              <w:top w:w="0" w:type="dxa"/>
              <w:left w:w="85" w:type="dxa"/>
              <w:bottom w:w="0" w:type="dxa"/>
              <w:right w:w="85" w:type="dxa"/>
            </w:tcMar>
          </w:tcPr>
          <w:p w14:paraId="1748E142" w14:textId="77777777" w:rsidR="007E0025" w:rsidRPr="00BE78CA" w:rsidRDefault="007E0025" w:rsidP="00C26084">
            <w:pPr>
              <w:pStyle w:val="TableText"/>
            </w:pPr>
            <w:r w:rsidRPr="00BE78CA">
              <w:rPr>
                <w:rFonts w:eastAsia="Calibri"/>
                <w:color w:val="111111"/>
              </w:rPr>
              <w:t>KL.3, 2019</w:t>
            </w:r>
          </w:p>
        </w:tc>
        <w:tc>
          <w:tcPr>
            <w:tcW w:w="3019" w:type="dxa"/>
            <w:shd w:val="clear" w:color="auto" w:fill="FFFFFF"/>
            <w:tcMar>
              <w:top w:w="0" w:type="dxa"/>
              <w:left w:w="85" w:type="dxa"/>
              <w:bottom w:w="0" w:type="dxa"/>
              <w:right w:w="85" w:type="dxa"/>
            </w:tcMar>
          </w:tcPr>
          <w:p w14:paraId="2AA7077A" w14:textId="77777777" w:rsidR="008A7E42" w:rsidRPr="00BE78CA" w:rsidRDefault="007E0025" w:rsidP="00C26084">
            <w:pPr>
              <w:pStyle w:val="TableText"/>
              <w:rPr>
                <w:rFonts w:eastAsia="Calibri"/>
                <w:color w:val="111111"/>
              </w:rPr>
            </w:pPr>
            <w:r w:rsidRPr="00BE78CA">
              <w:rPr>
                <w:rFonts w:eastAsia="Calibri"/>
                <w:color w:val="111111"/>
              </w:rPr>
              <w:t xml:space="preserve">Include in the NIR the information provided to the 2017 ERT during the review (FCCC/ARR/2017/NZL, table 5, ID# KL.6) on how surrogate data sets on AR used for the periods 1990– 2007 and 2008–2012 are applied in order to demonstrate that: </w:t>
            </w:r>
          </w:p>
          <w:p w14:paraId="39F06FCD" w14:textId="41682458" w:rsidR="008A7E42" w:rsidRPr="00BE78CA" w:rsidRDefault="007E0025" w:rsidP="008A7E42">
            <w:pPr>
              <w:pStyle w:val="TableText"/>
              <w:spacing w:before="0"/>
              <w:ind w:left="284" w:hanging="284"/>
              <w:rPr>
                <w:rFonts w:eastAsia="Calibri"/>
                <w:color w:val="111111"/>
              </w:rPr>
            </w:pPr>
            <w:r w:rsidRPr="00BE78CA">
              <w:rPr>
                <w:rFonts w:eastAsia="Calibri"/>
                <w:color w:val="111111"/>
              </w:rPr>
              <w:t>(a)</w:t>
            </w:r>
            <w:r w:rsidR="008A7E42" w:rsidRPr="00BE78CA">
              <w:rPr>
                <w:rFonts w:eastAsia="Calibri"/>
                <w:color w:val="111111"/>
              </w:rPr>
              <w:tab/>
            </w:r>
            <w:r w:rsidRPr="00BE78CA">
              <w:rPr>
                <w:rFonts w:eastAsia="Calibri"/>
                <w:color w:val="111111"/>
              </w:rPr>
              <w:t xml:space="preserve">The AR areas meet the forest definition; </w:t>
            </w:r>
          </w:p>
          <w:p w14:paraId="6825D74C" w14:textId="5347279F" w:rsidR="008A7E42" w:rsidRPr="00BE78CA" w:rsidRDefault="007E0025" w:rsidP="008A7E42">
            <w:pPr>
              <w:pStyle w:val="TableText"/>
              <w:spacing w:before="0"/>
              <w:ind w:left="284" w:hanging="284"/>
              <w:rPr>
                <w:rFonts w:eastAsia="Calibri"/>
                <w:color w:val="111111"/>
              </w:rPr>
            </w:pPr>
            <w:r w:rsidRPr="00BE78CA">
              <w:rPr>
                <w:rFonts w:eastAsia="Calibri"/>
                <w:color w:val="111111"/>
              </w:rPr>
              <w:t>(b)</w:t>
            </w:r>
            <w:r w:rsidR="008A7E42" w:rsidRPr="00BE78CA">
              <w:rPr>
                <w:rFonts w:eastAsia="Calibri"/>
                <w:color w:val="111111"/>
              </w:rPr>
              <w:tab/>
            </w:r>
            <w:r w:rsidRPr="00BE78CA">
              <w:rPr>
                <w:rFonts w:eastAsia="Calibri"/>
                <w:color w:val="111111"/>
              </w:rPr>
              <w:t xml:space="preserve">AR is directly human-induced and differentiated from natural expansion and/or restocking; </w:t>
            </w:r>
          </w:p>
          <w:p w14:paraId="61F67019" w14:textId="6BC7EEED" w:rsidR="007E0025" w:rsidRPr="00BE78CA" w:rsidRDefault="007E0025" w:rsidP="008A7E42">
            <w:pPr>
              <w:pStyle w:val="TableText"/>
              <w:spacing w:before="0"/>
              <w:ind w:left="284" w:hanging="284"/>
            </w:pPr>
            <w:r w:rsidRPr="00BE78CA">
              <w:rPr>
                <w:rFonts w:eastAsia="Calibri"/>
                <w:color w:val="111111"/>
              </w:rPr>
              <w:t>(c)</w:t>
            </w:r>
            <w:r w:rsidR="008A7E42" w:rsidRPr="00BE78CA">
              <w:rPr>
                <w:rFonts w:eastAsia="Calibri"/>
                <w:color w:val="111111"/>
              </w:rPr>
              <w:tab/>
            </w:r>
            <w:r w:rsidRPr="00BE78CA">
              <w:rPr>
                <w:rFonts w:eastAsia="Calibri"/>
                <w:color w:val="111111"/>
              </w:rPr>
              <w:t>The geographical location of the boundaries of the areas that encompass lands subject to AR activities are identifiable.</w:t>
            </w:r>
          </w:p>
        </w:tc>
        <w:tc>
          <w:tcPr>
            <w:tcW w:w="2678" w:type="dxa"/>
            <w:shd w:val="clear" w:color="auto" w:fill="FFFFFF"/>
            <w:tcMar>
              <w:top w:w="0" w:type="dxa"/>
              <w:left w:w="85" w:type="dxa"/>
              <w:bottom w:w="0" w:type="dxa"/>
              <w:right w:w="85" w:type="dxa"/>
            </w:tcMar>
          </w:tcPr>
          <w:p w14:paraId="46376817" w14:textId="77777777" w:rsidR="007E0025" w:rsidRPr="00BE78CA" w:rsidRDefault="007E0025" w:rsidP="00C26084">
            <w:pPr>
              <w:pStyle w:val="TableText"/>
            </w:pPr>
            <w:r w:rsidRPr="00BE78CA">
              <w:rPr>
                <w:rFonts w:eastAsia="Calibri"/>
                <w:b/>
                <w:bCs/>
                <w:color w:val="111111"/>
              </w:rPr>
              <w:t>Resolved.</w:t>
            </w:r>
            <w:r w:rsidRPr="00BE78CA">
              <w:rPr>
                <w:rFonts w:eastAsia="Calibri"/>
                <w:color w:val="111111"/>
              </w:rPr>
              <w:t xml:space="preserve"> This information has been included in chapter 11, sections 11.5.1 and 11.5.3. Additionally, these sections have been updated since the 2019 in</w:t>
            </w:r>
            <w:r w:rsidRPr="00BE78CA">
              <w:rPr>
                <w:rFonts w:ascii="Cambria Math" w:hAnsi="Cambria Math"/>
                <w:color w:val="111111"/>
              </w:rPr>
              <w:t>‑</w:t>
            </w:r>
            <w:r w:rsidRPr="00BE78CA">
              <w:rPr>
                <w:rFonts w:eastAsia="Calibri"/>
                <w:color w:val="111111"/>
              </w:rPr>
              <w:t>country review of the 2019 submission.</w:t>
            </w:r>
          </w:p>
        </w:tc>
      </w:tr>
      <w:tr w:rsidR="007E0025" w:rsidRPr="00BE78CA" w14:paraId="66D0076A" w14:textId="77777777" w:rsidTr="00C26084">
        <w:tc>
          <w:tcPr>
            <w:tcW w:w="1904" w:type="dxa"/>
            <w:shd w:val="clear" w:color="auto" w:fill="FFFFFF"/>
            <w:tcMar>
              <w:top w:w="0" w:type="dxa"/>
              <w:left w:w="85" w:type="dxa"/>
              <w:bottom w:w="0" w:type="dxa"/>
              <w:right w:w="85" w:type="dxa"/>
            </w:tcMar>
          </w:tcPr>
          <w:p w14:paraId="7E931CAF" w14:textId="77777777" w:rsidR="007E0025" w:rsidRPr="00BE78CA" w:rsidRDefault="007E0025" w:rsidP="00C26084">
            <w:pPr>
              <w:pStyle w:val="TableText"/>
            </w:pPr>
            <w:r w:rsidRPr="00BE78CA">
              <w:rPr>
                <w:rFonts w:eastAsia="Calibri"/>
                <w:color w:val="111111"/>
              </w:rPr>
              <w:t>KP-LULUCF activities – FM – CO</w:t>
            </w:r>
            <w:r w:rsidRPr="00BE78CA">
              <w:rPr>
                <w:rFonts w:eastAsia="Calibri"/>
                <w:color w:val="111111"/>
                <w:vertAlign w:val="subscript"/>
              </w:rPr>
              <w:t>2</w:t>
            </w:r>
          </w:p>
        </w:tc>
        <w:tc>
          <w:tcPr>
            <w:tcW w:w="893" w:type="dxa"/>
            <w:shd w:val="clear" w:color="auto" w:fill="FFFFFF"/>
            <w:tcMar>
              <w:top w:w="0" w:type="dxa"/>
              <w:left w:w="85" w:type="dxa"/>
              <w:bottom w:w="0" w:type="dxa"/>
              <w:right w:w="85" w:type="dxa"/>
            </w:tcMar>
          </w:tcPr>
          <w:p w14:paraId="6CC05C8F" w14:textId="77777777" w:rsidR="007E0025" w:rsidRPr="00BE78CA" w:rsidRDefault="007E0025" w:rsidP="00C26084">
            <w:pPr>
              <w:pStyle w:val="TableText"/>
            </w:pPr>
            <w:r w:rsidRPr="00BE78CA">
              <w:rPr>
                <w:rFonts w:eastAsia="Calibri"/>
                <w:color w:val="111111"/>
              </w:rPr>
              <w:t>KL.5, 2019</w:t>
            </w:r>
          </w:p>
        </w:tc>
        <w:tc>
          <w:tcPr>
            <w:tcW w:w="3019" w:type="dxa"/>
            <w:shd w:val="clear" w:color="auto" w:fill="FFFFFF"/>
            <w:tcMar>
              <w:top w:w="0" w:type="dxa"/>
              <w:left w:w="85" w:type="dxa"/>
              <w:bottom w:w="0" w:type="dxa"/>
              <w:right w:w="85" w:type="dxa"/>
            </w:tcMar>
          </w:tcPr>
          <w:p w14:paraId="2AABC4E0" w14:textId="77777777" w:rsidR="007E0025" w:rsidRPr="00BE78CA" w:rsidRDefault="007E0025" w:rsidP="00C26084">
            <w:pPr>
              <w:pStyle w:val="TableText"/>
            </w:pPr>
            <w:r w:rsidRPr="00BE78CA">
              <w:rPr>
                <w:rFonts w:eastAsia="Calibri"/>
                <w:color w:val="111111"/>
              </w:rPr>
              <w:t>Include relevant information in the NIR in support of the mandatory requirement to demonstrate that the mineral soil pool under FM is not a source, following the guidance in section 2.3.1 of the Kyoto Protocol Supplement.</w:t>
            </w:r>
          </w:p>
        </w:tc>
        <w:tc>
          <w:tcPr>
            <w:tcW w:w="2678" w:type="dxa"/>
            <w:shd w:val="clear" w:color="auto" w:fill="FFFFFF"/>
            <w:tcMar>
              <w:top w:w="0" w:type="dxa"/>
              <w:left w:w="85" w:type="dxa"/>
              <w:bottom w:w="0" w:type="dxa"/>
              <w:right w:w="85" w:type="dxa"/>
            </w:tcMar>
          </w:tcPr>
          <w:p w14:paraId="1AAC80A5" w14:textId="77777777" w:rsidR="007E0025" w:rsidRPr="00BE78CA" w:rsidRDefault="007E0025" w:rsidP="00C26084">
            <w:pPr>
              <w:pStyle w:val="TableText"/>
              <w:rPr>
                <w:b/>
                <w:bCs/>
              </w:rPr>
            </w:pPr>
            <w:r w:rsidRPr="00BE78CA">
              <w:rPr>
                <w:rFonts w:eastAsia="Calibri"/>
                <w:b/>
                <w:bCs/>
                <w:color w:val="111111"/>
              </w:rPr>
              <w:t>Not resolved.</w:t>
            </w:r>
          </w:p>
        </w:tc>
      </w:tr>
      <w:tr w:rsidR="007E0025" w:rsidRPr="00BE78CA" w14:paraId="6A8C05BF" w14:textId="77777777" w:rsidTr="00C26084">
        <w:tc>
          <w:tcPr>
            <w:tcW w:w="1904" w:type="dxa"/>
            <w:shd w:val="clear" w:color="auto" w:fill="FFFFFF"/>
            <w:tcMar>
              <w:top w:w="0" w:type="dxa"/>
              <w:left w:w="85" w:type="dxa"/>
              <w:bottom w:w="0" w:type="dxa"/>
              <w:right w:w="85" w:type="dxa"/>
            </w:tcMar>
          </w:tcPr>
          <w:p w14:paraId="55B966AA" w14:textId="77777777" w:rsidR="007E0025" w:rsidRPr="00BE78CA" w:rsidRDefault="007E0025" w:rsidP="00C26084">
            <w:pPr>
              <w:pStyle w:val="TableText"/>
            </w:pPr>
            <w:r w:rsidRPr="00BE78CA">
              <w:rPr>
                <w:rFonts w:eastAsia="Calibri"/>
                <w:color w:val="111111"/>
              </w:rPr>
              <w:t>KP-LULUCF activities – FM – CO</w:t>
            </w:r>
            <w:r w:rsidRPr="00BE78CA">
              <w:rPr>
                <w:rFonts w:eastAsia="Calibri"/>
                <w:color w:val="111111"/>
                <w:vertAlign w:val="subscript"/>
              </w:rPr>
              <w:t>2</w:t>
            </w:r>
          </w:p>
        </w:tc>
        <w:tc>
          <w:tcPr>
            <w:tcW w:w="893" w:type="dxa"/>
            <w:shd w:val="clear" w:color="auto" w:fill="FFFFFF"/>
            <w:tcMar>
              <w:top w:w="0" w:type="dxa"/>
              <w:left w:w="85" w:type="dxa"/>
              <w:bottom w:w="0" w:type="dxa"/>
              <w:right w:w="85" w:type="dxa"/>
            </w:tcMar>
          </w:tcPr>
          <w:p w14:paraId="44A47CF2" w14:textId="77777777" w:rsidR="007E0025" w:rsidRPr="00BE78CA" w:rsidRDefault="007E0025" w:rsidP="00C26084">
            <w:pPr>
              <w:pStyle w:val="TableText"/>
            </w:pPr>
            <w:r w:rsidRPr="00BE78CA">
              <w:rPr>
                <w:rFonts w:eastAsia="Calibri"/>
                <w:color w:val="111111"/>
              </w:rPr>
              <w:t>KL.6, 2019</w:t>
            </w:r>
          </w:p>
        </w:tc>
        <w:tc>
          <w:tcPr>
            <w:tcW w:w="3019" w:type="dxa"/>
            <w:shd w:val="clear" w:color="auto" w:fill="FFFFFF"/>
            <w:tcMar>
              <w:top w:w="0" w:type="dxa"/>
              <w:left w:w="85" w:type="dxa"/>
              <w:bottom w:w="0" w:type="dxa"/>
              <w:right w:w="85" w:type="dxa"/>
            </w:tcMar>
          </w:tcPr>
          <w:p w14:paraId="755A2D0C" w14:textId="77777777" w:rsidR="007E0025" w:rsidRPr="00BE78CA" w:rsidRDefault="007E0025" w:rsidP="00C26084">
            <w:pPr>
              <w:pStyle w:val="TableText"/>
            </w:pPr>
            <w:r w:rsidRPr="00BE78CA">
              <w:rPr>
                <w:rFonts w:eastAsia="Calibri"/>
                <w:color w:val="111111"/>
              </w:rPr>
              <w:t>Include information in the NIR on which areas and categories of forest land (as in CRF table 4.A) are related to the areas of FM in CRF table 4(KP</w:t>
            </w:r>
            <w:r w:rsidRPr="00BE78CA">
              <w:rPr>
                <w:rFonts w:eastAsia="Calibri"/>
                <w:color w:val="111111"/>
              </w:rPr>
              <w:noBreakHyphen/>
              <w:t xml:space="preserve"> I)B.1.</w:t>
            </w:r>
          </w:p>
        </w:tc>
        <w:tc>
          <w:tcPr>
            <w:tcW w:w="2678" w:type="dxa"/>
            <w:shd w:val="clear" w:color="auto" w:fill="FFFFFF"/>
            <w:tcMar>
              <w:top w:w="0" w:type="dxa"/>
              <w:left w:w="85" w:type="dxa"/>
              <w:bottom w:w="0" w:type="dxa"/>
              <w:right w:w="85" w:type="dxa"/>
            </w:tcMar>
          </w:tcPr>
          <w:p w14:paraId="1F7F1D19" w14:textId="77777777" w:rsidR="007E0025" w:rsidRPr="00BE78CA" w:rsidRDefault="007E0025" w:rsidP="00C26084">
            <w:pPr>
              <w:pStyle w:val="TableText"/>
            </w:pPr>
            <w:r w:rsidRPr="00BE78CA">
              <w:rPr>
                <w:rFonts w:eastAsia="Calibri"/>
                <w:b/>
                <w:bCs/>
                <w:color w:val="111111"/>
              </w:rPr>
              <w:t>Resolved.</w:t>
            </w:r>
            <w:r w:rsidRPr="00BE78CA">
              <w:rPr>
                <w:rFonts w:eastAsia="Calibri"/>
                <w:color w:val="111111"/>
              </w:rPr>
              <w:t xml:space="preserve"> Table 11.3.3 has been added to section 11.3.2 in chapter 11, providing this information.</w:t>
            </w:r>
          </w:p>
        </w:tc>
      </w:tr>
    </w:tbl>
    <w:p w14:paraId="668EE448" w14:textId="77777777" w:rsidR="007E0025" w:rsidRPr="00BE78CA" w:rsidRDefault="007E0025" w:rsidP="00D60946">
      <w:pPr>
        <w:pStyle w:val="Table"/>
        <w:spacing w:before="360"/>
      </w:pPr>
      <w:bookmarkStart w:id="3315" w:name="_Toc68786590"/>
      <w:r w:rsidRPr="00BE78CA">
        <w:t xml:space="preserve">Table 10.2.2 </w:t>
      </w:r>
      <w:r w:rsidRPr="00BE78CA">
        <w:tab/>
        <w:t>New Zealand’s response to recommendations as recorded in table 5 of the 2019 assessment review report from the review of New Zealand’s 2019 inventory submission</w:t>
      </w:r>
      <w:bookmarkEnd w:id="3315"/>
    </w:p>
    <w:tbl>
      <w:tblPr>
        <w:tblW w:w="8494" w:type="dxa"/>
        <w:tblBorders>
          <w:top w:val="single" w:sz="2" w:space="0" w:color="365F91"/>
          <w:bottom w:val="single" w:sz="2" w:space="0" w:color="365F91"/>
          <w:insideH w:val="single" w:sz="2" w:space="0" w:color="365F91"/>
          <w:insideV w:val="single" w:sz="2" w:space="0" w:color="365F91"/>
        </w:tblBorders>
        <w:tblLayout w:type="fixed"/>
        <w:tblLook w:val="0420" w:firstRow="1" w:lastRow="0" w:firstColumn="0" w:lastColumn="0" w:noHBand="0" w:noVBand="1"/>
      </w:tblPr>
      <w:tblGrid>
        <w:gridCol w:w="1837"/>
        <w:gridCol w:w="919"/>
        <w:gridCol w:w="2821"/>
        <w:gridCol w:w="2917"/>
      </w:tblGrid>
      <w:tr w:rsidR="007E0025" w:rsidRPr="00BE78CA" w14:paraId="58E0CEAD" w14:textId="77777777" w:rsidTr="00BB5269">
        <w:trPr>
          <w:tblHeader/>
        </w:trPr>
        <w:tc>
          <w:tcPr>
            <w:tcW w:w="1813" w:type="dxa"/>
            <w:shd w:val="clear" w:color="auto" w:fill="365F91"/>
            <w:tcMar>
              <w:top w:w="0" w:type="dxa"/>
              <w:left w:w="85" w:type="dxa"/>
              <w:bottom w:w="0" w:type="dxa"/>
              <w:right w:w="85" w:type="dxa"/>
            </w:tcMar>
            <w:vAlign w:val="bottom"/>
          </w:tcPr>
          <w:p w14:paraId="12D878F9" w14:textId="77777777" w:rsidR="007E0025" w:rsidRPr="00BE78CA" w:rsidRDefault="007E0025" w:rsidP="00C26084">
            <w:pPr>
              <w:pStyle w:val="TableTextBold"/>
              <w:rPr>
                <w:noProof w:val="0"/>
                <w:color w:val="FFFFFF" w:themeColor="background1"/>
              </w:rPr>
            </w:pPr>
            <w:r w:rsidRPr="00BE78CA">
              <w:rPr>
                <w:rFonts w:eastAsia="Calibri"/>
                <w:noProof w:val="0"/>
                <w:color w:val="FFFFFF" w:themeColor="background1"/>
              </w:rPr>
              <w:t>Sector</w:t>
            </w:r>
          </w:p>
        </w:tc>
        <w:tc>
          <w:tcPr>
            <w:tcW w:w="907" w:type="dxa"/>
            <w:shd w:val="clear" w:color="auto" w:fill="365F91"/>
            <w:tcMar>
              <w:top w:w="0" w:type="dxa"/>
              <w:left w:w="85" w:type="dxa"/>
              <w:bottom w:w="0" w:type="dxa"/>
              <w:right w:w="85" w:type="dxa"/>
            </w:tcMar>
            <w:vAlign w:val="bottom"/>
          </w:tcPr>
          <w:p w14:paraId="15A5A1A1" w14:textId="77777777" w:rsidR="007E0025" w:rsidRPr="00BE78CA" w:rsidRDefault="007E0025" w:rsidP="00C26084">
            <w:pPr>
              <w:pStyle w:val="TableTextBold"/>
              <w:rPr>
                <w:noProof w:val="0"/>
                <w:color w:val="FFFFFF" w:themeColor="background1"/>
              </w:rPr>
            </w:pPr>
            <w:r w:rsidRPr="00BE78CA">
              <w:rPr>
                <w:rFonts w:eastAsia="Calibri"/>
                <w:noProof w:val="0"/>
                <w:color w:val="FFFFFF" w:themeColor="background1"/>
              </w:rPr>
              <w:t>ID number</w:t>
            </w:r>
          </w:p>
        </w:tc>
        <w:tc>
          <w:tcPr>
            <w:tcW w:w="2784" w:type="dxa"/>
            <w:shd w:val="clear" w:color="auto" w:fill="365F91"/>
            <w:tcMar>
              <w:top w:w="0" w:type="dxa"/>
              <w:left w:w="85" w:type="dxa"/>
              <w:bottom w:w="0" w:type="dxa"/>
              <w:right w:w="85" w:type="dxa"/>
            </w:tcMar>
            <w:vAlign w:val="bottom"/>
          </w:tcPr>
          <w:p w14:paraId="0E3667AC" w14:textId="77777777" w:rsidR="007E0025" w:rsidRPr="00BE78CA" w:rsidRDefault="007E0025" w:rsidP="00C26084">
            <w:pPr>
              <w:pStyle w:val="TableTextBold"/>
              <w:rPr>
                <w:noProof w:val="0"/>
                <w:color w:val="FFFFFF" w:themeColor="background1"/>
              </w:rPr>
            </w:pPr>
            <w:r w:rsidRPr="00BE78CA">
              <w:rPr>
                <w:rFonts w:eastAsia="Calibri"/>
                <w:noProof w:val="0"/>
                <w:color w:val="FFFFFF" w:themeColor="background1"/>
              </w:rPr>
              <w:t>Expert review team (ERT) recommendation</w:t>
            </w:r>
          </w:p>
        </w:tc>
        <w:tc>
          <w:tcPr>
            <w:tcW w:w="2879" w:type="dxa"/>
            <w:shd w:val="clear" w:color="auto" w:fill="365F91"/>
            <w:tcMar>
              <w:top w:w="0" w:type="dxa"/>
              <w:left w:w="85" w:type="dxa"/>
              <w:bottom w:w="0" w:type="dxa"/>
              <w:right w:w="85" w:type="dxa"/>
            </w:tcMar>
            <w:vAlign w:val="bottom"/>
          </w:tcPr>
          <w:p w14:paraId="5833DE37" w14:textId="77777777" w:rsidR="007E0025" w:rsidRPr="00BE78CA" w:rsidRDefault="007E0025" w:rsidP="00C26084">
            <w:pPr>
              <w:pStyle w:val="TableTextBold"/>
              <w:rPr>
                <w:noProof w:val="0"/>
                <w:color w:val="FFFFFF" w:themeColor="background1"/>
              </w:rPr>
            </w:pPr>
            <w:r w:rsidRPr="00BE78CA">
              <w:rPr>
                <w:rFonts w:eastAsia="Calibri"/>
                <w:noProof w:val="0"/>
                <w:color w:val="FFFFFF" w:themeColor="background1"/>
              </w:rPr>
              <w:t>New Zealand response</w:t>
            </w:r>
          </w:p>
        </w:tc>
      </w:tr>
      <w:tr w:rsidR="007E0025" w:rsidRPr="00BE78CA" w14:paraId="296EB65F" w14:textId="77777777" w:rsidTr="00BB5269">
        <w:tc>
          <w:tcPr>
            <w:tcW w:w="1813" w:type="dxa"/>
            <w:shd w:val="clear" w:color="auto" w:fill="FFFFFF"/>
            <w:tcMar>
              <w:top w:w="0" w:type="dxa"/>
              <w:left w:w="85" w:type="dxa"/>
              <w:bottom w:w="0" w:type="dxa"/>
              <w:right w:w="85" w:type="dxa"/>
            </w:tcMar>
          </w:tcPr>
          <w:p w14:paraId="4365B5DD" w14:textId="77777777" w:rsidR="007E0025" w:rsidRPr="00BE78CA" w:rsidRDefault="007E0025" w:rsidP="00C26084">
            <w:pPr>
              <w:pStyle w:val="TableText"/>
            </w:pPr>
            <w:r w:rsidRPr="00BE78CA">
              <w:rPr>
                <w:rFonts w:eastAsia="Calibri"/>
              </w:rPr>
              <w:t>General – Article 3, paragraph 14, of the Kyoto Protocol</w:t>
            </w:r>
          </w:p>
        </w:tc>
        <w:tc>
          <w:tcPr>
            <w:tcW w:w="907" w:type="dxa"/>
            <w:shd w:val="clear" w:color="auto" w:fill="FFFFFF"/>
            <w:tcMar>
              <w:top w:w="0" w:type="dxa"/>
              <w:left w:w="85" w:type="dxa"/>
              <w:bottom w:w="0" w:type="dxa"/>
              <w:right w:w="85" w:type="dxa"/>
            </w:tcMar>
          </w:tcPr>
          <w:p w14:paraId="2FFEB228" w14:textId="77777777" w:rsidR="007E0025" w:rsidRPr="00BE78CA" w:rsidRDefault="007E0025" w:rsidP="00C26084">
            <w:pPr>
              <w:pStyle w:val="TableText"/>
            </w:pPr>
            <w:r w:rsidRPr="00BE78CA">
              <w:rPr>
                <w:rFonts w:eastAsia="Calibri"/>
              </w:rPr>
              <w:t>G.3, 2019</w:t>
            </w:r>
          </w:p>
        </w:tc>
        <w:tc>
          <w:tcPr>
            <w:tcW w:w="2784" w:type="dxa"/>
            <w:shd w:val="clear" w:color="auto" w:fill="FFFFFF"/>
            <w:tcMar>
              <w:top w:w="0" w:type="dxa"/>
              <w:left w:w="85" w:type="dxa"/>
              <w:bottom w:w="0" w:type="dxa"/>
              <w:right w:w="85" w:type="dxa"/>
            </w:tcMar>
          </w:tcPr>
          <w:p w14:paraId="59057E53" w14:textId="77777777" w:rsidR="007E0025" w:rsidRPr="00BE78CA" w:rsidRDefault="007E0025" w:rsidP="00C26084">
            <w:pPr>
              <w:pStyle w:val="TableText"/>
            </w:pPr>
            <w:r w:rsidRPr="00BE78CA">
              <w:rPr>
                <w:rFonts w:eastAsia="Calibri"/>
              </w:rPr>
              <w:t>The ERT recommends that New Zealand report in the NIR information on changes in its reporting on the minimization of adverse impacts in accordance with Article 3, paragraph 14, of the Kyoto Protocol.</w:t>
            </w:r>
          </w:p>
        </w:tc>
        <w:tc>
          <w:tcPr>
            <w:tcW w:w="2879" w:type="dxa"/>
            <w:shd w:val="clear" w:color="auto" w:fill="FFFFFF"/>
            <w:tcMar>
              <w:top w:w="0" w:type="dxa"/>
              <w:left w:w="85" w:type="dxa"/>
              <w:bottom w:w="0" w:type="dxa"/>
              <w:right w:w="85" w:type="dxa"/>
            </w:tcMar>
          </w:tcPr>
          <w:p w14:paraId="42CC0F2B" w14:textId="77777777" w:rsidR="007E0025" w:rsidRPr="00BE78CA" w:rsidRDefault="007E0025" w:rsidP="00C26084">
            <w:pPr>
              <w:pStyle w:val="TableText"/>
            </w:pPr>
            <w:r w:rsidRPr="00BE78CA">
              <w:rPr>
                <w:rFonts w:eastAsia="Calibri"/>
                <w:b/>
                <w:bCs/>
              </w:rPr>
              <w:t xml:space="preserve">Resolved. </w:t>
            </w:r>
            <w:r w:rsidRPr="00BE78CA">
              <w:rPr>
                <w:rFonts w:eastAsia="Calibri"/>
              </w:rPr>
              <w:t>Statements have been added in chapter 15 of the NIR, which specify the changes in New Zealand’s reporting on the minimisation of adverse impacts compared with information reported in the previous NIR.</w:t>
            </w:r>
          </w:p>
        </w:tc>
      </w:tr>
      <w:tr w:rsidR="007E0025" w:rsidRPr="00BE78CA" w14:paraId="6BD0CD5A" w14:textId="77777777" w:rsidTr="00BB5269">
        <w:tc>
          <w:tcPr>
            <w:tcW w:w="1813" w:type="dxa"/>
            <w:shd w:val="clear" w:color="auto" w:fill="FFFFFF"/>
            <w:tcMar>
              <w:top w:w="0" w:type="dxa"/>
              <w:left w:w="85" w:type="dxa"/>
              <w:bottom w:w="0" w:type="dxa"/>
              <w:right w:w="85" w:type="dxa"/>
            </w:tcMar>
          </w:tcPr>
          <w:p w14:paraId="17571482" w14:textId="77777777" w:rsidR="007E0025" w:rsidRPr="00BE78CA" w:rsidRDefault="007E0025" w:rsidP="00C26084">
            <w:pPr>
              <w:pStyle w:val="TableText"/>
            </w:pPr>
            <w:r w:rsidRPr="00BE78CA">
              <w:rPr>
                <w:rFonts w:eastAsia="Calibri"/>
              </w:rPr>
              <w:t>General – Uncertainty analysis</w:t>
            </w:r>
          </w:p>
        </w:tc>
        <w:tc>
          <w:tcPr>
            <w:tcW w:w="907" w:type="dxa"/>
            <w:shd w:val="clear" w:color="auto" w:fill="FFFFFF"/>
            <w:tcMar>
              <w:top w:w="0" w:type="dxa"/>
              <w:left w:w="85" w:type="dxa"/>
              <w:bottom w:w="0" w:type="dxa"/>
              <w:right w:w="85" w:type="dxa"/>
            </w:tcMar>
          </w:tcPr>
          <w:p w14:paraId="02BA8956" w14:textId="77777777" w:rsidR="007E0025" w:rsidRPr="00BE78CA" w:rsidRDefault="007E0025" w:rsidP="00C26084">
            <w:pPr>
              <w:pStyle w:val="TableText"/>
            </w:pPr>
            <w:r w:rsidRPr="00BE78CA">
              <w:rPr>
                <w:rFonts w:eastAsia="Calibri"/>
              </w:rPr>
              <w:t>G.7, 2019</w:t>
            </w:r>
          </w:p>
        </w:tc>
        <w:tc>
          <w:tcPr>
            <w:tcW w:w="2784" w:type="dxa"/>
            <w:shd w:val="clear" w:color="auto" w:fill="FFFFFF"/>
            <w:tcMar>
              <w:top w:w="0" w:type="dxa"/>
              <w:left w:w="85" w:type="dxa"/>
              <w:bottom w:w="0" w:type="dxa"/>
              <w:right w:w="85" w:type="dxa"/>
            </w:tcMar>
          </w:tcPr>
          <w:p w14:paraId="49334E01" w14:textId="77777777" w:rsidR="007E0025" w:rsidRPr="00BE78CA" w:rsidRDefault="007E0025" w:rsidP="00C26084">
            <w:pPr>
              <w:pStyle w:val="TableText"/>
            </w:pPr>
            <w:r w:rsidRPr="00BE78CA">
              <w:rPr>
                <w:rFonts w:eastAsia="Calibri"/>
              </w:rPr>
              <w:t>The ERT recommends that New Zealand include in the NIR an uncertainty analysis for 1990 (the base year under the Convention).</w:t>
            </w:r>
          </w:p>
        </w:tc>
        <w:tc>
          <w:tcPr>
            <w:tcW w:w="2879" w:type="dxa"/>
            <w:shd w:val="clear" w:color="auto" w:fill="FFFFFF"/>
            <w:tcMar>
              <w:top w:w="0" w:type="dxa"/>
              <w:left w:w="85" w:type="dxa"/>
              <w:bottom w:w="0" w:type="dxa"/>
              <w:right w:w="85" w:type="dxa"/>
            </w:tcMar>
          </w:tcPr>
          <w:p w14:paraId="50446B2F" w14:textId="77777777" w:rsidR="007E0025" w:rsidRPr="00BE78CA" w:rsidRDefault="007E0025" w:rsidP="00C26084">
            <w:pPr>
              <w:pStyle w:val="TableText"/>
            </w:pPr>
            <w:r w:rsidRPr="00BE78CA">
              <w:rPr>
                <w:b/>
                <w:color w:val="111111"/>
              </w:rPr>
              <w:t xml:space="preserve">Resolved. </w:t>
            </w:r>
            <w:r w:rsidRPr="00BE78CA">
              <w:t>The uncertainty analysis for 1990 was included as first reported in the 2020 submission.</w:t>
            </w:r>
          </w:p>
        </w:tc>
      </w:tr>
      <w:tr w:rsidR="007E0025" w:rsidRPr="00BE78CA" w14:paraId="32E21ADA" w14:textId="77777777" w:rsidTr="00BB5269">
        <w:tc>
          <w:tcPr>
            <w:tcW w:w="1813" w:type="dxa"/>
            <w:shd w:val="clear" w:color="auto" w:fill="FFFFFF"/>
            <w:tcMar>
              <w:top w:w="0" w:type="dxa"/>
              <w:left w:w="85" w:type="dxa"/>
              <w:bottom w:w="0" w:type="dxa"/>
              <w:right w:w="85" w:type="dxa"/>
            </w:tcMar>
          </w:tcPr>
          <w:p w14:paraId="4462E962" w14:textId="77777777" w:rsidR="007E0025" w:rsidRPr="00BE78CA" w:rsidRDefault="007E0025" w:rsidP="00C26084">
            <w:pPr>
              <w:pStyle w:val="TableText"/>
            </w:pPr>
            <w:r w:rsidRPr="00BE78CA">
              <w:rPr>
                <w:rFonts w:eastAsia="Calibri"/>
              </w:rPr>
              <w:t>Energy – 1.A.1.a Public electricity and heat production – liquid fuels – CO</w:t>
            </w:r>
            <w:r w:rsidRPr="00BE78CA">
              <w:rPr>
                <w:rFonts w:eastAsia="Calibri"/>
                <w:vertAlign w:val="subscript"/>
              </w:rPr>
              <w:t>2</w:t>
            </w:r>
          </w:p>
        </w:tc>
        <w:tc>
          <w:tcPr>
            <w:tcW w:w="907" w:type="dxa"/>
            <w:shd w:val="clear" w:color="auto" w:fill="FFFFFF"/>
            <w:tcMar>
              <w:top w:w="0" w:type="dxa"/>
              <w:left w:w="85" w:type="dxa"/>
              <w:bottom w:w="0" w:type="dxa"/>
              <w:right w:w="85" w:type="dxa"/>
            </w:tcMar>
          </w:tcPr>
          <w:p w14:paraId="21A03FD3" w14:textId="77777777" w:rsidR="007E0025" w:rsidRPr="00BE78CA" w:rsidRDefault="007E0025" w:rsidP="00C26084">
            <w:pPr>
              <w:pStyle w:val="TableText"/>
            </w:pPr>
            <w:r w:rsidRPr="00BE78CA">
              <w:rPr>
                <w:rFonts w:eastAsia="Calibri"/>
              </w:rPr>
              <w:t>E.23, 2019</w:t>
            </w:r>
          </w:p>
        </w:tc>
        <w:tc>
          <w:tcPr>
            <w:tcW w:w="2784" w:type="dxa"/>
            <w:shd w:val="clear" w:color="auto" w:fill="FFFFFF"/>
            <w:tcMar>
              <w:top w:w="0" w:type="dxa"/>
              <w:left w:w="85" w:type="dxa"/>
              <w:bottom w:w="0" w:type="dxa"/>
              <w:right w:w="85" w:type="dxa"/>
            </w:tcMar>
          </w:tcPr>
          <w:p w14:paraId="1BBD58B9" w14:textId="2BE617DC" w:rsidR="007E0025" w:rsidRPr="00BE78CA" w:rsidRDefault="007E0025" w:rsidP="00C26084">
            <w:pPr>
              <w:pStyle w:val="TableText"/>
            </w:pPr>
            <w:r w:rsidRPr="00BE78CA">
              <w:rPr>
                <w:rFonts w:eastAsia="Calibri"/>
              </w:rPr>
              <w:t xml:space="preserve">The ERT recommends that New Zealand include information on trends in liquid fuel consumption, especially by explaining the values for 2001 (reported as </w:t>
            </w:r>
            <w:r w:rsidR="0055281A" w:rsidRPr="00BE78CA">
              <w:rPr>
                <w:rFonts w:eastAsia="Calibri"/>
              </w:rPr>
              <w:t>‘NO’</w:t>
            </w:r>
            <w:r w:rsidRPr="00BE78CA">
              <w:rPr>
                <w:rFonts w:eastAsia="Calibri"/>
              </w:rPr>
              <w:t>) and 1992 and 2008 (where consumption and emissions were significantly higher than in other years since 1990).</w:t>
            </w:r>
          </w:p>
        </w:tc>
        <w:tc>
          <w:tcPr>
            <w:tcW w:w="2879" w:type="dxa"/>
            <w:shd w:val="clear" w:color="auto" w:fill="FFFFFF"/>
            <w:tcMar>
              <w:top w:w="0" w:type="dxa"/>
              <w:left w:w="85" w:type="dxa"/>
              <w:bottom w:w="0" w:type="dxa"/>
              <w:right w:w="85" w:type="dxa"/>
            </w:tcMar>
          </w:tcPr>
          <w:p w14:paraId="4A01673B" w14:textId="77777777" w:rsidR="007E0025" w:rsidRPr="00BE78CA" w:rsidRDefault="007E0025" w:rsidP="00C26084">
            <w:pPr>
              <w:pStyle w:val="TableText"/>
            </w:pPr>
            <w:r w:rsidRPr="00BE78CA">
              <w:rPr>
                <w:rFonts w:eastAsia="Calibri"/>
                <w:b/>
                <w:bCs/>
              </w:rPr>
              <w:t>Resolved</w:t>
            </w:r>
            <w:r w:rsidRPr="00BE78CA">
              <w:rPr>
                <w:rFonts w:eastAsia="Calibri"/>
              </w:rPr>
              <w:t>. A description of the drivers behind fluctuations in electricity generation by fuel type is given in NIR chapter 3, section 3.3.6. After further investigation with the Ministry of Business, Innovation and Employment (MBIE) electricity data system manager, the reported liquid fuel activity data were found to be in alignment with the data reported by companies at the time. No further information is available.</w:t>
            </w:r>
          </w:p>
        </w:tc>
      </w:tr>
      <w:tr w:rsidR="007E0025" w:rsidRPr="00BE78CA" w14:paraId="23737276" w14:textId="77777777" w:rsidTr="00BB5269">
        <w:tc>
          <w:tcPr>
            <w:tcW w:w="1813" w:type="dxa"/>
            <w:shd w:val="clear" w:color="auto" w:fill="FFFFFF"/>
            <w:tcMar>
              <w:top w:w="0" w:type="dxa"/>
              <w:left w:w="85" w:type="dxa"/>
              <w:bottom w:w="0" w:type="dxa"/>
              <w:right w:w="85" w:type="dxa"/>
            </w:tcMar>
          </w:tcPr>
          <w:p w14:paraId="272CDD90" w14:textId="77777777" w:rsidR="007E0025" w:rsidRPr="00BE78CA" w:rsidRDefault="007E0025" w:rsidP="00C26084">
            <w:pPr>
              <w:pStyle w:val="TableText"/>
            </w:pPr>
            <w:r w:rsidRPr="00BE78CA">
              <w:rPr>
                <w:rFonts w:eastAsia="Calibri" w:cs="Calibri"/>
                <w:color w:val="111111"/>
                <w:szCs w:val="16"/>
              </w:rPr>
              <w:t>Energy – 1.A.2 Manufacturing industries and construction – liquid fuels – CO</w:t>
            </w:r>
            <w:r w:rsidRPr="00BE78CA">
              <w:rPr>
                <w:rFonts w:eastAsia="Calibri" w:cs="Calibri"/>
                <w:color w:val="111111"/>
                <w:szCs w:val="16"/>
                <w:vertAlign w:val="subscript"/>
              </w:rPr>
              <w:t>2</w:t>
            </w:r>
            <w:r w:rsidRPr="00BE78CA">
              <w:rPr>
                <w:rFonts w:eastAsia="Calibri" w:cs="Calibri"/>
                <w:color w:val="111111"/>
                <w:szCs w:val="16"/>
              </w:rPr>
              <w:t>, CH</w:t>
            </w:r>
            <w:r w:rsidRPr="00BE78CA">
              <w:rPr>
                <w:rFonts w:eastAsia="Calibri" w:cs="Calibri"/>
                <w:color w:val="111111"/>
                <w:szCs w:val="16"/>
                <w:vertAlign w:val="subscript"/>
              </w:rPr>
              <w:t>4</w:t>
            </w:r>
            <w:r w:rsidRPr="00BE78CA">
              <w:rPr>
                <w:rFonts w:eastAsia="Calibri" w:cs="Calibri"/>
                <w:color w:val="111111"/>
                <w:szCs w:val="16"/>
              </w:rPr>
              <w:t xml:space="preserve"> and N</w:t>
            </w:r>
            <w:r w:rsidRPr="00BE78CA">
              <w:rPr>
                <w:rFonts w:eastAsia="Calibri" w:cs="Calibri"/>
                <w:color w:val="111111"/>
                <w:szCs w:val="16"/>
                <w:vertAlign w:val="subscript"/>
              </w:rPr>
              <w:t>2</w:t>
            </w:r>
            <w:r w:rsidRPr="00BE78CA">
              <w:rPr>
                <w:rFonts w:eastAsia="Calibri" w:cs="Calibri"/>
                <w:color w:val="111111"/>
                <w:szCs w:val="16"/>
              </w:rPr>
              <w:t>O</w:t>
            </w:r>
          </w:p>
        </w:tc>
        <w:tc>
          <w:tcPr>
            <w:tcW w:w="907" w:type="dxa"/>
            <w:shd w:val="clear" w:color="auto" w:fill="FFFFFF"/>
            <w:tcMar>
              <w:top w:w="0" w:type="dxa"/>
              <w:left w:w="85" w:type="dxa"/>
              <w:bottom w:w="0" w:type="dxa"/>
              <w:right w:w="85" w:type="dxa"/>
            </w:tcMar>
          </w:tcPr>
          <w:p w14:paraId="7F3C91E9" w14:textId="77777777" w:rsidR="007E0025" w:rsidRPr="00BE78CA" w:rsidRDefault="007E0025" w:rsidP="00C26084">
            <w:pPr>
              <w:pStyle w:val="TableText"/>
            </w:pPr>
            <w:r w:rsidRPr="00BE78CA">
              <w:rPr>
                <w:rFonts w:eastAsia="Calibri" w:cs="Calibri"/>
                <w:color w:val="111111"/>
                <w:szCs w:val="16"/>
              </w:rPr>
              <w:t>E.24, 2019</w:t>
            </w:r>
          </w:p>
        </w:tc>
        <w:tc>
          <w:tcPr>
            <w:tcW w:w="2784" w:type="dxa"/>
            <w:shd w:val="clear" w:color="auto" w:fill="FFFFFF"/>
            <w:tcMar>
              <w:top w:w="0" w:type="dxa"/>
              <w:left w:w="85" w:type="dxa"/>
              <w:bottom w:w="0" w:type="dxa"/>
              <w:right w:w="85" w:type="dxa"/>
            </w:tcMar>
          </w:tcPr>
          <w:p w14:paraId="51B6851D" w14:textId="77777777" w:rsidR="007E0025" w:rsidRPr="00BE78CA" w:rsidRDefault="007E0025" w:rsidP="00C26084">
            <w:pPr>
              <w:pStyle w:val="TableText"/>
            </w:pPr>
            <w:r w:rsidRPr="00BE78CA">
              <w:rPr>
                <w:rFonts w:eastAsia="Calibri" w:cs="Calibri"/>
                <w:color w:val="111111"/>
                <w:szCs w:val="16"/>
              </w:rPr>
              <w:t>The ERT recommends that New Zealand include more detail on the method used for disaggregation of liquid fuels to the subcategories under manufacturing industries and construction (such as energy intensities in PJ per unit of GDP).</w:t>
            </w:r>
          </w:p>
        </w:tc>
        <w:tc>
          <w:tcPr>
            <w:tcW w:w="2879" w:type="dxa"/>
            <w:shd w:val="clear" w:color="auto" w:fill="FFFFFF"/>
            <w:tcMar>
              <w:top w:w="0" w:type="dxa"/>
              <w:left w:w="85" w:type="dxa"/>
              <w:bottom w:w="0" w:type="dxa"/>
              <w:right w:w="85" w:type="dxa"/>
            </w:tcMar>
          </w:tcPr>
          <w:p w14:paraId="621D91E9" w14:textId="77777777" w:rsidR="007E0025" w:rsidRPr="00BE78CA" w:rsidRDefault="007E0025" w:rsidP="00C26084">
            <w:pPr>
              <w:pStyle w:val="TableText"/>
            </w:pPr>
            <w:r w:rsidRPr="00BE78CA">
              <w:rPr>
                <w:rFonts w:eastAsia="Calibri"/>
                <w:b/>
                <w:bCs/>
              </w:rPr>
              <w:t xml:space="preserve">Resolved. </w:t>
            </w:r>
            <w:r w:rsidRPr="00BE78CA">
              <w:rPr>
                <w:rFonts w:eastAsia="Calibri"/>
              </w:rPr>
              <w:t>A table of energy intensities by fuel type has been included in the NIR (chapter 3, table 3.3.5).</w:t>
            </w:r>
          </w:p>
        </w:tc>
      </w:tr>
      <w:tr w:rsidR="007E0025" w:rsidRPr="00BE78CA" w14:paraId="420C7A96" w14:textId="77777777" w:rsidTr="00BB5269">
        <w:tc>
          <w:tcPr>
            <w:tcW w:w="1813" w:type="dxa"/>
            <w:shd w:val="clear" w:color="auto" w:fill="FFFFFF"/>
            <w:tcMar>
              <w:top w:w="0" w:type="dxa"/>
              <w:left w:w="85" w:type="dxa"/>
              <w:bottom w:w="0" w:type="dxa"/>
              <w:right w:w="85" w:type="dxa"/>
            </w:tcMar>
          </w:tcPr>
          <w:p w14:paraId="1EFAD20A" w14:textId="77777777" w:rsidR="007E0025" w:rsidRPr="00BE78CA" w:rsidRDefault="007E0025" w:rsidP="008A7E42">
            <w:pPr>
              <w:pStyle w:val="TableText"/>
              <w:keepNext/>
            </w:pPr>
            <w:r w:rsidRPr="00BE78CA">
              <w:rPr>
                <w:rFonts w:eastAsia="Calibri" w:cs="Calibri"/>
                <w:color w:val="111111"/>
                <w:szCs w:val="16"/>
              </w:rPr>
              <w:lastRenderedPageBreak/>
              <w:t>Energy – 1.A.2.c Chemicals – gaseous fuels – CO</w:t>
            </w:r>
            <w:r w:rsidRPr="00BE78CA">
              <w:rPr>
                <w:rFonts w:eastAsia="Calibri" w:cs="Calibri"/>
                <w:color w:val="111111"/>
                <w:szCs w:val="16"/>
                <w:vertAlign w:val="subscript"/>
              </w:rPr>
              <w:t>2</w:t>
            </w:r>
            <w:r w:rsidRPr="00BE78CA">
              <w:rPr>
                <w:rFonts w:eastAsia="Calibri" w:cs="Calibri"/>
                <w:color w:val="111111"/>
                <w:szCs w:val="16"/>
              </w:rPr>
              <w:t>, CH</w:t>
            </w:r>
            <w:r w:rsidRPr="00BE78CA">
              <w:rPr>
                <w:rFonts w:eastAsia="Calibri" w:cs="Calibri"/>
                <w:color w:val="111111"/>
                <w:szCs w:val="16"/>
                <w:vertAlign w:val="subscript"/>
              </w:rPr>
              <w:t>4</w:t>
            </w:r>
            <w:r w:rsidRPr="00BE78CA">
              <w:rPr>
                <w:rFonts w:eastAsia="Calibri" w:cs="Calibri"/>
                <w:color w:val="111111"/>
                <w:szCs w:val="16"/>
              </w:rPr>
              <w:t xml:space="preserve"> and N</w:t>
            </w:r>
            <w:r w:rsidRPr="00BE78CA">
              <w:rPr>
                <w:rFonts w:eastAsia="Calibri" w:cs="Calibri"/>
                <w:color w:val="111111"/>
                <w:szCs w:val="16"/>
                <w:vertAlign w:val="subscript"/>
              </w:rPr>
              <w:t>2</w:t>
            </w:r>
            <w:r w:rsidRPr="00BE78CA">
              <w:rPr>
                <w:rFonts w:eastAsia="Calibri" w:cs="Calibri"/>
                <w:color w:val="111111"/>
                <w:szCs w:val="16"/>
              </w:rPr>
              <w:t>O</w:t>
            </w:r>
          </w:p>
        </w:tc>
        <w:tc>
          <w:tcPr>
            <w:tcW w:w="907" w:type="dxa"/>
            <w:shd w:val="clear" w:color="auto" w:fill="FFFFFF"/>
            <w:tcMar>
              <w:top w:w="0" w:type="dxa"/>
              <w:left w:w="85" w:type="dxa"/>
              <w:bottom w:w="0" w:type="dxa"/>
              <w:right w:w="85" w:type="dxa"/>
            </w:tcMar>
          </w:tcPr>
          <w:p w14:paraId="175893D1" w14:textId="77777777" w:rsidR="007E0025" w:rsidRPr="00BE78CA" w:rsidRDefault="007E0025" w:rsidP="00C26084">
            <w:pPr>
              <w:pStyle w:val="TableText"/>
            </w:pPr>
            <w:r w:rsidRPr="00BE78CA">
              <w:rPr>
                <w:rFonts w:eastAsia="Calibri" w:cs="Calibri"/>
                <w:color w:val="111111"/>
                <w:szCs w:val="16"/>
              </w:rPr>
              <w:t>E.26, 2019</w:t>
            </w:r>
          </w:p>
        </w:tc>
        <w:tc>
          <w:tcPr>
            <w:tcW w:w="2784" w:type="dxa"/>
            <w:shd w:val="clear" w:color="auto" w:fill="FFFFFF"/>
            <w:tcMar>
              <w:top w:w="0" w:type="dxa"/>
              <w:left w:w="85" w:type="dxa"/>
              <w:bottom w:w="0" w:type="dxa"/>
              <w:right w:w="85" w:type="dxa"/>
            </w:tcMar>
          </w:tcPr>
          <w:p w14:paraId="3C2B65A9" w14:textId="77777777" w:rsidR="007E0025" w:rsidRPr="00BE78CA" w:rsidRDefault="007E0025" w:rsidP="00C26084">
            <w:pPr>
              <w:pStyle w:val="TableText"/>
            </w:pPr>
            <w:r w:rsidRPr="00BE78CA">
              <w:rPr>
                <w:rFonts w:eastAsia="Calibri" w:cs="Calibri"/>
                <w:color w:val="111111"/>
                <w:szCs w:val="16"/>
              </w:rPr>
              <w:t>The ERT recommends that New Zealand explain the trend in fuel consumption and emissions from chemicals in the NIR.</w:t>
            </w:r>
          </w:p>
        </w:tc>
        <w:tc>
          <w:tcPr>
            <w:tcW w:w="2879" w:type="dxa"/>
            <w:shd w:val="clear" w:color="auto" w:fill="FFFFFF"/>
            <w:tcMar>
              <w:top w:w="0" w:type="dxa"/>
              <w:left w:w="85" w:type="dxa"/>
              <w:bottom w:w="0" w:type="dxa"/>
              <w:right w:w="85" w:type="dxa"/>
            </w:tcMar>
          </w:tcPr>
          <w:p w14:paraId="67E7C8BA" w14:textId="77777777" w:rsidR="007E0025" w:rsidRPr="00BE78CA" w:rsidRDefault="007E0025" w:rsidP="00C26084">
            <w:pPr>
              <w:pStyle w:val="TableText"/>
            </w:pPr>
            <w:r w:rsidRPr="00BE78CA">
              <w:rPr>
                <w:rFonts w:eastAsia="Calibri"/>
                <w:b/>
                <w:bCs/>
              </w:rPr>
              <w:t>Resolved.</w:t>
            </w:r>
            <w:r w:rsidRPr="00BE78CA">
              <w:rPr>
                <w:rFonts w:eastAsia="Calibri"/>
              </w:rPr>
              <w:t xml:space="preserve"> Explanatory text added to NIR chapter 3, section 3.2.3. Also please refer to the graph in chapter 3, figure 3.2.1, showing natural gas consumption by end use type. Most of New Zealand’s chemical production uses natural gas and most non-energy use of natural gas is in chemical production. Therefore, the trend in fuel consumption (and so emissions) can be inferred from the graph in figure 3.2.1.</w:t>
            </w:r>
          </w:p>
        </w:tc>
      </w:tr>
      <w:tr w:rsidR="007E0025" w:rsidRPr="00BE78CA" w14:paraId="6D3779AA" w14:textId="77777777" w:rsidTr="00BB5269">
        <w:tc>
          <w:tcPr>
            <w:tcW w:w="1813" w:type="dxa"/>
            <w:shd w:val="clear" w:color="auto" w:fill="FFFFFF"/>
            <w:tcMar>
              <w:top w:w="0" w:type="dxa"/>
              <w:left w:w="85" w:type="dxa"/>
              <w:bottom w:w="0" w:type="dxa"/>
              <w:right w:w="85" w:type="dxa"/>
            </w:tcMar>
          </w:tcPr>
          <w:p w14:paraId="73C79F5C" w14:textId="77777777" w:rsidR="007E0025" w:rsidRPr="00BE78CA" w:rsidRDefault="007E0025" w:rsidP="00C26084">
            <w:pPr>
              <w:pStyle w:val="TableText"/>
            </w:pPr>
            <w:r w:rsidRPr="00BE78CA">
              <w:rPr>
                <w:rFonts w:eastAsia="Calibri" w:cs="Calibri"/>
                <w:color w:val="111111"/>
                <w:szCs w:val="16"/>
              </w:rPr>
              <w:t>Energy – 1.A.2.f Non- metallic minerals 1.A.2.g.i Manufacturing of machinery – gaseous fuels – CO</w:t>
            </w:r>
            <w:r w:rsidRPr="00BE78CA">
              <w:rPr>
                <w:rFonts w:eastAsia="Calibri" w:cs="Calibri"/>
                <w:color w:val="111111"/>
                <w:szCs w:val="16"/>
                <w:vertAlign w:val="subscript"/>
              </w:rPr>
              <w:t>2</w:t>
            </w:r>
            <w:r w:rsidRPr="00BE78CA">
              <w:rPr>
                <w:rFonts w:eastAsia="Calibri" w:cs="Calibri"/>
                <w:color w:val="111111"/>
                <w:szCs w:val="16"/>
              </w:rPr>
              <w:t>, CH</w:t>
            </w:r>
            <w:r w:rsidRPr="00BE78CA">
              <w:rPr>
                <w:rFonts w:eastAsia="Calibri" w:cs="Calibri"/>
                <w:color w:val="111111"/>
                <w:szCs w:val="16"/>
                <w:vertAlign w:val="subscript"/>
              </w:rPr>
              <w:t>4</w:t>
            </w:r>
            <w:r w:rsidRPr="00BE78CA">
              <w:rPr>
                <w:rFonts w:eastAsia="Calibri" w:cs="Calibri"/>
                <w:color w:val="111111"/>
                <w:szCs w:val="16"/>
              </w:rPr>
              <w:t xml:space="preserve"> and N</w:t>
            </w:r>
            <w:r w:rsidRPr="00BE78CA">
              <w:rPr>
                <w:rFonts w:eastAsia="Calibri" w:cs="Calibri"/>
                <w:color w:val="111111"/>
                <w:szCs w:val="16"/>
                <w:vertAlign w:val="subscript"/>
              </w:rPr>
              <w:t>2</w:t>
            </w:r>
            <w:r w:rsidRPr="00BE78CA">
              <w:rPr>
                <w:rFonts w:eastAsia="Calibri" w:cs="Calibri"/>
                <w:color w:val="111111"/>
                <w:szCs w:val="16"/>
              </w:rPr>
              <w:t>O</w:t>
            </w:r>
          </w:p>
        </w:tc>
        <w:tc>
          <w:tcPr>
            <w:tcW w:w="907" w:type="dxa"/>
            <w:shd w:val="clear" w:color="auto" w:fill="FFFFFF"/>
            <w:tcMar>
              <w:top w:w="0" w:type="dxa"/>
              <w:left w:w="85" w:type="dxa"/>
              <w:bottom w:w="0" w:type="dxa"/>
              <w:right w:w="85" w:type="dxa"/>
            </w:tcMar>
          </w:tcPr>
          <w:p w14:paraId="4C398894" w14:textId="77777777" w:rsidR="007E0025" w:rsidRPr="00BE78CA" w:rsidRDefault="007E0025" w:rsidP="00C26084">
            <w:pPr>
              <w:pStyle w:val="TableText"/>
            </w:pPr>
            <w:r w:rsidRPr="00BE78CA">
              <w:rPr>
                <w:rFonts w:eastAsia="Calibri" w:cs="Calibri"/>
                <w:color w:val="111111"/>
                <w:szCs w:val="16"/>
              </w:rPr>
              <w:t>E.28, 2019</w:t>
            </w:r>
          </w:p>
        </w:tc>
        <w:tc>
          <w:tcPr>
            <w:tcW w:w="2784" w:type="dxa"/>
            <w:shd w:val="clear" w:color="auto" w:fill="FFFFFF"/>
            <w:tcMar>
              <w:top w:w="0" w:type="dxa"/>
              <w:left w:w="85" w:type="dxa"/>
              <w:bottom w:w="0" w:type="dxa"/>
              <w:right w:w="85" w:type="dxa"/>
            </w:tcMar>
          </w:tcPr>
          <w:p w14:paraId="56396EDB" w14:textId="77777777" w:rsidR="007E0025" w:rsidRPr="00BE78CA" w:rsidRDefault="007E0025" w:rsidP="00C26084">
            <w:pPr>
              <w:pStyle w:val="TableText"/>
            </w:pPr>
            <w:r w:rsidRPr="00BE78CA">
              <w:rPr>
                <w:rFonts w:eastAsia="Calibri" w:cs="Calibri"/>
                <w:color w:val="111111"/>
                <w:szCs w:val="16"/>
              </w:rPr>
              <w:t>The ERT recommends that New Zealand review the allocation of emissions for subcategories 1.A.2.f (non-metallic minerals) and 1.A.2.g.i (manufacturing of machinery) from gaseous fuel consumption for 2009–2015 and explain any recalculation in the NIR.</w:t>
            </w:r>
          </w:p>
        </w:tc>
        <w:tc>
          <w:tcPr>
            <w:tcW w:w="2879" w:type="dxa"/>
            <w:shd w:val="clear" w:color="auto" w:fill="FFFFFF"/>
            <w:tcMar>
              <w:top w:w="0" w:type="dxa"/>
              <w:left w:w="85" w:type="dxa"/>
              <w:bottom w:w="0" w:type="dxa"/>
              <w:right w:w="85" w:type="dxa"/>
            </w:tcMar>
          </w:tcPr>
          <w:p w14:paraId="745EA045" w14:textId="77777777" w:rsidR="007E0025" w:rsidRPr="00BE78CA" w:rsidRDefault="007E0025" w:rsidP="00C26084">
            <w:pPr>
              <w:pStyle w:val="TableText"/>
            </w:pPr>
            <w:r w:rsidRPr="00BE78CA">
              <w:rPr>
                <w:rFonts w:eastAsia="Calibri"/>
                <w:b/>
                <w:bCs/>
              </w:rPr>
              <w:t>Resolved.</w:t>
            </w:r>
            <w:r w:rsidRPr="00BE78CA">
              <w:rPr>
                <w:rFonts w:eastAsia="Calibri"/>
              </w:rPr>
              <w:t xml:space="preserve"> The allocation of emissions for subcategories 1.A.2.f (non-metallic minerals) and 1.A.2.g.i (manufacturing of machinery) from gaseous fuel consumption for 2009–15 has been reviewed by the sector compiler in conjunction with the MBIE oil and gas data system manager. In light of the available information given the historical period, the conclusion was reached that there is currently insufficient justification to make a reallocation to energy sales data and that, to maintain consistency, the emissions estimates should continue to be based directly off the energy sales data. So no recalculation to emissions for these categories is required.</w:t>
            </w:r>
          </w:p>
        </w:tc>
      </w:tr>
      <w:tr w:rsidR="007E0025" w:rsidRPr="00BE78CA" w14:paraId="61E79076" w14:textId="77777777" w:rsidTr="00BB5269">
        <w:tc>
          <w:tcPr>
            <w:tcW w:w="1813" w:type="dxa"/>
            <w:shd w:val="clear" w:color="auto" w:fill="FFFFFF"/>
            <w:tcMar>
              <w:top w:w="0" w:type="dxa"/>
              <w:left w:w="85" w:type="dxa"/>
              <w:bottom w:w="0" w:type="dxa"/>
              <w:right w:w="85" w:type="dxa"/>
            </w:tcMar>
          </w:tcPr>
          <w:p w14:paraId="04435FAE" w14:textId="77777777" w:rsidR="007E0025" w:rsidRPr="00BE78CA" w:rsidRDefault="007E0025" w:rsidP="00C26084">
            <w:pPr>
              <w:pStyle w:val="TableText"/>
            </w:pPr>
            <w:r w:rsidRPr="00BE78CA">
              <w:rPr>
                <w:rFonts w:eastAsia="Calibri" w:cs="Calibri"/>
                <w:color w:val="111111"/>
                <w:szCs w:val="16"/>
              </w:rPr>
              <w:t>Energy - 1.A.3.b Road transportation – liquid and gaseous fuels – CO</w:t>
            </w:r>
            <w:r w:rsidRPr="00BE78CA">
              <w:rPr>
                <w:rFonts w:eastAsia="Calibri" w:cs="Calibri"/>
                <w:color w:val="111111"/>
                <w:szCs w:val="16"/>
                <w:vertAlign w:val="subscript"/>
              </w:rPr>
              <w:t>2</w:t>
            </w:r>
            <w:r w:rsidRPr="00BE78CA">
              <w:rPr>
                <w:rFonts w:eastAsia="Calibri" w:cs="Calibri"/>
                <w:color w:val="111111"/>
                <w:szCs w:val="16"/>
              </w:rPr>
              <w:t>, CH</w:t>
            </w:r>
            <w:r w:rsidRPr="00BE78CA">
              <w:rPr>
                <w:rFonts w:eastAsia="Calibri" w:cs="Calibri"/>
                <w:color w:val="111111"/>
                <w:szCs w:val="16"/>
                <w:vertAlign w:val="subscript"/>
              </w:rPr>
              <w:t>4</w:t>
            </w:r>
            <w:r w:rsidRPr="00BE78CA">
              <w:rPr>
                <w:rFonts w:eastAsia="Calibri" w:cs="Calibri"/>
                <w:color w:val="111111"/>
                <w:szCs w:val="16"/>
              </w:rPr>
              <w:t xml:space="preserve"> and N</w:t>
            </w:r>
            <w:r w:rsidRPr="00BE78CA">
              <w:rPr>
                <w:rFonts w:eastAsia="Calibri" w:cs="Calibri"/>
                <w:color w:val="111111"/>
                <w:szCs w:val="16"/>
                <w:vertAlign w:val="subscript"/>
              </w:rPr>
              <w:t>2</w:t>
            </w:r>
            <w:r w:rsidRPr="00BE78CA">
              <w:rPr>
                <w:rFonts w:eastAsia="Calibri" w:cs="Calibri"/>
                <w:color w:val="111111"/>
                <w:szCs w:val="16"/>
              </w:rPr>
              <w:t>O</w:t>
            </w:r>
          </w:p>
        </w:tc>
        <w:tc>
          <w:tcPr>
            <w:tcW w:w="907" w:type="dxa"/>
            <w:shd w:val="clear" w:color="auto" w:fill="FFFFFF"/>
            <w:tcMar>
              <w:top w:w="0" w:type="dxa"/>
              <w:left w:w="85" w:type="dxa"/>
              <w:bottom w:w="0" w:type="dxa"/>
              <w:right w:w="85" w:type="dxa"/>
            </w:tcMar>
          </w:tcPr>
          <w:p w14:paraId="27BA3F80" w14:textId="77777777" w:rsidR="007E0025" w:rsidRPr="00BE78CA" w:rsidRDefault="007E0025" w:rsidP="00C26084">
            <w:pPr>
              <w:pStyle w:val="TableText"/>
            </w:pPr>
            <w:r w:rsidRPr="00BE78CA">
              <w:rPr>
                <w:rFonts w:eastAsia="Calibri" w:cs="Calibri"/>
                <w:color w:val="111111"/>
                <w:szCs w:val="16"/>
              </w:rPr>
              <w:t>E.29, 2019</w:t>
            </w:r>
          </w:p>
        </w:tc>
        <w:tc>
          <w:tcPr>
            <w:tcW w:w="2784" w:type="dxa"/>
            <w:shd w:val="clear" w:color="auto" w:fill="FFFFFF"/>
            <w:tcMar>
              <w:top w:w="0" w:type="dxa"/>
              <w:left w:w="85" w:type="dxa"/>
              <w:bottom w:w="0" w:type="dxa"/>
              <w:right w:w="85" w:type="dxa"/>
            </w:tcMar>
          </w:tcPr>
          <w:p w14:paraId="2F22C833" w14:textId="74E30C6B" w:rsidR="007E0025" w:rsidRPr="00BE78CA" w:rsidRDefault="007E0025" w:rsidP="00C26084">
            <w:pPr>
              <w:pStyle w:val="TableText"/>
            </w:pPr>
            <w:r w:rsidRPr="00BE78CA">
              <w:rPr>
                <w:rFonts w:eastAsia="Calibri" w:cs="Calibri"/>
                <w:color w:val="111111"/>
                <w:szCs w:val="16"/>
              </w:rPr>
              <w:t xml:space="preserve">The ERT recommends that New Zealand report as </w:t>
            </w:r>
            <w:r w:rsidR="0055281A" w:rsidRPr="00BE78CA">
              <w:rPr>
                <w:rFonts w:eastAsia="Calibri" w:cs="Calibri"/>
                <w:color w:val="111111"/>
                <w:szCs w:val="16"/>
              </w:rPr>
              <w:t>‘NO’</w:t>
            </w:r>
            <w:r w:rsidRPr="00BE78CA">
              <w:rPr>
                <w:rFonts w:eastAsia="Calibri" w:cs="Calibri"/>
                <w:color w:val="111111"/>
                <w:szCs w:val="16"/>
              </w:rPr>
              <w:t xml:space="preserve">, instead of </w:t>
            </w:r>
            <w:r w:rsidR="0055281A" w:rsidRPr="00BE78CA">
              <w:rPr>
                <w:rFonts w:eastAsia="Calibri" w:cs="Calibri"/>
                <w:color w:val="111111"/>
                <w:szCs w:val="16"/>
              </w:rPr>
              <w:t>‘IE’</w:t>
            </w:r>
            <w:r w:rsidRPr="00BE78CA">
              <w:rPr>
                <w:rFonts w:eastAsia="Calibri" w:cs="Calibri"/>
                <w:color w:val="111111"/>
                <w:szCs w:val="16"/>
              </w:rPr>
              <w:t>, the AD and emissions for biomass for light- and heavy- duty trucks and buses, and diesel, liquefied petroleum gas and biomass for motorcycles for before 2000.</w:t>
            </w:r>
          </w:p>
        </w:tc>
        <w:tc>
          <w:tcPr>
            <w:tcW w:w="2879" w:type="dxa"/>
            <w:shd w:val="clear" w:color="auto" w:fill="FFFFFF"/>
            <w:tcMar>
              <w:top w:w="0" w:type="dxa"/>
              <w:left w:w="85" w:type="dxa"/>
              <w:bottom w:w="0" w:type="dxa"/>
              <w:right w:w="85" w:type="dxa"/>
            </w:tcMar>
          </w:tcPr>
          <w:p w14:paraId="646716EE" w14:textId="77777777" w:rsidR="007E0025" w:rsidRPr="00BE78CA" w:rsidRDefault="007E0025" w:rsidP="00C26084">
            <w:pPr>
              <w:pStyle w:val="TableText"/>
            </w:pPr>
            <w:r w:rsidRPr="00BE78CA">
              <w:rPr>
                <w:rFonts w:eastAsia="Calibri"/>
                <w:b/>
                <w:bCs/>
              </w:rPr>
              <w:t>Resolved.</w:t>
            </w:r>
            <w:r w:rsidRPr="00BE78CA">
              <w:rPr>
                <w:rFonts w:eastAsia="Calibri"/>
              </w:rPr>
              <w:t xml:space="preserve"> Implemented in CRF table 1.A.3.b.</w:t>
            </w:r>
          </w:p>
        </w:tc>
      </w:tr>
      <w:tr w:rsidR="007E0025" w:rsidRPr="00BE78CA" w14:paraId="1535879C" w14:textId="77777777" w:rsidTr="00BB5269">
        <w:tc>
          <w:tcPr>
            <w:tcW w:w="1813" w:type="dxa"/>
            <w:shd w:val="clear" w:color="auto" w:fill="FFFFFF"/>
            <w:tcMar>
              <w:top w:w="0" w:type="dxa"/>
              <w:left w:w="85" w:type="dxa"/>
              <w:bottom w:w="0" w:type="dxa"/>
              <w:right w:w="85" w:type="dxa"/>
            </w:tcMar>
          </w:tcPr>
          <w:p w14:paraId="0B9DDD35" w14:textId="77777777" w:rsidR="007E0025" w:rsidRPr="00BE78CA" w:rsidRDefault="007E0025" w:rsidP="00C26084">
            <w:pPr>
              <w:pStyle w:val="TableText"/>
            </w:pPr>
            <w:r w:rsidRPr="00BE78CA">
              <w:rPr>
                <w:rFonts w:eastAsia="Calibri" w:cs="Calibri"/>
                <w:color w:val="111111"/>
                <w:szCs w:val="16"/>
              </w:rPr>
              <w:t>Energy – 1.A.3.b Road transportation – liquid and gaseous fuels – CO</w:t>
            </w:r>
            <w:r w:rsidRPr="00BE78CA">
              <w:rPr>
                <w:rFonts w:eastAsia="Calibri" w:cs="Calibri"/>
                <w:color w:val="111111"/>
                <w:szCs w:val="16"/>
                <w:vertAlign w:val="subscript"/>
              </w:rPr>
              <w:t>2</w:t>
            </w:r>
          </w:p>
        </w:tc>
        <w:tc>
          <w:tcPr>
            <w:tcW w:w="907" w:type="dxa"/>
            <w:shd w:val="clear" w:color="auto" w:fill="FFFFFF"/>
            <w:tcMar>
              <w:top w:w="0" w:type="dxa"/>
              <w:left w:w="85" w:type="dxa"/>
              <w:bottom w:w="0" w:type="dxa"/>
              <w:right w:w="85" w:type="dxa"/>
            </w:tcMar>
          </w:tcPr>
          <w:p w14:paraId="423BE1AB" w14:textId="77777777" w:rsidR="007E0025" w:rsidRPr="00BE78CA" w:rsidRDefault="007E0025" w:rsidP="00C26084">
            <w:pPr>
              <w:pStyle w:val="TableText"/>
            </w:pPr>
            <w:r w:rsidRPr="00BE78CA">
              <w:rPr>
                <w:rFonts w:eastAsia="Calibri" w:cs="Calibri"/>
                <w:color w:val="111111"/>
                <w:szCs w:val="16"/>
              </w:rPr>
              <w:t>E.30, 2019</w:t>
            </w:r>
          </w:p>
        </w:tc>
        <w:tc>
          <w:tcPr>
            <w:tcW w:w="2784" w:type="dxa"/>
            <w:shd w:val="clear" w:color="auto" w:fill="FFFFFF"/>
            <w:tcMar>
              <w:top w:w="0" w:type="dxa"/>
              <w:left w:w="85" w:type="dxa"/>
              <w:bottom w:w="0" w:type="dxa"/>
              <w:right w:w="85" w:type="dxa"/>
            </w:tcMar>
          </w:tcPr>
          <w:p w14:paraId="0E4D256E" w14:textId="338D2DA9" w:rsidR="007E0025" w:rsidRPr="00BE78CA" w:rsidRDefault="007E0025" w:rsidP="00C26084">
            <w:pPr>
              <w:pStyle w:val="TableText"/>
            </w:pPr>
            <w:r w:rsidRPr="00BE78CA">
              <w:rPr>
                <w:rFonts w:eastAsia="Calibri" w:cs="Calibri"/>
                <w:color w:val="111111"/>
                <w:szCs w:val="16"/>
              </w:rPr>
              <w:t>The ERT recommends that New Zealand continue to estimate the CO</w:t>
            </w:r>
            <w:r w:rsidRPr="00BE78CA">
              <w:rPr>
                <w:rFonts w:eastAsia="Calibri" w:cs="Calibri"/>
                <w:color w:val="111111"/>
                <w:szCs w:val="16"/>
                <w:vertAlign w:val="subscript"/>
              </w:rPr>
              <w:t>2</w:t>
            </w:r>
            <w:r w:rsidRPr="00BE78CA">
              <w:rPr>
                <w:rFonts w:eastAsia="Calibri" w:cs="Calibri"/>
                <w:color w:val="111111"/>
                <w:szCs w:val="16"/>
              </w:rPr>
              <w:t xml:space="preserve"> emissions on the basis of fuel sold, but report the</w:t>
            </w:r>
            <w:r w:rsidR="0055281A" w:rsidRPr="00BE78CA">
              <w:rPr>
                <w:rFonts w:eastAsia="Calibri" w:cs="Calibri"/>
                <w:color w:val="111111"/>
                <w:szCs w:val="16"/>
              </w:rPr>
              <w:t> </w:t>
            </w:r>
            <w:r w:rsidRPr="00BE78CA">
              <w:rPr>
                <w:rFonts w:eastAsia="Calibri" w:cs="Calibri"/>
                <w:color w:val="111111"/>
                <w:szCs w:val="16"/>
              </w:rPr>
              <w:t>CO</w:t>
            </w:r>
            <w:r w:rsidRPr="00BE78CA">
              <w:rPr>
                <w:rFonts w:eastAsia="Calibri" w:cs="Calibri"/>
                <w:color w:val="111111"/>
                <w:szCs w:val="16"/>
                <w:vertAlign w:val="subscript"/>
              </w:rPr>
              <w:t>2</w:t>
            </w:r>
            <w:r w:rsidRPr="00BE78CA">
              <w:rPr>
                <w:rFonts w:eastAsia="Calibri" w:cs="Calibri"/>
                <w:color w:val="111111"/>
                <w:szCs w:val="16"/>
              </w:rPr>
              <w:t xml:space="preserve"> emissions for before 2000 disaggregated by vehicle mode (cars, light-duty trucks, heavy-duty trucks and buses, and motorcycles) using the data collected for the estimation of CH</w:t>
            </w:r>
            <w:r w:rsidRPr="00BE78CA">
              <w:rPr>
                <w:rFonts w:eastAsia="Calibri" w:cs="Calibri"/>
                <w:color w:val="111111"/>
                <w:szCs w:val="16"/>
                <w:vertAlign w:val="subscript"/>
              </w:rPr>
              <w:t>4</w:t>
            </w:r>
            <w:r w:rsidRPr="00BE78CA">
              <w:rPr>
                <w:rFonts w:eastAsia="Calibri" w:cs="Calibri"/>
                <w:color w:val="111111"/>
                <w:szCs w:val="16"/>
              </w:rPr>
              <w:t xml:space="preserve"> and N</w:t>
            </w:r>
            <w:r w:rsidRPr="00BE78CA">
              <w:rPr>
                <w:rFonts w:eastAsia="Calibri" w:cs="Calibri"/>
                <w:color w:val="111111"/>
                <w:szCs w:val="16"/>
                <w:vertAlign w:val="subscript"/>
              </w:rPr>
              <w:t>2</w:t>
            </w:r>
            <w:r w:rsidRPr="00BE78CA">
              <w:rPr>
                <w:rFonts w:eastAsia="Calibri" w:cs="Calibri"/>
                <w:color w:val="111111"/>
                <w:szCs w:val="16"/>
              </w:rPr>
              <w:t>O emissions as a good practice to verify the CO</w:t>
            </w:r>
            <w:r w:rsidRPr="00BE78CA">
              <w:rPr>
                <w:rFonts w:eastAsia="Calibri" w:cs="Calibri"/>
                <w:color w:val="111111"/>
                <w:szCs w:val="16"/>
                <w:vertAlign w:val="subscript"/>
              </w:rPr>
              <w:t>2</w:t>
            </w:r>
            <w:r w:rsidRPr="00BE78CA">
              <w:rPr>
                <w:rFonts w:eastAsia="Calibri" w:cs="Calibri"/>
                <w:color w:val="111111"/>
                <w:szCs w:val="16"/>
              </w:rPr>
              <w:t xml:space="preserve"> estimates obtained with a tier 1 approach.</w:t>
            </w:r>
          </w:p>
        </w:tc>
        <w:tc>
          <w:tcPr>
            <w:tcW w:w="2879" w:type="dxa"/>
            <w:shd w:val="clear" w:color="auto" w:fill="FFFFFF"/>
            <w:tcMar>
              <w:top w:w="0" w:type="dxa"/>
              <w:left w:w="85" w:type="dxa"/>
              <w:bottom w:w="0" w:type="dxa"/>
              <w:right w:w="85" w:type="dxa"/>
            </w:tcMar>
          </w:tcPr>
          <w:p w14:paraId="40A1AB4D" w14:textId="77777777" w:rsidR="007E0025" w:rsidRPr="00BE78CA" w:rsidRDefault="007E0025" w:rsidP="00C26084">
            <w:pPr>
              <w:pStyle w:val="TableText"/>
            </w:pPr>
            <w:r w:rsidRPr="00BE78CA">
              <w:rPr>
                <w:rFonts w:eastAsia="Calibri"/>
                <w:b/>
                <w:bCs/>
              </w:rPr>
              <w:t>Addressing.</w:t>
            </w:r>
            <w:r w:rsidRPr="00BE78CA">
              <w:rPr>
                <w:rFonts w:eastAsia="Calibri"/>
              </w:rPr>
              <w:t xml:space="preserve"> A project to accomplish this disaggregation is under way, and key milestones of the system code reconfiguration have been reached (NIR chapter 3, section 3.3.3). Delivery is expected for the 2022 submission.</w:t>
            </w:r>
          </w:p>
        </w:tc>
      </w:tr>
      <w:tr w:rsidR="007E0025" w:rsidRPr="00BE78CA" w14:paraId="1EE789A8" w14:textId="77777777" w:rsidTr="00BB5269">
        <w:tc>
          <w:tcPr>
            <w:tcW w:w="1813" w:type="dxa"/>
            <w:shd w:val="clear" w:color="auto" w:fill="FFFFFF"/>
            <w:tcMar>
              <w:top w:w="0" w:type="dxa"/>
              <w:left w:w="85" w:type="dxa"/>
              <w:bottom w:w="0" w:type="dxa"/>
              <w:right w:w="85" w:type="dxa"/>
            </w:tcMar>
          </w:tcPr>
          <w:p w14:paraId="41A02EF5" w14:textId="77777777" w:rsidR="007E0025" w:rsidRPr="00BE78CA" w:rsidRDefault="007E0025" w:rsidP="00C26084">
            <w:pPr>
              <w:pStyle w:val="TableText"/>
            </w:pPr>
            <w:r w:rsidRPr="00BE78CA">
              <w:rPr>
                <w:rFonts w:eastAsia="Calibri" w:cs="Calibri"/>
                <w:color w:val="111111"/>
                <w:szCs w:val="16"/>
              </w:rPr>
              <w:t>Energy – 1.A.3.b Road transportation – gaseous fuels – CO</w:t>
            </w:r>
            <w:r w:rsidRPr="00BE78CA">
              <w:rPr>
                <w:rFonts w:eastAsia="Calibri" w:cs="Calibri"/>
                <w:color w:val="111111"/>
                <w:szCs w:val="16"/>
                <w:vertAlign w:val="subscript"/>
              </w:rPr>
              <w:t>2</w:t>
            </w:r>
            <w:r w:rsidRPr="00BE78CA">
              <w:rPr>
                <w:rFonts w:eastAsia="Calibri" w:cs="Calibri"/>
                <w:color w:val="111111"/>
                <w:szCs w:val="16"/>
              </w:rPr>
              <w:t>, CH</w:t>
            </w:r>
            <w:r w:rsidRPr="00BE78CA">
              <w:rPr>
                <w:rFonts w:eastAsia="Calibri" w:cs="Calibri"/>
                <w:color w:val="111111"/>
                <w:szCs w:val="16"/>
                <w:vertAlign w:val="subscript"/>
              </w:rPr>
              <w:t>4</w:t>
            </w:r>
            <w:r w:rsidRPr="00BE78CA">
              <w:rPr>
                <w:rFonts w:eastAsia="Calibri" w:cs="Calibri"/>
                <w:color w:val="111111"/>
                <w:szCs w:val="16"/>
              </w:rPr>
              <w:t xml:space="preserve"> and N</w:t>
            </w:r>
            <w:r w:rsidRPr="00BE78CA">
              <w:rPr>
                <w:rFonts w:eastAsia="Calibri" w:cs="Calibri"/>
                <w:color w:val="111111"/>
                <w:szCs w:val="16"/>
                <w:vertAlign w:val="subscript"/>
              </w:rPr>
              <w:t>2</w:t>
            </w:r>
            <w:r w:rsidRPr="00BE78CA">
              <w:rPr>
                <w:rFonts w:eastAsia="Calibri" w:cs="Calibri"/>
                <w:color w:val="111111"/>
                <w:szCs w:val="16"/>
              </w:rPr>
              <w:t>O</w:t>
            </w:r>
          </w:p>
        </w:tc>
        <w:tc>
          <w:tcPr>
            <w:tcW w:w="907" w:type="dxa"/>
            <w:shd w:val="clear" w:color="auto" w:fill="FFFFFF"/>
            <w:tcMar>
              <w:top w:w="0" w:type="dxa"/>
              <w:left w:w="85" w:type="dxa"/>
              <w:bottom w:w="0" w:type="dxa"/>
              <w:right w:w="85" w:type="dxa"/>
            </w:tcMar>
          </w:tcPr>
          <w:p w14:paraId="39364B31" w14:textId="77777777" w:rsidR="007E0025" w:rsidRPr="00BE78CA" w:rsidRDefault="007E0025" w:rsidP="00C26084">
            <w:pPr>
              <w:pStyle w:val="TableText"/>
            </w:pPr>
            <w:r w:rsidRPr="00BE78CA">
              <w:rPr>
                <w:rFonts w:eastAsia="Calibri" w:cs="Calibri"/>
                <w:color w:val="111111"/>
                <w:szCs w:val="16"/>
              </w:rPr>
              <w:t>E.31, 2019</w:t>
            </w:r>
          </w:p>
        </w:tc>
        <w:tc>
          <w:tcPr>
            <w:tcW w:w="2784" w:type="dxa"/>
            <w:shd w:val="clear" w:color="auto" w:fill="FFFFFF"/>
            <w:tcMar>
              <w:top w:w="0" w:type="dxa"/>
              <w:left w:w="85" w:type="dxa"/>
              <w:bottom w:w="0" w:type="dxa"/>
              <w:right w:w="85" w:type="dxa"/>
            </w:tcMar>
          </w:tcPr>
          <w:p w14:paraId="72EF56A3" w14:textId="77777777" w:rsidR="007E0025" w:rsidRPr="00BE78CA" w:rsidRDefault="007E0025" w:rsidP="00C26084">
            <w:pPr>
              <w:pStyle w:val="TableText"/>
            </w:pPr>
            <w:r w:rsidRPr="00BE78CA">
              <w:rPr>
                <w:rFonts w:eastAsia="Calibri" w:cs="Calibri"/>
                <w:color w:val="111111"/>
                <w:szCs w:val="16"/>
              </w:rPr>
              <w:t>The ERT recommends that the Party include in the NIR the description of the trend of gaseous fuels for cars and heavy-duty trucks and buses.</w:t>
            </w:r>
          </w:p>
        </w:tc>
        <w:tc>
          <w:tcPr>
            <w:tcW w:w="2879" w:type="dxa"/>
            <w:shd w:val="clear" w:color="auto" w:fill="FFFFFF"/>
            <w:tcMar>
              <w:top w:w="0" w:type="dxa"/>
              <w:left w:w="85" w:type="dxa"/>
              <w:bottom w:w="0" w:type="dxa"/>
              <w:right w:w="85" w:type="dxa"/>
            </w:tcMar>
          </w:tcPr>
          <w:p w14:paraId="62DBA220" w14:textId="77777777" w:rsidR="007E0025" w:rsidRPr="00BE78CA" w:rsidRDefault="007E0025" w:rsidP="00C26084">
            <w:pPr>
              <w:pStyle w:val="TableText"/>
            </w:pPr>
            <w:r w:rsidRPr="00BE78CA">
              <w:rPr>
                <w:rFonts w:eastAsia="Calibri"/>
                <w:b/>
                <w:bCs/>
              </w:rPr>
              <w:t>Resolved.</w:t>
            </w:r>
            <w:r w:rsidRPr="00BE78CA">
              <w:rPr>
                <w:rFonts w:eastAsia="Calibri"/>
              </w:rPr>
              <w:t xml:space="preserve"> The information requested here has been added in NIR chapter 3, section 3.3.8.</w:t>
            </w:r>
          </w:p>
        </w:tc>
      </w:tr>
      <w:tr w:rsidR="007E0025" w:rsidRPr="00BE78CA" w14:paraId="4B7DE573" w14:textId="77777777" w:rsidTr="00BB5269">
        <w:tc>
          <w:tcPr>
            <w:tcW w:w="1813" w:type="dxa"/>
            <w:shd w:val="clear" w:color="auto" w:fill="FFFFFF"/>
            <w:tcMar>
              <w:top w:w="0" w:type="dxa"/>
              <w:left w:w="85" w:type="dxa"/>
              <w:bottom w:w="0" w:type="dxa"/>
              <w:right w:w="85" w:type="dxa"/>
            </w:tcMar>
          </w:tcPr>
          <w:p w14:paraId="3398B851" w14:textId="77777777" w:rsidR="007E0025" w:rsidRPr="00BE78CA" w:rsidRDefault="007E0025" w:rsidP="00C26084">
            <w:pPr>
              <w:pStyle w:val="TableText"/>
            </w:pPr>
            <w:r w:rsidRPr="00BE78CA">
              <w:rPr>
                <w:rFonts w:eastAsia="Calibri" w:cs="Calibri"/>
                <w:color w:val="111111"/>
                <w:szCs w:val="16"/>
              </w:rPr>
              <w:t>Energy – 1.A.3.b Road transportation – biomass – CO</w:t>
            </w:r>
            <w:r w:rsidRPr="00BE78CA">
              <w:rPr>
                <w:rFonts w:eastAsia="Calibri" w:cs="Calibri"/>
                <w:color w:val="111111"/>
                <w:szCs w:val="16"/>
                <w:vertAlign w:val="subscript"/>
              </w:rPr>
              <w:t>2</w:t>
            </w:r>
            <w:r w:rsidRPr="00BE78CA">
              <w:rPr>
                <w:rFonts w:eastAsia="Calibri" w:cs="Calibri"/>
                <w:color w:val="111111"/>
                <w:szCs w:val="16"/>
              </w:rPr>
              <w:t>, CH</w:t>
            </w:r>
            <w:r w:rsidRPr="00BE78CA">
              <w:rPr>
                <w:rFonts w:eastAsia="Calibri" w:cs="Calibri"/>
                <w:color w:val="111111"/>
                <w:szCs w:val="16"/>
                <w:vertAlign w:val="subscript"/>
              </w:rPr>
              <w:t>4</w:t>
            </w:r>
            <w:r w:rsidRPr="00BE78CA">
              <w:rPr>
                <w:rFonts w:eastAsia="Calibri" w:cs="Calibri"/>
                <w:color w:val="111111"/>
                <w:szCs w:val="16"/>
              </w:rPr>
              <w:t xml:space="preserve"> and N</w:t>
            </w:r>
            <w:r w:rsidRPr="00BE78CA">
              <w:rPr>
                <w:rFonts w:eastAsia="Calibri" w:cs="Calibri"/>
                <w:color w:val="111111"/>
                <w:szCs w:val="16"/>
                <w:vertAlign w:val="subscript"/>
              </w:rPr>
              <w:t>2</w:t>
            </w:r>
            <w:r w:rsidRPr="00BE78CA">
              <w:rPr>
                <w:rFonts w:eastAsia="Calibri" w:cs="Calibri"/>
                <w:color w:val="111111"/>
                <w:szCs w:val="16"/>
              </w:rPr>
              <w:t>O</w:t>
            </w:r>
          </w:p>
        </w:tc>
        <w:tc>
          <w:tcPr>
            <w:tcW w:w="907" w:type="dxa"/>
            <w:shd w:val="clear" w:color="auto" w:fill="FFFFFF"/>
            <w:tcMar>
              <w:top w:w="0" w:type="dxa"/>
              <w:left w:w="85" w:type="dxa"/>
              <w:bottom w:w="0" w:type="dxa"/>
              <w:right w:w="85" w:type="dxa"/>
            </w:tcMar>
          </w:tcPr>
          <w:p w14:paraId="04E3BD71" w14:textId="77777777" w:rsidR="007E0025" w:rsidRPr="00BE78CA" w:rsidRDefault="007E0025" w:rsidP="00C26084">
            <w:pPr>
              <w:pStyle w:val="TableText"/>
            </w:pPr>
            <w:r w:rsidRPr="00BE78CA">
              <w:rPr>
                <w:rFonts w:eastAsia="Calibri" w:cs="Calibri"/>
                <w:color w:val="111111"/>
                <w:szCs w:val="16"/>
              </w:rPr>
              <w:t>E.32, 2019</w:t>
            </w:r>
          </w:p>
        </w:tc>
        <w:tc>
          <w:tcPr>
            <w:tcW w:w="2784" w:type="dxa"/>
            <w:shd w:val="clear" w:color="auto" w:fill="FFFFFF"/>
            <w:tcMar>
              <w:top w:w="0" w:type="dxa"/>
              <w:left w:w="85" w:type="dxa"/>
              <w:bottom w:w="0" w:type="dxa"/>
              <w:right w:w="85" w:type="dxa"/>
            </w:tcMar>
          </w:tcPr>
          <w:p w14:paraId="2FE74C80" w14:textId="77777777" w:rsidR="007E0025" w:rsidRPr="00BE78CA" w:rsidRDefault="007E0025" w:rsidP="00C26084">
            <w:pPr>
              <w:pStyle w:val="TableText"/>
            </w:pPr>
            <w:r w:rsidRPr="00BE78CA">
              <w:rPr>
                <w:rFonts w:eastAsia="Calibri" w:cs="Calibri"/>
                <w:color w:val="111111"/>
                <w:szCs w:val="16"/>
              </w:rPr>
              <w:t>The ERT recommends that New Zealand explain the trend of biomass (biodiesel) used in road transportation, including the information that the biodiesel grant scheme ceased in June 2012.</w:t>
            </w:r>
          </w:p>
        </w:tc>
        <w:tc>
          <w:tcPr>
            <w:tcW w:w="2879" w:type="dxa"/>
            <w:shd w:val="clear" w:color="auto" w:fill="FFFFFF"/>
            <w:tcMar>
              <w:top w:w="0" w:type="dxa"/>
              <w:left w:w="85" w:type="dxa"/>
              <w:bottom w:w="0" w:type="dxa"/>
              <w:right w:w="85" w:type="dxa"/>
            </w:tcMar>
          </w:tcPr>
          <w:p w14:paraId="576EAA08" w14:textId="77777777" w:rsidR="007E0025" w:rsidRPr="00BE78CA" w:rsidRDefault="007E0025" w:rsidP="00C26084">
            <w:pPr>
              <w:pStyle w:val="TableText"/>
            </w:pPr>
            <w:r w:rsidRPr="00BE78CA">
              <w:rPr>
                <w:rFonts w:eastAsia="Calibri"/>
                <w:b/>
                <w:bCs/>
              </w:rPr>
              <w:t>Resolved.</w:t>
            </w:r>
            <w:r w:rsidRPr="00BE78CA">
              <w:rPr>
                <w:rFonts w:eastAsia="Calibri"/>
              </w:rPr>
              <w:t xml:space="preserve"> Explanatory text included in NIR chapter 3, section 3.3.8.</w:t>
            </w:r>
          </w:p>
        </w:tc>
      </w:tr>
      <w:tr w:rsidR="007E0025" w:rsidRPr="00BE78CA" w14:paraId="5A86B05A" w14:textId="77777777" w:rsidTr="00BB5269">
        <w:tc>
          <w:tcPr>
            <w:tcW w:w="1813" w:type="dxa"/>
            <w:shd w:val="clear" w:color="auto" w:fill="FFFFFF"/>
            <w:tcMar>
              <w:top w:w="0" w:type="dxa"/>
              <w:left w:w="85" w:type="dxa"/>
              <w:bottom w:w="0" w:type="dxa"/>
              <w:right w:w="85" w:type="dxa"/>
            </w:tcMar>
          </w:tcPr>
          <w:p w14:paraId="37D83FE0" w14:textId="77777777" w:rsidR="007E0025" w:rsidRPr="00BE78CA" w:rsidRDefault="007E0025" w:rsidP="00C26084">
            <w:pPr>
              <w:pStyle w:val="TableText"/>
            </w:pPr>
            <w:r w:rsidRPr="00BE78CA">
              <w:rPr>
                <w:rFonts w:eastAsia="Calibri" w:cs="Calibri"/>
                <w:color w:val="111111"/>
                <w:szCs w:val="16"/>
              </w:rPr>
              <w:t xml:space="preserve">Energy – 1.B.1.a Coal mining and handling </w:t>
            </w:r>
            <w:r w:rsidRPr="00BE78CA">
              <w:rPr>
                <w:rFonts w:eastAsia="Calibri" w:cs="Calibri"/>
                <w:color w:val="111111"/>
                <w:szCs w:val="16"/>
              </w:rPr>
              <w:br/>
              <w:t>– solid fuels – CO</w:t>
            </w:r>
            <w:r w:rsidRPr="00BE78CA">
              <w:rPr>
                <w:rFonts w:eastAsia="Calibri" w:cs="Calibri"/>
                <w:color w:val="111111"/>
                <w:szCs w:val="16"/>
                <w:vertAlign w:val="subscript"/>
              </w:rPr>
              <w:t>2</w:t>
            </w:r>
          </w:p>
        </w:tc>
        <w:tc>
          <w:tcPr>
            <w:tcW w:w="907" w:type="dxa"/>
            <w:shd w:val="clear" w:color="auto" w:fill="FFFFFF"/>
            <w:tcMar>
              <w:top w:w="0" w:type="dxa"/>
              <w:left w:w="85" w:type="dxa"/>
              <w:bottom w:w="0" w:type="dxa"/>
              <w:right w:w="85" w:type="dxa"/>
            </w:tcMar>
          </w:tcPr>
          <w:p w14:paraId="7E1738B5" w14:textId="77777777" w:rsidR="007E0025" w:rsidRPr="00BE78CA" w:rsidRDefault="007E0025" w:rsidP="00C26084">
            <w:pPr>
              <w:pStyle w:val="TableText"/>
            </w:pPr>
            <w:r w:rsidRPr="00BE78CA">
              <w:rPr>
                <w:rFonts w:eastAsia="Calibri" w:cs="Calibri"/>
                <w:color w:val="111111"/>
                <w:szCs w:val="16"/>
              </w:rPr>
              <w:t>E.33, 2019</w:t>
            </w:r>
          </w:p>
        </w:tc>
        <w:tc>
          <w:tcPr>
            <w:tcW w:w="2784" w:type="dxa"/>
            <w:shd w:val="clear" w:color="auto" w:fill="FFFFFF"/>
            <w:tcMar>
              <w:top w:w="0" w:type="dxa"/>
              <w:left w:w="85" w:type="dxa"/>
              <w:bottom w:w="0" w:type="dxa"/>
              <w:right w:w="85" w:type="dxa"/>
            </w:tcMar>
          </w:tcPr>
          <w:p w14:paraId="5BE76AC4" w14:textId="27B71164" w:rsidR="007E0025" w:rsidRPr="00BE78CA" w:rsidRDefault="007E0025" w:rsidP="00C26084">
            <w:pPr>
              <w:pStyle w:val="TableText"/>
            </w:pPr>
            <w:r w:rsidRPr="00BE78CA">
              <w:rPr>
                <w:rFonts w:eastAsia="Calibri" w:cs="Calibri"/>
                <w:color w:val="111111"/>
                <w:szCs w:val="16"/>
              </w:rPr>
              <w:t>The ERT recommends that New Zealand report CO</w:t>
            </w:r>
            <w:r w:rsidRPr="00BE78CA">
              <w:rPr>
                <w:rFonts w:eastAsia="Calibri" w:cs="Calibri"/>
                <w:color w:val="111111"/>
                <w:szCs w:val="16"/>
                <w:vertAlign w:val="subscript"/>
              </w:rPr>
              <w:t>2</w:t>
            </w:r>
            <w:r w:rsidRPr="00BE78CA">
              <w:rPr>
                <w:rFonts w:eastAsia="Calibri" w:cs="Calibri"/>
                <w:color w:val="111111"/>
                <w:szCs w:val="16"/>
              </w:rPr>
              <w:t xml:space="preserve"> emissions for the subcategory abandoned underground mines as </w:t>
            </w:r>
            <w:r w:rsidR="0055281A" w:rsidRPr="00BE78CA">
              <w:rPr>
                <w:rFonts w:eastAsia="Calibri" w:cs="Calibri"/>
                <w:color w:val="111111"/>
                <w:szCs w:val="16"/>
              </w:rPr>
              <w:t>‘NO’</w:t>
            </w:r>
            <w:r w:rsidRPr="00BE78CA">
              <w:rPr>
                <w:rFonts w:eastAsia="Calibri" w:cs="Calibri"/>
                <w:color w:val="111111"/>
                <w:szCs w:val="16"/>
              </w:rPr>
              <w:t xml:space="preserve"> instead of </w:t>
            </w:r>
            <w:r w:rsidR="0055281A" w:rsidRPr="00BE78CA">
              <w:rPr>
                <w:rFonts w:eastAsia="Calibri" w:cs="Calibri"/>
                <w:color w:val="111111"/>
                <w:szCs w:val="16"/>
              </w:rPr>
              <w:t>‘NE’</w:t>
            </w:r>
            <w:r w:rsidRPr="00BE78CA">
              <w:rPr>
                <w:rFonts w:eastAsia="Calibri" w:cs="Calibri"/>
                <w:color w:val="111111"/>
                <w:szCs w:val="16"/>
              </w:rPr>
              <w:t xml:space="preserve"> in CRF table 1.B.1 if no recovery or flaring of CH</w:t>
            </w:r>
            <w:r w:rsidRPr="00BE78CA">
              <w:rPr>
                <w:rFonts w:eastAsia="Calibri" w:cs="Calibri"/>
                <w:color w:val="111111"/>
                <w:szCs w:val="16"/>
                <w:vertAlign w:val="subscript"/>
              </w:rPr>
              <w:t>4</w:t>
            </w:r>
            <w:r w:rsidRPr="00BE78CA">
              <w:rPr>
                <w:rFonts w:eastAsia="Calibri" w:cs="Calibri"/>
                <w:color w:val="111111"/>
                <w:szCs w:val="16"/>
              </w:rPr>
              <w:t xml:space="preserve"> from abandoned underground mines occurred.</w:t>
            </w:r>
          </w:p>
        </w:tc>
        <w:tc>
          <w:tcPr>
            <w:tcW w:w="2879" w:type="dxa"/>
            <w:shd w:val="clear" w:color="auto" w:fill="FFFFFF"/>
            <w:tcMar>
              <w:top w:w="0" w:type="dxa"/>
              <w:left w:w="85" w:type="dxa"/>
              <w:bottom w:w="0" w:type="dxa"/>
              <w:right w:w="85" w:type="dxa"/>
            </w:tcMar>
          </w:tcPr>
          <w:p w14:paraId="57F7DA83" w14:textId="77777777" w:rsidR="007E0025" w:rsidRPr="00BE78CA" w:rsidRDefault="007E0025" w:rsidP="00C26084">
            <w:pPr>
              <w:pStyle w:val="TableText"/>
            </w:pPr>
            <w:r w:rsidRPr="00BE78CA">
              <w:rPr>
                <w:rFonts w:eastAsia="Calibri"/>
                <w:b/>
                <w:bCs/>
              </w:rPr>
              <w:t xml:space="preserve">Resolved. </w:t>
            </w:r>
            <w:r w:rsidRPr="00BE78CA">
              <w:rPr>
                <w:rFonts w:eastAsia="Calibri"/>
              </w:rPr>
              <w:t>Change implemented in CRF tables.</w:t>
            </w:r>
          </w:p>
        </w:tc>
      </w:tr>
      <w:tr w:rsidR="007E0025" w:rsidRPr="00BE78CA" w14:paraId="69BF7D57" w14:textId="77777777" w:rsidTr="00BB5269">
        <w:tc>
          <w:tcPr>
            <w:tcW w:w="1813" w:type="dxa"/>
            <w:shd w:val="clear" w:color="auto" w:fill="FFFFFF"/>
            <w:tcMar>
              <w:top w:w="0" w:type="dxa"/>
              <w:left w:w="85" w:type="dxa"/>
              <w:bottom w:w="0" w:type="dxa"/>
              <w:right w:w="85" w:type="dxa"/>
            </w:tcMar>
          </w:tcPr>
          <w:p w14:paraId="7C284196" w14:textId="77777777" w:rsidR="007E0025" w:rsidRPr="00BE78CA" w:rsidRDefault="007E0025" w:rsidP="00C26084">
            <w:pPr>
              <w:pStyle w:val="TableText"/>
            </w:pPr>
            <w:r w:rsidRPr="00BE78CA">
              <w:rPr>
                <w:rFonts w:eastAsia="Calibri" w:cs="Calibri"/>
                <w:color w:val="111111"/>
                <w:szCs w:val="16"/>
              </w:rPr>
              <w:lastRenderedPageBreak/>
              <w:t xml:space="preserve">Energy – 1.B.2.a Oil </w:t>
            </w:r>
            <w:r w:rsidRPr="00BE78CA">
              <w:rPr>
                <w:rFonts w:eastAsia="Calibri" w:cs="Calibri"/>
                <w:color w:val="111111"/>
                <w:szCs w:val="16"/>
              </w:rPr>
              <w:br/>
              <w:t>– liquid fuels – CO</w:t>
            </w:r>
            <w:r w:rsidRPr="00BE78CA">
              <w:rPr>
                <w:rFonts w:eastAsia="Calibri" w:cs="Calibri"/>
                <w:color w:val="111111"/>
                <w:szCs w:val="16"/>
                <w:vertAlign w:val="subscript"/>
              </w:rPr>
              <w:t>2</w:t>
            </w:r>
          </w:p>
        </w:tc>
        <w:tc>
          <w:tcPr>
            <w:tcW w:w="907" w:type="dxa"/>
            <w:shd w:val="clear" w:color="auto" w:fill="FFFFFF"/>
            <w:tcMar>
              <w:top w:w="0" w:type="dxa"/>
              <w:left w:w="85" w:type="dxa"/>
              <w:bottom w:w="0" w:type="dxa"/>
              <w:right w:w="85" w:type="dxa"/>
            </w:tcMar>
          </w:tcPr>
          <w:p w14:paraId="2F690FFA" w14:textId="77777777" w:rsidR="007E0025" w:rsidRPr="00BE78CA" w:rsidRDefault="007E0025" w:rsidP="00C26084">
            <w:pPr>
              <w:pStyle w:val="TableText"/>
            </w:pPr>
            <w:r w:rsidRPr="00BE78CA">
              <w:rPr>
                <w:rFonts w:eastAsia="Calibri" w:cs="Calibri"/>
                <w:color w:val="111111"/>
                <w:szCs w:val="16"/>
              </w:rPr>
              <w:t>E.34, 2019</w:t>
            </w:r>
          </w:p>
        </w:tc>
        <w:tc>
          <w:tcPr>
            <w:tcW w:w="2784" w:type="dxa"/>
            <w:shd w:val="clear" w:color="auto" w:fill="FFFFFF"/>
            <w:tcMar>
              <w:top w:w="0" w:type="dxa"/>
              <w:left w:w="85" w:type="dxa"/>
              <w:bottom w:w="0" w:type="dxa"/>
              <w:right w:w="85" w:type="dxa"/>
            </w:tcMar>
          </w:tcPr>
          <w:p w14:paraId="6C96C6A7" w14:textId="77777777" w:rsidR="007E0025" w:rsidRPr="00BE78CA" w:rsidRDefault="007E0025" w:rsidP="00C26084">
            <w:pPr>
              <w:pStyle w:val="TableText"/>
            </w:pPr>
            <w:r w:rsidRPr="00BE78CA">
              <w:rPr>
                <w:rFonts w:eastAsia="Calibri" w:cs="Calibri"/>
                <w:color w:val="111111"/>
                <w:szCs w:val="16"/>
              </w:rPr>
              <w:t>The ERT recommends that New Zealand change the allocation of emissions from refinery flaring from subcategory 1.B.2.a.6 (oil (other) to subcategory 1.B.2.c (flaring).</w:t>
            </w:r>
          </w:p>
        </w:tc>
        <w:tc>
          <w:tcPr>
            <w:tcW w:w="2879" w:type="dxa"/>
            <w:shd w:val="clear" w:color="auto" w:fill="FFFFFF"/>
            <w:tcMar>
              <w:top w:w="0" w:type="dxa"/>
              <w:left w:w="85" w:type="dxa"/>
              <w:bottom w:w="0" w:type="dxa"/>
              <w:right w:w="85" w:type="dxa"/>
            </w:tcMar>
          </w:tcPr>
          <w:p w14:paraId="6F4FF6E4" w14:textId="77777777" w:rsidR="007E0025" w:rsidRPr="00BE78CA" w:rsidRDefault="007E0025" w:rsidP="00C26084">
            <w:pPr>
              <w:pStyle w:val="TableText"/>
            </w:pPr>
            <w:r w:rsidRPr="00BE78CA">
              <w:rPr>
                <w:rFonts w:eastAsia="Calibri"/>
                <w:b/>
                <w:bCs/>
              </w:rPr>
              <w:t>Resolved.</w:t>
            </w:r>
            <w:r w:rsidRPr="00BE78CA">
              <w:rPr>
                <w:rFonts w:eastAsia="Calibri"/>
              </w:rPr>
              <w:t xml:space="preserve"> Change implemented in CRF table 1.B.2.a.</w:t>
            </w:r>
          </w:p>
        </w:tc>
      </w:tr>
      <w:tr w:rsidR="007E0025" w:rsidRPr="00BE78CA" w14:paraId="5C9F7707" w14:textId="77777777" w:rsidTr="00BB5269">
        <w:tc>
          <w:tcPr>
            <w:tcW w:w="1813" w:type="dxa"/>
            <w:shd w:val="clear" w:color="auto" w:fill="FFFFFF"/>
            <w:tcMar>
              <w:top w:w="0" w:type="dxa"/>
              <w:left w:w="85" w:type="dxa"/>
              <w:bottom w:w="0" w:type="dxa"/>
              <w:right w:w="85" w:type="dxa"/>
            </w:tcMar>
          </w:tcPr>
          <w:p w14:paraId="72385DD3" w14:textId="77777777" w:rsidR="007E0025" w:rsidRPr="00BE78CA" w:rsidRDefault="007E0025" w:rsidP="00C26084">
            <w:pPr>
              <w:pStyle w:val="TableText"/>
            </w:pPr>
            <w:r w:rsidRPr="00BE78CA">
              <w:rPr>
                <w:rFonts w:eastAsia="Calibri" w:cs="Calibri"/>
                <w:color w:val="111111"/>
                <w:szCs w:val="16"/>
              </w:rPr>
              <w:t>Energy – 1.B.2.c Venting and flaring – gaseous fuels – CO</w:t>
            </w:r>
            <w:r w:rsidRPr="00BE78CA">
              <w:rPr>
                <w:rFonts w:eastAsia="Calibri" w:cs="Calibri"/>
                <w:color w:val="111111"/>
                <w:szCs w:val="16"/>
                <w:vertAlign w:val="subscript"/>
              </w:rPr>
              <w:t>2</w:t>
            </w:r>
          </w:p>
        </w:tc>
        <w:tc>
          <w:tcPr>
            <w:tcW w:w="907" w:type="dxa"/>
            <w:shd w:val="clear" w:color="auto" w:fill="FFFFFF"/>
            <w:tcMar>
              <w:top w:w="0" w:type="dxa"/>
              <w:left w:w="85" w:type="dxa"/>
              <w:bottom w:w="0" w:type="dxa"/>
              <w:right w:w="85" w:type="dxa"/>
            </w:tcMar>
          </w:tcPr>
          <w:p w14:paraId="77746514" w14:textId="77777777" w:rsidR="007E0025" w:rsidRPr="00BE78CA" w:rsidRDefault="007E0025" w:rsidP="00C26084">
            <w:pPr>
              <w:pStyle w:val="TableText"/>
            </w:pPr>
            <w:r w:rsidRPr="00BE78CA">
              <w:rPr>
                <w:rFonts w:eastAsia="Calibri" w:cs="Calibri"/>
                <w:color w:val="111111"/>
                <w:szCs w:val="16"/>
              </w:rPr>
              <w:t>E.35, 2019</w:t>
            </w:r>
          </w:p>
        </w:tc>
        <w:tc>
          <w:tcPr>
            <w:tcW w:w="2784" w:type="dxa"/>
            <w:shd w:val="clear" w:color="auto" w:fill="FFFFFF"/>
            <w:tcMar>
              <w:top w:w="0" w:type="dxa"/>
              <w:left w:w="85" w:type="dxa"/>
              <w:bottom w:w="0" w:type="dxa"/>
              <w:right w:w="85" w:type="dxa"/>
            </w:tcMar>
          </w:tcPr>
          <w:p w14:paraId="4756B32A" w14:textId="19015408" w:rsidR="007E0025" w:rsidRPr="00BE78CA" w:rsidRDefault="007E0025" w:rsidP="00C26084">
            <w:pPr>
              <w:pStyle w:val="TableText"/>
            </w:pPr>
            <w:r w:rsidRPr="00BE78CA">
              <w:rPr>
                <w:rFonts w:eastAsia="Calibri" w:cs="Calibri"/>
                <w:color w:val="111111"/>
                <w:szCs w:val="16"/>
              </w:rPr>
              <w:t>The ERT recommends that the Party report the AD for CO</w:t>
            </w:r>
            <w:r w:rsidRPr="00BE78CA">
              <w:rPr>
                <w:rFonts w:eastAsia="Calibri" w:cs="Calibri"/>
                <w:color w:val="111111"/>
                <w:szCs w:val="16"/>
                <w:vertAlign w:val="subscript"/>
              </w:rPr>
              <w:t>2</w:t>
            </w:r>
            <w:r w:rsidRPr="00BE78CA">
              <w:rPr>
                <w:rFonts w:eastAsia="Calibri" w:cs="Calibri"/>
                <w:color w:val="111111"/>
                <w:szCs w:val="16"/>
              </w:rPr>
              <w:t xml:space="preserve"> venting from the Kapuni gas treatment plant for subcategory 1.B.2.c.ii (venting–gas) as</w:t>
            </w:r>
            <w:r w:rsidR="00A27698" w:rsidRPr="00BE78CA">
              <w:rPr>
                <w:rFonts w:eastAsia="Calibri" w:cs="Calibri"/>
                <w:color w:val="111111"/>
                <w:szCs w:val="16"/>
              </w:rPr>
              <w:t> </w:t>
            </w:r>
            <w:r w:rsidRPr="00BE78CA">
              <w:rPr>
                <w:rFonts w:eastAsia="Calibri" w:cs="Calibri"/>
                <w:color w:val="111111"/>
                <w:szCs w:val="16"/>
              </w:rPr>
              <w:t xml:space="preserve">confidential, </w:t>
            </w:r>
            <w:r w:rsidR="0055281A" w:rsidRPr="00BE78CA">
              <w:rPr>
                <w:rFonts w:eastAsia="Calibri" w:cs="Calibri"/>
                <w:color w:val="111111"/>
                <w:szCs w:val="16"/>
              </w:rPr>
              <w:t>‘IE’</w:t>
            </w:r>
            <w:r w:rsidRPr="00BE78CA">
              <w:rPr>
                <w:rFonts w:eastAsia="Calibri" w:cs="Calibri"/>
                <w:color w:val="111111"/>
                <w:szCs w:val="16"/>
              </w:rPr>
              <w:t xml:space="preserve"> or </w:t>
            </w:r>
            <w:r w:rsidR="0055281A" w:rsidRPr="00BE78CA">
              <w:rPr>
                <w:rFonts w:eastAsia="Calibri" w:cs="Calibri"/>
                <w:color w:val="111111"/>
                <w:szCs w:val="16"/>
              </w:rPr>
              <w:t>‘NE’</w:t>
            </w:r>
            <w:r w:rsidRPr="00BE78CA">
              <w:rPr>
                <w:rFonts w:eastAsia="Calibri" w:cs="Calibri"/>
                <w:color w:val="111111"/>
                <w:szCs w:val="16"/>
              </w:rPr>
              <w:t>, as appropriate, in CRF table 1.B.2, and review the information on AD reported in the documentation box of the same</w:t>
            </w:r>
            <w:r w:rsidR="00A27698" w:rsidRPr="00BE78CA">
              <w:rPr>
                <w:rFonts w:eastAsia="Calibri" w:cs="Calibri"/>
                <w:color w:val="111111"/>
                <w:szCs w:val="16"/>
              </w:rPr>
              <w:t> </w:t>
            </w:r>
            <w:r w:rsidRPr="00BE78CA">
              <w:rPr>
                <w:rFonts w:eastAsia="Calibri" w:cs="Calibri"/>
                <w:color w:val="111111"/>
                <w:szCs w:val="16"/>
              </w:rPr>
              <w:t>table.</w:t>
            </w:r>
          </w:p>
        </w:tc>
        <w:tc>
          <w:tcPr>
            <w:tcW w:w="2879" w:type="dxa"/>
            <w:shd w:val="clear" w:color="auto" w:fill="FFFFFF"/>
            <w:tcMar>
              <w:top w:w="0" w:type="dxa"/>
              <w:left w:w="85" w:type="dxa"/>
              <w:bottom w:w="0" w:type="dxa"/>
              <w:right w:w="85" w:type="dxa"/>
            </w:tcMar>
          </w:tcPr>
          <w:p w14:paraId="642438AF" w14:textId="77777777" w:rsidR="007E0025" w:rsidRPr="00BE78CA" w:rsidRDefault="007E0025" w:rsidP="00C26084">
            <w:pPr>
              <w:pStyle w:val="TableText"/>
            </w:pPr>
            <w:r w:rsidRPr="00BE78CA">
              <w:rPr>
                <w:rFonts w:eastAsia="Calibri"/>
                <w:b/>
                <w:bCs/>
              </w:rPr>
              <w:t>Resolved.</w:t>
            </w:r>
            <w:r w:rsidRPr="00BE78CA">
              <w:rPr>
                <w:rFonts w:eastAsia="Calibri"/>
              </w:rPr>
              <w:t xml:space="preserve"> Change implemented in CRF table 1.B.2.c.</w:t>
            </w:r>
          </w:p>
        </w:tc>
      </w:tr>
      <w:tr w:rsidR="007E0025" w:rsidRPr="00BE78CA" w14:paraId="71CAC0A2" w14:textId="77777777" w:rsidTr="00BB5269">
        <w:tc>
          <w:tcPr>
            <w:tcW w:w="1813" w:type="dxa"/>
            <w:shd w:val="clear" w:color="auto" w:fill="FFFFFF"/>
            <w:tcMar>
              <w:top w:w="0" w:type="dxa"/>
              <w:left w:w="85" w:type="dxa"/>
              <w:bottom w:w="0" w:type="dxa"/>
              <w:right w:w="85" w:type="dxa"/>
            </w:tcMar>
          </w:tcPr>
          <w:p w14:paraId="6CA61F22" w14:textId="77777777" w:rsidR="007E0025" w:rsidRPr="00BE78CA" w:rsidRDefault="007E0025" w:rsidP="00C26084">
            <w:pPr>
              <w:pStyle w:val="TableText"/>
            </w:pPr>
            <w:r w:rsidRPr="00BE78CA">
              <w:rPr>
                <w:rFonts w:eastAsia="Calibri" w:cs="Calibri"/>
                <w:color w:val="111111"/>
                <w:szCs w:val="16"/>
              </w:rPr>
              <w:t>Energy - 1.B.2.c.ii Venting and flaring – venting – gaseous fuels – CH</w:t>
            </w:r>
            <w:r w:rsidRPr="00BE78CA">
              <w:rPr>
                <w:rFonts w:eastAsia="Calibri" w:cs="Calibri"/>
                <w:color w:val="111111"/>
                <w:szCs w:val="16"/>
                <w:vertAlign w:val="subscript"/>
              </w:rPr>
              <w:t>4</w:t>
            </w:r>
          </w:p>
        </w:tc>
        <w:tc>
          <w:tcPr>
            <w:tcW w:w="907" w:type="dxa"/>
            <w:shd w:val="clear" w:color="auto" w:fill="FFFFFF"/>
            <w:tcMar>
              <w:top w:w="0" w:type="dxa"/>
              <w:left w:w="85" w:type="dxa"/>
              <w:bottom w:w="0" w:type="dxa"/>
              <w:right w:w="85" w:type="dxa"/>
            </w:tcMar>
          </w:tcPr>
          <w:p w14:paraId="3C054227" w14:textId="77777777" w:rsidR="007E0025" w:rsidRPr="00BE78CA" w:rsidRDefault="007E0025" w:rsidP="00C26084">
            <w:pPr>
              <w:pStyle w:val="TableText"/>
            </w:pPr>
            <w:r w:rsidRPr="00BE78CA">
              <w:rPr>
                <w:rFonts w:eastAsia="Calibri" w:cs="Calibri"/>
                <w:color w:val="111111"/>
                <w:szCs w:val="16"/>
              </w:rPr>
              <w:t>E.36, 2019</w:t>
            </w:r>
          </w:p>
        </w:tc>
        <w:tc>
          <w:tcPr>
            <w:tcW w:w="2784" w:type="dxa"/>
            <w:shd w:val="clear" w:color="auto" w:fill="FFFFFF"/>
            <w:tcMar>
              <w:top w:w="0" w:type="dxa"/>
              <w:left w:w="85" w:type="dxa"/>
              <w:bottom w:w="0" w:type="dxa"/>
              <w:right w:w="85" w:type="dxa"/>
            </w:tcMar>
          </w:tcPr>
          <w:p w14:paraId="30C7B41A" w14:textId="4A748B17" w:rsidR="007E0025" w:rsidRPr="00BE78CA" w:rsidRDefault="007E0025" w:rsidP="00C26084">
            <w:pPr>
              <w:pStyle w:val="TableText"/>
            </w:pPr>
            <w:r w:rsidRPr="00BE78CA">
              <w:rPr>
                <w:rFonts w:eastAsia="Calibri" w:cs="Calibri"/>
                <w:color w:val="111111"/>
                <w:szCs w:val="16"/>
              </w:rPr>
              <w:t xml:space="preserve">The ERT recommends that New Zealand report the AD and emissions as confidential, </w:t>
            </w:r>
            <w:r w:rsidR="0055281A" w:rsidRPr="00BE78CA">
              <w:rPr>
                <w:rFonts w:eastAsia="Calibri" w:cs="Calibri"/>
                <w:color w:val="111111"/>
                <w:szCs w:val="16"/>
              </w:rPr>
              <w:t>‘IE’</w:t>
            </w:r>
            <w:r w:rsidRPr="00BE78CA">
              <w:rPr>
                <w:rFonts w:eastAsia="Calibri" w:cs="Calibri"/>
                <w:color w:val="111111"/>
                <w:szCs w:val="16"/>
              </w:rPr>
              <w:t xml:space="preserve"> or </w:t>
            </w:r>
            <w:r w:rsidR="0055281A" w:rsidRPr="00BE78CA">
              <w:rPr>
                <w:rFonts w:eastAsia="Calibri" w:cs="Calibri"/>
                <w:color w:val="111111"/>
                <w:szCs w:val="16"/>
              </w:rPr>
              <w:t>‘NE’</w:t>
            </w:r>
            <w:r w:rsidRPr="00BE78CA">
              <w:rPr>
                <w:rFonts w:eastAsia="Calibri" w:cs="Calibri"/>
                <w:color w:val="111111"/>
                <w:szCs w:val="16"/>
              </w:rPr>
              <w:t>, as appropriate.</w:t>
            </w:r>
          </w:p>
        </w:tc>
        <w:tc>
          <w:tcPr>
            <w:tcW w:w="2879" w:type="dxa"/>
            <w:shd w:val="clear" w:color="auto" w:fill="FFFFFF"/>
            <w:tcMar>
              <w:top w:w="0" w:type="dxa"/>
              <w:left w:w="85" w:type="dxa"/>
              <w:bottom w:w="0" w:type="dxa"/>
              <w:right w:w="85" w:type="dxa"/>
            </w:tcMar>
          </w:tcPr>
          <w:p w14:paraId="78550C6E" w14:textId="77777777" w:rsidR="007E0025" w:rsidRPr="00BE78CA" w:rsidRDefault="007E0025" w:rsidP="00C26084">
            <w:pPr>
              <w:pStyle w:val="TableText"/>
            </w:pPr>
            <w:r w:rsidRPr="00BE78CA">
              <w:rPr>
                <w:rFonts w:eastAsia="Calibri"/>
                <w:b/>
                <w:bCs/>
              </w:rPr>
              <w:t>Resolved.</w:t>
            </w:r>
            <w:r w:rsidRPr="00BE78CA">
              <w:rPr>
                <w:rFonts w:eastAsia="Calibri"/>
              </w:rPr>
              <w:t xml:space="preserve"> Change implemented in CRF tables.</w:t>
            </w:r>
          </w:p>
        </w:tc>
      </w:tr>
      <w:tr w:rsidR="007E0025" w:rsidRPr="00BE78CA" w14:paraId="7FF002D5" w14:textId="77777777" w:rsidTr="00BB5269">
        <w:tc>
          <w:tcPr>
            <w:tcW w:w="1813" w:type="dxa"/>
            <w:shd w:val="clear" w:color="auto" w:fill="FFFFFF"/>
            <w:tcMar>
              <w:top w:w="0" w:type="dxa"/>
              <w:left w:w="85" w:type="dxa"/>
              <w:bottom w:w="0" w:type="dxa"/>
              <w:right w:w="85" w:type="dxa"/>
            </w:tcMar>
          </w:tcPr>
          <w:p w14:paraId="0A4CFD9E" w14:textId="77777777" w:rsidR="007E0025" w:rsidRPr="00BE78CA" w:rsidRDefault="007E0025" w:rsidP="00C26084">
            <w:pPr>
              <w:pStyle w:val="TableText"/>
            </w:pPr>
            <w:r w:rsidRPr="00BE78CA">
              <w:rPr>
                <w:rFonts w:eastAsia="Calibri" w:cs="Calibri"/>
                <w:color w:val="111111"/>
                <w:szCs w:val="16"/>
              </w:rPr>
              <w:t>IPPU – 2. General</w:t>
            </w:r>
          </w:p>
        </w:tc>
        <w:tc>
          <w:tcPr>
            <w:tcW w:w="907" w:type="dxa"/>
            <w:shd w:val="clear" w:color="auto" w:fill="FFFFFF"/>
            <w:tcMar>
              <w:top w:w="0" w:type="dxa"/>
              <w:left w:w="85" w:type="dxa"/>
              <w:bottom w:w="0" w:type="dxa"/>
              <w:right w:w="85" w:type="dxa"/>
            </w:tcMar>
          </w:tcPr>
          <w:p w14:paraId="46AA4621" w14:textId="77777777" w:rsidR="007E0025" w:rsidRPr="00BE78CA" w:rsidRDefault="007E0025" w:rsidP="00C26084">
            <w:pPr>
              <w:pStyle w:val="TableText"/>
            </w:pPr>
            <w:r w:rsidRPr="00BE78CA">
              <w:rPr>
                <w:rFonts w:eastAsia="Calibri" w:cs="Calibri"/>
                <w:color w:val="111111"/>
                <w:szCs w:val="16"/>
              </w:rPr>
              <w:t>I.23, 2019</w:t>
            </w:r>
          </w:p>
        </w:tc>
        <w:tc>
          <w:tcPr>
            <w:tcW w:w="2784" w:type="dxa"/>
            <w:shd w:val="clear" w:color="auto" w:fill="FFFFFF"/>
            <w:tcMar>
              <w:top w:w="0" w:type="dxa"/>
              <w:left w:w="85" w:type="dxa"/>
              <w:bottom w:w="0" w:type="dxa"/>
              <w:right w:w="85" w:type="dxa"/>
            </w:tcMar>
          </w:tcPr>
          <w:p w14:paraId="0D512E84" w14:textId="77777777" w:rsidR="007E0025" w:rsidRPr="00BE78CA" w:rsidRDefault="007E0025" w:rsidP="00C26084">
            <w:pPr>
              <w:pStyle w:val="TableText"/>
            </w:pPr>
            <w:r w:rsidRPr="00BE78CA">
              <w:rPr>
                <w:rFonts w:eastAsia="Calibri" w:cs="Calibri"/>
                <w:color w:val="111111"/>
                <w:szCs w:val="16"/>
              </w:rPr>
              <w:t>The ERT understands that this is a QA/QC issue and recommends that New Zealand correct several inconsistencies in the reporting of key categories and uncertainties within the NIR, including in the annexes to the NIR.</w:t>
            </w:r>
          </w:p>
        </w:tc>
        <w:tc>
          <w:tcPr>
            <w:tcW w:w="2879" w:type="dxa"/>
            <w:shd w:val="clear" w:color="auto" w:fill="FFFFFF"/>
            <w:tcMar>
              <w:top w:w="0" w:type="dxa"/>
              <w:left w:w="85" w:type="dxa"/>
              <w:bottom w:w="0" w:type="dxa"/>
              <w:right w:w="85" w:type="dxa"/>
            </w:tcMar>
          </w:tcPr>
          <w:p w14:paraId="7E723F36" w14:textId="77777777" w:rsidR="007E0025" w:rsidRPr="00BE78CA" w:rsidRDefault="007E0025" w:rsidP="00C26084">
            <w:pPr>
              <w:pStyle w:val="TableText"/>
            </w:pPr>
            <w:r w:rsidRPr="00BE78CA">
              <w:rPr>
                <w:rFonts w:eastAsia="Calibri"/>
                <w:b/>
                <w:bCs/>
              </w:rPr>
              <w:t xml:space="preserve">Resolved. </w:t>
            </w:r>
            <w:r w:rsidRPr="00BE78CA">
              <w:rPr>
                <w:rFonts w:eastAsia="Calibri"/>
              </w:rPr>
              <w:t>The inconsistent reporting has been corrected in chapter 4, table 4.1.2, section 4.2.1, section 4.3.1, section 4.3.4, table 4.7.3.</w:t>
            </w:r>
          </w:p>
        </w:tc>
      </w:tr>
      <w:tr w:rsidR="007E0025" w:rsidRPr="00BE78CA" w14:paraId="2AC1575A" w14:textId="77777777" w:rsidTr="00BB5269">
        <w:tc>
          <w:tcPr>
            <w:tcW w:w="1813" w:type="dxa"/>
            <w:shd w:val="clear" w:color="auto" w:fill="FFFFFF"/>
            <w:tcMar>
              <w:top w:w="0" w:type="dxa"/>
              <w:left w:w="85" w:type="dxa"/>
              <w:bottom w:w="0" w:type="dxa"/>
              <w:right w:w="85" w:type="dxa"/>
            </w:tcMar>
          </w:tcPr>
          <w:p w14:paraId="35A9AE46" w14:textId="77777777" w:rsidR="007E0025" w:rsidRPr="00BE78CA" w:rsidRDefault="007E0025" w:rsidP="00C26084">
            <w:pPr>
              <w:pStyle w:val="TableText"/>
            </w:pPr>
            <w:r w:rsidRPr="00BE78CA">
              <w:rPr>
                <w:rFonts w:eastAsia="Calibri" w:cs="Calibri"/>
                <w:color w:val="111111"/>
                <w:szCs w:val="16"/>
              </w:rPr>
              <w:t>IPPU – 2.A.2 Lime production – CO</w:t>
            </w:r>
            <w:r w:rsidRPr="00BE78CA">
              <w:rPr>
                <w:rFonts w:eastAsia="Calibri" w:cs="Calibri"/>
                <w:color w:val="111111"/>
                <w:szCs w:val="16"/>
                <w:vertAlign w:val="subscript"/>
              </w:rPr>
              <w:t>2</w:t>
            </w:r>
          </w:p>
        </w:tc>
        <w:tc>
          <w:tcPr>
            <w:tcW w:w="907" w:type="dxa"/>
            <w:shd w:val="clear" w:color="auto" w:fill="FFFFFF"/>
            <w:tcMar>
              <w:top w:w="0" w:type="dxa"/>
              <w:left w:w="85" w:type="dxa"/>
              <w:bottom w:w="0" w:type="dxa"/>
              <w:right w:w="85" w:type="dxa"/>
            </w:tcMar>
          </w:tcPr>
          <w:p w14:paraId="498F87E0" w14:textId="77777777" w:rsidR="007E0025" w:rsidRPr="00BE78CA" w:rsidRDefault="007E0025" w:rsidP="00C26084">
            <w:pPr>
              <w:pStyle w:val="TableText"/>
            </w:pPr>
            <w:r w:rsidRPr="00BE78CA">
              <w:rPr>
                <w:rFonts w:eastAsia="Calibri" w:cs="Calibri"/>
                <w:color w:val="111111"/>
                <w:szCs w:val="16"/>
              </w:rPr>
              <w:t>I.25, 2019</w:t>
            </w:r>
          </w:p>
        </w:tc>
        <w:tc>
          <w:tcPr>
            <w:tcW w:w="2784" w:type="dxa"/>
            <w:shd w:val="clear" w:color="auto" w:fill="FFFFFF"/>
            <w:tcMar>
              <w:top w:w="0" w:type="dxa"/>
              <w:left w:w="85" w:type="dxa"/>
              <w:bottom w:w="0" w:type="dxa"/>
              <w:right w:w="85" w:type="dxa"/>
            </w:tcMar>
          </w:tcPr>
          <w:p w14:paraId="225C6B0D" w14:textId="77777777" w:rsidR="007E0025" w:rsidRPr="00BE78CA" w:rsidRDefault="007E0025" w:rsidP="00C26084">
            <w:pPr>
              <w:pStyle w:val="TableText"/>
            </w:pPr>
            <w:r w:rsidRPr="00BE78CA">
              <w:rPr>
                <w:rFonts w:eastAsia="Calibri" w:cs="Calibri"/>
                <w:color w:val="111111"/>
                <w:szCs w:val="16"/>
              </w:rPr>
              <w:t>The ERT recommends that New Zealand explain in the NIR that burned lime was considered as high-calcium lime with an EF of 0.75 t CO</w:t>
            </w:r>
            <w:r w:rsidRPr="00BE78CA">
              <w:rPr>
                <w:rFonts w:eastAsia="Calibri" w:cs="Calibri"/>
                <w:color w:val="111111"/>
                <w:szCs w:val="16"/>
                <w:vertAlign w:val="subscript"/>
              </w:rPr>
              <w:t>2</w:t>
            </w:r>
            <w:r w:rsidRPr="00BE78CA">
              <w:rPr>
                <w:rFonts w:eastAsia="Calibri" w:cs="Calibri"/>
                <w:color w:val="111111"/>
                <w:szCs w:val="16"/>
              </w:rPr>
              <w:t>/t lime and that the factor of 0.97 was the correction factor for hydrated lime for 1990– 2013. The ERT also recommends that the Party revert the changes in AD since 2014 to the original quantities of pure lime (CaO + MgO), noting that the IEF cannot be lower than 0.7848 according to the equation provided by the ETS regulation and presented in the NIR (p.123). In order to maintain time-series consistency of the AD, the ERT recommends that New Zealand continue reporting the same emissions but revise the AD as pure lime by dividing such emissions by a single IEF (that of 2014) for 1990–2013.</w:t>
            </w:r>
          </w:p>
        </w:tc>
        <w:tc>
          <w:tcPr>
            <w:tcW w:w="2879" w:type="dxa"/>
            <w:shd w:val="clear" w:color="auto" w:fill="FFFFFF"/>
            <w:tcMar>
              <w:top w:w="0" w:type="dxa"/>
              <w:left w:w="85" w:type="dxa"/>
              <w:bottom w:w="0" w:type="dxa"/>
              <w:right w:w="85" w:type="dxa"/>
            </w:tcMar>
          </w:tcPr>
          <w:p w14:paraId="4E83A0EC" w14:textId="77777777" w:rsidR="007E0025" w:rsidRPr="00BE78CA" w:rsidRDefault="007E0025" w:rsidP="00C26084">
            <w:pPr>
              <w:pStyle w:val="TableText"/>
            </w:pPr>
            <w:r w:rsidRPr="00BE78CA">
              <w:rPr>
                <w:rFonts w:eastAsia="Calibri"/>
                <w:b/>
                <w:bCs/>
              </w:rPr>
              <w:t>Resolved.</w:t>
            </w:r>
            <w:r w:rsidRPr="00BE78CA">
              <w:rPr>
                <w:rFonts w:eastAsia="Calibri"/>
              </w:rPr>
              <w:t xml:space="preserve"> The CaO plus MgO amounts are now reported for the entire time series as recommended. Please see NIR chapter 4, sections 4.2.3 and 4.2.5.</w:t>
            </w:r>
          </w:p>
        </w:tc>
      </w:tr>
      <w:tr w:rsidR="007E0025" w:rsidRPr="00BE78CA" w14:paraId="6E61335F" w14:textId="77777777" w:rsidTr="00BB5269">
        <w:tc>
          <w:tcPr>
            <w:tcW w:w="1813" w:type="dxa"/>
            <w:shd w:val="clear" w:color="auto" w:fill="FFFFFF"/>
            <w:tcMar>
              <w:top w:w="0" w:type="dxa"/>
              <w:left w:w="85" w:type="dxa"/>
              <w:bottom w:w="0" w:type="dxa"/>
              <w:right w:w="85" w:type="dxa"/>
            </w:tcMar>
          </w:tcPr>
          <w:p w14:paraId="5640D476" w14:textId="77777777" w:rsidR="007E0025" w:rsidRPr="00BE78CA" w:rsidRDefault="007E0025" w:rsidP="00C26084">
            <w:pPr>
              <w:pStyle w:val="TableText"/>
            </w:pPr>
            <w:r w:rsidRPr="00BE78CA">
              <w:rPr>
                <w:rFonts w:eastAsia="Calibri" w:cs="Calibri"/>
                <w:color w:val="111111"/>
                <w:szCs w:val="16"/>
              </w:rPr>
              <w:t>IPPU – 2.B Chemical industry 2.C Metal industry</w:t>
            </w:r>
          </w:p>
        </w:tc>
        <w:tc>
          <w:tcPr>
            <w:tcW w:w="907" w:type="dxa"/>
            <w:shd w:val="clear" w:color="auto" w:fill="FFFFFF"/>
            <w:tcMar>
              <w:top w:w="0" w:type="dxa"/>
              <w:left w:w="85" w:type="dxa"/>
              <w:bottom w:w="0" w:type="dxa"/>
              <w:right w:w="85" w:type="dxa"/>
            </w:tcMar>
          </w:tcPr>
          <w:p w14:paraId="102398A0" w14:textId="77777777" w:rsidR="007E0025" w:rsidRPr="00BE78CA" w:rsidRDefault="007E0025" w:rsidP="00C26084">
            <w:pPr>
              <w:pStyle w:val="TableText"/>
            </w:pPr>
            <w:r w:rsidRPr="00BE78CA">
              <w:rPr>
                <w:rFonts w:eastAsia="Calibri" w:cs="Calibri"/>
                <w:color w:val="111111"/>
                <w:szCs w:val="16"/>
              </w:rPr>
              <w:t>I.26, 2019</w:t>
            </w:r>
          </w:p>
        </w:tc>
        <w:tc>
          <w:tcPr>
            <w:tcW w:w="2784" w:type="dxa"/>
            <w:shd w:val="clear" w:color="auto" w:fill="FFFFFF"/>
            <w:tcMar>
              <w:top w:w="0" w:type="dxa"/>
              <w:left w:w="85" w:type="dxa"/>
              <w:bottom w:w="0" w:type="dxa"/>
              <w:right w:w="85" w:type="dxa"/>
            </w:tcMar>
          </w:tcPr>
          <w:p w14:paraId="40A2D8DD" w14:textId="77777777" w:rsidR="007E0025" w:rsidRPr="00BE78CA" w:rsidRDefault="007E0025" w:rsidP="00C26084">
            <w:pPr>
              <w:pStyle w:val="TableText"/>
            </w:pPr>
            <w:r w:rsidRPr="00BE78CA">
              <w:rPr>
                <w:rFonts w:eastAsia="Calibri" w:cs="Calibri"/>
                <w:color w:val="111111"/>
                <w:szCs w:val="16"/>
              </w:rPr>
              <w:t>The ERT recommends that New Zealand explain how the AD for the chemical and metal industries provided in the NIR are obtained.</w:t>
            </w:r>
          </w:p>
        </w:tc>
        <w:tc>
          <w:tcPr>
            <w:tcW w:w="2879" w:type="dxa"/>
            <w:shd w:val="clear" w:color="auto" w:fill="FFFFFF"/>
            <w:tcMar>
              <w:top w:w="0" w:type="dxa"/>
              <w:left w:w="85" w:type="dxa"/>
              <w:bottom w:w="0" w:type="dxa"/>
              <w:right w:w="85" w:type="dxa"/>
            </w:tcMar>
          </w:tcPr>
          <w:p w14:paraId="42666C9A" w14:textId="77777777" w:rsidR="007E0025" w:rsidRPr="00BE78CA" w:rsidRDefault="007E0025" w:rsidP="00C26084">
            <w:pPr>
              <w:pStyle w:val="TableText"/>
            </w:pPr>
            <w:r w:rsidRPr="00BE78CA">
              <w:rPr>
                <w:b/>
              </w:rPr>
              <w:t xml:space="preserve">Resolved. </w:t>
            </w:r>
            <w:r w:rsidRPr="00BE78CA">
              <w:rPr>
                <w:rFonts w:eastAsia="Calibri"/>
              </w:rPr>
              <w:t>This explanation has been provided in the NIR.</w:t>
            </w:r>
            <w:r w:rsidRPr="00BE78CA">
              <w:t xml:space="preserve"> </w:t>
            </w:r>
          </w:p>
        </w:tc>
      </w:tr>
      <w:tr w:rsidR="007E0025" w:rsidRPr="00BE78CA" w14:paraId="115D1443" w14:textId="77777777" w:rsidTr="00BB5269">
        <w:tc>
          <w:tcPr>
            <w:tcW w:w="1813" w:type="dxa"/>
            <w:shd w:val="clear" w:color="auto" w:fill="FFFFFF"/>
            <w:tcMar>
              <w:top w:w="0" w:type="dxa"/>
              <w:left w:w="85" w:type="dxa"/>
              <w:bottom w:w="0" w:type="dxa"/>
              <w:right w:w="85" w:type="dxa"/>
            </w:tcMar>
          </w:tcPr>
          <w:p w14:paraId="21FCC524" w14:textId="77777777" w:rsidR="007E0025" w:rsidRPr="00BE78CA" w:rsidRDefault="007E0025" w:rsidP="00C26084">
            <w:pPr>
              <w:pStyle w:val="TableText"/>
            </w:pPr>
            <w:r w:rsidRPr="00BE78CA">
              <w:rPr>
                <w:rFonts w:eastAsia="Calibri" w:cs="Calibri"/>
                <w:color w:val="111111"/>
                <w:szCs w:val="16"/>
              </w:rPr>
              <w:t>IPPU – 2.B.1 Ammonia production – CO</w:t>
            </w:r>
            <w:r w:rsidRPr="00BE78CA">
              <w:rPr>
                <w:rFonts w:eastAsia="Calibri" w:cs="Calibri"/>
                <w:color w:val="111111"/>
                <w:szCs w:val="16"/>
                <w:vertAlign w:val="subscript"/>
              </w:rPr>
              <w:t>2</w:t>
            </w:r>
          </w:p>
        </w:tc>
        <w:tc>
          <w:tcPr>
            <w:tcW w:w="907" w:type="dxa"/>
            <w:shd w:val="clear" w:color="auto" w:fill="FFFFFF"/>
            <w:tcMar>
              <w:top w:w="0" w:type="dxa"/>
              <w:left w:w="85" w:type="dxa"/>
              <w:bottom w:w="0" w:type="dxa"/>
              <w:right w:w="85" w:type="dxa"/>
            </w:tcMar>
          </w:tcPr>
          <w:p w14:paraId="7923B2D8" w14:textId="77777777" w:rsidR="007E0025" w:rsidRPr="00BE78CA" w:rsidRDefault="007E0025" w:rsidP="00C26084">
            <w:pPr>
              <w:pStyle w:val="TableText"/>
            </w:pPr>
            <w:r w:rsidRPr="00BE78CA">
              <w:rPr>
                <w:rFonts w:eastAsia="Calibri" w:cs="Calibri"/>
                <w:color w:val="111111"/>
                <w:szCs w:val="16"/>
              </w:rPr>
              <w:t>I.27, 2019</w:t>
            </w:r>
          </w:p>
        </w:tc>
        <w:tc>
          <w:tcPr>
            <w:tcW w:w="2784" w:type="dxa"/>
            <w:shd w:val="clear" w:color="auto" w:fill="FFFFFF"/>
            <w:tcMar>
              <w:top w:w="0" w:type="dxa"/>
              <w:left w:w="85" w:type="dxa"/>
              <w:bottom w:w="0" w:type="dxa"/>
              <w:right w:w="85" w:type="dxa"/>
            </w:tcMar>
          </w:tcPr>
          <w:p w14:paraId="6990EE38" w14:textId="77777777" w:rsidR="007E0025" w:rsidRPr="00BE78CA" w:rsidRDefault="007E0025" w:rsidP="00C26084">
            <w:pPr>
              <w:pStyle w:val="TableText"/>
            </w:pPr>
            <w:r w:rsidRPr="00BE78CA">
              <w:rPr>
                <w:rFonts w:eastAsia="Calibri" w:cs="Calibri"/>
                <w:color w:val="111111"/>
                <w:szCs w:val="16"/>
              </w:rPr>
              <w:t>The ERT recommends that New Zealand subtract the total quantities of oil and gas used (fuel plus feedstock) in ammonia production from the quantity reported under energy use in the energy sector, include the emissions accordingly in the IPPU sector and explain this reallocation in the NIR.</w:t>
            </w:r>
          </w:p>
        </w:tc>
        <w:tc>
          <w:tcPr>
            <w:tcW w:w="2879" w:type="dxa"/>
            <w:shd w:val="clear" w:color="auto" w:fill="FFFFFF"/>
            <w:tcMar>
              <w:top w:w="0" w:type="dxa"/>
              <w:left w:w="85" w:type="dxa"/>
              <w:bottom w:w="0" w:type="dxa"/>
              <w:right w:w="85" w:type="dxa"/>
            </w:tcMar>
          </w:tcPr>
          <w:p w14:paraId="780FCDF4" w14:textId="77777777" w:rsidR="007E0025" w:rsidRPr="00BE78CA" w:rsidRDefault="007E0025" w:rsidP="00C26084">
            <w:pPr>
              <w:pStyle w:val="TableText"/>
            </w:pPr>
            <w:r w:rsidRPr="00BE78CA">
              <w:rPr>
                <w:rFonts w:eastAsia="Calibri"/>
                <w:b/>
              </w:rPr>
              <w:t xml:space="preserve">Not resolved. </w:t>
            </w:r>
            <w:r w:rsidRPr="00BE78CA">
              <w:rPr>
                <w:rFonts w:eastAsia="Calibri"/>
              </w:rPr>
              <w:t>It has not been feasible to make this change for the 2021 submission due to concerns about the confidentiality of data for the single company affected. This will be considered for future submissions, subject to the confidentiality issue being resolved.</w:t>
            </w:r>
          </w:p>
        </w:tc>
      </w:tr>
      <w:tr w:rsidR="007E0025" w:rsidRPr="00BE78CA" w14:paraId="2950B4B5" w14:textId="77777777" w:rsidTr="00BB5269">
        <w:tc>
          <w:tcPr>
            <w:tcW w:w="1813" w:type="dxa"/>
            <w:shd w:val="clear" w:color="auto" w:fill="FFFFFF"/>
            <w:tcMar>
              <w:top w:w="0" w:type="dxa"/>
              <w:left w:w="85" w:type="dxa"/>
              <w:bottom w:w="0" w:type="dxa"/>
              <w:right w:w="85" w:type="dxa"/>
            </w:tcMar>
          </w:tcPr>
          <w:p w14:paraId="3ADF0351" w14:textId="77777777" w:rsidR="007E0025" w:rsidRPr="00BE78CA" w:rsidRDefault="007E0025" w:rsidP="00C26084">
            <w:pPr>
              <w:pStyle w:val="TableText"/>
            </w:pPr>
            <w:r w:rsidRPr="00BE78CA">
              <w:rPr>
                <w:rFonts w:eastAsia="Calibri" w:cs="Calibri"/>
                <w:color w:val="111111"/>
                <w:szCs w:val="16"/>
              </w:rPr>
              <w:t>IPPU – 2.D.1 Lubricant use – CO</w:t>
            </w:r>
            <w:r w:rsidRPr="00BE78CA">
              <w:rPr>
                <w:rFonts w:eastAsia="Calibri" w:cs="Calibri"/>
                <w:color w:val="111111"/>
                <w:szCs w:val="16"/>
                <w:vertAlign w:val="subscript"/>
              </w:rPr>
              <w:t>2</w:t>
            </w:r>
          </w:p>
        </w:tc>
        <w:tc>
          <w:tcPr>
            <w:tcW w:w="907" w:type="dxa"/>
            <w:shd w:val="clear" w:color="auto" w:fill="FFFFFF"/>
            <w:tcMar>
              <w:top w:w="0" w:type="dxa"/>
              <w:left w:w="85" w:type="dxa"/>
              <w:bottom w:w="0" w:type="dxa"/>
              <w:right w:w="85" w:type="dxa"/>
            </w:tcMar>
          </w:tcPr>
          <w:p w14:paraId="188EFE04" w14:textId="77777777" w:rsidR="007E0025" w:rsidRPr="00BE78CA" w:rsidRDefault="007E0025" w:rsidP="00C26084">
            <w:pPr>
              <w:pStyle w:val="TableText"/>
            </w:pPr>
            <w:r w:rsidRPr="00BE78CA">
              <w:rPr>
                <w:rFonts w:eastAsia="Calibri" w:cs="Calibri"/>
                <w:color w:val="111111"/>
                <w:szCs w:val="16"/>
              </w:rPr>
              <w:t>I.28, 2019</w:t>
            </w:r>
          </w:p>
        </w:tc>
        <w:tc>
          <w:tcPr>
            <w:tcW w:w="2784" w:type="dxa"/>
            <w:shd w:val="clear" w:color="auto" w:fill="FFFFFF"/>
            <w:tcMar>
              <w:top w:w="0" w:type="dxa"/>
              <w:left w:w="85" w:type="dxa"/>
              <w:bottom w:w="0" w:type="dxa"/>
              <w:right w:w="85" w:type="dxa"/>
            </w:tcMar>
          </w:tcPr>
          <w:p w14:paraId="40B38CC9" w14:textId="77777777" w:rsidR="007E0025" w:rsidRPr="00BE78CA" w:rsidRDefault="007E0025" w:rsidP="00C26084">
            <w:pPr>
              <w:pStyle w:val="TableText"/>
            </w:pPr>
            <w:r w:rsidRPr="00BE78CA">
              <w:rPr>
                <w:rFonts w:eastAsia="Calibri" w:cs="Calibri"/>
                <w:color w:val="111111"/>
                <w:szCs w:val="16"/>
              </w:rPr>
              <w:t>The ERT recommends that New Zealand improve the information on the CO</w:t>
            </w:r>
            <w:r w:rsidRPr="00BE78CA">
              <w:rPr>
                <w:rFonts w:eastAsia="Calibri" w:cs="Calibri"/>
                <w:color w:val="111111"/>
                <w:szCs w:val="16"/>
                <w:vertAlign w:val="subscript"/>
              </w:rPr>
              <w:t>2</w:t>
            </w:r>
            <w:r w:rsidRPr="00BE78CA">
              <w:rPr>
                <w:rFonts w:eastAsia="Calibri" w:cs="Calibri"/>
                <w:color w:val="111111"/>
                <w:szCs w:val="16"/>
              </w:rPr>
              <w:t xml:space="preserve"> EF for lubricant use, including the source of the EF.</w:t>
            </w:r>
          </w:p>
        </w:tc>
        <w:tc>
          <w:tcPr>
            <w:tcW w:w="2879" w:type="dxa"/>
            <w:shd w:val="clear" w:color="auto" w:fill="FFFFFF"/>
            <w:tcMar>
              <w:top w:w="0" w:type="dxa"/>
              <w:left w:w="85" w:type="dxa"/>
              <w:bottom w:w="0" w:type="dxa"/>
              <w:right w:w="85" w:type="dxa"/>
            </w:tcMar>
          </w:tcPr>
          <w:p w14:paraId="432CD0BD" w14:textId="77777777" w:rsidR="007E0025" w:rsidRPr="00BE78CA" w:rsidRDefault="007E0025" w:rsidP="00C26084">
            <w:pPr>
              <w:pStyle w:val="TableText"/>
            </w:pPr>
            <w:r w:rsidRPr="00BE78CA">
              <w:rPr>
                <w:rFonts w:eastAsia="Calibri"/>
                <w:b/>
                <w:bCs/>
              </w:rPr>
              <w:t>Resolved.</w:t>
            </w:r>
            <w:r w:rsidRPr="00BE78CA">
              <w:rPr>
                <w:rFonts w:eastAsia="Calibri"/>
              </w:rPr>
              <w:t xml:space="preserve"> The EF is the 2006 IPCC default and this is now explained in the NIR chapter 4, section 4.5.2.</w:t>
            </w:r>
          </w:p>
        </w:tc>
      </w:tr>
      <w:tr w:rsidR="007E0025" w:rsidRPr="00BE78CA" w14:paraId="1CFD493D" w14:textId="77777777" w:rsidTr="00BB5269">
        <w:tc>
          <w:tcPr>
            <w:tcW w:w="1813" w:type="dxa"/>
            <w:shd w:val="clear" w:color="auto" w:fill="FFFFFF"/>
            <w:tcMar>
              <w:top w:w="0" w:type="dxa"/>
              <w:left w:w="85" w:type="dxa"/>
              <w:bottom w:w="0" w:type="dxa"/>
              <w:right w:w="85" w:type="dxa"/>
            </w:tcMar>
          </w:tcPr>
          <w:p w14:paraId="183159A0" w14:textId="68728476" w:rsidR="007E0025" w:rsidRPr="00BE78CA" w:rsidRDefault="007E0025" w:rsidP="00A27698">
            <w:pPr>
              <w:pStyle w:val="TableText"/>
              <w:keepNext/>
            </w:pPr>
            <w:r w:rsidRPr="00BE78CA">
              <w:rPr>
                <w:rFonts w:eastAsia="Calibri" w:cs="Calibri"/>
                <w:color w:val="111111"/>
                <w:szCs w:val="16"/>
              </w:rPr>
              <w:lastRenderedPageBreak/>
              <w:t xml:space="preserve">IPPU – 2.F Product uses as substitutes for ozone-depleting substances </w:t>
            </w:r>
            <w:r w:rsidR="00A27698" w:rsidRPr="00BE78CA">
              <w:rPr>
                <w:rFonts w:eastAsia="Calibri" w:cs="Calibri"/>
                <w:color w:val="111111"/>
                <w:szCs w:val="16"/>
              </w:rPr>
              <w:br/>
            </w:r>
            <w:r w:rsidRPr="00BE78CA">
              <w:rPr>
                <w:rFonts w:eastAsia="Calibri" w:cs="Calibri"/>
                <w:color w:val="111111"/>
                <w:szCs w:val="16"/>
              </w:rPr>
              <w:t>– HFCs</w:t>
            </w:r>
          </w:p>
        </w:tc>
        <w:tc>
          <w:tcPr>
            <w:tcW w:w="907" w:type="dxa"/>
            <w:shd w:val="clear" w:color="auto" w:fill="FFFFFF"/>
            <w:tcMar>
              <w:top w:w="0" w:type="dxa"/>
              <w:left w:w="85" w:type="dxa"/>
              <w:bottom w:w="0" w:type="dxa"/>
              <w:right w:w="85" w:type="dxa"/>
            </w:tcMar>
          </w:tcPr>
          <w:p w14:paraId="384808BF" w14:textId="77777777" w:rsidR="007E0025" w:rsidRPr="00BE78CA" w:rsidRDefault="007E0025" w:rsidP="00C26084">
            <w:pPr>
              <w:pStyle w:val="TableText"/>
            </w:pPr>
            <w:r w:rsidRPr="00BE78CA">
              <w:rPr>
                <w:rFonts w:eastAsia="Calibri" w:cs="Calibri"/>
                <w:color w:val="111111"/>
                <w:szCs w:val="16"/>
              </w:rPr>
              <w:t>I.29, 2019</w:t>
            </w:r>
          </w:p>
        </w:tc>
        <w:tc>
          <w:tcPr>
            <w:tcW w:w="2784" w:type="dxa"/>
            <w:shd w:val="clear" w:color="auto" w:fill="FFFFFF"/>
            <w:tcMar>
              <w:top w:w="0" w:type="dxa"/>
              <w:left w:w="85" w:type="dxa"/>
              <w:bottom w:w="0" w:type="dxa"/>
              <w:right w:w="85" w:type="dxa"/>
            </w:tcMar>
          </w:tcPr>
          <w:p w14:paraId="3E845503" w14:textId="231D291C" w:rsidR="007E0025" w:rsidRPr="00BE78CA" w:rsidRDefault="007E0025" w:rsidP="00C26084">
            <w:pPr>
              <w:pStyle w:val="TableText"/>
            </w:pPr>
            <w:r w:rsidRPr="00BE78CA">
              <w:rPr>
                <w:rFonts w:eastAsia="Calibri" w:cs="Calibri"/>
                <w:color w:val="111111"/>
                <w:szCs w:val="16"/>
              </w:rPr>
              <w:t>The ERT recommends that New Zealand explain the model used to estimate emissions in this category in more detail, including the assumptions made, in the NIR. The ERT also recommends that New Zealand improve its QA/QC for this category by comparing the results of the bottom-up model with the results of a top-down approach, as</w:t>
            </w:r>
            <w:r w:rsidR="0055281A" w:rsidRPr="00BE78CA">
              <w:rPr>
                <w:rFonts w:eastAsia="Calibri" w:cs="Calibri"/>
                <w:color w:val="111111"/>
                <w:szCs w:val="16"/>
              </w:rPr>
              <w:t> </w:t>
            </w:r>
            <w:r w:rsidRPr="00BE78CA">
              <w:rPr>
                <w:rFonts w:eastAsia="Calibri" w:cs="Calibri"/>
                <w:color w:val="111111"/>
                <w:szCs w:val="16"/>
              </w:rPr>
              <w:t>the import data are based on comprehensive annual surveys, to allow a clear comparison of the two results, as recommended by the 2006 IPCC Guidelines (vol. 3, section 7.1.4.1).</w:t>
            </w:r>
          </w:p>
        </w:tc>
        <w:tc>
          <w:tcPr>
            <w:tcW w:w="2879" w:type="dxa"/>
            <w:shd w:val="clear" w:color="auto" w:fill="FFFFFF"/>
            <w:tcMar>
              <w:top w:w="0" w:type="dxa"/>
              <w:left w:w="85" w:type="dxa"/>
              <w:bottom w:w="0" w:type="dxa"/>
              <w:right w:w="85" w:type="dxa"/>
            </w:tcMar>
          </w:tcPr>
          <w:p w14:paraId="75BE34D2" w14:textId="77777777" w:rsidR="007E0025" w:rsidRPr="00BE78CA" w:rsidRDefault="007E0025" w:rsidP="00C26084">
            <w:pPr>
              <w:pStyle w:val="TableText"/>
            </w:pPr>
            <w:r w:rsidRPr="00BE78CA">
              <w:rPr>
                <w:rFonts w:eastAsia="Calibri"/>
                <w:b/>
                <w:bCs/>
              </w:rPr>
              <w:t xml:space="preserve">Resolved. </w:t>
            </w:r>
            <w:r w:rsidRPr="00BE78CA">
              <w:rPr>
                <w:rFonts w:eastAsia="Calibri"/>
              </w:rPr>
              <w:t>Explanations in the NIR have been expanded and will be further improved in future submissions. Please see chapter 4, section 4.7.2 in the NIR 2021.</w:t>
            </w:r>
          </w:p>
        </w:tc>
      </w:tr>
      <w:tr w:rsidR="007E0025" w:rsidRPr="00BE78CA" w14:paraId="7E13A16F" w14:textId="77777777" w:rsidTr="00BB5269">
        <w:tc>
          <w:tcPr>
            <w:tcW w:w="1813" w:type="dxa"/>
            <w:shd w:val="clear" w:color="auto" w:fill="FFFFFF"/>
            <w:tcMar>
              <w:top w:w="0" w:type="dxa"/>
              <w:left w:w="85" w:type="dxa"/>
              <w:bottom w:w="0" w:type="dxa"/>
              <w:right w:w="85" w:type="dxa"/>
            </w:tcMar>
          </w:tcPr>
          <w:p w14:paraId="3BEF60D5" w14:textId="77777777" w:rsidR="007E0025" w:rsidRPr="00BE78CA" w:rsidRDefault="007E0025" w:rsidP="00C26084">
            <w:pPr>
              <w:pStyle w:val="TableText"/>
            </w:pPr>
            <w:r w:rsidRPr="00BE78CA">
              <w:rPr>
                <w:rFonts w:eastAsia="Calibri" w:cs="Calibri"/>
                <w:color w:val="111111"/>
                <w:szCs w:val="16"/>
              </w:rPr>
              <w:t>IPPU – 2.F.1 Refrigeration and air conditioning – HFCs</w:t>
            </w:r>
          </w:p>
        </w:tc>
        <w:tc>
          <w:tcPr>
            <w:tcW w:w="907" w:type="dxa"/>
            <w:shd w:val="clear" w:color="auto" w:fill="FFFFFF"/>
            <w:tcMar>
              <w:top w:w="0" w:type="dxa"/>
              <w:left w:w="85" w:type="dxa"/>
              <w:bottom w:w="0" w:type="dxa"/>
              <w:right w:w="85" w:type="dxa"/>
            </w:tcMar>
          </w:tcPr>
          <w:p w14:paraId="6962A3A4" w14:textId="77777777" w:rsidR="007E0025" w:rsidRPr="00BE78CA" w:rsidRDefault="007E0025" w:rsidP="00C26084">
            <w:pPr>
              <w:pStyle w:val="TableText"/>
            </w:pPr>
            <w:r w:rsidRPr="00BE78CA">
              <w:rPr>
                <w:rFonts w:eastAsia="Calibri" w:cs="Calibri"/>
                <w:color w:val="111111"/>
                <w:szCs w:val="16"/>
              </w:rPr>
              <w:t>I.30, 2019</w:t>
            </w:r>
          </w:p>
        </w:tc>
        <w:tc>
          <w:tcPr>
            <w:tcW w:w="2784" w:type="dxa"/>
            <w:shd w:val="clear" w:color="auto" w:fill="FFFFFF"/>
            <w:tcMar>
              <w:top w:w="0" w:type="dxa"/>
              <w:left w:w="85" w:type="dxa"/>
              <w:bottom w:w="0" w:type="dxa"/>
              <w:right w:w="85" w:type="dxa"/>
            </w:tcMar>
          </w:tcPr>
          <w:p w14:paraId="082CC9BC" w14:textId="77777777" w:rsidR="007E0025" w:rsidRPr="00BE78CA" w:rsidRDefault="007E0025" w:rsidP="00C26084">
            <w:pPr>
              <w:pStyle w:val="TableText"/>
            </w:pPr>
            <w:r w:rsidRPr="00BE78CA">
              <w:rPr>
                <w:rFonts w:eastAsia="Calibri" w:cs="Calibri"/>
                <w:color w:val="111111"/>
                <w:szCs w:val="16"/>
              </w:rPr>
              <w:t>The ERT recommends that New Zealand update the equation in box 4.1 of the NIR to clarify that all calculations of the total charge of new equipment include the charge for equipment that is later exported.</w:t>
            </w:r>
          </w:p>
        </w:tc>
        <w:tc>
          <w:tcPr>
            <w:tcW w:w="2879" w:type="dxa"/>
            <w:shd w:val="clear" w:color="auto" w:fill="FFFFFF"/>
            <w:tcMar>
              <w:top w:w="0" w:type="dxa"/>
              <w:left w:w="85" w:type="dxa"/>
              <w:bottom w:w="0" w:type="dxa"/>
              <w:right w:w="85" w:type="dxa"/>
            </w:tcMar>
          </w:tcPr>
          <w:p w14:paraId="3943EE24" w14:textId="77777777" w:rsidR="007E0025" w:rsidRPr="00BE78CA" w:rsidRDefault="007E0025" w:rsidP="00C26084">
            <w:pPr>
              <w:pStyle w:val="TableText"/>
            </w:pPr>
            <w:r w:rsidRPr="00BE78CA">
              <w:rPr>
                <w:rFonts w:eastAsia="Calibri"/>
                <w:b/>
                <w:bCs/>
              </w:rPr>
              <w:t xml:space="preserve">Resolved. </w:t>
            </w:r>
            <w:r w:rsidRPr="00BE78CA">
              <w:rPr>
                <w:rFonts w:eastAsia="Calibri"/>
              </w:rPr>
              <w:t>This clarification has been added in chapter 4, section 4.7.2.</w:t>
            </w:r>
          </w:p>
        </w:tc>
      </w:tr>
      <w:tr w:rsidR="007E0025" w:rsidRPr="00BE78CA" w14:paraId="2FF3731D" w14:textId="77777777" w:rsidTr="00BB5269">
        <w:tc>
          <w:tcPr>
            <w:tcW w:w="1813" w:type="dxa"/>
            <w:shd w:val="clear" w:color="auto" w:fill="FFFFFF"/>
            <w:tcMar>
              <w:top w:w="0" w:type="dxa"/>
              <w:left w:w="85" w:type="dxa"/>
              <w:bottom w:w="0" w:type="dxa"/>
              <w:right w:w="85" w:type="dxa"/>
            </w:tcMar>
          </w:tcPr>
          <w:p w14:paraId="52250EAB" w14:textId="77777777" w:rsidR="007E0025" w:rsidRPr="00BE78CA" w:rsidRDefault="007E0025" w:rsidP="00C26084">
            <w:pPr>
              <w:pStyle w:val="TableText"/>
            </w:pPr>
            <w:r w:rsidRPr="00BE78CA">
              <w:rPr>
                <w:rFonts w:eastAsia="Calibri" w:cs="Calibri"/>
                <w:color w:val="111111"/>
                <w:szCs w:val="16"/>
              </w:rPr>
              <w:t>IPPU – 2.F.1.e Mobile air conditioning – HFCs</w:t>
            </w:r>
          </w:p>
        </w:tc>
        <w:tc>
          <w:tcPr>
            <w:tcW w:w="907" w:type="dxa"/>
            <w:shd w:val="clear" w:color="auto" w:fill="FFFFFF"/>
            <w:tcMar>
              <w:top w:w="0" w:type="dxa"/>
              <w:left w:w="85" w:type="dxa"/>
              <w:bottom w:w="0" w:type="dxa"/>
              <w:right w:w="85" w:type="dxa"/>
            </w:tcMar>
          </w:tcPr>
          <w:p w14:paraId="72B08CF6" w14:textId="77777777" w:rsidR="007E0025" w:rsidRPr="00BE78CA" w:rsidRDefault="007E0025" w:rsidP="00C26084">
            <w:pPr>
              <w:pStyle w:val="TableText"/>
            </w:pPr>
            <w:r w:rsidRPr="00BE78CA">
              <w:rPr>
                <w:rFonts w:eastAsia="Calibri" w:cs="Calibri"/>
                <w:color w:val="111111"/>
                <w:szCs w:val="16"/>
              </w:rPr>
              <w:t>I.31, 2019</w:t>
            </w:r>
          </w:p>
        </w:tc>
        <w:tc>
          <w:tcPr>
            <w:tcW w:w="2784" w:type="dxa"/>
            <w:shd w:val="clear" w:color="auto" w:fill="FFFFFF"/>
            <w:tcMar>
              <w:top w:w="0" w:type="dxa"/>
              <w:left w:w="85" w:type="dxa"/>
              <w:bottom w:w="0" w:type="dxa"/>
              <w:right w:w="85" w:type="dxa"/>
            </w:tcMar>
          </w:tcPr>
          <w:p w14:paraId="7A1CA735" w14:textId="77777777" w:rsidR="007E0025" w:rsidRPr="00BE78CA" w:rsidRDefault="007E0025" w:rsidP="00C26084">
            <w:pPr>
              <w:pStyle w:val="TableText"/>
            </w:pPr>
            <w:r w:rsidRPr="00BE78CA">
              <w:rPr>
                <w:rFonts w:eastAsia="Calibri" w:cs="Calibri"/>
                <w:color w:val="111111"/>
                <w:szCs w:val="16"/>
              </w:rPr>
              <w:t>The ERT recommends that New Zealand explain the trend of HFC-134a filled into new manufactured products, especially the decrease between 2003 and 2004, in its NIR.</w:t>
            </w:r>
          </w:p>
        </w:tc>
        <w:tc>
          <w:tcPr>
            <w:tcW w:w="2879" w:type="dxa"/>
            <w:shd w:val="clear" w:color="auto" w:fill="FFFFFF"/>
            <w:tcMar>
              <w:top w:w="0" w:type="dxa"/>
              <w:left w:w="85" w:type="dxa"/>
              <w:bottom w:w="0" w:type="dxa"/>
              <w:right w:w="85" w:type="dxa"/>
            </w:tcMar>
          </w:tcPr>
          <w:p w14:paraId="3847A78C" w14:textId="77777777" w:rsidR="007E0025" w:rsidRPr="00BE78CA" w:rsidRDefault="007E0025" w:rsidP="00C26084">
            <w:pPr>
              <w:pStyle w:val="TableText"/>
            </w:pPr>
            <w:r w:rsidRPr="00BE78CA">
              <w:rPr>
                <w:rFonts w:eastAsia="Calibri"/>
                <w:b/>
                <w:bCs/>
              </w:rPr>
              <w:t>Resolved.</w:t>
            </w:r>
            <w:r w:rsidRPr="00BE78CA">
              <w:rPr>
                <w:rFonts w:eastAsia="Calibri"/>
              </w:rPr>
              <w:t xml:space="preserve"> This clarification has been added in chapter 4, section 4.7.2.</w:t>
            </w:r>
          </w:p>
        </w:tc>
      </w:tr>
      <w:tr w:rsidR="007E0025" w:rsidRPr="00BE78CA" w14:paraId="4F1EB983" w14:textId="77777777" w:rsidTr="00BB5269">
        <w:tc>
          <w:tcPr>
            <w:tcW w:w="1813" w:type="dxa"/>
            <w:shd w:val="clear" w:color="auto" w:fill="FFFFFF"/>
            <w:tcMar>
              <w:top w:w="0" w:type="dxa"/>
              <w:left w:w="85" w:type="dxa"/>
              <w:bottom w:w="0" w:type="dxa"/>
              <w:right w:w="85" w:type="dxa"/>
            </w:tcMar>
          </w:tcPr>
          <w:p w14:paraId="2993DD6D" w14:textId="77777777" w:rsidR="007E0025" w:rsidRPr="00BE78CA" w:rsidRDefault="007E0025" w:rsidP="00C26084">
            <w:pPr>
              <w:pStyle w:val="TableText"/>
            </w:pPr>
            <w:r w:rsidRPr="00BE78CA">
              <w:rPr>
                <w:rFonts w:eastAsia="Calibri" w:cs="Calibri"/>
                <w:color w:val="111111"/>
                <w:szCs w:val="16"/>
              </w:rPr>
              <w:t>Agriculture – 3. General (agriculture) – CH</w:t>
            </w:r>
            <w:r w:rsidRPr="00BE78CA">
              <w:rPr>
                <w:rFonts w:eastAsia="Calibri" w:cs="Calibri"/>
                <w:color w:val="111111"/>
                <w:szCs w:val="16"/>
                <w:vertAlign w:val="subscript"/>
              </w:rPr>
              <w:t>4</w:t>
            </w:r>
            <w:r w:rsidRPr="00BE78CA">
              <w:rPr>
                <w:rFonts w:eastAsia="Calibri" w:cs="Calibri"/>
                <w:color w:val="111111"/>
                <w:szCs w:val="16"/>
              </w:rPr>
              <w:t xml:space="preserve"> and N</w:t>
            </w:r>
            <w:r w:rsidRPr="00BE78CA">
              <w:rPr>
                <w:rFonts w:eastAsia="Calibri" w:cs="Calibri"/>
                <w:color w:val="111111"/>
                <w:szCs w:val="16"/>
                <w:vertAlign w:val="subscript"/>
              </w:rPr>
              <w:t>2</w:t>
            </w:r>
            <w:r w:rsidRPr="00BE78CA">
              <w:rPr>
                <w:rFonts w:eastAsia="Calibri" w:cs="Calibri"/>
                <w:color w:val="111111"/>
                <w:szCs w:val="16"/>
              </w:rPr>
              <w:t>O</w:t>
            </w:r>
          </w:p>
        </w:tc>
        <w:tc>
          <w:tcPr>
            <w:tcW w:w="907" w:type="dxa"/>
            <w:shd w:val="clear" w:color="auto" w:fill="FFFFFF"/>
            <w:tcMar>
              <w:top w:w="0" w:type="dxa"/>
              <w:left w:w="85" w:type="dxa"/>
              <w:bottom w:w="0" w:type="dxa"/>
              <w:right w:w="85" w:type="dxa"/>
            </w:tcMar>
          </w:tcPr>
          <w:p w14:paraId="28A279CA" w14:textId="77777777" w:rsidR="007E0025" w:rsidRPr="00BE78CA" w:rsidRDefault="007E0025" w:rsidP="00C26084">
            <w:pPr>
              <w:pStyle w:val="TableText"/>
            </w:pPr>
            <w:r w:rsidRPr="00BE78CA">
              <w:rPr>
                <w:rFonts w:eastAsia="Calibri" w:cs="Calibri"/>
                <w:color w:val="111111"/>
                <w:szCs w:val="16"/>
              </w:rPr>
              <w:t>A.4, 2019</w:t>
            </w:r>
          </w:p>
        </w:tc>
        <w:tc>
          <w:tcPr>
            <w:tcW w:w="2784" w:type="dxa"/>
            <w:shd w:val="clear" w:color="auto" w:fill="FFFFFF"/>
            <w:tcMar>
              <w:top w:w="0" w:type="dxa"/>
              <w:left w:w="85" w:type="dxa"/>
              <w:bottom w:w="0" w:type="dxa"/>
              <w:right w:w="85" w:type="dxa"/>
            </w:tcMar>
          </w:tcPr>
          <w:p w14:paraId="7C26F007" w14:textId="079ED3FD" w:rsidR="007E0025" w:rsidRPr="00BE78CA" w:rsidRDefault="007E0025" w:rsidP="00C26084">
            <w:pPr>
              <w:pStyle w:val="TableText"/>
            </w:pPr>
            <w:r w:rsidRPr="00BE78CA">
              <w:rPr>
                <w:rFonts w:eastAsia="Calibri" w:cs="Calibri"/>
                <w:color w:val="111111"/>
                <w:szCs w:val="16"/>
              </w:rPr>
              <w:t>The ERT recommends that New Zealand improve the description in the NIR to demonstrate clearly that the procedures for the agricultural production census and survey are aligned and no significant deviations have occurred in the time series since</w:t>
            </w:r>
            <w:r w:rsidR="00A27698" w:rsidRPr="00BE78CA">
              <w:rPr>
                <w:rFonts w:eastAsia="Calibri" w:cs="Calibri"/>
                <w:color w:val="111111"/>
                <w:szCs w:val="16"/>
              </w:rPr>
              <w:t> </w:t>
            </w:r>
            <w:r w:rsidRPr="00BE78CA">
              <w:rPr>
                <w:rFonts w:eastAsia="Calibri" w:cs="Calibri"/>
                <w:color w:val="111111"/>
                <w:szCs w:val="16"/>
              </w:rPr>
              <w:t>1990.</w:t>
            </w:r>
          </w:p>
        </w:tc>
        <w:tc>
          <w:tcPr>
            <w:tcW w:w="2879" w:type="dxa"/>
            <w:shd w:val="clear" w:color="auto" w:fill="FFFFFF"/>
            <w:tcMar>
              <w:top w:w="0" w:type="dxa"/>
              <w:left w:w="85" w:type="dxa"/>
              <w:bottom w:w="0" w:type="dxa"/>
              <w:right w:w="85" w:type="dxa"/>
            </w:tcMar>
          </w:tcPr>
          <w:p w14:paraId="7CD33ED7" w14:textId="77777777" w:rsidR="007E0025" w:rsidRPr="00BE78CA" w:rsidRDefault="007E0025" w:rsidP="00C26084">
            <w:pPr>
              <w:pStyle w:val="TableText"/>
            </w:pPr>
            <w:r w:rsidRPr="00BE78CA">
              <w:rPr>
                <w:rFonts w:eastAsia="Calibri"/>
                <w:b/>
                <w:bCs/>
              </w:rPr>
              <w:t>Resolved.</w:t>
            </w:r>
            <w:r w:rsidRPr="00BE78CA">
              <w:rPr>
                <w:rFonts w:eastAsia="Calibri"/>
              </w:rPr>
              <w:t xml:space="preserve"> A more detailed explanation on the Agricultural Production census and survey is included in chapter 5, section 5.1.4.</w:t>
            </w:r>
          </w:p>
        </w:tc>
      </w:tr>
      <w:tr w:rsidR="007E0025" w:rsidRPr="00BE78CA" w14:paraId="06564581" w14:textId="77777777" w:rsidTr="00BB5269">
        <w:tc>
          <w:tcPr>
            <w:tcW w:w="1813" w:type="dxa"/>
            <w:shd w:val="clear" w:color="auto" w:fill="FFFFFF"/>
            <w:tcMar>
              <w:top w:w="0" w:type="dxa"/>
              <w:left w:w="85" w:type="dxa"/>
              <w:bottom w:w="0" w:type="dxa"/>
              <w:right w:w="85" w:type="dxa"/>
            </w:tcMar>
          </w:tcPr>
          <w:p w14:paraId="68BFB6B8" w14:textId="77777777" w:rsidR="007E0025" w:rsidRPr="00BE78CA" w:rsidRDefault="007E0025" w:rsidP="00C26084">
            <w:pPr>
              <w:pStyle w:val="TableText"/>
            </w:pPr>
            <w:r w:rsidRPr="00BE78CA">
              <w:rPr>
                <w:rFonts w:eastAsia="Calibri" w:cs="Calibri"/>
                <w:color w:val="111111"/>
                <w:szCs w:val="16"/>
              </w:rPr>
              <w:t>Agriculture – 3. General (agriculture) – CH</w:t>
            </w:r>
            <w:r w:rsidRPr="00BE78CA">
              <w:rPr>
                <w:rFonts w:eastAsia="Calibri" w:cs="Calibri"/>
                <w:color w:val="111111"/>
                <w:szCs w:val="16"/>
                <w:vertAlign w:val="subscript"/>
              </w:rPr>
              <w:t>4</w:t>
            </w:r>
            <w:r w:rsidRPr="00BE78CA">
              <w:rPr>
                <w:rFonts w:eastAsia="Calibri" w:cs="Calibri"/>
                <w:color w:val="111111"/>
                <w:szCs w:val="16"/>
              </w:rPr>
              <w:t xml:space="preserve"> and N</w:t>
            </w:r>
            <w:r w:rsidRPr="00BE78CA">
              <w:rPr>
                <w:rFonts w:eastAsia="Calibri" w:cs="Calibri"/>
                <w:color w:val="111111"/>
                <w:szCs w:val="16"/>
                <w:vertAlign w:val="subscript"/>
              </w:rPr>
              <w:t>2</w:t>
            </w:r>
            <w:r w:rsidRPr="00BE78CA">
              <w:rPr>
                <w:rFonts w:eastAsia="Calibri" w:cs="Calibri"/>
                <w:color w:val="111111"/>
                <w:szCs w:val="16"/>
              </w:rPr>
              <w:t>O</w:t>
            </w:r>
          </w:p>
        </w:tc>
        <w:tc>
          <w:tcPr>
            <w:tcW w:w="907" w:type="dxa"/>
            <w:shd w:val="clear" w:color="auto" w:fill="FFFFFF"/>
            <w:tcMar>
              <w:top w:w="0" w:type="dxa"/>
              <w:left w:w="85" w:type="dxa"/>
              <w:bottom w:w="0" w:type="dxa"/>
              <w:right w:w="85" w:type="dxa"/>
            </w:tcMar>
          </w:tcPr>
          <w:p w14:paraId="1DD1B2C6" w14:textId="77777777" w:rsidR="007E0025" w:rsidRPr="00BE78CA" w:rsidRDefault="007E0025" w:rsidP="00C26084">
            <w:pPr>
              <w:pStyle w:val="TableText"/>
            </w:pPr>
            <w:r w:rsidRPr="00BE78CA">
              <w:rPr>
                <w:rFonts w:eastAsia="Calibri" w:cs="Calibri"/>
                <w:color w:val="111111"/>
                <w:szCs w:val="16"/>
              </w:rPr>
              <w:t>A.5, 2019</w:t>
            </w:r>
          </w:p>
        </w:tc>
        <w:tc>
          <w:tcPr>
            <w:tcW w:w="2784" w:type="dxa"/>
            <w:shd w:val="clear" w:color="auto" w:fill="FFFFFF"/>
            <w:tcMar>
              <w:top w:w="0" w:type="dxa"/>
              <w:left w:w="85" w:type="dxa"/>
              <w:bottom w:w="0" w:type="dxa"/>
              <w:right w:w="85" w:type="dxa"/>
            </w:tcMar>
          </w:tcPr>
          <w:p w14:paraId="10C4080F" w14:textId="77777777" w:rsidR="007E0025" w:rsidRPr="00BE78CA" w:rsidRDefault="007E0025" w:rsidP="00C26084">
            <w:pPr>
              <w:pStyle w:val="TableText"/>
            </w:pPr>
            <w:r w:rsidRPr="00BE78CA">
              <w:rPr>
                <w:rFonts w:eastAsia="Calibri" w:cs="Calibri"/>
                <w:color w:val="111111"/>
                <w:szCs w:val="16"/>
              </w:rPr>
              <w:t>The ERT recommends that New Zealand correct the uncertainty values reported for enteric fermentation and agricultural soils in section 1.6 of the NIR so that they are consistent with the values reported in sections 5.2.3 and 5.5.3 of the NIR.</w:t>
            </w:r>
          </w:p>
        </w:tc>
        <w:tc>
          <w:tcPr>
            <w:tcW w:w="2879" w:type="dxa"/>
            <w:shd w:val="clear" w:color="auto" w:fill="FFFFFF"/>
            <w:tcMar>
              <w:top w:w="0" w:type="dxa"/>
              <w:left w:w="85" w:type="dxa"/>
              <w:bottom w:w="0" w:type="dxa"/>
              <w:right w:w="85" w:type="dxa"/>
            </w:tcMar>
          </w:tcPr>
          <w:p w14:paraId="4B75EEC8" w14:textId="77777777" w:rsidR="007E0025" w:rsidRPr="00BE78CA" w:rsidRDefault="007E0025" w:rsidP="00C26084">
            <w:pPr>
              <w:pStyle w:val="TableText"/>
            </w:pPr>
            <w:r w:rsidRPr="00BE78CA">
              <w:rPr>
                <w:rFonts w:eastAsia="Calibri"/>
                <w:b/>
                <w:bCs/>
              </w:rPr>
              <w:t xml:space="preserve">Resolved. </w:t>
            </w:r>
            <w:r w:rsidRPr="00BE78CA">
              <w:rPr>
                <w:rFonts w:eastAsia="Calibri"/>
              </w:rPr>
              <w:t>The text on uncertainty in chapter 1, section 1.6 for enteric fermentation and agricultural soils has been corrected. </w:t>
            </w:r>
          </w:p>
        </w:tc>
      </w:tr>
      <w:tr w:rsidR="007E0025" w:rsidRPr="00BE78CA" w14:paraId="4DD1E252" w14:textId="77777777" w:rsidTr="00BB5269">
        <w:tc>
          <w:tcPr>
            <w:tcW w:w="1813" w:type="dxa"/>
            <w:shd w:val="clear" w:color="auto" w:fill="FFFFFF"/>
            <w:tcMar>
              <w:top w:w="0" w:type="dxa"/>
              <w:left w:w="85" w:type="dxa"/>
              <w:bottom w:w="0" w:type="dxa"/>
              <w:right w:w="85" w:type="dxa"/>
            </w:tcMar>
          </w:tcPr>
          <w:p w14:paraId="36B506FC" w14:textId="77777777" w:rsidR="007E0025" w:rsidRPr="00BE78CA" w:rsidRDefault="007E0025" w:rsidP="00C26084">
            <w:pPr>
              <w:pStyle w:val="TableText"/>
            </w:pPr>
            <w:r w:rsidRPr="00BE78CA">
              <w:rPr>
                <w:rFonts w:eastAsia="Calibri" w:cs="Calibri"/>
                <w:color w:val="111111"/>
                <w:szCs w:val="16"/>
              </w:rPr>
              <w:t>Agriculture – 3. General (agriculture) – CH</w:t>
            </w:r>
            <w:r w:rsidRPr="00BE78CA">
              <w:rPr>
                <w:rFonts w:eastAsia="Calibri" w:cs="Calibri"/>
                <w:color w:val="111111"/>
                <w:szCs w:val="16"/>
                <w:vertAlign w:val="subscript"/>
              </w:rPr>
              <w:t>4</w:t>
            </w:r>
            <w:r w:rsidRPr="00BE78CA">
              <w:rPr>
                <w:rFonts w:eastAsia="Calibri" w:cs="Calibri"/>
                <w:color w:val="111111"/>
                <w:szCs w:val="16"/>
              </w:rPr>
              <w:t xml:space="preserve"> and N</w:t>
            </w:r>
            <w:r w:rsidRPr="00BE78CA">
              <w:rPr>
                <w:rFonts w:eastAsia="Calibri" w:cs="Calibri"/>
                <w:color w:val="111111"/>
                <w:szCs w:val="16"/>
                <w:vertAlign w:val="subscript"/>
              </w:rPr>
              <w:t>2</w:t>
            </w:r>
            <w:r w:rsidRPr="00BE78CA">
              <w:rPr>
                <w:rFonts w:eastAsia="Calibri" w:cs="Calibri"/>
                <w:color w:val="111111"/>
                <w:szCs w:val="16"/>
              </w:rPr>
              <w:t>O</w:t>
            </w:r>
          </w:p>
        </w:tc>
        <w:tc>
          <w:tcPr>
            <w:tcW w:w="907" w:type="dxa"/>
            <w:shd w:val="clear" w:color="auto" w:fill="FFFFFF"/>
            <w:tcMar>
              <w:top w:w="0" w:type="dxa"/>
              <w:left w:w="85" w:type="dxa"/>
              <w:bottom w:w="0" w:type="dxa"/>
              <w:right w:w="85" w:type="dxa"/>
            </w:tcMar>
          </w:tcPr>
          <w:p w14:paraId="59D9AFF6" w14:textId="77777777" w:rsidR="007E0025" w:rsidRPr="00BE78CA" w:rsidRDefault="007E0025" w:rsidP="00C26084">
            <w:pPr>
              <w:pStyle w:val="TableText"/>
            </w:pPr>
            <w:r w:rsidRPr="00BE78CA">
              <w:rPr>
                <w:rFonts w:eastAsia="Calibri" w:cs="Calibri"/>
                <w:color w:val="111111"/>
                <w:szCs w:val="16"/>
              </w:rPr>
              <w:t>A.9, 2019</w:t>
            </w:r>
          </w:p>
        </w:tc>
        <w:tc>
          <w:tcPr>
            <w:tcW w:w="2784" w:type="dxa"/>
            <w:shd w:val="clear" w:color="auto" w:fill="FFFFFF"/>
            <w:tcMar>
              <w:top w:w="0" w:type="dxa"/>
              <w:left w:w="85" w:type="dxa"/>
              <w:bottom w:w="0" w:type="dxa"/>
              <w:right w:w="85" w:type="dxa"/>
            </w:tcMar>
          </w:tcPr>
          <w:p w14:paraId="0F4055F9" w14:textId="77777777" w:rsidR="007E0025" w:rsidRPr="00BE78CA" w:rsidRDefault="007E0025" w:rsidP="00C26084">
            <w:pPr>
              <w:pStyle w:val="TableText"/>
            </w:pPr>
            <w:r w:rsidRPr="00BE78CA">
              <w:rPr>
                <w:rFonts w:eastAsia="Calibri" w:cs="Calibri"/>
                <w:color w:val="111111"/>
                <w:szCs w:val="16"/>
              </w:rPr>
              <w:t>The ERT recommends that New Zealand (1) revise the text that refers to the year for which provisional population data are used in the NIR (p.158), (2) update the animal populations for 2018 and revise the estimates reported for 2017 in the CRF tables and (3) explain this recalculation in the NIR.</w:t>
            </w:r>
          </w:p>
        </w:tc>
        <w:tc>
          <w:tcPr>
            <w:tcW w:w="2879" w:type="dxa"/>
            <w:shd w:val="clear" w:color="auto" w:fill="FFFFFF"/>
            <w:tcMar>
              <w:top w:w="0" w:type="dxa"/>
              <w:left w:w="85" w:type="dxa"/>
              <w:bottom w:w="0" w:type="dxa"/>
              <w:right w:w="85" w:type="dxa"/>
            </w:tcMar>
          </w:tcPr>
          <w:p w14:paraId="322EF09F" w14:textId="77777777" w:rsidR="007E0025" w:rsidRPr="00BE78CA" w:rsidRDefault="007E0025" w:rsidP="00C26084">
            <w:pPr>
              <w:pStyle w:val="TableText"/>
            </w:pPr>
            <w:r w:rsidRPr="00BE78CA">
              <w:rPr>
                <w:rFonts w:eastAsia="Calibri"/>
                <w:b/>
                <w:bCs/>
              </w:rPr>
              <w:t>Resolved.</w:t>
            </w:r>
            <w:r w:rsidRPr="00BE78CA">
              <w:rPr>
                <w:rFonts w:eastAsia="Calibri"/>
              </w:rPr>
              <w:t xml:space="preserve"> Updated text on the use of provisional Agricultural Production survey data has been included in section 10.1.3 of this chapter. Emissions estimates have been updated with revised population figures.</w:t>
            </w:r>
          </w:p>
        </w:tc>
      </w:tr>
      <w:tr w:rsidR="007E0025" w:rsidRPr="00BE78CA" w14:paraId="1139ABD5" w14:textId="77777777" w:rsidTr="00BB5269">
        <w:tc>
          <w:tcPr>
            <w:tcW w:w="1813" w:type="dxa"/>
            <w:shd w:val="clear" w:color="auto" w:fill="FFFFFF"/>
            <w:tcMar>
              <w:top w:w="0" w:type="dxa"/>
              <w:left w:w="85" w:type="dxa"/>
              <w:bottom w:w="0" w:type="dxa"/>
              <w:right w:w="85" w:type="dxa"/>
            </w:tcMar>
          </w:tcPr>
          <w:p w14:paraId="07E44679" w14:textId="77777777" w:rsidR="007E0025" w:rsidRPr="00BE78CA" w:rsidRDefault="007E0025" w:rsidP="00C26084">
            <w:pPr>
              <w:pStyle w:val="TableText"/>
            </w:pPr>
            <w:r w:rsidRPr="00BE78CA">
              <w:rPr>
                <w:rFonts w:eastAsia="Calibri" w:cs="Calibri"/>
                <w:color w:val="111111"/>
                <w:szCs w:val="16"/>
              </w:rPr>
              <w:t>Agriculture – 3. General (agriculture) – CH</w:t>
            </w:r>
            <w:r w:rsidRPr="00BE78CA">
              <w:rPr>
                <w:rFonts w:eastAsia="Calibri" w:cs="Calibri"/>
                <w:color w:val="111111"/>
                <w:szCs w:val="16"/>
                <w:vertAlign w:val="subscript"/>
              </w:rPr>
              <w:t>4</w:t>
            </w:r>
            <w:r w:rsidRPr="00BE78CA">
              <w:rPr>
                <w:rFonts w:eastAsia="Calibri" w:cs="Calibri"/>
                <w:color w:val="111111"/>
                <w:szCs w:val="16"/>
              </w:rPr>
              <w:t xml:space="preserve"> and N</w:t>
            </w:r>
            <w:r w:rsidRPr="00BE78CA">
              <w:rPr>
                <w:rFonts w:eastAsia="Calibri" w:cs="Calibri"/>
                <w:color w:val="111111"/>
                <w:szCs w:val="16"/>
                <w:vertAlign w:val="subscript"/>
              </w:rPr>
              <w:t>2</w:t>
            </w:r>
            <w:r w:rsidRPr="00BE78CA">
              <w:rPr>
                <w:rFonts w:eastAsia="Calibri" w:cs="Calibri"/>
                <w:color w:val="111111"/>
                <w:szCs w:val="16"/>
              </w:rPr>
              <w:t>O</w:t>
            </w:r>
          </w:p>
        </w:tc>
        <w:tc>
          <w:tcPr>
            <w:tcW w:w="907" w:type="dxa"/>
            <w:shd w:val="clear" w:color="auto" w:fill="FFFFFF"/>
            <w:tcMar>
              <w:top w:w="0" w:type="dxa"/>
              <w:left w:w="85" w:type="dxa"/>
              <w:bottom w:w="0" w:type="dxa"/>
              <w:right w:w="85" w:type="dxa"/>
            </w:tcMar>
          </w:tcPr>
          <w:p w14:paraId="5B704BE6" w14:textId="77777777" w:rsidR="007E0025" w:rsidRPr="00BE78CA" w:rsidRDefault="007E0025" w:rsidP="00C26084">
            <w:pPr>
              <w:pStyle w:val="TableText"/>
            </w:pPr>
            <w:r w:rsidRPr="00BE78CA">
              <w:rPr>
                <w:rFonts w:eastAsia="Calibri" w:cs="Calibri"/>
                <w:color w:val="111111"/>
                <w:szCs w:val="16"/>
              </w:rPr>
              <w:t>A.10, 2019</w:t>
            </w:r>
          </w:p>
        </w:tc>
        <w:tc>
          <w:tcPr>
            <w:tcW w:w="2784" w:type="dxa"/>
            <w:shd w:val="clear" w:color="auto" w:fill="FFFFFF"/>
            <w:tcMar>
              <w:top w:w="0" w:type="dxa"/>
              <w:left w:w="85" w:type="dxa"/>
              <w:bottom w:w="0" w:type="dxa"/>
              <w:right w:w="85" w:type="dxa"/>
            </w:tcMar>
          </w:tcPr>
          <w:p w14:paraId="7E1C9C61" w14:textId="77777777" w:rsidR="007E0025" w:rsidRPr="00BE78CA" w:rsidRDefault="007E0025" w:rsidP="00C26084">
            <w:pPr>
              <w:pStyle w:val="TableText"/>
            </w:pPr>
            <w:r w:rsidRPr="00BE78CA">
              <w:rPr>
                <w:rFonts w:eastAsia="Calibri" w:cs="Calibri"/>
                <w:color w:val="111111"/>
                <w:szCs w:val="16"/>
              </w:rPr>
              <w:t>The ERT recommends that New Zealand provide additional information on the assumption that all growing beef animals are slaughtered at two years of age and refer to the MPI (2018) report on animal live weights in the NIR.</w:t>
            </w:r>
          </w:p>
        </w:tc>
        <w:tc>
          <w:tcPr>
            <w:tcW w:w="2879" w:type="dxa"/>
            <w:shd w:val="clear" w:color="auto" w:fill="FFFFFF"/>
            <w:tcMar>
              <w:top w:w="0" w:type="dxa"/>
              <w:left w:w="85" w:type="dxa"/>
              <w:bottom w:w="0" w:type="dxa"/>
              <w:right w:w="85" w:type="dxa"/>
            </w:tcMar>
          </w:tcPr>
          <w:p w14:paraId="2AA82FAC" w14:textId="23A1C645" w:rsidR="007E0025" w:rsidRPr="00BE78CA" w:rsidRDefault="007E0025" w:rsidP="00C26084">
            <w:pPr>
              <w:pStyle w:val="TableText"/>
            </w:pPr>
            <w:r w:rsidRPr="00BE78CA">
              <w:rPr>
                <w:rFonts w:eastAsia="Calibri"/>
                <w:b/>
                <w:bCs/>
              </w:rPr>
              <w:t>Resolved.</w:t>
            </w:r>
            <w:r w:rsidRPr="00BE78CA">
              <w:rPr>
                <w:rFonts w:eastAsia="Calibri"/>
              </w:rPr>
              <w:t xml:space="preserve"> More information on the slaughter age of beef cattle assumption is</w:t>
            </w:r>
            <w:r w:rsidR="0055281A" w:rsidRPr="00BE78CA">
              <w:rPr>
                <w:rFonts w:eastAsia="Calibri"/>
              </w:rPr>
              <w:t> </w:t>
            </w:r>
            <w:r w:rsidRPr="00BE78CA">
              <w:rPr>
                <w:rFonts w:eastAsia="Calibri"/>
              </w:rPr>
              <w:t xml:space="preserve">provided in the NIR, in chapter 5, section 5.1.4 (Animal productivity data, Non-dairy </w:t>
            </w:r>
            <w:r w:rsidRPr="00BE78CA">
              <w:rPr>
                <w:rFonts w:eastAsia="Calibri"/>
                <w:i/>
                <w:iCs/>
              </w:rPr>
              <w:t>(beef)</w:t>
            </w:r>
            <w:r w:rsidRPr="00BE78CA">
              <w:rPr>
                <w:rFonts w:eastAsia="Calibri"/>
              </w:rPr>
              <w:t xml:space="preserve"> cattle).</w:t>
            </w:r>
          </w:p>
        </w:tc>
      </w:tr>
      <w:tr w:rsidR="007E0025" w:rsidRPr="00BE78CA" w14:paraId="4B363417" w14:textId="77777777" w:rsidTr="00BB5269">
        <w:tc>
          <w:tcPr>
            <w:tcW w:w="1813" w:type="dxa"/>
            <w:shd w:val="clear" w:color="auto" w:fill="FFFFFF"/>
            <w:tcMar>
              <w:top w:w="0" w:type="dxa"/>
              <w:left w:w="85" w:type="dxa"/>
              <w:bottom w:w="0" w:type="dxa"/>
              <w:right w:w="85" w:type="dxa"/>
            </w:tcMar>
          </w:tcPr>
          <w:p w14:paraId="6C81D5C1" w14:textId="77777777" w:rsidR="007E0025" w:rsidRPr="00BE78CA" w:rsidRDefault="007E0025" w:rsidP="00C26084">
            <w:pPr>
              <w:pStyle w:val="TableText"/>
            </w:pPr>
            <w:r w:rsidRPr="00BE78CA">
              <w:rPr>
                <w:rFonts w:eastAsia="Calibri" w:cs="Calibri"/>
                <w:color w:val="111111"/>
                <w:szCs w:val="16"/>
              </w:rPr>
              <w:t>Agriculture – 3.A.1 Cattle – CH</w:t>
            </w:r>
            <w:r w:rsidRPr="00BE78CA">
              <w:rPr>
                <w:rFonts w:eastAsia="Calibri" w:cs="Calibri"/>
                <w:color w:val="111111"/>
                <w:szCs w:val="16"/>
                <w:vertAlign w:val="subscript"/>
              </w:rPr>
              <w:t>4</w:t>
            </w:r>
          </w:p>
        </w:tc>
        <w:tc>
          <w:tcPr>
            <w:tcW w:w="907" w:type="dxa"/>
            <w:shd w:val="clear" w:color="auto" w:fill="FFFFFF"/>
            <w:tcMar>
              <w:top w:w="0" w:type="dxa"/>
              <w:left w:w="85" w:type="dxa"/>
              <w:bottom w:w="0" w:type="dxa"/>
              <w:right w:w="85" w:type="dxa"/>
            </w:tcMar>
          </w:tcPr>
          <w:p w14:paraId="4BF242FA" w14:textId="77777777" w:rsidR="007E0025" w:rsidRPr="00BE78CA" w:rsidRDefault="007E0025" w:rsidP="00C26084">
            <w:pPr>
              <w:pStyle w:val="TableText"/>
            </w:pPr>
            <w:r w:rsidRPr="00BE78CA">
              <w:rPr>
                <w:rFonts w:eastAsia="Calibri" w:cs="Calibri"/>
                <w:color w:val="111111"/>
                <w:szCs w:val="16"/>
              </w:rPr>
              <w:t>A.11, 2019</w:t>
            </w:r>
          </w:p>
        </w:tc>
        <w:tc>
          <w:tcPr>
            <w:tcW w:w="2784" w:type="dxa"/>
            <w:shd w:val="clear" w:color="auto" w:fill="FFFFFF"/>
            <w:tcMar>
              <w:top w:w="0" w:type="dxa"/>
              <w:left w:w="85" w:type="dxa"/>
              <w:bottom w:w="0" w:type="dxa"/>
              <w:right w:w="85" w:type="dxa"/>
            </w:tcMar>
          </w:tcPr>
          <w:p w14:paraId="28004005" w14:textId="77777777" w:rsidR="007E0025" w:rsidRPr="00BE78CA" w:rsidRDefault="007E0025" w:rsidP="00C26084">
            <w:pPr>
              <w:pStyle w:val="TableText"/>
            </w:pPr>
            <w:r w:rsidRPr="00BE78CA">
              <w:rPr>
                <w:rFonts w:eastAsia="Calibri" w:cs="Calibri"/>
                <w:color w:val="111111"/>
                <w:szCs w:val="16"/>
              </w:rPr>
              <w:t>To improve the transparency of the comparison between the country-specific CH</w:t>
            </w:r>
            <w:r w:rsidRPr="00BE78CA">
              <w:rPr>
                <w:rFonts w:eastAsia="Calibri" w:cs="Calibri"/>
                <w:color w:val="111111"/>
                <w:szCs w:val="16"/>
                <w:vertAlign w:val="subscript"/>
              </w:rPr>
              <w:t>4</w:t>
            </w:r>
            <w:r w:rsidRPr="00BE78CA">
              <w:rPr>
                <w:rFonts w:eastAsia="Calibri" w:cs="Calibri"/>
                <w:color w:val="111111"/>
                <w:szCs w:val="16"/>
              </w:rPr>
              <w:t xml:space="preserve"> EF and the IPCC default values, the ERT recommends that New Zealand report, in that comparison, the EF calculated for milking cows only.</w:t>
            </w:r>
          </w:p>
        </w:tc>
        <w:tc>
          <w:tcPr>
            <w:tcW w:w="2879" w:type="dxa"/>
            <w:shd w:val="clear" w:color="auto" w:fill="FFFFFF"/>
            <w:tcMar>
              <w:top w:w="0" w:type="dxa"/>
              <w:left w:w="85" w:type="dxa"/>
              <w:bottom w:w="0" w:type="dxa"/>
              <w:right w:w="85" w:type="dxa"/>
            </w:tcMar>
          </w:tcPr>
          <w:p w14:paraId="2CA4D96F" w14:textId="04A41657" w:rsidR="007E0025" w:rsidRPr="00BE78CA" w:rsidRDefault="007E0025" w:rsidP="00C26084">
            <w:pPr>
              <w:pStyle w:val="TableText"/>
            </w:pPr>
            <w:r w:rsidRPr="00BE78CA">
              <w:rPr>
                <w:rFonts w:eastAsia="Calibri"/>
                <w:b/>
                <w:bCs/>
              </w:rPr>
              <w:t>Resolved.</w:t>
            </w:r>
            <w:r w:rsidRPr="00BE78CA">
              <w:rPr>
                <w:rFonts w:eastAsia="Calibri"/>
              </w:rPr>
              <w:t xml:space="preserve"> Information on the IEF for mature milking dairy cattle only has been</w:t>
            </w:r>
            <w:r w:rsidR="0055281A" w:rsidRPr="00BE78CA">
              <w:rPr>
                <w:rFonts w:eastAsia="Calibri"/>
              </w:rPr>
              <w:t> </w:t>
            </w:r>
            <w:r w:rsidRPr="00BE78CA">
              <w:rPr>
                <w:rFonts w:eastAsia="Calibri"/>
              </w:rPr>
              <w:t>provided in the NIR, in chapter 5, table 5.3.2.</w:t>
            </w:r>
          </w:p>
        </w:tc>
      </w:tr>
      <w:tr w:rsidR="007E0025" w:rsidRPr="00BE78CA" w14:paraId="6A14F314" w14:textId="77777777" w:rsidTr="00BB5269">
        <w:tc>
          <w:tcPr>
            <w:tcW w:w="1813" w:type="dxa"/>
            <w:shd w:val="clear" w:color="auto" w:fill="FFFFFF"/>
            <w:tcMar>
              <w:top w:w="0" w:type="dxa"/>
              <w:left w:w="85" w:type="dxa"/>
              <w:bottom w:w="0" w:type="dxa"/>
              <w:right w:w="85" w:type="dxa"/>
            </w:tcMar>
          </w:tcPr>
          <w:p w14:paraId="79793C1B" w14:textId="77777777" w:rsidR="007E0025" w:rsidRPr="00BE78CA" w:rsidRDefault="007E0025" w:rsidP="00A27698">
            <w:pPr>
              <w:pStyle w:val="TableText"/>
              <w:keepNext/>
            </w:pPr>
            <w:r w:rsidRPr="00BE78CA">
              <w:rPr>
                <w:rFonts w:eastAsia="Calibri" w:cs="Calibri"/>
                <w:color w:val="111111"/>
                <w:szCs w:val="16"/>
              </w:rPr>
              <w:lastRenderedPageBreak/>
              <w:t>Agriculture – 3.A.2 Sheep – CH</w:t>
            </w:r>
            <w:r w:rsidRPr="00BE78CA">
              <w:rPr>
                <w:rFonts w:eastAsia="Calibri" w:cs="Calibri"/>
                <w:color w:val="111111"/>
                <w:szCs w:val="16"/>
                <w:vertAlign w:val="subscript"/>
              </w:rPr>
              <w:t>4</w:t>
            </w:r>
          </w:p>
        </w:tc>
        <w:tc>
          <w:tcPr>
            <w:tcW w:w="907" w:type="dxa"/>
            <w:shd w:val="clear" w:color="auto" w:fill="FFFFFF"/>
            <w:tcMar>
              <w:top w:w="0" w:type="dxa"/>
              <w:left w:w="85" w:type="dxa"/>
              <w:bottom w:w="0" w:type="dxa"/>
              <w:right w:w="85" w:type="dxa"/>
            </w:tcMar>
          </w:tcPr>
          <w:p w14:paraId="3B03CB46" w14:textId="77777777" w:rsidR="007E0025" w:rsidRPr="00BE78CA" w:rsidRDefault="007E0025" w:rsidP="00C26084">
            <w:pPr>
              <w:pStyle w:val="TableText"/>
            </w:pPr>
            <w:r w:rsidRPr="00BE78CA">
              <w:rPr>
                <w:rFonts w:eastAsia="Calibri" w:cs="Calibri"/>
                <w:color w:val="111111"/>
                <w:szCs w:val="16"/>
              </w:rPr>
              <w:t>A.12, 2019</w:t>
            </w:r>
          </w:p>
        </w:tc>
        <w:tc>
          <w:tcPr>
            <w:tcW w:w="2784" w:type="dxa"/>
            <w:shd w:val="clear" w:color="auto" w:fill="FFFFFF"/>
            <w:tcMar>
              <w:top w:w="0" w:type="dxa"/>
              <w:left w:w="85" w:type="dxa"/>
              <w:bottom w:w="0" w:type="dxa"/>
              <w:right w:w="85" w:type="dxa"/>
            </w:tcMar>
          </w:tcPr>
          <w:p w14:paraId="1B9A12D3" w14:textId="77777777" w:rsidR="007E0025" w:rsidRPr="00BE78CA" w:rsidRDefault="007E0025" w:rsidP="00C26084">
            <w:pPr>
              <w:pStyle w:val="TableText"/>
            </w:pPr>
            <w:r w:rsidRPr="00BE78CA">
              <w:rPr>
                <w:rFonts w:eastAsia="Calibri" w:cs="Calibri"/>
                <w:color w:val="111111"/>
                <w:szCs w:val="16"/>
              </w:rPr>
              <w:t>The ERT recommends that New Zealand correct the reference to the population of sheep older than one year in the equation describing the method used to estimate emissions from enteric fermentation for sheep of less than one year of age reported in the NIR (p.172).</w:t>
            </w:r>
          </w:p>
        </w:tc>
        <w:tc>
          <w:tcPr>
            <w:tcW w:w="2879" w:type="dxa"/>
            <w:shd w:val="clear" w:color="auto" w:fill="FFFFFF"/>
            <w:tcMar>
              <w:top w:w="0" w:type="dxa"/>
              <w:left w:w="85" w:type="dxa"/>
              <w:bottom w:w="0" w:type="dxa"/>
              <w:right w:w="85" w:type="dxa"/>
            </w:tcMar>
          </w:tcPr>
          <w:p w14:paraId="00D0ECB1" w14:textId="77777777" w:rsidR="007E0025" w:rsidRPr="00BE78CA" w:rsidRDefault="007E0025" w:rsidP="00C26084">
            <w:pPr>
              <w:pStyle w:val="TableText"/>
            </w:pPr>
            <w:r w:rsidRPr="00BE78CA">
              <w:rPr>
                <w:rFonts w:eastAsia="Calibri"/>
                <w:b/>
                <w:bCs/>
              </w:rPr>
              <w:t>Resolved.</w:t>
            </w:r>
            <w:r w:rsidRPr="00BE78CA">
              <w:rPr>
                <w:rFonts w:eastAsia="Calibri"/>
              </w:rPr>
              <w:t xml:space="preserve"> These equations (in chapter 5, section 5.2.2) have been corrected.</w:t>
            </w:r>
          </w:p>
        </w:tc>
      </w:tr>
      <w:tr w:rsidR="007E0025" w:rsidRPr="00BE78CA" w14:paraId="55BE28A0" w14:textId="77777777" w:rsidTr="00BB5269">
        <w:tc>
          <w:tcPr>
            <w:tcW w:w="1813" w:type="dxa"/>
            <w:shd w:val="clear" w:color="auto" w:fill="FFFFFF"/>
            <w:tcMar>
              <w:top w:w="0" w:type="dxa"/>
              <w:left w:w="85" w:type="dxa"/>
              <w:bottom w:w="0" w:type="dxa"/>
              <w:right w:w="85" w:type="dxa"/>
            </w:tcMar>
          </w:tcPr>
          <w:p w14:paraId="40BE299F" w14:textId="77777777" w:rsidR="007E0025" w:rsidRPr="00BE78CA" w:rsidRDefault="007E0025" w:rsidP="00C26084">
            <w:pPr>
              <w:pStyle w:val="TableText"/>
            </w:pPr>
            <w:r w:rsidRPr="00BE78CA">
              <w:rPr>
                <w:rFonts w:eastAsia="Calibri" w:cs="Calibri"/>
                <w:color w:val="111111"/>
                <w:szCs w:val="16"/>
              </w:rPr>
              <w:t>Agriculture – 3.2.4 Other livestock – CH</w:t>
            </w:r>
            <w:r w:rsidRPr="00BE78CA">
              <w:rPr>
                <w:rFonts w:eastAsia="Calibri" w:cs="Calibri"/>
                <w:color w:val="111111"/>
                <w:szCs w:val="16"/>
                <w:vertAlign w:val="subscript"/>
              </w:rPr>
              <w:t>4</w:t>
            </w:r>
          </w:p>
        </w:tc>
        <w:tc>
          <w:tcPr>
            <w:tcW w:w="907" w:type="dxa"/>
            <w:shd w:val="clear" w:color="auto" w:fill="FFFFFF"/>
            <w:tcMar>
              <w:top w:w="0" w:type="dxa"/>
              <w:left w:w="85" w:type="dxa"/>
              <w:bottom w:w="0" w:type="dxa"/>
              <w:right w:w="85" w:type="dxa"/>
            </w:tcMar>
          </w:tcPr>
          <w:p w14:paraId="5A4F9885" w14:textId="77777777" w:rsidR="007E0025" w:rsidRPr="00BE78CA" w:rsidRDefault="007E0025" w:rsidP="00C26084">
            <w:pPr>
              <w:pStyle w:val="TableText"/>
            </w:pPr>
            <w:r w:rsidRPr="00BE78CA">
              <w:rPr>
                <w:rFonts w:eastAsia="Calibri" w:cs="Calibri"/>
                <w:color w:val="111111"/>
                <w:szCs w:val="16"/>
              </w:rPr>
              <w:t>A.13, 2019</w:t>
            </w:r>
          </w:p>
        </w:tc>
        <w:tc>
          <w:tcPr>
            <w:tcW w:w="2784" w:type="dxa"/>
            <w:shd w:val="clear" w:color="auto" w:fill="FFFFFF"/>
            <w:tcMar>
              <w:top w:w="0" w:type="dxa"/>
              <w:left w:w="85" w:type="dxa"/>
              <w:bottom w:w="0" w:type="dxa"/>
              <w:right w:w="85" w:type="dxa"/>
            </w:tcMar>
          </w:tcPr>
          <w:p w14:paraId="3A9B0567" w14:textId="77777777" w:rsidR="007E0025" w:rsidRPr="00BE78CA" w:rsidRDefault="007E0025" w:rsidP="00C26084">
            <w:pPr>
              <w:pStyle w:val="TableText"/>
            </w:pPr>
            <w:r w:rsidRPr="00BE78CA">
              <w:rPr>
                <w:rFonts w:eastAsia="Calibri" w:cs="Calibri"/>
                <w:color w:val="111111"/>
                <w:szCs w:val="16"/>
              </w:rPr>
              <w:t>The ERT recommends that New Zealand implement the planned methodological changes regarding revising the assumptions about the population of dairy goats and the total goat population, recalculate the emissions and explain them in the NIR.</w:t>
            </w:r>
          </w:p>
        </w:tc>
        <w:tc>
          <w:tcPr>
            <w:tcW w:w="2879" w:type="dxa"/>
            <w:shd w:val="clear" w:color="auto" w:fill="FFFFFF"/>
            <w:tcMar>
              <w:top w:w="0" w:type="dxa"/>
              <w:left w:w="85" w:type="dxa"/>
              <w:bottom w:w="0" w:type="dxa"/>
              <w:right w:w="85" w:type="dxa"/>
            </w:tcMar>
          </w:tcPr>
          <w:p w14:paraId="682B0726" w14:textId="77777777" w:rsidR="007E0025" w:rsidRPr="00BE78CA" w:rsidRDefault="007E0025" w:rsidP="00C26084">
            <w:pPr>
              <w:pStyle w:val="TableText"/>
            </w:pPr>
            <w:r w:rsidRPr="00BE78CA">
              <w:rPr>
                <w:rFonts w:eastAsia="Calibri"/>
                <w:b/>
                <w:bCs/>
              </w:rPr>
              <w:t>Resolved.</w:t>
            </w:r>
            <w:r w:rsidRPr="00BE78CA">
              <w:rPr>
                <w:rFonts w:eastAsia="Calibri"/>
              </w:rPr>
              <w:t xml:space="preserve"> Revised estimates of the dairy goat population are used in the 2020 inventory, but further changes were not implemented following advice from the Agricultural Inventory Advisory Panel. For more information, see the minutes from the 2019 Agriculture Inventory Advisory Panel meeting (</w:t>
            </w:r>
            <w:hyperlink r:id="rId274" w:history="1">
              <w:r w:rsidRPr="00BE78CA">
                <w:rPr>
                  <w:rStyle w:val="Hyperlink"/>
                  <w:rFonts w:eastAsia="Calibri" w:cs="Calibri"/>
                  <w:szCs w:val="16"/>
                </w:rPr>
                <w:t>www.mpi.govt.nz/science/open-data-and-forecasting/greenhouse-gas-reporting/agricultural-inventory-advisory-panel/2019-agricultural-inventory-advisory-panel-meeting</w:t>
              </w:r>
            </w:hyperlink>
            <w:r w:rsidRPr="00BE78CA">
              <w:rPr>
                <w:rFonts w:eastAsia="Calibri"/>
              </w:rPr>
              <w:t>).</w:t>
            </w:r>
          </w:p>
        </w:tc>
      </w:tr>
      <w:tr w:rsidR="007E0025" w:rsidRPr="00BE78CA" w14:paraId="6E461B11" w14:textId="77777777" w:rsidTr="00BB5269">
        <w:tc>
          <w:tcPr>
            <w:tcW w:w="1813" w:type="dxa"/>
            <w:shd w:val="clear" w:color="auto" w:fill="FFFFFF"/>
            <w:tcMar>
              <w:top w:w="0" w:type="dxa"/>
              <w:left w:w="85" w:type="dxa"/>
              <w:bottom w:w="0" w:type="dxa"/>
              <w:right w:w="85" w:type="dxa"/>
            </w:tcMar>
          </w:tcPr>
          <w:p w14:paraId="7B296A92" w14:textId="77777777" w:rsidR="007E0025" w:rsidRPr="00BE78CA" w:rsidRDefault="007E0025" w:rsidP="00C26084">
            <w:pPr>
              <w:pStyle w:val="TableText"/>
            </w:pPr>
            <w:r w:rsidRPr="00BE78CA">
              <w:rPr>
                <w:rFonts w:eastAsia="Calibri" w:cs="Calibri"/>
                <w:color w:val="111111"/>
                <w:szCs w:val="16"/>
              </w:rPr>
              <w:t>Agriculture – 3.B Manure management – CH</w:t>
            </w:r>
            <w:r w:rsidRPr="00BE78CA">
              <w:rPr>
                <w:rFonts w:eastAsia="Calibri" w:cs="Calibri"/>
                <w:color w:val="111111"/>
                <w:szCs w:val="16"/>
                <w:vertAlign w:val="subscript"/>
              </w:rPr>
              <w:t>4</w:t>
            </w:r>
            <w:r w:rsidRPr="00BE78CA">
              <w:rPr>
                <w:rFonts w:eastAsia="Calibri" w:cs="Calibri"/>
                <w:color w:val="111111"/>
                <w:szCs w:val="16"/>
              </w:rPr>
              <w:t xml:space="preserve"> and N</w:t>
            </w:r>
            <w:r w:rsidRPr="00BE78CA">
              <w:rPr>
                <w:rFonts w:eastAsia="Calibri" w:cs="Calibri"/>
                <w:color w:val="111111"/>
                <w:szCs w:val="16"/>
                <w:vertAlign w:val="subscript"/>
              </w:rPr>
              <w:t>2</w:t>
            </w:r>
            <w:r w:rsidRPr="00BE78CA">
              <w:rPr>
                <w:rFonts w:eastAsia="Calibri" w:cs="Calibri"/>
                <w:color w:val="111111"/>
                <w:szCs w:val="16"/>
              </w:rPr>
              <w:t>O</w:t>
            </w:r>
          </w:p>
        </w:tc>
        <w:tc>
          <w:tcPr>
            <w:tcW w:w="907" w:type="dxa"/>
            <w:shd w:val="clear" w:color="auto" w:fill="FFFFFF"/>
            <w:tcMar>
              <w:top w:w="0" w:type="dxa"/>
              <w:left w:w="85" w:type="dxa"/>
              <w:bottom w:w="0" w:type="dxa"/>
              <w:right w:w="85" w:type="dxa"/>
            </w:tcMar>
          </w:tcPr>
          <w:p w14:paraId="7EEA6B2E" w14:textId="77777777" w:rsidR="007E0025" w:rsidRPr="00BE78CA" w:rsidRDefault="007E0025" w:rsidP="00C26084">
            <w:pPr>
              <w:pStyle w:val="TableText"/>
            </w:pPr>
            <w:r w:rsidRPr="00BE78CA">
              <w:rPr>
                <w:rFonts w:eastAsia="Calibri" w:cs="Calibri"/>
                <w:color w:val="111111"/>
                <w:szCs w:val="16"/>
              </w:rPr>
              <w:t>A.14, 2019</w:t>
            </w:r>
          </w:p>
        </w:tc>
        <w:tc>
          <w:tcPr>
            <w:tcW w:w="2784" w:type="dxa"/>
            <w:shd w:val="clear" w:color="auto" w:fill="FFFFFF"/>
            <w:tcMar>
              <w:top w:w="0" w:type="dxa"/>
              <w:left w:w="85" w:type="dxa"/>
              <w:bottom w:w="0" w:type="dxa"/>
              <w:right w:w="85" w:type="dxa"/>
            </w:tcMar>
          </w:tcPr>
          <w:p w14:paraId="021EC591" w14:textId="77777777" w:rsidR="007E0025" w:rsidRPr="00BE78CA" w:rsidRDefault="007E0025" w:rsidP="00C26084">
            <w:pPr>
              <w:pStyle w:val="TableText"/>
            </w:pPr>
            <w:r w:rsidRPr="00BE78CA">
              <w:rPr>
                <w:rFonts w:eastAsia="Calibri" w:cs="Calibri"/>
                <w:color w:val="111111"/>
                <w:szCs w:val="16"/>
              </w:rPr>
              <w:t>The ERT recommends that New Zealand correct the references to CRF tables on pages 180 and 182 of the NIR to read “Methane from manure management systems (CRF table 3.B(a))” and “Nitrous oxide from manure management systems (CRF table 3.B(b))”.</w:t>
            </w:r>
          </w:p>
        </w:tc>
        <w:tc>
          <w:tcPr>
            <w:tcW w:w="2879" w:type="dxa"/>
            <w:shd w:val="clear" w:color="auto" w:fill="FFFFFF"/>
            <w:tcMar>
              <w:top w:w="0" w:type="dxa"/>
              <w:left w:w="85" w:type="dxa"/>
              <w:bottom w:w="0" w:type="dxa"/>
              <w:right w:w="85" w:type="dxa"/>
            </w:tcMar>
          </w:tcPr>
          <w:p w14:paraId="718DF6E8" w14:textId="77777777" w:rsidR="007E0025" w:rsidRPr="00BE78CA" w:rsidRDefault="007E0025" w:rsidP="00C26084">
            <w:pPr>
              <w:pStyle w:val="TableText"/>
            </w:pPr>
            <w:r w:rsidRPr="00BE78CA">
              <w:rPr>
                <w:rFonts w:eastAsia="Calibri"/>
                <w:b/>
                <w:bCs/>
              </w:rPr>
              <w:t xml:space="preserve">Resolved. </w:t>
            </w:r>
            <w:r w:rsidRPr="00BE78CA">
              <w:rPr>
                <w:rFonts w:eastAsia="Calibri"/>
              </w:rPr>
              <w:t>The section titles (see chapter 5, section 5.3.2) have been changed.</w:t>
            </w:r>
          </w:p>
        </w:tc>
      </w:tr>
      <w:tr w:rsidR="007E0025" w:rsidRPr="00BE78CA" w14:paraId="5F287FFE" w14:textId="77777777" w:rsidTr="00BB5269">
        <w:tc>
          <w:tcPr>
            <w:tcW w:w="1813" w:type="dxa"/>
            <w:shd w:val="clear" w:color="auto" w:fill="FFFFFF"/>
            <w:tcMar>
              <w:top w:w="0" w:type="dxa"/>
              <w:left w:w="85" w:type="dxa"/>
              <w:bottom w:w="0" w:type="dxa"/>
              <w:right w:w="85" w:type="dxa"/>
            </w:tcMar>
          </w:tcPr>
          <w:p w14:paraId="1289449A" w14:textId="77777777" w:rsidR="007E0025" w:rsidRPr="00BE78CA" w:rsidRDefault="007E0025" w:rsidP="00C26084">
            <w:pPr>
              <w:pStyle w:val="TableText"/>
            </w:pPr>
            <w:r w:rsidRPr="00BE78CA">
              <w:rPr>
                <w:rFonts w:eastAsia="Calibri" w:cs="Calibri"/>
                <w:color w:val="111111"/>
                <w:szCs w:val="16"/>
              </w:rPr>
              <w:t>Agriculture – 3.B Manure management – N</w:t>
            </w:r>
            <w:r w:rsidRPr="00BE78CA">
              <w:rPr>
                <w:rFonts w:eastAsia="Calibri" w:cs="Calibri"/>
                <w:color w:val="111111"/>
                <w:szCs w:val="16"/>
                <w:vertAlign w:val="subscript"/>
              </w:rPr>
              <w:t>2</w:t>
            </w:r>
            <w:r w:rsidRPr="00BE78CA">
              <w:rPr>
                <w:rFonts w:eastAsia="Calibri" w:cs="Calibri"/>
                <w:color w:val="111111"/>
                <w:szCs w:val="16"/>
              </w:rPr>
              <w:t>O</w:t>
            </w:r>
          </w:p>
        </w:tc>
        <w:tc>
          <w:tcPr>
            <w:tcW w:w="907" w:type="dxa"/>
            <w:shd w:val="clear" w:color="auto" w:fill="FFFFFF"/>
            <w:tcMar>
              <w:top w:w="0" w:type="dxa"/>
              <w:left w:w="85" w:type="dxa"/>
              <w:bottom w:w="0" w:type="dxa"/>
              <w:right w:w="85" w:type="dxa"/>
            </w:tcMar>
          </w:tcPr>
          <w:p w14:paraId="3719914D" w14:textId="77777777" w:rsidR="007E0025" w:rsidRPr="00BE78CA" w:rsidRDefault="007E0025" w:rsidP="00C26084">
            <w:pPr>
              <w:pStyle w:val="TableText"/>
            </w:pPr>
            <w:r w:rsidRPr="00BE78CA">
              <w:rPr>
                <w:rFonts w:eastAsia="Calibri" w:cs="Calibri"/>
                <w:color w:val="111111"/>
                <w:szCs w:val="16"/>
              </w:rPr>
              <w:t>A.15, 2019</w:t>
            </w:r>
          </w:p>
        </w:tc>
        <w:tc>
          <w:tcPr>
            <w:tcW w:w="2784" w:type="dxa"/>
            <w:shd w:val="clear" w:color="auto" w:fill="FFFFFF"/>
            <w:tcMar>
              <w:top w:w="0" w:type="dxa"/>
              <w:left w:w="85" w:type="dxa"/>
              <w:bottom w:w="0" w:type="dxa"/>
              <w:right w:w="85" w:type="dxa"/>
            </w:tcMar>
          </w:tcPr>
          <w:p w14:paraId="6AE80A24" w14:textId="77777777" w:rsidR="007E0025" w:rsidRPr="00BE78CA" w:rsidRDefault="007E0025" w:rsidP="00C26084">
            <w:pPr>
              <w:pStyle w:val="TableText"/>
            </w:pPr>
            <w:r w:rsidRPr="00BE78CA">
              <w:rPr>
                <w:rFonts w:eastAsia="Calibri" w:cs="Calibri"/>
                <w:color w:val="111111"/>
                <w:szCs w:val="16"/>
              </w:rPr>
              <w:t>The ERT recommends that New Zealand review the N intake for dairy cattle, non-dairy cattle, sheep and deer to check if it is still applicable to the most recent years of the time series and, if necessary, revise its estimates.</w:t>
            </w:r>
          </w:p>
        </w:tc>
        <w:tc>
          <w:tcPr>
            <w:tcW w:w="2879" w:type="dxa"/>
            <w:shd w:val="clear" w:color="auto" w:fill="FFFFFF"/>
            <w:tcMar>
              <w:top w:w="0" w:type="dxa"/>
              <w:left w:w="85" w:type="dxa"/>
              <w:bottom w:w="0" w:type="dxa"/>
              <w:right w:w="85" w:type="dxa"/>
            </w:tcMar>
          </w:tcPr>
          <w:p w14:paraId="62D9F8BE" w14:textId="77777777" w:rsidR="007E0025" w:rsidRPr="00BE78CA" w:rsidRDefault="007E0025" w:rsidP="00C26084">
            <w:pPr>
              <w:pStyle w:val="TableText"/>
            </w:pPr>
            <w:r w:rsidRPr="00BE78CA">
              <w:rPr>
                <w:rFonts w:eastAsia="Calibri"/>
                <w:b/>
                <w:bCs/>
              </w:rPr>
              <w:t>Resolved.</w:t>
            </w:r>
            <w:r w:rsidRPr="00BE78CA">
              <w:rPr>
                <w:rFonts w:eastAsia="Calibri"/>
              </w:rPr>
              <w:t xml:space="preserve"> Updated pasture quality values have been included in the 2021 inventory. For more information see section 10.1.3 of this chapter.</w:t>
            </w:r>
          </w:p>
        </w:tc>
      </w:tr>
      <w:tr w:rsidR="007E0025" w:rsidRPr="00BE78CA" w14:paraId="241CE338" w14:textId="77777777" w:rsidTr="00BB5269">
        <w:tc>
          <w:tcPr>
            <w:tcW w:w="1813" w:type="dxa"/>
            <w:shd w:val="clear" w:color="auto" w:fill="FFFFFF"/>
            <w:tcMar>
              <w:top w:w="0" w:type="dxa"/>
              <w:left w:w="85" w:type="dxa"/>
              <w:bottom w:w="0" w:type="dxa"/>
              <w:right w:w="85" w:type="dxa"/>
            </w:tcMar>
          </w:tcPr>
          <w:p w14:paraId="2FC30D7D" w14:textId="77777777" w:rsidR="007E0025" w:rsidRPr="00BE78CA" w:rsidRDefault="007E0025" w:rsidP="00C26084">
            <w:pPr>
              <w:pStyle w:val="TableText"/>
            </w:pPr>
            <w:r w:rsidRPr="00BE78CA">
              <w:rPr>
                <w:rFonts w:eastAsia="Calibri" w:cs="Calibri"/>
                <w:color w:val="111111"/>
                <w:szCs w:val="16"/>
              </w:rPr>
              <w:t>Agriculture – 3.B.4 Other livestock (deer) – CH</w:t>
            </w:r>
            <w:r w:rsidRPr="00BE78CA">
              <w:rPr>
                <w:rFonts w:eastAsia="Calibri" w:cs="Calibri"/>
                <w:color w:val="111111"/>
                <w:szCs w:val="16"/>
                <w:vertAlign w:val="subscript"/>
              </w:rPr>
              <w:t>4</w:t>
            </w:r>
          </w:p>
        </w:tc>
        <w:tc>
          <w:tcPr>
            <w:tcW w:w="907" w:type="dxa"/>
            <w:shd w:val="clear" w:color="auto" w:fill="FFFFFF"/>
            <w:tcMar>
              <w:top w:w="0" w:type="dxa"/>
              <w:left w:w="85" w:type="dxa"/>
              <w:bottom w:w="0" w:type="dxa"/>
              <w:right w:w="85" w:type="dxa"/>
            </w:tcMar>
          </w:tcPr>
          <w:p w14:paraId="68E9428F" w14:textId="77777777" w:rsidR="007E0025" w:rsidRPr="00BE78CA" w:rsidRDefault="007E0025" w:rsidP="00C26084">
            <w:pPr>
              <w:pStyle w:val="TableText"/>
            </w:pPr>
            <w:r w:rsidRPr="00BE78CA">
              <w:rPr>
                <w:rFonts w:eastAsia="Calibri" w:cs="Calibri"/>
                <w:color w:val="111111"/>
                <w:szCs w:val="16"/>
              </w:rPr>
              <w:t>A.16, 2019</w:t>
            </w:r>
          </w:p>
        </w:tc>
        <w:tc>
          <w:tcPr>
            <w:tcW w:w="2784" w:type="dxa"/>
            <w:shd w:val="clear" w:color="auto" w:fill="FFFFFF"/>
            <w:tcMar>
              <w:top w:w="0" w:type="dxa"/>
              <w:left w:w="85" w:type="dxa"/>
              <w:bottom w:w="0" w:type="dxa"/>
              <w:right w:w="85" w:type="dxa"/>
            </w:tcMar>
          </w:tcPr>
          <w:p w14:paraId="57AB5318" w14:textId="77777777" w:rsidR="007E0025" w:rsidRPr="00BE78CA" w:rsidRDefault="007E0025" w:rsidP="00C26084">
            <w:pPr>
              <w:pStyle w:val="TableText"/>
            </w:pPr>
            <w:r w:rsidRPr="00BE78CA">
              <w:rPr>
                <w:rFonts w:eastAsia="Calibri" w:cs="Calibri"/>
                <w:color w:val="111111"/>
                <w:szCs w:val="16"/>
              </w:rPr>
              <w:t>The ERT recommends that New Zealand revise the calculation procedures for the CH</w:t>
            </w:r>
            <w:r w:rsidRPr="00BE78CA">
              <w:rPr>
                <w:rFonts w:eastAsia="Calibri" w:cs="Calibri"/>
                <w:color w:val="111111"/>
                <w:szCs w:val="16"/>
                <w:vertAlign w:val="subscript"/>
              </w:rPr>
              <w:t>4</w:t>
            </w:r>
            <w:r w:rsidRPr="00BE78CA">
              <w:rPr>
                <w:rFonts w:eastAsia="Calibri" w:cs="Calibri"/>
                <w:color w:val="111111"/>
                <w:szCs w:val="16"/>
              </w:rPr>
              <w:t xml:space="preserve"> EF for deer and explain the revisions in the NIR. If the Party continues to use three studies from 2003 as the basis for its calculation, the ERT recommends that the Party (1) consider using a more appropriate average value than a simple arithmetic average, such as a weighted average, to estimate the CH</w:t>
            </w:r>
            <w:r w:rsidRPr="00BE78CA">
              <w:rPr>
                <w:rFonts w:eastAsia="Calibri" w:cs="Calibri"/>
                <w:color w:val="111111"/>
                <w:szCs w:val="16"/>
                <w:vertAlign w:val="subscript"/>
              </w:rPr>
              <w:t>4</w:t>
            </w:r>
            <w:r w:rsidRPr="00BE78CA">
              <w:rPr>
                <w:rFonts w:eastAsia="Calibri" w:cs="Calibri"/>
                <w:color w:val="111111"/>
                <w:szCs w:val="16"/>
              </w:rPr>
              <w:t xml:space="preserve"> EF for deer; and (2) justify that the obtained value is more appropriate that the IPCC default value.</w:t>
            </w:r>
          </w:p>
        </w:tc>
        <w:tc>
          <w:tcPr>
            <w:tcW w:w="2879" w:type="dxa"/>
            <w:shd w:val="clear" w:color="auto" w:fill="FFFFFF"/>
            <w:tcMar>
              <w:top w:w="0" w:type="dxa"/>
              <w:left w:w="85" w:type="dxa"/>
              <w:bottom w:w="0" w:type="dxa"/>
              <w:right w:w="85" w:type="dxa"/>
            </w:tcMar>
          </w:tcPr>
          <w:p w14:paraId="629FB62E" w14:textId="77777777" w:rsidR="007E0025" w:rsidRPr="00BE78CA" w:rsidRDefault="007E0025" w:rsidP="00C26084">
            <w:pPr>
              <w:pStyle w:val="TableText"/>
            </w:pPr>
            <w:r w:rsidRPr="00BE78CA">
              <w:rPr>
                <w:rFonts w:eastAsia="Calibri"/>
                <w:b/>
                <w:bCs/>
              </w:rPr>
              <w:t>Addressing.</w:t>
            </w:r>
            <w:r w:rsidRPr="00BE78CA">
              <w:rPr>
                <w:rFonts w:eastAsia="Calibri"/>
              </w:rPr>
              <w:t xml:space="preserve"> Additional information on the calculation of CH</w:t>
            </w:r>
            <w:r w:rsidRPr="00BE78CA">
              <w:rPr>
                <w:rFonts w:eastAsia="Calibri"/>
                <w:vertAlign w:val="subscript"/>
              </w:rPr>
              <w:t>4</w:t>
            </w:r>
            <w:r w:rsidRPr="00BE78CA">
              <w:rPr>
                <w:rFonts w:eastAsia="Calibri"/>
              </w:rPr>
              <w:t xml:space="preserve"> emissions from deer manure has been added in chapter 5, section 5.3.2 of the NIR (under Methane emissions from the major livestock categories – Deer). It is intended to review the calculation procedures for the calculation of the EF for manure CH</w:t>
            </w:r>
            <w:r w:rsidRPr="00BE78CA">
              <w:rPr>
                <w:rFonts w:eastAsia="Calibri"/>
                <w:vertAlign w:val="subscript"/>
              </w:rPr>
              <w:t>4</w:t>
            </w:r>
            <w:r w:rsidRPr="00BE78CA">
              <w:rPr>
                <w:rFonts w:eastAsia="Calibri"/>
              </w:rPr>
              <w:t xml:space="preserve"> for deer, and updates will be provided in future inventory reports.</w:t>
            </w:r>
          </w:p>
        </w:tc>
      </w:tr>
      <w:tr w:rsidR="007E0025" w:rsidRPr="00BE78CA" w14:paraId="61E16A82" w14:textId="77777777" w:rsidTr="00BB5269">
        <w:tc>
          <w:tcPr>
            <w:tcW w:w="1813" w:type="dxa"/>
            <w:shd w:val="clear" w:color="auto" w:fill="FFFFFF"/>
            <w:tcMar>
              <w:top w:w="0" w:type="dxa"/>
              <w:left w:w="85" w:type="dxa"/>
              <w:bottom w:w="0" w:type="dxa"/>
              <w:right w:w="85" w:type="dxa"/>
            </w:tcMar>
          </w:tcPr>
          <w:p w14:paraId="0345B363" w14:textId="77777777" w:rsidR="007E0025" w:rsidRPr="00BE78CA" w:rsidRDefault="007E0025" w:rsidP="00C26084">
            <w:pPr>
              <w:pStyle w:val="TableText"/>
            </w:pPr>
            <w:r w:rsidRPr="00BE78CA">
              <w:rPr>
                <w:rFonts w:eastAsia="Calibri" w:cs="Calibri"/>
                <w:color w:val="111111"/>
                <w:szCs w:val="16"/>
              </w:rPr>
              <w:t>Agriculture – 3.D.a.1 Inorganic N fertilisers – N</w:t>
            </w:r>
            <w:r w:rsidRPr="00BE78CA">
              <w:rPr>
                <w:rFonts w:eastAsia="Calibri" w:cs="Calibri"/>
                <w:color w:val="111111"/>
                <w:szCs w:val="16"/>
                <w:vertAlign w:val="subscript"/>
              </w:rPr>
              <w:t>2</w:t>
            </w:r>
            <w:r w:rsidRPr="00BE78CA">
              <w:rPr>
                <w:rFonts w:eastAsia="Calibri" w:cs="Calibri"/>
                <w:color w:val="111111"/>
                <w:szCs w:val="16"/>
              </w:rPr>
              <w:t>O</w:t>
            </w:r>
          </w:p>
        </w:tc>
        <w:tc>
          <w:tcPr>
            <w:tcW w:w="907" w:type="dxa"/>
            <w:shd w:val="clear" w:color="auto" w:fill="FFFFFF"/>
            <w:tcMar>
              <w:top w:w="0" w:type="dxa"/>
              <w:left w:w="85" w:type="dxa"/>
              <w:bottom w:w="0" w:type="dxa"/>
              <w:right w:w="85" w:type="dxa"/>
            </w:tcMar>
          </w:tcPr>
          <w:p w14:paraId="23FFA0DA" w14:textId="77777777" w:rsidR="007E0025" w:rsidRPr="00BE78CA" w:rsidRDefault="007E0025" w:rsidP="00C26084">
            <w:pPr>
              <w:pStyle w:val="TableText"/>
            </w:pPr>
            <w:r w:rsidRPr="00BE78CA">
              <w:rPr>
                <w:rFonts w:eastAsia="Calibri" w:cs="Calibri"/>
                <w:color w:val="111111"/>
                <w:szCs w:val="16"/>
              </w:rPr>
              <w:t>A.17, 2019</w:t>
            </w:r>
          </w:p>
        </w:tc>
        <w:tc>
          <w:tcPr>
            <w:tcW w:w="2784" w:type="dxa"/>
            <w:shd w:val="clear" w:color="auto" w:fill="FFFFFF"/>
            <w:tcMar>
              <w:top w:w="0" w:type="dxa"/>
              <w:left w:w="85" w:type="dxa"/>
              <w:bottom w:w="0" w:type="dxa"/>
              <w:right w:w="85" w:type="dxa"/>
            </w:tcMar>
          </w:tcPr>
          <w:p w14:paraId="20CA9468" w14:textId="77777777" w:rsidR="007E0025" w:rsidRPr="00BE78CA" w:rsidRDefault="007E0025" w:rsidP="00C26084">
            <w:pPr>
              <w:pStyle w:val="TableText"/>
            </w:pPr>
            <w:r w:rsidRPr="00BE78CA">
              <w:rPr>
                <w:rFonts w:eastAsia="Calibri" w:cs="Calibri"/>
                <w:color w:val="111111"/>
                <w:szCs w:val="16"/>
              </w:rPr>
              <w:t>The ERT recommends that New Zealand explain in more detail in the NIR how the country-specific N</w:t>
            </w:r>
            <w:r w:rsidRPr="00BE78CA">
              <w:rPr>
                <w:rFonts w:eastAsia="Calibri" w:cs="Calibri"/>
                <w:color w:val="111111"/>
                <w:szCs w:val="16"/>
                <w:vertAlign w:val="subscript"/>
              </w:rPr>
              <w:t>2</w:t>
            </w:r>
            <w:r w:rsidRPr="00BE78CA">
              <w:rPr>
                <w:rFonts w:eastAsia="Calibri" w:cs="Calibri"/>
                <w:color w:val="111111"/>
                <w:szCs w:val="16"/>
              </w:rPr>
              <w:t>O EF for urea was obtained by including a reference to the report that forms the basis for country-specific values (0.0059 and 0.01 kg N</w:t>
            </w:r>
            <w:r w:rsidRPr="00BE78CA">
              <w:rPr>
                <w:rFonts w:eastAsia="Calibri" w:cs="Calibri"/>
                <w:color w:val="111111"/>
                <w:szCs w:val="16"/>
                <w:vertAlign w:val="subscript"/>
              </w:rPr>
              <w:t>2</w:t>
            </w:r>
            <w:r w:rsidRPr="00BE78CA">
              <w:rPr>
                <w:rFonts w:eastAsia="Calibri" w:cs="Calibri"/>
                <w:color w:val="111111"/>
                <w:szCs w:val="16"/>
              </w:rPr>
              <w:t>O-N/kg N for urea and other synthetic fertilizer, respectively) and summarizing how the Agricultural Inventory Advisory Panel endorsed its application to the inventory.</w:t>
            </w:r>
          </w:p>
        </w:tc>
        <w:tc>
          <w:tcPr>
            <w:tcW w:w="2879" w:type="dxa"/>
            <w:shd w:val="clear" w:color="auto" w:fill="FFFFFF"/>
            <w:tcMar>
              <w:top w:w="0" w:type="dxa"/>
              <w:left w:w="85" w:type="dxa"/>
              <w:bottom w:w="0" w:type="dxa"/>
              <w:right w:w="85" w:type="dxa"/>
            </w:tcMar>
          </w:tcPr>
          <w:p w14:paraId="16AC0FA8" w14:textId="77777777" w:rsidR="007E0025" w:rsidRPr="00BE78CA" w:rsidRDefault="007E0025" w:rsidP="00C26084">
            <w:pPr>
              <w:pStyle w:val="TableText"/>
            </w:pPr>
            <w:r w:rsidRPr="00BE78CA">
              <w:rPr>
                <w:rFonts w:eastAsia="Calibri"/>
                <w:b/>
                <w:bCs/>
              </w:rPr>
              <w:t>Resolved.</w:t>
            </w:r>
            <w:r w:rsidRPr="00BE78CA">
              <w:rPr>
                <w:rFonts w:eastAsia="Calibri"/>
              </w:rPr>
              <w:t xml:space="preserve"> More detailed information on the emission factor for urea fertiliser, including a comparison with overseas studies, is included in chapter 5, section 5.5.2 (Synthetic nitrogen fertiliser) of the NIR.</w:t>
            </w:r>
          </w:p>
        </w:tc>
      </w:tr>
      <w:tr w:rsidR="007E0025" w:rsidRPr="00BE78CA" w14:paraId="0B47F8A3" w14:textId="77777777" w:rsidTr="00BB5269">
        <w:tc>
          <w:tcPr>
            <w:tcW w:w="1813" w:type="dxa"/>
            <w:shd w:val="clear" w:color="auto" w:fill="FFFFFF"/>
            <w:tcMar>
              <w:top w:w="0" w:type="dxa"/>
              <w:left w:w="85" w:type="dxa"/>
              <w:bottom w:w="0" w:type="dxa"/>
              <w:right w:w="85" w:type="dxa"/>
            </w:tcMar>
          </w:tcPr>
          <w:p w14:paraId="1FBFEC33" w14:textId="25F9B756" w:rsidR="007E0025" w:rsidRPr="00BE78CA" w:rsidRDefault="007E0025" w:rsidP="00C26084">
            <w:pPr>
              <w:pStyle w:val="TableText"/>
            </w:pPr>
            <w:r w:rsidRPr="00BE78CA">
              <w:rPr>
                <w:rFonts w:eastAsia="Calibri" w:cs="Calibri"/>
                <w:color w:val="111111"/>
                <w:szCs w:val="16"/>
              </w:rPr>
              <w:t xml:space="preserve">Agriculture – 3.D.a.2 Organic N fertilisers </w:t>
            </w:r>
            <w:r w:rsidR="0055281A" w:rsidRPr="00BE78CA">
              <w:rPr>
                <w:rFonts w:eastAsia="Calibri" w:cs="Calibri"/>
                <w:color w:val="111111"/>
                <w:szCs w:val="16"/>
              </w:rPr>
              <w:br/>
            </w:r>
            <w:r w:rsidRPr="00BE78CA">
              <w:rPr>
                <w:rFonts w:eastAsia="Calibri" w:cs="Calibri"/>
                <w:color w:val="111111"/>
                <w:szCs w:val="16"/>
              </w:rPr>
              <w:t>– N</w:t>
            </w:r>
            <w:r w:rsidRPr="00BE78CA">
              <w:rPr>
                <w:rFonts w:eastAsia="Calibri" w:cs="Calibri"/>
                <w:color w:val="111111"/>
                <w:szCs w:val="16"/>
                <w:vertAlign w:val="subscript"/>
              </w:rPr>
              <w:t>2</w:t>
            </w:r>
            <w:r w:rsidRPr="00BE78CA">
              <w:rPr>
                <w:rFonts w:eastAsia="Calibri" w:cs="Calibri"/>
                <w:color w:val="111111"/>
                <w:szCs w:val="16"/>
              </w:rPr>
              <w:t>O</w:t>
            </w:r>
          </w:p>
        </w:tc>
        <w:tc>
          <w:tcPr>
            <w:tcW w:w="907" w:type="dxa"/>
            <w:shd w:val="clear" w:color="auto" w:fill="FFFFFF"/>
            <w:tcMar>
              <w:top w:w="0" w:type="dxa"/>
              <w:left w:w="85" w:type="dxa"/>
              <w:bottom w:w="0" w:type="dxa"/>
              <w:right w:w="85" w:type="dxa"/>
            </w:tcMar>
          </w:tcPr>
          <w:p w14:paraId="20D51461" w14:textId="77777777" w:rsidR="007E0025" w:rsidRPr="00BE78CA" w:rsidRDefault="007E0025" w:rsidP="00C26084">
            <w:pPr>
              <w:pStyle w:val="TableText"/>
            </w:pPr>
            <w:r w:rsidRPr="00BE78CA">
              <w:rPr>
                <w:rFonts w:eastAsia="Calibri" w:cs="Calibri"/>
                <w:color w:val="111111"/>
                <w:szCs w:val="16"/>
              </w:rPr>
              <w:t>A.18, 2019</w:t>
            </w:r>
          </w:p>
        </w:tc>
        <w:tc>
          <w:tcPr>
            <w:tcW w:w="2784" w:type="dxa"/>
            <w:shd w:val="clear" w:color="auto" w:fill="FFFFFF"/>
            <w:tcMar>
              <w:top w:w="0" w:type="dxa"/>
              <w:left w:w="85" w:type="dxa"/>
              <w:bottom w:w="0" w:type="dxa"/>
              <w:right w:w="85" w:type="dxa"/>
            </w:tcMar>
          </w:tcPr>
          <w:p w14:paraId="297B9B64" w14:textId="77777777" w:rsidR="007E0025" w:rsidRPr="00BE78CA" w:rsidRDefault="007E0025" w:rsidP="00C26084">
            <w:pPr>
              <w:pStyle w:val="TableText"/>
            </w:pPr>
            <w:r w:rsidRPr="00BE78CA">
              <w:rPr>
                <w:rFonts w:eastAsia="Calibri" w:cs="Calibri"/>
                <w:color w:val="111111"/>
                <w:szCs w:val="16"/>
              </w:rPr>
              <w:t>The ERT recommends that New Zealand explain in more detail how the country-specific N</w:t>
            </w:r>
            <w:r w:rsidRPr="00BE78CA">
              <w:rPr>
                <w:rFonts w:eastAsia="Calibri" w:cs="Calibri"/>
                <w:color w:val="111111"/>
                <w:szCs w:val="16"/>
                <w:vertAlign w:val="subscript"/>
              </w:rPr>
              <w:t>2</w:t>
            </w:r>
            <w:r w:rsidRPr="00BE78CA">
              <w:rPr>
                <w:rFonts w:eastAsia="Calibri" w:cs="Calibri"/>
                <w:color w:val="111111"/>
                <w:szCs w:val="16"/>
              </w:rPr>
              <w:t xml:space="preserve">O EFs for organic fertilizers (urine and dung) were obtained, summarize to what extent the studies conducted can be deemed comprehensive and describe how the </w:t>
            </w:r>
            <w:r w:rsidRPr="00BE78CA">
              <w:rPr>
                <w:rFonts w:eastAsia="Calibri" w:cs="Calibri"/>
                <w:color w:val="111111"/>
                <w:szCs w:val="16"/>
              </w:rPr>
              <w:lastRenderedPageBreak/>
              <w:t>Agricultural Inventory Advisory Panel endorsed their application to the inventory.</w:t>
            </w:r>
          </w:p>
        </w:tc>
        <w:tc>
          <w:tcPr>
            <w:tcW w:w="2879" w:type="dxa"/>
            <w:shd w:val="clear" w:color="auto" w:fill="FFFFFF"/>
            <w:tcMar>
              <w:top w:w="0" w:type="dxa"/>
              <w:left w:w="85" w:type="dxa"/>
              <w:bottom w:w="0" w:type="dxa"/>
              <w:right w:w="85" w:type="dxa"/>
            </w:tcMar>
          </w:tcPr>
          <w:p w14:paraId="0605101E" w14:textId="77777777" w:rsidR="007E0025" w:rsidRPr="00BE78CA" w:rsidRDefault="007E0025" w:rsidP="00C26084">
            <w:pPr>
              <w:pStyle w:val="TableText"/>
            </w:pPr>
            <w:r w:rsidRPr="00BE78CA">
              <w:rPr>
                <w:rFonts w:eastAsia="Calibri"/>
                <w:b/>
                <w:bCs/>
              </w:rPr>
              <w:lastRenderedPageBreak/>
              <w:t xml:space="preserve">Resolved. </w:t>
            </w:r>
            <w:r w:rsidRPr="00BE78CA">
              <w:rPr>
                <w:rFonts w:eastAsia="Calibri"/>
              </w:rPr>
              <w:t>More detailed information on the emission factor for dairy cattle manure (organic fertiliser) is included in chapter 5, section 5.5.2 (Organic nitrogen fertilisers) of the NIR.</w:t>
            </w:r>
          </w:p>
        </w:tc>
      </w:tr>
      <w:tr w:rsidR="007E0025" w:rsidRPr="00BE78CA" w14:paraId="6A16B98B" w14:textId="77777777" w:rsidTr="00BB5269">
        <w:tc>
          <w:tcPr>
            <w:tcW w:w="1813" w:type="dxa"/>
            <w:shd w:val="clear" w:color="auto" w:fill="FFFFFF"/>
            <w:tcMar>
              <w:top w:w="0" w:type="dxa"/>
              <w:left w:w="85" w:type="dxa"/>
              <w:bottom w:w="0" w:type="dxa"/>
              <w:right w:w="85" w:type="dxa"/>
            </w:tcMar>
          </w:tcPr>
          <w:p w14:paraId="631A3F5B" w14:textId="77FB2CC4" w:rsidR="007E0025" w:rsidRPr="00BE78CA" w:rsidRDefault="007E0025" w:rsidP="00C26084">
            <w:pPr>
              <w:pStyle w:val="TableText"/>
            </w:pPr>
            <w:r w:rsidRPr="00BE78CA">
              <w:rPr>
                <w:rFonts w:eastAsia="Calibri" w:cs="Calibri"/>
                <w:color w:val="111111"/>
                <w:szCs w:val="16"/>
              </w:rPr>
              <w:t>Agriculture – 3.D.b Indirect N</w:t>
            </w:r>
            <w:r w:rsidRPr="00BE78CA">
              <w:rPr>
                <w:rFonts w:eastAsia="Calibri" w:cs="Calibri"/>
                <w:color w:val="111111"/>
                <w:szCs w:val="16"/>
                <w:vertAlign w:val="subscript"/>
              </w:rPr>
              <w:t>2</w:t>
            </w:r>
            <w:r w:rsidRPr="00BE78CA">
              <w:rPr>
                <w:rFonts w:eastAsia="Calibri" w:cs="Calibri"/>
                <w:color w:val="111111"/>
                <w:szCs w:val="16"/>
              </w:rPr>
              <w:t xml:space="preserve">O emissions from managed soils </w:t>
            </w:r>
            <w:r w:rsidR="0055281A" w:rsidRPr="00BE78CA">
              <w:rPr>
                <w:rFonts w:eastAsia="Calibri" w:cs="Calibri"/>
                <w:color w:val="111111"/>
                <w:szCs w:val="16"/>
              </w:rPr>
              <w:br/>
            </w:r>
            <w:r w:rsidRPr="00BE78CA">
              <w:rPr>
                <w:rFonts w:eastAsia="Calibri" w:cs="Calibri"/>
                <w:color w:val="111111"/>
                <w:szCs w:val="16"/>
              </w:rPr>
              <w:t>– N</w:t>
            </w:r>
            <w:r w:rsidRPr="00BE78CA">
              <w:rPr>
                <w:rFonts w:eastAsia="Calibri" w:cs="Calibri"/>
                <w:color w:val="111111"/>
                <w:szCs w:val="16"/>
                <w:vertAlign w:val="subscript"/>
              </w:rPr>
              <w:t>2</w:t>
            </w:r>
            <w:r w:rsidRPr="00BE78CA">
              <w:rPr>
                <w:rFonts w:eastAsia="Calibri" w:cs="Calibri"/>
                <w:color w:val="111111"/>
                <w:szCs w:val="16"/>
              </w:rPr>
              <w:t>O</w:t>
            </w:r>
          </w:p>
        </w:tc>
        <w:tc>
          <w:tcPr>
            <w:tcW w:w="907" w:type="dxa"/>
            <w:shd w:val="clear" w:color="auto" w:fill="FFFFFF"/>
            <w:tcMar>
              <w:top w:w="0" w:type="dxa"/>
              <w:left w:w="85" w:type="dxa"/>
              <w:bottom w:w="0" w:type="dxa"/>
              <w:right w:w="85" w:type="dxa"/>
            </w:tcMar>
          </w:tcPr>
          <w:p w14:paraId="00FD8477" w14:textId="77777777" w:rsidR="007E0025" w:rsidRPr="00BE78CA" w:rsidRDefault="007E0025" w:rsidP="00C26084">
            <w:pPr>
              <w:pStyle w:val="TableText"/>
            </w:pPr>
            <w:r w:rsidRPr="00BE78CA">
              <w:rPr>
                <w:rFonts w:eastAsia="Calibri" w:cs="Calibri"/>
                <w:color w:val="111111"/>
                <w:szCs w:val="16"/>
              </w:rPr>
              <w:t>A.19, 2019</w:t>
            </w:r>
          </w:p>
        </w:tc>
        <w:tc>
          <w:tcPr>
            <w:tcW w:w="2784" w:type="dxa"/>
            <w:shd w:val="clear" w:color="auto" w:fill="FFFFFF"/>
            <w:tcMar>
              <w:top w:w="0" w:type="dxa"/>
              <w:left w:w="85" w:type="dxa"/>
              <w:bottom w:w="0" w:type="dxa"/>
              <w:right w:w="85" w:type="dxa"/>
            </w:tcMar>
          </w:tcPr>
          <w:p w14:paraId="18CF8D1E" w14:textId="77777777" w:rsidR="007E0025" w:rsidRPr="00BE78CA" w:rsidRDefault="007E0025" w:rsidP="00C26084">
            <w:pPr>
              <w:pStyle w:val="TableText"/>
            </w:pPr>
            <w:r w:rsidRPr="00BE78CA">
              <w:rPr>
                <w:rFonts w:eastAsia="Calibri" w:cs="Calibri"/>
                <w:color w:val="111111"/>
                <w:szCs w:val="16"/>
              </w:rPr>
              <w:t>The ERT recommends that New Zealand revise the description in the NIR of the country-specific values for Frac</w:t>
            </w:r>
            <w:r w:rsidRPr="00BE78CA">
              <w:rPr>
                <w:rFonts w:eastAsia="Calibri" w:cs="Calibri"/>
                <w:color w:val="111111"/>
                <w:szCs w:val="16"/>
                <w:vertAlign w:val="subscript"/>
              </w:rPr>
              <w:t>LEACH</w:t>
            </w:r>
            <w:r w:rsidRPr="00BE78CA">
              <w:rPr>
                <w:rFonts w:eastAsia="Calibri" w:cs="Calibri"/>
                <w:color w:val="111111"/>
                <w:szCs w:val="16"/>
              </w:rPr>
              <w:t xml:space="preserve"> and for the fraction of applied organic N fertilizer materials and of urine and dung N deposited by grazing animals that volatilizes as ammonia and nitrogen oxides in kg N volatilized.</w:t>
            </w:r>
          </w:p>
        </w:tc>
        <w:tc>
          <w:tcPr>
            <w:tcW w:w="2879" w:type="dxa"/>
            <w:shd w:val="clear" w:color="auto" w:fill="FFFFFF"/>
            <w:tcMar>
              <w:top w:w="0" w:type="dxa"/>
              <w:left w:w="85" w:type="dxa"/>
              <w:bottom w:w="0" w:type="dxa"/>
              <w:right w:w="85" w:type="dxa"/>
            </w:tcMar>
          </w:tcPr>
          <w:p w14:paraId="6D65811A" w14:textId="77777777" w:rsidR="007E0025" w:rsidRPr="00BE78CA" w:rsidRDefault="007E0025" w:rsidP="00C26084">
            <w:pPr>
              <w:pStyle w:val="TableText"/>
            </w:pPr>
            <w:r w:rsidRPr="00BE78CA">
              <w:rPr>
                <w:rFonts w:eastAsia="Calibri"/>
                <w:b/>
                <w:bCs/>
              </w:rPr>
              <w:t>Addressing.</w:t>
            </w:r>
            <w:r w:rsidRPr="00BE78CA">
              <w:rPr>
                <w:rFonts w:eastAsia="Calibri"/>
              </w:rPr>
              <w:t xml:space="preserve"> Information on the country-specific Frac</w:t>
            </w:r>
            <w:r w:rsidRPr="00BE78CA">
              <w:rPr>
                <w:rFonts w:eastAsia="Calibri"/>
                <w:vertAlign w:val="subscript"/>
              </w:rPr>
              <w:t>LEACH</w:t>
            </w:r>
            <w:r w:rsidRPr="00BE78CA">
              <w:rPr>
                <w:rFonts w:eastAsia="Calibri"/>
              </w:rPr>
              <w:t xml:space="preserve"> parameter used in the inventory is included in chapter 5, section 5.5.2 (Leaching and runoff (CRF 3.D.2.2)) of the NIR. A research project is also under way that will review the Frac</w:t>
            </w:r>
            <w:r w:rsidRPr="00BE78CA">
              <w:rPr>
                <w:rFonts w:eastAsia="Calibri"/>
                <w:vertAlign w:val="subscript"/>
              </w:rPr>
              <w:t>LEACH</w:t>
            </w:r>
            <w:r w:rsidRPr="00BE78CA">
              <w:rPr>
                <w:rFonts w:eastAsia="Calibri"/>
              </w:rPr>
              <w:t xml:space="preserve"> parameter and provide recommendations as to whether it should be changed.</w:t>
            </w:r>
          </w:p>
        </w:tc>
      </w:tr>
      <w:tr w:rsidR="007E0025" w:rsidRPr="00BE78CA" w14:paraId="64FBBB3C" w14:textId="77777777" w:rsidTr="00BB5269">
        <w:tc>
          <w:tcPr>
            <w:tcW w:w="1813" w:type="dxa"/>
            <w:shd w:val="clear" w:color="auto" w:fill="FFFFFF"/>
            <w:tcMar>
              <w:top w:w="0" w:type="dxa"/>
              <w:left w:w="85" w:type="dxa"/>
              <w:bottom w:w="0" w:type="dxa"/>
              <w:right w:w="85" w:type="dxa"/>
            </w:tcMar>
          </w:tcPr>
          <w:p w14:paraId="04D8EBBB" w14:textId="77777777" w:rsidR="007E0025" w:rsidRPr="00BE78CA" w:rsidRDefault="007E0025" w:rsidP="00C26084">
            <w:pPr>
              <w:pStyle w:val="TableText"/>
            </w:pPr>
            <w:r w:rsidRPr="00BE78CA">
              <w:rPr>
                <w:rFonts w:eastAsia="Calibri" w:cs="Calibri"/>
                <w:color w:val="111111"/>
                <w:szCs w:val="16"/>
              </w:rPr>
              <w:t>LULUCF – 4. General (LULUCF) – CO</w:t>
            </w:r>
            <w:r w:rsidRPr="00BE78CA">
              <w:rPr>
                <w:rFonts w:eastAsia="Calibri" w:cs="Calibri"/>
                <w:color w:val="111111"/>
                <w:szCs w:val="16"/>
                <w:vertAlign w:val="subscript"/>
              </w:rPr>
              <w:t>2</w:t>
            </w:r>
            <w:r w:rsidRPr="00BE78CA">
              <w:rPr>
                <w:rFonts w:eastAsia="Calibri" w:cs="Calibri"/>
                <w:color w:val="111111"/>
                <w:szCs w:val="16"/>
              </w:rPr>
              <w:t xml:space="preserve"> and N</w:t>
            </w:r>
            <w:r w:rsidRPr="00BE78CA">
              <w:rPr>
                <w:rFonts w:eastAsia="Calibri" w:cs="Calibri"/>
                <w:color w:val="111111"/>
                <w:szCs w:val="16"/>
                <w:vertAlign w:val="subscript"/>
              </w:rPr>
              <w:t>2</w:t>
            </w:r>
            <w:r w:rsidRPr="00BE78CA">
              <w:rPr>
                <w:rFonts w:eastAsia="Calibri" w:cs="Calibri"/>
                <w:color w:val="111111"/>
                <w:szCs w:val="16"/>
              </w:rPr>
              <w:t>O</w:t>
            </w:r>
          </w:p>
        </w:tc>
        <w:tc>
          <w:tcPr>
            <w:tcW w:w="907" w:type="dxa"/>
            <w:shd w:val="clear" w:color="auto" w:fill="FFFFFF"/>
            <w:tcMar>
              <w:top w:w="0" w:type="dxa"/>
              <w:left w:w="85" w:type="dxa"/>
              <w:bottom w:w="0" w:type="dxa"/>
              <w:right w:w="85" w:type="dxa"/>
            </w:tcMar>
          </w:tcPr>
          <w:p w14:paraId="10D81D6F" w14:textId="77777777" w:rsidR="007E0025" w:rsidRPr="00BE78CA" w:rsidRDefault="007E0025" w:rsidP="00C26084">
            <w:pPr>
              <w:pStyle w:val="TableText"/>
            </w:pPr>
            <w:r w:rsidRPr="00BE78CA">
              <w:rPr>
                <w:rFonts w:eastAsia="Calibri" w:cs="Calibri"/>
                <w:color w:val="111111"/>
                <w:szCs w:val="16"/>
              </w:rPr>
              <w:t>L.10, 2019</w:t>
            </w:r>
          </w:p>
        </w:tc>
        <w:tc>
          <w:tcPr>
            <w:tcW w:w="2784" w:type="dxa"/>
            <w:shd w:val="clear" w:color="auto" w:fill="FFFFFF"/>
            <w:tcMar>
              <w:top w:w="0" w:type="dxa"/>
              <w:left w:w="85" w:type="dxa"/>
              <w:bottom w:w="0" w:type="dxa"/>
              <w:right w:w="85" w:type="dxa"/>
            </w:tcMar>
          </w:tcPr>
          <w:p w14:paraId="4DEDDD27" w14:textId="77777777" w:rsidR="007E0025" w:rsidRPr="00BE78CA" w:rsidRDefault="007E0025" w:rsidP="00C26084">
            <w:pPr>
              <w:pStyle w:val="TableText"/>
            </w:pPr>
            <w:r w:rsidRPr="00BE78CA">
              <w:rPr>
                <w:rFonts w:eastAsia="Calibri" w:cs="Calibri"/>
                <w:color w:val="111111"/>
                <w:szCs w:val="16"/>
              </w:rPr>
              <w:t>The ERT recommends that New Zealand either provide evidence that the estimated SOC changes do not result in systematic over- or underestimations, given that land-use changes occur randomly across the entire SOC variability of a land-use category or subcategory, or replace the current method with one consistent with good practice as defined by the 2006 IPCC Guidelines (vol. 4, section 2.3.3.1).</w:t>
            </w:r>
          </w:p>
        </w:tc>
        <w:tc>
          <w:tcPr>
            <w:tcW w:w="2879" w:type="dxa"/>
            <w:shd w:val="clear" w:color="auto" w:fill="FFFFFF"/>
            <w:tcMar>
              <w:top w:w="0" w:type="dxa"/>
              <w:left w:w="85" w:type="dxa"/>
              <w:bottom w:w="0" w:type="dxa"/>
              <w:right w:w="85" w:type="dxa"/>
            </w:tcMar>
          </w:tcPr>
          <w:p w14:paraId="3949F2FE" w14:textId="77777777" w:rsidR="007E0025" w:rsidRPr="00BE78CA" w:rsidRDefault="007E0025" w:rsidP="00C26084">
            <w:pPr>
              <w:pStyle w:val="TableText"/>
              <w:rPr>
                <w:b/>
                <w:bCs/>
              </w:rPr>
            </w:pPr>
            <w:r w:rsidRPr="00BE78CA">
              <w:rPr>
                <w:rFonts w:eastAsia="Calibri"/>
                <w:b/>
                <w:bCs/>
              </w:rPr>
              <w:t>Not resolved.</w:t>
            </w:r>
          </w:p>
        </w:tc>
      </w:tr>
      <w:tr w:rsidR="007E0025" w:rsidRPr="00BE78CA" w14:paraId="6E5BDAFD" w14:textId="77777777" w:rsidTr="00BB5269">
        <w:tc>
          <w:tcPr>
            <w:tcW w:w="1813" w:type="dxa"/>
            <w:shd w:val="clear" w:color="auto" w:fill="FFFFFF"/>
            <w:tcMar>
              <w:top w:w="0" w:type="dxa"/>
              <w:left w:w="85" w:type="dxa"/>
              <w:bottom w:w="0" w:type="dxa"/>
              <w:right w:w="85" w:type="dxa"/>
            </w:tcMar>
          </w:tcPr>
          <w:p w14:paraId="284AD925" w14:textId="77777777" w:rsidR="007E0025" w:rsidRPr="00BE78CA" w:rsidRDefault="007E0025" w:rsidP="00C26084">
            <w:pPr>
              <w:pStyle w:val="TableText"/>
            </w:pPr>
            <w:r w:rsidRPr="00BE78CA">
              <w:rPr>
                <w:rFonts w:eastAsia="Calibri" w:cs="Calibri"/>
                <w:color w:val="111111"/>
                <w:szCs w:val="16"/>
              </w:rPr>
              <w:t>LULUCF – 4. General (LULUCF) – CO</w:t>
            </w:r>
            <w:r w:rsidRPr="00BE78CA">
              <w:rPr>
                <w:rFonts w:eastAsia="Calibri" w:cs="Calibri"/>
                <w:color w:val="111111"/>
                <w:szCs w:val="16"/>
                <w:vertAlign w:val="subscript"/>
              </w:rPr>
              <w:t>2</w:t>
            </w:r>
          </w:p>
        </w:tc>
        <w:tc>
          <w:tcPr>
            <w:tcW w:w="907" w:type="dxa"/>
            <w:shd w:val="clear" w:color="auto" w:fill="FFFFFF"/>
            <w:tcMar>
              <w:top w:w="0" w:type="dxa"/>
              <w:left w:w="85" w:type="dxa"/>
              <w:bottom w:w="0" w:type="dxa"/>
              <w:right w:w="85" w:type="dxa"/>
            </w:tcMar>
          </w:tcPr>
          <w:p w14:paraId="5A792CF1" w14:textId="77777777" w:rsidR="007E0025" w:rsidRPr="00BE78CA" w:rsidRDefault="007E0025" w:rsidP="00C26084">
            <w:pPr>
              <w:pStyle w:val="TableText"/>
            </w:pPr>
            <w:r w:rsidRPr="00BE78CA">
              <w:rPr>
                <w:rFonts w:eastAsia="Calibri" w:cs="Calibri"/>
                <w:color w:val="111111"/>
                <w:szCs w:val="16"/>
              </w:rPr>
              <w:t>L.11, 2019</w:t>
            </w:r>
          </w:p>
        </w:tc>
        <w:tc>
          <w:tcPr>
            <w:tcW w:w="2784" w:type="dxa"/>
            <w:shd w:val="clear" w:color="auto" w:fill="FFFFFF"/>
            <w:tcMar>
              <w:top w:w="0" w:type="dxa"/>
              <w:left w:w="85" w:type="dxa"/>
              <w:bottom w:w="0" w:type="dxa"/>
              <w:right w:w="85" w:type="dxa"/>
            </w:tcMar>
          </w:tcPr>
          <w:p w14:paraId="75BE04D8" w14:textId="77777777" w:rsidR="007E0025" w:rsidRPr="00BE78CA" w:rsidRDefault="007E0025" w:rsidP="00C26084">
            <w:pPr>
              <w:pStyle w:val="TableText"/>
            </w:pPr>
            <w:r w:rsidRPr="00BE78CA">
              <w:rPr>
                <w:rFonts w:eastAsia="Calibri" w:cs="Calibri"/>
                <w:color w:val="111111"/>
                <w:szCs w:val="16"/>
              </w:rPr>
              <w:t>The ERT recommends that New Zealand provide a comparison across the available time series of data of roundwood statistics reported by MPI and the quantities estimated by the LUCAS model based on the harvested area as allocated to age classes and provide justification for any discrepancies.</w:t>
            </w:r>
          </w:p>
        </w:tc>
        <w:tc>
          <w:tcPr>
            <w:tcW w:w="2879" w:type="dxa"/>
            <w:shd w:val="clear" w:color="auto" w:fill="FFFFFF"/>
            <w:tcMar>
              <w:top w:w="0" w:type="dxa"/>
              <w:left w:w="85" w:type="dxa"/>
              <w:bottom w:w="0" w:type="dxa"/>
              <w:right w:w="85" w:type="dxa"/>
            </w:tcMar>
          </w:tcPr>
          <w:p w14:paraId="15CCD6DF" w14:textId="77777777" w:rsidR="007E0025" w:rsidRPr="00BE78CA" w:rsidRDefault="007E0025" w:rsidP="00C26084">
            <w:pPr>
              <w:pStyle w:val="TableText"/>
            </w:pPr>
            <w:r w:rsidRPr="00BE78CA">
              <w:rPr>
                <w:rFonts w:eastAsia="Calibri"/>
                <w:b/>
                <w:bCs/>
              </w:rPr>
              <w:t>Resolved.</w:t>
            </w:r>
            <w:r w:rsidRPr="00BE78CA">
              <w:rPr>
                <w:rFonts w:eastAsia="Calibri"/>
              </w:rPr>
              <w:t xml:space="preserve"> Further information has been provided in chapter 6, section 6.4.1 on how harvesting area is derived and how this area is proportioned across an age class distribution.</w:t>
            </w:r>
          </w:p>
        </w:tc>
      </w:tr>
      <w:tr w:rsidR="007E0025" w:rsidRPr="00BE78CA" w14:paraId="76E44700" w14:textId="77777777" w:rsidTr="00BB5269">
        <w:tc>
          <w:tcPr>
            <w:tcW w:w="1813" w:type="dxa"/>
            <w:shd w:val="clear" w:color="auto" w:fill="FFFFFF"/>
            <w:tcMar>
              <w:top w:w="0" w:type="dxa"/>
              <w:left w:w="85" w:type="dxa"/>
              <w:bottom w:w="0" w:type="dxa"/>
              <w:right w:w="85" w:type="dxa"/>
            </w:tcMar>
          </w:tcPr>
          <w:p w14:paraId="54ECFBAB" w14:textId="77777777" w:rsidR="007E0025" w:rsidRPr="00BE78CA" w:rsidRDefault="007E0025" w:rsidP="00C26084">
            <w:pPr>
              <w:pStyle w:val="TableText"/>
            </w:pPr>
            <w:r w:rsidRPr="00BE78CA">
              <w:rPr>
                <w:rFonts w:eastAsia="Calibri" w:cs="Calibri"/>
                <w:color w:val="111111"/>
                <w:szCs w:val="16"/>
              </w:rPr>
              <w:t>LULUCF – 4. General (LULUCF) – CO</w:t>
            </w:r>
            <w:r w:rsidRPr="00BE78CA">
              <w:rPr>
                <w:rFonts w:eastAsia="Calibri" w:cs="Calibri"/>
                <w:color w:val="111111"/>
                <w:szCs w:val="16"/>
                <w:vertAlign w:val="subscript"/>
              </w:rPr>
              <w:t>2</w:t>
            </w:r>
          </w:p>
        </w:tc>
        <w:tc>
          <w:tcPr>
            <w:tcW w:w="907" w:type="dxa"/>
            <w:shd w:val="clear" w:color="auto" w:fill="FFFFFF"/>
            <w:tcMar>
              <w:top w:w="0" w:type="dxa"/>
              <w:left w:w="85" w:type="dxa"/>
              <w:bottom w:w="0" w:type="dxa"/>
              <w:right w:w="85" w:type="dxa"/>
            </w:tcMar>
          </w:tcPr>
          <w:p w14:paraId="227FAE5B" w14:textId="77777777" w:rsidR="007E0025" w:rsidRPr="00BE78CA" w:rsidRDefault="007E0025" w:rsidP="00C26084">
            <w:pPr>
              <w:pStyle w:val="TableText"/>
            </w:pPr>
            <w:r w:rsidRPr="00BE78CA">
              <w:rPr>
                <w:rFonts w:eastAsia="Calibri" w:cs="Calibri"/>
                <w:color w:val="111111"/>
                <w:szCs w:val="16"/>
              </w:rPr>
              <w:t>L.12, 2019</w:t>
            </w:r>
          </w:p>
        </w:tc>
        <w:tc>
          <w:tcPr>
            <w:tcW w:w="2784" w:type="dxa"/>
            <w:shd w:val="clear" w:color="auto" w:fill="FFFFFF"/>
            <w:tcMar>
              <w:top w:w="0" w:type="dxa"/>
              <w:left w:w="85" w:type="dxa"/>
              <w:bottom w:w="0" w:type="dxa"/>
              <w:right w:w="85" w:type="dxa"/>
            </w:tcMar>
          </w:tcPr>
          <w:p w14:paraId="1750ADBB" w14:textId="6FCAFEAD" w:rsidR="007E0025" w:rsidRPr="00BE78CA" w:rsidRDefault="007E0025" w:rsidP="00C26084">
            <w:pPr>
              <w:pStyle w:val="TableText"/>
            </w:pPr>
            <w:r w:rsidRPr="00BE78CA">
              <w:rPr>
                <w:rFonts w:eastAsia="Calibri" w:cs="Calibri"/>
                <w:color w:val="111111"/>
                <w:szCs w:val="16"/>
              </w:rPr>
              <w:t xml:space="preserve">The ERT recommends that New Zealand replace </w:t>
            </w:r>
            <w:r w:rsidR="0055281A" w:rsidRPr="00BE78CA">
              <w:rPr>
                <w:rFonts w:eastAsia="Calibri" w:cs="Calibri"/>
                <w:color w:val="111111"/>
                <w:szCs w:val="16"/>
              </w:rPr>
              <w:t>‘IE’</w:t>
            </w:r>
            <w:r w:rsidRPr="00BE78CA">
              <w:rPr>
                <w:rFonts w:eastAsia="Calibri" w:cs="Calibri"/>
                <w:color w:val="111111"/>
                <w:szCs w:val="16"/>
              </w:rPr>
              <w:t xml:space="preserve"> with estimates of biomass carbon stock losses only in the year in which an area conversion occurs, and with </w:t>
            </w:r>
            <w:r w:rsidR="0055281A" w:rsidRPr="00BE78CA">
              <w:rPr>
                <w:rFonts w:eastAsia="Calibri" w:cs="Calibri"/>
                <w:color w:val="111111"/>
                <w:szCs w:val="16"/>
              </w:rPr>
              <w:t>‘NO’</w:t>
            </w:r>
            <w:r w:rsidRPr="00BE78CA">
              <w:rPr>
                <w:rFonts w:eastAsia="Calibri" w:cs="Calibri"/>
                <w:color w:val="111111"/>
                <w:szCs w:val="16"/>
              </w:rPr>
              <w:t xml:space="preserve"> in any year in which conversion of additional areas does not occur, in CRF tables 4.A and 4.B.</w:t>
            </w:r>
          </w:p>
        </w:tc>
        <w:tc>
          <w:tcPr>
            <w:tcW w:w="2879" w:type="dxa"/>
            <w:shd w:val="clear" w:color="auto" w:fill="FFFFFF"/>
            <w:tcMar>
              <w:top w:w="0" w:type="dxa"/>
              <w:left w:w="85" w:type="dxa"/>
              <w:bottom w:w="0" w:type="dxa"/>
              <w:right w:w="85" w:type="dxa"/>
            </w:tcMar>
          </w:tcPr>
          <w:p w14:paraId="0D259C27" w14:textId="77777777" w:rsidR="007E0025" w:rsidRPr="00BE78CA" w:rsidRDefault="007E0025" w:rsidP="00C26084">
            <w:pPr>
              <w:pStyle w:val="TableText"/>
            </w:pPr>
            <w:r w:rsidRPr="00BE78CA">
              <w:rPr>
                <w:rFonts w:eastAsia="Calibri"/>
                <w:b/>
                <w:bCs/>
              </w:rPr>
              <w:t>Resolved.</w:t>
            </w:r>
            <w:r w:rsidRPr="00BE78CA">
              <w:rPr>
                <w:rFonts w:eastAsia="Calibri"/>
              </w:rPr>
              <w:t xml:space="preserve"> The stock change approach is used to estimate biomass emissions. It is not possible to distinguish biomass losses from gains, therefore biomass losses are reported with biomass gains and IE is reported for losses.</w:t>
            </w:r>
          </w:p>
        </w:tc>
      </w:tr>
      <w:tr w:rsidR="007E0025" w:rsidRPr="00BE78CA" w14:paraId="3BD688C8" w14:textId="77777777" w:rsidTr="00BB5269">
        <w:tc>
          <w:tcPr>
            <w:tcW w:w="1813" w:type="dxa"/>
            <w:shd w:val="clear" w:color="auto" w:fill="FFFFFF"/>
            <w:tcMar>
              <w:top w:w="0" w:type="dxa"/>
              <w:left w:w="85" w:type="dxa"/>
              <w:bottom w:w="0" w:type="dxa"/>
              <w:right w:w="85" w:type="dxa"/>
            </w:tcMar>
          </w:tcPr>
          <w:p w14:paraId="2E84CC1A" w14:textId="77777777" w:rsidR="007E0025" w:rsidRPr="00BE78CA" w:rsidRDefault="007E0025" w:rsidP="00C26084">
            <w:pPr>
              <w:pStyle w:val="TableText"/>
            </w:pPr>
            <w:r w:rsidRPr="00BE78CA">
              <w:rPr>
                <w:rFonts w:eastAsia="Calibri" w:cs="Calibri"/>
                <w:color w:val="111111"/>
                <w:szCs w:val="16"/>
              </w:rPr>
              <w:t>LULUCF – 4. General (LULUCF) – CO</w:t>
            </w:r>
            <w:r w:rsidRPr="00BE78CA">
              <w:rPr>
                <w:rFonts w:eastAsia="Calibri" w:cs="Calibri"/>
                <w:color w:val="111111"/>
                <w:szCs w:val="16"/>
                <w:vertAlign w:val="subscript"/>
              </w:rPr>
              <w:t>2</w:t>
            </w:r>
          </w:p>
        </w:tc>
        <w:tc>
          <w:tcPr>
            <w:tcW w:w="907" w:type="dxa"/>
            <w:shd w:val="clear" w:color="auto" w:fill="FFFFFF"/>
            <w:tcMar>
              <w:top w:w="0" w:type="dxa"/>
              <w:left w:w="85" w:type="dxa"/>
              <w:bottom w:w="0" w:type="dxa"/>
              <w:right w:w="85" w:type="dxa"/>
            </w:tcMar>
          </w:tcPr>
          <w:p w14:paraId="3796DA16" w14:textId="77777777" w:rsidR="007E0025" w:rsidRPr="00BE78CA" w:rsidRDefault="007E0025" w:rsidP="00C26084">
            <w:pPr>
              <w:pStyle w:val="TableText"/>
            </w:pPr>
            <w:r w:rsidRPr="00BE78CA">
              <w:rPr>
                <w:rFonts w:eastAsia="Calibri" w:cs="Calibri"/>
                <w:color w:val="111111"/>
                <w:szCs w:val="16"/>
              </w:rPr>
              <w:t>L.13, 2019</w:t>
            </w:r>
          </w:p>
        </w:tc>
        <w:tc>
          <w:tcPr>
            <w:tcW w:w="2784" w:type="dxa"/>
            <w:shd w:val="clear" w:color="auto" w:fill="FFFFFF"/>
            <w:tcMar>
              <w:top w:w="0" w:type="dxa"/>
              <w:left w:w="85" w:type="dxa"/>
              <w:bottom w:w="0" w:type="dxa"/>
              <w:right w:w="85" w:type="dxa"/>
            </w:tcMar>
          </w:tcPr>
          <w:p w14:paraId="31395343" w14:textId="77777777" w:rsidR="007E0025" w:rsidRPr="00BE78CA" w:rsidRDefault="007E0025" w:rsidP="00C26084">
            <w:pPr>
              <w:pStyle w:val="TableText"/>
            </w:pPr>
            <w:r w:rsidRPr="00BE78CA">
              <w:rPr>
                <w:rFonts w:eastAsia="Calibri" w:cs="Calibri"/>
                <w:color w:val="111111"/>
                <w:szCs w:val="16"/>
              </w:rPr>
              <w:t>The ERT recommends that New Zealand report updated information regarding the country-specific wood carbon content value used in the HWP model in the NIR.</w:t>
            </w:r>
          </w:p>
        </w:tc>
        <w:tc>
          <w:tcPr>
            <w:tcW w:w="2879" w:type="dxa"/>
            <w:shd w:val="clear" w:color="auto" w:fill="FFFFFF"/>
            <w:tcMar>
              <w:top w:w="0" w:type="dxa"/>
              <w:left w:w="85" w:type="dxa"/>
              <w:bottom w:w="0" w:type="dxa"/>
              <w:right w:w="85" w:type="dxa"/>
            </w:tcMar>
          </w:tcPr>
          <w:p w14:paraId="7F3BFFF0" w14:textId="77777777" w:rsidR="007E0025" w:rsidRPr="00BE78CA" w:rsidRDefault="007E0025" w:rsidP="00C26084">
            <w:pPr>
              <w:pStyle w:val="TableText"/>
            </w:pPr>
            <w:r w:rsidRPr="00BE78CA">
              <w:rPr>
                <w:rFonts w:eastAsia="Calibri"/>
                <w:b/>
                <w:bCs/>
              </w:rPr>
              <w:t>Resolved.</w:t>
            </w:r>
            <w:r w:rsidRPr="00BE78CA">
              <w:rPr>
                <w:rFonts w:eastAsia="Calibri"/>
              </w:rPr>
              <w:t xml:space="preserve"> The default wood carbon content value of 50 per cent, from table 12.4 of the 2006 IPCC Guidelines, is used in the harvested wood products model (IPCC, 2006). This value is consistent with the planted forest model that uses a country-specific value of 50 per cent.</w:t>
            </w:r>
          </w:p>
        </w:tc>
      </w:tr>
      <w:tr w:rsidR="007E0025" w:rsidRPr="00BE78CA" w14:paraId="3A82E892" w14:textId="77777777" w:rsidTr="00BB5269">
        <w:tc>
          <w:tcPr>
            <w:tcW w:w="1813" w:type="dxa"/>
            <w:shd w:val="clear" w:color="auto" w:fill="FFFFFF"/>
            <w:tcMar>
              <w:top w:w="0" w:type="dxa"/>
              <w:left w:w="85" w:type="dxa"/>
              <w:bottom w:w="0" w:type="dxa"/>
              <w:right w:w="85" w:type="dxa"/>
            </w:tcMar>
          </w:tcPr>
          <w:p w14:paraId="304A3E65" w14:textId="77777777" w:rsidR="007E0025" w:rsidRPr="00BE78CA" w:rsidRDefault="007E0025" w:rsidP="00C26084">
            <w:pPr>
              <w:pStyle w:val="TableText"/>
            </w:pPr>
            <w:r w:rsidRPr="00BE78CA">
              <w:rPr>
                <w:rFonts w:eastAsia="Calibri" w:cs="Calibri"/>
                <w:color w:val="111111"/>
                <w:szCs w:val="16"/>
              </w:rPr>
              <w:t>LULUCF – Land representation – CO</w:t>
            </w:r>
            <w:r w:rsidRPr="00BE78CA">
              <w:rPr>
                <w:rFonts w:eastAsia="Calibri" w:cs="Calibri"/>
                <w:color w:val="111111"/>
                <w:szCs w:val="16"/>
                <w:vertAlign w:val="subscript"/>
              </w:rPr>
              <w:t>2</w:t>
            </w:r>
            <w:r w:rsidRPr="00BE78CA">
              <w:rPr>
                <w:rFonts w:eastAsia="Calibri" w:cs="Calibri"/>
                <w:color w:val="111111"/>
                <w:szCs w:val="16"/>
              </w:rPr>
              <w:t>, CH</w:t>
            </w:r>
            <w:r w:rsidRPr="00BE78CA">
              <w:rPr>
                <w:rFonts w:eastAsia="Calibri" w:cs="Calibri"/>
                <w:color w:val="111111"/>
                <w:szCs w:val="16"/>
                <w:vertAlign w:val="subscript"/>
              </w:rPr>
              <w:t>4</w:t>
            </w:r>
            <w:r w:rsidRPr="00BE78CA">
              <w:rPr>
                <w:rFonts w:eastAsia="Calibri" w:cs="Calibri"/>
                <w:color w:val="111111"/>
                <w:szCs w:val="16"/>
              </w:rPr>
              <w:t xml:space="preserve"> and N</w:t>
            </w:r>
            <w:r w:rsidRPr="00BE78CA">
              <w:rPr>
                <w:rFonts w:eastAsia="Calibri" w:cs="Calibri"/>
                <w:color w:val="111111"/>
                <w:szCs w:val="16"/>
                <w:vertAlign w:val="subscript"/>
              </w:rPr>
              <w:t>2</w:t>
            </w:r>
            <w:r w:rsidRPr="00BE78CA">
              <w:rPr>
                <w:rFonts w:eastAsia="Calibri" w:cs="Calibri"/>
                <w:color w:val="111111"/>
                <w:szCs w:val="16"/>
              </w:rPr>
              <w:t>O</w:t>
            </w:r>
          </w:p>
        </w:tc>
        <w:tc>
          <w:tcPr>
            <w:tcW w:w="907" w:type="dxa"/>
            <w:shd w:val="clear" w:color="auto" w:fill="FFFFFF"/>
            <w:tcMar>
              <w:top w:w="0" w:type="dxa"/>
              <w:left w:w="85" w:type="dxa"/>
              <w:bottom w:w="0" w:type="dxa"/>
              <w:right w:w="85" w:type="dxa"/>
            </w:tcMar>
          </w:tcPr>
          <w:p w14:paraId="2B486516" w14:textId="77777777" w:rsidR="007E0025" w:rsidRPr="00BE78CA" w:rsidRDefault="007E0025" w:rsidP="00C26084">
            <w:pPr>
              <w:pStyle w:val="TableText"/>
            </w:pPr>
            <w:r w:rsidRPr="00BE78CA">
              <w:rPr>
                <w:rFonts w:eastAsia="Calibri" w:cs="Calibri"/>
                <w:color w:val="111111"/>
                <w:szCs w:val="16"/>
              </w:rPr>
              <w:t>L.14, 2019</w:t>
            </w:r>
          </w:p>
        </w:tc>
        <w:tc>
          <w:tcPr>
            <w:tcW w:w="2784" w:type="dxa"/>
            <w:shd w:val="clear" w:color="auto" w:fill="FFFFFF"/>
            <w:tcMar>
              <w:top w:w="0" w:type="dxa"/>
              <w:left w:w="85" w:type="dxa"/>
              <w:bottom w:w="0" w:type="dxa"/>
              <w:right w:w="85" w:type="dxa"/>
            </w:tcMar>
          </w:tcPr>
          <w:p w14:paraId="135ABFE8" w14:textId="77777777" w:rsidR="007E0025" w:rsidRPr="00BE78CA" w:rsidRDefault="007E0025" w:rsidP="00C26084">
            <w:pPr>
              <w:pStyle w:val="TableText"/>
            </w:pPr>
            <w:r w:rsidRPr="00BE78CA">
              <w:rPr>
                <w:rFonts w:eastAsia="Calibri" w:cs="Calibri"/>
                <w:color w:val="111111"/>
                <w:szCs w:val="16"/>
              </w:rPr>
              <w:t>The ERT recommends that New Zealand either report information that demonstrates that the biomass carbon pool of radiata pine plantations achieves its steady state at 28 years or, if not at 28 years but at over 20 years, provide information that demonstrates that this longer period is needed to achieve equilibrium of carbon stocks. Otherwise, the ERT recommends that the Party apply the IPCC default conversion period of 20 years and explain the recalculations in the NIR.</w:t>
            </w:r>
          </w:p>
        </w:tc>
        <w:tc>
          <w:tcPr>
            <w:tcW w:w="2879" w:type="dxa"/>
            <w:shd w:val="clear" w:color="auto" w:fill="FFFFFF"/>
            <w:tcMar>
              <w:top w:w="0" w:type="dxa"/>
              <w:left w:w="85" w:type="dxa"/>
              <w:bottom w:w="0" w:type="dxa"/>
              <w:right w:w="85" w:type="dxa"/>
            </w:tcMar>
          </w:tcPr>
          <w:p w14:paraId="1B80E2A1" w14:textId="77777777" w:rsidR="007E0025" w:rsidRPr="00BE78CA" w:rsidRDefault="007E0025" w:rsidP="00C26084">
            <w:pPr>
              <w:pStyle w:val="TableText"/>
            </w:pPr>
            <w:r w:rsidRPr="00BE78CA">
              <w:rPr>
                <w:rFonts w:eastAsia="Calibri"/>
                <w:b/>
                <w:bCs/>
              </w:rPr>
              <w:t xml:space="preserve">Resolved. </w:t>
            </w:r>
            <w:r w:rsidRPr="00BE78CA">
              <w:rPr>
                <w:rFonts w:eastAsia="Calibri"/>
              </w:rPr>
              <w:t xml:space="preserve">The default transition period of 20 years has been applied and table 6.4.12 in chapter 6 has been added to demonstrate the impact this method change has had on emissions in the reporting categories </w:t>
            </w:r>
            <w:r w:rsidRPr="00BE78CA">
              <w:rPr>
                <w:rFonts w:eastAsia="Calibri"/>
                <w:i/>
                <w:iCs/>
              </w:rPr>
              <w:t>Land converted to forest land</w:t>
            </w:r>
            <w:r w:rsidRPr="00BE78CA">
              <w:rPr>
                <w:rFonts w:eastAsia="Calibri"/>
              </w:rPr>
              <w:t xml:space="preserve"> and </w:t>
            </w:r>
            <w:r w:rsidRPr="00BE78CA">
              <w:rPr>
                <w:rFonts w:eastAsia="Calibri"/>
                <w:i/>
                <w:iCs/>
              </w:rPr>
              <w:t>Land remaining forest land</w:t>
            </w:r>
            <w:r w:rsidRPr="00BE78CA">
              <w:rPr>
                <w:rFonts w:eastAsia="Calibri"/>
              </w:rPr>
              <w:t>.</w:t>
            </w:r>
          </w:p>
        </w:tc>
      </w:tr>
      <w:tr w:rsidR="007E0025" w:rsidRPr="00BE78CA" w14:paraId="4772D569" w14:textId="77777777" w:rsidTr="00BB5269">
        <w:tc>
          <w:tcPr>
            <w:tcW w:w="1813" w:type="dxa"/>
            <w:shd w:val="clear" w:color="auto" w:fill="FFFFFF"/>
            <w:tcMar>
              <w:top w:w="0" w:type="dxa"/>
              <w:left w:w="85" w:type="dxa"/>
              <w:bottom w:w="0" w:type="dxa"/>
              <w:right w:w="85" w:type="dxa"/>
            </w:tcMar>
          </w:tcPr>
          <w:p w14:paraId="4B20F7B7" w14:textId="77777777" w:rsidR="007E0025" w:rsidRPr="00BE78CA" w:rsidRDefault="007E0025" w:rsidP="00C26084">
            <w:pPr>
              <w:pStyle w:val="TableText"/>
            </w:pPr>
            <w:r w:rsidRPr="00BE78CA">
              <w:rPr>
                <w:rFonts w:eastAsia="Calibri" w:cs="Calibri"/>
                <w:color w:val="111111"/>
                <w:szCs w:val="16"/>
              </w:rPr>
              <w:t>LULUCF – Land representation – CO</w:t>
            </w:r>
            <w:r w:rsidRPr="00BE78CA">
              <w:rPr>
                <w:rFonts w:eastAsia="Calibri" w:cs="Calibri"/>
                <w:color w:val="111111"/>
                <w:szCs w:val="16"/>
                <w:vertAlign w:val="subscript"/>
              </w:rPr>
              <w:t>2</w:t>
            </w:r>
            <w:r w:rsidRPr="00BE78CA">
              <w:rPr>
                <w:rFonts w:eastAsia="Calibri" w:cs="Calibri"/>
                <w:color w:val="111111"/>
                <w:szCs w:val="16"/>
              </w:rPr>
              <w:t>, CH</w:t>
            </w:r>
            <w:r w:rsidRPr="00BE78CA">
              <w:rPr>
                <w:rFonts w:eastAsia="Calibri" w:cs="Calibri"/>
                <w:color w:val="111111"/>
                <w:szCs w:val="16"/>
                <w:vertAlign w:val="subscript"/>
              </w:rPr>
              <w:t>4</w:t>
            </w:r>
            <w:r w:rsidRPr="00BE78CA">
              <w:rPr>
                <w:rFonts w:eastAsia="Calibri" w:cs="Calibri"/>
                <w:color w:val="111111"/>
                <w:szCs w:val="16"/>
              </w:rPr>
              <w:t xml:space="preserve"> and N</w:t>
            </w:r>
            <w:r w:rsidRPr="00BE78CA">
              <w:rPr>
                <w:rFonts w:eastAsia="Calibri" w:cs="Calibri"/>
                <w:color w:val="111111"/>
                <w:szCs w:val="16"/>
                <w:vertAlign w:val="subscript"/>
              </w:rPr>
              <w:t>2</w:t>
            </w:r>
            <w:r w:rsidRPr="00BE78CA">
              <w:rPr>
                <w:rFonts w:eastAsia="Calibri" w:cs="Calibri"/>
                <w:color w:val="111111"/>
                <w:szCs w:val="16"/>
              </w:rPr>
              <w:t>O</w:t>
            </w:r>
          </w:p>
        </w:tc>
        <w:tc>
          <w:tcPr>
            <w:tcW w:w="907" w:type="dxa"/>
            <w:shd w:val="clear" w:color="auto" w:fill="FFFFFF"/>
            <w:tcMar>
              <w:top w:w="0" w:type="dxa"/>
              <w:left w:w="85" w:type="dxa"/>
              <w:bottom w:w="0" w:type="dxa"/>
              <w:right w:w="85" w:type="dxa"/>
            </w:tcMar>
          </w:tcPr>
          <w:p w14:paraId="4ACBF6AE" w14:textId="77777777" w:rsidR="007E0025" w:rsidRPr="00BE78CA" w:rsidRDefault="007E0025" w:rsidP="00C26084">
            <w:pPr>
              <w:pStyle w:val="TableText"/>
            </w:pPr>
            <w:r w:rsidRPr="00BE78CA">
              <w:rPr>
                <w:rFonts w:eastAsia="Calibri" w:cs="Calibri"/>
                <w:color w:val="111111"/>
                <w:szCs w:val="16"/>
              </w:rPr>
              <w:t>L.15, 2019</w:t>
            </w:r>
          </w:p>
        </w:tc>
        <w:tc>
          <w:tcPr>
            <w:tcW w:w="2784" w:type="dxa"/>
            <w:shd w:val="clear" w:color="auto" w:fill="FFFFFF"/>
            <w:tcMar>
              <w:top w:w="0" w:type="dxa"/>
              <w:left w:w="85" w:type="dxa"/>
              <w:bottom w:w="0" w:type="dxa"/>
              <w:right w:w="85" w:type="dxa"/>
            </w:tcMar>
          </w:tcPr>
          <w:p w14:paraId="0DC34AD4" w14:textId="77777777" w:rsidR="007E0025" w:rsidRPr="00BE78CA" w:rsidRDefault="007E0025" w:rsidP="00C26084">
            <w:pPr>
              <w:pStyle w:val="TableText"/>
            </w:pPr>
            <w:r w:rsidRPr="00BE78CA">
              <w:rPr>
                <w:rFonts w:eastAsia="Calibri" w:cs="Calibri"/>
                <w:color w:val="111111"/>
                <w:szCs w:val="16"/>
              </w:rPr>
              <w:t>The ERT recommends that New Zealand compile CRF table 4.1 using annual area change data.</w:t>
            </w:r>
          </w:p>
        </w:tc>
        <w:tc>
          <w:tcPr>
            <w:tcW w:w="2879" w:type="dxa"/>
            <w:shd w:val="clear" w:color="auto" w:fill="FFFFFF"/>
            <w:tcMar>
              <w:top w:w="0" w:type="dxa"/>
              <w:left w:w="85" w:type="dxa"/>
              <w:bottom w:w="0" w:type="dxa"/>
              <w:right w:w="85" w:type="dxa"/>
            </w:tcMar>
          </w:tcPr>
          <w:p w14:paraId="181A63C9" w14:textId="77777777" w:rsidR="007E0025" w:rsidRPr="00BE78CA" w:rsidRDefault="007E0025" w:rsidP="00C26084">
            <w:pPr>
              <w:pStyle w:val="TableText"/>
            </w:pPr>
            <w:r w:rsidRPr="00BE78CA">
              <w:rPr>
                <w:rFonts w:eastAsia="Calibri"/>
                <w:b/>
                <w:bCs/>
              </w:rPr>
              <w:t xml:space="preserve">Resolved. </w:t>
            </w:r>
            <w:r w:rsidRPr="00BE78CA">
              <w:rPr>
                <w:rFonts w:eastAsia="Calibri"/>
              </w:rPr>
              <w:t>Table 4.1 has been compiled using annual area change.</w:t>
            </w:r>
          </w:p>
        </w:tc>
      </w:tr>
      <w:tr w:rsidR="007E0025" w:rsidRPr="00BE78CA" w14:paraId="797231A5" w14:textId="77777777" w:rsidTr="00BB5269">
        <w:tc>
          <w:tcPr>
            <w:tcW w:w="1813" w:type="dxa"/>
            <w:shd w:val="clear" w:color="auto" w:fill="FFFFFF"/>
            <w:tcMar>
              <w:top w:w="0" w:type="dxa"/>
              <w:left w:w="85" w:type="dxa"/>
              <w:bottom w:w="0" w:type="dxa"/>
              <w:right w:w="85" w:type="dxa"/>
            </w:tcMar>
          </w:tcPr>
          <w:p w14:paraId="1B71EA40" w14:textId="77777777" w:rsidR="007E0025" w:rsidRPr="00BE78CA" w:rsidRDefault="007E0025" w:rsidP="00C26084">
            <w:pPr>
              <w:pStyle w:val="TableText"/>
            </w:pPr>
            <w:r w:rsidRPr="00BE78CA">
              <w:rPr>
                <w:rFonts w:eastAsia="Calibri" w:cs="Calibri"/>
                <w:color w:val="111111"/>
                <w:szCs w:val="16"/>
              </w:rPr>
              <w:lastRenderedPageBreak/>
              <w:t>LULUCF – Land representation – CO</w:t>
            </w:r>
            <w:r w:rsidRPr="00BE78CA">
              <w:rPr>
                <w:rFonts w:eastAsia="Calibri" w:cs="Calibri"/>
                <w:color w:val="111111"/>
                <w:szCs w:val="16"/>
                <w:vertAlign w:val="subscript"/>
              </w:rPr>
              <w:t>2</w:t>
            </w:r>
            <w:r w:rsidRPr="00BE78CA">
              <w:rPr>
                <w:rFonts w:eastAsia="Calibri" w:cs="Calibri"/>
                <w:color w:val="111111"/>
                <w:szCs w:val="16"/>
              </w:rPr>
              <w:t>, CH</w:t>
            </w:r>
            <w:r w:rsidRPr="00BE78CA">
              <w:rPr>
                <w:rFonts w:eastAsia="Calibri" w:cs="Calibri"/>
                <w:color w:val="111111"/>
                <w:szCs w:val="16"/>
                <w:vertAlign w:val="subscript"/>
              </w:rPr>
              <w:t>4</w:t>
            </w:r>
            <w:r w:rsidRPr="00BE78CA">
              <w:rPr>
                <w:rFonts w:eastAsia="Calibri" w:cs="Calibri"/>
                <w:color w:val="111111"/>
                <w:szCs w:val="16"/>
              </w:rPr>
              <w:t xml:space="preserve"> and N</w:t>
            </w:r>
            <w:r w:rsidRPr="00BE78CA">
              <w:rPr>
                <w:rFonts w:eastAsia="Calibri" w:cs="Calibri"/>
                <w:color w:val="111111"/>
                <w:szCs w:val="16"/>
                <w:vertAlign w:val="subscript"/>
              </w:rPr>
              <w:t>2</w:t>
            </w:r>
            <w:r w:rsidRPr="00BE78CA">
              <w:rPr>
                <w:rFonts w:eastAsia="Calibri" w:cs="Calibri"/>
                <w:color w:val="111111"/>
                <w:szCs w:val="16"/>
              </w:rPr>
              <w:t>O</w:t>
            </w:r>
          </w:p>
        </w:tc>
        <w:tc>
          <w:tcPr>
            <w:tcW w:w="907" w:type="dxa"/>
            <w:shd w:val="clear" w:color="auto" w:fill="FFFFFF"/>
            <w:tcMar>
              <w:top w:w="0" w:type="dxa"/>
              <w:left w:w="85" w:type="dxa"/>
              <w:bottom w:w="0" w:type="dxa"/>
              <w:right w:w="85" w:type="dxa"/>
            </w:tcMar>
          </w:tcPr>
          <w:p w14:paraId="7C344933" w14:textId="77777777" w:rsidR="007E0025" w:rsidRPr="00BE78CA" w:rsidRDefault="007E0025" w:rsidP="00C26084">
            <w:pPr>
              <w:pStyle w:val="TableText"/>
            </w:pPr>
            <w:r w:rsidRPr="00BE78CA">
              <w:rPr>
                <w:rFonts w:eastAsia="Calibri" w:cs="Calibri"/>
                <w:color w:val="111111"/>
                <w:szCs w:val="16"/>
              </w:rPr>
              <w:t>L.16, 2019</w:t>
            </w:r>
          </w:p>
        </w:tc>
        <w:tc>
          <w:tcPr>
            <w:tcW w:w="2784" w:type="dxa"/>
            <w:shd w:val="clear" w:color="auto" w:fill="FFFFFF"/>
            <w:tcMar>
              <w:top w:w="0" w:type="dxa"/>
              <w:left w:w="85" w:type="dxa"/>
              <w:bottom w:w="0" w:type="dxa"/>
              <w:right w:w="85" w:type="dxa"/>
            </w:tcMar>
          </w:tcPr>
          <w:p w14:paraId="7CE93351" w14:textId="77777777" w:rsidR="007E0025" w:rsidRPr="00BE78CA" w:rsidRDefault="007E0025" w:rsidP="00C26084">
            <w:pPr>
              <w:pStyle w:val="TableText"/>
            </w:pPr>
            <w:r w:rsidRPr="00BE78CA">
              <w:rPr>
                <w:rFonts w:eastAsia="Calibri" w:cs="Calibri"/>
                <w:color w:val="111111"/>
                <w:szCs w:val="16"/>
              </w:rPr>
              <w:t>The ERT recommends that New Zealand plan to undertake an accuracy assessment of its national land-use maps, with a focus on determining the accuracy of mapping changes between mapping dates. The ERT also recommends that the Party then investigate how to use the results of the accuracy assessment, once available, to adjust the reported AD for the land representation.</w:t>
            </w:r>
          </w:p>
        </w:tc>
        <w:tc>
          <w:tcPr>
            <w:tcW w:w="2879" w:type="dxa"/>
            <w:shd w:val="clear" w:color="auto" w:fill="FFFFFF"/>
            <w:tcMar>
              <w:top w:w="0" w:type="dxa"/>
              <w:left w:w="85" w:type="dxa"/>
              <w:bottom w:w="0" w:type="dxa"/>
              <w:right w:w="85" w:type="dxa"/>
            </w:tcMar>
          </w:tcPr>
          <w:p w14:paraId="1962AC21" w14:textId="77777777" w:rsidR="007E0025" w:rsidRPr="00BE78CA" w:rsidRDefault="007E0025" w:rsidP="00C26084">
            <w:pPr>
              <w:pStyle w:val="TableText"/>
            </w:pPr>
            <w:r w:rsidRPr="00BE78CA">
              <w:rPr>
                <w:rFonts w:eastAsia="Calibri"/>
                <w:b/>
                <w:bCs/>
              </w:rPr>
              <w:t xml:space="preserve">Resolved. </w:t>
            </w:r>
            <w:r w:rsidRPr="00BE78CA">
              <w:rPr>
                <w:rFonts w:eastAsia="Calibri"/>
              </w:rPr>
              <w:t>Complete verification of the entire time series would not be possible owing to the lack of alternative imagery data sources. New Zealand believes that the actions suggested in this recommendation are not possible to implement due to the national circumstances and requests to close this recommendation because it cannot possibly be implemented in the foreseeable future.</w:t>
            </w:r>
          </w:p>
        </w:tc>
      </w:tr>
      <w:tr w:rsidR="007E0025" w:rsidRPr="00BE78CA" w14:paraId="2F5B685F" w14:textId="77777777" w:rsidTr="00BB5269">
        <w:tc>
          <w:tcPr>
            <w:tcW w:w="1813" w:type="dxa"/>
            <w:shd w:val="clear" w:color="auto" w:fill="FFFFFF"/>
            <w:tcMar>
              <w:top w:w="0" w:type="dxa"/>
              <w:left w:w="85" w:type="dxa"/>
              <w:bottom w:w="0" w:type="dxa"/>
              <w:right w:w="85" w:type="dxa"/>
            </w:tcMar>
          </w:tcPr>
          <w:p w14:paraId="2CE787F8" w14:textId="77777777" w:rsidR="007E0025" w:rsidRPr="00BE78CA" w:rsidRDefault="007E0025" w:rsidP="00C26084">
            <w:pPr>
              <w:pStyle w:val="TableText"/>
            </w:pPr>
            <w:r w:rsidRPr="00BE78CA">
              <w:rPr>
                <w:rFonts w:eastAsia="Calibri" w:cs="Calibri"/>
                <w:color w:val="111111"/>
                <w:szCs w:val="16"/>
              </w:rPr>
              <w:t>LULUCF – 4.A Forest land – CO</w:t>
            </w:r>
            <w:r w:rsidRPr="00BE78CA">
              <w:rPr>
                <w:rFonts w:eastAsia="Calibri" w:cs="Calibri"/>
                <w:color w:val="111111"/>
                <w:szCs w:val="16"/>
                <w:vertAlign w:val="subscript"/>
              </w:rPr>
              <w:t>2</w:t>
            </w:r>
          </w:p>
        </w:tc>
        <w:tc>
          <w:tcPr>
            <w:tcW w:w="907" w:type="dxa"/>
            <w:shd w:val="clear" w:color="auto" w:fill="FFFFFF"/>
            <w:tcMar>
              <w:top w:w="0" w:type="dxa"/>
              <w:left w:w="85" w:type="dxa"/>
              <w:bottom w:w="0" w:type="dxa"/>
              <w:right w:w="85" w:type="dxa"/>
            </w:tcMar>
          </w:tcPr>
          <w:p w14:paraId="495806D7" w14:textId="77777777" w:rsidR="007E0025" w:rsidRPr="00BE78CA" w:rsidRDefault="007E0025" w:rsidP="00C26084">
            <w:pPr>
              <w:pStyle w:val="TableText"/>
            </w:pPr>
            <w:r w:rsidRPr="00BE78CA">
              <w:rPr>
                <w:rFonts w:eastAsia="Calibri" w:cs="Calibri"/>
                <w:color w:val="111111"/>
                <w:szCs w:val="16"/>
              </w:rPr>
              <w:t>L.17, 2019</w:t>
            </w:r>
          </w:p>
        </w:tc>
        <w:tc>
          <w:tcPr>
            <w:tcW w:w="2784" w:type="dxa"/>
            <w:shd w:val="clear" w:color="auto" w:fill="FFFFFF"/>
            <w:tcMar>
              <w:top w:w="0" w:type="dxa"/>
              <w:left w:w="85" w:type="dxa"/>
              <w:bottom w:w="0" w:type="dxa"/>
              <w:right w:w="85" w:type="dxa"/>
            </w:tcMar>
          </w:tcPr>
          <w:p w14:paraId="510B4676" w14:textId="77777777" w:rsidR="007E0025" w:rsidRPr="00BE78CA" w:rsidRDefault="007E0025" w:rsidP="00C26084">
            <w:pPr>
              <w:pStyle w:val="TableText"/>
            </w:pPr>
            <w:r w:rsidRPr="00BE78CA">
              <w:rPr>
                <w:rFonts w:eastAsia="Calibri" w:cs="Calibri"/>
                <w:color w:val="111111"/>
                <w:szCs w:val="16"/>
              </w:rPr>
              <w:t>The ERT recommends that New Zealand provide information on the actual age of harvest of forest plantations, as derived from information collected through NEFD. Such information would be most appropriately reported in the annexes to the NIR.</w:t>
            </w:r>
          </w:p>
        </w:tc>
        <w:tc>
          <w:tcPr>
            <w:tcW w:w="2879" w:type="dxa"/>
            <w:shd w:val="clear" w:color="auto" w:fill="FFFFFF"/>
            <w:tcMar>
              <w:top w:w="0" w:type="dxa"/>
              <w:left w:w="85" w:type="dxa"/>
              <w:bottom w:w="0" w:type="dxa"/>
              <w:right w:w="85" w:type="dxa"/>
            </w:tcMar>
          </w:tcPr>
          <w:p w14:paraId="389B0D56" w14:textId="77777777" w:rsidR="007E0025" w:rsidRPr="00BE78CA" w:rsidRDefault="007E0025" w:rsidP="00C26084">
            <w:pPr>
              <w:pStyle w:val="TableText"/>
            </w:pPr>
            <w:r w:rsidRPr="00BE78CA">
              <w:rPr>
                <w:rFonts w:eastAsia="Calibri"/>
                <w:b/>
                <w:bCs/>
              </w:rPr>
              <w:t xml:space="preserve">Resolved. </w:t>
            </w:r>
            <w:r w:rsidRPr="00BE78CA">
              <w:rPr>
                <w:rFonts w:eastAsia="Calibri"/>
              </w:rPr>
              <w:t>Additional text has been added to chapter 6, section 6.4.1 to describe how the forest age profile corresponds to harvesting.</w:t>
            </w:r>
          </w:p>
        </w:tc>
      </w:tr>
      <w:tr w:rsidR="007E0025" w:rsidRPr="00BE78CA" w14:paraId="35EBDE91" w14:textId="77777777" w:rsidTr="00BB5269">
        <w:tc>
          <w:tcPr>
            <w:tcW w:w="1813" w:type="dxa"/>
            <w:shd w:val="clear" w:color="auto" w:fill="FFFFFF"/>
            <w:tcMar>
              <w:top w:w="0" w:type="dxa"/>
              <w:left w:w="85" w:type="dxa"/>
              <w:bottom w:w="0" w:type="dxa"/>
              <w:right w:w="85" w:type="dxa"/>
            </w:tcMar>
          </w:tcPr>
          <w:p w14:paraId="60BFCCF7" w14:textId="77777777" w:rsidR="007E0025" w:rsidRPr="00BE78CA" w:rsidRDefault="007E0025" w:rsidP="00C26084">
            <w:pPr>
              <w:pStyle w:val="TableText"/>
            </w:pPr>
            <w:r w:rsidRPr="00BE78CA">
              <w:rPr>
                <w:rFonts w:eastAsia="Calibri" w:cs="Calibri"/>
                <w:color w:val="111111"/>
                <w:szCs w:val="16"/>
              </w:rPr>
              <w:t>LULUCF – 4.A.1 Forest land remaining forest land – CO</w:t>
            </w:r>
            <w:r w:rsidRPr="00BE78CA">
              <w:rPr>
                <w:rFonts w:eastAsia="Calibri" w:cs="Calibri"/>
                <w:color w:val="111111"/>
                <w:szCs w:val="16"/>
                <w:vertAlign w:val="subscript"/>
              </w:rPr>
              <w:t>2</w:t>
            </w:r>
          </w:p>
        </w:tc>
        <w:tc>
          <w:tcPr>
            <w:tcW w:w="907" w:type="dxa"/>
            <w:shd w:val="clear" w:color="auto" w:fill="FFFFFF"/>
            <w:tcMar>
              <w:top w:w="0" w:type="dxa"/>
              <w:left w:w="85" w:type="dxa"/>
              <w:bottom w:w="0" w:type="dxa"/>
              <w:right w:w="85" w:type="dxa"/>
            </w:tcMar>
          </w:tcPr>
          <w:p w14:paraId="3927125F" w14:textId="77777777" w:rsidR="007E0025" w:rsidRPr="00BE78CA" w:rsidRDefault="007E0025" w:rsidP="00C26084">
            <w:pPr>
              <w:pStyle w:val="TableText"/>
            </w:pPr>
            <w:r w:rsidRPr="00BE78CA">
              <w:rPr>
                <w:rFonts w:eastAsia="Calibri" w:cs="Calibri"/>
                <w:color w:val="111111"/>
                <w:szCs w:val="16"/>
              </w:rPr>
              <w:t>L.18, 2019</w:t>
            </w:r>
          </w:p>
        </w:tc>
        <w:tc>
          <w:tcPr>
            <w:tcW w:w="2784" w:type="dxa"/>
            <w:shd w:val="clear" w:color="auto" w:fill="FFFFFF"/>
            <w:tcMar>
              <w:top w:w="0" w:type="dxa"/>
              <w:left w:w="85" w:type="dxa"/>
              <w:bottom w:w="0" w:type="dxa"/>
              <w:right w:w="85" w:type="dxa"/>
            </w:tcMar>
          </w:tcPr>
          <w:p w14:paraId="2AF89CE8" w14:textId="77777777" w:rsidR="007E0025" w:rsidRPr="00BE78CA" w:rsidRDefault="007E0025" w:rsidP="00C26084">
            <w:pPr>
              <w:pStyle w:val="TableText"/>
            </w:pPr>
            <w:r w:rsidRPr="00BE78CA">
              <w:rPr>
                <w:rFonts w:eastAsia="Calibri" w:cs="Calibri"/>
                <w:color w:val="111111"/>
                <w:szCs w:val="16"/>
              </w:rPr>
              <w:t>The ERT recommends that New Zealand report estimates of above-ground biomass CSCs, noting that those estimates should include all gains and losses in tall natural forest remaining tall natural forest; however, carbon stock losses as a result of stand-replacing disturbances (such as storms or destructive wildfires) that lead to a subsequent regeneration of the natural forest, and carbon stock gains up to the average carbon stock of tall forests, should be reported within the regenerating natural forest category, including the entire transition of regenerating natural forest to tall natural forest.</w:t>
            </w:r>
          </w:p>
        </w:tc>
        <w:tc>
          <w:tcPr>
            <w:tcW w:w="2879" w:type="dxa"/>
            <w:shd w:val="clear" w:color="auto" w:fill="FFFFFF"/>
            <w:tcMar>
              <w:top w:w="0" w:type="dxa"/>
              <w:left w:w="85" w:type="dxa"/>
              <w:bottom w:w="0" w:type="dxa"/>
              <w:right w:w="85" w:type="dxa"/>
            </w:tcMar>
          </w:tcPr>
          <w:p w14:paraId="1EA83452" w14:textId="77777777" w:rsidR="007E0025" w:rsidRPr="00BE78CA" w:rsidRDefault="007E0025" w:rsidP="00C26084">
            <w:pPr>
              <w:pStyle w:val="TableText"/>
            </w:pPr>
            <w:r w:rsidRPr="00BE78CA">
              <w:rPr>
                <w:rFonts w:eastAsia="Calibri"/>
                <w:b/>
                <w:bCs/>
              </w:rPr>
              <w:t xml:space="preserve">Addressing. </w:t>
            </w:r>
            <w:r w:rsidRPr="00BE78CA">
              <w:rPr>
                <w:rFonts w:eastAsia="Calibri"/>
              </w:rPr>
              <w:t>The assumption that tall natural forest is in equilibrium is being reviewed in consultation with New Zealand scientists specialising in New Zealand natural forests.</w:t>
            </w:r>
          </w:p>
        </w:tc>
      </w:tr>
      <w:tr w:rsidR="007E0025" w:rsidRPr="00BE78CA" w14:paraId="34000854" w14:textId="77777777" w:rsidTr="00BB5269">
        <w:tc>
          <w:tcPr>
            <w:tcW w:w="1813" w:type="dxa"/>
            <w:shd w:val="clear" w:color="auto" w:fill="FFFFFF"/>
            <w:tcMar>
              <w:top w:w="0" w:type="dxa"/>
              <w:left w:w="85" w:type="dxa"/>
              <w:bottom w:w="0" w:type="dxa"/>
              <w:right w:w="85" w:type="dxa"/>
            </w:tcMar>
          </w:tcPr>
          <w:p w14:paraId="34C64408" w14:textId="77777777" w:rsidR="007E0025" w:rsidRPr="00BE78CA" w:rsidRDefault="007E0025" w:rsidP="00C26084">
            <w:pPr>
              <w:pStyle w:val="TableText"/>
            </w:pPr>
            <w:r w:rsidRPr="00BE78CA">
              <w:rPr>
                <w:rFonts w:eastAsia="Calibri" w:cs="Calibri"/>
                <w:color w:val="111111"/>
                <w:szCs w:val="16"/>
              </w:rPr>
              <w:t>LULUCF – 4.A.1 Forest land remaining forest land – CO</w:t>
            </w:r>
            <w:r w:rsidRPr="00BE78CA">
              <w:rPr>
                <w:rFonts w:eastAsia="Calibri" w:cs="Calibri"/>
                <w:color w:val="111111"/>
                <w:szCs w:val="16"/>
                <w:vertAlign w:val="subscript"/>
              </w:rPr>
              <w:t>2</w:t>
            </w:r>
          </w:p>
        </w:tc>
        <w:tc>
          <w:tcPr>
            <w:tcW w:w="907" w:type="dxa"/>
            <w:shd w:val="clear" w:color="auto" w:fill="FFFFFF"/>
            <w:tcMar>
              <w:top w:w="0" w:type="dxa"/>
              <w:left w:w="85" w:type="dxa"/>
              <w:bottom w:w="0" w:type="dxa"/>
              <w:right w:w="85" w:type="dxa"/>
            </w:tcMar>
          </w:tcPr>
          <w:p w14:paraId="352CBB34" w14:textId="77777777" w:rsidR="007E0025" w:rsidRPr="00BE78CA" w:rsidRDefault="007E0025" w:rsidP="00C26084">
            <w:pPr>
              <w:pStyle w:val="TableText"/>
            </w:pPr>
            <w:r w:rsidRPr="00BE78CA">
              <w:rPr>
                <w:rFonts w:eastAsia="Calibri" w:cs="Calibri"/>
                <w:color w:val="111111"/>
                <w:szCs w:val="16"/>
              </w:rPr>
              <w:t>L.19, 2019</w:t>
            </w:r>
          </w:p>
        </w:tc>
        <w:tc>
          <w:tcPr>
            <w:tcW w:w="2784" w:type="dxa"/>
            <w:shd w:val="clear" w:color="auto" w:fill="FFFFFF"/>
            <w:tcMar>
              <w:top w:w="0" w:type="dxa"/>
              <w:left w:w="85" w:type="dxa"/>
              <w:bottom w:w="0" w:type="dxa"/>
              <w:right w:w="85" w:type="dxa"/>
            </w:tcMar>
          </w:tcPr>
          <w:p w14:paraId="10167AA2" w14:textId="77777777" w:rsidR="007E0025" w:rsidRPr="00BE78CA" w:rsidRDefault="007E0025" w:rsidP="00C26084">
            <w:pPr>
              <w:pStyle w:val="TableText"/>
            </w:pPr>
            <w:r w:rsidRPr="00BE78CA">
              <w:rPr>
                <w:rFonts w:eastAsia="Calibri" w:cs="Calibri"/>
                <w:color w:val="111111"/>
                <w:szCs w:val="16"/>
              </w:rPr>
              <w:t>The ERT recommends that New Zealand provide evidence that its national circumstances make the collection of data on SOC in mineral soils and on its variation across time in forest land remaining forest land impracticable or, if this is not possible, that the Party plan activities to be implemented in the next few years to collect the data needed to apply a tier 2 estimate to SOC changes in mineral soils of tall natural forest remaining tall natural forest.</w:t>
            </w:r>
          </w:p>
        </w:tc>
        <w:tc>
          <w:tcPr>
            <w:tcW w:w="2879" w:type="dxa"/>
            <w:shd w:val="clear" w:color="auto" w:fill="FFFFFF"/>
            <w:tcMar>
              <w:top w:w="0" w:type="dxa"/>
              <w:left w:w="85" w:type="dxa"/>
              <w:bottom w:w="0" w:type="dxa"/>
              <w:right w:w="85" w:type="dxa"/>
            </w:tcMar>
          </w:tcPr>
          <w:p w14:paraId="496B49EE" w14:textId="5085628B" w:rsidR="007E0025" w:rsidRPr="00BE78CA" w:rsidRDefault="007E0025" w:rsidP="00C26084">
            <w:pPr>
              <w:pStyle w:val="TableText"/>
            </w:pPr>
            <w:r w:rsidRPr="00BE78CA">
              <w:rPr>
                <w:rFonts w:eastAsia="Calibri"/>
                <w:b/>
                <w:bCs/>
              </w:rPr>
              <w:t xml:space="preserve">Resolved. </w:t>
            </w:r>
            <w:r w:rsidRPr="00BE78CA">
              <w:rPr>
                <w:rFonts w:eastAsia="Calibri"/>
              </w:rPr>
              <w:t>To undertake a robust study to</w:t>
            </w:r>
            <w:r w:rsidR="0055281A" w:rsidRPr="00BE78CA">
              <w:rPr>
                <w:rFonts w:eastAsia="Calibri"/>
              </w:rPr>
              <w:t> </w:t>
            </w:r>
            <w:r w:rsidRPr="00BE78CA">
              <w:rPr>
                <w:rFonts w:eastAsia="Calibri"/>
              </w:rPr>
              <w:t>collect this information would likely cost between $400,000 and $600,000 per</w:t>
            </w:r>
            <w:r w:rsidR="0055281A" w:rsidRPr="00BE78CA">
              <w:rPr>
                <w:rFonts w:eastAsia="Calibri"/>
              </w:rPr>
              <w:t> </w:t>
            </w:r>
            <w:r w:rsidRPr="00BE78CA">
              <w:rPr>
                <w:rFonts w:eastAsia="Calibri"/>
              </w:rPr>
              <w:t>year. At a minimum, this is more than</w:t>
            </w:r>
            <w:r w:rsidR="0055281A" w:rsidRPr="00BE78CA">
              <w:rPr>
                <w:rFonts w:eastAsia="Calibri"/>
              </w:rPr>
              <w:t> </w:t>
            </w:r>
            <w:r w:rsidRPr="00BE78CA">
              <w:rPr>
                <w:rFonts w:eastAsia="Calibri"/>
              </w:rPr>
              <w:t>five times the annual research budget for the LULUCF sector. Following decision tree 2.4 in volume 4 of the 2006 IPCC Guidelines (IPCC, 2006), there are insufficient resources to implement such research in the near future.</w:t>
            </w:r>
          </w:p>
        </w:tc>
      </w:tr>
      <w:tr w:rsidR="007E0025" w:rsidRPr="00BE78CA" w14:paraId="3C8542D0" w14:textId="77777777" w:rsidTr="00BB5269">
        <w:tc>
          <w:tcPr>
            <w:tcW w:w="1813" w:type="dxa"/>
            <w:shd w:val="clear" w:color="auto" w:fill="FFFFFF"/>
            <w:tcMar>
              <w:top w:w="0" w:type="dxa"/>
              <w:left w:w="85" w:type="dxa"/>
              <w:bottom w:w="0" w:type="dxa"/>
              <w:right w:w="85" w:type="dxa"/>
            </w:tcMar>
          </w:tcPr>
          <w:p w14:paraId="004C4254" w14:textId="77777777" w:rsidR="007E0025" w:rsidRPr="00BE78CA" w:rsidRDefault="007E0025" w:rsidP="00C26084">
            <w:pPr>
              <w:pStyle w:val="TableText"/>
            </w:pPr>
            <w:r w:rsidRPr="00BE78CA">
              <w:rPr>
                <w:rFonts w:eastAsia="Calibri" w:cs="Calibri"/>
                <w:color w:val="111111"/>
                <w:szCs w:val="16"/>
              </w:rPr>
              <w:t>LULUCF – 4.A.2 Land converted to forest land – CO</w:t>
            </w:r>
            <w:r w:rsidRPr="00BE78CA">
              <w:rPr>
                <w:rFonts w:eastAsia="Calibri" w:cs="Calibri"/>
                <w:color w:val="111111"/>
                <w:szCs w:val="16"/>
                <w:vertAlign w:val="subscript"/>
              </w:rPr>
              <w:t>2</w:t>
            </w:r>
            <w:r w:rsidRPr="00BE78CA">
              <w:rPr>
                <w:rFonts w:eastAsia="Calibri" w:cs="Calibri"/>
                <w:color w:val="111111"/>
                <w:szCs w:val="16"/>
              </w:rPr>
              <w:t xml:space="preserve"> and N</w:t>
            </w:r>
            <w:r w:rsidRPr="00BE78CA">
              <w:rPr>
                <w:rFonts w:eastAsia="Calibri" w:cs="Calibri"/>
                <w:color w:val="111111"/>
                <w:szCs w:val="16"/>
                <w:vertAlign w:val="subscript"/>
              </w:rPr>
              <w:t>2</w:t>
            </w:r>
            <w:r w:rsidRPr="00BE78CA">
              <w:rPr>
                <w:rFonts w:eastAsia="Calibri" w:cs="Calibri"/>
                <w:color w:val="111111"/>
                <w:szCs w:val="16"/>
              </w:rPr>
              <w:t>O</w:t>
            </w:r>
          </w:p>
        </w:tc>
        <w:tc>
          <w:tcPr>
            <w:tcW w:w="907" w:type="dxa"/>
            <w:shd w:val="clear" w:color="auto" w:fill="FFFFFF"/>
            <w:tcMar>
              <w:top w:w="0" w:type="dxa"/>
              <w:left w:w="85" w:type="dxa"/>
              <w:bottom w:w="0" w:type="dxa"/>
              <w:right w:w="85" w:type="dxa"/>
            </w:tcMar>
          </w:tcPr>
          <w:p w14:paraId="089952C2" w14:textId="77777777" w:rsidR="007E0025" w:rsidRPr="00BE78CA" w:rsidRDefault="007E0025" w:rsidP="00C26084">
            <w:pPr>
              <w:pStyle w:val="TableText"/>
            </w:pPr>
            <w:r w:rsidRPr="00BE78CA">
              <w:rPr>
                <w:rFonts w:eastAsia="Calibri" w:cs="Calibri"/>
                <w:color w:val="111111"/>
                <w:szCs w:val="16"/>
              </w:rPr>
              <w:t>L.20, 2019</w:t>
            </w:r>
          </w:p>
        </w:tc>
        <w:tc>
          <w:tcPr>
            <w:tcW w:w="2784" w:type="dxa"/>
            <w:shd w:val="clear" w:color="auto" w:fill="FFFFFF"/>
            <w:tcMar>
              <w:top w:w="0" w:type="dxa"/>
              <w:left w:w="85" w:type="dxa"/>
              <w:bottom w:w="0" w:type="dxa"/>
              <w:right w:w="85" w:type="dxa"/>
            </w:tcMar>
          </w:tcPr>
          <w:p w14:paraId="7D087F77" w14:textId="77777777" w:rsidR="007E0025" w:rsidRPr="00BE78CA" w:rsidRDefault="007E0025" w:rsidP="00C26084">
            <w:pPr>
              <w:pStyle w:val="TableText"/>
            </w:pPr>
            <w:r w:rsidRPr="00BE78CA">
              <w:rPr>
                <w:rFonts w:eastAsia="Calibri" w:cs="Calibri"/>
                <w:color w:val="111111"/>
                <w:szCs w:val="16"/>
              </w:rPr>
              <w:t>The ERT recommends that New Zealand report disaggregated information for the two subcategories of post-1989 natural forest and post-1989 plantations.</w:t>
            </w:r>
          </w:p>
        </w:tc>
        <w:tc>
          <w:tcPr>
            <w:tcW w:w="2879" w:type="dxa"/>
            <w:shd w:val="clear" w:color="auto" w:fill="FFFFFF"/>
            <w:tcMar>
              <w:top w:w="0" w:type="dxa"/>
              <w:left w:w="85" w:type="dxa"/>
              <w:bottom w:w="0" w:type="dxa"/>
              <w:right w:w="85" w:type="dxa"/>
            </w:tcMar>
          </w:tcPr>
          <w:p w14:paraId="4A0F0024" w14:textId="77777777" w:rsidR="007E0025" w:rsidRPr="00BE78CA" w:rsidRDefault="007E0025" w:rsidP="00C26084">
            <w:pPr>
              <w:pStyle w:val="TableText"/>
            </w:pPr>
            <w:r w:rsidRPr="00BE78CA">
              <w:rPr>
                <w:rFonts w:eastAsia="Calibri"/>
                <w:b/>
                <w:bCs/>
              </w:rPr>
              <w:t xml:space="preserve">Resolved. </w:t>
            </w:r>
            <w:r w:rsidRPr="00BE78CA">
              <w:rPr>
                <w:rFonts w:eastAsia="Calibri"/>
              </w:rPr>
              <w:t>The post-1989 forest category has been disaggregated into post-1989 planted forest and post-1989 natural forest for the 2021 submission.</w:t>
            </w:r>
          </w:p>
        </w:tc>
      </w:tr>
      <w:tr w:rsidR="007E0025" w:rsidRPr="00BE78CA" w14:paraId="626B5FB2" w14:textId="77777777" w:rsidTr="00BB5269">
        <w:tc>
          <w:tcPr>
            <w:tcW w:w="1813" w:type="dxa"/>
            <w:shd w:val="clear" w:color="auto" w:fill="FFFFFF"/>
            <w:tcMar>
              <w:top w:w="0" w:type="dxa"/>
              <w:left w:w="85" w:type="dxa"/>
              <w:bottom w:w="0" w:type="dxa"/>
              <w:right w:w="85" w:type="dxa"/>
            </w:tcMar>
          </w:tcPr>
          <w:p w14:paraId="5F610851" w14:textId="28225D04" w:rsidR="007E0025" w:rsidRPr="00BE78CA" w:rsidRDefault="007E0025" w:rsidP="00C26084">
            <w:pPr>
              <w:pStyle w:val="TableText"/>
            </w:pPr>
            <w:r w:rsidRPr="00BE78CA">
              <w:rPr>
                <w:rFonts w:eastAsia="Calibri" w:cs="Calibri"/>
                <w:color w:val="111111"/>
                <w:szCs w:val="16"/>
              </w:rPr>
              <w:t xml:space="preserve">LULUCF – 4.B.1 Cropland remaining cropland </w:t>
            </w:r>
            <w:r w:rsidR="0055281A" w:rsidRPr="00BE78CA">
              <w:rPr>
                <w:rFonts w:eastAsia="Calibri" w:cs="Calibri"/>
                <w:color w:val="111111"/>
                <w:szCs w:val="16"/>
              </w:rPr>
              <w:br/>
            </w:r>
            <w:r w:rsidRPr="00BE78CA">
              <w:rPr>
                <w:rFonts w:eastAsia="Calibri" w:cs="Calibri"/>
                <w:color w:val="111111"/>
                <w:szCs w:val="16"/>
              </w:rPr>
              <w:t>– CO</w:t>
            </w:r>
            <w:r w:rsidRPr="00BE78CA">
              <w:rPr>
                <w:rFonts w:eastAsia="Calibri" w:cs="Calibri"/>
                <w:color w:val="111111"/>
                <w:szCs w:val="16"/>
                <w:vertAlign w:val="subscript"/>
              </w:rPr>
              <w:t>2</w:t>
            </w:r>
          </w:p>
        </w:tc>
        <w:tc>
          <w:tcPr>
            <w:tcW w:w="907" w:type="dxa"/>
            <w:shd w:val="clear" w:color="auto" w:fill="FFFFFF"/>
            <w:tcMar>
              <w:top w:w="0" w:type="dxa"/>
              <w:left w:w="85" w:type="dxa"/>
              <w:bottom w:w="0" w:type="dxa"/>
              <w:right w:w="85" w:type="dxa"/>
            </w:tcMar>
          </w:tcPr>
          <w:p w14:paraId="2888F4B4" w14:textId="77777777" w:rsidR="007E0025" w:rsidRPr="00BE78CA" w:rsidRDefault="007E0025" w:rsidP="00C26084">
            <w:pPr>
              <w:pStyle w:val="TableText"/>
            </w:pPr>
            <w:r w:rsidRPr="00BE78CA">
              <w:rPr>
                <w:rFonts w:eastAsia="Calibri" w:cs="Calibri"/>
                <w:color w:val="111111"/>
                <w:szCs w:val="16"/>
              </w:rPr>
              <w:t>L.21, 2019</w:t>
            </w:r>
          </w:p>
        </w:tc>
        <w:tc>
          <w:tcPr>
            <w:tcW w:w="2784" w:type="dxa"/>
            <w:shd w:val="clear" w:color="auto" w:fill="FFFFFF"/>
            <w:tcMar>
              <w:top w:w="0" w:type="dxa"/>
              <w:left w:w="85" w:type="dxa"/>
              <w:bottom w:w="0" w:type="dxa"/>
              <w:right w:w="85" w:type="dxa"/>
            </w:tcMar>
          </w:tcPr>
          <w:p w14:paraId="292058BC" w14:textId="754AE2D7" w:rsidR="007E0025" w:rsidRPr="00BE78CA" w:rsidRDefault="007E0025" w:rsidP="00C26084">
            <w:pPr>
              <w:pStyle w:val="TableText"/>
            </w:pPr>
            <w:r w:rsidRPr="00BE78CA">
              <w:rPr>
                <w:rFonts w:eastAsia="Calibri" w:cs="Calibri"/>
                <w:color w:val="111111"/>
                <w:szCs w:val="16"/>
              </w:rPr>
              <w:t>The ERT recommends that New Zealand identify the main subdivisions for its perennial cropland on the basis of the harvesting cycle and the biomass carbon stock at the end of the harvesting cycle, and build an age-class distribution for each subdivision, estimate and report annual biomass carbon stock gains and losses accordingly and report the estimation and all additional information in the</w:t>
            </w:r>
            <w:r w:rsidR="00A27698" w:rsidRPr="00BE78CA">
              <w:rPr>
                <w:rFonts w:eastAsia="Calibri" w:cs="Calibri"/>
                <w:color w:val="111111"/>
                <w:szCs w:val="16"/>
              </w:rPr>
              <w:t> </w:t>
            </w:r>
            <w:r w:rsidRPr="00BE78CA">
              <w:rPr>
                <w:rFonts w:eastAsia="Calibri" w:cs="Calibri"/>
                <w:color w:val="111111"/>
                <w:szCs w:val="16"/>
              </w:rPr>
              <w:t>NIR.</w:t>
            </w:r>
          </w:p>
        </w:tc>
        <w:tc>
          <w:tcPr>
            <w:tcW w:w="2879" w:type="dxa"/>
            <w:shd w:val="clear" w:color="auto" w:fill="FFFFFF"/>
            <w:tcMar>
              <w:top w:w="0" w:type="dxa"/>
              <w:left w:w="85" w:type="dxa"/>
              <w:bottom w:w="0" w:type="dxa"/>
              <w:right w:w="85" w:type="dxa"/>
            </w:tcMar>
          </w:tcPr>
          <w:p w14:paraId="58F8F8BD" w14:textId="77777777" w:rsidR="007E0025" w:rsidRPr="00BE78CA" w:rsidRDefault="007E0025" w:rsidP="00C26084">
            <w:pPr>
              <w:pStyle w:val="TableText"/>
            </w:pPr>
            <w:r w:rsidRPr="00BE78CA">
              <w:rPr>
                <w:rFonts w:eastAsia="Calibri"/>
                <w:b/>
                <w:bCs/>
              </w:rPr>
              <w:t>Not resolved</w:t>
            </w:r>
            <w:r w:rsidRPr="00BE78CA">
              <w:rPr>
                <w:rFonts w:eastAsia="Calibri"/>
              </w:rPr>
              <w:t>.</w:t>
            </w:r>
          </w:p>
        </w:tc>
      </w:tr>
      <w:tr w:rsidR="007E0025" w:rsidRPr="00BE78CA" w14:paraId="78F93E8A" w14:textId="77777777" w:rsidTr="00BB5269">
        <w:tc>
          <w:tcPr>
            <w:tcW w:w="1813" w:type="dxa"/>
            <w:shd w:val="clear" w:color="auto" w:fill="FFFFFF"/>
            <w:tcMar>
              <w:top w:w="0" w:type="dxa"/>
              <w:left w:w="85" w:type="dxa"/>
              <w:bottom w:w="0" w:type="dxa"/>
              <w:right w:w="85" w:type="dxa"/>
            </w:tcMar>
          </w:tcPr>
          <w:p w14:paraId="4C43253A" w14:textId="49573938" w:rsidR="007E0025" w:rsidRPr="00BE78CA" w:rsidRDefault="007E0025" w:rsidP="00C26084">
            <w:pPr>
              <w:pStyle w:val="TableText"/>
            </w:pPr>
            <w:r w:rsidRPr="00BE78CA">
              <w:rPr>
                <w:rFonts w:eastAsia="Calibri" w:cs="Calibri"/>
                <w:color w:val="111111"/>
                <w:szCs w:val="16"/>
              </w:rPr>
              <w:lastRenderedPageBreak/>
              <w:t xml:space="preserve">LULUCF – 4.B.1 Cropland remaining cropland </w:t>
            </w:r>
            <w:r w:rsidR="0055281A" w:rsidRPr="00BE78CA">
              <w:rPr>
                <w:rFonts w:eastAsia="Calibri" w:cs="Calibri"/>
                <w:color w:val="111111"/>
                <w:szCs w:val="16"/>
              </w:rPr>
              <w:br/>
            </w:r>
            <w:r w:rsidRPr="00BE78CA">
              <w:rPr>
                <w:rFonts w:eastAsia="Calibri" w:cs="Calibri"/>
                <w:color w:val="111111"/>
                <w:szCs w:val="16"/>
              </w:rPr>
              <w:t>– CO</w:t>
            </w:r>
            <w:r w:rsidRPr="00BE78CA">
              <w:rPr>
                <w:rFonts w:eastAsia="Calibri" w:cs="Calibri"/>
                <w:color w:val="111111"/>
                <w:szCs w:val="16"/>
                <w:vertAlign w:val="subscript"/>
              </w:rPr>
              <w:t>2</w:t>
            </w:r>
          </w:p>
        </w:tc>
        <w:tc>
          <w:tcPr>
            <w:tcW w:w="907" w:type="dxa"/>
            <w:shd w:val="clear" w:color="auto" w:fill="FFFFFF"/>
            <w:tcMar>
              <w:top w:w="0" w:type="dxa"/>
              <w:left w:w="85" w:type="dxa"/>
              <w:bottom w:w="0" w:type="dxa"/>
              <w:right w:w="85" w:type="dxa"/>
            </w:tcMar>
          </w:tcPr>
          <w:p w14:paraId="46F7FBAF" w14:textId="77777777" w:rsidR="007E0025" w:rsidRPr="00BE78CA" w:rsidRDefault="007E0025" w:rsidP="00C26084">
            <w:pPr>
              <w:pStyle w:val="TableText"/>
            </w:pPr>
            <w:r w:rsidRPr="00BE78CA">
              <w:rPr>
                <w:rFonts w:eastAsia="Calibri" w:cs="Calibri"/>
                <w:color w:val="111111"/>
                <w:szCs w:val="16"/>
              </w:rPr>
              <w:t>L.22, 2019</w:t>
            </w:r>
          </w:p>
        </w:tc>
        <w:tc>
          <w:tcPr>
            <w:tcW w:w="2784" w:type="dxa"/>
            <w:shd w:val="clear" w:color="auto" w:fill="FFFFFF"/>
            <w:tcMar>
              <w:top w:w="0" w:type="dxa"/>
              <w:left w:w="85" w:type="dxa"/>
              <w:bottom w:w="0" w:type="dxa"/>
              <w:right w:w="85" w:type="dxa"/>
            </w:tcMar>
          </w:tcPr>
          <w:p w14:paraId="327F4BB5" w14:textId="77777777" w:rsidR="007E0025" w:rsidRPr="00BE78CA" w:rsidRDefault="007E0025" w:rsidP="00C26084">
            <w:pPr>
              <w:pStyle w:val="TableText"/>
            </w:pPr>
            <w:r w:rsidRPr="00BE78CA">
              <w:rPr>
                <w:rFonts w:eastAsia="Calibri" w:cs="Calibri"/>
                <w:color w:val="111111"/>
                <w:szCs w:val="16"/>
              </w:rPr>
              <w:t>The ERT recommends that New Zealand plan the activities needed to collect data and prepare estimates of SOC changes in cropland associated with changes in management practices.</w:t>
            </w:r>
          </w:p>
        </w:tc>
        <w:tc>
          <w:tcPr>
            <w:tcW w:w="2879" w:type="dxa"/>
            <w:shd w:val="clear" w:color="auto" w:fill="FFFFFF"/>
            <w:tcMar>
              <w:top w:w="0" w:type="dxa"/>
              <w:left w:w="85" w:type="dxa"/>
              <w:bottom w:w="0" w:type="dxa"/>
              <w:right w:w="85" w:type="dxa"/>
            </w:tcMar>
          </w:tcPr>
          <w:p w14:paraId="58881E24" w14:textId="1A9428C1" w:rsidR="007E0025" w:rsidRPr="00BE78CA" w:rsidRDefault="007E0025" w:rsidP="00C26084">
            <w:pPr>
              <w:pStyle w:val="TableText"/>
            </w:pPr>
            <w:r w:rsidRPr="00BE78CA">
              <w:rPr>
                <w:rFonts w:eastAsia="Calibri"/>
                <w:b/>
                <w:bCs/>
              </w:rPr>
              <w:t>Addressing.</w:t>
            </w:r>
            <w:r w:rsidRPr="00BE78CA">
              <w:rPr>
                <w:rFonts w:eastAsia="Calibri"/>
              </w:rPr>
              <w:t xml:space="preserve"> A longitudinal agricultural land soils study is currently under way. The study is expected to show the impact of management practices on soil carbon. The study is being carried out over 12</w:t>
            </w:r>
            <w:r w:rsidR="0055281A" w:rsidRPr="00BE78CA">
              <w:rPr>
                <w:rFonts w:eastAsia="Calibri"/>
              </w:rPr>
              <w:t> </w:t>
            </w:r>
            <w:r w:rsidRPr="00BE78CA">
              <w:rPr>
                <w:rFonts w:eastAsia="Calibri"/>
              </w:rPr>
              <w:t>years, so data are not expected to be available for a number of years.</w:t>
            </w:r>
          </w:p>
        </w:tc>
      </w:tr>
      <w:tr w:rsidR="007E0025" w:rsidRPr="00BE78CA" w14:paraId="4E771891" w14:textId="77777777" w:rsidTr="00BB5269">
        <w:tc>
          <w:tcPr>
            <w:tcW w:w="1813" w:type="dxa"/>
            <w:shd w:val="clear" w:color="auto" w:fill="FFFFFF"/>
            <w:tcMar>
              <w:top w:w="0" w:type="dxa"/>
              <w:left w:w="85" w:type="dxa"/>
              <w:bottom w:w="0" w:type="dxa"/>
              <w:right w:w="85" w:type="dxa"/>
            </w:tcMar>
          </w:tcPr>
          <w:p w14:paraId="0CE130D1" w14:textId="323B0039" w:rsidR="007E0025" w:rsidRPr="00BE78CA" w:rsidRDefault="007E0025" w:rsidP="00C26084">
            <w:pPr>
              <w:pStyle w:val="TableText"/>
            </w:pPr>
            <w:r w:rsidRPr="00BE78CA">
              <w:rPr>
                <w:rFonts w:eastAsia="Calibri" w:cs="Calibri"/>
                <w:color w:val="111111"/>
                <w:szCs w:val="16"/>
              </w:rPr>
              <w:t xml:space="preserve">LULUCF – 4.C.2 Land converted to grassland </w:t>
            </w:r>
            <w:r w:rsidR="0055281A" w:rsidRPr="00BE78CA">
              <w:rPr>
                <w:rFonts w:eastAsia="Calibri" w:cs="Calibri"/>
                <w:color w:val="111111"/>
                <w:szCs w:val="16"/>
              </w:rPr>
              <w:br/>
            </w:r>
            <w:r w:rsidRPr="00BE78CA">
              <w:rPr>
                <w:rFonts w:eastAsia="Calibri" w:cs="Calibri"/>
                <w:color w:val="111111"/>
                <w:szCs w:val="16"/>
              </w:rPr>
              <w:t>– CO</w:t>
            </w:r>
            <w:r w:rsidRPr="00BE78CA">
              <w:rPr>
                <w:rFonts w:eastAsia="Calibri" w:cs="Calibri"/>
                <w:color w:val="111111"/>
                <w:szCs w:val="16"/>
                <w:vertAlign w:val="subscript"/>
              </w:rPr>
              <w:t>2</w:t>
            </w:r>
          </w:p>
        </w:tc>
        <w:tc>
          <w:tcPr>
            <w:tcW w:w="907" w:type="dxa"/>
            <w:shd w:val="clear" w:color="auto" w:fill="FFFFFF"/>
            <w:tcMar>
              <w:top w:w="0" w:type="dxa"/>
              <w:left w:w="85" w:type="dxa"/>
              <w:bottom w:w="0" w:type="dxa"/>
              <w:right w:w="85" w:type="dxa"/>
            </w:tcMar>
          </w:tcPr>
          <w:p w14:paraId="361A7EFE" w14:textId="77777777" w:rsidR="007E0025" w:rsidRPr="00BE78CA" w:rsidRDefault="007E0025" w:rsidP="00C26084">
            <w:pPr>
              <w:pStyle w:val="TableText"/>
            </w:pPr>
            <w:r w:rsidRPr="00BE78CA">
              <w:rPr>
                <w:rFonts w:eastAsia="Calibri" w:cs="Calibri"/>
                <w:color w:val="111111"/>
                <w:szCs w:val="16"/>
              </w:rPr>
              <w:t>L.23, 2019</w:t>
            </w:r>
          </w:p>
        </w:tc>
        <w:tc>
          <w:tcPr>
            <w:tcW w:w="2784" w:type="dxa"/>
            <w:shd w:val="clear" w:color="auto" w:fill="FFFFFF"/>
            <w:tcMar>
              <w:top w:w="0" w:type="dxa"/>
              <w:left w:w="85" w:type="dxa"/>
              <w:bottom w:w="0" w:type="dxa"/>
              <w:right w:w="85" w:type="dxa"/>
            </w:tcMar>
          </w:tcPr>
          <w:p w14:paraId="3186B18A" w14:textId="0FD5756F" w:rsidR="007E0025" w:rsidRPr="00BE78CA" w:rsidRDefault="007E0025" w:rsidP="00C26084">
            <w:pPr>
              <w:pStyle w:val="TableText"/>
            </w:pPr>
            <w:r w:rsidRPr="00BE78CA">
              <w:rPr>
                <w:rFonts w:eastAsia="Calibri" w:cs="Calibri"/>
                <w:color w:val="111111"/>
                <w:szCs w:val="16"/>
              </w:rPr>
              <w:t xml:space="preserve">The ERT recommends that New Zealand use </w:t>
            </w:r>
            <w:r w:rsidR="0055281A" w:rsidRPr="00BE78CA">
              <w:rPr>
                <w:rFonts w:eastAsia="Calibri" w:cs="Calibri"/>
                <w:color w:val="111111"/>
                <w:szCs w:val="16"/>
              </w:rPr>
              <w:t>‘NE’</w:t>
            </w:r>
            <w:r w:rsidRPr="00BE78CA">
              <w:rPr>
                <w:rFonts w:eastAsia="Calibri" w:cs="Calibri"/>
                <w:color w:val="111111"/>
                <w:szCs w:val="16"/>
              </w:rPr>
              <w:t xml:space="preserve"> for biomass carbon stock losses in wetlands converted to grassland, providing relevant references to the 2006 IPCC Guidelines for justification, or revise its methodology by assigning a biomass carbon stock value to wetlands before conversion, in particular for the subcategory vegetated wetlands.</w:t>
            </w:r>
          </w:p>
        </w:tc>
        <w:tc>
          <w:tcPr>
            <w:tcW w:w="2879" w:type="dxa"/>
            <w:shd w:val="clear" w:color="auto" w:fill="FFFFFF"/>
            <w:tcMar>
              <w:top w:w="0" w:type="dxa"/>
              <w:left w:w="85" w:type="dxa"/>
              <w:bottom w:w="0" w:type="dxa"/>
              <w:right w:w="85" w:type="dxa"/>
            </w:tcMar>
          </w:tcPr>
          <w:p w14:paraId="1755B7C1" w14:textId="77777777" w:rsidR="007E0025" w:rsidRPr="00BE78CA" w:rsidRDefault="007E0025" w:rsidP="00C26084">
            <w:pPr>
              <w:pStyle w:val="TableText"/>
              <w:rPr>
                <w:b/>
                <w:bCs/>
              </w:rPr>
            </w:pPr>
            <w:r w:rsidRPr="00BE78CA">
              <w:rPr>
                <w:rFonts w:eastAsia="Calibri"/>
                <w:b/>
                <w:bCs/>
              </w:rPr>
              <w:t xml:space="preserve">Resolved. </w:t>
            </w:r>
            <w:r w:rsidRPr="00BE78CA">
              <w:rPr>
                <w:rFonts w:eastAsia="Calibri" w:cs="Calibri"/>
                <w:color w:val="111111"/>
                <w:szCs w:val="16"/>
              </w:rPr>
              <w:t>New Zealand applies Tier 1 methods for estimating CO</w:t>
            </w:r>
            <w:r w:rsidRPr="00BE78CA">
              <w:rPr>
                <w:rFonts w:eastAsia="Calibri" w:cs="Calibri"/>
                <w:color w:val="111111"/>
                <w:szCs w:val="16"/>
                <w:vertAlign w:val="subscript"/>
              </w:rPr>
              <w:t>2</w:t>
            </w:r>
            <w:r w:rsidRPr="00BE78CA">
              <w:rPr>
                <w:rFonts w:eastAsia="Calibri" w:cs="Calibri"/>
                <w:color w:val="111111"/>
                <w:szCs w:val="16"/>
              </w:rPr>
              <w:t xml:space="preserve"> emissions in </w:t>
            </w:r>
            <w:r w:rsidRPr="00BE78CA">
              <w:rPr>
                <w:rFonts w:eastAsia="Calibri" w:cs="Calibri"/>
                <w:i/>
                <w:iCs/>
                <w:color w:val="111111"/>
                <w:szCs w:val="16"/>
              </w:rPr>
              <w:t>Wetlands remaining wetlands</w:t>
            </w:r>
            <w:r w:rsidRPr="00BE78CA">
              <w:rPr>
                <w:rFonts w:eastAsia="Calibri" w:cs="Calibri"/>
                <w:color w:val="111111"/>
                <w:szCs w:val="16"/>
              </w:rPr>
              <w:t xml:space="preserve"> (following the guidance provided in section 7.1 of the 2006 IPCC Guidelines (IPCC, 2006a)). There is no default value provided in the guidance for above ground biomass or dead organic matter for this category (see section 6.7.2 of the NIR). New Zealand has insufficient data to apply a country specific value for these carbon pools. Therefore, New Zealand has not prepared estimates for change in living biomass or dead organic matter for this category and reports the notation key NE (not estimated) in CRF table </w:t>
            </w:r>
            <w:bookmarkStart w:id="3316" w:name="_Hlk67377336"/>
            <w:r w:rsidRPr="00BE78CA">
              <w:rPr>
                <w:rFonts w:eastAsia="Calibri" w:cs="Calibri"/>
                <w:color w:val="111111"/>
                <w:szCs w:val="16"/>
              </w:rPr>
              <w:t xml:space="preserve">4.C.2.3.i </w:t>
            </w:r>
            <w:bookmarkEnd w:id="3316"/>
            <w:r w:rsidRPr="00BE78CA">
              <w:rPr>
                <w:rFonts w:eastAsia="Calibri" w:cs="Calibri"/>
                <w:color w:val="111111"/>
                <w:szCs w:val="16"/>
              </w:rPr>
              <w:t>for this category.</w:t>
            </w:r>
            <w:r w:rsidRPr="00BE78CA">
              <w:rPr>
                <w:rFonts w:eastAsia="Calibri"/>
              </w:rPr>
              <w:t>.</w:t>
            </w:r>
          </w:p>
        </w:tc>
      </w:tr>
      <w:tr w:rsidR="007E0025" w:rsidRPr="00BE78CA" w14:paraId="44520CD2" w14:textId="77777777" w:rsidTr="00BB5269">
        <w:tc>
          <w:tcPr>
            <w:tcW w:w="1813" w:type="dxa"/>
            <w:shd w:val="clear" w:color="auto" w:fill="FFFFFF"/>
            <w:tcMar>
              <w:top w:w="0" w:type="dxa"/>
              <w:left w:w="85" w:type="dxa"/>
              <w:bottom w:w="0" w:type="dxa"/>
              <w:right w:w="85" w:type="dxa"/>
            </w:tcMar>
          </w:tcPr>
          <w:p w14:paraId="49F64805" w14:textId="40EC36CD" w:rsidR="007E0025" w:rsidRPr="00BE78CA" w:rsidRDefault="007E0025" w:rsidP="00C26084">
            <w:pPr>
              <w:pStyle w:val="TableText"/>
            </w:pPr>
            <w:r w:rsidRPr="00BE78CA">
              <w:rPr>
                <w:rFonts w:eastAsia="Calibri" w:cs="Calibri"/>
                <w:color w:val="111111"/>
                <w:szCs w:val="16"/>
              </w:rPr>
              <w:t xml:space="preserve">LULUCF – 4.D Wetlands </w:t>
            </w:r>
            <w:r w:rsidR="0055281A" w:rsidRPr="00BE78CA">
              <w:rPr>
                <w:rFonts w:eastAsia="Calibri" w:cs="Calibri"/>
                <w:color w:val="111111"/>
                <w:szCs w:val="16"/>
              </w:rPr>
              <w:br/>
            </w:r>
            <w:r w:rsidRPr="00BE78CA">
              <w:rPr>
                <w:rFonts w:eastAsia="Calibri" w:cs="Calibri"/>
                <w:color w:val="111111"/>
                <w:szCs w:val="16"/>
              </w:rPr>
              <w:t>– CO</w:t>
            </w:r>
            <w:r w:rsidRPr="00BE78CA">
              <w:rPr>
                <w:rFonts w:eastAsia="Calibri" w:cs="Calibri"/>
                <w:color w:val="111111"/>
                <w:szCs w:val="16"/>
                <w:vertAlign w:val="subscript"/>
              </w:rPr>
              <w:t>2</w:t>
            </w:r>
          </w:p>
        </w:tc>
        <w:tc>
          <w:tcPr>
            <w:tcW w:w="907" w:type="dxa"/>
            <w:shd w:val="clear" w:color="auto" w:fill="FFFFFF"/>
            <w:tcMar>
              <w:top w:w="0" w:type="dxa"/>
              <w:left w:w="85" w:type="dxa"/>
              <w:bottom w:w="0" w:type="dxa"/>
              <w:right w:w="85" w:type="dxa"/>
            </w:tcMar>
          </w:tcPr>
          <w:p w14:paraId="0835BD63" w14:textId="77777777" w:rsidR="007E0025" w:rsidRPr="00BE78CA" w:rsidRDefault="007E0025" w:rsidP="00C26084">
            <w:pPr>
              <w:pStyle w:val="TableText"/>
            </w:pPr>
            <w:r w:rsidRPr="00BE78CA">
              <w:rPr>
                <w:rFonts w:eastAsia="Calibri" w:cs="Calibri"/>
                <w:color w:val="111111"/>
                <w:szCs w:val="16"/>
              </w:rPr>
              <w:t>L.24, 2019</w:t>
            </w:r>
          </w:p>
        </w:tc>
        <w:tc>
          <w:tcPr>
            <w:tcW w:w="2784" w:type="dxa"/>
            <w:shd w:val="clear" w:color="auto" w:fill="FFFFFF"/>
            <w:tcMar>
              <w:top w:w="0" w:type="dxa"/>
              <w:left w:w="85" w:type="dxa"/>
              <w:bottom w:w="0" w:type="dxa"/>
              <w:right w:w="85" w:type="dxa"/>
            </w:tcMar>
          </w:tcPr>
          <w:p w14:paraId="10AF4314" w14:textId="77777777" w:rsidR="007E0025" w:rsidRPr="00BE78CA" w:rsidRDefault="007E0025" w:rsidP="00C26084">
            <w:pPr>
              <w:pStyle w:val="TableText"/>
            </w:pPr>
            <w:r w:rsidRPr="00BE78CA">
              <w:rPr>
                <w:rFonts w:eastAsia="Calibri" w:cs="Calibri"/>
                <w:color w:val="111111"/>
                <w:szCs w:val="16"/>
              </w:rPr>
              <w:t>The ERT recommends that New Zealand revise the biomass carbon stock of vegetated wetlands using data available in literature (e.g. Morrisey et al., 2010).</w:t>
            </w:r>
          </w:p>
        </w:tc>
        <w:tc>
          <w:tcPr>
            <w:tcW w:w="2879" w:type="dxa"/>
            <w:shd w:val="clear" w:color="auto" w:fill="FFFFFF"/>
            <w:tcMar>
              <w:top w:w="0" w:type="dxa"/>
              <w:left w:w="85" w:type="dxa"/>
              <w:bottom w:w="0" w:type="dxa"/>
              <w:right w:w="85" w:type="dxa"/>
            </w:tcMar>
          </w:tcPr>
          <w:p w14:paraId="2EAD0E03" w14:textId="77777777" w:rsidR="007E0025" w:rsidRPr="00BE78CA" w:rsidRDefault="007E0025" w:rsidP="00C26084">
            <w:pPr>
              <w:pStyle w:val="TableText"/>
              <w:rPr>
                <w:rFonts w:eastAsia="Calibri"/>
              </w:rPr>
            </w:pPr>
            <w:r w:rsidRPr="00BE78CA">
              <w:rPr>
                <w:rFonts w:eastAsia="Calibri"/>
                <w:b/>
                <w:bCs/>
              </w:rPr>
              <w:t xml:space="preserve">Resolved. </w:t>
            </w:r>
            <w:r w:rsidRPr="00BE78CA">
              <w:rPr>
                <w:rFonts w:eastAsia="Calibri"/>
              </w:rPr>
              <w:t xml:space="preserve">According to the UNFCCC Reporting Guidelines for Annex I Parties (Decision 24/CP.19, paragraph 4), Annex I Parties are encouraged to apply the Wetlands supplement, but this is not mandatory. Application of the wetlands supplement is optional. New Zealand has not elected to apply the wetlands supplement and has not used the EFs and parameters from the Wetlands supplement. Also, please note that New Zealand does not have a commitment under the Kyoto Protocol for 2013–20. Therefore, New Zealand follows the 2006 IPCC Guidelines for this category, which do not provide the default values for above-ground biomass for vegetated wetlands. </w:t>
            </w:r>
          </w:p>
          <w:p w14:paraId="3FFF6853" w14:textId="77777777" w:rsidR="007E0025" w:rsidRPr="00BE78CA" w:rsidRDefault="007E0025" w:rsidP="00C26084">
            <w:pPr>
              <w:pStyle w:val="TableText"/>
            </w:pPr>
            <w:r w:rsidRPr="00BE78CA">
              <w:rPr>
                <w:rFonts w:eastAsia="Calibri"/>
              </w:rPr>
              <w:t>New Zealand requests to close this recommendation because it is not applicable to New Zealand.</w:t>
            </w:r>
          </w:p>
        </w:tc>
      </w:tr>
      <w:tr w:rsidR="007E0025" w:rsidRPr="00BE78CA" w14:paraId="17A11C9D" w14:textId="77777777" w:rsidTr="00BB5269">
        <w:tc>
          <w:tcPr>
            <w:tcW w:w="1813" w:type="dxa"/>
            <w:shd w:val="clear" w:color="auto" w:fill="FFFFFF"/>
            <w:tcMar>
              <w:top w:w="0" w:type="dxa"/>
              <w:left w:w="85" w:type="dxa"/>
              <w:bottom w:w="0" w:type="dxa"/>
              <w:right w:w="85" w:type="dxa"/>
            </w:tcMar>
          </w:tcPr>
          <w:p w14:paraId="1AC2B7DF" w14:textId="77777777" w:rsidR="007E0025" w:rsidRPr="00BE78CA" w:rsidRDefault="007E0025" w:rsidP="00C26084">
            <w:pPr>
              <w:pStyle w:val="TableText"/>
            </w:pPr>
            <w:r w:rsidRPr="00BE78CA">
              <w:rPr>
                <w:rFonts w:eastAsia="Calibri" w:cs="Calibri"/>
                <w:color w:val="111111"/>
                <w:szCs w:val="16"/>
              </w:rPr>
              <w:t>LULUCF – 4.F Other land – all GHGs</w:t>
            </w:r>
          </w:p>
        </w:tc>
        <w:tc>
          <w:tcPr>
            <w:tcW w:w="907" w:type="dxa"/>
            <w:shd w:val="clear" w:color="auto" w:fill="FFFFFF"/>
            <w:tcMar>
              <w:top w:w="0" w:type="dxa"/>
              <w:left w:w="85" w:type="dxa"/>
              <w:bottom w:w="0" w:type="dxa"/>
              <w:right w:w="85" w:type="dxa"/>
            </w:tcMar>
          </w:tcPr>
          <w:p w14:paraId="3B14A8D9" w14:textId="77777777" w:rsidR="007E0025" w:rsidRPr="00BE78CA" w:rsidRDefault="007E0025" w:rsidP="00C26084">
            <w:pPr>
              <w:pStyle w:val="TableText"/>
            </w:pPr>
            <w:r w:rsidRPr="00BE78CA">
              <w:rPr>
                <w:rFonts w:eastAsia="Calibri" w:cs="Calibri"/>
                <w:color w:val="111111"/>
                <w:szCs w:val="16"/>
              </w:rPr>
              <w:t>L.27, 2019</w:t>
            </w:r>
          </w:p>
        </w:tc>
        <w:tc>
          <w:tcPr>
            <w:tcW w:w="2784" w:type="dxa"/>
            <w:shd w:val="clear" w:color="auto" w:fill="FFFFFF"/>
            <w:tcMar>
              <w:top w:w="0" w:type="dxa"/>
              <w:left w:w="85" w:type="dxa"/>
              <w:bottom w:w="0" w:type="dxa"/>
              <w:right w:w="85" w:type="dxa"/>
            </w:tcMar>
          </w:tcPr>
          <w:p w14:paraId="229E6793" w14:textId="77777777" w:rsidR="007E0025" w:rsidRPr="00BE78CA" w:rsidRDefault="007E0025" w:rsidP="00C26084">
            <w:pPr>
              <w:pStyle w:val="TableText"/>
            </w:pPr>
            <w:r w:rsidRPr="00BE78CA">
              <w:rPr>
                <w:rFonts w:eastAsia="Calibri" w:cs="Calibri"/>
                <w:color w:val="111111"/>
                <w:szCs w:val="16"/>
              </w:rPr>
              <w:t>The ERT recommends that New Zealand reclassify all other land with significant SOC content under the most appropriate land-use category and recalculate its land representation and SOC changes for the revised area of conversion to and from other land.</w:t>
            </w:r>
          </w:p>
        </w:tc>
        <w:tc>
          <w:tcPr>
            <w:tcW w:w="2879" w:type="dxa"/>
            <w:shd w:val="clear" w:color="auto" w:fill="FFFFFF"/>
            <w:tcMar>
              <w:top w:w="0" w:type="dxa"/>
              <w:left w:w="85" w:type="dxa"/>
              <w:bottom w:w="0" w:type="dxa"/>
              <w:right w:w="85" w:type="dxa"/>
            </w:tcMar>
          </w:tcPr>
          <w:p w14:paraId="31F8249B" w14:textId="77777777" w:rsidR="007E0025" w:rsidRPr="00BE78CA" w:rsidRDefault="007E0025" w:rsidP="00C26084">
            <w:pPr>
              <w:pStyle w:val="TableText"/>
            </w:pPr>
            <w:r w:rsidRPr="00BE78CA">
              <w:rPr>
                <w:rFonts w:eastAsia="Calibri"/>
                <w:b/>
                <w:bCs/>
              </w:rPr>
              <w:t xml:space="preserve">Resolved. </w:t>
            </w:r>
            <w:r w:rsidRPr="00BE78CA">
              <w:rPr>
                <w:rFonts w:eastAsia="Calibri"/>
              </w:rPr>
              <w:t>In line with the 2006 IPCC Guidelines, land use classifications are applied using a hierarchical approach, with other land at the bottom of the hierarchy. In other land, the definition includes “any other remaining land that does not fall into any of the other land use categories”. It is therefore possible that ‘other land’ may have SOC that is greater than zero.</w:t>
            </w:r>
          </w:p>
        </w:tc>
      </w:tr>
      <w:tr w:rsidR="007E0025" w:rsidRPr="00BE78CA" w14:paraId="7959C897" w14:textId="77777777" w:rsidTr="00BB5269">
        <w:tc>
          <w:tcPr>
            <w:tcW w:w="1813" w:type="dxa"/>
            <w:shd w:val="clear" w:color="auto" w:fill="FFFFFF"/>
            <w:tcMar>
              <w:top w:w="0" w:type="dxa"/>
              <w:left w:w="85" w:type="dxa"/>
              <w:bottom w:w="0" w:type="dxa"/>
              <w:right w:w="85" w:type="dxa"/>
            </w:tcMar>
          </w:tcPr>
          <w:p w14:paraId="1AD35F65" w14:textId="77777777" w:rsidR="007E0025" w:rsidRPr="00BE78CA" w:rsidRDefault="007E0025" w:rsidP="00C26084">
            <w:pPr>
              <w:pStyle w:val="TableText"/>
            </w:pPr>
            <w:r w:rsidRPr="00BE78CA">
              <w:rPr>
                <w:rFonts w:eastAsia="Calibri" w:cs="Calibri"/>
                <w:color w:val="111111"/>
                <w:szCs w:val="16"/>
              </w:rPr>
              <w:t>LULUCF – 4.F.2 Land converted to other land – CO</w:t>
            </w:r>
            <w:r w:rsidRPr="00BE78CA">
              <w:rPr>
                <w:rFonts w:eastAsia="Calibri" w:cs="Calibri"/>
                <w:color w:val="111111"/>
                <w:szCs w:val="16"/>
                <w:vertAlign w:val="subscript"/>
              </w:rPr>
              <w:t>2</w:t>
            </w:r>
          </w:p>
        </w:tc>
        <w:tc>
          <w:tcPr>
            <w:tcW w:w="907" w:type="dxa"/>
            <w:shd w:val="clear" w:color="auto" w:fill="FFFFFF"/>
            <w:tcMar>
              <w:top w:w="0" w:type="dxa"/>
              <w:left w:w="85" w:type="dxa"/>
              <w:bottom w:w="0" w:type="dxa"/>
              <w:right w:w="85" w:type="dxa"/>
            </w:tcMar>
          </w:tcPr>
          <w:p w14:paraId="39FF6D8C" w14:textId="77777777" w:rsidR="007E0025" w:rsidRPr="00BE78CA" w:rsidRDefault="007E0025" w:rsidP="00C26084">
            <w:pPr>
              <w:pStyle w:val="TableText"/>
            </w:pPr>
            <w:r w:rsidRPr="00BE78CA">
              <w:rPr>
                <w:rFonts w:eastAsia="Calibri" w:cs="Calibri"/>
                <w:color w:val="111111"/>
                <w:szCs w:val="16"/>
              </w:rPr>
              <w:t>L.28, 2019</w:t>
            </w:r>
          </w:p>
        </w:tc>
        <w:tc>
          <w:tcPr>
            <w:tcW w:w="2784" w:type="dxa"/>
            <w:shd w:val="clear" w:color="auto" w:fill="FFFFFF"/>
            <w:tcMar>
              <w:top w:w="0" w:type="dxa"/>
              <w:left w:w="85" w:type="dxa"/>
              <w:bottom w:w="0" w:type="dxa"/>
              <w:right w:w="85" w:type="dxa"/>
            </w:tcMar>
          </w:tcPr>
          <w:p w14:paraId="171A751E" w14:textId="61FAB516" w:rsidR="007E0025" w:rsidRPr="00BE78CA" w:rsidRDefault="007E0025" w:rsidP="00C26084">
            <w:pPr>
              <w:pStyle w:val="TableText"/>
            </w:pPr>
            <w:r w:rsidRPr="00BE78CA">
              <w:rPr>
                <w:rFonts w:eastAsia="Calibri" w:cs="Calibri"/>
                <w:color w:val="111111"/>
                <w:szCs w:val="16"/>
              </w:rPr>
              <w:t xml:space="preserve">The ERT recommends that New Zealand verify the occurrence of the conversion of land with organic soils to other land and encourages it to report a complete loss of SOC in any land with organic soils converted to other land. If the Party does not report SOC losses in organic soils converted to other land, the ERT recommends that it use </w:t>
            </w:r>
            <w:r w:rsidR="0055281A" w:rsidRPr="00BE78CA">
              <w:rPr>
                <w:rFonts w:eastAsia="Calibri" w:cs="Calibri"/>
                <w:color w:val="111111"/>
                <w:szCs w:val="16"/>
              </w:rPr>
              <w:t>‘NA’</w:t>
            </w:r>
            <w:r w:rsidRPr="00BE78CA">
              <w:rPr>
                <w:rFonts w:eastAsia="Calibri" w:cs="Calibri"/>
                <w:color w:val="111111"/>
                <w:szCs w:val="16"/>
              </w:rPr>
              <w:t>.</w:t>
            </w:r>
          </w:p>
        </w:tc>
        <w:tc>
          <w:tcPr>
            <w:tcW w:w="2879" w:type="dxa"/>
            <w:shd w:val="clear" w:color="auto" w:fill="FFFFFF"/>
            <w:tcMar>
              <w:top w:w="0" w:type="dxa"/>
              <w:left w:w="85" w:type="dxa"/>
              <w:bottom w:w="0" w:type="dxa"/>
              <w:right w:w="85" w:type="dxa"/>
            </w:tcMar>
          </w:tcPr>
          <w:p w14:paraId="6D0BD0E5" w14:textId="77777777" w:rsidR="007E0025" w:rsidRPr="00BE78CA" w:rsidRDefault="007E0025" w:rsidP="00C26084">
            <w:pPr>
              <w:pStyle w:val="TableText"/>
              <w:rPr>
                <w:b/>
                <w:bCs/>
              </w:rPr>
            </w:pPr>
            <w:r w:rsidRPr="00BE78CA">
              <w:rPr>
                <w:rFonts w:eastAsia="Calibri"/>
                <w:b/>
                <w:bCs/>
              </w:rPr>
              <w:t xml:space="preserve">Resolved. </w:t>
            </w:r>
            <w:r w:rsidRPr="00BE78CA">
              <w:rPr>
                <w:rFonts w:eastAsia="Calibri"/>
              </w:rPr>
              <w:t>New Zealand has applied the notation key ‘NO’ where land-use change on organic soils to settlements has never occurred.</w:t>
            </w:r>
          </w:p>
        </w:tc>
      </w:tr>
      <w:tr w:rsidR="007E0025" w:rsidRPr="00BE78CA" w14:paraId="75D199AD" w14:textId="77777777" w:rsidTr="00BB5269">
        <w:tc>
          <w:tcPr>
            <w:tcW w:w="1813" w:type="dxa"/>
            <w:shd w:val="clear" w:color="auto" w:fill="FFFFFF"/>
            <w:tcMar>
              <w:top w:w="0" w:type="dxa"/>
              <w:left w:w="85" w:type="dxa"/>
              <w:bottom w:w="0" w:type="dxa"/>
              <w:right w:w="85" w:type="dxa"/>
            </w:tcMar>
          </w:tcPr>
          <w:p w14:paraId="04713C2D" w14:textId="590626DD" w:rsidR="007E0025" w:rsidRPr="00BE78CA" w:rsidRDefault="007E0025" w:rsidP="00C26084">
            <w:pPr>
              <w:pStyle w:val="TableText"/>
            </w:pPr>
            <w:r w:rsidRPr="00BE78CA">
              <w:rPr>
                <w:rFonts w:eastAsia="Calibri" w:cs="Calibri"/>
                <w:color w:val="111111"/>
                <w:szCs w:val="16"/>
              </w:rPr>
              <w:lastRenderedPageBreak/>
              <w:t>LULUCF – 4(II) Emissions and removals from drainage and rewetting and other management of organic/mineral soils –</w:t>
            </w:r>
            <w:r w:rsidR="00AD3B82" w:rsidRPr="00BE78CA">
              <w:rPr>
                <w:rFonts w:eastAsia="Calibri" w:cs="Calibri"/>
                <w:color w:val="111111"/>
                <w:szCs w:val="16"/>
              </w:rPr>
              <w:t> </w:t>
            </w:r>
            <w:r w:rsidRPr="00BE78CA">
              <w:rPr>
                <w:rFonts w:eastAsia="Calibri" w:cs="Calibri"/>
                <w:color w:val="111111"/>
                <w:szCs w:val="16"/>
              </w:rPr>
              <w:t>N</w:t>
            </w:r>
            <w:r w:rsidRPr="00BE78CA">
              <w:rPr>
                <w:rFonts w:eastAsia="Calibri" w:cs="Calibri"/>
                <w:color w:val="111111"/>
                <w:szCs w:val="16"/>
                <w:vertAlign w:val="subscript"/>
              </w:rPr>
              <w:t>2</w:t>
            </w:r>
            <w:r w:rsidRPr="00BE78CA">
              <w:rPr>
                <w:rFonts w:eastAsia="Calibri" w:cs="Calibri"/>
                <w:color w:val="111111"/>
                <w:szCs w:val="16"/>
              </w:rPr>
              <w:t>O</w:t>
            </w:r>
          </w:p>
        </w:tc>
        <w:tc>
          <w:tcPr>
            <w:tcW w:w="907" w:type="dxa"/>
            <w:shd w:val="clear" w:color="auto" w:fill="FFFFFF"/>
            <w:tcMar>
              <w:top w:w="0" w:type="dxa"/>
              <w:left w:w="85" w:type="dxa"/>
              <w:bottom w:w="0" w:type="dxa"/>
              <w:right w:w="85" w:type="dxa"/>
            </w:tcMar>
          </w:tcPr>
          <w:p w14:paraId="071E2C72" w14:textId="77777777" w:rsidR="007E0025" w:rsidRPr="00BE78CA" w:rsidRDefault="007E0025" w:rsidP="00C26084">
            <w:pPr>
              <w:pStyle w:val="TableText"/>
            </w:pPr>
            <w:r w:rsidRPr="00BE78CA">
              <w:rPr>
                <w:rFonts w:eastAsia="Calibri" w:cs="Calibri"/>
                <w:color w:val="111111"/>
                <w:szCs w:val="16"/>
              </w:rPr>
              <w:t>L.29, 2019</w:t>
            </w:r>
          </w:p>
        </w:tc>
        <w:tc>
          <w:tcPr>
            <w:tcW w:w="2784" w:type="dxa"/>
            <w:shd w:val="clear" w:color="auto" w:fill="FFFFFF"/>
            <w:tcMar>
              <w:top w:w="0" w:type="dxa"/>
              <w:left w:w="85" w:type="dxa"/>
              <w:bottom w:w="0" w:type="dxa"/>
              <w:right w:w="85" w:type="dxa"/>
            </w:tcMar>
          </w:tcPr>
          <w:p w14:paraId="2B9BB754" w14:textId="77777777" w:rsidR="007E0025" w:rsidRPr="00BE78CA" w:rsidRDefault="007E0025" w:rsidP="00C26084">
            <w:pPr>
              <w:pStyle w:val="TableText"/>
            </w:pPr>
            <w:r w:rsidRPr="00BE78CA">
              <w:rPr>
                <w:rFonts w:eastAsia="Calibri" w:cs="Calibri"/>
                <w:color w:val="111111"/>
                <w:szCs w:val="16"/>
              </w:rPr>
              <w:t>The ERT recommends that New Zealand report N</w:t>
            </w:r>
            <w:r w:rsidRPr="00BE78CA">
              <w:rPr>
                <w:rFonts w:eastAsia="Calibri" w:cs="Calibri"/>
                <w:color w:val="111111"/>
                <w:szCs w:val="16"/>
                <w:vertAlign w:val="subscript"/>
              </w:rPr>
              <w:t>2</w:t>
            </w:r>
            <w:r w:rsidRPr="00BE78CA">
              <w:rPr>
                <w:rFonts w:eastAsia="Calibri" w:cs="Calibri"/>
                <w:color w:val="111111"/>
                <w:szCs w:val="16"/>
              </w:rPr>
              <w:t>O emissions from drainage of non-agricultural organic soils in CRF table 4(II) for each land category for which it reports a SOC loss in organic soils in CRF tables 4.A, 4.D and 4.E.</w:t>
            </w:r>
          </w:p>
        </w:tc>
        <w:tc>
          <w:tcPr>
            <w:tcW w:w="2879" w:type="dxa"/>
            <w:shd w:val="clear" w:color="auto" w:fill="FFFFFF"/>
            <w:tcMar>
              <w:top w:w="0" w:type="dxa"/>
              <w:left w:w="85" w:type="dxa"/>
              <w:bottom w:w="0" w:type="dxa"/>
              <w:right w:w="85" w:type="dxa"/>
            </w:tcMar>
          </w:tcPr>
          <w:p w14:paraId="0FD4E7E9" w14:textId="77777777" w:rsidR="007E0025" w:rsidRPr="00BE78CA" w:rsidRDefault="007E0025" w:rsidP="00C26084">
            <w:pPr>
              <w:pStyle w:val="TableText"/>
            </w:pPr>
            <w:r w:rsidRPr="00BE78CA">
              <w:rPr>
                <w:rFonts w:eastAsia="Calibri"/>
                <w:b/>
                <w:bCs/>
              </w:rPr>
              <w:t>Resolved.</w:t>
            </w:r>
            <w:r w:rsidRPr="00BE78CA">
              <w:rPr>
                <w:rFonts w:eastAsia="Calibri"/>
              </w:rPr>
              <w:t xml:space="preserve"> The drainage of soils and wetlands is a relatively minor activity in New Zealand and is conservatively estimated to be below the significance threshold. That is why this is reported as NE in the CRF tables and the relevant explanation is provided in chapter 6, section 6.11.2 of the NIR.</w:t>
            </w:r>
          </w:p>
        </w:tc>
      </w:tr>
      <w:tr w:rsidR="007E0025" w:rsidRPr="00BE78CA" w14:paraId="66B0BD3A" w14:textId="77777777" w:rsidTr="00BB5269">
        <w:tc>
          <w:tcPr>
            <w:tcW w:w="1813" w:type="dxa"/>
            <w:shd w:val="clear" w:color="auto" w:fill="FFFFFF"/>
            <w:tcMar>
              <w:top w:w="0" w:type="dxa"/>
              <w:left w:w="85" w:type="dxa"/>
              <w:bottom w:w="0" w:type="dxa"/>
              <w:right w:w="85" w:type="dxa"/>
            </w:tcMar>
          </w:tcPr>
          <w:p w14:paraId="05017F5B" w14:textId="77777777" w:rsidR="007E0025" w:rsidRPr="00BE78CA" w:rsidRDefault="007E0025" w:rsidP="00C26084">
            <w:pPr>
              <w:pStyle w:val="TableText"/>
            </w:pPr>
            <w:r w:rsidRPr="00BE78CA">
              <w:rPr>
                <w:rFonts w:eastAsia="Calibri" w:cs="Calibri"/>
                <w:color w:val="111111"/>
                <w:szCs w:val="16"/>
              </w:rPr>
              <w:t>LULUCF – 4(III) Direct N</w:t>
            </w:r>
            <w:r w:rsidRPr="00BE78CA">
              <w:rPr>
                <w:rFonts w:eastAsia="Calibri" w:cs="Calibri"/>
                <w:color w:val="111111"/>
                <w:szCs w:val="16"/>
                <w:vertAlign w:val="subscript"/>
              </w:rPr>
              <w:t>2</w:t>
            </w:r>
            <w:r w:rsidRPr="00BE78CA">
              <w:rPr>
                <w:rFonts w:eastAsia="Calibri" w:cs="Calibri"/>
                <w:color w:val="111111"/>
                <w:szCs w:val="16"/>
              </w:rPr>
              <w:t>O emissions from N mineralisation or immobilization – N</w:t>
            </w:r>
            <w:r w:rsidRPr="00BE78CA">
              <w:rPr>
                <w:rFonts w:eastAsia="Calibri" w:cs="Calibri"/>
                <w:color w:val="111111"/>
                <w:szCs w:val="16"/>
                <w:vertAlign w:val="subscript"/>
              </w:rPr>
              <w:t>2</w:t>
            </w:r>
            <w:r w:rsidRPr="00BE78CA">
              <w:rPr>
                <w:rFonts w:eastAsia="Calibri" w:cs="Calibri"/>
                <w:color w:val="111111"/>
                <w:szCs w:val="16"/>
              </w:rPr>
              <w:t>O</w:t>
            </w:r>
          </w:p>
        </w:tc>
        <w:tc>
          <w:tcPr>
            <w:tcW w:w="907" w:type="dxa"/>
            <w:shd w:val="clear" w:color="auto" w:fill="FFFFFF"/>
            <w:tcMar>
              <w:top w:w="0" w:type="dxa"/>
              <w:left w:w="85" w:type="dxa"/>
              <w:bottom w:w="0" w:type="dxa"/>
              <w:right w:w="85" w:type="dxa"/>
            </w:tcMar>
          </w:tcPr>
          <w:p w14:paraId="257F8321" w14:textId="77777777" w:rsidR="007E0025" w:rsidRPr="00BE78CA" w:rsidRDefault="007E0025" w:rsidP="00C26084">
            <w:pPr>
              <w:pStyle w:val="TableText"/>
            </w:pPr>
            <w:r w:rsidRPr="00BE78CA">
              <w:rPr>
                <w:rFonts w:eastAsia="Calibri" w:cs="Calibri"/>
                <w:color w:val="111111"/>
                <w:szCs w:val="16"/>
              </w:rPr>
              <w:t>L.30, 2019</w:t>
            </w:r>
          </w:p>
        </w:tc>
        <w:tc>
          <w:tcPr>
            <w:tcW w:w="2784" w:type="dxa"/>
            <w:shd w:val="clear" w:color="auto" w:fill="FFFFFF"/>
            <w:tcMar>
              <w:top w:w="0" w:type="dxa"/>
              <w:left w:w="85" w:type="dxa"/>
              <w:bottom w:w="0" w:type="dxa"/>
              <w:right w:w="85" w:type="dxa"/>
            </w:tcMar>
          </w:tcPr>
          <w:p w14:paraId="27D63DE4" w14:textId="77777777" w:rsidR="007E0025" w:rsidRPr="00BE78CA" w:rsidRDefault="007E0025" w:rsidP="00C26084">
            <w:pPr>
              <w:pStyle w:val="TableText"/>
            </w:pPr>
            <w:r w:rsidRPr="00BE78CA">
              <w:rPr>
                <w:rFonts w:eastAsia="Calibri" w:cs="Calibri"/>
                <w:color w:val="111111"/>
                <w:szCs w:val="16"/>
              </w:rPr>
              <w:t>The ERT recommends that New Zealand revise the information reported in CRF table 4(III), ensuring that the area of each category reported corresponds to the area of the category where a SOC loss, resulting from a change of land use or management, actually occurred.</w:t>
            </w:r>
          </w:p>
        </w:tc>
        <w:tc>
          <w:tcPr>
            <w:tcW w:w="2879" w:type="dxa"/>
            <w:shd w:val="clear" w:color="auto" w:fill="FFFFFF"/>
            <w:tcMar>
              <w:top w:w="0" w:type="dxa"/>
              <w:left w:w="85" w:type="dxa"/>
              <w:bottom w:w="0" w:type="dxa"/>
              <w:right w:w="85" w:type="dxa"/>
            </w:tcMar>
          </w:tcPr>
          <w:p w14:paraId="61111072" w14:textId="77777777" w:rsidR="007E0025" w:rsidRPr="00BE78CA" w:rsidRDefault="007E0025" w:rsidP="00C26084">
            <w:pPr>
              <w:pStyle w:val="TableText"/>
              <w:rPr>
                <w:b/>
                <w:bCs/>
              </w:rPr>
            </w:pPr>
            <w:r w:rsidRPr="00BE78CA">
              <w:rPr>
                <w:rFonts w:eastAsia="Calibri"/>
                <w:b/>
                <w:bCs/>
              </w:rPr>
              <w:t xml:space="preserve">Resolved. </w:t>
            </w:r>
            <w:r w:rsidRPr="00BE78CA">
              <w:rPr>
                <w:rFonts w:eastAsia="Calibri"/>
              </w:rPr>
              <w:t>The area of each category reported in CRF table 4(III) has been revised.</w:t>
            </w:r>
          </w:p>
        </w:tc>
      </w:tr>
      <w:tr w:rsidR="007E0025" w:rsidRPr="00BE78CA" w14:paraId="17D5B1B6" w14:textId="77777777" w:rsidTr="00BB5269">
        <w:tc>
          <w:tcPr>
            <w:tcW w:w="1813" w:type="dxa"/>
            <w:shd w:val="clear" w:color="auto" w:fill="FFFFFF"/>
            <w:tcMar>
              <w:top w:w="0" w:type="dxa"/>
              <w:left w:w="85" w:type="dxa"/>
              <w:bottom w:w="0" w:type="dxa"/>
              <w:right w:w="85" w:type="dxa"/>
            </w:tcMar>
          </w:tcPr>
          <w:p w14:paraId="255855C7" w14:textId="77777777" w:rsidR="007E0025" w:rsidRPr="00BE78CA" w:rsidRDefault="007E0025" w:rsidP="00C26084">
            <w:pPr>
              <w:pStyle w:val="TableText"/>
            </w:pPr>
            <w:r w:rsidRPr="00BE78CA">
              <w:rPr>
                <w:rFonts w:eastAsia="Calibri" w:cs="Calibri"/>
                <w:color w:val="111111"/>
                <w:szCs w:val="16"/>
              </w:rPr>
              <w:t>LULUCF – 4(IV) Indirect N</w:t>
            </w:r>
            <w:r w:rsidRPr="00BE78CA">
              <w:rPr>
                <w:rFonts w:eastAsia="Calibri" w:cs="Calibri"/>
                <w:color w:val="111111"/>
                <w:szCs w:val="16"/>
                <w:vertAlign w:val="subscript"/>
              </w:rPr>
              <w:t>2</w:t>
            </w:r>
            <w:r w:rsidRPr="00BE78CA">
              <w:rPr>
                <w:rFonts w:eastAsia="Calibri" w:cs="Calibri"/>
                <w:color w:val="111111"/>
                <w:szCs w:val="16"/>
              </w:rPr>
              <w:t>O emissions from managed soils – N</w:t>
            </w:r>
            <w:r w:rsidRPr="00BE78CA">
              <w:rPr>
                <w:rFonts w:eastAsia="Calibri" w:cs="Calibri"/>
                <w:color w:val="111111"/>
                <w:szCs w:val="16"/>
                <w:vertAlign w:val="subscript"/>
              </w:rPr>
              <w:t>2</w:t>
            </w:r>
            <w:r w:rsidRPr="00BE78CA">
              <w:rPr>
                <w:rFonts w:eastAsia="Calibri" w:cs="Calibri"/>
                <w:color w:val="111111"/>
                <w:szCs w:val="16"/>
              </w:rPr>
              <w:t>O</w:t>
            </w:r>
          </w:p>
        </w:tc>
        <w:tc>
          <w:tcPr>
            <w:tcW w:w="907" w:type="dxa"/>
            <w:shd w:val="clear" w:color="auto" w:fill="FFFFFF"/>
            <w:tcMar>
              <w:top w:w="0" w:type="dxa"/>
              <w:left w:w="85" w:type="dxa"/>
              <w:bottom w:w="0" w:type="dxa"/>
              <w:right w:w="85" w:type="dxa"/>
            </w:tcMar>
          </w:tcPr>
          <w:p w14:paraId="48DF88DC" w14:textId="77777777" w:rsidR="007E0025" w:rsidRPr="00BE78CA" w:rsidRDefault="007E0025" w:rsidP="00C26084">
            <w:pPr>
              <w:pStyle w:val="TableText"/>
            </w:pPr>
            <w:r w:rsidRPr="00BE78CA">
              <w:rPr>
                <w:rFonts w:eastAsia="Calibri" w:cs="Calibri"/>
                <w:color w:val="111111"/>
                <w:szCs w:val="16"/>
              </w:rPr>
              <w:t>L.31, 2019</w:t>
            </w:r>
          </w:p>
        </w:tc>
        <w:tc>
          <w:tcPr>
            <w:tcW w:w="2784" w:type="dxa"/>
            <w:shd w:val="clear" w:color="auto" w:fill="FFFFFF"/>
            <w:tcMar>
              <w:top w:w="0" w:type="dxa"/>
              <w:left w:w="85" w:type="dxa"/>
              <w:bottom w:w="0" w:type="dxa"/>
              <w:right w:w="85" w:type="dxa"/>
            </w:tcMar>
          </w:tcPr>
          <w:p w14:paraId="42924A65" w14:textId="77777777" w:rsidR="007E0025" w:rsidRPr="00BE78CA" w:rsidRDefault="007E0025" w:rsidP="00C26084">
            <w:pPr>
              <w:pStyle w:val="TableText"/>
            </w:pPr>
            <w:r w:rsidRPr="00BE78CA">
              <w:rPr>
                <w:rFonts w:eastAsia="Calibri" w:cs="Calibri"/>
                <w:color w:val="111111"/>
                <w:szCs w:val="16"/>
              </w:rPr>
              <w:t>The ERT recommends that New Zealand report indirect N</w:t>
            </w:r>
            <w:r w:rsidRPr="00BE78CA">
              <w:rPr>
                <w:rFonts w:eastAsia="Calibri" w:cs="Calibri"/>
                <w:color w:val="111111"/>
                <w:szCs w:val="16"/>
                <w:vertAlign w:val="subscript"/>
              </w:rPr>
              <w:t>2</w:t>
            </w:r>
            <w:r w:rsidRPr="00BE78CA">
              <w:rPr>
                <w:rFonts w:eastAsia="Calibri" w:cs="Calibri"/>
                <w:color w:val="111111"/>
                <w:szCs w:val="16"/>
              </w:rPr>
              <w:t>O emissions from leaching and run-off of N mineralization associated with SOC losses in mineral soils in CRF table 4(IV).</w:t>
            </w:r>
          </w:p>
        </w:tc>
        <w:tc>
          <w:tcPr>
            <w:tcW w:w="2879" w:type="dxa"/>
            <w:shd w:val="clear" w:color="auto" w:fill="FFFFFF"/>
            <w:tcMar>
              <w:top w:w="0" w:type="dxa"/>
              <w:left w:w="85" w:type="dxa"/>
              <w:bottom w:w="0" w:type="dxa"/>
              <w:right w:w="85" w:type="dxa"/>
            </w:tcMar>
          </w:tcPr>
          <w:p w14:paraId="013CE2CE" w14:textId="77777777" w:rsidR="007E0025" w:rsidRPr="00BE78CA" w:rsidRDefault="007E0025" w:rsidP="00C26084">
            <w:pPr>
              <w:pStyle w:val="TableText"/>
            </w:pPr>
            <w:r w:rsidRPr="00BE78CA">
              <w:rPr>
                <w:rFonts w:eastAsia="Calibri"/>
                <w:b/>
                <w:bCs/>
              </w:rPr>
              <w:t>Resolved</w:t>
            </w:r>
            <w:r w:rsidRPr="00BE78CA">
              <w:rPr>
                <w:rFonts w:eastAsia="Calibri"/>
              </w:rPr>
              <w:t xml:space="preserve"> New Zealand has reported indirect N</w:t>
            </w:r>
            <w:r w:rsidRPr="00BE78CA">
              <w:rPr>
                <w:rFonts w:eastAsia="Calibri"/>
                <w:vertAlign w:val="subscript"/>
              </w:rPr>
              <w:t>2</w:t>
            </w:r>
            <w:r w:rsidRPr="00BE78CA">
              <w:rPr>
                <w:rFonts w:eastAsia="Calibri"/>
              </w:rPr>
              <w:t>O emission from all managed soils in CRF table 3.D.b in the Agriculture sector. The relevant N</w:t>
            </w:r>
            <w:r w:rsidRPr="00BE78CA">
              <w:rPr>
                <w:rFonts w:eastAsia="Calibri"/>
                <w:vertAlign w:val="subscript"/>
              </w:rPr>
              <w:t>2</w:t>
            </w:r>
            <w:r w:rsidRPr="00BE78CA">
              <w:rPr>
                <w:rFonts w:eastAsia="Calibri"/>
              </w:rPr>
              <w:t xml:space="preserve">O emissions from </w:t>
            </w:r>
            <w:r w:rsidRPr="00BE78CA">
              <w:rPr>
                <w:rFonts w:eastAsia="Calibri"/>
                <w:i/>
                <w:iCs/>
              </w:rPr>
              <w:t>Cropland</w:t>
            </w:r>
            <w:r w:rsidRPr="00BE78CA">
              <w:rPr>
                <w:rFonts w:eastAsia="Calibri"/>
              </w:rPr>
              <w:t xml:space="preserve">, </w:t>
            </w:r>
            <w:r w:rsidRPr="00BE78CA">
              <w:rPr>
                <w:rFonts w:eastAsia="Calibri"/>
                <w:i/>
                <w:iCs/>
              </w:rPr>
              <w:t xml:space="preserve">Grassland </w:t>
            </w:r>
            <w:r w:rsidRPr="00BE78CA">
              <w:rPr>
                <w:rFonts w:eastAsia="Calibri"/>
              </w:rPr>
              <w:t>and</w:t>
            </w:r>
            <w:r w:rsidRPr="00BE78CA">
              <w:rPr>
                <w:rFonts w:eastAsia="Calibri"/>
                <w:i/>
                <w:iCs/>
              </w:rPr>
              <w:t xml:space="preserve"> Other land</w:t>
            </w:r>
            <w:r w:rsidRPr="00BE78CA">
              <w:rPr>
                <w:rFonts w:eastAsia="Calibri"/>
              </w:rPr>
              <w:t xml:space="preserve"> are covered within this category because, due to insufficient data availability, it was impossible to separate the sources of nitrogen between these types of land use. For this reason, all indirect N</w:t>
            </w:r>
            <w:r w:rsidRPr="00BE78CA">
              <w:rPr>
                <w:rFonts w:eastAsia="Calibri"/>
                <w:vertAlign w:val="subscript"/>
              </w:rPr>
              <w:t>2</w:t>
            </w:r>
            <w:r w:rsidRPr="00BE78CA">
              <w:rPr>
                <w:rFonts w:eastAsia="Calibri"/>
              </w:rPr>
              <w:t xml:space="preserve">O emissions from managed soils within CRF table 4(IV) of the LULUCF sector are reported using notation key IE. </w:t>
            </w:r>
          </w:p>
        </w:tc>
      </w:tr>
      <w:tr w:rsidR="007E0025" w:rsidRPr="00BE78CA" w14:paraId="0388A23E" w14:textId="77777777" w:rsidTr="00BB5269">
        <w:tc>
          <w:tcPr>
            <w:tcW w:w="1813" w:type="dxa"/>
            <w:shd w:val="clear" w:color="auto" w:fill="FFFFFF"/>
            <w:tcMar>
              <w:top w:w="0" w:type="dxa"/>
              <w:left w:w="85" w:type="dxa"/>
              <w:bottom w:w="0" w:type="dxa"/>
              <w:right w:w="85" w:type="dxa"/>
            </w:tcMar>
          </w:tcPr>
          <w:p w14:paraId="7C0F416C" w14:textId="77777777" w:rsidR="007E0025" w:rsidRPr="00BE78CA" w:rsidRDefault="007E0025" w:rsidP="00C26084">
            <w:pPr>
              <w:pStyle w:val="TableText"/>
            </w:pPr>
            <w:r w:rsidRPr="00BE78CA">
              <w:rPr>
                <w:rFonts w:eastAsia="Calibri" w:cs="Calibri"/>
                <w:color w:val="111111"/>
                <w:szCs w:val="16"/>
              </w:rPr>
              <w:t>Waste – 5. General (waste) – CO</w:t>
            </w:r>
            <w:r w:rsidRPr="00BE78CA">
              <w:rPr>
                <w:rFonts w:eastAsia="Calibri" w:cs="Calibri"/>
                <w:color w:val="111111"/>
                <w:szCs w:val="16"/>
                <w:vertAlign w:val="subscript"/>
              </w:rPr>
              <w:t>2</w:t>
            </w:r>
            <w:r w:rsidRPr="00BE78CA">
              <w:rPr>
                <w:rFonts w:eastAsia="Calibri" w:cs="Calibri"/>
                <w:color w:val="111111"/>
                <w:szCs w:val="16"/>
              </w:rPr>
              <w:t>, CH</w:t>
            </w:r>
            <w:r w:rsidRPr="00BE78CA">
              <w:rPr>
                <w:rFonts w:eastAsia="Calibri" w:cs="Calibri"/>
                <w:color w:val="111111"/>
                <w:szCs w:val="16"/>
                <w:vertAlign w:val="subscript"/>
              </w:rPr>
              <w:t>4</w:t>
            </w:r>
            <w:r w:rsidRPr="00BE78CA">
              <w:rPr>
                <w:rFonts w:eastAsia="Calibri" w:cs="Calibri"/>
                <w:color w:val="111111"/>
                <w:szCs w:val="16"/>
              </w:rPr>
              <w:t xml:space="preserve"> and N</w:t>
            </w:r>
            <w:r w:rsidRPr="00BE78CA">
              <w:rPr>
                <w:rFonts w:eastAsia="Calibri" w:cs="Calibri"/>
                <w:color w:val="111111"/>
                <w:szCs w:val="16"/>
                <w:vertAlign w:val="subscript"/>
              </w:rPr>
              <w:t>2</w:t>
            </w:r>
            <w:r w:rsidRPr="00BE78CA">
              <w:rPr>
                <w:rFonts w:eastAsia="Calibri" w:cs="Calibri"/>
                <w:color w:val="111111"/>
                <w:szCs w:val="16"/>
              </w:rPr>
              <w:t>O</w:t>
            </w:r>
          </w:p>
        </w:tc>
        <w:tc>
          <w:tcPr>
            <w:tcW w:w="907" w:type="dxa"/>
            <w:shd w:val="clear" w:color="auto" w:fill="FFFFFF"/>
            <w:tcMar>
              <w:top w:w="0" w:type="dxa"/>
              <w:left w:w="85" w:type="dxa"/>
              <w:bottom w:w="0" w:type="dxa"/>
              <w:right w:w="85" w:type="dxa"/>
            </w:tcMar>
          </w:tcPr>
          <w:p w14:paraId="704DBB50" w14:textId="77777777" w:rsidR="007E0025" w:rsidRPr="00BE78CA" w:rsidRDefault="007E0025" w:rsidP="00C26084">
            <w:pPr>
              <w:pStyle w:val="TableText"/>
            </w:pPr>
            <w:r w:rsidRPr="00BE78CA">
              <w:rPr>
                <w:rFonts w:eastAsia="Calibri" w:cs="Calibri"/>
                <w:color w:val="111111"/>
                <w:szCs w:val="16"/>
              </w:rPr>
              <w:t>W.17, 2019</w:t>
            </w:r>
          </w:p>
        </w:tc>
        <w:tc>
          <w:tcPr>
            <w:tcW w:w="2784" w:type="dxa"/>
            <w:shd w:val="clear" w:color="auto" w:fill="FFFFFF"/>
            <w:tcMar>
              <w:top w:w="0" w:type="dxa"/>
              <w:left w:w="85" w:type="dxa"/>
              <w:bottom w:w="0" w:type="dxa"/>
              <w:right w:w="85" w:type="dxa"/>
            </w:tcMar>
          </w:tcPr>
          <w:p w14:paraId="7117E405" w14:textId="2E1142BE" w:rsidR="007E0025" w:rsidRPr="00BE78CA" w:rsidRDefault="007E0025" w:rsidP="00C26084">
            <w:pPr>
              <w:pStyle w:val="TableText"/>
            </w:pPr>
            <w:r w:rsidRPr="00BE78CA">
              <w:rPr>
                <w:rFonts w:eastAsia="Calibri" w:cs="Calibri"/>
                <w:color w:val="111111"/>
                <w:szCs w:val="16"/>
              </w:rPr>
              <w:t>The ERT recommends that New Zealand include more information on current waste management, such as an overview of municipal solid waste generation and its treatment method (recycling, composting, incineration or disposal) in section 7.1.1 of the NIR, and its impact on the composition of waste disposed of at landfills. The ERT also recommends that the Party consider whether the potential changes in the composition of landfilled waste are appropriately reflected in the estimated emissions for category 5.A and if not, that the Party recalculate the emissions and explain those recalculations in the</w:t>
            </w:r>
            <w:r w:rsidR="00A27698" w:rsidRPr="00BE78CA">
              <w:rPr>
                <w:rFonts w:eastAsia="Calibri" w:cs="Calibri"/>
                <w:color w:val="111111"/>
                <w:szCs w:val="16"/>
              </w:rPr>
              <w:t> </w:t>
            </w:r>
            <w:r w:rsidRPr="00BE78CA">
              <w:rPr>
                <w:rFonts w:eastAsia="Calibri" w:cs="Calibri"/>
                <w:color w:val="111111"/>
                <w:szCs w:val="16"/>
              </w:rPr>
              <w:t>NIR.</w:t>
            </w:r>
          </w:p>
        </w:tc>
        <w:tc>
          <w:tcPr>
            <w:tcW w:w="2879" w:type="dxa"/>
            <w:shd w:val="clear" w:color="auto" w:fill="FFFFFF"/>
            <w:tcMar>
              <w:top w:w="0" w:type="dxa"/>
              <w:left w:w="85" w:type="dxa"/>
              <w:bottom w:w="0" w:type="dxa"/>
              <w:right w:w="85" w:type="dxa"/>
            </w:tcMar>
          </w:tcPr>
          <w:p w14:paraId="3C938CAD" w14:textId="77777777" w:rsidR="007E0025" w:rsidRPr="00BE78CA" w:rsidRDefault="007E0025" w:rsidP="00C26084">
            <w:pPr>
              <w:pStyle w:val="TableText"/>
            </w:pPr>
            <w:r w:rsidRPr="00BE78CA">
              <w:rPr>
                <w:rFonts w:eastAsia="Calibri"/>
                <w:b/>
                <w:bCs/>
              </w:rPr>
              <w:t>Resolved.</w:t>
            </w:r>
            <w:r w:rsidRPr="00BE78CA">
              <w:rPr>
                <w:rFonts w:eastAsia="Calibri"/>
              </w:rPr>
              <w:t xml:space="preserve"> Figure 7.1.1 was added to chapter 7, section 7.1.1 to show key waste generation sources and disposal pathways. Further, average waste composition for municipal landfills has been collected for 2018 that accounts for changing waste disposal practices for compostable materials (see chapter 7, table 7.2.5).</w:t>
            </w:r>
          </w:p>
        </w:tc>
      </w:tr>
      <w:tr w:rsidR="007E0025" w:rsidRPr="00BE78CA" w14:paraId="0B8E4082" w14:textId="77777777" w:rsidTr="00BB5269">
        <w:tc>
          <w:tcPr>
            <w:tcW w:w="1813" w:type="dxa"/>
            <w:shd w:val="clear" w:color="auto" w:fill="FFFFFF"/>
            <w:tcMar>
              <w:top w:w="0" w:type="dxa"/>
              <w:left w:w="85" w:type="dxa"/>
              <w:bottom w:w="0" w:type="dxa"/>
              <w:right w:w="85" w:type="dxa"/>
            </w:tcMar>
          </w:tcPr>
          <w:p w14:paraId="2BC4CC63" w14:textId="77777777" w:rsidR="007E0025" w:rsidRPr="00BE78CA" w:rsidRDefault="007E0025" w:rsidP="00C26084">
            <w:pPr>
              <w:pStyle w:val="TableText"/>
            </w:pPr>
            <w:r w:rsidRPr="00BE78CA">
              <w:rPr>
                <w:rFonts w:eastAsia="Calibri" w:cs="Calibri"/>
                <w:color w:val="111111"/>
                <w:szCs w:val="16"/>
              </w:rPr>
              <w:t>Waste – 5.A Solid waste disposal on land – CO</w:t>
            </w:r>
            <w:r w:rsidRPr="00BE78CA">
              <w:rPr>
                <w:rFonts w:eastAsia="Calibri" w:cs="Calibri"/>
                <w:color w:val="111111"/>
                <w:szCs w:val="16"/>
                <w:vertAlign w:val="subscript"/>
              </w:rPr>
              <w:t>2</w:t>
            </w:r>
          </w:p>
        </w:tc>
        <w:tc>
          <w:tcPr>
            <w:tcW w:w="907" w:type="dxa"/>
            <w:shd w:val="clear" w:color="auto" w:fill="FFFFFF"/>
            <w:tcMar>
              <w:top w:w="0" w:type="dxa"/>
              <w:left w:w="85" w:type="dxa"/>
              <w:bottom w:w="0" w:type="dxa"/>
              <w:right w:w="85" w:type="dxa"/>
            </w:tcMar>
          </w:tcPr>
          <w:p w14:paraId="37E1BDB8" w14:textId="77777777" w:rsidR="007E0025" w:rsidRPr="00BE78CA" w:rsidRDefault="007E0025" w:rsidP="00C26084">
            <w:pPr>
              <w:pStyle w:val="TableText"/>
            </w:pPr>
            <w:r w:rsidRPr="00BE78CA">
              <w:rPr>
                <w:rFonts w:eastAsia="Calibri" w:cs="Calibri"/>
                <w:color w:val="111111"/>
                <w:szCs w:val="16"/>
              </w:rPr>
              <w:t>W.18, 2019</w:t>
            </w:r>
          </w:p>
        </w:tc>
        <w:tc>
          <w:tcPr>
            <w:tcW w:w="2784" w:type="dxa"/>
            <w:shd w:val="clear" w:color="auto" w:fill="FFFFFF"/>
            <w:tcMar>
              <w:top w:w="0" w:type="dxa"/>
              <w:left w:w="85" w:type="dxa"/>
              <w:bottom w:w="0" w:type="dxa"/>
              <w:right w:w="85" w:type="dxa"/>
            </w:tcMar>
          </w:tcPr>
          <w:p w14:paraId="6A3807D2" w14:textId="40F17F7C" w:rsidR="007E0025" w:rsidRPr="00BE78CA" w:rsidRDefault="007E0025" w:rsidP="00C26084">
            <w:pPr>
              <w:pStyle w:val="TableText"/>
            </w:pPr>
            <w:r w:rsidRPr="00BE78CA">
              <w:rPr>
                <w:rFonts w:eastAsia="Calibri" w:cs="Calibri"/>
                <w:color w:val="111111"/>
                <w:szCs w:val="16"/>
              </w:rPr>
              <w:t>The ERT recommends that New Zealand correct the value for carbon storage for managed landfills without landfill gas</w:t>
            </w:r>
            <w:r w:rsidR="00A27698" w:rsidRPr="00BE78CA">
              <w:rPr>
                <w:rFonts w:eastAsia="Calibri" w:cs="Calibri"/>
                <w:color w:val="111111"/>
                <w:szCs w:val="16"/>
              </w:rPr>
              <w:t> </w:t>
            </w:r>
            <w:r w:rsidRPr="00BE78CA">
              <w:rPr>
                <w:rFonts w:eastAsia="Calibri" w:cs="Calibri"/>
                <w:color w:val="111111"/>
                <w:szCs w:val="16"/>
              </w:rPr>
              <w:t>capture.</w:t>
            </w:r>
          </w:p>
        </w:tc>
        <w:tc>
          <w:tcPr>
            <w:tcW w:w="2879" w:type="dxa"/>
            <w:shd w:val="clear" w:color="auto" w:fill="FFFFFF"/>
            <w:tcMar>
              <w:top w:w="0" w:type="dxa"/>
              <w:left w:w="85" w:type="dxa"/>
              <w:bottom w:w="0" w:type="dxa"/>
              <w:right w:w="85" w:type="dxa"/>
            </w:tcMar>
          </w:tcPr>
          <w:p w14:paraId="0290E42D" w14:textId="77777777" w:rsidR="007E0025" w:rsidRPr="00BE78CA" w:rsidRDefault="007E0025" w:rsidP="00C26084">
            <w:pPr>
              <w:pStyle w:val="TableText"/>
            </w:pPr>
            <w:r w:rsidRPr="00BE78CA">
              <w:rPr>
                <w:rFonts w:eastAsia="Calibri"/>
                <w:b/>
                <w:bCs/>
              </w:rPr>
              <w:t>Resolved.</w:t>
            </w:r>
            <w:r w:rsidRPr="00BE78CA">
              <w:rPr>
                <w:rFonts w:eastAsia="Calibri"/>
              </w:rPr>
              <w:t xml:space="preserve"> This was corrected in CRF table 5.F.1 in the 2020 submission and has been subsequently revised for the 2021 submission.</w:t>
            </w:r>
          </w:p>
        </w:tc>
      </w:tr>
      <w:tr w:rsidR="007E0025" w:rsidRPr="00BE78CA" w14:paraId="686DA564" w14:textId="77777777" w:rsidTr="00BB5269">
        <w:tc>
          <w:tcPr>
            <w:tcW w:w="1813" w:type="dxa"/>
            <w:shd w:val="clear" w:color="auto" w:fill="FFFFFF"/>
            <w:tcMar>
              <w:top w:w="0" w:type="dxa"/>
              <w:left w:w="85" w:type="dxa"/>
              <w:bottom w:w="0" w:type="dxa"/>
              <w:right w:w="85" w:type="dxa"/>
            </w:tcMar>
          </w:tcPr>
          <w:p w14:paraId="6B4D6A82" w14:textId="77777777" w:rsidR="007E0025" w:rsidRPr="00BE78CA" w:rsidRDefault="007E0025" w:rsidP="00C26084">
            <w:pPr>
              <w:pStyle w:val="TableText"/>
            </w:pPr>
            <w:r w:rsidRPr="00BE78CA">
              <w:rPr>
                <w:rFonts w:eastAsia="Calibri" w:cs="Calibri"/>
                <w:color w:val="111111"/>
                <w:szCs w:val="16"/>
              </w:rPr>
              <w:t>Waste – 5.A Solid waste disposal on land – CH</w:t>
            </w:r>
            <w:r w:rsidRPr="00BE78CA">
              <w:rPr>
                <w:rFonts w:eastAsia="Calibri" w:cs="Calibri"/>
                <w:color w:val="111111"/>
                <w:szCs w:val="16"/>
                <w:vertAlign w:val="subscript"/>
              </w:rPr>
              <w:t>4</w:t>
            </w:r>
          </w:p>
        </w:tc>
        <w:tc>
          <w:tcPr>
            <w:tcW w:w="907" w:type="dxa"/>
            <w:shd w:val="clear" w:color="auto" w:fill="FFFFFF"/>
            <w:tcMar>
              <w:top w:w="0" w:type="dxa"/>
              <w:left w:w="85" w:type="dxa"/>
              <w:bottom w:w="0" w:type="dxa"/>
              <w:right w:w="85" w:type="dxa"/>
            </w:tcMar>
          </w:tcPr>
          <w:p w14:paraId="13FBDF4D" w14:textId="77777777" w:rsidR="007E0025" w:rsidRPr="00BE78CA" w:rsidRDefault="007E0025" w:rsidP="00C26084">
            <w:pPr>
              <w:pStyle w:val="TableText"/>
            </w:pPr>
            <w:r w:rsidRPr="00BE78CA">
              <w:rPr>
                <w:rFonts w:eastAsia="Calibri" w:cs="Calibri"/>
                <w:color w:val="111111"/>
                <w:szCs w:val="16"/>
              </w:rPr>
              <w:t>W.19, 2019</w:t>
            </w:r>
          </w:p>
        </w:tc>
        <w:tc>
          <w:tcPr>
            <w:tcW w:w="2784" w:type="dxa"/>
            <w:shd w:val="clear" w:color="auto" w:fill="FFFFFF"/>
            <w:tcMar>
              <w:top w:w="0" w:type="dxa"/>
              <w:left w:w="85" w:type="dxa"/>
              <w:bottom w:w="0" w:type="dxa"/>
              <w:right w:w="85" w:type="dxa"/>
            </w:tcMar>
          </w:tcPr>
          <w:p w14:paraId="40B24EAF" w14:textId="77777777" w:rsidR="007E0025" w:rsidRPr="00BE78CA" w:rsidRDefault="007E0025" w:rsidP="00C26084">
            <w:pPr>
              <w:pStyle w:val="TableText"/>
            </w:pPr>
            <w:r w:rsidRPr="00BE78CA">
              <w:rPr>
                <w:rFonts w:eastAsia="Calibri" w:cs="Calibri"/>
                <w:color w:val="111111"/>
                <w:szCs w:val="16"/>
              </w:rPr>
              <w:t>The ERT recommends that New Zealand explain how many landfills are currently reporting under the ETS and how data on CH</w:t>
            </w:r>
            <w:r w:rsidRPr="00BE78CA">
              <w:rPr>
                <w:rFonts w:eastAsia="Calibri" w:cs="Calibri"/>
                <w:color w:val="111111"/>
                <w:szCs w:val="16"/>
                <w:vertAlign w:val="subscript"/>
              </w:rPr>
              <w:t>4</w:t>
            </w:r>
            <w:r w:rsidRPr="00BE78CA">
              <w:rPr>
                <w:rFonts w:eastAsia="Calibri" w:cs="Calibri"/>
                <w:color w:val="111111"/>
                <w:szCs w:val="16"/>
              </w:rPr>
              <w:t xml:space="preserve"> recovery are estimated and reported for both active and closed landfills with gas recovery.</w:t>
            </w:r>
          </w:p>
        </w:tc>
        <w:tc>
          <w:tcPr>
            <w:tcW w:w="2879" w:type="dxa"/>
            <w:shd w:val="clear" w:color="auto" w:fill="FFFFFF"/>
            <w:tcMar>
              <w:top w:w="0" w:type="dxa"/>
              <w:left w:w="85" w:type="dxa"/>
              <w:bottom w:w="0" w:type="dxa"/>
              <w:right w:w="85" w:type="dxa"/>
            </w:tcMar>
          </w:tcPr>
          <w:p w14:paraId="138174E1" w14:textId="77777777" w:rsidR="007E0025" w:rsidRPr="00BE78CA" w:rsidRDefault="007E0025" w:rsidP="00C26084">
            <w:pPr>
              <w:pStyle w:val="TableText"/>
            </w:pPr>
            <w:r w:rsidRPr="00BE78CA">
              <w:rPr>
                <w:rFonts w:eastAsia="Calibri"/>
                <w:b/>
                <w:bCs/>
              </w:rPr>
              <w:t xml:space="preserve">Resolved. </w:t>
            </w:r>
            <w:r w:rsidRPr="00BE78CA">
              <w:rPr>
                <w:rFonts w:eastAsia="Calibri"/>
              </w:rPr>
              <w:t>Table 7.2.2 in chapter 7 reports the amount of managed landfills for each type.</w:t>
            </w:r>
          </w:p>
        </w:tc>
      </w:tr>
      <w:tr w:rsidR="007E0025" w:rsidRPr="00BE78CA" w14:paraId="04954B3C" w14:textId="77777777" w:rsidTr="00BB5269">
        <w:tc>
          <w:tcPr>
            <w:tcW w:w="1813" w:type="dxa"/>
            <w:shd w:val="clear" w:color="auto" w:fill="FFFFFF"/>
            <w:tcMar>
              <w:top w:w="0" w:type="dxa"/>
              <w:left w:w="85" w:type="dxa"/>
              <w:bottom w:w="0" w:type="dxa"/>
              <w:right w:w="85" w:type="dxa"/>
            </w:tcMar>
          </w:tcPr>
          <w:p w14:paraId="516EDC5F" w14:textId="77777777" w:rsidR="007E0025" w:rsidRPr="00BE78CA" w:rsidRDefault="007E0025" w:rsidP="00C26084">
            <w:pPr>
              <w:pStyle w:val="TableText"/>
            </w:pPr>
            <w:r w:rsidRPr="00BE78CA">
              <w:rPr>
                <w:rFonts w:eastAsia="Calibri" w:cs="Calibri"/>
                <w:color w:val="111111"/>
                <w:szCs w:val="16"/>
              </w:rPr>
              <w:t>Waste – 5.A Solid waste disposal on land – CH</w:t>
            </w:r>
            <w:r w:rsidRPr="00BE78CA">
              <w:rPr>
                <w:rFonts w:eastAsia="Calibri" w:cs="Calibri"/>
                <w:color w:val="111111"/>
                <w:szCs w:val="16"/>
                <w:vertAlign w:val="subscript"/>
              </w:rPr>
              <w:t>4</w:t>
            </w:r>
          </w:p>
        </w:tc>
        <w:tc>
          <w:tcPr>
            <w:tcW w:w="907" w:type="dxa"/>
            <w:shd w:val="clear" w:color="auto" w:fill="FFFFFF"/>
            <w:tcMar>
              <w:top w:w="0" w:type="dxa"/>
              <w:left w:w="85" w:type="dxa"/>
              <w:bottom w:w="0" w:type="dxa"/>
              <w:right w:w="85" w:type="dxa"/>
            </w:tcMar>
          </w:tcPr>
          <w:p w14:paraId="250909B2" w14:textId="77777777" w:rsidR="007E0025" w:rsidRPr="00BE78CA" w:rsidRDefault="007E0025" w:rsidP="00C26084">
            <w:pPr>
              <w:pStyle w:val="TableText"/>
            </w:pPr>
            <w:r w:rsidRPr="00BE78CA">
              <w:rPr>
                <w:rFonts w:eastAsia="Calibri" w:cs="Calibri"/>
                <w:color w:val="111111"/>
                <w:szCs w:val="16"/>
              </w:rPr>
              <w:t>W.20, 2019</w:t>
            </w:r>
          </w:p>
        </w:tc>
        <w:tc>
          <w:tcPr>
            <w:tcW w:w="2784" w:type="dxa"/>
            <w:shd w:val="clear" w:color="auto" w:fill="FFFFFF"/>
            <w:tcMar>
              <w:top w:w="0" w:type="dxa"/>
              <w:left w:w="85" w:type="dxa"/>
              <w:bottom w:w="0" w:type="dxa"/>
              <w:right w:w="85" w:type="dxa"/>
            </w:tcMar>
          </w:tcPr>
          <w:p w14:paraId="66C5BBB1" w14:textId="77777777" w:rsidR="007E0025" w:rsidRPr="00BE78CA" w:rsidRDefault="007E0025" w:rsidP="00C26084">
            <w:pPr>
              <w:pStyle w:val="TableText"/>
            </w:pPr>
            <w:r w:rsidRPr="00BE78CA">
              <w:rPr>
                <w:rFonts w:eastAsia="Calibri" w:cs="Calibri"/>
                <w:color w:val="111111"/>
                <w:szCs w:val="16"/>
              </w:rPr>
              <w:t>The ERT recommends that New Zealand include in the NIR further explanation of its specific approach to calculating the gas recovery rate, including the source of the waste composition data, EF and recovery rates, as well as a description of the ETS, providing relevant reference sources.</w:t>
            </w:r>
          </w:p>
        </w:tc>
        <w:tc>
          <w:tcPr>
            <w:tcW w:w="2879" w:type="dxa"/>
            <w:shd w:val="clear" w:color="auto" w:fill="FFFFFF"/>
            <w:tcMar>
              <w:top w:w="0" w:type="dxa"/>
              <w:left w:w="85" w:type="dxa"/>
              <w:bottom w:w="0" w:type="dxa"/>
              <w:right w:w="85" w:type="dxa"/>
            </w:tcMar>
          </w:tcPr>
          <w:p w14:paraId="4ABE60D3" w14:textId="46DEE375" w:rsidR="007E0025" w:rsidRPr="00BE78CA" w:rsidRDefault="007E0025" w:rsidP="00C26084">
            <w:pPr>
              <w:pStyle w:val="TableText"/>
            </w:pPr>
            <w:r w:rsidRPr="00BE78CA">
              <w:rPr>
                <w:rFonts w:eastAsia="Calibri"/>
                <w:b/>
                <w:bCs/>
              </w:rPr>
              <w:t xml:space="preserve">Resolved. </w:t>
            </w:r>
            <w:r w:rsidRPr="00BE78CA">
              <w:rPr>
                <w:rFonts w:eastAsia="Calibri"/>
              </w:rPr>
              <w:t>Section 7.2.2 ‘Gas recovery’ in</w:t>
            </w:r>
            <w:r w:rsidR="0055281A" w:rsidRPr="00BE78CA">
              <w:rPr>
                <w:rFonts w:eastAsia="Calibri"/>
              </w:rPr>
              <w:t> </w:t>
            </w:r>
            <w:r w:rsidRPr="00BE78CA">
              <w:rPr>
                <w:rFonts w:eastAsia="Calibri"/>
              </w:rPr>
              <w:t>chapter 7 explains the revised gas recovery methodology. Waste composition is provided in table 7.2.5 and a summary of parameters is in table</w:t>
            </w:r>
            <w:r w:rsidR="0055281A" w:rsidRPr="00BE78CA">
              <w:rPr>
                <w:rFonts w:eastAsia="Calibri"/>
              </w:rPr>
              <w:t> </w:t>
            </w:r>
            <w:r w:rsidRPr="00BE78CA">
              <w:rPr>
                <w:rFonts w:eastAsia="Calibri"/>
              </w:rPr>
              <w:t>7.2.8.</w:t>
            </w:r>
          </w:p>
        </w:tc>
      </w:tr>
      <w:tr w:rsidR="007E0025" w:rsidRPr="00BE78CA" w14:paraId="5D8E0715" w14:textId="77777777" w:rsidTr="00BB5269">
        <w:tc>
          <w:tcPr>
            <w:tcW w:w="1813" w:type="dxa"/>
            <w:shd w:val="clear" w:color="auto" w:fill="FFFFFF"/>
            <w:tcMar>
              <w:top w:w="0" w:type="dxa"/>
              <w:left w:w="85" w:type="dxa"/>
              <w:bottom w:w="0" w:type="dxa"/>
              <w:right w:w="85" w:type="dxa"/>
            </w:tcMar>
          </w:tcPr>
          <w:p w14:paraId="6E73E255" w14:textId="77777777" w:rsidR="007E0025" w:rsidRPr="00BE78CA" w:rsidRDefault="007E0025" w:rsidP="00C26084">
            <w:pPr>
              <w:pStyle w:val="TableText"/>
            </w:pPr>
            <w:r w:rsidRPr="00BE78CA">
              <w:rPr>
                <w:rFonts w:eastAsia="Calibri" w:cs="Calibri"/>
                <w:color w:val="111111"/>
                <w:szCs w:val="16"/>
              </w:rPr>
              <w:lastRenderedPageBreak/>
              <w:t>Waste – 5.C.1 Waste incineration – CO</w:t>
            </w:r>
            <w:r w:rsidRPr="00BE78CA">
              <w:rPr>
                <w:rFonts w:eastAsia="Calibri" w:cs="Calibri"/>
                <w:color w:val="111111"/>
                <w:szCs w:val="16"/>
                <w:vertAlign w:val="subscript"/>
              </w:rPr>
              <w:t>2</w:t>
            </w:r>
          </w:p>
        </w:tc>
        <w:tc>
          <w:tcPr>
            <w:tcW w:w="907" w:type="dxa"/>
            <w:shd w:val="clear" w:color="auto" w:fill="FFFFFF"/>
            <w:tcMar>
              <w:top w:w="0" w:type="dxa"/>
              <w:left w:w="85" w:type="dxa"/>
              <w:bottom w:w="0" w:type="dxa"/>
              <w:right w:w="85" w:type="dxa"/>
            </w:tcMar>
          </w:tcPr>
          <w:p w14:paraId="6EBED727" w14:textId="77777777" w:rsidR="007E0025" w:rsidRPr="00BE78CA" w:rsidRDefault="007E0025" w:rsidP="00C26084">
            <w:pPr>
              <w:pStyle w:val="TableText"/>
            </w:pPr>
            <w:r w:rsidRPr="00BE78CA">
              <w:rPr>
                <w:rFonts w:eastAsia="Calibri" w:cs="Calibri"/>
                <w:color w:val="111111"/>
                <w:szCs w:val="16"/>
              </w:rPr>
              <w:t>W.21, 2019</w:t>
            </w:r>
          </w:p>
        </w:tc>
        <w:tc>
          <w:tcPr>
            <w:tcW w:w="2784" w:type="dxa"/>
            <w:shd w:val="clear" w:color="auto" w:fill="FFFFFF"/>
            <w:tcMar>
              <w:top w:w="0" w:type="dxa"/>
              <w:left w:w="85" w:type="dxa"/>
              <w:bottom w:w="0" w:type="dxa"/>
              <w:right w:w="85" w:type="dxa"/>
            </w:tcMar>
          </w:tcPr>
          <w:p w14:paraId="2A50F22C" w14:textId="77777777" w:rsidR="007E0025" w:rsidRPr="00BE78CA" w:rsidRDefault="007E0025" w:rsidP="00C26084">
            <w:pPr>
              <w:pStyle w:val="TableText"/>
            </w:pPr>
            <w:r w:rsidRPr="00BE78CA">
              <w:rPr>
                <w:rFonts w:eastAsia="Calibri" w:cs="Calibri"/>
                <w:color w:val="111111"/>
                <w:szCs w:val="16"/>
              </w:rPr>
              <w:t>The ERT recommends that New Zealand further investigate historical data on waste incineration in schools and revise its estimates, if appropriate. The ERT also recommends that the Party include a relevant description on waste incineration in schools in the NIR or revise the NIR text, as appropriate.</w:t>
            </w:r>
          </w:p>
        </w:tc>
        <w:tc>
          <w:tcPr>
            <w:tcW w:w="2879" w:type="dxa"/>
            <w:shd w:val="clear" w:color="auto" w:fill="FFFFFF"/>
            <w:tcMar>
              <w:top w:w="0" w:type="dxa"/>
              <w:left w:w="85" w:type="dxa"/>
              <w:bottom w:w="0" w:type="dxa"/>
              <w:right w:w="85" w:type="dxa"/>
            </w:tcMar>
          </w:tcPr>
          <w:p w14:paraId="7E675753" w14:textId="77777777" w:rsidR="007E0025" w:rsidRPr="00BE78CA" w:rsidRDefault="007E0025" w:rsidP="00C26084">
            <w:pPr>
              <w:pStyle w:val="TableText"/>
            </w:pPr>
            <w:r w:rsidRPr="00BE78CA">
              <w:rPr>
                <w:rFonts w:eastAsia="Calibri"/>
                <w:b/>
                <w:bCs/>
              </w:rPr>
              <w:t>Addressing.</w:t>
            </w:r>
            <w:r w:rsidRPr="00BE78CA">
              <w:rPr>
                <w:rFonts w:eastAsia="Calibri"/>
              </w:rPr>
              <w:t xml:space="preserve"> Incineration of waste in some rural schools is not estimated. Refer to annex 6, section A6.2 for detail.</w:t>
            </w:r>
          </w:p>
        </w:tc>
      </w:tr>
      <w:tr w:rsidR="007E0025" w:rsidRPr="00BE78CA" w14:paraId="0B8A1553" w14:textId="77777777" w:rsidTr="00BB5269">
        <w:tc>
          <w:tcPr>
            <w:tcW w:w="1813" w:type="dxa"/>
            <w:shd w:val="clear" w:color="auto" w:fill="FFFFFF"/>
            <w:tcMar>
              <w:top w:w="0" w:type="dxa"/>
              <w:left w:w="85" w:type="dxa"/>
              <w:bottom w:w="0" w:type="dxa"/>
              <w:right w:w="85" w:type="dxa"/>
            </w:tcMar>
          </w:tcPr>
          <w:p w14:paraId="2CB29B41" w14:textId="77777777" w:rsidR="007E0025" w:rsidRPr="00BE78CA" w:rsidRDefault="007E0025" w:rsidP="00C26084">
            <w:pPr>
              <w:pStyle w:val="TableText"/>
            </w:pPr>
            <w:r w:rsidRPr="00BE78CA">
              <w:rPr>
                <w:rFonts w:eastAsia="Calibri" w:cs="Calibri"/>
                <w:color w:val="111111"/>
                <w:szCs w:val="16"/>
              </w:rPr>
              <w:t>Waste – 5.D Wastewater treatment and discharge – N</w:t>
            </w:r>
            <w:r w:rsidRPr="00BE78CA">
              <w:rPr>
                <w:rFonts w:eastAsia="Calibri" w:cs="Calibri"/>
                <w:color w:val="111111"/>
                <w:szCs w:val="16"/>
                <w:vertAlign w:val="subscript"/>
              </w:rPr>
              <w:t>2</w:t>
            </w:r>
            <w:r w:rsidRPr="00BE78CA">
              <w:rPr>
                <w:rFonts w:eastAsia="Calibri" w:cs="Calibri"/>
                <w:color w:val="111111"/>
                <w:szCs w:val="16"/>
              </w:rPr>
              <w:t>O</w:t>
            </w:r>
          </w:p>
        </w:tc>
        <w:tc>
          <w:tcPr>
            <w:tcW w:w="907" w:type="dxa"/>
            <w:shd w:val="clear" w:color="auto" w:fill="FFFFFF"/>
            <w:tcMar>
              <w:top w:w="0" w:type="dxa"/>
              <w:left w:w="85" w:type="dxa"/>
              <w:bottom w:w="0" w:type="dxa"/>
              <w:right w:w="85" w:type="dxa"/>
            </w:tcMar>
          </w:tcPr>
          <w:p w14:paraId="5AFAD24C" w14:textId="77777777" w:rsidR="007E0025" w:rsidRPr="00BE78CA" w:rsidRDefault="007E0025" w:rsidP="00C26084">
            <w:pPr>
              <w:pStyle w:val="TableText"/>
            </w:pPr>
            <w:r w:rsidRPr="00BE78CA">
              <w:rPr>
                <w:rFonts w:eastAsia="Calibri" w:cs="Calibri"/>
                <w:color w:val="111111"/>
                <w:szCs w:val="16"/>
              </w:rPr>
              <w:t>W.22, 2019</w:t>
            </w:r>
          </w:p>
        </w:tc>
        <w:tc>
          <w:tcPr>
            <w:tcW w:w="2784" w:type="dxa"/>
            <w:shd w:val="clear" w:color="auto" w:fill="FFFFFF"/>
            <w:tcMar>
              <w:top w:w="0" w:type="dxa"/>
              <w:left w:w="85" w:type="dxa"/>
              <w:bottom w:w="0" w:type="dxa"/>
              <w:right w:w="85" w:type="dxa"/>
            </w:tcMar>
          </w:tcPr>
          <w:p w14:paraId="63628499" w14:textId="77777777" w:rsidR="007E0025" w:rsidRPr="00BE78CA" w:rsidRDefault="007E0025" w:rsidP="00C26084">
            <w:pPr>
              <w:pStyle w:val="TableText"/>
            </w:pPr>
            <w:r w:rsidRPr="00BE78CA">
              <w:rPr>
                <w:rFonts w:eastAsia="Calibri" w:cs="Calibri"/>
                <w:color w:val="111111"/>
                <w:szCs w:val="16"/>
              </w:rPr>
              <w:t>The ERT recommends that New Zealand revise the reporting of N</w:t>
            </w:r>
            <w:r w:rsidRPr="00BE78CA">
              <w:rPr>
                <w:rFonts w:eastAsia="Calibri" w:cs="Calibri"/>
                <w:color w:val="111111"/>
                <w:szCs w:val="16"/>
                <w:vertAlign w:val="subscript"/>
              </w:rPr>
              <w:t>2</w:t>
            </w:r>
            <w:r w:rsidRPr="00BE78CA">
              <w:rPr>
                <w:rFonts w:eastAsia="Calibri" w:cs="Calibri"/>
                <w:color w:val="111111"/>
                <w:szCs w:val="16"/>
              </w:rPr>
              <w:t>O emissions from industrial wastewater and sewage sludge applied to soils in the agriculture and waste chapters of the NIR and in CRF table 3.D, and explain any recalculation in the NIR.</w:t>
            </w:r>
          </w:p>
        </w:tc>
        <w:tc>
          <w:tcPr>
            <w:tcW w:w="2879" w:type="dxa"/>
            <w:shd w:val="clear" w:color="auto" w:fill="FFFFFF"/>
            <w:tcMar>
              <w:top w:w="0" w:type="dxa"/>
              <w:left w:w="85" w:type="dxa"/>
              <w:bottom w:w="0" w:type="dxa"/>
              <w:right w:w="85" w:type="dxa"/>
            </w:tcMar>
          </w:tcPr>
          <w:p w14:paraId="5585DD5D" w14:textId="77777777" w:rsidR="007E0025" w:rsidRPr="00BE78CA" w:rsidRDefault="007E0025" w:rsidP="00C26084">
            <w:pPr>
              <w:pStyle w:val="TableText"/>
            </w:pPr>
            <w:r w:rsidRPr="00BE78CA">
              <w:rPr>
                <w:rFonts w:eastAsia="Calibri"/>
                <w:b/>
                <w:bCs/>
              </w:rPr>
              <w:t xml:space="preserve">Not resolved. </w:t>
            </w:r>
            <w:r w:rsidRPr="00BE78CA">
              <w:rPr>
                <w:rFonts w:eastAsia="Calibri"/>
              </w:rPr>
              <w:t>This will be addressed in a future submission. It has not been prioritised due to the insignificant emissions associated with sludge.</w:t>
            </w:r>
          </w:p>
        </w:tc>
      </w:tr>
      <w:tr w:rsidR="007E0025" w:rsidRPr="00BE78CA" w14:paraId="68FE1BC2" w14:textId="77777777" w:rsidTr="00BB5269">
        <w:tc>
          <w:tcPr>
            <w:tcW w:w="1813" w:type="dxa"/>
            <w:shd w:val="clear" w:color="auto" w:fill="FFFFFF"/>
            <w:tcMar>
              <w:top w:w="0" w:type="dxa"/>
              <w:left w:w="85" w:type="dxa"/>
              <w:bottom w:w="0" w:type="dxa"/>
              <w:right w:w="85" w:type="dxa"/>
            </w:tcMar>
          </w:tcPr>
          <w:p w14:paraId="4B60D124" w14:textId="77777777" w:rsidR="007E0025" w:rsidRPr="00BE78CA" w:rsidRDefault="007E0025" w:rsidP="00C26084">
            <w:pPr>
              <w:pStyle w:val="TableText"/>
            </w:pPr>
            <w:r w:rsidRPr="00BE78CA">
              <w:rPr>
                <w:rFonts w:eastAsia="Calibri" w:cs="Calibri"/>
                <w:color w:val="111111"/>
                <w:szCs w:val="16"/>
              </w:rPr>
              <w:t>Waste – 5.D Wastewater treatment and discharge– CH</w:t>
            </w:r>
            <w:r w:rsidRPr="00BE78CA">
              <w:rPr>
                <w:rFonts w:eastAsia="Calibri" w:cs="Calibri"/>
                <w:color w:val="111111"/>
                <w:szCs w:val="16"/>
                <w:vertAlign w:val="subscript"/>
              </w:rPr>
              <w:t>4</w:t>
            </w:r>
            <w:r w:rsidRPr="00BE78CA">
              <w:rPr>
                <w:rFonts w:eastAsia="Calibri" w:cs="Calibri"/>
                <w:color w:val="111111"/>
                <w:szCs w:val="16"/>
              </w:rPr>
              <w:t xml:space="preserve"> and N</w:t>
            </w:r>
            <w:r w:rsidRPr="00BE78CA">
              <w:rPr>
                <w:rFonts w:eastAsia="Calibri" w:cs="Calibri"/>
                <w:color w:val="111111"/>
                <w:szCs w:val="16"/>
                <w:vertAlign w:val="subscript"/>
              </w:rPr>
              <w:t>2</w:t>
            </w:r>
            <w:r w:rsidRPr="00BE78CA">
              <w:rPr>
                <w:rFonts w:eastAsia="Calibri" w:cs="Calibri"/>
                <w:color w:val="111111"/>
                <w:szCs w:val="16"/>
              </w:rPr>
              <w:t>O</w:t>
            </w:r>
          </w:p>
        </w:tc>
        <w:tc>
          <w:tcPr>
            <w:tcW w:w="907" w:type="dxa"/>
            <w:shd w:val="clear" w:color="auto" w:fill="FFFFFF"/>
            <w:tcMar>
              <w:top w:w="0" w:type="dxa"/>
              <w:left w:w="85" w:type="dxa"/>
              <w:bottom w:w="0" w:type="dxa"/>
              <w:right w:w="85" w:type="dxa"/>
            </w:tcMar>
          </w:tcPr>
          <w:p w14:paraId="5C443090" w14:textId="77777777" w:rsidR="007E0025" w:rsidRPr="00BE78CA" w:rsidRDefault="007E0025" w:rsidP="00C26084">
            <w:pPr>
              <w:pStyle w:val="TableText"/>
            </w:pPr>
            <w:r w:rsidRPr="00BE78CA">
              <w:rPr>
                <w:rFonts w:eastAsia="Calibri" w:cs="Calibri"/>
                <w:color w:val="111111"/>
                <w:szCs w:val="16"/>
              </w:rPr>
              <w:t>W.23, 2019</w:t>
            </w:r>
          </w:p>
        </w:tc>
        <w:tc>
          <w:tcPr>
            <w:tcW w:w="2784" w:type="dxa"/>
            <w:shd w:val="clear" w:color="auto" w:fill="FFFFFF"/>
            <w:tcMar>
              <w:top w:w="0" w:type="dxa"/>
              <w:left w:w="85" w:type="dxa"/>
              <w:bottom w:w="0" w:type="dxa"/>
              <w:right w:w="85" w:type="dxa"/>
            </w:tcMar>
          </w:tcPr>
          <w:p w14:paraId="3F07E006" w14:textId="77777777" w:rsidR="007E0025" w:rsidRPr="00BE78CA" w:rsidRDefault="007E0025" w:rsidP="00C26084">
            <w:pPr>
              <w:pStyle w:val="TableText"/>
            </w:pPr>
            <w:r w:rsidRPr="00BE78CA">
              <w:rPr>
                <w:rFonts w:eastAsia="Calibri" w:cs="Calibri"/>
                <w:color w:val="111111"/>
                <w:szCs w:val="16"/>
              </w:rPr>
              <w:t>The ERT recommends that New Zealand clarify and report consistent information on the final treatment or disposal for sludge, including incineration and disposal in municipal landfills, review the estimates and explain any recalculation in the NIR.</w:t>
            </w:r>
          </w:p>
        </w:tc>
        <w:tc>
          <w:tcPr>
            <w:tcW w:w="2879" w:type="dxa"/>
            <w:shd w:val="clear" w:color="auto" w:fill="FFFFFF"/>
            <w:tcMar>
              <w:top w:w="0" w:type="dxa"/>
              <w:left w:w="85" w:type="dxa"/>
              <w:bottom w:w="0" w:type="dxa"/>
              <w:right w:w="85" w:type="dxa"/>
            </w:tcMar>
          </w:tcPr>
          <w:p w14:paraId="2C2A2C9C" w14:textId="77777777" w:rsidR="007E0025" w:rsidRPr="00BE78CA" w:rsidRDefault="007E0025" w:rsidP="00C26084">
            <w:pPr>
              <w:pStyle w:val="TableText"/>
            </w:pPr>
            <w:r w:rsidRPr="00BE78CA">
              <w:rPr>
                <w:rFonts w:eastAsia="Calibri"/>
                <w:b/>
                <w:bCs/>
              </w:rPr>
              <w:t>Addressing.</w:t>
            </w:r>
            <w:r w:rsidRPr="00BE78CA">
              <w:rPr>
                <w:rFonts w:eastAsia="Calibri"/>
              </w:rPr>
              <w:t xml:space="preserve"> Volumes of sludge disposed to managed landfills have been updated according to Eunomia (unpublished). Further work will be addressed in a future submission.</w:t>
            </w:r>
          </w:p>
        </w:tc>
      </w:tr>
      <w:tr w:rsidR="007E0025" w:rsidRPr="00BE78CA" w14:paraId="1A2B52D6" w14:textId="77777777" w:rsidTr="00BB5269">
        <w:tc>
          <w:tcPr>
            <w:tcW w:w="1813" w:type="dxa"/>
            <w:shd w:val="clear" w:color="auto" w:fill="FFFFFF"/>
            <w:tcMar>
              <w:top w:w="0" w:type="dxa"/>
              <w:left w:w="85" w:type="dxa"/>
              <w:bottom w:w="0" w:type="dxa"/>
              <w:right w:w="85" w:type="dxa"/>
            </w:tcMar>
          </w:tcPr>
          <w:p w14:paraId="777BDF6E" w14:textId="77777777" w:rsidR="007E0025" w:rsidRPr="00BE78CA" w:rsidRDefault="007E0025" w:rsidP="00C26084">
            <w:pPr>
              <w:pStyle w:val="TableText"/>
            </w:pPr>
            <w:r w:rsidRPr="00BE78CA">
              <w:rPr>
                <w:rFonts w:eastAsia="Calibri" w:cs="Calibri"/>
                <w:color w:val="111111"/>
                <w:szCs w:val="16"/>
              </w:rPr>
              <w:t>Waste – 5.D.2 Industrial wastewater – CH</w:t>
            </w:r>
            <w:r w:rsidRPr="00BE78CA">
              <w:rPr>
                <w:rFonts w:eastAsia="Calibri" w:cs="Calibri"/>
                <w:color w:val="111111"/>
                <w:szCs w:val="16"/>
                <w:vertAlign w:val="subscript"/>
              </w:rPr>
              <w:t>4</w:t>
            </w:r>
          </w:p>
        </w:tc>
        <w:tc>
          <w:tcPr>
            <w:tcW w:w="907" w:type="dxa"/>
            <w:shd w:val="clear" w:color="auto" w:fill="FFFFFF"/>
            <w:tcMar>
              <w:top w:w="0" w:type="dxa"/>
              <w:left w:w="85" w:type="dxa"/>
              <w:bottom w:w="0" w:type="dxa"/>
              <w:right w:w="85" w:type="dxa"/>
            </w:tcMar>
          </w:tcPr>
          <w:p w14:paraId="663765C3" w14:textId="77777777" w:rsidR="007E0025" w:rsidRPr="00BE78CA" w:rsidRDefault="007E0025" w:rsidP="00C26084">
            <w:pPr>
              <w:pStyle w:val="TableText"/>
            </w:pPr>
            <w:r w:rsidRPr="00BE78CA">
              <w:rPr>
                <w:rFonts w:eastAsia="Calibri" w:cs="Calibri"/>
                <w:color w:val="111111"/>
                <w:szCs w:val="16"/>
              </w:rPr>
              <w:t>W.24, 2019</w:t>
            </w:r>
          </w:p>
        </w:tc>
        <w:tc>
          <w:tcPr>
            <w:tcW w:w="2784" w:type="dxa"/>
            <w:shd w:val="clear" w:color="auto" w:fill="FFFFFF"/>
            <w:tcMar>
              <w:top w:w="0" w:type="dxa"/>
              <w:left w:w="85" w:type="dxa"/>
              <w:bottom w:w="0" w:type="dxa"/>
              <w:right w:w="85" w:type="dxa"/>
            </w:tcMar>
          </w:tcPr>
          <w:p w14:paraId="7647CBC5" w14:textId="62208FE2" w:rsidR="007E0025" w:rsidRPr="00BE78CA" w:rsidRDefault="007E0025" w:rsidP="00C26084">
            <w:pPr>
              <w:pStyle w:val="TableText"/>
            </w:pPr>
            <w:r w:rsidRPr="00BE78CA">
              <w:rPr>
                <w:rFonts w:eastAsia="Calibri" w:cs="Calibri"/>
                <w:color w:val="111111"/>
                <w:szCs w:val="16"/>
              </w:rPr>
              <w:t>The ERT recommends that New Zealand estimate and report the amount of CH</w:t>
            </w:r>
            <w:r w:rsidRPr="00BE78CA">
              <w:rPr>
                <w:color w:val="111111"/>
                <w:vertAlign w:val="subscript"/>
              </w:rPr>
              <w:t>4</w:t>
            </w:r>
            <w:r w:rsidRPr="00BE78CA">
              <w:rPr>
                <w:rFonts w:eastAsia="Calibri" w:cs="Calibri"/>
                <w:color w:val="111111"/>
                <w:szCs w:val="16"/>
              </w:rPr>
              <w:t xml:space="preserve"> flared and for energy recovery, respectively, in CRF table 5.D, noting that the amount of CH</w:t>
            </w:r>
            <w:r w:rsidRPr="00BE78CA">
              <w:rPr>
                <w:color w:val="111111"/>
                <w:vertAlign w:val="subscript"/>
              </w:rPr>
              <w:t>4</w:t>
            </w:r>
            <w:r w:rsidRPr="00BE78CA">
              <w:rPr>
                <w:rFonts w:eastAsia="Calibri" w:cs="Calibri"/>
                <w:color w:val="111111"/>
                <w:szCs w:val="16"/>
              </w:rPr>
              <w:t xml:space="preserve"> for energy recovery, if occurring, should probably be reported as </w:t>
            </w:r>
            <w:r w:rsidR="0055281A" w:rsidRPr="00BE78CA">
              <w:rPr>
                <w:rFonts w:eastAsia="Calibri" w:cs="Calibri"/>
                <w:color w:val="111111"/>
                <w:szCs w:val="16"/>
              </w:rPr>
              <w:t>‘IE’</w:t>
            </w:r>
            <w:r w:rsidRPr="00BE78CA">
              <w:rPr>
                <w:rFonts w:eastAsia="Calibri" w:cs="Calibri"/>
                <w:color w:val="111111"/>
                <w:szCs w:val="16"/>
              </w:rPr>
              <w:t xml:space="preserve"> in that table and the</w:t>
            </w:r>
            <w:r w:rsidR="00A27698" w:rsidRPr="00BE78CA">
              <w:rPr>
                <w:rFonts w:eastAsia="Calibri" w:cs="Calibri"/>
                <w:color w:val="111111"/>
                <w:szCs w:val="16"/>
              </w:rPr>
              <w:t> </w:t>
            </w:r>
            <w:r w:rsidRPr="00BE78CA">
              <w:rPr>
                <w:rFonts w:eastAsia="Calibri" w:cs="Calibri"/>
                <w:color w:val="111111"/>
                <w:szCs w:val="16"/>
              </w:rPr>
              <w:t>estimates reported under the energy sector.</w:t>
            </w:r>
          </w:p>
        </w:tc>
        <w:tc>
          <w:tcPr>
            <w:tcW w:w="2879" w:type="dxa"/>
            <w:shd w:val="clear" w:color="auto" w:fill="FFFFFF"/>
            <w:tcMar>
              <w:top w:w="0" w:type="dxa"/>
              <w:left w:w="85" w:type="dxa"/>
              <w:bottom w:w="0" w:type="dxa"/>
              <w:right w:w="85" w:type="dxa"/>
            </w:tcMar>
          </w:tcPr>
          <w:p w14:paraId="3B612DEB" w14:textId="77777777" w:rsidR="007E0025" w:rsidRPr="00BE78CA" w:rsidRDefault="007E0025" w:rsidP="00C26084">
            <w:pPr>
              <w:pStyle w:val="TableText"/>
            </w:pPr>
            <w:r w:rsidRPr="00BE78CA">
              <w:rPr>
                <w:rFonts w:eastAsia="Calibri"/>
                <w:b/>
                <w:bCs/>
              </w:rPr>
              <w:t xml:space="preserve">Resolved. </w:t>
            </w:r>
            <w:r w:rsidRPr="00BE78CA">
              <w:rPr>
                <w:rFonts w:eastAsia="Calibri"/>
              </w:rPr>
              <w:t>The amount of CH</w:t>
            </w:r>
            <w:r w:rsidRPr="00BE78CA">
              <w:rPr>
                <w:rFonts w:eastAsia="Calibri"/>
                <w:vertAlign w:val="subscript"/>
              </w:rPr>
              <w:t>4</w:t>
            </w:r>
            <w:r w:rsidRPr="00BE78CA">
              <w:rPr>
                <w:rFonts w:eastAsia="Calibri"/>
              </w:rPr>
              <w:t xml:space="preserve"> recovered for flaring is reported as ‘NE’ because no information is available. The amount of CH</w:t>
            </w:r>
            <w:r w:rsidRPr="00BE78CA">
              <w:rPr>
                <w:rFonts w:eastAsia="Calibri"/>
                <w:vertAlign w:val="subscript"/>
              </w:rPr>
              <w:t>4</w:t>
            </w:r>
            <w:r w:rsidRPr="00BE78CA">
              <w:rPr>
                <w:rFonts w:eastAsia="Calibri"/>
              </w:rPr>
              <w:t xml:space="preserve"> recovered for energy generation is now reported as ‘IE’ in table 5.D.2, and emissions are reported in the Energy sector under 1.A.2.e – Biomass. </w:t>
            </w:r>
          </w:p>
        </w:tc>
      </w:tr>
      <w:tr w:rsidR="007E0025" w:rsidRPr="00BE78CA" w14:paraId="239F6630" w14:textId="77777777" w:rsidTr="00BB5269">
        <w:tc>
          <w:tcPr>
            <w:tcW w:w="1813" w:type="dxa"/>
            <w:shd w:val="clear" w:color="auto" w:fill="FFFFFF"/>
            <w:tcMar>
              <w:top w:w="0" w:type="dxa"/>
              <w:left w:w="85" w:type="dxa"/>
              <w:bottom w:w="0" w:type="dxa"/>
              <w:right w:w="85" w:type="dxa"/>
            </w:tcMar>
          </w:tcPr>
          <w:p w14:paraId="0B1593A4" w14:textId="00BB4F1C" w:rsidR="007E0025" w:rsidRPr="00BE78CA" w:rsidRDefault="007E0025" w:rsidP="00C26084">
            <w:pPr>
              <w:pStyle w:val="TableText"/>
            </w:pPr>
            <w:r w:rsidRPr="00BE78CA">
              <w:rPr>
                <w:rFonts w:eastAsia="Calibri" w:cs="Calibri"/>
                <w:color w:val="111111"/>
                <w:szCs w:val="16"/>
              </w:rPr>
              <w:t xml:space="preserve">KP-LULUCF – General (KP-LULUCF activities) </w:t>
            </w:r>
            <w:r w:rsidR="00A27698" w:rsidRPr="00BE78CA">
              <w:rPr>
                <w:rFonts w:eastAsia="Calibri" w:cs="Calibri"/>
                <w:color w:val="111111"/>
                <w:szCs w:val="16"/>
              </w:rPr>
              <w:br/>
            </w:r>
            <w:r w:rsidRPr="00BE78CA">
              <w:rPr>
                <w:rFonts w:eastAsia="Calibri" w:cs="Calibri"/>
                <w:color w:val="111111"/>
                <w:szCs w:val="16"/>
              </w:rPr>
              <w:t>– all GHGs</w:t>
            </w:r>
          </w:p>
        </w:tc>
        <w:tc>
          <w:tcPr>
            <w:tcW w:w="907" w:type="dxa"/>
            <w:shd w:val="clear" w:color="auto" w:fill="FFFFFF"/>
            <w:tcMar>
              <w:top w:w="0" w:type="dxa"/>
              <w:left w:w="85" w:type="dxa"/>
              <w:bottom w:w="0" w:type="dxa"/>
              <w:right w:w="85" w:type="dxa"/>
            </w:tcMar>
          </w:tcPr>
          <w:p w14:paraId="55CDC162" w14:textId="77777777" w:rsidR="007E0025" w:rsidRPr="00BE78CA" w:rsidRDefault="007E0025" w:rsidP="00C26084">
            <w:pPr>
              <w:pStyle w:val="TableText"/>
            </w:pPr>
            <w:r w:rsidRPr="00BE78CA">
              <w:rPr>
                <w:rFonts w:eastAsia="Calibri" w:cs="Calibri"/>
                <w:color w:val="111111"/>
                <w:szCs w:val="16"/>
              </w:rPr>
              <w:t>KL.8, 2019</w:t>
            </w:r>
          </w:p>
        </w:tc>
        <w:tc>
          <w:tcPr>
            <w:tcW w:w="2784" w:type="dxa"/>
            <w:shd w:val="clear" w:color="auto" w:fill="FFFFFF"/>
            <w:tcMar>
              <w:top w:w="0" w:type="dxa"/>
              <w:left w:w="85" w:type="dxa"/>
              <w:bottom w:w="0" w:type="dxa"/>
              <w:right w:w="85" w:type="dxa"/>
            </w:tcMar>
          </w:tcPr>
          <w:p w14:paraId="5180BF64" w14:textId="566BCD99" w:rsidR="007E0025" w:rsidRPr="00BE78CA" w:rsidRDefault="007E0025" w:rsidP="00C26084">
            <w:pPr>
              <w:pStyle w:val="TableText"/>
            </w:pPr>
            <w:r w:rsidRPr="00BE78CA">
              <w:rPr>
                <w:rFonts w:eastAsia="Calibri" w:cs="Calibri"/>
                <w:color w:val="111111"/>
                <w:szCs w:val="16"/>
              </w:rPr>
              <w:t>The ERT recommends that New Zealand ensure that the area reported under each KP-LULUCF activity at the end of an inventory year in CRF table NIR</w:t>
            </w:r>
            <w:r w:rsidR="00A27698" w:rsidRPr="00BE78CA">
              <w:rPr>
                <w:rFonts w:eastAsia="Calibri" w:cs="Calibri"/>
                <w:color w:val="111111"/>
                <w:szCs w:val="16"/>
              </w:rPr>
              <w:noBreakHyphen/>
            </w:r>
            <w:r w:rsidRPr="00BE78CA">
              <w:rPr>
                <w:rFonts w:eastAsia="Calibri" w:cs="Calibri"/>
                <w:color w:val="111111"/>
                <w:szCs w:val="16"/>
              </w:rPr>
              <w:t>2 is</w:t>
            </w:r>
            <w:r w:rsidR="00A27698" w:rsidRPr="00BE78CA">
              <w:rPr>
                <w:rFonts w:eastAsia="Calibri" w:cs="Calibri"/>
                <w:color w:val="111111"/>
                <w:szCs w:val="16"/>
              </w:rPr>
              <w:t> </w:t>
            </w:r>
            <w:r w:rsidRPr="00BE78CA">
              <w:rPr>
                <w:rFonts w:eastAsia="Calibri" w:cs="Calibri"/>
                <w:color w:val="111111"/>
                <w:szCs w:val="16"/>
              </w:rPr>
              <w:t>the same as that used for the calculation of the area of that KP</w:t>
            </w:r>
            <w:r w:rsidR="00A27698" w:rsidRPr="00BE78CA">
              <w:rPr>
                <w:rFonts w:eastAsia="Calibri" w:cs="Calibri"/>
                <w:color w:val="111111"/>
                <w:szCs w:val="16"/>
              </w:rPr>
              <w:noBreakHyphen/>
            </w:r>
            <w:r w:rsidRPr="00BE78CA">
              <w:rPr>
                <w:rFonts w:eastAsia="Calibri" w:cs="Calibri"/>
                <w:color w:val="111111"/>
                <w:szCs w:val="16"/>
              </w:rPr>
              <w:t>LULUCF activity at the beginning of</w:t>
            </w:r>
            <w:r w:rsidR="00A27698" w:rsidRPr="00BE78CA">
              <w:rPr>
                <w:rFonts w:eastAsia="Calibri" w:cs="Calibri"/>
                <w:color w:val="111111"/>
                <w:szCs w:val="16"/>
              </w:rPr>
              <w:t> </w:t>
            </w:r>
            <w:r w:rsidRPr="00BE78CA">
              <w:rPr>
                <w:rFonts w:eastAsia="Calibri" w:cs="Calibri"/>
                <w:color w:val="111111"/>
                <w:szCs w:val="16"/>
              </w:rPr>
              <w:t>the following year.</w:t>
            </w:r>
          </w:p>
        </w:tc>
        <w:tc>
          <w:tcPr>
            <w:tcW w:w="2879" w:type="dxa"/>
            <w:shd w:val="clear" w:color="auto" w:fill="FFFFFF"/>
            <w:tcMar>
              <w:top w:w="0" w:type="dxa"/>
              <w:left w:w="85" w:type="dxa"/>
              <w:bottom w:w="0" w:type="dxa"/>
              <w:right w:w="85" w:type="dxa"/>
            </w:tcMar>
          </w:tcPr>
          <w:p w14:paraId="533B43A8" w14:textId="77777777" w:rsidR="007E0025" w:rsidRPr="00BE78CA" w:rsidRDefault="007E0025" w:rsidP="00C26084">
            <w:pPr>
              <w:pStyle w:val="TableText"/>
              <w:rPr>
                <w:b/>
                <w:bCs/>
              </w:rPr>
            </w:pPr>
            <w:r w:rsidRPr="00BE78CA">
              <w:rPr>
                <w:rFonts w:eastAsia="Calibri"/>
                <w:b/>
                <w:bCs/>
              </w:rPr>
              <w:t>Resolved.</w:t>
            </w:r>
            <w:r w:rsidRPr="00BE78CA">
              <w:rPr>
                <w:rFonts w:eastAsia="Calibri"/>
              </w:rPr>
              <w:t xml:space="preserve"> The area reported under each KP-LULUCF activity at the end of an inventory year in CRF table NIR-2 is the same as that used for the calculation of the area of that KP- LULUCF activity at the beginning of the following year.</w:t>
            </w:r>
          </w:p>
        </w:tc>
      </w:tr>
      <w:tr w:rsidR="007E0025" w:rsidRPr="00BE78CA" w14:paraId="31BEA312" w14:textId="77777777" w:rsidTr="00BB5269">
        <w:tc>
          <w:tcPr>
            <w:tcW w:w="1813" w:type="dxa"/>
            <w:shd w:val="clear" w:color="auto" w:fill="FFFFFF"/>
            <w:tcMar>
              <w:top w:w="0" w:type="dxa"/>
              <w:left w:w="85" w:type="dxa"/>
              <w:bottom w:w="0" w:type="dxa"/>
              <w:right w:w="85" w:type="dxa"/>
            </w:tcMar>
          </w:tcPr>
          <w:p w14:paraId="35201754" w14:textId="2CD6A78F" w:rsidR="007E0025" w:rsidRPr="00BE78CA" w:rsidRDefault="007E0025" w:rsidP="00C26084">
            <w:pPr>
              <w:pStyle w:val="TableText"/>
            </w:pPr>
            <w:r w:rsidRPr="00BE78CA">
              <w:rPr>
                <w:rFonts w:eastAsia="Calibri" w:cs="Calibri"/>
                <w:color w:val="111111"/>
                <w:szCs w:val="16"/>
              </w:rPr>
              <w:t xml:space="preserve">KP-LULUCF – General (KP-LULUCF activities) </w:t>
            </w:r>
            <w:r w:rsidR="00A27698" w:rsidRPr="00BE78CA">
              <w:rPr>
                <w:rFonts w:eastAsia="Calibri" w:cs="Calibri"/>
                <w:color w:val="111111"/>
                <w:szCs w:val="16"/>
              </w:rPr>
              <w:br/>
            </w:r>
            <w:r w:rsidRPr="00BE78CA">
              <w:rPr>
                <w:rFonts w:eastAsia="Calibri" w:cs="Calibri"/>
                <w:color w:val="111111"/>
                <w:szCs w:val="16"/>
              </w:rPr>
              <w:t>– all GHGs</w:t>
            </w:r>
          </w:p>
        </w:tc>
        <w:tc>
          <w:tcPr>
            <w:tcW w:w="907" w:type="dxa"/>
            <w:shd w:val="clear" w:color="auto" w:fill="FFFFFF"/>
            <w:tcMar>
              <w:top w:w="0" w:type="dxa"/>
              <w:left w:w="85" w:type="dxa"/>
              <w:bottom w:w="0" w:type="dxa"/>
              <w:right w:w="85" w:type="dxa"/>
            </w:tcMar>
          </w:tcPr>
          <w:p w14:paraId="2B2BCDD4" w14:textId="77777777" w:rsidR="007E0025" w:rsidRPr="00BE78CA" w:rsidRDefault="007E0025" w:rsidP="00C26084">
            <w:pPr>
              <w:pStyle w:val="TableText"/>
            </w:pPr>
            <w:r w:rsidRPr="00BE78CA">
              <w:rPr>
                <w:rFonts w:eastAsia="Calibri" w:cs="Calibri"/>
                <w:color w:val="111111"/>
                <w:szCs w:val="16"/>
              </w:rPr>
              <w:t>KL.9, 2019</w:t>
            </w:r>
          </w:p>
        </w:tc>
        <w:tc>
          <w:tcPr>
            <w:tcW w:w="2784" w:type="dxa"/>
            <w:shd w:val="clear" w:color="auto" w:fill="FFFFFF"/>
            <w:tcMar>
              <w:top w:w="0" w:type="dxa"/>
              <w:left w:w="85" w:type="dxa"/>
              <w:bottom w:w="0" w:type="dxa"/>
              <w:right w:w="85" w:type="dxa"/>
            </w:tcMar>
          </w:tcPr>
          <w:p w14:paraId="4A840F76" w14:textId="77777777" w:rsidR="007E0025" w:rsidRPr="00BE78CA" w:rsidRDefault="007E0025" w:rsidP="00C26084">
            <w:pPr>
              <w:pStyle w:val="TableText"/>
            </w:pPr>
            <w:r w:rsidRPr="00BE78CA">
              <w:rPr>
                <w:rFonts w:eastAsia="Calibri" w:cs="Calibri"/>
                <w:color w:val="111111"/>
                <w:szCs w:val="16"/>
              </w:rPr>
              <w:t>The ERT recommends that New Zealand update the information reported on factoring out in accounting for KP- LULUCF activities.</w:t>
            </w:r>
          </w:p>
        </w:tc>
        <w:tc>
          <w:tcPr>
            <w:tcW w:w="2879" w:type="dxa"/>
            <w:shd w:val="clear" w:color="auto" w:fill="FFFFFF"/>
            <w:tcMar>
              <w:top w:w="0" w:type="dxa"/>
              <w:left w:w="85" w:type="dxa"/>
              <w:bottom w:w="0" w:type="dxa"/>
              <w:right w:w="85" w:type="dxa"/>
            </w:tcMar>
          </w:tcPr>
          <w:p w14:paraId="47520CB7" w14:textId="77777777" w:rsidR="007E0025" w:rsidRPr="00BE78CA" w:rsidRDefault="007E0025" w:rsidP="00C26084">
            <w:pPr>
              <w:pStyle w:val="TableText"/>
            </w:pPr>
            <w:r w:rsidRPr="00BE78CA">
              <w:rPr>
                <w:rFonts w:eastAsia="Calibri"/>
                <w:b/>
                <w:bCs/>
              </w:rPr>
              <w:t>Resolved.</w:t>
            </w:r>
            <w:r w:rsidRPr="00BE78CA">
              <w:rPr>
                <w:rFonts w:eastAsia="Calibri"/>
              </w:rPr>
              <w:t xml:space="preserve"> Further information on factoring out has been provided in chapter 11, section 11.6.2.</w:t>
            </w:r>
          </w:p>
        </w:tc>
      </w:tr>
      <w:tr w:rsidR="007E0025" w:rsidRPr="00BE78CA" w14:paraId="520D79E0" w14:textId="77777777" w:rsidTr="00BB5269">
        <w:tc>
          <w:tcPr>
            <w:tcW w:w="1813" w:type="dxa"/>
            <w:shd w:val="clear" w:color="auto" w:fill="FFFFFF"/>
            <w:tcMar>
              <w:top w:w="0" w:type="dxa"/>
              <w:left w:w="85" w:type="dxa"/>
              <w:bottom w:w="0" w:type="dxa"/>
              <w:right w:w="85" w:type="dxa"/>
            </w:tcMar>
          </w:tcPr>
          <w:p w14:paraId="7982B42A" w14:textId="41E6F03E" w:rsidR="007E0025" w:rsidRPr="00BE78CA" w:rsidRDefault="007E0025" w:rsidP="00C26084">
            <w:pPr>
              <w:pStyle w:val="TableText"/>
            </w:pPr>
            <w:r w:rsidRPr="00BE78CA">
              <w:rPr>
                <w:rFonts w:eastAsia="Calibri" w:cs="Calibri"/>
                <w:color w:val="111111"/>
                <w:szCs w:val="16"/>
              </w:rPr>
              <w:t xml:space="preserve">KP-LULUCF – General (KP-LULUCF activities) </w:t>
            </w:r>
            <w:r w:rsidR="00A27698" w:rsidRPr="00BE78CA">
              <w:rPr>
                <w:rFonts w:eastAsia="Calibri" w:cs="Calibri"/>
                <w:color w:val="111111"/>
                <w:szCs w:val="16"/>
              </w:rPr>
              <w:br/>
            </w:r>
            <w:r w:rsidRPr="00BE78CA">
              <w:rPr>
                <w:rFonts w:eastAsia="Calibri" w:cs="Calibri"/>
                <w:color w:val="111111"/>
                <w:szCs w:val="16"/>
              </w:rPr>
              <w:t>– all GHGs</w:t>
            </w:r>
          </w:p>
        </w:tc>
        <w:tc>
          <w:tcPr>
            <w:tcW w:w="907" w:type="dxa"/>
            <w:shd w:val="clear" w:color="auto" w:fill="FFFFFF"/>
            <w:tcMar>
              <w:top w:w="0" w:type="dxa"/>
              <w:left w:w="85" w:type="dxa"/>
              <w:bottom w:w="0" w:type="dxa"/>
              <w:right w:w="85" w:type="dxa"/>
            </w:tcMar>
          </w:tcPr>
          <w:p w14:paraId="2646AC2A" w14:textId="77777777" w:rsidR="007E0025" w:rsidRPr="00BE78CA" w:rsidRDefault="007E0025" w:rsidP="00C26084">
            <w:pPr>
              <w:pStyle w:val="TableText"/>
            </w:pPr>
            <w:r w:rsidRPr="00BE78CA">
              <w:rPr>
                <w:rFonts w:eastAsia="Calibri" w:cs="Calibri"/>
                <w:color w:val="111111"/>
                <w:szCs w:val="16"/>
              </w:rPr>
              <w:t>KL.10, 2019</w:t>
            </w:r>
          </w:p>
        </w:tc>
        <w:tc>
          <w:tcPr>
            <w:tcW w:w="2784" w:type="dxa"/>
            <w:shd w:val="clear" w:color="auto" w:fill="FFFFFF"/>
            <w:tcMar>
              <w:top w:w="0" w:type="dxa"/>
              <w:left w:w="85" w:type="dxa"/>
              <w:bottom w:w="0" w:type="dxa"/>
              <w:right w:w="85" w:type="dxa"/>
            </w:tcMar>
          </w:tcPr>
          <w:p w14:paraId="0047994F" w14:textId="77777777" w:rsidR="007E0025" w:rsidRPr="00BE78CA" w:rsidRDefault="007E0025" w:rsidP="00C26084">
            <w:pPr>
              <w:pStyle w:val="TableText"/>
            </w:pPr>
            <w:r w:rsidRPr="00BE78CA">
              <w:rPr>
                <w:rFonts w:eastAsia="Calibri" w:cs="Calibri"/>
                <w:color w:val="111111"/>
                <w:szCs w:val="16"/>
              </w:rPr>
              <w:t>The ERT recommends that New Zealand provide evidence that a minimum level of historical emissions from forest fires allows the separation of non-anthropogenic events and circumstances that cause significant emissions and are beyond the control of the Party from all those events and circumstances that are anthropogenic, not limiting such consideration to the causes of fires. Alternatively, the ERT recommends that New Zealand revise its approach and recalculate its background level and associated margin accordingly, for instance by applying the method described in the Kyoto Protocol Supplement.</w:t>
            </w:r>
          </w:p>
        </w:tc>
        <w:tc>
          <w:tcPr>
            <w:tcW w:w="2879" w:type="dxa"/>
            <w:shd w:val="clear" w:color="auto" w:fill="FFFFFF"/>
            <w:tcMar>
              <w:top w:w="0" w:type="dxa"/>
              <w:left w:w="85" w:type="dxa"/>
              <w:bottom w:w="0" w:type="dxa"/>
              <w:right w:w="85" w:type="dxa"/>
            </w:tcMar>
          </w:tcPr>
          <w:p w14:paraId="55D11B34" w14:textId="77777777" w:rsidR="007E0025" w:rsidRPr="00BE78CA" w:rsidRDefault="007E0025" w:rsidP="00C26084">
            <w:pPr>
              <w:pStyle w:val="TableText"/>
            </w:pPr>
            <w:r w:rsidRPr="00BE78CA">
              <w:rPr>
                <w:rFonts w:eastAsia="Calibri"/>
                <w:b/>
                <w:bCs/>
              </w:rPr>
              <w:t>Resolved.</w:t>
            </w:r>
            <w:r w:rsidRPr="00BE78CA">
              <w:rPr>
                <w:rFonts w:eastAsia="Calibri"/>
              </w:rPr>
              <w:t xml:space="preserve"> The background level and margin have been recalculated according to the method described in the Kyoto Protocol Supplement, see </w:t>
            </w:r>
            <w:r w:rsidRPr="00BE78CA">
              <w:t>annex 5, section A5.2</w:t>
            </w:r>
            <w:r w:rsidRPr="00BE78CA">
              <w:rPr>
                <w:rFonts w:eastAsia="Calibri"/>
              </w:rPr>
              <w:t>.</w:t>
            </w:r>
          </w:p>
        </w:tc>
      </w:tr>
      <w:tr w:rsidR="007E0025" w:rsidRPr="00BE78CA" w14:paraId="024A624E" w14:textId="77777777" w:rsidTr="00BB5269">
        <w:tc>
          <w:tcPr>
            <w:tcW w:w="1813" w:type="dxa"/>
            <w:shd w:val="clear" w:color="auto" w:fill="FFFFFF"/>
            <w:tcMar>
              <w:top w:w="0" w:type="dxa"/>
              <w:left w:w="85" w:type="dxa"/>
              <w:bottom w:w="0" w:type="dxa"/>
              <w:right w:w="85" w:type="dxa"/>
            </w:tcMar>
          </w:tcPr>
          <w:p w14:paraId="6A096262" w14:textId="77777777" w:rsidR="007E0025" w:rsidRPr="00BE78CA" w:rsidRDefault="007E0025" w:rsidP="00A27698">
            <w:pPr>
              <w:pStyle w:val="TableText"/>
              <w:keepNext/>
            </w:pPr>
            <w:r w:rsidRPr="00BE78CA">
              <w:rPr>
                <w:rFonts w:eastAsia="Calibri" w:cs="Calibri"/>
                <w:color w:val="111111"/>
                <w:szCs w:val="16"/>
              </w:rPr>
              <w:lastRenderedPageBreak/>
              <w:t>KP-LULUCF – General (KP-LULUCF activities) – CO</w:t>
            </w:r>
            <w:r w:rsidRPr="00BE78CA">
              <w:rPr>
                <w:rFonts w:eastAsia="Calibri" w:cs="Calibri"/>
                <w:color w:val="111111"/>
                <w:szCs w:val="16"/>
                <w:vertAlign w:val="subscript"/>
              </w:rPr>
              <w:t>2</w:t>
            </w:r>
            <w:r w:rsidRPr="00BE78CA">
              <w:rPr>
                <w:rFonts w:eastAsia="Calibri" w:cs="Calibri"/>
                <w:color w:val="111111"/>
                <w:szCs w:val="16"/>
              </w:rPr>
              <w:t>, CH</w:t>
            </w:r>
            <w:r w:rsidRPr="00BE78CA">
              <w:rPr>
                <w:rFonts w:eastAsia="Calibri" w:cs="Calibri"/>
                <w:color w:val="111111"/>
                <w:szCs w:val="16"/>
                <w:vertAlign w:val="subscript"/>
              </w:rPr>
              <w:t>4</w:t>
            </w:r>
            <w:r w:rsidRPr="00BE78CA">
              <w:rPr>
                <w:rFonts w:eastAsia="Calibri" w:cs="Calibri"/>
                <w:color w:val="111111"/>
                <w:szCs w:val="16"/>
              </w:rPr>
              <w:t xml:space="preserve"> and N</w:t>
            </w:r>
            <w:r w:rsidRPr="00BE78CA">
              <w:rPr>
                <w:rFonts w:eastAsia="Calibri" w:cs="Calibri"/>
                <w:color w:val="111111"/>
                <w:szCs w:val="16"/>
                <w:vertAlign w:val="subscript"/>
              </w:rPr>
              <w:t>2</w:t>
            </w:r>
            <w:r w:rsidRPr="00BE78CA">
              <w:rPr>
                <w:rFonts w:eastAsia="Calibri" w:cs="Calibri"/>
                <w:color w:val="111111"/>
                <w:szCs w:val="16"/>
              </w:rPr>
              <w:t>O</w:t>
            </w:r>
          </w:p>
        </w:tc>
        <w:tc>
          <w:tcPr>
            <w:tcW w:w="907" w:type="dxa"/>
            <w:shd w:val="clear" w:color="auto" w:fill="FFFFFF"/>
            <w:tcMar>
              <w:top w:w="0" w:type="dxa"/>
              <w:left w:w="85" w:type="dxa"/>
              <w:bottom w:w="0" w:type="dxa"/>
              <w:right w:w="85" w:type="dxa"/>
            </w:tcMar>
          </w:tcPr>
          <w:p w14:paraId="05104BE8" w14:textId="77777777" w:rsidR="007E0025" w:rsidRPr="00BE78CA" w:rsidRDefault="007E0025" w:rsidP="00C26084">
            <w:pPr>
              <w:pStyle w:val="TableText"/>
            </w:pPr>
            <w:r w:rsidRPr="00BE78CA">
              <w:rPr>
                <w:rFonts w:eastAsia="Calibri" w:cs="Calibri"/>
                <w:color w:val="111111"/>
                <w:szCs w:val="16"/>
              </w:rPr>
              <w:t>KL.11, 2019</w:t>
            </w:r>
          </w:p>
        </w:tc>
        <w:tc>
          <w:tcPr>
            <w:tcW w:w="2784" w:type="dxa"/>
            <w:shd w:val="clear" w:color="auto" w:fill="FFFFFF"/>
            <w:tcMar>
              <w:top w:w="0" w:type="dxa"/>
              <w:left w:w="85" w:type="dxa"/>
              <w:bottom w:w="0" w:type="dxa"/>
              <w:right w:w="85" w:type="dxa"/>
            </w:tcMar>
          </w:tcPr>
          <w:p w14:paraId="5D3CB1E3" w14:textId="5979CC42" w:rsidR="007E0025" w:rsidRPr="00BE78CA" w:rsidRDefault="007E0025" w:rsidP="00C26084">
            <w:pPr>
              <w:pStyle w:val="TableText"/>
            </w:pPr>
            <w:r w:rsidRPr="00BE78CA">
              <w:rPr>
                <w:rFonts w:eastAsia="Calibri" w:cs="Calibri"/>
                <w:color w:val="111111"/>
                <w:szCs w:val="16"/>
              </w:rPr>
              <w:t>The ERT recommends that New Zealand recalculate the background level and the associated margin for AR and FM, including all GHG</w:t>
            </w:r>
            <w:r w:rsidR="005B6417" w:rsidRPr="00BE78CA">
              <w:rPr>
                <w:rFonts w:eastAsia="Calibri" w:cs="Calibri"/>
                <w:color w:val="111111"/>
                <w:szCs w:val="16"/>
              </w:rPr>
              <w:t xml:space="preserve"> </w:t>
            </w:r>
            <w:r w:rsidRPr="00BE78CA">
              <w:rPr>
                <w:rFonts w:eastAsia="Calibri" w:cs="Calibri"/>
                <w:color w:val="111111"/>
                <w:szCs w:val="16"/>
              </w:rPr>
              <w:t>emissions, that is, CO</w:t>
            </w:r>
            <w:r w:rsidRPr="00BE78CA">
              <w:rPr>
                <w:rFonts w:eastAsia="Calibri" w:cs="Calibri"/>
                <w:color w:val="111111"/>
                <w:szCs w:val="16"/>
                <w:vertAlign w:val="subscript"/>
              </w:rPr>
              <w:t>2</w:t>
            </w:r>
            <w:r w:rsidRPr="00BE78CA">
              <w:rPr>
                <w:rFonts w:eastAsia="Calibri" w:cs="Calibri"/>
                <w:color w:val="111111"/>
                <w:szCs w:val="16"/>
              </w:rPr>
              <w:t>, CH</w:t>
            </w:r>
            <w:r w:rsidRPr="00BE78CA">
              <w:rPr>
                <w:rFonts w:eastAsia="Calibri" w:cs="Calibri"/>
                <w:color w:val="111111"/>
                <w:szCs w:val="16"/>
                <w:vertAlign w:val="subscript"/>
              </w:rPr>
              <w:t>4</w:t>
            </w:r>
            <w:r w:rsidRPr="00BE78CA">
              <w:rPr>
                <w:rFonts w:eastAsia="Calibri" w:cs="Calibri"/>
                <w:color w:val="111111"/>
                <w:szCs w:val="16"/>
              </w:rPr>
              <w:t xml:space="preserve"> and N</w:t>
            </w:r>
            <w:r w:rsidRPr="00BE78CA">
              <w:rPr>
                <w:rFonts w:eastAsia="Calibri" w:cs="Calibri"/>
                <w:color w:val="111111"/>
                <w:szCs w:val="16"/>
                <w:vertAlign w:val="subscript"/>
              </w:rPr>
              <w:t>2</w:t>
            </w:r>
            <w:r w:rsidRPr="00BE78CA">
              <w:rPr>
                <w:rFonts w:eastAsia="Calibri" w:cs="Calibri"/>
                <w:color w:val="111111"/>
                <w:szCs w:val="16"/>
              </w:rPr>
              <w:t>O, rather than only non</w:t>
            </w:r>
            <w:r w:rsidR="00A27698" w:rsidRPr="00BE78CA">
              <w:rPr>
                <w:rFonts w:eastAsia="Calibri" w:cs="Calibri"/>
                <w:color w:val="111111"/>
                <w:szCs w:val="16"/>
              </w:rPr>
              <w:noBreakHyphen/>
            </w:r>
            <w:r w:rsidRPr="00BE78CA">
              <w:rPr>
                <w:rFonts w:eastAsia="Calibri" w:cs="Calibri"/>
                <w:color w:val="111111"/>
                <w:szCs w:val="16"/>
              </w:rPr>
              <w:t>CO</w:t>
            </w:r>
            <w:r w:rsidRPr="00BE78CA">
              <w:rPr>
                <w:rFonts w:eastAsia="Calibri" w:cs="Calibri"/>
                <w:color w:val="111111"/>
                <w:szCs w:val="16"/>
                <w:vertAlign w:val="subscript"/>
              </w:rPr>
              <w:t>2</w:t>
            </w:r>
            <w:r w:rsidRPr="00BE78CA">
              <w:rPr>
                <w:rFonts w:eastAsia="Calibri" w:cs="Calibri"/>
                <w:color w:val="111111"/>
                <w:szCs w:val="16"/>
              </w:rPr>
              <w:t xml:space="preserve"> emissions, and revise the FMRL with a technical correction.</w:t>
            </w:r>
          </w:p>
        </w:tc>
        <w:tc>
          <w:tcPr>
            <w:tcW w:w="2879" w:type="dxa"/>
            <w:shd w:val="clear" w:color="auto" w:fill="FFFFFF"/>
            <w:tcMar>
              <w:top w:w="0" w:type="dxa"/>
              <w:left w:w="85" w:type="dxa"/>
              <w:bottom w:w="0" w:type="dxa"/>
              <w:right w:w="85" w:type="dxa"/>
            </w:tcMar>
          </w:tcPr>
          <w:p w14:paraId="7C812A8D" w14:textId="77777777" w:rsidR="007E0025" w:rsidRPr="00BE78CA" w:rsidRDefault="007E0025" w:rsidP="00C26084">
            <w:pPr>
              <w:pStyle w:val="TableText"/>
            </w:pPr>
            <w:r w:rsidRPr="00BE78CA">
              <w:rPr>
                <w:rFonts w:eastAsia="Calibri"/>
                <w:b/>
                <w:bCs/>
              </w:rPr>
              <w:t>Resolved.</w:t>
            </w:r>
            <w:r w:rsidRPr="00BE78CA">
              <w:rPr>
                <w:rFonts w:eastAsia="Calibri"/>
              </w:rPr>
              <w:t xml:space="preserve"> The background level and margin have been recalculated and a technical correction to the FMRL has been applied. More information on this can be found in annex 5, section A5.2. </w:t>
            </w:r>
          </w:p>
        </w:tc>
      </w:tr>
      <w:tr w:rsidR="007E0025" w:rsidRPr="00BE78CA" w14:paraId="4D0D87A4" w14:textId="77777777" w:rsidTr="00BB5269">
        <w:tc>
          <w:tcPr>
            <w:tcW w:w="1813" w:type="dxa"/>
            <w:shd w:val="clear" w:color="auto" w:fill="FFFFFF"/>
            <w:tcMar>
              <w:top w:w="0" w:type="dxa"/>
              <w:left w:w="85" w:type="dxa"/>
              <w:bottom w:w="0" w:type="dxa"/>
              <w:right w:w="85" w:type="dxa"/>
            </w:tcMar>
          </w:tcPr>
          <w:p w14:paraId="7AAA0035" w14:textId="77777777" w:rsidR="007E0025" w:rsidRPr="00BE78CA" w:rsidRDefault="007E0025" w:rsidP="00C26084">
            <w:pPr>
              <w:pStyle w:val="TableText"/>
            </w:pPr>
            <w:r w:rsidRPr="00BE78CA">
              <w:rPr>
                <w:rFonts w:eastAsia="Calibri" w:cs="Calibri"/>
                <w:color w:val="111111"/>
                <w:szCs w:val="16"/>
              </w:rPr>
              <w:t>KP-LULUCF – Deforestation – CO</w:t>
            </w:r>
            <w:r w:rsidRPr="00BE78CA">
              <w:rPr>
                <w:rFonts w:eastAsia="Calibri" w:cs="Calibri"/>
                <w:color w:val="111111"/>
                <w:szCs w:val="16"/>
                <w:vertAlign w:val="subscript"/>
              </w:rPr>
              <w:t>2</w:t>
            </w:r>
          </w:p>
        </w:tc>
        <w:tc>
          <w:tcPr>
            <w:tcW w:w="907" w:type="dxa"/>
            <w:shd w:val="clear" w:color="auto" w:fill="FFFFFF"/>
            <w:tcMar>
              <w:top w:w="0" w:type="dxa"/>
              <w:left w:w="85" w:type="dxa"/>
              <w:bottom w:w="0" w:type="dxa"/>
              <w:right w:w="85" w:type="dxa"/>
            </w:tcMar>
          </w:tcPr>
          <w:p w14:paraId="66D6E219" w14:textId="77777777" w:rsidR="007E0025" w:rsidRPr="00BE78CA" w:rsidRDefault="007E0025" w:rsidP="00C26084">
            <w:pPr>
              <w:pStyle w:val="TableText"/>
            </w:pPr>
            <w:r w:rsidRPr="00BE78CA">
              <w:rPr>
                <w:rFonts w:eastAsia="Calibri" w:cs="Calibri"/>
                <w:color w:val="111111"/>
                <w:szCs w:val="16"/>
              </w:rPr>
              <w:t>KL.12, 2019</w:t>
            </w:r>
          </w:p>
        </w:tc>
        <w:tc>
          <w:tcPr>
            <w:tcW w:w="2784" w:type="dxa"/>
            <w:shd w:val="clear" w:color="auto" w:fill="FFFFFF"/>
            <w:tcMar>
              <w:top w:w="0" w:type="dxa"/>
              <w:left w:w="85" w:type="dxa"/>
              <w:bottom w:w="0" w:type="dxa"/>
              <w:right w:w="85" w:type="dxa"/>
            </w:tcMar>
          </w:tcPr>
          <w:p w14:paraId="5CACB8C4" w14:textId="68D60B2C" w:rsidR="007E0025" w:rsidRPr="00BE78CA" w:rsidRDefault="007E0025" w:rsidP="00C26084">
            <w:pPr>
              <w:pStyle w:val="TableText"/>
            </w:pPr>
            <w:r w:rsidRPr="00BE78CA">
              <w:rPr>
                <w:rFonts w:eastAsia="Calibri" w:cs="Calibri"/>
                <w:color w:val="111111"/>
                <w:szCs w:val="16"/>
              </w:rPr>
              <w:t>The ERT recommends that New Zealand revise the information reported in the information items of CRF table 4(KP</w:t>
            </w:r>
            <w:r w:rsidR="00A27698" w:rsidRPr="00BE78CA">
              <w:rPr>
                <w:rFonts w:eastAsia="Calibri" w:cs="Calibri"/>
                <w:color w:val="111111"/>
                <w:szCs w:val="16"/>
              </w:rPr>
              <w:noBreakHyphen/>
            </w:r>
            <w:r w:rsidRPr="00BE78CA">
              <w:rPr>
                <w:rFonts w:eastAsia="Calibri" w:cs="Calibri"/>
                <w:color w:val="111111"/>
                <w:szCs w:val="16"/>
              </w:rPr>
              <w:t>I)A.2 regarding deforested areas under the pre-1990 natural and planted forest subcategories.</w:t>
            </w:r>
          </w:p>
        </w:tc>
        <w:tc>
          <w:tcPr>
            <w:tcW w:w="2879" w:type="dxa"/>
            <w:shd w:val="clear" w:color="auto" w:fill="FFFFFF"/>
            <w:tcMar>
              <w:top w:w="0" w:type="dxa"/>
              <w:left w:w="85" w:type="dxa"/>
              <w:bottom w:w="0" w:type="dxa"/>
              <w:right w:w="85" w:type="dxa"/>
            </w:tcMar>
          </w:tcPr>
          <w:p w14:paraId="69390F51" w14:textId="77777777" w:rsidR="007E0025" w:rsidRPr="00BE78CA" w:rsidRDefault="007E0025" w:rsidP="00C26084">
            <w:pPr>
              <w:pStyle w:val="TableText"/>
            </w:pPr>
            <w:r w:rsidRPr="00BE78CA">
              <w:rPr>
                <w:rFonts w:eastAsia="Calibri"/>
                <w:b/>
                <w:bCs/>
              </w:rPr>
              <w:t>Resolved.</w:t>
            </w:r>
            <w:r w:rsidRPr="00BE78CA">
              <w:rPr>
                <w:rFonts w:eastAsia="Calibri"/>
              </w:rPr>
              <w:t xml:space="preserve"> </w:t>
            </w:r>
            <w:r w:rsidRPr="00BE78CA">
              <w:rPr>
                <w:i/>
              </w:rPr>
              <w:t>Forest land</w:t>
            </w:r>
            <w:r w:rsidRPr="00BE78CA">
              <w:rPr>
                <w:rFonts w:eastAsia="Calibri"/>
              </w:rPr>
              <w:t xml:space="preserve"> that has been converted to another land use, and subsequently converted back to </w:t>
            </w:r>
            <w:r w:rsidRPr="00BE78CA">
              <w:rPr>
                <w:i/>
              </w:rPr>
              <w:t>Forest land</w:t>
            </w:r>
            <w:r w:rsidRPr="00BE78CA">
              <w:rPr>
                <w:iCs/>
              </w:rPr>
              <w:t>,</w:t>
            </w:r>
            <w:r w:rsidRPr="00BE78CA">
              <w:rPr>
                <w:rFonts w:eastAsia="Calibri"/>
              </w:rPr>
              <w:t xml:space="preserve"> is reported under </w:t>
            </w:r>
            <w:r w:rsidRPr="00BE78CA">
              <w:rPr>
                <w:i/>
              </w:rPr>
              <w:t>Deforestation</w:t>
            </w:r>
            <w:r w:rsidRPr="00BE78CA">
              <w:rPr>
                <w:rFonts w:eastAsia="Calibri"/>
              </w:rPr>
              <w:t>.</w:t>
            </w:r>
          </w:p>
        </w:tc>
      </w:tr>
      <w:tr w:rsidR="007E0025" w:rsidRPr="00BE78CA" w14:paraId="60185EC4" w14:textId="77777777" w:rsidTr="00BB5269">
        <w:tc>
          <w:tcPr>
            <w:tcW w:w="1813" w:type="dxa"/>
            <w:shd w:val="clear" w:color="auto" w:fill="FFFFFF"/>
            <w:tcMar>
              <w:top w:w="0" w:type="dxa"/>
              <w:left w:w="85" w:type="dxa"/>
              <w:bottom w:w="0" w:type="dxa"/>
              <w:right w:w="85" w:type="dxa"/>
            </w:tcMar>
          </w:tcPr>
          <w:p w14:paraId="1B198A07" w14:textId="77777777" w:rsidR="007E0025" w:rsidRPr="00BE78CA" w:rsidRDefault="007E0025" w:rsidP="00C26084">
            <w:pPr>
              <w:pStyle w:val="TableText"/>
            </w:pPr>
            <w:r w:rsidRPr="00BE78CA">
              <w:rPr>
                <w:rFonts w:eastAsia="Calibri" w:cs="Calibri"/>
                <w:color w:val="111111"/>
                <w:szCs w:val="16"/>
              </w:rPr>
              <w:t>KP-LULUCF – FM – CO</w:t>
            </w:r>
            <w:r w:rsidRPr="00BE78CA">
              <w:rPr>
                <w:rFonts w:eastAsia="Calibri" w:cs="Calibri"/>
                <w:color w:val="111111"/>
                <w:szCs w:val="16"/>
                <w:vertAlign w:val="subscript"/>
              </w:rPr>
              <w:t>2</w:t>
            </w:r>
          </w:p>
        </w:tc>
        <w:tc>
          <w:tcPr>
            <w:tcW w:w="907" w:type="dxa"/>
            <w:shd w:val="clear" w:color="auto" w:fill="FFFFFF"/>
            <w:tcMar>
              <w:top w:w="0" w:type="dxa"/>
              <w:left w:w="85" w:type="dxa"/>
              <w:bottom w:w="0" w:type="dxa"/>
              <w:right w:w="85" w:type="dxa"/>
            </w:tcMar>
          </w:tcPr>
          <w:p w14:paraId="3DD0F427" w14:textId="77777777" w:rsidR="007E0025" w:rsidRPr="00BE78CA" w:rsidRDefault="007E0025" w:rsidP="00C26084">
            <w:pPr>
              <w:pStyle w:val="TableText"/>
            </w:pPr>
            <w:r w:rsidRPr="00BE78CA">
              <w:rPr>
                <w:rFonts w:eastAsia="Calibri" w:cs="Calibri"/>
                <w:color w:val="111111"/>
                <w:szCs w:val="16"/>
              </w:rPr>
              <w:t>KL.13, 2019</w:t>
            </w:r>
          </w:p>
        </w:tc>
        <w:tc>
          <w:tcPr>
            <w:tcW w:w="2784" w:type="dxa"/>
            <w:shd w:val="clear" w:color="auto" w:fill="FFFFFF"/>
            <w:tcMar>
              <w:top w:w="0" w:type="dxa"/>
              <w:left w:w="85" w:type="dxa"/>
              <w:bottom w:w="0" w:type="dxa"/>
              <w:right w:w="85" w:type="dxa"/>
            </w:tcMar>
          </w:tcPr>
          <w:p w14:paraId="14334C32" w14:textId="77777777" w:rsidR="007E0025" w:rsidRPr="00BE78CA" w:rsidRDefault="007E0025" w:rsidP="00C26084">
            <w:pPr>
              <w:pStyle w:val="TableText"/>
            </w:pPr>
            <w:r w:rsidRPr="00BE78CA">
              <w:rPr>
                <w:rFonts w:eastAsia="Calibri" w:cs="Calibri"/>
                <w:color w:val="111111"/>
                <w:szCs w:val="16"/>
              </w:rPr>
              <w:t>The ERT recommends that New Zealand use the actual age-class distribution of its planted forests as at 1 January 2010, on the basis of the data available, including data collected after 1 January 2010 that are deemed sufficiently accurately associated with that historical period, for projecting its FMRL technical corrections. The ERT further recommends that the Party use any other forest parameter (such as management practices, including harvest rotation, pruning and thinning age and densities, age/density associated current increment) representative of the pre-2010 historical period for projecting its FMRL technical corrections, even if data may have been collected after 1 January 2010, if deemed sufficiently accurately associated with that historical period.</w:t>
            </w:r>
          </w:p>
        </w:tc>
        <w:tc>
          <w:tcPr>
            <w:tcW w:w="2879" w:type="dxa"/>
            <w:shd w:val="clear" w:color="auto" w:fill="FFFFFF"/>
            <w:tcMar>
              <w:top w:w="0" w:type="dxa"/>
              <w:left w:w="85" w:type="dxa"/>
              <w:bottom w:w="0" w:type="dxa"/>
              <w:right w:w="85" w:type="dxa"/>
            </w:tcMar>
          </w:tcPr>
          <w:p w14:paraId="0EFECD58" w14:textId="77777777" w:rsidR="007E0025" w:rsidRPr="00BE78CA" w:rsidRDefault="007E0025" w:rsidP="00C26084">
            <w:pPr>
              <w:pStyle w:val="TableText"/>
            </w:pPr>
            <w:r w:rsidRPr="00BE78CA">
              <w:rPr>
                <w:rFonts w:eastAsia="Calibri"/>
                <w:b/>
                <w:bCs/>
              </w:rPr>
              <w:t xml:space="preserve">Resolved. </w:t>
            </w:r>
            <w:r w:rsidRPr="00BE78CA">
              <w:rPr>
                <w:rFonts w:eastAsia="Calibri"/>
              </w:rPr>
              <w:t>A technical correction has been applied to the FMRL with justification provided in annex 5.</w:t>
            </w:r>
          </w:p>
        </w:tc>
      </w:tr>
      <w:tr w:rsidR="007E0025" w:rsidRPr="00BE78CA" w14:paraId="43AB5CA5" w14:textId="77777777" w:rsidTr="00BB5269">
        <w:tc>
          <w:tcPr>
            <w:tcW w:w="1813" w:type="dxa"/>
            <w:shd w:val="clear" w:color="auto" w:fill="FFFFFF"/>
            <w:tcMar>
              <w:top w:w="0" w:type="dxa"/>
              <w:left w:w="85" w:type="dxa"/>
              <w:bottom w:w="0" w:type="dxa"/>
              <w:right w:w="85" w:type="dxa"/>
            </w:tcMar>
          </w:tcPr>
          <w:p w14:paraId="21F86F14" w14:textId="77777777" w:rsidR="007E0025" w:rsidRPr="00BE78CA" w:rsidRDefault="007E0025" w:rsidP="00C26084">
            <w:pPr>
              <w:pStyle w:val="TableText"/>
            </w:pPr>
            <w:r w:rsidRPr="00BE78CA">
              <w:rPr>
                <w:rFonts w:eastAsia="Calibri" w:cs="Calibri"/>
                <w:color w:val="111111"/>
                <w:szCs w:val="16"/>
              </w:rPr>
              <w:t>KP-LULUCF – FM – CO</w:t>
            </w:r>
            <w:r w:rsidRPr="00BE78CA">
              <w:rPr>
                <w:rFonts w:eastAsia="Calibri" w:cs="Calibri"/>
                <w:color w:val="111111"/>
                <w:szCs w:val="16"/>
                <w:vertAlign w:val="subscript"/>
              </w:rPr>
              <w:t>2</w:t>
            </w:r>
          </w:p>
        </w:tc>
        <w:tc>
          <w:tcPr>
            <w:tcW w:w="907" w:type="dxa"/>
            <w:shd w:val="clear" w:color="auto" w:fill="FFFFFF"/>
            <w:tcMar>
              <w:top w:w="0" w:type="dxa"/>
              <w:left w:w="85" w:type="dxa"/>
              <w:bottom w:w="0" w:type="dxa"/>
              <w:right w:w="85" w:type="dxa"/>
            </w:tcMar>
          </w:tcPr>
          <w:p w14:paraId="52CA1EFE" w14:textId="77777777" w:rsidR="007E0025" w:rsidRPr="00BE78CA" w:rsidRDefault="007E0025" w:rsidP="00C26084">
            <w:pPr>
              <w:pStyle w:val="TableText"/>
            </w:pPr>
            <w:r w:rsidRPr="00BE78CA">
              <w:rPr>
                <w:rFonts w:eastAsia="Calibri" w:cs="Calibri"/>
                <w:color w:val="111111"/>
                <w:szCs w:val="16"/>
              </w:rPr>
              <w:t>KL.14, 2019</w:t>
            </w:r>
          </w:p>
        </w:tc>
        <w:tc>
          <w:tcPr>
            <w:tcW w:w="2784" w:type="dxa"/>
            <w:shd w:val="clear" w:color="auto" w:fill="FFFFFF"/>
            <w:tcMar>
              <w:top w:w="0" w:type="dxa"/>
              <w:left w:w="85" w:type="dxa"/>
              <w:bottom w:w="0" w:type="dxa"/>
              <w:right w:w="85" w:type="dxa"/>
            </w:tcMar>
          </w:tcPr>
          <w:p w14:paraId="2F13D01D" w14:textId="77777777" w:rsidR="007E0025" w:rsidRPr="00BE78CA" w:rsidRDefault="007E0025" w:rsidP="00C26084">
            <w:pPr>
              <w:pStyle w:val="TableText"/>
            </w:pPr>
            <w:r w:rsidRPr="00BE78CA">
              <w:rPr>
                <w:rFonts w:eastAsia="Calibri" w:cs="Calibri"/>
                <w:color w:val="111111"/>
                <w:szCs w:val="16"/>
              </w:rPr>
              <w:t>The ERT recommends that New Zealand exclude from its FMRL the technical correction projections of any change in management practices occurring after 31 December 1989, since the aim of the FMRL is to account for the change in emissions and removals occurring as a consequence of those changes.</w:t>
            </w:r>
          </w:p>
        </w:tc>
        <w:tc>
          <w:tcPr>
            <w:tcW w:w="2879" w:type="dxa"/>
            <w:shd w:val="clear" w:color="auto" w:fill="FFFFFF"/>
            <w:tcMar>
              <w:top w:w="0" w:type="dxa"/>
              <w:left w:w="85" w:type="dxa"/>
              <w:bottom w:w="0" w:type="dxa"/>
              <w:right w:w="85" w:type="dxa"/>
            </w:tcMar>
          </w:tcPr>
          <w:p w14:paraId="2623BA35" w14:textId="77777777" w:rsidR="007E0025" w:rsidRPr="00BE78CA" w:rsidRDefault="007E0025" w:rsidP="00C26084">
            <w:pPr>
              <w:pStyle w:val="TableText"/>
            </w:pPr>
            <w:r w:rsidRPr="00BE78CA">
              <w:rPr>
                <w:rFonts w:eastAsia="Calibri"/>
                <w:b/>
                <w:bCs/>
              </w:rPr>
              <w:t>Resolved.</w:t>
            </w:r>
            <w:r w:rsidRPr="00BE78CA">
              <w:rPr>
                <w:rFonts w:eastAsia="Calibri"/>
              </w:rPr>
              <w:t xml:space="preserve"> The text on overplanting has been revised in annex 5 to make it clear that the projections do not include changes in management practices.</w:t>
            </w:r>
          </w:p>
        </w:tc>
      </w:tr>
      <w:tr w:rsidR="007E0025" w:rsidRPr="00BE78CA" w14:paraId="074932CA" w14:textId="77777777" w:rsidTr="00BB5269">
        <w:tc>
          <w:tcPr>
            <w:tcW w:w="1813" w:type="dxa"/>
            <w:shd w:val="clear" w:color="auto" w:fill="FFFFFF"/>
            <w:tcMar>
              <w:top w:w="0" w:type="dxa"/>
              <w:left w:w="85" w:type="dxa"/>
              <w:bottom w:w="0" w:type="dxa"/>
              <w:right w:w="85" w:type="dxa"/>
            </w:tcMar>
          </w:tcPr>
          <w:p w14:paraId="200DF42B" w14:textId="77777777" w:rsidR="007E0025" w:rsidRPr="00BE78CA" w:rsidRDefault="007E0025" w:rsidP="00C26084">
            <w:pPr>
              <w:pStyle w:val="TableText"/>
            </w:pPr>
            <w:r w:rsidRPr="00BE78CA">
              <w:rPr>
                <w:rFonts w:eastAsia="Calibri" w:cs="Calibri"/>
                <w:color w:val="111111"/>
                <w:szCs w:val="16"/>
              </w:rPr>
              <w:t>KP-LULUCF – FM – all GHGs</w:t>
            </w:r>
          </w:p>
        </w:tc>
        <w:tc>
          <w:tcPr>
            <w:tcW w:w="907" w:type="dxa"/>
            <w:shd w:val="clear" w:color="auto" w:fill="FFFFFF"/>
            <w:tcMar>
              <w:top w:w="0" w:type="dxa"/>
              <w:left w:w="85" w:type="dxa"/>
              <w:bottom w:w="0" w:type="dxa"/>
              <w:right w:w="85" w:type="dxa"/>
            </w:tcMar>
          </w:tcPr>
          <w:p w14:paraId="525CE15F" w14:textId="77777777" w:rsidR="007E0025" w:rsidRPr="00BE78CA" w:rsidRDefault="007E0025" w:rsidP="00C26084">
            <w:pPr>
              <w:pStyle w:val="TableText"/>
            </w:pPr>
            <w:r w:rsidRPr="00BE78CA">
              <w:rPr>
                <w:rFonts w:eastAsia="Calibri" w:cs="Calibri"/>
                <w:color w:val="111111"/>
                <w:szCs w:val="16"/>
              </w:rPr>
              <w:t>KL.15, 2019</w:t>
            </w:r>
          </w:p>
        </w:tc>
        <w:tc>
          <w:tcPr>
            <w:tcW w:w="2784" w:type="dxa"/>
            <w:shd w:val="clear" w:color="auto" w:fill="FFFFFF"/>
            <w:tcMar>
              <w:top w:w="0" w:type="dxa"/>
              <w:left w:w="85" w:type="dxa"/>
              <w:bottom w:w="0" w:type="dxa"/>
              <w:right w:w="85" w:type="dxa"/>
            </w:tcMar>
          </w:tcPr>
          <w:p w14:paraId="503EEBDA" w14:textId="77777777" w:rsidR="007E0025" w:rsidRPr="00BE78CA" w:rsidRDefault="007E0025" w:rsidP="00C26084">
            <w:pPr>
              <w:pStyle w:val="TableText"/>
            </w:pPr>
            <w:r w:rsidRPr="00BE78CA">
              <w:rPr>
                <w:rFonts w:eastAsia="Calibri" w:cs="Calibri"/>
                <w:color w:val="111111"/>
                <w:szCs w:val="16"/>
              </w:rPr>
              <w:t>The ERT recommends that New Zealand report in the NIR quantitative information on the drivers that have determined the deviation of the actual estimates of GHG emissions and removals reported under FM from the projected GHG emissions and removals included in the FMRL correction value, including (1) the time series (from 1990 to the most recently reported year) of annual harvesting rates, biomass annual increment and GHG emissions from natural disturbances used for preparing the estimates for FM during the commitment period; and (2) the historical time series (1990–2009) of annual harvesting rates, biomass annual increment and GHG emissions from natural disturbances used for projecting the FMRL correction value.</w:t>
            </w:r>
          </w:p>
        </w:tc>
        <w:tc>
          <w:tcPr>
            <w:tcW w:w="2879" w:type="dxa"/>
            <w:shd w:val="clear" w:color="auto" w:fill="FFFFFF"/>
            <w:tcMar>
              <w:top w:w="0" w:type="dxa"/>
              <w:left w:w="85" w:type="dxa"/>
              <w:bottom w:w="0" w:type="dxa"/>
              <w:right w:w="85" w:type="dxa"/>
            </w:tcMar>
          </w:tcPr>
          <w:p w14:paraId="18EAEB15" w14:textId="77777777" w:rsidR="007E0025" w:rsidRPr="00BE78CA" w:rsidRDefault="007E0025" w:rsidP="00C26084">
            <w:pPr>
              <w:pStyle w:val="TableText"/>
            </w:pPr>
            <w:r w:rsidRPr="00BE78CA">
              <w:rPr>
                <w:rFonts w:eastAsia="Calibri"/>
                <w:b/>
                <w:bCs/>
              </w:rPr>
              <w:t>Resolved</w:t>
            </w:r>
            <w:r w:rsidRPr="00BE78CA">
              <w:rPr>
                <w:rFonts w:eastAsia="Calibri"/>
              </w:rPr>
              <w:t>. As described in chapter 11, section 11.3.4 of the NIR</w:t>
            </w:r>
            <w:r w:rsidRPr="00BE78CA">
              <w:rPr>
                <w:rFonts w:eastAsia="Calibri"/>
                <w:b/>
                <w:bCs/>
              </w:rPr>
              <w:t xml:space="preserve">, </w:t>
            </w:r>
            <w:r w:rsidRPr="00BE78CA">
              <w:rPr>
                <w:rFonts w:eastAsia="Calibri"/>
              </w:rPr>
              <w:t xml:space="preserve">the emissions from </w:t>
            </w:r>
            <w:r w:rsidRPr="00BE78CA">
              <w:rPr>
                <w:rFonts w:eastAsia="Calibri"/>
                <w:i/>
                <w:iCs/>
              </w:rPr>
              <w:t>Forest management</w:t>
            </w:r>
            <w:r w:rsidRPr="00BE78CA">
              <w:rPr>
                <w:rFonts w:eastAsia="Calibri"/>
              </w:rPr>
              <w:t xml:space="preserve"> were lower because the realised rate of harvest is lower than the rate of harvest projected in the FMRL</w:t>
            </w:r>
            <w:r w:rsidRPr="00BE78CA">
              <w:rPr>
                <w:rFonts w:eastAsia="Calibri"/>
                <w:vertAlign w:val="subscript"/>
              </w:rPr>
              <w:t>corr</w:t>
            </w:r>
            <w:r w:rsidRPr="00BE78CA">
              <w:rPr>
                <w:rFonts w:eastAsia="Calibri"/>
              </w:rPr>
              <w:t>.</w:t>
            </w:r>
          </w:p>
        </w:tc>
      </w:tr>
      <w:tr w:rsidR="007E0025" w:rsidRPr="00BE78CA" w14:paraId="4A562BA5" w14:textId="77777777" w:rsidTr="00BB5269">
        <w:tc>
          <w:tcPr>
            <w:tcW w:w="1813" w:type="dxa"/>
            <w:shd w:val="clear" w:color="auto" w:fill="FFFFFF"/>
            <w:tcMar>
              <w:top w:w="0" w:type="dxa"/>
              <w:left w:w="85" w:type="dxa"/>
              <w:bottom w:w="0" w:type="dxa"/>
              <w:right w:w="85" w:type="dxa"/>
            </w:tcMar>
          </w:tcPr>
          <w:p w14:paraId="1E2E1EAA" w14:textId="77777777" w:rsidR="007E0025" w:rsidRPr="00BE78CA" w:rsidRDefault="007E0025" w:rsidP="003725AD">
            <w:pPr>
              <w:pStyle w:val="TableText"/>
              <w:keepNext/>
            </w:pPr>
            <w:r w:rsidRPr="00BE78CA">
              <w:rPr>
                <w:rFonts w:eastAsia="Calibri" w:cs="Calibri"/>
                <w:color w:val="111111"/>
                <w:szCs w:val="16"/>
              </w:rPr>
              <w:lastRenderedPageBreak/>
              <w:t>KP-LULUCF – FM – CO</w:t>
            </w:r>
            <w:r w:rsidRPr="00BE78CA">
              <w:rPr>
                <w:rFonts w:eastAsia="Calibri" w:cs="Calibri"/>
                <w:color w:val="111111"/>
                <w:szCs w:val="16"/>
                <w:vertAlign w:val="subscript"/>
              </w:rPr>
              <w:t>2</w:t>
            </w:r>
          </w:p>
        </w:tc>
        <w:tc>
          <w:tcPr>
            <w:tcW w:w="907" w:type="dxa"/>
            <w:shd w:val="clear" w:color="auto" w:fill="FFFFFF"/>
            <w:tcMar>
              <w:top w:w="0" w:type="dxa"/>
              <w:left w:w="85" w:type="dxa"/>
              <w:bottom w:w="0" w:type="dxa"/>
              <w:right w:w="85" w:type="dxa"/>
            </w:tcMar>
          </w:tcPr>
          <w:p w14:paraId="6A5B2AD5" w14:textId="77777777" w:rsidR="007E0025" w:rsidRPr="00BE78CA" w:rsidRDefault="007E0025" w:rsidP="00C26084">
            <w:pPr>
              <w:pStyle w:val="TableText"/>
            </w:pPr>
            <w:r w:rsidRPr="00BE78CA">
              <w:rPr>
                <w:rFonts w:eastAsia="Calibri" w:cs="Calibri"/>
                <w:color w:val="111111"/>
                <w:szCs w:val="16"/>
              </w:rPr>
              <w:t>KL.16, 2019</w:t>
            </w:r>
          </w:p>
        </w:tc>
        <w:tc>
          <w:tcPr>
            <w:tcW w:w="2784" w:type="dxa"/>
            <w:shd w:val="clear" w:color="auto" w:fill="FFFFFF"/>
            <w:tcMar>
              <w:top w:w="0" w:type="dxa"/>
              <w:left w:w="85" w:type="dxa"/>
              <w:bottom w:w="0" w:type="dxa"/>
              <w:right w:w="85" w:type="dxa"/>
            </w:tcMar>
          </w:tcPr>
          <w:p w14:paraId="46872DBB" w14:textId="77777777" w:rsidR="007E0025" w:rsidRPr="00BE78CA" w:rsidRDefault="007E0025" w:rsidP="00C26084">
            <w:pPr>
              <w:pStyle w:val="TableText"/>
            </w:pPr>
            <w:r w:rsidRPr="00BE78CA">
              <w:rPr>
                <w:rFonts w:eastAsia="Calibri" w:cs="Calibri"/>
                <w:color w:val="111111"/>
                <w:szCs w:val="16"/>
              </w:rPr>
              <w:t>The ERT recommends that New Zealand recalculate the technical correction to the FMRL removing the projection of CEF.</w:t>
            </w:r>
          </w:p>
        </w:tc>
        <w:tc>
          <w:tcPr>
            <w:tcW w:w="2879" w:type="dxa"/>
            <w:shd w:val="clear" w:color="auto" w:fill="FFFFFF"/>
            <w:tcMar>
              <w:top w:w="0" w:type="dxa"/>
              <w:left w:w="85" w:type="dxa"/>
              <w:bottom w:w="0" w:type="dxa"/>
              <w:right w:w="85" w:type="dxa"/>
            </w:tcMar>
          </w:tcPr>
          <w:p w14:paraId="4AF23E8B" w14:textId="77777777" w:rsidR="007E0025" w:rsidRPr="00BE78CA" w:rsidRDefault="007E0025" w:rsidP="00C26084">
            <w:pPr>
              <w:pStyle w:val="TableText"/>
            </w:pPr>
            <w:r w:rsidRPr="00BE78CA">
              <w:rPr>
                <w:rFonts w:eastAsia="Calibri"/>
                <w:b/>
                <w:bCs/>
              </w:rPr>
              <w:t xml:space="preserve">Resolved. </w:t>
            </w:r>
            <w:r w:rsidRPr="00BE78CA">
              <w:rPr>
                <w:rFonts w:eastAsia="Calibri"/>
              </w:rPr>
              <w:t>During the 2013–20 period, projections indicate there would be 2,000 hectares per year of CEF planting. The CEF technical correction has been applied to the original CEF projections to reflect updated reporting guidance. This is described further in annex 5, section A5.1.2.</w:t>
            </w:r>
          </w:p>
        </w:tc>
      </w:tr>
      <w:tr w:rsidR="007E0025" w:rsidRPr="00BE78CA" w14:paraId="17B73F7A" w14:textId="77777777" w:rsidTr="00BB5269">
        <w:tc>
          <w:tcPr>
            <w:tcW w:w="1813" w:type="dxa"/>
            <w:shd w:val="clear" w:color="auto" w:fill="FFFFFF"/>
            <w:tcMar>
              <w:top w:w="0" w:type="dxa"/>
              <w:left w:w="85" w:type="dxa"/>
              <w:bottom w:w="0" w:type="dxa"/>
              <w:right w:w="85" w:type="dxa"/>
            </w:tcMar>
          </w:tcPr>
          <w:p w14:paraId="66D527EA" w14:textId="77777777" w:rsidR="007E0025" w:rsidRPr="00BE78CA" w:rsidRDefault="007E0025" w:rsidP="00C26084">
            <w:pPr>
              <w:pStyle w:val="TableText"/>
            </w:pPr>
            <w:r w:rsidRPr="00BE78CA">
              <w:rPr>
                <w:rFonts w:eastAsia="Calibri" w:cs="Calibri"/>
                <w:color w:val="111111"/>
                <w:szCs w:val="16"/>
              </w:rPr>
              <w:t>KP-LULUCF – FM – CO</w:t>
            </w:r>
            <w:r w:rsidRPr="00BE78CA">
              <w:rPr>
                <w:rFonts w:eastAsia="Calibri" w:cs="Calibri"/>
                <w:color w:val="111111"/>
                <w:szCs w:val="16"/>
                <w:vertAlign w:val="subscript"/>
              </w:rPr>
              <w:t>2</w:t>
            </w:r>
          </w:p>
        </w:tc>
        <w:tc>
          <w:tcPr>
            <w:tcW w:w="907" w:type="dxa"/>
            <w:shd w:val="clear" w:color="auto" w:fill="FFFFFF"/>
            <w:tcMar>
              <w:top w:w="0" w:type="dxa"/>
              <w:left w:w="85" w:type="dxa"/>
              <w:bottom w:w="0" w:type="dxa"/>
              <w:right w:w="85" w:type="dxa"/>
            </w:tcMar>
          </w:tcPr>
          <w:p w14:paraId="1A692715" w14:textId="77777777" w:rsidR="007E0025" w:rsidRPr="00BE78CA" w:rsidRDefault="007E0025" w:rsidP="00C26084">
            <w:pPr>
              <w:pStyle w:val="TableText"/>
            </w:pPr>
            <w:r w:rsidRPr="00BE78CA">
              <w:rPr>
                <w:rFonts w:eastAsia="Calibri" w:cs="Calibri"/>
                <w:color w:val="111111"/>
                <w:szCs w:val="16"/>
              </w:rPr>
              <w:t>KL.18, 2019</w:t>
            </w:r>
          </w:p>
        </w:tc>
        <w:tc>
          <w:tcPr>
            <w:tcW w:w="2784" w:type="dxa"/>
            <w:shd w:val="clear" w:color="auto" w:fill="FFFFFF"/>
            <w:tcMar>
              <w:top w:w="0" w:type="dxa"/>
              <w:left w:w="85" w:type="dxa"/>
              <w:bottom w:w="0" w:type="dxa"/>
              <w:right w:w="85" w:type="dxa"/>
            </w:tcMar>
          </w:tcPr>
          <w:p w14:paraId="4F0D19C2" w14:textId="77777777" w:rsidR="007E0025" w:rsidRPr="00BE78CA" w:rsidRDefault="007E0025" w:rsidP="00C26084">
            <w:pPr>
              <w:pStyle w:val="TableText"/>
            </w:pPr>
            <w:r w:rsidRPr="00BE78CA">
              <w:rPr>
                <w:rFonts w:eastAsia="Calibri" w:cs="Calibri"/>
                <w:color w:val="111111"/>
                <w:szCs w:val="16"/>
              </w:rPr>
              <w:t>The ERT recommends that New Zealand report information on CEF-ne and CEF</w:t>
            </w:r>
            <w:r w:rsidRPr="00BE78CA">
              <w:rPr>
                <w:rFonts w:eastAsia="Calibri" w:cs="Calibri"/>
                <w:color w:val="111111"/>
                <w:szCs w:val="16"/>
              </w:rPr>
              <w:noBreakHyphen/>
              <w:t>hc in CRF table 4(KP-I)B.1.</w:t>
            </w:r>
          </w:p>
        </w:tc>
        <w:tc>
          <w:tcPr>
            <w:tcW w:w="2879" w:type="dxa"/>
            <w:shd w:val="clear" w:color="auto" w:fill="FFFFFF"/>
            <w:tcMar>
              <w:top w:w="0" w:type="dxa"/>
              <w:left w:w="85" w:type="dxa"/>
              <w:bottom w:w="0" w:type="dxa"/>
              <w:right w:w="85" w:type="dxa"/>
            </w:tcMar>
          </w:tcPr>
          <w:p w14:paraId="44A20C1B" w14:textId="77777777" w:rsidR="007E0025" w:rsidRPr="00BE78CA" w:rsidRDefault="007E0025" w:rsidP="00C26084">
            <w:pPr>
              <w:pStyle w:val="TableText"/>
              <w:rPr>
                <w:b/>
                <w:bCs/>
              </w:rPr>
            </w:pPr>
            <w:r w:rsidRPr="00BE78CA">
              <w:rPr>
                <w:rFonts w:eastAsia="Calibri" w:cs="Calibri"/>
                <w:b/>
                <w:bCs/>
                <w:color w:val="111111"/>
                <w:szCs w:val="16"/>
              </w:rPr>
              <w:t xml:space="preserve">Resolved. </w:t>
            </w:r>
            <w:r w:rsidRPr="00BE78CA">
              <w:rPr>
                <w:rFonts w:eastAsia="Calibri" w:cs="Calibri"/>
                <w:color w:val="111111"/>
                <w:szCs w:val="16"/>
              </w:rPr>
              <w:t>Table 4(KP-I)B.1 has been updated to report information on CEF-ne and CEF-hc.</w:t>
            </w:r>
            <w:r w:rsidRPr="00BE78CA">
              <w:rPr>
                <w:rFonts w:eastAsia="Calibri" w:cs="Calibri"/>
                <w:b/>
                <w:bCs/>
                <w:color w:val="111111"/>
                <w:szCs w:val="16"/>
              </w:rPr>
              <w:t xml:space="preserve"> </w:t>
            </w:r>
          </w:p>
        </w:tc>
      </w:tr>
      <w:tr w:rsidR="007E0025" w:rsidRPr="00BE78CA" w14:paraId="777AEF57" w14:textId="77777777" w:rsidTr="00BB5269">
        <w:tc>
          <w:tcPr>
            <w:tcW w:w="1813" w:type="dxa"/>
            <w:shd w:val="clear" w:color="auto" w:fill="FFFFFF"/>
            <w:tcMar>
              <w:top w:w="0" w:type="dxa"/>
              <w:left w:w="85" w:type="dxa"/>
              <w:bottom w:w="0" w:type="dxa"/>
              <w:right w:w="85" w:type="dxa"/>
            </w:tcMar>
          </w:tcPr>
          <w:p w14:paraId="6C0AF2BA" w14:textId="77777777" w:rsidR="007E0025" w:rsidRPr="00BE78CA" w:rsidRDefault="007E0025" w:rsidP="00C26084">
            <w:pPr>
              <w:pStyle w:val="TableText"/>
            </w:pPr>
            <w:r w:rsidRPr="00BE78CA">
              <w:rPr>
                <w:rFonts w:eastAsia="Calibri" w:cs="Calibri"/>
                <w:color w:val="111111"/>
                <w:szCs w:val="16"/>
              </w:rPr>
              <w:t>KP-LULUCF – FM – CO</w:t>
            </w:r>
            <w:r w:rsidRPr="00BE78CA">
              <w:rPr>
                <w:rFonts w:eastAsia="Calibri" w:cs="Calibri"/>
                <w:color w:val="111111"/>
                <w:szCs w:val="16"/>
                <w:vertAlign w:val="subscript"/>
              </w:rPr>
              <w:t>2</w:t>
            </w:r>
          </w:p>
        </w:tc>
        <w:tc>
          <w:tcPr>
            <w:tcW w:w="907" w:type="dxa"/>
            <w:shd w:val="clear" w:color="auto" w:fill="FFFFFF"/>
            <w:tcMar>
              <w:top w:w="0" w:type="dxa"/>
              <w:left w:w="85" w:type="dxa"/>
              <w:bottom w:w="0" w:type="dxa"/>
              <w:right w:w="85" w:type="dxa"/>
            </w:tcMar>
          </w:tcPr>
          <w:p w14:paraId="7B0EA761" w14:textId="77777777" w:rsidR="007E0025" w:rsidRPr="00BE78CA" w:rsidRDefault="007E0025" w:rsidP="00C26084">
            <w:pPr>
              <w:pStyle w:val="TableText"/>
            </w:pPr>
            <w:r w:rsidRPr="00BE78CA">
              <w:rPr>
                <w:rFonts w:eastAsia="Calibri" w:cs="Calibri"/>
                <w:color w:val="111111"/>
                <w:szCs w:val="16"/>
              </w:rPr>
              <w:t>KL.19, 2019</w:t>
            </w:r>
          </w:p>
        </w:tc>
        <w:tc>
          <w:tcPr>
            <w:tcW w:w="2784" w:type="dxa"/>
            <w:shd w:val="clear" w:color="auto" w:fill="FFFFFF"/>
            <w:tcMar>
              <w:top w:w="0" w:type="dxa"/>
              <w:left w:w="85" w:type="dxa"/>
              <w:bottom w:w="0" w:type="dxa"/>
              <w:right w:w="85" w:type="dxa"/>
            </w:tcMar>
          </w:tcPr>
          <w:p w14:paraId="7C381DF5" w14:textId="77777777" w:rsidR="007E0025" w:rsidRPr="00BE78CA" w:rsidRDefault="007E0025" w:rsidP="00C26084">
            <w:pPr>
              <w:pStyle w:val="TableText"/>
            </w:pPr>
            <w:r w:rsidRPr="00BE78CA">
              <w:rPr>
                <w:rFonts w:eastAsia="Calibri" w:cs="Calibri"/>
                <w:color w:val="111111"/>
                <w:szCs w:val="16"/>
              </w:rPr>
              <w:t>The ERT recommends that New Zealand (1) recalculate the FM estimates of the biomass CSCs, noting that those estimates should include all gains and losses in tall natural forest remaining tall natural forest; however, carbon stock losses as a result of stand-replacing disturbances (such as storms or destructive wildfires) that lead to a subsequent regeneration of the natural forest, and carbon stock gains up to the average carbon stock of tall forests, should be reported within the regenerating natural forest category, including the entire transition of regenerating natural forest to tall natural forest; (2) and apply a technical correction to its FMRL.</w:t>
            </w:r>
          </w:p>
        </w:tc>
        <w:tc>
          <w:tcPr>
            <w:tcW w:w="2879" w:type="dxa"/>
            <w:shd w:val="clear" w:color="auto" w:fill="FFFFFF"/>
            <w:tcMar>
              <w:top w:w="0" w:type="dxa"/>
              <w:left w:w="85" w:type="dxa"/>
              <w:bottom w:w="0" w:type="dxa"/>
              <w:right w:w="85" w:type="dxa"/>
            </w:tcMar>
          </w:tcPr>
          <w:p w14:paraId="0FE24B99" w14:textId="77777777" w:rsidR="007E0025" w:rsidRPr="00BE78CA" w:rsidRDefault="007E0025" w:rsidP="00C26084">
            <w:pPr>
              <w:pStyle w:val="TableText"/>
            </w:pPr>
            <w:r w:rsidRPr="00BE78CA">
              <w:rPr>
                <w:rFonts w:eastAsia="Calibri" w:cs="Calibri"/>
                <w:b/>
                <w:bCs/>
                <w:color w:val="111111"/>
                <w:szCs w:val="16"/>
              </w:rPr>
              <w:t xml:space="preserve">Addressing. </w:t>
            </w:r>
            <w:r w:rsidRPr="00BE78CA">
              <w:rPr>
                <w:rFonts w:eastAsia="Calibri" w:cs="Calibri"/>
                <w:color w:val="111111"/>
                <w:szCs w:val="16"/>
              </w:rPr>
              <w:t>The assumption that tall natural forest is in equilibrium is being reviewed in consultation with New Zealand scientists specialising in New Zealand natural forests.</w:t>
            </w:r>
          </w:p>
        </w:tc>
      </w:tr>
      <w:tr w:rsidR="007E0025" w:rsidRPr="00BE78CA" w14:paraId="07F05837" w14:textId="77777777" w:rsidTr="00BB5269">
        <w:tc>
          <w:tcPr>
            <w:tcW w:w="1813" w:type="dxa"/>
            <w:shd w:val="clear" w:color="auto" w:fill="FFFFFF"/>
            <w:tcMar>
              <w:top w:w="0" w:type="dxa"/>
              <w:left w:w="85" w:type="dxa"/>
              <w:bottom w:w="0" w:type="dxa"/>
              <w:right w:w="85" w:type="dxa"/>
            </w:tcMar>
          </w:tcPr>
          <w:p w14:paraId="423CD6BD" w14:textId="77777777" w:rsidR="007E0025" w:rsidRPr="00BE78CA" w:rsidRDefault="007E0025" w:rsidP="00C26084">
            <w:pPr>
              <w:pStyle w:val="TableText"/>
            </w:pPr>
            <w:r w:rsidRPr="00BE78CA">
              <w:rPr>
                <w:rFonts w:eastAsia="Calibri" w:cs="Calibri"/>
                <w:color w:val="111111"/>
                <w:szCs w:val="16"/>
              </w:rPr>
              <w:t>KP-LULUCF – FM – CO</w:t>
            </w:r>
            <w:r w:rsidRPr="00BE78CA">
              <w:rPr>
                <w:rFonts w:eastAsia="Calibri" w:cs="Calibri"/>
                <w:color w:val="111111"/>
                <w:szCs w:val="16"/>
                <w:vertAlign w:val="subscript"/>
              </w:rPr>
              <w:t>2</w:t>
            </w:r>
          </w:p>
        </w:tc>
        <w:tc>
          <w:tcPr>
            <w:tcW w:w="907" w:type="dxa"/>
            <w:shd w:val="clear" w:color="auto" w:fill="FFFFFF"/>
            <w:tcMar>
              <w:top w:w="0" w:type="dxa"/>
              <w:left w:w="85" w:type="dxa"/>
              <w:bottom w:w="0" w:type="dxa"/>
              <w:right w:w="85" w:type="dxa"/>
            </w:tcMar>
          </w:tcPr>
          <w:p w14:paraId="3306ED7F" w14:textId="77777777" w:rsidR="007E0025" w:rsidRPr="00BE78CA" w:rsidRDefault="007E0025" w:rsidP="00C26084">
            <w:pPr>
              <w:pStyle w:val="TableText"/>
            </w:pPr>
            <w:r w:rsidRPr="00BE78CA">
              <w:rPr>
                <w:rFonts w:eastAsia="Calibri" w:cs="Calibri"/>
                <w:color w:val="111111"/>
                <w:szCs w:val="16"/>
              </w:rPr>
              <w:t>KL.20, 2019</w:t>
            </w:r>
          </w:p>
        </w:tc>
        <w:tc>
          <w:tcPr>
            <w:tcW w:w="2784" w:type="dxa"/>
            <w:shd w:val="clear" w:color="auto" w:fill="FFFFFF"/>
            <w:tcMar>
              <w:top w:w="0" w:type="dxa"/>
              <w:left w:w="85" w:type="dxa"/>
              <w:bottom w:w="0" w:type="dxa"/>
              <w:right w:w="85" w:type="dxa"/>
            </w:tcMar>
          </w:tcPr>
          <w:p w14:paraId="2BD1FD00" w14:textId="05894AB1" w:rsidR="007E0025" w:rsidRPr="00BE78CA" w:rsidRDefault="007E0025" w:rsidP="00C26084">
            <w:pPr>
              <w:pStyle w:val="TableText"/>
            </w:pPr>
            <w:r w:rsidRPr="00BE78CA">
              <w:rPr>
                <w:rFonts w:eastAsia="Calibri" w:cs="Calibri"/>
                <w:color w:val="111111"/>
                <w:szCs w:val="16"/>
              </w:rPr>
              <w:t>The ERT recommends that New Zealand either demonstrate that its national circumstances differ from those of other developed countries so that the Party is prevented from collecting information on SOC in forest land across time, or recalculate the FM estimates of SOC changes in mineral soils and then apply a technical correction to its FMRL when estimates of SOC changes in mineral soils become</w:t>
            </w:r>
            <w:r w:rsidR="0055281A" w:rsidRPr="00BE78CA">
              <w:rPr>
                <w:rFonts w:eastAsia="Calibri" w:cs="Calibri"/>
                <w:color w:val="111111"/>
                <w:szCs w:val="16"/>
              </w:rPr>
              <w:t> </w:t>
            </w:r>
            <w:r w:rsidRPr="00BE78CA">
              <w:rPr>
                <w:rFonts w:eastAsia="Calibri" w:cs="Calibri"/>
                <w:color w:val="111111"/>
                <w:szCs w:val="16"/>
              </w:rPr>
              <w:t>available.</w:t>
            </w:r>
          </w:p>
        </w:tc>
        <w:tc>
          <w:tcPr>
            <w:tcW w:w="2879" w:type="dxa"/>
            <w:shd w:val="clear" w:color="auto" w:fill="FFFFFF"/>
            <w:tcMar>
              <w:top w:w="0" w:type="dxa"/>
              <w:left w:w="85" w:type="dxa"/>
              <w:bottom w:w="0" w:type="dxa"/>
              <w:right w:w="85" w:type="dxa"/>
            </w:tcMar>
          </w:tcPr>
          <w:p w14:paraId="31E3B700" w14:textId="77777777" w:rsidR="007E0025" w:rsidRPr="00BE78CA" w:rsidRDefault="007E0025" w:rsidP="00C26084">
            <w:pPr>
              <w:pStyle w:val="TableText"/>
              <w:rPr>
                <w:b/>
                <w:bCs/>
              </w:rPr>
            </w:pPr>
            <w:r w:rsidRPr="00BE78CA">
              <w:rPr>
                <w:rFonts w:eastAsia="Calibri"/>
                <w:b/>
                <w:bCs/>
              </w:rPr>
              <w:t>Not resolved.</w:t>
            </w:r>
          </w:p>
        </w:tc>
      </w:tr>
      <w:tr w:rsidR="007E0025" w:rsidRPr="00BE78CA" w14:paraId="304426D7" w14:textId="77777777" w:rsidTr="00BB5269">
        <w:tc>
          <w:tcPr>
            <w:tcW w:w="1813" w:type="dxa"/>
            <w:shd w:val="clear" w:color="auto" w:fill="FFFFFF"/>
            <w:tcMar>
              <w:top w:w="0" w:type="dxa"/>
              <w:left w:w="85" w:type="dxa"/>
              <w:bottom w:w="0" w:type="dxa"/>
              <w:right w:w="85" w:type="dxa"/>
            </w:tcMar>
          </w:tcPr>
          <w:p w14:paraId="2A74E7F6" w14:textId="77777777" w:rsidR="007E0025" w:rsidRPr="00BE78CA" w:rsidRDefault="007E0025" w:rsidP="00C26084">
            <w:pPr>
              <w:pStyle w:val="TableText"/>
            </w:pPr>
            <w:r w:rsidRPr="00BE78CA">
              <w:rPr>
                <w:rFonts w:eastAsia="Calibri" w:cs="Calibri"/>
                <w:color w:val="111111"/>
                <w:szCs w:val="16"/>
              </w:rPr>
              <w:t>KP-LULUCF – FM – CO</w:t>
            </w:r>
            <w:r w:rsidRPr="00BE78CA">
              <w:rPr>
                <w:rFonts w:eastAsia="Calibri" w:cs="Calibri"/>
                <w:color w:val="111111"/>
                <w:szCs w:val="16"/>
                <w:vertAlign w:val="subscript"/>
              </w:rPr>
              <w:t>2</w:t>
            </w:r>
          </w:p>
        </w:tc>
        <w:tc>
          <w:tcPr>
            <w:tcW w:w="907" w:type="dxa"/>
            <w:shd w:val="clear" w:color="auto" w:fill="FFFFFF"/>
            <w:tcMar>
              <w:top w:w="0" w:type="dxa"/>
              <w:left w:w="85" w:type="dxa"/>
              <w:bottom w:w="0" w:type="dxa"/>
              <w:right w:w="85" w:type="dxa"/>
            </w:tcMar>
          </w:tcPr>
          <w:p w14:paraId="61F381C3" w14:textId="77777777" w:rsidR="007E0025" w:rsidRPr="00BE78CA" w:rsidRDefault="007E0025" w:rsidP="00C26084">
            <w:pPr>
              <w:pStyle w:val="TableText"/>
            </w:pPr>
            <w:r w:rsidRPr="00BE78CA">
              <w:rPr>
                <w:rFonts w:eastAsia="Calibri" w:cs="Calibri"/>
                <w:color w:val="111111"/>
                <w:szCs w:val="16"/>
              </w:rPr>
              <w:t>KL.21, 2109</w:t>
            </w:r>
          </w:p>
        </w:tc>
        <w:tc>
          <w:tcPr>
            <w:tcW w:w="2784" w:type="dxa"/>
            <w:shd w:val="clear" w:color="auto" w:fill="FFFFFF"/>
            <w:tcMar>
              <w:top w:w="0" w:type="dxa"/>
              <w:left w:w="85" w:type="dxa"/>
              <w:bottom w:w="0" w:type="dxa"/>
              <w:right w:w="85" w:type="dxa"/>
            </w:tcMar>
          </w:tcPr>
          <w:p w14:paraId="55C5F4EC" w14:textId="77777777" w:rsidR="007E0025" w:rsidRPr="00BE78CA" w:rsidRDefault="007E0025" w:rsidP="00C26084">
            <w:pPr>
              <w:pStyle w:val="TableText"/>
            </w:pPr>
            <w:r w:rsidRPr="00BE78CA">
              <w:rPr>
                <w:rFonts w:eastAsia="Calibri" w:cs="Calibri"/>
                <w:color w:val="111111"/>
                <w:szCs w:val="16"/>
              </w:rPr>
              <w:t>The ERT recommends that New Zealand report the correct values, in kt CO</w:t>
            </w:r>
            <w:r w:rsidRPr="00BE78CA">
              <w:rPr>
                <w:rFonts w:eastAsia="Calibri" w:cs="Calibri"/>
                <w:color w:val="111111"/>
                <w:szCs w:val="16"/>
                <w:vertAlign w:val="subscript"/>
              </w:rPr>
              <w:t>2</w:t>
            </w:r>
            <w:r w:rsidRPr="00BE78CA">
              <w:rPr>
                <w:rFonts w:eastAsia="Calibri" w:cs="Calibri"/>
                <w:color w:val="111111"/>
                <w:szCs w:val="16"/>
              </w:rPr>
              <w:t xml:space="preserve"> eq, for the FMRL (11,150.00 kt CO</w:t>
            </w:r>
            <w:r w:rsidRPr="00BE78CA">
              <w:rPr>
                <w:rFonts w:eastAsia="Calibri" w:cs="Calibri"/>
                <w:color w:val="111111"/>
                <w:szCs w:val="16"/>
                <w:vertAlign w:val="subscript"/>
              </w:rPr>
              <w:t>2</w:t>
            </w:r>
            <w:r w:rsidRPr="00BE78CA">
              <w:rPr>
                <w:rFonts w:eastAsia="Calibri" w:cs="Calibri"/>
                <w:color w:val="111111"/>
                <w:szCs w:val="16"/>
              </w:rPr>
              <w:t xml:space="preserve"> eq) and the technical correction to the FMRL in the CRF accounting table.</w:t>
            </w:r>
          </w:p>
        </w:tc>
        <w:tc>
          <w:tcPr>
            <w:tcW w:w="2879" w:type="dxa"/>
            <w:shd w:val="clear" w:color="auto" w:fill="FFFFFF"/>
            <w:tcMar>
              <w:top w:w="0" w:type="dxa"/>
              <w:left w:w="85" w:type="dxa"/>
              <w:bottom w:w="0" w:type="dxa"/>
              <w:right w:w="85" w:type="dxa"/>
            </w:tcMar>
          </w:tcPr>
          <w:p w14:paraId="2651EED5" w14:textId="77777777" w:rsidR="007E0025" w:rsidRPr="00BE78CA" w:rsidRDefault="007E0025" w:rsidP="00C26084">
            <w:pPr>
              <w:pStyle w:val="TableText"/>
            </w:pPr>
            <w:r w:rsidRPr="00BE78CA">
              <w:rPr>
                <w:rFonts w:eastAsia="Calibri"/>
                <w:b/>
                <w:bCs/>
              </w:rPr>
              <w:t xml:space="preserve">Resolved. </w:t>
            </w:r>
            <w:r w:rsidRPr="00BE78CA">
              <w:rPr>
                <w:rFonts w:eastAsia="Calibri"/>
              </w:rPr>
              <w:t>This error has been addressed and the correct FMRL value is now reported, see chapter 11, section 11.3.4 and annex 5, section A5.2.</w:t>
            </w:r>
          </w:p>
        </w:tc>
      </w:tr>
      <w:tr w:rsidR="007E0025" w:rsidRPr="00BE78CA" w14:paraId="336CD14C" w14:textId="77777777" w:rsidTr="00BB5269">
        <w:tc>
          <w:tcPr>
            <w:tcW w:w="1813" w:type="dxa"/>
            <w:shd w:val="clear" w:color="auto" w:fill="FFFFFF"/>
            <w:tcMar>
              <w:top w:w="0" w:type="dxa"/>
              <w:left w:w="85" w:type="dxa"/>
              <w:bottom w:w="0" w:type="dxa"/>
              <w:right w:w="85" w:type="dxa"/>
            </w:tcMar>
          </w:tcPr>
          <w:p w14:paraId="4192C831" w14:textId="77777777" w:rsidR="007E0025" w:rsidRPr="00BE78CA" w:rsidRDefault="007E0025" w:rsidP="00C26084">
            <w:pPr>
              <w:pStyle w:val="TableText"/>
            </w:pPr>
            <w:r w:rsidRPr="00BE78CA">
              <w:rPr>
                <w:rFonts w:eastAsia="Calibri" w:cs="Calibri"/>
                <w:color w:val="111111"/>
                <w:szCs w:val="16"/>
              </w:rPr>
              <w:t>KP-LULUCF – CH</w:t>
            </w:r>
            <w:r w:rsidRPr="00BE78CA">
              <w:rPr>
                <w:rFonts w:eastAsia="Calibri" w:cs="Calibri"/>
                <w:color w:val="111111"/>
                <w:szCs w:val="16"/>
                <w:vertAlign w:val="subscript"/>
              </w:rPr>
              <w:t>4</w:t>
            </w:r>
            <w:r w:rsidRPr="00BE78CA">
              <w:rPr>
                <w:rFonts w:eastAsia="Calibri" w:cs="Calibri"/>
                <w:color w:val="111111"/>
                <w:szCs w:val="16"/>
              </w:rPr>
              <w:t xml:space="preserve"> and N</w:t>
            </w:r>
            <w:r w:rsidRPr="00BE78CA">
              <w:rPr>
                <w:rFonts w:eastAsia="Calibri" w:cs="Calibri"/>
                <w:color w:val="111111"/>
                <w:szCs w:val="16"/>
                <w:vertAlign w:val="subscript"/>
              </w:rPr>
              <w:t>2</w:t>
            </w:r>
            <w:r w:rsidRPr="00BE78CA">
              <w:rPr>
                <w:rFonts w:eastAsia="Calibri" w:cs="Calibri"/>
                <w:color w:val="111111"/>
                <w:szCs w:val="16"/>
              </w:rPr>
              <w:t>O emissions from drained and rewetted organic soils – N</w:t>
            </w:r>
            <w:r w:rsidRPr="00BE78CA">
              <w:rPr>
                <w:rFonts w:eastAsia="Calibri" w:cs="Calibri"/>
                <w:color w:val="111111"/>
                <w:szCs w:val="16"/>
                <w:vertAlign w:val="subscript"/>
              </w:rPr>
              <w:t>2</w:t>
            </w:r>
            <w:r w:rsidRPr="00BE78CA">
              <w:rPr>
                <w:rFonts w:eastAsia="Calibri" w:cs="Calibri"/>
                <w:color w:val="111111"/>
                <w:szCs w:val="16"/>
              </w:rPr>
              <w:t>O</w:t>
            </w:r>
          </w:p>
        </w:tc>
        <w:tc>
          <w:tcPr>
            <w:tcW w:w="907" w:type="dxa"/>
            <w:shd w:val="clear" w:color="auto" w:fill="FFFFFF"/>
            <w:tcMar>
              <w:top w:w="0" w:type="dxa"/>
              <w:left w:w="85" w:type="dxa"/>
              <w:bottom w:w="0" w:type="dxa"/>
              <w:right w:w="85" w:type="dxa"/>
            </w:tcMar>
          </w:tcPr>
          <w:p w14:paraId="3716E195" w14:textId="77777777" w:rsidR="007E0025" w:rsidRPr="00BE78CA" w:rsidRDefault="007E0025" w:rsidP="00C26084">
            <w:pPr>
              <w:pStyle w:val="TableText"/>
            </w:pPr>
            <w:r w:rsidRPr="00BE78CA">
              <w:rPr>
                <w:rFonts w:eastAsia="Calibri" w:cs="Calibri"/>
                <w:color w:val="111111"/>
                <w:szCs w:val="16"/>
              </w:rPr>
              <w:t>KL.22, 2019</w:t>
            </w:r>
          </w:p>
        </w:tc>
        <w:tc>
          <w:tcPr>
            <w:tcW w:w="2784" w:type="dxa"/>
            <w:shd w:val="clear" w:color="auto" w:fill="FFFFFF"/>
            <w:tcMar>
              <w:top w:w="0" w:type="dxa"/>
              <w:left w:w="85" w:type="dxa"/>
              <w:bottom w:w="0" w:type="dxa"/>
              <w:right w:w="85" w:type="dxa"/>
            </w:tcMar>
          </w:tcPr>
          <w:p w14:paraId="03D8EC8C" w14:textId="192158EC" w:rsidR="007E0025" w:rsidRPr="00BE78CA" w:rsidRDefault="007E0025" w:rsidP="00C26084">
            <w:pPr>
              <w:pStyle w:val="TableText"/>
            </w:pPr>
            <w:r w:rsidRPr="00BE78CA">
              <w:rPr>
                <w:rFonts w:eastAsia="Calibri" w:cs="Calibri"/>
                <w:color w:val="111111"/>
                <w:szCs w:val="16"/>
              </w:rPr>
              <w:t>The ERT recommends that New Zealand report N</w:t>
            </w:r>
            <w:r w:rsidRPr="00BE78CA">
              <w:rPr>
                <w:rFonts w:eastAsia="Calibri" w:cs="Calibri"/>
                <w:color w:val="111111"/>
                <w:szCs w:val="16"/>
                <w:vertAlign w:val="subscript"/>
              </w:rPr>
              <w:t>2</w:t>
            </w:r>
            <w:r w:rsidRPr="00BE78CA">
              <w:rPr>
                <w:rFonts w:eastAsia="Calibri" w:cs="Calibri"/>
                <w:color w:val="111111"/>
                <w:szCs w:val="16"/>
              </w:rPr>
              <w:t>O emissions from drainage of non-agricultural organic soils in CRF table 4(KP-II)2 for each non-agricultural land category for which it reports a SOC</w:t>
            </w:r>
            <w:r w:rsidR="0055281A" w:rsidRPr="00BE78CA">
              <w:rPr>
                <w:rFonts w:eastAsia="Calibri" w:cs="Calibri"/>
                <w:color w:val="111111"/>
                <w:szCs w:val="16"/>
              </w:rPr>
              <w:t> </w:t>
            </w:r>
            <w:r w:rsidRPr="00BE78CA">
              <w:rPr>
                <w:rFonts w:eastAsia="Calibri" w:cs="Calibri"/>
                <w:color w:val="111111"/>
                <w:szCs w:val="16"/>
              </w:rPr>
              <w:t>loss in organic soils in CRF tables 4(KP</w:t>
            </w:r>
            <w:r w:rsidR="0055281A" w:rsidRPr="00BE78CA">
              <w:rPr>
                <w:rFonts w:eastAsia="Calibri" w:cs="Calibri"/>
                <w:color w:val="111111"/>
                <w:szCs w:val="16"/>
              </w:rPr>
              <w:noBreakHyphen/>
            </w:r>
            <w:r w:rsidRPr="00BE78CA">
              <w:rPr>
                <w:rFonts w:eastAsia="Calibri" w:cs="Calibri"/>
                <w:color w:val="111111"/>
                <w:szCs w:val="16"/>
              </w:rPr>
              <w:t>I)A.1, 4(KP-I)A.2 and 4(KP-I)B.1.</w:t>
            </w:r>
          </w:p>
        </w:tc>
        <w:tc>
          <w:tcPr>
            <w:tcW w:w="2879" w:type="dxa"/>
            <w:shd w:val="clear" w:color="auto" w:fill="FFFFFF"/>
            <w:tcMar>
              <w:top w:w="0" w:type="dxa"/>
              <w:left w:w="85" w:type="dxa"/>
              <w:bottom w:w="0" w:type="dxa"/>
              <w:right w:w="85" w:type="dxa"/>
            </w:tcMar>
          </w:tcPr>
          <w:p w14:paraId="33F75B0D" w14:textId="7639033B" w:rsidR="007E0025" w:rsidRPr="00BE78CA" w:rsidRDefault="007E0025" w:rsidP="00C26084">
            <w:pPr>
              <w:pStyle w:val="TableText"/>
            </w:pPr>
            <w:r w:rsidRPr="00BE78CA">
              <w:rPr>
                <w:rFonts w:eastAsia="Calibri"/>
                <w:b/>
                <w:bCs/>
              </w:rPr>
              <w:t xml:space="preserve">Resolved. </w:t>
            </w:r>
            <w:r w:rsidRPr="00BE78CA">
              <w:rPr>
                <w:rFonts w:eastAsia="Calibri"/>
              </w:rPr>
              <w:t>New Zealand has reported indirect N</w:t>
            </w:r>
            <w:r w:rsidRPr="00BE78CA">
              <w:rPr>
                <w:rFonts w:eastAsia="Calibri"/>
                <w:vertAlign w:val="subscript"/>
              </w:rPr>
              <w:t>2</w:t>
            </w:r>
            <w:r w:rsidRPr="00BE78CA">
              <w:rPr>
                <w:rFonts w:eastAsia="Calibri"/>
              </w:rPr>
              <w:t>O emissions from all managed soils in CRF table 3.D.b in the Agriculture sector. The relevant N</w:t>
            </w:r>
            <w:r w:rsidRPr="00BE78CA">
              <w:rPr>
                <w:rFonts w:eastAsia="Calibri"/>
                <w:vertAlign w:val="subscript"/>
              </w:rPr>
              <w:t>2</w:t>
            </w:r>
            <w:r w:rsidRPr="00BE78CA">
              <w:rPr>
                <w:rFonts w:eastAsia="Calibri"/>
              </w:rPr>
              <w:t xml:space="preserve">O emissions from </w:t>
            </w:r>
            <w:r w:rsidRPr="00BE78CA">
              <w:rPr>
                <w:rFonts w:eastAsia="Calibri"/>
                <w:i/>
                <w:iCs/>
              </w:rPr>
              <w:t>Cropland</w:t>
            </w:r>
            <w:r w:rsidRPr="00BE78CA">
              <w:rPr>
                <w:rFonts w:eastAsia="Calibri"/>
              </w:rPr>
              <w:t>,</w:t>
            </w:r>
            <w:r w:rsidRPr="00BE78CA">
              <w:rPr>
                <w:rFonts w:eastAsia="Calibri"/>
                <w:i/>
                <w:iCs/>
              </w:rPr>
              <w:t xml:space="preserve"> Grassland </w:t>
            </w:r>
            <w:r w:rsidRPr="00BE78CA">
              <w:rPr>
                <w:rFonts w:eastAsia="Calibri"/>
              </w:rPr>
              <w:t>and</w:t>
            </w:r>
            <w:r w:rsidRPr="00BE78CA">
              <w:rPr>
                <w:rFonts w:eastAsia="Calibri"/>
                <w:i/>
                <w:iCs/>
              </w:rPr>
              <w:t xml:space="preserve"> Other land</w:t>
            </w:r>
            <w:r w:rsidRPr="00BE78CA">
              <w:rPr>
                <w:rFonts w:eastAsia="Calibri"/>
              </w:rPr>
              <w:t xml:space="preserve"> are covered within this category because, due to insufficient data availability, it was</w:t>
            </w:r>
            <w:r w:rsidR="003725AD" w:rsidRPr="00BE78CA">
              <w:rPr>
                <w:rFonts w:eastAsia="Calibri"/>
              </w:rPr>
              <w:t> </w:t>
            </w:r>
            <w:r w:rsidRPr="00BE78CA">
              <w:rPr>
                <w:rFonts w:eastAsia="Calibri"/>
              </w:rPr>
              <w:t>impossible to separate the sources of nitrogen between these types of land</w:t>
            </w:r>
            <w:r w:rsidR="003725AD" w:rsidRPr="00BE78CA">
              <w:rPr>
                <w:rFonts w:eastAsia="Calibri"/>
              </w:rPr>
              <w:t> </w:t>
            </w:r>
            <w:r w:rsidRPr="00BE78CA">
              <w:rPr>
                <w:rFonts w:eastAsia="Calibri"/>
              </w:rPr>
              <w:t xml:space="preserve">use. </w:t>
            </w:r>
          </w:p>
        </w:tc>
      </w:tr>
    </w:tbl>
    <w:p w14:paraId="52F96300" w14:textId="77777777" w:rsidR="003725AD" w:rsidRPr="00BE78CA" w:rsidRDefault="003725AD" w:rsidP="003725AD">
      <w:pPr>
        <w:pStyle w:val="BodyText"/>
      </w:pPr>
      <w:bookmarkStart w:id="3317" w:name="chapter-10-references"/>
    </w:p>
    <w:p w14:paraId="70A626B3" w14:textId="043DD3F7" w:rsidR="007E0025" w:rsidRPr="00BE78CA" w:rsidRDefault="007E0025" w:rsidP="003725AD">
      <w:pPr>
        <w:pStyle w:val="BodyText"/>
      </w:pPr>
      <w:r w:rsidRPr="00BE78CA">
        <w:br w:type="page"/>
      </w:r>
    </w:p>
    <w:p w14:paraId="312795EB" w14:textId="77777777" w:rsidR="007E0025" w:rsidRPr="00BE78CA" w:rsidRDefault="007E0025" w:rsidP="007E0025">
      <w:pPr>
        <w:pStyle w:val="Heading2"/>
        <w:spacing w:before="0" w:after="360"/>
      </w:pPr>
      <w:bookmarkStart w:id="3318" w:name="_Toc68786363"/>
      <w:r w:rsidRPr="00BE78CA">
        <w:lastRenderedPageBreak/>
        <w:t>Chapter 10: References</w:t>
      </w:r>
      <w:bookmarkEnd w:id="3317"/>
      <w:bookmarkEnd w:id="3318"/>
    </w:p>
    <w:p w14:paraId="56AF19A2" w14:textId="2A0B5A49" w:rsidR="007E0025" w:rsidRPr="00BE78CA" w:rsidRDefault="007E0025" w:rsidP="007E0025">
      <w:pPr>
        <w:pStyle w:val="References"/>
      </w:pPr>
      <w:r w:rsidRPr="00BE78CA">
        <w:t xml:space="preserve">Dresser M, Hewitt A, Willoughby J, Bellis S. 2011. </w:t>
      </w:r>
      <w:r w:rsidRPr="00BE78CA">
        <w:rPr>
          <w:i/>
          <w:iCs/>
        </w:rPr>
        <w:t>Area of Organic Soils</w:t>
      </w:r>
      <w:r w:rsidRPr="00BE78CA">
        <w:t>. Report prepared for the Ministry</w:t>
      </w:r>
      <w:r w:rsidR="004D695F" w:rsidRPr="00BE78CA">
        <w:t> </w:t>
      </w:r>
      <w:r w:rsidRPr="00BE78CA">
        <w:t>of Agriculture and Forestry by Manaaki Whenua – Landcare Research. Wellington: Ministry of</w:t>
      </w:r>
      <w:r w:rsidR="0032262E" w:rsidRPr="00BE78CA">
        <w:t> </w:t>
      </w:r>
      <w:r w:rsidRPr="00BE78CA">
        <w:t>Agriculture and Forestry.</w:t>
      </w:r>
    </w:p>
    <w:p w14:paraId="16773DB6" w14:textId="7FC14485" w:rsidR="007E0025" w:rsidRPr="00BE78CA" w:rsidRDefault="007E0025" w:rsidP="007E0025">
      <w:pPr>
        <w:pStyle w:val="References"/>
      </w:pPr>
      <w:r w:rsidRPr="00BE78CA">
        <w:t>Eunomia. Unpublished. Improvements to Estimates of Greenhouse Gas Emissions from Landfills. Report</w:t>
      </w:r>
      <w:r w:rsidR="0032262E" w:rsidRPr="00BE78CA">
        <w:t> </w:t>
      </w:r>
      <w:r w:rsidRPr="00BE78CA">
        <w:t>commissioned by the Ministry for the Environment in 2020.</w:t>
      </w:r>
    </w:p>
    <w:p w14:paraId="77872B22" w14:textId="1371B93C" w:rsidR="007E0025" w:rsidRPr="00BE78CA" w:rsidRDefault="007E0025" w:rsidP="007E0025">
      <w:pPr>
        <w:pStyle w:val="References"/>
      </w:pPr>
      <w:r w:rsidRPr="00BE78CA">
        <w:t xml:space="preserve">GHD. 2013. </w:t>
      </w:r>
      <w:r w:rsidRPr="00BE78CA">
        <w:rPr>
          <w:i/>
        </w:rPr>
        <w:t>Non-natural Rural Wastes: Site survey analysis</w:t>
      </w:r>
      <w:r w:rsidRPr="00BE78CA">
        <w:t>.</w:t>
      </w:r>
      <w:r w:rsidRPr="00BE78CA">
        <w:rPr>
          <w:i/>
        </w:rPr>
        <w:t xml:space="preserve"> </w:t>
      </w:r>
      <w:r w:rsidRPr="00BE78CA">
        <w:t>GHD Ltd for the</w:t>
      </w:r>
      <w:r w:rsidRPr="00BE78CA">
        <w:rPr>
          <w:i/>
        </w:rPr>
        <w:t xml:space="preserve"> </w:t>
      </w:r>
      <w:r w:rsidRPr="00BE78CA">
        <w:t>Canterbury Regional Council,</w:t>
      </w:r>
      <w:r w:rsidR="0032262E" w:rsidRPr="00BE78CA">
        <w:t> </w:t>
      </w:r>
      <w:r w:rsidRPr="00BE78CA">
        <w:t xml:space="preserve">published as Canterbury Regional Council Report No R13/52. Available from </w:t>
      </w:r>
      <w:hyperlink r:id="rId275" w:history="1">
        <w:r w:rsidR="0032262E" w:rsidRPr="00BE78CA">
          <w:rPr>
            <w:rStyle w:val="Hyperlink"/>
          </w:rPr>
          <w:t>https://ecan.govt.nz/document/download?uri=1851763</w:t>
        </w:r>
      </w:hyperlink>
      <w:r w:rsidRPr="00BE78CA">
        <w:t xml:space="preserve"> (accessed 9 November 2017).</w:t>
      </w:r>
    </w:p>
    <w:p w14:paraId="178EA426" w14:textId="77777777" w:rsidR="007E0025" w:rsidRPr="00BE78CA" w:rsidRDefault="007E0025" w:rsidP="007E0025">
      <w:pPr>
        <w:pStyle w:val="References"/>
      </w:pPr>
      <w:r w:rsidRPr="00BE78CA">
        <w:t xml:space="preserve">GHD. 2014. </w:t>
      </w:r>
      <w:r w:rsidRPr="00BE78CA">
        <w:rPr>
          <w:i/>
        </w:rPr>
        <w:t>Rural Waste Surveys Data Analysis: Waikato and Bay of Plenty</w:t>
      </w:r>
      <w:r w:rsidRPr="00BE78CA">
        <w:t xml:space="preserve">. GHD Ltd for the Waikato Regional Council, published as Waikato Regional Council Report No 3114554. Available from </w:t>
      </w:r>
      <w:hyperlink r:id="rId276" w:history="1">
        <w:r w:rsidRPr="00BE78CA">
          <w:rPr>
            <w:rStyle w:val="Hyperlink"/>
          </w:rPr>
          <w:t>www.waikatoregion.govt.nz/assets/PageFiles/30542/TR201455.pdf</w:t>
        </w:r>
      </w:hyperlink>
      <w:r w:rsidRPr="00BE78CA">
        <w:t xml:space="preserve"> (accessed 9 November 2017).</w:t>
      </w:r>
    </w:p>
    <w:p w14:paraId="563C15C1" w14:textId="77777777" w:rsidR="007E0025" w:rsidRPr="00BE78CA" w:rsidRDefault="007E0025" w:rsidP="007E0025">
      <w:pPr>
        <w:pStyle w:val="References"/>
      </w:pPr>
      <w:r w:rsidRPr="00BE78CA">
        <w:t xml:space="preserve">Giltrap D, McNeill S. Unpublished. </w:t>
      </w:r>
      <w:r w:rsidRPr="00BE78CA">
        <w:rPr>
          <w:i/>
          <w:iCs/>
        </w:rPr>
        <w:t>Revised pasture quality analysis in the agricultural greenhouse gas inventory</w:t>
      </w:r>
      <w:r w:rsidRPr="00BE78CA">
        <w:t>. Report prepared for the Ministry for Primary Industries by Manaaki Whenua – Landcare Research in 2020.</w:t>
      </w:r>
    </w:p>
    <w:p w14:paraId="5A1B5FAF" w14:textId="77777777" w:rsidR="007E0025" w:rsidRPr="00BE78CA" w:rsidRDefault="007E0025" w:rsidP="007E0025">
      <w:pPr>
        <w:pStyle w:val="References"/>
      </w:pPr>
      <w:r w:rsidRPr="00BE78CA">
        <w:t xml:space="preserve">IPCC. 2006. Eggleston HS, Buendia L, Miwa K, Ngara T, Tanabe K (eds). </w:t>
      </w:r>
      <w:r w:rsidRPr="00BE78CA">
        <w:rPr>
          <w:i/>
        </w:rPr>
        <w:t>2006 IPCC Guidelines for National Greenhouse Gas Inventories. Volume 4. Agriculture, Forestry and Other Land Use. IPCC National Greenhouse Gas Inventories Programme</w:t>
      </w:r>
      <w:r w:rsidRPr="00BE78CA">
        <w:t>. Japan: Institute for Global Environmental Strategies for IPCC.</w:t>
      </w:r>
    </w:p>
    <w:p w14:paraId="67329CDB" w14:textId="6B9FF11C" w:rsidR="007E0025" w:rsidRPr="00BE78CA" w:rsidRDefault="007E0025" w:rsidP="007E0025">
      <w:pPr>
        <w:pStyle w:val="References"/>
      </w:pPr>
      <w:r w:rsidRPr="00BE78CA">
        <w:t>Morrisey DJ, Swales A, Dittmann S, Morrison MA, Lovelock CE and Beard CM</w:t>
      </w:r>
      <w:r w:rsidR="003725AD" w:rsidRPr="00BE78CA">
        <w:t>.</w:t>
      </w:r>
      <w:r w:rsidRPr="00BE78CA">
        <w:t xml:space="preserve"> 2010. The ecology and</w:t>
      </w:r>
      <w:r w:rsidR="006478D3" w:rsidRPr="00BE78CA">
        <w:t> </w:t>
      </w:r>
      <w:r w:rsidRPr="00BE78CA">
        <w:t xml:space="preserve">management of temperate mangroves. </w:t>
      </w:r>
      <w:r w:rsidRPr="00BE78CA">
        <w:rPr>
          <w:i/>
          <w:iCs/>
        </w:rPr>
        <w:t xml:space="preserve">Oceanography and Marine Biology: An </w:t>
      </w:r>
      <w:r w:rsidR="0068711C" w:rsidRPr="00BE78CA">
        <w:rPr>
          <w:i/>
          <w:iCs/>
        </w:rPr>
        <w:t>A</w:t>
      </w:r>
      <w:r w:rsidRPr="00BE78CA">
        <w:rPr>
          <w:i/>
          <w:iCs/>
        </w:rPr>
        <w:t xml:space="preserve">nnual </w:t>
      </w:r>
      <w:r w:rsidR="0068711C" w:rsidRPr="00BE78CA">
        <w:rPr>
          <w:i/>
          <w:iCs/>
        </w:rPr>
        <w:t>R</w:t>
      </w:r>
      <w:r w:rsidRPr="00BE78CA">
        <w:rPr>
          <w:i/>
          <w:iCs/>
        </w:rPr>
        <w:t>eview</w:t>
      </w:r>
      <w:r w:rsidRPr="00BE78CA">
        <w:t xml:space="preserve"> 48</w:t>
      </w:r>
      <w:r w:rsidR="0068711C" w:rsidRPr="00BE78CA">
        <w:t>:</w:t>
      </w:r>
      <w:r w:rsidR="006478D3" w:rsidRPr="00BE78CA">
        <w:t> </w:t>
      </w:r>
      <w:r w:rsidRPr="00BE78CA">
        <w:t>43</w:t>
      </w:r>
      <w:r w:rsidR="0068711C" w:rsidRPr="00BE78CA">
        <w:t>–</w:t>
      </w:r>
      <w:r w:rsidRPr="00BE78CA">
        <w:t xml:space="preserve">160. </w:t>
      </w:r>
      <w:r w:rsidR="00821657" w:rsidRPr="00BE78CA">
        <w:t xml:space="preserve">Retrieved from </w:t>
      </w:r>
      <w:hyperlink r:id="rId277" w:history="1">
        <w:r w:rsidR="0033173C" w:rsidRPr="00BE78CA">
          <w:rPr>
            <w:rStyle w:val="Hyperlink"/>
          </w:rPr>
          <w:t>www.aucklandcity.govt.nz/council/documents/regionalplans/coastal/ Morrisey%20et%20al%202010%20Temperate%20Mangroves%20OMBAR.pdf</w:t>
        </w:r>
      </w:hyperlink>
      <w:r w:rsidR="00821657" w:rsidRPr="00BE78CA">
        <w:t xml:space="preserve"> (accessed</w:t>
      </w:r>
      <w:r w:rsidR="008139B3" w:rsidRPr="00BE78CA">
        <w:t xml:space="preserve"> 30 March 2021)</w:t>
      </w:r>
      <w:r w:rsidRPr="00BE78CA">
        <w:t xml:space="preserve">. </w:t>
      </w:r>
    </w:p>
    <w:p w14:paraId="1BB8670F" w14:textId="77777777" w:rsidR="007E0025" w:rsidRPr="00BE78CA" w:rsidRDefault="007E0025" w:rsidP="007E0025">
      <w:pPr>
        <w:pStyle w:val="References"/>
      </w:pPr>
      <w:r w:rsidRPr="00BE78CA">
        <w:t xml:space="preserve">Rollo, M. 2018. </w:t>
      </w:r>
      <w:r w:rsidRPr="00BE78CA">
        <w:rPr>
          <w:i/>
          <w:iCs/>
        </w:rPr>
        <w:t>Animal live weight calculations in the NZ Agricultural GHG Inventory Model</w:t>
      </w:r>
      <w:r w:rsidRPr="00BE78CA">
        <w:t>. Report prepared for the Ministry for Primary Industries by AgResearch in 2018.</w:t>
      </w:r>
    </w:p>
    <w:p w14:paraId="0C567AB3" w14:textId="5762F717" w:rsidR="007E0025" w:rsidRPr="00BE78CA" w:rsidRDefault="007E0025" w:rsidP="007E0025">
      <w:pPr>
        <w:pStyle w:val="References"/>
      </w:pPr>
      <w:r w:rsidRPr="00BE78CA">
        <w:t xml:space="preserve">UNFCCC. 2018. FCCC/ARR/2017/NZL. </w:t>
      </w:r>
      <w:r w:rsidRPr="00BE78CA">
        <w:rPr>
          <w:i/>
        </w:rPr>
        <w:t>Report on the individual review of the annual submission of New</w:t>
      </w:r>
      <w:r w:rsidR="0032262E" w:rsidRPr="00BE78CA">
        <w:rPr>
          <w:i/>
        </w:rPr>
        <w:t> </w:t>
      </w:r>
      <w:r w:rsidRPr="00BE78CA">
        <w:rPr>
          <w:i/>
        </w:rPr>
        <w:t xml:space="preserve">Zealand submitted in 2017. </w:t>
      </w:r>
      <w:r w:rsidRPr="00BE78CA">
        <w:t>Centralised review.</w:t>
      </w:r>
    </w:p>
    <w:p w14:paraId="6CADED1B" w14:textId="53EBFD17" w:rsidR="007E0025" w:rsidRPr="00BE78CA" w:rsidRDefault="007E0025" w:rsidP="007E0025">
      <w:pPr>
        <w:pStyle w:val="References"/>
      </w:pPr>
      <w:r w:rsidRPr="00BE78CA">
        <w:t xml:space="preserve">UNFCCC. 2020. FCCC/ARR/2019/NZL. </w:t>
      </w:r>
      <w:r w:rsidRPr="00BE78CA">
        <w:rPr>
          <w:i/>
        </w:rPr>
        <w:t>Report on the individual review of the annual submission of New</w:t>
      </w:r>
      <w:r w:rsidR="0032262E" w:rsidRPr="00BE78CA">
        <w:rPr>
          <w:i/>
        </w:rPr>
        <w:t> </w:t>
      </w:r>
      <w:r w:rsidRPr="00BE78CA">
        <w:rPr>
          <w:i/>
        </w:rPr>
        <w:t xml:space="preserve">Zealand submitted in 2019. </w:t>
      </w:r>
      <w:r w:rsidRPr="00BE78CA">
        <w:t>In country review.</w:t>
      </w:r>
    </w:p>
    <w:p w14:paraId="676E1AF8" w14:textId="77777777" w:rsidR="007E0025" w:rsidRPr="00BE78CA" w:rsidRDefault="007E0025" w:rsidP="007E0025">
      <w:pPr>
        <w:pStyle w:val="References"/>
      </w:pPr>
      <w:r w:rsidRPr="00BE78CA">
        <w:t>Waste Not Consulting. Unpublished. Update of National Average Waste Composition for Class 1 Landfills. Report commissioned by the Ministry for the Environment in 2020.</w:t>
      </w:r>
    </w:p>
    <w:p w14:paraId="060D872C" w14:textId="77777777" w:rsidR="007E0025" w:rsidRPr="00BE78CA" w:rsidRDefault="007E0025" w:rsidP="007E0025">
      <w:pPr>
        <w:pStyle w:val="References"/>
      </w:pPr>
    </w:p>
    <w:p w14:paraId="5E41C816" w14:textId="77777777" w:rsidR="00286A94" w:rsidRPr="00BE78CA" w:rsidRDefault="00286A94" w:rsidP="007E0025">
      <w:pPr>
        <w:pStyle w:val="References"/>
        <w:sectPr w:rsidR="00286A94" w:rsidRPr="00BE78CA" w:rsidSect="00286A94">
          <w:footerReference w:type="even" r:id="rId278"/>
          <w:footerReference w:type="default" r:id="rId279"/>
          <w:pgSz w:w="11907" w:h="16840" w:code="9"/>
          <w:pgMar w:top="1418" w:right="1701" w:bottom="1418" w:left="1701" w:header="567" w:footer="567" w:gutter="0"/>
          <w:cols w:space="720"/>
        </w:sectPr>
      </w:pPr>
    </w:p>
    <w:p w14:paraId="7E5E26C8" w14:textId="77777777" w:rsidR="00410716" w:rsidRPr="00BE78CA" w:rsidRDefault="00410716" w:rsidP="00410716">
      <w:pPr>
        <w:pStyle w:val="Heading1"/>
      </w:pPr>
      <w:bookmarkStart w:id="3319" w:name="_Toc5269404"/>
      <w:bookmarkStart w:id="3320" w:name="_Toc36224444"/>
      <w:bookmarkStart w:id="3321" w:name="_Toc68786364"/>
      <w:r w:rsidRPr="00BE78CA">
        <w:lastRenderedPageBreak/>
        <w:t>Chapter 11: KP-LULUCF</w:t>
      </w:r>
      <w:bookmarkEnd w:id="3319"/>
      <w:bookmarkEnd w:id="3320"/>
      <w:bookmarkEnd w:id="3321"/>
    </w:p>
    <w:p w14:paraId="7D02B360" w14:textId="77777777" w:rsidR="00410716" w:rsidRPr="00BE78CA" w:rsidRDefault="00410716" w:rsidP="00410716">
      <w:pPr>
        <w:pStyle w:val="Heading2"/>
        <w:spacing w:before="240"/>
      </w:pPr>
      <w:bookmarkStart w:id="3322" w:name="_Toc261513277"/>
      <w:bookmarkStart w:id="3323" w:name="_Toc261513890"/>
      <w:bookmarkStart w:id="3324" w:name="_Toc280630380"/>
      <w:bookmarkStart w:id="3325" w:name="_Toc310423464"/>
      <w:bookmarkStart w:id="3326" w:name="_Toc342470732"/>
      <w:bookmarkStart w:id="3327" w:name="_Toc352504891"/>
      <w:bookmarkStart w:id="3328" w:name="_Toc377043714"/>
      <w:bookmarkStart w:id="3329" w:name="_Toc391023461"/>
      <w:bookmarkStart w:id="3330" w:name="_Toc400967252"/>
      <w:bookmarkStart w:id="3331" w:name="_Toc414531340"/>
      <w:bookmarkStart w:id="3332" w:name="_Toc456179169"/>
      <w:bookmarkStart w:id="3333" w:name="_Toc481751422"/>
      <w:bookmarkStart w:id="3334" w:name="_Toc522013961"/>
      <w:bookmarkStart w:id="3335" w:name="_Toc5269405"/>
      <w:bookmarkStart w:id="3336" w:name="_Toc36224445"/>
      <w:bookmarkStart w:id="3337" w:name="_Toc68786365"/>
      <w:r w:rsidRPr="00BE78CA">
        <w:t xml:space="preserve">11.1 </w:t>
      </w:r>
      <w:r w:rsidRPr="00BE78CA">
        <w:tab/>
        <w:t>General information</w:t>
      </w:r>
      <w:bookmarkEnd w:id="3322"/>
      <w:bookmarkEnd w:id="3323"/>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p>
    <w:p w14:paraId="6BA8594B" w14:textId="77777777" w:rsidR="00410716" w:rsidRPr="00BE78CA" w:rsidRDefault="00410716" w:rsidP="00410716">
      <w:pPr>
        <w:pStyle w:val="Heading4"/>
        <w:spacing w:before="160"/>
      </w:pPr>
      <w:r w:rsidRPr="00BE78CA">
        <w:t>Emissions summary</w:t>
      </w:r>
    </w:p>
    <w:p w14:paraId="34766FFC" w14:textId="77777777" w:rsidR="00410716" w:rsidRPr="00BE78CA" w:rsidRDefault="00410716" w:rsidP="00410716">
      <w:pPr>
        <w:pStyle w:val="Heading5"/>
        <w:spacing w:before="120"/>
      </w:pPr>
      <w:r w:rsidRPr="00BE78CA">
        <w:t>2019</w:t>
      </w:r>
    </w:p>
    <w:p w14:paraId="3EB2D304" w14:textId="7A61D142" w:rsidR="00410716" w:rsidRPr="00BE78CA" w:rsidRDefault="00410716" w:rsidP="00410716">
      <w:pPr>
        <w:pStyle w:val="BodyText"/>
      </w:pPr>
      <w:r w:rsidRPr="00BE78CA">
        <w:t>In 2019, net emissions from land subject to Article 3.3 and Article 3.4 activities under the Kyoto</w:t>
      </w:r>
      <w:r w:rsidR="00F47CED" w:rsidRPr="00BE78CA">
        <w:t> </w:t>
      </w:r>
      <w:r w:rsidRPr="00BE78CA">
        <w:t>Protocol were –33,570.7 kilotonnes carbon dioxide equivalent (kt CO</w:t>
      </w:r>
      <w:r w:rsidRPr="00BE78CA">
        <w:rPr>
          <w:vertAlign w:val="subscript"/>
        </w:rPr>
        <w:t>2</w:t>
      </w:r>
      <w:r w:rsidRPr="00BE78CA">
        <w:t xml:space="preserve">-e) (table 11.1.1). </w:t>
      </w:r>
    </w:p>
    <w:p w14:paraId="6D560A54" w14:textId="0284EB69" w:rsidR="00410716" w:rsidRPr="00BE78CA" w:rsidRDefault="00410716" w:rsidP="00410716">
      <w:pPr>
        <w:pStyle w:val="BodyText"/>
      </w:pPr>
      <w:r w:rsidRPr="00BE78CA">
        <w:t xml:space="preserve">In 2019, net emissions from </w:t>
      </w:r>
      <w:r w:rsidRPr="00BE78CA">
        <w:rPr>
          <w:i/>
        </w:rPr>
        <w:t>Afforestation and reforestation</w:t>
      </w:r>
      <w:r w:rsidRPr="00BE78CA">
        <w:t xml:space="preserve"> and </w:t>
      </w:r>
      <w:r w:rsidRPr="00BE78CA">
        <w:rPr>
          <w:i/>
        </w:rPr>
        <w:t>Deforestation</w:t>
      </w:r>
      <w:r w:rsidRPr="00BE78CA">
        <w:t xml:space="preserve"> activities </w:t>
      </w:r>
      <w:r w:rsidR="00F47CED" w:rsidRPr="00BE78CA">
        <w:br/>
      </w:r>
      <w:r w:rsidRPr="00BE78CA">
        <w:t>were –12,905.4 kt CO</w:t>
      </w:r>
      <w:r w:rsidRPr="00BE78CA">
        <w:rPr>
          <w:vertAlign w:val="subscript"/>
        </w:rPr>
        <w:t>2</w:t>
      </w:r>
      <w:r w:rsidRPr="00BE78CA">
        <w:t>-e. This value is the total of all emissions and removals from activities under Decision 2/CMP.7, Article 3.3 of the Kyoto Protocol. It includes removals from forest growth, emissions from harvesting, and emissions and removals from harvested wood products in post-1989 forests; emissions from the conversion of land to post-1989 forest; and</w:t>
      </w:r>
      <w:r w:rsidR="00F47CED" w:rsidRPr="00BE78CA">
        <w:t> </w:t>
      </w:r>
      <w:r w:rsidRPr="00BE78CA">
        <w:t xml:space="preserve">emissions from deforestation of all forest land and emissions from biomass burning and mineralisation of soil nitrogen associated with afforestation, reforestation or deforestation activities since 1990. </w:t>
      </w:r>
    </w:p>
    <w:p w14:paraId="18D73C78" w14:textId="77777777" w:rsidR="00410716" w:rsidRPr="00BE78CA" w:rsidRDefault="00410716" w:rsidP="00410716">
      <w:pPr>
        <w:pStyle w:val="BodyText"/>
      </w:pPr>
      <w:r w:rsidRPr="00BE78CA">
        <w:t xml:space="preserve">In 2019, net emissions from </w:t>
      </w:r>
      <w:r w:rsidRPr="00BE78CA">
        <w:rPr>
          <w:i/>
        </w:rPr>
        <w:t>Forest</w:t>
      </w:r>
      <w:r w:rsidRPr="00BE78CA">
        <w:t xml:space="preserve"> </w:t>
      </w:r>
      <w:r w:rsidRPr="00BE78CA">
        <w:rPr>
          <w:i/>
        </w:rPr>
        <w:t>management</w:t>
      </w:r>
      <w:r w:rsidRPr="00BE78CA">
        <w:t xml:space="preserve"> were –20,665.3 kt CO</w:t>
      </w:r>
      <w:r w:rsidRPr="00BE78CA">
        <w:rPr>
          <w:vertAlign w:val="subscript"/>
        </w:rPr>
        <w:t>2</w:t>
      </w:r>
      <w:r w:rsidRPr="00BE78CA">
        <w:t>-e (table 11.1.1). This includes removals from the growth of pre-1990 natural forest and pre-1990 planted forest, emissions from harvesting of these forests, emissions and removals from harvested wood products from these forests, and emissions from biomass burning.</w:t>
      </w:r>
      <w:bookmarkStart w:id="3338" w:name="_Toc280630483"/>
      <w:bookmarkStart w:id="3339" w:name="_Toc310423438"/>
      <w:bookmarkStart w:id="3340" w:name="_Toc318362731"/>
      <w:bookmarkStart w:id="3341" w:name="_Toc342470810"/>
      <w:bookmarkStart w:id="3342" w:name="_Toc352505062"/>
      <w:bookmarkStart w:id="3343" w:name="_Toc377043698"/>
      <w:bookmarkStart w:id="3344" w:name="_Toc391023550"/>
      <w:bookmarkStart w:id="3345" w:name="_Toc414531524"/>
    </w:p>
    <w:p w14:paraId="14377621" w14:textId="77777777" w:rsidR="00410716" w:rsidRPr="00BE78CA" w:rsidRDefault="00410716" w:rsidP="00410716">
      <w:pPr>
        <w:pStyle w:val="Table"/>
      </w:pPr>
      <w:bookmarkStart w:id="3346" w:name="_Toc456179103"/>
      <w:bookmarkStart w:id="3347" w:name="_Toc481751629"/>
      <w:bookmarkStart w:id="3348" w:name="_Toc522010654"/>
      <w:bookmarkStart w:id="3349" w:name="_Toc5269624"/>
      <w:bookmarkStart w:id="3350" w:name="_Toc36224706"/>
      <w:bookmarkStart w:id="3351" w:name="_Toc64987041"/>
      <w:bookmarkStart w:id="3352" w:name="_Toc68786591"/>
      <w:r w:rsidRPr="00BE78CA">
        <w:t>Table 11.1.1</w:t>
      </w:r>
      <w:r w:rsidRPr="00BE78CA">
        <w:tab/>
        <w:t>New Zealand’s emissions under Article 3.3 and Article 3.4 of the Kyoto Protocol</w:t>
      </w:r>
      <w:r w:rsidRPr="00BE78CA">
        <w:br/>
      </w:r>
      <w:bookmarkEnd w:id="3338"/>
      <w:bookmarkEnd w:id="3339"/>
      <w:bookmarkEnd w:id="3340"/>
      <w:bookmarkEnd w:id="3341"/>
      <w:bookmarkEnd w:id="3342"/>
      <w:bookmarkEnd w:id="3343"/>
      <w:bookmarkEnd w:id="3344"/>
      <w:bookmarkEnd w:id="3345"/>
      <w:bookmarkEnd w:id="3346"/>
      <w:r w:rsidRPr="00BE78CA">
        <w:t>during the second reporting period</w:t>
      </w:r>
      <w:bookmarkEnd w:id="3347"/>
      <w:bookmarkEnd w:id="3348"/>
      <w:bookmarkEnd w:id="3349"/>
      <w:bookmarkEnd w:id="3350"/>
      <w:bookmarkEnd w:id="3351"/>
      <w:bookmarkEnd w:id="3352"/>
    </w:p>
    <w:tbl>
      <w:tblPr>
        <w:tblW w:w="8505" w:type="dxa"/>
        <w:tblLayout w:type="fixed"/>
        <w:tblCellMar>
          <w:left w:w="85" w:type="dxa"/>
          <w:right w:w="85" w:type="dxa"/>
        </w:tblCellMar>
        <w:tblLook w:val="04A0" w:firstRow="1" w:lastRow="0" w:firstColumn="1" w:lastColumn="0" w:noHBand="0" w:noVBand="1"/>
      </w:tblPr>
      <w:tblGrid>
        <w:gridCol w:w="1876"/>
        <w:gridCol w:w="947"/>
        <w:gridCol w:w="947"/>
        <w:gridCol w:w="947"/>
        <w:gridCol w:w="947"/>
        <w:gridCol w:w="947"/>
        <w:gridCol w:w="947"/>
        <w:gridCol w:w="947"/>
      </w:tblGrid>
      <w:tr w:rsidR="00410716" w:rsidRPr="00BE78CA" w14:paraId="517F541C" w14:textId="77777777" w:rsidTr="002B2F31">
        <w:tc>
          <w:tcPr>
            <w:tcW w:w="2041" w:type="dxa"/>
            <w:tcBorders>
              <w:top w:val="single" w:sz="8" w:space="0" w:color="365F91"/>
              <w:left w:val="nil"/>
              <w:bottom w:val="single" w:sz="8" w:space="0" w:color="365F91"/>
              <w:right w:val="nil"/>
            </w:tcBorders>
            <w:shd w:val="clear" w:color="000000" w:fill="365F91"/>
            <w:vAlign w:val="center"/>
            <w:hideMark/>
          </w:tcPr>
          <w:p w14:paraId="2EBB7BBF" w14:textId="77777777" w:rsidR="00410716" w:rsidRPr="00BE78CA" w:rsidRDefault="00410716" w:rsidP="001236FF">
            <w:pPr>
              <w:pStyle w:val="TableTextBold"/>
              <w:spacing w:before="50" w:after="50"/>
              <w:jc w:val="right"/>
              <w:rPr>
                <w:rFonts w:cs="Calibri"/>
                <w:noProof w:val="0"/>
                <w:color w:val="FFFFFF"/>
                <w:szCs w:val="16"/>
              </w:rPr>
            </w:pPr>
            <w:r w:rsidRPr="00BE78CA">
              <w:rPr>
                <w:rFonts w:cs="Calibri"/>
                <w:noProof w:val="0"/>
                <w:color w:val="FFFFFF"/>
                <w:szCs w:val="16"/>
              </w:rPr>
              <w:t> </w:t>
            </w:r>
          </w:p>
        </w:tc>
        <w:tc>
          <w:tcPr>
            <w:tcW w:w="1021" w:type="dxa"/>
            <w:tcBorders>
              <w:top w:val="single" w:sz="8" w:space="0" w:color="365F91"/>
              <w:left w:val="nil"/>
              <w:bottom w:val="single" w:sz="8" w:space="0" w:color="365F91"/>
              <w:right w:val="nil"/>
            </w:tcBorders>
            <w:shd w:val="clear" w:color="000000" w:fill="365F91"/>
            <w:vAlign w:val="center"/>
            <w:hideMark/>
          </w:tcPr>
          <w:p w14:paraId="69872B38" w14:textId="77777777" w:rsidR="00410716" w:rsidRPr="00BE78CA" w:rsidRDefault="00410716" w:rsidP="001236FF">
            <w:pPr>
              <w:pStyle w:val="TableTextBold"/>
              <w:spacing w:before="50" w:after="50"/>
              <w:jc w:val="right"/>
              <w:rPr>
                <w:rFonts w:cs="Calibri"/>
                <w:noProof w:val="0"/>
                <w:color w:val="FFFFFF"/>
                <w:szCs w:val="16"/>
              </w:rPr>
            </w:pPr>
            <w:r w:rsidRPr="00BE78CA">
              <w:rPr>
                <w:rFonts w:cs="Calibri"/>
                <w:noProof w:val="0"/>
                <w:color w:val="FFFFFF"/>
                <w:szCs w:val="16"/>
              </w:rPr>
              <w:t>2013</w:t>
            </w:r>
          </w:p>
        </w:tc>
        <w:tc>
          <w:tcPr>
            <w:tcW w:w="1021" w:type="dxa"/>
            <w:tcBorders>
              <w:top w:val="single" w:sz="8" w:space="0" w:color="365F91"/>
              <w:left w:val="nil"/>
              <w:bottom w:val="single" w:sz="8" w:space="0" w:color="365F91"/>
              <w:right w:val="nil"/>
            </w:tcBorders>
            <w:shd w:val="clear" w:color="000000" w:fill="365F91"/>
            <w:vAlign w:val="center"/>
            <w:hideMark/>
          </w:tcPr>
          <w:p w14:paraId="01920593" w14:textId="77777777" w:rsidR="00410716" w:rsidRPr="00BE78CA" w:rsidRDefault="00410716" w:rsidP="001236FF">
            <w:pPr>
              <w:pStyle w:val="TableTextBold"/>
              <w:spacing w:before="50" w:after="50"/>
              <w:jc w:val="right"/>
              <w:rPr>
                <w:rFonts w:cs="Calibri"/>
                <w:noProof w:val="0"/>
                <w:color w:val="FFFFFF"/>
                <w:szCs w:val="16"/>
              </w:rPr>
            </w:pPr>
            <w:r w:rsidRPr="00BE78CA">
              <w:rPr>
                <w:rFonts w:cs="Calibri"/>
                <w:noProof w:val="0"/>
                <w:color w:val="FFFFFF"/>
                <w:szCs w:val="16"/>
              </w:rPr>
              <w:t>2014</w:t>
            </w:r>
          </w:p>
        </w:tc>
        <w:tc>
          <w:tcPr>
            <w:tcW w:w="1021" w:type="dxa"/>
            <w:tcBorders>
              <w:top w:val="single" w:sz="8" w:space="0" w:color="365F91"/>
              <w:left w:val="nil"/>
              <w:bottom w:val="single" w:sz="8" w:space="0" w:color="365F91"/>
              <w:right w:val="nil"/>
            </w:tcBorders>
            <w:shd w:val="clear" w:color="000000" w:fill="365F91"/>
            <w:vAlign w:val="center"/>
            <w:hideMark/>
          </w:tcPr>
          <w:p w14:paraId="59EC800A" w14:textId="77777777" w:rsidR="00410716" w:rsidRPr="00BE78CA" w:rsidRDefault="00410716" w:rsidP="001236FF">
            <w:pPr>
              <w:pStyle w:val="TableTextBold"/>
              <w:spacing w:before="50" w:after="50"/>
              <w:jc w:val="right"/>
              <w:rPr>
                <w:rFonts w:cs="Calibri"/>
                <w:noProof w:val="0"/>
                <w:color w:val="FFFFFF"/>
                <w:szCs w:val="16"/>
              </w:rPr>
            </w:pPr>
            <w:r w:rsidRPr="00BE78CA">
              <w:rPr>
                <w:rFonts w:cs="Calibri"/>
                <w:noProof w:val="0"/>
                <w:color w:val="FFFFFF"/>
                <w:szCs w:val="16"/>
              </w:rPr>
              <w:t>2015</w:t>
            </w:r>
          </w:p>
        </w:tc>
        <w:tc>
          <w:tcPr>
            <w:tcW w:w="1021" w:type="dxa"/>
            <w:tcBorders>
              <w:top w:val="single" w:sz="8" w:space="0" w:color="365F91"/>
              <w:left w:val="nil"/>
              <w:bottom w:val="single" w:sz="8" w:space="0" w:color="365F91"/>
              <w:right w:val="nil"/>
            </w:tcBorders>
            <w:shd w:val="clear" w:color="000000" w:fill="365F91"/>
            <w:vAlign w:val="center"/>
            <w:hideMark/>
          </w:tcPr>
          <w:p w14:paraId="60F8DCD8" w14:textId="77777777" w:rsidR="00410716" w:rsidRPr="00BE78CA" w:rsidRDefault="00410716" w:rsidP="001236FF">
            <w:pPr>
              <w:pStyle w:val="TableTextBold"/>
              <w:spacing w:before="50" w:after="50"/>
              <w:jc w:val="right"/>
              <w:rPr>
                <w:rFonts w:cs="Calibri"/>
                <w:noProof w:val="0"/>
                <w:color w:val="FFFFFF"/>
                <w:szCs w:val="16"/>
              </w:rPr>
            </w:pPr>
            <w:r w:rsidRPr="00BE78CA">
              <w:rPr>
                <w:rFonts w:cs="Calibri"/>
                <w:noProof w:val="0"/>
                <w:color w:val="FFFFFF"/>
                <w:szCs w:val="16"/>
              </w:rPr>
              <w:t>2016</w:t>
            </w:r>
          </w:p>
        </w:tc>
        <w:tc>
          <w:tcPr>
            <w:tcW w:w="1021" w:type="dxa"/>
            <w:tcBorders>
              <w:top w:val="single" w:sz="8" w:space="0" w:color="365F91"/>
              <w:left w:val="nil"/>
              <w:bottom w:val="single" w:sz="8" w:space="0" w:color="365F91"/>
              <w:right w:val="nil"/>
            </w:tcBorders>
            <w:shd w:val="clear" w:color="000000" w:fill="365F91"/>
          </w:tcPr>
          <w:p w14:paraId="463D2E46" w14:textId="77777777" w:rsidR="00410716" w:rsidRPr="00BE78CA" w:rsidRDefault="00410716" w:rsidP="001236FF">
            <w:pPr>
              <w:pStyle w:val="TableTextBold"/>
              <w:spacing w:before="50" w:after="50"/>
              <w:jc w:val="right"/>
              <w:rPr>
                <w:rFonts w:cs="Calibri"/>
                <w:noProof w:val="0"/>
                <w:color w:val="FFFFFF"/>
                <w:szCs w:val="16"/>
              </w:rPr>
            </w:pPr>
            <w:r w:rsidRPr="00BE78CA">
              <w:rPr>
                <w:rFonts w:cs="Calibri"/>
                <w:noProof w:val="0"/>
                <w:color w:val="FFFFFF"/>
                <w:szCs w:val="16"/>
              </w:rPr>
              <w:t>2017</w:t>
            </w:r>
            <w:r w:rsidRPr="00BE78CA">
              <w:rPr>
                <w:rFonts w:cs="Calibri"/>
                <w:noProof w:val="0"/>
                <w:color w:val="FFFFFF"/>
                <w:szCs w:val="16"/>
                <w:vertAlign w:val="superscript"/>
              </w:rPr>
              <w:t>P</w:t>
            </w:r>
          </w:p>
        </w:tc>
        <w:tc>
          <w:tcPr>
            <w:tcW w:w="1021" w:type="dxa"/>
            <w:tcBorders>
              <w:top w:val="single" w:sz="8" w:space="0" w:color="365F91"/>
              <w:left w:val="nil"/>
              <w:bottom w:val="single" w:sz="8" w:space="0" w:color="365F91"/>
              <w:right w:val="nil"/>
            </w:tcBorders>
            <w:shd w:val="clear" w:color="000000" w:fill="365F91"/>
          </w:tcPr>
          <w:p w14:paraId="34250B2C" w14:textId="77777777" w:rsidR="00410716" w:rsidRPr="00BE78CA" w:rsidRDefault="00410716" w:rsidP="001236FF">
            <w:pPr>
              <w:pStyle w:val="TableTextBold"/>
              <w:spacing w:before="50" w:after="50"/>
              <w:jc w:val="right"/>
              <w:rPr>
                <w:rFonts w:cs="Calibri"/>
                <w:noProof w:val="0"/>
                <w:color w:val="FFFFFF"/>
                <w:szCs w:val="16"/>
              </w:rPr>
            </w:pPr>
            <w:r w:rsidRPr="00BE78CA">
              <w:rPr>
                <w:rFonts w:cs="Calibri"/>
                <w:noProof w:val="0"/>
                <w:color w:val="FFFFFF"/>
                <w:szCs w:val="16"/>
              </w:rPr>
              <w:t>2018</w:t>
            </w:r>
            <w:r w:rsidRPr="00BE78CA">
              <w:rPr>
                <w:rFonts w:cs="Calibri"/>
                <w:noProof w:val="0"/>
                <w:color w:val="FFFFFF"/>
                <w:szCs w:val="16"/>
                <w:vertAlign w:val="superscript"/>
              </w:rPr>
              <w:t>P</w:t>
            </w:r>
          </w:p>
        </w:tc>
        <w:tc>
          <w:tcPr>
            <w:tcW w:w="1021" w:type="dxa"/>
            <w:tcBorders>
              <w:top w:val="single" w:sz="8" w:space="0" w:color="365F91"/>
              <w:left w:val="nil"/>
              <w:bottom w:val="single" w:sz="8" w:space="0" w:color="365F91"/>
              <w:right w:val="nil"/>
            </w:tcBorders>
            <w:shd w:val="clear" w:color="000000" w:fill="365F91"/>
          </w:tcPr>
          <w:p w14:paraId="0C2A655D" w14:textId="77777777" w:rsidR="00410716" w:rsidRPr="00BE78CA" w:rsidRDefault="00410716" w:rsidP="001236FF">
            <w:pPr>
              <w:pStyle w:val="TableTextBold"/>
              <w:spacing w:before="50" w:after="50"/>
              <w:jc w:val="right"/>
              <w:rPr>
                <w:rFonts w:cs="Calibri"/>
                <w:noProof w:val="0"/>
                <w:color w:val="FFFFFF"/>
                <w:szCs w:val="16"/>
              </w:rPr>
            </w:pPr>
            <w:r w:rsidRPr="00BE78CA">
              <w:rPr>
                <w:rFonts w:cs="Calibri"/>
                <w:noProof w:val="0"/>
                <w:color w:val="FFFFFF"/>
                <w:szCs w:val="16"/>
              </w:rPr>
              <w:t>2019</w:t>
            </w:r>
            <w:r w:rsidRPr="00BE78CA">
              <w:rPr>
                <w:rFonts w:cs="Calibri"/>
                <w:noProof w:val="0"/>
                <w:color w:val="FFFFFF"/>
                <w:szCs w:val="16"/>
                <w:vertAlign w:val="superscript"/>
              </w:rPr>
              <w:t>P</w:t>
            </w:r>
          </w:p>
        </w:tc>
      </w:tr>
      <w:tr w:rsidR="00410716" w:rsidRPr="00BE78CA" w14:paraId="0E5C7FD0" w14:textId="77777777" w:rsidTr="002B2F31">
        <w:tc>
          <w:tcPr>
            <w:tcW w:w="2041" w:type="dxa"/>
            <w:tcBorders>
              <w:top w:val="single" w:sz="8" w:space="0" w:color="365F91"/>
              <w:left w:val="nil"/>
              <w:bottom w:val="single" w:sz="4" w:space="0" w:color="auto"/>
              <w:right w:val="nil"/>
            </w:tcBorders>
            <w:shd w:val="clear" w:color="auto" w:fill="auto"/>
            <w:vAlign w:val="center"/>
            <w:hideMark/>
          </w:tcPr>
          <w:p w14:paraId="1CCAA046" w14:textId="77777777" w:rsidR="00410716" w:rsidRPr="00BE78CA" w:rsidRDefault="00410716" w:rsidP="001236FF">
            <w:pPr>
              <w:pStyle w:val="TableTextBold"/>
              <w:spacing w:before="50" w:after="50"/>
              <w:rPr>
                <w:rFonts w:cs="Calibri"/>
                <w:noProof w:val="0"/>
                <w:szCs w:val="16"/>
              </w:rPr>
            </w:pPr>
            <w:r w:rsidRPr="00BE78CA">
              <w:rPr>
                <w:rFonts w:cs="Calibri"/>
                <w:noProof w:val="0"/>
                <w:szCs w:val="16"/>
              </w:rPr>
              <w:t>Afforestation and reforestation</w:t>
            </w:r>
          </w:p>
        </w:tc>
        <w:tc>
          <w:tcPr>
            <w:tcW w:w="1021" w:type="dxa"/>
            <w:tcBorders>
              <w:top w:val="single" w:sz="8" w:space="0" w:color="365F91"/>
              <w:left w:val="nil"/>
              <w:bottom w:val="single" w:sz="4" w:space="0" w:color="auto"/>
              <w:right w:val="nil"/>
            </w:tcBorders>
            <w:shd w:val="clear" w:color="auto" w:fill="auto"/>
            <w:noWrap/>
            <w:hideMark/>
          </w:tcPr>
          <w:p w14:paraId="247358B3" w14:textId="77777777" w:rsidR="00410716" w:rsidRPr="00BE78CA" w:rsidRDefault="00410716" w:rsidP="001236FF">
            <w:pPr>
              <w:pStyle w:val="TableText"/>
              <w:spacing w:before="50" w:after="50"/>
            </w:pPr>
          </w:p>
        </w:tc>
        <w:tc>
          <w:tcPr>
            <w:tcW w:w="1021" w:type="dxa"/>
            <w:tcBorders>
              <w:top w:val="single" w:sz="8" w:space="0" w:color="365F91"/>
              <w:left w:val="nil"/>
              <w:bottom w:val="single" w:sz="4" w:space="0" w:color="auto"/>
              <w:right w:val="nil"/>
            </w:tcBorders>
            <w:shd w:val="clear" w:color="auto" w:fill="auto"/>
            <w:noWrap/>
            <w:hideMark/>
          </w:tcPr>
          <w:p w14:paraId="781E9880" w14:textId="77777777" w:rsidR="00410716" w:rsidRPr="00BE78CA" w:rsidRDefault="00410716" w:rsidP="001236FF">
            <w:pPr>
              <w:pStyle w:val="TableText"/>
              <w:spacing w:before="50" w:after="50"/>
            </w:pPr>
          </w:p>
        </w:tc>
        <w:tc>
          <w:tcPr>
            <w:tcW w:w="1021" w:type="dxa"/>
            <w:tcBorders>
              <w:top w:val="single" w:sz="8" w:space="0" w:color="365F91"/>
              <w:left w:val="nil"/>
              <w:bottom w:val="single" w:sz="4" w:space="0" w:color="auto"/>
              <w:right w:val="nil"/>
            </w:tcBorders>
            <w:shd w:val="clear" w:color="auto" w:fill="auto"/>
            <w:noWrap/>
            <w:hideMark/>
          </w:tcPr>
          <w:p w14:paraId="48CD5FA9" w14:textId="77777777" w:rsidR="00410716" w:rsidRPr="00BE78CA" w:rsidRDefault="00410716" w:rsidP="001236FF">
            <w:pPr>
              <w:pStyle w:val="TableText"/>
              <w:spacing w:before="50" w:after="50"/>
            </w:pPr>
          </w:p>
        </w:tc>
        <w:tc>
          <w:tcPr>
            <w:tcW w:w="1021" w:type="dxa"/>
            <w:tcBorders>
              <w:top w:val="single" w:sz="8" w:space="0" w:color="365F91"/>
              <w:left w:val="nil"/>
              <w:bottom w:val="single" w:sz="4" w:space="0" w:color="auto"/>
              <w:right w:val="nil"/>
            </w:tcBorders>
            <w:shd w:val="clear" w:color="auto" w:fill="auto"/>
            <w:noWrap/>
            <w:hideMark/>
          </w:tcPr>
          <w:p w14:paraId="09DBA54C" w14:textId="77777777" w:rsidR="00410716" w:rsidRPr="00BE78CA" w:rsidRDefault="00410716" w:rsidP="001236FF">
            <w:pPr>
              <w:pStyle w:val="TableText"/>
              <w:spacing w:before="50" w:after="50"/>
            </w:pPr>
          </w:p>
        </w:tc>
        <w:tc>
          <w:tcPr>
            <w:tcW w:w="1021" w:type="dxa"/>
            <w:tcBorders>
              <w:top w:val="single" w:sz="8" w:space="0" w:color="365F91"/>
              <w:left w:val="nil"/>
              <w:bottom w:val="single" w:sz="4" w:space="0" w:color="auto"/>
              <w:right w:val="nil"/>
            </w:tcBorders>
          </w:tcPr>
          <w:p w14:paraId="4A61125A" w14:textId="77777777" w:rsidR="00410716" w:rsidRPr="00BE78CA" w:rsidRDefault="00410716" w:rsidP="001236FF">
            <w:pPr>
              <w:pStyle w:val="TableText"/>
              <w:spacing w:before="50" w:after="50"/>
            </w:pPr>
          </w:p>
        </w:tc>
        <w:tc>
          <w:tcPr>
            <w:tcW w:w="1021" w:type="dxa"/>
            <w:tcBorders>
              <w:top w:val="single" w:sz="8" w:space="0" w:color="365F91"/>
              <w:left w:val="nil"/>
              <w:bottom w:val="single" w:sz="4" w:space="0" w:color="auto"/>
              <w:right w:val="nil"/>
            </w:tcBorders>
          </w:tcPr>
          <w:p w14:paraId="0909D3F3" w14:textId="77777777" w:rsidR="00410716" w:rsidRPr="00BE78CA" w:rsidRDefault="00410716" w:rsidP="001236FF">
            <w:pPr>
              <w:pStyle w:val="TableText"/>
              <w:spacing w:before="50" w:after="50"/>
            </w:pPr>
          </w:p>
        </w:tc>
        <w:tc>
          <w:tcPr>
            <w:tcW w:w="1021" w:type="dxa"/>
            <w:tcBorders>
              <w:top w:val="single" w:sz="8" w:space="0" w:color="365F91"/>
              <w:left w:val="nil"/>
              <w:bottom w:val="single" w:sz="4" w:space="0" w:color="auto"/>
              <w:right w:val="nil"/>
            </w:tcBorders>
          </w:tcPr>
          <w:p w14:paraId="5914CF2B" w14:textId="77777777" w:rsidR="00410716" w:rsidRPr="00BE78CA" w:rsidRDefault="00410716" w:rsidP="001236FF">
            <w:pPr>
              <w:pStyle w:val="TableText"/>
              <w:spacing w:before="50" w:after="50"/>
            </w:pPr>
          </w:p>
        </w:tc>
      </w:tr>
      <w:tr w:rsidR="00410716" w:rsidRPr="00BE78CA" w14:paraId="2F6484ED" w14:textId="77777777" w:rsidTr="002B2F31">
        <w:tc>
          <w:tcPr>
            <w:tcW w:w="2041" w:type="dxa"/>
            <w:tcBorders>
              <w:top w:val="single" w:sz="4" w:space="0" w:color="auto"/>
              <w:left w:val="nil"/>
              <w:right w:val="nil"/>
            </w:tcBorders>
            <w:shd w:val="clear" w:color="auto" w:fill="auto"/>
            <w:vAlign w:val="center"/>
            <w:hideMark/>
          </w:tcPr>
          <w:p w14:paraId="0DA00437" w14:textId="77777777" w:rsidR="00410716" w:rsidRPr="00BE78CA" w:rsidRDefault="00410716" w:rsidP="001236FF">
            <w:pPr>
              <w:pStyle w:val="TableText"/>
              <w:spacing w:before="50" w:after="50"/>
              <w:rPr>
                <w:rFonts w:cs="Calibri"/>
                <w:szCs w:val="16"/>
              </w:rPr>
            </w:pPr>
            <w:r w:rsidRPr="00BE78CA">
              <w:rPr>
                <w:rFonts w:cs="Calibri"/>
                <w:szCs w:val="16"/>
              </w:rPr>
              <w:t>Net cumulative area since 1990 (ha)</w:t>
            </w:r>
          </w:p>
        </w:tc>
        <w:tc>
          <w:tcPr>
            <w:tcW w:w="1021" w:type="dxa"/>
            <w:tcBorders>
              <w:top w:val="single" w:sz="4" w:space="0" w:color="auto"/>
              <w:left w:val="nil"/>
              <w:right w:val="nil"/>
            </w:tcBorders>
            <w:shd w:val="clear" w:color="auto" w:fill="auto"/>
            <w:hideMark/>
          </w:tcPr>
          <w:p w14:paraId="4ECE678E" w14:textId="77777777" w:rsidR="00410716" w:rsidRPr="00BE78CA" w:rsidRDefault="00410716" w:rsidP="001236FF">
            <w:pPr>
              <w:pStyle w:val="TableText"/>
              <w:spacing w:before="50" w:after="50"/>
              <w:jc w:val="right"/>
              <w:rPr>
                <w:rFonts w:cs="Calibri"/>
                <w:szCs w:val="16"/>
              </w:rPr>
            </w:pPr>
            <w:r w:rsidRPr="00BE78CA">
              <w:t>688,325</w:t>
            </w:r>
          </w:p>
        </w:tc>
        <w:tc>
          <w:tcPr>
            <w:tcW w:w="1021" w:type="dxa"/>
            <w:tcBorders>
              <w:top w:val="single" w:sz="4" w:space="0" w:color="auto"/>
              <w:left w:val="nil"/>
              <w:right w:val="nil"/>
            </w:tcBorders>
            <w:shd w:val="clear" w:color="auto" w:fill="auto"/>
            <w:hideMark/>
          </w:tcPr>
          <w:p w14:paraId="5F67878E" w14:textId="77777777" w:rsidR="00410716" w:rsidRPr="00BE78CA" w:rsidRDefault="00410716" w:rsidP="001236FF">
            <w:pPr>
              <w:pStyle w:val="TableText"/>
              <w:spacing w:before="50" w:after="50"/>
              <w:jc w:val="right"/>
              <w:rPr>
                <w:rFonts w:cs="Calibri"/>
                <w:szCs w:val="16"/>
              </w:rPr>
            </w:pPr>
            <w:r w:rsidRPr="00BE78CA">
              <w:t>692,604</w:t>
            </w:r>
          </w:p>
        </w:tc>
        <w:tc>
          <w:tcPr>
            <w:tcW w:w="1021" w:type="dxa"/>
            <w:tcBorders>
              <w:top w:val="single" w:sz="4" w:space="0" w:color="auto"/>
              <w:left w:val="nil"/>
              <w:right w:val="nil"/>
            </w:tcBorders>
            <w:shd w:val="clear" w:color="auto" w:fill="auto"/>
            <w:hideMark/>
          </w:tcPr>
          <w:p w14:paraId="21C82BAE" w14:textId="77777777" w:rsidR="00410716" w:rsidRPr="00BE78CA" w:rsidRDefault="00410716" w:rsidP="001236FF">
            <w:pPr>
              <w:pStyle w:val="TableText"/>
              <w:spacing w:before="50" w:after="50"/>
              <w:jc w:val="right"/>
              <w:rPr>
                <w:rFonts w:cs="Calibri"/>
                <w:szCs w:val="16"/>
              </w:rPr>
            </w:pPr>
            <w:r w:rsidRPr="00BE78CA">
              <w:t>696,844</w:t>
            </w:r>
          </w:p>
        </w:tc>
        <w:tc>
          <w:tcPr>
            <w:tcW w:w="1021" w:type="dxa"/>
            <w:tcBorders>
              <w:top w:val="single" w:sz="4" w:space="0" w:color="auto"/>
              <w:left w:val="nil"/>
              <w:right w:val="nil"/>
            </w:tcBorders>
            <w:shd w:val="clear" w:color="auto" w:fill="auto"/>
            <w:hideMark/>
          </w:tcPr>
          <w:p w14:paraId="17406491" w14:textId="77777777" w:rsidR="00410716" w:rsidRPr="00BE78CA" w:rsidRDefault="00410716" w:rsidP="001236FF">
            <w:pPr>
              <w:pStyle w:val="TableText"/>
              <w:spacing w:before="50" w:after="50"/>
              <w:jc w:val="right"/>
              <w:rPr>
                <w:rFonts w:cs="Calibri"/>
                <w:szCs w:val="16"/>
              </w:rPr>
            </w:pPr>
            <w:r w:rsidRPr="00BE78CA">
              <w:t>701,269</w:t>
            </w:r>
          </w:p>
        </w:tc>
        <w:tc>
          <w:tcPr>
            <w:tcW w:w="1021" w:type="dxa"/>
            <w:tcBorders>
              <w:top w:val="single" w:sz="4" w:space="0" w:color="auto"/>
              <w:left w:val="nil"/>
              <w:right w:val="nil"/>
            </w:tcBorders>
          </w:tcPr>
          <w:p w14:paraId="1C5EC48D" w14:textId="77777777" w:rsidR="00410716" w:rsidRPr="00BE78CA" w:rsidRDefault="00410716" w:rsidP="001236FF">
            <w:pPr>
              <w:pStyle w:val="TableText"/>
              <w:spacing w:before="50" w:after="50"/>
              <w:jc w:val="right"/>
              <w:rPr>
                <w:rFonts w:cs="Calibri"/>
                <w:szCs w:val="16"/>
              </w:rPr>
            </w:pPr>
            <w:r w:rsidRPr="00BE78CA">
              <w:t>708,741</w:t>
            </w:r>
          </w:p>
        </w:tc>
        <w:tc>
          <w:tcPr>
            <w:tcW w:w="1021" w:type="dxa"/>
            <w:tcBorders>
              <w:top w:val="single" w:sz="4" w:space="0" w:color="auto"/>
              <w:left w:val="nil"/>
              <w:right w:val="nil"/>
            </w:tcBorders>
          </w:tcPr>
          <w:p w14:paraId="7AA71FB3" w14:textId="77777777" w:rsidR="00410716" w:rsidRPr="00BE78CA" w:rsidRDefault="00410716" w:rsidP="001236FF">
            <w:pPr>
              <w:pStyle w:val="TableText"/>
              <w:spacing w:before="50" w:after="50"/>
              <w:jc w:val="right"/>
              <w:rPr>
                <w:rFonts w:cs="Calibri"/>
                <w:szCs w:val="16"/>
              </w:rPr>
            </w:pPr>
            <w:r w:rsidRPr="00BE78CA">
              <w:t>716,331</w:t>
            </w:r>
          </w:p>
        </w:tc>
        <w:tc>
          <w:tcPr>
            <w:tcW w:w="1021" w:type="dxa"/>
            <w:tcBorders>
              <w:top w:val="single" w:sz="4" w:space="0" w:color="auto"/>
              <w:left w:val="nil"/>
              <w:right w:val="nil"/>
            </w:tcBorders>
          </w:tcPr>
          <w:p w14:paraId="787804FE" w14:textId="77777777" w:rsidR="00410716" w:rsidRPr="00BE78CA" w:rsidRDefault="00410716" w:rsidP="001236FF">
            <w:pPr>
              <w:pStyle w:val="TableText"/>
              <w:spacing w:before="50" w:after="50"/>
              <w:jc w:val="right"/>
              <w:rPr>
                <w:rFonts w:cs="Calibri"/>
                <w:szCs w:val="16"/>
              </w:rPr>
            </w:pPr>
            <w:r w:rsidRPr="00BE78CA">
              <w:t>739,454</w:t>
            </w:r>
          </w:p>
        </w:tc>
      </w:tr>
      <w:tr w:rsidR="00410716" w:rsidRPr="00BE78CA" w14:paraId="271D24E6" w14:textId="77777777" w:rsidTr="002B2F31">
        <w:tc>
          <w:tcPr>
            <w:tcW w:w="2041" w:type="dxa"/>
            <w:tcBorders>
              <w:left w:val="nil"/>
              <w:right w:val="nil"/>
            </w:tcBorders>
            <w:shd w:val="clear" w:color="auto" w:fill="auto"/>
            <w:vAlign w:val="center"/>
            <w:hideMark/>
          </w:tcPr>
          <w:p w14:paraId="3E4C4D4B" w14:textId="77777777" w:rsidR="00410716" w:rsidRPr="00BE78CA" w:rsidRDefault="00410716" w:rsidP="001236FF">
            <w:pPr>
              <w:pStyle w:val="TableText"/>
              <w:spacing w:before="50" w:after="50"/>
            </w:pPr>
            <w:r w:rsidRPr="00BE78CA">
              <w:t>Area in calendar year (ha)</w:t>
            </w:r>
          </w:p>
        </w:tc>
        <w:tc>
          <w:tcPr>
            <w:tcW w:w="1021" w:type="dxa"/>
            <w:tcBorders>
              <w:left w:val="nil"/>
              <w:right w:val="nil"/>
            </w:tcBorders>
            <w:shd w:val="clear" w:color="auto" w:fill="auto"/>
            <w:hideMark/>
          </w:tcPr>
          <w:p w14:paraId="103DFDE1" w14:textId="77777777" w:rsidR="00410716" w:rsidRPr="00BE78CA" w:rsidRDefault="00410716" w:rsidP="001236FF">
            <w:pPr>
              <w:pStyle w:val="TableText"/>
              <w:spacing w:before="50" w:after="50"/>
              <w:jc w:val="right"/>
            </w:pPr>
            <w:r w:rsidRPr="00BE78CA">
              <w:t>7,286</w:t>
            </w:r>
          </w:p>
        </w:tc>
        <w:tc>
          <w:tcPr>
            <w:tcW w:w="1021" w:type="dxa"/>
            <w:tcBorders>
              <w:left w:val="nil"/>
              <w:right w:val="nil"/>
            </w:tcBorders>
            <w:shd w:val="clear" w:color="auto" w:fill="auto"/>
            <w:hideMark/>
          </w:tcPr>
          <w:p w14:paraId="35416D17" w14:textId="77777777" w:rsidR="00410716" w:rsidRPr="00BE78CA" w:rsidRDefault="00410716" w:rsidP="001236FF">
            <w:pPr>
              <w:pStyle w:val="TableText"/>
              <w:spacing w:before="50" w:after="50"/>
              <w:jc w:val="right"/>
            </w:pPr>
            <w:r w:rsidRPr="00BE78CA">
              <w:t>5,937</w:t>
            </w:r>
          </w:p>
        </w:tc>
        <w:tc>
          <w:tcPr>
            <w:tcW w:w="1021" w:type="dxa"/>
            <w:tcBorders>
              <w:left w:val="nil"/>
              <w:right w:val="nil"/>
            </w:tcBorders>
            <w:shd w:val="clear" w:color="auto" w:fill="auto"/>
            <w:hideMark/>
          </w:tcPr>
          <w:p w14:paraId="2A02E8B8" w14:textId="77777777" w:rsidR="00410716" w:rsidRPr="00BE78CA" w:rsidRDefault="00410716" w:rsidP="001236FF">
            <w:pPr>
              <w:pStyle w:val="TableText"/>
              <w:spacing w:before="50" w:after="50"/>
              <w:jc w:val="right"/>
            </w:pPr>
            <w:r w:rsidRPr="00BE78CA">
              <w:t>5,937</w:t>
            </w:r>
          </w:p>
        </w:tc>
        <w:tc>
          <w:tcPr>
            <w:tcW w:w="1021" w:type="dxa"/>
            <w:tcBorders>
              <w:left w:val="nil"/>
              <w:right w:val="nil"/>
            </w:tcBorders>
            <w:shd w:val="clear" w:color="auto" w:fill="auto"/>
            <w:hideMark/>
          </w:tcPr>
          <w:p w14:paraId="4CA69AC2" w14:textId="77777777" w:rsidR="00410716" w:rsidRPr="00BE78CA" w:rsidRDefault="00410716" w:rsidP="001236FF">
            <w:pPr>
              <w:pStyle w:val="TableText"/>
              <w:spacing w:before="50" w:after="50"/>
              <w:jc w:val="right"/>
            </w:pPr>
            <w:r w:rsidRPr="00BE78CA">
              <w:t>5,784</w:t>
            </w:r>
          </w:p>
        </w:tc>
        <w:tc>
          <w:tcPr>
            <w:tcW w:w="1021" w:type="dxa"/>
            <w:tcBorders>
              <w:left w:val="nil"/>
              <w:right w:val="nil"/>
            </w:tcBorders>
          </w:tcPr>
          <w:p w14:paraId="2E8BDBFF" w14:textId="77777777" w:rsidR="00410716" w:rsidRPr="00BE78CA" w:rsidRDefault="00410716" w:rsidP="001236FF">
            <w:pPr>
              <w:pStyle w:val="TableText"/>
              <w:spacing w:before="50" w:after="50"/>
              <w:jc w:val="right"/>
            </w:pPr>
            <w:r w:rsidRPr="00BE78CA">
              <w:t>8,126</w:t>
            </w:r>
          </w:p>
        </w:tc>
        <w:tc>
          <w:tcPr>
            <w:tcW w:w="1021" w:type="dxa"/>
            <w:tcBorders>
              <w:left w:val="nil"/>
              <w:right w:val="nil"/>
            </w:tcBorders>
          </w:tcPr>
          <w:p w14:paraId="46837F1B" w14:textId="77777777" w:rsidR="00410716" w:rsidRPr="00BE78CA" w:rsidRDefault="00410716" w:rsidP="001236FF">
            <w:pPr>
              <w:pStyle w:val="TableText"/>
              <w:spacing w:before="50" w:after="50"/>
              <w:jc w:val="right"/>
            </w:pPr>
            <w:r w:rsidRPr="00BE78CA">
              <w:t>8,323</w:t>
            </w:r>
          </w:p>
        </w:tc>
        <w:tc>
          <w:tcPr>
            <w:tcW w:w="1021" w:type="dxa"/>
            <w:tcBorders>
              <w:left w:val="nil"/>
              <w:right w:val="nil"/>
            </w:tcBorders>
          </w:tcPr>
          <w:p w14:paraId="3DB014DD" w14:textId="77777777" w:rsidR="00410716" w:rsidRPr="00BE78CA" w:rsidRDefault="00410716" w:rsidP="001236FF">
            <w:pPr>
              <w:pStyle w:val="TableText"/>
              <w:spacing w:before="50" w:after="50"/>
              <w:jc w:val="right"/>
            </w:pPr>
            <w:r w:rsidRPr="00BE78CA">
              <w:t>24,067</w:t>
            </w:r>
          </w:p>
        </w:tc>
      </w:tr>
      <w:tr w:rsidR="00410716" w:rsidRPr="00BE78CA" w14:paraId="7CECE3D0" w14:textId="77777777" w:rsidTr="002B2F31">
        <w:tc>
          <w:tcPr>
            <w:tcW w:w="2041" w:type="dxa"/>
            <w:tcBorders>
              <w:left w:val="nil"/>
              <w:bottom w:val="single" w:sz="8" w:space="0" w:color="44546A"/>
              <w:right w:val="nil"/>
            </w:tcBorders>
            <w:shd w:val="clear" w:color="auto" w:fill="auto"/>
            <w:vAlign w:val="center"/>
            <w:hideMark/>
          </w:tcPr>
          <w:p w14:paraId="241D5164" w14:textId="77777777" w:rsidR="00410716" w:rsidRPr="00BE78CA" w:rsidRDefault="00410716" w:rsidP="001236FF">
            <w:pPr>
              <w:pStyle w:val="TableText"/>
              <w:spacing w:before="50" w:after="50"/>
              <w:rPr>
                <w:rFonts w:cs="Calibri"/>
                <w:szCs w:val="16"/>
              </w:rPr>
            </w:pPr>
            <w:r w:rsidRPr="00BE78CA">
              <w:rPr>
                <w:rFonts w:cs="Calibri"/>
                <w:szCs w:val="16"/>
              </w:rPr>
              <w:t>Net emissions in calendar year (kt CO</w:t>
            </w:r>
            <w:r w:rsidRPr="00BE78CA">
              <w:rPr>
                <w:rFonts w:cs="Calibri"/>
                <w:szCs w:val="16"/>
                <w:vertAlign w:val="subscript"/>
              </w:rPr>
              <w:t>2</w:t>
            </w:r>
            <w:r w:rsidRPr="00BE78CA">
              <w:rPr>
                <w:rFonts w:cs="Calibri"/>
                <w:szCs w:val="16"/>
              </w:rPr>
              <w:t>-e)</w:t>
            </w:r>
          </w:p>
        </w:tc>
        <w:tc>
          <w:tcPr>
            <w:tcW w:w="1021" w:type="dxa"/>
            <w:tcBorders>
              <w:left w:val="nil"/>
              <w:bottom w:val="single" w:sz="8" w:space="0" w:color="44546A"/>
              <w:right w:val="nil"/>
            </w:tcBorders>
            <w:shd w:val="clear" w:color="auto" w:fill="auto"/>
            <w:hideMark/>
          </w:tcPr>
          <w:p w14:paraId="13C827E5" w14:textId="77777777" w:rsidR="00410716" w:rsidRPr="00BE78CA" w:rsidRDefault="00410716" w:rsidP="001236FF">
            <w:pPr>
              <w:pStyle w:val="TableText"/>
              <w:spacing w:before="50" w:after="50"/>
              <w:jc w:val="right"/>
            </w:pPr>
            <w:r w:rsidRPr="00BE78CA">
              <w:t xml:space="preserve">–17,929.8 </w:t>
            </w:r>
          </w:p>
        </w:tc>
        <w:tc>
          <w:tcPr>
            <w:tcW w:w="1021" w:type="dxa"/>
            <w:tcBorders>
              <w:left w:val="nil"/>
              <w:bottom w:val="single" w:sz="8" w:space="0" w:color="44546A"/>
              <w:right w:val="nil"/>
            </w:tcBorders>
            <w:shd w:val="clear" w:color="auto" w:fill="auto"/>
            <w:hideMark/>
          </w:tcPr>
          <w:p w14:paraId="00AF495F" w14:textId="77777777" w:rsidR="00410716" w:rsidRPr="00BE78CA" w:rsidRDefault="00410716" w:rsidP="001236FF">
            <w:pPr>
              <w:pStyle w:val="TableText"/>
              <w:spacing w:before="50" w:after="50"/>
              <w:jc w:val="right"/>
            </w:pPr>
            <w:r w:rsidRPr="00BE78CA">
              <w:t xml:space="preserve">–18,154.1 </w:t>
            </w:r>
          </w:p>
        </w:tc>
        <w:tc>
          <w:tcPr>
            <w:tcW w:w="1021" w:type="dxa"/>
            <w:tcBorders>
              <w:left w:val="nil"/>
              <w:bottom w:val="single" w:sz="8" w:space="0" w:color="44546A"/>
              <w:right w:val="nil"/>
            </w:tcBorders>
            <w:shd w:val="clear" w:color="auto" w:fill="auto"/>
            <w:hideMark/>
          </w:tcPr>
          <w:p w14:paraId="5F9E786F" w14:textId="77777777" w:rsidR="00410716" w:rsidRPr="00BE78CA" w:rsidRDefault="00410716" w:rsidP="001236FF">
            <w:pPr>
              <w:pStyle w:val="TableText"/>
              <w:spacing w:before="50" w:after="50"/>
              <w:jc w:val="right"/>
            </w:pPr>
            <w:r w:rsidRPr="00BE78CA">
              <w:t xml:space="preserve">–18,346.9 </w:t>
            </w:r>
          </w:p>
        </w:tc>
        <w:tc>
          <w:tcPr>
            <w:tcW w:w="1021" w:type="dxa"/>
            <w:tcBorders>
              <w:left w:val="nil"/>
              <w:bottom w:val="single" w:sz="8" w:space="0" w:color="44546A"/>
              <w:right w:val="nil"/>
            </w:tcBorders>
            <w:shd w:val="clear" w:color="auto" w:fill="auto"/>
            <w:hideMark/>
          </w:tcPr>
          <w:p w14:paraId="5D7F19A2" w14:textId="77777777" w:rsidR="00410716" w:rsidRPr="00BE78CA" w:rsidRDefault="00410716" w:rsidP="001236FF">
            <w:pPr>
              <w:pStyle w:val="TableText"/>
              <w:spacing w:before="50" w:after="50"/>
              <w:jc w:val="right"/>
            </w:pPr>
            <w:r w:rsidRPr="00BE78CA">
              <w:t xml:space="preserve">–17,976.5 </w:t>
            </w:r>
          </w:p>
        </w:tc>
        <w:tc>
          <w:tcPr>
            <w:tcW w:w="1021" w:type="dxa"/>
            <w:tcBorders>
              <w:left w:val="nil"/>
              <w:bottom w:val="single" w:sz="8" w:space="0" w:color="44546A"/>
              <w:right w:val="nil"/>
            </w:tcBorders>
          </w:tcPr>
          <w:p w14:paraId="700742F3" w14:textId="77777777" w:rsidR="00410716" w:rsidRPr="00BE78CA" w:rsidRDefault="00410716" w:rsidP="001236FF">
            <w:pPr>
              <w:pStyle w:val="TableText"/>
              <w:spacing w:before="50" w:after="50"/>
              <w:jc w:val="right"/>
            </w:pPr>
            <w:r w:rsidRPr="00BE78CA">
              <w:t xml:space="preserve">–18,130.5 </w:t>
            </w:r>
          </w:p>
        </w:tc>
        <w:tc>
          <w:tcPr>
            <w:tcW w:w="1021" w:type="dxa"/>
            <w:tcBorders>
              <w:left w:val="nil"/>
              <w:bottom w:val="single" w:sz="8" w:space="0" w:color="44546A"/>
              <w:right w:val="nil"/>
            </w:tcBorders>
          </w:tcPr>
          <w:p w14:paraId="61A06215" w14:textId="77777777" w:rsidR="00410716" w:rsidRPr="00BE78CA" w:rsidRDefault="00410716" w:rsidP="001236FF">
            <w:pPr>
              <w:pStyle w:val="TableText"/>
              <w:spacing w:before="50" w:after="50"/>
              <w:jc w:val="right"/>
            </w:pPr>
            <w:r w:rsidRPr="00BE78CA">
              <w:t xml:space="preserve">–17,197.6 </w:t>
            </w:r>
          </w:p>
        </w:tc>
        <w:tc>
          <w:tcPr>
            <w:tcW w:w="1021" w:type="dxa"/>
            <w:tcBorders>
              <w:left w:val="nil"/>
              <w:bottom w:val="single" w:sz="8" w:space="0" w:color="44546A"/>
              <w:right w:val="nil"/>
            </w:tcBorders>
          </w:tcPr>
          <w:p w14:paraId="60DF9891" w14:textId="77777777" w:rsidR="00410716" w:rsidRPr="00BE78CA" w:rsidRDefault="00410716" w:rsidP="001236FF">
            <w:pPr>
              <w:pStyle w:val="TableText"/>
              <w:spacing w:before="50" w:after="50"/>
              <w:jc w:val="right"/>
            </w:pPr>
            <w:r w:rsidRPr="00BE78CA">
              <w:t xml:space="preserve">–15,812.1 </w:t>
            </w:r>
          </w:p>
        </w:tc>
      </w:tr>
      <w:tr w:rsidR="00410716" w:rsidRPr="00BE78CA" w14:paraId="32EDA5E8" w14:textId="77777777" w:rsidTr="002B2F31">
        <w:tc>
          <w:tcPr>
            <w:tcW w:w="2041" w:type="dxa"/>
            <w:tcBorders>
              <w:top w:val="nil"/>
              <w:left w:val="nil"/>
              <w:bottom w:val="single" w:sz="4" w:space="0" w:color="auto"/>
              <w:right w:val="nil"/>
            </w:tcBorders>
            <w:shd w:val="clear" w:color="auto" w:fill="auto"/>
            <w:vAlign w:val="center"/>
            <w:hideMark/>
          </w:tcPr>
          <w:p w14:paraId="26ECAD68" w14:textId="77777777" w:rsidR="00410716" w:rsidRPr="00BE78CA" w:rsidRDefault="00410716" w:rsidP="001236FF">
            <w:pPr>
              <w:pStyle w:val="TableTextBold"/>
              <w:spacing w:before="50" w:after="50"/>
              <w:rPr>
                <w:rFonts w:cs="Calibri"/>
                <w:noProof w:val="0"/>
                <w:szCs w:val="16"/>
              </w:rPr>
            </w:pPr>
            <w:r w:rsidRPr="00BE78CA">
              <w:rPr>
                <w:rFonts w:cs="Calibri"/>
                <w:noProof w:val="0"/>
                <w:szCs w:val="16"/>
              </w:rPr>
              <w:t>Deforestation</w:t>
            </w:r>
          </w:p>
        </w:tc>
        <w:tc>
          <w:tcPr>
            <w:tcW w:w="1021" w:type="dxa"/>
            <w:tcBorders>
              <w:top w:val="nil"/>
              <w:left w:val="nil"/>
              <w:bottom w:val="single" w:sz="4" w:space="0" w:color="auto"/>
              <w:right w:val="nil"/>
            </w:tcBorders>
            <w:shd w:val="clear" w:color="auto" w:fill="auto"/>
            <w:hideMark/>
          </w:tcPr>
          <w:p w14:paraId="60C53895" w14:textId="77777777" w:rsidR="00410716" w:rsidRPr="00BE78CA" w:rsidRDefault="00410716" w:rsidP="001236FF">
            <w:pPr>
              <w:pStyle w:val="TableTextBold"/>
              <w:spacing w:before="50" w:after="50"/>
              <w:jc w:val="right"/>
              <w:rPr>
                <w:rFonts w:cs="Calibri"/>
                <w:noProof w:val="0"/>
                <w:szCs w:val="16"/>
              </w:rPr>
            </w:pPr>
          </w:p>
        </w:tc>
        <w:tc>
          <w:tcPr>
            <w:tcW w:w="1021" w:type="dxa"/>
            <w:tcBorders>
              <w:top w:val="nil"/>
              <w:left w:val="nil"/>
              <w:bottom w:val="single" w:sz="4" w:space="0" w:color="auto"/>
              <w:right w:val="nil"/>
            </w:tcBorders>
            <w:shd w:val="clear" w:color="auto" w:fill="auto"/>
            <w:hideMark/>
          </w:tcPr>
          <w:p w14:paraId="0918A91D" w14:textId="77777777" w:rsidR="00410716" w:rsidRPr="00BE78CA" w:rsidRDefault="00410716" w:rsidP="001236FF">
            <w:pPr>
              <w:pStyle w:val="TableTextBold"/>
              <w:spacing w:before="50" w:after="50"/>
              <w:jc w:val="right"/>
              <w:rPr>
                <w:rFonts w:cs="Calibri"/>
                <w:noProof w:val="0"/>
                <w:szCs w:val="16"/>
              </w:rPr>
            </w:pPr>
          </w:p>
        </w:tc>
        <w:tc>
          <w:tcPr>
            <w:tcW w:w="1021" w:type="dxa"/>
            <w:tcBorders>
              <w:top w:val="nil"/>
              <w:left w:val="nil"/>
              <w:bottom w:val="single" w:sz="4" w:space="0" w:color="auto"/>
              <w:right w:val="nil"/>
            </w:tcBorders>
            <w:shd w:val="clear" w:color="auto" w:fill="auto"/>
            <w:hideMark/>
          </w:tcPr>
          <w:p w14:paraId="121C701D" w14:textId="77777777" w:rsidR="00410716" w:rsidRPr="00BE78CA" w:rsidRDefault="00410716" w:rsidP="001236FF">
            <w:pPr>
              <w:pStyle w:val="TableTextBold"/>
              <w:spacing w:before="50" w:after="50"/>
              <w:jc w:val="right"/>
              <w:rPr>
                <w:rFonts w:cs="Calibri"/>
                <w:noProof w:val="0"/>
                <w:szCs w:val="16"/>
              </w:rPr>
            </w:pPr>
          </w:p>
        </w:tc>
        <w:tc>
          <w:tcPr>
            <w:tcW w:w="1021" w:type="dxa"/>
            <w:tcBorders>
              <w:top w:val="nil"/>
              <w:left w:val="nil"/>
              <w:bottom w:val="single" w:sz="4" w:space="0" w:color="auto"/>
              <w:right w:val="nil"/>
            </w:tcBorders>
            <w:shd w:val="clear" w:color="auto" w:fill="auto"/>
            <w:hideMark/>
          </w:tcPr>
          <w:p w14:paraId="6805D350" w14:textId="77777777" w:rsidR="00410716" w:rsidRPr="00BE78CA" w:rsidRDefault="00410716" w:rsidP="001236FF">
            <w:pPr>
              <w:pStyle w:val="TableTextBold"/>
              <w:spacing w:before="50" w:after="50"/>
              <w:jc w:val="right"/>
              <w:rPr>
                <w:rFonts w:cs="Calibri"/>
                <w:noProof w:val="0"/>
                <w:szCs w:val="16"/>
              </w:rPr>
            </w:pPr>
          </w:p>
        </w:tc>
        <w:tc>
          <w:tcPr>
            <w:tcW w:w="1021" w:type="dxa"/>
            <w:tcBorders>
              <w:top w:val="nil"/>
              <w:left w:val="nil"/>
              <w:bottom w:val="single" w:sz="4" w:space="0" w:color="auto"/>
              <w:right w:val="nil"/>
            </w:tcBorders>
          </w:tcPr>
          <w:p w14:paraId="4288888B" w14:textId="77777777" w:rsidR="00410716" w:rsidRPr="00BE78CA" w:rsidRDefault="00410716" w:rsidP="001236FF">
            <w:pPr>
              <w:pStyle w:val="TableTextBold"/>
              <w:spacing w:before="50" w:after="50"/>
              <w:jc w:val="right"/>
              <w:rPr>
                <w:rFonts w:cs="Calibri"/>
                <w:noProof w:val="0"/>
                <w:szCs w:val="16"/>
              </w:rPr>
            </w:pPr>
          </w:p>
        </w:tc>
        <w:tc>
          <w:tcPr>
            <w:tcW w:w="1021" w:type="dxa"/>
            <w:tcBorders>
              <w:top w:val="nil"/>
              <w:left w:val="nil"/>
              <w:bottom w:val="single" w:sz="4" w:space="0" w:color="auto"/>
              <w:right w:val="nil"/>
            </w:tcBorders>
          </w:tcPr>
          <w:p w14:paraId="0AEB063B" w14:textId="77777777" w:rsidR="00410716" w:rsidRPr="00BE78CA" w:rsidRDefault="00410716" w:rsidP="001236FF">
            <w:pPr>
              <w:pStyle w:val="TableTextBold"/>
              <w:spacing w:before="50" w:after="50"/>
              <w:jc w:val="right"/>
              <w:rPr>
                <w:rFonts w:cs="Calibri"/>
                <w:noProof w:val="0"/>
                <w:szCs w:val="16"/>
              </w:rPr>
            </w:pPr>
          </w:p>
        </w:tc>
        <w:tc>
          <w:tcPr>
            <w:tcW w:w="1021" w:type="dxa"/>
            <w:tcBorders>
              <w:top w:val="nil"/>
              <w:left w:val="nil"/>
              <w:bottom w:val="single" w:sz="4" w:space="0" w:color="auto"/>
              <w:right w:val="nil"/>
            </w:tcBorders>
          </w:tcPr>
          <w:p w14:paraId="755AAEB7" w14:textId="77777777" w:rsidR="00410716" w:rsidRPr="00BE78CA" w:rsidRDefault="00410716" w:rsidP="001236FF">
            <w:pPr>
              <w:pStyle w:val="TableTextBold"/>
              <w:spacing w:before="50" w:after="50"/>
              <w:jc w:val="right"/>
              <w:rPr>
                <w:rFonts w:cs="Calibri"/>
                <w:noProof w:val="0"/>
                <w:szCs w:val="16"/>
              </w:rPr>
            </w:pPr>
          </w:p>
        </w:tc>
      </w:tr>
      <w:tr w:rsidR="00410716" w:rsidRPr="00BE78CA" w14:paraId="532BB008" w14:textId="77777777" w:rsidTr="002B2F31">
        <w:tc>
          <w:tcPr>
            <w:tcW w:w="2041" w:type="dxa"/>
            <w:tcBorders>
              <w:top w:val="single" w:sz="4" w:space="0" w:color="auto"/>
              <w:left w:val="nil"/>
              <w:right w:val="nil"/>
            </w:tcBorders>
            <w:shd w:val="clear" w:color="auto" w:fill="auto"/>
            <w:vAlign w:val="center"/>
            <w:hideMark/>
          </w:tcPr>
          <w:p w14:paraId="62027FD5" w14:textId="77777777" w:rsidR="00410716" w:rsidRPr="00BE78CA" w:rsidRDefault="00410716" w:rsidP="001236FF">
            <w:pPr>
              <w:pStyle w:val="TableText"/>
              <w:spacing w:before="50" w:after="50"/>
              <w:rPr>
                <w:rFonts w:cs="Calibri"/>
                <w:szCs w:val="16"/>
              </w:rPr>
            </w:pPr>
            <w:r w:rsidRPr="00BE78CA">
              <w:rPr>
                <w:rFonts w:cs="Calibri"/>
                <w:szCs w:val="16"/>
              </w:rPr>
              <w:t>Net cumulative area since 1990 (ha)</w:t>
            </w:r>
          </w:p>
        </w:tc>
        <w:tc>
          <w:tcPr>
            <w:tcW w:w="1021" w:type="dxa"/>
            <w:tcBorders>
              <w:top w:val="single" w:sz="4" w:space="0" w:color="auto"/>
              <w:left w:val="nil"/>
              <w:right w:val="nil"/>
            </w:tcBorders>
            <w:shd w:val="clear" w:color="auto" w:fill="auto"/>
            <w:hideMark/>
          </w:tcPr>
          <w:p w14:paraId="14EF0452" w14:textId="77777777" w:rsidR="00410716" w:rsidRPr="00BE78CA" w:rsidRDefault="00410716" w:rsidP="001236FF">
            <w:pPr>
              <w:pStyle w:val="TableText"/>
              <w:spacing w:before="50" w:after="50"/>
              <w:jc w:val="right"/>
              <w:rPr>
                <w:rFonts w:cs="Calibri"/>
                <w:szCs w:val="16"/>
              </w:rPr>
            </w:pPr>
            <w:r w:rsidRPr="00BE78CA">
              <w:t>172,304</w:t>
            </w:r>
          </w:p>
        </w:tc>
        <w:tc>
          <w:tcPr>
            <w:tcW w:w="1021" w:type="dxa"/>
            <w:tcBorders>
              <w:top w:val="single" w:sz="4" w:space="0" w:color="auto"/>
              <w:left w:val="nil"/>
              <w:right w:val="nil"/>
            </w:tcBorders>
            <w:shd w:val="clear" w:color="auto" w:fill="auto"/>
            <w:hideMark/>
          </w:tcPr>
          <w:p w14:paraId="30856D85" w14:textId="77777777" w:rsidR="00410716" w:rsidRPr="00BE78CA" w:rsidRDefault="00410716" w:rsidP="001236FF">
            <w:pPr>
              <w:pStyle w:val="TableText"/>
              <w:spacing w:before="50" w:after="50"/>
              <w:jc w:val="right"/>
              <w:rPr>
                <w:rFonts w:cs="Calibri"/>
                <w:szCs w:val="16"/>
              </w:rPr>
            </w:pPr>
            <w:r w:rsidRPr="00BE78CA">
              <w:t>180,996</w:t>
            </w:r>
          </w:p>
        </w:tc>
        <w:tc>
          <w:tcPr>
            <w:tcW w:w="1021" w:type="dxa"/>
            <w:tcBorders>
              <w:top w:val="single" w:sz="4" w:space="0" w:color="auto"/>
              <w:left w:val="nil"/>
              <w:right w:val="nil"/>
            </w:tcBorders>
            <w:shd w:val="clear" w:color="auto" w:fill="auto"/>
            <w:hideMark/>
          </w:tcPr>
          <w:p w14:paraId="09C755D8" w14:textId="77777777" w:rsidR="00410716" w:rsidRPr="00BE78CA" w:rsidRDefault="00410716" w:rsidP="001236FF">
            <w:pPr>
              <w:pStyle w:val="TableText"/>
              <w:spacing w:before="50" w:after="50"/>
              <w:jc w:val="right"/>
              <w:rPr>
                <w:rFonts w:cs="Calibri"/>
                <w:szCs w:val="16"/>
              </w:rPr>
            </w:pPr>
            <w:r w:rsidRPr="00BE78CA">
              <w:t>186,990</w:t>
            </w:r>
          </w:p>
        </w:tc>
        <w:tc>
          <w:tcPr>
            <w:tcW w:w="1021" w:type="dxa"/>
            <w:tcBorders>
              <w:top w:val="single" w:sz="4" w:space="0" w:color="auto"/>
              <w:left w:val="nil"/>
              <w:right w:val="nil"/>
            </w:tcBorders>
            <w:shd w:val="clear" w:color="auto" w:fill="auto"/>
            <w:hideMark/>
          </w:tcPr>
          <w:p w14:paraId="3F3500BB" w14:textId="77777777" w:rsidR="00410716" w:rsidRPr="00BE78CA" w:rsidRDefault="00410716" w:rsidP="001236FF">
            <w:pPr>
              <w:pStyle w:val="TableText"/>
              <w:spacing w:before="50" w:after="50"/>
              <w:jc w:val="right"/>
              <w:rPr>
                <w:rFonts w:cs="Calibri"/>
                <w:szCs w:val="16"/>
              </w:rPr>
            </w:pPr>
            <w:r w:rsidRPr="00BE78CA">
              <w:t>190,524</w:t>
            </w:r>
          </w:p>
        </w:tc>
        <w:tc>
          <w:tcPr>
            <w:tcW w:w="1021" w:type="dxa"/>
            <w:tcBorders>
              <w:top w:val="single" w:sz="4" w:space="0" w:color="auto"/>
              <w:left w:val="nil"/>
              <w:right w:val="nil"/>
            </w:tcBorders>
          </w:tcPr>
          <w:p w14:paraId="6F69E7CA" w14:textId="77777777" w:rsidR="00410716" w:rsidRPr="00BE78CA" w:rsidRDefault="00410716" w:rsidP="001236FF">
            <w:pPr>
              <w:pStyle w:val="TableText"/>
              <w:spacing w:before="50" w:after="50"/>
              <w:jc w:val="right"/>
              <w:rPr>
                <w:rFonts w:cs="Calibri"/>
                <w:szCs w:val="16"/>
              </w:rPr>
            </w:pPr>
            <w:r w:rsidRPr="00BE78CA">
              <w:t>194,045</w:t>
            </w:r>
          </w:p>
        </w:tc>
        <w:tc>
          <w:tcPr>
            <w:tcW w:w="1021" w:type="dxa"/>
            <w:tcBorders>
              <w:top w:val="single" w:sz="4" w:space="0" w:color="auto"/>
              <w:left w:val="nil"/>
              <w:right w:val="nil"/>
            </w:tcBorders>
          </w:tcPr>
          <w:p w14:paraId="4CEE12C3" w14:textId="77777777" w:rsidR="00410716" w:rsidRPr="00BE78CA" w:rsidRDefault="00410716" w:rsidP="001236FF">
            <w:pPr>
              <w:pStyle w:val="TableText"/>
              <w:spacing w:before="50" w:after="50"/>
              <w:jc w:val="right"/>
              <w:rPr>
                <w:rFonts w:cs="Calibri"/>
                <w:szCs w:val="16"/>
              </w:rPr>
            </w:pPr>
            <w:r w:rsidRPr="00BE78CA">
              <w:t>197,896</w:t>
            </w:r>
          </w:p>
        </w:tc>
        <w:tc>
          <w:tcPr>
            <w:tcW w:w="1021" w:type="dxa"/>
            <w:tcBorders>
              <w:top w:val="single" w:sz="4" w:space="0" w:color="auto"/>
              <w:left w:val="nil"/>
              <w:right w:val="nil"/>
            </w:tcBorders>
          </w:tcPr>
          <w:p w14:paraId="6452AFB5" w14:textId="77777777" w:rsidR="00410716" w:rsidRPr="00BE78CA" w:rsidRDefault="00410716" w:rsidP="001236FF">
            <w:pPr>
              <w:pStyle w:val="TableText"/>
              <w:spacing w:before="50" w:after="50"/>
              <w:jc w:val="right"/>
              <w:rPr>
                <w:rFonts w:cs="Calibri"/>
                <w:color w:val="000000"/>
                <w:szCs w:val="16"/>
              </w:rPr>
            </w:pPr>
            <w:r w:rsidRPr="00BE78CA">
              <w:t>202,641</w:t>
            </w:r>
          </w:p>
        </w:tc>
      </w:tr>
      <w:tr w:rsidR="00410716" w:rsidRPr="00BE78CA" w14:paraId="3B8107C4" w14:textId="77777777" w:rsidTr="002B2F31">
        <w:tc>
          <w:tcPr>
            <w:tcW w:w="2041" w:type="dxa"/>
            <w:tcBorders>
              <w:left w:val="nil"/>
              <w:right w:val="nil"/>
            </w:tcBorders>
            <w:shd w:val="clear" w:color="auto" w:fill="auto"/>
            <w:vAlign w:val="center"/>
            <w:hideMark/>
          </w:tcPr>
          <w:p w14:paraId="4E0D17B8" w14:textId="77777777" w:rsidR="00410716" w:rsidRPr="00BE78CA" w:rsidRDefault="00410716" w:rsidP="001236FF">
            <w:pPr>
              <w:pStyle w:val="TableText"/>
              <w:spacing w:before="50" w:after="50"/>
              <w:rPr>
                <w:rFonts w:cs="Calibri"/>
                <w:szCs w:val="16"/>
              </w:rPr>
            </w:pPr>
            <w:r w:rsidRPr="00BE78CA">
              <w:rPr>
                <w:rFonts w:cs="Calibri"/>
                <w:szCs w:val="16"/>
              </w:rPr>
              <w:t>Area in calendar year (ha)</w:t>
            </w:r>
          </w:p>
        </w:tc>
        <w:tc>
          <w:tcPr>
            <w:tcW w:w="1021" w:type="dxa"/>
            <w:tcBorders>
              <w:left w:val="nil"/>
              <w:right w:val="nil"/>
            </w:tcBorders>
            <w:shd w:val="clear" w:color="auto" w:fill="auto"/>
            <w:hideMark/>
          </w:tcPr>
          <w:p w14:paraId="6753CE80" w14:textId="77777777" w:rsidR="00410716" w:rsidRPr="00BE78CA" w:rsidRDefault="00410716" w:rsidP="001236FF">
            <w:pPr>
              <w:pStyle w:val="TableText"/>
              <w:spacing w:before="50" w:after="50"/>
              <w:jc w:val="right"/>
              <w:rPr>
                <w:rFonts w:cs="Calibri"/>
                <w:szCs w:val="16"/>
              </w:rPr>
            </w:pPr>
            <w:r w:rsidRPr="00BE78CA">
              <w:t xml:space="preserve"> 13,866 </w:t>
            </w:r>
          </w:p>
        </w:tc>
        <w:tc>
          <w:tcPr>
            <w:tcW w:w="1021" w:type="dxa"/>
            <w:tcBorders>
              <w:left w:val="nil"/>
              <w:right w:val="nil"/>
            </w:tcBorders>
            <w:shd w:val="clear" w:color="auto" w:fill="auto"/>
            <w:hideMark/>
          </w:tcPr>
          <w:p w14:paraId="1525EA7B" w14:textId="77777777" w:rsidR="00410716" w:rsidRPr="00BE78CA" w:rsidRDefault="00410716" w:rsidP="001236FF">
            <w:pPr>
              <w:pStyle w:val="TableText"/>
              <w:spacing w:before="50" w:after="50"/>
              <w:jc w:val="right"/>
              <w:rPr>
                <w:rFonts w:cs="Calibri"/>
                <w:szCs w:val="16"/>
              </w:rPr>
            </w:pPr>
            <w:r w:rsidRPr="00BE78CA">
              <w:t xml:space="preserve"> 8,692 </w:t>
            </w:r>
          </w:p>
        </w:tc>
        <w:tc>
          <w:tcPr>
            <w:tcW w:w="1021" w:type="dxa"/>
            <w:tcBorders>
              <w:left w:val="nil"/>
              <w:right w:val="nil"/>
            </w:tcBorders>
            <w:shd w:val="clear" w:color="auto" w:fill="auto"/>
            <w:hideMark/>
          </w:tcPr>
          <w:p w14:paraId="6AA12C53" w14:textId="77777777" w:rsidR="00410716" w:rsidRPr="00BE78CA" w:rsidRDefault="00410716" w:rsidP="001236FF">
            <w:pPr>
              <w:pStyle w:val="TableText"/>
              <w:spacing w:before="50" w:after="50"/>
              <w:jc w:val="right"/>
              <w:rPr>
                <w:rFonts w:cs="Calibri"/>
                <w:szCs w:val="16"/>
                <w:vertAlign w:val="superscript"/>
              </w:rPr>
            </w:pPr>
            <w:r w:rsidRPr="00BE78CA">
              <w:t xml:space="preserve"> 5,993 </w:t>
            </w:r>
          </w:p>
        </w:tc>
        <w:tc>
          <w:tcPr>
            <w:tcW w:w="1021" w:type="dxa"/>
            <w:tcBorders>
              <w:left w:val="nil"/>
              <w:right w:val="nil"/>
            </w:tcBorders>
            <w:shd w:val="clear" w:color="auto" w:fill="auto"/>
            <w:hideMark/>
          </w:tcPr>
          <w:p w14:paraId="442E5C78" w14:textId="77777777" w:rsidR="00410716" w:rsidRPr="00BE78CA" w:rsidRDefault="00410716" w:rsidP="001236FF">
            <w:pPr>
              <w:pStyle w:val="TableText"/>
              <w:spacing w:before="50" w:after="50"/>
              <w:jc w:val="right"/>
              <w:rPr>
                <w:rFonts w:cs="Calibri"/>
                <w:szCs w:val="16"/>
              </w:rPr>
            </w:pPr>
            <w:r w:rsidRPr="00BE78CA">
              <w:t xml:space="preserve"> 3,535 </w:t>
            </w:r>
          </w:p>
        </w:tc>
        <w:tc>
          <w:tcPr>
            <w:tcW w:w="1021" w:type="dxa"/>
            <w:tcBorders>
              <w:left w:val="nil"/>
              <w:right w:val="nil"/>
            </w:tcBorders>
          </w:tcPr>
          <w:p w14:paraId="419E4C26" w14:textId="77777777" w:rsidR="00410716" w:rsidRPr="00BE78CA" w:rsidRDefault="00410716" w:rsidP="001236FF">
            <w:pPr>
              <w:pStyle w:val="TableText"/>
              <w:spacing w:before="50" w:after="50"/>
              <w:jc w:val="right"/>
              <w:rPr>
                <w:rFonts w:cs="Calibri"/>
                <w:szCs w:val="16"/>
              </w:rPr>
            </w:pPr>
            <w:r w:rsidRPr="00BE78CA">
              <w:t xml:space="preserve"> 3,520 </w:t>
            </w:r>
          </w:p>
        </w:tc>
        <w:tc>
          <w:tcPr>
            <w:tcW w:w="1021" w:type="dxa"/>
            <w:tcBorders>
              <w:left w:val="nil"/>
              <w:right w:val="nil"/>
            </w:tcBorders>
          </w:tcPr>
          <w:p w14:paraId="70DC1E80" w14:textId="77777777" w:rsidR="00410716" w:rsidRPr="00BE78CA" w:rsidRDefault="00410716" w:rsidP="001236FF">
            <w:pPr>
              <w:pStyle w:val="TableText"/>
              <w:spacing w:before="50" w:after="50"/>
              <w:jc w:val="right"/>
              <w:rPr>
                <w:rFonts w:cs="Calibri"/>
                <w:color w:val="000000"/>
                <w:szCs w:val="16"/>
              </w:rPr>
            </w:pPr>
            <w:r w:rsidRPr="00BE78CA">
              <w:t xml:space="preserve"> 3,851 </w:t>
            </w:r>
          </w:p>
        </w:tc>
        <w:tc>
          <w:tcPr>
            <w:tcW w:w="1021" w:type="dxa"/>
            <w:tcBorders>
              <w:left w:val="nil"/>
              <w:right w:val="nil"/>
            </w:tcBorders>
          </w:tcPr>
          <w:p w14:paraId="478B0664" w14:textId="77777777" w:rsidR="00410716" w:rsidRPr="00BE78CA" w:rsidRDefault="00410716" w:rsidP="001236FF">
            <w:pPr>
              <w:pStyle w:val="TableText"/>
              <w:spacing w:before="50" w:after="50"/>
              <w:jc w:val="right"/>
              <w:rPr>
                <w:rFonts w:cs="Calibri"/>
                <w:color w:val="000000"/>
                <w:szCs w:val="16"/>
              </w:rPr>
            </w:pPr>
            <w:r w:rsidRPr="00BE78CA">
              <w:t xml:space="preserve"> 4,745 </w:t>
            </w:r>
          </w:p>
        </w:tc>
      </w:tr>
      <w:tr w:rsidR="00410716" w:rsidRPr="00BE78CA" w14:paraId="777EDCE5" w14:textId="77777777" w:rsidTr="002B2F31">
        <w:tc>
          <w:tcPr>
            <w:tcW w:w="2041" w:type="dxa"/>
            <w:tcBorders>
              <w:left w:val="nil"/>
              <w:bottom w:val="single" w:sz="8" w:space="0" w:color="44546A"/>
              <w:right w:val="nil"/>
            </w:tcBorders>
            <w:shd w:val="clear" w:color="auto" w:fill="auto"/>
            <w:vAlign w:val="center"/>
            <w:hideMark/>
          </w:tcPr>
          <w:p w14:paraId="6013B115" w14:textId="77777777" w:rsidR="00410716" w:rsidRPr="00BE78CA" w:rsidRDefault="00410716" w:rsidP="001236FF">
            <w:pPr>
              <w:pStyle w:val="TableText"/>
              <w:spacing w:before="50" w:after="50"/>
              <w:rPr>
                <w:rFonts w:cs="Calibri"/>
                <w:szCs w:val="16"/>
              </w:rPr>
            </w:pPr>
            <w:r w:rsidRPr="00BE78CA">
              <w:rPr>
                <w:rFonts w:cs="Calibri"/>
                <w:szCs w:val="16"/>
              </w:rPr>
              <w:t>Net emissions in calendar year (kt CO</w:t>
            </w:r>
            <w:r w:rsidRPr="00BE78CA">
              <w:rPr>
                <w:rFonts w:cs="Calibri"/>
                <w:szCs w:val="16"/>
                <w:vertAlign w:val="subscript"/>
              </w:rPr>
              <w:t>2</w:t>
            </w:r>
            <w:r w:rsidRPr="00BE78CA">
              <w:rPr>
                <w:rFonts w:cs="Calibri"/>
                <w:szCs w:val="16"/>
              </w:rPr>
              <w:t>-e)</w:t>
            </w:r>
          </w:p>
        </w:tc>
        <w:tc>
          <w:tcPr>
            <w:tcW w:w="1021" w:type="dxa"/>
            <w:tcBorders>
              <w:left w:val="nil"/>
              <w:bottom w:val="single" w:sz="8" w:space="0" w:color="44546A"/>
              <w:right w:val="nil"/>
            </w:tcBorders>
            <w:shd w:val="clear" w:color="auto" w:fill="auto"/>
            <w:hideMark/>
          </w:tcPr>
          <w:p w14:paraId="6E7D6C63" w14:textId="77777777" w:rsidR="00410716" w:rsidRPr="00BE78CA" w:rsidRDefault="00410716" w:rsidP="001236FF">
            <w:pPr>
              <w:pStyle w:val="TableText"/>
              <w:spacing w:before="50" w:after="50"/>
              <w:jc w:val="right"/>
              <w:rPr>
                <w:rFonts w:cs="Calibri"/>
                <w:szCs w:val="16"/>
              </w:rPr>
            </w:pPr>
            <w:r w:rsidRPr="00BE78CA">
              <w:t>8,485.0</w:t>
            </w:r>
          </w:p>
        </w:tc>
        <w:tc>
          <w:tcPr>
            <w:tcW w:w="1021" w:type="dxa"/>
            <w:tcBorders>
              <w:left w:val="nil"/>
              <w:bottom w:val="single" w:sz="8" w:space="0" w:color="44546A"/>
              <w:right w:val="nil"/>
            </w:tcBorders>
            <w:shd w:val="clear" w:color="auto" w:fill="auto"/>
            <w:hideMark/>
          </w:tcPr>
          <w:p w14:paraId="5CB3F22C" w14:textId="77777777" w:rsidR="00410716" w:rsidRPr="00BE78CA" w:rsidRDefault="00410716" w:rsidP="001236FF">
            <w:pPr>
              <w:pStyle w:val="TableText"/>
              <w:spacing w:before="50" w:after="50"/>
              <w:jc w:val="right"/>
              <w:rPr>
                <w:rFonts w:cs="Calibri"/>
                <w:szCs w:val="16"/>
              </w:rPr>
            </w:pPr>
            <w:r w:rsidRPr="00BE78CA">
              <w:t>5,382.1</w:t>
            </w:r>
          </w:p>
        </w:tc>
        <w:tc>
          <w:tcPr>
            <w:tcW w:w="1021" w:type="dxa"/>
            <w:tcBorders>
              <w:left w:val="nil"/>
              <w:bottom w:val="single" w:sz="8" w:space="0" w:color="44546A"/>
              <w:right w:val="nil"/>
            </w:tcBorders>
            <w:shd w:val="clear" w:color="auto" w:fill="auto"/>
            <w:hideMark/>
          </w:tcPr>
          <w:p w14:paraId="7E5E6483" w14:textId="77777777" w:rsidR="00410716" w:rsidRPr="00BE78CA" w:rsidRDefault="00410716" w:rsidP="001236FF">
            <w:pPr>
              <w:pStyle w:val="TableText"/>
              <w:spacing w:before="50" w:after="50"/>
              <w:jc w:val="right"/>
              <w:rPr>
                <w:rFonts w:cs="Calibri"/>
                <w:szCs w:val="16"/>
              </w:rPr>
            </w:pPr>
            <w:r w:rsidRPr="00BE78CA">
              <w:t>3,470.7</w:t>
            </w:r>
          </w:p>
        </w:tc>
        <w:tc>
          <w:tcPr>
            <w:tcW w:w="1021" w:type="dxa"/>
            <w:tcBorders>
              <w:left w:val="nil"/>
              <w:bottom w:val="single" w:sz="8" w:space="0" w:color="44546A"/>
              <w:right w:val="nil"/>
            </w:tcBorders>
            <w:shd w:val="clear" w:color="auto" w:fill="auto"/>
            <w:hideMark/>
          </w:tcPr>
          <w:p w14:paraId="0642F054" w14:textId="77777777" w:rsidR="00410716" w:rsidRPr="00BE78CA" w:rsidRDefault="00410716" w:rsidP="001236FF">
            <w:pPr>
              <w:pStyle w:val="TableText"/>
              <w:spacing w:before="50" w:after="50"/>
              <w:jc w:val="right"/>
              <w:rPr>
                <w:rFonts w:cs="Calibri"/>
                <w:szCs w:val="16"/>
              </w:rPr>
            </w:pPr>
            <w:r w:rsidRPr="00BE78CA">
              <w:t>1,818.8</w:t>
            </w:r>
          </w:p>
        </w:tc>
        <w:tc>
          <w:tcPr>
            <w:tcW w:w="1021" w:type="dxa"/>
            <w:tcBorders>
              <w:left w:val="nil"/>
              <w:bottom w:val="single" w:sz="8" w:space="0" w:color="44546A"/>
              <w:right w:val="nil"/>
            </w:tcBorders>
          </w:tcPr>
          <w:p w14:paraId="510A6802" w14:textId="77777777" w:rsidR="00410716" w:rsidRPr="00BE78CA" w:rsidRDefault="00410716" w:rsidP="001236FF">
            <w:pPr>
              <w:pStyle w:val="TableText"/>
              <w:spacing w:before="50" w:after="50"/>
              <w:jc w:val="right"/>
              <w:rPr>
                <w:rFonts w:cs="Calibri"/>
                <w:szCs w:val="16"/>
              </w:rPr>
            </w:pPr>
            <w:r w:rsidRPr="00BE78CA">
              <w:t>1,869.8</w:t>
            </w:r>
          </w:p>
        </w:tc>
        <w:tc>
          <w:tcPr>
            <w:tcW w:w="1021" w:type="dxa"/>
            <w:tcBorders>
              <w:left w:val="nil"/>
              <w:bottom w:val="single" w:sz="8" w:space="0" w:color="44546A"/>
              <w:right w:val="nil"/>
            </w:tcBorders>
          </w:tcPr>
          <w:p w14:paraId="1744F5FC" w14:textId="77777777" w:rsidR="00410716" w:rsidRPr="00BE78CA" w:rsidRDefault="00410716" w:rsidP="001236FF">
            <w:pPr>
              <w:pStyle w:val="TableText"/>
              <w:spacing w:before="50" w:after="50"/>
              <w:jc w:val="right"/>
              <w:rPr>
                <w:rFonts w:cs="Calibri"/>
                <w:szCs w:val="16"/>
              </w:rPr>
            </w:pPr>
            <w:r w:rsidRPr="00BE78CA">
              <w:t>2,269.9</w:t>
            </w:r>
          </w:p>
        </w:tc>
        <w:tc>
          <w:tcPr>
            <w:tcW w:w="1021" w:type="dxa"/>
            <w:tcBorders>
              <w:left w:val="nil"/>
              <w:bottom w:val="single" w:sz="8" w:space="0" w:color="44546A"/>
              <w:right w:val="nil"/>
            </w:tcBorders>
          </w:tcPr>
          <w:p w14:paraId="4B9D958B" w14:textId="77777777" w:rsidR="00410716" w:rsidRPr="00BE78CA" w:rsidRDefault="00410716" w:rsidP="001236FF">
            <w:pPr>
              <w:pStyle w:val="TableText"/>
              <w:spacing w:before="50" w:after="50"/>
              <w:jc w:val="right"/>
              <w:rPr>
                <w:rFonts w:cs="Calibri"/>
                <w:color w:val="000000"/>
                <w:szCs w:val="16"/>
              </w:rPr>
            </w:pPr>
            <w:r w:rsidRPr="00BE78CA">
              <w:t>2,906.6</w:t>
            </w:r>
          </w:p>
        </w:tc>
      </w:tr>
      <w:tr w:rsidR="00410716" w:rsidRPr="00BE78CA" w14:paraId="10BB0838" w14:textId="77777777" w:rsidTr="002B2F31">
        <w:tc>
          <w:tcPr>
            <w:tcW w:w="2041" w:type="dxa"/>
            <w:tcBorders>
              <w:top w:val="nil"/>
              <w:left w:val="nil"/>
              <w:bottom w:val="single" w:sz="4" w:space="0" w:color="auto"/>
              <w:right w:val="nil"/>
            </w:tcBorders>
            <w:shd w:val="clear" w:color="auto" w:fill="auto"/>
            <w:vAlign w:val="center"/>
            <w:hideMark/>
          </w:tcPr>
          <w:p w14:paraId="58ED3081" w14:textId="77777777" w:rsidR="00410716" w:rsidRPr="00BE78CA" w:rsidRDefault="00410716" w:rsidP="001236FF">
            <w:pPr>
              <w:pStyle w:val="TableTextBold"/>
              <w:spacing w:before="50" w:after="50"/>
              <w:rPr>
                <w:rFonts w:cs="Calibri"/>
                <w:noProof w:val="0"/>
                <w:szCs w:val="16"/>
              </w:rPr>
            </w:pPr>
            <w:r w:rsidRPr="00BE78CA">
              <w:rPr>
                <w:rFonts w:cs="Calibri"/>
                <w:noProof w:val="0"/>
                <w:szCs w:val="16"/>
              </w:rPr>
              <w:t>Forest management</w:t>
            </w:r>
          </w:p>
        </w:tc>
        <w:tc>
          <w:tcPr>
            <w:tcW w:w="1021" w:type="dxa"/>
            <w:tcBorders>
              <w:top w:val="nil"/>
              <w:left w:val="nil"/>
              <w:bottom w:val="single" w:sz="4" w:space="0" w:color="auto"/>
              <w:right w:val="nil"/>
            </w:tcBorders>
            <w:shd w:val="clear" w:color="auto" w:fill="auto"/>
            <w:hideMark/>
          </w:tcPr>
          <w:p w14:paraId="1E6AB3AF" w14:textId="77777777" w:rsidR="00410716" w:rsidRPr="00BE78CA" w:rsidRDefault="00410716" w:rsidP="001236FF">
            <w:pPr>
              <w:pStyle w:val="TableTextBold"/>
              <w:spacing w:before="50" w:after="50"/>
              <w:jc w:val="right"/>
              <w:rPr>
                <w:rFonts w:cs="Calibri"/>
                <w:noProof w:val="0"/>
                <w:szCs w:val="16"/>
              </w:rPr>
            </w:pPr>
          </w:p>
        </w:tc>
        <w:tc>
          <w:tcPr>
            <w:tcW w:w="1021" w:type="dxa"/>
            <w:tcBorders>
              <w:top w:val="nil"/>
              <w:left w:val="nil"/>
              <w:bottom w:val="single" w:sz="4" w:space="0" w:color="auto"/>
              <w:right w:val="nil"/>
            </w:tcBorders>
            <w:shd w:val="clear" w:color="auto" w:fill="auto"/>
            <w:hideMark/>
          </w:tcPr>
          <w:p w14:paraId="7E7C0CD9" w14:textId="77777777" w:rsidR="00410716" w:rsidRPr="00BE78CA" w:rsidRDefault="00410716" w:rsidP="001236FF">
            <w:pPr>
              <w:pStyle w:val="TableTextBold"/>
              <w:spacing w:before="50" w:after="50"/>
              <w:jc w:val="right"/>
              <w:rPr>
                <w:rFonts w:cs="Calibri"/>
                <w:noProof w:val="0"/>
                <w:szCs w:val="16"/>
              </w:rPr>
            </w:pPr>
          </w:p>
        </w:tc>
        <w:tc>
          <w:tcPr>
            <w:tcW w:w="1021" w:type="dxa"/>
            <w:tcBorders>
              <w:top w:val="nil"/>
              <w:left w:val="nil"/>
              <w:bottom w:val="single" w:sz="4" w:space="0" w:color="auto"/>
              <w:right w:val="nil"/>
            </w:tcBorders>
            <w:shd w:val="clear" w:color="auto" w:fill="auto"/>
            <w:hideMark/>
          </w:tcPr>
          <w:p w14:paraId="7805DD96" w14:textId="77777777" w:rsidR="00410716" w:rsidRPr="00BE78CA" w:rsidRDefault="00410716" w:rsidP="001236FF">
            <w:pPr>
              <w:pStyle w:val="TableTextBold"/>
              <w:spacing w:before="50" w:after="50"/>
              <w:jc w:val="right"/>
              <w:rPr>
                <w:rFonts w:cs="Calibri"/>
                <w:noProof w:val="0"/>
                <w:szCs w:val="16"/>
              </w:rPr>
            </w:pPr>
          </w:p>
        </w:tc>
        <w:tc>
          <w:tcPr>
            <w:tcW w:w="1021" w:type="dxa"/>
            <w:tcBorders>
              <w:top w:val="nil"/>
              <w:left w:val="nil"/>
              <w:bottom w:val="single" w:sz="4" w:space="0" w:color="auto"/>
              <w:right w:val="nil"/>
            </w:tcBorders>
            <w:shd w:val="clear" w:color="auto" w:fill="auto"/>
            <w:hideMark/>
          </w:tcPr>
          <w:p w14:paraId="1412ADF8" w14:textId="77777777" w:rsidR="00410716" w:rsidRPr="00BE78CA" w:rsidRDefault="00410716" w:rsidP="001236FF">
            <w:pPr>
              <w:pStyle w:val="TableTextBold"/>
              <w:spacing w:before="50" w:after="50"/>
              <w:jc w:val="right"/>
              <w:rPr>
                <w:rFonts w:cs="Calibri"/>
                <w:noProof w:val="0"/>
                <w:szCs w:val="16"/>
              </w:rPr>
            </w:pPr>
          </w:p>
        </w:tc>
        <w:tc>
          <w:tcPr>
            <w:tcW w:w="1021" w:type="dxa"/>
            <w:tcBorders>
              <w:top w:val="nil"/>
              <w:left w:val="nil"/>
              <w:bottom w:val="single" w:sz="4" w:space="0" w:color="auto"/>
              <w:right w:val="nil"/>
            </w:tcBorders>
          </w:tcPr>
          <w:p w14:paraId="2BA8BAEB" w14:textId="77777777" w:rsidR="00410716" w:rsidRPr="00BE78CA" w:rsidRDefault="00410716" w:rsidP="001236FF">
            <w:pPr>
              <w:pStyle w:val="TableTextBold"/>
              <w:spacing w:before="50" w:after="50"/>
              <w:jc w:val="right"/>
              <w:rPr>
                <w:rFonts w:cs="Calibri"/>
                <w:noProof w:val="0"/>
                <w:szCs w:val="16"/>
              </w:rPr>
            </w:pPr>
          </w:p>
        </w:tc>
        <w:tc>
          <w:tcPr>
            <w:tcW w:w="1021" w:type="dxa"/>
            <w:tcBorders>
              <w:top w:val="nil"/>
              <w:left w:val="nil"/>
              <w:bottom w:val="single" w:sz="4" w:space="0" w:color="auto"/>
              <w:right w:val="nil"/>
            </w:tcBorders>
          </w:tcPr>
          <w:p w14:paraId="03178937" w14:textId="77777777" w:rsidR="00410716" w:rsidRPr="00BE78CA" w:rsidRDefault="00410716" w:rsidP="001236FF">
            <w:pPr>
              <w:pStyle w:val="TableTextBold"/>
              <w:spacing w:before="50" w:after="50"/>
              <w:jc w:val="right"/>
              <w:rPr>
                <w:rFonts w:cs="Calibri"/>
                <w:noProof w:val="0"/>
                <w:szCs w:val="16"/>
              </w:rPr>
            </w:pPr>
          </w:p>
        </w:tc>
        <w:tc>
          <w:tcPr>
            <w:tcW w:w="1021" w:type="dxa"/>
            <w:tcBorders>
              <w:top w:val="nil"/>
              <w:left w:val="nil"/>
              <w:bottom w:val="single" w:sz="4" w:space="0" w:color="auto"/>
              <w:right w:val="nil"/>
            </w:tcBorders>
          </w:tcPr>
          <w:p w14:paraId="38F7AD2A" w14:textId="77777777" w:rsidR="00410716" w:rsidRPr="00BE78CA" w:rsidRDefault="00410716" w:rsidP="001236FF">
            <w:pPr>
              <w:pStyle w:val="TableTextBold"/>
              <w:spacing w:before="50" w:after="50"/>
              <w:jc w:val="right"/>
              <w:rPr>
                <w:rFonts w:cs="Calibri"/>
                <w:noProof w:val="0"/>
                <w:szCs w:val="16"/>
              </w:rPr>
            </w:pPr>
          </w:p>
        </w:tc>
      </w:tr>
      <w:tr w:rsidR="00410716" w:rsidRPr="00BE78CA" w14:paraId="0A836728" w14:textId="77777777" w:rsidTr="002B2F31">
        <w:tc>
          <w:tcPr>
            <w:tcW w:w="2041" w:type="dxa"/>
            <w:tcBorders>
              <w:top w:val="single" w:sz="4" w:space="0" w:color="auto"/>
              <w:left w:val="nil"/>
              <w:right w:val="nil"/>
            </w:tcBorders>
            <w:shd w:val="clear" w:color="auto" w:fill="auto"/>
            <w:vAlign w:val="center"/>
            <w:hideMark/>
          </w:tcPr>
          <w:p w14:paraId="7236FC4C" w14:textId="77777777" w:rsidR="00410716" w:rsidRPr="00BE78CA" w:rsidRDefault="00410716" w:rsidP="001236FF">
            <w:pPr>
              <w:pStyle w:val="TableText"/>
              <w:spacing w:before="50" w:after="50"/>
              <w:rPr>
                <w:rFonts w:cs="Calibri"/>
                <w:szCs w:val="16"/>
              </w:rPr>
            </w:pPr>
            <w:r w:rsidRPr="00BE78CA">
              <w:rPr>
                <w:rFonts w:cs="Calibri"/>
                <w:szCs w:val="16"/>
              </w:rPr>
              <w:t>Area included (ha)</w:t>
            </w:r>
          </w:p>
        </w:tc>
        <w:tc>
          <w:tcPr>
            <w:tcW w:w="1021" w:type="dxa"/>
            <w:tcBorders>
              <w:top w:val="single" w:sz="4" w:space="0" w:color="auto"/>
              <w:left w:val="nil"/>
              <w:right w:val="nil"/>
            </w:tcBorders>
            <w:shd w:val="clear" w:color="auto" w:fill="auto"/>
            <w:hideMark/>
          </w:tcPr>
          <w:p w14:paraId="4279D30A" w14:textId="77777777" w:rsidR="00410716" w:rsidRPr="00BE78CA" w:rsidRDefault="00410716" w:rsidP="001236FF">
            <w:pPr>
              <w:pStyle w:val="TableText"/>
              <w:spacing w:before="50" w:after="50"/>
              <w:jc w:val="right"/>
              <w:rPr>
                <w:rFonts w:cs="Calibri"/>
                <w:szCs w:val="16"/>
              </w:rPr>
            </w:pPr>
            <w:r w:rsidRPr="00BE78CA">
              <w:t>9,220,081</w:t>
            </w:r>
          </w:p>
        </w:tc>
        <w:tc>
          <w:tcPr>
            <w:tcW w:w="1021" w:type="dxa"/>
            <w:tcBorders>
              <w:top w:val="single" w:sz="4" w:space="0" w:color="auto"/>
              <w:left w:val="nil"/>
              <w:right w:val="nil"/>
            </w:tcBorders>
            <w:shd w:val="clear" w:color="auto" w:fill="auto"/>
            <w:hideMark/>
          </w:tcPr>
          <w:p w14:paraId="56A201F8" w14:textId="77777777" w:rsidR="00410716" w:rsidRPr="00BE78CA" w:rsidRDefault="00410716" w:rsidP="001236FF">
            <w:pPr>
              <w:pStyle w:val="TableText"/>
              <w:spacing w:before="50" w:after="50"/>
              <w:jc w:val="right"/>
              <w:rPr>
                <w:rFonts w:cs="Calibri"/>
                <w:szCs w:val="16"/>
              </w:rPr>
            </w:pPr>
            <w:r w:rsidRPr="00BE78CA">
              <w:t>9,213,046</w:t>
            </w:r>
          </w:p>
        </w:tc>
        <w:tc>
          <w:tcPr>
            <w:tcW w:w="1021" w:type="dxa"/>
            <w:tcBorders>
              <w:top w:val="single" w:sz="4" w:space="0" w:color="auto"/>
              <w:left w:val="nil"/>
              <w:right w:val="nil"/>
            </w:tcBorders>
            <w:shd w:val="clear" w:color="auto" w:fill="auto"/>
            <w:hideMark/>
          </w:tcPr>
          <w:p w14:paraId="2032710B" w14:textId="77777777" w:rsidR="00410716" w:rsidRPr="00BE78CA" w:rsidRDefault="00410716" w:rsidP="001236FF">
            <w:pPr>
              <w:pStyle w:val="TableText"/>
              <w:spacing w:before="50" w:after="50"/>
              <w:jc w:val="right"/>
              <w:rPr>
                <w:rFonts w:cs="Calibri"/>
                <w:szCs w:val="16"/>
              </w:rPr>
            </w:pPr>
            <w:r w:rsidRPr="00BE78CA">
              <w:t>9,208,749</w:t>
            </w:r>
          </w:p>
        </w:tc>
        <w:tc>
          <w:tcPr>
            <w:tcW w:w="1021" w:type="dxa"/>
            <w:tcBorders>
              <w:top w:val="single" w:sz="4" w:space="0" w:color="auto"/>
              <w:left w:val="nil"/>
              <w:right w:val="nil"/>
            </w:tcBorders>
            <w:shd w:val="clear" w:color="auto" w:fill="auto"/>
            <w:hideMark/>
          </w:tcPr>
          <w:p w14:paraId="4A2786B1" w14:textId="77777777" w:rsidR="00410716" w:rsidRPr="00BE78CA" w:rsidRDefault="00410716" w:rsidP="001236FF">
            <w:pPr>
              <w:pStyle w:val="TableText"/>
              <w:spacing w:before="50" w:after="50"/>
              <w:jc w:val="right"/>
              <w:rPr>
                <w:rFonts w:cs="Calibri"/>
                <w:szCs w:val="16"/>
              </w:rPr>
            </w:pPr>
            <w:r w:rsidRPr="00BE78CA">
              <w:t>9,207,186</w:t>
            </w:r>
          </w:p>
        </w:tc>
        <w:tc>
          <w:tcPr>
            <w:tcW w:w="1021" w:type="dxa"/>
            <w:tcBorders>
              <w:top w:val="single" w:sz="4" w:space="0" w:color="auto"/>
              <w:left w:val="nil"/>
              <w:right w:val="nil"/>
            </w:tcBorders>
          </w:tcPr>
          <w:p w14:paraId="69670A04" w14:textId="77777777" w:rsidR="00410716" w:rsidRPr="00BE78CA" w:rsidRDefault="00410716" w:rsidP="001236FF">
            <w:pPr>
              <w:pStyle w:val="TableText"/>
              <w:spacing w:before="50" w:after="50"/>
              <w:jc w:val="right"/>
              <w:rPr>
                <w:rFonts w:cs="Calibri"/>
                <w:szCs w:val="16"/>
              </w:rPr>
            </w:pPr>
            <w:r w:rsidRPr="00BE78CA">
              <w:t>9,206,006</w:t>
            </w:r>
          </w:p>
        </w:tc>
        <w:tc>
          <w:tcPr>
            <w:tcW w:w="1021" w:type="dxa"/>
            <w:tcBorders>
              <w:top w:val="single" w:sz="4" w:space="0" w:color="auto"/>
              <w:left w:val="nil"/>
              <w:right w:val="nil"/>
            </w:tcBorders>
          </w:tcPr>
          <w:p w14:paraId="30F833DD" w14:textId="77777777" w:rsidR="00410716" w:rsidRPr="00BE78CA" w:rsidRDefault="00410716" w:rsidP="001236FF">
            <w:pPr>
              <w:pStyle w:val="TableText"/>
              <w:spacing w:before="50" w:after="50"/>
              <w:jc w:val="right"/>
              <w:rPr>
                <w:rFonts w:cs="Calibri"/>
                <w:szCs w:val="16"/>
              </w:rPr>
            </w:pPr>
            <w:r w:rsidRPr="00BE78CA">
              <w:t>9,204,683</w:t>
            </w:r>
          </w:p>
        </w:tc>
        <w:tc>
          <w:tcPr>
            <w:tcW w:w="1021" w:type="dxa"/>
            <w:tcBorders>
              <w:top w:val="single" w:sz="4" w:space="0" w:color="auto"/>
              <w:left w:val="nil"/>
              <w:right w:val="nil"/>
            </w:tcBorders>
          </w:tcPr>
          <w:p w14:paraId="3CEA7B27" w14:textId="77777777" w:rsidR="00410716" w:rsidRPr="00BE78CA" w:rsidRDefault="00410716" w:rsidP="001236FF">
            <w:pPr>
              <w:pStyle w:val="TableText"/>
              <w:spacing w:before="50" w:after="50"/>
              <w:jc w:val="right"/>
              <w:rPr>
                <w:rFonts w:cs="Calibri"/>
                <w:color w:val="000000"/>
                <w:szCs w:val="16"/>
              </w:rPr>
            </w:pPr>
            <w:r w:rsidRPr="00BE78CA">
              <w:t>9,201,461</w:t>
            </w:r>
          </w:p>
        </w:tc>
      </w:tr>
      <w:tr w:rsidR="00410716" w:rsidRPr="00BE78CA" w14:paraId="66611E39" w14:textId="77777777" w:rsidTr="002B2F31">
        <w:tc>
          <w:tcPr>
            <w:tcW w:w="2041" w:type="dxa"/>
            <w:tcBorders>
              <w:left w:val="nil"/>
              <w:bottom w:val="single" w:sz="4" w:space="0" w:color="auto"/>
              <w:right w:val="nil"/>
            </w:tcBorders>
            <w:shd w:val="clear" w:color="auto" w:fill="auto"/>
            <w:vAlign w:val="center"/>
            <w:hideMark/>
          </w:tcPr>
          <w:p w14:paraId="6E1910CB" w14:textId="77777777" w:rsidR="00410716" w:rsidRPr="00BE78CA" w:rsidRDefault="00410716" w:rsidP="001236FF">
            <w:pPr>
              <w:pStyle w:val="TableText"/>
              <w:spacing w:before="50" w:after="50"/>
              <w:rPr>
                <w:rFonts w:cs="Calibri"/>
                <w:szCs w:val="16"/>
              </w:rPr>
            </w:pPr>
            <w:r w:rsidRPr="00BE78CA">
              <w:rPr>
                <w:rFonts w:cs="Calibri"/>
                <w:szCs w:val="16"/>
              </w:rPr>
              <w:t>Net emissions in calendar year (kt CO</w:t>
            </w:r>
            <w:r w:rsidRPr="00BE78CA">
              <w:rPr>
                <w:rFonts w:cs="Calibri"/>
                <w:szCs w:val="16"/>
                <w:vertAlign w:val="subscript"/>
              </w:rPr>
              <w:t>2</w:t>
            </w:r>
            <w:r w:rsidRPr="00BE78CA">
              <w:rPr>
                <w:rFonts w:cs="Calibri"/>
                <w:szCs w:val="16"/>
              </w:rPr>
              <w:t>-e)</w:t>
            </w:r>
          </w:p>
        </w:tc>
        <w:tc>
          <w:tcPr>
            <w:tcW w:w="1021" w:type="dxa"/>
            <w:tcBorders>
              <w:left w:val="nil"/>
              <w:bottom w:val="single" w:sz="4" w:space="0" w:color="auto"/>
              <w:right w:val="nil"/>
            </w:tcBorders>
            <w:shd w:val="clear" w:color="auto" w:fill="auto"/>
            <w:hideMark/>
          </w:tcPr>
          <w:p w14:paraId="52A61C7A" w14:textId="77777777" w:rsidR="00410716" w:rsidRPr="00BE78CA" w:rsidRDefault="00410716" w:rsidP="001236FF">
            <w:pPr>
              <w:pStyle w:val="TableText"/>
              <w:spacing w:before="50" w:after="50"/>
              <w:jc w:val="right"/>
              <w:rPr>
                <w:rFonts w:cs="Calibri"/>
                <w:szCs w:val="16"/>
              </w:rPr>
            </w:pPr>
            <w:r w:rsidRPr="00BE78CA">
              <w:t xml:space="preserve">–21,535.0 </w:t>
            </w:r>
          </w:p>
        </w:tc>
        <w:tc>
          <w:tcPr>
            <w:tcW w:w="1021" w:type="dxa"/>
            <w:tcBorders>
              <w:left w:val="nil"/>
              <w:bottom w:val="single" w:sz="4" w:space="0" w:color="auto"/>
              <w:right w:val="nil"/>
            </w:tcBorders>
            <w:shd w:val="clear" w:color="auto" w:fill="auto"/>
            <w:hideMark/>
          </w:tcPr>
          <w:p w14:paraId="499F6157" w14:textId="77777777" w:rsidR="00410716" w:rsidRPr="00BE78CA" w:rsidRDefault="00410716" w:rsidP="001236FF">
            <w:pPr>
              <w:pStyle w:val="TableText"/>
              <w:spacing w:before="50" w:after="50"/>
              <w:jc w:val="right"/>
              <w:rPr>
                <w:rFonts w:cs="Calibri"/>
                <w:szCs w:val="16"/>
              </w:rPr>
            </w:pPr>
            <w:r w:rsidRPr="00BE78CA">
              <w:t xml:space="preserve">–20,286.4 </w:t>
            </w:r>
          </w:p>
        </w:tc>
        <w:tc>
          <w:tcPr>
            <w:tcW w:w="1021" w:type="dxa"/>
            <w:tcBorders>
              <w:left w:val="nil"/>
              <w:bottom w:val="single" w:sz="4" w:space="0" w:color="auto"/>
              <w:right w:val="nil"/>
            </w:tcBorders>
            <w:shd w:val="clear" w:color="auto" w:fill="auto"/>
            <w:hideMark/>
          </w:tcPr>
          <w:p w14:paraId="02662B77" w14:textId="77777777" w:rsidR="00410716" w:rsidRPr="00BE78CA" w:rsidRDefault="00410716" w:rsidP="001236FF">
            <w:pPr>
              <w:pStyle w:val="TableText"/>
              <w:spacing w:before="50" w:after="50"/>
              <w:jc w:val="right"/>
              <w:rPr>
                <w:rFonts w:cs="Calibri"/>
                <w:szCs w:val="16"/>
              </w:rPr>
            </w:pPr>
            <w:r w:rsidRPr="00BE78CA">
              <w:t xml:space="preserve">–19,189.1 </w:t>
            </w:r>
          </w:p>
        </w:tc>
        <w:tc>
          <w:tcPr>
            <w:tcW w:w="1021" w:type="dxa"/>
            <w:tcBorders>
              <w:left w:val="nil"/>
              <w:bottom w:val="single" w:sz="4" w:space="0" w:color="auto"/>
              <w:right w:val="nil"/>
            </w:tcBorders>
            <w:shd w:val="clear" w:color="auto" w:fill="auto"/>
            <w:hideMark/>
          </w:tcPr>
          <w:p w14:paraId="249E1414" w14:textId="77777777" w:rsidR="00410716" w:rsidRPr="00BE78CA" w:rsidRDefault="00410716" w:rsidP="001236FF">
            <w:pPr>
              <w:pStyle w:val="TableText"/>
              <w:spacing w:before="50" w:after="50"/>
              <w:jc w:val="right"/>
              <w:rPr>
                <w:rFonts w:cs="Calibri"/>
                <w:szCs w:val="16"/>
              </w:rPr>
            </w:pPr>
            <w:r w:rsidRPr="00BE78CA">
              <w:t xml:space="preserve">–16,394.0 </w:t>
            </w:r>
          </w:p>
        </w:tc>
        <w:tc>
          <w:tcPr>
            <w:tcW w:w="1021" w:type="dxa"/>
            <w:tcBorders>
              <w:left w:val="nil"/>
              <w:bottom w:val="single" w:sz="4" w:space="0" w:color="auto"/>
              <w:right w:val="nil"/>
            </w:tcBorders>
          </w:tcPr>
          <w:p w14:paraId="5F74FE4F" w14:textId="77777777" w:rsidR="00410716" w:rsidRPr="00BE78CA" w:rsidRDefault="00410716" w:rsidP="001236FF">
            <w:pPr>
              <w:pStyle w:val="TableText"/>
              <w:spacing w:before="50" w:after="50"/>
              <w:jc w:val="right"/>
              <w:rPr>
                <w:rFonts w:cs="Calibri"/>
                <w:szCs w:val="16"/>
              </w:rPr>
            </w:pPr>
            <w:r w:rsidRPr="00BE78CA">
              <w:t xml:space="preserve">–16,866.9 </w:t>
            </w:r>
          </w:p>
        </w:tc>
        <w:tc>
          <w:tcPr>
            <w:tcW w:w="1021" w:type="dxa"/>
            <w:tcBorders>
              <w:left w:val="nil"/>
              <w:bottom w:val="single" w:sz="4" w:space="0" w:color="auto"/>
              <w:right w:val="nil"/>
            </w:tcBorders>
          </w:tcPr>
          <w:p w14:paraId="264D12A3" w14:textId="77777777" w:rsidR="00410716" w:rsidRPr="00BE78CA" w:rsidRDefault="00410716" w:rsidP="001236FF">
            <w:pPr>
              <w:pStyle w:val="TableText"/>
              <w:spacing w:before="50" w:after="50"/>
              <w:jc w:val="right"/>
              <w:rPr>
                <w:rFonts w:cs="Calibri"/>
                <w:szCs w:val="16"/>
              </w:rPr>
            </w:pPr>
            <w:r w:rsidRPr="00BE78CA">
              <w:t xml:space="preserve">–18,509.3 </w:t>
            </w:r>
          </w:p>
        </w:tc>
        <w:tc>
          <w:tcPr>
            <w:tcW w:w="1021" w:type="dxa"/>
            <w:tcBorders>
              <w:left w:val="nil"/>
              <w:bottom w:val="single" w:sz="4" w:space="0" w:color="auto"/>
              <w:right w:val="nil"/>
            </w:tcBorders>
          </w:tcPr>
          <w:p w14:paraId="75D0CD4E" w14:textId="77777777" w:rsidR="00410716" w:rsidRPr="00BE78CA" w:rsidRDefault="00410716" w:rsidP="001236FF">
            <w:pPr>
              <w:pStyle w:val="TableText"/>
              <w:spacing w:before="50" w:after="50"/>
              <w:jc w:val="right"/>
              <w:rPr>
                <w:rFonts w:cs="Calibri"/>
                <w:color w:val="000000"/>
                <w:szCs w:val="16"/>
              </w:rPr>
            </w:pPr>
            <w:r w:rsidRPr="00BE78CA">
              <w:t xml:space="preserve">–20,665.3 </w:t>
            </w:r>
          </w:p>
        </w:tc>
      </w:tr>
      <w:tr w:rsidR="00410716" w:rsidRPr="00BE78CA" w14:paraId="589DE04B" w14:textId="77777777" w:rsidTr="002B2F31">
        <w:tc>
          <w:tcPr>
            <w:tcW w:w="2041" w:type="dxa"/>
            <w:tcBorders>
              <w:top w:val="single" w:sz="4" w:space="0" w:color="auto"/>
              <w:left w:val="nil"/>
              <w:bottom w:val="single" w:sz="8" w:space="0" w:color="44546A"/>
              <w:right w:val="nil"/>
            </w:tcBorders>
            <w:shd w:val="clear" w:color="auto" w:fill="auto"/>
            <w:vAlign w:val="center"/>
            <w:hideMark/>
          </w:tcPr>
          <w:p w14:paraId="36D15855" w14:textId="77777777" w:rsidR="00410716" w:rsidRPr="00BE78CA" w:rsidRDefault="00410716" w:rsidP="001236FF">
            <w:pPr>
              <w:pStyle w:val="TableTextBold"/>
              <w:spacing w:before="50" w:after="50"/>
              <w:rPr>
                <w:rFonts w:cs="Calibri"/>
                <w:noProof w:val="0"/>
                <w:szCs w:val="16"/>
              </w:rPr>
            </w:pPr>
            <w:r w:rsidRPr="00BE78CA">
              <w:rPr>
                <w:rFonts w:cs="Calibri"/>
                <w:noProof w:val="0"/>
                <w:szCs w:val="16"/>
              </w:rPr>
              <w:t>Total area included (ha)</w:t>
            </w:r>
          </w:p>
        </w:tc>
        <w:tc>
          <w:tcPr>
            <w:tcW w:w="1021" w:type="dxa"/>
            <w:tcBorders>
              <w:top w:val="single" w:sz="4" w:space="0" w:color="auto"/>
              <w:left w:val="nil"/>
              <w:bottom w:val="single" w:sz="8" w:space="0" w:color="44546A"/>
              <w:right w:val="nil"/>
            </w:tcBorders>
            <w:shd w:val="clear" w:color="auto" w:fill="auto"/>
            <w:hideMark/>
          </w:tcPr>
          <w:p w14:paraId="183696BD" w14:textId="77777777" w:rsidR="00410716" w:rsidRPr="00BE78CA" w:rsidRDefault="00410716" w:rsidP="001236FF">
            <w:pPr>
              <w:pStyle w:val="TableTextBold"/>
              <w:spacing w:before="50" w:after="50"/>
              <w:jc w:val="right"/>
              <w:rPr>
                <w:rFonts w:cs="Calibri"/>
                <w:noProof w:val="0"/>
                <w:szCs w:val="16"/>
              </w:rPr>
            </w:pPr>
            <w:r w:rsidRPr="00BE78CA">
              <w:rPr>
                <w:noProof w:val="0"/>
              </w:rPr>
              <w:t>10,080,709</w:t>
            </w:r>
          </w:p>
        </w:tc>
        <w:tc>
          <w:tcPr>
            <w:tcW w:w="1021" w:type="dxa"/>
            <w:tcBorders>
              <w:top w:val="single" w:sz="4" w:space="0" w:color="auto"/>
              <w:left w:val="nil"/>
              <w:bottom w:val="single" w:sz="8" w:space="0" w:color="44546A"/>
              <w:right w:val="nil"/>
            </w:tcBorders>
            <w:shd w:val="clear" w:color="auto" w:fill="auto"/>
            <w:hideMark/>
          </w:tcPr>
          <w:p w14:paraId="01418CAF" w14:textId="77777777" w:rsidR="00410716" w:rsidRPr="00BE78CA" w:rsidRDefault="00410716" w:rsidP="001236FF">
            <w:pPr>
              <w:pStyle w:val="TableTextBold"/>
              <w:spacing w:before="50" w:after="50"/>
              <w:jc w:val="right"/>
              <w:rPr>
                <w:rFonts w:cs="Calibri"/>
                <w:noProof w:val="0"/>
                <w:szCs w:val="16"/>
              </w:rPr>
            </w:pPr>
            <w:r w:rsidRPr="00BE78CA">
              <w:rPr>
                <w:noProof w:val="0"/>
              </w:rPr>
              <w:t>10,086,646</w:t>
            </w:r>
          </w:p>
        </w:tc>
        <w:tc>
          <w:tcPr>
            <w:tcW w:w="1021" w:type="dxa"/>
            <w:tcBorders>
              <w:top w:val="single" w:sz="4" w:space="0" w:color="auto"/>
              <w:left w:val="nil"/>
              <w:bottom w:val="single" w:sz="8" w:space="0" w:color="44546A"/>
              <w:right w:val="nil"/>
            </w:tcBorders>
            <w:shd w:val="clear" w:color="auto" w:fill="auto"/>
            <w:hideMark/>
          </w:tcPr>
          <w:p w14:paraId="4ABEB5A5" w14:textId="77777777" w:rsidR="00410716" w:rsidRPr="00BE78CA" w:rsidRDefault="00410716" w:rsidP="001236FF">
            <w:pPr>
              <w:pStyle w:val="TableTextBold"/>
              <w:spacing w:before="50" w:after="50"/>
              <w:jc w:val="right"/>
              <w:rPr>
                <w:rFonts w:cs="Calibri"/>
                <w:noProof w:val="0"/>
                <w:szCs w:val="16"/>
              </w:rPr>
            </w:pPr>
            <w:r w:rsidRPr="00BE78CA">
              <w:rPr>
                <w:noProof w:val="0"/>
              </w:rPr>
              <w:t>10,092,583</w:t>
            </w:r>
          </w:p>
        </w:tc>
        <w:tc>
          <w:tcPr>
            <w:tcW w:w="1021" w:type="dxa"/>
            <w:tcBorders>
              <w:top w:val="single" w:sz="4" w:space="0" w:color="auto"/>
              <w:left w:val="nil"/>
              <w:bottom w:val="single" w:sz="8" w:space="0" w:color="44546A"/>
              <w:right w:val="nil"/>
            </w:tcBorders>
            <w:shd w:val="clear" w:color="auto" w:fill="auto"/>
            <w:hideMark/>
          </w:tcPr>
          <w:p w14:paraId="114B4AE5" w14:textId="77777777" w:rsidR="00410716" w:rsidRPr="00BE78CA" w:rsidRDefault="00410716" w:rsidP="001236FF">
            <w:pPr>
              <w:pStyle w:val="TableTextBold"/>
              <w:spacing w:before="50" w:after="50"/>
              <w:jc w:val="right"/>
              <w:rPr>
                <w:rFonts w:cs="Calibri"/>
                <w:noProof w:val="0"/>
                <w:szCs w:val="16"/>
              </w:rPr>
            </w:pPr>
            <w:r w:rsidRPr="00BE78CA">
              <w:rPr>
                <w:noProof w:val="0"/>
              </w:rPr>
              <w:t>10,098,980</w:t>
            </w:r>
          </w:p>
        </w:tc>
        <w:tc>
          <w:tcPr>
            <w:tcW w:w="1021" w:type="dxa"/>
            <w:tcBorders>
              <w:top w:val="single" w:sz="4" w:space="0" w:color="auto"/>
              <w:left w:val="nil"/>
              <w:bottom w:val="single" w:sz="8" w:space="0" w:color="44546A"/>
              <w:right w:val="nil"/>
            </w:tcBorders>
          </w:tcPr>
          <w:p w14:paraId="1084EADE" w14:textId="77777777" w:rsidR="00410716" w:rsidRPr="00BE78CA" w:rsidRDefault="00410716" w:rsidP="001236FF">
            <w:pPr>
              <w:pStyle w:val="TableTextBold"/>
              <w:spacing w:before="50" w:after="50"/>
              <w:jc w:val="right"/>
              <w:rPr>
                <w:rFonts w:cs="Calibri"/>
                <w:noProof w:val="0"/>
                <w:szCs w:val="16"/>
              </w:rPr>
            </w:pPr>
            <w:r w:rsidRPr="00BE78CA">
              <w:rPr>
                <w:noProof w:val="0"/>
              </w:rPr>
              <w:t>10,108,792</w:t>
            </w:r>
          </w:p>
        </w:tc>
        <w:tc>
          <w:tcPr>
            <w:tcW w:w="1021" w:type="dxa"/>
            <w:tcBorders>
              <w:top w:val="single" w:sz="4" w:space="0" w:color="auto"/>
              <w:left w:val="nil"/>
              <w:bottom w:val="single" w:sz="8" w:space="0" w:color="44546A"/>
              <w:right w:val="nil"/>
            </w:tcBorders>
          </w:tcPr>
          <w:p w14:paraId="5632F88D" w14:textId="77777777" w:rsidR="00410716" w:rsidRPr="00BE78CA" w:rsidRDefault="00410716" w:rsidP="001236FF">
            <w:pPr>
              <w:pStyle w:val="TableTextBold"/>
              <w:spacing w:before="50" w:after="50"/>
              <w:jc w:val="right"/>
              <w:rPr>
                <w:rFonts w:cs="Calibri"/>
                <w:noProof w:val="0"/>
                <w:szCs w:val="16"/>
              </w:rPr>
            </w:pPr>
            <w:r w:rsidRPr="00BE78CA">
              <w:rPr>
                <w:noProof w:val="0"/>
              </w:rPr>
              <w:t>10,118,910</w:t>
            </w:r>
          </w:p>
        </w:tc>
        <w:tc>
          <w:tcPr>
            <w:tcW w:w="1021" w:type="dxa"/>
            <w:tcBorders>
              <w:top w:val="single" w:sz="4" w:space="0" w:color="auto"/>
              <w:left w:val="nil"/>
              <w:bottom w:val="single" w:sz="8" w:space="0" w:color="44546A"/>
              <w:right w:val="nil"/>
            </w:tcBorders>
          </w:tcPr>
          <w:p w14:paraId="7C761202" w14:textId="77777777" w:rsidR="00410716" w:rsidRPr="00BE78CA" w:rsidRDefault="00410716" w:rsidP="001236FF">
            <w:pPr>
              <w:pStyle w:val="TableTextBold"/>
              <w:spacing w:before="50" w:after="50"/>
              <w:jc w:val="right"/>
              <w:rPr>
                <w:rFonts w:cs="Calibri"/>
                <w:bCs/>
                <w:noProof w:val="0"/>
                <w:color w:val="000000"/>
                <w:szCs w:val="16"/>
              </w:rPr>
            </w:pPr>
            <w:r w:rsidRPr="00BE78CA">
              <w:rPr>
                <w:noProof w:val="0"/>
              </w:rPr>
              <w:t>10,143,557</w:t>
            </w:r>
          </w:p>
        </w:tc>
      </w:tr>
      <w:tr w:rsidR="00410716" w:rsidRPr="00BE78CA" w14:paraId="19DD4E30" w14:textId="77777777" w:rsidTr="002B2F31">
        <w:tc>
          <w:tcPr>
            <w:tcW w:w="2041" w:type="dxa"/>
            <w:tcBorders>
              <w:top w:val="nil"/>
              <w:left w:val="nil"/>
              <w:bottom w:val="single" w:sz="8" w:space="0" w:color="44546A"/>
              <w:right w:val="nil"/>
            </w:tcBorders>
            <w:shd w:val="clear" w:color="auto" w:fill="auto"/>
            <w:vAlign w:val="center"/>
            <w:hideMark/>
          </w:tcPr>
          <w:p w14:paraId="3BB289F8" w14:textId="77777777" w:rsidR="00410716" w:rsidRPr="00BE78CA" w:rsidRDefault="00410716" w:rsidP="001236FF">
            <w:pPr>
              <w:pStyle w:val="TableTextBold"/>
              <w:spacing w:before="50" w:after="50"/>
              <w:rPr>
                <w:rFonts w:cs="Calibri"/>
                <w:noProof w:val="0"/>
                <w:szCs w:val="16"/>
              </w:rPr>
            </w:pPr>
            <w:r w:rsidRPr="00BE78CA">
              <w:rPr>
                <w:rFonts w:cs="Calibri"/>
                <w:noProof w:val="0"/>
                <w:szCs w:val="16"/>
              </w:rPr>
              <w:t>Net emissions in calendar year (kt CO</w:t>
            </w:r>
            <w:r w:rsidRPr="00BE78CA">
              <w:rPr>
                <w:rFonts w:cs="Calibri"/>
                <w:noProof w:val="0"/>
                <w:szCs w:val="16"/>
                <w:vertAlign w:val="subscript"/>
              </w:rPr>
              <w:t>2</w:t>
            </w:r>
            <w:r w:rsidRPr="00BE78CA">
              <w:rPr>
                <w:rFonts w:cs="Calibri"/>
                <w:noProof w:val="0"/>
                <w:szCs w:val="16"/>
              </w:rPr>
              <w:t>-e)</w:t>
            </w:r>
          </w:p>
        </w:tc>
        <w:tc>
          <w:tcPr>
            <w:tcW w:w="1021" w:type="dxa"/>
            <w:tcBorders>
              <w:top w:val="nil"/>
              <w:left w:val="nil"/>
              <w:bottom w:val="single" w:sz="8" w:space="0" w:color="44546A"/>
              <w:right w:val="nil"/>
            </w:tcBorders>
            <w:shd w:val="clear" w:color="auto" w:fill="auto"/>
            <w:hideMark/>
          </w:tcPr>
          <w:p w14:paraId="4B63B813" w14:textId="77777777" w:rsidR="00410716" w:rsidRPr="00BE78CA" w:rsidRDefault="00410716" w:rsidP="001236FF">
            <w:pPr>
              <w:pStyle w:val="TableTextBold"/>
              <w:spacing w:before="50" w:after="50"/>
              <w:jc w:val="right"/>
              <w:rPr>
                <w:rFonts w:cs="Calibri"/>
                <w:noProof w:val="0"/>
                <w:szCs w:val="16"/>
              </w:rPr>
            </w:pPr>
            <w:r w:rsidRPr="00BE78CA">
              <w:rPr>
                <w:noProof w:val="0"/>
              </w:rPr>
              <w:t xml:space="preserve">–30,979.9 </w:t>
            </w:r>
          </w:p>
        </w:tc>
        <w:tc>
          <w:tcPr>
            <w:tcW w:w="1021" w:type="dxa"/>
            <w:tcBorders>
              <w:top w:val="nil"/>
              <w:left w:val="nil"/>
              <w:bottom w:val="single" w:sz="8" w:space="0" w:color="44546A"/>
              <w:right w:val="nil"/>
            </w:tcBorders>
            <w:shd w:val="clear" w:color="auto" w:fill="auto"/>
            <w:hideMark/>
          </w:tcPr>
          <w:p w14:paraId="4B998798" w14:textId="77777777" w:rsidR="00410716" w:rsidRPr="00BE78CA" w:rsidRDefault="00410716" w:rsidP="001236FF">
            <w:pPr>
              <w:pStyle w:val="TableTextBold"/>
              <w:spacing w:before="50" w:after="50"/>
              <w:jc w:val="right"/>
              <w:rPr>
                <w:rFonts w:cs="Calibri"/>
                <w:noProof w:val="0"/>
                <w:szCs w:val="16"/>
              </w:rPr>
            </w:pPr>
            <w:r w:rsidRPr="00BE78CA">
              <w:rPr>
                <w:noProof w:val="0"/>
              </w:rPr>
              <w:t xml:space="preserve">–33,058.4 </w:t>
            </w:r>
          </w:p>
        </w:tc>
        <w:tc>
          <w:tcPr>
            <w:tcW w:w="1021" w:type="dxa"/>
            <w:tcBorders>
              <w:top w:val="nil"/>
              <w:left w:val="nil"/>
              <w:bottom w:val="single" w:sz="8" w:space="0" w:color="44546A"/>
              <w:right w:val="nil"/>
            </w:tcBorders>
            <w:shd w:val="clear" w:color="auto" w:fill="auto"/>
            <w:hideMark/>
          </w:tcPr>
          <w:p w14:paraId="5BF3B220" w14:textId="77777777" w:rsidR="00410716" w:rsidRPr="00BE78CA" w:rsidRDefault="00410716" w:rsidP="001236FF">
            <w:pPr>
              <w:pStyle w:val="TableTextBold"/>
              <w:spacing w:before="50" w:after="50"/>
              <w:jc w:val="right"/>
              <w:rPr>
                <w:rFonts w:cs="Calibri"/>
                <w:noProof w:val="0"/>
                <w:szCs w:val="16"/>
              </w:rPr>
            </w:pPr>
            <w:r w:rsidRPr="00BE78CA">
              <w:rPr>
                <w:noProof w:val="0"/>
              </w:rPr>
              <w:t xml:space="preserve">–34,065.3 </w:t>
            </w:r>
          </w:p>
        </w:tc>
        <w:tc>
          <w:tcPr>
            <w:tcW w:w="1021" w:type="dxa"/>
            <w:tcBorders>
              <w:top w:val="nil"/>
              <w:left w:val="nil"/>
              <w:bottom w:val="single" w:sz="8" w:space="0" w:color="44546A"/>
              <w:right w:val="nil"/>
            </w:tcBorders>
            <w:shd w:val="clear" w:color="auto" w:fill="auto"/>
            <w:hideMark/>
          </w:tcPr>
          <w:p w14:paraId="2F0562A6" w14:textId="77777777" w:rsidR="00410716" w:rsidRPr="00BE78CA" w:rsidRDefault="00410716" w:rsidP="001236FF">
            <w:pPr>
              <w:pStyle w:val="TableTextBold"/>
              <w:spacing w:before="50" w:after="50"/>
              <w:jc w:val="right"/>
              <w:rPr>
                <w:rFonts w:cs="Calibri"/>
                <w:noProof w:val="0"/>
                <w:szCs w:val="16"/>
              </w:rPr>
            </w:pPr>
            <w:r w:rsidRPr="00BE78CA">
              <w:rPr>
                <w:noProof w:val="0"/>
              </w:rPr>
              <w:t xml:space="preserve">–32,551.7 </w:t>
            </w:r>
          </w:p>
        </w:tc>
        <w:tc>
          <w:tcPr>
            <w:tcW w:w="1021" w:type="dxa"/>
            <w:tcBorders>
              <w:top w:val="nil"/>
              <w:left w:val="nil"/>
              <w:bottom w:val="single" w:sz="8" w:space="0" w:color="44546A"/>
              <w:right w:val="nil"/>
            </w:tcBorders>
          </w:tcPr>
          <w:p w14:paraId="7CA638CB" w14:textId="77777777" w:rsidR="00410716" w:rsidRPr="00BE78CA" w:rsidRDefault="00410716" w:rsidP="001236FF">
            <w:pPr>
              <w:pStyle w:val="TableTextBold"/>
              <w:spacing w:before="50" w:after="50"/>
              <w:jc w:val="right"/>
              <w:rPr>
                <w:rFonts w:cs="Calibri"/>
                <w:noProof w:val="0"/>
                <w:szCs w:val="16"/>
              </w:rPr>
            </w:pPr>
            <w:r w:rsidRPr="00BE78CA">
              <w:rPr>
                <w:noProof w:val="0"/>
              </w:rPr>
              <w:t xml:space="preserve">–33,127.6 </w:t>
            </w:r>
          </w:p>
        </w:tc>
        <w:tc>
          <w:tcPr>
            <w:tcW w:w="1021" w:type="dxa"/>
            <w:tcBorders>
              <w:top w:val="nil"/>
              <w:left w:val="nil"/>
              <w:bottom w:val="single" w:sz="8" w:space="0" w:color="44546A"/>
              <w:right w:val="nil"/>
            </w:tcBorders>
          </w:tcPr>
          <w:p w14:paraId="0FDDB052" w14:textId="77777777" w:rsidR="00410716" w:rsidRPr="00BE78CA" w:rsidRDefault="00410716" w:rsidP="001236FF">
            <w:pPr>
              <w:pStyle w:val="TableTextBold"/>
              <w:spacing w:before="50" w:after="50"/>
              <w:jc w:val="right"/>
              <w:rPr>
                <w:rFonts w:cs="Calibri"/>
                <w:noProof w:val="0"/>
                <w:szCs w:val="16"/>
              </w:rPr>
            </w:pPr>
            <w:r w:rsidRPr="00BE78CA">
              <w:rPr>
                <w:noProof w:val="0"/>
              </w:rPr>
              <w:t xml:space="preserve">–33,437.0 </w:t>
            </w:r>
          </w:p>
        </w:tc>
        <w:tc>
          <w:tcPr>
            <w:tcW w:w="1021" w:type="dxa"/>
            <w:tcBorders>
              <w:top w:val="nil"/>
              <w:left w:val="nil"/>
              <w:bottom w:val="single" w:sz="8" w:space="0" w:color="44546A"/>
              <w:right w:val="nil"/>
            </w:tcBorders>
          </w:tcPr>
          <w:p w14:paraId="46C1F4E8" w14:textId="77777777" w:rsidR="00410716" w:rsidRPr="00BE78CA" w:rsidRDefault="00410716" w:rsidP="001236FF">
            <w:pPr>
              <w:pStyle w:val="TableTextBold"/>
              <w:spacing w:before="50" w:after="50"/>
              <w:jc w:val="right"/>
              <w:rPr>
                <w:rFonts w:cs="Calibri"/>
                <w:bCs/>
                <w:noProof w:val="0"/>
                <w:color w:val="000000"/>
                <w:szCs w:val="16"/>
              </w:rPr>
            </w:pPr>
            <w:r w:rsidRPr="00BE78CA">
              <w:rPr>
                <w:noProof w:val="0"/>
              </w:rPr>
              <w:t xml:space="preserve">–33,570.7 </w:t>
            </w:r>
          </w:p>
        </w:tc>
      </w:tr>
      <w:tr w:rsidR="00410716" w:rsidRPr="00BE78CA" w14:paraId="113D7E4D" w14:textId="77777777" w:rsidTr="002B2F31">
        <w:tc>
          <w:tcPr>
            <w:tcW w:w="2041" w:type="dxa"/>
            <w:tcBorders>
              <w:top w:val="nil"/>
              <w:left w:val="nil"/>
              <w:bottom w:val="single" w:sz="8" w:space="0" w:color="44546A"/>
              <w:right w:val="nil"/>
            </w:tcBorders>
            <w:shd w:val="clear" w:color="auto" w:fill="auto"/>
            <w:vAlign w:val="center"/>
            <w:hideMark/>
          </w:tcPr>
          <w:p w14:paraId="5A0D3C1C" w14:textId="06A3140C" w:rsidR="00410716" w:rsidRPr="00BE78CA" w:rsidRDefault="00410716" w:rsidP="001236FF">
            <w:pPr>
              <w:pStyle w:val="Tableboldblue"/>
              <w:spacing w:before="50" w:after="50"/>
              <w:rPr>
                <w:rFonts w:cs="Calibri"/>
                <w:szCs w:val="16"/>
                <w:lang w:eastAsia="en-NZ"/>
              </w:rPr>
            </w:pPr>
            <w:r w:rsidRPr="00BE78CA">
              <w:rPr>
                <w:rFonts w:cs="Calibri"/>
                <w:szCs w:val="16"/>
                <w:lang w:eastAsia="en-NZ"/>
              </w:rPr>
              <w:t>Accounting quantity (kt</w:t>
            </w:r>
            <w:r w:rsidR="002B2F31" w:rsidRPr="00BE78CA">
              <w:rPr>
                <w:rFonts w:cs="Calibri"/>
                <w:szCs w:val="16"/>
                <w:lang w:eastAsia="en-NZ"/>
              </w:rPr>
              <w:t> </w:t>
            </w:r>
            <w:r w:rsidRPr="00BE78CA">
              <w:rPr>
                <w:rFonts w:cs="Calibri"/>
                <w:szCs w:val="16"/>
                <w:lang w:eastAsia="en-NZ"/>
              </w:rPr>
              <w:t>CO</w:t>
            </w:r>
            <w:r w:rsidRPr="00BE78CA">
              <w:rPr>
                <w:rFonts w:cs="Calibri"/>
                <w:szCs w:val="16"/>
                <w:vertAlign w:val="subscript"/>
                <w:lang w:eastAsia="en-NZ"/>
              </w:rPr>
              <w:t>2</w:t>
            </w:r>
            <w:r w:rsidRPr="00BE78CA">
              <w:rPr>
                <w:rFonts w:cs="Calibri"/>
                <w:szCs w:val="16"/>
                <w:lang w:eastAsia="en-NZ"/>
              </w:rPr>
              <w:t>-e)</w:t>
            </w:r>
          </w:p>
        </w:tc>
        <w:tc>
          <w:tcPr>
            <w:tcW w:w="1021" w:type="dxa"/>
            <w:tcBorders>
              <w:top w:val="nil"/>
              <w:left w:val="nil"/>
              <w:bottom w:val="single" w:sz="8" w:space="0" w:color="44546A"/>
              <w:right w:val="nil"/>
            </w:tcBorders>
            <w:shd w:val="clear" w:color="auto" w:fill="auto"/>
            <w:hideMark/>
          </w:tcPr>
          <w:p w14:paraId="48C7F29C" w14:textId="77777777" w:rsidR="00410716" w:rsidRPr="00BE78CA" w:rsidRDefault="00410716" w:rsidP="001236FF">
            <w:pPr>
              <w:pStyle w:val="Tableboldblue"/>
              <w:spacing w:before="50" w:after="50"/>
              <w:jc w:val="right"/>
              <w:rPr>
                <w:rFonts w:cs="Calibri"/>
                <w:szCs w:val="16"/>
                <w:lang w:eastAsia="en-NZ"/>
              </w:rPr>
            </w:pPr>
            <w:r w:rsidRPr="00BE78CA">
              <w:t xml:space="preserve">–9,444.9 </w:t>
            </w:r>
          </w:p>
        </w:tc>
        <w:tc>
          <w:tcPr>
            <w:tcW w:w="1021" w:type="dxa"/>
            <w:tcBorders>
              <w:top w:val="nil"/>
              <w:left w:val="nil"/>
              <w:bottom w:val="single" w:sz="8" w:space="0" w:color="44546A"/>
              <w:right w:val="nil"/>
            </w:tcBorders>
            <w:shd w:val="clear" w:color="auto" w:fill="auto"/>
            <w:hideMark/>
          </w:tcPr>
          <w:p w14:paraId="39B32EDA" w14:textId="77777777" w:rsidR="00410716" w:rsidRPr="00BE78CA" w:rsidRDefault="00410716" w:rsidP="001236FF">
            <w:pPr>
              <w:pStyle w:val="Tableboldblue"/>
              <w:spacing w:before="50" w:after="50"/>
              <w:jc w:val="right"/>
              <w:rPr>
                <w:rFonts w:cs="Calibri"/>
                <w:szCs w:val="16"/>
                <w:lang w:eastAsia="en-NZ"/>
              </w:rPr>
            </w:pPr>
            <w:r w:rsidRPr="00BE78CA">
              <w:t xml:space="preserve">–12,772.0 </w:t>
            </w:r>
          </w:p>
        </w:tc>
        <w:tc>
          <w:tcPr>
            <w:tcW w:w="1021" w:type="dxa"/>
            <w:tcBorders>
              <w:top w:val="nil"/>
              <w:left w:val="nil"/>
              <w:bottom w:val="single" w:sz="8" w:space="0" w:color="44546A"/>
              <w:right w:val="nil"/>
            </w:tcBorders>
            <w:shd w:val="clear" w:color="auto" w:fill="auto"/>
            <w:hideMark/>
          </w:tcPr>
          <w:p w14:paraId="2A19356B" w14:textId="77777777" w:rsidR="00410716" w:rsidRPr="00BE78CA" w:rsidRDefault="00410716" w:rsidP="001236FF">
            <w:pPr>
              <w:pStyle w:val="Tableboldblue"/>
              <w:spacing w:before="50" w:after="50"/>
              <w:jc w:val="right"/>
              <w:rPr>
                <w:rFonts w:cs="Calibri"/>
                <w:szCs w:val="16"/>
                <w:lang w:eastAsia="en-NZ"/>
              </w:rPr>
            </w:pPr>
            <w:r w:rsidRPr="00BE78CA">
              <w:t xml:space="preserve">–14,876.2 </w:t>
            </w:r>
          </w:p>
        </w:tc>
        <w:tc>
          <w:tcPr>
            <w:tcW w:w="1021" w:type="dxa"/>
            <w:tcBorders>
              <w:top w:val="nil"/>
              <w:left w:val="nil"/>
              <w:bottom w:val="single" w:sz="8" w:space="0" w:color="44546A"/>
              <w:right w:val="nil"/>
            </w:tcBorders>
            <w:shd w:val="clear" w:color="auto" w:fill="auto"/>
            <w:hideMark/>
          </w:tcPr>
          <w:p w14:paraId="242303A5" w14:textId="77777777" w:rsidR="00410716" w:rsidRPr="00BE78CA" w:rsidRDefault="00410716" w:rsidP="001236FF">
            <w:pPr>
              <w:pStyle w:val="Tableboldblue"/>
              <w:spacing w:before="50" w:after="50"/>
              <w:jc w:val="right"/>
              <w:rPr>
                <w:rFonts w:cs="Calibri"/>
                <w:szCs w:val="16"/>
                <w:lang w:eastAsia="en-NZ"/>
              </w:rPr>
            </w:pPr>
            <w:r w:rsidRPr="00BE78CA">
              <w:t xml:space="preserve">–16,157.7 </w:t>
            </w:r>
          </w:p>
        </w:tc>
        <w:tc>
          <w:tcPr>
            <w:tcW w:w="1021" w:type="dxa"/>
            <w:tcBorders>
              <w:top w:val="nil"/>
              <w:left w:val="nil"/>
              <w:bottom w:val="single" w:sz="8" w:space="0" w:color="44546A"/>
              <w:right w:val="nil"/>
            </w:tcBorders>
          </w:tcPr>
          <w:p w14:paraId="6E4F8623" w14:textId="77777777" w:rsidR="00410716" w:rsidRPr="00BE78CA" w:rsidRDefault="00410716" w:rsidP="001236FF">
            <w:pPr>
              <w:pStyle w:val="Tableboldblue"/>
              <w:spacing w:before="50" w:after="50"/>
              <w:jc w:val="right"/>
              <w:rPr>
                <w:rFonts w:cs="Calibri"/>
                <w:szCs w:val="16"/>
              </w:rPr>
            </w:pPr>
            <w:r w:rsidRPr="00BE78CA">
              <w:t xml:space="preserve">–16,260.7 </w:t>
            </w:r>
          </w:p>
        </w:tc>
        <w:tc>
          <w:tcPr>
            <w:tcW w:w="1021" w:type="dxa"/>
            <w:tcBorders>
              <w:top w:val="nil"/>
              <w:left w:val="nil"/>
              <w:bottom w:val="single" w:sz="8" w:space="0" w:color="44546A"/>
              <w:right w:val="nil"/>
            </w:tcBorders>
          </w:tcPr>
          <w:p w14:paraId="7BD9EB91" w14:textId="77777777" w:rsidR="00410716" w:rsidRPr="00BE78CA" w:rsidRDefault="00410716" w:rsidP="001236FF">
            <w:pPr>
              <w:pStyle w:val="Tableboldblue"/>
              <w:spacing w:before="50" w:after="50"/>
              <w:jc w:val="right"/>
              <w:rPr>
                <w:rFonts w:cs="Calibri"/>
                <w:szCs w:val="16"/>
              </w:rPr>
            </w:pPr>
            <w:r w:rsidRPr="00BE78CA">
              <w:t xml:space="preserve">–14,927.7 </w:t>
            </w:r>
          </w:p>
        </w:tc>
        <w:tc>
          <w:tcPr>
            <w:tcW w:w="1021" w:type="dxa"/>
            <w:tcBorders>
              <w:top w:val="nil"/>
              <w:left w:val="nil"/>
              <w:bottom w:val="single" w:sz="8" w:space="0" w:color="44546A"/>
              <w:right w:val="nil"/>
            </w:tcBorders>
          </w:tcPr>
          <w:p w14:paraId="722F0771" w14:textId="77777777" w:rsidR="00410716" w:rsidRPr="00BE78CA" w:rsidRDefault="00410716" w:rsidP="001236FF">
            <w:pPr>
              <w:pStyle w:val="Tableboldblue"/>
              <w:spacing w:before="50" w:after="50"/>
              <w:jc w:val="right"/>
              <w:rPr>
                <w:rFonts w:cs="Calibri"/>
                <w:bCs/>
                <w:szCs w:val="16"/>
              </w:rPr>
            </w:pPr>
            <w:r w:rsidRPr="00BE78CA">
              <w:t xml:space="preserve">–12,905.4 </w:t>
            </w:r>
          </w:p>
        </w:tc>
      </w:tr>
    </w:tbl>
    <w:p w14:paraId="7F231A5F" w14:textId="77777777" w:rsidR="00410716" w:rsidRPr="00BE78CA" w:rsidRDefault="00410716" w:rsidP="00410716">
      <w:pPr>
        <w:pStyle w:val="Noteundertable"/>
        <w:keepLines/>
        <w:rPr>
          <w:szCs w:val="18"/>
        </w:rPr>
      </w:pPr>
      <w:r w:rsidRPr="00BE78CA">
        <w:rPr>
          <w:b/>
          <w:szCs w:val="18"/>
        </w:rPr>
        <w:lastRenderedPageBreak/>
        <w:t>Note:</w:t>
      </w:r>
      <w:r w:rsidRPr="00BE78CA">
        <w:rPr>
          <w:szCs w:val="18"/>
        </w:rPr>
        <w:t xml:space="preserve"> </w:t>
      </w:r>
      <w:r w:rsidRPr="00BE78CA">
        <w:rPr>
          <w:szCs w:val="18"/>
        </w:rPr>
        <w:tab/>
      </w:r>
      <w:bookmarkStart w:id="3353" w:name="_Hlk61602689"/>
      <w:r w:rsidRPr="00BE78CA">
        <w:rPr>
          <w:szCs w:val="18"/>
        </w:rPr>
        <w:t xml:space="preserve">Where net emissions result in removals, they are expressed as a negative value as per section 2.2.3 of the Intergovernmental Panel on Climate Change Guidelines (IPCC, 2006a). The accounting quantity excludes net emissions from forest management because these will be accounted for at the end of the commitment period against a forest management reference level and a cap will apply to limit credits; further information on these is included later in the chapter. Columns may not total due to rounding. </w:t>
      </w:r>
      <w:r w:rsidRPr="00BE78CA">
        <w:t>ha = hectares; P = provisional figure (all figures for 2017, 2018 and 2019 are provisional). Afforestation and deforestation differs from that in chapter 6 due to carbon equivalent forests being reported separately.</w:t>
      </w:r>
      <w:bookmarkEnd w:id="3353"/>
    </w:p>
    <w:p w14:paraId="00B7BCE1" w14:textId="77777777" w:rsidR="00410716" w:rsidRPr="00BE78CA" w:rsidRDefault="00410716" w:rsidP="00410716">
      <w:pPr>
        <w:pStyle w:val="Heading5"/>
      </w:pPr>
      <w:r w:rsidRPr="00BE78CA">
        <w:t>1990–2019</w:t>
      </w:r>
    </w:p>
    <w:p w14:paraId="23D5BBB6" w14:textId="77777777" w:rsidR="00410716" w:rsidRPr="00BE78CA" w:rsidRDefault="00410716" w:rsidP="00410716">
      <w:pPr>
        <w:pStyle w:val="BodyText"/>
      </w:pPr>
      <w:r w:rsidRPr="00BE78CA">
        <w:t xml:space="preserve">Between 1 January 1990 and 31 December 2019, 769,702 hectares of new forest (post-1989 forest) were established as a result of afforestation and reforestation activities – an average of 25,657 hectares per year. This figure includes 30,248 hectares of deforestation activity that has occurred in these forests since 1990. During 2019, an estimated 24,067 hectares of new forest was established, which is greater than the area established in 2018 (8,323 hectares) (table 11.1.1). </w:t>
      </w:r>
    </w:p>
    <w:p w14:paraId="598F02E5" w14:textId="77777777" w:rsidR="00410716" w:rsidRPr="00BE78CA" w:rsidRDefault="00410716" w:rsidP="00410716">
      <w:pPr>
        <w:pStyle w:val="BodyText"/>
      </w:pPr>
      <w:r w:rsidRPr="00BE78CA">
        <w:t xml:space="preserve">The carbon equivalent forest provision creates a misalignment for the afforestation and deforestation area reported under the Kyoto Protocol and the United Nations Framework Convention on Climate Change (UNFCCC) sections of the Inventory. The carbon equivalent forest provision is not recognised under the UNFCCC and is reported as </w:t>
      </w:r>
      <w:r w:rsidRPr="00BE78CA">
        <w:rPr>
          <w:i/>
        </w:rPr>
        <w:t>Land converted to forest land</w:t>
      </w:r>
      <w:r w:rsidRPr="00BE78CA">
        <w:t xml:space="preserve"> (afforestation) and </w:t>
      </w:r>
      <w:r w:rsidRPr="00BE78CA">
        <w:rPr>
          <w:i/>
        </w:rPr>
        <w:t>Forest land converted to other land uses</w:t>
      </w:r>
      <w:r w:rsidRPr="00BE78CA">
        <w:t xml:space="preserve"> (deforestation). </w:t>
      </w:r>
    </w:p>
    <w:p w14:paraId="5E6EDEFF" w14:textId="77777777" w:rsidR="00410716" w:rsidRPr="00BE78CA" w:rsidRDefault="00410716" w:rsidP="00410716">
      <w:pPr>
        <w:pStyle w:val="BodyText"/>
      </w:pPr>
      <w:r w:rsidRPr="00BE78CA">
        <w:t xml:space="preserve">Deforestation of all subcategories of </w:t>
      </w:r>
      <w:r w:rsidRPr="00BE78CA">
        <w:rPr>
          <w:i/>
        </w:rPr>
        <w:t>Forest land</w:t>
      </w:r>
      <w:r w:rsidRPr="00BE78CA">
        <w:t xml:space="preserve"> (post-1989 natural, post-1989 planted, pre</w:t>
      </w:r>
      <w:r w:rsidRPr="00BE78CA">
        <w:noBreakHyphen/>
        <w:t>1990 planted and pre-1990 natural forest) during 2019 was estimated at</w:t>
      </w:r>
      <w:r w:rsidRPr="00BE78CA">
        <w:rPr>
          <w:rFonts w:cs="Arial"/>
        </w:rPr>
        <w:t xml:space="preserve"> 4,745 </w:t>
      </w:r>
      <w:r w:rsidRPr="00BE78CA">
        <w:t xml:space="preserve">hectares. Since 1990, the area of deforestation of all subcategories of </w:t>
      </w:r>
      <w:r w:rsidRPr="00BE78CA">
        <w:rPr>
          <w:i/>
        </w:rPr>
        <w:t>Forest land</w:t>
      </w:r>
      <w:r w:rsidRPr="00BE78CA">
        <w:t xml:space="preserve"> is estimated as 202,641 hectares. </w:t>
      </w:r>
    </w:p>
    <w:p w14:paraId="5E6DD006" w14:textId="77777777" w:rsidR="00410716" w:rsidRPr="00BE78CA" w:rsidRDefault="00410716" w:rsidP="00410716">
      <w:pPr>
        <w:pStyle w:val="BodyText"/>
      </w:pPr>
      <w:r w:rsidRPr="00BE78CA">
        <w:t xml:space="preserve">Between 1 January 1990 and 31 December 2019, the total area of </w:t>
      </w:r>
      <w:r w:rsidRPr="00BE78CA">
        <w:rPr>
          <w:i/>
        </w:rPr>
        <w:t>Forest management</w:t>
      </w:r>
      <w:r w:rsidRPr="00BE78CA">
        <w:t xml:space="preserve"> land deforested was 172,393 hectares. However, due to the application of the carbon equivalent forest provision (Kyoto Protocol Supplement, IPCC, 2014a, section 2.7.2) the net area under </w:t>
      </w:r>
      <w:r w:rsidRPr="00BE78CA">
        <w:rPr>
          <w:i/>
        </w:rPr>
        <w:t>Forest management</w:t>
      </w:r>
      <w:r w:rsidRPr="00BE78CA">
        <w:t xml:space="preserve"> only decreased by 167,720 hectares, or 1.8 per cent. This is the result of:</w:t>
      </w:r>
    </w:p>
    <w:p w14:paraId="35D26BE5" w14:textId="77777777" w:rsidR="00410716" w:rsidRPr="00BE78CA" w:rsidRDefault="00410716" w:rsidP="001236FF">
      <w:pPr>
        <w:pStyle w:val="Bullet"/>
      </w:pPr>
      <w:r w:rsidRPr="00BE78CA">
        <w:t xml:space="preserve">167,720 hectares of land being transferred from Article 3.4 – </w:t>
      </w:r>
      <w:r w:rsidRPr="00BE78CA">
        <w:rPr>
          <w:i/>
        </w:rPr>
        <w:t>Forest management</w:t>
      </w:r>
      <w:r w:rsidRPr="00BE78CA">
        <w:t xml:space="preserve"> reporting to Article 3.3 – </w:t>
      </w:r>
      <w:r w:rsidRPr="00BE78CA">
        <w:rPr>
          <w:i/>
        </w:rPr>
        <w:t>Deforestation</w:t>
      </w:r>
      <w:r w:rsidRPr="00BE78CA">
        <w:t xml:space="preserve"> reporting due to deforestation</w:t>
      </w:r>
    </w:p>
    <w:p w14:paraId="6481F161" w14:textId="77777777" w:rsidR="00410716" w:rsidRPr="00BE78CA" w:rsidRDefault="00410716" w:rsidP="00410716">
      <w:pPr>
        <w:pStyle w:val="Bullet"/>
      </w:pPr>
      <w:r w:rsidRPr="00BE78CA">
        <w:t>3,708 hectares of land converted to a non-forest land use (</w:t>
      </w:r>
      <w:r w:rsidRPr="00BE78CA">
        <w:rPr>
          <w:i/>
        </w:rPr>
        <w:t>Carbon equivalent forest – harvested and converted (CEF</w:t>
      </w:r>
      <w:r w:rsidRPr="00BE78CA">
        <w:rPr>
          <w:i/>
          <w:vertAlign w:val="subscript"/>
        </w:rPr>
        <w:t>HC</w:t>
      </w:r>
      <w:r w:rsidRPr="00BE78CA">
        <w:rPr>
          <w:i/>
        </w:rPr>
        <w:t>)</w:t>
      </w:r>
      <w:r w:rsidRPr="00BE78CA">
        <w:t xml:space="preserve">) included in Article 3.4 – </w:t>
      </w:r>
      <w:r w:rsidRPr="00BE78CA">
        <w:rPr>
          <w:i/>
        </w:rPr>
        <w:t>Forest managemen</w:t>
      </w:r>
      <w:r w:rsidRPr="00BE78CA">
        <w:t>t reporting as a result of applying the carbon equivalent forest provision (Kyoto Protocol Supplement, IPCC, 2014a, section 2.7.2)</w:t>
      </w:r>
    </w:p>
    <w:p w14:paraId="6815F120" w14:textId="77777777" w:rsidR="00410716" w:rsidRPr="00BE78CA" w:rsidRDefault="00410716" w:rsidP="00410716">
      <w:pPr>
        <w:pStyle w:val="Bullet"/>
      </w:pPr>
      <w:r w:rsidRPr="00BE78CA">
        <w:t xml:space="preserve">4,673 hectares of newly established forest </w:t>
      </w:r>
      <w:r w:rsidRPr="00BE78CA">
        <w:rPr>
          <w:iCs/>
        </w:rPr>
        <w:t>(</w:t>
      </w:r>
      <w:r w:rsidRPr="00BE78CA">
        <w:rPr>
          <w:i/>
        </w:rPr>
        <w:t>Carbon equivalent forest – newly established (CEF</w:t>
      </w:r>
      <w:r w:rsidRPr="00BE78CA">
        <w:rPr>
          <w:i/>
          <w:vertAlign w:val="subscript"/>
        </w:rPr>
        <w:t>NE</w:t>
      </w:r>
      <w:r w:rsidRPr="00BE78CA">
        <w:rPr>
          <w:i/>
        </w:rPr>
        <w:t>)</w:t>
      </w:r>
      <w:r w:rsidRPr="00BE78CA">
        <w:rPr>
          <w:iCs/>
        </w:rPr>
        <w:t>)</w:t>
      </w:r>
      <w:r w:rsidRPr="00BE78CA">
        <w:t xml:space="preserve"> added to Article 3.4 – </w:t>
      </w:r>
      <w:r w:rsidRPr="00BE78CA">
        <w:rPr>
          <w:i/>
        </w:rPr>
        <w:t>Forest management</w:t>
      </w:r>
      <w:r w:rsidRPr="00BE78CA">
        <w:t xml:space="preserve"> under the Kyoto Protocol as a result of applying the carbon equivalent forest provision</w:t>
      </w:r>
      <w:r w:rsidRPr="00BE78CA" w:rsidDel="0060303B">
        <w:t xml:space="preserve"> </w:t>
      </w:r>
      <w:r w:rsidRPr="00BE78CA">
        <w:t xml:space="preserve">(Kyoto Protocol Supplement, IPCC, 2014a, section 2.7.2). </w:t>
      </w:r>
    </w:p>
    <w:p w14:paraId="2CD03F21" w14:textId="77777777" w:rsidR="00410716" w:rsidRPr="00BE78CA" w:rsidRDefault="00410716" w:rsidP="00410716">
      <w:pPr>
        <w:pStyle w:val="Heading5"/>
      </w:pPr>
      <w:bookmarkStart w:id="3354" w:name="_Toc261513280"/>
      <w:bookmarkStart w:id="3355" w:name="_Toc261513893"/>
      <w:bookmarkStart w:id="3356" w:name="_Toc280630383"/>
      <w:bookmarkStart w:id="3357" w:name="_Toc377043715"/>
      <w:r w:rsidRPr="00BE78CA">
        <w:t>New Zealand’s Article 3.3 and Article 3.4 emissions by source for the second commitment period</w:t>
      </w:r>
    </w:p>
    <w:p w14:paraId="4C129B0C" w14:textId="77777777" w:rsidR="00410716" w:rsidRPr="00BE78CA" w:rsidRDefault="00410716" w:rsidP="00410716">
      <w:pPr>
        <w:pStyle w:val="BodyText"/>
      </w:pPr>
      <w:r w:rsidRPr="00BE78CA">
        <w:t xml:space="preserve">Table 11.1.2 provides a breakdown of New Zealand’s emissions under the Kyoto Protocol by greenhouse gas source category for the first five years of the second commitment period. </w:t>
      </w:r>
    </w:p>
    <w:p w14:paraId="00D2EED5" w14:textId="77777777" w:rsidR="00410716" w:rsidRPr="00BE78CA" w:rsidRDefault="00410716" w:rsidP="00410716">
      <w:pPr>
        <w:pStyle w:val="Table"/>
      </w:pPr>
      <w:bookmarkStart w:id="3358" w:name="_Toc456179104"/>
      <w:bookmarkStart w:id="3359" w:name="_Toc481751630"/>
      <w:bookmarkStart w:id="3360" w:name="_Toc522010655"/>
      <w:bookmarkStart w:id="3361" w:name="_Toc5269625"/>
      <w:bookmarkStart w:id="3362" w:name="_Toc36224707"/>
      <w:bookmarkStart w:id="3363" w:name="_Toc64987042"/>
      <w:bookmarkStart w:id="3364" w:name="_Toc68786592"/>
      <w:r w:rsidRPr="00BE78CA">
        <w:lastRenderedPageBreak/>
        <w:t>Table 11.1.2</w:t>
      </w:r>
      <w:r w:rsidRPr="00BE78CA">
        <w:tab/>
        <w:t>New Zealand’s emissions for the second commitment period of the Kyoto Protocol</w:t>
      </w:r>
      <w:r w:rsidRPr="00BE78CA">
        <w:br/>
        <w:t>by greenhouse gas source category</w:t>
      </w:r>
      <w:bookmarkEnd w:id="3358"/>
      <w:bookmarkEnd w:id="3359"/>
      <w:bookmarkEnd w:id="3360"/>
      <w:bookmarkEnd w:id="3361"/>
      <w:bookmarkEnd w:id="3362"/>
      <w:bookmarkEnd w:id="3363"/>
      <w:bookmarkEnd w:id="3364"/>
    </w:p>
    <w:tbl>
      <w:tblPr>
        <w:tblW w:w="8505" w:type="dxa"/>
        <w:tblBorders>
          <w:top w:val="single" w:sz="4" w:space="0" w:color="2E74B5"/>
          <w:bottom w:val="single" w:sz="4" w:space="0" w:color="2E74B5"/>
          <w:insideH w:val="single" w:sz="4" w:space="0" w:color="2E74B5"/>
        </w:tblBorders>
        <w:tblLook w:val="04A0" w:firstRow="1" w:lastRow="0" w:firstColumn="1" w:lastColumn="0" w:noHBand="0" w:noVBand="1"/>
      </w:tblPr>
      <w:tblGrid>
        <w:gridCol w:w="4511"/>
        <w:gridCol w:w="1250"/>
        <w:gridCol w:w="1395"/>
        <w:gridCol w:w="1349"/>
      </w:tblGrid>
      <w:tr w:rsidR="00410716" w:rsidRPr="00BE78CA" w14:paraId="0E8E47D4" w14:textId="77777777" w:rsidTr="003571FF">
        <w:trPr>
          <w:tblHeader/>
        </w:trPr>
        <w:tc>
          <w:tcPr>
            <w:tcW w:w="2652" w:type="pct"/>
            <w:vMerge w:val="restart"/>
            <w:tcBorders>
              <w:top w:val="single" w:sz="4" w:space="0" w:color="365F91"/>
              <w:bottom w:val="nil"/>
            </w:tcBorders>
            <w:shd w:val="clear" w:color="auto" w:fill="365F91"/>
            <w:vAlign w:val="bottom"/>
          </w:tcPr>
          <w:p w14:paraId="37212231" w14:textId="77777777" w:rsidR="00410716" w:rsidRPr="00BE78CA" w:rsidRDefault="00410716" w:rsidP="00C26084">
            <w:pPr>
              <w:pStyle w:val="TableTextBold"/>
              <w:keepNext/>
              <w:rPr>
                <w:bCs/>
                <w:noProof w:val="0"/>
                <w:color w:val="FFFFFF"/>
              </w:rPr>
            </w:pPr>
            <w:r w:rsidRPr="00BE78CA">
              <w:rPr>
                <w:bCs/>
                <w:noProof w:val="0"/>
                <w:color w:val="FFFFFF"/>
              </w:rPr>
              <w:t>Greenhouse gas source category</w:t>
            </w:r>
          </w:p>
        </w:tc>
        <w:tc>
          <w:tcPr>
            <w:tcW w:w="2348" w:type="pct"/>
            <w:gridSpan w:val="3"/>
            <w:tcBorders>
              <w:top w:val="single" w:sz="4" w:space="0" w:color="365F91"/>
              <w:bottom w:val="nil"/>
            </w:tcBorders>
            <w:shd w:val="clear" w:color="auto" w:fill="365F91"/>
            <w:vAlign w:val="bottom"/>
          </w:tcPr>
          <w:p w14:paraId="0D299037" w14:textId="77777777" w:rsidR="00410716" w:rsidRPr="00BE78CA" w:rsidRDefault="00410716" w:rsidP="00C26084">
            <w:pPr>
              <w:pStyle w:val="TableTextBold"/>
              <w:keepNext/>
              <w:spacing w:after="0"/>
              <w:jc w:val="center"/>
              <w:rPr>
                <w:bCs/>
                <w:noProof w:val="0"/>
                <w:color w:val="FFFFFF"/>
              </w:rPr>
            </w:pPr>
            <w:r w:rsidRPr="00BE78CA">
              <w:rPr>
                <w:bCs/>
                <w:noProof w:val="0"/>
                <w:color w:val="FFFFFF"/>
              </w:rPr>
              <w:t>Net emissions for 2013–19 (kt)</w:t>
            </w:r>
          </w:p>
        </w:tc>
      </w:tr>
      <w:tr w:rsidR="00410716" w:rsidRPr="00BE78CA" w14:paraId="0B9AB15F" w14:textId="77777777" w:rsidTr="003571FF">
        <w:tc>
          <w:tcPr>
            <w:tcW w:w="2652" w:type="pct"/>
            <w:vMerge/>
            <w:tcBorders>
              <w:top w:val="nil"/>
              <w:left w:val="nil"/>
              <w:bottom w:val="single" w:sz="4" w:space="0" w:color="365F91"/>
            </w:tcBorders>
            <w:shd w:val="clear" w:color="auto" w:fill="365F91"/>
            <w:vAlign w:val="bottom"/>
          </w:tcPr>
          <w:p w14:paraId="03664C30" w14:textId="77777777" w:rsidR="00410716" w:rsidRPr="00BE78CA" w:rsidRDefault="00410716" w:rsidP="00C26084">
            <w:pPr>
              <w:pStyle w:val="TableTextBold"/>
              <w:keepNext/>
              <w:rPr>
                <w:b w:val="0"/>
                <w:bCs/>
                <w:noProof w:val="0"/>
              </w:rPr>
            </w:pPr>
          </w:p>
        </w:tc>
        <w:tc>
          <w:tcPr>
            <w:tcW w:w="735" w:type="pct"/>
            <w:tcBorders>
              <w:top w:val="nil"/>
              <w:bottom w:val="single" w:sz="4" w:space="0" w:color="365F91"/>
            </w:tcBorders>
            <w:shd w:val="clear" w:color="auto" w:fill="365F91"/>
            <w:vAlign w:val="bottom"/>
          </w:tcPr>
          <w:p w14:paraId="06857B73" w14:textId="77777777" w:rsidR="00410716" w:rsidRPr="00BE78CA" w:rsidRDefault="00410716" w:rsidP="00C26084">
            <w:pPr>
              <w:pStyle w:val="TableTextBold"/>
              <w:keepNext/>
              <w:jc w:val="center"/>
              <w:rPr>
                <w:noProof w:val="0"/>
                <w:color w:val="FFFFFF"/>
              </w:rPr>
            </w:pPr>
            <w:r w:rsidRPr="00BE78CA">
              <w:rPr>
                <w:noProof w:val="0"/>
                <w:color w:val="FFFFFF"/>
              </w:rPr>
              <w:t>Source form</w:t>
            </w:r>
          </w:p>
        </w:tc>
        <w:tc>
          <w:tcPr>
            <w:tcW w:w="820" w:type="pct"/>
            <w:tcBorders>
              <w:top w:val="nil"/>
              <w:bottom w:val="single" w:sz="4" w:space="0" w:color="365F91"/>
            </w:tcBorders>
            <w:shd w:val="clear" w:color="auto" w:fill="365F91"/>
            <w:vAlign w:val="bottom"/>
          </w:tcPr>
          <w:p w14:paraId="49DD8C1F" w14:textId="77777777" w:rsidR="00410716" w:rsidRPr="00BE78CA" w:rsidRDefault="00410716" w:rsidP="00C26084">
            <w:pPr>
              <w:pStyle w:val="TableTextBold"/>
              <w:keepNext/>
              <w:jc w:val="center"/>
              <w:rPr>
                <w:noProof w:val="0"/>
                <w:color w:val="FFFFFF"/>
              </w:rPr>
            </w:pPr>
            <w:r w:rsidRPr="00BE78CA">
              <w:rPr>
                <w:noProof w:val="0"/>
                <w:color w:val="FFFFFF"/>
              </w:rPr>
              <w:t>Source emission</w:t>
            </w:r>
          </w:p>
        </w:tc>
        <w:tc>
          <w:tcPr>
            <w:tcW w:w="793" w:type="pct"/>
            <w:tcBorders>
              <w:top w:val="nil"/>
              <w:bottom w:val="single" w:sz="4" w:space="0" w:color="365F91"/>
              <w:right w:val="nil"/>
            </w:tcBorders>
            <w:shd w:val="clear" w:color="auto" w:fill="365F91"/>
            <w:vAlign w:val="bottom"/>
          </w:tcPr>
          <w:p w14:paraId="53555495" w14:textId="77777777" w:rsidR="00410716" w:rsidRPr="00BE78CA" w:rsidRDefault="00410716" w:rsidP="00C26084">
            <w:pPr>
              <w:pStyle w:val="TableTextBold"/>
              <w:keepNext/>
              <w:jc w:val="center"/>
              <w:rPr>
                <w:noProof w:val="0"/>
                <w:color w:val="FFFFFF"/>
              </w:rPr>
            </w:pPr>
            <w:r w:rsidRPr="00BE78CA">
              <w:rPr>
                <w:noProof w:val="0"/>
                <w:color w:val="FFFFFF"/>
              </w:rPr>
              <w:t>CO</w:t>
            </w:r>
            <w:r w:rsidRPr="00BE78CA">
              <w:rPr>
                <w:noProof w:val="0"/>
                <w:color w:val="FFFFFF"/>
                <w:vertAlign w:val="subscript"/>
              </w:rPr>
              <w:t>2</w:t>
            </w:r>
            <w:r w:rsidRPr="00BE78CA">
              <w:rPr>
                <w:noProof w:val="0"/>
                <w:color w:val="FFFFFF"/>
              </w:rPr>
              <w:t>-equivalent</w:t>
            </w:r>
          </w:p>
        </w:tc>
      </w:tr>
      <w:tr w:rsidR="00410716" w:rsidRPr="00BE78CA" w14:paraId="61A2C058" w14:textId="77777777" w:rsidTr="003571FF">
        <w:tc>
          <w:tcPr>
            <w:tcW w:w="2652" w:type="pct"/>
            <w:tcBorders>
              <w:top w:val="single" w:sz="4" w:space="0" w:color="365F91"/>
              <w:bottom w:val="single" w:sz="4" w:space="0" w:color="365F91"/>
            </w:tcBorders>
            <w:shd w:val="clear" w:color="auto" w:fill="auto"/>
            <w:vAlign w:val="center"/>
          </w:tcPr>
          <w:p w14:paraId="489349CD" w14:textId="77777777" w:rsidR="00410716" w:rsidRPr="00BE78CA" w:rsidRDefault="00410716" w:rsidP="00C26084">
            <w:pPr>
              <w:pStyle w:val="TableText"/>
              <w:spacing w:before="50" w:after="50"/>
              <w:rPr>
                <w:bCs/>
              </w:rPr>
            </w:pPr>
            <w:r w:rsidRPr="00BE78CA">
              <w:rPr>
                <w:bCs/>
              </w:rPr>
              <w:t>Emissions from afforestation and reforestation</w:t>
            </w:r>
          </w:p>
        </w:tc>
        <w:tc>
          <w:tcPr>
            <w:tcW w:w="735" w:type="pct"/>
            <w:tcBorders>
              <w:top w:val="single" w:sz="4" w:space="0" w:color="365F91"/>
              <w:bottom w:val="single" w:sz="4" w:space="0" w:color="365F91"/>
            </w:tcBorders>
            <w:shd w:val="clear" w:color="auto" w:fill="auto"/>
            <w:vAlign w:val="center"/>
          </w:tcPr>
          <w:p w14:paraId="55831177" w14:textId="77777777" w:rsidR="00410716" w:rsidRPr="00BE78CA" w:rsidRDefault="00410716" w:rsidP="00C26084">
            <w:pPr>
              <w:pStyle w:val="TableText"/>
              <w:spacing w:before="50" w:after="50"/>
              <w:jc w:val="center"/>
            </w:pPr>
            <w:r w:rsidRPr="00BE78CA">
              <w:t>CO</w:t>
            </w:r>
            <w:r w:rsidRPr="00BE78CA">
              <w:rPr>
                <w:vertAlign w:val="subscript"/>
              </w:rPr>
              <w:t>2</w:t>
            </w:r>
          </w:p>
        </w:tc>
        <w:tc>
          <w:tcPr>
            <w:tcW w:w="820" w:type="pct"/>
            <w:tcBorders>
              <w:top w:val="single" w:sz="4" w:space="0" w:color="365F91"/>
              <w:bottom w:val="single" w:sz="4" w:space="0" w:color="365F91"/>
            </w:tcBorders>
            <w:shd w:val="clear" w:color="auto" w:fill="auto"/>
          </w:tcPr>
          <w:p w14:paraId="2041F3D3" w14:textId="77777777" w:rsidR="00410716" w:rsidRPr="00BE78CA" w:rsidRDefault="00410716" w:rsidP="00C26084">
            <w:pPr>
              <w:pStyle w:val="TableText"/>
              <w:spacing w:before="50" w:after="50"/>
              <w:jc w:val="right"/>
            </w:pPr>
            <w:r w:rsidRPr="00BE78CA">
              <w:t>–124,043.0</w:t>
            </w:r>
          </w:p>
        </w:tc>
        <w:tc>
          <w:tcPr>
            <w:tcW w:w="793" w:type="pct"/>
            <w:tcBorders>
              <w:top w:val="single" w:sz="4" w:space="0" w:color="365F91"/>
              <w:bottom w:val="single" w:sz="4" w:space="0" w:color="365F91"/>
            </w:tcBorders>
            <w:shd w:val="clear" w:color="auto" w:fill="auto"/>
          </w:tcPr>
          <w:p w14:paraId="1D33A738" w14:textId="77777777" w:rsidR="00410716" w:rsidRPr="00BE78CA" w:rsidRDefault="00410716" w:rsidP="00C26084">
            <w:pPr>
              <w:pStyle w:val="TableText"/>
              <w:spacing w:before="50" w:after="50"/>
              <w:jc w:val="right"/>
            </w:pPr>
            <w:r w:rsidRPr="00BE78CA">
              <w:t>–124,043.0</w:t>
            </w:r>
          </w:p>
        </w:tc>
      </w:tr>
      <w:tr w:rsidR="00410716" w:rsidRPr="00BE78CA" w14:paraId="2FA9E982" w14:textId="77777777" w:rsidTr="003571FF">
        <w:tc>
          <w:tcPr>
            <w:tcW w:w="2652" w:type="pct"/>
            <w:tcBorders>
              <w:top w:val="single" w:sz="4" w:space="0" w:color="365F91"/>
              <w:bottom w:val="single" w:sz="4" w:space="0" w:color="365F91"/>
            </w:tcBorders>
            <w:shd w:val="clear" w:color="auto" w:fill="auto"/>
            <w:vAlign w:val="center"/>
          </w:tcPr>
          <w:p w14:paraId="3BB9E83B" w14:textId="77777777" w:rsidR="00410716" w:rsidRPr="00BE78CA" w:rsidRDefault="00410716" w:rsidP="00C26084">
            <w:pPr>
              <w:pStyle w:val="TableText"/>
              <w:spacing w:before="50" w:after="50"/>
              <w:rPr>
                <w:bCs/>
              </w:rPr>
            </w:pPr>
            <w:r w:rsidRPr="00BE78CA">
              <w:rPr>
                <w:bCs/>
              </w:rPr>
              <w:t>Emissions from deforestation</w:t>
            </w:r>
          </w:p>
        </w:tc>
        <w:tc>
          <w:tcPr>
            <w:tcW w:w="735" w:type="pct"/>
            <w:tcBorders>
              <w:top w:val="single" w:sz="4" w:space="0" w:color="365F91"/>
              <w:bottom w:val="single" w:sz="4" w:space="0" w:color="365F91"/>
            </w:tcBorders>
            <w:shd w:val="clear" w:color="auto" w:fill="auto"/>
            <w:vAlign w:val="center"/>
          </w:tcPr>
          <w:p w14:paraId="660EE75D" w14:textId="77777777" w:rsidR="00410716" w:rsidRPr="00BE78CA" w:rsidRDefault="00410716" w:rsidP="00C26084">
            <w:pPr>
              <w:pStyle w:val="TableText"/>
              <w:spacing w:before="50" w:after="50"/>
              <w:jc w:val="center"/>
            </w:pPr>
            <w:r w:rsidRPr="00BE78CA">
              <w:t>CO</w:t>
            </w:r>
            <w:r w:rsidRPr="00BE78CA">
              <w:rPr>
                <w:vertAlign w:val="subscript"/>
              </w:rPr>
              <w:t>2</w:t>
            </w:r>
          </w:p>
        </w:tc>
        <w:tc>
          <w:tcPr>
            <w:tcW w:w="820" w:type="pct"/>
            <w:tcBorders>
              <w:top w:val="single" w:sz="4" w:space="0" w:color="365F91"/>
              <w:bottom w:val="single" w:sz="4" w:space="0" w:color="365F91"/>
            </w:tcBorders>
            <w:shd w:val="clear" w:color="auto" w:fill="auto"/>
          </w:tcPr>
          <w:p w14:paraId="64CEC302" w14:textId="77777777" w:rsidR="00410716" w:rsidRPr="00BE78CA" w:rsidRDefault="00410716" w:rsidP="00C26084">
            <w:pPr>
              <w:pStyle w:val="TableText"/>
              <w:spacing w:before="50" w:after="50"/>
              <w:jc w:val="right"/>
            </w:pPr>
            <w:r w:rsidRPr="00BE78CA">
              <w:t>26,014.1</w:t>
            </w:r>
          </w:p>
        </w:tc>
        <w:tc>
          <w:tcPr>
            <w:tcW w:w="793" w:type="pct"/>
            <w:tcBorders>
              <w:top w:val="single" w:sz="4" w:space="0" w:color="365F91"/>
              <w:bottom w:val="single" w:sz="4" w:space="0" w:color="365F91"/>
            </w:tcBorders>
            <w:shd w:val="clear" w:color="auto" w:fill="auto"/>
          </w:tcPr>
          <w:p w14:paraId="6B1C16F7" w14:textId="77777777" w:rsidR="00410716" w:rsidRPr="00BE78CA" w:rsidRDefault="00410716" w:rsidP="00C26084">
            <w:pPr>
              <w:pStyle w:val="TableText"/>
              <w:spacing w:before="50" w:after="50"/>
              <w:jc w:val="right"/>
            </w:pPr>
            <w:r w:rsidRPr="00BE78CA">
              <w:t>26,014.1</w:t>
            </w:r>
          </w:p>
        </w:tc>
      </w:tr>
      <w:tr w:rsidR="00410716" w:rsidRPr="00BE78CA" w14:paraId="2B07C702" w14:textId="77777777" w:rsidTr="003571FF">
        <w:tc>
          <w:tcPr>
            <w:tcW w:w="2652" w:type="pct"/>
            <w:tcBorders>
              <w:top w:val="single" w:sz="4" w:space="0" w:color="365F91"/>
              <w:bottom w:val="single" w:sz="4" w:space="0" w:color="365F91"/>
            </w:tcBorders>
            <w:shd w:val="clear" w:color="auto" w:fill="auto"/>
            <w:vAlign w:val="center"/>
          </w:tcPr>
          <w:p w14:paraId="246FE9BC" w14:textId="77777777" w:rsidR="00410716" w:rsidRPr="00BE78CA" w:rsidRDefault="00410716" w:rsidP="00C26084">
            <w:pPr>
              <w:pStyle w:val="TableText"/>
              <w:spacing w:before="50" w:after="50"/>
              <w:rPr>
                <w:bCs/>
              </w:rPr>
            </w:pPr>
            <w:r w:rsidRPr="00BE78CA">
              <w:rPr>
                <w:bCs/>
              </w:rPr>
              <w:t>Emissions from forest management activities</w:t>
            </w:r>
          </w:p>
        </w:tc>
        <w:tc>
          <w:tcPr>
            <w:tcW w:w="735" w:type="pct"/>
            <w:tcBorders>
              <w:top w:val="single" w:sz="4" w:space="0" w:color="365F91"/>
              <w:bottom w:val="single" w:sz="4" w:space="0" w:color="365F91"/>
            </w:tcBorders>
            <w:shd w:val="clear" w:color="auto" w:fill="auto"/>
            <w:vAlign w:val="center"/>
          </w:tcPr>
          <w:p w14:paraId="74668C0A" w14:textId="77777777" w:rsidR="00410716" w:rsidRPr="00BE78CA" w:rsidRDefault="00410716" w:rsidP="00C26084">
            <w:pPr>
              <w:pStyle w:val="TableText"/>
              <w:spacing w:before="50" w:after="50"/>
              <w:jc w:val="center"/>
            </w:pPr>
            <w:r w:rsidRPr="00BE78CA">
              <w:t>CO</w:t>
            </w:r>
            <w:r w:rsidRPr="00BE78CA">
              <w:rPr>
                <w:vertAlign w:val="subscript"/>
              </w:rPr>
              <w:t>2</w:t>
            </w:r>
          </w:p>
        </w:tc>
        <w:tc>
          <w:tcPr>
            <w:tcW w:w="820" w:type="pct"/>
            <w:tcBorders>
              <w:top w:val="single" w:sz="4" w:space="0" w:color="365F91"/>
              <w:bottom w:val="single" w:sz="4" w:space="0" w:color="365F91"/>
            </w:tcBorders>
            <w:shd w:val="clear" w:color="auto" w:fill="auto"/>
          </w:tcPr>
          <w:p w14:paraId="1D17450F" w14:textId="77777777" w:rsidR="00410716" w:rsidRPr="00BE78CA" w:rsidRDefault="00410716" w:rsidP="00C26084">
            <w:pPr>
              <w:pStyle w:val="TableText"/>
              <w:spacing w:before="50" w:after="50"/>
              <w:jc w:val="right"/>
              <w:rPr>
                <w:highlight w:val="red"/>
              </w:rPr>
            </w:pPr>
            <w:r w:rsidRPr="00BE78CA">
              <w:t>–133,567.3</w:t>
            </w:r>
          </w:p>
        </w:tc>
        <w:tc>
          <w:tcPr>
            <w:tcW w:w="793" w:type="pct"/>
            <w:tcBorders>
              <w:top w:val="single" w:sz="4" w:space="0" w:color="365F91"/>
              <w:bottom w:val="single" w:sz="4" w:space="0" w:color="365F91"/>
            </w:tcBorders>
            <w:shd w:val="clear" w:color="auto" w:fill="auto"/>
          </w:tcPr>
          <w:p w14:paraId="20C119CE" w14:textId="77777777" w:rsidR="00410716" w:rsidRPr="00BE78CA" w:rsidRDefault="00410716" w:rsidP="00C26084">
            <w:pPr>
              <w:pStyle w:val="TableText"/>
              <w:spacing w:before="50" w:after="50"/>
              <w:jc w:val="right"/>
              <w:rPr>
                <w:highlight w:val="red"/>
              </w:rPr>
            </w:pPr>
            <w:r w:rsidRPr="00BE78CA">
              <w:t>–133,567.3</w:t>
            </w:r>
          </w:p>
        </w:tc>
      </w:tr>
      <w:tr w:rsidR="00410716" w:rsidRPr="00BE78CA" w14:paraId="7BA9277D" w14:textId="77777777" w:rsidTr="003571FF">
        <w:tc>
          <w:tcPr>
            <w:tcW w:w="2652" w:type="pct"/>
            <w:tcBorders>
              <w:top w:val="single" w:sz="4" w:space="0" w:color="365F91"/>
              <w:bottom w:val="single" w:sz="4" w:space="0" w:color="365F91"/>
            </w:tcBorders>
            <w:shd w:val="clear" w:color="auto" w:fill="auto"/>
          </w:tcPr>
          <w:p w14:paraId="646A6307" w14:textId="77777777" w:rsidR="00410716" w:rsidRPr="00BE78CA" w:rsidRDefault="00410716" w:rsidP="00C26084">
            <w:pPr>
              <w:pStyle w:val="TableText"/>
              <w:spacing w:before="50" w:after="50"/>
              <w:rPr>
                <w:bCs/>
              </w:rPr>
            </w:pPr>
            <w:r w:rsidRPr="00BE78CA">
              <w:rPr>
                <w:bCs/>
              </w:rPr>
              <w:t>Mineralisation of soil nitrogen associated with land-use change</w:t>
            </w:r>
          </w:p>
        </w:tc>
        <w:tc>
          <w:tcPr>
            <w:tcW w:w="735" w:type="pct"/>
            <w:tcBorders>
              <w:top w:val="single" w:sz="4" w:space="0" w:color="365F91"/>
              <w:bottom w:val="single" w:sz="4" w:space="0" w:color="365F91"/>
            </w:tcBorders>
            <w:shd w:val="clear" w:color="auto" w:fill="auto"/>
          </w:tcPr>
          <w:p w14:paraId="6065F26F" w14:textId="77777777" w:rsidR="00410716" w:rsidRPr="00BE78CA" w:rsidRDefault="00410716" w:rsidP="00C26084">
            <w:pPr>
              <w:pStyle w:val="TableText"/>
              <w:spacing w:before="50" w:after="50"/>
              <w:jc w:val="center"/>
            </w:pPr>
            <w:r w:rsidRPr="00BE78CA">
              <w:t>N</w:t>
            </w:r>
            <w:r w:rsidRPr="00BE78CA">
              <w:rPr>
                <w:vertAlign w:val="subscript"/>
              </w:rPr>
              <w:t>2</w:t>
            </w:r>
            <w:r w:rsidRPr="00BE78CA">
              <w:t>O</w:t>
            </w:r>
          </w:p>
        </w:tc>
        <w:tc>
          <w:tcPr>
            <w:tcW w:w="820" w:type="pct"/>
            <w:tcBorders>
              <w:top w:val="single" w:sz="4" w:space="0" w:color="365F91"/>
              <w:bottom w:val="single" w:sz="4" w:space="0" w:color="365F91"/>
            </w:tcBorders>
            <w:shd w:val="clear" w:color="auto" w:fill="auto"/>
          </w:tcPr>
          <w:p w14:paraId="421285EF" w14:textId="77777777" w:rsidR="00410716" w:rsidRPr="00BE78CA" w:rsidRDefault="00410716" w:rsidP="00C26084">
            <w:pPr>
              <w:pStyle w:val="TableText"/>
              <w:spacing w:before="50" w:after="50"/>
              <w:jc w:val="right"/>
            </w:pPr>
            <w:r w:rsidRPr="00BE78CA">
              <w:t>1.5</w:t>
            </w:r>
          </w:p>
        </w:tc>
        <w:tc>
          <w:tcPr>
            <w:tcW w:w="793" w:type="pct"/>
            <w:tcBorders>
              <w:top w:val="single" w:sz="4" w:space="0" w:color="365F91"/>
              <w:bottom w:val="single" w:sz="4" w:space="0" w:color="365F91"/>
            </w:tcBorders>
            <w:shd w:val="clear" w:color="auto" w:fill="auto"/>
          </w:tcPr>
          <w:p w14:paraId="5BA8F418" w14:textId="77777777" w:rsidR="00410716" w:rsidRPr="00BE78CA" w:rsidRDefault="00410716" w:rsidP="00C26084">
            <w:pPr>
              <w:pStyle w:val="TableText"/>
              <w:spacing w:before="50" w:after="50"/>
              <w:jc w:val="right"/>
            </w:pPr>
            <w:r w:rsidRPr="00BE78CA">
              <w:t>453.8</w:t>
            </w:r>
          </w:p>
        </w:tc>
      </w:tr>
      <w:tr w:rsidR="00410716" w:rsidRPr="00BE78CA" w14:paraId="13EFEC40" w14:textId="77777777" w:rsidTr="003571FF">
        <w:tc>
          <w:tcPr>
            <w:tcW w:w="2652" w:type="pct"/>
            <w:tcBorders>
              <w:top w:val="single" w:sz="4" w:space="0" w:color="365F91"/>
              <w:bottom w:val="single" w:sz="4" w:space="0" w:color="365F91"/>
            </w:tcBorders>
            <w:shd w:val="clear" w:color="auto" w:fill="auto"/>
            <w:vAlign w:val="center"/>
          </w:tcPr>
          <w:p w14:paraId="235CE065" w14:textId="77777777" w:rsidR="00410716" w:rsidRPr="00BE78CA" w:rsidRDefault="00410716" w:rsidP="00C26084">
            <w:pPr>
              <w:pStyle w:val="TableText"/>
              <w:spacing w:before="50" w:after="50"/>
              <w:rPr>
                <w:bCs/>
              </w:rPr>
            </w:pPr>
            <w:r w:rsidRPr="00BE78CA">
              <w:rPr>
                <w:bCs/>
              </w:rPr>
              <w:t xml:space="preserve">Biomass burning </w:t>
            </w:r>
          </w:p>
        </w:tc>
        <w:tc>
          <w:tcPr>
            <w:tcW w:w="735" w:type="pct"/>
            <w:tcBorders>
              <w:top w:val="single" w:sz="4" w:space="0" w:color="365F91"/>
              <w:bottom w:val="single" w:sz="4" w:space="0" w:color="365F91"/>
            </w:tcBorders>
            <w:shd w:val="clear" w:color="auto" w:fill="auto"/>
            <w:vAlign w:val="center"/>
          </w:tcPr>
          <w:p w14:paraId="3D195171" w14:textId="77777777" w:rsidR="00410716" w:rsidRPr="00BE78CA" w:rsidRDefault="00410716" w:rsidP="00C26084">
            <w:pPr>
              <w:pStyle w:val="TableText"/>
              <w:spacing w:before="50" w:after="50"/>
              <w:jc w:val="center"/>
            </w:pPr>
            <w:r w:rsidRPr="00BE78CA">
              <w:t>CH</w:t>
            </w:r>
            <w:r w:rsidRPr="00BE78CA">
              <w:rPr>
                <w:vertAlign w:val="subscript"/>
              </w:rPr>
              <w:t>4</w:t>
            </w:r>
          </w:p>
        </w:tc>
        <w:tc>
          <w:tcPr>
            <w:tcW w:w="820" w:type="pct"/>
            <w:tcBorders>
              <w:top w:val="single" w:sz="4" w:space="0" w:color="365F91"/>
              <w:bottom w:val="single" w:sz="4" w:space="0" w:color="365F91"/>
            </w:tcBorders>
            <w:shd w:val="clear" w:color="auto" w:fill="auto"/>
          </w:tcPr>
          <w:p w14:paraId="0F563239" w14:textId="77777777" w:rsidR="00410716" w:rsidRPr="00BE78CA" w:rsidRDefault="00410716" w:rsidP="00C26084">
            <w:pPr>
              <w:pStyle w:val="TableText"/>
              <w:spacing w:before="50" w:after="50"/>
              <w:jc w:val="right"/>
            </w:pPr>
            <w:r w:rsidRPr="00BE78CA">
              <w:t>9.6</w:t>
            </w:r>
          </w:p>
        </w:tc>
        <w:tc>
          <w:tcPr>
            <w:tcW w:w="793" w:type="pct"/>
            <w:tcBorders>
              <w:top w:val="single" w:sz="4" w:space="0" w:color="365F91"/>
              <w:bottom w:val="single" w:sz="4" w:space="0" w:color="365F91"/>
            </w:tcBorders>
            <w:shd w:val="clear" w:color="auto" w:fill="auto"/>
          </w:tcPr>
          <w:p w14:paraId="78D163D5" w14:textId="77777777" w:rsidR="00410716" w:rsidRPr="00BE78CA" w:rsidRDefault="00410716" w:rsidP="00C26084">
            <w:pPr>
              <w:pStyle w:val="TableText"/>
              <w:spacing w:before="50" w:after="50"/>
              <w:jc w:val="right"/>
            </w:pPr>
            <w:r w:rsidRPr="00BE78CA">
              <w:t>241.0</w:t>
            </w:r>
          </w:p>
        </w:tc>
      </w:tr>
      <w:tr w:rsidR="00410716" w:rsidRPr="00BE78CA" w14:paraId="2B30AFA9" w14:textId="77777777" w:rsidTr="003571FF">
        <w:tc>
          <w:tcPr>
            <w:tcW w:w="2652" w:type="pct"/>
            <w:tcBorders>
              <w:top w:val="single" w:sz="4" w:space="0" w:color="365F91"/>
              <w:bottom w:val="single" w:sz="4" w:space="0" w:color="365F91"/>
            </w:tcBorders>
            <w:shd w:val="clear" w:color="auto" w:fill="auto"/>
            <w:vAlign w:val="center"/>
          </w:tcPr>
          <w:p w14:paraId="76470F1D" w14:textId="77777777" w:rsidR="00410716" w:rsidRPr="00BE78CA" w:rsidRDefault="00410716" w:rsidP="00C26084">
            <w:pPr>
              <w:pStyle w:val="TableText"/>
              <w:spacing w:before="50" w:after="50"/>
              <w:rPr>
                <w:bCs/>
              </w:rPr>
            </w:pPr>
            <w:r w:rsidRPr="00BE78CA">
              <w:rPr>
                <w:bCs/>
              </w:rPr>
              <w:t xml:space="preserve">Biomass burning </w:t>
            </w:r>
          </w:p>
        </w:tc>
        <w:tc>
          <w:tcPr>
            <w:tcW w:w="735" w:type="pct"/>
            <w:tcBorders>
              <w:top w:val="single" w:sz="4" w:space="0" w:color="365F91"/>
              <w:bottom w:val="single" w:sz="4" w:space="0" w:color="365F91"/>
            </w:tcBorders>
            <w:shd w:val="clear" w:color="auto" w:fill="auto"/>
            <w:vAlign w:val="center"/>
          </w:tcPr>
          <w:p w14:paraId="1F1BD0C3" w14:textId="77777777" w:rsidR="00410716" w:rsidRPr="00BE78CA" w:rsidRDefault="00410716" w:rsidP="00C26084">
            <w:pPr>
              <w:pStyle w:val="TableText"/>
              <w:spacing w:before="50" w:after="50"/>
              <w:jc w:val="center"/>
            </w:pPr>
            <w:r w:rsidRPr="00BE78CA">
              <w:t>N</w:t>
            </w:r>
            <w:r w:rsidRPr="00BE78CA">
              <w:rPr>
                <w:vertAlign w:val="subscript"/>
              </w:rPr>
              <w:t>2</w:t>
            </w:r>
            <w:r w:rsidRPr="00BE78CA">
              <w:t>O</w:t>
            </w:r>
          </w:p>
        </w:tc>
        <w:tc>
          <w:tcPr>
            <w:tcW w:w="820" w:type="pct"/>
            <w:tcBorders>
              <w:top w:val="single" w:sz="4" w:space="0" w:color="365F91"/>
              <w:bottom w:val="single" w:sz="4" w:space="0" w:color="365F91"/>
            </w:tcBorders>
            <w:shd w:val="clear" w:color="auto" w:fill="auto"/>
          </w:tcPr>
          <w:p w14:paraId="09247AD2" w14:textId="77777777" w:rsidR="00410716" w:rsidRPr="00BE78CA" w:rsidRDefault="00410716" w:rsidP="00C26084">
            <w:pPr>
              <w:pStyle w:val="TableText"/>
              <w:spacing w:before="50" w:after="50"/>
              <w:jc w:val="right"/>
            </w:pPr>
            <w:r w:rsidRPr="00BE78CA">
              <w:t>0.4</w:t>
            </w:r>
          </w:p>
        </w:tc>
        <w:tc>
          <w:tcPr>
            <w:tcW w:w="793" w:type="pct"/>
            <w:tcBorders>
              <w:top w:val="single" w:sz="4" w:space="0" w:color="365F91"/>
              <w:bottom w:val="single" w:sz="4" w:space="0" w:color="365F91"/>
            </w:tcBorders>
            <w:shd w:val="clear" w:color="auto" w:fill="auto"/>
          </w:tcPr>
          <w:p w14:paraId="578883AF" w14:textId="77777777" w:rsidR="00410716" w:rsidRPr="00BE78CA" w:rsidRDefault="00410716" w:rsidP="00C26084">
            <w:pPr>
              <w:pStyle w:val="TableText"/>
              <w:spacing w:before="50" w:after="50"/>
              <w:jc w:val="right"/>
            </w:pPr>
            <w:r w:rsidRPr="00BE78CA">
              <w:t>110.9</w:t>
            </w:r>
          </w:p>
        </w:tc>
      </w:tr>
      <w:tr w:rsidR="00410716" w:rsidRPr="00BE78CA" w14:paraId="2091DC97" w14:textId="77777777" w:rsidTr="003571FF">
        <w:tc>
          <w:tcPr>
            <w:tcW w:w="2652" w:type="pct"/>
            <w:tcBorders>
              <w:top w:val="single" w:sz="4" w:space="0" w:color="365F91"/>
              <w:bottom w:val="single" w:sz="4" w:space="0" w:color="365F91"/>
            </w:tcBorders>
            <w:shd w:val="clear" w:color="auto" w:fill="auto"/>
            <w:vAlign w:val="center"/>
          </w:tcPr>
          <w:p w14:paraId="05CFAD21" w14:textId="77777777" w:rsidR="00410716" w:rsidRPr="00BE78CA" w:rsidRDefault="00410716" w:rsidP="00C26084">
            <w:pPr>
              <w:pStyle w:val="Tableboldblue"/>
              <w:spacing w:before="50" w:after="50"/>
            </w:pPr>
            <w:r w:rsidRPr="00BE78CA">
              <w:t>Net emissions</w:t>
            </w:r>
          </w:p>
        </w:tc>
        <w:tc>
          <w:tcPr>
            <w:tcW w:w="735" w:type="pct"/>
            <w:tcBorders>
              <w:top w:val="single" w:sz="4" w:space="0" w:color="365F91"/>
              <w:bottom w:val="single" w:sz="4" w:space="0" w:color="365F91"/>
            </w:tcBorders>
            <w:shd w:val="clear" w:color="auto" w:fill="auto"/>
            <w:vAlign w:val="center"/>
          </w:tcPr>
          <w:p w14:paraId="0B319073" w14:textId="77777777" w:rsidR="00410716" w:rsidRPr="00BE78CA" w:rsidRDefault="00410716" w:rsidP="00C26084">
            <w:pPr>
              <w:pStyle w:val="Tableboldblue"/>
              <w:spacing w:before="50" w:after="50"/>
              <w:jc w:val="right"/>
            </w:pPr>
          </w:p>
        </w:tc>
        <w:tc>
          <w:tcPr>
            <w:tcW w:w="820" w:type="pct"/>
            <w:tcBorders>
              <w:top w:val="single" w:sz="4" w:space="0" w:color="365F91"/>
              <w:bottom w:val="single" w:sz="4" w:space="0" w:color="365F91"/>
            </w:tcBorders>
            <w:shd w:val="clear" w:color="auto" w:fill="auto"/>
          </w:tcPr>
          <w:p w14:paraId="077F4DDE" w14:textId="77777777" w:rsidR="00410716" w:rsidRPr="00BE78CA" w:rsidRDefault="00410716" w:rsidP="00C26084">
            <w:pPr>
              <w:pStyle w:val="Tableboldblue"/>
              <w:spacing w:before="50" w:after="50"/>
              <w:jc w:val="right"/>
            </w:pPr>
          </w:p>
        </w:tc>
        <w:tc>
          <w:tcPr>
            <w:tcW w:w="793" w:type="pct"/>
            <w:tcBorders>
              <w:top w:val="single" w:sz="4" w:space="0" w:color="365F91"/>
              <w:bottom w:val="single" w:sz="4" w:space="0" w:color="365F91"/>
            </w:tcBorders>
            <w:shd w:val="clear" w:color="auto" w:fill="auto"/>
          </w:tcPr>
          <w:p w14:paraId="39DAF911" w14:textId="77777777" w:rsidR="00410716" w:rsidRPr="00BE78CA" w:rsidRDefault="00410716" w:rsidP="00C26084">
            <w:pPr>
              <w:pStyle w:val="Tableboldblue"/>
              <w:spacing w:before="50" w:after="50"/>
              <w:jc w:val="right"/>
            </w:pPr>
            <w:r w:rsidRPr="00BE78CA">
              <w:t>–230,790.6</w:t>
            </w:r>
          </w:p>
        </w:tc>
      </w:tr>
    </w:tbl>
    <w:p w14:paraId="16C85769" w14:textId="77777777" w:rsidR="00410716" w:rsidRPr="00BE78CA" w:rsidRDefault="00410716" w:rsidP="00410716">
      <w:pPr>
        <w:pStyle w:val="Noteundertable"/>
      </w:pPr>
      <w:r w:rsidRPr="00BE78CA">
        <w:rPr>
          <w:b/>
        </w:rPr>
        <w:t>Note:</w:t>
      </w:r>
      <w:r w:rsidRPr="00BE78CA">
        <w:tab/>
        <w:t>CO</w:t>
      </w:r>
      <w:r w:rsidRPr="00BE78CA">
        <w:rPr>
          <w:vertAlign w:val="subscript"/>
        </w:rPr>
        <w:t>2</w:t>
      </w:r>
      <w:r w:rsidRPr="00BE78CA">
        <w:t xml:space="preserve"> = carbon dioxide; N</w:t>
      </w:r>
      <w:r w:rsidRPr="00BE78CA">
        <w:rPr>
          <w:vertAlign w:val="subscript"/>
        </w:rPr>
        <w:t>2</w:t>
      </w:r>
      <w:r w:rsidRPr="00BE78CA">
        <w:t>O = nitrous oxide; CH</w:t>
      </w:r>
      <w:r w:rsidRPr="00BE78CA">
        <w:rPr>
          <w:vertAlign w:val="subscript"/>
        </w:rPr>
        <w:t>4</w:t>
      </w:r>
      <w:r w:rsidRPr="00BE78CA">
        <w:t xml:space="preserve"> = methane. Columns may not total due to rounding.</w:t>
      </w:r>
    </w:p>
    <w:p w14:paraId="1ECE26B9" w14:textId="77777777" w:rsidR="00410716" w:rsidRPr="00BE78CA" w:rsidRDefault="00410716" w:rsidP="00410716">
      <w:pPr>
        <w:pStyle w:val="Heading5"/>
        <w:spacing w:before="120"/>
      </w:pPr>
      <w:r w:rsidRPr="00BE78CA">
        <w:t>Key categories</w:t>
      </w:r>
    </w:p>
    <w:p w14:paraId="65B036EF" w14:textId="77777777" w:rsidR="00410716" w:rsidRPr="00BE78CA" w:rsidRDefault="00410716" w:rsidP="00410716">
      <w:pPr>
        <w:pStyle w:val="BodyText"/>
      </w:pPr>
      <w:r w:rsidRPr="00BE78CA">
        <w:t xml:space="preserve">Afforestation and reforestation, Deforestation and Forest management are all included in key categories for New Zealand (Forest land remaining forest land, Land converted to forest land or Land converted to grassland). See table 1.5.4, chapter 1 for more information. </w:t>
      </w:r>
    </w:p>
    <w:p w14:paraId="343863B7" w14:textId="77777777" w:rsidR="00410716" w:rsidRPr="00BE78CA" w:rsidRDefault="00410716" w:rsidP="00410716">
      <w:pPr>
        <w:pStyle w:val="Heading3"/>
        <w:spacing w:before="280"/>
      </w:pPr>
      <w:bookmarkStart w:id="3365" w:name="_Toc400967253"/>
      <w:r w:rsidRPr="00BE78CA">
        <w:t xml:space="preserve">11.1.1 </w:t>
      </w:r>
      <w:r w:rsidRPr="00BE78CA">
        <w:tab/>
        <w:t>Definitions of forest and any other criteria</w:t>
      </w:r>
      <w:bookmarkEnd w:id="3354"/>
      <w:bookmarkEnd w:id="3355"/>
      <w:bookmarkEnd w:id="3356"/>
      <w:bookmarkEnd w:id="3357"/>
      <w:bookmarkEnd w:id="3365"/>
    </w:p>
    <w:p w14:paraId="725624BE" w14:textId="77777777" w:rsidR="00410716" w:rsidRPr="00BE78CA" w:rsidRDefault="00410716" w:rsidP="00410716">
      <w:pPr>
        <w:pStyle w:val="BodyText"/>
      </w:pPr>
      <w:r w:rsidRPr="00BE78CA">
        <w:t xml:space="preserve">New Zealand is using the same </w:t>
      </w:r>
      <w:r w:rsidRPr="00BE78CA">
        <w:rPr>
          <w:i/>
        </w:rPr>
        <w:t>Forest land</w:t>
      </w:r>
      <w:r w:rsidRPr="00BE78CA">
        <w:t xml:space="preserve"> definition for the period to 2020 as that used for the first commitment period and as defined in </w:t>
      </w:r>
      <w:r w:rsidRPr="00BE78CA">
        <w:rPr>
          <w:i/>
        </w:rPr>
        <w:t xml:space="preserve">New Zealand’s Initial Report under the Kyoto Protocol </w:t>
      </w:r>
      <w:r w:rsidRPr="00BE78CA">
        <w:t xml:space="preserve">(Ministry for the Environment, 2006). This definition is consistent with that used for the Land Use, Land-Use Change and Forestry (LULUCF) sector under the UNFCCC reporting (chapter 6). Table 11.1.3 provides the defining parameters for </w:t>
      </w:r>
      <w:r w:rsidRPr="00BE78CA">
        <w:rPr>
          <w:i/>
        </w:rPr>
        <w:t>Forest land</w:t>
      </w:r>
      <w:r w:rsidRPr="00BE78CA">
        <w:t>.</w:t>
      </w:r>
    </w:p>
    <w:p w14:paraId="6DCC6EE1" w14:textId="77777777" w:rsidR="00410716" w:rsidRPr="00BE78CA" w:rsidRDefault="00410716" w:rsidP="00410716">
      <w:pPr>
        <w:pStyle w:val="Table"/>
      </w:pPr>
      <w:bookmarkStart w:id="3366" w:name="_Toc280630485"/>
      <w:bookmarkStart w:id="3367" w:name="_Toc310423442"/>
      <w:bookmarkStart w:id="3368" w:name="_Toc318362735"/>
      <w:bookmarkStart w:id="3369" w:name="_Toc342470814"/>
      <w:bookmarkStart w:id="3370" w:name="_Toc352505067"/>
      <w:bookmarkStart w:id="3371" w:name="_Toc377043703"/>
      <w:bookmarkStart w:id="3372" w:name="_Toc391023555"/>
      <w:bookmarkStart w:id="3373" w:name="_Toc414531526"/>
      <w:bookmarkStart w:id="3374" w:name="_Toc456179105"/>
      <w:bookmarkStart w:id="3375" w:name="_Toc481751631"/>
      <w:bookmarkStart w:id="3376" w:name="_Toc522010656"/>
      <w:bookmarkStart w:id="3377" w:name="_Toc5269626"/>
      <w:bookmarkStart w:id="3378" w:name="_Toc36224708"/>
      <w:bookmarkStart w:id="3379" w:name="_Toc64987043"/>
      <w:bookmarkStart w:id="3380" w:name="_Toc68786593"/>
      <w:r w:rsidRPr="00BE78CA">
        <w:t>Table 11.1.3</w:t>
      </w:r>
      <w:r w:rsidRPr="00BE78CA">
        <w:tab/>
        <w:t>Parameters defining Forest land in New Zealand</w:t>
      </w:r>
      <w:bookmarkEnd w:id="3366"/>
      <w:bookmarkEnd w:id="3367"/>
      <w:bookmarkEnd w:id="3368"/>
      <w:bookmarkEnd w:id="3369"/>
      <w:bookmarkEnd w:id="3370"/>
      <w:bookmarkEnd w:id="3371"/>
      <w:bookmarkEnd w:id="3372"/>
      <w:bookmarkEnd w:id="3373"/>
      <w:bookmarkEnd w:id="3374"/>
      <w:bookmarkEnd w:id="3375"/>
      <w:bookmarkEnd w:id="3376"/>
      <w:bookmarkEnd w:id="3377"/>
      <w:bookmarkEnd w:id="3378"/>
      <w:bookmarkEnd w:id="3379"/>
      <w:bookmarkEnd w:id="3380"/>
    </w:p>
    <w:tbl>
      <w:tblPr>
        <w:tblW w:w="8505" w:type="dxa"/>
        <w:tblBorders>
          <w:top w:val="single" w:sz="4" w:space="0" w:color="365F91"/>
          <w:bottom w:val="single" w:sz="4" w:space="0" w:color="365F91"/>
          <w:insideH w:val="single" w:sz="4" w:space="0" w:color="365F91"/>
        </w:tblBorders>
        <w:tblLook w:val="01E0" w:firstRow="1" w:lastRow="1" w:firstColumn="1" w:lastColumn="1" w:noHBand="0" w:noVBand="0"/>
      </w:tblPr>
      <w:tblGrid>
        <w:gridCol w:w="3061"/>
        <w:gridCol w:w="2683"/>
        <w:gridCol w:w="2761"/>
      </w:tblGrid>
      <w:tr w:rsidR="00410716" w:rsidRPr="00BE78CA" w14:paraId="3DD042E7" w14:textId="77777777" w:rsidTr="00F47CED">
        <w:tc>
          <w:tcPr>
            <w:tcW w:w="2672" w:type="dxa"/>
            <w:shd w:val="clear" w:color="auto" w:fill="365F91"/>
            <w:vAlign w:val="center"/>
          </w:tcPr>
          <w:p w14:paraId="56C69045" w14:textId="77777777" w:rsidR="00410716" w:rsidRPr="00BE78CA" w:rsidRDefault="00410716" w:rsidP="00C26084">
            <w:pPr>
              <w:pStyle w:val="TableTextBold"/>
              <w:rPr>
                <w:noProof w:val="0"/>
                <w:color w:val="FFFFFF"/>
                <w:szCs w:val="16"/>
              </w:rPr>
            </w:pPr>
            <w:r w:rsidRPr="00BE78CA">
              <w:rPr>
                <w:noProof w:val="0"/>
                <w:color w:val="FFFFFF"/>
                <w:szCs w:val="16"/>
              </w:rPr>
              <w:t>Forest parameter</w:t>
            </w:r>
          </w:p>
        </w:tc>
        <w:tc>
          <w:tcPr>
            <w:tcW w:w="2341" w:type="dxa"/>
            <w:shd w:val="clear" w:color="auto" w:fill="365F91"/>
            <w:vAlign w:val="center"/>
          </w:tcPr>
          <w:p w14:paraId="1A997B83" w14:textId="77777777" w:rsidR="00410716" w:rsidRPr="00BE78CA" w:rsidRDefault="00410716" w:rsidP="00C26084">
            <w:pPr>
              <w:pStyle w:val="TableTextBold"/>
              <w:jc w:val="center"/>
              <w:rPr>
                <w:noProof w:val="0"/>
                <w:color w:val="FFFFFF"/>
                <w:szCs w:val="16"/>
              </w:rPr>
            </w:pPr>
            <w:r w:rsidRPr="00BE78CA">
              <w:rPr>
                <w:noProof w:val="0"/>
                <w:color w:val="FFFFFF"/>
                <w:szCs w:val="16"/>
              </w:rPr>
              <w:t>Kyoto Protocol range</w:t>
            </w:r>
          </w:p>
        </w:tc>
        <w:tc>
          <w:tcPr>
            <w:tcW w:w="2409" w:type="dxa"/>
            <w:shd w:val="clear" w:color="auto" w:fill="365F91"/>
            <w:vAlign w:val="center"/>
          </w:tcPr>
          <w:p w14:paraId="0D241F45" w14:textId="77777777" w:rsidR="00410716" w:rsidRPr="00BE78CA" w:rsidRDefault="00410716" w:rsidP="00C26084">
            <w:pPr>
              <w:pStyle w:val="TableTextBold"/>
              <w:jc w:val="center"/>
              <w:rPr>
                <w:noProof w:val="0"/>
                <w:color w:val="FFFFFF"/>
                <w:szCs w:val="16"/>
              </w:rPr>
            </w:pPr>
            <w:r w:rsidRPr="00BE78CA">
              <w:rPr>
                <w:noProof w:val="0"/>
                <w:color w:val="FFFFFF"/>
                <w:szCs w:val="16"/>
              </w:rPr>
              <w:t>New Zealand selected value</w:t>
            </w:r>
          </w:p>
        </w:tc>
      </w:tr>
      <w:tr w:rsidR="00410716" w:rsidRPr="00BE78CA" w14:paraId="3841F3A7" w14:textId="77777777" w:rsidTr="00F47CED">
        <w:tc>
          <w:tcPr>
            <w:tcW w:w="2672" w:type="dxa"/>
            <w:shd w:val="clear" w:color="auto" w:fill="auto"/>
            <w:vAlign w:val="center"/>
          </w:tcPr>
          <w:p w14:paraId="79A37187" w14:textId="77777777" w:rsidR="00410716" w:rsidRPr="00BE78CA" w:rsidRDefault="00410716" w:rsidP="00C26084">
            <w:pPr>
              <w:pStyle w:val="TableText"/>
              <w:spacing w:before="50" w:after="50"/>
              <w:rPr>
                <w:szCs w:val="16"/>
              </w:rPr>
            </w:pPr>
            <w:r w:rsidRPr="00BE78CA">
              <w:rPr>
                <w:szCs w:val="16"/>
              </w:rPr>
              <w:t>Minimum land area (ha)</w:t>
            </w:r>
          </w:p>
        </w:tc>
        <w:tc>
          <w:tcPr>
            <w:tcW w:w="2341" w:type="dxa"/>
            <w:shd w:val="clear" w:color="auto" w:fill="auto"/>
            <w:vAlign w:val="center"/>
          </w:tcPr>
          <w:p w14:paraId="0E47518A" w14:textId="77777777" w:rsidR="00410716" w:rsidRPr="00BE78CA" w:rsidRDefault="00410716" w:rsidP="00C26084">
            <w:pPr>
              <w:pStyle w:val="TableText"/>
              <w:spacing w:before="50" w:after="50"/>
              <w:jc w:val="center"/>
              <w:rPr>
                <w:szCs w:val="16"/>
              </w:rPr>
            </w:pPr>
            <w:r w:rsidRPr="00BE78CA">
              <w:rPr>
                <w:szCs w:val="16"/>
              </w:rPr>
              <w:t>0.05–1</w:t>
            </w:r>
          </w:p>
        </w:tc>
        <w:tc>
          <w:tcPr>
            <w:tcW w:w="2409" w:type="dxa"/>
            <w:shd w:val="clear" w:color="auto" w:fill="auto"/>
            <w:vAlign w:val="center"/>
          </w:tcPr>
          <w:p w14:paraId="610FDA98" w14:textId="77777777" w:rsidR="00410716" w:rsidRPr="00BE78CA" w:rsidRDefault="00410716" w:rsidP="00C26084">
            <w:pPr>
              <w:pStyle w:val="TableText"/>
              <w:spacing w:before="50" w:after="50"/>
              <w:jc w:val="center"/>
              <w:rPr>
                <w:bCs/>
                <w:szCs w:val="16"/>
              </w:rPr>
            </w:pPr>
            <w:r w:rsidRPr="00BE78CA">
              <w:rPr>
                <w:bCs/>
                <w:szCs w:val="16"/>
              </w:rPr>
              <w:t>1</w:t>
            </w:r>
          </w:p>
        </w:tc>
      </w:tr>
      <w:tr w:rsidR="00410716" w:rsidRPr="00BE78CA" w14:paraId="1EAA9C76" w14:textId="77777777" w:rsidTr="00F47CED">
        <w:tc>
          <w:tcPr>
            <w:tcW w:w="2672" w:type="dxa"/>
            <w:tcBorders>
              <w:bottom w:val="single" w:sz="4" w:space="0" w:color="365F91"/>
            </w:tcBorders>
            <w:shd w:val="clear" w:color="auto" w:fill="auto"/>
            <w:vAlign w:val="center"/>
          </w:tcPr>
          <w:p w14:paraId="552D1FDD" w14:textId="77777777" w:rsidR="00410716" w:rsidRPr="00BE78CA" w:rsidRDefault="00410716" w:rsidP="00C26084">
            <w:pPr>
              <w:pStyle w:val="TableText"/>
              <w:spacing w:before="50" w:after="50"/>
              <w:rPr>
                <w:szCs w:val="16"/>
              </w:rPr>
            </w:pPr>
            <w:r w:rsidRPr="00BE78CA">
              <w:rPr>
                <w:szCs w:val="16"/>
              </w:rPr>
              <w:t>Minimum crown cover (%)</w:t>
            </w:r>
          </w:p>
        </w:tc>
        <w:tc>
          <w:tcPr>
            <w:tcW w:w="2341" w:type="dxa"/>
            <w:tcBorders>
              <w:bottom w:val="single" w:sz="4" w:space="0" w:color="365F91"/>
            </w:tcBorders>
            <w:shd w:val="clear" w:color="auto" w:fill="auto"/>
            <w:vAlign w:val="center"/>
          </w:tcPr>
          <w:p w14:paraId="3F2C4517" w14:textId="77777777" w:rsidR="00410716" w:rsidRPr="00BE78CA" w:rsidRDefault="00410716" w:rsidP="00C26084">
            <w:pPr>
              <w:pStyle w:val="TableText"/>
              <w:spacing w:before="50" w:after="50"/>
              <w:jc w:val="center"/>
              <w:rPr>
                <w:szCs w:val="16"/>
              </w:rPr>
            </w:pPr>
            <w:r w:rsidRPr="00BE78CA">
              <w:rPr>
                <w:szCs w:val="16"/>
              </w:rPr>
              <w:t>10–30</w:t>
            </w:r>
          </w:p>
        </w:tc>
        <w:tc>
          <w:tcPr>
            <w:tcW w:w="2409" w:type="dxa"/>
            <w:tcBorders>
              <w:bottom w:val="single" w:sz="4" w:space="0" w:color="365F91"/>
            </w:tcBorders>
            <w:shd w:val="clear" w:color="auto" w:fill="auto"/>
            <w:vAlign w:val="center"/>
          </w:tcPr>
          <w:p w14:paraId="20635B19" w14:textId="77777777" w:rsidR="00410716" w:rsidRPr="00BE78CA" w:rsidRDefault="00410716" w:rsidP="00C26084">
            <w:pPr>
              <w:pStyle w:val="TableText"/>
              <w:spacing w:before="50" w:after="50"/>
              <w:jc w:val="center"/>
              <w:rPr>
                <w:bCs/>
                <w:szCs w:val="16"/>
              </w:rPr>
            </w:pPr>
            <w:r w:rsidRPr="00BE78CA">
              <w:rPr>
                <w:bCs/>
                <w:szCs w:val="16"/>
              </w:rPr>
              <w:t>30</w:t>
            </w:r>
          </w:p>
        </w:tc>
      </w:tr>
      <w:tr w:rsidR="00410716" w:rsidRPr="00BE78CA" w14:paraId="7096A2E9" w14:textId="77777777" w:rsidTr="00F47CED">
        <w:tc>
          <w:tcPr>
            <w:tcW w:w="2672" w:type="dxa"/>
            <w:shd w:val="clear" w:color="auto" w:fill="auto"/>
            <w:vAlign w:val="center"/>
          </w:tcPr>
          <w:p w14:paraId="12410E32" w14:textId="77777777" w:rsidR="00410716" w:rsidRPr="00BE78CA" w:rsidRDefault="00410716" w:rsidP="00C26084">
            <w:pPr>
              <w:pStyle w:val="TableText"/>
              <w:spacing w:before="50" w:after="50"/>
              <w:rPr>
                <w:szCs w:val="16"/>
              </w:rPr>
            </w:pPr>
            <w:r w:rsidRPr="00BE78CA">
              <w:rPr>
                <w:szCs w:val="16"/>
              </w:rPr>
              <w:t>Minimum height (m)</w:t>
            </w:r>
          </w:p>
        </w:tc>
        <w:tc>
          <w:tcPr>
            <w:tcW w:w="2341" w:type="dxa"/>
            <w:shd w:val="clear" w:color="auto" w:fill="auto"/>
            <w:vAlign w:val="center"/>
          </w:tcPr>
          <w:p w14:paraId="64CA57E6" w14:textId="77777777" w:rsidR="00410716" w:rsidRPr="00BE78CA" w:rsidRDefault="00410716" w:rsidP="00C26084">
            <w:pPr>
              <w:pStyle w:val="TableText"/>
              <w:spacing w:before="50" w:after="50"/>
              <w:jc w:val="center"/>
              <w:rPr>
                <w:bCs/>
                <w:szCs w:val="16"/>
              </w:rPr>
            </w:pPr>
            <w:r w:rsidRPr="00BE78CA">
              <w:rPr>
                <w:bCs/>
                <w:szCs w:val="16"/>
              </w:rPr>
              <w:t>2–5</w:t>
            </w:r>
          </w:p>
        </w:tc>
        <w:tc>
          <w:tcPr>
            <w:tcW w:w="2409" w:type="dxa"/>
            <w:shd w:val="clear" w:color="auto" w:fill="auto"/>
            <w:vAlign w:val="center"/>
          </w:tcPr>
          <w:p w14:paraId="419AF430" w14:textId="77777777" w:rsidR="00410716" w:rsidRPr="00BE78CA" w:rsidRDefault="00410716" w:rsidP="00C26084">
            <w:pPr>
              <w:pStyle w:val="TableText"/>
              <w:spacing w:before="50" w:after="50"/>
              <w:jc w:val="center"/>
              <w:rPr>
                <w:bCs/>
                <w:szCs w:val="16"/>
              </w:rPr>
            </w:pPr>
            <w:r w:rsidRPr="00BE78CA">
              <w:rPr>
                <w:bCs/>
                <w:szCs w:val="16"/>
              </w:rPr>
              <w:t>5</w:t>
            </w:r>
          </w:p>
        </w:tc>
      </w:tr>
    </w:tbl>
    <w:p w14:paraId="5DF4BDCD" w14:textId="77777777" w:rsidR="00410716" w:rsidRPr="00BE78CA" w:rsidRDefault="00410716" w:rsidP="00410716">
      <w:pPr>
        <w:pStyle w:val="Noteundertable"/>
      </w:pPr>
      <w:r w:rsidRPr="00BE78CA">
        <w:rPr>
          <w:b/>
        </w:rPr>
        <w:t>Note:</w:t>
      </w:r>
      <w:r w:rsidRPr="00BE78CA">
        <w:tab/>
        <w:t xml:space="preserve">The range values represent the minimum forest definition values as defined under the Kyoto Protocol, Decision 16/CMP.1 (UNFCCC, 2006). </w:t>
      </w:r>
    </w:p>
    <w:p w14:paraId="112256BD" w14:textId="77777777" w:rsidR="00410716" w:rsidRPr="00BE78CA" w:rsidRDefault="00410716" w:rsidP="00410716">
      <w:pPr>
        <w:pStyle w:val="BodyText"/>
      </w:pPr>
      <w:r w:rsidRPr="00BE78CA">
        <w:t xml:space="preserve">New Zealand also uses a minimum forest width of 30 metres, which excludes linear shelterbelts from the </w:t>
      </w:r>
      <w:r w:rsidRPr="00BE78CA">
        <w:rPr>
          <w:i/>
        </w:rPr>
        <w:t>Forest land</w:t>
      </w:r>
      <w:r w:rsidRPr="00BE78CA">
        <w:t xml:space="preserve"> category. Linear shelterbelts can vary in width and height, because they are trimmed and topped from time to time. Further, they form part of non</w:t>
      </w:r>
      <w:r w:rsidRPr="00BE78CA">
        <w:noBreakHyphen/>
        <w:t xml:space="preserve">forest land uses, namely </w:t>
      </w:r>
      <w:r w:rsidRPr="00BE78CA">
        <w:rPr>
          <w:i/>
        </w:rPr>
        <w:t>Cropland</w:t>
      </w:r>
      <w:r w:rsidRPr="00BE78CA">
        <w:t xml:space="preserve"> and </w:t>
      </w:r>
      <w:r w:rsidRPr="00BE78CA">
        <w:rPr>
          <w:i/>
        </w:rPr>
        <w:t>Grassland</w:t>
      </w:r>
      <w:r w:rsidRPr="00BE78CA">
        <w:t xml:space="preserve"> as shelter for crops and/or animals.</w:t>
      </w:r>
    </w:p>
    <w:p w14:paraId="6D664E66" w14:textId="77777777" w:rsidR="00410716" w:rsidRPr="00BE78CA" w:rsidRDefault="00410716" w:rsidP="00410716">
      <w:pPr>
        <w:pStyle w:val="BodyText"/>
      </w:pPr>
      <w:r w:rsidRPr="00BE78CA">
        <w:t>For reporting under the Kyoto Protocol, New Zealand has categorised its forests into four types: pre-1990 natural forest, pre-1990 planted forest, post-1989 planted forest and post</w:t>
      </w:r>
      <w:r w:rsidRPr="00BE78CA">
        <w:noBreakHyphen/>
        <w:t xml:space="preserve">1989 natural forest. These subcategories are also used for inventory reporting on the LULUCF sector under the UNFCCC (see chapter 6). </w:t>
      </w:r>
    </w:p>
    <w:p w14:paraId="08DA92AC" w14:textId="77777777" w:rsidR="00410716" w:rsidRPr="00BE78CA" w:rsidRDefault="00410716" w:rsidP="00410716">
      <w:pPr>
        <w:pStyle w:val="BodyText"/>
        <w:spacing w:before="100" w:after="100"/>
      </w:pPr>
      <w:r w:rsidRPr="00BE78CA">
        <w:t xml:space="preserve">For all post-1989 forest, emissions and removals from carbon losses and gains due to </w:t>
      </w:r>
      <w:r w:rsidRPr="00BE78CA">
        <w:rPr>
          <w:i/>
        </w:rPr>
        <w:t>Afforestation and reforestation</w:t>
      </w:r>
      <w:r w:rsidRPr="00BE78CA">
        <w:rPr>
          <w:rStyle w:val="FootnoteReference"/>
        </w:rPr>
        <w:footnoteReference w:id="74"/>
      </w:r>
      <w:r w:rsidRPr="00BE78CA">
        <w:t xml:space="preserve"> and </w:t>
      </w:r>
      <w:r w:rsidRPr="00BE78CA">
        <w:rPr>
          <w:i/>
        </w:rPr>
        <w:t xml:space="preserve">Deforestation </w:t>
      </w:r>
      <w:r w:rsidRPr="00BE78CA">
        <w:t xml:space="preserve">activities are reported under Article 3.3, along with emissions from </w:t>
      </w:r>
      <w:r w:rsidRPr="00BE78CA">
        <w:rPr>
          <w:i/>
        </w:rPr>
        <w:t>Deforestation</w:t>
      </w:r>
      <w:r w:rsidRPr="00BE78CA">
        <w:t xml:space="preserve"> activities in pre-1990 natural and pre-1990 planted </w:t>
      </w:r>
      <w:r w:rsidRPr="00BE78CA">
        <w:lastRenderedPageBreak/>
        <w:t xml:space="preserve">forest. For all </w:t>
      </w:r>
      <w:r w:rsidRPr="00BE78CA">
        <w:rPr>
          <w:i/>
        </w:rPr>
        <w:t>Forest land</w:t>
      </w:r>
      <w:r w:rsidRPr="00BE78CA">
        <w:t xml:space="preserve"> that existed on 31 December 1989, which has been categorised as either pre-1990 natural forest or pre-1990 planted forest, all emissions and removals not associated with </w:t>
      </w:r>
      <w:r w:rsidRPr="00BE78CA">
        <w:rPr>
          <w:i/>
        </w:rPr>
        <w:t>Afforestation and reforestation</w:t>
      </w:r>
      <w:r w:rsidRPr="00BE78CA">
        <w:t xml:space="preserve"> or </w:t>
      </w:r>
      <w:r w:rsidRPr="00BE78CA">
        <w:rPr>
          <w:i/>
        </w:rPr>
        <w:t>Deforestation</w:t>
      </w:r>
      <w:r w:rsidRPr="00BE78CA">
        <w:t xml:space="preserve"> activities are reported under Article 3.4 – </w:t>
      </w:r>
      <w:r w:rsidRPr="00BE78CA">
        <w:rPr>
          <w:i/>
        </w:rPr>
        <w:t>Forest management</w:t>
      </w:r>
      <w:r w:rsidRPr="00BE78CA">
        <w:t xml:space="preserve">. Emissions and removals from the harvest and conversion of forest plantations and establishment of new forests that satisfy the requirements of Decision 2/CMP.7, Annex para 37 (UNFCCC, 2012), are reported under Article 3.4 – </w:t>
      </w:r>
      <w:r w:rsidRPr="00BE78CA">
        <w:rPr>
          <w:i/>
        </w:rPr>
        <w:t xml:space="preserve">Forest management </w:t>
      </w:r>
      <w:r w:rsidRPr="00BE78CA">
        <w:t>as carbon equivalent forests.</w:t>
      </w:r>
    </w:p>
    <w:p w14:paraId="44398E73" w14:textId="77777777" w:rsidR="00410716" w:rsidRPr="00BE78CA" w:rsidRDefault="00410716" w:rsidP="00410716">
      <w:pPr>
        <w:pStyle w:val="BodyText"/>
        <w:spacing w:before="100" w:after="100"/>
      </w:pPr>
      <w:r w:rsidRPr="00BE78CA">
        <w:t xml:space="preserve">The definition of forest used for reporting to the Food and Agriculture Organization (FAO) is currently different from that used for reporting under the Convention and the Kyoto Protocol. For reporting to the FAO, New Zealand subdivided forests into two estates based on their biological characteristics, the management regimes applied to the forests and their respective roles and national objectives (Ministry of Agriculture and Forestry, 2002). The two estates are indigenous and planted production forest. The former estate is included within the pre-1990 natural forest as reported in this submission. The planted production forest area largely equates to the productive area in pre-1990 planted forest and post-1989 planted forest. </w:t>
      </w:r>
    </w:p>
    <w:p w14:paraId="6F1AB3EE" w14:textId="77777777" w:rsidR="00410716" w:rsidRPr="00BE78CA" w:rsidRDefault="00410716" w:rsidP="00410716">
      <w:pPr>
        <w:pStyle w:val="Heading3"/>
        <w:spacing w:before="280"/>
      </w:pPr>
      <w:bookmarkStart w:id="3381" w:name="_Toc261513281"/>
      <w:bookmarkStart w:id="3382" w:name="_Toc261513894"/>
      <w:bookmarkStart w:id="3383" w:name="_Toc280630384"/>
      <w:bookmarkStart w:id="3384" w:name="_Toc377043716"/>
      <w:bookmarkStart w:id="3385" w:name="_Toc400967254"/>
      <w:r w:rsidRPr="00BE78CA">
        <w:t>11.1.2</w:t>
      </w:r>
      <w:r w:rsidRPr="00BE78CA">
        <w:tab/>
        <w:t>Elected activities under Article 3.4</w:t>
      </w:r>
      <w:bookmarkEnd w:id="3381"/>
      <w:bookmarkEnd w:id="3382"/>
      <w:bookmarkEnd w:id="3383"/>
      <w:bookmarkEnd w:id="3384"/>
      <w:bookmarkEnd w:id="3385"/>
    </w:p>
    <w:p w14:paraId="6E75AFB6" w14:textId="77777777" w:rsidR="00410716" w:rsidRPr="00BE78CA" w:rsidRDefault="00410716" w:rsidP="00410716">
      <w:pPr>
        <w:pStyle w:val="BodyText"/>
      </w:pPr>
      <w:r w:rsidRPr="00BE78CA">
        <w:t>New Zealand has not elected to report on any of the voluntary activities under Article 3.4 of the Kyoto Protocol for the second commitment period. This is consistent with New Zealand’s reporting for the first commitment period.</w:t>
      </w:r>
    </w:p>
    <w:p w14:paraId="33E2DBDE" w14:textId="77777777" w:rsidR="00410716" w:rsidRPr="00BE78CA" w:rsidRDefault="00410716" w:rsidP="00410716">
      <w:pPr>
        <w:pStyle w:val="Heading3"/>
        <w:spacing w:before="280"/>
      </w:pPr>
      <w:r w:rsidRPr="00BE78CA">
        <w:t xml:space="preserve">11.1.3 </w:t>
      </w:r>
      <w:r w:rsidRPr="00BE78CA">
        <w:tab/>
        <w:t>Election of the Natural disturbance provision</w:t>
      </w:r>
    </w:p>
    <w:p w14:paraId="2119AC24" w14:textId="77777777" w:rsidR="00410716" w:rsidRPr="00BE78CA" w:rsidRDefault="00410716" w:rsidP="00410716">
      <w:pPr>
        <w:pStyle w:val="BodyText"/>
        <w:spacing w:before="100" w:after="100"/>
      </w:pPr>
      <w:r w:rsidRPr="00BE78CA">
        <w:t xml:space="preserve">In the event of a significant natural disturbance, New Zealand intends to apply the provision to exclude emissions due to natural disturbances from accounting for </w:t>
      </w:r>
      <w:r w:rsidRPr="00BE78CA">
        <w:rPr>
          <w:i/>
        </w:rPr>
        <w:t>Afforestation and reforestation</w:t>
      </w:r>
      <w:r w:rsidRPr="00BE78CA">
        <w:t xml:space="preserve"> under Article 3.3, and </w:t>
      </w:r>
      <w:r w:rsidRPr="00BE78CA">
        <w:rPr>
          <w:i/>
        </w:rPr>
        <w:t>Forest management</w:t>
      </w:r>
      <w:r w:rsidRPr="00BE78CA">
        <w:t xml:space="preserve"> under Article 3.4, of the Kyoto Protocol, in accordance with Decision 2/CMP.7 (Annex, paras 33 and 34, UNFCCC, 2012). </w:t>
      </w:r>
    </w:p>
    <w:p w14:paraId="70EDA868" w14:textId="77777777" w:rsidR="00410716" w:rsidRPr="00BE78CA" w:rsidRDefault="00410716" w:rsidP="00410716">
      <w:pPr>
        <w:pStyle w:val="BodyText"/>
        <w:spacing w:before="100" w:after="100"/>
      </w:pPr>
      <w:r w:rsidRPr="00BE78CA">
        <w:t>Information on how New Zealand has calculated the background level for natural disturbance is included in annex 5.2.</w:t>
      </w:r>
    </w:p>
    <w:p w14:paraId="68629AFC" w14:textId="77777777" w:rsidR="00410716" w:rsidRPr="00BE78CA" w:rsidRDefault="00410716" w:rsidP="00410716">
      <w:pPr>
        <w:pStyle w:val="Heading3"/>
        <w:spacing w:before="280"/>
      </w:pPr>
      <w:bookmarkStart w:id="3386" w:name="_Toc261513282"/>
      <w:bookmarkStart w:id="3387" w:name="_Toc261513895"/>
      <w:bookmarkStart w:id="3388" w:name="_Toc280630385"/>
      <w:bookmarkStart w:id="3389" w:name="_Toc377043717"/>
      <w:bookmarkStart w:id="3390" w:name="_Toc400967255"/>
      <w:r w:rsidRPr="00BE78CA">
        <w:t>11.1.4</w:t>
      </w:r>
      <w:r w:rsidRPr="00BE78CA">
        <w:tab/>
        <w:t>Implementation of Article 3.3</w:t>
      </w:r>
      <w:bookmarkEnd w:id="3386"/>
      <w:bookmarkEnd w:id="3387"/>
      <w:bookmarkEnd w:id="3388"/>
      <w:bookmarkEnd w:id="3389"/>
      <w:r w:rsidRPr="00BE78CA">
        <w:t xml:space="preserve"> and Article 3.4</w:t>
      </w:r>
      <w:bookmarkEnd w:id="3390"/>
      <w:r w:rsidRPr="00BE78CA">
        <w:t xml:space="preserve"> reporting</w:t>
      </w:r>
    </w:p>
    <w:p w14:paraId="29E0A378" w14:textId="77777777" w:rsidR="00410716" w:rsidRPr="00BE78CA" w:rsidRDefault="00410716" w:rsidP="00410716">
      <w:pPr>
        <w:pStyle w:val="BodyText"/>
        <w:spacing w:before="100" w:after="100"/>
      </w:pPr>
      <w:r w:rsidRPr="00BE78CA">
        <w:t xml:space="preserve">New Zealand reports </w:t>
      </w:r>
      <w:r w:rsidRPr="00BE78CA">
        <w:rPr>
          <w:i/>
        </w:rPr>
        <w:t>Afforestation and reforestation</w:t>
      </w:r>
      <w:r w:rsidRPr="00BE78CA">
        <w:t xml:space="preserve">, </w:t>
      </w:r>
      <w:r w:rsidRPr="00BE78CA">
        <w:rPr>
          <w:i/>
        </w:rPr>
        <w:t>Deforestation</w:t>
      </w:r>
      <w:r w:rsidRPr="00BE78CA">
        <w:t xml:space="preserve"> and </w:t>
      </w:r>
      <w:r w:rsidRPr="00BE78CA">
        <w:rPr>
          <w:i/>
        </w:rPr>
        <w:t>Forest management</w:t>
      </w:r>
      <w:r w:rsidRPr="00BE78CA">
        <w:t xml:space="preserve"> under Article 3.3 and Article 3.4 respectively. In 2019, this covered 10,143,557 hectares, or 37.7 per cent, of New Zealand’s total land area.</w:t>
      </w:r>
    </w:p>
    <w:p w14:paraId="29EBF7FB" w14:textId="77777777" w:rsidR="00410716" w:rsidRPr="00BE78CA" w:rsidRDefault="00410716" w:rsidP="00410716">
      <w:pPr>
        <w:pStyle w:val="BodyText"/>
        <w:spacing w:before="100" w:after="100"/>
      </w:pPr>
      <w:r w:rsidRPr="00BE78CA">
        <w:t xml:space="preserve">The hierarchy used by New Zealand in the reporting of these activities is as set out in section 1.2 of the Kyoto Protocol Supplement (IPCC, 2014a). This hierarchy means that once a forest area has been identified as deforested, it remains in this category. Therefore, all subsequent stock changes, emissions and removals on this land are reported under </w:t>
      </w:r>
      <w:r w:rsidRPr="00BE78CA">
        <w:rPr>
          <w:i/>
        </w:rPr>
        <w:t>Deforestation</w:t>
      </w:r>
      <w:r w:rsidRPr="00BE78CA">
        <w:t>.</w:t>
      </w:r>
    </w:p>
    <w:p w14:paraId="5C95134D" w14:textId="77777777" w:rsidR="00410716" w:rsidRPr="00BE78CA" w:rsidRDefault="00410716" w:rsidP="00410716">
      <w:pPr>
        <w:pStyle w:val="BodyText"/>
        <w:spacing w:before="100" w:after="100"/>
      </w:pPr>
      <w:r w:rsidRPr="00BE78CA">
        <w:t xml:space="preserve">Tracking of these deforested areas during the calculation and land-use mapping processes (explained in chapter 6, section 6.2.2) ensures that land areas, once deforested, cannot be reported under </w:t>
      </w:r>
      <w:r w:rsidRPr="00BE78CA">
        <w:rPr>
          <w:i/>
        </w:rPr>
        <w:t>Afforestation and reforestation</w:t>
      </w:r>
      <w:r w:rsidRPr="00BE78CA">
        <w:t xml:space="preserve"> or </w:t>
      </w:r>
      <w:r w:rsidRPr="00BE78CA">
        <w:rPr>
          <w:i/>
        </w:rPr>
        <w:t>Forest management</w:t>
      </w:r>
      <w:r w:rsidRPr="00BE78CA">
        <w:t xml:space="preserve">, and that the emissions and removals associated with the new land use or any subsequent land uses are reported under </w:t>
      </w:r>
      <w:r w:rsidRPr="00BE78CA">
        <w:rPr>
          <w:i/>
        </w:rPr>
        <w:t>Deforestation</w:t>
      </w:r>
      <w:r w:rsidRPr="00BE78CA">
        <w:t>. The process for identification of deforested land is outlined in section 11.5.</w:t>
      </w:r>
    </w:p>
    <w:p w14:paraId="5E1256E0" w14:textId="77777777" w:rsidR="00410716" w:rsidRPr="00BE78CA" w:rsidRDefault="00410716" w:rsidP="00410716">
      <w:pPr>
        <w:pStyle w:val="BodyText"/>
        <w:spacing w:before="100" w:after="100"/>
      </w:pPr>
      <w:r w:rsidRPr="00BE78CA">
        <w:t xml:space="preserve">Areas subject to the carbon equivalent forest provision are tracked separately and reported under </w:t>
      </w:r>
      <w:r w:rsidRPr="00BE78CA">
        <w:rPr>
          <w:i/>
        </w:rPr>
        <w:t>Forest management</w:t>
      </w:r>
      <w:r w:rsidRPr="00BE78CA">
        <w:t xml:space="preserve"> (refer to sections 11.2.2 and 11.3.4 for more detail). </w:t>
      </w:r>
    </w:p>
    <w:p w14:paraId="009BAA6B" w14:textId="77777777" w:rsidR="00410716" w:rsidRPr="00BE78CA" w:rsidRDefault="00410716" w:rsidP="00410716">
      <w:pPr>
        <w:pStyle w:val="Heading2"/>
      </w:pPr>
      <w:bookmarkStart w:id="3391" w:name="_Toc261513283"/>
      <w:bookmarkStart w:id="3392" w:name="_Toc261513896"/>
      <w:bookmarkStart w:id="3393" w:name="_Toc280630386"/>
      <w:bookmarkStart w:id="3394" w:name="_Toc310423465"/>
      <w:bookmarkStart w:id="3395" w:name="_Toc342470733"/>
      <w:bookmarkStart w:id="3396" w:name="_Toc352504892"/>
      <w:bookmarkStart w:id="3397" w:name="_Toc377043718"/>
      <w:bookmarkStart w:id="3398" w:name="_Toc391023462"/>
      <w:bookmarkStart w:id="3399" w:name="_Toc400967256"/>
      <w:bookmarkStart w:id="3400" w:name="_Toc414531341"/>
      <w:bookmarkStart w:id="3401" w:name="_Toc456179170"/>
      <w:bookmarkStart w:id="3402" w:name="_Toc481751423"/>
      <w:bookmarkStart w:id="3403" w:name="_Toc522013962"/>
      <w:bookmarkStart w:id="3404" w:name="_Toc5269406"/>
      <w:bookmarkStart w:id="3405" w:name="_Toc36224446"/>
      <w:bookmarkStart w:id="3406" w:name="_Toc68786366"/>
      <w:r w:rsidRPr="00BE78CA">
        <w:lastRenderedPageBreak/>
        <w:t>11.2</w:t>
      </w:r>
      <w:r w:rsidRPr="00BE78CA">
        <w:tab/>
        <w:t>Land-related information</w:t>
      </w:r>
      <w:bookmarkEnd w:id="3391"/>
      <w:bookmarkEnd w:id="3392"/>
      <w:bookmarkEnd w:id="3393"/>
      <w:bookmarkEnd w:id="3394"/>
      <w:bookmarkEnd w:id="3395"/>
      <w:bookmarkEnd w:id="3396"/>
      <w:bookmarkEnd w:id="3397"/>
      <w:bookmarkEnd w:id="3398"/>
      <w:bookmarkEnd w:id="3399"/>
      <w:bookmarkEnd w:id="3400"/>
      <w:bookmarkEnd w:id="3401"/>
      <w:bookmarkEnd w:id="3402"/>
      <w:bookmarkEnd w:id="3403"/>
      <w:bookmarkEnd w:id="3404"/>
      <w:bookmarkEnd w:id="3405"/>
      <w:bookmarkEnd w:id="3406"/>
    </w:p>
    <w:p w14:paraId="6EE57295" w14:textId="77777777" w:rsidR="00410716" w:rsidRPr="00BE78CA" w:rsidRDefault="00410716" w:rsidP="00410716">
      <w:pPr>
        <w:pStyle w:val="Heading3"/>
        <w:spacing w:before="160"/>
      </w:pPr>
      <w:bookmarkStart w:id="3407" w:name="_Toc261513284"/>
      <w:bookmarkStart w:id="3408" w:name="_Toc261513897"/>
      <w:bookmarkStart w:id="3409" w:name="_Toc280630387"/>
      <w:bookmarkStart w:id="3410" w:name="_Toc377043719"/>
      <w:bookmarkStart w:id="3411" w:name="_Toc400967257"/>
      <w:r w:rsidRPr="00BE78CA">
        <w:t xml:space="preserve">11.2.1 </w:t>
      </w:r>
      <w:r w:rsidRPr="00BE78CA">
        <w:tab/>
        <w:t>Spatial assessment unit</w:t>
      </w:r>
      <w:bookmarkEnd w:id="3407"/>
      <w:bookmarkEnd w:id="3408"/>
      <w:bookmarkEnd w:id="3409"/>
      <w:bookmarkEnd w:id="3410"/>
      <w:bookmarkEnd w:id="3411"/>
    </w:p>
    <w:p w14:paraId="7369A24E" w14:textId="77777777" w:rsidR="00410716" w:rsidRPr="00BE78CA" w:rsidRDefault="00410716" w:rsidP="00410716">
      <w:pPr>
        <w:pStyle w:val="BodyText"/>
        <w:spacing w:before="100" w:after="100"/>
      </w:pPr>
      <w:r w:rsidRPr="00BE78CA">
        <w:t>New Zealand is using a minimum mapping unit of 1 hectare.</w:t>
      </w:r>
    </w:p>
    <w:p w14:paraId="36849089" w14:textId="77777777" w:rsidR="00410716" w:rsidRPr="00BE78CA" w:rsidRDefault="00410716" w:rsidP="00410716">
      <w:pPr>
        <w:pStyle w:val="Heading3"/>
        <w:spacing w:before="280"/>
      </w:pPr>
      <w:bookmarkStart w:id="3412" w:name="_Toc261513285"/>
      <w:bookmarkStart w:id="3413" w:name="_Toc261513898"/>
      <w:bookmarkStart w:id="3414" w:name="_Toc280630388"/>
      <w:bookmarkStart w:id="3415" w:name="_Toc377043720"/>
      <w:bookmarkStart w:id="3416" w:name="_Toc400967258"/>
      <w:r w:rsidRPr="00BE78CA">
        <w:t xml:space="preserve">11.2.2 </w:t>
      </w:r>
      <w:r w:rsidRPr="00BE78CA">
        <w:tab/>
        <w:t>Methodology for land transition matrix</w:t>
      </w:r>
      <w:bookmarkEnd w:id="3412"/>
      <w:bookmarkEnd w:id="3413"/>
      <w:bookmarkEnd w:id="3414"/>
      <w:bookmarkEnd w:id="3415"/>
      <w:bookmarkEnd w:id="3416"/>
    </w:p>
    <w:p w14:paraId="16A99789" w14:textId="77777777" w:rsidR="00410716" w:rsidRPr="00BE78CA" w:rsidRDefault="00410716" w:rsidP="00410716">
      <w:pPr>
        <w:pStyle w:val="BodyText"/>
        <w:spacing w:after="100"/>
      </w:pPr>
      <w:r w:rsidRPr="00BE78CA">
        <w:t>The land transition matrix is based on data derived from the following sources:</w:t>
      </w:r>
    </w:p>
    <w:p w14:paraId="03272C5A" w14:textId="77777777" w:rsidR="00410716" w:rsidRPr="00BE78CA" w:rsidRDefault="00410716" w:rsidP="00410716">
      <w:pPr>
        <w:pStyle w:val="Bullet"/>
        <w:numPr>
          <w:ilvl w:val="0"/>
          <w:numId w:val="25"/>
        </w:numPr>
        <w:spacing w:after="100"/>
      </w:pPr>
      <w:r w:rsidRPr="00BE78CA">
        <w:t>the 1990, 2008, 2012 and 2016 land-use maps</w:t>
      </w:r>
    </w:p>
    <w:p w14:paraId="10DD3A69" w14:textId="77777777" w:rsidR="00410716" w:rsidRPr="00BE78CA" w:rsidRDefault="00410716" w:rsidP="00410716">
      <w:pPr>
        <w:pStyle w:val="Bullet"/>
        <w:numPr>
          <w:ilvl w:val="0"/>
          <w:numId w:val="25"/>
        </w:numPr>
        <w:spacing w:after="100"/>
      </w:pPr>
      <w:r w:rsidRPr="00BE78CA">
        <w:t>an estimate of total afforestation for the period 2017 to 2019 is derived from the National Exotic Forest Description (NEFD) (Ministry for Primary Industries, 2019)</w:t>
      </w:r>
    </w:p>
    <w:p w14:paraId="12168D17" w14:textId="77777777" w:rsidR="00410716" w:rsidRPr="00BE78CA" w:rsidRDefault="00410716" w:rsidP="00410716">
      <w:pPr>
        <w:pStyle w:val="Bullet"/>
        <w:numPr>
          <w:ilvl w:val="0"/>
          <w:numId w:val="25"/>
        </w:numPr>
        <w:spacing w:after="100"/>
      </w:pPr>
      <w:r w:rsidRPr="00BE78CA">
        <w:t>deforestation mapping for 2008 to 2016 (Indufor Asia Pacific, 2013, 2016, 2018)</w:t>
      </w:r>
      <w:r w:rsidRPr="00BE78CA" w:rsidDel="00D152CF">
        <w:t xml:space="preserve"> </w:t>
      </w:r>
    </w:p>
    <w:p w14:paraId="062F65A7" w14:textId="77777777" w:rsidR="00410716" w:rsidRPr="00BE78CA" w:rsidRDefault="00410716" w:rsidP="00410716">
      <w:pPr>
        <w:pStyle w:val="Bullet"/>
        <w:numPr>
          <w:ilvl w:val="0"/>
          <w:numId w:val="25"/>
        </w:numPr>
      </w:pPr>
      <w:r w:rsidRPr="00BE78CA">
        <w:t>estimates for 2017 to 2019 deforestation based on the Deforestation Intentions Survey 2017 (Manley, 2018) and the Deforestation Intentions Survey 2018 (Manley, 2019).</w:t>
      </w:r>
    </w:p>
    <w:p w14:paraId="635B7748" w14:textId="77777777" w:rsidR="00410716" w:rsidRPr="00BE78CA" w:rsidRDefault="00410716" w:rsidP="00410716">
      <w:pPr>
        <w:pStyle w:val="BodyText"/>
        <w:spacing w:before="100" w:after="100"/>
      </w:pPr>
      <w:r w:rsidRPr="00BE78CA">
        <w:t xml:space="preserve">Due to the land use category definitions used by New Zealand, which split forests established before 1990 from those established after 1989, the land transition matrix is derived from the sequence of land-use changes occurring through the reporting period. Using the 1990 land-use map as the baseline, areas of deforestation can be tracked through time to ensure that, regardless of subsequent land-use change, the net emissions that occur on the deforested land are reported under </w:t>
      </w:r>
      <w:r w:rsidRPr="00BE78CA">
        <w:rPr>
          <w:i/>
        </w:rPr>
        <w:t>Deforestation</w:t>
      </w:r>
      <w:r w:rsidRPr="00BE78CA">
        <w:t xml:space="preserve">. Where a pre-1990 planted forest is harvested and converted to another land use under the carbon equivalent forest provision, the land is tracked spatially and its net emissions are reported under </w:t>
      </w:r>
      <w:r w:rsidRPr="00BE78CA">
        <w:rPr>
          <w:i/>
        </w:rPr>
        <w:t>Forest management</w:t>
      </w:r>
      <w:r w:rsidRPr="00BE78CA">
        <w:t xml:space="preserve">, as are the areas and net emissions due to the new forest that was established to compensate for the harvested and converted forest. </w:t>
      </w:r>
    </w:p>
    <w:p w14:paraId="46FBE72A" w14:textId="77777777" w:rsidR="00410716" w:rsidRPr="00BE78CA" w:rsidRDefault="00410716" w:rsidP="00410716">
      <w:pPr>
        <w:pStyle w:val="BodyText"/>
        <w:spacing w:before="100" w:after="100"/>
      </w:pPr>
      <w:r w:rsidRPr="00BE78CA">
        <w:t>The relationship between mapped land-use changes and activities reported under Article 3.3 and Article 3.4 is shown in table 11.2.1.</w:t>
      </w:r>
    </w:p>
    <w:bookmarkStart w:id="3417" w:name="_Toc414531529"/>
    <w:bookmarkStart w:id="3418" w:name="_Toc456179106"/>
    <w:bookmarkStart w:id="3419" w:name="_Toc481751632"/>
    <w:bookmarkStart w:id="3420" w:name="_Toc522010657"/>
    <w:bookmarkStart w:id="3421" w:name="_Toc5269627"/>
    <w:bookmarkStart w:id="3422" w:name="_Toc36224709"/>
    <w:bookmarkStart w:id="3423" w:name="_Toc64987044"/>
    <w:bookmarkStart w:id="3424" w:name="_Toc68786594"/>
    <w:p w14:paraId="48E00036" w14:textId="1A6367E9" w:rsidR="00410716" w:rsidRPr="00BE78CA" w:rsidRDefault="00410716" w:rsidP="00410716">
      <w:pPr>
        <w:pStyle w:val="Table"/>
      </w:pPr>
      <w:r w:rsidRPr="00BE78CA">
        <w:rPr>
          <w:noProof/>
        </w:rPr>
        <mc:AlternateContent>
          <mc:Choice Requires="wps">
            <w:drawing>
              <wp:anchor distT="0" distB="0" distL="114300" distR="114300" simplePos="0" relativeHeight="251663360" behindDoc="0" locked="0" layoutInCell="1" allowOverlap="1" wp14:anchorId="47FA26C9" wp14:editId="36DEBF73">
                <wp:simplePos x="0" y="0"/>
                <wp:positionH relativeFrom="column">
                  <wp:posOffset>-19685</wp:posOffset>
                </wp:positionH>
                <wp:positionV relativeFrom="paragraph">
                  <wp:posOffset>425450</wp:posOffset>
                </wp:positionV>
                <wp:extent cx="776605" cy="447040"/>
                <wp:effectExtent l="0" t="0" r="23495" b="29210"/>
                <wp:wrapNone/>
                <wp:docPr id="196" name="Straight Connector 19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76605" cy="447040"/>
                        </a:xfrm>
                        <a:prstGeom prst="line">
                          <a:avLst/>
                        </a:prstGeom>
                        <a:noFill/>
                        <a:ln w="6350" cap="flat" cmpd="sng" algn="ctr">
                          <a:solidFill>
                            <a:sysClr val="window" lastClr="FFFFFF"/>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9C57088" id="Straight Connector 196"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5pt,33.5pt" to="59.6pt,6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" strokecolor="window" strokeweight=".5pt">
                <v:stroke joinstyle="miter"/>
                <o:lock v:ext="edit" shapetype="f"/>
              </v:line>
            </w:pict>
          </mc:Fallback>
        </mc:AlternateContent>
      </w:r>
      <w:r w:rsidRPr="00BE78CA">
        <w:t>Table 11.2.1</w:t>
      </w:r>
      <w:r w:rsidRPr="00BE78CA">
        <w:tab/>
        <w:t>Relationship between mapped land-use changes and activities reported under</w:t>
      </w:r>
      <w:r w:rsidRPr="00BE78CA">
        <w:br/>
        <w:t>Article 3.3 and Article 3.4</w:t>
      </w:r>
      <w:bookmarkEnd w:id="3417"/>
      <w:bookmarkEnd w:id="3418"/>
      <w:bookmarkEnd w:id="3419"/>
      <w:bookmarkEnd w:id="3420"/>
      <w:bookmarkEnd w:id="3421"/>
      <w:bookmarkEnd w:id="3422"/>
      <w:bookmarkEnd w:id="3423"/>
      <w:bookmarkEnd w:id="3424"/>
    </w:p>
    <w:tbl>
      <w:tblPr>
        <w:tblW w:w="8505" w:type="dxa"/>
        <w:tblBorders>
          <w:top w:val="single" w:sz="4" w:space="0" w:color="365F91"/>
          <w:bottom w:val="single" w:sz="4" w:space="0" w:color="365F91"/>
          <w:insideH w:val="single" w:sz="4" w:space="0" w:color="365F91"/>
        </w:tblBorders>
        <w:tblLook w:val="04A0" w:firstRow="1" w:lastRow="0" w:firstColumn="1" w:lastColumn="0" w:noHBand="0" w:noVBand="1"/>
      </w:tblPr>
      <w:tblGrid>
        <w:gridCol w:w="1332"/>
        <w:gridCol w:w="870"/>
        <w:gridCol w:w="870"/>
        <w:gridCol w:w="943"/>
        <w:gridCol w:w="870"/>
        <w:gridCol w:w="870"/>
        <w:gridCol w:w="812"/>
        <w:gridCol w:w="995"/>
        <w:gridCol w:w="943"/>
      </w:tblGrid>
      <w:tr w:rsidR="00410716" w:rsidRPr="00BE78CA" w14:paraId="67F31AC7" w14:textId="77777777" w:rsidTr="00F47CED">
        <w:tc>
          <w:tcPr>
            <w:tcW w:w="1304" w:type="dxa"/>
            <w:shd w:val="clear" w:color="auto" w:fill="365F91"/>
            <w:tcMar>
              <w:left w:w="85" w:type="dxa"/>
              <w:right w:w="85" w:type="dxa"/>
            </w:tcMar>
            <w:vAlign w:val="bottom"/>
          </w:tcPr>
          <w:p w14:paraId="5474FC2C" w14:textId="77777777" w:rsidR="00410716" w:rsidRPr="00BE78CA" w:rsidRDefault="00410716" w:rsidP="00F47CED">
            <w:pPr>
              <w:pStyle w:val="TableTextBold"/>
              <w:spacing w:before="40" w:after="120"/>
              <w:ind w:right="169"/>
              <w:jc w:val="right"/>
              <w:rPr>
                <w:rFonts w:cs="Calibri"/>
                <w:noProof w:val="0"/>
                <w:color w:val="FFFFFF"/>
                <w:szCs w:val="16"/>
              </w:rPr>
            </w:pPr>
            <w:r w:rsidRPr="00BE78CA">
              <w:rPr>
                <w:rFonts w:cs="Calibri"/>
                <w:noProof w:val="0"/>
                <w:color w:val="FFFFFF"/>
                <w:szCs w:val="16"/>
              </w:rPr>
              <w:t>Final</w:t>
            </w:r>
          </w:p>
          <w:p w14:paraId="26FAF4AF" w14:textId="77777777" w:rsidR="00410716" w:rsidRPr="00BE78CA" w:rsidRDefault="00410716" w:rsidP="00C26084">
            <w:pPr>
              <w:pStyle w:val="TableTextBold"/>
              <w:spacing w:before="40" w:after="40"/>
              <w:rPr>
                <w:rFonts w:cs="Calibri"/>
                <w:noProof w:val="0"/>
                <w:color w:val="FFFFFF"/>
                <w:szCs w:val="16"/>
              </w:rPr>
            </w:pPr>
            <w:r w:rsidRPr="00BE78CA">
              <w:rPr>
                <w:rFonts w:cs="Calibri"/>
                <w:noProof w:val="0"/>
                <w:color w:val="FFFFFF"/>
                <w:szCs w:val="16"/>
              </w:rPr>
              <w:t>Initial</w:t>
            </w:r>
          </w:p>
        </w:tc>
        <w:tc>
          <w:tcPr>
            <w:tcW w:w="851" w:type="dxa"/>
            <w:shd w:val="clear" w:color="auto" w:fill="365F91"/>
            <w:tcMar>
              <w:left w:w="85" w:type="dxa"/>
              <w:right w:w="85" w:type="dxa"/>
            </w:tcMar>
            <w:vAlign w:val="bottom"/>
          </w:tcPr>
          <w:p w14:paraId="0489A91B" w14:textId="77777777" w:rsidR="00410716" w:rsidRPr="00BE78CA" w:rsidRDefault="00410716" w:rsidP="00C26084">
            <w:pPr>
              <w:pStyle w:val="TableTextBold"/>
              <w:spacing w:before="40" w:after="40"/>
              <w:jc w:val="center"/>
              <w:rPr>
                <w:rFonts w:cs="Calibri"/>
                <w:noProof w:val="0"/>
                <w:color w:val="FFFFFF"/>
                <w:szCs w:val="16"/>
              </w:rPr>
            </w:pPr>
            <w:r w:rsidRPr="00BE78CA">
              <w:rPr>
                <w:rFonts w:cs="Calibri"/>
                <w:noProof w:val="0"/>
                <w:color w:val="FFFFFF"/>
                <w:szCs w:val="16"/>
              </w:rPr>
              <w:t>Pre-1990 natural forest</w:t>
            </w:r>
          </w:p>
        </w:tc>
        <w:tc>
          <w:tcPr>
            <w:tcW w:w="851" w:type="dxa"/>
            <w:shd w:val="clear" w:color="auto" w:fill="365F91"/>
            <w:tcMar>
              <w:left w:w="85" w:type="dxa"/>
              <w:right w:w="85" w:type="dxa"/>
            </w:tcMar>
            <w:vAlign w:val="bottom"/>
          </w:tcPr>
          <w:p w14:paraId="302927E2" w14:textId="77777777" w:rsidR="00410716" w:rsidRPr="00BE78CA" w:rsidRDefault="00410716" w:rsidP="00C26084">
            <w:pPr>
              <w:pStyle w:val="TableTextBold"/>
              <w:spacing w:before="40" w:after="40"/>
              <w:jc w:val="center"/>
              <w:rPr>
                <w:rFonts w:cs="Calibri"/>
                <w:noProof w:val="0"/>
                <w:color w:val="FFFFFF"/>
                <w:szCs w:val="16"/>
              </w:rPr>
            </w:pPr>
            <w:r w:rsidRPr="00BE78CA">
              <w:rPr>
                <w:rFonts w:cs="Calibri"/>
                <w:noProof w:val="0"/>
                <w:color w:val="FFFFFF"/>
                <w:szCs w:val="16"/>
              </w:rPr>
              <w:t>Pre-1990 planted forest</w:t>
            </w:r>
          </w:p>
        </w:tc>
        <w:tc>
          <w:tcPr>
            <w:tcW w:w="922" w:type="dxa"/>
            <w:shd w:val="clear" w:color="auto" w:fill="365F91"/>
            <w:tcMar>
              <w:left w:w="85" w:type="dxa"/>
              <w:right w:w="85" w:type="dxa"/>
            </w:tcMar>
            <w:vAlign w:val="bottom"/>
          </w:tcPr>
          <w:p w14:paraId="35EBCFFC" w14:textId="77777777" w:rsidR="00410716" w:rsidRPr="00BE78CA" w:rsidRDefault="00410716" w:rsidP="00C26084">
            <w:pPr>
              <w:pStyle w:val="TableTextBold"/>
              <w:spacing w:before="40" w:after="40"/>
              <w:jc w:val="center"/>
              <w:rPr>
                <w:rFonts w:cs="Calibri"/>
                <w:noProof w:val="0"/>
                <w:color w:val="FFFFFF"/>
                <w:szCs w:val="16"/>
              </w:rPr>
            </w:pPr>
            <w:r w:rsidRPr="00BE78CA">
              <w:rPr>
                <w:rFonts w:cs="Calibri"/>
                <w:noProof w:val="0"/>
                <w:color w:val="FFFFFF"/>
                <w:szCs w:val="16"/>
              </w:rPr>
              <w:t>Post-1989 forest</w:t>
            </w:r>
          </w:p>
        </w:tc>
        <w:tc>
          <w:tcPr>
            <w:tcW w:w="851" w:type="dxa"/>
            <w:shd w:val="clear" w:color="auto" w:fill="365F91"/>
            <w:tcMar>
              <w:left w:w="85" w:type="dxa"/>
              <w:right w:w="85" w:type="dxa"/>
            </w:tcMar>
            <w:vAlign w:val="bottom"/>
          </w:tcPr>
          <w:p w14:paraId="3296C9F1" w14:textId="77777777" w:rsidR="00410716" w:rsidRPr="00BE78CA" w:rsidRDefault="00410716" w:rsidP="00C26084">
            <w:pPr>
              <w:pStyle w:val="TableTextBold"/>
              <w:spacing w:before="40" w:after="40"/>
              <w:jc w:val="center"/>
              <w:rPr>
                <w:rFonts w:cs="Calibri"/>
                <w:noProof w:val="0"/>
                <w:color w:val="FFFFFF"/>
                <w:szCs w:val="16"/>
              </w:rPr>
            </w:pPr>
            <w:r w:rsidRPr="00BE78CA">
              <w:rPr>
                <w:rFonts w:cs="Calibri"/>
                <w:noProof w:val="0"/>
                <w:color w:val="FFFFFF"/>
                <w:szCs w:val="16"/>
              </w:rPr>
              <w:t>Grassland</w:t>
            </w:r>
          </w:p>
        </w:tc>
        <w:tc>
          <w:tcPr>
            <w:tcW w:w="851" w:type="dxa"/>
            <w:shd w:val="clear" w:color="auto" w:fill="365F91"/>
            <w:tcMar>
              <w:left w:w="85" w:type="dxa"/>
              <w:right w:w="85" w:type="dxa"/>
            </w:tcMar>
            <w:vAlign w:val="bottom"/>
          </w:tcPr>
          <w:p w14:paraId="5DCE02C2" w14:textId="77777777" w:rsidR="00410716" w:rsidRPr="00BE78CA" w:rsidRDefault="00410716" w:rsidP="00C26084">
            <w:pPr>
              <w:pStyle w:val="TableTextBold"/>
              <w:spacing w:before="40" w:after="40"/>
              <w:jc w:val="center"/>
              <w:rPr>
                <w:rFonts w:cs="Calibri"/>
                <w:noProof w:val="0"/>
                <w:color w:val="FFFFFF"/>
                <w:szCs w:val="16"/>
              </w:rPr>
            </w:pPr>
            <w:r w:rsidRPr="00BE78CA">
              <w:rPr>
                <w:rFonts w:cs="Calibri"/>
                <w:noProof w:val="0"/>
                <w:color w:val="FFFFFF"/>
                <w:szCs w:val="16"/>
              </w:rPr>
              <w:t>Cropland</w:t>
            </w:r>
          </w:p>
        </w:tc>
        <w:tc>
          <w:tcPr>
            <w:tcW w:w="794" w:type="dxa"/>
            <w:shd w:val="clear" w:color="auto" w:fill="365F91"/>
            <w:tcMar>
              <w:left w:w="85" w:type="dxa"/>
              <w:right w:w="85" w:type="dxa"/>
            </w:tcMar>
            <w:vAlign w:val="bottom"/>
          </w:tcPr>
          <w:p w14:paraId="434CAF02" w14:textId="77777777" w:rsidR="00410716" w:rsidRPr="00BE78CA" w:rsidRDefault="00410716" w:rsidP="00C26084">
            <w:pPr>
              <w:pStyle w:val="TableTextBold"/>
              <w:spacing w:before="40" w:after="40"/>
              <w:jc w:val="center"/>
              <w:rPr>
                <w:rFonts w:cs="Calibri"/>
                <w:noProof w:val="0"/>
                <w:color w:val="FFFFFF"/>
                <w:szCs w:val="16"/>
              </w:rPr>
            </w:pPr>
            <w:r w:rsidRPr="00BE78CA">
              <w:rPr>
                <w:rFonts w:cs="Calibri"/>
                <w:noProof w:val="0"/>
                <w:color w:val="FFFFFF"/>
                <w:szCs w:val="16"/>
              </w:rPr>
              <w:t>Wetland</w:t>
            </w:r>
          </w:p>
        </w:tc>
        <w:tc>
          <w:tcPr>
            <w:tcW w:w="964" w:type="dxa"/>
            <w:shd w:val="clear" w:color="auto" w:fill="365F91"/>
            <w:tcMar>
              <w:left w:w="85" w:type="dxa"/>
              <w:right w:w="85" w:type="dxa"/>
            </w:tcMar>
            <w:vAlign w:val="bottom"/>
          </w:tcPr>
          <w:p w14:paraId="6FE2B418" w14:textId="77777777" w:rsidR="00410716" w:rsidRPr="00BE78CA" w:rsidRDefault="00410716" w:rsidP="00C26084">
            <w:pPr>
              <w:pStyle w:val="TableTextBold"/>
              <w:spacing w:before="40" w:after="40"/>
              <w:jc w:val="center"/>
              <w:rPr>
                <w:rFonts w:cs="Calibri"/>
                <w:noProof w:val="0"/>
                <w:color w:val="FFFFFF"/>
                <w:szCs w:val="16"/>
              </w:rPr>
            </w:pPr>
            <w:r w:rsidRPr="00BE78CA">
              <w:rPr>
                <w:rFonts w:cs="Calibri"/>
                <w:noProof w:val="0"/>
                <w:color w:val="FFFFFF"/>
                <w:szCs w:val="16"/>
              </w:rPr>
              <w:t>Settlements</w:t>
            </w:r>
          </w:p>
        </w:tc>
        <w:tc>
          <w:tcPr>
            <w:tcW w:w="922" w:type="dxa"/>
            <w:shd w:val="clear" w:color="auto" w:fill="365F91"/>
            <w:tcMar>
              <w:left w:w="85" w:type="dxa"/>
              <w:right w:w="85" w:type="dxa"/>
            </w:tcMar>
            <w:vAlign w:val="bottom"/>
          </w:tcPr>
          <w:p w14:paraId="6723EAC9" w14:textId="77777777" w:rsidR="00410716" w:rsidRPr="00BE78CA" w:rsidRDefault="00410716" w:rsidP="00C26084">
            <w:pPr>
              <w:pStyle w:val="TableTextBold"/>
              <w:spacing w:before="40" w:after="40"/>
              <w:jc w:val="center"/>
              <w:rPr>
                <w:rFonts w:cs="Calibri"/>
                <w:noProof w:val="0"/>
                <w:color w:val="FFFFFF"/>
                <w:szCs w:val="16"/>
              </w:rPr>
            </w:pPr>
            <w:r w:rsidRPr="00BE78CA">
              <w:rPr>
                <w:rFonts w:cs="Calibri"/>
                <w:noProof w:val="0"/>
                <w:color w:val="FFFFFF"/>
                <w:szCs w:val="16"/>
              </w:rPr>
              <w:t>Other land</w:t>
            </w:r>
          </w:p>
        </w:tc>
      </w:tr>
      <w:tr w:rsidR="00410716" w:rsidRPr="00BE78CA" w14:paraId="60928C6D" w14:textId="77777777" w:rsidTr="00F47CED">
        <w:tc>
          <w:tcPr>
            <w:tcW w:w="1304" w:type="dxa"/>
            <w:shd w:val="clear" w:color="auto" w:fill="auto"/>
            <w:tcMar>
              <w:left w:w="85" w:type="dxa"/>
              <w:right w:w="85" w:type="dxa"/>
            </w:tcMar>
          </w:tcPr>
          <w:p w14:paraId="7457247F" w14:textId="77777777" w:rsidR="00410716" w:rsidRPr="00BE78CA" w:rsidRDefault="00410716" w:rsidP="00C26084">
            <w:pPr>
              <w:pStyle w:val="TableText"/>
              <w:spacing w:before="40" w:after="40"/>
              <w:rPr>
                <w:rFonts w:cs="Calibri"/>
                <w:szCs w:val="16"/>
              </w:rPr>
            </w:pPr>
            <w:r w:rsidRPr="00BE78CA">
              <w:rPr>
                <w:rFonts w:cs="Calibri"/>
                <w:szCs w:val="16"/>
              </w:rPr>
              <w:t>Pre-1990 natural forest</w:t>
            </w:r>
          </w:p>
        </w:tc>
        <w:tc>
          <w:tcPr>
            <w:tcW w:w="851" w:type="dxa"/>
            <w:shd w:val="clear" w:color="auto" w:fill="auto"/>
            <w:tcMar>
              <w:left w:w="85" w:type="dxa"/>
              <w:right w:w="85" w:type="dxa"/>
            </w:tcMar>
          </w:tcPr>
          <w:p w14:paraId="4E202508" w14:textId="77777777" w:rsidR="00410716" w:rsidRPr="00BE78CA" w:rsidRDefault="00410716" w:rsidP="00C26084">
            <w:pPr>
              <w:pStyle w:val="TableText"/>
              <w:spacing w:before="40" w:after="40"/>
              <w:jc w:val="center"/>
              <w:rPr>
                <w:rFonts w:cs="Calibri"/>
                <w:szCs w:val="16"/>
              </w:rPr>
            </w:pPr>
            <w:r w:rsidRPr="00BE78CA">
              <w:rPr>
                <w:rFonts w:cs="Calibri"/>
                <w:szCs w:val="16"/>
              </w:rPr>
              <w:t>FM</w:t>
            </w:r>
          </w:p>
        </w:tc>
        <w:tc>
          <w:tcPr>
            <w:tcW w:w="851" w:type="dxa"/>
            <w:shd w:val="clear" w:color="auto" w:fill="auto"/>
            <w:tcMar>
              <w:left w:w="85" w:type="dxa"/>
              <w:right w:w="85" w:type="dxa"/>
            </w:tcMar>
          </w:tcPr>
          <w:p w14:paraId="4239785A" w14:textId="77777777" w:rsidR="00410716" w:rsidRPr="00BE78CA" w:rsidRDefault="00410716" w:rsidP="00C26084">
            <w:pPr>
              <w:pStyle w:val="TableText"/>
              <w:spacing w:before="40" w:after="40"/>
              <w:jc w:val="center"/>
              <w:rPr>
                <w:rFonts w:cs="Calibri"/>
                <w:szCs w:val="16"/>
              </w:rPr>
            </w:pPr>
            <w:r w:rsidRPr="00BE78CA">
              <w:rPr>
                <w:rFonts w:cs="Calibri"/>
                <w:szCs w:val="16"/>
              </w:rPr>
              <w:t>FM</w:t>
            </w:r>
          </w:p>
        </w:tc>
        <w:tc>
          <w:tcPr>
            <w:tcW w:w="922" w:type="dxa"/>
            <w:shd w:val="clear" w:color="auto" w:fill="auto"/>
            <w:tcMar>
              <w:left w:w="85" w:type="dxa"/>
              <w:right w:w="85" w:type="dxa"/>
            </w:tcMar>
          </w:tcPr>
          <w:p w14:paraId="31CAE35F" w14:textId="77777777" w:rsidR="00410716" w:rsidRPr="00BE78CA" w:rsidRDefault="00410716" w:rsidP="00C26084">
            <w:pPr>
              <w:pStyle w:val="TableText"/>
              <w:spacing w:before="40" w:after="40"/>
              <w:jc w:val="center"/>
              <w:rPr>
                <w:rFonts w:cs="Calibri"/>
                <w:szCs w:val="16"/>
              </w:rPr>
            </w:pPr>
            <w:r w:rsidRPr="00BE78CA">
              <w:rPr>
                <w:rFonts w:cs="Calibri"/>
                <w:szCs w:val="16"/>
              </w:rPr>
              <w:t>–</w:t>
            </w:r>
          </w:p>
        </w:tc>
        <w:tc>
          <w:tcPr>
            <w:tcW w:w="851" w:type="dxa"/>
            <w:shd w:val="clear" w:color="auto" w:fill="auto"/>
            <w:tcMar>
              <w:left w:w="85" w:type="dxa"/>
              <w:right w:w="85" w:type="dxa"/>
            </w:tcMar>
          </w:tcPr>
          <w:p w14:paraId="4F8182B6" w14:textId="77777777" w:rsidR="00410716" w:rsidRPr="00BE78CA" w:rsidRDefault="00410716" w:rsidP="00C26084">
            <w:pPr>
              <w:pStyle w:val="TableText"/>
              <w:spacing w:before="40" w:after="40"/>
              <w:jc w:val="center"/>
              <w:rPr>
                <w:rFonts w:cs="Calibri"/>
                <w:szCs w:val="16"/>
              </w:rPr>
            </w:pPr>
            <w:r w:rsidRPr="00BE78CA">
              <w:rPr>
                <w:rFonts w:cs="Calibri"/>
                <w:szCs w:val="16"/>
              </w:rPr>
              <w:t>D</w:t>
            </w:r>
          </w:p>
        </w:tc>
        <w:tc>
          <w:tcPr>
            <w:tcW w:w="851" w:type="dxa"/>
            <w:shd w:val="clear" w:color="auto" w:fill="auto"/>
            <w:tcMar>
              <w:left w:w="85" w:type="dxa"/>
              <w:right w:w="85" w:type="dxa"/>
            </w:tcMar>
          </w:tcPr>
          <w:p w14:paraId="368059BB" w14:textId="77777777" w:rsidR="00410716" w:rsidRPr="00BE78CA" w:rsidRDefault="00410716" w:rsidP="00C26084">
            <w:pPr>
              <w:pStyle w:val="TableText"/>
              <w:spacing w:before="40" w:after="40"/>
              <w:jc w:val="center"/>
              <w:rPr>
                <w:rFonts w:cs="Calibri"/>
                <w:szCs w:val="16"/>
              </w:rPr>
            </w:pPr>
            <w:r w:rsidRPr="00BE78CA">
              <w:rPr>
                <w:rFonts w:cs="Calibri"/>
                <w:szCs w:val="16"/>
              </w:rPr>
              <w:t>D</w:t>
            </w:r>
          </w:p>
        </w:tc>
        <w:tc>
          <w:tcPr>
            <w:tcW w:w="794" w:type="dxa"/>
            <w:shd w:val="clear" w:color="auto" w:fill="auto"/>
            <w:tcMar>
              <w:left w:w="85" w:type="dxa"/>
              <w:right w:w="85" w:type="dxa"/>
            </w:tcMar>
          </w:tcPr>
          <w:p w14:paraId="74FF3E10" w14:textId="77777777" w:rsidR="00410716" w:rsidRPr="00BE78CA" w:rsidRDefault="00410716" w:rsidP="00C26084">
            <w:pPr>
              <w:pStyle w:val="TableText"/>
              <w:spacing w:before="40" w:after="40"/>
              <w:jc w:val="center"/>
              <w:rPr>
                <w:rFonts w:cs="Calibri"/>
                <w:szCs w:val="16"/>
              </w:rPr>
            </w:pPr>
            <w:r w:rsidRPr="00BE78CA">
              <w:rPr>
                <w:rFonts w:cs="Calibri"/>
                <w:szCs w:val="16"/>
              </w:rPr>
              <w:t>D</w:t>
            </w:r>
          </w:p>
        </w:tc>
        <w:tc>
          <w:tcPr>
            <w:tcW w:w="964" w:type="dxa"/>
            <w:shd w:val="clear" w:color="auto" w:fill="auto"/>
            <w:tcMar>
              <w:left w:w="85" w:type="dxa"/>
              <w:right w:w="85" w:type="dxa"/>
            </w:tcMar>
          </w:tcPr>
          <w:p w14:paraId="7EFCD190" w14:textId="77777777" w:rsidR="00410716" w:rsidRPr="00BE78CA" w:rsidRDefault="00410716" w:rsidP="00C26084">
            <w:pPr>
              <w:pStyle w:val="TableText"/>
              <w:spacing w:before="40" w:after="40"/>
              <w:jc w:val="center"/>
              <w:rPr>
                <w:rFonts w:cs="Calibri"/>
                <w:szCs w:val="16"/>
              </w:rPr>
            </w:pPr>
            <w:r w:rsidRPr="00BE78CA">
              <w:rPr>
                <w:rFonts w:cs="Calibri"/>
                <w:szCs w:val="16"/>
              </w:rPr>
              <w:t>D</w:t>
            </w:r>
          </w:p>
        </w:tc>
        <w:tc>
          <w:tcPr>
            <w:tcW w:w="922" w:type="dxa"/>
            <w:shd w:val="clear" w:color="auto" w:fill="auto"/>
            <w:tcMar>
              <w:left w:w="85" w:type="dxa"/>
              <w:right w:w="85" w:type="dxa"/>
            </w:tcMar>
          </w:tcPr>
          <w:p w14:paraId="440074ED" w14:textId="77777777" w:rsidR="00410716" w:rsidRPr="00BE78CA" w:rsidRDefault="00410716" w:rsidP="00C26084">
            <w:pPr>
              <w:pStyle w:val="TableText"/>
              <w:spacing w:before="40" w:after="40"/>
              <w:jc w:val="center"/>
              <w:rPr>
                <w:rFonts w:cs="Calibri"/>
                <w:szCs w:val="16"/>
              </w:rPr>
            </w:pPr>
            <w:r w:rsidRPr="00BE78CA">
              <w:rPr>
                <w:rFonts w:cs="Calibri"/>
                <w:szCs w:val="16"/>
              </w:rPr>
              <w:t>D</w:t>
            </w:r>
          </w:p>
        </w:tc>
      </w:tr>
      <w:tr w:rsidR="00410716" w:rsidRPr="00BE78CA" w14:paraId="7BB5C00E" w14:textId="77777777" w:rsidTr="00F47CED">
        <w:tc>
          <w:tcPr>
            <w:tcW w:w="1304" w:type="dxa"/>
            <w:shd w:val="clear" w:color="auto" w:fill="auto"/>
            <w:tcMar>
              <w:left w:w="85" w:type="dxa"/>
              <w:right w:w="85" w:type="dxa"/>
            </w:tcMar>
          </w:tcPr>
          <w:p w14:paraId="712213C0" w14:textId="77777777" w:rsidR="00410716" w:rsidRPr="00BE78CA" w:rsidRDefault="00410716" w:rsidP="00C26084">
            <w:pPr>
              <w:pStyle w:val="TableText"/>
              <w:spacing w:before="40" w:after="40"/>
              <w:rPr>
                <w:rFonts w:cs="Calibri"/>
                <w:szCs w:val="16"/>
              </w:rPr>
            </w:pPr>
            <w:r w:rsidRPr="00BE78CA">
              <w:rPr>
                <w:rFonts w:cs="Calibri"/>
                <w:szCs w:val="16"/>
              </w:rPr>
              <w:t>Pre-1990 planted forest</w:t>
            </w:r>
          </w:p>
        </w:tc>
        <w:tc>
          <w:tcPr>
            <w:tcW w:w="851" w:type="dxa"/>
            <w:shd w:val="clear" w:color="auto" w:fill="auto"/>
            <w:tcMar>
              <w:left w:w="85" w:type="dxa"/>
              <w:right w:w="85" w:type="dxa"/>
            </w:tcMar>
          </w:tcPr>
          <w:p w14:paraId="435CAB01" w14:textId="77777777" w:rsidR="00410716" w:rsidRPr="00BE78CA" w:rsidRDefault="00410716" w:rsidP="00C26084">
            <w:pPr>
              <w:pStyle w:val="TableText"/>
              <w:spacing w:before="40" w:after="40"/>
              <w:jc w:val="center"/>
              <w:rPr>
                <w:rFonts w:cs="Calibri"/>
                <w:szCs w:val="16"/>
              </w:rPr>
            </w:pPr>
            <w:r w:rsidRPr="00BE78CA">
              <w:rPr>
                <w:rFonts w:cs="Calibri"/>
                <w:szCs w:val="16"/>
              </w:rPr>
              <w:t>FM</w:t>
            </w:r>
          </w:p>
        </w:tc>
        <w:tc>
          <w:tcPr>
            <w:tcW w:w="851" w:type="dxa"/>
            <w:shd w:val="clear" w:color="auto" w:fill="auto"/>
            <w:tcMar>
              <w:left w:w="85" w:type="dxa"/>
              <w:right w:w="85" w:type="dxa"/>
            </w:tcMar>
          </w:tcPr>
          <w:p w14:paraId="551921C0" w14:textId="77777777" w:rsidR="00410716" w:rsidRPr="00BE78CA" w:rsidRDefault="00410716" w:rsidP="00C26084">
            <w:pPr>
              <w:pStyle w:val="TableText"/>
              <w:spacing w:before="40" w:after="40"/>
              <w:jc w:val="center"/>
              <w:rPr>
                <w:rFonts w:cs="Calibri"/>
                <w:szCs w:val="16"/>
              </w:rPr>
            </w:pPr>
            <w:r w:rsidRPr="00BE78CA">
              <w:rPr>
                <w:rFonts w:cs="Calibri"/>
                <w:szCs w:val="16"/>
              </w:rPr>
              <w:t>FM</w:t>
            </w:r>
          </w:p>
        </w:tc>
        <w:tc>
          <w:tcPr>
            <w:tcW w:w="922" w:type="dxa"/>
            <w:shd w:val="clear" w:color="auto" w:fill="auto"/>
            <w:tcMar>
              <w:left w:w="85" w:type="dxa"/>
              <w:right w:w="85" w:type="dxa"/>
            </w:tcMar>
          </w:tcPr>
          <w:p w14:paraId="40309B2A" w14:textId="77777777" w:rsidR="00410716" w:rsidRPr="00BE78CA" w:rsidRDefault="00410716" w:rsidP="00C26084">
            <w:pPr>
              <w:pStyle w:val="TableText"/>
              <w:spacing w:before="40" w:after="40"/>
              <w:jc w:val="center"/>
              <w:rPr>
                <w:rFonts w:cs="Calibri"/>
                <w:szCs w:val="16"/>
              </w:rPr>
            </w:pPr>
            <w:r w:rsidRPr="00BE78CA">
              <w:rPr>
                <w:rFonts w:cs="Calibri"/>
                <w:szCs w:val="16"/>
              </w:rPr>
              <w:t>–</w:t>
            </w:r>
          </w:p>
        </w:tc>
        <w:tc>
          <w:tcPr>
            <w:tcW w:w="851" w:type="dxa"/>
            <w:shd w:val="clear" w:color="auto" w:fill="auto"/>
            <w:tcMar>
              <w:left w:w="85" w:type="dxa"/>
              <w:right w:w="85" w:type="dxa"/>
            </w:tcMar>
          </w:tcPr>
          <w:p w14:paraId="23BD80FD" w14:textId="77777777" w:rsidR="00410716" w:rsidRPr="00BE78CA" w:rsidRDefault="00410716" w:rsidP="00C26084">
            <w:pPr>
              <w:pStyle w:val="TableText"/>
              <w:spacing w:before="40" w:after="40"/>
              <w:jc w:val="center"/>
              <w:rPr>
                <w:rFonts w:cs="Calibri"/>
                <w:szCs w:val="16"/>
              </w:rPr>
            </w:pPr>
            <w:r w:rsidRPr="00BE78CA">
              <w:rPr>
                <w:rFonts w:cs="Calibri"/>
                <w:szCs w:val="16"/>
              </w:rPr>
              <w:t>D/FM</w:t>
            </w:r>
          </w:p>
        </w:tc>
        <w:tc>
          <w:tcPr>
            <w:tcW w:w="851" w:type="dxa"/>
            <w:shd w:val="clear" w:color="auto" w:fill="auto"/>
            <w:tcMar>
              <w:left w:w="85" w:type="dxa"/>
              <w:right w:w="85" w:type="dxa"/>
            </w:tcMar>
          </w:tcPr>
          <w:p w14:paraId="380A1E83" w14:textId="77777777" w:rsidR="00410716" w:rsidRPr="00BE78CA" w:rsidRDefault="00410716" w:rsidP="00C26084">
            <w:pPr>
              <w:pStyle w:val="TableText"/>
              <w:spacing w:before="40" w:after="40"/>
              <w:jc w:val="center"/>
              <w:rPr>
                <w:rFonts w:cs="Calibri"/>
                <w:szCs w:val="16"/>
              </w:rPr>
            </w:pPr>
            <w:r w:rsidRPr="00BE78CA">
              <w:rPr>
                <w:rFonts w:cs="Calibri"/>
                <w:szCs w:val="16"/>
              </w:rPr>
              <w:t>D/FM</w:t>
            </w:r>
          </w:p>
        </w:tc>
        <w:tc>
          <w:tcPr>
            <w:tcW w:w="794" w:type="dxa"/>
            <w:shd w:val="clear" w:color="auto" w:fill="auto"/>
            <w:tcMar>
              <w:left w:w="85" w:type="dxa"/>
              <w:right w:w="85" w:type="dxa"/>
            </w:tcMar>
          </w:tcPr>
          <w:p w14:paraId="77414EB2" w14:textId="77777777" w:rsidR="00410716" w:rsidRPr="00BE78CA" w:rsidRDefault="00410716" w:rsidP="00C26084">
            <w:pPr>
              <w:pStyle w:val="TableText"/>
              <w:spacing w:before="40" w:after="40"/>
              <w:jc w:val="center"/>
              <w:rPr>
                <w:rFonts w:cs="Calibri"/>
                <w:szCs w:val="16"/>
              </w:rPr>
            </w:pPr>
            <w:r w:rsidRPr="00BE78CA">
              <w:rPr>
                <w:rFonts w:cs="Calibri"/>
                <w:szCs w:val="16"/>
              </w:rPr>
              <w:t>D/FM</w:t>
            </w:r>
          </w:p>
        </w:tc>
        <w:tc>
          <w:tcPr>
            <w:tcW w:w="964" w:type="dxa"/>
            <w:shd w:val="clear" w:color="auto" w:fill="auto"/>
            <w:tcMar>
              <w:left w:w="85" w:type="dxa"/>
              <w:right w:w="85" w:type="dxa"/>
            </w:tcMar>
          </w:tcPr>
          <w:p w14:paraId="1F74EAF7" w14:textId="77777777" w:rsidR="00410716" w:rsidRPr="00BE78CA" w:rsidRDefault="00410716" w:rsidP="00C26084">
            <w:pPr>
              <w:pStyle w:val="TableText"/>
              <w:spacing w:before="40" w:after="40"/>
              <w:jc w:val="center"/>
              <w:rPr>
                <w:rFonts w:cs="Calibri"/>
                <w:szCs w:val="16"/>
              </w:rPr>
            </w:pPr>
            <w:r w:rsidRPr="00BE78CA">
              <w:rPr>
                <w:rFonts w:cs="Calibri"/>
                <w:szCs w:val="16"/>
              </w:rPr>
              <w:t>D/FM</w:t>
            </w:r>
          </w:p>
        </w:tc>
        <w:tc>
          <w:tcPr>
            <w:tcW w:w="922" w:type="dxa"/>
            <w:shd w:val="clear" w:color="auto" w:fill="auto"/>
            <w:tcMar>
              <w:left w:w="85" w:type="dxa"/>
              <w:right w:w="85" w:type="dxa"/>
            </w:tcMar>
          </w:tcPr>
          <w:p w14:paraId="6366D993" w14:textId="77777777" w:rsidR="00410716" w:rsidRPr="00BE78CA" w:rsidRDefault="00410716" w:rsidP="00C26084">
            <w:pPr>
              <w:pStyle w:val="TableText"/>
              <w:spacing w:before="40" w:after="40"/>
              <w:jc w:val="center"/>
              <w:rPr>
                <w:rFonts w:cs="Calibri"/>
                <w:szCs w:val="16"/>
              </w:rPr>
            </w:pPr>
            <w:r w:rsidRPr="00BE78CA">
              <w:rPr>
                <w:rFonts w:cs="Calibri"/>
                <w:szCs w:val="16"/>
              </w:rPr>
              <w:t>D/FM</w:t>
            </w:r>
          </w:p>
        </w:tc>
      </w:tr>
      <w:tr w:rsidR="00410716" w:rsidRPr="00BE78CA" w14:paraId="7152BC31" w14:textId="77777777" w:rsidTr="00F47CED">
        <w:tc>
          <w:tcPr>
            <w:tcW w:w="1304" w:type="dxa"/>
            <w:shd w:val="clear" w:color="auto" w:fill="auto"/>
            <w:tcMar>
              <w:left w:w="85" w:type="dxa"/>
              <w:right w:w="85" w:type="dxa"/>
            </w:tcMar>
          </w:tcPr>
          <w:p w14:paraId="0695C942" w14:textId="77777777" w:rsidR="00410716" w:rsidRPr="00BE78CA" w:rsidRDefault="00410716" w:rsidP="00C26084">
            <w:pPr>
              <w:pStyle w:val="TableText"/>
              <w:spacing w:before="40" w:after="40"/>
              <w:rPr>
                <w:rFonts w:cs="Calibri"/>
                <w:szCs w:val="16"/>
              </w:rPr>
            </w:pPr>
            <w:r w:rsidRPr="00BE78CA">
              <w:rPr>
                <w:rFonts w:cs="Calibri"/>
                <w:szCs w:val="16"/>
              </w:rPr>
              <w:t>Post-1989 forest</w:t>
            </w:r>
          </w:p>
        </w:tc>
        <w:tc>
          <w:tcPr>
            <w:tcW w:w="851" w:type="dxa"/>
            <w:shd w:val="clear" w:color="auto" w:fill="auto"/>
            <w:tcMar>
              <w:left w:w="85" w:type="dxa"/>
              <w:right w:w="85" w:type="dxa"/>
            </w:tcMar>
          </w:tcPr>
          <w:p w14:paraId="3B56994E" w14:textId="77777777" w:rsidR="00410716" w:rsidRPr="00BE78CA" w:rsidRDefault="00410716" w:rsidP="00C26084">
            <w:pPr>
              <w:pStyle w:val="TableText"/>
              <w:spacing w:before="40" w:after="40"/>
              <w:jc w:val="center"/>
              <w:rPr>
                <w:rFonts w:cs="Calibri"/>
                <w:szCs w:val="16"/>
              </w:rPr>
            </w:pPr>
            <w:r w:rsidRPr="00BE78CA">
              <w:rPr>
                <w:rFonts w:cs="Calibri"/>
                <w:szCs w:val="16"/>
              </w:rPr>
              <w:t>–</w:t>
            </w:r>
          </w:p>
        </w:tc>
        <w:tc>
          <w:tcPr>
            <w:tcW w:w="851" w:type="dxa"/>
            <w:shd w:val="clear" w:color="auto" w:fill="auto"/>
            <w:tcMar>
              <w:left w:w="85" w:type="dxa"/>
              <w:right w:w="85" w:type="dxa"/>
            </w:tcMar>
          </w:tcPr>
          <w:p w14:paraId="04442540" w14:textId="77777777" w:rsidR="00410716" w:rsidRPr="00BE78CA" w:rsidRDefault="00410716" w:rsidP="00C26084">
            <w:pPr>
              <w:pStyle w:val="TableText"/>
              <w:spacing w:before="40" w:after="40"/>
              <w:jc w:val="center"/>
              <w:rPr>
                <w:rFonts w:cs="Calibri"/>
                <w:szCs w:val="16"/>
              </w:rPr>
            </w:pPr>
            <w:r w:rsidRPr="00BE78CA">
              <w:rPr>
                <w:rFonts w:cs="Calibri"/>
                <w:szCs w:val="16"/>
              </w:rPr>
              <w:t>–</w:t>
            </w:r>
          </w:p>
        </w:tc>
        <w:tc>
          <w:tcPr>
            <w:tcW w:w="922" w:type="dxa"/>
            <w:shd w:val="clear" w:color="auto" w:fill="auto"/>
            <w:tcMar>
              <w:left w:w="85" w:type="dxa"/>
              <w:right w:w="85" w:type="dxa"/>
            </w:tcMar>
          </w:tcPr>
          <w:p w14:paraId="4555A88B" w14:textId="77777777" w:rsidR="00410716" w:rsidRPr="00BE78CA" w:rsidRDefault="00410716" w:rsidP="00C26084">
            <w:pPr>
              <w:pStyle w:val="TableText"/>
              <w:spacing w:before="40" w:after="40"/>
              <w:jc w:val="center"/>
              <w:rPr>
                <w:rFonts w:cs="Calibri"/>
                <w:szCs w:val="16"/>
              </w:rPr>
            </w:pPr>
            <w:r w:rsidRPr="00BE78CA">
              <w:rPr>
                <w:rFonts w:cs="Calibri"/>
                <w:szCs w:val="16"/>
              </w:rPr>
              <w:t>A</w:t>
            </w:r>
          </w:p>
        </w:tc>
        <w:tc>
          <w:tcPr>
            <w:tcW w:w="851" w:type="dxa"/>
            <w:shd w:val="clear" w:color="auto" w:fill="auto"/>
            <w:tcMar>
              <w:left w:w="85" w:type="dxa"/>
              <w:right w:w="85" w:type="dxa"/>
            </w:tcMar>
          </w:tcPr>
          <w:p w14:paraId="022FC15B" w14:textId="77777777" w:rsidR="00410716" w:rsidRPr="00BE78CA" w:rsidRDefault="00410716" w:rsidP="00C26084">
            <w:pPr>
              <w:pStyle w:val="TableText"/>
              <w:spacing w:before="40" w:after="40"/>
              <w:jc w:val="center"/>
              <w:rPr>
                <w:rFonts w:cs="Calibri"/>
                <w:szCs w:val="16"/>
              </w:rPr>
            </w:pPr>
            <w:r w:rsidRPr="00BE78CA">
              <w:rPr>
                <w:rFonts w:cs="Calibri"/>
                <w:szCs w:val="16"/>
              </w:rPr>
              <w:t>D</w:t>
            </w:r>
          </w:p>
        </w:tc>
        <w:tc>
          <w:tcPr>
            <w:tcW w:w="851" w:type="dxa"/>
            <w:shd w:val="clear" w:color="auto" w:fill="auto"/>
            <w:tcMar>
              <w:left w:w="85" w:type="dxa"/>
              <w:right w:w="85" w:type="dxa"/>
            </w:tcMar>
          </w:tcPr>
          <w:p w14:paraId="7D195FE6" w14:textId="77777777" w:rsidR="00410716" w:rsidRPr="00BE78CA" w:rsidRDefault="00410716" w:rsidP="00C26084">
            <w:pPr>
              <w:pStyle w:val="TableText"/>
              <w:spacing w:before="40" w:after="40"/>
              <w:jc w:val="center"/>
              <w:rPr>
                <w:rFonts w:cs="Calibri"/>
                <w:szCs w:val="16"/>
              </w:rPr>
            </w:pPr>
            <w:r w:rsidRPr="00BE78CA">
              <w:rPr>
                <w:rFonts w:cs="Calibri"/>
                <w:szCs w:val="16"/>
              </w:rPr>
              <w:t>D</w:t>
            </w:r>
          </w:p>
        </w:tc>
        <w:tc>
          <w:tcPr>
            <w:tcW w:w="794" w:type="dxa"/>
            <w:shd w:val="clear" w:color="auto" w:fill="auto"/>
            <w:tcMar>
              <w:left w:w="85" w:type="dxa"/>
              <w:right w:w="85" w:type="dxa"/>
            </w:tcMar>
          </w:tcPr>
          <w:p w14:paraId="51810254" w14:textId="77777777" w:rsidR="00410716" w:rsidRPr="00BE78CA" w:rsidRDefault="00410716" w:rsidP="00C26084">
            <w:pPr>
              <w:pStyle w:val="TableText"/>
              <w:spacing w:before="40" w:after="40"/>
              <w:jc w:val="center"/>
              <w:rPr>
                <w:rFonts w:cs="Calibri"/>
                <w:szCs w:val="16"/>
              </w:rPr>
            </w:pPr>
            <w:r w:rsidRPr="00BE78CA">
              <w:rPr>
                <w:rFonts w:cs="Calibri"/>
                <w:szCs w:val="16"/>
              </w:rPr>
              <w:t>D</w:t>
            </w:r>
          </w:p>
        </w:tc>
        <w:tc>
          <w:tcPr>
            <w:tcW w:w="964" w:type="dxa"/>
            <w:shd w:val="clear" w:color="auto" w:fill="auto"/>
            <w:tcMar>
              <w:left w:w="85" w:type="dxa"/>
              <w:right w:w="85" w:type="dxa"/>
            </w:tcMar>
          </w:tcPr>
          <w:p w14:paraId="5D43202A" w14:textId="77777777" w:rsidR="00410716" w:rsidRPr="00BE78CA" w:rsidRDefault="00410716" w:rsidP="00C26084">
            <w:pPr>
              <w:pStyle w:val="TableText"/>
              <w:spacing w:before="40" w:after="40"/>
              <w:jc w:val="center"/>
              <w:rPr>
                <w:rFonts w:cs="Calibri"/>
                <w:szCs w:val="16"/>
              </w:rPr>
            </w:pPr>
            <w:r w:rsidRPr="00BE78CA">
              <w:rPr>
                <w:rFonts w:cs="Calibri"/>
                <w:szCs w:val="16"/>
              </w:rPr>
              <w:t>D</w:t>
            </w:r>
          </w:p>
        </w:tc>
        <w:tc>
          <w:tcPr>
            <w:tcW w:w="922" w:type="dxa"/>
            <w:shd w:val="clear" w:color="auto" w:fill="auto"/>
            <w:tcMar>
              <w:left w:w="85" w:type="dxa"/>
              <w:right w:w="85" w:type="dxa"/>
            </w:tcMar>
          </w:tcPr>
          <w:p w14:paraId="7335C851" w14:textId="77777777" w:rsidR="00410716" w:rsidRPr="00BE78CA" w:rsidRDefault="00410716" w:rsidP="00C26084">
            <w:pPr>
              <w:pStyle w:val="TableText"/>
              <w:spacing w:before="40" w:after="40"/>
              <w:jc w:val="center"/>
              <w:rPr>
                <w:rFonts w:cs="Calibri"/>
                <w:szCs w:val="16"/>
              </w:rPr>
            </w:pPr>
            <w:r w:rsidRPr="00BE78CA">
              <w:rPr>
                <w:rFonts w:cs="Calibri"/>
                <w:szCs w:val="16"/>
              </w:rPr>
              <w:t>D</w:t>
            </w:r>
          </w:p>
        </w:tc>
      </w:tr>
      <w:tr w:rsidR="00410716" w:rsidRPr="00BE78CA" w14:paraId="2BA3649F" w14:textId="77777777" w:rsidTr="00F47CED">
        <w:tc>
          <w:tcPr>
            <w:tcW w:w="1304" w:type="dxa"/>
            <w:shd w:val="clear" w:color="auto" w:fill="auto"/>
            <w:tcMar>
              <w:left w:w="85" w:type="dxa"/>
              <w:right w:w="85" w:type="dxa"/>
            </w:tcMar>
          </w:tcPr>
          <w:p w14:paraId="0E0A8BE1" w14:textId="77777777" w:rsidR="00410716" w:rsidRPr="00BE78CA" w:rsidRDefault="00410716" w:rsidP="00C26084">
            <w:pPr>
              <w:pStyle w:val="TableText"/>
              <w:spacing w:before="40" w:after="40"/>
              <w:rPr>
                <w:rFonts w:cs="Calibri"/>
                <w:szCs w:val="16"/>
              </w:rPr>
            </w:pPr>
            <w:r w:rsidRPr="00BE78CA">
              <w:rPr>
                <w:rFonts w:cs="Calibri"/>
                <w:szCs w:val="16"/>
              </w:rPr>
              <w:t>Grassland</w:t>
            </w:r>
          </w:p>
        </w:tc>
        <w:tc>
          <w:tcPr>
            <w:tcW w:w="851" w:type="dxa"/>
            <w:shd w:val="clear" w:color="auto" w:fill="auto"/>
            <w:tcMar>
              <w:left w:w="85" w:type="dxa"/>
              <w:right w:w="85" w:type="dxa"/>
            </w:tcMar>
          </w:tcPr>
          <w:p w14:paraId="45A4F5C1" w14:textId="77777777" w:rsidR="00410716" w:rsidRPr="00BE78CA" w:rsidRDefault="00410716" w:rsidP="00C26084">
            <w:pPr>
              <w:pStyle w:val="TableText"/>
              <w:spacing w:before="40" w:after="40"/>
              <w:jc w:val="center"/>
              <w:rPr>
                <w:rFonts w:cs="Calibri"/>
                <w:szCs w:val="16"/>
              </w:rPr>
            </w:pPr>
            <w:r w:rsidRPr="00BE78CA">
              <w:rPr>
                <w:rFonts w:cs="Calibri"/>
                <w:szCs w:val="16"/>
              </w:rPr>
              <w:t>*D</w:t>
            </w:r>
          </w:p>
        </w:tc>
        <w:tc>
          <w:tcPr>
            <w:tcW w:w="851" w:type="dxa"/>
            <w:shd w:val="clear" w:color="auto" w:fill="auto"/>
            <w:tcMar>
              <w:left w:w="85" w:type="dxa"/>
              <w:right w:w="85" w:type="dxa"/>
            </w:tcMar>
          </w:tcPr>
          <w:p w14:paraId="6474BDBC" w14:textId="77777777" w:rsidR="00410716" w:rsidRPr="00BE78CA" w:rsidRDefault="00410716" w:rsidP="00C26084">
            <w:pPr>
              <w:pStyle w:val="TableText"/>
              <w:spacing w:before="40" w:after="40"/>
              <w:jc w:val="center"/>
              <w:rPr>
                <w:rFonts w:cs="Calibri"/>
                <w:szCs w:val="16"/>
              </w:rPr>
            </w:pPr>
            <w:r w:rsidRPr="00BE78CA">
              <w:rPr>
                <w:rFonts w:cs="Calibri"/>
                <w:szCs w:val="16"/>
              </w:rPr>
              <w:t>*D</w:t>
            </w:r>
          </w:p>
        </w:tc>
        <w:tc>
          <w:tcPr>
            <w:tcW w:w="922" w:type="dxa"/>
            <w:shd w:val="clear" w:color="auto" w:fill="auto"/>
            <w:tcMar>
              <w:left w:w="85" w:type="dxa"/>
              <w:right w:w="85" w:type="dxa"/>
            </w:tcMar>
          </w:tcPr>
          <w:p w14:paraId="6D9FC038" w14:textId="77777777" w:rsidR="00410716" w:rsidRPr="00BE78CA" w:rsidRDefault="00410716" w:rsidP="00C26084">
            <w:pPr>
              <w:pStyle w:val="TableText"/>
              <w:spacing w:before="40" w:after="40"/>
              <w:jc w:val="center"/>
              <w:rPr>
                <w:rFonts w:cs="Calibri"/>
                <w:szCs w:val="16"/>
              </w:rPr>
            </w:pPr>
            <w:r w:rsidRPr="00BE78CA">
              <w:rPr>
                <w:rFonts w:cs="Calibri"/>
                <w:szCs w:val="16"/>
              </w:rPr>
              <w:t>A/FM</w:t>
            </w:r>
          </w:p>
        </w:tc>
        <w:tc>
          <w:tcPr>
            <w:tcW w:w="851" w:type="dxa"/>
            <w:shd w:val="clear" w:color="auto" w:fill="auto"/>
            <w:tcMar>
              <w:left w:w="85" w:type="dxa"/>
              <w:right w:w="85" w:type="dxa"/>
            </w:tcMar>
          </w:tcPr>
          <w:p w14:paraId="249E05E7" w14:textId="77777777" w:rsidR="00410716" w:rsidRPr="00BE78CA" w:rsidRDefault="00410716" w:rsidP="00C26084">
            <w:pPr>
              <w:pStyle w:val="TableText"/>
              <w:spacing w:before="40" w:after="40"/>
              <w:jc w:val="center"/>
              <w:rPr>
                <w:rFonts w:cs="Calibri"/>
                <w:szCs w:val="16"/>
              </w:rPr>
            </w:pPr>
          </w:p>
        </w:tc>
        <w:tc>
          <w:tcPr>
            <w:tcW w:w="851" w:type="dxa"/>
            <w:shd w:val="clear" w:color="auto" w:fill="auto"/>
            <w:tcMar>
              <w:left w:w="85" w:type="dxa"/>
              <w:right w:w="85" w:type="dxa"/>
            </w:tcMar>
          </w:tcPr>
          <w:p w14:paraId="5D553593" w14:textId="77777777" w:rsidR="00410716" w:rsidRPr="00BE78CA" w:rsidRDefault="00410716" w:rsidP="00C26084">
            <w:pPr>
              <w:pStyle w:val="TableText"/>
              <w:spacing w:before="40" w:after="40"/>
              <w:jc w:val="center"/>
              <w:rPr>
                <w:rFonts w:cs="Calibri"/>
                <w:szCs w:val="16"/>
              </w:rPr>
            </w:pPr>
          </w:p>
        </w:tc>
        <w:tc>
          <w:tcPr>
            <w:tcW w:w="794" w:type="dxa"/>
            <w:shd w:val="clear" w:color="auto" w:fill="auto"/>
            <w:tcMar>
              <w:left w:w="85" w:type="dxa"/>
              <w:right w:w="85" w:type="dxa"/>
            </w:tcMar>
          </w:tcPr>
          <w:p w14:paraId="28F52D42" w14:textId="77777777" w:rsidR="00410716" w:rsidRPr="00BE78CA" w:rsidRDefault="00410716" w:rsidP="00C26084">
            <w:pPr>
              <w:pStyle w:val="TableText"/>
              <w:spacing w:before="40" w:after="40"/>
              <w:jc w:val="center"/>
              <w:rPr>
                <w:rFonts w:cs="Calibri"/>
                <w:szCs w:val="16"/>
              </w:rPr>
            </w:pPr>
          </w:p>
        </w:tc>
        <w:tc>
          <w:tcPr>
            <w:tcW w:w="964" w:type="dxa"/>
            <w:shd w:val="clear" w:color="auto" w:fill="auto"/>
            <w:tcMar>
              <w:left w:w="85" w:type="dxa"/>
              <w:right w:w="85" w:type="dxa"/>
            </w:tcMar>
          </w:tcPr>
          <w:p w14:paraId="60D6032F" w14:textId="77777777" w:rsidR="00410716" w:rsidRPr="00BE78CA" w:rsidRDefault="00410716" w:rsidP="00C26084">
            <w:pPr>
              <w:pStyle w:val="TableText"/>
              <w:spacing w:before="40" w:after="40"/>
              <w:jc w:val="center"/>
              <w:rPr>
                <w:rFonts w:cs="Calibri"/>
                <w:szCs w:val="16"/>
              </w:rPr>
            </w:pPr>
          </w:p>
        </w:tc>
        <w:tc>
          <w:tcPr>
            <w:tcW w:w="922" w:type="dxa"/>
            <w:shd w:val="clear" w:color="auto" w:fill="auto"/>
            <w:tcMar>
              <w:left w:w="85" w:type="dxa"/>
              <w:right w:w="85" w:type="dxa"/>
            </w:tcMar>
          </w:tcPr>
          <w:p w14:paraId="0D45037C" w14:textId="77777777" w:rsidR="00410716" w:rsidRPr="00BE78CA" w:rsidRDefault="00410716" w:rsidP="00C26084">
            <w:pPr>
              <w:pStyle w:val="TableText"/>
              <w:spacing w:before="40" w:after="40"/>
              <w:jc w:val="center"/>
              <w:rPr>
                <w:rFonts w:cs="Calibri"/>
                <w:szCs w:val="16"/>
              </w:rPr>
            </w:pPr>
          </w:p>
        </w:tc>
      </w:tr>
      <w:tr w:rsidR="00410716" w:rsidRPr="00BE78CA" w14:paraId="36099478" w14:textId="77777777" w:rsidTr="00F47CED">
        <w:tc>
          <w:tcPr>
            <w:tcW w:w="1304" w:type="dxa"/>
            <w:shd w:val="clear" w:color="auto" w:fill="auto"/>
            <w:tcMar>
              <w:left w:w="85" w:type="dxa"/>
              <w:right w:w="85" w:type="dxa"/>
            </w:tcMar>
          </w:tcPr>
          <w:p w14:paraId="3657E08F" w14:textId="77777777" w:rsidR="00410716" w:rsidRPr="00BE78CA" w:rsidRDefault="00410716" w:rsidP="00C26084">
            <w:pPr>
              <w:pStyle w:val="TableText"/>
              <w:spacing w:before="40" w:after="40"/>
              <w:rPr>
                <w:rFonts w:cs="Calibri"/>
                <w:szCs w:val="16"/>
              </w:rPr>
            </w:pPr>
            <w:r w:rsidRPr="00BE78CA">
              <w:rPr>
                <w:rFonts w:cs="Calibri"/>
                <w:szCs w:val="16"/>
              </w:rPr>
              <w:t>Cropland</w:t>
            </w:r>
          </w:p>
        </w:tc>
        <w:tc>
          <w:tcPr>
            <w:tcW w:w="851" w:type="dxa"/>
            <w:shd w:val="clear" w:color="auto" w:fill="auto"/>
            <w:tcMar>
              <w:left w:w="85" w:type="dxa"/>
              <w:right w:w="85" w:type="dxa"/>
            </w:tcMar>
          </w:tcPr>
          <w:p w14:paraId="644E9BA6" w14:textId="77777777" w:rsidR="00410716" w:rsidRPr="00BE78CA" w:rsidRDefault="00410716" w:rsidP="00C26084">
            <w:pPr>
              <w:pStyle w:val="TableText"/>
              <w:spacing w:before="40" w:after="40"/>
              <w:jc w:val="center"/>
              <w:rPr>
                <w:rFonts w:cs="Calibri"/>
                <w:szCs w:val="16"/>
              </w:rPr>
            </w:pPr>
            <w:r w:rsidRPr="00BE78CA">
              <w:rPr>
                <w:rFonts w:cs="Calibri"/>
                <w:szCs w:val="16"/>
              </w:rPr>
              <w:t>*D</w:t>
            </w:r>
          </w:p>
        </w:tc>
        <w:tc>
          <w:tcPr>
            <w:tcW w:w="851" w:type="dxa"/>
            <w:shd w:val="clear" w:color="auto" w:fill="auto"/>
            <w:tcMar>
              <w:left w:w="85" w:type="dxa"/>
              <w:right w:w="85" w:type="dxa"/>
            </w:tcMar>
          </w:tcPr>
          <w:p w14:paraId="36B61702" w14:textId="77777777" w:rsidR="00410716" w:rsidRPr="00BE78CA" w:rsidRDefault="00410716" w:rsidP="00C26084">
            <w:pPr>
              <w:pStyle w:val="TableText"/>
              <w:spacing w:before="40" w:after="40"/>
              <w:jc w:val="center"/>
              <w:rPr>
                <w:rFonts w:cs="Calibri"/>
                <w:szCs w:val="16"/>
              </w:rPr>
            </w:pPr>
            <w:r w:rsidRPr="00BE78CA">
              <w:rPr>
                <w:rFonts w:cs="Calibri"/>
                <w:szCs w:val="16"/>
              </w:rPr>
              <w:t>*D</w:t>
            </w:r>
          </w:p>
        </w:tc>
        <w:tc>
          <w:tcPr>
            <w:tcW w:w="922" w:type="dxa"/>
            <w:shd w:val="clear" w:color="auto" w:fill="auto"/>
            <w:tcMar>
              <w:left w:w="85" w:type="dxa"/>
              <w:right w:w="85" w:type="dxa"/>
            </w:tcMar>
          </w:tcPr>
          <w:p w14:paraId="029D6A31" w14:textId="77777777" w:rsidR="00410716" w:rsidRPr="00BE78CA" w:rsidRDefault="00410716" w:rsidP="00C26084">
            <w:pPr>
              <w:pStyle w:val="TableText"/>
              <w:spacing w:before="40" w:after="40"/>
              <w:jc w:val="center"/>
              <w:rPr>
                <w:rFonts w:cs="Calibri"/>
                <w:szCs w:val="16"/>
              </w:rPr>
            </w:pPr>
            <w:r w:rsidRPr="00BE78CA">
              <w:rPr>
                <w:rFonts w:cs="Calibri"/>
                <w:szCs w:val="16"/>
              </w:rPr>
              <w:t>A/FM</w:t>
            </w:r>
          </w:p>
        </w:tc>
        <w:tc>
          <w:tcPr>
            <w:tcW w:w="851" w:type="dxa"/>
            <w:shd w:val="clear" w:color="auto" w:fill="auto"/>
            <w:tcMar>
              <w:left w:w="85" w:type="dxa"/>
              <w:right w:w="85" w:type="dxa"/>
            </w:tcMar>
          </w:tcPr>
          <w:p w14:paraId="6BFF91B2" w14:textId="77777777" w:rsidR="00410716" w:rsidRPr="00BE78CA" w:rsidRDefault="00410716" w:rsidP="00C26084">
            <w:pPr>
              <w:pStyle w:val="TableText"/>
              <w:spacing w:before="40" w:after="40"/>
              <w:jc w:val="center"/>
              <w:rPr>
                <w:rFonts w:cs="Calibri"/>
                <w:szCs w:val="16"/>
              </w:rPr>
            </w:pPr>
          </w:p>
        </w:tc>
        <w:tc>
          <w:tcPr>
            <w:tcW w:w="851" w:type="dxa"/>
            <w:shd w:val="clear" w:color="auto" w:fill="auto"/>
            <w:tcMar>
              <w:left w:w="85" w:type="dxa"/>
              <w:right w:w="85" w:type="dxa"/>
            </w:tcMar>
          </w:tcPr>
          <w:p w14:paraId="468546D6" w14:textId="77777777" w:rsidR="00410716" w:rsidRPr="00BE78CA" w:rsidRDefault="00410716" w:rsidP="00C26084">
            <w:pPr>
              <w:pStyle w:val="TableText"/>
              <w:spacing w:before="40" w:after="40"/>
              <w:jc w:val="center"/>
              <w:rPr>
                <w:rFonts w:cs="Calibri"/>
                <w:szCs w:val="16"/>
              </w:rPr>
            </w:pPr>
          </w:p>
        </w:tc>
        <w:tc>
          <w:tcPr>
            <w:tcW w:w="794" w:type="dxa"/>
            <w:shd w:val="clear" w:color="auto" w:fill="auto"/>
            <w:tcMar>
              <w:left w:w="85" w:type="dxa"/>
              <w:right w:w="85" w:type="dxa"/>
            </w:tcMar>
          </w:tcPr>
          <w:p w14:paraId="01FB632D" w14:textId="77777777" w:rsidR="00410716" w:rsidRPr="00BE78CA" w:rsidRDefault="00410716" w:rsidP="00C26084">
            <w:pPr>
              <w:pStyle w:val="TableText"/>
              <w:spacing w:before="40" w:after="40"/>
              <w:jc w:val="center"/>
              <w:rPr>
                <w:rFonts w:cs="Calibri"/>
                <w:szCs w:val="16"/>
              </w:rPr>
            </w:pPr>
          </w:p>
        </w:tc>
        <w:tc>
          <w:tcPr>
            <w:tcW w:w="964" w:type="dxa"/>
            <w:shd w:val="clear" w:color="auto" w:fill="auto"/>
            <w:tcMar>
              <w:left w:w="85" w:type="dxa"/>
              <w:right w:w="85" w:type="dxa"/>
            </w:tcMar>
          </w:tcPr>
          <w:p w14:paraId="24186A40" w14:textId="77777777" w:rsidR="00410716" w:rsidRPr="00BE78CA" w:rsidRDefault="00410716" w:rsidP="00C26084">
            <w:pPr>
              <w:pStyle w:val="TableText"/>
              <w:spacing w:before="40" w:after="40"/>
              <w:jc w:val="center"/>
              <w:rPr>
                <w:rFonts w:cs="Calibri"/>
                <w:szCs w:val="16"/>
              </w:rPr>
            </w:pPr>
          </w:p>
        </w:tc>
        <w:tc>
          <w:tcPr>
            <w:tcW w:w="922" w:type="dxa"/>
            <w:shd w:val="clear" w:color="auto" w:fill="auto"/>
            <w:tcMar>
              <w:left w:w="85" w:type="dxa"/>
              <w:right w:w="85" w:type="dxa"/>
            </w:tcMar>
          </w:tcPr>
          <w:p w14:paraId="57B0D5DE" w14:textId="77777777" w:rsidR="00410716" w:rsidRPr="00BE78CA" w:rsidRDefault="00410716" w:rsidP="00C26084">
            <w:pPr>
              <w:pStyle w:val="TableText"/>
              <w:spacing w:before="40" w:after="40"/>
              <w:jc w:val="center"/>
              <w:rPr>
                <w:rFonts w:cs="Calibri"/>
                <w:szCs w:val="16"/>
              </w:rPr>
            </w:pPr>
          </w:p>
        </w:tc>
      </w:tr>
      <w:tr w:rsidR="00410716" w:rsidRPr="00BE78CA" w14:paraId="7B39E606" w14:textId="77777777" w:rsidTr="00F47CED">
        <w:tc>
          <w:tcPr>
            <w:tcW w:w="1304" w:type="dxa"/>
            <w:shd w:val="clear" w:color="auto" w:fill="auto"/>
            <w:tcMar>
              <w:left w:w="85" w:type="dxa"/>
              <w:right w:w="85" w:type="dxa"/>
            </w:tcMar>
          </w:tcPr>
          <w:p w14:paraId="28918BDF" w14:textId="77777777" w:rsidR="00410716" w:rsidRPr="00BE78CA" w:rsidRDefault="00410716" w:rsidP="00C26084">
            <w:pPr>
              <w:pStyle w:val="TableText"/>
              <w:spacing w:before="40" w:after="40"/>
              <w:rPr>
                <w:rFonts w:cs="Calibri"/>
                <w:szCs w:val="16"/>
              </w:rPr>
            </w:pPr>
            <w:r w:rsidRPr="00BE78CA">
              <w:rPr>
                <w:rFonts w:cs="Calibri"/>
                <w:szCs w:val="16"/>
              </w:rPr>
              <w:t>Wetland</w:t>
            </w:r>
          </w:p>
        </w:tc>
        <w:tc>
          <w:tcPr>
            <w:tcW w:w="851" w:type="dxa"/>
            <w:shd w:val="clear" w:color="auto" w:fill="auto"/>
            <w:tcMar>
              <w:left w:w="85" w:type="dxa"/>
              <w:right w:w="85" w:type="dxa"/>
            </w:tcMar>
          </w:tcPr>
          <w:p w14:paraId="72AFC067" w14:textId="77777777" w:rsidR="00410716" w:rsidRPr="00BE78CA" w:rsidRDefault="00410716" w:rsidP="00C26084">
            <w:pPr>
              <w:pStyle w:val="TableText"/>
              <w:spacing w:before="40" w:after="40"/>
              <w:jc w:val="center"/>
              <w:rPr>
                <w:rFonts w:cs="Calibri"/>
                <w:szCs w:val="16"/>
              </w:rPr>
            </w:pPr>
            <w:r w:rsidRPr="00BE78CA">
              <w:rPr>
                <w:rFonts w:cs="Calibri"/>
                <w:szCs w:val="16"/>
              </w:rPr>
              <w:t>*D</w:t>
            </w:r>
          </w:p>
        </w:tc>
        <w:tc>
          <w:tcPr>
            <w:tcW w:w="851" w:type="dxa"/>
            <w:shd w:val="clear" w:color="auto" w:fill="auto"/>
            <w:tcMar>
              <w:left w:w="85" w:type="dxa"/>
              <w:right w:w="85" w:type="dxa"/>
            </w:tcMar>
          </w:tcPr>
          <w:p w14:paraId="5B7519D1" w14:textId="77777777" w:rsidR="00410716" w:rsidRPr="00BE78CA" w:rsidRDefault="00410716" w:rsidP="00C26084">
            <w:pPr>
              <w:pStyle w:val="TableText"/>
              <w:spacing w:before="40" w:after="40"/>
              <w:jc w:val="center"/>
              <w:rPr>
                <w:rFonts w:cs="Calibri"/>
                <w:szCs w:val="16"/>
              </w:rPr>
            </w:pPr>
            <w:r w:rsidRPr="00BE78CA">
              <w:rPr>
                <w:rFonts w:cs="Calibri"/>
                <w:szCs w:val="16"/>
              </w:rPr>
              <w:t>*D</w:t>
            </w:r>
          </w:p>
        </w:tc>
        <w:tc>
          <w:tcPr>
            <w:tcW w:w="922" w:type="dxa"/>
            <w:shd w:val="clear" w:color="auto" w:fill="auto"/>
            <w:tcMar>
              <w:left w:w="85" w:type="dxa"/>
              <w:right w:w="85" w:type="dxa"/>
            </w:tcMar>
          </w:tcPr>
          <w:p w14:paraId="366C3E11" w14:textId="77777777" w:rsidR="00410716" w:rsidRPr="00BE78CA" w:rsidRDefault="00410716" w:rsidP="00C26084">
            <w:pPr>
              <w:pStyle w:val="TableText"/>
              <w:spacing w:before="40" w:after="40"/>
              <w:jc w:val="center"/>
              <w:rPr>
                <w:rFonts w:cs="Calibri"/>
                <w:szCs w:val="16"/>
              </w:rPr>
            </w:pPr>
            <w:r w:rsidRPr="00BE78CA">
              <w:rPr>
                <w:rFonts w:cs="Calibri"/>
                <w:szCs w:val="16"/>
              </w:rPr>
              <w:t>A/FM</w:t>
            </w:r>
          </w:p>
        </w:tc>
        <w:tc>
          <w:tcPr>
            <w:tcW w:w="851" w:type="dxa"/>
            <w:shd w:val="clear" w:color="auto" w:fill="auto"/>
            <w:tcMar>
              <w:left w:w="85" w:type="dxa"/>
              <w:right w:w="85" w:type="dxa"/>
            </w:tcMar>
          </w:tcPr>
          <w:p w14:paraId="7195F587" w14:textId="77777777" w:rsidR="00410716" w:rsidRPr="00BE78CA" w:rsidRDefault="00410716" w:rsidP="00C26084">
            <w:pPr>
              <w:pStyle w:val="TableText"/>
              <w:spacing w:before="40" w:after="40"/>
              <w:jc w:val="center"/>
              <w:rPr>
                <w:rFonts w:cs="Calibri"/>
                <w:szCs w:val="16"/>
              </w:rPr>
            </w:pPr>
          </w:p>
        </w:tc>
        <w:tc>
          <w:tcPr>
            <w:tcW w:w="851" w:type="dxa"/>
            <w:shd w:val="clear" w:color="auto" w:fill="auto"/>
            <w:tcMar>
              <w:left w:w="85" w:type="dxa"/>
              <w:right w:w="85" w:type="dxa"/>
            </w:tcMar>
          </w:tcPr>
          <w:p w14:paraId="20F936B4" w14:textId="77777777" w:rsidR="00410716" w:rsidRPr="00BE78CA" w:rsidRDefault="00410716" w:rsidP="00C26084">
            <w:pPr>
              <w:pStyle w:val="TableText"/>
              <w:spacing w:before="40" w:after="40"/>
              <w:jc w:val="center"/>
              <w:rPr>
                <w:rFonts w:cs="Calibri"/>
                <w:szCs w:val="16"/>
              </w:rPr>
            </w:pPr>
          </w:p>
        </w:tc>
        <w:tc>
          <w:tcPr>
            <w:tcW w:w="794" w:type="dxa"/>
            <w:shd w:val="clear" w:color="auto" w:fill="auto"/>
            <w:tcMar>
              <w:left w:w="85" w:type="dxa"/>
              <w:right w:w="85" w:type="dxa"/>
            </w:tcMar>
          </w:tcPr>
          <w:p w14:paraId="13B45835" w14:textId="77777777" w:rsidR="00410716" w:rsidRPr="00BE78CA" w:rsidRDefault="00410716" w:rsidP="00C26084">
            <w:pPr>
              <w:pStyle w:val="TableText"/>
              <w:spacing w:before="40" w:after="40"/>
              <w:jc w:val="center"/>
              <w:rPr>
                <w:rFonts w:cs="Calibri"/>
                <w:szCs w:val="16"/>
              </w:rPr>
            </w:pPr>
          </w:p>
        </w:tc>
        <w:tc>
          <w:tcPr>
            <w:tcW w:w="964" w:type="dxa"/>
            <w:shd w:val="clear" w:color="auto" w:fill="auto"/>
            <w:tcMar>
              <w:left w:w="85" w:type="dxa"/>
              <w:right w:w="85" w:type="dxa"/>
            </w:tcMar>
          </w:tcPr>
          <w:p w14:paraId="08A8A14E" w14:textId="77777777" w:rsidR="00410716" w:rsidRPr="00BE78CA" w:rsidRDefault="00410716" w:rsidP="00C26084">
            <w:pPr>
              <w:pStyle w:val="TableText"/>
              <w:spacing w:before="40" w:after="40"/>
              <w:jc w:val="center"/>
              <w:rPr>
                <w:rFonts w:cs="Calibri"/>
                <w:szCs w:val="16"/>
              </w:rPr>
            </w:pPr>
          </w:p>
        </w:tc>
        <w:tc>
          <w:tcPr>
            <w:tcW w:w="922" w:type="dxa"/>
            <w:shd w:val="clear" w:color="auto" w:fill="auto"/>
            <w:tcMar>
              <w:left w:w="85" w:type="dxa"/>
              <w:right w:w="85" w:type="dxa"/>
            </w:tcMar>
          </w:tcPr>
          <w:p w14:paraId="4840DBB7" w14:textId="77777777" w:rsidR="00410716" w:rsidRPr="00BE78CA" w:rsidRDefault="00410716" w:rsidP="00C26084">
            <w:pPr>
              <w:pStyle w:val="TableText"/>
              <w:spacing w:before="40" w:after="40"/>
              <w:jc w:val="center"/>
              <w:rPr>
                <w:rFonts w:cs="Calibri"/>
                <w:szCs w:val="16"/>
              </w:rPr>
            </w:pPr>
          </w:p>
        </w:tc>
      </w:tr>
      <w:tr w:rsidR="00410716" w:rsidRPr="00BE78CA" w14:paraId="1CAFBA90" w14:textId="77777777" w:rsidTr="00F47CED">
        <w:tc>
          <w:tcPr>
            <w:tcW w:w="1304" w:type="dxa"/>
            <w:shd w:val="clear" w:color="auto" w:fill="auto"/>
            <w:tcMar>
              <w:left w:w="85" w:type="dxa"/>
              <w:right w:w="85" w:type="dxa"/>
            </w:tcMar>
          </w:tcPr>
          <w:p w14:paraId="773A7F9E" w14:textId="77777777" w:rsidR="00410716" w:rsidRPr="00BE78CA" w:rsidRDefault="00410716" w:rsidP="00C26084">
            <w:pPr>
              <w:pStyle w:val="TableText"/>
              <w:spacing w:before="40" w:after="40"/>
              <w:rPr>
                <w:rFonts w:cs="Calibri"/>
                <w:szCs w:val="16"/>
              </w:rPr>
            </w:pPr>
            <w:r w:rsidRPr="00BE78CA">
              <w:rPr>
                <w:rFonts w:cs="Calibri"/>
                <w:szCs w:val="16"/>
              </w:rPr>
              <w:t>Settlements</w:t>
            </w:r>
          </w:p>
        </w:tc>
        <w:tc>
          <w:tcPr>
            <w:tcW w:w="851" w:type="dxa"/>
            <w:shd w:val="clear" w:color="auto" w:fill="auto"/>
            <w:tcMar>
              <w:left w:w="85" w:type="dxa"/>
              <w:right w:w="85" w:type="dxa"/>
            </w:tcMar>
          </w:tcPr>
          <w:p w14:paraId="1A3ED1F4" w14:textId="77777777" w:rsidR="00410716" w:rsidRPr="00BE78CA" w:rsidRDefault="00410716" w:rsidP="00C26084">
            <w:pPr>
              <w:pStyle w:val="TableText"/>
              <w:spacing w:before="40" w:after="40"/>
              <w:jc w:val="center"/>
              <w:rPr>
                <w:rFonts w:cs="Calibri"/>
                <w:szCs w:val="16"/>
              </w:rPr>
            </w:pPr>
            <w:r w:rsidRPr="00BE78CA">
              <w:rPr>
                <w:rFonts w:cs="Calibri"/>
                <w:szCs w:val="16"/>
              </w:rPr>
              <w:t>*D</w:t>
            </w:r>
          </w:p>
        </w:tc>
        <w:tc>
          <w:tcPr>
            <w:tcW w:w="851" w:type="dxa"/>
            <w:shd w:val="clear" w:color="auto" w:fill="auto"/>
            <w:tcMar>
              <w:left w:w="85" w:type="dxa"/>
              <w:right w:w="85" w:type="dxa"/>
            </w:tcMar>
          </w:tcPr>
          <w:p w14:paraId="7709335C" w14:textId="77777777" w:rsidR="00410716" w:rsidRPr="00BE78CA" w:rsidRDefault="00410716" w:rsidP="00C26084">
            <w:pPr>
              <w:pStyle w:val="TableText"/>
              <w:spacing w:before="40" w:after="40"/>
              <w:jc w:val="center"/>
              <w:rPr>
                <w:rFonts w:cs="Calibri"/>
                <w:szCs w:val="16"/>
              </w:rPr>
            </w:pPr>
            <w:r w:rsidRPr="00BE78CA">
              <w:rPr>
                <w:rFonts w:cs="Calibri"/>
                <w:szCs w:val="16"/>
              </w:rPr>
              <w:t>*D</w:t>
            </w:r>
          </w:p>
        </w:tc>
        <w:tc>
          <w:tcPr>
            <w:tcW w:w="922" w:type="dxa"/>
            <w:shd w:val="clear" w:color="auto" w:fill="auto"/>
            <w:tcMar>
              <w:left w:w="85" w:type="dxa"/>
              <w:right w:w="85" w:type="dxa"/>
            </w:tcMar>
          </w:tcPr>
          <w:p w14:paraId="370459B1" w14:textId="77777777" w:rsidR="00410716" w:rsidRPr="00BE78CA" w:rsidRDefault="00410716" w:rsidP="00C26084">
            <w:pPr>
              <w:pStyle w:val="TableText"/>
              <w:spacing w:before="40" w:after="40"/>
              <w:jc w:val="center"/>
              <w:rPr>
                <w:rFonts w:cs="Calibri"/>
                <w:szCs w:val="16"/>
              </w:rPr>
            </w:pPr>
            <w:r w:rsidRPr="00BE78CA">
              <w:rPr>
                <w:rFonts w:cs="Calibri"/>
                <w:szCs w:val="16"/>
              </w:rPr>
              <w:t>A/FM</w:t>
            </w:r>
          </w:p>
        </w:tc>
        <w:tc>
          <w:tcPr>
            <w:tcW w:w="851" w:type="dxa"/>
            <w:shd w:val="clear" w:color="auto" w:fill="auto"/>
            <w:tcMar>
              <w:left w:w="85" w:type="dxa"/>
              <w:right w:w="85" w:type="dxa"/>
            </w:tcMar>
          </w:tcPr>
          <w:p w14:paraId="3CF1AC26" w14:textId="77777777" w:rsidR="00410716" w:rsidRPr="00BE78CA" w:rsidRDefault="00410716" w:rsidP="00C26084">
            <w:pPr>
              <w:pStyle w:val="TableText"/>
              <w:spacing w:before="40" w:after="40"/>
              <w:jc w:val="center"/>
              <w:rPr>
                <w:rFonts w:cs="Calibri"/>
                <w:szCs w:val="16"/>
              </w:rPr>
            </w:pPr>
          </w:p>
        </w:tc>
        <w:tc>
          <w:tcPr>
            <w:tcW w:w="851" w:type="dxa"/>
            <w:shd w:val="clear" w:color="auto" w:fill="auto"/>
            <w:tcMar>
              <w:left w:w="85" w:type="dxa"/>
              <w:right w:w="85" w:type="dxa"/>
            </w:tcMar>
          </w:tcPr>
          <w:p w14:paraId="1E660745" w14:textId="77777777" w:rsidR="00410716" w:rsidRPr="00BE78CA" w:rsidRDefault="00410716" w:rsidP="00C26084">
            <w:pPr>
              <w:pStyle w:val="TableText"/>
              <w:spacing w:before="40" w:after="40"/>
              <w:jc w:val="center"/>
              <w:rPr>
                <w:rFonts w:cs="Calibri"/>
                <w:szCs w:val="16"/>
              </w:rPr>
            </w:pPr>
          </w:p>
        </w:tc>
        <w:tc>
          <w:tcPr>
            <w:tcW w:w="794" w:type="dxa"/>
            <w:shd w:val="clear" w:color="auto" w:fill="auto"/>
            <w:tcMar>
              <w:left w:w="85" w:type="dxa"/>
              <w:right w:w="85" w:type="dxa"/>
            </w:tcMar>
          </w:tcPr>
          <w:p w14:paraId="4B31B742" w14:textId="77777777" w:rsidR="00410716" w:rsidRPr="00BE78CA" w:rsidRDefault="00410716" w:rsidP="00C26084">
            <w:pPr>
              <w:pStyle w:val="TableText"/>
              <w:spacing w:before="40" w:after="40"/>
              <w:jc w:val="center"/>
              <w:rPr>
                <w:rFonts w:cs="Calibri"/>
                <w:szCs w:val="16"/>
              </w:rPr>
            </w:pPr>
          </w:p>
        </w:tc>
        <w:tc>
          <w:tcPr>
            <w:tcW w:w="964" w:type="dxa"/>
            <w:shd w:val="clear" w:color="auto" w:fill="auto"/>
            <w:tcMar>
              <w:left w:w="85" w:type="dxa"/>
              <w:right w:w="85" w:type="dxa"/>
            </w:tcMar>
          </w:tcPr>
          <w:p w14:paraId="4D504CF9" w14:textId="77777777" w:rsidR="00410716" w:rsidRPr="00BE78CA" w:rsidRDefault="00410716" w:rsidP="00C26084">
            <w:pPr>
              <w:pStyle w:val="TableText"/>
              <w:spacing w:before="40" w:after="40"/>
              <w:jc w:val="center"/>
              <w:rPr>
                <w:rFonts w:cs="Calibri"/>
                <w:szCs w:val="16"/>
              </w:rPr>
            </w:pPr>
          </w:p>
        </w:tc>
        <w:tc>
          <w:tcPr>
            <w:tcW w:w="922" w:type="dxa"/>
            <w:shd w:val="clear" w:color="auto" w:fill="auto"/>
            <w:tcMar>
              <w:left w:w="85" w:type="dxa"/>
              <w:right w:w="85" w:type="dxa"/>
            </w:tcMar>
          </w:tcPr>
          <w:p w14:paraId="1CA5B8D0" w14:textId="77777777" w:rsidR="00410716" w:rsidRPr="00BE78CA" w:rsidRDefault="00410716" w:rsidP="00C26084">
            <w:pPr>
              <w:pStyle w:val="TableText"/>
              <w:spacing w:before="40" w:after="40"/>
              <w:jc w:val="center"/>
              <w:rPr>
                <w:rFonts w:cs="Calibri"/>
                <w:szCs w:val="16"/>
              </w:rPr>
            </w:pPr>
          </w:p>
        </w:tc>
      </w:tr>
      <w:tr w:rsidR="00410716" w:rsidRPr="00BE78CA" w14:paraId="71D13339" w14:textId="77777777" w:rsidTr="00F47CED">
        <w:tc>
          <w:tcPr>
            <w:tcW w:w="1304" w:type="dxa"/>
            <w:shd w:val="clear" w:color="auto" w:fill="auto"/>
            <w:tcMar>
              <w:left w:w="85" w:type="dxa"/>
              <w:right w:w="85" w:type="dxa"/>
            </w:tcMar>
          </w:tcPr>
          <w:p w14:paraId="1C94E63B" w14:textId="77777777" w:rsidR="00410716" w:rsidRPr="00BE78CA" w:rsidRDefault="00410716" w:rsidP="00C26084">
            <w:pPr>
              <w:pStyle w:val="TableText"/>
              <w:spacing w:before="40" w:after="40"/>
              <w:rPr>
                <w:rFonts w:cs="Calibri"/>
                <w:szCs w:val="16"/>
              </w:rPr>
            </w:pPr>
            <w:r w:rsidRPr="00BE78CA">
              <w:rPr>
                <w:rFonts w:cs="Calibri"/>
                <w:szCs w:val="16"/>
              </w:rPr>
              <w:t>Other land</w:t>
            </w:r>
          </w:p>
        </w:tc>
        <w:tc>
          <w:tcPr>
            <w:tcW w:w="851" w:type="dxa"/>
            <w:shd w:val="clear" w:color="auto" w:fill="auto"/>
            <w:tcMar>
              <w:left w:w="85" w:type="dxa"/>
              <w:right w:w="85" w:type="dxa"/>
            </w:tcMar>
          </w:tcPr>
          <w:p w14:paraId="17511697" w14:textId="77777777" w:rsidR="00410716" w:rsidRPr="00BE78CA" w:rsidRDefault="00410716" w:rsidP="00C26084">
            <w:pPr>
              <w:pStyle w:val="TableText"/>
              <w:spacing w:before="40" w:after="40"/>
              <w:jc w:val="center"/>
              <w:rPr>
                <w:rFonts w:cs="Calibri"/>
                <w:szCs w:val="16"/>
              </w:rPr>
            </w:pPr>
            <w:r w:rsidRPr="00BE78CA">
              <w:rPr>
                <w:rFonts w:cs="Calibri"/>
                <w:szCs w:val="16"/>
              </w:rPr>
              <w:t>*D</w:t>
            </w:r>
          </w:p>
        </w:tc>
        <w:tc>
          <w:tcPr>
            <w:tcW w:w="851" w:type="dxa"/>
            <w:shd w:val="clear" w:color="auto" w:fill="auto"/>
            <w:tcMar>
              <w:left w:w="85" w:type="dxa"/>
              <w:right w:w="85" w:type="dxa"/>
            </w:tcMar>
          </w:tcPr>
          <w:p w14:paraId="1CDC5854" w14:textId="77777777" w:rsidR="00410716" w:rsidRPr="00BE78CA" w:rsidRDefault="00410716" w:rsidP="00C26084">
            <w:pPr>
              <w:pStyle w:val="TableText"/>
              <w:spacing w:before="40" w:after="40"/>
              <w:jc w:val="center"/>
              <w:rPr>
                <w:rFonts w:cs="Calibri"/>
                <w:szCs w:val="16"/>
              </w:rPr>
            </w:pPr>
            <w:r w:rsidRPr="00BE78CA">
              <w:rPr>
                <w:rFonts w:cs="Calibri"/>
                <w:szCs w:val="16"/>
              </w:rPr>
              <w:t>*D</w:t>
            </w:r>
          </w:p>
        </w:tc>
        <w:tc>
          <w:tcPr>
            <w:tcW w:w="922" w:type="dxa"/>
            <w:shd w:val="clear" w:color="auto" w:fill="auto"/>
            <w:tcMar>
              <w:left w:w="85" w:type="dxa"/>
              <w:right w:w="85" w:type="dxa"/>
            </w:tcMar>
          </w:tcPr>
          <w:p w14:paraId="4C354E34" w14:textId="77777777" w:rsidR="00410716" w:rsidRPr="00BE78CA" w:rsidRDefault="00410716" w:rsidP="00C26084">
            <w:pPr>
              <w:pStyle w:val="TableText"/>
              <w:spacing w:before="40" w:after="40"/>
              <w:jc w:val="center"/>
              <w:rPr>
                <w:rFonts w:cs="Calibri"/>
                <w:szCs w:val="16"/>
              </w:rPr>
            </w:pPr>
            <w:r w:rsidRPr="00BE78CA">
              <w:rPr>
                <w:rFonts w:cs="Calibri"/>
                <w:szCs w:val="16"/>
              </w:rPr>
              <w:t>A/FM</w:t>
            </w:r>
          </w:p>
        </w:tc>
        <w:tc>
          <w:tcPr>
            <w:tcW w:w="851" w:type="dxa"/>
            <w:shd w:val="clear" w:color="auto" w:fill="auto"/>
            <w:tcMar>
              <w:left w:w="85" w:type="dxa"/>
              <w:right w:w="85" w:type="dxa"/>
            </w:tcMar>
          </w:tcPr>
          <w:p w14:paraId="340609DE" w14:textId="77777777" w:rsidR="00410716" w:rsidRPr="00BE78CA" w:rsidRDefault="00410716" w:rsidP="00C26084">
            <w:pPr>
              <w:pStyle w:val="TableText"/>
              <w:spacing w:before="40" w:after="40"/>
              <w:jc w:val="center"/>
              <w:rPr>
                <w:rFonts w:cs="Calibri"/>
                <w:szCs w:val="16"/>
              </w:rPr>
            </w:pPr>
          </w:p>
        </w:tc>
        <w:tc>
          <w:tcPr>
            <w:tcW w:w="851" w:type="dxa"/>
            <w:shd w:val="clear" w:color="auto" w:fill="auto"/>
            <w:tcMar>
              <w:left w:w="85" w:type="dxa"/>
              <w:right w:w="85" w:type="dxa"/>
            </w:tcMar>
          </w:tcPr>
          <w:p w14:paraId="66B54F7B" w14:textId="77777777" w:rsidR="00410716" w:rsidRPr="00BE78CA" w:rsidRDefault="00410716" w:rsidP="00C26084">
            <w:pPr>
              <w:pStyle w:val="TableText"/>
              <w:spacing w:before="40" w:after="40"/>
              <w:jc w:val="center"/>
              <w:rPr>
                <w:rFonts w:cs="Calibri"/>
                <w:szCs w:val="16"/>
              </w:rPr>
            </w:pPr>
          </w:p>
        </w:tc>
        <w:tc>
          <w:tcPr>
            <w:tcW w:w="794" w:type="dxa"/>
            <w:shd w:val="clear" w:color="auto" w:fill="auto"/>
            <w:tcMar>
              <w:left w:w="85" w:type="dxa"/>
              <w:right w:w="85" w:type="dxa"/>
            </w:tcMar>
          </w:tcPr>
          <w:p w14:paraId="54B7069C" w14:textId="77777777" w:rsidR="00410716" w:rsidRPr="00BE78CA" w:rsidRDefault="00410716" w:rsidP="00C26084">
            <w:pPr>
              <w:pStyle w:val="TableText"/>
              <w:spacing w:before="40" w:after="40"/>
              <w:jc w:val="center"/>
              <w:rPr>
                <w:rFonts w:cs="Calibri"/>
                <w:szCs w:val="16"/>
              </w:rPr>
            </w:pPr>
          </w:p>
        </w:tc>
        <w:tc>
          <w:tcPr>
            <w:tcW w:w="964" w:type="dxa"/>
            <w:shd w:val="clear" w:color="auto" w:fill="auto"/>
            <w:tcMar>
              <w:left w:w="85" w:type="dxa"/>
              <w:right w:w="85" w:type="dxa"/>
            </w:tcMar>
          </w:tcPr>
          <w:p w14:paraId="0C858237" w14:textId="77777777" w:rsidR="00410716" w:rsidRPr="00BE78CA" w:rsidRDefault="00410716" w:rsidP="00C26084">
            <w:pPr>
              <w:pStyle w:val="TableText"/>
              <w:spacing w:before="40" w:after="40"/>
              <w:jc w:val="center"/>
              <w:rPr>
                <w:rFonts w:cs="Calibri"/>
                <w:szCs w:val="16"/>
              </w:rPr>
            </w:pPr>
          </w:p>
        </w:tc>
        <w:tc>
          <w:tcPr>
            <w:tcW w:w="922" w:type="dxa"/>
            <w:shd w:val="clear" w:color="auto" w:fill="auto"/>
            <w:tcMar>
              <w:left w:w="85" w:type="dxa"/>
              <w:right w:w="85" w:type="dxa"/>
            </w:tcMar>
          </w:tcPr>
          <w:p w14:paraId="78E12EE6" w14:textId="77777777" w:rsidR="00410716" w:rsidRPr="00BE78CA" w:rsidRDefault="00410716" w:rsidP="00C26084">
            <w:pPr>
              <w:pStyle w:val="TableText"/>
              <w:spacing w:before="40" w:after="40"/>
              <w:jc w:val="center"/>
              <w:rPr>
                <w:rFonts w:cs="Calibri"/>
                <w:szCs w:val="16"/>
              </w:rPr>
            </w:pPr>
          </w:p>
        </w:tc>
      </w:tr>
    </w:tbl>
    <w:p w14:paraId="01A713B6" w14:textId="77777777" w:rsidR="00410716" w:rsidRPr="00BE78CA" w:rsidRDefault="00410716" w:rsidP="00410716">
      <w:pPr>
        <w:pStyle w:val="Noteundertable"/>
      </w:pPr>
      <w:r w:rsidRPr="00BE78CA">
        <w:rPr>
          <w:b/>
        </w:rPr>
        <w:t>Note:</w:t>
      </w:r>
      <w:r w:rsidRPr="00BE78CA">
        <w:t xml:space="preserve"> </w:t>
      </w:r>
      <w:r w:rsidRPr="00BE78CA">
        <w:tab/>
        <w:t xml:space="preserve">A = </w:t>
      </w:r>
      <w:r w:rsidRPr="00BE78CA">
        <w:rPr>
          <w:i/>
        </w:rPr>
        <w:t>Afforestation and reforestation</w:t>
      </w:r>
      <w:r w:rsidRPr="00BE78CA">
        <w:t xml:space="preserve">; D = </w:t>
      </w:r>
      <w:r w:rsidRPr="00BE78CA">
        <w:rPr>
          <w:i/>
        </w:rPr>
        <w:t>Deforestation</w:t>
      </w:r>
      <w:r w:rsidRPr="00BE78CA">
        <w:t xml:space="preserve">; FM = </w:t>
      </w:r>
      <w:r w:rsidRPr="00BE78CA">
        <w:rPr>
          <w:i/>
        </w:rPr>
        <w:t>Forest management</w:t>
      </w:r>
      <w:r w:rsidRPr="00BE78CA">
        <w:t xml:space="preserve">; A/FM indicates that a forest establishment activity could be accounted for under </w:t>
      </w:r>
      <w:r w:rsidRPr="00BE78CA">
        <w:rPr>
          <w:i/>
        </w:rPr>
        <w:t>Forest management</w:t>
      </w:r>
      <w:r w:rsidRPr="00BE78CA">
        <w:t xml:space="preserve"> if the land is subject to the carbon equivalent forest provision; D/FM indicates that a forest harvest and conversion activity could be accounted for under </w:t>
      </w:r>
      <w:r w:rsidRPr="00BE78CA">
        <w:rPr>
          <w:i/>
        </w:rPr>
        <w:t>Forest management</w:t>
      </w:r>
      <w:r w:rsidRPr="00BE78CA">
        <w:t xml:space="preserve"> if the land is subject to the carbon equivalent forest provision; </w:t>
      </w:r>
      <w:r w:rsidRPr="00BE78CA">
        <w:br/>
        <w:t xml:space="preserve">‘–’ denotes land-use changes that are not possible given the land use definitions; ‘*D’ denotes land-use changes that are valid only if the land was forested at 1990, in which case the land use transition is accounted for under deforestation (e.g., pre-1990 planted forest converted to grassland since 1990 that is later converted back to pre-1990 planted forest would be reported under </w:t>
      </w:r>
      <w:r w:rsidRPr="00BE78CA">
        <w:rPr>
          <w:i/>
        </w:rPr>
        <w:t>Deforestation</w:t>
      </w:r>
      <w:r w:rsidRPr="00BE78CA">
        <w:t xml:space="preserve">). </w:t>
      </w:r>
    </w:p>
    <w:p w14:paraId="01ABE64B" w14:textId="77777777" w:rsidR="00410716" w:rsidRPr="00BE78CA" w:rsidRDefault="00410716" w:rsidP="00410716">
      <w:pPr>
        <w:pStyle w:val="BodyText"/>
      </w:pPr>
      <w:r w:rsidRPr="00BE78CA">
        <w:lastRenderedPageBreak/>
        <w:t>Mapping of land-use change is described in chapter 6, sections 6.2.2 and 6.2.3. Further information on the estimation of the total area of afforested and reforested land occurring between 2008 and 2019 can be found in section 6.4.1.</w:t>
      </w:r>
    </w:p>
    <w:p w14:paraId="3AAE6F10" w14:textId="77777777" w:rsidR="00410716" w:rsidRPr="00BE78CA" w:rsidRDefault="00410716" w:rsidP="00410716">
      <w:pPr>
        <w:pStyle w:val="BodyText"/>
      </w:pPr>
      <w:r w:rsidRPr="00BE78CA">
        <w:t>Accurate classification of pre-1990 forest is essential to correctly determine the area reported as afforested and reforested in the land transition matrix. Satellite imagery at various dates near to 1990 and mapping from the New Zealand Emissions Trading Scheme (NZ ETS) have been used to ensure that these forests are classified correctly. An illustration of this process is shown in chapter 6, figure 6.2.4.</w:t>
      </w:r>
    </w:p>
    <w:p w14:paraId="50E79768" w14:textId="77777777" w:rsidR="00410716" w:rsidRPr="00BE78CA" w:rsidRDefault="00410716" w:rsidP="00410716">
      <w:pPr>
        <w:pStyle w:val="BodyText"/>
      </w:pPr>
      <w:r w:rsidRPr="00BE78CA">
        <w:t xml:space="preserve">Transitions to </w:t>
      </w:r>
      <w:r w:rsidRPr="00BE78CA">
        <w:rPr>
          <w:spacing w:val="-2"/>
        </w:rPr>
        <w:t>deforestation</w:t>
      </w:r>
      <w:r w:rsidRPr="00BE78CA">
        <w:t xml:space="preserve"> are based on deforestation mapping, as described in chapter 6, section 6.2.2.</w:t>
      </w:r>
    </w:p>
    <w:p w14:paraId="5FA85329" w14:textId="77777777" w:rsidR="00410716" w:rsidRPr="00BE78CA" w:rsidRDefault="00410716" w:rsidP="00410716">
      <w:pPr>
        <w:pStyle w:val="Heading3"/>
        <w:spacing w:before="240"/>
      </w:pPr>
      <w:bookmarkStart w:id="3425" w:name="_Toc261513287"/>
      <w:bookmarkStart w:id="3426" w:name="_Toc261513900"/>
      <w:bookmarkStart w:id="3427" w:name="_Toc280630390"/>
      <w:bookmarkStart w:id="3428" w:name="_Toc377043721"/>
      <w:bookmarkStart w:id="3429" w:name="_Toc400967259"/>
      <w:r w:rsidRPr="00BE78CA">
        <w:t xml:space="preserve">11.2.3 </w:t>
      </w:r>
      <w:r w:rsidRPr="00BE78CA">
        <w:tab/>
        <w:t>Identifying geographical locations</w:t>
      </w:r>
      <w:bookmarkEnd w:id="3425"/>
      <w:bookmarkEnd w:id="3426"/>
      <w:bookmarkEnd w:id="3427"/>
      <w:bookmarkEnd w:id="3428"/>
      <w:bookmarkEnd w:id="3429"/>
    </w:p>
    <w:p w14:paraId="578B38B0" w14:textId="77777777" w:rsidR="00410716" w:rsidRPr="00BE78CA" w:rsidRDefault="00410716" w:rsidP="00410716">
      <w:pPr>
        <w:pStyle w:val="BodyText"/>
      </w:pPr>
      <w:r w:rsidRPr="00BE78CA">
        <w:t xml:space="preserve">New Zealand has used Reporting Methods 1 and 2 for preparing estimates of emissions and removals for </w:t>
      </w:r>
      <w:r w:rsidRPr="00BE78CA">
        <w:rPr>
          <w:i/>
        </w:rPr>
        <w:t>Afforestation</w:t>
      </w:r>
      <w:r w:rsidRPr="00BE78CA">
        <w:t xml:space="preserve"> </w:t>
      </w:r>
      <w:r w:rsidRPr="00BE78CA">
        <w:rPr>
          <w:i/>
        </w:rPr>
        <w:t>and</w:t>
      </w:r>
      <w:r w:rsidRPr="00BE78CA">
        <w:t xml:space="preserve"> </w:t>
      </w:r>
      <w:r w:rsidRPr="00BE78CA">
        <w:rPr>
          <w:i/>
        </w:rPr>
        <w:t>reforestation</w:t>
      </w:r>
      <w:r w:rsidRPr="00BE78CA">
        <w:t xml:space="preserve"> and </w:t>
      </w:r>
      <w:r w:rsidRPr="00BE78CA">
        <w:rPr>
          <w:i/>
          <w:spacing w:val="-2"/>
        </w:rPr>
        <w:t>Deforestation</w:t>
      </w:r>
      <w:r w:rsidRPr="00BE78CA">
        <w:t xml:space="preserve">, and Approaches 2 and 3 to map land-use change. Wall-to-wall mapping is completed every four to five years, with national statistics and ancillary mapping data used in the intervening years to estimate afforested, reforested or </w:t>
      </w:r>
      <w:r w:rsidRPr="00BE78CA">
        <w:rPr>
          <w:spacing w:val="-2"/>
        </w:rPr>
        <w:t>deforested areas</w:t>
      </w:r>
      <w:r w:rsidRPr="00BE78CA">
        <w:t>.</w:t>
      </w:r>
    </w:p>
    <w:p w14:paraId="130AAE41" w14:textId="77777777" w:rsidR="00410716" w:rsidRPr="00BE78CA" w:rsidRDefault="00410716" w:rsidP="00410716">
      <w:pPr>
        <w:pStyle w:val="BodyText"/>
      </w:pPr>
      <w:r w:rsidRPr="00BE78CA">
        <w:t xml:space="preserve">Included in New Zealand’s geographical extent are the following uninhabited offshore islands: Kermadec Islands, Three Kings Islands and Subantarctic Islands (Auckland Islands, Campbell Island, Antipodes Islands, Bounty Islands and Snares Islands). These islands are protected conservation sites with a total area of 74,052 hectares. They are not subject to land-use change and are therefore reported in a steady state of land use. </w:t>
      </w:r>
    </w:p>
    <w:p w14:paraId="1BCB9FD3" w14:textId="77777777" w:rsidR="00410716" w:rsidRPr="00BE78CA" w:rsidRDefault="00410716" w:rsidP="00410716">
      <w:pPr>
        <w:pStyle w:val="Heading2"/>
        <w:spacing w:before="240"/>
      </w:pPr>
      <w:bookmarkStart w:id="3430" w:name="_Toc261513288"/>
      <w:bookmarkStart w:id="3431" w:name="_Toc261513901"/>
      <w:bookmarkStart w:id="3432" w:name="_Toc280630391"/>
      <w:bookmarkStart w:id="3433" w:name="_Toc310423466"/>
      <w:bookmarkStart w:id="3434" w:name="_Toc342470734"/>
      <w:bookmarkStart w:id="3435" w:name="_Toc352504893"/>
      <w:bookmarkStart w:id="3436" w:name="_Toc377043722"/>
      <w:bookmarkStart w:id="3437" w:name="_Toc391023463"/>
      <w:bookmarkStart w:id="3438" w:name="_Toc400967260"/>
      <w:bookmarkStart w:id="3439" w:name="_Toc414531342"/>
      <w:bookmarkStart w:id="3440" w:name="_Toc456179171"/>
      <w:bookmarkStart w:id="3441" w:name="_Toc481751424"/>
      <w:bookmarkStart w:id="3442" w:name="_Toc522013963"/>
      <w:bookmarkStart w:id="3443" w:name="_Toc5269407"/>
      <w:bookmarkStart w:id="3444" w:name="_Toc36224447"/>
      <w:bookmarkStart w:id="3445" w:name="_Toc68786367"/>
      <w:r w:rsidRPr="00BE78CA">
        <w:t>11.3</w:t>
      </w:r>
      <w:r w:rsidRPr="00BE78CA">
        <w:tab/>
        <w:t>Activity-specific information</w:t>
      </w:r>
      <w:bookmarkEnd w:id="3430"/>
      <w:bookmarkEnd w:id="3431"/>
      <w:bookmarkEnd w:id="3432"/>
      <w:bookmarkEnd w:id="3433"/>
      <w:bookmarkEnd w:id="3434"/>
      <w:bookmarkEnd w:id="3435"/>
      <w:bookmarkEnd w:id="3436"/>
      <w:bookmarkEnd w:id="3437"/>
      <w:bookmarkEnd w:id="3438"/>
      <w:bookmarkEnd w:id="3439"/>
      <w:bookmarkEnd w:id="3440"/>
      <w:bookmarkEnd w:id="3441"/>
      <w:bookmarkEnd w:id="3442"/>
      <w:bookmarkEnd w:id="3443"/>
      <w:bookmarkEnd w:id="3444"/>
      <w:bookmarkEnd w:id="3445"/>
    </w:p>
    <w:p w14:paraId="6DBF1B92" w14:textId="77777777" w:rsidR="00410716" w:rsidRPr="00BE78CA" w:rsidRDefault="00410716" w:rsidP="00410716">
      <w:pPr>
        <w:pStyle w:val="Heading3"/>
        <w:spacing w:before="160"/>
      </w:pPr>
      <w:r w:rsidRPr="00BE78CA">
        <w:t>11.3.1</w:t>
      </w:r>
      <w:r w:rsidRPr="00BE78CA">
        <w:tab/>
        <w:t>Estimating carbon stock change</w:t>
      </w:r>
    </w:p>
    <w:p w14:paraId="57919989" w14:textId="77777777" w:rsidR="00410716" w:rsidRPr="00BE78CA" w:rsidRDefault="00410716" w:rsidP="00410716">
      <w:pPr>
        <w:pStyle w:val="BodyText"/>
      </w:pPr>
      <w:r w:rsidRPr="00BE78CA">
        <w:t xml:space="preserve">Emissions and removals from </w:t>
      </w:r>
      <w:r w:rsidRPr="00BE78CA">
        <w:rPr>
          <w:i/>
        </w:rPr>
        <w:t>Afforestation and reforestation</w:t>
      </w:r>
      <w:r w:rsidRPr="00BE78CA">
        <w:t xml:space="preserve">, </w:t>
      </w:r>
      <w:r w:rsidRPr="00BE78CA">
        <w:rPr>
          <w:i/>
        </w:rPr>
        <w:t>Deforestation</w:t>
      </w:r>
      <w:r w:rsidRPr="00BE78CA">
        <w:t xml:space="preserve"> and </w:t>
      </w:r>
      <w:r w:rsidRPr="00BE78CA">
        <w:rPr>
          <w:i/>
        </w:rPr>
        <w:t>Forest</w:t>
      </w:r>
      <w:r w:rsidRPr="00BE78CA">
        <w:t xml:space="preserve"> </w:t>
      </w:r>
      <w:r w:rsidRPr="00BE78CA">
        <w:rPr>
          <w:i/>
        </w:rPr>
        <w:t>management</w:t>
      </w:r>
      <w:r w:rsidRPr="00BE78CA">
        <w:t xml:space="preserve"> are determined using plot-network-based estimates for each type of forest (pre</w:t>
      </w:r>
      <w:r w:rsidRPr="00BE78CA">
        <w:noBreakHyphen/>
        <w:t xml:space="preserve">1990 natural forest, pre-1990 planted forest, post-1989 planted forest and post-1989 natural forest) and survey data (Ministry for Primary Industries, 2019) to determine the forest age, harvest age, and harvest age profile associated with planted forests. Carbon analyses are performed to estimate the carbon stored per hectare per pool and are described in chapter 6, section 6.4.2. </w:t>
      </w:r>
    </w:p>
    <w:p w14:paraId="07BC1363" w14:textId="77777777" w:rsidR="00410716" w:rsidRPr="00BE78CA" w:rsidRDefault="00410716" w:rsidP="00410716">
      <w:pPr>
        <w:pStyle w:val="Heading3"/>
        <w:spacing w:before="240"/>
      </w:pPr>
      <w:r w:rsidRPr="00BE78CA">
        <w:t>11.3.2</w:t>
      </w:r>
      <w:r w:rsidRPr="00BE78CA">
        <w:tab/>
        <w:t>Afforestation and reforestation (CRF 4(KP.A.1))</w:t>
      </w:r>
    </w:p>
    <w:p w14:paraId="55405EAE" w14:textId="77777777" w:rsidR="00410716" w:rsidRPr="00BE78CA" w:rsidRDefault="00410716" w:rsidP="00410716">
      <w:pPr>
        <w:pStyle w:val="BodyText"/>
      </w:pPr>
      <w:r w:rsidRPr="00BE78CA">
        <w:t>Between 1990 and 2019, it is estimated that 769,702 hectares of new forest (post</w:t>
      </w:r>
      <w:r w:rsidRPr="00BE78CA">
        <w:noBreakHyphen/>
        <w:t xml:space="preserve">1989 forest) were established as a result of </w:t>
      </w:r>
      <w:r w:rsidRPr="00BE78CA">
        <w:rPr>
          <w:i/>
        </w:rPr>
        <w:t>Afforestation and reforestation</w:t>
      </w:r>
      <w:r w:rsidRPr="00BE78CA">
        <w:t xml:space="preserve"> activities (table </w:t>
      </w:r>
      <w:r w:rsidRPr="00BE78CA">
        <w:rPr>
          <w:spacing w:val="-2"/>
        </w:rPr>
        <w:t>11.3.1</w:t>
      </w:r>
      <w:r w:rsidRPr="00BE78CA">
        <w:t xml:space="preserve">). The net area of post-1989 forest (calculated from the total area of new forest planted since 31 December 1989 minus the deforestation of post-1989 forest since 1 January 1990) as at the end of 2019 was </w:t>
      </w:r>
      <w:r w:rsidRPr="00BE78CA">
        <w:rPr>
          <w:rFonts w:cs="Arial"/>
          <w:color w:val="000000"/>
          <w:szCs w:val="16"/>
        </w:rPr>
        <w:t xml:space="preserve">739,454 </w:t>
      </w:r>
      <w:r w:rsidRPr="00BE78CA">
        <w:t>hectares. Emissions from this land in 2019 were –15,812.1 kt CO</w:t>
      </w:r>
      <w:r w:rsidRPr="00BE78CA">
        <w:rPr>
          <w:vertAlign w:val="subscript"/>
        </w:rPr>
        <w:t>2</w:t>
      </w:r>
      <w:r w:rsidRPr="00BE78CA">
        <w:t>-e, compared with –17,197.6 kt CO</w:t>
      </w:r>
      <w:r w:rsidRPr="00BE78CA">
        <w:rPr>
          <w:vertAlign w:val="subscript"/>
        </w:rPr>
        <w:t>2</w:t>
      </w:r>
      <w:r w:rsidRPr="00BE78CA">
        <w:t xml:space="preserve">-e in 2018. Of the total area afforested or reforested between 1990 and 2019, an estimated 30,248 hectares were deforested between 1990 and 2019 (table </w:t>
      </w:r>
      <w:r w:rsidRPr="00BE78CA">
        <w:rPr>
          <w:spacing w:val="-2"/>
        </w:rPr>
        <w:t>11.3.1</w:t>
      </w:r>
      <w:r w:rsidRPr="00BE78CA">
        <w:t xml:space="preserve">). The emissions for this area are reported under </w:t>
      </w:r>
      <w:r w:rsidRPr="00BE78CA">
        <w:rPr>
          <w:i/>
          <w:spacing w:val="-2"/>
        </w:rPr>
        <w:t>Deforestation</w:t>
      </w:r>
      <w:r w:rsidRPr="00BE78CA">
        <w:t>.</w:t>
      </w:r>
    </w:p>
    <w:p w14:paraId="217D2F60" w14:textId="77777777" w:rsidR="00410716" w:rsidRPr="00BE78CA" w:rsidRDefault="00410716" w:rsidP="00410716">
      <w:pPr>
        <w:pStyle w:val="BodyText"/>
      </w:pPr>
      <w:r w:rsidRPr="00BE78CA">
        <w:t>New Zealand’s post-1989 forest is described in further detail in chapter 6, section 6.4.</w:t>
      </w:r>
    </w:p>
    <w:p w14:paraId="5A8F3A82" w14:textId="77777777" w:rsidR="00410716" w:rsidRPr="00BE78CA" w:rsidRDefault="00410716" w:rsidP="00410716">
      <w:pPr>
        <w:pStyle w:val="Table"/>
      </w:pPr>
      <w:bookmarkStart w:id="3446" w:name="_Toc310423440"/>
      <w:bookmarkStart w:id="3447" w:name="_Toc318362733"/>
      <w:bookmarkStart w:id="3448" w:name="_Toc342470812"/>
      <w:bookmarkStart w:id="3449" w:name="_Toc352505065"/>
      <w:bookmarkStart w:id="3450" w:name="_Toc377043701"/>
      <w:bookmarkStart w:id="3451" w:name="_Toc391023553"/>
      <w:bookmarkStart w:id="3452" w:name="_Toc414531527"/>
      <w:bookmarkStart w:id="3453" w:name="_Toc456179107"/>
      <w:bookmarkStart w:id="3454" w:name="_Toc481751633"/>
      <w:bookmarkStart w:id="3455" w:name="_Toc522010658"/>
      <w:bookmarkStart w:id="3456" w:name="_Toc5269628"/>
      <w:bookmarkStart w:id="3457" w:name="_Toc36224710"/>
      <w:bookmarkStart w:id="3458" w:name="_Toc64987045"/>
      <w:bookmarkStart w:id="3459" w:name="_Toc68786595"/>
      <w:r w:rsidRPr="00BE78CA">
        <w:lastRenderedPageBreak/>
        <w:t>Table 11.3.1</w:t>
      </w:r>
      <w:r w:rsidRPr="00BE78CA">
        <w:tab/>
        <w:t>New Zealand’s estimated annual area under Afforestation and reforestation</w:t>
      </w:r>
      <w:r w:rsidRPr="00BE78CA">
        <w:rPr>
          <w:vertAlign w:val="subscript"/>
        </w:rPr>
        <w:t xml:space="preserve"> </w:t>
      </w:r>
      <w:r w:rsidRPr="00BE78CA">
        <w:t>from 1990</w:t>
      </w:r>
      <w:bookmarkEnd w:id="3446"/>
      <w:bookmarkEnd w:id="3447"/>
      <w:bookmarkEnd w:id="3448"/>
      <w:bookmarkEnd w:id="3449"/>
      <w:bookmarkEnd w:id="3450"/>
      <w:r w:rsidRPr="00BE78CA">
        <w:t> to</w:t>
      </w:r>
      <w:bookmarkEnd w:id="3451"/>
      <w:r w:rsidRPr="00BE78CA">
        <w:t> 201</w:t>
      </w:r>
      <w:bookmarkEnd w:id="3452"/>
      <w:bookmarkEnd w:id="3453"/>
      <w:bookmarkEnd w:id="3454"/>
      <w:bookmarkEnd w:id="3455"/>
      <w:bookmarkEnd w:id="3456"/>
      <w:bookmarkEnd w:id="3457"/>
      <w:r w:rsidRPr="00BE78CA">
        <w:t>9</w:t>
      </w:r>
      <w:bookmarkEnd w:id="3458"/>
      <w:bookmarkEnd w:id="3459"/>
    </w:p>
    <w:tbl>
      <w:tblPr>
        <w:tblW w:w="8505" w:type="dxa"/>
        <w:tblBorders>
          <w:top w:val="single" w:sz="4" w:space="0" w:color="365F91"/>
          <w:bottom w:val="single" w:sz="4" w:space="0" w:color="365F91"/>
          <w:insideH w:val="single" w:sz="4" w:space="0" w:color="365F91"/>
        </w:tblBorders>
        <w:tblLook w:val="04A0" w:firstRow="1" w:lastRow="0" w:firstColumn="1" w:lastColumn="0" w:noHBand="0" w:noVBand="1"/>
      </w:tblPr>
      <w:tblGrid>
        <w:gridCol w:w="873"/>
        <w:gridCol w:w="2503"/>
        <w:gridCol w:w="1586"/>
        <w:gridCol w:w="1701"/>
        <w:gridCol w:w="1842"/>
      </w:tblGrid>
      <w:tr w:rsidR="00410716" w:rsidRPr="00BE78CA" w14:paraId="33B918CB" w14:textId="77777777" w:rsidTr="003571FF">
        <w:trPr>
          <w:tblHeader/>
        </w:trPr>
        <w:tc>
          <w:tcPr>
            <w:tcW w:w="873" w:type="dxa"/>
            <w:vMerge w:val="restart"/>
            <w:shd w:val="clear" w:color="auto" w:fill="365F91"/>
            <w:vAlign w:val="bottom"/>
          </w:tcPr>
          <w:p w14:paraId="43C475C0" w14:textId="77777777" w:rsidR="00410716" w:rsidRPr="00BE78CA" w:rsidRDefault="00410716" w:rsidP="00C26084">
            <w:pPr>
              <w:pStyle w:val="TableTextBold"/>
              <w:keepNext/>
              <w:spacing w:before="40" w:after="40"/>
              <w:rPr>
                <w:rFonts w:cs="Calibri"/>
                <w:noProof w:val="0"/>
                <w:color w:val="FFFFFF"/>
                <w:szCs w:val="16"/>
              </w:rPr>
            </w:pPr>
            <w:r w:rsidRPr="00BE78CA">
              <w:rPr>
                <w:rFonts w:cs="Calibri"/>
                <w:noProof w:val="0"/>
                <w:color w:val="FFFFFF"/>
                <w:szCs w:val="16"/>
              </w:rPr>
              <w:t>Year</w:t>
            </w:r>
          </w:p>
        </w:tc>
        <w:tc>
          <w:tcPr>
            <w:tcW w:w="7632" w:type="dxa"/>
            <w:gridSpan w:val="4"/>
            <w:shd w:val="clear" w:color="auto" w:fill="365F91"/>
            <w:vAlign w:val="center"/>
          </w:tcPr>
          <w:p w14:paraId="62E62F7F" w14:textId="77777777" w:rsidR="00410716" w:rsidRPr="00BE78CA" w:rsidRDefault="00410716" w:rsidP="00C26084">
            <w:pPr>
              <w:pStyle w:val="TableTextBold"/>
              <w:keepNext/>
              <w:spacing w:before="40" w:after="40"/>
              <w:jc w:val="center"/>
              <w:rPr>
                <w:rFonts w:cs="Calibri"/>
                <w:bCs/>
                <w:noProof w:val="0"/>
                <w:color w:val="FFFFFF"/>
                <w:szCs w:val="16"/>
              </w:rPr>
            </w:pPr>
            <w:r w:rsidRPr="00BE78CA">
              <w:rPr>
                <w:rFonts w:cs="Calibri"/>
                <w:bCs/>
                <w:noProof w:val="0"/>
                <w:color w:val="FFFFFF"/>
                <w:szCs w:val="16"/>
              </w:rPr>
              <w:t>Annual area of Afforestation and reforestation (ha)</w:t>
            </w:r>
          </w:p>
        </w:tc>
      </w:tr>
      <w:tr w:rsidR="00410716" w:rsidRPr="00BE78CA" w14:paraId="4E8EDE7D" w14:textId="77777777" w:rsidTr="005D0C5D">
        <w:trPr>
          <w:tblHeader/>
        </w:trPr>
        <w:tc>
          <w:tcPr>
            <w:tcW w:w="873" w:type="dxa"/>
            <w:vMerge/>
            <w:shd w:val="clear" w:color="auto" w:fill="2E74B5"/>
            <w:vAlign w:val="bottom"/>
          </w:tcPr>
          <w:p w14:paraId="5EF8EEAC" w14:textId="77777777" w:rsidR="00410716" w:rsidRPr="00BE78CA" w:rsidRDefault="00410716" w:rsidP="00C26084">
            <w:pPr>
              <w:pStyle w:val="TableTextBold"/>
              <w:keepNext/>
              <w:spacing w:before="40" w:after="40"/>
              <w:rPr>
                <w:rFonts w:cs="Calibri"/>
                <w:b w:val="0"/>
                <w:bCs/>
                <w:noProof w:val="0"/>
                <w:color w:val="FFFFFF"/>
                <w:szCs w:val="16"/>
              </w:rPr>
            </w:pPr>
          </w:p>
        </w:tc>
        <w:tc>
          <w:tcPr>
            <w:tcW w:w="2503" w:type="dxa"/>
            <w:shd w:val="clear" w:color="auto" w:fill="365F91"/>
            <w:vAlign w:val="bottom"/>
          </w:tcPr>
          <w:p w14:paraId="0EE92EE7" w14:textId="77777777" w:rsidR="00410716" w:rsidRPr="00BE78CA" w:rsidRDefault="00410716" w:rsidP="00C26084">
            <w:pPr>
              <w:pStyle w:val="TableTextBold"/>
              <w:spacing w:before="40" w:after="40"/>
              <w:jc w:val="right"/>
              <w:rPr>
                <w:rFonts w:cs="Calibri"/>
                <w:noProof w:val="0"/>
                <w:color w:val="FFFFFF"/>
                <w:szCs w:val="16"/>
              </w:rPr>
            </w:pPr>
            <w:r w:rsidRPr="00BE78CA">
              <w:rPr>
                <w:rFonts w:cs="Calibri"/>
                <w:noProof w:val="0"/>
                <w:color w:val="FFFFFF"/>
                <w:szCs w:val="16"/>
              </w:rPr>
              <w:t>Afforestation/reforestation</w:t>
            </w:r>
            <w:r w:rsidRPr="00BE78CA">
              <w:rPr>
                <w:rFonts w:cs="Calibri"/>
                <w:noProof w:val="0"/>
                <w:color w:val="FFFFFF"/>
                <w:szCs w:val="16"/>
                <w:vertAlign w:val="superscript"/>
              </w:rPr>
              <w:t>+</w:t>
            </w:r>
          </w:p>
        </w:tc>
        <w:tc>
          <w:tcPr>
            <w:tcW w:w="1586" w:type="dxa"/>
            <w:shd w:val="clear" w:color="auto" w:fill="365F91"/>
            <w:vAlign w:val="bottom"/>
          </w:tcPr>
          <w:p w14:paraId="22B91568" w14:textId="77777777" w:rsidR="00410716" w:rsidRPr="00BE78CA" w:rsidRDefault="00410716" w:rsidP="00C26084">
            <w:pPr>
              <w:pStyle w:val="TableTextBold"/>
              <w:spacing w:before="40" w:after="40"/>
              <w:jc w:val="right"/>
              <w:rPr>
                <w:rFonts w:cs="Calibri"/>
                <w:noProof w:val="0"/>
                <w:color w:val="FFFFFF"/>
                <w:szCs w:val="16"/>
              </w:rPr>
            </w:pPr>
            <w:r w:rsidRPr="00BE78CA">
              <w:rPr>
                <w:rFonts w:cs="Calibri"/>
                <w:noProof w:val="0"/>
                <w:color w:val="FFFFFF"/>
                <w:szCs w:val="16"/>
              </w:rPr>
              <w:t>Harvesting</w:t>
            </w:r>
          </w:p>
        </w:tc>
        <w:tc>
          <w:tcPr>
            <w:tcW w:w="1701" w:type="dxa"/>
            <w:shd w:val="clear" w:color="auto" w:fill="365F91"/>
            <w:vAlign w:val="bottom"/>
          </w:tcPr>
          <w:p w14:paraId="3177072E" w14:textId="77777777" w:rsidR="00410716" w:rsidRPr="00BE78CA" w:rsidRDefault="00410716" w:rsidP="00C26084">
            <w:pPr>
              <w:pStyle w:val="TableTextBold"/>
              <w:spacing w:before="40" w:after="40"/>
              <w:jc w:val="right"/>
              <w:rPr>
                <w:rFonts w:cs="Calibri"/>
                <w:noProof w:val="0"/>
                <w:color w:val="FFFFFF"/>
                <w:szCs w:val="16"/>
              </w:rPr>
            </w:pPr>
            <w:r w:rsidRPr="00BE78CA">
              <w:rPr>
                <w:rFonts w:cs="Calibri"/>
                <w:noProof w:val="0"/>
                <w:color w:val="FFFFFF"/>
                <w:szCs w:val="16"/>
              </w:rPr>
              <w:t>Deforestation</w:t>
            </w:r>
          </w:p>
        </w:tc>
        <w:tc>
          <w:tcPr>
            <w:tcW w:w="1842" w:type="dxa"/>
            <w:shd w:val="clear" w:color="auto" w:fill="365F91"/>
            <w:vAlign w:val="bottom"/>
          </w:tcPr>
          <w:p w14:paraId="3E5B45BB" w14:textId="77777777" w:rsidR="00410716" w:rsidRPr="00BE78CA" w:rsidRDefault="00410716" w:rsidP="00C26084">
            <w:pPr>
              <w:pStyle w:val="TableTextBold"/>
              <w:spacing w:before="40" w:after="40"/>
              <w:jc w:val="right"/>
              <w:rPr>
                <w:rFonts w:cs="Calibri"/>
                <w:noProof w:val="0"/>
                <w:color w:val="FFFFFF"/>
                <w:szCs w:val="16"/>
              </w:rPr>
            </w:pPr>
            <w:r w:rsidRPr="00BE78CA">
              <w:rPr>
                <w:rFonts w:cs="Calibri"/>
                <w:noProof w:val="0"/>
                <w:color w:val="FFFFFF"/>
                <w:szCs w:val="16"/>
              </w:rPr>
              <w:t>Net cumulative area</w:t>
            </w:r>
          </w:p>
        </w:tc>
      </w:tr>
      <w:tr w:rsidR="00410716" w:rsidRPr="00BE78CA" w14:paraId="0A8045E6" w14:textId="77777777" w:rsidTr="005D0C5D">
        <w:tc>
          <w:tcPr>
            <w:tcW w:w="873" w:type="dxa"/>
            <w:shd w:val="clear" w:color="auto" w:fill="auto"/>
          </w:tcPr>
          <w:p w14:paraId="59FA4D28" w14:textId="77777777" w:rsidR="00410716" w:rsidRPr="00BE78CA" w:rsidRDefault="00410716" w:rsidP="00C26084">
            <w:pPr>
              <w:pStyle w:val="TableText"/>
              <w:keepNext/>
              <w:spacing w:before="50" w:after="50"/>
              <w:rPr>
                <w:rFonts w:cs="Calibri"/>
                <w:szCs w:val="16"/>
              </w:rPr>
            </w:pPr>
            <w:r w:rsidRPr="00BE78CA">
              <w:rPr>
                <w:rFonts w:cs="Calibri"/>
                <w:szCs w:val="16"/>
              </w:rPr>
              <w:t>1990</w:t>
            </w:r>
          </w:p>
        </w:tc>
        <w:tc>
          <w:tcPr>
            <w:tcW w:w="2503" w:type="dxa"/>
            <w:shd w:val="clear" w:color="auto" w:fill="auto"/>
          </w:tcPr>
          <w:p w14:paraId="726ED903" w14:textId="77777777" w:rsidR="00410716" w:rsidRPr="00BE78CA" w:rsidRDefault="00410716" w:rsidP="00C26084">
            <w:pPr>
              <w:pStyle w:val="TableText"/>
              <w:spacing w:before="50" w:after="50"/>
              <w:jc w:val="right"/>
              <w:rPr>
                <w:rFonts w:cs="Calibri"/>
                <w:szCs w:val="16"/>
              </w:rPr>
            </w:pPr>
            <w:r w:rsidRPr="00BE78CA">
              <w:t>14,512</w:t>
            </w:r>
          </w:p>
        </w:tc>
        <w:tc>
          <w:tcPr>
            <w:tcW w:w="1586" w:type="dxa"/>
            <w:shd w:val="clear" w:color="auto" w:fill="auto"/>
          </w:tcPr>
          <w:p w14:paraId="21882DFF" w14:textId="77777777" w:rsidR="00410716" w:rsidRPr="00BE78CA" w:rsidRDefault="00410716" w:rsidP="00C26084">
            <w:pPr>
              <w:pStyle w:val="TableText"/>
              <w:spacing w:before="50" w:after="50"/>
              <w:jc w:val="right"/>
              <w:rPr>
                <w:rFonts w:cs="Calibri"/>
                <w:szCs w:val="16"/>
              </w:rPr>
            </w:pPr>
            <w:r w:rsidRPr="00BE78CA">
              <w:t>0</w:t>
            </w:r>
          </w:p>
        </w:tc>
        <w:tc>
          <w:tcPr>
            <w:tcW w:w="1701" w:type="dxa"/>
            <w:shd w:val="clear" w:color="auto" w:fill="auto"/>
          </w:tcPr>
          <w:p w14:paraId="00594451" w14:textId="77777777" w:rsidR="00410716" w:rsidRPr="00BE78CA" w:rsidRDefault="00410716" w:rsidP="00C26084">
            <w:pPr>
              <w:pStyle w:val="TableText"/>
              <w:spacing w:before="50" w:after="50"/>
              <w:jc w:val="right"/>
              <w:rPr>
                <w:rFonts w:cs="Calibri"/>
                <w:szCs w:val="16"/>
              </w:rPr>
            </w:pPr>
            <w:r w:rsidRPr="00BE78CA">
              <w:t>0</w:t>
            </w:r>
          </w:p>
        </w:tc>
        <w:tc>
          <w:tcPr>
            <w:tcW w:w="1842" w:type="dxa"/>
            <w:shd w:val="clear" w:color="auto" w:fill="auto"/>
          </w:tcPr>
          <w:p w14:paraId="7B9E7F22" w14:textId="77777777" w:rsidR="00410716" w:rsidRPr="00BE78CA" w:rsidRDefault="00410716" w:rsidP="00C26084">
            <w:pPr>
              <w:pStyle w:val="TableText"/>
              <w:spacing w:before="50" w:after="50"/>
              <w:jc w:val="right"/>
              <w:rPr>
                <w:rFonts w:cs="Calibri"/>
                <w:szCs w:val="16"/>
              </w:rPr>
            </w:pPr>
            <w:r w:rsidRPr="00BE78CA">
              <w:t>14,512</w:t>
            </w:r>
          </w:p>
        </w:tc>
      </w:tr>
      <w:tr w:rsidR="00410716" w:rsidRPr="00BE78CA" w14:paraId="69CA3F5E" w14:textId="77777777" w:rsidTr="005D0C5D">
        <w:tc>
          <w:tcPr>
            <w:tcW w:w="873" w:type="dxa"/>
            <w:shd w:val="clear" w:color="auto" w:fill="auto"/>
          </w:tcPr>
          <w:p w14:paraId="760644DE" w14:textId="77777777" w:rsidR="00410716" w:rsidRPr="00BE78CA" w:rsidRDefault="00410716" w:rsidP="00C26084">
            <w:pPr>
              <w:pStyle w:val="TableText"/>
              <w:keepNext/>
              <w:spacing w:before="50" w:after="50"/>
              <w:rPr>
                <w:rFonts w:cs="Calibri"/>
                <w:szCs w:val="16"/>
              </w:rPr>
            </w:pPr>
            <w:r w:rsidRPr="00BE78CA">
              <w:rPr>
                <w:rFonts w:cs="Calibri"/>
                <w:szCs w:val="16"/>
              </w:rPr>
              <w:t>1991</w:t>
            </w:r>
          </w:p>
        </w:tc>
        <w:tc>
          <w:tcPr>
            <w:tcW w:w="2503" w:type="dxa"/>
            <w:shd w:val="clear" w:color="auto" w:fill="auto"/>
          </w:tcPr>
          <w:p w14:paraId="698D0151" w14:textId="77777777" w:rsidR="00410716" w:rsidRPr="00BE78CA" w:rsidRDefault="00410716" w:rsidP="00C26084">
            <w:pPr>
              <w:pStyle w:val="TableText"/>
              <w:spacing w:before="50" w:after="50"/>
              <w:jc w:val="right"/>
              <w:rPr>
                <w:rFonts w:cs="Calibri"/>
                <w:szCs w:val="16"/>
              </w:rPr>
            </w:pPr>
            <w:r w:rsidRPr="00BE78CA">
              <w:t>14,333</w:t>
            </w:r>
          </w:p>
        </w:tc>
        <w:tc>
          <w:tcPr>
            <w:tcW w:w="1586" w:type="dxa"/>
            <w:shd w:val="clear" w:color="auto" w:fill="auto"/>
          </w:tcPr>
          <w:p w14:paraId="61786640" w14:textId="77777777" w:rsidR="00410716" w:rsidRPr="00BE78CA" w:rsidRDefault="00410716" w:rsidP="00C26084">
            <w:pPr>
              <w:pStyle w:val="TableText"/>
              <w:spacing w:before="50" w:after="50"/>
              <w:jc w:val="right"/>
              <w:rPr>
                <w:rFonts w:cs="Calibri"/>
                <w:szCs w:val="16"/>
              </w:rPr>
            </w:pPr>
            <w:r w:rsidRPr="00BE78CA">
              <w:t>0</w:t>
            </w:r>
          </w:p>
        </w:tc>
        <w:tc>
          <w:tcPr>
            <w:tcW w:w="1701" w:type="dxa"/>
            <w:shd w:val="clear" w:color="auto" w:fill="auto"/>
          </w:tcPr>
          <w:p w14:paraId="62F79FAE" w14:textId="77777777" w:rsidR="00410716" w:rsidRPr="00BE78CA" w:rsidRDefault="00410716" w:rsidP="00C26084">
            <w:pPr>
              <w:pStyle w:val="TableText"/>
              <w:spacing w:before="50" w:after="50"/>
              <w:jc w:val="right"/>
              <w:rPr>
                <w:rFonts w:cs="Calibri"/>
                <w:szCs w:val="16"/>
              </w:rPr>
            </w:pPr>
            <w:r w:rsidRPr="00BE78CA">
              <w:t>0</w:t>
            </w:r>
          </w:p>
        </w:tc>
        <w:tc>
          <w:tcPr>
            <w:tcW w:w="1842" w:type="dxa"/>
            <w:shd w:val="clear" w:color="auto" w:fill="auto"/>
          </w:tcPr>
          <w:p w14:paraId="50B5CEC5" w14:textId="77777777" w:rsidR="00410716" w:rsidRPr="00BE78CA" w:rsidRDefault="00410716" w:rsidP="00C26084">
            <w:pPr>
              <w:pStyle w:val="TableText"/>
              <w:spacing w:before="50" w:after="50"/>
              <w:jc w:val="right"/>
              <w:rPr>
                <w:rFonts w:cs="Calibri"/>
                <w:szCs w:val="16"/>
              </w:rPr>
            </w:pPr>
            <w:r w:rsidRPr="00BE78CA">
              <w:t>28,845</w:t>
            </w:r>
          </w:p>
        </w:tc>
      </w:tr>
      <w:tr w:rsidR="00410716" w:rsidRPr="00BE78CA" w14:paraId="5CC69405" w14:textId="77777777" w:rsidTr="005D0C5D">
        <w:tc>
          <w:tcPr>
            <w:tcW w:w="873" w:type="dxa"/>
            <w:shd w:val="clear" w:color="auto" w:fill="auto"/>
          </w:tcPr>
          <w:p w14:paraId="0EEDF742" w14:textId="77777777" w:rsidR="00410716" w:rsidRPr="00BE78CA" w:rsidRDefault="00410716" w:rsidP="00C26084">
            <w:pPr>
              <w:pStyle w:val="TableText"/>
              <w:spacing w:before="50" w:after="50"/>
              <w:rPr>
                <w:rFonts w:cs="Calibri"/>
                <w:szCs w:val="16"/>
              </w:rPr>
            </w:pPr>
            <w:r w:rsidRPr="00BE78CA">
              <w:rPr>
                <w:rFonts w:cs="Calibri"/>
                <w:szCs w:val="16"/>
              </w:rPr>
              <w:t>1992</w:t>
            </w:r>
          </w:p>
        </w:tc>
        <w:tc>
          <w:tcPr>
            <w:tcW w:w="2503" w:type="dxa"/>
            <w:shd w:val="clear" w:color="auto" w:fill="auto"/>
          </w:tcPr>
          <w:p w14:paraId="5A3346FD" w14:textId="77777777" w:rsidR="00410716" w:rsidRPr="00BE78CA" w:rsidRDefault="00410716" w:rsidP="00C26084">
            <w:pPr>
              <w:pStyle w:val="TableText"/>
              <w:spacing w:before="50" w:after="50"/>
              <w:jc w:val="right"/>
              <w:rPr>
                <w:rFonts w:cs="Calibri"/>
                <w:szCs w:val="16"/>
              </w:rPr>
            </w:pPr>
            <w:r w:rsidRPr="00BE78CA">
              <w:t>44,297</w:t>
            </w:r>
          </w:p>
        </w:tc>
        <w:tc>
          <w:tcPr>
            <w:tcW w:w="1586" w:type="dxa"/>
            <w:shd w:val="clear" w:color="auto" w:fill="auto"/>
          </w:tcPr>
          <w:p w14:paraId="7C373199" w14:textId="77777777" w:rsidR="00410716" w:rsidRPr="00BE78CA" w:rsidRDefault="00410716" w:rsidP="00C26084">
            <w:pPr>
              <w:pStyle w:val="TableText"/>
              <w:spacing w:before="50" w:after="50"/>
              <w:jc w:val="right"/>
              <w:rPr>
                <w:rFonts w:cs="Calibri"/>
                <w:szCs w:val="16"/>
              </w:rPr>
            </w:pPr>
            <w:r w:rsidRPr="00BE78CA">
              <w:t>0</w:t>
            </w:r>
          </w:p>
        </w:tc>
        <w:tc>
          <w:tcPr>
            <w:tcW w:w="1701" w:type="dxa"/>
            <w:shd w:val="clear" w:color="auto" w:fill="auto"/>
          </w:tcPr>
          <w:p w14:paraId="6C76A4AE" w14:textId="77777777" w:rsidR="00410716" w:rsidRPr="00BE78CA" w:rsidRDefault="00410716" w:rsidP="00C26084">
            <w:pPr>
              <w:pStyle w:val="TableText"/>
              <w:spacing w:before="50" w:after="50"/>
              <w:jc w:val="right"/>
              <w:rPr>
                <w:rFonts w:cs="Calibri"/>
                <w:szCs w:val="16"/>
              </w:rPr>
            </w:pPr>
            <w:r w:rsidRPr="00BE78CA">
              <w:t>0</w:t>
            </w:r>
          </w:p>
        </w:tc>
        <w:tc>
          <w:tcPr>
            <w:tcW w:w="1842" w:type="dxa"/>
            <w:shd w:val="clear" w:color="auto" w:fill="auto"/>
          </w:tcPr>
          <w:p w14:paraId="1E9888D8" w14:textId="77777777" w:rsidR="00410716" w:rsidRPr="00BE78CA" w:rsidRDefault="00410716" w:rsidP="00C26084">
            <w:pPr>
              <w:pStyle w:val="TableText"/>
              <w:spacing w:before="50" w:after="50"/>
              <w:jc w:val="right"/>
              <w:rPr>
                <w:rFonts w:cs="Calibri"/>
                <w:szCs w:val="16"/>
              </w:rPr>
            </w:pPr>
            <w:r w:rsidRPr="00BE78CA">
              <w:t>73,142</w:t>
            </w:r>
          </w:p>
        </w:tc>
      </w:tr>
      <w:tr w:rsidR="00410716" w:rsidRPr="00BE78CA" w14:paraId="0138C6A2" w14:textId="77777777" w:rsidTr="005D0C5D">
        <w:tc>
          <w:tcPr>
            <w:tcW w:w="873" w:type="dxa"/>
            <w:shd w:val="clear" w:color="auto" w:fill="auto"/>
          </w:tcPr>
          <w:p w14:paraId="49295D95" w14:textId="77777777" w:rsidR="00410716" w:rsidRPr="00BE78CA" w:rsidRDefault="00410716" w:rsidP="00C26084">
            <w:pPr>
              <w:pStyle w:val="TableText"/>
              <w:spacing w:before="50" w:after="50"/>
              <w:rPr>
                <w:rFonts w:cs="Calibri"/>
                <w:szCs w:val="16"/>
              </w:rPr>
            </w:pPr>
            <w:r w:rsidRPr="00BE78CA">
              <w:rPr>
                <w:rFonts w:cs="Calibri"/>
                <w:szCs w:val="16"/>
              </w:rPr>
              <w:t>1993</w:t>
            </w:r>
          </w:p>
        </w:tc>
        <w:tc>
          <w:tcPr>
            <w:tcW w:w="2503" w:type="dxa"/>
            <w:shd w:val="clear" w:color="auto" w:fill="auto"/>
          </w:tcPr>
          <w:p w14:paraId="52F7E7D5" w14:textId="77777777" w:rsidR="00410716" w:rsidRPr="00BE78CA" w:rsidRDefault="00410716" w:rsidP="00C26084">
            <w:pPr>
              <w:pStyle w:val="TableText"/>
              <w:spacing w:before="50" w:after="50"/>
              <w:jc w:val="right"/>
              <w:rPr>
                <w:rFonts w:cs="Calibri"/>
                <w:szCs w:val="16"/>
              </w:rPr>
            </w:pPr>
            <w:r w:rsidRPr="00BE78CA">
              <w:t>53,895</w:t>
            </w:r>
          </w:p>
        </w:tc>
        <w:tc>
          <w:tcPr>
            <w:tcW w:w="1586" w:type="dxa"/>
            <w:shd w:val="clear" w:color="auto" w:fill="auto"/>
          </w:tcPr>
          <w:p w14:paraId="0B85B3E5" w14:textId="77777777" w:rsidR="00410716" w:rsidRPr="00BE78CA" w:rsidRDefault="00410716" w:rsidP="00C26084">
            <w:pPr>
              <w:pStyle w:val="TableText"/>
              <w:spacing w:before="50" w:after="50"/>
              <w:jc w:val="right"/>
              <w:rPr>
                <w:rFonts w:cs="Calibri"/>
                <w:szCs w:val="16"/>
              </w:rPr>
            </w:pPr>
            <w:r w:rsidRPr="00BE78CA">
              <w:t>0</w:t>
            </w:r>
          </w:p>
        </w:tc>
        <w:tc>
          <w:tcPr>
            <w:tcW w:w="1701" w:type="dxa"/>
            <w:shd w:val="clear" w:color="auto" w:fill="auto"/>
          </w:tcPr>
          <w:p w14:paraId="2352FFAE" w14:textId="77777777" w:rsidR="00410716" w:rsidRPr="00BE78CA" w:rsidRDefault="00410716" w:rsidP="00C26084">
            <w:pPr>
              <w:pStyle w:val="TableText"/>
              <w:spacing w:before="50" w:after="50"/>
              <w:jc w:val="right"/>
              <w:rPr>
                <w:rFonts w:cs="Calibri"/>
                <w:szCs w:val="16"/>
              </w:rPr>
            </w:pPr>
            <w:r w:rsidRPr="00BE78CA">
              <w:t>0</w:t>
            </w:r>
          </w:p>
        </w:tc>
        <w:tc>
          <w:tcPr>
            <w:tcW w:w="1842" w:type="dxa"/>
            <w:shd w:val="clear" w:color="auto" w:fill="auto"/>
          </w:tcPr>
          <w:p w14:paraId="4227857C" w14:textId="77777777" w:rsidR="00410716" w:rsidRPr="00BE78CA" w:rsidRDefault="00410716" w:rsidP="00C26084">
            <w:pPr>
              <w:pStyle w:val="TableText"/>
              <w:spacing w:before="50" w:after="50"/>
              <w:jc w:val="right"/>
              <w:rPr>
                <w:rFonts w:cs="Calibri"/>
                <w:szCs w:val="16"/>
              </w:rPr>
            </w:pPr>
            <w:r w:rsidRPr="00BE78CA">
              <w:t>127,037</w:t>
            </w:r>
          </w:p>
        </w:tc>
      </w:tr>
      <w:tr w:rsidR="00410716" w:rsidRPr="00BE78CA" w14:paraId="3FB552BF" w14:textId="77777777" w:rsidTr="005D0C5D">
        <w:tc>
          <w:tcPr>
            <w:tcW w:w="873" w:type="dxa"/>
            <w:shd w:val="clear" w:color="auto" w:fill="auto"/>
          </w:tcPr>
          <w:p w14:paraId="7A28ED7E" w14:textId="77777777" w:rsidR="00410716" w:rsidRPr="00BE78CA" w:rsidRDefault="00410716" w:rsidP="00C26084">
            <w:pPr>
              <w:pStyle w:val="TableText"/>
              <w:spacing w:before="50" w:after="50"/>
              <w:rPr>
                <w:rFonts w:cs="Calibri"/>
                <w:szCs w:val="16"/>
              </w:rPr>
            </w:pPr>
            <w:r w:rsidRPr="00BE78CA">
              <w:rPr>
                <w:rFonts w:cs="Calibri"/>
                <w:szCs w:val="16"/>
              </w:rPr>
              <w:t>1994</w:t>
            </w:r>
          </w:p>
        </w:tc>
        <w:tc>
          <w:tcPr>
            <w:tcW w:w="2503" w:type="dxa"/>
            <w:shd w:val="clear" w:color="auto" w:fill="auto"/>
          </w:tcPr>
          <w:p w14:paraId="0F2C0745" w14:textId="77777777" w:rsidR="00410716" w:rsidRPr="00BE78CA" w:rsidRDefault="00410716" w:rsidP="00C26084">
            <w:pPr>
              <w:pStyle w:val="TableText"/>
              <w:spacing w:before="50" w:after="50"/>
              <w:jc w:val="right"/>
              <w:rPr>
                <w:rFonts w:cs="Calibri"/>
                <w:szCs w:val="16"/>
              </w:rPr>
            </w:pPr>
            <w:r w:rsidRPr="00BE78CA">
              <w:t>85,074</w:t>
            </w:r>
          </w:p>
        </w:tc>
        <w:tc>
          <w:tcPr>
            <w:tcW w:w="1586" w:type="dxa"/>
            <w:shd w:val="clear" w:color="auto" w:fill="auto"/>
          </w:tcPr>
          <w:p w14:paraId="271F90E6" w14:textId="77777777" w:rsidR="00410716" w:rsidRPr="00BE78CA" w:rsidRDefault="00410716" w:rsidP="00C26084">
            <w:pPr>
              <w:pStyle w:val="TableText"/>
              <w:spacing w:before="50" w:after="50"/>
              <w:jc w:val="right"/>
              <w:rPr>
                <w:rFonts w:cs="Calibri"/>
                <w:szCs w:val="16"/>
              </w:rPr>
            </w:pPr>
            <w:r w:rsidRPr="00BE78CA">
              <w:t>0</w:t>
            </w:r>
          </w:p>
        </w:tc>
        <w:tc>
          <w:tcPr>
            <w:tcW w:w="1701" w:type="dxa"/>
            <w:shd w:val="clear" w:color="auto" w:fill="auto"/>
          </w:tcPr>
          <w:p w14:paraId="01068F31" w14:textId="77777777" w:rsidR="00410716" w:rsidRPr="00BE78CA" w:rsidRDefault="00410716" w:rsidP="00C26084">
            <w:pPr>
              <w:pStyle w:val="TableText"/>
              <w:spacing w:before="50" w:after="50"/>
              <w:jc w:val="right"/>
              <w:rPr>
                <w:rFonts w:cs="Calibri"/>
                <w:szCs w:val="16"/>
              </w:rPr>
            </w:pPr>
            <w:r w:rsidRPr="00BE78CA">
              <w:t>0</w:t>
            </w:r>
          </w:p>
        </w:tc>
        <w:tc>
          <w:tcPr>
            <w:tcW w:w="1842" w:type="dxa"/>
            <w:shd w:val="clear" w:color="auto" w:fill="auto"/>
          </w:tcPr>
          <w:p w14:paraId="73AFF0C9" w14:textId="77777777" w:rsidR="00410716" w:rsidRPr="00BE78CA" w:rsidRDefault="00410716" w:rsidP="00C26084">
            <w:pPr>
              <w:pStyle w:val="TableText"/>
              <w:spacing w:before="50" w:after="50"/>
              <w:jc w:val="right"/>
              <w:rPr>
                <w:rFonts w:cs="Calibri"/>
                <w:szCs w:val="16"/>
              </w:rPr>
            </w:pPr>
            <w:r w:rsidRPr="00BE78CA">
              <w:t>212,111</w:t>
            </w:r>
          </w:p>
        </w:tc>
      </w:tr>
      <w:tr w:rsidR="00410716" w:rsidRPr="00BE78CA" w14:paraId="6FD69BA9" w14:textId="77777777" w:rsidTr="005D0C5D">
        <w:tc>
          <w:tcPr>
            <w:tcW w:w="873" w:type="dxa"/>
            <w:shd w:val="clear" w:color="auto" w:fill="auto"/>
          </w:tcPr>
          <w:p w14:paraId="2A3434D7" w14:textId="77777777" w:rsidR="00410716" w:rsidRPr="00BE78CA" w:rsidRDefault="00410716" w:rsidP="00C26084">
            <w:pPr>
              <w:pStyle w:val="TableText"/>
              <w:spacing w:before="50" w:after="50"/>
              <w:rPr>
                <w:rFonts w:cs="Calibri"/>
                <w:szCs w:val="16"/>
              </w:rPr>
            </w:pPr>
            <w:r w:rsidRPr="00BE78CA">
              <w:rPr>
                <w:rFonts w:cs="Calibri"/>
                <w:szCs w:val="16"/>
              </w:rPr>
              <w:t>1995</w:t>
            </w:r>
          </w:p>
        </w:tc>
        <w:tc>
          <w:tcPr>
            <w:tcW w:w="2503" w:type="dxa"/>
            <w:shd w:val="clear" w:color="auto" w:fill="auto"/>
          </w:tcPr>
          <w:p w14:paraId="2FDBF293" w14:textId="77777777" w:rsidR="00410716" w:rsidRPr="00BE78CA" w:rsidRDefault="00410716" w:rsidP="00C26084">
            <w:pPr>
              <w:pStyle w:val="TableText"/>
              <w:spacing w:before="50" w:after="50"/>
              <w:jc w:val="right"/>
              <w:rPr>
                <w:rFonts w:cs="Calibri"/>
                <w:szCs w:val="16"/>
              </w:rPr>
            </w:pPr>
            <w:r w:rsidRPr="00BE78CA">
              <w:t>64,101</w:t>
            </w:r>
          </w:p>
        </w:tc>
        <w:tc>
          <w:tcPr>
            <w:tcW w:w="1586" w:type="dxa"/>
            <w:shd w:val="clear" w:color="auto" w:fill="auto"/>
          </w:tcPr>
          <w:p w14:paraId="23F5BC68" w14:textId="77777777" w:rsidR="00410716" w:rsidRPr="00BE78CA" w:rsidRDefault="00410716" w:rsidP="00C26084">
            <w:pPr>
              <w:pStyle w:val="TableText"/>
              <w:spacing w:before="50" w:after="50"/>
              <w:jc w:val="right"/>
              <w:rPr>
                <w:rFonts w:cs="Calibri"/>
                <w:szCs w:val="16"/>
              </w:rPr>
            </w:pPr>
            <w:r w:rsidRPr="00BE78CA">
              <w:t>0</w:t>
            </w:r>
          </w:p>
        </w:tc>
        <w:tc>
          <w:tcPr>
            <w:tcW w:w="1701" w:type="dxa"/>
            <w:shd w:val="clear" w:color="auto" w:fill="auto"/>
          </w:tcPr>
          <w:p w14:paraId="2549B4CE" w14:textId="77777777" w:rsidR="00410716" w:rsidRPr="00BE78CA" w:rsidRDefault="00410716" w:rsidP="00C26084">
            <w:pPr>
              <w:pStyle w:val="TableText"/>
              <w:spacing w:before="50" w:after="50"/>
              <w:jc w:val="right"/>
              <w:rPr>
                <w:rFonts w:cs="Calibri"/>
                <w:szCs w:val="16"/>
              </w:rPr>
            </w:pPr>
            <w:r w:rsidRPr="00BE78CA">
              <w:t>0</w:t>
            </w:r>
          </w:p>
        </w:tc>
        <w:tc>
          <w:tcPr>
            <w:tcW w:w="1842" w:type="dxa"/>
            <w:shd w:val="clear" w:color="auto" w:fill="auto"/>
          </w:tcPr>
          <w:p w14:paraId="17AA0034" w14:textId="77777777" w:rsidR="00410716" w:rsidRPr="00BE78CA" w:rsidRDefault="00410716" w:rsidP="00C26084">
            <w:pPr>
              <w:pStyle w:val="TableText"/>
              <w:spacing w:before="50" w:after="50"/>
              <w:jc w:val="right"/>
              <w:rPr>
                <w:rFonts w:cs="Calibri"/>
                <w:szCs w:val="16"/>
              </w:rPr>
            </w:pPr>
            <w:r w:rsidRPr="00BE78CA">
              <w:t>276,212</w:t>
            </w:r>
          </w:p>
        </w:tc>
      </w:tr>
      <w:tr w:rsidR="00410716" w:rsidRPr="00BE78CA" w14:paraId="709A132F" w14:textId="77777777" w:rsidTr="005D0C5D">
        <w:tc>
          <w:tcPr>
            <w:tcW w:w="873" w:type="dxa"/>
            <w:shd w:val="clear" w:color="auto" w:fill="auto"/>
          </w:tcPr>
          <w:p w14:paraId="171E9B42" w14:textId="77777777" w:rsidR="00410716" w:rsidRPr="00BE78CA" w:rsidRDefault="00410716" w:rsidP="00C26084">
            <w:pPr>
              <w:pStyle w:val="TableText"/>
              <w:spacing w:before="50" w:after="50"/>
              <w:rPr>
                <w:rFonts w:cs="Calibri"/>
                <w:szCs w:val="16"/>
              </w:rPr>
            </w:pPr>
            <w:r w:rsidRPr="00BE78CA">
              <w:rPr>
                <w:rFonts w:cs="Calibri"/>
                <w:szCs w:val="16"/>
              </w:rPr>
              <w:t>1996</w:t>
            </w:r>
          </w:p>
        </w:tc>
        <w:tc>
          <w:tcPr>
            <w:tcW w:w="2503" w:type="dxa"/>
            <w:shd w:val="clear" w:color="auto" w:fill="auto"/>
          </w:tcPr>
          <w:p w14:paraId="0C36E602" w14:textId="77777777" w:rsidR="00410716" w:rsidRPr="00BE78CA" w:rsidRDefault="00410716" w:rsidP="00C26084">
            <w:pPr>
              <w:pStyle w:val="TableText"/>
              <w:spacing w:before="50" w:after="50"/>
              <w:jc w:val="right"/>
              <w:rPr>
                <w:rFonts w:cs="Calibri"/>
                <w:szCs w:val="16"/>
              </w:rPr>
            </w:pPr>
            <w:r w:rsidRPr="00BE78CA">
              <w:t>72,408</w:t>
            </w:r>
          </w:p>
        </w:tc>
        <w:tc>
          <w:tcPr>
            <w:tcW w:w="1586" w:type="dxa"/>
            <w:shd w:val="clear" w:color="auto" w:fill="auto"/>
          </w:tcPr>
          <w:p w14:paraId="31228297" w14:textId="77777777" w:rsidR="00410716" w:rsidRPr="00BE78CA" w:rsidRDefault="00410716" w:rsidP="00C26084">
            <w:pPr>
              <w:pStyle w:val="TableText"/>
              <w:spacing w:before="50" w:after="50"/>
              <w:jc w:val="right"/>
              <w:rPr>
                <w:rFonts w:cs="Calibri"/>
                <w:szCs w:val="16"/>
              </w:rPr>
            </w:pPr>
            <w:r w:rsidRPr="00BE78CA">
              <w:t>0</w:t>
            </w:r>
          </w:p>
        </w:tc>
        <w:tc>
          <w:tcPr>
            <w:tcW w:w="1701" w:type="dxa"/>
            <w:shd w:val="clear" w:color="auto" w:fill="auto"/>
          </w:tcPr>
          <w:p w14:paraId="13F8A69C" w14:textId="77777777" w:rsidR="00410716" w:rsidRPr="00BE78CA" w:rsidRDefault="00410716" w:rsidP="00C26084">
            <w:pPr>
              <w:pStyle w:val="TableText"/>
              <w:spacing w:before="50" w:after="50"/>
              <w:jc w:val="right"/>
              <w:rPr>
                <w:rFonts w:cs="Calibri"/>
                <w:szCs w:val="16"/>
              </w:rPr>
            </w:pPr>
            <w:r w:rsidRPr="00BE78CA">
              <w:t>0</w:t>
            </w:r>
          </w:p>
        </w:tc>
        <w:tc>
          <w:tcPr>
            <w:tcW w:w="1842" w:type="dxa"/>
            <w:shd w:val="clear" w:color="auto" w:fill="auto"/>
          </w:tcPr>
          <w:p w14:paraId="451C7AA6" w14:textId="77777777" w:rsidR="00410716" w:rsidRPr="00BE78CA" w:rsidRDefault="00410716" w:rsidP="00C26084">
            <w:pPr>
              <w:pStyle w:val="TableText"/>
              <w:spacing w:before="50" w:after="50"/>
              <w:jc w:val="right"/>
              <w:rPr>
                <w:rFonts w:cs="Calibri"/>
                <w:szCs w:val="16"/>
              </w:rPr>
            </w:pPr>
            <w:r w:rsidRPr="00BE78CA">
              <w:t>348,620</w:t>
            </w:r>
          </w:p>
        </w:tc>
      </w:tr>
      <w:tr w:rsidR="00410716" w:rsidRPr="00BE78CA" w14:paraId="5193D661" w14:textId="77777777" w:rsidTr="005D0C5D">
        <w:tc>
          <w:tcPr>
            <w:tcW w:w="873" w:type="dxa"/>
            <w:shd w:val="clear" w:color="auto" w:fill="auto"/>
          </w:tcPr>
          <w:p w14:paraId="61DEECF4" w14:textId="77777777" w:rsidR="00410716" w:rsidRPr="00BE78CA" w:rsidRDefault="00410716" w:rsidP="00C26084">
            <w:pPr>
              <w:pStyle w:val="TableText"/>
              <w:spacing w:before="50" w:after="50"/>
              <w:rPr>
                <w:rFonts w:cs="Calibri"/>
                <w:szCs w:val="16"/>
              </w:rPr>
            </w:pPr>
            <w:r w:rsidRPr="00BE78CA">
              <w:rPr>
                <w:rFonts w:cs="Calibri"/>
                <w:szCs w:val="16"/>
              </w:rPr>
              <w:t>1997</w:t>
            </w:r>
          </w:p>
        </w:tc>
        <w:tc>
          <w:tcPr>
            <w:tcW w:w="2503" w:type="dxa"/>
            <w:shd w:val="clear" w:color="auto" w:fill="auto"/>
          </w:tcPr>
          <w:p w14:paraId="403548A6" w14:textId="77777777" w:rsidR="00410716" w:rsidRPr="00BE78CA" w:rsidRDefault="00410716" w:rsidP="00C26084">
            <w:pPr>
              <w:pStyle w:val="TableText"/>
              <w:spacing w:before="50" w:after="50"/>
              <w:jc w:val="right"/>
              <w:rPr>
                <w:rFonts w:cs="Calibri"/>
                <w:szCs w:val="16"/>
              </w:rPr>
            </w:pPr>
            <w:r w:rsidRPr="00BE78CA">
              <w:t>57,166</w:t>
            </w:r>
          </w:p>
        </w:tc>
        <w:tc>
          <w:tcPr>
            <w:tcW w:w="1586" w:type="dxa"/>
            <w:shd w:val="clear" w:color="auto" w:fill="auto"/>
          </w:tcPr>
          <w:p w14:paraId="5730D362" w14:textId="77777777" w:rsidR="00410716" w:rsidRPr="00BE78CA" w:rsidRDefault="00410716" w:rsidP="00C26084">
            <w:pPr>
              <w:pStyle w:val="TableText"/>
              <w:spacing w:before="50" w:after="50"/>
              <w:jc w:val="right"/>
              <w:rPr>
                <w:rFonts w:cs="Calibri"/>
                <w:szCs w:val="16"/>
              </w:rPr>
            </w:pPr>
            <w:r w:rsidRPr="00BE78CA">
              <w:t>0</w:t>
            </w:r>
          </w:p>
        </w:tc>
        <w:tc>
          <w:tcPr>
            <w:tcW w:w="1701" w:type="dxa"/>
            <w:shd w:val="clear" w:color="auto" w:fill="auto"/>
          </w:tcPr>
          <w:p w14:paraId="072A3098" w14:textId="77777777" w:rsidR="00410716" w:rsidRPr="00BE78CA" w:rsidRDefault="00410716" w:rsidP="00C26084">
            <w:pPr>
              <w:pStyle w:val="TableText"/>
              <w:spacing w:before="50" w:after="50"/>
              <w:jc w:val="right"/>
              <w:rPr>
                <w:rFonts w:cs="Calibri"/>
                <w:szCs w:val="16"/>
              </w:rPr>
            </w:pPr>
            <w:r w:rsidRPr="00BE78CA">
              <w:t>0</w:t>
            </w:r>
          </w:p>
        </w:tc>
        <w:tc>
          <w:tcPr>
            <w:tcW w:w="1842" w:type="dxa"/>
            <w:shd w:val="clear" w:color="auto" w:fill="auto"/>
          </w:tcPr>
          <w:p w14:paraId="7896F076" w14:textId="77777777" w:rsidR="00410716" w:rsidRPr="00BE78CA" w:rsidRDefault="00410716" w:rsidP="00C26084">
            <w:pPr>
              <w:pStyle w:val="TableText"/>
              <w:spacing w:before="50" w:after="50"/>
              <w:jc w:val="right"/>
              <w:rPr>
                <w:rFonts w:cs="Calibri"/>
                <w:szCs w:val="16"/>
              </w:rPr>
            </w:pPr>
            <w:r w:rsidRPr="00BE78CA">
              <w:t>405,786</w:t>
            </w:r>
          </w:p>
        </w:tc>
      </w:tr>
      <w:tr w:rsidR="00410716" w:rsidRPr="00BE78CA" w14:paraId="07DBA1FF" w14:textId="77777777" w:rsidTr="005D0C5D">
        <w:tc>
          <w:tcPr>
            <w:tcW w:w="873" w:type="dxa"/>
            <w:shd w:val="clear" w:color="auto" w:fill="auto"/>
          </w:tcPr>
          <w:p w14:paraId="2F94164A" w14:textId="77777777" w:rsidR="00410716" w:rsidRPr="00BE78CA" w:rsidRDefault="00410716" w:rsidP="00C26084">
            <w:pPr>
              <w:pStyle w:val="TableText"/>
              <w:spacing w:before="50" w:after="50"/>
              <w:rPr>
                <w:rFonts w:cs="Calibri"/>
                <w:szCs w:val="16"/>
              </w:rPr>
            </w:pPr>
            <w:r w:rsidRPr="00BE78CA">
              <w:rPr>
                <w:rFonts w:cs="Calibri"/>
                <w:szCs w:val="16"/>
              </w:rPr>
              <w:t>1998</w:t>
            </w:r>
          </w:p>
        </w:tc>
        <w:tc>
          <w:tcPr>
            <w:tcW w:w="2503" w:type="dxa"/>
            <w:shd w:val="clear" w:color="auto" w:fill="auto"/>
          </w:tcPr>
          <w:p w14:paraId="5F27E08F" w14:textId="77777777" w:rsidR="00410716" w:rsidRPr="00BE78CA" w:rsidRDefault="00410716" w:rsidP="00C26084">
            <w:pPr>
              <w:pStyle w:val="TableText"/>
              <w:spacing w:before="50" w:after="50"/>
              <w:jc w:val="right"/>
              <w:rPr>
                <w:rFonts w:cs="Calibri"/>
                <w:szCs w:val="16"/>
              </w:rPr>
            </w:pPr>
            <w:r w:rsidRPr="00BE78CA">
              <w:t>46,789</w:t>
            </w:r>
          </w:p>
        </w:tc>
        <w:tc>
          <w:tcPr>
            <w:tcW w:w="1586" w:type="dxa"/>
            <w:shd w:val="clear" w:color="auto" w:fill="auto"/>
          </w:tcPr>
          <w:p w14:paraId="17DEB953" w14:textId="77777777" w:rsidR="00410716" w:rsidRPr="00BE78CA" w:rsidRDefault="00410716" w:rsidP="00C26084">
            <w:pPr>
              <w:pStyle w:val="TableText"/>
              <w:spacing w:before="50" w:after="50"/>
              <w:jc w:val="right"/>
              <w:rPr>
                <w:rFonts w:cs="Calibri"/>
                <w:szCs w:val="16"/>
              </w:rPr>
            </w:pPr>
            <w:r w:rsidRPr="00BE78CA">
              <w:t>0</w:t>
            </w:r>
          </w:p>
        </w:tc>
        <w:tc>
          <w:tcPr>
            <w:tcW w:w="1701" w:type="dxa"/>
            <w:shd w:val="clear" w:color="auto" w:fill="auto"/>
          </w:tcPr>
          <w:p w14:paraId="567863CB" w14:textId="77777777" w:rsidR="00410716" w:rsidRPr="00BE78CA" w:rsidRDefault="00410716" w:rsidP="00C26084">
            <w:pPr>
              <w:pStyle w:val="TableText"/>
              <w:spacing w:before="50" w:after="50"/>
              <w:jc w:val="right"/>
              <w:rPr>
                <w:rFonts w:cs="Calibri"/>
                <w:szCs w:val="16"/>
              </w:rPr>
            </w:pPr>
            <w:r w:rsidRPr="00BE78CA">
              <w:t>0</w:t>
            </w:r>
          </w:p>
        </w:tc>
        <w:tc>
          <w:tcPr>
            <w:tcW w:w="1842" w:type="dxa"/>
            <w:shd w:val="clear" w:color="auto" w:fill="auto"/>
          </w:tcPr>
          <w:p w14:paraId="639936E4" w14:textId="77777777" w:rsidR="00410716" w:rsidRPr="00BE78CA" w:rsidRDefault="00410716" w:rsidP="00C26084">
            <w:pPr>
              <w:pStyle w:val="TableText"/>
              <w:spacing w:before="50" w:after="50"/>
              <w:jc w:val="right"/>
              <w:rPr>
                <w:rFonts w:cs="Calibri"/>
                <w:szCs w:val="16"/>
              </w:rPr>
            </w:pPr>
            <w:r w:rsidRPr="00BE78CA">
              <w:t>452,575</w:t>
            </w:r>
          </w:p>
        </w:tc>
      </w:tr>
      <w:tr w:rsidR="00410716" w:rsidRPr="00BE78CA" w14:paraId="45D38372" w14:textId="77777777" w:rsidTr="005D0C5D">
        <w:tc>
          <w:tcPr>
            <w:tcW w:w="873" w:type="dxa"/>
            <w:shd w:val="clear" w:color="auto" w:fill="auto"/>
          </w:tcPr>
          <w:p w14:paraId="0FE26CF6" w14:textId="77777777" w:rsidR="00410716" w:rsidRPr="00BE78CA" w:rsidRDefault="00410716" w:rsidP="00C26084">
            <w:pPr>
              <w:pStyle w:val="TableText"/>
              <w:spacing w:before="50" w:after="50"/>
              <w:rPr>
                <w:rFonts w:cs="Calibri"/>
                <w:szCs w:val="16"/>
              </w:rPr>
            </w:pPr>
            <w:r w:rsidRPr="00BE78CA">
              <w:rPr>
                <w:rFonts w:cs="Calibri"/>
                <w:szCs w:val="16"/>
              </w:rPr>
              <w:t>1999</w:t>
            </w:r>
          </w:p>
        </w:tc>
        <w:tc>
          <w:tcPr>
            <w:tcW w:w="2503" w:type="dxa"/>
            <w:shd w:val="clear" w:color="auto" w:fill="auto"/>
          </w:tcPr>
          <w:p w14:paraId="7C7ACB1E" w14:textId="77777777" w:rsidR="00410716" w:rsidRPr="00BE78CA" w:rsidRDefault="00410716" w:rsidP="00C26084">
            <w:pPr>
              <w:pStyle w:val="TableText"/>
              <w:spacing w:before="50" w:after="50"/>
              <w:jc w:val="right"/>
              <w:rPr>
                <w:rFonts w:cs="Calibri"/>
                <w:szCs w:val="16"/>
              </w:rPr>
            </w:pPr>
            <w:r w:rsidRPr="00BE78CA">
              <w:t>37,526</w:t>
            </w:r>
          </w:p>
        </w:tc>
        <w:tc>
          <w:tcPr>
            <w:tcW w:w="1586" w:type="dxa"/>
            <w:shd w:val="clear" w:color="auto" w:fill="auto"/>
          </w:tcPr>
          <w:p w14:paraId="0DCF2F1E" w14:textId="77777777" w:rsidR="00410716" w:rsidRPr="00BE78CA" w:rsidRDefault="00410716" w:rsidP="00C26084">
            <w:pPr>
              <w:pStyle w:val="TableText"/>
              <w:spacing w:before="50" w:after="50"/>
              <w:jc w:val="right"/>
              <w:rPr>
                <w:rFonts w:cs="Calibri"/>
                <w:szCs w:val="16"/>
              </w:rPr>
            </w:pPr>
            <w:r w:rsidRPr="00BE78CA">
              <w:t>0</w:t>
            </w:r>
          </w:p>
        </w:tc>
        <w:tc>
          <w:tcPr>
            <w:tcW w:w="1701" w:type="dxa"/>
            <w:shd w:val="clear" w:color="auto" w:fill="auto"/>
          </w:tcPr>
          <w:p w14:paraId="604F570E" w14:textId="77777777" w:rsidR="00410716" w:rsidRPr="00BE78CA" w:rsidRDefault="00410716" w:rsidP="00C26084">
            <w:pPr>
              <w:pStyle w:val="TableText"/>
              <w:spacing w:before="50" w:after="50"/>
              <w:jc w:val="right"/>
              <w:rPr>
                <w:rFonts w:cs="Calibri"/>
                <w:szCs w:val="16"/>
              </w:rPr>
            </w:pPr>
            <w:r w:rsidRPr="00BE78CA">
              <w:t>0</w:t>
            </w:r>
          </w:p>
        </w:tc>
        <w:tc>
          <w:tcPr>
            <w:tcW w:w="1842" w:type="dxa"/>
            <w:shd w:val="clear" w:color="auto" w:fill="auto"/>
          </w:tcPr>
          <w:p w14:paraId="5ECBA706" w14:textId="77777777" w:rsidR="00410716" w:rsidRPr="00BE78CA" w:rsidRDefault="00410716" w:rsidP="00C26084">
            <w:pPr>
              <w:pStyle w:val="TableText"/>
              <w:spacing w:before="50" w:after="50"/>
              <w:jc w:val="right"/>
              <w:rPr>
                <w:rFonts w:cs="Calibri"/>
                <w:szCs w:val="16"/>
              </w:rPr>
            </w:pPr>
            <w:r w:rsidRPr="00BE78CA">
              <w:t>490,101</w:t>
            </w:r>
          </w:p>
        </w:tc>
      </w:tr>
      <w:tr w:rsidR="00410716" w:rsidRPr="00BE78CA" w14:paraId="1672552B" w14:textId="77777777" w:rsidTr="005D0C5D">
        <w:tc>
          <w:tcPr>
            <w:tcW w:w="873" w:type="dxa"/>
            <w:shd w:val="clear" w:color="auto" w:fill="auto"/>
          </w:tcPr>
          <w:p w14:paraId="5E668654" w14:textId="77777777" w:rsidR="00410716" w:rsidRPr="00BE78CA" w:rsidRDefault="00410716" w:rsidP="00C26084">
            <w:pPr>
              <w:pStyle w:val="TableText"/>
              <w:spacing w:before="50" w:after="50"/>
              <w:rPr>
                <w:rFonts w:cs="Calibri"/>
                <w:szCs w:val="16"/>
              </w:rPr>
            </w:pPr>
            <w:r w:rsidRPr="00BE78CA">
              <w:rPr>
                <w:rFonts w:cs="Calibri"/>
                <w:szCs w:val="16"/>
              </w:rPr>
              <w:t>2000</w:t>
            </w:r>
          </w:p>
        </w:tc>
        <w:tc>
          <w:tcPr>
            <w:tcW w:w="2503" w:type="dxa"/>
            <w:shd w:val="clear" w:color="auto" w:fill="auto"/>
          </w:tcPr>
          <w:p w14:paraId="1E3C1D28" w14:textId="77777777" w:rsidR="00410716" w:rsidRPr="00BE78CA" w:rsidRDefault="00410716" w:rsidP="00C26084">
            <w:pPr>
              <w:pStyle w:val="TableText"/>
              <w:spacing w:before="50" w:after="50"/>
              <w:jc w:val="right"/>
              <w:rPr>
                <w:rFonts w:cs="Calibri"/>
                <w:szCs w:val="16"/>
              </w:rPr>
            </w:pPr>
            <w:r w:rsidRPr="00BE78CA">
              <w:t>32,863</w:t>
            </w:r>
          </w:p>
        </w:tc>
        <w:tc>
          <w:tcPr>
            <w:tcW w:w="1586" w:type="dxa"/>
            <w:shd w:val="clear" w:color="auto" w:fill="auto"/>
          </w:tcPr>
          <w:p w14:paraId="03375CCE" w14:textId="77777777" w:rsidR="00410716" w:rsidRPr="00BE78CA" w:rsidRDefault="00410716" w:rsidP="00C26084">
            <w:pPr>
              <w:pStyle w:val="TableText"/>
              <w:spacing w:before="50" w:after="50"/>
              <w:jc w:val="right"/>
              <w:rPr>
                <w:rFonts w:cs="Calibri"/>
                <w:szCs w:val="16"/>
              </w:rPr>
            </w:pPr>
            <w:r w:rsidRPr="00BE78CA">
              <w:t>0</w:t>
            </w:r>
          </w:p>
        </w:tc>
        <w:tc>
          <w:tcPr>
            <w:tcW w:w="1701" w:type="dxa"/>
            <w:shd w:val="clear" w:color="auto" w:fill="auto"/>
          </w:tcPr>
          <w:p w14:paraId="7DEFF312" w14:textId="77777777" w:rsidR="00410716" w:rsidRPr="00BE78CA" w:rsidRDefault="00410716" w:rsidP="00C26084">
            <w:pPr>
              <w:pStyle w:val="TableText"/>
              <w:spacing w:before="50" w:after="50"/>
              <w:jc w:val="right"/>
              <w:rPr>
                <w:rFonts w:cs="Calibri"/>
                <w:szCs w:val="16"/>
              </w:rPr>
            </w:pPr>
            <w:r w:rsidRPr="00BE78CA">
              <w:t>0</w:t>
            </w:r>
          </w:p>
        </w:tc>
        <w:tc>
          <w:tcPr>
            <w:tcW w:w="1842" w:type="dxa"/>
            <w:shd w:val="clear" w:color="auto" w:fill="auto"/>
          </w:tcPr>
          <w:p w14:paraId="794CE822" w14:textId="77777777" w:rsidR="00410716" w:rsidRPr="00BE78CA" w:rsidRDefault="00410716" w:rsidP="00C26084">
            <w:pPr>
              <w:pStyle w:val="TableText"/>
              <w:spacing w:before="50" w:after="50"/>
              <w:jc w:val="right"/>
              <w:rPr>
                <w:rFonts w:cs="Calibri"/>
                <w:szCs w:val="16"/>
              </w:rPr>
            </w:pPr>
            <w:r w:rsidRPr="00BE78CA">
              <w:t>522,964</w:t>
            </w:r>
          </w:p>
        </w:tc>
      </w:tr>
      <w:tr w:rsidR="00410716" w:rsidRPr="00BE78CA" w14:paraId="514C018A" w14:textId="77777777" w:rsidTr="005D0C5D">
        <w:tc>
          <w:tcPr>
            <w:tcW w:w="873" w:type="dxa"/>
            <w:shd w:val="clear" w:color="auto" w:fill="auto"/>
          </w:tcPr>
          <w:p w14:paraId="3B3A0CFE" w14:textId="77777777" w:rsidR="00410716" w:rsidRPr="00BE78CA" w:rsidRDefault="00410716" w:rsidP="00C26084">
            <w:pPr>
              <w:pStyle w:val="TableText"/>
              <w:spacing w:before="50" w:after="50"/>
              <w:rPr>
                <w:rFonts w:cs="Calibri"/>
                <w:szCs w:val="16"/>
              </w:rPr>
            </w:pPr>
            <w:r w:rsidRPr="00BE78CA">
              <w:rPr>
                <w:rFonts w:cs="Calibri"/>
                <w:szCs w:val="16"/>
              </w:rPr>
              <w:t>2001</w:t>
            </w:r>
          </w:p>
        </w:tc>
        <w:tc>
          <w:tcPr>
            <w:tcW w:w="2503" w:type="dxa"/>
            <w:shd w:val="clear" w:color="auto" w:fill="auto"/>
          </w:tcPr>
          <w:p w14:paraId="3D1132DB" w14:textId="77777777" w:rsidR="00410716" w:rsidRPr="00BE78CA" w:rsidRDefault="00410716" w:rsidP="00C26084">
            <w:pPr>
              <w:pStyle w:val="TableText"/>
              <w:spacing w:before="50" w:after="50"/>
              <w:jc w:val="right"/>
              <w:rPr>
                <w:rFonts w:cs="Calibri"/>
                <w:szCs w:val="16"/>
              </w:rPr>
            </w:pPr>
            <w:r w:rsidRPr="00BE78CA">
              <w:t>30,684</w:t>
            </w:r>
          </w:p>
        </w:tc>
        <w:tc>
          <w:tcPr>
            <w:tcW w:w="1586" w:type="dxa"/>
            <w:shd w:val="clear" w:color="auto" w:fill="auto"/>
          </w:tcPr>
          <w:p w14:paraId="57D8D971" w14:textId="77777777" w:rsidR="00410716" w:rsidRPr="00BE78CA" w:rsidRDefault="00410716" w:rsidP="00C26084">
            <w:pPr>
              <w:pStyle w:val="TableText"/>
              <w:spacing w:before="50" w:after="50"/>
              <w:jc w:val="right"/>
              <w:rPr>
                <w:rFonts w:cs="Calibri"/>
                <w:szCs w:val="16"/>
              </w:rPr>
            </w:pPr>
            <w:r w:rsidRPr="00BE78CA">
              <w:t>0</w:t>
            </w:r>
          </w:p>
        </w:tc>
        <w:tc>
          <w:tcPr>
            <w:tcW w:w="1701" w:type="dxa"/>
            <w:shd w:val="clear" w:color="auto" w:fill="auto"/>
          </w:tcPr>
          <w:p w14:paraId="351AB4BE" w14:textId="77777777" w:rsidR="00410716" w:rsidRPr="00BE78CA" w:rsidRDefault="00410716" w:rsidP="00C26084">
            <w:pPr>
              <w:pStyle w:val="TableText"/>
              <w:spacing w:before="50" w:after="50"/>
              <w:jc w:val="right"/>
              <w:rPr>
                <w:rFonts w:cs="Calibri"/>
                <w:szCs w:val="16"/>
              </w:rPr>
            </w:pPr>
            <w:r w:rsidRPr="00BE78CA">
              <w:t>0</w:t>
            </w:r>
          </w:p>
        </w:tc>
        <w:tc>
          <w:tcPr>
            <w:tcW w:w="1842" w:type="dxa"/>
            <w:shd w:val="clear" w:color="auto" w:fill="auto"/>
          </w:tcPr>
          <w:p w14:paraId="5C94BE0E" w14:textId="77777777" w:rsidR="00410716" w:rsidRPr="00BE78CA" w:rsidRDefault="00410716" w:rsidP="00C26084">
            <w:pPr>
              <w:pStyle w:val="TableText"/>
              <w:spacing w:before="50" w:after="50"/>
              <w:jc w:val="right"/>
              <w:rPr>
                <w:rFonts w:cs="Calibri"/>
                <w:szCs w:val="16"/>
              </w:rPr>
            </w:pPr>
            <w:r w:rsidRPr="00BE78CA">
              <w:t>553,649</w:t>
            </w:r>
          </w:p>
        </w:tc>
      </w:tr>
      <w:tr w:rsidR="00410716" w:rsidRPr="00BE78CA" w14:paraId="4FF23927" w14:textId="77777777" w:rsidTr="005D0C5D">
        <w:tc>
          <w:tcPr>
            <w:tcW w:w="873" w:type="dxa"/>
            <w:shd w:val="clear" w:color="auto" w:fill="auto"/>
          </w:tcPr>
          <w:p w14:paraId="6BE3FEE5" w14:textId="77777777" w:rsidR="00410716" w:rsidRPr="00BE78CA" w:rsidRDefault="00410716" w:rsidP="00C26084">
            <w:pPr>
              <w:pStyle w:val="TableText"/>
              <w:spacing w:before="50" w:after="50"/>
              <w:rPr>
                <w:rFonts w:cs="Calibri"/>
                <w:szCs w:val="16"/>
              </w:rPr>
            </w:pPr>
            <w:r w:rsidRPr="00BE78CA">
              <w:rPr>
                <w:rFonts w:cs="Calibri"/>
                <w:szCs w:val="16"/>
              </w:rPr>
              <w:t>2002</w:t>
            </w:r>
          </w:p>
        </w:tc>
        <w:tc>
          <w:tcPr>
            <w:tcW w:w="2503" w:type="dxa"/>
            <w:shd w:val="clear" w:color="auto" w:fill="auto"/>
          </w:tcPr>
          <w:p w14:paraId="24B68962" w14:textId="77777777" w:rsidR="00410716" w:rsidRPr="00BE78CA" w:rsidRDefault="00410716" w:rsidP="00C26084">
            <w:pPr>
              <w:pStyle w:val="TableText"/>
              <w:spacing w:before="50" w:after="50"/>
              <w:jc w:val="right"/>
              <w:rPr>
                <w:rFonts w:cs="Calibri"/>
                <w:szCs w:val="16"/>
              </w:rPr>
            </w:pPr>
            <w:r w:rsidRPr="00BE78CA">
              <w:t>22,852</w:t>
            </w:r>
          </w:p>
        </w:tc>
        <w:tc>
          <w:tcPr>
            <w:tcW w:w="1586" w:type="dxa"/>
            <w:shd w:val="clear" w:color="auto" w:fill="auto"/>
          </w:tcPr>
          <w:p w14:paraId="09C1478D" w14:textId="77777777" w:rsidR="00410716" w:rsidRPr="00BE78CA" w:rsidRDefault="00410716" w:rsidP="00C26084">
            <w:pPr>
              <w:pStyle w:val="TableText"/>
              <w:spacing w:before="50" w:after="50"/>
              <w:jc w:val="right"/>
              <w:rPr>
                <w:rFonts w:cs="Calibri"/>
                <w:szCs w:val="16"/>
              </w:rPr>
            </w:pPr>
            <w:r w:rsidRPr="00BE78CA">
              <w:t>0</w:t>
            </w:r>
          </w:p>
        </w:tc>
        <w:tc>
          <w:tcPr>
            <w:tcW w:w="1701" w:type="dxa"/>
            <w:shd w:val="clear" w:color="auto" w:fill="auto"/>
          </w:tcPr>
          <w:p w14:paraId="56E2A29F" w14:textId="77777777" w:rsidR="00410716" w:rsidRPr="00BE78CA" w:rsidRDefault="00410716" w:rsidP="00C26084">
            <w:pPr>
              <w:pStyle w:val="TableText"/>
              <w:spacing w:before="50" w:after="50"/>
              <w:jc w:val="right"/>
              <w:rPr>
                <w:rFonts w:cs="Calibri"/>
                <w:szCs w:val="16"/>
              </w:rPr>
            </w:pPr>
            <w:r w:rsidRPr="00BE78CA">
              <w:t>598</w:t>
            </w:r>
          </w:p>
        </w:tc>
        <w:tc>
          <w:tcPr>
            <w:tcW w:w="1842" w:type="dxa"/>
            <w:shd w:val="clear" w:color="auto" w:fill="auto"/>
          </w:tcPr>
          <w:p w14:paraId="4F8582A8" w14:textId="77777777" w:rsidR="00410716" w:rsidRPr="00BE78CA" w:rsidRDefault="00410716" w:rsidP="00C26084">
            <w:pPr>
              <w:pStyle w:val="TableText"/>
              <w:spacing w:before="50" w:after="50"/>
              <w:jc w:val="right"/>
              <w:rPr>
                <w:rFonts w:cs="Calibri"/>
                <w:szCs w:val="16"/>
              </w:rPr>
            </w:pPr>
            <w:r w:rsidRPr="00BE78CA">
              <w:t>575,902</w:t>
            </w:r>
          </w:p>
        </w:tc>
      </w:tr>
      <w:tr w:rsidR="00410716" w:rsidRPr="00BE78CA" w14:paraId="31B23E1D" w14:textId="77777777" w:rsidTr="005D0C5D">
        <w:tc>
          <w:tcPr>
            <w:tcW w:w="873" w:type="dxa"/>
            <w:shd w:val="clear" w:color="auto" w:fill="auto"/>
          </w:tcPr>
          <w:p w14:paraId="1A876A02" w14:textId="77777777" w:rsidR="00410716" w:rsidRPr="00BE78CA" w:rsidRDefault="00410716" w:rsidP="00C26084">
            <w:pPr>
              <w:pStyle w:val="TableText"/>
              <w:spacing w:before="50" w:after="50"/>
              <w:rPr>
                <w:rFonts w:cs="Calibri"/>
                <w:szCs w:val="16"/>
              </w:rPr>
            </w:pPr>
            <w:r w:rsidRPr="00BE78CA">
              <w:rPr>
                <w:rFonts w:cs="Calibri"/>
                <w:szCs w:val="16"/>
              </w:rPr>
              <w:t>2003</w:t>
            </w:r>
          </w:p>
        </w:tc>
        <w:tc>
          <w:tcPr>
            <w:tcW w:w="2503" w:type="dxa"/>
            <w:shd w:val="clear" w:color="auto" w:fill="auto"/>
          </w:tcPr>
          <w:p w14:paraId="57FA8439" w14:textId="77777777" w:rsidR="00410716" w:rsidRPr="00BE78CA" w:rsidRDefault="00410716" w:rsidP="00C26084">
            <w:pPr>
              <w:pStyle w:val="TableText"/>
              <w:spacing w:before="50" w:after="50"/>
              <w:jc w:val="right"/>
              <w:rPr>
                <w:rFonts w:cs="Calibri"/>
                <w:szCs w:val="16"/>
              </w:rPr>
            </w:pPr>
            <w:r w:rsidRPr="00BE78CA">
              <w:t>21,459</w:t>
            </w:r>
          </w:p>
        </w:tc>
        <w:tc>
          <w:tcPr>
            <w:tcW w:w="1586" w:type="dxa"/>
            <w:shd w:val="clear" w:color="auto" w:fill="auto"/>
          </w:tcPr>
          <w:p w14:paraId="40AF7312" w14:textId="77777777" w:rsidR="00410716" w:rsidRPr="00BE78CA" w:rsidRDefault="00410716" w:rsidP="00C26084">
            <w:pPr>
              <w:pStyle w:val="TableText"/>
              <w:spacing w:before="50" w:after="50"/>
              <w:jc w:val="right"/>
              <w:rPr>
                <w:rFonts w:cs="Calibri"/>
                <w:szCs w:val="16"/>
              </w:rPr>
            </w:pPr>
            <w:r w:rsidRPr="00BE78CA">
              <w:t>0</w:t>
            </w:r>
          </w:p>
        </w:tc>
        <w:tc>
          <w:tcPr>
            <w:tcW w:w="1701" w:type="dxa"/>
            <w:shd w:val="clear" w:color="auto" w:fill="auto"/>
          </w:tcPr>
          <w:p w14:paraId="25DE56C0" w14:textId="77777777" w:rsidR="00410716" w:rsidRPr="00BE78CA" w:rsidRDefault="00410716" w:rsidP="00C26084">
            <w:pPr>
              <w:pStyle w:val="TableText"/>
              <w:spacing w:before="50" w:after="50"/>
              <w:jc w:val="right"/>
              <w:rPr>
                <w:rFonts w:cs="Calibri"/>
                <w:szCs w:val="16"/>
              </w:rPr>
            </w:pPr>
            <w:r w:rsidRPr="00BE78CA">
              <w:t>1,886</w:t>
            </w:r>
          </w:p>
        </w:tc>
        <w:tc>
          <w:tcPr>
            <w:tcW w:w="1842" w:type="dxa"/>
            <w:shd w:val="clear" w:color="auto" w:fill="auto"/>
          </w:tcPr>
          <w:p w14:paraId="5DB2DC17" w14:textId="77777777" w:rsidR="00410716" w:rsidRPr="00BE78CA" w:rsidRDefault="00410716" w:rsidP="00C26084">
            <w:pPr>
              <w:pStyle w:val="TableText"/>
              <w:spacing w:before="50" w:after="50"/>
              <w:jc w:val="right"/>
              <w:rPr>
                <w:rFonts w:cs="Calibri"/>
                <w:szCs w:val="16"/>
              </w:rPr>
            </w:pPr>
            <w:r w:rsidRPr="00BE78CA">
              <w:t>595,475</w:t>
            </w:r>
          </w:p>
        </w:tc>
      </w:tr>
      <w:tr w:rsidR="00410716" w:rsidRPr="00BE78CA" w14:paraId="59447154" w14:textId="77777777" w:rsidTr="005D0C5D">
        <w:tc>
          <w:tcPr>
            <w:tcW w:w="873" w:type="dxa"/>
            <w:shd w:val="clear" w:color="auto" w:fill="auto"/>
          </w:tcPr>
          <w:p w14:paraId="1E05BD9F" w14:textId="77777777" w:rsidR="00410716" w:rsidRPr="00BE78CA" w:rsidRDefault="00410716" w:rsidP="00C26084">
            <w:pPr>
              <w:pStyle w:val="TableText"/>
              <w:spacing w:before="50" w:after="50"/>
              <w:rPr>
                <w:rFonts w:cs="Calibri"/>
                <w:szCs w:val="16"/>
              </w:rPr>
            </w:pPr>
            <w:r w:rsidRPr="00BE78CA">
              <w:rPr>
                <w:rFonts w:cs="Calibri"/>
                <w:szCs w:val="16"/>
              </w:rPr>
              <w:t>2004</w:t>
            </w:r>
          </w:p>
        </w:tc>
        <w:tc>
          <w:tcPr>
            <w:tcW w:w="2503" w:type="dxa"/>
            <w:shd w:val="clear" w:color="auto" w:fill="auto"/>
          </w:tcPr>
          <w:p w14:paraId="5D48437E" w14:textId="77777777" w:rsidR="00410716" w:rsidRPr="00BE78CA" w:rsidRDefault="00410716" w:rsidP="00C26084">
            <w:pPr>
              <w:pStyle w:val="TableText"/>
              <w:spacing w:before="50" w:after="50"/>
              <w:jc w:val="right"/>
              <w:rPr>
                <w:rFonts w:cs="Calibri"/>
                <w:szCs w:val="16"/>
              </w:rPr>
            </w:pPr>
            <w:r w:rsidRPr="00BE78CA">
              <w:t>14,967</w:t>
            </w:r>
          </w:p>
        </w:tc>
        <w:tc>
          <w:tcPr>
            <w:tcW w:w="1586" w:type="dxa"/>
            <w:shd w:val="clear" w:color="auto" w:fill="auto"/>
          </w:tcPr>
          <w:p w14:paraId="38522499" w14:textId="77777777" w:rsidR="00410716" w:rsidRPr="00BE78CA" w:rsidRDefault="00410716" w:rsidP="00C26084">
            <w:pPr>
              <w:pStyle w:val="TableText"/>
              <w:spacing w:before="50" w:after="50"/>
              <w:jc w:val="right"/>
              <w:rPr>
                <w:rFonts w:cs="Calibri"/>
                <w:szCs w:val="16"/>
              </w:rPr>
            </w:pPr>
            <w:r w:rsidRPr="00BE78CA">
              <w:t>0</w:t>
            </w:r>
          </w:p>
        </w:tc>
        <w:tc>
          <w:tcPr>
            <w:tcW w:w="1701" w:type="dxa"/>
            <w:shd w:val="clear" w:color="auto" w:fill="auto"/>
          </w:tcPr>
          <w:p w14:paraId="4252C3AB" w14:textId="77777777" w:rsidR="00410716" w:rsidRPr="00BE78CA" w:rsidRDefault="00410716" w:rsidP="00C26084">
            <w:pPr>
              <w:pStyle w:val="TableText"/>
              <w:spacing w:before="50" w:after="50"/>
              <w:jc w:val="right"/>
              <w:rPr>
                <w:rFonts w:cs="Calibri"/>
                <w:szCs w:val="16"/>
              </w:rPr>
            </w:pPr>
            <w:r w:rsidRPr="00BE78CA">
              <w:t>1,733</w:t>
            </w:r>
          </w:p>
        </w:tc>
        <w:tc>
          <w:tcPr>
            <w:tcW w:w="1842" w:type="dxa"/>
            <w:shd w:val="clear" w:color="auto" w:fill="auto"/>
          </w:tcPr>
          <w:p w14:paraId="7C2958E6" w14:textId="77777777" w:rsidR="00410716" w:rsidRPr="00BE78CA" w:rsidRDefault="00410716" w:rsidP="00C26084">
            <w:pPr>
              <w:pStyle w:val="TableText"/>
              <w:spacing w:before="50" w:after="50"/>
              <w:jc w:val="right"/>
              <w:rPr>
                <w:rFonts w:cs="Calibri"/>
                <w:szCs w:val="16"/>
              </w:rPr>
            </w:pPr>
            <w:r w:rsidRPr="00BE78CA">
              <w:t>608,709</w:t>
            </w:r>
          </w:p>
        </w:tc>
      </w:tr>
      <w:tr w:rsidR="00410716" w:rsidRPr="00BE78CA" w14:paraId="3ECD556F" w14:textId="77777777" w:rsidTr="005D0C5D">
        <w:tc>
          <w:tcPr>
            <w:tcW w:w="873" w:type="dxa"/>
            <w:shd w:val="clear" w:color="auto" w:fill="auto"/>
          </w:tcPr>
          <w:p w14:paraId="31BC946F" w14:textId="77777777" w:rsidR="00410716" w:rsidRPr="00BE78CA" w:rsidRDefault="00410716" w:rsidP="00C26084">
            <w:pPr>
              <w:pStyle w:val="TableText"/>
              <w:spacing w:before="50" w:after="50"/>
              <w:rPr>
                <w:rFonts w:cs="Calibri"/>
                <w:szCs w:val="16"/>
              </w:rPr>
            </w:pPr>
            <w:r w:rsidRPr="00BE78CA">
              <w:rPr>
                <w:rFonts w:cs="Calibri"/>
                <w:szCs w:val="16"/>
              </w:rPr>
              <w:t>2005</w:t>
            </w:r>
          </w:p>
        </w:tc>
        <w:tc>
          <w:tcPr>
            <w:tcW w:w="2503" w:type="dxa"/>
            <w:shd w:val="clear" w:color="auto" w:fill="auto"/>
          </w:tcPr>
          <w:p w14:paraId="2A9735E6" w14:textId="77777777" w:rsidR="00410716" w:rsidRPr="00BE78CA" w:rsidRDefault="00410716" w:rsidP="00C26084">
            <w:pPr>
              <w:pStyle w:val="TableText"/>
              <w:spacing w:before="50" w:after="50"/>
              <w:jc w:val="right"/>
              <w:rPr>
                <w:rFonts w:cs="Calibri"/>
                <w:szCs w:val="16"/>
              </w:rPr>
            </w:pPr>
            <w:r w:rsidRPr="00BE78CA">
              <w:t>12,010</w:t>
            </w:r>
          </w:p>
        </w:tc>
        <w:tc>
          <w:tcPr>
            <w:tcW w:w="1586" w:type="dxa"/>
            <w:shd w:val="clear" w:color="auto" w:fill="auto"/>
          </w:tcPr>
          <w:p w14:paraId="05FB8EA7" w14:textId="77777777" w:rsidR="00410716" w:rsidRPr="00BE78CA" w:rsidRDefault="00410716" w:rsidP="00C26084">
            <w:pPr>
              <w:pStyle w:val="TableText"/>
              <w:spacing w:before="50" w:after="50"/>
              <w:jc w:val="right"/>
              <w:rPr>
                <w:rFonts w:cs="Calibri"/>
                <w:szCs w:val="16"/>
              </w:rPr>
            </w:pPr>
            <w:r w:rsidRPr="00BE78CA">
              <w:t>200</w:t>
            </w:r>
          </w:p>
        </w:tc>
        <w:tc>
          <w:tcPr>
            <w:tcW w:w="1701" w:type="dxa"/>
            <w:shd w:val="clear" w:color="auto" w:fill="auto"/>
          </w:tcPr>
          <w:p w14:paraId="1E9C44D5" w14:textId="77777777" w:rsidR="00410716" w:rsidRPr="00BE78CA" w:rsidRDefault="00410716" w:rsidP="00C26084">
            <w:pPr>
              <w:pStyle w:val="TableText"/>
              <w:spacing w:before="50" w:after="50"/>
              <w:jc w:val="right"/>
              <w:rPr>
                <w:rFonts w:cs="Calibri"/>
                <w:szCs w:val="16"/>
              </w:rPr>
            </w:pPr>
            <w:r w:rsidRPr="00BE78CA">
              <w:t>1,972</w:t>
            </w:r>
          </w:p>
        </w:tc>
        <w:tc>
          <w:tcPr>
            <w:tcW w:w="1842" w:type="dxa"/>
            <w:shd w:val="clear" w:color="auto" w:fill="auto"/>
          </w:tcPr>
          <w:p w14:paraId="6C0960A4" w14:textId="77777777" w:rsidR="00410716" w:rsidRPr="00BE78CA" w:rsidRDefault="00410716" w:rsidP="00C26084">
            <w:pPr>
              <w:pStyle w:val="TableText"/>
              <w:spacing w:before="50" w:after="50"/>
              <w:jc w:val="right"/>
              <w:rPr>
                <w:rFonts w:cs="Calibri"/>
                <w:szCs w:val="16"/>
              </w:rPr>
            </w:pPr>
            <w:r w:rsidRPr="00BE78CA">
              <w:t>618,747</w:t>
            </w:r>
          </w:p>
        </w:tc>
      </w:tr>
      <w:tr w:rsidR="00410716" w:rsidRPr="00BE78CA" w14:paraId="1BD65E09" w14:textId="77777777" w:rsidTr="005D0C5D">
        <w:tc>
          <w:tcPr>
            <w:tcW w:w="873" w:type="dxa"/>
            <w:shd w:val="clear" w:color="auto" w:fill="auto"/>
          </w:tcPr>
          <w:p w14:paraId="665365DA" w14:textId="77777777" w:rsidR="00410716" w:rsidRPr="00BE78CA" w:rsidRDefault="00410716" w:rsidP="00C26084">
            <w:pPr>
              <w:pStyle w:val="TableText"/>
              <w:spacing w:before="50" w:after="50"/>
              <w:rPr>
                <w:rFonts w:cs="Calibri"/>
                <w:szCs w:val="16"/>
              </w:rPr>
            </w:pPr>
            <w:r w:rsidRPr="00BE78CA">
              <w:rPr>
                <w:rFonts w:cs="Calibri"/>
                <w:szCs w:val="16"/>
              </w:rPr>
              <w:t>2006</w:t>
            </w:r>
          </w:p>
        </w:tc>
        <w:tc>
          <w:tcPr>
            <w:tcW w:w="2503" w:type="dxa"/>
            <w:shd w:val="clear" w:color="auto" w:fill="auto"/>
          </w:tcPr>
          <w:p w14:paraId="287756EE" w14:textId="77777777" w:rsidR="00410716" w:rsidRPr="00BE78CA" w:rsidRDefault="00410716" w:rsidP="00C26084">
            <w:pPr>
              <w:pStyle w:val="TableText"/>
              <w:spacing w:before="50" w:after="50"/>
              <w:jc w:val="right"/>
              <w:rPr>
                <w:rFonts w:cs="Calibri"/>
                <w:szCs w:val="16"/>
              </w:rPr>
            </w:pPr>
            <w:r w:rsidRPr="00BE78CA">
              <w:t>10,080</w:t>
            </w:r>
          </w:p>
        </w:tc>
        <w:tc>
          <w:tcPr>
            <w:tcW w:w="1586" w:type="dxa"/>
            <w:shd w:val="clear" w:color="auto" w:fill="auto"/>
          </w:tcPr>
          <w:p w14:paraId="054EB02C" w14:textId="77777777" w:rsidR="00410716" w:rsidRPr="00BE78CA" w:rsidRDefault="00410716" w:rsidP="00C26084">
            <w:pPr>
              <w:pStyle w:val="TableText"/>
              <w:spacing w:before="50" w:after="50"/>
              <w:jc w:val="right"/>
              <w:rPr>
                <w:rFonts w:cs="Calibri"/>
                <w:szCs w:val="16"/>
              </w:rPr>
            </w:pPr>
            <w:r w:rsidRPr="00BE78CA">
              <w:t>500</w:t>
            </w:r>
          </w:p>
        </w:tc>
        <w:tc>
          <w:tcPr>
            <w:tcW w:w="1701" w:type="dxa"/>
            <w:shd w:val="clear" w:color="auto" w:fill="auto"/>
          </w:tcPr>
          <w:p w14:paraId="36C934F1" w14:textId="77777777" w:rsidR="00410716" w:rsidRPr="00BE78CA" w:rsidRDefault="00410716" w:rsidP="00C26084">
            <w:pPr>
              <w:pStyle w:val="TableText"/>
              <w:spacing w:before="50" w:after="50"/>
              <w:jc w:val="right"/>
              <w:rPr>
                <w:rFonts w:cs="Calibri"/>
                <w:szCs w:val="16"/>
              </w:rPr>
            </w:pPr>
            <w:r w:rsidRPr="00BE78CA">
              <w:t>1,690</w:t>
            </w:r>
          </w:p>
        </w:tc>
        <w:tc>
          <w:tcPr>
            <w:tcW w:w="1842" w:type="dxa"/>
            <w:shd w:val="clear" w:color="auto" w:fill="auto"/>
          </w:tcPr>
          <w:p w14:paraId="6000DACA" w14:textId="77777777" w:rsidR="00410716" w:rsidRPr="00BE78CA" w:rsidRDefault="00410716" w:rsidP="00C26084">
            <w:pPr>
              <w:pStyle w:val="TableText"/>
              <w:spacing w:before="50" w:after="50"/>
              <w:jc w:val="right"/>
              <w:rPr>
                <w:rFonts w:cs="Calibri"/>
                <w:szCs w:val="16"/>
              </w:rPr>
            </w:pPr>
            <w:r w:rsidRPr="00BE78CA">
              <w:t>627,137</w:t>
            </w:r>
          </w:p>
        </w:tc>
      </w:tr>
      <w:tr w:rsidR="00410716" w:rsidRPr="00BE78CA" w14:paraId="5B38A139" w14:textId="77777777" w:rsidTr="005D0C5D">
        <w:tc>
          <w:tcPr>
            <w:tcW w:w="873" w:type="dxa"/>
            <w:shd w:val="clear" w:color="auto" w:fill="auto"/>
          </w:tcPr>
          <w:p w14:paraId="09E25345" w14:textId="77777777" w:rsidR="00410716" w:rsidRPr="00BE78CA" w:rsidRDefault="00410716" w:rsidP="00C26084">
            <w:pPr>
              <w:pStyle w:val="TableText"/>
              <w:spacing w:before="50" w:after="50"/>
              <w:rPr>
                <w:rFonts w:cs="Calibri"/>
                <w:szCs w:val="16"/>
              </w:rPr>
            </w:pPr>
            <w:r w:rsidRPr="00BE78CA">
              <w:rPr>
                <w:rFonts w:cs="Calibri"/>
                <w:szCs w:val="16"/>
              </w:rPr>
              <w:t>2007</w:t>
            </w:r>
          </w:p>
        </w:tc>
        <w:tc>
          <w:tcPr>
            <w:tcW w:w="2503" w:type="dxa"/>
            <w:shd w:val="clear" w:color="auto" w:fill="auto"/>
          </w:tcPr>
          <w:p w14:paraId="4AA122EE" w14:textId="77777777" w:rsidR="00410716" w:rsidRPr="00BE78CA" w:rsidRDefault="00410716" w:rsidP="00C26084">
            <w:pPr>
              <w:pStyle w:val="TableText"/>
              <w:spacing w:before="50" w:after="50"/>
              <w:jc w:val="right"/>
              <w:rPr>
                <w:rFonts w:cs="Calibri"/>
                <w:szCs w:val="16"/>
              </w:rPr>
            </w:pPr>
            <w:r w:rsidRPr="00BE78CA">
              <w:t>9,418</w:t>
            </w:r>
          </w:p>
        </w:tc>
        <w:tc>
          <w:tcPr>
            <w:tcW w:w="1586" w:type="dxa"/>
            <w:shd w:val="clear" w:color="auto" w:fill="auto"/>
          </w:tcPr>
          <w:p w14:paraId="22C5EC63" w14:textId="77777777" w:rsidR="00410716" w:rsidRPr="00BE78CA" w:rsidRDefault="00410716" w:rsidP="00C26084">
            <w:pPr>
              <w:pStyle w:val="TableText"/>
              <w:spacing w:before="50" w:after="50"/>
              <w:jc w:val="right"/>
              <w:rPr>
                <w:rFonts w:cs="Calibri"/>
                <w:szCs w:val="16"/>
              </w:rPr>
            </w:pPr>
            <w:r w:rsidRPr="00BE78CA">
              <w:t>500</w:t>
            </w:r>
          </w:p>
        </w:tc>
        <w:tc>
          <w:tcPr>
            <w:tcW w:w="1701" w:type="dxa"/>
            <w:shd w:val="clear" w:color="auto" w:fill="auto"/>
          </w:tcPr>
          <w:p w14:paraId="1E0A6955" w14:textId="77777777" w:rsidR="00410716" w:rsidRPr="00BE78CA" w:rsidRDefault="00410716" w:rsidP="00C26084">
            <w:pPr>
              <w:pStyle w:val="TableText"/>
              <w:spacing w:before="50" w:after="50"/>
              <w:jc w:val="right"/>
              <w:rPr>
                <w:rFonts w:cs="Calibri"/>
                <w:szCs w:val="16"/>
              </w:rPr>
            </w:pPr>
            <w:r w:rsidRPr="00BE78CA">
              <w:t>4,057</w:t>
            </w:r>
          </w:p>
        </w:tc>
        <w:tc>
          <w:tcPr>
            <w:tcW w:w="1842" w:type="dxa"/>
            <w:shd w:val="clear" w:color="auto" w:fill="auto"/>
          </w:tcPr>
          <w:p w14:paraId="1077B3C7" w14:textId="77777777" w:rsidR="00410716" w:rsidRPr="00BE78CA" w:rsidRDefault="00410716" w:rsidP="00C26084">
            <w:pPr>
              <w:pStyle w:val="TableText"/>
              <w:spacing w:before="50" w:after="50"/>
              <w:jc w:val="right"/>
              <w:rPr>
                <w:rFonts w:cs="Calibri"/>
                <w:szCs w:val="16"/>
              </w:rPr>
            </w:pPr>
            <w:r w:rsidRPr="00BE78CA">
              <w:t>632,499</w:t>
            </w:r>
          </w:p>
        </w:tc>
      </w:tr>
      <w:tr w:rsidR="00410716" w:rsidRPr="00BE78CA" w14:paraId="6632C1A6" w14:textId="77777777" w:rsidTr="005D0C5D">
        <w:tc>
          <w:tcPr>
            <w:tcW w:w="873" w:type="dxa"/>
            <w:shd w:val="clear" w:color="auto" w:fill="auto"/>
          </w:tcPr>
          <w:p w14:paraId="268DEFEF" w14:textId="77777777" w:rsidR="00410716" w:rsidRPr="00BE78CA" w:rsidRDefault="00410716" w:rsidP="00C26084">
            <w:pPr>
              <w:pStyle w:val="TableText"/>
              <w:spacing w:before="50" w:after="50"/>
              <w:rPr>
                <w:rFonts w:cs="Calibri"/>
                <w:szCs w:val="16"/>
              </w:rPr>
            </w:pPr>
            <w:r w:rsidRPr="00BE78CA">
              <w:rPr>
                <w:rFonts w:cs="Calibri"/>
                <w:szCs w:val="16"/>
              </w:rPr>
              <w:t>2008</w:t>
            </w:r>
          </w:p>
        </w:tc>
        <w:tc>
          <w:tcPr>
            <w:tcW w:w="2503" w:type="dxa"/>
            <w:shd w:val="clear" w:color="auto" w:fill="auto"/>
          </w:tcPr>
          <w:p w14:paraId="2E3A70B4" w14:textId="77777777" w:rsidR="00410716" w:rsidRPr="00BE78CA" w:rsidRDefault="00410716" w:rsidP="00C26084">
            <w:pPr>
              <w:pStyle w:val="TableText"/>
              <w:spacing w:before="50" w:after="50"/>
              <w:jc w:val="right"/>
              <w:rPr>
                <w:rFonts w:cs="Calibri"/>
                <w:szCs w:val="16"/>
              </w:rPr>
            </w:pPr>
            <w:r w:rsidRPr="00BE78CA">
              <w:t>5,303</w:t>
            </w:r>
          </w:p>
        </w:tc>
        <w:tc>
          <w:tcPr>
            <w:tcW w:w="1586" w:type="dxa"/>
            <w:shd w:val="clear" w:color="auto" w:fill="auto"/>
          </w:tcPr>
          <w:p w14:paraId="13026ACE" w14:textId="77777777" w:rsidR="00410716" w:rsidRPr="00BE78CA" w:rsidRDefault="00410716" w:rsidP="00C26084">
            <w:pPr>
              <w:pStyle w:val="TableText"/>
              <w:spacing w:before="50" w:after="50"/>
              <w:jc w:val="right"/>
              <w:rPr>
                <w:rFonts w:cs="Calibri"/>
                <w:szCs w:val="16"/>
              </w:rPr>
            </w:pPr>
            <w:r w:rsidRPr="00BE78CA">
              <w:t>750</w:t>
            </w:r>
          </w:p>
        </w:tc>
        <w:tc>
          <w:tcPr>
            <w:tcW w:w="1701" w:type="dxa"/>
            <w:shd w:val="clear" w:color="auto" w:fill="auto"/>
          </w:tcPr>
          <w:p w14:paraId="5EC82A44" w14:textId="77777777" w:rsidR="00410716" w:rsidRPr="00BE78CA" w:rsidRDefault="00410716" w:rsidP="00C26084">
            <w:pPr>
              <w:pStyle w:val="TableText"/>
              <w:spacing w:before="50" w:after="50"/>
              <w:jc w:val="right"/>
              <w:rPr>
                <w:rFonts w:cs="Calibri"/>
                <w:szCs w:val="16"/>
              </w:rPr>
            </w:pPr>
            <w:r w:rsidRPr="00BE78CA">
              <w:t>1,093</w:t>
            </w:r>
          </w:p>
        </w:tc>
        <w:tc>
          <w:tcPr>
            <w:tcW w:w="1842" w:type="dxa"/>
            <w:shd w:val="clear" w:color="auto" w:fill="auto"/>
          </w:tcPr>
          <w:p w14:paraId="400A4CD8" w14:textId="77777777" w:rsidR="00410716" w:rsidRPr="00BE78CA" w:rsidRDefault="00410716" w:rsidP="00C26084">
            <w:pPr>
              <w:pStyle w:val="TableText"/>
              <w:spacing w:before="50" w:after="50"/>
              <w:jc w:val="right"/>
              <w:rPr>
                <w:rFonts w:cs="Calibri"/>
                <w:szCs w:val="16"/>
              </w:rPr>
            </w:pPr>
            <w:r w:rsidRPr="00BE78CA">
              <w:t>636,708</w:t>
            </w:r>
          </w:p>
        </w:tc>
      </w:tr>
      <w:tr w:rsidR="00410716" w:rsidRPr="00BE78CA" w14:paraId="7D260D7F" w14:textId="77777777" w:rsidTr="005D0C5D">
        <w:tc>
          <w:tcPr>
            <w:tcW w:w="873" w:type="dxa"/>
            <w:shd w:val="clear" w:color="auto" w:fill="auto"/>
          </w:tcPr>
          <w:p w14:paraId="443BEC93" w14:textId="77777777" w:rsidR="00410716" w:rsidRPr="00BE78CA" w:rsidRDefault="00410716" w:rsidP="00C26084">
            <w:pPr>
              <w:pStyle w:val="TableText"/>
              <w:spacing w:before="50" w:after="50"/>
              <w:rPr>
                <w:rFonts w:cs="Calibri"/>
                <w:szCs w:val="16"/>
              </w:rPr>
            </w:pPr>
            <w:r w:rsidRPr="00BE78CA">
              <w:rPr>
                <w:rFonts w:cs="Calibri"/>
                <w:szCs w:val="16"/>
              </w:rPr>
              <w:t>2009</w:t>
            </w:r>
          </w:p>
        </w:tc>
        <w:tc>
          <w:tcPr>
            <w:tcW w:w="2503" w:type="dxa"/>
            <w:shd w:val="clear" w:color="auto" w:fill="auto"/>
          </w:tcPr>
          <w:p w14:paraId="49EF9320" w14:textId="77777777" w:rsidR="00410716" w:rsidRPr="00BE78CA" w:rsidRDefault="00410716" w:rsidP="00C26084">
            <w:pPr>
              <w:pStyle w:val="TableText"/>
              <w:spacing w:before="50" w:after="50"/>
              <w:jc w:val="right"/>
              <w:rPr>
                <w:rFonts w:cs="Calibri"/>
                <w:szCs w:val="16"/>
              </w:rPr>
            </w:pPr>
            <w:r w:rsidRPr="00BE78CA">
              <w:t>8,353</w:t>
            </w:r>
          </w:p>
        </w:tc>
        <w:tc>
          <w:tcPr>
            <w:tcW w:w="1586" w:type="dxa"/>
            <w:shd w:val="clear" w:color="auto" w:fill="auto"/>
          </w:tcPr>
          <w:p w14:paraId="06EC16A8" w14:textId="77777777" w:rsidR="00410716" w:rsidRPr="00BE78CA" w:rsidRDefault="00410716" w:rsidP="00C26084">
            <w:pPr>
              <w:pStyle w:val="TableText"/>
              <w:spacing w:before="50" w:after="50"/>
              <w:jc w:val="right"/>
              <w:rPr>
                <w:rFonts w:cs="Calibri"/>
                <w:szCs w:val="16"/>
              </w:rPr>
            </w:pPr>
            <w:r w:rsidRPr="00BE78CA">
              <w:t>903</w:t>
            </w:r>
          </w:p>
        </w:tc>
        <w:tc>
          <w:tcPr>
            <w:tcW w:w="1701" w:type="dxa"/>
            <w:shd w:val="clear" w:color="auto" w:fill="auto"/>
          </w:tcPr>
          <w:p w14:paraId="2A2DF151" w14:textId="77777777" w:rsidR="00410716" w:rsidRPr="00BE78CA" w:rsidRDefault="00410716" w:rsidP="00C26084">
            <w:pPr>
              <w:pStyle w:val="TableText"/>
              <w:spacing w:before="50" w:after="50"/>
              <w:jc w:val="right"/>
              <w:rPr>
                <w:rFonts w:cs="Calibri"/>
                <w:szCs w:val="16"/>
              </w:rPr>
            </w:pPr>
            <w:r w:rsidRPr="00BE78CA">
              <w:t>2,023</w:t>
            </w:r>
          </w:p>
        </w:tc>
        <w:tc>
          <w:tcPr>
            <w:tcW w:w="1842" w:type="dxa"/>
            <w:shd w:val="clear" w:color="auto" w:fill="auto"/>
          </w:tcPr>
          <w:p w14:paraId="3F8F7270" w14:textId="77777777" w:rsidR="00410716" w:rsidRPr="00BE78CA" w:rsidRDefault="00410716" w:rsidP="00C26084">
            <w:pPr>
              <w:pStyle w:val="TableText"/>
              <w:spacing w:before="50" w:after="50"/>
              <w:jc w:val="right"/>
              <w:rPr>
                <w:rFonts w:cs="Calibri"/>
                <w:szCs w:val="16"/>
              </w:rPr>
            </w:pPr>
            <w:r w:rsidRPr="00BE78CA">
              <w:t>643,038</w:t>
            </w:r>
          </w:p>
        </w:tc>
      </w:tr>
      <w:tr w:rsidR="00410716" w:rsidRPr="00BE78CA" w14:paraId="2B898ACF" w14:textId="77777777" w:rsidTr="005D0C5D">
        <w:tc>
          <w:tcPr>
            <w:tcW w:w="873" w:type="dxa"/>
            <w:shd w:val="clear" w:color="auto" w:fill="auto"/>
          </w:tcPr>
          <w:p w14:paraId="37E0C709" w14:textId="77777777" w:rsidR="00410716" w:rsidRPr="00BE78CA" w:rsidRDefault="00410716" w:rsidP="00C26084">
            <w:pPr>
              <w:pStyle w:val="TableText"/>
              <w:spacing w:before="50" w:after="50"/>
              <w:rPr>
                <w:rFonts w:cs="Calibri"/>
                <w:szCs w:val="16"/>
              </w:rPr>
            </w:pPr>
            <w:r w:rsidRPr="00BE78CA">
              <w:rPr>
                <w:rFonts w:cs="Calibri"/>
                <w:szCs w:val="16"/>
              </w:rPr>
              <w:t>2010</w:t>
            </w:r>
          </w:p>
        </w:tc>
        <w:tc>
          <w:tcPr>
            <w:tcW w:w="2503" w:type="dxa"/>
            <w:shd w:val="clear" w:color="auto" w:fill="auto"/>
          </w:tcPr>
          <w:p w14:paraId="45406E86" w14:textId="77777777" w:rsidR="00410716" w:rsidRPr="00BE78CA" w:rsidRDefault="00410716" w:rsidP="00C26084">
            <w:pPr>
              <w:pStyle w:val="TableText"/>
              <w:spacing w:before="50" w:after="50"/>
              <w:jc w:val="right"/>
              <w:rPr>
                <w:rFonts w:cs="Calibri"/>
                <w:szCs w:val="16"/>
              </w:rPr>
            </w:pPr>
            <w:r w:rsidRPr="00BE78CA">
              <w:t>10,513</w:t>
            </w:r>
          </w:p>
        </w:tc>
        <w:tc>
          <w:tcPr>
            <w:tcW w:w="1586" w:type="dxa"/>
            <w:shd w:val="clear" w:color="auto" w:fill="auto"/>
          </w:tcPr>
          <w:p w14:paraId="53DCE4BE" w14:textId="77777777" w:rsidR="00410716" w:rsidRPr="00BE78CA" w:rsidRDefault="00410716" w:rsidP="00C26084">
            <w:pPr>
              <w:pStyle w:val="TableText"/>
              <w:spacing w:before="50" w:after="50"/>
              <w:jc w:val="right"/>
              <w:rPr>
                <w:rFonts w:cs="Calibri"/>
                <w:szCs w:val="16"/>
              </w:rPr>
            </w:pPr>
            <w:r w:rsidRPr="00BE78CA">
              <w:t>1,488</w:t>
            </w:r>
          </w:p>
        </w:tc>
        <w:tc>
          <w:tcPr>
            <w:tcW w:w="1701" w:type="dxa"/>
            <w:shd w:val="clear" w:color="auto" w:fill="auto"/>
          </w:tcPr>
          <w:p w14:paraId="5C403399" w14:textId="77777777" w:rsidR="00410716" w:rsidRPr="00BE78CA" w:rsidRDefault="00410716" w:rsidP="00C26084">
            <w:pPr>
              <w:pStyle w:val="TableText"/>
              <w:spacing w:before="50" w:after="50"/>
              <w:jc w:val="right"/>
              <w:rPr>
                <w:rFonts w:cs="Calibri"/>
                <w:szCs w:val="16"/>
              </w:rPr>
            </w:pPr>
            <w:r w:rsidRPr="00BE78CA">
              <w:t>1,684</w:t>
            </w:r>
          </w:p>
        </w:tc>
        <w:tc>
          <w:tcPr>
            <w:tcW w:w="1842" w:type="dxa"/>
            <w:shd w:val="clear" w:color="auto" w:fill="auto"/>
          </w:tcPr>
          <w:p w14:paraId="260867F9" w14:textId="77777777" w:rsidR="00410716" w:rsidRPr="00BE78CA" w:rsidRDefault="00410716" w:rsidP="00C26084">
            <w:pPr>
              <w:pStyle w:val="TableText"/>
              <w:spacing w:before="50" w:after="50"/>
              <w:jc w:val="right"/>
              <w:rPr>
                <w:rFonts w:cs="Calibri"/>
                <w:szCs w:val="16"/>
              </w:rPr>
            </w:pPr>
            <w:r w:rsidRPr="00BE78CA">
              <w:t>651,867</w:t>
            </w:r>
          </w:p>
        </w:tc>
      </w:tr>
      <w:tr w:rsidR="00410716" w:rsidRPr="00BE78CA" w14:paraId="06B626EB" w14:textId="77777777" w:rsidTr="005D0C5D">
        <w:tc>
          <w:tcPr>
            <w:tcW w:w="873" w:type="dxa"/>
            <w:shd w:val="clear" w:color="auto" w:fill="auto"/>
          </w:tcPr>
          <w:p w14:paraId="569EE863" w14:textId="77777777" w:rsidR="00410716" w:rsidRPr="00BE78CA" w:rsidRDefault="00410716" w:rsidP="00C26084">
            <w:pPr>
              <w:pStyle w:val="TableText"/>
              <w:spacing w:before="50" w:after="50"/>
              <w:rPr>
                <w:rFonts w:cs="Calibri"/>
                <w:szCs w:val="16"/>
              </w:rPr>
            </w:pPr>
            <w:r w:rsidRPr="00BE78CA">
              <w:rPr>
                <w:rFonts w:cs="Calibri"/>
                <w:szCs w:val="16"/>
              </w:rPr>
              <w:t>2011</w:t>
            </w:r>
          </w:p>
        </w:tc>
        <w:tc>
          <w:tcPr>
            <w:tcW w:w="2503" w:type="dxa"/>
            <w:shd w:val="clear" w:color="auto" w:fill="auto"/>
          </w:tcPr>
          <w:p w14:paraId="2945F8DB" w14:textId="77777777" w:rsidR="00410716" w:rsidRPr="00BE78CA" w:rsidRDefault="00410716" w:rsidP="00C26084">
            <w:pPr>
              <w:pStyle w:val="TableText"/>
              <w:spacing w:before="50" w:after="50"/>
              <w:jc w:val="right"/>
              <w:rPr>
                <w:rFonts w:cs="Calibri"/>
                <w:szCs w:val="16"/>
              </w:rPr>
            </w:pPr>
            <w:r w:rsidRPr="00BE78CA">
              <w:t>18,137</w:t>
            </w:r>
          </w:p>
        </w:tc>
        <w:tc>
          <w:tcPr>
            <w:tcW w:w="1586" w:type="dxa"/>
            <w:shd w:val="clear" w:color="auto" w:fill="auto"/>
          </w:tcPr>
          <w:p w14:paraId="7C68A9B2" w14:textId="77777777" w:rsidR="00410716" w:rsidRPr="00BE78CA" w:rsidRDefault="00410716" w:rsidP="00C26084">
            <w:pPr>
              <w:pStyle w:val="TableText"/>
              <w:spacing w:before="50" w:after="50"/>
              <w:jc w:val="right"/>
              <w:rPr>
                <w:rFonts w:cs="Calibri"/>
                <w:szCs w:val="16"/>
              </w:rPr>
            </w:pPr>
            <w:r w:rsidRPr="00BE78CA">
              <w:t>1,821</w:t>
            </w:r>
          </w:p>
        </w:tc>
        <w:tc>
          <w:tcPr>
            <w:tcW w:w="1701" w:type="dxa"/>
            <w:shd w:val="clear" w:color="auto" w:fill="auto"/>
          </w:tcPr>
          <w:p w14:paraId="5642FE16" w14:textId="77777777" w:rsidR="00410716" w:rsidRPr="00BE78CA" w:rsidRDefault="00410716" w:rsidP="00C26084">
            <w:pPr>
              <w:pStyle w:val="TableText"/>
              <w:spacing w:before="50" w:after="50"/>
              <w:jc w:val="right"/>
              <w:rPr>
                <w:rFonts w:cs="Calibri"/>
                <w:szCs w:val="16"/>
              </w:rPr>
            </w:pPr>
            <w:r w:rsidRPr="00BE78CA">
              <w:t>2,183</w:t>
            </w:r>
          </w:p>
        </w:tc>
        <w:tc>
          <w:tcPr>
            <w:tcW w:w="1842" w:type="dxa"/>
            <w:shd w:val="clear" w:color="auto" w:fill="auto"/>
          </w:tcPr>
          <w:p w14:paraId="631A6589" w14:textId="77777777" w:rsidR="00410716" w:rsidRPr="00BE78CA" w:rsidRDefault="00410716" w:rsidP="00C26084">
            <w:pPr>
              <w:pStyle w:val="TableText"/>
              <w:spacing w:before="50" w:after="50"/>
              <w:jc w:val="right"/>
              <w:rPr>
                <w:rFonts w:cs="Calibri"/>
                <w:szCs w:val="16"/>
              </w:rPr>
            </w:pPr>
            <w:r w:rsidRPr="00BE78CA">
              <w:t>667,821</w:t>
            </w:r>
          </w:p>
        </w:tc>
      </w:tr>
      <w:tr w:rsidR="00410716" w:rsidRPr="00BE78CA" w14:paraId="08BD0357" w14:textId="77777777" w:rsidTr="005D0C5D">
        <w:tc>
          <w:tcPr>
            <w:tcW w:w="873" w:type="dxa"/>
            <w:shd w:val="clear" w:color="auto" w:fill="auto"/>
          </w:tcPr>
          <w:p w14:paraId="14FFB94D" w14:textId="77777777" w:rsidR="00410716" w:rsidRPr="00BE78CA" w:rsidRDefault="00410716" w:rsidP="00C26084">
            <w:pPr>
              <w:pStyle w:val="TableText"/>
              <w:spacing w:before="50" w:after="50"/>
              <w:rPr>
                <w:rFonts w:cs="Calibri"/>
                <w:szCs w:val="16"/>
              </w:rPr>
            </w:pPr>
            <w:r w:rsidRPr="00BE78CA">
              <w:rPr>
                <w:rFonts w:cs="Calibri"/>
                <w:szCs w:val="16"/>
              </w:rPr>
              <w:t>2012</w:t>
            </w:r>
          </w:p>
        </w:tc>
        <w:tc>
          <w:tcPr>
            <w:tcW w:w="2503" w:type="dxa"/>
            <w:shd w:val="clear" w:color="auto" w:fill="auto"/>
          </w:tcPr>
          <w:p w14:paraId="31746DBB" w14:textId="77777777" w:rsidR="00410716" w:rsidRPr="00BE78CA" w:rsidRDefault="00410716" w:rsidP="00C26084">
            <w:pPr>
              <w:pStyle w:val="TableText"/>
              <w:spacing w:before="50" w:after="50"/>
              <w:jc w:val="right"/>
              <w:rPr>
                <w:rFonts w:cs="Calibri"/>
                <w:szCs w:val="16"/>
              </w:rPr>
            </w:pPr>
            <w:r w:rsidRPr="00BE78CA">
              <w:t>17,502</w:t>
            </w:r>
          </w:p>
        </w:tc>
        <w:tc>
          <w:tcPr>
            <w:tcW w:w="1586" w:type="dxa"/>
            <w:shd w:val="clear" w:color="auto" w:fill="auto"/>
          </w:tcPr>
          <w:p w14:paraId="5AA25F98" w14:textId="77777777" w:rsidR="00410716" w:rsidRPr="00BE78CA" w:rsidRDefault="00410716" w:rsidP="00C26084">
            <w:pPr>
              <w:pStyle w:val="TableText"/>
              <w:spacing w:before="50" w:after="50"/>
              <w:jc w:val="right"/>
              <w:rPr>
                <w:rFonts w:cs="Calibri"/>
                <w:szCs w:val="16"/>
              </w:rPr>
            </w:pPr>
            <w:r w:rsidRPr="00BE78CA">
              <w:t>1,643</w:t>
            </w:r>
          </w:p>
        </w:tc>
        <w:tc>
          <w:tcPr>
            <w:tcW w:w="1701" w:type="dxa"/>
            <w:shd w:val="clear" w:color="auto" w:fill="auto"/>
          </w:tcPr>
          <w:p w14:paraId="223A410F" w14:textId="77777777" w:rsidR="00410716" w:rsidRPr="00BE78CA" w:rsidRDefault="00410716" w:rsidP="00C26084">
            <w:pPr>
              <w:pStyle w:val="TableText"/>
              <w:spacing w:before="50" w:after="50"/>
              <w:jc w:val="right"/>
              <w:rPr>
                <w:rFonts w:cs="Calibri"/>
                <w:szCs w:val="16"/>
              </w:rPr>
            </w:pPr>
            <w:r w:rsidRPr="00BE78CA">
              <w:t>1,390</w:t>
            </w:r>
          </w:p>
        </w:tc>
        <w:tc>
          <w:tcPr>
            <w:tcW w:w="1842" w:type="dxa"/>
            <w:shd w:val="clear" w:color="auto" w:fill="auto"/>
          </w:tcPr>
          <w:p w14:paraId="2FDE9313" w14:textId="77777777" w:rsidR="00410716" w:rsidRPr="00BE78CA" w:rsidRDefault="00410716" w:rsidP="00C26084">
            <w:pPr>
              <w:pStyle w:val="TableText"/>
              <w:spacing w:before="50" w:after="50"/>
              <w:jc w:val="right"/>
              <w:rPr>
                <w:rFonts w:cs="Calibri"/>
                <w:szCs w:val="16"/>
              </w:rPr>
            </w:pPr>
            <w:r w:rsidRPr="00BE78CA">
              <w:t>683,933</w:t>
            </w:r>
          </w:p>
        </w:tc>
      </w:tr>
      <w:tr w:rsidR="00410716" w:rsidRPr="00BE78CA" w14:paraId="1FF4E783" w14:textId="77777777" w:rsidTr="005D0C5D">
        <w:tc>
          <w:tcPr>
            <w:tcW w:w="873" w:type="dxa"/>
            <w:shd w:val="clear" w:color="auto" w:fill="auto"/>
          </w:tcPr>
          <w:p w14:paraId="5635E65D" w14:textId="77777777" w:rsidR="00410716" w:rsidRPr="00BE78CA" w:rsidRDefault="00410716" w:rsidP="00C26084">
            <w:pPr>
              <w:pStyle w:val="TableText"/>
              <w:spacing w:before="50" w:after="50"/>
              <w:rPr>
                <w:rFonts w:cs="Calibri"/>
                <w:szCs w:val="16"/>
              </w:rPr>
            </w:pPr>
            <w:r w:rsidRPr="00BE78CA">
              <w:rPr>
                <w:rFonts w:cs="Calibri"/>
                <w:szCs w:val="16"/>
              </w:rPr>
              <w:t>2013</w:t>
            </w:r>
          </w:p>
        </w:tc>
        <w:tc>
          <w:tcPr>
            <w:tcW w:w="2503" w:type="dxa"/>
            <w:shd w:val="clear" w:color="auto" w:fill="auto"/>
          </w:tcPr>
          <w:p w14:paraId="6CD35BBE" w14:textId="77777777" w:rsidR="00410716" w:rsidRPr="00BE78CA" w:rsidRDefault="00410716" w:rsidP="00C26084">
            <w:pPr>
              <w:pStyle w:val="TableText"/>
              <w:spacing w:before="50" w:after="50"/>
              <w:jc w:val="right"/>
              <w:rPr>
                <w:rFonts w:cs="Calibri"/>
                <w:szCs w:val="16"/>
              </w:rPr>
            </w:pPr>
            <w:r w:rsidRPr="00BE78CA">
              <w:t>7,286</w:t>
            </w:r>
          </w:p>
        </w:tc>
        <w:tc>
          <w:tcPr>
            <w:tcW w:w="1586" w:type="dxa"/>
            <w:shd w:val="clear" w:color="auto" w:fill="auto"/>
          </w:tcPr>
          <w:p w14:paraId="03737FB0" w14:textId="77777777" w:rsidR="00410716" w:rsidRPr="00BE78CA" w:rsidRDefault="00410716" w:rsidP="00C26084">
            <w:pPr>
              <w:pStyle w:val="TableText"/>
              <w:spacing w:before="50" w:after="50"/>
              <w:jc w:val="right"/>
              <w:rPr>
                <w:rFonts w:cs="Calibri"/>
                <w:szCs w:val="16"/>
              </w:rPr>
            </w:pPr>
            <w:r w:rsidRPr="00BE78CA">
              <w:t>3,421</w:t>
            </w:r>
          </w:p>
        </w:tc>
        <w:tc>
          <w:tcPr>
            <w:tcW w:w="1701" w:type="dxa"/>
            <w:shd w:val="clear" w:color="auto" w:fill="auto"/>
          </w:tcPr>
          <w:p w14:paraId="00F63990" w14:textId="77777777" w:rsidR="00410716" w:rsidRPr="00BE78CA" w:rsidRDefault="00410716" w:rsidP="00C26084">
            <w:pPr>
              <w:pStyle w:val="TableText"/>
              <w:spacing w:before="50" w:after="50"/>
              <w:jc w:val="right"/>
              <w:rPr>
                <w:rFonts w:cs="Calibri"/>
                <w:szCs w:val="16"/>
              </w:rPr>
            </w:pPr>
            <w:r w:rsidRPr="00BE78CA">
              <w:t>2,894</w:t>
            </w:r>
          </w:p>
        </w:tc>
        <w:tc>
          <w:tcPr>
            <w:tcW w:w="1842" w:type="dxa"/>
            <w:shd w:val="clear" w:color="auto" w:fill="auto"/>
          </w:tcPr>
          <w:p w14:paraId="010B0CC1" w14:textId="77777777" w:rsidR="00410716" w:rsidRPr="00BE78CA" w:rsidRDefault="00410716" w:rsidP="00C26084">
            <w:pPr>
              <w:pStyle w:val="TableText"/>
              <w:spacing w:before="50" w:after="50"/>
              <w:jc w:val="right"/>
              <w:rPr>
                <w:rFonts w:cs="Calibri"/>
                <w:szCs w:val="16"/>
              </w:rPr>
            </w:pPr>
            <w:r w:rsidRPr="00BE78CA">
              <w:t>688,325</w:t>
            </w:r>
          </w:p>
        </w:tc>
      </w:tr>
      <w:tr w:rsidR="00410716" w:rsidRPr="00BE78CA" w14:paraId="7D546863" w14:textId="77777777" w:rsidTr="005D0C5D">
        <w:tc>
          <w:tcPr>
            <w:tcW w:w="873" w:type="dxa"/>
            <w:shd w:val="clear" w:color="auto" w:fill="auto"/>
          </w:tcPr>
          <w:p w14:paraId="11624FB0" w14:textId="77777777" w:rsidR="00410716" w:rsidRPr="00BE78CA" w:rsidRDefault="00410716" w:rsidP="00C26084">
            <w:pPr>
              <w:pStyle w:val="TableText"/>
              <w:spacing w:before="50" w:after="50"/>
              <w:rPr>
                <w:rFonts w:cs="Calibri"/>
                <w:szCs w:val="16"/>
              </w:rPr>
            </w:pPr>
            <w:r w:rsidRPr="00BE78CA">
              <w:rPr>
                <w:rFonts w:cs="Calibri"/>
                <w:szCs w:val="16"/>
              </w:rPr>
              <w:t>2014</w:t>
            </w:r>
          </w:p>
        </w:tc>
        <w:tc>
          <w:tcPr>
            <w:tcW w:w="2503" w:type="dxa"/>
            <w:shd w:val="clear" w:color="auto" w:fill="auto"/>
          </w:tcPr>
          <w:p w14:paraId="0397DBE2" w14:textId="77777777" w:rsidR="00410716" w:rsidRPr="00BE78CA" w:rsidRDefault="00410716" w:rsidP="00C26084">
            <w:pPr>
              <w:pStyle w:val="TableText"/>
              <w:spacing w:before="50" w:after="50"/>
              <w:jc w:val="right"/>
              <w:rPr>
                <w:rFonts w:cs="Calibri"/>
                <w:szCs w:val="16"/>
              </w:rPr>
            </w:pPr>
            <w:r w:rsidRPr="00BE78CA">
              <w:t>5,937</w:t>
            </w:r>
          </w:p>
        </w:tc>
        <w:tc>
          <w:tcPr>
            <w:tcW w:w="1586" w:type="dxa"/>
            <w:shd w:val="clear" w:color="auto" w:fill="auto"/>
          </w:tcPr>
          <w:p w14:paraId="73DB2D20" w14:textId="77777777" w:rsidR="00410716" w:rsidRPr="00BE78CA" w:rsidRDefault="00410716" w:rsidP="00C26084">
            <w:pPr>
              <w:pStyle w:val="TableText"/>
              <w:spacing w:before="50" w:after="50"/>
              <w:jc w:val="right"/>
              <w:rPr>
                <w:rFonts w:cs="Calibri"/>
                <w:szCs w:val="16"/>
              </w:rPr>
            </w:pPr>
            <w:r w:rsidRPr="00BE78CA">
              <w:t>4,099</w:t>
            </w:r>
          </w:p>
        </w:tc>
        <w:tc>
          <w:tcPr>
            <w:tcW w:w="1701" w:type="dxa"/>
            <w:shd w:val="clear" w:color="auto" w:fill="auto"/>
          </w:tcPr>
          <w:p w14:paraId="3A5F19C7" w14:textId="77777777" w:rsidR="00410716" w:rsidRPr="00BE78CA" w:rsidRDefault="00410716" w:rsidP="00C26084">
            <w:pPr>
              <w:pStyle w:val="TableText"/>
              <w:spacing w:before="50" w:after="50"/>
              <w:jc w:val="right"/>
              <w:rPr>
                <w:rFonts w:cs="Calibri"/>
                <w:szCs w:val="16"/>
              </w:rPr>
            </w:pPr>
            <w:r w:rsidRPr="00BE78CA">
              <w:t>1,657</w:t>
            </w:r>
          </w:p>
        </w:tc>
        <w:tc>
          <w:tcPr>
            <w:tcW w:w="1842" w:type="dxa"/>
            <w:shd w:val="clear" w:color="auto" w:fill="auto"/>
          </w:tcPr>
          <w:p w14:paraId="6D6CADCC" w14:textId="77777777" w:rsidR="00410716" w:rsidRPr="00BE78CA" w:rsidRDefault="00410716" w:rsidP="00C26084">
            <w:pPr>
              <w:pStyle w:val="TableText"/>
              <w:spacing w:before="50" w:after="50"/>
              <w:jc w:val="right"/>
              <w:rPr>
                <w:rFonts w:cs="Calibri"/>
                <w:szCs w:val="16"/>
              </w:rPr>
            </w:pPr>
            <w:r w:rsidRPr="00BE78CA">
              <w:t>692,604</w:t>
            </w:r>
          </w:p>
        </w:tc>
      </w:tr>
      <w:tr w:rsidR="00410716" w:rsidRPr="00BE78CA" w14:paraId="474CF446" w14:textId="77777777" w:rsidTr="005D0C5D">
        <w:tc>
          <w:tcPr>
            <w:tcW w:w="873" w:type="dxa"/>
            <w:shd w:val="clear" w:color="auto" w:fill="auto"/>
          </w:tcPr>
          <w:p w14:paraId="2A3592C8" w14:textId="77777777" w:rsidR="00410716" w:rsidRPr="00BE78CA" w:rsidRDefault="00410716" w:rsidP="00C26084">
            <w:pPr>
              <w:pStyle w:val="Tableboldblue"/>
              <w:spacing w:before="50" w:after="50"/>
              <w:rPr>
                <w:rFonts w:cs="Calibri"/>
                <w:bCs/>
                <w:szCs w:val="16"/>
              </w:rPr>
            </w:pPr>
            <w:r w:rsidRPr="00BE78CA">
              <w:rPr>
                <w:rFonts w:cs="Calibri"/>
                <w:b w:val="0"/>
                <w:color w:val="auto"/>
                <w:szCs w:val="16"/>
              </w:rPr>
              <w:t>2015</w:t>
            </w:r>
            <w:r w:rsidRPr="00BE78CA">
              <w:rPr>
                <w:rFonts w:cs="Calibri"/>
                <w:szCs w:val="16"/>
                <w:vertAlign w:val="superscript"/>
              </w:rPr>
              <w:t xml:space="preserve"> </w:t>
            </w:r>
          </w:p>
        </w:tc>
        <w:tc>
          <w:tcPr>
            <w:tcW w:w="2503" w:type="dxa"/>
            <w:shd w:val="clear" w:color="auto" w:fill="auto"/>
          </w:tcPr>
          <w:p w14:paraId="644CBD06" w14:textId="77777777" w:rsidR="00410716" w:rsidRPr="00BE78CA" w:rsidRDefault="00410716" w:rsidP="00C26084">
            <w:pPr>
              <w:pStyle w:val="TableText"/>
              <w:spacing w:before="50" w:after="50"/>
              <w:jc w:val="right"/>
              <w:rPr>
                <w:rFonts w:cs="Calibri"/>
                <w:szCs w:val="16"/>
              </w:rPr>
            </w:pPr>
            <w:r w:rsidRPr="00BE78CA">
              <w:t>5,937</w:t>
            </w:r>
          </w:p>
        </w:tc>
        <w:tc>
          <w:tcPr>
            <w:tcW w:w="1586" w:type="dxa"/>
            <w:shd w:val="clear" w:color="auto" w:fill="auto"/>
          </w:tcPr>
          <w:p w14:paraId="6EFC7C1F" w14:textId="77777777" w:rsidR="00410716" w:rsidRPr="00BE78CA" w:rsidRDefault="00410716" w:rsidP="00C26084">
            <w:pPr>
              <w:pStyle w:val="Tableboldblue"/>
              <w:spacing w:before="50" w:after="50"/>
              <w:jc w:val="right"/>
              <w:rPr>
                <w:b w:val="0"/>
                <w:color w:val="auto"/>
                <w:lang w:eastAsia="en-NZ"/>
              </w:rPr>
            </w:pPr>
            <w:r w:rsidRPr="00BE78CA">
              <w:rPr>
                <w:b w:val="0"/>
                <w:color w:val="auto"/>
                <w:lang w:eastAsia="en-NZ"/>
              </w:rPr>
              <w:t>4,838</w:t>
            </w:r>
          </w:p>
        </w:tc>
        <w:tc>
          <w:tcPr>
            <w:tcW w:w="1701" w:type="dxa"/>
            <w:shd w:val="clear" w:color="auto" w:fill="auto"/>
          </w:tcPr>
          <w:p w14:paraId="6732B582" w14:textId="77777777" w:rsidR="00410716" w:rsidRPr="00BE78CA" w:rsidRDefault="00410716" w:rsidP="00C26084">
            <w:pPr>
              <w:pStyle w:val="Tableboldblue"/>
              <w:spacing w:before="50" w:after="50"/>
              <w:jc w:val="right"/>
              <w:rPr>
                <w:b w:val="0"/>
                <w:color w:val="auto"/>
                <w:lang w:eastAsia="en-NZ"/>
              </w:rPr>
            </w:pPr>
            <w:r w:rsidRPr="00BE78CA">
              <w:rPr>
                <w:b w:val="0"/>
                <w:color w:val="auto"/>
                <w:lang w:eastAsia="en-NZ"/>
              </w:rPr>
              <w:t>1,697</w:t>
            </w:r>
          </w:p>
        </w:tc>
        <w:tc>
          <w:tcPr>
            <w:tcW w:w="1842" w:type="dxa"/>
            <w:shd w:val="clear" w:color="auto" w:fill="auto"/>
          </w:tcPr>
          <w:p w14:paraId="1F6A2CFF" w14:textId="77777777" w:rsidR="00410716" w:rsidRPr="00BE78CA" w:rsidRDefault="00410716" w:rsidP="00C26084">
            <w:pPr>
              <w:pStyle w:val="Tableboldblue"/>
              <w:spacing w:before="50" w:after="50"/>
              <w:jc w:val="right"/>
              <w:rPr>
                <w:b w:val="0"/>
                <w:color w:val="auto"/>
                <w:lang w:eastAsia="en-NZ"/>
              </w:rPr>
            </w:pPr>
            <w:r w:rsidRPr="00BE78CA">
              <w:rPr>
                <w:b w:val="0"/>
                <w:color w:val="auto"/>
                <w:lang w:eastAsia="en-NZ"/>
              </w:rPr>
              <w:t>696,844</w:t>
            </w:r>
          </w:p>
        </w:tc>
      </w:tr>
      <w:tr w:rsidR="00410716" w:rsidRPr="00BE78CA" w14:paraId="2B488EAD" w14:textId="77777777" w:rsidTr="005D0C5D">
        <w:tc>
          <w:tcPr>
            <w:tcW w:w="873" w:type="dxa"/>
            <w:shd w:val="clear" w:color="auto" w:fill="auto"/>
          </w:tcPr>
          <w:p w14:paraId="6E43FFC3" w14:textId="77777777" w:rsidR="00410716" w:rsidRPr="00BE78CA" w:rsidRDefault="00410716" w:rsidP="00C26084">
            <w:pPr>
              <w:pStyle w:val="Tableboldblue"/>
              <w:spacing w:before="50" w:after="50"/>
              <w:rPr>
                <w:rFonts w:cs="Calibri"/>
                <w:b w:val="0"/>
                <w:bCs/>
                <w:color w:val="auto"/>
                <w:szCs w:val="16"/>
              </w:rPr>
            </w:pPr>
            <w:r w:rsidRPr="00BE78CA">
              <w:rPr>
                <w:rFonts w:cs="Calibri"/>
                <w:b w:val="0"/>
                <w:bCs/>
                <w:color w:val="auto"/>
                <w:szCs w:val="16"/>
              </w:rPr>
              <w:t>2016</w:t>
            </w:r>
          </w:p>
        </w:tc>
        <w:tc>
          <w:tcPr>
            <w:tcW w:w="2503" w:type="dxa"/>
            <w:shd w:val="clear" w:color="auto" w:fill="auto"/>
          </w:tcPr>
          <w:p w14:paraId="41B7CFFB" w14:textId="77777777" w:rsidR="00410716" w:rsidRPr="00BE78CA" w:rsidRDefault="00410716" w:rsidP="00C26084">
            <w:pPr>
              <w:pStyle w:val="TableText"/>
              <w:spacing w:before="50" w:after="50"/>
              <w:jc w:val="right"/>
              <w:rPr>
                <w:rFonts w:cs="Calibri"/>
                <w:szCs w:val="16"/>
              </w:rPr>
            </w:pPr>
            <w:r w:rsidRPr="00BE78CA">
              <w:t>5,784</w:t>
            </w:r>
          </w:p>
        </w:tc>
        <w:tc>
          <w:tcPr>
            <w:tcW w:w="1586" w:type="dxa"/>
            <w:shd w:val="clear" w:color="auto" w:fill="auto"/>
          </w:tcPr>
          <w:p w14:paraId="43B298A4" w14:textId="77777777" w:rsidR="00410716" w:rsidRPr="00BE78CA" w:rsidRDefault="00410716" w:rsidP="00C26084">
            <w:pPr>
              <w:pStyle w:val="TableText"/>
              <w:spacing w:before="50" w:after="50"/>
              <w:jc w:val="right"/>
              <w:rPr>
                <w:rFonts w:cs="Calibri"/>
                <w:szCs w:val="16"/>
              </w:rPr>
            </w:pPr>
            <w:r w:rsidRPr="00BE78CA">
              <w:t>7,553</w:t>
            </w:r>
          </w:p>
        </w:tc>
        <w:tc>
          <w:tcPr>
            <w:tcW w:w="1701" w:type="dxa"/>
            <w:shd w:val="clear" w:color="auto" w:fill="auto"/>
          </w:tcPr>
          <w:p w14:paraId="359697DB" w14:textId="77777777" w:rsidR="00410716" w:rsidRPr="00BE78CA" w:rsidRDefault="00410716" w:rsidP="00C26084">
            <w:pPr>
              <w:pStyle w:val="TableText"/>
              <w:spacing w:before="50" w:after="50"/>
              <w:jc w:val="right"/>
              <w:rPr>
                <w:rFonts w:cs="Calibri"/>
                <w:szCs w:val="16"/>
              </w:rPr>
            </w:pPr>
            <w:r w:rsidRPr="00BE78CA">
              <w:t>1,359</w:t>
            </w:r>
          </w:p>
        </w:tc>
        <w:tc>
          <w:tcPr>
            <w:tcW w:w="1842" w:type="dxa"/>
            <w:shd w:val="clear" w:color="auto" w:fill="auto"/>
          </w:tcPr>
          <w:p w14:paraId="6D4C82F3" w14:textId="77777777" w:rsidR="00410716" w:rsidRPr="00BE78CA" w:rsidRDefault="00410716" w:rsidP="00C26084">
            <w:pPr>
              <w:pStyle w:val="TableText"/>
              <w:spacing w:before="50" w:after="50"/>
              <w:jc w:val="right"/>
              <w:rPr>
                <w:rFonts w:cs="Calibri"/>
                <w:szCs w:val="16"/>
              </w:rPr>
            </w:pPr>
            <w:r w:rsidRPr="00BE78CA">
              <w:t>701,269</w:t>
            </w:r>
          </w:p>
        </w:tc>
      </w:tr>
      <w:tr w:rsidR="00410716" w:rsidRPr="00BE78CA" w14:paraId="7ADF9B62" w14:textId="77777777" w:rsidTr="005D0C5D">
        <w:tc>
          <w:tcPr>
            <w:tcW w:w="873" w:type="dxa"/>
            <w:shd w:val="clear" w:color="auto" w:fill="auto"/>
          </w:tcPr>
          <w:p w14:paraId="199659FE" w14:textId="77777777" w:rsidR="00410716" w:rsidRPr="00BE78CA" w:rsidRDefault="00410716" w:rsidP="00C26084">
            <w:pPr>
              <w:pStyle w:val="Tableboldblue"/>
              <w:spacing w:before="50" w:after="50"/>
              <w:rPr>
                <w:rFonts w:cs="Calibri"/>
                <w:b w:val="0"/>
                <w:bCs/>
                <w:color w:val="auto"/>
                <w:szCs w:val="16"/>
              </w:rPr>
            </w:pPr>
            <w:r w:rsidRPr="00BE78CA">
              <w:rPr>
                <w:rFonts w:cs="Calibri"/>
                <w:b w:val="0"/>
                <w:bCs/>
                <w:color w:val="auto"/>
                <w:szCs w:val="16"/>
              </w:rPr>
              <w:t>2017</w:t>
            </w:r>
            <w:r w:rsidRPr="00BE78CA">
              <w:rPr>
                <w:rFonts w:cs="Calibri"/>
                <w:b w:val="0"/>
                <w:color w:val="auto"/>
                <w:szCs w:val="16"/>
                <w:vertAlign w:val="superscript"/>
              </w:rPr>
              <w:t xml:space="preserve"> P</w:t>
            </w:r>
          </w:p>
        </w:tc>
        <w:tc>
          <w:tcPr>
            <w:tcW w:w="2503" w:type="dxa"/>
            <w:shd w:val="clear" w:color="auto" w:fill="auto"/>
          </w:tcPr>
          <w:p w14:paraId="38072244" w14:textId="77777777" w:rsidR="00410716" w:rsidRPr="00BE78CA" w:rsidRDefault="00410716" w:rsidP="00C26084">
            <w:pPr>
              <w:pStyle w:val="TableText"/>
              <w:spacing w:before="50" w:after="50"/>
              <w:jc w:val="right"/>
              <w:rPr>
                <w:rFonts w:cs="Calibri"/>
                <w:szCs w:val="16"/>
              </w:rPr>
            </w:pPr>
            <w:r w:rsidRPr="00BE78CA">
              <w:t>8,126</w:t>
            </w:r>
          </w:p>
        </w:tc>
        <w:tc>
          <w:tcPr>
            <w:tcW w:w="1586" w:type="dxa"/>
            <w:shd w:val="clear" w:color="auto" w:fill="auto"/>
          </w:tcPr>
          <w:p w14:paraId="04BA5F00" w14:textId="77777777" w:rsidR="00410716" w:rsidRPr="00BE78CA" w:rsidRDefault="00410716" w:rsidP="00C26084">
            <w:pPr>
              <w:pStyle w:val="TableText"/>
              <w:spacing w:before="50" w:after="50"/>
              <w:jc w:val="right"/>
              <w:rPr>
                <w:rFonts w:cs="Calibri"/>
                <w:szCs w:val="16"/>
              </w:rPr>
            </w:pPr>
            <w:r w:rsidRPr="00BE78CA">
              <w:t>8,354</w:t>
            </w:r>
          </w:p>
        </w:tc>
        <w:tc>
          <w:tcPr>
            <w:tcW w:w="1701" w:type="dxa"/>
            <w:shd w:val="clear" w:color="auto" w:fill="auto"/>
          </w:tcPr>
          <w:p w14:paraId="7CDB43BC" w14:textId="77777777" w:rsidR="00410716" w:rsidRPr="00BE78CA" w:rsidRDefault="00410716" w:rsidP="00C26084">
            <w:pPr>
              <w:pStyle w:val="TableText"/>
              <w:spacing w:before="50" w:after="50"/>
              <w:jc w:val="right"/>
              <w:rPr>
                <w:rFonts w:cs="Calibri"/>
                <w:szCs w:val="16"/>
              </w:rPr>
            </w:pPr>
            <w:r w:rsidRPr="00BE78CA">
              <w:t>655</w:t>
            </w:r>
          </w:p>
        </w:tc>
        <w:tc>
          <w:tcPr>
            <w:tcW w:w="1842" w:type="dxa"/>
            <w:shd w:val="clear" w:color="auto" w:fill="auto"/>
          </w:tcPr>
          <w:p w14:paraId="02C2811B" w14:textId="77777777" w:rsidR="00410716" w:rsidRPr="00BE78CA" w:rsidRDefault="00410716" w:rsidP="00C26084">
            <w:pPr>
              <w:pStyle w:val="TableText"/>
              <w:spacing w:before="50" w:after="50"/>
              <w:jc w:val="right"/>
              <w:rPr>
                <w:rFonts w:cs="Calibri"/>
                <w:szCs w:val="16"/>
              </w:rPr>
            </w:pPr>
            <w:r w:rsidRPr="00BE78CA">
              <w:t>708,741</w:t>
            </w:r>
          </w:p>
        </w:tc>
      </w:tr>
      <w:tr w:rsidR="00410716" w:rsidRPr="00BE78CA" w14:paraId="7068075F" w14:textId="77777777" w:rsidTr="005D0C5D">
        <w:tc>
          <w:tcPr>
            <w:tcW w:w="873" w:type="dxa"/>
            <w:shd w:val="clear" w:color="auto" w:fill="auto"/>
          </w:tcPr>
          <w:p w14:paraId="6F58EFBE" w14:textId="77777777" w:rsidR="00410716" w:rsidRPr="00BE78CA" w:rsidRDefault="00410716" w:rsidP="00C26084">
            <w:pPr>
              <w:pStyle w:val="Tableboldblue"/>
              <w:spacing w:before="50" w:after="50"/>
              <w:rPr>
                <w:rFonts w:cs="Calibri"/>
                <w:b w:val="0"/>
                <w:bCs/>
                <w:color w:val="auto"/>
                <w:szCs w:val="16"/>
              </w:rPr>
            </w:pPr>
            <w:r w:rsidRPr="00BE78CA">
              <w:rPr>
                <w:rFonts w:cs="Calibri"/>
                <w:b w:val="0"/>
                <w:bCs/>
                <w:color w:val="auto"/>
                <w:szCs w:val="16"/>
              </w:rPr>
              <w:t>2018</w:t>
            </w:r>
            <w:r w:rsidRPr="00BE78CA">
              <w:rPr>
                <w:rFonts w:cs="Calibri"/>
                <w:b w:val="0"/>
                <w:bCs/>
                <w:color w:val="auto"/>
                <w:szCs w:val="16"/>
                <w:vertAlign w:val="superscript"/>
              </w:rPr>
              <w:t>P</w:t>
            </w:r>
          </w:p>
        </w:tc>
        <w:tc>
          <w:tcPr>
            <w:tcW w:w="2503" w:type="dxa"/>
            <w:shd w:val="clear" w:color="auto" w:fill="auto"/>
          </w:tcPr>
          <w:p w14:paraId="41F24795" w14:textId="77777777" w:rsidR="00410716" w:rsidRPr="00BE78CA" w:rsidRDefault="00410716" w:rsidP="00C26084">
            <w:pPr>
              <w:pStyle w:val="TableText"/>
              <w:spacing w:before="50" w:after="50"/>
              <w:jc w:val="right"/>
              <w:rPr>
                <w:rFonts w:cs="Calibri"/>
                <w:szCs w:val="16"/>
              </w:rPr>
            </w:pPr>
            <w:r w:rsidRPr="00BE78CA">
              <w:t>8,323</w:t>
            </w:r>
          </w:p>
        </w:tc>
        <w:tc>
          <w:tcPr>
            <w:tcW w:w="1586" w:type="dxa"/>
            <w:shd w:val="clear" w:color="auto" w:fill="auto"/>
          </w:tcPr>
          <w:p w14:paraId="06B0E6D7" w14:textId="77777777" w:rsidR="00410716" w:rsidRPr="00BE78CA" w:rsidRDefault="00410716" w:rsidP="00C26084">
            <w:pPr>
              <w:pStyle w:val="TableText"/>
              <w:spacing w:before="50" w:after="50"/>
              <w:jc w:val="right"/>
              <w:rPr>
                <w:rFonts w:cs="Calibri"/>
                <w:szCs w:val="16"/>
              </w:rPr>
            </w:pPr>
            <w:r w:rsidRPr="00BE78CA">
              <w:t>13,176</w:t>
            </w:r>
          </w:p>
        </w:tc>
        <w:tc>
          <w:tcPr>
            <w:tcW w:w="1701" w:type="dxa"/>
            <w:shd w:val="clear" w:color="auto" w:fill="auto"/>
          </w:tcPr>
          <w:p w14:paraId="4B947310" w14:textId="77777777" w:rsidR="00410716" w:rsidRPr="00BE78CA" w:rsidRDefault="00410716" w:rsidP="00C26084">
            <w:pPr>
              <w:pStyle w:val="TableText"/>
              <w:spacing w:before="50" w:after="50"/>
              <w:jc w:val="right"/>
              <w:rPr>
                <w:rFonts w:cs="Calibri"/>
                <w:szCs w:val="16"/>
              </w:rPr>
            </w:pPr>
            <w:r w:rsidRPr="00BE78CA">
              <w:t>733</w:t>
            </w:r>
          </w:p>
        </w:tc>
        <w:tc>
          <w:tcPr>
            <w:tcW w:w="1842" w:type="dxa"/>
            <w:shd w:val="clear" w:color="auto" w:fill="auto"/>
          </w:tcPr>
          <w:p w14:paraId="190F060E" w14:textId="77777777" w:rsidR="00410716" w:rsidRPr="00BE78CA" w:rsidRDefault="00410716" w:rsidP="00C26084">
            <w:pPr>
              <w:pStyle w:val="TableText"/>
              <w:spacing w:before="50" w:after="50"/>
              <w:jc w:val="right"/>
              <w:rPr>
                <w:rFonts w:cs="Calibri"/>
                <w:szCs w:val="16"/>
              </w:rPr>
            </w:pPr>
            <w:r w:rsidRPr="00BE78CA">
              <w:t>716,331</w:t>
            </w:r>
          </w:p>
        </w:tc>
      </w:tr>
      <w:tr w:rsidR="00410716" w:rsidRPr="00BE78CA" w14:paraId="4BDCB217" w14:textId="77777777" w:rsidTr="005D0C5D">
        <w:tc>
          <w:tcPr>
            <w:tcW w:w="873" w:type="dxa"/>
            <w:shd w:val="clear" w:color="auto" w:fill="auto"/>
          </w:tcPr>
          <w:p w14:paraId="61EFC1DE" w14:textId="77777777" w:rsidR="00410716" w:rsidRPr="00BE78CA" w:rsidRDefault="00410716" w:rsidP="00C26084">
            <w:pPr>
              <w:pStyle w:val="Tableboldblue"/>
              <w:spacing w:before="50" w:after="50"/>
              <w:rPr>
                <w:rFonts w:cs="Calibri"/>
                <w:b w:val="0"/>
                <w:bCs/>
                <w:color w:val="auto"/>
                <w:szCs w:val="16"/>
              </w:rPr>
            </w:pPr>
            <w:r w:rsidRPr="00BE78CA">
              <w:rPr>
                <w:rFonts w:cs="Calibri"/>
                <w:b w:val="0"/>
                <w:bCs/>
                <w:color w:val="auto"/>
                <w:szCs w:val="16"/>
              </w:rPr>
              <w:t>2019</w:t>
            </w:r>
            <w:r w:rsidRPr="00BE78CA">
              <w:rPr>
                <w:rFonts w:cs="Calibri"/>
                <w:b w:val="0"/>
                <w:bCs/>
                <w:color w:val="auto"/>
                <w:szCs w:val="16"/>
                <w:vertAlign w:val="superscript"/>
              </w:rPr>
              <w:t>P</w:t>
            </w:r>
          </w:p>
        </w:tc>
        <w:tc>
          <w:tcPr>
            <w:tcW w:w="2503" w:type="dxa"/>
            <w:shd w:val="clear" w:color="auto" w:fill="auto"/>
          </w:tcPr>
          <w:p w14:paraId="45ED5351" w14:textId="77777777" w:rsidR="00410716" w:rsidRPr="00BE78CA" w:rsidRDefault="00410716" w:rsidP="00C26084">
            <w:pPr>
              <w:pStyle w:val="TableText"/>
              <w:spacing w:before="50" w:after="50"/>
              <w:jc w:val="right"/>
              <w:rPr>
                <w:rFonts w:cs="Calibri"/>
                <w:color w:val="000000"/>
                <w:szCs w:val="16"/>
              </w:rPr>
            </w:pPr>
            <w:r w:rsidRPr="00BE78CA">
              <w:t>24,067</w:t>
            </w:r>
          </w:p>
        </w:tc>
        <w:tc>
          <w:tcPr>
            <w:tcW w:w="1586" w:type="dxa"/>
            <w:shd w:val="clear" w:color="auto" w:fill="auto"/>
          </w:tcPr>
          <w:p w14:paraId="3CA212F5" w14:textId="77777777" w:rsidR="00410716" w:rsidRPr="00BE78CA" w:rsidRDefault="00410716" w:rsidP="00C26084">
            <w:pPr>
              <w:pStyle w:val="TableText"/>
              <w:spacing w:before="50" w:after="50"/>
              <w:jc w:val="right"/>
              <w:rPr>
                <w:rFonts w:cs="Calibri"/>
                <w:color w:val="000000"/>
                <w:szCs w:val="16"/>
              </w:rPr>
            </w:pPr>
            <w:r w:rsidRPr="00BE78CA">
              <w:t>18,113</w:t>
            </w:r>
          </w:p>
        </w:tc>
        <w:tc>
          <w:tcPr>
            <w:tcW w:w="1701" w:type="dxa"/>
            <w:shd w:val="clear" w:color="auto" w:fill="auto"/>
          </w:tcPr>
          <w:p w14:paraId="30BE1440" w14:textId="77777777" w:rsidR="00410716" w:rsidRPr="00BE78CA" w:rsidRDefault="00410716" w:rsidP="00C26084">
            <w:pPr>
              <w:pStyle w:val="TableText"/>
              <w:spacing w:before="50" w:after="50"/>
              <w:jc w:val="right"/>
              <w:rPr>
                <w:rFonts w:cs="Calibri"/>
                <w:color w:val="000000"/>
                <w:szCs w:val="16"/>
              </w:rPr>
            </w:pPr>
            <w:r w:rsidRPr="00BE78CA">
              <w:t>944</w:t>
            </w:r>
          </w:p>
        </w:tc>
        <w:tc>
          <w:tcPr>
            <w:tcW w:w="1842" w:type="dxa"/>
            <w:shd w:val="clear" w:color="auto" w:fill="auto"/>
          </w:tcPr>
          <w:p w14:paraId="071BAD86" w14:textId="77777777" w:rsidR="00410716" w:rsidRPr="00BE78CA" w:rsidRDefault="00410716" w:rsidP="00C26084">
            <w:pPr>
              <w:pStyle w:val="TableText"/>
              <w:spacing w:before="50" w:after="50"/>
              <w:jc w:val="right"/>
              <w:rPr>
                <w:rFonts w:cs="Calibri"/>
                <w:color w:val="000000"/>
                <w:szCs w:val="16"/>
              </w:rPr>
            </w:pPr>
            <w:r w:rsidRPr="00BE78CA">
              <w:t>739,454</w:t>
            </w:r>
          </w:p>
        </w:tc>
      </w:tr>
      <w:tr w:rsidR="00410716" w:rsidRPr="00BE78CA" w14:paraId="1CB53844" w14:textId="77777777" w:rsidTr="005D0C5D">
        <w:tc>
          <w:tcPr>
            <w:tcW w:w="873" w:type="dxa"/>
            <w:shd w:val="clear" w:color="auto" w:fill="auto"/>
          </w:tcPr>
          <w:p w14:paraId="6CA8EFF9" w14:textId="77777777" w:rsidR="00410716" w:rsidRPr="00BE78CA" w:rsidRDefault="00410716" w:rsidP="00C26084">
            <w:pPr>
              <w:pStyle w:val="Tableboldblue"/>
              <w:spacing w:before="50" w:after="50"/>
              <w:rPr>
                <w:rFonts w:cs="Calibri"/>
                <w:bCs/>
                <w:szCs w:val="16"/>
              </w:rPr>
            </w:pPr>
            <w:r w:rsidRPr="00BE78CA">
              <w:rPr>
                <w:rFonts w:cs="Calibri"/>
                <w:bCs/>
                <w:szCs w:val="16"/>
              </w:rPr>
              <w:t>Total</w:t>
            </w:r>
          </w:p>
        </w:tc>
        <w:tc>
          <w:tcPr>
            <w:tcW w:w="2503" w:type="dxa"/>
            <w:shd w:val="clear" w:color="auto" w:fill="auto"/>
          </w:tcPr>
          <w:p w14:paraId="280B1892" w14:textId="77777777" w:rsidR="00410716" w:rsidRPr="00BE78CA" w:rsidRDefault="00410716" w:rsidP="00C26084">
            <w:pPr>
              <w:pStyle w:val="Tableboldblue"/>
              <w:spacing w:before="50" w:after="50"/>
              <w:jc w:val="right"/>
            </w:pPr>
            <w:r w:rsidRPr="00BE78CA">
              <w:t>769,702</w:t>
            </w:r>
          </w:p>
        </w:tc>
        <w:tc>
          <w:tcPr>
            <w:tcW w:w="1586" w:type="dxa"/>
            <w:shd w:val="clear" w:color="auto" w:fill="auto"/>
          </w:tcPr>
          <w:p w14:paraId="4CBA6F48" w14:textId="77777777" w:rsidR="00410716" w:rsidRPr="00BE78CA" w:rsidRDefault="00410716" w:rsidP="00C26084">
            <w:pPr>
              <w:pStyle w:val="Tableboldblue"/>
              <w:spacing w:before="50" w:after="50"/>
              <w:jc w:val="right"/>
            </w:pPr>
            <w:r w:rsidRPr="00BE78CA">
              <w:t>67,359</w:t>
            </w:r>
          </w:p>
        </w:tc>
        <w:tc>
          <w:tcPr>
            <w:tcW w:w="1701" w:type="dxa"/>
            <w:shd w:val="clear" w:color="auto" w:fill="auto"/>
          </w:tcPr>
          <w:p w14:paraId="274BF99F" w14:textId="77777777" w:rsidR="00410716" w:rsidRPr="00BE78CA" w:rsidRDefault="00410716" w:rsidP="00C26084">
            <w:pPr>
              <w:pStyle w:val="Tableboldblue"/>
              <w:spacing w:before="50" w:after="50"/>
              <w:jc w:val="right"/>
            </w:pPr>
            <w:r w:rsidRPr="00BE78CA">
              <w:t>30,248</w:t>
            </w:r>
          </w:p>
        </w:tc>
        <w:tc>
          <w:tcPr>
            <w:tcW w:w="1842" w:type="dxa"/>
            <w:shd w:val="clear" w:color="auto" w:fill="auto"/>
          </w:tcPr>
          <w:p w14:paraId="28B401C9" w14:textId="77777777" w:rsidR="00410716" w:rsidRPr="00BE78CA" w:rsidRDefault="00410716" w:rsidP="00C26084">
            <w:pPr>
              <w:pStyle w:val="Tableboldblue"/>
              <w:spacing w:before="50" w:after="50"/>
              <w:jc w:val="right"/>
            </w:pPr>
            <w:r w:rsidRPr="00BE78CA">
              <w:t>739,454</w:t>
            </w:r>
          </w:p>
        </w:tc>
      </w:tr>
    </w:tbl>
    <w:p w14:paraId="6F3C3DAD" w14:textId="77777777" w:rsidR="00410716" w:rsidRPr="00BE78CA" w:rsidRDefault="00410716" w:rsidP="00410716">
      <w:pPr>
        <w:pStyle w:val="Noteundertable"/>
      </w:pPr>
      <w:r w:rsidRPr="00BE78CA">
        <w:rPr>
          <w:b/>
        </w:rPr>
        <w:t>Note</w:t>
      </w:r>
      <w:r w:rsidRPr="00BE78CA">
        <w:t xml:space="preserve">: </w:t>
      </w:r>
      <w:r w:rsidRPr="00BE78CA">
        <w:tab/>
        <w:t>P = provisional figure;</w:t>
      </w:r>
      <w:r w:rsidRPr="00BE78CA" w:rsidDel="0054499F">
        <w:t xml:space="preserve"> </w:t>
      </w:r>
      <w:r w:rsidRPr="00BE78CA">
        <w:rPr>
          <w:vertAlign w:val="superscript"/>
        </w:rPr>
        <w:t>+</w:t>
      </w:r>
      <w:r w:rsidRPr="00BE78CA">
        <w:t xml:space="preserve"> = gross area. Columns may not total due to rounding. Afforestation differs from that in chapter 6 due to carbon equivalent forests being reported separately.</w:t>
      </w:r>
    </w:p>
    <w:p w14:paraId="7516FFCB" w14:textId="77777777" w:rsidR="00410716" w:rsidRPr="00BE78CA" w:rsidRDefault="00410716" w:rsidP="00410716">
      <w:pPr>
        <w:pStyle w:val="BodyText"/>
        <w:rPr>
          <w:spacing w:val="-2"/>
        </w:rPr>
      </w:pPr>
      <w:r w:rsidRPr="00BE78CA">
        <w:rPr>
          <w:spacing w:val="-2"/>
        </w:rPr>
        <w:t xml:space="preserve">Table 11.3.2 provides synthesised information on the correspondence between forest land categories (i.e., the area of planted forest versus natural forest as presented in common reporting format (CRF) table 4.A) and the area of </w:t>
      </w:r>
      <w:r w:rsidRPr="00BE78CA">
        <w:rPr>
          <w:i/>
          <w:spacing w:val="-2"/>
        </w:rPr>
        <w:t>Afforestation and reforestation</w:t>
      </w:r>
      <w:r w:rsidRPr="00BE78CA">
        <w:rPr>
          <w:spacing w:val="-2"/>
        </w:rPr>
        <w:t xml:space="preserve"> reported in CRF table 4(KP-1)A.1. Furthermore, table 11.3.3 details why the area reported under </w:t>
      </w:r>
      <w:r w:rsidRPr="00BE78CA">
        <w:rPr>
          <w:i/>
          <w:spacing w:val="-2"/>
        </w:rPr>
        <w:t>Forest managem</w:t>
      </w:r>
      <w:r w:rsidRPr="00BE78CA">
        <w:rPr>
          <w:i/>
          <w:iCs/>
          <w:spacing w:val="-2"/>
        </w:rPr>
        <w:t>ent</w:t>
      </w:r>
      <w:r w:rsidRPr="00BE78CA">
        <w:rPr>
          <w:spacing w:val="-2"/>
        </w:rPr>
        <w:t xml:space="preserve"> does not reconcile with the area reported for </w:t>
      </w:r>
      <w:r w:rsidRPr="00BE78CA">
        <w:rPr>
          <w:i/>
          <w:spacing w:val="-2"/>
        </w:rPr>
        <w:t>Forest land remaining</w:t>
      </w:r>
      <w:r w:rsidRPr="00BE78CA">
        <w:rPr>
          <w:spacing w:val="-2"/>
        </w:rPr>
        <w:t xml:space="preserve"> </w:t>
      </w:r>
      <w:r w:rsidRPr="00BE78CA">
        <w:rPr>
          <w:i/>
          <w:spacing w:val="-2"/>
        </w:rPr>
        <w:t>forest land</w:t>
      </w:r>
      <w:r w:rsidRPr="00BE78CA">
        <w:rPr>
          <w:spacing w:val="-2"/>
        </w:rPr>
        <w:t xml:space="preserve"> under the convention, due to forests reported under land in transition and carbon equivalent forests (CEFs). These tables have been added to address expert review team recommendations KL.5 and KL.8 (FCCC/ARR/2017/NZL, UNFCCC, 2018).</w:t>
      </w:r>
    </w:p>
    <w:p w14:paraId="0E6008F5" w14:textId="77777777" w:rsidR="00410716" w:rsidRPr="00BE78CA" w:rsidRDefault="00410716" w:rsidP="00410716">
      <w:pPr>
        <w:pStyle w:val="Table"/>
      </w:pPr>
      <w:bookmarkStart w:id="3460" w:name="_Toc5269629"/>
      <w:bookmarkStart w:id="3461" w:name="_Toc36224711"/>
      <w:bookmarkStart w:id="3462" w:name="_Toc64987046"/>
      <w:bookmarkStart w:id="3463" w:name="_Toc68786596"/>
      <w:r w:rsidRPr="00BE78CA">
        <w:lastRenderedPageBreak/>
        <w:t>Table 11.3.2</w:t>
      </w:r>
      <w:r w:rsidRPr="00BE78CA">
        <w:tab/>
        <w:t>New Zealand’s estimated annual area under Afforestation and reforestation</w:t>
      </w:r>
      <w:r w:rsidRPr="00BE78CA">
        <w:rPr>
          <w:vertAlign w:val="subscript"/>
        </w:rPr>
        <w:t xml:space="preserve"> </w:t>
      </w:r>
      <w:r w:rsidRPr="00BE78CA">
        <w:t>from 2013 to 2019</w:t>
      </w:r>
      <w:bookmarkEnd w:id="3460"/>
      <w:bookmarkEnd w:id="3461"/>
      <w:bookmarkEnd w:id="3462"/>
      <w:bookmarkEnd w:id="3463"/>
    </w:p>
    <w:tbl>
      <w:tblPr>
        <w:tblW w:w="8505" w:type="dxa"/>
        <w:tblBorders>
          <w:top w:val="single" w:sz="4" w:space="0" w:color="365F91"/>
          <w:bottom w:val="single" w:sz="4" w:space="0" w:color="365F91"/>
          <w:insideH w:val="single" w:sz="4" w:space="0" w:color="365F91"/>
          <w:insideV w:val="single" w:sz="4" w:space="0" w:color="365F91"/>
        </w:tblBorders>
        <w:tblLook w:val="04A0" w:firstRow="1" w:lastRow="0" w:firstColumn="1" w:lastColumn="0" w:noHBand="0" w:noVBand="1"/>
      </w:tblPr>
      <w:tblGrid>
        <w:gridCol w:w="1254"/>
        <w:gridCol w:w="2113"/>
        <w:gridCol w:w="2112"/>
        <w:gridCol w:w="3026"/>
      </w:tblGrid>
      <w:tr w:rsidR="00410716" w:rsidRPr="00BE78CA" w14:paraId="7A987948" w14:textId="77777777" w:rsidTr="00F47CED">
        <w:tc>
          <w:tcPr>
            <w:tcW w:w="8562" w:type="dxa"/>
            <w:gridSpan w:val="4"/>
            <w:shd w:val="clear" w:color="000000" w:fill="365F91"/>
            <w:vAlign w:val="bottom"/>
            <w:hideMark/>
          </w:tcPr>
          <w:p w14:paraId="15445C60" w14:textId="77777777" w:rsidR="00410716" w:rsidRPr="00BE78CA" w:rsidRDefault="00410716" w:rsidP="00C26084">
            <w:pPr>
              <w:pStyle w:val="TableTextBold"/>
              <w:spacing w:after="0"/>
              <w:jc w:val="center"/>
              <w:rPr>
                <w:noProof w:val="0"/>
                <w:color w:val="FFFFFF"/>
              </w:rPr>
            </w:pPr>
            <w:r w:rsidRPr="00BE78CA">
              <w:rPr>
                <w:noProof w:val="0"/>
                <w:color w:val="FFFFFF"/>
              </w:rPr>
              <w:t>Cumulative area of Afforestation and reforestation of different forest types (hectares)</w:t>
            </w:r>
          </w:p>
        </w:tc>
      </w:tr>
      <w:tr w:rsidR="00410716" w:rsidRPr="00BE78CA" w14:paraId="1A696AED" w14:textId="77777777" w:rsidTr="00F47CED">
        <w:tc>
          <w:tcPr>
            <w:tcW w:w="1261" w:type="dxa"/>
            <w:shd w:val="clear" w:color="000000" w:fill="365F91"/>
            <w:hideMark/>
          </w:tcPr>
          <w:p w14:paraId="4671B804" w14:textId="77777777" w:rsidR="00410716" w:rsidRPr="00BE78CA" w:rsidRDefault="00410716" w:rsidP="00C26084">
            <w:pPr>
              <w:pStyle w:val="TableTextBold"/>
              <w:keepNext/>
              <w:spacing w:before="50" w:after="50"/>
              <w:rPr>
                <w:noProof w:val="0"/>
                <w:color w:val="FFFFFF"/>
              </w:rPr>
            </w:pPr>
            <w:r w:rsidRPr="00BE78CA">
              <w:rPr>
                <w:noProof w:val="0"/>
                <w:color w:val="FFFFFF"/>
              </w:rPr>
              <w:t>Year</w:t>
            </w:r>
          </w:p>
        </w:tc>
        <w:tc>
          <w:tcPr>
            <w:tcW w:w="2127" w:type="dxa"/>
            <w:shd w:val="clear" w:color="000000" w:fill="365F91"/>
            <w:hideMark/>
          </w:tcPr>
          <w:p w14:paraId="13AD4AD8" w14:textId="77777777" w:rsidR="00410716" w:rsidRPr="00BE78CA" w:rsidRDefault="00410716" w:rsidP="00C26084">
            <w:pPr>
              <w:pStyle w:val="TableTextBold"/>
              <w:keepNext/>
              <w:spacing w:before="50" w:after="50"/>
              <w:jc w:val="center"/>
              <w:rPr>
                <w:noProof w:val="0"/>
                <w:color w:val="FFFFFF"/>
              </w:rPr>
            </w:pPr>
            <w:r w:rsidRPr="00BE78CA">
              <w:rPr>
                <w:noProof w:val="0"/>
                <w:color w:val="FFFFFF"/>
              </w:rPr>
              <w:t>Planted forest</w:t>
            </w:r>
          </w:p>
        </w:tc>
        <w:tc>
          <w:tcPr>
            <w:tcW w:w="2127" w:type="dxa"/>
            <w:shd w:val="clear" w:color="000000" w:fill="365F91"/>
            <w:hideMark/>
          </w:tcPr>
          <w:p w14:paraId="7A1D0EB1" w14:textId="77777777" w:rsidR="00410716" w:rsidRPr="00BE78CA" w:rsidRDefault="00410716" w:rsidP="00C26084">
            <w:pPr>
              <w:pStyle w:val="TableTextBold"/>
              <w:keepNext/>
              <w:spacing w:before="50" w:after="50"/>
              <w:jc w:val="center"/>
              <w:rPr>
                <w:noProof w:val="0"/>
                <w:color w:val="FFFFFF"/>
              </w:rPr>
            </w:pPr>
            <w:r w:rsidRPr="00BE78CA">
              <w:rPr>
                <w:noProof w:val="0"/>
                <w:color w:val="FFFFFF"/>
              </w:rPr>
              <w:t>Natural forest</w:t>
            </w:r>
          </w:p>
        </w:tc>
        <w:tc>
          <w:tcPr>
            <w:tcW w:w="3047" w:type="dxa"/>
            <w:shd w:val="clear" w:color="000000" w:fill="365F91"/>
            <w:hideMark/>
          </w:tcPr>
          <w:p w14:paraId="47C98E6B" w14:textId="77777777" w:rsidR="00410716" w:rsidRPr="00BE78CA" w:rsidRDefault="00410716" w:rsidP="00C26084">
            <w:pPr>
              <w:pStyle w:val="TableTextBold"/>
              <w:keepNext/>
              <w:spacing w:before="50" w:after="50"/>
              <w:jc w:val="center"/>
              <w:rPr>
                <w:noProof w:val="0"/>
                <w:color w:val="FFFFFF"/>
              </w:rPr>
            </w:pPr>
            <w:r w:rsidRPr="00BE78CA">
              <w:rPr>
                <w:noProof w:val="0"/>
                <w:color w:val="FFFFFF"/>
              </w:rPr>
              <w:t>Net cumulative area</w:t>
            </w:r>
          </w:p>
        </w:tc>
      </w:tr>
      <w:tr w:rsidR="00410716" w:rsidRPr="00BE78CA" w14:paraId="7DDA46B5" w14:textId="77777777" w:rsidTr="00F47CED">
        <w:tc>
          <w:tcPr>
            <w:tcW w:w="1261" w:type="dxa"/>
            <w:shd w:val="clear" w:color="auto" w:fill="auto"/>
            <w:vAlign w:val="center"/>
            <w:hideMark/>
          </w:tcPr>
          <w:p w14:paraId="5937C795" w14:textId="77777777" w:rsidR="00410716" w:rsidRPr="00BE78CA" w:rsidRDefault="00410716" w:rsidP="00C26084">
            <w:pPr>
              <w:pStyle w:val="TableText"/>
              <w:spacing w:before="50" w:after="50"/>
            </w:pPr>
            <w:r w:rsidRPr="00BE78CA">
              <w:rPr>
                <w:rFonts w:cs="Arial"/>
                <w:szCs w:val="16"/>
              </w:rPr>
              <w:t>2013</w:t>
            </w:r>
          </w:p>
        </w:tc>
        <w:tc>
          <w:tcPr>
            <w:tcW w:w="2127" w:type="dxa"/>
            <w:shd w:val="clear" w:color="auto" w:fill="auto"/>
            <w:hideMark/>
          </w:tcPr>
          <w:p w14:paraId="4BF095E4" w14:textId="77777777" w:rsidR="00410716" w:rsidRPr="00BE78CA" w:rsidRDefault="00410716" w:rsidP="00C26084">
            <w:pPr>
              <w:pStyle w:val="TableText"/>
              <w:spacing w:before="50" w:after="50"/>
              <w:jc w:val="center"/>
            </w:pPr>
            <w:r w:rsidRPr="00BE78CA">
              <w:t>616,590</w:t>
            </w:r>
          </w:p>
        </w:tc>
        <w:tc>
          <w:tcPr>
            <w:tcW w:w="2127" w:type="dxa"/>
            <w:shd w:val="clear" w:color="auto" w:fill="auto"/>
            <w:hideMark/>
          </w:tcPr>
          <w:p w14:paraId="67B321D8" w14:textId="77777777" w:rsidR="00410716" w:rsidRPr="00BE78CA" w:rsidRDefault="00410716" w:rsidP="00C26084">
            <w:pPr>
              <w:pStyle w:val="TableText"/>
              <w:spacing w:before="50" w:after="50"/>
              <w:jc w:val="center"/>
            </w:pPr>
            <w:r w:rsidRPr="00BE78CA">
              <w:t>71,735</w:t>
            </w:r>
          </w:p>
        </w:tc>
        <w:tc>
          <w:tcPr>
            <w:tcW w:w="3047" w:type="dxa"/>
            <w:shd w:val="clear" w:color="auto" w:fill="auto"/>
            <w:hideMark/>
          </w:tcPr>
          <w:p w14:paraId="5E264963" w14:textId="77777777" w:rsidR="00410716" w:rsidRPr="00BE78CA" w:rsidRDefault="00410716" w:rsidP="00C26084">
            <w:pPr>
              <w:pStyle w:val="Tableboldblue"/>
              <w:spacing w:before="50" w:after="50"/>
              <w:ind w:right="284"/>
              <w:jc w:val="center"/>
            </w:pPr>
            <w:r w:rsidRPr="00BE78CA">
              <w:t>688,325</w:t>
            </w:r>
          </w:p>
        </w:tc>
      </w:tr>
      <w:tr w:rsidR="00410716" w:rsidRPr="00BE78CA" w14:paraId="6BEEE68E" w14:textId="77777777" w:rsidTr="00F47CED">
        <w:tc>
          <w:tcPr>
            <w:tcW w:w="1261" w:type="dxa"/>
            <w:shd w:val="clear" w:color="auto" w:fill="auto"/>
            <w:vAlign w:val="center"/>
            <w:hideMark/>
          </w:tcPr>
          <w:p w14:paraId="39D79599" w14:textId="77777777" w:rsidR="00410716" w:rsidRPr="00BE78CA" w:rsidRDefault="00410716" w:rsidP="00C26084">
            <w:pPr>
              <w:pStyle w:val="TableText"/>
              <w:spacing w:before="50" w:after="50"/>
            </w:pPr>
            <w:r w:rsidRPr="00BE78CA">
              <w:rPr>
                <w:rFonts w:cs="Arial"/>
                <w:szCs w:val="16"/>
              </w:rPr>
              <w:t>2014</w:t>
            </w:r>
          </w:p>
        </w:tc>
        <w:tc>
          <w:tcPr>
            <w:tcW w:w="2127" w:type="dxa"/>
            <w:shd w:val="clear" w:color="auto" w:fill="auto"/>
            <w:hideMark/>
          </w:tcPr>
          <w:p w14:paraId="1E92F490" w14:textId="77777777" w:rsidR="00410716" w:rsidRPr="00BE78CA" w:rsidRDefault="00410716" w:rsidP="00C26084">
            <w:pPr>
              <w:pStyle w:val="TableText"/>
              <w:spacing w:before="50" w:after="50"/>
              <w:jc w:val="center"/>
            </w:pPr>
            <w:r w:rsidRPr="00BE78CA">
              <w:t>618,862</w:t>
            </w:r>
          </w:p>
        </w:tc>
        <w:tc>
          <w:tcPr>
            <w:tcW w:w="2127" w:type="dxa"/>
            <w:shd w:val="clear" w:color="auto" w:fill="auto"/>
            <w:hideMark/>
          </w:tcPr>
          <w:p w14:paraId="06BCF3F6" w14:textId="77777777" w:rsidR="00410716" w:rsidRPr="00BE78CA" w:rsidRDefault="00410716" w:rsidP="00C26084">
            <w:pPr>
              <w:pStyle w:val="TableText"/>
              <w:spacing w:before="50" w:after="50"/>
              <w:jc w:val="center"/>
            </w:pPr>
            <w:r w:rsidRPr="00BE78CA">
              <w:t>73,742</w:t>
            </w:r>
          </w:p>
        </w:tc>
        <w:tc>
          <w:tcPr>
            <w:tcW w:w="3047" w:type="dxa"/>
            <w:shd w:val="clear" w:color="auto" w:fill="auto"/>
            <w:hideMark/>
          </w:tcPr>
          <w:p w14:paraId="19E7C7F6" w14:textId="77777777" w:rsidR="00410716" w:rsidRPr="00BE78CA" w:rsidRDefault="00410716" w:rsidP="00C26084">
            <w:pPr>
              <w:pStyle w:val="Tableboldblue"/>
              <w:spacing w:before="50" w:after="50"/>
              <w:ind w:right="284"/>
              <w:jc w:val="center"/>
            </w:pPr>
            <w:r w:rsidRPr="00BE78CA">
              <w:t>692,604</w:t>
            </w:r>
          </w:p>
        </w:tc>
      </w:tr>
      <w:tr w:rsidR="00410716" w:rsidRPr="00BE78CA" w14:paraId="6C2BCBCB" w14:textId="77777777" w:rsidTr="00F47CED">
        <w:tc>
          <w:tcPr>
            <w:tcW w:w="1261" w:type="dxa"/>
            <w:shd w:val="clear" w:color="auto" w:fill="auto"/>
            <w:vAlign w:val="center"/>
            <w:hideMark/>
          </w:tcPr>
          <w:p w14:paraId="470FCCA6" w14:textId="77777777" w:rsidR="00410716" w:rsidRPr="00BE78CA" w:rsidRDefault="00410716" w:rsidP="00C26084">
            <w:pPr>
              <w:pStyle w:val="TableText"/>
              <w:spacing w:before="50" w:after="50"/>
            </w:pPr>
            <w:r w:rsidRPr="00BE78CA">
              <w:rPr>
                <w:rFonts w:cs="Arial"/>
                <w:szCs w:val="16"/>
              </w:rPr>
              <w:t>2015</w:t>
            </w:r>
          </w:p>
        </w:tc>
        <w:tc>
          <w:tcPr>
            <w:tcW w:w="2127" w:type="dxa"/>
            <w:shd w:val="clear" w:color="auto" w:fill="auto"/>
            <w:hideMark/>
          </w:tcPr>
          <w:p w14:paraId="442AC7E8" w14:textId="77777777" w:rsidR="00410716" w:rsidRPr="00BE78CA" w:rsidRDefault="00410716" w:rsidP="00C26084">
            <w:pPr>
              <w:pStyle w:val="TableText"/>
              <w:spacing w:before="50" w:after="50"/>
              <w:jc w:val="center"/>
            </w:pPr>
            <w:r w:rsidRPr="00BE78CA">
              <w:t>621,035</w:t>
            </w:r>
          </w:p>
        </w:tc>
        <w:tc>
          <w:tcPr>
            <w:tcW w:w="2127" w:type="dxa"/>
            <w:shd w:val="clear" w:color="auto" w:fill="auto"/>
            <w:hideMark/>
          </w:tcPr>
          <w:p w14:paraId="3843F3B0" w14:textId="77777777" w:rsidR="00410716" w:rsidRPr="00BE78CA" w:rsidRDefault="00410716" w:rsidP="00C26084">
            <w:pPr>
              <w:pStyle w:val="TableText"/>
              <w:spacing w:before="50" w:after="50"/>
              <w:jc w:val="center"/>
            </w:pPr>
            <w:r w:rsidRPr="00BE78CA">
              <w:t>75,809</w:t>
            </w:r>
          </w:p>
        </w:tc>
        <w:tc>
          <w:tcPr>
            <w:tcW w:w="3047" w:type="dxa"/>
            <w:shd w:val="clear" w:color="auto" w:fill="auto"/>
            <w:hideMark/>
          </w:tcPr>
          <w:p w14:paraId="21E869B3" w14:textId="77777777" w:rsidR="00410716" w:rsidRPr="00BE78CA" w:rsidRDefault="00410716" w:rsidP="00C26084">
            <w:pPr>
              <w:pStyle w:val="Tableboldblue"/>
              <w:spacing w:before="50" w:after="50"/>
              <w:ind w:right="284"/>
              <w:jc w:val="center"/>
            </w:pPr>
            <w:r w:rsidRPr="00BE78CA">
              <w:t>696,844</w:t>
            </w:r>
          </w:p>
        </w:tc>
      </w:tr>
      <w:tr w:rsidR="00410716" w:rsidRPr="00BE78CA" w14:paraId="4DE16C4F" w14:textId="77777777" w:rsidTr="00F47CED">
        <w:tc>
          <w:tcPr>
            <w:tcW w:w="1261" w:type="dxa"/>
            <w:shd w:val="clear" w:color="auto" w:fill="auto"/>
            <w:vAlign w:val="center"/>
            <w:hideMark/>
          </w:tcPr>
          <w:p w14:paraId="67362DCB" w14:textId="77777777" w:rsidR="00410716" w:rsidRPr="00BE78CA" w:rsidRDefault="00410716" w:rsidP="00C26084">
            <w:pPr>
              <w:pStyle w:val="TableText"/>
              <w:spacing w:before="50" w:after="50"/>
            </w:pPr>
            <w:r w:rsidRPr="00BE78CA">
              <w:rPr>
                <w:rFonts w:cs="Arial"/>
                <w:szCs w:val="16"/>
              </w:rPr>
              <w:t>2016</w:t>
            </w:r>
          </w:p>
        </w:tc>
        <w:tc>
          <w:tcPr>
            <w:tcW w:w="2127" w:type="dxa"/>
            <w:shd w:val="clear" w:color="auto" w:fill="auto"/>
            <w:hideMark/>
          </w:tcPr>
          <w:p w14:paraId="2487B91D" w14:textId="77777777" w:rsidR="00410716" w:rsidRPr="00BE78CA" w:rsidRDefault="00410716" w:rsidP="00C26084">
            <w:pPr>
              <w:pStyle w:val="TableText"/>
              <w:spacing w:before="50" w:after="50"/>
              <w:jc w:val="center"/>
            </w:pPr>
            <w:r w:rsidRPr="00BE78CA">
              <w:t>623,365</w:t>
            </w:r>
          </w:p>
        </w:tc>
        <w:tc>
          <w:tcPr>
            <w:tcW w:w="2127" w:type="dxa"/>
            <w:shd w:val="clear" w:color="auto" w:fill="auto"/>
            <w:hideMark/>
          </w:tcPr>
          <w:p w14:paraId="05D54463" w14:textId="77777777" w:rsidR="00410716" w:rsidRPr="00BE78CA" w:rsidRDefault="00410716" w:rsidP="00C26084">
            <w:pPr>
              <w:pStyle w:val="TableText"/>
              <w:spacing w:before="50" w:after="50"/>
              <w:jc w:val="center"/>
            </w:pPr>
            <w:r w:rsidRPr="00BE78CA">
              <w:t>77,904</w:t>
            </w:r>
          </w:p>
        </w:tc>
        <w:tc>
          <w:tcPr>
            <w:tcW w:w="3047" w:type="dxa"/>
            <w:shd w:val="clear" w:color="auto" w:fill="auto"/>
            <w:hideMark/>
          </w:tcPr>
          <w:p w14:paraId="61AD3BF1" w14:textId="77777777" w:rsidR="00410716" w:rsidRPr="00BE78CA" w:rsidRDefault="00410716" w:rsidP="00C26084">
            <w:pPr>
              <w:pStyle w:val="Tableboldblue"/>
              <w:spacing w:before="50" w:after="50"/>
              <w:ind w:right="284"/>
              <w:jc w:val="center"/>
            </w:pPr>
            <w:r w:rsidRPr="00BE78CA">
              <w:t>701,269</w:t>
            </w:r>
          </w:p>
        </w:tc>
      </w:tr>
      <w:tr w:rsidR="00410716" w:rsidRPr="00BE78CA" w14:paraId="51BFD531" w14:textId="77777777" w:rsidTr="00F47CED">
        <w:tc>
          <w:tcPr>
            <w:tcW w:w="1261" w:type="dxa"/>
            <w:shd w:val="clear" w:color="auto" w:fill="auto"/>
            <w:vAlign w:val="center"/>
            <w:hideMark/>
          </w:tcPr>
          <w:p w14:paraId="5C04F1C8" w14:textId="77777777" w:rsidR="00410716" w:rsidRPr="00BE78CA" w:rsidRDefault="00410716" w:rsidP="00C26084">
            <w:pPr>
              <w:pStyle w:val="TableText"/>
              <w:spacing w:before="50" w:after="50"/>
            </w:pPr>
            <w:r w:rsidRPr="00BE78CA">
              <w:rPr>
                <w:rFonts w:cs="Arial"/>
                <w:szCs w:val="16"/>
              </w:rPr>
              <w:t>2017</w:t>
            </w:r>
          </w:p>
        </w:tc>
        <w:tc>
          <w:tcPr>
            <w:tcW w:w="2127" w:type="dxa"/>
            <w:shd w:val="clear" w:color="auto" w:fill="auto"/>
            <w:hideMark/>
          </w:tcPr>
          <w:p w14:paraId="44BC72C0" w14:textId="77777777" w:rsidR="00410716" w:rsidRPr="00BE78CA" w:rsidRDefault="00410716" w:rsidP="00C26084">
            <w:pPr>
              <w:pStyle w:val="TableText"/>
              <w:spacing w:before="50" w:after="50"/>
              <w:jc w:val="center"/>
            </w:pPr>
            <w:r w:rsidRPr="00BE78CA">
              <w:t>627,571</w:t>
            </w:r>
          </w:p>
        </w:tc>
        <w:tc>
          <w:tcPr>
            <w:tcW w:w="2127" w:type="dxa"/>
            <w:shd w:val="clear" w:color="auto" w:fill="auto"/>
            <w:hideMark/>
          </w:tcPr>
          <w:p w14:paraId="0C8B1B93" w14:textId="77777777" w:rsidR="00410716" w:rsidRPr="00BE78CA" w:rsidRDefault="00410716" w:rsidP="00C26084">
            <w:pPr>
              <w:pStyle w:val="TableText"/>
              <w:spacing w:before="50" w:after="50"/>
              <w:jc w:val="center"/>
            </w:pPr>
            <w:r w:rsidRPr="00BE78CA">
              <w:t>81,169</w:t>
            </w:r>
          </w:p>
        </w:tc>
        <w:tc>
          <w:tcPr>
            <w:tcW w:w="3047" w:type="dxa"/>
            <w:shd w:val="clear" w:color="auto" w:fill="auto"/>
            <w:hideMark/>
          </w:tcPr>
          <w:p w14:paraId="4FAD987D" w14:textId="77777777" w:rsidR="00410716" w:rsidRPr="00BE78CA" w:rsidRDefault="00410716" w:rsidP="00C26084">
            <w:pPr>
              <w:pStyle w:val="Tableboldblue"/>
              <w:spacing w:before="50" w:after="50"/>
              <w:ind w:right="284"/>
              <w:jc w:val="center"/>
            </w:pPr>
            <w:r w:rsidRPr="00BE78CA">
              <w:t>708,741</w:t>
            </w:r>
          </w:p>
        </w:tc>
      </w:tr>
      <w:tr w:rsidR="00410716" w:rsidRPr="00BE78CA" w14:paraId="227FAD57" w14:textId="77777777" w:rsidTr="00F47CED">
        <w:tc>
          <w:tcPr>
            <w:tcW w:w="1261" w:type="dxa"/>
            <w:shd w:val="clear" w:color="auto" w:fill="auto"/>
            <w:vAlign w:val="center"/>
          </w:tcPr>
          <w:p w14:paraId="47629437" w14:textId="77777777" w:rsidR="00410716" w:rsidRPr="00BE78CA" w:rsidRDefault="00410716" w:rsidP="00C26084">
            <w:pPr>
              <w:pStyle w:val="TableText"/>
              <w:spacing w:before="50" w:after="50"/>
            </w:pPr>
            <w:r w:rsidRPr="00BE78CA">
              <w:rPr>
                <w:rFonts w:cs="Arial"/>
                <w:szCs w:val="16"/>
              </w:rPr>
              <w:t>2018</w:t>
            </w:r>
          </w:p>
        </w:tc>
        <w:tc>
          <w:tcPr>
            <w:tcW w:w="2127" w:type="dxa"/>
            <w:shd w:val="clear" w:color="auto" w:fill="auto"/>
          </w:tcPr>
          <w:p w14:paraId="2BDCCC89" w14:textId="77777777" w:rsidR="00410716" w:rsidRPr="00BE78CA" w:rsidRDefault="00410716" w:rsidP="00C26084">
            <w:pPr>
              <w:pStyle w:val="TableText"/>
              <w:spacing w:before="50" w:after="50"/>
              <w:jc w:val="center"/>
            </w:pPr>
            <w:r w:rsidRPr="00BE78CA">
              <w:t>632,700</w:t>
            </w:r>
          </w:p>
        </w:tc>
        <w:tc>
          <w:tcPr>
            <w:tcW w:w="2127" w:type="dxa"/>
            <w:shd w:val="clear" w:color="auto" w:fill="auto"/>
          </w:tcPr>
          <w:p w14:paraId="509F7358" w14:textId="77777777" w:rsidR="00410716" w:rsidRPr="00BE78CA" w:rsidRDefault="00410716" w:rsidP="00C26084">
            <w:pPr>
              <w:pStyle w:val="TableText"/>
              <w:spacing w:before="50" w:after="50"/>
              <w:jc w:val="center"/>
            </w:pPr>
            <w:r w:rsidRPr="00BE78CA">
              <w:t>83,631</w:t>
            </w:r>
          </w:p>
        </w:tc>
        <w:tc>
          <w:tcPr>
            <w:tcW w:w="3047" w:type="dxa"/>
            <w:shd w:val="clear" w:color="auto" w:fill="auto"/>
          </w:tcPr>
          <w:p w14:paraId="1018CD11" w14:textId="77777777" w:rsidR="00410716" w:rsidRPr="00BE78CA" w:rsidRDefault="00410716" w:rsidP="00C26084">
            <w:pPr>
              <w:pStyle w:val="Tableboldblue"/>
              <w:spacing w:before="50" w:after="50"/>
              <w:ind w:right="284"/>
              <w:jc w:val="center"/>
            </w:pPr>
            <w:r w:rsidRPr="00BE78CA">
              <w:t>716,331</w:t>
            </w:r>
          </w:p>
        </w:tc>
      </w:tr>
      <w:tr w:rsidR="00410716" w:rsidRPr="00BE78CA" w14:paraId="4D6514BD" w14:textId="77777777" w:rsidTr="00F47CED">
        <w:tc>
          <w:tcPr>
            <w:tcW w:w="1261" w:type="dxa"/>
            <w:shd w:val="clear" w:color="auto" w:fill="auto"/>
            <w:vAlign w:val="center"/>
          </w:tcPr>
          <w:p w14:paraId="1729A3DF" w14:textId="77777777" w:rsidR="00410716" w:rsidRPr="00BE78CA" w:rsidRDefault="00410716" w:rsidP="00C26084">
            <w:pPr>
              <w:pStyle w:val="TableText"/>
              <w:spacing w:before="50" w:after="50"/>
              <w:rPr>
                <w:rFonts w:cs="Arial"/>
                <w:szCs w:val="16"/>
              </w:rPr>
            </w:pPr>
            <w:r w:rsidRPr="00BE78CA">
              <w:rPr>
                <w:rFonts w:cs="Arial"/>
                <w:szCs w:val="16"/>
              </w:rPr>
              <w:t>2019</w:t>
            </w:r>
          </w:p>
        </w:tc>
        <w:tc>
          <w:tcPr>
            <w:tcW w:w="2127" w:type="dxa"/>
            <w:shd w:val="clear" w:color="auto" w:fill="auto"/>
          </w:tcPr>
          <w:p w14:paraId="33805D82" w14:textId="77777777" w:rsidR="00410716" w:rsidRPr="00BE78CA" w:rsidRDefault="00410716" w:rsidP="00C26084">
            <w:pPr>
              <w:pStyle w:val="TableText"/>
              <w:spacing w:before="50" w:after="50"/>
              <w:jc w:val="center"/>
              <w:rPr>
                <w:rFonts w:cs="Arial"/>
                <w:color w:val="000000"/>
                <w:szCs w:val="16"/>
              </w:rPr>
            </w:pPr>
            <w:r w:rsidRPr="00BE78CA">
              <w:t>652,765</w:t>
            </w:r>
          </w:p>
        </w:tc>
        <w:tc>
          <w:tcPr>
            <w:tcW w:w="2127" w:type="dxa"/>
            <w:shd w:val="clear" w:color="auto" w:fill="auto"/>
          </w:tcPr>
          <w:p w14:paraId="5E90003E" w14:textId="77777777" w:rsidR="00410716" w:rsidRPr="00BE78CA" w:rsidRDefault="00410716" w:rsidP="00C26084">
            <w:pPr>
              <w:pStyle w:val="TableText"/>
              <w:spacing w:before="50" w:after="50"/>
              <w:jc w:val="center"/>
              <w:rPr>
                <w:rFonts w:cs="Arial"/>
                <w:color w:val="000000"/>
                <w:szCs w:val="16"/>
              </w:rPr>
            </w:pPr>
            <w:r w:rsidRPr="00BE78CA">
              <w:t>86,689</w:t>
            </w:r>
          </w:p>
        </w:tc>
        <w:tc>
          <w:tcPr>
            <w:tcW w:w="3047" w:type="dxa"/>
            <w:shd w:val="clear" w:color="auto" w:fill="auto"/>
          </w:tcPr>
          <w:p w14:paraId="55663751" w14:textId="77777777" w:rsidR="00410716" w:rsidRPr="00BE78CA" w:rsidRDefault="00410716" w:rsidP="00C26084">
            <w:pPr>
              <w:pStyle w:val="Tableboldblue"/>
              <w:spacing w:before="50" w:after="50"/>
              <w:ind w:right="284"/>
              <w:jc w:val="center"/>
              <w:rPr>
                <w:rFonts w:cs="Arial"/>
                <w:b w:val="0"/>
                <w:bCs/>
                <w:szCs w:val="16"/>
              </w:rPr>
            </w:pPr>
            <w:r w:rsidRPr="00BE78CA">
              <w:t>739,454</w:t>
            </w:r>
          </w:p>
        </w:tc>
      </w:tr>
    </w:tbl>
    <w:p w14:paraId="39D9693B" w14:textId="536613A6" w:rsidR="00410716" w:rsidRPr="00BE78CA" w:rsidRDefault="00410716" w:rsidP="00410716"/>
    <w:p w14:paraId="0E0CB3E1" w14:textId="77777777" w:rsidR="00F47CED" w:rsidRPr="00BE78CA" w:rsidRDefault="00F47CED" w:rsidP="00410716"/>
    <w:p w14:paraId="64A6DCB7" w14:textId="77777777" w:rsidR="00410716" w:rsidRPr="00BE78CA" w:rsidRDefault="00410716" w:rsidP="00410716">
      <w:pPr>
        <w:sectPr w:rsidR="00410716" w:rsidRPr="00BE78CA" w:rsidSect="00C26084">
          <w:footerReference w:type="even" r:id="rId280"/>
          <w:footerReference w:type="default" r:id="rId281"/>
          <w:pgSz w:w="11907" w:h="16840" w:code="9"/>
          <w:pgMar w:top="1418" w:right="1701" w:bottom="1418" w:left="1701" w:header="567" w:footer="567" w:gutter="0"/>
          <w:cols w:space="720"/>
          <w:docGrid w:linePitch="299"/>
        </w:sectPr>
      </w:pPr>
    </w:p>
    <w:p w14:paraId="706E41FA" w14:textId="248D479B" w:rsidR="00410716" w:rsidRPr="00BE78CA" w:rsidRDefault="00410716" w:rsidP="00410716">
      <w:pPr>
        <w:pStyle w:val="Table"/>
        <w:spacing w:before="0"/>
      </w:pPr>
      <w:bookmarkStart w:id="3464" w:name="_Toc36224712"/>
      <w:bookmarkStart w:id="3465" w:name="_Toc64987047"/>
      <w:bookmarkStart w:id="3466" w:name="_Toc68786597"/>
      <w:r w:rsidRPr="00BE78CA">
        <w:lastRenderedPageBreak/>
        <w:t>Table 11.3.3</w:t>
      </w:r>
      <w:r w:rsidRPr="00BE78CA">
        <w:tab/>
        <w:t>New Zealand’s Afforestation and reforestation reconciliation between Kyoto Protocol and Intergovernmental Panel on Climate Change Convention</w:t>
      </w:r>
      <w:r w:rsidRPr="00BE78CA">
        <w:br/>
        <w:t>reporting from 2008 to 201</w:t>
      </w:r>
      <w:bookmarkEnd w:id="3464"/>
      <w:r w:rsidRPr="00BE78CA">
        <w:t>9</w:t>
      </w:r>
      <w:bookmarkEnd w:id="3465"/>
      <w:bookmarkEnd w:id="3466"/>
    </w:p>
    <w:tbl>
      <w:tblPr>
        <w:tblW w:w="13948" w:type="dxa"/>
        <w:tblLook w:val="04A0" w:firstRow="1" w:lastRow="0" w:firstColumn="1" w:lastColumn="0" w:noHBand="0" w:noVBand="1"/>
      </w:tblPr>
      <w:tblGrid>
        <w:gridCol w:w="4426"/>
        <w:gridCol w:w="878"/>
        <w:gridCol w:w="879"/>
        <w:gridCol w:w="878"/>
        <w:gridCol w:w="879"/>
        <w:gridCol w:w="878"/>
        <w:gridCol w:w="732"/>
        <w:gridCol w:w="732"/>
        <w:gridCol w:w="731"/>
        <w:gridCol w:w="732"/>
        <w:gridCol w:w="725"/>
        <w:gridCol w:w="739"/>
        <w:gridCol w:w="739"/>
      </w:tblGrid>
      <w:tr w:rsidR="00410716" w:rsidRPr="00BE78CA" w14:paraId="4F8829B1" w14:textId="77777777" w:rsidTr="00F47CED">
        <w:tc>
          <w:tcPr>
            <w:tcW w:w="4287" w:type="dxa"/>
            <w:tcBorders>
              <w:top w:val="single" w:sz="4" w:space="0" w:color="365F91"/>
              <w:left w:val="nil"/>
              <w:bottom w:val="single" w:sz="4" w:space="0" w:color="365F91"/>
              <w:right w:val="nil"/>
            </w:tcBorders>
            <w:shd w:val="clear" w:color="auto" w:fill="365F91"/>
            <w:noWrap/>
            <w:vAlign w:val="center"/>
            <w:hideMark/>
          </w:tcPr>
          <w:p w14:paraId="50E60A6E" w14:textId="77777777" w:rsidR="00410716" w:rsidRPr="00BE78CA" w:rsidRDefault="00410716" w:rsidP="00C26084">
            <w:pPr>
              <w:pStyle w:val="Tableboldblue"/>
              <w:jc w:val="center"/>
              <w:rPr>
                <w:lang w:eastAsia="en-NZ"/>
              </w:rPr>
            </w:pPr>
          </w:p>
        </w:tc>
        <w:tc>
          <w:tcPr>
            <w:tcW w:w="850" w:type="dxa"/>
            <w:tcBorders>
              <w:top w:val="single" w:sz="4" w:space="0" w:color="365F91"/>
              <w:left w:val="nil"/>
              <w:bottom w:val="single" w:sz="4" w:space="0" w:color="365F91"/>
              <w:right w:val="nil"/>
            </w:tcBorders>
            <w:shd w:val="clear" w:color="000000" w:fill="365F91"/>
            <w:vAlign w:val="center"/>
            <w:hideMark/>
          </w:tcPr>
          <w:p w14:paraId="242B0C7B" w14:textId="77777777" w:rsidR="00410716" w:rsidRPr="00BE78CA" w:rsidRDefault="00410716" w:rsidP="00C26084">
            <w:pPr>
              <w:pStyle w:val="Tableboldblue"/>
              <w:jc w:val="right"/>
              <w:rPr>
                <w:rFonts w:cs="Calibri"/>
                <w:bCs/>
                <w:color w:val="FFFFFF"/>
                <w:szCs w:val="16"/>
                <w:lang w:eastAsia="en-NZ"/>
              </w:rPr>
            </w:pPr>
            <w:r w:rsidRPr="00BE78CA">
              <w:rPr>
                <w:rFonts w:cs="Calibri"/>
                <w:bCs/>
                <w:color w:val="FFFFFF"/>
                <w:szCs w:val="16"/>
                <w:lang w:eastAsia="en-NZ"/>
              </w:rPr>
              <w:t>2008</w:t>
            </w:r>
          </w:p>
        </w:tc>
        <w:tc>
          <w:tcPr>
            <w:tcW w:w="851" w:type="dxa"/>
            <w:tcBorders>
              <w:top w:val="single" w:sz="4" w:space="0" w:color="365F91"/>
              <w:left w:val="nil"/>
              <w:bottom w:val="single" w:sz="4" w:space="0" w:color="365F91"/>
              <w:right w:val="nil"/>
            </w:tcBorders>
            <w:shd w:val="clear" w:color="000000" w:fill="365F91"/>
            <w:vAlign w:val="center"/>
            <w:hideMark/>
          </w:tcPr>
          <w:p w14:paraId="228AA174" w14:textId="77777777" w:rsidR="00410716" w:rsidRPr="00BE78CA" w:rsidRDefault="00410716" w:rsidP="00C26084">
            <w:pPr>
              <w:pStyle w:val="Tableboldblue"/>
              <w:jc w:val="right"/>
              <w:rPr>
                <w:rFonts w:cs="Calibri"/>
                <w:bCs/>
                <w:color w:val="FFFFFF"/>
                <w:szCs w:val="16"/>
                <w:lang w:eastAsia="en-NZ"/>
              </w:rPr>
            </w:pPr>
            <w:r w:rsidRPr="00BE78CA">
              <w:rPr>
                <w:rFonts w:cs="Calibri"/>
                <w:bCs/>
                <w:color w:val="FFFFFF"/>
                <w:szCs w:val="16"/>
                <w:lang w:eastAsia="en-NZ"/>
              </w:rPr>
              <w:t>2009</w:t>
            </w:r>
          </w:p>
        </w:tc>
        <w:tc>
          <w:tcPr>
            <w:tcW w:w="850" w:type="dxa"/>
            <w:tcBorders>
              <w:top w:val="single" w:sz="4" w:space="0" w:color="365F91"/>
              <w:left w:val="nil"/>
              <w:bottom w:val="single" w:sz="4" w:space="0" w:color="365F91"/>
              <w:right w:val="nil"/>
            </w:tcBorders>
            <w:shd w:val="clear" w:color="000000" w:fill="365F91"/>
            <w:vAlign w:val="center"/>
            <w:hideMark/>
          </w:tcPr>
          <w:p w14:paraId="3B609FA8" w14:textId="77777777" w:rsidR="00410716" w:rsidRPr="00BE78CA" w:rsidRDefault="00410716" w:rsidP="00C26084">
            <w:pPr>
              <w:pStyle w:val="Tableboldblue"/>
              <w:jc w:val="right"/>
              <w:rPr>
                <w:rFonts w:cs="Calibri"/>
                <w:bCs/>
                <w:color w:val="FFFFFF"/>
                <w:szCs w:val="16"/>
                <w:lang w:eastAsia="en-NZ"/>
              </w:rPr>
            </w:pPr>
            <w:r w:rsidRPr="00BE78CA">
              <w:rPr>
                <w:rFonts w:cs="Calibri"/>
                <w:bCs/>
                <w:color w:val="FFFFFF"/>
                <w:szCs w:val="16"/>
                <w:lang w:eastAsia="en-NZ"/>
              </w:rPr>
              <w:t>2010</w:t>
            </w:r>
          </w:p>
        </w:tc>
        <w:tc>
          <w:tcPr>
            <w:tcW w:w="851" w:type="dxa"/>
            <w:tcBorders>
              <w:top w:val="single" w:sz="4" w:space="0" w:color="365F91"/>
              <w:left w:val="nil"/>
              <w:bottom w:val="single" w:sz="4" w:space="0" w:color="365F91"/>
              <w:right w:val="nil"/>
            </w:tcBorders>
            <w:shd w:val="clear" w:color="000000" w:fill="365F91"/>
            <w:vAlign w:val="center"/>
            <w:hideMark/>
          </w:tcPr>
          <w:p w14:paraId="04D9B292" w14:textId="77777777" w:rsidR="00410716" w:rsidRPr="00BE78CA" w:rsidRDefault="00410716" w:rsidP="00C26084">
            <w:pPr>
              <w:pStyle w:val="Tableboldblue"/>
              <w:jc w:val="right"/>
              <w:rPr>
                <w:rFonts w:cs="Calibri"/>
                <w:bCs/>
                <w:color w:val="FFFFFF"/>
                <w:szCs w:val="16"/>
                <w:lang w:eastAsia="en-NZ"/>
              </w:rPr>
            </w:pPr>
            <w:r w:rsidRPr="00BE78CA">
              <w:rPr>
                <w:rFonts w:cs="Calibri"/>
                <w:bCs/>
                <w:color w:val="FFFFFF"/>
                <w:szCs w:val="16"/>
                <w:lang w:eastAsia="en-NZ"/>
              </w:rPr>
              <w:t>2011</w:t>
            </w:r>
          </w:p>
        </w:tc>
        <w:tc>
          <w:tcPr>
            <w:tcW w:w="850" w:type="dxa"/>
            <w:tcBorders>
              <w:top w:val="single" w:sz="4" w:space="0" w:color="365F91"/>
              <w:left w:val="nil"/>
              <w:bottom w:val="single" w:sz="4" w:space="0" w:color="365F91"/>
              <w:right w:val="nil"/>
            </w:tcBorders>
            <w:shd w:val="clear" w:color="000000" w:fill="365F91"/>
            <w:vAlign w:val="center"/>
            <w:hideMark/>
          </w:tcPr>
          <w:p w14:paraId="2EA449E8" w14:textId="77777777" w:rsidR="00410716" w:rsidRPr="00BE78CA" w:rsidRDefault="00410716" w:rsidP="00C26084">
            <w:pPr>
              <w:pStyle w:val="Tableboldblue"/>
              <w:jc w:val="right"/>
              <w:rPr>
                <w:rFonts w:cs="Calibri"/>
                <w:bCs/>
                <w:color w:val="FFFFFF"/>
                <w:szCs w:val="16"/>
                <w:lang w:eastAsia="en-NZ"/>
              </w:rPr>
            </w:pPr>
            <w:r w:rsidRPr="00BE78CA">
              <w:rPr>
                <w:rFonts w:cs="Calibri"/>
                <w:bCs/>
                <w:color w:val="FFFFFF"/>
                <w:szCs w:val="16"/>
                <w:lang w:eastAsia="en-NZ"/>
              </w:rPr>
              <w:t>2012</w:t>
            </w:r>
          </w:p>
        </w:tc>
        <w:tc>
          <w:tcPr>
            <w:tcW w:w="709" w:type="dxa"/>
            <w:tcBorders>
              <w:top w:val="single" w:sz="4" w:space="0" w:color="365F91"/>
              <w:left w:val="nil"/>
              <w:bottom w:val="single" w:sz="4" w:space="0" w:color="365F91"/>
              <w:right w:val="nil"/>
            </w:tcBorders>
            <w:shd w:val="clear" w:color="000000" w:fill="365F91"/>
            <w:vAlign w:val="center"/>
            <w:hideMark/>
          </w:tcPr>
          <w:p w14:paraId="6FB40BF7" w14:textId="77777777" w:rsidR="00410716" w:rsidRPr="00BE78CA" w:rsidRDefault="00410716" w:rsidP="00C26084">
            <w:pPr>
              <w:pStyle w:val="Tableboldblue"/>
              <w:jc w:val="right"/>
              <w:rPr>
                <w:rFonts w:cs="Calibri"/>
                <w:bCs/>
                <w:color w:val="FFFFFF"/>
                <w:szCs w:val="16"/>
                <w:lang w:eastAsia="en-NZ"/>
              </w:rPr>
            </w:pPr>
            <w:r w:rsidRPr="00BE78CA">
              <w:rPr>
                <w:rFonts w:cs="Calibri"/>
                <w:bCs/>
                <w:color w:val="FFFFFF"/>
                <w:szCs w:val="16"/>
                <w:lang w:eastAsia="en-NZ"/>
              </w:rPr>
              <w:t>2013</w:t>
            </w:r>
          </w:p>
        </w:tc>
        <w:tc>
          <w:tcPr>
            <w:tcW w:w="709" w:type="dxa"/>
            <w:tcBorders>
              <w:top w:val="single" w:sz="4" w:space="0" w:color="365F91"/>
              <w:left w:val="nil"/>
              <w:bottom w:val="single" w:sz="4" w:space="0" w:color="365F91"/>
              <w:right w:val="nil"/>
            </w:tcBorders>
            <w:shd w:val="clear" w:color="000000" w:fill="365F91"/>
            <w:vAlign w:val="center"/>
            <w:hideMark/>
          </w:tcPr>
          <w:p w14:paraId="693BF5E5" w14:textId="77777777" w:rsidR="00410716" w:rsidRPr="00BE78CA" w:rsidRDefault="00410716" w:rsidP="00C26084">
            <w:pPr>
              <w:pStyle w:val="Tableboldblue"/>
              <w:jc w:val="right"/>
              <w:rPr>
                <w:rFonts w:cs="Calibri"/>
                <w:bCs/>
                <w:color w:val="FFFFFF"/>
                <w:szCs w:val="16"/>
                <w:lang w:eastAsia="en-NZ"/>
              </w:rPr>
            </w:pPr>
            <w:r w:rsidRPr="00BE78CA">
              <w:rPr>
                <w:rFonts w:cs="Calibri"/>
                <w:bCs/>
                <w:color w:val="FFFFFF"/>
                <w:szCs w:val="16"/>
                <w:lang w:eastAsia="en-NZ"/>
              </w:rPr>
              <w:t>2014</w:t>
            </w:r>
          </w:p>
        </w:tc>
        <w:tc>
          <w:tcPr>
            <w:tcW w:w="708" w:type="dxa"/>
            <w:tcBorders>
              <w:top w:val="single" w:sz="4" w:space="0" w:color="365F91"/>
              <w:left w:val="nil"/>
              <w:bottom w:val="single" w:sz="4" w:space="0" w:color="365F91"/>
              <w:right w:val="nil"/>
            </w:tcBorders>
            <w:shd w:val="clear" w:color="000000" w:fill="365F91"/>
            <w:vAlign w:val="center"/>
            <w:hideMark/>
          </w:tcPr>
          <w:p w14:paraId="3C553313" w14:textId="77777777" w:rsidR="00410716" w:rsidRPr="00BE78CA" w:rsidRDefault="00410716" w:rsidP="00C26084">
            <w:pPr>
              <w:pStyle w:val="Tableboldblue"/>
              <w:jc w:val="right"/>
              <w:rPr>
                <w:rFonts w:cs="Calibri"/>
                <w:bCs/>
                <w:color w:val="FFFFFF"/>
                <w:szCs w:val="16"/>
                <w:lang w:eastAsia="en-NZ"/>
              </w:rPr>
            </w:pPr>
            <w:r w:rsidRPr="00BE78CA">
              <w:rPr>
                <w:rFonts w:cs="Calibri"/>
                <w:bCs/>
                <w:color w:val="FFFFFF"/>
                <w:szCs w:val="16"/>
                <w:lang w:eastAsia="en-NZ"/>
              </w:rPr>
              <w:t>2015</w:t>
            </w:r>
          </w:p>
        </w:tc>
        <w:tc>
          <w:tcPr>
            <w:tcW w:w="709" w:type="dxa"/>
            <w:tcBorders>
              <w:top w:val="single" w:sz="4" w:space="0" w:color="365F91"/>
              <w:left w:val="nil"/>
              <w:bottom w:val="single" w:sz="4" w:space="0" w:color="365F91"/>
              <w:right w:val="nil"/>
            </w:tcBorders>
            <w:shd w:val="clear" w:color="000000" w:fill="365F91"/>
            <w:vAlign w:val="center"/>
            <w:hideMark/>
          </w:tcPr>
          <w:p w14:paraId="2B95346C" w14:textId="77777777" w:rsidR="00410716" w:rsidRPr="00BE78CA" w:rsidRDefault="00410716" w:rsidP="00C26084">
            <w:pPr>
              <w:pStyle w:val="Tableboldblue"/>
              <w:jc w:val="right"/>
              <w:rPr>
                <w:rFonts w:cs="Calibri"/>
                <w:bCs/>
                <w:color w:val="FFFFFF"/>
                <w:szCs w:val="16"/>
                <w:lang w:eastAsia="en-NZ"/>
              </w:rPr>
            </w:pPr>
            <w:r w:rsidRPr="00BE78CA">
              <w:rPr>
                <w:rFonts w:cs="Calibri"/>
                <w:bCs/>
                <w:color w:val="FFFFFF"/>
                <w:szCs w:val="16"/>
                <w:lang w:eastAsia="en-NZ"/>
              </w:rPr>
              <w:t>2016</w:t>
            </w:r>
          </w:p>
        </w:tc>
        <w:tc>
          <w:tcPr>
            <w:tcW w:w="702" w:type="dxa"/>
            <w:tcBorders>
              <w:top w:val="single" w:sz="4" w:space="0" w:color="365F91"/>
              <w:left w:val="nil"/>
              <w:bottom w:val="single" w:sz="4" w:space="0" w:color="365F91"/>
              <w:right w:val="nil"/>
            </w:tcBorders>
            <w:shd w:val="clear" w:color="000000" w:fill="365F91"/>
            <w:vAlign w:val="center"/>
            <w:hideMark/>
          </w:tcPr>
          <w:p w14:paraId="1608E8E1" w14:textId="77777777" w:rsidR="00410716" w:rsidRPr="00BE78CA" w:rsidRDefault="00410716" w:rsidP="00C26084">
            <w:pPr>
              <w:pStyle w:val="Tableboldblue"/>
              <w:jc w:val="right"/>
              <w:rPr>
                <w:rFonts w:cs="Calibri"/>
                <w:bCs/>
                <w:color w:val="FFFFFF"/>
                <w:szCs w:val="16"/>
                <w:lang w:eastAsia="en-NZ"/>
              </w:rPr>
            </w:pPr>
            <w:r w:rsidRPr="00BE78CA">
              <w:rPr>
                <w:rFonts w:cs="Calibri"/>
                <w:bCs/>
                <w:color w:val="FFFFFF"/>
                <w:szCs w:val="16"/>
                <w:lang w:eastAsia="en-NZ"/>
              </w:rPr>
              <w:t>2017</w:t>
            </w:r>
          </w:p>
        </w:tc>
        <w:tc>
          <w:tcPr>
            <w:tcW w:w="716" w:type="dxa"/>
            <w:tcBorders>
              <w:top w:val="single" w:sz="4" w:space="0" w:color="365F91"/>
              <w:left w:val="nil"/>
              <w:bottom w:val="single" w:sz="4" w:space="0" w:color="365F91"/>
              <w:right w:val="nil"/>
            </w:tcBorders>
            <w:shd w:val="clear" w:color="000000" w:fill="365F91"/>
            <w:vAlign w:val="center"/>
            <w:hideMark/>
          </w:tcPr>
          <w:p w14:paraId="6EDACAD0" w14:textId="77777777" w:rsidR="00410716" w:rsidRPr="00BE78CA" w:rsidRDefault="00410716" w:rsidP="00C26084">
            <w:pPr>
              <w:pStyle w:val="Tableboldblue"/>
              <w:jc w:val="right"/>
              <w:rPr>
                <w:rFonts w:cs="Calibri"/>
                <w:bCs/>
                <w:color w:val="FFFFFF"/>
                <w:szCs w:val="16"/>
                <w:lang w:eastAsia="en-NZ"/>
              </w:rPr>
            </w:pPr>
            <w:r w:rsidRPr="00BE78CA">
              <w:rPr>
                <w:rFonts w:cs="Calibri"/>
                <w:bCs/>
                <w:color w:val="FFFFFF"/>
                <w:szCs w:val="16"/>
                <w:lang w:eastAsia="en-NZ"/>
              </w:rPr>
              <w:t>2018</w:t>
            </w:r>
          </w:p>
        </w:tc>
        <w:tc>
          <w:tcPr>
            <w:tcW w:w="716" w:type="dxa"/>
            <w:tcBorders>
              <w:top w:val="single" w:sz="4" w:space="0" w:color="365F91"/>
              <w:left w:val="nil"/>
              <w:bottom w:val="single" w:sz="4" w:space="0" w:color="365F91"/>
              <w:right w:val="nil"/>
            </w:tcBorders>
            <w:shd w:val="clear" w:color="000000" w:fill="365F91"/>
          </w:tcPr>
          <w:p w14:paraId="5AA38DEA" w14:textId="77777777" w:rsidR="00410716" w:rsidRPr="00BE78CA" w:rsidRDefault="00410716" w:rsidP="00C26084">
            <w:pPr>
              <w:pStyle w:val="Tableboldblue"/>
              <w:jc w:val="right"/>
              <w:rPr>
                <w:rFonts w:cs="Calibri"/>
                <w:bCs/>
                <w:color w:val="FFFFFF"/>
                <w:szCs w:val="16"/>
                <w:lang w:eastAsia="en-NZ"/>
              </w:rPr>
            </w:pPr>
            <w:r w:rsidRPr="00BE78CA">
              <w:rPr>
                <w:rFonts w:cs="Calibri"/>
                <w:bCs/>
                <w:color w:val="FFFFFF"/>
                <w:szCs w:val="16"/>
                <w:lang w:eastAsia="en-NZ"/>
              </w:rPr>
              <w:t>2019</w:t>
            </w:r>
          </w:p>
        </w:tc>
      </w:tr>
      <w:tr w:rsidR="00410716" w:rsidRPr="00BE78CA" w14:paraId="274BCB7D" w14:textId="77777777" w:rsidTr="00F47CED">
        <w:tc>
          <w:tcPr>
            <w:tcW w:w="4287" w:type="dxa"/>
            <w:tcBorders>
              <w:top w:val="single" w:sz="4" w:space="0" w:color="365F91"/>
              <w:left w:val="nil"/>
              <w:bottom w:val="nil"/>
              <w:right w:val="nil"/>
            </w:tcBorders>
            <w:shd w:val="clear" w:color="auto" w:fill="auto"/>
            <w:noWrap/>
            <w:hideMark/>
          </w:tcPr>
          <w:p w14:paraId="35B4436B" w14:textId="77777777" w:rsidR="00410716" w:rsidRPr="00BE78CA" w:rsidRDefault="00410716" w:rsidP="00C26084">
            <w:pPr>
              <w:pStyle w:val="TableText"/>
            </w:pPr>
            <w:r w:rsidRPr="00BE78CA">
              <w:t>Forest remaining forest (kha)</w:t>
            </w:r>
          </w:p>
        </w:tc>
        <w:tc>
          <w:tcPr>
            <w:tcW w:w="850" w:type="dxa"/>
            <w:tcBorders>
              <w:top w:val="single" w:sz="4" w:space="0" w:color="365F91"/>
              <w:left w:val="nil"/>
              <w:bottom w:val="nil"/>
              <w:right w:val="nil"/>
            </w:tcBorders>
            <w:shd w:val="clear" w:color="auto" w:fill="auto"/>
            <w:noWrap/>
            <w:hideMark/>
          </w:tcPr>
          <w:p w14:paraId="5F8B2AB9" w14:textId="77777777" w:rsidR="00410716" w:rsidRPr="00BE78CA" w:rsidRDefault="00410716" w:rsidP="00C26084">
            <w:pPr>
              <w:pStyle w:val="TableText"/>
              <w:jc w:val="right"/>
              <w:rPr>
                <w:rFonts w:cs="Calibri"/>
              </w:rPr>
            </w:pPr>
            <w:r w:rsidRPr="00BE78CA">
              <w:t xml:space="preserve">9,232.9 </w:t>
            </w:r>
          </w:p>
        </w:tc>
        <w:tc>
          <w:tcPr>
            <w:tcW w:w="851" w:type="dxa"/>
            <w:tcBorders>
              <w:top w:val="single" w:sz="4" w:space="0" w:color="365F91"/>
              <w:left w:val="nil"/>
              <w:bottom w:val="nil"/>
              <w:right w:val="nil"/>
            </w:tcBorders>
            <w:shd w:val="clear" w:color="auto" w:fill="auto"/>
            <w:noWrap/>
            <w:hideMark/>
          </w:tcPr>
          <w:p w14:paraId="78F2E6A7" w14:textId="77777777" w:rsidR="00410716" w:rsidRPr="00BE78CA" w:rsidRDefault="00410716" w:rsidP="00C26084">
            <w:pPr>
              <w:pStyle w:val="TableText"/>
              <w:jc w:val="right"/>
              <w:rPr>
                <w:rFonts w:cs="Calibri"/>
              </w:rPr>
            </w:pPr>
            <w:r w:rsidRPr="00BE78CA">
              <w:t xml:space="preserve"> 9,254.7 </w:t>
            </w:r>
          </w:p>
        </w:tc>
        <w:tc>
          <w:tcPr>
            <w:tcW w:w="850" w:type="dxa"/>
            <w:tcBorders>
              <w:top w:val="single" w:sz="4" w:space="0" w:color="365F91"/>
              <w:left w:val="nil"/>
              <w:bottom w:val="nil"/>
              <w:right w:val="nil"/>
            </w:tcBorders>
            <w:shd w:val="clear" w:color="auto" w:fill="auto"/>
            <w:noWrap/>
            <w:hideMark/>
          </w:tcPr>
          <w:p w14:paraId="198780A4" w14:textId="77777777" w:rsidR="00410716" w:rsidRPr="00BE78CA" w:rsidRDefault="00410716" w:rsidP="00C26084">
            <w:pPr>
              <w:pStyle w:val="TableText"/>
              <w:jc w:val="right"/>
              <w:rPr>
                <w:rFonts w:cs="Calibri"/>
              </w:rPr>
            </w:pPr>
            <w:r w:rsidRPr="00BE78CA">
              <w:t xml:space="preserve"> 9,260.7 </w:t>
            </w:r>
          </w:p>
        </w:tc>
        <w:tc>
          <w:tcPr>
            <w:tcW w:w="851" w:type="dxa"/>
            <w:tcBorders>
              <w:top w:val="single" w:sz="4" w:space="0" w:color="365F91"/>
              <w:left w:val="nil"/>
              <w:bottom w:val="nil"/>
              <w:right w:val="nil"/>
            </w:tcBorders>
            <w:shd w:val="clear" w:color="auto" w:fill="auto"/>
            <w:noWrap/>
            <w:hideMark/>
          </w:tcPr>
          <w:p w14:paraId="7E5EE3AC" w14:textId="77777777" w:rsidR="00410716" w:rsidRPr="00BE78CA" w:rsidRDefault="00410716" w:rsidP="00C26084">
            <w:pPr>
              <w:pStyle w:val="TableText"/>
              <w:jc w:val="right"/>
              <w:rPr>
                <w:rFonts w:cs="Calibri"/>
              </w:rPr>
            </w:pPr>
            <w:r w:rsidRPr="00BE78CA">
              <w:t xml:space="preserve"> 9,267.9 </w:t>
            </w:r>
          </w:p>
        </w:tc>
        <w:tc>
          <w:tcPr>
            <w:tcW w:w="850" w:type="dxa"/>
            <w:tcBorders>
              <w:top w:val="single" w:sz="4" w:space="0" w:color="365F91"/>
              <w:left w:val="nil"/>
              <w:bottom w:val="nil"/>
              <w:right w:val="nil"/>
            </w:tcBorders>
            <w:shd w:val="clear" w:color="auto" w:fill="auto"/>
            <w:noWrap/>
            <w:hideMark/>
          </w:tcPr>
          <w:p w14:paraId="1951445C" w14:textId="77777777" w:rsidR="00410716" w:rsidRPr="00BE78CA" w:rsidRDefault="00410716" w:rsidP="00C26084">
            <w:pPr>
              <w:pStyle w:val="TableText"/>
              <w:jc w:val="right"/>
              <w:rPr>
                <w:rFonts w:cs="Calibri"/>
              </w:rPr>
            </w:pPr>
            <w:r w:rsidRPr="00BE78CA">
              <w:t xml:space="preserve"> 9,301.5 </w:t>
            </w:r>
          </w:p>
        </w:tc>
        <w:tc>
          <w:tcPr>
            <w:tcW w:w="709" w:type="dxa"/>
            <w:tcBorders>
              <w:top w:val="single" w:sz="4" w:space="0" w:color="365F91"/>
              <w:left w:val="nil"/>
              <w:bottom w:val="nil"/>
              <w:right w:val="nil"/>
            </w:tcBorders>
            <w:shd w:val="clear" w:color="auto" w:fill="auto"/>
            <w:noWrap/>
            <w:hideMark/>
          </w:tcPr>
          <w:p w14:paraId="5DB82F19" w14:textId="77777777" w:rsidR="00410716" w:rsidRPr="00BE78CA" w:rsidRDefault="00410716" w:rsidP="00C26084">
            <w:pPr>
              <w:pStyle w:val="TableText"/>
              <w:rPr>
                <w:rFonts w:cs="Calibri"/>
              </w:rPr>
            </w:pPr>
            <w:r w:rsidRPr="00BE78CA">
              <w:t xml:space="preserve">9,342.1 </w:t>
            </w:r>
          </w:p>
        </w:tc>
        <w:tc>
          <w:tcPr>
            <w:tcW w:w="709" w:type="dxa"/>
            <w:tcBorders>
              <w:top w:val="single" w:sz="4" w:space="0" w:color="365F91"/>
              <w:left w:val="nil"/>
              <w:bottom w:val="nil"/>
              <w:right w:val="nil"/>
            </w:tcBorders>
            <w:shd w:val="clear" w:color="auto" w:fill="auto"/>
            <w:noWrap/>
            <w:hideMark/>
          </w:tcPr>
          <w:p w14:paraId="7DF3BC54" w14:textId="77777777" w:rsidR="00410716" w:rsidRPr="00BE78CA" w:rsidRDefault="00410716" w:rsidP="00C26084">
            <w:pPr>
              <w:pStyle w:val="TableText"/>
              <w:jc w:val="right"/>
              <w:rPr>
                <w:rFonts w:cs="Calibri"/>
              </w:rPr>
            </w:pPr>
            <w:r w:rsidRPr="00BE78CA">
              <w:t xml:space="preserve">9,417.7 </w:t>
            </w:r>
          </w:p>
        </w:tc>
        <w:tc>
          <w:tcPr>
            <w:tcW w:w="708" w:type="dxa"/>
            <w:tcBorders>
              <w:top w:val="single" w:sz="4" w:space="0" w:color="365F91"/>
              <w:left w:val="nil"/>
              <w:bottom w:val="nil"/>
              <w:right w:val="nil"/>
            </w:tcBorders>
            <w:shd w:val="clear" w:color="auto" w:fill="auto"/>
            <w:noWrap/>
            <w:hideMark/>
          </w:tcPr>
          <w:p w14:paraId="0A8CD216" w14:textId="77777777" w:rsidR="00410716" w:rsidRPr="00BE78CA" w:rsidRDefault="00410716" w:rsidP="00C26084">
            <w:pPr>
              <w:pStyle w:val="TableText"/>
              <w:jc w:val="right"/>
              <w:rPr>
                <w:rFonts w:cs="Calibri"/>
              </w:rPr>
            </w:pPr>
            <w:r w:rsidRPr="00BE78CA">
              <w:t xml:space="preserve">9,474.2 </w:t>
            </w:r>
          </w:p>
        </w:tc>
        <w:tc>
          <w:tcPr>
            <w:tcW w:w="709" w:type="dxa"/>
            <w:tcBorders>
              <w:top w:val="single" w:sz="4" w:space="0" w:color="365F91"/>
              <w:left w:val="nil"/>
              <w:bottom w:val="nil"/>
              <w:right w:val="nil"/>
            </w:tcBorders>
            <w:shd w:val="clear" w:color="auto" w:fill="auto"/>
            <w:noWrap/>
            <w:hideMark/>
          </w:tcPr>
          <w:p w14:paraId="57645B4D" w14:textId="77777777" w:rsidR="00410716" w:rsidRPr="00BE78CA" w:rsidRDefault="00410716" w:rsidP="00C26084">
            <w:pPr>
              <w:pStyle w:val="TableText"/>
              <w:jc w:val="right"/>
              <w:rPr>
                <w:rFonts w:cs="Calibri"/>
              </w:rPr>
            </w:pPr>
            <w:r w:rsidRPr="00BE78CA">
              <w:t xml:space="preserve">9,534.5 </w:t>
            </w:r>
          </w:p>
        </w:tc>
        <w:tc>
          <w:tcPr>
            <w:tcW w:w="702" w:type="dxa"/>
            <w:tcBorders>
              <w:top w:val="single" w:sz="4" w:space="0" w:color="365F91"/>
              <w:left w:val="nil"/>
              <w:bottom w:val="nil"/>
              <w:right w:val="nil"/>
            </w:tcBorders>
            <w:shd w:val="clear" w:color="auto" w:fill="auto"/>
            <w:noWrap/>
            <w:hideMark/>
          </w:tcPr>
          <w:p w14:paraId="400F737D" w14:textId="77777777" w:rsidR="00410716" w:rsidRPr="00BE78CA" w:rsidRDefault="00410716" w:rsidP="00C26084">
            <w:pPr>
              <w:pStyle w:val="TableText"/>
              <w:jc w:val="right"/>
              <w:rPr>
                <w:rFonts w:cs="Calibri"/>
              </w:rPr>
            </w:pPr>
            <w:r w:rsidRPr="00BE78CA">
              <w:t xml:space="preserve">9,581.8 </w:t>
            </w:r>
          </w:p>
        </w:tc>
        <w:tc>
          <w:tcPr>
            <w:tcW w:w="716" w:type="dxa"/>
            <w:tcBorders>
              <w:top w:val="single" w:sz="4" w:space="0" w:color="365F91"/>
              <w:left w:val="nil"/>
              <w:bottom w:val="nil"/>
              <w:right w:val="nil"/>
            </w:tcBorders>
            <w:shd w:val="clear" w:color="auto" w:fill="auto"/>
            <w:noWrap/>
            <w:hideMark/>
          </w:tcPr>
          <w:p w14:paraId="2BCE4612" w14:textId="77777777" w:rsidR="00410716" w:rsidRPr="00BE78CA" w:rsidRDefault="00410716" w:rsidP="00C26084">
            <w:pPr>
              <w:pStyle w:val="TableText"/>
              <w:jc w:val="right"/>
              <w:rPr>
                <w:rFonts w:cs="Calibri"/>
              </w:rPr>
            </w:pPr>
            <w:r w:rsidRPr="00BE78CA">
              <w:t xml:space="preserve">9,623.1 </w:t>
            </w:r>
          </w:p>
        </w:tc>
        <w:tc>
          <w:tcPr>
            <w:tcW w:w="716" w:type="dxa"/>
            <w:tcBorders>
              <w:top w:val="single" w:sz="4" w:space="0" w:color="365F91"/>
              <w:left w:val="nil"/>
              <w:bottom w:val="nil"/>
              <w:right w:val="nil"/>
            </w:tcBorders>
          </w:tcPr>
          <w:p w14:paraId="2362FB34" w14:textId="77777777" w:rsidR="00410716" w:rsidRPr="00BE78CA" w:rsidRDefault="00410716" w:rsidP="00C26084">
            <w:pPr>
              <w:pStyle w:val="TableText"/>
              <w:jc w:val="right"/>
              <w:rPr>
                <w:rFonts w:cs="Calibri"/>
              </w:rPr>
            </w:pPr>
            <w:r w:rsidRPr="00BE78CA">
              <w:t xml:space="preserve">9,655.4 </w:t>
            </w:r>
          </w:p>
        </w:tc>
      </w:tr>
      <w:tr w:rsidR="00410716" w:rsidRPr="00BE78CA" w14:paraId="27846195" w14:textId="77777777" w:rsidTr="00F47CED">
        <w:tc>
          <w:tcPr>
            <w:tcW w:w="4287" w:type="dxa"/>
            <w:tcBorders>
              <w:top w:val="nil"/>
              <w:left w:val="nil"/>
              <w:bottom w:val="single" w:sz="4" w:space="0" w:color="365F91"/>
              <w:right w:val="nil"/>
            </w:tcBorders>
            <w:shd w:val="clear" w:color="auto" w:fill="auto"/>
            <w:hideMark/>
          </w:tcPr>
          <w:p w14:paraId="21CA4CD5" w14:textId="77777777" w:rsidR="00410716" w:rsidRPr="00BE78CA" w:rsidRDefault="00410716" w:rsidP="00C26084">
            <w:pPr>
              <w:pStyle w:val="TableText"/>
            </w:pPr>
            <w:r w:rsidRPr="00BE78CA">
              <w:t xml:space="preserve">Forest management (kha) </w:t>
            </w:r>
          </w:p>
        </w:tc>
        <w:tc>
          <w:tcPr>
            <w:tcW w:w="850" w:type="dxa"/>
            <w:tcBorders>
              <w:top w:val="nil"/>
              <w:left w:val="nil"/>
              <w:bottom w:val="single" w:sz="4" w:space="0" w:color="365F91"/>
              <w:right w:val="nil"/>
            </w:tcBorders>
            <w:shd w:val="clear" w:color="auto" w:fill="auto"/>
            <w:hideMark/>
          </w:tcPr>
          <w:p w14:paraId="68F259B9" w14:textId="77777777" w:rsidR="00410716" w:rsidRPr="00BE78CA" w:rsidRDefault="00410716" w:rsidP="00C26084">
            <w:pPr>
              <w:pStyle w:val="TableText"/>
              <w:jc w:val="right"/>
              <w:rPr>
                <w:rFonts w:cs="Calibri"/>
              </w:rPr>
            </w:pPr>
            <w:r w:rsidRPr="00BE78CA">
              <w:t xml:space="preserve">9,262.7 </w:t>
            </w:r>
          </w:p>
        </w:tc>
        <w:tc>
          <w:tcPr>
            <w:tcW w:w="851" w:type="dxa"/>
            <w:tcBorders>
              <w:top w:val="nil"/>
              <w:left w:val="nil"/>
              <w:bottom w:val="single" w:sz="4" w:space="0" w:color="365F91"/>
              <w:right w:val="nil"/>
            </w:tcBorders>
            <w:shd w:val="clear" w:color="auto" w:fill="auto"/>
            <w:hideMark/>
          </w:tcPr>
          <w:p w14:paraId="3468FFF3" w14:textId="77777777" w:rsidR="00410716" w:rsidRPr="00BE78CA" w:rsidRDefault="00410716" w:rsidP="00C26084">
            <w:pPr>
              <w:pStyle w:val="TableText"/>
              <w:jc w:val="right"/>
              <w:rPr>
                <w:rFonts w:cs="Calibri"/>
              </w:rPr>
            </w:pPr>
            <w:r w:rsidRPr="00BE78CA">
              <w:t xml:space="preserve"> 9,254.7 </w:t>
            </w:r>
          </w:p>
        </w:tc>
        <w:tc>
          <w:tcPr>
            <w:tcW w:w="850" w:type="dxa"/>
            <w:tcBorders>
              <w:top w:val="nil"/>
              <w:left w:val="nil"/>
              <w:bottom w:val="single" w:sz="4" w:space="0" w:color="365F91"/>
              <w:right w:val="nil"/>
            </w:tcBorders>
            <w:shd w:val="clear" w:color="auto" w:fill="auto"/>
            <w:hideMark/>
          </w:tcPr>
          <w:p w14:paraId="3B2FDCC7" w14:textId="77777777" w:rsidR="00410716" w:rsidRPr="00BE78CA" w:rsidRDefault="00410716" w:rsidP="00C26084">
            <w:pPr>
              <w:pStyle w:val="TableText"/>
              <w:jc w:val="right"/>
              <w:rPr>
                <w:rFonts w:cs="Calibri"/>
              </w:rPr>
            </w:pPr>
            <w:r w:rsidRPr="00BE78CA">
              <w:t xml:space="preserve"> 9,246.2 </w:t>
            </w:r>
          </w:p>
        </w:tc>
        <w:tc>
          <w:tcPr>
            <w:tcW w:w="851" w:type="dxa"/>
            <w:tcBorders>
              <w:top w:val="nil"/>
              <w:left w:val="nil"/>
              <w:bottom w:val="single" w:sz="4" w:space="0" w:color="365F91"/>
              <w:right w:val="nil"/>
            </w:tcBorders>
            <w:shd w:val="clear" w:color="auto" w:fill="auto"/>
            <w:hideMark/>
          </w:tcPr>
          <w:p w14:paraId="36358D6B" w14:textId="77777777" w:rsidR="00410716" w:rsidRPr="00BE78CA" w:rsidRDefault="00410716" w:rsidP="00C26084">
            <w:pPr>
              <w:pStyle w:val="TableText"/>
              <w:jc w:val="right"/>
              <w:rPr>
                <w:rFonts w:cs="Calibri"/>
              </w:rPr>
            </w:pPr>
            <w:r w:rsidRPr="00BE78CA">
              <w:t xml:space="preserve"> 9,239.8 </w:t>
            </w:r>
          </w:p>
        </w:tc>
        <w:tc>
          <w:tcPr>
            <w:tcW w:w="850" w:type="dxa"/>
            <w:tcBorders>
              <w:top w:val="nil"/>
              <w:left w:val="nil"/>
              <w:bottom w:val="single" w:sz="4" w:space="0" w:color="365F91"/>
              <w:right w:val="nil"/>
            </w:tcBorders>
            <w:shd w:val="clear" w:color="auto" w:fill="auto"/>
            <w:hideMark/>
          </w:tcPr>
          <w:p w14:paraId="3F7F1484" w14:textId="77777777" w:rsidR="00410716" w:rsidRPr="00BE78CA" w:rsidRDefault="00410716" w:rsidP="00C26084">
            <w:pPr>
              <w:pStyle w:val="TableText"/>
              <w:jc w:val="right"/>
              <w:rPr>
                <w:rFonts w:cs="Calibri"/>
              </w:rPr>
            </w:pPr>
            <w:r w:rsidRPr="00BE78CA">
              <w:t xml:space="preserve"> 9,231.1 </w:t>
            </w:r>
          </w:p>
        </w:tc>
        <w:tc>
          <w:tcPr>
            <w:tcW w:w="709" w:type="dxa"/>
            <w:tcBorders>
              <w:top w:val="nil"/>
              <w:left w:val="nil"/>
              <w:bottom w:val="single" w:sz="4" w:space="0" w:color="365F91"/>
              <w:right w:val="nil"/>
            </w:tcBorders>
            <w:shd w:val="clear" w:color="auto" w:fill="auto"/>
            <w:hideMark/>
          </w:tcPr>
          <w:p w14:paraId="0942F335" w14:textId="77777777" w:rsidR="00410716" w:rsidRPr="00BE78CA" w:rsidRDefault="00410716" w:rsidP="00C26084">
            <w:pPr>
              <w:pStyle w:val="TableText"/>
              <w:jc w:val="right"/>
              <w:rPr>
                <w:rFonts w:cs="Calibri"/>
              </w:rPr>
            </w:pPr>
            <w:r w:rsidRPr="00BE78CA">
              <w:t xml:space="preserve">9,220.1 </w:t>
            </w:r>
          </w:p>
        </w:tc>
        <w:tc>
          <w:tcPr>
            <w:tcW w:w="709" w:type="dxa"/>
            <w:tcBorders>
              <w:top w:val="nil"/>
              <w:left w:val="nil"/>
              <w:bottom w:val="single" w:sz="4" w:space="0" w:color="365F91"/>
              <w:right w:val="nil"/>
            </w:tcBorders>
            <w:shd w:val="clear" w:color="auto" w:fill="auto"/>
            <w:hideMark/>
          </w:tcPr>
          <w:p w14:paraId="6878F744" w14:textId="77777777" w:rsidR="00410716" w:rsidRPr="00BE78CA" w:rsidRDefault="00410716" w:rsidP="00C26084">
            <w:pPr>
              <w:pStyle w:val="TableText"/>
              <w:jc w:val="center"/>
              <w:rPr>
                <w:rFonts w:cs="Calibri"/>
              </w:rPr>
            </w:pPr>
            <w:r w:rsidRPr="00BE78CA">
              <w:t xml:space="preserve">9,213.0 </w:t>
            </w:r>
          </w:p>
        </w:tc>
        <w:tc>
          <w:tcPr>
            <w:tcW w:w="708" w:type="dxa"/>
            <w:tcBorders>
              <w:top w:val="nil"/>
              <w:left w:val="nil"/>
              <w:bottom w:val="single" w:sz="4" w:space="0" w:color="365F91"/>
              <w:right w:val="nil"/>
            </w:tcBorders>
            <w:shd w:val="clear" w:color="auto" w:fill="auto"/>
            <w:hideMark/>
          </w:tcPr>
          <w:p w14:paraId="03B2E2B1" w14:textId="77777777" w:rsidR="00410716" w:rsidRPr="00BE78CA" w:rsidRDefault="00410716" w:rsidP="00C26084">
            <w:pPr>
              <w:pStyle w:val="TableText"/>
              <w:jc w:val="right"/>
              <w:rPr>
                <w:rFonts w:cs="Calibri"/>
              </w:rPr>
            </w:pPr>
            <w:r w:rsidRPr="00BE78CA">
              <w:t xml:space="preserve">9,208.7 </w:t>
            </w:r>
          </w:p>
        </w:tc>
        <w:tc>
          <w:tcPr>
            <w:tcW w:w="709" w:type="dxa"/>
            <w:tcBorders>
              <w:top w:val="nil"/>
              <w:left w:val="nil"/>
              <w:bottom w:val="single" w:sz="4" w:space="0" w:color="365F91"/>
              <w:right w:val="nil"/>
            </w:tcBorders>
            <w:shd w:val="clear" w:color="auto" w:fill="auto"/>
            <w:hideMark/>
          </w:tcPr>
          <w:p w14:paraId="00AF64DD" w14:textId="77777777" w:rsidR="00410716" w:rsidRPr="00BE78CA" w:rsidRDefault="00410716" w:rsidP="00C26084">
            <w:pPr>
              <w:pStyle w:val="TableText"/>
              <w:jc w:val="right"/>
              <w:rPr>
                <w:rFonts w:cs="Calibri"/>
              </w:rPr>
            </w:pPr>
            <w:r w:rsidRPr="00BE78CA">
              <w:t xml:space="preserve">9,207.1 </w:t>
            </w:r>
          </w:p>
        </w:tc>
        <w:tc>
          <w:tcPr>
            <w:tcW w:w="702" w:type="dxa"/>
            <w:tcBorders>
              <w:top w:val="nil"/>
              <w:left w:val="nil"/>
              <w:bottom w:val="single" w:sz="4" w:space="0" w:color="365F91"/>
              <w:right w:val="nil"/>
            </w:tcBorders>
            <w:shd w:val="clear" w:color="auto" w:fill="auto"/>
            <w:hideMark/>
          </w:tcPr>
          <w:p w14:paraId="63BD2D7A" w14:textId="77777777" w:rsidR="00410716" w:rsidRPr="00BE78CA" w:rsidRDefault="00410716" w:rsidP="00C26084">
            <w:pPr>
              <w:pStyle w:val="TableText"/>
              <w:jc w:val="right"/>
              <w:rPr>
                <w:rFonts w:cs="Calibri"/>
              </w:rPr>
            </w:pPr>
            <w:r w:rsidRPr="00BE78CA">
              <w:t xml:space="preserve">9,205.9 </w:t>
            </w:r>
          </w:p>
        </w:tc>
        <w:tc>
          <w:tcPr>
            <w:tcW w:w="716" w:type="dxa"/>
            <w:tcBorders>
              <w:top w:val="nil"/>
              <w:left w:val="nil"/>
              <w:bottom w:val="single" w:sz="4" w:space="0" w:color="365F91"/>
              <w:right w:val="nil"/>
            </w:tcBorders>
            <w:shd w:val="clear" w:color="auto" w:fill="auto"/>
            <w:hideMark/>
          </w:tcPr>
          <w:p w14:paraId="6B868E31" w14:textId="77777777" w:rsidR="00410716" w:rsidRPr="00BE78CA" w:rsidRDefault="00410716" w:rsidP="00C26084">
            <w:pPr>
              <w:pStyle w:val="TableText"/>
              <w:jc w:val="right"/>
              <w:rPr>
                <w:rFonts w:cs="Calibri"/>
              </w:rPr>
            </w:pPr>
            <w:r w:rsidRPr="00BE78CA">
              <w:t xml:space="preserve">9,204.6 </w:t>
            </w:r>
          </w:p>
        </w:tc>
        <w:tc>
          <w:tcPr>
            <w:tcW w:w="716" w:type="dxa"/>
            <w:tcBorders>
              <w:top w:val="nil"/>
              <w:left w:val="nil"/>
              <w:bottom w:val="single" w:sz="4" w:space="0" w:color="365F91"/>
              <w:right w:val="nil"/>
            </w:tcBorders>
          </w:tcPr>
          <w:p w14:paraId="2409D02F" w14:textId="77777777" w:rsidR="00410716" w:rsidRPr="00BE78CA" w:rsidRDefault="00410716" w:rsidP="00C26084">
            <w:pPr>
              <w:pStyle w:val="TableText"/>
              <w:jc w:val="right"/>
              <w:rPr>
                <w:rFonts w:cs="Calibri"/>
              </w:rPr>
            </w:pPr>
            <w:r w:rsidRPr="00BE78CA">
              <w:t xml:space="preserve">9,201.4 </w:t>
            </w:r>
          </w:p>
        </w:tc>
      </w:tr>
      <w:tr w:rsidR="00410716" w:rsidRPr="00BE78CA" w14:paraId="5BD32236" w14:textId="77777777" w:rsidTr="00F47CED">
        <w:tc>
          <w:tcPr>
            <w:tcW w:w="4287" w:type="dxa"/>
            <w:tcBorders>
              <w:top w:val="single" w:sz="4" w:space="0" w:color="365F91"/>
              <w:left w:val="nil"/>
              <w:bottom w:val="single" w:sz="4" w:space="0" w:color="365F91"/>
              <w:right w:val="nil"/>
            </w:tcBorders>
            <w:shd w:val="clear" w:color="auto" w:fill="auto"/>
            <w:hideMark/>
          </w:tcPr>
          <w:p w14:paraId="1CA0680C" w14:textId="77777777" w:rsidR="00410716" w:rsidRPr="00BE78CA" w:rsidRDefault="00410716" w:rsidP="00C26084">
            <w:pPr>
              <w:pStyle w:val="Tableboldblue"/>
              <w:rPr>
                <w:lang w:eastAsia="en-NZ"/>
              </w:rPr>
            </w:pPr>
            <w:r w:rsidRPr="00BE78CA">
              <w:rPr>
                <w:lang w:eastAsia="en-NZ"/>
              </w:rPr>
              <w:t>Difference (kha)</w:t>
            </w:r>
          </w:p>
        </w:tc>
        <w:tc>
          <w:tcPr>
            <w:tcW w:w="850" w:type="dxa"/>
            <w:tcBorders>
              <w:top w:val="single" w:sz="4" w:space="0" w:color="365F91"/>
              <w:left w:val="nil"/>
              <w:bottom w:val="single" w:sz="4" w:space="0" w:color="365F91"/>
              <w:right w:val="nil"/>
            </w:tcBorders>
            <w:shd w:val="clear" w:color="auto" w:fill="auto"/>
            <w:hideMark/>
          </w:tcPr>
          <w:p w14:paraId="50C462CF" w14:textId="77777777" w:rsidR="00410716" w:rsidRPr="00BE78CA" w:rsidRDefault="00410716" w:rsidP="00C26084">
            <w:pPr>
              <w:pStyle w:val="Tableboldblue"/>
              <w:jc w:val="right"/>
              <w:rPr>
                <w:rFonts w:cs="Calibri"/>
                <w:lang w:eastAsia="en-NZ"/>
              </w:rPr>
            </w:pPr>
            <w:r w:rsidRPr="00BE78CA">
              <w:t xml:space="preserve">–30 </w:t>
            </w:r>
          </w:p>
        </w:tc>
        <w:tc>
          <w:tcPr>
            <w:tcW w:w="851" w:type="dxa"/>
            <w:tcBorders>
              <w:top w:val="single" w:sz="4" w:space="0" w:color="365F91"/>
              <w:left w:val="nil"/>
              <w:bottom w:val="single" w:sz="4" w:space="0" w:color="365F91"/>
              <w:right w:val="nil"/>
            </w:tcBorders>
            <w:shd w:val="clear" w:color="auto" w:fill="auto"/>
            <w:hideMark/>
          </w:tcPr>
          <w:p w14:paraId="190F7FDC" w14:textId="77777777" w:rsidR="00410716" w:rsidRPr="00BE78CA" w:rsidRDefault="00410716" w:rsidP="00C26084">
            <w:pPr>
              <w:pStyle w:val="Tableboldblue"/>
              <w:jc w:val="right"/>
              <w:rPr>
                <w:rFonts w:cs="Calibri"/>
                <w:lang w:eastAsia="en-NZ"/>
              </w:rPr>
            </w:pPr>
            <w:r w:rsidRPr="00BE78CA">
              <w:t xml:space="preserve">0 </w:t>
            </w:r>
          </w:p>
        </w:tc>
        <w:tc>
          <w:tcPr>
            <w:tcW w:w="850" w:type="dxa"/>
            <w:tcBorders>
              <w:top w:val="single" w:sz="4" w:space="0" w:color="365F91"/>
              <w:left w:val="nil"/>
              <w:bottom w:val="single" w:sz="4" w:space="0" w:color="365F91"/>
              <w:right w:val="nil"/>
            </w:tcBorders>
            <w:shd w:val="clear" w:color="auto" w:fill="auto"/>
            <w:hideMark/>
          </w:tcPr>
          <w:p w14:paraId="02A8DA8A" w14:textId="77777777" w:rsidR="00410716" w:rsidRPr="00BE78CA" w:rsidRDefault="00410716" w:rsidP="00C26084">
            <w:pPr>
              <w:pStyle w:val="Tableboldblue"/>
              <w:jc w:val="right"/>
              <w:rPr>
                <w:rFonts w:cs="Calibri"/>
                <w:lang w:eastAsia="en-NZ"/>
              </w:rPr>
            </w:pPr>
            <w:r w:rsidRPr="00BE78CA">
              <w:t xml:space="preserve"> 14 </w:t>
            </w:r>
          </w:p>
        </w:tc>
        <w:tc>
          <w:tcPr>
            <w:tcW w:w="851" w:type="dxa"/>
            <w:tcBorders>
              <w:top w:val="single" w:sz="4" w:space="0" w:color="365F91"/>
              <w:left w:val="nil"/>
              <w:bottom w:val="single" w:sz="4" w:space="0" w:color="365F91"/>
              <w:right w:val="nil"/>
            </w:tcBorders>
            <w:shd w:val="clear" w:color="auto" w:fill="auto"/>
            <w:hideMark/>
          </w:tcPr>
          <w:p w14:paraId="22D49BC7" w14:textId="77777777" w:rsidR="00410716" w:rsidRPr="00BE78CA" w:rsidRDefault="00410716" w:rsidP="00C26084">
            <w:pPr>
              <w:pStyle w:val="Tableboldblue"/>
              <w:jc w:val="right"/>
              <w:rPr>
                <w:rFonts w:cs="Calibri"/>
                <w:lang w:eastAsia="en-NZ"/>
              </w:rPr>
            </w:pPr>
            <w:r w:rsidRPr="00BE78CA">
              <w:t xml:space="preserve"> 28 </w:t>
            </w:r>
          </w:p>
        </w:tc>
        <w:tc>
          <w:tcPr>
            <w:tcW w:w="850" w:type="dxa"/>
            <w:tcBorders>
              <w:top w:val="single" w:sz="4" w:space="0" w:color="365F91"/>
              <w:left w:val="nil"/>
              <w:bottom w:val="single" w:sz="4" w:space="0" w:color="365F91"/>
              <w:right w:val="nil"/>
            </w:tcBorders>
            <w:shd w:val="clear" w:color="auto" w:fill="auto"/>
            <w:hideMark/>
          </w:tcPr>
          <w:p w14:paraId="5168EB40" w14:textId="77777777" w:rsidR="00410716" w:rsidRPr="00BE78CA" w:rsidRDefault="00410716" w:rsidP="00C26084">
            <w:pPr>
              <w:pStyle w:val="Tableboldblue"/>
              <w:jc w:val="right"/>
              <w:rPr>
                <w:rFonts w:cs="Calibri"/>
                <w:lang w:eastAsia="en-NZ"/>
              </w:rPr>
            </w:pPr>
            <w:r w:rsidRPr="00BE78CA">
              <w:t xml:space="preserve"> 70 </w:t>
            </w:r>
          </w:p>
        </w:tc>
        <w:tc>
          <w:tcPr>
            <w:tcW w:w="709" w:type="dxa"/>
            <w:tcBorders>
              <w:top w:val="single" w:sz="4" w:space="0" w:color="365F91"/>
              <w:left w:val="nil"/>
              <w:bottom w:val="single" w:sz="4" w:space="0" w:color="365F91"/>
              <w:right w:val="nil"/>
            </w:tcBorders>
            <w:shd w:val="clear" w:color="auto" w:fill="auto"/>
            <w:hideMark/>
          </w:tcPr>
          <w:p w14:paraId="4115CB72" w14:textId="77777777" w:rsidR="00410716" w:rsidRPr="00BE78CA" w:rsidRDefault="00410716" w:rsidP="00C26084">
            <w:pPr>
              <w:pStyle w:val="Tableboldblue"/>
              <w:jc w:val="right"/>
              <w:rPr>
                <w:rFonts w:cs="Calibri"/>
                <w:lang w:eastAsia="en-NZ"/>
              </w:rPr>
            </w:pPr>
            <w:r w:rsidRPr="00BE78CA">
              <w:t xml:space="preserve"> 122 </w:t>
            </w:r>
          </w:p>
        </w:tc>
        <w:tc>
          <w:tcPr>
            <w:tcW w:w="709" w:type="dxa"/>
            <w:tcBorders>
              <w:top w:val="single" w:sz="4" w:space="0" w:color="365F91"/>
              <w:left w:val="nil"/>
              <w:bottom w:val="single" w:sz="4" w:space="0" w:color="365F91"/>
              <w:right w:val="nil"/>
            </w:tcBorders>
            <w:shd w:val="clear" w:color="auto" w:fill="auto"/>
            <w:hideMark/>
          </w:tcPr>
          <w:p w14:paraId="7C2A9C0B" w14:textId="77777777" w:rsidR="00410716" w:rsidRPr="00BE78CA" w:rsidRDefault="00410716" w:rsidP="00C26084">
            <w:pPr>
              <w:pStyle w:val="Tableboldblue"/>
              <w:jc w:val="right"/>
              <w:rPr>
                <w:rFonts w:cs="Calibri"/>
                <w:lang w:eastAsia="en-NZ"/>
              </w:rPr>
            </w:pPr>
            <w:r w:rsidRPr="00BE78CA">
              <w:t xml:space="preserve"> 205 </w:t>
            </w:r>
          </w:p>
        </w:tc>
        <w:tc>
          <w:tcPr>
            <w:tcW w:w="708" w:type="dxa"/>
            <w:tcBorders>
              <w:top w:val="single" w:sz="4" w:space="0" w:color="365F91"/>
              <w:left w:val="nil"/>
              <w:bottom w:val="single" w:sz="4" w:space="0" w:color="365F91"/>
              <w:right w:val="nil"/>
            </w:tcBorders>
            <w:shd w:val="clear" w:color="auto" w:fill="auto"/>
            <w:hideMark/>
          </w:tcPr>
          <w:p w14:paraId="09B144B7" w14:textId="77777777" w:rsidR="00410716" w:rsidRPr="00BE78CA" w:rsidRDefault="00410716" w:rsidP="00C26084">
            <w:pPr>
              <w:pStyle w:val="Tableboldblue"/>
              <w:jc w:val="right"/>
              <w:rPr>
                <w:rFonts w:cs="Calibri"/>
                <w:lang w:eastAsia="en-NZ"/>
              </w:rPr>
            </w:pPr>
            <w:r w:rsidRPr="00BE78CA">
              <w:t xml:space="preserve"> 265 </w:t>
            </w:r>
          </w:p>
        </w:tc>
        <w:tc>
          <w:tcPr>
            <w:tcW w:w="709" w:type="dxa"/>
            <w:tcBorders>
              <w:top w:val="single" w:sz="4" w:space="0" w:color="365F91"/>
              <w:left w:val="nil"/>
              <w:bottom w:val="single" w:sz="4" w:space="0" w:color="365F91"/>
              <w:right w:val="nil"/>
            </w:tcBorders>
            <w:shd w:val="clear" w:color="auto" w:fill="auto"/>
            <w:hideMark/>
          </w:tcPr>
          <w:p w14:paraId="70A5D78D" w14:textId="77777777" w:rsidR="00410716" w:rsidRPr="00BE78CA" w:rsidRDefault="00410716" w:rsidP="00C26084">
            <w:pPr>
              <w:pStyle w:val="Tableboldblue"/>
              <w:jc w:val="right"/>
              <w:rPr>
                <w:rFonts w:cs="Calibri"/>
                <w:lang w:eastAsia="en-NZ"/>
              </w:rPr>
            </w:pPr>
            <w:r w:rsidRPr="00BE78CA">
              <w:t xml:space="preserve"> 327 </w:t>
            </w:r>
          </w:p>
        </w:tc>
        <w:tc>
          <w:tcPr>
            <w:tcW w:w="702" w:type="dxa"/>
            <w:tcBorders>
              <w:top w:val="single" w:sz="4" w:space="0" w:color="365F91"/>
              <w:left w:val="nil"/>
              <w:bottom w:val="single" w:sz="4" w:space="0" w:color="365F91"/>
              <w:right w:val="nil"/>
            </w:tcBorders>
            <w:shd w:val="clear" w:color="auto" w:fill="auto"/>
            <w:hideMark/>
          </w:tcPr>
          <w:p w14:paraId="254B2978" w14:textId="77777777" w:rsidR="00410716" w:rsidRPr="00BE78CA" w:rsidRDefault="00410716" w:rsidP="00C26084">
            <w:pPr>
              <w:pStyle w:val="Tableboldblue"/>
              <w:jc w:val="right"/>
              <w:rPr>
                <w:rFonts w:cs="Calibri"/>
                <w:lang w:eastAsia="en-NZ"/>
              </w:rPr>
            </w:pPr>
            <w:r w:rsidRPr="00BE78CA">
              <w:t xml:space="preserve"> 376 </w:t>
            </w:r>
          </w:p>
        </w:tc>
        <w:tc>
          <w:tcPr>
            <w:tcW w:w="716" w:type="dxa"/>
            <w:tcBorders>
              <w:top w:val="single" w:sz="4" w:space="0" w:color="365F91"/>
              <w:left w:val="nil"/>
              <w:bottom w:val="single" w:sz="4" w:space="0" w:color="365F91"/>
              <w:right w:val="nil"/>
            </w:tcBorders>
            <w:shd w:val="clear" w:color="auto" w:fill="auto"/>
            <w:hideMark/>
          </w:tcPr>
          <w:p w14:paraId="4F82B423" w14:textId="77777777" w:rsidR="00410716" w:rsidRPr="00BE78CA" w:rsidRDefault="00410716" w:rsidP="00C26084">
            <w:pPr>
              <w:pStyle w:val="Tableboldblue"/>
              <w:jc w:val="right"/>
              <w:rPr>
                <w:rFonts w:cs="Calibri"/>
                <w:lang w:eastAsia="en-NZ"/>
              </w:rPr>
            </w:pPr>
            <w:r w:rsidRPr="00BE78CA">
              <w:t xml:space="preserve"> 419 </w:t>
            </w:r>
          </w:p>
        </w:tc>
        <w:tc>
          <w:tcPr>
            <w:tcW w:w="716" w:type="dxa"/>
            <w:tcBorders>
              <w:top w:val="single" w:sz="4" w:space="0" w:color="365F91"/>
              <w:left w:val="nil"/>
              <w:bottom w:val="single" w:sz="4" w:space="0" w:color="365F91"/>
              <w:right w:val="nil"/>
            </w:tcBorders>
          </w:tcPr>
          <w:p w14:paraId="644590DC" w14:textId="77777777" w:rsidR="00410716" w:rsidRPr="00BE78CA" w:rsidRDefault="00410716" w:rsidP="00C26084">
            <w:pPr>
              <w:pStyle w:val="Tableboldblue"/>
              <w:jc w:val="right"/>
              <w:rPr>
                <w:rFonts w:cs="Calibri"/>
                <w:lang w:eastAsia="en-NZ"/>
              </w:rPr>
            </w:pPr>
            <w:r w:rsidRPr="00BE78CA">
              <w:t xml:space="preserve"> 454 </w:t>
            </w:r>
          </w:p>
        </w:tc>
      </w:tr>
      <w:tr w:rsidR="00410716" w:rsidRPr="00BE78CA" w14:paraId="01F07311" w14:textId="77777777" w:rsidTr="00F47CED">
        <w:tc>
          <w:tcPr>
            <w:tcW w:w="5137" w:type="dxa"/>
            <w:gridSpan w:val="2"/>
            <w:tcBorders>
              <w:top w:val="single" w:sz="4" w:space="0" w:color="365F91"/>
              <w:left w:val="nil"/>
              <w:bottom w:val="nil"/>
              <w:right w:val="nil"/>
            </w:tcBorders>
            <w:shd w:val="clear" w:color="auto" w:fill="auto"/>
            <w:noWrap/>
            <w:hideMark/>
          </w:tcPr>
          <w:p w14:paraId="4DD446BC" w14:textId="77777777" w:rsidR="00410716" w:rsidRPr="00BE78CA" w:rsidRDefault="00410716" w:rsidP="00C26084">
            <w:pPr>
              <w:pStyle w:val="TableText"/>
              <w:rPr>
                <w:rFonts w:cs="Calibri"/>
              </w:rPr>
            </w:pPr>
            <w:r w:rsidRPr="00BE78CA">
              <w:rPr>
                <w:rFonts w:cs="Calibri"/>
              </w:rPr>
              <w:t>Land in transition (under a 20 year transition period)</w:t>
            </w:r>
          </w:p>
        </w:tc>
        <w:tc>
          <w:tcPr>
            <w:tcW w:w="851" w:type="dxa"/>
            <w:tcBorders>
              <w:top w:val="single" w:sz="4" w:space="0" w:color="365F91"/>
              <w:left w:val="nil"/>
              <w:bottom w:val="nil"/>
              <w:right w:val="nil"/>
            </w:tcBorders>
            <w:shd w:val="clear" w:color="auto" w:fill="auto"/>
            <w:noWrap/>
            <w:vAlign w:val="bottom"/>
            <w:hideMark/>
          </w:tcPr>
          <w:p w14:paraId="63AA8152" w14:textId="77777777" w:rsidR="00410716" w:rsidRPr="00BE78CA" w:rsidRDefault="00410716" w:rsidP="00C26084">
            <w:pPr>
              <w:pStyle w:val="TableText"/>
              <w:rPr>
                <w:rFonts w:cs="Calibri"/>
              </w:rPr>
            </w:pPr>
          </w:p>
        </w:tc>
        <w:tc>
          <w:tcPr>
            <w:tcW w:w="850" w:type="dxa"/>
            <w:tcBorders>
              <w:top w:val="single" w:sz="4" w:space="0" w:color="365F91"/>
              <w:left w:val="nil"/>
              <w:bottom w:val="nil"/>
              <w:right w:val="nil"/>
            </w:tcBorders>
            <w:shd w:val="clear" w:color="auto" w:fill="auto"/>
            <w:noWrap/>
            <w:vAlign w:val="bottom"/>
            <w:hideMark/>
          </w:tcPr>
          <w:p w14:paraId="1F301DA1" w14:textId="77777777" w:rsidR="00410716" w:rsidRPr="00BE78CA" w:rsidRDefault="00410716" w:rsidP="00C26084">
            <w:pPr>
              <w:pStyle w:val="TableText"/>
              <w:rPr>
                <w:rFonts w:cs="Calibri"/>
              </w:rPr>
            </w:pPr>
          </w:p>
        </w:tc>
        <w:tc>
          <w:tcPr>
            <w:tcW w:w="851" w:type="dxa"/>
            <w:tcBorders>
              <w:top w:val="single" w:sz="4" w:space="0" w:color="365F91"/>
              <w:left w:val="nil"/>
              <w:bottom w:val="nil"/>
              <w:right w:val="nil"/>
            </w:tcBorders>
            <w:shd w:val="clear" w:color="auto" w:fill="auto"/>
            <w:noWrap/>
            <w:vAlign w:val="bottom"/>
            <w:hideMark/>
          </w:tcPr>
          <w:p w14:paraId="13ED601D" w14:textId="77777777" w:rsidR="00410716" w:rsidRPr="00BE78CA" w:rsidRDefault="00410716" w:rsidP="00C26084">
            <w:pPr>
              <w:pStyle w:val="TableText"/>
              <w:rPr>
                <w:rFonts w:cs="Calibri"/>
              </w:rPr>
            </w:pPr>
          </w:p>
        </w:tc>
        <w:tc>
          <w:tcPr>
            <w:tcW w:w="850" w:type="dxa"/>
            <w:tcBorders>
              <w:top w:val="single" w:sz="4" w:space="0" w:color="365F91"/>
              <w:left w:val="nil"/>
              <w:bottom w:val="nil"/>
              <w:right w:val="nil"/>
            </w:tcBorders>
            <w:shd w:val="clear" w:color="auto" w:fill="auto"/>
            <w:noWrap/>
            <w:vAlign w:val="bottom"/>
            <w:hideMark/>
          </w:tcPr>
          <w:p w14:paraId="148CFBF9" w14:textId="77777777" w:rsidR="00410716" w:rsidRPr="00BE78CA" w:rsidRDefault="00410716" w:rsidP="00C26084">
            <w:pPr>
              <w:pStyle w:val="TableText"/>
              <w:rPr>
                <w:rFonts w:cs="Calibri"/>
              </w:rPr>
            </w:pPr>
          </w:p>
        </w:tc>
        <w:tc>
          <w:tcPr>
            <w:tcW w:w="709" w:type="dxa"/>
            <w:tcBorders>
              <w:top w:val="single" w:sz="4" w:space="0" w:color="365F91"/>
              <w:left w:val="nil"/>
              <w:bottom w:val="nil"/>
              <w:right w:val="nil"/>
            </w:tcBorders>
            <w:shd w:val="clear" w:color="auto" w:fill="auto"/>
            <w:noWrap/>
            <w:vAlign w:val="bottom"/>
            <w:hideMark/>
          </w:tcPr>
          <w:p w14:paraId="7FAB4536" w14:textId="77777777" w:rsidR="00410716" w:rsidRPr="00BE78CA" w:rsidRDefault="00410716" w:rsidP="00C26084">
            <w:pPr>
              <w:pStyle w:val="TableText"/>
              <w:rPr>
                <w:rFonts w:cs="Calibri"/>
              </w:rPr>
            </w:pPr>
          </w:p>
        </w:tc>
        <w:tc>
          <w:tcPr>
            <w:tcW w:w="709" w:type="dxa"/>
            <w:tcBorders>
              <w:top w:val="single" w:sz="4" w:space="0" w:color="365F91"/>
              <w:left w:val="nil"/>
              <w:bottom w:val="nil"/>
              <w:right w:val="nil"/>
            </w:tcBorders>
            <w:shd w:val="clear" w:color="auto" w:fill="auto"/>
            <w:noWrap/>
            <w:vAlign w:val="bottom"/>
            <w:hideMark/>
          </w:tcPr>
          <w:p w14:paraId="688B2CF0" w14:textId="77777777" w:rsidR="00410716" w:rsidRPr="00BE78CA" w:rsidRDefault="00410716" w:rsidP="00C26084">
            <w:pPr>
              <w:pStyle w:val="TableText"/>
              <w:rPr>
                <w:rFonts w:cs="Calibri"/>
              </w:rPr>
            </w:pPr>
          </w:p>
        </w:tc>
        <w:tc>
          <w:tcPr>
            <w:tcW w:w="708" w:type="dxa"/>
            <w:tcBorders>
              <w:top w:val="single" w:sz="4" w:space="0" w:color="365F91"/>
              <w:left w:val="nil"/>
              <w:bottom w:val="nil"/>
              <w:right w:val="nil"/>
            </w:tcBorders>
            <w:shd w:val="clear" w:color="auto" w:fill="auto"/>
            <w:noWrap/>
            <w:vAlign w:val="bottom"/>
            <w:hideMark/>
          </w:tcPr>
          <w:p w14:paraId="3E47EB00" w14:textId="77777777" w:rsidR="00410716" w:rsidRPr="00BE78CA" w:rsidRDefault="00410716" w:rsidP="00C26084">
            <w:pPr>
              <w:pStyle w:val="TableText"/>
              <w:rPr>
                <w:rFonts w:cs="Calibri"/>
              </w:rPr>
            </w:pPr>
          </w:p>
        </w:tc>
        <w:tc>
          <w:tcPr>
            <w:tcW w:w="709" w:type="dxa"/>
            <w:tcBorders>
              <w:top w:val="single" w:sz="4" w:space="0" w:color="365F91"/>
              <w:left w:val="nil"/>
              <w:bottom w:val="nil"/>
              <w:right w:val="nil"/>
            </w:tcBorders>
            <w:shd w:val="clear" w:color="auto" w:fill="auto"/>
            <w:noWrap/>
            <w:vAlign w:val="bottom"/>
            <w:hideMark/>
          </w:tcPr>
          <w:p w14:paraId="680F237B" w14:textId="77777777" w:rsidR="00410716" w:rsidRPr="00BE78CA" w:rsidRDefault="00410716" w:rsidP="00C26084">
            <w:pPr>
              <w:pStyle w:val="TableText"/>
              <w:rPr>
                <w:rFonts w:cs="Calibri"/>
              </w:rPr>
            </w:pPr>
          </w:p>
        </w:tc>
        <w:tc>
          <w:tcPr>
            <w:tcW w:w="702" w:type="dxa"/>
            <w:tcBorders>
              <w:top w:val="single" w:sz="4" w:space="0" w:color="365F91"/>
              <w:left w:val="nil"/>
              <w:bottom w:val="nil"/>
              <w:right w:val="nil"/>
            </w:tcBorders>
            <w:shd w:val="clear" w:color="auto" w:fill="auto"/>
            <w:noWrap/>
            <w:vAlign w:val="bottom"/>
            <w:hideMark/>
          </w:tcPr>
          <w:p w14:paraId="27D126A3" w14:textId="77777777" w:rsidR="00410716" w:rsidRPr="00BE78CA" w:rsidRDefault="00410716" w:rsidP="00C26084">
            <w:pPr>
              <w:pStyle w:val="TableText"/>
              <w:rPr>
                <w:rFonts w:cs="Calibri"/>
              </w:rPr>
            </w:pPr>
          </w:p>
        </w:tc>
        <w:tc>
          <w:tcPr>
            <w:tcW w:w="716" w:type="dxa"/>
            <w:tcBorders>
              <w:top w:val="single" w:sz="4" w:space="0" w:color="365F91"/>
              <w:left w:val="nil"/>
              <w:bottom w:val="nil"/>
              <w:right w:val="nil"/>
            </w:tcBorders>
            <w:shd w:val="clear" w:color="auto" w:fill="auto"/>
            <w:noWrap/>
            <w:vAlign w:val="bottom"/>
            <w:hideMark/>
          </w:tcPr>
          <w:p w14:paraId="1DC405D9" w14:textId="77777777" w:rsidR="00410716" w:rsidRPr="00BE78CA" w:rsidRDefault="00410716" w:rsidP="00C26084">
            <w:pPr>
              <w:pStyle w:val="TableText"/>
              <w:rPr>
                <w:rFonts w:cs="Calibri"/>
              </w:rPr>
            </w:pPr>
          </w:p>
        </w:tc>
        <w:tc>
          <w:tcPr>
            <w:tcW w:w="716" w:type="dxa"/>
            <w:tcBorders>
              <w:top w:val="single" w:sz="4" w:space="0" w:color="365F91"/>
              <w:left w:val="nil"/>
              <w:bottom w:val="nil"/>
              <w:right w:val="nil"/>
            </w:tcBorders>
          </w:tcPr>
          <w:p w14:paraId="04210604" w14:textId="77777777" w:rsidR="00410716" w:rsidRPr="00BE78CA" w:rsidRDefault="00410716" w:rsidP="00C26084">
            <w:pPr>
              <w:pStyle w:val="TableText"/>
              <w:rPr>
                <w:rFonts w:cs="Calibri"/>
              </w:rPr>
            </w:pPr>
          </w:p>
        </w:tc>
      </w:tr>
      <w:tr w:rsidR="00410716" w:rsidRPr="00BE78CA" w14:paraId="7927235C" w14:textId="77777777" w:rsidTr="00F47CED">
        <w:tc>
          <w:tcPr>
            <w:tcW w:w="4287" w:type="dxa"/>
            <w:tcBorders>
              <w:top w:val="nil"/>
              <w:left w:val="nil"/>
              <w:bottom w:val="nil"/>
              <w:right w:val="nil"/>
            </w:tcBorders>
            <w:shd w:val="clear" w:color="auto" w:fill="auto"/>
            <w:noWrap/>
            <w:hideMark/>
          </w:tcPr>
          <w:p w14:paraId="007AFBB7" w14:textId="77777777" w:rsidR="00410716" w:rsidRPr="00BE78CA" w:rsidRDefault="00410716" w:rsidP="00C26084">
            <w:pPr>
              <w:pStyle w:val="TableText"/>
              <w:rPr>
                <w:rFonts w:cs="Calibri"/>
                <w:color w:val="000000"/>
              </w:rPr>
            </w:pPr>
            <w:r w:rsidRPr="00BE78CA">
              <w:rPr>
                <w:rFonts w:cs="Calibri"/>
                <w:color w:val="000000"/>
              </w:rPr>
              <w:t>New forest planted before 1990 – included in FM (kha)</w:t>
            </w:r>
          </w:p>
        </w:tc>
        <w:tc>
          <w:tcPr>
            <w:tcW w:w="850" w:type="dxa"/>
            <w:tcBorders>
              <w:top w:val="nil"/>
              <w:left w:val="nil"/>
              <w:bottom w:val="nil"/>
              <w:right w:val="nil"/>
            </w:tcBorders>
            <w:shd w:val="clear" w:color="auto" w:fill="auto"/>
            <w:noWrap/>
            <w:hideMark/>
          </w:tcPr>
          <w:p w14:paraId="0917593A" w14:textId="77777777" w:rsidR="00410716" w:rsidRPr="00BE78CA" w:rsidRDefault="00410716" w:rsidP="00C26084">
            <w:pPr>
              <w:pStyle w:val="TableText"/>
              <w:jc w:val="right"/>
              <w:rPr>
                <w:rFonts w:cs="Calibri"/>
                <w:color w:val="000000"/>
              </w:rPr>
            </w:pPr>
            <w:r w:rsidRPr="00BE78CA">
              <w:t xml:space="preserve"> 29.8 </w:t>
            </w:r>
          </w:p>
        </w:tc>
        <w:tc>
          <w:tcPr>
            <w:tcW w:w="851" w:type="dxa"/>
            <w:tcBorders>
              <w:top w:val="nil"/>
              <w:left w:val="nil"/>
              <w:bottom w:val="nil"/>
              <w:right w:val="nil"/>
            </w:tcBorders>
            <w:shd w:val="clear" w:color="auto" w:fill="auto"/>
            <w:noWrap/>
            <w:hideMark/>
          </w:tcPr>
          <w:p w14:paraId="5FC6C3F4" w14:textId="77777777" w:rsidR="00410716" w:rsidRPr="00BE78CA" w:rsidRDefault="00410716" w:rsidP="00C26084">
            <w:pPr>
              <w:pStyle w:val="TableText"/>
              <w:jc w:val="right"/>
              <w:rPr>
                <w:rFonts w:cs="Calibri"/>
                <w:color w:val="000000"/>
              </w:rPr>
            </w:pPr>
            <w:r w:rsidRPr="00BE78CA">
              <w:t>–</w:t>
            </w:r>
          </w:p>
        </w:tc>
        <w:tc>
          <w:tcPr>
            <w:tcW w:w="850" w:type="dxa"/>
            <w:tcBorders>
              <w:top w:val="nil"/>
              <w:left w:val="nil"/>
              <w:bottom w:val="nil"/>
              <w:right w:val="nil"/>
            </w:tcBorders>
            <w:shd w:val="clear" w:color="auto" w:fill="auto"/>
            <w:noWrap/>
            <w:hideMark/>
          </w:tcPr>
          <w:p w14:paraId="67585610" w14:textId="77777777" w:rsidR="00410716" w:rsidRPr="00BE78CA" w:rsidRDefault="00410716" w:rsidP="00C26084">
            <w:pPr>
              <w:pStyle w:val="TableText"/>
              <w:jc w:val="right"/>
              <w:rPr>
                <w:rFonts w:cs="Calibri"/>
                <w:color w:val="000000"/>
              </w:rPr>
            </w:pPr>
            <w:r w:rsidRPr="00BE78CA">
              <w:t>–</w:t>
            </w:r>
          </w:p>
        </w:tc>
        <w:tc>
          <w:tcPr>
            <w:tcW w:w="851" w:type="dxa"/>
            <w:tcBorders>
              <w:top w:val="nil"/>
              <w:left w:val="nil"/>
              <w:bottom w:val="nil"/>
              <w:right w:val="nil"/>
            </w:tcBorders>
            <w:shd w:val="clear" w:color="auto" w:fill="auto"/>
            <w:noWrap/>
            <w:hideMark/>
          </w:tcPr>
          <w:p w14:paraId="42EAA1D8" w14:textId="77777777" w:rsidR="00410716" w:rsidRPr="00BE78CA" w:rsidRDefault="00410716" w:rsidP="00C26084">
            <w:pPr>
              <w:pStyle w:val="TableText"/>
              <w:jc w:val="right"/>
              <w:rPr>
                <w:rFonts w:cs="Calibri"/>
                <w:color w:val="000000"/>
              </w:rPr>
            </w:pPr>
            <w:r w:rsidRPr="00BE78CA">
              <w:t>–</w:t>
            </w:r>
          </w:p>
        </w:tc>
        <w:tc>
          <w:tcPr>
            <w:tcW w:w="850" w:type="dxa"/>
            <w:tcBorders>
              <w:top w:val="nil"/>
              <w:left w:val="nil"/>
              <w:bottom w:val="nil"/>
              <w:right w:val="nil"/>
            </w:tcBorders>
            <w:shd w:val="clear" w:color="auto" w:fill="auto"/>
            <w:noWrap/>
            <w:hideMark/>
          </w:tcPr>
          <w:p w14:paraId="3E4FA2E0" w14:textId="77777777" w:rsidR="00410716" w:rsidRPr="00BE78CA" w:rsidRDefault="00410716" w:rsidP="00C26084">
            <w:pPr>
              <w:pStyle w:val="TableText"/>
              <w:jc w:val="right"/>
              <w:rPr>
                <w:rFonts w:cs="Calibri"/>
                <w:color w:val="000000"/>
              </w:rPr>
            </w:pPr>
            <w:r w:rsidRPr="00BE78CA">
              <w:t>–</w:t>
            </w:r>
          </w:p>
        </w:tc>
        <w:tc>
          <w:tcPr>
            <w:tcW w:w="709" w:type="dxa"/>
            <w:tcBorders>
              <w:top w:val="nil"/>
              <w:left w:val="nil"/>
              <w:bottom w:val="nil"/>
              <w:right w:val="nil"/>
            </w:tcBorders>
            <w:shd w:val="clear" w:color="auto" w:fill="auto"/>
            <w:noWrap/>
            <w:hideMark/>
          </w:tcPr>
          <w:p w14:paraId="10284930" w14:textId="77777777" w:rsidR="00410716" w:rsidRPr="00BE78CA" w:rsidRDefault="00410716" w:rsidP="00C26084">
            <w:pPr>
              <w:pStyle w:val="TableText"/>
              <w:jc w:val="right"/>
              <w:rPr>
                <w:rFonts w:cs="Calibri"/>
                <w:color w:val="000000"/>
              </w:rPr>
            </w:pPr>
            <w:r w:rsidRPr="00BE78CA">
              <w:t>–</w:t>
            </w:r>
          </w:p>
        </w:tc>
        <w:tc>
          <w:tcPr>
            <w:tcW w:w="709" w:type="dxa"/>
            <w:tcBorders>
              <w:top w:val="nil"/>
              <w:left w:val="nil"/>
              <w:bottom w:val="nil"/>
              <w:right w:val="nil"/>
            </w:tcBorders>
            <w:shd w:val="clear" w:color="auto" w:fill="auto"/>
            <w:noWrap/>
            <w:hideMark/>
          </w:tcPr>
          <w:p w14:paraId="748C79CC" w14:textId="77777777" w:rsidR="00410716" w:rsidRPr="00BE78CA" w:rsidRDefault="00410716" w:rsidP="00C26084">
            <w:pPr>
              <w:pStyle w:val="TableText"/>
              <w:jc w:val="right"/>
              <w:rPr>
                <w:rFonts w:cs="Calibri"/>
                <w:color w:val="000000"/>
              </w:rPr>
            </w:pPr>
            <w:r w:rsidRPr="00BE78CA">
              <w:t>–</w:t>
            </w:r>
          </w:p>
        </w:tc>
        <w:tc>
          <w:tcPr>
            <w:tcW w:w="708" w:type="dxa"/>
            <w:tcBorders>
              <w:top w:val="nil"/>
              <w:left w:val="nil"/>
              <w:bottom w:val="nil"/>
              <w:right w:val="nil"/>
            </w:tcBorders>
            <w:shd w:val="clear" w:color="auto" w:fill="auto"/>
            <w:noWrap/>
            <w:hideMark/>
          </w:tcPr>
          <w:p w14:paraId="4C296C43" w14:textId="77777777" w:rsidR="00410716" w:rsidRPr="00BE78CA" w:rsidRDefault="00410716" w:rsidP="00C26084">
            <w:pPr>
              <w:pStyle w:val="TableText"/>
              <w:jc w:val="right"/>
              <w:rPr>
                <w:rFonts w:cs="Calibri"/>
                <w:color w:val="000000"/>
              </w:rPr>
            </w:pPr>
            <w:r w:rsidRPr="00BE78CA">
              <w:t>–</w:t>
            </w:r>
          </w:p>
        </w:tc>
        <w:tc>
          <w:tcPr>
            <w:tcW w:w="709" w:type="dxa"/>
            <w:tcBorders>
              <w:top w:val="nil"/>
              <w:left w:val="nil"/>
              <w:bottom w:val="nil"/>
              <w:right w:val="nil"/>
            </w:tcBorders>
            <w:shd w:val="clear" w:color="auto" w:fill="auto"/>
            <w:noWrap/>
            <w:hideMark/>
          </w:tcPr>
          <w:p w14:paraId="6C2B2892" w14:textId="77777777" w:rsidR="00410716" w:rsidRPr="00BE78CA" w:rsidRDefault="00410716" w:rsidP="00C26084">
            <w:pPr>
              <w:pStyle w:val="TableText"/>
              <w:jc w:val="right"/>
              <w:rPr>
                <w:rFonts w:cs="Calibri"/>
                <w:color w:val="000000"/>
              </w:rPr>
            </w:pPr>
            <w:r w:rsidRPr="00BE78CA">
              <w:t>–</w:t>
            </w:r>
          </w:p>
        </w:tc>
        <w:tc>
          <w:tcPr>
            <w:tcW w:w="702" w:type="dxa"/>
            <w:tcBorders>
              <w:top w:val="nil"/>
              <w:left w:val="nil"/>
              <w:bottom w:val="nil"/>
              <w:right w:val="nil"/>
            </w:tcBorders>
            <w:shd w:val="clear" w:color="auto" w:fill="auto"/>
            <w:noWrap/>
            <w:hideMark/>
          </w:tcPr>
          <w:p w14:paraId="4EC047E6" w14:textId="77777777" w:rsidR="00410716" w:rsidRPr="00BE78CA" w:rsidRDefault="00410716" w:rsidP="00C26084">
            <w:pPr>
              <w:pStyle w:val="TableText"/>
              <w:jc w:val="right"/>
              <w:rPr>
                <w:rFonts w:cs="Calibri"/>
                <w:color w:val="000000"/>
              </w:rPr>
            </w:pPr>
            <w:r w:rsidRPr="00BE78CA">
              <w:t>–</w:t>
            </w:r>
          </w:p>
        </w:tc>
        <w:tc>
          <w:tcPr>
            <w:tcW w:w="716" w:type="dxa"/>
            <w:tcBorders>
              <w:top w:val="nil"/>
              <w:left w:val="nil"/>
              <w:bottom w:val="nil"/>
              <w:right w:val="nil"/>
            </w:tcBorders>
            <w:shd w:val="clear" w:color="auto" w:fill="auto"/>
            <w:noWrap/>
            <w:hideMark/>
          </w:tcPr>
          <w:p w14:paraId="41931AE5" w14:textId="77777777" w:rsidR="00410716" w:rsidRPr="00BE78CA" w:rsidRDefault="00410716" w:rsidP="00C26084">
            <w:pPr>
              <w:pStyle w:val="TableText"/>
              <w:jc w:val="right"/>
              <w:rPr>
                <w:rFonts w:cs="Calibri"/>
                <w:color w:val="000000"/>
              </w:rPr>
            </w:pPr>
            <w:r w:rsidRPr="00BE78CA">
              <w:t>–</w:t>
            </w:r>
          </w:p>
        </w:tc>
        <w:tc>
          <w:tcPr>
            <w:tcW w:w="716" w:type="dxa"/>
            <w:tcBorders>
              <w:top w:val="nil"/>
              <w:left w:val="nil"/>
              <w:bottom w:val="nil"/>
              <w:right w:val="nil"/>
            </w:tcBorders>
          </w:tcPr>
          <w:p w14:paraId="437BA2F3" w14:textId="77777777" w:rsidR="00410716" w:rsidRPr="00BE78CA" w:rsidRDefault="00410716" w:rsidP="00C26084">
            <w:pPr>
              <w:pStyle w:val="TableText"/>
              <w:jc w:val="right"/>
              <w:rPr>
                <w:rFonts w:cs="Calibri"/>
                <w:color w:val="000000"/>
              </w:rPr>
            </w:pPr>
            <w:r w:rsidRPr="00BE78CA">
              <w:t>–</w:t>
            </w:r>
          </w:p>
        </w:tc>
      </w:tr>
      <w:tr w:rsidR="00410716" w:rsidRPr="00BE78CA" w14:paraId="30748249" w14:textId="77777777" w:rsidTr="00F47CED">
        <w:tc>
          <w:tcPr>
            <w:tcW w:w="4287" w:type="dxa"/>
            <w:tcBorders>
              <w:top w:val="nil"/>
              <w:left w:val="nil"/>
              <w:bottom w:val="nil"/>
              <w:right w:val="nil"/>
            </w:tcBorders>
            <w:shd w:val="clear" w:color="auto" w:fill="auto"/>
            <w:noWrap/>
          </w:tcPr>
          <w:p w14:paraId="6D846D84" w14:textId="77777777" w:rsidR="00410716" w:rsidRPr="00BE78CA" w:rsidRDefault="00410716" w:rsidP="00C26084">
            <w:pPr>
              <w:pStyle w:val="TableText"/>
              <w:rPr>
                <w:rFonts w:cs="Calibri"/>
                <w:color w:val="000000"/>
              </w:rPr>
            </w:pPr>
            <w:r w:rsidRPr="00BE78CA">
              <w:rPr>
                <w:rFonts w:cs="Calibri"/>
                <w:color w:val="000000"/>
              </w:rPr>
              <w:t>New forest planted after 1990 – included in A&amp;R (kha)</w:t>
            </w:r>
          </w:p>
        </w:tc>
        <w:tc>
          <w:tcPr>
            <w:tcW w:w="850" w:type="dxa"/>
            <w:tcBorders>
              <w:top w:val="nil"/>
              <w:left w:val="nil"/>
              <w:bottom w:val="nil"/>
              <w:right w:val="nil"/>
            </w:tcBorders>
            <w:shd w:val="clear" w:color="auto" w:fill="auto"/>
            <w:noWrap/>
          </w:tcPr>
          <w:p w14:paraId="0C6A4CC7" w14:textId="77777777" w:rsidR="00410716" w:rsidRPr="00BE78CA" w:rsidRDefault="00410716" w:rsidP="00C26084">
            <w:pPr>
              <w:pStyle w:val="TableText"/>
              <w:jc w:val="right"/>
              <w:rPr>
                <w:rFonts w:cs="Calibri"/>
                <w:color w:val="000000"/>
              </w:rPr>
            </w:pPr>
            <w:r w:rsidRPr="00BE78CA">
              <w:t>–</w:t>
            </w:r>
          </w:p>
        </w:tc>
        <w:tc>
          <w:tcPr>
            <w:tcW w:w="851" w:type="dxa"/>
            <w:tcBorders>
              <w:top w:val="nil"/>
              <w:left w:val="nil"/>
              <w:bottom w:val="nil"/>
              <w:right w:val="nil"/>
            </w:tcBorders>
            <w:shd w:val="clear" w:color="auto" w:fill="auto"/>
            <w:noWrap/>
          </w:tcPr>
          <w:p w14:paraId="65103074" w14:textId="77777777" w:rsidR="00410716" w:rsidRPr="00BE78CA" w:rsidRDefault="00410716" w:rsidP="00C26084">
            <w:pPr>
              <w:pStyle w:val="TableText"/>
              <w:jc w:val="right"/>
              <w:rPr>
                <w:rFonts w:cs="Calibri"/>
                <w:color w:val="000000"/>
              </w:rPr>
            </w:pPr>
            <w:r w:rsidRPr="00BE78CA">
              <w:t>–</w:t>
            </w:r>
          </w:p>
        </w:tc>
        <w:tc>
          <w:tcPr>
            <w:tcW w:w="850" w:type="dxa"/>
            <w:tcBorders>
              <w:top w:val="nil"/>
              <w:left w:val="nil"/>
              <w:bottom w:val="nil"/>
              <w:right w:val="nil"/>
            </w:tcBorders>
            <w:shd w:val="clear" w:color="auto" w:fill="auto"/>
            <w:noWrap/>
          </w:tcPr>
          <w:p w14:paraId="391FBAE4" w14:textId="77777777" w:rsidR="00410716" w:rsidRPr="00BE78CA" w:rsidRDefault="00410716" w:rsidP="00C26084">
            <w:pPr>
              <w:pStyle w:val="TableText"/>
              <w:jc w:val="right"/>
              <w:rPr>
                <w:rFonts w:cs="Calibri"/>
                <w:color w:val="000000"/>
              </w:rPr>
            </w:pPr>
            <w:r w:rsidRPr="00BE78CA">
              <w:t xml:space="preserve">–14.5 </w:t>
            </w:r>
          </w:p>
        </w:tc>
        <w:tc>
          <w:tcPr>
            <w:tcW w:w="851" w:type="dxa"/>
            <w:tcBorders>
              <w:top w:val="nil"/>
              <w:left w:val="nil"/>
              <w:bottom w:val="nil"/>
              <w:right w:val="nil"/>
            </w:tcBorders>
            <w:shd w:val="clear" w:color="auto" w:fill="auto"/>
            <w:noWrap/>
          </w:tcPr>
          <w:p w14:paraId="1151941F" w14:textId="77777777" w:rsidR="00410716" w:rsidRPr="00BE78CA" w:rsidRDefault="00410716" w:rsidP="00C26084">
            <w:pPr>
              <w:pStyle w:val="TableText"/>
              <w:jc w:val="right"/>
              <w:rPr>
                <w:rFonts w:cs="Calibri"/>
                <w:color w:val="000000"/>
              </w:rPr>
            </w:pPr>
            <w:r w:rsidRPr="00BE78CA">
              <w:t xml:space="preserve">–28.1 </w:t>
            </w:r>
          </w:p>
        </w:tc>
        <w:tc>
          <w:tcPr>
            <w:tcW w:w="850" w:type="dxa"/>
            <w:tcBorders>
              <w:top w:val="nil"/>
              <w:left w:val="nil"/>
              <w:bottom w:val="nil"/>
              <w:right w:val="nil"/>
            </w:tcBorders>
            <w:shd w:val="clear" w:color="auto" w:fill="auto"/>
            <w:noWrap/>
          </w:tcPr>
          <w:p w14:paraId="01AC3432" w14:textId="77777777" w:rsidR="00410716" w:rsidRPr="00BE78CA" w:rsidRDefault="00410716" w:rsidP="00C26084">
            <w:pPr>
              <w:pStyle w:val="TableText"/>
              <w:jc w:val="right"/>
              <w:rPr>
                <w:rFonts w:cs="Calibri"/>
                <w:color w:val="000000"/>
              </w:rPr>
            </w:pPr>
            <w:r w:rsidRPr="00BE78CA">
              <w:t xml:space="preserve">–70.4 </w:t>
            </w:r>
          </w:p>
        </w:tc>
        <w:tc>
          <w:tcPr>
            <w:tcW w:w="709" w:type="dxa"/>
            <w:tcBorders>
              <w:top w:val="nil"/>
              <w:left w:val="nil"/>
              <w:bottom w:val="nil"/>
              <w:right w:val="nil"/>
            </w:tcBorders>
            <w:shd w:val="clear" w:color="auto" w:fill="auto"/>
            <w:noWrap/>
          </w:tcPr>
          <w:p w14:paraId="465B07DA" w14:textId="77777777" w:rsidR="00410716" w:rsidRPr="00BE78CA" w:rsidRDefault="00410716" w:rsidP="00C26084">
            <w:pPr>
              <w:pStyle w:val="TableText"/>
              <w:jc w:val="right"/>
              <w:rPr>
                <w:rFonts w:cs="Calibri"/>
                <w:color w:val="000000"/>
              </w:rPr>
            </w:pPr>
            <w:r w:rsidRPr="00BE78CA">
              <w:t xml:space="preserve">–122.0 </w:t>
            </w:r>
          </w:p>
        </w:tc>
        <w:tc>
          <w:tcPr>
            <w:tcW w:w="709" w:type="dxa"/>
            <w:tcBorders>
              <w:top w:val="nil"/>
              <w:left w:val="nil"/>
              <w:bottom w:val="nil"/>
              <w:right w:val="nil"/>
            </w:tcBorders>
            <w:shd w:val="clear" w:color="auto" w:fill="auto"/>
            <w:noWrap/>
          </w:tcPr>
          <w:p w14:paraId="2D491E0D" w14:textId="77777777" w:rsidR="00410716" w:rsidRPr="00BE78CA" w:rsidRDefault="00410716" w:rsidP="00C26084">
            <w:pPr>
              <w:pStyle w:val="TableText"/>
              <w:jc w:val="right"/>
              <w:rPr>
                <w:rFonts w:cs="Calibri"/>
                <w:color w:val="000000"/>
              </w:rPr>
            </w:pPr>
            <w:r w:rsidRPr="00BE78CA">
              <w:t xml:space="preserve">–204.7 </w:t>
            </w:r>
          </w:p>
        </w:tc>
        <w:tc>
          <w:tcPr>
            <w:tcW w:w="708" w:type="dxa"/>
            <w:tcBorders>
              <w:top w:val="nil"/>
              <w:left w:val="nil"/>
              <w:bottom w:val="nil"/>
              <w:right w:val="nil"/>
            </w:tcBorders>
            <w:shd w:val="clear" w:color="auto" w:fill="auto"/>
            <w:noWrap/>
          </w:tcPr>
          <w:p w14:paraId="691299C2" w14:textId="77777777" w:rsidR="00410716" w:rsidRPr="00BE78CA" w:rsidRDefault="00410716" w:rsidP="00C26084">
            <w:pPr>
              <w:pStyle w:val="TableText"/>
              <w:jc w:val="right"/>
              <w:rPr>
                <w:rFonts w:cs="Calibri"/>
                <w:color w:val="000000"/>
              </w:rPr>
            </w:pPr>
            <w:r w:rsidRPr="00BE78CA">
              <w:t xml:space="preserve">–266.1 </w:t>
            </w:r>
          </w:p>
        </w:tc>
        <w:tc>
          <w:tcPr>
            <w:tcW w:w="709" w:type="dxa"/>
            <w:tcBorders>
              <w:top w:val="nil"/>
              <w:left w:val="nil"/>
              <w:bottom w:val="nil"/>
              <w:right w:val="nil"/>
            </w:tcBorders>
            <w:shd w:val="clear" w:color="auto" w:fill="auto"/>
            <w:noWrap/>
          </w:tcPr>
          <w:p w14:paraId="09A19ACB" w14:textId="77777777" w:rsidR="00410716" w:rsidRPr="00BE78CA" w:rsidRDefault="00410716" w:rsidP="00C26084">
            <w:pPr>
              <w:pStyle w:val="TableText"/>
              <w:jc w:val="right"/>
              <w:rPr>
                <w:rFonts w:cs="Calibri"/>
                <w:color w:val="000000"/>
              </w:rPr>
            </w:pPr>
            <w:r w:rsidRPr="00BE78CA">
              <w:t xml:space="preserve">–330.0 </w:t>
            </w:r>
          </w:p>
        </w:tc>
        <w:tc>
          <w:tcPr>
            <w:tcW w:w="702" w:type="dxa"/>
            <w:tcBorders>
              <w:top w:val="nil"/>
              <w:left w:val="nil"/>
              <w:bottom w:val="nil"/>
              <w:right w:val="nil"/>
            </w:tcBorders>
            <w:shd w:val="clear" w:color="auto" w:fill="auto"/>
            <w:noWrap/>
          </w:tcPr>
          <w:p w14:paraId="17BC2621" w14:textId="77777777" w:rsidR="00410716" w:rsidRPr="00BE78CA" w:rsidRDefault="00410716" w:rsidP="00C26084">
            <w:pPr>
              <w:pStyle w:val="TableText"/>
              <w:jc w:val="right"/>
              <w:rPr>
                <w:rFonts w:cs="Calibri"/>
                <w:color w:val="000000"/>
              </w:rPr>
            </w:pPr>
            <w:r w:rsidRPr="00BE78CA">
              <w:t xml:space="preserve">–381.3 </w:t>
            </w:r>
          </w:p>
        </w:tc>
        <w:tc>
          <w:tcPr>
            <w:tcW w:w="716" w:type="dxa"/>
            <w:tcBorders>
              <w:top w:val="nil"/>
              <w:left w:val="nil"/>
              <w:bottom w:val="nil"/>
              <w:right w:val="nil"/>
            </w:tcBorders>
            <w:shd w:val="clear" w:color="auto" w:fill="auto"/>
            <w:noWrap/>
          </w:tcPr>
          <w:p w14:paraId="280F854C" w14:textId="77777777" w:rsidR="00410716" w:rsidRPr="00BE78CA" w:rsidRDefault="00410716" w:rsidP="00C26084">
            <w:pPr>
              <w:pStyle w:val="TableText"/>
              <w:jc w:val="right"/>
              <w:rPr>
                <w:rFonts w:cs="Calibri"/>
                <w:color w:val="000000"/>
              </w:rPr>
            </w:pPr>
            <w:r w:rsidRPr="00BE78CA">
              <w:t xml:space="preserve">–426.2 </w:t>
            </w:r>
          </w:p>
        </w:tc>
        <w:tc>
          <w:tcPr>
            <w:tcW w:w="716" w:type="dxa"/>
            <w:tcBorders>
              <w:top w:val="nil"/>
              <w:left w:val="nil"/>
              <w:bottom w:val="nil"/>
              <w:right w:val="nil"/>
            </w:tcBorders>
          </w:tcPr>
          <w:p w14:paraId="76798F1F" w14:textId="77777777" w:rsidR="00410716" w:rsidRPr="00BE78CA" w:rsidRDefault="00410716" w:rsidP="00C26084">
            <w:pPr>
              <w:pStyle w:val="TableText"/>
              <w:jc w:val="right"/>
              <w:rPr>
                <w:rFonts w:cs="Calibri"/>
                <w:color w:val="000000"/>
              </w:rPr>
            </w:pPr>
            <w:r w:rsidRPr="00BE78CA">
              <w:t xml:space="preserve">–462.3 </w:t>
            </w:r>
          </w:p>
        </w:tc>
      </w:tr>
      <w:tr w:rsidR="00410716" w:rsidRPr="00BE78CA" w14:paraId="77CF3DFA" w14:textId="77777777" w:rsidTr="00F47CED">
        <w:tc>
          <w:tcPr>
            <w:tcW w:w="4287" w:type="dxa"/>
            <w:tcBorders>
              <w:top w:val="nil"/>
              <w:left w:val="nil"/>
              <w:bottom w:val="nil"/>
              <w:right w:val="nil"/>
            </w:tcBorders>
            <w:shd w:val="clear" w:color="auto" w:fill="auto"/>
            <w:noWrap/>
            <w:hideMark/>
          </w:tcPr>
          <w:p w14:paraId="00B70543" w14:textId="77777777" w:rsidR="00410716" w:rsidRPr="00BE78CA" w:rsidRDefault="00410716" w:rsidP="00C26084">
            <w:pPr>
              <w:pStyle w:val="TableTextBold"/>
              <w:rPr>
                <w:rFonts w:cs="Calibri"/>
                <w:noProof w:val="0"/>
              </w:rPr>
            </w:pPr>
            <w:r w:rsidRPr="00BE78CA">
              <w:rPr>
                <w:rFonts w:cs="Calibri"/>
                <w:noProof w:val="0"/>
              </w:rPr>
              <w:t>Carbon equivalent forests</w:t>
            </w:r>
          </w:p>
        </w:tc>
        <w:tc>
          <w:tcPr>
            <w:tcW w:w="850" w:type="dxa"/>
            <w:tcBorders>
              <w:top w:val="nil"/>
              <w:left w:val="nil"/>
              <w:bottom w:val="nil"/>
              <w:right w:val="nil"/>
            </w:tcBorders>
            <w:shd w:val="clear" w:color="auto" w:fill="auto"/>
            <w:noWrap/>
            <w:hideMark/>
          </w:tcPr>
          <w:p w14:paraId="08518D8C" w14:textId="77777777" w:rsidR="00410716" w:rsidRPr="00BE78CA" w:rsidRDefault="00410716" w:rsidP="00C26084">
            <w:pPr>
              <w:pStyle w:val="TableTextBold"/>
              <w:jc w:val="right"/>
              <w:rPr>
                <w:rFonts w:cs="Calibri"/>
                <w:noProof w:val="0"/>
              </w:rPr>
            </w:pPr>
          </w:p>
        </w:tc>
        <w:tc>
          <w:tcPr>
            <w:tcW w:w="851" w:type="dxa"/>
            <w:tcBorders>
              <w:top w:val="nil"/>
              <w:left w:val="nil"/>
              <w:bottom w:val="nil"/>
              <w:right w:val="nil"/>
            </w:tcBorders>
            <w:shd w:val="clear" w:color="auto" w:fill="auto"/>
            <w:noWrap/>
            <w:hideMark/>
          </w:tcPr>
          <w:p w14:paraId="3BAFDBCC" w14:textId="77777777" w:rsidR="00410716" w:rsidRPr="00BE78CA" w:rsidRDefault="00410716" w:rsidP="00C26084">
            <w:pPr>
              <w:pStyle w:val="TableTextBold"/>
              <w:jc w:val="right"/>
              <w:rPr>
                <w:rFonts w:cs="Calibri"/>
                <w:noProof w:val="0"/>
              </w:rPr>
            </w:pPr>
          </w:p>
        </w:tc>
        <w:tc>
          <w:tcPr>
            <w:tcW w:w="850" w:type="dxa"/>
            <w:tcBorders>
              <w:top w:val="nil"/>
              <w:left w:val="nil"/>
              <w:bottom w:val="nil"/>
              <w:right w:val="nil"/>
            </w:tcBorders>
            <w:shd w:val="clear" w:color="auto" w:fill="auto"/>
            <w:noWrap/>
            <w:hideMark/>
          </w:tcPr>
          <w:p w14:paraId="648FFF54" w14:textId="77777777" w:rsidR="00410716" w:rsidRPr="00BE78CA" w:rsidRDefault="00410716" w:rsidP="00C26084">
            <w:pPr>
              <w:pStyle w:val="TableTextBold"/>
              <w:jc w:val="right"/>
              <w:rPr>
                <w:rFonts w:cs="Calibri"/>
                <w:noProof w:val="0"/>
              </w:rPr>
            </w:pPr>
          </w:p>
        </w:tc>
        <w:tc>
          <w:tcPr>
            <w:tcW w:w="851" w:type="dxa"/>
            <w:tcBorders>
              <w:top w:val="nil"/>
              <w:left w:val="nil"/>
              <w:bottom w:val="nil"/>
              <w:right w:val="nil"/>
            </w:tcBorders>
            <w:shd w:val="clear" w:color="auto" w:fill="auto"/>
            <w:noWrap/>
            <w:hideMark/>
          </w:tcPr>
          <w:p w14:paraId="0343365A" w14:textId="77777777" w:rsidR="00410716" w:rsidRPr="00BE78CA" w:rsidRDefault="00410716" w:rsidP="00C26084">
            <w:pPr>
              <w:pStyle w:val="TableTextBold"/>
              <w:jc w:val="right"/>
              <w:rPr>
                <w:rFonts w:cs="Calibri"/>
                <w:noProof w:val="0"/>
              </w:rPr>
            </w:pPr>
          </w:p>
        </w:tc>
        <w:tc>
          <w:tcPr>
            <w:tcW w:w="850" w:type="dxa"/>
            <w:tcBorders>
              <w:top w:val="nil"/>
              <w:left w:val="nil"/>
              <w:bottom w:val="nil"/>
              <w:right w:val="nil"/>
            </w:tcBorders>
            <w:shd w:val="clear" w:color="auto" w:fill="auto"/>
            <w:noWrap/>
            <w:hideMark/>
          </w:tcPr>
          <w:p w14:paraId="4488BF56" w14:textId="77777777" w:rsidR="00410716" w:rsidRPr="00BE78CA" w:rsidRDefault="00410716" w:rsidP="00C26084">
            <w:pPr>
              <w:pStyle w:val="TableTextBold"/>
              <w:jc w:val="right"/>
              <w:rPr>
                <w:rFonts w:cs="Calibri"/>
                <w:noProof w:val="0"/>
              </w:rPr>
            </w:pPr>
          </w:p>
        </w:tc>
        <w:tc>
          <w:tcPr>
            <w:tcW w:w="709" w:type="dxa"/>
            <w:tcBorders>
              <w:top w:val="nil"/>
              <w:left w:val="nil"/>
              <w:bottom w:val="nil"/>
              <w:right w:val="nil"/>
            </w:tcBorders>
            <w:shd w:val="clear" w:color="auto" w:fill="auto"/>
            <w:noWrap/>
            <w:hideMark/>
          </w:tcPr>
          <w:p w14:paraId="4D211944" w14:textId="77777777" w:rsidR="00410716" w:rsidRPr="00BE78CA" w:rsidRDefault="00410716" w:rsidP="00C26084">
            <w:pPr>
              <w:pStyle w:val="TableTextBold"/>
              <w:jc w:val="right"/>
              <w:rPr>
                <w:rFonts w:cs="Calibri"/>
                <w:noProof w:val="0"/>
              </w:rPr>
            </w:pPr>
          </w:p>
        </w:tc>
        <w:tc>
          <w:tcPr>
            <w:tcW w:w="709" w:type="dxa"/>
            <w:tcBorders>
              <w:top w:val="nil"/>
              <w:left w:val="nil"/>
              <w:bottom w:val="nil"/>
              <w:right w:val="nil"/>
            </w:tcBorders>
            <w:shd w:val="clear" w:color="auto" w:fill="auto"/>
            <w:noWrap/>
            <w:hideMark/>
          </w:tcPr>
          <w:p w14:paraId="09D31A13" w14:textId="77777777" w:rsidR="00410716" w:rsidRPr="00BE78CA" w:rsidRDefault="00410716" w:rsidP="00C26084">
            <w:pPr>
              <w:pStyle w:val="TableTextBold"/>
              <w:jc w:val="right"/>
              <w:rPr>
                <w:rFonts w:cs="Calibri"/>
                <w:noProof w:val="0"/>
              </w:rPr>
            </w:pPr>
          </w:p>
        </w:tc>
        <w:tc>
          <w:tcPr>
            <w:tcW w:w="708" w:type="dxa"/>
            <w:tcBorders>
              <w:top w:val="nil"/>
              <w:left w:val="nil"/>
              <w:bottom w:val="nil"/>
              <w:right w:val="nil"/>
            </w:tcBorders>
            <w:shd w:val="clear" w:color="auto" w:fill="auto"/>
            <w:noWrap/>
            <w:hideMark/>
          </w:tcPr>
          <w:p w14:paraId="029C129D" w14:textId="77777777" w:rsidR="00410716" w:rsidRPr="00BE78CA" w:rsidRDefault="00410716" w:rsidP="00C26084">
            <w:pPr>
              <w:pStyle w:val="TableTextBold"/>
              <w:jc w:val="right"/>
              <w:rPr>
                <w:rFonts w:cs="Calibri"/>
                <w:noProof w:val="0"/>
              </w:rPr>
            </w:pPr>
          </w:p>
        </w:tc>
        <w:tc>
          <w:tcPr>
            <w:tcW w:w="709" w:type="dxa"/>
            <w:tcBorders>
              <w:top w:val="nil"/>
              <w:left w:val="nil"/>
              <w:bottom w:val="nil"/>
              <w:right w:val="nil"/>
            </w:tcBorders>
            <w:shd w:val="clear" w:color="auto" w:fill="auto"/>
            <w:noWrap/>
            <w:hideMark/>
          </w:tcPr>
          <w:p w14:paraId="3882BDFE" w14:textId="77777777" w:rsidR="00410716" w:rsidRPr="00BE78CA" w:rsidRDefault="00410716" w:rsidP="00C26084">
            <w:pPr>
              <w:pStyle w:val="TableTextBold"/>
              <w:jc w:val="right"/>
              <w:rPr>
                <w:rFonts w:cs="Calibri"/>
                <w:noProof w:val="0"/>
              </w:rPr>
            </w:pPr>
          </w:p>
        </w:tc>
        <w:tc>
          <w:tcPr>
            <w:tcW w:w="702" w:type="dxa"/>
            <w:tcBorders>
              <w:top w:val="nil"/>
              <w:left w:val="nil"/>
              <w:bottom w:val="nil"/>
              <w:right w:val="nil"/>
            </w:tcBorders>
            <w:shd w:val="clear" w:color="auto" w:fill="auto"/>
            <w:noWrap/>
            <w:hideMark/>
          </w:tcPr>
          <w:p w14:paraId="0ABF9285" w14:textId="77777777" w:rsidR="00410716" w:rsidRPr="00BE78CA" w:rsidRDefault="00410716" w:rsidP="00C26084">
            <w:pPr>
              <w:pStyle w:val="TableTextBold"/>
              <w:jc w:val="right"/>
              <w:rPr>
                <w:rFonts w:cs="Calibri"/>
                <w:noProof w:val="0"/>
              </w:rPr>
            </w:pPr>
          </w:p>
        </w:tc>
        <w:tc>
          <w:tcPr>
            <w:tcW w:w="716" w:type="dxa"/>
            <w:tcBorders>
              <w:top w:val="nil"/>
              <w:left w:val="nil"/>
              <w:bottom w:val="nil"/>
              <w:right w:val="nil"/>
            </w:tcBorders>
            <w:shd w:val="clear" w:color="auto" w:fill="auto"/>
            <w:noWrap/>
            <w:hideMark/>
          </w:tcPr>
          <w:p w14:paraId="7264A93E" w14:textId="77777777" w:rsidR="00410716" w:rsidRPr="00BE78CA" w:rsidRDefault="00410716" w:rsidP="00C26084">
            <w:pPr>
              <w:pStyle w:val="TableTextBold"/>
              <w:jc w:val="right"/>
              <w:rPr>
                <w:rFonts w:cs="Calibri"/>
                <w:noProof w:val="0"/>
              </w:rPr>
            </w:pPr>
          </w:p>
        </w:tc>
        <w:tc>
          <w:tcPr>
            <w:tcW w:w="716" w:type="dxa"/>
            <w:tcBorders>
              <w:top w:val="nil"/>
              <w:left w:val="nil"/>
              <w:bottom w:val="nil"/>
              <w:right w:val="nil"/>
            </w:tcBorders>
          </w:tcPr>
          <w:p w14:paraId="1ABDA0D1" w14:textId="77777777" w:rsidR="00410716" w:rsidRPr="00BE78CA" w:rsidRDefault="00410716" w:rsidP="00C26084">
            <w:pPr>
              <w:pStyle w:val="TableTextBold"/>
              <w:jc w:val="right"/>
              <w:rPr>
                <w:rFonts w:cs="Calibri"/>
                <w:noProof w:val="0"/>
              </w:rPr>
            </w:pPr>
          </w:p>
        </w:tc>
      </w:tr>
      <w:tr w:rsidR="00410716" w:rsidRPr="00BE78CA" w14:paraId="5B098C18" w14:textId="77777777" w:rsidTr="00F47CED">
        <w:tc>
          <w:tcPr>
            <w:tcW w:w="4287" w:type="dxa"/>
            <w:tcBorders>
              <w:top w:val="nil"/>
              <w:left w:val="nil"/>
              <w:bottom w:val="nil"/>
              <w:right w:val="nil"/>
            </w:tcBorders>
            <w:shd w:val="clear" w:color="auto" w:fill="auto"/>
            <w:noWrap/>
            <w:hideMark/>
          </w:tcPr>
          <w:p w14:paraId="648987AB" w14:textId="77777777" w:rsidR="00410716" w:rsidRPr="00BE78CA" w:rsidRDefault="00410716" w:rsidP="00C26084">
            <w:pPr>
              <w:pStyle w:val="TableText"/>
              <w:rPr>
                <w:rFonts w:cs="Calibri"/>
              </w:rPr>
            </w:pPr>
            <w:r w:rsidRPr="00BE78CA">
              <w:rPr>
                <w:rFonts w:cs="Calibri"/>
              </w:rPr>
              <w:t>CEF – Newly established</w:t>
            </w:r>
          </w:p>
        </w:tc>
        <w:tc>
          <w:tcPr>
            <w:tcW w:w="850" w:type="dxa"/>
            <w:tcBorders>
              <w:top w:val="nil"/>
              <w:left w:val="nil"/>
              <w:bottom w:val="nil"/>
              <w:right w:val="nil"/>
            </w:tcBorders>
            <w:shd w:val="clear" w:color="auto" w:fill="auto"/>
            <w:noWrap/>
            <w:hideMark/>
          </w:tcPr>
          <w:p w14:paraId="0B26A209" w14:textId="77777777" w:rsidR="00410716" w:rsidRPr="00BE78CA" w:rsidRDefault="00410716" w:rsidP="00C26084">
            <w:pPr>
              <w:pStyle w:val="TableText"/>
              <w:jc w:val="right"/>
              <w:rPr>
                <w:rFonts w:cs="Calibri"/>
              </w:rPr>
            </w:pPr>
            <w:r w:rsidRPr="00BE78CA">
              <w:t>–</w:t>
            </w:r>
          </w:p>
        </w:tc>
        <w:tc>
          <w:tcPr>
            <w:tcW w:w="851" w:type="dxa"/>
            <w:tcBorders>
              <w:top w:val="nil"/>
              <w:left w:val="nil"/>
              <w:bottom w:val="nil"/>
              <w:right w:val="nil"/>
            </w:tcBorders>
            <w:shd w:val="clear" w:color="auto" w:fill="auto"/>
            <w:noWrap/>
            <w:hideMark/>
          </w:tcPr>
          <w:p w14:paraId="6422F0DC" w14:textId="77777777" w:rsidR="00410716" w:rsidRPr="00BE78CA" w:rsidRDefault="00410716" w:rsidP="00C26084">
            <w:pPr>
              <w:pStyle w:val="TableText"/>
              <w:jc w:val="right"/>
              <w:rPr>
                <w:rFonts w:cs="Calibri"/>
              </w:rPr>
            </w:pPr>
            <w:r w:rsidRPr="00BE78CA">
              <w:t>–</w:t>
            </w:r>
          </w:p>
        </w:tc>
        <w:tc>
          <w:tcPr>
            <w:tcW w:w="850" w:type="dxa"/>
            <w:tcBorders>
              <w:top w:val="nil"/>
              <w:left w:val="nil"/>
              <w:bottom w:val="nil"/>
              <w:right w:val="nil"/>
            </w:tcBorders>
            <w:shd w:val="clear" w:color="auto" w:fill="auto"/>
            <w:noWrap/>
            <w:hideMark/>
          </w:tcPr>
          <w:p w14:paraId="2B7F0D9A" w14:textId="77777777" w:rsidR="00410716" w:rsidRPr="00BE78CA" w:rsidRDefault="00410716" w:rsidP="00C26084">
            <w:pPr>
              <w:pStyle w:val="TableText"/>
              <w:jc w:val="right"/>
              <w:rPr>
                <w:rFonts w:cs="Calibri"/>
              </w:rPr>
            </w:pPr>
            <w:r w:rsidRPr="00BE78CA">
              <w:t>–</w:t>
            </w:r>
          </w:p>
        </w:tc>
        <w:tc>
          <w:tcPr>
            <w:tcW w:w="851" w:type="dxa"/>
            <w:tcBorders>
              <w:top w:val="nil"/>
              <w:left w:val="nil"/>
              <w:bottom w:val="nil"/>
              <w:right w:val="nil"/>
            </w:tcBorders>
            <w:shd w:val="clear" w:color="auto" w:fill="auto"/>
            <w:noWrap/>
            <w:hideMark/>
          </w:tcPr>
          <w:p w14:paraId="44399314" w14:textId="77777777" w:rsidR="00410716" w:rsidRPr="00BE78CA" w:rsidRDefault="00410716" w:rsidP="00C26084">
            <w:pPr>
              <w:pStyle w:val="TableText"/>
              <w:jc w:val="right"/>
              <w:rPr>
                <w:rFonts w:cs="Calibri"/>
              </w:rPr>
            </w:pPr>
            <w:r w:rsidRPr="00BE78CA">
              <w:t>–</w:t>
            </w:r>
          </w:p>
        </w:tc>
        <w:tc>
          <w:tcPr>
            <w:tcW w:w="850" w:type="dxa"/>
            <w:tcBorders>
              <w:top w:val="nil"/>
              <w:left w:val="nil"/>
              <w:bottom w:val="nil"/>
              <w:right w:val="nil"/>
            </w:tcBorders>
            <w:shd w:val="clear" w:color="auto" w:fill="auto"/>
            <w:noWrap/>
            <w:hideMark/>
          </w:tcPr>
          <w:p w14:paraId="6FCC40B4" w14:textId="77777777" w:rsidR="00410716" w:rsidRPr="00BE78CA" w:rsidRDefault="00410716" w:rsidP="00C26084">
            <w:pPr>
              <w:pStyle w:val="TableText"/>
              <w:jc w:val="right"/>
              <w:rPr>
                <w:rFonts w:cs="Calibri"/>
              </w:rPr>
            </w:pPr>
            <w:r w:rsidRPr="00BE78CA">
              <w:t>–</w:t>
            </w:r>
          </w:p>
        </w:tc>
        <w:tc>
          <w:tcPr>
            <w:tcW w:w="709" w:type="dxa"/>
            <w:tcBorders>
              <w:top w:val="nil"/>
              <w:left w:val="nil"/>
              <w:bottom w:val="nil"/>
              <w:right w:val="nil"/>
            </w:tcBorders>
            <w:shd w:val="clear" w:color="auto" w:fill="auto"/>
            <w:noWrap/>
            <w:hideMark/>
          </w:tcPr>
          <w:p w14:paraId="09DB1C73" w14:textId="77777777" w:rsidR="00410716" w:rsidRPr="00BE78CA" w:rsidRDefault="00410716" w:rsidP="00C26084">
            <w:pPr>
              <w:pStyle w:val="TableText"/>
              <w:jc w:val="right"/>
              <w:rPr>
                <w:rFonts w:cs="Calibri"/>
              </w:rPr>
            </w:pPr>
            <w:r w:rsidRPr="00BE78CA">
              <w:t>–</w:t>
            </w:r>
          </w:p>
        </w:tc>
        <w:tc>
          <w:tcPr>
            <w:tcW w:w="709" w:type="dxa"/>
            <w:tcBorders>
              <w:top w:val="nil"/>
              <w:left w:val="nil"/>
              <w:bottom w:val="nil"/>
              <w:right w:val="nil"/>
            </w:tcBorders>
            <w:shd w:val="clear" w:color="auto" w:fill="auto"/>
            <w:noWrap/>
            <w:hideMark/>
          </w:tcPr>
          <w:p w14:paraId="35DF2059" w14:textId="77777777" w:rsidR="00410716" w:rsidRPr="00BE78CA" w:rsidRDefault="00410716" w:rsidP="00C26084">
            <w:pPr>
              <w:pStyle w:val="TableText"/>
              <w:jc w:val="right"/>
              <w:rPr>
                <w:rFonts w:cs="Calibri"/>
              </w:rPr>
            </w:pPr>
            <w:r w:rsidRPr="00BE78CA">
              <w:t>–</w:t>
            </w:r>
          </w:p>
        </w:tc>
        <w:tc>
          <w:tcPr>
            <w:tcW w:w="708" w:type="dxa"/>
            <w:tcBorders>
              <w:top w:val="nil"/>
              <w:left w:val="nil"/>
              <w:bottom w:val="nil"/>
              <w:right w:val="nil"/>
            </w:tcBorders>
            <w:shd w:val="clear" w:color="auto" w:fill="auto"/>
            <w:noWrap/>
            <w:hideMark/>
          </w:tcPr>
          <w:p w14:paraId="4BE8D57E" w14:textId="77777777" w:rsidR="00410716" w:rsidRPr="00BE78CA" w:rsidRDefault="00410716" w:rsidP="00C26084">
            <w:pPr>
              <w:pStyle w:val="TableText"/>
              <w:jc w:val="right"/>
              <w:rPr>
                <w:rFonts w:cs="Calibri"/>
              </w:rPr>
            </w:pPr>
            <w:r w:rsidRPr="00BE78CA">
              <w:t>–</w:t>
            </w:r>
          </w:p>
        </w:tc>
        <w:tc>
          <w:tcPr>
            <w:tcW w:w="709" w:type="dxa"/>
            <w:tcBorders>
              <w:top w:val="nil"/>
              <w:left w:val="nil"/>
              <w:bottom w:val="nil"/>
              <w:right w:val="nil"/>
            </w:tcBorders>
            <w:shd w:val="clear" w:color="auto" w:fill="auto"/>
            <w:noWrap/>
            <w:hideMark/>
          </w:tcPr>
          <w:p w14:paraId="3E531079" w14:textId="77777777" w:rsidR="00410716" w:rsidRPr="00BE78CA" w:rsidRDefault="00410716" w:rsidP="00C26084">
            <w:pPr>
              <w:pStyle w:val="TableText"/>
              <w:jc w:val="right"/>
              <w:rPr>
                <w:rFonts w:cs="Calibri"/>
              </w:rPr>
            </w:pPr>
            <w:r w:rsidRPr="00BE78CA">
              <w:t xml:space="preserve"> 0.6 </w:t>
            </w:r>
          </w:p>
        </w:tc>
        <w:tc>
          <w:tcPr>
            <w:tcW w:w="702" w:type="dxa"/>
            <w:tcBorders>
              <w:top w:val="nil"/>
              <w:left w:val="nil"/>
              <w:bottom w:val="nil"/>
              <w:right w:val="nil"/>
            </w:tcBorders>
            <w:shd w:val="clear" w:color="auto" w:fill="auto"/>
            <w:noWrap/>
            <w:hideMark/>
          </w:tcPr>
          <w:p w14:paraId="13ABD9A9" w14:textId="77777777" w:rsidR="00410716" w:rsidRPr="00BE78CA" w:rsidRDefault="00410716" w:rsidP="00C26084">
            <w:pPr>
              <w:pStyle w:val="TableText"/>
              <w:jc w:val="right"/>
              <w:rPr>
                <w:rFonts w:cs="Calibri"/>
              </w:rPr>
            </w:pPr>
            <w:r w:rsidRPr="00BE78CA">
              <w:t xml:space="preserve"> 2.3 </w:t>
            </w:r>
          </w:p>
        </w:tc>
        <w:tc>
          <w:tcPr>
            <w:tcW w:w="716" w:type="dxa"/>
            <w:tcBorders>
              <w:top w:val="nil"/>
              <w:left w:val="nil"/>
              <w:bottom w:val="nil"/>
              <w:right w:val="nil"/>
            </w:tcBorders>
            <w:shd w:val="clear" w:color="auto" w:fill="auto"/>
            <w:noWrap/>
            <w:hideMark/>
          </w:tcPr>
          <w:p w14:paraId="42C9EADB" w14:textId="77777777" w:rsidR="00410716" w:rsidRPr="00BE78CA" w:rsidRDefault="00410716" w:rsidP="00C26084">
            <w:pPr>
              <w:pStyle w:val="TableText"/>
              <w:jc w:val="right"/>
              <w:rPr>
                <w:rFonts w:cs="Calibri"/>
              </w:rPr>
            </w:pPr>
            <w:r w:rsidRPr="00BE78CA">
              <w:t xml:space="preserve"> 4.1 </w:t>
            </w:r>
          </w:p>
        </w:tc>
        <w:tc>
          <w:tcPr>
            <w:tcW w:w="716" w:type="dxa"/>
            <w:tcBorders>
              <w:top w:val="nil"/>
              <w:left w:val="nil"/>
              <w:bottom w:val="nil"/>
              <w:right w:val="nil"/>
            </w:tcBorders>
          </w:tcPr>
          <w:p w14:paraId="5743B1D1" w14:textId="77777777" w:rsidR="00410716" w:rsidRPr="00BE78CA" w:rsidRDefault="00410716" w:rsidP="00C26084">
            <w:pPr>
              <w:pStyle w:val="TableText"/>
              <w:jc w:val="right"/>
              <w:rPr>
                <w:rFonts w:cs="Calibri"/>
              </w:rPr>
            </w:pPr>
            <w:r w:rsidRPr="00BE78CA">
              <w:t xml:space="preserve"> 4.7 </w:t>
            </w:r>
          </w:p>
        </w:tc>
      </w:tr>
      <w:tr w:rsidR="00410716" w:rsidRPr="00BE78CA" w14:paraId="6C78939E" w14:textId="77777777" w:rsidTr="00F47CED">
        <w:tc>
          <w:tcPr>
            <w:tcW w:w="4287" w:type="dxa"/>
            <w:tcBorders>
              <w:top w:val="nil"/>
              <w:left w:val="nil"/>
              <w:bottom w:val="single" w:sz="4" w:space="0" w:color="365F91"/>
              <w:right w:val="nil"/>
            </w:tcBorders>
            <w:shd w:val="clear" w:color="auto" w:fill="auto"/>
            <w:hideMark/>
          </w:tcPr>
          <w:p w14:paraId="18506783" w14:textId="77777777" w:rsidR="00410716" w:rsidRPr="00BE78CA" w:rsidRDefault="00410716" w:rsidP="00C26084">
            <w:pPr>
              <w:pStyle w:val="TableText"/>
              <w:rPr>
                <w:rFonts w:cs="Calibri"/>
              </w:rPr>
            </w:pPr>
            <w:r w:rsidRPr="00BE78CA">
              <w:rPr>
                <w:rFonts w:cs="Calibri"/>
              </w:rPr>
              <w:t xml:space="preserve">CEF – Harvested and converted </w:t>
            </w:r>
          </w:p>
        </w:tc>
        <w:tc>
          <w:tcPr>
            <w:tcW w:w="850" w:type="dxa"/>
            <w:tcBorders>
              <w:top w:val="nil"/>
              <w:left w:val="nil"/>
              <w:bottom w:val="single" w:sz="4" w:space="0" w:color="365F91"/>
              <w:right w:val="nil"/>
            </w:tcBorders>
            <w:shd w:val="clear" w:color="auto" w:fill="auto"/>
            <w:hideMark/>
          </w:tcPr>
          <w:p w14:paraId="5F9FCA8E" w14:textId="77777777" w:rsidR="00410716" w:rsidRPr="00BE78CA" w:rsidRDefault="00410716" w:rsidP="00C26084">
            <w:pPr>
              <w:pStyle w:val="TableText"/>
              <w:jc w:val="right"/>
              <w:rPr>
                <w:rFonts w:cs="Calibri"/>
              </w:rPr>
            </w:pPr>
            <w:r w:rsidRPr="00BE78CA">
              <w:t>–</w:t>
            </w:r>
          </w:p>
        </w:tc>
        <w:tc>
          <w:tcPr>
            <w:tcW w:w="851" w:type="dxa"/>
            <w:tcBorders>
              <w:top w:val="nil"/>
              <w:left w:val="nil"/>
              <w:bottom w:val="single" w:sz="4" w:space="0" w:color="365F91"/>
              <w:right w:val="nil"/>
            </w:tcBorders>
            <w:shd w:val="clear" w:color="auto" w:fill="auto"/>
            <w:hideMark/>
          </w:tcPr>
          <w:p w14:paraId="102A8BBF" w14:textId="77777777" w:rsidR="00410716" w:rsidRPr="00BE78CA" w:rsidRDefault="00410716" w:rsidP="00C26084">
            <w:pPr>
              <w:pStyle w:val="TableText"/>
              <w:jc w:val="right"/>
              <w:rPr>
                <w:rFonts w:cs="Calibri"/>
              </w:rPr>
            </w:pPr>
            <w:r w:rsidRPr="00BE78CA">
              <w:t>–</w:t>
            </w:r>
          </w:p>
        </w:tc>
        <w:tc>
          <w:tcPr>
            <w:tcW w:w="850" w:type="dxa"/>
            <w:tcBorders>
              <w:top w:val="nil"/>
              <w:left w:val="nil"/>
              <w:bottom w:val="single" w:sz="4" w:space="0" w:color="365F91"/>
              <w:right w:val="nil"/>
            </w:tcBorders>
            <w:shd w:val="clear" w:color="auto" w:fill="auto"/>
            <w:hideMark/>
          </w:tcPr>
          <w:p w14:paraId="4B3FCFEA" w14:textId="77777777" w:rsidR="00410716" w:rsidRPr="00BE78CA" w:rsidRDefault="00410716" w:rsidP="00C26084">
            <w:pPr>
              <w:pStyle w:val="TableText"/>
              <w:jc w:val="right"/>
              <w:rPr>
                <w:rFonts w:cs="Calibri"/>
              </w:rPr>
            </w:pPr>
            <w:r w:rsidRPr="00BE78CA">
              <w:t>–</w:t>
            </w:r>
          </w:p>
        </w:tc>
        <w:tc>
          <w:tcPr>
            <w:tcW w:w="851" w:type="dxa"/>
            <w:tcBorders>
              <w:top w:val="nil"/>
              <w:left w:val="nil"/>
              <w:bottom w:val="single" w:sz="4" w:space="0" w:color="365F91"/>
              <w:right w:val="nil"/>
            </w:tcBorders>
            <w:shd w:val="clear" w:color="auto" w:fill="auto"/>
            <w:hideMark/>
          </w:tcPr>
          <w:p w14:paraId="6A182051" w14:textId="77777777" w:rsidR="00410716" w:rsidRPr="00BE78CA" w:rsidRDefault="00410716" w:rsidP="00C26084">
            <w:pPr>
              <w:pStyle w:val="TableText"/>
              <w:jc w:val="right"/>
              <w:rPr>
                <w:rFonts w:cs="Calibri"/>
              </w:rPr>
            </w:pPr>
            <w:r w:rsidRPr="00BE78CA">
              <w:t>–</w:t>
            </w:r>
          </w:p>
        </w:tc>
        <w:tc>
          <w:tcPr>
            <w:tcW w:w="850" w:type="dxa"/>
            <w:tcBorders>
              <w:top w:val="nil"/>
              <w:left w:val="nil"/>
              <w:bottom w:val="single" w:sz="4" w:space="0" w:color="365F91"/>
              <w:right w:val="nil"/>
            </w:tcBorders>
            <w:shd w:val="clear" w:color="auto" w:fill="auto"/>
            <w:hideMark/>
          </w:tcPr>
          <w:p w14:paraId="3A9CBB3D" w14:textId="77777777" w:rsidR="00410716" w:rsidRPr="00BE78CA" w:rsidRDefault="00410716" w:rsidP="00C26084">
            <w:pPr>
              <w:pStyle w:val="TableText"/>
              <w:jc w:val="right"/>
              <w:rPr>
                <w:rFonts w:cs="Calibri"/>
              </w:rPr>
            </w:pPr>
            <w:r w:rsidRPr="00BE78CA">
              <w:t>–</w:t>
            </w:r>
          </w:p>
        </w:tc>
        <w:tc>
          <w:tcPr>
            <w:tcW w:w="709" w:type="dxa"/>
            <w:tcBorders>
              <w:top w:val="nil"/>
              <w:left w:val="nil"/>
              <w:bottom w:val="single" w:sz="4" w:space="0" w:color="365F91"/>
              <w:right w:val="nil"/>
            </w:tcBorders>
            <w:shd w:val="clear" w:color="auto" w:fill="auto"/>
            <w:hideMark/>
          </w:tcPr>
          <w:p w14:paraId="29C7D7A5" w14:textId="77777777" w:rsidR="00410716" w:rsidRPr="00BE78CA" w:rsidRDefault="00410716" w:rsidP="00C26084">
            <w:pPr>
              <w:pStyle w:val="TableText"/>
              <w:jc w:val="right"/>
              <w:rPr>
                <w:rFonts w:cs="Calibri"/>
              </w:rPr>
            </w:pPr>
            <w:r w:rsidRPr="00BE78CA">
              <w:t>–</w:t>
            </w:r>
          </w:p>
        </w:tc>
        <w:tc>
          <w:tcPr>
            <w:tcW w:w="709" w:type="dxa"/>
            <w:tcBorders>
              <w:top w:val="nil"/>
              <w:left w:val="nil"/>
              <w:bottom w:val="single" w:sz="4" w:space="0" w:color="365F91"/>
              <w:right w:val="nil"/>
            </w:tcBorders>
            <w:shd w:val="clear" w:color="auto" w:fill="auto"/>
            <w:hideMark/>
          </w:tcPr>
          <w:p w14:paraId="72A8AF87" w14:textId="77777777" w:rsidR="00410716" w:rsidRPr="00BE78CA" w:rsidRDefault="00410716" w:rsidP="00C26084">
            <w:pPr>
              <w:pStyle w:val="TableText"/>
              <w:jc w:val="right"/>
              <w:rPr>
                <w:rFonts w:cs="Calibri"/>
              </w:rPr>
            </w:pPr>
            <w:r w:rsidRPr="00BE78CA">
              <w:t xml:space="preserve"> 0.1 </w:t>
            </w:r>
          </w:p>
        </w:tc>
        <w:tc>
          <w:tcPr>
            <w:tcW w:w="708" w:type="dxa"/>
            <w:tcBorders>
              <w:top w:val="nil"/>
              <w:left w:val="nil"/>
              <w:bottom w:val="single" w:sz="4" w:space="0" w:color="365F91"/>
              <w:right w:val="nil"/>
            </w:tcBorders>
            <w:shd w:val="clear" w:color="auto" w:fill="auto"/>
            <w:hideMark/>
          </w:tcPr>
          <w:p w14:paraId="4C62BF09" w14:textId="77777777" w:rsidR="00410716" w:rsidRPr="00BE78CA" w:rsidRDefault="00410716" w:rsidP="00C26084">
            <w:pPr>
              <w:pStyle w:val="TableText"/>
              <w:jc w:val="right"/>
              <w:rPr>
                <w:rFonts w:cs="Calibri"/>
              </w:rPr>
            </w:pPr>
            <w:r w:rsidRPr="00BE78CA">
              <w:t xml:space="preserve"> 0.6 </w:t>
            </w:r>
          </w:p>
        </w:tc>
        <w:tc>
          <w:tcPr>
            <w:tcW w:w="709" w:type="dxa"/>
            <w:tcBorders>
              <w:top w:val="nil"/>
              <w:left w:val="nil"/>
              <w:bottom w:val="single" w:sz="4" w:space="0" w:color="365F91"/>
              <w:right w:val="nil"/>
            </w:tcBorders>
            <w:shd w:val="clear" w:color="auto" w:fill="auto"/>
            <w:hideMark/>
          </w:tcPr>
          <w:p w14:paraId="034792D1" w14:textId="77777777" w:rsidR="00410716" w:rsidRPr="00BE78CA" w:rsidRDefault="00410716" w:rsidP="00C26084">
            <w:pPr>
              <w:pStyle w:val="TableText"/>
              <w:jc w:val="right"/>
              <w:rPr>
                <w:rFonts w:cs="Calibri"/>
              </w:rPr>
            </w:pPr>
            <w:r w:rsidRPr="00BE78CA">
              <w:t xml:space="preserve"> 2.1 </w:t>
            </w:r>
          </w:p>
        </w:tc>
        <w:tc>
          <w:tcPr>
            <w:tcW w:w="702" w:type="dxa"/>
            <w:tcBorders>
              <w:top w:val="nil"/>
              <w:left w:val="nil"/>
              <w:bottom w:val="single" w:sz="4" w:space="0" w:color="365F91"/>
              <w:right w:val="nil"/>
            </w:tcBorders>
            <w:shd w:val="clear" w:color="auto" w:fill="auto"/>
            <w:hideMark/>
          </w:tcPr>
          <w:p w14:paraId="6BD80788" w14:textId="77777777" w:rsidR="00410716" w:rsidRPr="00BE78CA" w:rsidRDefault="00410716" w:rsidP="00C26084">
            <w:pPr>
              <w:pStyle w:val="TableText"/>
              <w:jc w:val="right"/>
              <w:rPr>
                <w:rFonts w:cs="Calibri"/>
              </w:rPr>
            </w:pPr>
            <w:r w:rsidRPr="00BE78CA">
              <w:t xml:space="preserve"> 3.2 </w:t>
            </w:r>
          </w:p>
        </w:tc>
        <w:tc>
          <w:tcPr>
            <w:tcW w:w="716" w:type="dxa"/>
            <w:tcBorders>
              <w:top w:val="nil"/>
              <w:left w:val="nil"/>
              <w:bottom w:val="single" w:sz="4" w:space="0" w:color="365F91"/>
              <w:right w:val="nil"/>
            </w:tcBorders>
            <w:shd w:val="clear" w:color="auto" w:fill="auto"/>
            <w:hideMark/>
          </w:tcPr>
          <w:p w14:paraId="59A5E1AC" w14:textId="77777777" w:rsidR="00410716" w:rsidRPr="00BE78CA" w:rsidRDefault="00410716" w:rsidP="00C26084">
            <w:pPr>
              <w:pStyle w:val="TableText"/>
              <w:jc w:val="right"/>
              <w:rPr>
                <w:rFonts w:cs="Calibri"/>
              </w:rPr>
            </w:pPr>
            <w:r w:rsidRPr="00BE78CA">
              <w:t xml:space="preserve"> 3.7 </w:t>
            </w:r>
          </w:p>
        </w:tc>
        <w:tc>
          <w:tcPr>
            <w:tcW w:w="716" w:type="dxa"/>
            <w:tcBorders>
              <w:top w:val="nil"/>
              <w:left w:val="nil"/>
              <w:bottom w:val="single" w:sz="4" w:space="0" w:color="365F91"/>
              <w:right w:val="nil"/>
            </w:tcBorders>
          </w:tcPr>
          <w:p w14:paraId="4BCF583A" w14:textId="77777777" w:rsidR="00410716" w:rsidRPr="00BE78CA" w:rsidRDefault="00410716" w:rsidP="00C26084">
            <w:pPr>
              <w:pStyle w:val="TableText"/>
              <w:jc w:val="right"/>
              <w:rPr>
                <w:rFonts w:cs="Calibri"/>
              </w:rPr>
            </w:pPr>
            <w:r w:rsidRPr="00BE78CA">
              <w:t xml:space="preserve"> 3.7 </w:t>
            </w:r>
          </w:p>
        </w:tc>
      </w:tr>
      <w:tr w:rsidR="00410716" w:rsidRPr="00BE78CA" w14:paraId="5DDB895F" w14:textId="77777777" w:rsidTr="00F47CED">
        <w:tc>
          <w:tcPr>
            <w:tcW w:w="4287" w:type="dxa"/>
            <w:tcBorders>
              <w:top w:val="single" w:sz="4" w:space="0" w:color="365F91"/>
              <w:left w:val="nil"/>
              <w:bottom w:val="single" w:sz="4" w:space="0" w:color="365F91"/>
              <w:right w:val="nil"/>
            </w:tcBorders>
            <w:shd w:val="clear" w:color="auto" w:fill="auto"/>
            <w:hideMark/>
          </w:tcPr>
          <w:p w14:paraId="68C3F979" w14:textId="77777777" w:rsidR="00410716" w:rsidRPr="00BE78CA" w:rsidRDefault="00410716" w:rsidP="00C26084">
            <w:pPr>
              <w:pStyle w:val="Tableboldblue"/>
              <w:rPr>
                <w:rFonts w:cs="Calibri"/>
              </w:rPr>
            </w:pPr>
            <w:r w:rsidRPr="00BE78CA">
              <w:rPr>
                <w:rFonts w:cs="Calibri"/>
              </w:rPr>
              <w:t>Total in Forest management but not Forest remaining forest</w:t>
            </w:r>
          </w:p>
        </w:tc>
        <w:tc>
          <w:tcPr>
            <w:tcW w:w="850" w:type="dxa"/>
            <w:tcBorders>
              <w:top w:val="single" w:sz="4" w:space="0" w:color="365F91"/>
              <w:left w:val="nil"/>
              <w:bottom w:val="single" w:sz="4" w:space="0" w:color="365F91"/>
              <w:right w:val="nil"/>
            </w:tcBorders>
            <w:shd w:val="clear" w:color="auto" w:fill="auto"/>
            <w:hideMark/>
          </w:tcPr>
          <w:p w14:paraId="41469882" w14:textId="77777777" w:rsidR="00410716" w:rsidRPr="00BE78CA" w:rsidRDefault="00410716" w:rsidP="00C26084">
            <w:pPr>
              <w:pStyle w:val="Tableboldblue"/>
              <w:jc w:val="right"/>
              <w:rPr>
                <w:rFonts w:cs="Calibri"/>
              </w:rPr>
            </w:pPr>
            <w:r w:rsidRPr="00BE78CA">
              <w:t xml:space="preserve"> 30 </w:t>
            </w:r>
          </w:p>
        </w:tc>
        <w:tc>
          <w:tcPr>
            <w:tcW w:w="851" w:type="dxa"/>
            <w:tcBorders>
              <w:top w:val="single" w:sz="4" w:space="0" w:color="365F91"/>
              <w:left w:val="nil"/>
              <w:bottom w:val="single" w:sz="4" w:space="0" w:color="365F91"/>
              <w:right w:val="nil"/>
            </w:tcBorders>
            <w:shd w:val="clear" w:color="auto" w:fill="auto"/>
            <w:hideMark/>
          </w:tcPr>
          <w:p w14:paraId="4C558F3D" w14:textId="77777777" w:rsidR="00410716" w:rsidRPr="00BE78CA" w:rsidRDefault="00410716" w:rsidP="00C26084">
            <w:pPr>
              <w:pStyle w:val="Tableboldblue"/>
              <w:jc w:val="right"/>
              <w:rPr>
                <w:rFonts w:cs="Calibri"/>
              </w:rPr>
            </w:pPr>
            <w:r w:rsidRPr="00BE78CA">
              <w:t>–</w:t>
            </w:r>
          </w:p>
        </w:tc>
        <w:tc>
          <w:tcPr>
            <w:tcW w:w="850" w:type="dxa"/>
            <w:tcBorders>
              <w:top w:val="single" w:sz="4" w:space="0" w:color="365F91"/>
              <w:left w:val="nil"/>
              <w:bottom w:val="single" w:sz="4" w:space="0" w:color="365F91"/>
              <w:right w:val="nil"/>
            </w:tcBorders>
            <w:shd w:val="clear" w:color="auto" w:fill="auto"/>
            <w:hideMark/>
          </w:tcPr>
          <w:p w14:paraId="0964F31A" w14:textId="77777777" w:rsidR="00410716" w:rsidRPr="00BE78CA" w:rsidRDefault="00410716" w:rsidP="00C26084">
            <w:pPr>
              <w:pStyle w:val="Tableboldblue"/>
              <w:jc w:val="right"/>
              <w:rPr>
                <w:rFonts w:cs="Calibri"/>
              </w:rPr>
            </w:pPr>
            <w:r w:rsidRPr="00BE78CA">
              <w:t xml:space="preserve">–14 </w:t>
            </w:r>
          </w:p>
        </w:tc>
        <w:tc>
          <w:tcPr>
            <w:tcW w:w="851" w:type="dxa"/>
            <w:tcBorders>
              <w:top w:val="single" w:sz="4" w:space="0" w:color="365F91"/>
              <w:left w:val="nil"/>
              <w:bottom w:val="single" w:sz="4" w:space="0" w:color="365F91"/>
              <w:right w:val="nil"/>
            </w:tcBorders>
            <w:shd w:val="clear" w:color="auto" w:fill="auto"/>
            <w:hideMark/>
          </w:tcPr>
          <w:p w14:paraId="00CEDB0E" w14:textId="77777777" w:rsidR="00410716" w:rsidRPr="00BE78CA" w:rsidRDefault="00410716" w:rsidP="00C26084">
            <w:pPr>
              <w:pStyle w:val="Tableboldblue"/>
              <w:jc w:val="right"/>
              <w:rPr>
                <w:rFonts w:cs="Calibri"/>
              </w:rPr>
            </w:pPr>
            <w:r w:rsidRPr="00BE78CA">
              <w:t xml:space="preserve">–28 </w:t>
            </w:r>
          </w:p>
        </w:tc>
        <w:tc>
          <w:tcPr>
            <w:tcW w:w="850" w:type="dxa"/>
            <w:tcBorders>
              <w:top w:val="single" w:sz="4" w:space="0" w:color="365F91"/>
              <w:left w:val="nil"/>
              <w:bottom w:val="single" w:sz="4" w:space="0" w:color="365F91"/>
              <w:right w:val="nil"/>
            </w:tcBorders>
            <w:shd w:val="clear" w:color="auto" w:fill="auto"/>
            <w:hideMark/>
          </w:tcPr>
          <w:p w14:paraId="1AB65AD1" w14:textId="77777777" w:rsidR="00410716" w:rsidRPr="00BE78CA" w:rsidRDefault="00410716" w:rsidP="00C26084">
            <w:pPr>
              <w:pStyle w:val="Tableboldblue"/>
              <w:jc w:val="right"/>
              <w:rPr>
                <w:rFonts w:cs="Calibri"/>
              </w:rPr>
            </w:pPr>
            <w:r w:rsidRPr="00BE78CA">
              <w:t xml:space="preserve">–70 </w:t>
            </w:r>
          </w:p>
        </w:tc>
        <w:tc>
          <w:tcPr>
            <w:tcW w:w="709" w:type="dxa"/>
            <w:tcBorders>
              <w:top w:val="single" w:sz="4" w:space="0" w:color="365F91"/>
              <w:left w:val="nil"/>
              <w:bottom w:val="single" w:sz="4" w:space="0" w:color="365F91"/>
              <w:right w:val="nil"/>
            </w:tcBorders>
            <w:shd w:val="clear" w:color="auto" w:fill="auto"/>
            <w:hideMark/>
          </w:tcPr>
          <w:p w14:paraId="60C6B647" w14:textId="77777777" w:rsidR="00410716" w:rsidRPr="00BE78CA" w:rsidRDefault="00410716" w:rsidP="00C26084">
            <w:pPr>
              <w:pStyle w:val="Tableboldblue"/>
              <w:jc w:val="right"/>
              <w:rPr>
                <w:rFonts w:cs="Calibri"/>
              </w:rPr>
            </w:pPr>
            <w:r w:rsidRPr="00BE78CA">
              <w:t xml:space="preserve">–122 </w:t>
            </w:r>
          </w:p>
        </w:tc>
        <w:tc>
          <w:tcPr>
            <w:tcW w:w="709" w:type="dxa"/>
            <w:tcBorders>
              <w:top w:val="single" w:sz="4" w:space="0" w:color="365F91"/>
              <w:left w:val="nil"/>
              <w:bottom w:val="single" w:sz="4" w:space="0" w:color="365F91"/>
              <w:right w:val="nil"/>
            </w:tcBorders>
            <w:shd w:val="clear" w:color="auto" w:fill="auto"/>
            <w:hideMark/>
          </w:tcPr>
          <w:p w14:paraId="424BA988" w14:textId="77777777" w:rsidR="00410716" w:rsidRPr="00BE78CA" w:rsidRDefault="00410716" w:rsidP="00C26084">
            <w:pPr>
              <w:pStyle w:val="Tableboldblue"/>
              <w:jc w:val="right"/>
              <w:rPr>
                <w:rFonts w:cs="Calibri"/>
              </w:rPr>
            </w:pPr>
            <w:r w:rsidRPr="00BE78CA">
              <w:t xml:space="preserve">–205 </w:t>
            </w:r>
          </w:p>
        </w:tc>
        <w:tc>
          <w:tcPr>
            <w:tcW w:w="708" w:type="dxa"/>
            <w:tcBorders>
              <w:top w:val="single" w:sz="4" w:space="0" w:color="365F91"/>
              <w:left w:val="nil"/>
              <w:bottom w:val="single" w:sz="4" w:space="0" w:color="365F91"/>
              <w:right w:val="nil"/>
            </w:tcBorders>
            <w:shd w:val="clear" w:color="auto" w:fill="auto"/>
            <w:hideMark/>
          </w:tcPr>
          <w:p w14:paraId="6BB39F92" w14:textId="77777777" w:rsidR="00410716" w:rsidRPr="00BE78CA" w:rsidRDefault="00410716" w:rsidP="00C26084">
            <w:pPr>
              <w:pStyle w:val="Tableboldblue"/>
              <w:jc w:val="right"/>
              <w:rPr>
                <w:rFonts w:cs="Calibri"/>
              </w:rPr>
            </w:pPr>
            <w:r w:rsidRPr="00BE78CA">
              <w:t xml:space="preserve">–265 </w:t>
            </w:r>
          </w:p>
        </w:tc>
        <w:tc>
          <w:tcPr>
            <w:tcW w:w="709" w:type="dxa"/>
            <w:tcBorders>
              <w:top w:val="single" w:sz="4" w:space="0" w:color="365F91"/>
              <w:left w:val="nil"/>
              <w:bottom w:val="single" w:sz="4" w:space="0" w:color="365F91"/>
              <w:right w:val="nil"/>
            </w:tcBorders>
            <w:shd w:val="clear" w:color="auto" w:fill="auto"/>
            <w:hideMark/>
          </w:tcPr>
          <w:p w14:paraId="64FD83B8" w14:textId="77777777" w:rsidR="00410716" w:rsidRPr="00BE78CA" w:rsidRDefault="00410716" w:rsidP="00C26084">
            <w:pPr>
              <w:pStyle w:val="Tableboldblue"/>
              <w:jc w:val="right"/>
              <w:rPr>
                <w:rFonts w:cs="Calibri"/>
              </w:rPr>
            </w:pPr>
            <w:r w:rsidRPr="00BE78CA">
              <w:t xml:space="preserve">–327 </w:t>
            </w:r>
          </w:p>
        </w:tc>
        <w:tc>
          <w:tcPr>
            <w:tcW w:w="702" w:type="dxa"/>
            <w:tcBorders>
              <w:top w:val="single" w:sz="4" w:space="0" w:color="365F91"/>
              <w:left w:val="nil"/>
              <w:bottom w:val="single" w:sz="4" w:space="0" w:color="365F91"/>
              <w:right w:val="nil"/>
            </w:tcBorders>
            <w:shd w:val="clear" w:color="auto" w:fill="auto"/>
            <w:hideMark/>
          </w:tcPr>
          <w:p w14:paraId="6CB32865" w14:textId="77777777" w:rsidR="00410716" w:rsidRPr="00BE78CA" w:rsidRDefault="00410716" w:rsidP="00C26084">
            <w:pPr>
              <w:pStyle w:val="Tableboldblue"/>
              <w:jc w:val="right"/>
              <w:rPr>
                <w:rFonts w:cs="Calibri"/>
              </w:rPr>
            </w:pPr>
            <w:r w:rsidRPr="00BE78CA">
              <w:t xml:space="preserve">–376 </w:t>
            </w:r>
          </w:p>
        </w:tc>
        <w:tc>
          <w:tcPr>
            <w:tcW w:w="716" w:type="dxa"/>
            <w:tcBorders>
              <w:top w:val="single" w:sz="4" w:space="0" w:color="365F91"/>
              <w:left w:val="nil"/>
              <w:bottom w:val="single" w:sz="4" w:space="0" w:color="365F91"/>
              <w:right w:val="nil"/>
            </w:tcBorders>
            <w:shd w:val="clear" w:color="auto" w:fill="auto"/>
            <w:hideMark/>
          </w:tcPr>
          <w:p w14:paraId="3021A2E1" w14:textId="77777777" w:rsidR="00410716" w:rsidRPr="00BE78CA" w:rsidRDefault="00410716" w:rsidP="00C26084">
            <w:pPr>
              <w:pStyle w:val="Tableboldblue"/>
              <w:jc w:val="right"/>
              <w:rPr>
                <w:rFonts w:cs="Calibri"/>
              </w:rPr>
            </w:pPr>
            <w:r w:rsidRPr="00BE78CA">
              <w:t xml:space="preserve">–418 </w:t>
            </w:r>
          </w:p>
        </w:tc>
        <w:tc>
          <w:tcPr>
            <w:tcW w:w="716" w:type="dxa"/>
            <w:tcBorders>
              <w:top w:val="single" w:sz="4" w:space="0" w:color="365F91"/>
              <w:left w:val="nil"/>
              <w:bottom w:val="single" w:sz="4" w:space="0" w:color="365F91"/>
              <w:right w:val="nil"/>
            </w:tcBorders>
          </w:tcPr>
          <w:p w14:paraId="157252B4" w14:textId="77777777" w:rsidR="00410716" w:rsidRPr="00BE78CA" w:rsidRDefault="00410716" w:rsidP="00C26084">
            <w:pPr>
              <w:pStyle w:val="Tableboldblue"/>
              <w:jc w:val="right"/>
              <w:rPr>
                <w:rFonts w:cs="Calibri"/>
              </w:rPr>
            </w:pPr>
            <w:r w:rsidRPr="00BE78CA">
              <w:t xml:space="preserve">–454 </w:t>
            </w:r>
          </w:p>
        </w:tc>
      </w:tr>
    </w:tbl>
    <w:p w14:paraId="4A31F460" w14:textId="77777777" w:rsidR="00410716" w:rsidRPr="00BE78CA" w:rsidRDefault="00410716" w:rsidP="00410716">
      <w:pPr>
        <w:pStyle w:val="Noteundertable"/>
      </w:pPr>
      <w:r w:rsidRPr="00BE78CA">
        <w:rPr>
          <w:b/>
        </w:rPr>
        <w:t>Note:</w:t>
      </w:r>
      <w:r w:rsidRPr="00BE78CA">
        <w:rPr>
          <w:bCs/>
        </w:rPr>
        <w:t xml:space="preserve"> </w:t>
      </w:r>
      <w:r w:rsidRPr="00BE78CA">
        <w:tab/>
        <w:t>A&amp;R = Afforestation and reforestation; CEF = carbon equivalent forest; FM = Forest management; kha = kilohectare. Columns may not total due to rounding.</w:t>
      </w:r>
    </w:p>
    <w:p w14:paraId="7978F22B" w14:textId="77777777" w:rsidR="00410716" w:rsidRPr="00BE78CA" w:rsidRDefault="00410716" w:rsidP="00410716">
      <w:pPr>
        <w:pStyle w:val="BodyText"/>
        <w:spacing w:before="240" w:after="100"/>
        <w:rPr>
          <w:rFonts w:ascii="Arial" w:hAnsi="Arial" w:cs="Arial"/>
          <w:color w:val="000000"/>
          <w:sz w:val="16"/>
          <w:szCs w:val="16"/>
        </w:rPr>
      </w:pPr>
    </w:p>
    <w:p w14:paraId="2FEF6005" w14:textId="77777777" w:rsidR="00410716" w:rsidRPr="00BE78CA" w:rsidRDefault="00410716" w:rsidP="00410716">
      <w:pPr>
        <w:pStyle w:val="BodyText"/>
        <w:spacing w:before="240" w:after="100"/>
        <w:rPr>
          <w:rFonts w:ascii="Arial" w:hAnsi="Arial" w:cs="Arial"/>
          <w:color w:val="000000"/>
          <w:sz w:val="16"/>
          <w:szCs w:val="16"/>
        </w:rPr>
        <w:sectPr w:rsidR="00410716" w:rsidRPr="00BE78CA" w:rsidSect="00C26084">
          <w:footerReference w:type="even" r:id="rId282"/>
          <w:footerReference w:type="default" r:id="rId283"/>
          <w:pgSz w:w="16840" w:h="11907" w:orient="landscape" w:code="9"/>
          <w:pgMar w:top="1701" w:right="1418" w:bottom="1701" w:left="1418" w:header="567" w:footer="567" w:gutter="0"/>
          <w:cols w:space="720"/>
          <w:docGrid w:linePitch="299"/>
        </w:sectPr>
      </w:pPr>
    </w:p>
    <w:p w14:paraId="0D437829" w14:textId="77777777" w:rsidR="00410716" w:rsidRPr="00BE78CA" w:rsidRDefault="00410716" w:rsidP="00410716">
      <w:pPr>
        <w:pStyle w:val="BodyText"/>
        <w:spacing w:after="100"/>
      </w:pPr>
      <w:bookmarkStart w:id="3467" w:name="_Hlk56416743"/>
      <w:r w:rsidRPr="00BE78CA">
        <w:lastRenderedPageBreak/>
        <w:t>Since 1993, the New Zealand Government has introduced legislation and government initiatives to encourage forest establishment and discourage deforestation of planted forests</w:t>
      </w:r>
      <w:bookmarkEnd w:id="3467"/>
      <w:r w:rsidRPr="00BE78CA">
        <w:t>. These measures are summarised below.</w:t>
      </w:r>
    </w:p>
    <w:p w14:paraId="70657649" w14:textId="77777777" w:rsidR="00410716" w:rsidRPr="00BE78CA" w:rsidRDefault="00410716" w:rsidP="00410716">
      <w:pPr>
        <w:pStyle w:val="Bullet"/>
        <w:spacing w:before="80"/>
      </w:pPr>
      <w:r w:rsidRPr="00BE78CA">
        <w:t>Climate Change Response Act 2002 (amended 8 December 2009)</w:t>
      </w:r>
    </w:p>
    <w:p w14:paraId="7F77D3F7" w14:textId="77777777" w:rsidR="00410716" w:rsidRPr="00BE78CA" w:rsidRDefault="00410716" w:rsidP="00410716">
      <w:pPr>
        <w:pStyle w:val="BodyText"/>
        <w:spacing w:before="0" w:after="240"/>
        <w:ind w:left="397"/>
      </w:pPr>
      <w:r w:rsidRPr="00BE78CA">
        <w:t xml:space="preserve">The NZ ETS was introduced under the Climate Change Response Act 2002. </w:t>
      </w:r>
      <w:r w:rsidRPr="00BE78CA">
        <w:rPr>
          <w:i/>
        </w:rPr>
        <w:t>Forest land</w:t>
      </w:r>
      <w:r w:rsidRPr="00BE78CA">
        <w:t xml:space="preserve"> was introduced into the scheme on 1 January 2008. Under the scheme, owners of post</w:t>
      </w:r>
      <w:r w:rsidRPr="00BE78CA">
        <w:noBreakHyphen/>
        <w:t>1989 forest land may voluntarily participate in the NZ ETS and receive emission units (New Zealand Units (NZUs)) for any increase in carbon stocks in their forests from 1 January 2008.</w:t>
      </w:r>
    </w:p>
    <w:p w14:paraId="330B97E7" w14:textId="77777777" w:rsidR="00410716" w:rsidRPr="00BE78CA" w:rsidRDefault="00410716" w:rsidP="00410716">
      <w:pPr>
        <w:pStyle w:val="Bullet"/>
        <w:numPr>
          <w:ilvl w:val="0"/>
          <w:numId w:val="25"/>
        </w:numPr>
      </w:pPr>
      <w:r w:rsidRPr="00BE78CA">
        <w:t>Erosion Control Funding Programme</w:t>
      </w:r>
      <w:r w:rsidRPr="00BE78CA" w:rsidDel="004A3481">
        <w:t xml:space="preserve"> </w:t>
      </w:r>
    </w:p>
    <w:p w14:paraId="5ECF456B" w14:textId="77777777" w:rsidR="00410716" w:rsidRPr="00BE78CA" w:rsidRDefault="00410716" w:rsidP="00410716">
      <w:pPr>
        <w:pStyle w:val="BodyText"/>
        <w:spacing w:before="0" w:after="240"/>
        <w:ind w:left="397"/>
      </w:pPr>
      <w:r w:rsidRPr="00BE78CA">
        <w:t>The Erosion Control Funding Programme, formerly the East Coast Forestry Project, is a grant scheme that was established in 1993. It aims to address soil erosion on the worst eroding land in the Gisborne District through planting trees or encouraging natural reversion to native bush (Ministry for Primary Industries, 2014). To date, 38,697 hectares of forest have been established under the scheme.</w:t>
      </w:r>
    </w:p>
    <w:p w14:paraId="50A7052B" w14:textId="77777777" w:rsidR="00410716" w:rsidRPr="00BE78CA" w:rsidRDefault="00410716" w:rsidP="00410716">
      <w:pPr>
        <w:pStyle w:val="Bullet"/>
        <w:numPr>
          <w:ilvl w:val="0"/>
          <w:numId w:val="25"/>
        </w:numPr>
      </w:pPr>
      <w:r w:rsidRPr="00BE78CA">
        <w:t xml:space="preserve">Permanent Forest Sink Initiative </w:t>
      </w:r>
    </w:p>
    <w:p w14:paraId="327E20A8" w14:textId="77777777" w:rsidR="00410716" w:rsidRPr="00BE78CA" w:rsidRDefault="00410716" w:rsidP="00410716">
      <w:pPr>
        <w:pStyle w:val="BodyText"/>
        <w:spacing w:before="0" w:after="240"/>
        <w:ind w:left="397"/>
      </w:pPr>
      <w:r w:rsidRPr="00BE78CA">
        <w:t>The Permanent Forest Sink Initiative enables land owners to earn carbon credits through the establishment of permanent forests on land that was not forested prior to 1990 (Ministry for Primary Industries, 2015b). In total, 15,584 hectares were registered under this scheme. The scheme was discontinued in 2018 and will be replaced by a permanent post-1989 forest category in the NZ ETS.</w:t>
      </w:r>
    </w:p>
    <w:p w14:paraId="2BB7A54C" w14:textId="77777777" w:rsidR="00410716" w:rsidRPr="00BE78CA" w:rsidRDefault="00410716" w:rsidP="00410716">
      <w:pPr>
        <w:pStyle w:val="Bullet"/>
        <w:numPr>
          <w:ilvl w:val="0"/>
          <w:numId w:val="25"/>
        </w:numPr>
      </w:pPr>
      <w:r w:rsidRPr="00BE78CA">
        <w:t xml:space="preserve">Hill Country Erosion Programme </w:t>
      </w:r>
    </w:p>
    <w:p w14:paraId="3F4D2D66" w14:textId="77777777" w:rsidR="00410716" w:rsidRPr="00BE78CA" w:rsidRDefault="00410716" w:rsidP="00410716">
      <w:pPr>
        <w:pStyle w:val="BodyText"/>
        <w:spacing w:before="0" w:after="240"/>
        <w:ind w:left="397"/>
        <w:rPr>
          <w:spacing w:val="-2"/>
        </w:rPr>
      </w:pPr>
      <w:r w:rsidRPr="00BE78CA">
        <w:rPr>
          <w:spacing w:val="-2"/>
        </w:rPr>
        <w:t>The Hill Country Erosion Programme, like the Erosion Control Funding Programme, is focused on the retiring and afforestation of erosion-prone, hill-country farmland in the North Island. It underwent a review in 2011 and continues with an expanded target area throughout erosion-prone land in the North Island (Ministry for Primary Industries, 2015c). To date, 16,461 hectares of forest have been established under this scheme.</w:t>
      </w:r>
    </w:p>
    <w:p w14:paraId="0ED38543" w14:textId="77777777" w:rsidR="00410716" w:rsidRPr="00BE78CA" w:rsidRDefault="00410716" w:rsidP="00410716">
      <w:pPr>
        <w:pStyle w:val="Bullet"/>
        <w:numPr>
          <w:ilvl w:val="0"/>
          <w:numId w:val="25"/>
        </w:numPr>
      </w:pPr>
      <w:r w:rsidRPr="00BE78CA">
        <w:t xml:space="preserve">Afforestation Grant Scheme </w:t>
      </w:r>
    </w:p>
    <w:p w14:paraId="63AC21B2" w14:textId="77777777" w:rsidR="00410716" w:rsidRPr="00BE78CA" w:rsidRDefault="00410716" w:rsidP="00410716">
      <w:pPr>
        <w:pStyle w:val="BodyText"/>
        <w:spacing w:before="0" w:after="240"/>
        <w:ind w:left="397"/>
      </w:pPr>
      <w:r w:rsidRPr="00BE78CA">
        <w:t>The Afforestation Grant Scheme was first established in 2008 to promote carbon sequestration and sustainable land use. The first round of the scheme established 11,527 hectares of new forest between 2008 and 2013. A second afforestation grant scheme was established in 2015, and 8,145 hectares of new forest were established under this scheme (Ministry for Primary Industries, 2015a). The scheme was replaced by the One Billion Trees Fund in 2018.</w:t>
      </w:r>
    </w:p>
    <w:p w14:paraId="5D959902" w14:textId="77777777" w:rsidR="00410716" w:rsidRPr="00BE78CA" w:rsidRDefault="00410716" w:rsidP="00410716">
      <w:pPr>
        <w:numPr>
          <w:ilvl w:val="0"/>
          <w:numId w:val="25"/>
        </w:numPr>
        <w:tabs>
          <w:tab w:val="left" w:pos="397"/>
        </w:tabs>
        <w:spacing w:after="120"/>
      </w:pPr>
      <w:r w:rsidRPr="00BE78CA">
        <w:t xml:space="preserve">One Billion Trees Fund </w:t>
      </w:r>
    </w:p>
    <w:p w14:paraId="4F1BB86B" w14:textId="77777777" w:rsidR="00410716" w:rsidRPr="00BE78CA" w:rsidRDefault="00410716" w:rsidP="00410716">
      <w:pPr>
        <w:pStyle w:val="BodyText"/>
        <w:spacing w:before="0"/>
        <w:ind w:left="397"/>
      </w:pPr>
      <w:r w:rsidRPr="00BE78CA">
        <w:t>The One Billion Trees Fund was established in 2018 to support individuals and groups across New Zealand to plant trees and manage land sustainably. Te Uru Rākau works in partnership with land owners and organisations to achieve the goal of planting 1 billion trees by 2028 (Te Uru Rākau, 2018).</w:t>
      </w:r>
    </w:p>
    <w:p w14:paraId="757EC0C7" w14:textId="77777777" w:rsidR="00410716" w:rsidRPr="00BE78CA" w:rsidRDefault="00410716" w:rsidP="00410716">
      <w:pPr>
        <w:pStyle w:val="BodyText"/>
        <w:spacing w:after="100"/>
        <w:rPr>
          <w:spacing w:val="-2"/>
        </w:rPr>
      </w:pPr>
      <w:r w:rsidRPr="00BE78CA">
        <w:t xml:space="preserve">In addition to government policies and legislation, afforestation and deforestation rates in New Zealand have also been driven by market conditions. For example, </w:t>
      </w:r>
      <w:r w:rsidRPr="00BE78CA">
        <w:rPr>
          <w:spacing w:val="-2"/>
        </w:rPr>
        <w:t xml:space="preserve">new planting rates were high from 1992 to 1998, averaging 60,533 hectares per year. This is attributed to the </w:t>
      </w:r>
      <w:r w:rsidRPr="00BE78CA">
        <w:rPr>
          <w:spacing w:val="-2"/>
        </w:rPr>
        <w:lastRenderedPageBreak/>
        <w:t xml:space="preserve">taxation regime, an unprecedented price </w:t>
      </w:r>
      <w:r w:rsidRPr="00BE78CA">
        <w:t>spike</w:t>
      </w:r>
      <w:r w:rsidRPr="00BE78CA">
        <w:rPr>
          <w:spacing w:val="-2"/>
        </w:rPr>
        <w:t xml:space="preserve"> for forest products with subsequent favourable publicity, a government focus on forestry as an instrument for regional development and the conclusion of the state forest assets sale. The removal of agricultural subsidies and the poor performance of the New Zealand and international share markets also encouraged investors to seek alternatives (Rhodes and Novis, 2002). </w:t>
      </w:r>
    </w:p>
    <w:p w14:paraId="1AB67F51" w14:textId="77777777" w:rsidR="00410716" w:rsidRPr="00BE78CA" w:rsidRDefault="00410716" w:rsidP="00410716">
      <w:pPr>
        <w:pStyle w:val="BodyText"/>
        <w:spacing w:after="100"/>
      </w:pPr>
      <w:r w:rsidRPr="00BE78CA">
        <w:t xml:space="preserve">The rate of new planting declined from 1996 until 2008. This is likely due to the relative profitability of other forms of land use and high rural land prices. Between 2008 and 2012, planting rates began to increase again, largely attributable to the NZ ETS (Ministry for Primary Industries, 2015d), Afforestation Grant Scheme (Ministry for Primary Industries, 2015a) and Permanent Forest Sink Initiative (Ministry for Primary Industries, 2015b). </w:t>
      </w:r>
    </w:p>
    <w:p w14:paraId="663F04FD" w14:textId="77777777" w:rsidR="00410716" w:rsidRPr="00BE78CA" w:rsidRDefault="00410716" w:rsidP="00410716">
      <w:pPr>
        <w:pStyle w:val="BodyText"/>
        <w:spacing w:after="100"/>
      </w:pPr>
      <w:r w:rsidRPr="00BE78CA">
        <w:t xml:space="preserve">The afforestation rate reduced after 2012. This is likely due in part to a significant drop in the price of carbon in the NZ ETS. Between 2013 and 2019, the average afforestation rate was 9,351 hectares. In 2019, </w:t>
      </w:r>
      <w:r w:rsidRPr="00BE78CA">
        <w:rPr>
          <w:i/>
        </w:rPr>
        <w:t>Afforestation and reforestation</w:t>
      </w:r>
      <w:r w:rsidRPr="00BE78CA">
        <w:t xml:space="preserve"> activities significantly increased, with 24,067 hectares of new planting occurring. This is likely due to seedlings funded by the One Billion Trees programme being planted and higher carbon prices in the NZ ETS resulting from the announcements leading up to</w:t>
      </w:r>
      <w:r w:rsidRPr="00BE78CA">
        <w:rPr>
          <w:color w:val="70AD47"/>
        </w:rPr>
        <w:t xml:space="preserve"> </w:t>
      </w:r>
      <w:r w:rsidRPr="00BE78CA">
        <w:t>the Climate Change Response (Emissions Trading Reform) Amendment Act 2020.</w:t>
      </w:r>
    </w:p>
    <w:p w14:paraId="1AAF5174" w14:textId="77777777" w:rsidR="00410716" w:rsidRPr="00BE78CA" w:rsidRDefault="00410716" w:rsidP="00410716">
      <w:pPr>
        <w:pStyle w:val="BodyText"/>
        <w:spacing w:after="100"/>
      </w:pPr>
      <w:r w:rsidRPr="00BE78CA">
        <w:t xml:space="preserve">The Land-use Carbon Analysis System land-use map is used to determine the new planting area activity data from 1990 to 2016. The activity data used to estimate new planting in planted forests between 2017 and 2019 are obtained from a national survey of forest owners (Ministry for Primary Industries, 2019) and the NZ ETS scheme for areas subject to the carbon equivalent forest provision. The survey respondents report areas as net stocked area. However, gross stocked area is reported in the Inventory. To account for the difference between the two sources of data (mapping and survey), an unstocked area component is added to the new planting statistic between 2008 and 2016. For estimating emissions associated with new planting, the net planted forest area is modelled separately from the unstocked area component. This ensures the net new planting and NZ ETS data used in the Inventory are consistent with the gross mapped forest area. </w:t>
      </w:r>
    </w:p>
    <w:p w14:paraId="52D48610" w14:textId="77777777" w:rsidR="00410716" w:rsidRPr="00BE78CA" w:rsidRDefault="00410716" w:rsidP="00410716">
      <w:pPr>
        <w:pStyle w:val="BodyText"/>
        <w:spacing w:after="100"/>
      </w:pPr>
      <w:r w:rsidRPr="00BE78CA">
        <w:t xml:space="preserve">New Zealand reports on harvested wood products originating from </w:t>
      </w:r>
      <w:r w:rsidRPr="00BE78CA">
        <w:rPr>
          <w:i/>
        </w:rPr>
        <w:t>Afforestation and reforestation</w:t>
      </w:r>
      <w:r w:rsidRPr="00BE78CA">
        <w:t xml:space="preserve"> activities. This is described further in section 11.3.6.</w:t>
      </w:r>
      <w:r w:rsidRPr="00BE78CA" w:rsidDel="004331A9">
        <w:rPr>
          <w:rStyle w:val="CommentReference"/>
        </w:rPr>
        <w:t xml:space="preserve"> </w:t>
      </w:r>
    </w:p>
    <w:p w14:paraId="3E27F31F" w14:textId="77777777" w:rsidR="00410716" w:rsidRPr="00BE78CA" w:rsidRDefault="00410716" w:rsidP="00410716">
      <w:pPr>
        <w:pStyle w:val="BodyText"/>
        <w:spacing w:after="100"/>
      </w:pPr>
      <w:r w:rsidRPr="00BE78CA">
        <w:t xml:space="preserve">New Zealand may choose to apply the provision for the treatment of natural disturbance emissions to its afforestation and reforestation accounting (Ministry for the Environment, 2015). The method used to set New Zealand’s natural disturbance background level is outlined in annex 5.2. </w:t>
      </w:r>
    </w:p>
    <w:p w14:paraId="1DA6C7E7" w14:textId="77777777" w:rsidR="00410716" w:rsidRPr="00BE78CA" w:rsidRDefault="00410716" w:rsidP="00410716">
      <w:pPr>
        <w:pStyle w:val="BodyText"/>
        <w:spacing w:after="100"/>
      </w:pPr>
      <w:r w:rsidRPr="00BE78CA">
        <w:t xml:space="preserve">While some wildfire has occurred within </w:t>
      </w:r>
      <w:r w:rsidRPr="00BE78CA">
        <w:rPr>
          <w:i/>
        </w:rPr>
        <w:t>Afforestation and reforestation</w:t>
      </w:r>
      <w:r w:rsidRPr="00BE78CA">
        <w:t xml:space="preserve"> activities since 2013, this was not at a high enough level for New Zealand to trigger the natural disturbance provision.</w:t>
      </w:r>
    </w:p>
    <w:p w14:paraId="224FA204" w14:textId="77777777" w:rsidR="00410716" w:rsidRPr="00BE78CA" w:rsidRDefault="00410716" w:rsidP="00410716">
      <w:pPr>
        <w:pStyle w:val="Heading3"/>
        <w:spacing w:before="320"/>
      </w:pPr>
      <w:r w:rsidRPr="00BE78CA">
        <w:t xml:space="preserve">11.3.3 </w:t>
      </w:r>
      <w:r w:rsidRPr="00BE78CA">
        <w:tab/>
        <w:t xml:space="preserve">Deforestation (CRF 4(KP.A.2)) </w:t>
      </w:r>
    </w:p>
    <w:p w14:paraId="640736A9" w14:textId="77777777" w:rsidR="00410716" w:rsidRPr="00BE78CA" w:rsidRDefault="00410716" w:rsidP="00410716">
      <w:pPr>
        <w:pStyle w:val="BodyText"/>
      </w:pPr>
      <w:r w:rsidRPr="00BE78CA">
        <w:t xml:space="preserve">In 2019, </w:t>
      </w:r>
      <w:r w:rsidRPr="00BE78CA">
        <w:rPr>
          <w:i/>
        </w:rPr>
        <w:t>Deforestation</w:t>
      </w:r>
      <w:r w:rsidRPr="00BE78CA">
        <w:t xml:space="preserve"> emissions were 2,906.6 kt CO</w:t>
      </w:r>
      <w:r w:rsidRPr="00BE78CA">
        <w:rPr>
          <w:vertAlign w:val="subscript"/>
        </w:rPr>
        <w:t>2</w:t>
      </w:r>
      <w:r w:rsidRPr="00BE78CA">
        <w:t>-e, compared with 2,269.9 kt CO</w:t>
      </w:r>
      <w:r w:rsidRPr="00BE78CA">
        <w:rPr>
          <w:vertAlign w:val="subscript"/>
        </w:rPr>
        <w:t>2</w:t>
      </w:r>
      <w:r w:rsidRPr="00BE78CA">
        <w:noBreakHyphen/>
        <w:t>e in 2018. These emissions result from the loss of carbon, which was stored in the biomass prior to deforestation, occurring in the year that deforestation occurs; soil carbon stock changes including lagged emissions from previous deforestation events; mineralisation of soil nitrogen associated with the land-use change; emissions from burning biomass on deforested land; and removals from biomass growth of the new land use, which accumulates at the rates given in chapter 6, table 6.1.5.</w:t>
      </w:r>
    </w:p>
    <w:p w14:paraId="03C8EEFA" w14:textId="05E46D8D" w:rsidR="00410716" w:rsidRPr="00BE78CA" w:rsidRDefault="00410716" w:rsidP="00410716">
      <w:pPr>
        <w:pStyle w:val="BodyText"/>
      </w:pPr>
      <w:r w:rsidRPr="00BE78CA">
        <w:lastRenderedPageBreak/>
        <w:t xml:space="preserve">The estimated area reported under </w:t>
      </w:r>
      <w:r w:rsidRPr="00BE78CA">
        <w:rPr>
          <w:i/>
          <w:spacing w:val="-2"/>
        </w:rPr>
        <w:t>Deforestation</w:t>
      </w:r>
      <w:r w:rsidRPr="00BE78CA">
        <w:t xml:space="preserve"> for 2019 was 4,745 hectares. This is 23.2 per cent higher than the recalculated 2018 value, resulting in higher emissions reported</w:t>
      </w:r>
      <w:r w:rsidR="00F47CED" w:rsidRPr="00BE78CA">
        <w:t> </w:t>
      </w:r>
      <w:r w:rsidRPr="00BE78CA">
        <w:t xml:space="preserve">under </w:t>
      </w:r>
      <w:r w:rsidRPr="00BE78CA">
        <w:rPr>
          <w:i/>
          <w:spacing w:val="-2"/>
        </w:rPr>
        <w:t>Deforestation</w:t>
      </w:r>
      <w:r w:rsidRPr="00BE78CA">
        <w:t xml:space="preserve"> in 2019.</w:t>
      </w:r>
    </w:p>
    <w:p w14:paraId="4E84B0C8" w14:textId="14FB4F59" w:rsidR="00410716" w:rsidRPr="00BE78CA" w:rsidRDefault="00410716" w:rsidP="00410716">
      <w:pPr>
        <w:pStyle w:val="BodyText"/>
      </w:pPr>
      <w:r w:rsidRPr="00BE78CA">
        <w:t xml:space="preserve">Table 11.3.4 shows the areas of </w:t>
      </w:r>
      <w:r w:rsidRPr="00BE78CA">
        <w:rPr>
          <w:i/>
        </w:rPr>
        <w:t>Forest land</w:t>
      </w:r>
      <w:r w:rsidRPr="00BE78CA">
        <w:t xml:space="preserve"> subject to </w:t>
      </w:r>
      <w:r w:rsidRPr="00BE78CA">
        <w:rPr>
          <w:i/>
          <w:spacing w:val="-2"/>
        </w:rPr>
        <w:t>Deforestation</w:t>
      </w:r>
      <w:r w:rsidRPr="00BE78CA">
        <w:t xml:space="preserve"> activities since 2008 by</w:t>
      </w:r>
      <w:r w:rsidR="00F47CED" w:rsidRPr="00BE78CA">
        <w:t> </w:t>
      </w:r>
      <w:r w:rsidRPr="00BE78CA">
        <w:t xml:space="preserve">forest category. </w:t>
      </w:r>
    </w:p>
    <w:p w14:paraId="537EB8D4" w14:textId="77777777" w:rsidR="00410716" w:rsidRPr="00BE78CA" w:rsidRDefault="00410716" w:rsidP="00410716">
      <w:pPr>
        <w:pStyle w:val="Table"/>
      </w:pPr>
      <w:bookmarkStart w:id="3468" w:name="_Toc456179108"/>
      <w:bookmarkStart w:id="3469" w:name="_Toc481751634"/>
      <w:bookmarkStart w:id="3470" w:name="_Toc522010659"/>
      <w:bookmarkStart w:id="3471" w:name="_Toc5269630"/>
      <w:bookmarkStart w:id="3472" w:name="_Toc36224713"/>
      <w:bookmarkStart w:id="3473" w:name="_Toc64987048"/>
      <w:bookmarkStart w:id="3474" w:name="_Toc68786598"/>
      <w:r w:rsidRPr="00BE78CA">
        <w:t>Table 11.3.4</w:t>
      </w:r>
      <w:r w:rsidRPr="00BE78CA">
        <w:tab/>
        <w:t>Area of New Zealand subject to deforestation</w:t>
      </w:r>
      <w:bookmarkEnd w:id="3468"/>
      <w:bookmarkEnd w:id="3469"/>
      <w:bookmarkEnd w:id="3470"/>
      <w:bookmarkEnd w:id="3471"/>
      <w:bookmarkEnd w:id="3472"/>
      <w:bookmarkEnd w:id="3473"/>
      <w:bookmarkEnd w:id="3474"/>
    </w:p>
    <w:tbl>
      <w:tblPr>
        <w:tblW w:w="8505" w:type="dxa"/>
        <w:tblBorders>
          <w:top w:val="single" w:sz="4" w:space="0" w:color="2E74B5"/>
          <w:bottom w:val="single" w:sz="4" w:space="0" w:color="2E74B5"/>
          <w:insideH w:val="single" w:sz="4" w:space="0" w:color="2E74B5"/>
        </w:tblBorders>
        <w:tblLook w:val="04A0" w:firstRow="1" w:lastRow="0" w:firstColumn="1" w:lastColumn="0" w:noHBand="0" w:noVBand="1"/>
      </w:tblPr>
      <w:tblGrid>
        <w:gridCol w:w="798"/>
        <w:gridCol w:w="1427"/>
        <w:gridCol w:w="1712"/>
        <w:gridCol w:w="1571"/>
        <w:gridCol w:w="1570"/>
        <w:gridCol w:w="1427"/>
      </w:tblGrid>
      <w:tr w:rsidR="00410716" w:rsidRPr="00BE78CA" w14:paraId="6B65AAC8" w14:textId="77777777" w:rsidTr="005D38DD">
        <w:trPr>
          <w:tblHeader/>
        </w:trPr>
        <w:tc>
          <w:tcPr>
            <w:tcW w:w="794" w:type="dxa"/>
            <w:tcBorders>
              <w:top w:val="single" w:sz="4" w:space="0" w:color="365F91"/>
              <w:bottom w:val="single" w:sz="4" w:space="0" w:color="365F91"/>
            </w:tcBorders>
            <w:shd w:val="clear" w:color="auto" w:fill="365F91"/>
            <w:vAlign w:val="bottom"/>
          </w:tcPr>
          <w:p w14:paraId="3F85847E" w14:textId="77777777" w:rsidR="00410716" w:rsidRPr="00BE78CA" w:rsidRDefault="00410716" w:rsidP="00C26084">
            <w:pPr>
              <w:pStyle w:val="TableTextBold"/>
              <w:keepNext/>
              <w:spacing w:before="50" w:after="0"/>
              <w:jc w:val="center"/>
              <w:rPr>
                <w:rFonts w:cs="Calibri"/>
                <w:bCs/>
                <w:noProof w:val="0"/>
                <w:color w:val="FFFFFF"/>
                <w:szCs w:val="16"/>
              </w:rPr>
            </w:pPr>
          </w:p>
        </w:tc>
        <w:tc>
          <w:tcPr>
            <w:tcW w:w="6237" w:type="dxa"/>
            <w:gridSpan w:val="4"/>
            <w:tcBorders>
              <w:top w:val="single" w:sz="4" w:space="0" w:color="365F91"/>
              <w:bottom w:val="single" w:sz="4" w:space="0" w:color="365F91"/>
            </w:tcBorders>
            <w:shd w:val="clear" w:color="auto" w:fill="365F91"/>
            <w:vAlign w:val="bottom"/>
          </w:tcPr>
          <w:p w14:paraId="0038A9B3" w14:textId="77777777" w:rsidR="00410716" w:rsidRPr="00BE78CA" w:rsidRDefault="00410716" w:rsidP="00C26084">
            <w:pPr>
              <w:pStyle w:val="TableTextBold"/>
              <w:keepNext/>
              <w:spacing w:before="50" w:after="0"/>
              <w:jc w:val="center"/>
              <w:rPr>
                <w:rFonts w:cs="Calibri"/>
                <w:bCs/>
                <w:noProof w:val="0"/>
                <w:color w:val="FFFFFF"/>
                <w:szCs w:val="16"/>
              </w:rPr>
            </w:pPr>
            <w:r w:rsidRPr="00BE78CA">
              <w:rPr>
                <w:rFonts w:cs="Calibri"/>
                <w:bCs/>
                <w:noProof w:val="0"/>
                <w:color w:val="FFFFFF"/>
                <w:szCs w:val="16"/>
              </w:rPr>
              <w:t>Annual area of deforestation (ha)</w:t>
            </w:r>
          </w:p>
        </w:tc>
        <w:tc>
          <w:tcPr>
            <w:tcW w:w="1417" w:type="dxa"/>
            <w:tcBorders>
              <w:top w:val="single" w:sz="4" w:space="0" w:color="365F91"/>
              <w:bottom w:val="single" w:sz="4" w:space="0" w:color="365F91"/>
            </w:tcBorders>
            <w:shd w:val="clear" w:color="auto" w:fill="365F91"/>
            <w:vAlign w:val="bottom"/>
          </w:tcPr>
          <w:p w14:paraId="18D2D5ED" w14:textId="77777777" w:rsidR="00410716" w:rsidRPr="00BE78CA" w:rsidRDefault="00410716" w:rsidP="00C26084">
            <w:pPr>
              <w:pStyle w:val="TableTextBold"/>
              <w:keepNext/>
              <w:spacing w:before="50" w:after="0"/>
              <w:jc w:val="center"/>
              <w:rPr>
                <w:rFonts w:cs="Calibri"/>
                <w:bCs/>
                <w:noProof w:val="0"/>
                <w:color w:val="FFFFFF"/>
                <w:szCs w:val="16"/>
              </w:rPr>
            </w:pPr>
          </w:p>
        </w:tc>
      </w:tr>
      <w:tr w:rsidR="00410716" w:rsidRPr="00BE78CA" w14:paraId="1AA0B133" w14:textId="77777777" w:rsidTr="005D38DD">
        <w:tblPrEx>
          <w:tblCellMar>
            <w:left w:w="85" w:type="dxa"/>
            <w:right w:w="85" w:type="dxa"/>
          </w:tblCellMar>
        </w:tblPrEx>
        <w:trPr>
          <w:tblHeader/>
        </w:trPr>
        <w:tc>
          <w:tcPr>
            <w:tcW w:w="794" w:type="dxa"/>
            <w:tcBorders>
              <w:top w:val="single" w:sz="4" w:space="0" w:color="365F91"/>
              <w:left w:val="nil"/>
              <w:bottom w:val="single" w:sz="4" w:space="0" w:color="365F91"/>
            </w:tcBorders>
            <w:shd w:val="clear" w:color="auto" w:fill="365F91"/>
            <w:vAlign w:val="bottom"/>
          </w:tcPr>
          <w:p w14:paraId="3655A004" w14:textId="77777777" w:rsidR="00410716" w:rsidRPr="00BE78CA" w:rsidRDefault="00410716" w:rsidP="00C26084">
            <w:pPr>
              <w:pStyle w:val="TableTextBold"/>
              <w:keepNext/>
              <w:spacing w:before="50" w:after="50"/>
              <w:rPr>
                <w:rFonts w:cs="Calibri"/>
                <w:bCs/>
                <w:noProof w:val="0"/>
                <w:color w:val="FFFFFF"/>
                <w:szCs w:val="16"/>
              </w:rPr>
            </w:pPr>
            <w:r w:rsidRPr="00BE78CA">
              <w:rPr>
                <w:rFonts w:cs="Calibri"/>
                <w:bCs/>
                <w:noProof w:val="0"/>
                <w:color w:val="FFFFFF"/>
                <w:szCs w:val="16"/>
              </w:rPr>
              <w:t>Year</w:t>
            </w:r>
          </w:p>
        </w:tc>
        <w:tc>
          <w:tcPr>
            <w:tcW w:w="1417" w:type="dxa"/>
            <w:tcBorders>
              <w:top w:val="single" w:sz="4" w:space="0" w:color="365F91"/>
              <w:bottom w:val="single" w:sz="4" w:space="0" w:color="365F91"/>
            </w:tcBorders>
            <w:shd w:val="clear" w:color="auto" w:fill="365F91"/>
            <w:vAlign w:val="bottom"/>
          </w:tcPr>
          <w:p w14:paraId="0DE891F2" w14:textId="77777777" w:rsidR="00410716" w:rsidRPr="00BE78CA" w:rsidRDefault="00410716" w:rsidP="00C26084">
            <w:pPr>
              <w:pStyle w:val="TableTextBold"/>
              <w:spacing w:before="50" w:after="50"/>
              <w:jc w:val="right"/>
              <w:rPr>
                <w:rFonts w:cs="Calibri"/>
                <w:noProof w:val="0"/>
                <w:color w:val="FFFFFF"/>
                <w:szCs w:val="16"/>
              </w:rPr>
            </w:pPr>
            <w:r w:rsidRPr="00BE78CA">
              <w:rPr>
                <w:rFonts w:cs="Calibri"/>
                <w:noProof w:val="0"/>
                <w:color w:val="FFFFFF"/>
                <w:szCs w:val="16"/>
              </w:rPr>
              <w:t xml:space="preserve">Pre-1990 </w:t>
            </w:r>
            <w:r w:rsidRPr="00BE78CA">
              <w:rPr>
                <w:rFonts w:cs="Calibri"/>
                <w:noProof w:val="0"/>
                <w:color w:val="FFFFFF"/>
                <w:szCs w:val="16"/>
              </w:rPr>
              <w:br/>
              <w:t>natural forest</w:t>
            </w:r>
          </w:p>
        </w:tc>
        <w:tc>
          <w:tcPr>
            <w:tcW w:w="1701" w:type="dxa"/>
            <w:tcBorders>
              <w:top w:val="single" w:sz="4" w:space="0" w:color="365F91"/>
              <w:bottom w:val="single" w:sz="4" w:space="0" w:color="365F91"/>
            </w:tcBorders>
            <w:shd w:val="clear" w:color="auto" w:fill="365F91"/>
            <w:vAlign w:val="bottom"/>
          </w:tcPr>
          <w:p w14:paraId="2E33B83F" w14:textId="77777777" w:rsidR="00410716" w:rsidRPr="00BE78CA" w:rsidRDefault="00410716" w:rsidP="00C26084">
            <w:pPr>
              <w:pStyle w:val="TableTextBold"/>
              <w:spacing w:before="50" w:after="50"/>
              <w:jc w:val="right"/>
              <w:rPr>
                <w:rFonts w:cs="Calibri"/>
                <w:noProof w:val="0"/>
                <w:color w:val="FFFFFF"/>
                <w:szCs w:val="16"/>
              </w:rPr>
            </w:pPr>
            <w:r w:rsidRPr="00BE78CA">
              <w:rPr>
                <w:rFonts w:cs="Calibri"/>
                <w:noProof w:val="0"/>
                <w:color w:val="FFFFFF"/>
                <w:szCs w:val="16"/>
              </w:rPr>
              <w:t xml:space="preserve">Pre-1990 </w:t>
            </w:r>
            <w:r w:rsidRPr="00BE78CA">
              <w:rPr>
                <w:rFonts w:cs="Calibri"/>
                <w:noProof w:val="0"/>
                <w:color w:val="FFFFFF"/>
                <w:szCs w:val="16"/>
              </w:rPr>
              <w:br/>
              <w:t>planted forest</w:t>
            </w:r>
          </w:p>
        </w:tc>
        <w:tc>
          <w:tcPr>
            <w:tcW w:w="1560" w:type="dxa"/>
            <w:tcBorders>
              <w:top w:val="single" w:sz="4" w:space="0" w:color="365F91"/>
              <w:bottom w:val="single" w:sz="4" w:space="0" w:color="365F91"/>
              <w:right w:val="nil"/>
            </w:tcBorders>
            <w:shd w:val="clear" w:color="auto" w:fill="365F91"/>
            <w:vAlign w:val="bottom"/>
          </w:tcPr>
          <w:p w14:paraId="11301FBB" w14:textId="77777777" w:rsidR="00410716" w:rsidRPr="00BE78CA" w:rsidRDefault="00410716" w:rsidP="00C26084">
            <w:pPr>
              <w:pStyle w:val="TableTextBold"/>
              <w:spacing w:before="50" w:after="50"/>
              <w:jc w:val="right"/>
              <w:rPr>
                <w:rFonts w:cs="Calibri"/>
                <w:noProof w:val="0"/>
                <w:color w:val="FFFFFF"/>
                <w:szCs w:val="16"/>
              </w:rPr>
            </w:pPr>
            <w:r w:rsidRPr="00BE78CA">
              <w:rPr>
                <w:rFonts w:cs="Calibri"/>
                <w:noProof w:val="0"/>
                <w:color w:val="FFFFFF"/>
                <w:szCs w:val="16"/>
              </w:rPr>
              <w:t xml:space="preserve">Post-1989 </w:t>
            </w:r>
            <w:r w:rsidRPr="00BE78CA">
              <w:rPr>
                <w:rFonts w:cs="Calibri"/>
                <w:noProof w:val="0"/>
                <w:color w:val="FFFFFF"/>
                <w:szCs w:val="16"/>
              </w:rPr>
              <w:br/>
              <w:t>planted forest</w:t>
            </w:r>
          </w:p>
        </w:tc>
        <w:tc>
          <w:tcPr>
            <w:tcW w:w="1559" w:type="dxa"/>
            <w:tcBorders>
              <w:top w:val="single" w:sz="4" w:space="0" w:color="365F91"/>
              <w:bottom w:val="single" w:sz="4" w:space="0" w:color="365F91"/>
            </w:tcBorders>
            <w:shd w:val="clear" w:color="auto" w:fill="365F91"/>
          </w:tcPr>
          <w:p w14:paraId="7E3E1069" w14:textId="77777777" w:rsidR="00410716" w:rsidRPr="00BE78CA" w:rsidRDefault="00410716" w:rsidP="00C26084">
            <w:pPr>
              <w:pStyle w:val="TableTextBold"/>
              <w:jc w:val="right"/>
              <w:rPr>
                <w:rFonts w:cs="Calibri"/>
                <w:noProof w:val="0"/>
                <w:color w:val="FFFFFF"/>
                <w:szCs w:val="16"/>
              </w:rPr>
            </w:pPr>
            <w:r w:rsidRPr="00BE78CA">
              <w:rPr>
                <w:rFonts w:cs="Calibri"/>
                <w:noProof w:val="0"/>
                <w:color w:val="FFFFFF"/>
                <w:szCs w:val="16"/>
              </w:rPr>
              <w:t xml:space="preserve">Post-1989 </w:t>
            </w:r>
            <w:r w:rsidRPr="00BE78CA">
              <w:rPr>
                <w:rFonts w:cs="Calibri"/>
                <w:noProof w:val="0"/>
                <w:color w:val="FFFFFF"/>
                <w:szCs w:val="16"/>
              </w:rPr>
              <w:br/>
              <w:t>natural forest</w:t>
            </w:r>
          </w:p>
        </w:tc>
        <w:tc>
          <w:tcPr>
            <w:tcW w:w="1417" w:type="dxa"/>
            <w:tcBorders>
              <w:top w:val="single" w:sz="4" w:space="0" w:color="365F91"/>
              <w:bottom w:val="single" w:sz="4" w:space="0" w:color="365F91"/>
              <w:right w:val="nil"/>
            </w:tcBorders>
            <w:shd w:val="clear" w:color="auto" w:fill="365F91"/>
            <w:vAlign w:val="bottom"/>
          </w:tcPr>
          <w:p w14:paraId="2E08974A" w14:textId="77777777" w:rsidR="00410716" w:rsidRPr="00BE78CA" w:rsidRDefault="00410716" w:rsidP="00C26084">
            <w:pPr>
              <w:pStyle w:val="TableTextBold"/>
              <w:jc w:val="right"/>
              <w:rPr>
                <w:rFonts w:cs="Calibri"/>
                <w:noProof w:val="0"/>
                <w:color w:val="FFFFFF"/>
                <w:szCs w:val="16"/>
              </w:rPr>
            </w:pPr>
            <w:r w:rsidRPr="00BE78CA">
              <w:rPr>
                <w:rFonts w:cs="Calibri"/>
                <w:noProof w:val="0"/>
                <w:color w:val="FFFFFF"/>
                <w:szCs w:val="16"/>
              </w:rPr>
              <w:t>Total</w:t>
            </w:r>
          </w:p>
        </w:tc>
      </w:tr>
      <w:tr w:rsidR="00410716" w:rsidRPr="00BE78CA" w14:paraId="5B8B1810" w14:textId="77777777" w:rsidTr="005D38DD">
        <w:tblPrEx>
          <w:tblCellMar>
            <w:left w:w="85" w:type="dxa"/>
            <w:right w:w="85" w:type="dxa"/>
          </w:tblCellMar>
        </w:tblPrEx>
        <w:tc>
          <w:tcPr>
            <w:tcW w:w="794" w:type="dxa"/>
            <w:tcBorders>
              <w:top w:val="single" w:sz="4" w:space="0" w:color="365F91"/>
              <w:bottom w:val="single" w:sz="4" w:space="0" w:color="365F91"/>
            </w:tcBorders>
            <w:shd w:val="clear" w:color="auto" w:fill="auto"/>
            <w:vAlign w:val="center"/>
          </w:tcPr>
          <w:p w14:paraId="21BAB7AA" w14:textId="77777777" w:rsidR="00410716" w:rsidRPr="00BE78CA" w:rsidRDefault="00410716" w:rsidP="00C26084">
            <w:pPr>
              <w:pStyle w:val="TableText"/>
              <w:spacing w:before="50" w:after="50"/>
              <w:rPr>
                <w:rFonts w:cs="Calibri"/>
                <w:szCs w:val="16"/>
              </w:rPr>
            </w:pPr>
            <w:r w:rsidRPr="00BE78CA">
              <w:rPr>
                <w:rFonts w:cs="Calibri"/>
                <w:szCs w:val="16"/>
              </w:rPr>
              <w:t>2008</w:t>
            </w:r>
          </w:p>
        </w:tc>
        <w:tc>
          <w:tcPr>
            <w:tcW w:w="1417" w:type="dxa"/>
            <w:tcBorders>
              <w:top w:val="single" w:sz="4" w:space="0" w:color="365F91"/>
              <w:bottom w:val="single" w:sz="4" w:space="0" w:color="365F91"/>
            </w:tcBorders>
            <w:shd w:val="clear" w:color="auto" w:fill="auto"/>
          </w:tcPr>
          <w:p w14:paraId="1324A8D6" w14:textId="77777777" w:rsidR="00410716" w:rsidRPr="00BE78CA" w:rsidRDefault="00410716" w:rsidP="00C26084">
            <w:pPr>
              <w:pStyle w:val="TableText"/>
              <w:spacing w:before="50" w:after="50"/>
              <w:jc w:val="right"/>
              <w:rPr>
                <w:rFonts w:cs="Calibri"/>
                <w:szCs w:val="16"/>
              </w:rPr>
            </w:pPr>
            <w:r w:rsidRPr="00BE78CA">
              <w:t xml:space="preserve"> 762 </w:t>
            </w:r>
          </w:p>
        </w:tc>
        <w:tc>
          <w:tcPr>
            <w:tcW w:w="1701" w:type="dxa"/>
            <w:tcBorders>
              <w:top w:val="single" w:sz="4" w:space="0" w:color="365F91"/>
              <w:bottom w:val="single" w:sz="4" w:space="0" w:color="365F91"/>
            </w:tcBorders>
            <w:shd w:val="clear" w:color="auto" w:fill="auto"/>
          </w:tcPr>
          <w:p w14:paraId="006DD670" w14:textId="77777777" w:rsidR="00410716" w:rsidRPr="00BE78CA" w:rsidRDefault="00410716" w:rsidP="00C26084">
            <w:pPr>
              <w:pStyle w:val="TableText"/>
              <w:spacing w:before="50" w:after="50"/>
              <w:jc w:val="right"/>
              <w:rPr>
                <w:rFonts w:cs="Calibri"/>
                <w:szCs w:val="16"/>
              </w:rPr>
            </w:pPr>
            <w:r w:rsidRPr="00BE78CA">
              <w:t xml:space="preserve"> 3,859 </w:t>
            </w:r>
          </w:p>
        </w:tc>
        <w:tc>
          <w:tcPr>
            <w:tcW w:w="1560" w:type="dxa"/>
            <w:tcBorders>
              <w:top w:val="single" w:sz="4" w:space="0" w:color="365F91"/>
              <w:bottom w:val="single" w:sz="4" w:space="0" w:color="365F91"/>
            </w:tcBorders>
            <w:shd w:val="clear" w:color="auto" w:fill="auto"/>
          </w:tcPr>
          <w:p w14:paraId="10C83F1D" w14:textId="77777777" w:rsidR="00410716" w:rsidRPr="00BE78CA" w:rsidRDefault="00410716" w:rsidP="00C26084">
            <w:pPr>
              <w:pStyle w:val="TableText"/>
              <w:spacing w:before="50" w:after="50"/>
              <w:jc w:val="right"/>
              <w:rPr>
                <w:rFonts w:cs="Calibri"/>
                <w:szCs w:val="16"/>
              </w:rPr>
            </w:pPr>
            <w:r w:rsidRPr="00BE78CA">
              <w:t xml:space="preserve"> 1,080 </w:t>
            </w:r>
          </w:p>
        </w:tc>
        <w:tc>
          <w:tcPr>
            <w:tcW w:w="1559" w:type="dxa"/>
            <w:tcBorders>
              <w:top w:val="single" w:sz="4" w:space="0" w:color="365F91"/>
              <w:bottom w:val="single" w:sz="4" w:space="0" w:color="365F91"/>
            </w:tcBorders>
          </w:tcPr>
          <w:p w14:paraId="6D29E665" w14:textId="77777777" w:rsidR="00410716" w:rsidRPr="00BE78CA" w:rsidRDefault="00410716" w:rsidP="00C26084">
            <w:pPr>
              <w:pStyle w:val="TableText"/>
              <w:spacing w:before="50" w:after="50"/>
              <w:jc w:val="right"/>
              <w:rPr>
                <w:rFonts w:cs="Calibri"/>
                <w:szCs w:val="16"/>
              </w:rPr>
            </w:pPr>
            <w:r w:rsidRPr="00BE78CA">
              <w:t xml:space="preserve"> 14 </w:t>
            </w:r>
          </w:p>
        </w:tc>
        <w:tc>
          <w:tcPr>
            <w:tcW w:w="1417" w:type="dxa"/>
            <w:tcBorders>
              <w:top w:val="single" w:sz="4" w:space="0" w:color="365F91"/>
              <w:bottom w:val="single" w:sz="4" w:space="0" w:color="365F91"/>
            </w:tcBorders>
          </w:tcPr>
          <w:p w14:paraId="7B789222" w14:textId="77777777" w:rsidR="00410716" w:rsidRPr="00BE78CA" w:rsidRDefault="00410716" w:rsidP="00C26084">
            <w:pPr>
              <w:pStyle w:val="TableText"/>
              <w:spacing w:before="50" w:after="50"/>
              <w:jc w:val="right"/>
              <w:rPr>
                <w:rFonts w:cs="Calibri"/>
                <w:szCs w:val="16"/>
              </w:rPr>
            </w:pPr>
            <w:r w:rsidRPr="00BE78CA">
              <w:t xml:space="preserve"> 5,714 </w:t>
            </w:r>
          </w:p>
        </w:tc>
      </w:tr>
      <w:tr w:rsidR="00410716" w:rsidRPr="00BE78CA" w14:paraId="340A3239" w14:textId="77777777" w:rsidTr="005D38DD">
        <w:tblPrEx>
          <w:tblCellMar>
            <w:left w:w="85" w:type="dxa"/>
            <w:right w:w="85" w:type="dxa"/>
          </w:tblCellMar>
        </w:tblPrEx>
        <w:tc>
          <w:tcPr>
            <w:tcW w:w="794" w:type="dxa"/>
            <w:tcBorders>
              <w:top w:val="single" w:sz="4" w:space="0" w:color="365F91"/>
              <w:bottom w:val="single" w:sz="4" w:space="0" w:color="365F91"/>
            </w:tcBorders>
            <w:shd w:val="clear" w:color="auto" w:fill="auto"/>
            <w:vAlign w:val="center"/>
          </w:tcPr>
          <w:p w14:paraId="02270571" w14:textId="77777777" w:rsidR="00410716" w:rsidRPr="00BE78CA" w:rsidRDefault="00410716" w:rsidP="00C26084">
            <w:pPr>
              <w:pStyle w:val="TableText"/>
              <w:spacing w:before="50" w:after="50"/>
              <w:rPr>
                <w:rFonts w:cs="Calibri"/>
                <w:szCs w:val="16"/>
              </w:rPr>
            </w:pPr>
            <w:r w:rsidRPr="00BE78CA">
              <w:rPr>
                <w:rFonts w:cs="Calibri"/>
                <w:szCs w:val="16"/>
              </w:rPr>
              <w:t>2009</w:t>
            </w:r>
          </w:p>
        </w:tc>
        <w:tc>
          <w:tcPr>
            <w:tcW w:w="1417" w:type="dxa"/>
            <w:tcBorders>
              <w:top w:val="single" w:sz="4" w:space="0" w:color="365F91"/>
              <w:bottom w:val="single" w:sz="4" w:space="0" w:color="365F91"/>
            </w:tcBorders>
            <w:shd w:val="clear" w:color="auto" w:fill="auto"/>
          </w:tcPr>
          <w:p w14:paraId="2E087B8C" w14:textId="77777777" w:rsidR="00410716" w:rsidRPr="00BE78CA" w:rsidRDefault="00410716" w:rsidP="00C26084">
            <w:pPr>
              <w:pStyle w:val="TableText"/>
              <w:spacing w:before="50" w:after="50"/>
              <w:jc w:val="right"/>
              <w:rPr>
                <w:rFonts w:cs="Calibri"/>
                <w:szCs w:val="16"/>
              </w:rPr>
            </w:pPr>
            <w:r w:rsidRPr="00BE78CA">
              <w:t xml:space="preserve"> 2,446 </w:t>
            </w:r>
          </w:p>
        </w:tc>
        <w:tc>
          <w:tcPr>
            <w:tcW w:w="1701" w:type="dxa"/>
            <w:tcBorders>
              <w:top w:val="single" w:sz="4" w:space="0" w:color="365F91"/>
              <w:bottom w:val="single" w:sz="4" w:space="0" w:color="365F91"/>
            </w:tcBorders>
            <w:shd w:val="clear" w:color="auto" w:fill="auto"/>
          </w:tcPr>
          <w:p w14:paraId="167865E2" w14:textId="77777777" w:rsidR="00410716" w:rsidRPr="00BE78CA" w:rsidRDefault="00410716" w:rsidP="00C26084">
            <w:pPr>
              <w:pStyle w:val="TableText"/>
              <w:spacing w:before="50" w:after="50"/>
              <w:jc w:val="right"/>
              <w:rPr>
                <w:rFonts w:cs="Calibri"/>
                <w:szCs w:val="16"/>
              </w:rPr>
            </w:pPr>
            <w:r w:rsidRPr="00BE78CA">
              <w:t xml:space="preserve"> 5,592 </w:t>
            </w:r>
          </w:p>
        </w:tc>
        <w:tc>
          <w:tcPr>
            <w:tcW w:w="1560" w:type="dxa"/>
            <w:tcBorders>
              <w:top w:val="single" w:sz="4" w:space="0" w:color="365F91"/>
              <w:bottom w:val="single" w:sz="4" w:space="0" w:color="365F91"/>
            </w:tcBorders>
            <w:shd w:val="clear" w:color="auto" w:fill="auto"/>
          </w:tcPr>
          <w:p w14:paraId="23E9462D" w14:textId="77777777" w:rsidR="00410716" w:rsidRPr="00BE78CA" w:rsidRDefault="00410716" w:rsidP="00C26084">
            <w:pPr>
              <w:pStyle w:val="TableText"/>
              <w:spacing w:before="50" w:after="50"/>
              <w:jc w:val="right"/>
              <w:rPr>
                <w:rFonts w:cs="Calibri"/>
                <w:szCs w:val="16"/>
              </w:rPr>
            </w:pPr>
            <w:r w:rsidRPr="00BE78CA">
              <w:t xml:space="preserve"> 1,968 </w:t>
            </w:r>
          </w:p>
        </w:tc>
        <w:tc>
          <w:tcPr>
            <w:tcW w:w="1559" w:type="dxa"/>
            <w:tcBorders>
              <w:top w:val="single" w:sz="4" w:space="0" w:color="365F91"/>
              <w:bottom w:val="single" w:sz="4" w:space="0" w:color="365F91"/>
            </w:tcBorders>
          </w:tcPr>
          <w:p w14:paraId="4735F33B" w14:textId="77777777" w:rsidR="00410716" w:rsidRPr="00BE78CA" w:rsidRDefault="00410716" w:rsidP="00C26084">
            <w:pPr>
              <w:pStyle w:val="TableText"/>
              <w:spacing w:before="50" w:after="50"/>
              <w:jc w:val="right"/>
              <w:rPr>
                <w:rFonts w:cs="Calibri"/>
                <w:szCs w:val="16"/>
              </w:rPr>
            </w:pPr>
            <w:r w:rsidRPr="00BE78CA">
              <w:t xml:space="preserve"> 55 </w:t>
            </w:r>
          </w:p>
        </w:tc>
        <w:tc>
          <w:tcPr>
            <w:tcW w:w="1417" w:type="dxa"/>
            <w:tcBorders>
              <w:top w:val="single" w:sz="4" w:space="0" w:color="365F91"/>
              <w:bottom w:val="single" w:sz="4" w:space="0" w:color="365F91"/>
            </w:tcBorders>
          </w:tcPr>
          <w:p w14:paraId="7BC0F1D3" w14:textId="77777777" w:rsidR="00410716" w:rsidRPr="00BE78CA" w:rsidRDefault="00410716" w:rsidP="00C26084">
            <w:pPr>
              <w:pStyle w:val="TableText"/>
              <w:spacing w:before="50" w:after="50"/>
              <w:jc w:val="right"/>
              <w:rPr>
                <w:rFonts w:cs="Calibri"/>
                <w:szCs w:val="16"/>
              </w:rPr>
            </w:pPr>
            <w:r w:rsidRPr="00BE78CA">
              <w:t xml:space="preserve"> 10,061 </w:t>
            </w:r>
          </w:p>
        </w:tc>
      </w:tr>
      <w:tr w:rsidR="00410716" w:rsidRPr="00BE78CA" w14:paraId="2F02C5FC" w14:textId="77777777" w:rsidTr="005D38DD">
        <w:tblPrEx>
          <w:tblCellMar>
            <w:left w:w="85" w:type="dxa"/>
            <w:right w:w="85" w:type="dxa"/>
          </w:tblCellMar>
        </w:tblPrEx>
        <w:tc>
          <w:tcPr>
            <w:tcW w:w="794" w:type="dxa"/>
            <w:tcBorders>
              <w:top w:val="single" w:sz="4" w:space="0" w:color="365F91"/>
              <w:bottom w:val="single" w:sz="4" w:space="0" w:color="365F91"/>
            </w:tcBorders>
            <w:shd w:val="clear" w:color="auto" w:fill="auto"/>
            <w:vAlign w:val="center"/>
          </w:tcPr>
          <w:p w14:paraId="0635973E" w14:textId="77777777" w:rsidR="00410716" w:rsidRPr="00BE78CA" w:rsidRDefault="00410716" w:rsidP="00C26084">
            <w:pPr>
              <w:pStyle w:val="TableText"/>
              <w:spacing w:before="50" w:after="50"/>
              <w:rPr>
                <w:rFonts w:cs="Calibri"/>
                <w:szCs w:val="16"/>
              </w:rPr>
            </w:pPr>
            <w:r w:rsidRPr="00BE78CA">
              <w:rPr>
                <w:rFonts w:cs="Calibri"/>
                <w:szCs w:val="16"/>
              </w:rPr>
              <w:t>2010</w:t>
            </w:r>
          </w:p>
        </w:tc>
        <w:tc>
          <w:tcPr>
            <w:tcW w:w="1417" w:type="dxa"/>
            <w:tcBorders>
              <w:top w:val="single" w:sz="4" w:space="0" w:color="365F91"/>
              <w:bottom w:val="single" w:sz="4" w:space="0" w:color="365F91"/>
            </w:tcBorders>
            <w:shd w:val="clear" w:color="auto" w:fill="auto"/>
          </w:tcPr>
          <w:p w14:paraId="50F7D387" w14:textId="77777777" w:rsidR="00410716" w:rsidRPr="00BE78CA" w:rsidRDefault="00410716" w:rsidP="00C26084">
            <w:pPr>
              <w:pStyle w:val="TableText"/>
              <w:spacing w:before="50" w:after="50"/>
              <w:jc w:val="right"/>
              <w:rPr>
                <w:rFonts w:cs="Calibri"/>
                <w:szCs w:val="16"/>
              </w:rPr>
            </w:pPr>
            <w:r w:rsidRPr="00BE78CA">
              <w:t xml:space="preserve"> 1,939 </w:t>
            </w:r>
          </w:p>
        </w:tc>
        <w:tc>
          <w:tcPr>
            <w:tcW w:w="1701" w:type="dxa"/>
            <w:tcBorders>
              <w:top w:val="single" w:sz="4" w:space="0" w:color="365F91"/>
              <w:bottom w:val="single" w:sz="4" w:space="0" w:color="365F91"/>
            </w:tcBorders>
            <w:shd w:val="clear" w:color="auto" w:fill="auto"/>
          </w:tcPr>
          <w:p w14:paraId="4E7AD01D" w14:textId="77777777" w:rsidR="00410716" w:rsidRPr="00BE78CA" w:rsidRDefault="00410716" w:rsidP="00C26084">
            <w:pPr>
              <w:pStyle w:val="TableText"/>
              <w:spacing w:before="50" w:after="50"/>
              <w:jc w:val="right"/>
              <w:rPr>
                <w:rFonts w:cs="Calibri"/>
                <w:szCs w:val="16"/>
              </w:rPr>
            </w:pPr>
            <w:r w:rsidRPr="00BE78CA">
              <w:t xml:space="preserve"> 6,531 </w:t>
            </w:r>
          </w:p>
        </w:tc>
        <w:tc>
          <w:tcPr>
            <w:tcW w:w="1560" w:type="dxa"/>
            <w:tcBorders>
              <w:top w:val="single" w:sz="4" w:space="0" w:color="365F91"/>
              <w:bottom w:val="single" w:sz="4" w:space="0" w:color="365F91"/>
            </w:tcBorders>
            <w:shd w:val="clear" w:color="auto" w:fill="auto"/>
          </w:tcPr>
          <w:p w14:paraId="588EBBDB" w14:textId="77777777" w:rsidR="00410716" w:rsidRPr="00BE78CA" w:rsidRDefault="00410716" w:rsidP="00C26084">
            <w:pPr>
              <w:pStyle w:val="TableText"/>
              <w:spacing w:before="50" w:after="50"/>
              <w:jc w:val="right"/>
              <w:rPr>
                <w:rFonts w:cs="Calibri"/>
                <w:szCs w:val="16"/>
              </w:rPr>
            </w:pPr>
            <w:r w:rsidRPr="00BE78CA">
              <w:t xml:space="preserve"> 1,655 </w:t>
            </w:r>
          </w:p>
        </w:tc>
        <w:tc>
          <w:tcPr>
            <w:tcW w:w="1559" w:type="dxa"/>
            <w:tcBorders>
              <w:top w:val="single" w:sz="4" w:space="0" w:color="365F91"/>
              <w:bottom w:val="single" w:sz="4" w:space="0" w:color="365F91"/>
            </w:tcBorders>
          </w:tcPr>
          <w:p w14:paraId="76C999CC" w14:textId="77777777" w:rsidR="00410716" w:rsidRPr="00BE78CA" w:rsidRDefault="00410716" w:rsidP="00C26084">
            <w:pPr>
              <w:pStyle w:val="TableText"/>
              <w:spacing w:before="50" w:after="50"/>
              <w:jc w:val="right"/>
              <w:rPr>
                <w:rFonts w:cs="Calibri"/>
                <w:szCs w:val="16"/>
              </w:rPr>
            </w:pPr>
            <w:r w:rsidRPr="00BE78CA">
              <w:t xml:space="preserve"> 29 </w:t>
            </w:r>
          </w:p>
        </w:tc>
        <w:tc>
          <w:tcPr>
            <w:tcW w:w="1417" w:type="dxa"/>
            <w:tcBorders>
              <w:top w:val="single" w:sz="4" w:space="0" w:color="365F91"/>
              <w:bottom w:val="single" w:sz="4" w:space="0" w:color="365F91"/>
            </w:tcBorders>
          </w:tcPr>
          <w:p w14:paraId="2F1E0DC3" w14:textId="77777777" w:rsidR="00410716" w:rsidRPr="00BE78CA" w:rsidRDefault="00410716" w:rsidP="00C26084">
            <w:pPr>
              <w:pStyle w:val="TableText"/>
              <w:spacing w:before="50" w:after="50"/>
              <w:jc w:val="right"/>
              <w:rPr>
                <w:rFonts w:cs="Calibri"/>
                <w:szCs w:val="16"/>
              </w:rPr>
            </w:pPr>
            <w:r w:rsidRPr="00BE78CA">
              <w:t xml:space="preserve"> 10,154 </w:t>
            </w:r>
          </w:p>
        </w:tc>
      </w:tr>
      <w:tr w:rsidR="00410716" w:rsidRPr="00BE78CA" w14:paraId="6CA4A869" w14:textId="77777777" w:rsidTr="005D38DD">
        <w:tblPrEx>
          <w:tblCellMar>
            <w:left w:w="85" w:type="dxa"/>
            <w:right w:w="85" w:type="dxa"/>
          </w:tblCellMar>
        </w:tblPrEx>
        <w:tc>
          <w:tcPr>
            <w:tcW w:w="794" w:type="dxa"/>
            <w:tcBorders>
              <w:top w:val="single" w:sz="4" w:space="0" w:color="365F91"/>
              <w:bottom w:val="single" w:sz="4" w:space="0" w:color="365F91"/>
            </w:tcBorders>
            <w:shd w:val="clear" w:color="auto" w:fill="auto"/>
            <w:vAlign w:val="center"/>
          </w:tcPr>
          <w:p w14:paraId="18722DB7" w14:textId="77777777" w:rsidR="00410716" w:rsidRPr="00BE78CA" w:rsidRDefault="00410716" w:rsidP="00C26084">
            <w:pPr>
              <w:pStyle w:val="TableText"/>
              <w:spacing w:before="50" w:after="50"/>
              <w:rPr>
                <w:rFonts w:cs="Calibri"/>
                <w:szCs w:val="16"/>
              </w:rPr>
            </w:pPr>
            <w:r w:rsidRPr="00BE78CA">
              <w:rPr>
                <w:rFonts w:cs="Calibri"/>
                <w:szCs w:val="16"/>
              </w:rPr>
              <w:t>2011</w:t>
            </w:r>
          </w:p>
        </w:tc>
        <w:tc>
          <w:tcPr>
            <w:tcW w:w="1417" w:type="dxa"/>
            <w:tcBorders>
              <w:top w:val="single" w:sz="4" w:space="0" w:color="365F91"/>
              <w:bottom w:val="single" w:sz="4" w:space="0" w:color="365F91"/>
            </w:tcBorders>
            <w:shd w:val="clear" w:color="auto" w:fill="auto"/>
          </w:tcPr>
          <w:p w14:paraId="6F507ECC" w14:textId="77777777" w:rsidR="00410716" w:rsidRPr="00BE78CA" w:rsidRDefault="00410716" w:rsidP="00C26084">
            <w:pPr>
              <w:pStyle w:val="TableText"/>
              <w:spacing w:before="50" w:after="50"/>
              <w:jc w:val="right"/>
              <w:rPr>
                <w:rFonts w:cs="Calibri"/>
                <w:szCs w:val="16"/>
              </w:rPr>
            </w:pPr>
            <w:r w:rsidRPr="00BE78CA">
              <w:t xml:space="preserve"> 1,018 </w:t>
            </w:r>
          </w:p>
        </w:tc>
        <w:tc>
          <w:tcPr>
            <w:tcW w:w="1701" w:type="dxa"/>
            <w:tcBorders>
              <w:top w:val="single" w:sz="4" w:space="0" w:color="365F91"/>
              <w:bottom w:val="single" w:sz="4" w:space="0" w:color="365F91"/>
            </w:tcBorders>
            <w:shd w:val="clear" w:color="auto" w:fill="auto"/>
          </w:tcPr>
          <w:p w14:paraId="7E1D5696" w14:textId="77777777" w:rsidR="00410716" w:rsidRPr="00BE78CA" w:rsidRDefault="00410716" w:rsidP="00C26084">
            <w:pPr>
              <w:pStyle w:val="TableText"/>
              <w:spacing w:before="50" w:after="50"/>
              <w:jc w:val="right"/>
              <w:rPr>
                <w:rFonts w:cs="Calibri"/>
                <w:szCs w:val="16"/>
              </w:rPr>
            </w:pPr>
            <w:r w:rsidRPr="00BE78CA">
              <w:t xml:space="preserve"> 5,425 </w:t>
            </w:r>
          </w:p>
        </w:tc>
        <w:tc>
          <w:tcPr>
            <w:tcW w:w="1560" w:type="dxa"/>
            <w:tcBorders>
              <w:top w:val="single" w:sz="4" w:space="0" w:color="365F91"/>
              <w:bottom w:val="single" w:sz="4" w:space="0" w:color="365F91"/>
            </w:tcBorders>
            <w:shd w:val="clear" w:color="auto" w:fill="auto"/>
          </w:tcPr>
          <w:p w14:paraId="468FA9B5" w14:textId="77777777" w:rsidR="00410716" w:rsidRPr="00BE78CA" w:rsidRDefault="00410716" w:rsidP="00C26084">
            <w:pPr>
              <w:pStyle w:val="TableText"/>
              <w:spacing w:before="50" w:after="50"/>
              <w:jc w:val="right"/>
              <w:rPr>
                <w:rFonts w:cs="Calibri"/>
                <w:szCs w:val="16"/>
              </w:rPr>
            </w:pPr>
            <w:r w:rsidRPr="00BE78CA">
              <w:t xml:space="preserve"> 2,094 </w:t>
            </w:r>
          </w:p>
        </w:tc>
        <w:tc>
          <w:tcPr>
            <w:tcW w:w="1559" w:type="dxa"/>
            <w:tcBorders>
              <w:top w:val="single" w:sz="4" w:space="0" w:color="365F91"/>
              <w:bottom w:val="single" w:sz="4" w:space="0" w:color="365F91"/>
            </w:tcBorders>
          </w:tcPr>
          <w:p w14:paraId="106E7047" w14:textId="77777777" w:rsidR="00410716" w:rsidRPr="00BE78CA" w:rsidRDefault="00410716" w:rsidP="00C26084">
            <w:pPr>
              <w:pStyle w:val="TableText"/>
              <w:spacing w:before="50" w:after="50"/>
              <w:jc w:val="right"/>
              <w:rPr>
                <w:rFonts w:cs="Calibri"/>
                <w:szCs w:val="16"/>
              </w:rPr>
            </w:pPr>
            <w:r w:rsidRPr="00BE78CA">
              <w:t xml:space="preserve"> 89 </w:t>
            </w:r>
          </w:p>
        </w:tc>
        <w:tc>
          <w:tcPr>
            <w:tcW w:w="1417" w:type="dxa"/>
            <w:tcBorders>
              <w:top w:val="single" w:sz="4" w:space="0" w:color="365F91"/>
              <w:bottom w:val="single" w:sz="4" w:space="0" w:color="365F91"/>
            </w:tcBorders>
          </w:tcPr>
          <w:p w14:paraId="77D6205E" w14:textId="77777777" w:rsidR="00410716" w:rsidRPr="00BE78CA" w:rsidRDefault="00410716" w:rsidP="00C26084">
            <w:pPr>
              <w:pStyle w:val="TableText"/>
              <w:spacing w:before="50" w:after="50"/>
              <w:jc w:val="right"/>
              <w:rPr>
                <w:rFonts w:cs="Calibri"/>
                <w:szCs w:val="16"/>
              </w:rPr>
            </w:pPr>
            <w:r w:rsidRPr="00BE78CA">
              <w:t xml:space="preserve"> 8,626 </w:t>
            </w:r>
          </w:p>
        </w:tc>
      </w:tr>
      <w:tr w:rsidR="00410716" w:rsidRPr="00BE78CA" w14:paraId="68D04826" w14:textId="77777777" w:rsidTr="005D38DD">
        <w:tblPrEx>
          <w:tblCellMar>
            <w:left w:w="85" w:type="dxa"/>
            <w:right w:w="85" w:type="dxa"/>
          </w:tblCellMar>
        </w:tblPrEx>
        <w:tc>
          <w:tcPr>
            <w:tcW w:w="794" w:type="dxa"/>
            <w:tcBorders>
              <w:top w:val="single" w:sz="4" w:space="0" w:color="365F91"/>
              <w:bottom w:val="single" w:sz="4" w:space="0" w:color="365F91"/>
            </w:tcBorders>
            <w:shd w:val="clear" w:color="auto" w:fill="auto"/>
            <w:vAlign w:val="center"/>
          </w:tcPr>
          <w:p w14:paraId="03DDC480" w14:textId="77777777" w:rsidR="00410716" w:rsidRPr="00BE78CA" w:rsidRDefault="00410716" w:rsidP="00C26084">
            <w:pPr>
              <w:pStyle w:val="TableText"/>
              <w:spacing w:before="50" w:after="50"/>
              <w:rPr>
                <w:rFonts w:cs="Calibri"/>
                <w:szCs w:val="16"/>
              </w:rPr>
            </w:pPr>
            <w:r w:rsidRPr="00BE78CA">
              <w:rPr>
                <w:rFonts w:cs="Calibri"/>
                <w:szCs w:val="16"/>
              </w:rPr>
              <w:t>2012</w:t>
            </w:r>
          </w:p>
        </w:tc>
        <w:tc>
          <w:tcPr>
            <w:tcW w:w="1417" w:type="dxa"/>
            <w:tcBorders>
              <w:top w:val="single" w:sz="4" w:space="0" w:color="365F91"/>
              <w:bottom w:val="single" w:sz="4" w:space="0" w:color="365F91"/>
            </w:tcBorders>
            <w:shd w:val="clear" w:color="auto" w:fill="auto"/>
          </w:tcPr>
          <w:p w14:paraId="6DC81BD1" w14:textId="77777777" w:rsidR="00410716" w:rsidRPr="00BE78CA" w:rsidRDefault="00410716" w:rsidP="00C26084">
            <w:pPr>
              <w:pStyle w:val="TableText"/>
              <w:spacing w:before="50" w:after="50"/>
              <w:jc w:val="right"/>
              <w:rPr>
                <w:rFonts w:cs="Calibri"/>
                <w:szCs w:val="16"/>
              </w:rPr>
            </w:pPr>
            <w:r w:rsidRPr="00BE78CA">
              <w:t xml:space="preserve"> 1,121 </w:t>
            </w:r>
          </w:p>
        </w:tc>
        <w:tc>
          <w:tcPr>
            <w:tcW w:w="1701" w:type="dxa"/>
            <w:tcBorders>
              <w:top w:val="single" w:sz="4" w:space="0" w:color="365F91"/>
              <w:bottom w:val="single" w:sz="4" w:space="0" w:color="365F91"/>
            </w:tcBorders>
            <w:shd w:val="clear" w:color="auto" w:fill="auto"/>
          </w:tcPr>
          <w:p w14:paraId="30E01F68" w14:textId="77777777" w:rsidR="00410716" w:rsidRPr="00BE78CA" w:rsidRDefault="00410716" w:rsidP="00C26084">
            <w:pPr>
              <w:pStyle w:val="TableText"/>
              <w:spacing w:before="50" w:after="50"/>
              <w:jc w:val="right"/>
              <w:rPr>
                <w:rFonts w:cs="Calibri"/>
                <w:szCs w:val="16"/>
              </w:rPr>
            </w:pPr>
            <w:r w:rsidRPr="00BE78CA">
              <w:t xml:space="preserve"> 7,595 </w:t>
            </w:r>
          </w:p>
        </w:tc>
        <w:tc>
          <w:tcPr>
            <w:tcW w:w="1560" w:type="dxa"/>
            <w:tcBorders>
              <w:top w:val="single" w:sz="4" w:space="0" w:color="365F91"/>
              <w:bottom w:val="single" w:sz="4" w:space="0" w:color="365F91"/>
            </w:tcBorders>
            <w:shd w:val="clear" w:color="auto" w:fill="auto"/>
          </w:tcPr>
          <w:p w14:paraId="2121A3A3" w14:textId="77777777" w:rsidR="00410716" w:rsidRPr="00BE78CA" w:rsidRDefault="00410716" w:rsidP="00C26084">
            <w:pPr>
              <w:pStyle w:val="TableText"/>
              <w:spacing w:before="50" w:after="50"/>
              <w:jc w:val="right"/>
              <w:rPr>
                <w:rFonts w:cs="Calibri"/>
                <w:szCs w:val="16"/>
              </w:rPr>
            </w:pPr>
            <w:r w:rsidRPr="00BE78CA">
              <w:t xml:space="preserve"> 1,330 </w:t>
            </w:r>
          </w:p>
        </w:tc>
        <w:tc>
          <w:tcPr>
            <w:tcW w:w="1559" w:type="dxa"/>
            <w:tcBorders>
              <w:top w:val="single" w:sz="4" w:space="0" w:color="365F91"/>
              <w:bottom w:val="single" w:sz="4" w:space="0" w:color="365F91"/>
            </w:tcBorders>
          </w:tcPr>
          <w:p w14:paraId="228F694D" w14:textId="77777777" w:rsidR="00410716" w:rsidRPr="00BE78CA" w:rsidRDefault="00410716" w:rsidP="00C26084">
            <w:pPr>
              <w:pStyle w:val="TableText"/>
              <w:spacing w:before="50" w:after="50"/>
              <w:jc w:val="right"/>
              <w:rPr>
                <w:rFonts w:cs="Calibri"/>
                <w:szCs w:val="16"/>
              </w:rPr>
            </w:pPr>
            <w:r w:rsidRPr="00BE78CA">
              <w:t xml:space="preserve"> 60 </w:t>
            </w:r>
          </w:p>
        </w:tc>
        <w:tc>
          <w:tcPr>
            <w:tcW w:w="1417" w:type="dxa"/>
            <w:tcBorders>
              <w:top w:val="single" w:sz="4" w:space="0" w:color="365F91"/>
              <w:bottom w:val="single" w:sz="4" w:space="0" w:color="365F91"/>
            </w:tcBorders>
          </w:tcPr>
          <w:p w14:paraId="72C77494" w14:textId="77777777" w:rsidR="00410716" w:rsidRPr="00BE78CA" w:rsidRDefault="00410716" w:rsidP="00C26084">
            <w:pPr>
              <w:pStyle w:val="TableText"/>
              <w:spacing w:before="50" w:after="50"/>
              <w:jc w:val="right"/>
              <w:rPr>
                <w:rFonts w:cs="Calibri"/>
                <w:szCs w:val="16"/>
              </w:rPr>
            </w:pPr>
            <w:r w:rsidRPr="00BE78CA">
              <w:t xml:space="preserve"> 10,106 </w:t>
            </w:r>
          </w:p>
        </w:tc>
      </w:tr>
      <w:tr w:rsidR="00410716" w:rsidRPr="00BE78CA" w14:paraId="0A994208" w14:textId="77777777" w:rsidTr="005D38DD">
        <w:tblPrEx>
          <w:tblCellMar>
            <w:left w:w="85" w:type="dxa"/>
            <w:right w:w="85" w:type="dxa"/>
          </w:tblCellMar>
        </w:tblPrEx>
        <w:tc>
          <w:tcPr>
            <w:tcW w:w="794" w:type="dxa"/>
            <w:tcBorders>
              <w:top w:val="single" w:sz="4" w:space="0" w:color="365F91"/>
              <w:bottom w:val="single" w:sz="4" w:space="0" w:color="365F91"/>
            </w:tcBorders>
            <w:shd w:val="clear" w:color="auto" w:fill="auto"/>
            <w:vAlign w:val="center"/>
          </w:tcPr>
          <w:p w14:paraId="196CD9B6" w14:textId="77777777" w:rsidR="00410716" w:rsidRPr="00BE78CA" w:rsidRDefault="00410716" w:rsidP="00C26084">
            <w:pPr>
              <w:pStyle w:val="TableText"/>
              <w:spacing w:before="50" w:after="50"/>
              <w:rPr>
                <w:rFonts w:cs="Calibri"/>
                <w:szCs w:val="16"/>
              </w:rPr>
            </w:pPr>
            <w:r w:rsidRPr="00BE78CA">
              <w:rPr>
                <w:rFonts w:cs="Calibri"/>
                <w:szCs w:val="16"/>
              </w:rPr>
              <w:t>2013</w:t>
            </w:r>
          </w:p>
        </w:tc>
        <w:tc>
          <w:tcPr>
            <w:tcW w:w="1417" w:type="dxa"/>
            <w:tcBorders>
              <w:top w:val="single" w:sz="4" w:space="0" w:color="365F91"/>
              <w:bottom w:val="single" w:sz="4" w:space="0" w:color="365F91"/>
            </w:tcBorders>
            <w:shd w:val="clear" w:color="auto" w:fill="auto"/>
          </w:tcPr>
          <w:p w14:paraId="7FE8D0EA" w14:textId="77777777" w:rsidR="00410716" w:rsidRPr="00BE78CA" w:rsidRDefault="00410716" w:rsidP="00C26084">
            <w:pPr>
              <w:pStyle w:val="TableText"/>
              <w:spacing w:before="50" w:after="50"/>
              <w:jc w:val="right"/>
              <w:rPr>
                <w:rFonts w:cs="Calibri"/>
                <w:szCs w:val="16"/>
              </w:rPr>
            </w:pPr>
            <w:r w:rsidRPr="00BE78CA">
              <w:t xml:space="preserve"> 1,096 </w:t>
            </w:r>
          </w:p>
        </w:tc>
        <w:tc>
          <w:tcPr>
            <w:tcW w:w="1701" w:type="dxa"/>
            <w:tcBorders>
              <w:top w:val="single" w:sz="4" w:space="0" w:color="365F91"/>
              <w:bottom w:val="single" w:sz="4" w:space="0" w:color="365F91"/>
            </w:tcBorders>
            <w:shd w:val="clear" w:color="auto" w:fill="auto"/>
          </w:tcPr>
          <w:p w14:paraId="21A38AE2" w14:textId="77777777" w:rsidR="00410716" w:rsidRPr="00BE78CA" w:rsidRDefault="00410716" w:rsidP="00C26084">
            <w:pPr>
              <w:pStyle w:val="TableText"/>
              <w:spacing w:before="50" w:after="50"/>
              <w:jc w:val="right"/>
              <w:rPr>
                <w:rFonts w:cs="Calibri"/>
                <w:szCs w:val="16"/>
              </w:rPr>
            </w:pPr>
            <w:r w:rsidRPr="00BE78CA">
              <w:t xml:space="preserve"> 9,875 </w:t>
            </w:r>
          </w:p>
        </w:tc>
        <w:tc>
          <w:tcPr>
            <w:tcW w:w="1560" w:type="dxa"/>
            <w:tcBorders>
              <w:top w:val="single" w:sz="4" w:space="0" w:color="365F91"/>
              <w:bottom w:val="single" w:sz="4" w:space="0" w:color="365F91"/>
            </w:tcBorders>
            <w:shd w:val="clear" w:color="auto" w:fill="auto"/>
          </w:tcPr>
          <w:p w14:paraId="1A13CCE8" w14:textId="77777777" w:rsidR="00410716" w:rsidRPr="00BE78CA" w:rsidRDefault="00410716" w:rsidP="00C26084">
            <w:pPr>
              <w:pStyle w:val="TableText"/>
              <w:spacing w:before="50" w:after="50"/>
              <w:jc w:val="right"/>
              <w:rPr>
                <w:rFonts w:cs="Calibri"/>
                <w:szCs w:val="16"/>
              </w:rPr>
            </w:pPr>
            <w:r w:rsidRPr="00BE78CA">
              <w:t xml:space="preserve"> 2,782 </w:t>
            </w:r>
          </w:p>
        </w:tc>
        <w:tc>
          <w:tcPr>
            <w:tcW w:w="1559" w:type="dxa"/>
            <w:tcBorders>
              <w:top w:val="single" w:sz="4" w:space="0" w:color="365F91"/>
              <w:bottom w:val="single" w:sz="4" w:space="0" w:color="365F91"/>
            </w:tcBorders>
          </w:tcPr>
          <w:p w14:paraId="04A89ABB" w14:textId="77777777" w:rsidR="00410716" w:rsidRPr="00BE78CA" w:rsidRDefault="00410716" w:rsidP="00C26084">
            <w:pPr>
              <w:pStyle w:val="TableText"/>
              <w:spacing w:before="50" w:after="50"/>
              <w:jc w:val="right"/>
              <w:rPr>
                <w:rFonts w:cs="Calibri"/>
                <w:szCs w:val="16"/>
              </w:rPr>
            </w:pPr>
            <w:r w:rsidRPr="00BE78CA">
              <w:t xml:space="preserve"> 112 </w:t>
            </w:r>
          </w:p>
        </w:tc>
        <w:tc>
          <w:tcPr>
            <w:tcW w:w="1417" w:type="dxa"/>
            <w:tcBorders>
              <w:top w:val="single" w:sz="4" w:space="0" w:color="365F91"/>
              <w:bottom w:val="single" w:sz="4" w:space="0" w:color="365F91"/>
            </w:tcBorders>
          </w:tcPr>
          <w:p w14:paraId="53449F1F" w14:textId="77777777" w:rsidR="00410716" w:rsidRPr="00BE78CA" w:rsidRDefault="00410716" w:rsidP="00C26084">
            <w:pPr>
              <w:pStyle w:val="TableText"/>
              <w:spacing w:before="50" w:after="50"/>
              <w:jc w:val="right"/>
              <w:rPr>
                <w:rFonts w:cs="Calibri"/>
                <w:szCs w:val="16"/>
              </w:rPr>
            </w:pPr>
            <w:r w:rsidRPr="00BE78CA">
              <w:t xml:space="preserve"> 13,866 </w:t>
            </w:r>
          </w:p>
        </w:tc>
      </w:tr>
      <w:tr w:rsidR="00410716" w:rsidRPr="00BE78CA" w14:paraId="4C65C68C" w14:textId="77777777" w:rsidTr="005D38DD">
        <w:tblPrEx>
          <w:tblCellMar>
            <w:left w:w="85" w:type="dxa"/>
            <w:right w:w="85" w:type="dxa"/>
          </w:tblCellMar>
        </w:tblPrEx>
        <w:tc>
          <w:tcPr>
            <w:tcW w:w="794" w:type="dxa"/>
            <w:tcBorders>
              <w:top w:val="single" w:sz="4" w:space="0" w:color="365F91"/>
              <w:bottom w:val="single" w:sz="4" w:space="0" w:color="365F91"/>
            </w:tcBorders>
            <w:shd w:val="clear" w:color="auto" w:fill="auto"/>
            <w:vAlign w:val="center"/>
          </w:tcPr>
          <w:p w14:paraId="3486D13F" w14:textId="77777777" w:rsidR="00410716" w:rsidRPr="00BE78CA" w:rsidRDefault="00410716" w:rsidP="00C26084">
            <w:pPr>
              <w:pStyle w:val="TableText"/>
              <w:spacing w:before="50" w:after="50"/>
              <w:rPr>
                <w:rFonts w:cs="Calibri"/>
                <w:szCs w:val="16"/>
              </w:rPr>
            </w:pPr>
            <w:r w:rsidRPr="00BE78CA">
              <w:rPr>
                <w:rFonts w:cs="Calibri"/>
                <w:szCs w:val="16"/>
              </w:rPr>
              <w:t>2014</w:t>
            </w:r>
          </w:p>
        </w:tc>
        <w:tc>
          <w:tcPr>
            <w:tcW w:w="1417" w:type="dxa"/>
            <w:tcBorders>
              <w:top w:val="single" w:sz="4" w:space="0" w:color="365F91"/>
              <w:bottom w:val="single" w:sz="4" w:space="0" w:color="365F91"/>
            </w:tcBorders>
            <w:shd w:val="clear" w:color="auto" w:fill="auto"/>
          </w:tcPr>
          <w:p w14:paraId="33163B66" w14:textId="77777777" w:rsidR="00410716" w:rsidRPr="00BE78CA" w:rsidRDefault="00410716" w:rsidP="00C26084">
            <w:pPr>
              <w:pStyle w:val="TableText"/>
              <w:spacing w:before="50" w:after="50"/>
              <w:jc w:val="right"/>
              <w:rPr>
                <w:rFonts w:cs="Calibri"/>
                <w:szCs w:val="16"/>
              </w:rPr>
            </w:pPr>
            <w:r w:rsidRPr="00BE78CA">
              <w:t xml:space="preserve"> 478 </w:t>
            </w:r>
          </w:p>
        </w:tc>
        <w:tc>
          <w:tcPr>
            <w:tcW w:w="1701" w:type="dxa"/>
            <w:tcBorders>
              <w:top w:val="single" w:sz="4" w:space="0" w:color="365F91"/>
              <w:bottom w:val="single" w:sz="4" w:space="0" w:color="365F91"/>
            </w:tcBorders>
            <w:shd w:val="clear" w:color="auto" w:fill="auto"/>
          </w:tcPr>
          <w:p w14:paraId="76F185E7" w14:textId="77777777" w:rsidR="00410716" w:rsidRPr="00BE78CA" w:rsidRDefault="00410716" w:rsidP="00C26084">
            <w:pPr>
              <w:pStyle w:val="TableText"/>
              <w:spacing w:before="50" w:after="50"/>
              <w:jc w:val="right"/>
              <w:rPr>
                <w:rFonts w:cs="Calibri"/>
                <w:szCs w:val="16"/>
              </w:rPr>
            </w:pPr>
            <w:r w:rsidRPr="00BE78CA">
              <w:t xml:space="preserve"> 6,557 </w:t>
            </w:r>
          </w:p>
        </w:tc>
        <w:tc>
          <w:tcPr>
            <w:tcW w:w="1560" w:type="dxa"/>
            <w:tcBorders>
              <w:top w:val="single" w:sz="4" w:space="0" w:color="365F91"/>
              <w:bottom w:val="single" w:sz="4" w:space="0" w:color="365F91"/>
            </w:tcBorders>
            <w:shd w:val="clear" w:color="auto" w:fill="auto"/>
          </w:tcPr>
          <w:p w14:paraId="2AAAE48F" w14:textId="77777777" w:rsidR="00410716" w:rsidRPr="00BE78CA" w:rsidRDefault="00410716" w:rsidP="00C26084">
            <w:pPr>
              <w:pStyle w:val="TableText"/>
              <w:spacing w:before="50" w:after="50"/>
              <w:jc w:val="right"/>
              <w:rPr>
                <w:rFonts w:cs="Calibri"/>
                <w:szCs w:val="16"/>
              </w:rPr>
            </w:pPr>
            <w:r w:rsidRPr="00BE78CA">
              <w:t xml:space="preserve"> 1,546 </w:t>
            </w:r>
          </w:p>
        </w:tc>
        <w:tc>
          <w:tcPr>
            <w:tcW w:w="1559" w:type="dxa"/>
            <w:tcBorders>
              <w:top w:val="single" w:sz="4" w:space="0" w:color="365F91"/>
              <w:bottom w:val="single" w:sz="4" w:space="0" w:color="365F91"/>
            </w:tcBorders>
          </w:tcPr>
          <w:p w14:paraId="790EFC51" w14:textId="77777777" w:rsidR="00410716" w:rsidRPr="00BE78CA" w:rsidRDefault="00410716" w:rsidP="00C26084">
            <w:pPr>
              <w:pStyle w:val="TableText"/>
              <w:spacing w:before="50" w:after="50"/>
              <w:jc w:val="right"/>
              <w:rPr>
                <w:rFonts w:cs="Calibri"/>
                <w:szCs w:val="16"/>
              </w:rPr>
            </w:pPr>
            <w:r w:rsidRPr="00BE78CA">
              <w:t xml:space="preserve"> 111 </w:t>
            </w:r>
          </w:p>
        </w:tc>
        <w:tc>
          <w:tcPr>
            <w:tcW w:w="1417" w:type="dxa"/>
            <w:tcBorders>
              <w:top w:val="single" w:sz="4" w:space="0" w:color="365F91"/>
              <w:bottom w:val="single" w:sz="4" w:space="0" w:color="365F91"/>
            </w:tcBorders>
          </w:tcPr>
          <w:p w14:paraId="4EF29C5F" w14:textId="77777777" w:rsidR="00410716" w:rsidRPr="00BE78CA" w:rsidRDefault="00410716" w:rsidP="00C26084">
            <w:pPr>
              <w:pStyle w:val="TableText"/>
              <w:spacing w:before="50" w:after="50"/>
              <w:jc w:val="right"/>
              <w:rPr>
                <w:rFonts w:cs="Calibri"/>
                <w:szCs w:val="16"/>
              </w:rPr>
            </w:pPr>
            <w:r w:rsidRPr="00BE78CA">
              <w:t xml:space="preserve"> 8,692 </w:t>
            </w:r>
          </w:p>
        </w:tc>
      </w:tr>
      <w:tr w:rsidR="00410716" w:rsidRPr="00BE78CA" w14:paraId="0E518FDB" w14:textId="77777777" w:rsidTr="005D38DD">
        <w:tblPrEx>
          <w:tblCellMar>
            <w:left w:w="85" w:type="dxa"/>
            <w:right w:w="85" w:type="dxa"/>
          </w:tblCellMar>
        </w:tblPrEx>
        <w:tc>
          <w:tcPr>
            <w:tcW w:w="794" w:type="dxa"/>
            <w:tcBorders>
              <w:top w:val="single" w:sz="4" w:space="0" w:color="365F91"/>
              <w:bottom w:val="single" w:sz="4" w:space="0" w:color="365F91"/>
            </w:tcBorders>
            <w:shd w:val="clear" w:color="auto" w:fill="auto"/>
            <w:vAlign w:val="center"/>
          </w:tcPr>
          <w:p w14:paraId="777EC11F" w14:textId="77777777" w:rsidR="00410716" w:rsidRPr="00BE78CA" w:rsidRDefault="00410716" w:rsidP="00C26084">
            <w:pPr>
              <w:pStyle w:val="TableText"/>
              <w:spacing w:before="50" w:after="50"/>
              <w:rPr>
                <w:rFonts w:cs="Calibri"/>
                <w:szCs w:val="16"/>
              </w:rPr>
            </w:pPr>
            <w:r w:rsidRPr="00BE78CA">
              <w:rPr>
                <w:rFonts w:cs="Calibri"/>
                <w:szCs w:val="16"/>
              </w:rPr>
              <w:t>2015</w:t>
            </w:r>
            <w:r w:rsidRPr="00BE78CA">
              <w:rPr>
                <w:rFonts w:cs="Calibri"/>
                <w:szCs w:val="16"/>
                <w:vertAlign w:val="superscript"/>
              </w:rPr>
              <w:t xml:space="preserve"> </w:t>
            </w:r>
          </w:p>
        </w:tc>
        <w:tc>
          <w:tcPr>
            <w:tcW w:w="1417" w:type="dxa"/>
            <w:tcBorders>
              <w:top w:val="single" w:sz="4" w:space="0" w:color="365F91"/>
              <w:bottom w:val="single" w:sz="4" w:space="0" w:color="365F91"/>
            </w:tcBorders>
            <w:shd w:val="clear" w:color="auto" w:fill="auto"/>
          </w:tcPr>
          <w:p w14:paraId="54C3C16A" w14:textId="77777777" w:rsidR="00410716" w:rsidRPr="00BE78CA" w:rsidRDefault="00410716" w:rsidP="00C26084">
            <w:pPr>
              <w:pStyle w:val="TableText"/>
              <w:spacing w:before="50" w:after="50"/>
              <w:jc w:val="right"/>
              <w:rPr>
                <w:rFonts w:cs="Calibri"/>
                <w:szCs w:val="16"/>
              </w:rPr>
            </w:pPr>
            <w:r w:rsidRPr="00BE78CA">
              <w:t xml:space="preserve"> 646 </w:t>
            </w:r>
          </w:p>
        </w:tc>
        <w:tc>
          <w:tcPr>
            <w:tcW w:w="1701" w:type="dxa"/>
            <w:tcBorders>
              <w:top w:val="single" w:sz="4" w:space="0" w:color="365F91"/>
              <w:bottom w:val="single" w:sz="4" w:space="0" w:color="365F91"/>
            </w:tcBorders>
            <w:shd w:val="clear" w:color="auto" w:fill="auto"/>
          </w:tcPr>
          <w:p w14:paraId="74DFE2C9" w14:textId="77777777" w:rsidR="00410716" w:rsidRPr="00BE78CA" w:rsidRDefault="00410716" w:rsidP="00C26084">
            <w:pPr>
              <w:pStyle w:val="TableText"/>
              <w:spacing w:before="50" w:after="50"/>
              <w:jc w:val="right"/>
              <w:rPr>
                <w:rFonts w:cs="Calibri"/>
                <w:szCs w:val="16"/>
              </w:rPr>
            </w:pPr>
            <w:r w:rsidRPr="00BE78CA">
              <w:t xml:space="preserve"> 3,650 </w:t>
            </w:r>
          </w:p>
        </w:tc>
        <w:tc>
          <w:tcPr>
            <w:tcW w:w="1560" w:type="dxa"/>
            <w:tcBorders>
              <w:top w:val="single" w:sz="4" w:space="0" w:color="365F91"/>
              <w:bottom w:val="single" w:sz="4" w:space="0" w:color="365F91"/>
            </w:tcBorders>
            <w:shd w:val="clear" w:color="auto" w:fill="auto"/>
          </w:tcPr>
          <w:p w14:paraId="4C0C2CB5" w14:textId="77777777" w:rsidR="00410716" w:rsidRPr="00BE78CA" w:rsidRDefault="00410716" w:rsidP="00C26084">
            <w:pPr>
              <w:pStyle w:val="TableText"/>
              <w:spacing w:before="50" w:after="50"/>
              <w:jc w:val="right"/>
              <w:rPr>
                <w:rFonts w:cs="Calibri"/>
                <w:szCs w:val="16"/>
              </w:rPr>
            </w:pPr>
            <w:r w:rsidRPr="00BE78CA">
              <w:t xml:space="preserve"> 1,646 </w:t>
            </w:r>
          </w:p>
        </w:tc>
        <w:tc>
          <w:tcPr>
            <w:tcW w:w="1559" w:type="dxa"/>
            <w:tcBorders>
              <w:top w:val="single" w:sz="4" w:space="0" w:color="365F91"/>
              <w:bottom w:val="single" w:sz="4" w:space="0" w:color="365F91"/>
            </w:tcBorders>
          </w:tcPr>
          <w:p w14:paraId="0A1C06FB" w14:textId="77777777" w:rsidR="00410716" w:rsidRPr="00BE78CA" w:rsidRDefault="00410716" w:rsidP="00C26084">
            <w:pPr>
              <w:pStyle w:val="TableText"/>
              <w:spacing w:before="50" w:after="50"/>
              <w:jc w:val="right"/>
              <w:rPr>
                <w:rFonts w:cs="Calibri"/>
                <w:szCs w:val="16"/>
              </w:rPr>
            </w:pPr>
            <w:r w:rsidRPr="00BE78CA">
              <w:t xml:space="preserve"> 51 </w:t>
            </w:r>
          </w:p>
        </w:tc>
        <w:tc>
          <w:tcPr>
            <w:tcW w:w="1417" w:type="dxa"/>
            <w:tcBorders>
              <w:top w:val="single" w:sz="4" w:space="0" w:color="365F91"/>
              <w:bottom w:val="single" w:sz="4" w:space="0" w:color="365F91"/>
            </w:tcBorders>
          </w:tcPr>
          <w:p w14:paraId="70447BE2" w14:textId="77777777" w:rsidR="00410716" w:rsidRPr="00BE78CA" w:rsidRDefault="00410716" w:rsidP="00C26084">
            <w:pPr>
              <w:pStyle w:val="TableText"/>
              <w:spacing w:before="50" w:after="50"/>
              <w:jc w:val="right"/>
              <w:rPr>
                <w:rFonts w:cs="Calibri"/>
                <w:szCs w:val="16"/>
              </w:rPr>
            </w:pPr>
            <w:r w:rsidRPr="00BE78CA">
              <w:t xml:space="preserve"> 5,993 </w:t>
            </w:r>
          </w:p>
        </w:tc>
      </w:tr>
      <w:tr w:rsidR="00410716" w:rsidRPr="00BE78CA" w14:paraId="49658E58" w14:textId="77777777" w:rsidTr="005D38DD">
        <w:tblPrEx>
          <w:tblCellMar>
            <w:left w:w="85" w:type="dxa"/>
            <w:right w:w="85" w:type="dxa"/>
          </w:tblCellMar>
        </w:tblPrEx>
        <w:tc>
          <w:tcPr>
            <w:tcW w:w="794" w:type="dxa"/>
            <w:tcBorders>
              <w:top w:val="single" w:sz="4" w:space="0" w:color="365F91"/>
              <w:bottom w:val="single" w:sz="4" w:space="0" w:color="365F91"/>
            </w:tcBorders>
            <w:shd w:val="clear" w:color="auto" w:fill="auto"/>
            <w:vAlign w:val="center"/>
          </w:tcPr>
          <w:p w14:paraId="6A0876AF" w14:textId="77777777" w:rsidR="00410716" w:rsidRPr="00BE78CA" w:rsidRDefault="00410716" w:rsidP="00C26084">
            <w:pPr>
              <w:pStyle w:val="TableText"/>
              <w:spacing w:before="50" w:after="50"/>
              <w:rPr>
                <w:rFonts w:cs="Calibri"/>
                <w:szCs w:val="16"/>
              </w:rPr>
            </w:pPr>
            <w:r w:rsidRPr="00BE78CA">
              <w:rPr>
                <w:rFonts w:cs="Calibri"/>
                <w:szCs w:val="16"/>
              </w:rPr>
              <w:t>2016</w:t>
            </w:r>
            <w:r w:rsidRPr="00BE78CA">
              <w:rPr>
                <w:rFonts w:cs="Calibri"/>
                <w:szCs w:val="16"/>
                <w:vertAlign w:val="superscript"/>
              </w:rPr>
              <w:t xml:space="preserve"> </w:t>
            </w:r>
          </w:p>
        </w:tc>
        <w:tc>
          <w:tcPr>
            <w:tcW w:w="1417" w:type="dxa"/>
            <w:tcBorders>
              <w:top w:val="single" w:sz="4" w:space="0" w:color="365F91"/>
              <w:bottom w:val="single" w:sz="4" w:space="0" w:color="365F91"/>
            </w:tcBorders>
            <w:shd w:val="clear" w:color="auto" w:fill="auto"/>
          </w:tcPr>
          <w:p w14:paraId="61BE0544" w14:textId="77777777" w:rsidR="00410716" w:rsidRPr="00BE78CA" w:rsidRDefault="00410716" w:rsidP="00C26084">
            <w:pPr>
              <w:pStyle w:val="TableText"/>
              <w:spacing w:before="50" w:after="50"/>
              <w:jc w:val="right"/>
              <w:rPr>
                <w:rFonts w:cs="Calibri"/>
                <w:szCs w:val="16"/>
              </w:rPr>
            </w:pPr>
            <w:r w:rsidRPr="00BE78CA">
              <w:t xml:space="preserve"> 409 </w:t>
            </w:r>
          </w:p>
        </w:tc>
        <w:tc>
          <w:tcPr>
            <w:tcW w:w="1701" w:type="dxa"/>
            <w:tcBorders>
              <w:top w:val="single" w:sz="4" w:space="0" w:color="365F91"/>
              <w:bottom w:val="single" w:sz="4" w:space="0" w:color="365F91"/>
            </w:tcBorders>
            <w:shd w:val="clear" w:color="auto" w:fill="auto"/>
          </w:tcPr>
          <w:p w14:paraId="51DCFEE8" w14:textId="77777777" w:rsidR="00410716" w:rsidRPr="00BE78CA" w:rsidRDefault="00410716" w:rsidP="00C26084">
            <w:pPr>
              <w:pStyle w:val="TableText"/>
              <w:spacing w:before="50" w:after="50"/>
              <w:jc w:val="right"/>
              <w:rPr>
                <w:rFonts w:cs="Calibri"/>
                <w:szCs w:val="16"/>
              </w:rPr>
            </w:pPr>
            <w:r w:rsidRPr="00BE78CA">
              <w:t xml:space="preserve"> 1,767 </w:t>
            </w:r>
          </w:p>
        </w:tc>
        <w:tc>
          <w:tcPr>
            <w:tcW w:w="1560" w:type="dxa"/>
            <w:tcBorders>
              <w:top w:val="single" w:sz="4" w:space="0" w:color="365F91"/>
              <w:bottom w:val="single" w:sz="4" w:space="0" w:color="365F91"/>
            </w:tcBorders>
            <w:shd w:val="clear" w:color="auto" w:fill="auto"/>
          </w:tcPr>
          <w:p w14:paraId="262BF821" w14:textId="77777777" w:rsidR="00410716" w:rsidRPr="00BE78CA" w:rsidRDefault="00410716" w:rsidP="00C26084">
            <w:pPr>
              <w:pStyle w:val="TableText"/>
              <w:spacing w:before="50" w:after="50"/>
              <w:jc w:val="right"/>
              <w:rPr>
                <w:rFonts w:cs="Calibri"/>
                <w:szCs w:val="16"/>
              </w:rPr>
            </w:pPr>
            <w:r w:rsidRPr="00BE78CA">
              <w:t xml:space="preserve"> 1,274 </w:t>
            </w:r>
          </w:p>
        </w:tc>
        <w:tc>
          <w:tcPr>
            <w:tcW w:w="1559" w:type="dxa"/>
            <w:tcBorders>
              <w:top w:val="single" w:sz="4" w:space="0" w:color="365F91"/>
              <w:bottom w:val="single" w:sz="4" w:space="0" w:color="365F91"/>
            </w:tcBorders>
          </w:tcPr>
          <w:p w14:paraId="7FDAC866" w14:textId="77777777" w:rsidR="00410716" w:rsidRPr="00BE78CA" w:rsidRDefault="00410716" w:rsidP="00C26084">
            <w:pPr>
              <w:pStyle w:val="TableText"/>
              <w:spacing w:before="50" w:after="50"/>
              <w:jc w:val="right"/>
              <w:rPr>
                <w:rFonts w:cs="Calibri"/>
                <w:szCs w:val="16"/>
              </w:rPr>
            </w:pPr>
            <w:r w:rsidRPr="00BE78CA">
              <w:t xml:space="preserve"> 85 </w:t>
            </w:r>
          </w:p>
        </w:tc>
        <w:tc>
          <w:tcPr>
            <w:tcW w:w="1417" w:type="dxa"/>
            <w:tcBorders>
              <w:top w:val="single" w:sz="4" w:space="0" w:color="365F91"/>
              <w:bottom w:val="single" w:sz="4" w:space="0" w:color="365F91"/>
            </w:tcBorders>
          </w:tcPr>
          <w:p w14:paraId="0746FD06" w14:textId="77777777" w:rsidR="00410716" w:rsidRPr="00BE78CA" w:rsidRDefault="00410716" w:rsidP="00C26084">
            <w:pPr>
              <w:pStyle w:val="TableText"/>
              <w:spacing w:before="50" w:after="50"/>
              <w:jc w:val="right"/>
              <w:rPr>
                <w:rFonts w:cs="Calibri"/>
                <w:szCs w:val="16"/>
              </w:rPr>
            </w:pPr>
            <w:r w:rsidRPr="00BE78CA">
              <w:t xml:space="preserve"> 3,535 </w:t>
            </w:r>
          </w:p>
        </w:tc>
      </w:tr>
      <w:tr w:rsidR="00410716" w:rsidRPr="00BE78CA" w14:paraId="2C231D45" w14:textId="77777777" w:rsidTr="005D38DD">
        <w:tblPrEx>
          <w:tblCellMar>
            <w:left w:w="85" w:type="dxa"/>
            <w:right w:w="85" w:type="dxa"/>
          </w:tblCellMar>
        </w:tblPrEx>
        <w:tc>
          <w:tcPr>
            <w:tcW w:w="794" w:type="dxa"/>
            <w:tcBorders>
              <w:top w:val="single" w:sz="4" w:space="0" w:color="365F91"/>
              <w:bottom w:val="single" w:sz="4" w:space="0" w:color="365F91"/>
            </w:tcBorders>
            <w:shd w:val="clear" w:color="auto" w:fill="auto"/>
            <w:vAlign w:val="center"/>
          </w:tcPr>
          <w:p w14:paraId="5812A487" w14:textId="77777777" w:rsidR="00410716" w:rsidRPr="00BE78CA" w:rsidRDefault="00410716" w:rsidP="00C26084">
            <w:pPr>
              <w:pStyle w:val="TableText"/>
              <w:spacing w:before="50" w:after="50"/>
              <w:rPr>
                <w:rFonts w:cs="Calibri"/>
                <w:szCs w:val="16"/>
              </w:rPr>
            </w:pPr>
            <w:r w:rsidRPr="00BE78CA">
              <w:rPr>
                <w:rFonts w:cs="Calibri"/>
                <w:szCs w:val="16"/>
              </w:rPr>
              <w:t>2017</w:t>
            </w:r>
            <w:r w:rsidRPr="00BE78CA">
              <w:rPr>
                <w:rFonts w:cs="Calibri"/>
                <w:szCs w:val="16"/>
                <w:vertAlign w:val="superscript"/>
              </w:rPr>
              <w:t>P</w:t>
            </w:r>
          </w:p>
        </w:tc>
        <w:tc>
          <w:tcPr>
            <w:tcW w:w="1417" w:type="dxa"/>
            <w:tcBorders>
              <w:top w:val="single" w:sz="4" w:space="0" w:color="365F91"/>
              <w:bottom w:val="single" w:sz="4" w:space="0" w:color="365F91"/>
            </w:tcBorders>
            <w:shd w:val="clear" w:color="auto" w:fill="auto"/>
          </w:tcPr>
          <w:p w14:paraId="5E3EB1B9" w14:textId="77777777" w:rsidR="00410716" w:rsidRPr="00BE78CA" w:rsidRDefault="00410716" w:rsidP="00C26084">
            <w:pPr>
              <w:pStyle w:val="TableText"/>
              <w:spacing w:before="50" w:after="50"/>
              <w:jc w:val="right"/>
              <w:rPr>
                <w:rFonts w:cs="Calibri"/>
                <w:szCs w:val="16"/>
              </w:rPr>
            </w:pPr>
            <w:r w:rsidRPr="00BE78CA">
              <w:t xml:space="preserve"> 750 </w:t>
            </w:r>
          </w:p>
        </w:tc>
        <w:tc>
          <w:tcPr>
            <w:tcW w:w="1701" w:type="dxa"/>
            <w:tcBorders>
              <w:top w:val="single" w:sz="4" w:space="0" w:color="365F91"/>
              <w:bottom w:val="single" w:sz="4" w:space="0" w:color="365F91"/>
            </w:tcBorders>
            <w:shd w:val="clear" w:color="auto" w:fill="auto"/>
          </w:tcPr>
          <w:p w14:paraId="2634E884" w14:textId="77777777" w:rsidR="00410716" w:rsidRPr="00BE78CA" w:rsidRDefault="00410716" w:rsidP="00C26084">
            <w:pPr>
              <w:pStyle w:val="TableText"/>
              <w:spacing w:before="50" w:after="50"/>
              <w:jc w:val="right"/>
              <w:rPr>
                <w:rFonts w:cs="Calibri"/>
                <w:szCs w:val="16"/>
              </w:rPr>
            </w:pPr>
            <w:r w:rsidRPr="00BE78CA">
              <w:t xml:space="preserve"> 2,116 </w:t>
            </w:r>
          </w:p>
        </w:tc>
        <w:tc>
          <w:tcPr>
            <w:tcW w:w="1560" w:type="dxa"/>
            <w:tcBorders>
              <w:top w:val="single" w:sz="4" w:space="0" w:color="365F91"/>
              <w:bottom w:val="single" w:sz="4" w:space="0" w:color="365F91"/>
            </w:tcBorders>
            <w:shd w:val="clear" w:color="auto" w:fill="auto"/>
          </w:tcPr>
          <w:p w14:paraId="56C8CF6B" w14:textId="77777777" w:rsidR="00410716" w:rsidRPr="00BE78CA" w:rsidRDefault="00410716" w:rsidP="00C26084">
            <w:pPr>
              <w:pStyle w:val="TableText"/>
              <w:spacing w:before="50" w:after="50"/>
              <w:jc w:val="right"/>
              <w:rPr>
                <w:rFonts w:cs="Calibri"/>
                <w:szCs w:val="16"/>
              </w:rPr>
            </w:pPr>
            <w:r w:rsidRPr="00BE78CA">
              <w:t xml:space="preserve"> 614 </w:t>
            </w:r>
          </w:p>
        </w:tc>
        <w:tc>
          <w:tcPr>
            <w:tcW w:w="1559" w:type="dxa"/>
            <w:tcBorders>
              <w:top w:val="single" w:sz="4" w:space="0" w:color="365F91"/>
              <w:bottom w:val="single" w:sz="4" w:space="0" w:color="365F91"/>
            </w:tcBorders>
          </w:tcPr>
          <w:p w14:paraId="70CA0FF0" w14:textId="77777777" w:rsidR="00410716" w:rsidRPr="00BE78CA" w:rsidRDefault="00410716" w:rsidP="00C26084">
            <w:pPr>
              <w:pStyle w:val="TableText"/>
              <w:spacing w:before="50" w:after="50"/>
              <w:jc w:val="right"/>
              <w:rPr>
                <w:rFonts w:cs="Calibri"/>
                <w:szCs w:val="16"/>
              </w:rPr>
            </w:pPr>
            <w:r w:rsidRPr="00BE78CA">
              <w:t xml:space="preserve"> 41 </w:t>
            </w:r>
          </w:p>
        </w:tc>
        <w:tc>
          <w:tcPr>
            <w:tcW w:w="1417" w:type="dxa"/>
            <w:tcBorders>
              <w:top w:val="single" w:sz="4" w:space="0" w:color="365F91"/>
              <w:bottom w:val="single" w:sz="4" w:space="0" w:color="365F91"/>
            </w:tcBorders>
          </w:tcPr>
          <w:p w14:paraId="12D262C0" w14:textId="77777777" w:rsidR="00410716" w:rsidRPr="00BE78CA" w:rsidRDefault="00410716" w:rsidP="00C26084">
            <w:pPr>
              <w:pStyle w:val="TableText"/>
              <w:spacing w:before="50" w:after="50"/>
              <w:jc w:val="right"/>
              <w:rPr>
                <w:rFonts w:cs="Calibri"/>
                <w:szCs w:val="16"/>
              </w:rPr>
            </w:pPr>
            <w:r w:rsidRPr="00BE78CA">
              <w:t xml:space="preserve"> 3,520 </w:t>
            </w:r>
          </w:p>
        </w:tc>
      </w:tr>
      <w:tr w:rsidR="00410716" w:rsidRPr="00BE78CA" w14:paraId="7CF42ADB" w14:textId="77777777" w:rsidTr="005D38DD">
        <w:tblPrEx>
          <w:tblCellMar>
            <w:left w:w="85" w:type="dxa"/>
            <w:right w:w="85" w:type="dxa"/>
          </w:tblCellMar>
        </w:tblPrEx>
        <w:tc>
          <w:tcPr>
            <w:tcW w:w="794" w:type="dxa"/>
            <w:tcBorders>
              <w:top w:val="single" w:sz="4" w:space="0" w:color="365F91"/>
              <w:bottom w:val="single" w:sz="4" w:space="0" w:color="365F91"/>
            </w:tcBorders>
            <w:shd w:val="clear" w:color="auto" w:fill="auto"/>
            <w:vAlign w:val="center"/>
          </w:tcPr>
          <w:p w14:paraId="5A269869" w14:textId="77777777" w:rsidR="00410716" w:rsidRPr="00BE78CA" w:rsidRDefault="00410716" w:rsidP="00C26084">
            <w:pPr>
              <w:pStyle w:val="TableText"/>
              <w:spacing w:before="50" w:after="50"/>
              <w:rPr>
                <w:rFonts w:cs="Calibri"/>
                <w:szCs w:val="16"/>
              </w:rPr>
            </w:pPr>
            <w:r w:rsidRPr="00BE78CA">
              <w:rPr>
                <w:rFonts w:cs="Calibri"/>
                <w:szCs w:val="16"/>
              </w:rPr>
              <w:t>2018</w:t>
            </w:r>
            <w:r w:rsidRPr="00BE78CA">
              <w:rPr>
                <w:rFonts w:cs="Calibri"/>
                <w:szCs w:val="16"/>
                <w:vertAlign w:val="superscript"/>
              </w:rPr>
              <w:t>P</w:t>
            </w:r>
          </w:p>
        </w:tc>
        <w:tc>
          <w:tcPr>
            <w:tcW w:w="1417" w:type="dxa"/>
            <w:tcBorders>
              <w:top w:val="single" w:sz="4" w:space="0" w:color="365F91"/>
              <w:bottom w:val="single" w:sz="4" w:space="0" w:color="365F91"/>
            </w:tcBorders>
            <w:shd w:val="clear" w:color="auto" w:fill="auto"/>
          </w:tcPr>
          <w:p w14:paraId="15B1E4C4" w14:textId="77777777" w:rsidR="00410716" w:rsidRPr="00BE78CA" w:rsidRDefault="00410716" w:rsidP="00C26084">
            <w:pPr>
              <w:pStyle w:val="TableText"/>
              <w:spacing w:before="50" w:after="50"/>
              <w:jc w:val="right"/>
              <w:rPr>
                <w:rFonts w:cs="Calibri"/>
                <w:szCs w:val="16"/>
              </w:rPr>
            </w:pPr>
            <w:r w:rsidRPr="00BE78CA">
              <w:t xml:space="preserve"> 750 </w:t>
            </w:r>
          </w:p>
        </w:tc>
        <w:tc>
          <w:tcPr>
            <w:tcW w:w="1701" w:type="dxa"/>
            <w:tcBorders>
              <w:top w:val="single" w:sz="4" w:space="0" w:color="365F91"/>
              <w:bottom w:val="single" w:sz="4" w:space="0" w:color="365F91"/>
            </w:tcBorders>
            <w:shd w:val="clear" w:color="auto" w:fill="auto"/>
          </w:tcPr>
          <w:p w14:paraId="64A1E6E7" w14:textId="77777777" w:rsidR="00410716" w:rsidRPr="00BE78CA" w:rsidRDefault="00410716" w:rsidP="00C26084">
            <w:pPr>
              <w:pStyle w:val="TableText"/>
              <w:spacing w:before="50" w:after="50"/>
              <w:jc w:val="right"/>
              <w:rPr>
                <w:rFonts w:cs="Calibri"/>
                <w:szCs w:val="16"/>
              </w:rPr>
            </w:pPr>
            <w:r w:rsidRPr="00BE78CA">
              <w:t xml:space="preserve"> 2,369 </w:t>
            </w:r>
          </w:p>
        </w:tc>
        <w:tc>
          <w:tcPr>
            <w:tcW w:w="1560" w:type="dxa"/>
            <w:tcBorders>
              <w:top w:val="single" w:sz="4" w:space="0" w:color="365F91"/>
              <w:bottom w:val="single" w:sz="4" w:space="0" w:color="365F91"/>
            </w:tcBorders>
            <w:shd w:val="clear" w:color="auto" w:fill="auto"/>
          </w:tcPr>
          <w:p w14:paraId="3224127F" w14:textId="77777777" w:rsidR="00410716" w:rsidRPr="00BE78CA" w:rsidRDefault="00410716" w:rsidP="00C26084">
            <w:pPr>
              <w:pStyle w:val="TableText"/>
              <w:spacing w:before="50" w:after="50"/>
              <w:jc w:val="right"/>
              <w:rPr>
                <w:rFonts w:cs="Calibri"/>
                <w:szCs w:val="16"/>
              </w:rPr>
            </w:pPr>
            <w:r w:rsidRPr="00BE78CA">
              <w:t xml:space="preserve"> 687 </w:t>
            </w:r>
          </w:p>
        </w:tc>
        <w:tc>
          <w:tcPr>
            <w:tcW w:w="1559" w:type="dxa"/>
            <w:tcBorders>
              <w:top w:val="single" w:sz="4" w:space="0" w:color="365F91"/>
              <w:bottom w:val="single" w:sz="4" w:space="0" w:color="365F91"/>
            </w:tcBorders>
          </w:tcPr>
          <w:p w14:paraId="2CE65F2A" w14:textId="77777777" w:rsidR="00410716" w:rsidRPr="00BE78CA" w:rsidRDefault="00410716" w:rsidP="00C26084">
            <w:pPr>
              <w:pStyle w:val="TableText"/>
              <w:spacing w:before="50" w:after="50"/>
              <w:jc w:val="right"/>
              <w:rPr>
                <w:rFonts w:cs="Calibri"/>
                <w:szCs w:val="16"/>
              </w:rPr>
            </w:pPr>
            <w:r w:rsidRPr="00BE78CA">
              <w:t xml:space="preserve"> 46 </w:t>
            </w:r>
          </w:p>
        </w:tc>
        <w:tc>
          <w:tcPr>
            <w:tcW w:w="1417" w:type="dxa"/>
            <w:tcBorders>
              <w:top w:val="single" w:sz="4" w:space="0" w:color="365F91"/>
              <w:bottom w:val="single" w:sz="4" w:space="0" w:color="365F91"/>
            </w:tcBorders>
          </w:tcPr>
          <w:p w14:paraId="1CDD9D9C" w14:textId="77777777" w:rsidR="00410716" w:rsidRPr="00BE78CA" w:rsidRDefault="00410716" w:rsidP="00C26084">
            <w:pPr>
              <w:pStyle w:val="TableText"/>
              <w:spacing w:before="50" w:after="50"/>
              <w:jc w:val="right"/>
              <w:rPr>
                <w:rFonts w:cs="Calibri"/>
                <w:szCs w:val="16"/>
              </w:rPr>
            </w:pPr>
            <w:r w:rsidRPr="00BE78CA">
              <w:t xml:space="preserve"> 3,851 </w:t>
            </w:r>
          </w:p>
        </w:tc>
      </w:tr>
      <w:tr w:rsidR="00410716" w:rsidRPr="00BE78CA" w14:paraId="08902B5C" w14:textId="77777777" w:rsidTr="005D38DD">
        <w:tblPrEx>
          <w:tblCellMar>
            <w:left w:w="85" w:type="dxa"/>
            <w:right w:w="85" w:type="dxa"/>
          </w:tblCellMar>
        </w:tblPrEx>
        <w:tc>
          <w:tcPr>
            <w:tcW w:w="794" w:type="dxa"/>
            <w:tcBorders>
              <w:top w:val="single" w:sz="4" w:space="0" w:color="365F91"/>
              <w:bottom w:val="single" w:sz="4" w:space="0" w:color="365F91"/>
            </w:tcBorders>
            <w:shd w:val="clear" w:color="auto" w:fill="auto"/>
            <w:vAlign w:val="center"/>
          </w:tcPr>
          <w:p w14:paraId="3E1D14CF" w14:textId="77777777" w:rsidR="00410716" w:rsidRPr="00BE78CA" w:rsidRDefault="00410716" w:rsidP="00C26084">
            <w:pPr>
              <w:pStyle w:val="TableText"/>
              <w:spacing w:before="50" w:after="50"/>
              <w:rPr>
                <w:rFonts w:cs="Calibri"/>
                <w:szCs w:val="16"/>
              </w:rPr>
            </w:pPr>
            <w:r w:rsidRPr="00BE78CA">
              <w:rPr>
                <w:rFonts w:cs="Calibri"/>
                <w:szCs w:val="16"/>
              </w:rPr>
              <w:t>2019</w:t>
            </w:r>
            <w:r w:rsidRPr="00BE78CA">
              <w:rPr>
                <w:rFonts w:cs="Calibri"/>
                <w:szCs w:val="16"/>
                <w:vertAlign w:val="superscript"/>
              </w:rPr>
              <w:t>P</w:t>
            </w:r>
          </w:p>
        </w:tc>
        <w:tc>
          <w:tcPr>
            <w:tcW w:w="1417" w:type="dxa"/>
            <w:tcBorders>
              <w:top w:val="single" w:sz="4" w:space="0" w:color="365F91"/>
              <w:bottom w:val="single" w:sz="4" w:space="0" w:color="365F91"/>
            </w:tcBorders>
            <w:shd w:val="clear" w:color="auto" w:fill="auto"/>
          </w:tcPr>
          <w:p w14:paraId="7CB42FC6" w14:textId="77777777" w:rsidR="00410716" w:rsidRPr="00BE78CA" w:rsidRDefault="00410716" w:rsidP="00C26084">
            <w:pPr>
              <w:pStyle w:val="TableText"/>
              <w:spacing w:before="50" w:after="50"/>
              <w:jc w:val="right"/>
              <w:rPr>
                <w:rFonts w:cs="Calibri"/>
                <w:szCs w:val="16"/>
              </w:rPr>
            </w:pPr>
            <w:r w:rsidRPr="00BE78CA">
              <w:t xml:space="preserve"> 750 </w:t>
            </w:r>
          </w:p>
        </w:tc>
        <w:tc>
          <w:tcPr>
            <w:tcW w:w="1701" w:type="dxa"/>
            <w:tcBorders>
              <w:top w:val="single" w:sz="4" w:space="0" w:color="365F91"/>
              <w:bottom w:val="single" w:sz="4" w:space="0" w:color="365F91"/>
            </w:tcBorders>
            <w:shd w:val="clear" w:color="auto" w:fill="auto"/>
          </w:tcPr>
          <w:p w14:paraId="2799B252" w14:textId="77777777" w:rsidR="00410716" w:rsidRPr="00BE78CA" w:rsidRDefault="00410716" w:rsidP="00C26084">
            <w:pPr>
              <w:pStyle w:val="TableText"/>
              <w:spacing w:before="50" w:after="50"/>
              <w:jc w:val="right"/>
              <w:rPr>
                <w:rFonts w:cs="Calibri"/>
                <w:szCs w:val="16"/>
              </w:rPr>
            </w:pPr>
            <w:r w:rsidRPr="00BE78CA">
              <w:t xml:space="preserve"> 3,052 </w:t>
            </w:r>
          </w:p>
        </w:tc>
        <w:tc>
          <w:tcPr>
            <w:tcW w:w="1560" w:type="dxa"/>
            <w:tcBorders>
              <w:top w:val="single" w:sz="4" w:space="0" w:color="365F91"/>
              <w:bottom w:val="single" w:sz="4" w:space="0" w:color="365F91"/>
            </w:tcBorders>
            <w:shd w:val="clear" w:color="auto" w:fill="auto"/>
          </w:tcPr>
          <w:p w14:paraId="4E5AC323" w14:textId="77777777" w:rsidR="00410716" w:rsidRPr="00BE78CA" w:rsidRDefault="00410716" w:rsidP="00C26084">
            <w:pPr>
              <w:pStyle w:val="TableText"/>
              <w:spacing w:before="50" w:after="50"/>
              <w:jc w:val="right"/>
              <w:rPr>
                <w:rFonts w:cs="Calibri"/>
                <w:szCs w:val="16"/>
              </w:rPr>
            </w:pPr>
            <w:r w:rsidRPr="00BE78CA">
              <w:t xml:space="preserve"> 885 </w:t>
            </w:r>
          </w:p>
        </w:tc>
        <w:tc>
          <w:tcPr>
            <w:tcW w:w="1559" w:type="dxa"/>
            <w:tcBorders>
              <w:top w:val="single" w:sz="4" w:space="0" w:color="365F91"/>
              <w:bottom w:val="single" w:sz="4" w:space="0" w:color="365F91"/>
            </w:tcBorders>
          </w:tcPr>
          <w:p w14:paraId="0AFCFD45" w14:textId="77777777" w:rsidR="00410716" w:rsidRPr="00BE78CA" w:rsidRDefault="00410716" w:rsidP="00C26084">
            <w:pPr>
              <w:pStyle w:val="TableText"/>
              <w:spacing w:before="50" w:after="50"/>
              <w:jc w:val="right"/>
              <w:rPr>
                <w:rFonts w:cs="Calibri"/>
                <w:szCs w:val="16"/>
              </w:rPr>
            </w:pPr>
            <w:r w:rsidRPr="00BE78CA">
              <w:t xml:space="preserve"> 59 </w:t>
            </w:r>
          </w:p>
        </w:tc>
        <w:tc>
          <w:tcPr>
            <w:tcW w:w="1417" w:type="dxa"/>
            <w:tcBorders>
              <w:top w:val="single" w:sz="4" w:space="0" w:color="365F91"/>
              <w:bottom w:val="single" w:sz="4" w:space="0" w:color="365F91"/>
            </w:tcBorders>
          </w:tcPr>
          <w:p w14:paraId="268CF498" w14:textId="77777777" w:rsidR="00410716" w:rsidRPr="00BE78CA" w:rsidRDefault="00410716" w:rsidP="00C26084">
            <w:pPr>
              <w:pStyle w:val="TableText"/>
              <w:spacing w:before="50" w:after="50"/>
              <w:jc w:val="right"/>
              <w:rPr>
                <w:rFonts w:cs="Calibri"/>
                <w:szCs w:val="16"/>
              </w:rPr>
            </w:pPr>
            <w:r w:rsidRPr="00BE78CA">
              <w:t xml:space="preserve"> 4,745 </w:t>
            </w:r>
          </w:p>
        </w:tc>
      </w:tr>
    </w:tbl>
    <w:p w14:paraId="1DDC2E7B" w14:textId="77777777" w:rsidR="00410716" w:rsidRPr="00BE78CA" w:rsidRDefault="00410716" w:rsidP="00410716">
      <w:pPr>
        <w:pStyle w:val="Noteundertable"/>
      </w:pPr>
      <w:r w:rsidRPr="00BE78CA">
        <w:rPr>
          <w:b/>
        </w:rPr>
        <w:t>Note:</w:t>
      </w:r>
      <w:r w:rsidRPr="00BE78CA">
        <w:tab/>
        <w:t>P</w:t>
      </w:r>
      <w:r w:rsidRPr="00BE78CA">
        <w:rPr>
          <w:vertAlign w:val="subscript"/>
        </w:rPr>
        <w:t xml:space="preserve"> </w:t>
      </w:r>
      <w:r w:rsidRPr="00BE78CA">
        <w:t>= provisional figure. Areas as at 31 December. Deforestation differs from that in chapter 6 due to carbon equivalent forests being reported separately.</w:t>
      </w:r>
    </w:p>
    <w:p w14:paraId="22EFF828" w14:textId="77777777" w:rsidR="00410716" w:rsidRPr="00BE78CA" w:rsidRDefault="00410716" w:rsidP="00410716">
      <w:pPr>
        <w:pStyle w:val="BodyText"/>
      </w:pPr>
      <w:r w:rsidRPr="00BE78CA">
        <w:t>Figure 11.3.1 shows the annual areas d</w:t>
      </w:r>
      <w:r w:rsidRPr="00BE78CA">
        <w:rPr>
          <w:spacing w:val="-2"/>
        </w:rPr>
        <w:t xml:space="preserve">eforested </w:t>
      </w:r>
      <w:r w:rsidRPr="00BE78CA">
        <w:t xml:space="preserve">since 1990, by forest category. This illustrates the increase in pre-1990 planted forest </w:t>
      </w:r>
      <w:r w:rsidRPr="00BE78CA">
        <w:rPr>
          <w:spacing w:val="-2"/>
        </w:rPr>
        <w:t>deforestation</w:t>
      </w:r>
      <w:r w:rsidRPr="00BE78CA">
        <w:t xml:space="preserve"> that occurred in the four years leading up to 2008.</w:t>
      </w:r>
    </w:p>
    <w:p w14:paraId="6B0FD758" w14:textId="77777777" w:rsidR="00410716" w:rsidRPr="00BE78CA" w:rsidRDefault="00410716" w:rsidP="00410716">
      <w:pPr>
        <w:pStyle w:val="BodyText"/>
      </w:pPr>
      <w:r w:rsidRPr="00BE78CA">
        <w:t xml:space="preserve">While the conversion of land from one land use to another is not uncommon in New Zealand, plantation forest </w:t>
      </w:r>
      <w:r w:rsidRPr="00BE78CA">
        <w:rPr>
          <w:spacing w:val="-2"/>
        </w:rPr>
        <w:t>deforestation</w:t>
      </w:r>
      <w:r w:rsidRPr="00BE78CA">
        <w:t xml:space="preserve"> on the scale seen between 2004 and 2008 was a new phenomenon. Most of the area of planted forest that was deforested from the mid-2000s onwards has subsequently been converted to grassland. This conversion is due in part to the relative profitability of some forms of pastoral farming (particularly dairy farming), compared with forestry, as well as the anticipated introduction of the NZ ETS.</w:t>
      </w:r>
    </w:p>
    <w:p w14:paraId="59C52961" w14:textId="77777777" w:rsidR="00410716" w:rsidRPr="00BE78CA" w:rsidRDefault="00410716" w:rsidP="00410716">
      <w:pPr>
        <w:pStyle w:val="Figure"/>
        <w:spacing w:after="0"/>
      </w:pPr>
      <w:bookmarkStart w:id="3475" w:name="_Toc456179009"/>
      <w:bookmarkStart w:id="3476" w:name="_Toc481752045"/>
      <w:bookmarkStart w:id="3477" w:name="_Toc522010714"/>
      <w:bookmarkStart w:id="3478" w:name="_Toc5269734"/>
      <w:bookmarkStart w:id="3479" w:name="_Toc36292840"/>
      <w:bookmarkStart w:id="3480" w:name="_Toc64987008"/>
      <w:bookmarkStart w:id="3481" w:name="_Toc68786704"/>
      <w:r w:rsidRPr="00BE78CA">
        <w:lastRenderedPageBreak/>
        <w:t>Figure 11.3.1</w:t>
      </w:r>
      <w:r w:rsidRPr="00BE78CA">
        <w:tab/>
        <w:t>New Zealand’s annual areas of deforestation from 1990 to </w:t>
      </w:r>
      <w:bookmarkEnd w:id="3475"/>
      <w:bookmarkEnd w:id="3476"/>
      <w:bookmarkEnd w:id="3477"/>
      <w:r w:rsidRPr="00BE78CA">
        <w:t>201</w:t>
      </w:r>
      <w:bookmarkEnd w:id="3478"/>
      <w:bookmarkEnd w:id="3479"/>
      <w:r w:rsidRPr="00BE78CA">
        <w:t>9</w:t>
      </w:r>
      <w:bookmarkEnd w:id="3480"/>
      <w:bookmarkEnd w:id="3481"/>
    </w:p>
    <w:p w14:paraId="7BD142FB" w14:textId="77777777" w:rsidR="00410716" w:rsidRPr="00BE78CA" w:rsidRDefault="00410716" w:rsidP="00410716">
      <w:pPr>
        <w:pStyle w:val="BodyText"/>
        <w:spacing w:before="80"/>
      </w:pPr>
      <w:r w:rsidRPr="00BE78CA">
        <w:rPr>
          <w:noProof/>
        </w:rPr>
        <w:drawing>
          <wp:inline distT="0" distB="0" distL="0" distR="0" wp14:anchorId="03649D06" wp14:editId="45E8B04B">
            <wp:extent cx="5572125" cy="3303917"/>
            <wp:effectExtent l="0" t="0" r="0" b="0"/>
            <wp:docPr id="62" name="Chart 62">
              <a:extLst xmlns:a="http://schemas.openxmlformats.org/drawingml/2006/main">
                <a:ext uri="{FF2B5EF4-FFF2-40B4-BE49-F238E27FC236}">
                  <a16:creationId xmlns:a16="http://schemas.microsoft.com/office/drawing/2014/main" id="{00000000-0008-0000-07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4"/>
              </a:graphicData>
            </a:graphic>
          </wp:inline>
        </w:drawing>
      </w:r>
    </w:p>
    <w:p w14:paraId="260381BC" w14:textId="77777777" w:rsidR="00410716" w:rsidRPr="00BE78CA" w:rsidRDefault="00410716" w:rsidP="00410716">
      <w:pPr>
        <w:pStyle w:val="BodyText"/>
      </w:pPr>
      <w:r w:rsidRPr="00BE78CA">
        <w:t xml:space="preserve">There are no recorded emissions from </w:t>
      </w:r>
      <w:r w:rsidRPr="00BE78CA">
        <w:rPr>
          <w:spacing w:val="-2"/>
        </w:rPr>
        <w:t>deforestation</w:t>
      </w:r>
      <w:r w:rsidRPr="00BE78CA">
        <w:t xml:space="preserve"> of pre-1990 planted forest or post-1989 forest estimated before 2000. This activity was not significant, and insufficient data exist to reliably report the small areas of deforestation that may have occurred.</w:t>
      </w:r>
    </w:p>
    <w:p w14:paraId="6F94C829" w14:textId="77777777" w:rsidR="00410716" w:rsidRPr="00BE78CA" w:rsidRDefault="00410716" w:rsidP="00410716">
      <w:pPr>
        <w:pStyle w:val="BodyText"/>
      </w:pPr>
      <w:r w:rsidRPr="00BE78CA">
        <w:t xml:space="preserve">Since the introduction of the NZ ETS in 2008, owners of pre-1990 planted forest have been able to deforest a maximum of 2 hectares in any five-year period without having to surrender emission units. Above this level of deforestation, they are required to surrender units equal to the reported emissions, with some exemptions for smaller forest owners and tree weeds within protected areas (Ministry for Primary Industries, 2015d). Since 2007, there has been a significant reduction in the rate of deforestation of pre-1990 planted forest. Post-1989 forest owners, who are registered in the scheme, also have legal obligations to surrender units if the carbon stocks in their registered forest area fall below a previously reported level (for example, due to deforestation, harvesting or fire). </w:t>
      </w:r>
    </w:p>
    <w:p w14:paraId="39CFB5F2" w14:textId="77777777" w:rsidR="00410716" w:rsidRPr="00BE78CA" w:rsidRDefault="00410716" w:rsidP="00410716">
      <w:pPr>
        <w:pStyle w:val="BodyText"/>
      </w:pPr>
      <w:r w:rsidRPr="00BE78CA">
        <w:t xml:space="preserve">It was expected that the level of deforestation during the first Kyoto Protocol commitment period (2008–12) would be less than that seen prior to the introduction of the NZ ETS in 2008 (Manley, 2009). However, following the introduction of the NZ ETS, the carbon price went into a steady decline. The low carbon price reduced the liability on pre-1990 planted forest owners for deforestation. Consequently, more deforestation has occurred since 2008 than previously expected. Carbon prices have since increased, following </w:t>
      </w:r>
      <w:r w:rsidRPr="00BE78CA">
        <w:rPr>
          <w:spacing w:val="-2"/>
        </w:rPr>
        <w:t>the exclusion of international units from the scheme on 31 May 2015, an NZ ETS review and the passing of the Climate Change Response (Emissions Trading Reform) Amendment Act in 2020. This legislated major changes to the NZ ETS, including incentives for afforestation and the introduction of a unit cap to the scheme</w:t>
      </w:r>
      <w:r w:rsidRPr="00BE78CA">
        <w:t xml:space="preserve">. These higher carbon prices are coincident with reduced deforestation activities and the first participants of the domestic version of the carbon equivalent forests provision, which is now available within the NZ ETS. </w:t>
      </w:r>
    </w:p>
    <w:p w14:paraId="7083D1DD" w14:textId="77777777" w:rsidR="00410716" w:rsidRPr="00BE78CA" w:rsidRDefault="00410716" w:rsidP="00410716">
      <w:pPr>
        <w:pStyle w:val="BodyText"/>
        <w:spacing w:after="100"/>
      </w:pPr>
      <w:r w:rsidRPr="00BE78CA">
        <w:t xml:space="preserve">The area of </w:t>
      </w:r>
      <w:r w:rsidRPr="00BE78CA">
        <w:rPr>
          <w:spacing w:val="-2"/>
        </w:rPr>
        <w:t>deforestation</w:t>
      </w:r>
      <w:r w:rsidRPr="00BE78CA">
        <w:t xml:space="preserve"> of pre-1990 natural forest prior to 2008 has been estimated by linear interpolation from the average land-use change mapped between 1 January 1990 and 1 January 2008. However, a number of factors suggest that the rate of pre-1990 natural forest deforestation is unlikely to have been constant over the 18-year period between </w:t>
      </w:r>
      <w:r w:rsidRPr="00BE78CA">
        <w:lastRenderedPageBreak/>
        <w:t>1990 and 2007, but instead mostly occurred prior to 2002. The area available for harvesting (and potentially deforestation) was higher before 1993 when amendments were made to the Forests Act 1949 that restricted natural forest harvesting. Further restrictions on the harvesting of natural forests were also introduced in 2002, resulting in the cessation of harvesting of publicly owned forests on the West Coast of New Zealand from that time on. Both of these developments are likely to have reduced pre-1990 natural forest deforestation since 2002.</w:t>
      </w:r>
    </w:p>
    <w:p w14:paraId="0C16FA08" w14:textId="77777777" w:rsidR="00410716" w:rsidRPr="00BE78CA" w:rsidRDefault="00410716" w:rsidP="00410716">
      <w:pPr>
        <w:pStyle w:val="BodyText"/>
        <w:spacing w:after="100"/>
      </w:pPr>
      <w:r w:rsidRPr="00BE78CA">
        <w:t>Further detail on the methods employed for estimating deforestation</w:t>
      </w:r>
      <w:r w:rsidRPr="00BE78CA">
        <w:rPr>
          <w:i/>
        </w:rPr>
        <w:t xml:space="preserve"> </w:t>
      </w:r>
      <w:r w:rsidRPr="00BE78CA">
        <w:t>is provided in chapter 6, section 6.2.3.</w:t>
      </w:r>
    </w:p>
    <w:p w14:paraId="6882CA5D" w14:textId="77777777" w:rsidR="00410716" w:rsidRPr="00BE78CA" w:rsidRDefault="00410716" w:rsidP="00410716">
      <w:pPr>
        <w:pStyle w:val="Heading3"/>
        <w:spacing w:before="280"/>
        <w:rPr>
          <w:rFonts w:eastAsia="Calibri"/>
        </w:rPr>
      </w:pPr>
      <w:r w:rsidRPr="00BE78CA">
        <w:rPr>
          <w:rFonts w:eastAsia="Calibri"/>
        </w:rPr>
        <w:t>11.3.4</w:t>
      </w:r>
      <w:r w:rsidRPr="00BE78CA">
        <w:rPr>
          <w:rFonts w:eastAsia="Calibri"/>
        </w:rPr>
        <w:tab/>
        <w:t>Forest management CRF 4(KP.B.1))</w:t>
      </w:r>
    </w:p>
    <w:p w14:paraId="7C9A3A3B" w14:textId="77777777" w:rsidR="00410716" w:rsidRPr="00BE78CA" w:rsidRDefault="00410716" w:rsidP="00410716">
      <w:pPr>
        <w:pStyle w:val="BodyText"/>
        <w:spacing w:after="100"/>
      </w:pPr>
      <w:r w:rsidRPr="00BE78CA">
        <w:t xml:space="preserve">New Zealand reports emissions and removals from </w:t>
      </w:r>
      <w:r w:rsidRPr="00BE78CA">
        <w:rPr>
          <w:i/>
        </w:rPr>
        <w:t>Forest management</w:t>
      </w:r>
      <w:r w:rsidRPr="00BE78CA">
        <w:t xml:space="preserve"> from 2013 onwards. New Zealand has applied the broad approach to interpreting the definition of forest management so that it includes the whole area classified as pre-1990 natural forest and pre</w:t>
      </w:r>
      <w:r w:rsidRPr="00BE78CA">
        <w:noBreakHyphen/>
        <w:t xml:space="preserve">1990 planted forest. The area in this category excludes any area deforested since 1990, because this is reported under Article 3.3 – </w:t>
      </w:r>
      <w:r w:rsidRPr="00BE78CA">
        <w:rPr>
          <w:i/>
        </w:rPr>
        <w:t>Deforestation</w:t>
      </w:r>
      <w:r w:rsidRPr="00BE78CA">
        <w:t xml:space="preserve">, and includes areas to which the carbon equivalent forest provision is applied. </w:t>
      </w:r>
    </w:p>
    <w:p w14:paraId="43B8F194" w14:textId="77777777" w:rsidR="00410716" w:rsidRPr="00BE78CA" w:rsidRDefault="00410716" w:rsidP="00410716">
      <w:pPr>
        <w:pStyle w:val="BodyText"/>
        <w:spacing w:after="100"/>
      </w:pPr>
      <w:r w:rsidRPr="00BE78CA">
        <w:t>In 2019, emissions on this land were –20,665.3 kt CO</w:t>
      </w:r>
      <w:r w:rsidRPr="00BE78CA">
        <w:rPr>
          <w:vertAlign w:val="subscript"/>
        </w:rPr>
        <w:t>2</w:t>
      </w:r>
      <w:r w:rsidRPr="00BE78CA">
        <w:t xml:space="preserve">-e. This included emissions of </w:t>
      </w:r>
      <w:r w:rsidRPr="00BE78CA">
        <w:br/>
        <w:t>–8,597.4 kt CO</w:t>
      </w:r>
      <w:r w:rsidRPr="00BE78CA">
        <w:rPr>
          <w:vertAlign w:val="subscript"/>
        </w:rPr>
        <w:t>2</w:t>
      </w:r>
      <w:r w:rsidRPr="00BE78CA">
        <w:t xml:space="preserve">-e from harvested wood products originating from </w:t>
      </w:r>
      <w:r w:rsidRPr="00BE78CA">
        <w:rPr>
          <w:i/>
        </w:rPr>
        <w:t>Forest management</w:t>
      </w:r>
      <w:r w:rsidRPr="00BE78CA">
        <w:t xml:space="preserve">. </w:t>
      </w:r>
    </w:p>
    <w:p w14:paraId="29189641" w14:textId="77777777" w:rsidR="00410716" w:rsidRPr="00BE78CA" w:rsidRDefault="00410716" w:rsidP="00410716">
      <w:pPr>
        <w:pStyle w:val="BodyText"/>
        <w:spacing w:after="100"/>
      </w:pPr>
      <w:r w:rsidRPr="00BE78CA">
        <w:t xml:space="preserve">The total area remaining in </w:t>
      </w:r>
      <w:r w:rsidRPr="00BE78CA">
        <w:rPr>
          <w:i/>
        </w:rPr>
        <w:t>Forest management</w:t>
      </w:r>
      <w:r w:rsidRPr="00BE78CA">
        <w:t xml:space="preserve"> at the end of 2019 was 9,201,461 hectares; this is a decrease of 167,720 hectares (or 1.8 per cent) since 1990.</w:t>
      </w:r>
    </w:p>
    <w:p w14:paraId="2F490D23" w14:textId="77777777" w:rsidR="00410716" w:rsidRPr="00BE78CA" w:rsidRDefault="00410716" w:rsidP="00410716">
      <w:pPr>
        <w:pStyle w:val="BodyText"/>
        <w:spacing w:after="100"/>
      </w:pPr>
      <w:r w:rsidRPr="00BE78CA">
        <w:t xml:space="preserve">The source of the activity data and emission factors applied to </w:t>
      </w:r>
      <w:r w:rsidRPr="00BE78CA">
        <w:rPr>
          <w:i/>
        </w:rPr>
        <w:t>Forest management</w:t>
      </w:r>
      <w:r w:rsidRPr="00BE78CA">
        <w:t xml:space="preserve"> activities is described in more detail in chapter 6. This is because New Zealand applies the same methods to estimating emissions from </w:t>
      </w:r>
      <w:r w:rsidRPr="00BE78CA">
        <w:rPr>
          <w:i/>
        </w:rPr>
        <w:t>Forest management</w:t>
      </w:r>
      <w:r w:rsidRPr="00BE78CA">
        <w:t xml:space="preserve"> activities as those applied to the equivalent land use categories of the inventory. </w:t>
      </w:r>
    </w:p>
    <w:p w14:paraId="2089C32B" w14:textId="77777777" w:rsidR="00410716" w:rsidRPr="00BE78CA" w:rsidRDefault="00410716" w:rsidP="00410716">
      <w:pPr>
        <w:pStyle w:val="BodyText"/>
        <w:spacing w:after="100"/>
      </w:pPr>
      <w:r w:rsidRPr="00BE78CA">
        <w:t xml:space="preserve">Where the land reported under </w:t>
      </w:r>
      <w:r w:rsidRPr="00BE78CA">
        <w:rPr>
          <w:i/>
        </w:rPr>
        <w:t>Forest management</w:t>
      </w:r>
      <w:r w:rsidRPr="00BE78CA">
        <w:t xml:space="preserve"> has remained in the same land use sub</w:t>
      </w:r>
      <w:r w:rsidRPr="00BE78CA">
        <w:noBreakHyphen/>
        <w:t xml:space="preserve">division for more than 20 years, mineral soil carbon stocks are assumed to have reached steady state. New Zealand models the effects of land use on mineral soil carbon based on empirical measurements collected from each land-use sub-division in steady state, specifically to model land-use change and management effects. The pre-1990 forests are subdivided into natural and planted forest types, which allows the different management methods to be taken into account. Where organic soil is present on land reported under </w:t>
      </w:r>
      <w:r w:rsidRPr="00BE78CA">
        <w:rPr>
          <w:i/>
        </w:rPr>
        <w:t>Forest management</w:t>
      </w:r>
      <w:r w:rsidRPr="00BE78CA">
        <w:t xml:space="preserve"> that is no longer natural forest, the soil organic carbon pool is reported as an ongoing source of emissions. More detail is provided in chapter 6, section 6.3. </w:t>
      </w:r>
      <w:r w:rsidRPr="00BE78CA">
        <w:rPr>
          <w:spacing w:val="-2"/>
        </w:rPr>
        <w:t>This information has been added to address expert review team recommendation KL.4 (FCCC/ARR/2017/NZL, UNFCCC, 2018).</w:t>
      </w:r>
    </w:p>
    <w:p w14:paraId="60111F16" w14:textId="77777777" w:rsidR="00410716" w:rsidRPr="00BE78CA" w:rsidRDefault="00410716" w:rsidP="00410716">
      <w:pPr>
        <w:pStyle w:val="BodyText"/>
        <w:spacing w:after="100"/>
      </w:pPr>
      <w:r w:rsidRPr="00BE78CA">
        <w:t xml:space="preserve">As agreed in Decision 2/CMP.7 (UNFCCC, 2012), accounting for </w:t>
      </w:r>
      <w:r w:rsidRPr="00BE78CA">
        <w:rPr>
          <w:i/>
        </w:rPr>
        <w:t>Forest management</w:t>
      </w:r>
      <w:r w:rsidRPr="00BE78CA">
        <w:t xml:space="preserve"> is now mandatory and measured against the Forest Management Reference Level (FMRL) inscribed in the appendix to the annex to Decision 2/CMP.7 (UNFCCC, 2012). This means New Zealand is only required to take responsibility for emissions from land under </w:t>
      </w:r>
      <w:r w:rsidRPr="00BE78CA">
        <w:rPr>
          <w:i/>
        </w:rPr>
        <w:t>Forest management</w:t>
      </w:r>
      <w:r w:rsidRPr="00BE78CA">
        <w:t xml:space="preserve"> where these emissions are greater than the reference level, and can claim reductions where emissions are less than the reference level (up to a cap set at 3.5 per cent of New Zealand’s gross emissions in the base year, per year). </w:t>
      </w:r>
    </w:p>
    <w:p w14:paraId="0BE2805D" w14:textId="77777777" w:rsidR="00410716" w:rsidRPr="00BE78CA" w:rsidRDefault="00410716" w:rsidP="00410716">
      <w:pPr>
        <w:pStyle w:val="BodyText"/>
        <w:spacing w:before="100" w:after="100"/>
      </w:pPr>
      <w:r w:rsidRPr="00BE78CA">
        <w:t xml:space="preserve">The FMRL was set using a business-as-usual projection of emissions for </w:t>
      </w:r>
      <w:r w:rsidRPr="00BE78CA">
        <w:rPr>
          <w:i/>
        </w:rPr>
        <w:t xml:space="preserve">Forest management </w:t>
      </w:r>
      <w:r w:rsidRPr="00BE78CA">
        <w:t>over the period to 2020 and represents the estimated annual average emissions between 2013 and 2020.</w:t>
      </w:r>
    </w:p>
    <w:p w14:paraId="0B631C72" w14:textId="77777777" w:rsidR="00410716" w:rsidRPr="00BE78CA" w:rsidRDefault="00410716" w:rsidP="00410716">
      <w:pPr>
        <w:pStyle w:val="BodyText"/>
        <w:spacing w:before="100" w:after="100"/>
      </w:pPr>
      <w:r w:rsidRPr="00BE78CA">
        <w:lastRenderedPageBreak/>
        <w:t xml:space="preserve">New Zealand’s </w:t>
      </w:r>
      <w:r w:rsidRPr="00BE78CA">
        <w:rPr>
          <w:bCs/>
          <w:spacing w:val="-2"/>
        </w:rPr>
        <w:t>FMRL</w:t>
      </w:r>
      <w:r w:rsidRPr="00BE78CA">
        <w:rPr>
          <w:bCs/>
          <w:i/>
          <w:spacing w:val="-2"/>
          <w:vertAlign w:val="subscript"/>
        </w:rPr>
        <w:t>corr</w:t>
      </w:r>
      <w:r w:rsidRPr="00BE78CA">
        <w:rPr>
          <w:spacing w:val="-2"/>
          <w:vertAlign w:val="subscript"/>
        </w:rPr>
        <w:t xml:space="preserve"> </w:t>
      </w:r>
      <w:r w:rsidRPr="00BE78CA">
        <w:rPr>
          <w:spacing w:val="-2"/>
        </w:rPr>
        <w:t>(technically corrected FMRL) is –10.71. This value has been calculated as a result of three technical corrections to the original FMRL value of 11.150 megatonnes (Mt) CO</w:t>
      </w:r>
      <w:r w:rsidRPr="00BE78CA">
        <w:rPr>
          <w:spacing w:val="-2"/>
          <w:vertAlign w:val="subscript"/>
        </w:rPr>
        <w:t>2</w:t>
      </w:r>
      <w:r w:rsidRPr="00BE78CA">
        <w:rPr>
          <w:spacing w:val="-2"/>
        </w:rPr>
        <w:noBreakHyphen/>
        <w:t xml:space="preserve">e per year in accordance with </w:t>
      </w:r>
      <w:r w:rsidRPr="00BE78CA">
        <w:t xml:space="preserve">Decision 2/CMP.7, Annex I, para 14 (UNFCCC, 2012). Details of the corrections made to the FMRL are provided in annex 5.1. </w:t>
      </w:r>
    </w:p>
    <w:p w14:paraId="7446FEC7" w14:textId="77777777" w:rsidR="00410716" w:rsidRPr="00BE78CA" w:rsidRDefault="00410716" w:rsidP="00410716">
      <w:pPr>
        <w:pStyle w:val="BodyText"/>
        <w:spacing w:before="100" w:after="100"/>
        <w:rPr>
          <w:spacing w:val="-2"/>
          <w:vertAlign w:val="subscript"/>
        </w:rPr>
      </w:pPr>
      <w:bookmarkStart w:id="3482" w:name="_Hlk57713903"/>
      <w:r w:rsidRPr="00BE78CA">
        <w:rPr>
          <w:spacing w:val="-2"/>
        </w:rPr>
        <w:t xml:space="preserve">The emissions for </w:t>
      </w:r>
      <w:r w:rsidRPr="00BE78CA">
        <w:rPr>
          <w:i/>
          <w:spacing w:val="-2"/>
        </w:rPr>
        <w:t>Forest management</w:t>
      </w:r>
      <w:r w:rsidRPr="00BE78CA">
        <w:rPr>
          <w:spacing w:val="-2"/>
        </w:rPr>
        <w:t xml:space="preserve"> from 2013 to 2019 were lower than the </w:t>
      </w:r>
      <w:r w:rsidRPr="00BE78CA">
        <w:rPr>
          <w:bCs/>
          <w:spacing w:val="-2"/>
        </w:rPr>
        <w:t>FMRL</w:t>
      </w:r>
      <w:r w:rsidRPr="00BE78CA">
        <w:rPr>
          <w:bCs/>
          <w:i/>
          <w:spacing w:val="-2"/>
          <w:vertAlign w:val="subscript"/>
        </w:rPr>
        <w:t>corr</w:t>
      </w:r>
      <w:r w:rsidRPr="00BE78CA">
        <w:rPr>
          <w:spacing w:val="-2"/>
          <w:vertAlign w:val="subscript"/>
        </w:rPr>
        <w:t xml:space="preserve"> </w:t>
      </w:r>
      <w:r w:rsidRPr="00BE78CA">
        <w:rPr>
          <w:spacing w:val="-2"/>
        </w:rPr>
        <w:t>(technically corrected FMRL) of –10.71 Mt CO</w:t>
      </w:r>
      <w:r w:rsidRPr="00BE78CA">
        <w:rPr>
          <w:spacing w:val="-2"/>
          <w:vertAlign w:val="subscript"/>
        </w:rPr>
        <w:t>2</w:t>
      </w:r>
      <w:r w:rsidRPr="00BE78CA">
        <w:rPr>
          <w:spacing w:val="-2"/>
        </w:rPr>
        <w:t xml:space="preserve">-e (as New Zealand’s removals were higher). The emissions from </w:t>
      </w:r>
      <w:r w:rsidRPr="00BE78CA">
        <w:rPr>
          <w:i/>
          <w:spacing w:val="-2"/>
        </w:rPr>
        <w:t xml:space="preserve">Forest management </w:t>
      </w:r>
      <w:r w:rsidRPr="00BE78CA">
        <w:rPr>
          <w:spacing w:val="-2"/>
        </w:rPr>
        <w:t>were lower because the realised rate of harvest is lower than the rate of harvest projected in the FMRL</w:t>
      </w:r>
      <w:r w:rsidRPr="00BE78CA">
        <w:rPr>
          <w:i/>
          <w:spacing w:val="-2"/>
          <w:vertAlign w:val="subscript"/>
        </w:rPr>
        <w:t>corr</w:t>
      </w:r>
      <w:r w:rsidRPr="00BE78CA">
        <w:rPr>
          <w:spacing w:val="-2"/>
        </w:rPr>
        <w:t>.</w:t>
      </w:r>
    </w:p>
    <w:bookmarkEnd w:id="3482"/>
    <w:p w14:paraId="62A90F6D" w14:textId="77777777" w:rsidR="00410716" w:rsidRPr="00BE78CA" w:rsidRDefault="00410716" w:rsidP="00410716">
      <w:pPr>
        <w:pStyle w:val="Heading5"/>
      </w:pPr>
      <w:r w:rsidRPr="00BE78CA">
        <w:t>Technical corrections to the Forest Management Reference Level</w:t>
      </w:r>
    </w:p>
    <w:p w14:paraId="0AC1C19C" w14:textId="77777777" w:rsidR="00410716" w:rsidRPr="00BE78CA" w:rsidRDefault="00410716" w:rsidP="00410716">
      <w:pPr>
        <w:pStyle w:val="BodyText"/>
      </w:pPr>
      <w:r w:rsidRPr="00BE78CA">
        <w:t>New Zealand’s FMRL, as inscribed in the appendix to the annex to Decision 2/CMP.7 (UNFCCC, 2012), was 11.15 Mt CO</w:t>
      </w:r>
      <w:r w:rsidRPr="00BE78CA">
        <w:rPr>
          <w:vertAlign w:val="subscript"/>
        </w:rPr>
        <w:t>2</w:t>
      </w:r>
      <w:r w:rsidRPr="00BE78CA">
        <w:t>-e per year. For the 2016 submission, New Zealand submitted a technical correction of –17.25 Mt CO</w:t>
      </w:r>
      <w:r w:rsidRPr="00BE78CA">
        <w:rPr>
          <w:vertAlign w:val="subscript"/>
        </w:rPr>
        <w:t>2</w:t>
      </w:r>
      <w:r w:rsidRPr="00BE78CA">
        <w:t>-e, correcting the FMRL to –6.10 Mt CO</w:t>
      </w:r>
      <w:r w:rsidRPr="00BE78CA">
        <w:rPr>
          <w:vertAlign w:val="subscript"/>
        </w:rPr>
        <w:t>2</w:t>
      </w:r>
      <w:r w:rsidRPr="00BE78CA">
        <w:t xml:space="preserve">-e per year, to achieve consistency with the methods used for reporting of </w:t>
      </w:r>
      <w:r w:rsidRPr="00BE78CA">
        <w:rPr>
          <w:i/>
        </w:rPr>
        <w:t>Forest management</w:t>
      </w:r>
      <w:r w:rsidRPr="00BE78CA">
        <w:t xml:space="preserve">, including incorporating changes to </w:t>
      </w:r>
      <w:r w:rsidRPr="00BE78CA">
        <w:rPr>
          <w:i/>
        </w:rPr>
        <w:t>Harvested wood products</w:t>
      </w:r>
      <w:r w:rsidRPr="00BE78CA">
        <w:t>. In the 2019 submission, New Zealand submitted another technical correction, of –3.33 Mt CO</w:t>
      </w:r>
      <w:r w:rsidRPr="00BE78CA">
        <w:rPr>
          <w:vertAlign w:val="subscript"/>
        </w:rPr>
        <w:t>2</w:t>
      </w:r>
      <w:r w:rsidRPr="00BE78CA">
        <w:t xml:space="preserve">-e. In this 2021 submission, New Zealand is including another technical correction, of –1.29, for four reasons: </w:t>
      </w:r>
    </w:p>
    <w:p w14:paraId="462D3E8F" w14:textId="77777777" w:rsidR="00410716" w:rsidRPr="00BE78CA" w:rsidRDefault="00410716" w:rsidP="00410716">
      <w:pPr>
        <w:pStyle w:val="Bullet"/>
      </w:pPr>
      <w:r w:rsidRPr="00BE78CA">
        <w:t xml:space="preserve">the estimate of emissions from biomass in the pre-1990 forestry estate has been corrected due to improvements in the methodological elements used to construct the FMRL </w:t>
      </w:r>
    </w:p>
    <w:p w14:paraId="50C5D954" w14:textId="77777777" w:rsidR="00410716" w:rsidRPr="00BE78CA" w:rsidRDefault="00410716" w:rsidP="00410716">
      <w:pPr>
        <w:pStyle w:val="Bullet"/>
      </w:pPr>
      <w:r w:rsidRPr="00BE78CA">
        <w:t xml:space="preserve">in the 2020 submission, there was a misalignment between the method used to calculate the pre-1990 natural forest component for </w:t>
      </w:r>
      <w:r w:rsidRPr="00BE78CA">
        <w:rPr>
          <w:i/>
          <w:iCs/>
        </w:rPr>
        <w:t>Forest management</w:t>
      </w:r>
      <w:r w:rsidRPr="00BE78CA">
        <w:t xml:space="preserve"> and the method used in the construction of the FMRL. This has been corrected</w:t>
      </w:r>
    </w:p>
    <w:p w14:paraId="512F3C23" w14:textId="77777777" w:rsidR="00410716" w:rsidRPr="00BE78CA" w:rsidRDefault="00410716" w:rsidP="00410716">
      <w:pPr>
        <w:pStyle w:val="Bullet"/>
      </w:pPr>
      <w:r w:rsidRPr="00BE78CA">
        <w:t>the background level of the natural disturbance provision has been revised in line with expert review team recommendation KL.10/FCCC/ARRR/2019/NZL by applying the default method described in section 2.3.9.6 of the Kyoto Protocol Supplement (IPPC, 2014a)</w:t>
      </w:r>
    </w:p>
    <w:p w14:paraId="1C22F5A4" w14:textId="77777777" w:rsidR="00410716" w:rsidRPr="00BE78CA" w:rsidRDefault="00410716" w:rsidP="00410716">
      <w:pPr>
        <w:pStyle w:val="Bullet"/>
      </w:pPr>
      <w:r w:rsidRPr="00BE78CA">
        <w:t xml:space="preserve">the assumption used for exported </w:t>
      </w:r>
      <w:r w:rsidRPr="00BE78CA">
        <w:rPr>
          <w:i/>
          <w:iCs/>
        </w:rPr>
        <w:t>Harvested wood products</w:t>
      </w:r>
      <w:r w:rsidRPr="00BE78CA">
        <w:t xml:space="preserve"> has been revised to align the harvesting projections with the estimated inputs in </w:t>
      </w:r>
      <w:r w:rsidRPr="00BE78CA">
        <w:rPr>
          <w:i/>
          <w:iCs/>
        </w:rPr>
        <w:t>Harvested wood products</w:t>
      </w:r>
      <w:r w:rsidRPr="00BE78CA">
        <w:t xml:space="preserve"> in the FMRL. </w:t>
      </w:r>
    </w:p>
    <w:p w14:paraId="04364FC7" w14:textId="77777777" w:rsidR="00410716" w:rsidRPr="00BE78CA" w:rsidRDefault="00410716" w:rsidP="00410716">
      <w:pPr>
        <w:pStyle w:val="Heading5"/>
      </w:pPr>
      <w:r w:rsidRPr="00BE78CA">
        <w:t>Carbon equivalent forests</w:t>
      </w:r>
    </w:p>
    <w:p w14:paraId="329F2570" w14:textId="77777777" w:rsidR="00410716" w:rsidRPr="00BE78CA" w:rsidRDefault="00410716" w:rsidP="00410716">
      <w:pPr>
        <w:pStyle w:val="BodyText"/>
      </w:pPr>
      <w:r w:rsidRPr="00BE78CA">
        <w:t xml:space="preserve">The carbon equivalent forest provision allows pre-1990 planted forests that meet the conditions specified in Decision 2/CMP.7, paragraph 37 (UNFCCC, 2012), to be harvested and converted to another land use without being classified as deforested, provided a new forest that will reach carbon equivalence is established elsewhere. New Zealand’s carbon equivalent forests, between the 2013 and 2019 period, are summarised in table 11.3.5. </w:t>
      </w:r>
    </w:p>
    <w:p w14:paraId="1E6C109B" w14:textId="77777777" w:rsidR="00410716" w:rsidRPr="00BE78CA" w:rsidRDefault="00410716" w:rsidP="00410716">
      <w:pPr>
        <w:pStyle w:val="Table"/>
      </w:pPr>
      <w:bookmarkStart w:id="3483" w:name="_Toc522010660"/>
      <w:bookmarkStart w:id="3484" w:name="_Toc5269631"/>
      <w:bookmarkStart w:id="3485" w:name="_Toc36224714"/>
      <w:bookmarkStart w:id="3486" w:name="_Toc64987049"/>
      <w:bookmarkStart w:id="3487" w:name="_Toc68786599"/>
      <w:r w:rsidRPr="00BE78CA">
        <w:t>Table 11.3.5</w:t>
      </w:r>
      <w:r w:rsidRPr="00BE78CA">
        <w:tab/>
        <w:t>Carbon equivalent forests (2013–19)</w:t>
      </w:r>
      <w:bookmarkEnd w:id="3483"/>
      <w:bookmarkEnd w:id="3484"/>
      <w:bookmarkEnd w:id="3485"/>
      <w:bookmarkEnd w:id="3486"/>
      <w:bookmarkEnd w:id="3487"/>
    </w:p>
    <w:tbl>
      <w:tblPr>
        <w:tblW w:w="8505" w:type="dxa"/>
        <w:tblLook w:val="04A0" w:firstRow="1" w:lastRow="0" w:firstColumn="1" w:lastColumn="0" w:noHBand="0" w:noVBand="1"/>
      </w:tblPr>
      <w:tblGrid>
        <w:gridCol w:w="1698"/>
        <w:gridCol w:w="1030"/>
        <w:gridCol w:w="702"/>
        <w:gridCol w:w="947"/>
        <w:gridCol w:w="975"/>
        <w:gridCol w:w="974"/>
        <w:gridCol w:w="1011"/>
        <w:gridCol w:w="1168"/>
      </w:tblGrid>
      <w:tr w:rsidR="00410716" w:rsidRPr="00BE78CA" w14:paraId="7FB98BD9" w14:textId="77777777" w:rsidTr="002834E7">
        <w:tc>
          <w:tcPr>
            <w:tcW w:w="1649" w:type="dxa"/>
            <w:tcBorders>
              <w:top w:val="single" w:sz="8" w:space="0" w:color="365F91"/>
              <w:left w:val="nil"/>
              <w:bottom w:val="single" w:sz="8" w:space="0" w:color="365F91"/>
              <w:right w:val="nil"/>
            </w:tcBorders>
            <w:shd w:val="clear" w:color="000000" w:fill="365F91"/>
            <w:vAlign w:val="center"/>
            <w:hideMark/>
          </w:tcPr>
          <w:p w14:paraId="32C5D8C2" w14:textId="77777777" w:rsidR="00410716" w:rsidRPr="00BE78CA" w:rsidRDefault="00410716" w:rsidP="00C26084">
            <w:pPr>
              <w:pStyle w:val="TableTextBold"/>
              <w:keepNext/>
              <w:rPr>
                <w:noProof w:val="0"/>
                <w:color w:val="FFFFFF"/>
                <w:szCs w:val="16"/>
              </w:rPr>
            </w:pPr>
            <w:r w:rsidRPr="00BE78CA">
              <w:rPr>
                <w:noProof w:val="0"/>
                <w:color w:val="FFFFFF"/>
                <w:szCs w:val="16"/>
              </w:rPr>
              <w:t> </w:t>
            </w:r>
          </w:p>
        </w:tc>
        <w:tc>
          <w:tcPr>
            <w:tcW w:w="1001" w:type="dxa"/>
            <w:tcBorders>
              <w:top w:val="single" w:sz="8" w:space="0" w:color="365F91"/>
              <w:left w:val="nil"/>
              <w:bottom w:val="single" w:sz="8" w:space="0" w:color="365F91"/>
              <w:right w:val="nil"/>
            </w:tcBorders>
            <w:shd w:val="clear" w:color="000000" w:fill="365F91"/>
            <w:vAlign w:val="center"/>
            <w:hideMark/>
          </w:tcPr>
          <w:p w14:paraId="6B196B22" w14:textId="77777777" w:rsidR="00410716" w:rsidRPr="00BE78CA" w:rsidRDefault="00410716" w:rsidP="00C26084">
            <w:pPr>
              <w:pStyle w:val="TableTextBold"/>
              <w:keepNext/>
              <w:jc w:val="center"/>
              <w:rPr>
                <w:noProof w:val="0"/>
                <w:color w:val="FFFFFF"/>
                <w:szCs w:val="16"/>
              </w:rPr>
            </w:pPr>
            <w:r w:rsidRPr="00BE78CA">
              <w:rPr>
                <w:noProof w:val="0"/>
                <w:color w:val="FFFFFF"/>
                <w:szCs w:val="16"/>
              </w:rPr>
              <w:t>2013</w:t>
            </w:r>
          </w:p>
        </w:tc>
        <w:tc>
          <w:tcPr>
            <w:tcW w:w="681" w:type="dxa"/>
            <w:tcBorders>
              <w:top w:val="single" w:sz="8" w:space="0" w:color="365F91"/>
              <w:left w:val="nil"/>
              <w:bottom w:val="single" w:sz="8" w:space="0" w:color="365F91"/>
              <w:right w:val="nil"/>
            </w:tcBorders>
            <w:shd w:val="clear" w:color="000000" w:fill="365F91"/>
            <w:vAlign w:val="center"/>
            <w:hideMark/>
          </w:tcPr>
          <w:p w14:paraId="492FDD54" w14:textId="77777777" w:rsidR="00410716" w:rsidRPr="00BE78CA" w:rsidRDefault="00410716" w:rsidP="00C26084">
            <w:pPr>
              <w:pStyle w:val="TableTextBold"/>
              <w:keepNext/>
              <w:jc w:val="right"/>
              <w:rPr>
                <w:noProof w:val="0"/>
                <w:color w:val="FFFFFF"/>
                <w:szCs w:val="16"/>
              </w:rPr>
            </w:pPr>
            <w:r w:rsidRPr="00BE78CA">
              <w:rPr>
                <w:noProof w:val="0"/>
                <w:color w:val="FFFFFF"/>
                <w:szCs w:val="16"/>
              </w:rPr>
              <w:t>2014</w:t>
            </w:r>
          </w:p>
        </w:tc>
        <w:tc>
          <w:tcPr>
            <w:tcW w:w="919" w:type="dxa"/>
            <w:tcBorders>
              <w:top w:val="single" w:sz="8" w:space="0" w:color="365F91"/>
              <w:left w:val="nil"/>
              <w:bottom w:val="single" w:sz="8" w:space="0" w:color="365F91"/>
              <w:right w:val="nil"/>
            </w:tcBorders>
            <w:shd w:val="clear" w:color="000000" w:fill="365F91"/>
            <w:vAlign w:val="center"/>
            <w:hideMark/>
          </w:tcPr>
          <w:p w14:paraId="4C4AC199" w14:textId="77777777" w:rsidR="00410716" w:rsidRPr="00BE78CA" w:rsidRDefault="00410716" w:rsidP="00C26084">
            <w:pPr>
              <w:pStyle w:val="TableTextBold"/>
              <w:keepNext/>
              <w:jc w:val="right"/>
              <w:rPr>
                <w:noProof w:val="0"/>
                <w:color w:val="FFFFFF"/>
                <w:szCs w:val="16"/>
              </w:rPr>
            </w:pPr>
            <w:r w:rsidRPr="00BE78CA">
              <w:rPr>
                <w:noProof w:val="0"/>
                <w:color w:val="FFFFFF"/>
                <w:szCs w:val="16"/>
              </w:rPr>
              <w:t>2015</w:t>
            </w:r>
          </w:p>
        </w:tc>
        <w:tc>
          <w:tcPr>
            <w:tcW w:w="946" w:type="dxa"/>
            <w:tcBorders>
              <w:top w:val="single" w:sz="8" w:space="0" w:color="365F91"/>
              <w:left w:val="nil"/>
              <w:bottom w:val="single" w:sz="8" w:space="0" w:color="365F91"/>
              <w:right w:val="nil"/>
            </w:tcBorders>
            <w:shd w:val="clear" w:color="000000" w:fill="365F91"/>
            <w:vAlign w:val="center"/>
            <w:hideMark/>
          </w:tcPr>
          <w:p w14:paraId="6AF1DB81" w14:textId="77777777" w:rsidR="00410716" w:rsidRPr="00BE78CA" w:rsidRDefault="00410716" w:rsidP="00C26084">
            <w:pPr>
              <w:pStyle w:val="TableTextBold"/>
              <w:keepNext/>
              <w:jc w:val="right"/>
              <w:rPr>
                <w:noProof w:val="0"/>
                <w:color w:val="FFFFFF"/>
                <w:szCs w:val="16"/>
              </w:rPr>
            </w:pPr>
            <w:r w:rsidRPr="00BE78CA">
              <w:rPr>
                <w:noProof w:val="0"/>
                <w:color w:val="FFFFFF"/>
                <w:szCs w:val="16"/>
              </w:rPr>
              <w:t>2016</w:t>
            </w:r>
          </w:p>
        </w:tc>
        <w:tc>
          <w:tcPr>
            <w:tcW w:w="945" w:type="dxa"/>
            <w:tcBorders>
              <w:top w:val="single" w:sz="8" w:space="0" w:color="365F91"/>
              <w:left w:val="single" w:sz="8" w:space="0" w:color="365F91"/>
              <w:bottom w:val="single" w:sz="8" w:space="0" w:color="365F91"/>
            </w:tcBorders>
            <w:shd w:val="clear" w:color="000000" w:fill="365F91"/>
          </w:tcPr>
          <w:p w14:paraId="5B7EC44B" w14:textId="77777777" w:rsidR="00410716" w:rsidRPr="00BE78CA" w:rsidRDefault="00410716" w:rsidP="00C26084">
            <w:pPr>
              <w:pStyle w:val="TableTextBold"/>
              <w:keepNext/>
              <w:jc w:val="right"/>
              <w:rPr>
                <w:noProof w:val="0"/>
                <w:color w:val="FFFFFF"/>
                <w:szCs w:val="16"/>
              </w:rPr>
            </w:pPr>
            <w:r w:rsidRPr="00BE78CA">
              <w:rPr>
                <w:noProof w:val="0"/>
                <w:color w:val="FFFFFF"/>
                <w:szCs w:val="16"/>
              </w:rPr>
              <w:t>2017</w:t>
            </w:r>
          </w:p>
        </w:tc>
        <w:tc>
          <w:tcPr>
            <w:tcW w:w="981" w:type="dxa"/>
            <w:tcBorders>
              <w:top w:val="single" w:sz="8" w:space="0" w:color="365F91"/>
              <w:left w:val="single" w:sz="8" w:space="0" w:color="365F91"/>
              <w:bottom w:val="single" w:sz="8" w:space="0" w:color="365F91"/>
            </w:tcBorders>
            <w:shd w:val="clear" w:color="000000" w:fill="365F91"/>
          </w:tcPr>
          <w:p w14:paraId="293D68C2" w14:textId="77777777" w:rsidR="00410716" w:rsidRPr="00BE78CA" w:rsidRDefault="00410716" w:rsidP="00C26084">
            <w:pPr>
              <w:pStyle w:val="TableTextBold"/>
              <w:keepNext/>
              <w:jc w:val="right"/>
              <w:rPr>
                <w:noProof w:val="0"/>
                <w:color w:val="FFFFFF"/>
                <w:szCs w:val="16"/>
              </w:rPr>
            </w:pPr>
            <w:r w:rsidRPr="00BE78CA">
              <w:rPr>
                <w:noProof w:val="0"/>
                <w:color w:val="FFFFFF"/>
                <w:szCs w:val="16"/>
              </w:rPr>
              <w:t>2018</w:t>
            </w:r>
          </w:p>
        </w:tc>
        <w:tc>
          <w:tcPr>
            <w:tcW w:w="1134" w:type="dxa"/>
            <w:tcBorders>
              <w:top w:val="single" w:sz="8" w:space="0" w:color="365F91"/>
              <w:left w:val="single" w:sz="8" w:space="0" w:color="365F91"/>
              <w:bottom w:val="single" w:sz="8" w:space="0" w:color="365F91"/>
            </w:tcBorders>
            <w:shd w:val="clear" w:color="000000" w:fill="365F91"/>
          </w:tcPr>
          <w:p w14:paraId="33E8A974" w14:textId="77777777" w:rsidR="00410716" w:rsidRPr="00BE78CA" w:rsidRDefault="00410716" w:rsidP="00C26084">
            <w:pPr>
              <w:pStyle w:val="TableTextBold"/>
              <w:keepNext/>
              <w:jc w:val="right"/>
              <w:rPr>
                <w:noProof w:val="0"/>
                <w:color w:val="FFFFFF"/>
                <w:szCs w:val="16"/>
              </w:rPr>
            </w:pPr>
            <w:r w:rsidRPr="00BE78CA">
              <w:rPr>
                <w:noProof w:val="0"/>
                <w:color w:val="FFFFFF"/>
                <w:szCs w:val="16"/>
              </w:rPr>
              <w:t>2019</w:t>
            </w:r>
          </w:p>
        </w:tc>
      </w:tr>
      <w:tr w:rsidR="00410716" w:rsidRPr="00BE78CA" w14:paraId="4D40B92B" w14:textId="77777777" w:rsidTr="002834E7">
        <w:tc>
          <w:tcPr>
            <w:tcW w:w="1649" w:type="dxa"/>
            <w:tcBorders>
              <w:top w:val="single" w:sz="8" w:space="0" w:color="365F91"/>
              <w:left w:val="nil"/>
              <w:bottom w:val="nil"/>
              <w:right w:val="nil"/>
            </w:tcBorders>
            <w:shd w:val="clear" w:color="auto" w:fill="auto"/>
            <w:vAlign w:val="center"/>
            <w:hideMark/>
          </w:tcPr>
          <w:p w14:paraId="0C36F354" w14:textId="77777777" w:rsidR="00410716" w:rsidRPr="00BE78CA" w:rsidRDefault="00410716" w:rsidP="00C26084">
            <w:pPr>
              <w:pStyle w:val="TableText"/>
              <w:keepNext/>
              <w:rPr>
                <w:szCs w:val="16"/>
              </w:rPr>
            </w:pPr>
            <w:r w:rsidRPr="00BE78CA">
              <w:rPr>
                <w:szCs w:val="16"/>
              </w:rPr>
              <w:t>CEF</w:t>
            </w:r>
            <w:r w:rsidRPr="00BE78CA">
              <w:rPr>
                <w:szCs w:val="16"/>
                <w:vertAlign w:val="subscript"/>
              </w:rPr>
              <w:t>NE</w:t>
            </w:r>
            <w:r w:rsidRPr="00BE78CA">
              <w:rPr>
                <w:szCs w:val="16"/>
              </w:rPr>
              <w:t xml:space="preserve"> area (ha)</w:t>
            </w:r>
          </w:p>
        </w:tc>
        <w:tc>
          <w:tcPr>
            <w:tcW w:w="1001" w:type="dxa"/>
            <w:tcBorders>
              <w:top w:val="single" w:sz="8" w:space="0" w:color="365F91"/>
              <w:left w:val="nil"/>
              <w:bottom w:val="nil"/>
              <w:right w:val="nil"/>
            </w:tcBorders>
            <w:shd w:val="clear" w:color="auto" w:fill="auto"/>
            <w:vAlign w:val="center"/>
            <w:hideMark/>
          </w:tcPr>
          <w:p w14:paraId="33219BC8" w14:textId="77777777" w:rsidR="00410716" w:rsidRPr="00BE78CA" w:rsidRDefault="00410716" w:rsidP="00C26084">
            <w:pPr>
              <w:pStyle w:val="TableText"/>
              <w:keepNext/>
              <w:jc w:val="center"/>
              <w:rPr>
                <w:szCs w:val="16"/>
              </w:rPr>
            </w:pPr>
            <w:r w:rsidRPr="00BE78CA">
              <w:rPr>
                <w:szCs w:val="16"/>
              </w:rPr>
              <w:t>NIL</w:t>
            </w:r>
          </w:p>
        </w:tc>
        <w:tc>
          <w:tcPr>
            <w:tcW w:w="681" w:type="dxa"/>
            <w:tcBorders>
              <w:top w:val="single" w:sz="8" w:space="0" w:color="365F91"/>
              <w:left w:val="nil"/>
              <w:bottom w:val="nil"/>
              <w:right w:val="nil"/>
            </w:tcBorders>
            <w:shd w:val="clear" w:color="auto" w:fill="auto"/>
            <w:hideMark/>
          </w:tcPr>
          <w:p w14:paraId="2B621F53" w14:textId="77777777" w:rsidR="00410716" w:rsidRPr="00BE78CA" w:rsidRDefault="00410716" w:rsidP="00C26084">
            <w:pPr>
              <w:pStyle w:val="TableText"/>
              <w:keepNext/>
              <w:jc w:val="right"/>
              <w:rPr>
                <w:szCs w:val="16"/>
              </w:rPr>
            </w:pPr>
            <w:r w:rsidRPr="00BE78CA">
              <w:t>–</w:t>
            </w:r>
          </w:p>
        </w:tc>
        <w:tc>
          <w:tcPr>
            <w:tcW w:w="919" w:type="dxa"/>
            <w:tcBorders>
              <w:top w:val="single" w:sz="8" w:space="0" w:color="365F91"/>
              <w:left w:val="nil"/>
              <w:bottom w:val="nil"/>
              <w:right w:val="nil"/>
            </w:tcBorders>
            <w:shd w:val="clear" w:color="auto" w:fill="auto"/>
            <w:hideMark/>
          </w:tcPr>
          <w:p w14:paraId="6E587A8E" w14:textId="77777777" w:rsidR="00410716" w:rsidRPr="00BE78CA" w:rsidRDefault="00410716" w:rsidP="00C26084">
            <w:pPr>
              <w:pStyle w:val="TableText"/>
              <w:keepNext/>
              <w:jc w:val="right"/>
              <w:rPr>
                <w:szCs w:val="16"/>
              </w:rPr>
            </w:pPr>
            <w:r w:rsidRPr="00BE78CA">
              <w:t>–</w:t>
            </w:r>
          </w:p>
        </w:tc>
        <w:tc>
          <w:tcPr>
            <w:tcW w:w="946" w:type="dxa"/>
            <w:tcBorders>
              <w:top w:val="single" w:sz="8" w:space="0" w:color="365F91"/>
              <w:left w:val="nil"/>
              <w:bottom w:val="nil"/>
            </w:tcBorders>
            <w:shd w:val="clear" w:color="auto" w:fill="auto"/>
            <w:hideMark/>
          </w:tcPr>
          <w:p w14:paraId="53629DC2" w14:textId="77777777" w:rsidR="00410716" w:rsidRPr="00BE78CA" w:rsidRDefault="00410716" w:rsidP="00C26084">
            <w:pPr>
              <w:pStyle w:val="TableText"/>
              <w:keepNext/>
              <w:jc w:val="right"/>
              <w:rPr>
                <w:szCs w:val="16"/>
              </w:rPr>
            </w:pPr>
            <w:r w:rsidRPr="00BE78CA">
              <w:t xml:space="preserve"> 612.3 </w:t>
            </w:r>
          </w:p>
        </w:tc>
        <w:tc>
          <w:tcPr>
            <w:tcW w:w="945" w:type="dxa"/>
            <w:tcBorders>
              <w:top w:val="single" w:sz="8" w:space="0" w:color="365F91"/>
              <w:left w:val="nil"/>
              <w:bottom w:val="nil"/>
            </w:tcBorders>
          </w:tcPr>
          <w:p w14:paraId="094B0534" w14:textId="77777777" w:rsidR="00410716" w:rsidRPr="00BE78CA" w:rsidRDefault="00410716" w:rsidP="00C26084">
            <w:pPr>
              <w:pStyle w:val="TableText"/>
              <w:keepNext/>
              <w:jc w:val="right"/>
              <w:rPr>
                <w:szCs w:val="16"/>
              </w:rPr>
            </w:pPr>
            <w:r w:rsidRPr="00BE78CA">
              <w:t xml:space="preserve"> 1,685.7 </w:t>
            </w:r>
          </w:p>
        </w:tc>
        <w:tc>
          <w:tcPr>
            <w:tcW w:w="981" w:type="dxa"/>
            <w:tcBorders>
              <w:top w:val="single" w:sz="8" w:space="0" w:color="365F91"/>
              <w:left w:val="nil"/>
              <w:bottom w:val="nil"/>
            </w:tcBorders>
          </w:tcPr>
          <w:p w14:paraId="1E135AAF" w14:textId="77777777" w:rsidR="00410716" w:rsidRPr="00BE78CA" w:rsidRDefault="00410716" w:rsidP="00C26084">
            <w:pPr>
              <w:pStyle w:val="TableText"/>
              <w:keepNext/>
              <w:jc w:val="right"/>
              <w:rPr>
                <w:szCs w:val="16"/>
              </w:rPr>
            </w:pPr>
            <w:r w:rsidRPr="00BE78CA">
              <w:t xml:space="preserve"> 1,795.0 </w:t>
            </w:r>
          </w:p>
        </w:tc>
        <w:tc>
          <w:tcPr>
            <w:tcW w:w="1134" w:type="dxa"/>
            <w:tcBorders>
              <w:top w:val="single" w:sz="8" w:space="0" w:color="365F91"/>
              <w:left w:val="nil"/>
              <w:bottom w:val="nil"/>
            </w:tcBorders>
          </w:tcPr>
          <w:p w14:paraId="678AA74A" w14:textId="77777777" w:rsidR="00410716" w:rsidRPr="00BE78CA" w:rsidRDefault="00410716" w:rsidP="00C26084">
            <w:pPr>
              <w:pStyle w:val="TableText"/>
              <w:keepNext/>
              <w:jc w:val="right"/>
              <w:rPr>
                <w:szCs w:val="16"/>
              </w:rPr>
            </w:pPr>
            <w:r w:rsidRPr="00BE78CA">
              <w:t xml:space="preserve"> 579.7 </w:t>
            </w:r>
          </w:p>
        </w:tc>
      </w:tr>
      <w:tr w:rsidR="00410716" w:rsidRPr="00BE78CA" w14:paraId="7C42FCB6" w14:textId="77777777" w:rsidTr="002834E7">
        <w:tc>
          <w:tcPr>
            <w:tcW w:w="1649" w:type="dxa"/>
            <w:tcBorders>
              <w:top w:val="nil"/>
              <w:left w:val="nil"/>
              <w:bottom w:val="single" w:sz="8" w:space="0" w:color="365F91"/>
              <w:right w:val="nil"/>
            </w:tcBorders>
            <w:shd w:val="clear" w:color="auto" w:fill="auto"/>
            <w:vAlign w:val="center"/>
            <w:hideMark/>
          </w:tcPr>
          <w:p w14:paraId="470C870E" w14:textId="77777777" w:rsidR="00410716" w:rsidRPr="00BE78CA" w:rsidRDefault="00410716" w:rsidP="00C26084">
            <w:pPr>
              <w:pStyle w:val="TableText"/>
              <w:keepNext/>
              <w:rPr>
                <w:szCs w:val="16"/>
              </w:rPr>
            </w:pPr>
            <w:r w:rsidRPr="00BE78CA">
              <w:rPr>
                <w:szCs w:val="16"/>
              </w:rPr>
              <w:t>Net emissions (t CO</w:t>
            </w:r>
            <w:r w:rsidRPr="00BE78CA">
              <w:rPr>
                <w:szCs w:val="16"/>
                <w:vertAlign w:val="subscript"/>
              </w:rPr>
              <w:t>2</w:t>
            </w:r>
            <w:r w:rsidRPr="00BE78CA">
              <w:rPr>
                <w:szCs w:val="16"/>
              </w:rPr>
              <w:t>)</w:t>
            </w:r>
          </w:p>
        </w:tc>
        <w:tc>
          <w:tcPr>
            <w:tcW w:w="1001" w:type="dxa"/>
            <w:tcBorders>
              <w:top w:val="nil"/>
              <w:left w:val="nil"/>
              <w:bottom w:val="single" w:sz="8" w:space="0" w:color="365F91"/>
              <w:right w:val="nil"/>
            </w:tcBorders>
            <w:shd w:val="clear" w:color="auto" w:fill="auto"/>
            <w:vAlign w:val="center"/>
            <w:hideMark/>
          </w:tcPr>
          <w:p w14:paraId="46A5F529" w14:textId="77777777" w:rsidR="00410716" w:rsidRPr="00BE78CA" w:rsidRDefault="00410716" w:rsidP="00C26084">
            <w:pPr>
              <w:pStyle w:val="TableText"/>
              <w:keepNext/>
              <w:jc w:val="center"/>
              <w:rPr>
                <w:szCs w:val="16"/>
              </w:rPr>
            </w:pPr>
            <w:r w:rsidRPr="00BE78CA">
              <w:rPr>
                <w:szCs w:val="16"/>
              </w:rPr>
              <w:t>NA</w:t>
            </w:r>
          </w:p>
        </w:tc>
        <w:tc>
          <w:tcPr>
            <w:tcW w:w="681" w:type="dxa"/>
            <w:tcBorders>
              <w:top w:val="nil"/>
              <w:left w:val="nil"/>
              <w:bottom w:val="single" w:sz="8" w:space="0" w:color="365F91"/>
              <w:right w:val="nil"/>
            </w:tcBorders>
            <w:shd w:val="clear" w:color="auto" w:fill="auto"/>
            <w:hideMark/>
          </w:tcPr>
          <w:p w14:paraId="67BAEDE6" w14:textId="77777777" w:rsidR="00410716" w:rsidRPr="00BE78CA" w:rsidRDefault="00410716" w:rsidP="00C26084">
            <w:pPr>
              <w:pStyle w:val="TableText"/>
              <w:keepNext/>
              <w:jc w:val="right"/>
              <w:rPr>
                <w:szCs w:val="16"/>
              </w:rPr>
            </w:pPr>
            <w:r w:rsidRPr="00BE78CA">
              <w:t>–</w:t>
            </w:r>
          </w:p>
        </w:tc>
        <w:tc>
          <w:tcPr>
            <w:tcW w:w="919" w:type="dxa"/>
            <w:tcBorders>
              <w:top w:val="nil"/>
              <w:left w:val="nil"/>
              <w:bottom w:val="single" w:sz="8" w:space="0" w:color="365F91"/>
              <w:right w:val="nil"/>
            </w:tcBorders>
            <w:shd w:val="clear" w:color="auto" w:fill="auto"/>
            <w:hideMark/>
          </w:tcPr>
          <w:p w14:paraId="09457FC0" w14:textId="77777777" w:rsidR="00410716" w:rsidRPr="00BE78CA" w:rsidRDefault="00410716" w:rsidP="00C26084">
            <w:pPr>
              <w:pStyle w:val="TableText"/>
              <w:keepNext/>
              <w:jc w:val="right"/>
              <w:rPr>
                <w:szCs w:val="16"/>
              </w:rPr>
            </w:pPr>
            <w:r w:rsidRPr="00BE78CA">
              <w:t>–</w:t>
            </w:r>
          </w:p>
        </w:tc>
        <w:tc>
          <w:tcPr>
            <w:tcW w:w="946" w:type="dxa"/>
            <w:tcBorders>
              <w:top w:val="nil"/>
              <w:left w:val="nil"/>
              <w:bottom w:val="single" w:sz="8" w:space="0" w:color="365F91"/>
            </w:tcBorders>
            <w:shd w:val="clear" w:color="auto" w:fill="auto"/>
            <w:hideMark/>
          </w:tcPr>
          <w:p w14:paraId="4A42B181" w14:textId="77777777" w:rsidR="00410716" w:rsidRPr="00BE78CA" w:rsidRDefault="00410716" w:rsidP="00C26084">
            <w:pPr>
              <w:pStyle w:val="TableText"/>
              <w:keepNext/>
              <w:jc w:val="right"/>
              <w:rPr>
                <w:szCs w:val="16"/>
              </w:rPr>
            </w:pPr>
            <w:r w:rsidRPr="00BE78CA">
              <w:t xml:space="preserve">–1.8 </w:t>
            </w:r>
          </w:p>
        </w:tc>
        <w:tc>
          <w:tcPr>
            <w:tcW w:w="945" w:type="dxa"/>
            <w:tcBorders>
              <w:top w:val="nil"/>
              <w:left w:val="nil"/>
              <w:bottom w:val="single" w:sz="8" w:space="0" w:color="365F91"/>
            </w:tcBorders>
          </w:tcPr>
          <w:p w14:paraId="7BA08A03" w14:textId="77777777" w:rsidR="00410716" w:rsidRPr="00BE78CA" w:rsidRDefault="00410716" w:rsidP="00C26084">
            <w:pPr>
              <w:pStyle w:val="TableText"/>
              <w:keepNext/>
              <w:jc w:val="right"/>
              <w:rPr>
                <w:szCs w:val="16"/>
              </w:rPr>
            </w:pPr>
            <w:r w:rsidRPr="00BE78CA">
              <w:t xml:space="preserve"> 18.7 </w:t>
            </w:r>
          </w:p>
        </w:tc>
        <w:tc>
          <w:tcPr>
            <w:tcW w:w="981" w:type="dxa"/>
            <w:tcBorders>
              <w:top w:val="nil"/>
              <w:left w:val="nil"/>
              <w:bottom w:val="single" w:sz="8" w:space="0" w:color="365F91"/>
            </w:tcBorders>
          </w:tcPr>
          <w:p w14:paraId="58DB815C" w14:textId="77777777" w:rsidR="00410716" w:rsidRPr="00BE78CA" w:rsidRDefault="00410716" w:rsidP="00C26084">
            <w:pPr>
              <w:pStyle w:val="TableText"/>
              <w:keepNext/>
              <w:jc w:val="right"/>
              <w:rPr>
                <w:szCs w:val="16"/>
              </w:rPr>
            </w:pPr>
            <w:r w:rsidRPr="00BE78CA">
              <w:t xml:space="preserve"> 0.3 </w:t>
            </w:r>
          </w:p>
        </w:tc>
        <w:tc>
          <w:tcPr>
            <w:tcW w:w="1134" w:type="dxa"/>
            <w:tcBorders>
              <w:top w:val="nil"/>
              <w:left w:val="nil"/>
              <w:bottom w:val="single" w:sz="8" w:space="0" w:color="365F91"/>
            </w:tcBorders>
          </w:tcPr>
          <w:p w14:paraId="77FE9264" w14:textId="77777777" w:rsidR="00410716" w:rsidRPr="00BE78CA" w:rsidRDefault="00410716" w:rsidP="00C26084">
            <w:pPr>
              <w:pStyle w:val="TableText"/>
              <w:keepNext/>
              <w:jc w:val="right"/>
              <w:rPr>
                <w:szCs w:val="16"/>
              </w:rPr>
            </w:pPr>
            <w:r w:rsidRPr="00BE78CA">
              <w:t xml:space="preserve"> 0.8 </w:t>
            </w:r>
          </w:p>
        </w:tc>
      </w:tr>
      <w:tr w:rsidR="00410716" w:rsidRPr="00BE78CA" w14:paraId="1EF3D58B" w14:textId="77777777" w:rsidTr="002834E7">
        <w:tc>
          <w:tcPr>
            <w:tcW w:w="1649" w:type="dxa"/>
            <w:tcBorders>
              <w:top w:val="nil"/>
              <w:left w:val="nil"/>
              <w:bottom w:val="nil"/>
              <w:right w:val="nil"/>
            </w:tcBorders>
            <w:shd w:val="clear" w:color="auto" w:fill="auto"/>
            <w:vAlign w:val="center"/>
            <w:hideMark/>
          </w:tcPr>
          <w:p w14:paraId="30E5D205" w14:textId="77777777" w:rsidR="00410716" w:rsidRPr="00BE78CA" w:rsidRDefault="00410716" w:rsidP="00C26084">
            <w:pPr>
              <w:pStyle w:val="TableText"/>
              <w:rPr>
                <w:szCs w:val="16"/>
              </w:rPr>
            </w:pPr>
            <w:r w:rsidRPr="00BE78CA">
              <w:rPr>
                <w:szCs w:val="16"/>
              </w:rPr>
              <w:t>CEF</w:t>
            </w:r>
            <w:r w:rsidRPr="00BE78CA">
              <w:rPr>
                <w:szCs w:val="16"/>
                <w:vertAlign w:val="subscript"/>
              </w:rPr>
              <w:t xml:space="preserve">HC </w:t>
            </w:r>
            <w:r w:rsidRPr="00BE78CA">
              <w:rPr>
                <w:szCs w:val="16"/>
              </w:rPr>
              <w:t>area (ha)</w:t>
            </w:r>
          </w:p>
        </w:tc>
        <w:tc>
          <w:tcPr>
            <w:tcW w:w="1001" w:type="dxa"/>
            <w:tcBorders>
              <w:top w:val="nil"/>
              <w:left w:val="nil"/>
              <w:bottom w:val="nil"/>
              <w:right w:val="nil"/>
            </w:tcBorders>
            <w:shd w:val="clear" w:color="auto" w:fill="auto"/>
            <w:vAlign w:val="center"/>
            <w:hideMark/>
          </w:tcPr>
          <w:p w14:paraId="7BB6E60D" w14:textId="77777777" w:rsidR="00410716" w:rsidRPr="00BE78CA" w:rsidRDefault="00410716" w:rsidP="00C26084">
            <w:pPr>
              <w:pStyle w:val="TableText"/>
              <w:jc w:val="center"/>
              <w:rPr>
                <w:szCs w:val="16"/>
              </w:rPr>
            </w:pPr>
            <w:r w:rsidRPr="00BE78CA">
              <w:rPr>
                <w:szCs w:val="16"/>
              </w:rPr>
              <w:t>NIL</w:t>
            </w:r>
          </w:p>
        </w:tc>
        <w:tc>
          <w:tcPr>
            <w:tcW w:w="681" w:type="dxa"/>
            <w:tcBorders>
              <w:top w:val="nil"/>
              <w:left w:val="nil"/>
              <w:bottom w:val="nil"/>
              <w:right w:val="nil"/>
            </w:tcBorders>
            <w:shd w:val="clear" w:color="auto" w:fill="auto"/>
            <w:hideMark/>
          </w:tcPr>
          <w:p w14:paraId="32A47191" w14:textId="77777777" w:rsidR="00410716" w:rsidRPr="00BE78CA" w:rsidRDefault="00410716" w:rsidP="00C26084">
            <w:pPr>
              <w:pStyle w:val="TableText"/>
              <w:jc w:val="right"/>
              <w:rPr>
                <w:szCs w:val="16"/>
              </w:rPr>
            </w:pPr>
            <w:r w:rsidRPr="00BE78CA">
              <w:t xml:space="preserve"> 52.0 </w:t>
            </w:r>
          </w:p>
        </w:tc>
        <w:tc>
          <w:tcPr>
            <w:tcW w:w="919" w:type="dxa"/>
            <w:tcBorders>
              <w:top w:val="nil"/>
              <w:left w:val="nil"/>
              <w:bottom w:val="nil"/>
              <w:right w:val="nil"/>
            </w:tcBorders>
            <w:shd w:val="clear" w:color="auto" w:fill="auto"/>
            <w:hideMark/>
          </w:tcPr>
          <w:p w14:paraId="69A5906E" w14:textId="77777777" w:rsidR="00410716" w:rsidRPr="00BE78CA" w:rsidRDefault="00410716" w:rsidP="00C26084">
            <w:pPr>
              <w:pStyle w:val="TableText"/>
              <w:jc w:val="right"/>
              <w:rPr>
                <w:szCs w:val="16"/>
              </w:rPr>
            </w:pPr>
            <w:r w:rsidRPr="00BE78CA">
              <w:t xml:space="preserve"> 543.4 </w:t>
            </w:r>
          </w:p>
        </w:tc>
        <w:tc>
          <w:tcPr>
            <w:tcW w:w="946" w:type="dxa"/>
            <w:tcBorders>
              <w:top w:val="nil"/>
              <w:left w:val="nil"/>
              <w:bottom w:val="nil"/>
            </w:tcBorders>
            <w:shd w:val="clear" w:color="auto" w:fill="auto"/>
            <w:hideMark/>
          </w:tcPr>
          <w:p w14:paraId="0FA2B41D" w14:textId="77777777" w:rsidR="00410716" w:rsidRPr="00BE78CA" w:rsidRDefault="00410716" w:rsidP="00C26084">
            <w:pPr>
              <w:pStyle w:val="TableText"/>
              <w:keepNext/>
              <w:jc w:val="right"/>
              <w:rPr>
                <w:szCs w:val="16"/>
              </w:rPr>
            </w:pPr>
            <w:r w:rsidRPr="00BE78CA">
              <w:t xml:space="preserve"> 1,470.8 </w:t>
            </w:r>
          </w:p>
        </w:tc>
        <w:tc>
          <w:tcPr>
            <w:tcW w:w="945" w:type="dxa"/>
            <w:tcBorders>
              <w:top w:val="nil"/>
              <w:left w:val="nil"/>
              <w:bottom w:val="nil"/>
            </w:tcBorders>
          </w:tcPr>
          <w:p w14:paraId="6FE48271" w14:textId="77777777" w:rsidR="00410716" w:rsidRPr="00BE78CA" w:rsidRDefault="00410716" w:rsidP="00C26084">
            <w:pPr>
              <w:pStyle w:val="TableText"/>
              <w:jc w:val="right"/>
              <w:rPr>
                <w:szCs w:val="16"/>
              </w:rPr>
            </w:pPr>
            <w:r w:rsidRPr="00BE78CA">
              <w:t xml:space="preserve"> 1,181.3 </w:t>
            </w:r>
          </w:p>
        </w:tc>
        <w:tc>
          <w:tcPr>
            <w:tcW w:w="981" w:type="dxa"/>
            <w:tcBorders>
              <w:top w:val="nil"/>
              <w:left w:val="nil"/>
              <w:bottom w:val="nil"/>
            </w:tcBorders>
          </w:tcPr>
          <w:p w14:paraId="2C6D14F3" w14:textId="77777777" w:rsidR="00410716" w:rsidRPr="00BE78CA" w:rsidRDefault="00410716" w:rsidP="00C26084">
            <w:pPr>
              <w:pStyle w:val="TableText"/>
              <w:jc w:val="right"/>
              <w:rPr>
                <w:szCs w:val="16"/>
              </w:rPr>
            </w:pPr>
            <w:r w:rsidRPr="00BE78CA">
              <w:t xml:space="preserve"> 404.4 </w:t>
            </w:r>
          </w:p>
        </w:tc>
        <w:tc>
          <w:tcPr>
            <w:tcW w:w="1134" w:type="dxa"/>
            <w:tcBorders>
              <w:top w:val="nil"/>
              <w:left w:val="nil"/>
              <w:bottom w:val="nil"/>
            </w:tcBorders>
          </w:tcPr>
          <w:p w14:paraId="6FC97754" w14:textId="77777777" w:rsidR="00410716" w:rsidRPr="00BE78CA" w:rsidRDefault="00410716" w:rsidP="00C26084">
            <w:pPr>
              <w:pStyle w:val="TableText"/>
              <w:jc w:val="right"/>
              <w:rPr>
                <w:szCs w:val="16"/>
              </w:rPr>
            </w:pPr>
            <w:r w:rsidRPr="00BE78CA">
              <w:t xml:space="preserve"> 56.4 </w:t>
            </w:r>
          </w:p>
        </w:tc>
      </w:tr>
      <w:tr w:rsidR="00410716" w:rsidRPr="00BE78CA" w14:paraId="2A1F633C" w14:textId="77777777" w:rsidTr="002834E7">
        <w:tc>
          <w:tcPr>
            <w:tcW w:w="1649" w:type="dxa"/>
            <w:tcBorders>
              <w:top w:val="nil"/>
              <w:left w:val="nil"/>
              <w:bottom w:val="single" w:sz="4" w:space="0" w:color="365F91"/>
              <w:right w:val="nil"/>
            </w:tcBorders>
            <w:shd w:val="clear" w:color="auto" w:fill="auto"/>
            <w:vAlign w:val="center"/>
            <w:hideMark/>
          </w:tcPr>
          <w:p w14:paraId="0B53EB13" w14:textId="77777777" w:rsidR="00410716" w:rsidRPr="00BE78CA" w:rsidRDefault="00410716" w:rsidP="00C26084">
            <w:pPr>
              <w:pStyle w:val="TableText"/>
              <w:rPr>
                <w:szCs w:val="16"/>
              </w:rPr>
            </w:pPr>
            <w:r w:rsidRPr="00BE78CA">
              <w:rPr>
                <w:szCs w:val="16"/>
              </w:rPr>
              <w:t>Net emissions (t CO</w:t>
            </w:r>
            <w:r w:rsidRPr="00BE78CA">
              <w:rPr>
                <w:szCs w:val="16"/>
                <w:vertAlign w:val="subscript"/>
              </w:rPr>
              <w:t>2</w:t>
            </w:r>
            <w:r w:rsidRPr="00BE78CA">
              <w:rPr>
                <w:szCs w:val="16"/>
              </w:rPr>
              <w:t>)</w:t>
            </w:r>
          </w:p>
        </w:tc>
        <w:tc>
          <w:tcPr>
            <w:tcW w:w="1001" w:type="dxa"/>
            <w:tcBorders>
              <w:top w:val="nil"/>
              <w:left w:val="nil"/>
              <w:bottom w:val="single" w:sz="4" w:space="0" w:color="365F91"/>
              <w:right w:val="nil"/>
            </w:tcBorders>
            <w:shd w:val="clear" w:color="auto" w:fill="auto"/>
            <w:vAlign w:val="center"/>
            <w:hideMark/>
          </w:tcPr>
          <w:p w14:paraId="2D6DE682" w14:textId="77777777" w:rsidR="00410716" w:rsidRPr="00BE78CA" w:rsidRDefault="00410716" w:rsidP="00C26084">
            <w:pPr>
              <w:pStyle w:val="TableText"/>
              <w:jc w:val="center"/>
              <w:rPr>
                <w:szCs w:val="16"/>
              </w:rPr>
            </w:pPr>
            <w:r w:rsidRPr="00BE78CA">
              <w:rPr>
                <w:szCs w:val="16"/>
              </w:rPr>
              <w:t>NA</w:t>
            </w:r>
          </w:p>
        </w:tc>
        <w:tc>
          <w:tcPr>
            <w:tcW w:w="681" w:type="dxa"/>
            <w:tcBorders>
              <w:top w:val="nil"/>
              <w:left w:val="nil"/>
              <w:bottom w:val="single" w:sz="4" w:space="0" w:color="365F91"/>
              <w:right w:val="nil"/>
            </w:tcBorders>
            <w:shd w:val="clear" w:color="auto" w:fill="auto"/>
            <w:hideMark/>
          </w:tcPr>
          <w:p w14:paraId="6C30E250" w14:textId="77777777" w:rsidR="00410716" w:rsidRPr="00BE78CA" w:rsidRDefault="00410716" w:rsidP="00C26084">
            <w:pPr>
              <w:pStyle w:val="TableText"/>
              <w:jc w:val="right"/>
              <w:rPr>
                <w:szCs w:val="16"/>
              </w:rPr>
            </w:pPr>
            <w:r w:rsidRPr="00BE78CA">
              <w:t xml:space="preserve"> 40.9 </w:t>
            </w:r>
          </w:p>
        </w:tc>
        <w:tc>
          <w:tcPr>
            <w:tcW w:w="919" w:type="dxa"/>
            <w:tcBorders>
              <w:top w:val="nil"/>
              <w:left w:val="nil"/>
              <w:bottom w:val="single" w:sz="4" w:space="0" w:color="365F91"/>
              <w:right w:val="nil"/>
            </w:tcBorders>
            <w:shd w:val="clear" w:color="auto" w:fill="auto"/>
            <w:hideMark/>
          </w:tcPr>
          <w:p w14:paraId="2A671624" w14:textId="77777777" w:rsidR="00410716" w:rsidRPr="00BE78CA" w:rsidRDefault="00410716" w:rsidP="00C26084">
            <w:pPr>
              <w:pStyle w:val="TableText"/>
              <w:jc w:val="right"/>
              <w:rPr>
                <w:szCs w:val="16"/>
              </w:rPr>
            </w:pPr>
            <w:r w:rsidRPr="00BE78CA">
              <w:t xml:space="preserve"> 428.6 </w:t>
            </w:r>
          </w:p>
        </w:tc>
        <w:tc>
          <w:tcPr>
            <w:tcW w:w="946" w:type="dxa"/>
            <w:tcBorders>
              <w:top w:val="nil"/>
              <w:left w:val="nil"/>
              <w:bottom w:val="single" w:sz="4" w:space="0" w:color="365F91"/>
            </w:tcBorders>
            <w:shd w:val="clear" w:color="auto" w:fill="auto"/>
            <w:hideMark/>
          </w:tcPr>
          <w:p w14:paraId="4FC93F50" w14:textId="77777777" w:rsidR="00410716" w:rsidRPr="00BE78CA" w:rsidRDefault="00410716" w:rsidP="00C26084">
            <w:pPr>
              <w:pStyle w:val="TableText"/>
              <w:keepNext/>
              <w:jc w:val="right"/>
              <w:rPr>
                <w:szCs w:val="16"/>
              </w:rPr>
            </w:pPr>
            <w:r w:rsidRPr="00BE78CA">
              <w:t xml:space="preserve"> 1,159.4 </w:t>
            </w:r>
          </w:p>
        </w:tc>
        <w:tc>
          <w:tcPr>
            <w:tcW w:w="945" w:type="dxa"/>
            <w:tcBorders>
              <w:top w:val="nil"/>
              <w:left w:val="nil"/>
              <w:bottom w:val="single" w:sz="4" w:space="0" w:color="365F91"/>
            </w:tcBorders>
          </w:tcPr>
          <w:p w14:paraId="768ED0E7" w14:textId="77777777" w:rsidR="00410716" w:rsidRPr="00BE78CA" w:rsidRDefault="00410716" w:rsidP="00C26084">
            <w:pPr>
              <w:pStyle w:val="TableText"/>
              <w:jc w:val="right"/>
              <w:rPr>
                <w:szCs w:val="16"/>
              </w:rPr>
            </w:pPr>
            <w:r w:rsidRPr="00BE78CA">
              <w:t xml:space="preserve"> 1,091.7 </w:t>
            </w:r>
          </w:p>
        </w:tc>
        <w:tc>
          <w:tcPr>
            <w:tcW w:w="981" w:type="dxa"/>
            <w:tcBorders>
              <w:top w:val="nil"/>
              <w:left w:val="nil"/>
              <w:bottom w:val="single" w:sz="4" w:space="0" w:color="365F91"/>
            </w:tcBorders>
          </w:tcPr>
          <w:p w14:paraId="5FF11CE3" w14:textId="77777777" w:rsidR="00410716" w:rsidRPr="00BE78CA" w:rsidRDefault="00410716" w:rsidP="00C26084">
            <w:pPr>
              <w:pStyle w:val="TableText"/>
              <w:jc w:val="right"/>
              <w:rPr>
                <w:szCs w:val="16"/>
              </w:rPr>
            </w:pPr>
            <w:r w:rsidRPr="00BE78CA">
              <w:t xml:space="preserve"> 367.6 </w:t>
            </w:r>
          </w:p>
        </w:tc>
        <w:tc>
          <w:tcPr>
            <w:tcW w:w="1134" w:type="dxa"/>
            <w:tcBorders>
              <w:top w:val="nil"/>
              <w:left w:val="nil"/>
              <w:bottom w:val="single" w:sz="4" w:space="0" w:color="365F91"/>
            </w:tcBorders>
          </w:tcPr>
          <w:p w14:paraId="3FEE0AC1" w14:textId="77777777" w:rsidR="00410716" w:rsidRPr="00BE78CA" w:rsidRDefault="00410716" w:rsidP="00C26084">
            <w:pPr>
              <w:pStyle w:val="TableText"/>
              <w:jc w:val="right"/>
              <w:rPr>
                <w:szCs w:val="16"/>
              </w:rPr>
            </w:pPr>
            <w:r w:rsidRPr="00BE78CA">
              <w:t xml:space="preserve"> 43.6 </w:t>
            </w:r>
          </w:p>
        </w:tc>
      </w:tr>
      <w:tr w:rsidR="00410716" w:rsidRPr="00BE78CA" w14:paraId="4DD0ABAB" w14:textId="77777777" w:rsidTr="002834E7">
        <w:tc>
          <w:tcPr>
            <w:tcW w:w="1649" w:type="dxa"/>
            <w:tcBorders>
              <w:top w:val="single" w:sz="4" w:space="0" w:color="365F91"/>
              <w:left w:val="nil"/>
              <w:bottom w:val="single" w:sz="4" w:space="0" w:color="365F91"/>
              <w:right w:val="nil"/>
            </w:tcBorders>
            <w:shd w:val="clear" w:color="auto" w:fill="auto"/>
            <w:vAlign w:val="center"/>
            <w:hideMark/>
          </w:tcPr>
          <w:p w14:paraId="112EB577" w14:textId="77777777" w:rsidR="00410716" w:rsidRPr="00BE78CA" w:rsidRDefault="00410716" w:rsidP="00C26084">
            <w:pPr>
              <w:pStyle w:val="TableText"/>
              <w:rPr>
                <w:b/>
                <w:bCs/>
                <w:color w:val="1F497D"/>
                <w:szCs w:val="16"/>
              </w:rPr>
            </w:pPr>
            <w:r w:rsidRPr="00BE78CA">
              <w:rPr>
                <w:b/>
                <w:bCs/>
                <w:color w:val="1F497D"/>
                <w:szCs w:val="16"/>
              </w:rPr>
              <w:t>Total (kt CO</w:t>
            </w:r>
            <w:r w:rsidRPr="00BE78CA">
              <w:rPr>
                <w:b/>
                <w:bCs/>
                <w:color w:val="1F497D"/>
                <w:szCs w:val="16"/>
                <w:vertAlign w:val="subscript"/>
              </w:rPr>
              <w:t>2</w:t>
            </w:r>
            <w:r w:rsidRPr="00BE78CA">
              <w:rPr>
                <w:b/>
                <w:bCs/>
                <w:color w:val="1F497D"/>
                <w:szCs w:val="16"/>
              </w:rPr>
              <w:t>)</w:t>
            </w:r>
          </w:p>
        </w:tc>
        <w:tc>
          <w:tcPr>
            <w:tcW w:w="1001" w:type="dxa"/>
            <w:tcBorders>
              <w:top w:val="single" w:sz="4" w:space="0" w:color="365F91"/>
              <w:left w:val="nil"/>
              <w:bottom w:val="single" w:sz="4" w:space="0" w:color="365F91"/>
              <w:right w:val="nil"/>
            </w:tcBorders>
            <w:shd w:val="clear" w:color="auto" w:fill="auto"/>
            <w:vAlign w:val="center"/>
            <w:hideMark/>
          </w:tcPr>
          <w:p w14:paraId="47F44057" w14:textId="77777777" w:rsidR="00410716" w:rsidRPr="00BE78CA" w:rsidRDefault="00410716" w:rsidP="00C26084">
            <w:pPr>
              <w:pStyle w:val="TableText"/>
              <w:jc w:val="center"/>
              <w:rPr>
                <w:b/>
                <w:bCs/>
                <w:color w:val="1F497D"/>
                <w:szCs w:val="16"/>
              </w:rPr>
            </w:pPr>
            <w:r w:rsidRPr="00BE78CA">
              <w:rPr>
                <w:b/>
                <w:bCs/>
                <w:color w:val="1F497D"/>
                <w:szCs w:val="16"/>
              </w:rPr>
              <w:t>NA</w:t>
            </w:r>
          </w:p>
        </w:tc>
        <w:tc>
          <w:tcPr>
            <w:tcW w:w="681" w:type="dxa"/>
            <w:tcBorders>
              <w:top w:val="single" w:sz="4" w:space="0" w:color="365F91"/>
              <w:left w:val="nil"/>
              <w:bottom w:val="single" w:sz="4" w:space="0" w:color="365F91"/>
              <w:right w:val="nil"/>
            </w:tcBorders>
            <w:shd w:val="clear" w:color="auto" w:fill="auto"/>
            <w:hideMark/>
          </w:tcPr>
          <w:p w14:paraId="00552698" w14:textId="77777777" w:rsidR="00410716" w:rsidRPr="00BE78CA" w:rsidRDefault="00410716" w:rsidP="00C26084">
            <w:pPr>
              <w:pStyle w:val="Tableboldblue"/>
              <w:jc w:val="right"/>
              <w:rPr>
                <w:bCs/>
                <w:color w:val="1F497D"/>
                <w:lang w:eastAsia="en-NZ"/>
              </w:rPr>
            </w:pPr>
            <w:r w:rsidRPr="00BE78CA">
              <w:t xml:space="preserve"> 40.9 </w:t>
            </w:r>
          </w:p>
        </w:tc>
        <w:tc>
          <w:tcPr>
            <w:tcW w:w="919" w:type="dxa"/>
            <w:tcBorders>
              <w:top w:val="single" w:sz="4" w:space="0" w:color="365F91"/>
              <w:left w:val="nil"/>
              <w:bottom w:val="single" w:sz="4" w:space="0" w:color="365F91"/>
              <w:right w:val="nil"/>
            </w:tcBorders>
            <w:shd w:val="clear" w:color="auto" w:fill="auto"/>
            <w:hideMark/>
          </w:tcPr>
          <w:p w14:paraId="5DB658A7" w14:textId="77777777" w:rsidR="00410716" w:rsidRPr="00BE78CA" w:rsidRDefault="00410716" w:rsidP="00C26084">
            <w:pPr>
              <w:pStyle w:val="Tableboldblue"/>
              <w:jc w:val="right"/>
              <w:rPr>
                <w:bCs/>
                <w:color w:val="1F497D"/>
                <w:lang w:eastAsia="en-NZ"/>
              </w:rPr>
            </w:pPr>
            <w:r w:rsidRPr="00BE78CA">
              <w:t xml:space="preserve"> 428.6 </w:t>
            </w:r>
          </w:p>
        </w:tc>
        <w:tc>
          <w:tcPr>
            <w:tcW w:w="946" w:type="dxa"/>
            <w:tcBorders>
              <w:top w:val="single" w:sz="4" w:space="0" w:color="365F91"/>
              <w:left w:val="nil"/>
              <w:bottom w:val="single" w:sz="4" w:space="0" w:color="365F91"/>
            </w:tcBorders>
            <w:shd w:val="clear" w:color="auto" w:fill="auto"/>
            <w:hideMark/>
          </w:tcPr>
          <w:p w14:paraId="3773EACB" w14:textId="77777777" w:rsidR="00410716" w:rsidRPr="00BE78CA" w:rsidRDefault="00410716" w:rsidP="00C26084">
            <w:pPr>
              <w:pStyle w:val="Tableboldblue"/>
              <w:jc w:val="right"/>
              <w:rPr>
                <w:bCs/>
                <w:color w:val="1F497D"/>
                <w:lang w:eastAsia="en-NZ"/>
              </w:rPr>
            </w:pPr>
            <w:r w:rsidRPr="00BE78CA">
              <w:t xml:space="preserve"> 1,157.6 </w:t>
            </w:r>
          </w:p>
        </w:tc>
        <w:tc>
          <w:tcPr>
            <w:tcW w:w="945" w:type="dxa"/>
            <w:tcBorders>
              <w:top w:val="single" w:sz="4" w:space="0" w:color="365F91"/>
              <w:left w:val="nil"/>
              <w:bottom w:val="single" w:sz="4" w:space="0" w:color="365F91"/>
            </w:tcBorders>
          </w:tcPr>
          <w:p w14:paraId="750333BA" w14:textId="77777777" w:rsidR="00410716" w:rsidRPr="00BE78CA" w:rsidRDefault="00410716" w:rsidP="00C26084">
            <w:pPr>
              <w:pStyle w:val="Tableboldblue"/>
              <w:jc w:val="right"/>
              <w:rPr>
                <w:bCs/>
                <w:color w:val="1F497D"/>
                <w:lang w:eastAsia="en-NZ"/>
              </w:rPr>
            </w:pPr>
            <w:r w:rsidRPr="00BE78CA">
              <w:t xml:space="preserve"> 1,110.4 </w:t>
            </w:r>
          </w:p>
        </w:tc>
        <w:tc>
          <w:tcPr>
            <w:tcW w:w="981" w:type="dxa"/>
            <w:tcBorders>
              <w:top w:val="single" w:sz="4" w:space="0" w:color="365F91"/>
              <w:left w:val="nil"/>
              <w:bottom w:val="single" w:sz="4" w:space="0" w:color="365F91"/>
            </w:tcBorders>
          </w:tcPr>
          <w:p w14:paraId="16E45970" w14:textId="77777777" w:rsidR="00410716" w:rsidRPr="00BE78CA" w:rsidRDefault="00410716" w:rsidP="00C26084">
            <w:pPr>
              <w:pStyle w:val="Tableboldblue"/>
              <w:jc w:val="right"/>
              <w:rPr>
                <w:bCs/>
                <w:color w:val="1F497D"/>
                <w:lang w:eastAsia="en-NZ"/>
              </w:rPr>
            </w:pPr>
            <w:r w:rsidRPr="00BE78CA">
              <w:t xml:space="preserve"> 368.0 </w:t>
            </w:r>
          </w:p>
        </w:tc>
        <w:tc>
          <w:tcPr>
            <w:tcW w:w="1134" w:type="dxa"/>
            <w:tcBorders>
              <w:top w:val="single" w:sz="4" w:space="0" w:color="365F91"/>
              <w:left w:val="nil"/>
              <w:bottom w:val="single" w:sz="4" w:space="0" w:color="365F91"/>
            </w:tcBorders>
          </w:tcPr>
          <w:p w14:paraId="5147E2B2" w14:textId="77777777" w:rsidR="00410716" w:rsidRPr="00BE78CA" w:rsidRDefault="00410716" w:rsidP="00C26084">
            <w:pPr>
              <w:pStyle w:val="Tableboldblue"/>
              <w:jc w:val="right"/>
            </w:pPr>
            <w:r w:rsidRPr="00BE78CA">
              <w:t xml:space="preserve"> 44.4 </w:t>
            </w:r>
          </w:p>
        </w:tc>
      </w:tr>
    </w:tbl>
    <w:p w14:paraId="59569344" w14:textId="77777777" w:rsidR="00410716" w:rsidRPr="00BE78CA" w:rsidRDefault="00410716" w:rsidP="00410716">
      <w:pPr>
        <w:pStyle w:val="Noteundertable"/>
        <w:rPr>
          <w:rFonts w:cs="Arial"/>
          <w:color w:val="000000"/>
          <w:szCs w:val="18"/>
        </w:rPr>
      </w:pPr>
      <w:r w:rsidRPr="00BE78CA">
        <w:rPr>
          <w:b/>
        </w:rPr>
        <w:t>Note</w:t>
      </w:r>
      <w:r w:rsidRPr="00BE78CA">
        <w:t xml:space="preserve">: </w:t>
      </w:r>
      <w:r w:rsidRPr="00BE78CA">
        <w:tab/>
      </w:r>
      <w:r w:rsidRPr="00BE78CA">
        <w:rPr>
          <w:rFonts w:cs="Arial"/>
          <w:color w:val="000000"/>
          <w:szCs w:val="18"/>
        </w:rPr>
        <w:t>CEF</w:t>
      </w:r>
      <w:r w:rsidRPr="00BE78CA">
        <w:rPr>
          <w:rFonts w:cs="Arial"/>
          <w:color w:val="000000"/>
          <w:szCs w:val="18"/>
          <w:vertAlign w:val="subscript"/>
        </w:rPr>
        <w:t>HC</w:t>
      </w:r>
      <w:r w:rsidRPr="00BE78CA">
        <w:rPr>
          <w:rFonts w:cs="Arial"/>
          <w:color w:val="000000"/>
          <w:szCs w:val="18"/>
        </w:rPr>
        <w:t xml:space="preserve"> refers to the existing forest land that is harvested and converted to non-forest land; CEF</w:t>
      </w:r>
      <w:r w:rsidRPr="00BE78CA">
        <w:rPr>
          <w:rFonts w:cs="Arial"/>
          <w:color w:val="000000"/>
          <w:szCs w:val="18"/>
          <w:vertAlign w:val="subscript"/>
        </w:rPr>
        <w:t>NE</w:t>
      </w:r>
      <w:r w:rsidRPr="00BE78CA">
        <w:rPr>
          <w:szCs w:val="18"/>
        </w:rPr>
        <w:t xml:space="preserve"> </w:t>
      </w:r>
      <w:r w:rsidRPr="00BE78CA">
        <w:rPr>
          <w:rFonts w:cs="Arial"/>
          <w:color w:val="000000"/>
          <w:szCs w:val="18"/>
        </w:rPr>
        <w:t>refers to the non-forest land on which a forest is newly established. NA = not available. Columns may not total due to rounding. Disaggregated data on the application of the provision are provided in annex 5.3.</w:t>
      </w:r>
    </w:p>
    <w:p w14:paraId="695C70DE" w14:textId="77777777" w:rsidR="00410716" w:rsidRPr="00BE78CA" w:rsidRDefault="00410716" w:rsidP="00410716">
      <w:pPr>
        <w:pStyle w:val="BodyText"/>
      </w:pPr>
      <w:r w:rsidRPr="00BE78CA">
        <w:lastRenderedPageBreak/>
        <w:t xml:space="preserve">The carbon equivalent forest provision is administered domestically by the New Zealand Ministry for Primary Industries as part of the NZ ETS. The domestic carbon equivalent forest rules are broadly aligned with those in the Kyoto Protocol Supplement (IPCC, 2014a). Misalignments between the domestic and international rule sets include: </w:t>
      </w:r>
    </w:p>
    <w:p w14:paraId="1A62D456" w14:textId="77777777" w:rsidR="00410716" w:rsidRPr="00BE78CA" w:rsidRDefault="00410716" w:rsidP="00410716">
      <w:pPr>
        <w:pStyle w:val="Bullet"/>
      </w:pPr>
      <w:r w:rsidRPr="00BE78CA">
        <w:t xml:space="preserve">domestically, the carbon equivalent forest can be established before the forest land is converted to another land use, and </w:t>
      </w:r>
    </w:p>
    <w:p w14:paraId="5C7898FE" w14:textId="77777777" w:rsidR="00410716" w:rsidRPr="00BE78CA" w:rsidRDefault="00410716" w:rsidP="00410716">
      <w:pPr>
        <w:pStyle w:val="Bullet"/>
        <w:numPr>
          <w:ilvl w:val="0"/>
          <w:numId w:val="25"/>
        </w:numPr>
      </w:pPr>
      <w:r w:rsidRPr="00BE78CA">
        <w:t xml:space="preserve">the newly established carbon equivalent forest can be established on land that was forested on 31 December 1989. </w:t>
      </w:r>
    </w:p>
    <w:p w14:paraId="1992397E" w14:textId="77777777" w:rsidR="00410716" w:rsidRPr="00BE78CA" w:rsidRDefault="00410716" w:rsidP="00410716">
      <w:pPr>
        <w:pStyle w:val="BodyText"/>
      </w:pPr>
      <w:r w:rsidRPr="00BE78CA">
        <w:t>Where these misalignments are detected, these activities are instead reported as separate afforestation and deforestation events.</w:t>
      </w:r>
    </w:p>
    <w:p w14:paraId="19B45BDC" w14:textId="77777777" w:rsidR="00410716" w:rsidRPr="00BE78CA" w:rsidRDefault="00410716" w:rsidP="00410716">
      <w:pPr>
        <w:pStyle w:val="BodyText"/>
      </w:pPr>
      <w:r w:rsidRPr="00BE78CA">
        <w:t xml:space="preserve">Emissions from the conversion of forest land under the carbon equivalent forest provision are calculated as a deforestation event. In calculating these emissions, all biomass is instantly emitted at the time of conversion and soil organic carbon changes due to land-use change are accounted for. The emissions from the establishment of the new forest under the provision are calculated as an afforestation event and include biomass loss and soil organic carbon changes resulting from this land-use change. Net emissions from the activities are reported under </w:t>
      </w:r>
      <w:r w:rsidRPr="00BE78CA">
        <w:rPr>
          <w:i/>
        </w:rPr>
        <w:t>Forest management</w:t>
      </w:r>
      <w:r w:rsidRPr="00BE78CA">
        <w:t xml:space="preserve"> and monitored over time to ensure carbon equivalence.</w:t>
      </w:r>
    </w:p>
    <w:p w14:paraId="3734CC88" w14:textId="764A58FD" w:rsidR="00410716" w:rsidRPr="00BE78CA" w:rsidRDefault="00410716" w:rsidP="00410716">
      <w:pPr>
        <w:pStyle w:val="BodyText"/>
      </w:pPr>
      <w:r w:rsidRPr="00BE78CA">
        <w:t>The carbon equivalent forest provision creates a misalignment for the afforestation and deforestation area reported under the Decision 2/CMP.7 and 2013 supplementary Kyoto Protocol guidelines and the reporting under the 2006 Intergovernmental Panel on Climate Change (IPCC) Guidelines. The carbon equivalent forest provision is not recognised under the</w:t>
      </w:r>
      <w:r w:rsidR="002834E7" w:rsidRPr="00BE78CA">
        <w:t> </w:t>
      </w:r>
      <w:r w:rsidRPr="00BE78CA">
        <w:t xml:space="preserve">UNFCCC and is reported as </w:t>
      </w:r>
      <w:r w:rsidRPr="00BE78CA">
        <w:rPr>
          <w:i/>
        </w:rPr>
        <w:t>Land converted to forest land</w:t>
      </w:r>
      <w:r w:rsidRPr="00BE78CA">
        <w:t xml:space="preserve"> (afforestation) and </w:t>
      </w:r>
      <w:r w:rsidRPr="00BE78CA">
        <w:rPr>
          <w:i/>
        </w:rPr>
        <w:t>Forest land converted to other land uses</w:t>
      </w:r>
      <w:r w:rsidRPr="00BE78CA">
        <w:t xml:space="preserve"> (deforestation). </w:t>
      </w:r>
    </w:p>
    <w:p w14:paraId="7F974D6D" w14:textId="77777777" w:rsidR="00410716" w:rsidRPr="00BE78CA" w:rsidRDefault="00410716" w:rsidP="00410716">
      <w:pPr>
        <w:pStyle w:val="Heading3"/>
      </w:pPr>
      <w:r w:rsidRPr="00BE78CA">
        <w:t>11.3.5</w:t>
      </w:r>
      <w:r w:rsidRPr="00BE78CA">
        <w:tab/>
        <w:t>Voluntary activities under Article 3.4</w:t>
      </w:r>
    </w:p>
    <w:p w14:paraId="6A824E7F" w14:textId="77777777" w:rsidR="00410716" w:rsidRPr="00BE78CA" w:rsidRDefault="00410716" w:rsidP="00410716">
      <w:pPr>
        <w:pStyle w:val="BodyText"/>
      </w:pPr>
      <w:r w:rsidRPr="00BE78CA">
        <w:t>New Zealand has not elected to report on any voluntary activities under Article 3.4 of the Kyoto Protocol.</w:t>
      </w:r>
    </w:p>
    <w:p w14:paraId="240A60BD" w14:textId="77777777" w:rsidR="00410716" w:rsidRPr="00BE78CA" w:rsidRDefault="00410716" w:rsidP="00410716">
      <w:pPr>
        <w:pStyle w:val="Heading3"/>
      </w:pPr>
      <w:r w:rsidRPr="00BE78CA">
        <w:t>11.3.6</w:t>
      </w:r>
      <w:r w:rsidRPr="00BE78CA">
        <w:tab/>
        <w:t>Harvested wood products (CRF 4(KP-I)C)</w:t>
      </w:r>
    </w:p>
    <w:p w14:paraId="3D2DFD24" w14:textId="77777777" w:rsidR="00410716" w:rsidRPr="00BE78CA" w:rsidRDefault="00410716" w:rsidP="00410716">
      <w:pPr>
        <w:pStyle w:val="BodyText"/>
      </w:pPr>
      <w:r w:rsidRPr="00BE78CA">
        <w:t xml:space="preserve">The </w:t>
      </w:r>
      <w:r w:rsidRPr="00BE78CA">
        <w:rPr>
          <w:i/>
        </w:rPr>
        <w:t>Harvested wood products</w:t>
      </w:r>
      <w:r w:rsidRPr="00BE78CA">
        <w:t xml:space="preserve"> category comprises all wood material that leaves a harvest site and is subsequently processed. This wood constitutes a carbon reservoir (section 12.1, IPCC, 2006a). </w:t>
      </w:r>
    </w:p>
    <w:p w14:paraId="285516AF" w14:textId="77777777" w:rsidR="00410716" w:rsidRPr="00BE78CA" w:rsidRDefault="00410716" w:rsidP="00410716">
      <w:pPr>
        <w:pStyle w:val="BodyText"/>
      </w:pPr>
      <w:r w:rsidRPr="00BE78CA">
        <w:t xml:space="preserve">New Zealand is required to report changes in the harvested wood products pool under the Kyoto Protocol from 2013. For </w:t>
      </w:r>
      <w:r w:rsidRPr="00BE78CA">
        <w:rPr>
          <w:i/>
        </w:rPr>
        <w:t>Afforestation and reforestation</w:t>
      </w:r>
      <w:r w:rsidRPr="00BE78CA">
        <w:t xml:space="preserve"> and </w:t>
      </w:r>
      <w:r w:rsidRPr="00BE78CA">
        <w:rPr>
          <w:i/>
        </w:rPr>
        <w:t>Forest management</w:t>
      </w:r>
      <w:r w:rsidRPr="00BE78CA">
        <w:t xml:space="preserve">, estimates are derived from a modified IPCC Convention reporting model. The emissions from </w:t>
      </w:r>
      <w:r w:rsidRPr="00BE78CA">
        <w:rPr>
          <w:i/>
        </w:rPr>
        <w:t>Harvested wood products</w:t>
      </w:r>
      <w:r w:rsidRPr="00BE78CA">
        <w:t xml:space="preserve"> originating from </w:t>
      </w:r>
      <w:r w:rsidRPr="00BE78CA">
        <w:rPr>
          <w:i/>
        </w:rPr>
        <w:t>Deforestation</w:t>
      </w:r>
      <w:r w:rsidRPr="00BE78CA">
        <w:t xml:space="preserve"> activities are instantly oxidised. </w:t>
      </w:r>
    </w:p>
    <w:p w14:paraId="635411C9" w14:textId="77777777" w:rsidR="00410716" w:rsidRPr="00BE78CA" w:rsidRDefault="00410716" w:rsidP="00410716">
      <w:pPr>
        <w:pStyle w:val="BodyText"/>
      </w:pPr>
      <w:r w:rsidRPr="00BE78CA">
        <w:rPr>
          <w:i/>
        </w:rPr>
        <w:t>Harvested wood product</w:t>
      </w:r>
      <w:r w:rsidRPr="00BE78CA">
        <w:t xml:space="preserve"> emissions for 2019 </w:t>
      </w:r>
      <w:r w:rsidRPr="00BE78CA">
        <w:rPr>
          <w:i/>
        </w:rPr>
        <w:t>Afforestation and reforestation</w:t>
      </w:r>
      <w:r w:rsidRPr="00BE78CA">
        <w:t xml:space="preserve"> were </w:t>
      </w:r>
      <w:r w:rsidRPr="00BE78CA">
        <w:br/>
        <w:t>–5,083.9 kt CO</w:t>
      </w:r>
      <w:r w:rsidRPr="00BE78CA">
        <w:rPr>
          <w:vertAlign w:val="subscript"/>
        </w:rPr>
        <w:t>2</w:t>
      </w:r>
      <w:r w:rsidRPr="00BE78CA">
        <w:t xml:space="preserve">-e; and for </w:t>
      </w:r>
      <w:r w:rsidRPr="00BE78CA">
        <w:rPr>
          <w:i/>
        </w:rPr>
        <w:t>Forest management</w:t>
      </w:r>
      <w:r w:rsidRPr="00BE78CA">
        <w:t xml:space="preserve"> they were –8,597.4 kt CO</w:t>
      </w:r>
      <w:r w:rsidRPr="00BE78CA">
        <w:rPr>
          <w:vertAlign w:val="subscript"/>
        </w:rPr>
        <w:t>2</w:t>
      </w:r>
      <w:r w:rsidRPr="00BE78CA">
        <w:t>-e.</w:t>
      </w:r>
    </w:p>
    <w:p w14:paraId="2B3B4089" w14:textId="77777777" w:rsidR="00410716" w:rsidRPr="00BE78CA" w:rsidRDefault="00410716" w:rsidP="00410716">
      <w:pPr>
        <w:pStyle w:val="BodyText"/>
      </w:pPr>
      <w:r w:rsidRPr="00BE78CA">
        <w:t>New Zealand has a large planted forest estate that provides most of the wood products consumed domestically. The remainder of domestic production is exported in either product or raw material form. A more detailed description of the forest estate and New Zealand wood use is provided in chapter 6, section 6.10.</w:t>
      </w:r>
    </w:p>
    <w:p w14:paraId="1B278C8E" w14:textId="77777777" w:rsidR="00410716" w:rsidRPr="00BE78CA" w:rsidRDefault="00410716" w:rsidP="00410716">
      <w:pPr>
        <w:pStyle w:val="BodyText"/>
        <w:rPr>
          <w:spacing w:val="-2"/>
        </w:rPr>
      </w:pPr>
      <w:r w:rsidRPr="00BE78CA">
        <w:rPr>
          <w:spacing w:val="-2"/>
        </w:rPr>
        <w:lastRenderedPageBreak/>
        <w:t xml:space="preserve">New Zealand has developed a Tier 2 method to report </w:t>
      </w:r>
      <w:r w:rsidRPr="00BE78CA">
        <w:rPr>
          <w:i/>
          <w:spacing w:val="-2"/>
        </w:rPr>
        <w:t>Harvested wood products</w:t>
      </w:r>
      <w:r w:rsidRPr="00BE78CA">
        <w:rPr>
          <w:spacing w:val="-2"/>
        </w:rPr>
        <w:t xml:space="preserve"> under the Kyoto Protocol. New Zealand uses the default Tier 2 methodology, as described in the IPCC guidance (IPCC, 2014a), and some country-specific activity data and parameters where available. IPCC default half-lives and some conversion factors are used. Country-specific conversion factors are used for domestically produced sawnwood and veneer sheets (see chapter 6, table 6.10.1).</w:t>
      </w:r>
    </w:p>
    <w:p w14:paraId="5747F3AF" w14:textId="77777777" w:rsidR="00410716" w:rsidRPr="00BE78CA" w:rsidRDefault="00410716" w:rsidP="00410716">
      <w:pPr>
        <w:pStyle w:val="BodyText"/>
      </w:pPr>
      <w:r w:rsidRPr="00BE78CA">
        <w:t xml:space="preserve">Data on the production, import and export of harvested wood products from 1990 to 2019 were sourced from the FAO Statistics database (FAOSTAT). These data are provided to the FAO by the Ministry for Primary Industries. The basic data are the same as those used for IPCC Convention reporting, except the time series begins in 1990 for </w:t>
      </w:r>
      <w:r w:rsidRPr="00BE78CA">
        <w:rPr>
          <w:i/>
        </w:rPr>
        <w:t>Afforestation and reforestation</w:t>
      </w:r>
      <w:r w:rsidRPr="00BE78CA">
        <w:t xml:space="preserve"> and 2013 for </w:t>
      </w:r>
      <w:r w:rsidRPr="00BE78CA">
        <w:rPr>
          <w:i/>
        </w:rPr>
        <w:t>Forest management</w:t>
      </w:r>
      <w:r w:rsidRPr="00BE78CA">
        <w:t xml:space="preserve">. Also, the </w:t>
      </w:r>
      <w:r w:rsidRPr="00BE78CA">
        <w:rPr>
          <w:i/>
        </w:rPr>
        <w:t>Solid wood</w:t>
      </w:r>
      <w:r w:rsidRPr="00BE78CA">
        <w:t xml:space="preserve"> category used for IPCC Convention reporting is disaggregated into </w:t>
      </w:r>
      <w:r w:rsidRPr="00BE78CA">
        <w:rPr>
          <w:i/>
        </w:rPr>
        <w:t>Sawnwood</w:t>
      </w:r>
      <w:r w:rsidRPr="00BE78CA">
        <w:t xml:space="preserve"> and </w:t>
      </w:r>
      <w:r w:rsidRPr="00BE78CA">
        <w:rPr>
          <w:i/>
        </w:rPr>
        <w:t>Wood-based</w:t>
      </w:r>
      <w:r w:rsidRPr="00BE78CA">
        <w:t xml:space="preserve"> </w:t>
      </w:r>
      <w:r w:rsidRPr="00BE78CA">
        <w:rPr>
          <w:i/>
        </w:rPr>
        <w:t>panels</w:t>
      </w:r>
      <w:r w:rsidRPr="00BE78CA">
        <w:t xml:space="preserve"> for Kyoto Protocol reporting. </w:t>
      </w:r>
    </w:p>
    <w:p w14:paraId="7E5C6114" w14:textId="77777777" w:rsidR="00410716" w:rsidRPr="00BE78CA" w:rsidRDefault="00410716" w:rsidP="00410716">
      <w:pPr>
        <w:pStyle w:val="BodyText"/>
      </w:pPr>
      <w:r w:rsidRPr="00BE78CA">
        <w:t xml:space="preserve">In 2019, a large proportion (approximately 62 per cent) of New Zealand’s harvest was exported as raw materials in the form of logs or wood chips (Ministry for Primary Industries, 2020). The FAOSTAT database provides data on the export quantity of raw materials but provides no information on the conversion of these materials to products and their expected half-lives. A project was completed in 2016 to provide information on harvested wood products from exported logs in New Zealand’s three main export markets (China, South Korea and India). The study found that most New Zealand wood is converted into construction and packaging materials. Therefore, weighted half-lives were found to be 6.6 years, 18 years and 2.5 years for China, South Korea and India respectively (Ministry for Primary Industries, 2016). The weighted half-lives for China and India are significantly lower than the IPCC default half-lives for sawnwood and panels (35 years and 25 years respectively). These findings are included in New Zealand’s </w:t>
      </w:r>
      <w:r w:rsidRPr="00BE78CA">
        <w:rPr>
          <w:i/>
        </w:rPr>
        <w:t>Harvested wood products</w:t>
      </w:r>
      <w:r w:rsidRPr="00BE78CA">
        <w:t xml:space="preserve"> estimates and provide an improvement on the previous assumption of instant emission for exported raw materials.</w:t>
      </w:r>
    </w:p>
    <w:p w14:paraId="39053AAC" w14:textId="77777777" w:rsidR="00410716" w:rsidRPr="00BE78CA" w:rsidRDefault="00410716" w:rsidP="00410716">
      <w:pPr>
        <w:pStyle w:val="BodyText"/>
      </w:pPr>
      <w:r w:rsidRPr="00BE78CA">
        <w:t xml:space="preserve">Emissions from the harvest of </w:t>
      </w:r>
      <w:r w:rsidRPr="00BE78CA">
        <w:rPr>
          <w:i/>
        </w:rPr>
        <w:t>Afforestation and reforestation</w:t>
      </w:r>
      <w:r w:rsidRPr="00BE78CA">
        <w:t xml:space="preserve"> land are reported from 1990 onwards. These lands will provide a growing contribution to </w:t>
      </w:r>
      <w:r w:rsidRPr="00BE78CA">
        <w:rPr>
          <w:i/>
        </w:rPr>
        <w:t>Harvested wood products</w:t>
      </w:r>
      <w:r w:rsidRPr="00BE78CA">
        <w:t xml:space="preserve"> as post</w:t>
      </w:r>
      <w:r w:rsidRPr="00BE78CA">
        <w:noBreakHyphen/>
        <w:t xml:space="preserve">1989 planted forest reaches harvest age. Harvested wood products originating from </w:t>
      </w:r>
      <w:r w:rsidRPr="00BE78CA">
        <w:rPr>
          <w:i/>
        </w:rPr>
        <w:t>Afforestation and reforestation</w:t>
      </w:r>
      <w:r w:rsidRPr="00BE78CA">
        <w:t xml:space="preserve"> land each year are estimated by prorating the above-ground biomass carbon losses from the harvest of these lands to the total above-ground biomass carbon losses from all harvesting and deforestation.</w:t>
      </w:r>
    </w:p>
    <w:p w14:paraId="18A89C72" w14:textId="77777777" w:rsidR="00410716" w:rsidRPr="00BE78CA" w:rsidRDefault="00410716" w:rsidP="00410716">
      <w:pPr>
        <w:pStyle w:val="BodyText"/>
      </w:pPr>
      <w:r w:rsidRPr="00BE78CA">
        <w:t xml:space="preserve">Harvesting is the primary driver of emissions from </w:t>
      </w:r>
      <w:r w:rsidRPr="00BE78CA">
        <w:rPr>
          <w:i/>
        </w:rPr>
        <w:t xml:space="preserve">Forest management </w:t>
      </w:r>
      <w:r w:rsidRPr="00BE78CA">
        <w:t>land, specifically pre</w:t>
      </w:r>
      <w:r w:rsidRPr="00BE78CA">
        <w:noBreakHyphen/>
        <w:t xml:space="preserve">1990 planted forest, for which emissions from harvested wood products are accounted for from 2013 onwards. Harvested wood products originating from of </w:t>
      </w:r>
      <w:r w:rsidRPr="00BE78CA">
        <w:rPr>
          <w:i/>
        </w:rPr>
        <w:t>Forest management</w:t>
      </w:r>
      <w:r w:rsidRPr="00BE78CA">
        <w:t xml:space="preserve"> land each year are estimated by prorating the above-ground biomass carbon losses from the harvest of these lands to the total above-ground biomass carbon losses from all harvesting and deforestation. Accounting of harvested wood products on these lands is against New Zealand’s projected FMRL and, therefore, emissions from the decay of harvested wood products created prior to 2013 are excluded.</w:t>
      </w:r>
    </w:p>
    <w:p w14:paraId="17869197" w14:textId="77777777" w:rsidR="00410716" w:rsidRPr="00BE78CA" w:rsidRDefault="00410716" w:rsidP="00410716">
      <w:pPr>
        <w:pStyle w:val="BodyText"/>
      </w:pPr>
      <w:r w:rsidRPr="00BE78CA">
        <w:t xml:space="preserve">Harvested wood products originating from </w:t>
      </w:r>
      <w:r w:rsidRPr="00BE78CA">
        <w:rPr>
          <w:i/>
          <w:spacing w:val="-2"/>
        </w:rPr>
        <w:t>Deforestation</w:t>
      </w:r>
      <w:r w:rsidRPr="00BE78CA">
        <w:t xml:space="preserve"> are instantly emitted, as required under the Kyoto Protocol; however, the production statistics do not identify products that were derived originally from the wood that was harvested as part of the deforestation activity. The share of harvest volume originating from </w:t>
      </w:r>
      <w:r w:rsidRPr="00BE78CA">
        <w:rPr>
          <w:i/>
          <w:spacing w:val="-2"/>
        </w:rPr>
        <w:t>Deforestation</w:t>
      </w:r>
      <w:r w:rsidRPr="00BE78CA">
        <w:t xml:space="preserve"> is estimated by comparing the above-ground biomass carbon losses from </w:t>
      </w:r>
      <w:r w:rsidRPr="00BE78CA">
        <w:rPr>
          <w:i/>
          <w:spacing w:val="-2"/>
        </w:rPr>
        <w:t>Deforestation</w:t>
      </w:r>
      <w:r w:rsidRPr="00BE78CA">
        <w:t xml:space="preserve"> with the above-ground biomass carbon losses from harvesting. This provides a proportion to apply to the production statistics to separate harvested wood products originating from </w:t>
      </w:r>
      <w:r w:rsidRPr="00BE78CA">
        <w:rPr>
          <w:i/>
          <w:spacing w:val="-2"/>
        </w:rPr>
        <w:t>Deforestation</w:t>
      </w:r>
      <w:r w:rsidRPr="00BE78CA">
        <w:t>.</w:t>
      </w:r>
    </w:p>
    <w:p w14:paraId="208C0EF8" w14:textId="77777777" w:rsidR="00410716" w:rsidRPr="00BE78CA" w:rsidRDefault="00410716" w:rsidP="00410716">
      <w:pPr>
        <w:pStyle w:val="BodyText"/>
        <w:spacing w:after="100"/>
      </w:pPr>
      <w:r w:rsidRPr="00BE78CA">
        <w:lastRenderedPageBreak/>
        <w:t>Non-forest harvest is treated as an instant emission. Harvest from these lands is assumed to be used for fuel wood. Therefore, the harvested wood products contribution from non-forest lands is assumed to be zero.</w:t>
      </w:r>
    </w:p>
    <w:p w14:paraId="38271404" w14:textId="77777777" w:rsidR="00410716" w:rsidRPr="00BE78CA" w:rsidRDefault="00410716" w:rsidP="00410716">
      <w:pPr>
        <w:pStyle w:val="Heading3"/>
        <w:spacing w:before="280"/>
      </w:pPr>
      <w:r w:rsidRPr="00BE78CA">
        <w:t>11.3.7</w:t>
      </w:r>
      <w:r w:rsidRPr="00BE78CA">
        <w:tab/>
        <w:t>Other greenhouse gas sources</w:t>
      </w:r>
    </w:p>
    <w:p w14:paraId="4E37A1B6" w14:textId="77777777" w:rsidR="00410716" w:rsidRPr="00BE78CA" w:rsidRDefault="00410716" w:rsidP="00410716">
      <w:pPr>
        <w:pStyle w:val="Heading4"/>
        <w:spacing w:before="160"/>
      </w:pPr>
      <w:r w:rsidRPr="00BE78CA">
        <w:t>Direct nitrous oxide emissions from nitrogen fertilisation (CRF 4(KP-II)1)</w:t>
      </w:r>
    </w:p>
    <w:p w14:paraId="4743AF2A" w14:textId="77777777" w:rsidR="00410716" w:rsidRPr="00BE78CA" w:rsidRDefault="00410716" w:rsidP="00410716">
      <w:pPr>
        <w:pStyle w:val="BodyText"/>
        <w:spacing w:before="100" w:after="100"/>
      </w:pPr>
      <w:r w:rsidRPr="00BE78CA">
        <w:rPr>
          <w:rStyle w:val="BodyTextChar"/>
        </w:rPr>
        <w:t>New Zealand’s activity data</w:t>
      </w:r>
      <w:r w:rsidRPr="00BE78CA">
        <w:t xml:space="preserve"> on nitrogen fertilisation are not currently disaggregated by land use; therefore, all nitrous oxide (N</w:t>
      </w:r>
      <w:r w:rsidRPr="00BE78CA">
        <w:rPr>
          <w:vertAlign w:val="subscript"/>
        </w:rPr>
        <w:t>2</w:t>
      </w:r>
      <w:r w:rsidRPr="00BE78CA">
        <w:t xml:space="preserve">O) emissions from nitrogen fertilisation are reported in the Agriculture sector under the category </w:t>
      </w:r>
      <w:r w:rsidRPr="00BE78CA">
        <w:rPr>
          <w:i/>
        </w:rPr>
        <w:t>Direct N</w:t>
      </w:r>
      <w:r w:rsidRPr="00BE78CA">
        <w:rPr>
          <w:i/>
          <w:vertAlign w:val="subscript"/>
        </w:rPr>
        <w:t>2</w:t>
      </w:r>
      <w:r w:rsidRPr="00BE78CA">
        <w:rPr>
          <w:i/>
        </w:rPr>
        <w:t>O emissions from managed soils</w:t>
      </w:r>
      <w:r w:rsidRPr="00BE78CA">
        <w:t xml:space="preserve"> (CRF 3.D). The notation key IE (included elsewhere) is reported in the CRF tables for the KP-LULUCF sector (section 2.4.4.2, IPCC, 2014a).</w:t>
      </w:r>
    </w:p>
    <w:p w14:paraId="0AA3B541" w14:textId="77777777" w:rsidR="00410716" w:rsidRPr="00BE78CA" w:rsidRDefault="00410716" w:rsidP="00410716">
      <w:pPr>
        <w:pStyle w:val="Heading4"/>
        <w:spacing w:before="200"/>
      </w:pPr>
      <w:r w:rsidRPr="00BE78CA">
        <w:t>Methane and nitrous oxide emissions from drained and rewetted organic soils (CRF 4(KP-II)2)</w:t>
      </w:r>
    </w:p>
    <w:p w14:paraId="456D2DAB" w14:textId="77777777" w:rsidR="00410716" w:rsidRPr="00BE78CA" w:rsidRDefault="00410716" w:rsidP="00410716">
      <w:pPr>
        <w:pStyle w:val="BodyText"/>
        <w:spacing w:before="100" w:after="100"/>
      </w:pPr>
      <w:r w:rsidRPr="00BE78CA">
        <w:t xml:space="preserve">The methodology for estimating these emissions is contained within the </w:t>
      </w:r>
      <w:r w:rsidRPr="00BE78CA">
        <w:rPr>
          <w:i/>
        </w:rPr>
        <w:t>2013 Supplement to the 2006 IPCC Guidelines for National Greenhouse Gas Inventories: Wetlands</w:t>
      </w:r>
      <w:r w:rsidRPr="00BE78CA">
        <w:t xml:space="preserve"> (IPCC, 2014b). This supplement was not adopted by the Conference of the Parties serving as the meeting of the Parties to the Kyoto Protocol and, as such, its use is voluntary unless a country has elected ‘</w:t>
      </w:r>
      <w:r w:rsidRPr="00BE78CA">
        <w:rPr>
          <w:i/>
        </w:rPr>
        <w:t>Wetland drainage and rewetting</w:t>
      </w:r>
      <w:r w:rsidRPr="00BE78CA">
        <w:t>’. Given this, New Zealand reports NE (not estimated) in the CRF table for methane and N</w:t>
      </w:r>
      <w:r w:rsidRPr="00BE78CA">
        <w:rPr>
          <w:vertAlign w:val="subscript"/>
        </w:rPr>
        <w:t>2</w:t>
      </w:r>
      <w:r w:rsidRPr="00BE78CA">
        <w:t>O emissions from drained and rewetted organic soils.</w:t>
      </w:r>
    </w:p>
    <w:p w14:paraId="087DD5A9" w14:textId="77777777" w:rsidR="00410716" w:rsidRPr="00BE78CA" w:rsidRDefault="00410716" w:rsidP="00410716">
      <w:pPr>
        <w:pStyle w:val="Heading4"/>
        <w:spacing w:before="200"/>
      </w:pPr>
      <w:r w:rsidRPr="00BE78CA">
        <w:t>Nitrous oxide emissions from nitrogen mineralisation and immobilisation associated with land use conversions and management in mineral soils (CRF 4(KP-II)3)</w:t>
      </w:r>
    </w:p>
    <w:p w14:paraId="5E7A7462" w14:textId="77777777" w:rsidR="00410716" w:rsidRPr="00BE78CA" w:rsidRDefault="00410716" w:rsidP="00410716">
      <w:pPr>
        <w:pStyle w:val="BodyText"/>
        <w:spacing w:before="100" w:after="100"/>
      </w:pPr>
      <w:r w:rsidRPr="00BE78CA">
        <w:t xml:space="preserve">Nitrous oxide emissions, resulting from nitrogen mineralisation and immobilisation associated with land conversion, are reported for </w:t>
      </w:r>
      <w:r w:rsidRPr="00BE78CA">
        <w:rPr>
          <w:i/>
        </w:rPr>
        <w:t>Afforestation and reforestation</w:t>
      </w:r>
      <w:r w:rsidRPr="00BE78CA">
        <w:t xml:space="preserve">, </w:t>
      </w:r>
      <w:r w:rsidRPr="00BE78CA">
        <w:rPr>
          <w:i/>
        </w:rPr>
        <w:t>Deforestation</w:t>
      </w:r>
      <w:r w:rsidRPr="00BE78CA">
        <w:t xml:space="preserve"> and </w:t>
      </w:r>
      <w:r w:rsidRPr="00BE78CA">
        <w:rPr>
          <w:i/>
        </w:rPr>
        <w:t>Forest management</w:t>
      </w:r>
      <w:r w:rsidRPr="00BE78CA">
        <w:t>. These are calculated following the IPCC Guidelines (IPCC, 2006a). Total emissions for these three activities are 0.05 kt N</w:t>
      </w:r>
      <w:r w:rsidRPr="00BE78CA">
        <w:rPr>
          <w:vertAlign w:val="subscript"/>
        </w:rPr>
        <w:t>2</w:t>
      </w:r>
      <w:r w:rsidRPr="00BE78CA">
        <w:t>O.</w:t>
      </w:r>
    </w:p>
    <w:p w14:paraId="1ACFB217" w14:textId="77777777" w:rsidR="00410716" w:rsidRPr="00BE78CA" w:rsidRDefault="00410716" w:rsidP="00410716">
      <w:pPr>
        <w:pStyle w:val="BodyText"/>
        <w:spacing w:before="100" w:after="100"/>
      </w:pPr>
      <w:r w:rsidRPr="00BE78CA">
        <w:t xml:space="preserve">Emissions associated with </w:t>
      </w:r>
      <w:r w:rsidRPr="00BE78CA">
        <w:rPr>
          <w:i/>
        </w:rPr>
        <w:t>Indirect N</w:t>
      </w:r>
      <w:r w:rsidRPr="00BE78CA">
        <w:rPr>
          <w:i/>
          <w:vertAlign w:val="subscript"/>
        </w:rPr>
        <w:t>2</w:t>
      </w:r>
      <w:r w:rsidRPr="00BE78CA">
        <w:rPr>
          <w:i/>
        </w:rPr>
        <w:t>O emissions from managed soils</w:t>
      </w:r>
      <w:r w:rsidRPr="00BE78CA">
        <w:t xml:space="preserve"> are also reported under the Agriculture sector. New Zealand reports IE (included elsewhere) in the relevant CRF tables.</w:t>
      </w:r>
    </w:p>
    <w:p w14:paraId="2CEFD1B5" w14:textId="77777777" w:rsidR="00410716" w:rsidRPr="00BE78CA" w:rsidRDefault="00410716" w:rsidP="00410716">
      <w:pPr>
        <w:pStyle w:val="Heading4"/>
        <w:spacing w:before="200"/>
      </w:pPr>
      <w:r w:rsidRPr="00BE78CA">
        <w:t>Biomass burning (CRF 4(KP-II)4)</w:t>
      </w:r>
    </w:p>
    <w:p w14:paraId="074CCCD2" w14:textId="77777777" w:rsidR="00410716" w:rsidRPr="00BE78CA" w:rsidRDefault="00410716" w:rsidP="00410716">
      <w:pPr>
        <w:pStyle w:val="Heading5"/>
        <w:spacing w:before="160"/>
      </w:pPr>
      <w:r w:rsidRPr="00BE78CA">
        <w:t>Afforestation and reforestation</w:t>
      </w:r>
    </w:p>
    <w:p w14:paraId="285A5361" w14:textId="77777777" w:rsidR="00410716" w:rsidRPr="00BE78CA" w:rsidRDefault="00410716" w:rsidP="00410716">
      <w:pPr>
        <w:pStyle w:val="BodyText"/>
        <w:spacing w:before="100" w:after="100"/>
        <w:rPr>
          <w:spacing w:val="-2"/>
        </w:rPr>
      </w:pPr>
      <w:r w:rsidRPr="00BE78CA">
        <w:rPr>
          <w:spacing w:val="-2"/>
        </w:rPr>
        <w:t xml:space="preserve">Non-carbon dioxide emissions resulting from wildfire are attributed to </w:t>
      </w:r>
      <w:r w:rsidRPr="00BE78CA">
        <w:rPr>
          <w:i/>
          <w:spacing w:val="-2"/>
        </w:rPr>
        <w:t>Afforestation and reforestation</w:t>
      </w:r>
      <w:r w:rsidRPr="00BE78CA">
        <w:rPr>
          <w:spacing w:val="-2"/>
        </w:rPr>
        <w:t xml:space="preserve"> by the proportion of the total planted forest area that these forests make up. An age-based carbon yield table is then used to estimate non-CO</w:t>
      </w:r>
      <w:r w:rsidRPr="00BE78CA">
        <w:rPr>
          <w:spacing w:val="-2"/>
          <w:vertAlign w:val="subscript"/>
        </w:rPr>
        <w:t>2</w:t>
      </w:r>
      <w:r w:rsidRPr="00BE78CA">
        <w:rPr>
          <w:spacing w:val="-2"/>
        </w:rPr>
        <w:t xml:space="preserve"> emissions for </w:t>
      </w:r>
      <w:r w:rsidRPr="00BE78CA">
        <w:rPr>
          <w:i/>
          <w:spacing w:val="-2"/>
        </w:rPr>
        <w:t>Afforestation and reforestation</w:t>
      </w:r>
      <w:r w:rsidRPr="00BE78CA">
        <w:rPr>
          <w:spacing w:val="-2"/>
        </w:rPr>
        <w:t xml:space="preserve"> land. This approach assumes that the carbon stock affected by wildfire is equivalent to the carbon stock at the average stand age each year throughout the time series (Wakelin, unpublished(a)). Carbon dioxide emissions resulting from wildfire events are reported as IE (included elsewhere) in the CRF tables because these are assumed to be captured in the harvest emissions of salvage logged stands.</w:t>
      </w:r>
    </w:p>
    <w:p w14:paraId="2C3D87D5" w14:textId="77777777" w:rsidR="00410716" w:rsidRPr="00BE78CA" w:rsidRDefault="00410716" w:rsidP="00410716">
      <w:pPr>
        <w:pStyle w:val="BodyText"/>
        <w:spacing w:before="100" w:after="100"/>
      </w:pPr>
      <w:r w:rsidRPr="00BE78CA">
        <w:t xml:space="preserve">A survey of controlled burning activities in planted forests was carried out in 2011. The survey indicated that, on average, 5 per cent of conversions to planted forest between 1990 and 2011 involved burning to clear vegetation. This area is allocated to </w:t>
      </w:r>
      <w:r w:rsidRPr="00BE78CA">
        <w:rPr>
          <w:i/>
        </w:rPr>
        <w:t>Forest management</w:t>
      </w:r>
      <w:r w:rsidRPr="00BE78CA">
        <w:t xml:space="preserve"> (land converted from natural forest) and </w:t>
      </w:r>
      <w:r w:rsidRPr="00BE78CA">
        <w:rPr>
          <w:i/>
        </w:rPr>
        <w:t>Afforestation</w:t>
      </w:r>
      <w:r w:rsidRPr="00BE78CA">
        <w:t xml:space="preserve"> (land converted from grassland with woody biomass) on a pro rata basis (Wakelin, unpublished(b)).</w:t>
      </w:r>
    </w:p>
    <w:p w14:paraId="4F90B6D1" w14:textId="77777777" w:rsidR="00410716" w:rsidRPr="00BE78CA" w:rsidRDefault="00410716" w:rsidP="00410716">
      <w:pPr>
        <w:pStyle w:val="BodyText"/>
        <w:spacing w:before="100" w:after="100"/>
      </w:pPr>
      <w:r w:rsidRPr="00BE78CA">
        <w:t xml:space="preserve">It is currently assumed that controlled burning of post-harvest residues before replanting on </w:t>
      </w:r>
      <w:r w:rsidRPr="00BE78CA">
        <w:rPr>
          <w:i/>
        </w:rPr>
        <w:t>Afforestation</w:t>
      </w:r>
      <w:r w:rsidRPr="00BE78CA">
        <w:t xml:space="preserve"> land does not occur due to the nature of harvest in short-rotation forest grown </w:t>
      </w:r>
      <w:r w:rsidRPr="00BE78CA">
        <w:lastRenderedPageBreak/>
        <w:t>for pulp (where most biomass is removed from the site). However, this assumption will be revisited in a future submission due to the increasing harvest rates in these forests as they reach maturity.</w:t>
      </w:r>
    </w:p>
    <w:p w14:paraId="7DC251DB" w14:textId="77777777" w:rsidR="00410716" w:rsidRPr="00BE78CA" w:rsidRDefault="00410716" w:rsidP="00410716">
      <w:pPr>
        <w:pStyle w:val="Heading5"/>
        <w:spacing w:before="200"/>
      </w:pPr>
      <w:bookmarkStart w:id="3488" w:name="_Toc261513291"/>
      <w:bookmarkStart w:id="3489" w:name="_Toc261513904"/>
      <w:bookmarkStart w:id="3490" w:name="_Toc280630394"/>
      <w:r w:rsidRPr="00BE78CA">
        <w:t>Deforestation</w:t>
      </w:r>
    </w:p>
    <w:p w14:paraId="22CB27E9" w14:textId="5E2CE7AB" w:rsidR="00410716" w:rsidRPr="00BE78CA" w:rsidRDefault="00410716" w:rsidP="00410716">
      <w:pPr>
        <w:pStyle w:val="BodyText"/>
        <w:spacing w:before="100" w:after="100"/>
        <w:rPr>
          <w:spacing w:val="-2"/>
        </w:rPr>
      </w:pPr>
      <w:r w:rsidRPr="00BE78CA">
        <w:t xml:space="preserve">An estimate is provided for controlled burning of post-harvest slash associated with </w:t>
      </w:r>
      <w:r w:rsidRPr="00BE78CA">
        <w:rPr>
          <w:i/>
        </w:rPr>
        <w:t>Deforestation</w:t>
      </w:r>
      <w:r w:rsidRPr="00BE78CA">
        <w:rPr>
          <w:spacing w:val="-2"/>
        </w:rPr>
        <w:t xml:space="preserve">. No information is available on the extent of burning associated with </w:t>
      </w:r>
      <w:r w:rsidRPr="00BE78CA">
        <w:rPr>
          <w:i/>
          <w:spacing w:val="-2"/>
        </w:rPr>
        <w:t>Deforestation</w:t>
      </w:r>
      <w:r w:rsidRPr="00BE78CA">
        <w:rPr>
          <w:spacing w:val="-2"/>
        </w:rPr>
        <w:t xml:space="preserve"> in New Zealand. Therefore, it is assumed that 30 per cent of conversions involve burning. This percentage is chosen as a conservative proportion of one of the four main methods for disposing of residues in New Zealand. The other methods for residue disposal are chipping and removal, mulching into the soil and leaving to decay (Goulding, unpublished). To estimate emissions from the burning of harvest residue, the IPCC default combustion proportion for non-eucalypt temperate forest (0.62) is applied to an emission factor derived from the national plot network (table 2.6, IPCC, 2006a). The emission factor excludes the proportion of logs taken offsite (70 per cent of above-ground biomass) and is taken from the relevant yield tables at the average</w:t>
      </w:r>
      <w:r w:rsidR="0004456A" w:rsidRPr="00BE78CA">
        <w:rPr>
          <w:spacing w:val="-2"/>
        </w:rPr>
        <w:t> </w:t>
      </w:r>
      <w:r w:rsidRPr="00BE78CA">
        <w:rPr>
          <w:spacing w:val="-2"/>
        </w:rPr>
        <w:t>age of harvest in New Zealand.</w:t>
      </w:r>
    </w:p>
    <w:p w14:paraId="66C6D81B" w14:textId="77777777" w:rsidR="00410716" w:rsidRPr="00BE78CA" w:rsidRDefault="00410716" w:rsidP="00410716">
      <w:pPr>
        <w:pStyle w:val="BodyText"/>
        <w:spacing w:before="100" w:after="100"/>
      </w:pPr>
      <w:r w:rsidRPr="00BE78CA">
        <w:t>Estimates are provided for wildfire on deforested land (</w:t>
      </w:r>
      <w:r w:rsidRPr="00BE78CA">
        <w:rPr>
          <w:i/>
        </w:rPr>
        <w:t>Forest land converted to grassland</w:t>
      </w:r>
      <w:r w:rsidRPr="00BE78CA">
        <w:t>) in the inventory. The activity data do not identify deforested land; therefore, non-CO</w:t>
      </w:r>
      <w:r w:rsidRPr="00BE78CA">
        <w:rPr>
          <w:vertAlign w:val="subscript"/>
        </w:rPr>
        <w:t>2</w:t>
      </w:r>
      <w:r w:rsidRPr="00BE78CA">
        <w:t xml:space="preserve"> emissions resulting from wildfire are attributed to deforested land by the proportion of area that deforested land makes up of the total </w:t>
      </w:r>
      <w:r w:rsidRPr="00BE78CA">
        <w:rPr>
          <w:i/>
        </w:rPr>
        <w:t>Grassland</w:t>
      </w:r>
      <w:r w:rsidRPr="00BE78CA">
        <w:t xml:space="preserve"> area. The methodology follows that described in chapter 6, section 6.11.5. Around 1 per cent of wildfire emissions in </w:t>
      </w:r>
      <w:r w:rsidRPr="00BE78CA">
        <w:rPr>
          <w:i/>
        </w:rPr>
        <w:t>Grassland</w:t>
      </w:r>
      <w:r w:rsidRPr="00BE78CA">
        <w:t xml:space="preserve"> are estimated to have occurred on deforested land between 2008 and 2019.</w:t>
      </w:r>
    </w:p>
    <w:p w14:paraId="755D6211" w14:textId="77777777" w:rsidR="00410716" w:rsidRPr="00BE78CA" w:rsidRDefault="00410716" w:rsidP="00410716">
      <w:pPr>
        <w:pStyle w:val="Heading5"/>
        <w:spacing w:before="200"/>
      </w:pPr>
      <w:r w:rsidRPr="00BE78CA">
        <w:t>Forest management</w:t>
      </w:r>
    </w:p>
    <w:p w14:paraId="1A881359" w14:textId="012C8821" w:rsidR="00410716" w:rsidRPr="00BE78CA" w:rsidRDefault="00410716" w:rsidP="00410716">
      <w:pPr>
        <w:pStyle w:val="BodyText"/>
        <w:spacing w:before="100" w:after="100"/>
      </w:pPr>
      <w:r w:rsidRPr="00BE78CA">
        <w:t>Non-CO</w:t>
      </w:r>
      <w:r w:rsidRPr="00BE78CA">
        <w:rPr>
          <w:vertAlign w:val="subscript"/>
        </w:rPr>
        <w:t>2</w:t>
      </w:r>
      <w:r w:rsidRPr="00BE78CA">
        <w:t xml:space="preserve"> emissions from wildfires in pre-1990 forest land are reported under </w:t>
      </w:r>
      <w:r w:rsidRPr="00BE78CA">
        <w:rPr>
          <w:i/>
        </w:rPr>
        <w:t>Forest management</w:t>
      </w:r>
      <w:r w:rsidRPr="00BE78CA">
        <w:t>. A plot-network-derived biomass density is used to estimate non-CO</w:t>
      </w:r>
      <w:r w:rsidRPr="00BE78CA">
        <w:rPr>
          <w:vertAlign w:val="subscript"/>
        </w:rPr>
        <w:t>2</w:t>
      </w:r>
      <w:r w:rsidRPr="00BE78CA">
        <w:t xml:space="preserve"> emissions</w:t>
      </w:r>
      <w:r w:rsidR="008A6543" w:rsidRPr="00BE78CA">
        <w:t> </w:t>
      </w:r>
      <w:r w:rsidRPr="00BE78CA">
        <w:t xml:space="preserve">from wildfire on </w:t>
      </w:r>
      <w:r w:rsidRPr="00BE78CA">
        <w:rPr>
          <w:i/>
        </w:rPr>
        <w:t>Forest management</w:t>
      </w:r>
      <w:r w:rsidRPr="00BE78CA">
        <w:t xml:space="preserve"> land. Aggregated wildfire activity data are attributed to each forest management category by proportion of forest type estimated to be</w:t>
      </w:r>
      <w:r w:rsidR="00715CE9" w:rsidRPr="00BE78CA">
        <w:t> </w:t>
      </w:r>
      <w:r w:rsidRPr="00BE78CA">
        <w:t xml:space="preserve">burned over the time series. The split attributes 87.5 per cent to planted forest and the remaining to natural forest (Wakelin, unpublished(a)). The planted forest activity data are further split into pre-1990 and post-1989 forest (see ‘Afforestation and reforestation’ above). In planted forest, it is assumed that the carbon stock affected by wildfire is equivalent to the carbon stock at the average stand age in each category (Wakelin, unpublished(a)). </w:t>
      </w:r>
    </w:p>
    <w:p w14:paraId="715B09D5" w14:textId="77777777" w:rsidR="00410716" w:rsidRPr="00BE78CA" w:rsidRDefault="00410716" w:rsidP="00410716">
      <w:pPr>
        <w:pStyle w:val="BodyText"/>
        <w:spacing w:before="100" w:after="100"/>
      </w:pPr>
      <w:r w:rsidRPr="00BE78CA">
        <w:t>A survey of controlled burning in planted forest was carried out in 2011 (Wakelin, unpublished(b)). Estimates were provided for burning associated with the clearing of vegetation (i.e., natural forest and grassland with woody biomass) prior to the establishment of exotic planted forest (see ‘Afforestation and reforestation’ above).</w:t>
      </w:r>
    </w:p>
    <w:p w14:paraId="4C951BAD" w14:textId="77777777" w:rsidR="00410716" w:rsidRPr="00BE78CA" w:rsidRDefault="00410716" w:rsidP="00410716">
      <w:pPr>
        <w:pStyle w:val="BodyText"/>
        <w:spacing w:before="100" w:after="100"/>
      </w:pPr>
      <w:r w:rsidRPr="00BE78CA">
        <w:t>The survey also provided data on the burning of post-harvest slash prior to restocking. This activity was found to occur mainly as a training exercise for wildfire control or for the clearing of slash heaps on skid sites. The data indicated that 0.8 per cent of restocked area was burned annually in recent years (Wakelin, unpublished(b)). This estimate was combined with two earlier estimates of controlled burning in planted forest (Forest Industry Training and Education Council, 2005; Robertson, 1998) to provide activity data throughout the time series. It is assumed that 1.6 per cent of restocked area was burned from 1990 to 1997 (Wakelin, unpublished(b)). From 1997, the area burned declines linearly to 0.8 per cent, which is used from 2005 onwards (Wakelin, unpublished(b)).</w:t>
      </w:r>
    </w:p>
    <w:p w14:paraId="0F5399E3" w14:textId="77777777" w:rsidR="00410716" w:rsidRPr="00BE78CA" w:rsidRDefault="00410716" w:rsidP="00410716">
      <w:pPr>
        <w:pStyle w:val="BodyText"/>
        <w:spacing w:before="100" w:after="100"/>
      </w:pPr>
      <w:r w:rsidRPr="00BE78CA">
        <w:t xml:space="preserve">A more detailed description of </w:t>
      </w:r>
      <w:r w:rsidRPr="00BE78CA">
        <w:rPr>
          <w:i/>
        </w:rPr>
        <w:t>Biomass burning</w:t>
      </w:r>
      <w:r w:rsidRPr="00BE78CA">
        <w:t xml:space="preserve"> on </w:t>
      </w:r>
      <w:r w:rsidRPr="00BE78CA">
        <w:rPr>
          <w:i/>
        </w:rPr>
        <w:t>Forest land</w:t>
      </w:r>
      <w:r w:rsidRPr="00BE78CA">
        <w:t xml:space="preserve"> is provided in chapter 6, section 6.11.5. </w:t>
      </w:r>
    </w:p>
    <w:p w14:paraId="15434B5F" w14:textId="77777777" w:rsidR="00410716" w:rsidRPr="00BE78CA" w:rsidRDefault="00410716" w:rsidP="00410716">
      <w:pPr>
        <w:pStyle w:val="Heading2"/>
        <w:spacing w:before="320"/>
      </w:pPr>
      <w:bookmarkStart w:id="3491" w:name="_Toc456179172"/>
      <w:bookmarkStart w:id="3492" w:name="_Toc481751425"/>
      <w:bookmarkStart w:id="3493" w:name="_Toc522013964"/>
      <w:bookmarkStart w:id="3494" w:name="_Toc5269408"/>
      <w:bookmarkStart w:id="3495" w:name="_Toc36224448"/>
      <w:bookmarkStart w:id="3496" w:name="_Toc68786368"/>
      <w:bookmarkStart w:id="3497" w:name="_Toc261513293"/>
      <w:bookmarkStart w:id="3498" w:name="_Toc261513906"/>
      <w:bookmarkStart w:id="3499" w:name="_Toc280630396"/>
      <w:bookmarkEnd w:id="3488"/>
      <w:bookmarkEnd w:id="3489"/>
      <w:bookmarkEnd w:id="3490"/>
      <w:r w:rsidRPr="00BE78CA">
        <w:lastRenderedPageBreak/>
        <w:t>11.4</w:t>
      </w:r>
      <w:r w:rsidRPr="00BE78CA">
        <w:tab/>
        <w:t>Other methodological issues</w:t>
      </w:r>
      <w:bookmarkEnd w:id="3491"/>
      <w:bookmarkEnd w:id="3492"/>
      <w:bookmarkEnd w:id="3493"/>
      <w:bookmarkEnd w:id="3494"/>
      <w:bookmarkEnd w:id="3495"/>
      <w:bookmarkEnd w:id="3496"/>
    </w:p>
    <w:p w14:paraId="51AF2DF0" w14:textId="77777777" w:rsidR="00410716" w:rsidRPr="00BE78CA" w:rsidRDefault="00410716" w:rsidP="00410716">
      <w:pPr>
        <w:pStyle w:val="Heading3"/>
        <w:spacing w:before="120"/>
      </w:pPr>
      <w:bookmarkStart w:id="3500" w:name="_Toc261513294"/>
      <w:bookmarkStart w:id="3501" w:name="_Toc261513907"/>
      <w:bookmarkStart w:id="3502" w:name="_Toc280630397"/>
      <w:bookmarkEnd w:id="3497"/>
      <w:bookmarkEnd w:id="3498"/>
      <w:bookmarkEnd w:id="3499"/>
      <w:r w:rsidRPr="00BE78CA">
        <w:t xml:space="preserve">11.4.1 </w:t>
      </w:r>
      <w:r w:rsidRPr="00BE78CA">
        <w:tab/>
        <w:t>Uncertainty</w:t>
      </w:r>
      <w:bookmarkEnd w:id="3500"/>
      <w:bookmarkEnd w:id="3501"/>
      <w:bookmarkEnd w:id="3502"/>
      <w:r w:rsidRPr="00BE78CA">
        <w:t xml:space="preserve"> and time-series consistency</w:t>
      </w:r>
    </w:p>
    <w:p w14:paraId="48823364" w14:textId="77777777" w:rsidR="00410716" w:rsidRPr="00BE78CA" w:rsidRDefault="00410716" w:rsidP="00410716">
      <w:pPr>
        <w:pStyle w:val="BodyText"/>
        <w:spacing w:before="100" w:after="100"/>
      </w:pPr>
      <w:r w:rsidRPr="00BE78CA">
        <w:t xml:space="preserve">The uncertainty in net emissions from </w:t>
      </w:r>
      <w:r w:rsidRPr="00BE78CA">
        <w:rPr>
          <w:i/>
        </w:rPr>
        <w:t>Afforestation and reforestation</w:t>
      </w:r>
      <w:r w:rsidRPr="00BE78CA">
        <w:t xml:space="preserve"> is ±16.7 per cent. This is based on the uncertainty in emissions from post-1989 planted forest, post-1989 natural forest and </w:t>
      </w:r>
      <w:r w:rsidRPr="00BE78CA">
        <w:rPr>
          <w:i/>
        </w:rPr>
        <w:t>Harvested wood products</w:t>
      </w:r>
      <w:r w:rsidRPr="00BE78CA">
        <w:t xml:space="preserve"> (tables 11.4.1 and 11.4.2). </w:t>
      </w:r>
    </w:p>
    <w:p w14:paraId="45FA700D" w14:textId="77777777" w:rsidR="00410716" w:rsidRPr="00BE78CA" w:rsidRDefault="00410716" w:rsidP="00410716">
      <w:pPr>
        <w:pStyle w:val="BodyText"/>
        <w:spacing w:before="100" w:after="100"/>
      </w:pPr>
      <w:r w:rsidRPr="00BE78CA">
        <w:t xml:space="preserve">The uncertainty in emissions from </w:t>
      </w:r>
      <w:r w:rsidRPr="00BE78CA">
        <w:rPr>
          <w:i/>
        </w:rPr>
        <w:t>Deforestation</w:t>
      </w:r>
      <w:r w:rsidRPr="00BE78CA">
        <w:t xml:space="preserve"> is determined by the type of </w:t>
      </w:r>
      <w:r w:rsidRPr="00BE78CA">
        <w:rPr>
          <w:i/>
        </w:rPr>
        <w:t>Forest land</w:t>
      </w:r>
      <w:r w:rsidRPr="00BE78CA">
        <w:t xml:space="preserve"> (table 11.4.1). The combined uncertainty introduced into emissions from </w:t>
      </w:r>
      <w:r w:rsidRPr="00BE78CA">
        <w:rPr>
          <w:i/>
        </w:rPr>
        <w:t>Deforestation</w:t>
      </w:r>
      <w:r w:rsidRPr="00BE78CA">
        <w:t xml:space="preserve"> is ±1.2 per cent (table 11.4.2). </w:t>
      </w:r>
    </w:p>
    <w:p w14:paraId="33A96BB4" w14:textId="77777777" w:rsidR="00410716" w:rsidRPr="00BE78CA" w:rsidRDefault="00410716" w:rsidP="00410716">
      <w:pPr>
        <w:pStyle w:val="BodyText"/>
        <w:spacing w:before="100" w:after="100"/>
      </w:pPr>
      <w:r w:rsidRPr="00BE78CA">
        <w:t xml:space="preserve">The combined uncertainty in </w:t>
      </w:r>
      <w:r w:rsidRPr="00BE78CA">
        <w:rPr>
          <w:i/>
        </w:rPr>
        <w:t>Forest management</w:t>
      </w:r>
      <w:r w:rsidRPr="00BE78CA">
        <w:t xml:space="preserve"> is ±39.5 per cent at a 95 per cent confidence interval. This is the combined uncertainty of pre-1990 natural forest and pre-1990 planted forest and includes uncertainty associated with </w:t>
      </w:r>
      <w:r w:rsidRPr="00BE78CA">
        <w:rPr>
          <w:i/>
        </w:rPr>
        <w:t>Harvested wood products</w:t>
      </w:r>
      <w:r w:rsidRPr="00BE78CA">
        <w:t>.</w:t>
      </w:r>
    </w:p>
    <w:p w14:paraId="0595AF16" w14:textId="77777777" w:rsidR="00410716" w:rsidRPr="00BE78CA" w:rsidRDefault="00410716" w:rsidP="00410716">
      <w:pPr>
        <w:pStyle w:val="BodyText"/>
        <w:spacing w:before="100" w:after="100"/>
      </w:pPr>
      <w:r w:rsidRPr="00BE78CA">
        <w:t xml:space="preserve">Further detail on the uncertainty in emissions for pre-1990 natural forest, pre-1990 planted forest, post-1989 forest and </w:t>
      </w:r>
      <w:r w:rsidRPr="00BE78CA">
        <w:rPr>
          <w:i/>
        </w:rPr>
        <w:t>Harvested wood products</w:t>
      </w:r>
      <w:r w:rsidRPr="00BE78CA">
        <w:t xml:space="preserve"> is provided in chapter 6, sections 6.1.3 and 6.4.3.</w:t>
      </w:r>
    </w:p>
    <w:p w14:paraId="5A6A9889" w14:textId="77777777" w:rsidR="00410716" w:rsidRPr="00BE78CA" w:rsidRDefault="00410716" w:rsidP="00410716">
      <w:pPr>
        <w:pStyle w:val="BodyText"/>
      </w:pPr>
      <w:r w:rsidRPr="00BE78CA">
        <w:t>Total uncertainty in New Zealand’s estimates of emissions for Article 3.3 and Article 3.4 of the Kyoto Protocol is ±42.4 per cent</w:t>
      </w:r>
      <w:r w:rsidRPr="00BE78CA">
        <w:rPr>
          <w:spacing w:val="-2"/>
        </w:rPr>
        <w:t xml:space="preserve"> at a 95 per cent confidence interval</w:t>
      </w:r>
      <w:r w:rsidRPr="00BE78CA">
        <w:t xml:space="preserve">. </w:t>
      </w:r>
    </w:p>
    <w:p w14:paraId="466AACCA" w14:textId="77777777" w:rsidR="00410716" w:rsidRPr="00BE78CA" w:rsidRDefault="00410716" w:rsidP="00410716">
      <w:pPr>
        <w:pStyle w:val="Table"/>
      </w:pPr>
      <w:bookmarkStart w:id="3503" w:name="_Toc280630486"/>
      <w:bookmarkStart w:id="3504" w:name="_Toc310423446"/>
      <w:bookmarkStart w:id="3505" w:name="_Toc318362739"/>
      <w:bookmarkStart w:id="3506" w:name="_Toc342470818"/>
      <w:bookmarkStart w:id="3507" w:name="_Toc352505071"/>
      <w:bookmarkStart w:id="3508" w:name="_Toc377043707"/>
      <w:bookmarkStart w:id="3509" w:name="_Toc391023559"/>
      <w:bookmarkStart w:id="3510" w:name="_Toc414531532"/>
      <w:bookmarkStart w:id="3511" w:name="_Toc456179110"/>
      <w:bookmarkStart w:id="3512" w:name="_Toc481751635"/>
      <w:bookmarkStart w:id="3513" w:name="_Toc522010661"/>
      <w:bookmarkStart w:id="3514" w:name="_Toc5269632"/>
      <w:bookmarkStart w:id="3515" w:name="_Toc36224715"/>
      <w:bookmarkStart w:id="3516" w:name="_Toc64987050"/>
      <w:bookmarkStart w:id="3517" w:name="_Toc68786600"/>
      <w:r w:rsidRPr="00BE78CA">
        <w:t xml:space="preserve">Table 11.4.1 </w:t>
      </w:r>
      <w:r w:rsidRPr="00BE78CA">
        <w:tab/>
        <w:t>Uncertainty in New Zealand’s estimates for Afforestation and reforestation,</w:t>
      </w:r>
      <w:r w:rsidRPr="00BE78CA">
        <w:br/>
        <w:t xml:space="preserve">Deforestation and Forest management in </w:t>
      </w:r>
      <w:bookmarkEnd w:id="3503"/>
      <w:bookmarkEnd w:id="3504"/>
      <w:bookmarkEnd w:id="3505"/>
      <w:bookmarkEnd w:id="3506"/>
      <w:bookmarkEnd w:id="3507"/>
      <w:bookmarkEnd w:id="3508"/>
      <w:bookmarkEnd w:id="3509"/>
      <w:bookmarkEnd w:id="3510"/>
      <w:r w:rsidRPr="00BE78CA">
        <w:t>2019</w:t>
      </w:r>
      <w:bookmarkEnd w:id="3511"/>
      <w:bookmarkEnd w:id="3512"/>
      <w:bookmarkEnd w:id="3513"/>
      <w:bookmarkEnd w:id="3514"/>
      <w:bookmarkEnd w:id="3515"/>
      <w:bookmarkEnd w:id="3516"/>
      <w:bookmarkEnd w:id="3517"/>
    </w:p>
    <w:tbl>
      <w:tblPr>
        <w:tblW w:w="8505" w:type="dxa"/>
        <w:tblBorders>
          <w:top w:val="single" w:sz="8" w:space="0" w:color="1F497D"/>
          <w:bottom w:val="single" w:sz="8" w:space="0" w:color="1F497D"/>
          <w:insideH w:val="single" w:sz="8" w:space="0" w:color="1F497D"/>
        </w:tblBorders>
        <w:tblLayout w:type="fixed"/>
        <w:tblLook w:val="04A0" w:firstRow="1" w:lastRow="0" w:firstColumn="1" w:lastColumn="0" w:noHBand="0" w:noVBand="1"/>
      </w:tblPr>
      <w:tblGrid>
        <w:gridCol w:w="1482"/>
        <w:gridCol w:w="834"/>
        <w:gridCol w:w="867"/>
        <w:gridCol w:w="868"/>
        <w:gridCol w:w="985"/>
        <w:gridCol w:w="985"/>
        <w:gridCol w:w="867"/>
        <w:gridCol w:w="749"/>
        <w:gridCol w:w="868"/>
      </w:tblGrid>
      <w:tr w:rsidR="00410716" w:rsidRPr="00BE78CA" w14:paraId="36284F8E" w14:textId="77777777" w:rsidTr="0004456A">
        <w:trPr>
          <w:tblHeader/>
        </w:trPr>
        <w:tc>
          <w:tcPr>
            <w:tcW w:w="1456" w:type="dxa"/>
            <w:tcBorders>
              <w:top w:val="single" w:sz="4" w:space="0" w:color="365F91"/>
              <w:bottom w:val="nil"/>
            </w:tcBorders>
            <w:shd w:val="clear" w:color="auto" w:fill="365F91"/>
            <w:noWrap/>
            <w:vAlign w:val="center"/>
            <w:hideMark/>
          </w:tcPr>
          <w:p w14:paraId="0573A63D" w14:textId="77777777" w:rsidR="00410716" w:rsidRPr="00BE78CA" w:rsidRDefault="00410716" w:rsidP="00C26084">
            <w:pPr>
              <w:pStyle w:val="TableTextBold"/>
              <w:keepNext/>
              <w:spacing w:before="50" w:after="0"/>
              <w:jc w:val="center"/>
              <w:rPr>
                <w:rFonts w:cs="Calibri"/>
                <w:bCs/>
                <w:noProof w:val="0"/>
                <w:color w:val="FFFFFF"/>
                <w:szCs w:val="16"/>
              </w:rPr>
            </w:pPr>
          </w:p>
        </w:tc>
        <w:tc>
          <w:tcPr>
            <w:tcW w:w="6902" w:type="dxa"/>
            <w:gridSpan w:val="8"/>
            <w:tcBorders>
              <w:top w:val="single" w:sz="4" w:space="0" w:color="365F91"/>
              <w:bottom w:val="nil"/>
            </w:tcBorders>
            <w:shd w:val="clear" w:color="auto" w:fill="365F91"/>
          </w:tcPr>
          <w:p w14:paraId="40BD385E" w14:textId="77777777" w:rsidR="00410716" w:rsidRPr="00BE78CA" w:rsidRDefault="00410716" w:rsidP="00C26084">
            <w:pPr>
              <w:pStyle w:val="TableTextBold"/>
              <w:spacing w:before="50" w:after="0"/>
              <w:jc w:val="center"/>
              <w:rPr>
                <w:rFonts w:cs="Calibri"/>
                <w:bCs/>
                <w:noProof w:val="0"/>
                <w:color w:val="FFFFFF"/>
                <w:szCs w:val="16"/>
              </w:rPr>
            </w:pPr>
            <w:r w:rsidRPr="00BE78CA">
              <w:rPr>
                <w:rFonts w:cs="Calibri"/>
                <w:bCs/>
                <w:noProof w:val="0"/>
                <w:color w:val="FFFFFF"/>
                <w:szCs w:val="16"/>
              </w:rPr>
              <w:t>Uncertainty (%) at a 95% confidence interval</w:t>
            </w:r>
          </w:p>
        </w:tc>
      </w:tr>
      <w:tr w:rsidR="00410716" w:rsidRPr="00BE78CA" w14:paraId="41E06F8E" w14:textId="77777777" w:rsidTr="0004456A">
        <w:trPr>
          <w:tblHeader/>
        </w:trPr>
        <w:tc>
          <w:tcPr>
            <w:tcW w:w="1456" w:type="dxa"/>
            <w:tcBorders>
              <w:top w:val="nil"/>
              <w:left w:val="nil"/>
              <w:bottom w:val="nil"/>
            </w:tcBorders>
            <w:shd w:val="clear" w:color="auto" w:fill="365F91"/>
            <w:noWrap/>
            <w:vAlign w:val="bottom"/>
            <w:hideMark/>
          </w:tcPr>
          <w:p w14:paraId="4380D985" w14:textId="77777777" w:rsidR="00410716" w:rsidRPr="00BE78CA" w:rsidRDefault="00410716" w:rsidP="00C26084">
            <w:pPr>
              <w:pStyle w:val="TableTextBold"/>
              <w:keepNext/>
              <w:spacing w:before="50" w:after="50"/>
              <w:jc w:val="center"/>
              <w:rPr>
                <w:rFonts w:cs="Calibri"/>
                <w:bCs/>
                <w:noProof w:val="0"/>
                <w:color w:val="FFFFFF"/>
                <w:szCs w:val="16"/>
              </w:rPr>
            </w:pPr>
          </w:p>
        </w:tc>
        <w:tc>
          <w:tcPr>
            <w:tcW w:w="1672" w:type="dxa"/>
            <w:gridSpan w:val="2"/>
            <w:tcBorders>
              <w:top w:val="nil"/>
              <w:bottom w:val="nil"/>
            </w:tcBorders>
            <w:shd w:val="clear" w:color="auto" w:fill="365F91"/>
            <w:vAlign w:val="bottom"/>
            <w:hideMark/>
          </w:tcPr>
          <w:p w14:paraId="4125A27A" w14:textId="77777777" w:rsidR="00410716" w:rsidRPr="00BE78CA" w:rsidRDefault="00410716" w:rsidP="00C26084">
            <w:pPr>
              <w:pStyle w:val="TableTextBold"/>
              <w:spacing w:before="50" w:after="50"/>
              <w:jc w:val="center"/>
              <w:rPr>
                <w:rFonts w:cs="Calibri"/>
                <w:noProof w:val="0"/>
                <w:color w:val="FFFFFF"/>
                <w:szCs w:val="16"/>
              </w:rPr>
            </w:pPr>
            <w:r w:rsidRPr="00BE78CA">
              <w:rPr>
                <w:rFonts w:cs="Calibri"/>
                <w:noProof w:val="0"/>
                <w:color w:val="FFFFFF"/>
                <w:szCs w:val="16"/>
              </w:rPr>
              <w:t>Afforestation and</w:t>
            </w:r>
            <w:r w:rsidRPr="00BE78CA">
              <w:rPr>
                <w:rFonts w:cs="Calibri"/>
                <w:noProof w:val="0"/>
                <w:color w:val="FFFFFF"/>
                <w:szCs w:val="16"/>
              </w:rPr>
              <w:br/>
              <w:t>reforestation</w:t>
            </w:r>
          </w:p>
        </w:tc>
        <w:tc>
          <w:tcPr>
            <w:tcW w:w="2789" w:type="dxa"/>
            <w:gridSpan w:val="3"/>
            <w:tcBorders>
              <w:top w:val="nil"/>
              <w:bottom w:val="nil"/>
            </w:tcBorders>
            <w:shd w:val="clear" w:color="auto" w:fill="365F91"/>
            <w:noWrap/>
            <w:vAlign w:val="bottom"/>
            <w:hideMark/>
          </w:tcPr>
          <w:p w14:paraId="5BD6F005" w14:textId="77777777" w:rsidR="00410716" w:rsidRPr="00BE78CA" w:rsidRDefault="00410716" w:rsidP="00C26084">
            <w:pPr>
              <w:pStyle w:val="TableTextBold"/>
              <w:spacing w:before="50" w:after="50"/>
              <w:jc w:val="center"/>
              <w:rPr>
                <w:rFonts w:cs="Calibri"/>
                <w:noProof w:val="0"/>
                <w:color w:val="FFFFFF"/>
                <w:szCs w:val="16"/>
              </w:rPr>
            </w:pPr>
            <w:r w:rsidRPr="00BE78CA">
              <w:rPr>
                <w:rFonts w:cs="Calibri"/>
                <w:noProof w:val="0"/>
                <w:color w:val="FFFFFF"/>
                <w:szCs w:val="16"/>
              </w:rPr>
              <w:t>Deforestation</w:t>
            </w:r>
          </w:p>
        </w:tc>
        <w:tc>
          <w:tcPr>
            <w:tcW w:w="852" w:type="dxa"/>
            <w:tcBorders>
              <w:top w:val="nil"/>
              <w:bottom w:val="nil"/>
            </w:tcBorders>
            <w:shd w:val="clear" w:color="auto" w:fill="365F91"/>
            <w:vAlign w:val="bottom"/>
          </w:tcPr>
          <w:p w14:paraId="5FC2D784" w14:textId="77777777" w:rsidR="00410716" w:rsidRPr="00BE78CA" w:rsidRDefault="00410716" w:rsidP="00C26084">
            <w:pPr>
              <w:pStyle w:val="TableTextBold"/>
              <w:spacing w:before="50" w:after="50"/>
              <w:jc w:val="center"/>
              <w:rPr>
                <w:rFonts w:cs="Calibri"/>
                <w:noProof w:val="0"/>
                <w:color w:val="FFFFFF"/>
                <w:szCs w:val="16"/>
              </w:rPr>
            </w:pPr>
          </w:p>
        </w:tc>
        <w:tc>
          <w:tcPr>
            <w:tcW w:w="1589" w:type="dxa"/>
            <w:gridSpan w:val="2"/>
            <w:tcBorders>
              <w:top w:val="nil"/>
              <w:bottom w:val="nil"/>
              <w:right w:val="nil"/>
            </w:tcBorders>
            <w:shd w:val="clear" w:color="auto" w:fill="365F91"/>
            <w:vAlign w:val="bottom"/>
          </w:tcPr>
          <w:p w14:paraId="50D2CBC7" w14:textId="77777777" w:rsidR="00410716" w:rsidRPr="00BE78CA" w:rsidRDefault="00410716" w:rsidP="00C26084">
            <w:pPr>
              <w:pStyle w:val="TableTextBold"/>
              <w:spacing w:before="50" w:after="50"/>
              <w:jc w:val="center"/>
              <w:rPr>
                <w:rFonts w:cs="Calibri"/>
                <w:noProof w:val="0"/>
                <w:color w:val="FFFFFF"/>
                <w:szCs w:val="16"/>
              </w:rPr>
            </w:pPr>
            <w:r w:rsidRPr="00BE78CA">
              <w:rPr>
                <w:rFonts w:cs="Calibri"/>
                <w:noProof w:val="0"/>
                <w:color w:val="FFFFFF"/>
                <w:szCs w:val="16"/>
              </w:rPr>
              <w:t>Forest management</w:t>
            </w:r>
          </w:p>
        </w:tc>
      </w:tr>
      <w:tr w:rsidR="00410716" w:rsidRPr="00BE78CA" w14:paraId="5A660525" w14:textId="77777777" w:rsidTr="0004456A">
        <w:tc>
          <w:tcPr>
            <w:tcW w:w="1456" w:type="dxa"/>
            <w:tcBorders>
              <w:top w:val="nil"/>
              <w:left w:val="nil"/>
              <w:bottom w:val="single" w:sz="4" w:space="0" w:color="365F91"/>
            </w:tcBorders>
            <w:shd w:val="clear" w:color="auto" w:fill="auto"/>
            <w:noWrap/>
            <w:vAlign w:val="bottom"/>
            <w:hideMark/>
          </w:tcPr>
          <w:p w14:paraId="5A246164" w14:textId="77777777" w:rsidR="00410716" w:rsidRPr="00BE78CA" w:rsidRDefault="00410716" w:rsidP="00C26084">
            <w:pPr>
              <w:pStyle w:val="TableText"/>
              <w:keepNext/>
              <w:spacing w:before="50" w:after="50"/>
              <w:rPr>
                <w:rFonts w:cs="Calibri"/>
                <w:b/>
                <w:bCs/>
                <w:szCs w:val="16"/>
              </w:rPr>
            </w:pPr>
          </w:p>
        </w:tc>
        <w:tc>
          <w:tcPr>
            <w:tcW w:w="820" w:type="dxa"/>
            <w:tcBorders>
              <w:top w:val="nil"/>
              <w:bottom w:val="single" w:sz="4" w:space="0" w:color="365F91"/>
            </w:tcBorders>
            <w:shd w:val="clear" w:color="auto" w:fill="auto"/>
            <w:vAlign w:val="bottom"/>
            <w:hideMark/>
          </w:tcPr>
          <w:p w14:paraId="40B92C1E" w14:textId="77777777" w:rsidR="00410716" w:rsidRPr="00BE78CA" w:rsidRDefault="00410716" w:rsidP="00C26084">
            <w:pPr>
              <w:pStyle w:val="TableText"/>
              <w:spacing w:before="50" w:after="50"/>
              <w:jc w:val="center"/>
              <w:rPr>
                <w:rFonts w:cs="Calibri"/>
                <w:b/>
                <w:szCs w:val="16"/>
              </w:rPr>
            </w:pPr>
            <w:r w:rsidRPr="00BE78CA">
              <w:rPr>
                <w:rFonts w:cs="Calibri"/>
                <w:b/>
                <w:szCs w:val="16"/>
              </w:rPr>
              <w:t>Post-1989 planted forest</w:t>
            </w:r>
          </w:p>
        </w:tc>
        <w:tc>
          <w:tcPr>
            <w:tcW w:w="852" w:type="dxa"/>
            <w:tcBorders>
              <w:top w:val="nil"/>
              <w:bottom w:val="single" w:sz="4" w:space="0" w:color="365F91"/>
            </w:tcBorders>
          </w:tcPr>
          <w:p w14:paraId="1ADE5F3B" w14:textId="77777777" w:rsidR="00410716" w:rsidRPr="00BE78CA" w:rsidRDefault="00410716" w:rsidP="00C26084">
            <w:pPr>
              <w:pStyle w:val="TableText"/>
              <w:spacing w:before="50" w:after="50"/>
              <w:jc w:val="center"/>
              <w:rPr>
                <w:rFonts w:cs="Calibri"/>
                <w:b/>
                <w:szCs w:val="16"/>
              </w:rPr>
            </w:pPr>
            <w:r w:rsidRPr="00BE78CA">
              <w:rPr>
                <w:rFonts w:cs="Calibri"/>
                <w:b/>
                <w:szCs w:val="16"/>
              </w:rPr>
              <w:t>Post-1989 natural forest</w:t>
            </w:r>
          </w:p>
        </w:tc>
        <w:tc>
          <w:tcPr>
            <w:tcW w:w="853" w:type="dxa"/>
            <w:tcBorders>
              <w:top w:val="nil"/>
              <w:bottom w:val="single" w:sz="4" w:space="0" w:color="365F91"/>
            </w:tcBorders>
            <w:shd w:val="clear" w:color="auto" w:fill="auto"/>
            <w:noWrap/>
            <w:vAlign w:val="bottom"/>
            <w:hideMark/>
          </w:tcPr>
          <w:p w14:paraId="5FF8163A" w14:textId="77777777" w:rsidR="00410716" w:rsidRPr="00BE78CA" w:rsidRDefault="00410716" w:rsidP="00C26084">
            <w:pPr>
              <w:pStyle w:val="TableText"/>
              <w:spacing w:before="50" w:after="50"/>
              <w:jc w:val="center"/>
              <w:rPr>
                <w:rFonts w:cs="Calibri"/>
                <w:b/>
                <w:szCs w:val="16"/>
              </w:rPr>
            </w:pPr>
            <w:r w:rsidRPr="00BE78CA">
              <w:rPr>
                <w:rFonts w:cs="Calibri"/>
                <w:b/>
                <w:szCs w:val="16"/>
              </w:rPr>
              <w:t>Pre-1990 natural forest</w:t>
            </w:r>
          </w:p>
        </w:tc>
        <w:tc>
          <w:tcPr>
            <w:tcW w:w="968" w:type="dxa"/>
            <w:tcBorders>
              <w:top w:val="nil"/>
              <w:bottom w:val="single" w:sz="4" w:space="0" w:color="365F91"/>
            </w:tcBorders>
            <w:shd w:val="clear" w:color="auto" w:fill="auto"/>
            <w:noWrap/>
            <w:vAlign w:val="bottom"/>
            <w:hideMark/>
          </w:tcPr>
          <w:p w14:paraId="4B7986F6" w14:textId="77777777" w:rsidR="00410716" w:rsidRPr="00BE78CA" w:rsidRDefault="00410716" w:rsidP="00C26084">
            <w:pPr>
              <w:pStyle w:val="TableText"/>
              <w:spacing w:before="50" w:after="50"/>
              <w:jc w:val="center"/>
              <w:rPr>
                <w:rFonts w:cs="Calibri"/>
                <w:b/>
                <w:szCs w:val="16"/>
              </w:rPr>
            </w:pPr>
            <w:r w:rsidRPr="00BE78CA">
              <w:rPr>
                <w:rFonts w:cs="Calibri"/>
                <w:b/>
                <w:szCs w:val="16"/>
              </w:rPr>
              <w:t>Pre-1990 planted forest</w:t>
            </w:r>
          </w:p>
        </w:tc>
        <w:tc>
          <w:tcPr>
            <w:tcW w:w="968" w:type="dxa"/>
            <w:tcBorders>
              <w:top w:val="nil"/>
              <w:bottom w:val="single" w:sz="4" w:space="0" w:color="365F91"/>
            </w:tcBorders>
            <w:shd w:val="clear" w:color="auto" w:fill="auto"/>
            <w:noWrap/>
            <w:vAlign w:val="bottom"/>
            <w:hideMark/>
          </w:tcPr>
          <w:p w14:paraId="103B67AF" w14:textId="77777777" w:rsidR="00410716" w:rsidRPr="00BE78CA" w:rsidRDefault="00410716" w:rsidP="00C26084">
            <w:pPr>
              <w:pStyle w:val="TableText"/>
              <w:spacing w:before="50" w:after="50"/>
              <w:jc w:val="center"/>
              <w:rPr>
                <w:rFonts w:cs="Calibri"/>
                <w:b/>
                <w:szCs w:val="16"/>
              </w:rPr>
            </w:pPr>
            <w:r w:rsidRPr="00BE78CA">
              <w:rPr>
                <w:rFonts w:cs="Calibri"/>
                <w:b/>
                <w:szCs w:val="16"/>
              </w:rPr>
              <w:t>Post-1989 planted forest</w:t>
            </w:r>
          </w:p>
        </w:tc>
        <w:tc>
          <w:tcPr>
            <w:tcW w:w="852" w:type="dxa"/>
            <w:tcBorders>
              <w:top w:val="nil"/>
              <w:bottom w:val="single" w:sz="4" w:space="0" w:color="365F91"/>
            </w:tcBorders>
          </w:tcPr>
          <w:p w14:paraId="52054FA8" w14:textId="77777777" w:rsidR="00410716" w:rsidRPr="00BE78CA" w:rsidRDefault="00410716" w:rsidP="00C26084">
            <w:pPr>
              <w:pStyle w:val="TableText"/>
              <w:spacing w:before="50" w:after="50"/>
              <w:jc w:val="center"/>
              <w:rPr>
                <w:rFonts w:cs="Calibri"/>
                <w:b/>
                <w:szCs w:val="16"/>
              </w:rPr>
            </w:pPr>
            <w:r w:rsidRPr="00BE78CA">
              <w:rPr>
                <w:rFonts w:cs="Calibri"/>
                <w:b/>
                <w:szCs w:val="16"/>
              </w:rPr>
              <w:t>Post-1989 natural forest</w:t>
            </w:r>
          </w:p>
        </w:tc>
        <w:tc>
          <w:tcPr>
            <w:tcW w:w="736" w:type="dxa"/>
            <w:tcBorders>
              <w:top w:val="nil"/>
              <w:bottom w:val="single" w:sz="4" w:space="0" w:color="365F91"/>
            </w:tcBorders>
            <w:shd w:val="clear" w:color="auto" w:fill="auto"/>
            <w:vAlign w:val="bottom"/>
          </w:tcPr>
          <w:p w14:paraId="30CDCAE1" w14:textId="77777777" w:rsidR="00410716" w:rsidRPr="00BE78CA" w:rsidRDefault="00410716" w:rsidP="00C26084">
            <w:pPr>
              <w:pStyle w:val="TableText"/>
              <w:spacing w:before="50" w:after="50"/>
              <w:jc w:val="center"/>
              <w:rPr>
                <w:rFonts w:cs="Calibri"/>
                <w:b/>
                <w:szCs w:val="16"/>
              </w:rPr>
            </w:pPr>
            <w:r w:rsidRPr="00BE78CA">
              <w:rPr>
                <w:rFonts w:cs="Calibri"/>
                <w:b/>
                <w:szCs w:val="16"/>
              </w:rPr>
              <w:t>Pre-1990 natural forest</w:t>
            </w:r>
          </w:p>
        </w:tc>
        <w:tc>
          <w:tcPr>
            <w:tcW w:w="853" w:type="dxa"/>
            <w:tcBorders>
              <w:top w:val="nil"/>
              <w:bottom w:val="single" w:sz="4" w:space="0" w:color="365F91"/>
              <w:right w:val="nil"/>
            </w:tcBorders>
            <w:shd w:val="clear" w:color="auto" w:fill="auto"/>
            <w:vAlign w:val="bottom"/>
          </w:tcPr>
          <w:p w14:paraId="61ECF453" w14:textId="77777777" w:rsidR="00410716" w:rsidRPr="00BE78CA" w:rsidRDefault="00410716" w:rsidP="00C26084">
            <w:pPr>
              <w:pStyle w:val="TableText"/>
              <w:spacing w:before="50" w:after="50"/>
              <w:jc w:val="center"/>
              <w:rPr>
                <w:rFonts w:cs="Calibri"/>
                <w:b/>
                <w:szCs w:val="16"/>
              </w:rPr>
            </w:pPr>
            <w:r w:rsidRPr="00BE78CA">
              <w:rPr>
                <w:rFonts w:cs="Calibri"/>
                <w:b/>
                <w:szCs w:val="16"/>
              </w:rPr>
              <w:t>Pre-1990 planted forest</w:t>
            </w:r>
          </w:p>
        </w:tc>
      </w:tr>
      <w:tr w:rsidR="00410716" w:rsidRPr="00BE78CA" w14:paraId="4654FBEF" w14:textId="77777777" w:rsidTr="0004456A">
        <w:tc>
          <w:tcPr>
            <w:tcW w:w="1456" w:type="dxa"/>
            <w:tcBorders>
              <w:top w:val="single" w:sz="4" w:space="0" w:color="365F91"/>
              <w:left w:val="nil"/>
              <w:bottom w:val="single" w:sz="4" w:space="0" w:color="365F91"/>
            </w:tcBorders>
            <w:shd w:val="clear" w:color="auto" w:fill="auto"/>
            <w:noWrap/>
            <w:hideMark/>
          </w:tcPr>
          <w:p w14:paraId="16E032FD" w14:textId="77777777" w:rsidR="00410716" w:rsidRPr="00BE78CA" w:rsidRDefault="00410716" w:rsidP="00C26084">
            <w:pPr>
              <w:pStyle w:val="TableTextBold"/>
              <w:keepNext/>
              <w:spacing w:before="50" w:after="50"/>
              <w:rPr>
                <w:rFonts w:cs="Calibri"/>
                <w:bCs/>
                <w:noProof w:val="0"/>
                <w:szCs w:val="16"/>
              </w:rPr>
            </w:pPr>
            <w:r w:rsidRPr="00BE78CA">
              <w:rPr>
                <w:rFonts w:cs="Calibri"/>
                <w:bCs/>
                <w:noProof w:val="0"/>
                <w:szCs w:val="16"/>
              </w:rPr>
              <w:t>Activity data</w:t>
            </w:r>
          </w:p>
        </w:tc>
        <w:tc>
          <w:tcPr>
            <w:tcW w:w="820" w:type="dxa"/>
            <w:tcBorders>
              <w:top w:val="single" w:sz="4" w:space="0" w:color="365F91"/>
              <w:bottom w:val="single" w:sz="4" w:space="0" w:color="365F91"/>
            </w:tcBorders>
            <w:shd w:val="clear" w:color="auto" w:fill="auto"/>
            <w:noWrap/>
            <w:hideMark/>
          </w:tcPr>
          <w:p w14:paraId="3210BF85" w14:textId="77777777" w:rsidR="00410716" w:rsidRPr="00BE78CA" w:rsidRDefault="00410716" w:rsidP="00C26084">
            <w:pPr>
              <w:pStyle w:val="TableTextBold"/>
              <w:spacing w:before="50" w:after="50"/>
              <w:jc w:val="center"/>
              <w:rPr>
                <w:rFonts w:cs="Calibri"/>
                <w:noProof w:val="0"/>
                <w:szCs w:val="16"/>
              </w:rPr>
            </w:pPr>
          </w:p>
        </w:tc>
        <w:tc>
          <w:tcPr>
            <w:tcW w:w="852" w:type="dxa"/>
            <w:tcBorders>
              <w:top w:val="single" w:sz="4" w:space="0" w:color="365F91"/>
              <w:bottom w:val="single" w:sz="4" w:space="0" w:color="365F91"/>
            </w:tcBorders>
          </w:tcPr>
          <w:p w14:paraId="47902037" w14:textId="77777777" w:rsidR="00410716" w:rsidRPr="00BE78CA" w:rsidRDefault="00410716" w:rsidP="00C26084">
            <w:pPr>
              <w:pStyle w:val="TableTextBold"/>
              <w:spacing w:before="50" w:after="50"/>
              <w:jc w:val="center"/>
              <w:rPr>
                <w:rFonts w:cs="Calibri"/>
                <w:noProof w:val="0"/>
                <w:szCs w:val="16"/>
              </w:rPr>
            </w:pPr>
          </w:p>
        </w:tc>
        <w:tc>
          <w:tcPr>
            <w:tcW w:w="853" w:type="dxa"/>
            <w:tcBorders>
              <w:top w:val="single" w:sz="4" w:space="0" w:color="365F91"/>
              <w:bottom w:val="single" w:sz="4" w:space="0" w:color="365F91"/>
            </w:tcBorders>
            <w:shd w:val="clear" w:color="auto" w:fill="auto"/>
            <w:noWrap/>
            <w:hideMark/>
          </w:tcPr>
          <w:p w14:paraId="7F30C215" w14:textId="77777777" w:rsidR="00410716" w:rsidRPr="00BE78CA" w:rsidRDefault="00410716" w:rsidP="00C26084">
            <w:pPr>
              <w:pStyle w:val="TableTextBold"/>
              <w:spacing w:before="50" w:after="50"/>
              <w:jc w:val="center"/>
              <w:rPr>
                <w:rFonts w:cs="Calibri"/>
                <w:noProof w:val="0"/>
                <w:szCs w:val="16"/>
              </w:rPr>
            </w:pPr>
          </w:p>
        </w:tc>
        <w:tc>
          <w:tcPr>
            <w:tcW w:w="968" w:type="dxa"/>
            <w:tcBorders>
              <w:top w:val="single" w:sz="4" w:space="0" w:color="365F91"/>
              <w:bottom w:val="single" w:sz="4" w:space="0" w:color="365F91"/>
            </w:tcBorders>
            <w:shd w:val="clear" w:color="auto" w:fill="auto"/>
            <w:noWrap/>
            <w:hideMark/>
          </w:tcPr>
          <w:p w14:paraId="0C92933F" w14:textId="77777777" w:rsidR="00410716" w:rsidRPr="00BE78CA" w:rsidRDefault="00410716" w:rsidP="00C26084">
            <w:pPr>
              <w:pStyle w:val="TableTextBold"/>
              <w:spacing w:before="50" w:after="50"/>
              <w:jc w:val="center"/>
              <w:rPr>
                <w:rFonts w:cs="Calibri"/>
                <w:noProof w:val="0"/>
                <w:szCs w:val="16"/>
              </w:rPr>
            </w:pPr>
          </w:p>
        </w:tc>
        <w:tc>
          <w:tcPr>
            <w:tcW w:w="968" w:type="dxa"/>
            <w:tcBorders>
              <w:top w:val="single" w:sz="4" w:space="0" w:color="365F91"/>
              <w:bottom w:val="single" w:sz="4" w:space="0" w:color="365F91"/>
            </w:tcBorders>
            <w:shd w:val="clear" w:color="auto" w:fill="auto"/>
            <w:noWrap/>
            <w:hideMark/>
          </w:tcPr>
          <w:p w14:paraId="6E2795DA" w14:textId="77777777" w:rsidR="00410716" w:rsidRPr="00BE78CA" w:rsidRDefault="00410716" w:rsidP="00C26084">
            <w:pPr>
              <w:pStyle w:val="TableTextBold"/>
              <w:spacing w:before="50" w:after="50"/>
              <w:jc w:val="center"/>
              <w:rPr>
                <w:rFonts w:cs="Calibri"/>
                <w:noProof w:val="0"/>
                <w:szCs w:val="16"/>
              </w:rPr>
            </w:pPr>
          </w:p>
        </w:tc>
        <w:tc>
          <w:tcPr>
            <w:tcW w:w="852" w:type="dxa"/>
            <w:tcBorders>
              <w:top w:val="single" w:sz="4" w:space="0" w:color="365F91"/>
              <w:bottom w:val="single" w:sz="4" w:space="0" w:color="365F91"/>
            </w:tcBorders>
          </w:tcPr>
          <w:p w14:paraId="7FACAE59" w14:textId="77777777" w:rsidR="00410716" w:rsidRPr="00BE78CA" w:rsidRDefault="00410716" w:rsidP="00C26084">
            <w:pPr>
              <w:pStyle w:val="TableTextBold"/>
              <w:spacing w:before="50" w:after="50"/>
              <w:jc w:val="center"/>
              <w:rPr>
                <w:rFonts w:cs="Calibri"/>
                <w:noProof w:val="0"/>
                <w:szCs w:val="16"/>
              </w:rPr>
            </w:pPr>
          </w:p>
        </w:tc>
        <w:tc>
          <w:tcPr>
            <w:tcW w:w="736" w:type="dxa"/>
            <w:tcBorders>
              <w:top w:val="single" w:sz="4" w:space="0" w:color="365F91"/>
              <w:bottom w:val="single" w:sz="4" w:space="0" w:color="365F91"/>
            </w:tcBorders>
            <w:shd w:val="clear" w:color="auto" w:fill="auto"/>
          </w:tcPr>
          <w:p w14:paraId="1EA98ABD" w14:textId="77777777" w:rsidR="00410716" w:rsidRPr="00BE78CA" w:rsidRDefault="00410716" w:rsidP="00C26084">
            <w:pPr>
              <w:pStyle w:val="TableTextBold"/>
              <w:spacing w:before="50" w:after="50"/>
              <w:jc w:val="center"/>
              <w:rPr>
                <w:rFonts w:cs="Calibri"/>
                <w:noProof w:val="0"/>
                <w:szCs w:val="16"/>
              </w:rPr>
            </w:pPr>
          </w:p>
        </w:tc>
        <w:tc>
          <w:tcPr>
            <w:tcW w:w="853" w:type="dxa"/>
            <w:tcBorders>
              <w:top w:val="single" w:sz="4" w:space="0" w:color="365F91"/>
              <w:bottom w:val="single" w:sz="4" w:space="0" w:color="365F91"/>
              <w:right w:val="nil"/>
            </w:tcBorders>
            <w:shd w:val="clear" w:color="auto" w:fill="auto"/>
          </w:tcPr>
          <w:p w14:paraId="693C389E" w14:textId="77777777" w:rsidR="00410716" w:rsidRPr="00BE78CA" w:rsidRDefault="00410716" w:rsidP="00C26084">
            <w:pPr>
              <w:pStyle w:val="TableTextBold"/>
              <w:spacing w:before="50" w:after="50"/>
              <w:jc w:val="center"/>
              <w:rPr>
                <w:rFonts w:cs="Calibri"/>
                <w:noProof w:val="0"/>
                <w:szCs w:val="16"/>
              </w:rPr>
            </w:pPr>
          </w:p>
        </w:tc>
      </w:tr>
      <w:tr w:rsidR="00410716" w:rsidRPr="00BE78CA" w14:paraId="0D78C25F" w14:textId="77777777" w:rsidTr="0004456A">
        <w:tc>
          <w:tcPr>
            <w:tcW w:w="1456" w:type="dxa"/>
            <w:tcBorders>
              <w:top w:val="single" w:sz="4" w:space="0" w:color="365F91"/>
              <w:left w:val="nil"/>
              <w:bottom w:val="single" w:sz="4" w:space="0" w:color="365F91"/>
            </w:tcBorders>
            <w:shd w:val="clear" w:color="auto" w:fill="auto"/>
            <w:noWrap/>
            <w:vAlign w:val="center"/>
            <w:hideMark/>
          </w:tcPr>
          <w:p w14:paraId="4551E74D" w14:textId="77777777" w:rsidR="00410716" w:rsidRPr="00BE78CA" w:rsidRDefault="00410716" w:rsidP="00C26084">
            <w:pPr>
              <w:pStyle w:val="TableText"/>
              <w:keepNext/>
              <w:spacing w:before="50" w:after="50"/>
              <w:ind w:left="185"/>
              <w:rPr>
                <w:rFonts w:cs="Calibri"/>
                <w:bCs/>
                <w:szCs w:val="16"/>
              </w:rPr>
            </w:pPr>
            <w:r w:rsidRPr="00BE78CA">
              <w:rPr>
                <w:rFonts w:cs="Calibri"/>
                <w:bCs/>
                <w:szCs w:val="16"/>
              </w:rPr>
              <w:t>Uncertainty in land area</w:t>
            </w:r>
          </w:p>
        </w:tc>
        <w:tc>
          <w:tcPr>
            <w:tcW w:w="820" w:type="dxa"/>
            <w:tcBorders>
              <w:top w:val="single" w:sz="4" w:space="0" w:color="365F91"/>
              <w:bottom w:val="single" w:sz="4" w:space="0" w:color="365F91"/>
            </w:tcBorders>
            <w:shd w:val="clear" w:color="auto" w:fill="auto"/>
            <w:noWrap/>
            <w:hideMark/>
          </w:tcPr>
          <w:p w14:paraId="722348E4" w14:textId="77777777" w:rsidR="00410716" w:rsidRPr="00BE78CA" w:rsidRDefault="00410716" w:rsidP="00C26084">
            <w:pPr>
              <w:pStyle w:val="TableText"/>
              <w:spacing w:before="50" w:after="50"/>
              <w:ind w:right="118"/>
              <w:jc w:val="right"/>
              <w:rPr>
                <w:rFonts w:cs="Calibri"/>
                <w:szCs w:val="16"/>
              </w:rPr>
            </w:pPr>
            <w:r w:rsidRPr="00BE78CA">
              <w:rPr>
                <w:rFonts w:cs="Calibri"/>
                <w:szCs w:val="16"/>
              </w:rPr>
              <w:t>±</w:t>
            </w:r>
            <w:r w:rsidRPr="00BE78CA">
              <w:t>8.0</w:t>
            </w:r>
          </w:p>
        </w:tc>
        <w:tc>
          <w:tcPr>
            <w:tcW w:w="852" w:type="dxa"/>
            <w:tcBorders>
              <w:top w:val="single" w:sz="4" w:space="0" w:color="365F91"/>
              <w:bottom w:val="single" w:sz="4" w:space="0" w:color="365F91"/>
            </w:tcBorders>
          </w:tcPr>
          <w:p w14:paraId="4EB03D73" w14:textId="77777777" w:rsidR="00410716" w:rsidRPr="00BE78CA" w:rsidRDefault="00410716" w:rsidP="00C26084">
            <w:pPr>
              <w:pStyle w:val="TableText"/>
              <w:spacing w:before="50" w:after="50"/>
              <w:ind w:right="118"/>
              <w:jc w:val="right"/>
              <w:rPr>
                <w:rFonts w:cs="Calibri"/>
                <w:szCs w:val="16"/>
              </w:rPr>
            </w:pPr>
            <w:r w:rsidRPr="00BE78CA">
              <w:rPr>
                <w:rFonts w:cs="Calibri"/>
                <w:szCs w:val="16"/>
              </w:rPr>
              <w:t>±</w:t>
            </w:r>
            <w:r w:rsidRPr="00BE78CA">
              <w:t>8.0</w:t>
            </w:r>
          </w:p>
        </w:tc>
        <w:tc>
          <w:tcPr>
            <w:tcW w:w="853" w:type="dxa"/>
            <w:tcBorders>
              <w:top w:val="single" w:sz="4" w:space="0" w:color="365F91"/>
              <w:bottom w:val="single" w:sz="4" w:space="0" w:color="365F91"/>
            </w:tcBorders>
            <w:shd w:val="clear" w:color="auto" w:fill="auto"/>
            <w:noWrap/>
            <w:hideMark/>
          </w:tcPr>
          <w:p w14:paraId="5A3250E6" w14:textId="77777777" w:rsidR="00410716" w:rsidRPr="00BE78CA" w:rsidRDefault="00410716" w:rsidP="00C26084">
            <w:pPr>
              <w:pStyle w:val="TableText"/>
              <w:spacing w:before="50" w:after="50"/>
              <w:ind w:right="118"/>
              <w:jc w:val="right"/>
              <w:rPr>
                <w:rFonts w:cs="Calibri"/>
                <w:szCs w:val="16"/>
              </w:rPr>
            </w:pPr>
            <w:r w:rsidRPr="00BE78CA">
              <w:rPr>
                <w:rFonts w:cs="Calibri"/>
                <w:szCs w:val="16"/>
              </w:rPr>
              <w:t>±</w:t>
            </w:r>
            <w:r w:rsidRPr="00BE78CA">
              <w:t>5.0</w:t>
            </w:r>
          </w:p>
        </w:tc>
        <w:tc>
          <w:tcPr>
            <w:tcW w:w="968" w:type="dxa"/>
            <w:tcBorders>
              <w:top w:val="single" w:sz="4" w:space="0" w:color="365F91"/>
              <w:bottom w:val="single" w:sz="4" w:space="0" w:color="365F91"/>
            </w:tcBorders>
            <w:shd w:val="clear" w:color="auto" w:fill="auto"/>
            <w:noWrap/>
            <w:hideMark/>
          </w:tcPr>
          <w:p w14:paraId="57566583" w14:textId="77777777" w:rsidR="00410716" w:rsidRPr="00BE78CA" w:rsidRDefault="00410716" w:rsidP="00C26084">
            <w:pPr>
              <w:pStyle w:val="TableText"/>
              <w:spacing w:before="50" w:after="50"/>
              <w:ind w:right="118"/>
              <w:jc w:val="right"/>
              <w:rPr>
                <w:rFonts w:cs="Calibri"/>
                <w:szCs w:val="16"/>
              </w:rPr>
            </w:pPr>
            <w:r w:rsidRPr="00BE78CA">
              <w:rPr>
                <w:rFonts w:cs="Calibri"/>
                <w:szCs w:val="16"/>
              </w:rPr>
              <w:t>±</w:t>
            </w:r>
            <w:r w:rsidRPr="00BE78CA">
              <w:t>5.0</w:t>
            </w:r>
          </w:p>
        </w:tc>
        <w:tc>
          <w:tcPr>
            <w:tcW w:w="968" w:type="dxa"/>
            <w:tcBorders>
              <w:top w:val="single" w:sz="4" w:space="0" w:color="365F91"/>
              <w:bottom w:val="single" w:sz="4" w:space="0" w:color="365F91"/>
            </w:tcBorders>
            <w:shd w:val="clear" w:color="auto" w:fill="auto"/>
            <w:noWrap/>
            <w:hideMark/>
          </w:tcPr>
          <w:p w14:paraId="28814A41" w14:textId="77777777" w:rsidR="00410716" w:rsidRPr="00BE78CA" w:rsidRDefault="00410716" w:rsidP="00C26084">
            <w:pPr>
              <w:pStyle w:val="TableText"/>
              <w:spacing w:before="50" w:after="50"/>
              <w:ind w:right="118"/>
              <w:jc w:val="right"/>
              <w:rPr>
                <w:rFonts w:cs="Calibri"/>
                <w:szCs w:val="16"/>
              </w:rPr>
            </w:pPr>
            <w:r w:rsidRPr="00BE78CA">
              <w:rPr>
                <w:rFonts w:cs="Calibri"/>
                <w:szCs w:val="16"/>
              </w:rPr>
              <w:t>±</w:t>
            </w:r>
            <w:r w:rsidRPr="00BE78CA">
              <w:t>5.0</w:t>
            </w:r>
          </w:p>
        </w:tc>
        <w:tc>
          <w:tcPr>
            <w:tcW w:w="852" w:type="dxa"/>
            <w:tcBorders>
              <w:top w:val="single" w:sz="4" w:space="0" w:color="365F91"/>
              <w:bottom w:val="single" w:sz="4" w:space="0" w:color="365F91"/>
            </w:tcBorders>
          </w:tcPr>
          <w:p w14:paraId="030A562A" w14:textId="77777777" w:rsidR="00410716" w:rsidRPr="00BE78CA" w:rsidRDefault="00410716" w:rsidP="00C26084">
            <w:pPr>
              <w:pStyle w:val="TableText"/>
              <w:spacing w:before="50" w:after="50"/>
              <w:ind w:right="118"/>
              <w:jc w:val="right"/>
              <w:rPr>
                <w:rFonts w:cs="Calibri"/>
                <w:szCs w:val="16"/>
              </w:rPr>
            </w:pPr>
            <w:r w:rsidRPr="00BE78CA">
              <w:rPr>
                <w:rFonts w:cs="Calibri"/>
                <w:szCs w:val="16"/>
              </w:rPr>
              <w:t>±</w:t>
            </w:r>
            <w:r w:rsidRPr="00BE78CA">
              <w:t>5.0</w:t>
            </w:r>
          </w:p>
        </w:tc>
        <w:tc>
          <w:tcPr>
            <w:tcW w:w="736" w:type="dxa"/>
            <w:tcBorders>
              <w:top w:val="single" w:sz="4" w:space="0" w:color="365F91"/>
              <w:bottom w:val="single" w:sz="4" w:space="0" w:color="365F91"/>
            </w:tcBorders>
            <w:shd w:val="clear" w:color="auto" w:fill="auto"/>
          </w:tcPr>
          <w:p w14:paraId="3E9845BA" w14:textId="77777777" w:rsidR="00410716" w:rsidRPr="00BE78CA" w:rsidRDefault="00410716" w:rsidP="00C26084">
            <w:pPr>
              <w:pStyle w:val="TableText"/>
              <w:spacing w:before="50" w:after="50"/>
              <w:ind w:right="118"/>
              <w:jc w:val="right"/>
              <w:rPr>
                <w:rFonts w:cs="Calibri"/>
                <w:szCs w:val="16"/>
              </w:rPr>
            </w:pPr>
            <w:r w:rsidRPr="00BE78CA">
              <w:rPr>
                <w:rFonts w:cs="Calibri"/>
                <w:szCs w:val="16"/>
              </w:rPr>
              <w:t>±</w:t>
            </w:r>
            <w:r w:rsidRPr="00BE78CA">
              <w:t>5.0</w:t>
            </w:r>
          </w:p>
        </w:tc>
        <w:tc>
          <w:tcPr>
            <w:tcW w:w="853" w:type="dxa"/>
            <w:tcBorders>
              <w:top w:val="single" w:sz="4" w:space="0" w:color="365F91"/>
              <w:bottom w:val="single" w:sz="4" w:space="0" w:color="365F91"/>
              <w:right w:val="nil"/>
            </w:tcBorders>
            <w:shd w:val="clear" w:color="auto" w:fill="auto"/>
          </w:tcPr>
          <w:p w14:paraId="72B7BA73" w14:textId="77777777" w:rsidR="00410716" w:rsidRPr="00BE78CA" w:rsidRDefault="00410716" w:rsidP="00C26084">
            <w:pPr>
              <w:pStyle w:val="TableText"/>
              <w:spacing w:before="50" w:after="50"/>
              <w:ind w:right="118"/>
              <w:jc w:val="right"/>
              <w:rPr>
                <w:rFonts w:cs="Calibri"/>
                <w:szCs w:val="16"/>
              </w:rPr>
            </w:pPr>
            <w:r w:rsidRPr="00BE78CA">
              <w:rPr>
                <w:rFonts w:cs="Calibri"/>
                <w:szCs w:val="16"/>
              </w:rPr>
              <w:t>±</w:t>
            </w:r>
            <w:r w:rsidRPr="00BE78CA">
              <w:t>5.0</w:t>
            </w:r>
          </w:p>
        </w:tc>
      </w:tr>
      <w:tr w:rsidR="00410716" w:rsidRPr="00BE78CA" w14:paraId="2966550D" w14:textId="77777777" w:rsidTr="0004456A">
        <w:tc>
          <w:tcPr>
            <w:tcW w:w="1456" w:type="dxa"/>
            <w:tcBorders>
              <w:top w:val="single" w:sz="4" w:space="0" w:color="365F91"/>
              <w:left w:val="nil"/>
              <w:bottom w:val="single" w:sz="4" w:space="0" w:color="365F91"/>
            </w:tcBorders>
            <w:shd w:val="clear" w:color="auto" w:fill="auto"/>
            <w:noWrap/>
            <w:hideMark/>
          </w:tcPr>
          <w:p w14:paraId="6CC55BE6" w14:textId="77777777" w:rsidR="00410716" w:rsidRPr="00BE78CA" w:rsidRDefault="00410716" w:rsidP="00C26084">
            <w:pPr>
              <w:pStyle w:val="TableTextBold"/>
              <w:spacing w:before="50" w:after="50"/>
              <w:rPr>
                <w:rFonts w:cs="Calibri"/>
                <w:bCs/>
                <w:noProof w:val="0"/>
                <w:szCs w:val="16"/>
              </w:rPr>
            </w:pPr>
            <w:r w:rsidRPr="00BE78CA">
              <w:rPr>
                <w:rFonts w:cs="Calibri"/>
                <w:bCs/>
                <w:noProof w:val="0"/>
                <w:szCs w:val="16"/>
              </w:rPr>
              <w:t>Emission factors</w:t>
            </w:r>
          </w:p>
        </w:tc>
        <w:tc>
          <w:tcPr>
            <w:tcW w:w="820" w:type="dxa"/>
            <w:tcBorders>
              <w:top w:val="single" w:sz="4" w:space="0" w:color="365F91"/>
              <w:bottom w:val="single" w:sz="4" w:space="0" w:color="365F91"/>
            </w:tcBorders>
            <w:shd w:val="clear" w:color="auto" w:fill="auto"/>
            <w:noWrap/>
            <w:hideMark/>
          </w:tcPr>
          <w:p w14:paraId="6A6378E5" w14:textId="77777777" w:rsidR="00410716" w:rsidRPr="00BE78CA" w:rsidRDefault="00410716" w:rsidP="00C26084">
            <w:pPr>
              <w:pStyle w:val="TableTextBold"/>
              <w:spacing w:before="50" w:after="50"/>
              <w:ind w:right="118"/>
              <w:jc w:val="right"/>
              <w:rPr>
                <w:rFonts w:cs="Calibri"/>
                <w:noProof w:val="0"/>
                <w:szCs w:val="16"/>
              </w:rPr>
            </w:pPr>
          </w:p>
        </w:tc>
        <w:tc>
          <w:tcPr>
            <w:tcW w:w="852" w:type="dxa"/>
            <w:tcBorders>
              <w:top w:val="single" w:sz="4" w:space="0" w:color="365F91"/>
              <w:bottom w:val="single" w:sz="4" w:space="0" w:color="365F91"/>
            </w:tcBorders>
          </w:tcPr>
          <w:p w14:paraId="0521CA3A" w14:textId="77777777" w:rsidR="00410716" w:rsidRPr="00BE78CA" w:rsidRDefault="00410716" w:rsidP="00C26084">
            <w:pPr>
              <w:pStyle w:val="TableTextBold"/>
              <w:spacing w:before="50" w:after="50"/>
              <w:ind w:right="118"/>
              <w:jc w:val="right"/>
              <w:rPr>
                <w:rFonts w:cs="Calibri"/>
                <w:noProof w:val="0"/>
                <w:szCs w:val="16"/>
              </w:rPr>
            </w:pPr>
          </w:p>
        </w:tc>
        <w:tc>
          <w:tcPr>
            <w:tcW w:w="853" w:type="dxa"/>
            <w:tcBorders>
              <w:top w:val="single" w:sz="4" w:space="0" w:color="365F91"/>
              <w:bottom w:val="single" w:sz="4" w:space="0" w:color="365F91"/>
            </w:tcBorders>
            <w:shd w:val="clear" w:color="auto" w:fill="auto"/>
            <w:noWrap/>
            <w:hideMark/>
          </w:tcPr>
          <w:p w14:paraId="7C57CF29" w14:textId="77777777" w:rsidR="00410716" w:rsidRPr="00BE78CA" w:rsidRDefault="00410716" w:rsidP="00C26084">
            <w:pPr>
              <w:pStyle w:val="TableTextBold"/>
              <w:spacing w:before="50" w:after="50"/>
              <w:ind w:right="118"/>
              <w:jc w:val="right"/>
              <w:rPr>
                <w:rFonts w:cs="Calibri"/>
                <w:noProof w:val="0"/>
                <w:szCs w:val="16"/>
              </w:rPr>
            </w:pPr>
          </w:p>
        </w:tc>
        <w:tc>
          <w:tcPr>
            <w:tcW w:w="968" w:type="dxa"/>
            <w:tcBorders>
              <w:top w:val="single" w:sz="4" w:space="0" w:color="365F91"/>
              <w:bottom w:val="single" w:sz="4" w:space="0" w:color="365F91"/>
            </w:tcBorders>
            <w:shd w:val="clear" w:color="auto" w:fill="auto"/>
            <w:noWrap/>
            <w:hideMark/>
          </w:tcPr>
          <w:p w14:paraId="4FB34BA8" w14:textId="77777777" w:rsidR="00410716" w:rsidRPr="00BE78CA" w:rsidRDefault="00410716" w:rsidP="00C26084">
            <w:pPr>
              <w:pStyle w:val="TableTextBold"/>
              <w:spacing w:before="50" w:after="50"/>
              <w:ind w:right="118"/>
              <w:jc w:val="right"/>
              <w:rPr>
                <w:rFonts w:cs="Calibri"/>
                <w:noProof w:val="0"/>
                <w:szCs w:val="16"/>
              </w:rPr>
            </w:pPr>
          </w:p>
        </w:tc>
        <w:tc>
          <w:tcPr>
            <w:tcW w:w="968" w:type="dxa"/>
            <w:tcBorders>
              <w:top w:val="single" w:sz="4" w:space="0" w:color="365F91"/>
              <w:bottom w:val="single" w:sz="4" w:space="0" w:color="365F91"/>
            </w:tcBorders>
            <w:shd w:val="clear" w:color="auto" w:fill="auto"/>
            <w:noWrap/>
            <w:hideMark/>
          </w:tcPr>
          <w:p w14:paraId="2C6A5E4C" w14:textId="77777777" w:rsidR="00410716" w:rsidRPr="00BE78CA" w:rsidRDefault="00410716" w:rsidP="00C26084">
            <w:pPr>
              <w:pStyle w:val="TableTextBold"/>
              <w:spacing w:before="50" w:after="50"/>
              <w:ind w:right="118"/>
              <w:jc w:val="right"/>
              <w:rPr>
                <w:rFonts w:cs="Calibri"/>
                <w:noProof w:val="0"/>
                <w:szCs w:val="16"/>
              </w:rPr>
            </w:pPr>
          </w:p>
        </w:tc>
        <w:tc>
          <w:tcPr>
            <w:tcW w:w="852" w:type="dxa"/>
            <w:tcBorders>
              <w:top w:val="single" w:sz="4" w:space="0" w:color="365F91"/>
              <w:bottom w:val="single" w:sz="4" w:space="0" w:color="365F91"/>
            </w:tcBorders>
          </w:tcPr>
          <w:p w14:paraId="07B06387" w14:textId="77777777" w:rsidR="00410716" w:rsidRPr="00BE78CA" w:rsidRDefault="00410716" w:rsidP="00C26084">
            <w:pPr>
              <w:pStyle w:val="TableTextBold"/>
              <w:spacing w:before="50" w:after="50"/>
              <w:ind w:right="118"/>
              <w:jc w:val="right"/>
              <w:rPr>
                <w:rFonts w:cs="Calibri"/>
                <w:noProof w:val="0"/>
                <w:szCs w:val="16"/>
              </w:rPr>
            </w:pPr>
          </w:p>
        </w:tc>
        <w:tc>
          <w:tcPr>
            <w:tcW w:w="736" w:type="dxa"/>
            <w:tcBorders>
              <w:top w:val="single" w:sz="4" w:space="0" w:color="365F91"/>
              <w:bottom w:val="single" w:sz="4" w:space="0" w:color="365F91"/>
            </w:tcBorders>
            <w:shd w:val="clear" w:color="auto" w:fill="auto"/>
          </w:tcPr>
          <w:p w14:paraId="14E6E453" w14:textId="77777777" w:rsidR="00410716" w:rsidRPr="00BE78CA" w:rsidRDefault="00410716" w:rsidP="00C26084">
            <w:pPr>
              <w:pStyle w:val="TableTextBold"/>
              <w:spacing w:before="50" w:after="50"/>
              <w:ind w:right="118"/>
              <w:jc w:val="right"/>
              <w:rPr>
                <w:rFonts w:cs="Calibri"/>
                <w:noProof w:val="0"/>
                <w:szCs w:val="16"/>
              </w:rPr>
            </w:pPr>
          </w:p>
        </w:tc>
        <w:tc>
          <w:tcPr>
            <w:tcW w:w="853" w:type="dxa"/>
            <w:tcBorders>
              <w:top w:val="single" w:sz="4" w:space="0" w:color="365F91"/>
              <w:bottom w:val="single" w:sz="4" w:space="0" w:color="365F91"/>
              <w:right w:val="nil"/>
            </w:tcBorders>
            <w:shd w:val="clear" w:color="auto" w:fill="auto"/>
          </w:tcPr>
          <w:p w14:paraId="78D1F30E" w14:textId="77777777" w:rsidR="00410716" w:rsidRPr="00BE78CA" w:rsidRDefault="00410716" w:rsidP="00C26084">
            <w:pPr>
              <w:pStyle w:val="TableTextBold"/>
              <w:spacing w:before="50" w:after="50"/>
              <w:ind w:right="118"/>
              <w:jc w:val="right"/>
              <w:rPr>
                <w:rFonts w:cs="Calibri"/>
                <w:noProof w:val="0"/>
                <w:szCs w:val="16"/>
              </w:rPr>
            </w:pPr>
          </w:p>
        </w:tc>
      </w:tr>
      <w:tr w:rsidR="00410716" w:rsidRPr="00BE78CA" w14:paraId="5389328E" w14:textId="77777777" w:rsidTr="0004456A">
        <w:tc>
          <w:tcPr>
            <w:tcW w:w="1456" w:type="dxa"/>
            <w:tcBorders>
              <w:top w:val="single" w:sz="4" w:space="0" w:color="365F91"/>
              <w:left w:val="nil"/>
              <w:bottom w:val="single" w:sz="4" w:space="0" w:color="365F91"/>
            </w:tcBorders>
            <w:shd w:val="clear" w:color="auto" w:fill="auto"/>
            <w:noWrap/>
            <w:hideMark/>
          </w:tcPr>
          <w:p w14:paraId="55D99C07" w14:textId="77777777" w:rsidR="00410716" w:rsidRPr="00BE78CA" w:rsidRDefault="00410716" w:rsidP="00C26084">
            <w:pPr>
              <w:pStyle w:val="TableText"/>
              <w:spacing w:before="50" w:after="50"/>
              <w:ind w:left="185"/>
              <w:rPr>
                <w:rFonts w:cs="Calibri"/>
                <w:bCs/>
                <w:szCs w:val="16"/>
              </w:rPr>
            </w:pPr>
            <w:r w:rsidRPr="00BE78CA">
              <w:t>Uncertainty in biomass carbon stocks (losses)</w:t>
            </w:r>
          </w:p>
        </w:tc>
        <w:tc>
          <w:tcPr>
            <w:tcW w:w="820" w:type="dxa"/>
            <w:tcBorders>
              <w:top w:val="single" w:sz="4" w:space="0" w:color="365F91"/>
              <w:bottom w:val="single" w:sz="4" w:space="0" w:color="365F91"/>
            </w:tcBorders>
            <w:shd w:val="clear" w:color="auto" w:fill="auto"/>
            <w:noWrap/>
            <w:hideMark/>
          </w:tcPr>
          <w:p w14:paraId="18439D40" w14:textId="77777777" w:rsidR="00410716" w:rsidRPr="00BE78CA" w:rsidRDefault="00410716" w:rsidP="00C26084">
            <w:pPr>
              <w:pStyle w:val="TableText"/>
              <w:spacing w:before="50" w:after="50"/>
              <w:ind w:right="118"/>
              <w:jc w:val="right"/>
              <w:rPr>
                <w:rFonts w:cs="Calibri"/>
                <w:szCs w:val="16"/>
              </w:rPr>
            </w:pPr>
            <w:r w:rsidRPr="00BE78CA">
              <w:rPr>
                <w:rFonts w:cs="Calibri"/>
                <w:szCs w:val="16"/>
              </w:rPr>
              <w:t>±</w:t>
            </w:r>
            <w:r w:rsidRPr="00BE78CA">
              <w:t>20.5</w:t>
            </w:r>
          </w:p>
        </w:tc>
        <w:tc>
          <w:tcPr>
            <w:tcW w:w="852" w:type="dxa"/>
            <w:tcBorders>
              <w:top w:val="single" w:sz="4" w:space="0" w:color="365F91"/>
              <w:bottom w:val="single" w:sz="4" w:space="0" w:color="365F91"/>
            </w:tcBorders>
          </w:tcPr>
          <w:p w14:paraId="74F45885" w14:textId="77777777" w:rsidR="00410716" w:rsidRPr="00BE78CA" w:rsidRDefault="00410716" w:rsidP="00C26084">
            <w:pPr>
              <w:pStyle w:val="TableText"/>
              <w:spacing w:before="50" w:after="50"/>
              <w:ind w:right="118"/>
              <w:jc w:val="right"/>
              <w:rPr>
                <w:rFonts w:cs="Calibri"/>
                <w:szCs w:val="16"/>
              </w:rPr>
            </w:pPr>
            <w:r w:rsidRPr="00BE78CA">
              <w:t>–</w:t>
            </w:r>
          </w:p>
        </w:tc>
        <w:tc>
          <w:tcPr>
            <w:tcW w:w="853" w:type="dxa"/>
            <w:tcBorders>
              <w:top w:val="single" w:sz="4" w:space="0" w:color="365F91"/>
              <w:bottom w:val="single" w:sz="4" w:space="0" w:color="365F91"/>
            </w:tcBorders>
            <w:shd w:val="clear" w:color="auto" w:fill="auto"/>
            <w:noWrap/>
            <w:hideMark/>
          </w:tcPr>
          <w:p w14:paraId="5CF4CFF7" w14:textId="77777777" w:rsidR="00410716" w:rsidRPr="00BE78CA" w:rsidRDefault="00410716" w:rsidP="00C26084">
            <w:pPr>
              <w:pStyle w:val="TableText"/>
              <w:spacing w:before="50" w:after="50"/>
              <w:ind w:right="118"/>
              <w:jc w:val="right"/>
              <w:rPr>
                <w:rFonts w:cs="Calibri"/>
                <w:szCs w:val="16"/>
              </w:rPr>
            </w:pPr>
            <w:r w:rsidRPr="00BE78CA">
              <w:rPr>
                <w:rFonts w:cs="Calibri"/>
                <w:szCs w:val="16"/>
              </w:rPr>
              <w:t>±</w:t>
            </w:r>
            <w:r w:rsidRPr="00BE78CA">
              <w:t>14.9</w:t>
            </w:r>
          </w:p>
        </w:tc>
        <w:tc>
          <w:tcPr>
            <w:tcW w:w="968" w:type="dxa"/>
            <w:tcBorders>
              <w:top w:val="single" w:sz="4" w:space="0" w:color="365F91"/>
              <w:bottom w:val="single" w:sz="4" w:space="0" w:color="365F91"/>
            </w:tcBorders>
            <w:shd w:val="clear" w:color="auto" w:fill="auto"/>
            <w:noWrap/>
            <w:hideMark/>
          </w:tcPr>
          <w:p w14:paraId="36DB1511" w14:textId="77777777" w:rsidR="00410716" w:rsidRPr="00BE78CA" w:rsidRDefault="00410716" w:rsidP="00C26084">
            <w:pPr>
              <w:pStyle w:val="TableText"/>
              <w:spacing w:before="50" w:after="50"/>
              <w:ind w:right="118"/>
              <w:jc w:val="right"/>
              <w:rPr>
                <w:rFonts w:cs="Calibri"/>
                <w:szCs w:val="16"/>
              </w:rPr>
            </w:pPr>
            <w:r w:rsidRPr="00BE78CA">
              <w:rPr>
                <w:rFonts w:cs="Calibri"/>
                <w:szCs w:val="16"/>
              </w:rPr>
              <w:t>±</w:t>
            </w:r>
            <w:r w:rsidRPr="00BE78CA">
              <w:t>21.9</w:t>
            </w:r>
          </w:p>
        </w:tc>
        <w:tc>
          <w:tcPr>
            <w:tcW w:w="968" w:type="dxa"/>
            <w:tcBorders>
              <w:top w:val="single" w:sz="4" w:space="0" w:color="365F91"/>
              <w:bottom w:val="single" w:sz="4" w:space="0" w:color="365F91"/>
            </w:tcBorders>
            <w:shd w:val="clear" w:color="auto" w:fill="auto"/>
            <w:noWrap/>
            <w:hideMark/>
          </w:tcPr>
          <w:p w14:paraId="0DC3FAF4" w14:textId="77777777" w:rsidR="00410716" w:rsidRPr="00BE78CA" w:rsidRDefault="00410716" w:rsidP="00C26084">
            <w:pPr>
              <w:pStyle w:val="TableText"/>
              <w:spacing w:before="50" w:after="50"/>
              <w:ind w:right="118"/>
              <w:jc w:val="right"/>
              <w:rPr>
                <w:rFonts w:cs="Calibri"/>
                <w:szCs w:val="16"/>
              </w:rPr>
            </w:pPr>
            <w:r w:rsidRPr="00BE78CA">
              <w:rPr>
                <w:rFonts w:cs="Calibri"/>
                <w:szCs w:val="16"/>
              </w:rPr>
              <w:t>±</w:t>
            </w:r>
            <w:r w:rsidRPr="00BE78CA">
              <w:t>20.5</w:t>
            </w:r>
          </w:p>
        </w:tc>
        <w:tc>
          <w:tcPr>
            <w:tcW w:w="852" w:type="dxa"/>
            <w:tcBorders>
              <w:top w:val="single" w:sz="4" w:space="0" w:color="365F91"/>
              <w:bottom w:val="single" w:sz="4" w:space="0" w:color="365F91"/>
            </w:tcBorders>
          </w:tcPr>
          <w:p w14:paraId="327F2AF3" w14:textId="77777777" w:rsidR="00410716" w:rsidRPr="00BE78CA" w:rsidRDefault="00410716" w:rsidP="00C26084">
            <w:pPr>
              <w:pStyle w:val="TableText"/>
              <w:spacing w:before="50" w:after="50"/>
              <w:ind w:right="118"/>
              <w:jc w:val="right"/>
              <w:rPr>
                <w:rFonts w:cs="Calibri"/>
                <w:szCs w:val="16"/>
              </w:rPr>
            </w:pPr>
            <w:r w:rsidRPr="00BE78CA">
              <w:rPr>
                <w:rFonts w:cs="Calibri"/>
                <w:szCs w:val="16"/>
              </w:rPr>
              <w:t>±</w:t>
            </w:r>
            <w:r w:rsidRPr="00BE78CA">
              <w:t>27.0</w:t>
            </w:r>
          </w:p>
        </w:tc>
        <w:tc>
          <w:tcPr>
            <w:tcW w:w="736" w:type="dxa"/>
            <w:tcBorders>
              <w:top w:val="single" w:sz="4" w:space="0" w:color="365F91"/>
              <w:bottom w:val="single" w:sz="4" w:space="0" w:color="365F91"/>
            </w:tcBorders>
            <w:shd w:val="clear" w:color="auto" w:fill="auto"/>
          </w:tcPr>
          <w:p w14:paraId="539F6A9E" w14:textId="77777777" w:rsidR="00410716" w:rsidRPr="00BE78CA" w:rsidRDefault="00410716" w:rsidP="00C26084">
            <w:pPr>
              <w:pStyle w:val="TableText"/>
              <w:spacing w:before="50" w:after="50"/>
              <w:ind w:right="118"/>
              <w:jc w:val="right"/>
              <w:rPr>
                <w:rFonts w:cs="Calibri"/>
                <w:szCs w:val="16"/>
              </w:rPr>
            </w:pPr>
            <w:r w:rsidRPr="00BE78CA">
              <w:t>–</w:t>
            </w:r>
          </w:p>
        </w:tc>
        <w:tc>
          <w:tcPr>
            <w:tcW w:w="853" w:type="dxa"/>
            <w:tcBorders>
              <w:top w:val="single" w:sz="4" w:space="0" w:color="365F91"/>
              <w:bottom w:val="single" w:sz="4" w:space="0" w:color="365F91"/>
              <w:right w:val="nil"/>
            </w:tcBorders>
            <w:shd w:val="clear" w:color="auto" w:fill="auto"/>
          </w:tcPr>
          <w:p w14:paraId="25CA0E09" w14:textId="77777777" w:rsidR="00410716" w:rsidRPr="00BE78CA" w:rsidRDefault="00410716" w:rsidP="00C26084">
            <w:pPr>
              <w:pStyle w:val="TableText"/>
              <w:spacing w:before="50" w:after="50"/>
              <w:ind w:right="118"/>
              <w:jc w:val="right"/>
              <w:rPr>
                <w:rFonts w:cs="Calibri"/>
                <w:szCs w:val="16"/>
              </w:rPr>
            </w:pPr>
            <w:r w:rsidRPr="00BE78CA">
              <w:rPr>
                <w:rFonts w:cs="Calibri"/>
                <w:szCs w:val="16"/>
              </w:rPr>
              <w:t>±</w:t>
            </w:r>
            <w:r w:rsidRPr="00BE78CA">
              <w:t>21.9</w:t>
            </w:r>
          </w:p>
        </w:tc>
      </w:tr>
      <w:tr w:rsidR="00410716" w:rsidRPr="00BE78CA" w14:paraId="33DE9E84" w14:textId="77777777" w:rsidTr="0004456A">
        <w:tc>
          <w:tcPr>
            <w:tcW w:w="1456" w:type="dxa"/>
            <w:tcBorders>
              <w:top w:val="single" w:sz="4" w:space="0" w:color="365F91"/>
              <w:left w:val="nil"/>
              <w:bottom w:val="single" w:sz="4" w:space="0" w:color="365F91"/>
            </w:tcBorders>
            <w:shd w:val="clear" w:color="auto" w:fill="auto"/>
            <w:noWrap/>
          </w:tcPr>
          <w:p w14:paraId="51654FC5" w14:textId="77777777" w:rsidR="00410716" w:rsidRPr="00BE78CA" w:rsidRDefault="00410716" w:rsidP="00C26084">
            <w:pPr>
              <w:pStyle w:val="TableText"/>
              <w:spacing w:before="50" w:after="50"/>
              <w:ind w:left="185"/>
              <w:rPr>
                <w:rFonts w:cs="Calibri"/>
                <w:bCs/>
                <w:szCs w:val="16"/>
              </w:rPr>
            </w:pPr>
            <w:r w:rsidRPr="00BE78CA">
              <w:t>Uncertainty in biomass carbon change (gains)</w:t>
            </w:r>
          </w:p>
        </w:tc>
        <w:tc>
          <w:tcPr>
            <w:tcW w:w="820" w:type="dxa"/>
            <w:tcBorders>
              <w:top w:val="single" w:sz="4" w:space="0" w:color="365F91"/>
              <w:bottom w:val="single" w:sz="4" w:space="0" w:color="365F91"/>
            </w:tcBorders>
            <w:shd w:val="clear" w:color="auto" w:fill="auto"/>
            <w:noWrap/>
          </w:tcPr>
          <w:p w14:paraId="36B21EC5" w14:textId="77777777" w:rsidR="00410716" w:rsidRPr="00BE78CA" w:rsidRDefault="00410716" w:rsidP="00C26084">
            <w:pPr>
              <w:pStyle w:val="TableText"/>
              <w:spacing w:before="50" w:after="50"/>
              <w:ind w:right="118"/>
              <w:jc w:val="right"/>
              <w:rPr>
                <w:rFonts w:cs="Calibri"/>
                <w:szCs w:val="16"/>
              </w:rPr>
            </w:pPr>
            <w:r w:rsidRPr="00BE78CA">
              <w:rPr>
                <w:rFonts w:cs="Calibri"/>
                <w:szCs w:val="16"/>
              </w:rPr>
              <w:t>±</w:t>
            </w:r>
            <w:r w:rsidRPr="00BE78CA">
              <w:t>8.9</w:t>
            </w:r>
          </w:p>
        </w:tc>
        <w:tc>
          <w:tcPr>
            <w:tcW w:w="852" w:type="dxa"/>
            <w:tcBorders>
              <w:top w:val="single" w:sz="4" w:space="0" w:color="365F91"/>
              <w:bottom w:val="single" w:sz="4" w:space="0" w:color="365F91"/>
            </w:tcBorders>
          </w:tcPr>
          <w:p w14:paraId="6A533C1D" w14:textId="77777777" w:rsidR="00410716" w:rsidRPr="00BE78CA" w:rsidRDefault="00410716" w:rsidP="00C26084">
            <w:pPr>
              <w:pStyle w:val="TableText"/>
              <w:spacing w:before="50" w:after="50"/>
              <w:ind w:right="118"/>
              <w:jc w:val="right"/>
              <w:rPr>
                <w:rFonts w:cs="Calibri"/>
                <w:szCs w:val="16"/>
              </w:rPr>
            </w:pPr>
            <w:r w:rsidRPr="00BE78CA">
              <w:rPr>
                <w:rFonts w:cs="Calibri"/>
                <w:szCs w:val="16"/>
              </w:rPr>
              <w:t>±</w:t>
            </w:r>
            <w:r w:rsidRPr="00BE78CA">
              <w:t>44.8</w:t>
            </w:r>
          </w:p>
        </w:tc>
        <w:tc>
          <w:tcPr>
            <w:tcW w:w="853" w:type="dxa"/>
            <w:tcBorders>
              <w:top w:val="single" w:sz="4" w:space="0" w:color="365F91"/>
              <w:bottom w:val="single" w:sz="4" w:space="0" w:color="365F91"/>
            </w:tcBorders>
            <w:shd w:val="clear" w:color="auto" w:fill="auto"/>
            <w:noWrap/>
          </w:tcPr>
          <w:p w14:paraId="1636087E" w14:textId="77777777" w:rsidR="00410716" w:rsidRPr="00BE78CA" w:rsidRDefault="00410716" w:rsidP="00C26084">
            <w:pPr>
              <w:pStyle w:val="TableText"/>
              <w:spacing w:before="50" w:after="50"/>
              <w:ind w:right="118"/>
              <w:jc w:val="right"/>
              <w:rPr>
                <w:rFonts w:cs="Calibri"/>
                <w:szCs w:val="16"/>
              </w:rPr>
            </w:pPr>
            <w:r w:rsidRPr="00BE78CA">
              <w:t>–</w:t>
            </w:r>
          </w:p>
        </w:tc>
        <w:tc>
          <w:tcPr>
            <w:tcW w:w="968" w:type="dxa"/>
            <w:tcBorders>
              <w:top w:val="single" w:sz="4" w:space="0" w:color="365F91"/>
              <w:bottom w:val="single" w:sz="4" w:space="0" w:color="365F91"/>
            </w:tcBorders>
            <w:shd w:val="clear" w:color="auto" w:fill="auto"/>
            <w:noWrap/>
          </w:tcPr>
          <w:p w14:paraId="31F08917" w14:textId="77777777" w:rsidR="00410716" w:rsidRPr="00BE78CA" w:rsidRDefault="00410716" w:rsidP="00C26084">
            <w:pPr>
              <w:pStyle w:val="TableText"/>
              <w:spacing w:before="50" w:after="50"/>
              <w:ind w:right="118"/>
              <w:jc w:val="right"/>
              <w:rPr>
                <w:rFonts w:cs="Calibri"/>
                <w:szCs w:val="16"/>
              </w:rPr>
            </w:pPr>
            <w:r w:rsidRPr="00BE78CA">
              <w:t>–</w:t>
            </w:r>
          </w:p>
        </w:tc>
        <w:tc>
          <w:tcPr>
            <w:tcW w:w="968" w:type="dxa"/>
            <w:tcBorders>
              <w:top w:val="single" w:sz="4" w:space="0" w:color="365F91"/>
              <w:bottom w:val="single" w:sz="4" w:space="0" w:color="365F91"/>
            </w:tcBorders>
            <w:shd w:val="clear" w:color="auto" w:fill="auto"/>
            <w:noWrap/>
          </w:tcPr>
          <w:p w14:paraId="73C7FD7C" w14:textId="77777777" w:rsidR="00410716" w:rsidRPr="00BE78CA" w:rsidRDefault="00410716" w:rsidP="00C26084">
            <w:pPr>
              <w:pStyle w:val="TableText"/>
              <w:spacing w:before="50" w:after="50"/>
              <w:ind w:right="118"/>
              <w:jc w:val="right"/>
              <w:rPr>
                <w:rFonts w:cs="Calibri"/>
                <w:szCs w:val="16"/>
              </w:rPr>
            </w:pPr>
            <w:r w:rsidRPr="00BE78CA">
              <w:t>–</w:t>
            </w:r>
          </w:p>
        </w:tc>
        <w:tc>
          <w:tcPr>
            <w:tcW w:w="852" w:type="dxa"/>
            <w:tcBorders>
              <w:top w:val="single" w:sz="4" w:space="0" w:color="365F91"/>
              <w:bottom w:val="single" w:sz="4" w:space="0" w:color="365F91"/>
            </w:tcBorders>
          </w:tcPr>
          <w:p w14:paraId="5A547ED9" w14:textId="77777777" w:rsidR="00410716" w:rsidRPr="00BE78CA" w:rsidRDefault="00410716" w:rsidP="00C26084">
            <w:pPr>
              <w:pStyle w:val="TableText"/>
              <w:spacing w:before="50" w:after="50"/>
              <w:ind w:right="118"/>
              <w:jc w:val="right"/>
              <w:rPr>
                <w:rFonts w:cs="Calibri"/>
                <w:szCs w:val="16"/>
              </w:rPr>
            </w:pPr>
            <w:r w:rsidRPr="00BE78CA">
              <w:t>–</w:t>
            </w:r>
          </w:p>
        </w:tc>
        <w:tc>
          <w:tcPr>
            <w:tcW w:w="736" w:type="dxa"/>
            <w:tcBorders>
              <w:top w:val="single" w:sz="4" w:space="0" w:color="365F91"/>
              <w:bottom w:val="single" w:sz="4" w:space="0" w:color="365F91"/>
            </w:tcBorders>
            <w:shd w:val="clear" w:color="auto" w:fill="auto"/>
          </w:tcPr>
          <w:p w14:paraId="76932DF6" w14:textId="77777777" w:rsidR="00410716" w:rsidRPr="00BE78CA" w:rsidRDefault="00410716" w:rsidP="00C26084">
            <w:pPr>
              <w:pStyle w:val="TableText"/>
              <w:spacing w:before="50" w:after="50"/>
              <w:ind w:right="118"/>
              <w:jc w:val="right"/>
              <w:rPr>
                <w:rFonts w:cs="Calibri"/>
                <w:szCs w:val="16"/>
              </w:rPr>
            </w:pPr>
            <w:r w:rsidRPr="00BE78CA">
              <w:rPr>
                <w:rFonts w:cs="Calibri"/>
                <w:szCs w:val="16"/>
              </w:rPr>
              <w:t>±</w:t>
            </w:r>
            <w:r w:rsidRPr="00BE78CA">
              <w:t>39.3</w:t>
            </w:r>
          </w:p>
        </w:tc>
        <w:tc>
          <w:tcPr>
            <w:tcW w:w="853" w:type="dxa"/>
            <w:tcBorders>
              <w:top w:val="single" w:sz="4" w:space="0" w:color="365F91"/>
              <w:bottom w:val="single" w:sz="4" w:space="0" w:color="365F91"/>
              <w:right w:val="nil"/>
            </w:tcBorders>
            <w:shd w:val="clear" w:color="auto" w:fill="auto"/>
          </w:tcPr>
          <w:p w14:paraId="07571C20" w14:textId="77777777" w:rsidR="00410716" w:rsidRPr="00BE78CA" w:rsidRDefault="00410716" w:rsidP="00C26084">
            <w:pPr>
              <w:pStyle w:val="TableText"/>
              <w:spacing w:before="50" w:after="50"/>
              <w:ind w:right="118"/>
              <w:jc w:val="right"/>
              <w:rPr>
                <w:rFonts w:cs="Calibri"/>
                <w:szCs w:val="16"/>
              </w:rPr>
            </w:pPr>
            <w:r w:rsidRPr="00BE78CA">
              <w:rPr>
                <w:rFonts w:cs="Calibri"/>
                <w:szCs w:val="16"/>
              </w:rPr>
              <w:t>±</w:t>
            </w:r>
            <w:r w:rsidRPr="00BE78CA">
              <w:t>27.1</w:t>
            </w:r>
          </w:p>
        </w:tc>
      </w:tr>
      <w:tr w:rsidR="00410716" w:rsidRPr="00BE78CA" w14:paraId="41A0E2B0" w14:textId="77777777" w:rsidTr="0004456A">
        <w:tc>
          <w:tcPr>
            <w:tcW w:w="1456" w:type="dxa"/>
            <w:tcBorders>
              <w:top w:val="single" w:sz="4" w:space="0" w:color="365F91"/>
              <w:left w:val="nil"/>
              <w:bottom w:val="single" w:sz="4" w:space="0" w:color="365F91"/>
            </w:tcBorders>
            <w:shd w:val="clear" w:color="auto" w:fill="auto"/>
            <w:noWrap/>
            <w:vAlign w:val="bottom"/>
            <w:hideMark/>
          </w:tcPr>
          <w:p w14:paraId="7E73EBD7" w14:textId="77777777" w:rsidR="00410716" w:rsidRPr="00BE78CA" w:rsidRDefault="00410716" w:rsidP="00C26084">
            <w:pPr>
              <w:pStyle w:val="TableText"/>
              <w:spacing w:before="50" w:after="50"/>
              <w:ind w:left="185"/>
              <w:rPr>
                <w:rFonts w:cs="Calibri"/>
                <w:bCs/>
                <w:szCs w:val="16"/>
              </w:rPr>
            </w:pPr>
            <w:r w:rsidRPr="00BE78CA">
              <w:rPr>
                <w:rFonts w:cs="Calibri"/>
                <w:bCs/>
                <w:szCs w:val="16"/>
              </w:rPr>
              <w:t>Uncertainty in soil carbon stocks</w:t>
            </w:r>
          </w:p>
        </w:tc>
        <w:tc>
          <w:tcPr>
            <w:tcW w:w="820" w:type="dxa"/>
            <w:tcBorders>
              <w:top w:val="single" w:sz="4" w:space="0" w:color="365F91"/>
              <w:bottom w:val="single" w:sz="4" w:space="0" w:color="365F91"/>
            </w:tcBorders>
            <w:shd w:val="clear" w:color="auto" w:fill="auto"/>
            <w:noWrap/>
            <w:hideMark/>
          </w:tcPr>
          <w:p w14:paraId="402B98A8" w14:textId="77777777" w:rsidR="00410716" w:rsidRPr="00BE78CA" w:rsidRDefault="00410716" w:rsidP="00C26084">
            <w:pPr>
              <w:pStyle w:val="TableText"/>
              <w:spacing w:before="50" w:after="50"/>
              <w:ind w:right="118"/>
              <w:jc w:val="right"/>
              <w:rPr>
                <w:rFonts w:cs="Calibri"/>
                <w:szCs w:val="16"/>
              </w:rPr>
            </w:pPr>
            <w:r w:rsidRPr="00BE78CA">
              <w:rPr>
                <w:rFonts w:cs="Calibri"/>
                <w:szCs w:val="16"/>
              </w:rPr>
              <w:t>±</w:t>
            </w:r>
            <w:r w:rsidRPr="00BE78CA">
              <w:t>10.4</w:t>
            </w:r>
          </w:p>
        </w:tc>
        <w:tc>
          <w:tcPr>
            <w:tcW w:w="852" w:type="dxa"/>
            <w:tcBorders>
              <w:top w:val="single" w:sz="4" w:space="0" w:color="365F91"/>
              <w:bottom w:val="single" w:sz="4" w:space="0" w:color="365F91"/>
            </w:tcBorders>
          </w:tcPr>
          <w:p w14:paraId="638C411E" w14:textId="77777777" w:rsidR="00410716" w:rsidRPr="00BE78CA" w:rsidRDefault="00410716" w:rsidP="00C26084">
            <w:pPr>
              <w:pStyle w:val="TableText"/>
              <w:spacing w:before="50" w:after="50"/>
              <w:ind w:right="118"/>
              <w:jc w:val="right"/>
              <w:rPr>
                <w:rFonts w:cs="Calibri"/>
                <w:szCs w:val="16"/>
              </w:rPr>
            </w:pPr>
            <w:r w:rsidRPr="00BE78CA">
              <w:rPr>
                <w:rFonts w:cs="Calibri"/>
                <w:szCs w:val="16"/>
              </w:rPr>
              <w:t>±</w:t>
            </w:r>
            <w:r w:rsidRPr="00BE78CA">
              <w:t>10.4</w:t>
            </w:r>
          </w:p>
        </w:tc>
        <w:tc>
          <w:tcPr>
            <w:tcW w:w="853" w:type="dxa"/>
            <w:tcBorders>
              <w:top w:val="single" w:sz="4" w:space="0" w:color="365F91"/>
              <w:bottom w:val="single" w:sz="4" w:space="0" w:color="365F91"/>
            </w:tcBorders>
            <w:shd w:val="clear" w:color="auto" w:fill="auto"/>
            <w:noWrap/>
            <w:hideMark/>
          </w:tcPr>
          <w:p w14:paraId="16AAFECE" w14:textId="77777777" w:rsidR="00410716" w:rsidRPr="00BE78CA" w:rsidRDefault="00410716" w:rsidP="00C26084">
            <w:pPr>
              <w:pStyle w:val="TableText"/>
              <w:spacing w:before="50" w:after="50"/>
              <w:ind w:right="118"/>
              <w:jc w:val="right"/>
              <w:rPr>
                <w:rFonts w:cs="Calibri"/>
                <w:szCs w:val="16"/>
              </w:rPr>
            </w:pPr>
            <w:r w:rsidRPr="00BE78CA">
              <w:rPr>
                <w:rFonts w:cs="Calibri"/>
                <w:szCs w:val="16"/>
              </w:rPr>
              <w:t>±</w:t>
            </w:r>
            <w:r w:rsidRPr="00BE78CA">
              <w:t>7.9</w:t>
            </w:r>
          </w:p>
        </w:tc>
        <w:tc>
          <w:tcPr>
            <w:tcW w:w="968" w:type="dxa"/>
            <w:tcBorders>
              <w:top w:val="single" w:sz="4" w:space="0" w:color="365F91"/>
              <w:bottom w:val="single" w:sz="4" w:space="0" w:color="365F91"/>
            </w:tcBorders>
            <w:shd w:val="clear" w:color="auto" w:fill="auto"/>
            <w:noWrap/>
            <w:hideMark/>
          </w:tcPr>
          <w:p w14:paraId="38FDF5AF" w14:textId="77777777" w:rsidR="00410716" w:rsidRPr="00BE78CA" w:rsidRDefault="00410716" w:rsidP="00C26084">
            <w:pPr>
              <w:pStyle w:val="TableText"/>
              <w:spacing w:before="50" w:after="50"/>
              <w:ind w:right="118"/>
              <w:jc w:val="right"/>
              <w:rPr>
                <w:rFonts w:cs="Calibri"/>
                <w:szCs w:val="16"/>
              </w:rPr>
            </w:pPr>
            <w:r w:rsidRPr="00BE78CA">
              <w:rPr>
                <w:rFonts w:cs="Calibri"/>
                <w:szCs w:val="16"/>
              </w:rPr>
              <w:t>±</w:t>
            </w:r>
            <w:r w:rsidRPr="00BE78CA">
              <w:t>12.3</w:t>
            </w:r>
          </w:p>
        </w:tc>
        <w:tc>
          <w:tcPr>
            <w:tcW w:w="968" w:type="dxa"/>
            <w:tcBorders>
              <w:top w:val="single" w:sz="4" w:space="0" w:color="365F91"/>
              <w:bottom w:val="single" w:sz="4" w:space="0" w:color="365F91"/>
            </w:tcBorders>
            <w:shd w:val="clear" w:color="auto" w:fill="auto"/>
            <w:noWrap/>
            <w:hideMark/>
          </w:tcPr>
          <w:p w14:paraId="01C7140B" w14:textId="77777777" w:rsidR="00410716" w:rsidRPr="00BE78CA" w:rsidRDefault="00410716" w:rsidP="00C26084">
            <w:pPr>
              <w:pStyle w:val="TableText"/>
              <w:spacing w:before="50" w:after="50"/>
              <w:ind w:right="118"/>
              <w:jc w:val="right"/>
              <w:rPr>
                <w:rFonts w:cs="Calibri"/>
                <w:szCs w:val="16"/>
              </w:rPr>
            </w:pPr>
            <w:r w:rsidRPr="00BE78CA">
              <w:rPr>
                <w:rFonts w:cs="Calibri"/>
                <w:szCs w:val="16"/>
              </w:rPr>
              <w:t>±</w:t>
            </w:r>
            <w:r w:rsidRPr="00BE78CA">
              <w:t>10.4</w:t>
            </w:r>
          </w:p>
        </w:tc>
        <w:tc>
          <w:tcPr>
            <w:tcW w:w="852" w:type="dxa"/>
            <w:tcBorders>
              <w:top w:val="single" w:sz="4" w:space="0" w:color="365F91"/>
              <w:bottom w:val="single" w:sz="4" w:space="0" w:color="365F91"/>
            </w:tcBorders>
          </w:tcPr>
          <w:p w14:paraId="4D5898D3" w14:textId="77777777" w:rsidR="00410716" w:rsidRPr="00BE78CA" w:rsidRDefault="00410716" w:rsidP="00C26084">
            <w:pPr>
              <w:pStyle w:val="TableText"/>
              <w:spacing w:before="50" w:after="50"/>
              <w:ind w:right="118"/>
              <w:jc w:val="right"/>
              <w:rPr>
                <w:rFonts w:cs="Calibri"/>
                <w:szCs w:val="16"/>
              </w:rPr>
            </w:pPr>
            <w:r w:rsidRPr="00BE78CA">
              <w:rPr>
                <w:rFonts w:cs="Calibri"/>
                <w:szCs w:val="16"/>
              </w:rPr>
              <w:t>±</w:t>
            </w:r>
            <w:r w:rsidRPr="00BE78CA">
              <w:t>10.4</w:t>
            </w:r>
          </w:p>
        </w:tc>
        <w:tc>
          <w:tcPr>
            <w:tcW w:w="736" w:type="dxa"/>
            <w:tcBorders>
              <w:top w:val="single" w:sz="4" w:space="0" w:color="365F91"/>
              <w:bottom w:val="single" w:sz="4" w:space="0" w:color="365F91"/>
            </w:tcBorders>
            <w:shd w:val="clear" w:color="auto" w:fill="auto"/>
          </w:tcPr>
          <w:p w14:paraId="5AEBC4A6" w14:textId="77777777" w:rsidR="00410716" w:rsidRPr="00BE78CA" w:rsidRDefault="00410716" w:rsidP="00C26084">
            <w:pPr>
              <w:pStyle w:val="TableText"/>
              <w:spacing w:before="50" w:after="50"/>
              <w:ind w:right="118"/>
              <w:jc w:val="right"/>
              <w:rPr>
                <w:rFonts w:cs="Calibri"/>
                <w:szCs w:val="16"/>
              </w:rPr>
            </w:pPr>
            <w:r w:rsidRPr="00BE78CA">
              <w:rPr>
                <w:rFonts w:cs="Calibri"/>
                <w:szCs w:val="16"/>
              </w:rPr>
              <w:t>±</w:t>
            </w:r>
            <w:r w:rsidRPr="00BE78CA">
              <w:t>7.9</w:t>
            </w:r>
          </w:p>
        </w:tc>
        <w:tc>
          <w:tcPr>
            <w:tcW w:w="853" w:type="dxa"/>
            <w:tcBorders>
              <w:top w:val="single" w:sz="4" w:space="0" w:color="365F91"/>
              <w:bottom w:val="single" w:sz="4" w:space="0" w:color="365F91"/>
              <w:right w:val="nil"/>
            </w:tcBorders>
            <w:shd w:val="clear" w:color="auto" w:fill="auto"/>
          </w:tcPr>
          <w:p w14:paraId="21E3F7A9" w14:textId="77777777" w:rsidR="00410716" w:rsidRPr="00BE78CA" w:rsidRDefault="00410716" w:rsidP="00C26084">
            <w:pPr>
              <w:pStyle w:val="TableText"/>
              <w:spacing w:before="50" w:after="50"/>
              <w:ind w:right="118"/>
              <w:jc w:val="right"/>
              <w:rPr>
                <w:rFonts w:cs="Calibri"/>
                <w:szCs w:val="16"/>
              </w:rPr>
            </w:pPr>
            <w:r w:rsidRPr="00BE78CA">
              <w:rPr>
                <w:rFonts w:cs="Calibri"/>
                <w:szCs w:val="16"/>
              </w:rPr>
              <w:t>±</w:t>
            </w:r>
            <w:r w:rsidRPr="00BE78CA">
              <w:t>12.3</w:t>
            </w:r>
          </w:p>
        </w:tc>
      </w:tr>
      <w:tr w:rsidR="00410716" w:rsidRPr="00BE78CA" w14:paraId="7A2DD502" w14:textId="77777777" w:rsidTr="0004456A">
        <w:tc>
          <w:tcPr>
            <w:tcW w:w="1456" w:type="dxa"/>
            <w:tcBorders>
              <w:top w:val="single" w:sz="4" w:space="0" w:color="365F91"/>
              <w:left w:val="nil"/>
              <w:bottom w:val="single" w:sz="4" w:space="0" w:color="365F91"/>
            </w:tcBorders>
            <w:shd w:val="clear" w:color="auto" w:fill="auto"/>
            <w:noWrap/>
            <w:vAlign w:val="bottom"/>
          </w:tcPr>
          <w:p w14:paraId="5425610A" w14:textId="77777777" w:rsidR="00410716" w:rsidRPr="00BE78CA" w:rsidRDefault="00410716" w:rsidP="00C26084">
            <w:pPr>
              <w:pStyle w:val="TableTextBold"/>
              <w:spacing w:before="50" w:after="50"/>
              <w:ind w:left="185"/>
              <w:rPr>
                <w:rFonts w:cs="Calibri"/>
                <w:b w:val="0"/>
                <w:bCs/>
                <w:noProof w:val="0"/>
                <w:szCs w:val="16"/>
              </w:rPr>
            </w:pPr>
            <w:r w:rsidRPr="00BE78CA">
              <w:rPr>
                <w:rFonts w:cs="Calibri"/>
                <w:b w:val="0"/>
                <w:bCs/>
                <w:noProof w:val="0"/>
                <w:szCs w:val="16"/>
              </w:rPr>
              <w:t>Uncertainty in harvested wood products</w:t>
            </w:r>
          </w:p>
        </w:tc>
        <w:tc>
          <w:tcPr>
            <w:tcW w:w="820" w:type="dxa"/>
            <w:tcBorders>
              <w:top w:val="single" w:sz="4" w:space="0" w:color="365F91"/>
              <w:bottom w:val="single" w:sz="4" w:space="0" w:color="365F91"/>
            </w:tcBorders>
            <w:shd w:val="clear" w:color="auto" w:fill="auto"/>
            <w:noWrap/>
            <w:vAlign w:val="bottom"/>
          </w:tcPr>
          <w:p w14:paraId="39089413" w14:textId="77777777" w:rsidR="00410716" w:rsidRPr="00BE78CA" w:rsidRDefault="00410716" w:rsidP="00C26084">
            <w:pPr>
              <w:pStyle w:val="TableTextBold"/>
              <w:spacing w:before="50" w:after="50"/>
              <w:ind w:right="118"/>
              <w:jc w:val="right"/>
              <w:rPr>
                <w:rFonts w:cs="Calibri"/>
                <w:b w:val="0"/>
                <w:noProof w:val="0"/>
                <w:szCs w:val="16"/>
              </w:rPr>
            </w:pPr>
            <w:r w:rsidRPr="00BE78CA">
              <w:rPr>
                <w:rFonts w:cs="Calibri"/>
                <w:b w:val="0"/>
                <w:noProof w:val="0"/>
                <w:szCs w:val="16"/>
              </w:rPr>
              <w:t>±68.2</w:t>
            </w:r>
          </w:p>
        </w:tc>
        <w:tc>
          <w:tcPr>
            <w:tcW w:w="852" w:type="dxa"/>
            <w:tcBorders>
              <w:top w:val="single" w:sz="4" w:space="0" w:color="365F91"/>
              <w:bottom w:val="single" w:sz="4" w:space="0" w:color="365F91"/>
            </w:tcBorders>
          </w:tcPr>
          <w:p w14:paraId="192575C5" w14:textId="77777777" w:rsidR="00410716" w:rsidRPr="00BE78CA" w:rsidRDefault="00410716" w:rsidP="00C26084">
            <w:pPr>
              <w:pStyle w:val="TableTextBold"/>
              <w:spacing w:before="50" w:after="50"/>
              <w:ind w:right="118"/>
              <w:jc w:val="right"/>
              <w:rPr>
                <w:rFonts w:cs="Calibri"/>
                <w:b w:val="0"/>
                <w:noProof w:val="0"/>
                <w:szCs w:val="16"/>
              </w:rPr>
            </w:pPr>
          </w:p>
        </w:tc>
        <w:tc>
          <w:tcPr>
            <w:tcW w:w="853" w:type="dxa"/>
            <w:tcBorders>
              <w:top w:val="single" w:sz="4" w:space="0" w:color="365F91"/>
              <w:bottom w:val="single" w:sz="4" w:space="0" w:color="365F91"/>
            </w:tcBorders>
            <w:shd w:val="clear" w:color="auto" w:fill="auto"/>
            <w:noWrap/>
            <w:vAlign w:val="bottom"/>
          </w:tcPr>
          <w:p w14:paraId="4D23CA60" w14:textId="77777777" w:rsidR="00410716" w:rsidRPr="00BE78CA" w:rsidRDefault="00410716" w:rsidP="00C26084">
            <w:pPr>
              <w:pStyle w:val="TableTextBold"/>
              <w:spacing w:before="50" w:after="50"/>
              <w:ind w:right="118"/>
              <w:jc w:val="right"/>
              <w:rPr>
                <w:rFonts w:cs="Calibri"/>
                <w:b w:val="0"/>
                <w:noProof w:val="0"/>
                <w:szCs w:val="16"/>
              </w:rPr>
            </w:pPr>
            <w:r w:rsidRPr="00BE78CA">
              <w:rPr>
                <w:rFonts w:cs="Calibri"/>
                <w:b w:val="0"/>
                <w:noProof w:val="0"/>
                <w:szCs w:val="16"/>
              </w:rPr>
              <w:t>–</w:t>
            </w:r>
          </w:p>
        </w:tc>
        <w:tc>
          <w:tcPr>
            <w:tcW w:w="968" w:type="dxa"/>
            <w:tcBorders>
              <w:top w:val="single" w:sz="4" w:space="0" w:color="365F91"/>
              <w:bottom w:val="single" w:sz="4" w:space="0" w:color="365F91"/>
            </w:tcBorders>
            <w:shd w:val="clear" w:color="auto" w:fill="auto"/>
            <w:noWrap/>
            <w:vAlign w:val="bottom"/>
          </w:tcPr>
          <w:p w14:paraId="7117AD79" w14:textId="77777777" w:rsidR="00410716" w:rsidRPr="00BE78CA" w:rsidRDefault="00410716" w:rsidP="00C26084">
            <w:pPr>
              <w:pStyle w:val="TableTextBold"/>
              <w:spacing w:before="50" w:after="50"/>
              <w:ind w:right="118"/>
              <w:jc w:val="right"/>
              <w:rPr>
                <w:rFonts w:cs="Calibri"/>
                <w:b w:val="0"/>
                <w:noProof w:val="0"/>
                <w:szCs w:val="16"/>
              </w:rPr>
            </w:pPr>
            <w:r w:rsidRPr="00BE78CA">
              <w:rPr>
                <w:rFonts w:cs="Calibri"/>
                <w:b w:val="0"/>
                <w:noProof w:val="0"/>
                <w:szCs w:val="16"/>
              </w:rPr>
              <w:t>–</w:t>
            </w:r>
          </w:p>
        </w:tc>
        <w:tc>
          <w:tcPr>
            <w:tcW w:w="968" w:type="dxa"/>
            <w:tcBorders>
              <w:top w:val="single" w:sz="4" w:space="0" w:color="365F91"/>
              <w:bottom w:val="single" w:sz="4" w:space="0" w:color="365F91"/>
            </w:tcBorders>
            <w:shd w:val="clear" w:color="auto" w:fill="auto"/>
            <w:noWrap/>
            <w:vAlign w:val="bottom"/>
          </w:tcPr>
          <w:p w14:paraId="3466EAAD" w14:textId="77777777" w:rsidR="00410716" w:rsidRPr="00BE78CA" w:rsidRDefault="00410716" w:rsidP="00C26084">
            <w:pPr>
              <w:pStyle w:val="TableTextBold"/>
              <w:spacing w:before="50" w:after="50"/>
              <w:ind w:right="118"/>
              <w:jc w:val="right"/>
              <w:rPr>
                <w:rFonts w:cs="Calibri"/>
                <w:b w:val="0"/>
                <w:noProof w:val="0"/>
                <w:szCs w:val="16"/>
              </w:rPr>
            </w:pPr>
            <w:r w:rsidRPr="00BE78CA">
              <w:rPr>
                <w:rFonts w:cs="Calibri"/>
                <w:b w:val="0"/>
                <w:noProof w:val="0"/>
                <w:szCs w:val="16"/>
              </w:rPr>
              <w:t>–</w:t>
            </w:r>
          </w:p>
        </w:tc>
        <w:tc>
          <w:tcPr>
            <w:tcW w:w="852" w:type="dxa"/>
            <w:tcBorders>
              <w:top w:val="single" w:sz="4" w:space="0" w:color="365F91"/>
              <w:bottom w:val="single" w:sz="4" w:space="0" w:color="365F91"/>
            </w:tcBorders>
          </w:tcPr>
          <w:p w14:paraId="6B45C217" w14:textId="77777777" w:rsidR="00410716" w:rsidRPr="00BE78CA" w:rsidRDefault="00410716" w:rsidP="00C26084">
            <w:pPr>
              <w:pStyle w:val="TableTextBold"/>
              <w:spacing w:before="50" w:after="50"/>
              <w:ind w:right="118"/>
              <w:jc w:val="right"/>
              <w:rPr>
                <w:rFonts w:cs="Calibri"/>
                <w:b w:val="0"/>
                <w:noProof w:val="0"/>
                <w:szCs w:val="16"/>
              </w:rPr>
            </w:pPr>
          </w:p>
        </w:tc>
        <w:tc>
          <w:tcPr>
            <w:tcW w:w="736" w:type="dxa"/>
            <w:tcBorders>
              <w:top w:val="single" w:sz="4" w:space="0" w:color="365F91"/>
              <w:bottom w:val="single" w:sz="4" w:space="0" w:color="365F91"/>
            </w:tcBorders>
            <w:shd w:val="clear" w:color="auto" w:fill="auto"/>
            <w:vAlign w:val="bottom"/>
          </w:tcPr>
          <w:p w14:paraId="6E33E4FD" w14:textId="77777777" w:rsidR="00410716" w:rsidRPr="00BE78CA" w:rsidRDefault="00410716" w:rsidP="00C26084">
            <w:pPr>
              <w:pStyle w:val="TableTextBold"/>
              <w:spacing w:before="50" w:after="50"/>
              <w:ind w:right="118"/>
              <w:jc w:val="right"/>
              <w:rPr>
                <w:rFonts w:cs="Calibri"/>
                <w:b w:val="0"/>
                <w:noProof w:val="0"/>
                <w:szCs w:val="16"/>
              </w:rPr>
            </w:pPr>
            <w:r w:rsidRPr="00BE78CA">
              <w:rPr>
                <w:rFonts w:cs="Calibri"/>
                <w:b w:val="0"/>
                <w:noProof w:val="0"/>
                <w:szCs w:val="16"/>
              </w:rPr>
              <w:t>–</w:t>
            </w:r>
          </w:p>
        </w:tc>
        <w:tc>
          <w:tcPr>
            <w:tcW w:w="853" w:type="dxa"/>
            <w:tcBorders>
              <w:top w:val="single" w:sz="4" w:space="0" w:color="365F91"/>
              <w:bottom w:val="single" w:sz="4" w:space="0" w:color="365F91"/>
              <w:right w:val="nil"/>
            </w:tcBorders>
            <w:shd w:val="clear" w:color="auto" w:fill="auto"/>
            <w:vAlign w:val="bottom"/>
          </w:tcPr>
          <w:p w14:paraId="57E4A8D5" w14:textId="77777777" w:rsidR="00410716" w:rsidRPr="00BE78CA" w:rsidRDefault="00410716" w:rsidP="00C26084">
            <w:pPr>
              <w:pStyle w:val="TableTextBold"/>
              <w:spacing w:before="50" w:after="50"/>
              <w:ind w:right="118"/>
              <w:jc w:val="right"/>
              <w:rPr>
                <w:rFonts w:cs="Calibri"/>
                <w:b w:val="0"/>
                <w:noProof w:val="0"/>
                <w:szCs w:val="16"/>
              </w:rPr>
            </w:pPr>
            <w:r w:rsidRPr="00BE78CA">
              <w:rPr>
                <w:rFonts w:cs="Calibri"/>
                <w:b w:val="0"/>
                <w:noProof w:val="0"/>
                <w:szCs w:val="16"/>
              </w:rPr>
              <w:t>±68.2</w:t>
            </w:r>
          </w:p>
        </w:tc>
      </w:tr>
      <w:tr w:rsidR="00410716" w:rsidRPr="00BE78CA" w14:paraId="720E9309" w14:textId="77777777" w:rsidTr="0004456A">
        <w:tc>
          <w:tcPr>
            <w:tcW w:w="1456" w:type="dxa"/>
            <w:tcBorders>
              <w:top w:val="single" w:sz="4" w:space="0" w:color="365F91"/>
              <w:left w:val="nil"/>
              <w:bottom w:val="single" w:sz="4" w:space="0" w:color="365F91"/>
            </w:tcBorders>
            <w:shd w:val="clear" w:color="auto" w:fill="auto"/>
            <w:noWrap/>
            <w:vAlign w:val="bottom"/>
            <w:hideMark/>
          </w:tcPr>
          <w:p w14:paraId="4B51A191" w14:textId="77777777" w:rsidR="00410716" w:rsidRPr="00BE78CA" w:rsidRDefault="00410716" w:rsidP="00C26084">
            <w:pPr>
              <w:pStyle w:val="Tableboldblue"/>
              <w:spacing w:before="50" w:after="50"/>
              <w:rPr>
                <w:rFonts w:cs="Calibri"/>
                <w:bCs/>
                <w:szCs w:val="16"/>
              </w:rPr>
            </w:pPr>
            <w:r w:rsidRPr="00BE78CA">
              <w:rPr>
                <w:rFonts w:cs="Calibri"/>
                <w:bCs/>
                <w:szCs w:val="16"/>
              </w:rPr>
              <w:t>Uncertainty introduced into emissions for Kyoto Protocol</w:t>
            </w:r>
          </w:p>
        </w:tc>
        <w:tc>
          <w:tcPr>
            <w:tcW w:w="820" w:type="dxa"/>
            <w:tcBorders>
              <w:top w:val="single" w:sz="4" w:space="0" w:color="365F91"/>
              <w:bottom w:val="single" w:sz="4" w:space="0" w:color="365F91"/>
            </w:tcBorders>
            <w:shd w:val="clear" w:color="auto" w:fill="auto"/>
            <w:noWrap/>
            <w:hideMark/>
          </w:tcPr>
          <w:p w14:paraId="15B00AA0" w14:textId="77777777" w:rsidR="00410716" w:rsidRPr="00BE78CA" w:rsidRDefault="00410716" w:rsidP="00C26084">
            <w:pPr>
              <w:pStyle w:val="Tableboldblue"/>
              <w:spacing w:before="50" w:after="50"/>
              <w:ind w:right="118"/>
              <w:jc w:val="right"/>
              <w:rPr>
                <w:rFonts w:cs="Calibri"/>
                <w:szCs w:val="16"/>
              </w:rPr>
            </w:pPr>
            <w:r w:rsidRPr="00BE78CA">
              <w:rPr>
                <w:rFonts w:cs="Calibri"/>
                <w:b w:val="0"/>
                <w:szCs w:val="16"/>
              </w:rPr>
              <w:t>±</w:t>
            </w:r>
            <w:r w:rsidRPr="00BE78CA">
              <w:t>15.2</w:t>
            </w:r>
          </w:p>
        </w:tc>
        <w:tc>
          <w:tcPr>
            <w:tcW w:w="852" w:type="dxa"/>
            <w:tcBorders>
              <w:top w:val="single" w:sz="4" w:space="0" w:color="365F91"/>
              <w:bottom w:val="single" w:sz="4" w:space="0" w:color="365F91"/>
            </w:tcBorders>
          </w:tcPr>
          <w:p w14:paraId="1D945286" w14:textId="77777777" w:rsidR="00410716" w:rsidRPr="00BE78CA" w:rsidRDefault="00410716" w:rsidP="00C26084">
            <w:pPr>
              <w:pStyle w:val="Tableboldblue"/>
              <w:spacing w:before="50" w:after="50"/>
              <w:ind w:right="118"/>
              <w:jc w:val="right"/>
              <w:rPr>
                <w:rFonts w:cs="Calibri"/>
                <w:szCs w:val="16"/>
              </w:rPr>
            </w:pPr>
            <w:r w:rsidRPr="00BE78CA">
              <w:rPr>
                <w:rFonts w:cs="Calibri"/>
                <w:b w:val="0"/>
                <w:szCs w:val="16"/>
              </w:rPr>
              <w:t>±</w:t>
            </w:r>
            <w:r w:rsidRPr="00BE78CA">
              <w:t>0.5</w:t>
            </w:r>
          </w:p>
        </w:tc>
        <w:tc>
          <w:tcPr>
            <w:tcW w:w="853" w:type="dxa"/>
            <w:tcBorders>
              <w:top w:val="single" w:sz="4" w:space="0" w:color="365F91"/>
              <w:bottom w:val="single" w:sz="4" w:space="0" w:color="365F91"/>
            </w:tcBorders>
            <w:shd w:val="clear" w:color="auto" w:fill="auto"/>
            <w:noWrap/>
            <w:hideMark/>
          </w:tcPr>
          <w:p w14:paraId="5E2EB392" w14:textId="77777777" w:rsidR="00410716" w:rsidRPr="00BE78CA" w:rsidRDefault="00410716" w:rsidP="00C26084">
            <w:pPr>
              <w:pStyle w:val="Tableboldblue"/>
              <w:spacing w:before="50" w:after="50"/>
              <w:ind w:right="118"/>
              <w:jc w:val="right"/>
              <w:rPr>
                <w:rFonts w:cs="Calibri"/>
                <w:szCs w:val="16"/>
              </w:rPr>
            </w:pPr>
            <w:r w:rsidRPr="00BE78CA">
              <w:rPr>
                <w:rFonts w:cs="Calibri"/>
                <w:b w:val="0"/>
                <w:szCs w:val="16"/>
              </w:rPr>
              <w:t>±</w:t>
            </w:r>
            <w:r w:rsidRPr="00BE78CA">
              <w:t>0.1</w:t>
            </w:r>
          </w:p>
        </w:tc>
        <w:tc>
          <w:tcPr>
            <w:tcW w:w="968" w:type="dxa"/>
            <w:tcBorders>
              <w:top w:val="single" w:sz="4" w:space="0" w:color="365F91"/>
              <w:bottom w:val="single" w:sz="4" w:space="0" w:color="365F91"/>
            </w:tcBorders>
            <w:shd w:val="clear" w:color="auto" w:fill="auto"/>
            <w:noWrap/>
            <w:hideMark/>
          </w:tcPr>
          <w:p w14:paraId="40ABE086" w14:textId="77777777" w:rsidR="00410716" w:rsidRPr="00BE78CA" w:rsidRDefault="00410716" w:rsidP="00C26084">
            <w:pPr>
              <w:pStyle w:val="Tableboldblue"/>
              <w:spacing w:before="50" w:after="50"/>
              <w:ind w:right="118"/>
              <w:jc w:val="right"/>
              <w:rPr>
                <w:rFonts w:cs="Calibri"/>
                <w:szCs w:val="16"/>
              </w:rPr>
            </w:pPr>
            <w:r w:rsidRPr="00BE78CA">
              <w:rPr>
                <w:rFonts w:cs="Calibri"/>
                <w:b w:val="0"/>
                <w:szCs w:val="16"/>
              </w:rPr>
              <w:t>±</w:t>
            </w:r>
            <w:r w:rsidRPr="00BE78CA">
              <w:t>0.9</w:t>
            </w:r>
          </w:p>
        </w:tc>
        <w:tc>
          <w:tcPr>
            <w:tcW w:w="968" w:type="dxa"/>
            <w:tcBorders>
              <w:top w:val="single" w:sz="4" w:space="0" w:color="365F91"/>
              <w:bottom w:val="single" w:sz="4" w:space="0" w:color="365F91"/>
            </w:tcBorders>
            <w:shd w:val="clear" w:color="auto" w:fill="auto"/>
            <w:noWrap/>
            <w:hideMark/>
          </w:tcPr>
          <w:p w14:paraId="1CD15185" w14:textId="77777777" w:rsidR="00410716" w:rsidRPr="00BE78CA" w:rsidRDefault="00410716" w:rsidP="00C26084">
            <w:pPr>
              <w:pStyle w:val="Tableboldblue"/>
              <w:spacing w:before="50" w:after="50"/>
              <w:ind w:right="118"/>
              <w:jc w:val="right"/>
              <w:rPr>
                <w:rFonts w:cs="Calibri"/>
                <w:szCs w:val="16"/>
              </w:rPr>
            </w:pPr>
            <w:r w:rsidRPr="00BE78CA">
              <w:rPr>
                <w:rFonts w:cs="Calibri"/>
                <w:b w:val="0"/>
                <w:szCs w:val="16"/>
              </w:rPr>
              <w:t>±</w:t>
            </w:r>
            <w:r w:rsidRPr="00BE78CA">
              <w:t>0.2</w:t>
            </w:r>
          </w:p>
        </w:tc>
        <w:tc>
          <w:tcPr>
            <w:tcW w:w="852" w:type="dxa"/>
            <w:tcBorders>
              <w:top w:val="single" w:sz="4" w:space="0" w:color="365F91"/>
              <w:bottom w:val="single" w:sz="4" w:space="0" w:color="365F91"/>
            </w:tcBorders>
          </w:tcPr>
          <w:p w14:paraId="253110D1" w14:textId="77777777" w:rsidR="00410716" w:rsidRPr="00BE78CA" w:rsidRDefault="00410716" w:rsidP="00C26084">
            <w:pPr>
              <w:pStyle w:val="Tableboldblue"/>
              <w:spacing w:before="50" w:after="50"/>
              <w:ind w:right="118"/>
              <w:jc w:val="right"/>
              <w:rPr>
                <w:rFonts w:cs="Calibri"/>
                <w:szCs w:val="16"/>
              </w:rPr>
            </w:pPr>
            <w:r w:rsidRPr="00BE78CA">
              <w:rPr>
                <w:rFonts w:cs="Calibri"/>
                <w:b w:val="0"/>
                <w:szCs w:val="16"/>
              </w:rPr>
              <w:t>±</w:t>
            </w:r>
            <w:r w:rsidRPr="00BE78CA">
              <w:t>0.0</w:t>
            </w:r>
          </w:p>
        </w:tc>
        <w:tc>
          <w:tcPr>
            <w:tcW w:w="736" w:type="dxa"/>
            <w:tcBorders>
              <w:top w:val="single" w:sz="4" w:space="0" w:color="365F91"/>
              <w:bottom w:val="single" w:sz="4" w:space="0" w:color="365F91"/>
            </w:tcBorders>
            <w:shd w:val="clear" w:color="auto" w:fill="auto"/>
          </w:tcPr>
          <w:p w14:paraId="665EEFED" w14:textId="77777777" w:rsidR="00410716" w:rsidRPr="00BE78CA" w:rsidRDefault="00410716" w:rsidP="00C26084">
            <w:pPr>
              <w:pStyle w:val="Tableboldblue"/>
              <w:spacing w:before="50" w:after="50"/>
              <w:ind w:right="118"/>
              <w:jc w:val="right"/>
              <w:rPr>
                <w:rFonts w:cs="Calibri"/>
                <w:szCs w:val="16"/>
              </w:rPr>
            </w:pPr>
            <w:r w:rsidRPr="00BE78CA">
              <w:rPr>
                <w:rFonts w:cs="Calibri"/>
                <w:b w:val="0"/>
                <w:szCs w:val="16"/>
              </w:rPr>
              <w:t>±</w:t>
            </w:r>
            <w:r w:rsidRPr="00BE78CA">
              <w:t>2.4</w:t>
            </w:r>
          </w:p>
        </w:tc>
        <w:tc>
          <w:tcPr>
            <w:tcW w:w="853" w:type="dxa"/>
            <w:tcBorders>
              <w:top w:val="single" w:sz="4" w:space="0" w:color="365F91"/>
              <w:bottom w:val="single" w:sz="4" w:space="0" w:color="365F91"/>
              <w:right w:val="nil"/>
            </w:tcBorders>
            <w:shd w:val="clear" w:color="auto" w:fill="auto"/>
          </w:tcPr>
          <w:p w14:paraId="6327344E" w14:textId="77777777" w:rsidR="00410716" w:rsidRPr="00BE78CA" w:rsidRDefault="00410716" w:rsidP="00C26084">
            <w:pPr>
              <w:pStyle w:val="Tableboldblue"/>
              <w:spacing w:before="50" w:after="50"/>
              <w:ind w:right="118"/>
              <w:jc w:val="right"/>
              <w:rPr>
                <w:rFonts w:cs="Calibri"/>
                <w:szCs w:val="16"/>
              </w:rPr>
            </w:pPr>
            <w:r w:rsidRPr="00BE78CA">
              <w:rPr>
                <w:rFonts w:cs="Calibri"/>
                <w:b w:val="0"/>
                <w:szCs w:val="16"/>
              </w:rPr>
              <w:t>±</w:t>
            </w:r>
            <w:r w:rsidRPr="00BE78CA">
              <w:t>39.4</w:t>
            </w:r>
          </w:p>
        </w:tc>
      </w:tr>
    </w:tbl>
    <w:p w14:paraId="342BC664" w14:textId="77777777" w:rsidR="00410716" w:rsidRPr="00BE78CA" w:rsidRDefault="00410716" w:rsidP="00410716">
      <w:pPr>
        <w:pStyle w:val="Noteundertable"/>
      </w:pPr>
      <w:r w:rsidRPr="00BE78CA">
        <w:rPr>
          <w:b/>
        </w:rPr>
        <w:t>Note:</w:t>
      </w:r>
      <w:r w:rsidRPr="00BE78CA">
        <w:tab/>
        <w:t>All land that has been afforested or reforested since 1 January 1990 is defined as post-1989 forest. Land deforested since 1 January 1990 may be pre-1990 natural forest, pre</w:t>
      </w:r>
      <w:r w:rsidRPr="00BE78CA">
        <w:noBreakHyphen/>
        <w:t>1990 planted forest, post-1989 planted forest or post</w:t>
      </w:r>
      <w:r w:rsidRPr="00BE78CA">
        <w:noBreakHyphen/>
        <w:t>1989 natural forest.</w:t>
      </w:r>
    </w:p>
    <w:p w14:paraId="184F6DFC" w14:textId="77777777" w:rsidR="00410716" w:rsidRPr="00BE78CA" w:rsidRDefault="00410716" w:rsidP="00410716">
      <w:pPr>
        <w:pStyle w:val="Table"/>
      </w:pPr>
      <w:bookmarkStart w:id="3518" w:name="_Toc318362740"/>
      <w:bookmarkStart w:id="3519" w:name="_Toc342470819"/>
      <w:bookmarkStart w:id="3520" w:name="_Toc352505072"/>
      <w:bookmarkStart w:id="3521" w:name="_Toc377043708"/>
      <w:bookmarkStart w:id="3522" w:name="_Toc391023560"/>
      <w:bookmarkStart w:id="3523" w:name="_Toc414531533"/>
      <w:bookmarkStart w:id="3524" w:name="_Toc456179111"/>
      <w:bookmarkStart w:id="3525" w:name="_Toc481751636"/>
      <w:bookmarkStart w:id="3526" w:name="_Toc522010662"/>
      <w:bookmarkStart w:id="3527" w:name="_Toc5269633"/>
      <w:bookmarkStart w:id="3528" w:name="_Toc36224716"/>
      <w:bookmarkStart w:id="3529" w:name="_Toc64987051"/>
      <w:bookmarkStart w:id="3530" w:name="_Toc68786601"/>
      <w:r w:rsidRPr="00BE78CA">
        <w:lastRenderedPageBreak/>
        <w:t xml:space="preserve">Table 11.4.2 </w:t>
      </w:r>
      <w:r w:rsidRPr="00BE78CA">
        <w:tab/>
        <w:t>Total uncertainty in New Zealand’s estimates for Afforestation and reforestation,</w:t>
      </w:r>
      <w:r w:rsidRPr="00BE78CA">
        <w:br/>
        <w:t xml:space="preserve">Deforestation and Forest management in </w:t>
      </w:r>
      <w:bookmarkEnd w:id="3518"/>
      <w:bookmarkEnd w:id="3519"/>
      <w:bookmarkEnd w:id="3520"/>
      <w:bookmarkEnd w:id="3521"/>
      <w:bookmarkEnd w:id="3522"/>
      <w:r w:rsidRPr="00BE78CA">
        <w:t>2019</w:t>
      </w:r>
      <w:bookmarkEnd w:id="3523"/>
      <w:bookmarkEnd w:id="3524"/>
      <w:bookmarkEnd w:id="3525"/>
      <w:bookmarkEnd w:id="3526"/>
      <w:bookmarkEnd w:id="3527"/>
      <w:bookmarkEnd w:id="3528"/>
      <w:bookmarkEnd w:id="3529"/>
      <w:bookmarkEnd w:id="3530"/>
    </w:p>
    <w:tbl>
      <w:tblPr>
        <w:tblW w:w="8505" w:type="dxa"/>
        <w:tblBorders>
          <w:top w:val="single" w:sz="8" w:space="0" w:color="1F497D"/>
          <w:bottom w:val="single" w:sz="8" w:space="0" w:color="1F497D"/>
          <w:insideH w:val="single" w:sz="8" w:space="0" w:color="1F497D"/>
        </w:tblBorders>
        <w:tblLayout w:type="fixed"/>
        <w:tblLook w:val="04A0" w:firstRow="1" w:lastRow="0" w:firstColumn="1" w:lastColumn="0" w:noHBand="0" w:noVBand="1"/>
      </w:tblPr>
      <w:tblGrid>
        <w:gridCol w:w="6651"/>
        <w:gridCol w:w="1854"/>
      </w:tblGrid>
      <w:tr w:rsidR="00410716" w:rsidRPr="00BE78CA" w14:paraId="3B44555F" w14:textId="77777777" w:rsidTr="00936D57">
        <w:tc>
          <w:tcPr>
            <w:tcW w:w="6606" w:type="dxa"/>
            <w:tcBorders>
              <w:top w:val="single" w:sz="4" w:space="0" w:color="365F91"/>
              <w:bottom w:val="single" w:sz="4" w:space="0" w:color="365F91"/>
            </w:tcBorders>
            <w:shd w:val="clear" w:color="auto" w:fill="365F91"/>
            <w:noWrap/>
            <w:vAlign w:val="bottom"/>
            <w:hideMark/>
          </w:tcPr>
          <w:p w14:paraId="3A3B19C4" w14:textId="77777777" w:rsidR="00410716" w:rsidRPr="00BE78CA" w:rsidRDefault="00410716" w:rsidP="006F54F9">
            <w:pPr>
              <w:pStyle w:val="TableTextBold"/>
              <w:keepNext/>
              <w:spacing w:before="50" w:after="50"/>
              <w:rPr>
                <w:bCs/>
                <w:noProof w:val="0"/>
                <w:color w:val="FFFFFF"/>
                <w:szCs w:val="16"/>
              </w:rPr>
            </w:pPr>
            <w:r w:rsidRPr="00BE78CA">
              <w:rPr>
                <w:bCs/>
                <w:noProof w:val="0"/>
                <w:color w:val="FFFFFF"/>
                <w:szCs w:val="16"/>
              </w:rPr>
              <w:t>Variable</w:t>
            </w:r>
          </w:p>
        </w:tc>
        <w:tc>
          <w:tcPr>
            <w:tcW w:w="1842" w:type="dxa"/>
            <w:tcBorders>
              <w:top w:val="single" w:sz="4" w:space="0" w:color="365F91"/>
              <w:bottom w:val="single" w:sz="4" w:space="0" w:color="365F91"/>
            </w:tcBorders>
            <w:shd w:val="clear" w:color="auto" w:fill="365F91"/>
            <w:noWrap/>
            <w:vAlign w:val="bottom"/>
            <w:hideMark/>
          </w:tcPr>
          <w:p w14:paraId="0858370B" w14:textId="77777777" w:rsidR="00410716" w:rsidRPr="00BE78CA" w:rsidRDefault="00410716" w:rsidP="006F54F9">
            <w:pPr>
              <w:pStyle w:val="TableTextBold"/>
              <w:keepNext/>
              <w:spacing w:before="50" w:after="50"/>
              <w:jc w:val="center"/>
              <w:rPr>
                <w:bCs/>
                <w:noProof w:val="0"/>
                <w:color w:val="FFFFFF"/>
                <w:szCs w:val="16"/>
              </w:rPr>
            </w:pPr>
            <w:r w:rsidRPr="00BE78CA">
              <w:rPr>
                <w:bCs/>
                <w:noProof w:val="0"/>
                <w:color w:val="FFFFFF"/>
                <w:szCs w:val="16"/>
              </w:rPr>
              <w:t>Uncertainty (%) at a 95% confidence interval</w:t>
            </w:r>
          </w:p>
        </w:tc>
      </w:tr>
      <w:tr w:rsidR="00410716" w:rsidRPr="00BE78CA" w14:paraId="53D02C65" w14:textId="77777777" w:rsidTr="00936D57">
        <w:tc>
          <w:tcPr>
            <w:tcW w:w="6606" w:type="dxa"/>
            <w:tcBorders>
              <w:top w:val="single" w:sz="4" w:space="0" w:color="365F91"/>
              <w:left w:val="nil"/>
              <w:bottom w:val="single" w:sz="4" w:space="0" w:color="365F91"/>
            </w:tcBorders>
            <w:shd w:val="clear" w:color="auto" w:fill="auto"/>
            <w:noWrap/>
            <w:vAlign w:val="bottom"/>
            <w:hideMark/>
          </w:tcPr>
          <w:p w14:paraId="478BF614" w14:textId="77777777" w:rsidR="00410716" w:rsidRPr="00BE78CA" w:rsidRDefault="00410716" w:rsidP="006F54F9">
            <w:pPr>
              <w:pStyle w:val="TableText"/>
              <w:spacing w:before="50" w:after="50"/>
              <w:rPr>
                <w:szCs w:val="16"/>
              </w:rPr>
            </w:pPr>
            <w:r w:rsidRPr="00BE78CA">
              <w:rPr>
                <w:szCs w:val="16"/>
              </w:rPr>
              <w:t>Afforestation and reforestation uncertainty introduced into emissions for Kyoto Protocol</w:t>
            </w:r>
          </w:p>
        </w:tc>
        <w:tc>
          <w:tcPr>
            <w:tcW w:w="1842" w:type="dxa"/>
            <w:tcBorders>
              <w:top w:val="single" w:sz="4" w:space="0" w:color="365F91"/>
              <w:bottom w:val="single" w:sz="4" w:space="0" w:color="365F91"/>
              <w:right w:val="nil"/>
            </w:tcBorders>
            <w:shd w:val="clear" w:color="auto" w:fill="auto"/>
            <w:noWrap/>
            <w:hideMark/>
          </w:tcPr>
          <w:p w14:paraId="5F6C2B90" w14:textId="77777777" w:rsidR="00410716" w:rsidRPr="00BE78CA" w:rsidRDefault="00410716" w:rsidP="006F54F9">
            <w:pPr>
              <w:pStyle w:val="TableText"/>
              <w:keepNext/>
              <w:spacing w:before="50" w:after="50"/>
              <w:jc w:val="center"/>
              <w:rPr>
                <w:szCs w:val="16"/>
              </w:rPr>
            </w:pPr>
            <w:r w:rsidRPr="00BE78CA">
              <w:rPr>
                <w:rFonts w:cs="Calibri"/>
                <w:b/>
                <w:szCs w:val="16"/>
              </w:rPr>
              <w:t>±</w:t>
            </w:r>
            <w:r w:rsidRPr="00BE78CA">
              <w:t>16.7</w:t>
            </w:r>
          </w:p>
        </w:tc>
      </w:tr>
      <w:tr w:rsidR="00410716" w:rsidRPr="00BE78CA" w14:paraId="0DF79A12" w14:textId="77777777" w:rsidTr="00936D57">
        <w:tc>
          <w:tcPr>
            <w:tcW w:w="6606" w:type="dxa"/>
            <w:tcBorders>
              <w:top w:val="single" w:sz="4" w:space="0" w:color="365F91"/>
              <w:left w:val="nil"/>
              <w:bottom w:val="single" w:sz="4" w:space="0" w:color="365F91"/>
            </w:tcBorders>
            <w:shd w:val="clear" w:color="auto" w:fill="auto"/>
            <w:noWrap/>
            <w:vAlign w:val="bottom"/>
            <w:hideMark/>
          </w:tcPr>
          <w:p w14:paraId="74440CE8" w14:textId="77777777" w:rsidR="00410716" w:rsidRPr="00BE78CA" w:rsidRDefault="00410716" w:rsidP="006F54F9">
            <w:pPr>
              <w:pStyle w:val="TableText"/>
              <w:spacing w:before="50" w:after="50"/>
              <w:rPr>
                <w:szCs w:val="16"/>
              </w:rPr>
            </w:pPr>
            <w:r w:rsidRPr="00BE78CA">
              <w:rPr>
                <w:szCs w:val="16"/>
              </w:rPr>
              <w:t>Deforestation uncertainty introduced into emissions for Kyoto Protocol</w:t>
            </w:r>
          </w:p>
        </w:tc>
        <w:tc>
          <w:tcPr>
            <w:tcW w:w="1842" w:type="dxa"/>
            <w:tcBorders>
              <w:top w:val="single" w:sz="4" w:space="0" w:color="365F91"/>
              <w:bottom w:val="single" w:sz="4" w:space="0" w:color="365F91"/>
              <w:right w:val="nil"/>
            </w:tcBorders>
            <w:shd w:val="clear" w:color="auto" w:fill="auto"/>
            <w:noWrap/>
            <w:hideMark/>
          </w:tcPr>
          <w:p w14:paraId="71B027E6" w14:textId="77777777" w:rsidR="00410716" w:rsidRPr="00BE78CA" w:rsidRDefault="00410716" w:rsidP="006F54F9">
            <w:pPr>
              <w:pStyle w:val="TableText"/>
              <w:keepNext/>
              <w:spacing w:before="50" w:after="50"/>
              <w:jc w:val="center"/>
              <w:rPr>
                <w:szCs w:val="16"/>
              </w:rPr>
            </w:pPr>
            <w:r w:rsidRPr="00BE78CA">
              <w:rPr>
                <w:rFonts w:cs="Calibri"/>
                <w:b/>
                <w:szCs w:val="16"/>
              </w:rPr>
              <w:t>±</w:t>
            </w:r>
            <w:r w:rsidRPr="00BE78CA">
              <w:t>1.2</w:t>
            </w:r>
          </w:p>
        </w:tc>
      </w:tr>
      <w:tr w:rsidR="00410716" w:rsidRPr="00BE78CA" w14:paraId="40C30BE9" w14:textId="77777777" w:rsidTr="00936D57">
        <w:tc>
          <w:tcPr>
            <w:tcW w:w="6606" w:type="dxa"/>
            <w:tcBorders>
              <w:top w:val="single" w:sz="4" w:space="0" w:color="365F91"/>
              <w:left w:val="nil"/>
              <w:bottom w:val="single" w:sz="4" w:space="0" w:color="365F91"/>
            </w:tcBorders>
            <w:shd w:val="clear" w:color="auto" w:fill="auto"/>
            <w:noWrap/>
            <w:vAlign w:val="bottom"/>
          </w:tcPr>
          <w:p w14:paraId="6EDE4D39" w14:textId="77777777" w:rsidR="00410716" w:rsidRPr="00BE78CA" w:rsidRDefault="00410716" w:rsidP="006F54F9">
            <w:pPr>
              <w:pStyle w:val="TableText"/>
              <w:spacing w:before="50" w:after="50"/>
              <w:rPr>
                <w:szCs w:val="16"/>
              </w:rPr>
            </w:pPr>
            <w:r w:rsidRPr="00BE78CA">
              <w:rPr>
                <w:szCs w:val="16"/>
              </w:rPr>
              <w:t>Forest management uncertainty introduced into emissions for Kyoto Protocol</w:t>
            </w:r>
          </w:p>
        </w:tc>
        <w:tc>
          <w:tcPr>
            <w:tcW w:w="1842" w:type="dxa"/>
            <w:tcBorders>
              <w:top w:val="single" w:sz="4" w:space="0" w:color="365F91"/>
              <w:bottom w:val="single" w:sz="4" w:space="0" w:color="365F91"/>
              <w:right w:val="nil"/>
            </w:tcBorders>
            <w:shd w:val="clear" w:color="auto" w:fill="auto"/>
            <w:noWrap/>
          </w:tcPr>
          <w:p w14:paraId="614575BF" w14:textId="77777777" w:rsidR="00410716" w:rsidRPr="00BE78CA" w:rsidRDefault="00410716" w:rsidP="006F54F9">
            <w:pPr>
              <w:pStyle w:val="TableText"/>
              <w:keepNext/>
              <w:spacing w:before="50" w:after="50"/>
              <w:jc w:val="center"/>
              <w:rPr>
                <w:szCs w:val="16"/>
              </w:rPr>
            </w:pPr>
            <w:r w:rsidRPr="00BE78CA">
              <w:rPr>
                <w:rFonts w:cs="Calibri"/>
                <w:b/>
                <w:szCs w:val="16"/>
              </w:rPr>
              <w:t>±</w:t>
            </w:r>
            <w:r w:rsidRPr="00BE78CA">
              <w:t>39.5</w:t>
            </w:r>
          </w:p>
        </w:tc>
      </w:tr>
      <w:tr w:rsidR="00410716" w:rsidRPr="00BE78CA" w14:paraId="6DA15E95" w14:textId="77777777" w:rsidTr="00936D57">
        <w:tc>
          <w:tcPr>
            <w:tcW w:w="6606" w:type="dxa"/>
            <w:tcBorders>
              <w:top w:val="single" w:sz="4" w:space="0" w:color="365F91"/>
              <w:left w:val="nil"/>
              <w:bottom w:val="single" w:sz="4" w:space="0" w:color="365F91"/>
            </w:tcBorders>
            <w:shd w:val="clear" w:color="auto" w:fill="auto"/>
            <w:noWrap/>
            <w:vAlign w:val="center"/>
            <w:hideMark/>
          </w:tcPr>
          <w:p w14:paraId="15ACB639" w14:textId="77777777" w:rsidR="00410716" w:rsidRPr="00BE78CA" w:rsidRDefault="00410716" w:rsidP="006F54F9">
            <w:pPr>
              <w:pStyle w:val="Tableboldblue"/>
              <w:spacing w:before="50" w:after="50"/>
              <w:rPr>
                <w:bCs/>
                <w:szCs w:val="16"/>
              </w:rPr>
            </w:pPr>
            <w:r w:rsidRPr="00BE78CA">
              <w:rPr>
                <w:bCs/>
                <w:szCs w:val="16"/>
              </w:rPr>
              <w:t>Total uncertainty for Kyoto Protocol</w:t>
            </w:r>
          </w:p>
        </w:tc>
        <w:tc>
          <w:tcPr>
            <w:tcW w:w="1842" w:type="dxa"/>
            <w:tcBorders>
              <w:top w:val="single" w:sz="4" w:space="0" w:color="365F91"/>
              <w:bottom w:val="single" w:sz="4" w:space="0" w:color="365F91"/>
              <w:right w:val="nil"/>
            </w:tcBorders>
            <w:shd w:val="clear" w:color="auto" w:fill="auto"/>
            <w:noWrap/>
            <w:hideMark/>
          </w:tcPr>
          <w:p w14:paraId="1DD7749D" w14:textId="77777777" w:rsidR="00410716" w:rsidRPr="00BE78CA" w:rsidRDefault="00410716" w:rsidP="006F54F9">
            <w:pPr>
              <w:pStyle w:val="Tableboldblue"/>
              <w:spacing w:before="50" w:after="50"/>
              <w:jc w:val="center"/>
              <w:rPr>
                <w:szCs w:val="16"/>
              </w:rPr>
            </w:pPr>
            <w:r w:rsidRPr="00BE78CA">
              <w:rPr>
                <w:rFonts w:cs="Calibri"/>
                <w:b w:val="0"/>
                <w:szCs w:val="16"/>
              </w:rPr>
              <w:t>±</w:t>
            </w:r>
            <w:r w:rsidRPr="00BE78CA">
              <w:t>42.4</w:t>
            </w:r>
          </w:p>
        </w:tc>
      </w:tr>
    </w:tbl>
    <w:p w14:paraId="62B67921" w14:textId="77777777" w:rsidR="00410716" w:rsidRPr="00BE78CA" w:rsidRDefault="00410716" w:rsidP="006F54F9">
      <w:pPr>
        <w:pStyle w:val="Heading3"/>
        <w:spacing w:before="400"/>
      </w:pPr>
      <w:bookmarkStart w:id="3531" w:name="_Toc261513295"/>
      <w:bookmarkStart w:id="3532" w:name="_Toc261513908"/>
      <w:bookmarkStart w:id="3533" w:name="_Toc280630398"/>
      <w:r w:rsidRPr="00BE78CA">
        <w:t>11.4.2</w:t>
      </w:r>
      <w:r w:rsidRPr="00BE78CA">
        <w:tab/>
      </w:r>
      <w:bookmarkEnd w:id="3531"/>
      <w:bookmarkEnd w:id="3532"/>
      <w:bookmarkEnd w:id="3533"/>
      <w:r w:rsidRPr="00BE78CA">
        <w:t>Quality control and quality assurance</w:t>
      </w:r>
    </w:p>
    <w:p w14:paraId="0D51E2B3" w14:textId="77777777" w:rsidR="00410716" w:rsidRPr="00BE78CA" w:rsidRDefault="00410716" w:rsidP="00410716">
      <w:pPr>
        <w:pStyle w:val="BodyText"/>
      </w:pPr>
      <w:r w:rsidRPr="00BE78CA">
        <w:t xml:space="preserve">Quality-control and quality-assurance procedures have been adopted for all data collection and data analyses, to be consistent with the </w:t>
      </w:r>
      <w:r w:rsidRPr="00BE78CA">
        <w:rPr>
          <w:iCs/>
        </w:rPr>
        <w:t>IPCC General Guidance and Reporting</w:t>
      </w:r>
      <w:r w:rsidRPr="00BE78CA">
        <w:rPr>
          <w:i/>
        </w:rPr>
        <w:t xml:space="preserve"> </w:t>
      </w:r>
      <w:r w:rsidRPr="00BE78CA">
        <w:t>(IPCC, 2006b) and New Zealand’s inventory quality-control and quality-assurance plan. Quality-control and quality-assurance plans were established for each type of data used to determine carbon stock and stock changes, as well as the areal extent and spatial location of land-use changes. All data were subject to an independent and documented quality-assurance process. Data validation rules and reports were established to ensure that all data are fit for purpose and are of consistent and known quality, and that data quality continues to be improved over time. The data used to derive the country-specific yield tables and average carbon values have also undergone quality assurance, as described in chapter 6, section 6.4.4.</w:t>
      </w:r>
    </w:p>
    <w:p w14:paraId="19729C3C" w14:textId="77777777" w:rsidR="00410716" w:rsidRPr="00BE78CA" w:rsidRDefault="00410716" w:rsidP="00410716">
      <w:pPr>
        <w:pStyle w:val="Heading3"/>
        <w:spacing w:before="280"/>
      </w:pPr>
      <w:r w:rsidRPr="00BE78CA">
        <w:t>11.4.3</w:t>
      </w:r>
      <w:r w:rsidRPr="00BE78CA">
        <w:tab/>
        <w:t>Recalculations</w:t>
      </w:r>
    </w:p>
    <w:p w14:paraId="5CE06DE8" w14:textId="77777777" w:rsidR="00410716" w:rsidRPr="00BE78CA" w:rsidRDefault="00410716" w:rsidP="006F54F9">
      <w:pPr>
        <w:pStyle w:val="BodyText"/>
        <w:spacing w:before="100" w:after="100"/>
      </w:pPr>
      <w:r w:rsidRPr="00BE78CA">
        <w:t>New Zealand’s greenhouse gas estimates for activities under Article 3.3 of the Kyoto Protocol have been recalculated since the previous submission to incorporate improved activity data and emission factors.</w:t>
      </w:r>
    </w:p>
    <w:p w14:paraId="28E53B65" w14:textId="77777777" w:rsidR="00410716" w:rsidRPr="00BE78CA" w:rsidRDefault="00410716" w:rsidP="00410716">
      <w:pPr>
        <w:pStyle w:val="Heading5"/>
        <w:spacing w:before="160"/>
      </w:pPr>
      <w:r w:rsidRPr="00BE78CA">
        <w:t>Activity data</w:t>
      </w:r>
    </w:p>
    <w:p w14:paraId="7D244A8F" w14:textId="77777777" w:rsidR="00410716" w:rsidRPr="00BE78CA" w:rsidRDefault="00410716" w:rsidP="006F54F9">
      <w:pPr>
        <w:pStyle w:val="BodyText"/>
        <w:spacing w:before="100" w:after="100"/>
      </w:pPr>
      <w:r w:rsidRPr="00BE78CA">
        <w:t>Table 11.4.3 shows a decrease has occurred in the estimated total area of new planting</w:t>
      </w:r>
      <w:r w:rsidRPr="00BE78CA">
        <w:rPr>
          <w:i/>
        </w:rPr>
        <w:t xml:space="preserve"> </w:t>
      </w:r>
      <w:r w:rsidRPr="00BE78CA">
        <w:t>for 2018 since the last submission. This is due to updated new planting data being provided by the NEFD survey (Ministry for Primary Industries, 2019).</w:t>
      </w:r>
    </w:p>
    <w:p w14:paraId="744D4AFB" w14:textId="77777777" w:rsidR="00410716" w:rsidRPr="00BE78CA" w:rsidRDefault="00410716" w:rsidP="006F54F9">
      <w:pPr>
        <w:pStyle w:val="BodyText"/>
        <w:spacing w:before="100" w:after="100"/>
        <w:rPr>
          <w:spacing w:val="-2"/>
        </w:rPr>
      </w:pPr>
      <w:r w:rsidRPr="00BE78CA">
        <w:rPr>
          <w:spacing w:val="-2"/>
        </w:rPr>
        <w:t>The total area of deforestation for 2018 has increased slightly, compared with the estimate made for the 2019 submission. This is due to slight changes to the estimation methodology used for the 2018 year.</w:t>
      </w:r>
    </w:p>
    <w:p w14:paraId="544262EA" w14:textId="77777777" w:rsidR="00410716" w:rsidRPr="00BE78CA" w:rsidRDefault="00410716" w:rsidP="006F54F9">
      <w:pPr>
        <w:pStyle w:val="BodyText"/>
        <w:spacing w:before="100" w:after="100"/>
        <w:rPr>
          <w:spacing w:val="-2"/>
        </w:rPr>
      </w:pPr>
      <w:r w:rsidRPr="00BE78CA">
        <w:rPr>
          <w:spacing w:val="-2"/>
        </w:rPr>
        <w:t>Harvest area split in post-1989 planted forest (</w:t>
      </w:r>
      <w:r w:rsidRPr="00BE78CA">
        <w:rPr>
          <w:i/>
          <w:iCs/>
          <w:spacing w:val="-2"/>
        </w:rPr>
        <w:t>Afforestation and Reforestation</w:t>
      </w:r>
      <w:r w:rsidRPr="00BE78CA">
        <w:rPr>
          <w:spacing w:val="-2"/>
        </w:rPr>
        <w:t>) and pre-1990 planted forest (</w:t>
      </w:r>
      <w:r w:rsidRPr="00BE78CA">
        <w:rPr>
          <w:i/>
          <w:iCs/>
          <w:spacing w:val="-2"/>
        </w:rPr>
        <w:t>Forest management</w:t>
      </w:r>
      <w:r w:rsidRPr="00BE78CA">
        <w:rPr>
          <w:spacing w:val="-2"/>
        </w:rPr>
        <w:t>) has been recalculated for 2018. The methods for disaggregating the harvest area split between pre-1990 and post-1989 planted forest are described in chapter 6, section 6.4.1.</w:t>
      </w:r>
    </w:p>
    <w:p w14:paraId="11D97BDC" w14:textId="77777777" w:rsidR="00410716" w:rsidRPr="00BE78CA" w:rsidRDefault="00410716" w:rsidP="00410716">
      <w:pPr>
        <w:pStyle w:val="Table"/>
        <w:keepLines/>
      </w:pPr>
      <w:bookmarkStart w:id="3534" w:name="_Toc414531531"/>
      <w:bookmarkStart w:id="3535" w:name="_Toc456179112"/>
      <w:bookmarkStart w:id="3536" w:name="_Toc481751637"/>
      <w:bookmarkStart w:id="3537" w:name="_Toc522010663"/>
      <w:bookmarkStart w:id="3538" w:name="_Toc5269634"/>
      <w:bookmarkStart w:id="3539" w:name="_Toc36224717"/>
      <w:bookmarkStart w:id="3540" w:name="_Toc64987052"/>
      <w:bookmarkStart w:id="3541" w:name="_Toc68786602"/>
      <w:r w:rsidRPr="00BE78CA">
        <w:t>Table 11.4.3</w:t>
      </w:r>
      <w:r w:rsidRPr="00BE78CA">
        <w:tab/>
        <w:t>Recalculations of New Zealand’s 2018 activity data under Article 3.3 and</w:t>
      </w:r>
      <w:r w:rsidRPr="00BE78CA">
        <w:br/>
        <w:t>Article 3.4 of the Kyoto Protocol</w:t>
      </w:r>
      <w:bookmarkEnd w:id="3534"/>
      <w:bookmarkEnd w:id="3535"/>
      <w:bookmarkEnd w:id="3536"/>
      <w:bookmarkEnd w:id="3537"/>
      <w:bookmarkEnd w:id="3538"/>
      <w:bookmarkEnd w:id="3539"/>
      <w:bookmarkEnd w:id="3540"/>
      <w:bookmarkEnd w:id="3541"/>
    </w:p>
    <w:tbl>
      <w:tblPr>
        <w:tblW w:w="8505" w:type="dxa"/>
        <w:tblLook w:val="04A0" w:firstRow="1" w:lastRow="0" w:firstColumn="1" w:lastColumn="0" w:noHBand="0" w:noVBand="1"/>
      </w:tblPr>
      <w:tblGrid>
        <w:gridCol w:w="3578"/>
        <w:gridCol w:w="1462"/>
        <w:gridCol w:w="120"/>
        <w:gridCol w:w="1538"/>
        <w:gridCol w:w="1807"/>
      </w:tblGrid>
      <w:tr w:rsidR="00410716" w:rsidRPr="00BE78CA" w14:paraId="7B981E93" w14:textId="77777777" w:rsidTr="001A728C">
        <w:tc>
          <w:tcPr>
            <w:tcW w:w="3578" w:type="dxa"/>
            <w:vMerge w:val="restart"/>
            <w:tcBorders>
              <w:top w:val="single" w:sz="4" w:space="0" w:color="365F91"/>
            </w:tcBorders>
            <w:shd w:val="clear" w:color="auto" w:fill="365F91"/>
            <w:vAlign w:val="bottom"/>
          </w:tcPr>
          <w:p w14:paraId="5F715A05" w14:textId="6411D924" w:rsidR="00410716" w:rsidRPr="00BE78CA" w:rsidRDefault="00410716" w:rsidP="00C26084">
            <w:pPr>
              <w:pStyle w:val="TableText"/>
              <w:keepNext/>
              <w:spacing w:before="50" w:after="50"/>
              <w:rPr>
                <w:rFonts w:cs="Calibri"/>
                <w:b/>
                <w:bCs/>
                <w:color w:val="FFFFFF"/>
                <w:szCs w:val="16"/>
              </w:rPr>
            </w:pPr>
            <w:r w:rsidRPr="00BE78CA">
              <w:rPr>
                <w:rFonts w:cs="Calibri"/>
                <w:b/>
                <w:bCs/>
                <w:color w:val="FFFFFF"/>
                <w:szCs w:val="16"/>
              </w:rPr>
              <w:t xml:space="preserve">Activities under Article 3.3 of the Kyoto Protocol </w:t>
            </w:r>
          </w:p>
        </w:tc>
        <w:tc>
          <w:tcPr>
            <w:tcW w:w="3120" w:type="dxa"/>
            <w:gridSpan w:val="3"/>
            <w:tcBorders>
              <w:top w:val="single" w:sz="4" w:space="0" w:color="365F91"/>
              <w:bottom w:val="single" w:sz="4" w:space="0" w:color="365F91"/>
            </w:tcBorders>
            <w:shd w:val="clear" w:color="auto" w:fill="365F91"/>
            <w:vAlign w:val="bottom"/>
          </w:tcPr>
          <w:p w14:paraId="1A976D60" w14:textId="77777777" w:rsidR="00410716" w:rsidRPr="00BE78CA" w:rsidRDefault="00410716" w:rsidP="00C26084">
            <w:pPr>
              <w:pStyle w:val="TableText"/>
              <w:keepNext/>
              <w:spacing w:before="50" w:after="50"/>
              <w:jc w:val="center"/>
              <w:rPr>
                <w:rFonts w:cs="Calibri"/>
                <w:b/>
                <w:bCs/>
                <w:color w:val="FFFFFF"/>
                <w:szCs w:val="16"/>
              </w:rPr>
            </w:pPr>
            <w:r w:rsidRPr="00BE78CA">
              <w:rPr>
                <w:rFonts w:cs="Calibri"/>
                <w:b/>
                <w:bCs/>
                <w:color w:val="FFFFFF"/>
                <w:szCs w:val="16"/>
              </w:rPr>
              <w:t>Area as at 2018 (ha)</w:t>
            </w:r>
          </w:p>
        </w:tc>
        <w:tc>
          <w:tcPr>
            <w:tcW w:w="1807" w:type="dxa"/>
            <w:vMerge w:val="restart"/>
            <w:tcBorders>
              <w:top w:val="single" w:sz="4" w:space="0" w:color="365F91"/>
            </w:tcBorders>
            <w:shd w:val="clear" w:color="auto" w:fill="365F91"/>
            <w:vAlign w:val="bottom"/>
          </w:tcPr>
          <w:p w14:paraId="3E4BC382" w14:textId="77777777" w:rsidR="00410716" w:rsidRPr="00BE78CA" w:rsidRDefault="00410716" w:rsidP="00770313">
            <w:pPr>
              <w:pStyle w:val="TableTextBold"/>
              <w:keepNext/>
              <w:jc w:val="right"/>
              <w:rPr>
                <w:rFonts w:cs="Calibri"/>
                <w:bCs/>
                <w:noProof w:val="0"/>
                <w:color w:val="FFFFFF"/>
                <w:szCs w:val="16"/>
              </w:rPr>
            </w:pPr>
            <w:r w:rsidRPr="00BE78CA">
              <w:rPr>
                <w:rFonts w:cs="Calibri"/>
                <w:bCs/>
                <w:noProof w:val="0"/>
                <w:color w:val="FFFFFF"/>
                <w:szCs w:val="16"/>
              </w:rPr>
              <w:t>Change from 2020 submission (%)</w:t>
            </w:r>
          </w:p>
        </w:tc>
      </w:tr>
      <w:tr w:rsidR="00410716" w:rsidRPr="00BE78CA" w14:paraId="6CD8D210" w14:textId="77777777" w:rsidTr="001A728C">
        <w:tc>
          <w:tcPr>
            <w:tcW w:w="3578" w:type="dxa"/>
            <w:vMerge/>
            <w:tcBorders>
              <w:bottom w:val="single" w:sz="4" w:space="0" w:color="365F91"/>
            </w:tcBorders>
            <w:shd w:val="clear" w:color="auto" w:fill="365F91"/>
            <w:vAlign w:val="center"/>
          </w:tcPr>
          <w:p w14:paraId="15D9F121" w14:textId="77777777" w:rsidR="00410716" w:rsidRPr="00BE78CA" w:rsidRDefault="00410716" w:rsidP="00C26084">
            <w:pPr>
              <w:keepNext/>
              <w:spacing w:before="50" w:after="50"/>
              <w:rPr>
                <w:rFonts w:cs="Calibri"/>
                <w:b/>
                <w:bCs/>
                <w:sz w:val="16"/>
                <w:szCs w:val="16"/>
              </w:rPr>
            </w:pPr>
          </w:p>
        </w:tc>
        <w:tc>
          <w:tcPr>
            <w:tcW w:w="1462" w:type="dxa"/>
            <w:tcBorders>
              <w:top w:val="single" w:sz="4" w:space="0" w:color="365F91"/>
              <w:bottom w:val="single" w:sz="4" w:space="0" w:color="365F91"/>
            </w:tcBorders>
            <w:shd w:val="clear" w:color="auto" w:fill="365F91"/>
            <w:vAlign w:val="center"/>
          </w:tcPr>
          <w:p w14:paraId="65043F0D" w14:textId="77777777" w:rsidR="00410716" w:rsidRPr="00BE78CA" w:rsidRDefault="00410716" w:rsidP="00770313">
            <w:pPr>
              <w:pStyle w:val="TableTextBold"/>
              <w:keepNext/>
              <w:jc w:val="right"/>
              <w:rPr>
                <w:rFonts w:cs="Calibri"/>
                <w:noProof w:val="0"/>
                <w:color w:val="FFFFFF"/>
                <w:szCs w:val="16"/>
              </w:rPr>
            </w:pPr>
            <w:r w:rsidRPr="00BE78CA">
              <w:rPr>
                <w:rFonts w:cs="Calibri"/>
                <w:noProof w:val="0"/>
                <w:color w:val="FFFFFF"/>
                <w:szCs w:val="16"/>
              </w:rPr>
              <w:t>2020 submission</w:t>
            </w:r>
          </w:p>
        </w:tc>
        <w:tc>
          <w:tcPr>
            <w:tcW w:w="1658" w:type="dxa"/>
            <w:gridSpan w:val="2"/>
            <w:tcBorders>
              <w:top w:val="single" w:sz="4" w:space="0" w:color="365F91"/>
              <w:bottom w:val="single" w:sz="4" w:space="0" w:color="365F91"/>
            </w:tcBorders>
            <w:shd w:val="clear" w:color="auto" w:fill="365F91"/>
            <w:vAlign w:val="center"/>
          </w:tcPr>
          <w:p w14:paraId="6EF3BB2C" w14:textId="77777777" w:rsidR="00410716" w:rsidRPr="00BE78CA" w:rsidRDefault="00410716" w:rsidP="00770313">
            <w:pPr>
              <w:pStyle w:val="TableTextBold"/>
              <w:keepNext/>
              <w:jc w:val="right"/>
              <w:rPr>
                <w:rFonts w:cs="Calibri"/>
                <w:noProof w:val="0"/>
                <w:color w:val="FFFFFF"/>
                <w:szCs w:val="16"/>
              </w:rPr>
            </w:pPr>
            <w:r w:rsidRPr="00BE78CA">
              <w:rPr>
                <w:rFonts w:cs="Calibri"/>
                <w:noProof w:val="0"/>
                <w:color w:val="FFFFFF"/>
                <w:szCs w:val="16"/>
              </w:rPr>
              <w:t>2021 submission</w:t>
            </w:r>
          </w:p>
        </w:tc>
        <w:tc>
          <w:tcPr>
            <w:tcW w:w="1807" w:type="dxa"/>
            <w:vMerge/>
            <w:tcBorders>
              <w:bottom w:val="single" w:sz="4" w:space="0" w:color="365F91"/>
            </w:tcBorders>
            <w:shd w:val="clear" w:color="auto" w:fill="365F91"/>
            <w:vAlign w:val="center"/>
          </w:tcPr>
          <w:p w14:paraId="176084F1" w14:textId="77777777" w:rsidR="00410716" w:rsidRPr="00BE78CA" w:rsidRDefault="00410716" w:rsidP="00C26084">
            <w:pPr>
              <w:keepNext/>
              <w:spacing w:before="50" w:after="50"/>
              <w:rPr>
                <w:rFonts w:cs="Calibri"/>
                <w:sz w:val="16"/>
                <w:szCs w:val="16"/>
              </w:rPr>
            </w:pPr>
          </w:p>
        </w:tc>
      </w:tr>
      <w:tr w:rsidR="00410716" w:rsidRPr="00BE78CA" w14:paraId="3A04B9F3" w14:textId="77777777" w:rsidTr="001A728C">
        <w:trPr>
          <w:trHeight w:val="225"/>
        </w:trPr>
        <w:tc>
          <w:tcPr>
            <w:tcW w:w="3578" w:type="dxa"/>
            <w:tcBorders>
              <w:top w:val="single" w:sz="4" w:space="0" w:color="365F91"/>
              <w:bottom w:val="single" w:sz="4" w:space="0" w:color="365F91"/>
            </w:tcBorders>
            <w:shd w:val="clear" w:color="auto" w:fill="auto"/>
            <w:vAlign w:val="center"/>
          </w:tcPr>
          <w:p w14:paraId="54FF98B6" w14:textId="77777777" w:rsidR="00410716" w:rsidRPr="00BE78CA" w:rsidRDefault="00410716" w:rsidP="00C26084">
            <w:pPr>
              <w:pStyle w:val="TableText"/>
              <w:keepNext/>
              <w:spacing w:before="50" w:after="50"/>
              <w:rPr>
                <w:rFonts w:cs="Calibri"/>
                <w:bCs/>
                <w:szCs w:val="16"/>
              </w:rPr>
            </w:pPr>
            <w:r w:rsidRPr="00BE78CA">
              <w:rPr>
                <w:rFonts w:cs="Calibri"/>
                <w:bCs/>
                <w:szCs w:val="16"/>
              </w:rPr>
              <w:t>Afforestation and reforestation</w:t>
            </w:r>
          </w:p>
        </w:tc>
        <w:tc>
          <w:tcPr>
            <w:tcW w:w="1462" w:type="dxa"/>
            <w:tcBorders>
              <w:top w:val="single" w:sz="4" w:space="0" w:color="365F91"/>
              <w:bottom w:val="single" w:sz="4" w:space="0" w:color="365F91"/>
            </w:tcBorders>
            <w:shd w:val="clear" w:color="auto" w:fill="auto"/>
          </w:tcPr>
          <w:p w14:paraId="6C926358" w14:textId="77777777" w:rsidR="00410716" w:rsidRPr="00BE78CA" w:rsidRDefault="00410716" w:rsidP="00C26084">
            <w:pPr>
              <w:pStyle w:val="TableText"/>
              <w:keepNext/>
              <w:spacing w:before="50" w:after="50"/>
              <w:jc w:val="right"/>
              <w:rPr>
                <w:rFonts w:cs="Calibri"/>
                <w:szCs w:val="16"/>
              </w:rPr>
            </w:pPr>
            <w:r w:rsidRPr="00BE78CA">
              <w:t>698,497</w:t>
            </w:r>
          </w:p>
        </w:tc>
        <w:tc>
          <w:tcPr>
            <w:tcW w:w="1658" w:type="dxa"/>
            <w:gridSpan w:val="2"/>
            <w:tcBorders>
              <w:top w:val="single" w:sz="4" w:space="0" w:color="365F91"/>
              <w:bottom w:val="single" w:sz="4" w:space="0" w:color="365F91"/>
            </w:tcBorders>
            <w:shd w:val="clear" w:color="auto" w:fill="auto"/>
          </w:tcPr>
          <w:p w14:paraId="46FA1005" w14:textId="77777777" w:rsidR="00410716" w:rsidRPr="00BE78CA" w:rsidRDefault="00410716" w:rsidP="00C26084">
            <w:pPr>
              <w:pStyle w:val="TableText"/>
              <w:keepNext/>
              <w:spacing w:before="50" w:after="50"/>
              <w:jc w:val="right"/>
              <w:rPr>
                <w:rFonts w:cs="Calibri"/>
                <w:szCs w:val="16"/>
              </w:rPr>
            </w:pPr>
            <w:r w:rsidRPr="00BE78CA">
              <w:t>716,331</w:t>
            </w:r>
          </w:p>
        </w:tc>
        <w:tc>
          <w:tcPr>
            <w:tcW w:w="1807" w:type="dxa"/>
            <w:tcBorders>
              <w:top w:val="single" w:sz="4" w:space="0" w:color="365F91"/>
              <w:bottom w:val="single" w:sz="4" w:space="0" w:color="365F91"/>
            </w:tcBorders>
            <w:shd w:val="clear" w:color="auto" w:fill="auto"/>
          </w:tcPr>
          <w:p w14:paraId="02455CC6" w14:textId="77777777" w:rsidR="00410716" w:rsidRPr="00BE78CA" w:rsidRDefault="00410716" w:rsidP="00C26084">
            <w:pPr>
              <w:pStyle w:val="TableText"/>
              <w:keepNext/>
              <w:spacing w:before="50" w:after="50"/>
              <w:jc w:val="right"/>
              <w:rPr>
                <w:rFonts w:cs="Calibri"/>
                <w:szCs w:val="16"/>
              </w:rPr>
            </w:pPr>
            <w:r w:rsidRPr="00BE78CA">
              <w:t xml:space="preserve">2.6 </w:t>
            </w:r>
          </w:p>
        </w:tc>
      </w:tr>
      <w:tr w:rsidR="00410716" w:rsidRPr="00BE78CA" w14:paraId="514DED55" w14:textId="77777777" w:rsidTr="001A728C">
        <w:tc>
          <w:tcPr>
            <w:tcW w:w="3578" w:type="dxa"/>
            <w:tcBorders>
              <w:top w:val="single" w:sz="4" w:space="0" w:color="365F91"/>
              <w:bottom w:val="single" w:sz="4" w:space="0" w:color="365F91"/>
            </w:tcBorders>
            <w:shd w:val="clear" w:color="auto" w:fill="auto"/>
            <w:vAlign w:val="center"/>
          </w:tcPr>
          <w:p w14:paraId="625E6496" w14:textId="77777777" w:rsidR="00410716" w:rsidRPr="00BE78CA" w:rsidRDefault="00410716" w:rsidP="00C26084">
            <w:pPr>
              <w:pStyle w:val="TableText"/>
              <w:spacing w:before="50" w:after="50"/>
              <w:rPr>
                <w:rFonts w:cs="Calibri"/>
                <w:bCs/>
                <w:szCs w:val="16"/>
              </w:rPr>
            </w:pPr>
            <w:r w:rsidRPr="00BE78CA">
              <w:rPr>
                <w:rFonts w:cs="Calibri"/>
                <w:bCs/>
                <w:szCs w:val="16"/>
              </w:rPr>
              <w:t xml:space="preserve">Deforestation </w:t>
            </w:r>
          </w:p>
        </w:tc>
        <w:tc>
          <w:tcPr>
            <w:tcW w:w="1462" w:type="dxa"/>
            <w:tcBorders>
              <w:top w:val="single" w:sz="4" w:space="0" w:color="365F91"/>
              <w:bottom w:val="single" w:sz="4" w:space="0" w:color="365F91"/>
            </w:tcBorders>
            <w:shd w:val="clear" w:color="auto" w:fill="auto"/>
          </w:tcPr>
          <w:p w14:paraId="5A45C002" w14:textId="77777777" w:rsidR="00410716" w:rsidRPr="00BE78CA" w:rsidRDefault="00410716" w:rsidP="00C26084">
            <w:pPr>
              <w:pStyle w:val="TableText"/>
              <w:keepNext/>
              <w:keepLines/>
              <w:spacing w:before="50" w:after="50"/>
              <w:jc w:val="right"/>
              <w:rPr>
                <w:rFonts w:cs="Calibri"/>
                <w:szCs w:val="16"/>
              </w:rPr>
            </w:pPr>
            <w:r w:rsidRPr="00BE78CA">
              <w:t>201,206</w:t>
            </w:r>
          </w:p>
        </w:tc>
        <w:tc>
          <w:tcPr>
            <w:tcW w:w="1658" w:type="dxa"/>
            <w:gridSpan w:val="2"/>
            <w:tcBorders>
              <w:top w:val="single" w:sz="4" w:space="0" w:color="365F91"/>
              <w:bottom w:val="single" w:sz="4" w:space="0" w:color="365F91"/>
            </w:tcBorders>
            <w:shd w:val="clear" w:color="auto" w:fill="auto"/>
          </w:tcPr>
          <w:p w14:paraId="40E3EDAF" w14:textId="77777777" w:rsidR="00410716" w:rsidRPr="00BE78CA" w:rsidRDefault="00410716" w:rsidP="00C26084">
            <w:pPr>
              <w:pStyle w:val="TableText"/>
              <w:keepNext/>
              <w:keepLines/>
              <w:spacing w:before="50" w:after="50"/>
              <w:jc w:val="right"/>
              <w:rPr>
                <w:rFonts w:cs="Calibri"/>
                <w:szCs w:val="16"/>
              </w:rPr>
            </w:pPr>
            <w:r w:rsidRPr="00BE78CA">
              <w:t>197,896</w:t>
            </w:r>
          </w:p>
        </w:tc>
        <w:tc>
          <w:tcPr>
            <w:tcW w:w="1807" w:type="dxa"/>
            <w:tcBorders>
              <w:top w:val="single" w:sz="4" w:space="0" w:color="365F91"/>
              <w:bottom w:val="single" w:sz="4" w:space="0" w:color="365F91"/>
            </w:tcBorders>
            <w:shd w:val="clear" w:color="auto" w:fill="auto"/>
          </w:tcPr>
          <w:p w14:paraId="03222E11" w14:textId="77777777" w:rsidR="00410716" w:rsidRPr="00BE78CA" w:rsidRDefault="00410716" w:rsidP="00C26084">
            <w:pPr>
              <w:pStyle w:val="TableText"/>
              <w:keepNext/>
              <w:keepLines/>
              <w:spacing w:before="50" w:after="50"/>
              <w:jc w:val="right"/>
              <w:rPr>
                <w:rFonts w:cs="Calibri"/>
                <w:szCs w:val="16"/>
              </w:rPr>
            </w:pPr>
            <w:r w:rsidRPr="00BE78CA">
              <w:t xml:space="preserve">–1.6 </w:t>
            </w:r>
          </w:p>
        </w:tc>
      </w:tr>
      <w:tr w:rsidR="00410716" w:rsidRPr="00BE78CA" w14:paraId="519E303E" w14:textId="77777777" w:rsidTr="001A728C">
        <w:tc>
          <w:tcPr>
            <w:tcW w:w="3578" w:type="dxa"/>
            <w:tcBorders>
              <w:top w:val="single" w:sz="4" w:space="0" w:color="365F91"/>
              <w:bottom w:val="single" w:sz="4" w:space="0" w:color="365F91"/>
            </w:tcBorders>
            <w:shd w:val="clear" w:color="auto" w:fill="auto"/>
            <w:vAlign w:val="center"/>
          </w:tcPr>
          <w:p w14:paraId="3596C7B3" w14:textId="77777777" w:rsidR="00410716" w:rsidRPr="00BE78CA" w:rsidRDefault="00410716" w:rsidP="00C26084">
            <w:pPr>
              <w:pStyle w:val="TableText"/>
              <w:spacing w:before="50" w:after="50"/>
              <w:rPr>
                <w:rFonts w:cs="Calibri"/>
                <w:bCs/>
                <w:szCs w:val="16"/>
              </w:rPr>
            </w:pPr>
            <w:r w:rsidRPr="00BE78CA">
              <w:rPr>
                <w:rFonts w:cs="Calibri"/>
                <w:bCs/>
                <w:szCs w:val="16"/>
              </w:rPr>
              <w:t>Forest management</w:t>
            </w:r>
          </w:p>
        </w:tc>
        <w:tc>
          <w:tcPr>
            <w:tcW w:w="1462" w:type="dxa"/>
            <w:tcBorders>
              <w:top w:val="single" w:sz="4" w:space="0" w:color="365F91"/>
              <w:bottom w:val="single" w:sz="4" w:space="0" w:color="365F91"/>
            </w:tcBorders>
            <w:shd w:val="clear" w:color="auto" w:fill="auto"/>
          </w:tcPr>
          <w:p w14:paraId="7477E522" w14:textId="77777777" w:rsidR="00410716" w:rsidRPr="00BE78CA" w:rsidRDefault="00410716" w:rsidP="00C26084">
            <w:pPr>
              <w:pStyle w:val="TableText"/>
              <w:keepNext/>
              <w:keepLines/>
              <w:spacing w:before="50" w:after="50"/>
              <w:jc w:val="right"/>
              <w:rPr>
                <w:rFonts w:cs="Calibri"/>
                <w:szCs w:val="16"/>
              </w:rPr>
            </w:pPr>
            <w:r w:rsidRPr="00BE78CA">
              <w:t>9,208,933</w:t>
            </w:r>
          </w:p>
        </w:tc>
        <w:tc>
          <w:tcPr>
            <w:tcW w:w="1658" w:type="dxa"/>
            <w:gridSpan w:val="2"/>
            <w:tcBorders>
              <w:top w:val="single" w:sz="4" w:space="0" w:color="365F91"/>
              <w:bottom w:val="single" w:sz="4" w:space="0" w:color="365F91"/>
            </w:tcBorders>
            <w:shd w:val="clear" w:color="auto" w:fill="auto"/>
          </w:tcPr>
          <w:p w14:paraId="369E31A7" w14:textId="77777777" w:rsidR="00410716" w:rsidRPr="00BE78CA" w:rsidRDefault="00410716" w:rsidP="00C26084">
            <w:pPr>
              <w:pStyle w:val="TableText"/>
              <w:keepNext/>
              <w:keepLines/>
              <w:spacing w:before="50" w:after="50"/>
              <w:jc w:val="right"/>
              <w:rPr>
                <w:rFonts w:cs="Calibri"/>
                <w:szCs w:val="16"/>
              </w:rPr>
            </w:pPr>
            <w:r w:rsidRPr="00BE78CA">
              <w:t>9,204,683</w:t>
            </w:r>
          </w:p>
        </w:tc>
        <w:tc>
          <w:tcPr>
            <w:tcW w:w="1807" w:type="dxa"/>
            <w:tcBorders>
              <w:top w:val="single" w:sz="4" w:space="0" w:color="365F91"/>
              <w:bottom w:val="single" w:sz="4" w:space="0" w:color="365F91"/>
            </w:tcBorders>
            <w:shd w:val="clear" w:color="auto" w:fill="auto"/>
          </w:tcPr>
          <w:p w14:paraId="6DE3A783" w14:textId="77777777" w:rsidR="00410716" w:rsidRPr="00BE78CA" w:rsidRDefault="00410716" w:rsidP="00C26084">
            <w:pPr>
              <w:pStyle w:val="TableText"/>
              <w:keepNext/>
              <w:keepLines/>
              <w:spacing w:before="50" w:after="50"/>
              <w:jc w:val="right"/>
              <w:rPr>
                <w:rFonts w:cs="Calibri"/>
                <w:szCs w:val="16"/>
              </w:rPr>
            </w:pPr>
            <w:r w:rsidRPr="00BE78CA">
              <w:t xml:space="preserve">–0.0 </w:t>
            </w:r>
          </w:p>
        </w:tc>
      </w:tr>
      <w:tr w:rsidR="00410716" w:rsidRPr="00BE78CA" w14:paraId="238EC653" w14:textId="77777777" w:rsidTr="001A728C">
        <w:tc>
          <w:tcPr>
            <w:tcW w:w="3578" w:type="dxa"/>
            <w:tcBorders>
              <w:top w:val="single" w:sz="4" w:space="0" w:color="365F91"/>
              <w:bottom w:val="single" w:sz="4" w:space="0" w:color="365F91"/>
            </w:tcBorders>
            <w:shd w:val="clear" w:color="auto" w:fill="365F91"/>
            <w:vAlign w:val="bottom"/>
          </w:tcPr>
          <w:p w14:paraId="3CADAAD7" w14:textId="77777777" w:rsidR="00410716" w:rsidRPr="00BE78CA" w:rsidRDefault="00410716" w:rsidP="00C26084">
            <w:pPr>
              <w:pStyle w:val="TableText"/>
              <w:spacing w:before="50" w:after="50"/>
              <w:rPr>
                <w:rFonts w:cs="Calibri"/>
                <w:b/>
                <w:bCs/>
                <w:color w:val="FFFFFF"/>
                <w:szCs w:val="16"/>
              </w:rPr>
            </w:pPr>
            <w:r w:rsidRPr="00BE78CA">
              <w:rPr>
                <w:rFonts w:cs="Calibri"/>
                <w:b/>
                <w:bCs/>
                <w:color w:val="FFFFFF"/>
                <w:szCs w:val="16"/>
              </w:rPr>
              <w:lastRenderedPageBreak/>
              <w:t>Activities occurring in 2018</w:t>
            </w:r>
          </w:p>
        </w:tc>
        <w:tc>
          <w:tcPr>
            <w:tcW w:w="3120" w:type="dxa"/>
            <w:gridSpan w:val="3"/>
            <w:tcBorders>
              <w:top w:val="single" w:sz="4" w:space="0" w:color="365F91"/>
              <w:bottom w:val="single" w:sz="4" w:space="0" w:color="365F91"/>
            </w:tcBorders>
            <w:shd w:val="clear" w:color="auto" w:fill="365F91"/>
            <w:vAlign w:val="bottom"/>
          </w:tcPr>
          <w:p w14:paraId="6D7FDEA8" w14:textId="77777777" w:rsidR="00410716" w:rsidRPr="00BE78CA" w:rsidRDefault="00410716" w:rsidP="00C26084">
            <w:pPr>
              <w:pStyle w:val="TableTextBold"/>
              <w:keepNext/>
              <w:keepLines/>
              <w:jc w:val="center"/>
              <w:rPr>
                <w:rFonts w:cs="Calibri"/>
                <w:noProof w:val="0"/>
                <w:color w:val="FFFFFF"/>
                <w:szCs w:val="16"/>
              </w:rPr>
            </w:pPr>
            <w:r w:rsidRPr="00BE78CA">
              <w:rPr>
                <w:rFonts w:cs="Calibri"/>
                <w:noProof w:val="0"/>
                <w:color w:val="FFFFFF"/>
                <w:szCs w:val="16"/>
              </w:rPr>
              <w:t>Area change in 2018 (ha)</w:t>
            </w:r>
          </w:p>
        </w:tc>
        <w:tc>
          <w:tcPr>
            <w:tcW w:w="1807" w:type="dxa"/>
            <w:tcBorders>
              <w:top w:val="single" w:sz="4" w:space="0" w:color="365F91"/>
              <w:bottom w:val="single" w:sz="4" w:space="0" w:color="365F91"/>
            </w:tcBorders>
            <w:shd w:val="clear" w:color="auto" w:fill="365F91"/>
            <w:vAlign w:val="bottom"/>
          </w:tcPr>
          <w:p w14:paraId="5D8DCA17" w14:textId="77777777" w:rsidR="00410716" w:rsidRPr="00BE78CA" w:rsidRDefault="00410716" w:rsidP="00770313">
            <w:pPr>
              <w:pStyle w:val="TableTextBold"/>
              <w:keepNext/>
              <w:keepLines/>
              <w:jc w:val="right"/>
              <w:rPr>
                <w:rFonts w:cs="Calibri"/>
                <w:noProof w:val="0"/>
                <w:color w:val="FFFFFF"/>
                <w:szCs w:val="16"/>
              </w:rPr>
            </w:pPr>
            <w:r w:rsidRPr="00BE78CA">
              <w:rPr>
                <w:rFonts w:cs="Calibri"/>
                <w:noProof w:val="0"/>
                <w:color w:val="FFFFFF"/>
                <w:szCs w:val="16"/>
              </w:rPr>
              <w:t>Change from 2020 submission (%)</w:t>
            </w:r>
          </w:p>
        </w:tc>
      </w:tr>
      <w:tr w:rsidR="00410716" w:rsidRPr="00BE78CA" w14:paraId="38FC192B" w14:textId="77777777" w:rsidTr="001A728C">
        <w:tc>
          <w:tcPr>
            <w:tcW w:w="3578" w:type="dxa"/>
            <w:tcBorders>
              <w:top w:val="single" w:sz="4" w:space="0" w:color="365F91"/>
              <w:bottom w:val="single" w:sz="4" w:space="0" w:color="365F91"/>
            </w:tcBorders>
            <w:shd w:val="clear" w:color="auto" w:fill="auto"/>
            <w:vAlign w:val="center"/>
          </w:tcPr>
          <w:p w14:paraId="375B1C32" w14:textId="77777777" w:rsidR="00410716" w:rsidRPr="00BE78CA" w:rsidRDefault="00410716" w:rsidP="00C26084">
            <w:pPr>
              <w:pStyle w:val="TableText"/>
              <w:spacing w:before="50" w:after="50"/>
              <w:rPr>
                <w:rFonts w:cs="Calibri"/>
                <w:bCs/>
                <w:szCs w:val="16"/>
              </w:rPr>
            </w:pPr>
            <w:r w:rsidRPr="00BE78CA">
              <w:rPr>
                <w:rFonts w:cs="Calibri"/>
                <w:bCs/>
                <w:szCs w:val="16"/>
              </w:rPr>
              <w:t>New planting</w:t>
            </w:r>
          </w:p>
        </w:tc>
        <w:tc>
          <w:tcPr>
            <w:tcW w:w="1582" w:type="dxa"/>
            <w:gridSpan w:val="2"/>
            <w:tcBorders>
              <w:top w:val="single" w:sz="4" w:space="0" w:color="365F91"/>
              <w:bottom w:val="single" w:sz="4" w:space="0" w:color="365F91"/>
            </w:tcBorders>
            <w:shd w:val="clear" w:color="auto" w:fill="auto"/>
          </w:tcPr>
          <w:p w14:paraId="3D556CED" w14:textId="77777777" w:rsidR="00410716" w:rsidRPr="00BE78CA" w:rsidRDefault="00410716" w:rsidP="00C26084">
            <w:pPr>
              <w:pStyle w:val="TableText"/>
              <w:keepNext/>
              <w:keepLines/>
              <w:spacing w:before="50" w:after="50"/>
              <w:jc w:val="right"/>
              <w:rPr>
                <w:rFonts w:cs="Calibri"/>
                <w:szCs w:val="16"/>
              </w:rPr>
            </w:pPr>
            <w:r w:rsidRPr="00BE78CA">
              <w:t>9,443</w:t>
            </w:r>
          </w:p>
        </w:tc>
        <w:tc>
          <w:tcPr>
            <w:tcW w:w="1538" w:type="dxa"/>
            <w:tcBorders>
              <w:top w:val="single" w:sz="4" w:space="0" w:color="365F91"/>
              <w:bottom w:val="single" w:sz="4" w:space="0" w:color="365F91"/>
            </w:tcBorders>
            <w:shd w:val="clear" w:color="auto" w:fill="auto"/>
          </w:tcPr>
          <w:p w14:paraId="114093DF" w14:textId="77777777" w:rsidR="00410716" w:rsidRPr="00BE78CA" w:rsidRDefault="00410716" w:rsidP="00C26084">
            <w:pPr>
              <w:pStyle w:val="TableText"/>
              <w:keepNext/>
              <w:keepLines/>
              <w:tabs>
                <w:tab w:val="center" w:pos="661"/>
                <w:tab w:val="right" w:pos="1322"/>
              </w:tabs>
              <w:spacing w:before="50" w:after="50"/>
              <w:jc w:val="right"/>
              <w:rPr>
                <w:rFonts w:cs="Calibri"/>
                <w:szCs w:val="16"/>
              </w:rPr>
            </w:pPr>
            <w:r w:rsidRPr="00BE78CA">
              <w:t>8,323</w:t>
            </w:r>
          </w:p>
        </w:tc>
        <w:tc>
          <w:tcPr>
            <w:tcW w:w="1807" w:type="dxa"/>
            <w:tcBorders>
              <w:top w:val="single" w:sz="4" w:space="0" w:color="365F91"/>
              <w:bottom w:val="single" w:sz="4" w:space="0" w:color="365F91"/>
            </w:tcBorders>
            <w:shd w:val="clear" w:color="auto" w:fill="auto"/>
          </w:tcPr>
          <w:p w14:paraId="75758855" w14:textId="77777777" w:rsidR="00410716" w:rsidRPr="00BE78CA" w:rsidRDefault="00410716" w:rsidP="00C26084">
            <w:pPr>
              <w:pStyle w:val="TableText"/>
              <w:keepNext/>
              <w:keepLines/>
              <w:spacing w:before="50" w:after="50"/>
              <w:jc w:val="right"/>
              <w:rPr>
                <w:rFonts w:cs="Calibri"/>
                <w:szCs w:val="16"/>
              </w:rPr>
            </w:pPr>
            <w:r w:rsidRPr="00BE78CA">
              <w:t>–11.9</w:t>
            </w:r>
          </w:p>
        </w:tc>
      </w:tr>
      <w:tr w:rsidR="00410716" w:rsidRPr="00BE78CA" w14:paraId="5BC82752" w14:textId="77777777" w:rsidTr="001A728C">
        <w:tc>
          <w:tcPr>
            <w:tcW w:w="3578" w:type="dxa"/>
            <w:tcBorders>
              <w:top w:val="single" w:sz="4" w:space="0" w:color="365F91"/>
            </w:tcBorders>
            <w:shd w:val="clear" w:color="auto" w:fill="auto"/>
            <w:vAlign w:val="center"/>
          </w:tcPr>
          <w:p w14:paraId="3A5E5CDD" w14:textId="77777777" w:rsidR="00410716" w:rsidRPr="00BE78CA" w:rsidRDefault="00410716" w:rsidP="00C26084">
            <w:pPr>
              <w:pStyle w:val="TableText"/>
              <w:spacing w:before="50" w:after="50"/>
              <w:rPr>
                <w:rFonts w:cs="Calibri"/>
                <w:bCs/>
                <w:szCs w:val="16"/>
              </w:rPr>
            </w:pPr>
            <w:r w:rsidRPr="00BE78CA">
              <w:rPr>
                <w:rFonts w:cs="Calibri"/>
                <w:bCs/>
                <w:szCs w:val="16"/>
              </w:rPr>
              <w:t>Deforestation</w:t>
            </w:r>
          </w:p>
        </w:tc>
        <w:tc>
          <w:tcPr>
            <w:tcW w:w="1582" w:type="dxa"/>
            <w:gridSpan w:val="2"/>
            <w:tcBorders>
              <w:top w:val="single" w:sz="4" w:space="0" w:color="365F91"/>
            </w:tcBorders>
            <w:shd w:val="clear" w:color="auto" w:fill="auto"/>
          </w:tcPr>
          <w:p w14:paraId="511D66BF" w14:textId="77777777" w:rsidR="00410716" w:rsidRPr="00BE78CA" w:rsidRDefault="00410716" w:rsidP="00C26084">
            <w:pPr>
              <w:pStyle w:val="TableText"/>
              <w:keepNext/>
              <w:keepLines/>
              <w:spacing w:before="50" w:after="50"/>
              <w:jc w:val="right"/>
              <w:rPr>
                <w:rFonts w:cs="Calibri"/>
                <w:szCs w:val="16"/>
              </w:rPr>
            </w:pPr>
          </w:p>
        </w:tc>
        <w:tc>
          <w:tcPr>
            <w:tcW w:w="1538" w:type="dxa"/>
            <w:tcBorders>
              <w:top w:val="single" w:sz="4" w:space="0" w:color="365F91"/>
            </w:tcBorders>
            <w:shd w:val="clear" w:color="auto" w:fill="auto"/>
          </w:tcPr>
          <w:p w14:paraId="6FFB8CC5" w14:textId="77777777" w:rsidR="00410716" w:rsidRPr="00BE78CA" w:rsidRDefault="00410716" w:rsidP="00C26084">
            <w:pPr>
              <w:pStyle w:val="TableText"/>
              <w:keepNext/>
              <w:keepLines/>
              <w:spacing w:before="50" w:after="50"/>
              <w:jc w:val="right"/>
              <w:rPr>
                <w:rFonts w:cs="Calibri"/>
                <w:szCs w:val="16"/>
              </w:rPr>
            </w:pPr>
          </w:p>
        </w:tc>
        <w:tc>
          <w:tcPr>
            <w:tcW w:w="1807" w:type="dxa"/>
            <w:tcBorders>
              <w:top w:val="single" w:sz="4" w:space="0" w:color="365F91"/>
            </w:tcBorders>
            <w:shd w:val="clear" w:color="auto" w:fill="auto"/>
          </w:tcPr>
          <w:p w14:paraId="2054442D" w14:textId="77777777" w:rsidR="00410716" w:rsidRPr="00BE78CA" w:rsidRDefault="00410716" w:rsidP="00C26084">
            <w:pPr>
              <w:pStyle w:val="TableText"/>
              <w:keepNext/>
              <w:keepLines/>
              <w:spacing w:before="50" w:after="50"/>
              <w:jc w:val="right"/>
              <w:rPr>
                <w:rFonts w:cs="Calibri"/>
                <w:szCs w:val="16"/>
              </w:rPr>
            </w:pPr>
          </w:p>
        </w:tc>
      </w:tr>
      <w:tr w:rsidR="00410716" w:rsidRPr="00BE78CA" w14:paraId="41D52779" w14:textId="77777777" w:rsidTr="001A728C">
        <w:tc>
          <w:tcPr>
            <w:tcW w:w="3578" w:type="dxa"/>
            <w:tcBorders>
              <w:bottom w:val="single" w:sz="4" w:space="0" w:color="365F91"/>
            </w:tcBorders>
            <w:shd w:val="clear" w:color="auto" w:fill="auto"/>
            <w:vAlign w:val="center"/>
          </w:tcPr>
          <w:p w14:paraId="28995EBD" w14:textId="77777777" w:rsidR="00410716" w:rsidRPr="00BE78CA" w:rsidRDefault="00410716" w:rsidP="00C26084">
            <w:pPr>
              <w:pStyle w:val="TableText"/>
              <w:spacing w:before="50" w:after="50"/>
              <w:ind w:left="369"/>
              <w:rPr>
                <w:rFonts w:cs="Calibri"/>
                <w:bCs/>
                <w:szCs w:val="16"/>
              </w:rPr>
            </w:pPr>
            <w:r w:rsidRPr="00BE78CA">
              <w:rPr>
                <w:rFonts w:cs="Calibri"/>
                <w:bCs/>
                <w:szCs w:val="16"/>
              </w:rPr>
              <w:t>Pre-1990 natural forest</w:t>
            </w:r>
          </w:p>
        </w:tc>
        <w:tc>
          <w:tcPr>
            <w:tcW w:w="1582" w:type="dxa"/>
            <w:gridSpan w:val="2"/>
            <w:tcBorders>
              <w:bottom w:val="single" w:sz="4" w:space="0" w:color="365F91"/>
            </w:tcBorders>
            <w:shd w:val="clear" w:color="auto" w:fill="auto"/>
          </w:tcPr>
          <w:p w14:paraId="1ED44C5B" w14:textId="77777777" w:rsidR="00410716" w:rsidRPr="00BE78CA" w:rsidRDefault="00410716" w:rsidP="00C26084">
            <w:pPr>
              <w:pStyle w:val="TableText"/>
              <w:keepNext/>
              <w:keepLines/>
              <w:spacing w:before="50" w:after="50"/>
              <w:jc w:val="right"/>
              <w:rPr>
                <w:rFonts w:cs="Calibri"/>
                <w:szCs w:val="16"/>
              </w:rPr>
            </w:pPr>
            <w:r w:rsidRPr="00BE78CA">
              <w:t>740</w:t>
            </w:r>
          </w:p>
        </w:tc>
        <w:tc>
          <w:tcPr>
            <w:tcW w:w="1538" w:type="dxa"/>
            <w:tcBorders>
              <w:bottom w:val="single" w:sz="4" w:space="0" w:color="365F91"/>
            </w:tcBorders>
            <w:shd w:val="clear" w:color="auto" w:fill="auto"/>
          </w:tcPr>
          <w:p w14:paraId="518214C7" w14:textId="77777777" w:rsidR="00410716" w:rsidRPr="00BE78CA" w:rsidRDefault="00410716" w:rsidP="00C26084">
            <w:pPr>
              <w:pStyle w:val="TableText"/>
              <w:keepNext/>
              <w:keepLines/>
              <w:spacing w:before="50" w:after="50"/>
              <w:jc w:val="right"/>
              <w:rPr>
                <w:rFonts w:cs="Calibri"/>
                <w:szCs w:val="16"/>
              </w:rPr>
            </w:pPr>
            <w:r w:rsidRPr="00BE78CA">
              <w:t xml:space="preserve"> 750 </w:t>
            </w:r>
          </w:p>
        </w:tc>
        <w:tc>
          <w:tcPr>
            <w:tcW w:w="1807" w:type="dxa"/>
            <w:tcBorders>
              <w:bottom w:val="single" w:sz="4" w:space="0" w:color="365F91"/>
            </w:tcBorders>
            <w:shd w:val="clear" w:color="auto" w:fill="auto"/>
          </w:tcPr>
          <w:p w14:paraId="0663E858" w14:textId="77777777" w:rsidR="00410716" w:rsidRPr="00BE78CA" w:rsidRDefault="00410716" w:rsidP="00C26084">
            <w:pPr>
              <w:pStyle w:val="TableText"/>
              <w:keepNext/>
              <w:keepLines/>
              <w:spacing w:before="50" w:after="50"/>
              <w:jc w:val="right"/>
              <w:rPr>
                <w:rFonts w:cs="Calibri"/>
                <w:szCs w:val="16"/>
              </w:rPr>
            </w:pPr>
            <w:r w:rsidRPr="00BE78CA">
              <w:t xml:space="preserve"> 1.3 </w:t>
            </w:r>
          </w:p>
        </w:tc>
      </w:tr>
      <w:tr w:rsidR="00410716" w:rsidRPr="00BE78CA" w14:paraId="57ED0B80" w14:textId="77777777" w:rsidTr="001A728C">
        <w:tc>
          <w:tcPr>
            <w:tcW w:w="3578" w:type="dxa"/>
            <w:tcBorders>
              <w:top w:val="single" w:sz="4" w:space="0" w:color="365F91"/>
              <w:bottom w:val="single" w:sz="4" w:space="0" w:color="365F91"/>
            </w:tcBorders>
            <w:shd w:val="clear" w:color="auto" w:fill="auto"/>
            <w:vAlign w:val="center"/>
          </w:tcPr>
          <w:p w14:paraId="29582CF1" w14:textId="77777777" w:rsidR="00410716" w:rsidRPr="00BE78CA" w:rsidRDefault="00410716" w:rsidP="00C26084">
            <w:pPr>
              <w:pStyle w:val="TableText"/>
              <w:spacing w:before="50" w:after="50"/>
              <w:ind w:left="369"/>
              <w:rPr>
                <w:rFonts w:cs="Calibri"/>
                <w:bCs/>
                <w:szCs w:val="16"/>
              </w:rPr>
            </w:pPr>
            <w:r w:rsidRPr="00BE78CA">
              <w:rPr>
                <w:rFonts w:cs="Calibri"/>
                <w:bCs/>
                <w:szCs w:val="16"/>
              </w:rPr>
              <w:t>Pre-1990 planted forest</w:t>
            </w:r>
          </w:p>
        </w:tc>
        <w:tc>
          <w:tcPr>
            <w:tcW w:w="1582" w:type="dxa"/>
            <w:gridSpan w:val="2"/>
            <w:tcBorders>
              <w:top w:val="single" w:sz="4" w:space="0" w:color="365F91"/>
              <w:bottom w:val="single" w:sz="4" w:space="0" w:color="365F91"/>
            </w:tcBorders>
            <w:shd w:val="clear" w:color="auto" w:fill="auto"/>
          </w:tcPr>
          <w:p w14:paraId="36C0E72D" w14:textId="77777777" w:rsidR="00410716" w:rsidRPr="00BE78CA" w:rsidRDefault="00410716" w:rsidP="00C26084">
            <w:pPr>
              <w:pStyle w:val="TableText"/>
              <w:keepNext/>
              <w:keepLines/>
              <w:spacing w:before="50" w:after="50"/>
              <w:jc w:val="right"/>
              <w:rPr>
                <w:rFonts w:cs="Calibri"/>
                <w:szCs w:val="16"/>
              </w:rPr>
            </w:pPr>
            <w:r w:rsidRPr="00BE78CA">
              <w:t>2,308</w:t>
            </w:r>
          </w:p>
        </w:tc>
        <w:tc>
          <w:tcPr>
            <w:tcW w:w="1538" w:type="dxa"/>
            <w:tcBorders>
              <w:top w:val="single" w:sz="4" w:space="0" w:color="365F91"/>
              <w:bottom w:val="single" w:sz="4" w:space="0" w:color="365F91"/>
            </w:tcBorders>
            <w:shd w:val="clear" w:color="auto" w:fill="auto"/>
          </w:tcPr>
          <w:p w14:paraId="21718A15" w14:textId="77777777" w:rsidR="00410716" w:rsidRPr="00BE78CA" w:rsidRDefault="00410716" w:rsidP="00C26084">
            <w:pPr>
              <w:pStyle w:val="TableText"/>
              <w:keepNext/>
              <w:keepLines/>
              <w:spacing w:before="50" w:after="50"/>
              <w:jc w:val="right"/>
              <w:rPr>
                <w:rFonts w:cs="Calibri"/>
                <w:szCs w:val="16"/>
              </w:rPr>
            </w:pPr>
            <w:r w:rsidRPr="00BE78CA">
              <w:t xml:space="preserve"> 2,369 </w:t>
            </w:r>
          </w:p>
        </w:tc>
        <w:tc>
          <w:tcPr>
            <w:tcW w:w="1807" w:type="dxa"/>
            <w:tcBorders>
              <w:top w:val="single" w:sz="4" w:space="0" w:color="365F91"/>
              <w:bottom w:val="single" w:sz="4" w:space="0" w:color="365F91"/>
            </w:tcBorders>
            <w:shd w:val="clear" w:color="auto" w:fill="auto"/>
          </w:tcPr>
          <w:p w14:paraId="1BCB0E37" w14:textId="77777777" w:rsidR="00410716" w:rsidRPr="00BE78CA" w:rsidRDefault="00410716" w:rsidP="00C26084">
            <w:pPr>
              <w:pStyle w:val="TableText"/>
              <w:keepNext/>
              <w:keepLines/>
              <w:spacing w:before="50" w:after="50"/>
              <w:jc w:val="right"/>
              <w:rPr>
                <w:rFonts w:cs="Calibri"/>
                <w:szCs w:val="16"/>
              </w:rPr>
            </w:pPr>
            <w:r w:rsidRPr="00BE78CA">
              <w:t xml:space="preserve"> 2.7 </w:t>
            </w:r>
          </w:p>
        </w:tc>
      </w:tr>
      <w:tr w:rsidR="00410716" w:rsidRPr="00BE78CA" w14:paraId="6163A502" w14:textId="77777777" w:rsidTr="001A728C">
        <w:tc>
          <w:tcPr>
            <w:tcW w:w="3578" w:type="dxa"/>
            <w:tcBorders>
              <w:top w:val="single" w:sz="4" w:space="0" w:color="365F91"/>
              <w:bottom w:val="single" w:sz="4" w:space="0" w:color="365F91"/>
            </w:tcBorders>
            <w:shd w:val="clear" w:color="auto" w:fill="auto"/>
            <w:vAlign w:val="center"/>
          </w:tcPr>
          <w:p w14:paraId="3BDF1E31" w14:textId="77777777" w:rsidR="00410716" w:rsidRPr="00BE78CA" w:rsidRDefault="00410716" w:rsidP="00C26084">
            <w:pPr>
              <w:pStyle w:val="TableText"/>
              <w:spacing w:before="50" w:after="50"/>
              <w:ind w:left="369"/>
              <w:rPr>
                <w:rFonts w:cs="Calibri"/>
                <w:bCs/>
                <w:szCs w:val="16"/>
              </w:rPr>
            </w:pPr>
            <w:r w:rsidRPr="00BE78CA">
              <w:rPr>
                <w:rFonts w:cs="Calibri"/>
                <w:bCs/>
                <w:szCs w:val="16"/>
              </w:rPr>
              <w:t>Post-1989 planted forest</w:t>
            </w:r>
          </w:p>
        </w:tc>
        <w:tc>
          <w:tcPr>
            <w:tcW w:w="1582" w:type="dxa"/>
            <w:gridSpan w:val="2"/>
            <w:tcBorders>
              <w:top w:val="single" w:sz="4" w:space="0" w:color="365F91"/>
              <w:bottom w:val="single" w:sz="4" w:space="0" w:color="365F91"/>
            </w:tcBorders>
            <w:shd w:val="clear" w:color="auto" w:fill="auto"/>
          </w:tcPr>
          <w:p w14:paraId="79961ED4" w14:textId="77777777" w:rsidR="00410716" w:rsidRPr="00BE78CA" w:rsidRDefault="00410716" w:rsidP="00C26084">
            <w:pPr>
              <w:pStyle w:val="TableText"/>
              <w:keepNext/>
              <w:keepLines/>
              <w:spacing w:before="50" w:after="50"/>
              <w:jc w:val="right"/>
              <w:rPr>
                <w:rFonts w:cs="Calibri"/>
                <w:szCs w:val="16"/>
              </w:rPr>
            </w:pPr>
            <w:r w:rsidRPr="00BE78CA">
              <w:t>692</w:t>
            </w:r>
          </w:p>
        </w:tc>
        <w:tc>
          <w:tcPr>
            <w:tcW w:w="1538" w:type="dxa"/>
            <w:tcBorders>
              <w:top w:val="single" w:sz="4" w:space="0" w:color="365F91"/>
              <w:bottom w:val="single" w:sz="4" w:space="0" w:color="365F91"/>
            </w:tcBorders>
            <w:shd w:val="clear" w:color="auto" w:fill="auto"/>
          </w:tcPr>
          <w:p w14:paraId="0F29B3D7" w14:textId="77777777" w:rsidR="00410716" w:rsidRPr="00BE78CA" w:rsidRDefault="00410716" w:rsidP="00C26084">
            <w:pPr>
              <w:pStyle w:val="TableText"/>
              <w:keepNext/>
              <w:keepLines/>
              <w:spacing w:before="50" w:after="50"/>
              <w:jc w:val="right"/>
              <w:rPr>
                <w:rFonts w:cs="Calibri"/>
                <w:szCs w:val="16"/>
              </w:rPr>
            </w:pPr>
            <w:r w:rsidRPr="00BE78CA">
              <w:t xml:space="preserve"> 687 </w:t>
            </w:r>
          </w:p>
        </w:tc>
        <w:tc>
          <w:tcPr>
            <w:tcW w:w="1807" w:type="dxa"/>
            <w:tcBorders>
              <w:top w:val="single" w:sz="4" w:space="0" w:color="365F91"/>
              <w:bottom w:val="single" w:sz="4" w:space="0" w:color="365F91"/>
            </w:tcBorders>
            <w:shd w:val="clear" w:color="auto" w:fill="auto"/>
          </w:tcPr>
          <w:p w14:paraId="4DE4E64B" w14:textId="77777777" w:rsidR="00410716" w:rsidRPr="00BE78CA" w:rsidRDefault="00410716" w:rsidP="00C26084">
            <w:pPr>
              <w:pStyle w:val="TableText"/>
              <w:keepNext/>
              <w:keepLines/>
              <w:spacing w:before="50" w:after="50"/>
              <w:jc w:val="right"/>
              <w:rPr>
                <w:rFonts w:cs="Calibri"/>
                <w:szCs w:val="16"/>
              </w:rPr>
            </w:pPr>
            <w:r w:rsidRPr="00BE78CA">
              <w:t xml:space="preserve">–0.8 </w:t>
            </w:r>
          </w:p>
        </w:tc>
      </w:tr>
      <w:tr w:rsidR="00410716" w:rsidRPr="00BE78CA" w14:paraId="3665AF77" w14:textId="77777777" w:rsidTr="001A728C">
        <w:tc>
          <w:tcPr>
            <w:tcW w:w="3578" w:type="dxa"/>
            <w:tcBorders>
              <w:top w:val="single" w:sz="4" w:space="0" w:color="365F91"/>
              <w:bottom w:val="single" w:sz="4" w:space="0" w:color="365F91"/>
            </w:tcBorders>
            <w:shd w:val="clear" w:color="auto" w:fill="auto"/>
            <w:vAlign w:val="center"/>
          </w:tcPr>
          <w:p w14:paraId="46BE2ECB" w14:textId="77777777" w:rsidR="00410716" w:rsidRPr="00BE78CA" w:rsidRDefault="00410716" w:rsidP="00C26084">
            <w:pPr>
              <w:pStyle w:val="TableText"/>
              <w:spacing w:before="50" w:after="50"/>
              <w:ind w:left="369"/>
              <w:rPr>
                <w:rFonts w:cs="Calibri"/>
                <w:bCs/>
                <w:szCs w:val="16"/>
              </w:rPr>
            </w:pPr>
            <w:r w:rsidRPr="00BE78CA">
              <w:rPr>
                <w:rFonts w:cs="Calibri"/>
                <w:bCs/>
                <w:szCs w:val="16"/>
              </w:rPr>
              <w:t>Post-1989 natural forest</w:t>
            </w:r>
          </w:p>
        </w:tc>
        <w:tc>
          <w:tcPr>
            <w:tcW w:w="1582" w:type="dxa"/>
            <w:gridSpan w:val="2"/>
            <w:tcBorders>
              <w:top w:val="single" w:sz="4" w:space="0" w:color="365F91"/>
              <w:bottom w:val="single" w:sz="4" w:space="0" w:color="365F91"/>
            </w:tcBorders>
            <w:shd w:val="clear" w:color="auto" w:fill="auto"/>
          </w:tcPr>
          <w:p w14:paraId="0915FF43" w14:textId="77777777" w:rsidR="00410716" w:rsidRPr="00BE78CA" w:rsidRDefault="00410716" w:rsidP="00C26084">
            <w:pPr>
              <w:pStyle w:val="TableText"/>
              <w:keepNext/>
              <w:keepLines/>
              <w:spacing w:before="50" w:after="50"/>
              <w:jc w:val="right"/>
              <w:rPr>
                <w:rFonts w:cs="Calibri"/>
                <w:szCs w:val="16"/>
              </w:rPr>
            </w:pPr>
            <w:r w:rsidRPr="00BE78CA">
              <w:t xml:space="preserve"> 0.0</w:t>
            </w:r>
          </w:p>
        </w:tc>
        <w:tc>
          <w:tcPr>
            <w:tcW w:w="1538" w:type="dxa"/>
            <w:tcBorders>
              <w:top w:val="single" w:sz="4" w:space="0" w:color="365F91"/>
              <w:bottom w:val="single" w:sz="4" w:space="0" w:color="365F91"/>
            </w:tcBorders>
            <w:shd w:val="clear" w:color="auto" w:fill="auto"/>
          </w:tcPr>
          <w:p w14:paraId="2BEE54D4" w14:textId="77777777" w:rsidR="00410716" w:rsidRPr="00BE78CA" w:rsidRDefault="00410716" w:rsidP="00C26084">
            <w:pPr>
              <w:pStyle w:val="TableText"/>
              <w:keepNext/>
              <w:keepLines/>
              <w:spacing w:before="50" w:after="50"/>
              <w:jc w:val="right"/>
              <w:rPr>
                <w:rFonts w:cs="Calibri"/>
                <w:szCs w:val="16"/>
              </w:rPr>
            </w:pPr>
            <w:r w:rsidRPr="00BE78CA">
              <w:t xml:space="preserve"> 0.0</w:t>
            </w:r>
          </w:p>
        </w:tc>
        <w:tc>
          <w:tcPr>
            <w:tcW w:w="1807" w:type="dxa"/>
            <w:tcBorders>
              <w:top w:val="single" w:sz="4" w:space="0" w:color="365F91"/>
              <w:bottom w:val="single" w:sz="4" w:space="0" w:color="365F91"/>
            </w:tcBorders>
            <w:shd w:val="clear" w:color="auto" w:fill="auto"/>
          </w:tcPr>
          <w:p w14:paraId="71391849" w14:textId="77777777" w:rsidR="00410716" w:rsidRPr="00BE78CA" w:rsidRDefault="00410716" w:rsidP="00C26084">
            <w:pPr>
              <w:pStyle w:val="TableText"/>
              <w:keepNext/>
              <w:keepLines/>
              <w:spacing w:before="50" w:after="50"/>
              <w:jc w:val="right"/>
              <w:rPr>
                <w:rFonts w:cs="Calibri"/>
                <w:szCs w:val="16"/>
              </w:rPr>
            </w:pPr>
            <w:r w:rsidRPr="00BE78CA">
              <w:t xml:space="preserve">–0.8 </w:t>
            </w:r>
          </w:p>
        </w:tc>
      </w:tr>
    </w:tbl>
    <w:p w14:paraId="76094750" w14:textId="77777777" w:rsidR="00410716" w:rsidRPr="00BE78CA" w:rsidRDefault="00410716" w:rsidP="00410716">
      <w:pPr>
        <w:pStyle w:val="Heading5"/>
        <w:spacing w:before="360"/>
      </w:pPr>
      <w:r w:rsidRPr="00BE78CA">
        <w:t>Emission factors</w:t>
      </w:r>
    </w:p>
    <w:p w14:paraId="5D01B528" w14:textId="77777777" w:rsidR="00410716" w:rsidRPr="00BE78CA" w:rsidRDefault="00410716" w:rsidP="00410716">
      <w:pPr>
        <w:pStyle w:val="BodyText"/>
      </w:pPr>
      <w:r w:rsidRPr="00BE78CA">
        <w:t>The pre-1990 planted forest estate yield tables have been revised. Due to genetic and management improvements, a single yield table is no longer representative of the entire pre</w:t>
      </w:r>
      <w:r w:rsidRPr="00BE78CA">
        <w:noBreakHyphen/>
        <w:t>1990 planted forest estate through time (Paul and Wakelin, unpublished). Therefore, in this submission, three yield tables have been applied to the estate depending on the establishment age: one for all years before 1990, one for 1990 to 2009 and a third for 2010 to 2019. This is described in more detail in chapter 6, section 6.4.2.</w:t>
      </w:r>
    </w:p>
    <w:p w14:paraId="258FAB5B" w14:textId="77777777" w:rsidR="00410716" w:rsidRPr="00BE78CA" w:rsidRDefault="00410716" w:rsidP="00410716">
      <w:pPr>
        <w:pStyle w:val="BodyText"/>
      </w:pPr>
      <w:r w:rsidRPr="00BE78CA">
        <w:t>The post-1989 planted forest yield table has been revised for the 2021 submission. The revised yield table is based on two complete inventories of post-1989 planted forest permanent sample plots and a partial re-measure in 2016, 2017, 2018 and 2019. The analysis of the data collected has provided a plot-based estimate of carbon stock and mean carbon density within this forest type, and is further described in chapter 6, section 6.4.2.</w:t>
      </w:r>
    </w:p>
    <w:p w14:paraId="13AD8426" w14:textId="77777777" w:rsidR="00410716" w:rsidRPr="00BE78CA" w:rsidRDefault="00410716" w:rsidP="00410716">
      <w:pPr>
        <w:pStyle w:val="Table"/>
        <w:keepLines/>
      </w:pPr>
      <w:bookmarkStart w:id="3542" w:name="_Toc522010664"/>
      <w:bookmarkStart w:id="3543" w:name="_Toc5269635"/>
      <w:bookmarkStart w:id="3544" w:name="_Toc36224718"/>
      <w:bookmarkStart w:id="3545" w:name="_Toc64987053"/>
      <w:bookmarkStart w:id="3546" w:name="_Toc68786603"/>
      <w:r w:rsidRPr="00BE78CA">
        <w:t>Table 11.4.4</w:t>
      </w:r>
      <w:r w:rsidRPr="00BE78CA">
        <w:tab/>
        <w:t>Recalculations of New Zealand’s total net emissions estimates from 2013</w:t>
      </w:r>
      <w:r w:rsidRPr="00BE78CA">
        <w:br/>
        <w:t>under Article 3.3 and Article 3.4 of the Kyoto Protocol</w:t>
      </w:r>
      <w:bookmarkEnd w:id="3542"/>
      <w:bookmarkEnd w:id="3543"/>
      <w:bookmarkEnd w:id="3544"/>
      <w:bookmarkEnd w:id="3545"/>
      <w:bookmarkEnd w:id="3546"/>
    </w:p>
    <w:tbl>
      <w:tblPr>
        <w:tblW w:w="8505" w:type="dxa"/>
        <w:tblLook w:val="04A0" w:firstRow="1" w:lastRow="0" w:firstColumn="1" w:lastColumn="0" w:noHBand="0" w:noVBand="1"/>
      </w:tblPr>
      <w:tblGrid>
        <w:gridCol w:w="2601"/>
        <w:gridCol w:w="1967"/>
        <w:gridCol w:w="1819"/>
        <w:gridCol w:w="2118"/>
      </w:tblGrid>
      <w:tr w:rsidR="00410716" w:rsidRPr="00BE78CA" w14:paraId="555F8680" w14:textId="77777777" w:rsidTr="001A728C">
        <w:tc>
          <w:tcPr>
            <w:tcW w:w="2601" w:type="dxa"/>
            <w:vMerge w:val="restart"/>
            <w:tcBorders>
              <w:top w:val="single" w:sz="4" w:space="0" w:color="365F91"/>
              <w:left w:val="nil"/>
              <w:bottom w:val="single" w:sz="4" w:space="0" w:color="365F91"/>
              <w:right w:val="nil"/>
            </w:tcBorders>
            <w:shd w:val="clear" w:color="000000" w:fill="365F91"/>
            <w:vAlign w:val="bottom"/>
            <w:hideMark/>
          </w:tcPr>
          <w:p w14:paraId="02B3613A" w14:textId="77777777" w:rsidR="00410716" w:rsidRPr="00BE78CA" w:rsidRDefault="00410716" w:rsidP="00C26084">
            <w:pPr>
              <w:pStyle w:val="TableTextBold"/>
              <w:spacing w:before="50" w:after="50"/>
              <w:jc w:val="center"/>
              <w:rPr>
                <w:rFonts w:cs="Calibri"/>
                <w:noProof w:val="0"/>
                <w:color w:val="FFFFFF"/>
                <w:szCs w:val="16"/>
              </w:rPr>
            </w:pPr>
            <w:r w:rsidRPr="00BE78CA">
              <w:rPr>
                <w:rFonts w:cs="Calibri"/>
                <w:noProof w:val="0"/>
                <w:color w:val="FFFFFF"/>
                <w:szCs w:val="16"/>
              </w:rPr>
              <w:t>Activities</w:t>
            </w:r>
          </w:p>
        </w:tc>
        <w:tc>
          <w:tcPr>
            <w:tcW w:w="3786" w:type="dxa"/>
            <w:gridSpan w:val="2"/>
            <w:tcBorders>
              <w:top w:val="single" w:sz="4" w:space="0" w:color="365F91"/>
              <w:left w:val="nil"/>
              <w:bottom w:val="single" w:sz="4" w:space="0" w:color="365F91"/>
              <w:right w:val="nil"/>
            </w:tcBorders>
            <w:shd w:val="clear" w:color="000000" w:fill="365F91"/>
            <w:vAlign w:val="bottom"/>
            <w:hideMark/>
          </w:tcPr>
          <w:p w14:paraId="36A5A31F" w14:textId="77777777" w:rsidR="00410716" w:rsidRPr="00BE78CA" w:rsidRDefault="00410716" w:rsidP="00C26084">
            <w:pPr>
              <w:pStyle w:val="TableTextBold"/>
              <w:spacing w:before="50" w:after="50"/>
              <w:jc w:val="center"/>
              <w:rPr>
                <w:rFonts w:cs="Calibri"/>
                <w:noProof w:val="0"/>
                <w:color w:val="FFFFFF"/>
                <w:szCs w:val="16"/>
              </w:rPr>
            </w:pPr>
            <w:r w:rsidRPr="00BE78CA">
              <w:rPr>
                <w:rFonts w:cs="Calibri"/>
                <w:noProof w:val="0"/>
                <w:color w:val="FFFFFF"/>
                <w:szCs w:val="16"/>
              </w:rPr>
              <w:t>Total net emissions 2013–18 (Gg CO</w:t>
            </w:r>
            <w:r w:rsidRPr="00BE78CA">
              <w:rPr>
                <w:rFonts w:cs="Calibri"/>
                <w:noProof w:val="0"/>
                <w:color w:val="FFFFFF"/>
                <w:szCs w:val="16"/>
                <w:vertAlign w:val="subscript"/>
              </w:rPr>
              <w:t>2</w:t>
            </w:r>
            <w:r w:rsidRPr="00BE78CA">
              <w:rPr>
                <w:rFonts w:cs="Calibri"/>
                <w:noProof w:val="0"/>
                <w:color w:val="FFFFFF"/>
                <w:szCs w:val="16"/>
              </w:rPr>
              <w:t>-e)</w:t>
            </w:r>
          </w:p>
        </w:tc>
        <w:tc>
          <w:tcPr>
            <w:tcW w:w="2118" w:type="dxa"/>
            <w:vMerge w:val="restart"/>
            <w:tcBorders>
              <w:top w:val="single" w:sz="4" w:space="0" w:color="365F91"/>
              <w:left w:val="nil"/>
              <w:bottom w:val="single" w:sz="4" w:space="0" w:color="365F91"/>
              <w:right w:val="nil"/>
            </w:tcBorders>
            <w:shd w:val="clear" w:color="000000" w:fill="365F91"/>
            <w:vAlign w:val="bottom"/>
            <w:hideMark/>
          </w:tcPr>
          <w:p w14:paraId="0B6FA6D2" w14:textId="77777777" w:rsidR="00410716" w:rsidRPr="00BE78CA" w:rsidRDefault="00410716" w:rsidP="00C26084">
            <w:pPr>
              <w:pStyle w:val="TableTextBold"/>
              <w:spacing w:before="50" w:after="50"/>
              <w:jc w:val="right"/>
              <w:rPr>
                <w:rFonts w:cs="Calibri"/>
                <w:noProof w:val="0"/>
                <w:color w:val="FFFFFF"/>
                <w:szCs w:val="16"/>
              </w:rPr>
            </w:pPr>
            <w:r w:rsidRPr="00BE78CA">
              <w:rPr>
                <w:rFonts w:cs="Calibri"/>
                <w:noProof w:val="0"/>
                <w:color w:val="FFFFFF"/>
                <w:szCs w:val="16"/>
              </w:rPr>
              <w:t>Change from 2020 submission (%)</w:t>
            </w:r>
          </w:p>
        </w:tc>
      </w:tr>
      <w:tr w:rsidR="00410716" w:rsidRPr="00BE78CA" w14:paraId="1F4C0D8E" w14:textId="77777777" w:rsidTr="001A728C">
        <w:tc>
          <w:tcPr>
            <w:tcW w:w="2601" w:type="dxa"/>
            <w:vMerge/>
            <w:tcBorders>
              <w:top w:val="single" w:sz="4" w:space="0" w:color="365F91"/>
              <w:left w:val="nil"/>
              <w:bottom w:val="single" w:sz="4" w:space="0" w:color="365F91"/>
              <w:right w:val="nil"/>
            </w:tcBorders>
            <w:vAlign w:val="bottom"/>
            <w:hideMark/>
          </w:tcPr>
          <w:p w14:paraId="4CB7CFE4" w14:textId="77777777" w:rsidR="00410716" w:rsidRPr="00BE78CA" w:rsidRDefault="00410716" w:rsidP="00C26084">
            <w:pPr>
              <w:pStyle w:val="TableTextBold"/>
              <w:spacing w:before="50" w:after="50"/>
              <w:jc w:val="center"/>
              <w:rPr>
                <w:rFonts w:cs="Calibri"/>
                <w:noProof w:val="0"/>
                <w:color w:val="FFFFFF"/>
                <w:szCs w:val="16"/>
              </w:rPr>
            </w:pPr>
          </w:p>
        </w:tc>
        <w:tc>
          <w:tcPr>
            <w:tcW w:w="1967" w:type="dxa"/>
            <w:tcBorders>
              <w:top w:val="single" w:sz="4" w:space="0" w:color="365F91"/>
              <w:left w:val="nil"/>
              <w:bottom w:val="single" w:sz="4" w:space="0" w:color="365F91"/>
              <w:right w:val="nil"/>
            </w:tcBorders>
            <w:shd w:val="clear" w:color="000000" w:fill="365F91"/>
            <w:vAlign w:val="bottom"/>
            <w:hideMark/>
          </w:tcPr>
          <w:p w14:paraId="42AF2D2D" w14:textId="77777777" w:rsidR="00410716" w:rsidRPr="00BE78CA" w:rsidRDefault="00410716" w:rsidP="00C26084">
            <w:pPr>
              <w:pStyle w:val="TableTextBold"/>
              <w:spacing w:before="40" w:after="50"/>
              <w:jc w:val="right"/>
              <w:rPr>
                <w:rFonts w:cs="Calibri"/>
                <w:noProof w:val="0"/>
                <w:color w:val="FFFFFF"/>
                <w:szCs w:val="16"/>
              </w:rPr>
            </w:pPr>
            <w:r w:rsidRPr="00BE78CA">
              <w:rPr>
                <w:rFonts w:cs="Calibri"/>
                <w:noProof w:val="0"/>
                <w:color w:val="FFFFFF"/>
                <w:szCs w:val="16"/>
              </w:rPr>
              <w:t>2020 submission</w:t>
            </w:r>
          </w:p>
        </w:tc>
        <w:tc>
          <w:tcPr>
            <w:tcW w:w="1819" w:type="dxa"/>
            <w:tcBorders>
              <w:top w:val="single" w:sz="4" w:space="0" w:color="365F91"/>
              <w:left w:val="nil"/>
              <w:bottom w:val="single" w:sz="4" w:space="0" w:color="365F91"/>
              <w:right w:val="nil"/>
            </w:tcBorders>
            <w:shd w:val="clear" w:color="000000" w:fill="365F91"/>
            <w:vAlign w:val="bottom"/>
            <w:hideMark/>
          </w:tcPr>
          <w:p w14:paraId="5564FEE6" w14:textId="77777777" w:rsidR="00410716" w:rsidRPr="00BE78CA" w:rsidRDefault="00410716" w:rsidP="00C26084">
            <w:pPr>
              <w:pStyle w:val="TableTextBold"/>
              <w:spacing w:before="40" w:after="50"/>
              <w:jc w:val="right"/>
              <w:rPr>
                <w:rFonts w:cs="Calibri"/>
                <w:noProof w:val="0"/>
                <w:color w:val="FFFFFF"/>
                <w:szCs w:val="16"/>
              </w:rPr>
            </w:pPr>
            <w:r w:rsidRPr="00BE78CA">
              <w:rPr>
                <w:rFonts w:cs="Calibri"/>
                <w:noProof w:val="0"/>
                <w:color w:val="FFFFFF"/>
                <w:szCs w:val="16"/>
              </w:rPr>
              <w:t>2021 submission</w:t>
            </w:r>
          </w:p>
        </w:tc>
        <w:tc>
          <w:tcPr>
            <w:tcW w:w="2118" w:type="dxa"/>
            <w:vMerge/>
            <w:tcBorders>
              <w:top w:val="single" w:sz="4" w:space="0" w:color="365F91"/>
              <w:left w:val="nil"/>
              <w:bottom w:val="single" w:sz="4" w:space="0" w:color="365F91"/>
              <w:right w:val="nil"/>
            </w:tcBorders>
            <w:vAlign w:val="bottom"/>
            <w:hideMark/>
          </w:tcPr>
          <w:p w14:paraId="1E939872" w14:textId="77777777" w:rsidR="00410716" w:rsidRPr="00BE78CA" w:rsidRDefault="00410716" w:rsidP="00C26084">
            <w:pPr>
              <w:pStyle w:val="TableTextBold"/>
              <w:spacing w:before="50" w:after="50"/>
              <w:jc w:val="right"/>
              <w:rPr>
                <w:rFonts w:cs="Calibri"/>
                <w:noProof w:val="0"/>
                <w:color w:val="FFFFFF"/>
                <w:szCs w:val="16"/>
              </w:rPr>
            </w:pPr>
          </w:p>
        </w:tc>
      </w:tr>
      <w:tr w:rsidR="00410716" w:rsidRPr="00BE78CA" w14:paraId="71DD4337" w14:textId="77777777" w:rsidTr="001A728C">
        <w:tc>
          <w:tcPr>
            <w:tcW w:w="2601" w:type="dxa"/>
            <w:tcBorders>
              <w:top w:val="single" w:sz="4" w:space="0" w:color="365F91"/>
              <w:left w:val="nil"/>
              <w:bottom w:val="nil"/>
              <w:right w:val="nil"/>
            </w:tcBorders>
            <w:shd w:val="clear" w:color="auto" w:fill="auto"/>
            <w:noWrap/>
            <w:vAlign w:val="bottom"/>
            <w:hideMark/>
          </w:tcPr>
          <w:p w14:paraId="43B0C6A5" w14:textId="77777777" w:rsidR="00410716" w:rsidRPr="00BE78CA" w:rsidRDefault="00410716" w:rsidP="00C26084">
            <w:pPr>
              <w:pStyle w:val="TableText"/>
              <w:spacing w:before="50" w:after="50"/>
              <w:rPr>
                <w:rFonts w:cs="Calibri"/>
                <w:szCs w:val="16"/>
              </w:rPr>
            </w:pPr>
            <w:r w:rsidRPr="00BE78CA">
              <w:rPr>
                <w:rFonts w:cs="Calibri"/>
                <w:szCs w:val="16"/>
              </w:rPr>
              <w:t>Afforestation and reforestation</w:t>
            </w:r>
          </w:p>
        </w:tc>
        <w:tc>
          <w:tcPr>
            <w:tcW w:w="1967" w:type="dxa"/>
            <w:tcBorders>
              <w:top w:val="single" w:sz="4" w:space="0" w:color="365F91"/>
              <w:left w:val="nil"/>
              <w:bottom w:val="single" w:sz="8" w:space="0" w:color="365F91"/>
              <w:right w:val="nil"/>
            </w:tcBorders>
            <w:shd w:val="clear" w:color="auto" w:fill="auto"/>
            <w:hideMark/>
          </w:tcPr>
          <w:p w14:paraId="6FC17B69" w14:textId="77777777" w:rsidR="00410716" w:rsidRPr="00BE78CA" w:rsidRDefault="00410716" w:rsidP="00C26084">
            <w:pPr>
              <w:pStyle w:val="TableText"/>
              <w:spacing w:before="50" w:after="50"/>
              <w:jc w:val="right"/>
              <w:rPr>
                <w:rFonts w:cs="Calibri"/>
                <w:szCs w:val="16"/>
              </w:rPr>
            </w:pPr>
            <w:r w:rsidRPr="00BE78CA">
              <w:t>–106,607.3</w:t>
            </w:r>
          </w:p>
        </w:tc>
        <w:tc>
          <w:tcPr>
            <w:tcW w:w="1819" w:type="dxa"/>
            <w:tcBorders>
              <w:top w:val="single" w:sz="4" w:space="0" w:color="365F91"/>
              <w:left w:val="nil"/>
              <w:bottom w:val="single" w:sz="8" w:space="0" w:color="365F91"/>
              <w:right w:val="nil"/>
            </w:tcBorders>
            <w:shd w:val="clear" w:color="auto" w:fill="auto"/>
            <w:hideMark/>
          </w:tcPr>
          <w:p w14:paraId="6CA85252" w14:textId="77777777" w:rsidR="00410716" w:rsidRPr="00BE78CA" w:rsidRDefault="00410716" w:rsidP="00C26084">
            <w:pPr>
              <w:pStyle w:val="TableText"/>
              <w:spacing w:before="50" w:after="50"/>
              <w:jc w:val="right"/>
              <w:rPr>
                <w:rFonts w:cs="Calibri"/>
                <w:szCs w:val="16"/>
              </w:rPr>
            </w:pPr>
            <w:r w:rsidRPr="00BE78CA">
              <w:t>–107,735.3</w:t>
            </w:r>
          </w:p>
        </w:tc>
        <w:tc>
          <w:tcPr>
            <w:tcW w:w="2118" w:type="dxa"/>
            <w:tcBorders>
              <w:top w:val="single" w:sz="4" w:space="0" w:color="365F91"/>
              <w:left w:val="nil"/>
              <w:bottom w:val="single" w:sz="8" w:space="0" w:color="365F91"/>
              <w:right w:val="nil"/>
            </w:tcBorders>
            <w:shd w:val="clear" w:color="auto" w:fill="auto"/>
            <w:hideMark/>
          </w:tcPr>
          <w:p w14:paraId="106AF247" w14:textId="77777777" w:rsidR="00410716" w:rsidRPr="00BE78CA" w:rsidRDefault="00410716" w:rsidP="00C26084">
            <w:pPr>
              <w:pStyle w:val="TableText"/>
              <w:spacing w:before="50" w:after="50"/>
              <w:jc w:val="right"/>
              <w:rPr>
                <w:rFonts w:cs="Calibri"/>
                <w:szCs w:val="16"/>
              </w:rPr>
            </w:pPr>
            <w:r w:rsidRPr="00BE78CA">
              <w:t>–1.1</w:t>
            </w:r>
          </w:p>
        </w:tc>
      </w:tr>
      <w:tr w:rsidR="00410716" w:rsidRPr="00BE78CA" w14:paraId="7F68D973" w14:textId="77777777" w:rsidTr="001A728C">
        <w:tc>
          <w:tcPr>
            <w:tcW w:w="2601" w:type="dxa"/>
            <w:tcBorders>
              <w:top w:val="nil"/>
              <w:left w:val="nil"/>
              <w:bottom w:val="nil"/>
              <w:right w:val="nil"/>
            </w:tcBorders>
            <w:shd w:val="clear" w:color="auto" w:fill="auto"/>
            <w:noWrap/>
            <w:vAlign w:val="bottom"/>
            <w:hideMark/>
          </w:tcPr>
          <w:p w14:paraId="50688260" w14:textId="77777777" w:rsidR="00410716" w:rsidRPr="00BE78CA" w:rsidRDefault="00410716" w:rsidP="00C26084">
            <w:pPr>
              <w:pStyle w:val="TableText"/>
              <w:spacing w:before="50" w:after="50"/>
              <w:rPr>
                <w:rFonts w:cs="Calibri"/>
                <w:szCs w:val="16"/>
              </w:rPr>
            </w:pPr>
            <w:r w:rsidRPr="00BE78CA">
              <w:rPr>
                <w:rFonts w:cs="Calibri"/>
                <w:szCs w:val="16"/>
              </w:rPr>
              <w:t>Deforestation</w:t>
            </w:r>
          </w:p>
        </w:tc>
        <w:tc>
          <w:tcPr>
            <w:tcW w:w="1967" w:type="dxa"/>
            <w:tcBorders>
              <w:top w:val="single" w:sz="8" w:space="0" w:color="365F91"/>
              <w:left w:val="nil"/>
              <w:bottom w:val="single" w:sz="8" w:space="0" w:color="365F91"/>
              <w:right w:val="nil"/>
            </w:tcBorders>
            <w:shd w:val="clear" w:color="auto" w:fill="auto"/>
            <w:hideMark/>
          </w:tcPr>
          <w:p w14:paraId="545E7E35" w14:textId="77777777" w:rsidR="00410716" w:rsidRPr="00BE78CA" w:rsidRDefault="00410716" w:rsidP="00C26084">
            <w:pPr>
              <w:pStyle w:val="TableText"/>
              <w:spacing w:before="50" w:after="50"/>
              <w:jc w:val="right"/>
              <w:rPr>
                <w:rFonts w:cs="Calibri"/>
                <w:szCs w:val="16"/>
              </w:rPr>
            </w:pPr>
            <w:r w:rsidRPr="00BE78CA">
              <w:t>24,778.0</w:t>
            </w:r>
          </w:p>
        </w:tc>
        <w:tc>
          <w:tcPr>
            <w:tcW w:w="1819" w:type="dxa"/>
            <w:tcBorders>
              <w:top w:val="single" w:sz="8" w:space="0" w:color="365F91"/>
              <w:left w:val="nil"/>
              <w:bottom w:val="single" w:sz="8" w:space="0" w:color="365F91"/>
              <w:right w:val="nil"/>
            </w:tcBorders>
            <w:shd w:val="clear" w:color="auto" w:fill="auto"/>
            <w:hideMark/>
          </w:tcPr>
          <w:p w14:paraId="481C8F38" w14:textId="77777777" w:rsidR="00410716" w:rsidRPr="00BE78CA" w:rsidRDefault="00410716" w:rsidP="00C26084">
            <w:pPr>
              <w:pStyle w:val="TableText"/>
              <w:spacing w:before="50" w:after="50"/>
              <w:jc w:val="right"/>
              <w:rPr>
                <w:rFonts w:cs="Calibri"/>
                <w:szCs w:val="16"/>
              </w:rPr>
            </w:pPr>
            <w:r w:rsidRPr="00BE78CA">
              <w:t>23,296.2</w:t>
            </w:r>
          </w:p>
        </w:tc>
        <w:tc>
          <w:tcPr>
            <w:tcW w:w="2118" w:type="dxa"/>
            <w:tcBorders>
              <w:top w:val="single" w:sz="8" w:space="0" w:color="365F91"/>
              <w:left w:val="nil"/>
              <w:bottom w:val="single" w:sz="8" w:space="0" w:color="365F91"/>
              <w:right w:val="nil"/>
            </w:tcBorders>
            <w:shd w:val="clear" w:color="auto" w:fill="auto"/>
            <w:hideMark/>
          </w:tcPr>
          <w:p w14:paraId="0AAF3AA1" w14:textId="77777777" w:rsidR="00410716" w:rsidRPr="00BE78CA" w:rsidRDefault="00410716" w:rsidP="00C26084">
            <w:pPr>
              <w:pStyle w:val="TableText"/>
              <w:spacing w:before="50" w:after="50"/>
              <w:jc w:val="right"/>
              <w:rPr>
                <w:rFonts w:cs="Calibri"/>
                <w:szCs w:val="16"/>
              </w:rPr>
            </w:pPr>
            <w:r w:rsidRPr="00BE78CA">
              <w:t>6.0</w:t>
            </w:r>
          </w:p>
        </w:tc>
      </w:tr>
      <w:tr w:rsidR="00410716" w:rsidRPr="00BE78CA" w14:paraId="16195365" w14:textId="77777777" w:rsidTr="001A728C">
        <w:tc>
          <w:tcPr>
            <w:tcW w:w="2601" w:type="dxa"/>
            <w:tcBorders>
              <w:top w:val="nil"/>
              <w:left w:val="nil"/>
              <w:bottom w:val="single" w:sz="4" w:space="0" w:color="365F91"/>
              <w:right w:val="nil"/>
            </w:tcBorders>
            <w:shd w:val="clear" w:color="auto" w:fill="auto"/>
            <w:vAlign w:val="center"/>
            <w:hideMark/>
          </w:tcPr>
          <w:p w14:paraId="746AFBFF" w14:textId="77777777" w:rsidR="00410716" w:rsidRPr="00BE78CA" w:rsidRDefault="00410716" w:rsidP="00C26084">
            <w:pPr>
              <w:pStyle w:val="TableText"/>
              <w:spacing w:before="50" w:after="50"/>
              <w:rPr>
                <w:rFonts w:cs="Calibri"/>
                <w:szCs w:val="16"/>
              </w:rPr>
            </w:pPr>
            <w:r w:rsidRPr="00BE78CA">
              <w:rPr>
                <w:rFonts w:cs="Calibri"/>
                <w:szCs w:val="16"/>
              </w:rPr>
              <w:t>Forest management</w:t>
            </w:r>
          </w:p>
        </w:tc>
        <w:tc>
          <w:tcPr>
            <w:tcW w:w="1967" w:type="dxa"/>
            <w:tcBorders>
              <w:top w:val="single" w:sz="8" w:space="0" w:color="365F91"/>
              <w:left w:val="nil"/>
              <w:bottom w:val="single" w:sz="4" w:space="0" w:color="365F91"/>
              <w:right w:val="nil"/>
            </w:tcBorders>
            <w:shd w:val="clear" w:color="auto" w:fill="auto"/>
            <w:hideMark/>
          </w:tcPr>
          <w:p w14:paraId="47526324" w14:textId="77777777" w:rsidR="00410716" w:rsidRPr="00BE78CA" w:rsidRDefault="00410716" w:rsidP="00C26084">
            <w:pPr>
              <w:pStyle w:val="TableText"/>
              <w:spacing w:before="50" w:after="50"/>
              <w:jc w:val="right"/>
              <w:rPr>
                <w:rFonts w:cs="Calibri"/>
                <w:szCs w:val="16"/>
              </w:rPr>
            </w:pPr>
            <w:r w:rsidRPr="00BE78CA">
              <w:t>–91,074.4</w:t>
            </w:r>
          </w:p>
        </w:tc>
        <w:tc>
          <w:tcPr>
            <w:tcW w:w="1819" w:type="dxa"/>
            <w:tcBorders>
              <w:top w:val="single" w:sz="8" w:space="0" w:color="365F91"/>
              <w:left w:val="nil"/>
              <w:bottom w:val="single" w:sz="4" w:space="0" w:color="365F91"/>
              <w:right w:val="nil"/>
            </w:tcBorders>
            <w:shd w:val="clear" w:color="auto" w:fill="auto"/>
            <w:hideMark/>
          </w:tcPr>
          <w:p w14:paraId="3EB23F82" w14:textId="77777777" w:rsidR="00410716" w:rsidRPr="00BE78CA" w:rsidRDefault="00410716" w:rsidP="00C26084">
            <w:pPr>
              <w:pStyle w:val="TableText"/>
              <w:spacing w:before="50" w:after="50"/>
              <w:jc w:val="right"/>
              <w:rPr>
                <w:rFonts w:cs="Calibri"/>
                <w:szCs w:val="16"/>
              </w:rPr>
            </w:pPr>
            <w:r w:rsidRPr="00BE78CA">
              <w:t>–112,780.8</w:t>
            </w:r>
          </w:p>
        </w:tc>
        <w:tc>
          <w:tcPr>
            <w:tcW w:w="2118" w:type="dxa"/>
            <w:tcBorders>
              <w:top w:val="single" w:sz="8" w:space="0" w:color="365F91"/>
              <w:left w:val="nil"/>
              <w:bottom w:val="single" w:sz="4" w:space="0" w:color="365F91"/>
              <w:right w:val="nil"/>
            </w:tcBorders>
            <w:shd w:val="clear" w:color="auto" w:fill="auto"/>
            <w:hideMark/>
          </w:tcPr>
          <w:p w14:paraId="573B397D" w14:textId="77777777" w:rsidR="00410716" w:rsidRPr="00BE78CA" w:rsidRDefault="00410716" w:rsidP="00C26084">
            <w:pPr>
              <w:pStyle w:val="TableText"/>
              <w:spacing w:before="50" w:after="50"/>
              <w:jc w:val="right"/>
              <w:rPr>
                <w:rFonts w:cs="Calibri"/>
                <w:szCs w:val="16"/>
              </w:rPr>
            </w:pPr>
            <w:r w:rsidRPr="00BE78CA">
              <w:t>–23.8</w:t>
            </w:r>
          </w:p>
        </w:tc>
      </w:tr>
      <w:tr w:rsidR="00410716" w:rsidRPr="00BE78CA" w14:paraId="1D8894D8" w14:textId="77777777" w:rsidTr="001A728C">
        <w:tc>
          <w:tcPr>
            <w:tcW w:w="2601" w:type="dxa"/>
            <w:tcBorders>
              <w:top w:val="single" w:sz="4" w:space="0" w:color="365F91"/>
              <w:left w:val="nil"/>
              <w:bottom w:val="single" w:sz="4" w:space="0" w:color="365F91"/>
              <w:right w:val="nil"/>
            </w:tcBorders>
            <w:shd w:val="clear" w:color="auto" w:fill="auto"/>
            <w:vAlign w:val="center"/>
            <w:hideMark/>
          </w:tcPr>
          <w:p w14:paraId="64A0FB24" w14:textId="77777777" w:rsidR="00410716" w:rsidRPr="00BE78CA" w:rsidRDefault="00410716" w:rsidP="00C26084">
            <w:pPr>
              <w:pStyle w:val="Tableboldblue"/>
              <w:spacing w:before="50" w:after="50"/>
              <w:rPr>
                <w:rFonts w:cs="Calibri"/>
                <w:szCs w:val="16"/>
                <w:lang w:eastAsia="en-NZ"/>
              </w:rPr>
            </w:pPr>
            <w:r w:rsidRPr="00BE78CA">
              <w:rPr>
                <w:rFonts w:cs="Calibri"/>
                <w:szCs w:val="16"/>
                <w:lang w:eastAsia="en-NZ"/>
              </w:rPr>
              <w:t>Total</w:t>
            </w:r>
          </w:p>
        </w:tc>
        <w:tc>
          <w:tcPr>
            <w:tcW w:w="1967" w:type="dxa"/>
            <w:tcBorders>
              <w:top w:val="single" w:sz="4" w:space="0" w:color="365F91"/>
              <w:left w:val="nil"/>
              <w:bottom w:val="single" w:sz="4" w:space="0" w:color="365F91"/>
              <w:right w:val="nil"/>
            </w:tcBorders>
            <w:shd w:val="clear" w:color="auto" w:fill="auto"/>
            <w:hideMark/>
          </w:tcPr>
          <w:p w14:paraId="0ECF8FCA" w14:textId="77777777" w:rsidR="00410716" w:rsidRPr="00BE78CA" w:rsidRDefault="00410716" w:rsidP="00C26084">
            <w:pPr>
              <w:pStyle w:val="Tableboldblue"/>
              <w:spacing w:before="50" w:after="50"/>
              <w:jc w:val="right"/>
              <w:rPr>
                <w:rFonts w:cs="Calibri"/>
                <w:szCs w:val="16"/>
                <w:lang w:eastAsia="en-NZ"/>
              </w:rPr>
            </w:pPr>
            <w:r w:rsidRPr="00BE78CA">
              <w:t>–172,903.7</w:t>
            </w:r>
          </w:p>
        </w:tc>
        <w:tc>
          <w:tcPr>
            <w:tcW w:w="1819" w:type="dxa"/>
            <w:tcBorders>
              <w:top w:val="single" w:sz="4" w:space="0" w:color="365F91"/>
              <w:left w:val="nil"/>
              <w:bottom w:val="single" w:sz="4" w:space="0" w:color="365F91"/>
              <w:right w:val="nil"/>
            </w:tcBorders>
            <w:shd w:val="clear" w:color="auto" w:fill="auto"/>
            <w:hideMark/>
          </w:tcPr>
          <w:p w14:paraId="4BCBE796" w14:textId="77777777" w:rsidR="00410716" w:rsidRPr="00BE78CA" w:rsidRDefault="00410716" w:rsidP="00C26084">
            <w:pPr>
              <w:pStyle w:val="Tableboldblue"/>
              <w:spacing w:before="50" w:after="50"/>
              <w:jc w:val="right"/>
              <w:rPr>
                <w:rFonts w:cs="Calibri"/>
                <w:szCs w:val="16"/>
                <w:lang w:eastAsia="en-NZ"/>
              </w:rPr>
            </w:pPr>
            <w:r w:rsidRPr="00BE78CA">
              <w:t>–197,219.9</w:t>
            </w:r>
          </w:p>
        </w:tc>
        <w:tc>
          <w:tcPr>
            <w:tcW w:w="2118" w:type="dxa"/>
            <w:tcBorders>
              <w:top w:val="single" w:sz="4" w:space="0" w:color="365F91"/>
              <w:left w:val="nil"/>
              <w:bottom w:val="single" w:sz="4" w:space="0" w:color="365F91"/>
              <w:right w:val="nil"/>
            </w:tcBorders>
            <w:shd w:val="clear" w:color="auto" w:fill="auto"/>
            <w:hideMark/>
          </w:tcPr>
          <w:p w14:paraId="68804FF7" w14:textId="77777777" w:rsidR="00410716" w:rsidRPr="00BE78CA" w:rsidRDefault="00410716" w:rsidP="00C26084">
            <w:pPr>
              <w:pStyle w:val="Tableboldblue"/>
              <w:spacing w:before="50" w:after="50"/>
              <w:jc w:val="right"/>
              <w:rPr>
                <w:rFonts w:cs="Calibri"/>
                <w:szCs w:val="16"/>
                <w:lang w:eastAsia="en-NZ"/>
              </w:rPr>
            </w:pPr>
            <w:r w:rsidRPr="00BE78CA">
              <w:t>–14.1</w:t>
            </w:r>
          </w:p>
        </w:tc>
      </w:tr>
    </w:tbl>
    <w:p w14:paraId="1BC2DB58" w14:textId="77777777" w:rsidR="00410716" w:rsidRPr="00BE78CA" w:rsidRDefault="00410716" w:rsidP="00410716">
      <w:pPr>
        <w:pStyle w:val="BodyText"/>
        <w:rPr>
          <w:sz w:val="18"/>
        </w:rPr>
      </w:pPr>
      <w:r w:rsidRPr="00BE78CA">
        <w:rPr>
          <w:b/>
          <w:sz w:val="18"/>
        </w:rPr>
        <w:t xml:space="preserve">Note: </w:t>
      </w:r>
      <w:r w:rsidRPr="00BE78CA">
        <w:rPr>
          <w:b/>
          <w:sz w:val="18"/>
        </w:rPr>
        <w:tab/>
      </w:r>
      <w:r w:rsidRPr="00BE78CA">
        <w:rPr>
          <w:bCs/>
          <w:sz w:val="18"/>
        </w:rPr>
        <w:t>Columns may not total due to rounding.</w:t>
      </w:r>
    </w:p>
    <w:p w14:paraId="1D656D47" w14:textId="0C3568DF" w:rsidR="00410716" w:rsidRPr="00BE78CA" w:rsidRDefault="00410716" w:rsidP="00410716">
      <w:pPr>
        <w:pStyle w:val="Heading3"/>
        <w:tabs>
          <w:tab w:val="left" w:pos="720"/>
          <w:tab w:val="left" w:pos="1440"/>
          <w:tab w:val="left" w:pos="2160"/>
          <w:tab w:val="left" w:pos="2880"/>
          <w:tab w:val="left" w:pos="6243"/>
        </w:tabs>
      </w:pPr>
      <w:r w:rsidRPr="00BE78CA">
        <w:t xml:space="preserve">11.4.4 </w:t>
      </w:r>
      <w:r w:rsidRPr="00BE78CA">
        <w:tab/>
        <w:t>Planned improvements</w:t>
      </w:r>
    </w:p>
    <w:p w14:paraId="571DFA02" w14:textId="77777777" w:rsidR="00410716" w:rsidRPr="00BE78CA" w:rsidRDefault="00410716" w:rsidP="00410716">
      <w:pPr>
        <w:pStyle w:val="BodyText"/>
        <w:spacing w:before="100"/>
      </w:pPr>
      <w:r w:rsidRPr="00BE78CA">
        <w:t xml:space="preserve">The assumption that controlled burning of post-harvest residues on afforested or reforested land does not occur will be revisited in a future submission, due to the increasing harvest rate in these forests as they reach maturity. </w:t>
      </w:r>
    </w:p>
    <w:p w14:paraId="340D07ED" w14:textId="77777777" w:rsidR="00410716" w:rsidRPr="00BE78CA" w:rsidRDefault="00410716" w:rsidP="00410716">
      <w:pPr>
        <w:pStyle w:val="BodyText"/>
        <w:spacing w:before="100"/>
      </w:pPr>
      <w:r w:rsidRPr="00BE78CA">
        <w:t>The complete planted forest plot network (pre-1990 and post-1989) is currently being re</w:t>
      </w:r>
      <w:r w:rsidRPr="00BE78CA">
        <w:noBreakHyphen/>
        <w:t>measured on a continuous basis (on a five-year cycle). These data are being incorporated into the inventory annually as they become available.</w:t>
      </w:r>
    </w:p>
    <w:p w14:paraId="72F5E9D5" w14:textId="77777777" w:rsidR="00410716" w:rsidRPr="00BE78CA" w:rsidRDefault="00410716" w:rsidP="00410716">
      <w:pPr>
        <w:pStyle w:val="BodyText"/>
        <w:spacing w:before="100"/>
      </w:pPr>
      <w:r w:rsidRPr="00BE78CA">
        <w:t>The pre-1990 natural forest ground plot inventory is currently being re-measured on a continuous basis (on a 10-year cycle). Work is also under way to improve the classification of pre-1990 natural forest into its tall and regenerating components. These data will be incorporated into the National Inventory Report as they become available.</w:t>
      </w:r>
    </w:p>
    <w:p w14:paraId="5F188F4E" w14:textId="77777777" w:rsidR="00410716" w:rsidRPr="00BE78CA" w:rsidRDefault="00410716" w:rsidP="00410716">
      <w:pPr>
        <w:pStyle w:val="BodyText"/>
        <w:spacing w:before="100"/>
      </w:pPr>
      <w:r w:rsidRPr="00BE78CA">
        <w:lastRenderedPageBreak/>
        <w:t xml:space="preserve">The NZ ETS provides an ongoing source of mapping information on forest extent and age along with information on deforestation activity and carbon equivalent forest activities. This will be used as part of a continuous improvement programme to update the 1990, 2008, 2012 and 2016 land-use maps. </w:t>
      </w:r>
    </w:p>
    <w:p w14:paraId="4C3E9826" w14:textId="77777777" w:rsidR="00410716" w:rsidRPr="00BE78CA" w:rsidRDefault="00410716" w:rsidP="00410716">
      <w:pPr>
        <w:pStyle w:val="Heading2"/>
        <w:spacing w:before="280"/>
      </w:pPr>
      <w:bookmarkStart w:id="3547" w:name="_Toc456179173"/>
      <w:bookmarkStart w:id="3548" w:name="_Toc481751426"/>
      <w:bookmarkStart w:id="3549" w:name="_Toc522013965"/>
      <w:bookmarkStart w:id="3550" w:name="_Toc5269409"/>
      <w:bookmarkStart w:id="3551" w:name="_Toc36224449"/>
      <w:bookmarkStart w:id="3552" w:name="_Toc68786369"/>
      <w:bookmarkStart w:id="3553" w:name="_Toc261513296"/>
      <w:bookmarkStart w:id="3554" w:name="_Toc261513909"/>
      <w:bookmarkStart w:id="3555" w:name="_Toc280630399"/>
      <w:r w:rsidRPr="00BE78CA">
        <w:t xml:space="preserve">11.5 </w:t>
      </w:r>
      <w:r w:rsidRPr="00BE78CA">
        <w:tab/>
        <w:t>Demonstration that activities apply</w:t>
      </w:r>
      <w:bookmarkEnd w:id="3547"/>
      <w:bookmarkEnd w:id="3548"/>
      <w:bookmarkEnd w:id="3549"/>
      <w:bookmarkEnd w:id="3550"/>
      <w:bookmarkEnd w:id="3551"/>
      <w:bookmarkEnd w:id="3552"/>
    </w:p>
    <w:p w14:paraId="185FCA77" w14:textId="77777777" w:rsidR="00410716" w:rsidRPr="00BE78CA" w:rsidRDefault="00410716" w:rsidP="00410716">
      <w:pPr>
        <w:pStyle w:val="Heading3"/>
        <w:spacing w:before="160"/>
      </w:pPr>
      <w:r w:rsidRPr="00BE78CA">
        <w:t xml:space="preserve">11.5.1 </w:t>
      </w:r>
      <w:r w:rsidRPr="00BE78CA">
        <w:tab/>
        <w:t>Year of the onset of an activity</w:t>
      </w:r>
      <w:bookmarkEnd w:id="3553"/>
      <w:bookmarkEnd w:id="3554"/>
      <w:bookmarkEnd w:id="3555"/>
    </w:p>
    <w:p w14:paraId="2DE6F6D9" w14:textId="77777777" w:rsidR="00410716" w:rsidRPr="00BE78CA" w:rsidRDefault="00410716" w:rsidP="00410716">
      <w:pPr>
        <w:pStyle w:val="BodyText"/>
        <w:spacing w:before="100" w:after="100"/>
      </w:pPr>
      <w:r w:rsidRPr="00BE78CA">
        <w:t>Paragraph 18 of the annex to Decision 16/CMP.1 (UNFCCC, 2006) requires Parties to account for land use, land-use change and forestry emissions and removals from Article 3.3 activities beginning with the onset of the activity or the beginning of the commitment period, whichever is later. In practical terms, paragraph 18 means there is a need to differentiate activities that occurred between 1 January 1990 and 31 December 2007 from those after this period.</w:t>
      </w:r>
    </w:p>
    <w:p w14:paraId="10989E7A" w14:textId="77777777" w:rsidR="00410716" w:rsidRPr="00BE78CA" w:rsidRDefault="00410716" w:rsidP="00410716">
      <w:pPr>
        <w:pStyle w:val="BodyText"/>
        <w:spacing w:before="100" w:after="100"/>
      </w:pPr>
      <w:r w:rsidRPr="00BE78CA">
        <w:t xml:space="preserve">The </w:t>
      </w:r>
      <w:r w:rsidRPr="00BE78CA">
        <w:rPr>
          <w:i/>
        </w:rPr>
        <w:t>Afforestation</w:t>
      </w:r>
      <w:r w:rsidRPr="00BE78CA">
        <w:t xml:space="preserve"> occurring in each year is estimated from the </w:t>
      </w:r>
      <w:r w:rsidRPr="00BE78CA">
        <w:rPr>
          <w:spacing w:val="-2"/>
        </w:rPr>
        <w:t>Land-use Carbon Analysis System land-use map</w:t>
      </w:r>
      <w:r w:rsidRPr="00BE78CA">
        <w:t>, as described in section 11.3.2, and the NEFD survey, which captures information from the Ministry for Primary Industries schemes and programmes described in section 11.3.2 (Ministry for Primary Industries, 2019). This information ensures that the activity is attributed to the correct year of onset. Note that the Afforestation Grant Scheme has now been replaced by the One Billion Trees Programme.</w:t>
      </w:r>
    </w:p>
    <w:p w14:paraId="4A047846" w14:textId="77777777" w:rsidR="00410716" w:rsidRPr="00BE78CA" w:rsidRDefault="00410716" w:rsidP="00410716">
      <w:pPr>
        <w:pStyle w:val="BodyText"/>
        <w:spacing w:before="100" w:after="100"/>
      </w:pPr>
      <w:r w:rsidRPr="00BE78CA">
        <w:t xml:space="preserve">The annual area of </w:t>
      </w:r>
      <w:r w:rsidRPr="00BE78CA">
        <w:rPr>
          <w:i/>
          <w:spacing w:val="-2"/>
        </w:rPr>
        <w:t>Deforestation</w:t>
      </w:r>
      <w:r w:rsidRPr="00BE78CA">
        <w:t xml:space="preserve"> reported from 2008 to 2016 is based on wall-to-wall detection and mapping of </w:t>
      </w:r>
      <w:r w:rsidRPr="00BE78CA">
        <w:rPr>
          <w:spacing w:val="-2"/>
        </w:rPr>
        <w:t>deforestation</w:t>
      </w:r>
      <w:r w:rsidRPr="00BE78CA">
        <w:t xml:space="preserve"> activity supported by data from the NZ ETS. Deforestation is first detected using annual satellite imagery and confirmed using oblique and vertical aerial photography. The year of onset (destocking year) is therefore determined from the first year of detection of forest loss in the annual satellite imagery time series. Because </w:t>
      </w:r>
      <w:r w:rsidRPr="00BE78CA">
        <w:rPr>
          <w:spacing w:val="-2"/>
        </w:rPr>
        <w:t>deforestation</w:t>
      </w:r>
      <w:r w:rsidRPr="00BE78CA">
        <w:t xml:space="preserve"> mapping has not yet been carried out for 2017, 2018 or 2019 activity, the total deforestation area for these years has been estimated as described in chapter 6, section 6.2.3.</w:t>
      </w:r>
    </w:p>
    <w:p w14:paraId="2886F9FC" w14:textId="77777777" w:rsidR="00410716" w:rsidRPr="00BE78CA" w:rsidRDefault="00410716" w:rsidP="00410716">
      <w:pPr>
        <w:pStyle w:val="BodyText"/>
        <w:spacing w:before="100" w:after="100"/>
        <w:rPr>
          <w:spacing w:val="-2"/>
        </w:rPr>
      </w:pPr>
      <w:r w:rsidRPr="00BE78CA">
        <w:rPr>
          <w:spacing w:val="-2"/>
        </w:rPr>
        <w:t>It can take up to four years following the loss of forest cover to determine that replanting or revegetation has occurred. This is because sometimes the land owner does not replant trees immediately but leaves the land fallow for a period of time. The process for monitoring this unclassified deforestation is described in section 11.5.4. When deforestation is finally confirmed, the deforestation is attributed to the year when forest cover was removed, regardless of whether that forest loss occurred in a previous commitment period.</w:t>
      </w:r>
    </w:p>
    <w:p w14:paraId="5D31093E" w14:textId="77777777" w:rsidR="00410716" w:rsidRPr="00BE78CA" w:rsidRDefault="00410716" w:rsidP="00410716">
      <w:pPr>
        <w:pStyle w:val="Heading3"/>
        <w:spacing w:before="240"/>
      </w:pPr>
      <w:bookmarkStart w:id="3556" w:name="_Toc261513299"/>
      <w:bookmarkStart w:id="3557" w:name="_Toc261513912"/>
      <w:bookmarkStart w:id="3558" w:name="_Toc280630402"/>
      <w:bookmarkStart w:id="3559" w:name="_Toc377043726"/>
      <w:bookmarkStart w:id="3560" w:name="_Toc400967264"/>
      <w:r w:rsidRPr="00BE78CA">
        <w:t xml:space="preserve">11.5.2 </w:t>
      </w:r>
      <w:r w:rsidRPr="00BE78CA">
        <w:tab/>
        <w:t>Distinction between harvesting and deforestation</w:t>
      </w:r>
      <w:bookmarkEnd w:id="3556"/>
      <w:bookmarkEnd w:id="3557"/>
      <w:bookmarkEnd w:id="3558"/>
      <w:bookmarkEnd w:id="3559"/>
      <w:bookmarkEnd w:id="3560"/>
    </w:p>
    <w:p w14:paraId="3D3C816A" w14:textId="77777777" w:rsidR="00410716" w:rsidRPr="00BE78CA" w:rsidRDefault="00410716" w:rsidP="00410716">
      <w:pPr>
        <w:pStyle w:val="BodyText"/>
        <w:spacing w:before="100" w:after="100"/>
      </w:pPr>
      <w:r w:rsidRPr="00BE78CA">
        <w:t>Paragraph 5 of the annex to Decision 16/CMP.1 (UNFCCC, 2006) requires that countries provide information on how harvesting or forest disturbance that is followed by the re</w:t>
      </w:r>
      <w:r w:rsidRPr="00BE78CA">
        <w:noBreakHyphen/>
        <w:t xml:space="preserve">establishment of forest is distinguished from </w:t>
      </w:r>
      <w:r w:rsidRPr="00BE78CA">
        <w:rPr>
          <w:i/>
          <w:spacing w:val="-2"/>
        </w:rPr>
        <w:t>Deforestation</w:t>
      </w:r>
      <w:r w:rsidRPr="00BE78CA">
        <w:t>.</w:t>
      </w:r>
    </w:p>
    <w:p w14:paraId="553D9CF1" w14:textId="77777777" w:rsidR="00410716" w:rsidRPr="00BE78CA" w:rsidRDefault="00410716" w:rsidP="00410716">
      <w:pPr>
        <w:pStyle w:val="BodyText"/>
        <w:spacing w:before="100" w:after="100"/>
      </w:pPr>
      <w:r w:rsidRPr="00BE78CA">
        <w:t xml:space="preserve">New Zealand has used the definition of </w:t>
      </w:r>
      <w:r w:rsidRPr="00BE78CA">
        <w:rPr>
          <w:i/>
          <w:spacing w:val="-2"/>
        </w:rPr>
        <w:t>Deforestation</w:t>
      </w:r>
      <w:r w:rsidRPr="00BE78CA">
        <w:t xml:space="preserve"> from Decision 16/CMP.1: “the direct human-induced conversion of forested land to non-forested land” (Annex A, UNFCCC, 2006). Deforestation is different from harvesting, in that harvesting is part of usual forest management practice and involves the removal of biomass from a site followed by reforestation (replanting or natural regeneration, i.e., no change in land use).</w:t>
      </w:r>
    </w:p>
    <w:p w14:paraId="37BAB6CC" w14:textId="77777777" w:rsidR="00410716" w:rsidRPr="00BE78CA" w:rsidRDefault="00410716" w:rsidP="00410716">
      <w:pPr>
        <w:pStyle w:val="BodyText"/>
        <w:spacing w:before="100" w:after="100"/>
      </w:pPr>
      <w:r w:rsidRPr="00BE78CA">
        <w:t xml:space="preserve">In New Zealand, temporarily unstocked or cleared areas of forest (e.g., harvested areas and areas subject to disturbances) remain designated as </w:t>
      </w:r>
      <w:r w:rsidRPr="00BE78CA">
        <w:rPr>
          <w:i/>
        </w:rPr>
        <w:t>Forest land</w:t>
      </w:r>
      <w:r w:rsidRPr="00BE78CA">
        <w:t xml:space="preserve"> unless there is a confirmed change in land use or if, after four years, no reforestation (replanting or regeneration) has occurred. This follows the process for determining whether land is subject to direct human-</w:t>
      </w:r>
      <w:r w:rsidRPr="00BE78CA">
        <w:lastRenderedPageBreak/>
        <w:t xml:space="preserve">induced </w:t>
      </w:r>
      <w:r w:rsidRPr="00BE78CA">
        <w:rPr>
          <w:spacing w:val="-2"/>
        </w:rPr>
        <w:t>deforestation</w:t>
      </w:r>
      <w:r w:rsidRPr="00BE78CA">
        <w:t xml:space="preserve"> as set out in section 2.6.2.1 of the Kyoto Protocol Supplement (IPCC, 2014a). New Zealand has defined the expected period between the removal of tree cover and successful natural regeneration or planting as four years. In New Zealand, the tree grower and land owner are often different people. Forest land can be temporarily unstocked for a number of years while land owners decide what to do with land after harvesting. </w:t>
      </w:r>
    </w:p>
    <w:p w14:paraId="11038382" w14:textId="77777777" w:rsidR="00410716" w:rsidRPr="00BE78CA" w:rsidRDefault="00410716" w:rsidP="00410716">
      <w:pPr>
        <w:pStyle w:val="BodyText"/>
        <w:spacing w:before="100" w:after="100"/>
      </w:pPr>
      <w:r w:rsidRPr="00BE78CA">
        <w:t>A number of activities are carried out to determine if land-use change has occurred, including the analysis of satellite imagery and aerial photography. The use of aerial photography is described in chapter 6, section 6.2.</w:t>
      </w:r>
    </w:p>
    <w:p w14:paraId="4ED8CC12" w14:textId="77777777" w:rsidR="00410716" w:rsidRPr="00BE78CA" w:rsidRDefault="00410716" w:rsidP="00410716">
      <w:pPr>
        <w:pStyle w:val="BodyText"/>
      </w:pPr>
      <w:r w:rsidRPr="00BE78CA">
        <w:t xml:space="preserve">Evidence from the NZ ETS is also used to confirm </w:t>
      </w:r>
      <w:r w:rsidRPr="00BE78CA">
        <w:rPr>
          <w:i/>
          <w:spacing w:val="-2"/>
        </w:rPr>
        <w:t>Deforestation</w:t>
      </w:r>
      <w:r w:rsidRPr="00BE78CA">
        <w:t xml:space="preserve">. Under the NZ ETS, owners of pre-1990 planted forest or post-1989 forest (if they are participants in the scheme) are required to notify the Government of any </w:t>
      </w:r>
      <w:r w:rsidRPr="00BE78CA">
        <w:rPr>
          <w:spacing w:val="-2"/>
        </w:rPr>
        <w:t>deforestation</w:t>
      </w:r>
      <w:r w:rsidRPr="00BE78CA">
        <w:t xml:space="preserve"> activity (Ministry for Primary Industries, 2015d). There is a data-sharing agreement that allows for the Ministry for Primary Industries, the agency that administers forestry aspects of the NZ ETS, to provide the Ministry for the Environment with regular updates of the area of confirmed </w:t>
      </w:r>
      <w:r w:rsidRPr="00BE78CA">
        <w:rPr>
          <w:i/>
          <w:spacing w:val="-2"/>
        </w:rPr>
        <w:t>Deforestation</w:t>
      </w:r>
      <w:r w:rsidRPr="00BE78CA">
        <w:t>.</w:t>
      </w:r>
    </w:p>
    <w:p w14:paraId="6E19B111" w14:textId="77777777" w:rsidR="00410716" w:rsidRPr="00BE78CA" w:rsidRDefault="00410716" w:rsidP="00410716">
      <w:pPr>
        <w:pStyle w:val="BodyText"/>
        <w:rPr>
          <w:spacing w:val="-2"/>
        </w:rPr>
      </w:pPr>
      <w:r w:rsidRPr="00BE78CA">
        <w:rPr>
          <w:spacing w:val="-2"/>
        </w:rPr>
        <w:t xml:space="preserve">A summary of the decision-making process for determining whether </w:t>
      </w:r>
      <w:r w:rsidRPr="00BE78CA">
        <w:rPr>
          <w:i/>
          <w:spacing w:val="-2"/>
        </w:rPr>
        <w:t>Deforestation</w:t>
      </w:r>
      <w:r w:rsidRPr="00BE78CA">
        <w:rPr>
          <w:spacing w:val="-2"/>
        </w:rPr>
        <w:t xml:space="preserve"> has occurred, including all sources of information, is shown in figure 11.5.1. Once a land-use change is mapped and confirmed, the </w:t>
      </w:r>
      <w:r w:rsidRPr="00BE78CA">
        <w:rPr>
          <w:i/>
          <w:spacing w:val="-2"/>
        </w:rPr>
        <w:t>Deforestation</w:t>
      </w:r>
      <w:r w:rsidRPr="00BE78CA">
        <w:rPr>
          <w:spacing w:val="-2"/>
        </w:rPr>
        <w:t xml:space="preserve"> emissions will be reported in the year of forest clearance.</w:t>
      </w:r>
    </w:p>
    <w:p w14:paraId="6AAAD3E8" w14:textId="77777777" w:rsidR="00410716" w:rsidRPr="00BE78CA" w:rsidRDefault="00410716" w:rsidP="00410716">
      <w:pPr>
        <w:pStyle w:val="Figure"/>
      </w:pPr>
      <w:bookmarkStart w:id="3561" w:name="_Toc522010715"/>
      <w:bookmarkStart w:id="3562" w:name="_Toc5269735"/>
      <w:bookmarkStart w:id="3563" w:name="_Toc36292841"/>
      <w:bookmarkStart w:id="3564" w:name="_Toc64987009"/>
      <w:bookmarkStart w:id="3565" w:name="_Toc68786705"/>
      <w:r w:rsidRPr="00BE78CA">
        <w:t>Figure 11.5.1</w:t>
      </w:r>
      <w:r w:rsidRPr="00BE78CA">
        <w:tab/>
        <w:t>Verification of deforestation in New Zealand</w:t>
      </w:r>
      <w:bookmarkEnd w:id="3561"/>
      <w:bookmarkEnd w:id="3562"/>
      <w:bookmarkEnd w:id="3563"/>
      <w:bookmarkEnd w:id="3564"/>
      <w:bookmarkEnd w:id="3565"/>
    </w:p>
    <w:p w14:paraId="36905980" w14:textId="722F24C9" w:rsidR="00410716" w:rsidRPr="00BE78CA" w:rsidRDefault="00410716" w:rsidP="00410716">
      <w:pPr>
        <w:pStyle w:val="BodyText"/>
        <w:spacing w:after="60"/>
      </w:pPr>
      <w:r w:rsidRPr="00BE78CA">
        <w:rPr>
          <w:noProof/>
        </w:rPr>
        <mc:AlternateContent>
          <mc:Choice Requires="wpg">
            <w:drawing>
              <wp:inline distT="0" distB="0" distL="0" distR="0" wp14:anchorId="62AEC8A8" wp14:editId="365EE976">
                <wp:extent cx="5376545" cy="3510280"/>
                <wp:effectExtent l="11430" t="5715" r="12700" b="8255"/>
                <wp:docPr id="63" name="Group 6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376545" cy="3510280"/>
                          <a:chOff x="2197" y="4715"/>
                          <a:chExt cx="8796" cy="5577"/>
                        </a:xfrm>
                      </wpg:grpSpPr>
                      <wpg:grpSp>
                        <wpg:cNvPr id="64" name="Group 7"/>
                        <wpg:cNvGrpSpPr>
                          <a:grpSpLocks noChangeAspect="1"/>
                        </wpg:cNvGrpSpPr>
                        <wpg:grpSpPr bwMode="auto">
                          <a:xfrm>
                            <a:off x="4739" y="6910"/>
                            <a:ext cx="6254" cy="3226"/>
                            <a:chOff x="3862" y="5489"/>
                            <a:chExt cx="6254" cy="3226"/>
                          </a:xfrm>
                        </wpg:grpSpPr>
                        <wps:wsp>
                          <wps:cNvPr id="65" name="AutoShape 8"/>
                          <wps:cNvCnPr>
                            <a:cxnSpLocks noChangeAspect="1" noChangeShapeType="1"/>
                          </wps:cNvCnPr>
                          <wps:spPr bwMode="auto">
                            <a:xfrm>
                              <a:off x="5378" y="5489"/>
                              <a:ext cx="0" cy="63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6" name="AutoShape 9"/>
                          <wps:cNvCnPr>
                            <a:cxnSpLocks noChangeAspect="1" noChangeShapeType="1"/>
                          </wps:cNvCnPr>
                          <wps:spPr bwMode="auto">
                            <a:xfrm>
                              <a:off x="5378" y="7005"/>
                              <a:ext cx="0" cy="122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7" name="AutoShape 10"/>
                          <wps:cNvSpPr>
                            <a:spLocks noChangeAspect="1" noChangeArrowheads="1"/>
                          </wps:cNvSpPr>
                          <wps:spPr bwMode="auto">
                            <a:xfrm>
                              <a:off x="7641" y="8275"/>
                              <a:ext cx="2475" cy="440"/>
                            </a:xfrm>
                            <a:prstGeom prst="flowChartProcess">
                              <a:avLst/>
                            </a:prstGeom>
                            <a:solidFill>
                              <a:srgbClr val="FFFFFF"/>
                            </a:solidFill>
                            <a:ln w="9525">
                              <a:solidFill>
                                <a:srgbClr val="000000"/>
                              </a:solidFill>
                              <a:miter lim="800000"/>
                              <a:headEnd/>
                              <a:tailEnd/>
                            </a:ln>
                          </wps:spPr>
                          <wps:txbx>
                            <w:txbxContent>
                              <w:p w14:paraId="5A9D08FC" w14:textId="77777777" w:rsidR="005B3CE7" w:rsidRPr="00070704" w:rsidRDefault="005B3CE7" w:rsidP="00410716">
                                <w:pPr>
                                  <w:spacing w:before="40" w:after="40"/>
                                  <w:rPr>
                                    <w:rFonts w:cs="Calibri"/>
                                    <w:sz w:val="17"/>
                                    <w:szCs w:val="17"/>
                                  </w:rPr>
                                </w:pPr>
                                <w:r w:rsidRPr="00070704">
                                  <w:rPr>
                                    <w:rFonts w:cs="Calibri"/>
                                    <w:sz w:val="17"/>
                                    <w:szCs w:val="17"/>
                                  </w:rPr>
                                  <w:t>Mark area as deforested</w:t>
                                </w:r>
                              </w:p>
                            </w:txbxContent>
                          </wps:txbx>
                          <wps:bodyPr rot="0" vert="horz" wrap="square" lIns="91440" tIns="45720" rIns="91440" bIns="45720" anchor="t" anchorCtr="0" upright="1">
                            <a:noAutofit/>
                          </wps:bodyPr>
                        </wps:wsp>
                        <wps:wsp>
                          <wps:cNvPr id="68" name="AutoShape 12"/>
                          <wps:cNvSpPr>
                            <a:spLocks noChangeAspect="1" noChangeArrowheads="1"/>
                          </wps:cNvSpPr>
                          <wps:spPr bwMode="auto">
                            <a:xfrm>
                              <a:off x="7626" y="7337"/>
                              <a:ext cx="2490" cy="445"/>
                            </a:xfrm>
                            <a:prstGeom prst="flowChartProcess">
                              <a:avLst/>
                            </a:prstGeom>
                            <a:solidFill>
                              <a:srgbClr val="FFFFFF"/>
                            </a:solidFill>
                            <a:ln w="9525">
                              <a:solidFill>
                                <a:srgbClr val="000000"/>
                              </a:solidFill>
                              <a:miter lim="800000"/>
                              <a:headEnd/>
                              <a:tailEnd/>
                            </a:ln>
                          </wps:spPr>
                          <wps:txbx>
                            <w:txbxContent>
                              <w:p w14:paraId="0B9B5D2B" w14:textId="77777777" w:rsidR="005B3CE7" w:rsidRPr="00070704" w:rsidRDefault="005B3CE7" w:rsidP="00410716">
                                <w:pPr>
                                  <w:spacing w:before="40" w:after="40"/>
                                  <w:rPr>
                                    <w:rFonts w:cs="Calibri"/>
                                    <w:sz w:val="17"/>
                                    <w:szCs w:val="17"/>
                                  </w:rPr>
                                </w:pPr>
                                <w:r w:rsidRPr="00070704">
                                  <w:rPr>
                                    <w:rFonts w:cs="Calibri"/>
                                    <w:sz w:val="17"/>
                                    <w:szCs w:val="17"/>
                                  </w:rPr>
                                  <w:t>Mark area as harvested</w:t>
                                </w:r>
                              </w:p>
                            </w:txbxContent>
                          </wps:txbx>
                          <wps:bodyPr rot="0" vert="horz" wrap="square" lIns="91440" tIns="45720" rIns="91440" bIns="45720" anchor="t" anchorCtr="0" upright="1">
                            <a:noAutofit/>
                          </wps:bodyPr>
                        </wps:wsp>
                        <wps:wsp>
                          <wps:cNvPr id="69" name="AutoShape 13"/>
                          <wps:cNvSpPr>
                            <a:spLocks noChangeAspect="1" noChangeArrowheads="1"/>
                          </wps:cNvSpPr>
                          <wps:spPr bwMode="auto">
                            <a:xfrm>
                              <a:off x="3862" y="6232"/>
                              <a:ext cx="2985" cy="675"/>
                            </a:xfrm>
                            <a:prstGeom prst="flowChartProcess">
                              <a:avLst/>
                            </a:prstGeom>
                            <a:solidFill>
                              <a:srgbClr val="FFFFFF"/>
                            </a:solidFill>
                            <a:ln w="9525">
                              <a:solidFill>
                                <a:srgbClr val="000000"/>
                              </a:solidFill>
                              <a:miter lim="800000"/>
                              <a:headEnd/>
                              <a:tailEnd/>
                            </a:ln>
                          </wps:spPr>
                          <wps:txbx>
                            <w:txbxContent>
                              <w:p w14:paraId="7AB5376F" w14:textId="77777777" w:rsidR="005B3CE7" w:rsidRPr="00070704" w:rsidRDefault="005B3CE7" w:rsidP="00410716">
                                <w:pPr>
                                  <w:spacing w:before="40" w:after="40"/>
                                  <w:jc w:val="center"/>
                                  <w:rPr>
                                    <w:rFonts w:cs="Calibri"/>
                                    <w:sz w:val="17"/>
                                    <w:szCs w:val="17"/>
                                  </w:rPr>
                                </w:pPr>
                                <w:r w:rsidRPr="00070704">
                                  <w:rPr>
                                    <w:rFonts w:cs="Calibri"/>
                                    <w:sz w:val="17"/>
                                    <w:szCs w:val="17"/>
                                  </w:rPr>
                                  <w:t>Can current land use be confirmed?</w:t>
                                </w:r>
                              </w:p>
                            </w:txbxContent>
                          </wps:txbx>
                          <wps:bodyPr rot="0" vert="horz" wrap="square" lIns="91440" tIns="45720" rIns="91440" bIns="45720" anchor="t" anchorCtr="0" upright="1">
                            <a:noAutofit/>
                          </wps:bodyPr>
                        </wps:wsp>
                        <wps:wsp>
                          <wps:cNvPr id="70" name="AutoShape 14"/>
                          <wps:cNvSpPr>
                            <a:spLocks noChangeAspect="1" noChangeArrowheads="1"/>
                          </wps:cNvSpPr>
                          <wps:spPr bwMode="auto">
                            <a:xfrm>
                              <a:off x="5055" y="7388"/>
                              <a:ext cx="615" cy="382"/>
                            </a:xfrm>
                            <a:prstGeom prst="flowChartProcess">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4F0FFEF" w14:textId="77777777" w:rsidR="005B3CE7" w:rsidRPr="00070704" w:rsidRDefault="005B3CE7" w:rsidP="00410716">
                                <w:pPr>
                                  <w:rPr>
                                    <w:rFonts w:cs="Calibri"/>
                                    <w:sz w:val="17"/>
                                    <w:szCs w:val="17"/>
                                  </w:rPr>
                                </w:pPr>
                                <w:r w:rsidRPr="00070704">
                                  <w:rPr>
                                    <w:rFonts w:cs="Calibri"/>
                                    <w:sz w:val="17"/>
                                    <w:szCs w:val="17"/>
                                  </w:rPr>
                                  <w:t>No</w:t>
                                </w:r>
                              </w:p>
                            </w:txbxContent>
                          </wps:txbx>
                          <wps:bodyPr rot="0" vert="horz" wrap="square" lIns="91440" tIns="45720" rIns="91440" bIns="45720" anchor="t" anchorCtr="0" upright="1">
                            <a:noAutofit/>
                          </wps:bodyPr>
                        </wps:wsp>
                        <wps:wsp>
                          <wps:cNvPr id="71" name="AutoShape 15"/>
                          <wps:cNvCnPr>
                            <a:cxnSpLocks noChangeAspect="1" noChangeShapeType="1"/>
                            <a:endCxn id="68" idx="1"/>
                          </wps:cNvCnPr>
                          <wps:spPr bwMode="auto">
                            <a:xfrm>
                              <a:off x="6555" y="6945"/>
                              <a:ext cx="1071" cy="614"/>
                            </a:xfrm>
                            <a:prstGeom prst="bentConnector3">
                              <a:avLst>
                                <a:gd name="adj1" fmla="val 1171"/>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72" name="AutoShape 16"/>
                          <wps:cNvCnPr>
                            <a:cxnSpLocks noChangeAspect="1" noChangeShapeType="1"/>
                            <a:endCxn id="67" idx="1"/>
                          </wps:cNvCnPr>
                          <wps:spPr bwMode="auto">
                            <a:xfrm>
                              <a:off x="6555" y="7558"/>
                              <a:ext cx="1086" cy="936"/>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73" name="AutoShape 17"/>
                          <wps:cNvSpPr>
                            <a:spLocks noChangeAspect="1" noChangeArrowheads="1"/>
                          </wps:cNvSpPr>
                          <wps:spPr bwMode="auto">
                            <a:xfrm>
                              <a:off x="6229" y="7128"/>
                              <a:ext cx="753" cy="340"/>
                            </a:xfrm>
                            <a:prstGeom prst="flowChartProcess">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0860738" w14:textId="77777777" w:rsidR="005B3CE7" w:rsidRPr="00070704" w:rsidRDefault="005B3CE7" w:rsidP="00410716">
                                <w:pPr>
                                  <w:rPr>
                                    <w:rFonts w:cs="Calibri"/>
                                    <w:sz w:val="17"/>
                                    <w:szCs w:val="17"/>
                                  </w:rPr>
                                </w:pPr>
                                <w:r w:rsidRPr="00070704">
                                  <w:rPr>
                                    <w:rFonts w:cs="Calibri"/>
                                    <w:sz w:val="17"/>
                                    <w:szCs w:val="17"/>
                                  </w:rPr>
                                  <w:t>Yes</w:t>
                                </w:r>
                              </w:p>
                            </w:txbxContent>
                          </wps:txbx>
                          <wps:bodyPr rot="0" vert="horz" wrap="square" lIns="91440" tIns="45720" rIns="91440" bIns="45720" anchor="t" anchorCtr="0" upright="1">
                            <a:noAutofit/>
                          </wps:bodyPr>
                        </wps:wsp>
                      </wpg:grpSp>
                      <wps:wsp>
                        <wps:cNvPr id="74" name="AutoShape 27"/>
                        <wps:cNvSpPr>
                          <a:spLocks noChangeAspect="1" noChangeArrowheads="1"/>
                        </wps:cNvSpPr>
                        <wps:spPr bwMode="auto">
                          <a:xfrm>
                            <a:off x="4927" y="9747"/>
                            <a:ext cx="2625" cy="545"/>
                          </a:xfrm>
                          <a:prstGeom prst="flowChartProcess">
                            <a:avLst/>
                          </a:prstGeom>
                          <a:solidFill>
                            <a:srgbClr val="FFFFFF"/>
                          </a:solidFill>
                          <a:ln w="9525">
                            <a:solidFill>
                              <a:srgbClr val="000000"/>
                            </a:solidFill>
                            <a:miter lim="800000"/>
                            <a:headEnd/>
                            <a:tailEnd/>
                          </a:ln>
                        </wps:spPr>
                        <wps:txbx>
                          <w:txbxContent>
                            <w:p w14:paraId="6DBC4960" w14:textId="77777777" w:rsidR="005B3CE7" w:rsidRPr="00070704" w:rsidRDefault="005B3CE7" w:rsidP="00410716">
                              <w:pPr>
                                <w:spacing w:before="40" w:after="40"/>
                                <w:jc w:val="center"/>
                                <w:rPr>
                                  <w:rFonts w:cs="Calibri"/>
                                  <w:sz w:val="17"/>
                                  <w:szCs w:val="17"/>
                                </w:rPr>
                              </w:pPr>
                              <w:r w:rsidRPr="00070704">
                                <w:rPr>
                                  <w:rFonts w:cs="Calibri"/>
                                  <w:sz w:val="17"/>
                                  <w:szCs w:val="17"/>
                                </w:rPr>
                                <w:t>Mark area as awaiting</w:t>
                              </w:r>
                            </w:p>
                          </w:txbxContent>
                        </wps:txbx>
                        <wps:bodyPr rot="0" vert="horz" wrap="square" lIns="91440" tIns="45720" rIns="91440" bIns="45720" anchor="t" anchorCtr="0" upright="1">
                          <a:noAutofit/>
                        </wps:bodyPr>
                      </wps:wsp>
                      <wpg:grpSp>
                        <wpg:cNvPr id="76" name="Group 29"/>
                        <wpg:cNvGrpSpPr>
                          <a:grpSpLocks noChangeAspect="1"/>
                        </wpg:cNvGrpSpPr>
                        <wpg:grpSpPr bwMode="auto">
                          <a:xfrm>
                            <a:off x="2197" y="4715"/>
                            <a:ext cx="8091" cy="2625"/>
                            <a:chOff x="2197" y="4715"/>
                            <a:chExt cx="8091" cy="2625"/>
                          </a:xfrm>
                        </wpg:grpSpPr>
                        <wps:wsp>
                          <wps:cNvPr id="77" name="AutoShape 30"/>
                          <wps:cNvCnPr>
                            <a:cxnSpLocks noChangeAspect="1" noChangeShapeType="1"/>
                          </wps:cNvCnPr>
                          <wps:spPr bwMode="auto">
                            <a:xfrm>
                              <a:off x="3577" y="6305"/>
                              <a:ext cx="15" cy="3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8" name="AutoShape 31"/>
                          <wps:cNvCnPr>
                            <a:cxnSpLocks noChangeAspect="1" noChangeShapeType="1"/>
                          </wps:cNvCnPr>
                          <wps:spPr bwMode="auto">
                            <a:xfrm>
                              <a:off x="3562" y="5194"/>
                              <a:ext cx="15" cy="3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9" name="AutoShape 32"/>
                          <wps:cNvSpPr>
                            <a:spLocks noChangeAspect="1" noChangeArrowheads="1"/>
                          </wps:cNvSpPr>
                          <wps:spPr bwMode="auto">
                            <a:xfrm>
                              <a:off x="2212" y="5539"/>
                              <a:ext cx="2805" cy="765"/>
                            </a:xfrm>
                            <a:prstGeom prst="flowChartProcess">
                              <a:avLst/>
                            </a:prstGeom>
                            <a:solidFill>
                              <a:srgbClr val="FFFFFF"/>
                            </a:solidFill>
                            <a:ln w="9525">
                              <a:solidFill>
                                <a:srgbClr val="000000"/>
                              </a:solidFill>
                              <a:miter lim="800000"/>
                              <a:headEnd/>
                              <a:tailEnd/>
                            </a:ln>
                          </wps:spPr>
                          <wps:txbx>
                            <w:txbxContent>
                              <w:p w14:paraId="22924581" w14:textId="77777777" w:rsidR="005B3CE7" w:rsidRPr="00C7607E" w:rsidRDefault="005B3CE7" w:rsidP="00410716">
                                <w:pPr>
                                  <w:spacing w:before="40" w:after="40"/>
                                  <w:jc w:val="center"/>
                                  <w:rPr>
                                    <w:rFonts w:cs="Calibri"/>
                                    <w:sz w:val="17"/>
                                    <w:szCs w:val="17"/>
                                  </w:rPr>
                                </w:pPr>
                                <w:r w:rsidRPr="00C7607E">
                                  <w:rPr>
                                    <w:rFonts w:cs="Calibri"/>
                                    <w:sz w:val="17"/>
                                    <w:szCs w:val="17"/>
                                  </w:rPr>
                                  <w:t>Is the area harvested or deforested?</w:t>
                                </w:r>
                              </w:p>
                            </w:txbxContent>
                          </wps:txbx>
                          <wps:bodyPr rot="0" vert="horz" wrap="square" lIns="91440" tIns="45720" rIns="91440" bIns="45720" anchor="t" anchorCtr="0" upright="1">
                            <a:noAutofit/>
                          </wps:bodyPr>
                        </wps:wsp>
                        <wps:wsp>
                          <wps:cNvPr id="80" name="AutoShape 33"/>
                          <wps:cNvSpPr>
                            <a:spLocks noChangeAspect="1" noChangeArrowheads="1"/>
                          </wps:cNvSpPr>
                          <wps:spPr bwMode="auto">
                            <a:xfrm>
                              <a:off x="2227" y="6620"/>
                              <a:ext cx="2805" cy="720"/>
                            </a:xfrm>
                            <a:prstGeom prst="flowChartProcess">
                              <a:avLst/>
                            </a:prstGeom>
                            <a:solidFill>
                              <a:srgbClr val="FFFFFF"/>
                            </a:solidFill>
                            <a:ln w="9525">
                              <a:solidFill>
                                <a:srgbClr val="000000"/>
                              </a:solidFill>
                              <a:miter lim="800000"/>
                              <a:headEnd/>
                              <a:tailEnd/>
                            </a:ln>
                          </wps:spPr>
                          <wps:txbx>
                            <w:txbxContent>
                              <w:p w14:paraId="546DE800" w14:textId="77777777" w:rsidR="005B3CE7" w:rsidRPr="00C7607E" w:rsidRDefault="005B3CE7" w:rsidP="00410716">
                                <w:pPr>
                                  <w:spacing w:before="40" w:after="40"/>
                                  <w:rPr>
                                    <w:rFonts w:cs="Calibri"/>
                                    <w:sz w:val="17"/>
                                    <w:szCs w:val="17"/>
                                  </w:rPr>
                                </w:pPr>
                                <w:r w:rsidRPr="00C7607E">
                                  <w:rPr>
                                    <w:rFonts w:cs="Calibri"/>
                                    <w:sz w:val="17"/>
                                    <w:szCs w:val="17"/>
                                  </w:rPr>
                                  <w:t>Look at all sources of information</w:t>
                                </w:r>
                              </w:p>
                            </w:txbxContent>
                          </wps:txbx>
                          <wps:bodyPr rot="0" vert="horz" wrap="square" lIns="91440" tIns="45720" rIns="91440" bIns="45720" anchor="t" anchorCtr="0" upright="1">
                            <a:noAutofit/>
                          </wps:bodyPr>
                        </wps:wsp>
                        <wps:wsp>
                          <wps:cNvPr id="81" name="AutoShape 34"/>
                          <wps:cNvSpPr>
                            <a:spLocks noChangeAspect="1" noChangeArrowheads="1"/>
                          </wps:cNvSpPr>
                          <wps:spPr bwMode="auto">
                            <a:xfrm>
                              <a:off x="5407" y="4715"/>
                              <a:ext cx="4881" cy="2119"/>
                            </a:xfrm>
                            <a:prstGeom prst="flowChartProcess">
                              <a:avLst/>
                            </a:prstGeom>
                            <a:solidFill>
                              <a:srgbClr val="FFFFFF"/>
                            </a:solidFill>
                            <a:ln w="9525">
                              <a:solidFill>
                                <a:srgbClr val="000000"/>
                              </a:solidFill>
                              <a:miter lim="800000"/>
                              <a:headEnd/>
                              <a:tailEnd/>
                            </a:ln>
                          </wps:spPr>
                          <wps:txbx>
                            <w:txbxContent>
                              <w:p w14:paraId="5E47BF46" w14:textId="77777777" w:rsidR="005B3CE7" w:rsidRPr="00C7607E" w:rsidRDefault="005B3CE7" w:rsidP="00410716">
                                <w:pPr>
                                  <w:spacing w:before="40" w:after="60"/>
                                  <w:rPr>
                                    <w:rFonts w:cs="Calibri"/>
                                    <w:sz w:val="17"/>
                                    <w:szCs w:val="17"/>
                                  </w:rPr>
                                </w:pPr>
                                <w:r w:rsidRPr="00C7607E">
                                  <w:rPr>
                                    <w:rFonts w:cs="Calibri"/>
                                    <w:sz w:val="17"/>
                                    <w:szCs w:val="17"/>
                                  </w:rPr>
                                  <w:t>SOURCES OF INFORMATION</w:t>
                                </w:r>
                              </w:p>
                              <w:p w14:paraId="0181D758" w14:textId="77777777" w:rsidR="005B3CE7" w:rsidRPr="00C7607E" w:rsidRDefault="005B3CE7" w:rsidP="00410716">
                                <w:pPr>
                                  <w:numPr>
                                    <w:ilvl w:val="0"/>
                                    <w:numId w:val="39"/>
                                  </w:numPr>
                                  <w:spacing w:after="20" w:line="276" w:lineRule="auto"/>
                                  <w:ind w:left="284" w:hanging="284"/>
                                  <w:rPr>
                                    <w:rFonts w:cs="Calibri"/>
                                    <w:sz w:val="17"/>
                                    <w:szCs w:val="17"/>
                                  </w:rPr>
                                </w:pPr>
                                <w:r w:rsidRPr="00C7607E">
                                  <w:rPr>
                                    <w:rFonts w:cs="Calibri"/>
                                    <w:sz w:val="17"/>
                                    <w:szCs w:val="17"/>
                                  </w:rPr>
                                  <w:t>Ministry for Primary Industries forestry schemes</w:t>
                                </w:r>
                              </w:p>
                              <w:p w14:paraId="6D2F088F" w14:textId="77777777" w:rsidR="005B3CE7" w:rsidRPr="00C7607E" w:rsidRDefault="005B3CE7" w:rsidP="00410716">
                                <w:pPr>
                                  <w:numPr>
                                    <w:ilvl w:val="0"/>
                                    <w:numId w:val="39"/>
                                  </w:numPr>
                                  <w:spacing w:after="20" w:line="276" w:lineRule="auto"/>
                                  <w:ind w:left="284" w:hanging="284"/>
                                  <w:rPr>
                                    <w:rFonts w:cs="Calibri"/>
                                    <w:sz w:val="17"/>
                                    <w:szCs w:val="17"/>
                                  </w:rPr>
                                </w:pPr>
                                <w:r w:rsidRPr="00C7607E">
                                  <w:rPr>
                                    <w:rFonts w:cs="Calibri"/>
                                    <w:sz w:val="17"/>
                                    <w:szCs w:val="17"/>
                                  </w:rPr>
                                  <w:t>Ministry for Primary Industries compliance field teams</w:t>
                                </w:r>
                              </w:p>
                              <w:p w14:paraId="40683BA1" w14:textId="77777777" w:rsidR="005B3CE7" w:rsidRPr="00C7607E" w:rsidRDefault="005B3CE7" w:rsidP="00410716">
                                <w:pPr>
                                  <w:numPr>
                                    <w:ilvl w:val="0"/>
                                    <w:numId w:val="39"/>
                                  </w:numPr>
                                  <w:spacing w:after="20" w:line="276" w:lineRule="auto"/>
                                  <w:ind w:left="284" w:hanging="284"/>
                                  <w:rPr>
                                    <w:rFonts w:cs="Calibri"/>
                                    <w:sz w:val="17"/>
                                    <w:szCs w:val="17"/>
                                  </w:rPr>
                                </w:pPr>
                                <w:r w:rsidRPr="00C7607E">
                                  <w:rPr>
                                    <w:rFonts w:cs="Calibri"/>
                                    <w:sz w:val="17"/>
                                    <w:szCs w:val="17"/>
                                  </w:rPr>
                                  <w:t>Forestry consultants</w:t>
                                </w:r>
                              </w:p>
                              <w:p w14:paraId="79C4613B" w14:textId="77777777" w:rsidR="005B3CE7" w:rsidRPr="00C7607E" w:rsidRDefault="005B3CE7" w:rsidP="00410716">
                                <w:pPr>
                                  <w:numPr>
                                    <w:ilvl w:val="0"/>
                                    <w:numId w:val="39"/>
                                  </w:numPr>
                                  <w:spacing w:after="40" w:line="276" w:lineRule="auto"/>
                                  <w:ind w:left="284" w:hanging="284"/>
                                  <w:rPr>
                                    <w:rFonts w:cs="Calibri"/>
                                    <w:sz w:val="17"/>
                                    <w:szCs w:val="17"/>
                                  </w:rPr>
                                </w:pPr>
                                <w:r w:rsidRPr="00C7607E">
                                  <w:rPr>
                                    <w:rFonts w:cs="Calibri"/>
                                    <w:sz w:val="17"/>
                                    <w:szCs w:val="17"/>
                                  </w:rPr>
                                  <w:t>Vertical aerial photography</w:t>
                                </w:r>
                              </w:p>
                              <w:p w14:paraId="7DD31B27" w14:textId="77777777" w:rsidR="005B3CE7" w:rsidRPr="00C7607E" w:rsidRDefault="005B3CE7" w:rsidP="00410716">
                                <w:pPr>
                                  <w:numPr>
                                    <w:ilvl w:val="0"/>
                                    <w:numId w:val="39"/>
                                  </w:numPr>
                                  <w:spacing w:after="40" w:line="276" w:lineRule="auto"/>
                                  <w:ind w:left="284" w:hanging="284"/>
                                  <w:rPr>
                                    <w:rFonts w:cs="Calibri"/>
                                    <w:sz w:val="17"/>
                                    <w:szCs w:val="17"/>
                                  </w:rPr>
                                </w:pPr>
                                <w:r w:rsidRPr="00C7607E">
                                  <w:rPr>
                                    <w:rFonts w:cs="Calibri"/>
                                    <w:sz w:val="17"/>
                                    <w:szCs w:val="17"/>
                                  </w:rPr>
                                  <w:t>Oblique aerial photography</w:t>
                                </w:r>
                              </w:p>
                              <w:p w14:paraId="26C597C9" w14:textId="77777777" w:rsidR="005B3CE7" w:rsidRPr="00C7607E" w:rsidRDefault="005B3CE7" w:rsidP="00410716">
                                <w:pPr>
                                  <w:numPr>
                                    <w:ilvl w:val="0"/>
                                    <w:numId w:val="39"/>
                                  </w:numPr>
                                  <w:spacing w:after="40" w:line="276" w:lineRule="auto"/>
                                  <w:ind w:left="284" w:hanging="284"/>
                                  <w:rPr>
                                    <w:rFonts w:cs="Calibri"/>
                                    <w:sz w:val="17"/>
                                    <w:szCs w:val="17"/>
                                  </w:rPr>
                                </w:pPr>
                                <w:r w:rsidRPr="00C7607E">
                                  <w:rPr>
                                    <w:rFonts w:cs="Calibri"/>
                                    <w:sz w:val="17"/>
                                    <w:szCs w:val="17"/>
                                  </w:rPr>
                                  <w:t>Satellite imagery</w:t>
                                </w:r>
                              </w:p>
                            </w:txbxContent>
                          </wps:txbx>
                          <wps:bodyPr rot="0" vert="horz" wrap="square" lIns="91440" tIns="45720" rIns="91440" bIns="45720" anchor="t" anchorCtr="0" upright="1">
                            <a:noAutofit/>
                          </wps:bodyPr>
                        </wps:wsp>
                        <wps:wsp>
                          <wps:cNvPr id="82" name="AutoShape 35"/>
                          <wps:cNvCnPr>
                            <a:cxnSpLocks noChangeAspect="1" noChangeShapeType="1"/>
                          </wps:cNvCnPr>
                          <wps:spPr bwMode="auto">
                            <a:xfrm>
                              <a:off x="5017" y="6910"/>
                              <a:ext cx="40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3" name="AutoShape 36"/>
                          <wps:cNvSpPr>
                            <a:spLocks noChangeAspect="1" noChangeArrowheads="1"/>
                          </wps:cNvSpPr>
                          <wps:spPr bwMode="auto">
                            <a:xfrm>
                              <a:off x="2197" y="4715"/>
                              <a:ext cx="2805" cy="465"/>
                            </a:xfrm>
                            <a:prstGeom prst="flowChartProcess">
                              <a:avLst/>
                            </a:prstGeom>
                            <a:solidFill>
                              <a:srgbClr val="FFFFFF"/>
                            </a:solidFill>
                            <a:ln w="9525">
                              <a:solidFill>
                                <a:srgbClr val="000000"/>
                              </a:solidFill>
                              <a:miter lim="800000"/>
                              <a:headEnd/>
                              <a:tailEnd/>
                            </a:ln>
                          </wps:spPr>
                          <wps:txbx>
                            <w:txbxContent>
                              <w:p w14:paraId="5543F013" w14:textId="77777777" w:rsidR="005B3CE7" w:rsidRPr="00C7607E" w:rsidRDefault="005B3CE7" w:rsidP="00410716">
                                <w:pPr>
                                  <w:spacing w:before="40" w:after="40"/>
                                  <w:jc w:val="center"/>
                                  <w:rPr>
                                    <w:rFonts w:cs="Calibri"/>
                                    <w:sz w:val="17"/>
                                    <w:szCs w:val="17"/>
                                  </w:rPr>
                                </w:pPr>
                                <w:r w:rsidRPr="00C7607E">
                                  <w:rPr>
                                    <w:rFonts w:cs="Calibri"/>
                                    <w:sz w:val="17"/>
                                    <w:szCs w:val="17"/>
                                  </w:rPr>
                                  <w:t>Area mapped as destocked</w:t>
                                </w:r>
                              </w:p>
                              <w:p w14:paraId="2A5DF82C" w14:textId="77777777" w:rsidR="005B3CE7" w:rsidRPr="00C7607E" w:rsidRDefault="005B3CE7" w:rsidP="00410716">
                                <w:pPr>
                                  <w:spacing w:before="40" w:after="40"/>
                                  <w:rPr>
                                    <w:rFonts w:cs="Calibri"/>
                                    <w:sz w:val="17"/>
                                    <w:szCs w:val="17"/>
                                  </w:rPr>
                                </w:pPr>
                              </w:p>
                            </w:txbxContent>
                          </wps:txbx>
                          <wps:bodyPr rot="0" vert="horz" wrap="square" lIns="91440" tIns="45720" rIns="91440" bIns="45720" anchor="t" anchorCtr="0" upright="1">
                            <a:noAutofit/>
                          </wps:bodyPr>
                        </wps:wsp>
                      </wpg:grpSp>
                    </wpg:wgp>
                  </a:graphicData>
                </a:graphic>
              </wp:inline>
            </w:drawing>
          </mc:Choice>
          <mc:Fallback>
            <w:pict>
              <v:group w14:anchorId="62AEC8A8" id="Group 63" o:spid="_x0000_s1026" style="width:423.35pt;height:276.4pt;mso-position-horizontal-relative:char;mso-position-vertical-relative:line" coordorigin="2197,4715" coordsize="8796,55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">
                <o:lock v:ext="edit" aspectratio="t"/>
                <v:group id="Group 7" o:spid="_x0000_s1027" style="position:absolute;left:4739;top:6910;width:6254;height:3226" coordorigin="3862,5489" coordsize="6254,3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">
                  <o:lock v:ext="edit" aspectratio="t"/>
                  <v:shapetype id="_x0000_t32" coordsize="21600,21600" o:spt="32" o:oned="t" path="m,l21600,21600e" filled="f">
                    <v:path arrowok="t" fillok="f" o:connecttype="none"/>
                    <o:lock v:ext="edit" shapetype="t"/>
                  </v:shapetype>
                  <v:shape id="AutoShape 8" o:spid="_x0000_s1028" type="#_x0000_t32" style="position:absolute;left:5378;top:5489;width:0;height:63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">
                    <v:stroke endarrow="block"/>
                    <o:lock v:ext="edit" aspectratio="t"/>
                  </v:shape>
                  <v:shape id="AutoShape 9" o:spid="_x0000_s1029" type="#_x0000_t32" style="position:absolute;left:5378;top:7005;width:0;height:122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">
                    <v:stroke endarrow="block"/>
                    <o:lock v:ext="edit" aspectratio="t"/>
                  </v:shape>
                  <v:shapetype id="_x0000_t109" coordsize="21600,21600" o:spt="109" path="m,l,21600r21600,l21600,xe">
                    <v:stroke joinstyle="miter"/>
                    <v:path gradientshapeok="t" o:connecttype="rect"/>
                  </v:shapetype>
                  <v:shape id="AutoShape 10" o:spid="_x0000_s1030" type="#_x0000_t109" style="position:absolute;left:7641;top:8275;width:2475;height: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">
                    <o:lock v:ext="edit" aspectratio="t"/>
                    <v:textbox>
                      <w:txbxContent>
                        <w:p w14:paraId="5A9D08FC" w14:textId="77777777" w:rsidR="005B3CE7" w:rsidRPr="00070704" w:rsidRDefault="005B3CE7" w:rsidP="00410716">
                          <w:pPr>
                            <w:spacing w:before="40" w:after="40"/>
                            <w:rPr>
                              <w:rFonts w:cs="Calibri"/>
                              <w:sz w:val="17"/>
                              <w:szCs w:val="17"/>
                            </w:rPr>
                          </w:pPr>
                          <w:r w:rsidRPr="00070704">
                            <w:rPr>
                              <w:rFonts w:cs="Calibri"/>
                              <w:sz w:val="17"/>
                              <w:szCs w:val="17"/>
                            </w:rPr>
                            <w:t>Mark area as deforested</w:t>
                          </w:r>
                        </w:p>
                      </w:txbxContent>
                    </v:textbox>
                  </v:shape>
                  <v:shape id="AutoShape 12" o:spid="_x0000_s1031" type="#_x0000_t109" style="position:absolute;left:7626;top:7337;width:2490;height: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">
                    <o:lock v:ext="edit" aspectratio="t"/>
                    <v:textbox>
                      <w:txbxContent>
                        <w:p w14:paraId="0B9B5D2B" w14:textId="77777777" w:rsidR="005B3CE7" w:rsidRPr="00070704" w:rsidRDefault="005B3CE7" w:rsidP="00410716">
                          <w:pPr>
                            <w:spacing w:before="40" w:after="40"/>
                            <w:rPr>
                              <w:rFonts w:cs="Calibri"/>
                              <w:sz w:val="17"/>
                              <w:szCs w:val="17"/>
                            </w:rPr>
                          </w:pPr>
                          <w:r w:rsidRPr="00070704">
                            <w:rPr>
                              <w:rFonts w:cs="Calibri"/>
                              <w:sz w:val="17"/>
                              <w:szCs w:val="17"/>
                            </w:rPr>
                            <w:t>Mark area as harvested</w:t>
                          </w:r>
                        </w:p>
                      </w:txbxContent>
                    </v:textbox>
                  </v:shape>
                  <v:shape id="AutoShape 13" o:spid="_x0000_s1032" type="#_x0000_t109" style="position:absolute;left:3862;top:6232;width:2985;height:6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">
                    <o:lock v:ext="edit" aspectratio="t"/>
                    <v:textbox>
                      <w:txbxContent>
                        <w:p w14:paraId="7AB5376F" w14:textId="77777777" w:rsidR="005B3CE7" w:rsidRPr="00070704" w:rsidRDefault="005B3CE7" w:rsidP="00410716">
                          <w:pPr>
                            <w:spacing w:before="40" w:after="40"/>
                            <w:jc w:val="center"/>
                            <w:rPr>
                              <w:rFonts w:cs="Calibri"/>
                              <w:sz w:val="17"/>
                              <w:szCs w:val="17"/>
                            </w:rPr>
                          </w:pPr>
                          <w:r w:rsidRPr="00070704">
                            <w:rPr>
                              <w:rFonts w:cs="Calibri"/>
                              <w:sz w:val="17"/>
                              <w:szCs w:val="17"/>
                            </w:rPr>
                            <w:t>Can current land use be confirmed?</w:t>
                          </w:r>
                        </w:p>
                      </w:txbxContent>
                    </v:textbox>
                  </v:shape>
                  <v:shape id="AutoShape 14" o:spid="_x0000_s1033" type="#_x0000_t109" style="position:absolute;left:5055;top:7388;width:615;height: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" stroked="f">
                    <o:lock v:ext="edit" aspectratio="t"/>
                    <v:textbox>
                      <w:txbxContent>
                        <w:p w14:paraId="04F0FFEF" w14:textId="77777777" w:rsidR="005B3CE7" w:rsidRPr="00070704" w:rsidRDefault="005B3CE7" w:rsidP="00410716">
                          <w:pPr>
                            <w:rPr>
                              <w:rFonts w:cs="Calibri"/>
                              <w:sz w:val="17"/>
                              <w:szCs w:val="17"/>
                            </w:rPr>
                          </w:pPr>
                          <w:r w:rsidRPr="00070704">
                            <w:rPr>
                              <w:rFonts w:cs="Calibri"/>
                              <w:sz w:val="17"/>
                              <w:szCs w:val="17"/>
                            </w:rPr>
                            <w:t>No</w:t>
                          </w:r>
                        </w:p>
                      </w:txbxContent>
                    </v:textbox>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15" o:spid="_x0000_s1034" type="#_x0000_t34" style="position:absolute;left:6555;top:6945;width:1071;height:614;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" adj="253">
                    <v:stroke endarrow="block"/>
                    <o:lock v:ext="edit" aspectratio="t"/>
                  </v:shape>
                  <v:shape id="AutoShape 16" o:spid="_x0000_s1035" type="#_x0000_t34" style="position:absolute;left:6555;top:7558;width:1086;height:936;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">
                    <v:stroke endarrow="block"/>
                    <o:lock v:ext="edit" aspectratio="t"/>
                  </v:shape>
                  <v:shape id="AutoShape 17" o:spid="_x0000_s1036" type="#_x0000_t109" style="position:absolute;left:6229;top:7128;width:753;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" stroked="f">
                    <o:lock v:ext="edit" aspectratio="t"/>
                    <v:textbox>
                      <w:txbxContent>
                        <w:p w14:paraId="40860738" w14:textId="77777777" w:rsidR="005B3CE7" w:rsidRPr="00070704" w:rsidRDefault="005B3CE7" w:rsidP="00410716">
                          <w:pPr>
                            <w:rPr>
                              <w:rFonts w:cs="Calibri"/>
                              <w:sz w:val="17"/>
                              <w:szCs w:val="17"/>
                            </w:rPr>
                          </w:pPr>
                          <w:r w:rsidRPr="00070704">
                            <w:rPr>
                              <w:rFonts w:cs="Calibri"/>
                              <w:sz w:val="17"/>
                              <w:szCs w:val="17"/>
                            </w:rPr>
                            <w:t>Yes</w:t>
                          </w:r>
                        </w:p>
                      </w:txbxContent>
                    </v:textbox>
                  </v:shape>
                </v:group>
                <v:shape id="AutoShape 27" o:spid="_x0000_s1037" type="#_x0000_t109" style="position:absolute;left:4927;top:9747;width:2625;height:5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">
                  <o:lock v:ext="edit" aspectratio="t"/>
                  <v:textbox>
                    <w:txbxContent>
                      <w:p w14:paraId="6DBC4960" w14:textId="77777777" w:rsidR="005B3CE7" w:rsidRPr="00070704" w:rsidRDefault="005B3CE7" w:rsidP="00410716">
                        <w:pPr>
                          <w:spacing w:before="40" w:after="40"/>
                          <w:jc w:val="center"/>
                          <w:rPr>
                            <w:rFonts w:cs="Calibri"/>
                            <w:sz w:val="17"/>
                            <w:szCs w:val="17"/>
                          </w:rPr>
                        </w:pPr>
                        <w:r w:rsidRPr="00070704">
                          <w:rPr>
                            <w:rFonts w:cs="Calibri"/>
                            <w:sz w:val="17"/>
                            <w:szCs w:val="17"/>
                          </w:rPr>
                          <w:t>Mark area as awaiting</w:t>
                        </w:r>
                      </w:p>
                    </w:txbxContent>
                  </v:textbox>
                </v:shape>
                <v:group id="Group 29" o:spid="_x0000_s1038" style="position:absolute;left:2197;top:4715;width:8091;height:2625" coordorigin="2197,4715" coordsize="8091,2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">
                  <o:lock v:ext="edit" aspectratio="t"/>
                  <v:shape id="AutoShape 30" o:spid="_x0000_s1039" type="#_x0000_t32" style="position:absolute;left:3577;top:6305;width:15;height:3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">
                    <v:stroke endarrow="block"/>
                    <o:lock v:ext="edit" aspectratio="t"/>
                  </v:shape>
                  <v:shape id="AutoShape 31" o:spid="_x0000_s1040" type="#_x0000_t32" style="position:absolute;left:3562;top:5194;width:15;height:3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">
                    <v:stroke endarrow="block"/>
                    <o:lock v:ext="edit" aspectratio="t"/>
                  </v:shape>
                  <v:shape id="AutoShape 32" o:spid="_x0000_s1041" type="#_x0000_t109" style="position:absolute;left:2212;top:5539;width:2805;height: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">
                    <o:lock v:ext="edit" aspectratio="t"/>
                    <v:textbox>
                      <w:txbxContent>
                        <w:p w14:paraId="22924581" w14:textId="77777777" w:rsidR="005B3CE7" w:rsidRPr="00C7607E" w:rsidRDefault="005B3CE7" w:rsidP="00410716">
                          <w:pPr>
                            <w:spacing w:before="40" w:after="40"/>
                            <w:jc w:val="center"/>
                            <w:rPr>
                              <w:rFonts w:cs="Calibri"/>
                              <w:sz w:val="17"/>
                              <w:szCs w:val="17"/>
                            </w:rPr>
                          </w:pPr>
                          <w:r w:rsidRPr="00C7607E">
                            <w:rPr>
                              <w:rFonts w:cs="Calibri"/>
                              <w:sz w:val="17"/>
                              <w:szCs w:val="17"/>
                            </w:rPr>
                            <w:t>Is the area harvested or deforested?</w:t>
                          </w:r>
                        </w:p>
                      </w:txbxContent>
                    </v:textbox>
                  </v:shape>
                  <v:shape id="AutoShape 33" o:spid="_x0000_s1042" type="#_x0000_t109" style="position:absolute;left:2227;top:6620;width:2805;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">
                    <o:lock v:ext="edit" aspectratio="t"/>
                    <v:textbox>
                      <w:txbxContent>
                        <w:p w14:paraId="546DE800" w14:textId="77777777" w:rsidR="005B3CE7" w:rsidRPr="00C7607E" w:rsidRDefault="005B3CE7" w:rsidP="00410716">
                          <w:pPr>
                            <w:spacing w:before="40" w:after="40"/>
                            <w:rPr>
                              <w:rFonts w:cs="Calibri"/>
                              <w:sz w:val="17"/>
                              <w:szCs w:val="17"/>
                            </w:rPr>
                          </w:pPr>
                          <w:r w:rsidRPr="00C7607E">
                            <w:rPr>
                              <w:rFonts w:cs="Calibri"/>
                              <w:sz w:val="17"/>
                              <w:szCs w:val="17"/>
                            </w:rPr>
                            <w:t>Look at all sources of information</w:t>
                          </w:r>
                        </w:p>
                      </w:txbxContent>
                    </v:textbox>
                  </v:shape>
                  <v:shape id="AutoShape 34" o:spid="_x0000_s1043" type="#_x0000_t109" style="position:absolute;left:5407;top:4715;width:4881;height:2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">
                    <o:lock v:ext="edit" aspectratio="t"/>
                    <v:textbox>
                      <w:txbxContent>
                        <w:p w14:paraId="5E47BF46" w14:textId="77777777" w:rsidR="005B3CE7" w:rsidRPr="00C7607E" w:rsidRDefault="005B3CE7" w:rsidP="00410716">
                          <w:pPr>
                            <w:spacing w:before="40" w:after="60"/>
                            <w:rPr>
                              <w:rFonts w:cs="Calibri"/>
                              <w:sz w:val="17"/>
                              <w:szCs w:val="17"/>
                            </w:rPr>
                          </w:pPr>
                          <w:r w:rsidRPr="00C7607E">
                            <w:rPr>
                              <w:rFonts w:cs="Calibri"/>
                              <w:sz w:val="17"/>
                              <w:szCs w:val="17"/>
                            </w:rPr>
                            <w:t>SOURCES OF INFORMATION</w:t>
                          </w:r>
                        </w:p>
                        <w:p w14:paraId="0181D758" w14:textId="77777777" w:rsidR="005B3CE7" w:rsidRPr="00C7607E" w:rsidRDefault="005B3CE7" w:rsidP="00410716">
                          <w:pPr>
                            <w:numPr>
                              <w:ilvl w:val="0"/>
                              <w:numId w:val="39"/>
                            </w:numPr>
                            <w:spacing w:after="20" w:line="276" w:lineRule="auto"/>
                            <w:ind w:left="284" w:hanging="284"/>
                            <w:rPr>
                              <w:rFonts w:cs="Calibri"/>
                              <w:sz w:val="17"/>
                              <w:szCs w:val="17"/>
                            </w:rPr>
                          </w:pPr>
                          <w:r w:rsidRPr="00C7607E">
                            <w:rPr>
                              <w:rFonts w:cs="Calibri"/>
                              <w:sz w:val="17"/>
                              <w:szCs w:val="17"/>
                            </w:rPr>
                            <w:t>Ministry for Primary Industries forestry schemes</w:t>
                          </w:r>
                        </w:p>
                        <w:p w14:paraId="6D2F088F" w14:textId="77777777" w:rsidR="005B3CE7" w:rsidRPr="00C7607E" w:rsidRDefault="005B3CE7" w:rsidP="00410716">
                          <w:pPr>
                            <w:numPr>
                              <w:ilvl w:val="0"/>
                              <w:numId w:val="39"/>
                            </w:numPr>
                            <w:spacing w:after="20" w:line="276" w:lineRule="auto"/>
                            <w:ind w:left="284" w:hanging="284"/>
                            <w:rPr>
                              <w:rFonts w:cs="Calibri"/>
                              <w:sz w:val="17"/>
                              <w:szCs w:val="17"/>
                            </w:rPr>
                          </w:pPr>
                          <w:r w:rsidRPr="00C7607E">
                            <w:rPr>
                              <w:rFonts w:cs="Calibri"/>
                              <w:sz w:val="17"/>
                              <w:szCs w:val="17"/>
                            </w:rPr>
                            <w:t>Ministry for Primary Industries compliance field teams</w:t>
                          </w:r>
                        </w:p>
                        <w:p w14:paraId="40683BA1" w14:textId="77777777" w:rsidR="005B3CE7" w:rsidRPr="00C7607E" w:rsidRDefault="005B3CE7" w:rsidP="00410716">
                          <w:pPr>
                            <w:numPr>
                              <w:ilvl w:val="0"/>
                              <w:numId w:val="39"/>
                            </w:numPr>
                            <w:spacing w:after="20" w:line="276" w:lineRule="auto"/>
                            <w:ind w:left="284" w:hanging="284"/>
                            <w:rPr>
                              <w:rFonts w:cs="Calibri"/>
                              <w:sz w:val="17"/>
                              <w:szCs w:val="17"/>
                            </w:rPr>
                          </w:pPr>
                          <w:r w:rsidRPr="00C7607E">
                            <w:rPr>
                              <w:rFonts w:cs="Calibri"/>
                              <w:sz w:val="17"/>
                              <w:szCs w:val="17"/>
                            </w:rPr>
                            <w:t>Forestry consultants</w:t>
                          </w:r>
                        </w:p>
                        <w:p w14:paraId="79C4613B" w14:textId="77777777" w:rsidR="005B3CE7" w:rsidRPr="00C7607E" w:rsidRDefault="005B3CE7" w:rsidP="00410716">
                          <w:pPr>
                            <w:numPr>
                              <w:ilvl w:val="0"/>
                              <w:numId w:val="39"/>
                            </w:numPr>
                            <w:spacing w:after="40" w:line="276" w:lineRule="auto"/>
                            <w:ind w:left="284" w:hanging="284"/>
                            <w:rPr>
                              <w:rFonts w:cs="Calibri"/>
                              <w:sz w:val="17"/>
                              <w:szCs w:val="17"/>
                            </w:rPr>
                          </w:pPr>
                          <w:r w:rsidRPr="00C7607E">
                            <w:rPr>
                              <w:rFonts w:cs="Calibri"/>
                              <w:sz w:val="17"/>
                              <w:szCs w:val="17"/>
                            </w:rPr>
                            <w:t>Vertical aerial photography</w:t>
                          </w:r>
                        </w:p>
                        <w:p w14:paraId="7DD31B27" w14:textId="77777777" w:rsidR="005B3CE7" w:rsidRPr="00C7607E" w:rsidRDefault="005B3CE7" w:rsidP="00410716">
                          <w:pPr>
                            <w:numPr>
                              <w:ilvl w:val="0"/>
                              <w:numId w:val="39"/>
                            </w:numPr>
                            <w:spacing w:after="40" w:line="276" w:lineRule="auto"/>
                            <w:ind w:left="284" w:hanging="284"/>
                            <w:rPr>
                              <w:rFonts w:cs="Calibri"/>
                              <w:sz w:val="17"/>
                              <w:szCs w:val="17"/>
                            </w:rPr>
                          </w:pPr>
                          <w:r w:rsidRPr="00C7607E">
                            <w:rPr>
                              <w:rFonts w:cs="Calibri"/>
                              <w:sz w:val="17"/>
                              <w:szCs w:val="17"/>
                            </w:rPr>
                            <w:t>Oblique aerial photography</w:t>
                          </w:r>
                        </w:p>
                        <w:p w14:paraId="26C597C9" w14:textId="77777777" w:rsidR="005B3CE7" w:rsidRPr="00C7607E" w:rsidRDefault="005B3CE7" w:rsidP="00410716">
                          <w:pPr>
                            <w:numPr>
                              <w:ilvl w:val="0"/>
                              <w:numId w:val="39"/>
                            </w:numPr>
                            <w:spacing w:after="40" w:line="276" w:lineRule="auto"/>
                            <w:ind w:left="284" w:hanging="284"/>
                            <w:rPr>
                              <w:rFonts w:cs="Calibri"/>
                              <w:sz w:val="17"/>
                              <w:szCs w:val="17"/>
                            </w:rPr>
                          </w:pPr>
                          <w:r w:rsidRPr="00C7607E">
                            <w:rPr>
                              <w:rFonts w:cs="Calibri"/>
                              <w:sz w:val="17"/>
                              <w:szCs w:val="17"/>
                            </w:rPr>
                            <w:t>Satellite imagery</w:t>
                          </w:r>
                        </w:p>
                      </w:txbxContent>
                    </v:textbox>
                  </v:shape>
                  <v:shape id="AutoShape 35" o:spid="_x0000_s1044" type="#_x0000_t32" style="position:absolute;left:5017;top:6910;width:40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">
                    <v:stroke endarrow="block"/>
                    <o:lock v:ext="edit" aspectratio="t"/>
                  </v:shape>
                  <v:shape id="AutoShape 36" o:spid="_x0000_s1045" type="#_x0000_t109" style="position:absolute;left:2197;top:4715;width:2805;height:4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">
                    <o:lock v:ext="edit" aspectratio="t"/>
                    <v:textbox>
                      <w:txbxContent>
                        <w:p w14:paraId="5543F013" w14:textId="77777777" w:rsidR="005B3CE7" w:rsidRPr="00C7607E" w:rsidRDefault="005B3CE7" w:rsidP="00410716">
                          <w:pPr>
                            <w:spacing w:before="40" w:after="40"/>
                            <w:jc w:val="center"/>
                            <w:rPr>
                              <w:rFonts w:cs="Calibri"/>
                              <w:sz w:val="17"/>
                              <w:szCs w:val="17"/>
                            </w:rPr>
                          </w:pPr>
                          <w:r w:rsidRPr="00C7607E">
                            <w:rPr>
                              <w:rFonts w:cs="Calibri"/>
                              <w:sz w:val="17"/>
                              <w:szCs w:val="17"/>
                            </w:rPr>
                            <w:t>Area mapped as destocked</w:t>
                          </w:r>
                        </w:p>
                        <w:p w14:paraId="2A5DF82C" w14:textId="77777777" w:rsidR="005B3CE7" w:rsidRPr="00C7607E" w:rsidRDefault="005B3CE7" w:rsidP="00410716">
                          <w:pPr>
                            <w:spacing w:before="40" w:after="40"/>
                            <w:rPr>
                              <w:rFonts w:cs="Calibri"/>
                              <w:sz w:val="17"/>
                              <w:szCs w:val="17"/>
                            </w:rPr>
                          </w:pPr>
                        </w:p>
                      </w:txbxContent>
                    </v:textbox>
                  </v:shape>
                </v:group>
                <w10:anchorlock/>
              </v:group>
            </w:pict>
          </mc:Fallback>
        </mc:AlternateContent>
      </w:r>
    </w:p>
    <w:p w14:paraId="5AC664C1" w14:textId="77777777" w:rsidR="00410716" w:rsidRPr="00BE78CA" w:rsidRDefault="00410716" w:rsidP="00410716">
      <w:pPr>
        <w:pStyle w:val="Heading3"/>
      </w:pPr>
      <w:bookmarkStart w:id="3566" w:name="_Toc261513300"/>
      <w:bookmarkStart w:id="3567" w:name="_Toc261513913"/>
      <w:bookmarkStart w:id="3568" w:name="_Toc280630403"/>
      <w:bookmarkStart w:id="3569" w:name="_Toc377043727"/>
      <w:bookmarkStart w:id="3570" w:name="_Toc400967265"/>
      <w:r w:rsidRPr="00BE78CA">
        <w:t xml:space="preserve">11.5.3 </w:t>
      </w:r>
      <w:r w:rsidRPr="00BE78CA">
        <w:tab/>
        <w:t>Distinction between afforestation and grassland with woody biomass</w:t>
      </w:r>
    </w:p>
    <w:p w14:paraId="0814377A" w14:textId="77777777" w:rsidR="00410716" w:rsidRPr="00BE78CA" w:rsidRDefault="00410716" w:rsidP="00410716">
      <w:pPr>
        <w:pStyle w:val="BodyText"/>
      </w:pPr>
      <w:r w:rsidRPr="00BE78CA">
        <w:t xml:space="preserve">For a shrubland area to be classed as post-1989 forest (and hence </w:t>
      </w:r>
      <w:r w:rsidRPr="00BE78CA">
        <w:rPr>
          <w:i/>
        </w:rPr>
        <w:t>Afforestation</w:t>
      </w:r>
      <w:r w:rsidRPr="00BE78CA">
        <w:t>), as opposed to grassland with woody biomass, it must meet a range of criteria including the forest definition criteria of having at least 30 per cent cover and being at least 1 hectare in size and 30 metres in width. It must also have the potential to reach 5 metres in height within a 30</w:t>
      </w:r>
      <w:r w:rsidRPr="00BE78CA">
        <w:noBreakHyphen/>
        <w:t xml:space="preserve"> to 40-year timeframe under current land management, and there must be evidence of intention for it do so.</w:t>
      </w:r>
    </w:p>
    <w:p w14:paraId="0AA1045D" w14:textId="77777777" w:rsidR="00410716" w:rsidRPr="00BE78CA" w:rsidRDefault="00410716" w:rsidP="00410716">
      <w:pPr>
        <w:pStyle w:val="BodyText"/>
        <w:spacing w:after="100"/>
      </w:pPr>
      <w:r w:rsidRPr="00BE78CA">
        <w:lastRenderedPageBreak/>
        <w:t>This potential to reach 5 metres, and evidence of intention, is determined using a range of ancillary data including:</w:t>
      </w:r>
    </w:p>
    <w:p w14:paraId="5E310A5F" w14:textId="77777777" w:rsidR="00410716" w:rsidRPr="00BE78CA" w:rsidRDefault="00410716" w:rsidP="00410716">
      <w:pPr>
        <w:pStyle w:val="Bullet"/>
        <w:numPr>
          <w:ilvl w:val="0"/>
          <w:numId w:val="25"/>
        </w:numPr>
        <w:spacing w:after="100"/>
      </w:pPr>
      <w:r w:rsidRPr="00BE78CA">
        <w:t>NZ ETS forest mapping – if an area has been accepted into the NZ ETS this is considered to be strong evidence of afforestation. The area will have been checked to verify establishment date and the potential of the area to grow to 5 metres in height. The fact that the land owner has entered the area in the NZ ETS is strong evidence of intention to afforest</w:t>
      </w:r>
    </w:p>
    <w:p w14:paraId="1A67CD42" w14:textId="77777777" w:rsidR="00410716" w:rsidRPr="00BE78CA" w:rsidRDefault="00410716" w:rsidP="00410716">
      <w:pPr>
        <w:pStyle w:val="Bullet"/>
        <w:numPr>
          <w:ilvl w:val="0"/>
          <w:numId w:val="25"/>
        </w:numPr>
        <w:spacing w:after="100"/>
      </w:pPr>
      <w:r w:rsidRPr="00BE78CA">
        <w:t>location with respect to the treeline – shrub species located below but within 225 vertical metres of the treeline are not considered to have the potential to reach 5 metres in height within the required timeframe (Newsome et al., 2011)</w:t>
      </w:r>
    </w:p>
    <w:p w14:paraId="1B3A224A" w14:textId="77777777" w:rsidR="00410716" w:rsidRPr="00BE78CA" w:rsidRDefault="00410716" w:rsidP="00410716">
      <w:pPr>
        <w:pStyle w:val="Bullet"/>
        <w:numPr>
          <w:ilvl w:val="0"/>
          <w:numId w:val="25"/>
        </w:numPr>
        <w:spacing w:after="100"/>
      </w:pPr>
      <w:r w:rsidRPr="00BE78CA">
        <w:t>environmental conditions – there are a range of environmental conditions that limit growth of shrub species in New Zealand. These include soil type, climatic conditions, geothermal activity and salt spray (Newsome et al., 2011). When a shrubland area falls within one of these zones of limitation, it is classed as grassland with woody biomass</w:t>
      </w:r>
    </w:p>
    <w:p w14:paraId="20422509" w14:textId="77777777" w:rsidR="00410716" w:rsidRPr="00BE78CA" w:rsidRDefault="00410716" w:rsidP="00410716">
      <w:pPr>
        <w:pStyle w:val="Bullet"/>
        <w:numPr>
          <w:ilvl w:val="0"/>
          <w:numId w:val="25"/>
        </w:numPr>
        <w:spacing w:after="100"/>
      </w:pPr>
      <w:r w:rsidRPr="00BE78CA">
        <w:t>geographical context – shrubland areas in a grazing context are unlikely to grow to 5 metres in height unless there is evidence of stock exclusion, such as a fence line or a change to steep terrain (gully or hill), which provides a natural barrier to stock.</w:t>
      </w:r>
    </w:p>
    <w:p w14:paraId="24938DEF" w14:textId="77777777" w:rsidR="00410716" w:rsidRPr="00BE78CA" w:rsidRDefault="00410716" w:rsidP="00410716">
      <w:pPr>
        <w:pStyle w:val="BodyText"/>
        <w:spacing w:after="100"/>
      </w:pPr>
      <w:r w:rsidRPr="00BE78CA">
        <w:t>The decision tree relating this classification of shrubland areas is described in the grassland with woody biomass section of the Satellite Imagery Interpretation Guide for Land-Use Classes (Ministry for the Environment, 2012).</w:t>
      </w:r>
    </w:p>
    <w:p w14:paraId="4BB8BE20" w14:textId="77777777" w:rsidR="00410716" w:rsidRPr="00BE78CA" w:rsidRDefault="00410716" w:rsidP="00410716">
      <w:pPr>
        <w:pStyle w:val="Heading3"/>
        <w:spacing w:before="280"/>
      </w:pPr>
      <w:r w:rsidRPr="00BE78CA">
        <w:t xml:space="preserve">11.5.4 </w:t>
      </w:r>
      <w:r w:rsidRPr="00BE78CA">
        <w:tab/>
        <w:t>Unclassified deforest</w:t>
      </w:r>
      <w:bookmarkEnd w:id="3566"/>
      <w:bookmarkEnd w:id="3567"/>
      <w:bookmarkEnd w:id="3568"/>
      <w:r w:rsidRPr="00BE78CA">
        <w:t>ation</w:t>
      </w:r>
      <w:bookmarkEnd w:id="3569"/>
      <w:bookmarkEnd w:id="3570"/>
    </w:p>
    <w:p w14:paraId="0962A33A" w14:textId="77777777" w:rsidR="00410716" w:rsidRPr="00BE78CA" w:rsidRDefault="00410716" w:rsidP="00410716">
      <w:pPr>
        <w:pStyle w:val="BodyText"/>
      </w:pPr>
      <w:r w:rsidRPr="00BE78CA">
        <w:t>The reporting guidelines under the Convention require that countries provide information on the size and geographical location of forest areas that have lost forest cover but that are not yet classified as deforested.</w:t>
      </w:r>
    </w:p>
    <w:p w14:paraId="281C9421" w14:textId="77777777" w:rsidR="00410716" w:rsidRPr="00BE78CA" w:rsidRDefault="00410716" w:rsidP="00410716">
      <w:pPr>
        <w:pStyle w:val="BodyText"/>
      </w:pPr>
      <w:r w:rsidRPr="00BE78CA">
        <w:t xml:space="preserve">To identify these areas, destocked land is mapped into three main classes: harvested, deforested and awaiting. The awaiting areas are those where there is no clear evidence to support harvesting (replanting activity, forestry context) or </w:t>
      </w:r>
      <w:r w:rsidRPr="00BE78CA">
        <w:rPr>
          <w:i/>
          <w:spacing w:val="-2"/>
        </w:rPr>
        <w:t>Deforestation</w:t>
      </w:r>
      <w:r w:rsidRPr="00BE78CA">
        <w:t xml:space="preserve"> (confirmed land-use change, such as pasture establishment, fences and stock). The areas are therefore awaiting a land use determination.</w:t>
      </w:r>
    </w:p>
    <w:p w14:paraId="6B6B8855" w14:textId="77777777" w:rsidR="00410716" w:rsidRPr="00BE78CA" w:rsidRDefault="00410716" w:rsidP="00410716">
      <w:pPr>
        <w:pStyle w:val="BodyText"/>
        <w:spacing w:before="100" w:after="100"/>
        <w:rPr>
          <w:spacing w:val="-2"/>
        </w:rPr>
      </w:pPr>
      <w:r w:rsidRPr="00BE78CA">
        <w:rPr>
          <w:spacing w:val="-2"/>
        </w:rPr>
        <w:t>Wall-to-wall mapping of harvested, deforested and awaiting areas was completed for 2008 to 2016. Each year, areas of awaiting land that have been destocked for more than four years are reviewed to determine whether deforestation or replanting has occurred. Where a recent imagery evidence source is available, these awaiting areas are reclassified as either harvested (where there is evidence of replanting) or deforested (where there is evidence of land</w:t>
      </w:r>
      <w:r w:rsidRPr="00BE78CA">
        <w:rPr>
          <w:spacing w:val="-2"/>
        </w:rPr>
        <w:noBreakHyphen/>
        <w:t xml:space="preserve">use change). </w:t>
      </w:r>
    </w:p>
    <w:p w14:paraId="175A169F" w14:textId="77777777" w:rsidR="00410716" w:rsidRPr="00BE78CA" w:rsidRDefault="00410716" w:rsidP="00410716">
      <w:pPr>
        <w:pStyle w:val="BodyText"/>
        <w:spacing w:before="80" w:after="100"/>
      </w:pPr>
      <w:r w:rsidRPr="00BE78CA">
        <w:t xml:space="preserve">Areas classed as awaiting land are still considered to be forested land until either evidence of land-use change is identified or four years have passed since destocking and the land is confirmed to be in a new land use (whichever comes first). This is consistent with section 2.6.2.1 of the Kyoto Protocol Supplement (IPCC, 2014a), which states that (p 82): </w:t>
      </w:r>
    </w:p>
    <w:p w14:paraId="7622A168" w14:textId="77777777" w:rsidR="00410716" w:rsidRPr="00BE78CA" w:rsidRDefault="00410716" w:rsidP="00410716">
      <w:pPr>
        <w:pStyle w:val="Quote"/>
        <w:spacing w:before="80" w:after="80"/>
      </w:pPr>
      <w:r w:rsidRPr="00BE78CA">
        <w:t>In the absence of land-use change (such as conversion to Cropland or construction of settlements) areas without tree cover are considered “forest” provided that the time since forest cover loss is shorter than the number of years within which tree establishment is expected.</w:t>
      </w:r>
    </w:p>
    <w:p w14:paraId="29971635" w14:textId="77777777" w:rsidR="00410716" w:rsidRPr="00BE78CA" w:rsidRDefault="00410716" w:rsidP="00410716">
      <w:pPr>
        <w:pStyle w:val="BodyText"/>
        <w:tabs>
          <w:tab w:val="left" w:pos="3544"/>
        </w:tabs>
        <w:spacing w:before="100" w:after="100"/>
      </w:pPr>
      <w:r w:rsidRPr="00BE78CA">
        <w:t>Estimates of the total areas of awaiting land for 2014 to 2016 are shown in table 11.5.1.</w:t>
      </w:r>
    </w:p>
    <w:p w14:paraId="243BB9CF" w14:textId="77777777" w:rsidR="00410716" w:rsidRPr="00BE78CA" w:rsidRDefault="00410716" w:rsidP="00410716">
      <w:pPr>
        <w:pStyle w:val="Table"/>
        <w:tabs>
          <w:tab w:val="left" w:pos="3544"/>
        </w:tabs>
      </w:pPr>
      <w:bookmarkStart w:id="3571" w:name="_Toc310423447"/>
      <w:bookmarkStart w:id="3572" w:name="_Toc318362741"/>
      <w:bookmarkStart w:id="3573" w:name="_Toc342470820"/>
      <w:bookmarkStart w:id="3574" w:name="_Toc352505073"/>
      <w:bookmarkStart w:id="3575" w:name="_Toc377043709"/>
      <w:bookmarkStart w:id="3576" w:name="_Toc391023561"/>
      <w:bookmarkStart w:id="3577" w:name="_Toc414531534"/>
      <w:bookmarkStart w:id="3578" w:name="_Toc456179113"/>
      <w:bookmarkStart w:id="3579" w:name="_Toc481751638"/>
      <w:bookmarkStart w:id="3580" w:name="_Toc522010665"/>
      <w:bookmarkStart w:id="3581" w:name="_Toc5269636"/>
      <w:bookmarkStart w:id="3582" w:name="_Toc36224719"/>
      <w:bookmarkStart w:id="3583" w:name="_Toc64987054"/>
      <w:bookmarkStart w:id="3584" w:name="_Toc68786604"/>
      <w:r w:rsidRPr="00BE78CA">
        <w:lastRenderedPageBreak/>
        <w:t xml:space="preserve">Table 11.5.1 </w:t>
      </w:r>
      <w:r w:rsidRPr="00BE78CA">
        <w:tab/>
        <w:t>Estimate of land destocked in New Zealand between 2014 and 2016 awaiting</w:t>
      </w:r>
      <w:r w:rsidRPr="00BE78CA">
        <w:br/>
        <w:t>a land use determination</w:t>
      </w:r>
      <w:bookmarkEnd w:id="3571"/>
      <w:bookmarkEnd w:id="3572"/>
      <w:bookmarkEnd w:id="3573"/>
      <w:bookmarkEnd w:id="3574"/>
      <w:bookmarkEnd w:id="3575"/>
      <w:bookmarkEnd w:id="3576"/>
      <w:bookmarkEnd w:id="3577"/>
      <w:bookmarkEnd w:id="3578"/>
      <w:bookmarkEnd w:id="3579"/>
      <w:bookmarkEnd w:id="3580"/>
      <w:bookmarkEnd w:id="3581"/>
      <w:bookmarkEnd w:id="3582"/>
      <w:bookmarkEnd w:id="3583"/>
      <w:bookmarkEnd w:id="3584"/>
    </w:p>
    <w:tbl>
      <w:tblPr>
        <w:tblW w:w="8505" w:type="dxa"/>
        <w:tblBorders>
          <w:top w:val="single" w:sz="8" w:space="0" w:color="1F497D"/>
          <w:bottom w:val="single" w:sz="8" w:space="0" w:color="1F497D"/>
          <w:insideH w:val="single" w:sz="8" w:space="0" w:color="1F497D"/>
        </w:tblBorders>
        <w:tblLayout w:type="fixed"/>
        <w:tblLook w:val="04A0" w:firstRow="1" w:lastRow="0" w:firstColumn="1" w:lastColumn="0" w:noHBand="0" w:noVBand="1"/>
      </w:tblPr>
      <w:tblGrid>
        <w:gridCol w:w="1260"/>
        <w:gridCol w:w="1960"/>
        <w:gridCol w:w="2112"/>
        <w:gridCol w:w="1810"/>
        <w:gridCol w:w="1363"/>
      </w:tblGrid>
      <w:tr w:rsidR="00410716" w:rsidRPr="00BE78CA" w14:paraId="4DFEEBF3" w14:textId="77777777" w:rsidTr="0017730F">
        <w:tc>
          <w:tcPr>
            <w:tcW w:w="1260" w:type="dxa"/>
            <w:tcBorders>
              <w:top w:val="single" w:sz="4" w:space="0" w:color="365F91"/>
              <w:bottom w:val="single" w:sz="4" w:space="0" w:color="365F91"/>
            </w:tcBorders>
            <w:shd w:val="clear" w:color="auto" w:fill="365F91"/>
            <w:vAlign w:val="bottom"/>
          </w:tcPr>
          <w:p w14:paraId="225409C6" w14:textId="77777777" w:rsidR="00410716" w:rsidRPr="00BE78CA" w:rsidRDefault="00410716" w:rsidP="00C26084">
            <w:pPr>
              <w:pStyle w:val="TableTextBold"/>
              <w:keepNext/>
              <w:tabs>
                <w:tab w:val="left" w:pos="3544"/>
              </w:tabs>
              <w:spacing w:before="50" w:after="50"/>
              <w:jc w:val="center"/>
              <w:rPr>
                <w:bCs/>
                <w:noProof w:val="0"/>
                <w:color w:val="FFFFFF"/>
                <w:szCs w:val="16"/>
              </w:rPr>
            </w:pPr>
            <w:r w:rsidRPr="00BE78CA">
              <w:rPr>
                <w:bCs/>
                <w:noProof w:val="0"/>
                <w:color w:val="FFFFFF"/>
                <w:szCs w:val="16"/>
              </w:rPr>
              <w:t>Year of destocking</w:t>
            </w:r>
          </w:p>
        </w:tc>
        <w:tc>
          <w:tcPr>
            <w:tcW w:w="1960" w:type="dxa"/>
            <w:tcBorders>
              <w:top w:val="single" w:sz="4" w:space="0" w:color="365F91"/>
              <w:bottom w:val="single" w:sz="4" w:space="0" w:color="365F91"/>
            </w:tcBorders>
            <w:shd w:val="clear" w:color="auto" w:fill="365F91"/>
            <w:vAlign w:val="bottom"/>
            <w:hideMark/>
          </w:tcPr>
          <w:p w14:paraId="0D07C707" w14:textId="77777777" w:rsidR="00410716" w:rsidRPr="00BE78CA" w:rsidRDefault="00410716" w:rsidP="00C26084">
            <w:pPr>
              <w:pStyle w:val="TableTextBold"/>
              <w:keepNext/>
              <w:tabs>
                <w:tab w:val="left" w:pos="3544"/>
              </w:tabs>
              <w:spacing w:before="50" w:after="50"/>
              <w:jc w:val="center"/>
              <w:rPr>
                <w:bCs/>
                <w:noProof w:val="0"/>
                <w:color w:val="FFFFFF"/>
                <w:szCs w:val="16"/>
              </w:rPr>
            </w:pPr>
            <w:r w:rsidRPr="00BE78CA">
              <w:rPr>
                <w:bCs/>
                <w:noProof w:val="0"/>
                <w:color w:val="FFFFFF"/>
                <w:szCs w:val="16"/>
              </w:rPr>
              <w:t xml:space="preserve">Pre-1990 natural forest </w:t>
            </w:r>
            <w:r w:rsidRPr="00BE78CA">
              <w:rPr>
                <w:bCs/>
                <w:noProof w:val="0"/>
                <w:color w:val="FFFFFF"/>
                <w:szCs w:val="16"/>
              </w:rPr>
              <w:br/>
              <w:t>(ha)</w:t>
            </w:r>
          </w:p>
        </w:tc>
        <w:tc>
          <w:tcPr>
            <w:tcW w:w="2112" w:type="dxa"/>
            <w:tcBorders>
              <w:top w:val="single" w:sz="4" w:space="0" w:color="365F91"/>
              <w:bottom w:val="single" w:sz="4" w:space="0" w:color="365F91"/>
            </w:tcBorders>
            <w:shd w:val="clear" w:color="auto" w:fill="365F91"/>
            <w:vAlign w:val="bottom"/>
            <w:hideMark/>
          </w:tcPr>
          <w:p w14:paraId="7E6AFFB3" w14:textId="77777777" w:rsidR="00410716" w:rsidRPr="00BE78CA" w:rsidRDefault="00410716" w:rsidP="00C26084">
            <w:pPr>
              <w:pStyle w:val="TableTextBold"/>
              <w:keepNext/>
              <w:tabs>
                <w:tab w:val="left" w:pos="3544"/>
              </w:tabs>
              <w:spacing w:before="50" w:after="50"/>
              <w:jc w:val="center"/>
              <w:rPr>
                <w:bCs/>
                <w:noProof w:val="0"/>
                <w:color w:val="FFFFFF"/>
                <w:szCs w:val="16"/>
              </w:rPr>
            </w:pPr>
            <w:r w:rsidRPr="00BE78CA">
              <w:rPr>
                <w:bCs/>
                <w:noProof w:val="0"/>
                <w:color w:val="FFFFFF"/>
                <w:szCs w:val="16"/>
              </w:rPr>
              <w:t xml:space="preserve">Pre-1990 planted forest </w:t>
            </w:r>
            <w:r w:rsidRPr="00BE78CA">
              <w:rPr>
                <w:bCs/>
                <w:noProof w:val="0"/>
                <w:color w:val="FFFFFF"/>
                <w:szCs w:val="16"/>
              </w:rPr>
              <w:br/>
              <w:t>(ha)</w:t>
            </w:r>
          </w:p>
        </w:tc>
        <w:tc>
          <w:tcPr>
            <w:tcW w:w="1810" w:type="dxa"/>
            <w:tcBorders>
              <w:top w:val="single" w:sz="4" w:space="0" w:color="365F91"/>
              <w:bottom w:val="single" w:sz="4" w:space="0" w:color="365F91"/>
            </w:tcBorders>
            <w:shd w:val="clear" w:color="auto" w:fill="365F91"/>
            <w:vAlign w:val="bottom"/>
          </w:tcPr>
          <w:p w14:paraId="69E08404" w14:textId="77777777" w:rsidR="00410716" w:rsidRPr="00BE78CA" w:rsidRDefault="00410716" w:rsidP="00C26084">
            <w:pPr>
              <w:pStyle w:val="TableTextBold"/>
              <w:keepNext/>
              <w:tabs>
                <w:tab w:val="left" w:pos="3544"/>
              </w:tabs>
              <w:spacing w:before="50" w:after="50"/>
              <w:jc w:val="center"/>
              <w:rPr>
                <w:bCs/>
                <w:noProof w:val="0"/>
                <w:color w:val="FFFFFF"/>
                <w:szCs w:val="16"/>
              </w:rPr>
            </w:pPr>
            <w:r w:rsidRPr="00BE78CA">
              <w:rPr>
                <w:bCs/>
                <w:noProof w:val="0"/>
                <w:color w:val="FFFFFF"/>
                <w:szCs w:val="16"/>
              </w:rPr>
              <w:t>Post-1989 forest</w:t>
            </w:r>
            <w:r w:rsidRPr="00BE78CA">
              <w:rPr>
                <w:bCs/>
                <w:noProof w:val="0"/>
                <w:color w:val="FFFFFF"/>
                <w:szCs w:val="16"/>
              </w:rPr>
              <w:br/>
              <w:t>(ha)</w:t>
            </w:r>
          </w:p>
        </w:tc>
        <w:tc>
          <w:tcPr>
            <w:tcW w:w="1363" w:type="dxa"/>
            <w:tcBorders>
              <w:top w:val="single" w:sz="4" w:space="0" w:color="365F91"/>
              <w:bottom w:val="single" w:sz="4" w:space="0" w:color="365F91"/>
            </w:tcBorders>
            <w:shd w:val="clear" w:color="auto" w:fill="365F91"/>
            <w:vAlign w:val="bottom"/>
            <w:hideMark/>
          </w:tcPr>
          <w:p w14:paraId="65356F62" w14:textId="77777777" w:rsidR="00410716" w:rsidRPr="00BE78CA" w:rsidRDefault="00410716" w:rsidP="00C26084">
            <w:pPr>
              <w:pStyle w:val="TableTextBold"/>
              <w:keepNext/>
              <w:tabs>
                <w:tab w:val="left" w:pos="3544"/>
              </w:tabs>
              <w:spacing w:before="50" w:after="50"/>
              <w:jc w:val="center"/>
              <w:rPr>
                <w:bCs/>
                <w:noProof w:val="0"/>
                <w:color w:val="FFFFFF"/>
                <w:szCs w:val="16"/>
              </w:rPr>
            </w:pPr>
            <w:r w:rsidRPr="00BE78CA">
              <w:rPr>
                <w:bCs/>
                <w:noProof w:val="0"/>
                <w:color w:val="FFFFFF"/>
                <w:szCs w:val="16"/>
              </w:rPr>
              <w:t>Total</w:t>
            </w:r>
            <w:r w:rsidRPr="00BE78CA">
              <w:rPr>
                <w:bCs/>
                <w:noProof w:val="0"/>
                <w:color w:val="FFFFFF"/>
                <w:szCs w:val="16"/>
              </w:rPr>
              <w:br/>
              <w:t>(ha)</w:t>
            </w:r>
          </w:p>
        </w:tc>
      </w:tr>
      <w:tr w:rsidR="00410716" w:rsidRPr="00BE78CA" w14:paraId="754EBF40" w14:textId="77777777" w:rsidTr="0017730F">
        <w:tc>
          <w:tcPr>
            <w:tcW w:w="1260" w:type="dxa"/>
            <w:tcBorders>
              <w:top w:val="single" w:sz="4" w:space="0" w:color="365F91"/>
              <w:left w:val="nil"/>
              <w:bottom w:val="single" w:sz="4" w:space="0" w:color="365F91"/>
            </w:tcBorders>
          </w:tcPr>
          <w:p w14:paraId="47AEB1F4" w14:textId="77777777" w:rsidR="00410716" w:rsidRPr="00BE78CA" w:rsidRDefault="00410716" w:rsidP="00C26084">
            <w:pPr>
              <w:pStyle w:val="TableText"/>
              <w:keepNext/>
              <w:tabs>
                <w:tab w:val="left" w:pos="3544"/>
              </w:tabs>
              <w:spacing w:before="50" w:after="50"/>
              <w:jc w:val="center"/>
              <w:rPr>
                <w:szCs w:val="16"/>
              </w:rPr>
            </w:pPr>
            <w:r w:rsidRPr="00BE78CA">
              <w:rPr>
                <w:szCs w:val="16"/>
              </w:rPr>
              <w:t>2014</w:t>
            </w:r>
          </w:p>
        </w:tc>
        <w:tc>
          <w:tcPr>
            <w:tcW w:w="1960" w:type="dxa"/>
            <w:tcBorders>
              <w:top w:val="single" w:sz="4" w:space="0" w:color="365F91"/>
              <w:left w:val="nil"/>
              <w:bottom w:val="single" w:sz="4" w:space="0" w:color="365F91"/>
            </w:tcBorders>
            <w:shd w:val="clear" w:color="auto" w:fill="auto"/>
            <w:noWrap/>
            <w:vAlign w:val="center"/>
            <w:hideMark/>
          </w:tcPr>
          <w:p w14:paraId="13EDADF7" w14:textId="77777777" w:rsidR="00410716" w:rsidRPr="00BE78CA" w:rsidRDefault="00410716" w:rsidP="00C26084">
            <w:pPr>
              <w:pStyle w:val="TableText"/>
              <w:keepNext/>
              <w:tabs>
                <w:tab w:val="left" w:pos="3544"/>
              </w:tabs>
              <w:spacing w:before="50" w:after="50"/>
              <w:jc w:val="center"/>
              <w:rPr>
                <w:bCs/>
                <w:szCs w:val="16"/>
              </w:rPr>
            </w:pPr>
            <w:r w:rsidRPr="00BE78CA">
              <w:rPr>
                <w:szCs w:val="16"/>
              </w:rPr>
              <w:t>243</w:t>
            </w:r>
          </w:p>
        </w:tc>
        <w:tc>
          <w:tcPr>
            <w:tcW w:w="2112" w:type="dxa"/>
            <w:tcBorders>
              <w:top w:val="single" w:sz="4" w:space="0" w:color="365F91"/>
              <w:bottom w:val="single" w:sz="4" w:space="0" w:color="365F91"/>
            </w:tcBorders>
            <w:shd w:val="clear" w:color="auto" w:fill="auto"/>
            <w:noWrap/>
            <w:vAlign w:val="center"/>
            <w:hideMark/>
          </w:tcPr>
          <w:p w14:paraId="2037ABC8" w14:textId="77777777" w:rsidR="00410716" w:rsidRPr="00BE78CA" w:rsidRDefault="00410716" w:rsidP="00C26084">
            <w:pPr>
              <w:pStyle w:val="TableText"/>
              <w:keepNext/>
              <w:tabs>
                <w:tab w:val="left" w:pos="3544"/>
              </w:tabs>
              <w:spacing w:before="50" w:after="50"/>
              <w:jc w:val="center"/>
              <w:rPr>
                <w:szCs w:val="16"/>
              </w:rPr>
            </w:pPr>
            <w:r w:rsidRPr="00BE78CA">
              <w:rPr>
                <w:szCs w:val="16"/>
              </w:rPr>
              <w:t>2,669</w:t>
            </w:r>
          </w:p>
        </w:tc>
        <w:tc>
          <w:tcPr>
            <w:tcW w:w="1810" w:type="dxa"/>
            <w:tcBorders>
              <w:top w:val="single" w:sz="4" w:space="0" w:color="365F91"/>
              <w:bottom w:val="single" w:sz="4" w:space="0" w:color="365F91"/>
            </w:tcBorders>
            <w:shd w:val="clear" w:color="auto" w:fill="auto"/>
            <w:vAlign w:val="center"/>
          </w:tcPr>
          <w:p w14:paraId="12C5E356" w14:textId="77777777" w:rsidR="00410716" w:rsidRPr="00BE78CA" w:rsidRDefault="00410716" w:rsidP="00C26084">
            <w:pPr>
              <w:pStyle w:val="TableText"/>
              <w:keepNext/>
              <w:tabs>
                <w:tab w:val="left" w:pos="3544"/>
              </w:tabs>
              <w:spacing w:before="50" w:after="50"/>
              <w:jc w:val="center"/>
              <w:rPr>
                <w:szCs w:val="16"/>
              </w:rPr>
            </w:pPr>
            <w:r w:rsidRPr="00BE78CA">
              <w:rPr>
                <w:szCs w:val="16"/>
              </w:rPr>
              <w:t>1,633</w:t>
            </w:r>
          </w:p>
        </w:tc>
        <w:tc>
          <w:tcPr>
            <w:tcW w:w="1363" w:type="dxa"/>
            <w:tcBorders>
              <w:top w:val="single" w:sz="4" w:space="0" w:color="365F91"/>
              <w:bottom w:val="single" w:sz="4" w:space="0" w:color="365F91"/>
              <w:right w:val="nil"/>
            </w:tcBorders>
            <w:shd w:val="clear" w:color="auto" w:fill="auto"/>
            <w:noWrap/>
            <w:vAlign w:val="center"/>
            <w:hideMark/>
          </w:tcPr>
          <w:p w14:paraId="4CAF1F40" w14:textId="77777777" w:rsidR="00410716" w:rsidRPr="00BE78CA" w:rsidRDefault="00410716" w:rsidP="00C26084">
            <w:pPr>
              <w:pStyle w:val="TableText"/>
              <w:keepNext/>
              <w:tabs>
                <w:tab w:val="left" w:pos="3544"/>
              </w:tabs>
              <w:spacing w:before="50" w:after="50"/>
              <w:jc w:val="center"/>
              <w:rPr>
                <w:szCs w:val="16"/>
              </w:rPr>
            </w:pPr>
            <w:r w:rsidRPr="00BE78CA">
              <w:rPr>
                <w:szCs w:val="16"/>
              </w:rPr>
              <w:t>4,545</w:t>
            </w:r>
          </w:p>
        </w:tc>
      </w:tr>
      <w:tr w:rsidR="00410716" w:rsidRPr="00BE78CA" w14:paraId="207CFCE1" w14:textId="77777777" w:rsidTr="0017730F">
        <w:tc>
          <w:tcPr>
            <w:tcW w:w="1260" w:type="dxa"/>
            <w:tcBorders>
              <w:top w:val="single" w:sz="4" w:space="0" w:color="365F91"/>
              <w:left w:val="nil"/>
              <w:bottom w:val="single" w:sz="4" w:space="0" w:color="365F91"/>
            </w:tcBorders>
          </w:tcPr>
          <w:p w14:paraId="690BF4C1" w14:textId="77777777" w:rsidR="00410716" w:rsidRPr="00BE78CA" w:rsidRDefault="00410716" w:rsidP="00C26084">
            <w:pPr>
              <w:pStyle w:val="TableText"/>
              <w:tabs>
                <w:tab w:val="left" w:pos="3544"/>
              </w:tabs>
              <w:spacing w:before="50" w:after="50"/>
              <w:jc w:val="center"/>
              <w:rPr>
                <w:szCs w:val="16"/>
              </w:rPr>
            </w:pPr>
            <w:r w:rsidRPr="00BE78CA">
              <w:rPr>
                <w:szCs w:val="16"/>
              </w:rPr>
              <w:t>2015</w:t>
            </w:r>
          </w:p>
        </w:tc>
        <w:tc>
          <w:tcPr>
            <w:tcW w:w="1960" w:type="dxa"/>
            <w:tcBorders>
              <w:top w:val="single" w:sz="4" w:space="0" w:color="365F91"/>
              <w:left w:val="nil"/>
              <w:bottom w:val="single" w:sz="4" w:space="0" w:color="365F91"/>
            </w:tcBorders>
            <w:shd w:val="clear" w:color="auto" w:fill="auto"/>
            <w:noWrap/>
            <w:vAlign w:val="center"/>
          </w:tcPr>
          <w:p w14:paraId="0AB98FB8" w14:textId="77777777" w:rsidR="00410716" w:rsidRPr="00BE78CA" w:rsidDel="009F7DF9" w:rsidRDefault="00410716" w:rsidP="00C26084">
            <w:pPr>
              <w:pStyle w:val="TableText"/>
              <w:tabs>
                <w:tab w:val="left" w:pos="3544"/>
              </w:tabs>
              <w:spacing w:before="50" w:after="50"/>
              <w:jc w:val="center"/>
              <w:rPr>
                <w:szCs w:val="16"/>
              </w:rPr>
            </w:pPr>
            <w:r w:rsidRPr="00BE78CA">
              <w:rPr>
                <w:szCs w:val="16"/>
              </w:rPr>
              <w:t>565</w:t>
            </w:r>
          </w:p>
        </w:tc>
        <w:tc>
          <w:tcPr>
            <w:tcW w:w="2112" w:type="dxa"/>
            <w:tcBorders>
              <w:top w:val="single" w:sz="4" w:space="0" w:color="365F91"/>
              <w:bottom w:val="single" w:sz="4" w:space="0" w:color="365F91"/>
            </w:tcBorders>
            <w:shd w:val="clear" w:color="auto" w:fill="auto"/>
            <w:noWrap/>
            <w:vAlign w:val="center"/>
          </w:tcPr>
          <w:p w14:paraId="0BCB4623" w14:textId="77777777" w:rsidR="00410716" w:rsidRPr="00BE78CA" w:rsidDel="009F7DF9" w:rsidRDefault="00410716" w:rsidP="00C26084">
            <w:pPr>
              <w:pStyle w:val="TableText"/>
              <w:tabs>
                <w:tab w:val="left" w:pos="3544"/>
              </w:tabs>
              <w:spacing w:before="50" w:after="50"/>
              <w:jc w:val="center"/>
              <w:rPr>
                <w:szCs w:val="16"/>
              </w:rPr>
            </w:pPr>
            <w:r w:rsidRPr="00BE78CA">
              <w:rPr>
                <w:szCs w:val="16"/>
              </w:rPr>
              <w:t>2,933</w:t>
            </w:r>
          </w:p>
        </w:tc>
        <w:tc>
          <w:tcPr>
            <w:tcW w:w="1810" w:type="dxa"/>
            <w:tcBorders>
              <w:top w:val="single" w:sz="4" w:space="0" w:color="365F91"/>
              <w:bottom w:val="single" w:sz="4" w:space="0" w:color="365F91"/>
            </w:tcBorders>
            <w:shd w:val="clear" w:color="auto" w:fill="auto"/>
            <w:vAlign w:val="center"/>
          </w:tcPr>
          <w:p w14:paraId="104E5A59" w14:textId="77777777" w:rsidR="00410716" w:rsidRPr="00BE78CA" w:rsidDel="009F7DF9" w:rsidRDefault="00410716" w:rsidP="00C26084">
            <w:pPr>
              <w:pStyle w:val="TableText"/>
              <w:tabs>
                <w:tab w:val="left" w:pos="3544"/>
              </w:tabs>
              <w:spacing w:before="50" w:after="50"/>
              <w:jc w:val="center"/>
              <w:rPr>
                <w:szCs w:val="16"/>
              </w:rPr>
            </w:pPr>
            <w:r w:rsidRPr="00BE78CA">
              <w:rPr>
                <w:szCs w:val="16"/>
              </w:rPr>
              <w:t>1,291</w:t>
            </w:r>
          </w:p>
        </w:tc>
        <w:tc>
          <w:tcPr>
            <w:tcW w:w="1363" w:type="dxa"/>
            <w:tcBorders>
              <w:top w:val="single" w:sz="4" w:space="0" w:color="365F91"/>
              <w:bottom w:val="single" w:sz="4" w:space="0" w:color="365F91"/>
              <w:right w:val="nil"/>
            </w:tcBorders>
            <w:shd w:val="clear" w:color="auto" w:fill="auto"/>
            <w:noWrap/>
            <w:vAlign w:val="center"/>
          </w:tcPr>
          <w:p w14:paraId="28ECD390" w14:textId="77777777" w:rsidR="00410716" w:rsidRPr="00BE78CA" w:rsidDel="009F7DF9" w:rsidRDefault="00410716" w:rsidP="00C26084">
            <w:pPr>
              <w:pStyle w:val="TableText"/>
              <w:tabs>
                <w:tab w:val="left" w:pos="3544"/>
              </w:tabs>
              <w:spacing w:before="50" w:after="50"/>
              <w:jc w:val="center"/>
              <w:rPr>
                <w:szCs w:val="16"/>
              </w:rPr>
            </w:pPr>
            <w:r w:rsidRPr="00BE78CA">
              <w:rPr>
                <w:szCs w:val="16"/>
              </w:rPr>
              <w:t>4,789</w:t>
            </w:r>
          </w:p>
        </w:tc>
      </w:tr>
      <w:tr w:rsidR="00410716" w:rsidRPr="00BE78CA" w14:paraId="4785E74A" w14:textId="77777777" w:rsidTr="0017730F">
        <w:tc>
          <w:tcPr>
            <w:tcW w:w="1260" w:type="dxa"/>
            <w:tcBorders>
              <w:top w:val="single" w:sz="4" w:space="0" w:color="365F91"/>
              <w:left w:val="nil"/>
              <w:bottom w:val="single" w:sz="4" w:space="0" w:color="365F91"/>
            </w:tcBorders>
          </w:tcPr>
          <w:p w14:paraId="75FDF4BD" w14:textId="77777777" w:rsidR="00410716" w:rsidRPr="00BE78CA" w:rsidRDefault="00410716" w:rsidP="00C26084">
            <w:pPr>
              <w:pStyle w:val="TableText"/>
              <w:tabs>
                <w:tab w:val="left" w:pos="3544"/>
              </w:tabs>
              <w:spacing w:before="50" w:after="50"/>
              <w:jc w:val="center"/>
              <w:rPr>
                <w:szCs w:val="16"/>
              </w:rPr>
            </w:pPr>
            <w:r w:rsidRPr="00BE78CA">
              <w:rPr>
                <w:szCs w:val="16"/>
              </w:rPr>
              <w:t>2016</w:t>
            </w:r>
          </w:p>
        </w:tc>
        <w:tc>
          <w:tcPr>
            <w:tcW w:w="1960" w:type="dxa"/>
            <w:tcBorders>
              <w:top w:val="single" w:sz="4" w:space="0" w:color="365F91"/>
              <w:left w:val="nil"/>
              <w:bottom w:val="single" w:sz="4" w:space="0" w:color="365F91"/>
            </w:tcBorders>
            <w:shd w:val="clear" w:color="auto" w:fill="auto"/>
            <w:noWrap/>
            <w:vAlign w:val="center"/>
          </w:tcPr>
          <w:p w14:paraId="2AA2EEEC" w14:textId="77777777" w:rsidR="00410716" w:rsidRPr="00BE78CA" w:rsidDel="009F7DF9" w:rsidRDefault="00410716" w:rsidP="00C26084">
            <w:pPr>
              <w:pStyle w:val="TableText"/>
              <w:tabs>
                <w:tab w:val="left" w:pos="3544"/>
              </w:tabs>
              <w:spacing w:before="50" w:after="50"/>
              <w:jc w:val="center"/>
              <w:rPr>
                <w:szCs w:val="16"/>
              </w:rPr>
            </w:pPr>
            <w:r w:rsidRPr="00BE78CA">
              <w:rPr>
                <w:szCs w:val="16"/>
              </w:rPr>
              <w:t>760</w:t>
            </w:r>
          </w:p>
        </w:tc>
        <w:tc>
          <w:tcPr>
            <w:tcW w:w="2112" w:type="dxa"/>
            <w:tcBorders>
              <w:top w:val="single" w:sz="4" w:space="0" w:color="365F91"/>
              <w:bottom w:val="single" w:sz="4" w:space="0" w:color="365F91"/>
            </w:tcBorders>
            <w:shd w:val="clear" w:color="auto" w:fill="auto"/>
            <w:noWrap/>
            <w:vAlign w:val="center"/>
          </w:tcPr>
          <w:p w14:paraId="47B49BBE" w14:textId="77777777" w:rsidR="00410716" w:rsidRPr="00BE78CA" w:rsidDel="009F7DF9" w:rsidRDefault="00410716" w:rsidP="00C26084">
            <w:pPr>
              <w:pStyle w:val="TableText"/>
              <w:tabs>
                <w:tab w:val="left" w:pos="3544"/>
              </w:tabs>
              <w:spacing w:before="50" w:after="50"/>
              <w:jc w:val="center"/>
              <w:rPr>
                <w:szCs w:val="16"/>
              </w:rPr>
            </w:pPr>
            <w:r w:rsidRPr="00BE78CA">
              <w:rPr>
                <w:szCs w:val="16"/>
              </w:rPr>
              <w:t>5,812</w:t>
            </w:r>
          </w:p>
        </w:tc>
        <w:tc>
          <w:tcPr>
            <w:tcW w:w="1810" w:type="dxa"/>
            <w:tcBorders>
              <w:top w:val="single" w:sz="4" w:space="0" w:color="365F91"/>
              <w:bottom w:val="single" w:sz="4" w:space="0" w:color="365F91"/>
            </w:tcBorders>
            <w:shd w:val="clear" w:color="auto" w:fill="auto"/>
            <w:vAlign w:val="center"/>
          </w:tcPr>
          <w:p w14:paraId="76C790DA" w14:textId="77777777" w:rsidR="00410716" w:rsidRPr="00BE78CA" w:rsidDel="009F7DF9" w:rsidRDefault="00410716" w:rsidP="00C26084">
            <w:pPr>
              <w:pStyle w:val="TableText"/>
              <w:tabs>
                <w:tab w:val="left" w:pos="3544"/>
              </w:tabs>
              <w:spacing w:before="50" w:after="50"/>
              <w:jc w:val="center"/>
              <w:rPr>
                <w:szCs w:val="16"/>
              </w:rPr>
            </w:pPr>
            <w:r w:rsidRPr="00BE78CA">
              <w:rPr>
                <w:szCs w:val="16"/>
              </w:rPr>
              <w:t>2,870</w:t>
            </w:r>
          </w:p>
        </w:tc>
        <w:tc>
          <w:tcPr>
            <w:tcW w:w="1363" w:type="dxa"/>
            <w:tcBorders>
              <w:top w:val="single" w:sz="4" w:space="0" w:color="365F91"/>
              <w:bottom w:val="single" w:sz="4" w:space="0" w:color="365F91"/>
              <w:right w:val="nil"/>
            </w:tcBorders>
            <w:shd w:val="clear" w:color="auto" w:fill="auto"/>
            <w:noWrap/>
            <w:vAlign w:val="center"/>
          </w:tcPr>
          <w:p w14:paraId="610CEA50" w14:textId="77777777" w:rsidR="00410716" w:rsidRPr="00BE78CA" w:rsidDel="009F7DF9" w:rsidRDefault="00410716" w:rsidP="00C26084">
            <w:pPr>
              <w:pStyle w:val="TableText"/>
              <w:tabs>
                <w:tab w:val="left" w:pos="3544"/>
              </w:tabs>
              <w:spacing w:before="50" w:after="50"/>
              <w:jc w:val="center"/>
              <w:rPr>
                <w:szCs w:val="16"/>
              </w:rPr>
            </w:pPr>
            <w:r w:rsidRPr="00BE78CA">
              <w:rPr>
                <w:szCs w:val="16"/>
              </w:rPr>
              <w:t>9,442</w:t>
            </w:r>
          </w:p>
        </w:tc>
      </w:tr>
    </w:tbl>
    <w:p w14:paraId="7706CEC2" w14:textId="77777777" w:rsidR="00410716" w:rsidRPr="00BE78CA" w:rsidRDefault="00410716" w:rsidP="00410716">
      <w:pPr>
        <w:pStyle w:val="Noteundertable"/>
      </w:pPr>
      <w:bookmarkStart w:id="3585" w:name="_Toc261513301"/>
      <w:bookmarkStart w:id="3586" w:name="_Toc261513914"/>
      <w:bookmarkStart w:id="3587" w:name="_Toc280630404"/>
      <w:bookmarkStart w:id="3588" w:name="_Toc310423468"/>
      <w:bookmarkStart w:id="3589" w:name="_Toc342470736"/>
      <w:bookmarkStart w:id="3590" w:name="_Toc352504895"/>
      <w:bookmarkStart w:id="3591" w:name="_Toc377043728"/>
      <w:bookmarkStart w:id="3592" w:name="_Toc391023465"/>
      <w:bookmarkStart w:id="3593" w:name="_Toc400967266"/>
      <w:r w:rsidRPr="00BE78CA">
        <w:rPr>
          <w:b/>
        </w:rPr>
        <w:t>Note</w:t>
      </w:r>
      <w:r w:rsidRPr="00BE78CA">
        <w:t xml:space="preserve">: </w:t>
      </w:r>
      <w:r w:rsidRPr="00BE78CA">
        <w:tab/>
        <w:t>Rows may not total due to rounding. Deforestation mapping will take place over the summer of 2020. Land from 2014 and 2015 awaiting determination will be classified in the next inventory submission.</w:t>
      </w:r>
    </w:p>
    <w:p w14:paraId="5B36D040" w14:textId="77777777" w:rsidR="00410716" w:rsidRPr="00BE78CA" w:rsidRDefault="00410716" w:rsidP="00410716">
      <w:pPr>
        <w:pStyle w:val="BodyText"/>
        <w:spacing w:after="100"/>
      </w:pPr>
      <w:r w:rsidRPr="00BE78CA">
        <w:t xml:space="preserve">No estimates of awaiting land for 2017, 2018 and 2019 have been made because land-use mapping has not been undertaken for these years. The </w:t>
      </w:r>
      <w:r w:rsidRPr="00BE78CA">
        <w:rPr>
          <w:i/>
          <w:spacing w:val="-2"/>
        </w:rPr>
        <w:t>Deforestation</w:t>
      </w:r>
      <w:r w:rsidRPr="00BE78CA">
        <w:t xml:space="preserve"> areas reported for 2017 to 2019 are provisional and based on survey estimates as described in chapter 6, section 6.2.3.</w:t>
      </w:r>
    </w:p>
    <w:p w14:paraId="60E0171E" w14:textId="77777777" w:rsidR="00410716" w:rsidRPr="00BE78CA" w:rsidRDefault="00410716" w:rsidP="00410716">
      <w:pPr>
        <w:pStyle w:val="Heading2"/>
        <w:spacing w:before="280"/>
      </w:pPr>
      <w:bookmarkStart w:id="3594" w:name="_Toc261513302"/>
      <w:bookmarkStart w:id="3595" w:name="_Toc261513915"/>
      <w:bookmarkStart w:id="3596" w:name="_Toc280630405"/>
      <w:bookmarkStart w:id="3597" w:name="_Toc310423469"/>
      <w:bookmarkStart w:id="3598" w:name="_Toc342470737"/>
      <w:bookmarkStart w:id="3599" w:name="_Toc352504896"/>
      <w:bookmarkStart w:id="3600" w:name="_Toc377043729"/>
      <w:bookmarkStart w:id="3601" w:name="_Toc391023466"/>
      <w:bookmarkStart w:id="3602" w:name="_Toc400967269"/>
      <w:bookmarkStart w:id="3603" w:name="_Toc414531345"/>
      <w:bookmarkStart w:id="3604" w:name="_Toc456179174"/>
      <w:bookmarkStart w:id="3605" w:name="_Toc481751427"/>
      <w:bookmarkStart w:id="3606" w:name="_Toc522013966"/>
      <w:bookmarkStart w:id="3607" w:name="_Toc5269410"/>
      <w:bookmarkStart w:id="3608" w:name="_Toc36224450"/>
      <w:bookmarkStart w:id="3609" w:name="_Toc68786370"/>
      <w:bookmarkEnd w:id="3585"/>
      <w:bookmarkEnd w:id="3586"/>
      <w:bookmarkEnd w:id="3587"/>
      <w:bookmarkEnd w:id="3588"/>
      <w:bookmarkEnd w:id="3589"/>
      <w:bookmarkEnd w:id="3590"/>
      <w:bookmarkEnd w:id="3591"/>
      <w:bookmarkEnd w:id="3592"/>
      <w:bookmarkEnd w:id="3593"/>
      <w:r w:rsidRPr="00BE78CA">
        <w:t>11.6</w:t>
      </w:r>
      <w:r w:rsidRPr="00BE78CA">
        <w:tab/>
        <w:t>Other information</w:t>
      </w:r>
      <w:bookmarkEnd w:id="3594"/>
      <w:bookmarkEnd w:id="3595"/>
      <w:bookmarkEnd w:id="3596"/>
      <w:bookmarkEnd w:id="3597"/>
      <w:bookmarkEnd w:id="3598"/>
      <w:bookmarkEnd w:id="3599"/>
      <w:bookmarkEnd w:id="3600"/>
      <w:bookmarkEnd w:id="3601"/>
      <w:bookmarkEnd w:id="3602"/>
      <w:bookmarkEnd w:id="3603"/>
      <w:bookmarkEnd w:id="3604"/>
      <w:bookmarkEnd w:id="3605"/>
      <w:bookmarkEnd w:id="3606"/>
      <w:bookmarkEnd w:id="3607"/>
      <w:bookmarkEnd w:id="3608"/>
      <w:bookmarkEnd w:id="3609"/>
    </w:p>
    <w:p w14:paraId="0FE3BB02" w14:textId="77777777" w:rsidR="00410716" w:rsidRPr="00BE78CA" w:rsidRDefault="00410716" w:rsidP="00410716">
      <w:pPr>
        <w:pStyle w:val="Heading3"/>
        <w:spacing w:before="160"/>
      </w:pPr>
      <w:bookmarkStart w:id="3610" w:name="_Toc261513303"/>
      <w:bookmarkStart w:id="3611" w:name="_Toc261513916"/>
      <w:bookmarkStart w:id="3612" w:name="_Toc280630406"/>
      <w:bookmarkStart w:id="3613" w:name="_Toc377043730"/>
      <w:bookmarkStart w:id="3614" w:name="_Toc400967270"/>
      <w:r w:rsidRPr="00BE78CA">
        <w:t>11.6.1</w:t>
      </w:r>
      <w:r w:rsidRPr="00BE78CA">
        <w:tab/>
        <w:t>Justification when omitting any carbon pool or greenhouse gas emissions from activities under Article 3.3 and Article 3.4</w:t>
      </w:r>
    </w:p>
    <w:p w14:paraId="2E89FECA" w14:textId="77777777" w:rsidR="00410716" w:rsidRPr="00BE78CA" w:rsidRDefault="00410716" w:rsidP="00410716">
      <w:pPr>
        <w:pStyle w:val="BodyText"/>
        <w:spacing w:before="100" w:after="100"/>
      </w:pPr>
      <w:r w:rsidRPr="00BE78CA">
        <w:t>New Zealand has accounted for all carbon pools for mandatory reporting activities under Article 3.3 and Article 3.4 of the Kyoto Protocol. New Zealand has not elected any of the voluntary activities under Article 3.4.</w:t>
      </w:r>
    </w:p>
    <w:p w14:paraId="7F0054A9" w14:textId="77777777" w:rsidR="00410716" w:rsidRPr="00BE78CA" w:rsidRDefault="00410716" w:rsidP="00410716">
      <w:pPr>
        <w:pStyle w:val="BodyText"/>
        <w:spacing w:before="100" w:after="100"/>
      </w:pPr>
      <w:r w:rsidRPr="00BE78CA">
        <w:rPr>
          <w:i/>
        </w:rPr>
        <w:t>Direct N</w:t>
      </w:r>
      <w:r w:rsidRPr="00BE78CA">
        <w:rPr>
          <w:i/>
          <w:vertAlign w:val="subscript"/>
        </w:rPr>
        <w:t>2</w:t>
      </w:r>
      <w:r w:rsidRPr="00BE78CA">
        <w:rPr>
          <w:i/>
        </w:rPr>
        <w:t>O emissions from nitrogen fertilisation</w:t>
      </w:r>
      <w:r w:rsidRPr="00BE78CA">
        <w:t xml:space="preserve"> to land subject to </w:t>
      </w:r>
      <w:r w:rsidRPr="00BE78CA">
        <w:rPr>
          <w:i/>
        </w:rPr>
        <w:t>Afforestation and reforestation</w:t>
      </w:r>
      <w:r w:rsidRPr="00BE78CA">
        <w:t xml:space="preserve">, and </w:t>
      </w:r>
      <w:r w:rsidRPr="00BE78CA">
        <w:rPr>
          <w:i/>
        </w:rPr>
        <w:t>Indirect N</w:t>
      </w:r>
      <w:r w:rsidRPr="00BE78CA">
        <w:rPr>
          <w:i/>
          <w:vertAlign w:val="subscript"/>
        </w:rPr>
        <w:t>2</w:t>
      </w:r>
      <w:r w:rsidRPr="00BE78CA">
        <w:rPr>
          <w:i/>
        </w:rPr>
        <w:t>O emissions from managed soils</w:t>
      </w:r>
      <w:r w:rsidRPr="00BE78CA">
        <w:t xml:space="preserve"> are reported as IE (included elsewhere), because these emissions are reported under the Agriculture sector (see chapter 5).</w:t>
      </w:r>
    </w:p>
    <w:p w14:paraId="4ABCC9F6" w14:textId="77777777" w:rsidR="00410716" w:rsidRPr="00BE78CA" w:rsidRDefault="00410716" w:rsidP="00410716">
      <w:pPr>
        <w:pStyle w:val="Heading3"/>
        <w:spacing w:before="180"/>
      </w:pPr>
      <w:bookmarkStart w:id="3615" w:name="_Toc261513292"/>
      <w:bookmarkStart w:id="3616" w:name="_Toc261513905"/>
      <w:bookmarkStart w:id="3617" w:name="_Toc280630395"/>
      <w:r w:rsidRPr="00BE78CA">
        <w:t>11.6.2</w:t>
      </w:r>
      <w:r w:rsidRPr="00BE78CA">
        <w:tab/>
        <w:t>Factoring out information</w:t>
      </w:r>
      <w:bookmarkEnd w:id="3615"/>
      <w:bookmarkEnd w:id="3616"/>
      <w:bookmarkEnd w:id="3617"/>
    </w:p>
    <w:p w14:paraId="479CB1DE" w14:textId="77777777" w:rsidR="00410716" w:rsidRPr="00BE78CA" w:rsidRDefault="00410716" w:rsidP="00410716">
      <w:pPr>
        <w:pStyle w:val="BodyText"/>
        <w:spacing w:after="100"/>
      </w:pPr>
      <w:r w:rsidRPr="00BE78CA">
        <w:t>New Zealand does not factor out from reporting either emissions or removals from:</w:t>
      </w:r>
    </w:p>
    <w:p w14:paraId="616060C5" w14:textId="77777777" w:rsidR="00410716" w:rsidRPr="00BE78CA" w:rsidRDefault="00410716" w:rsidP="00410716">
      <w:pPr>
        <w:pStyle w:val="Bullet"/>
        <w:numPr>
          <w:ilvl w:val="0"/>
          <w:numId w:val="25"/>
        </w:numPr>
      </w:pPr>
      <w:r w:rsidRPr="00BE78CA">
        <w:t>elevated CO</w:t>
      </w:r>
      <w:r w:rsidRPr="00BE78CA">
        <w:rPr>
          <w:vertAlign w:val="subscript"/>
        </w:rPr>
        <w:t>2</w:t>
      </w:r>
      <w:r w:rsidRPr="00BE78CA">
        <w:t xml:space="preserve"> concentrations above pre-industrial levels</w:t>
      </w:r>
    </w:p>
    <w:p w14:paraId="496D5E93" w14:textId="77777777" w:rsidR="00410716" w:rsidRPr="00BE78CA" w:rsidRDefault="00410716" w:rsidP="00410716">
      <w:pPr>
        <w:pStyle w:val="Bullet"/>
        <w:numPr>
          <w:ilvl w:val="0"/>
          <w:numId w:val="25"/>
        </w:numPr>
      </w:pPr>
      <w:r w:rsidRPr="00BE78CA">
        <w:t>indirect nitrogen deposition</w:t>
      </w:r>
    </w:p>
    <w:p w14:paraId="03D214A8" w14:textId="77777777" w:rsidR="00410716" w:rsidRPr="00BE78CA" w:rsidRDefault="00410716" w:rsidP="00410716">
      <w:pPr>
        <w:pStyle w:val="Bullet"/>
        <w:numPr>
          <w:ilvl w:val="0"/>
          <w:numId w:val="25"/>
        </w:numPr>
      </w:pPr>
      <w:r w:rsidRPr="00BE78CA">
        <w:t xml:space="preserve">the dynamic effects of age structure resulting from activities prior to 1 January 1990. </w:t>
      </w:r>
    </w:p>
    <w:p w14:paraId="2D6F300C" w14:textId="77777777" w:rsidR="00410716" w:rsidRPr="00BE78CA" w:rsidRDefault="00410716" w:rsidP="00410716">
      <w:pPr>
        <w:pStyle w:val="BodyText"/>
      </w:pPr>
      <w:r w:rsidRPr="00BE78CA">
        <w:t xml:space="preserve">New Zealand applies a net–net approach thereby removing the need to factor out the above-mentioned processes. Net change in greenhouse gas emissions and removals are accounted for by comparing greenhouse gas emissions and removals during the commitment period with a benchmark business as usual scenario, the FMRL. </w:t>
      </w:r>
    </w:p>
    <w:p w14:paraId="1D930CFC" w14:textId="77777777" w:rsidR="00410716" w:rsidRPr="00BE78CA" w:rsidRDefault="00410716" w:rsidP="00410716">
      <w:pPr>
        <w:pStyle w:val="Heading3"/>
        <w:spacing w:before="180"/>
      </w:pPr>
      <w:r w:rsidRPr="00BE78CA">
        <w:t xml:space="preserve">11.6.3 </w:t>
      </w:r>
      <w:r w:rsidRPr="00BE78CA">
        <w:tab/>
        <w:t xml:space="preserve">Key category analysis for Article 3.3 and Article 3.4 </w:t>
      </w:r>
      <w:bookmarkEnd w:id="3610"/>
      <w:bookmarkEnd w:id="3611"/>
      <w:bookmarkEnd w:id="3612"/>
      <w:r w:rsidRPr="00BE78CA">
        <w:t>activities</w:t>
      </w:r>
      <w:r w:rsidRPr="00BE78CA">
        <w:br/>
        <w:t>(CRF NIR-3)</w:t>
      </w:r>
      <w:bookmarkEnd w:id="3613"/>
      <w:bookmarkEnd w:id="3614"/>
    </w:p>
    <w:p w14:paraId="2D65E41C" w14:textId="77777777" w:rsidR="00410716" w:rsidRPr="00BE78CA" w:rsidRDefault="00410716" w:rsidP="00410716">
      <w:pPr>
        <w:pStyle w:val="BodyText"/>
        <w:rPr>
          <w:spacing w:val="-2"/>
        </w:rPr>
      </w:pPr>
      <w:r w:rsidRPr="00BE78CA">
        <w:rPr>
          <w:i/>
          <w:spacing w:val="-2"/>
        </w:rPr>
        <w:t xml:space="preserve">Afforestation and reforestation, Deforestation </w:t>
      </w:r>
      <w:r w:rsidRPr="00BE78CA">
        <w:rPr>
          <w:iCs/>
          <w:spacing w:val="-2"/>
        </w:rPr>
        <w:t>and</w:t>
      </w:r>
      <w:r w:rsidRPr="00BE78CA">
        <w:rPr>
          <w:i/>
          <w:spacing w:val="-2"/>
        </w:rPr>
        <w:t xml:space="preserve"> Forest management </w:t>
      </w:r>
      <w:r w:rsidRPr="00BE78CA">
        <w:rPr>
          <w:iCs/>
          <w:spacing w:val="-2"/>
        </w:rPr>
        <w:t>are all included in key categories for New Zealand (</w:t>
      </w:r>
      <w:r w:rsidRPr="00BE78CA">
        <w:rPr>
          <w:i/>
          <w:spacing w:val="-2"/>
        </w:rPr>
        <w:t>Forest land remaining forest land</w:t>
      </w:r>
      <w:r w:rsidRPr="00BE78CA">
        <w:rPr>
          <w:iCs/>
          <w:spacing w:val="-2"/>
        </w:rPr>
        <w:t xml:space="preserve">, </w:t>
      </w:r>
      <w:r w:rsidRPr="00BE78CA">
        <w:rPr>
          <w:i/>
          <w:spacing w:val="-2"/>
        </w:rPr>
        <w:t xml:space="preserve">Land converted to forest land </w:t>
      </w:r>
      <w:r w:rsidRPr="00BE78CA">
        <w:rPr>
          <w:iCs/>
          <w:spacing w:val="-2"/>
        </w:rPr>
        <w:t xml:space="preserve">or </w:t>
      </w:r>
      <w:r w:rsidRPr="00BE78CA">
        <w:rPr>
          <w:i/>
          <w:spacing w:val="-2"/>
        </w:rPr>
        <w:t>Land converted to grassland</w:t>
      </w:r>
      <w:r w:rsidRPr="00BE78CA">
        <w:rPr>
          <w:iCs/>
          <w:spacing w:val="-2"/>
        </w:rPr>
        <w:t>)</w:t>
      </w:r>
      <w:r w:rsidRPr="00BE78CA">
        <w:rPr>
          <w:spacing w:val="-2"/>
        </w:rPr>
        <w:t>.</w:t>
      </w:r>
    </w:p>
    <w:p w14:paraId="38ECC15E" w14:textId="77777777" w:rsidR="00410716" w:rsidRPr="00BE78CA" w:rsidRDefault="00410716" w:rsidP="00410716">
      <w:pPr>
        <w:pStyle w:val="Heading2"/>
        <w:spacing w:before="240"/>
      </w:pPr>
      <w:bookmarkStart w:id="3618" w:name="_Toc261513304"/>
      <w:bookmarkStart w:id="3619" w:name="_Toc261513917"/>
      <w:bookmarkStart w:id="3620" w:name="_Toc280630407"/>
      <w:bookmarkStart w:id="3621" w:name="_Toc310423470"/>
      <w:bookmarkStart w:id="3622" w:name="_Toc342470738"/>
      <w:bookmarkStart w:id="3623" w:name="_Toc352504897"/>
      <w:bookmarkStart w:id="3624" w:name="_Toc377043731"/>
      <w:bookmarkStart w:id="3625" w:name="_Toc391023467"/>
      <w:bookmarkStart w:id="3626" w:name="_Toc400967271"/>
      <w:bookmarkStart w:id="3627" w:name="_Toc414531346"/>
      <w:bookmarkStart w:id="3628" w:name="_Toc456179175"/>
      <w:bookmarkStart w:id="3629" w:name="_Toc481751428"/>
      <w:bookmarkStart w:id="3630" w:name="_Toc522013967"/>
      <w:bookmarkStart w:id="3631" w:name="_Toc5269411"/>
      <w:bookmarkStart w:id="3632" w:name="_Toc36224451"/>
      <w:bookmarkStart w:id="3633" w:name="_Toc68786371"/>
      <w:r w:rsidRPr="00BE78CA">
        <w:t>11.7</w:t>
      </w:r>
      <w:r w:rsidRPr="00BE78CA">
        <w:tab/>
        <w:t>Information relating to Article 6</w:t>
      </w:r>
      <w:bookmarkEnd w:id="3618"/>
      <w:bookmarkEnd w:id="3619"/>
      <w:bookmarkEnd w:id="3620"/>
      <w:bookmarkEnd w:id="3621"/>
      <w:bookmarkEnd w:id="3622"/>
      <w:bookmarkEnd w:id="3623"/>
      <w:bookmarkEnd w:id="3624"/>
      <w:bookmarkEnd w:id="3625"/>
      <w:bookmarkEnd w:id="3626"/>
      <w:bookmarkEnd w:id="3627"/>
      <w:bookmarkEnd w:id="3628"/>
      <w:bookmarkEnd w:id="3629"/>
      <w:bookmarkEnd w:id="3630"/>
      <w:bookmarkEnd w:id="3631"/>
      <w:bookmarkEnd w:id="3632"/>
      <w:bookmarkEnd w:id="3633"/>
    </w:p>
    <w:p w14:paraId="41965A27" w14:textId="0112ADF1" w:rsidR="00A15168" w:rsidRPr="00BE78CA" w:rsidRDefault="00410716" w:rsidP="00A15168">
      <w:pPr>
        <w:pStyle w:val="BodyText"/>
        <w:spacing w:before="100" w:after="0"/>
      </w:pPr>
      <w:r w:rsidRPr="00BE78CA">
        <w:t>New Zealand is not involved in any LULUCF activities under Article 6 of the Kyoto Protocol.</w:t>
      </w:r>
      <w:r w:rsidR="00A15168" w:rsidRPr="00BE78CA">
        <w:t xml:space="preserve"> </w:t>
      </w:r>
      <w:bookmarkStart w:id="3634" w:name="_Toc342470739"/>
      <w:bookmarkStart w:id="3635" w:name="_Toc352504898"/>
      <w:bookmarkStart w:id="3636" w:name="_Toc377043732"/>
      <w:bookmarkStart w:id="3637" w:name="_Toc391023468"/>
      <w:bookmarkStart w:id="3638" w:name="_Toc400967272"/>
      <w:bookmarkStart w:id="3639" w:name="_Toc414531347"/>
      <w:bookmarkStart w:id="3640" w:name="_Toc456179176"/>
      <w:bookmarkStart w:id="3641" w:name="_Toc481751429"/>
      <w:bookmarkStart w:id="3642" w:name="_Toc522013968"/>
      <w:bookmarkStart w:id="3643" w:name="_Toc5269412"/>
      <w:bookmarkStart w:id="3644" w:name="_Toc36224452"/>
    </w:p>
    <w:p w14:paraId="6BF078F2" w14:textId="3AC563E7" w:rsidR="00410716" w:rsidRPr="00BE78CA" w:rsidRDefault="00410716" w:rsidP="00A15168">
      <w:pPr>
        <w:pStyle w:val="Heading2"/>
        <w:pageBreakBefore/>
        <w:spacing w:before="0" w:after="360"/>
      </w:pPr>
      <w:bookmarkStart w:id="3645" w:name="_Toc68786372"/>
      <w:r w:rsidRPr="00BE78CA">
        <w:lastRenderedPageBreak/>
        <w:t>Chapter 11: References</w:t>
      </w:r>
      <w:bookmarkEnd w:id="3634"/>
      <w:bookmarkEnd w:id="3635"/>
      <w:bookmarkEnd w:id="3636"/>
      <w:bookmarkEnd w:id="3637"/>
      <w:bookmarkEnd w:id="3638"/>
      <w:bookmarkEnd w:id="3639"/>
      <w:bookmarkEnd w:id="3640"/>
      <w:bookmarkEnd w:id="3641"/>
      <w:bookmarkEnd w:id="3642"/>
      <w:bookmarkEnd w:id="3643"/>
      <w:bookmarkEnd w:id="3644"/>
      <w:bookmarkEnd w:id="3645"/>
    </w:p>
    <w:p w14:paraId="035CD0BB" w14:textId="77777777" w:rsidR="00410716" w:rsidRPr="00BE78CA" w:rsidRDefault="00410716" w:rsidP="00410716">
      <w:pPr>
        <w:pStyle w:val="References"/>
      </w:pPr>
      <w:r w:rsidRPr="00BE78CA">
        <w:t xml:space="preserve">Forest Industry Training and Education Council. 2005. </w:t>
      </w:r>
      <w:r w:rsidRPr="00BE78CA">
        <w:rPr>
          <w:i/>
        </w:rPr>
        <w:t>Best Practice Guidelines for Land Preparation</w:t>
      </w:r>
      <w:r w:rsidRPr="00BE78CA">
        <w:t xml:space="preserve">. Revised edn. Rotorua: Forest Industry Training and Education Council. </w:t>
      </w:r>
    </w:p>
    <w:p w14:paraId="1AC0504E" w14:textId="77777777" w:rsidR="00410716" w:rsidRPr="00BE78CA" w:rsidRDefault="00410716" w:rsidP="00410716">
      <w:pPr>
        <w:pStyle w:val="References"/>
      </w:pPr>
      <w:r w:rsidRPr="00BE78CA">
        <w:t xml:space="preserve">Goulding CJ. Unpublished. A Review of Current Deforestation Activities, Covering Age of Trees Harvested, Methods Used, and the Amount of Material Remaining. Contract report prepared for the Ministry for the Environment by New Zealand Forest Research Institute Limited (trading as Scion). </w:t>
      </w:r>
    </w:p>
    <w:p w14:paraId="5ED586EB" w14:textId="77777777" w:rsidR="00410716" w:rsidRPr="00BE78CA" w:rsidRDefault="00410716" w:rsidP="00410716">
      <w:pPr>
        <w:pStyle w:val="References"/>
      </w:pPr>
      <w:r w:rsidRPr="00BE78CA">
        <w:t xml:space="preserve">Indufor Asia Pacific. 2013. </w:t>
      </w:r>
      <w:r w:rsidRPr="00BE78CA">
        <w:rPr>
          <w:i/>
        </w:rPr>
        <w:t>Deforestation Mapping 2012 – Final Report</w:t>
      </w:r>
      <w:r w:rsidRPr="00BE78CA">
        <w:t>. Prepared for the Ministry for the Environment by Indufor Asia Pacific. Wellington: Ministry for the Environment.</w:t>
      </w:r>
    </w:p>
    <w:p w14:paraId="40A5C342" w14:textId="77777777" w:rsidR="00410716" w:rsidRPr="00BE78CA" w:rsidRDefault="00410716" w:rsidP="00410716">
      <w:pPr>
        <w:pStyle w:val="References"/>
      </w:pPr>
      <w:r w:rsidRPr="00BE78CA">
        <w:t xml:space="preserve">Indufor Asia Pacific. 2016. </w:t>
      </w:r>
      <w:r w:rsidRPr="00BE78CA">
        <w:rPr>
          <w:i/>
        </w:rPr>
        <w:t>Deforestation Mapping 2013 &amp; 2014 – Final Report</w:t>
      </w:r>
      <w:r w:rsidRPr="00BE78CA">
        <w:t>. Prepared for the Ministry for the Environment by Indufor Asia Pacific. Wellington: Ministry for the Environment.</w:t>
      </w:r>
    </w:p>
    <w:p w14:paraId="3240854E" w14:textId="77777777" w:rsidR="00410716" w:rsidRPr="00BE78CA" w:rsidRDefault="00410716" w:rsidP="00410716">
      <w:pPr>
        <w:pStyle w:val="References"/>
      </w:pPr>
      <w:r w:rsidRPr="00BE78CA">
        <w:t>Indufor Asia Pacific. 2018.</w:t>
      </w:r>
      <w:r w:rsidRPr="00BE78CA">
        <w:rPr>
          <w:i/>
        </w:rPr>
        <w:t xml:space="preserve"> Deforestation Mapping 2015 &amp; 2016 – Final Report</w:t>
      </w:r>
      <w:r w:rsidRPr="00BE78CA">
        <w:t>. Prepared for the Ministry for the Environment by Indufor Asia Pacific. Wellington: Ministry for the Environment.</w:t>
      </w:r>
    </w:p>
    <w:p w14:paraId="7046E25E" w14:textId="77777777" w:rsidR="00410716" w:rsidRPr="00BE78CA" w:rsidRDefault="00410716" w:rsidP="00410716">
      <w:pPr>
        <w:pStyle w:val="References"/>
      </w:pPr>
      <w:r w:rsidRPr="00BE78CA">
        <w:t xml:space="preserve">IPCC. 2006a. Eggleston HS, Buendia L, Miwa K, Ngara T, Tanabe K (eds). </w:t>
      </w:r>
      <w:r w:rsidRPr="00BE78CA">
        <w:rPr>
          <w:i/>
        </w:rPr>
        <w:t>2006</w:t>
      </w:r>
      <w:r w:rsidRPr="00BE78CA">
        <w:t xml:space="preserve"> </w:t>
      </w:r>
      <w:r w:rsidRPr="00BE78CA">
        <w:rPr>
          <w:i/>
        </w:rPr>
        <w:t>IPCC Guidelines for National Greenhouse Gas Inventories. Volume 4. Agriculture, Forestry and Other Land Use.</w:t>
      </w:r>
      <w:r w:rsidRPr="00BE78CA">
        <w:t xml:space="preserve"> </w:t>
      </w:r>
      <w:r w:rsidRPr="00BE78CA">
        <w:rPr>
          <w:i/>
        </w:rPr>
        <w:t>IPCC National Greenhouse Gas Inventories Programme</w:t>
      </w:r>
      <w:r w:rsidRPr="00BE78CA">
        <w:t>. Japan: Institute for Global Environmental Strategies for IPCC.</w:t>
      </w:r>
    </w:p>
    <w:p w14:paraId="6A67129A" w14:textId="77777777" w:rsidR="00410716" w:rsidRPr="00BE78CA" w:rsidRDefault="00410716" w:rsidP="00410716">
      <w:pPr>
        <w:pStyle w:val="References"/>
      </w:pPr>
      <w:r w:rsidRPr="00BE78CA">
        <w:t xml:space="preserve">IPCC. 2006b. Eggleston HS, Buendia L, Miwa K, Ngara T, Tanabe K (eds). </w:t>
      </w:r>
      <w:r w:rsidRPr="00BE78CA">
        <w:rPr>
          <w:i/>
        </w:rPr>
        <w:t>2006 IPCC General Guidance and Reporting, Volume 1. IPCC National Greenhouse Gas Inventories Programme</w:t>
      </w:r>
      <w:r w:rsidRPr="00BE78CA">
        <w:t xml:space="preserve">. Japan: Institute for Global Environmental Strategies for IPCC. </w:t>
      </w:r>
    </w:p>
    <w:p w14:paraId="0F4191DD" w14:textId="77777777" w:rsidR="00410716" w:rsidRPr="00BE78CA" w:rsidRDefault="00410716" w:rsidP="00410716">
      <w:pPr>
        <w:pStyle w:val="References"/>
      </w:pPr>
      <w:r w:rsidRPr="00BE78CA">
        <w:t xml:space="preserve">IPCC. 2014a. Hiraishi T, Krug T, Tanabe K, Srivastava N, Baasansuren J, Fukuda M, Troxler TG (eds). </w:t>
      </w:r>
      <w:r w:rsidRPr="00BE78CA">
        <w:rPr>
          <w:i/>
          <w:iCs/>
        </w:rPr>
        <w:t>2013 Revised Supplementary Methods and Good Practice Guidance Arising from the Kyoto Protocol</w:t>
      </w:r>
      <w:r w:rsidRPr="00BE78CA">
        <w:t>. Switzerland: IPCC.</w:t>
      </w:r>
    </w:p>
    <w:p w14:paraId="61857EAF" w14:textId="77777777" w:rsidR="00410716" w:rsidRPr="00BE78CA" w:rsidRDefault="00410716" w:rsidP="00410716">
      <w:pPr>
        <w:pStyle w:val="References"/>
      </w:pPr>
      <w:r w:rsidRPr="00BE78CA">
        <w:t xml:space="preserve">IPCC. 2014b. Hiraishi T, Krug T, Tanabe K, Srivastava N, Baasansuren J, Fukuda M, Troxler TG (eds). </w:t>
      </w:r>
      <w:r w:rsidRPr="00BE78CA">
        <w:rPr>
          <w:i/>
          <w:iCs/>
        </w:rPr>
        <w:t>2013 Supplement to the 2006 IPCC Guidelines for National Greenhouse Gas Inventories: Wetlands.</w:t>
      </w:r>
      <w:r w:rsidRPr="00BE78CA">
        <w:t xml:space="preserve"> Switzerland: IPCC.</w:t>
      </w:r>
    </w:p>
    <w:p w14:paraId="5959F0A4" w14:textId="77777777" w:rsidR="00410716" w:rsidRPr="00BE78CA" w:rsidRDefault="00410716" w:rsidP="00410716">
      <w:pPr>
        <w:pStyle w:val="References"/>
        <w:spacing w:after="100"/>
      </w:pPr>
      <w:r w:rsidRPr="00BE78CA">
        <w:t xml:space="preserve">Manley B. 2009. </w:t>
      </w:r>
      <w:r w:rsidRPr="00BE78CA">
        <w:rPr>
          <w:i/>
          <w:iCs/>
        </w:rPr>
        <w:t>2008 Deforestation Intentions Survey</w:t>
      </w:r>
      <w:r w:rsidRPr="00BE78CA">
        <w:t>. Contract report prepared for the Ministry of Agriculture and Forestry by New Zealand School of Forestry, University of Canterbury. Wellington: Ministry of Agriculture and Forestry.</w:t>
      </w:r>
    </w:p>
    <w:p w14:paraId="6A71A116" w14:textId="77777777" w:rsidR="00410716" w:rsidRPr="00BE78CA" w:rsidRDefault="00410716" w:rsidP="00410716">
      <w:pPr>
        <w:pStyle w:val="References"/>
      </w:pPr>
      <w:r w:rsidRPr="00BE78CA">
        <w:t xml:space="preserve">Manley B. 2018. </w:t>
      </w:r>
      <w:r w:rsidRPr="00BE78CA">
        <w:rPr>
          <w:i/>
        </w:rPr>
        <w:t>Deforestation Intentions Survey 2017</w:t>
      </w:r>
      <w:r w:rsidRPr="00BE78CA">
        <w:t>. Wellington: Ministry for Primary Industries.</w:t>
      </w:r>
    </w:p>
    <w:p w14:paraId="243DBD35" w14:textId="77777777" w:rsidR="00410716" w:rsidRPr="00BE78CA" w:rsidRDefault="00410716" w:rsidP="00410716">
      <w:pPr>
        <w:pStyle w:val="References"/>
      </w:pPr>
      <w:r w:rsidRPr="00BE78CA">
        <w:t xml:space="preserve">Manley B. 2019. </w:t>
      </w:r>
      <w:r w:rsidRPr="00BE78CA">
        <w:rPr>
          <w:i/>
        </w:rPr>
        <w:t>Deforestation Intentions Survey 2018</w:t>
      </w:r>
      <w:r w:rsidRPr="00BE78CA">
        <w:t>. Wellington: Ministry for Primary Industries.</w:t>
      </w:r>
    </w:p>
    <w:p w14:paraId="6F906987" w14:textId="77777777" w:rsidR="00410716" w:rsidRPr="00BE78CA" w:rsidRDefault="00410716" w:rsidP="00410716">
      <w:pPr>
        <w:pStyle w:val="References"/>
      </w:pPr>
      <w:r w:rsidRPr="00BE78CA">
        <w:t xml:space="preserve">Ministry for Primary Industries. 2014. </w:t>
      </w:r>
      <w:r w:rsidRPr="00BE78CA">
        <w:rPr>
          <w:i/>
          <w:iCs/>
        </w:rPr>
        <w:t>Erosion Control Funding Programme (East Coast) (ECFP)</w:t>
      </w:r>
      <w:r w:rsidRPr="00BE78CA">
        <w:t xml:space="preserve">. Wellington: Ministry for Primary Industries. Retrieved from www.mpi.govt.nz/funding-and-programmes/forestry/erosion-control-funding-programme (18 January 2017). </w:t>
      </w:r>
    </w:p>
    <w:p w14:paraId="122D40A1" w14:textId="77777777" w:rsidR="00410716" w:rsidRPr="00BE78CA" w:rsidRDefault="00410716" w:rsidP="00410716">
      <w:pPr>
        <w:pStyle w:val="References"/>
      </w:pPr>
      <w:r w:rsidRPr="00BE78CA">
        <w:rPr>
          <w:spacing w:val="-2"/>
        </w:rPr>
        <w:t xml:space="preserve">Ministry for Primary Industries. 2015a. </w:t>
      </w:r>
      <w:r w:rsidRPr="00BE78CA">
        <w:rPr>
          <w:i/>
          <w:iCs/>
          <w:spacing w:val="-2"/>
        </w:rPr>
        <w:t>Afforestation Grant Scheme</w:t>
      </w:r>
      <w:r w:rsidRPr="00BE78CA">
        <w:rPr>
          <w:spacing w:val="-2"/>
        </w:rPr>
        <w:t>. Wellington: Ministry for Primary Industries. Retrieved from www.mpi.govt.nz/funding-and-programmes/forestry/afforestation-grant-scheme</w:t>
      </w:r>
      <w:r w:rsidRPr="00BE78CA">
        <w:t xml:space="preserve"> (23 January 2018).</w:t>
      </w:r>
    </w:p>
    <w:p w14:paraId="6D151935" w14:textId="77777777" w:rsidR="00410716" w:rsidRPr="00BE78CA" w:rsidRDefault="00410716" w:rsidP="00410716">
      <w:pPr>
        <w:pStyle w:val="References"/>
      </w:pPr>
      <w:r w:rsidRPr="00BE78CA">
        <w:t xml:space="preserve">Ministry for Primary Industries. 2015b. </w:t>
      </w:r>
      <w:r w:rsidRPr="00BE78CA">
        <w:rPr>
          <w:i/>
          <w:iCs/>
        </w:rPr>
        <w:t>Guide to the</w:t>
      </w:r>
      <w:r w:rsidRPr="00BE78CA">
        <w:t xml:space="preserve"> </w:t>
      </w:r>
      <w:r w:rsidRPr="00BE78CA">
        <w:rPr>
          <w:i/>
          <w:iCs/>
        </w:rPr>
        <w:t>Permanent Forest Sink Initiative</w:t>
      </w:r>
      <w:r w:rsidRPr="00BE78CA">
        <w:t>. Wellington: Ministry for Primary Industries. Retrieved from www.mpi.govt.nz/funding-and-programmes/forestry/ permanent-forest-sink-initiative (23 January 2018).</w:t>
      </w:r>
    </w:p>
    <w:p w14:paraId="5D74F359" w14:textId="77777777" w:rsidR="00410716" w:rsidRPr="00BE78CA" w:rsidRDefault="00410716" w:rsidP="00410716">
      <w:pPr>
        <w:pStyle w:val="References"/>
      </w:pPr>
      <w:r w:rsidRPr="00BE78CA">
        <w:t xml:space="preserve">Ministry for Primary Industries. 2015c. </w:t>
      </w:r>
      <w:r w:rsidRPr="00BE78CA">
        <w:rPr>
          <w:i/>
          <w:iCs/>
        </w:rPr>
        <w:t>Sustainable Land Management Hill Country Erosion Programme</w:t>
      </w:r>
      <w:r w:rsidRPr="00BE78CA">
        <w:t>. Wellington: Ministry for Primary Industries. Retrieved from www.mpi.govt.nz/funding-and-programmes/ environment-and-natural-resources/hill-country-erosion-programme (23 January 2018).</w:t>
      </w:r>
    </w:p>
    <w:p w14:paraId="6AA88927" w14:textId="77777777" w:rsidR="00410716" w:rsidRPr="00BE78CA" w:rsidRDefault="00410716" w:rsidP="00410716">
      <w:pPr>
        <w:pStyle w:val="References"/>
      </w:pPr>
      <w:r w:rsidRPr="00BE78CA">
        <w:t>Ministry for Primary Industries. 2015d.</w:t>
      </w:r>
      <w:r w:rsidRPr="00BE78CA">
        <w:rPr>
          <w:i/>
          <w:iCs/>
        </w:rPr>
        <w:t xml:space="preserve"> An Overview of Forestry in the Emissions Trading Scheme</w:t>
      </w:r>
      <w:r w:rsidRPr="00BE78CA">
        <w:t>. Wellington: Ministry for Primary Industries. Retrieved from www.mpi.govt.nz/growing-and-harvesting/ forestry/forestry-in-the-emissions-trading-scheme (8 January 2018).</w:t>
      </w:r>
    </w:p>
    <w:p w14:paraId="5EA2859E" w14:textId="77777777" w:rsidR="00410716" w:rsidRPr="00BE78CA" w:rsidRDefault="00410716" w:rsidP="00410716">
      <w:pPr>
        <w:pStyle w:val="References"/>
      </w:pPr>
      <w:r w:rsidRPr="00BE78CA">
        <w:t xml:space="preserve">Ministry for Primary Industries. 2016. </w:t>
      </w:r>
      <w:r w:rsidRPr="00BE78CA">
        <w:rPr>
          <w:i/>
          <w:iCs/>
        </w:rPr>
        <w:t>Material flow and end-use of harvested wood products produced from New Zealand log exports</w:t>
      </w:r>
      <w:r w:rsidRPr="00BE78CA">
        <w:t>. Wellington: Ministry for Primary Industries.</w:t>
      </w:r>
    </w:p>
    <w:p w14:paraId="1BECE02F" w14:textId="77777777" w:rsidR="00410716" w:rsidRPr="00BE78CA" w:rsidRDefault="00410716" w:rsidP="00410716">
      <w:pPr>
        <w:pStyle w:val="References"/>
      </w:pPr>
      <w:r w:rsidRPr="00BE78CA">
        <w:lastRenderedPageBreak/>
        <w:t>Ministry for Primary Industries. 2020</w:t>
      </w:r>
      <w:r w:rsidRPr="00BE78CA">
        <w:rPr>
          <w:i/>
        </w:rPr>
        <w:t>. Forestry and wood processing data</w:t>
      </w:r>
      <w:r w:rsidRPr="00BE78CA">
        <w:t xml:space="preserve">. Wellington: Ministry for Primary Industries. Retrieved from www.mpi.govt.nz/forestry/new-zealand-forests-forest-industry/forestry/wood-processing/ (4 February 2021). </w:t>
      </w:r>
    </w:p>
    <w:p w14:paraId="6961201F" w14:textId="77777777" w:rsidR="00410716" w:rsidRPr="00BE78CA" w:rsidRDefault="00410716" w:rsidP="00410716">
      <w:pPr>
        <w:pStyle w:val="References"/>
      </w:pPr>
      <w:r w:rsidRPr="00BE78CA">
        <w:t xml:space="preserve">Ministry for Primary Industries. 2019. </w:t>
      </w:r>
      <w:r w:rsidRPr="00BE78CA">
        <w:rPr>
          <w:i/>
          <w:iCs/>
        </w:rPr>
        <w:t>National Exotic Forest Description as at 1 April 2019</w:t>
      </w:r>
      <w:r w:rsidRPr="00BE78CA">
        <w:t>. Wellington: Ministry for Primary Industries.</w:t>
      </w:r>
    </w:p>
    <w:p w14:paraId="4E1A362E" w14:textId="77777777" w:rsidR="00410716" w:rsidRPr="00BE78CA" w:rsidRDefault="00410716" w:rsidP="00410716">
      <w:pPr>
        <w:pStyle w:val="References"/>
      </w:pPr>
      <w:r w:rsidRPr="00BE78CA">
        <w:t xml:space="preserve">Ministry for the Environment. 2006. </w:t>
      </w:r>
      <w:r w:rsidRPr="00BE78CA">
        <w:rPr>
          <w:i/>
          <w:iCs/>
        </w:rPr>
        <w:t>New Zealand’s Initial Report under the Kyoto Protocol</w:t>
      </w:r>
      <w:r w:rsidRPr="00BE78CA">
        <w:t>. Wellington: Ministry for the Environment. Retrieved from www.mfe.govt.nz/publications/climate-change/new-zealand%E2%80%99s-initial-report-under-kyoto-protocol (23 January 2018).</w:t>
      </w:r>
    </w:p>
    <w:p w14:paraId="5E9D5249" w14:textId="77777777" w:rsidR="00410716" w:rsidRPr="00BE78CA" w:rsidRDefault="00410716" w:rsidP="00410716">
      <w:pPr>
        <w:pStyle w:val="References"/>
      </w:pPr>
      <w:r w:rsidRPr="00BE78CA">
        <w:t xml:space="preserve">Ministry for the Environment. 2012. </w:t>
      </w:r>
      <w:r w:rsidRPr="00BE78CA">
        <w:rPr>
          <w:i/>
          <w:iCs/>
        </w:rPr>
        <w:t>Land Use and Carbon Analysis System: Satellite imagery interpretation guide for land-use classes</w:t>
      </w:r>
      <w:r w:rsidRPr="00BE78CA">
        <w:t>. 2nd edn. Wellington: Ministry for the Environment.</w:t>
      </w:r>
    </w:p>
    <w:p w14:paraId="546A909C" w14:textId="77777777" w:rsidR="00410716" w:rsidRPr="00BE78CA" w:rsidRDefault="00410716" w:rsidP="00410716">
      <w:pPr>
        <w:pStyle w:val="References"/>
      </w:pPr>
      <w:r w:rsidRPr="00BE78CA">
        <w:t xml:space="preserve">Ministry for the Environment. 2015. </w:t>
      </w:r>
      <w:r w:rsidRPr="00BE78CA">
        <w:rPr>
          <w:i/>
        </w:rPr>
        <w:t>New Zealand’s Greenhouse Gas Inventory 1990–2013</w:t>
      </w:r>
      <w:r w:rsidRPr="00BE78CA">
        <w:t>. Wellington: Ministry for the Environment.</w:t>
      </w:r>
    </w:p>
    <w:p w14:paraId="173AA590" w14:textId="77777777" w:rsidR="00410716" w:rsidRPr="00BE78CA" w:rsidRDefault="00410716" w:rsidP="00410716">
      <w:pPr>
        <w:pStyle w:val="References"/>
      </w:pPr>
      <w:r w:rsidRPr="00BE78CA">
        <w:t xml:space="preserve">Ministry of Agriculture and Forestry. 2002. </w:t>
      </w:r>
      <w:r w:rsidRPr="00BE78CA">
        <w:rPr>
          <w:i/>
          <w:iCs/>
        </w:rPr>
        <w:t>New Zealand Country Report.</w:t>
      </w:r>
      <w:r w:rsidRPr="00BE78CA">
        <w:t xml:space="preserve"> Montreal Process Criteria and Indicators for the Conservation and Sustainable Management of Temperate and Boreal Forests 2003. Ministry of Agriculture and Forestry Technical Paper No: 2002/21, December. Wellington: Ministry of Agriculture and Forestry.</w:t>
      </w:r>
    </w:p>
    <w:p w14:paraId="3FEE4693" w14:textId="77777777" w:rsidR="00410716" w:rsidRPr="00BE78CA" w:rsidRDefault="00410716" w:rsidP="00410716">
      <w:pPr>
        <w:pStyle w:val="References"/>
      </w:pPr>
      <w:r w:rsidRPr="00BE78CA">
        <w:t xml:space="preserve">Newsome P, Shepherd J, Meurk C, Samle M, Sutherland A, Heke H, Willoughby J. 2011. </w:t>
      </w:r>
      <w:r w:rsidRPr="00BE78CA">
        <w:rPr>
          <w:i/>
        </w:rPr>
        <w:t>2012 Kyoto Land Use Mapping Pilot – Regional image mosaics, environmentally-limiting factors, tree-line assessment and trial land use mapping</w:t>
      </w:r>
      <w:r w:rsidRPr="00BE78CA">
        <w:t>. Wellington: Ministry for the Environment.</w:t>
      </w:r>
    </w:p>
    <w:p w14:paraId="33165743" w14:textId="77777777" w:rsidR="00410716" w:rsidRPr="00BE78CA" w:rsidRDefault="00410716" w:rsidP="00410716">
      <w:pPr>
        <w:pStyle w:val="References"/>
      </w:pPr>
      <w:r w:rsidRPr="00BE78CA">
        <w:t>Paul TSH, Wakelin SJ. Unpublished. Yield tables and approach for estimating historic carbon stocks in pre-1990 planted forests for greenhouse gas inventory reporting. Contract report prepared for the Ministry for the Environment by New Zealand Forest Research Institute Ltd (trading as Scion) in 2020.</w:t>
      </w:r>
    </w:p>
    <w:p w14:paraId="7B1E615B" w14:textId="77777777" w:rsidR="00410716" w:rsidRPr="00BE78CA" w:rsidRDefault="00410716" w:rsidP="00410716">
      <w:pPr>
        <w:pStyle w:val="References"/>
      </w:pPr>
      <w:r w:rsidRPr="00BE78CA">
        <w:t xml:space="preserve">Rhodes D, Novis J. 2002. </w:t>
      </w:r>
      <w:r w:rsidRPr="00BE78CA">
        <w:rPr>
          <w:i/>
        </w:rPr>
        <w:t>The Impact of Incentives on the Development of Plantation Forest Resources in New Zealand</w:t>
      </w:r>
      <w:r w:rsidRPr="00BE78CA">
        <w:t>. MAF information paper no 45. MAF policy division. Wellington: Ministry of Agriculture and Forestry.</w:t>
      </w:r>
    </w:p>
    <w:p w14:paraId="5789CCDA" w14:textId="77777777" w:rsidR="00410716" w:rsidRPr="00BE78CA" w:rsidRDefault="00410716" w:rsidP="00410716">
      <w:pPr>
        <w:pStyle w:val="References"/>
      </w:pPr>
      <w:r w:rsidRPr="00BE78CA">
        <w:t xml:space="preserve">Robertson KA. 1998. Loss of organic matter and carbon during slash burns in New Zealand exotic forests. </w:t>
      </w:r>
      <w:r w:rsidRPr="00BE78CA">
        <w:rPr>
          <w:i/>
        </w:rPr>
        <w:t>New Zealand Journal of Forestry Science</w:t>
      </w:r>
      <w:r w:rsidRPr="00BE78CA">
        <w:t xml:space="preserve"> 28(2): 221–241.</w:t>
      </w:r>
    </w:p>
    <w:p w14:paraId="5C84BD81" w14:textId="77777777" w:rsidR="00410716" w:rsidRPr="00BE78CA" w:rsidRDefault="00410716" w:rsidP="00410716">
      <w:pPr>
        <w:pStyle w:val="References"/>
      </w:pPr>
      <w:r w:rsidRPr="00BE78CA">
        <w:t xml:space="preserve">Te Uru Rākau. 2018. </w:t>
      </w:r>
      <w:r w:rsidRPr="00BE78CA">
        <w:rPr>
          <w:i/>
        </w:rPr>
        <w:t>One Billion Trees Fund.</w:t>
      </w:r>
      <w:r w:rsidRPr="00BE78CA">
        <w:t xml:space="preserve"> Wellington: Te Uru Rākau. Retrieved from www.mpi.govt.nz/funding-and-programmes/forestry/planting-one-billion-trees/one-billion-tree-fund (5 February 2019).</w:t>
      </w:r>
    </w:p>
    <w:p w14:paraId="6B66F6CC" w14:textId="77777777" w:rsidR="00410716" w:rsidRPr="00BE78CA" w:rsidRDefault="00410716" w:rsidP="00410716">
      <w:pPr>
        <w:pStyle w:val="References"/>
      </w:pPr>
      <w:r w:rsidRPr="00BE78CA">
        <w:t>UNFCCC. 2006</w:t>
      </w:r>
      <w:r w:rsidRPr="00BE78CA">
        <w:rPr>
          <w:i/>
        </w:rPr>
        <w:t>. Report of the Conference of the Parties serving as the meeting of the Parties to the Kyoto Protocol on its first session, held at Montreal from 28 November to 10 December 2005: Addendum – Part 2: Action taken by the Conference of the Parties serving as the meeting of the Parties to the Kyoto Protocol at its first session</w:t>
      </w:r>
      <w:r w:rsidRPr="00BE78CA">
        <w:t>. FCCC/KP/CMP/2005/8/Add.3.</w:t>
      </w:r>
    </w:p>
    <w:p w14:paraId="6816D064" w14:textId="77777777" w:rsidR="00410716" w:rsidRPr="00BE78CA" w:rsidRDefault="00410716" w:rsidP="00410716">
      <w:pPr>
        <w:pStyle w:val="References"/>
      </w:pPr>
      <w:r w:rsidRPr="00BE78CA">
        <w:t>UNFCCC. 2012</w:t>
      </w:r>
      <w:r w:rsidRPr="00BE78CA">
        <w:rPr>
          <w:i/>
        </w:rPr>
        <w:t>. Report of the Conference of the Parties serving as the meeting of the Parties to the Kyoto Protocol on its seventh session, held in Durban from 28 November to 11 December 2011: Addendum – Part 2: Action taken by the Conference of the Parties serving as the meeting of the Parties to the Kyoto Protocol at its seventh session</w:t>
      </w:r>
      <w:r w:rsidRPr="00BE78CA">
        <w:t>. FCCC/KP/CMP/2011/10/Add.1.</w:t>
      </w:r>
    </w:p>
    <w:p w14:paraId="4E4575E7" w14:textId="77777777" w:rsidR="00410716" w:rsidRPr="00BE78CA" w:rsidRDefault="00410716" w:rsidP="00410716">
      <w:pPr>
        <w:pStyle w:val="References"/>
      </w:pPr>
      <w:r w:rsidRPr="00BE78CA">
        <w:t>UNFCCC. 2018. FCCC/ARR/2017/NZL. Report of the individual review of the annual submission of New Zealand submitted in 2017. Centralised Review.</w:t>
      </w:r>
    </w:p>
    <w:p w14:paraId="59C8F622" w14:textId="77777777" w:rsidR="00410716" w:rsidRPr="00BE78CA" w:rsidRDefault="00410716" w:rsidP="00410716">
      <w:pPr>
        <w:pStyle w:val="References"/>
      </w:pPr>
      <w:r w:rsidRPr="00BE78CA">
        <w:t xml:space="preserve">Wakelin SJ. Unpublished(a). </w:t>
      </w:r>
      <w:r w:rsidRPr="00BE78CA">
        <w:rPr>
          <w:iCs/>
        </w:rPr>
        <w:t>Apportioning Wildfire Emissions to Forest Sub-categories in the National Greenhouse Gas Inventory</w:t>
      </w:r>
      <w:r w:rsidRPr="00BE78CA">
        <w:t>. Contract report prepared for the Ministry for the Environment by New Zealand Forest Research Institute Limited (trading as Scion) in 2011.</w:t>
      </w:r>
    </w:p>
    <w:p w14:paraId="0D9760AE" w14:textId="77777777" w:rsidR="00410716" w:rsidRPr="00BE78CA" w:rsidRDefault="00410716" w:rsidP="00410716">
      <w:pPr>
        <w:pStyle w:val="References"/>
      </w:pPr>
      <w:r w:rsidRPr="00BE78CA">
        <w:t xml:space="preserve">Wakelin SJ. Unpublished(b). </w:t>
      </w:r>
      <w:r w:rsidRPr="00BE78CA">
        <w:rPr>
          <w:iCs/>
        </w:rPr>
        <w:t>Controlled Biomass Burning Emissions for the 2011 Greenhouse Gas Inventory</w:t>
      </w:r>
      <w:r w:rsidRPr="00BE78CA">
        <w:t>. Contract report prepared for the Ministry for the Environment by New Zealand Forest Research Institute Limited (trading as Scion) in 2012.</w:t>
      </w:r>
    </w:p>
    <w:p w14:paraId="13BB9493" w14:textId="77777777" w:rsidR="005076F4" w:rsidRPr="00BE78CA" w:rsidRDefault="005076F4" w:rsidP="007E0025">
      <w:pPr>
        <w:pStyle w:val="References"/>
      </w:pPr>
    </w:p>
    <w:p w14:paraId="0833F761" w14:textId="4CA5E7D4" w:rsidR="005076F4" w:rsidRPr="00BE78CA" w:rsidRDefault="005076F4" w:rsidP="007E0025">
      <w:pPr>
        <w:pStyle w:val="References"/>
        <w:sectPr w:rsidR="005076F4" w:rsidRPr="00BE78CA" w:rsidSect="005D0C5D">
          <w:footerReference w:type="even" r:id="rId285"/>
          <w:footerReference w:type="default" r:id="rId286"/>
          <w:pgSz w:w="11907" w:h="16840" w:code="9"/>
          <w:pgMar w:top="1418" w:right="1701" w:bottom="1418" w:left="1701" w:header="567" w:footer="567" w:gutter="0"/>
          <w:cols w:space="720"/>
        </w:sectPr>
      </w:pPr>
    </w:p>
    <w:p w14:paraId="74731000" w14:textId="77777777" w:rsidR="000631B3" w:rsidRPr="00BE78CA" w:rsidRDefault="000631B3" w:rsidP="000631B3">
      <w:pPr>
        <w:pStyle w:val="Heading1"/>
      </w:pPr>
      <w:bookmarkStart w:id="3646" w:name="_Toc68786373"/>
      <w:r w:rsidRPr="00BE78CA">
        <w:lastRenderedPageBreak/>
        <w:t>Chapter 12: Information on accounting of the Kyoto Protocol units</w:t>
      </w:r>
      <w:bookmarkEnd w:id="3646"/>
    </w:p>
    <w:p w14:paraId="7D39CC74" w14:textId="77777777" w:rsidR="000631B3" w:rsidRPr="00BE78CA" w:rsidRDefault="000631B3" w:rsidP="002F54E5">
      <w:pPr>
        <w:pStyle w:val="Heading2"/>
        <w:spacing w:before="240"/>
      </w:pPr>
      <w:bookmarkStart w:id="3647" w:name="_Toc235955566"/>
      <w:bookmarkStart w:id="3648" w:name="_Toc481751431"/>
      <w:bookmarkStart w:id="3649" w:name="_Toc511116646"/>
      <w:bookmarkStart w:id="3650" w:name="_Toc5269414"/>
      <w:bookmarkStart w:id="3651" w:name="_Toc36224454"/>
      <w:bookmarkStart w:id="3652" w:name="_Toc68786374"/>
      <w:r w:rsidRPr="00BE78CA">
        <w:t>12.1</w:t>
      </w:r>
      <w:r w:rsidRPr="00BE78CA">
        <w:tab/>
        <w:t>Background information</w:t>
      </w:r>
      <w:bookmarkEnd w:id="3647"/>
      <w:bookmarkEnd w:id="3648"/>
      <w:bookmarkEnd w:id="3649"/>
      <w:bookmarkEnd w:id="3650"/>
      <w:bookmarkEnd w:id="3651"/>
      <w:bookmarkEnd w:id="3652"/>
    </w:p>
    <w:p w14:paraId="2D65731B" w14:textId="77777777" w:rsidR="000631B3" w:rsidRPr="00BE78CA" w:rsidRDefault="000631B3" w:rsidP="002F54E5">
      <w:pPr>
        <w:pStyle w:val="Heading3"/>
        <w:spacing w:before="240"/>
      </w:pPr>
      <w:r w:rsidRPr="00BE78CA">
        <w:t>12.1.1</w:t>
      </w:r>
      <w:r w:rsidRPr="00BE78CA">
        <w:tab/>
        <w:t>Assigned amount and commitment period reserve</w:t>
      </w:r>
    </w:p>
    <w:p w14:paraId="27FD9B1E" w14:textId="77777777" w:rsidR="000631B3" w:rsidRPr="00BE78CA" w:rsidRDefault="000631B3" w:rsidP="000631B3">
      <w:pPr>
        <w:pStyle w:val="BodyText"/>
      </w:pPr>
      <w:r w:rsidRPr="00BE78CA">
        <w:t>In January 2008, New Zealand’s national registry was issued with New Zealand’s assigned amount of 309,564,733 metric tonnes of carbon dioxide equivalent (CO</w:t>
      </w:r>
      <w:r w:rsidRPr="00BE78CA">
        <w:rPr>
          <w:vertAlign w:val="subscript"/>
        </w:rPr>
        <w:t>2</w:t>
      </w:r>
      <w:r w:rsidRPr="00BE78CA">
        <w:t xml:space="preserve">-e) for the first commitment period (CP1). </w:t>
      </w:r>
    </w:p>
    <w:p w14:paraId="47348C3D" w14:textId="77777777" w:rsidR="000631B3" w:rsidRPr="00BE78CA" w:rsidRDefault="000631B3" w:rsidP="000631B3">
      <w:pPr>
        <w:pStyle w:val="BodyText"/>
      </w:pPr>
      <w:r w:rsidRPr="00BE78CA">
        <w:t>The commitment period reserve for CP1 of 278,608,260 metric tonnes CO</w:t>
      </w:r>
      <w:r w:rsidRPr="00BE78CA">
        <w:rPr>
          <w:vertAlign w:val="subscript"/>
        </w:rPr>
        <w:t>2</w:t>
      </w:r>
      <w:r w:rsidRPr="00BE78CA">
        <w:t>-e is 90 per cent of the assigned amount. The value of the commitment reserve for CP1 was fixed after the initial review in 2007. The number of units held in the national registry during CP1 could not fall below this amount.</w:t>
      </w:r>
    </w:p>
    <w:p w14:paraId="45F4DECB" w14:textId="77777777" w:rsidR="000631B3" w:rsidRPr="00BE78CA" w:rsidRDefault="000631B3" w:rsidP="000631B3">
      <w:pPr>
        <w:pStyle w:val="Heading3"/>
        <w:spacing w:before="240"/>
      </w:pPr>
      <w:r w:rsidRPr="00BE78CA">
        <w:t>12.1.2</w:t>
      </w:r>
      <w:r w:rsidRPr="00BE78CA">
        <w:tab/>
        <w:t>Holdings and transactions of Kyoto Protocol units</w:t>
      </w:r>
    </w:p>
    <w:p w14:paraId="5E13FB65" w14:textId="77777777" w:rsidR="000631B3" w:rsidRPr="00BE78CA" w:rsidRDefault="000631B3" w:rsidP="000631B3">
      <w:pPr>
        <w:pStyle w:val="BodyText"/>
      </w:pPr>
      <w:r w:rsidRPr="00BE78CA">
        <w:t>Tables detailing holdings and transactions of commitment period units have been submitted to the United Nations Framework Convention on Climate Change (UNFCCC) Secretariat electronically, and are also provided in the MS Excel worksheets available for download with this report from the Ministry for the Environment’s website (</w:t>
      </w:r>
      <w:hyperlink r:id="rId287" w:history="1">
        <w:r w:rsidRPr="00BE78CA">
          <w:rPr>
            <w:rStyle w:val="Hyperlink"/>
          </w:rPr>
          <w:t>www.mfe.govt.nz/climate-change/state-of-our-atmosphere-and-climate/new-zealands-greenhouse-gas-inventory</w:t>
        </w:r>
      </w:hyperlink>
      <w:r w:rsidRPr="00BE78CA">
        <w:t>).</w:t>
      </w:r>
    </w:p>
    <w:p w14:paraId="3FA02FE0" w14:textId="77777777" w:rsidR="000631B3" w:rsidRPr="00BE78CA" w:rsidRDefault="000631B3" w:rsidP="002F54E5">
      <w:pPr>
        <w:pStyle w:val="BodyText"/>
        <w:spacing w:after="0"/>
        <w:rPr>
          <w:b/>
          <w:bCs/>
        </w:rPr>
      </w:pPr>
      <w:r w:rsidRPr="00BE78CA">
        <w:rPr>
          <w:b/>
          <w:bCs/>
        </w:rPr>
        <w:t>General note</w:t>
      </w:r>
    </w:p>
    <w:p w14:paraId="7F598A93" w14:textId="77777777" w:rsidR="000631B3" w:rsidRPr="00BE78CA" w:rsidRDefault="000631B3" w:rsidP="002F54E5">
      <w:pPr>
        <w:pStyle w:val="BodyText"/>
        <w:spacing w:after="0"/>
      </w:pPr>
      <w:r w:rsidRPr="00BE78CA">
        <w:t>Abbreviations used in this chapter include:</w:t>
      </w:r>
    </w:p>
    <w:p w14:paraId="29262051" w14:textId="77777777" w:rsidR="000631B3" w:rsidRPr="00BE78CA" w:rsidRDefault="000631B3" w:rsidP="002F54E5">
      <w:pPr>
        <w:pStyle w:val="BodyText"/>
        <w:spacing w:after="0"/>
      </w:pPr>
      <w:r w:rsidRPr="00BE78CA">
        <w:t>AAUs</w:t>
      </w:r>
      <w:r w:rsidRPr="00BE78CA">
        <w:tab/>
      </w:r>
      <w:r w:rsidRPr="00BE78CA">
        <w:tab/>
        <w:t>Assigned amount units</w:t>
      </w:r>
    </w:p>
    <w:p w14:paraId="36B28118" w14:textId="77777777" w:rsidR="000631B3" w:rsidRPr="00BE78CA" w:rsidRDefault="000631B3" w:rsidP="002F54E5">
      <w:pPr>
        <w:pStyle w:val="BodyText"/>
        <w:spacing w:after="0"/>
      </w:pPr>
      <w:r w:rsidRPr="00BE78CA">
        <w:t xml:space="preserve">CDM </w:t>
      </w:r>
      <w:r w:rsidRPr="00BE78CA">
        <w:tab/>
      </w:r>
      <w:r w:rsidRPr="00BE78CA">
        <w:tab/>
        <w:t>Clean Development Mechanism</w:t>
      </w:r>
    </w:p>
    <w:p w14:paraId="790F3C00" w14:textId="77777777" w:rsidR="000631B3" w:rsidRPr="00BE78CA" w:rsidRDefault="000631B3" w:rsidP="002F54E5">
      <w:pPr>
        <w:pStyle w:val="BodyText"/>
        <w:spacing w:after="0"/>
      </w:pPr>
      <w:r w:rsidRPr="00BE78CA">
        <w:t>CERs</w:t>
      </w:r>
      <w:r w:rsidRPr="00BE78CA">
        <w:tab/>
      </w:r>
      <w:r w:rsidRPr="00BE78CA">
        <w:tab/>
        <w:t>Certified emission reduction units</w:t>
      </w:r>
    </w:p>
    <w:p w14:paraId="587DB460" w14:textId="77777777" w:rsidR="000631B3" w:rsidRPr="00BE78CA" w:rsidRDefault="000631B3" w:rsidP="002F54E5">
      <w:pPr>
        <w:pStyle w:val="BodyText"/>
        <w:spacing w:after="0"/>
      </w:pPr>
      <w:r w:rsidRPr="00BE78CA">
        <w:t>ERUs</w:t>
      </w:r>
      <w:r w:rsidRPr="00BE78CA">
        <w:tab/>
      </w:r>
      <w:r w:rsidRPr="00BE78CA">
        <w:tab/>
        <w:t>Emission reduction units</w:t>
      </w:r>
    </w:p>
    <w:p w14:paraId="697DA1C3" w14:textId="77777777" w:rsidR="000631B3" w:rsidRPr="00BE78CA" w:rsidRDefault="000631B3" w:rsidP="002F54E5">
      <w:pPr>
        <w:pStyle w:val="BodyText"/>
        <w:spacing w:after="0"/>
      </w:pPr>
      <w:r w:rsidRPr="00BE78CA">
        <w:t>lCERs</w:t>
      </w:r>
      <w:r w:rsidRPr="00BE78CA">
        <w:tab/>
      </w:r>
      <w:r w:rsidRPr="00BE78CA">
        <w:tab/>
        <w:t>Long-term certified emission reduction units</w:t>
      </w:r>
    </w:p>
    <w:p w14:paraId="13B39C58" w14:textId="77777777" w:rsidR="000631B3" w:rsidRPr="00BE78CA" w:rsidRDefault="000631B3" w:rsidP="002F54E5">
      <w:pPr>
        <w:pStyle w:val="BodyText"/>
        <w:spacing w:after="0"/>
      </w:pPr>
      <w:r w:rsidRPr="00BE78CA">
        <w:t>RMUs</w:t>
      </w:r>
      <w:r w:rsidRPr="00BE78CA">
        <w:tab/>
      </w:r>
      <w:r w:rsidRPr="00BE78CA">
        <w:tab/>
        <w:t>Removal units</w:t>
      </w:r>
    </w:p>
    <w:p w14:paraId="6C81A206" w14:textId="77777777" w:rsidR="000631B3" w:rsidRPr="00BE78CA" w:rsidRDefault="000631B3" w:rsidP="000631B3">
      <w:pPr>
        <w:pStyle w:val="BodyText"/>
      </w:pPr>
      <w:r w:rsidRPr="00BE78CA">
        <w:t>tCERS</w:t>
      </w:r>
      <w:r w:rsidRPr="00BE78CA">
        <w:tab/>
      </w:r>
      <w:r w:rsidRPr="00BE78CA">
        <w:tab/>
        <w:t>Temporary certified emission reduction units</w:t>
      </w:r>
    </w:p>
    <w:p w14:paraId="4431BA03" w14:textId="328D1CEC" w:rsidR="000631B3" w:rsidRPr="00BE78CA" w:rsidRDefault="000631B3" w:rsidP="000631B3">
      <w:pPr>
        <w:pStyle w:val="Heading2"/>
      </w:pPr>
      <w:bookmarkStart w:id="3653" w:name="_Toc235955567"/>
      <w:bookmarkStart w:id="3654" w:name="_Toc481751432"/>
      <w:bookmarkStart w:id="3655" w:name="_Toc5269415"/>
      <w:bookmarkStart w:id="3656" w:name="_Toc36224455"/>
      <w:bookmarkStart w:id="3657" w:name="_Toc68786375"/>
      <w:r w:rsidRPr="00BE78CA">
        <w:t>12.2</w:t>
      </w:r>
      <w:r w:rsidRPr="00BE78CA">
        <w:tab/>
        <w:t>Summary of the standard electronic format tables for reporting Kyoto</w:t>
      </w:r>
      <w:r w:rsidR="00971AB3" w:rsidRPr="00BE78CA">
        <w:t> </w:t>
      </w:r>
      <w:r w:rsidRPr="00BE78CA">
        <w:t>Protocol</w:t>
      </w:r>
      <w:r w:rsidR="00971AB3" w:rsidRPr="00BE78CA">
        <w:t> </w:t>
      </w:r>
      <w:r w:rsidRPr="00BE78CA">
        <w:t>units</w:t>
      </w:r>
      <w:bookmarkEnd w:id="3653"/>
      <w:bookmarkEnd w:id="3654"/>
      <w:bookmarkEnd w:id="3655"/>
      <w:bookmarkEnd w:id="3656"/>
      <w:bookmarkEnd w:id="3657"/>
    </w:p>
    <w:p w14:paraId="42B9EC6B" w14:textId="77777777" w:rsidR="000631B3" w:rsidRPr="00BE78CA" w:rsidRDefault="000631B3" w:rsidP="000631B3">
      <w:pPr>
        <w:pStyle w:val="BodyText"/>
      </w:pPr>
      <w:r w:rsidRPr="00BE78CA">
        <w:t xml:space="preserve">At the beginning of the calendar year </w:t>
      </w:r>
      <w:r w:rsidRPr="00BE78CA">
        <w:rPr>
          <w:color w:val="000000"/>
        </w:rPr>
        <w:t>2020</w:t>
      </w:r>
      <w:r w:rsidRPr="00BE78CA">
        <w:t>, New Zealand’s national registry held 308,343,858 CP1 AAUs, 110,744,560 CP1 ERUs, 21,685,909 CP1 CERs and 100,845,399 CP1 RMUs. The number and mix of units held at the end of 2020 were the same as at the beginning of 2020, because no international transactions occurred during this period and this value includes the units retired to meet CP1 obligations. No second commitment period (CP2) units were held by New Zealand in 2020.</w:t>
      </w:r>
    </w:p>
    <w:p w14:paraId="71AF8ADA" w14:textId="77777777" w:rsidR="000631B3" w:rsidRPr="00BE78CA" w:rsidRDefault="000631B3" w:rsidP="000631B3">
      <w:pPr>
        <w:pStyle w:val="BodyText"/>
      </w:pPr>
      <w:r w:rsidRPr="00BE78CA">
        <w:lastRenderedPageBreak/>
        <w:t xml:space="preserve">At the end of </w:t>
      </w:r>
      <w:r w:rsidRPr="00BE78CA">
        <w:rPr>
          <w:color w:val="000000"/>
        </w:rPr>
        <w:t>2020</w:t>
      </w:r>
      <w:r w:rsidRPr="00BE78CA">
        <w:t xml:space="preserve">, the units held in New Zealand’s national registry remained at 308,343,858 AAUs, 110,744,560 ERUs, 21,685,909 CERs and 100,845,399 RMUs. </w:t>
      </w:r>
    </w:p>
    <w:p w14:paraId="766EC00F" w14:textId="77777777" w:rsidR="000631B3" w:rsidRPr="00BE78CA" w:rsidRDefault="000631B3" w:rsidP="000631B3">
      <w:pPr>
        <w:pStyle w:val="BodyText"/>
      </w:pPr>
      <w:r w:rsidRPr="00BE78CA">
        <w:t xml:space="preserve">New Zealand’s national registry did not hold any tCERS or lCERs during </w:t>
      </w:r>
      <w:r w:rsidRPr="00BE78CA">
        <w:rPr>
          <w:color w:val="000000"/>
        </w:rPr>
        <w:t>2020</w:t>
      </w:r>
      <w:r w:rsidRPr="00BE78CA">
        <w:t>.</w:t>
      </w:r>
    </w:p>
    <w:p w14:paraId="11CAEAD3" w14:textId="77777777" w:rsidR="000631B3" w:rsidRPr="00BE78CA" w:rsidRDefault="000631B3" w:rsidP="000631B3">
      <w:pPr>
        <w:pStyle w:val="BodyText"/>
      </w:pPr>
      <w:r w:rsidRPr="00BE78CA">
        <w:t xml:space="preserve">The transactions made to New Zealand’s national registry during </w:t>
      </w:r>
      <w:r w:rsidRPr="00BE78CA">
        <w:rPr>
          <w:color w:val="000000"/>
        </w:rPr>
        <w:t xml:space="preserve">2020 </w:t>
      </w:r>
      <w:r w:rsidRPr="00BE78CA">
        <w:t>are summarised below.</w:t>
      </w:r>
    </w:p>
    <w:p w14:paraId="309F5F5E" w14:textId="77777777" w:rsidR="000631B3" w:rsidRPr="00BE78CA" w:rsidRDefault="000631B3" w:rsidP="000631B3">
      <w:pPr>
        <w:pStyle w:val="Bullet"/>
        <w:spacing w:line="259" w:lineRule="auto"/>
        <w:rPr>
          <w:lang w:eastAsia="en-GB"/>
        </w:rPr>
      </w:pPr>
      <w:r w:rsidRPr="00BE78CA">
        <w:rPr>
          <w:lang w:eastAsia="en-GB"/>
        </w:rPr>
        <w:t xml:space="preserve">No external transfers of Kyoto units occurred. A total of </w:t>
      </w:r>
      <w:r w:rsidRPr="00BE78CA">
        <w:rPr>
          <w:color w:val="000000"/>
          <w:lang w:eastAsia="en-GB"/>
        </w:rPr>
        <w:t>99,664,044 AAUs</w:t>
      </w:r>
      <w:r w:rsidRPr="00BE78CA">
        <w:rPr>
          <w:lang w:eastAsia="en-GB"/>
        </w:rPr>
        <w:t xml:space="preserve">, 10,269,181 ERUs, 1,911 RMUs, and 145,592 CERs were subtracted internally through cancellation. These cancellations included the cancellation of a large number of Crown-held New Zealand-originated AAUs that had been requested to be carried over from the first to the second commitment period in New Zealand’s CP1 True-up reporting, and the cancellation of all privately held Kyoto units in the New Zealand registry. </w:t>
      </w:r>
    </w:p>
    <w:p w14:paraId="6D1A7442" w14:textId="77777777" w:rsidR="000631B3" w:rsidRPr="00BE78CA" w:rsidRDefault="000631B3" w:rsidP="000631B3">
      <w:pPr>
        <w:pStyle w:val="Bullet"/>
        <w:spacing w:line="259" w:lineRule="auto"/>
        <w:rPr>
          <w:lang w:eastAsia="en-GB"/>
        </w:rPr>
      </w:pPr>
      <w:r w:rsidRPr="00BE78CA">
        <w:rPr>
          <w:lang w:eastAsia="en-GB"/>
        </w:rPr>
        <w:t>There were no conversions to ERUs. No CP2 Kyoto units were held by New Zealand during the 2020 year.</w:t>
      </w:r>
    </w:p>
    <w:p w14:paraId="2AEB0363" w14:textId="77777777" w:rsidR="000631B3" w:rsidRPr="00BE78CA" w:rsidRDefault="000631B3" w:rsidP="000631B3">
      <w:pPr>
        <w:pStyle w:val="Table"/>
      </w:pPr>
      <w:bookmarkStart w:id="3658" w:name="_Toc481751639"/>
      <w:bookmarkStart w:id="3659" w:name="_Toc511116869"/>
      <w:bookmarkStart w:id="3660" w:name="_Toc5269637"/>
      <w:bookmarkStart w:id="3661" w:name="_Toc36224720"/>
      <w:bookmarkStart w:id="3662" w:name="_Toc68786605"/>
      <w:r w:rsidRPr="00BE78CA">
        <w:t>Table 12.2.1</w:t>
      </w:r>
      <w:r w:rsidRPr="00BE78CA">
        <w:tab/>
        <w:t>New Zealand’s submission of the standard electronic format</w:t>
      </w:r>
      <w:bookmarkEnd w:id="3658"/>
      <w:bookmarkEnd w:id="3659"/>
      <w:bookmarkEnd w:id="3660"/>
      <w:bookmarkEnd w:id="3661"/>
      <w:bookmarkEnd w:id="3662"/>
    </w:p>
    <w:tbl>
      <w:tblPr>
        <w:tblW w:w="8505" w:type="dxa"/>
        <w:tblBorders>
          <w:top w:val="single" w:sz="4" w:space="0" w:color="365F91"/>
          <w:bottom w:val="single" w:sz="4" w:space="0" w:color="365F91"/>
          <w:insideH w:val="single" w:sz="4" w:space="0" w:color="365F91"/>
          <w:insideV w:val="single" w:sz="4" w:space="0" w:color="365F91"/>
        </w:tblBorders>
        <w:tblLook w:val="01E0" w:firstRow="1" w:lastRow="1" w:firstColumn="1" w:lastColumn="1" w:noHBand="0" w:noVBand="0"/>
      </w:tblPr>
      <w:tblGrid>
        <w:gridCol w:w="2694"/>
        <w:gridCol w:w="5811"/>
      </w:tblGrid>
      <w:tr w:rsidR="000631B3" w:rsidRPr="00BE78CA" w14:paraId="4C44B169" w14:textId="77777777" w:rsidTr="002F54E5">
        <w:tc>
          <w:tcPr>
            <w:tcW w:w="2694" w:type="dxa"/>
            <w:shd w:val="clear" w:color="auto" w:fill="365F91"/>
          </w:tcPr>
          <w:p w14:paraId="14EDA6BD" w14:textId="77777777" w:rsidR="000631B3" w:rsidRPr="00BE78CA" w:rsidRDefault="000631B3" w:rsidP="00C26084">
            <w:pPr>
              <w:pStyle w:val="TableTextBold"/>
              <w:rPr>
                <w:noProof w:val="0"/>
                <w:color w:val="FFFFFF"/>
              </w:rPr>
            </w:pPr>
            <w:r w:rsidRPr="00BE78CA">
              <w:rPr>
                <w:noProof w:val="0"/>
                <w:color w:val="FFFFFF"/>
              </w:rPr>
              <w:t>Annual submission item</w:t>
            </w:r>
          </w:p>
        </w:tc>
        <w:tc>
          <w:tcPr>
            <w:tcW w:w="5811" w:type="dxa"/>
            <w:shd w:val="clear" w:color="auto" w:fill="365F91"/>
          </w:tcPr>
          <w:p w14:paraId="7C2255DB" w14:textId="77777777" w:rsidR="000631B3" w:rsidRPr="00BE78CA" w:rsidRDefault="000631B3" w:rsidP="00C26084">
            <w:pPr>
              <w:pStyle w:val="TableTextBold"/>
              <w:rPr>
                <w:noProof w:val="0"/>
                <w:color w:val="FFFFFF"/>
              </w:rPr>
            </w:pPr>
            <w:r w:rsidRPr="00BE78CA">
              <w:rPr>
                <w:noProof w:val="0"/>
                <w:color w:val="FFFFFF"/>
              </w:rPr>
              <w:t>New Zealand’s national registry response</w:t>
            </w:r>
          </w:p>
        </w:tc>
      </w:tr>
      <w:tr w:rsidR="000631B3" w:rsidRPr="00BE78CA" w14:paraId="2CCED7A7" w14:textId="77777777" w:rsidTr="002F54E5">
        <w:tc>
          <w:tcPr>
            <w:tcW w:w="2694" w:type="dxa"/>
            <w:shd w:val="clear" w:color="auto" w:fill="auto"/>
          </w:tcPr>
          <w:p w14:paraId="0256F6EB" w14:textId="77777777" w:rsidR="000631B3" w:rsidRPr="00BE78CA" w:rsidRDefault="000631B3" w:rsidP="00C26084">
            <w:pPr>
              <w:pStyle w:val="TableText"/>
            </w:pPr>
            <w:r w:rsidRPr="00BE78CA">
              <w:t>15/CMP.1 annex I.E paragraph 11: Standard electronic format (SEF)</w:t>
            </w:r>
          </w:p>
        </w:tc>
        <w:tc>
          <w:tcPr>
            <w:tcW w:w="5811" w:type="dxa"/>
            <w:shd w:val="clear" w:color="auto" w:fill="auto"/>
          </w:tcPr>
          <w:p w14:paraId="5D4B4CD1" w14:textId="77777777" w:rsidR="000631B3" w:rsidRPr="00BE78CA" w:rsidRDefault="000631B3" w:rsidP="00C26084">
            <w:pPr>
              <w:pStyle w:val="TableText"/>
            </w:pPr>
            <w:r w:rsidRPr="00BE78CA">
              <w:t>The standard electronic format reports for 2020 first and second commitment period units have been submitted to the UNFCCC Secretariat electronically.</w:t>
            </w:r>
          </w:p>
        </w:tc>
      </w:tr>
    </w:tbl>
    <w:p w14:paraId="1633F777" w14:textId="77777777" w:rsidR="000631B3" w:rsidRPr="00BE78CA" w:rsidRDefault="000631B3" w:rsidP="001A728C">
      <w:pPr>
        <w:pStyle w:val="Heading2"/>
        <w:spacing w:before="440"/>
      </w:pPr>
      <w:bookmarkStart w:id="3663" w:name="_Toc481751433"/>
      <w:bookmarkStart w:id="3664" w:name="_Toc511116647"/>
      <w:bookmarkStart w:id="3665" w:name="_Toc5269416"/>
      <w:bookmarkStart w:id="3666" w:name="_Toc36224456"/>
      <w:bookmarkStart w:id="3667" w:name="_Toc68786376"/>
      <w:r w:rsidRPr="00BE78CA">
        <w:t>12.3</w:t>
      </w:r>
      <w:r w:rsidRPr="00BE78CA">
        <w:tab/>
        <w:t>Discrepancies and notifications</w:t>
      </w:r>
      <w:bookmarkEnd w:id="3663"/>
      <w:bookmarkEnd w:id="3664"/>
      <w:bookmarkEnd w:id="3665"/>
      <w:bookmarkEnd w:id="3666"/>
      <w:bookmarkEnd w:id="3667"/>
    </w:p>
    <w:p w14:paraId="62A942E1" w14:textId="77777777" w:rsidR="000631B3" w:rsidRPr="00BE78CA" w:rsidRDefault="000631B3" w:rsidP="000631B3">
      <w:pPr>
        <w:pStyle w:val="BodyText"/>
      </w:pPr>
      <w:r w:rsidRPr="00BE78CA">
        <w:t xml:space="preserve">New Zealand has not received any notification of discrepancies, failures or invalid units. </w:t>
      </w:r>
    </w:p>
    <w:p w14:paraId="1277A9DA" w14:textId="77777777" w:rsidR="000631B3" w:rsidRPr="00BE78CA" w:rsidRDefault="000631B3" w:rsidP="000631B3">
      <w:pPr>
        <w:pStyle w:val="Table"/>
      </w:pPr>
      <w:bookmarkStart w:id="3668" w:name="_Toc481751642"/>
      <w:bookmarkStart w:id="3669" w:name="_Toc511116870"/>
      <w:bookmarkStart w:id="3670" w:name="_Toc5269638"/>
      <w:bookmarkStart w:id="3671" w:name="_Toc36224721"/>
      <w:bookmarkStart w:id="3672" w:name="_Toc68786606"/>
      <w:r w:rsidRPr="00BE78CA">
        <w:t>Table 12.3.1</w:t>
      </w:r>
      <w:r w:rsidRPr="00BE78CA">
        <w:tab/>
        <w:t>Discrepancies and notifications from New Zealand’s national registry</w:t>
      </w:r>
      <w:bookmarkEnd w:id="3668"/>
      <w:bookmarkEnd w:id="3669"/>
      <w:bookmarkEnd w:id="3670"/>
      <w:bookmarkEnd w:id="3671"/>
      <w:bookmarkEnd w:id="3672"/>
    </w:p>
    <w:tbl>
      <w:tblPr>
        <w:tblW w:w="8505" w:type="dxa"/>
        <w:tblBorders>
          <w:top w:val="single" w:sz="4" w:space="0" w:color="365F91"/>
          <w:bottom w:val="single" w:sz="4" w:space="0" w:color="365F91"/>
          <w:insideH w:val="single" w:sz="4" w:space="0" w:color="365F91"/>
          <w:insideV w:val="single" w:sz="4" w:space="0" w:color="365F91"/>
        </w:tblBorders>
        <w:tblLook w:val="01E0" w:firstRow="1" w:lastRow="1" w:firstColumn="1" w:lastColumn="1" w:noHBand="0" w:noVBand="0"/>
      </w:tblPr>
      <w:tblGrid>
        <w:gridCol w:w="4081"/>
        <w:gridCol w:w="4424"/>
      </w:tblGrid>
      <w:tr w:rsidR="000631B3" w:rsidRPr="00BE78CA" w14:paraId="46F92769" w14:textId="77777777" w:rsidTr="002F54E5">
        <w:tc>
          <w:tcPr>
            <w:tcW w:w="3958" w:type="dxa"/>
            <w:tcBorders>
              <w:bottom w:val="single" w:sz="4" w:space="0" w:color="365F91"/>
            </w:tcBorders>
            <w:shd w:val="clear" w:color="auto" w:fill="365F91"/>
          </w:tcPr>
          <w:p w14:paraId="13BBCA31" w14:textId="77777777" w:rsidR="000631B3" w:rsidRPr="00BE78CA" w:rsidRDefault="000631B3" w:rsidP="00C26084">
            <w:pPr>
              <w:pStyle w:val="TableTextBold"/>
              <w:rPr>
                <w:noProof w:val="0"/>
                <w:color w:val="FFFFFF"/>
              </w:rPr>
            </w:pPr>
            <w:r w:rsidRPr="00BE78CA">
              <w:rPr>
                <w:noProof w:val="0"/>
                <w:color w:val="FFFFFF"/>
              </w:rPr>
              <w:t>Annual submission item</w:t>
            </w:r>
          </w:p>
        </w:tc>
        <w:tc>
          <w:tcPr>
            <w:tcW w:w="4290" w:type="dxa"/>
            <w:tcBorders>
              <w:bottom w:val="single" w:sz="4" w:space="0" w:color="365F91"/>
            </w:tcBorders>
            <w:shd w:val="clear" w:color="auto" w:fill="365F91"/>
          </w:tcPr>
          <w:p w14:paraId="264883E8" w14:textId="77777777" w:rsidR="000631B3" w:rsidRPr="00BE78CA" w:rsidRDefault="000631B3" w:rsidP="00C26084">
            <w:pPr>
              <w:pStyle w:val="TableTextBold"/>
              <w:rPr>
                <w:noProof w:val="0"/>
                <w:color w:val="FFFFFF"/>
              </w:rPr>
            </w:pPr>
            <w:r w:rsidRPr="00BE78CA">
              <w:rPr>
                <w:noProof w:val="0"/>
                <w:color w:val="FFFFFF"/>
              </w:rPr>
              <w:t>New Zealand’s national registry response</w:t>
            </w:r>
          </w:p>
        </w:tc>
      </w:tr>
      <w:tr w:rsidR="000631B3" w:rsidRPr="00BE78CA" w14:paraId="348E318E" w14:textId="77777777" w:rsidTr="002F54E5">
        <w:tc>
          <w:tcPr>
            <w:tcW w:w="3958" w:type="dxa"/>
            <w:shd w:val="clear" w:color="auto" w:fill="auto"/>
          </w:tcPr>
          <w:p w14:paraId="5F69AF99" w14:textId="77777777" w:rsidR="000631B3" w:rsidRPr="00BE78CA" w:rsidRDefault="000631B3" w:rsidP="00C26084">
            <w:pPr>
              <w:pStyle w:val="TableText"/>
              <w:spacing w:after="0"/>
            </w:pPr>
            <w:r w:rsidRPr="00BE78CA">
              <w:t xml:space="preserve">15/CMP.1 annex I.E, paragraph 12: </w:t>
            </w:r>
          </w:p>
          <w:p w14:paraId="74827338" w14:textId="77777777" w:rsidR="000631B3" w:rsidRPr="00BE78CA" w:rsidRDefault="000631B3" w:rsidP="00C26084">
            <w:pPr>
              <w:pStyle w:val="TableText"/>
              <w:spacing w:before="0"/>
            </w:pPr>
            <w:r w:rsidRPr="00BE78CA">
              <w:t>List of discrepant transactions</w:t>
            </w:r>
          </w:p>
        </w:tc>
        <w:tc>
          <w:tcPr>
            <w:tcW w:w="4290" w:type="dxa"/>
            <w:shd w:val="clear" w:color="auto" w:fill="auto"/>
          </w:tcPr>
          <w:p w14:paraId="4B8B2819" w14:textId="77777777" w:rsidR="000631B3" w:rsidRPr="00BE78CA" w:rsidRDefault="000631B3" w:rsidP="00C26084">
            <w:pPr>
              <w:pStyle w:val="TableText"/>
            </w:pPr>
            <w:r w:rsidRPr="00BE78CA">
              <w:t xml:space="preserve">No discrepant transactions occurred in 2020. </w:t>
            </w:r>
          </w:p>
        </w:tc>
      </w:tr>
      <w:tr w:rsidR="000631B3" w:rsidRPr="00BE78CA" w14:paraId="2A96E74A" w14:textId="77777777" w:rsidTr="002F54E5">
        <w:tc>
          <w:tcPr>
            <w:tcW w:w="3958" w:type="dxa"/>
            <w:shd w:val="clear" w:color="auto" w:fill="auto"/>
          </w:tcPr>
          <w:p w14:paraId="4E0FF2B2" w14:textId="77777777" w:rsidR="000631B3" w:rsidRPr="00BE78CA" w:rsidRDefault="000631B3" w:rsidP="00C26084">
            <w:pPr>
              <w:pStyle w:val="TableText"/>
              <w:spacing w:after="0"/>
            </w:pPr>
            <w:r w:rsidRPr="00BE78CA">
              <w:t>15/CMP.1 annex I.E, paragraph 13 &amp; 14:</w:t>
            </w:r>
          </w:p>
          <w:p w14:paraId="54DE75E6" w14:textId="77777777" w:rsidR="000631B3" w:rsidRPr="00BE78CA" w:rsidRDefault="000631B3" w:rsidP="00C26084">
            <w:pPr>
              <w:pStyle w:val="TableText"/>
              <w:spacing w:before="0"/>
            </w:pPr>
            <w:r w:rsidRPr="00BE78CA">
              <w:t>List of CDM notifications</w:t>
            </w:r>
          </w:p>
        </w:tc>
        <w:tc>
          <w:tcPr>
            <w:tcW w:w="4290" w:type="dxa"/>
            <w:shd w:val="clear" w:color="auto" w:fill="auto"/>
          </w:tcPr>
          <w:p w14:paraId="755DCD39" w14:textId="77777777" w:rsidR="000631B3" w:rsidRPr="00BE78CA" w:rsidRDefault="000631B3" w:rsidP="00C26084">
            <w:pPr>
              <w:pStyle w:val="TableText"/>
            </w:pPr>
            <w:r w:rsidRPr="00BE78CA">
              <w:t>No CDM notifications occurred in 2020.</w:t>
            </w:r>
          </w:p>
        </w:tc>
      </w:tr>
      <w:tr w:rsidR="000631B3" w:rsidRPr="00BE78CA" w14:paraId="111C302C" w14:textId="77777777" w:rsidTr="002F54E5">
        <w:tc>
          <w:tcPr>
            <w:tcW w:w="3958" w:type="dxa"/>
            <w:shd w:val="clear" w:color="auto" w:fill="auto"/>
          </w:tcPr>
          <w:p w14:paraId="7A33C4CA" w14:textId="77777777" w:rsidR="000631B3" w:rsidRPr="00BE78CA" w:rsidRDefault="000631B3" w:rsidP="00C26084">
            <w:pPr>
              <w:pStyle w:val="TableText"/>
              <w:spacing w:after="0"/>
            </w:pPr>
            <w:r w:rsidRPr="00BE78CA">
              <w:t>15/CMP.1 annex I.E, paragraph 1 15:</w:t>
            </w:r>
          </w:p>
          <w:p w14:paraId="2F118174" w14:textId="77777777" w:rsidR="000631B3" w:rsidRPr="00BE78CA" w:rsidRDefault="000631B3" w:rsidP="00C26084">
            <w:pPr>
              <w:pStyle w:val="TableText"/>
              <w:spacing w:before="0"/>
            </w:pPr>
            <w:r w:rsidRPr="00BE78CA">
              <w:t>List of non-replacements</w:t>
            </w:r>
          </w:p>
        </w:tc>
        <w:tc>
          <w:tcPr>
            <w:tcW w:w="4290" w:type="dxa"/>
            <w:shd w:val="clear" w:color="auto" w:fill="auto"/>
          </w:tcPr>
          <w:p w14:paraId="4DA01396" w14:textId="77777777" w:rsidR="000631B3" w:rsidRPr="00BE78CA" w:rsidRDefault="000631B3" w:rsidP="00C26084">
            <w:pPr>
              <w:pStyle w:val="TableText"/>
            </w:pPr>
            <w:r w:rsidRPr="00BE78CA">
              <w:t>No non-replacements occurred in 2020.</w:t>
            </w:r>
          </w:p>
        </w:tc>
      </w:tr>
      <w:tr w:rsidR="000631B3" w:rsidRPr="00BE78CA" w14:paraId="25C2A394" w14:textId="77777777" w:rsidTr="002F54E5">
        <w:tc>
          <w:tcPr>
            <w:tcW w:w="3958" w:type="dxa"/>
            <w:tcBorders>
              <w:bottom w:val="single" w:sz="4" w:space="0" w:color="365F91"/>
            </w:tcBorders>
            <w:shd w:val="clear" w:color="auto" w:fill="auto"/>
          </w:tcPr>
          <w:p w14:paraId="0170B0D3" w14:textId="77777777" w:rsidR="000631B3" w:rsidRPr="00BE78CA" w:rsidRDefault="000631B3" w:rsidP="00C26084">
            <w:pPr>
              <w:pStyle w:val="TableText"/>
              <w:spacing w:after="0"/>
            </w:pPr>
            <w:r w:rsidRPr="00BE78CA">
              <w:t>15/CMP.1 annex I.E, paragraph 1 15:</w:t>
            </w:r>
          </w:p>
          <w:p w14:paraId="5B3C41E7" w14:textId="77777777" w:rsidR="000631B3" w:rsidRPr="00BE78CA" w:rsidRDefault="000631B3" w:rsidP="00C26084">
            <w:pPr>
              <w:pStyle w:val="TableText"/>
              <w:spacing w:before="0"/>
            </w:pPr>
            <w:r w:rsidRPr="00BE78CA">
              <w:t>List of invalid units</w:t>
            </w:r>
          </w:p>
        </w:tc>
        <w:tc>
          <w:tcPr>
            <w:tcW w:w="4290" w:type="dxa"/>
            <w:tcBorders>
              <w:bottom w:val="single" w:sz="4" w:space="0" w:color="365F91"/>
            </w:tcBorders>
            <w:shd w:val="clear" w:color="auto" w:fill="auto"/>
          </w:tcPr>
          <w:p w14:paraId="31B91E0D" w14:textId="77777777" w:rsidR="000631B3" w:rsidRPr="00BE78CA" w:rsidRDefault="000631B3" w:rsidP="00C26084">
            <w:pPr>
              <w:pStyle w:val="TableText"/>
            </w:pPr>
            <w:r w:rsidRPr="00BE78CA">
              <w:t>No invalid units exist as at 31 December 2020.</w:t>
            </w:r>
          </w:p>
        </w:tc>
      </w:tr>
      <w:tr w:rsidR="000631B3" w:rsidRPr="00BE78CA" w14:paraId="3677C476" w14:textId="77777777" w:rsidTr="002F54E5">
        <w:tc>
          <w:tcPr>
            <w:tcW w:w="3958" w:type="dxa"/>
            <w:shd w:val="clear" w:color="auto" w:fill="auto"/>
          </w:tcPr>
          <w:p w14:paraId="370A29DA" w14:textId="77777777" w:rsidR="000631B3" w:rsidRPr="00BE78CA" w:rsidRDefault="000631B3" w:rsidP="00C26084">
            <w:pPr>
              <w:pStyle w:val="TableText"/>
              <w:spacing w:after="0"/>
            </w:pPr>
            <w:r w:rsidRPr="00BE78CA">
              <w:t>15/CMP.1 annex I.E, paragraph 1 17:</w:t>
            </w:r>
          </w:p>
          <w:p w14:paraId="1BF455CE" w14:textId="77777777" w:rsidR="000631B3" w:rsidRPr="00BE78CA" w:rsidRDefault="000631B3" w:rsidP="00C26084">
            <w:pPr>
              <w:pStyle w:val="TableText"/>
              <w:spacing w:before="0"/>
            </w:pPr>
            <w:r w:rsidRPr="00BE78CA">
              <w:t>Actions and changes to address discrepancies</w:t>
            </w:r>
          </w:p>
        </w:tc>
        <w:tc>
          <w:tcPr>
            <w:tcW w:w="4290" w:type="dxa"/>
            <w:shd w:val="clear" w:color="auto" w:fill="auto"/>
          </w:tcPr>
          <w:p w14:paraId="078C8FDD" w14:textId="77777777" w:rsidR="000631B3" w:rsidRPr="00BE78CA" w:rsidRDefault="000631B3" w:rsidP="00C26084">
            <w:pPr>
              <w:pStyle w:val="TableText"/>
            </w:pPr>
            <w:r w:rsidRPr="00BE78CA">
              <w:t>No actions were taken or changes made to address discrepancies for the period under review.</w:t>
            </w:r>
          </w:p>
        </w:tc>
      </w:tr>
    </w:tbl>
    <w:p w14:paraId="2BB8BF08" w14:textId="77777777" w:rsidR="000631B3" w:rsidRPr="00BE78CA" w:rsidRDefault="000631B3" w:rsidP="001A728C">
      <w:pPr>
        <w:pStyle w:val="Heading2"/>
        <w:spacing w:before="440"/>
      </w:pPr>
      <w:bookmarkStart w:id="3673" w:name="_Toc481751434"/>
      <w:bookmarkStart w:id="3674" w:name="_Toc511116648"/>
      <w:bookmarkStart w:id="3675" w:name="_Toc5269417"/>
      <w:bookmarkStart w:id="3676" w:name="_Toc36224457"/>
      <w:bookmarkStart w:id="3677" w:name="_Toc68786377"/>
      <w:r w:rsidRPr="00BE78CA">
        <w:t>1</w:t>
      </w:r>
      <w:bookmarkStart w:id="3678" w:name="_Toc235955569"/>
      <w:r w:rsidRPr="00BE78CA">
        <w:t>2.4</w:t>
      </w:r>
      <w:r w:rsidRPr="00BE78CA">
        <w:tab/>
        <w:t>Publicly accessible information</w:t>
      </w:r>
      <w:bookmarkEnd w:id="3673"/>
      <w:bookmarkEnd w:id="3674"/>
      <w:bookmarkEnd w:id="3675"/>
      <w:bookmarkEnd w:id="3676"/>
      <w:bookmarkEnd w:id="3677"/>
      <w:bookmarkEnd w:id="3678"/>
    </w:p>
    <w:p w14:paraId="6985596A" w14:textId="7491036B" w:rsidR="000631B3" w:rsidRPr="00BE78CA" w:rsidRDefault="000631B3" w:rsidP="000631B3">
      <w:pPr>
        <w:pStyle w:val="BodyText"/>
        <w:rPr>
          <w:b/>
          <w:spacing w:val="-2"/>
        </w:rPr>
      </w:pPr>
      <w:bookmarkStart w:id="3679" w:name="_Toc235955646"/>
      <w:r w:rsidRPr="00BE78CA">
        <w:rPr>
          <w:spacing w:val="-2"/>
        </w:rPr>
        <w:t xml:space="preserve">New Zealand’s national registry list of publicly accessible information is available at </w:t>
      </w:r>
      <w:hyperlink r:id="rId288" w:history="1">
        <w:r w:rsidRPr="00BE78CA">
          <w:rPr>
            <w:spacing w:val="-2"/>
          </w:rPr>
          <w:t>www.emissionsregister.govt.nz</w:t>
        </w:r>
      </w:hyperlink>
      <w:r w:rsidRPr="00BE78CA">
        <w:rPr>
          <w:spacing w:val="-2"/>
        </w:rPr>
        <w:t>, ‘</w:t>
      </w:r>
      <w:hyperlink r:id="rId289" w:history="1">
        <w:r w:rsidRPr="00BE78CA">
          <w:rPr>
            <w:spacing w:val="-2"/>
          </w:rPr>
          <w:t>Public information and reports</w:t>
        </w:r>
      </w:hyperlink>
      <w:r w:rsidRPr="00BE78CA">
        <w:rPr>
          <w:spacing w:val="-2"/>
        </w:rPr>
        <w:t>’ link. A list of publicly accessible</w:t>
      </w:r>
      <w:r w:rsidR="00DF53CC" w:rsidRPr="00BE78CA">
        <w:rPr>
          <w:spacing w:val="-2"/>
        </w:rPr>
        <w:t> </w:t>
      </w:r>
      <w:r w:rsidRPr="00BE78CA">
        <w:rPr>
          <w:spacing w:val="-2"/>
        </w:rPr>
        <w:t>information is provided in table 12.4.1.</w:t>
      </w:r>
    </w:p>
    <w:p w14:paraId="3BC42A99" w14:textId="77777777" w:rsidR="000631B3" w:rsidRPr="00BE78CA" w:rsidRDefault="000631B3" w:rsidP="000631B3">
      <w:pPr>
        <w:pStyle w:val="Table"/>
        <w:rPr>
          <w:rFonts w:ascii="Tahoma" w:hAnsi="Tahoma" w:cs="Tahoma"/>
          <w:highlight w:val="yellow"/>
        </w:rPr>
      </w:pPr>
      <w:bookmarkStart w:id="3680" w:name="_Toc481751643"/>
      <w:bookmarkStart w:id="3681" w:name="_Toc511116871"/>
      <w:bookmarkStart w:id="3682" w:name="_Toc5269639"/>
      <w:bookmarkStart w:id="3683" w:name="_Toc36224722"/>
      <w:bookmarkStart w:id="3684" w:name="_Toc68786607"/>
      <w:r w:rsidRPr="00BE78CA">
        <w:lastRenderedPageBreak/>
        <w:t>Table 12.4.1</w:t>
      </w:r>
      <w:r w:rsidRPr="00BE78CA">
        <w:tab/>
        <w:t>List of the publicly accessible information in New Zealand’s national registry</w:t>
      </w:r>
      <w:bookmarkEnd w:id="3680"/>
      <w:bookmarkEnd w:id="3681"/>
      <w:bookmarkEnd w:id="3682"/>
      <w:bookmarkEnd w:id="3683"/>
      <w:bookmarkEnd w:id="3684"/>
    </w:p>
    <w:tbl>
      <w:tblPr>
        <w:tblW w:w="8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52"/>
        <w:gridCol w:w="2126"/>
        <w:gridCol w:w="1985"/>
        <w:gridCol w:w="1899"/>
      </w:tblGrid>
      <w:tr w:rsidR="000631B3" w:rsidRPr="00BE78CA" w14:paraId="3D4647CD" w14:textId="77777777" w:rsidTr="002F54E5">
        <w:trPr>
          <w:tblHeader/>
        </w:trPr>
        <w:tc>
          <w:tcPr>
            <w:tcW w:w="2552" w:type="dxa"/>
            <w:tcBorders>
              <w:top w:val="single" w:sz="4" w:space="0" w:color="365F91"/>
              <w:left w:val="nil"/>
              <w:bottom w:val="single" w:sz="4" w:space="0" w:color="365F91"/>
              <w:right w:val="nil"/>
            </w:tcBorders>
            <w:shd w:val="clear" w:color="auto" w:fill="365F91"/>
            <w:vAlign w:val="bottom"/>
          </w:tcPr>
          <w:p w14:paraId="6FA3096B" w14:textId="77777777" w:rsidR="000631B3" w:rsidRPr="00BE78CA" w:rsidRDefault="000631B3" w:rsidP="00C26084">
            <w:pPr>
              <w:pStyle w:val="TableTextBold"/>
              <w:rPr>
                <w:noProof w:val="0"/>
                <w:color w:val="FFFFFF"/>
              </w:rPr>
            </w:pPr>
            <w:r w:rsidRPr="00BE78CA">
              <w:rPr>
                <w:noProof w:val="0"/>
                <w:color w:val="FFFFFF"/>
              </w:rPr>
              <w:t>Type of information to be made public pursuant to part E of the annex to 13/CMP.1, paragraphs 44 to 48</w:t>
            </w:r>
          </w:p>
        </w:tc>
        <w:tc>
          <w:tcPr>
            <w:tcW w:w="2126" w:type="dxa"/>
            <w:tcBorders>
              <w:top w:val="single" w:sz="4" w:space="0" w:color="365F91"/>
              <w:left w:val="nil"/>
              <w:bottom w:val="single" w:sz="4" w:space="0" w:color="365F91"/>
              <w:right w:val="nil"/>
            </w:tcBorders>
            <w:shd w:val="clear" w:color="auto" w:fill="365F91"/>
            <w:vAlign w:val="bottom"/>
          </w:tcPr>
          <w:p w14:paraId="5CAD45E8" w14:textId="77777777" w:rsidR="000631B3" w:rsidRPr="00BE78CA" w:rsidRDefault="000631B3" w:rsidP="00C26084">
            <w:pPr>
              <w:pStyle w:val="TableTextBold"/>
              <w:rPr>
                <w:noProof w:val="0"/>
                <w:color w:val="FFFFFF"/>
              </w:rPr>
            </w:pPr>
            <w:r w:rsidRPr="00BE78CA">
              <w:rPr>
                <w:noProof w:val="0"/>
                <w:color w:val="FFFFFF"/>
              </w:rPr>
              <w:t>Publicly available on New Zealand’s national registry website (refer www.emissionsregister. govt.nz, ‘Public information and reports’) (yes/no/partial)</w:t>
            </w:r>
          </w:p>
        </w:tc>
        <w:tc>
          <w:tcPr>
            <w:tcW w:w="1985" w:type="dxa"/>
            <w:tcBorders>
              <w:top w:val="single" w:sz="4" w:space="0" w:color="365F91"/>
              <w:left w:val="nil"/>
              <w:bottom w:val="single" w:sz="4" w:space="0" w:color="365F91"/>
              <w:right w:val="nil"/>
            </w:tcBorders>
            <w:shd w:val="clear" w:color="auto" w:fill="365F91"/>
            <w:vAlign w:val="bottom"/>
          </w:tcPr>
          <w:p w14:paraId="7E5FAED1" w14:textId="77777777" w:rsidR="000631B3" w:rsidRPr="00BE78CA" w:rsidRDefault="000631B3" w:rsidP="00C26084">
            <w:pPr>
              <w:pStyle w:val="TableTextBold"/>
              <w:rPr>
                <w:noProof w:val="0"/>
                <w:color w:val="FFFFFF"/>
              </w:rPr>
            </w:pPr>
            <w:r w:rsidRPr="00BE78CA">
              <w:rPr>
                <w:noProof w:val="0"/>
                <w:color w:val="FFFFFF"/>
              </w:rPr>
              <w:t>Timing of information to be made available under New Zealand’s Climate Change Response Act 2002</w:t>
            </w:r>
          </w:p>
        </w:tc>
        <w:tc>
          <w:tcPr>
            <w:tcW w:w="1899" w:type="dxa"/>
            <w:tcBorders>
              <w:top w:val="single" w:sz="4" w:space="0" w:color="365F91"/>
              <w:left w:val="nil"/>
              <w:bottom w:val="single" w:sz="4" w:space="0" w:color="365F91"/>
              <w:right w:val="nil"/>
            </w:tcBorders>
            <w:shd w:val="clear" w:color="auto" w:fill="365F91"/>
            <w:vAlign w:val="bottom"/>
          </w:tcPr>
          <w:p w14:paraId="37C28A74" w14:textId="77777777" w:rsidR="000631B3" w:rsidRPr="00BE78CA" w:rsidRDefault="000631B3" w:rsidP="00C26084">
            <w:pPr>
              <w:pStyle w:val="TableTextBold"/>
              <w:rPr>
                <w:noProof w:val="0"/>
                <w:color w:val="FFFFFF"/>
              </w:rPr>
            </w:pPr>
            <w:r w:rsidRPr="00BE78CA">
              <w:rPr>
                <w:noProof w:val="0"/>
                <w:color w:val="FFFFFF"/>
              </w:rPr>
              <w:t>Relevant reference to New Zealand’s Climate Change Response Act 2002 where information is not publicly available in accordance with paragraphs 44 to 48</w:t>
            </w:r>
          </w:p>
        </w:tc>
      </w:tr>
      <w:tr w:rsidR="000631B3" w:rsidRPr="00BE78CA" w14:paraId="6B9D6D7B" w14:textId="77777777" w:rsidTr="002F54E5">
        <w:tc>
          <w:tcPr>
            <w:tcW w:w="2552" w:type="dxa"/>
            <w:tcBorders>
              <w:top w:val="single" w:sz="4" w:space="0" w:color="365F91"/>
              <w:left w:val="nil"/>
              <w:bottom w:val="single" w:sz="4" w:space="0" w:color="365F91"/>
              <w:right w:val="nil"/>
            </w:tcBorders>
          </w:tcPr>
          <w:p w14:paraId="4C3D5E23" w14:textId="77777777" w:rsidR="000631B3" w:rsidRPr="00BE78CA" w:rsidRDefault="000631B3" w:rsidP="00C26084">
            <w:pPr>
              <w:pStyle w:val="TableText"/>
              <w:ind w:left="284" w:hanging="284"/>
            </w:pPr>
            <w:r w:rsidRPr="00BE78CA">
              <w:t xml:space="preserve">44. </w:t>
            </w:r>
            <w:r w:rsidRPr="00BE78CA">
              <w:tab/>
              <w:t>Each national registry shall make non-confidential information publicly available and provide a publicly accessible user interface through the Internet that allows interested persons to query and view it.</w:t>
            </w:r>
          </w:p>
        </w:tc>
        <w:tc>
          <w:tcPr>
            <w:tcW w:w="6010" w:type="dxa"/>
            <w:gridSpan w:val="3"/>
            <w:tcBorders>
              <w:top w:val="single" w:sz="4" w:space="0" w:color="365F91"/>
              <w:left w:val="nil"/>
              <w:bottom w:val="single" w:sz="4" w:space="0" w:color="365F91"/>
              <w:right w:val="nil"/>
            </w:tcBorders>
          </w:tcPr>
          <w:p w14:paraId="6951364F" w14:textId="77777777" w:rsidR="000631B3" w:rsidRPr="00BE78CA" w:rsidRDefault="000631B3" w:rsidP="00C26084">
            <w:pPr>
              <w:pStyle w:val="TableText"/>
              <w:rPr>
                <w:highlight w:val="yellow"/>
              </w:rPr>
            </w:pPr>
            <w:r w:rsidRPr="00BE78CA">
              <w:t>Details of information availability are provided below.</w:t>
            </w:r>
          </w:p>
        </w:tc>
      </w:tr>
      <w:tr w:rsidR="000631B3" w:rsidRPr="00BE78CA" w14:paraId="6C5CD0A5" w14:textId="77777777" w:rsidTr="002F54E5">
        <w:tc>
          <w:tcPr>
            <w:tcW w:w="2552" w:type="dxa"/>
            <w:tcBorders>
              <w:top w:val="single" w:sz="4" w:space="0" w:color="365F91"/>
              <w:left w:val="nil"/>
              <w:bottom w:val="nil"/>
              <w:right w:val="nil"/>
            </w:tcBorders>
          </w:tcPr>
          <w:p w14:paraId="117E0065" w14:textId="77777777" w:rsidR="000631B3" w:rsidRPr="00BE78CA" w:rsidRDefault="000631B3" w:rsidP="00C26084">
            <w:pPr>
              <w:pStyle w:val="TableText"/>
              <w:ind w:left="284" w:hanging="284"/>
            </w:pPr>
            <w:r w:rsidRPr="00BE78CA">
              <w:t xml:space="preserve">45. </w:t>
            </w:r>
            <w:r w:rsidRPr="00BE78CA">
              <w:tab/>
              <w:t>The information referred to in paragraph 44 above shall include up-to-date information for each account number in that registry on the following:</w:t>
            </w:r>
          </w:p>
        </w:tc>
        <w:tc>
          <w:tcPr>
            <w:tcW w:w="4111" w:type="dxa"/>
            <w:gridSpan w:val="2"/>
            <w:tcBorders>
              <w:top w:val="single" w:sz="4" w:space="0" w:color="365F91"/>
              <w:left w:val="nil"/>
              <w:bottom w:val="nil"/>
              <w:right w:val="nil"/>
            </w:tcBorders>
          </w:tcPr>
          <w:p w14:paraId="29E1EE25" w14:textId="77777777" w:rsidR="000631B3" w:rsidRPr="00BE78CA" w:rsidRDefault="000631B3" w:rsidP="00C26084">
            <w:pPr>
              <w:pStyle w:val="TableText"/>
              <w:keepNext/>
              <w:rPr>
                <w:highlight w:val="yellow"/>
              </w:rPr>
            </w:pPr>
          </w:p>
        </w:tc>
        <w:tc>
          <w:tcPr>
            <w:tcW w:w="1899" w:type="dxa"/>
            <w:tcBorders>
              <w:top w:val="single" w:sz="4" w:space="0" w:color="365F91"/>
              <w:left w:val="nil"/>
              <w:bottom w:val="nil"/>
              <w:right w:val="nil"/>
            </w:tcBorders>
          </w:tcPr>
          <w:p w14:paraId="5B79D7E8" w14:textId="77777777" w:rsidR="000631B3" w:rsidRPr="00BE78CA" w:rsidRDefault="000631B3" w:rsidP="00C26084">
            <w:pPr>
              <w:pStyle w:val="TableText"/>
              <w:keepNext/>
              <w:rPr>
                <w:highlight w:val="yellow"/>
              </w:rPr>
            </w:pPr>
          </w:p>
        </w:tc>
      </w:tr>
      <w:tr w:rsidR="000631B3" w:rsidRPr="00BE78CA" w14:paraId="46A62B67" w14:textId="77777777" w:rsidTr="002F54E5">
        <w:tc>
          <w:tcPr>
            <w:tcW w:w="2552" w:type="dxa"/>
            <w:tcBorders>
              <w:top w:val="nil"/>
              <w:left w:val="nil"/>
              <w:bottom w:val="nil"/>
              <w:right w:val="nil"/>
            </w:tcBorders>
          </w:tcPr>
          <w:p w14:paraId="3FBD4353" w14:textId="77777777" w:rsidR="000631B3" w:rsidRPr="00BE78CA" w:rsidRDefault="000631B3" w:rsidP="00C26084">
            <w:pPr>
              <w:pStyle w:val="TableText"/>
              <w:keepNext/>
              <w:ind w:left="284" w:hanging="284"/>
            </w:pPr>
            <w:r w:rsidRPr="00BE78CA">
              <w:t xml:space="preserve">(a) </w:t>
            </w:r>
            <w:r w:rsidRPr="00BE78CA">
              <w:tab/>
              <w:t>Account name: the holder of the account.</w:t>
            </w:r>
          </w:p>
        </w:tc>
        <w:tc>
          <w:tcPr>
            <w:tcW w:w="2126" w:type="dxa"/>
            <w:tcBorders>
              <w:top w:val="nil"/>
              <w:left w:val="nil"/>
              <w:bottom w:val="nil"/>
              <w:right w:val="nil"/>
            </w:tcBorders>
          </w:tcPr>
          <w:p w14:paraId="5ACCAAE1" w14:textId="77777777" w:rsidR="000631B3" w:rsidRPr="00BE78CA" w:rsidRDefault="000631B3" w:rsidP="00C26084">
            <w:pPr>
              <w:pStyle w:val="TableText"/>
            </w:pPr>
            <w:r w:rsidRPr="00BE78CA">
              <w:t>Yes (refer Public information and reports: Accounts).</w:t>
            </w:r>
          </w:p>
        </w:tc>
        <w:tc>
          <w:tcPr>
            <w:tcW w:w="1985" w:type="dxa"/>
            <w:tcBorders>
              <w:top w:val="nil"/>
              <w:left w:val="nil"/>
              <w:bottom w:val="nil"/>
              <w:right w:val="nil"/>
            </w:tcBorders>
          </w:tcPr>
          <w:p w14:paraId="78C470DF" w14:textId="77777777" w:rsidR="000631B3" w:rsidRPr="00BE78CA" w:rsidRDefault="000631B3" w:rsidP="00C26084">
            <w:pPr>
              <w:pStyle w:val="TableText"/>
            </w:pPr>
            <w:r w:rsidRPr="00BE78CA">
              <w:t>Up to date (note, refreshed daily)</w:t>
            </w:r>
          </w:p>
        </w:tc>
        <w:tc>
          <w:tcPr>
            <w:tcW w:w="1899" w:type="dxa"/>
            <w:tcBorders>
              <w:top w:val="nil"/>
              <w:left w:val="nil"/>
              <w:bottom w:val="nil"/>
              <w:right w:val="nil"/>
            </w:tcBorders>
          </w:tcPr>
          <w:p w14:paraId="232B13E0" w14:textId="77777777" w:rsidR="000631B3" w:rsidRPr="00BE78CA" w:rsidRDefault="000631B3" w:rsidP="00C26084">
            <w:pPr>
              <w:pStyle w:val="TableText"/>
            </w:pPr>
            <w:r w:rsidRPr="00BE78CA">
              <w:t>NA</w:t>
            </w:r>
          </w:p>
        </w:tc>
      </w:tr>
      <w:tr w:rsidR="000631B3" w:rsidRPr="00BE78CA" w14:paraId="31737E47" w14:textId="77777777" w:rsidTr="002F54E5">
        <w:tc>
          <w:tcPr>
            <w:tcW w:w="2552" w:type="dxa"/>
            <w:tcBorders>
              <w:top w:val="nil"/>
              <w:left w:val="nil"/>
              <w:bottom w:val="nil"/>
              <w:right w:val="nil"/>
            </w:tcBorders>
          </w:tcPr>
          <w:p w14:paraId="6FDBDCA4" w14:textId="77777777" w:rsidR="000631B3" w:rsidRPr="00BE78CA" w:rsidRDefault="000631B3" w:rsidP="00C26084">
            <w:pPr>
              <w:pStyle w:val="TableText"/>
              <w:ind w:left="284" w:hanging="284"/>
            </w:pPr>
            <w:r w:rsidRPr="00BE78CA">
              <w:t xml:space="preserve">(b) </w:t>
            </w:r>
            <w:r w:rsidRPr="00BE78CA">
              <w:tab/>
              <w:t>Account type: the type of account (holding, cancellation or retirement).</w:t>
            </w:r>
          </w:p>
        </w:tc>
        <w:tc>
          <w:tcPr>
            <w:tcW w:w="2126" w:type="dxa"/>
            <w:tcBorders>
              <w:top w:val="nil"/>
              <w:left w:val="nil"/>
              <w:bottom w:val="nil"/>
              <w:right w:val="nil"/>
            </w:tcBorders>
          </w:tcPr>
          <w:p w14:paraId="60AC71B1" w14:textId="77777777" w:rsidR="000631B3" w:rsidRPr="00BE78CA" w:rsidRDefault="000631B3" w:rsidP="00C26084">
            <w:pPr>
              <w:pStyle w:val="TableText"/>
            </w:pPr>
            <w:r w:rsidRPr="00BE78CA">
              <w:t>Yes (refer Public information and reports: Accounts).</w:t>
            </w:r>
          </w:p>
        </w:tc>
        <w:tc>
          <w:tcPr>
            <w:tcW w:w="1985" w:type="dxa"/>
            <w:tcBorders>
              <w:top w:val="nil"/>
              <w:left w:val="nil"/>
              <w:bottom w:val="nil"/>
              <w:right w:val="nil"/>
            </w:tcBorders>
          </w:tcPr>
          <w:p w14:paraId="529285B7" w14:textId="77777777" w:rsidR="000631B3" w:rsidRPr="00BE78CA" w:rsidRDefault="000631B3" w:rsidP="00C26084">
            <w:pPr>
              <w:pStyle w:val="TableText"/>
            </w:pPr>
            <w:r w:rsidRPr="00BE78CA">
              <w:t>Up to date (note, refreshed daily)</w:t>
            </w:r>
          </w:p>
        </w:tc>
        <w:tc>
          <w:tcPr>
            <w:tcW w:w="1899" w:type="dxa"/>
            <w:tcBorders>
              <w:top w:val="nil"/>
              <w:left w:val="nil"/>
              <w:bottom w:val="nil"/>
              <w:right w:val="nil"/>
            </w:tcBorders>
          </w:tcPr>
          <w:p w14:paraId="5A20A554" w14:textId="77777777" w:rsidR="000631B3" w:rsidRPr="00BE78CA" w:rsidRDefault="000631B3" w:rsidP="00C26084">
            <w:pPr>
              <w:pStyle w:val="TableText"/>
            </w:pPr>
            <w:r w:rsidRPr="00BE78CA">
              <w:t>NA</w:t>
            </w:r>
          </w:p>
        </w:tc>
      </w:tr>
      <w:tr w:rsidR="000631B3" w:rsidRPr="00BE78CA" w14:paraId="51B6CC36" w14:textId="77777777" w:rsidTr="002F54E5">
        <w:tc>
          <w:tcPr>
            <w:tcW w:w="2552" w:type="dxa"/>
            <w:tcBorders>
              <w:top w:val="nil"/>
              <w:left w:val="nil"/>
              <w:bottom w:val="nil"/>
              <w:right w:val="nil"/>
            </w:tcBorders>
          </w:tcPr>
          <w:p w14:paraId="36C03FD0" w14:textId="77777777" w:rsidR="000631B3" w:rsidRPr="00BE78CA" w:rsidRDefault="000631B3" w:rsidP="00C26084">
            <w:pPr>
              <w:pStyle w:val="TableText"/>
              <w:ind w:left="284" w:hanging="284"/>
            </w:pPr>
            <w:r w:rsidRPr="00BE78CA">
              <w:t xml:space="preserve">(c) </w:t>
            </w:r>
            <w:r w:rsidRPr="00BE78CA">
              <w:tab/>
              <w:t>Commitment period: the commitment period with which a cancellation or retirement account is associated.</w:t>
            </w:r>
          </w:p>
        </w:tc>
        <w:tc>
          <w:tcPr>
            <w:tcW w:w="2126" w:type="dxa"/>
            <w:tcBorders>
              <w:top w:val="nil"/>
              <w:left w:val="nil"/>
              <w:bottom w:val="nil"/>
              <w:right w:val="nil"/>
            </w:tcBorders>
          </w:tcPr>
          <w:p w14:paraId="085CD61F" w14:textId="77777777" w:rsidR="000631B3" w:rsidRPr="00BE78CA" w:rsidRDefault="000631B3" w:rsidP="00C26084">
            <w:pPr>
              <w:pStyle w:val="TableText"/>
            </w:pPr>
            <w:r w:rsidRPr="00BE78CA">
              <w:t>Yes (refer Public information and reports: Accounts).</w:t>
            </w:r>
          </w:p>
        </w:tc>
        <w:tc>
          <w:tcPr>
            <w:tcW w:w="1985" w:type="dxa"/>
            <w:tcBorders>
              <w:top w:val="nil"/>
              <w:left w:val="nil"/>
              <w:bottom w:val="nil"/>
              <w:right w:val="nil"/>
            </w:tcBorders>
          </w:tcPr>
          <w:p w14:paraId="6C8F28A5" w14:textId="77777777" w:rsidR="000631B3" w:rsidRPr="00BE78CA" w:rsidRDefault="000631B3" w:rsidP="00C26084">
            <w:pPr>
              <w:pStyle w:val="TableText"/>
            </w:pPr>
            <w:r w:rsidRPr="00BE78CA">
              <w:t>Up to date (note, refreshed daily)</w:t>
            </w:r>
          </w:p>
        </w:tc>
        <w:tc>
          <w:tcPr>
            <w:tcW w:w="1899" w:type="dxa"/>
            <w:tcBorders>
              <w:top w:val="nil"/>
              <w:left w:val="nil"/>
              <w:bottom w:val="nil"/>
              <w:right w:val="nil"/>
            </w:tcBorders>
          </w:tcPr>
          <w:p w14:paraId="4B17236C" w14:textId="77777777" w:rsidR="000631B3" w:rsidRPr="00BE78CA" w:rsidRDefault="000631B3" w:rsidP="00C26084">
            <w:pPr>
              <w:pStyle w:val="TableText"/>
            </w:pPr>
            <w:r w:rsidRPr="00BE78CA">
              <w:t xml:space="preserve">NA </w:t>
            </w:r>
          </w:p>
        </w:tc>
      </w:tr>
      <w:tr w:rsidR="000631B3" w:rsidRPr="00BE78CA" w14:paraId="57807B7A" w14:textId="77777777" w:rsidTr="002F54E5">
        <w:tc>
          <w:tcPr>
            <w:tcW w:w="2552" w:type="dxa"/>
            <w:tcBorders>
              <w:top w:val="nil"/>
              <w:left w:val="nil"/>
              <w:bottom w:val="nil"/>
              <w:right w:val="nil"/>
            </w:tcBorders>
          </w:tcPr>
          <w:p w14:paraId="6CC5159F" w14:textId="77777777" w:rsidR="000631B3" w:rsidRPr="00BE78CA" w:rsidRDefault="000631B3" w:rsidP="00C26084">
            <w:pPr>
              <w:pStyle w:val="TableText"/>
              <w:ind w:left="284" w:hanging="284"/>
            </w:pPr>
            <w:r w:rsidRPr="00BE78CA">
              <w:t xml:space="preserve">(d) </w:t>
            </w:r>
            <w:r w:rsidRPr="00BE78CA">
              <w:tab/>
              <w:t>Representative identifier: the representative of the account holder, using the Party identifier (the two-letter country code defined by ISO 3166) and a number unique to that representative within the Party’s registry.</w:t>
            </w:r>
          </w:p>
        </w:tc>
        <w:tc>
          <w:tcPr>
            <w:tcW w:w="2126" w:type="dxa"/>
            <w:tcBorders>
              <w:top w:val="nil"/>
              <w:left w:val="nil"/>
              <w:bottom w:val="nil"/>
              <w:right w:val="nil"/>
            </w:tcBorders>
          </w:tcPr>
          <w:p w14:paraId="5FDB6514" w14:textId="77777777" w:rsidR="000631B3" w:rsidRPr="00BE78CA" w:rsidRDefault="000631B3" w:rsidP="00C26084">
            <w:pPr>
              <w:pStyle w:val="TableText"/>
            </w:pPr>
            <w:r w:rsidRPr="00BE78CA">
              <w:t>No – the representative identifiers for representatives are not publicly available and have been withheld for security reasons.</w:t>
            </w:r>
          </w:p>
        </w:tc>
        <w:tc>
          <w:tcPr>
            <w:tcW w:w="1985" w:type="dxa"/>
            <w:tcBorders>
              <w:top w:val="nil"/>
              <w:left w:val="nil"/>
              <w:bottom w:val="nil"/>
              <w:right w:val="nil"/>
            </w:tcBorders>
          </w:tcPr>
          <w:p w14:paraId="7EC194E4" w14:textId="77777777" w:rsidR="000631B3" w:rsidRPr="00BE78CA" w:rsidRDefault="000631B3" w:rsidP="00C26084">
            <w:pPr>
              <w:pStyle w:val="TableText"/>
            </w:pPr>
            <w:r w:rsidRPr="00BE78CA">
              <w:t>NA</w:t>
            </w:r>
          </w:p>
        </w:tc>
        <w:tc>
          <w:tcPr>
            <w:tcW w:w="1899" w:type="dxa"/>
            <w:tcBorders>
              <w:top w:val="nil"/>
              <w:left w:val="nil"/>
              <w:bottom w:val="nil"/>
              <w:right w:val="nil"/>
            </w:tcBorders>
          </w:tcPr>
          <w:p w14:paraId="6379ECDB" w14:textId="77777777" w:rsidR="000631B3" w:rsidRPr="00BE78CA" w:rsidRDefault="000631B3" w:rsidP="00C26084">
            <w:pPr>
              <w:pStyle w:val="TableText"/>
            </w:pPr>
            <w:r w:rsidRPr="00BE78CA">
              <w:t>Section 27(1)(a) of the Climate Change Response Act 2002 does not require this information to be made publicly available. Only the holding account number for each account in the registry is publicly available under this section.</w:t>
            </w:r>
          </w:p>
        </w:tc>
      </w:tr>
      <w:tr w:rsidR="000631B3" w:rsidRPr="00BE78CA" w14:paraId="56A9E4B2" w14:textId="77777777" w:rsidTr="002F54E5">
        <w:tc>
          <w:tcPr>
            <w:tcW w:w="2552" w:type="dxa"/>
            <w:tcBorders>
              <w:top w:val="nil"/>
              <w:left w:val="nil"/>
              <w:bottom w:val="single" w:sz="4" w:space="0" w:color="365F91"/>
              <w:right w:val="nil"/>
            </w:tcBorders>
          </w:tcPr>
          <w:p w14:paraId="770DE310" w14:textId="77777777" w:rsidR="000631B3" w:rsidRPr="00BE78CA" w:rsidRDefault="000631B3" w:rsidP="00C26084">
            <w:pPr>
              <w:pStyle w:val="TableText"/>
              <w:ind w:left="284" w:hanging="284"/>
            </w:pPr>
            <w:r w:rsidRPr="00BE78CA">
              <w:br w:type="page"/>
              <w:t xml:space="preserve">(e) </w:t>
            </w:r>
            <w:r w:rsidRPr="00BE78CA">
              <w:tab/>
              <w:t>Representative name and contact information: the full name, mailing address, telephone number, facsimile number and email address of the representative of the account holder.</w:t>
            </w:r>
          </w:p>
        </w:tc>
        <w:tc>
          <w:tcPr>
            <w:tcW w:w="2126" w:type="dxa"/>
            <w:tcBorders>
              <w:top w:val="nil"/>
              <w:left w:val="nil"/>
              <w:bottom w:val="single" w:sz="4" w:space="0" w:color="365F91"/>
              <w:right w:val="nil"/>
            </w:tcBorders>
          </w:tcPr>
          <w:p w14:paraId="6ACCE4A8" w14:textId="77777777" w:rsidR="000631B3" w:rsidRPr="00BE78CA" w:rsidRDefault="000631B3" w:rsidP="00C26084">
            <w:pPr>
              <w:pStyle w:val="TableText"/>
              <w:spacing w:after="0"/>
            </w:pPr>
            <w:r w:rsidRPr="00BE78CA">
              <w:t>Partial – publication of the mailing address, email addresses, telephone numbers and facsimile number of the representatives has been withheld for security reasons.</w:t>
            </w:r>
          </w:p>
          <w:p w14:paraId="516CE702" w14:textId="77777777" w:rsidR="000631B3" w:rsidRPr="00BE78CA" w:rsidRDefault="000631B3" w:rsidP="00C26084">
            <w:pPr>
              <w:pStyle w:val="TableText"/>
            </w:pPr>
            <w:r w:rsidRPr="00BE78CA">
              <w:t>(Refer Public information and reports: Accounts.)</w:t>
            </w:r>
          </w:p>
        </w:tc>
        <w:tc>
          <w:tcPr>
            <w:tcW w:w="1985" w:type="dxa"/>
            <w:tcBorders>
              <w:top w:val="nil"/>
              <w:left w:val="nil"/>
              <w:bottom w:val="single" w:sz="4" w:space="0" w:color="365F91"/>
              <w:right w:val="nil"/>
            </w:tcBorders>
          </w:tcPr>
          <w:p w14:paraId="59E719CE" w14:textId="77777777" w:rsidR="000631B3" w:rsidRPr="00BE78CA" w:rsidRDefault="000631B3" w:rsidP="00C26084">
            <w:pPr>
              <w:pStyle w:val="TableText"/>
            </w:pPr>
            <w:r w:rsidRPr="00BE78CA">
              <w:t>Up to date (note, refreshed daily)</w:t>
            </w:r>
          </w:p>
        </w:tc>
        <w:tc>
          <w:tcPr>
            <w:tcW w:w="1899" w:type="dxa"/>
            <w:tcBorders>
              <w:top w:val="nil"/>
              <w:left w:val="nil"/>
              <w:bottom w:val="single" w:sz="4" w:space="0" w:color="365F91"/>
              <w:right w:val="nil"/>
            </w:tcBorders>
          </w:tcPr>
          <w:p w14:paraId="11D5EB20" w14:textId="77777777" w:rsidR="000631B3" w:rsidRPr="00BE78CA" w:rsidRDefault="000631B3" w:rsidP="00C26084">
            <w:pPr>
              <w:pStyle w:val="TableText"/>
            </w:pPr>
            <w:r w:rsidRPr="00BE78CA">
              <w:t xml:space="preserve">Section 13 of the Climate Change Response Act 2002 permits the Registrar to withhold access to the email and mailing address and phone and fax numbers of account holder’s representatives on the grounds of security or integrity of the registry. </w:t>
            </w:r>
          </w:p>
        </w:tc>
      </w:tr>
      <w:tr w:rsidR="000631B3" w:rsidRPr="00BE78CA" w14:paraId="26AC73F4" w14:textId="77777777" w:rsidTr="002F54E5">
        <w:tc>
          <w:tcPr>
            <w:tcW w:w="2552" w:type="dxa"/>
            <w:tcBorders>
              <w:top w:val="single" w:sz="4" w:space="0" w:color="365F91"/>
              <w:left w:val="nil"/>
              <w:bottom w:val="nil"/>
              <w:right w:val="nil"/>
            </w:tcBorders>
          </w:tcPr>
          <w:p w14:paraId="4EB751BC" w14:textId="77777777" w:rsidR="000631B3" w:rsidRPr="00BE78CA" w:rsidRDefault="000631B3" w:rsidP="00C26084">
            <w:pPr>
              <w:pStyle w:val="TableText"/>
              <w:ind w:left="284" w:hanging="284"/>
            </w:pPr>
            <w:r w:rsidRPr="00BE78CA">
              <w:t xml:space="preserve">46. </w:t>
            </w:r>
            <w:r w:rsidRPr="00BE78CA">
              <w:tab/>
              <w:t xml:space="preserve">The information referred to in paragraph 44 shall include the following Article 6 project information, for each project identifier against which the Party has issued ERUs: </w:t>
            </w:r>
          </w:p>
        </w:tc>
        <w:tc>
          <w:tcPr>
            <w:tcW w:w="6010" w:type="dxa"/>
            <w:gridSpan w:val="3"/>
            <w:tcBorders>
              <w:top w:val="single" w:sz="4" w:space="0" w:color="365F91"/>
              <w:left w:val="nil"/>
              <w:bottom w:val="nil"/>
              <w:right w:val="nil"/>
            </w:tcBorders>
          </w:tcPr>
          <w:p w14:paraId="69C787AA" w14:textId="77777777" w:rsidR="000631B3" w:rsidRPr="00BE78CA" w:rsidRDefault="000631B3" w:rsidP="00C26084">
            <w:pPr>
              <w:pStyle w:val="TableText"/>
            </w:pPr>
          </w:p>
        </w:tc>
      </w:tr>
      <w:tr w:rsidR="000631B3" w:rsidRPr="00BE78CA" w14:paraId="7F3E60FB" w14:textId="77777777" w:rsidTr="002F54E5">
        <w:tc>
          <w:tcPr>
            <w:tcW w:w="2552" w:type="dxa"/>
            <w:tcBorders>
              <w:top w:val="nil"/>
              <w:left w:val="nil"/>
              <w:bottom w:val="nil"/>
              <w:right w:val="nil"/>
            </w:tcBorders>
          </w:tcPr>
          <w:p w14:paraId="40E92065" w14:textId="77777777" w:rsidR="000631B3" w:rsidRPr="00BE78CA" w:rsidRDefault="000631B3" w:rsidP="00C26084">
            <w:pPr>
              <w:pStyle w:val="TableText"/>
              <w:ind w:left="284" w:hanging="284"/>
            </w:pPr>
            <w:r w:rsidRPr="00BE78CA">
              <w:t xml:space="preserve">(a) </w:t>
            </w:r>
            <w:r w:rsidRPr="00BE78CA">
              <w:tab/>
              <w:t>Project name: a unique name for the project.</w:t>
            </w:r>
          </w:p>
        </w:tc>
        <w:tc>
          <w:tcPr>
            <w:tcW w:w="2126" w:type="dxa"/>
            <w:tcBorders>
              <w:top w:val="nil"/>
              <w:left w:val="nil"/>
              <w:bottom w:val="nil"/>
              <w:right w:val="nil"/>
            </w:tcBorders>
          </w:tcPr>
          <w:p w14:paraId="4A8CAAD7" w14:textId="77777777" w:rsidR="000631B3" w:rsidRPr="00BE78CA" w:rsidRDefault="000631B3" w:rsidP="00C26084">
            <w:pPr>
              <w:pStyle w:val="TableText"/>
            </w:pPr>
            <w:r w:rsidRPr="00BE78CA">
              <w:t>Yes (refer Public information and reports: Joint implementation (JI) projects).</w:t>
            </w:r>
          </w:p>
        </w:tc>
        <w:tc>
          <w:tcPr>
            <w:tcW w:w="1985" w:type="dxa"/>
            <w:tcBorders>
              <w:top w:val="nil"/>
              <w:left w:val="nil"/>
              <w:bottom w:val="nil"/>
              <w:right w:val="nil"/>
            </w:tcBorders>
          </w:tcPr>
          <w:p w14:paraId="1182E661" w14:textId="77777777" w:rsidR="000631B3" w:rsidRPr="00BE78CA" w:rsidRDefault="000631B3" w:rsidP="00C26084">
            <w:pPr>
              <w:pStyle w:val="TableText"/>
            </w:pPr>
            <w:r w:rsidRPr="00BE78CA">
              <w:t>Up to date</w:t>
            </w:r>
          </w:p>
        </w:tc>
        <w:tc>
          <w:tcPr>
            <w:tcW w:w="1899" w:type="dxa"/>
            <w:tcBorders>
              <w:top w:val="nil"/>
              <w:left w:val="nil"/>
              <w:bottom w:val="nil"/>
              <w:right w:val="nil"/>
            </w:tcBorders>
          </w:tcPr>
          <w:p w14:paraId="65CCDCC5" w14:textId="77777777" w:rsidR="000631B3" w:rsidRPr="00BE78CA" w:rsidRDefault="000631B3" w:rsidP="00C26084">
            <w:pPr>
              <w:pStyle w:val="TableText"/>
            </w:pPr>
            <w:r w:rsidRPr="00BE78CA">
              <w:t>NA</w:t>
            </w:r>
          </w:p>
        </w:tc>
      </w:tr>
      <w:tr w:rsidR="000631B3" w:rsidRPr="00BE78CA" w14:paraId="0BBC09C0" w14:textId="77777777" w:rsidTr="002F54E5">
        <w:tc>
          <w:tcPr>
            <w:tcW w:w="2552" w:type="dxa"/>
            <w:tcBorders>
              <w:top w:val="nil"/>
              <w:left w:val="nil"/>
              <w:bottom w:val="nil"/>
              <w:right w:val="nil"/>
            </w:tcBorders>
          </w:tcPr>
          <w:p w14:paraId="171B8136" w14:textId="77777777" w:rsidR="000631B3" w:rsidRPr="00BE78CA" w:rsidRDefault="000631B3" w:rsidP="00C26084">
            <w:pPr>
              <w:pStyle w:val="TableText"/>
              <w:ind w:left="284" w:hanging="284"/>
            </w:pPr>
            <w:r w:rsidRPr="00BE78CA">
              <w:lastRenderedPageBreak/>
              <w:t xml:space="preserve">(b) </w:t>
            </w:r>
            <w:r w:rsidRPr="00BE78CA">
              <w:tab/>
              <w:t>Project location: the Party and town or region in which the project is located.</w:t>
            </w:r>
          </w:p>
        </w:tc>
        <w:tc>
          <w:tcPr>
            <w:tcW w:w="2126" w:type="dxa"/>
            <w:tcBorders>
              <w:top w:val="nil"/>
              <w:left w:val="nil"/>
              <w:bottom w:val="nil"/>
              <w:right w:val="nil"/>
            </w:tcBorders>
          </w:tcPr>
          <w:p w14:paraId="1538AA32" w14:textId="77777777" w:rsidR="000631B3" w:rsidRPr="00BE78CA" w:rsidRDefault="000631B3" w:rsidP="00C26084">
            <w:pPr>
              <w:pStyle w:val="TableText"/>
            </w:pPr>
            <w:r w:rsidRPr="00BE78CA">
              <w:t>Yes (refer Public information and reports: JI projects).</w:t>
            </w:r>
          </w:p>
        </w:tc>
        <w:tc>
          <w:tcPr>
            <w:tcW w:w="1985" w:type="dxa"/>
            <w:tcBorders>
              <w:top w:val="nil"/>
              <w:left w:val="nil"/>
              <w:bottom w:val="nil"/>
              <w:right w:val="nil"/>
            </w:tcBorders>
          </w:tcPr>
          <w:p w14:paraId="39E5EEC5" w14:textId="77777777" w:rsidR="000631B3" w:rsidRPr="00BE78CA" w:rsidRDefault="000631B3" w:rsidP="00C26084">
            <w:pPr>
              <w:pStyle w:val="TableText"/>
            </w:pPr>
            <w:r w:rsidRPr="00BE78CA">
              <w:t>Up to date</w:t>
            </w:r>
          </w:p>
        </w:tc>
        <w:tc>
          <w:tcPr>
            <w:tcW w:w="1899" w:type="dxa"/>
            <w:tcBorders>
              <w:top w:val="nil"/>
              <w:left w:val="nil"/>
              <w:bottom w:val="nil"/>
              <w:right w:val="nil"/>
            </w:tcBorders>
          </w:tcPr>
          <w:p w14:paraId="4505D4A8" w14:textId="77777777" w:rsidR="000631B3" w:rsidRPr="00BE78CA" w:rsidRDefault="000631B3" w:rsidP="00C26084">
            <w:pPr>
              <w:pStyle w:val="TableText"/>
            </w:pPr>
            <w:r w:rsidRPr="00BE78CA">
              <w:t>NA</w:t>
            </w:r>
          </w:p>
        </w:tc>
      </w:tr>
      <w:tr w:rsidR="000631B3" w:rsidRPr="00BE78CA" w14:paraId="184CC0DB" w14:textId="77777777" w:rsidTr="002F54E5">
        <w:tc>
          <w:tcPr>
            <w:tcW w:w="2552" w:type="dxa"/>
            <w:tcBorders>
              <w:top w:val="nil"/>
              <w:left w:val="nil"/>
              <w:bottom w:val="nil"/>
              <w:right w:val="nil"/>
            </w:tcBorders>
          </w:tcPr>
          <w:p w14:paraId="47CEC0A0" w14:textId="77777777" w:rsidR="000631B3" w:rsidRPr="00BE78CA" w:rsidRDefault="000631B3" w:rsidP="00C26084">
            <w:pPr>
              <w:pStyle w:val="TableText"/>
              <w:ind w:left="284" w:hanging="284"/>
            </w:pPr>
            <w:r w:rsidRPr="00BE78CA">
              <w:t xml:space="preserve">(c) </w:t>
            </w:r>
            <w:r w:rsidRPr="00BE78CA">
              <w:tab/>
              <w:t>Years of ERU issuance: the years when ERUs have been issued as a result of the Article 6 project.</w:t>
            </w:r>
          </w:p>
        </w:tc>
        <w:tc>
          <w:tcPr>
            <w:tcW w:w="2126" w:type="dxa"/>
            <w:tcBorders>
              <w:top w:val="nil"/>
              <w:left w:val="nil"/>
              <w:bottom w:val="nil"/>
              <w:right w:val="nil"/>
            </w:tcBorders>
          </w:tcPr>
          <w:p w14:paraId="61C0849A" w14:textId="77777777" w:rsidR="000631B3" w:rsidRPr="00BE78CA" w:rsidRDefault="000631B3" w:rsidP="00C26084">
            <w:pPr>
              <w:pStyle w:val="TableText"/>
              <w:spacing w:after="0"/>
            </w:pPr>
            <w:r w:rsidRPr="00BE78CA">
              <w:t xml:space="preserve">Yes (refer Public information and reports: Ministers’ directions, which list directions relating to the transfer of emission reduction units to individual JI projects. </w:t>
            </w:r>
          </w:p>
          <w:p w14:paraId="31ABF6EA" w14:textId="77777777" w:rsidR="000631B3" w:rsidRPr="00BE78CA" w:rsidRDefault="000631B3" w:rsidP="00C26084">
            <w:pPr>
              <w:pStyle w:val="TableText"/>
            </w:pPr>
            <w:r w:rsidRPr="00BE78CA">
              <w:t>The New Zealand Emission Trading Register Unit Holding and Transaction Summary Report shows in aggregate the total ERUs converted from AAUs by year).</w:t>
            </w:r>
          </w:p>
        </w:tc>
        <w:tc>
          <w:tcPr>
            <w:tcW w:w="1985" w:type="dxa"/>
            <w:tcBorders>
              <w:top w:val="nil"/>
              <w:left w:val="nil"/>
              <w:bottom w:val="nil"/>
              <w:right w:val="nil"/>
            </w:tcBorders>
          </w:tcPr>
          <w:p w14:paraId="2D2C4939" w14:textId="77777777" w:rsidR="000631B3" w:rsidRPr="00BE78CA" w:rsidRDefault="000631B3" w:rsidP="00C26084">
            <w:pPr>
              <w:pStyle w:val="TableText"/>
              <w:spacing w:after="0"/>
            </w:pPr>
            <w:r w:rsidRPr="00BE78CA">
              <w:t>JI projects annually by 31 January for the previous calendar year</w:t>
            </w:r>
          </w:p>
          <w:p w14:paraId="1701DDDC" w14:textId="77777777" w:rsidR="000631B3" w:rsidRPr="00BE78CA" w:rsidRDefault="000631B3" w:rsidP="00C26084">
            <w:pPr>
              <w:pStyle w:val="TableText"/>
            </w:pPr>
            <w:r w:rsidRPr="00BE78CA">
              <w:t>Ministers’ directions – up to date (note, refreshed daily)</w:t>
            </w:r>
          </w:p>
        </w:tc>
        <w:tc>
          <w:tcPr>
            <w:tcW w:w="1899" w:type="dxa"/>
            <w:tcBorders>
              <w:top w:val="nil"/>
              <w:left w:val="nil"/>
              <w:bottom w:val="nil"/>
              <w:right w:val="nil"/>
            </w:tcBorders>
          </w:tcPr>
          <w:p w14:paraId="3DA905B5" w14:textId="77777777" w:rsidR="000631B3" w:rsidRPr="00BE78CA" w:rsidRDefault="000631B3" w:rsidP="00C26084">
            <w:pPr>
              <w:pStyle w:val="TableText"/>
            </w:pPr>
            <w:r w:rsidRPr="00BE78CA">
              <w:t>NA</w:t>
            </w:r>
          </w:p>
        </w:tc>
      </w:tr>
      <w:tr w:rsidR="000631B3" w:rsidRPr="00BE78CA" w14:paraId="429D7862" w14:textId="77777777" w:rsidTr="002F54E5">
        <w:tc>
          <w:tcPr>
            <w:tcW w:w="2552" w:type="dxa"/>
            <w:tcBorders>
              <w:top w:val="nil"/>
              <w:left w:val="nil"/>
              <w:bottom w:val="single" w:sz="4" w:space="0" w:color="365F91"/>
              <w:right w:val="nil"/>
            </w:tcBorders>
          </w:tcPr>
          <w:p w14:paraId="538F4BB4" w14:textId="77777777" w:rsidR="000631B3" w:rsidRPr="00BE78CA" w:rsidRDefault="000631B3" w:rsidP="00C26084">
            <w:pPr>
              <w:pStyle w:val="TableText"/>
              <w:ind w:left="284" w:hanging="284"/>
            </w:pPr>
            <w:r w:rsidRPr="00BE78CA">
              <w:t xml:space="preserve">(d) </w:t>
            </w:r>
            <w:r w:rsidRPr="00BE78CA">
              <w:tab/>
              <w:t>Reports: downloadable electronic versions of all publicly available documentation relating to the project, including proposals, monitoring, verification and issuance of ERUs, where relevant, subject to the confidentiality provisions in decision 9/CMP.1.</w:t>
            </w:r>
          </w:p>
        </w:tc>
        <w:tc>
          <w:tcPr>
            <w:tcW w:w="2126" w:type="dxa"/>
            <w:tcBorders>
              <w:top w:val="nil"/>
              <w:left w:val="nil"/>
              <w:bottom w:val="single" w:sz="4" w:space="0" w:color="365F91"/>
              <w:right w:val="nil"/>
            </w:tcBorders>
          </w:tcPr>
          <w:p w14:paraId="3B58106F" w14:textId="77777777" w:rsidR="000631B3" w:rsidRPr="00BE78CA" w:rsidRDefault="000631B3" w:rsidP="00C26084">
            <w:pPr>
              <w:pStyle w:val="TableText"/>
              <w:spacing w:after="0"/>
            </w:pPr>
            <w:r w:rsidRPr="00BE78CA">
              <w:t>No – the report provides a link to the project documentation on the UNFCCC site (</w:t>
            </w:r>
            <w:hyperlink r:id="rId290" w:history="1">
              <w:r w:rsidRPr="00BE78CA">
                <w:t>https://ji.unfccc.int/JI_Parties/DB/E48QQ342M7VSOFWEI6MTBKVVF9NFAM/viewDFP</w:t>
              </w:r>
            </w:hyperlink>
            <w:r w:rsidRPr="00BE78CA">
              <w:t>) and is not replicated on the New Zealand’s national registry website.</w:t>
            </w:r>
          </w:p>
          <w:p w14:paraId="3C7B3636" w14:textId="77777777" w:rsidR="000631B3" w:rsidRPr="00BE78CA" w:rsidRDefault="000631B3" w:rsidP="00C26084">
            <w:pPr>
              <w:pStyle w:val="TableText"/>
            </w:pPr>
            <w:r w:rsidRPr="00BE78CA">
              <w:t>The following information for each JI project is published:</w:t>
            </w:r>
          </w:p>
          <w:p w14:paraId="5DDB7ED2" w14:textId="77777777" w:rsidR="000631B3" w:rsidRPr="00BE78CA" w:rsidRDefault="000631B3" w:rsidP="000631B3">
            <w:pPr>
              <w:pStyle w:val="TableBullet"/>
              <w:tabs>
                <w:tab w:val="clear" w:pos="284"/>
              </w:tabs>
              <w:spacing w:before="0" w:line="259" w:lineRule="auto"/>
              <w:ind w:left="170" w:hanging="170"/>
            </w:pPr>
            <w:r w:rsidRPr="00BE78CA">
              <w:t xml:space="preserve">non-host party project approval </w:t>
            </w:r>
          </w:p>
          <w:p w14:paraId="489D29E3" w14:textId="77777777" w:rsidR="000631B3" w:rsidRPr="00BE78CA" w:rsidRDefault="000631B3" w:rsidP="000631B3">
            <w:pPr>
              <w:pStyle w:val="TableBullet"/>
              <w:tabs>
                <w:tab w:val="clear" w:pos="284"/>
              </w:tabs>
              <w:spacing w:before="0" w:line="259" w:lineRule="auto"/>
              <w:ind w:left="170" w:hanging="170"/>
            </w:pPr>
            <w:r w:rsidRPr="00BE78CA">
              <w:t xml:space="preserve">annual reports </w:t>
            </w:r>
          </w:p>
          <w:p w14:paraId="505CBD02" w14:textId="77777777" w:rsidR="000631B3" w:rsidRPr="00BE78CA" w:rsidRDefault="000631B3" w:rsidP="000631B3">
            <w:pPr>
              <w:pStyle w:val="TableBullet"/>
              <w:tabs>
                <w:tab w:val="clear" w:pos="284"/>
              </w:tabs>
              <w:spacing w:before="0" w:after="0" w:line="259" w:lineRule="auto"/>
              <w:ind w:left="170" w:hanging="170"/>
            </w:pPr>
            <w:r w:rsidRPr="00BE78CA">
              <w:t xml:space="preserve">verification reports. </w:t>
            </w:r>
          </w:p>
          <w:p w14:paraId="10CBE3E0" w14:textId="77777777" w:rsidR="000631B3" w:rsidRPr="00BE78CA" w:rsidRDefault="000631B3" w:rsidP="00C26084">
            <w:pPr>
              <w:pStyle w:val="TableText"/>
            </w:pPr>
            <w:r w:rsidRPr="00BE78CA">
              <w:t>Project proposals are not included because they contain financial information that is considered to be commercially sensitive and confidential.</w:t>
            </w:r>
          </w:p>
        </w:tc>
        <w:tc>
          <w:tcPr>
            <w:tcW w:w="1985" w:type="dxa"/>
            <w:tcBorders>
              <w:top w:val="nil"/>
              <w:left w:val="nil"/>
              <w:bottom w:val="single" w:sz="4" w:space="0" w:color="365F91"/>
              <w:right w:val="nil"/>
            </w:tcBorders>
          </w:tcPr>
          <w:p w14:paraId="78F1BC4C" w14:textId="77777777" w:rsidR="000631B3" w:rsidRPr="00BE78CA" w:rsidRDefault="000631B3" w:rsidP="00C26084">
            <w:pPr>
              <w:pStyle w:val="TableText"/>
            </w:pPr>
            <w:r w:rsidRPr="00BE78CA">
              <w:t>This information becomes publicly available once New Zealand gives its approval to the JI project. The information is then updated when necessary and annual reports are added annually.</w:t>
            </w:r>
          </w:p>
        </w:tc>
        <w:tc>
          <w:tcPr>
            <w:tcW w:w="1899" w:type="dxa"/>
            <w:tcBorders>
              <w:top w:val="nil"/>
              <w:left w:val="nil"/>
              <w:bottom w:val="single" w:sz="4" w:space="0" w:color="365F91"/>
              <w:right w:val="nil"/>
            </w:tcBorders>
          </w:tcPr>
          <w:p w14:paraId="6CD1AB17" w14:textId="77777777" w:rsidR="000631B3" w:rsidRPr="00BE78CA" w:rsidRDefault="000631B3" w:rsidP="00C26084">
            <w:pPr>
              <w:pStyle w:val="TableText"/>
            </w:pPr>
            <w:r w:rsidRPr="00BE78CA">
              <w:t>n/a</w:t>
            </w:r>
          </w:p>
        </w:tc>
      </w:tr>
      <w:tr w:rsidR="000631B3" w:rsidRPr="00BE78CA" w14:paraId="1A1A51AB" w14:textId="77777777" w:rsidTr="002F54E5">
        <w:tc>
          <w:tcPr>
            <w:tcW w:w="2552" w:type="dxa"/>
            <w:tcBorders>
              <w:top w:val="single" w:sz="4" w:space="0" w:color="365F91"/>
              <w:left w:val="nil"/>
              <w:bottom w:val="nil"/>
              <w:right w:val="nil"/>
            </w:tcBorders>
          </w:tcPr>
          <w:p w14:paraId="2E201827" w14:textId="77777777" w:rsidR="000631B3" w:rsidRPr="00BE78CA" w:rsidRDefault="000631B3" w:rsidP="00C26084">
            <w:pPr>
              <w:pStyle w:val="TableText"/>
              <w:ind w:left="284" w:hanging="284"/>
            </w:pPr>
            <w:r w:rsidRPr="00BE78CA">
              <w:t xml:space="preserve">47. </w:t>
            </w:r>
            <w:r w:rsidRPr="00BE78CA">
              <w:tab/>
              <w:t>The information referred to in paragraph 44 shall include the following holding and transaction information relevant to the national registry, by serial number, for each calendar year (defined according to Greenwich Mean Time):</w:t>
            </w:r>
          </w:p>
        </w:tc>
        <w:tc>
          <w:tcPr>
            <w:tcW w:w="4111" w:type="dxa"/>
            <w:gridSpan w:val="2"/>
            <w:tcBorders>
              <w:top w:val="single" w:sz="4" w:space="0" w:color="365F91"/>
              <w:left w:val="nil"/>
              <w:bottom w:val="nil"/>
              <w:right w:val="nil"/>
            </w:tcBorders>
          </w:tcPr>
          <w:p w14:paraId="204B4DC3" w14:textId="77777777" w:rsidR="000631B3" w:rsidRPr="00BE78CA" w:rsidRDefault="000631B3" w:rsidP="00C26084">
            <w:pPr>
              <w:pStyle w:val="TableText"/>
            </w:pPr>
          </w:p>
        </w:tc>
        <w:tc>
          <w:tcPr>
            <w:tcW w:w="1899" w:type="dxa"/>
            <w:tcBorders>
              <w:top w:val="single" w:sz="4" w:space="0" w:color="365F91"/>
              <w:left w:val="nil"/>
              <w:bottom w:val="nil"/>
              <w:right w:val="nil"/>
            </w:tcBorders>
          </w:tcPr>
          <w:p w14:paraId="03F2F129" w14:textId="77777777" w:rsidR="000631B3" w:rsidRPr="00BE78CA" w:rsidRDefault="000631B3" w:rsidP="00C26084">
            <w:pPr>
              <w:pStyle w:val="TableText"/>
            </w:pPr>
          </w:p>
        </w:tc>
      </w:tr>
      <w:tr w:rsidR="000631B3" w:rsidRPr="00BE78CA" w14:paraId="6E9911CF" w14:textId="77777777" w:rsidTr="002F54E5">
        <w:tc>
          <w:tcPr>
            <w:tcW w:w="2552" w:type="dxa"/>
            <w:tcBorders>
              <w:top w:val="nil"/>
              <w:left w:val="nil"/>
              <w:bottom w:val="nil"/>
              <w:right w:val="nil"/>
            </w:tcBorders>
          </w:tcPr>
          <w:p w14:paraId="7EBBC131" w14:textId="77777777" w:rsidR="000631B3" w:rsidRPr="00BE78CA" w:rsidRDefault="000631B3" w:rsidP="00C26084">
            <w:pPr>
              <w:pStyle w:val="TableText"/>
              <w:ind w:left="284" w:hanging="284"/>
            </w:pPr>
            <w:r w:rsidRPr="00BE78CA">
              <w:t xml:space="preserve">(a) </w:t>
            </w:r>
            <w:r w:rsidRPr="00BE78CA">
              <w:tab/>
              <w:t>The total quantity of ERUs, CERs, AAUs and RMUs in each account at the beginning of the year.</w:t>
            </w:r>
          </w:p>
        </w:tc>
        <w:tc>
          <w:tcPr>
            <w:tcW w:w="2126" w:type="dxa"/>
            <w:tcBorders>
              <w:top w:val="nil"/>
              <w:left w:val="nil"/>
              <w:bottom w:val="nil"/>
              <w:right w:val="nil"/>
            </w:tcBorders>
          </w:tcPr>
          <w:p w14:paraId="03EF7E39" w14:textId="6C955FCC" w:rsidR="000631B3" w:rsidRPr="00BE78CA" w:rsidRDefault="000631B3" w:rsidP="00C26084">
            <w:pPr>
              <w:pStyle w:val="TableText"/>
            </w:pPr>
            <w:r w:rsidRPr="00BE78CA">
              <w:t>Partial – aggregate unit holdings of ERUs, CERs, AAUs and RMUs for the previous calendar year are disclosed by 31 January of each year (refer Public information and reports: Holding &amp; transaction summary).</w:t>
            </w:r>
          </w:p>
          <w:p w14:paraId="3988FA6A" w14:textId="77777777" w:rsidR="00520B8E" w:rsidRPr="00BE78CA" w:rsidRDefault="00520B8E" w:rsidP="00C26084">
            <w:pPr>
              <w:pStyle w:val="TableText"/>
            </w:pPr>
          </w:p>
          <w:p w14:paraId="15CA0948" w14:textId="77777777" w:rsidR="000631B3" w:rsidRPr="00BE78CA" w:rsidRDefault="000631B3" w:rsidP="00C26084">
            <w:pPr>
              <w:pStyle w:val="TableText"/>
            </w:pPr>
            <w:r w:rsidRPr="00BE78CA">
              <w:lastRenderedPageBreak/>
              <w:t>Total quantity of unit holdings in each account within the most recent calendar year is considered to be confidential information. Therefore the total quantity of unit holdings in each account provided consists of only those completed more than one year in the past.</w:t>
            </w:r>
          </w:p>
          <w:p w14:paraId="02D2C7F5" w14:textId="77777777" w:rsidR="000631B3" w:rsidRPr="00BE78CA" w:rsidRDefault="000631B3" w:rsidP="00C26084">
            <w:pPr>
              <w:pStyle w:val="TableText"/>
            </w:pPr>
            <w:r w:rsidRPr="00BE78CA">
              <w:t>(Refer Public information and reports: Kyoto unit holdings by account. Use Search Criteria to find information more than one year in the past.)</w:t>
            </w:r>
          </w:p>
        </w:tc>
        <w:tc>
          <w:tcPr>
            <w:tcW w:w="1985" w:type="dxa"/>
            <w:tcBorders>
              <w:top w:val="nil"/>
              <w:left w:val="nil"/>
              <w:bottom w:val="nil"/>
              <w:right w:val="nil"/>
            </w:tcBorders>
          </w:tcPr>
          <w:p w14:paraId="6B4DA957" w14:textId="77777777" w:rsidR="000631B3" w:rsidRPr="00BE78CA" w:rsidRDefault="000631B3" w:rsidP="00C26084">
            <w:pPr>
              <w:pStyle w:val="TableText"/>
            </w:pPr>
            <w:r w:rsidRPr="00BE78CA">
              <w:lastRenderedPageBreak/>
              <w:t xml:space="preserve">Annually by 31 January for the previous calendar year </w:t>
            </w:r>
          </w:p>
          <w:p w14:paraId="1D665650" w14:textId="77777777" w:rsidR="000631B3" w:rsidRPr="00BE78CA" w:rsidRDefault="000631B3" w:rsidP="00C26084">
            <w:pPr>
              <w:pStyle w:val="TableText"/>
            </w:pPr>
            <w:r w:rsidRPr="00BE78CA">
              <w:t>1 January for the beginning of the previous calendar year</w:t>
            </w:r>
          </w:p>
        </w:tc>
        <w:tc>
          <w:tcPr>
            <w:tcW w:w="1899" w:type="dxa"/>
            <w:tcBorders>
              <w:top w:val="nil"/>
              <w:left w:val="nil"/>
              <w:bottom w:val="nil"/>
              <w:right w:val="nil"/>
            </w:tcBorders>
          </w:tcPr>
          <w:p w14:paraId="7A09EE3C" w14:textId="77777777" w:rsidR="000631B3" w:rsidRPr="00BE78CA" w:rsidRDefault="000631B3" w:rsidP="00C26084">
            <w:pPr>
              <w:pStyle w:val="TableText"/>
              <w:spacing w:after="0"/>
            </w:pPr>
            <w:r w:rsidRPr="00BE78CA">
              <w:t xml:space="preserve">Section 27(2) of the Climate Change Response Act 2002 requires total holdings of AAUs, ERUs, CERs, lCERs, tCERs and RMUs to be publicly available by 31 January of each year for the previous calendar year. </w:t>
            </w:r>
          </w:p>
          <w:p w14:paraId="6A057652" w14:textId="77777777" w:rsidR="000631B3" w:rsidRPr="00BE78CA" w:rsidRDefault="000631B3" w:rsidP="00C26084">
            <w:pPr>
              <w:pStyle w:val="TableText"/>
            </w:pPr>
            <w:r w:rsidRPr="00BE78CA">
              <w:lastRenderedPageBreak/>
              <w:t xml:space="preserve">Section 27(3) of the Climate Change Response Act 2002 only requires holdings of Kyoto units by each holding account for the beginning of the previous calendar year to be made publicly available. </w:t>
            </w:r>
          </w:p>
        </w:tc>
      </w:tr>
      <w:tr w:rsidR="000631B3" w:rsidRPr="00BE78CA" w14:paraId="393D0367" w14:textId="77777777" w:rsidTr="002F54E5">
        <w:tc>
          <w:tcPr>
            <w:tcW w:w="2552" w:type="dxa"/>
            <w:tcBorders>
              <w:top w:val="nil"/>
              <w:left w:val="nil"/>
              <w:bottom w:val="nil"/>
              <w:right w:val="nil"/>
            </w:tcBorders>
          </w:tcPr>
          <w:p w14:paraId="014D333B" w14:textId="77777777" w:rsidR="000631B3" w:rsidRPr="00BE78CA" w:rsidRDefault="000631B3" w:rsidP="00C26084">
            <w:pPr>
              <w:pStyle w:val="TableText"/>
              <w:keepNext/>
              <w:spacing w:before="50" w:after="50"/>
              <w:ind w:left="284" w:hanging="284"/>
            </w:pPr>
            <w:r w:rsidRPr="00BE78CA">
              <w:lastRenderedPageBreak/>
              <w:t xml:space="preserve">(b) </w:t>
            </w:r>
            <w:r w:rsidRPr="00BE78CA">
              <w:tab/>
              <w:t>The total quantity of AAUs issued on the basis of the assigned amount pursuant to Article 3, paragraphs 7 and 8.</w:t>
            </w:r>
          </w:p>
        </w:tc>
        <w:tc>
          <w:tcPr>
            <w:tcW w:w="2126" w:type="dxa"/>
            <w:tcBorders>
              <w:top w:val="nil"/>
              <w:left w:val="nil"/>
              <w:bottom w:val="nil"/>
              <w:right w:val="nil"/>
            </w:tcBorders>
          </w:tcPr>
          <w:p w14:paraId="09B309D2" w14:textId="77777777" w:rsidR="000631B3" w:rsidRPr="00BE78CA" w:rsidRDefault="000631B3" w:rsidP="00C26084">
            <w:pPr>
              <w:pStyle w:val="TableText"/>
              <w:spacing w:before="50" w:after="50"/>
            </w:pPr>
            <w:r w:rsidRPr="00BE78CA">
              <w:t>Yes (refer Public information and reports: Holding &amp; transaction summary).</w:t>
            </w:r>
          </w:p>
        </w:tc>
        <w:tc>
          <w:tcPr>
            <w:tcW w:w="1985" w:type="dxa"/>
            <w:tcBorders>
              <w:top w:val="nil"/>
              <w:left w:val="nil"/>
              <w:bottom w:val="nil"/>
              <w:right w:val="nil"/>
            </w:tcBorders>
          </w:tcPr>
          <w:p w14:paraId="348C7749" w14:textId="77777777" w:rsidR="000631B3" w:rsidRPr="00BE78CA" w:rsidRDefault="000631B3" w:rsidP="00C26084">
            <w:pPr>
              <w:pStyle w:val="TableText"/>
              <w:spacing w:before="50" w:after="50"/>
            </w:pPr>
            <w:r w:rsidRPr="00BE78CA">
              <w:t>Annually by 31 January for the previous calendar year</w:t>
            </w:r>
          </w:p>
        </w:tc>
        <w:tc>
          <w:tcPr>
            <w:tcW w:w="1899" w:type="dxa"/>
            <w:tcBorders>
              <w:top w:val="nil"/>
              <w:left w:val="nil"/>
              <w:bottom w:val="nil"/>
              <w:right w:val="nil"/>
            </w:tcBorders>
          </w:tcPr>
          <w:p w14:paraId="0BC90121" w14:textId="77777777" w:rsidR="000631B3" w:rsidRPr="00BE78CA" w:rsidRDefault="000631B3" w:rsidP="00C26084">
            <w:pPr>
              <w:pStyle w:val="TableText"/>
              <w:spacing w:before="50" w:after="50"/>
            </w:pPr>
            <w:r w:rsidRPr="00BE78CA">
              <w:t>NA</w:t>
            </w:r>
          </w:p>
        </w:tc>
      </w:tr>
      <w:tr w:rsidR="000631B3" w:rsidRPr="00BE78CA" w14:paraId="33B9E163" w14:textId="77777777" w:rsidTr="002F54E5">
        <w:tc>
          <w:tcPr>
            <w:tcW w:w="2552" w:type="dxa"/>
            <w:tcBorders>
              <w:top w:val="nil"/>
              <w:left w:val="nil"/>
              <w:bottom w:val="nil"/>
              <w:right w:val="nil"/>
            </w:tcBorders>
          </w:tcPr>
          <w:p w14:paraId="74B84F48" w14:textId="77777777" w:rsidR="000631B3" w:rsidRPr="00BE78CA" w:rsidRDefault="000631B3" w:rsidP="00C26084">
            <w:pPr>
              <w:pStyle w:val="TableText"/>
              <w:spacing w:before="50" w:after="50"/>
              <w:ind w:left="284" w:hanging="284"/>
            </w:pPr>
            <w:r w:rsidRPr="00BE78CA">
              <w:t xml:space="preserve">(c) </w:t>
            </w:r>
            <w:r w:rsidRPr="00BE78CA">
              <w:tab/>
              <w:t>The total quantity of ERUs issued on the basis of Article 6 projects.</w:t>
            </w:r>
          </w:p>
        </w:tc>
        <w:tc>
          <w:tcPr>
            <w:tcW w:w="2126" w:type="dxa"/>
            <w:tcBorders>
              <w:top w:val="nil"/>
              <w:left w:val="nil"/>
              <w:bottom w:val="nil"/>
              <w:right w:val="nil"/>
            </w:tcBorders>
          </w:tcPr>
          <w:p w14:paraId="5DC682FA" w14:textId="77777777" w:rsidR="000631B3" w:rsidRPr="00BE78CA" w:rsidRDefault="000631B3" w:rsidP="00C26084">
            <w:pPr>
              <w:pStyle w:val="TableText"/>
              <w:spacing w:before="50" w:after="40"/>
            </w:pPr>
            <w:r w:rsidRPr="00BE78CA">
              <w:t>Yes (refer Public information and reports: Holding &amp; transaction summary – Units converted to).</w:t>
            </w:r>
          </w:p>
        </w:tc>
        <w:tc>
          <w:tcPr>
            <w:tcW w:w="1985" w:type="dxa"/>
            <w:tcBorders>
              <w:top w:val="nil"/>
              <w:left w:val="nil"/>
              <w:bottom w:val="nil"/>
              <w:right w:val="nil"/>
            </w:tcBorders>
          </w:tcPr>
          <w:p w14:paraId="239B9A8C" w14:textId="77777777" w:rsidR="000631B3" w:rsidRPr="00BE78CA" w:rsidRDefault="000631B3" w:rsidP="00C26084">
            <w:pPr>
              <w:pStyle w:val="TableText"/>
              <w:spacing w:before="50" w:after="50"/>
            </w:pPr>
            <w:r w:rsidRPr="00BE78CA">
              <w:t>Annually by 31 January for the previous calendar year</w:t>
            </w:r>
          </w:p>
        </w:tc>
        <w:tc>
          <w:tcPr>
            <w:tcW w:w="1899" w:type="dxa"/>
            <w:tcBorders>
              <w:top w:val="nil"/>
              <w:left w:val="nil"/>
              <w:bottom w:val="nil"/>
              <w:right w:val="nil"/>
            </w:tcBorders>
          </w:tcPr>
          <w:p w14:paraId="2384ABA7" w14:textId="77777777" w:rsidR="000631B3" w:rsidRPr="00BE78CA" w:rsidRDefault="000631B3" w:rsidP="00C26084">
            <w:pPr>
              <w:pStyle w:val="TableText"/>
              <w:spacing w:before="50" w:after="50"/>
            </w:pPr>
            <w:r w:rsidRPr="00BE78CA">
              <w:t>NA</w:t>
            </w:r>
          </w:p>
        </w:tc>
      </w:tr>
      <w:tr w:rsidR="000631B3" w:rsidRPr="00BE78CA" w14:paraId="6F59CFA6" w14:textId="77777777" w:rsidTr="002F54E5">
        <w:tc>
          <w:tcPr>
            <w:tcW w:w="2552" w:type="dxa"/>
            <w:tcBorders>
              <w:top w:val="nil"/>
              <w:left w:val="nil"/>
              <w:bottom w:val="nil"/>
              <w:right w:val="nil"/>
            </w:tcBorders>
          </w:tcPr>
          <w:p w14:paraId="7D0863E2" w14:textId="77777777" w:rsidR="000631B3" w:rsidRPr="00BE78CA" w:rsidRDefault="000631B3" w:rsidP="00C26084">
            <w:pPr>
              <w:pStyle w:val="TableText"/>
              <w:ind w:left="284" w:hanging="284"/>
            </w:pPr>
            <w:r w:rsidRPr="00BE78CA">
              <w:t xml:space="preserve">(d) </w:t>
            </w:r>
            <w:r w:rsidRPr="00BE78CA">
              <w:tab/>
              <w:t>The total quantity of ERUs, CERs, AAUs and RMUs acquired from other registries and the identity of the transferring accounts and registries.</w:t>
            </w:r>
          </w:p>
        </w:tc>
        <w:tc>
          <w:tcPr>
            <w:tcW w:w="2126" w:type="dxa"/>
            <w:tcBorders>
              <w:top w:val="nil"/>
              <w:left w:val="nil"/>
              <w:bottom w:val="nil"/>
              <w:right w:val="nil"/>
            </w:tcBorders>
          </w:tcPr>
          <w:p w14:paraId="45ECDBE6" w14:textId="77777777" w:rsidR="000631B3" w:rsidRPr="00BE78CA" w:rsidRDefault="000631B3" w:rsidP="00C26084">
            <w:pPr>
              <w:pStyle w:val="TableText"/>
            </w:pPr>
            <w:r w:rsidRPr="00BE78CA">
              <w:t xml:space="preserve">Partial – the total quantity of ERUs, CERs, AAUs and RMUs acquired from other registries, and the identity of the registries is publicly available by 31 January for the previous calendar year (refer Public information and reports: Incoming transactions by year). </w:t>
            </w:r>
          </w:p>
          <w:p w14:paraId="2ABCD7B4" w14:textId="77777777" w:rsidR="000631B3" w:rsidRPr="00BE78CA" w:rsidRDefault="000631B3" w:rsidP="00C26084">
            <w:pPr>
              <w:pStyle w:val="TableText"/>
            </w:pPr>
            <w:r w:rsidRPr="00BE78CA">
              <w:t>The identity of the individual transferring accounts is not available because it is considered to be confidential information.</w:t>
            </w:r>
          </w:p>
        </w:tc>
        <w:tc>
          <w:tcPr>
            <w:tcW w:w="1985" w:type="dxa"/>
            <w:tcBorders>
              <w:top w:val="nil"/>
              <w:left w:val="nil"/>
              <w:bottom w:val="nil"/>
              <w:right w:val="nil"/>
            </w:tcBorders>
          </w:tcPr>
          <w:p w14:paraId="29ABE35E" w14:textId="77777777" w:rsidR="000631B3" w:rsidRPr="00BE78CA" w:rsidRDefault="000631B3" w:rsidP="00C26084">
            <w:pPr>
              <w:pStyle w:val="TableText"/>
            </w:pPr>
            <w:r w:rsidRPr="00BE78CA">
              <w:t>Annually by 31 January for the previous calendar year</w:t>
            </w:r>
          </w:p>
        </w:tc>
        <w:tc>
          <w:tcPr>
            <w:tcW w:w="1899" w:type="dxa"/>
            <w:tcBorders>
              <w:top w:val="nil"/>
              <w:left w:val="nil"/>
              <w:bottom w:val="nil"/>
              <w:right w:val="nil"/>
            </w:tcBorders>
          </w:tcPr>
          <w:p w14:paraId="423E51DC" w14:textId="77777777" w:rsidR="000631B3" w:rsidRPr="00BE78CA" w:rsidRDefault="000631B3" w:rsidP="00C26084">
            <w:pPr>
              <w:pStyle w:val="TableText"/>
            </w:pPr>
            <w:r w:rsidRPr="00BE78CA">
              <w:t>NA</w:t>
            </w:r>
          </w:p>
          <w:p w14:paraId="6BD72E0D" w14:textId="77777777" w:rsidR="000631B3" w:rsidRPr="00BE78CA" w:rsidRDefault="000631B3" w:rsidP="00C26084">
            <w:pPr>
              <w:pStyle w:val="TableText"/>
              <w:spacing w:after="40"/>
            </w:pPr>
            <w:r w:rsidRPr="00BE78CA">
              <w:t>Section 27(j) of the Climate Change Response Act 2002 requires that only the following be made publicly available:</w:t>
            </w:r>
          </w:p>
          <w:p w14:paraId="390E8D5A" w14:textId="77777777" w:rsidR="000631B3" w:rsidRPr="00BE78CA" w:rsidRDefault="000631B3" w:rsidP="000631B3">
            <w:pPr>
              <w:pStyle w:val="TableBullet"/>
              <w:tabs>
                <w:tab w:val="clear" w:pos="284"/>
              </w:tabs>
              <w:spacing w:before="0" w:after="40" w:line="259" w:lineRule="auto"/>
              <w:ind w:left="170" w:hanging="170"/>
            </w:pPr>
            <w:r w:rsidRPr="00BE78CA">
              <w:t>total quantity of units transferred</w:t>
            </w:r>
          </w:p>
          <w:p w14:paraId="7E518D6F" w14:textId="77777777" w:rsidR="000631B3" w:rsidRPr="00BE78CA" w:rsidRDefault="000631B3" w:rsidP="000631B3">
            <w:pPr>
              <w:pStyle w:val="TableBullet"/>
              <w:tabs>
                <w:tab w:val="clear" w:pos="284"/>
              </w:tabs>
              <w:spacing w:before="0" w:after="40" w:line="259" w:lineRule="auto"/>
              <w:ind w:left="170" w:hanging="170"/>
            </w:pPr>
            <w:r w:rsidRPr="00BE78CA">
              <w:t>total quantity and type of unit transferred</w:t>
            </w:r>
          </w:p>
          <w:p w14:paraId="19ABD011" w14:textId="77777777" w:rsidR="000631B3" w:rsidRPr="00BE78CA" w:rsidRDefault="000631B3" w:rsidP="000631B3">
            <w:pPr>
              <w:pStyle w:val="TableBullet"/>
              <w:tabs>
                <w:tab w:val="clear" w:pos="284"/>
              </w:tabs>
              <w:spacing w:before="0" w:after="40" w:line="259" w:lineRule="auto"/>
              <w:ind w:left="170" w:hanging="170"/>
            </w:pPr>
            <w:r w:rsidRPr="00BE78CA">
              <w:t>the identity of the transferring overseas registries, including the total quantity of units transferred from each overseas registry and each type of unit transferred from each overseas registry.</w:t>
            </w:r>
          </w:p>
        </w:tc>
      </w:tr>
      <w:tr w:rsidR="000631B3" w:rsidRPr="00BE78CA" w14:paraId="791A7703" w14:textId="77777777" w:rsidTr="002F54E5">
        <w:tc>
          <w:tcPr>
            <w:tcW w:w="2552" w:type="dxa"/>
            <w:tcBorders>
              <w:top w:val="nil"/>
              <w:left w:val="nil"/>
              <w:bottom w:val="nil"/>
              <w:right w:val="nil"/>
            </w:tcBorders>
          </w:tcPr>
          <w:p w14:paraId="63800B57" w14:textId="77777777" w:rsidR="000631B3" w:rsidRPr="00BE78CA" w:rsidRDefault="000631B3" w:rsidP="00C26084">
            <w:pPr>
              <w:pStyle w:val="TableText"/>
              <w:spacing w:before="40" w:after="40"/>
              <w:ind w:left="284" w:hanging="284"/>
            </w:pPr>
            <w:r w:rsidRPr="00BE78CA">
              <w:t xml:space="preserve">(e) </w:t>
            </w:r>
            <w:r w:rsidRPr="00BE78CA">
              <w:tab/>
              <w:t>The total quantity of RMUs issued on the basis of each activity under Article 3, paragraphs 3 and 4.</w:t>
            </w:r>
          </w:p>
        </w:tc>
        <w:tc>
          <w:tcPr>
            <w:tcW w:w="2126" w:type="dxa"/>
            <w:tcBorders>
              <w:top w:val="nil"/>
              <w:left w:val="nil"/>
              <w:bottom w:val="nil"/>
              <w:right w:val="nil"/>
            </w:tcBorders>
          </w:tcPr>
          <w:p w14:paraId="423FE225" w14:textId="77777777" w:rsidR="000631B3" w:rsidRPr="00BE78CA" w:rsidRDefault="000631B3" w:rsidP="00C26084">
            <w:pPr>
              <w:pStyle w:val="TableText"/>
              <w:spacing w:before="40" w:after="40"/>
            </w:pPr>
            <w:r w:rsidRPr="00BE78CA">
              <w:t xml:space="preserve">Yes (refer Public information and reports: Holding &amp; transaction summary). </w:t>
            </w:r>
          </w:p>
        </w:tc>
        <w:tc>
          <w:tcPr>
            <w:tcW w:w="1985" w:type="dxa"/>
            <w:tcBorders>
              <w:top w:val="nil"/>
              <w:left w:val="nil"/>
              <w:bottom w:val="nil"/>
              <w:right w:val="nil"/>
            </w:tcBorders>
          </w:tcPr>
          <w:p w14:paraId="27D3819B" w14:textId="77777777" w:rsidR="000631B3" w:rsidRPr="00BE78CA" w:rsidRDefault="000631B3" w:rsidP="00C26084">
            <w:pPr>
              <w:pStyle w:val="TableText"/>
              <w:spacing w:before="40" w:after="40"/>
            </w:pPr>
            <w:r w:rsidRPr="00BE78CA">
              <w:t>Annually by 31 January for the previous calendar year</w:t>
            </w:r>
          </w:p>
        </w:tc>
        <w:tc>
          <w:tcPr>
            <w:tcW w:w="1899" w:type="dxa"/>
            <w:tcBorders>
              <w:top w:val="nil"/>
              <w:left w:val="nil"/>
              <w:bottom w:val="nil"/>
              <w:right w:val="nil"/>
            </w:tcBorders>
          </w:tcPr>
          <w:p w14:paraId="781FDAD1" w14:textId="77777777" w:rsidR="000631B3" w:rsidRPr="00BE78CA" w:rsidRDefault="000631B3" w:rsidP="00C26084">
            <w:pPr>
              <w:pStyle w:val="TableText"/>
              <w:spacing w:before="40" w:after="40"/>
            </w:pPr>
            <w:r w:rsidRPr="00BE78CA">
              <w:t>n/a</w:t>
            </w:r>
          </w:p>
        </w:tc>
      </w:tr>
      <w:tr w:rsidR="000631B3" w:rsidRPr="00BE78CA" w14:paraId="0AC9DD19" w14:textId="77777777" w:rsidTr="002F54E5">
        <w:tc>
          <w:tcPr>
            <w:tcW w:w="2552" w:type="dxa"/>
            <w:tcBorders>
              <w:top w:val="nil"/>
              <w:left w:val="nil"/>
              <w:bottom w:val="nil"/>
              <w:right w:val="nil"/>
            </w:tcBorders>
          </w:tcPr>
          <w:p w14:paraId="0754AE4C" w14:textId="77777777" w:rsidR="000631B3" w:rsidRPr="00BE78CA" w:rsidRDefault="000631B3" w:rsidP="00C26084">
            <w:pPr>
              <w:pStyle w:val="TableText"/>
              <w:ind w:left="284" w:hanging="284"/>
            </w:pPr>
            <w:r w:rsidRPr="00BE78CA">
              <w:t xml:space="preserve">(f) </w:t>
            </w:r>
            <w:r w:rsidRPr="00BE78CA">
              <w:tab/>
              <w:t>The total quantity of ERUs, CERs, AAUs and RMUs transferred to other registries and the identity of the acquiring accounts and registries.</w:t>
            </w:r>
          </w:p>
        </w:tc>
        <w:tc>
          <w:tcPr>
            <w:tcW w:w="2126" w:type="dxa"/>
            <w:tcBorders>
              <w:top w:val="nil"/>
              <w:left w:val="nil"/>
              <w:bottom w:val="nil"/>
              <w:right w:val="nil"/>
            </w:tcBorders>
          </w:tcPr>
          <w:p w14:paraId="56AF44FE" w14:textId="77777777" w:rsidR="000631B3" w:rsidRPr="00BE78CA" w:rsidRDefault="000631B3" w:rsidP="00C26084">
            <w:pPr>
              <w:pStyle w:val="TableText"/>
            </w:pPr>
            <w:r w:rsidRPr="00BE78CA">
              <w:t xml:space="preserve">Partial – the total quantity of ERUs, CERs, AAUs and RMUs transferred to other registries, and the identity of the registries are publicly available by 31 January for the previous calendar year (refer Public information and </w:t>
            </w:r>
            <w:r w:rsidRPr="00BE78CA">
              <w:lastRenderedPageBreak/>
              <w:t>reports: Outgoing transactions by year).</w:t>
            </w:r>
          </w:p>
          <w:p w14:paraId="1CF6A4A2" w14:textId="77777777" w:rsidR="000631B3" w:rsidRPr="00BE78CA" w:rsidRDefault="000631B3" w:rsidP="00C26084">
            <w:pPr>
              <w:pStyle w:val="TableText"/>
              <w:spacing w:before="0"/>
            </w:pPr>
            <w:r w:rsidRPr="00BE78CA">
              <w:t>The identity of the individual acquiring accounts is not available because it is considered to be confidential information.</w:t>
            </w:r>
          </w:p>
        </w:tc>
        <w:tc>
          <w:tcPr>
            <w:tcW w:w="1985" w:type="dxa"/>
            <w:tcBorders>
              <w:top w:val="nil"/>
              <w:left w:val="nil"/>
              <w:bottom w:val="nil"/>
              <w:right w:val="nil"/>
            </w:tcBorders>
          </w:tcPr>
          <w:p w14:paraId="3D16A4F5" w14:textId="77777777" w:rsidR="000631B3" w:rsidRPr="00BE78CA" w:rsidRDefault="000631B3" w:rsidP="00C26084">
            <w:pPr>
              <w:pStyle w:val="TableText"/>
            </w:pPr>
            <w:r w:rsidRPr="00BE78CA">
              <w:lastRenderedPageBreak/>
              <w:t>Annually by 31 January for the previous calendar year</w:t>
            </w:r>
          </w:p>
        </w:tc>
        <w:tc>
          <w:tcPr>
            <w:tcW w:w="1899" w:type="dxa"/>
            <w:tcBorders>
              <w:top w:val="nil"/>
              <w:left w:val="nil"/>
              <w:bottom w:val="nil"/>
              <w:right w:val="nil"/>
            </w:tcBorders>
          </w:tcPr>
          <w:p w14:paraId="28C31722" w14:textId="77777777" w:rsidR="000631B3" w:rsidRPr="00BE78CA" w:rsidRDefault="000631B3" w:rsidP="00C26084">
            <w:pPr>
              <w:pStyle w:val="TableText"/>
              <w:spacing w:after="0"/>
            </w:pPr>
            <w:r w:rsidRPr="00BE78CA">
              <w:t>n/a</w:t>
            </w:r>
          </w:p>
          <w:p w14:paraId="5F5B3BCE" w14:textId="77777777" w:rsidR="000631B3" w:rsidRPr="00BE78CA" w:rsidRDefault="000631B3" w:rsidP="00C26084">
            <w:pPr>
              <w:pStyle w:val="TableText"/>
            </w:pPr>
            <w:r w:rsidRPr="00BE78CA">
              <w:t>Section 27(k) of the Climate Change Response Act 2002 requires that only the following be publicly available:</w:t>
            </w:r>
          </w:p>
          <w:p w14:paraId="4A12407A" w14:textId="77777777" w:rsidR="000631B3" w:rsidRPr="00BE78CA" w:rsidRDefault="000631B3" w:rsidP="000631B3">
            <w:pPr>
              <w:pStyle w:val="TableBullet"/>
              <w:tabs>
                <w:tab w:val="clear" w:pos="284"/>
              </w:tabs>
              <w:spacing w:before="0" w:after="40" w:line="259" w:lineRule="auto"/>
              <w:ind w:left="170" w:hanging="170"/>
            </w:pPr>
            <w:r w:rsidRPr="00BE78CA">
              <w:t>total quantity of units transferred</w:t>
            </w:r>
          </w:p>
          <w:p w14:paraId="39405EB7" w14:textId="77777777" w:rsidR="000631B3" w:rsidRPr="00BE78CA" w:rsidRDefault="000631B3" w:rsidP="000631B3">
            <w:pPr>
              <w:pStyle w:val="TableBullet"/>
              <w:tabs>
                <w:tab w:val="clear" w:pos="284"/>
              </w:tabs>
              <w:spacing w:before="0" w:after="40" w:line="259" w:lineRule="auto"/>
              <w:ind w:left="170" w:hanging="170"/>
            </w:pPr>
            <w:r w:rsidRPr="00BE78CA">
              <w:lastRenderedPageBreak/>
              <w:t>total quantity and type of unit transferred</w:t>
            </w:r>
          </w:p>
          <w:p w14:paraId="757E5683" w14:textId="77777777" w:rsidR="000631B3" w:rsidRPr="00BE78CA" w:rsidRDefault="000631B3" w:rsidP="000631B3">
            <w:pPr>
              <w:pStyle w:val="TableBullet"/>
              <w:tabs>
                <w:tab w:val="clear" w:pos="284"/>
              </w:tabs>
              <w:spacing w:before="0" w:after="40" w:line="259" w:lineRule="auto"/>
              <w:ind w:left="170" w:hanging="170"/>
            </w:pPr>
            <w:r w:rsidRPr="00BE78CA">
              <w:t>the identity of the acquiring overseas registries, including the total quantity of units transferred to each overseas registry and each type of unit transferred to each overseas registry.</w:t>
            </w:r>
          </w:p>
        </w:tc>
      </w:tr>
      <w:tr w:rsidR="000631B3" w:rsidRPr="00BE78CA" w14:paraId="765F7A74" w14:textId="77777777" w:rsidTr="002F54E5">
        <w:tc>
          <w:tcPr>
            <w:tcW w:w="2552" w:type="dxa"/>
            <w:tcBorders>
              <w:top w:val="nil"/>
              <w:left w:val="nil"/>
              <w:bottom w:val="nil"/>
              <w:right w:val="nil"/>
            </w:tcBorders>
          </w:tcPr>
          <w:p w14:paraId="7D33C525" w14:textId="77777777" w:rsidR="000631B3" w:rsidRPr="00BE78CA" w:rsidRDefault="000631B3" w:rsidP="00C26084">
            <w:pPr>
              <w:pStyle w:val="TableText"/>
              <w:spacing w:before="40" w:after="40"/>
              <w:ind w:left="284" w:hanging="284"/>
            </w:pPr>
            <w:r w:rsidRPr="00BE78CA">
              <w:lastRenderedPageBreak/>
              <w:t xml:space="preserve">(g) </w:t>
            </w:r>
            <w:r w:rsidRPr="00BE78CA">
              <w:tab/>
              <w:t>The total quantity of ERUs, CERs, AAUs and RMUs cancelled on the basis of activities under Article 3, paragraphs 3 and 4.</w:t>
            </w:r>
          </w:p>
        </w:tc>
        <w:tc>
          <w:tcPr>
            <w:tcW w:w="2126" w:type="dxa"/>
            <w:tcBorders>
              <w:top w:val="nil"/>
              <w:left w:val="nil"/>
              <w:bottom w:val="nil"/>
              <w:right w:val="nil"/>
            </w:tcBorders>
          </w:tcPr>
          <w:p w14:paraId="461F1E11" w14:textId="77777777" w:rsidR="000631B3" w:rsidRPr="00BE78CA" w:rsidRDefault="000631B3" w:rsidP="00C26084">
            <w:pPr>
              <w:pStyle w:val="TableText"/>
              <w:spacing w:before="40" w:after="40"/>
            </w:pPr>
            <w:r w:rsidRPr="00BE78CA">
              <w:t>Yes (refer Public information and reports: Holding &amp; transaction summary).</w:t>
            </w:r>
          </w:p>
        </w:tc>
        <w:tc>
          <w:tcPr>
            <w:tcW w:w="1985" w:type="dxa"/>
            <w:tcBorders>
              <w:top w:val="nil"/>
              <w:left w:val="nil"/>
              <w:bottom w:val="nil"/>
              <w:right w:val="nil"/>
            </w:tcBorders>
          </w:tcPr>
          <w:p w14:paraId="32D1554F" w14:textId="77777777" w:rsidR="000631B3" w:rsidRPr="00BE78CA" w:rsidRDefault="000631B3" w:rsidP="00C26084">
            <w:pPr>
              <w:pStyle w:val="TableText"/>
              <w:spacing w:before="40" w:after="40"/>
            </w:pPr>
            <w:r w:rsidRPr="00BE78CA">
              <w:t>Annually by 31 January for the previous calendar year</w:t>
            </w:r>
          </w:p>
        </w:tc>
        <w:tc>
          <w:tcPr>
            <w:tcW w:w="1899" w:type="dxa"/>
            <w:tcBorders>
              <w:top w:val="nil"/>
              <w:left w:val="nil"/>
              <w:bottom w:val="nil"/>
              <w:right w:val="nil"/>
            </w:tcBorders>
          </w:tcPr>
          <w:p w14:paraId="23C27717" w14:textId="77777777" w:rsidR="000631B3" w:rsidRPr="00BE78CA" w:rsidRDefault="000631B3" w:rsidP="00C26084">
            <w:pPr>
              <w:pStyle w:val="TableText"/>
              <w:spacing w:before="40" w:after="40"/>
            </w:pPr>
            <w:r w:rsidRPr="00BE78CA">
              <w:t>NA</w:t>
            </w:r>
          </w:p>
        </w:tc>
      </w:tr>
      <w:tr w:rsidR="000631B3" w:rsidRPr="00BE78CA" w14:paraId="0EBF15CE" w14:textId="77777777" w:rsidTr="002F54E5">
        <w:tc>
          <w:tcPr>
            <w:tcW w:w="2552" w:type="dxa"/>
            <w:tcBorders>
              <w:top w:val="nil"/>
              <w:left w:val="nil"/>
              <w:bottom w:val="nil"/>
              <w:right w:val="nil"/>
            </w:tcBorders>
          </w:tcPr>
          <w:p w14:paraId="47E9B0D2" w14:textId="77777777" w:rsidR="000631B3" w:rsidRPr="00BE78CA" w:rsidRDefault="000631B3" w:rsidP="00C26084">
            <w:pPr>
              <w:pStyle w:val="TableText"/>
              <w:keepNext/>
              <w:spacing w:before="40" w:after="40"/>
              <w:ind w:left="284" w:hanging="284"/>
            </w:pPr>
            <w:r w:rsidRPr="00BE78CA">
              <w:t xml:space="preserve">(h) </w:t>
            </w:r>
            <w:r w:rsidRPr="00BE78CA">
              <w:rPr>
                <w:spacing w:val="-2"/>
              </w:rPr>
              <w:tab/>
            </w:r>
            <w:r w:rsidRPr="00BE78CA">
              <w:t>The total quantity of ERUs, CERs, AAUs and RMUs cancelled following determination by the Compliance Committee that the Party is not in compliance with its commitment under Article 3, paragraph 1.</w:t>
            </w:r>
          </w:p>
        </w:tc>
        <w:tc>
          <w:tcPr>
            <w:tcW w:w="2126" w:type="dxa"/>
            <w:tcBorders>
              <w:top w:val="nil"/>
              <w:left w:val="nil"/>
              <w:bottom w:val="nil"/>
              <w:right w:val="nil"/>
            </w:tcBorders>
          </w:tcPr>
          <w:p w14:paraId="6B314BB7" w14:textId="77777777" w:rsidR="000631B3" w:rsidRPr="00BE78CA" w:rsidRDefault="000631B3" w:rsidP="00C26084">
            <w:pPr>
              <w:pStyle w:val="TableText"/>
              <w:keepNext/>
              <w:spacing w:before="40" w:after="40"/>
            </w:pPr>
            <w:r w:rsidRPr="00BE78CA">
              <w:t>Yes (refer Public information and reports: Holding &amp; transaction summary).</w:t>
            </w:r>
          </w:p>
          <w:p w14:paraId="5D32AD1B" w14:textId="77777777" w:rsidR="000631B3" w:rsidRPr="00BE78CA" w:rsidRDefault="000631B3" w:rsidP="00C26084">
            <w:pPr>
              <w:pStyle w:val="TableText"/>
              <w:keepNext/>
              <w:spacing w:before="40" w:after="40"/>
            </w:pPr>
            <w:r w:rsidRPr="00BE78CA">
              <w:t>NOTE: Reported as ‘0’ because this event did not occur in the specified period.</w:t>
            </w:r>
          </w:p>
        </w:tc>
        <w:tc>
          <w:tcPr>
            <w:tcW w:w="1985" w:type="dxa"/>
            <w:tcBorders>
              <w:top w:val="nil"/>
              <w:left w:val="nil"/>
              <w:bottom w:val="nil"/>
              <w:right w:val="nil"/>
            </w:tcBorders>
          </w:tcPr>
          <w:p w14:paraId="7C27C7EF" w14:textId="77777777" w:rsidR="000631B3" w:rsidRPr="00BE78CA" w:rsidRDefault="000631B3" w:rsidP="00C26084">
            <w:pPr>
              <w:pStyle w:val="TableText"/>
              <w:keepNext/>
              <w:spacing w:before="40" w:after="40"/>
            </w:pPr>
            <w:r w:rsidRPr="00BE78CA">
              <w:t>Annually by 31 January for the previous calendar year</w:t>
            </w:r>
          </w:p>
        </w:tc>
        <w:tc>
          <w:tcPr>
            <w:tcW w:w="1899" w:type="dxa"/>
            <w:tcBorders>
              <w:top w:val="nil"/>
              <w:left w:val="nil"/>
              <w:bottom w:val="nil"/>
              <w:right w:val="nil"/>
            </w:tcBorders>
          </w:tcPr>
          <w:p w14:paraId="1D2E27F1" w14:textId="77777777" w:rsidR="000631B3" w:rsidRPr="00BE78CA" w:rsidRDefault="000631B3" w:rsidP="00C26084">
            <w:pPr>
              <w:pStyle w:val="TableText"/>
              <w:keepNext/>
              <w:spacing w:before="40" w:after="40"/>
            </w:pPr>
            <w:r w:rsidRPr="00BE78CA">
              <w:t>NA</w:t>
            </w:r>
          </w:p>
        </w:tc>
      </w:tr>
      <w:tr w:rsidR="000631B3" w:rsidRPr="00BE78CA" w14:paraId="226C534E" w14:textId="77777777" w:rsidTr="002F54E5">
        <w:tc>
          <w:tcPr>
            <w:tcW w:w="2552" w:type="dxa"/>
            <w:tcBorders>
              <w:top w:val="nil"/>
              <w:left w:val="nil"/>
              <w:bottom w:val="nil"/>
              <w:right w:val="nil"/>
            </w:tcBorders>
          </w:tcPr>
          <w:p w14:paraId="53B43DBA" w14:textId="77777777" w:rsidR="000631B3" w:rsidRPr="00BE78CA" w:rsidRDefault="000631B3" w:rsidP="00C26084">
            <w:pPr>
              <w:pStyle w:val="TableText"/>
              <w:ind w:left="284" w:hanging="284"/>
            </w:pPr>
            <w:r w:rsidRPr="00BE78CA">
              <w:t xml:space="preserve">(i) </w:t>
            </w:r>
            <w:r w:rsidRPr="00BE78CA">
              <w:tab/>
              <w:t>The total quantity of other ERUs, CERs, AAUs and RMUs cancelled.</w:t>
            </w:r>
          </w:p>
        </w:tc>
        <w:tc>
          <w:tcPr>
            <w:tcW w:w="2126" w:type="dxa"/>
            <w:tcBorders>
              <w:top w:val="nil"/>
              <w:left w:val="nil"/>
              <w:bottom w:val="nil"/>
              <w:right w:val="nil"/>
            </w:tcBorders>
          </w:tcPr>
          <w:p w14:paraId="44B0E3C2" w14:textId="77777777" w:rsidR="000631B3" w:rsidRPr="00BE78CA" w:rsidRDefault="000631B3" w:rsidP="00C26084">
            <w:pPr>
              <w:pStyle w:val="TableText"/>
            </w:pPr>
            <w:r w:rsidRPr="00BE78CA">
              <w:t>Yes (refer Public information and reports: Holding &amp; transaction summary).</w:t>
            </w:r>
          </w:p>
        </w:tc>
        <w:tc>
          <w:tcPr>
            <w:tcW w:w="1985" w:type="dxa"/>
            <w:tcBorders>
              <w:top w:val="nil"/>
              <w:left w:val="nil"/>
              <w:bottom w:val="nil"/>
              <w:right w:val="nil"/>
            </w:tcBorders>
          </w:tcPr>
          <w:p w14:paraId="511E657D" w14:textId="77777777" w:rsidR="000631B3" w:rsidRPr="00BE78CA" w:rsidRDefault="000631B3" w:rsidP="00C26084">
            <w:pPr>
              <w:pStyle w:val="TableText"/>
            </w:pPr>
            <w:r w:rsidRPr="00BE78CA">
              <w:t>Annually by 31 January for the previous calendar year</w:t>
            </w:r>
          </w:p>
        </w:tc>
        <w:tc>
          <w:tcPr>
            <w:tcW w:w="1899" w:type="dxa"/>
            <w:tcBorders>
              <w:top w:val="nil"/>
              <w:left w:val="nil"/>
              <w:bottom w:val="nil"/>
              <w:right w:val="nil"/>
            </w:tcBorders>
          </w:tcPr>
          <w:p w14:paraId="1628485A" w14:textId="77777777" w:rsidR="000631B3" w:rsidRPr="00BE78CA" w:rsidRDefault="000631B3" w:rsidP="00C26084">
            <w:pPr>
              <w:pStyle w:val="TableText"/>
            </w:pPr>
            <w:r w:rsidRPr="00BE78CA">
              <w:t>NA</w:t>
            </w:r>
          </w:p>
        </w:tc>
      </w:tr>
      <w:tr w:rsidR="000631B3" w:rsidRPr="00BE78CA" w14:paraId="045DC8B2" w14:textId="77777777" w:rsidTr="002F54E5">
        <w:tc>
          <w:tcPr>
            <w:tcW w:w="2552" w:type="dxa"/>
            <w:tcBorders>
              <w:top w:val="nil"/>
              <w:left w:val="nil"/>
              <w:bottom w:val="nil"/>
              <w:right w:val="nil"/>
            </w:tcBorders>
          </w:tcPr>
          <w:p w14:paraId="30C48A10" w14:textId="77777777" w:rsidR="000631B3" w:rsidRPr="00BE78CA" w:rsidRDefault="000631B3" w:rsidP="00C26084">
            <w:pPr>
              <w:pStyle w:val="TableText"/>
              <w:ind w:left="284" w:hanging="284"/>
            </w:pPr>
            <w:r w:rsidRPr="00BE78CA">
              <w:t xml:space="preserve">(j) </w:t>
            </w:r>
            <w:r w:rsidRPr="00BE78CA">
              <w:tab/>
              <w:t>The total quantity of ERUs, CERs, AAUs and RMUs retired.</w:t>
            </w:r>
          </w:p>
        </w:tc>
        <w:tc>
          <w:tcPr>
            <w:tcW w:w="2126" w:type="dxa"/>
            <w:tcBorders>
              <w:top w:val="nil"/>
              <w:left w:val="nil"/>
              <w:bottom w:val="nil"/>
              <w:right w:val="nil"/>
            </w:tcBorders>
          </w:tcPr>
          <w:p w14:paraId="7EF16086" w14:textId="77777777" w:rsidR="000631B3" w:rsidRPr="00BE78CA" w:rsidRDefault="000631B3" w:rsidP="00C26084">
            <w:pPr>
              <w:pStyle w:val="TableText"/>
            </w:pPr>
            <w:r w:rsidRPr="00BE78CA">
              <w:t>Yes (refer Public information and reports: Holding &amp; transaction summary).</w:t>
            </w:r>
          </w:p>
        </w:tc>
        <w:tc>
          <w:tcPr>
            <w:tcW w:w="1985" w:type="dxa"/>
            <w:tcBorders>
              <w:top w:val="nil"/>
              <w:left w:val="nil"/>
              <w:bottom w:val="nil"/>
              <w:right w:val="nil"/>
            </w:tcBorders>
          </w:tcPr>
          <w:p w14:paraId="0D10F748" w14:textId="77777777" w:rsidR="000631B3" w:rsidRPr="00BE78CA" w:rsidRDefault="000631B3" w:rsidP="00C26084">
            <w:pPr>
              <w:pStyle w:val="TableText"/>
            </w:pPr>
            <w:r w:rsidRPr="00BE78CA">
              <w:t>Annually by 31 January for the previous calendar year</w:t>
            </w:r>
          </w:p>
        </w:tc>
        <w:tc>
          <w:tcPr>
            <w:tcW w:w="1899" w:type="dxa"/>
            <w:tcBorders>
              <w:top w:val="nil"/>
              <w:left w:val="nil"/>
              <w:bottom w:val="nil"/>
              <w:right w:val="nil"/>
            </w:tcBorders>
          </w:tcPr>
          <w:p w14:paraId="5EEB4FB5" w14:textId="77777777" w:rsidR="000631B3" w:rsidRPr="00BE78CA" w:rsidRDefault="000631B3" w:rsidP="00C26084">
            <w:pPr>
              <w:pStyle w:val="TableText"/>
            </w:pPr>
            <w:r w:rsidRPr="00BE78CA">
              <w:t>NA</w:t>
            </w:r>
          </w:p>
        </w:tc>
      </w:tr>
      <w:tr w:rsidR="000631B3" w:rsidRPr="00BE78CA" w14:paraId="4B91DD03" w14:textId="77777777" w:rsidTr="002F54E5">
        <w:tc>
          <w:tcPr>
            <w:tcW w:w="2552" w:type="dxa"/>
            <w:tcBorders>
              <w:top w:val="nil"/>
              <w:left w:val="nil"/>
              <w:bottom w:val="nil"/>
              <w:right w:val="nil"/>
            </w:tcBorders>
          </w:tcPr>
          <w:p w14:paraId="1CE90465" w14:textId="77777777" w:rsidR="000631B3" w:rsidRPr="00BE78CA" w:rsidRDefault="000631B3" w:rsidP="00C26084">
            <w:pPr>
              <w:pStyle w:val="TableText"/>
              <w:ind w:left="284" w:hanging="284"/>
            </w:pPr>
            <w:r w:rsidRPr="00BE78CA">
              <w:t xml:space="preserve">(k) </w:t>
            </w:r>
            <w:r w:rsidRPr="00BE78CA">
              <w:tab/>
              <w:t>The total quantity of ERUs, CERs, and AAUs carried over from the previous commitment period.</w:t>
            </w:r>
          </w:p>
        </w:tc>
        <w:tc>
          <w:tcPr>
            <w:tcW w:w="2126" w:type="dxa"/>
            <w:tcBorders>
              <w:top w:val="nil"/>
              <w:left w:val="nil"/>
              <w:bottom w:val="nil"/>
              <w:right w:val="nil"/>
            </w:tcBorders>
          </w:tcPr>
          <w:p w14:paraId="325A6538" w14:textId="77777777" w:rsidR="000631B3" w:rsidRPr="00BE78CA" w:rsidRDefault="000631B3" w:rsidP="00C26084">
            <w:pPr>
              <w:pStyle w:val="TableText"/>
            </w:pPr>
            <w:r w:rsidRPr="00BE78CA">
              <w:t>Yes (refer Public information and reports: Holding &amp; transaction summary).</w:t>
            </w:r>
          </w:p>
          <w:p w14:paraId="50E9D69B" w14:textId="77777777" w:rsidR="000631B3" w:rsidRPr="00BE78CA" w:rsidRDefault="000631B3" w:rsidP="00C26084">
            <w:pPr>
              <w:pStyle w:val="TableText"/>
            </w:pPr>
            <w:r w:rsidRPr="00BE78CA">
              <w:t>NOTE: Reported as ‘0’ because this event did not occur in the specified period.</w:t>
            </w:r>
          </w:p>
        </w:tc>
        <w:tc>
          <w:tcPr>
            <w:tcW w:w="1985" w:type="dxa"/>
            <w:tcBorders>
              <w:top w:val="nil"/>
              <w:left w:val="nil"/>
              <w:bottom w:val="nil"/>
              <w:right w:val="nil"/>
            </w:tcBorders>
          </w:tcPr>
          <w:p w14:paraId="35DADA2A" w14:textId="77777777" w:rsidR="000631B3" w:rsidRPr="00BE78CA" w:rsidRDefault="000631B3" w:rsidP="00C26084">
            <w:pPr>
              <w:pStyle w:val="TableText"/>
            </w:pPr>
            <w:r w:rsidRPr="00BE78CA">
              <w:t>Annually by 31 January for the previous calendar year</w:t>
            </w:r>
          </w:p>
        </w:tc>
        <w:tc>
          <w:tcPr>
            <w:tcW w:w="1899" w:type="dxa"/>
            <w:tcBorders>
              <w:top w:val="nil"/>
              <w:left w:val="nil"/>
              <w:bottom w:val="nil"/>
              <w:right w:val="nil"/>
            </w:tcBorders>
          </w:tcPr>
          <w:p w14:paraId="27F05FA4" w14:textId="77777777" w:rsidR="000631B3" w:rsidRPr="00BE78CA" w:rsidRDefault="000631B3" w:rsidP="00C26084">
            <w:pPr>
              <w:pStyle w:val="TableText"/>
            </w:pPr>
            <w:r w:rsidRPr="00BE78CA">
              <w:t>NA</w:t>
            </w:r>
          </w:p>
        </w:tc>
      </w:tr>
      <w:tr w:rsidR="000631B3" w:rsidRPr="00BE78CA" w14:paraId="76496B34" w14:textId="77777777" w:rsidTr="002F54E5">
        <w:tc>
          <w:tcPr>
            <w:tcW w:w="2552" w:type="dxa"/>
            <w:tcBorders>
              <w:top w:val="nil"/>
              <w:left w:val="nil"/>
              <w:bottom w:val="nil"/>
              <w:right w:val="nil"/>
            </w:tcBorders>
          </w:tcPr>
          <w:p w14:paraId="35D88C0A" w14:textId="77777777" w:rsidR="000631B3" w:rsidRPr="00BE78CA" w:rsidRDefault="000631B3" w:rsidP="00C26084">
            <w:pPr>
              <w:pStyle w:val="TableText"/>
              <w:ind w:left="284" w:hanging="284"/>
            </w:pPr>
            <w:r w:rsidRPr="00BE78CA">
              <w:t xml:space="preserve">(l) </w:t>
            </w:r>
            <w:r w:rsidRPr="00BE78CA">
              <w:tab/>
              <w:t>Current holdings of ERUs, CERs, AAUs and RMUs in each account.</w:t>
            </w:r>
          </w:p>
        </w:tc>
        <w:tc>
          <w:tcPr>
            <w:tcW w:w="2126" w:type="dxa"/>
            <w:tcBorders>
              <w:top w:val="nil"/>
              <w:left w:val="nil"/>
              <w:bottom w:val="nil"/>
              <w:right w:val="nil"/>
            </w:tcBorders>
          </w:tcPr>
          <w:p w14:paraId="4F812E34" w14:textId="77777777" w:rsidR="000631B3" w:rsidRPr="00BE78CA" w:rsidRDefault="000631B3" w:rsidP="00C26084">
            <w:pPr>
              <w:pStyle w:val="TableText"/>
            </w:pPr>
            <w:r w:rsidRPr="00BE78CA">
              <w:t>Partial – aggregate unit holdings of ERUs, CERs, AAUs and RMUs from the previous calendar year are disclosed by 31 January (refer Public information and reports: Kyoto unit holdings by account).</w:t>
            </w:r>
          </w:p>
          <w:p w14:paraId="29D6612D" w14:textId="77777777" w:rsidR="000631B3" w:rsidRPr="00BE78CA" w:rsidRDefault="000631B3" w:rsidP="00C26084">
            <w:pPr>
              <w:pStyle w:val="TableText"/>
            </w:pPr>
            <w:r w:rsidRPr="00BE78CA">
              <w:t>Total quantity of unit holdings in each account within the most recent calendar year is considered to be confidential information. Therefore the total quantity of unit holdings in each account provided consists of only those completed more than one year in the past.</w:t>
            </w:r>
          </w:p>
          <w:p w14:paraId="205ABE7C" w14:textId="77777777" w:rsidR="000631B3" w:rsidRPr="00BE78CA" w:rsidRDefault="000631B3" w:rsidP="00C26084">
            <w:pPr>
              <w:pStyle w:val="TableText"/>
            </w:pPr>
            <w:r w:rsidRPr="00BE78CA">
              <w:lastRenderedPageBreak/>
              <w:t>(Refer Public information and reports: Kyoto unit holdings by account.)</w:t>
            </w:r>
          </w:p>
        </w:tc>
        <w:tc>
          <w:tcPr>
            <w:tcW w:w="1985" w:type="dxa"/>
            <w:tcBorders>
              <w:top w:val="nil"/>
              <w:left w:val="nil"/>
              <w:bottom w:val="nil"/>
              <w:right w:val="nil"/>
            </w:tcBorders>
          </w:tcPr>
          <w:p w14:paraId="544A6B4B" w14:textId="77777777" w:rsidR="000631B3" w:rsidRPr="00BE78CA" w:rsidRDefault="000631B3" w:rsidP="00C26084">
            <w:pPr>
              <w:pStyle w:val="TableText"/>
            </w:pPr>
            <w:r w:rsidRPr="00BE78CA">
              <w:lastRenderedPageBreak/>
              <w:t>Annually by 31 January for the previous calendar year</w:t>
            </w:r>
          </w:p>
          <w:p w14:paraId="46030AB1" w14:textId="77777777" w:rsidR="000631B3" w:rsidRPr="00BE78CA" w:rsidRDefault="000631B3" w:rsidP="00C26084">
            <w:pPr>
              <w:pStyle w:val="TableText"/>
            </w:pPr>
            <w:r w:rsidRPr="00BE78CA">
              <w:t>1 January for the beginning of the previous calendar year</w:t>
            </w:r>
          </w:p>
          <w:p w14:paraId="7DBDF819" w14:textId="77777777" w:rsidR="000631B3" w:rsidRPr="00BE78CA" w:rsidRDefault="000631B3" w:rsidP="00C26084">
            <w:pPr>
              <w:pStyle w:val="TableText"/>
            </w:pPr>
          </w:p>
        </w:tc>
        <w:tc>
          <w:tcPr>
            <w:tcW w:w="1899" w:type="dxa"/>
            <w:tcBorders>
              <w:top w:val="nil"/>
              <w:left w:val="nil"/>
              <w:bottom w:val="nil"/>
              <w:right w:val="nil"/>
            </w:tcBorders>
          </w:tcPr>
          <w:p w14:paraId="7BE3C214" w14:textId="77777777" w:rsidR="000631B3" w:rsidRPr="00BE78CA" w:rsidRDefault="000631B3" w:rsidP="00C26084">
            <w:pPr>
              <w:pStyle w:val="TableText"/>
            </w:pPr>
            <w:r w:rsidRPr="00BE78CA">
              <w:t xml:space="preserve">Section 27(2) of the Climate Change Response Act 2002 only requires total holdings of AAUs, ERUs, CERs, ICERs, tCERs and RMUs to be publicly available by 31 January of each year for the previous calendar year. </w:t>
            </w:r>
          </w:p>
          <w:p w14:paraId="6B9961CA" w14:textId="77777777" w:rsidR="000631B3" w:rsidRPr="00BE78CA" w:rsidRDefault="000631B3" w:rsidP="00C26084">
            <w:pPr>
              <w:pStyle w:val="TableText"/>
            </w:pPr>
            <w:r w:rsidRPr="00BE78CA">
              <w:t xml:space="preserve">Section 27(3) of the Climate Change Response Act 2002 only requires holdings of Kyoto units by each holding account for the beginning of the previous calendar year to be made publicly available. </w:t>
            </w:r>
          </w:p>
        </w:tc>
      </w:tr>
      <w:tr w:rsidR="000631B3" w:rsidRPr="00BE78CA" w14:paraId="6ED8E865" w14:textId="77777777" w:rsidTr="002F54E5">
        <w:tc>
          <w:tcPr>
            <w:tcW w:w="2552" w:type="dxa"/>
            <w:tcBorders>
              <w:top w:val="single" w:sz="4" w:space="0" w:color="365F91"/>
              <w:left w:val="nil"/>
              <w:bottom w:val="single" w:sz="4" w:space="0" w:color="365F91"/>
              <w:right w:val="nil"/>
            </w:tcBorders>
          </w:tcPr>
          <w:p w14:paraId="79A2AE96" w14:textId="77777777" w:rsidR="000631B3" w:rsidRPr="00BE78CA" w:rsidRDefault="000631B3" w:rsidP="00C26084">
            <w:pPr>
              <w:pStyle w:val="TableText"/>
              <w:ind w:left="284" w:hanging="284"/>
            </w:pPr>
            <w:r w:rsidRPr="00BE78CA">
              <w:t xml:space="preserve">48. </w:t>
            </w:r>
            <w:r w:rsidRPr="00BE78CA">
              <w:tab/>
              <w:t>The information referred to in paragraph 44 shall include a list of legal entities authorised by the Party to hold ERUs, CERs, AAUs and/or RMUs under its responsibility.</w:t>
            </w:r>
          </w:p>
        </w:tc>
        <w:tc>
          <w:tcPr>
            <w:tcW w:w="2126" w:type="dxa"/>
            <w:tcBorders>
              <w:top w:val="single" w:sz="4" w:space="0" w:color="365F91"/>
              <w:left w:val="nil"/>
              <w:bottom w:val="single" w:sz="4" w:space="0" w:color="365F91"/>
              <w:right w:val="nil"/>
            </w:tcBorders>
          </w:tcPr>
          <w:p w14:paraId="7110A4B4" w14:textId="77777777" w:rsidR="000631B3" w:rsidRPr="00BE78CA" w:rsidRDefault="000631B3" w:rsidP="00C26084">
            <w:pPr>
              <w:pStyle w:val="TableText"/>
            </w:pPr>
            <w:r w:rsidRPr="00BE78CA">
              <w:t>Yes (refer Public information and reports: Account holders for list of authorised entities).</w:t>
            </w:r>
          </w:p>
        </w:tc>
        <w:tc>
          <w:tcPr>
            <w:tcW w:w="1985" w:type="dxa"/>
            <w:tcBorders>
              <w:top w:val="single" w:sz="4" w:space="0" w:color="365F91"/>
              <w:left w:val="nil"/>
              <w:bottom w:val="single" w:sz="4" w:space="0" w:color="365F91"/>
              <w:right w:val="nil"/>
            </w:tcBorders>
          </w:tcPr>
          <w:p w14:paraId="268B831B" w14:textId="77777777" w:rsidR="000631B3" w:rsidRPr="00BE78CA" w:rsidRDefault="000631B3" w:rsidP="00C26084">
            <w:pPr>
              <w:pStyle w:val="TableText"/>
            </w:pPr>
            <w:r w:rsidRPr="00BE78CA">
              <w:t>Up to date (note, refreshed daily)</w:t>
            </w:r>
          </w:p>
        </w:tc>
        <w:tc>
          <w:tcPr>
            <w:tcW w:w="1899" w:type="dxa"/>
            <w:tcBorders>
              <w:top w:val="single" w:sz="4" w:space="0" w:color="365F91"/>
              <w:left w:val="nil"/>
              <w:bottom w:val="single" w:sz="4" w:space="0" w:color="365F91"/>
              <w:right w:val="nil"/>
            </w:tcBorders>
          </w:tcPr>
          <w:p w14:paraId="51316412" w14:textId="77777777" w:rsidR="000631B3" w:rsidRPr="00BE78CA" w:rsidRDefault="000631B3" w:rsidP="00C26084">
            <w:pPr>
              <w:pStyle w:val="TableText"/>
            </w:pPr>
            <w:r w:rsidRPr="00BE78CA">
              <w:t>NA</w:t>
            </w:r>
          </w:p>
        </w:tc>
      </w:tr>
    </w:tbl>
    <w:p w14:paraId="12584D13" w14:textId="77777777" w:rsidR="000631B3" w:rsidRPr="00BE78CA" w:rsidRDefault="000631B3" w:rsidP="000631B3">
      <w:pPr>
        <w:pStyle w:val="Heading2"/>
        <w:spacing w:before="480"/>
      </w:pPr>
      <w:bookmarkStart w:id="3685" w:name="_Toc481751435"/>
      <w:bookmarkStart w:id="3686" w:name="_Toc511116649"/>
      <w:bookmarkStart w:id="3687" w:name="_Toc5269418"/>
      <w:bookmarkStart w:id="3688" w:name="_Toc36224458"/>
      <w:bookmarkStart w:id="3689" w:name="_Toc68786378"/>
      <w:bookmarkStart w:id="3690" w:name="_Toc235955570"/>
      <w:bookmarkEnd w:id="3679"/>
      <w:r w:rsidRPr="00BE78CA">
        <w:t>12.5</w:t>
      </w:r>
      <w:r w:rsidRPr="00BE78CA">
        <w:tab/>
        <w:t>Calculation of the commitment period reserve</w:t>
      </w:r>
      <w:bookmarkEnd w:id="3685"/>
      <w:bookmarkEnd w:id="3686"/>
      <w:bookmarkEnd w:id="3687"/>
      <w:bookmarkEnd w:id="3688"/>
      <w:bookmarkEnd w:id="3689"/>
      <w:r w:rsidRPr="00BE78CA">
        <w:t xml:space="preserve"> </w:t>
      </w:r>
      <w:bookmarkEnd w:id="3690"/>
    </w:p>
    <w:p w14:paraId="60919869" w14:textId="6315D136" w:rsidR="000631B3" w:rsidRPr="00BE78CA" w:rsidRDefault="000631B3" w:rsidP="000631B3">
      <w:pPr>
        <w:pStyle w:val="BodyText"/>
      </w:pPr>
      <w:r w:rsidRPr="00BE78CA">
        <w:t>New Zealand’s commitment period reserve calculation is based on the assigned amount for the first commitment period and is therefore fixed. The commitment period reserve is 278,608,260 metric tonnes of CO</w:t>
      </w:r>
      <w:r w:rsidRPr="00BE78CA">
        <w:rPr>
          <w:vertAlign w:val="subscript"/>
        </w:rPr>
        <w:t>2</w:t>
      </w:r>
      <w:r w:rsidRPr="00BE78CA">
        <w:t xml:space="preserve">-e, 90 per cent of the assigned amount of 309,564,733, fixed after the review of </w:t>
      </w:r>
      <w:r w:rsidRPr="00BE78CA">
        <w:rPr>
          <w:i/>
        </w:rPr>
        <w:t>New Zealand’s Initial Report under the Kyoto Protocol</w:t>
      </w:r>
      <w:r w:rsidRPr="00BE78CA">
        <w:t xml:space="preserve"> (Ministry for</w:t>
      </w:r>
      <w:r w:rsidR="00520B8E" w:rsidRPr="00BE78CA">
        <w:t> </w:t>
      </w:r>
      <w:r w:rsidRPr="00BE78CA">
        <w:t>the Environment, 2006).</w:t>
      </w:r>
    </w:p>
    <w:p w14:paraId="4C90CB10" w14:textId="77777777" w:rsidR="000631B3" w:rsidRPr="00BE78CA" w:rsidRDefault="000631B3" w:rsidP="000631B3">
      <w:pPr>
        <w:pStyle w:val="BodyText"/>
      </w:pPr>
      <w:r w:rsidRPr="00BE78CA">
        <w:t xml:space="preserve">The commitment period reserve level as at 31 December </w:t>
      </w:r>
      <w:r w:rsidRPr="00BE78CA">
        <w:rPr>
          <w:color w:val="000000"/>
        </w:rPr>
        <w:t xml:space="preserve">2020 </w:t>
      </w:r>
      <w:r w:rsidRPr="00BE78CA">
        <w:t>is:</w:t>
      </w:r>
    </w:p>
    <w:tbl>
      <w:tblPr>
        <w:tblW w:w="8618" w:type="dxa"/>
        <w:tblLayout w:type="fixed"/>
        <w:tblLook w:val="01E0" w:firstRow="1" w:lastRow="1" w:firstColumn="1" w:lastColumn="1" w:noHBand="0" w:noVBand="0"/>
      </w:tblPr>
      <w:tblGrid>
        <w:gridCol w:w="7054"/>
        <w:gridCol w:w="1564"/>
      </w:tblGrid>
      <w:tr w:rsidR="000631B3" w:rsidRPr="00BE78CA" w14:paraId="0C01E99E" w14:textId="77777777" w:rsidTr="00C26084">
        <w:tc>
          <w:tcPr>
            <w:tcW w:w="7054" w:type="dxa"/>
            <w:shd w:val="clear" w:color="auto" w:fill="auto"/>
          </w:tcPr>
          <w:p w14:paraId="69CAF343" w14:textId="77777777" w:rsidR="000631B3" w:rsidRPr="00BE78CA" w:rsidRDefault="000631B3" w:rsidP="00C26084">
            <w:pPr>
              <w:spacing w:after="60"/>
              <w:rPr>
                <w:rFonts w:cs="Calibri"/>
                <w:sz w:val="20"/>
                <w:szCs w:val="20"/>
              </w:rPr>
            </w:pPr>
            <w:r w:rsidRPr="00BE78CA">
              <w:rPr>
                <w:rFonts w:cs="Calibri"/>
                <w:sz w:val="20"/>
                <w:szCs w:val="20"/>
              </w:rPr>
              <w:t>Commitment period reserve (CPR) limit:</w:t>
            </w:r>
          </w:p>
        </w:tc>
        <w:tc>
          <w:tcPr>
            <w:tcW w:w="1564" w:type="dxa"/>
            <w:tcBorders>
              <w:bottom w:val="single" w:sz="4" w:space="0" w:color="auto"/>
            </w:tcBorders>
            <w:shd w:val="clear" w:color="auto" w:fill="auto"/>
          </w:tcPr>
          <w:p w14:paraId="29E33200" w14:textId="77777777" w:rsidR="000631B3" w:rsidRPr="00BE78CA" w:rsidRDefault="000631B3" w:rsidP="00C26084">
            <w:pPr>
              <w:spacing w:after="60"/>
              <w:jc w:val="right"/>
              <w:rPr>
                <w:rFonts w:cs="Calibri"/>
                <w:sz w:val="20"/>
                <w:szCs w:val="20"/>
              </w:rPr>
            </w:pPr>
            <w:r w:rsidRPr="00BE78CA">
              <w:rPr>
                <w:rFonts w:cs="Calibri"/>
                <w:sz w:val="20"/>
                <w:szCs w:val="20"/>
              </w:rPr>
              <w:t>278,608,260</w:t>
            </w:r>
          </w:p>
        </w:tc>
      </w:tr>
      <w:tr w:rsidR="000631B3" w:rsidRPr="00BE78CA" w14:paraId="61169FD4" w14:textId="77777777" w:rsidTr="00C26084">
        <w:tc>
          <w:tcPr>
            <w:tcW w:w="7054" w:type="dxa"/>
            <w:shd w:val="clear" w:color="auto" w:fill="auto"/>
          </w:tcPr>
          <w:p w14:paraId="406C0E0B" w14:textId="77777777" w:rsidR="000631B3" w:rsidRPr="00BE78CA" w:rsidRDefault="000631B3" w:rsidP="00C26084">
            <w:pPr>
              <w:spacing w:before="60" w:after="120"/>
              <w:rPr>
                <w:rFonts w:cs="Calibri"/>
                <w:sz w:val="20"/>
                <w:szCs w:val="20"/>
              </w:rPr>
            </w:pPr>
            <w:r w:rsidRPr="00BE78CA">
              <w:rPr>
                <w:rFonts w:cs="Calibri"/>
                <w:sz w:val="20"/>
                <w:szCs w:val="20"/>
              </w:rPr>
              <w:t>Units held:</w:t>
            </w:r>
          </w:p>
        </w:tc>
        <w:tc>
          <w:tcPr>
            <w:tcW w:w="1564" w:type="dxa"/>
            <w:tcBorders>
              <w:top w:val="single" w:sz="4" w:space="0" w:color="auto"/>
            </w:tcBorders>
            <w:shd w:val="clear" w:color="auto" w:fill="auto"/>
          </w:tcPr>
          <w:p w14:paraId="0C6385F4" w14:textId="77777777" w:rsidR="000631B3" w:rsidRPr="00BE78CA" w:rsidRDefault="000631B3" w:rsidP="00C26084">
            <w:pPr>
              <w:spacing w:before="60" w:after="120"/>
              <w:jc w:val="right"/>
              <w:rPr>
                <w:rFonts w:cs="Calibri"/>
                <w:sz w:val="20"/>
                <w:szCs w:val="20"/>
              </w:rPr>
            </w:pPr>
            <w:r w:rsidRPr="00BE78CA">
              <w:rPr>
                <w:rFonts w:cs="Calibri"/>
                <w:sz w:val="20"/>
                <w:szCs w:val="20"/>
              </w:rPr>
              <w:t>402,209,758</w:t>
            </w:r>
          </w:p>
        </w:tc>
      </w:tr>
      <w:tr w:rsidR="000631B3" w:rsidRPr="00BE78CA" w14:paraId="0778622F" w14:textId="77777777" w:rsidTr="00C26084">
        <w:tc>
          <w:tcPr>
            <w:tcW w:w="7054" w:type="dxa"/>
            <w:shd w:val="clear" w:color="auto" w:fill="auto"/>
          </w:tcPr>
          <w:p w14:paraId="3BFE7F14" w14:textId="77777777" w:rsidR="000631B3" w:rsidRPr="00BE78CA" w:rsidRDefault="000631B3" w:rsidP="00C26084">
            <w:pPr>
              <w:spacing w:after="120"/>
              <w:rPr>
                <w:rFonts w:cs="Calibri"/>
                <w:sz w:val="20"/>
                <w:szCs w:val="20"/>
              </w:rPr>
            </w:pPr>
            <w:r w:rsidRPr="00BE78CA">
              <w:rPr>
                <w:rFonts w:cs="Calibri"/>
                <w:sz w:val="20"/>
                <w:szCs w:val="20"/>
              </w:rPr>
              <w:t>CPR level:</w:t>
            </w:r>
          </w:p>
        </w:tc>
        <w:tc>
          <w:tcPr>
            <w:tcW w:w="1564" w:type="dxa"/>
            <w:shd w:val="clear" w:color="auto" w:fill="auto"/>
          </w:tcPr>
          <w:p w14:paraId="2D5DEDCB" w14:textId="77777777" w:rsidR="000631B3" w:rsidRPr="00BE78CA" w:rsidRDefault="000631B3" w:rsidP="00C26084">
            <w:pPr>
              <w:spacing w:after="120"/>
              <w:jc w:val="right"/>
              <w:rPr>
                <w:rFonts w:cs="Calibri"/>
                <w:sz w:val="20"/>
                <w:szCs w:val="20"/>
              </w:rPr>
            </w:pPr>
            <w:r w:rsidRPr="00BE78CA">
              <w:rPr>
                <w:rFonts w:cs="Calibri"/>
                <w:sz w:val="20"/>
                <w:szCs w:val="20"/>
              </w:rPr>
              <w:t>402,209,758</w:t>
            </w:r>
          </w:p>
        </w:tc>
      </w:tr>
      <w:tr w:rsidR="000631B3" w:rsidRPr="00BE78CA" w14:paraId="215D4E44" w14:textId="77777777" w:rsidTr="00C26084">
        <w:tc>
          <w:tcPr>
            <w:tcW w:w="7054" w:type="dxa"/>
            <w:shd w:val="clear" w:color="auto" w:fill="auto"/>
          </w:tcPr>
          <w:p w14:paraId="305B6BF5" w14:textId="77777777" w:rsidR="000631B3" w:rsidRPr="00BE78CA" w:rsidRDefault="000631B3" w:rsidP="00C26084">
            <w:pPr>
              <w:spacing w:after="120"/>
              <w:rPr>
                <w:rFonts w:cs="Calibri"/>
                <w:sz w:val="20"/>
                <w:szCs w:val="20"/>
              </w:rPr>
            </w:pPr>
            <w:r w:rsidRPr="00BE78CA">
              <w:rPr>
                <w:rFonts w:cs="Calibri"/>
                <w:sz w:val="20"/>
                <w:szCs w:val="20"/>
              </w:rPr>
              <w:t xml:space="preserve">CPR level = (% of assigned amount): </w:t>
            </w:r>
          </w:p>
        </w:tc>
        <w:tc>
          <w:tcPr>
            <w:tcW w:w="1564" w:type="dxa"/>
            <w:shd w:val="clear" w:color="auto" w:fill="auto"/>
          </w:tcPr>
          <w:p w14:paraId="3E496966" w14:textId="77777777" w:rsidR="000631B3" w:rsidRPr="00BE78CA" w:rsidRDefault="000631B3" w:rsidP="00C26084">
            <w:pPr>
              <w:spacing w:after="120"/>
              <w:jc w:val="right"/>
              <w:rPr>
                <w:rFonts w:cs="Calibri"/>
                <w:sz w:val="20"/>
                <w:szCs w:val="20"/>
              </w:rPr>
            </w:pPr>
            <w:r w:rsidRPr="00BE78CA">
              <w:rPr>
                <w:rFonts w:cs="Calibri"/>
                <w:sz w:val="20"/>
                <w:szCs w:val="20"/>
              </w:rPr>
              <w:t>144.36%</w:t>
            </w:r>
          </w:p>
        </w:tc>
      </w:tr>
      <w:tr w:rsidR="000631B3" w:rsidRPr="00BE78CA" w14:paraId="73402C4E" w14:textId="77777777" w:rsidTr="00C26084">
        <w:tc>
          <w:tcPr>
            <w:tcW w:w="7054" w:type="dxa"/>
            <w:shd w:val="clear" w:color="auto" w:fill="auto"/>
          </w:tcPr>
          <w:p w14:paraId="139042E0" w14:textId="77777777" w:rsidR="000631B3" w:rsidRPr="00BE78CA" w:rsidRDefault="000631B3" w:rsidP="00520B8E">
            <w:pPr>
              <w:rPr>
                <w:rFonts w:cs="Calibri"/>
                <w:sz w:val="20"/>
                <w:szCs w:val="20"/>
                <w:highlight w:val="yellow"/>
              </w:rPr>
            </w:pPr>
          </w:p>
        </w:tc>
        <w:tc>
          <w:tcPr>
            <w:tcW w:w="1564" w:type="dxa"/>
            <w:shd w:val="clear" w:color="auto" w:fill="auto"/>
          </w:tcPr>
          <w:p w14:paraId="20623962" w14:textId="77777777" w:rsidR="000631B3" w:rsidRPr="00BE78CA" w:rsidRDefault="000631B3" w:rsidP="00520B8E">
            <w:pPr>
              <w:jc w:val="right"/>
              <w:rPr>
                <w:rFonts w:cs="Calibri"/>
                <w:sz w:val="20"/>
                <w:szCs w:val="20"/>
              </w:rPr>
            </w:pPr>
          </w:p>
        </w:tc>
      </w:tr>
      <w:tr w:rsidR="000631B3" w:rsidRPr="00BE78CA" w14:paraId="6C35EACF" w14:textId="77777777" w:rsidTr="00C26084">
        <w:tc>
          <w:tcPr>
            <w:tcW w:w="7054" w:type="dxa"/>
            <w:shd w:val="clear" w:color="auto" w:fill="auto"/>
          </w:tcPr>
          <w:p w14:paraId="7FF0A604" w14:textId="77777777" w:rsidR="000631B3" w:rsidRPr="00BE78CA" w:rsidRDefault="000631B3" w:rsidP="00C26084">
            <w:pPr>
              <w:spacing w:after="120"/>
              <w:rPr>
                <w:rFonts w:cs="Calibri"/>
                <w:sz w:val="20"/>
                <w:szCs w:val="20"/>
              </w:rPr>
            </w:pPr>
            <w:r w:rsidRPr="00BE78CA">
              <w:rPr>
                <w:rFonts w:cs="Calibri"/>
                <w:sz w:val="20"/>
                <w:szCs w:val="20"/>
              </w:rPr>
              <w:t>CPR level comprises the following units:</w:t>
            </w:r>
          </w:p>
        </w:tc>
        <w:tc>
          <w:tcPr>
            <w:tcW w:w="1564" w:type="dxa"/>
            <w:shd w:val="clear" w:color="auto" w:fill="auto"/>
          </w:tcPr>
          <w:p w14:paraId="4E1DE70E" w14:textId="77777777" w:rsidR="000631B3" w:rsidRPr="00BE78CA" w:rsidRDefault="000631B3" w:rsidP="00C26084">
            <w:pPr>
              <w:spacing w:after="120"/>
              <w:jc w:val="right"/>
              <w:rPr>
                <w:rFonts w:cs="Calibri"/>
                <w:sz w:val="20"/>
                <w:szCs w:val="20"/>
              </w:rPr>
            </w:pPr>
          </w:p>
        </w:tc>
      </w:tr>
      <w:tr w:rsidR="000631B3" w:rsidRPr="00BE78CA" w14:paraId="463E5BEC" w14:textId="77777777" w:rsidTr="00C26084">
        <w:tc>
          <w:tcPr>
            <w:tcW w:w="7054" w:type="dxa"/>
            <w:shd w:val="clear" w:color="auto" w:fill="auto"/>
          </w:tcPr>
          <w:p w14:paraId="6B7E0886" w14:textId="77777777" w:rsidR="000631B3" w:rsidRPr="00BE78CA" w:rsidRDefault="000631B3" w:rsidP="00C26084">
            <w:pPr>
              <w:spacing w:after="120"/>
              <w:rPr>
                <w:rFonts w:cs="Calibri"/>
                <w:sz w:val="20"/>
                <w:szCs w:val="20"/>
              </w:rPr>
            </w:pPr>
            <w:r w:rsidRPr="00BE78CA">
              <w:rPr>
                <w:rFonts w:cs="Calibri"/>
                <w:sz w:val="20"/>
                <w:szCs w:val="20"/>
              </w:rPr>
              <w:t>AAUs</w:t>
            </w:r>
          </w:p>
        </w:tc>
        <w:tc>
          <w:tcPr>
            <w:tcW w:w="1564" w:type="dxa"/>
            <w:shd w:val="clear" w:color="auto" w:fill="auto"/>
          </w:tcPr>
          <w:p w14:paraId="5D19EA4C" w14:textId="77777777" w:rsidR="000631B3" w:rsidRPr="00BE78CA" w:rsidRDefault="000631B3" w:rsidP="00C26084">
            <w:pPr>
              <w:spacing w:after="120"/>
              <w:jc w:val="right"/>
              <w:rPr>
                <w:rFonts w:cs="Calibri"/>
                <w:sz w:val="20"/>
                <w:szCs w:val="20"/>
              </w:rPr>
            </w:pPr>
            <w:r w:rsidRPr="00BE78CA">
              <w:rPr>
                <w:rFonts w:cs="Calibri"/>
                <w:sz w:val="20"/>
                <w:szCs w:val="20"/>
              </w:rPr>
              <w:t>208,467,226</w:t>
            </w:r>
          </w:p>
        </w:tc>
      </w:tr>
      <w:tr w:rsidR="000631B3" w:rsidRPr="00BE78CA" w14:paraId="6C065DE5" w14:textId="77777777" w:rsidTr="00C26084">
        <w:tc>
          <w:tcPr>
            <w:tcW w:w="7054" w:type="dxa"/>
            <w:shd w:val="clear" w:color="auto" w:fill="auto"/>
          </w:tcPr>
          <w:p w14:paraId="61593F4E" w14:textId="77777777" w:rsidR="000631B3" w:rsidRPr="00BE78CA" w:rsidRDefault="000631B3" w:rsidP="00C26084">
            <w:pPr>
              <w:spacing w:after="120"/>
              <w:rPr>
                <w:rFonts w:cs="Calibri"/>
                <w:sz w:val="20"/>
                <w:szCs w:val="20"/>
              </w:rPr>
            </w:pPr>
            <w:r w:rsidRPr="00BE78CA">
              <w:rPr>
                <w:rFonts w:cs="Calibri"/>
                <w:sz w:val="20"/>
                <w:szCs w:val="20"/>
              </w:rPr>
              <w:t>ERUs (converted from AAUs)</w:t>
            </w:r>
          </w:p>
        </w:tc>
        <w:tc>
          <w:tcPr>
            <w:tcW w:w="1564" w:type="dxa"/>
            <w:shd w:val="clear" w:color="auto" w:fill="auto"/>
          </w:tcPr>
          <w:p w14:paraId="37DE739F" w14:textId="77777777" w:rsidR="000631B3" w:rsidRPr="00BE78CA" w:rsidRDefault="000631B3" w:rsidP="00C26084">
            <w:pPr>
              <w:spacing w:after="120"/>
              <w:jc w:val="right"/>
              <w:rPr>
                <w:rFonts w:cs="Calibri"/>
                <w:sz w:val="20"/>
                <w:szCs w:val="20"/>
              </w:rPr>
            </w:pPr>
            <w:r w:rsidRPr="00BE78CA">
              <w:rPr>
                <w:rFonts w:cs="Calibri"/>
                <w:sz w:val="20"/>
                <w:szCs w:val="20"/>
              </w:rPr>
              <w:t>97,027,042</w:t>
            </w:r>
          </w:p>
        </w:tc>
      </w:tr>
      <w:tr w:rsidR="000631B3" w:rsidRPr="00BE78CA" w14:paraId="6903C50A" w14:textId="77777777" w:rsidTr="00C26084">
        <w:tc>
          <w:tcPr>
            <w:tcW w:w="7054" w:type="dxa"/>
            <w:shd w:val="clear" w:color="auto" w:fill="auto"/>
          </w:tcPr>
          <w:p w14:paraId="4B4D10CD" w14:textId="77777777" w:rsidR="000631B3" w:rsidRPr="00BE78CA" w:rsidRDefault="000631B3" w:rsidP="00C26084">
            <w:pPr>
              <w:spacing w:after="120"/>
              <w:rPr>
                <w:rFonts w:cs="Calibri"/>
                <w:sz w:val="20"/>
                <w:szCs w:val="20"/>
              </w:rPr>
            </w:pPr>
            <w:r w:rsidRPr="00BE78CA">
              <w:rPr>
                <w:rFonts w:cs="Calibri"/>
                <w:sz w:val="20"/>
                <w:szCs w:val="20"/>
              </w:rPr>
              <w:t>CERs</w:t>
            </w:r>
          </w:p>
        </w:tc>
        <w:tc>
          <w:tcPr>
            <w:tcW w:w="1564" w:type="dxa"/>
            <w:shd w:val="clear" w:color="auto" w:fill="auto"/>
          </w:tcPr>
          <w:p w14:paraId="668A76FD" w14:textId="77777777" w:rsidR="000631B3" w:rsidRPr="00BE78CA" w:rsidRDefault="000631B3" w:rsidP="00C26084">
            <w:pPr>
              <w:spacing w:after="120"/>
              <w:jc w:val="right"/>
              <w:rPr>
                <w:rFonts w:cs="Calibri"/>
                <w:sz w:val="20"/>
                <w:szCs w:val="20"/>
              </w:rPr>
            </w:pPr>
            <w:r w:rsidRPr="00BE78CA">
              <w:rPr>
                <w:rFonts w:cs="Calibri"/>
                <w:sz w:val="20"/>
                <w:szCs w:val="20"/>
              </w:rPr>
              <w:t>16,117,338</w:t>
            </w:r>
          </w:p>
        </w:tc>
      </w:tr>
      <w:tr w:rsidR="000631B3" w:rsidRPr="00BE78CA" w14:paraId="1C44F3DB" w14:textId="77777777" w:rsidTr="00C26084">
        <w:tc>
          <w:tcPr>
            <w:tcW w:w="7054" w:type="dxa"/>
            <w:shd w:val="clear" w:color="auto" w:fill="auto"/>
          </w:tcPr>
          <w:p w14:paraId="50AAF782" w14:textId="77777777" w:rsidR="000631B3" w:rsidRPr="00BE78CA" w:rsidRDefault="000631B3" w:rsidP="00C26084">
            <w:pPr>
              <w:spacing w:after="120"/>
              <w:rPr>
                <w:rFonts w:cs="Calibri"/>
                <w:sz w:val="20"/>
                <w:szCs w:val="20"/>
              </w:rPr>
            </w:pPr>
            <w:r w:rsidRPr="00BE78CA">
              <w:rPr>
                <w:rFonts w:cs="Calibri"/>
                <w:sz w:val="20"/>
                <w:szCs w:val="20"/>
              </w:rPr>
              <w:t>RMUs</w:t>
            </w:r>
          </w:p>
        </w:tc>
        <w:tc>
          <w:tcPr>
            <w:tcW w:w="1564" w:type="dxa"/>
            <w:tcBorders>
              <w:bottom w:val="single" w:sz="4" w:space="0" w:color="auto"/>
            </w:tcBorders>
            <w:shd w:val="clear" w:color="auto" w:fill="auto"/>
          </w:tcPr>
          <w:p w14:paraId="49E61F20" w14:textId="77777777" w:rsidR="000631B3" w:rsidRPr="00BE78CA" w:rsidRDefault="000631B3" w:rsidP="00C26084">
            <w:pPr>
              <w:spacing w:after="120"/>
              <w:jc w:val="right"/>
              <w:rPr>
                <w:rFonts w:cs="Calibri"/>
                <w:sz w:val="20"/>
                <w:szCs w:val="20"/>
              </w:rPr>
            </w:pPr>
            <w:r w:rsidRPr="00BE78CA">
              <w:rPr>
                <w:rFonts w:cs="Calibri"/>
                <w:sz w:val="20"/>
                <w:szCs w:val="20"/>
              </w:rPr>
              <w:t>80,598,152</w:t>
            </w:r>
          </w:p>
        </w:tc>
      </w:tr>
      <w:tr w:rsidR="000631B3" w:rsidRPr="00BE78CA" w14:paraId="5C875CBE" w14:textId="77777777" w:rsidTr="00C26084">
        <w:tc>
          <w:tcPr>
            <w:tcW w:w="7054" w:type="dxa"/>
            <w:shd w:val="clear" w:color="auto" w:fill="auto"/>
          </w:tcPr>
          <w:p w14:paraId="1C4BDB3F" w14:textId="77777777" w:rsidR="000631B3" w:rsidRPr="00BE78CA" w:rsidRDefault="000631B3" w:rsidP="00C26084">
            <w:pPr>
              <w:spacing w:before="60" w:after="120"/>
              <w:rPr>
                <w:rFonts w:cs="Calibri"/>
                <w:sz w:val="20"/>
                <w:szCs w:val="20"/>
              </w:rPr>
            </w:pPr>
            <w:r w:rsidRPr="00BE78CA">
              <w:rPr>
                <w:rFonts w:cs="Calibri"/>
                <w:sz w:val="20"/>
                <w:szCs w:val="20"/>
              </w:rPr>
              <w:t>Total units</w:t>
            </w:r>
          </w:p>
        </w:tc>
        <w:tc>
          <w:tcPr>
            <w:tcW w:w="1564" w:type="dxa"/>
            <w:tcBorders>
              <w:top w:val="single" w:sz="4" w:space="0" w:color="auto"/>
            </w:tcBorders>
            <w:shd w:val="clear" w:color="auto" w:fill="auto"/>
          </w:tcPr>
          <w:p w14:paraId="2526CCB1" w14:textId="77777777" w:rsidR="000631B3" w:rsidRPr="00BE78CA" w:rsidRDefault="000631B3" w:rsidP="00C26084">
            <w:pPr>
              <w:spacing w:before="60" w:after="120"/>
              <w:jc w:val="right"/>
              <w:rPr>
                <w:rFonts w:cs="Calibri"/>
                <w:sz w:val="20"/>
                <w:szCs w:val="20"/>
              </w:rPr>
            </w:pPr>
            <w:r w:rsidRPr="00BE78CA">
              <w:rPr>
                <w:rFonts w:cs="Calibri"/>
                <w:sz w:val="20"/>
                <w:szCs w:val="20"/>
              </w:rPr>
              <w:t>402,209,758</w:t>
            </w:r>
          </w:p>
        </w:tc>
      </w:tr>
    </w:tbl>
    <w:p w14:paraId="4FFDD8F0" w14:textId="77777777" w:rsidR="000631B3" w:rsidRPr="00BE78CA" w:rsidRDefault="000631B3" w:rsidP="000631B3">
      <w:pPr>
        <w:pStyle w:val="Heading2"/>
        <w:pageBreakBefore/>
        <w:spacing w:before="0" w:after="240"/>
      </w:pPr>
      <w:bookmarkStart w:id="3691" w:name="_Toc481751436"/>
      <w:bookmarkStart w:id="3692" w:name="_Toc511116650"/>
      <w:bookmarkStart w:id="3693" w:name="_Toc5269419"/>
      <w:bookmarkStart w:id="3694" w:name="_Toc36224459"/>
      <w:bookmarkStart w:id="3695" w:name="_Toc68786379"/>
      <w:r w:rsidRPr="00BE78CA">
        <w:lastRenderedPageBreak/>
        <w:t>Chapter 12: Reference</w:t>
      </w:r>
      <w:bookmarkEnd w:id="3691"/>
      <w:bookmarkEnd w:id="3692"/>
      <w:bookmarkEnd w:id="3693"/>
      <w:bookmarkEnd w:id="3694"/>
      <w:bookmarkEnd w:id="3695"/>
      <w:r w:rsidRPr="00BE78CA">
        <w:t xml:space="preserve"> </w:t>
      </w:r>
    </w:p>
    <w:p w14:paraId="587848F3" w14:textId="77777777" w:rsidR="000631B3" w:rsidRPr="00BE78CA" w:rsidRDefault="000631B3" w:rsidP="000631B3">
      <w:pPr>
        <w:pStyle w:val="References"/>
        <w:spacing w:before="360"/>
      </w:pPr>
      <w:r w:rsidRPr="00BE78CA">
        <w:t xml:space="preserve">Ministry for the Environment. 2006. </w:t>
      </w:r>
      <w:r w:rsidRPr="00BE78CA">
        <w:rPr>
          <w:i/>
          <w:iCs/>
        </w:rPr>
        <w:t xml:space="preserve">New Zealand’s Initial Report under the Kyoto Protocol. </w:t>
      </w:r>
      <w:r w:rsidRPr="00BE78CA">
        <w:t>Wellington: Ministry for the Environment. Retrieved from www.mfe.govt.nz/publications/climate/new-zealands-initial-report-under-the-kyoto-protocol/index.html (17 February 2016).</w:t>
      </w:r>
    </w:p>
    <w:p w14:paraId="500745C0" w14:textId="6F438854" w:rsidR="007E0025" w:rsidRPr="00BE78CA" w:rsidRDefault="007E0025" w:rsidP="007E0025">
      <w:pPr>
        <w:pStyle w:val="References"/>
      </w:pPr>
    </w:p>
    <w:p w14:paraId="308E8907" w14:textId="77777777" w:rsidR="00DF53CC" w:rsidRPr="00BE78CA" w:rsidRDefault="00DF53CC" w:rsidP="007E0025">
      <w:pPr>
        <w:pStyle w:val="References"/>
        <w:sectPr w:rsidR="00DF53CC" w:rsidRPr="00BE78CA" w:rsidSect="005D0C5D">
          <w:footerReference w:type="even" r:id="rId291"/>
          <w:pgSz w:w="11907" w:h="16840" w:code="9"/>
          <w:pgMar w:top="1418" w:right="1701" w:bottom="1418" w:left="1701" w:header="567" w:footer="567" w:gutter="0"/>
          <w:cols w:space="720"/>
        </w:sectPr>
      </w:pPr>
    </w:p>
    <w:p w14:paraId="3488E894" w14:textId="2965FE5C" w:rsidR="006E296C" w:rsidRPr="00BE78CA" w:rsidRDefault="006E296C" w:rsidP="006E296C">
      <w:pPr>
        <w:pStyle w:val="Heading1"/>
      </w:pPr>
      <w:bookmarkStart w:id="3696" w:name="_Toc68786380"/>
      <w:r w:rsidRPr="00BE78CA">
        <w:lastRenderedPageBreak/>
        <w:t>Chapter 13: Information on changes to</w:t>
      </w:r>
      <w:r w:rsidR="004357D4" w:rsidRPr="00BE78CA">
        <w:t> </w:t>
      </w:r>
      <w:r w:rsidRPr="00BE78CA">
        <w:t>the</w:t>
      </w:r>
      <w:r w:rsidR="004357D4" w:rsidRPr="00BE78CA">
        <w:t> </w:t>
      </w:r>
      <w:r w:rsidRPr="00BE78CA">
        <w:t>national inventory system</w:t>
      </w:r>
      <w:bookmarkEnd w:id="3696"/>
    </w:p>
    <w:p w14:paraId="034F4C89" w14:textId="77777777" w:rsidR="006E296C" w:rsidRPr="00BE78CA" w:rsidRDefault="006E296C" w:rsidP="006E296C">
      <w:pPr>
        <w:pStyle w:val="BodyText"/>
      </w:pPr>
      <w:r w:rsidRPr="00BE78CA">
        <w:t xml:space="preserve">No changes have been made in the legal or institutional arrangements in the national inventory system since the last (2020) Inventory submission. </w:t>
      </w:r>
    </w:p>
    <w:p w14:paraId="1437E449" w14:textId="77777777" w:rsidR="006E296C" w:rsidRPr="00BE78CA" w:rsidRDefault="006E296C" w:rsidP="006E296C">
      <w:pPr>
        <w:pStyle w:val="BodyText"/>
      </w:pPr>
      <w:r w:rsidRPr="00BE78CA">
        <w:t xml:space="preserve">Although no major changes were made in the structure of the national inventory system, several programme and operational improvements were implemented to increase the quality and efficiency of the Inventory production. These include: </w:t>
      </w:r>
    </w:p>
    <w:p w14:paraId="3F3D870F" w14:textId="2CBCD5BD" w:rsidR="006E296C" w:rsidRPr="00BE78CA" w:rsidRDefault="006E296C" w:rsidP="006E296C">
      <w:pPr>
        <w:pStyle w:val="Bullet"/>
      </w:pPr>
      <w:r w:rsidRPr="00BE78CA">
        <w:t>developing automated methods of National Inventory Report (NIR) production, especially where large quantities of data reported are within several different source documents</w:t>
      </w:r>
    </w:p>
    <w:p w14:paraId="36732051" w14:textId="69385AC9" w:rsidR="006E296C" w:rsidRPr="00BE78CA" w:rsidRDefault="006E296C" w:rsidP="006E296C">
      <w:pPr>
        <w:pStyle w:val="Bullet"/>
      </w:pPr>
      <w:r w:rsidRPr="00BE78CA">
        <w:t>continuing to develop the expertise of inventory contributors through coaching and structured training courses</w:t>
      </w:r>
    </w:p>
    <w:p w14:paraId="79ABA368" w14:textId="3C49DD8E" w:rsidR="006E296C" w:rsidRPr="00BE78CA" w:rsidRDefault="006E296C" w:rsidP="006E296C">
      <w:pPr>
        <w:pStyle w:val="Bullet"/>
      </w:pPr>
      <w:r w:rsidRPr="00BE78CA">
        <w:t>securing permanent project management and quality control staff resources within the central inventory agency (the Ministry for the Environment).</w:t>
      </w:r>
    </w:p>
    <w:p w14:paraId="0CD20038" w14:textId="3D995566" w:rsidR="00DF53CC" w:rsidRPr="00BE78CA" w:rsidRDefault="006E296C" w:rsidP="001324F6">
      <w:pPr>
        <w:pStyle w:val="BodyText"/>
      </w:pPr>
      <w:r w:rsidRPr="00BE78CA">
        <w:t>The improvements are expected to enhance the function of the national system and, in doing so, ensure continuous improvement of national inventory submissions in the future.</w:t>
      </w:r>
    </w:p>
    <w:p w14:paraId="3E6E0BC1" w14:textId="1EC5B046" w:rsidR="0033068F" w:rsidRPr="00BE78CA" w:rsidRDefault="0033068F" w:rsidP="001324F6">
      <w:pPr>
        <w:pStyle w:val="BodyText"/>
      </w:pPr>
    </w:p>
    <w:p w14:paraId="28BE3C67" w14:textId="77777777" w:rsidR="0033068F" w:rsidRPr="00BE78CA" w:rsidRDefault="0033068F" w:rsidP="001324F6">
      <w:pPr>
        <w:pStyle w:val="BodyText"/>
        <w:sectPr w:rsidR="0033068F" w:rsidRPr="00BE78CA" w:rsidSect="005D0C5D">
          <w:pgSz w:w="11907" w:h="16840" w:code="9"/>
          <w:pgMar w:top="1418" w:right="1701" w:bottom="1418" w:left="1701" w:header="567" w:footer="567" w:gutter="0"/>
          <w:cols w:space="720"/>
        </w:sectPr>
      </w:pPr>
    </w:p>
    <w:p w14:paraId="027A56C6" w14:textId="77777777" w:rsidR="00645197" w:rsidRPr="00BE78CA" w:rsidRDefault="00645197" w:rsidP="00645197">
      <w:pPr>
        <w:pStyle w:val="Heading1"/>
      </w:pPr>
      <w:bookmarkStart w:id="3697" w:name="_Toc68786381"/>
      <w:r w:rsidRPr="00BE78CA">
        <w:lastRenderedPageBreak/>
        <w:t>Chapter 14: Information on changes to the national registry</w:t>
      </w:r>
      <w:bookmarkEnd w:id="3697"/>
    </w:p>
    <w:p w14:paraId="2A5F8B93" w14:textId="77777777" w:rsidR="00645197" w:rsidRPr="00BE78CA" w:rsidRDefault="00645197" w:rsidP="006173B0">
      <w:pPr>
        <w:pStyle w:val="BodyText"/>
      </w:pPr>
      <w:r w:rsidRPr="00BE78CA">
        <w:t>This chapter contains information required for the reporting of changes to New Zealand’s national registry. The changes made to New Zealand’s national registry since the 2020 submission are included in table 14.1.</w:t>
      </w:r>
    </w:p>
    <w:p w14:paraId="2E7A4F3D" w14:textId="77777777" w:rsidR="00645197" w:rsidRPr="00BE78CA" w:rsidRDefault="00645197" w:rsidP="00645197">
      <w:pPr>
        <w:pStyle w:val="BodyText"/>
      </w:pPr>
      <w:r w:rsidRPr="00BE78CA">
        <w:t>No recommendations were made in the review of New Zealand’s 2020 submission by the expert review team. Refer to table 14.2 for reference to any recommendations and how</w:t>
      </w:r>
      <w:r w:rsidRPr="00BE78CA">
        <w:rPr>
          <w:b/>
        </w:rPr>
        <w:t xml:space="preserve"> </w:t>
      </w:r>
      <w:r w:rsidRPr="00BE78CA">
        <w:t>these were addressed.</w:t>
      </w:r>
    </w:p>
    <w:p w14:paraId="253E908F" w14:textId="77777777" w:rsidR="00645197" w:rsidRPr="00BE78CA" w:rsidRDefault="00645197" w:rsidP="00645197">
      <w:pPr>
        <w:pStyle w:val="Table"/>
      </w:pPr>
      <w:bookmarkStart w:id="3698" w:name="_Toc481751644"/>
      <w:bookmarkStart w:id="3699" w:name="_Toc511116872"/>
      <w:bookmarkStart w:id="3700" w:name="_Toc5269640"/>
      <w:bookmarkStart w:id="3701" w:name="_Toc36224723"/>
      <w:bookmarkStart w:id="3702" w:name="_Toc68786608"/>
      <w:r w:rsidRPr="00BE78CA">
        <w:t xml:space="preserve">Table 14.1 </w:t>
      </w:r>
      <w:r w:rsidRPr="00BE78CA">
        <w:tab/>
        <w:t>Changes made to New Zealand’s national registry</w:t>
      </w:r>
      <w:bookmarkEnd w:id="3698"/>
      <w:bookmarkEnd w:id="3699"/>
      <w:bookmarkEnd w:id="3700"/>
      <w:bookmarkEnd w:id="3701"/>
      <w:bookmarkEnd w:id="3702"/>
    </w:p>
    <w:tbl>
      <w:tblPr>
        <w:tblW w:w="8505" w:type="dxa"/>
        <w:tblBorders>
          <w:top w:val="single" w:sz="4" w:space="0" w:color="365F91"/>
          <w:bottom w:val="single" w:sz="4" w:space="0" w:color="365F91"/>
          <w:insideV w:val="single" w:sz="4" w:space="0" w:color="365F91"/>
        </w:tblBorders>
        <w:tblLook w:val="01E0" w:firstRow="1" w:lastRow="1" w:firstColumn="1" w:lastColumn="1" w:noHBand="0" w:noVBand="0"/>
      </w:tblPr>
      <w:tblGrid>
        <w:gridCol w:w="3544"/>
        <w:gridCol w:w="4961"/>
      </w:tblGrid>
      <w:tr w:rsidR="00645197" w:rsidRPr="00BE78CA" w14:paraId="599B08CD" w14:textId="77777777" w:rsidTr="00A333B8">
        <w:trPr>
          <w:tblHeader/>
        </w:trPr>
        <w:tc>
          <w:tcPr>
            <w:tcW w:w="3544" w:type="dxa"/>
            <w:tcBorders>
              <w:top w:val="single" w:sz="4" w:space="0" w:color="365F91"/>
              <w:bottom w:val="single" w:sz="4" w:space="0" w:color="365F91"/>
            </w:tcBorders>
            <w:shd w:val="clear" w:color="auto" w:fill="365F91"/>
          </w:tcPr>
          <w:p w14:paraId="6C3C76AB" w14:textId="77777777" w:rsidR="00645197" w:rsidRPr="00BE78CA" w:rsidRDefault="00645197" w:rsidP="00C26084">
            <w:pPr>
              <w:pStyle w:val="TableTextBold"/>
              <w:rPr>
                <w:noProof w:val="0"/>
                <w:color w:val="FFFFFF"/>
              </w:rPr>
            </w:pPr>
            <w:r w:rsidRPr="00BE78CA">
              <w:rPr>
                <w:noProof w:val="0"/>
                <w:color w:val="FFFFFF"/>
              </w:rPr>
              <w:t>Section subheading</w:t>
            </w:r>
          </w:p>
        </w:tc>
        <w:tc>
          <w:tcPr>
            <w:tcW w:w="4961" w:type="dxa"/>
            <w:tcBorders>
              <w:top w:val="single" w:sz="4" w:space="0" w:color="365F91"/>
              <w:bottom w:val="single" w:sz="4" w:space="0" w:color="365F91"/>
            </w:tcBorders>
            <w:shd w:val="clear" w:color="auto" w:fill="365F91"/>
          </w:tcPr>
          <w:p w14:paraId="66A16B37" w14:textId="77777777" w:rsidR="00645197" w:rsidRPr="00BE78CA" w:rsidRDefault="00645197" w:rsidP="00C26084">
            <w:pPr>
              <w:pStyle w:val="TableTextBold"/>
              <w:rPr>
                <w:noProof w:val="0"/>
                <w:color w:val="FFFFFF"/>
              </w:rPr>
            </w:pPr>
            <w:r w:rsidRPr="00BE78CA">
              <w:rPr>
                <w:noProof w:val="0"/>
                <w:color w:val="FFFFFF"/>
              </w:rPr>
              <w:t>New Zealand’s response</w:t>
            </w:r>
          </w:p>
        </w:tc>
      </w:tr>
      <w:tr w:rsidR="00645197" w:rsidRPr="00BE78CA" w14:paraId="05A94E5F" w14:textId="77777777" w:rsidTr="00A333B8">
        <w:tc>
          <w:tcPr>
            <w:tcW w:w="3544" w:type="dxa"/>
            <w:tcBorders>
              <w:top w:val="single" w:sz="4" w:space="0" w:color="365F91"/>
            </w:tcBorders>
          </w:tcPr>
          <w:p w14:paraId="2BAD88ED" w14:textId="77777777" w:rsidR="00645197" w:rsidRPr="00BE78CA" w:rsidRDefault="00645197" w:rsidP="00C26084">
            <w:pPr>
              <w:pStyle w:val="TableText"/>
            </w:pPr>
            <w:r w:rsidRPr="00BE78CA">
              <w:t xml:space="preserve">15/CMP.1 Annex II.E, paragraph 32.(a): Change in the name or contact for the national registry </w:t>
            </w:r>
          </w:p>
        </w:tc>
        <w:tc>
          <w:tcPr>
            <w:tcW w:w="4961" w:type="dxa"/>
            <w:tcBorders>
              <w:top w:val="single" w:sz="4" w:space="0" w:color="365F91"/>
            </w:tcBorders>
          </w:tcPr>
          <w:p w14:paraId="3B6AA784" w14:textId="77777777" w:rsidR="00645197" w:rsidRPr="00BE78CA" w:rsidRDefault="00645197" w:rsidP="00C26084">
            <w:pPr>
              <w:pStyle w:val="TableText"/>
            </w:pPr>
            <w:r w:rsidRPr="00BE78CA">
              <w:t xml:space="preserve">The contact details for the national registry have changed during the reporting period. The alternative contact is now Dave Stuart, his contact details are provided in table 14.3. </w:t>
            </w:r>
          </w:p>
        </w:tc>
      </w:tr>
      <w:tr w:rsidR="00645197" w:rsidRPr="00BE78CA" w14:paraId="4B0DE7D3" w14:textId="77777777" w:rsidTr="00A333B8">
        <w:tc>
          <w:tcPr>
            <w:tcW w:w="3544" w:type="dxa"/>
          </w:tcPr>
          <w:p w14:paraId="4B3036B4" w14:textId="77777777" w:rsidR="00645197" w:rsidRPr="00BE78CA" w:rsidRDefault="00645197" w:rsidP="00C26084">
            <w:pPr>
              <w:pStyle w:val="TableText"/>
            </w:pPr>
            <w:r w:rsidRPr="00BE78CA">
              <w:t xml:space="preserve">15/CMP.1 Annex II.E, paragraph 32.(b): Change in cooperation arrangement </w:t>
            </w:r>
          </w:p>
        </w:tc>
        <w:tc>
          <w:tcPr>
            <w:tcW w:w="4961" w:type="dxa"/>
          </w:tcPr>
          <w:p w14:paraId="13AF66F8" w14:textId="77777777" w:rsidR="00645197" w:rsidRPr="00BE78CA" w:rsidRDefault="00645197" w:rsidP="00C26084">
            <w:pPr>
              <w:pStyle w:val="TableText"/>
            </w:pPr>
            <w:r w:rsidRPr="00BE78CA">
              <w:t>No change of cooperation arrangement occurred during the reported period.</w:t>
            </w:r>
          </w:p>
        </w:tc>
      </w:tr>
      <w:tr w:rsidR="00645197" w:rsidRPr="00BE78CA" w14:paraId="09EB3B64" w14:textId="77777777" w:rsidTr="00A333B8">
        <w:tc>
          <w:tcPr>
            <w:tcW w:w="3544" w:type="dxa"/>
          </w:tcPr>
          <w:p w14:paraId="6F83582D" w14:textId="77777777" w:rsidR="00645197" w:rsidRPr="00BE78CA" w:rsidRDefault="00645197" w:rsidP="00C26084">
            <w:pPr>
              <w:pStyle w:val="TableText"/>
            </w:pPr>
            <w:r w:rsidRPr="00BE78CA">
              <w:t>1/CMP.1 Annex II.E, paragraph 32.(c): Change to the database or the capacity of the national registry</w:t>
            </w:r>
          </w:p>
        </w:tc>
        <w:tc>
          <w:tcPr>
            <w:tcW w:w="4961" w:type="dxa"/>
          </w:tcPr>
          <w:p w14:paraId="1CDA9DFA" w14:textId="77777777" w:rsidR="00645197" w:rsidRPr="00BE78CA" w:rsidRDefault="00645197" w:rsidP="00C26084">
            <w:pPr>
              <w:pStyle w:val="TableText"/>
            </w:pPr>
            <w:r w:rsidRPr="00BE78CA">
              <w:t>No change to the database or the capacity of the national registry occurred during the reporting period.</w:t>
            </w:r>
          </w:p>
        </w:tc>
      </w:tr>
      <w:tr w:rsidR="00645197" w:rsidRPr="00BE78CA" w14:paraId="03AE71FD" w14:textId="77777777" w:rsidTr="00A333B8">
        <w:tc>
          <w:tcPr>
            <w:tcW w:w="3544" w:type="dxa"/>
          </w:tcPr>
          <w:p w14:paraId="20522E51" w14:textId="77777777" w:rsidR="00645197" w:rsidRPr="00BE78CA" w:rsidRDefault="00645197" w:rsidP="00C26084">
            <w:pPr>
              <w:pStyle w:val="TableText"/>
            </w:pPr>
            <w:r w:rsidRPr="00BE78CA">
              <w:t xml:space="preserve">15/CMP.1 Annex II.E, paragraph 32.(d): Change in the conformance to technical standards </w:t>
            </w:r>
          </w:p>
        </w:tc>
        <w:tc>
          <w:tcPr>
            <w:tcW w:w="4961" w:type="dxa"/>
          </w:tcPr>
          <w:p w14:paraId="0BC79BBE" w14:textId="77777777" w:rsidR="00645197" w:rsidRPr="00BE78CA" w:rsidRDefault="00645197" w:rsidP="00C26084">
            <w:pPr>
              <w:pStyle w:val="TableText"/>
            </w:pPr>
            <w:r w:rsidRPr="00BE78CA">
              <w:t>No change in the conformance to technical standards occurred during the reporting period.</w:t>
            </w:r>
          </w:p>
        </w:tc>
      </w:tr>
      <w:tr w:rsidR="00645197" w:rsidRPr="00BE78CA" w14:paraId="60B5DB59" w14:textId="77777777" w:rsidTr="00A333B8">
        <w:tc>
          <w:tcPr>
            <w:tcW w:w="3544" w:type="dxa"/>
          </w:tcPr>
          <w:p w14:paraId="56579F98" w14:textId="77777777" w:rsidR="00645197" w:rsidRPr="00BE78CA" w:rsidRDefault="00645197" w:rsidP="00C26084">
            <w:pPr>
              <w:pStyle w:val="TableText"/>
            </w:pPr>
            <w:r w:rsidRPr="00BE78CA">
              <w:t xml:space="preserve">15/CMP.1 Annex II.E, paragraph 32.(e): Change in the discrepancy procedures </w:t>
            </w:r>
          </w:p>
        </w:tc>
        <w:tc>
          <w:tcPr>
            <w:tcW w:w="4961" w:type="dxa"/>
          </w:tcPr>
          <w:p w14:paraId="7A927C42" w14:textId="77777777" w:rsidR="00645197" w:rsidRPr="00BE78CA" w:rsidRDefault="00645197" w:rsidP="00C26084">
            <w:pPr>
              <w:pStyle w:val="TableText"/>
            </w:pPr>
            <w:r w:rsidRPr="00BE78CA">
              <w:t>No change of discrepancy procedures occurred during the reporting period.</w:t>
            </w:r>
          </w:p>
        </w:tc>
      </w:tr>
      <w:tr w:rsidR="00645197" w:rsidRPr="00BE78CA" w14:paraId="54B02E05" w14:textId="77777777" w:rsidTr="00A333B8">
        <w:tc>
          <w:tcPr>
            <w:tcW w:w="3544" w:type="dxa"/>
          </w:tcPr>
          <w:p w14:paraId="3BACCA69" w14:textId="77777777" w:rsidR="00645197" w:rsidRPr="00BE78CA" w:rsidRDefault="00645197" w:rsidP="00C26084">
            <w:pPr>
              <w:pStyle w:val="TableText"/>
            </w:pPr>
            <w:r w:rsidRPr="00BE78CA">
              <w:t xml:space="preserve">15/CMP.1 Annex II.E, paragraph 32.(f): Change in security </w:t>
            </w:r>
          </w:p>
        </w:tc>
        <w:tc>
          <w:tcPr>
            <w:tcW w:w="4961" w:type="dxa"/>
          </w:tcPr>
          <w:p w14:paraId="6EDDF941" w14:textId="77777777" w:rsidR="00645197" w:rsidRPr="00BE78CA" w:rsidRDefault="00645197" w:rsidP="00C26084">
            <w:pPr>
              <w:pStyle w:val="TableText"/>
            </w:pPr>
            <w:r w:rsidRPr="00BE78CA">
              <w:t>No change in security occurred during the reporting period.</w:t>
            </w:r>
          </w:p>
        </w:tc>
      </w:tr>
      <w:tr w:rsidR="00645197" w:rsidRPr="00BE78CA" w14:paraId="6EC6DE98" w14:textId="77777777" w:rsidTr="00A333B8">
        <w:tc>
          <w:tcPr>
            <w:tcW w:w="3544" w:type="dxa"/>
          </w:tcPr>
          <w:p w14:paraId="05E255F4" w14:textId="77777777" w:rsidR="00645197" w:rsidRPr="00BE78CA" w:rsidRDefault="00645197" w:rsidP="00C26084">
            <w:pPr>
              <w:pStyle w:val="TableText"/>
            </w:pPr>
            <w:r w:rsidRPr="00BE78CA">
              <w:t xml:space="preserve">15/CMP.1 Annex II.E, paragraph 32.(g): Change in the list of publicly available information </w:t>
            </w:r>
          </w:p>
        </w:tc>
        <w:tc>
          <w:tcPr>
            <w:tcW w:w="4961" w:type="dxa"/>
          </w:tcPr>
          <w:p w14:paraId="570826D7" w14:textId="77777777" w:rsidR="00645197" w:rsidRPr="00BE78CA" w:rsidRDefault="00645197" w:rsidP="00C26084">
            <w:pPr>
              <w:pStyle w:val="TableText"/>
            </w:pPr>
            <w:r w:rsidRPr="00BE78CA">
              <w:t xml:space="preserve">No changes to the list of publicly available information occurred during the reporting period. </w:t>
            </w:r>
          </w:p>
        </w:tc>
      </w:tr>
      <w:tr w:rsidR="00645197" w:rsidRPr="00BE78CA" w14:paraId="101D07AE" w14:textId="77777777" w:rsidTr="00A333B8">
        <w:tc>
          <w:tcPr>
            <w:tcW w:w="3544" w:type="dxa"/>
          </w:tcPr>
          <w:p w14:paraId="5E565AEA" w14:textId="77777777" w:rsidR="00645197" w:rsidRPr="00BE78CA" w:rsidRDefault="00645197" w:rsidP="00C26084">
            <w:pPr>
              <w:pStyle w:val="TableText"/>
            </w:pPr>
            <w:r w:rsidRPr="00BE78CA">
              <w:t>15/CMP.1 Annex II.E, paragraph 32.(h): Change to the internet address</w:t>
            </w:r>
          </w:p>
        </w:tc>
        <w:tc>
          <w:tcPr>
            <w:tcW w:w="4961" w:type="dxa"/>
          </w:tcPr>
          <w:p w14:paraId="31EA99DA" w14:textId="77777777" w:rsidR="00645197" w:rsidRPr="00BE78CA" w:rsidRDefault="00645197" w:rsidP="00C26084">
            <w:pPr>
              <w:pStyle w:val="TableText"/>
            </w:pPr>
            <w:r w:rsidRPr="00BE78CA">
              <w:t>No change to the internet address occurred during the reporting period.</w:t>
            </w:r>
          </w:p>
        </w:tc>
      </w:tr>
      <w:tr w:rsidR="00645197" w:rsidRPr="00BE78CA" w14:paraId="1C78041A" w14:textId="77777777" w:rsidTr="00A333B8">
        <w:tc>
          <w:tcPr>
            <w:tcW w:w="3544" w:type="dxa"/>
          </w:tcPr>
          <w:p w14:paraId="44BC5CA0" w14:textId="77777777" w:rsidR="00645197" w:rsidRPr="00BE78CA" w:rsidRDefault="00645197" w:rsidP="00C26084">
            <w:pPr>
              <w:pStyle w:val="TableText"/>
            </w:pPr>
            <w:r w:rsidRPr="00BE78CA">
              <w:t xml:space="preserve">15/CMP.1 Annex II.E, paragraph 32.(i): Change to the data integrity measures </w:t>
            </w:r>
          </w:p>
        </w:tc>
        <w:tc>
          <w:tcPr>
            <w:tcW w:w="4961" w:type="dxa"/>
          </w:tcPr>
          <w:p w14:paraId="093A4BBB" w14:textId="77777777" w:rsidR="00645197" w:rsidRPr="00BE78CA" w:rsidRDefault="00645197" w:rsidP="00C26084">
            <w:pPr>
              <w:pStyle w:val="TableText"/>
            </w:pPr>
            <w:r w:rsidRPr="00BE78CA">
              <w:t>No change to the data integrity measures occurred during the reporting period.</w:t>
            </w:r>
          </w:p>
        </w:tc>
      </w:tr>
      <w:tr w:rsidR="00645197" w:rsidRPr="00BE78CA" w14:paraId="4BA2FD48" w14:textId="77777777" w:rsidTr="00A333B8">
        <w:tc>
          <w:tcPr>
            <w:tcW w:w="3544" w:type="dxa"/>
            <w:tcBorders>
              <w:bottom w:val="single" w:sz="4" w:space="0" w:color="365F91"/>
            </w:tcBorders>
          </w:tcPr>
          <w:p w14:paraId="434211A4" w14:textId="77777777" w:rsidR="00645197" w:rsidRPr="00BE78CA" w:rsidRDefault="00645197" w:rsidP="00C26084">
            <w:pPr>
              <w:pStyle w:val="TableText"/>
            </w:pPr>
            <w:r w:rsidRPr="00BE78CA">
              <w:t xml:space="preserve">15/CMP.1 Annex II.E, paragraph 32.(j): Change to the test results </w:t>
            </w:r>
          </w:p>
        </w:tc>
        <w:tc>
          <w:tcPr>
            <w:tcW w:w="4961" w:type="dxa"/>
            <w:tcBorders>
              <w:bottom w:val="single" w:sz="4" w:space="0" w:color="365F91"/>
            </w:tcBorders>
          </w:tcPr>
          <w:p w14:paraId="58ABA342" w14:textId="77777777" w:rsidR="00645197" w:rsidRPr="00BE78CA" w:rsidRDefault="00645197" w:rsidP="00C26084">
            <w:pPr>
              <w:pStyle w:val="TableText"/>
            </w:pPr>
            <w:r w:rsidRPr="00BE78CA">
              <w:t>No change to the test results occurred during the reporting period.</w:t>
            </w:r>
          </w:p>
        </w:tc>
      </w:tr>
    </w:tbl>
    <w:p w14:paraId="46DB98FC" w14:textId="77777777" w:rsidR="00645197" w:rsidRPr="00BE78CA" w:rsidRDefault="00645197" w:rsidP="00645197">
      <w:pPr>
        <w:pStyle w:val="Table"/>
        <w:spacing w:before="360"/>
      </w:pPr>
      <w:bookmarkStart w:id="3703" w:name="_Toc481751645"/>
      <w:bookmarkStart w:id="3704" w:name="_Toc511116873"/>
      <w:bookmarkStart w:id="3705" w:name="_Toc5269641"/>
      <w:bookmarkStart w:id="3706" w:name="_Toc36224724"/>
      <w:bookmarkStart w:id="3707" w:name="_Toc68786609"/>
      <w:r w:rsidRPr="00BE78CA">
        <w:t>Table 14.2</w:t>
      </w:r>
      <w:r w:rsidRPr="00BE78CA">
        <w:tab/>
        <w:t>Previous recommendations for New Zealand from the expert review team</w:t>
      </w:r>
      <w:bookmarkEnd w:id="3703"/>
      <w:bookmarkEnd w:id="3704"/>
      <w:bookmarkEnd w:id="3705"/>
      <w:bookmarkEnd w:id="3706"/>
      <w:bookmarkEnd w:id="3707"/>
      <w:r w:rsidRPr="00BE78CA">
        <w:t xml:space="preserve"> </w:t>
      </w:r>
    </w:p>
    <w:tbl>
      <w:tblPr>
        <w:tblW w:w="8505" w:type="dxa"/>
        <w:tblBorders>
          <w:top w:val="single" w:sz="4" w:space="0" w:color="365F91"/>
          <w:bottom w:val="single" w:sz="4" w:space="0" w:color="365F91"/>
          <w:insideH w:val="single" w:sz="4" w:space="0" w:color="365F91"/>
          <w:insideV w:val="single" w:sz="4" w:space="0" w:color="365F91"/>
        </w:tblBorders>
        <w:tblLook w:val="04A0" w:firstRow="1" w:lastRow="0" w:firstColumn="1" w:lastColumn="0" w:noHBand="0" w:noVBand="1"/>
      </w:tblPr>
      <w:tblGrid>
        <w:gridCol w:w="808"/>
        <w:gridCol w:w="3699"/>
        <w:gridCol w:w="3998"/>
      </w:tblGrid>
      <w:tr w:rsidR="00645197" w:rsidRPr="00BE78CA" w14:paraId="7B367ECA" w14:textId="77777777" w:rsidTr="006173B0">
        <w:tc>
          <w:tcPr>
            <w:tcW w:w="812" w:type="dxa"/>
            <w:tcBorders>
              <w:bottom w:val="single" w:sz="4" w:space="0" w:color="365F91"/>
            </w:tcBorders>
            <w:shd w:val="clear" w:color="auto" w:fill="365F91"/>
            <w:vAlign w:val="bottom"/>
          </w:tcPr>
          <w:p w14:paraId="7188CF9D" w14:textId="77777777" w:rsidR="00645197" w:rsidRPr="00BE78CA" w:rsidRDefault="00645197" w:rsidP="00C26084">
            <w:pPr>
              <w:pStyle w:val="TableTextBold"/>
              <w:rPr>
                <w:noProof w:val="0"/>
                <w:color w:val="FFFFFF"/>
              </w:rPr>
            </w:pPr>
          </w:p>
        </w:tc>
        <w:tc>
          <w:tcPr>
            <w:tcW w:w="3724" w:type="dxa"/>
            <w:tcBorders>
              <w:bottom w:val="single" w:sz="4" w:space="0" w:color="365F91"/>
            </w:tcBorders>
            <w:shd w:val="clear" w:color="auto" w:fill="365F91"/>
            <w:vAlign w:val="bottom"/>
          </w:tcPr>
          <w:p w14:paraId="2891B299" w14:textId="77777777" w:rsidR="00645197" w:rsidRPr="00BE78CA" w:rsidRDefault="00645197" w:rsidP="00C26084">
            <w:pPr>
              <w:pStyle w:val="TableTextBold"/>
              <w:rPr>
                <w:noProof w:val="0"/>
                <w:color w:val="FFFFFF"/>
              </w:rPr>
            </w:pPr>
            <w:r w:rsidRPr="00BE78CA">
              <w:rPr>
                <w:noProof w:val="0"/>
                <w:color w:val="FFFFFF"/>
              </w:rPr>
              <w:t>Review descriptions</w:t>
            </w:r>
          </w:p>
        </w:tc>
        <w:tc>
          <w:tcPr>
            <w:tcW w:w="4026" w:type="dxa"/>
            <w:tcBorders>
              <w:bottom w:val="single" w:sz="4" w:space="0" w:color="365F91"/>
            </w:tcBorders>
            <w:shd w:val="clear" w:color="auto" w:fill="365F91"/>
            <w:vAlign w:val="bottom"/>
          </w:tcPr>
          <w:p w14:paraId="787D5518" w14:textId="77777777" w:rsidR="00645197" w:rsidRPr="00BE78CA" w:rsidRDefault="00645197" w:rsidP="00C26084">
            <w:pPr>
              <w:pStyle w:val="TableTextBold"/>
              <w:rPr>
                <w:noProof w:val="0"/>
                <w:color w:val="FFFFFF"/>
              </w:rPr>
            </w:pPr>
            <w:r w:rsidRPr="00BE78CA">
              <w:rPr>
                <w:noProof w:val="0"/>
                <w:color w:val="FFFFFF"/>
              </w:rPr>
              <w:t>New Zealand addressed the recommendation as follows</w:t>
            </w:r>
          </w:p>
        </w:tc>
      </w:tr>
      <w:tr w:rsidR="00645197" w:rsidRPr="00BE78CA" w14:paraId="137BC51E" w14:textId="77777777" w:rsidTr="006173B0">
        <w:tc>
          <w:tcPr>
            <w:tcW w:w="812" w:type="dxa"/>
            <w:shd w:val="clear" w:color="auto" w:fill="FFFFFF"/>
            <w:vAlign w:val="bottom"/>
          </w:tcPr>
          <w:p w14:paraId="74AAFBFF" w14:textId="77777777" w:rsidR="00645197" w:rsidRPr="00BE78CA" w:rsidRDefault="00645197" w:rsidP="00C26084">
            <w:pPr>
              <w:pStyle w:val="TableTextBold"/>
              <w:rPr>
                <w:b w:val="0"/>
                <w:noProof w:val="0"/>
                <w:color w:val="FFFFFF"/>
              </w:rPr>
            </w:pPr>
            <w:r w:rsidRPr="00BE78CA">
              <w:rPr>
                <w:b w:val="0"/>
                <w:noProof w:val="0"/>
              </w:rPr>
              <w:t>NA</w:t>
            </w:r>
          </w:p>
        </w:tc>
        <w:tc>
          <w:tcPr>
            <w:tcW w:w="3724" w:type="dxa"/>
            <w:shd w:val="clear" w:color="auto" w:fill="FFFFFF"/>
            <w:vAlign w:val="bottom"/>
          </w:tcPr>
          <w:p w14:paraId="5E926623" w14:textId="77777777" w:rsidR="00645197" w:rsidRPr="00BE78CA" w:rsidRDefault="00645197" w:rsidP="00C26084">
            <w:pPr>
              <w:pStyle w:val="TableTextBold"/>
              <w:rPr>
                <w:b w:val="0"/>
                <w:noProof w:val="0"/>
                <w:color w:val="FFFFFF"/>
              </w:rPr>
            </w:pPr>
            <w:r w:rsidRPr="00BE78CA">
              <w:rPr>
                <w:b w:val="0"/>
                <w:noProof w:val="0"/>
              </w:rPr>
              <w:t>There were no recommendations to be addressed</w:t>
            </w:r>
          </w:p>
        </w:tc>
        <w:tc>
          <w:tcPr>
            <w:tcW w:w="4026" w:type="dxa"/>
            <w:shd w:val="clear" w:color="auto" w:fill="FFFFFF"/>
            <w:vAlign w:val="bottom"/>
          </w:tcPr>
          <w:p w14:paraId="31653A56" w14:textId="77777777" w:rsidR="00645197" w:rsidRPr="00BE78CA" w:rsidRDefault="00645197" w:rsidP="00C26084">
            <w:pPr>
              <w:pStyle w:val="TableTextBold"/>
              <w:rPr>
                <w:b w:val="0"/>
                <w:noProof w:val="0"/>
                <w:color w:val="FFFFFF"/>
              </w:rPr>
            </w:pPr>
            <w:r w:rsidRPr="00BE78CA">
              <w:rPr>
                <w:b w:val="0"/>
                <w:noProof w:val="0"/>
              </w:rPr>
              <w:t>NA</w:t>
            </w:r>
          </w:p>
        </w:tc>
      </w:tr>
    </w:tbl>
    <w:p w14:paraId="0E45DB81" w14:textId="77777777" w:rsidR="00645197" w:rsidRPr="00BE78CA" w:rsidRDefault="00645197" w:rsidP="00645197">
      <w:pPr>
        <w:pStyle w:val="Table"/>
        <w:spacing w:before="360"/>
      </w:pPr>
      <w:bookmarkStart w:id="3708" w:name="_Toc481751646"/>
      <w:bookmarkStart w:id="3709" w:name="_Toc511116874"/>
      <w:bookmarkStart w:id="3710" w:name="_Toc5269642"/>
      <w:bookmarkStart w:id="3711" w:name="_Toc36224725"/>
      <w:bookmarkStart w:id="3712" w:name="_Toc68786610"/>
      <w:r w:rsidRPr="00BE78CA">
        <w:lastRenderedPageBreak/>
        <w:t xml:space="preserve">Table 14.3 </w:t>
      </w:r>
      <w:r w:rsidRPr="00BE78CA">
        <w:tab/>
        <w:t>Contact details</w:t>
      </w:r>
      <w:bookmarkEnd w:id="3708"/>
      <w:bookmarkEnd w:id="3709"/>
      <w:bookmarkEnd w:id="3710"/>
      <w:bookmarkEnd w:id="3711"/>
      <w:bookmarkEnd w:id="3712"/>
    </w:p>
    <w:tbl>
      <w:tblPr>
        <w:tblW w:w="8505" w:type="dxa"/>
        <w:tblBorders>
          <w:top w:val="single" w:sz="4" w:space="0" w:color="365F91"/>
          <w:bottom w:val="single" w:sz="4" w:space="0" w:color="365F91"/>
        </w:tblBorders>
        <w:tblLook w:val="01E0" w:firstRow="1" w:lastRow="1" w:firstColumn="1" w:lastColumn="1" w:noHBand="0" w:noVBand="0"/>
      </w:tblPr>
      <w:tblGrid>
        <w:gridCol w:w="3786"/>
        <w:gridCol w:w="4719"/>
      </w:tblGrid>
      <w:tr w:rsidR="00645197" w:rsidRPr="00BE78CA" w14:paraId="06AB5586" w14:textId="77777777" w:rsidTr="006173B0">
        <w:tc>
          <w:tcPr>
            <w:tcW w:w="3799" w:type="dxa"/>
            <w:tcBorders>
              <w:bottom w:val="single" w:sz="4" w:space="0" w:color="365F91"/>
            </w:tcBorders>
            <w:shd w:val="clear" w:color="auto" w:fill="auto"/>
          </w:tcPr>
          <w:p w14:paraId="2902A1E8" w14:textId="77777777" w:rsidR="00645197" w:rsidRPr="00BE78CA" w:rsidRDefault="00645197" w:rsidP="00C26084">
            <w:pPr>
              <w:pStyle w:val="TableText"/>
              <w:keepNext/>
              <w:spacing w:before="120"/>
            </w:pPr>
            <w:r w:rsidRPr="00BE78CA">
              <w:t>Organisation designated as the administrator of New Zealand’s national registry</w:t>
            </w:r>
          </w:p>
        </w:tc>
        <w:tc>
          <w:tcPr>
            <w:tcW w:w="4733" w:type="dxa"/>
            <w:tcBorders>
              <w:bottom w:val="single" w:sz="4" w:space="0" w:color="365F91"/>
            </w:tcBorders>
            <w:shd w:val="clear" w:color="auto" w:fill="auto"/>
          </w:tcPr>
          <w:p w14:paraId="650A040A" w14:textId="77777777" w:rsidR="00645197" w:rsidRPr="00BE78CA" w:rsidRDefault="00645197" w:rsidP="00C26084">
            <w:pPr>
              <w:pStyle w:val="TableText"/>
              <w:keepNext/>
              <w:spacing w:before="120" w:after="0"/>
            </w:pPr>
            <w:r w:rsidRPr="00BE78CA">
              <w:t>Environmental Protection Authority</w:t>
            </w:r>
          </w:p>
          <w:p w14:paraId="4C49EDC4" w14:textId="77777777" w:rsidR="00645197" w:rsidRPr="00BE78CA" w:rsidRDefault="00645197" w:rsidP="00C26084">
            <w:pPr>
              <w:pStyle w:val="TableText"/>
              <w:keepNext/>
              <w:spacing w:after="0"/>
            </w:pPr>
            <w:r w:rsidRPr="00BE78CA">
              <w:t>Private Bag 63002, Wellington 6140, New Zealand</w:t>
            </w:r>
          </w:p>
          <w:p w14:paraId="4B3354E4" w14:textId="77777777" w:rsidR="00645197" w:rsidRPr="00BE78CA" w:rsidRDefault="00645197" w:rsidP="00C26084">
            <w:pPr>
              <w:pStyle w:val="TableText"/>
              <w:keepNext/>
              <w:spacing w:after="0"/>
            </w:pPr>
            <w:r w:rsidRPr="00BE78CA">
              <w:t>Phone: +64 4 462 4289</w:t>
            </w:r>
          </w:p>
          <w:p w14:paraId="0B4C7CC2" w14:textId="77777777" w:rsidR="00645197" w:rsidRPr="00BE78CA" w:rsidRDefault="00645197" w:rsidP="00C26084">
            <w:pPr>
              <w:pStyle w:val="TableText"/>
              <w:keepNext/>
              <w:spacing w:after="0"/>
            </w:pPr>
            <w:r w:rsidRPr="00BE78CA">
              <w:t>Fax: +64 4 978 3661</w:t>
            </w:r>
          </w:p>
          <w:p w14:paraId="105ACE5C" w14:textId="77777777" w:rsidR="00645197" w:rsidRPr="00BE78CA" w:rsidRDefault="00645197" w:rsidP="00C26084">
            <w:pPr>
              <w:pStyle w:val="TableText"/>
              <w:keepNext/>
            </w:pPr>
            <w:r w:rsidRPr="00BE78CA">
              <w:t xml:space="preserve">Web: </w:t>
            </w:r>
            <w:hyperlink r:id="rId292" w:history="1">
              <w:r w:rsidRPr="00BE78CA">
                <w:t>www.epa.govt.nz</w:t>
              </w:r>
            </w:hyperlink>
          </w:p>
        </w:tc>
      </w:tr>
      <w:tr w:rsidR="00645197" w:rsidRPr="00BE78CA" w14:paraId="391A006B" w14:textId="77777777" w:rsidTr="006173B0">
        <w:tc>
          <w:tcPr>
            <w:tcW w:w="3799" w:type="dxa"/>
            <w:tcBorders>
              <w:top w:val="single" w:sz="4" w:space="0" w:color="365F91"/>
              <w:bottom w:val="single" w:sz="4" w:space="0" w:color="365F91"/>
            </w:tcBorders>
            <w:shd w:val="clear" w:color="auto" w:fill="auto"/>
          </w:tcPr>
          <w:p w14:paraId="75FCAEB2" w14:textId="77777777" w:rsidR="00645197" w:rsidRPr="00BE78CA" w:rsidRDefault="00645197" w:rsidP="00C26084">
            <w:pPr>
              <w:pStyle w:val="TableText"/>
              <w:keepNext/>
              <w:spacing w:before="120"/>
            </w:pPr>
            <w:r w:rsidRPr="00BE78CA">
              <w:t>Main Contact</w:t>
            </w:r>
          </w:p>
        </w:tc>
        <w:tc>
          <w:tcPr>
            <w:tcW w:w="4733" w:type="dxa"/>
            <w:tcBorders>
              <w:top w:val="single" w:sz="4" w:space="0" w:color="365F91"/>
              <w:bottom w:val="single" w:sz="4" w:space="0" w:color="365F91"/>
            </w:tcBorders>
            <w:shd w:val="clear" w:color="auto" w:fill="auto"/>
          </w:tcPr>
          <w:p w14:paraId="79C6EBA1" w14:textId="77777777" w:rsidR="00645197" w:rsidRPr="00BE78CA" w:rsidRDefault="00645197" w:rsidP="00C26084">
            <w:pPr>
              <w:pStyle w:val="TableText"/>
              <w:keepNext/>
              <w:spacing w:before="120" w:after="0"/>
            </w:pPr>
            <w:r w:rsidRPr="00BE78CA">
              <w:t>Guy Windley</w:t>
            </w:r>
          </w:p>
          <w:p w14:paraId="5F4A8130" w14:textId="77777777" w:rsidR="00645197" w:rsidRPr="00BE78CA" w:rsidRDefault="00645197" w:rsidP="00C26084">
            <w:pPr>
              <w:pStyle w:val="TableText"/>
              <w:keepNext/>
              <w:spacing w:after="0"/>
            </w:pPr>
            <w:r w:rsidRPr="00BE78CA">
              <w:t>Manager, ETS Operations</w:t>
            </w:r>
          </w:p>
          <w:p w14:paraId="484AF876" w14:textId="77777777" w:rsidR="00645197" w:rsidRPr="00BE78CA" w:rsidRDefault="00645197" w:rsidP="00C26084">
            <w:pPr>
              <w:pStyle w:val="TableText"/>
              <w:keepNext/>
              <w:spacing w:after="0"/>
            </w:pPr>
            <w:r w:rsidRPr="00BE78CA">
              <w:t>Environmental Protection Authority</w:t>
            </w:r>
          </w:p>
          <w:p w14:paraId="7F2AA187" w14:textId="77777777" w:rsidR="00645197" w:rsidRPr="00BE78CA" w:rsidRDefault="00645197" w:rsidP="00C26084">
            <w:pPr>
              <w:pStyle w:val="TableText"/>
              <w:keepNext/>
              <w:spacing w:after="0"/>
            </w:pPr>
            <w:r w:rsidRPr="00BE78CA">
              <w:t>Private Bag 63002, Wellington 6140, New Zealand</w:t>
            </w:r>
          </w:p>
          <w:p w14:paraId="2183B001" w14:textId="77777777" w:rsidR="00645197" w:rsidRPr="00BE78CA" w:rsidRDefault="00645197" w:rsidP="00C26084">
            <w:pPr>
              <w:pStyle w:val="TableText"/>
              <w:keepNext/>
              <w:spacing w:after="0"/>
            </w:pPr>
            <w:r w:rsidRPr="00BE78CA">
              <w:t>Phone: +64 4 474 5514</w:t>
            </w:r>
          </w:p>
          <w:p w14:paraId="5403E8DC" w14:textId="77777777" w:rsidR="00645197" w:rsidRPr="00BE78CA" w:rsidRDefault="00645197" w:rsidP="00C26084">
            <w:pPr>
              <w:pStyle w:val="TableText"/>
              <w:keepNext/>
              <w:spacing w:after="0"/>
            </w:pPr>
            <w:r w:rsidRPr="00BE78CA">
              <w:t>Fax: +64 4 978 3661</w:t>
            </w:r>
          </w:p>
          <w:p w14:paraId="3509193D" w14:textId="77777777" w:rsidR="00645197" w:rsidRPr="00BE78CA" w:rsidRDefault="00645197" w:rsidP="00C26084">
            <w:pPr>
              <w:pStyle w:val="TableText"/>
              <w:keepNext/>
            </w:pPr>
            <w:r w:rsidRPr="00BE78CA">
              <w:t>Email: guy.windley@epa.govt.nz</w:t>
            </w:r>
          </w:p>
        </w:tc>
      </w:tr>
      <w:tr w:rsidR="00645197" w:rsidRPr="00BE78CA" w14:paraId="5F3385C6" w14:textId="77777777" w:rsidTr="006173B0">
        <w:tc>
          <w:tcPr>
            <w:tcW w:w="3799" w:type="dxa"/>
            <w:tcBorders>
              <w:top w:val="single" w:sz="4" w:space="0" w:color="365F91"/>
              <w:bottom w:val="single" w:sz="4" w:space="0" w:color="365F91"/>
            </w:tcBorders>
            <w:shd w:val="clear" w:color="auto" w:fill="auto"/>
          </w:tcPr>
          <w:p w14:paraId="358ED8BF" w14:textId="77777777" w:rsidR="00645197" w:rsidRPr="00BE78CA" w:rsidRDefault="00645197" w:rsidP="00C26084">
            <w:pPr>
              <w:pStyle w:val="TableText"/>
              <w:spacing w:before="120"/>
            </w:pPr>
            <w:r w:rsidRPr="00BE78CA">
              <w:t>Alternative Contact</w:t>
            </w:r>
          </w:p>
        </w:tc>
        <w:tc>
          <w:tcPr>
            <w:tcW w:w="4733" w:type="dxa"/>
            <w:tcBorders>
              <w:top w:val="single" w:sz="4" w:space="0" w:color="365F91"/>
              <w:bottom w:val="single" w:sz="4" w:space="0" w:color="365F91"/>
            </w:tcBorders>
            <w:shd w:val="clear" w:color="auto" w:fill="auto"/>
          </w:tcPr>
          <w:p w14:paraId="441DE2FD" w14:textId="77777777" w:rsidR="00645197" w:rsidRPr="00BE78CA" w:rsidRDefault="00645197" w:rsidP="00C26084">
            <w:pPr>
              <w:pStyle w:val="TableText"/>
              <w:spacing w:before="120" w:after="0"/>
            </w:pPr>
            <w:r w:rsidRPr="00BE78CA">
              <w:t>Dave Stuart</w:t>
            </w:r>
          </w:p>
          <w:p w14:paraId="4999E850" w14:textId="77777777" w:rsidR="00645197" w:rsidRPr="00BE78CA" w:rsidRDefault="00645197" w:rsidP="00C26084">
            <w:pPr>
              <w:pStyle w:val="TableText"/>
              <w:spacing w:after="0"/>
            </w:pPr>
            <w:r w:rsidRPr="00BE78CA">
              <w:t>Team Leader, ETS Operations</w:t>
            </w:r>
          </w:p>
          <w:p w14:paraId="30722E30" w14:textId="77777777" w:rsidR="00645197" w:rsidRPr="00BE78CA" w:rsidRDefault="00645197" w:rsidP="00C26084">
            <w:pPr>
              <w:pStyle w:val="TableText"/>
              <w:spacing w:after="0"/>
            </w:pPr>
            <w:r w:rsidRPr="00BE78CA">
              <w:t>Environmental Protection Authority</w:t>
            </w:r>
          </w:p>
          <w:p w14:paraId="2762BB36" w14:textId="77777777" w:rsidR="00645197" w:rsidRPr="00BE78CA" w:rsidRDefault="00645197" w:rsidP="00C26084">
            <w:pPr>
              <w:pStyle w:val="TableText"/>
              <w:spacing w:after="0"/>
            </w:pPr>
            <w:r w:rsidRPr="00BE78CA">
              <w:t>Private Bag 63002, Wellington 6140, New Zealand</w:t>
            </w:r>
          </w:p>
          <w:p w14:paraId="11B4BCF1" w14:textId="77777777" w:rsidR="00645197" w:rsidRPr="00BE78CA" w:rsidRDefault="00645197" w:rsidP="00C26084">
            <w:pPr>
              <w:pStyle w:val="TableText"/>
              <w:spacing w:after="0"/>
            </w:pPr>
            <w:r w:rsidRPr="00BE78CA">
              <w:t>Phone: +64 4 474 5750</w:t>
            </w:r>
          </w:p>
          <w:p w14:paraId="5DC1377A" w14:textId="77777777" w:rsidR="00645197" w:rsidRPr="00BE78CA" w:rsidRDefault="00645197" w:rsidP="00C26084">
            <w:pPr>
              <w:pStyle w:val="TableText"/>
              <w:spacing w:after="0"/>
            </w:pPr>
            <w:r w:rsidRPr="00BE78CA">
              <w:t>Fax: +64 4 978 3661</w:t>
            </w:r>
          </w:p>
          <w:p w14:paraId="587A1990" w14:textId="77777777" w:rsidR="00645197" w:rsidRPr="00BE78CA" w:rsidRDefault="00645197" w:rsidP="00C26084">
            <w:pPr>
              <w:pStyle w:val="TableText"/>
            </w:pPr>
            <w:r w:rsidRPr="00BE78CA">
              <w:t>Email: dave.stuart@epa.govt.nz</w:t>
            </w:r>
          </w:p>
        </w:tc>
      </w:tr>
    </w:tbl>
    <w:p w14:paraId="569FDC50" w14:textId="77777777" w:rsidR="00645197" w:rsidRPr="00BE78CA" w:rsidRDefault="00645197" w:rsidP="00645197">
      <w:pPr>
        <w:pStyle w:val="BodyText"/>
      </w:pPr>
    </w:p>
    <w:p w14:paraId="59EE4142" w14:textId="77777777" w:rsidR="006173B0" w:rsidRPr="00BE78CA" w:rsidRDefault="006173B0" w:rsidP="00645197">
      <w:pPr>
        <w:sectPr w:rsidR="006173B0" w:rsidRPr="00BE78CA" w:rsidSect="005D0C5D">
          <w:footerReference w:type="even" r:id="rId293"/>
          <w:pgSz w:w="11907" w:h="16840" w:code="9"/>
          <w:pgMar w:top="1418" w:right="1701" w:bottom="1418" w:left="1701" w:header="567" w:footer="567" w:gutter="0"/>
          <w:cols w:space="720"/>
        </w:sectPr>
      </w:pPr>
    </w:p>
    <w:p w14:paraId="21BC5C36" w14:textId="77777777" w:rsidR="00332F62" w:rsidRPr="00BE78CA" w:rsidRDefault="00332F62" w:rsidP="00332F62">
      <w:pPr>
        <w:pStyle w:val="Heading1"/>
      </w:pPr>
      <w:bookmarkStart w:id="3713" w:name="_Toc68786382"/>
      <w:r w:rsidRPr="00BE78CA">
        <w:lastRenderedPageBreak/>
        <w:t>Chapter 15: Information on minimisation of adverse impacts</w:t>
      </w:r>
      <w:bookmarkEnd w:id="3713"/>
    </w:p>
    <w:p w14:paraId="522A41E2" w14:textId="2857833F" w:rsidR="00332F62" w:rsidRPr="00BE78CA" w:rsidRDefault="00332F62" w:rsidP="00332F62">
      <w:pPr>
        <w:pStyle w:val="BodyText"/>
      </w:pPr>
      <w:r w:rsidRPr="00BE78CA">
        <w:t xml:space="preserve">This chapter provides information on New Zealand’s actions to minimise adverse </w:t>
      </w:r>
      <w:r w:rsidR="00557D69" w:rsidRPr="00BE78CA">
        <w:t>social</w:t>
      </w:r>
      <w:r w:rsidRPr="00BE78CA">
        <w:t>, environmental and economic impacts on non-Annex I Parties of the implementation of climate change policies and measures, as required under Article 3.14 of the Kyoto Protocol.</w:t>
      </w:r>
    </w:p>
    <w:p w14:paraId="3A2E52C5" w14:textId="77777777" w:rsidR="00332F62" w:rsidRPr="00BE78CA" w:rsidRDefault="00332F62" w:rsidP="00332F62">
      <w:pPr>
        <w:pStyle w:val="Heading2"/>
      </w:pPr>
      <w:bookmarkStart w:id="3714" w:name="_Toc448321578"/>
      <w:bookmarkStart w:id="3715" w:name="_Toc481751440"/>
      <w:bookmarkStart w:id="3716" w:name="_Toc36224463"/>
      <w:bookmarkStart w:id="3717" w:name="_Toc68786383"/>
      <w:r w:rsidRPr="00BE78CA">
        <w:t xml:space="preserve">15.1 </w:t>
      </w:r>
      <w:r w:rsidRPr="00BE78CA">
        <w:tab/>
        <w:t>Overview</w:t>
      </w:r>
      <w:bookmarkEnd w:id="3714"/>
      <w:bookmarkEnd w:id="3715"/>
      <w:bookmarkEnd w:id="3716"/>
      <w:bookmarkEnd w:id="3717"/>
    </w:p>
    <w:p w14:paraId="1E2A16FA" w14:textId="77777777" w:rsidR="00332F62" w:rsidRPr="00BE78CA" w:rsidRDefault="00332F62" w:rsidP="00332F62">
      <w:pPr>
        <w:pStyle w:val="BodyText"/>
      </w:pPr>
      <w:r w:rsidRPr="00BE78CA">
        <w:t>New Zealand is undertaking a number of mitigation actions and policies to reduce emissions to meet its Kyoto and Paris commitments. These include:</w:t>
      </w:r>
    </w:p>
    <w:p w14:paraId="4FC02C44" w14:textId="77777777" w:rsidR="00332F62" w:rsidRPr="00BE78CA" w:rsidRDefault="00332F62" w:rsidP="00F04F96">
      <w:pPr>
        <w:pStyle w:val="Bullet"/>
      </w:pPr>
      <w:r w:rsidRPr="00BE78CA">
        <w:t>an emissions trading scheme</w:t>
      </w:r>
    </w:p>
    <w:p w14:paraId="1A6F166E" w14:textId="77777777" w:rsidR="00332F62" w:rsidRPr="00BE78CA" w:rsidRDefault="00332F62" w:rsidP="00F04F96">
      <w:pPr>
        <w:pStyle w:val="Bullet"/>
      </w:pPr>
      <w:r w:rsidRPr="00BE78CA">
        <w:t>energy efficiency initiatives</w:t>
      </w:r>
    </w:p>
    <w:p w14:paraId="32BC38C1" w14:textId="77777777" w:rsidR="00332F62" w:rsidRPr="00BE78CA" w:rsidRDefault="00332F62" w:rsidP="00F04F96">
      <w:pPr>
        <w:pStyle w:val="Bullet"/>
      </w:pPr>
      <w:r w:rsidRPr="00BE78CA">
        <w:t>investment in public transport</w:t>
      </w:r>
    </w:p>
    <w:p w14:paraId="79D9FFD4" w14:textId="77777777" w:rsidR="00332F62" w:rsidRPr="00BE78CA" w:rsidRDefault="00332F62" w:rsidP="00F04F96">
      <w:pPr>
        <w:pStyle w:val="Bullet"/>
      </w:pPr>
      <w:r w:rsidRPr="00BE78CA">
        <w:t>supporting afforestation</w:t>
      </w:r>
    </w:p>
    <w:p w14:paraId="3B385F4D" w14:textId="77777777" w:rsidR="00332F62" w:rsidRPr="00BE78CA" w:rsidRDefault="00332F62" w:rsidP="00F04F96">
      <w:pPr>
        <w:pStyle w:val="Bullet"/>
      </w:pPr>
      <w:r w:rsidRPr="00BE78CA">
        <w:t>research, technology development and sharing of technical expertise, most notably in the agricultural sector</w:t>
      </w:r>
    </w:p>
    <w:p w14:paraId="7CACED67" w14:textId="77777777" w:rsidR="00332F62" w:rsidRPr="00BE78CA" w:rsidRDefault="00332F62" w:rsidP="00F04F96">
      <w:pPr>
        <w:pStyle w:val="Bullet"/>
      </w:pPr>
      <w:r w:rsidRPr="00BE78CA">
        <w:t>an increased proportion of electricity produced from renewable energy sources</w:t>
      </w:r>
    </w:p>
    <w:p w14:paraId="111C7FDB" w14:textId="77777777" w:rsidR="00332F62" w:rsidRPr="00BE78CA" w:rsidRDefault="00332F62" w:rsidP="00F04F96">
      <w:pPr>
        <w:pStyle w:val="Bullet"/>
      </w:pPr>
      <w:r w:rsidRPr="00BE78CA">
        <w:t>playing a leading role in the Friends of Fossil Fuel Subsidy Reform, a group aimed at encouraging the global phase out of harmful and inefficient subsidies to fossil fuel consumption and production</w:t>
      </w:r>
    </w:p>
    <w:p w14:paraId="0D61BCB8" w14:textId="77777777" w:rsidR="00332F62" w:rsidRPr="00BE78CA" w:rsidRDefault="00332F62" w:rsidP="00F04F96">
      <w:pPr>
        <w:pStyle w:val="Bullet"/>
      </w:pPr>
      <w:r w:rsidRPr="00BE78CA">
        <w:t>sharing New Zealand’s long-standing expertise in renewable energy development internationally</w:t>
      </w:r>
    </w:p>
    <w:p w14:paraId="79918F3F" w14:textId="77777777" w:rsidR="00332F62" w:rsidRPr="00BE78CA" w:rsidRDefault="00332F62" w:rsidP="00F04F96">
      <w:pPr>
        <w:pStyle w:val="Bullet"/>
      </w:pPr>
      <w:r w:rsidRPr="00BE78CA">
        <w:t xml:space="preserve">climate-related support delivered by the New Zealand Aid Programme – New Zealand’s official development assistance (ODA) (see </w:t>
      </w:r>
      <w:hyperlink r:id="rId294" w:history="1">
        <w:r w:rsidRPr="00BE78CA">
          <w:rPr>
            <w:rStyle w:val="Hyperlink"/>
          </w:rPr>
          <w:t>https://mfat.govt.nz/en/aid-and-development</w:t>
        </w:r>
      </w:hyperlink>
      <w:r w:rsidRPr="00BE78CA">
        <w:t>).</w:t>
      </w:r>
    </w:p>
    <w:p w14:paraId="60314AC3" w14:textId="77777777" w:rsidR="00332F62" w:rsidRPr="00BE78CA" w:rsidRDefault="00332F62" w:rsidP="00F04F96">
      <w:pPr>
        <w:pStyle w:val="BodyText"/>
      </w:pPr>
      <w:r w:rsidRPr="00BE78CA">
        <w:t xml:space="preserve">Further information on actions and policies is included in </w:t>
      </w:r>
      <w:r w:rsidRPr="00BE78CA">
        <w:rPr>
          <w:i/>
        </w:rPr>
        <w:t xml:space="preserve">New Zealand’s </w:t>
      </w:r>
      <w:hyperlink r:id="rId295" w:history="1">
        <w:r w:rsidRPr="00BE78CA">
          <w:rPr>
            <w:i/>
            <w:iCs/>
          </w:rPr>
          <w:t>Fourth Biennial Report</w:t>
        </w:r>
      </w:hyperlink>
      <w:r w:rsidRPr="00BE78CA">
        <w:t>, published in December 2019 (Ministry for the Environment, 2019).</w:t>
      </w:r>
    </w:p>
    <w:p w14:paraId="5E0E03D0" w14:textId="77777777" w:rsidR="00332F62" w:rsidRPr="00BE78CA" w:rsidRDefault="00332F62" w:rsidP="00332F62">
      <w:pPr>
        <w:pStyle w:val="BodyText"/>
      </w:pPr>
      <w:r w:rsidRPr="00BE78CA">
        <w:t xml:space="preserve">In the development of major policy initiatives related to these mitigation measures, an analysis of impacts of the proposed policy is completed. As appropriate, the benefits and risks of proposed options, including those with possible international implications, are considered. </w:t>
      </w:r>
    </w:p>
    <w:p w14:paraId="5AB52EC2" w14:textId="77777777" w:rsidR="00332F62" w:rsidRPr="00BE78CA" w:rsidRDefault="00332F62" w:rsidP="00332F62">
      <w:pPr>
        <w:pStyle w:val="BodyText"/>
      </w:pPr>
      <w:r w:rsidRPr="00BE78CA">
        <w:t>In addition, through the New Zealand Government’s regular engagement with other governments, including many non-Annex I Parties, opportunities are available for concerns to be raised about the possible or actual adverse impacts of New Zealand policies and to have them resolved within the bilateral relationship. There is also opportunity for people and/or organisations to raise concerns and highlight issues about new policies during the public consultation phase. To date, no specific concerns about any negative impacts of New Zealand’s climate change response policies on non-Annex I Parties have been raised.</w:t>
      </w:r>
    </w:p>
    <w:p w14:paraId="73CFAD67" w14:textId="77777777" w:rsidR="00332F62" w:rsidRPr="00BE78CA" w:rsidRDefault="00332F62" w:rsidP="00332F62">
      <w:pPr>
        <w:pStyle w:val="BodyText"/>
      </w:pPr>
      <w:r w:rsidRPr="00BE78CA">
        <w:lastRenderedPageBreak/>
        <w:t xml:space="preserve">In its provision of ODA, which is managed by the Ministry of Foreign Affairs and Trade, New Zealand works closely with the partner country to agree priorities for the particular country aid programme. Doing so helps ensure that New Zealand’s ODA is aligned to the priorities and needs of the partner country, while also reflecting New Zealand’s values. Practice standards for ODA activities, funded by the New Zealand Aid Programme, include assessments and responses to environmental and climate-related impacts and risks (along with gender and human rights as the other significant cross-cutting issues). </w:t>
      </w:r>
    </w:p>
    <w:p w14:paraId="013C3BF6" w14:textId="77777777" w:rsidR="00332F62" w:rsidRPr="00BE78CA" w:rsidRDefault="00332F62" w:rsidP="00332F62">
      <w:pPr>
        <w:pStyle w:val="BodyText"/>
      </w:pPr>
      <w:r w:rsidRPr="00BE78CA">
        <w:t xml:space="preserve">Regular consultations, held between New Zealand and partner countries to discuss the delivery of ODA activities, provide another opportunity for partner countries to raise any concerns about impact, and for both partners to work collaboratively to address those concerns. This partnership approach is also taken with New Zealand’s Pacific regional and multi-country climate change activities. </w:t>
      </w:r>
    </w:p>
    <w:p w14:paraId="7ED50370" w14:textId="77777777" w:rsidR="00332F62" w:rsidRPr="00BE78CA" w:rsidRDefault="00332F62" w:rsidP="00332F62">
      <w:pPr>
        <w:pStyle w:val="BodyText"/>
      </w:pPr>
      <w:r w:rsidRPr="00BE78CA">
        <w:t>In September 2015, the international community adopted the Sustainable Development Goals (SDGs). SDG Goal 7 calls for a substantial increase in the share of renewables, and access to affordable, reliable, sustainable and modern energy for all. Along with the work undertaken under the umbrella of the Decade of Sustainable Energy for All renewable energy is of increasing significance to transform lives and economies. SDG Goal 13 calls for strengthened resilience and adaptive capacity, integration of climate change measures into national policies, strategies and planning, and mobilising finance from all sources to address the needs of developing countries. The New Zealand Aid Programme supports climate change adaptation, disaster risk reduction, and humanitarian response to natural disasters.</w:t>
      </w:r>
    </w:p>
    <w:p w14:paraId="4CF1CCEF" w14:textId="3D699404" w:rsidR="00332F62" w:rsidRPr="00BE78CA" w:rsidRDefault="00332F62" w:rsidP="00332F62">
      <w:pPr>
        <w:pStyle w:val="BodyText"/>
      </w:pPr>
      <w:r w:rsidRPr="00BE78CA">
        <w:t>As a critical element of long-term sustainable development efforts,</w:t>
      </w:r>
      <w:r w:rsidRPr="00BE78CA">
        <w:rPr>
          <w:rStyle w:val="CommentReference"/>
          <w:sz w:val="22"/>
        </w:rPr>
        <w:t xml:space="preserve"> </w:t>
      </w:r>
      <w:r w:rsidRPr="00BE78CA">
        <w:t>Small Island Developing States (SIDS) continue to increase their uptake of renewable energy. The New Zealand Aid Programme supports a major push to increase this uptake in the Pacific and reduce the region’s reliance on imported diesel, including support to develop energy roadmaps, as well as</w:t>
      </w:r>
      <w:r w:rsidR="00690A81" w:rsidRPr="00BE78CA">
        <w:t> </w:t>
      </w:r>
      <w:r w:rsidRPr="00BE78CA">
        <w:t xml:space="preserve">installation and upgrades to renewable energy systems, and investigation into opportunities for energy efficiency and transport energy projects. New Zealand is also supporting countries to undertake analysis to transition to low emissions, climate resilient economies, particularly in sectors such as energy and transport. </w:t>
      </w:r>
    </w:p>
    <w:p w14:paraId="734FCBC1" w14:textId="77777777" w:rsidR="00332F62" w:rsidRPr="00BE78CA" w:rsidRDefault="00332F62" w:rsidP="00332F62">
      <w:pPr>
        <w:pStyle w:val="BodyText"/>
      </w:pPr>
      <w:r w:rsidRPr="00BE78CA">
        <w:t xml:space="preserve">Compared with information reported in the previous National Inventory Report (NIR), additional initiatives include opportunities for new energy efficiency and transport energy projects. Scoping and design for these activities was initiated in 2019, with implementation beginning in 2020. These will be reported on in the next biennial report. </w:t>
      </w:r>
    </w:p>
    <w:p w14:paraId="5748B0A2" w14:textId="77777777" w:rsidR="00332F62" w:rsidRPr="00BE78CA" w:rsidRDefault="00332F62" w:rsidP="00332F62">
      <w:pPr>
        <w:pStyle w:val="Heading2"/>
      </w:pPr>
      <w:bookmarkStart w:id="3718" w:name="_Toc448321579"/>
      <w:bookmarkStart w:id="3719" w:name="_Toc481751441"/>
      <w:bookmarkStart w:id="3720" w:name="_Toc36224464"/>
      <w:bookmarkStart w:id="3721" w:name="_Toc68786384"/>
      <w:r w:rsidRPr="00BE78CA">
        <w:t xml:space="preserve">15.2 </w:t>
      </w:r>
      <w:r w:rsidRPr="00BE78CA">
        <w:tab/>
        <w:t>Market imperfections, fiscal incentives, tax and duty exemptions and subsidies</w:t>
      </w:r>
      <w:bookmarkEnd w:id="3718"/>
      <w:bookmarkEnd w:id="3719"/>
      <w:bookmarkEnd w:id="3720"/>
      <w:bookmarkEnd w:id="3721"/>
    </w:p>
    <w:p w14:paraId="1AAD2B11" w14:textId="5252A93F" w:rsidR="00332F62" w:rsidRPr="00BE78CA" w:rsidRDefault="00332F62" w:rsidP="00332F62">
      <w:pPr>
        <w:pStyle w:val="BodyText"/>
      </w:pPr>
      <w:r w:rsidRPr="00BE78CA">
        <w:t>Annex I Parties are required to report any progressive reduction or phasing out of market imperfections, fiscal incentives, tax and duty exemptions and subsidies in all greenhouse-gas</w:t>
      </w:r>
      <w:r w:rsidR="00F04F96" w:rsidRPr="00BE78CA">
        <w:noBreakHyphen/>
      </w:r>
      <w:r w:rsidRPr="00BE78CA">
        <w:t>emitting sectors, taking into account the need for energy price reforms to reflect market prices and externalities.</w:t>
      </w:r>
    </w:p>
    <w:p w14:paraId="0059FA74" w14:textId="686858A9" w:rsidR="00332F62" w:rsidRPr="00BE78CA" w:rsidRDefault="00332F62" w:rsidP="00332F62">
      <w:pPr>
        <w:pStyle w:val="BodyText"/>
      </w:pPr>
      <w:r w:rsidRPr="00BE78CA">
        <w:t>New Zealand maintains a liberalised and open trading environment, consistent with the principles of free trade and investment, ensuring both developed and developing countries can</w:t>
      </w:r>
      <w:r w:rsidR="00F04F96" w:rsidRPr="00BE78CA">
        <w:t> </w:t>
      </w:r>
      <w:r w:rsidRPr="00BE78CA">
        <w:t>maximise opportunities in New Zealand’s market regardless of the response measures undertaken.</w:t>
      </w:r>
    </w:p>
    <w:p w14:paraId="16E9EE5D" w14:textId="77777777" w:rsidR="00332F62" w:rsidRPr="00BE78CA" w:rsidRDefault="00332F62" w:rsidP="00332F62">
      <w:pPr>
        <w:pStyle w:val="Heading2"/>
      </w:pPr>
      <w:bookmarkStart w:id="3722" w:name="_Toc481751442"/>
      <w:bookmarkStart w:id="3723" w:name="_Toc36224465"/>
      <w:bookmarkStart w:id="3724" w:name="_Toc68786385"/>
      <w:bookmarkStart w:id="3725" w:name="_Toc448321581"/>
      <w:r w:rsidRPr="00BE78CA">
        <w:lastRenderedPageBreak/>
        <w:t xml:space="preserve">15.3 </w:t>
      </w:r>
      <w:r w:rsidRPr="00BE78CA">
        <w:tab/>
        <w:t>Removal of subsidies</w:t>
      </w:r>
      <w:bookmarkEnd w:id="3722"/>
      <w:bookmarkEnd w:id="3723"/>
      <w:bookmarkEnd w:id="3724"/>
    </w:p>
    <w:p w14:paraId="276A1E6F" w14:textId="77777777" w:rsidR="00332F62" w:rsidRPr="00BE78CA" w:rsidRDefault="00332F62" w:rsidP="00332F62">
      <w:pPr>
        <w:pStyle w:val="BodyText"/>
      </w:pPr>
      <w:r w:rsidRPr="00BE78CA">
        <w:t xml:space="preserve">Annex I Parties are required to report information concerning the removal of subsidies associated with the use of environmentally unsound and unsafe technologies. </w:t>
      </w:r>
    </w:p>
    <w:p w14:paraId="2D1E5675" w14:textId="00901C6E" w:rsidR="00332F62" w:rsidRPr="00BE78CA" w:rsidRDefault="00332F62" w:rsidP="00332F62">
      <w:pPr>
        <w:pStyle w:val="BodyText"/>
      </w:pPr>
      <w:r w:rsidRPr="00BE78CA">
        <w:t>New Zealand voluntarily undertook peer reviews of its domestic fossil fuel subsidies in the</w:t>
      </w:r>
      <w:r w:rsidR="004357D4" w:rsidRPr="00BE78CA">
        <w:t> </w:t>
      </w:r>
      <w:r w:rsidRPr="00BE78CA">
        <w:t xml:space="preserve">2015 Asia-Pacific Economic Cooperation (APEC) forum and the 2018 Organisation for Economic Co-operation and Development. Both reviews found that New Zealand does not have inefficient fossil fuel subsidies that encourage wasteful consumption. New Zealand is a founding member of the ‘Friends’ of Fossil Fuel Subsidy Reform (FFSR). Friends is an informal group of non-Group of Twenty (G20) countries that aims to build international political consensus on the importance of FFSR. The support of Friends for reform is based on the essential notion that it is incoherent to continue subsidising the costs of emissions from fossil fuels while, at the same time, making concerted efforts to mitigate those emissions through actions elsewhere. As a member of Friends, New Zealand has been working to encourage and support the G20 and APEC economies to meet their commitments to reform inefficient fossil fuel subsidies through the peer review process. In 2018, New Zealand participated in the peer review panels for Italy and Indonesia. </w:t>
      </w:r>
    </w:p>
    <w:p w14:paraId="7FE79327" w14:textId="5EAE302A" w:rsidR="00332F62" w:rsidRPr="00BE78CA" w:rsidRDefault="00332F62" w:rsidP="00332F62">
      <w:pPr>
        <w:pStyle w:val="BodyText"/>
      </w:pPr>
      <w:r w:rsidRPr="00BE78CA">
        <w:t>In December 2017, New Zealand delivered a Ministerial Statement to the World Trade Organisation (WTO), encouraging Members to address the global harm being caused by inefficient fossil fuel subsidies. Endorsed by 11 other WTO Members, the statement confirms the environmental, development and trade benefits of FFSR, and includes a political commitment to look at avenues to bring the issue into the WTO. New Zealand will also lead a</w:t>
      </w:r>
      <w:r w:rsidR="005663ED" w:rsidRPr="00BE78CA">
        <w:t> </w:t>
      </w:r>
      <w:r w:rsidRPr="00BE78CA">
        <w:t>renewed Ministerial Statement at the twelfth WTO Ministerial Conference.</w:t>
      </w:r>
    </w:p>
    <w:p w14:paraId="72053866" w14:textId="3FCC966F" w:rsidR="00332F62" w:rsidRPr="00BE78CA" w:rsidRDefault="00332F62" w:rsidP="00332F62">
      <w:pPr>
        <w:pStyle w:val="BodyText"/>
      </w:pPr>
      <w:r w:rsidRPr="00BE78CA">
        <w:t>New Zealand also hosted a side event on FFSR at the United Nations High-Level Political Forum in July 2018, which focused on improving energy access and responding to the SDGs through the phase out of fossil fuel subsidies. Later that year, in December, New Zealand helped launch a ‘Friends Network’ at the 24th Session of the Conference of the Parties (COP24) of the United Nations Framework Convention on Climate Change (UNFCCC), to broaden understanding of the need for reform and practical ways to achieve it. The Friends Network held a series of five virtual interactive roundtables in 2019, which were attended by representatives from about 20</w:t>
      </w:r>
      <w:r w:rsidR="005663ED" w:rsidRPr="00BE78CA">
        <w:t> </w:t>
      </w:r>
      <w:r w:rsidRPr="00BE78CA">
        <w:t>countries from around the world.</w:t>
      </w:r>
    </w:p>
    <w:p w14:paraId="4D519D5C" w14:textId="77777777" w:rsidR="00332F62" w:rsidRPr="00BE78CA" w:rsidRDefault="00332F62" w:rsidP="00332F62">
      <w:pPr>
        <w:pStyle w:val="Heading2"/>
      </w:pPr>
      <w:bookmarkStart w:id="3726" w:name="_Toc481751443"/>
      <w:bookmarkStart w:id="3727" w:name="_Toc36224466"/>
      <w:bookmarkStart w:id="3728" w:name="_Toc68786386"/>
      <w:r w:rsidRPr="00BE78CA">
        <w:t xml:space="preserve">15.4 </w:t>
      </w:r>
      <w:r w:rsidRPr="00BE78CA">
        <w:tab/>
        <w:t>Technological development of non-energy uses</w:t>
      </w:r>
      <w:r w:rsidRPr="00BE78CA">
        <w:br/>
        <w:t>of fossil fuels</w:t>
      </w:r>
      <w:bookmarkEnd w:id="3725"/>
      <w:bookmarkEnd w:id="3726"/>
      <w:bookmarkEnd w:id="3727"/>
      <w:bookmarkEnd w:id="3728"/>
    </w:p>
    <w:p w14:paraId="4F0EB973" w14:textId="77777777" w:rsidR="00332F62" w:rsidRPr="00BE78CA" w:rsidRDefault="00332F62" w:rsidP="00332F62">
      <w:pPr>
        <w:pStyle w:val="BodyText"/>
      </w:pPr>
      <w:r w:rsidRPr="00BE78CA">
        <w:t xml:space="preserve">Annex I Parties are required to report on cooperation in the technological development of non-energy use of fossil fuels and support provided to non-Annex I Parties. </w:t>
      </w:r>
    </w:p>
    <w:p w14:paraId="02ED4141" w14:textId="77777777" w:rsidR="00332F62" w:rsidRPr="00BE78CA" w:rsidRDefault="00332F62" w:rsidP="00332F62">
      <w:pPr>
        <w:pStyle w:val="BodyText"/>
      </w:pPr>
      <w:r w:rsidRPr="00BE78CA">
        <w:t>The New Zealand Government has not participated actively in activities of this nature, as yet.</w:t>
      </w:r>
    </w:p>
    <w:p w14:paraId="62ED113C" w14:textId="77777777" w:rsidR="00332F62" w:rsidRPr="00BE78CA" w:rsidRDefault="00332F62" w:rsidP="00332F62">
      <w:pPr>
        <w:pStyle w:val="Heading2"/>
      </w:pPr>
      <w:bookmarkStart w:id="3729" w:name="_Toc448321582"/>
      <w:bookmarkStart w:id="3730" w:name="_Toc481751444"/>
      <w:bookmarkStart w:id="3731" w:name="_Toc36224467"/>
      <w:bookmarkStart w:id="3732" w:name="_Toc68786387"/>
      <w:r w:rsidRPr="00BE78CA">
        <w:t xml:space="preserve">15.5 </w:t>
      </w:r>
      <w:r w:rsidRPr="00BE78CA">
        <w:tab/>
        <w:t>Carbon capture and storage technology development</w:t>
      </w:r>
      <w:bookmarkEnd w:id="3729"/>
      <w:bookmarkEnd w:id="3730"/>
      <w:bookmarkEnd w:id="3731"/>
      <w:bookmarkEnd w:id="3732"/>
    </w:p>
    <w:p w14:paraId="3BBB1499" w14:textId="77777777" w:rsidR="00332F62" w:rsidRPr="00BE78CA" w:rsidRDefault="00332F62" w:rsidP="00332F62">
      <w:pPr>
        <w:pStyle w:val="BodyText"/>
      </w:pPr>
      <w:r w:rsidRPr="00BE78CA">
        <w:t>Annex I Parties are required to report on cooperation in the development, diffusion and transfer of less-greenhouse-gas-emitting advanced fossil fuel technologies, and/or technologies relating to fossil fuels that capture and store greenhouse gases, and encouragement of their wider use; and on facilitating the participation of non-Annex I Parties.</w:t>
      </w:r>
    </w:p>
    <w:p w14:paraId="13120E59" w14:textId="77777777" w:rsidR="00332F62" w:rsidRPr="00BE78CA" w:rsidRDefault="00332F62" w:rsidP="00332F62">
      <w:pPr>
        <w:pStyle w:val="BodyText"/>
      </w:pPr>
      <w:r w:rsidRPr="00BE78CA">
        <w:lastRenderedPageBreak/>
        <w:t>New Zealand is a member of the United States-led Carbon Sequestration Leadership Forum (</w:t>
      </w:r>
      <w:hyperlink r:id="rId296" w:history="1">
        <w:r w:rsidRPr="00BE78CA">
          <w:rPr>
            <w:rStyle w:val="Hyperlink"/>
          </w:rPr>
          <w:t>www.cslforum.org</w:t>
        </w:r>
      </w:hyperlink>
      <w:r w:rsidRPr="00BE78CA">
        <w:t>) and the International Energy Agency Greenhouse Gas Research and Development Programme (</w:t>
      </w:r>
      <w:hyperlink r:id="rId297" w:history="1">
        <w:r w:rsidRPr="00BE78CA">
          <w:rPr>
            <w:rStyle w:val="Hyperlink"/>
          </w:rPr>
          <w:t>www.ieaghg.org</w:t>
        </w:r>
      </w:hyperlink>
      <w:r w:rsidRPr="00BE78CA">
        <w:t>).</w:t>
      </w:r>
    </w:p>
    <w:p w14:paraId="36BD1ADD" w14:textId="77777777" w:rsidR="00332F62" w:rsidRPr="00BE78CA" w:rsidRDefault="00332F62" w:rsidP="00F04F96">
      <w:pPr>
        <w:pStyle w:val="Heading2"/>
        <w:spacing w:before="320"/>
      </w:pPr>
      <w:bookmarkStart w:id="3733" w:name="_Toc448321583"/>
      <w:bookmarkStart w:id="3734" w:name="_Toc481751445"/>
      <w:bookmarkStart w:id="3735" w:name="_Toc36224468"/>
      <w:bookmarkStart w:id="3736" w:name="_Toc68786388"/>
      <w:r w:rsidRPr="00BE78CA">
        <w:t xml:space="preserve">15.6 </w:t>
      </w:r>
      <w:r w:rsidRPr="00BE78CA">
        <w:tab/>
        <w:t>Improvements in fossil fuel efficiencies</w:t>
      </w:r>
      <w:bookmarkEnd w:id="3733"/>
      <w:bookmarkEnd w:id="3734"/>
      <w:bookmarkEnd w:id="3735"/>
      <w:bookmarkEnd w:id="3736"/>
    </w:p>
    <w:p w14:paraId="0FBC6269" w14:textId="0C236A50" w:rsidR="00332F62" w:rsidRPr="00BE78CA" w:rsidRDefault="00332F62" w:rsidP="00F04F96">
      <w:pPr>
        <w:pStyle w:val="BodyText"/>
        <w:spacing w:before="100"/>
      </w:pPr>
      <w:r w:rsidRPr="00BE78CA">
        <w:t>Annex I Parties are required to report on how they have strengthened the capacity of non</w:t>
      </w:r>
      <w:r w:rsidR="005663ED" w:rsidRPr="00BE78CA">
        <w:noBreakHyphen/>
      </w:r>
      <w:r w:rsidRPr="00BE78CA">
        <w:t>Annex I Parties identified in Article 4.8 and Article 4.9 of the United Nations Framework Convention on Climate Change, by improving the efficiency in upstream and downstream activities related to fossil fuels and by taking into consideration the need to improve the environmental efficiency of these activities.</w:t>
      </w:r>
    </w:p>
    <w:p w14:paraId="49180C9E" w14:textId="77777777" w:rsidR="00332F62" w:rsidRPr="00BE78CA" w:rsidRDefault="00332F62" w:rsidP="00F04F96">
      <w:pPr>
        <w:pStyle w:val="BodyText"/>
        <w:spacing w:before="100"/>
      </w:pPr>
      <w:r w:rsidRPr="00BE78CA">
        <w:t>The New Zealand Aid Programme maintains a focus on renewable energy and energy efficiency and the transition away from fossil fuel dependency to clean, efficient, affordable, reliable and sustainable energy resources. Introducing clean and affordable energy technologies is a high priority for the Pacific region. On average, less than 10 per cent of the region’s gross domestic product is expended on imported fossil fuel, and less than 70 per cent of electricity generation depends on the combustion of diesel, although actual figures vary widely between countries.</w:t>
      </w:r>
    </w:p>
    <w:p w14:paraId="3AA8E543" w14:textId="77777777" w:rsidR="00332F62" w:rsidRPr="00BE78CA" w:rsidRDefault="00332F62" w:rsidP="00F04F96">
      <w:pPr>
        <w:pStyle w:val="BodyText"/>
        <w:spacing w:before="100"/>
      </w:pPr>
      <w:r w:rsidRPr="00BE78CA">
        <w:t>Following the New Zealand Government and the European Union Pacific Energy Conference in 2016, New Zealand committed a further NZ$100 million between 2016 and 2021 to renewable energy investments in the Pacific, of which NZ$88 million was expended at the end of June 2019. Since July 2011 – when renewable energy became a priority for New Zealand – to the end of June 2019, New Zealand has invested NZ$275 million worldwide on energy projects, with over NZ$212 million of this (77 per cent) in Pacific SIDS. Compared with the information reported in the previous NIR, additional information is provided in this submission on New Zealand’s investments in energy projects to the end of this reporting period (June 2019).</w:t>
      </w:r>
    </w:p>
    <w:p w14:paraId="7C700956" w14:textId="77777777" w:rsidR="00332F62" w:rsidRPr="00BE78CA" w:rsidRDefault="00332F62" w:rsidP="00F04F96">
      <w:pPr>
        <w:pStyle w:val="BodyText"/>
        <w:spacing w:before="100"/>
      </w:pPr>
      <w:r w:rsidRPr="00BE78CA">
        <w:t>New Zealand is also a member of the International Renewable Energy Agency (IRENA), an intergovernmental organisation that aims to promote the widespread use of all forms of renewable energy. New Zealand is involved with several of IRENA’s work programmes in the Pacific and further afield and uses its strong credentials in the IRENA Assemblies to support Pacific and SIDS issues. New Zealand is also a member of other multilateral institutions that play a role in the energy sector, for example, the International Energy Agency and APEC.</w:t>
      </w:r>
    </w:p>
    <w:p w14:paraId="71232BD0" w14:textId="77777777" w:rsidR="00332F62" w:rsidRPr="00BE78CA" w:rsidRDefault="00332F62" w:rsidP="00332F62">
      <w:pPr>
        <w:pStyle w:val="Heading2"/>
      </w:pPr>
      <w:bookmarkStart w:id="3737" w:name="_Toc448321584"/>
      <w:bookmarkStart w:id="3738" w:name="_Toc481751446"/>
      <w:bookmarkStart w:id="3739" w:name="_Toc36224469"/>
      <w:bookmarkStart w:id="3740" w:name="_Toc68786389"/>
      <w:r w:rsidRPr="00BE78CA">
        <w:t xml:space="preserve">15.7 </w:t>
      </w:r>
      <w:r w:rsidRPr="00BE78CA">
        <w:tab/>
        <w:t>Assistance to non-Annex I Parties dependent on the export and consumption of fossil fuels for diversifying their economies</w:t>
      </w:r>
      <w:bookmarkEnd w:id="3737"/>
      <w:bookmarkEnd w:id="3738"/>
      <w:bookmarkEnd w:id="3739"/>
      <w:bookmarkEnd w:id="3740"/>
    </w:p>
    <w:p w14:paraId="6D54C944" w14:textId="77777777" w:rsidR="00332F62" w:rsidRPr="00BE78CA" w:rsidRDefault="00332F62" w:rsidP="00F04F96">
      <w:pPr>
        <w:pStyle w:val="BodyText"/>
        <w:spacing w:before="100"/>
      </w:pPr>
      <w:r w:rsidRPr="00BE78CA">
        <w:t>Annex I Parties are required to report on assistance provided to non-Annex I Parties that are highly dependent on the export and consumption of fossil fuels in diversifying their economies.</w:t>
      </w:r>
    </w:p>
    <w:p w14:paraId="68BA1589" w14:textId="77777777" w:rsidR="00332F62" w:rsidRPr="00BE78CA" w:rsidRDefault="00332F62" w:rsidP="00F04F96">
      <w:pPr>
        <w:pStyle w:val="BodyText"/>
        <w:spacing w:before="100"/>
      </w:pPr>
      <w:r w:rsidRPr="00BE78CA">
        <w:t xml:space="preserve">The New Zealand Aid Programme provides support to a number of non-Annex I Parties for purposes of economic diversification (refer to section 15.6). </w:t>
      </w:r>
    </w:p>
    <w:p w14:paraId="45D90EE6" w14:textId="54CC908D" w:rsidR="00332F62" w:rsidRPr="00BE78CA" w:rsidRDefault="00332F62" w:rsidP="00F04F96">
      <w:pPr>
        <w:pStyle w:val="BodyText"/>
        <w:spacing w:before="100"/>
      </w:pPr>
      <w:r w:rsidRPr="00BE78CA">
        <w:t>Since the 1980s, New Zealand has helped several countries to investigate and develop their geothermal resources. The initial focus was on Indonesia, but in recent years new ‘programme facilities’ have been designed and established in Africa and the Caribbean, covering Antigua and Barbuda, Burundi and Democratic Republic of Congo, Comoros, Djibouti, Dominica, Eritrea, Ethiopia, Grenada, Kenya, Rwanda, Saint Kitts and Nevis, Saint Lucia, Saint Vincent and</w:t>
      </w:r>
      <w:r w:rsidR="00F04F96" w:rsidRPr="00BE78CA">
        <w:t> </w:t>
      </w:r>
      <w:r w:rsidRPr="00BE78CA">
        <w:t xml:space="preserve">the Grenadines, Tanzania, Uganda and Zambia. </w:t>
      </w:r>
    </w:p>
    <w:p w14:paraId="331D5723" w14:textId="15012942" w:rsidR="00332F62" w:rsidRPr="00BE78CA" w:rsidRDefault="00332F62" w:rsidP="00332F62">
      <w:pPr>
        <w:pStyle w:val="BodyText"/>
      </w:pPr>
      <w:r w:rsidRPr="00BE78CA">
        <w:lastRenderedPageBreak/>
        <w:t>New Zealand also has a Memorandum of Understanding with the Government of the Philippines to support the development of the country’s geothermal resources. In the Pacific,</w:t>
      </w:r>
      <w:r w:rsidR="00F04F96" w:rsidRPr="00BE78CA">
        <w:t> </w:t>
      </w:r>
      <w:r w:rsidRPr="00BE78CA">
        <w:t>New Zealand has helped Vanuatu and Papua New Guinea investigate their geothermal</w:t>
      </w:r>
      <w:r w:rsidR="00F04F96" w:rsidRPr="00BE78CA">
        <w:t> </w:t>
      </w:r>
      <w:r w:rsidRPr="00BE78CA">
        <w:t xml:space="preserve">resources and to establish suitable regulatory frameworks. </w:t>
      </w:r>
    </w:p>
    <w:p w14:paraId="07A49B6E" w14:textId="61943AEE" w:rsidR="00332F62" w:rsidRPr="00BE78CA" w:rsidRDefault="00332F62" w:rsidP="00332F62">
      <w:pPr>
        <w:pStyle w:val="BodyText"/>
      </w:pPr>
      <w:r w:rsidRPr="00BE78CA">
        <w:t>New Zealand has a long-standing partnership with the Government of Indonesia to accelerate the development of Indonesia’s geothermal energy sector. Since 2016, New Zealand has provided technical support to the Government of Indonesia to identify suitable areas for geothermal development, improve clarity and communication of the regulatory framework, and increase certainty around geothermal resource size and classification. New Zealand is also</w:t>
      </w:r>
      <w:r w:rsidR="005663ED" w:rsidRPr="00BE78CA">
        <w:t> </w:t>
      </w:r>
      <w:r w:rsidRPr="00BE78CA">
        <w:t>providing scholarships in geothermal project management, a programme of training, coordinated technical assistance and capacity building to strengthen Indonesia’s local skill base and ability to sustainably operate, manage and maintain geothermal resources. Support in Africa and the Caribbean is tailored to the specific needs of each country but covers broadly the same areas as in Indonesia of capability building, technical assistance and exploratory drilling support.</w:t>
      </w:r>
    </w:p>
    <w:p w14:paraId="50EB89E6" w14:textId="3AC34D1C" w:rsidR="00332F62" w:rsidRPr="00BE78CA" w:rsidRDefault="00332F62" w:rsidP="00332F62">
      <w:pPr>
        <w:pStyle w:val="BodyText"/>
      </w:pPr>
      <w:r w:rsidRPr="00BE78CA">
        <w:t>Further to initial reporting in the previous NIR, additional information is provided on New Zealand’s geothermal partnerships that expand beyond Indonesia and across 20</w:t>
      </w:r>
      <w:r w:rsidR="00F04F96" w:rsidRPr="00BE78CA">
        <w:t> </w:t>
      </w:r>
      <w:r w:rsidRPr="00BE78CA">
        <w:t>other</w:t>
      </w:r>
      <w:r w:rsidR="00F04F96" w:rsidRPr="00BE78CA">
        <w:t> </w:t>
      </w:r>
      <w:r w:rsidRPr="00BE78CA">
        <w:t>countries.</w:t>
      </w:r>
    </w:p>
    <w:p w14:paraId="77162C92" w14:textId="77777777" w:rsidR="00332F62" w:rsidRPr="00BE78CA" w:rsidRDefault="00332F62" w:rsidP="00332F62">
      <w:pPr>
        <w:pStyle w:val="BodyText"/>
      </w:pPr>
      <w:r w:rsidRPr="00BE78CA">
        <w:t xml:space="preserve">New Zealand is committed to providing long-term assistance to non-Annex I Parties in achieving economic diversification that is independent of fossil fuels. </w:t>
      </w:r>
    </w:p>
    <w:p w14:paraId="28B8CC16" w14:textId="77777777" w:rsidR="00332F62" w:rsidRPr="00BE78CA" w:rsidRDefault="00332F62" w:rsidP="00332F62">
      <w:pPr>
        <w:pStyle w:val="Heading2"/>
        <w:spacing w:before="0" w:after="240"/>
      </w:pPr>
      <w:bookmarkStart w:id="3741" w:name="_Toc36224470"/>
      <w:r w:rsidRPr="00BE78CA">
        <w:br w:type="page"/>
      </w:r>
      <w:bookmarkStart w:id="3742" w:name="_Toc68786390"/>
      <w:r w:rsidRPr="00BE78CA">
        <w:lastRenderedPageBreak/>
        <w:t>Chapter 15: Reference</w:t>
      </w:r>
      <w:bookmarkEnd w:id="3741"/>
      <w:bookmarkEnd w:id="3742"/>
    </w:p>
    <w:p w14:paraId="547A22F6" w14:textId="77777777" w:rsidR="00332F62" w:rsidRPr="00BE78CA" w:rsidRDefault="00332F62" w:rsidP="00332F62">
      <w:pPr>
        <w:pStyle w:val="References"/>
      </w:pPr>
      <w:r w:rsidRPr="00BE78CA">
        <w:t xml:space="preserve">Ministry for the Environment. 2019. </w:t>
      </w:r>
      <w:r w:rsidRPr="00BE78CA">
        <w:rPr>
          <w:i/>
          <w:iCs/>
        </w:rPr>
        <w:t>New Zealand’s Fourth Biennial Report under the United Nations Framework Convention on Climate Change</w:t>
      </w:r>
      <w:r w:rsidRPr="00BE78CA">
        <w:t>. Wellington: Ministry for the Environment.</w:t>
      </w:r>
    </w:p>
    <w:p w14:paraId="6C9C0F55" w14:textId="22AAA6FB" w:rsidR="00332F62" w:rsidRPr="00BE78CA" w:rsidRDefault="00332F62" w:rsidP="00332F62"/>
    <w:p w14:paraId="07D49E70" w14:textId="77777777" w:rsidR="00F07151" w:rsidRPr="00BE78CA" w:rsidRDefault="00F07151" w:rsidP="00332F62"/>
    <w:sectPr w:rsidR="00F07151" w:rsidRPr="00BE78CA" w:rsidSect="005D0C5D">
      <w:footerReference w:type="even" r:id="rId298"/>
      <w:pgSz w:w="11907" w:h="16840" w:code="9"/>
      <w:pgMar w:top="1418" w:right="1701" w:bottom="1418" w:left="1701" w:header="567" w:footer="567"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F57C4E5" w14:textId="77777777" w:rsidR="00087879" w:rsidRDefault="00087879">
      <w:r>
        <w:separator/>
      </w:r>
    </w:p>
    <w:p w14:paraId="35294A0D" w14:textId="77777777" w:rsidR="00087879" w:rsidRDefault="00087879"/>
  </w:endnote>
  <w:endnote w:type="continuationSeparator" w:id="0">
    <w:p w14:paraId="106D40C6" w14:textId="77777777" w:rsidR="00087879" w:rsidRDefault="00087879">
      <w:r>
        <w:continuationSeparator/>
      </w:r>
    </w:p>
    <w:p w14:paraId="4A5A9DFB" w14:textId="77777777" w:rsidR="00087879" w:rsidRDefault="0008787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JBHHJB+Arial,Bold">
    <w:altName w:val="Arial"/>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Consolas">
    <w:panose1 w:val="020B0609020204030204"/>
    <w:charset w:val="00"/>
    <w:family w:val="modern"/>
    <w:pitch w:val="fixed"/>
    <w:sig w:usb0="E00006FF" w:usb1="0000FCFF" w:usb2="00000001" w:usb3="00000000" w:csb0="0000019F" w:csb1="00000000"/>
  </w:font>
  <w:font w:name="Calibri Light">
    <w:panose1 w:val="020F03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Malgun Gothic">
    <w:panose1 w:val="020B0503020000020004"/>
    <w:charset w:val="81"/>
    <w:family w:val="swiss"/>
    <w:pitch w:val="variable"/>
    <w:sig w:usb0="9000002F" w:usb1="29D77CFB" w:usb2="00000012" w:usb3="00000000" w:csb0="00080001" w:csb1="00000000"/>
  </w:font>
  <w:font w:name="Arial Bold">
    <w:panose1 w:val="020B0704020202020204"/>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 w:name="+mn-ea">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24CC6AF" w14:textId="7DC6E9A8" w:rsidR="005B3CE7" w:rsidRDefault="005B3CE7" w:rsidP="00B44BA5">
    <w:pPr>
      <w:pStyle w:val="Footer"/>
      <w:ind w:left="-567"/>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22817D" w14:textId="162D9936" w:rsidR="005B3CE7" w:rsidRPr="000939C9" w:rsidRDefault="005B3CE7" w:rsidP="007D553E">
    <w:pPr>
      <w:pStyle w:val="FooterEven"/>
    </w:pPr>
    <w:r w:rsidRPr="007A30E8">
      <w:rPr>
        <w:rStyle w:val="PageNumber"/>
        <w:bCs/>
        <w:sz w:val="22"/>
      </w:rPr>
      <w:fldChar w:fldCharType="begin"/>
    </w:r>
    <w:r w:rsidRPr="007A30E8">
      <w:rPr>
        <w:rStyle w:val="PageNumber"/>
        <w:bCs/>
        <w:sz w:val="22"/>
      </w:rPr>
      <w:instrText xml:space="preserve"> PAGE </w:instrText>
    </w:r>
    <w:r w:rsidRPr="007A30E8">
      <w:rPr>
        <w:rStyle w:val="PageNumber"/>
        <w:bCs/>
        <w:sz w:val="22"/>
      </w:rPr>
      <w:fldChar w:fldCharType="separate"/>
    </w:r>
    <w:r>
      <w:rPr>
        <w:rStyle w:val="PageNumber"/>
        <w:bCs/>
        <w:sz w:val="22"/>
      </w:rPr>
      <w:t>x</w:t>
    </w:r>
    <w:r w:rsidRPr="007A30E8">
      <w:rPr>
        <w:rStyle w:val="PageNumber"/>
        <w:bCs/>
        <w:sz w:val="22"/>
      </w:rPr>
      <w:fldChar w:fldCharType="end"/>
    </w:r>
    <w:r>
      <w:rPr>
        <w:rStyle w:val="PageNumber"/>
        <w:b w:val="0"/>
        <w:sz w:val="22"/>
      </w:rPr>
      <w:tab/>
    </w:r>
    <w:r w:rsidRPr="002C56D8">
      <w:t>Executive summary</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5EE500" w14:textId="254D0F09" w:rsidR="005B3CE7" w:rsidRPr="00EC2491" w:rsidRDefault="005B3CE7" w:rsidP="00C26084">
    <w:pPr>
      <w:pStyle w:val="FooterEven"/>
    </w:pPr>
    <w:r w:rsidRPr="00762043">
      <w:rPr>
        <w:rStyle w:val="PageNumber"/>
        <w:sz w:val="22"/>
      </w:rPr>
      <w:fldChar w:fldCharType="begin"/>
    </w:r>
    <w:r w:rsidRPr="00762043">
      <w:rPr>
        <w:rStyle w:val="PageNumber"/>
        <w:sz w:val="22"/>
      </w:rPr>
      <w:instrText xml:space="preserve"> PAGE </w:instrText>
    </w:r>
    <w:r w:rsidRPr="00762043">
      <w:rPr>
        <w:rStyle w:val="PageNumber"/>
        <w:sz w:val="22"/>
      </w:rPr>
      <w:fldChar w:fldCharType="separate"/>
    </w:r>
    <w:r>
      <w:rPr>
        <w:rStyle w:val="PageNumber"/>
        <w:noProof/>
        <w:sz w:val="22"/>
      </w:rPr>
      <w:t>18</w:t>
    </w:r>
    <w:r w:rsidRPr="00762043">
      <w:rPr>
        <w:rStyle w:val="PageNumber"/>
        <w:sz w:val="22"/>
      </w:rPr>
      <w:fldChar w:fldCharType="end"/>
    </w:r>
    <w:r>
      <w:rPr>
        <w:rStyle w:val="PageNumber"/>
        <w:sz w:val="22"/>
      </w:rPr>
      <w:tab/>
    </w:r>
    <w:r w:rsidRPr="00935717">
      <w:t>Chapter 1: Introduction</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9A6981" w14:textId="77777777" w:rsidR="005B3CE7" w:rsidRPr="00027E55" w:rsidRDefault="005B3CE7" w:rsidP="00C26084">
    <w:pPr>
      <w:pStyle w:val="FooterOdd"/>
      <w:rPr>
        <w:b/>
      </w:rPr>
    </w:pPr>
    <w:r>
      <w:tab/>
    </w:r>
    <w:r w:rsidRPr="00BF1C36">
      <w:t xml:space="preserve">New Zealand’s </w:t>
    </w:r>
    <w:r w:rsidRPr="00B928E7">
      <w:t>Greenhouse</w:t>
    </w:r>
    <w:r w:rsidRPr="00BF1C36">
      <w:t xml:space="preserve"> Gas </w:t>
    </w:r>
    <w:r w:rsidRPr="00715D39">
      <w:t>Inventory</w:t>
    </w:r>
    <w:r w:rsidRPr="00BF1C36">
      <w:t xml:space="preserve"> 1990–20</w:t>
    </w:r>
    <w:r>
      <w:t>19</w:t>
    </w:r>
    <w:r w:rsidRPr="00027E55">
      <w:tab/>
    </w:r>
    <w:r w:rsidRPr="00762043">
      <w:rPr>
        <w:rStyle w:val="PageNumber"/>
        <w:sz w:val="22"/>
      </w:rPr>
      <w:fldChar w:fldCharType="begin"/>
    </w:r>
    <w:r w:rsidRPr="00762043">
      <w:rPr>
        <w:rStyle w:val="PageNumber"/>
        <w:sz w:val="22"/>
      </w:rPr>
      <w:instrText xml:space="preserve"> PAGE </w:instrText>
    </w:r>
    <w:r w:rsidRPr="00762043">
      <w:rPr>
        <w:rStyle w:val="PageNumber"/>
        <w:sz w:val="22"/>
      </w:rPr>
      <w:fldChar w:fldCharType="separate"/>
    </w:r>
    <w:r>
      <w:rPr>
        <w:rStyle w:val="PageNumber"/>
        <w:noProof/>
        <w:sz w:val="22"/>
      </w:rPr>
      <w:t>38</w:t>
    </w:r>
    <w:r w:rsidRPr="00762043">
      <w:rPr>
        <w:rStyle w:val="PageNumber"/>
        <w:sz w:val="22"/>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A900433" w14:textId="77777777" w:rsidR="005B3CE7" w:rsidRDefault="005B3CE7"/>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AA12C5" w14:textId="2A3BC13D" w:rsidR="005B3CE7" w:rsidRPr="00EC2491" w:rsidRDefault="005B3CE7" w:rsidP="00C26084">
    <w:pPr>
      <w:pStyle w:val="FooterEven"/>
    </w:pPr>
    <w:r w:rsidRPr="00762043">
      <w:rPr>
        <w:rStyle w:val="PageNumber"/>
        <w:sz w:val="22"/>
      </w:rPr>
      <w:fldChar w:fldCharType="begin"/>
    </w:r>
    <w:r w:rsidRPr="00762043">
      <w:rPr>
        <w:rStyle w:val="PageNumber"/>
        <w:sz w:val="22"/>
      </w:rPr>
      <w:instrText xml:space="preserve"> PAGE </w:instrText>
    </w:r>
    <w:r w:rsidRPr="00762043">
      <w:rPr>
        <w:rStyle w:val="PageNumber"/>
        <w:sz w:val="22"/>
      </w:rPr>
      <w:fldChar w:fldCharType="separate"/>
    </w:r>
    <w:r>
      <w:rPr>
        <w:rStyle w:val="PageNumber"/>
        <w:noProof/>
        <w:sz w:val="22"/>
      </w:rPr>
      <w:t>18</w:t>
    </w:r>
    <w:r w:rsidRPr="00762043">
      <w:rPr>
        <w:rStyle w:val="PageNumber"/>
        <w:sz w:val="22"/>
      </w:rPr>
      <w:fldChar w:fldCharType="end"/>
    </w:r>
    <w:r>
      <w:rPr>
        <w:rStyle w:val="PageNumber"/>
        <w:sz w:val="22"/>
      </w:rPr>
      <w:tab/>
    </w:r>
    <w:r w:rsidRPr="00775144">
      <w:t>Chapter 2: Trends in greenhouse gas emissions</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D21A1C7" w14:textId="77777777" w:rsidR="005B3CE7" w:rsidRPr="00027E55" w:rsidRDefault="005B3CE7" w:rsidP="00C26084">
    <w:pPr>
      <w:pStyle w:val="FooterOdd"/>
      <w:rPr>
        <w:b/>
      </w:rPr>
    </w:pPr>
    <w:r>
      <w:tab/>
    </w:r>
    <w:r w:rsidRPr="00BF1C36">
      <w:t xml:space="preserve">New Zealand’s </w:t>
    </w:r>
    <w:r w:rsidRPr="00B928E7">
      <w:t>Greenhouse</w:t>
    </w:r>
    <w:r w:rsidRPr="00BF1C36">
      <w:t xml:space="preserve"> Gas </w:t>
    </w:r>
    <w:r w:rsidRPr="00715D39">
      <w:t>Inventory</w:t>
    </w:r>
    <w:r w:rsidRPr="00BF1C36">
      <w:t xml:space="preserve"> 1990–20</w:t>
    </w:r>
    <w:r>
      <w:t>19</w:t>
    </w:r>
    <w:r w:rsidRPr="00027E55">
      <w:tab/>
    </w:r>
    <w:r w:rsidRPr="00762043">
      <w:rPr>
        <w:rStyle w:val="PageNumber"/>
        <w:sz w:val="22"/>
      </w:rPr>
      <w:fldChar w:fldCharType="begin"/>
    </w:r>
    <w:r w:rsidRPr="00762043">
      <w:rPr>
        <w:rStyle w:val="PageNumber"/>
        <w:sz w:val="22"/>
      </w:rPr>
      <w:instrText xml:space="preserve"> PAGE </w:instrText>
    </w:r>
    <w:r w:rsidRPr="00762043">
      <w:rPr>
        <w:rStyle w:val="PageNumber"/>
        <w:sz w:val="22"/>
      </w:rPr>
      <w:fldChar w:fldCharType="separate"/>
    </w:r>
    <w:r>
      <w:rPr>
        <w:rStyle w:val="PageNumber"/>
        <w:noProof/>
        <w:sz w:val="22"/>
      </w:rPr>
      <w:t>22</w:t>
    </w:r>
    <w:r w:rsidRPr="00762043">
      <w:rPr>
        <w:rStyle w:val="PageNumber"/>
        <w:sz w:val="22"/>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64A96A" w14:textId="77777777" w:rsidR="005B3CE7" w:rsidRDefault="005B3CE7">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E89917" w14:textId="77777777" w:rsidR="005B3CE7" w:rsidRPr="00EC2491" w:rsidRDefault="005B3CE7" w:rsidP="00C26084">
    <w:pPr>
      <w:pStyle w:val="FooterEven"/>
    </w:pPr>
    <w:r w:rsidRPr="00762043">
      <w:rPr>
        <w:rStyle w:val="PageNumber"/>
        <w:sz w:val="22"/>
      </w:rPr>
      <w:fldChar w:fldCharType="begin"/>
    </w:r>
    <w:r w:rsidRPr="00762043">
      <w:rPr>
        <w:rStyle w:val="PageNumber"/>
        <w:sz w:val="22"/>
      </w:rPr>
      <w:instrText xml:space="preserve"> PAGE </w:instrText>
    </w:r>
    <w:r w:rsidRPr="00762043">
      <w:rPr>
        <w:rStyle w:val="PageNumber"/>
        <w:sz w:val="22"/>
      </w:rPr>
      <w:fldChar w:fldCharType="separate"/>
    </w:r>
    <w:r>
      <w:rPr>
        <w:rStyle w:val="PageNumber"/>
        <w:noProof/>
        <w:sz w:val="22"/>
      </w:rPr>
      <w:t>102</w:t>
    </w:r>
    <w:r w:rsidRPr="00762043">
      <w:rPr>
        <w:rStyle w:val="PageNumber"/>
        <w:sz w:val="22"/>
      </w:rPr>
      <w:fldChar w:fldCharType="end"/>
    </w:r>
    <w:r>
      <w:rPr>
        <w:rStyle w:val="PageNumber"/>
        <w:sz w:val="22"/>
      </w:rPr>
      <w:tab/>
    </w:r>
    <w:r w:rsidRPr="00292C83">
      <w:rPr>
        <w:rFonts w:cs="Calibri"/>
        <w:lang w:eastAsia="en-GB"/>
      </w:rPr>
      <w:t>Chapter 3: Energy</w: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2EFCDB" w14:textId="77777777" w:rsidR="005B3CE7" w:rsidRPr="00EC2491" w:rsidRDefault="005B3CE7" w:rsidP="00C26084">
    <w:pPr>
      <w:pStyle w:val="FooterEven"/>
    </w:pPr>
    <w:r w:rsidRPr="00762043">
      <w:rPr>
        <w:rStyle w:val="PageNumber"/>
        <w:sz w:val="22"/>
      </w:rPr>
      <w:fldChar w:fldCharType="begin"/>
    </w:r>
    <w:r w:rsidRPr="00762043">
      <w:rPr>
        <w:rStyle w:val="PageNumber"/>
        <w:sz w:val="22"/>
      </w:rPr>
      <w:instrText xml:space="preserve"> PAGE </w:instrText>
    </w:r>
    <w:r w:rsidRPr="00762043">
      <w:rPr>
        <w:rStyle w:val="PageNumber"/>
        <w:sz w:val="22"/>
      </w:rPr>
      <w:fldChar w:fldCharType="separate"/>
    </w:r>
    <w:r>
      <w:rPr>
        <w:rStyle w:val="PageNumber"/>
        <w:noProof/>
        <w:sz w:val="22"/>
      </w:rPr>
      <w:t>34</w:t>
    </w:r>
    <w:r w:rsidRPr="00762043">
      <w:rPr>
        <w:rStyle w:val="PageNumber"/>
        <w:sz w:val="22"/>
      </w:rPr>
      <w:fldChar w:fldCharType="end"/>
    </w:r>
    <w:r>
      <w:rPr>
        <w:rStyle w:val="PageNumber"/>
        <w:sz w:val="22"/>
      </w:rPr>
      <w:tab/>
    </w:r>
    <w:r w:rsidRPr="00292C83">
      <w:t>Chapter 4: Industrial Processes and Product Use (IPPU)</w: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80DBAD" w14:textId="77777777" w:rsidR="005B3CE7" w:rsidRPr="000E0AB6" w:rsidRDefault="005B3CE7" w:rsidP="00C26084">
    <w:pPr>
      <w:pStyle w:val="FooterOdd"/>
      <w:rPr>
        <w:b/>
      </w:rPr>
    </w:pPr>
    <w:r>
      <w:tab/>
    </w:r>
    <w:r w:rsidRPr="00BF1C36">
      <w:t xml:space="preserve">New Zealand’s </w:t>
    </w:r>
    <w:r w:rsidRPr="00B928E7">
      <w:t>Greenhouse</w:t>
    </w:r>
    <w:r w:rsidRPr="00BF1C36">
      <w:t xml:space="preserve"> Gas </w:t>
    </w:r>
    <w:r w:rsidRPr="00715D39">
      <w:t>Inventory</w:t>
    </w:r>
    <w:r w:rsidRPr="00BF1C36">
      <w:t xml:space="preserve"> 1990–20</w:t>
    </w:r>
    <w:r>
      <w:t>19</w:t>
    </w:r>
    <w:r w:rsidRPr="00027E55">
      <w:tab/>
    </w:r>
    <w:r w:rsidRPr="00762043">
      <w:rPr>
        <w:rStyle w:val="PageNumber"/>
        <w:sz w:val="22"/>
      </w:rPr>
      <w:fldChar w:fldCharType="begin"/>
    </w:r>
    <w:r w:rsidRPr="00762043">
      <w:rPr>
        <w:rStyle w:val="PageNumber"/>
        <w:sz w:val="22"/>
      </w:rPr>
      <w:instrText xml:space="preserve"> PAGE </w:instrText>
    </w:r>
    <w:r w:rsidRPr="00762043">
      <w:rPr>
        <w:rStyle w:val="PageNumber"/>
        <w:sz w:val="22"/>
      </w:rPr>
      <w:fldChar w:fldCharType="separate"/>
    </w:r>
    <w:r>
      <w:rPr>
        <w:rStyle w:val="PageNumber"/>
        <w:noProof/>
        <w:sz w:val="22"/>
      </w:rPr>
      <w:t>33</w:t>
    </w:r>
    <w:r w:rsidRPr="00762043">
      <w:rPr>
        <w:rStyle w:val="PageNumber"/>
        <w:sz w:val="22"/>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1271D4" w14:textId="12BC734B" w:rsidR="005B3CE7" w:rsidRPr="000E497C" w:rsidRDefault="005B3CE7" w:rsidP="000E497C">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0A3950" w14:textId="77777777" w:rsidR="005B3CE7" w:rsidRPr="00EC2491" w:rsidRDefault="005B3CE7" w:rsidP="00EC2491">
    <w:pPr>
      <w:pStyle w:val="FooterEven"/>
    </w:pPr>
    <w:r w:rsidRPr="00762043">
      <w:rPr>
        <w:rStyle w:val="PageNumber"/>
        <w:sz w:val="22"/>
      </w:rPr>
      <w:fldChar w:fldCharType="begin"/>
    </w:r>
    <w:r w:rsidRPr="00762043">
      <w:rPr>
        <w:rStyle w:val="PageNumber"/>
        <w:sz w:val="22"/>
      </w:rPr>
      <w:instrText xml:space="preserve"> PAGE </w:instrText>
    </w:r>
    <w:r w:rsidRPr="00762043">
      <w:rPr>
        <w:rStyle w:val="PageNumber"/>
        <w:sz w:val="22"/>
      </w:rPr>
      <w:fldChar w:fldCharType="separate"/>
    </w:r>
    <w:r>
      <w:rPr>
        <w:rStyle w:val="PageNumber"/>
        <w:noProof/>
        <w:sz w:val="22"/>
      </w:rPr>
      <w:t>88</w:t>
    </w:r>
    <w:r w:rsidRPr="00762043">
      <w:rPr>
        <w:rStyle w:val="PageNumber"/>
        <w:sz w:val="22"/>
      </w:rPr>
      <w:fldChar w:fldCharType="end"/>
    </w:r>
    <w:r>
      <w:rPr>
        <w:rStyle w:val="PageNumber"/>
        <w:b w:val="0"/>
        <w:sz w:val="22"/>
      </w:rPr>
      <w:tab/>
    </w:r>
    <w:r w:rsidRPr="001F1707">
      <w:t>Chapter 5: Agriculture</w: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5EA63E" w14:textId="77777777" w:rsidR="005B3CE7" w:rsidRPr="00027E55" w:rsidRDefault="005B3CE7" w:rsidP="00715D39">
    <w:pPr>
      <w:pStyle w:val="FooterOdd"/>
      <w:rPr>
        <w:b/>
      </w:rPr>
    </w:pPr>
    <w:r>
      <w:tab/>
    </w:r>
    <w:r w:rsidRPr="00BF1C36">
      <w:t xml:space="preserve">New Zealand’s </w:t>
    </w:r>
    <w:r w:rsidRPr="00B928E7">
      <w:t>Greenhouse</w:t>
    </w:r>
    <w:r w:rsidRPr="00BF1C36">
      <w:t xml:space="preserve"> Gas </w:t>
    </w:r>
    <w:r w:rsidRPr="00715D39">
      <w:t>Inventory</w:t>
    </w:r>
    <w:r w:rsidRPr="00BF1C36">
      <w:t xml:space="preserve"> 1990–20</w:t>
    </w:r>
    <w:r>
      <w:t>19</w:t>
    </w:r>
    <w:r w:rsidRPr="00027E55">
      <w:tab/>
    </w:r>
    <w:r w:rsidRPr="00762043">
      <w:rPr>
        <w:rStyle w:val="PageNumber"/>
        <w:sz w:val="22"/>
      </w:rPr>
      <w:fldChar w:fldCharType="begin"/>
    </w:r>
    <w:r w:rsidRPr="00762043">
      <w:rPr>
        <w:rStyle w:val="PageNumber"/>
        <w:sz w:val="22"/>
      </w:rPr>
      <w:instrText xml:space="preserve"> PAGE </w:instrText>
    </w:r>
    <w:r w:rsidRPr="00762043">
      <w:rPr>
        <w:rStyle w:val="PageNumber"/>
        <w:sz w:val="22"/>
      </w:rPr>
      <w:fldChar w:fldCharType="separate"/>
    </w:r>
    <w:r>
      <w:rPr>
        <w:rStyle w:val="PageNumber"/>
        <w:noProof/>
        <w:sz w:val="22"/>
      </w:rPr>
      <w:t>87</w:t>
    </w:r>
    <w:r w:rsidRPr="00762043">
      <w:rPr>
        <w:rStyle w:val="PageNumber"/>
        <w:sz w:val="22"/>
      </w:rPr>
      <w:fldChar w:fldCharType="end"/>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0BA142" w14:textId="77777777" w:rsidR="005B3CE7" w:rsidRPr="00346220" w:rsidRDefault="005B3CE7" w:rsidP="006F30B0">
    <w:pPr>
      <w:pStyle w:val="FooterEven"/>
    </w:pPr>
    <w:r w:rsidRPr="00762043">
      <w:rPr>
        <w:rStyle w:val="PageNumber"/>
        <w:sz w:val="22"/>
      </w:rPr>
      <w:fldChar w:fldCharType="begin"/>
    </w:r>
    <w:r w:rsidRPr="00762043">
      <w:rPr>
        <w:rStyle w:val="PageNumber"/>
        <w:sz w:val="22"/>
      </w:rPr>
      <w:instrText xml:space="preserve"> PAGE </w:instrText>
    </w:r>
    <w:r w:rsidRPr="00762043">
      <w:rPr>
        <w:rStyle w:val="PageNumber"/>
        <w:sz w:val="22"/>
      </w:rPr>
      <w:fldChar w:fldCharType="separate"/>
    </w:r>
    <w:r>
      <w:rPr>
        <w:rStyle w:val="PageNumber"/>
        <w:noProof/>
        <w:sz w:val="22"/>
      </w:rPr>
      <w:t>86</w:t>
    </w:r>
    <w:r w:rsidRPr="00762043">
      <w:rPr>
        <w:rStyle w:val="PageNumber"/>
        <w:sz w:val="22"/>
      </w:rPr>
      <w:fldChar w:fldCharType="end"/>
    </w:r>
    <w:r>
      <w:rPr>
        <w:rStyle w:val="PageNumber"/>
        <w:sz w:val="22"/>
      </w:rPr>
      <w:tab/>
    </w:r>
    <w:r w:rsidRPr="00292C83">
      <w:t>Chapter 6: Land Use, Land-Use Change and Forestry (LULUCF)</w: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2909EC" w14:textId="77777777" w:rsidR="005B3CE7" w:rsidRPr="00027E55" w:rsidRDefault="005B3CE7" w:rsidP="00C26084">
    <w:pPr>
      <w:pStyle w:val="FooterOdd"/>
      <w:rPr>
        <w:b/>
      </w:rPr>
    </w:pPr>
    <w:r>
      <w:tab/>
    </w:r>
    <w:r w:rsidRPr="00BF1C36">
      <w:t>New Zealand’s Greenhouse Gas Inventory 1990–20</w:t>
    </w:r>
    <w:r>
      <w:t>19</w:t>
    </w:r>
    <w:r w:rsidRPr="00027E55">
      <w:tab/>
    </w:r>
    <w:r w:rsidRPr="00762043">
      <w:rPr>
        <w:rStyle w:val="PageNumber"/>
        <w:sz w:val="22"/>
      </w:rPr>
      <w:fldChar w:fldCharType="begin"/>
    </w:r>
    <w:r w:rsidRPr="00762043">
      <w:rPr>
        <w:rStyle w:val="PageNumber"/>
        <w:sz w:val="22"/>
      </w:rPr>
      <w:instrText xml:space="preserve"> PAGE </w:instrText>
    </w:r>
    <w:r w:rsidRPr="00762043">
      <w:rPr>
        <w:rStyle w:val="PageNumber"/>
        <w:sz w:val="22"/>
      </w:rPr>
      <w:fldChar w:fldCharType="separate"/>
    </w:r>
    <w:r>
      <w:rPr>
        <w:rStyle w:val="PageNumber"/>
        <w:noProof/>
        <w:sz w:val="22"/>
      </w:rPr>
      <w:t>85</w:t>
    </w:r>
    <w:r w:rsidRPr="00762043">
      <w:rPr>
        <w:rStyle w:val="PageNumber"/>
        <w:sz w:val="22"/>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8BC520" w14:textId="27A76485" w:rsidR="005B3CE7" w:rsidRPr="00346220" w:rsidRDefault="005B3CE7" w:rsidP="0023121A">
    <w:pPr>
      <w:pStyle w:val="FooterEven"/>
    </w:pPr>
    <w:r w:rsidRPr="00762043">
      <w:rPr>
        <w:rStyle w:val="PageNumber"/>
        <w:sz w:val="22"/>
      </w:rPr>
      <w:fldChar w:fldCharType="begin"/>
    </w:r>
    <w:r w:rsidRPr="00762043">
      <w:rPr>
        <w:rStyle w:val="PageNumber"/>
        <w:sz w:val="22"/>
      </w:rPr>
      <w:instrText xml:space="preserve"> PAGE </w:instrText>
    </w:r>
    <w:r w:rsidRPr="00762043">
      <w:rPr>
        <w:rStyle w:val="PageNumber"/>
        <w:sz w:val="22"/>
      </w:rPr>
      <w:fldChar w:fldCharType="separate"/>
    </w:r>
    <w:r>
      <w:rPr>
        <w:rStyle w:val="PageNumber"/>
        <w:noProof/>
        <w:sz w:val="22"/>
      </w:rPr>
      <w:t>38</w:t>
    </w:r>
    <w:r w:rsidRPr="00762043">
      <w:rPr>
        <w:rStyle w:val="PageNumber"/>
        <w:sz w:val="22"/>
      </w:rPr>
      <w:fldChar w:fldCharType="end"/>
    </w:r>
    <w:r>
      <w:rPr>
        <w:rStyle w:val="PageNumber"/>
        <w:sz w:val="22"/>
      </w:rPr>
      <w:tab/>
    </w:r>
    <w:r w:rsidRPr="00292C83">
      <w:t>Chapter 7: Waste</w:t>
    </w:r>
    <w:r>
      <w:tab/>
    </w:r>
    <w:r>
      <w:tab/>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DDA4F5D" w14:textId="77777777" w:rsidR="005B3CE7" w:rsidRDefault="005B3CE7" w:rsidP="00C26084">
    <w:pPr>
      <w:pStyle w:val="FooterOdd"/>
    </w:pPr>
    <w:r>
      <w:tab/>
    </w:r>
    <w:r w:rsidRPr="00BF1C36">
      <w:t xml:space="preserve">New Zealand’s </w:t>
    </w:r>
    <w:r w:rsidRPr="00B928E7">
      <w:t>Greenhouse</w:t>
    </w:r>
    <w:r w:rsidRPr="00BF1C36">
      <w:t xml:space="preserve"> Gas </w:t>
    </w:r>
    <w:r w:rsidRPr="00715D39">
      <w:t>Inventory</w:t>
    </w:r>
    <w:r w:rsidRPr="00BF1C36">
      <w:t xml:space="preserve"> 1990–20</w:t>
    </w:r>
    <w:r>
      <w:t>19</w:t>
    </w:r>
    <w:r w:rsidRPr="00027E55">
      <w:tab/>
    </w:r>
    <w:r w:rsidRPr="00762043">
      <w:rPr>
        <w:rStyle w:val="PageNumber"/>
        <w:sz w:val="22"/>
      </w:rPr>
      <w:fldChar w:fldCharType="begin"/>
    </w:r>
    <w:r w:rsidRPr="00762043">
      <w:rPr>
        <w:rStyle w:val="PageNumber"/>
        <w:sz w:val="22"/>
      </w:rPr>
      <w:instrText xml:space="preserve"> PAGE </w:instrText>
    </w:r>
    <w:r w:rsidRPr="00762043">
      <w:rPr>
        <w:rStyle w:val="PageNumber"/>
        <w:sz w:val="22"/>
      </w:rPr>
      <w:fldChar w:fldCharType="separate"/>
    </w:r>
    <w:r>
      <w:rPr>
        <w:rStyle w:val="PageNumber"/>
        <w:noProof/>
        <w:sz w:val="22"/>
      </w:rPr>
      <w:t>37</w:t>
    </w:r>
    <w:r w:rsidRPr="00762043">
      <w:rPr>
        <w:rStyle w:val="PageNumber"/>
        <w:sz w:val="22"/>
      </w:rPr>
      <w:fldChar w:fldCharType="end"/>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8008C8" w14:textId="77777777" w:rsidR="005B3CE7" w:rsidRPr="00346220" w:rsidRDefault="005B3CE7" w:rsidP="007B13EF">
    <w:pPr>
      <w:pStyle w:val="FooterEven"/>
    </w:pPr>
    <w:r w:rsidRPr="00762043">
      <w:rPr>
        <w:rStyle w:val="PageNumber"/>
        <w:sz w:val="22"/>
      </w:rPr>
      <w:fldChar w:fldCharType="begin"/>
    </w:r>
    <w:r w:rsidRPr="00762043">
      <w:rPr>
        <w:rStyle w:val="PageNumber"/>
        <w:sz w:val="22"/>
      </w:rPr>
      <w:instrText xml:space="preserve"> PAGE </w:instrText>
    </w:r>
    <w:r w:rsidRPr="00762043">
      <w:rPr>
        <w:rStyle w:val="PageNumber"/>
        <w:sz w:val="22"/>
      </w:rPr>
      <w:fldChar w:fldCharType="separate"/>
    </w:r>
    <w:r>
      <w:rPr>
        <w:rStyle w:val="PageNumber"/>
        <w:noProof/>
        <w:sz w:val="22"/>
      </w:rPr>
      <w:t>28</w:t>
    </w:r>
    <w:r w:rsidRPr="00762043">
      <w:rPr>
        <w:rStyle w:val="PageNumber"/>
        <w:sz w:val="22"/>
      </w:rPr>
      <w:fldChar w:fldCharType="end"/>
    </w:r>
    <w:r>
      <w:rPr>
        <w:rStyle w:val="PageNumber"/>
        <w:sz w:val="22"/>
      </w:rPr>
      <w:tab/>
    </w:r>
    <w:r w:rsidRPr="00292C83">
      <w:t>Chapter 8: Tokelau (other) sector</w: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30EA50" w14:textId="77777777" w:rsidR="005B3CE7" w:rsidRPr="00857BC7" w:rsidRDefault="005B3CE7" w:rsidP="00C26084">
    <w:pPr>
      <w:pStyle w:val="FooterOdd"/>
      <w:rPr>
        <w:b/>
      </w:rPr>
    </w:pPr>
    <w:r>
      <w:tab/>
    </w:r>
    <w:r w:rsidRPr="00BF1C36">
      <w:t xml:space="preserve">New Zealand’s </w:t>
    </w:r>
    <w:r w:rsidRPr="00B928E7">
      <w:t>Greenhouse</w:t>
    </w:r>
    <w:r w:rsidRPr="00BF1C36">
      <w:t xml:space="preserve"> Gas </w:t>
    </w:r>
    <w:r w:rsidRPr="00715D39">
      <w:t>Inventory</w:t>
    </w:r>
    <w:r w:rsidRPr="00BF1C36">
      <w:t xml:space="preserve"> 1990–20</w:t>
    </w:r>
    <w:r>
      <w:t>19</w:t>
    </w:r>
    <w:r w:rsidRPr="00027E55">
      <w:tab/>
    </w:r>
    <w:r w:rsidRPr="00762043">
      <w:rPr>
        <w:rStyle w:val="PageNumber"/>
        <w:sz w:val="22"/>
      </w:rPr>
      <w:fldChar w:fldCharType="begin"/>
    </w:r>
    <w:r w:rsidRPr="00762043">
      <w:rPr>
        <w:rStyle w:val="PageNumber"/>
        <w:sz w:val="22"/>
      </w:rPr>
      <w:instrText xml:space="preserve"> PAGE </w:instrText>
    </w:r>
    <w:r w:rsidRPr="00762043">
      <w:rPr>
        <w:rStyle w:val="PageNumber"/>
        <w:sz w:val="22"/>
      </w:rPr>
      <w:fldChar w:fldCharType="separate"/>
    </w:r>
    <w:r>
      <w:rPr>
        <w:rStyle w:val="PageNumber"/>
        <w:noProof/>
        <w:sz w:val="22"/>
      </w:rPr>
      <w:t>29</w:t>
    </w:r>
    <w:r w:rsidRPr="00762043">
      <w:rPr>
        <w:rStyle w:val="PageNumber"/>
        <w:sz w:val="22"/>
      </w:rPr>
      <w:fldChar w:fldCharType="end"/>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353D91" w14:textId="716E1B29" w:rsidR="005B3CE7" w:rsidRPr="00EC2491" w:rsidRDefault="005B3CE7" w:rsidP="00C26084">
    <w:pPr>
      <w:pStyle w:val="FooterEven"/>
    </w:pPr>
    <w:r w:rsidRPr="00762043">
      <w:rPr>
        <w:rStyle w:val="PageNumber"/>
        <w:sz w:val="22"/>
      </w:rPr>
      <w:fldChar w:fldCharType="begin"/>
    </w:r>
    <w:r w:rsidRPr="00762043">
      <w:rPr>
        <w:rStyle w:val="PageNumber"/>
        <w:sz w:val="22"/>
      </w:rPr>
      <w:instrText xml:space="preserve"> PAGE </w:instrText>
    </w:r>
    <w:r w:rsidRPr="00762043">
      <w:rPr>
        <w:rStyle w:val="PageNumber"/>
        <w:sz w:val="22"/>
      </w:rPr>
      <w:fldChar w:fldCharType="separate"/>
    </w:r>
    <w:r>
      <w:rPr>
        <w:rStyle w:val="PageNumber"/>
        <w:noProof/>
        <w:sz w:val="22"/>
      </w:rPr>
      <w:t>18</w:t>
    </w:r>
    <w:r w:rsidRPr="00762043">
      <w:rPr>
        <w:rStyle w:val="PageNumber"/>
        <w:sz w:val="22"/>
      </w:rPr>
      <w:fldChar w:fldCharType="end"/>
    </w:r>
    <w:r>
      <w:rPr>
        <w:rStyle w:val="PageNumber"/>
        <w:sz w:val="22"/>
      </w:rPr>
      <w:tab/>
    </w:r>
    <w:r w:rsidRPr="00286A94">
      <w:t>Chapter 10: Recalculations and improvements</w: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3665DB" w14:textId="77777777" w:rsidR="005B3CE7" w:rsidRPr="00027E55" w:rsidRDefault="005B3CE7" w:rsidP="00C26084">
    <w:pPr>
      <w:pStyle w:val="FooterOdd"/>
      <w:rPr>
        <w:b/>
      </w:rPr>
    </w:pPr>
    <w:r>
      <w:tab/>
    </w:r>
    <w:r w:rsidRPr="00BF1C36">
      <w:t xml:space="preserve">New Zealand’s </w:t>
    </w:r>
    <w:r w:rsidRPr="00B928E7">
      <w:t>Greenhouse</w:t>
    </w:r>
    <w:r w:rsidRPr="00BF1C36">
      <w:t xml:space="preserve"> Gas </w:t>
    </w:r>
    <w:r w:rsidRPr="00715D39">
      <w:t>Inventory</w:t>
    </w:r>
    <w:r w:rsidRPr="00BF1C36">
      <w:t xml:space="preserve"> 1990–20</w:t>
    </w:r>
    <w:r>
      <w:t>19</w:t>
    </w:r>
    <w:r w:rsidRPr="00027E55">
      <w:tab/>
    </w:r>
    <w:r w:rsidRPr="00762043">
      <w:rPr>
        <w:rStyle w:val="PageNumber"/>
        <w:sz w:val="22"/>
      </w:rPr>
      <w:fldChar w:fldCharType="begin"/>
    </w:r>
    <w:r w:rsidRPr="00762043">
      <w:rPr>
        <w:rStyle w:val="PageNumber"/>
        <w:sz w:val="22"/>
      </w:rPr>
      <w:instrText xml:space="preserve"> PAGE </w:instrText>
    </w:r>
    <w:r w:rsidRPr="00762043">
      <w:rPr>
        <w:rStyle w:val="PageNumber"/>
        <w:sz w:val="22"/>
      </w:rPr>
      <w:fldChar w:fldCharType="separate"/>
    </w:r>
    <w:r>
      <w:rPr>
        <w:rStyle w:val="PageNumber"/>
        <w:noProof/>
        <w:sz w:val="22"/>
      </w:rPr>
      <w:t>37</w:t>
    </w:r>
    <w:r w:rsidRPr="00762043">
      <w:rPr>
        <w:rStyle w:val="PageNumber"/>
        <w:sz w:val="22"/>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808A23" w14:textId="6DCF98F0" w:rsidR="005B3CE7" w:rsidRPr="00027E55" w:rsidRDefault="005B3CE7" w:rsidP="00DB330E">
    <w:pPr>
      <w:pStyle w:val="FooterOdd"/>
      <w:rPr>
        <w:b/>
      </w:rPr>
    </w:pPr>
    <w:r>
      <w:tab/>
    </w:r>
    <w:r w:rsidRPr="00BF1C36">
      <w:t xml:space="preserve">New Zealand’s </w:t>
    </w:r>
    <w:r w:rsidRPr="00B928E7">
      <w:t>Greenhouse</w:t>
    </w:r>
    <w:r w:rsidRPr="00BF1C36">
      <w:t xml:space="preserve"> Gas </w:t>
    </w:r>
    <w:r w:rsidRPr="00715D39">
      <w:t>Inventory</w:t>
    </w:r>
    <w:r w:rsidRPr="00BF1C36">
      <w:t xml:space="preserve"> 1990–20</w:t>
    </w:r>
    <w:r>
      <w:t>18</w:t>
    </w:r>
    <w:r w:rsidRPr="00027E55">
      <w:tab/>
    </w:r>
    <w:r w:rsidRPr="00762043">
      <w:rPr>
        <w:rStyle w:val="PageNumber"/>
        <w:sz w:val="22"/>
      </w:rPr>
      <w:fldChar w:fldCharType="begin"/>
    </w:r>
    <w:r w:rsidRPr="00762043">
      <w:rPr>
        <w:rStyle w:val="PageNumber"/>
        <w:sz w:val="22"/>
      </w:rPr>
      <w:instrText xml:space="preserve"> PAGE </w:instrText>
    </w:r>
    <w:r w:rsidRPr="00762043">
      <w:rPr>
        <w:rStyle w:val="PageNumber"/>
        <w:sz w:val="22"/>
      </w:rPr>
      <w:fldChar w:fldCharType="separate"/>
    </w:r>
    <w:r>
      <w:rPr>
        <w:rStyle w:val="PageNumber"/>
        <w:noProof/>
        <w:sz w:val="22"/>
      </w:rPr>
      <w:t>485</w:t>
    </w:r>
    <w:r w:rsidRPr="00762043">
      <w:rPr>
        <w:rStyle w:val="PageNumber"/>
        <w:sz w:val="22"/>
      </w:rPr>
      <w:fldChar w:fldCharType="end"/>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F992E3" w14:textId="77777777" w:rsidR="005B3CE7" w:rsidRPr="00346220" w:rsidRDefault="005B3CE7" w:rsidP="00F47CED">
    <w:pPr>
      <w:pStyle w:val="FooterEven"/>
    </w:pPr>
    <w:r w:rsidRPr="00762043">
      <w:rPr>
        <w:rStyle w:val="PageNumber"/>
        <w:sz w:val="22"/>
      </w:rPr>
      <w:fldChar w:fldCharType="begin"/>
    </w:r>
    <w:r w:rsidRPr="00762043">
      <w:rPr>
        <w:rStyle w:val="PageNumber"/>
        <w:sz w:val="22"/>
      </w:rPr>
      <w:instrText xml:space="preserve"> PAGE </w:instrText>
    </w:r>
    <w:r w:rsidRPr="00762043">
      <w:rPr>
        <w:rStyle w:val="PageNumber"/>
        <w:sz w:val="22"/>
      </w:rPr>
      <w:fldChar w:fldCharType="separate"/>
    </w:r>
    <w:r>
      <w:rPr>
        <w:rStyle w:val="PageNumber"/>
        <w:noProof/>
        <w:sz w:val="22"/>
      </w:rPr>
      <w:t>444</w:t>
    </w:r>
    <w:r w:rsidRPr="00762043">
      <w:rPr>
        <w:rStyle w:val="PageNumber"/>
        <w:sz w:val="22"/>
      </w:rPr>
      <w:fldChar w:fldCharType="end"/>
    </w:r>
    <w:r>
      <w:rPr>
        <w:rStyle w:val="PageNumber"/>
        <w:sz w:val="22"/>
      </w:rPr>
      <w:tab/>
    </w:r>
    <w:r w:rsidRPr="00292C83">
      <w:t>Chapter 11: KP-LULUCF</w:t>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0BCF03" w14:textId="77777777" w:rsidR="005B3CE7" w:rsidRPr="00027E55" w:rsidRDefault="005B3CE7" w:rsidP="00C26084">
    <w:pPr>
      <w:pStyle w:val="FooterOdd"/>
      <w:rPr>
        <w:b/>
      </w:rPr>
    </w:pPr>
    <w:r>
      <w:tab/>
    </w:r>
    <w:r w:rsidRPr="00BF1C36">
      <w:t>New Zealand’s Greenhouse Gas Inventory 1990–20</w:t>
    </w:r>
    <w:r>
      <w:t>19</w:t>
    </w:r>
    <w:r w:rsidRPr="00027E55">
      <w:tab/>
    </w:r>
    <w:r w:rsidRPr="00762043">
      <w:rPr>
        <w:rStyle w:val="PageNumber"/>
        <w:sz w:val="22"/>
      </w:rPr>
      <w:fldChar w:fldCharType="begin"/>
    </w:r>
    <w:r w:rsidRPr="00762043">
      <w:rPr>
        <w:rStyle w:val="PageNumber"/>
        <w:sz w:val="22"/>
      </w:rPr>
      <w:instrText xml:space="preserve"> PAGE </w:instrText>
    </w:r>
    <w:r w:rsidRPr="00762043">
      <w:rPr>
        <w:rStyle w:val="PageNumber"/>
        <w:sz w:val="22"/>
      </w:rPr>
      <w:fldChar w:fldCharType="separate"/>
    </w:r>
    <w:r>
      <w:rPr>
        <w:rStyle w:val="PageNumber"/>
        <w:noProof/>
        <w:sz w:val="22"/>
      </w:rPr>
      <w:t>7</w:t>
    </w:r>
    <w:r w:rsidRPr="00762043">
      <w:rPr>
        <w:rStyle w:val="PageNumber"/>
        <w:sz w:val="22"/>
      </w:rPr>
      <w:fldChar w:fldCharType="end"/>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9EAFCE" w14:textId="77777777" w:rsidR="005B3CE7" w:rsidRPr="00346220" w:rsidRDefault="005B3CE7" w:rsidP="00F47CED">
    <w:pPr>
      <w:pStyle w:val="FooterEven"/>
    </w:pPr>
    <w:r w:rsidRPr="00762043">
      <w:rPr>
        <w:rStyle w:val="PageNumber"/>
        <w:sz w:val="22"/>
      </w:rPr>
      <w:fldChar w:fldCharType="begin"/>
    </w:r>
    <w:r w:rsidRPr="00762043">
      <w:rPr>
        <w:rStyle w:val="PageNumber"/>
        <w:sz w:val="22"/>
      </w:rPr>
      <w:instrText xml:space="preserve"> PAGE </w:instrText>
    </w:r>
    <w:r w:rsidRPr="00762043">
      <w:rPr>
        <w:rStyle w:val="PageNumber"/>
        <w:sz w:val="22"/>
      </w:rPr>
      <w:fldChar w:fldCharType="separate"/>
    </w:r>
    <w:r>
      <w:rPr>
        <w:rStyle w:val="PageNumber"/>
        <w:noProof/>
        <w:sz w:val="22"/>
      </w:rPr>
      <w:t>444</w:t>
    </w:r>
    <w:r w:rsidRPr="00762043">
      <w:rPr>
        <w:rStyle w:val="PageNumber"/>
        <w:sz w:val="22"/>
      </w:rPr>
      <w:fldChar w:fldCharType="end"/>
    </w:r>
    <w:r>
      <w:rPr>
        <w:rStyle w:val="PageNumber"/>
        <w:sz w:val="22"/>
      </w:rPr>
      <w:tab/>
    </w:r>
    <w:r w:rsidRPr="00292C83">
      <w:t>Chapter 11: KP-LULUCF</w:t>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92E7F22" w14:textId="77777777" w:rsidR="005B3CE7" w:rsidRPr="00027E55" w:rsidRDefault="005B3CE7" w:rsidP="00C26084">
    <w:pPr>
      <w:pStyle w:val="FooterOdd"/>
      <w:tabs>
        <w:tab w:val="clear" w:pos="7655"/>
        <w:tab w:val="clear" w:pos="8505"/>
        <w:tab w:val="right" w:pos="13183"/>
        <w:tab w:val="right" w:pos="14004"/>
      </w:tabs>
      <w:rPr>
        <w:b/>
      </w:rPr>
    </w:pPr>
    <w:r>
      <w:tab/>
    </w:r>
    <w:r w:rsidRPr="00BF1C36">
      <w:t>New Zealand’s Greenhouse Gas Inventory 1990–20</w:t>
    </w:r>
    <w:r>
      <w:t>18</w:t>
    </w:r>
    <w:r w:rsidRPr="00027E55">
      <w:tab/>
    </w:r>
    <w:r w:rsidRPr="00762043">
      <w:rPr>
        <w:rStyle w:val="PageNumber"/>
        <w:sz w:val="22"/>
      </w:rPr>
      <w:fldChar w:fldCharType="begin"/>
    </w:r>
    <w:r w:rsidRPr="00762043">
      <w:rPr>
        <w:rStyle w:val="PageNumber"/>
        <w:sz w:val="22"/>
      </w:rPr>
      <w:instrText xml:space="preserve"> PAGE </w:instrText>
    </w:r>
    <w:r w:rsidRPr="00762043">
      <w:rPr>
        <w:rStyle w:val="PageNumber"/>
        <w:sz w:val="22"/>
      </w:rPr>
      <w:fldChar w:fldCharType="separate"/>
    </w:r>
    <w:r>
      <w:rPr>
        <w:rStyle w:val="PageNumber"/>
        <w:noProof/>
        <w:sz w:val="22"/>
      </w:rPr>
      <w:t>8</w:t>
    </w:r>
    <w:r w:rsidRPr="00762043">
      <w:rPr>
        <w:rStyle w:val="PageNumber"/>
        <w:sz w:val="22"/>
      </w:rPr>
      <w:fldChar w:fldCharType="end"/>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5463AC" w14:textId="73A7CA29" w:rsidR="005B3CE7" w:rsidRDefault="005B3CE7" w:rsidP="003C6C0D">
    <w:pPr>
      <w:pStyle w:val="FooterEven"/>
    </w:pPr>
    <w:r w:rsidRPr="00762043">
      <w:rPr>
        <w:rStyle w:val="PageNumber"/>
        <w:sz w:val="22"/>
      </w:rPr>
      <w:fldChar w:fldCharType="begin"/>
    </w:r>
    <w:r w:rsidRPr="00762043">
      <w:rPr>
        <w:rStyle w:val="PageNumber"/>
        <w:sz w:val="22"/>
      </w:rPr>
      <w:instrText xml:space="preserve"> PAGE </w:instrText>
    </w:r>
    <w:r w:rsidRPr="00762043">
      <w:rPr>
        <w:rStyle w:val="PageNumber"/>
        <w:sz w:val="22"/>
      </w:rPr>
      <w:fldChar w:fldCharType="separate"/>
    </w:r>
    <w:r>
      <w:rPr>
        <w:rStyle w:val="PageNumber"/>
        <w:noProof/>
        <w:sz w:val="22"/>
      </w:rPr>
      <w:t>444</w:t>
    </w:r>
    <w:r w:rsidRPr="00762043">
      <w:rPr>
        <w:rStyle w:val="PageNumber"/>
        <w:sz w:val="22"/>
      </w:rPr>
      <w:fldChar w:fldCharType="end"/>
    </w:r>
    <w:r>
      <w:rPr>
        <w:rStyle w:val="PageNumber"/>
        <w:sz w:val="22"/>
      </w:rPr>
      <w:tab/>
    </w:r>
    <w:r w:rsidRPr="00292C83">
      <w:t>Chapter 11: KP-LULUCF</w:t>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5C1CDA" w14:textId="6F4A948A" w:rsidR="005B3CE7" w:rsidRDefault="005B3CE7" w:rsidP="003C285D">
    <w:pPr>
      <w:pStyle w:val="FooterOdd"/>
    </w:pPr>
    <w:r>
      <w:tab/>
    </w:r>
    <w:r w:rsidRPr="00BF1C36">
      <w:t>New Zealand’s Greenhouse Gas Inventory 1990–20</w:t>
    </w:r>
    <w:r>
      <w:t>19</w:t>
    </w:r>
    <w:r w:rsidRPr="00027E55">
      <w:tab/>
    </w:r>
    <w:r w:rsidRPr="00762043">
      <w:rPr>
        <w:rStyle w:val="PageNumber"/>
        <w:sz w:val="22"/>
      </w:rPr>
      <w:fldChar w:fldCharType="begin"/>
    </w:r>
    <w:r w:rsidRPr="00762043">
      <w:rPr>
        <w:rStyle w:val="PageNumber"/>
        <w:sz w:val="22"/>
      </w:rPr>
      <w:instrText xml:space="preserve"> PAGE </w:instrText>
    </w:r>
    <w:r w:rsidRPr="00762043">
      <w:rPr>
        <w:rStyle w:val="PageNumber"/>
        <w:sz w:val="22"/>
      </w:rPr>
      <w:fldChar w:fldCharType="separate"/>
    </w:r>
    <w:r>
      <w:rPr>
        <w:rStyle w:val="PageNumber"/>
        <w:noProof/>
        <w:sz w:val="22"/>
      </w:rPr>
      <w:t>8</w:t>
    </w:r>
    <w:r w:rsidRPr="00762043">
      <w:rPr>
        <w:rStyle w:val="PageNumber"/>
        <w:sz w:val="22"/>
      </w:rPr>
      <w:fldChar w:fldCharType="end"/>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A9494A6" w14:textId="56B35EF1" w:rsidR="005B3CE7" w:rsidRDefault="005B3CE7" w:rsidP="003C6C0D">
    <w:pPr>
      <w:pStyle w:val="FooterEven"/>
    </w:pPr>
    <w:r w:rsidRPr="00762043">
      <w:rPr>
        <w:rStyle w:val="PageNumber"/>
        <w:sz w:val="22"/>
      </w:rPr>
      <w:fldChar w:fldCharType="begin"/>
    </w:r>
    <w:r w:rsidRPr="00762043">
      <w:rPr>
        <w:rStyle w:val="PageNumber"/>
        <w:sz w:val="22"/>
      </w:rPr>
      <w:instrText xml:space="preserve"> PAGE </w:instrText>
    </w:r>
    <w:r w:rsidRPr="00762043">
      <w:rPr>
        <w:rStyle w:val="PageNumber"/>
        <w:sz w:val="22"/>
      </w:rPr>
      <w:fldChar w:fldCharType="separate"/>
    </w:r>
    <w:r>
      <w:rPr>
        <w:rStyle w:val="PageNumber"/>
        <w:noProof/>
        <w:sz w:val="22"/>
      </w:rPr>
      <w:t>444</w:t>
    </w:r>
    <w:r w:rsidRPr="00762043">
      <w:rPr>
        <w:rStyle w:val="PageNumber"/>
        <w:sz w:val="22"/>
      </w:rPr>
      <w:fldChar w:fldCharType="end"/>
    </w:r>
    <w:r>
      <w:rPr>
        <w:rStyle w:val="PageNumber"/>
        <w:sz w:val="22"/>
      </w:rPr>
      <w:tab/>
    </w:r>
    <w:r w:rsidRPr="00DF53CC">
      <w:t>Chapter 12: Information on accounting of the Kyoto Protocol units</w:t>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41163A" w14:textId="0D7FBD8B" w:rsidR="005B3CE7" w:rsidRDefault="005B3CE7" w:rsidP="003C6C0D">
    <w:pPr>
      <w:pStyle w:val="FooterEven"/>
    </w:pPr>
    <w:r w:rsidRPr="00762043">
      <w:rPr>
        <w:rStyle w:val="PageNumber"/>
        <w:sz w:val="22"/>
      </w:rPr>
      <w:fldChar w:fldCharType="begin"/>
    </w:r>
    <w:r w:rsidRPr="00762043">
      <w:rPr>
        <w:rStyle w:val="PageNumber"/>
        <w:sz w:val="22"/>
      </w:rPr>
      <w:instrText xml:space="preserve"> PAGE </w:instrText>
    </w:r>
    <w:r w:rsidRPr="00762043">
      <w:rPr>
        <w:rStyle w:val="PageNumber"/>
        <w:sz w:val="22"/>
      </w:rPr>
      <w:fldChar w:fldCharType="separate"/>
    </w:r>
    <w:r>
      <w:rPr>
        <w:rStyle w:val="PageNumber"/>
        <w:noProof/>
        <w:sz w:val="22"/>
      </w:rPr>
      <w:t>444</w:t>
    </w:r>
    <w:r w:rsidRPr="00762043">
      <w:rPr>
        <w:rStyle w:val="PageNumber"/>
        <w:sz w:val="22"/>
      </w:rPr>
      <w:fldChar w:fldCharType="end"/>
    </w:r>
    <w:r>
      <w:rPr>
        <w:rStyle w:val="PageNumber"/>
        <w:sz w:val="22"/>
      </w:rPr>
      <w:tab/>
    </w:r>
    <w:r w:rsidRPr="006173B0">
      <w:t>Chapter 14: Information on changes to the national registry</w:t>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5B5034" w14:textId="6B7638CE" w:rsidR="005B3CE7" w:rsidRDefault="005B3CE7" w:rsidP="003C6C0D">
    <w:pPr>
      <w:pStyle w:val="FooterEven"/>
    </w:pPr>
    <w:r w:rsidRPr="00762043">
      <w:rPr>
        <w:rStyle w:val="PageNumber"/>
        <w:sz w:val="22"/>
      </w:rPr>
      <w:fldChar w:fldCharType="begin"/>
    </w:r>
    <w:r w:rsidRPr="00762043">
      <w:rPr>
        <w:rStyle w:val="PageNumber"/>
        <w:sz w:val="22"/>
      </w:rPr>
      <w:instrText xml:space="preserve"> PAGE </w:instrText>
    </w:r>
    <w:r w:rsidRPr="00762043">
      <w:rPr>
        <w:rStyle w:val="PageNumber"/>
        <w:sz w:val="22"/>
      </w:rPr>
      <w:fldChar w:fldCharType="separate"/>
    </w:r>
    <w:r>
      <w:rPr>
        <w:rStyle w:val="PageNumber"/>
        <w:noProof/>
        <w:sz w:val="22"/>
      </w:rPr>
      <w:t>444</w:t>
    </w:r>
    <w:r w:rsidRPr="00762043">
      <w:rPr>
        <w:rStyle w:val="PageNumber"/>
        <w:sz w:val="22"/>
      </w:rPr>
      <w:fldChar w:fldCharType="end"/>
    </w:r>
    <w:r>
      <w:rPr>
        <w:rStyle w:val="PageNumber"/>
        <w:sz w:val="22"/>
      </w:rPr>
      <w:tab/>
    </w:r>
    <w:r w:rsidRPr="00F04F96">
      <w:t>Chapter 15: Information on minimisation of adverse impacts</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652FC0" w14:textId="509EEA2D" w:rsidR="005B3CE7" w:rsidRPr="000E497C" w:rsidRDefault="005B3CE7" w:rsidP="000E29E3">
    <w:pPr>
      <w:pStyle w:val="FooterEven"/>
    </w:pPr>
    <w:r w:rsidRPr="007A30E8">
      <w:rPr>
        <w:rStyle w:val="PageNumber"/>
        <w:bCs/>
        <w:sz w:val="22"/>
      </w:rPr>
      <w:fldChar w:fldCharType="begin"/>
    </w:r>
    <w:r w:rsidRPr="007A30E8">
      <w:rPr>
        <w:rStyle w:val="PageNumber"/>
        <w:bCs/>
        <w:sz w:val="22"/>
      </w:rPr>
      <w:instrText xml:space="preserve"> PAGE </w:instrText>
    </w:r>
    <w:r w:rsidRPr="007A30E8">
      <w:rPr>
        <w:rStyle w:val="PageNumber"/>
        <w:bCs/>
        <w:sz w:val="22"/>
      </w:rPr>
      <w:fldChar w:fldCharType="separate"/>
    </w:r>
    <w:r>
      <w:rPr>
        <w:rStyle w:val="PageNumber"/>
        <w:bCs/>
        <w:sz w:val="22"/>
      </w:rPr>
      <w:t>iv</w:t>
    </w:r>
    <w:r w:rsidRPr="007A30E8">
      <w:rPr>
        <w:rStyle w:val="PageNumber"/>
        <w:bCs/>
        <w:sz w:val="22"/>
      </w:rPr>
      <w:fldChar w:fldCharType="end"/>
    </w:r>
    <w:r>
      <w:rPr>
        <w:rStyle w:val="PageNumber"/>
        <w:b w:val="0"/>
        <w:sz w:val="22"/>
      </w:rPr>
      <w:tab/>
    </w:r>
    <w:r>
      <w:t>Acknowledgements</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A9FAC0" w14:textId="36BA2EAC" w:rsidR="005B3CE7" w:rsidRPr="00027E55" w:rsidRDefault="005B3CE7" w:rsidP="00DB330E">
    <w:pPr>
      <w:pStyle w:val="FooterOdd"/>
      <w:rPr>
        <w:b/>
      </w:rPr>
    </w:pPr>
    <w:r>
      <w:tab/>
    </w:r>
    <w:r w:rsidRPr="00BF1C36">
      <w:t xml:space="preserve">New Zealand’s </w:t>
    </w:r>
    <w:r w:rsidRPr="00B928E7">
      <w:t>Greenhouse</w:t>
    </w:r>
    <w:r w:rsidRPr="00BF1C36">
      <w:t xml:space="preserve"> Gas </w:t>
    </w:r>
    <w:r w:rsidRPr="00715D39">
      <w:t>Inventory</w:t>
    </w:r>
    <w:r w:rsidRPr="00BF1C36">
      <w:t xml:space="preserve"> 1990–20</w:t>
    </w:r>
    <w:r>
      <w:t>19</w:t>
    </w:r>
    <w:r w:rsidRPr="00027E55">
      <w:tab/>
    </w:r>
    <w:r w:rsidRPr="00762043">
      <w:rPr>
        <w:rStyle w:val="PageNumber"/>
        <w:sz w:val="22"/>
      </w:rPr>
      <w:fldChar w:fldCharType="begin"/>
    </w:r>
    <w:r w:rsidRPr="00762043">
      <w:rPr>
        <w:rStyle w:val="PageNumber"/>
        <w:sz w:val="22"/>
      </w:rPr>
      <w:instrText xml:space="preserve"> PAGE </w:instrText>
    </w:r>
    <w:r w:rsidRPr="00762043">
      <w:rPr>
        <w:rStyle w:val="PageNumber"/>
        <w:sz w:val="22"/>
      </w:rPr>
      <w:fldChar w:fldCharType="separate"/>
    </w:r>
    <w:r>
      <w:rPr>
        <w:rStyle w:val="PageNumber"/>
        <w:noProof/>
        <w:sz w:val="22"/>
      </w:rPr>
      <w:t>485</w:t>
    </w:r>
    <w:r w:rsidRPr="00762043">
      <w:rPr>
        <w:rStyle w:val="PageNumber"/>
        <w:sz w:val="22"/>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A6C2541" w14:textId="146D1924" w:rsidR="005B3CE7" w:rsidRPr="000939C9" w:rsidRDefault="005B3CE7" w:rsidP="000E29E3">
    <w:pPr>
      <w:pStyle w:val="FooterEven"/>
    </w:pPr>
    <w:r w:rsidRPr="007A30E8">
      <w:rPr>
        <w:rStyle w:val="PageNumber"/>
        <w:bCs/>
        <w:sz w:val="22"/>
      </w:rPr>
      <w:fldChar w:fldCharType="begin"/>
    </w:r>
    <w:r w:rsidRPr="007A30E8">
      <w:rPr>
        <w:rStyle w:val="PageNumber"/>
        <w:bCs/>
        <w:sz w:val="22"/>
      </w:rPr>
      <w:instrText xml:space="preserve"> PAGE </w:instrText>
    </w:r>
    <w:r w:rsidRPr="007A30E8">
      <w:rPr>
        <w:rStyle w:val="PageNumber"/>
        <w:bCs/>
        <w:sz w:val="22"/>
      </w:rPr>
      <w:fldChar w:fldCharType="separate"/>
    </w:r>
    <w:r>
      <w:rPr>
        <w:rStyle w:val="PageNumber"/>
        <w:bCs/>
        <w:sz w:val="22"/>
      </w:rPr>
      <w:t>x</w:t>
    </w:r>
    <w:r w:rsidRPr="007A30E8">
      <w:rPr>
        <w:rStyle w:val="PageNumber"/>
        <w:bCs/>
        <w:sz w:val="22"/>
      </w:rPr>
      <w:fldChar w:fldCharType="end"/>
    </w:r>
    <w:r>
      <w:rPr>
        <w:rStyle w:val="PageNumber"/>
        <w:b w:val="0"/>
        <w:sz w:val="22"/>
      </w:rPr>
      <w:tab/>
    </w:r>
    <w:r>
      <w:t>Contents</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D1476A" w14:textId="77777777" w:rsidR="005B3CE7" w:rsidRPr="00027E55" w:rsidRDefault="005B3CE7" w:rsidP="00DB330E">
    <w:pPr>
      <w:pStyle w:val="FooterOdd"/>
      <w:rPr>
        <w:b/>
      </w:rPr>
    </w:pPr>
    <w:r>
      <w:tab/>
    </w:r>
    <w:r w:rsidRPr="00BF1C36">
      <w:t xml:space="preserve">New Zealand’s </w:t>
    </w:r>
    <w:r w:rsidRPr="00B928E7">
      <w:t>Greenhouse</w:t>
    </w:r>
    <w:r w:rsidRPr="00BF1C36">
      <w:t xml:space="preserve"> Gas </w:t>
    </w:r>
    <w:r w:rsidRPr="00715D39">
      <w:t>Inventory</w:t>
    </w:r>
    <w:r w:rsidRPr="00BF1C36">
      <w:t xml:space="preserve"> 1990–20</w:t>
    </w:r>
    <w:r>
      <w:t>19</w:t>
    </w:r>
    <w:r w:rsidRPr="00027E55">
      <w:tab/>
    </w:r>
    <w:r w:rsidRPr="00762043">
      <w:rPr>
        <w:rStyle w:val="PageNumber"/>
        <w:sz w:val="22"/>
      </w:rPr>
      <w:fldChar w:fldCharType="begin"/>
    </w:r>
    <w:r w:rsidRPr="00762043">
      <w:rPr>
        <w:rStyle w:val="PageNumber"/>
        <w:sz w:val="22"/>
      </w:rPr>
      <w:instrText xml:space="preserve"> PAGE </w:instrText>
    </w:r>
    <w:r w:rsidRPr="00762043">
      <w:rPr>
        <w:rStyle w:val="PageNumber"/>
        <w:sz w:val="22"/>
      </w:rPr>
      <w:fldChar w:fldCharType="separate"/>
    </w:r>
    <w:r>
      <w:rPr>
        <w:rStyle w:val="PageNumber"/>
        <w:noProof/>
        <w:sz w:val="22"/>
      </w:rPr>
      <w:t>485</w:t>
    </w:r>
    <w:r w:rsidRPr="00762043">
      <w:rPr>
        <w:rStyle w:val="PageNumber"/>
        <w:sz w:val="22"/>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6F1C36B" w14:textId="4A0B3CC3" w:rsidR="005B3CE7" w:rsidRPr="000939C9" w:rsidRDefault="005B3CE7" w:rsidP="005B6417">
    <w:pPr>
      <w:pStyle w:val="FooterEven"/>
    </w:pPr>
    <w:r w:rsidRPr="007A30E8">
      <w:rPr>
        <w:rStyle w:val="PageNumber"/>
        <w:bCs/>
        <w:sz w:val="22"/>
      </w:rPr>
      <w:fldChar w:fldCharType="begin"/>
    </w:r>
    <w:r w:rsidRPr="007A30E8">
      <w:rPr>
        <w:rStyle w:val="PageNumber"/>
        <w:bCs/>
        <w:sz w:val="22"/>
      </w:rPr>
      <w:instrText xml:space="preserve"> PAGE </w:instrText>
    </w:r>
    <w:r w:rsidRPr="007A30E8">
      <w:rPr>
        <w:rStyle w:val="PageNumber"/>
        <w:bCs/>
        <w:sz w:val="22"/>
      </w:rPr>
      <w:fldChar w:fldCharType="separate"/>
    </w:r>
    <w:r>
      <w:rPr>
        <w:rStyle w:val="PageNumber"/>
        <w:bCs/>
        <w:sz w:val="22"/>
      </w:rPr>
      <w:t>x</w:t>
    </w:r>
    <w:r w:rsidRPr="007A30E8">
      <w:rPr>
        <w:rStyle w:val="PageNumber"/>
        <w:bCs/>
        <w:sz w:val="22"/>
      </w:rPr>
      <w:fldChar w:fldCharType="end"/>
    </w:r>
    <w:r>
      <w:rPr>
        <w:rStyle w:val="PageNumber"/>
        <w:b w:val="0"/>
        <w:sz w:val="22"/>
      </w:rPr>
      <w:tab/>
    </w:r>
    <w:r>
      <w:t>Tables and figures</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CCACCC" w14:textId="0BA17449" w:rsidR="005B3CE7" w:rsidRPr="000939C9" w:rsidRDefault="005B3CE7" w:rsidP="005B6417">
    <w:pPr>
      <w:pStyle w:val="FooterEven"/>
    </w:pPr>
    <w:r w:rsidRPr="007A30E8">
      <w:rPr>
        <w:rStyle w:val="PageNumber"/>
        <w:bCs/>
        <w:sz w:val="22"/>
      </w:rPr>
      <w:fldChar w:fldCharType="begin"/>
    </w:r>
    <w:r w:rsidRPr="007A30E8">
      <w:rPr>
        <w:rStyle w:val="PageNumber"/>
        <w:bCs/>
        <w:sz w:val="22"/>
      </w:rPr>
      <w:instrText xml:space="preserve"> PAGE </w:instrText>
    </w:r>
    <w:r w:rsidRPr="007A30E8">
      <w:rPr>
        <w:rStyle w:val="PageNumber"/>
        <w:bCs/>
        <w:sz w:val="22"/>
      </w:rPr>
      <w:fldChar w:fldCharType="separate"/>
    </w:r>
    <w:r>
      <w:rPr>
        <w:rStyle w:val="PageNumber"/>
        <w:bCs/>
        <w:sz w:val="22"/>
      </w:rPr>
      <w:t>x</w:t>
    </w:r>
    <w:r w:rsidRPr="007A30E8">
      <w:rPr>
        <w:rStyle w:val="PageNumber"/>
        <w:bCs/>
        <w:sz w:val="22"/>
      </w:rPr>
      <w:fldChar w:fldCharType="end"/>
    </w:r>
    <w:r>
      <w:rPr>
        <w:rStyle w:val="PageNumber"/>
        <w:b w:val="0"/>
        <w:sz w:val="22"/>
      </w:rPr>
      <w:tab/>
    </w:r>
    <w:r>
      <w:t>Abbreviations</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A90B4CD" w14:textId="77777777" w:rsidR="00087879" w:rsidRDefault="00087879" w:rsidP="00635684">
      <w:pPr>
        <w:spacing w:after="60"/>
      </w:pPr>
      <w:r>
        <w:separator/>
      </w:r>
    </w:p>
  </w:footnote>
  <w:footnote w:type="continuationSeparator" w:id="0">
    <w:p w14:paraId="68B66ACF" w14:textId="77777777" w:rsidR="00087879" w:rsidRDefault="00087879">
      <w:r>
        <w:continuationSeparator/>
      </w:r>
    </w:p>
    <w:p w14:paraId="392C762B" w14:textId="77777777" w:rsidR="00087879" w:rsidRDefault="00087879"/>
  </w:footnote>
  <w:footnote w:id="1">
    <w:p w14:paraId="29E9667C" w14:textId="1FD737AD" w:rsidR="005B3CE7" w:rsidRDefault="005B3CE7" w:rsidP="00855935">
      <w:pPr>
        <w:pStyle w:val="FootnoteText"/>
      </w:pPr>
      <w:r>
        <w:rPr>
          <w:rStyle w:val="FootnoteReference"/>
        </w:rPr>
        <w:footnoteRef/>
      </w:r>
      <w:r>
        <w:t xml:space="preserve"> </w:t>
      </w:r>
      <w:r>
        <w:tab/>
        <w:t>Nitrogen trifluoride (NF</w:t>
      </w:r>
      <w:r>
        <w:rPr>
          <w:vertAlign w:val="subscript"/>
        </w:rPr>
        <w:t>3</w:t>
      </w:r>
      <w:r>
        <w:t>) emissions do not occur in New Zealand and, therefore, no NF</w:t>
      </w:r>
      <w:r>
        <w:rPr>
          <w:vertAlign w:val="subscript"/>
        </w:rPr>
        <w:t>3</w:t>
      </w:r>
      <w:r>
        <w:t xml:space="preserve"> data are included in this report.</w:t>
      </w:r>
    </w:p>
  </w:footnote>
  <w:footnote w:id="2">
    <w:p w14:paraId="7A0D6E59" w14:textId="1E7FA1D8" w:rsidR="005B3CE7" w:rsidRPr="005E65B5" w:rsidRDefault="005B3CE7" w:rsidP="00855935">
      <w:pPr>
        <w:pStyle w:val="FootnoteText"/>
      </w:pPr>
      <w:r>
        <w:rPr>
          <w:rStyle w:val="FootnoteReference"/>
        </w:rPr>
        <w:footnoteRef/>
      </w:r>
      <w:r>
        <w:t xml:space="preserve"> </w:t>
      </w:r>
      <w:r>
        <w:tab/>
        <w:t>Indirect gases includ</w:t>
      </w:r>
      <w:r w:rsidRPr="005E65B5">
        <w:t>e carbon monoxide (CO), sulphur dioxide (SO</w:t>
      </w:r>
      <w:r w:rsidRPr="005E65B5">
        <w:rPr>
          <w:vertAlign w:val="subscript"/>
        </w:rPr>
        <w:t>2</w:t>
      </w:r>
      <w:r w:rsidRPr="005E65B5">
        <w:t>), oxides of nitrogen (NO</w:t>
      </w:r>
      <w:r w:rsidRPr="005E65B5">
        <w:rPr>
          <w:vertAlign w:val="subscript"/>
        </w:rPr>
        <w:t>X</w:t>
      </w:r>
      <w:r w:rsidRPr="005E65B5">
        <w:t>) and non-methane volatile organic compounds (NMVOCs).</w:t>
      </w:r>
    </w:p>
  </w:footnote>
  <w:footnote w:id="3">
    <w:p w14:paraId="704F3B39" w14:textId="1AED1121" w:rsidR="005B3CE7" w:rsidRDefault="005B3CE7" w:rsidP="00855935">
      <w:pPr>
        <w:pStyle w:val="FootnoteText"/>
      </w:pPr>
      <w:r>
        <w:rPr>
          <w:rStyle w:val="FootnoteReference"/>
        </w:rPr>
        <w:footnoteRef/>
      </w:r>
      <w:r>
        <w:t xml:space="preserve"> </w:t>
      </w:r>
      <w:r>
        <w:tab/>
        <w:t>Methane emissions produced from the digestive process in ruminant livestock.</w:t>
      </w:r>
    </w:p>
  </w:footnote>
  <w:footnote w:id="4">
    <w:p w14:paraId="2A9FF351" w14:textId="13B6D324" w:rsidR="005B3CE7" w:rsidRDefault="005B3CE7" w:rsidP="00855935">
      <w:pPr>
        <w:pStyle w:val="FootnoteText"/>
      </w:pPr>
      <w:r>
        <w:rPr>
          <w:rStyle w:val="FootnoteReference"/>
        </w:rPr>
        <w:footnoteRef/>
      </w:r>
      <w:r>
        <w:t xml:space="preserve"> </w:t>
      </w:r>
      <w:r>
        <w:tab/>
        <w:t>‘ODS’ stands for ozone depleting substances.</w:t>
      </w:r>
    </w:p>
  </w:footnote>
  <w:footnote w:id="5">
    <w:p w14:paraId="55463CC5" w14:textId="3E5BF784" w:rsidR="005B3CE7" w:rsidRDefault="005B3CE7" w:rsidP="00855935">
      <w:pPr>
        <w:pStyle w:val="FootnoteText"/>
      </w:pPr>
      <w:r>
        <w:rPr>
          <w:rStyle w:val="FootnoteReference"/>
        </w:rPr>
        <w:footnoteRef/>
      </w:r>
      <w:r>
        <w:t xml:space="preserve"> </w:t>
      </w:r>
      <w:r>
        <w:tab/>
        <w:t>The New Zealand Emissions Trading Scheme included the Forestry sector as of 1 January 2008.</w:t>
      </w:r>
    </w:p>
  </w:footnote>
  <w:footnote w:id="6">
    <w:p w14:paraId="02964350" w14:textId="66EFC4D2" w:rsidR="005B3CE7" w:rsidRDefault="005B3CE7" w:rsidP="00855935">
      <w:pPr>
        <w:pStyle w:val="FootnoteText"/>
      </w:pPr>
      <w:r>
        <w:rPr>
          <w:rStyle w:val="FootnoteReference"/>
        </w:rPr>
        <w:footnoteRef/>
      </w:r>
      <w:r>
        <w:t xml:space="preserve"> </w:t>
      </w:r>
      <w:r>
        <w:tab/>
      </w:r>
      <w:r>
        <w:rPr>
          <w:i/>
        </w:rPr>
        <w:t>Deforestation</w:t>
      </w:r>
      <w:r>
        <w:t xml:space="preserve"> estimates for </w:t>
      </w:r>
      <w:r w:rsidRPr="004E5F23">
        <w:rPr>
          <w:bCs/>
        </w:rPr>
        <w:t>1990</w:t>
      </w:r>
      <w:r>
        <w:t xml:space="preserve"> are provisional.</w:t>
      </w:r>
    </w:p>
  </w:footnote>
  <w:footnote w:id="7">
    <w:p w14:paraId="59A0FD32" w14:textId="1B5B0B24" w:rsidR="005B3CE7" w:rsidRDefault="005B3CE7" w:rsidP="00855935">
      <w:pPr>
        <w:pStyle w:val="FootnoteText"/>
      </w:pPr>
      <w:r>
        <w:rPr>
          <w:rStyle w:val="FootnoteReference"/>
        </w:rPr>
        <w:footnoteRef/>
      </w:r>
      <w:r>
        <w:t xml:space="preserve"> </w:t>
      </w:r>
      <w:r>
        <w:tab/>
        <w:t>Metabolisable energy content is the energy available to an animal from the digestion of feed material.</w:t>
      </w:r>
    </w:p>
  </w:footnote>
  <w:footnote w:id="8">
    <w:p w14:paraId="5B02F1ED" w14:textId="77777777" w:rsidR="005B3CE7" w:rsidRDefault="005B3CE7" w:rsidP="00387C28">
      <w:pPr>
        <w:pStyle w:val="FootnoteText"/>
      </w:pPr>
      <w:r>
        <w:rPr>
          <w:rStyle w:val="FootnoteReference"/>
        </w:rPr>
        <w:footnoteRef/>
      </w:r>
      <w:r>
        <w:t xml:space="preserve"> </w:t>
      </w:r>
      <w:r>
        <w:tab/>
        <w:t>Annex II to the Convention (a subset of Annex I) lists the Organisation for Economic Co-operation and Development (OECD) member countries at the time the Convention was agreed.</w:t>
      </w:r>
    </w:p>
  </w:footnote>
  <w:footnote w:id="9">
    <w:p w14:paraId="1B07FAD3" w14:textId="77777777" w:rsidR="005B3CE7" w:rsidRDefault="005B3CE7" w:rsidP="00387C28">
      <w:pPr>
        <w:pStyle w:val="FootnoteText"/>
      </w:pPr>
      <w:r>
        <w:rPr>
          <w:rStyle w:val="FootnoteReference"/>
        </w:rPr>
        <w:footnoteRef/>
      </w:r>
      <w:r>
        <w:t xml:space="preserve"> </w:t>
      </w:r>
      <w:r>
        <w:tab/>
        <w:t>Annex I to the Convention lists the countries included in Annex II, as defined above, together with countries defined at the time as undergoing the process of transition to a market economy, commonly known as ‘economies in transition’.</w:t>
      </w:r>
    </w:p>
  </w:footnote>
  <w:footnote w:id="10">
    <w:p w14:paraId="1C2E2F72" w14:textId="77777777" w:rsidR="005B3CE7" w:rsidRDefault="005B3CE7" w:rsidP="00387C28">
      <w:pPr>
        <w:pStyle w:val="FootnoteText"/>
      </w:pPr>
      <w:r>
        <w:rPr>
          <w:rStyle w:val="FootnoteReference"/>
        </w:rPr>
        <w:footnoteRef/>
      </w:r>
      <w:r>
        <w:t xml:space="preserve"> </w:t>
      </w:r>
      <w:r>
        <w:tab/>
        <w:t>New Zealand’s target under the Kyoto Protocol was a responsibility target. A responsibility target means that New Zealand can meet its target through a mixture of domestic emission reductions, the storage of carbon in forests and the purchase of emission reductions in other countries through the emissions trading mechanisms established under the Kyoto Protocol. The target was based on total gross emissions from the following sectors: Energy, Industrial Processes, Solvent and Other Product Use (from 2015, Industrial Processes and Solvent and Other Product Use are reported jointly under the Industrial Processes and Product Use sector), Agriculture and Waste.</w:t>
      </w:r>
    </w:p>
  </w:footnote>
  <w:footnote w:id="11">
    <w:p w14:paraId="32DEE422" w14:textId="77777777" w:rsidR="005B3CE7" w:rsidRDefault="005B3CE7" w:rsidP="00387C28">
      <w:pPr>
        <w:pStyle w:val="FootnoteText"/>
      </w:pPr>
      <w:r>
        <w:rPr>
          <w:rStyle w:val="FootnoteReference"/>
        </w:rPr>
        <w:footnoteRef/>
      </w:r>
      <w:r>
        <w:t xml:space="preserve"> </w:t>
      </w:r>
      <w:r>
        <w:tab/>
        <w:t>The Doha amendment entered into force on 28 October 2020, just prior to the end of the Kyoto Protocol’s second (and final) commitment period.</w:t>
      </w:r>
    </w:p>
  </w:footnote>
  <w:footnote w:id="12">
    <w:p w14:paraId="2BE2BD47" w14:textId="77777777" w:rsidR="005B3CE7" w:rsidRDefault="005B3CE7" w:rsidP="00387C28">
      <w:pPr>
        <w:pStyle w:val="FootnoteText"/>
      </w:pPr>
      <w:r>
        <w:rPr>
          <w:rStyle w:val="FootnoteReference"/>
        </w:rPr>
        <w:footnoteRef/>
      </w:r>
      <w:r>
        <w:t xml:space="preserve"> </w:t>
      </w:r>
      <w:r>
        <w:tab/>
        <w:t>See Annex III of UNFCCC decision 24/CP.19: unfccc.int/resource/docs/2013/cop19/eng/10a03.pdf.</w:t>
      </w:r>
    </w:p>
  </w:footnote>
  <w:footnote w:id="13">
    <w:p w14:paraId="348406DD" w14:textId="77777777" w:rsidR="005B3CE7" w:rsidRDefault="005B3CE7" w:rsidP="00387C28">
      <w:pPr>
        <w:pStyle w:val="FootnoteText"/>
      </w:pPr>
      <w:r>
        <w:rPr>
          <w:rStyle w:val="FootnoteReference"/>
        </w:rPr>
        <w:footnoteRef/>
      </w:r>
      <w:r>
        <w:t xml:space="preserve"> </w:t>
      </w:r>
      <w:r>
        <w:tab/>
        <w:t>Nitrogen trifluoride emissions do not occur in New Zealand and, therefore, are not included in this report.</w:t>
      </w:r>
    </w:p>
  </w:footnote>
  <w:footnote w:id="14">
    <w:p w14:paraId="48081D5B" w14:textId="77777777" w:rsidR="005B3CE7" w:rsidRDefault="005B3CE7" w:rsidP="00387C28">
      <w:pPr>
        <w:pStyle w:val="FootnoteText"/>
      </w:pPr>
      <w:r>
        <w:rPr>
          <w:rStyle w:val="FootnoteReference"/>
        </w:rPr>
        <w:footnoteRef/>
      </w:r>
      <w:r>
        <w:t xml:space="preserve"> </w:t>
      </w:r>
      <w:r>
        <w:tab/>
        <w:t xml:space="preserve">Indirect greenhouse gases are the gases that have indirect radiative effects in the atmosphere. This may happen either through conversion of an indirect gas to a direct greenhouse gas in the atmosphere (for example, where </w:t>
      </w:r>
      <w:r w:rsidRPr="00831A35">
        <w:t>carbon monoxide</w:t>
      </w:r>
      <w:r>
        <w:t xml:space="preserve"> is converted to </w:t>
      </w:r>
      <w:r w:rsidRPr="00462234">
        <w:t>carbon dioxide</w:t>
      </w:r>
      <w:r>
        <w:t>) or when chemical reactions in the atmosphere involving these gases change the concentrations of direct greenhouse gases.</w:t>
      </w:r>
    </w:p>
  </w:footnote>
  <w:footnote w:id="15">
    <w:p w14:paraId="7A5B1A6D" w14:textId="5422860E" w:rsidR="005B3CE7" w:rsidRDefault="005B3CE7" w:rsidP="00387C28">
      <w:pPr>
        <w:pStyle w:val="FootnoteText"/>
      </w:pPr>
      <w:r>
        <w:rPr>
          <w:rStyle w:val="FootnoteReference"/>
        </w:rPr>
        <w:footnoteRef/>
      </w:r>
      <w:r>
        <w:t xml:space="preserve"> </w:t>
      </w:r>
      <w:r>
        <w:tab/>
        <w:t>In the United Nations Charter (United Nations, 1945), a non-self-governing territory is defined as a territory “whose people have not yet attained a full measure of self-government”. Tokelau has been on the United Nations list of non-self-governing territories since 1946, following the declaration of the intention by New Zealand to transmit information on the Tokelau Islands under Article 73e of the United Nations Charter.</w:t>
      </w:r>
    </w:p>
  </w:footnote>
  <w:footnote w:id="16">
    <w:p w14:paraId="1411B6CB" w14:textId="691AE297" w:rsidR="005B3CE7" w:rsidRDefault="005B3CE7" w:rsidP="00B82DD4">
      <w:pPr>
        <w:pStyle w:val="FootnoteText"/>
        <w:spacing w:after="0"/>
      </w:pPr>
      <w:r>
        <w:rPr>
          <w:rStyle w:val="FootnoteReference"/>
        </w:rPr>
        <w:footnoteRef/>
      </w:r>
      <w:r>
        <w:t xml:space="preserve"> </w:t>
      </w:r>
      <w:r>
        <w:tab/>
        <w:t>Inserted, on 23 June 2020, by section 56(1) of the Climate Change Response (Emissions Trading Reform) Amendment Act 2020 (2020 No 22).</w:t>
      </w:r>
    </w:p>
  </w:footnote>
  <w:footnote w:id="17">
    <w:p w14:paraId="069E5281" w14:textId="09F1C4BF" w:rsidR="005B3CE7" w:rsidRDefault="005B3CE7" w:rsidP="00387C28">
      <w:pPr>
        <w:pStyle w:val="FootnoteText"/>
      </w:pPr>
      <w:r>
        <w:rPr>
          <w:rStyle w:val="FootnoteReference"/>
        </w:rPr>
        <w:footnoteRef/>
      </w:r>
      <w:r>
        <w:t xml:space="preserve"> </w:t>
      </w:r>
      <w:r>
        <w:tab/>
        <w:t>‘ODS’ stands for ozone depleting substances.</w:t>
      </w:r>
    </w:p>
  </w:footnote>
  <w:footnote w:id="18">
    <w:p w14:paraId="02CFE0A8" w14:textId="1C022D54" w:rsidR="005B3CE7" w:rsidRDefault="005B3CE7" w:rsidP="00387C28">
      <w:pPr>
        <w:pStyle w:val="FootnoteText"/>
      </w:pPr>
      <w:r>
        <w:rPr>
          <w:rStyle w:val="FootnoteReference"/>
        </w:rPr>
        <w:footnoteRef/>
      </w:r>
      <w:r>
        <w:t xml:space="preserve"> </w:t>
      </w:r>
      <w:r>
        <w:tab/>
        <w:t>Metabolisable energy content is the energy available to an animal from the digestion of feed material.</w:t>
      </w:r>
    </w:p>
  </w:footnote>
  <w:footnote w:id="19">
    <w:p w14:paraId="31AED8FF" w14:textId="77777777" w:rsidR="005B3CE7" w:rsidRDefault="005B3CE7" w:rsidP="004D0912">
      <w:pPr>
        <w:pStyle w:val="FootnoteText"/>
      </w:pPr>
      <w:r>
        <w:rPr>
          <w:rStyle w:val="FootnoteReference"/>
        </w:rPr>
        <w:footnoteRef/>
      </w:r>
      <w:r>
        <w:t xml:space="preserve"> </w:t>
      </w:r>
      <w:r>
        <w:tab/>
        <w:t>Methane emissions produced from the digestive process in ruminant livestock.</w:t>
      </w:r>
    </w:p>
  </w:footnote>
  <w:footnote w:id="20">
    <w:p w14:paraId="1BC77140" w14:textId="77777777" w:rsidR="005B3CE7" w:rsidRDefault="005B3CE7" w:rsidP="004D0912">
      <w:pPr>
        <w:pStyle w:val="FootnoteText"/>
      </w:pPr>
      <w:r>
        <w:rPr>
          <w:rStyle w:val="FootnoteReference"/>
        </w:rPr>
        <w:footnoteRef/>
      </w:r>
      <w:r>
        <w:t xml:space="preserve"> </w:t>
      </w:r>
      <w:r>
        <w:tab/>
        <w:t>‘ODS’ stands for ozone depleting substances.</w:t>
      </w:r>
    </w:p>
  </w:footnote>
  <w:footnote w:id="21">
    <w:p w14:paraId="4D506A15" w14:textId="77777777" w:rsidR="005B3CE7" w:rsidRDefault="005B3CE7" w:rsidP="004D0912">
      <w:pPr>
        <w:pStyle w:val="FootnoteText"/>
      </w:pPr>
      <w:r>
        <w:rPr>
          <w:rStyle w:val="FootnoteReference"/>
        </w:rPr>
        <w:footnoteRef/>
      </w:r>
      <w:r>
        <w:t xml:space="preserve"> </w:t>
      </w:r>
      <w:r>
        <w:tab/>
        <w:t>Note emissions or removals from forest management are not included because these are accounted for at the end of the commitment period against a forest management reference level and a cap will apply to limit credits. See chapter 11 for further information.</w:t>
      </w:r>
    </w:p>
  </w:footnote>
  <w:footnote w:id="22">
    <w:p w14:paraId="21028C8F" w14:textId="3F726DB0" w:rsidR="005B3CE7" w:rsidRDefault="005B3CE7" w:rsidP="004D0912">
      <w:pPr>
        <w:pStyle w:val="FootnoteText"/>
      </w:pPr>
      <w:r>
        <w:rPr>
          <w:rStyle w:val="FootnoteReference"/>
        </w:rPr>
        <w:footnoteRef/>
      </w:r>
      <w:r>
        <w:t xml:space="preserve"> </w:t>
      </w:r>
      <w:r>
        <w:tab/>
        <w:t>New Zealand’s latest net position can be accessed from the Ministry for the Environment’s website (</w:t>
      </w:r>
      <w:hyperlink r:id="rId1" w:history="1">
        <w:r w:rsidRPr="00070065">
          <w:rPr>
            <w:rStyle w:val="Hyperlink"/>
          </w:rPr>
          <w:t>www.mfe.govt.nz/climate-change/reporting-greenhouse-gas-emissions/latest-2020-net-position</w:t>
        </w:r>
      </w:hyperlink>
      <w:r>
        <w:t>).</w:t>
      </w:r>
    </w:p>
  </w:footnote>
  <w:footnote w:id="23">
    <w:p w14:paraId="79D7171F" w14:textId="77777777" w:rsidR="005B3CE7" w:rsidRDefault="005B3CE7" w:rsidP="004D0912">
      <w:pPr>
        <w:pStyle w:val="FootnoteText"/>
      </w:pPr>
      <w:r>
        <w:rPr>
          <w:rStyle w:val="FootnoteReference"/>
        </w:rPr>
        <w:footnoteRef/>
      </w:r>
      <w:r>
        <w:t xml:space="preserve"> </w:t>
      </w:r>
      <w:r>
        <w:tab/>
        <w:t>New Zealand does not produce or consume nitrogen trifluoride (NF</w:t>
      </w:r>
      <w:r>
        <w:rPr>
          <w:vertAlign w:val="subscript"/>
        </w:rPr>
        <w:t>3</w:t>
      </w:r>
      <w:r>
        <w:t>).</w:t>
      </w:r>
    </w:p>
  </w:footnote>
  <w:footnote w:id="24">
    <w:p w14:paraId="4B9F03E9" w14:textId="77777777" w:rsidR="005B3CE7" w:rsidRDefault="005B3CE7" w:rsidP="004D0912">
      <w:pPr>
        <w:pStyle w:val="FootnoteText"/>
      </w:pPr>
      <w:r>
        <w:rPr>
          <w:rStyle w:val="FootnoteReference"/>
        </w:rPr>
        <w:footnoteRef/>
      </w:r>
      <w:r>
        <w:t xml:space="preserve"> </w:t>
      </w:r>
      <w:r>
        <w:tab/>
        <w:t>Electricity generated from renewable energy sources was 82.4 per cent in 2019.</w:t>
      </w:r>
    </w:p>
  </w:footnote>
  <w:footnote w:id="25">
    <w:p w14:paraId="2E65E108" w14:textId="0AD6CFAB" w:rsidR="005B3CE7" w:rsidRPr="00144A34" w:rsidRDefault="005B3CE7" w:rsidP="00144A34">
      <w:pPr>
        <w:pStyle w:val="FootnoteText"/>
      </w:pPr>
      <w:r>
        <w:rPr>
          <w:rStyle w:val="FootnoteReference"/>
        </w:rPr>
        <w:footnoteRef/>
      </w:r>
      <w:r>
        <w:t xml:space="preserve"> </w:t>
      </w:r>
      <w:r>
        <w:tab/>
        <w:t xml:space="preserve">For more information, see </w:t>
      </w:r>
      <w:hyperlink r:id="rId2" w:history="1">
        <w:r w:rsidRPr="00144A34">
          <w:rPr>
            <w:rStyle w:val="Hyperlink"/>
            <w:color w:val="auto"/>
          </w:rPr>
          <w:t>www.mpi.govt.nz/news-and-resources/economic-intelligence-unit/situation-and-outlook-for-primary-industries</w:t>
        </w:r>
      </w:hyperlink>
      <w:r w:rsidRPr="00144A34">
        <w:t>.</w:t>
      </w:r>
    </w:p>
  </w:footnote>
  <w:footnote w:id="26">
    <w:p w14:paraId="1576AC27" w14:textId="15B9FC04" w:rsidR="005B3CE7" w:rsidRDefault="005B3CE7" w:rsidP="00144A34">
      <w:pPr>
        <w:pStyle w:val="FootnoteText"/>
      </w:pPr>
      <w:r w:rsidRPr="00144A34">
        <w:rPr>
          <w:rStyle w:val="FootnoteReference"/>
          <w:sz w:val="19"/>
          <w:vertAlign w:val="baseline"/>
        </w:rPr>
        <w:footnoteRef/>
      </w:r>
      <w:r w:rsidRPr="00144A34">
        <w:t xml:space="preserve"> </w:t>
      </w:r>
      <w:r w:rsidRPr="00144A34">
        <w:tab/>
        <w:t xml:space="preserve">For more information, see </w:t>
      </w:r>
      <w:hyperlink r:id="rId3" w:history="1">
        <w:r w:rsidRPr="00144A34">
          <w:rPr>
            <w:rStyle w:val="Hyperlink"/>
            <w:color w:val="auto"/>
          </w:rPr>
          <w:t>www.mpi.govt.nz/news-and-resources/economic-intelligence-unit/situation-and-outlook-for-primary-industries</w:t>
        </w:r>
      </w:hyperlink>
      <w:r w:rsidRPr="00144A34">
        <w:t>.</w:t>
      </w:r>
    </w:p>
  </w:footnote>
  <w:footnote w:id="27">
    <w:p w14:paraId="04B70925" w14:textId="77777777" w:rsidR="005B3CE7" w:rsidRDefault="005B3CE7" w:rsidP="004D0912">
      <w:pPr>
        <w:pStyle w:val="FootnoteText"/>
      </w:pPr>
      <w:r>
        <w:rPr>
          <w:rStyle w:val="FootnoteReference"/>
        </w:rPr>
        <w:footnoteRef/>
      </w:r>
      <w:r>
        <w:t xml:space="preserve"> </w:t>
      </w:r>
      <w:r>
        <w:tab/>
        <w:t>The New Zealand Emissions Trading Scheme included the Forestry sector as of 1 January 2008.</w:t>
      </w:r>
    </w:p>
  </w:footnote>
  <w:footnote w:id="28">
    <w:p w14:paraId="7CE69406" w14:textId="77777777" w:rsidR="005B3CE7" w:rsidRDefault="005B3CE7" w:rsidP="004D0912">
      <w:pPr>
        <w:pStyle w:val="FootnoteText"/>
      </w:pPr>
      <w:r>
        <w:rPr>
          <w:rStyle w:val="FootnoteReference"/>
        </w:rPr>
        <w:footnoteRef/>
      </w:r>
      <w:r>
        <w:t xml:space="preserve"> </w:t>
      </w:r>
      <w:r>
        <w:tab/>
        <w:t>In climate change literature, negative emissions are often referred to as ‘removals’ because they indicate removing carbon dioxide from the atmosphere as a net result. This report uses the term ‘removal’ or ‘net removal’ where it will make the relevant sections easier to understand.</w:t>
      </w:r>
    </w:p>
  </w:footnote>
  <w:footnote w:id="29">
    <w:p w14:paraId="34C9A43D" w14:textId="77777777" w:rsidR="005B3CE7" w:rsidRDefault="005B3CE7" w:rsidP="004D0912">
      <w:pPr>
        <w:pStyle w:val="FootnoteText"/>
      </w:pPr>
      <w:r>
        <w:rPr>
          <w:rStyle w:val="FootnoteReference"/>
        </w:rPr>
        <w:footnoteRef/>
      </w:r>
      <w:r>
        <w:t xml:space="preserve"> </w:t>
      </w:r>
      <w:r>
        <w:tab/>
      </w:r>
      <w:r>
        <w:rPr>
          <w:i/>
        </w:rPr>
        <w:t>Deforestation</w:t>
      </w:r>
      <w:r>
        <w:t xml:space="preserve"> estimates for </w:t>
      </w:r>
      <w:r w:rsidRPr="004879B6">
        <w:rPr>
          <w:bCs/>
        </w:rPr>
        <w:t>1990</w:t>
      </w:r>
      <w:r>
        <w:t xml:space="preserve"> are provisional.</w:t>
      </w:r>
    </w:p>
  </w:footnote>
  <w:footnote w:id="30">
    <w:p w14:paraId="1100713A" w14:textId="77777777" w:rsidR="005B3CE7" w:rsidRDefault="005B3CE7" w:rsidP="00706DD1">
      <w:pPr>
        <w:pStyle w:val="FootnoteText"/>
      </w:pPr>
      <w:r>
        <w:rPr>
          <w:rStyle w:val="FootnoteReference"/>
        </w:rPr>
        <w:footnoteRef/>
      </w:r>
      <w:r>
        <w:t xml:space="preserve"> </w:t>
      </w:r>
      <w:r>
        <w:tab/>
      </w:r>
      <w:r>
        <w:rPr>
          <w:lang w:eastAsia="en-GB"/>
        </w:rPr>
        <w:t>For urea production, the fraction of carbon stored varies across the time series, depending on the composition of the feedstock gas.</w:t>
      </w:r>
    </w:p>
  </w:footnote>
  <w:footnote w:id="31">
    <w:p w14:paraId="1E61AD0C" w14:textId="51394078" w:rsidR="005B3CE7" w:rsidRDefault="005B3CE7" w:rsidP="00706DD1">
      <w:pPr>
        <w:pStyle w:val="FootnoteText"/>
      </w:pPr>
      <w:r w:rsidRPr="005B6A26">
        <w:rPr>
          <w:rStyle w:val="FootnoteReference"/>
        </w:rPr>
        <w:footnoteRef/>
      </w:r>
      <w:r>
        <w:t xml:space="preserve"> </w:t>
      </w:r>
      <w:r>
        <w:tab/>
        <w:t xml:space="preserve">Phosphate rock: </w:t>
      </w:r>
      <w:r w:rsidRPr="00713F4E">
        <w:t>rock rich in the mi</w:t>
      </w:r>
      <w:r>
        <w:t>neral fluorapatite, Ca</w:t>
      </w:r>
      <w:r w:rsidRPr="00FD073B">
        <w:rPr>
          <w:vertAlign w:val="subscript"/>
        </w:rPr>
        <w:t>5</w:t>
      </w:r>
      <w:r>
        <w:t>(PO</w:t>
      </w:r>
      <w:r w:rsidRPr="00FD073B">
        <w:rPr>
          <w:vertAlign w:val="subscript"/>
        </w:rPr>
        <w:t>4</w:t>
      </w:r>
      <w:r>
        <w:t>)</w:t>
      </w:r>
      <w:r w:rsidRPr="00FD073B">
        <w:rPr>
          <w:vertAlign w:val="subscript"/>
        </w:rPr>
        <w:t>3</w:t>
      </w:r>
      <w:r>
        <w:t>F.</w:t>
      </w:r>
    </w:p>
  </w:footnote>
  <w:footnote w:id="32">
    <w:p w14:paraId="24385A30" w14:textId="77777777" w:rsidR="005B3CE7" w:rsidRDefault="005B3CE7" w:rsidP="00706DD1">
      <w:pPr>
        <w:pStyle w:val="FootnoteText"/>
      </w:pPr>
      <w:r>
        <w:rPr>
          <w:rStyle w:val="FootnoteReference"/>
        </w:rPr>
        <w:footnoteRef/>
      </w:r>
      <w:r>
        <w:t xml:space="preserve"> </w:t>
      </w:r>
      <w:r>
        <w:tab/>
        <w:t xml:space="preserve">As of 2018, </w:t>
      </w:r>
      <w:r w:rsidRPr="00237E11">
        <w:t>New Zealand only manufactures a small number of buses and heavy trucks</w:t>
      </w:r>
      <w:r>
        <w:t>.</w:t>
      </w:r>
    </w:p>
  </w:footnote>
  <w:footnote w:id="33">
    <w:p w14:paraId="32AD2F18" w14:textId="77777777" w:rsidR="005B3CE7" w:rsidRPr="005A386A" w:rsidRDefault="005B3CE7" w:rsidP="00C26084">
      <w:pPr>
        <w:pStyle w:val="FootnoteText"/>
      </w:pPr>
      <w:r w:rsidRPr="005A386A">
        <w:rPr>
          <w:rStyle w:val="FootnoteReference"/>
        </w:rPr>
        <w:footnoteRef/>
      </w:r>
      <w:r w:rsidRPr="005A386A">
        <w:t xml:space="preserve"> </w:t>
      </w:r>
      <w:r w:rsidRPr="005A386A">
        <w:tab/>
        <w:t xml:space="preserve">Implied emission factors (IEFs) are calculated by dividing the total emissions of a particular animal </w:t>
      </w:r>
      <w:r>
        <w:t>species</w:t>
      </w:r>
      <w:r w:rsidRPr="005A386A">
        <w:t xml:space="preserve"> and sector (e.g., enteric fermentation from sheep) by the number of animals</w:t>
      </w:r>
      <w:r>
        <w:t xml:space="preserve"> in that species and sector</w:t>
      </w:r>
      <w:r w:rsidRPr="005A386A">
        <w:t>.</w:t>
      </w:r>
    </w:p>
  </w:footnote>
  <w:footnote w:id="34">
    <w:p w14:paraId="38F487CE" w14:textId="77777777" w:rsidR="005B3CE7" w:rsidRPr="00492E7F" w:rsidRDefault="005B3CE7" w:rsidP="00B465C0">
      <w:pPr>
        <w:pStyle w:val="FootnoteText"/>
        <w:spacing w:after="40"/>
      </w:pPr>
      <w:r>
        <w:rPr>
          <w:rStyle w:val="FootnoteReference"/>
        </w:rPr>
        <w:footnoteRef/>
      </w:r>
      <w:r>
        <w:t xml:space="preserve"> </w:t>
      </w:r>
      <w:r>
        <w:tab/>
        <w:t>This assumption is from</w:t>
      </w:r>
      <w:r w:rsidRPr="00254B3A">
        <w:t xml:space="preserve"> </w:t>
      </w:r>
      <w:r w:rsidRPr="00256982">
        <w:t>Clark et al., 2003</w:t>
      </w:r>
      <w:r>
        <w:t xml:space="preserve">. In reality, the age at slaughter will vary; however, not enough data are available to estimate using a model. For more information on this assumption, see </w:t>
      </w:r>
      <w:hyperlink r:id="rId4" w:history="1">
        <w:r w:rsidRPr="00875726">
          <w:rPr>
            <w:rStyle w:val="Hyperlink"/>
          </w:rPr>
          <w:t>www.mpi.govt.nz/dmsdocument/32863/direct</w:t>
        </w:r>
      </w:hyperlink>
      <w:r w:rsidRPr="00492E7F">
        <w:t>.</w:t>
      </w:r>
    </w:p>
  </w:footnote>
  <w:footnote w:id="35">
    <w:p w14:paraId="180ACCBE" w14:textId="77777777" w:rsidR="005B3CE7" w:rsidRPr="005A386A" w:rsidRDefault="005B3CE7" w:rsidP="00B465C0">
      <w:pPr>
        <w:pStyle w:val="FootnoteText"/>
        <w:spacing w:after="40"/>
      </w:pPr>
      <w:r w:rsidRPr="005A386A">
        <w:rPr>
          <w:rStyle w:val="FootnoteReference"/>
        </w:rPr>
        <w:footnoteRef/>
      </w:r>
      <w:r w:rsidRPr="005A386A">
        <w:t xml:space="preserve"> </w:t>
      </w:r>
      <w:r w:rsidRPr="005A386A">
        <w:tab/>
      </w:r>
      <w:r w:rsidRPr="005A386A">
        <w:rPr>
          <w:spacing w:val="-2"/>
        </w:rPr>
        <w:t>The number of beef cows slaughtered is assumed to be 17 per cent of the total beef cow herd, with other</w:t>
      </w:r>
      <w:r>
        <w:rPr>
          <w:spacing w:val="-2"/>
        </w:rPr>
        <w:t xml:space="preserve"> </w:t>
      </w:r>
      <w:r w:rsidRPr="005A386A">
        <w:rPr>
          <w:spacing w:val="-2"/>
        </w:rPr>
        <w:t>adult cows slaughtered assumed to be dairy cows. The carcass weight of dairy cattle slaughtered was</w:t>
      </w:r>
      <w:r>
        <w:rPr>
          <w:spacing w:val="-2"/>
        </w:rPr>
        <w:t xml:space="preserve"> </w:t>
      </w:r>
      <w:r w:rsidRPr="005A386A">
        <w:rPr>
          <w:spacing w:val="-2"/>
        </w:rPr>
        <w:t>estimated using the adult dairy cow liveweights and a killing-out percentage of 42 per cent (Thomson et al., 2010). The total weight of dairy cattle slaughtered was calculated (carcass weight × number slaughtered) and then deducted from the national total carcass weight of slaughtered adult cows. This figure was then divided by the number of beef cows slaughtered, to obtain an estimate of the carcass weight of adult beef cows. Liveweights were calculated assuming a killing-out percentage of 42.6 per cent (Thomson et al., 2010).</w:t>
      </w:r>
    </w:p>
  </w:footnote>
  <w:footnote w:id="36">
    <w:p w14:paraId="715D65DE" w14:textId="77777777" w:rsidR="005B3CE7" w:rsidRPr="005A386A" w:rsidRDefault="005B3CE7" w:rsidP="00C26084">
      <w:pPr>
        <w:pStyle w:val="FootnoteText"/>
        <w:spacing w:after="0"/>
      </w:pPr>
      <w:r w:rsidRPr="005A386A">
        <w:rPr>
          <w:rStyle w:val="FootnoteReference"/>
        </w:rPr>
        <w:footnoteRef/>
      </w:r>
      <w:r w:rsidRPr="005A386A">
        <w:t xml:space="preserve"> </w:t>
      </w:r>
      <w:r w:rsidRPr="005A386A">
        <w:tab/>
        <w:t>Percentage of carcass weight in relation to liveweight.</w:t>
      </w:r>
    </w:p>
  </w:footnote>
  <w:footnote w:id="37">
    <w:p w14:paraId="2719F57A" w14:textId="77777777" w:rsidR="005B3CE7" w:rsidRPr="00AC7C93" w:rsidRDefault="005B3CE7" w:rsidP="00C26084">
      <w:pPr>
        <w:pStyle w:val="FootnoteText"/>
      </w:pPr>
      <w:r w:rsidRPr="005A386A">
        <w:rPr>
          <w:rStyle w:val="FootnoteReference"/>
        </w:rPr>
        <w:footnoteRef/>
      </w:r>
      <w:r w:rsidRPr="005A386A">
        <w:t xml:space="preserve"> </w:t>
      </w:r>
      <w:r w:rsidRPr="005A386A">
        <w:tab/>
      </w:r>
      <w:r>
        <w:t xml:space="preserve">The </w:t>
      </w:r>
      <w:r w:rsidRPr="005A386A">
        <w:t xml:space="preserve">BERG report can be found on the Ministry for Primary Industries website: </w:t>
      </w:r>
      <w:hyperlink r:id="rId5" w:history="1">
        <w:r w:rsidRPr="008D23C0">
          <w:rPr>
            <w:rStyle w:val="Hyperlink"/>
          </w:rPr>
          <w:t>www.mpi.govt.nz/dmsdocument/32125/direct</w:t>
        </w:r>
      </w:hyperlink>
      <w:r w:rsidRPr="00AC7C93">
        <w:t>.</w:t>
      </w:r>
    </w:p>
  </w:footnote>
  <w:footnote w:id="38">
    <w:p w14:paraId="29EB1EAA" w14:textId="77777777" w:rsidR="005B3CE7" w:rsidRDefault="005B3CE7" w:rsidP="00C26084">
      <w:pPr>
        <w:pStyle w:val="FootnoteText"/>
      </w:pPr>
      <w:r>
        <w:rPr>
          <w:rStyle w:val="FootnoteReference"/>
        </w:rPr>
        <w:footnoteRef/>
      </w:r>
      <w:r>
        <w:t xml:space="preserve"> </w:t>
      </w:r>
      <w:r>
        <w:tab/>
        <w:t>Methanet and NzOnet contain experts on methane (</w:t>
      </w:r>
      <w:r w:rsidRPr="00D9348B">
        <w:rPr>
          <w:rFonts w:cs="Calibri"/>
        </w:rPr>
        <w:t>CH</w:t>
      </w:r>
      <w:r w:rsidRPr="00D9348B">
        <w:rPr>
          <w:rFonts w:cs="Calibri"/>
          <w:vertAlign w:val="subscript"/>
        </w:rPr>
        <w:t>4</w:t>
      </w:r>
      <w:r>
        <w:t>) and nitrous oxide (</w:t>
      </w:r>
      <w:r w:rsidRPr="00D9348B">
        <w:rPr>
          <w:rFonts w:cs="Calibri"/>
        </w:rPr>
        <w:t>N</w:t>
      </w:r>
      <w:r w:rsidRPr="00D9348B">
        <w:rPr>
          <w:rFonts w:cs="Calibri"/>
          <w:vertAlign w:val="subscript"/>
        </w:rPr>
        <w:t>2</w:t>
      </w:r>
      <w:r w:rsidRPr="00D9348B">
        <w:rPr>
          <w:rFonts w:cs="Calibri"/>
        </w:rPr>
        <w:t>O</w:t>
      </w:r>
      <w:r>
        <w:t>) respectively. These advisory groups</w:t>
      </w:r>
      <w:r w:rsidRPr="00EB41C3">
        <w:rPr>
          <w:rFonts w:cs="Calibri"/>
        </w:rPr>
        <w:t xml:space="preserve"> </w:t>
      </w:r>
      <w:r w:rsidRPr="00D9348B">
        <w:rPr>
          <w:rFonts w:cs="Calibri"/>
        </w:rPr>
        <w:t>have been running since the early 2000s. The groups were formed to identify the main direction of research needed to improve the CH</w:t>
      </w:r>
      <w:r w:rsidRPr="00D9348B">
        <w:rPr>
          <w:rFonts w:cs="Calibri"/>
          <w:vertAlign w:val="subscript"/>
        </w:rPr>
        <w:t>4</w:t>
      </w:r>
      <w:r w:rsidRPr="00D9348B">
        <w:rPr>
          <w:rFonts w:cs="Calibri"/>
        </w:rPr>
        <w:t xml:space="preserve"> and N</w:t>
      </w:r>
      <w:r w:rsidRPr="00D9348B">
        <w:rPr>
          <w:rFonts w:cs="Calibri"/>
          <w:vertAlign w:val="subscript"/>
        </w:rPr>
        <w:t>2</w:t>
      </w:r>
      <w:r w:rsidRPr="00D9348B">
        <w:rPr>
          <w:rFonts w:cs="Calibri"/>
        </w:rPr>
        <w:t>O inventory accounts and mitigation, develop a collaborative approach to improve the quality of CH</w:t>
      </w:r>
      <w:r w:rsidRPr="00D9348B">
        <w:rPr>
          <w:rFonts w:cs="Calibri"/>
          <w:vertAlign w:val="subscript"/>
        </w:rPr>
        <w:t>4</w:t>
      </w:r>
      <w:r w:rsidRPr="00D9348B">
        <w:rPr>
          <w:rFonts w:cs="Calibri"/>
        </w:rPr>
        <w:t xml:space="preserve"> and N</w:t>
      </w:r>
      <w:r w:rsidRPr="00D9348B">
        <w:rPr>
          <w:rFonts w:cs="Calibri"/>
          <w:vertAlign w:val="subscript"/>
        </w:rPr>
        <w:t>2</w:t>
      </w:r>
      <w:r w:rsidRPr="00D9348B">
        <w:rPr>
          <w:rFonts w:cs="Calibri"/>
        </w:rPr>
        <w:t>O emission data, and build and maintain inventory research capability</w:t>
      </w:r>
      <w:r>
        <w:rPr>
          <w:rFonts w:cs="Calibri"/>
        </w:rPr>
        <w:t>.</w:t>
      </w:r>
    </w:p>
  </w:footnote>
  <w:footnote w:id="39">
    <w:p w14:paraId="3C043554" w14:textId="77777777" w:rsidR="005B3CE7" w:rsidRDefault="005B3CE7" w:rsidP="00C26084">
      <w:pPr>
        <w:pStyle w:val="FootnoteText"/>
      </w:pPr>
      <w:r>
        <w:rPr>
          <w:rStyle w:val="FootnoteReference"/>
        </w:rPr>
        <w:footnoteRef/>
      </w:r>
      <w:r>
        <w:t xml:space="preserve"> </w:t>
      </w:r>
      <w:r>
        <w:tab/>
        <w:t>Lifestyle blocks and/or farmlets tend to denote a hobby farm or small holding that is generally run by people who have other full-time employment.</w:t>
      </w:r>
    </w:p>
  </w:footnote>
  <w:footnote w:id="40">
    <w:p w14:paraId="087E9BA1" w14:textId="77777777" w:rsidR="005B3CE7" w:rsidRDefault="005B3CE7" w:rsidP="00C26084">
      <w:pPr>
        <w:pStyle w:val="FootnoteText"/>
      </w:pPr>
      <w:r>
        <w:rPr>
          <w:rStyle w:val="FootnoteReference"/>
        </w:rPr>
        <w:footnoteRef/>
      </w:r>
      <w:r>
        <w:t xml:space="preserve"> </w:t>
      </w:r>
      <w:r>
        <w:tab/>
        <w:t xml:space="preserve">Businesses in New Zealand must register for Goods and Services Tax (GST) if, (a) taxable activity and turnover was at least NZ$60,000 in the previous 12 months, or (b) taxable activities have been carried out and GST was added to the price of the goods and services sold (Inland Revenue Department, 2021). </w:t>
      </w:r>
    </w:p>
  </w:footnote>
  <w:footnote w:id="41">
    <w:p w14:paraId="7C25273B" w14:textId="77777777" w:rsidR="005B3CE7" w:rsidRPr="005A386A" w:rsidRDefault="005B3CE7" w:rsidP="00C26084">
      <w:pPr>
        <w:pStyle w:val="FootnoteText"/>
        <w:spacing w:after="40"/>
      </w:pPr>
      <w:r w:rsidRPr="005A386A">
        <w:rPr>
          <w:rStyle w:val="FootnoteReference"/>
        </w:rPr>
        <w:footnoteRef/>
      </w:r>
      <w:r w:rsidRPr="005A386A">
        <w:t xml:space="preserve"> </w:t>
      </w:r>
      <w:r w:rsidRPr="005A386A">
        <w:tab/>
        <w:t>The equation displayed here is a rearranged form of the equation displayed in Swainson et al. (2016): Ln(CH</w:t>
      </w:r>
      <w:r w:rsidRPr="005A386A">
        <w:rPr>
          <w:vertAlign w:val="subscript"/>
        </w:rPr>
        <w:t>4</w:t>
      </w:r>
      <w:r w:rsidRPr="005A386A">
        <w:t xml:space="preserve">) = 0.734 × In(DMI) + 0.05 </w:t>
      </w:r>
      <w:r w:rsidRPr="005A386A">
        <w:rPr>
          <w:szCs w:val="19"/>
        </w:rPr>
        <w:t>×</w:t>
      </w:r>
      <w:r w:rsidRPr="005A386A">
        <w:t xml:space="preserve"> ME + 2.46.</w:t>
      </w:r>
    </w:p>
  </w:footnote>
  <w:footnote w:id="42">
    <w:p w14:paraId="385F0808" w14:textId="77777777" w:rsidR="005B3CE7" w:rsidRPr="005A386A" w:rsidRDefault="005B3CE7" w:rsidP="00C26084">
      <w:pPr>
        <w:pStyle w:val="FootnoteText"/>
        <w:spacing w:after="40"/>
      </w:pPr>
      <w:r w:rsidRPr="005A386A">
        <w:rPr>
          <w:rStyle w:val="FootnoteReference"/>
        </w:rPr>
        <w:footnoteRef/>
      </w:r>
      <w:r w:rsidRPr="005A386A">
        <w:t xml:space="preserve"> </w:t>
      </w:r>
      <w:r w:rsidRPr="005A386A">
        <w:tab/>
        <w:t>The equation displayed here is a rearranged form of the equation displayed in Swainson et al. (2016): Ln(CH</w:t>
      </w:r>
      <w:r w:rsidRPr="005A386A">
        <w:rPr>
          <w:vertAlign w:val="subscript"/>
        </w:rPr>
        <w:t>4</w:t>
      </w:r>
      <w:r w:rsidRPr="005A386A">
        <w:t>) = 0.765 × In(DMI) + 3.09.</w:t>
      </w:r>
    </w:p>
  </w:footnote>
  <w:footnote w:id="43">
    <w:p w14:paraId="30C3EFA7" w14:textId="77777777" w:rsidR="005B3CE7" w:rsidRPr="005A386A" w:rsidRDefault="005B3CE7" w:rsidP="00C26084">
      <w:pPr>
        <w:pStyle w:val="FootnoteText"/>
        <w:spacing w:after="40"/>
        <w:rPr>
          <w:szCs w:val="19"/>
        </w:rPr>
      </w:pPr>
      <w:r w:rsidRPr="005A386A">
        <w:rPr>
          <w:rStyle w:val="FootnoteReference"/>
          <w:szCs w:val="19"/>
        </w:rPr>
        <w:footnoteRef/>
      </w:r>
      <w:r w:rsidRPr="005A386A">
        <w:rPr>
          <w:szCs w:val="19"/>
        </w:rPr>
        <w:t xml:space="preserve"> </w:t>
      </w:r>
      <w:r w:rsidRPr="005A386A">
        <w:rPr>
          <w:szCs w:val="19"/>
        </w:rPr>
        <w:tab/>
        <w:t xml:space="preserve">For example, Blaxter and Clapperton (1965); Moe and Tyrrel (1975); Baldwin et al. (1988); Djikstra et al. (1992) and Benchaar et al. (2001) – all cited in Clark et al. (2003). </w:t>
      </w:r>
    </w:p>
  </w:footnote>
  <w:footnote w:id="44">
    <w:p w14:paraId="67CD9DDA" w14:textId="77777777" w:rsidR="005B3CE7" w:rsidRPr="005A386A" w:rsidRDefault="005B3CE7" w:rsidP="00C26084">
      <w:pPr>
        <w:pStyle w:val="FootnoteText"/>
        <w:rPr>
          <w:szCs w:val="19"/>
        </w:rPr>
      </w:pPr>
      <w:r w:rsidRPr="005A386A">
        <w:rPr>
          <w:rStyle w:val="FootnoteReference"/>
          <w:szCs w:val="19"/>
        </w:rPr>
        <w:footnoteRef/>
      </w:r>
      <w:r w:rsidRPr="005A386A">
        <w:rPr>
          <w:szCs w:val="19"/>
        </w:rPr>
        <w:t xml:space="preserve"> </w:t>
      </w:r>
      <w:r w:rsidRPr="005A386A">
        <w:rPr>
          <w:szCs w:val="19"/>
        </w:rPr>
        <w:tab/>
        <w:t>The IPCC (2006) default emission</w:t>
      </w:r>
      <w:r>
        <w:rPr>
          <w:szCs w:val="19"/>
        </w:rPr>
        <w:t>s</w:t>
      </w:r>
      <w:r w:rsidRPr="005A386A">
        <w:rPr>
          <w:szCs w:val="19"/>
        </w:rPr>
        <w:t xml:space="preserve"> factor for swine is identical to the IPCC (1996) emission factor.</w:t>
      </w:r>
    </w:p>
  </w:footnote>
  <w:footnote w:id="45">
    <w:p w14:paraId="562D9946" w14:textId="6D185821" w:rsidR="005B3CE7" w:rsidRPr="005A386A" w:rsidRDefault="005B3CE7" w:rsidP="00C26084">
      <w:pPr>
        <w:pStyle w:val="FootnoteText"/>
      </w:pPr>
      <w:r w:rsidRPr="005A386A">
        <w:rPr>
          <w:rStyle w:val="FootnoteReference"/>
        </w:rPr>
        <w:footnoteRef/>
      </w:r>
      <w:r w:rsidRPr="005A386A">
        <w:t xml:space="preserve"> </w:t>
      </w:r>
      <w:r w:rsidRPr="005A386A">
        <w:tab/>
      </w:r>
      <w:r w:rsidRPr="005A386A">
        <w:rPr>
          <w:rFonts w:cs="Arial"/>
          <w:szCs w:val="16"/>
        </w:rPr>
        <w:t xml:space="preserve">As reported in Australia’s </w:t>
      </w:r>
      <w:r w:rsidRPr="005A386A">
        <w:rPr>
          <w:rFonts w:cs="Arial"/>
          <w:i/>
        </w:rPr>
        <w:t>National Inventory Report 201</w:t>
      </w:r>
      <w:r>
        <w:rPr>
          <w:rFonts w:cs="Arial"/>
          <w:i/>
        </w:rPr>
        <w:t>8</w:t>
      </w:r>
      <w:r w:rsidRPr="005A386A">
        <w:rPr>
          <w:rFonts w:cs="Arial"/>
          <w:i/>
        </w:rPr>
        <w:t xml:space="preserve"> Volume 1 </w:t>
      </w:r>
      <w:r w:rsidRPr="005A386A">
        <w:rPr>
          <w:rFonts w:cs="Arial"/>
          <w:szCs w:val="16"/>
        </w:rPr>
        <w:t xml:space="preserve">on Greenhouse Gas Accounts </w:t>
      </w:r>
      <w:r w:rsidRPr="005A386A">
        <w:rPr>
          <w:rFonts w:cs="Arial"/>
          <w:spacing w:val="-2"/>
          <w:szCs w:val="16"/>
        </w:rPr>
        <w:t>(Commonwealth of Australia, 20</w:t>
      </w:r>
      <w:r>
        <w:rPr>
          <w:rFonts w:cs="Arial"/>
          <w:spacing w:val="-2"/>
          <w:szCs w:val="16"/>
        </w:rPr>
        <w:t>20</w:t>
      </w:r>
      <w:r w:rsidRPr="005A386A">
        <w:rPr>
          <w:rFonts w:cs="Arial"/>
          <w:spacing w:val="-2"/>
          <w:szCs w:val="16"/>
        </w:rPr>
        <w:t xml:space="preserve">). </w:t>
      </w:r>
      <w:r w:rsidRPr="005A386A">
        <w:rPr>
          <w:spacing w:val="-2"/>
        </w:rPr>
        <w:t xml:space="preserve">Note that the Australian-specific </w:t>
      </w:r>
      <w:r>
        <w:rPr>
          <w:spacing w:val="-2"/>
        </w:rPr>
        <w:t>beef</w:t>
      </w:r>
      <w:r w:rsidRPr="005A386A">
        <w:rPr>
          <w:spacing w:val="-2"/>
        </w:rPr>
        <w:t xml:space="preserve"> cattle IEF value is calculated</w:t>
      </w:r>
      <w:r w:rsidRPr="005A386A">
        <w:t xml:space="preserve"> from a population-based weighted average of pasture and feedlot IEF values from </w:t>
      </w:r>
      <w:r>
        <w:t>beef</w:t>
      </w:r>
      <w:r w:rsidRPr="005A386A">
        <w:t xml:space="preserve"> cattle.</w:t>
      </w:r>
    </w:p>
  </w:footnote>
  <w:footnote w:id="46">
    <w:p w14:paraId="2E5DED8B" w14:textId="77777777" w:rsidR="005B3CE7" w:rsidRPr="005A386A" w:rsidRDefault="005B3CE7" w:rsidP="00C26084">
      <w:pPr>
        <w:pStyle w:val="FootnoteText"/>
        <w:rPr>
          <w:i/>
          <w:szCs w:val="19"/>
        </w:rPr>
      </w:pPr>
      <w:r w:rsidRPr="005A386A">
        <w:rPr>
          <w:rStyle w:val="FootnoteReference"/>
          <w:szCs w:val="19"/>
        </w:rPr>
        <w:footnoteRef/>
      </w:r>
      <w:r w:rsidRPr="005A386A">
        <w:rPr>
          <w:szCs w:val="19"/>
        </w:rPr>
        <w:t xml:space="preserve"> </w:t>
      </w:r>
      <w:r w:rsidRPr="005A386A">
        <w:rPr>
          <w:szCs w:val="19"/>
        </w:rPr>
        <w:tab/>
        <w:t xml:space="preserve">Reported under </w:t>
      </w:r>
      <w:r w:rsidRPr="005A386A">
        <w:rPr>
          <w:i/>
          <w:szCs w:val="19"/>
        </w:rPr>
        <w:t>Agricultural soils</w:t>
      </w:r>
      <w:r w:rsidRPr="005A386A">
        <w:rPr>
          <w:szCs w:val="19"/>
        </w:rPr>
        <w:t xml:space="preserve">, under </w:t>
      </w:r>
      <w:r w:rsidRPr="005A386A">
        <w:rPr>
          <w:i/>
          <w:szCs w:val="19"/>
        </w:rPr>
        <w:t>Organic nitrogen fertilisers</w:t>
      </w:r>
      <w:r w:rsidRPr="005A386A">
        <w:rPr>
          <w:szCs w:val="19"/>
        </w:rPr>
        <w:t xml:space="preserve"> (CRF 3.D.1.2).</w:t>
      </w:r>
    </w:p>
  </w:footnote>
  <w:footnote w:id="47">
    <w:p w14:paraId="646EC28A" w14:textId="77777777" w:rsidR="005B3CE7" w:rsidRPr="005A386A" w:rsidRDefault="005B3CE7" w:rsidP="00C26084">
      <w:pPr>
        <w:pStyle w:val="FootnoteText"/>
        <w:rPr>
          <w:szCs w:val="19"/>
        </w:rPr>
      </w:pPr>
      <w:r w:rsidRPr="005A386A">
        <w:rPr>
          <w:rStyle w:val="FootnoteReference"/>
          <w:szCs w:val="19"/>
        </w:rPr>
        <w:footnoteRef/>
      </w:r>
      <w:r w:rsidRPr="005A386A">
        <w:rPr>
          <w:szCs w:val="19"/>
        </w:rPr>
        <w:t xml:space="preserve"> </w:t>
      </w:r>
      <w:r w:rsidRPr="005A386A">
        <w:rPr>
          <w:szCs w:val="19"/>
        </w:rPr>
        <w:tab/>
        <w:t xml:space="preserve">Reported under </w:t>
      </w:r>
      <w:r w:rsidRPr="005A386A">
        <w:rPr>
          <w:i/>
          <w:szCs w:val="19"/>
        </w:rPr>
        <w:t>Agricultural soils</w:t>
      </w:r>
      <w:r w:rsidRPr="005A386A">
        <w:rPr>
          <w:szCs w:val="19"/>
        </w:rPr>
        <w:t xml:space="preserve">, under </w:t>
      </w:r>
      <w:r w:rsidRPr="005A386A">
        <w:rPr>
          <w:i/>
          <w:szCs w:val="19"/>
        </w:rPr>
        <w:t>Urine and dung deposited by grazing animals</w:t>
      </w:r>
      <w:r w:rsidRPr="005A386A">
        <w:rPr>
          <w:szCs w:val="19"/>
        </w:rPr>
        <w:t xml:space="preserve"> (CRF 3.D.1.3).</w:t>
      </w:r>
    </w:p>
  </w:footnote>
  <w:footnote w:id="48">
    <w:p w14:paraId="082A0832" w14:textId="77777777" w:rsidR="005B3CE7" w:rsidRPr="005A386A" w:rsidRDefault="005B3CE7" w:rsidP="00C26084">
      <w:pPr>
        <w:pStyle w:val="FootnoteText"/>
      </w:pPr>
      <w:r w:rsidRPr="005A386A">
        <w:rPr>
          <w:rStyle w:val="FootnoteReference"/>
        </w:rPr>
        <w:footnoteRef/>
      </w:r>
      <w:r w:rsidRPr="005A386A">
        <w:t xml:space="preserve"> </w:t>
      </w:r>
      <w:r w:rsidRPr="005A386A">
        <w:tab/>
        <w:t>Calculated using 201</w:t>
      </w:r>
      <w:r>
        <w:t>8</w:t>
      </w:r>
      <w:r w:rsidRPr="005A386A">
        <w:t xml:space="preserve"> data.</w:t>
      </w:r>
    </w:p>
  </w:footnote>
  <w:footnote w:id="49">
    <w:p w14:paraId="4F891465" w14:textId="77777777" w:rsidR="005B3CE7" w:rsidRPr="005A386A" w:rsidRDefault="005B3CE7" w:rsidP="00C26084">
      <w:pPr>
        <w:pStyle w:val="FootnoteText"/>
        <w:rPr>
          <w:szCs w:val="19"/>
        </w:rPr>
      </w:pPr>
      <w:r w:rsidRPr="005A386A">
        <w:rPr>
          <w:rStyle w:val="FootnoteReference"/>
          <w:color w:val="000000"/>
          <w:szCs w:val="19"/>
        </w:rPr>
        <w:footnoteRef/>
      </w:r>
      <w:r w:rsidRPr="005A386A">
        <w:rPr>
          <w:color w:val="000000"/>
          <w:szCs w:val="19"/>
        </w:rPr>
        <w:t xml:space="preserve"> </w:t>
      </w:r>
      <w:r w:rsidRPr="005A386A">
        <w:rPr>
          <w:color w:val="000000"/>
          <w:szCs w:val="19"/>
        </w:rPr>
        <w:tab/>
      </w:r>
      <w:r w:rsidRPr="005A386A">
        <w:rPr>
          <w:szCs w:val="19"/>
        </w:rPr>
        <w:t>Hill (2012).</w:t>
      </w:r>
    </w:p>
  </w:footnote>
  <w:footnote w:id="50">
    <w:p w14:paraId="58E0434D" w14:textId="77777777" w:rsidR="005B3CE7" w:rsidRPr="005A386A" w:rsidRDefault="005B3CE7" w:rsidP="00C26084">
      <w:pPr>
        <w:pStyle w:val="FootnoteText"/>
        <w:rPr>
          <w:szCs w:val="19"/>
        </w:rPr>
      </w:pPr>
      <w:r w:rsidRPr="005A386A">
        <w:rPr>
          <w:rStyle w:val="FootnoteReference"/>
          <w:szCs w:val="19"/>
        </w:rPr>
        <w:footnoteRef/>
      </w:r>
      <w:r w:rsidRPr="005A386A">
        <w:rPr>
          <w:szCs w:val="19"/>
        </w:rPr>
        <w:t xml:space="preserve"> </w:t>
      </w:r>
      <w:r w:rsidRPr="005A386A">
        <w:rPr>
          <w:szCs w:val="19"/>
        </w:rPr>
        <w:tab/>
        <w:t>Fick et al. (2011) and pers. comm. (2010).</w:t>
      </w:r>
    </w:p>
  </w:footnote>
  <w:footnote w:id="51">
    <w:p w14:paraId="2E82CE4B" w14:textId="77777777" w:rsidR="005B3CE7" w:rsidRPr="005A386A" w:rsidRDefault="005B3CE7" w:rsidP="00C26084">
      <w:pPr>
        <w:pStyle w:val="FootnoteText"/>
        <w:rPr>
          <w:szCs w:val="19"/>
        </w:rPr>
      </w:pPr>
      <w:r w:rsidRPr="005A386A">
        <w:rPr>
          <w:rStyle w:val="FootnoteReference"/>
          <w:szCs w:val="19"/>
        </w:rPr>
        <w:footnoteRef/>
      </w:r>
      <w:r w:rsidRPr="005A386A">
        <w:rPr>
          <w:szCs w:val="19"/>
        </w:rPr>
        <w:t xml:space="preserve"> </w:t>
      </w:r>
      <w:r w:rsidRPr="005A386A">
        <w:rPr>
          <w:szCs w:val="19"/>
        </w:rPr>
        <w:tab/>
        <w:t>Fick et al. (2011) and pers. comm. (2010).</w:t>
      </w:r>
    </w:p>
  </w:footnote>
  <w:footnote w:id="52">
    <w:p w14:paraId="6B30ED9B" w14:textId="77777777" w:rsidR="005B3CE7" w:rsidRPr="005A386A" w:rsidRDefault="005B3CE7" w:rsidP="00C26084">
      <w:pPr>
        <w:pStyle w:val="FootnoteText"/>
        <w:rPr>
          <w:szCs w:val="19"/>
        </w:rPr>
      </w:pPr>
      <w:r w:rsidRPr="005A386A">
        <w:rPr>
          <w:rStyle w:val="FootnoteReference"/>
          <w:szCs w:val="19"/>
        </w:rPr>
        <w:footnoteRef/>
      </w:r>
      <w:r w:rsidRPr="005A386A">
        <w:rPr>
          <w:szCs w:val="19"/>
        </w:rPr>
        <w:t xml:space="preserve"> </w:t>
      </w:r>
      <w:r w:rsidRPr="005A386A">
        <w:rPr>
          <w:szCs w:val="19"/>
        </w:rPr>
        <w:tab/>
        <w:t>IPCC (1996) default waste management proportions for Oceania.</w:t>
      </w:r>
    </w:p>
  </w:footnote>
  <w:footnote w:id="53">
    <w:p w14:paraId="4F1855C2" w14:textId="77777777" w:rsidR="005B3CE7" w:rsidRPr="00847307" w:rsidRDefault="005B3CE7" w:rsidP="00AD7A0E">
      <w:pPr>
        <w:pStyle w:val="FootnoteText"/>
        <w:spacing w:after="0"/>
      </w:pPr>
      <w:r>
        <w:rPr>
          <w:rStyle w:val="FootnoteReference"/>
        </w:rPr>
        <w:footnoteRef/>
      </w:r>
      <w:r>
        <w:t xml:space="preserve"> </w:t>
      </w:r>
      <w:r>
        <w:tab/>
      </w:r>
      <w:r w:rsidRPr="00D9348B">
        <w:rPr>
          <w:rFonts w:cs="Calibri"/>
          <w:spacing w:val="-2"/>
        </w:rPr>
        <w:t xml:space="preserve">For full details of how </w:t>
      </w:r>
      <w:r w:rsidRPr="003C238F">
        <w:rPr>
          <w:rFonts w:cs="Calibri"/>
          <w:spacing w:val="-2"/>
        </w:rPr>
        <w:t>nitrogen excretion</w:t>
      </w:r>
      <w:r w:rsidRPr="00D9348B">
        <w:rPr>
          <w:rFonts w:cs="Calibri"/>
          <w:spacing w:val="-2"/>
        </w:rPr>
        <w:t xml:space="preserve"> rates are derived for each livestock category, see the technical detail provided in the inventory methodology document on the MPI website</w:t>
      </w:r>
      <w:r w:rsidRPr="00D9348B">
        <w:rPr>
          <w:rFonts w:cs="Calibri"/>
        </w:rPr>
        <w:t xml:space="preserve"> (</w:t>
      </w:r>
      <w:hyperlink r:id="rId6" w:history="1">
        <w:r w:rsidRPr="00F10FB9">
          <w:rPr>
            <w:rStyle w:val="Hyperlink"/>
          </w:rPr>
          <w:t>www.mpi.govt.nz/ dmsdocument/13906-Detailed-methodologies-for-agricultural-greenhouse-gas-emission-calculation</w:t>
        </w:r>
      </w:hyperlink>
      <w:r w:rsidRPr="00847307">
        <w:t>).</w:t>
      </w:r>
      <w:hyperlink w:history="1"/>
    </w:p>
  </w:footnote>
  <w:footnote w:id="54">
    <w:p w14:paraId="739ED674" w14:textId="3472F461" w:rsidR="005B3CE7" w:rsidRPr="005A386A" w:rsidRDefault="005B3CE7" w:rsidP="00C26084">
      <w:pPr>
        <w:pStyle w:val="FootnoteText"/>
        <w:rPr>
          <w:szCs w:val="19"/>
        </w:rPr>
      </w:pPr>
      <w:r w:rsidRPr="005A386A">
        <w:rPr>
          <w:rStyle w:val="FootnoteReference"/>
        </w:rPr>
        <w:footnoteRef/>
      </w:r>
      <w:r w:rsidRPr="005A386A">
        <w:t xml:space="preserve"> </w:t>
      </w:r>
      <w:r w:rsidRPr="005A386A">
        <w:tab/>
        <w:t xml:space="preserve">As reported in Australia’s </w:t>
      </w:r>
      <w:r w:rsidRPr="005A386A">
        <w:rPr>
          <w:i/>
          <w:iCs/>
        </w:rPr>
        <w:t>National Inventory Report 201</w:t>
      </w:r>
      <w:r>
        <w:rPr>
          <w:i/>
          <w:iCs/>
        </w:rPr>
        <w:t>8</w:t>
      </w:r>
      <w:r w:rsidRPr="005A386A">
        <w:rPr>
          <w:iCs/>
        </w:rPr>
        <w:t xml:space="preserve"> (Commonwealth of Australia, 20</w:t>
      </w:r>
      <w:r>
        <w:rPr>
          <w:iCs/>
        </w:rPr>
        <w:t>20</w:t>
      </w:r>
      <w:r w:rsidRPr="005A386A">
        <w:rPr>
          <w:iCs/>
        </w:rPr>
        <w:t>)</w:t>
      </w:r>
      <w:r w:rsidRPr="005A386A">
        <w:t xml:space="preserve">. Retrieved </w:t>
      </w:r>
      <w:r w:rsidRPr="0049145B">
        <w:t xml:space="preserve">from </w:t>
      </w:r>
      <w:hyperlink r:id="rId7" w:history="1">
        <w:r w:rsidRPr="0049145B">
          <w:t>https://unfccc.int/documents/228017</w:t>
        </w:r>
      </w:hyperlink>
      <w:r w:rsidRPr="00CD62EB">
        <w:t>(</w:t>
      </w:r>
      <w:r>
        <w:t>11</w:t>
      </w:r>
      <w:r w:rsidRPr="00CD62EB">
        <w:t xml:space="preserve"> December 20</w:t>
      </w:r>
      <w:r>
        <w:t>20</w:t>
      </w:r>
      <w:r w:rsidRPr="00CD62EB">
        <w:t xml:space="preserve">). Note that the Australian-specific </w:t>
      </w:r>
      <w:r>
        <w:t xml:space="preserve">beef </w:t>
      </w:r>
      <w:r w:rsidRPr="005A386A">
        <w:t xml:space="preserve">cattle IEF value is calculated from a population-based weighted average of pasture and feedlot IEF values from </w:t>
      </w:r>
      <w:r>
        <w:t>beef</w:t>
      </w:r>
      <w:r w:rsidRPr="005A386A">
        <w:t xml:space="preserve"> cattle.</w:t>
      </w:r>
    </w:p>
  </w:footnote>
  <w:footnote w:id="55">
    <w:p w14:paraId="2F961E52" w14:textId="77777777" w:rsidR="005B3CE7" w:rsidRPr="0040348A" w:rsidRDefault="005B3CE7" w:rsidP="004D30A5">
      <w:pPr>
        <w:pStyle w:val="FootnoteText"/>
        <w:spacing w:after="0"/>
      </w:pPr>
      <w:r>
        <w:rPr>
          <w:rStyle w:val="FootnoteReference"/>
        </w:rPr>
        <w:footnoteRef/>
      </w:r>
      <w:r>
        <w:t xml:space="preserve"> </w:t>
      </w:r>
      <w:r>
        <w:tab/>
        <w:t>Flatland is classified as flat pastoral land or plains with a gradient lower than 12 degrees.</w:t>
      </w:r>
    </w:p>
  </w:footnote>
  <w:footnote w:id="56">
    <w:p w14:paraId="2D160522" w14:textId="77777777" w:rsidR="005B3CE7" w:rsidRPr="0040348A" w:rsidRDefault="005B3CE7" w:rsidP="00477DE6">
      <w:pPr>
        <w:pStyle w:val="FootnoteText"/>
        <w:spacing w:after="40"/>
      </w:pPr>
      <w:r>
        <w:rPr>
          <w:rStyle w:val="FootnoteReference"/>
        </w:rPr>
        <w:footnoteRef/>
      </w:r>
      <w:r>
        <w:t xml:space="preserve"> </w:t>
      </w:r>
      <w:r>
        <w:tab/>
        <w:t>Low slopes are classified as hill country pastoral land with a gradient lower than 12 degrees.</w:t>
      </w:r>
    </w:p>
  </w:footnote>
  <w:footnote w:id="57">
    <w:p w14:paraId="40CFBEEC" w14:textId="77777777" w:rsidR="005B3CE7" w:rsidRPr="0040348A" w:rsidRDefault="005B3CE7" w:rsidP="00477DE6">
      <w:pPr>
        <w:pStyle w:val="FootnoteText"/>
        <w:spacing w:after="40"/>
      </w:pPr>
      <w:r>
        <w:rPr>
          <w:rStyle w:val="FootnoteReference"/>
        </w:rPr>
        <w:footnoteRef/>
      </w:r>
      <w:r>
        <w:t xml:space="preserve"> </w:t>
      </w:r>
      <w:r>
        <w:tab/>
        <w:t>Medium slopes are classified as hill country pastoral land with a gradient between 12 degrees</w:t>
      </w:r>
      <w:r>
        <w:rPr>
          <w:vertAlign w:val="superscript"/>
        </w:rPr>
        <w:t xml:space="preserve"> </w:t>
      </w:r>
      <w:r>
        <w:t>and 24 degrees.</w:t>
      </w:r>
    </w:p>
  </w:footnote>
  <w:footnote w:id="58">
    <w:p w14:paraId="7CDC27D7" w14:textId="77777777" w:rsidR="005B3CE7" w:rsidRPr="0040348A" w:rsidRDefault="005B3CE7" w:rsidP="006F2841">
      <w:pPr>
        <w:pStyle w:val="FootnoteText"/>
        <w:spacing w:after="40"/>
      </w:pPr>
      <w:r>
        <w:rPr>
          <w:rStyle w:val="FootnoteReference"/>
        </w:rPr>
        <w:footnoteRef/>
      </w:r>
      <w:r>
        <w:t xml:space="preserve"> </w:t>
      </w:r>
      <w:r>
        <w:tab/>
        <w:t>Steep slopes are classified as hill country pastoral land with a gradient greater than 24</w:t>
      </w:r>
      <w:r>
        <w:rPr>
          <w:vertAlign w:val="superscript"/>
        </w:rPr>
        <w:t xml:space="preserve"> </w:t>
      </w:r>
      <w:r>
        <w:t>degrees.</w:t>
      </w:r>
    </w:p>
  </w:footnote>
  <w:footnote w:id="59">
    <w:p w14:paraId="24F16795" w14:textId="77777777" w:rsidR="005B3CE7" w:rsidRPr="005A386A" w:rsidRDefault="005B3CE7" w:rsidP="00C26084">
      <w:pPr>
        <w:pStyle w:val="FootnoteText"/>
      </w:pPr>
      <w:r w:rsidRPr="005A386A">
        <w:rPr>
          <w:rStyle w:val="FootnoteReference"/>
        </w:rPr>
        <w:footnoteRef/>
      </w:r>
      <w:r w:rsidRPr="005A386A">
        <w:t xml:space="preserve"> </w:t>
      </w:r>
      <w:r w:rsidRPr="005A386A">
        <w:tab/>
        <w:t>For reporting under the 1996 IPCC Guidelines, this parameter was defined as Frac</w:t>
      </w:r>
      <w:r w:rsidRPr="005A386A">
        <w:rPr>
          <w:vertAlign w:val="subscript"/>
        </w:rPr>
        <w:t>LEACH</w:t>
      </w:r>
      <w:r w:rsidRPr="005A386A">
        <w:t>; under the 2006 IPCC Guidelines, it is defined as Frac</w:t>
      </w:r>
      <w:r w:rsidRPr="005A386A">
        <w:rPr>
          <w:vertAlign w:val="subscript"/>
        </w:rPr>
        <w:t>LEACH – (H)</w:t>
      </w:r>
      <w:r w:rsidRPr="005A386A">
        <w:t>.</w:t>
      </w:r>
    </w:p>
  </w:footnote>
  <w:footnote w:id="60">
    <w:p w14:paraId="5C1F7800" w14:textId="77777777" w:rsidR="005B3CE7" w:rsidRPr="005A386A" w:rsidRDefault="005B3CE7" w:rsidP="00C26084">
      <w:pPr>
        <w:pStyle w:val="FootnoteText"/>
      </w:pPr>
      <w:r w:rsidRPr="005A386A">
        <w:rPr>
          <w:rStyle w:val="FootnoteReference"/>
        </w:rPr>
        <w:footnoteRef/>
      </w:r>
      <w:r w:rsidRPr="005A386A">
        <w:t xml:space="preserve"> </w:t>
      </w:r>
      <w:r w:rsidRPr="005A386A">
        <w:tab/>
        <w:t>A New Zealand parameter for Frac</w:t>
      </w:r>
      <w:r w:rsidRPr="005A386A">
        <w:rPr>
          <w:vertAlign w:val="subscript"/>
        </w:rPr>
        <w:t>LEACH</w:t>
      </w:r>
      <w:r w:rsidRPr="005A386A">
        <w:t xml:space="preserve"> of 0.15 was used in inventories submitted before 2003.</w:t>
      </w:r>
    </w:p>
  </w:footnote>
  <w:footnote w:id="61">
    <w:p w14:paraId="3E4B6CAB" w14:textId="77777777" w:rsidR="005B3CE7" w:rsidRPr="005A386A" w:rsidRDefault="005B3CE7" w:rsidP="00C26084">
      <w:pPr>
        <w:pStyle w:val="FootnoteText"/>
        <w:spacing w:after="40"/>
      </w:pPr>
      <w:r w:rsidRPr="005A386A">
        <w:rPr>
          <w:rStyle w:val="FootnoteReference"/>
        </w:rPr>
        <w:footnoteRef/>
      </w:r>
      <w:r w:rsidRPr="005A386A">
        <w:t xml:space="preserve"> </w:t>
      </w:r>
      <w:r w:rsidRPr="005A386A">
        <w:tab/>
        <w:t>Activity data on urease inhibitor usage before 2016 w</w:t>
      </w:r>
      <w:r>
        <w:t>ere</w:t>
      </w:r>
      <w:r w:rsidRPr="005A386A">
        <w:t xml:space="preserve"> provided by Ballance Agri-Nutrients Limited. </w:t>
      </w:r>
    </w:p>
  </w:footnote>
  <w:footnote w:id="62">
    <w:p w14:paraId="5786FEF8" w14:textId="77777777" w:rsidR="005B3CE7" w:rsidRPr="005A386A" w:rsidRDefault="005B3CE7" w:rsidP="00333601">
      <w:pPr>
        <w:pStyle w:val="FootnoteText"/>
      </w:pPr>
      <w:r w:rsidRPr="005A386A">
        <w:rPr>
          <w:rStyle w:val="FootnoteReference"/>
        </w:rPr>
        <w:footnoteRef/>
      </w:r>
      <w:r w:rsidRPr="005A386A">
        <w:tab/>
        <w:t>Land cover consistent with pre-1990 natural forest, pre-1990 planted forest, post-1989 forest and grassland with woody biomass land uses.</w:t>
      </w:r>
    </w:p>
  </w:footnote>
  <w:footnote w:id="63">
    <w:p w14:paraId="70F04AE7" w14:textId="77777777" w:rsidR="005B3CE7" w:rsidRPr="005A386A" w:rsidRDefault="005B3CE7" w:rsidP="00333601">
      <w:pPr>
        <w:pStyle w:val="FootnoteText"/>
        <w:spacing w:after="50"/>
      </w:pPr>
      <w:r w:rsidRPr="005A386A">
        <w:rPr>
          <w:rStyle w:val="FootnoteReference"/>
        </w:rPr>
        <w:footnoteRef/>
      </w:r>
      <w:r w:rsidRPr="005A386A">
        <w:t xml:space="preserve"> </w:t>
      </w:r>
      <w:r w:rsidRPr="005A386A">
        <w:tab/>
        <w:t>‘Destocking’ is defined here as forest loss for any reason including harvesting, deforestation or some type</w:t>
      </w:r>
      <w:r>
        <w:t> </w:t>
      </w:r>
      <w:r w:rsidRPr="005A386A">
        <w:t>of non-anthropogenic change, such as wind damage or erosion.</w:t>
      </w:r>
    </w:p>
  </w:footnote>
  <w:footnote w:id="64">
    <w:p w14:paraId="4D7685D0" w14:textId="77777777" w:rsidR="005B3CE7" w:rsidRPr="005A386A" w:rsidRDefault="005B3CE7" w:rsidP="00333601">
      <w:pPr>
        <w:pStyle w:val="FootnoteText"/>
        <w:spacing w:after="50"/>
      </w:pPr>
      <w:r w:rsidRPr="005A386A">
        <w:rPr>
          <w:rStyle w:val="FootnoteReference"/>
        </w:rPr>
        <w:footnoteRef/>
      </w:r>
      <w:r w:rsidRPr="005A386A">
        <w:tab/>
        <w:t xml:space="preserve">To distinguish between deforestation and temporary tree crown cover removal in forest land, New Zealand has defined the expected period between the removal of tree cover and successful natural regeneration or planting as four years. </w:t>
      </w:r>
    </w:p>
  </w:footnote>
  <w:footnote w:id="65">
    <w:p w14:paraId="56F86D2E" w14:textId="77777777" w:rsidR="005B3CE7" w:rsidRPr="005A386A" w:rsidRDefault="005B3CE7" w:rsidP="00333601">
      <w:pPr>
        <w:pStyle w:val="FootnoteText"/>
        <w:spacing w:after="0"/>
      </w:pPr>
      <w:r w:rsidRPr="005A386A">
        <w:rPr>
          <w:rStyle w:val="FootnoteReference"/>
        </w:rPr>
        <w:footnoteRef/>
      </w:r>
      <w:r w:rsidRPr="005A386A">
        <w:tab/>
        <w:t>Often regenerating shrubland areas are sprayed but land-use conversion is not completed by clearing the</w:t>
      </w:r>
      <w:r>
        <w:t> </w:t>
      </w:r>
      <w:r w:rsidRPr="005A386A">
        <w:t>area. In these instances, the vegetation regenerates and recovers, therefore land-use change has not</w:t>
      </w:r>
      <w:r>
        <w:t> </w:t>
      </w:r>
      <w:r w:rsidRPr="005A386A">
        <w:t>occurred.</w:t>
      </w:r>
    </w:p>
  </w:footnote>
  <w:footnote w:id="66">
    <w:p w14:paraId="138157C7" w14:textId="77777777" w:rsidR="005B3CE7" w:rsidRPr="00CB1324" w:rsidRDefault="005B3CE7" w:rsidP="00333601">
      <w:pPr>
        <w:pStyle w:val="FootnoteText"/>
      </w:pPr>
      <w:r w:rsidRPr="005A386A">
        <w:rPr>
          <w:rStyle w:val="FootnoteReference"/>
        </w:rPr>
        <w:footnoteRef/>
      </w:r>
      <w:r w:rsidRPr="005A386A">
        <w:t xml:space="preserve"> </w:t>
      </w:r>
      <w:r w:rsidRPr="005A386A">
        <w:tab/>
        <w:t>The SPOT-6 natural colour 1.5-metre resolution imagery was acquired in the summers of 2012/13 and 2013/14 making it generally one year later than the SPOT-5 multi-spectral 10-metre resolution imagery used to create the 2012 land use map.</w:t>
      </w:r>
    </w:p>
  </w:footnote>
  <w:footnote w:id="67">
    <w:p w14:paraId="64112D81" w14:textId="77777777" w:rsidR="005B3CE7" w:rsidRPr="005A386A" w:rsidRDefault="005B3CE7" w:rsidP="00333601">
      <w:pPr>
        <w:pStyle w:val="FootnoteText"/>
        <w:spacing w:after="0"/>
      </w:pPr>
      <w:r w:rsidRPr="005A386A">
        <w:rPr>
          <w:rStyle w:val="FootnoteReference"/>
        </w:rPr>
        <w:footnoteRef/>
      </w:r>
      <w:r w:rsidRPr="005A386A">
        <w:tab/>
        <w:t>An exception occurred in the creation of the Clyde Dam. The Clutha River in the South Island was dammed, creating Lake Dunstan. The area flooded was mostly low producing grassland.</w:t>
      </w:r>
    </w:p>
  </w:footnote>
  <w:footnote w:id="68">
    <w:p w14:paraId="2D6D6A17" w14:textId="77777777" w:rsidR="005B3CE7" w:rsidRDefault="005B3CE7" w:rsidP="007251D5">
      <w:pPr>
        <w:pStyle w:val="FootnoteText"/>
        <w:spacing w:after="0"/>
      </w:pPr>
      <w:r>
        <w:rPr>
          <w:rStyle w:val="FootnoteReference"/>
        </w:rPr>
        <w:footnoteRef/>
      </w:r>
      <w:r>
        <w:t xml:space="preserve"> </w:t>
      </w:r>
      <w:r>
        <w:tab/>
        <w:t>The sites categorised as ‘unmanaged’ may actually be managed by requirements such as council consent conditions; however, they do not meet the definition of a managed landfill under the greenhouse gas inventory.</w:t>
      </w:r>
    </w:p>
  </w:footnote>
  <w:footnote w:id="69">
    <w:p w14:paraId="49313A59" w14:textId="77777777" w:rsidR="005B3CE7" w:rsidRPr="005A386A" w:rsidRDefault="005B3CE7" w:rsidP="007F00E5">
      <w:pPr>
        <w:pStyle w:val="FootnoteText"/>
        <w:spacing w:after="0"/>
      </w:pPr>
      <w:r w:rsidRPr="005A386A">
        <w:rPr>
          <w:rStyle w:val="FootnoteReference"/>
        </w:rPr>
        <w:footnoteRef/>
      </w:r>
      <w:r w:rsidRPr="005A386A">
        <w:t xml:space="preserve"> </w:t>
      </w:r>
      <w:r w:rsidRPr="005A386A">
        <w:tab/>
      </w:r>
      <w:r w:rsidRPr="005A386A">
        <w:rPr>
          <w:shd w:val="clear" w:color="auto" w:fill="FFFFFF"/>
        </w:rPr>
        <w:t>In the United Nations Charter (U</w:t>
      </w:r>
      <w:r>
        <w:rPr>
          <w:shd w:val="clear" w:color="auto" w:fill="FFFFFF"/>
        </w:rPr>
        <w:t xml:space="preserve">nited </w:t>
      </w:r>
      <w:r w:rsidRPr="005A386A">
        <w:rPr>
          <w:shd w:val="clear" w:color="auto" w:fill="FFFFFF"/>
        </w:rPr>
        <w:t>N</w:t>
      </w:r>
      <w:r>
        <w:rPr>
          <w:shd w:val="clear" w:color="auto" w:fill="FFFFFF"/>
        </w:rPr>
        <w:t>ations</w:t>
      </w:r>
      <w:r w:rsidRPr="005A386A">
        <w:rPr>
          <w:shd w:val="clear" w:color="auto" w:fill="FFFFFF"/>
        </w:rPr>
        <w:t>, 1945), a non-self-governing territory is defined as a territory “whose people have not yet attained a full measure of self-government”. Tokelau has been on</w:t>
      </w:r>
      <w:r>
        <w:rPr>
          <w:shd w:val="clear" w:color="auto" w:fill="FFFFFF"/>
        </w:rPr>
        <w:t> </w:t>
      </w:r>
      <w:r w:rsidRPr="005A386A">
        <w:rPr>
          <w:shd w:val="clear" w:color="auto" w:fill="FFFFFF"/>
        </w:rPr>
        <w:t xml:space="preserve">the United Nations list of non-self-governing territories since 1946, following the declaration of the intention by New Zealand to </w:t>
      </w:r>
      <w:r w:rsidRPr="0010616B">
        <w:rPr>
          <w:shd w:val="clear" w:color="auto" w:fill="FFFFFF"/>
        </w:rPr>
        <w:t>transmit information on the Tokelau Islands under Article 73e of the United</w:t>
      </w:r>
      <w:r>
        <w:rPr>
          <w:shd w:val="clear" w:color="auto" w:fill="FFFFFF"/>
        </w:rPr>
        <w:t> </w:t>
      </w:r>
      <w:r w:rsidRPr="0010616B">
        <w:rPr>
          <w:shd w:val="clear" w:color="auto" w:fill="FFFFFF"/>
        </w:rPr>
        <w:t>Nations Charter</w:t>
      </w:r>
      <w:r w:rsidRPr="005A386A">
        <w:rPr>
          <w:shd w:val="clear" w:color="auto" w:fill="FFFFFF"/>
        </w:rPr>
        <w:t>.</w:t>
      </w:r>
    </w:p>
  </w:footnote>
  <w:footnote w:id="70">
    <w:p w14:paraId="00984A91" w14:textId="77777777" w:rsidR="005B3CE7" w:rsidRPr="005A386A" w:rsidRDefault="005B3CE7" w:rsidP="007F00E5">
      <w:pPr>
        <w:pStyle w:val="FootnoteText"/>
      </w:pPr>
      <w:r w:rsidRPr="005A386A">
        <w:rPr>
          <w:rStyle w:val="FootnoteReference"/>
        </w:rPr>
        <w:footnoteRef/>
      </w:r>
      <w:r w:rsidRPr="005A386A">
        <w:t xml:space="preserve"> </w:t>
      </w:r>
      <w:r w:rsidRPr="005A386A">
        <w:tab/>
        <w:t xml:space="preserve">See </w:t>
      </w:r>
      <w:r w:rsidRPr="00005EB6">
        <w:t>page 46 on</w:t>
      </w:r>
      <w:r w:rsidRPr="00005EB6">
        <w:rPr>
          <w:rStyle w:val="Hyperlink"/>
          <w:color w:val="auto"/>
        </w:rPr>
        <w:t xml:space="preserve"> </w:t>
      </w:r>
      <w:hyperlink r:id="rId8" w:history="1">
        <w:r w:rsidRPr="00CF2812">
          <w:rPr>
            <w:rStyle w:val="Hyperlink"/>
          </w:rPr>
          <w:t>www.mfat.govt.nz/assets/Aid-Prog-docs/Evaluations/2015/Dec-2015/MFAT-Tokelau-Country-Programme-Eval-Final-v5-09122015.pdf</w:t>
        </w:r>
      </w:hyperlink>
      <w:r>
        <w:rPr>
          <w:rStyle w:val="Hyperlink"/>
        </w:rPr>
        <w:t>.</w:t>
      </w:r>
      <w:r>
        <w:t xml:space="preserve"> </w:t>
      </w:r>
    </w:p>
  </w:footnote>
  <w:footnote w:id="71">
    <w:p w14:paraId="6D71552B" w14:textId="77777777" w:rsidR="005B3CE7" w:rsidRPr="005A386A" w:rsidRDefault="005B3CE7" w:rsidP="007F00E5">
      <w:pPr>
        <w:pStyle w:val="FootnoteText"/>
        <w:spacing w:after="0"/>
        <w:rPr>
          <w:szCs w:val="19"/>
        </w:rPr>
      </w:pPr>
      <w:r w:rsidRPr="005A386A">
        <w:rPr>
          <w:rStyle w:val="FootnoteReference"/>
          <w:szCs w:val="19"/>
        </w:rPr>
        <w:footnoteRef/>
      </w:r>
      <w:r w:rsidRPr="005A386A">
        <w:rPr>
          <w:szCs w:val="19"/>
        </w:rPr>
        <w:t xml:space="preserve"> </w:t>
      </w:r>
      <w:r w:rsidRPr="005A386A">
        <w:rPr>
          <w:szCs w:val="19"/>
        </w:rPr>
        <w:tab/>
        <w:t xml:space="preserve">A keyhole garden is a small (approximately 2.5 metre diameter) circular raised garden with a keyhole-shaped indentation on one side. </w:t>
      </w:r>
      <w:r>
        <w:rPr>
          <w:szCs w:val="19"/>
        </w:rPr>
        <w:t>M</w:t>
      </w:r>
      <w:r w:rsidRPr="005A386A">
        <w:rPr>
          <w:szCs w:val="19"/>
        </w:rPr>
        <w:t xml:space="preserve">oisture and nutrients </w:t>
      </w:r>
      <w:r>
        <w:rPr>
          <w:szCs w:val="19"/>
        </w:rPr>
        <w:t>flow from</w:t>
      </w:r>
      <w:r w:rsidRPr="005A386A">
        <w:rPr>
          <w:szCs w:val="19"/>
        </w:rPr>
        <w:t xml:space="preserve"> an active compost pile placed in the centre of a round </w:t>
      </w:r>
      <w:r>
        <w:rPr>
          <w:szCs w:val="19"/>
        </w:rPr>
        <w:t xml:space="preserve">plant </w:t>
      </w:r>
      <w:r w:rsidRPr="005A386A">
        <w:rPr>
          <w:szCs w:val="19"/>
        </w:rPr>
        <w:t xml:space="preserve">bed. </w:t>
      </w:r>
    </w:p>
  </w:footnote>
  <w:footnote w:id="72">
    <w:p w14:paraId="2FDD512D" w14:textId="77777777" w:rsidR="005B3CE7" w:rsidRPr="00902485" w:rsidRDefault="005B3CE7" w:rsidP="007F00E5">
      <w:pPr>
        <w:pStyle w:val="FootnoteText"/>
        <w:spacing w:after="0"/>
      </w:pPr>
      <w:r w:rsidRPr="005A386A">
        <w:rPr>
          <w:rStyle w:val="FootnoteReference"/>
          <w:szCs w:val="19"/>
        </w:rPr>
        <w:footnoteRef/>
      </w:r>
      <w:r w:rsidRPr="005A386A">
        <w:t xml:space="preserve"> </w:t>
      </w:r>
      <w:r w:rsidRPr="005A386A">
        <w:tab/>
        <w:t xml:space="preserve">See </w:t>
      </w:r>
      <w:r w:rsidRPr="00D027B4">
        <w:t>Government</w:t>
      </w:r>
      <w:r w:rsidRPr="005A386A">
        <w:t xml:space="preserve"> of Tokelau. 2017. </w:t>
      </w:r>
      <w:r w:rsidRPr="005A386A">
        <w:rPr>
          <w:i/>
        </w:rPr>
        <w:t>Solid Waste Management: MOU Signed between Tokelau EDNRE and</w:t>
      </w:r>
      <w:r>
        <w:rPr>
          <w:i/>
        </w:rPr>
        <w:t> </w:t>
      </w:r>
      <w:r w:rsidRPr="005A386A">
        <w:rPr>
          <w:i/>
        </w:rPr>
        <w:t>Pacific Recycle Co. Ltd</w:t>
      </w:r>
      <w:r w:rsidRPr="005A386A">
        <w:t xml:space="preserve">. Retrieved from </w:t>
      </w:r>
      <w:hyperlink r:id="rId9" w:history="1">
        <w:r w:rsidRPr="00E76A20">
          <w:rPr>
            <w:rStyle w:val="Hyperlink"/>
          </w:rPr>
          <w:t>www.tokelau.org.nz/Bulletin/December+ 2017/Solid+Waste+ Management+MOU+Signed+between+Tokelau+EDNRE+and+Pacific++Recycle+Co.+Ltd.html</w:t>
        </w:r>
      </w:hyperlink>
      <w:r w:rsidRPr="00902485">
        <w:rPr>
          <w:rStyle w:val="Hyperlink"/>
          <w:color w:val="auto"/>
          <w:szCs w:val="19"/>
        </w:rPr>
        <w:t xml:space="preserve"> </w:t>
      </w:r>
      <w:r w:rsidRPr="00902485">
        <w:rPr>
          <w:rStyle w:val="Hyperlink"/>
          <w:color w:val="auto"/>
          <w:szCs w:val="19"/>
        </w:rPr>
        <w:br/>
        <w:t>(9 March 2018).</w:t>
      </w:r>
    </w:p>
  </w:footnote>
  <w:footnote w:id="73">
    <w:p w14:paraId="38FC116C" w14:textId="503C386E" w:rsidR="005B3CE7" w:rsidRDefault="005B3CE7" w:rsidP="007E0025">
      <w:pPr>
        <w:pStyle w:val="FootnoteText"/>
      </w:pPr>
      <w:r>
        <w:rPr>
          <w:rStyle w:val="FootnoteReference"/>
        </w:rPr>
        <w:footnoteRef/>
      </w:r>
      <w:r>
        <w:t xml:space="preserve"> </w:t>
      </w:r>
      <w:r>
        <w:tab/>
        <w:t>Metabolisable energy content is the energy available to an animal from the digestion of feed material.</w:t>
      </w:r>
    </w:p>
  </w:footnote>
  <w:footnote w:id="74">
    <w:p w14:paraId="0AC0012B" w14:textId="77777777" w:rsidR="005B3CE7" w:rsidRPr="005A386A" w:rsidRDefault="005B3CE7" w:rsidP="003571FF">
      <w:pPr>
        <w:pStyle w:val="FootnoteText"/>
        <w:spacing w:after="0"/>
      </w:pPr>
      <w:r w:rsidRPr="005A386A">
        <w:rPr>
          <w:rStyle w:val="FootnoteReference"/>
        </w:rPr>
        <w:footnoteRef/>
      </w:r>
      <w:r w:rsidRPr="005A386A">
        <w:tab/>
        <w:t>Including emissions from harvesting of post-1989 forest.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4CCF70B" w14:textId="27DC0F7F" w:rsidR="005B3CE7" w:rsidRDefault="005B3CE7" w:rsidP="00B44BA5">
    <w:pPr>
      <w:pStyle w:val="Header"/>
      <w:ind w:left="-567"/>
      <w:jc w:val="lef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EA2C93" w14:textId="77777777" w:rsidR="005B3CE7" w:rsidRDefault="005B3CE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8353D1C" w14:textId="77777777" w:rsidR="005B3CE7" w:rsidRDefault="005B3CE7">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26D6F88" w14:textId="77777777" w:rsidR="005B3CE7" w:rsidRDefault="005B3CE7">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AE8DF4" w14:textId="77777777" w:rsidR="005B3CE7" w:rsidRDefault="005B3CE7">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D4D8C7" w14:textId="77777777" w:rsidR="005B3CE7" w:rsidRDefault="005B3CE7">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EB86D8B" w14:textId="77777777" w:rsidR="005B3CE7" w:rsidRDefault="005B3CE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EA454B4C"/>
    <w:multiLevelType w:val="multilevel"/>
    <w:tmpl w:val="65D4F058"/>
    <w:lvl w:ilvl="0">
      <w:numFmt w:val="bullet"/>
      <w:pStyle w:val="Keypointsbullet"/>
      <w:lvlText w:val="•"/>
      <w:lvlJc w:val="left"/>
      <w:pPr>
        <w:tabs>
          <w:tab w:val="num" w:pos="0"/>
        </w:tabs>
        <w:ind w:left="480" w:hanging="480"/>
      </w:pPr>
    </w:lvl>
    <w:lvl w:ilvl="1">
      <w:numFmt w:val="bullet"/>
      <w:lvlText w:val="–"/>
      <w:lvlJc w:val="left"/>
      <w:pPr>
        <w:tabs>
          <w:tab w:val="num" w:pos="720"/>
        </w:tabs>
        <w:ind w:left="1200" w:hanging="480"/>
      </w:pPr>
    </w:lvl>
    <w:lvl w:ilvl="2">
      <w:numFmt w:val="bullet"/>
      <w:lvlText w:val="•"/>
      <w:lvlJc w:val="left"/>
      <w:pPr>
        <w:tabs>
          <w:tab w:val="num" w:pos="1440"/>
        </w:tabs>
        <w:ind w:left="1920" w:hanging="480"/>
      </w:pPr>
    </w:lvl>
    <w:lvl w:ilvl="3">
      <w:numFmt w:val="bullet"/>
      <w:lvlText w:val="–"/>
      <w:lvlJc w:val="left"/>
      <w:pPr>
        <w:tabs>
          <w:tab w:val="num" w:pos="2160"/>
        </w:tabs>
        <w:ind w:left="2640" w:hanging="480"/>
      </w:pPr>
    </w:lvl>
    <w:lvl w:ilvl="4">
      <w:numFmt w:val="bullet"/>
      <w:lvlText w:val="•"/>
      <w:lvlJc w:val="left"/>
      <w:pPr>
        <w:tabs>
          <w:tab w:val="num" w:pos="2880"/>
        </w:tabs>
        <w:ind w:left="3360" w:hanging="480"/>
      </w:pPr>
    </w:lvl>
    <w:lvl w:ilvl="5">
      <w:numFmt w:val="bullet"/>
      <w:lvlText w:val="–"/>
      <w:lvlJc w:val="left"/>
      <w:pPr>
        <w:tabs>
          <w:tab w:val="num" w:pos="3600"/>
        </w:tabs>
        <w:ind w:left="4080" w:hanging="480"/>
      </w:pPr>
    </w:lvl>
    <w:lvl w:ilvl="6">
      <w:numFmt w:val="bullet"/>
      <w:lvlText w:val="•"/>
      <w:lvlJc w:val="left"/>
      <w:pPr>
        <w:tabs>
          <w:tab w:val="num" w:pos="4320"/>
        </w:tabs>
        <w:ind w:left="4800" w:hanging="480"/>
      </w:pPr>
    </w:lvl>
    <w:lvl w:ilvl="7">
      <w:numFmt w:val="bullet"/>
      <w:lvlText w:val="–"/>
      <w:lvlJc w:val="left"/>
      <w:pPr>
        <w:tabs>
          <w:tab w:val="num" w:pos="5040"/>
        </w:tabs>
        <w:ind w:left="5520" w:hanging="480"/>
      </w:pPr>
    </w:lvl>
    <w:lvl w:ilvl="8">
      <w:numFmt w:val="bullet"/>
      <w:lvlText w:val="•"/>
      <w:lvlJc w:val="left"/>
      <w:pPr>
        <w:tabs>
          <w:tab w:val="num" w:pos="5760"/>
        </w:tabs>
        <w:ind w:left="6240" w:hanging="480"/>
      </w:pPr>
    </w:lvl>
  </w:abstractNum>
  <w:abstractNum w:abstractNumId="1" w15:restartNumberingAfterBreak="0">
    <w:nsid w:val="FFFFFF7C"/>
    <w:multiLevelType w:val="singleLevel"/>
    <w:tmpl w:val="CE786C8A"/>
    <w:lvl w:ilvl="0">
      <w:start w:val="1"/>
      <w:numFmt w:val="decimal"/>
      <w:pStyle w:val="ListNumber5"/>
      <w:lvlText w:val="%1."/>
      <w:lvlJc w:val="left"/>
      <w:pPr>
        <w:tabs>
          <w:tab w:val="num" w:pos="1492"/>
        </w:tabs>
        <w:ind w:left="1492" w:hanging="360"/>
      </w:pPr>
    </w:lvl>
  </w:abstractNum>
  <w:abstractNum w:abstractNumId="2" w15:restartNumberingAfterBreak="0">
    <w:nsid w:val="FFFFFF7D"/>
    <w:multiLevelType w:val="singleLevel"/>
    <w:tmpl w:val="1D6AC9AC"/>
    <w:lvl w:ilvl="0">
      <w:start w:val="1"/>
      <w:numFmt w:val="decimal"/>
      <w:pStyle w:val="ListNumber4"/>
      <w:lvlText w:val="%1."/>
      <w:lvlJc w:val="left"/>
      <w:pPr>
        <w:tabs>
          <w:tab w:val="num" w:pos="1209"/>
        </w:tabs>
        <w:ind w:left="1209" w:hanging="360"/>
      </w:pPr>
    </w:lvl>
  </w:abstractNum>
  <w:abstractNum w:abstractNumId="3" w15:restartNumberingAfterBreak="0">
    <w:nsid w:val="FFFFFF80"/>
    <w:multiLevelType w:val="singleLevel"/>
    <w:tmpl w:val="548CEFF2"/>
    <w:lvl w:ilvl="0">
      <w:start w:val="1"/>
      <w:numFmt w:val="bullet"/>
      <w:pStyle w:val="ListBullet5"/>
      <w:lvlText w:val=""/>
      <w:lvlJc w:val="left"/>
      <w:pPr>
        <w:tabs>
          <w:tab w:val="num" w:pos="1492"/>
        </w:tabs>
        <w:ind w:left="1492" w:hanging="360"/>
      </w:pPr>
      <w:rPr>
        <w:rFonts w:ascii="Symbol" w:hAnsi="Symbol" w:hint="default"/>
      </w:rPr>
    </w:lvl>
  </w:abstractNum>
  <w:abstractNum w:abstractNumId="4" w15:restartNumberingAfterBreak="0">
    <w:nsid w:val="FFFFFF81"/>
    <w:multiLevelType w:val="singleLevel"/>
    <w:tmpl w:val="E3000008"/>
    <w:lvl w:ilvl="0">
      <w:start w:val="1"/>
      <w:numFmt w:val="bullet"/>
      <w:pStyle w:val="ListBullet4"/>
      <w:lvlText w:val=""/>
      <w:lvlJc w:val="left"/>
      <w:pPr>
        <w:tabs>
          <w:tab w:val="num" w:pos="1209"/>
        </w:tabs>
        <w:ind w:left="1209" w:hanging="360"/>
      </w:pPr>
      <w:rPr>
        <w:rFonts w:ascii="Symbol" w:hAnsi="Symbol" w:hint="default"/>
      </w:rPr>
    </w:lvl>
  </w:abstractNum>
  <w:abstractNum w:abstractNumId="5" w15:restartNumberingAfterBreak="0">
    <w:nsid w:val="FFFFFF82"/>
    <w:multiLevelType w:val="singleLevel"/>
    <w:tmpl w:val="132E234E"/>
    <w:lvl w:ilvl="0">
      <w:start w:val="1"/>
      <w:numFmt w:val="bullet"/>
      <w:pStyle w:val="ListBullet3"/>
      <w:lvlText w:val=""/>
      <w:lvlJc w:val="left"/>
      <w:pPr>
        <w:tabs>
          <w:tab w:val="num" w:pos="926"/>
        </w:tabs>
        <w:ind w:left="926" w:hanging="360"/>
      </w:pPr>
      <w:rPr>
        <w:rFonts w:ascii="Symbol" w:hAnsi="Symbol" w:hint="default"/>
      </w:rPr>
    </w:lvl>
  </w:abstractNum>
  <w:abstractNum w:abstractNumId="6" w15:restartNumberingAfterBreak="0">
    <w:nsid w:val="FFFFFF83"/>
    <w:multiLevelType w:val="singleLevel"/>
    <w:tmpl w:val="3F6446A0"/>
    <w:lvl w:ilvl="0">
      <w:start w:val="1"/>
      <w:numFmt w:val="bullet"/>
      <w:pStyle w:val="ListBullet2"/>
      <w:lvlText w:val=""/>
      <w:lvlJc w:val="left"/>
      <w:pPr>
        <w:tabs>
          <w:tab w:val="num" w:pos="643"/>
        </w:tabs>
        <w:ind w:left="643" w:hanging="360"/>
      </w:pPr>
      <w:rPr>
        <w:rFonts w:ascii="Symbol" w:hAnsi="Symbol" w:hint="default"/>
      </w:rPr>
    </w:lvl>
  </w:abstractNum>
  <w:abstractNum w:abstractNumId="7" w15:restartNumberingAfterBreak="0">
    <w:nsid w:val="FFFFFF89"/>
    <w:multiLevelType w:val="singleLevel"/>
    <w:tmpl w:val="FD86B90A"/>
    <w:lvl w:ilvl="0">
      <w:start w:val="1"/>
      <w:numFmt w:val="bullet"/>
      <w:pStyle w:val="ListBullet"/>
      <w:lvlText w:val=""/>
      <w:lvlJc w:val="left"/>
      <w:pPr>
        <w:tabs>
          <w:tab w:val="num" w:pos="360"/>
        </w:tabs>
        <w:ind w:left="360" w:hanging="360"/>
      </w:pPr>
      <w:rPr>
        <w:rFonts w:ascii="Symbol" w:hAnsi="Symbol" w:hint="default"/>
      </w:rPr>
    </w:lvl>
  </w:abstractNum>
  <w:abstractNum w:abstractNumId="8" w15:restartNumberingAfterBreak="0">
    <w:nsid w:val="FFFFFFFE"/>
    <w:multiLevelType w:val="singleLevel"/>
    <w:tmpl w:val="E5101BE4"/>
    <w:lvl w:ilvl="0">
      <w:numFmt w:val="decimal"/>
      <w:lvlText w:val="*"/>
      <w:lvlJc w:val="left"/>
    </w:lvl>
  </w:abstractNum>
  <w:abstractNum w:abstractNumId="9" w15:restartNumberingAfterBreak="0">
    <w:nsid w:val="041849F3"/>
    <w:multiLevelType w:val="hybridMultilevel"/>
    <w:tmpl w:val="9234825C"/>
    <w:lvl w:ilvl="0" w:tplc="4AE8F718">
      <w:start w:val="1"/>
      <w:numFmt w:val="lowerLetter"/>
      <w:pStyle w:val="a"/>
      <w:lvlText w:val="(%1)"/>
      <w:lvlJc w:val="left"/>
      <w:pPr>
        <w:tabs>
          <w:tab w:val="num" w:pos="720"/>
        </w:tabs>
        <w:ind w:left="720" w:hanging="360"/>
      </w:pPr>
      <w:rPr>
        <w:rFonts w:hint="default"/>
      </w:rPr>
    </w:lvl>
    <w:lvl w:ilvl="1" w:tplc="08090019">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0" w15:restartNumberingAfterBreak="0">
    <w:nsid w:val="04B67626"/>
    <w:multiLevelType w:val="hybridMultilevel"/>
    <w:tmpl w:val="9E70C15A"/>
    <w:lvl w:ilvl="0" w:tplc="FFFFFFFF">
      <w:start w:val="1"/>
      <w:numFmt w:val="decimal"/>
      <w:pStyle w:val="Numberedparagraph"/>
      <w:lvlText w:val="%1."/>
      <w:lvlJc w:val="left"/>
      <w:pPr>
        <w:tabs>
          <w:tab w:val="num" w:pos="397"/>
        </w:tabs>
        <w:ind w:left="397" w:hanging="397"/>
      </w:pPr>
      <w:rPr>
        <w:rFonts w:ascii="Times New Roman" w:hAnsi="Times New Roman" w:cs="Arial" w:hint="default"/>
        <w:b w:val="0"/>
        <w:i w:val="0"/>
        <w:color w:val="auto"/>
        <w:sz w:val="22"/>
        <w:szCs w:val="22"/>
      </w:rPr>
    </w:lvl>
    <w:lvl w:ilvl="1" w:tplc="FFFFFFFF">
      <w:start w:val="1"/>
      <w:numFmt w:val="lowerLetter"/>
      <w:lvlText w:val="%2."/>
      <w:lvlJc w:val="left"/>
      <w:pPr>
        <w:tabs>
          <w:tab w:val="num" w:pos="1440"/>
        </w:tabs>
        <w:ind w:left="1440" w:hanging="360"/>
      </w:pPr>
      <w:rPr>
        <w:b/>
      </w:r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1" w15:restartNumberingAfterBreak="0">
    <w:nsid w:val="04F6031F"/>
    <w:multiLevelType w:val="hybridMultilevel"/>
    <w:tmpl w:val="CE44A972"/>
    <w:lvl w:ilvl="0" w:tplc="1409000F">
      <w:start w:val="1"/>
      <w:numFmt w:val="decimal"/>
      <w:lvlText w:val="%1."/>
      <w:lvlJc w:val="left"/>
      <w:pPr>
        <w:ind w:left="720" w:hanging="360"/>
      </w:pPr>
    </w:lvl>
    <w:lvl w:ilvl="1" w:tplc="14090019">
      <w:start w:val="1"/>
      <w:numFmt w:val="lowerLetter"/>
      <w:lvlText w:val="%2."/>
      <w:lvlJc w:val="left"/>
      <w:pPr>
        <w:ind w:left="1440" w:hanging="360"/>
      </w:pPr>
    </w:lvl>
    <w:lvl w:ilvl="2" w:tplc="1409001B">
      <w:start w:val="1"/>
      <w:numFmt w:val="lowerRoman"/>
      <w:lvlText w:val="%3."/>
      <w:lvlJc w:val="right"/>
      <w:pPr>
        <w:ind w:left="2160" w:hanging="180"/>
      </w:pPr>
    </w:lvl>
    <w:lvl w:ilvl="3" w:tplc="1409000F">
      <w:start w:val="1"/>
      <w:numFmt w:val="decimal"/>
      <w:lvlText w:val="%4."/>
      <w:lvlJc w:val="left"/>
      <w:pPr>
        <w:ind w:left="2880" w:hanging="360"/>
      </w:pPr>
    </w:lvl>
    <w:lvl w:ilvl="4" w:tplc="14090019">
      <w:start w:val="1"/>
      <w:numFmt w:val="lowerLetter"/>
      <w:lvlText w:val="%5."/>
      <w:lvlJc w:val="left"/>
      <w:pPr>
        <w:ind w:left="3600" w:hanging="360"/>
      </w:pPr>
    </w:lvl>
    <w:lvl w:ilvl="5" w:tplc="1409001B">
      <w:start w:val="1"/>
      <w:numFmt w:val="lowerRoman"/>
      <w:lvlText w:val="%6."/>
      <w:lvlJc w:val="right"/>
      <w:pPr>
        <w:ind w:left="4320" w:hanging="180"/>
      </w:pPr>
    </w:lvl>
    <w:lvl w:ilvl="6" w:tplc="1409000F">
      <w:start w:val="1"/>
      <w:numFmt w:val="decimal"/>
      <w:lvlText w:val="%7."/>
      <w:lvlJc w:val="left"/>
      <w:pPr>
        <w:ind w:left="5040" w:hanging="360"/>
      </w:pPr>
    </w:lvl>
    <w:lvl w:ilvl="7" w:tplc="14090019">
      <w:start w:val="1"/>
      <w:numFmt w:val="lowerLetter"/>
      <w:lvlText w:val="%8."/>
      <w:lvlJc w:val="left"/>
      <w:pPr>
        <w:ind w:left="5760" w:hanging="360"/>
      </w:pPr>
    </w:lvl>
    <w:lvl w:ilvl="8" w:tplc="1409001B">
      <w:start w:val="1"/>
      <w:numFmt w:val="lowerRoman"/>
      <w:lvlText w:val="%9."/>
      <w:lvlJc w:val="right"/>
      <w:pPr>
        <w:ind w:left="6480" w:hanging="180"/>
      </w:pPr>
    </w:lvl>
  </w:abstractNum>
  <w:abstractNum w:abstractNumId="12" w15:restartNumberingAfterBreak="0">
    <w:nsid w:val="0AA937C0"/>
    <w:multiLevelType w:val="hybridMultilevel"/>
    <w:tmpl w:val="6B0C318C"/>
    <w:lvl w:ilvl="0" w:tplc="1409000F">
      <w:start w:val="1"/>
      <w:numFmt w:val="decimal"/>
      <w:lvlText w:val="%1."/>
      <w:lvlJc w:val="left"/>
      <w:pPr>
        <w:ind w:left="720" w:hanging="360"/>
      </w:pPr>
    </w:lvl>
    <w:lvl w:ilvl="1" w:tplc="32CAB862">
      <w:start w:val="1"/>
      <w:numFmt w:val="lowerLetter"/>
      <w:pStyle w:val="Boxa"/>
      <w:lvlText w:val="%2."/>
      <w:lvlJc w:val="left"/>
      <w:pPr>
        <w:ind w:left="1440" w:hanging="360"/>
      </w:pPr>
    </w:lvl>
    <w:lvl w:ilvl="2" w:tplc="1409001B">
      <w:start w:val="1"/>
      <w:numFmt w:val="decimal"/>
      <w:lvlText w:val="%3."/>
      <w:lvlJc w:val="left"/>
      <w:pPr>
        <w:tabs>
          <w:tab w:val="num" w:pos="2160"/>
        </w:tabs>
        <w:ind w:left="2160" w:hanging="360"/>
      </w:pPr>
    </w:lvl>
    <w:lvl w:ilvl="3" w:tplc="1409000F">
      <w:start w:val="1"/>
      <w:numFmt w:val="decimal"/>
      <w:lvlText w:val="%4."/>
      <w:lvlJc w:val="left"/>
      <w:pPr>
        <w:tabs>
          <w:tab w:val="num" w:pos="2880"/>
        </w:tabs>
        <w:ind w:left="2880" w:hanging="360"/>
      </w:pPr>
    </w:lvl>
    <w:lvl w:ilvl="4" w:tplc="14090019">
      <w:start w:val="1"/>
      <w:numFmt w:val="decimal"/>
      <w:lvlText w:val="%5."/>
      <w:lvlJc w:val="left"/>
      <w:pPr>
        <w:tabs>
          <w:tab w:val="num" w:pos="3600"/>
        </w:tabs>
        <w:ind w:left="3600" w:hanging="360"/>
      </w:pPr>
    </w:lvl>
    <w:lvl w:ilvl="5" w:tplc="1409001B">
      <w:start w:val="1"/>
      <w:numFmt w:val="decimal"/>
      <w:lvlText w:val="%6."/>
      <w:lvlJc w:val="left"/>
      <w:pPr>
        <w:tabs>
          <w:tab w:val="num" w:pos="4320"/>
        </w:tabs>
        <w:ind w:left="4320" w:hanging="360"/>
      </w:pPr>
    </w:lvl>
    <w:lvl w:ilvl="6" w:tplc="1409000F">
      <w:start w:val="1"/>
      <w:numFmt w:val="decimal"/>
      <w:lvlText w:val="%7."/>
      <w:lvlJc w:val="left"/>
      <w:pPr>
        <w:tabs>
          <w:tab w:val="num" w:pos="5040"/>
        </w:tabs>
        <w:ind w:left="5040" w:hanging="360"/>
      </w:pPr>
    </w:lvl>
    <w:lvl w:ilvl="7" w:tplc="14090019">
      <w:start w:val="1"/>
      <w:numFmt w:val="decimal"/>
      <w:lvlText w:val="%8."/>
      <w:lvlJc w:val="left"/>
      <w:pPr>
        <w:tabs>
          <w:tab w:val="num" w:pos="5760"/>
        </w:tabs>
        <w:ind w:left="5760" w:hanging="360"/>
      </w:pPr>
    </w:lvl>
    <w:lvl w:ilvl="8" w:tplc="1409001B">
      <w:start w:val="1"/>
      <w:numFmt w:val="decimal"/>
      <w:lvlText w:val="%9."/>
      <w:lvlJc w:val="left"/>
      <w:pPr>
        <w:tabs>
          <w:tab w:val="num" w:pos="6480"/>
        </w:tabs>
        <w:ind w:left="6480" w:hanging="360"/>
      </w:pPr>
    </w:lvl>
  </w:abstractNum>
  <w:abstractNum w:abstractNumId="13" w15:restartNumberingAfterBreak="0">
    <w:nsid w:val="0CBD6157"/>
    <w:multiLevelType w:val="multilevel"/>
    <w:tmpl w:val="5CD615F8"/>
    <w:lvl w:ilvl="0">
      <w:start w:val="4"/>
      <w:numFmt w:val="decimal"/>
      <w:lvlText w:val="A%1"/>
      <w:lvlJc w:val="left"/>
      <w:pPr>
        <w:ind w:left="0" w:firstLine="0"/>
      </w:pPr>
      <w:rPr>
        <w:rFonts w:hint="default"/>
      </w:rPr>
    </w:lvl>
    <w:lvl w:ilvl="1">
      <w:start w:val="1"/>
      <w:numFmt w:val="decimal"/>
      <w:lvlText w:val="A%1.%2"/>
      <w:lvlJc w:val="left"/>
      <w:pPr>
        <w:ind w:left="0" w:firstLine="0"/>
      </w:pPr>
      <w:rPr>
        <w:rFonts w:hint="default"/>
      </w:rPr>
    </w:lvl>
    <w:lvl w:ilvl="2">
      <w:start w:val="1"/>
      <w:numFmt w:val="decimal"/>
      <w:lvlText w:val="A%1.%2.%3"/>
      <w:lvlJc w:val="left"/>
      <w:pPr>
        <w:ind w:left="0" w:firstLine="0"/>
      </w:pPr>
      <w:rPr>
        <w:rFonts w:hint="default"/>
      </w:rPr>
    </w:lvl>
    <w:lvl w:ilvl="3">
      <w:start w:val="1"/>
      <w:numFmt w:val="decimal"/>
      <w:lvlText w:val="A%1.%2.%3.%4"/>
      <w:lvlJc w:val="left"/>
      <w:pPr>
        <w:ind w:left="0" w:firstLine="0"/>
      </w:pPr>
      <w:rPr>
        <w:rFonts w:hint="default"/>
      </w:rPr>
    </w:lvl>
    <w:lvl w:ilvl="4">
      <w:start w:val="1"/>
      <w:numFmt w:val="decimal"/>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14" w15:restartNumberingAfterBreak="0">
    <w:nsid w:val="148452FF"/>
    <w:multiLevelType w:val="hybridMultilevel"/>
    <w:tmpl w:val="88EC3E82"/>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15" w15:restartNumberingAfterBreak="0">
    <w:nsid w:val="192853F1"/>
    <w:multiLevelType w:val="hybridMultilevel"/>
    <w:tmpl w:val="D35889E0"/>
    <w:lvl w:ilvl="0" w:tplc="FAC265E6">
      <w:start w:val="1"/>
      <w:numFmt w:val="bullet"/>
      <w:lvlText w:val=""/>
      <w:lvlJc w:val="left"/>
      <w:pPr>
        <w:ind w:left="644" w:hanging="360"/>
      </w:pPr>
      <w:rPr>
        <w:rFonts w:ascii="Symbol" w:hAnsi="Symbol" w:hint="default"/>
        <w:sz w:val="16"/>
        <w:szCs w:val="16"/>
      </w:rPr>
    </w:lvl>
    <w:lvl w:ilvl="1" w:tplc="F648CAD4">
      <w:numFmt w:val="bullet"/>
      <w:lvlText w:val="-"/>
      <w:lvlJc w:val="left"/>
      <w:pPr>
        <w:ind w:left="1364" w:hanging="360"/>
      </w:pPr>
      <w:rPr>
        <w:rFonts w:ascii="Times New Roman" w:eastAsia="Times New Roman" w:hAnsi="Times New Roman" w:cs="Times New Roman" w:hint="default"/>
      </w:rPr>
    </w:lvl>
    <w:lvl w:ilvl="2" w:tplc="14090005" w:tentative="1">
      <w:start w:val="1"/>
      <w:numFmt w:val="bullet"/>
      <w:lvlText w:val=""/>
      <w:lvlJc w:val="left"/>
      <w:pPr>
        <w:ind w:left="2084" w:hanging="360"/>
      </w:pPr>
      <w:rPr>
        <w:rFonts w:ascii="Wingdings" w:hAnsi="Wingdings" w:hint="default"/>
      </w:rPr>
    </w:lvl>
    <w:lvl w:ilvl="3" w:tplc="14090001" w:tentative="1">
      <w:start w:val="1"/>
      <w:numFmt w:val="bullet"/>
      <w:lvlText w:val=""/>
      <w:lvlJc w:val="left"/>
      <w:pPr>
        <w:ind w:left="2804" w:hanging="360"/>
      </w:pPr>
      <w:rPr>
        <w:rFonts w:ascii="Symbol" w:hAnsi="Symbol" w:hint="default"/>
      </w:rPr>
    </w:lvl>
    <w:lvl w:ilvl="4" w:tplc="14090003" w:tentative="1">
      <w:start w:val="1"/>
      <w:numFmt w:val="bullet"/>
      <w:lvlText w:val="o"/>
      <w:lvlJc w:val="left"/>
      <w:pPr>
        <w:ind w:left="3524" w:hanging="360"/>
      </w:pPr>
      <w:rPr>
        <w:rFonts w:ascii="Courier New" w:hAnsi="Courier New" w:cs="Courier New" w:hint="default"/>
      </w:rPr>
    </w:lvl>
    <w:lvl w:ilvl="5" w:tplc="14090005" w:tentative="1">
      <w:start w:val="1"/>
      <w:numFmt w:val="bullet"/>
      <w:lvlText w:val=""/>
      <w:lvlJc w:val="left"/>
      <w:pPr>
        <w:ind w:left="4244" w:hanging="360"/>
      </w:pPr>
      <w:rPr>
        <w:rFonts w:ascii="Wingdings" w:hAnsi="Wingdings" w:hint="default"/>
      </w:rPr>
    </w:lvl>
    <w:lvl w:ilvl="6" w:tplc="14090001" w:tentative="1">
      <w:start w:val="1"/>
      <w:numFmt w:val="bullet"/>
      <w:lvlText w:val=""/>
      <w:lvlJc w:val="left"/>
      <w:pPr>
        <w:ind w:left="4964" w:hanging="360"/>
      </w:pPr>
      <w:rPr>
        <w:rFonts w:ascii="Symbol" w:hAnsi="Symbol" w:hint="default"/>
      </w:rPr>
    </w:lvl>
    <w:lvl w:ilvl="7" w:tplc="14090003" w:tentative="1">
      <w:start w:val="1"/>
      <w:numFmt w:val="bullet"/>
      <w:lvlText w:val="o"/>
      <w:lvlJc w:val="left"/>
      <w:pPr>
        <w:ind w:left="5684" w:hanging="360"/>
      </w:pPr>
      <w:rPr>
        <w:rFonts w:ascii="Courier New" w:hAnsi="Courier New" w:cs="Courier New" w:hint="default"/>
      </w:rPr>
    </w:lvl>
    <w:lvl w:ilvl="8" w:tplc="14090005" w:tentative="1">
      <w:start w:val="1"/>
      <w:numFmt w:val="bullet"/>
      <w:lvlText w:val=""/>
      <w:lvlJc w:val="left"/>
      <w:pPr>
        <w:ind w:left="6404" w:hanging="360"/>
      </w:pPr>
      <w:rPr>
        <w:rFonts w:ascii="Wingdings" w:hAnsi="Wingdings" w:hint="default"/>
      </w:rPr>
    </w:lvl>
  </w:abstractNum>
  <w:abstractNum w:abstractNumId="16" w15:restartNumberingAfterBreak="0">
    <w:nsid w:val="1FDF624F"/>
    <w:multiLevelType w:val="hybridMultilevel"/>
    <w:tmpl w:val="7E785C7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7" w15:restartNumberingAfterBreak="0">
    <w:nsid w:val="201C130D"/>
    <w:multiLevelType w:val="hybridMultilevel"/>
    <w:tmpl w:val="A39AD9C6"/>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18" w15:restartNumberingAfterBreak="0">
    <w:nsid w:val="208C5CF5"/>
    <w:multiLevelType w:val="multilevel"/>
    <w:tmpl w:val="A07E8244"/>
    <w:lvl w:ilvl="0">
      <w:start w:val="1"/>
      <w:numFmt w:val="lowerLetter"/>
      <w:pStyle w:val="Sub-lista"/>
      <w:lvlText w:val="%1)"/>
      <w:lvlJc w:val="left"/>
      <w:pPr>
        <w:tabs>
          <w:tab w:val="num" w:pos="794"/>
        </w:tabs>
        <w:ind w:left="397" w:hanging="397"/>
      </w:pPr>
      <w:rPr>
        <w:rFonts w:ascii="Calibri" w:hAnsi="Calibri" w:cs="Calibri" w:hint="default"/>
        <w:b w:val="0"/>
        <w:i w:val="0"/>
        <w:sz w:val="22"/>
        <w:szCs w:val="22"/>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9" w15:restartNumberingAfterBreak="0">
    <w:nsid w:val="26DF7539"/>
    <w:multiLevelType w:val="hybridMultilevel"/>
    <w:tmpl w:val="AB348244"/>
    <w:lvl w:ilvl="0" w:tplc="282EDA18">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0" w15:restartNumberingAfterBreak="0">
    <w:nsid w:val="27BD2E58"/>
    <w:multiLevelType w:val="multilevel"/>
    <w:tmpl w:val="B0DC6D48"/>
    <w:lvl w:ilvl="0">
      <w:start w:val="1"/>
      <w:numFmt w:val="bullet"/>
      <w:lvlText w:val=""/>
      <w:lvlJc w:val="left"/>
      <w:pPr>
        <w:ind w:left="397" w:hanging="397"/>
      </w:pPr>
      <w:rPr>
        <w:rFonts w:ascii="Symbol" w:hAnsi="Symbol" w:hint="default"/>
        <w:sz w:val="20"/>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2B8B2D74"/>
    <w:multiLevelType w:val="hybridMultilevel"/>
    <w:tmpl w:val="EF1C9466"/>
    <w:lvl w:ilvl="0" w:tplc="6D362E22">
      <w:start w:val="1"/>
      <w:numFmt w:val="bullet"/>
      <w:pStyle w:val="TableBullet"/>
      <w:lvlText w:val=""/>
      <w:lvlJc w:val="left"/>
      <w:pPr>
        <w:tabs>
          <w:tab w:val="num" w:pos="284"/>
        </w:tabs>
        <w:ind w:left="284" w:hanging="284"/>
      </w:pPr>
      <w:rPr>
        <w:rFonts w:ascii="Symbol" w:hAnsi="Symbol" w:hint="default"/>
        <w:sz w:val="16"/>
        <w:szCs w:val="16"/>
      </w:rPr>
    </w:lvl>
    <w:lvl w:ilvl="1" w:tplc="14090003" w:tentative="1">
      <w:start w:val="1"/>
      <w:numFmt w:val="bullet"/>
      <w:lvlText w:val="o"/>
      <w:lvlJc w:val="left"/>
      <w:pPr>
        <w:tabs>
          <w:tab w:val="num" w:pos="1440"/>
        </w:tabs>
        <w:ind w:left="1440" w:hanging="360"/>
      </w:pPr>
      <w:rPr>
        <w:rFonts w:ascii="Courier New" w:hAnsi="Courier New" w:cs="Courier New" w:hint="default"/>
      </w:rPr>
    </w:lvl>
    <w:lvl w:ilvl="2" w:tplc="14090005" w:tentative="1">
      <w:start w:val="1"/>
      <w:numFmt w:val="bullet"/>
      <w:lvlText w:val=""/>
      <w:lvlJc w:val="left"/>
      <w:pPr>
        <w:tabs>
          <w:tab w:val="num" w:pos="2160"/>
        </w:tabs>
        <w:ind w:left="2160" w:hanging="360"/>
      </w:pPr>
      <w:rPr>
        <w:rFonts w:ascii="Wingdings" w:hAnsi="Wingdings" w:hint="default"/>
      </w:rPr>
    </w:lvl>
    <w:lvl w:ilvl="3" w:tplc="14090001" w:tentative="1">
      <w:start w:val="1"/>
      <w:numFmt w:val="bullet"/>
      <w:lvlText w:val=""/>
      <w:lvlJc w:val="left"/>
      <w:pPr>
        <w:tabs>
          <w:tab w:val="num" w:pos="2880"/>
        </w:tabs>
        <w:ind w:left="2880" w:hanging="360"/>
      </w:pPr>
      <w:rPr>
        <w:rFonts w:ascii="Symbol" w:hAnsi="Symbol" w:hint="default"/>
      </w:rPr>
    </w:lvl>
    <w:lvl w:ilvl="4" w:tplc="14090003" w:tentative="1">
      <w:start w:val="1"/>
      <w:numFmt w:val="bullet"/>
      <w:lvlText w:val="o"/>
      <w:lvlJc w:val="left"/>
      <w:pPr>
        <w:tabs>
          <w:tab w:val="num" w:pos="3600"/>
        </w:tabs>
        <w:ind w:left="3600" w:hanging="360"/>
      </w:pPr>
      <w:rPr>
        <w:rFonts w:ascii="Courier New" w:hAnsi="Courier New" w:cs="Courier New" w:hint="default"/>
      </w:rPr>
    </w:lvl>
    <w:lvl w:ilvl="5" w:tplc="14090005" w:tentative="1">
      <w:start w:val="1"/>
      <w:numFmt w:val="bullet"/>
      <w:lvlText w:val=""/>
      <w:lvlJc w:val="left"/>
      <w:pPr>
        <w:tabs>
          <w:tab w:val="num" w:pos="4320"/>
        </w:tabs>
        <w:ind w:left="4320" w:hanging="360"/>
      </w:pPr>
      <w:rPr>
        <w:rFonts w:ascii="Wingdings" w:hAnsi="Wingdings" w:hint="default"/>
      </w:rPr>
    </w:lvl>
    <w:lvl w:ilvl="6" w:tplc="14090001" w:tentative="1">
      <w:start w:val="1"/>
      <w:numFmt w:val="bullet"/>
      <w:lvlText w:val=""/>
      <w:lvlJc w:val="left"/>
      <w:pPr>
        <w:tabs>
          <w:tab w:val="num" w:pos="5040"/>
        </w:tabs>
        <w:ind w:left="5040" w:hanging="360"/>
      </w:pPr>
      <w:rPr>
        <w:rFonts w:ascii="Symbol" w:hAnsi="Symbol" w:hint="default"/>
      </w:rPr>
    </w:lvl>
    <w:lvl w:ilvl="7" w:tplc="14090003" w:tentative="1">
      <w:start w:val="1"/>
      <w:numFmt w:val="bullet"/>
      <w:lvlText w:val="o"/>
      <w:lvlJc w:val="left"/>
      <w:pPr>
        <w:tabs>
          <w:tab w:val="num" w:pos="5760"/>
        </w:tabs>
        <w:ind w:left="5760" w:hanging="360"/>
      </w:pPr>
      <w:rPr>
        <w:rFonts w:ascii="Courier New" w:hAnsi="Courier New" w:cs="Courier New" w:hint="default"/>
      </w:rPr>
    </w:lvl>
    <w:lvl w:ilvl="8" w:tplc="14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39135C16"/>
    <w:multiLevelType w:val="hybridMultilevel"/>
    <w:tmpl w:val="C4A2FB70"/>
    <w:lvl w:ilvl="0" w:tplc="A26A2F24">
      <w:start w:val="3"/>
      <w:numFmt w:val="bullet"/>
      <w:lvlText w:val="•"/>
      <w:lvlJc w:val="left"/>
      <w:pPr>
        <w:ind w:left="720" w:hanging="360"/>
      </w:pPr>
      <w:rPr>
        <w:rFonts w:ascii="Calibri" w:eastAsia="Times New Roman" w:hAnsi="Calibri" w:cs="Calibri"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3" w15:restartNumberingAfterBreak="0">
    <w:nsid w:val="39F35055"/>
    <w:multiLevelType w:val="hybridMultilevel"/>
    <w:tmpl w:val="98F6C22E"/>
    <w:lvl w:ilvl="0" w:tplc="1409000F">
      <w:start w:val="1"/>
      <w:numFmt w:val="decimal"/>
      <w:lvlText w:val="%1."/>
      <w:lvlJc w:val="left"/>
      <w:pPr>
        <w:ind w:left="720" w:hanging="360"/>
      </w:pPr>
    </w:lvl>
    <w:lvl w:ilvl="1" w:tplc="14090019">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4" w15:restartNumberingAfterBreak="0">
    <w:nsid w:val="3B934134"/>
    <w:multiLevelType w:val="hybridMultilevel"/>
    <w:tmpl w:val="67F24C4E"/>
    <w:lvl w:ilvl="0" w:tplc="DC66E45C">
      <w:start w:val="1"/>
      <w:numFmt w:val="bullet"/>
      <w:pStyle w:val="Keypointsub-bullet"/>
      <w:lvlText w:val="‒"/>
      <w:lvlJc w:val="left"/>
      <w:pPr>
        <w:ind w:left="1400" w:hanging="360"/>
      </w:pPr>
      <w:rPr>
        <w:rFonts w:ascii="Calibri" w:hAnsi="Calibri" w:cs="Times New Roman" w:hint="default"/>
        <w:b w:val="0"/>
        <w:i w:val="0"/>
        <w:sz w:val="20"/>
      </w:rPr>
    </w:lvl>
    <w:lvl w:ilvl="1" w:tplc="14090003" w:tentative="1">
      <w:start w:val="1"/>
      <w:numFmt w:val="bullet"/>
      <w:lvlText w:val="o"/>
      <w:lvlJc w:val="left"/>
      <w:pPr>
        <w:ind w:left="2120" w:hanging="360"/>
      </w:pPr>
      <w:rPr>
        <w:rFonts w:ascii="Courier New" w:hAnsi="Courier New" w:cs="Courier New" w:hint="default"/>
      </w:rPr>
    </w:lvl>
    <w:lvl w:ilvl="2" w:tplc="14090005" w:tentative="1">
      <w:start w:val="1"/>
      <w:numFmt w:val="bullet"/>
      <w:lvlText w:val=""/>
      <w:lvlJc w:val="left"/>
      <w:pPr>
        <w:ind w:left="2840" w:hanging="360"/>
      </w:pPr>
      <w:rPr>
        <w:rFonts w:ascii="Wingdings" w:hAnsi="Wingdings" w:hint="default"/>
      </w:rPr>
    </w:lvl>
    <w:lvl w:ilvl="3" w:tplc="14090001" w:tentative="1">
      <w:start w:val="1"/>
      <w:numFmt w:val="bullet"/>
      <w:lvlText w:val=""/>
      <w:lvlJc w:val="left"/>
      <w:pPr>
        <w:ind w:left="3560" w:hanging="360"/>
      </w:pPr>
      <w:rPr>
        <w:rFonts w:ascii="Symbol" w:hAnsi="Symbol" w:hint="default"/>
      </w:rPr>
    </w:lvl>
    <w:lvl w:ilvl="4" w:tplc="14090003" w:tentative="1">
      <w:start w:val="1"/>
      <w:numFmt w:val="bullet"/>
      <w:lvlText w:val="o"/>
      <w:lvlJc w:val="left"/>
      <w:pPr>
        <w:ind w:left="4280" w:hanging="360"/>
      </w:pPr>
      <w:rPr>
        <w:rFonts w:ascii="Courier New" w:hAnsi="Courier New" w:cs="Courier New" w:hint="default"/>
      </w:rPr>
    </w:lvl>
    <w:lvl w:ilvl="5" w:tplc="14090005" w:tentative="1">
      <w:start w:val="1"/>
      <w:numFmt w:val="bullet"/>
      <w:lvlText w:val=""/>
      <w:lvlJc w:val="left"/>
      <w:pPr>
        <w:ind w:left="5000" w:hanging="360"/>
      </w:pPr>
      <w:rPr>
        <w:rFonts w:ascii="Wingdings" w:hAnsi="Wingdings" w:hint="default"/>
      </w:rPr>
    </w:lvl>
    <w:lvl w:ilvl="6" w:tplc="14090001" w:tentative="1">
      <w:start w:val="1"/>
      <w:numFmt w:val="bullet"/>
      <w:lvlText w:val=""/>
      <w:lvlJc w:val="left"/>
      <w:pPr>
        <w:ind w:left="5720" w:hanging="360"/>
      </w:pPr>
      <w:rPr>
        <w:rFonts w:ascii="Symbol" w:hAnsi="Symbol" w:hint="default"/>
      </w:rPr>
    </w:lvl>
    <w:lvl w:ilvl="7" w:tplc="14090003" w:tentative="1">
      <w:start w:val="1"/>
      <w:numFmt w:val="bullet"/>
      <w:lvlText w:val="o"/>
      <w:lvlJc w:val="left"/>
      <w:pPr>
        <w:ind w:left="6440" w:hanging="360"/>
      </w:pPr>
      <w:rPr>
        <w:rFonts w:ascii="Courier New" w:hAnsi="Courier New" w:cs="Courier New" w:hint="default"/>
      </w:rPr>
    </w:lvl>
    <w:lvl w:ilvl="8" w:tplc="14090005" w:tentative="1">
      <w:start w:val="1"/>
      <w:numFmt w:val="bullet"/>
      <w:lvlText w:val=""/>
      <w:lvlJc w:val="left"/>
      <w:pPr>
        <w:ind w:left="7160" w:hanging="360"/>
      </w:pPr>
      <w:rPr>
        <w:rFonts w:ascii="Wingdings" w:hAnsi="Wingdings" w:hint="default"/>
      </w:rPr>
    </w:lvl>
  </w:abstractNum>
  <w:abstractNum w:abstractNumId="25" w15:restartNumberingAfterBreak="0">
    <w:nsid w:val="427701FB"/>
    <w:multiLevelType w:val="hybridMultilevel"/>
    <w:tmpl w:val="87A07910"/>
    <w:lvl w:ilvl="0" w:tplc="FFFFFFFF">
      <w:start w:val="1"/>
      <w:numFmt w:val="bullet"/>
      <w:pStyle w:val="Sub-list"/>
      <w:lvlText w:val=""/>
      <w:lvlJc w:val="left"/>
      <w:pPr>
        <w:tabs>
          <w:tab w:val="num" w:pos="397"/>
        </w:tabs>
        <w:ind w:left="397" w:firstLine="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45B15110"/>
    <w:multiLevelType w:val="multilevel"/>
    <w:tmpl w:val="6BACFCB2"/>
    <w:lvl w:ilvl="0">
      <w:start w:val="1"/>
      <w:numFmt w:val="bullet"/>
      <w:pStyle w:val="Bullet"/>
      <w:lvlText w:val=""/>
      <w:lvlJc w:val="left"/>
      <w:pPr>
        <w:tabs>
          <w:tab w:val="num" w:pos="567"/>
        </w:tabs>
        <w:ind w:left="397" w:hanging="397"/>
      </w:pPr>
      <w:rPr>
        <w:rFonts w:ascii="Symbol" w:hAnsi="Symbol" w:hint="default"/>
        <w:sz w:val="20"/>
        <w:szCs w:val="20"/>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463D6104"/>
    <w:multiLevelType w:val="hybridMultilevel"/>
    <w:tmpl w:val="7698242C"/>
    <w:lvl w:ilvl="0" w:tplc="F710A272">
      <w:start w:val="1"/>
      <w:numFmt w:val="lowerRoman"/>
      <w:lvlText w:val="%1."/>
      <w:lvlJc w:val="left"/>
      <w:pPr>
        <w:tabs>
          <w:tab w:val="num" w:pos="1191"/>
        </w:tabs>
        <w:ind w:left="1191" w:hanging="397"/>
      </w:pPr>
      <w:rPr>
        <w:rFonts w:ascii="Calibri" w:hAnsi="Calibri" w:cs="Calibri" w:hint="default"/>
        <w:b w:val="0"/>
        <w:i w:val="0"/>
        <w:sz w:val="22"/>
        <w:szCs w:val="22"/>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8" w15:restartNumberingAfterBreak="0">
    <w:nsid w:val="47261BAD"/>
    <w:multiLevelType w:val="multilevel"/>
    <w:tmpl w:val="405434F2"/>
    <w:lvl w:ilvl="0">
      <w:start w:val="1"/>
      <w:numFmt w:val="lowerRoman"/>
      <w:lvlText w:val="%1."/>
      <w:lvlJc w:val="left"/>
      <w:pPr>
        <w:tabs>
          <w:tab w:val="num" w:pos="0"/>
        </w:tabs>
        <w:ind w:left="480" w:hanging="480"/>
      </w:pPr>
      <w:rPr>
        <w:rFonts w:hint="default"/>
      </w:rPr>
    </w:lvl>
    <w:lvl w:ilvl="1">
      <w:start w:val="1"/>
      <w:numFmt w:val="lowerRoman"/>
      <w:pStyle w:val="Sub-listi"/>
      <w:lvlText w:val="%2."/>
      <w:lvlJc w:val="left"/>
      <w:pPr>
        <w:tabs>
          <w:tab w:val="num" w:pos="794"/>
        </w:tabs>
        <w:ind w:left="1191" w:hanging="397"/>
      </w:pPr>
      <w:rPr>
        <w:rFonts w:hint="default"/>
      </w:rPr>
    </w:lvl>
    <w:lvl w:ilvl="2">
      <w:start w:val="1"/>
      <w:numFmt w:val="lowerRoman"/>
      <w:lvlText w:val="%3."/>
      <w:lvlJc w:val="left"/>
      <w:pPr>
        <w:tabs>
          <w:tab w:val="num" w:pos="1440"/>
        </w:tabs>
        <w:ind w:left="1920" w:hanging="480"/>
      </w:pPr>
      <w:rPr>
        <w:rFonts w:hint="default"/>
      </w:rPr>
    </w:lvl>
    <w:lvl w:ilvl="3">
      <w:start w:val="1"/>
      <w:numFmt w:val="lowerRoman"/>
      <w:lvlText w:val="%4."/>
      <w:lvlJc w:val="left"/>
      <w:pPr>
        <w:tabs>
          <w:tab w:val="num" w:pos="2160"/>
        </w:tabs>
        <w:ind w:left="2640" w:hanging="480"/>
      </w:pPr>
      <w:rPr>
        <w:rFonts w:hint="default"/>
      </w:rPr>
    </w:lvl>
    <w:lvl w:ilvl="4">
      <w:start w:val="1"/>
      <w:numFmt w:val="lowerRoman"/>
      <w:lvlText w:val="%5."/>
      <w:lvlJc w:val="left"/>
      <w:pPr>
        <w:tabs>
          <w:tab w:val="num" w:pos="2880"/>
        </w:tabs>
        <w:ind w:left="3360" w:hanging="480"/>
      </w:pPr>
      <w:rPr>
        <w:rFonts w:hint="default"/>
      </w:rPr>
    </w:lvl>
    <w:lvl w:ilvl="5">
      <w:start w:val="1"/>
      <w:numFmt w:val="lowerRoman"/>
      <w:lvlText w:val="%6."/>
      <w:lvlJc w:val="left"/>
      <w:pPr>
        <w:tabs>
          <w:tab w:val="num" w:pos="3600"/>
        </w:tabs>
        <w:ind w:left="4080" w:hanging="480"/>
      </w:pPr>
      <w:rPr>
        <w:rFonts w:hint="default"/>
      </w:rPr>
    </w:lvl>
    <w:lvl w:ilvl="6">
      <w:start w:val="1"/>
      <w:numFmt w:val="lowerRoman"/>
      <w:lvlText w:val="%7."/>
      <w:lvlJc w:val="left"/>
      <w:pPr>
        <w:tabs>
          <w:tab w:val="num" w:pos="4320"/>
        </w:tabs>
        <w:ind w:left="4800" w:hanging="480"/>
      </w:pPr>
      <w:rPr>
        <w:rFonts w:hint="default"/>
      </w:rPr>
    </w:lvl>
    <w:lvl w:ilvl="7">
      <w:start w:val="1"/>
      <w:numFmt w:val="lowerRoman"/>
      <w:lvlText w:val="%8."/>
      <w:lvlJc w:val="left"/>
      <w:pPr>
        <w:tabs>
          <w:tab w:val="num" w:pos="5040"/>
        </w:tabs>
        <w:ind w:left="5520" w:hanging="480"/>
      </w:pPr>
      <w:rPr>
        <w:rFonts w:hint="default"/>
      </w:rPr>
    </w:lvl>
    <w:lvl w:ilvl="8">
      <w:start w:val="1"/>
      <w:numFmt w:val="lowerRoman"/>
      <w:lvlText w:val="%9."/>
      <w:lvlJc w:val="left"/>
      <w:pPr>
        <w:tabs>
          <w:tab w:val="num" w:pos="5760"/>
        </w:tabs>
        <w:ind w:left="6240" w:hanging="480"/>
      </w:pPr>
      <w:rPr>
        <w:rFonts w:hint="default"/>
      </w:rPr>
    </w:lvl>
  </w:abstractNum>
  <w:abstractNum w:abstractNumId="29" w15:restartNumberingAfterBreak="0">
    <w:nsid w:val="53535234"/>
    <w:multiLevelType w:val="singleLevel"/>
    <w:tmpl w:val="7FC073B8"/>
    <w:lvl w:ilvl="0">
      <w:start w:val="1"/>
      <w:numFmt w:val="bullet"/>
      <w:pStyle w:val="BoxBullet"/>
      <w:lvlText w:val=""/>
      <w:lvlJc w:val="left"/>
      <w:pPr>
        <w:tabs>
          <w:tab w:val="num" w:pos="851"/>
        </w:tabs>
        <w:ind w:left="851" w:hanging="567"/>
      </w:pPr>
      <w:rPr>
        <w:rFonts w:ascii="Symbol" w:hAnsi="Symbol" w:hint="default"/>
        <w:sz w:val="16"/>
      </w:rPr>
    </w:lvl>
  </w:abstractNum>
  <w:abstractNum w:abstractNumId="30" w15:restartNumberingAfterBreak="0">
    <w:nsid w:val="569A0D6A"/>
    <w:multiLevelType w:val="hybridMultilevel"/>
    <w:tmpl w:val="F33839CE"/>
    <w:lvl w:ilvl="0" w:tplc="A6FC95F2">
      <w:start w:val="1"/>
      <w:numFmt w:val="bullet"/>
      <w:lvlText w:val=""/>
      <w:lvlJc w:val="left"/>
      <w:pPr>
        <w:tabs>
          <w:tab w:val="num" w:pos="397"/>
        </w:tabs>
        <w:ind w:left="397" w:hanging="397"/>
      </w:pPr>
      <w:rPr>
        <w:rFonts w:ascii="Symbol" w:hAnsi="Symbol" w:cs="Symbol" w:hint="default"/>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5FAD4597"/>
    <w:multiLevelType w:val="hybridMultilevel"/>
    <w:tmpl w:val="5EE01562"/>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32" w15:restartNumberingAfterBreak="0">
    <w:nsid w:val="621E766B"/>
    <w:multiLevelType w:val="multilevel"/>
    <w:tmpl w:val="5CD615F8"/>
    <w:lvl w:ilvl="0">
      <w:start w:val="4"/>
      <w:numFmt w:val="decimal"/>
      <w:lvlText w:val="A%1"/>
      <w:lvlJc w:val="left"/>
      <w:pPr>
        <w:ind w:left="0" w:firstLine="0"/>
      </w:pPr>
      <w:rPr>
        <w:rFonts w:hint="default"/>
      </w:rPr>
    </w:lvl>
    <w:lvl w:ilvl="1">
      <w:start w:val="1"/>
      <w:numFmt w:val="decimal"/>
      <w:lvlText w:val="A%1.%2"/>
      <w:lvlJc w:val="left"/>
      <w:pPr>
        <w:ind w:left="0" w:firstLine="0"/>
      </w:pPr>
      <w:rPr>
        <w:rFonts w:hint="default"/>
      </w:rPr>
    </w:lvl>
    <w:lvl w:ilvl="2">
      <w:start w:val="1"/>
      <w:numFmt w:val="decimal"/>
      <w:lvlText w:val="A%1.%2.%3"/>
      <w:lvlJc w:val="left"/>
      <w:pPr>
        <w:ind w:left="0" w:firstLine="0"/>
      </w:pPr>
      <w:rPr>
        <w:rFonts w:hint="default"/>
      </w:rPr>
    </w:lvl>
    <w:lvl w:ilvl="3">
      <w:start w:val="1"/>
      <w:numFmt w:val="decimal"/>
      <w:lvlText w:val="A%1.%2.%3.%4"/>
      <w:lvlJc w:val="left"/>
      <w:pPr>
        <w:ind w:left="0" w:firstLine="0"/>
      </w:pPr>
      <w:rPr>
        <w:rFonts w:hint="default"/>
      </w:rPr>
    </w:lvl>
    <w:lvl w:ilvl="4">
      <w:start w:val="1"/>
      <w:numFmt w:val="decimal"/>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33" w15:restartNumberingAfterBreak="0">
    <w:nsid w:val="75811DDE"/>
    <w:multiLevelType w:val="hybridMultilevel"/>
    <w:tmpl w:val="5784BADA"/>
    <w:lvl w:ilvl="0" w:tplc="14090001">
      <w:start w:val="1"/>
      <w:numFmt w:val="bullet"/>
      <w:pStyle w:val="TableDash"/>
      <w:lvlText w:val=""/>
      <w:lvlJc w:val="left"/>
      <w:pPr>
        <w:tabs>
          <w:tab w:val="num" w:pos="567"/>
        </w:tabs>
        <w:ind w:left="567" w:hanging="283"/>
      </w:pPr>
      <w:rPr>
        <w:rFonts w:ascii="Symbol" w:hAnsi="Symbol" w:hint="default"/>
        <w:color w:val="auto"/>
        <w:sz w:val="16"/>
        <w:szCs w:val="16"/>
      </w:rPr>
    </w:lvl>
    <w:lvl w:ilvl="1" w:tplc="14090003">
      <w:start w:val="1"/>
      <w:numFmt w:val="bullet"/>
      <w:lvlText w:val="o"/>
      <w:lvlJc w:val="left"/>
      <w:pPr>
        <w:tabs>
          <w:tab w:val="num" w:pos="1440"/>
        </w:tabs>
        <w:ind w:left="1440" w:hanging="360"/>
      </w:pPr>
      <w:rPr>
        <w:rFonts w:ascii="Courier New" w:hAnsi="Courier New" w:cs="Courier New" w:hint="default"/>
      </w:rPr>
    </w:lvl>
    <w:lvl w:ilvl="2" w:tplc="14090005" w:tentative="1">
      <w:start w:val="1"/>
      <w:numFmt w:val="bullet"/>
      <w:lvlText w:val=""/>
      <w:lvlJc w:val="left"/>
      <w:pPr>
        <w:tabs>
          <w:tab w:val="num" w:pos="2160"/>
        </w:tabs>
        <w:ind w:left="2160" w:hanging="360"/>
      </w:pPr>
      <w:rPr>
        <w:rFonts w:ascii="Wingdings" w:hAnsi="Wingdings" w:hint="default"/>
      </w:rPr>
    </w:lvl>
    <w:lvl w:ilvl="3" w:tplc="14090001" w:tentative="1">
      <w:start w:val="1"/>
      <w:numFmt w:val="bullet"/>
      <w:lvlText w:val=""/>
      <w:lvlJc w:val="left"/>
      <w:pPr>
        <w:tabs>
          <w:tab w:val="num" w:pos="2880"/>
        </w:tabs>
        <w:ind w:left="2880" w:hanging="360"/>
      </w:pPr>
      <w:rPr>
        <w:rFonts w:ascii="Symbol" w:hAnsi="Symbol" w:hint="default"/>
      </w:rPr>
    </w:lvl>
    <w:lvl w:ilvl="4" w:tplc="14090003" w:tentative="1">
      <w:start w:val="1"/>
      <w:numFmt w:val="bullet"/>
      <w:lvlText w:val="o"/>
      <w:lvlJc w:val="left"/>
      <w:pPr>
        <w:tabs>
          <w:tab w:val="num" w:pos="3600"/>
        </w:tabs>
        <w:ind w:left="3600" w:hanging="360"/>
      </w:pPr>
      <w:rPr>
        <w:rFonts w:ascii="Courier New" w:hAnsi="Courier New" w:cs="Courier New" w:hint="default"/>
      </w:rPr>
    </w:lvl>
    <w:lvl w:ilvl="5" w:tplc="14090005" w:tentative="1">
      <w:start w:val="1"/>
      <w:numFmt w:val="bullet"/>
      <w:lvlText w:val=""/>
      <w:lvlJc w:val="left"/>
      <w:pPr>
        <w:tabs>
          <w:tab w:val="num" w:pos="4320"/>
        </w:tabs>
        <w:ind w:left="4320" w:hanging="360"/>
      </w:pPr>
      <w:rPr>
        <w:rFonts w:ascii="Wingdings" w:hAnsi="Wingdings" w:hint="default"/>
      </w:rPr>
    </w:lvl>
    <w:lvl w:ilvl="6" w:tplc="14090001" w:tentative="1">
      <w:start w:val="1"/>
      <w:numFmt w:val="bullet"/>
      <w:lvlText w:val=""/>
      <w:lvlJc w:val="left"/>
      <w:pPr>
        <w:tabs>
          <w:tab w:val="num" w:pos="5040"/>
        </w:tabs>
        <w:ind w:left="5040" w:hanging="360"/>
      </w:pPr>
      <w:rPr>
        <w:rFonts w:ascii="Symbol" w:hAnsi="Symbol" w:hint="default"/>
      </w:rPr>
    </w:lvl>
    <w:lvl w:ilvl="7" w:tplc="14090003" w:tentative="1">
      <w:start w:val="1"/>
      <w:numFmt w:val="bullet"/>
      <w:lvlText w:val="o"/>
      <w:lvlJc w:val="left"/>
      <w:pPr>
        <w:tabs>
          <w:tab w:val="num" w:pos="5760"/>
        </w:tabs>
        <w:ind w:left="5760" w:hanging="360"/>
      </w:pPr>
      <w:rPr>
        <w:rFonts w:ascii="Courier New" w:hAnsi="Courier New" w:cs="Courier New" w:hint="default"/>
      </w:rPr>
    </w:lvl>
    <w:lvl w:ilvl="8" w:tplc="1409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75FE74C4"/>
    <w:multiLevelType w:val="multilevel"/>
    <w:tmpl w:val="36AA8DFC"/>
    <w:lvl w:ilvl="0">
      <w:start w:val="1"/>
      <w:numFmt w:val="bullet"/>
      <w:pStyle w:val="Sub-bullet"/>
      <w:lvlText w:val=""/>
      <w:lvlJc w:val="left"/>
      <w:pPr>
        <w:ind w:left="794" w:hanging="397"/>
      </w:pPr>
      <w:rPr>
        <w:rFonts w:ascii="Symbol" w:hAnsi="Symbol" w:hint="default"/>
      </w:rPr>
    </w:lvl>
    <w:lvl w:ilvl="1">
      <w:start w:val="1"/>
      <w:numFmt w:val="bullet"/>
      <w:lvlText w:val="o"/>
      <w:lvlJc w:val="left"/>
      <w:pPr>
        <w:ind w:left="1647" w:hanging="360"/>
      </w:pPr>
      <w:rPr>
        <w:rFonts w:ascii="Courier New" w:hAnsi="Courier New" w:cs="Courier New" w:hint="default"/>
      </w:rPr>
    </w:lvl>
    <w:lvl w:ilvl="2">
      <w:start w:val="1"/>
      <w:numFmt w:val="bullet"/>
      <w:lvlText w:val=""/>
      <w:lvlJc w:val="left"/>
      <w:pPr>
        <w:ind w:left="2367" w:hanging="360"/>
      </w:pPr>
      <w:rPr>
        <w:rFonts w:ascii="Wingdings" w:hAnsi="Wingdings" w:hint="default"/>
      </w:rPr>
    </w:lvl>
    <w:lvl w:ilvl="3">
      <w:start w:val="1"/>
      <w:numFmt w:val="bullet"/>
      <w:lvlText w:val=""/>
      <w:lvlJc w:val="left"/>
      <w:pPr>
        <w:ind w:left="3087" w:hanging="360"/>
      </w:pPr>
      <w:rPr>
        <w:rFonts w:ascii="Symbol" w:hAnsi="Symbol" w:hint="default"/>
      </w:rPr>
    </w:lvl>
    <w:lvl w:ilvl="4">
      <w:start w:val="1"/>
      <w:numFmt w:val="bullet"/>
      <w:lvlText w:val="o"/>
      <w:lvlJc w:val="left"/>
      <w:pPr>
        <w:ind w:left="3807" w:hanging="360"/>
      </w:pPr>
      <w:rPr>
        <w:rFonts w:ascii="Courier New" w:hAnsi="Courier New" w:cs="Courier New" w:hint="default"/>
      </w:rPr>
    </w:lvl>
    <w:lvl w:ilvl="5">
      <w:start w:val="1"/>
      <w:numFmt w:val="bullet"/>
      <w:lvlText w:val=""/>
      <w:lvlJc w:val="left"/>
      <w:pPr>
        <w:ind w:left="4527" w:hanging="360"/>
      </w:pPr>
      <w:rPr>
        <w:rFonts w:ascii="Wingdings" w:hAnsi="Wingdings" w:hint="default"/>
      </w:rPr>
    </w:lvl>
    <w:lvl w:ilvl="6">
      <w:start w:val="1"/>
      <w:numFmt w:val="bullet"/>
      <w:lvlText w:val=""/>
      <w:lvlJc w:val="left"/>
      <w:pPr>
        <w:ind w:left="5247" w:hanging="360"/>
      </w:pPr>
      <w:rPr>
        <w:rFonts w:ascii="Symbol" w:hAnsi="Symbol" w:hint="default"/>
      </w:rPr>
    </w:lvl>
    <w:lvl w:ilvl="7">
      <w:start w:val="1"/>
      <w:numFmt w:val="bullet"/>
      <w:lvlText w:val="o"/>
      <w:lvlJc w:val="left"/>
      <w:pPr>
        <w:ind w:left="5967" w:hanging="360"/>
      </w:pPr>
      <w:rPr>
        <w:rFonts w:ascii="Courier New" w:hAnsi="Courier New" w:cs="Courier New" w:hint="default"/>
      </w:rPr>
    </w:lvl>
    <w:lvl w:ilvl="8">
      <w:start w:val="1"/>
      <w:numFmt w:val="bullet"/>
      <w:lvlText w:val=""/>
      <w:lvlJc w:val="left"/>
      <w:pPr>
        <w:ind w:left="6687" w:hanging="360"/>
      </w:pPr>
      <w:rPr>
        <w:rFonts w:ascii="Wingdings" w:hAnsi="Wingdings" w:hint="default"/>
      </w:rPr>
    </w:lvl>
  </w:abstractNum>
  <w:abstractNum w:abstractNumId="35" w15:restartNumberingAfterBreak="0">
    <w:nsid w:val="784B320A"/>
    <w:multiLevelType w:val="hybridMultilevel"/>
    <w:tmpl w:val="AA9257BA"/>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36" w15:restartNumberingAfterBreak="0">
    <w:nsid w:val="7BB52E00"/>
    <w:multiLevelType w:val="hybridMultilevel"/>
    <w:tmpl w:val="FA24D34A"/>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37" w15:restartNumberingAfterBreak="0">
    <w:nsid w:val="7D533B42"/>
    <w:multiLevelType w:val="hybridMultilevel"/>
    <w:tmpl w:val="1B12F822"/>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38" w15:restartNumberingAfterBreak="0">
    <w:nsid w:val="7E4D254A"/>
    <w:multiLevelType w:val="singleLevel"/>
    <w:tmpl w:val="59B61C52"/>
    <w:lvl w:ilvl="0">
      <w:start w:val="1"/>
      <w:numFmt w:val="bullet"/>
      <w:lvlText w:val=""/>
      <w:lvlJc w:val="left"/>
      <w:pPr>
        <w:tabs>
          <w:tab w:val="num" w:pos="567"/>
        </w:tabs>
        <w:ind w:left="567" w:hanging="567"/>
      </w:pPr>
      <w:rPr>
        <w:rFonts w:ascii="Symbol" w:hAnsi="Symbol" w:hint="default"/>
        <w:sz w:val="20"/>
      </w:rPr>
    </w:lvl>
  </w:abstractNum>
  <w:num w:numId="1">
    <w:abstractNumId w:val="29"/>
  </w:num>
  <w:num w:numId="2">
    <w:abstractNumId w:val="21"/>
  </w:num>
  <w:num w:numId="3">
    <w:abstractNumId w:val="26"/>
  </w:num>
  <w:num w:numId="4">
    <w:abstractNumId w:val="34"/>
  </w:num>
  <w:num w:numId="5">
    <w:abstractNumId w:val="7"/>
  </w:num>
  <w:num w:numId="6">
    <w:abstractNumId w:val="6"/>
  </w:num>
  <w:num w:numId="7">
    <w:abstractNumId w:val="5"/>
  </w:num>
  <w:num w:numId="8">
    <w:abstractNumId w:val="4"/>
  </w:num>
  <w:num w:numId="9">
    <w:abstractNumId w:val="3"/>
  </w:num>
  <w:num w:numId="10">
    <w:abstractNumId w:val="9"/>
  </w:num>
  <w:num w:numId="11">
    <w:abstractNumId w:val="10"/>
  </w:num>
  <w:num w:numId="12">
    <w:abstractNumId w:val="18"/>
  </w:num>
  <w:num w:numId="13">
    <w:abstractNumId w:val="25"/>
  </w:num>
  <w:num w:numId="14">
    <w:abstractNumId w:val="33"/>
  </w:num>
  <w:num w:numId="15">
    <w:abstractNumId w:val="2"/>
  </w:num>
  <w:num w:numId="16">
    <w:abstractNumId w:val="1"/>
  </w:num>
  <w:num w:numId="17">
    <w:abstractNumId w:val="24"/>
  </w:num>
  <w:num w:numId="1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0"/>
  </w:num>
  <w:num w:numId="20">
    <w:abstractNumId w:val="13"/>
  </w:num>
  <w:num w:numId="21">
    <w:abstractNumId w:val="28"/>
  </w:num>
  <w:num w:numId="22">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6"/>
    <w:lvlOverride w:ilvl="0">
      <w:lvl w:ilvl="0">
        <w:start w:val="1"/>
        <w:numFmt w:val="bullet"/>
        <w:pStyle w:val="Bullet"/>
        <w:lvlText w:val=""/>
        <w:lvlJc w:val="left"/>
        <w:pPr>
          <w:ind w:left="397" w:hanging="397"/>
        </w:pPr>
        <w:rPr>
          <w:rFonts w:ascii="Symbol" w:hAnsi="Symbol" w:hint="default"/>
          <w:sz w:val="20"/>
        </w:rPr>
      </w:lvl>
    </w:lvlOverride>
    <w:lvlOverride w:ilvl="1">
      <w:lvl w:ilvl="1">
        <w:start w:val="1"/>
        <w:numFmt w:val="bullet"/>
        <w:lvlText w:val="o"/>
        <w:lvlJc w:val="left"/>
        <w:pPr>
          <w:tabs>
            <w:tab w:val="num" w:pos="1440"/>
          </w:tabs>
          <w:ind w:left="1440" w:hanging="360"/>
        </w:pPr>
        <w:rPr>
          <w:rFonts w:ascii="Courier New" w:hAnsi="Courier New" w:cs="Courier New" w:hint="default"/>
        </w:rPr>
      </w:lvl>
    </w:lvlOverride>
    <w:lvlOverride w:ilvl="2">
      <w:lvl w:ilvl="2">
        <w:start w:val="1"/>
        <w:numFmt w:val="bullet"/>
        <w:lvlText w:val=""/>
        <w:lvlJc w:val="left"/>
        <w:pPr>
          <w:tabs>
            <w:tab w:val="num" w:pos="2160"/>
          </w:tabs>
          <w:ind w:left="2160" w:hanging="360"/>
        </w:pPr>
        <w:rPr>
          <w:rFonts w:ascii="Wingdings" w:hAnsi="Wingdings" w:hint="default"/>
        </w:rPr>
      </w:lvl>
    </w:lvlOverride>
    <w:lvlOverride w:ilvl="3">
      <w:lvl w:ilvl="3">
        <w:start w:val="1"/>
        <w:numFmt w:val="bullet"/>
        <w:lvlText w:val=""/>
        <w:lvlJc w:val="left"/>
        <w:pPr>
          <w:tabs>
            <w:tab w:val="num" w:pos="2880"/>
          </w:tabs>
          <w:ind w:left="2880" w:hanging="360"/>
        </w:pPr>
        <w:rPr>
          <w:rFonts w:ascii="Symbol" w:hAnsi="Symbol" w:hint="default"/>
        </w:rPr>
      </w:lvl>
    </w:lvlOverride>
    <w:lvlOverride w:ilvl="4">
      <w:lvl w:ilvl="4">
        <w:start w:val="1"/>
        <w:numFmt w:val="bullet"/>
        <w:lvlText w:val="o"/>
        <w:lvlJc w:val="left"/>
        <w:pPr>
          <w:tabs>
            <w:tab w:val="num" w:pos="3600"/>
          </w:tabs>
          <w:ind w:left="3600" w:hanging="360"/>
        </w:pPr>
        <w:rPr>
          <w:rFonts w:ascii="Courier New" w:hAnsi="Courier New" w:cs="Courier New" w:hint="default"/>
        </w:rPr>
      </w:lvl>
    </w:lvlOverride>
    <w:lvlOverride w:ilvl="5">
      <w:lvl w:ilvl="5">
        <w:start w:val="1"/>
        <w:numFmt w:val="bullet"/>
        <w:lvlText w:val=""/>
        <w:lvlJc w:val="left"/>
        <w:pPr>
          <w:tabs>
            <w:tab w:val="num" w:pos="4320"/>
          </w:tabs>
          <w:ind w:left="4320" w:hanging="360"/>
        </w:pPr>
        <w:rPr>
          <w:rFonts w:ascii="Wingdings" w:hAnsi="Wingdings" w:hint="default"/>
        </w:rPr>
      </w:lvl>
    </w:lvlOverride>
    <w:lvlOverride w:ilvl="6">
      <w:lvl w:ilvl="6">
        <w:start w:val="1"/>
        <w:numFmt w:val="bullet"/>
        <w:lvlText w:val=""/>
        <w:lvlJc w:val="left"/>
        <w:pPr>
          <w:tabs>
            <w:tab w:val="num" w:pos="5040"/>
          </w:tabs>
          <w:ind w:left="5040" w:hanging="360"/>
        </w:pPr>
        <w:rPr>
          <w:rFonts w:ascii="Symbol" w:hAnsi="Symbol" w:hint="default"/>
        </w:rPr>
      </w:lvl>
    </w:lvlOverride>
    <w:lvlOverride w:ilvl="7">
      <w:lvl w:ilvl="7">
        <w:start w:val="1"/>
        <w:numFmt w:val="bullet"/>
        <w:lvlText w:val="o"/>
        <w:lvlJc w:val="left"/>
        <w:pPr>
          <w:tabs>
            <w:tab w:val="num" w:pos="5760"/>
          </w:tabs>
          <w:ind w:left="5760" w:hanging="360"/>
        </w:pPr>
        <w:rPr>
          <w:rFonts w:ascii="Courier New" w:hAnsi="Courier New" w:cs="Courier New" w:hint="default"/>
        </w:rPr>
      </w:lvl>
    </w:lvlOverride>
    <w:lvlOverride w:ilvl="8">
      <w:lvl w:ilvl="8">
        <w:start w:val="1"/>
        <w:numFmt w:val="bullet"/>
        <w:lvlText w:val=""/>
        <w:lvlJc w:val="left"/>
        <w:pPr>
          <w:tabs>
            <w:tab w:val="num" w:pos="6480"/>
          </w:tabs>
          <w:ind w:left="6480" w:hanging="360"/>
        </w:pPr>
        <w:rPr>
          <w:rFonts w:ascii="Wingdings" w:hAnsi="Wingdings" w:hint="default"/>
        </w:rPr>
      </w:lvl>
    </w:lvlOverride>
  </w:num>
  <w:num w:numId="24">
    <w:abstractNumId w:val="30"/>
  </w:num>
  <w:num w:numId="25">
    <w:abstractNumId w:val="20"/>
  </w:num>
  <w:num w:numId="26">
    <w:abstractNumId w:val="31"/>
  </w:num>
  <w:num w:numId="27">
    <w:abstractNumId w:val="36"/>
  </w:num>
  <w:num w:numId="2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2"/>
  </w:num>
  <w:num w:numId="30">
    <w:abstractNumId w:val="17"/>
  </w:num>
  <w:num w:numId="31">
    <w:abstractNumId w:val="14"/>
  </w:num>
  <w:num w:numId="32">
    <w:abstractNumId w:val="35"/>
  </w:num>
  <w:num w:numId="33">
    <w:abstractNumId w:val="37"/>
  </w:num>
  <w:num w:numId="34">
    <w:abstractNumId w:val="19"/>
  </w:num>
  <w:num w:numId="35">
    <w:abstractNumId w:val="27"/>
  </w:num>
  <w:num w:numId="36">
    <w:abstractNumId w:val="32"/>
  </w:num>
  <w:num w:numId="37">
    <w:abstractNumId w:val="23"/>
  </w:num>
  <w:num w:numId="3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6"/>
  </w:num>
  <w:num w:numId="40">
    <w:abstractNumId w:val="8"/>
    <w:lvlOverride w:ilvl="0">
      <w:lvl w:ilvl="0">
        <w:start w:val="1"/>
        <w:numFmt w:val="bullet"/>
        <w:lvlText w:val="–"/>
        <w:legacy w:legacy="1" w:legacySpace="0" w:legacyIndent="284"/>
        <w:lvlJc w:val="left"/>
        <w:pPr>
          <w:ind w:left="851" w:hanging="284"/>
        </w:pPr>
        <w:rPr>
          <w:rFonts w:ascii="Times New Roman" w:hAnsi="Times New Roman" w:cs="Times New Roman" w:hint="default"/>
          <w:sz w:val="20"/>
        </w:rPr>
      </w:lvl>
    </w:lvlOverride>
  </w:num>
  <w:num w:numId="41">
    <w:abstractNumId w:val="15"/>
  </w:num>
  <w:num w:numId="42">
    <w:abstractNumId w:val="27"/>
    <w:lvlOverride w:ilvl="0">
      <w:startOverride w:val="1"/>
    </w:lvlOverride>
  </w:num>
  <w:num w:numId="43">
    <w:abstractNumId w:val="38"/>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0"/>
  <w:activeWritingStyle w:appName="MSWord" w:lang="en-NZ" w:vendorID="64" w:dllVersion="6" w:nlCheck="1" w:checkStyle="1"/>
  <w:activeWritingStyle w:appName="MSWord" w:lang="en-NZ" w:vendorID="64" w:dllVersion="0" w:nlCheck="1" w:checkStyle="0"/>
  <w:activeWritingStyle w:appName="MSWord" w:lang="fr-FR" w:vendorID="64" w:dllVersion="0" w:nlCheck="1" w:checkStyle="0"/>
  <w:stylePaneFormatFilter w:val="5804" w:allStyles="0" w:customStyles="0" w:latentStyles="1" w:stylesInUse="0" w:headingStyles="0" w:numberingStyles="0" w:tableStyles="0" w:directFormattingOnRuns="0" w:directFormattingOnParagraphs="0" w:directFormattingOnNumbering="0" w:directFormattingOnTables="1" w:clearFormatting="1" w:top3HeadingStyles="0" w:visibleStyles="1" w:alternateStyleNames="0"/>
  <w:defaultTabStop w:val="397"/>
  <w:evenAndOddHeaders/>
  <w:drawingGridHorizontalSpacing w:val="187"/>
  <w:displayVerticalDrawingGridEvery w:val="2"/>
  <w:noPunctuationKerning/>
  <w:characterSpacingControl w:val="doNotCompress"/>
  <w:hdrShapeDefaults>
    <o:shapedefaults v:ext="edit" spidmax="2049"/>
  </w:hdrShapeDefaults>
  <w:footnotePr>
    <w:footnote w:id="-1"/>
    <w:footnote w:id="0"/>
  </w:footnotePr>
  <w:endnotePr>
    <w:endnote w:id="-1"/>
    <w:endnote w:id="0"/>
  </w:endnotePr>
  <w:compat>
    <w:suppressBottomSpacing/>
    <w:suppressTopSpacing/>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A30E8"/>
    <w:rsid w:val="00001716"/>
    <w:rsid w:val="00004496"/>
    <w:rsid w:val="00004886"/>
    <w:rsid w:val="00005EB6"/>
    <w:rsid w:val="000072D8"/>
    <w:rsid w:val="00007ABB"/>
    <w:rsid w:val="00007F6A"/>
    <w:rsid w:val="0001078B"/>
    <w:rsid w:val="0001221A"/>
    <w:rsid w:val="00014419"/>
    <w:rsid w:val="000178AB"/>
    <w:rsid w:val="000209D8"/>
    <w:rsid w:val="00021565"/>
    <w:rsid w:val="00021ACF"/>
    <w:rsid w:val="00022513"/>
    <w:rsid w:val="00026CCD"/>
    <w:rsid w:val="0002701A"/>
    <w:rsid w:val="00027E55"/>
    <w:rsid w:val="00030690"/>
    <w:rsid w:val="00030F27"/>
    <w:rsid w:val="00031848"/>
    <w:rsid w:val="0003216A"/>
    <w:rsid w:val="00032A28"/>
    <w:rsid w:val="000331B3"/>
    <w:rsid w:val="0003467F"/>
    <w:rsid w:val="00035185"/>
    <w:rsid w:val="00036FB1"/>
    <w:rsid w:val="0004051F"/>
    <w:rsid w:val="00041B8F"/>
    <w:rsid w:val="00042805"/>
    <w:rsid w:val="000429F6"/>
    <w:rsid w:val="0004456A"/>
    <w:rsid w:val="00050008"/>
    <w:rsid w:val="00051006"/>
    <w:rsid w:val="0005290A"/>
    <w:rsid w:val="00053F84"/>
    <w:rsid w:val="0005498B"/>
    <w:rsid w:val="00054EC9"/>
    <w:rsid w:val="0005561F"/>
    <w:rsid w:val="000576EC"/>
    <w:rsid w:val="0006071C"/>
    <w:rsid w:val="000624E4"/>
    <w:rsid w:val="000631B3"/>
    <w:rsid w:val="00065063"/>
    <w:rsid w:val="0006530B"/>
    <w:rsid w:val="00065C53"/>
    <w:rsid w:val="000667B5"/>
    <w:rsid w:val="00066E5A"/>
    <w:rsid w:val="00070065"/>
    <w:rsid w:val="000724BC"/>
    <w:rsid w:val="000728D8"/>
    <w:rsid w:val="00074553"/>
    <w:rsid w:val="000756C0"/>
    <w:rsid w:val="00082902"/>
    <w:rsid w:val="00083ECB"/>
    <w:rsid w:val="00084E99"/>
    <w:rsid w:val="00087879"/>
    <w:rsid w:val="000939C9"/>
    <w:rsid w:val="00094015"/>
    <w:rsid w:val="000959CB"/>
    <w:rsid w:val="00095C0D"/>
    <w:rsid w:val="00095F67"/>
    <w:rsid w:val="000A018F"/>
    <w:rsid w:val="000A1597"/>
    <w:rsid w:val="000A2C97"/>
    <w:rsid w:val="000A2E1D"/>
    <w:rsid w:val="000A3402"/>
    <w:rsid w:val="000B0092"/>
    <w:rsid w:val="000B00C7"/>
    <w:rsid w:val="000B1212"/>
    <w:rsid w:val="000B35E6"/>
    <w:rsid w:val="000B369A"/>
    <w:rsid w:val="000B3AAD"/>
    <w:rsid w:val="000B4B96"/>
    <w:rsid w:val="000B51B1"/>
    <w:rsid w:val="000B5C5F"/>
    <w:rsid w:val="000B79DF"/>
    <w:rsid w:val="000C0D66"/>
    <w:rsid w:val="000C13C4"/>
    <w:rsid w:val="000C20A6"/>
    <w:rsid w:val="000C249B"/>
    <w:rsid w:val="000C30B5"/>
    <w:rsid w:val="000C3907"/>
    <w:rsid w:val="000C636D"/>
    <w:rsid w:val="000C7076"/>
    <w:rsid w:val="000C7C27"/>
    <w:rsid w:val="000D120B"/>
    <w:rsid w:val="000D3702"/>
    <w:rsid w:val="000D5E60"/>
    <w:rsid w:val="000E1C17"/>
    <w:rsid w:val="000E29E3"/>
    <w:rsid w:val="000E3CC9"/>
    <w:rsid w:val="000E497C"/>
    <w:rsid w:val="000E5D1F"/>
    <w:rsid w:val="000E6DC7"/>
    <w:rsid w:val="000F0DF6"/>
    <w:rsid w:val="000F0E24"/>
    <w:rsid w:val="000F4164"/>
    <w:rsid w:val="000F4DEF"/>
    <w:rsid w:val="000F4ECC"/>
    <w:rsid w:val="000F4F49"/>
    <w:rsid w:val="000F62D5"/>
    <w:rsid w:val="00102A2C"/>
    <w:rsid w:val="00102D07"/>
    <w:rsid w:val="00103A6C"/>
    <w:rsid w:val="00103A70"/>
    <w:rsid w:val="00111A34"/>
    <w:rsid w:val="0011242D"/>
    <w:rsid w:val="0011453B"/>
    <w:rsid w:val="00115EF9"/>
    <w:rsid w:val="00116E1B"/>
    <w:rsid w:val="00117A42"/>
    <w:rsid w:val="00121084"/>
    <w:rsid w:val="001221C3"/>
    <w:rsid w:val="001236FF"/>
    <w:rsid w:val="001245C4"/>
    <w:rsid w:val="00124792"/>
    <w:rsid w:val="00126288"/>
    <w:rsid w:val="00126411"/>
    <w:rsid w:val="0012724E"/>
    <w:rsid w:val="00127C5A"/>
    <w:rsid w:val="00130604"/>
    <w:rsid w:val="001324F6"/>
    <w:rsid w:val="001368D6"/>
    <w:rsid w:val="00137E84"/>
    <w:rsid w:val="001423C4"/>
    <w:rsid w:val="00142ADB"/>
    <w:rsid w:val="00142FB4"/>
    <w:rsid w:val="00144A34"/>
    <w:rsid w:val="001469A6"/>
    <w:rsid w:val="00147E45"/>
    <w:rsid w:val="001503D9"/>
    <w:rsid w:val="0015144C"/>
    <w:rsid w:val="00153030"/>
    <w:rsid w:val="00153F5A"/>
    <w:rsid w:val="001546A7"/>
    <w:rsid w:val="00156D4F"/>
    <w:rsid w:val="00156F21"/>
    <w:rsid w:val="001577FD"/>
    <w:rsid w:val="00160A37"/>
    <w:rsid w:val="00162C94"/>
    <w:rsid w:val="0016306C"/>
    <w:rsid w:val="00163488"/>
    <w:rsid w:val="00164ECC"/>
    <w:rsid w:val="00170CF9"/>
    <w:rsid w:val="001712C4"/>
    <w:rsid w:val="0017448E"/>
    <w:rsid w:val="00174986"/>
    <w:rsid w:val="00174C29"/>
    <w:rsid w:val="0017730F"/>
    <w:rsid w:val="00177C9C"/>
    <w:rsid w:val="00180C1C"/>
    <w:rsid w:val="0018147D"/>
    <w:rsid w:val="001814DF"/>
    <w:rsid w:val="0018214F"/>
    <w:rsid w:val="0018246B"/>
    <w:rsid w:val="00182B34"/>
    <w:rsid w:val="001831DD"/>
    <w:rsid w:val="00183842"/>
    <w:rsid w:val="00183BC1"/>
    <w:rsid w:val="00184A8A"/>
    <w:rsid w:val="00185AB0"/>
    <w:rsid w:val="00191C16"/>
    <w:rsid w:val="001941AE"/>
    <w:rsid w:val="00194FC5"/>
    <w:rsid w:val="00195BD5"/>
    <w:rsid w:val="00195C62"/>
    <w:rsid w:val="001970E1"/>
    <w:rsid w:val="001A0769"/>
    <w:rsid w:val="001A1997"/>
    <w:rsid w:val="001A1DE4"/>
    <w:rsid w:val="001A22B7"/>
    <w:rsid w:val="001A2BD1"/>
    <w:rsid w:val="001A3E1F"/>
    <w:rsid w:val="001A5998"/>
    <w:rsid w:val="001A5BD0"/>
    <w:rsid w:val="001A728C"/>
    <w:rsid w:val="001B2677"/>
    <w:rsid w:val="001B283D"/>
    <w:rsid w:val="001B5526"/>
    <w:rsid w:val="001B6A52"/>
    <w:rsid w:val="001B6FD2"/>
    <w:rsid w:val="001C0BC6"/>
    <w:rsid w:val="001C1581"/>
    <w:rsid w:val="001C5A35"/>
    <w:rsid w:val="001D206C"/>
    <w:rsid w:val="001D366E"/>
    <w:rsid w:val="001D4675"/>
    <w:rsid w:val="001D7DAC"/>
    <w:rsid w:val="001E0748"/>
    <w:rsid w:val="001E124A"/>
    <w:rsid w:val="001E1ABC"/>
    <w:rsid w:val="001E2AE3"/>
    <w:rsid w:val="001E350B"/>
    <w:rsid w:val="001E3764"/>
    <w:rsid w:val="001E39EF"/>
    <w:rsid w:val="001E5645"/>
    <w:rsid w:val="001E584F"/>
    <w:rsid w:val="001F12CA"/>
    <w:rsid w:val="001F14C5"/>
    <w:rsid w:val="001F4072"/>
    <w:rsid w:val="001F6E00"/>
    <w:rsid w:val="002004F4"/>
    <w:rsid w:val="00203936"/>
    <w:rsid w:val="002051F4"/>
    <w:rsid w:val="00205D5E"/>
    <w:rsid w:val="00207ABF"/>
    <w:rsid w:val="00210434"/>
    <w:rsid w:val="002117C8"/>
    <w:rsid w:val="00211C26"/>
    <w:rsid w:val="00211C55"/>
    <w:rsid w:val="00211ED1"/>
    <w:rsid w:val="002122A5"/>
    <w:rsid w:val="0021273B"/>
    <w:rsid w:val="00212BA2"/>
    <w:rsid w:val="00213500"/>
    <w:rsid w:val="0021371A"/>
    <w:rsid w:val="00213955"/>
    <w:rsid w:val="00213A7A"/>
    <w:rsid w:val="00213FFB"/>
    <w:rsid w:val="002151C9"/>
    <w:rsid w:val="00217474"/>
    <w:rsid w:val="00217583"/>
    <w:rsid w:val="00217967"/>
    <w:rsid w:val="00224522"/>
    <w:rsid w:val="0022519D"/>
    <w:rsid w:val="002253F5"/>
    <w:rsid w:val="00225A13"/>
    <w:rsid w:val="00225AF5"/>
    <w:rsid w:val="002271B9"/>
    <w:rsid w:val="0022771A"/>
    <w:rsid w:val="002278D8"/>
    <w:rsid w:val="00227F08"/>
    <w:rsid w:val="00230860"/>
    <w:rsid w:val="0023121A"/>
    <w:rsid w:val="002317CB"/>
    <w:rsid w:val="00240B42"/>
    <w:rsid w:val="00242E8D"/>
    <w:rsid w:val="00244DCD"/>
    <w:rsid w:val="00244E0E"/>
    <w:rsid w:val="002461EE"/>
    <w:rsid w:val="00246583"/>
    <w:rsid w:val="00252B82"/>
    <w:rsid w:val="002543FA"/>
    <w:rsid w:val="00255371"/>
    <w:rsid w:val="00257BB5"/>
    <w:rsid w:val="00260B48"/>
    <w:rsid w:val="0026227A"/>
    <w:rsid w:val="00265955"/>
    <w:rsid w:val="00272FAF"/>
    <w:rsid w:val="002745A8"/>
    <w:rsid w:val="00274AE4"/>
    <w:rsid w:val="00275053"/>
    <w:rsid w:val="00276A11"/>
    <w:rsid w:val="00276E6A"/>
    <w:rsid w:val="002828F0"/>
    <w:rsid w:val="00283144"/>
    <w:rsid w:val="002834E7"/>
    <w:rsid w:val="00283903"/>
    <w:rsid w:val="00283D78"/>
    <w:rsid w:val="002851BB"/>
    <w:rsid w:val="0028581A"/>
    <w:rsid w:val="002868D3"/>
    <w:rsid w:val="00286A94"/>
    <w:rsid w:val="00292755"/>
    <w:rsid w:val="00292C83"/>
    <w:rsid w:val="00292DF0"/>
    <w:rsid w:val="0029383C"/>
    <w:rsid w:val="002944CE"/>
    <w:rsid w:val="00295B2A"/>
    <w:rsid w:val="00297310"/>
    <w:rsid w:val="002A1361"/>
    <w:rsid w:val="002A14FD"/>
    <w:rsid w:val="002A49D7"/>
    <w:rsid w:val="002A65C8"/>
    <w:rsid w:val="002A72F7"/>
    <w:rsid w:val="002B097E"/>
    <w:rsid w:val="002B17DA"/>
    <w:rsid w:val="002B1C5A"/>
    <w:rsid w:val="002B1E8B"/>
    <w:rsid w:val="002B2F31"/>
    <w:rsid w:val="002B3284"/>
    <w:rsid w:val="002B3633"/>
    <w:rsid w:val="002B5085"/>
    <w:rsid w:val="002B5847"/>
    <w:rsid w:val="002B76CD"/>
    <w:rsid w:val="002C3833"/>
    <w:rsid w:val="002C3AEC"/>
    <w:rsid w:val="002C56D8"/>
    <w:rsid w:val="002C7B14"/>
    <w:rsid w:val="002D012E"/>
    <w:rsid w:val="002D0986"/>
    <w:rsid w:val="002D0B56"/>
    <w:rsid w:val="002D13B7"/>
    <w:rsid w:val="002D445C"/>
    <w:rsid w:val="002D60CB"/>
    <w:rsid w:val="002D60DB"/>
    <w:rsid w:val="002D6A54"/>
    <w:rsid w:val="002D6AB5"/>
    <w:rsid w:val="002D7197"/>
    <w:rsid w:val="002E6A40"/>
    <w:rsid w:val="002E79D4"/>
    <w:rsid w:val="002F0F21"/>
    <w:rsid w:val="002F134A"/>
    <w:rsid w:val="002F217A"/>
    <w:rsid w:val="002F441A"/>
    <w:rsid w:val="002F54E5"/>
    <w:rsid w:val="002F5FD5"/>
    <w:rsid w:val="002F6369"/>
    <w:rsid w:val="002F6E5E"/>
    <w:rsid w:val="00301D21"/>
    <w:rsid w:val="00302D84"/>
    <w:rsid w:val="00306B8F"/>
    <w:rsid w:val="0031069B"/>
    <w:rsid w:val="00312DE7"/>
    <w:rsid w:val="00313010"/>
    <w:rsid w:val="00313EA5"/>
    <w:rsid w:val="00315760"/>
    <w:rsid w:val="003158D0"/>
    <w:rsid w:val="00316F64"/>
    <w:rsid w:val="003211AF"/>
    <w:rsid w:val="00321557"/>
    <w:rsid w:val="0032262E"/>
    <w:rsid w:val="0032349D"/>
    <w:rsid w:val="00323F5C"/>
    <w:rsid w:val="00325692"/>
    <w:rsid w:val="00326CAB"/>
    <w:rsid w:val="0033068F"/>
    <w:rsid w:val="00330809"/>
    <w:rsid w:val="00330F6B"/>
    <w:rsid w:val="0033173C"/>
    <w:rsid w:val="0033198D"/>
    <w:rsid w:val="003325CA"/>
    <w:rsid w:val="00332F62"/>
    <w:rsid w:val="00333601"/>
    <w:rsid w:val="00335B51"/>
    <w:rsid w:val="00336157"/>
    <w:rsid w:val="00337E54"/>
    <w:rsid w:val="00340841"/>
    <w:rsid w:val="003412D0"/>
    <w:rsid w:val="0034248F"/>
    <w:rsid w:val="00343ED9"/>
    <w:rsid w:val="00344227"/>
    <w:rsid w:val="00344BC0"/>
    <w:rsid w:val="00346A1F"/>
    <w:rsid w:val="00346E81"/>
    <w:rsid w:val="00347AFE"/>
    <w:rsid w:val="00347D21"/>
    <w:rsid w:val="0035181A"/>
    <w:rsid w:val="00351BD1"/>
    <w:rsid w:val="003526C7"/>
    <w:rsid w:val="00352724"/>
    <w:rsid w:val="00353362"/>
    <w:rsid w:val="003557B6"/>
    <w:rsid w:val="003568D6"/>
    <w:rsid w:val="003571FF"/>
    <w:rsid w:val="00360857"/>
    <w:rsid w:val="00361DD4"/>
    <w:rsid w:val="0036223D"/>
    <w:rsid w:val="0036324D"/>
    <w:rsid w:val="003642B7"/>
    <w:rsid w:val="00365854"/>
    <w:rsid w:val="00365B2B"/>
    <w:rsid w:val="00365BD1"/>
    <w:rsid w:val="00367282"/>
    <w:rsid w:val="00370BB2"/>
    <w:rsid w:val="00370BCD"/>
    <w:rsid w:val="00371B89"/>
    <w:rsid w:val="003725AD"/>
    <w:rsid w:val="00372AD7"/>
    <w:rsid w:val="003731B6"/>
    <w:rsid w:val="003740C6"/>
    <w:rsid w:val="0037590E"/>
    <w:rsid w:val="00377186"/>
    <w:rsid w:val="0038135F"/>
    <w:rsid w:val="00382884"/>
    <w:rsid w:val="00382B77"/>
    <w:rsid w:val="00383207"/>
    <w:rsid w:val="0038615B"/>
    <w:rsid w:val="00387082"/>
    <w:rsid w:val="00387C28"/>
    <w:rsid w:val="00387C49"/>
    <w:rsid w:val="00390016"/>
    <w:rsid w:val="00390E89"/>
    <w:rsid w:val="00393AA1"/>
    <w:rsid w:val="00395B45"/>
    <w:rsid w:val="003972EF"/>
    <w:rsid w:val="00397D2B"/>
    <w:rsid w:val="003A034F"/>
    <w:rsid w:val="003A09BB"/>
    <w:rsid w:val="003A5006"/>
    <w:rsid w:val="003A643C"/>
    <w:rsid w:val="003A6524"/>
    <w:rsid w:val="003B0192"/>
    <w:rsid w:val="003B6E11"/>
    <w:rsid w:val="003B759C"/>
    <w:rsid w:val="003C080E"/>
    <w:rsid w:val="003C1F2B"/>
    <w:rsid w:val="003C2615"/>
    <w:rsid w:val="003C285D"/>
    <w:rsid w:val="003C3954"/>
    <w:rsid w:val="003C54BF"/>
    <w:rsid w:val="003C5CB5"/>
    <w:rsid w:val="003C6C0D"/>
    <w:rsid w:val="003D0318"/>
    <w:rsid w:val="003D0FC9"/>
    <w:rsid w:val="003D4BDF"/>
    <w:rsid w:val="003D5417"/>
    <w:rsid w:val="003D5797"/>
    <w:rsid w:val="003D5E11"/>
    <w:rsid w:val="003E2900"/>
    <w:rsid w:val="003E2C49"/>
    <w:rsid w:val="003E4A42"/>
    <w:rsid w:val="003E7371"/>
    <w:rsid w:val="003E73F4"/>
    <w:rsid w:val="003E7AC7"/>
    <w:rsid w:val="003F123F"/>
    <w:rsid w:val="00400D07"/>
    <w:rsid w:val="00400F92"/>
    <w:rsid w:val="004020D7"/>
    <w:rsid w:val="0040213F"/>
    <w:rsid w:val="00402DC1"/>
    <w:rsid w:val="004036FD"/>
    <w:rsid w:val="004044F1"/>
    <w:rsid w:val="00406850"/>
    <w:rsid w:val="00410716"/>
    <w:rsid w:val="00410823"/>
    <w:rsid w:val="0041088E"/>
    <w:rsid w:val="0041157B"/>
    <w:rsid w:val="00412BA2"/>
    <w:rsid w:val="00412CC9"/>
    <w:rsid w:val="00416320"/>
    <w:rsid w:val="004168AB"/>
    <w:rsid w:val="00420CB5"/>
    <w:rsid w:val="0042250F"/>
    <w:rsid w:val="004231F8"/>
    <w:rsid w:val="0042424B"/>
    <w:rsid w:val="00424864"/>
    <w:rsid w:val="00430D5D"/>
    <w:rsid w:val="00430E77"/>
    <w:rsid w:val="0043197B"/>
    <w:rsid w:val="00432DF0"/>
    <w:rsid w:val="00433EFF"/>
    <w:rsid w:val="00433F05"/>
    <w:rsid w:val="00434920"/>
    <w:rsid w:val="00435299"/>
    <w:rsid w:val="004357D4"/>
    <w:rsid w:val="004374B8"/>
    <w:rsid w:val="00441F59"/>
    <w:rsid w:val="00441FA8"/>
    <w:rsid w:val="004421E1"/>
    <w:rsid w:val="00443350"/>
    <w:rsid w:val="00443A29"/>
    <w:rsid w:val="00444336"/>
    <w:rsid w:val="00445A02"/>
    <w:rsid w:val="00450945"/>
    <w:rsid w:val="00454A0D"/>
    <w:rsid w:val="00455788"/>
    <w:rsid w:val="00455ADD"/>
    <w:rsid w:val="00455B61"/>
    <w:rsid w:val="0045652C"/>
    <w:rsid w:val="004574FE"/>
    <w:rsid w:val="00457BC6"/>
    <w:rsid w:val="004613CD"/>
    <w:rsid w:val="00462497"/>
    <w:rsid w:val="00462DFC"/>
    <w:rsid w:val="00465A69"/>
    <w:rsid w:val="004662B3"/>
    <w:rsid w:val="0047019D"/>
    <w:rsid w:val="00470BB0"/>
    <w:rsid w:val="00471B23"/>
    <w:rsid w:val="00471DB7"/>
    <w:rsid w:val="00472140"/>
    <w:rsid w:val="00474C2C"/>
    <w:rsid w:val="00474C8D"/>
    <w:rsid w:val="0047613C"/>
    <w:rsid w:val="00477DE6"/>
    <w:rsid w:val="004805A3"/>
    <w:rsid w:val="00490EB0"/>
    <w:rsid w:val="004923EB"/>
    <w:rsid w:val="0049254D"/>
    <w:rsid w:val="00493BA9"/>
    <w:rsid w:val="004A034F"/>
    <w:rsid w:val="004A39F8"/>
    <w:rsid w:val="004A3C2C"/>
    <w:rsid w:val="004A618E"/>
    <w:rsid w:val="004B3E51"/>
    <w:rsid w:val="004B5C62"/>
    <w:rsid w:val="004B5F20"/>
    <w:rsid w:val="004C0828"/>
    <w:rsid w:val="004C0A2A"/>
    <w:rsid w:val="004C46B9"/>
    <w:rsid w:val="004C4D66"/>
    <w:rsid w:val="004C6BC8"/>
    <w:rsid w:val="004C7114"/>
    <w:rsid w:val="004D0912"/>
    <w:rsid w:val="004D2E55"/>
    <w:rsid w:val="004D30A5"/>
    <w:rsid w:val="004D3C19"/>
    <w:rsid w:val="004D50CC"/>
    <w:rsid w:val="004D573C"/>
    <w:rsid w:val="004D695F"/>
    <w:rsid w:val="004E1438"/>
    <w:rsid w:val="004E1D28"/>
    <w:rsid w:val="004E3CDC"/>
    <w:rsid w:val="004E4B2C"/>
    <w:rsid w:val="004E4BF6"/>
    <w:rsid w:val="004E50FF"/>
    <w:rsid w:val="004E517A"/>
    <w:rsid w:val="004E67B3"/>
    <w:rsid w:val="004E7D40"/>
    <w:rsid w:val="004F0CC9"/>
    <w:rsid w:val="004F1572"/>
    <w:rsid w:val="004F229D"/>
    <w:rsid w:val="004F27EE"/>
    <w:rsid w:val="004F28EB"/>
    <w:rsid w:val="004F481A"/>
    <w:rsid w:val="004F483D"/>
    <w:rsid w:val="004F5497"/>
    <w:rsid w:val="004F5D08"/>
    <w:rsid w:val="004F60EA"/>
    <w:rsid w:val="004F6F28"/>
    <w:rsid w:val="00500181"/>
    <w:rsid w:val="00501AC4"/>
    <w:rsid w:val="00502D87"/>
    <w:rsid w:val="0050329C"/>
    <w:rsid w:val="00505063"/>
    <w:rsid w:val="00506DFF"/>
    <w:rsid w:val="005076F4"/>
    <w:rsid w:val="0051188F"/>
    <w:rsid w:val="00512A86"/>
    <w:rsid w:val="00513B01"/>
    <w:rsid w:val="00515D98"/>
    <w:rsid w:val="00516D72"/>
    <w:rsid w:val="0052078D"/>
    <w:rsid w:val="00520B8E"/>
    <w:rsid w:val="0052105D"/>
    <w:rsid w:val="00524720"/>
    <w:rsid w:val="00524D35"/>
    <w:rsid w:val="00526270"/>
    <w:rsid w:val="00530FA4"/>
    <w:rsid w:val="00531F56"/>
    <w:rsid w:val="005338F3"/>
    <w:rsid w:val="00534210"/>
    <w:rsid w:val="00540271"/>
    <w:rsid w:val="0054289D"/>
    <w:rsid w:val="00543478"/>
    <w:rsid w:val="00543AA5"/>
    <w:rsid w:val="00543CC9"/>
    <w:rsid w:val="00545600"/>
    <w:rsid w:val="005459ED"/>
    <w:rsid w:val="00546A6A"/>
    <w:rsid w:val="00547849"/>
    <w:rsid w:val="00547F8C"/>
    <w:rsid w:val="0055281A"/>
    <w:rsid w:val="0055370E"/>
    <w:rsid w:val="005552E1"/>
    <w:rsid w:val="00557D2C"/>
    <w:rsid w:val="00557D69"/>
    <w:rsid w:val="005615D4"/>
    <w:rsid w:val="00562240"/>
    <w:rsid w:val="00562F43"/>
    <w:rsid w:val="005630B0"/>
    <w:rsid w:val="00563C69"/>
    <w:rsid w:val="005660CD"/>
    <w:rsid w:val="005663ED"/>
    <w:rsid w:val="0056715F"/>
    <w:rsid w:val="005719BD"/>
    <w:rsid w:val="00571B6B"/>
    <w:rsid w:val="005720F2"/>
    <w:rsid w:val="00577764"/>
    <w:rsid w:val="00577BBF"/>
    <w:rsid w:val="0058044E"/>
    <w:rsid w:val="00580A1E"/>
    <w:rsid w:val="005812D6"/>
    <w:rsid w:val="0058207A"/>
    <w:rsid w:val="00582408"/>
    <w:rsid w:val="00582587"/>
    <w:rsid w:val="00584CC8"/>
    <w:rsid w:val="005851DC"/>
    <w:rsid w:val="00591646"/>
    <w:rsid w:val="005932BB"/>
    <w:rsid w:val="005939C7"/>
    <w:rsid w:val="00593AD2"/>
    <w:rsid w:val="00594546"/>
    <w:rsid w:val="00596351"/>
    <w:rsid w:val="00596603"/>
    <w:rsid w:val="005A18C8"/>
    <w:rsid w:val="005A283C"/>
    <w:rsid w:val="005A2CAB"/>
    <w:rsid w:val="005A3830"/>
    <w:rsid w:val="005A6F84"/>
    <w:rsid w:val="005B1D32"/>
    <w:rsid w:val="005B274A"/>
    <w:rsid w:val="005B3CE7"/>
    <w:rsid w:val="005B4C8A"/>
    <w:rsid w:val="005B612C"/>
    <w:rsid w:val="005B6417"/>
    <w:rsid w:val="005B731B"/>
    <w:rsid w:val="005B76A4"/>
    <w:rsid w:val="005B7868"/>
    <w:rsid w:val="005B78E1"/>
    <w:rsid w:val="005C168F"/>
    <w:rsid w:val="005C1988"/>
    <w:rsid w:val="005C3384"/>
    <w:rsid w:val="005C416E"/>
    <w:rsid w:val="005C588A"/>
    <w:rsid w:val="005C60D4"/>
    <w:rsid w:val="005C6E3E"/>
    <w:rsid w:val="005C6F18"/>
    <w:rsid w:val="005D0C5D"/>
    <w:rsid w:val="005D0C94"/>
    <w:rsid w:val="005D1C3A"/>
    <w:rsid w:val="005D2C12"/>
    <w:rsid w:val="005D31D8"/>
    <w:rsid w:val="005D38DD"/>
    <w:rsid w:val="005D68F6"/>
    <w:rsid w:val="005D6D89"/>
    <w:rsid w:val="005D74BA"/>
    <w:rsid w:val="005E062A"/>
    <w:rsid w:val="005E43DD"/>
    <w:rsid w:val="005E60C7"/>
    <w:rsid w:val="005E62DA"/>
    <w:rsid w:val="005E6405"/>
    <w:rsid w:val="005E6AE2"/>
    <w:rsid w:val="005E77C4"/>
    <w:rsid w:val="005E7AB9"/>
    <w:rsid w:val="005F05A2"/>
    <w:rsid w:val="005F5D40"/>
    <w:rsid w:val="005F6829"/>
    <w:rsid w:val="005F75FE"/>
    <w:rsid w:val="00600179"/>
    <w:rsid w:val="00601F36"/>
    <w:rsid w:val="00603FC0"/>
    <w:rsid w:val="00604B70"/>
    <w:rsid w:val="00605CD5"/>
    <w:rsid w:val="0060611C"/>
    <w:rsid w:val="00607315"/>
    <w:rsid w:val="00611F8C"/>
    <w:rsid w:val="00612A2C"/>
    <w:rsid w:val="006132E1"/>
    <w:rsid w:val="00614578"/>
    <w:rsid w:val="00614FDD"/>
    <w:rsid w:val="006167DD"/>
    <w:rsid w:val="006173B0"/>
    <w:rsid w:val="00617C6F"/>
    <w:rsid w:val="0062032E"/>
    <w:rsid w:val="00620670"/>
    <w:rsid w:val="00620DC2"/>
    <w:rsid w:val="0062172E"/>
    <w:rsid w:val="0062255C"/>
    <w:rsid w:val="00627326"/>
    <w:rsid w:val="0062754B"/>
    <w:rsid w:val="00627CA1"/>
    <w:rsid w:val="00627DAF"/>
    <w:rsid w:val="00630893"/>
    <w:rsid w:val="0063133A"/>
    <w:rsid w:val="00633E88"/>
    <w:rsid w:val="00635684"/>
    <w:rsid w:val="00635834"/>
    <w:rsid w:val="00635EBD"/>
    <w:rsid w:val="00636BF0"/>
    <w:rsid w:val="00637524"/>
    <w:rsid w:val="0064289B"/>
    <w:rsid w:val="00643C27"/>
    <w:rsid w:val="00643D10"/>
    <w:rsid w:val="00645197"/>
    <w:rsid w:val="00646B6D"/>
    <w:rsid w:val="00647697"/>
    <w:rsid w:val="006478D3"/>
    <w:rsid w:val="00650DDE"/>
    <w:rsid w:val="0065144B"/>
    <w:rsid w:val="00651B0C"/>
    <w:rsid w:val="006529AF"/>
    <w:rsid w:val="0065307D"/>
    <w:rsid w:val="006557DA"/>
    <w:rsid w:val="00655908"/>
    <w:rsid w:val="00656A94"/>
    <w:rsid w:val="006570C8"/>
    <w:rsid w:val="00657997"/>
    <w:rsid w:val="0066131C"/>
    <w:rsid w:val="006613CB"/>
    <w:rsid w:val="0066164F"/>
    <w:rsid w:val="00662319"/>
    <w:rsid w:val="006654F8"/>
    <w:rsid w:val="00665650"/>
    <w:rsid w:val="00665768"/>
    <w:rsid w:val="00667291"/>
    <w:rsid w:val="00670DF3"/>
    <w:rsid w:val="00671024"/>
    <w:rsid w:val="00671668"/>
    <w:rsid w:val="00673052"/>
    <w:rsid w:val="00673C8A"/>
    <w:rsid w:val="00676007"/>
    <w:rsid w:val="00680B95"/>
    <w:rsid w:val="00680FCA"/>
    <w:rsid w:val="006819B6"/>
    <w:rsid w:val="00682D89"/>
    <w:rsid w:val="006846D8"/>
    <w:rsid w:val="00686249"/>
    <w:rsid w:val="00686C2D"/>
    <w:rsid w:val="0068711C"/>
    <w:rsid w:val="00687504"/>
    <w:rsid w:val="00690A81"/>
    <w:rsid w:val="00690F44"/>
    <w:rsid w:val="00691AFF"/>
    <w:rsid w:val="00693975"/>
    <w:rsid w:val="006946F8"/>
    <w:rsid w:val="00695066"/>
    <w:rsid w:val="00695807"/>
    <w:rsid w:val="00696773"/>
    <w:rsid w:val="006968BB"/>
    <w:rsid w:val="006A0275"/>
    <w:rsid w:val="006A1572"/>
    <w:rsid w:val="006A171F"/>
    <w:rsid w:val="006A2B26"/>
    <w:rsid w:val="006A36A8"/>
    <w:rsid w:val="006A4209"/>
    <w:rsid w:val="006A4E5F"/>
    <w:rsid w:val="006A5253"/>
    <w:rsid w:val="006A565F"/>
    <w:rsid w:val="006B4344"/>
    <w:rsid w:val="006B44DA"/>
    <w:rsid w:val="006B4E6C"/>
    <w:rsid w:val="006B5184"/>
    <w:rsid w:val="006B5927"/>
    <w:rsid w:val="006B5EF7"/>
    <w:rsid w:val="006B5FE0"/>
    <w:rsid w:val="006B65F2"/>
    <w:rsid w:val="006B7E05"/>
    <w:rsid w:val="006C0A82"/>
    <w:rsid w:val="006C1ACB"/>
    <w:rsid w:val="006C1B51"/>
    <w:rsid w:val="006C223B"/>
    <w:rsid w:val="006C3B82"/>
    <w:rsid w:val="006C4333"/>
    <w:rsid w:val="006C5016"/>
    <w:rsid w:val="006C5461"/>
    <w:rsid w:val="006D0127"/>
    <w:rsid w:val="006D056D"/>
    <w:rsid w:val="006D0A98"/>
    <w:rsid w:val="006D0C1B"/>
    <w:rsid w:val="006D1767"/>
    <w:rsid w:val="006D2536"/>
    <w:rsid w:val="006D2B22"/>
    <w:rsid w:val="006D2BC6"/>
    <w:rsid w:val="006D2BD1"/>
    <w:rsid w:val="006D3FAE"/>
    <w:rsid w:val="006D4600"/>
    <w:rsid w:val="006E0A2C"/>
    <w:rsid w:val="006E1BC8"/>
    <w:rsid w:val="006E202B"/>
    <w:rsid w:val="006E296C"/>
    <w:rsid w:val="006E57B5"/>
    <w:rsid w:val="006E5F87"/>
    <w:rsid w:val="006F2841"/>
    <w:rsid w:val="006F30B0"/>
    <w:rsid w:val="006F3194"/>
    <w:rsid w:val="006F54F9"/>
    <w:rsid w:val="006F55FE"/>
    <w:rsid w:val="006F5A96"/>
    <w:rsid w:val="0070047C"/>
    <w:rsid w:val="0070058B"/>
    <w:rsid w:val="007007EB"/>
    <w:rsid w:val="0070236A"/>
    <w:rsid w:val="00702FA0"/>
    <w:rsid w:val="00703E08"/>
    <w:rsid w:val="007049F4"/>
    <w:rsid w:val="00706DD1"/>
    <w:rsid w:val="00711200"/>
    <w:rsid w:val="00712D79"/>
    <w:rsid w:val="00714EC7"/>
    <w:rsid w:val="00715CE9"/>
    <w:rsid w:val="00715D39"/>
    <w:rsid w:val="007165CF"/>
    <w:rsid w:val="007173D7"/>
    <w:rsid w:val="00722FFB"/>
    <w:rsid w:val="00724218"/>
    <w:rsid w:val="00724803"/>
    <w:rsid w:val="007251D5"/>
    <w:rsid w:val="007253D6"/>
    <w:rsid w:val="007303AE"/>
    <w:rsid w:val="0073441C"/>
    <w:rsid w:val="007345A0"/>
    <w:rsid w:val="00735508"/>
    <w:rsid w:val="007365F5"/>
    <w:rsid w:val="00736BE5"/>
    <w:rsid w:val="00737E65"/>
    <w:rsid w:val="0074030A"/>
    <w:rsid w:val="007409A3"/>
    <w:rsid w:val="00741439"/>
    <w:rsid w:val="00742DC9"/>
    <w:rsid w:val="007432BC"/>
    <w:rsid w:val="007440D4"/>
    <w:rsid w:val="0074706A"/>
    <w:rsid w:val="0075029D"/>
    <w:rsid w:val="00750404"/>
    <w:rsid w:val="00750C83"/>
    <w:rsid w:val="00751CB3"/>
    <w:rsid w:val="00754D3F"/>
    <w:rsid w:val="00755AE1"/>
    <w:rsid w:val="0075637C"/>
    <w:rsid w:val="007575A8"/>
    <w:rsid w:val="007611EB"/>
    <w:rsid w:val="00761233"/>
    <w:rsid w:val="00762043"/>
    <w:rsid w:val="00762249"/>
    <w:rsid w:val="007633C2"/>
    <w:rsid w:val="00765A47"/>
    <w:rsid w:val="00766DDA"/>
    <w:rsid w:val="00770313"/>
    <w:rsid w:val="00770E82"/>
    <w:rsid w:val="00771A8F"/>
    <w:rsid w:val="00772E94"/>
    <w:rsid w:val="007734BD"/>
    <w:rsid w:val="00775144"/>
    <w:rsid w:val="0077535C"/>
    <w:rsid w:val="00777D15"/>
    <w:rsid w:val="007819F5"/>
    <w:rsid w:val="007822F5"/>
    <w:rsid w:val="00782B12"/>
    <w:rsid w:val="00782F1A"/>
    <w:rsid w:val="00783F25"/>
    <w:rsid w:val="00787317"/>
    <w:rsid w:val="0079004D"/>
    <w:rsid w:val="007901C0"/>
    <w:rsid w:val="00790431"/>
    <w:rsid w:val="007911CD"/>
    <w:rsid w:val="00791A02"/>
    <w:rsid w:val="00794F66"/>
    <w:rsid w:val="00795E8E"/>
    <w:rsid w:val="00795F08"/>
    <w:rsid w:val="0079636E"/>
    <w:rsid w:val="007A0195"/>
    <w:rsid w:val="007A09C6"/>
    <w:rsid w:val="007A1322"/>
    <w:rsid w:val="007A30E8"/>
    <w:rsid w:val="007A3CC0"/>
    <w:rsid w:val="007A4033"/>
    <w:rsid w:val="007A56FC"/>
    <w:rsid w:val="007A5E1C"/>
    <w:rsid w:val="007B028B"/>
    <w:rsid w:val="007B0D79"/>
    <w:rsid w:val="007B12DF"/>
    <w:rsid w:val="007B13EF"/>
    <w:rsid w:val="007B1D71"/>
    <w:rsid w:val="007B2E5D"/>
    <w:rsid w:val="007B587C"/>
    <w:rsid w:val="007B60F0"/>
    <w:rsid w:val="007B7BF7"/>
    <w:rsid w:val="007C00D0"/>
    <w:rsid w:val="007C102A"/>
    <w:rsid w:val="007C1BFA"/>
    <w:rsid w:val="007C1C44"/>
    <w:rsid w:val="007C2186"/>
    <w:rsid w:val="007C31A2"/>
    <w:rsid w:val="007C55DE"/>
    <w:rsid w:val="007C623E"/>
    <w:rsid w:val="007C7851"/>
    <w:rsid w:val="007C785F"/>
    <w:rsid w:val="007C7B31"/>
    <w:rsid w:val="007D0999"/>
    <w:rsid w:val="007D185B"/>
    <w:rsid w:val="007D1CB4"/>
    <w:rsid w:val="007D2480"/>
    <w:rsid w:val="007D31BB"/>
    <w:rsid w:val="007D47B6"/>
    <w:rsid w:val="007D4AA4"/>
    <w:rsid w:val="007D553E"/>
    <w:rsid w:val="007D5931"/>
    <w:rsid w:val="007D6932"/>
    <w:rsid w:val="007D6B43"/>
    <w:rsid w:val="007E0025"/>
    <w:rsid w:val="007E0B6B"/>
    <w:rsid w:val="007E0E95"/>
    <w:rsid w:val="007E30D7"/>
    <w:rsid w:val="007E4367"/>
    <w:rsid w:val="007E5510"/>
    <w:rsid w:val="007F00E5"/>
    <w:rsid w:val="007F2233"/>
    <w:rsid w:val="007F3E5C"/>
    <w:rsid w:val="007F51E2"/>
    <w:rsid w:val="007F521C"/>
    <w:rsid w:val="007F6E73"/>
    <w:rsid w:val="00800A33"/>
    <w:rsid w:val="0080155A"/>
    <w:rsid w:val="00801B7D"/>
    <w:rsid w:val="00803A41"/>
    <w:rsid w:val="00804C17"/>
    <w:rsid w:val="008053BA"/>
    <w:rsid w:val="0080579E"/>
    <w:rsid w:val="0080694B"/>
    <w:rsid w:val="008104F5"/>
    <w:rsid w:val="0081078E"/>
    <w:rsid w:val="00810AB6"/>
    <w:rsid w:val="0081229E"/>
    <w:rsid w:val="008139B3"/>
    <w:rsid w:val="00813BBF"/>
    <w:rsid w:val="0081419A"/>
    <w:rsid w:val="008145C0"/>
    <w:rsid w:val="00814B61"/>
    <w:rsid w:val="008153E3"/>
    <w:rsid w:val="0081779C"/>
    <w:rsid w:val="00820E39"/>
    <w:rsid w:val="00821657"/>
    <w:rsid w:val="0082259C"/>
    <w:rsid w:val="008232AB"/>
    <w:rsid w:val="00823330"/>
    <w:rsid w:val="008247DF"/>
    <w:rsid w:val="00824FBD"/>
    <w:rsid w:val="0082543D"/>
    <w:rsid w:val="00827E25"/>
    <w:rsid w:val="00827FDF"/>
    <w:rsid w:val="00831656"/>
    <w:rsid w:val="00831D0D"/>
    <w:rsid w:val="00832057"/>
    <w:rsid w:val="00832DEE"/>
    <w:rsid w:val="00832E3A"/>
    <w:rsid w:val="00833D4F"/>
    <w:rsid w:val="00834B58"/>
    <w:rsid w:val="0083531E"/>
    <w:rsid w:val="00835B98"/>
    <w:rsid w:val="00836FE6"/>
    <w:rsid w:val="00840713"/>
    <w:rsid w:val="008440A6"/>
    <w:rsid w:val="00844CF0"/>
    <w:rsid w:val="0084571A"/>
    <w:rsid w:val="00846CDB"/>
    <w:rsid w:val="00850700"/>
    <w:rsid w:val="00854B9D"/>
    <w:rsid w:val="00855935"/>
    <w:rsid w:val="00855A8A"/>
    <w:rsid w:val="008575ED"/>
    <w:rsid w:val="00865000"/>
    <w:rsid w:val="008652A2"/>
    <w:rsid w:val="00865BDB"/>
    <w:rsid w:val="00865C89"/>
    <w:rsid w:val="00866192"/>
    <w:rsid w:val="0086672C"/>
    <w:rsid w:val="008675E4"/>
    <w:rsid w:val="00867E9D"/>
    <w:rsid w:val="00870019"/>
    <w:rsid w:val="00872795"/>
    <w:rsid w:val="00872B70"/>
    <w:rsid w:val="00872C47"/>
    <w:rsid w:val="00873886"/>
    <w:rsid w:val="00875726"/>
    <w:rsid w:val="008833BF"/>
    <w:rsid w:val="008862F6"/>
    <w:rsid w:val="00887BD2"/>
    <w:rsid w:val="0089038A"/>
    <w:rsid w:val="008936D4"/>
    <w:rsid w:val="008A023D"/>
    <w:rsid w:val="008A2DB7"/>
    <w:rsid w:val="008A2EC5"/>
    <w:rsid w:val="008A3AAD"/>
    <w:rsid w:val="008A6543"/>
    <w:rsid w:val="008A6C4A"/>
    <w:rsid w:val="008A7E42"/>
    <w:rsid w:val="008B0258"/>
    <w:rsid w:val="008B0FFC"/>
    <w:rsid w:val="008B19AF"/>
    <w:rsid w:val="008B2CF4"/>
    <w:rsid w:val="008B2E08"/>
    <w:rsid w:val="008B77F5"/>
    <w:rsid w:val="008C0279"/>
    <w:rsid w:val="008C1276"/>
    <w:rsid w:val="008C1F5D"/>
    <w:rsid w:val="008C3877"/>
    <w:rsid w:val="008C44D0"/>
    <w:rsid w:val="008C4667"/>
    <w:rsid w:val="008C4B07"/>
    <w:rsid w:val="008C6537"/>
    <w:rsid w:val="008C7C6D"/>
    <w:rsid w:val="008C7F68"/>
    <w:rsid w:val="008D2189"/>
    <w:rsid w:val="008D23C0"/>
    <w:rsid w:val="008D68F9"/>
    <w:rsid w:val="008E380C"/>
    <w:rsid w:val="008E3FE6"/>
    <w:rsid w:val="008E405A"/>
    <w:rsid w:val="008F032F"/>
    <w:rsid w:val="008F0E45"/>
    <w:rsid w:val="008F0F67"/>
    <w:rsid w:val="008F1337"/>
    <w:rsid w:val="008F25D2"/>
    <w:rsid w:val="008F50EC"/>
    <w:rsid w:val="008F587A"/>
    <w:rsid w:val="008F757E"/>
    <w:rsid w:val="008F7904"/>
    <w:rsid w:val="009004F0"/>
    <w:rsid w:val="0090054C"/>
    <w:rsid w:val="00900565"/>
    <w:rsid w:val="009010F8"/>
    <w:rsid w:val="009013BE"/>
    <w:rsid w:val="00902485"/>
    <w:rsid w:val="00905267"/>
    <w:rsid w:val="00906EBD"/>
    <w:rsid w:val="009077FD"/>
    <w:rsid w:val="00911626"/>
    <w:rsid w:val="00912BCA"/>
    <w:rsid w:val="009134CA"/>
    <w:rsid w:val="00914CC6"/>
    <w:rsid w:val="00922421"/>
    <w:rsid w:val="00923689"/>
    <w:rsid w:val="009239E8"/>
    <w:rsid w:val="00923BCE"/>
    <w:rsid w:val="00925AA2"/>
    <w:rsid w:val="00925BAE"/>
    <w:rsid w:val="0092751F"/>
    <w:rsid w:val="00927B42"/>
    <w:rsid w:val="009308A4"/>
    <w:rsid w:val="00932067"/>
    <w:rsid w:val="00935717"/>
    <w:rsid w:val="0093594A"/>
    <w:rsid w:val="00936D57"/>
    <w:rsid w:val="0094143E"/>
    <w:rsid w:val="00941688"/>
    <w:rsid w:val="00942E2C"/>
    <w:rsid w:val="009431D1"/>
    <w:rsid w:val="00943494"/>
    <w:rsid w:val="00943696"/>
    <w:rsid w:val="00943D70"/>
    <w:rsid w:val="009451C4"/>
    <w:rsid w:val="009477FE"/>
    <w:rsid w:val="00950F0A"/>
    <w:rsid w:val="009511EC"/>
    <w:rsid w:val="00951502"/>
    <w:rsid w:val="00954B07"/>
    <w:rsid w:val="00955D73"/>
    <w:rsid w:val="00957ED2"/>
    <w:rsid w:val="009614E5"/>
    <w:rsid w:val="009621D0"/>
    <w:rsid w:val="0096222C"/>
    <w:rsid w:val="0096512C"/>
    <w:rsid w:val="00965181"/>
    <w:rsid w:val="0096540A"/>
    <w:rsid w:val="00965711"/>
    <w:rsid w:val="00970AEA"/>
    <w:rsid w:val="00971A1F"/>
    <w:rsid w:val="00971AB3"/>
    <w:rsid w:val="009726CF"/>
    <w:rsid w:val="00975ADD"/>
    <w:rsid w:val="00976B53"/>
    <w:rsid w:val="00977F38"/>
    <w:rsid w:val="009833BB"/>
    <w:rsid w:val="00983EF0"/>
    <w:rsid w:val="00984460"/>
    <w:rsid w:val="00986ECD"/>
    <w:rsid w:val="00987A96"/>
    <w:rsid w:val="0099212A"/>
    <w:rsid w:val="0099479E"/>
    <w:rsid w:val="00995D81"/>
    <w:rsid w:val="009A13B6"/>
    <w:rsid w:val="009A36CA"/>
    <w:rsid w:val="009A3AA4"/>
    <w:rsid w:val="009A5255"/>
    <w:rsid w:val="009A67BF"/>
    <w:rsid w:val="009A71A6"/>
    <w:rsid w:val="009A7930"/>
    <w:rsid w:val="009B06C0"/>
    <w:rsid w:val="009B1379"/>
    <w:rsid w:val="009B3CD2"/>
    <w:rsid w:val="009B3E28"/>
    <w:rsid w:val="009B5D7E"/>
    <w:rsid w:val="009B6005"/>
    <w:rsid w:val="009B639F"/>
    <w:rsid w:val="009C0F3A"/>
    <w:rsid w:val="009C2400"/>
    <w:rsid w:val="009C5D2A"/>
    <w:rsid w:val="009C6FFC"/>
    <w:rsid w:val="009C7E22"/>
    <w:rsid w:val="009D0832"/>
    <w:rsid w:val="009D5303"/>
    <w:rsid w:val="009D57F4"/>
    <w:rsid w:val="009D7AF8"/>
    <w:rsid w:val="009E01DE"/>
    <w:rsid w:val="009E083D"/>
    <w:rsid w:val="009E184C"/>
    <w:rsid w:val="009E1B93"/>
    <w:rsid w:val="009E225F"/>
    <w:rsid w:val="009E442F"/>
    <w:rsid w:val="009E573D"/>
    <w:rsid w:val="009E7F98"/>
    <w:rsid w:val="009F10D5"/>
    <w:rsid w:val="009F13BC"/>
    <w:rsid w:val="009F5151"/>
    <w:rsid w:val="009F6E65"/>
    <w:rsid w:val="009F74CF"/>
    <w:rsid w:val="00A02252"/>
    <w:rsid w:val="00A03931"/>
    <w:rsid w:val="00A05410"/>
    <w:rsid w:val="00A06700"/>
    <w:rsid w:val="00A06777"/>
    <w:rsid w:val="00A10636"/>
    <w:rsid w:val="00A10B40"/>
    <w:rsid w:val="00A15168"/>
    <w:rsid w:val="00A21B0C"/>
    <w:rsid w:val="00A27698"/>
    <w:rsid w:val="00A32F60"/>
    <w:rsid w:val="00A331E7"/>
    <w:rsid w:val="00A333B8"/>
    <w:rsid w:val="00A34169"/>
    <w:rsid w:val="00A37132"/>
    <w:rsid w:val="00A37D9B"/>
    <w:rsid w:val="00A408D8"/>
    <w:rsid w:val="00A40BAC"/>
    <w:rsid w:val="00A413D9"/>
    <w:rsid w:val="00A41C3C"/>
    <w:rsid w:val="00A42450"/>
    <w:rsid w:val="00A46073"/>
    <w:rsid w:val="00A4725A"/>
    <w:rsid w:val="00A47BEA"/>
    <w:rsid w:val="00A5060F"/>
    <w:rsid w:val="00A52113"/>
    <w:rsid w:val="00A5233F"/>
    <w:rsid w:val="00A554F4"/>
    <w:rsid w:val="00A56E11"/>
    <w:rsid w:val="00A6065F"/>
    <w:rsid w:val="00A619BD"/>
    <w:rsid w:val="00A628DC"/>
    <w:rsid w:val="00A641CA"/>
    <w:rsid w:val="00A66967"/>
    <w:rsid w:val="00A676E6"/>
    <w:rsid w:val="00A71B0D"/>
    <w:rsid w:val="00A73C50"/>
    <w:rsid w:val="00A757CB"/>
    <w:rsid w:val="00A762AC"/>
    <w:rsid w:val="00A76984"/>
    <w:rsid w:val="00A8076A"/>
    <w:rsid w:val="00A84B55"/>
    <w:rsid w:val="00A8523F"/>
    <w:rsid w:val="00A901BB"/>
    <w:rsid w:val="00A948D7"/>
    <w:rsid w:val="00A9498A"/>
    <w:rsid w:val="00A961BD"/>
    <w:rsid w:val="00A96B45"/>
    <w:rsid w:val="00A9760A"/>
    <w:rsid w:val="00A97EF6"/>
    <w:rsid w:val="00AA08B7"/>
    <w:rsid w:val="00AA0A87"/>
    <w:rsid w:val="00AA0BAB"/>
    <w:rsid w:val="00AA248B"/>
    <w:rsid w:val="00AA26BF"/>
    <w:rsid w:val="00AA4C7F"/>
    <w:rsid w:val="00AA75EE"/>
    <w:rsid w:val="00AA7B1E"/>
    <w:rsid w:val="00AB0571"/>
    <w:rsid w:val="00AB111E"/>
    <w:rsid w:val="00AB2710"/>
    <w:rsid w:val="00AB2EAF"/>
    <w:rsid w:val="00AB46B5"/>
    <w:rsid w:val="00AB5566"/>
    <w:rsid w:val="00AB66BA"/>
    <w:rsid w:val="00AB754D"/>
    <w:rsid w:val="00AB7F2E"/>
    <w:rsid w:val="00AC555A"/>
    <w:rsid w:val="00AC594E"/>
    <w:rsid w:val="00AC70F2"/>
    <w:rsid w:val="00AD0275"/>
    <w:rsid w:val="00AD0CC5"/>
    <w:rsid w:val="00AD184B"/>
    <w:rsid w:val="00AD216E"/>
    <w:rsid w:val="00AD3B82"/>
    <w:rsid w:val="00AD43E8"/>
    <w:rsid w:val="00AD60CE"/>
    <w:rsid w:val="00AD74D3"/>
    <w:rsid w:val="00AD77E8"/>
    <w:rsid w:val="00AD7A0E"/>
    <w:rsid w:val="00AE02E6"/>
    <w:rsid w:val="00AE10D9"/>
    <w:rsid w:val="00AE26EB"/>
    <w:rsid w:val="00AE47C0"/>
    <w:rsid w:val="00AE5A44"/>
    <w:rsid w:val="00AE65AF"/>
    <w:rsid w:val="00AE71AD"/>
    <w:rsid w:val="00AF19B6"/>
    <w:rsid w:val="00AF1EAC"/>
    <w:rsid w:val="00AF3CC3"/>
    <w:rsid w:val="00B01667"/>
    <w:rsid w:val="00B01687"/>
    <w:rsid w:val="00B017ED"/>
    <w:rsid w:val="00B03727"/>
    <w:rsid w:val="00B0498D"/>
    <w:rsid w:val="00B0566D"/>
    <w:rsid w:val="00B108D9"/>
    <w:rsid w:val="00B11162"/>
    <w:rsid w:val="00B132D1"/>
    <w:rsid w:val="00B13AF1"/>
    <w:rsid w:val="00B1488D"/>
    <w:rsid w:val="00B15478"/>
    <w:rsid w:val="00B174B1"/>
    <w:rsid w:val="00B21520"/>
    <w:rsid w:val="00B22121"/>
    <w:rsid w:val="00B22C6A"/>
    <w:rsid w:val="00B24175"/>
    <w:rsid w:val="00B24607"/>
    <w:rsid w:val="00B25070"/>
    <w:rsid w:val="00B326C1"/>
    <w:rsid w:val="00B32A24"/>
    <w:rsid w:val="00B35BD9"/>
    <w:rsid w:val="00B36860"/>
    <w:rsid w:val="00B36ABF"/>
    <w:rsid w:val="00B37965"/>
    <w:rsid w:val="00B37DE8"/>
    <w:rsid w:val="00B41FA9"/>
    <w:rsid w:val="00B4203A"/>
    <w:rsid w:val="00B4240E"/>
    <w:rsid w:val="00B43898"/>
    <w:rsid w:val="00B44206"/>
    <w:rsid w:val="00B448F0"/>
    <w:rsid w:val="00B44BA5"/>
    <w:rsid w:val="00B465C0"/>
    <w:rsid w:val="00B46F77"/>
    <w:rsid w:val="00B47D70"/>
    <w:rsid w:val="00B512E4"/>
    <w:rsid w:val="00B52FD1"/>
    <w:rsid w:val="00B5608D"/>
    <w:rsid w:val="00B60575"/>
    <w:rsid w:val="00B63D84"/>
    <w:rsid w:val="00B65BED"/>
    <w:rsid w:val="00B6728B"/>
    <w:rsid w:val="00B6730D"/>
    <w:rsid w:val="00B7107A"/>
    <w:rsid w:val="00B7123D"/>
    <w:rsid w:val="00B75612"/>
    <w:rsid w:val="00B7613B"/>
    <w:rsid w:val="00B76B84"/>
    <w:rsid w:val="00B77952"/>
    <w:rsid w:val="00B81BDA"/>
    <w:rsid w:val="00B82DD4"/>
    <w:rsid w:val="00B82F1A"/>
    <w:rsid w:val="00B84125"/>
    <w:rsid w:val="00B928E7"/>
    <w:rsid w:val="00B934FD"/>
    <w:rsid w:val="00B93A94"/>
    <w:rsid w:val="00B94D2F"/>
    <w:rsid w:val="00B961F6"/>
    <w:rsid w:val="00B964DA"/>
    <w:rsid w:val="00BA11A9"/>
    <w:rsid w:val="00BA2132"/>
    <w:rsid w:val="00BA4A68"/>
    <w:rsid w:val="00BA4E89"/>
    <w:rsid w:val="00BA5F7E"/>
    <w:rsid w:val="00BA778A"/>
    <w:rsid w:val="00BA7983"/>
    <w:rsid w:val="00BB255E"/>
    <w:rsid w:val="00BB3033"/>
    <w:rsid w:val="00BB5269"/>
    <w:rsid w:val="00BB7F2F"/>
    <w:rsid w:val="00BC02CB"/>
    <w:rsid w:val="00BC0477"/>
    <w:rsid w:val="00BC2042"/>
    <w:rsid w:val="00BC5002"/>
    <w:rsid w:val="00BC736E"/>
    <w:rsid w:val="00BC77DD"/>
    <w:rsid w:val="00BC7E76"/>
    <w:rsid w:val="00BC7F25"/>
    <w:rsid w:val="00BD142B"/>
    <w:rsid w:val="00BD215B"/>
    <w:rsid w:val="00BD3902"/>
    <w:rsid w:val="00BD39D9"/>
    <w:rsid w:val="00BD773B"/>
    <w:rsid w:val="00BE3630"/>
    <w:rsid w:val="00BE472F"/>
    <w:rsid w:val="00BE52D4"/>
    <w:rsid w:val="00BE5513"/>
    <w:rsid w:val="00BE7500"/>
    <w:rsid w:val="00BE78CA"/>
    <w:rsid w:val="00BF1235"/>
    <w:rsid w:val="00BF12F6"/>
    <w:rsid w:val="00BF31EE"/>
    <w:rsid w:val="00BF3494"/>
    <w:rsid w:val="00BF53C3"/>
    <w:rsid w:val="00BF54C6"/>
    <w:rsid w:val="00C00765"/>
    <w:rsid w:val="00C056CB"/>
    <w:rsid w:val="00C0640B"/>
    <w:rsid w:val="00C0773D"/>
    <w:rsid w:val="00C10464"/>
    <w:rsid w:val="00C119C2"/>
    <w:rsid w:val="00C124D7"/>
    <w:rsid w:val="00C15758"/>
    <w:rsid w:val="00C15D88"/>
    <w:rsid w:val="00C17CFB"/>
    <w:rsid w:val="00C200A2"/>
    <w:rsid w:val="00C20AB4"/>
    <w:rsid w:val="00C2141D"/>
    <w:rsid w:val="00C2143E"/>
    <w:rsid w:val="00C21B54"/>
    <w:rsid w:val="00C21F88"/>
    <w:rsid w:val="00C23261"/>
    <w:rsid w:val="00C24800"/>
    <w:rsid w:val="00C248AA"/>
    <w:rsid w:val="00C26084"/>
    <w:rsid w:val="00C27E02"/>
    <w:rsid w:val="00C30290"/>
    <w:rsid w:val="00C32E69"/>
    <w:rsid w:val="00C359B6"/>
    <w:rsid w:val="00C376D8"/>
    <w:rsid w:val="00C40967"/>
    <w:rsid w:val="00C4229F"/>
    <w:rsid w:val="00C42C64"/>
    <w:rsid w:val="00C4400C"/>
    <w:rsid w:val="00C44B31"/>
    <w:rsid w:val="00C453DB"/>
    <w:rsid w:val="00C46FC4"/>
    <w:rsid w:val="00C52A7C"/>
    <w:rsid w:val="00C5351F"/>
    <w:rsid w:val="00C5696C"/>
    <w:rsid w:val="00C56C3A"/>
    <w:rsid w:val="00C600E2"/>
    <w:rsid w:val="00C618F0"/>
    <w:rsid w:val="00C61D34"/>
    <w:rsid w:val="00C62181"/>
    <w:rsid w:val="00C6374B"/>
    <w:rsid w:val="00C63D43"/>
    <w:rsid w:val="00C646D1"/>
    <w:rsid w:val="00C648C2"/>
    <w:rsid w:val="00C657F3"/>
    <w:rsid w:val="00C667AF"/>
    <w:rsid w:val="00C66B4C"/>
    <w:rsid w:val="00C707E2"/>
    <w:rsid w:val="00C71947"/>
    <w:rsid w:val="00C73B65"/>
    <w:rsid w:val="00C74134"/>
    <w:rsid w:val="00C74E89"/>
    <w:rsid w:val="00C7747F"/>
    <w:rsid w:val="00C8021D"/>
    <w:rsid w:val="00C823B1"/>
    <w:rsid w:val="00C831A7"/>
    <w:rsid w:val="00C84091"/>
    <w:rsid w:val="00C84D98"/>
    <w:rsid w:val="00C85A4A"/>
    <w:rsid w:val="00C900F8"/>
    <w:rsid w:val="00C90D68"/>
    <w:rsid w:val="00C93D19"/>
    <w:rsid w:val="00C95A7F"/>
    <w:rsid w:val="00C96DA7"/>
    <w:rsid w:val="00CA00CF"/>
    <w:rsid w:val="00CA251C"/>
    <w:rsid w:val="00CA271E"/>
    <w:rsid w:val="00CA30D5"/>
    <w:rsid w:val="00CA3E16"/>
    <w:rsid w:val="00CA56F2"/>
    <w:rsid w:val="00CA648A"/>
    <w:rsid w:val="00CA7302"/>
    <w:rsid w:val="00CB1488"/>
    <w:rsid w:val="00CB1F6D"/>
    <w:rsid w:val="00CB36F4"/>
    <w:rsid w:val="00CB434B"/>
    <w:rsid w:val="00CB7414"/>
    <w:rsid w:val="00CC01A9"/>
    <w:rsid w:val="00CC5C4F"/>
    <w:rsid w:val="00CC6894"/>
    <w:rsid w:val="00CC6EC9"/>
    <w:rsid w:val="00CD0563"/>
    <w:rsid w:val="00CD23B7"/>
    <w:rsid w:val="00CD4888"/>
    <w:rsid w:val="00CD5933"/>
    <w:rsid w:val="00CD7B2C"/>
    <w:rsid w:val="00CE19C1"/>
    <w:rsid w:val="00CE2830"/>
    <w:rsid w:val="00CE5D98"/>
    <w:rsid w:val="00CE6E69"/>
    <w:rsid w:val="00CF03DD"/>
    <w:rsid w:val="00CF21FE"/>
    <w:rsid w:val="00CF2812"/>
    <w:rsid w:val="00CF2A9A"/>
    <w:rsid w:val="00CF2AA4"/>
    <w:rsid w:val="00CF32D1"/>
    <w:rsid w:val="00CF364B"/>
    <w:rsid w:val="00CF3C51"/>
    <w:rsid w:val="00CF3D81"/>
    <w:rsid w:val="00CF4043"/>
    <w:rsid w:val="00D01CFE"/>
    <w:rsid w:val="00D0286E"/>
    <w:rsid w:val="00D0530B"/>
    <w:rsid w:val="00D054D5"/>
    <w:rsid w:val="00D0572E"/>
    <w:rsid w:val="00D07C4B"/>
    <w:rsid w:val="00D10E6B"/>
    <w:rsid w:val="00D1332D"/>
    <w:rsid w:val="00D141B5"/>
    <w:rsid w:val="00D1512E"/>
    <w:rsid w:val="00D15A34"/>
    <w:rsid w:val="00D201C9"/>
    <w:rsid w:val="00D225D8"/>
    <w:rsid w:val="00D2503C"/>
    <w:rsid w:val="00D30983"/>
    <w:rsid w:val="00D31ACB"/>
    <w:rsid w:val="00D32B62"/>
    <w:rsid w:val="00D32D11"/>
    <w:rsid w:val="00D33A2E"/>
    <w:rsid w:val="00D34954"/>
    <w:rsid w:val="00D351B8"/>
    <w:rsid w:val="00D35872"/>
    <w:rsid w:val="00D364CA"/>
    <w:rsid w:val="00D367F2"/>
    <w:rsid w:val="00D40AF3"/>
    <w:rsid w:val="00D41D0D"/>
    <w:rsid w:val="00D4214D"/>
    <w:rsid w:val="00D42E9F"/>
    <w:rsid w:val="00D4315E"/>
    <w:rsid w:val="00D43217"/>
    <w:rsid w:val="00D44CB0"/>
    <w:rsid w:val="00D5053E"/>
    <w:rsid w:val="00D511A1"/>
    <w:rsid w:val="00D518ED"/>
    <w:rsid w:val="00D5213D"/>
    <w:rsid w:val="00D5279D"/>
    <w:rsid w:val="00D548AB"/>
    <w:rsid w:val="00D54BA9"/>
    <w:rsid w:val="00D56CF9"/>
    <w:rsid w:val="00D6018D"/>
    <w:rsid w:val="00D608D5"/>
    <w:rsid w:val="00D60946"/>
    <w:rsid w:val="00D651CA"/>
    <w:rsid w:val="00D664F6"/>
    <w:rsid w:val="00D66ACE"/>
    <w:rsid w:val="00D73C53"/>
    <w:rsid w:val="00D75155"/>
    <w:rsid w:val="00D7586F"/>
    <w:rsid w:val="00D75DB2"/>
    <w:rsid w:val="00D76C8C"/>
    <w:rsid w:val="00D81C27"/>
    <w:rsid w:val="00D82765"/>
    <w:rsid w:val="00D83048"/>
    <w:rsid w:val="00D86F1A"/>
    <w:rsid w:val="00D872BF"/>
    <w:rsid w:val="00D90F13"/>
    <w:rsid w:val="00D9348B"/>
    <w:rsid w:val="00D93B05"/>
    <w:rsid w:val="00D95576"/>
    <w:rsid w:val="00D97563"/>
    <w:rsid w:val="00D97BF3"/>
    <w:rsid w:val="00DA0C50"/>
    <w:rsid w:val="00DA1109"/>
    <w:rsid w:val="00DA4C87"/>
    <w:rsid w:val="00DA6C03"/>
    <w:rsid w:val="00DA7516"/>
    <w:rsid w:val="00DB130E"/>
    <w:rsid w:val="00DB1536"/>
    <w:rsid w:val="00DB2A31"/>
    <w:rsid w:val="00DB330E"/>
    <w:rsid w:val="00DB368C"/>
    <w:rsid w:val="00DB4396"/>
    <w:rsid w:val="00DB4CF4"/>
    <w:rsid w:val="00DB4D4F"/>
    <w:rsid w:val="00DB5613"/>
    <w:rsid w:val="00DB746B"/>
    <w:rsid w:val="00DB7FA6"/>
    <w:rsid w:val="00DC38F7"/>
    <w:rsid w:val="00DC4969"/>
    <w:rsid w:val="00DC565B"/>
    <w:rsid w:val="00DC6A28"/>
    <w:rsid w:val="00DC704C"/>
    <w:rsid w:val="00DD01CD"/>
    <w:rsid w:val="00DD20DA"/>
    <w:rsid w:val="00DD366F"/>
    <w:rsid w:val="00DD54A2"/>
    <w:rsid w:val="00DE01F6"/>
    <w:rsid w:val="00DE15BD"/>
    <w:rsid w:val="00DE1F1F"/>
    <w:rsid w:val="00DE1FAA"/>
    <w:rsid w:val="00DE20B8"/>
    <w:rsid w:val="00DE2998"/>
    <w:rsid w:val="00DE3547"/>
    <w:rsid w:val="00DE4223"/>
    <w:rsid w:val="00DE5142"/>
    <w:rsid w:val="00DE6B60"/>
    <w:rsid w:val="00DE74F0"/>
    <w:rsid w:val="00DF14FA"/>
    <w:rsid w:val="00DF1B90"/>
    <w:rsid w:val="00DF1D88"/>
    <w:rsid w:val="00DF21C4"/>
    <w:rsid w:val="00DF4B3E"/>
    <w:rsid w:val="00DF53CC"/>
    <w:rsid w:val="00DF7329"/>
    <w:rsid w:val="00E008B2"/>
    <w:rsid w:val="00E024F7"/>
    <w:rsid w:val="00E05622"/>
    <w:rsid w:val="00E059CA"/>
    <w:rsid w:val="00E06D10"/>
    <w:rsid w:val="00E07624"/>
    <w:rsid w:val="00E10FE9"/>
    <w:rsid w:val="00E11E79"/>
    <w:rsid w:val="00E20138"/>
    <w:rsid w:val="00E20458"/>
    <w:rsid w:val="00E20983"/>
    <w:rsid w:val="00E213AC"/>
    <w:rsid w:val="00E21442"/>
    <w:rsid w:val="00E223AA"/>
    <w:rsid w:val="00E22F51"/>
    <w:rsid w:val="00E247F2"/>
    <w:rsid w:val="00E25503"/>
    <w:rsid w:val="00E2658A"/>
    <w:rsid w:val="00E26D25"/>
    <w:rsid w:val="00E2748E"/>
    <w:rsid w:val="00E27608"/>
    <w:rsid w:val="00E3344E"/>
    <w:rsid w:val="00E3522C"/>
    <w:rsid w:val="00E3768D"/>
    <w:rsid w:val="00E379F5"/>
    <w:rsid w:val="00E4139F"/>
    <w:rsid w:val="00E418EE"/>
    <w:rsid w:val="00E42A9C"/>
    <w:rsid w:val="00E44865"/>
    <w:rsid w:val="00E45B31"/>
    <w:rsid w:val="00E47019"/>
    <w:rsid w:val="00E47694"/>
    <w:rsid w:val="00E5032D"/>
    <w:rsid w:val="00E51CC0"/>
    <w:rsid w:val="00E52664"/>
    <w:rsid w:val="00E52B4E"/>
    <w:rsid w:val="00E5454D"/>
    <w:rsid w:val="00E54B98"/>
    <w:rsid w:val="00E553D1"/>
    <w:rsid w:val="00E55420"/>
    <w:rsid w:val="00E55977"/>
    <w:rsid w:val="00E55E06"/>
    <w:rsid w:val="00E56487"/>
    <w:rsid w:val="00E615F8"/>
    <w:rsid w:val="00E62277"/>
    <w:rsid w:val="00E64E14"/>
    <w:rsid w:val="00E65BFD"/>
    <w:rsid w:val="00E666B6"/>
    <w:rsid w:val="00E66AFD"/>
    <w:rsid w:val="00E67E86"/>
    <w:rsid w:val="00E702D6"/>
    <w:rsid w:val="00E76A20"/>
    <w:rsid w:val="00E81646"/>
    <w:rsid w:val="00E81D39"/>
    <w:rsid w:val="00E81F04"/>
    <w:rsid w:val="00E82E50"/>
    <w:rsid w:val="00E83F08"/>
    <w:rsid w:val="00E8441A"/>
    <w:rsid w:val="00E853F3"/>
    <w:rsid w:val="00E87F19"/>
    <w:rsid w:val="00E92768"/>
    <w:rsid w:val="00EA4DF7"/>
    <w:rsid w:val="00EA5549"/>
    <w:rsid w:val="00EA617E"/>
    <w:rsid w:val="00EA71DA"/>
    <w:rsid w:val="00EA7212"/>
    <w:rsid w:val="00EB0068"/>
    <w:rsid w:val="00EB70EF"/>
    <w:rsid w:val="00EB7265"/>
    <w:rsid w:val="00EC050B"/>
    <w:rsid w:val="00EC0859"/>
    <w:rsid w:val="00EC1A51"/>
    <w:rsid w:val="00EC2491"/>
    <w:rsid w:val="00EC455D"/>
    <w:rsid w:val="00EC7015"/>
    <w:rsid w:val="00EC7ADE"/>
    <w:rsid w:val="00ED2C42"/>
    <w:rsid w:val="00ED511A"/>
    <w:rsid w:val="00EE10BF"/>
    <w:rsid w:val="00EE3E10"/>
    <w:rsid w:val="00EE71A3"/>
    <w:rsid w:val="00EE75F1"/>
    <w:rsid w:val="00EF0E0D"/>
    <w:rsid w:val="00EF2CF2"/>
    <w:rsid w:val="00EF3B2B"/>
    <w:rsid w:val="00EF3F0D"/>
    <w:rsid w:val="00EF5F99"/>
    <w:rsid w:val="00EF6304"/>
    <w:rsid w:val="00EF68A6"/>
    <w:rsid w:val="00EF6E50"/>
    <w:rsid w:val="00EF7F21"/>
    <w:rsid w:val="00F006B3"/>
    <w:rsid w:val="00F00A67"/>
    <w:rsid w:val="00F00EE9"/>
    <w:rsid w:val="00F02481"/>
    <w:rsid w:val="00F03949"/>
    <w:rsid w:val="00F04E69"/>
    <w:rsid w:val="00F04F96"/>
    <w:rsid w:val="00F07042"/>
    <w:rsid w:val="00F07151"/>
    <w:rsid w:val="00F107AD"/>
    <w:rsid w:val="00F10E1C"/>
    <w:rsid w:val="00F10FB9"/>
    <w:rsid w:val="00F14828"/>
    <w:rsid w:val="00F14FFC"/>
    <w:rsid w:val="00F15181"/>
    <w:rsid w:val="00F17C43"/>
    <w:rsid w:val="00F24CC6"/>
    <w:rsid w:val="00F2557F"/>
    <w:rsid w:val="00F262FF"/>
    <w:rsid w:val="00F273CE"/>
    <w:rsid w:val="00F30FA7"/>
    <w:rsid w:val="00F32E85"/>
    <w:rsid w:val="00F332EE"/>
    <w:rsid w:val="00F336E2"/>
    <w:rsid w:val="00F33CE0"/>
    <w:rsid w:val="00F33E01"/>
    <w:rsid w:val="00F3620C"/>
    <w:rsid w:val="00F373C4"/>
    <w:rsid w:val="00F379DD"/>
    <w:rsid w:val="00F37E7A"/>
    <w:rsid w:val="00F40230"/>
    <w:rsid w:val="00F427FF"/>
    <w:rsid w:val="00F4306B"/>
    <w:rsid w:val="00F44640"/>
    <w:rsid w:val="00F47244"/>
    <w:rsid w:val="00F47948"/>
    <w:rsid w:val="00F47CED"/>
    <w:rsid w:val="00F5003E"/>
    <w:rsid w:val="00F511A7"/>
    <w:rsid w:val="00F51DB1"/>
    <w:rsid w:val="00F522B9"/>
    <w:rsid w:val="00F56FC5"/>
    <w:rsid w:val="00F5700C"/>
    <w:rsid w:val="00F6028F"/>
    <w:rsid w:val="00F6085E"/>
    <w:rsid w:val="00F61E94"/>
    <w:rsid w:val="00F625B1"/>
    <w:rsid w:val="00F6288F"/>
    <w:rsid w:val="00F6348A"/>
    <w:rsid w:val="00F63897"/>
    <w:rsid w:val="00F64EF0"/>
    <w:rsid w:val="00F658E4"/>
    <w:rsid w:val="00F660F9"/>
    <w:rsid w:val="00F66A75"/>
    <w:rsid w:val="00F66B9D"/>
    <w:rsid w:val="00F73A18"/>
    <w:rsid w:val="00F7611C"/>
    <w:rsid w:val="00F82038"/>
    <w:rsid w:val="00F82417"/>
    <w:rsid w:val="00F83362"/>
    <w:rsid w:val="00F83495"/>
    <w:rsid w:val="00F849A7"/>
    <w:rsid w:val="00F902E2"/>
    <w:rsid w:val="00F90365"/>
    <w:rsid w:val="00F92EBA"/>
    <w:rsid w:val="00F95017"/>
    <w:rsid w:val="00F96D31"/>
    <w:rsid w:val="00F96F62"/>
    <w:rsid w:val="00F97BAB"/>
    <w:rsid w:val="00FA2314"/>
    <w:rsid w:val="00FA30DD"/>
    <w:rsid w:val="00FA56E4"/>
    <w:rsid w:val="00FA5F45"/>
    <w:rsid w:val="00FA6180"/>
    <w:rsid w:val="00FA7522"/>
    <w:rsid w:val="00FB19C0"/>
    <w:rsid w:val="00FB1B7E"/>
    <w:rsid w:val="00FB1EB8"/>
    <w:rsid w:val="00FB24F9"/>
    <w:rsid w:val="00FB2D36"/>
    <w:rsid w:val="00FB3993"/>
    <w:rsid w:val="00FB3F52"/>
    <w:rsid w:val="00FB60F0"/>
    <w:rsid w:val="00FB63D8"/>
    <w:rsid w:val="00FB71DC"/>
    <w:rsid w:val="00FC18F3"/>
    <w:rsid w:val="00FC2C59"/>
    <w:rsid w:val="00FC4905"/>
    <w:rsid w:val="00FC6104"/>
    <w:rsid w:val="00FC675F"/>
    <w:rsid w:val="00FC71B0"/>
    <w:rsid w:val="00FD178C"/>
    <w:rsid w:val="00FD3198"/>
    <w:rsid w:val="00FD3CFA"/>
    <w:rsid w:val="00FD4501"/>
    <w:rsid w:val="00FD4854"/>
    <w:rsid w:val="00FD6935"/>
    <w:rsid w:val="00FD7EE6"/>
    <w:rsid w:val="00FE0A6E"/>
    <w:rsid w:val="00FE274B"/>
    <w:rsid w:val="00FE4BF5"/>
    <w:rsid w:val="00FE68AC"/>
    <w:rsid w:val="00FE7594"/>
    <w:rsid w:val="00FF22D6"/>
    <w:rsid w:val="00FF29B8"/>
    <w:rsid w:val="00FF38BD"/>
  </w:rsids>
  <m:mathPr>
    <m:mathFont m:val="Cambria Math"/>
    <m:brkBin m:val="before"/>
    <m:brkBinSub m:val="--"/>
    <m:smallFrac m:val="0"/>
    <m:dispDef/>
    <m:lMargin m:val="0"/>
    <m:rMargin m:val="0"/>
    <m:defJc m:val="centerGroup"/>
    <m:wrapIndent m:val="1440"/>
    <m:intLim m:val="subSup"/>
    <m:naryLim m:val="undOvr"/>
  </m:mathPr>
  <w:themeFontLang w:val="en-NZ"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489EEBFC"/>
  <w15:chartTrackingRefBased/>
  <w15:docId w15:val="{5A4C457B-7D69-4BB1-9C00-308328CAA9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Times New Roman" w:hAnsi="Calibri" w:cs="Times New Roman"/>
        <w:lang w:val="en-NZ" w:eastAsia="en-NZ"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qFormat="1"/>
    <w:lsdException w:name="header" w:semiHidden="1" w:uiPriority="0" w:unhideWhenUsed="1"/>
    <w:lsdException w:name="footer" w:semiHidden="1" w:uiPriority="0"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2"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qFormat="1"/>
    <w:lsdException w:name="Emphasis" w:semiHidden="1"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iPriority="0"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semiHidden/>
    <w:qFormat/>
    <w:rsid w:val="00875726"/>
    <w:rPr>
      <w:sz w:val="22"/>
      <w:szCs w:val="22"/>
    </w:rPr>
  </w:style>
  <w:style w:type="paragraph" w:styleId="Heading1">
    <w:name w:val="heading 1"/>
    <w:basedOn w:val="Normal"/>
    <w:next w:val="Normal"/>
    <w:link w:val="Heading1Char"/>
    <w:qFormat/>
    <w:rsid w:val="00543478"/>
    <w:pPr>
      <w:keepNext/>
      <w:pBdr>
        <w:bottom w:val="single" w:sz="4" w:space="4" w:color="365F91"/>
      </w:pBdr>
      <w:spacing w:after="480"/>
      <w:outlineLvl w:val="0"/>
    </w:pPr>
    <w:rPr>
      <w:bCs/>
      <w:color w:val="365F91"/>
      <w:sz w:val="48"/>
    </w:rPr>
  </w:style>
  <w:style w:type="paragraph" w:styleId="Heading2">
    <w:name w:val="heading 2"/>
    <w:basedOn w:val="Normal"/>
    <w:next w:val="BodyText"/>
    <w:link w:val="Heading2Char"/>
    <w:qFormat/>
    <w:rsid w:val="005E77C4"/>
    <w:pPr>
      <w:keepNext/>
      <w:spacing w:before="360"/>
      <w:ind w:left="851" w:hanging="851"/>
      <w:outlineLvl w:val="1"/>
    </w:pPr>
    <w:rPr>
      <w:b/>
      <w:color w:val="365F91"/>
      <w:sz w:val="32"/>
    </w:rPr>
  </w:style>
  <w:style w:type="paragraph" w:styleId="Heading3">
    <w:name w:val="heading 3"/>
    <w:basedOn w:val="Normal"/>
    <w:next w:val="BodyText"/>
    <w:link w:val="Heading3Char"/>
    <w:qFormat/>
    <w:rsid w:val="005E77C4"/>
    <w:pPr>
      <w:keepNext/>
      <w:spacing w:before="360"/>
      <w:ind w:left="851" w:hanging="851"/>
      <w:outlineLvl w:val="2"/>
    </w:pPr>
    <w:rPr>
      <w:b/>
      <w:color w:val="365F91"/>
      <w:sz w:val="26"/>
    </w:rPr>
  </w:style>
  <w:style w:type="paragraph" w:styleId="Heading4">
    <w:name w:val="heading 4"/>
    <w:basedOn w:val="Normal"/>
    <w:next w:val="Normal"/>
    <w:link w:val="Heading4Char"/>
    <w:qFormat/>
    <w:rsid w:val="00865BDB"/>
    <w:pPr>
      <w:keepNext/>
      <w:spacing w:before="240"/>
      <w:outlineLvl w:val="3"/>
    </w:pPr>
    <w:rPr>
      <w:b/>
      <w:color w:val="365F91"/>
    </w:rPr>
  </w:style>
  <w:style w:type="paragraph" w:styleId="Heading5">
    <w:name w:val="heading 5"/>
    <w:basedOn w:val="Normal"/>
    <w:next w:val="Normal"/>
    <w:link w:val="Heading5Char"/>
    <w:qFormat/>
    <w:rsid w:val="0032349D"/>
    <w:pPr>
      <w:keepNext/>
      <w:spacing w:before="240"/>
      <w:outlineLvl w:val="4"/>
    </w:pPr>
    <w:rPr>
      <w:bCs/>
      <w:i/>
      <w:iCs/>
      <w:color w:val="365F91"/>
      <w:szCs w:val="26"/>
    </w:rPr>
  </w:style>
  <w:style w:type="paragraph" w:styleId="Heading6">
    <w:name w:val="heading 6"/>
    <w:basedOn w:val="Normal"/>
    <w:next w:val="Normal"/>
    <w:link w:val="Heading6Char"/>
    <w:qFormat/>
    <w:rsid w:val="00E20138"/>
    <w:pPr>
      <w:keepNext/>
      <w:spacing w:before="240"/>
      <w:outlineLvl w:val="5"/>
    </w:pPr>
    <w:rPr>
      <w:b/>
      <w:iCs/>
      <w:lang w:eastAsia="en-US"/>
    </w:rPr>
  </w:style>
  <w:style w:type="paragraph" w:styleId="Heading7">
    <w:name w:val="heading 7"/>
    <w:aliases w:val=" Char15,Char15"/>
    <w:basedOn w:val="Normal"/>
    <w:next w:val="Normal"/>
    <w:link w:val="Heading7Char"/>
    <w:semiHidden/>
    <w:qFormat/>
    <w:rsid w:val="00E20138"/>
    <w:pPr>
      <w:keepNext/>
      <w:keepLines/>
      <w:spacing w:before="200"/>
      <w:outlineLvl w:val="6"/>
    </w:pPr>
    <w:rPr>
      <w:rFonts w:ascii="Arial" w:hAnsi="Arial"/>
      <w:i/>
      <w:iCs/>
      <w:color w:val="404040"/>
      <w:lang w:eastAsia="en-US"/>
    </w:rPr>
  </w:style>
  <w:style w:type="paragraph" w:styleId="Heading8">
    <w:name w:val="heading 8"/>
    <w:aliases w:val=" Char14,Char14"/>
    <w:basedOn w:val="Normal"/>
    <w:next w:val="Normal"/>
    <w:link w:val="Heading8Char"/>
    <w:semiHidden/>
    <w:qFormat/>
    <w:rsid w:val="00E20138"/>
    <w:pPr>
      <w:keepNext/>
      <w:keepLines/>
      <w:spacing w:before="200"/>
      <w:outlineLvl w:val="7"/>
    </w:pPr>
    <w:rPr>
      <w:rFonts w:ascii="Arial" w:hAnsi="Arial"/>
      <w:color w:val="4F81BD"/>
      <w:sz w:val="20"/>
      <w:szCs w:val="20"/>
      <w:lang w:eastAsia="en-US"/>
    </w:rPr>
  </w:style>
  <w:style w:type="paragraph" w:styleId="Heading9">
    <w:name w:val="heading 9"/>
    <w:aliases w:val=" Char13,Char13"/>
    <w:basedOn w:val="Normal"/>
    <w:next w:val="Normal"/>
    <w:link w:val="Heading9Char"/>
    <w:semiHidden/>
    <w:qFormat/>
    <w:rsid w:val="00E20138"/>
    <w:pPr>
      <w:keepNext/>
      <w:keepLines/>
      <w:spacing w:before="200"/>
      <w:outlineLvl w:val="8"/>
    </w:pPr>
    <w:rPr>
      <w:rFonts w:ascii="Arial" w:hAnsi="Arial"/>
      <w:i/>
      <w:iCs/>
      <w:color w:val="404040"/>
      <w:sz w:val="20"/>
      <w:szCs w:val="20"/>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331E7"/>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semiHidden/>
    <w:rsid w:val="00772E94"/>
    <w:pPr>
      <w:jc w:val="center"/>
    </w:pPr>
    <w:rPr>
      <w:rFonts w:ascii="Arial" w:hAnsi="Arial"/>
      <w:sz w:val="16"/>
    </w:rPr>
  </w:style>
  <w:style w:type="paragraph" w:styleId="Footer">
    <w:name w:val="footer"/>
    <w:aliases w:val=" Char10,Char10"/>
    <w:basedOn w:val="Normal"/>
    <w:link w:val="FooterChar"/>
    <w:semiHidden/>
    <w:rsid w:val="00772E94"/>
    <w:rPr>
      <w:rFonts w:ascii="Arial" w:hAnsi="Arial"/>
      <w:sz w:val="16"/>
    </w:rPr>
  </w:style>
  <w:style w:type="paragraph" w:customStyle="1" w:styleId="Blockquote">
    <w:name w:val="Blockquote"/>
    <w:basedOn w:val="Normal"/>
    <w:semiHidden/>
    <w:rsid w:val="00772E94"/>
    <w:pPr>
      <w:ind w:left="567" w:right="567"/>
    </w:pPr>
    <w:rPr>
      <w:i/>
      <w:sz w:val="20"/>
    </w:rPr>
  </w:style>
  <w:style w:type="paragraph" w:styleId="BodyText">
    <w:name w:val="Body Text"/>
    <w:basedOn w:val="Normal"/>
    <w:link w:val="BodyTextChar"/>
    <w:qFormat/>
    <w:rsid w:val="00CE19C1"/>
    <w:pPr>
      <w:spacing w:before="120" w:after="120"/>
    </w:pPr>
  </w:style>
  <w:style w:type="paragraph" w:customStyle="1" w:styleId="Box">
    <w:name w:val="Box"/>
    <w:basedOn w:val="Normal"/>
    <w:next w:val="Normal"/>
    <w:uiPriority w:val="2"/>
    <w:semiHidden/>
    <w:rsid w:val="000576EC"/>
    <w:pPr>
      <w:pBdr>
        <w:top w:val="single" w:sz="6" w:space="15" w:color="auto"/>
        <w:left w:val="single" w:sz="6" w:space="15" w:color="auto"/>
        <w:bottom w:val="single" w:sz="6" w:space="15" w:color="auto"/>
        <w:right w:val="single" w:sz="6" w:space="15" w:color="auto"/>
      </w:pBdr>
      <w:ind w:right="284"/>
    </w:pPr>
    <w:rPr>
      <w:sz w:val="20"/>
    </w:rPr>
  </w:style>
  <w:style w:type="paragraph" w:customStyle="1" w:styleId="BoxBullet">
    <w:name w:val="Box Bullet"/>
    <w:basedOn w:val="Box"/>
    <w:uiPriority w:val="1"/>
    <w:rsid w:val="00855A8A"/>
    <w:pPr>
      <w:numPr>
        <w:numId w:val="1"/>
      </w:numPr>
      <w:tabs>
        <w:tab w:val="clear" w:pos="851"/>
        <w:tab w:val="left" w:pos="567"/>
      </w:tabs>
      <w:spacing w:before="120"/>
      <w:ind w:left="567"/>
    </w:pPr>
  </w:style>
  <w:style w:type="paragraph" w:customStyle="1" w:styleId="BoxHeading">
    <w:name w:val="BoxHeading"/>
    <w:basedOn w:val="Box"/>
    <w:next w:val="Box"/>
    <w:uiPriority w:val="2"/>
    <w:semiHidden/>
    <w:rsid w:val="00153F5A"/>
    <w:pPr>
      <w:spacing w:after="240"/>
    </w:pPr>
    <w:rPr>
      <w:b/>
      <w:sz w:val="22"/>
    </w:rPr>
  </w:style>
  <w:style w:type="paragraph" w:customStyle="1" w:styleId="Bullet">
    <w:name w:val="Bullet"/>
    <w:basedOn w:val="Normal"/>
    <w:link w:val="BulletChar"/>
    <w:qFormat/>
    <w:rsid w:val="00313010"/>
    <w:pPr>
      <w:numPr>
        <w:numId w:val="3"/>
      </w:numPr>
      <w:tabs>
        <w:tab w:val="clear" w:pos="567"/>
        <w:tab w:val="left" w:pos="397"/>
      </w:tabs>
      <w:spacing w:after="120"/>
    </w:pPr>
  </w:style>
  <w:style w:type="paragraph" w:customStyle="1" w:styleId="Heading">
    <w:name w:val="Heading"/>
    <w:basedOn w:val="Heading1"/>
    <w:next w:val="Normal"/>
    <w:rsid w:val="00670DF3"/>
  </w:style>
  <w:style w:type="character" w:styleId="UnresolvedMention">
    <w:name w:val="Unresolved Mention"/>
    <w:basedOn w:val="DefaultParagraphFont"/>
    <w:uiPriority w:val="99"/>
    <w:semiHidden/>
    <w:unhideWhenUsed/>
    <w:rsid w:val="00E44865"/>
    <w:rPr>
      <w:color w:val="605E5C"/>
      <w:shd w:val="clear" w:color="auto" w:fill="E1DFDD"/>
    </w:rPr>
  </w:style>
  <w:style w:type="paragraph" w:customStyle="1" w:styleId="Sub-bullet">
    <w:name w:val="Sub-bullet"/>
    <w:basedOn w:val="Normal"/>
    <w:uiPriority w:val="1"/>
    <w:rsid w:val="00C42C64"/>
    <w:pPr>
      <w:numPr>
        <w:numId w:val="4"/>
      </w:numPr>
      <w:tabs>
        <w:tab w:val="left" w:pos="794"/>
      </w:tabs>
      <w:spacing w:after="120"/>
    </w:pPr>
  </w:style>
  <w:style w:type="paragraph" w:customStyle="1" w:styleId="FooterEven">
    <w:name w:val="Footer Even"/>
    <w:basedOn w:val="Normal"/>
    <w:next w:val="Normal"/>
    <w:uiPriority w:val="99"/>
    <w:rsid w:val="00A34169"/>
    <w:pPr>
      <w:pBdr>
        <w:top w:val="single" w:sz="4" w:space="4" w:color="auto"/>
      </w:pBdr>
      <w:tabs>
        <w:tab w:val="left" w:pos="851"/>
      </w:tabs>
    </w:pPr>
    <w:rPr>
      <w:sz w:val="16"/>
    </w:rPr>
  </w:style>
  <w:style w:type="paragraph" w:customStyle="1" w:styleId="Figure">
    <w:name w:val="Figure"/>
    <w:basedOn w:val="Normal"/>
    <w:next w:val="BodyText"/>
    <w:link w:val="FigureChar"/>
    <w:uiPriority w:val="1"/>
    <w:qFormat/>
    <w:rsid w:val="00854B9D"/>
    <w:pPr>
      <w:keepNext/>
      <w:spacing w:before="120" w:after="120"/>
      <w:ind w:left="1247" w:hanging="1247"/>
    </w:pPr>
    <w:rPr>
      <w:b/>
      <w:sz w:val="18"/>
    </w:rPr>
  </w:style>
  <w:style w:type="character" w:styleId="FootnoteReference">
    <w:name w:val="footnote reference"/>
    <w:uiPriority w:val="99"/>
    <w:semiHidden/>
    <w:rsid w:val="00CE19C1"/>
    <w:rPr>
      <w:rFonts w:ascii="Calibri" w:hAnsi="Calibri"/>
      <w:sz w:val="22"/>
      <w:vertAlign w:val="superscript"/>
    </w:rPr>
  </w:style>
  <w:style w:type="paragraph" w:styleId="FootnoteText">
    <w:name w:val="footnote text"/>
    <w:basedOn w:val="Normal"/>
    <w:link w:val="FootnoteTextChar"/>
    <w:uiPriority w:val="99"/>
    <w:semiHidden/>
    <w:qFormat/>
    <w:rsid w:val="0032349D"/>
    <w:pPr>
      <w:spacing w:after="60"/>
      <w:ind w:left="284" w:hanging="284"/>
    </w:pPr>
    <w:rPr>
      <w:sz w:val="19"/>
    </w:rPr>
  </w:style>
  <w:style w:type="character" w:styleId="Hyperlink">
    <w:name w:val="Hyperlink"/>
    <w:uiPriority w:val="99"/>
    <w:rsid w:val="00902485"/>
    <w:rPr>
      <w:color w:val="365F91"/>
      <w:u w:val="none"/>
    </w:rPr>
  </w:style>
  <w:style w:type="paragraph" w:customStyle="1" w:styleId="Imprint">
    <w:name w:val="Imprint"/>
    <w:basedOn w:val="Normal"/>
    <w:next w:val="Normal"/>
    <w:semiHidden/>
    <w:rsid w:val="00AE71AD"/>
    <w:pPr>
      <w:spacing w:after="240"/>
    </w:pPr>
  </w:style>
  <w:style w:type="paragraph" w:customStyle="1" w:styleId="Noteundertable">
    <w:name w:val="Note under table"/>
    <w:basedOn w:val="Normal"/>
    <w:next w:val="Normal"/>
    <w:link w:val="NoteundertableChar"/>
    <w:qFormat/>
    <w:rsid w:val="006D3FAE"/>
    <w:pPr>
      <w:tabs>
        <w:tab w:val="left" w:pos="567"/>
      </w:tabs>
      <w:spacing w:before="120" w:after="120"/>
      <w:ind w:left="567" w:hanging="567"/>
    </w:pPr>
    <w:rPr>
      <w:sz w:val="18"/>
    </w:rPr>
  </w:style>
  <w:style w:type="paragraph" w:customStyle="1" w:styleId="FooterOdd">
    <w:name w:val="Footer Odd"/>
    <w:basedOn w:val="Normal"/>
    <w:next w:val="Normal"/>
    <w:uiPriority w:val="99"/>
    <w:rsid w:val="00A34169"/>
    <w:pPr>
      <w:pBdr>
        <w:top w:val="single" w:sz="4" w:space="4" w:color="auto"/>
      </w:pBdr>
      <w:tabs>
        <w:tab w:val="right" w:pos="7655"/>
        <w:tab w:val="right" w:pos="8505"/>
      </w:tabs>
    </w:pPr>
    <w:rPr>
      <w:sz w:val="16"/>
    </w:rPr>
  </w:style>
  <w:style w:type="character" w:styleId="PageNumber">
    <w:name w:val="page number"/>
    <w:semiHidden/>
    <w:rsid w:val="00A34169"/>
    <w:rPr>
      <w:rFonts w:ascii="Calibri" w:hAnsi="Calibri"/>
      <w:b/>
      <w:sz w:val="24"/>
    </w:rPr>
  </w:style>
  <w:style w:type="paragraph" w:customStyle="1" w:styleId="References">
    <w:name w:val="References"/>
    <w:basedOn w:val="Normal"/>
    <w:link w:val="ReferencesChar"/>
    <w:qFormat/>
    <w:rsid w:val="00772E94"/>
    <w:pPr>
      <w:spacing w:after="120"/>
    </w:pPr>
    <w:rPr>
      <w:sz w:val="20"/>
    </w:rPr>
  </w:style>
  <w:style w:type="paragraph" w:customStyle="1" w:styleId="Source">
    <w:name w:val="Source"/>
    <w:basedOn w:val="Normal"/>
    <w:next w:val="Normal"/>
    <w:uiPriority w:val="1"/>
    <w:qFormat/>
    <w:rsid w:val="00CE19C1"/>
    <w:pPr>
      <w:tabs>
        <w:tab w:val="left" w:pos="680"/>
      </w:tabs>
      <w:spacing w:before="120"/>
    </w:pPr>
    <w:rPr>
      <w:sz w:val="16"/>
    </w:rPr>
  </w:style>
  <w:style w:type="paragraph" w:styleId="Title">
    <w:name w:val="Title"/>
    <w:basedOn w:val="Normal"/>
    <w:link w:val="TitleChar"/>
    <w:uiPriority w:val="2"/>
    <w:semiHidden/>
    <w:qFormat/>
    <w:rsid w:val="00A34169"/>
    <w:pPr>
      <w:spacing w:line="360" w:lineRule="auto"/>
      <w:jc w:val="center"/>
    </w:pPr>
    <w:rPr>
      <w:b/>
      <w:sz w:val="48"/>
    </w:rPr>
  </w:style>
  <w:style w:type="paragraph" w:styleId="Subtitle">
    <w:name w:val="Subtitle"/>
    <w:basedOn w:val="Title"/>
    <w:link w:val="SubtitleChar"/>
    <w:semiHidden/>
    <w:qFormat/>
    <w:rsid w:val="00772E94"/>
    <w:pPr>
      <w:spacing w:before="600" w:line="240" w:lineRule="auto"/>
      <w:outlineLvl w:val="1"/>
    </w:pPr>
    <w:rPr>
      <w:sz w:val="36"/>
    </w:rPr>
  </w:style>
  <w:style w:type="paragraph" w:customStyle="1" w:styleId="Table">
    <w:name w:val="Table"/>
    <w:basedOn w:val="Normal"/>
    <w:next w:val="BodyText"/>
    <w:link w:val="TableChar"/>
    <w:rsid w:val="007409A3"/>
    <w:pPr>
      <w:keepNext/>
      <w:spacing w:before="120" w:after="120"/>
      <w:ind w:left="1247" w:hanging="1247"/>
    </w:pPr>
    <w:rPr>
      <w:b/>
      <w:sz w:val="18"/>
    </w:rPr>
  </w:style>
  <w:style w:type="paragraph" w:customStyle="1" w:styleId="TableText">
    <w:name w:val="TableText"/>
    <w:basedOn w:val="Normal"/>
    <w:link w:val="TableTextChar"/>
    <w:qFormat/>
    <w:rsid w:val="00CE19C1"/>
    <w:pPr>
      <w:spacing w:before="60" w:after="60"/>
    </w:pPr>
    <w:rPr>
      <w:sz w:val="16"/>
    </w:rPr>
  </w:style>
  <w:style w:type="paragraph" w:customStyle="1" w:styleId="TableTextBold">
    <w:name w:val="TableText Bold"/>
    <w:basedOn w:val="TableText"/>
    <w:link w:val="TableTextBoldChar"/>
    <w:qFormat/>
    <w:rsid w:val="00F511A7"/>
    <w:rPr>
      <w:b/>
      <w:noProof/>
    </w:rPr>
  </w:style>
  <w:style w:type="paragraph" w:styleId="TOC1">
    <w:name w:val="toc 1"/>
    <w:basedOn w:val="Normal"/>
    <w:next w:val="Normal"/>
    <w:uiPriority w:val="39"/>
    <w:qFormat/>
    <w:rsid w:val="007C31A2"/>
    <w:pPr>
      <w:tabs>
        <w:tab w:val="right" w:pos="8505"/>
      </w:tabs>
      <w:spacing w:before="280"/>
      <w:ind w:left="567" w:right="567" w:hanging="567"/>
    </w:pPr>
    <w:rPr>
      <w:sz w:val="24"/>
    </w:rPr>
  </w:style>
  <w:style w:type="paragraph" w:styleId="TOC2">
    <w:name w:val="toc 2"/>
    <w:basedOn w:val="Normal"/>
    <w:next w:val="Normal"/>
    <w:uiPriority w:val="39"/>
    <w:qFormat/>
    <w:rsid w:val="006529AF"/>
    <w:pPr>
      <w:tabs>
        <w:tab w:val="left" w:pos="1134"/>
        <w:tab w:val="right" w:pos="8505"/>
      </w:tabs>
      <w:spacing w:before="120"/>
      <w:ind w:left="1134" w:right="567" w:hanging="567"/>
    </w:pPr>
    <w:rPr>
      <w:sz w:val="20"/>
    </w:rPr>
  </w:style>
  <w:style w:type="paragraph" w:styleId="TOC3">
    <w:name w:val="toc 3"/>
    <w:basedOn w:val="Normal"/>
    <w:next w:val="Normal"/>
    <w:uiPriority w:val="39"/>
    <w:qFormat/>
    <w:rsid w:val="005C3384"/>
    <w:pPr>
      <w:tabs>
        <w:tab w:val="left" w:pos="1701"/>
        <w:tab w:val="right" w:pos="7938"/>
      </w:tabs>
      <w:spacing w:before="120" w:after="120"/>
      <w:ind w:left="1134"/>
    </w:pPr>
    <w:rPr>
      <w:rFonts w:ascii="Arial" w:hAnsi="Arial"/>
      <w:sz w:val="20"/>
    </w:rPr>
  </w:style>
  <w:style w:type="paragraph" w:styleId="Caption">
    <w:name w:val="caption"/>
    <w:basedOn w:val="Normal"/>
    <w:next w:val="Normal"/>
    <w:semiHidden/>
    <w:qFormat/>
    <w:rsid w:val="00CE19C1"/>
    <w:pPr>
      <w:tabs>
        <w:tab w:val="left" w:pos="851"/>
      </w:tabs>
    </w:pPr>
    <w:rPr>
      <w:bCs/>
      <w:sz w:val="18"/>
    </w:rPr>
  </w:style>
  <w:style w:type="paragraph" w:customStyle="1" w:styleId="TableBullet">
    <w:name w:val="TableBullet"/>
    <w:basedOn w:val="TableText"/>
    <w:next w:val="TableText"/>
    <w:rsid w:val="00546A6A"/>
    <w:pPr>
      <w:numPr>
        <w:numId w:val="2"/>
      </w:numPr>
    </w:pPr>
    <w:rPr>
      <w:szCs w:val="16"/>
    </w:rPr>
  </w:style>
  <w:style w:type="paragraph" w:styleId="TableofFigures">
    <w:name w:val="table of figures"/>
    <w:basedOn w:val="Normal"/>
    <w:next w:val="Normal"/>
    <w:uiPriority w:val="99"/>
    <w:rsid w:val="009C2400"/>
    <w:pPr>
      <w:tabs>
        <w:tab w:val="right" w:pos="8505"/>
      </w:tabs>
      <w:spacing w:before="40" w:after="40"/>
      <w:ind w:left="1560" w:right="567" w:hanging="1560"/>
    </w:pPr>
    <w:rPr>
      <w:rFonts w:cs="Calibri"/>
      <w:noProof/>
      <w:sz w:val="20"/>
    </w:rPr>
  </w:style>
  <w:style w:type="paragraph" w:styleId="BalloonText">
    <w:name w:val="Balloon Text"/>
    <w:aliases w:val=" Char6,Char6"/>
    <w:basedOn w:val="Normal"/>
    <w:link w:val="BalloonTextChar"/>
    <w:semiHidden/>
    <w:unhideWhenUsed/>
    <w:rsid w:val="007409A3"/>
    <w:rPr>
      <w:rFonts w:ascii="Segoe UI" w:hAnsi="Segoe UI" w:cs="Segoe UI"/>
      <w:sz w:val="18"/>
      <w:szCs w:val="18"/>
    </w:rPr>
  </w:style>
  <w:style w:type="character" w:customStyle="1" w:styleId="BalloonTextChar">
    <w:name w:val="Balloon Text Char"/>
    <w:aliases w:val=" Char6 Char,Char6 Char"/>
    <w:link w:val="BalloonText"/>
    <w:semiHidden/>
    <w:rsid w:val="007409A3"/>
    <w:rPr>
      <w:rFonts w:ascii="Segoe UI" w:hAnsi="Segoe UI" w:cs="Segoe UI"/>
      <w:sz w:val="18"/>
      <w:szCs w:val="18"/>
    </w:rPr>
  </w:style>
  <w:style w:type="character" w:customStyle="1" w:styleId="Heading6Char">
    <w:name w:val="Heading 6 Char"/>
    <w:link w:val="Heading6"/>
    <w:rsid w:val="00E20138"/>
    <w:rPr>
      <w:b/>
      <w:iCs/>
      <w:sz w:val="22"/>
      <w:szCs w:val="22"/>
      <w:lang w:eastAsia="en-US"/>
    </w:rPr>
  </w:style>
  <w:style w:type="character" w:customStyle="1" w:styleId="Heading7Char">
    <w:name w:val="Heading 7 Char"/>
    <w:aliases w:val=" Char15 Char,Char15 Char"/>
    <w:link w:val="Heading7"/>
    <w:semiHidden/>
    <w:rsid w:val="00E20138"/>
    <w:rPr>
      <w:rFonts w:ascii="Arial" w:hAnsi="Arial"/>
      <w:i/>
      <w:iCs/>
      <w:color w:val="404040"/>
      <w:sz w:val="22"/>
      <w:szCs w:val="22"/>
      <w:lang w:eastAsia="en-US"/>
    </w:rPr>
  </w:style>
  <w:style w:type="character" w:customStyle="1" w:styleId="Heading8Char">
    <w:name w:val="Heading 8 Char"/>
    <w:aliases w:val=" Char14 Char,Char14 Char"/>
    <w:link w:val="Heading8"/>
    <w:semiHidden/>
    <w:rsid w:val="007C31A2"/>
    <w:rPr>
      <w:rFonts w:ascii="Arial" w:hAnsi="Arial"/>
      <w:color w:val="4F81BD"/>
      <w:lang w:eastAsia="en-US"/>
    </w:rPr>
  </w:style>
  <w:style w:type="character" w:customStyle="1" w:styleId="Heading9Char">
    <w:name w:val="Heading 9 Char"/>
    <w:aliases w:val=" Char13 Char,Char13 Char"/>
    <w:link w:val="Heading9"/>
    <w:semiHidden/>
    <w:rsid w:val="007C31A2"/>
    <w:rPr>
      <w:rFonts w:ascii="Arial" w:hAnsi="Arial"/>
      <w:i/>
      <w:iCs/>
      <w:color w:val="404040"/>
      <w:lang w:eastAsia="en-US"/>
    </w:rPr>
  </w:style>
  <w:style w:type="character" w:customStyle="1" w:styleId="Heading1Char">
    <w:name w:val="Heading 1 Char"/>
    <w:link w:val="Heading1"/>
    <w:rsid w:val="00E20138"/>
    <w:rPr>
      <w:bCs/>
      <w:color w:val="365F91"/>
      <w:sz w:val="48"/>
      <w:szCs w:val="22"/>
    </w:rPr>
  </w:style>
  <w:style w:type="character" w:customStyle="1" w:styleId="Heading2Char">
    <w:name w:val="Heading 2 Char"/>
    <w:link w:val="Heading2"/>
    <w:rsid w:val="005E77C4"/>
    <w:rPr>
      <w:b/>
      <w:color w:val="365F91"/>
      <w:sz w:val="32"/>
      <w:szCs w:val="22"/>
    </w:rPr>
  </w:style>
  <w:style w:type="character" w:customStyle="1" w:styleId="Heading3Char">
    <w:name w:val="Heading 3 Char"/>
    <w:link w:val="Heading3"/>
    <w:rsid w:val="005E77C4"/>
    <w:rPr>
      <w:b/>
      <w:color w:val="365F91"/>
      <w:sz w:val="26"/>
      <w:szCs w:val="22"/>
    </w:rPr>
  </w:style>
  <w:style w:type="character" w:customStyle="1" w:styleId="Heading4Char">
    <w:name w:val="Heading 4 Char"/>
    <w:link w:val="Heading4"/>
    <w:rsid w:val="00865BDB"/>
    <w:rPr>
      <w:b/>
      <w:color w:val="365F91"/>
      <w:sz w:val="22"/>
      <w:szCs w:val="22"/>
    </w:rPr>
  </w:style>
  <w:style w:type="character" w:customStyle="1" w:styleId="Heading5Char">
    <w:name w:val="Heading 5 Char"/>
    <w:link w:val="Heading5"/>
    <w:rsid w:val="00E20138"/>
    <w:rPr>
      <w:bCs/>
      <w:i/>
      <w:iCs/>
      <w:color w:val="365F91"/>
      <w:sz w:val="22"/>
      <w:szCs w:val="26"/>
    </w:rPr>
  </w:style>
  <w:style w:type="character" w:customStyle="1" w:styleId="HeaderChar">
    <w:name w:val="Header Char"/>
    <w:link w:val="Header"/>
    <w:semiHidden/>
    <w:rsid w:val="00E20138"/>
    <w:rPr>
      <w:rFonts w:ascii="Arial" w:hAnsi="Arial"/>
      <w:sz w:val="16"/>
      <w:szCs w:val="22"/>
    </w:rPr>
  </w:style>
  <w:style w:type="character" w:customStyle="1" w:styleId="FooterChar">
    <w:name w:val="Footer Char"/>
    <w:aliases w:val=" Char10 Char,Char10 Char"/>
    <w:link w:val="Footer"/>
    <w:semiHidden/>
    <w:rsid w:val="00E20138"/>
    <w:rPr>
      <w:rFonts w:ascii="Arial" w:hAnsi="Arial"/>
      <w:sz w:val="16"/>
      <w:szCs w:val="22"/>
    </w:rPr>
  </w:style>
  <w:style w:type="character" w:customStyle="1" w:styleId="TableTextBoldChar">
    <w:name w:val="TableText Bold Char"/>
    <w:link w:val="TableTextBold"/>
    <w:rsid w:val="00E20138"/>
    <w:rPr>
      <w:b/>
      <w:noProof/>
      <w:sz w:val="16"/>
      <w:szCs w:val="22"/>
    </w:rPr>
  </w:style>
  <w:style w:type="character" w:customStyle="1" w:styleId="TableTextChar">
    <w:name w:val="TableText Char"/>
    <w:link w:val="TableText"/>
    <w:rsid w:val="00E20138"/>
    <w:rPr>
      <w:sz w:val="16"/>
      <w:szCs w:val="22"/>
    </w:rPr>
  </w:style>
  <w:style w:type="character" w:customStyle="1" w:styleId="FigureChar">
    <w:name w:val="Figure Char"/>
    <w:link w:val="Figure"/>
    <w:uiPriority w:val="1"/>
    <w:rsid w:val="00A46073"/>
    <w:rPr>
      <w:b/>
      <w:sz w:val="18"/>
      <w:szCs w:val="22"/>
    </w:rPr>
  </w:style>
  <w:style w:type="character" w:customStyle="1" w:styleId="FootnoteTextChar">
    <w:name w:val="Footnote Text Char"/>
    <w:link w:val="FootnoteText"/>
    <w:uiPriority w:val="99"/>
    <w:semiHidden/>
    <w:rsid w:val="00875726"/>
    <w:rPr>
      <w:sz w:val="19"/>
      <w:szCs w:val="22"/>
    </w:rPr>
  </w:style>
  <w:style w:type="character" w:customStyle="1" w:styleId="ReferencesChar">
    <w:name w:val="References Char"/>
    <w:link w:val="References"/>
    <w:rsid w:val="007F6E73"/>
    <w:rPr>
      <w:szCs w:val="22"/>
    </w:rPr>
  </w:style>
  <w:style w:type="character" w:customStyle="1" w:styleId="TitleChar">
    <w:name w:val="Title Char"/>
    <w:link w:val="Title"/>
    <w:uiPriority w:val="2"/>
    <w:semiHidden/>
    <w:rsid w:val="00A46073"/>
    <w:rPr>
      <w:b/>
      <w:sz w:val="48"/>
      <w:szCs w:val="22"/>
    </w:rPr>
  </w:style>
  <w:style w:type="character" w:customStyle="1" w:styleId="SubtitleChar">
    <w:name w:val="Subtitle Char"/>
    <w:link w:val="Subtitle"/>
    <w:semiHidden/>
    <w:rsid w:val="007A0195"/>
    <w:rPr>
      <w:b/>
      <w:sz w:val="36"/>
      <w:szCs w:val="22"/>
    </w:rPr>
  </w:style>
  <w:style w:type="character" w:customStyle="1" w:styleId="TableChar">
    <w:name w:val="Table Char"/>
    <w:link w:val="Table"/>
    <w:locked/>
    <w:rsid w:val="00E20138"/>
    <w:rPr>
      <w:b/>
      <w:sz w:val="18"/>
      <w:szCs w:val="22"/>
    </w:rPr>
  </w:style>
  <w:style w:type="paragraph" w:styleId="TOCHeading">
    <w:name w:val="TOC Heading"/>
    <w:basedOn w:val="Heading1"/>
    <w:next w:val="Normal"/>
    <w:uiPriority w:val="39"/>
    <w:semiHidden/>
    <w:qFormat/>
    <w:rsid w:val="00E20138"/>
    <w:pPr>
      <w:keepLines/>
      <w:pBdr>
        <w:bottom w:val="none" w:sz="0" w:space="0" w:color="auto"/>
      </w:pBdr>
      <w:spacing w:before="480" w:after="0"/>
      <w:jc w:val="both"/>
      <w:outlineLvl w:val="9"/>
    </w:pPr>
    <w:rPr>
      <w:b/>
      <w:bCs w:val="0"/>
      <w:sz w:val="28"/>
      <w:szCs w:val="28"/>
    </w:rPr>
  </w:style>
  <w:style w:type="character" w:customStyle="1" w:styleId="CommentTextChar">
    <w:name w:val="Comment Text Char"/>
    <w:aliases w:val=" Char7 Char,Char7 Char"/>
    <w:link w:val="CommentText"/>
    <w:uiPriority w:val="99"/>
    <w:semiHidden/>
    <w:qFormat/>
    <w:rsid w:val="00C646D1"/>
    <w:rPr>
      <w:rFonts w:eastAsia="Arial"/>
    </w:rPr>
  </w:style>
  <w:style w:type="paragraph" w:styleId="CommentText">
    <w:name w:val="annotation text"/>
    <w:aliases w:val=" Char7,Char7"/>
    <w:basedOn w:val="Normal"/>
    <w:link w:val="CommentTextChar"/>
    <w:uiPriority w:val="99"/>
    <w:semiHidden/>
    <w:qFormat/>
    <w:rsid w:val="00E20138"/>
    <w:pPr>
      <w:spacing w:after="120"/>
    </w:pPr>
    <w:rPr>
      <w:rFonts w:eastAsia="Arial"/>
      <w:sz w:val="20"/>
      <w:szCs w:val="20"/>
    </w:rPr>
  </w:style>
  <w:style w:type="character" w:customStyle="1" w:styleId="CommentTextChar1">
    <w:name w:val="Comment Text Char1"/>
    <w:basedOn w:val="DefaultParagraphFont"/>
    <w:uiPriority w:val="99"/>
    <w:semiHidden/>
    <w:rsid w:val="00E20138"/>
  </w:style>
  <w:style w:type="character" w:customStyle="1" w:styleId="CommentSubjectChar">
    <w:name w:val="Comment Subject Char"/>
    <w:aliases w:val=" Char5 Char,Char5 Char"/>
    <w:link w:val="CommentSubject"/>
    <w:semiHidden/>
    <w:rsid w:val="00E20138"/>
    <w:rPr>
      <w:b/>
      <w:bCs/>
    </w:rPr>
  </w:style>
  <w:style w:type="paragraph" w:styleId="CommentSubject">
    <w:name w:val="annotation subject"/>
    <w:aliases w:val=" Char5,Char5"/>
    <w:basedOn w:val="CommentText"/>
    <w:next w:val="CommentText"/>
    <w:link w:val="CommentSubjectChar"/>
    <w:semiHidden/>
    <w:rsid w:val="00E20138"/>
    <w:rPr>
      <w:rFonts w:eastAsia="Times New Roman"/>
      <w:b/>
      <w:bCs/>
    </w:rPr>
  </w:style>
  <w:style w:type="character" w:customStyle="1" w:styleId="CommentSubjectChar1">
    <w:name w:val="Comment Subject Char1"/>
    <w:aliases w:val="Char5 Char1"/>
    <w:uiPriority w:val="99"/>
    <w:semiHidden/>
    <w:rsid w:val="00E20138"/>
    <w:rPr>
      <w:b/>
      <w:bCs/>
    </w:rPr>
  </w:style>
  <w:style w:type="paragraph" w:styleId="BodyText2">
    <w:name w:val="Body Text 2"/>
    <w:aliases w:val=" Char4,Char4"/>
    <w:basedOn w:val="Normal"/>
    <w:link w:val="BodyText2Char"/>
    <w:semiHidden/>
    <w:rsid w:val="00E20138"/>
    <w:pPr>
      <w:spacing w:after="120" w:line="480" w:lineRule="auto"/>
    </w:pPr>
    <w:rPr>
      <w:rFonts w:ascii="Times New Roman" w:hAnsi="Times New Roman"/>
      <w:lang w:eastAsia="en-US"/>
    </w:rPr>
  </w:style>
  <w:style w:type="character" w:customStyle="1" w:styleId="BodyText2Char">
    <w:name w:val="Body Text 2 Char"/>
    <w:aliases w:val=" Char4 Char,Char4 Char"/>
    <w:link w:val="BodyText2"/>
    <w:semiHidden/>
    <w:rsid w:val="00E20138"/>
    <w:rPr>
      <w:rFonts w:ascii="Times New Roman" w:hAnsi="Times New Roman"/>
      <w:sz w:val="22"/>
      <w:szCs w:val="22"/>
      <w:lang w:eastAsia="en-US"/>
    </w:rPr>
  </w:style>
  <w:style w:type="paragraph" w:customStyle="1" w:styleId="Default">
    <w:name w:val="Default"/>
    <w:semiHidden/>
    <w:rsid w:val="00E20138"/>
    <w:pPr>
      <w:autoSpaceDE w:val="0"/>
      <w:autoSpaceDN w:val="0"/>
      <w:adjustRightInd w:val="0"/>
    </w:pPr>
    <w:rPr>
      <w:rFonts w:ascii="JBHHJB+Arial,Bold" w:hAnsi="JBHHJB+Arial,Bold" w:cs="JBHHJB+Arial,Bold"/>
      <w:i/>
      <w:color w:val="000000"/>
      <w:sz w:val="24"/>
      <w:szCs w:val="24"/>
    </w:rPr>
  </w:style>
  <w:style w:type="character" w:customStyle="1" w:styleId="EndnoteTextChar">
    <w:name w:val="Endnote Text Char"/>
    <w:aliases w:val=" Char3 Char,Char3 Char"/>
    <w:link w:val="EndnoteText"/>
    <w:semiHidden/>
    <w:rsid w:val="00E20138"/>
    <w:rPr>
      <w:i/>
    </w:rPr>
  </w:style>
  <w:style w:type="paragraph" w:styleId="EndnoteText">
    <w:name w:val="endnote text"/>
    <w:aliases w:val=" Char3,Char3"/>
    <w:basedOn w:val="Normal"/>
    <w:link w:val="EndnoteTextChar"/>
    <w:semiHidden/>
    <w:rsid w:val="00E20138"/>
    <w:pPr>
      <w:spacing w:after="120"/>
    </w:pPr>
    <w:rPr>
      <w:i/>
      <w:sz w:val="20"/>
      <w:szCs w:val="20"/>
    </w:rPr>
  </w:style>
  <w:style w:type="character" w:customStyle="1" w:styleId="EndnoteTextChar1">
    <w:name w:val="Endnote Text Char1"/>
    <w:aliases w:val="Char3 Char1"/>
    <w:basedOn w:val="DefaultParagraphFont"/>
    <w:uiPriority w:val="99"/>
    <w:semiHidden/>
    <w:rsid w:val="00E20138"/>
  </w:style>
  <w:style w:type="character" w:styleId="Emphasis">
    <w:name w:val="Emphasis"/>
    <w:uiPriority w:val="20"/>
    <w:semiHidden/>
    <w:qFormat/>
    <w:rsid w:val="00E20138"/>
    <w:rPr>
      <w:i/>
      <w:iCs/>
    </w:rPr>
  </w:style>
  <w:style w:type="paragraph" w:styleId="Revision">
    <w:name w:val="Revision"/>
    <w:hidden/>
    <w:uiPriority w:val="99"/>
    <w:rsid w:val="00E20138"/>
    <w:rPr>
      <w:rFonts w:ascii="Times New Roman" w:hAnsi="Times New Roman"/>
      <w:i/>
      <w:sz w:val="22"/>
      <w:lang w:eastAsia="en-US"/>
    </w:rPr>
  </w:style>
  <w:style w:type="character" w:customStyle="1" w:styleId="PlainTextChar1">
    <w:name w:val="Plain Text Char1"/>
    <w:aliases w:val="Char2 Char1"/>
    <w:uiPriority w:val="99"/>
    <w:semiHidden/>
    <w:rsid w:val="00E20138"/>
    <w:rPr>
      <w:rFonts w:ascii="Courier New" w:hAnsi="Courier New" w:cs="Courier New"/>
      <w:lang w:eastAsia="en-US"/>
    </w:rPr>
  </w:style>
  <w:style w:type="paragraph" w:styleId="ListBullet">
    <w:name w:val="List Bullet"/>
    <w:basedOn w:val="Normal"/>
    <w:semiHidden/>
    <w:rsid w:val="00E20138"/>
    <w:pPr>
      <w:numPr>
        <w:numId w:val="5"/>
      </w:numPr>
      <w:spacing w:after="120"/>
    </w:pPr>
    <w:rPr>
      <w:rFonts w:ascii="Arial" w:hAnsi="Arial"/>
      <w:sz w:val="24"/>
      <w:lang w:eastAsia="en-US"/>
    </w:rPr>
  </w:style>
  <w:style w:type="paragraph" w:styleId="ListBullet2">
    <w:name w:val="List Bullet 2"/>
    <w:basedOn w:val="ListBullet"/>
    <w:semiHidden/>
    <w:rsid w:val="00E20138"/>
    <w:pPr>
      <w:numPr>
        <w:numId w:val="6"/>
      </w:numPr>
      <w:tabs>
        <w:tab w:val="clear" w:pos="643"/>
        <w:tab w:val="num" w:pos="720"/>
      </w:tabs>
      <w:ind w:left="720"/>
    </w:pPr>
  </w:style>
  <w:style w:type="paragraph" w:styleId="ListBullet3">
    <w:name w:val="List Bullet 3"/>
    <w:basedOn w:val="ListBullet2"/>
    <w:semiHidden/>
    <w:rsid w:val="00E20138"/>
    <w:pPr>
      <w:numPr>
        <w:numId w:val="7"/>
      </w:numPr>
      <w:tabs>
        <w:tab w:val="clear" w:pos="926"/>
        <w:tab w:val="num" w:pos="1080"/>
      </w:tabs>
      <w:ind w:left="720" w:firstLine="0"/>
    </w:pPr>
  </w:style>
  <w:style w:type="paragraph" w:styleId="ListBullet4">
    <w:name w:val="List Bullet 4"/>
    <w:basedOn w:val="ListBullet3"/>
    <w:semiHidden/>
    <w:rsid w:val="00E20138"/>
    <w:pPr>
      <w:numPr>
        <w:numId w:val="8"/>
      </w:numPr>
      <w:tabs>
        <w:tab w:val="clear" w:pos="1209"/>
        <w:tab w:val="left" w:pos="1435"/>
      </w:tabs>
      <w:ind w:left="1434" w:hanging="357"/>
    </w:pPr>
  </w:style>
  <w:style w:type="paragraph" w:styleId="ListBullet5">
    <w:name w:val="List Bullet 5"/>
    <w:basedOn w:val="ListBullet4"/>
    <w:semiHidden/>
    <w:rsid w:val="00E20138"/>
    <w:pPr>
      <w:numPr>
        <w:numId w:val="9"/>
      </w:numPr>
      <w:tabs>
        <w:tab w:val="clear" w:pos="1435"/>
        <w:tab w:val="clear" w:pos="1492"/>
        <w:tab w:val="num" w:pos="1794"/>
      </w:tabs>
      <w:ind w:left="1794"/>
    </w:pPr>
  </w:style>
  <w:style w:type="paragraph" w:customStyle="1" w:styleId="Numberedparagraph">
    <w:name w:val="Numbered paragraph"/>
    <w:basedOn w:val="Normal"/>
    <w:qFormat/>
    <w:rsid w:val="00E20138"/>
    <w:pPr>
      <w:numPr>
        <w:numId w:val="11"/>
      </w:numPr>
      <w:tabs>
        <w:tab w:val="clear" w:pos="397"/>
        <w:tab w:val="left" w:pos="567"/>
        <w:tab w:val="num" w:pos="1728"/>
      </w:tabs>
      <w:spacing w:before="120" w:after="120"/>
      <w:ind w:left="288" w:firstLine="0"/>
    </w:pPr>
    <w:rPr>
      <w:rFonts w:ascii="Times New Roman" w:hAnsi="Times New Roman"/>
      <w:lang w:eastAsia="en-US"/>
    </w:rPr>
  </w:style>
  <w:style w:type="paragraph" w:customStyle="1" w:styleId="Sub-list">
    <w:name w:val="Sub-list"/>
    <w:basedOn w:val="Normal"/>
    <w:semiHidden/>
    <w:rsid w:val="00E20138"/>
    <w:pPr>
      <w:numPr>
        <w:numId w:val="13"/>
      </w:numPr>
      <w:tabs>
        <w:tab w:val="clear" w:pos="397"/>
        <w:tab w:val="num" w:pos="360"/>
        <w:tab w:val="left" w:pos="794"/>
      </w:tabs>
      <w:spacing w:before="60" w:after="120"/>
      <w:ind w:left="794" w:hanging="397"/>
    </w:pPr>
    <w:rPr>
      <w:rFonts w:ascii="Times New Roman" w:hAnsi="Times New Roman"/>
      <w:lang w:eastAsia="en-US"/>
    </w:rPr>
  </w:style>
  <w:style w:type="paragraph" w:customStyle="1" w:styleId="Sub-lista">
    <w:name w:val="Sub-list a"/>
    <w:aliases w:val="b"/>
    <w:basedOn w:val="Normal"/>
    <w:rsid w:val="00030F27"/>
    <w:pPr>
      <w:numPr>
        <w:numId w:val="12"/>
      </w:numPr>
      <w:tabs>
        <w:tab w:val="clear" w:pos="794"/>
        <w:tab w:val="left" w:pos="397"/>
      </w:tabs>
      <w:spacing w:after="120"/>
    </w:pPr>
    <w:rPr>
      <w:rFonts w:cs="Calibri"/>
      <w:lang w:eastAsia="ko-KR"/>
    </w:rPr>
  </w:style>
  <w:style w:type="paragraph" w:customStyle="1" w:styleId="Sub-listi">
    <w:name w:val="Sub-list i"/>
    <w:aliases w:val="ii"/>
    <w:basedOn w:val="Normal"/>
    <w:rsid w:val="009A36CA"/>
    <w:pPr>
      <w:numPr>
        <w:ilvl w:val="1"/>
        <w:numId w:val="21"/>
      </w:numPr>
      <w:spacing w:after="120"/>
    </w:pPr>
  </w:style>
  <w:style w:type="paragraph" w:customStyle="1" w:styleId="TableDash">
    <w:name w:val="TableDash"/>
    <w:basedOn w:val="Normal"/>
    <w:rsid w:val="00E20138"/>
    <w:pPr>
      <w:numPr>
        <w:numId w:val="14"/>
      </w:numPr>
      <w:tabs>
        <w:tab w:val="clear" w:pos="567"/>
        <w:tab w:val="num" w:pos="360"/>
      </w:tabs>
      <w:spacing w:before="20" w:after="20"/>
      <w:ind w:left="568" w:hanging="284"/>
    </w:pPr>
    <w:rPr>
      <w:rFonts w:ascii="Arial" w:hAnsi="Arial" w:cs="Arial"/>
      <w:sz w:val="16"/>
      <w:szCs w:val="16"/>
      <w:lang w:eastAsia="en-US"/>
    </w:rPr>
  </w:style>
  <w:style w:type="paragraph" w:customStyle="1" w:styleId="a">
    <w:name w:val="(a)"/>
    <w:aliases w:val="(b) list"/>
    <w:basedOn w:val="Normal"/>
    <w:semiHidden/>
    <w:rsid w:val="00E20138"/>
    <w:pPr>
      <w:numPr>
        <w:numId w:val="10"/>
      </w:numPr>
      <w:tabs>
        <w:tab w:val="clear" w:pos="720"/>
        <w:tab w:val="num" w:pos="360"/>
      </w:tabs>
      <w:ind w:left="360"/>
    </w:pPr>
    <w:rPr>
      <w:rFonts w:ascii="Times New Roman" w:hAnsi="Times New Roman"/>
      <w:szCs w:val="20"/>
    </w:rPr>
  </w:style>
  <w:style w:type="character" w:customStyle="1" w:styleId="NoteundertableChar">
    <w:name w:val="Note under table Char"/>
    <w:link w:val="Noteundertable"/>
    <w:rsid w:val="007F6E73"/>
    <w:rPr>
      <w:sz w:val="18"/>
      <w:szCs w:val="22"/>
    </w:rPr>
  </w:style>
  <w:style w:type="character" w:styleId="CommentReference">
    <w:name w:val="annotation reference"/>
    <w:uiPriority w:val="99"/>
    <w:semiHidden/>
    <w:rsid w:val="00E20138"/>
    <w:rPr>
      <w:sz w:val="16"/>
      <w:szCs w:val="16"/>
    </w:rPr>
  </w:style>
  <w:style w:type="character" w:styleId="FollowedHyperlink">
    <w:name w:val="FollowedHyperlink"/>
    <w:uiPriority w:val="99"/>
    <w:semiHidden/>
    <w:rsid w:val="00E20138"/>
    <w:rPr>
      <w:color w:val="800080"/>
      <w:u w:val="none"/>
    </w:rPr>
  </w:style>
  <w:style w:type="paragraph" w:styleId="NormalWeb">
    <w:name w:val="Normal (Web)"/>
    <w:basedOn w:val="Normal"/>
    <w:semiHidden/>
    <w:rsid w:val="00E20138"/>
    <w:pPr>
      <w:widowControl w:val="0"/>
      <w:adjustRightInd w:val="0"/>
      <w:spacing w:before="100" w:beforeAutospacing="1" w:after="100" w:afterAutospacing="1"/>
      <w:textAlignment w:val="baseline"/>
    </w:pPr>
    <w:rPr>
      <w:rFonts w:ascii="Times New Roman" w:hAnsi="Times New Roman"/>
      <w:szCs w:val="24"/>
      <w:lang w:val="en-GB" w:eastAsia="en-GB"/>
    </w:rPr>
  </w:style>
  <w:style w:type="table" w:styleId="Table3Deffects3">
    <w:name w:val="Table 3D effects 3"/>
    <w:basedOn w:val="TableNormal"/>
    <w:rsid w:val="00E20138"/>
    <w:rPr>
      <w:rFonts w:ascii="Times New Roman" w:hAnsi="Times New Roman"/>
      <w:i/>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customStyle="1" w:styleId="FootnoteCharacters">
    <w:name w:val="Footnote Characters"/>
    <w:semiHidden/>
    <w:rsid w:val="00E20138"/>
    <w:rPr>
      <w:vertAlign w:val="superscript"/>
    </w:rPr>
  </w:style>
  <w:style w:type="character" w:customStyle="1" w:styleId="EndnoteCharacters">
    <w:name w:val="Endnote Characters"/>
    <w:semiHidden/>
    <w:rsid w:val="00E20138"/>
    <w:rPr>
      <w:vertAlign w:val="superscript"/>
    </w:rPr>
  </w:style>
  <w:style w:type="paragraph" w:styleId="List">
    <w:name w:val="List"/>
    <w:basedOn w:val="BodyText"/>
    <w:semiHidden/>
    <w:rsid w:val="00E20138"/>
    <w:pPr>
      <w:suppressAutoHyphens/>
    </w:pPr>
    <w:rPr>
      <w:lang w:eastAsia="ar-SA"/>
    </w:rPr>
  </w:style>
  <w:style w:type="paragraph" w:customStyle="1" w:styleId="Index">
    <w:name w:val="Index"/>
    <w:basedOn w:val="Normal"/>
    <w:semiHidden/>
    <w:rsid w:val="00E20138"/>
    <w:pPr>
      <w:suppressLineNumbers/>
      <w:suppressAutoHyphens/>
      <w:spacing w:after="120"/>
    </w:pPr>
    <w:rPr>
      <w:rFonts w:ascii="Times New Roman" w:hAnsi="Times New Roman"/>
      <w:lang w:eastAsia="ar-SA"/>
    </w:rPr>
  </w:style>
  <w:style w:type="paragraph" w:styleId="TOC4">
    <w:name w:val="toc 4"/>
    <w:basedOn w:val="Normal"/>
    <w:next w:val="Normal"/>
    <w:uiPriority w:val="39"/>
    <w:rsid w:val="00E20138"/>
    <w:pPr>
      <w:tabs>
        <w:tab w:val="right" w:leader="dot" w:pos="7938"/>
      </w:tabs>
      <w:suppressAutoHyphens/>
      <w:spacing w:before="60" w:after="60"/>
      <w:ind w:left="1701"/>
    </w:pPr>
    <w:rPr>
      <w:rFonts w:ascii="Arial" w:hAnsi="Arial"/>
      <w:sz w:val="18"/>
      <w:lang w:eastAsia="ar-SA"/>
    </w:rPr>
  </w:style>
  <w:style w:type="paragraph" w:styleId="TOC5">
    <w:name w:val="toc 5"/>
    <w:basedOn w:val="Normal"/>
    <w:next w:val="Normal"/>
    <w:uiPriority w:val="39"/>
    <w:rsid w:val="00E20138"/>
    <w:pPr>
      <w:tabs>
        <w:tab w:val="left" w:pos="2268"/>
        <w:tab w:val="right" w:leader="dot" w:pos="7938"/>
      </w:tabs>
      <w:suppressAutoHyphens/>
      <w:spacing w:before="60" w:after="60"/>
      <w:ind w:left="2268"/>
    </w:pPr>
    <w:rPr>
      <w:rFonts w:ascii="Arial" w:hAnsi="Arial"/>
      <w:sz w:val="18"/>
      <w:lang w:eastAsia="ar-SA"/>
    </w:rPr>
  </w:style>
  <w:style w:type="paragraph" w:styleId="TOC6">
    <w:name w:val="toc 6"/>
    <w:basedOn w:val="Normal"/>
    <w:next w:val="Normal"/>
    <w:uiPriority w:val="39"/>
    <w:rsid w:val="00E20138"/>
    <w:pPr>
      <w:tabs>
        <w:tab w:val="left" w:pos="2552"/>
        <w:tab w:val="right" w:leader="dot" w:pos="7938"/>
      </w:tabs>
      <w:suppressAutoHyphens/>
      <w:spacing w:before="60" w:after="60"/>
      <w:ind w:left="2835"/>
    </w:pPr>
    <w:rPr>
      <w:rFonts w:ascii="Arial" w:hAnsi="Arial"/>
      <w:sz w:val="18"/>
      <w:lang w:eastAsia="ar-SA"/>
    </w:rPr>
  </w:style>
  <w:style w:type="paragraph" w:styleId="TOC7">
    <w:name w:val="toc 7"/>
    <w:basedOn w:val="Normal"/>
    <w:next w:val="Normal"/>
    <w:uiPriority w:val="39"/>
    <w:rsid w:val="00E20138"/>
    <w:pPr>
      <w:suppressAutoHyphens/>
      <w:spacing w:after="100" w:line="276" w:lineRule="auto"/>
      <w:ind w:left="1320"/>
    </w:pPr>
    <w:rPr>
      <w:lang w:eastAsia="ar-SA"/>
    </w:rPr>
  </w:style>
  <w:style w:type="paragraph" w:styleId="TOC8">
    <w:name w:val="toc 8"/>
    <w:basedOn w:val="Normal"/>
    <w:next w:val="Normal"/>
    <w:uiPriority w:val="39"/>
    <w:rsid w:val="00E20138"/>
    <w:pPr>
      <w:suppressAutoHyphens/>
      <w:spacing w:after="100" w:line="276" w:lineRule="auto"/>
      <w:ind w:left="1540"/>
    </w:pPr>
    <w:rPr>
      <w:lang w:eastAsia="ar-SA"/>
    </w:rPr>
  </w:style>
  <w:style w:type="paragraph" w:styleId="TOC9">
    <w:name w:val="toc 9"/>
    <w:basedOn w:val="Normal"/>
    <w:next w:val="Normal"/>
    <w:uiPriority w:val="39"/>
    <w:rsid w:val="00E20138"/>
    <w:pPr>
      <w:suppressAutoHyphens/>
      <w:spacing w:after="100" w:line="276" w:lineRule="auto"/>
      <w:ind w:left="1760"/>
    </w:pPr>
    <w:rPr>
      <w:lang w:eastAsia="ar-SA"/>
    </w:rPr>
  </w:style>
  <w:style w:type="paragraph" w:customStyle="1" w:styleId="Glossary">
    <w:name w:val="Glossary"/>
    <w:basedOn w:val="Normal"/>
    <w:semiHidden/>
    <w:rsid w:val="00E20138"/>
    <w:pPr>
      <w:tabs>
        <w:tab w:val="left" w:pos="2835"/>
      </w:tabs>
      <w:suppressAutoHyphens/>
      <w:spacing w:after="120"/>
      <w:ind w:left="2835" w:hanging="2835"/>
    </w:pPr>
    <w:rPr>
      <w:rFonts w:ascii="Times New Roman" w:hAnsi="Times New Roman"/>
      <w:lang w:eastAsia="ar-SA"/>
    </w:rPr>
  </w:style>
  <w:style w:type="paragraph" w:styleId="Bibliography">
    <w:name w:val="Bibliography"/>
    <w:basedOn w:val="Normal"/>
    <w:next w:val="Normal"/>
    <w:uiPriority w:val="37"/>
    <w:semiHidden/>
    <w:rsid w:val="00E20138"/>
    <w:pPr>
      <w:widowControl w:val="0"/>
      <w:adjustRightInd w:val="0"/>
      <w:spacing w:after="120"/>
      <w:textAlignment w:val="baseline"/>
    </w:pPr>
    <w:rPr>
      <w:rFonts w:ascii="Times New Roman" w:hAnsi="Times New Roman"/>
      <w:lang w:eastAsia="en-US"/>
    </w:rPr>
  </w:style>
  <w:style w:type="paragraph" w:styleId="DocumentMap">
    <w:name w:val="Document Map"/>
    <w:aliases w:val=" Char1,Char1"/>
    <w:basedOn w:val="Normal"/>
    <w:link w:val="DocumentMapChar"/>
    <w:semiHidden/>
    <w:rsid w:val="00E20138"/>
    <w:pPr>
      <w:widowControl w:val="0"/>
      <w:adjustRightInd w:val="0"/>
      <w:spacing w:after="120"/>
      <w:textAlignment w:val="baseline"/>
    </w:pPr>
    <w:rPr>
      <w:rFonts w:ascii="Tahoma" w:hAnsi="Tahoma" w:cs="Tahoma"/>
      <w:sz w:val="16"/>
      <w:szCs w:val="16"/>
      <w:lang w:eastAsia="en-US"/>
    </w:rPr>
  </w:style>
  <w:style w:type="character" w:customStyle="1" w:styleId="DocumentMapChar">
    <w:name w:val="Document Map Char"/>
    <w:aliases w:val=" Char1 Char,Char1 Char"/>
    <w:link w:val="DocumentMap"/>
    <w:semiHidden/>
    <w:rsid w:val="00E20138"/>
    <w:rPr>
      <w:rFonts w:ascii="Tahoma" w:hAnsi="Tahoma" w:cs="Tahoma"/>
      <w:sz w:val="16"/>
      <w:szCs w:val="16"/>
      <w:lang w:eastAsia="en-US"/>
    </w:rPr>
  </w:style>
  <w:style w:type="paragraph" w:styleId="NormalIndent">
    <w:name w:val="Normal Indent"/>
    <w:basedOn w:val="Normal"/>
    <w:uiPriority w:val="99"/>
    <w:semiHidden/>
    <w:rsid w:val="00E20138"/>
    <w:pPr>
      <w:spacing w:after="120"/>
      <w:ind w:left="567" w:right="567"/>
    </w:pPr>
    <w:rPr>
      <w:rFonts w:ascii="Times New Roman" w:hAnsi="Times New Roman"/>
      <w:lang w:eastAsia="en-US"/>
    </w:rPr>
  </w:style>
  <w:style w:type="character" w:styleId="Strong">
    <w:name w:val="Strong"/>
    <w:uiPriority w:val="22"/>
    <w:semiHidden/>
    <w:qFormat/>
    <w:rsid w:val="00E20138"/>
    <w:rPr>
      <w:b/>
      <w:bCs/>
    </w:rPr>
  </w:style>
  <w:style w:type="paragraph" w:styleId="Quote">
    <w:name w:val="Quote"/>
    <w:basedOn w:val="Normal"/>
    <w:next w:val="Normal"/>
    <w:link w:val="QuoteChar"/>
    <w:uiPriority w:val="29"/>
    <w:semiHidden/>
    <w:qFormat/>
    <w:rsid w:val="00E20138"/>
    <w:pPr>
      <w:spacing w:after="120" w:line="260" w:lineRule="atLeast"/>
      <w:ind w:left="567" w:right="567"/>
    </w:pPr>
    <w:rPr>
      <w:iCs/>
      <w:color w:val="000000"/>
      <w:sz w:val="20"/>
      <w:lang w:eastAsia="en-US"/>
    </w:rPr>
  </w:style>
  <w:style w:type="character" w:customStyle="1" w:styleId="QuoteChar">
    <w:name w:val="Quote Char"/>
    <w:link w:val="Quote"/>
    <w:uiPriority w:val="29"/>
    <w:semiHidden/>
    <w:rsid w:val="00213500"/>
    <w:rPr>
      <w:iCs/>
      <w:color w:val="000000"/>
      <w:szCs w:val="22"/>
      <w:lang w:eastAsia="en-US"/>
    </w:rPr>
  </w:style>
  <w:style w:type="character" w:styleId="BookTitle">
    <w:name w:val="Book Title"/>
    <w:uiPriority w:val="33"/>
    <w:semiHidden/>
    <w:qFormat/>
    <w:rsid w:val="00E20138"/>
    <w:rPr>
      <w:b/>
      <w:bCs/>
      <w:smallCaps/>
      <w:spacing w:val="5"/>
    </w:rPr>
  </w:style>
  <w:style w:type="table" w:styleId="LightList-Accent1">
    <w:name w:val="Light List Accent 1"/>
    <w:basedOn w:val="TableNormal"/>
    <w:uiPriority w:val="61"/>
    <w:rsid w:val="00E20138"/>
    <w:pPr>
      <w:jc w:val="right"/>
    </w:pPr>
    <w:rPr>
      <w:rFonts w:ascii="Arial" w:hAnsi="Arial"/>
      <w:szCs w:val="22"/>
      <w:lang w:eastAsia="en-US"/>
    </w:rPr>
    <w:tblPr>
      <w:tblStyleRowBandSize w:val="1"/>
      <w:tblStyleColBandSize w:val="1"/>
      <w:tblBorders>
        <w:top w:val="single" w:sz="8" w:space="0" w:color="1F497D"/>
        <w:bottom w:val="single" w:sz="8" w:space="0" w:color="1F497D"/>
        <w:insideH w:val="single" w:sz="8" w:space="0" w:color="1F497D"/>
      </w:tblBorders>
    </w:tblPr>
    <w:tcPr>
      <w:vAlign w:val="center"/>
    </w:tc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MediumShading1-Accent1">
    <w:name w:val="Medium Shading 1 Accent 1"/>
    <w:basedOn w:val="TableProfessional"/>
    <w:uiPriority w:val="63"/>
    <w:rsid w:val="00E20138"/>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none" w:sz="0" w:space="0" w:color="auto"/>
      </w:tblBorders>
    </w:tblPr>
    <w:tcPr>
      <w:shd w:val="clear" w:color="auto" w:fill="auto"/>
    </w:tc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l2br w:val="none" w:sz="0" w:space="0" w:color="auto"/>
          <w:tr2bl w:val="none" w:sz="0" w:space="0" w:color="auto"/>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TableProfessional">
    <w:name w:val="Table Professional"/>
    <w:basedOn w:val="TableNormal"/>
    <w:uiPriority w:val="99"/>
    <w:semiHidden/>
    <w:unhideWhenUsed/>
    <w:rsid w:val="00E20138"/>
    <w:pPr>
      <w:spacing w:after="120"/>
      <w:jc w:val="both"/>
    </w:pPr>
    <w:rPr>
      <w:rFonts w:ascii="Arial" w:hAnsi="Arial"/>
      <w:sz w:val="22"/>
      <w:szCs w:val="22"/>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character" w:styleId="PlaceholderText">
    <w:name w:val="Placeholder Text"/>
    <w:uiPriority w:val="99"/>
    <w:semiHidden/>
    <w:rsid w:val="00E20138"/>
    <w:rPr>
      <w:color w:val="808080"/>
    </w:rPr>
  </w:style>
  <w:style w:type="table" w:customStyle="1" w:styleId="LightList-Accent11">
    <w:name w:val="Light List - Accent 11"/>
    <w:basedOn w:val="TableNormal"/>
    <w:next w:val="LightList-Accent1"/>
    <w:uiPriority w:val="61"/>
    <w:rsid w:val="00E20138"/>
    <w:rPr>
      <w:rFonts w:eastAsia="Arial"/>
      <w:sz w:val="16"/>
      <w:szCs w:val="22"/>
      <w:lang w:eastAsia="en-US"/>
    </w:rPr>
    <w:tblPr>
      <w:tblStyleRowBandSize w:val="1"/>
      <w:tblStyleColBandSize w:val="1"/>
      <w:tblBorders>
        <w:top w:val="single" w:sz="8" w:space="0" w:color="365F91"/>
        <w:left w:val="single" w:sz="8" w:space="0" w:color="365F91"/>
        <w:bottom w:val="single" w:sz="8" w:space="0" w:color="365F91"/>
        <w:right w:val="single" w:sz="8" w:space="0" w:color="365F91"/>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character" w:styleId="IntenseEmphasis">
    <w:name w:val="Intense Emphasis"/>
    <w:uiPriority w:val="21"/>
    <w:semiHidden/>
    <w:qFormat/>
    <w:rsid w:val="00E20138"/>
    <w:rPr>
      <w:b w:val="0"/>
      <w:bCs/>
      <w:i w:val="0"/>
      <w:iCs/>
      <w:color w:val="4F81BD"/>
    </w:rPr>
  </w:style>
  <w:style w:type="paragraph" w:customStyle="1" w:styleId="Tableboldblue">
    <w:name w:val="Table bold blue"/>
    <w:basedOn w:val="Normal"/>
    <w:qFormat/>
    <w:rsid w:val="00E20138"/>
    <w:pPr>
      <w:spacing w:before="60" w:after="60"/>
    </w:pPr>
    <w:rPr>
      <w:b/>
      <w:color w:val="365F91"/>
      <w:sz w:val="16"/>
      <w:lang w:eastAsia="en-US"/>
    </w:rPr>
  </w:style>
  <w:style w:type="character" w:customStyle="1" w:styleId="BodyText3Char">
    <w:name w:val="Body Text 3 Char"/>
    <w:link w:val="BodyText3"/>
    <w:uiPriority w:val="99"/>
    <w:semiHidden/>
    <w:rsid w:val="00E20138"/>
    <w:rPr>
      <w:rFonts w:eastAsia="MS Mincho"/>
      <w:sz w:val="16"/>
      <w:szCs w:val="16"/>
      <w:lang w:eastAsia="ja-JP"/>
    </w:rPr>
  </w:style>
  <w:style w:type="paragraph" w:styleId="BodyText3">
    <w:name w:val="Body Text 3"/>
    <w:basedOn w:val="Normal"/>
    <w:link w:val="BodyText3Char"/>
    <w:uiPriority w:val="99"/>
    <w:semiHidden/>
    <w:rsid w:val="00E20138"/>
    <w:pPr>
      <w:spacing w:after="120"/>
    </w:pPr>
    <w:rPr>
      <w:rFonts w:eastAsia="MS Mincho"/>
      <w:sz w:val="16"/>
      <w:szCs w:val="16"/>
      <w:lang w:eastAsia="ja-JP"/>
    </w:rPr>
  </w:style>
  <w:style w:type="character" w:customStyle="1" w:styleId="BodyText3Char1">
    <w:name w:val="Body Text 3 Char1"/>
    <w:uiPriority w:val="99"/>
    <w:semiHidden/>
    <w:rsid w:val="00E20138"/>
    <w:rPr>
      <w:sz w:val="16"/>
      <w:szCs w:val="16"/>
    </w:rPr>
  </w:style>
  <w:style w:type="character" w:customStyle="1" w:styleId="BodyTextFirstIndentChar">
    <w:name w:val="Body Text First Indent Char"/>
    <w:link w:val="BodyTextFirstIndent"/>
    <w:uiPriority w:val="99"/>
    <w:semiHidden/>
    <w:rsid w:val="00E20138"/>
    <w:rPr>
      <w:rFonts w:eastAsia="MS Mincho"/>
      <w:lang w:eastAsia="ja-JP"/>
    </w:rPr>
  </w:style>
  <w:style w:type="paragraph" w:styleId="BodyTextFirstIndent">
    <w:name w:val="Body Text First Indent"/>
    <w:basedOn w:val="BodyText"/>
    <w:link w:val="BodyTextFirstIndentChar"/>
    <w:uiPriority w:val="99"/>
    <w:semiHidden/>
    <w:rsid w:val="00E20138"/>
    <w:pPr>
      <w:ind w:firstLine="360"/>
    </w:pPr>
    <w:rPr>
      <w:rFonts w:eastAsia="MS Mincho"/>
      <w:sz w:val="20"/>
      <w:szCs w:val="20"/>
      <w:lang w:eastAsia="ja-JP"/>
    </w:rPr>
  </w:style>
  <w:style w:type="character" w:customStyle="1" w:styleId="BodyTextChar">
    <w:name w:val="Body Text Char"/>
    <w:link w:val="BodyText"/>
    <w:rsid w:val="00E20138"/>
    <w:rPr>
      <w:sz w:val="22"/>
      <w:szCs w:val="22"/>
    </w:rPr>
  </w:style>
  <w:style w:type="character" w:customStyle="1" w:styleId="BodyTextFirstIndentChar1">
    <w:name w:val="Body Text First Indent Char1"/>
    <w:uiPriority w:val="99"/>
    <w:semiHidden/>
    <w:rsid w:val="00E20138"/>
    <w:rPr>
      <w:sz w:val="22"/>
      <w:szCs w:val="22"/>
    </w:rPr>
  </w:style>
  <w:style w:type="character" w:customStyle="1" w:styleId="BodyTextIndentChar">
    <w:name w:val="Body Text Indent Char"/>
    <w:link w:val="BodyTextIndent"/>
    <w:uiPriority w:val="99"/>
    <w:semiHidden/>
    <w:rsid w:val="00E20138"/>
    <w:rPr>
      <w:rFonts w:eastAsia="MS Mincho"/>
      <w:lang w:eastAsia="ja-JP"/>
    </w:rPr>
  </w:style>
  <w:style w:type="paragraph" w:styleId="BodyTextIndent">
    <w:name w:val="Body Text Indent"/>
    <w:basedOn w:val="Normal"/>
    <w:link w:val="BodyTextIndentChar"/>
    <w:uiPriority w:val="99"/>
    <w:semiHidden/>
    <w:rsid w:val="00E20138"/>
    <w:pPr>
      <w:spacing w:after="120"/>
      <w:ind w:left="283"/>
    </w:pPr>
    <w:rPr>
      <w:rFonts w:eastAsia="MS Mincho"/>
      <w:sz w:val="20"/>
      <w:szCs w:val="20"/>
      <w:lang w:eastAsia="ja-JP"/>
    </w:rPr>
  </w:style>
  <w:style w:type="character" w:customStyle="1" w:styleId="BodyTextIndentChar1">
    <w:name w:val="Body Text Indent Char1"/>
    <w:uiPriority w:val="99"/>
    <w:semiHidden/>
    <w:rsid w:val="00E20138"/>
    <w:rPr>
      <w:sz w:val="22"/>
      <w:szCs w:val="22"/>
    </w:rPr>
  </w:style>
  <w:style w:type="character" w:customStyle="1" w:styleId="BodyTextFirstIndent2Char">
    <w:name w:val="Body Text First Indent 2 Char"/>
    <w:link w:val="BodyTextFirstIndent2"/>
    <w:uiPriority w:val="99"/>
    <w:semiHidden/>
    <w:rsid w:val="00E20138"/>
    <w:rPr>
      <w:rFonts w:eastAsia="MS Mincho"/>
      <w:lang w:eastAsia="ja-JP"/>
    </w:rPr>
  </w:style>
  <w:style w:type="paragraph" w:styleId="BodyTextFirstIndent2">
    <w:name w:val="Body Text First Indent 2"/>
    <w:basedOn w:val="BodyTextIndent"/>
    <w:link w:val="BodyTextFirstIndent2Char"/>
    <w:uiPriority w:val="99"/>
    <w:semiHidden/>
    <w:rsid w:val="00E20138"/>
    <w:pPr>
      <w:spacing w:after="0"/>
      <w:ind w:left="360" w:firstLine="360"/>
    </w:pPr>
  </w:style>
  <w:style w:type="character" w:customStyle="1" w:styleId="BodyTextFirstIndent2Char1">
    <w:name w:val="Body Text First Indent 2 Char1"/>
    <w:uiPriority w:val="99"/>
    <w:semiHidden/>
    <w:rsid w:val="00E20138"/>
    <w:rPr>
      <w:sz w:val="22"/>
      <w:szCs w:val="22"/>
    </w:rPr>
  </w:style>
  <w:style w:type="character" w:customStyle="1" w:styleId="BodyTextIndent2Char">
    <w:name w:val="Body Text Indent 2 Char"/>
    <w:link w:val="BodyTextIndent2"/>
    <w:uiPriority w:val="99"/>
    <w:semiHidden/>
    <w:rsid w:val="00E20138"/>
    <w:rPr>
      <w:rFonts w:eastAsia="MS Mincho"/>
      <w:lang w:eastAsia="ja-JP"/>
    </w:rPr>
  </w:style>
  <w:style w:type="paragraph" w:styleId="BodyTextIndent2">
    <w:name w:val="Body Text Indent 2"/>
    <w:basedOn w:val="Normal"/>
    <w:link w:val="BodyTextIndent2Char"/>
    <w:uiPriority w:val="99"/>
    <w:semiHidden/>
    <w:rsid w:val="00E20138"/>
    <w:pPr>
      <w:spacing w:after="120" w:line="480" w:lineRule="auto"/>
      <w:ind w:left="283"/>
    </w:pPr>
    <w:rPr>
      <w:rFonts w:eastAsia="MS Mincho"/>
      <w:sz w:val="20"/>
      <w:szCs w:val="20"/>
      <w:lang w:eastAsia="ja-JP"/>
    </w:rPr>
  </w:style>
  <w:style w:type="character" w:customStyle="1" w:styleId="BodyTextIndent2Char1">
    <w:name w:val="Body Text Indent 2 Char1"/>
    <w:uiPriority w:val="99"/>
    <w:semiHidden/>
    <w:rsid w:val="00E20138"/>
    <w:rPr>
      <w:sz w:val="22"/>
      <w:szCs w:val="22"/>
    </w:rPr>
  </w:style>
  <w:style w:type="character" w:customStyle="1" w:styleId="BodyTextIndent3Char">
    <w:name w:val="Body Text Indent 3 Char"/>
    <w:link w:val="BodyTextIndent3"/>
    <w:uiPriority w:val="99"/>
    <w:semiHidden/>
    <w:rsid w:val="00E20138"/>
    <w:rPr>
      <w:rFonts w:eastAsia="MS Mincho"/>
      <w:sz w:val="16"/>
      <w:szCs w:val="16"/>
      <w:lang w:eastAsia="ja-JP"/>
    </w:rPr>
  </w:style>
  <w:style w:type="paragraph" w:styleId="BodyTextIndent3">
    <w:name w:val="Body Text Indent 3"/>
    <w:basedOn w:val="Normal"/>
    <w:link w:val="BodyTextIndent3Char"/>
    <w:uiPriority w:val="99"/>
    <w:semiHidden/>
    <w:rsid w:val="00E20138"/>
    <w:pPr>
      <w:spacing w:after="120"/>
      <w:ind w:left="283"/>
    </w:pPr>
    <w:rPr>
      <w:rFonts w:eastAsia="MS Mincho"/>
      <w:sz w:val="16"/>
      <w:szCs w:val="16"/>
      <w:lang w:eastAsia="ja-JP"/>
    </w:rPr>
  </w:style>
  <w:style w:type="character" w:customStyle="1" w:styleId="BodyTextIndent3Char1">
    <w:name w:val="Body Text Indent 3 Char1"/>
    <w:uiPriority w:val="99"/>
    <w:semiHidden/>
    <w:rsid w:val="00E20138"/>
    <w:rPr>
      <w:sz w:val="16"/>
      <w:szCs w:val="16"/>
    </w:rPr>
  </w:style>
  <w:style w:type="character" w:customStyle="1" w:styleId="ClosingChar">
    <w:name w:val="Closing Char"/>
    <w:link w:val="Closing"/>
    <w:uiPriority w:val="99"/>
    <w:semiHidden/>
    <w:rsid w:val="00E20138"/>
    <w:rPr>
      <w:rFonts w:eastAsia="MS Mincho"/>
      <w:lang w:eastAsia="ja-JP"/>
    </w:rPr>
  </w:style>
  <w:style w:type="paragraph" w:styleId="Closing">
    <w:name w:val="Closing"/>
    <w:basedOn w:val="Normal"/>
    <w:link w:val="ClosingChar"/>
    <w:uiPriority w:val="99"/>
    <w:semiHidden/>
    <w:rsid w:val="00E20138"/>
    <w:pPr>
      <w:ind w:left="4252"/>
    </w:pPr>
    <w:rPr>
      <w:rFonts w:eastAsia="MS Mincho"/>
      <w:sz w:val="20"/>
      <w:szCs w:val="20"/>
      <w:lang w:eastAsia="ja-JP"/>
    </w:rPr>
  </w:style>
  <w:style w:type="character" w:customStyle="1" w:styleId="ClosingChar1">
    <w:name w:val="Closing Char1"/>
    <w:uiPriority w:val="99"/>
    <w:semiHidden/>
    <w:rsid w:val="00E20138"/>
    <w:rPr>
      <w:sz w:val="22"/>
      <w:szCs w:val="22"/>
    </w:rPr>
  </w:style>
  <w:style w:type="character" w:customStyle="1" w:styleId="DateChar">
    <w:name w:val="Date Char"/>
    <w:link w:val="Date"/>
    <w:uiPriority w:val="99"/>
    <w:semiHidden/>
    <w:rsid w:val="00E20138"/>
    <w:rPr>
      <w:rFonts w:eastAsia="MS Mincho"/>
      <w:lang w:eastAsia="ja-JP"/>
    </w:rPr>
  </w:style>
  <w:style w:type="paragraph" w:styleId="Date">
    <w:name w:val="Date"/>
    <w:basedOn w:val="Normal"/>
    <w:next w:val="Normal"/>
    <w:link w:val="DateChar"/>
    <w:uiPriority w:val="99"/>
    <w:semiHidden/>
    <w:rsid w:val="00E20138"/>
    <w:rPr>
      <w:rFonts w:eastAsia="MS Mincho"/>
      <w:sz w:val="20"/>
      <w:szCs w:val="20"/>
      <w:lang w:eastAsia="ja-JP"/>
    </w:rPr>
  </w:style>
  <w:style w:type="character" w:customStyle="1" w:styleId="DateChar1">
    <w:name w:val="Date Char1"/>
    <w:uiPriority w:val="99"/>
    <w:semiHidden/>
    <w:rsid w:val="00E20138"/>
    <w:rPr>
      <w:sz w:val="22"/>
      <w:szCs w:val="22"/>
    </w:rPr>
  </w:style>
  <w:style w:type="character" w:customStyle="1" w:styleId="E-mailSignatureChar">
    <w:name w:val="E-mail Signature Char"/>
    <w:link w:val="E-mailSignature"/>
    <w:uiPriority w:val="99"/>
    <w:semiHidden/>
    <w:rsid w:val="00E20138"/>
    <w:rPr>
      <w:rFonts w:eastAsia="MS Mincho"/>
      <w:lang w:eastAsia="ja-JP"/>
    </w:rPr>
  </w:style>
  <w:style w:type="paragraph" w:styleId="E-mailSignature">
    <w:name w:val="E-mail Signature"/>
    <w:basedOn w:val="Normal"/>
    <w:link w:val="E-mailSignatureChar"/>
    <w:uiPriority w:val="99"/>
    <w:semiHidden/>
    <w:rsid w:val="00E20138"/>
    <w:rPr>
      <w:rFonts w:eastAsia="MS Mincho"/>
      <w:sz w:val="20"/>
      <w:szCs w:val="20"/>
      <w:lang w:eastAsia="ja-JP"/>
    </w:rPr>
  </w:style>
  <w:style w:type="character" w:customStyle="1" w:styleId="E-mailSignatureChar1">
    <w:name w:val="E-mail Signature Char1"/>
    <w:uiPriority w:val="99"/>
    <w:semiHidden/>
    <w:rsid w:val="00E20138"/>
    <w:rPr>
      <w:sz w:val="22"/>
      <w:szCs w:val="22"/>
    </w:rPr>
  </w:style>
  <w:style w:type="character" w:customStyle="1" w:styleId="HTMLAddressChar">
    <w:name w:val="HTML Address Char"/>
    <w:link w:val="HTMLAddress"/>
    <w:uiPriority w:val="99"/>
    <w:semiHidden/>
    <w:rsid w:val="00E20138"/>
    <w:rPr>
      <w:rFonts w:eastAsia="MS Mincho"/>
      <w:i/>
      <w:iCs/>
      <w:lang w:eastAsia="ja-JP"/>
    </w:rPr>
  </w:style>
  <w:style w:type="paragraph" w:styleId="HTMLAddress">
    <w:name w:val="HTML Address"/>
    <w:basedOn w:val="Normal"/>
    <w:link w:val="HTMLAddressChar"/>
    <w:uiPriority w:val="99"/>
    <w:semiHidden/>
    <w:rsid w:val="00E20138"/>
    <w:rPr>
      <w:rFonts w:eastAsia="MS Mincho"/>
      <w:i/>
      <w:iCs/>
      <w:sz w:val="20"/>
      <w:szCs w:val="20"/>
      <w:lang w:eastAsia="ja-JP"/>
    </w:rPr>
  </w:style>
  <w:style w:type="character" w:customStyle="1" w:styleId="HTMLAddressChar1">
    <w:name w:val="HTML Address Char1"/>
    <w:uiPriority w:val="99"/>
    <w:semiHidden/>
    <w:rsid w:val="00E20138"/>
    <w:rPr>
      <w:i/>
      <w:iCs/>
      <w:sz w:val="22"/>
      <w:szCs w:val="22"/>
    </w:rPr>
  </w:style>
  <w:style w:type="character" w:customStyle="1" w:styleId="HTMLPreformattedChar">
    <w:name w:val="HTML Preformatted Char"/>
    <w:link w:val="HTMLPreformatted"/>
    <w:uiPriority w:val="99"/>
    <w:semiHidden/>
    <w:rsid w:val="00E20138"/>
    <w:rPr>
      <w:rFonts w:ascii="Consolas" w:eastAsia="MS Mincho" w:hAnsi="Consolas"/>
      <w:lang w:eastAsia="ja-JP"/>
    </w:rPr>
  </w:style>
  <w:style w:type="paragraph" w:styleId="HTMLPreformatted">
    <w:name w:val="HTML Preformatted"/>
    <w:basedOn w:val="Normal"/>
    <w:link w:val="HTMLPreformattedChar"/>
    <w:uiPriority w:val="99"/>
    <w:semiHidden/>
    <w:rsid w:val="00E20138"/>
    <w:rPr>
      <w:rFonts w:ascii="Consolas" w:eastAsia="MS Mincho" w:hAnsi="Consolas"/>
      <w:sz w:val="20"/>
      <w:szCs w:val="20"/>
      <w:lang w:eastAsia="ja-JP"/>
    </w:rPr>
  </w:style>
  <w:style w:type="character" w:customStyle="1" w:styleId="HTMLPreformattedChar1">
    <w:name w:val="HTML Preformatted Char1"/>
    <w:uiPriority w:val="99"/>
    <w:semiHidden/>
    <w:rsid w:val="00E20138"/>
    <w:rPr>
      <w:rFonts w:ascii="Courier New" w:hAnsi="Courier New" w:cs="Courier New"/>
    </w:rPr>
  </w:style>
  <w:style w:type="character" w:customStyle="1" w:styleId="MacroTextChar">
    <w:name w:val="Macro Text Char"/>
    <w:link w:val="MacroText"/>
    <w:uiPriority w:val="99"/>
    <w:semiHidden/>
    <w:rsid w:val="00E20138"/>
    <w:rPr>
      <w:rFonts w:ascii="Consolas" w:hAnsi="Consolas"/>
    </w:rPr>
  </w:style>
  <w:style w:type="paragraph" w:styleId="MacroText">
    <w:name w:val="macro"/>
    <w:link w:val="MacroTextChar"/>
    <w:uiPriority w:val="99"/>
    <w:semiHidden/>
    <w:rsid w:val="00E20138"/>
    <w:pPr>
      <w:tabs>
        <w:tab w:val="left" w:pos="480"/>
        <w:tab w:val="left" w:pos="960"/>
        <w:tab w:val="left" w:pos="1440"/>
        <w:tab w:val="left" w:pos="1920"/>
        <w:tab w:val="left" w:pos="2400"/>
        <w:tab w:val="left" w:pos="2880"/>
        <w:tab w:val="left" w:pos="3360"/>
        <w:tab w:val="left" w:pos="3840"/>
        <w:tab w:val="left" w:pos="4320"/>
      </w:tabs>
      <w:jc w:val="both"/>
    </w:pPr>
    <w:rPr>
      <w:rFonts w:ascii="Consolas" w:hAnsi="Consolas"/>
    </w:rPr>
  </w:style>
  <w:style w:type="character" w:customStyle="1" w:styleId="MacroTextChar1">
    <w:name w:val="Macro Text Char1"/>
    <w:uiPriority w:val="99"/>
    <w:semiHidden/>
    <w:rsid w:val="00E20138"/>
    <w:rPr>
      <w:rFonts w:ascii="Courier New" w:hAnsi="Courier New" w:cs="Courier New"/>
    </w:rPr>
  </w:style>
  <w:style w:type="character" w:customStyle="1" w:styleId="MessageHeaderChar">
    <w:name w:val="Message Header Char"/>
    <w:link w:val="MessageHeader"/>
    <w:uiPriority w:val="99"/>
    <w:semiHidden/>
    <w:rsid w:val="00E20138"/>
    <w:rPr>
      <w:rFonts w:ascii="Arial" w:eastAsia="MS Mincho" w:hAnsi="Arial"/>
      <w:sz w:val="24"/>
      <w:szCs w:val="24"/>
      <w:shd w:val="pct20" w:color="auto" w:fill="auto"/>
      <w:lang w:eastAsia="ja-JP"/>
    </w:rPr>
  </w:style>
  <w:style w:type="paragraph" w:styleId="MessageHeader">
    <w:name w:val="Message Header"/>
    <w:basedOn w:val="Normal"/>
    <w:link w:val="MessageHeaderChar"/>
    <w:uiPriority w:val="99"/>
    <w:semiHidden/>
    <w:rsid w:val="00E20138"/>
    <w:pPr>
      <w:pBdr>
        <w:top w:val="single" w:sz="6" w:space="1" w:color="auto"/>
        <w:left w:val="single" w:sz="6" w:space="1" w:color="auto"/>
        <w:bottom w:val="single" w:sz="6" w:space="1" w:color="auto"/>
        <w:right w:val="single" w:sz="6" w:space="1" w:color="auto"/>
      </w:pBdr>
      <w:shd w:val="pct20" w:color="auto" w:fill="auto"/>
      <w:ind w:left="1134" w:hanging="1134"/>
    </w:pPr>
    <w:rPr>
      <w:rFonts w:ascii="Arial" w:eastAsia="MS Mincho" w:hAnsi="Arial"/>
      <w:sz w:val="24"/>
      <w:szCs w:val="24"/>
      <w:lang w:eastAsia="ja-JP"/>
    </w:rPr>
  </w:style>
  <w:style w:type="character" w:customStyle="1" w:styleId="MessageHeaderChar1">
    <w:name w:val="Message Header Char1"/>
    <w:uiPriority w:val="99"/>
    <w:semiHidden/>
    <w:rsid w:val="00E20138"/>
    <w:rPr>
      <w:rFonts w:ascii="Calibri Light" w:eastAsia="Times New Roman" w:hAnsi="Calibri Light" w:cs="Times New Roman"/>
      <w:sz w:val="24"/>
      <w:szCs w:val="24"/>
      <w:shd w:val="pct20" w:color="auto" w:fill="auto"/>
    </w:rPr>
  </w:style>
  <w:style w:type="character" w:customStyle="1" w:styleId="NoteHeadingChar">
    <w:name w:val="Note Heading Char"/>
    <w:link w:val="NoteHeading"/>
    <w:uiPriority w:val="99"/>
    <w:semiHidden/>
    <w:rsid w:val="00E20138"/>
    <w:rPr>
      <w:rFonts w:eastAsia="MS Mincho"/>
      <w:lang w:eastAsia="ja-JP"/>
    </w:rPr>
  </w:style>
  <w:style w:type="paragraph" w:styleId="NoteHeading">
    <w:name w:val="Note Heading"/>
    <w:basedOn w:val="Normal"/>
    <w:next w:val="Normal"/>
    <w:link w:val="NoteHeadingChar"/>
    <w:uiPriority w:val="99"/>
    <w:semiHidden/>
    <w:rsid w:val="00E20138"/>
    <w:rPr>
      <w:rFonts w:eastAsia="MS Mincho"/>
      <w:sz w:val="20"/>
      <w:szCs w:val="20"/>
      <w:lang w:eastAsia="ja-JP"/>
    </w:rPr>
  </w:style>
  <w:style w:type="character" w:customStyle="1" w:styleId="NoteHeadingChar1">
    <w:name w:val="Note Heading Char1"/>
    <w:uiPriority w:val="99"/>
    <w:semiHidden/>
    <w:rsid w:val="00E20138"/>
    <w:rPr>
      <w:sz w:val="22"/>
      <w:szCs w:val="22"/>
    </w:rPr>
  </w:style>
  <w:style w:type="character" w:customStyle="1" w:styleId="SalutationChar">
    <w:name w:val="Salutation Char"/>
    <w:link w:val="Salutation"/>
    <w:uiPriority w:val="99"/>
    <w:semiHidden/>
    <w:rsid w:val="00E20138"/>
    <w:rPr>
      <w:rFonts w:eastAsia="MS Mincho"/>
      <w:lang w:eastAsia="ja-JP"/>
    </w:rPr>
  </w:style>
  <w:style w:type="paragraph" w:styleId="Salutation">
    <w:name w:val="Salutation"/>
    <w:basedOn w:val="Normal"/>
    <w:next w:val="Normal"/>
    <w:link w:val="SalutationChar"/>
    <w:uiPriority w:val="99"/>
    <w:semiHidden/>
    <w:rsid w:val="00E20138"/>
    <w:rPr>
      <w:rFonts w:eastAsia="MS Mincho"/>
      <w:sz w:val="20"/>
      <w:szCs w:val="20"/>
      <w:lang w:eastAsia="ja-JP"/>
    </w:rPr>
  </w:style>
  <w:style w:type="character" w:customStyle="1" w:styleId="SalutationChar1">
    <w:name w:val="Salutation Char1"/>
    <w:uiPriority w:val="99"/>
    <w:semiHidden/>
    <w:rsid w:val="00E20138"/>
    <w:rPr>
      <w:sz w:val="22"/>
      <w:szCs w:val="22"/>
    </w:rPr>
  </w:style>
  <w:style w:type="character" w:customStyle="1" w:styleId="SignatureChar">
    <w:name w:val="Signature Char"/>
    <w:link w:val="Signature"/>
    <w:uiPriority w:val="99"/>
    <w:semiHidden/>
    <w:rsid w:val="00E20138"/>
    <w:rPr>
      <w:rFonts w:eastAsia="MS Mincho"/>
      <w:lang w:eastAsia="ja-JP"/>
    </w:rPr>
  </w:style>
  <w:style w:type="paragraph" w:styleId="Signature">
    <w:name w:val="Signature"/>
    <w:basedOn w:val="Normal"/>
    <w:link w:val="SignatureChar"/>
    <w:uiPriority w:val="99"/>
    <w:semiHidden/>
    <w:rsid w:val="00E20138"/>
    <w:pPr>
      <w:ind w:left="4252"/>
    </w:pPr>
    <w:rPr>
      <w:rFonts w:eastAsia="MS Mincho"/>
      <w:sz w:val="20"/>
      <w:szCs w:val="20"/>
      <w:lang w:eastAsia="ja-JP"/>
    </w:rPr>
  </w:style>
  <w:style w:type="character" w:customStyle="1" w:styleId="SignatureChar1">
    <w:name w:val="Signature Char1"/>
    <w:uiPriority w:val="99"/>
    <w:semiHidden/>
    <w:rsid w:val="00E20138"/>
    <w:rPr>
      <w:sz w:val="22"/>
      <w:szCs w:val="22"/>
    </w:rPr>
  </w:style>
  <w:style w:type="table" w:customStyle="1" w:styleId="TableGrid1">
    <w:name w:val="Table Grid1"/>
    <w:basedOn w:val="TableNormal"/>
    <w:next w:val="TableGrid"/>
    <w:uiPriority w:val="59"/>
    <w:rsid w:val="00E20138"/>
    <w:rPr>
      <w:rFonts w:eastAsia="Calibri"/>
      <w: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E20138"/>
    <w:rPr>
      <w:rFonts w:eastAsia="Calibri"/>
      <w: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lockText">
    <w:name w:val="Block Text"/>
    <w:basedOn w:val="Normal"/>
    <w:uiPriority w:val="99"/>
    <w:semiHidden/>
    <w:rsid w:val="00E20138"/>
    <w:pPr>
      <w:pBdr>
        <w:top w:val="single" w:sz="2" w:space="10" w:color="4F81BD" w:shadow="1"/>
        <w:left w:val="single" w:sz="2" w:space="10" w:color="4F81BD" w:shadow="1"/>
        <w:bottom w:val="single" w:sz="2" w:space="10" w:color="4F81BD" w:shadow="1"/>
        <w:right w:val="single" w:sz="2" w:space="10" w:color="4F81BD" w:shadow="1"/>
      </w:pBdr>
      <w:spacing w:before="60" w:after="180"/>
      <w:ind w:left="1152" w:right="1152"/>
    </w:pPr>
    <w:rPr>
      <w:rFonts w:ascii="Arial" w:hAnsi="Arial"/>
      <w:i/>
      <w:iCs/>
      <w:color w:val="4F81BD"/>
      <w:szCs w:val="20"/>
      <w:lang w:eastAsia="en-US"/>
    </w:rPr>
  </w:style>
  <w:style w:type="paragraph" w:styleId="EnvelopeAddress">
    <w:name w:val="envelope address"/>
    <w:basedOn w:val="Normal"/>
    <w:uiPriority w:val="99"/>
    <w:semiHidden/>
    <w:unhideWhenUsed/>
    <w:rsid w:val="00E20138"/>
    <w:pPr>
      <w:framePr w:w="7920" w:h="1980" w:hRule="exact" w:hSpace="180" w:wrap="auto" w:hAnchor="page" w:xAlign="center" w:yAlign="bottom"/>
      <w:spacing w:before="60" w:after="180"/>
      <w:ind w:left="2880"/>
    </w:pPr>
    <w:rPr>
      <w:rFonts w:ascii="Arial" w:hAnsi="Arial"/>
      <w:sz w:val="24"/>
      <w:szCs w:val="24"/>
      <w:lang w:eastAsia="en-US"/>
    </w:rPr>
  </w:style>
  <w:style w:type="paragraph" w:styleId="EnvelopeReturn">
    <w:name w:val="envelope return"/>
    <w:basedOn w:val="Normal"/>
    <w:uiPriority w:val="99"/>
    <w:semiHidden/>
    <w:unhideWhenUsed/>
    <w:rsid w:val="00E20138"/>
    <w:pPr>
      <w:spacing w:before="60" w:after="180"/>
    </w:pPr>
    <w:rPr>
      <w:rFonts w:ascii="Arial" w:hAnsi="Arial"/>
      <w:sz w:val="20"/>
      <w:szCs w:val="20"/>
      <w:lang w:eastAsia="en-US"/>
    </w:rPr>
  </w:style>
  <w:style w:type="paragraph" w:styleId="Index1">
    <w:name w:val="index 1"/>
    <w:basedOn w:val="Normal"/>
    <w:next w:val="Normal"/>
    <w:autoRedefine/>
    <w:uiPriority w:val="99"/>
    <w:semiHidden/>
    <w:unhideWhenUsed/>
    <w:rsid w:val="00E20138"/>
    <w:pPr>
      <w:spacing w:before="60" w:after="180"/>
      <w:ind w:left="220" w:hanging="220"/>
    </w:pPr>
    <w:rPr>
      <w:rFonts w:ascii="Times New Roman" w:hAnsi="Times New Roman"/>
      <w:szCs w:val="20"/>
      <w:lang w:eastAsia="en-US"/>
    </w:rPr>
  </w:style>
  <w:style w:type="paragraph" w:styleId="Index2">
    <w:name w:val="index 2"/>
    <w:basedOn w:val="Normal"/>
    <w:next w:val="Normal"/>
    <w:autoRedefine/>
    <w:uiPriority w:val="99"/>
    <w:semiHidden/>
    <w:unhideWhenUsed/>
    <w:rsid w:val="00E20138"/>
    <w:pPr>
      <w:spacing w:before="60" w:after="180"/>
      <w:ind w:left="440" w:hanging="220"/>
    </w:pPr>
    <w:rPr>
      <w:rFonts w:ascii="Times New Roman" w:hAnsi="Times New Roman"/>
      <w:szCs w:val="20"/>
      <w:lang w:eastAsia="en-US"/>
    </w:rPr>
  </w:style>
  <w:style w:type="paragraph" w:styleId="Index3">
    <w:name w:val="index 3"/>
    <w:basedOn w:val="Normal"/>
    <w:next w:val="Normal"/>
    <w:autoRedefine/>
    <w:uiPriority w:val="99"/>
    <w:semiHidden/>
    <w:unhideWhenUsed/>
    <w:rsid w:val="00E20138"/>
    <w:pPr>
      <w:spacing w:before="60" w:after="180"/>
      <w:ind w:left="660" w:hanging="220"/>
    </w:pPr>
    <w:rPr>
      <w:rFonts w:ascii="Times New Roman" w:hAnsi="Times New Roman"/>
      <w:szCs w:val="20"/>
      <w:lang w:eastAsia="en-US"/>
    </w:rPr>
  </w:style>
  <w:style w:type="paragraph" w:styleId="Index4">
    <w:name w:val="index 4"/>
    <w:basedOn w:val="Normal"/>
    <w:next w:val="Normal"/>
    <w:autoRedefine/>
    <w:uiPriority w:val="99"/>
    <w:semiHidden/>
    <w:unhideWhenUsed/>
    <w:rsid w:val="00E20138"/>
    <w:pPr>
      <w:spacing w:before="60" w:after="180"/>
      <w:ind w:left="880" w:hanging="220"/>
    </w:pPr>
    <w:rPr>
      <w:rFonts w:ascii="Times New Roman" w:hAnsi="Times New Roman"/>
      <w:szCs w:val="20"/>
      <w:lang w:eastAsia="en-US"/>
    </w:rPr>
  </w:style>
  <w:style w:type="paragraph" w:styleId="Index5">
    <w:name w:val="index 5"/>
    <w:basedOn w:val="Normal"/>
    <w:next w:val="Normal"/>
    <w:autoRedefine/>
    <w:uiPriority w:val="99"/>
    <w:semiHidden/>
    <w:unhideWhenUsed/>
    <w:rsid w:val="00E20138"/>
    <w:pPr>
      <w:spacing w:before="60" w:after="180"/>
      <w:ind w:left="1100" w:hanging="220"/>
    </w:pPr>
    <w:rPr>
      <w:rFonts w:ascii="Times New Roman" w:hAnsi="Times New Roman"/>
      <w:szCs w:val="20"/>
      <w:lang w:eastAsia="en-US"/>
    </w:rPr>
  </w:style>
  <w:style w:type="paragraph" w:styleId="Index6">
    <w:name w:val="index 6"/>
    <w:basedOn w:val="Normal"/>
    <w:next w:val="Normal"/>
    <w:autoRedefine/>
    <w:uiPriority w:val="99"/>
    <w:semiHidden/>
    <w:unhideWhenUsed/>
    <w:rsid w:val="00E20138"/>
    <w:pPr>
      <w:spacing w:before="60" w:after="180"/>
      <w:ind w:left="1320" w:hanging="220"/>
    </w:pPr>
    <w:rPr>
      <w:rFonts w:ascii="Times New Roman" w:hAnsi="Times New Roman"/>
      <w:szCs w:val="20"/>
      <w:lang w:eastAsia="en-US"/>
    </w:rPr>
  </w:style>
  <w:style w:type="paragraph" w:styleId="Index7">
    <w:name w:val="index 7"/>
    <w:basedOn w:val="Normal"/>
    <w:next w:val="Normal"/>
    <w:autoRedefine/>
    <w:uiPriority w:val="99"/>
    <w:semiHidden/>
    <w:unhideWhenUsed/>
    <w:rsid w:val="00E20138"/>
    <w:pPr>
      <w:spacing w:before="60" w:after="180"/>
      <w:ind w:left="1540" w:hanging="220"/>
    </w:pPr>
    <w:rPr>
      <w:rFonts w:ascii="Times New Roman" w:hAnsi="Times New Roman"/>
      <w:szCs w:val="20"/>
      <w:lang w:eastAsia="en-US"/>
    </w:rPr>
  </w:style>
  <w:style w:type="paragraph" w:styleId="Index8">
    <w:name w:val="index 8"/>
    <w:basedOn w:val="Normal"/>
    <w:next w:val="Normal"/>
    <w:autoRedefine/>
    <w:uiPriority w:val="99"/>
    <w:semiHidden/>
    <w:unhideWhenUsed/>
    <w:rsid w:val="00E20138"/>
    <w:pPr>
      <w:spacing w:before="60" w:after="180"/>
      <w:ind w:left="1760" w:hanging="220"/>
    </w:pPr>
    <w:rPr>
      <w:rFonts w:ascii="Times New Roman" w:hAnsi="Times New Roman"/>
      <w:szCs w:val="20"/>
      <w:lang w:eastAsia="en-US"/>
    </w:rPr>
  </w:style>
  <w:style w:type="paragraph" w:styleId="Index9">
    <w:name w:val="index 9"/>
    <w:basedOn w:val="Normal"/>
    <w:next w:val="Normal"/>
    <w:autoRedefine/>
    <w:uiPriority w:val="99"/>
    <w:semiHidden/>
    <w:unhideWhenUsed/>
    <w:rsid w:val="00E20138"/>
    <w:pPr>
      <w:spacing w:before="60" w:after="180"/>
      <w:ind w:left="1980" w:hanging="220"/>
    </w:pPr>
    <w:rPr>
      <w:rFonts w:ascii="Times New Roman" w:hAnsi="Times New Roman"/>
      <w:szCs w:val="20"/>
      <w:lang w:eastAsia="en-US"/>
    </w:rPr>
  </w:style>
  <w:style w:type="paragraph" w:styleId="IndexHeading">
    <w:name w:val="index heading"/>
    <w:basedOn w:val="Normal"/>
    <w:next w:val="Index1"/>
    <w:uiPriority w:val="99"/>
    <w:semiHidden/>
    <w:unhideWhenUsed/>
    <w:rsid w:val="00E20138"/>
    <w:pPr>
      <w:spacing w:before="60" w:after="180"/>
    </w:pPr>
    <w:rPr>
      <w:rFonts w:ascii="Arial" w:hAnsi="Arial"/>
      <w:b/>
      <w:bCs/>
      <w:szCs w:val="20"/>
      <w:lang w:eastAsia="en-US"/>
    </w:rPr>
  </w:style>
  <w:style w:type="paragraph" w:styleId="List2">
    <w:name w:val="List 2"/>
    <w:basedOn w:val="Normal"/>
    <w:uiPriority w:val="99"/>
    <w:semiHidden/>
    <w:unhideWhenUsed/>
    <w:rsid w:val="00E20138"/>
    <w:pPr>
      <w:spacing w:before="60" w:after="180"/>
      <w:ind w:left="566" w:hanging="283"/>
      <w:contextualSpacing/>
    </w:pPr>
    <w:rPr>
      <w:rFonts w:ascii="Times New Roman" w:hAnsi="Times New Roman"/>
      <w:szCs w:val="20"/>
      <w:lang w:eastAsia="en-US"/>
    </w:rPr>
  </w:style>
  <w:style w:type="paragraph" w:styleId="List3">
    <w:name w:val="List 3"/>
    <w:basedOn w:val="Normal"/>
    <w:uiPriority w:val="99"/>
    <w:semiHidden/>
    <w:unhideWhenUsed/>
    <w:rsid w:val="00E20138"/>
    <w:pPr>
      <w:spacing w:before="60" w:after="180"/>
      <w:ind w:left="849" w:hanging="283"/>
      <w:contextualSpacing/>
    </w:pPr>
    <w:rPr>
      <w:rFonts w:ascii="Times New Roman" w:hAnsi="Times New Roman"/>
      <w:szCs w:val="20"/>
      <w:lang w:eastAsia="en-US"/>
    </w:rPr>
  </w:style>
  <w:style w:type="paragraph" w:styleId="List4">
    <w:name w:val="List 4"/>
    <w:basedOn w:val="Normal"/>
    <w:uiPriority w:val="99"/>
    <w:semiHidden/>
    <w:unhideWhenUsed/>
    <w:rsid w:val="00E20138"/>
    <w:pPr>
      <w:spacing w:before="60" w:after="180"/>
      <w:ind w:left="1132" w:hanging="283"/>
      <w:contextualSpacing/>
    </w:pPr>
    <w:rPr>
      <w:rFonts w:ascii="Times New Roman" w:hAnsi="Times New Roman"/>
      <w:szCs w:val="20"/>
      <w:lang w:eastAsia="en-US"/>
    </w:rPr>
  </w:style>
  <w:style w:type="paragraph" w:styleId="List5">
    <w:name w:val="List 5"/>
    <w:basedOn w:val="Normal"/>
    <w:uiPriority w:val="99"/>
    <w:semiHidden/>
    <w:unhideWhenUsed/>
    <w:rsid w:val="00E20138"/>
    <w:pPr>
      <w:spacing w:before="60" w:after="180"/>
      <w:ind w:left="1415" w:hanging="283"/>
      <w:contextualSpacing/>
    </w:pPr>
    <w:rPr>
      <w:rFonts w:ascii="Times New Roman" w:hAnsi="Times New Roman"/>
      <w:szCs w:val="20"/>
      <w:lang w:eastAsia="en-US"/>
    </w:rPr>
  </w:style>
  <w:style w:type="paragraph" w:styleId="ListContinue">
    <w:name w:val="List Continue"/>
    <w:basedOn w:val="Normal"/>
    <w:uiPriority w:val="99"/>
    <w:semiHidden/>
    <w:unhideWhenUsed/>
    <w:rsid w:val="00E20138"/>
    <w:pPr>
      <w:spacing w:before="60" w:after="120"/>
      <w:ind w:left="283"/>
      <w:contextualSpacing/>
    </w:pPr>
    <w:rPr>
      <w:rFonts w:ascii="Times New Roman" w:hAnsi="Times New Roman"/>
      <w:szCs w:val="20"/>
      <w:lang w:eastAsia="en-US"/>
    </w:rPr>
  </w:style>
  <w:style w:type="paragraph" w:styleId="ListContinue2">
    <w:name w:val="List Continue 2"/>
    <w:basedOn w:val="Normal"/>
    <w:uiPriority w:val="99"/>
    <w:semiHidden/>
    <w:unhideWhenUsed/>
    <w:rsid w:val="00E20138"/>
    <w:pPr>
      <w:spacing w:before="60" w:after="120"/>
      <w:ind w:left="566"/>
      <w:contextualSpacing/>
    </w:pPr>
    <w:rPr>
      <w:rFonts w:ascii="Times New Roman" w:hAnsi="Times New Roman"/>
      <w:szCs w:val="20"/>
      <w:lang w:eastAsia="en-US"/>
    </w:rPr>
  </w:style>
  <w:style w:type="paragraph" w:styleId="ListContinue3">
    <w:name w:val="List Continue 3"/>
    <w:basedOn w:val="Normal"/>
    <w:uiPriority w:val="99"/>
    <w:semiHidden/>
    <w:unhideWhenUsed/>
    <w:rsid w:val="00E20138"/>
    <w:pPr>
      <w:spacing w:before="60" w:after="120"/>
      <w:ind w:left="849"/>
      <w:contextualSpacing/>
    </w:pPr>
    <w:rPr>
      <w:rFonts w:ascii="Times New Roman" w:hAnsi="Times New Roman"/>
      <w:szCs w:val="20"/>
      <w:lang w:eastAsia="en-US"/>
    </w:rPr>
  </w:style>
  <w:style w:type="paragraph" w:styleId="ListContinue4">
    <w:name w:val="List Continue 4"/>
    <w:basedOn w:val="Normal"/>
    <w:uiPriority w:val="99"/>
    <w:semiHidden/>
    <w:unhideWhenUsed/>
    <w:rsid w:val="00E20138"/>
    <w:pPr>
      <w:spacing w:before="60" w:after="120"/>
      <w:ind w:left="1132"/>
      <w:contextualSpacing/>
    </w:pPr>
    <w:rPr>
      <w:rFonts w:ascii="Times New Roman" w:hAnsi="Times New Roman"/>
      <w:szCs w:val="20"/>
      <w:lang w:eastAsia="en-US"/>
    </w:rPr>
  </w:style>
  <w:style w:type="paragraph" w:styleId="ListContinue5">
    <w:name w:val="List Continue 5"/>
    <w:basedOn w:val="Normal"/>
    <w:uiPriority w:val="99"/>
    <w:semiHidden/>
    <w:unhideWhenUsed/>
    <w:rsid w:val="00E20138"/>
    <w:pPr>
      <w:spacing w:before="60" w:after="120"/>
      <w:ind w:left="1415"/>
      <w:contextualSpacing/>
    </w:pPr>
    <w:rPr>
      <w:rFonts w:ascii="Times New Roman" w:hAnsi="Times New Roman"/>
      <w:szCs w:val="20"/>
      <w:lang w:eastAsia="en-US"/>
    </w:rPr>
  </w:style>
  <w:style w:type="paragraph" w:styleId="ListNumber">
    <w:name w:val="List Number"/>
    <w:basedOn w:val="Normal"/>
    <w:uiPriority w:val="99"/>
    <w:semiHidden/>
    <w:unhideWhenUsed/>
    <w:rsid w:val="00E20138"/>
    <w:pPr>
      <w:tabs>
        <w:tab w:val="num" w:pos="360"/>
      </w:tabs>
      <w:spacing w:before="60" w:after="180"/>
      <w:ind w:left="360" w:hanging="360"/>
      <w:contextualSpacing/>
    </w:pPr>
    <w:rPr>
      <w:rFonts w:ascii="Times New Roman" w:hAnsi="Times New Roman"/>
      <w:szCs w:val="20"/>
      <w:lang w:eastAsia="en-US"/>
    </w:rPr>
  </w:style>
  <w:style w:type="paragraph" w:styleId="ListNumber2">
    <w:name w:val="List Number 2"/>
    <w:basedOn w:val="Normal"/>
    <w:uiPriority w:val="99"/>
    <w:semiHidden/>
    <w:unhideWhenUsed/>
    <w:rsid w:val="00E20138"/>
    <w:pPr>
      <w:tabs>
        <w:tab w:val="num" w:pos="643"/>
      </w:tabs>
      <w:spacing w:before="60" w:after="180"/>
      <w:ind w:left="643" w:hanging="360"/>
      <w:contextualSpacing/>
    </w:pPr>
    <w:rPr>
      <w:rFonts w:ascii="Times New Roman" w:hAnsi="Times New Roman"/>
      <w:szCs w:val="20"/>
      <w:lang w:eastAsia="en-US"/>
    </w:rPr>
  </w:style>
  <w:style w:type="paragraph" w:styleId="ListNumber3">
    <w:name w:val="List Number 3"/>
    <w:basedOn w:val="Normal"/>
    <w:uiPriority w:val="99"/>
    <w:semiHidden/>
    <w:unhideWhenUsed/>
    <w:rsid w:val="00E20138"/>
    <w:pPr>
      <w:tabs>
        <w:tab w:val="num" w:pos="926"/>
      </w:tabs>
      <w:spacing w:before="60" w:after="180"/>
      <w:ind w:left="926" w:hanging="360"/>
      <w:contextualSpacing/>
    </w:pPr>
    <w:rPr>
      <w:rFonts w:ascii="Times New Roman" w:hAnsi="Times New Roman"/>
      <w:szCs w:val="20"/>
      <w:lang w:eastAsia="en-US"/>
    </w:rPr>
  </w:style>
  <w:style w:type="paragraph" w:styleId="ListNumber4">
    <w:name w:val="List Number 4"/>
    <w:basedOn w:val="Normal"/>
    <w:uiPriority w:val="99"/>
    <w:semiHidden/>
    <w:unhideWhenUsed/>
    <w:rsid w:val="00E20138"/>
    <w:pPr>
      <w:numPr>
        <w:numId w:val="15"/>
      </w:numPr>
      <w:spacing w:before="60" w:after="180"/>
      <w:contextualSpacing/>
    </w:pPr>
    <w:rPr>
      <w:rFonts w:ascii="Times New Roman" w:hAnsi="Times New Roman"/>
      <w:szCs w:val="20"/>
      <w:lang w:eastAsia="en-US"/>
    </w:rPr>
  </w:style>
  <w:style w:type="paragraph" w:styleId="ListNumber5">
    <w:name w:val="List Number 5"/>
    <w:basedOn w:val="Normal"/>
    <w:uiPriority w:val="99"/>
    <w:semiHidden/>
    <w:unhideWhenUsed/>
    <w:rsid w:val="00E20138"/>
    <w:pPr>
      <w:numPr>
        <w:numId w:val="16"/>
      </w:numPr>
      <w:spacing w:before="60" w:after="180"/>
      <w:contextualSpacing/>
    </w:pPr>
    <w:rPr>
      <w:rFonts w:ascii="Times New Roman" w:hAnsi="Times New Roman"/>
      <w:szCs w:val="20"/>
      <w:lang w:eastAsia="en-US"/>
    </w:rPr>
  </w:style>
  <w:style w:type="paragraph" w:styleId="TableofAuthorities">
    <w:name w:val="table of authorities"/>
    <w:basedOn w:val="Normal"/>
    <w:next w:val="Normal"/>
    <w:uiPriority w:val="99"/>
    <w:semiHidden/>
    <w:unhideWhenUsed/>
    <w:rsid w:val="00E20138"/>
    <w:pPr>
      <w:spacing w:before="60" w:after="180"/>
      <w:ind w:left="220" w:hanging="220"/>
    </w:pPr>
    <w:rPr>
      <w:rFonts w:ascii="Times New Roman" w:hAnsi="Times New Roman"/>
      <w:szCs w:val="20"/>
      <w:lang w:eastAsia="en-US"/>
    </w:rPr>
  </w:style>
  <w:style w:type="paragraph" w:styleId="TOAHeading">
    <w:name w:val="toa heading"/>
    <w:basedOn w:val="Normal"/>
    <w:next w:val="Normal"/>
    <w:uiPriority w:val="99"/>
    <w:semiHidden/>
    <w:rsid w:val="00E20138"/>
    <w:pPr>
      <w:spacing w:before="120" w:after="180"/>
    </w:pPr>
    <w:rPr>
      <w:rFonts w:ascii="Arial" w:hAnsi="Arial"/>
      <w:b/>
      <w:bCs/>
      <w:sz w:val="24"/>
      <w:szCs w:val="24"/>
      <w:lang w:eastAsia="en-US"/>
    </w:rPr>
  </w:style>
  <w:style w:type="paragraph" w:customStyle="1" w:styleId="Headline">
    <w:name w:val="Headline"/>
    <w:basedOn w:val="Normal"/>
    <w:next w:val="Normal"/>
    <w:semiHidden/>
    <w:rsid w:val="00E20138"/>
    <w:pPr>
      <w:spacing w:before="60" w:after="180"/>
    </w:pPr>
    <w:rPr>
      <w:rFonts w:ascii="Times New Roman" w:hAnsi="Times New Roman"/>
      <w:b/>
      <w:sz w:val="48"/>
      <w:szCs w:val="20"/>
      <w:lang w:eastAsia="en-US"/>
    </w:rPr>
  </w:style>
  <w:style w:type="paragraph" w:customStyle="1" w:styleId="Bulletindent">
    <w:name w:val="Bullet indent"/>
    <w:basedOn w:val="Bullet"/>
    <w:next w:val="BodyText"/>
    <w:semiHidden/>
    <w:qFormat/>
    <w:rsid w:val="00E20138"/>
    <w:pPr>
      <w:numPr>
        <w:numId w:val="0"/>
      </w:numPr>
      <w:tabs>
        <w:tab w:val="left" w:pos="794"/>
      </w:tabs>
      <w:ind w:left="794" w:hanging="397"/>
    </w:pPr>
  </w:style>
  <w:style w:type="paragraph" w:customStyle="1" w:styleId="Acknowledgements">
    <w:name w:val="Acknowledgements"/>
    <w:basedOn w:val="Normal"/>
    <w:semiHidden/>
    <w:rsid w:val="00E20138"/>
    <w:pPr>
      <w:spacing w:before="60" w:after="60"/>
    </w:pPr>
    <w:rPr>
      <w:rFonts w:ascii="Times New Roman" w:hAnsi="Times New Roman"/>
      <w:szCs w:val="20"/>
      <w:lang w:eastAsia="en-US"/>
    </w:rPr>
  </w:style>
  <w:style w:type="paragraph" w:customStyle="1" w:styleId="Acknowledgementsbolditalics">
    <w:name w:val="Acknowledgements bold italics"/>
    <w:basedOn w:val="Normal"/>
    <w:semiHidden/>
    <w:rsid w:val="00E20138"/>
    <w:pPr>
      <w:spacing w:before="160"/>
    </w:pPr>
    <w:rPr>
      <w:rFonts w:ascii="Times New Roman" w:hAnsi="Times New Roman"/>
      <w:b/>
      <w:i/>
      <w:szCs w:val="20"/>
      <w:lang w:eastAsia="en-US"/>
    </w:rPr>
  </w:style>
  <w:style w:type="numbering" w:customStyle="1" w:styleId="NoList1">
    <w:name w:val="No List1"/>
    <w:next w:val="NoList"/>
    <w:uiPriority w:val="99"/>
    <w:semiHidden/>
    <w:unhideWhenUsed/>
    <w:rsid w:val="00E20138"/>
  </w:style>
  <w:style w:type="character" w:customStyle="1" w:styleId="PlainTextChar">
    <w:name w:val="Plain Text Char"/>
    <w:aliases w:val=" Char2 Char,Char2 Char"/>
    <w:link w:val="PlainText"/>
    <w:uiPriority w:val="99"/>
    <w:semiHidden/>
    <w:rsid w:val="00E20138"/>
    <w:rPr>
      <w:rFonts w:ascii="Verdana" w:hAnsi="Verdana"/>
      <w:szCs w:val="21"/>
    </w:rPr>
  </w:style>
  <w:style w:type="paragraph" w:styleId="PlainText">
    <w:name w:val="Plain Text"/>
    <w:aliases w:val=" Char2,Char2"/>
    <w:basedOn w:val="Normal"/>
    <w:link w:val="PlainTextChar"/>
    <w:uiPriority w:val="99"/>
    <w:semiHidden/>
    <w:rsid w:val="00E20138"/>
    <w:pPr>
      <w:spacing w:after="120"/>
    </w:pPr>
    <w:rPr>
      <w:rFonts w:ascii="Verdana" w:hAnsi="Verdana"/>
      <w:sz w:val="20"/>
      <w:szCs w:val="21"/>
    </w:rPr>
  </w:style>
  <w:style w:type="character" w:customStyle="1" w:styleId="PlainTextChar2">
    <w:name w:val="Plain Text Char2"/>
    <w:uiPriority w:val="99"/>
    <w:semiHidden/>
    <w:rsid w:val="00E20138"/>
    <w:rPr>
      <w:rFonts w:ascii="Courier New" w:hAnsi="Courier New" w:cs="Courier New"/>
    </w:rPr>
  </w:style>
  <w:style w:type="paragraph" w:customStyle="1" w:styleId="Bulletfirst">
    <w:name w:val="Bullet first"/>
    <w:basedOn w:val="Bullet"/>
    <w:semiHidden/>
    <w:qFormat/>
    <w:rsid w:val="00E20138"/>
    <w:pPr>
      <w:numPr>
        <w:numId w:val="0"/>
      </w:numPr>
      <w:ind w:left="851" w:hanging="284"/>
    </w:pPr>
  </w:style>
  <w:style w:type="paragraph" w:customStyle="1" w:styleId="Bulletlast">
    <w:name w:val="Bullet last"/>
    <w:basedOn w:val="Bullet"/>
    <w:semiHidden/>
    <w:qFormat/>
    <w:rsid w:val="00E20138"/>
    <w:pPr>
      <w:numPr>
        <w:numId w:val="0"/>
      </w:numPr>
      <w:ind w:left="397" w:hanging="397"/>
    </w:pPr>
  </w:style>
  <w:style w:type="paragraph" w:styleId="ListParagraph">
    <w:name w:val="List Paragraph"/>
    <w:basedOn w:val="Normal"/>
    <w:uiPriority w:val="34"/>
    <w:semiHidden/>
    <w:qFormat/>
    <w:rsid w:val="00E20138"/>
    <w:pPr>
      <w:spacing w:after="120"/>
      <w:ind w:left="720"/>
      <w:contextualSpacing/>
    </w:pPr>
    <w:rPr>
      <w:rFonts w:eastAsia="Malgun Gothic"/>
      <w:sz w:val="20"/>
      <w:lang w:eastAsia="en-US"/>
    </w:rPr>
  </w:style>
  <w:style w:type="character" w:styleId="EndnoteReference">
    <w:name w:val="endnote reference"/>
    <w:uiPriority w:val="99"/>
    <w:semiHidden/>
    <w:unhideWhenUsed/>
    <w:rsid w:val="00E20138"/>
    <w:rPr>
      <w:vertAlign w:val="superscript"/>
    </w:rPr>
  </w:style>
  <w:style w:type="table" w:styleId="ColorfulList-Accent6">
    <w:name w:val="Colorful List Accent 6"/>
    <w:basedOn w:val="TableNormal"/>
    <w:uiPriority w:val="72"/>
    <w:rsid w:val="00E20138"/>
    <w:rPr>
      <w:rFonts w:ascii="Arial" w:hAnsi="Arial"/>
      <w:color w:val="000000"/>
      <w:sz w:val="16"/>
    </w:rPr>
    <w:tblPr>
      <w:tblStyleRowBandSize w:val="1"/>
      <w:tblStyleColBandSize w:val="1"/>
    </w:tblPr>
    <w:tcPr>
      <w:shd w:val="clear" w:color="auto" w:fill="FFFFFF"/>
    </w:tcPr>
    <w:tblStylePr w:type="firstRow">
      <w:rPr>
        <w:b/>
        <w:bCs/>
        <w:color w:val="FFFFFF"/>
      </w:rPr>
      <w:tblPr/>
      <w:tcPr>
        <w:tcBorders>
          <w:bottom w:val="single" w:sz="12" w:space="0" w:color="FFFFFF"/>
        </w:tcBorders>
        <w:shd w:val="clear" w:color="auto" w:fill="3259A0"/>
      </w:tcPr>
    </w:tblStylePr>
    <w:tblStylePr w:type="lastRow">
      <w:rPr>
        <w:b/>
        <w:bCs/>
        <w:color w:val="3259A0"/>
      </w:rPr>
      <w:tblPr/>
      <w:tcPr>
        <w:tcBorders>
          <w:top w:val="single" w:sz="12" w:space="0" w:color="000000"/>
        </w:tcBorders>
        <w:shd w:val="clear" w:color="auto" w:fill="FFFFFF"/>
      </w:tcPr>
    </w:tblStylePr>
    <w:tblStylePr w:type="firstCol">
      <w:rPr>
        <w:rFonts w:ascii="Arial" w:hAnsi="Arial"/>
        <w:b w:val="0"/>
        <w:bCs/>
        <w:sz w:val="16"/>
      </w:rPr>
    </w:tblStylePr>
    <w:tblStylePr w:type="lastCol">
      <w:rPr>
        <w:rFonts w:ascii="Arial" w:hAnsi="Arial"/>
        <w:b w:val="0"/>
        <w:bCs/>
        <w:sz w:val="16"/>
      </w:rPr>
      <w:tblPr/>
      <w:tcPr>
        <w:tcBorders>
          <w:insideH w:val="nil"/>
        </w:tcBorders>
        <w:shd w:val="clear" w:color="auto" w:fill="FFFFFF"/>
      </w:tcPr>
    </w:tblStylePr>
    <w:tblStylePr w:type="band1Horz">
      <w:tblPr/>
      <w:tcPr>
        <w:shd w:val="clear" w:color="auto" w:fill="FFFFFF"/>
      </w:tcPr>
    </w:tblStylePr>
    <w:tblStylePr w:type="band2Horz">
      <w:tblPr/>
      <w:tcPr>
        <w:shd w:val="clear" w:color="auto" w:fill="FFFFFF"/>
      </w:tcPr>
    </w:tblStylePr>
  </w:style>
  <w:style w:type="table" w:styleId="LightList-Accent5">
    <w:name w:val="Light List Accent 5"/>
    <w:basedOn w:val="TableNormal"/>
    <w:uiPriority w:val="61"/>
    <w:rsid w:val="00E20138"/>
    <w:rPr>
      <w:rFonts w:ascii="Times New Roman" w:hAnsi="Times New Roman"/>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numbering" w:customStyle="1" w:styleId="NoList2">
    <w:name w:val="No List2"/>
    <w:next w:val="NoList"/>
    <w:uiPriority w:val="99"/>
    <w:semiHidden/>
    <w:unhideWhenUsed/>
    <w:rsid w:val="00E20138"/>
  </w:style>
  <w:style w:type="table" w:customStyle="1" w:styleId="TableGrid3">
    <w:name w:val="Table Grid3"/>
    <w:basedOn w:val="TableNormal"/>
    <w:next w:val="TableGrid"/>
    <w:uiPriority w:val="59"/>
    <w:rsid w:val="00E20138"/>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3Deffects31">
    <w:name w:val="Table 3D effects 31"/>
    <w:basedOn w:val="TableNormal"/>
    <w:next w:val="Table3Deffects3"/>
    <w:rsid w:val="00E20138"/>
    <w:rPr>
      <w:rFonts w:ascii="Times New Roman" w:hAnsi="Times New Roman"/>
      <w:i/>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LightList-Accent12">
    <w:name w:val="Light List - Accent 12"/>
    <w:basedOn w:val="TableNormal"/>
    <w:next w:val="LightList-Accent1"/>
    <w:uiPriority w:val="61"/>
    <w:rsid w:val="00E20138"/>
    <w:pPr>
      <w:jc w:val="right"/>
    </w:pPr>
    <w:rPr>
      <w:rFonts w:ascii="Arial" w:hAnsi="Arial"/>
      <w:szCs w:val="22"/>
      <w:lang w:eastAsia="en-US"/>
    </w:rPr>
    <w:tblPr>
      <w:tblStyleRowBandSize w:val="1"/>
      <w:tblStyleColBandSize w:val="1"/>
      <w:tblBorders>
        <w:top w:val="single" w:sz="8" w:space="0" w:color="1F497D"/>
        <w:bottom w:val="single" w:sz="8" w:space="0" w:color="1F497D"/>
        <w:insideH w:val="single" w:sz="8" w:space="0" w:color="1F497D"/>
      </w:tblBorders>
    </w:tblPr>
    <w:tcPr>
      <w:vAlign w:val="center"/>
    </w:tc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MediumShading1-Accent11">
    <w:name w:val="Medium Shading 1 - Accent 11"/>
    <w:basedOn w:val="TableProfessional"/>
    <w:next w:val="MediumShading1-Accent1"/>
    <w:uiPriority w:val="63"/>
    <w:rsid w:val="00E20138"/>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none" w:sz="0" w:space="0" w:color="auto"/>
      </w:tblBorders>
    </w:tblPr>
    <w:tcPr>
      <w:shd w:val="clear" w:color="auto" w:fill="auto"/>
    </w:tc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l2br w:val="none" w:sz="0" w:space="0" w:color="auto"/>
          <w:tr2bl w:val="none" w:sz="0" w:space="0" w:color="auto"/>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TableProfessional1">
    <w:name w:val="Table Professional1"/>
    <w:basedOn w:val="TableNormal"/>
    <w:next w:val="TableProfessional"/>
    <w:uiPriority w:val="99"/>
    <w:semiHidden/>
    <w:unhideWhenUsed/>
    <w:rsid w:val="00E20138"/>
    <w:pPr>
      <w:spacing w:after="120"/>
      <w:jc w:val="both"/>
    </w:pPr>
    <w:rPr>
      <w:rFonts w:ascii="Arial" w:hAnsi="Arial"/>
      <w:sz w:val="22"/>
      <w:szCs w:val="22"/>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LightList-Accent111">
    <w:name w:val="Light List - Accent 111"/>
    <w:basedOn w:val="TableNormal"/>
    <w:next w:val="LightList-Accent1"/>
    <w:uiPriority w:val="61"/>
    <w:rsid w:val="00E20138"/>
    <w:rPr>
      <w:rFonts w:eastAsia="Arial"/>
      <w:sz w:val="16"/>
      <w:szCs w:val="22"/>
      <w:lang w:eastAsia="en-US"/>
    </w:rPr>
    <w:tblPr>
      <w:tblStyleRowBandSize w:val="1"/>
      <w:tblStyleColBandSize w:val="1"/>
      <w:tblBorders>
        <w:top w:val="single" w:sz="8" w:space="0" w:color="365F91"/>
        <w:left w:val="single" w:sz="8" w:space="0" w:color="365F91"/>
        <w:bottom w:val="single" w:sz="8" w:space="0" w:color="365F91"/>
        <w:right w:val="single" w:sz="8" w:space="0" w:color="365F91"/>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11">
    <w:name w:val="Table Grid11"/>
    <w:basedOn w:val="TableNormal"/>
    <w:next w:val="TableGrid"/>
    <w:uiPriority w:val="59"/>
    <w:rsid w:val="00E20138"/>
    <w:rPr>
      <w:rFonts w:eastAsia="Calibri"/>
      <w: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E20138"/>
    <w:rPr>
      <w:rFonts w:eastAsia="Calibri"/>
      <w: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
    <w:name w:val="No List11"/>
    <w:next w:val="NoList"/>
    <w:uiPriority w:val="99"/>
    <w:semiHidden/>
    <w:unhideWhenUsed/>
    <w:rsid w:val="00E20138"/>
  </w:style>
  <w:style w:type="paragraph" w:customStyle="1" w:styleId="BoxSubbullet">
    <w:name w:val="Box Subbullet"/>
    <w:basedOn w:val="BoxBullet"/>
    <w:uiPriority w:val="2"/>
    <w:semiHidden/>
    <w:qFormat/>
    <w:rsid w:val="00E20138"/>
    <w:pPr>
      <w:numPr>
        <w:numId w:val="0"/>
      </w:numPr>
      <w:tabs>
        <w:tab w:val="left" w:pos="680"/>
      </w:tabs>
      <w:ind w:left="1135" w:hanging="851"/>
    </w:pPr>
  </w:style>
  <w:style w:type="paragraph" w:customStyle="1" w:styleId="Keypointshead">
    <w:name w:val="Key points head"/>
    <w:basedOn w:val="BoxHeading"/>
    <w:semiHidden/>
    <w:qFormat/>
    <w:rsid w:val="00D30983"/>
    <w:pPr>
      <w:pBdr>
        <w:top w:val="none" w:sz="0" w:space="0" w:color="auto"/>
        <w:left w:val="none" w:sz="0" w:space="0" w:color="auto"/>
        <w:bottom w:val="none" w:sz="0" w:space="0" w:color="auto"/>
        <w:right w:val="none" w:sz="0" w:space="0" w:color="auto"/>
      </w:pBdr>
    </w:pPr>
    <w:rPr>
      <w:sz w:val="19"/>
      <w:szCs w:val="19"/>
    </w:rPr>
  </w:style>
  <w:style w:type="character" w:customStyle="1" w:styleId="BulletChar">
    <w:name w:val="Bullet Char"/>
    <w:link w:val="Bullet"/>
    <w:locked/>
    <w:rsid w:val="00313010"/>
    <w:rPr>
      <w:sz w:val="22"/>
      <w:szCs w:val="22"/>
    </w:rPr>
  </w:style>
  <w:style w:type="paragraph" w:customStyle="1" w:styleId="Keypointsbullet">
    <w:name w:val="Key points bullet"/>
    <w:basedOn w:val="BoxBullet"/>
    <w:semiHidden/>
    <w:qFormat/>
    <w:rsid w:val="0031069B"/>
    <w:pPr>
      <w:numPr>
        <w:numId w:val="19"/>
      </w:numPr>
      <w:pBdr>
        <w:top w:val="none" w:sz="0" w:space="0" w:color="auto"/>
        <w:left w:val="none" w:sz="0" w:space="0" w:color="auto"/>
        <w:bottom w:val="none" w:sz="0" w:space="0" w:color="auto"/>
        <w:right w:val="none" w:sz="0" w:space="0" w:color="auto"/>
      </w:pBdr>
      <w:tabs>
        <w:tab w:val="clear" w:pos="0"/>
        <w:tab w:val="clear" w:pos="567"/>
      </w:tabs>
      <w:spacing w:before="100"/>
      <w:ind w:left="397" w:hanging="397"/>
    </w:pPr>
    <w:rPr>
      <w:sz w:val="18"/>
      <w:szCs w:val="18"/>
    </w:rPr>
  </w:style>
  <w:style w:type="paragraph" w:customStyle="1" w:styleId="Keypointsub-bullet">
    <w:name w:val="Key point sub-bullet"/>
    <w:basedOn w:val="BoxSubbullet"/>
    <w:semiHidden/>
    <w:qFormat/>
    <w:rsid w:val="0031069B"/>
    <w:pPr>
      <w:numPr>
        <w:numId w:val="17"/>
      </w:numPr>
      <w:pBdr>
        <w:top w:val="none" w:sz="0" w:space="0" w:color="auto"/>
        <w:left w:val="none" w:sz="0" w:space="0" w:color="auto"/>
        <w:bottom w:val="none" w:sz="0" w:space="0" w:color="auto"/>
        <w:right w:val="none" w:sz="0" w:space="0" w:color="auto"/>
      </w:pBdr>
      <w:tabs>
        <w:tab w:val="clear" w:pos="567"/>
        <w:tab w:val="clear" w:pos="680"/>
      </w:tabs>
      <w:ind w:left="794" w:hanging="397"/>
    </w:pPr>
    <w:rPr>
      <w:sz w:val="18"/>
      <w:szCs w:val="18"/>
    </w:rPr>
  </w:style>
  <w:style w:type="paragraph" w:customStyle="1" w:styleId="Keypointstext">
    <w:name w:val="Key points text"/>
    <w:basedOn w:val="Keypointshead"/>
    <w:semiHidden/>
    <w:qFormat/>
    <w:rsid w:val="00D30983"/>
    <w:pPr>
      <w:spacing w:before="120" w:after="120"/>
    </w:pPr>
    <w:rPr>
      <w:b w:val="0"/>
    </w:rPr>
  </w:style>
  <w:style w:type="paragraph" w:customStyle="1" w:styleId="Boxa">
    <w:name w:val="Box a"/>
    <w:aliases w:val="b list"/>
    <w:basedOn w:val="Normal"/>
    <w:semiHidden/>
    <w:qFormat/>
    <w:rsid w:val="00D30983"/>
    <w:pPr>
      <w:numPr>
        <w:ilvl w:val="1"/>
        <w:numId w:val="18"/>
      </w:numPr>
      <w:pBdr>
        <w:top w:val="single" w:sz="6" w:space="15" w:color="0092CF"/>
        <w:left w:val="single" w:sz="6" w:space="15" w:color="0092CF"/>
        <w:bottom w:val="single" w:sz="6" w:space="15" w:color="0092CF"/>
        <w:right w:val="single" w:sz="6" w:space="15" w:color="0092CF"/>
      </w:pBdr>
      <w:tabs>
        <w:tab w:val="left" w:pos="426"/>
      </w:tabs>
      <w:spacing w:before="120" w:line="280" w:lineRule="atLeast"/>
      <w:ind w:right="284"/>
    </w:pPr>
    <w:rPr>
      <w:color w:val="0092CF"/>
      <w:sz w:val="20"/>
      <w:szCs w:val="20"/>
    </w:rPr>
  </w:style>
  <w:style w:type="table" w:styleId="LightShading-Accent1">
    <w:name w:val="Light Shading Accent 1"/>
    <w:basedOn w:val="TableNormal"/>
    <w:uiPriority w:val="60"/>
    <w:rsid w:val="00D30983"/>
    <w:pPr>
      <w:jc w:val="both"/>
    </w:pPr>
    <w:rPr>
      <w:rFonts w:eastAsia="Calibri"/>
      <w:color w:val="365F91"/>
      <w:sz w:val="22"/>
      <w:szCs w:val="22"/>
      <w:lang w:eastAsia="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ListTable3-Accent1">
    <w:name w:val="List Table 3 Accent 1"/>
    <w:basedOn w:val="TableNormal"/>
    <w:uiPriority w:val="48"/>
    <w:rsid w:val="00D30983"/>
    <w:pPr>
      <w:spacing w:before="120"/>
      <w:jc w:val="both"/>
    </w:pPr>
    <w:rPr>
      <w:rFonts w:eastAsia="Calibri"/>
      <w:sz w:val="22"/>
      <w:szCs w:val="22"/>
      <w:lang w:eastAsia="en-US"/>
    </w:rPr>
    <w:tblPr>
      <w:tblStyleRowBandSize w:val="1"/>
      <w:tblStyleColBandSize w:val="1"/>
      <w:tblBorders>
        <w:top w:val="single" w:sz="4" w:space="0" w:color="4F81BD"/>
        <w:left w:val="single" w:sz="4" w:space="0" w:color="4F81BD"/>
        <w:bottom w:val="single" w:sz="4" w:space="0" w:color="4F81BD"/>
        <w:right w:val="single" w:sz="4" w:space="0" w:color="4F81BD"/>
      </w:tblBorders>
    </w:tblPr>
    <w:tblStylePr w:type="firstRow">
      <w:rPr>
        <w:b/>
        <w:bCs/>
        <w:color w:val="FFFFFF"/>
      </w:rPr>
      <w:tblPr/>
      <w:tcPr>
        <w:shd w:val="clear" w:color="auto" w:fill="4F81BD"/>
      </w:tcPr>
    </w:tblStylePr>
    <w:tblStylePr w:type="lastRow">
      <w:rPr>
        <w:b/>
        <w:bCs/>
      </w:rPr>
      <w:tblPr/>
      <w:tcPr>
        <w:tcBorders>
          <w:top w:val="double" w:sz="4" w:space="0" w:color="4F81B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F81BD"/>
          <w:right w:val="single" w:sz="4" w:space="0" w:color="4F81BD"/>
        </w:tcBorders>
      </w:tcPr>
    </w:tblStylePr>
    <w:tblStylePr w:type="band1Horz">
      <w:tblPr/>
      <w:tcPr>
        <w:tcBorders>
          <w:top w:val="single" w:sz="4" w:space="0" w:color="4F81BD"/>
          <w:bottom w:val="single" w:sz="4" w:space="0" w:color="4F81B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left w:val="nil"/>
        </w:tcBorders>
      </w:tcPr>
    </w:tblStylePr>
    <w:tblStylePr w:type="swCell">
      <w:tblPr/>
      <w:tcPr>
        <w:tcBorders>
          <w:top w:val="double" w:sz="4" w:space="0" w:color="4F81BD"/>
          <w:right w:val="nil"/>
        </w:tcBorders>
      </w:tcPr>
    </w:tblStylePr>
  </w:style>
  <w:style w:type="paragraph" w:customStyle="1" w:styleId="TableText2">
    <w:name w:val="TableText 2"/>
    <w:basedOn w:val="TableText"/>
    <w:semiHidden/>
    <w:qFormat/>
    <w:rsid w:val="00643D10"/>
    <w:pPr>
      <w:spacing w:line="240" w:lineRule="atLeast"/>
      <w:ind w:left="737"/>
    </w:pPr>
  </w:style>
  <w:style w:type="paragraph" w:customStyle="1" w:styleId="TableText1">
    <w:name w:val="TableText 1"/>
    <w:basedOn w:val="TableText"/>
    <w:semiHidden/>
    <w:qFormat/>
    <w:rsid w:val="00643D10"/>
    <w:pPr>
      <w:spacing w:line="240" w:lineRule="atLeast"/>
      <w:ind w:left="397"/>
    </w:pPr>
  </w:style>
  <w:style w:type="table" w:customStyle="1" w:styleId="ListTable3-Accent11">
    <w:name w:val="List Table 3 - Accent 11"/>
    <w:basedOn w:val="TableNormal"/>
    <w:uiPriority w:val="48"/>
    <w:rsid w:val="000B0092"/>
    <w:pPr>
      <w:spacing w:before="120"/>
      <w:jc w:val="both"/>
    </w:pPr>
    <w:rPr>
      <w:rFonts w:eastAsia="Calibri"/>
      <w:sz w:val="22"/>
      <w:szCs w:val="22"/>
      <w:lang w:eastAsia="en-US"/>
    </w:rPr>
    <w:tblPr>
      <w:tblStyleRowBandSize w:val="1"/>
      <w:tblStyleColBandSize w:val="1"/>
      <w:tblBorders>
        <w:top w:val="single" w:sz="4" w:space="0" w:color="4F81BD"/>
        <w:left w:val="single" w:sz="4" w:space="0" w:color="4F81BD"/>
        <w:bottom w:val="single" w:sz="4" w:space="0" w:color="4F81BD"/>
        <w:right w:val="single" w:sz="4" w:space="0" w:color="4F81BD"/>
      </w:tblBorders>
    </w:tblPr>
    <w:tblStylePr w:type="firstRow">
      <w:rPr>
        <w:b/>
        <w:bCs/>
        <w:color w:val="FFFFFF"/>
      </w:rPr>
      <w:tblPr/>
      <w:tcPr>
        <w:shd w:val="clear" w:color="auto" w:fill="4F81BD"/>
      </w:tcPr>
    </w:tblStylePr>
    <w:tblStylePr w:type="lastRow">
      <w:rPr>
        <w:b/>
        <w:bCs/>
      </w:rPr>
      <w:tblPr/>
      <w:tcPr>
        <w:tcBorders>
          <w:top w:val="double" w:sz="4" w:space="0" w:color="4F81B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F81BD"/>
          <w:right w:val="single" w:sz="4" w:space="0" w:color="4F81BD"/>
        </w:tcBorders>
      </w:tcPr>
    </w:tblStylePr>
    <w:tblStylePr w:type="band1Horz">
      <w:tblPr/>
      <w:tcPr>
        <w:tcBorders>
          <w:top w:val="single" w:sz="4" w:space="0" w:color="4F81BD"/>
          <w:bottom w:val="single" w:sz="4" w:space="0" w:color="4F81B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left w:val="nil"/>
        </w:tcBorders>
      </w:tcPr>
    </w:tblStylePr>
    <w:tblStylePr w:type="swCell">
      <w:tblPr/>
      <w:tcPr>
        <w:tcBorders>
          <w:top w:val="double" w:sz="4" w:space="0" w:color="4F81BD"/>
          <w:right w:val="nil"/>
        </w:tcBorders>
      </w:tcPr>
    </w:tblStylePr>
  </w:style>
  <w:style w:type="paragraph" w:customStyle="1" w:styleId="Sub-bulletdash">
    <w:name w:val="Sub-bullet dash"/>
    <w:basedOn w:val="Normal"/>
    <w:uiPriority w:val="6"/>
    <w:qFormat/>
    <w:rsid w:val="00EE10BF"/>
    <w:pPr>
      <w:tabs>
        <w:tab w:val="num" w:pos="397"/>
        <w:tab w:val="left" w:pos="794"/>
      </w:tabs>
      <w:spacing w:after="120" w:line="280" w:lineRule="atLeast"/>
      <w:ind w:left="397"/>
    </w:pPr>
    <w:rPr>
      <w:rFonts w:eastAsiaTheme="minorEastAsia" w:cstheme="minorBid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240672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www.mpi.govt.nz/news-and-resources/statistics-and-forecasting/greenhouse-gas-reporting" TargetMode="External"/><Relationship Id="rId299" Type="http://schemas.openxmlformats.org/officeDocument/2006/relationships/fontTable" Target="fontTable.xml"/><Relationship Id="rId21" Type="http://schemas.openxmlformats.org/officeDocument/2006/relationships/image" Target="media/image3.png"/><Relationship Id="rId63" Type="http://schemas.openxmlformats.org/officeDocument/2006/relationships/image" Target="media/image22.emf"/><Relationship Id="rId159" Type="http://schemas.openxmlformats.org/officeDocument/2006/relationships/package" Target="embeddings/Microsoft_Word_Document13.docx"/><Relationship Id="rId170" Type="http://schemas.openxmlformats.org/officeDocument/2006/relationships/image" Target="media/image75.emf"/><Relationship Id="rId226" Type="http://schemas.openxmlformats.org/officeDocument/2006/relationships/chart" Target="charts/chart7.xml"/><Relationship Id="rId268" Type="http://schemas.openxmlformats.org/officeDocument/2006/relationships/image" Target="media/image113.png"/><Relationship Id="rId32" Type="http://schemas.openxmlformats.org/officeDocument/2006/relationships/image" Target="media/image10.png"/><Relationship Id="rId74" Type="http://schemas.openxmlformats.org/officeDocument/2006/relationships/image" Target="media/image31.emf"/><Relationship Id="rId128" Type="http://schemas.openxmlformats.org/officeDocument/2006/relationships/image" Target="media/image52.emf"/><Relationship Id="rId5" Type="http://schemas.openxmlformats.org/officeDocument/2006/relationships/webSettings" Target="webSettings.xml"/><Relationship Id="rId181" Type="http://schemas.openxmlformats.org/officeDocument/2006/relationships/package" Target="embeddings/Microsoft_Word_Document24.docx"/><Relationship Id="rId237" Type="http://schemas.openxmlformats.org/officeDocument/2006/relationships/footer" Target="footer22.xml"/><Relationship Id="rId279" Type="http://schemas.openxmlformats.org/officeDocument/2006/relationships/footer" Target="footer29.xml"/><Relationship Id="rId43" Type="http://schemas.openxmlformats.org/officeDocument/2006/relationships/footer" Target="footer13.xml"/><Relationship Id="rId139" Type="http://schemas.openxmlformats.org/officeDocument/2006/relationships/package" Target="embeddings/Microsoft_Word_Document5.docx"/><Relationship Id="rId290" Type="http://schemas.openxmlformats.org/officeDocument/2006/relationships/hyperlink" Target="https://ji.unfccc.int/JI_Parties/DB/E48QQ342M7VSOFWEI6MTBKVVF9NFAM/viewDFP" TargetMode="External"/><Relationship Id="rId85" Type="http://schemas.openxmlformats.org/officeDocument/2006/relationships/hyperlink" Target="https://d.docs.live.net/d82e1fd947f4c33e/Documents/Work/Environment%20-%20Ministry%20for/FORMATTING/Greenhouse%20gas%20inventories/Greenhouse%20gas%20inventory%202021/Formatting/https/:www.legislation.govt.nz/regulation/public/2008/0356/latest/DLM1635638.html" TargetMode="External"/><Relationship Id="rId150" Type="http://schemas.openxmlformats.org/officeDocument/2006/relationships/image" Target="media/image65.emf"/><Relationship Id="rId192" Type="http://schemas.openxmlformats.org/officeDocument/2006/relationships/hyperlink" Target="http://www.austrex.com/what-we-do/livestock/dairy/" TargetMode="External"/><Relationship Id="rId206" Type="http://schemas.openxmlformats.org/officeDocument/2006/relationships/footer" Target="footer21.xml"/><Relationship Id="rId248" Type="http://schemas.openxmlformats.org/officeDocument/2006/relationships/footer" Target="footer25.xml"/><Relationship Id="rId12" Type="http://schemas.openxmlformats.org/officeDocument/2006/relationships/footer" Target="footer3.xml"/><Relationship Id="rId108" Type="http://schemas.openxmlformats.org/officeDocument/2006/relationships/hyperlink" Target="https://tepuna.mfe.govt.nz/otcsdav/nodes/13324267/C__Users_Chirino-Valle_AppData_Roaming_OpenText_OTEdit_EC_tepuna_c13324267_C__Users_mcneillb_AppData_Roaming_OpenText_OTEdit_EC_tepuna_c13324267_mailto_T%40______________________" TargetMode="External"/><Relationship Id="rId54" Type="http://schemas.openxmlformats.org/officeDocument/2006/relationships/header" Target="header6.xml"/><Relationship Id="rId75" Type="http://schemas.openxmlformats.org/officeDocument/2006/relationships/oleObject" Target="embeddings/Microsoft_Visio_2003-2010_Drawing2.vsd"/><Relationship Id="rId96" Type="http://schemas.openxmlformats.org/officeDocument/2006/relationships/image" Target="media/image36.png"/><Relationship Id="rId140" Type="http://schemas.openxmlformats.org/officeDocument/2006/relationships/image" Target="media/image59.png"/><Relationship Id="rId161" Type="http://schemas.openxmlformats.org/officeDocument/2006/relationships/package" Target="embeddings/Microsoft_Word_Document14.docx"/><Relationship Id="rId182" Type="http://schemas.openxmlformats.org/officeDocument/2006/relationships/image" Target="media/image81.emf"/><Relationship Id="rId217" Type="http://schemas.openxmlformats.org/officeDocument/2006/relationships/image" Target="media/image95.jpeg"/><Relationship Id="rId6" Type="http://schemas.openxmlformats.org/officeDocument/2006/relationships/footnotes" Target="footnotes.xml"/><Relationship Id="rId238" Type="http://schemas.openxmlformats.org/officeDocument/2006/relationships/footer" Target="footer23.xml"/><Relationship Id="rId259" Type="http://schemas.openxmlformats.org/officeDocument/2006/relationships/chart" Target="charts/chart11.xml"/><Relationship Id="rId23" Type="http://schemas.openxmlformats.org/officeDocument/2006/relationships/image" Target="media/image5.png"/><Relationship Id="rId119" Type="http://schemas.openxmlformats.org/officeDocument/2006/relationships/image" Target="media/image47.png"/><Relationship Id="rId270" Type="http://schemas.openxmlformats.org/officeDocument/2006/relationships/image" Target="media/image115.png"/><Relationship Id="rId291" Type="http://schemas.openxmlformats.org/officeDocument/2006/relationships/footer" Target="footer36.xml"/><Relationship Id="rId44" Type="http://schemas.openxmlformats.org/officeDocument/2006/relationships/image" Target="media/image11.png"/><Relationship Id="rId65" Type="http://schemas.openxmlformats.org/officeDocument/2006/relationships/image" Target="media/image23.png"/><Relationship Id="rId86" Type="http://schemas.openxmlformats.org/officeDocument/2006/relationships/hyperlink" Target="http://www.legislation.govt.nz/regulation/public/2009/0285/latest/DLM2394207.html" TargetMode="External"/><Relationship Id="rId130" Type="http://schemas.openxmlformats.org/officeDocument/2006/relationships/image" Target="media/image53.png"/><Relationship Id="rId151" Type="http://schemas.openxmlformats.org/officeDocument/2006/relationships/package" Target="embeddings/Microsoft_Word_Document9.docx"/><Relationship Id="rId172" Type="http://schemas.openxmlformats.org/officeDocument/2006/relationships/image" Target="media/image76.emf"/><Relationship Id="rId193" Type="http://schemas.openxmlformats.org/officeDocument/2006/relationships/hyperlink" Target="https://www.legislation.govt.nz/act/public/2019/0061/latest/LMS183736.html" TargetMode="External"/><Relationship Id="rId207" Type="http://schemas.openxmlformats.org/officeDocument/2006/relationships/chart" Target="charts/chart2.xml"/><Relationship Id="rId228" Type="http://schemas.openxmlformats.org/officeDocument/2006/relationships/image" Target="media/image100.png"/><Relationship Id="rId249" Type="http://schemas.openxmlformats.org/officeDocument/2006/relationships/image" Target="media/image106.png"/><Relationship Id="rId13" Type="http://schemas.openxmlformats.org/officeDocument/2006/relationships/hyperlink" Target="http://www.environment.govt.nz" TargetMode="External"/><Relationship Id="rId109" Type="http://schemas.openxmlformats.org/officeDocument/2006/relationships/hyperlink" Target="https://tepuna.mfe.govt.nz/otcsdav/nodes/13324267/C__Users_Chirino-Valle_AppData_Roaming_OpenText_OTEdit_EC_tepuna_c13324267_C__Users_mcneillb_AppData_Roaming_OpenText_OTEdit_EC_tepuna_c13324267_mailto_T%40______________________" TargetMode="External"/><Relationship Id="rId260" Type="http://schemas.openxmlformats.org/officeDocument/2006/relationships/chart" Target="charts/chart12.xml"/><Relationship Id="rId281" Type="http://schemas.openxmlformats.org/officeDocument/2006/relationships/footer" Target="footer31.xml"/><Relationship Id="rId34" Type="http://schemas.openxmlformats.org/officeDocument/2006/relationships/hyperlink" Target="https://www.stats.govt.nz/assets/Uploads/Principles-and-protocols-for-producers-of-tier-1-stats/principles-and-protocols-for-producers-of-tier-1-stats.pdf" TargetMode="External"/><Relationship Id="rId55" Type="http://schemas.openxmlformats.org/officeDocument/2006/relationships/footer" Target="footer14.xml"/><Relationship Id="rId76" Type="http://schemas.openxmlformats.org/officeDocument/2006/relationships/hyperlink" Target="https://www.nzpam.govt.nz/maps-geoscience/nz-mine-plans/" TargetMode="External"/><Relationship Id="rId97" Type="http://schemas.openxmlformats.org/officeDocument/2006/relationships/image" Target="media/image37.emf"/><Relationship Id="rId120" Type="http://schemas.openxmlformats.org/officeDocument/2006/relationships/image" Target="media/image48.emf"/><Relationship Id="rId141" Type="http://schemas.openxmlformats.org/officeDocument/2006/relationships/hyperlink" Target="http://mpi.govt.nz/news-and-resources/statistics-and-forecasting/greenhouse-gas-reporting" TargetMode="External"/><Relationship Id="rId7" Type="http://schemas.openxmlformats.org/officeDocument/2006/relationships/endnotes" Target="endnotes.xml"/><Relationship Id="rId162" Type="http://schemas.openxmlformats.org/officeDocument/2006/relationships/image" Target="media/image71.emf"/><Relationship Id="rId183" Type="http://schemas.openxmlformats.org/officeDocument/2006/relationships/package" Target="embeddings/Microsoft_Word_Document25.docx"/><Relationship Id="rId218" Type="http://schemas.openxmlformats.org/officeDocument/2006/relationships/image" Target="media/image96.jpeg"/><Relationship Id="rId239" Type="http://schemas.openxmlformats.org/officeDocument/2006/relationships/image" Target="media/image102.png"/><Relationship Id="rId250" Type="http://schemas.openxmlformats.org/officeDocument/2006/relationships/image" Target="media/image107.png"/><Relationship Id="rId271" Type="http://schemas.openxmlformats.org/officeDocument/2006/relationships/image" Target="media/image116.png"/><Relationship Id="rId292" Type="http://schemas.openxmlformats.org/officeDocument/2006/relationships/hyperlink" Target="http://www.epa.govt.nz" TargetMode="External"/><Relationship Id="rId24" Type="http://schemas.openxmlformats.org/officeDocument/2006/relationships/image" Target="media/image6.png"/><Relationship Id="rId45" Type="http://schemas.openxmlformats.org/officeDocument/2006/relationships/image" Target="media/image12.png"/><Relationship Id="rId66" Type="http://schemas.openxmlformats.org/officeDocument/2006/relationships/image" Target="media/image24.png"/><Relationship Id="rId87" Type="http://schemas.openxmlformats.org/officeDocument/2006/relationships/hyperlink" Target="https://d.docs.live.net/d82e1fd947f4c33e/Documents/Work/Environment%20-%20Ministry%20for/FORMATTING/Greenhouse%20gas%20inventories/Greenhouse%20gas%20inventory%202021/Formatting/https/:www.legislation.govt.nz/regulation/public/2009/0286/latest/DLM2378401.html" TargetMode="External"/><Relationship Id="rId110" Type="http://schemas.openxmlformats.org/officeDocument/2006/relationships/hyperlink" Target="http://www.mpi.govt.nz/dmsdocument/13906-detailed-methodologies-for-agricultural-greenhouse-gas-emission-calculation" TargetMode="External"/><Relationship Id="rId131" Type="http://schemas.openxmlformats.org/officeDocument/2006/relationships/image" Target="media/image54.png"/><Relationship Id="rId152" Type="http://schemas.openxmlformats.org/officeDocument/2006/relationships/image" Target="media/image66.emf"/><Relationship Id="rId173" Type="http://schemas.openxmlformats.org/officeDocument/2006/relationships/package" Target="embeddings/Microsoft_Word_Document20.docx"/><Relationship Id="rId194" Type="http://schemas.openxmlformats.org/officeDocument/2006/relationships/hyperlink" Target="https://www.industry.gov.au/sites/default/files/2020-05/nga-national-inventory-report-2018-volume-1.pdf" TargetMode="External"/><Relationship Id="rId208" Type="http://schemas.openxmlformats.org/officeDocument/2006/relationships/chart" Target="charts/chart3.xml"/><Relationship Id="rId229" Type="http://schemas.openxmlformats.org/officeDocument/2006/relationships/image" Target="media/image101.png"/><Relationship Id="rId240" Type="http://schemas.openxmlformats.org/officeDocument/2006/relationships/image" Target="media/image103.png"/><Relationship Id="rId261" Type="http://schemas.openxmlformats.org/officeDocument/2006/relationships/image" Target="media/image111.png"/><Relationship Id="rId14" Type="http://schemas.openxmlformats.org/officeDocument/2006/relationships/footer" Target="footer4.xml"/><Relationship Id="rId35" Type="http://schemas.openxmlformats.org/officeDocument/2006/relationships/hyperlink" Target="http://www.emissionsregister.govt.nz" TargetMode="External"/><Relationship Id="rId56" Type="http://schemas.openxmlformats.org/officeDocument/2006/relationships/footer" Target="footer15.xml"/><Relationship Id="rId77" Type="http://schemas.openxmlformats.org/officeDocument/2006/relationships/image" Target="media/image32.emf"/><Relationship Id="rId100" Type="http://schemas.openxmlformats.org/officeDocument/2006/relationships/hyperlink" Target="http://www.legislation.govt.nz/regulation/public/2009/0285/latest/%20DLM2394207.html" TargetMode="External"/><Relationship Id="rId282" Type="http://schemas.openxmlformats.org/officeDocument/2006/relationships/footer" Target="footer32.xml"/><Relationship Id="rId8" Type="http://schemas.openxmlformats.org/officeDocument/2006/relationships/image" Target="media/image1.jpeg"/><Relationship Id="rId98" Type="http://schemas.openxmlformats.org/officeDocument/2006/relationships/package" Target="embeddings/Microsoft_Visio_Drawing.vsdx"/><Relationship Id="rId121" Type="http://schemas.openxmlformats.org/officeDocument/2006/relationships/package" Target="embeddings/Microsoft_Word_Document.docx"/><Relationship Id="rId142" Type="http://schemas.openxmlformats.org/officeDocument/2006/relationships/image" Target="media/image60.emf"/><Relationship Id="rId163" Type="http://schemas.openxmlformats.org/officeDocument/2006/relationships/package" Target="embeddings/Microsoft_Word_Document15.docx"/><Relationship Id="rId184" Type="http://schemas.openxmlformats.org/officeDocument/2006/relationships/image" Target="media/image82.emf"/><Relationship Id="rId219" Type="http://schemas.openxmlformats.org/officeDocument/2006/relationships/hyperlink" Target="https://soils.landcareresearch.co.nz/soil-data/national-soils-data-repository-and-the-national-soils-database/" TargetMode="External"/><Relationship Id="rId230" Type="http://schemas.openxmlformats.org/officeDocument/2006/relationships/chart" Target="charts/chart8.xml"/><Relationship Id="rId251" Type="http://schemas.openxmlformats.org/officeDocument/2006/relationships/image" Target="media/image108.png"/><Relationship Id="rId25" Type="http://schemas.openxmlformats.org/officeDocument/2006/relationships/image" Target="media/image7.png"/><Relationship Id="rId46" Type="http://schemas.openxmlformats.org/officeDocument/2006/relationships/image" Target="media/image13.png"/><Relationship Id="rId67" Type="http://schemas.openxmlformats.org/officeDocument/2006/relationships/image" Target="media/image25.png"/><Relationship Id="rId272" Type="http://schemas.openxmlformats.org/officeDocument/2006/relationships/image" Target="media/image117.png"/><Relationship Id="rId293" Type="http://schemas.openxmlformats.org/officeDocument/2006/relationships/footer" Target="footer37.xml"/><Relationship Id="rId88" Type="http://schemas.openxmlformats.org/officeDocument/2006/relationships/hyperlink" Target="http://www.med.govt.nz/sectors-industries/energy/energy-modelling/technical-papers/liquid-fuels-use-in-new-zealand" TargetMode="External"/><Relationship Id="rId111" Type="http://schemas.openxmlformats.org/officeDocument/2006/relationships/image" Target="media/image43.emf"/><Relationship Id="rId132" Type="http://schemas.openxmlformats.org/officeDocument/2006/relationships/image" Target="media/image55.emf"/><Relationship Id="rId153" Type="http://schemas.openxmlformats.org/officeDocument/2006/relationships/package" Target="embeddings/Microsoft_Word_Document10.docx"/><Relationship Id="rId174" Type="http://schemas.openxmlformats.org/officeDocument/2006/relationships/image" Target="media/image77.emf"/><Relationship Id="rId195" Type="http://schemas.openxmlformats.org/officeDocument/2006/relationships/hyperlink" Target="http://www.dcanz.com" TargetMode="External"/><Relationship Id="rId209" Type="http://schemas.openxmlformats.org/officeDocument/2006/relationships/image" Target="media/image87.jpeg"/><Relationship Id="rId220" Type="http://schemas.openxmlformats.org/officeDocument/2006/relationships/image" Target="media/image97.jpeg"/><Relationship Id="rId241" Type="http://schemas.openxmlformats.org/officeDocument/2006/relationships/image" Target="media/image104.png"/><Relationship Id="rId15" Type="http://schemas.openxmlformats.org/officeDocument/2006/relationships/footer" Target="footer5.xml"/><Relationship Id="rId36" Type="http://schemas.openxmlformats.org/officeDocument/2006/relationships/hyperlink" Target="http://www.legislation.govt.nz/act/public/2002/0040/latest/DLM158584.html?search=ts_act_climate+change+response+act_resel&amp;p=1&amp;sr=1" TargetMode="External"/><Relationship Id="rId57" Type="http://schemas.openxmlformats.org/officeDocument/2006/relationships/header" Target="header7.xml"/><Relationship Id="rId262" Type="http://schemas.openxmlformats.org/officeDocument/2006/relationships/hyperlink" Target="https://www.tokelau.org.nz/Bulletin/December+2017/Solid+Waste+Management+MOU+Signed+between+Tokelau+EDNRE+and+Pacific++Recycle+Co.+Ltd.html" TargetMode="External"/><Relationship Id="rId283" Type="http://schemas.openxmlformats.org/officeDocument/2006/relationships/footer" Target="footer33.xml"/><Relationship Id="rId78" Type="http://schemas.openxmlformats.org/officeDocument/2006/relationships/oleObject" Target="embeddings/Microsoft_Visio_2003-2010_Drawing3.vsd"/><Relationship Id="rId99" Type="http://schemas.openxmlformats.org/officeDocument/2006/relationships/image" Target="media/image38.png"/><Relationship Id="rId101" Type="http://schemas.openxmlformats.org/officeDocument/2006/relationships/footer" Target="footer18.xml"/><Relationship Id="rId122" Type="http://schemas.openxmlformats.org/officeDocument/2006/relationships/image" Target="media/image49.emf"/><Relationship Id="rId143" Type="http://schemas.openxmlformats.org/officeDocument/2006/relationships/package" Target="embeddings/Microsoft_Word_Document6.docx"/><Relationship Id="rId164" Type="http://schemas.openxmlformats.org/officeDocument/2006/relationships/image" Target="media/image72.emf"/><Relationship Id="rId185" Type="http://schemas.openxmlformats.org/officeDocument/2006/relationships/package" Target="embeddings/Microsoft_Word_Document26.docx"/><Relationship Id="rId9" Type="http://schemas.openxmlformats.org/officeDocument/2006/relationships/header" Target="header1.xml"/><Relationship Id="rId210" Type="http://schemas.openxmlformats.org/officeDocument/2006/relationships/image" Target="media/image88.jpeg"/><Relationship Id="rId26" Type="http://schemas.openxmlformats.org/officeDocument/2006/relationships/image" Target="media/image8.png"/><Relationship Id="rId231" Type="http://schemas.openxmlformats.org/officeDocument/2006/relationships/hyperlink" Target="http://www.fao.org/3/ca7415en/ca7415en.pdf" TargetMode="External"/><Relationship Id="rId252" Type="http://schemas.openxmlformats.org/officeDocument/2006/relationships/chart" Target="charts/chart9.xml"/><Relationship Id="rId273" Type="http://schemas.openxmlformats.org/officeDocument/2006/relationships/image" Target="media/image118.png"/><Relationship Id="rId294" Type="http://schemas.openxmlformats.org/officeDocument/2006/relationships/hyperlink" Target="https://mfat.govt.nz/en/aid-and-development" TargetMode="External"/><Relationship Id="rId47" Type="http://schemas.openxmlformats.org/officeDocument/2006/relationships/image" Target="media/image14.png"/><Relationship Id="rId68" Type="http://schemas.openxmlformats.org/officeDocument/2006/relationships/image" Target="media/image26.png"/><Relationship Id="rId89" Type="http://schemas.openxmlformats.org/officeDocument/2006/relationships/hyperlink" Target="http://www.med.govt.nz/sectors-industries/energy/energy-modelling/technical-papers/delivering-the-diesel-liquid-fuel-deliveries-in-new-zealand-1990-2008" TargetMode="External"/><Relationship Id="rId112" Type="http://schemas.openxmlformats.org/officeDocument/2006/relationships/package" Target="embeddings/Microsoft_Visio_Drawing1.vsdx"/><Relationship Id="rId133" Type="http://schemas.openxmlformats.org/officeDocument/2006/relationships/package" Target="embeddings/Microsoft_Word_Document2.docx"/><Relationship Id="rId154" Type="http://schemas.openxmlformats.org/officeDocument/2006/relationships/image" Target="media/image67.emf"/><Relationship Id="rId175" Type="http://schemas.openxmlformats.org/officeDocument/2006/relationships/package" Target="embeddings/Microsoft_Word_Document21.docx"/><Relationship Id="rId196" Type="http://schemas.openxmlformats.org/officeDocument/2006/relationships/hyperlink" Target="https://d.docs.live.net/d82e1fd947f4c33e/Documents/Work/Environment%20-%20Ministry%20for/FORMATTING/Greenhouse%20gas%20inventories/Greenhouse%20gas%20inventory%202021/Files%20for%20proofing/www.ird.govt.nz/gst/registering-for-gst" TargetMode="External"/><Relationship Id="rId200" Type="http://schemas.openxmlformats.org/officeDocument/2006/relationships/hyperlink" Target="http://www.mfe.govt.nz/sites/default/files/media/Climate%20Change/21-12-17%20Web%20FINAL%20-%20Seventh%20National%20Communication%202017.pdf" TargetMode="External"/><Relationship Id="rId16" Type="http://schemas.openxmlformats.org/officeDocument/2006/relationships/footer" Target="footer6.xml"/><Relationship Id="rId221" Type="http://schemas.openxmlformats.org/officeDocument/2006/relationships/hyperlink" Target="https://soils.landcareresearch.co.nz/soil-data/fundamental-soil-layers" TargetMode="External"/><Relationship Id="rId242" Type="http://schemas.openxmlformats.org/officeDocument/2006/relationships/image" Target="media/image105.emf"/><Relationship Id="rId263" Type="http://schemas.openxmlformats.org/officeDocument/2006/relationships/hyperlink" Target="https://www.tokelau.org.nz/Bulletin/September+2016/2014+imports+final.html" TargetMode="External"/><Relationship Id="rId284" Type="http://schemas.openxmlformats.org/officeDocument/2006/relationships/chart" Target="charts/chart13.xml"/><Relationship Id="rId37" Type="http://schemas.openxmlformats.org/officeDocument/2006/relationships/hyperlink" Target="http://www.un.org/en/sections/un-charter/chapter-xi" TargetMode="External"/><Relationship Id="rId58" Type="http://schemas.openxmlformats.org/officeDocument/2006/relationships/footer" Target="footer16.xml"/><Relationship Id="rId79" Type="http://schemas.openxmlformats.org/officeDocument/2006/relationships/image" Target="media/image33.wmf"/><Relationship Id="rId102" Type="http://schemas.openxmlformats.org/officeDocument/2006/relationships/footer" Target="footer19.xml"/><Relationship Id="rId123" Type="http://schemas.openxmlformats.org/officeDocument/2006/relationships/image" Target="media/image50.emf"/><Relationship Id="rId144" Type="http://schemas.openxmlformats.org/officeDocument/2006/relationships/image" Target="media/image61.png"/><Relationship Id="rId90" Type="http://schemas.openxmlformats.org/officeDocument/2006/relationships/hyperlink" Target="http://www.mbie.govt.nz/building-and-energy/energy-and-natural-resources/energy-statistics-and-modelling/energy-publications-and-technical-papers/energy-in-new-zealand/" TargetMode="External"/><Relationship Id="rId165" Type="http://schemas.openxmlformats.org/officeDocument/2006/relationships/package" Target="embeddings/Microsoft_Word_Document16.docx"/><Relationship Id="rId186" Type="http://schemas.openxmlformats.org/officeDocument/2006/relationships/package" Target="embeddings/Microsoft_Word_Document27.docx"/><Relationship Id="rId211" Type="http://schemas.openxmlformats.org/officeDocument/2006/relationships/image" Target="media/image89.jpeg"/><Relationship Id="rId232" Type="http://schemas.openxmlformats.org/officeDocument/2006/relationships/hyperlink" Target="http://www.landcareresearch.co.nz/news/a-new-national-soil-carbon-monitoring-system-for-agricultural-land/" TargetMode="External"/><Relationship Id="rId253" Type="http://schemas.openxmlformats.org/officeDocument/2006/relationships/hyperlink" Target="http://www.stats.govt.nz" TargetMode="External"/><Relationship Id="rId274" Type="http://schemas.openxmlformats.org/officeDocument/2006/relationships/hyperlink" Target="https://www.mpi.govt.nz/science/open-data-and-forecasting/greenhouse-gas-reporting/agricultural-inventory-advisory-panel/2019-agricultural-inventory-advisory-panel-meeting" TargetMode="External"/><Relationship Id="rId295" Type="http://schemas.openxmlformats.org/officeDocument/2006/relationships/hyperlink" Target="https://www.mfe.govt.nz/publications/climate-change/new-zealands-fourth-biennial-report-under-united-nations-framework" TargetMode="External"/><Relationship Id="rId27" Type="http://schemas.openxmlformats.org/officeDocument/2006/relationships/hyperlink" Target="http://www.emissionsregister.govt.nz" TargetMode="External"/><Relationship Id="rId48" Type="http://schemas.openxmlformats.org/officeDocument/2006/relationships/image" Target="media/image15.png"/><Relationship Id="rId69" Type="http://schemas.openxmlformats.org/officeDocument/2006/relationships/image" Target="media/image27.emf"/><Relationship Id="rId113" Type="http://schemas.openxmlformats.org/officeDocument/2006/relationships/image" Target="media/image44.png"/><Relationship Id="rId134" Type="http://schemas.openxmlformats.org/officeDocument/2006/relationships/image" Target="media/image56.emf"/><Relationship Id="rId80" Type="http://schemas.openxmlformats.org/officeDocument/2006/relationships/oleObject" Target="embeddings/oleObject1.bin"/><Relationship Id="rId155" Type="http://schemas.openxmlformats.org/officeDocument/2006/relationships/package" Target="embeddings/Microsoft_Word_Document11.docx"/><Relationship Id="rId176" Type="http://schemas.openxmlformats.org/officeDocument/2006/relationships/image" Target="media/image78.emf"/><Relationship Id="rId197" Type="http://schemas.openxmlformats.org/officeDocument/2006/relationships/hyperlink" Target="http://www.dairynz.co.nz/media/5793910/nz-dairy-statistics-2019-20-web.pdf" TargetMode="External"/><Relationship Id="rId201" Type="http://schemas.openxmlformats.org/officeDocument/2006/relationships/hyperlink" Target="https://www.mpi.govt.nz/dmsdocument/13906-Detailed-methodologies-for-agricultural-greenhouse-gas-emission-calculation-" TargetMode="External"/><Relationship Id="rId222" Type="http://schemas.openxmlformats.org/officeDocument/2006/relationships/image" Target="media/image98.jpeg"/><Relationship Id="rId243" Type="http://schemas.openxmlformats.org/officeDocument/2006/relationships/oleObject" Target="embeddings/Microsoft_Visio_2003-2010_Drawing4.vsd"/><Relationship Id="rId264" Type="http://schemas.openxmlformats.org/officeDocument/2006/relationships/hyperlink" Target="http://www.un.org/en/sections/un-charter/chapter-xi/" TargetMode="External"/><Relationship Id="rId285" Type="http://schemas.openxmlformats.org/officeDocument/2006/relationships/footer" Target="footer34.xml"/><Relationship Id="rId17" Type="http://schemas.openxmlformats.org/officeDocument/2006/relationships/footer" Target="footer7.xml"/><Relationship Id="rId38" Type="http://schemas.openxmlformats.org/officeDocument/2006/relationships/header" Target="header2.xml"/><Relationship Id="rId59" Type="http://schemas.openxmlformats.org/officeDocument/2006/relationships/image" Target="media/image19.png"/><Relationship Id="rId103" Type="http://schemas.openxmlformats.org/officeDocument/2006/relationships/image" Target="media/image39.png"/><Relationship Id="rId124" Type="http://schemas.openxmlformats.org/officeDocument/2006/relationships/package" Target="embeddings/Microsoft_Visio_Drawing2.vsdx"/><Relationship Id="rId70" Type="http://schemas.openxmlformats.org/officeDocument/2006/relationships/oleObject" Target="embeddings/Microsoft_Visio_2003-2010_Drawing1.vsd"/><Relationship Id="rId91" Type="http://schemas.openxmlformats.org/officeDocument/2006/relationships/hyperlink" Target="http://www.mfe.govt.nz/issues/climate/policies-initiatives/projects" TargetMode="External"/><Relationship Id="rId145" Type="http://schemas.openxmlformats.org/officeDocument/2006/relationships/image" Target="media/image62.png"/><Relationship Id="rId166" Type="http://schemas.openxmlformats.org/officeDocument/2006/relationships/image" Target="media/image73.emf"/><Relationship Id="rId187" Type="http://schemas.openxmlformats.org/officeDocument/2006/relationships/image" Target="media/image83.emf"/><Relationship Id="rId1" Type="http://schemas.openxmlformats.org/officeDocument/2006/relationships/customXml" Target="../customXml/item1.xml"/><Relationship Id="rId212" Type="http://schemas.openxmlformats.org/officeDocument/2006/relationships/image" Target="media/image90.jpeg"/><Relationship Id="rId233" Type="http://schemas.openxmlformats.org/officeDocument/2006/relationships/hyperlink" Target="https://mpi.govt.nz/funding-and-programmes/forestry/afforestation-grant-scheme/" TargetMode="External"/><Relationship Id="rId254" Type="http://schemas.openxmlformats.org/officeDocument/2006/relationships/hyperlink" Target="https://www.tokelau.org.nz/Stats.html" TargetMode="External"/><Relationship Id="rId28" Type="http://schemas.openxmlformats.org/officeDocument/2006/relationships/footer" Target="footer10.xml"/><Relationship Id="rId49" Type="http://schemas.openxmlformats.org/officeDocument/2006/relationships/image" Target="media/image16.png"/><Relationship Id="rId114" Type="http://schemas.openxmlformats.org/officeDocument/2006/relationships/image" Target="media/image45.png"/><Relationship Id="rId275" Type="http://schemas.openxmlformats.org/officeDocument/2006/relationships/hyperlink" Target="https://ecan.govt.nz/document/download?uri=1851763" TargetMode="External"/><Relationship Id="rId296" Type="http://schemas.openxmlformats.org/officeDocument/2006/relationships/hyperlink" Target="http://www.cslforum.org" TargetMode="External"/><Relationship Id="rId300" Type="http://schemas.openxmlformats.org/officeDocument/2006/relationships/theme" Target="theme/theme1.xml"/><Relationship Id="rId60" Type="http://schemas.openxmlformats.org/officeDocument/2006/relationships/image" Target="media/image20.png"/><Relationship Id="rId81" Type="http://schemas.openxmlformats.org/officeDocument/2006/relationships/image" Target="media/image34.wmf"/><Relationship Id="rId135" Type="http://schemas.openxmlformats.org/officeDocument/2006/relationships/package" Target="embeddings/Microsoft_Word_Document3.docx"/><Relationship Id="rId156" Type="http://schemas.openxmlformats.org/officeDocument/2006/relationships/image" Target="media/image68.emf"/><Relationship Id="rId177" Type="http://schemas.openxmlformats.org/officeDocument/2006/relationships/package" Target="embeddings/Microsoft_Word_Document22.docx"/><Relationship Id="rId198" Type="http://schemas.openxmlformats.org/officeDocument/2006/relationships/hyperlink" Target="http://www.lic.co.nz/documents/275/100_years_of_Herd_Testing.pdf" TargetMode="External"/><Relationship Id="rId202" Type="http://schemas.openxmlformats.org/officeDocument/2006/relationships/hyperlink" Target="http://www.stats.govt.nz/information-releases/agricultural-production-statistics-june-2017-final" TargetMode="External"/><Relationship Id="rId223" Type="http://schemas.openxmlformats.org/officeDocument/2006/relationships/chart" Target="charts/chart4.xml"/><Relationship Id="rId244" Type="http://schemas.openxmlformats.org/officeDocument/2006/relationships/hyperlink" Target="https://ecan.govt.nz/document/download?uri=1851763" TargetMode="External"/><Relationship Id="rId18" Type="http://schemas.openxmlformats.org/officeDocument/2006/relationships/footer" Target="footer8.xml"/><Relationship Id="rId39" Type="http://schemas.openxmlformats.org/officeDocument/2006/relationships/header" Target="header3.xml"/><Relationship Id="rId265" Type="http://schemas.openxmlformats.org/officeDocument/2006/relationships/footer" Target="footer26.xml"/><Relationship Id="rId286" Type="http://schemas.openxmlformats.org/officeDocument/2006/relationships/footer" Target="footer35.xml"/><Relationship Id="rId50" Type="http://schemas.openxmlformats.org/officeDocument/2006/relationships/image" Target="media/image17.png"/><Relationship Id="rId104" Type="http://schemas.openxmlformats.org/officeDocument/2006/relationships/image" Target="media/image40.png"/><Relationship Id="rId125" Type="http://schemas.openxmlformats.org/officeDocument/2006/relationships/hyperlink" Target="http://www.mpi.govt.nz/news-and-resources/statistics-and-forecasting/greenhouse-gas-reporting/agricultural-inventory-advisory-panel" TargetMode="External"/><Relationship Id="rId146" Type="http://schemas.openxmlformats.org/officeDocument/2006/relationships/image" Target="media/image63.emf"/><Relationship Id="rId167" Type="http://schemas.openxmlformats.org/officeDocument/2006/relationships/package" Target="embeddings/Microsoft_Word_Document17.docx"/><Relationship Id="rId188" Type="http://schemas.openxmlformats.org/officeDocument/2006/relationships/image" Target="media/image84.png"/><Relationship Id="rId71" Type="http://schemas.openxmlformats.org/officeDocument/2006/relationships/image" Target="media/image28.png"/><Relationship Id="rId92" Type="http://schemas.openxmlformats.org/officeDocument/2006/relationships/hyperlink" Target="http://www.transport.govt.nz/research/Pages/TravelSurvey.aspx" TargetMode="External"/><Relationship Id="rId213" Type="http://schemas.openxmlformats.org/officeDocument/2006/relationships/image" Target="media/image91.jpeg"/><Relationship Id="rId234" Type="http://schemas.openxmlformats.org/officeDocument/2006/relationships/hyperlink" Target="http://www.mfe.govt.nz" TargetMode="External"/><Relationship Id="rId2" Type="http://schemas.openxmlformats.org/officeDocument/2006/relationships/numbering" Target="numbering.xml"/><Relationship Id="rId29" Type="http://schemas.openxmlformats.org/officeDocument/2006/relationships/hyperlink" Target="http://www.unfccc.int" TargetMode="External"/><Relationship Id="rId255" Type="http://schemas.openxmlformats.org/officeDocument/2006/relationships/hyperlink" Target="https://tepuna.mfe.govt.nz/otcsdav/nodes/13536859/2014%20imports%20final.html" TargetMode="External"/><Relationship Id="rId276" Type="http://schemas.openxmlformats.org/officeDocument/2006/relationships/hyperlink" Target="http://www.waikatoregion.govt.nz/assets/PageFiles/30542/TR201455.pdf" TargetMode="External"/><Relationship Id="rId297" Type="http://schemas.openxmlformats.org/officeDocument/2006/relationships/hyperlink" Target="http://www.ieaghg.org" TargetMode="External"/><Relationship Id="rId40" Type="http://schemas.openxmlformats.org/officeDocument/2006/relationships/footer" Target="footer11.xml"/><Relationship Id="rId115" Type="http://schemas.openxmlformats.org/officeDocument/2006/relationships/image" Target="media/image46.png"/><Relationship Id="rId136" Type="http://schemas.openxmlformats.org/officeDocument/2006/relationships/image" Target="media/image57.emf"/><Relationship Id="rId157" Type="http://schemas.openxmlformats.org/officeDocument/2006/relationships/package" Target="embeddings/Microsoft_Word_Document12.docx"/><Relationship Id="rId178" Type="http://schemas.openxmlformats.org/officeDocument/2006/relationships/image" Target="media/image79.emf"/><Relationship Id="rId61" Type="http://schemas.openxmlformats.org/officeDocument/2006/relationships/hyperlink" Target="http://www.mbie.govt.nz/building-and-energy/energy-and-natural-resources/energy-statistics-and-modelling/energy-publications-and-technical-papers/energy-in-new-zealand/" TargetMode="External"/><Relationship Id="rId82" Type="http://schemas.openxmlformats.org/officeDocument/2006/relationships/oleObject" Target="embeddings/oleObject2.bin"/><Relationship Id="rId199" Type="http://schemas.openxmlformats.org/officeDocument/2006/relationships/hyperlink" Target="https://d.docs.live.net/d82e1fd947f4c33e/Documents/Work/Environment%20-%20Ministry%20for/FORMATTING/Greenhouse%20gas%20inventories/Greenhouse%20gas%20inventory%202021/Files%20for%20proofing/www.mpi.govt.nz/dmsdocument/1018-Livestock-slaughter-statistics-for-sheep-cattle-goats-horses-and-pigs" TargetMode="External"/><Relationship Id="rId203" Type="http://schemas.openxmlformats.org/officeDocument/2006/relationships/hyperlink" Target="http://www.stats.govt.nz/infoshare" TargetMode="External"/><Relationship Id="rId19" Type="http://schemas.openxmlformats.org/officeDocument/2006/relationships/footer" Target="footer9.xml"/><Relationship Id="rId224" Type="http://schemas.openxmlformats.org/officeDocument/2006/relationships/chart" Target="charts/chart5.xml"/><Relationship Id="rId245" Type="http://schemas.openxmlformats.org/officeDocument/2006/relationships/hyperlink" Target="http://www.waikatoregion.govt.nz/assets/PageFiles/30542/TR201455.pdf" TargetMode="External"/><Relationship Id="rId266" Type="http://schemas.openxmlformats.org/officeDocument/2006/relationships/footer" Target="footer27.xml"/><Relationship Id="rId287" Type="http://schemas.openxmlformats.org/officeDocument/2006/relationships/hyperlink" Target="http://www.mfe.govt.nz/climate-change/state-of-our-atmosphere-and-climate/new-zealands-greenhouse-gas-inventory" TargetMode="External"/><Relationship Id="rId30" Type="http://schemas.openxmlformats.org/officeDocument/2006/relationships/hyperlink" Target="http://www.emissionsregister.govt.nz" TargetMode="External"/><Relationship Id="rId105" Type="http://schemas.openxmlformats.org/officeDocument/2006/relationships/chart" Target="charts/chart1.xml"/><Relationship Id="rId126" Type="http://schemas.openxmlformats.org/officeDocument/2006/relationships/image" Target="media/image51.emf"/><Relationship Id="rId147" Type="http://schemas.openxmlformats.org/officeDocument/2006/relationships/package" Target="embeddings/Microsoft_Word_Document7.docx"/><Relationship Id="rId168" Type="http://schemas.openxmlformats.org/officeDocument/2006/relationships/image" Target="media/image74.emf"/><Relationship Id="rId51" Type="http://schemas.openxmlformats.org/officeDocument/2006/relationships/image" Target="media/image18.png"/><Relationship Id="rId72" Type="http://schemas.openxmlformats.org/officeDocument/2006/relationships/image" Target="media/image29.png"/><Relationship Id="rId93" Type="http://schemas.openxmlformats.org/officeDocument/2006/relationships/hyperlink" Target="http://www.legislation.govt.nz/act/public/2017/0029/latest/whole.html" TargetMode="External"/><Relationship Id="rId189" Type="http://schemas.openxmlformats.org/officeDocument/2006/relationships/image" Target="media/image85.png"/><Relationship Id="rId3" Type="http://schemas.openxmlformats.org/officeDocument/2006/relationships/styles" Target="styles.xml"/><Relationship Id="rId214" Type="http://schemas.openxmlformats.org/officeDocument/2006/relationships/image" Target="media/image92.jpeg"/><Relationship Id="rId235" Type="http://schemas.openxmlformats.org/officeDocument/2006/relationships/hyperlink" Target="https://www.niwa.co.nz/climate/information-and-resources/elnino/elnino-impacts-on-newzealand" TargetMode="External"/><Relationship Id="rId256" Type="http://schemas.openxmlformats.org/officeDocument/2006/relationships/image" Target="media/image109.png"/><Relationship Id="rId277" Type="http://schemas.openxmlformats.org/officeDocument/2006/relationships/hyperlink" Target="http://www.aucklandcity.govt.nz/council/documents/regionalplans/coastal/%20Morrisey%20et%20al%202010%20Temperate%20Mangroves%20OMBAR.pdf" TargetMode="External"/><Relationship Id="rId298" Type="http://schemas.openxmlformats.org/officeDocument/2006/relationships/footer" Target="footer38.xml"/><Relationship Id="rId116" Type="http://schemas.openxmlformats.org/officeDocument/2006/relationships/hyperlink" Target="http://www.mpi.govt.nz/news-and-resources/statistics-and-forecasting/greenhouse-gas-reporting" TargetMode="External"/><Relationship Id="rId137" Type="http://schemas.openxmlformats.org/officeDocument/2006/relationships/package" Target="embeddings/Microsoft_Word_Document4.docx"/><Relationship Id="rId158" Type="http://schemas.openxmlformats.org/officeDocument/2006/relationships/image" Target="media/image69.emf"/><Relationship Id="rId20" Type="http://schemas.openxmlformats.org/officeDocument/2006/relationships/image" Target="media/image2.png"/><Relationship Id="rId41" Type="http://schemas.openxmlformats.org/officeDocument/2006/relationships/footer" Target="footer12.xml"/><Relationship Id="rId62" Type="http://schemas.openxmlformats.org/officeDocument/2006/relationships/image" Target="media/image21.png"/><Relationship Id="rId83" Type="http://schemas.openxmlformats.org/officeDocument/2006/relationships/hyperlink" Target="http://www.bioenergy.org.nz/documents/resource/heat-plant-database-report-august-2011.pdf" TargetMode="External"/><Relationship Id="rId179" Type="http://schemas.openxmlformats.org/officeDocument/2006/relationships/package" Target="embeddings/Microsoft_Word_Document23.docx"/><Relationship Id="rId190" Type="http://schemas.openxmlformats.org/officeDocument/2006/relationships/image" Target="media/image86.png"/><Relationship Id="rId204" Type="http://schemas.openxmlformats.org/officeDocument/2006/relationships/hyperlink" Target="http://www.publish.csiro.au/AN/pdf/AN15766%20(13" TargetMode="External"/><Relationship Id="rId225" Type="http://schemas.openxmlformats.org/officeDocument/2006/relationships/chart" Target="charts/chart6.xml"/><Relationship Id="rId246" Type="http://schemas.openxmlformats.org/officeDocument/2006/relationships/hyperlink" Target="http://www.mfe.govt.nz/sites/default/files/media/Waste/National%20Waste%20Disposal%20Survey%20Final%20Report.pdf" TargetMode="External"/><Relationship Id="rId267" Type="http://schemas.openxmlformats.org/officeDocument/2006/relationships/image" Target="media/image112.png"/><Relationship Id="rId288" Type="http://schemas.openxmlformats.org/officeDocument/2006/relationships/hyperlink" Target="http://www.emissionsregister.govt.nz" TargetMode="External"/><Relationship Id="rId106" Type="http://schemas.openxmlformats.org/officeDocument/2006/relationships/image" Target="media/image41.png"/><Relationship Id="rId127" Type="http://schemas.openxmlformats.org/officeDocument/2006/relationships/package" Target="embeddings/Microsoft_Visio_Drawing3.vsdx"/><Relationship Id="rId10" Type="http://schemas.openxmlformats.org/officeDocument/2006/relationships/footer" Target="footer1.xml"/><Relationship Id="rId31" Type="http://schemas.openxmlformats.org/officeDocument/2006/relationships/image" Target="media/image9.png"/><Relationship Id="rId52" Type="http://schemas.openxmlformats.org/officeDocument/2006/relationships/hyperlink" Target="https://www.dairynz.co.nz/media/5794073/nz-dairy-statistics-2019-20-dnz.pdf" TargetMode="External"/><Relationship Id="rId73" Type="http://schemas.openxmlformats.org/officeDocument/2006/relationships/image" Target="media/image30.png"/><Relationship Id="rId94" Type="http://schemas.openxmlformats.org/officeDocument/2006/relationships/footer" Target="footer17.xml"/><Relationship Id="rId148" Type="http://schemas.openxmlformats.org/officeDocument/2006/relationships/image" Target="media/image64.emf"/><Relationship Id="rId169" Type="http://schemas.openxmlformats.org/officeDocument/2006/relationships/package" Target="embeddings/Microsoft_Word_Document18.docx"/><Relationship Id="rId4" Type="http://schemas.openxmlformats.org/officeDocument/2006/relationships/settings" Target="settings.xml"/><Relationship Id="rId180" Type="http://schemas.openxmlformats.org/officeDocument/2006/relationships/image" Target="media/image80.emf"/><Relationship Id="rId215" Type="http://schemas.openxmlformats.org/officeDocument/2006/relationships/image" Target="media/image93.jpeg"/><Relationship Id="rId236" Type="http://schemas.openxmlformats.org/officeDocument/2006/relationships/hyperlink" Target="http://www.regional.org.au/au/asssi/supersoil2004" TargetMode="External"/><Relationship Id="rId257" Type="http://schemas.openxmlformats.org/officeDocument/2006/relationships/image" Target="media/image110.png"/><Relationship Id="rId278" Type="http://schemas.openxmlformats.org/officeDocument/2006/relationships/footer" Target="footer28.xml"/><Relationship Id="rId42" Type="http://schemas.openxmlformats.org/officeDocument/2006/relationships/header" Target="header4.xml"/><Relationship Id="rId84" Type="http://schemas.openxmlformats.org/officeDocument/2006/relationships/hyperlink" Target="http://www.climatechange.govt.nz/consultation/energy/review-default-emissions-factors.pdf" TargetMode="External"/><Relationship Id="rId138" Type="http://schemas.openxmlformats.org/officeDocument/2006/relationships/image" Target="media/image58.emf"/><Relationship Id="rId191" Type="http://schemas.openxmlformats.org/officeDocument/2006/relationships/hyperlink" Target="http://mpi.govt.nz/news-and-resources/statistics-and-forecasting/greenhouse-gas-reporting/agriculture-greenhouse-gas-inventory-reports" TargetMode="External"/><Relationship Id="rId205" Type="http://schemas.openxmlformats.org/officeDocument/2006/relationships/footer" Target="footer20.xml"/><Relationship Id="rId247" Type="http://schemas.openxmlformats.org/officeDocument/2006/relationships/footer" Target="footer24.xml"/><Relationship Id="rId107" Type="http://schemas.openxmlformats.org/officeDocument/2006/relationships/image" Target="media/image42.png"/><Relationship Id="rId289" Type="http://schemas.openxmlformats.org/officeDocument/2006/relationships/hyperlink" Target="https://www.emissionsregister.govt.nz/Common/InformationReports.aspx" TargetMode="External"/><Relationship Id="rId11" Type="http://schemas.openxmlformats.org/officeDocument/2006/relationships/footer" Target="footer2.xml"/><Relationship Id="rId53" Type="http://schemas.openxmlformats.org/officeDocument/2006/relationships/header" Target="header5.xml"/><Relationship Id="rId149" Type="http://schemas.openxmlformats.org/officeDocument/2006/relationships/package" Target="embeddings/Microsoft_Word_Document8.docx"/><Relationship Id="rId95" Type="http://schemas.openxmlformats.org/officeDocument/2006/relationships/image" Target="media/image35.png"/><Relationship Id="rId160" Type="http://schemas.openxmlformats.org/officeDocument/2006/relationships/image" Target="media/image70.emf"/><Relationship Id="rId216" Type="http://schemas.openxmlformats.org/officeDocument/2006/relationships/image" Target="media/image94.jpeg"/><Relationship Id="rId258" Type="http://schemas.openxmlformats.org/officeDocument/2006/relationships/chart" Target="charts/chart10.xml"/><Relationship Id="rId22" Type="http://schemas.openxmlformats.org/officeDocument/2006/relationships/image" Target="media/image4.png"/><Relationship Id="rId64" Type="http://schemas.openxmlformats.org/officeDocument/2006/relationships/oleObject" Target="embeddings/Microsoft_Visio_2003-2010_Drawing.vsd"/><Relationship Id="rId118" Type="http://schemas.openxmlformats.org/officeDocument/2006/relationships/hyperlink" Target="http://www.mpi.govt.nz/news-and-resources/open-data-and-forecasting/%20agriculture" TargetMode="External"/><Relationship Id="rId171" Type="http://schemas.openxmlformats.org/officeDocument/2006/relationships/package" Target="embeddings/Microsoft_Word_Document19.docx"/><Relationship Id="rId227" Type="http://schemas.openxmlformats.org/officeDocument/2006/relationships/image" Target="media/image99.jpeg"/><Relationship Id="rId269" Type="http://schemas.openxmlformats.org/officeDocument/2006/relationships/image" Target="media/image114.png"/><Relationship Id="rId33" Type="http://schemas.openxmlformats.org/officeDocument/2006/relationships/hyperlink" Target="https://www.stats.govt.nz/assets/Uploads/Principles-and-protocols-for-producers-of-tier-1-stats/principles-and-protocols-for-producers-of-tier-1-stats.pdf" TargetMode="External"/><Relationship Id="rId129" Type="http://schemas.openxmlformats.org/officeDocument/2006/relationships/package" Target="embeddings/Microsoft_Word_Document1.docx"/><Relationship Id="rId280" Type="http://schemas.openxmlformats.org/officeDocument/2006/relationships/footer" Target="footer30.xml"/></Relationships>
</file>

<file path=word/_rels/footnotes.xml.rels><?xml version="1.0" encoding="UTF-8" standalone="yes"?>
<Relationships xmlns="http://schemas.openxmlformats.org/package/2006/relationships"><Relationship Id="rId8" Type="http://schemas.openxmlformats.org/officeDocument/2006/relationships/hyperlink" Target="https://www.mfat.govt.nz/assets/Aid-Prog-docs/Evaluations/2015/Dec-2015/MFAT-Tokelau-Country-Programme-Eval-Final-v5-09122015.pdf" TargetMode="External"/><Relationship Id="rId3" Type="http://schemas.openxmlformats.org/officeDocument/2006/relationships/hyperlink" Target="https://www.mpi.govt.nz/news-and-resources/economic-intelligence-unit/situation-and-outlook-for-primary-industries/" TargetMode="External"/><Relationship Id="rId7" Type="http://schemas.openxmlformats.org/officeDocument/2006/relationships/hyperlink" Target="https://unfccc.int/documents/228017" TargetMode="External"/><Relationship Id="rId2" Type="http://schemas.openxmlformats.org/officeDocument/2006/relationships/hyperlink" Target="http://www.mpi.govt.nz/news-and-resources/economic-intelligence-unit/situation-and-outlook-for-primary-industries/" TargetMode="External"/><Relationship Id="rId1" Type="http://schemas.openxmlformats.org/officeDocument/2006/relationships/hyperlink" Target="https://d.docs.live.net/d82e1fd947f4c33e/Documents/Work/Environment%20-%20Ministry%20for/FORMATTING/Greenhouse%20gas%20inventories/Greenhouse%20gas%20inventory%202021/Formatting/https/:www.mfe.govt.nz/climate-change/reporting-greenhouse-gas-emissions/latest-2020-net-position" TargetMode="External"/><Relationship Id="rId6" Type="http://schemas.openxmlformats.org/officeDocument/2006/relationships/hyperlink" Target="http://www.mpi.govt.nz/dmsdocument/13906-Detailed-methodologies-for-agricultural-greenhouse-gas-emission-calculation-" TargetMode="External"/><Relationship Id="rId5" Type="http://schemas.openxmlformats.org/officeDocument/2006/relationships/hyperlink" Target="https://www.mpi.govt.nz/dmsdocument/32125/direct" TargetMode="External"/><Relationship Id="rId4" Type="http://schemas.openxmlformats.org/officeDocument/2006/relationships/hyperlink" Target="http://www.mpi.govt.nz/dmsdocument/32863/direct" TargetMode="External"/><Relationship Id="rId9" Type="http://schemas.openxmlformats.org/officeDocument/2006/relationships/hyperlink" Target="https://www.tokelau.org.nz/Bulletin/December+2017/Solid+Waste+Management+MOU+Signed+between+Tokelau+EDNRE+and+Pacific++Recycle+Co.+Ltd.html" TargetMode="External"/></Relationships>
</file>

<file path=word/charts/_rels/chart1.xml.rels><?xml version="1.0" encoding="UTF-8" standalone="yes"?>
<Relationships xmlns="http://schemas.openxmlformats.org/package/2006/relationships"><Relationship Id="rId2" Type="http://schemas.openxmlformats.org/officeDocument/2006/relationships/oleObject" Target="https://tepuna.mfe.govt.nz/otcsdav/nodes/13678309/2021%20ag%20inventory_results_data_tables_graphs%20final.xlsx"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3" Type="http://schemas.openxmlformats.org/officeDocument/2006/relationships/oleObject" Target="file:///\\mfeprodfps01\slavenk$\downloads\DRAFT_Tokelau_Emissions%20Model%202021%20submission.xlsx" TargetMode="External"/><Relationship Id="rId2" Type="http://schemas.microsoft.com/office/2011/relationships/chartColorStyle" Target="colors2.xml"/><Relationship Id="rId1" Type="http://schemas.microsoft.com/office/2011/relationships/chartStyle" Target="style2.xml"/></Relationships>
</file>

<file path=word/charts/_rels/chart11.xml.rels><?xml version="1.0" encoding="UTF-8" standalone="yes"?>
<Relationships xmlns="http://schemas.openxmlformats.org/package/2006/relationships"><Relationship Id="rId3" Type="http://schemas.openxmlformats.org/officeDocument/2006/relationships/oleObject" Target="https://tepuna.mfe.govt.nz/otcsdav/nodes/13912192/FINAL_Tokelau_Emissions%20Model%202021%20submission.xlsx" TargetMode="External"/><Relationship Id="rId2" Type="http://schemas.microsoft.com/office/2011/relationships/chartColorStyle" Target="colors3.xml"/><Relationship Id="rId1" Type="http://schemas.microsoft.com/office/2011/relationships/chartStyle" Target="style3.xml"/></Relationships>
</file>

<file path=word/charts/_rels/chart12.xml.rels><?xml version="1.0" encoding="UTF-8" standalone="yes"?>
<Relationships xmlns="http://schemas.openxmlformats.org/package/2006/relationships"><Relationship Id="rId3" Type="http://schemas.openxmlformats.org/officeDocument/2006/relationships/oleObject" Target="file:///\\mfeprodfps01\slavenk$\downloads\DRAFT_Tokelau_Emissions%20Model%202021%20submission.xlsx" TargetMode="External"/><Relationship Id="rId2" Type="http://schemas.microsoft.com/office/2011/relationships/chartColorStyle" Target="colors4.xml"/><Relationship Id="rId1" Type="http://schemas.microsoft.com/office/2011/relationships/chartStyle" Target="style4.xml"/></Relationships>
</file>

<file path=word/charts/_rels/chart13.xml.rels><?xml version="1.0" encoding="UTF-8" standalone="yes"?>
<Relationships xmlns="http://schemas.openxmlformats.org/package/2006/relationships"><Relationship Id="rId2" Type="http://schemas.openxmlformats.org/officeDocument/2006/relationships/oleObject" Target="file:///\\mfeprodfps01.mfe.mfe.govt.nz\FileArchive\Current%20Databases%20retain%20in%20m%20drive\NZCAS%20datasets\UN%20Reporting\Restricted\2019%20NIR\4th%20run\Calc_Processes\CRF%20Exporter\Analysis%20and%20Results\8%20-%20Afforestation,%20Reforestation%20&amp;%20Deforestation.xlsm" TargetMode="External"/><Relationship Id="rId1" Type="http://schemas.openxmlformats.org/officeDocument/2006/relationships/themeOverride" Target="../theme/themeOverride9.xml"/></Relationships>
</file>

<file path=word/charts/_rels/chart2.xml.rels><?xml version="1.0" encoding="UTF-8" standalone="yes"?>
<Relationships xmlns="http://schemas.openxmlformats.org/package/2006/relationships"><Relationship Id="rId2" Type="http://schemas.openxmlformats.org/officeDocument/2006/relationships/oleObject" Target="file:///\\mfeprodfps01.mfe.mfe.govt.nz\FileArchive\Current%20Databases%20retain%20in%20m%20drive\NZCAS%20datasets\UN%20Reporting\Restricted\2019%20NIR\4th%20run\Calc_Processes\CRF%20Exporter\Analysis%20and%20Results\1%20-%20Figures%20711-712.xlsm"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file:///\\mfeprodfps01.mfe.mfe.govt.nz\FileArchive\Current%20Databases%20retain%20in%20m%20drive\NZCAS%20datasets\UN%20Reporting\Restricted\2019%20NIR\4th%20run\Calc_Processes\CRF%20Exporter\Analysis%20and%20Results\1%20-%20Figures%20711-712.xlsm"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file:///\\mfeprodfps01.mfe.mfe.govt.nz\FileArchive\Current%20Databases%20retain%20in%20m%20drive\NZCAS%20datasets\UN%20Reporting\Restricted\2019%20NIR\4th%20run\Calc_Processes\CRF%20Exporter\Analysis%20and%20Results\8%20-%20Afforestation,%20Reforestation%20&amp;%20Deforestation.xlsm"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file:///\\mfeprodfps01.mfe.mfe.govt.nz\FileArchive\Current%20Databases%20retain%20in%20m%20drive\NZCAS%20datasets\UN%20Reporting\Restricted\2019%20NIR\4th%20run\Calc_Processes\CRF%20Exporter\Analysis%20and%20Results\8%20-%20Afforestation,%20Reforestation%20&amp;%20Deforestation.xlsm" TargetMode="External"/><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oleObject" Target="file:///\\mfeprodfps01.mfe.mfe.govt.nz\FileArchive\Current%20Databases%20retain%20in%20m%20drive\NZCAS%20datasets\UN%20Reporting\Restricted\2019%20NIR\3rd%20run\Calc_Processes\CRF%20Exporter\Analysis%20and%20Results\8%20-%20Afforestation,%20Reforestation%20&amp;%20Deforestation.xlsm" TargetMode="External"/><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oleObject" Target="file:///M:\Current%20Databases%20retain%20in%20m%20drive\NZCAS%20datasets\UN%20Reporting\Restricted\2019%20NIR\4th%20run\Calc_Processes\CRF%20Exporter\Analysis%20and%20Results\New%20Zealand&#8217;s%20area%20of%20planted%20forest%20harvest%20(inclusive%20of%20deforestation)%20since%201990.xlsx" TargetMode="External"/><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package" Target="../embeddings/Microsoft_Excel_Worksheet.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3" Type="http://schemas.openxmlformats.org/officeDocument/2006/relationships/oleObject" Target="https://tepuna.mfe.govt.nz/otcsdav/nodes/13912192/FINAL_Tokelau_Emissions%20Model%202021%20submission.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6270090141366"/>
          <c:y val="6.4774140074595934E-2"/>
          <c:w val="0.86004845962490917"/>
          <c:h val="0.79877215470465213"/>
        </c:manualLayout>
      </c:layout>
      <c:scatterChart>
        <c:scatterStyle val="lineMarker"/>
        <c:varyColors val="0"/>
        <c:ser>
          <c:idx val="0"/>
          <c:order val="0"/>
          <c:tx>
            <c:strRef>
              <c:f>'5.1 data on animal populations'!$D$6</c:f>
              <c:strCache>
                <c:ptCount val="1"/>
                <c:pt idx="0">
                  <c:v>Dairy cattle</c:v>
                </c:pt>
              </c:strCache>
            </c:strRef>
          </c:tx>
          <c:spPr>
            <a:ln w="25400">
              <a:solidFill>
                <a:srgbClr val="365F91"/>
              </a:solidFill>
            </a:ln>
          </c:spPr>
          <c:marker>
            <c:symbol val="none"/>
          </c:marker>
          <c:xVal>
            <c:numRef>
              <c:f>'5.1 data on animal populations'!$C$9:$C$38</c:f>
              <c:numCache>
                <c:formatCode>General</c:formatCode>
                <c:ptCount val="30"/>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numCache>
            </c:numRef>
          </c:xVal>
          <c:yVal>
            <c:numRef>
              <c:f>'5.1 data on animal populations'!$D$9:$D$38</c:f>
              <c:numCache>
                <c:formatCode>#,##0</c:formatCode>
                <c:ptCount val="30"/>
                <c:pt idx="0">
                  <c:v>3440815</c:v>
                </c:pt>
                <c:pt idx="1">
                  <c:v>3429427</c:v>
                </c:pt>
                <c:pt idx="2">
                  <c:v>3467823.9</c:v>
                </c:pt>
                <c:pt idx="3">
                  <c:v>3550140</c:v>
                </c:pt>
                <c:pt idx="4">
                  <c:v>3839184</c:v>
                </c:pt>
                <c:pt idx="5">
                  <c:v>4089817</c:v>
                </c:pt>
                <c:pt idx="6">
                  <c:v>4165098</c:v>
                </c:pt>
                <c:pt idx="7">
                  <c:v>4256000</c:v>
                </c:pt>
                <c:pt idx="8">
                  <c:v>4344000</c:v>
                </c:pt>
                <c:pt idx="9">
                  <c:v>4316409</c:v>
                </c:pt>
                <c:pt idx="10">
                  <c:v>4598135.666666667</c:v>
                </c:pt>
                <c:pt idx="11">
                  <c:v>4879862.333333334</c:v>
                </c:pt>
                <c:pt idx="12">
                  <c:v>5161589</c:v>
                </c:pt>
                <c:pt idx="13">
                  <c:v>5101603</c:v>
                </c:pt>
                <c:pt idx="14">
                  <c:v>5152492</c:v>
                </c:pt>
                <c:pt idx="15">
                  <c:v>5087176</c:v>
                </c:pt>
                <c:pt idx="16">
                  <c:v>5169557</c:v>
                </c:pt>
                <c:pt idx="17">
                  <c:v>5260850</c:v>
                </c:pt>
                <c:pt idx="18">
                  <c:v>5578440</c:v>
                </c:pt>
                <c:pt idx="19">
                  <c:v>5860776</c:v>
                </c:pt>
                <c:pt idx="20">
                  <c:v>5915452</c:v>
                </c:pt>
                <c:pt idx="21">
                  <c:v>6174503</c:v>
                </c:pt>
                <c:pt idx="22">
                  <c:v>6445681</c:v>
                </c:pt>
                <c:pt idx="23">
                  <c:v>6483600</c:v>
                </c:pt>
                <c:pt idx="24">
                  <c:v>6698326</c:v>
                </c:pt>
                <c:pt idx="25">
                  <c:v>6485535</c:v>
                </c:pt>
                <c:pt idx="26">
                  <c:v>6618800</c:v>
                </c:pt>
                <c:pt idx="27">
                  <c:v>6529811</c:v>
                </c:pt>
                <c:pt idx="28">
                  <c:v>6385540.7000000002</c:v>
                </c:pt>
                <c:pt idx="29">
                  <c:v>6260895</c:v>
                </c:pt>
              </c:numCache>
            </c:numRef>
          </c:yVal>
          <c:smooth val="0"/>
          <c:extLst>
            <c:ext xmlns:c16="http://schemas.microsoft.com/office/drawing/2014/chart" uri="{C3380CC4-5D6E-409C-BE32-E72D297353CC}">
              <c16:uniqueId val="{00000000-6458-41DE-BB68-0B345AEFFF3A}"/>
            </c:ext>
          </c:extLst>
        </c:ser>
        <c:ser>
          <c:idx val="1"/>
          <c:order val="1"/>
          <c:tx>
            <c:strRef>
              <c:f>'5.1 data on animal populations'!$E$6</c:f>
              <c:strCache>
                <c:ptCount val="1"/>
                <c:pt idx="0">
                  <c:v>Beef cattle</c:v>
                </c:pt>
              </c:strCache>
            </c:strRef>
          </c:tx>
          <c:spPr>
            <a:ln w="25400">
              <a:solidFill>
                <a:srgbClr val="649600"/>
              </a:solidFill>
            </a:ln>
          </c:spPr>
          <c:marker>
            <c:symbol val="none"/>
          </c:marker>
          <c:xVal>
            <c:numRef>
              <c:f>'5.1 data on animal populations'!$C$9:$C$38</c:f>
              <c:numCache>
                <c:formatCode>General</c:formatCode>
                <c:ptCount val="30"/>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numCache>
            </c:numRef>
          </c:xVal>
          <c:yVal>
            <c:numRef>
              <c:f>'5.1 data on animal populations'!$E$9:$E$38</c:f>
              <c:numCache>
                <c:formatCode>#,##0</c:formatCode>
                <c:ptCount val="30"/>
                <c:pt idx="0">
                  <c:v>4593160</c:v>
                </c:pt>
                <c:pt idx="1">
                  <c:v>4670569</c:v>
                </c:pt>
                <c:pt idx="2">
                  <c:v>4676497</c:v>
                </c:pt>
                <c:pt idx="3">
                  <c:v>4757962</c:v>
                </c:pt>
                <c:pt idx="4">
                  <c:v>5047848</c:v>
                </c:pt>
                <c:pt idx="5">
                  <c:v>5182508</c:v>
                </c:pt>
                <c:pt idx="6">
                  <c:v>4852179</c:v>
                </c:pt>
                <c:pt idx="7">
                  <c:v>4806000</c:v>
                </c:pt>
                <c:pt idx="8">
                  <c:v>4432000</c:v>
                </c:pt>
                <c:pt idx="9">
                  <c:v>4643705</c:v>
                </c:pt>
                <c:pt idx="10">
                  <c:v>4594029.333333333</c:v>
                </c:pt>
                <c:pt idx="11">
                  <c:v>4544353.666666666</c:v>
                </c:pt>
                <c:pt idx="12">
                  <c:v>4491281</c:v>
                </c:pt>
                <c:pt idx="13">
                  <c:v>4626617</c:v>
                </c:pt>
                <c:pt idx="14">
                  <c:v>4447400</c:v>
                </c:pt>
                <c:pt idx="15">
                  <c:v>4423626</c:v>
                </c:pt>
                <c:pt idx="16">
                  <c:v>4439136</c:v>
                </c:pt>
                <c:pt idx="17">
                  <c:v>4393617</c:v>
                </c:pt>
                <c:pt idx="18">
                  <c:v>4136872</c:v>
                </c:pt>
                <c:pt idx="19">
                  <c:v>4100718</c:v>
                </c:pt>
                <c:pt idx="20">
                  <c:v>3948520</c:v>
                </c:pt>
                <c:pt idx="21">
                  <c:v>3846414</c:v>
                </c:pt>
                <c:pt idx="22">
                  <c:v>3734412</c:v>
                </c:pt>
                <c:pt idx="23">
                  <c:v>3698522</c:v>
                </c:pt>
                <c:pt idx="24">
                  <c:v>3669862</c:v>
                </c:pt>
                <c:pt idx="25">
                  <c:v>3547228</c:v>
                </c:pt>
                <c:pt idx="26">
                  <c:v>3533054</c:v>
                </c:pt>
                <c:pt idx="27">
                  <c:v>3616091</c:v>
                </c:pt>
                <c:pt idx="28">
                  <c:v>3721262.41</c:v>
                </c:pt>
                <c:pt idx="29">
                  <c:v>3889996</c:v>
                </c:pt>
              </c:numCache>
            </c:numRef>
          </c:yVal>
          <c:smooth val="0"/>
          <c:extLst>
            <c:ext xmlns:c16="http://schemas.microsoft.com/office/drawing/2014/chart" uri="{C3380CC4-5D6E-409C-BE32-E72D297353CC}">
              <c16:uniqueId val="{00000001-6458-41DE-BB68-0B345AEFFF3A}"/>
            </c:ext>
          </c:extLst>
        </c:ser>
        <c:ser>
          <c:idx val="2"/>
          <c:order val="2"/>
          <c:tx>
            <c:strRef>
              <c:f>'5.1 data on animal populations'!$J$6</c:f>
              <c:strCache>
                <c:ptCount val="1"/>
                <c:pt idx="0">
                  <c:v>Deer</c:v>
                </c:pt>
              </c:strCache>
            </c:strRef>
          </c:tx>
          <c:spPr>
            <a:ln w="25400">
              <a:solidFill>
                <a:srgbClr val="A0A2AA"/>
              </a:solidFill>
            </a:ln>
          </c:spPr>
          <c:marker>
            <c:symbol val="none"/>
          </c:marker>
          <c:xVal>
            <c:numRef>
              <c:f>'5.1 data on animal populations'!$C$9:$C$38</c:f>
              <c:numCache>
                <c:formatCode>General</c:formatCode>
                <c:ptCount val="30"/>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numCache>
            </c:numRef>
          </c:xVal>
          <c:yVal>
            <c:numRef>
              <c:f>'5.1 data on animal populations'!$J$9:$J$38</c:f>
              <c:numCache>
                <c:formatCode>#,##0</c:formatCode>
                <c:ptCount val="30"/>
                <c:pt idx="0">
                  <c:v>976290</c:v>
                </c:pt>
                <c:pt idx="1">
                  <c:v>1129503</c:v>
                </c:pt>
                <c:pt idx="2">
                  <c:v>1135242</c:v>
                </c:pt>
                <c:pt idx="3">
                  <c:v>1078479</c:v>
                </c:pt>
                <c:pt idx="4">
                  <c:v>1231109</c:v>
                </c:pt>
                <c:pt idx="5">
                  <c:v>1178704</c:v>
                </c:pt>
                <c:pt idx="6">
                  <c:v>1192138</c:v>
                </c:pt>
                <c:pt idx="7">
                  <c:v>1353688</c:v>
                </c:pt>
                <c:pt idx="8">
                  <c:v>1515238</c:v>
                </c:pt>
                <c:pt idx="9">
                  <c:v>1676788</c:v>
                </c:pt>
                <c:pt idx="10">
                  <c:v>1667171.3333333333</c:v>
                </c:pt>
                <c:pt idx="11">
                  <c:v>1657554.6666666665</c:v>
                </c:pt>
                <c:pt idx="12">
                  <c:v>1647938</c:v>
                </c:pt>
                <c:pt idx="13">
                  <c:v>1689444</c:v>
                </c:pt>
                <c:pt idx="14">
                  <c:v>1756888</c:v>
                </c:pt>
                <c:pt idx="15">
                  <c:v>1705084</c:v>
                </c:pt>
                <c:pt idx="16">
                  <c:v>1586918</c:v>
                </c:pt>
                <c:pt idx="17">
                  <c:v>1396023</c:v>
                </c:pt>
                <c:pt idx="18">
                  <c:v>1223324</c:v>
                </c:pt>
                <c:pt idx="19">
                  <c:v>1145858</c:v>
                </c:pt>
                <c:pt idx="20">
                  <c:v>1122695</c:v>
                </c:pt>
                <c:pt idx="21">
                  <c:v>1088533</c:v>
                </c:pt>
                <c:pt idx="22">
                  <c:v>1060694</c:v>
                </c:pt>
                <c:pt idx="23">
                  <c:v>1028382</c:v>
                </c:pt>
                <c:pt idx="24">
                  <c:v>958219</c:v>
                </c:pt>
                <c:pt idx="25">
                  <c:v>900100</c:v>
                </c:pt>
                <c:pt idx="26">
                  <c:v>834608</c:v>
                </c:pt>
                <c:pt idx="27">
                  <c:v>836337</c:v>
                </c:pt>
                <c:pt idx="28">
                  <c:v>851423.8</c:v>
                </c:pt>
                <c:pt idx="29">
                  <c:v>810443</c:v>
                </c:pt>
              </c:numCache>
            </c:numRef>
          </c:yVal>
          <c:smooth val="0"/>
          <c:extLst>
            <c:ext xmlns:c16="http://schemas.microsoft.com/office/drawing/2014/chart" uri="{C3380CC4-5D6E-409C-BE32-E72D297353CC}">
              <c16:uniqueId val="{00000002-6458-41DE-BB68-0B345AEFFF3A}"/>
            </c:ext>
          </c:extLst>
        </c:ser>
        <c:dLbls>
          <c:showLegendKey val="0"/>
          <c:showVal val="0"/>
          <c:showCatName val="0"/>
          <c:showSerName val="0"/>
          <c:showPercent val="0"/>
          <c:showBubbleSize val="0"/>
        </c:dLbls>
        <c:axId val="193931456"/>
        <c:axId val="193936160"/>
      </c:scatterChart>
      <c:valAx>
        <c:axId val="193931456"/>
        <c:scaling>
          <c:orientation val="minMax"/>
          <c:max val="2019"/>
          <c:min val="1990"/>
        </c:scaling>
        <c:delete val="0"/>
        <c:axPos val="b"/>
        <c:majorGridlines>
          <c:spPr>
            <a:ln>
              <a:solidFill>
                <a:schemeClr val="bg1">
                  <a:lumMod val="85000"/>
                </a:schemeClr>
              </a:solidFill>
              <a:prstDash val="dash"/>
            </a:ln>
          </c:spPr>
        </c:majorGridlines>
        <c:minorGridlines>
          <c:spPr>
            <a:ln w="6350">
              <a:solidFill>
                <a:sysClr val="window" lastClr="FFFFFF">
                  <a:lumMod val="85000"/>
                </a:sysClr>
              </a:solidFill>
              <a:prstDash val="dash"/>
            </a:ln>
          </c:spPr>
        </c:minorGridlines>
        <c:numFmt formatCode="General" sourceLinked="1"/>
        <c:majorTickMark val="out"/>
        <c:minorTickMark val="out"/>
        <c:tickLblPos val="low"/>
        <c:spPr>
          <a:ln w="12700">
            <a:solidFill>
              <a:sysClr val="windowText" lastClr="000000"/>
            </a:solidFill>
          </a:ln>
        </c:spPr>
        <c:txPr>
          <a:bodyPr rot="-5400000" vert="horz"/>
          <a:lstStyle/>
          <a:p>
            <a:pPr>
              <a:defRPr sz="700" b="0" i="0" u="none" strike="noStrike" baseline="0">
                <a:solidFill>
                  <a:srgbClr val="000000"/>
                </a:solidFill>
                <a:latin typeface="Arial" panose="020B0604020202020204" pitchFamily="34" charset="0"/>
                <a:ea typeface="Arial"/>
                <a:cs typeface="Arial" panose="020B0604020202020204" pitchFamily="34" charset="0"/>
              </a:defRPr>
            </a:pPr>
            <a:endParaRPr lang="en-US"/>
          </a:p>
        </c:txPr>
        <c:crossAx val="193936160"/>
        <c:crosses val="autoZero"/>
        <c:crossBetween val="midCat"/>
        <c:majorUnit val="2"/>
        <c:minorUnit val="1"/>
      </c:valAx>
      <c:valAx>
        <c:axId val="193936160"/>
        <c:scaling>
          <c:orientation val="minMax"/>
          <c:min val="0"/>
        </c:scaling>
        <c:delete val="0"/>
        <c:axPos val="l"/>
        <c:majorGridlines>
          <c:spPr>
            <a:ln w="6350">
              <a:solidFill>
                <a:srgbClr val="D9D9D9"/>
              </a:solidFill>
            </a:ln>
          </c:spPr>
        </c:majorGridlines>
        <c:title>
          <c:tx>
            <c:rich>
              <a:bodyPr/>
              <a:lstStyle/>
              <a:p>
                <a:pPr>
                  <a:defRPr sz="900" b="0" i="0" u="none" strike="noStrike" baseline="0">
                    <a:solidFill>
                      <a:srgbClr val="000000"/>
                    </a:solidFill>
                    <a:latin typeface="Arial" panose="020B0604020202020204" pitchFamily="34" charset="0"/>
                    <a:ea typeface="Calibri"/>
                    <a:cs typeface="Arial" panose="020B0604020202020204" pitchFamily="34" charset="0"/>
                  </a:defRPr>
                </a:pPr>
                <a:r>
                  <a:rPr lang="en-NZ" sz="900">
                    <a:latin typeface="Arial" panose="020B0604020202020204" pitchFamily="34" charset="0"/>
                    <a:cs typeface="Arial" panose="020B0604020202020204" pitchFamily="34" charset="0"/>
                  </a:rPr>
                  <a:t>Livestock population (head)</a:t>
                </a:r>
              </a:p>
            </c:rich>
          </c:tx>
          <c:layout>
            <c:manualLayout>
              <c:xMode val="edge"/>
              <c:yMode val="edge"/>
              <c:x val="2.4367115400897511E-4"/>
              <c:y val="0.28188136763415395"/>
            </c:manualLayout>
          </c:layout>
          <c:overlay val="0"/>
          <c:spPr>
            <a:noFill/>
            <a:ln w="25400">
              <a:noFill/>
            </a:ln>
          </c:spPr>
        </c:title>
        <c:numFmt formatCode="#,##0" sourceLinked="0"/>
        <c:majorTickMark val="out"/>
        <c:minorTickMark val="none"/>
        <c:tickLblPos val="nextTo"/>
        <c:spPr>
          <a:ln w="12700">
            <a:solidFill>
              <a:sysClr val="windowText" lastClr="000000"/>
            </a:solidFill>
          </a:ln>
        </c:spPr>
        <c:txPr>
          <a:bodyPr rot="0" vert="horz"/>
          <a:lstStyle/>
          <a:p>
            <a:pPr>
              <a:defRPr sz="700" b="0" i="0" u="none" strike="noStrike" baseline="0">
                <a:solidFill>
                  <a:srgbClr val="000000"/>
                </a:solidFill>
                <a:latin typeface="Arial" panose="020B0604020202020204" pitchFamily="34" charset="0"/>
                <a:ea typeface="Arial"/>
                <a:cs typeface="Arial" panose="020B0604020202020204" pitchFamily="34" charset="0"/>
              </a:defRPr>
            </a:pPr>
            <a:endParaRPr lang="en-US"/>
          </a:p>
        </c:txPr>
        <c:crossAx val="193931456"/>
        <c:crosses val="autoZero"/>
        <c:crossBetween val="midCat"/>
      </c:valAx>
      <c:spPr>
        <a:solidFill>
          <a:schemeClr val="bg1"/>
        </a:solidFill>
      </c:spPr>
    </c:plotArea>
    <c:legend>
      <c:legendPos val="b"/>
      <c:layout>
        <c:manualLayout>
          <c:xMode val="edge"/>
          <c:yMode val="edge"/>
          <c:x val="0.2641403157938591"/>
          <c:y val="0.94643481670149343"/>
          <c:w val="0.47171936841228179"/>
          <c:h val="5.3565183298506597E-2"/>
        </c:manualLayout>
      </c:layout>
      <c:overlay val="0"/>
      <c:txPr>
        <a:bodyPr/>
        <a:lstStyle/>
        <a:p>
          <a:pPr>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areaChart>
        <c:grouping val="stacked"/>
        <c:varyColors val="0"/>
        <c:ser>
          <c:idx val="2"/>
          <c:order val="0"/>
          <c:tx>
            <c:strRef>
              <c:f>'Total Emissions'!$A$125</c:f>
              <c:strCache>
                <c:ptCount val="1"/>
                <c:pt idx="0">
                  <c:v>1.A.4.b Residential</c:v>
                </c:pt>
              </c:strCache>
            </c:strRef>
          </c:tx>
          <c:spPr>
            <a:solidFill>
              <a:srgbClr val="A40000"/>
            </a:solidFill>
            <a:ln w="25400">
              <a:noFill/>
            </a:ln>
            <a:effectLst/>
          </c:spPr>
          <c:cat>
            <c:numRef>
              <c:f>'Total Emissions'!$F$82:$AO$82</c:f>
              <c:numCache>
                <c:formatCode>0</c:formatCode>
                <c:ptCount val="30"/>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numCache>
            </c:numRef>
          </c:cat>
          <c:val>
            <c:numRef>
              <c:f>'Total Emissions'!$F$126:$AO$126</c:f>
              <c:numCache>
                <c:formatCode>General</c:formatCode>
                <c:ptCount val="30"/>
                <c:pt idx="0">
                  <c:v>0.125633914236504</c:v>
                </c:pt>
                <c:pt idx="1">
                  <c:v>0.125633914236504</c:v>
                </c:pt>
                <c:pt idx="2">
                  <c:v>0.125633914236504</c:v>
                </c:pt>
                <c:pt idx="3">
                  <c:v>0.125633914236504</c:v>
                </c:pt>
                <c:pt idx="4">
                  <c:v>0.125633914236504</c:v>
                </c:pt>
                <c:pt idx="5">
                  <c:v>0.125633914236504</c:v>
                </c:pt>
                <c:pt idx="6">
                  <c:v>0.125633914236504</c:v>
                </c:pt>
                <c:pt idx="7">
                  <c:v>0.125633914236504</c:v>
                </c:pt>
                <c:pt idx="8">
                  <c:v>0.125633914236504</c:v>
                </c:pt>
                <c:pt idx="9">
                  <c:v>0.125633914236504</c:v>
                </c:pt>
                <c:pt idx="10">
                  <c:v>0.125633914236504</c:v>
                </c:pt>
                <c:pt idx="11">
                  <c:v>0.125633914236504</c:v>
                </c:pt>
                <c:pt idx="12">
                  <c:v>0.125633914236504</c:v>
                </c:pt>
                <c:pt idx="13">
                  <c:v>0.125633914236504</c:v>
                </c:pt>
                <c:pt idx="14">
                  <c:v>0.125633914236504</c:v>
                </c:pt>
                <c:pt idx="15">
                  <c:v>0.125633914236504</c:v>
                </c:pt>
                <c:pt idx="16">
                  <c:v>0.125633914236504</c:v>
                </c:pt>
                <c:pt idx="17">
                  <c:v>0.125633914236504</c:v>
                </c:pt>
                <c:pt idx="18">
                  <c:v>0.125633914236504</c:v>
                </c:pt>
                <c:pt idx="19">
                  <c:v>0.125633914236504</c:v>
                </c:pt>
                <c:pt idx="20">
                  <c:v>0.125633914236504</c:v>
                </c:pt>
                <c:pt idx="21">
                  <c:v>0.125633914236504</c:v>
                </c:pt>
                <c:pt idx="22">
                  <c:v>0.125633914236504</c:v>
                </c:pt>
                <c:pt idx="23">
                  <c:v>0.125633914236504</c:v>
                </c:pt>
                <c:pt idx="24">
                  <c:v>0.125633914236504</c:v>
                </c:pt>
                <c:pt idx="25">
                  <c:v>0.125633914236504</c:v>
                </c:pt>
                <c:pt idx="26">
                  <c:v>0.125633914236504</c:v>
                </c:pt>
                <c:pt idx="27">
                  <c:v>0.125633914236504</c:v>
                </c:pt>
                <c:pt idx="28">
                  <c:v>0.125633914236504</c:v>
                </c:pt>
                <c:pt idx="29">
                  <c:v>7.2894638358288008E-2</c:v>
                </c:pt>
              </c:numCache>
            </c:numRef>
          </c:val>
          <c:extLst>
            <c:ext xmlns:c16="http://schemas.microsoft.com/office/drawing/2014/chart" uri="{C3380CC4-5D6E-409C-BE32-E72D297353CC}">
              <c16:uniqueId val="{00000000-0EDD-492C-A262-0D21C1395537}"/>
            </c:ext>
          </c:extLst>
        </c:ser>
        <c:ser>
          <c:idx val="0"/>
          <c:order val="1"/>
          <c:tx>
            <c:strRef>
              <c:f>'Total Emissions'!$A$119</c:f>
              <c:strCache>
                <c:ptCount val="1"/>
                <c:pt idx="0">
                  <c:v>1.A.3.d Domestic navigation</c:v>
                </c:pt>
              </c:strCache>
            </c:strRef>
          </c:tx>
          <c:spPr>
            <a:solidFill>
              <a:srgbClr val="649600"/>
            </a:solidFill>
            <a:ln w="25400">
              <a:noFill/>
            </a:ln>
            <a:effectLst/>
          </c:spPr>
          <c:cat>
            <c:numRef>
              <c:f>'Total Emissions'!$F$82:$AO$82</c:f>
              <c:numCache>
                <c:formatCode>0</c:formatCode>
                <c:ptCount val="30"/>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numCache>
            </c:numRef>
          </c:cat>
          <c:val>
            <c:numRef>
              <c:f>'Total Emissions'!$F$120:$AO$120</c:f>
              <c:numCache>
                <c:formatCode>General</c:formatCode>
                <c:ptCount val="30"/>
                <c:pt idx="0">
                  <c:v>0.90739204029076148</c:v>
                </c:pt>
                <c:pt idx="1">
                  <c:v>0.92344277008460784</c:v>
                </c:pt>
                <c:pt idx="2">
                  <c:v>0.93949349987845387</c:v>
                </c:pt>
                <c:pt idx="3">
                  <c:v>0.95554422967229991</c:v>
                </c:pt>
                <c:pt idx="4">
                  <c:v>0.97159495946614627</c:v>
                </c:pt>
                <c:pt idx="5">
                  <c:v>0.9876456892599923</c:v>
                </c:pt>
                <c:pt idx="6">
                  <c:v>1.0036964190538384</c:v>
                </c:pt>
                <c:pt idx="7">
                  <c:v>1.0197471488476848</c:v>
                </c:pt>
                <c:pt idx="8">
                  <c:v>1.0357978786415307</c:v>
                </c:pt>
                <c:pt idx="9">
                  <c:v>1.0518486084353773</c:v>
                </c:pt>
                <c:pt idx="10">
                  <c:v>1.067899338229223</c:v>
                </c:pt>
                <c:pt idx="11">
                  <c:v>1.0839500680230694</c:v>
                </c:pt>
                <c:pt idx="12">
                  <c:v>1.1000007978169155</c:v>
                </c:pt>
                <c:pt idx="13">
                  <c:v>1.1160515276107617</c:v>
                </c:pt>
                <c:pt idx="14">
                  <c:v>1.1321022574046078</c:v>
                </c:pt>
                <c:pt idx="15">
                  <c:v>1.1481529871984537</c:v>
                </c:pt>
                <c:pt idx="16">
                  <c:v>1.1642037169923001</c:v>
                </c:pt>
                <c:pt idx="17">
                  <c:v>1.1802544467861462</c:v>
                </c:pt>
                <c:pt idx="18">
                  <c:v>1.1963051765799921</c:v>
                </c:pt>
                <c:pt idx="19">
                  <c:v>1.2123559063738385</c:v>
                </c:pt>
                <c:pt idx="20">
                  <c:v>1.2284066361676846</c:v>
                </c:pt>
                <c:pt idx="21">
                  <c:v>1.2444573659615306</c:v>
                </c:pt>
                <c:pt idx="22">
                  <c:v>1.2605080957553767</c:v>
                </c:pt>
                <c:pt idx="23">
                  <c:v>1.2765588255492231</c:v>
                </c:pt>
                <c:pt idx="24">
                  <c:v>1.292609555343069</c:v>
                </c:pt>
                <c:pt idx="25">
                  <c:v>1.2824722523153773</c:v>
                </c:pt>
                <c:pt idx="26">
                  <c:v>1.3432960704815311</c:v>
                </c:pt>
                <c:pt idx="27">
                  <c:v>1.4142571916753772</c:v>
                </c:pt>
                <c:pt idx="28">
                  <c:v>1.4992792273547118</c:v>
                </c:pt>
                <c:pt idx="29">
                  <c:v>2.1989045651114676</c:v>
                </c:pt>
              </c:numCache>
            </c:numRef>
          </c:val>
          <c:extLst>
            <c:ext xmlns:c16="http://schemas.microsoft.com/office/drawing/2014/chart" uri="{C3380CC4-5D6E-409C-BE32-E72D297353CC}">
              <c16:uniqueId val="{00000001-0EDD-492C-A262-0D21C1395537}"/>
            </c:ext>
          </c:extLst>
        </c:ser>
        <c:ser>
          <c:idx val="1"/>
          <c:order val="2"/>
          <c:tx>
            <c:strRef>
              <c:f>'Total Emissions'!$A$113</c:f>
              <c:strCache>
                <c:ptCount val="1"/>
                <c:pt idx="0">
                  <c:v>1.A.1.a Public electricity and heat</c:v>
                </c:pt>
              </c:strCache>
            </c:strRef>
          </c:tx>
          <c:spPr>
            <a:solidFill>
              <a:srgbClr val="365F91"/>
            </a:solidFill>
            <a:ln w="25400">
              <a:noFill/>
            </a:ln>
            <a:effectLst/>
          </c:spPr>
          <c:cat>
            <c:numRef>
              <c:f>'Total Emissions'!$F$82:$AO$82</c:f>
              <c:numCache>
                <c:formatCode>0</c:formatCode>
                <c:ptCount val="30"/>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numCache>
            </c:numRef>
          </c:cat>
          <c:val>
            <c:numRef>
              <c:f>'Total Emissions'!$F$114:$AO$114</c:f>
              <c:numCache>
                <c:formatCode>General</c:formatCode>
                <c:ptCount val="30"/>
                <c:pt idx="0">
                  <c:v>0.23086276724851199</c:v>
                </c:pt>
                <c:pt idx="1">
                  <c:v>0.23086276724851199</c:v>
                </c:pt>
                <c:pt idx="2">
                  <c:v>0.23086276724851199</c:v>
                </c:pt>
                <c:pt idx="3">
                  <c:v>0.23086276724851199</c:v>
                </c:pt>
                <c:pt idx="4">
                  <c:v>0.23086276724851199</c:v>
                </c:pt>
                <c:pt idx="5">
                  <c:v>0.23086276724851199</c:v>
                </c:pt>
                <c:pt idx="6">
                  <c:v>0.23086276724851199</c:v>
                </c:pt>
                <c:pt idx="7">
                  <c:v>0.23086276724851199</c:v>
                </c:pt>
                <c:pt idx="8">
                  <c:v>0.23086276724851199</c:v>
                </c:pt>
                <c:pt idx="9">
                  <c:v>0.23086276724851199</c:v>
                </c:pt>
                <c:pt idx="10">
                  <c:v>0.23086276724851199</c:v>
                </c:pt>
                <c:pt idx="11">
                  <c:v>0.23086276724851199</c:v>
                </c:pt>
                <c:pt idx="12">
                  <c:v>0.23086276724851199</c:v>
                </c:pt>
                <c:pt idx="13">
                  <c:v>0.23086276724851199</c:v>
                </c:pt>
                <c:pt idx="14">
                  <c:v>0.69258830174553587</c:v>
                </c:pt>
                <c:pt idx="15">
                  <c:v>1.15431383624256</c:v>
                </c:pt>
                <c:pt idx="16">
                  <c:v>1.15431383624256</c:v>
                </c:pt>
                <c:pt idx="17">
                  <c:v>1.15431383624256</c:v>
                </c:pt>
                <c:pt idx="18">
                  <c:v>1.15431383624256</c:v>
                </c:pt>
                <c:pt idx="19">
                  <c:v>1.15431383624256</c:v>
                </c:pt>
                <c:pt idx="20">
                  <c:v>1.15431383624256</c:v>
                </c:pt>
                <c:pt idx="21">
                  <c:v>1.15431383624256</c:v>
                </c:pt>
                <c:pt idx="22">
                  <c:v>0.91628568548676004</c:v>
                </c:pt>
                <c:pt idx="23">
                  <c:v>0.20220123321935998</c:v>
                </c:pt>
                <c:pt idx="24">
                  <c:v>0.20220123321935998</c:v>
                </c:pt>
                <c:pt idx="25">
                  <c:v>0.20220123321935998</c:v>
                </c:pt>
                <c:pt idx="26">
                  <c:v>0.21535617388784853</c:v>
                </c:pt>
                <c:pt idx="27">
                  <c:v>0.22851111455633702</c:v>
                </c:pt>
                <c:pt idx="28">
                  <c:v>0.24166605522482551</c:v>
                </c:pt>
                <c:pt idx="29">
                  <c:v>0.25482099589331397</c:v>
                </c:pt>
              </c:numCache>
            </c:numRef>
          </c:val>
          <c:extLst>
            <c:ext xmlns:c16="http://schemas.microsoft.com/office/drawing/2014/chart" uri="{C3380CC4-5D6E-409C-BE32-E72D297353CC}">
              <c16:uniqueId val="{00000002-0EDD-492C-A262-0D21C1395537}"/>
            </c:ext>
          </c:extLst>
        </c:ser>
        <c:dLbls>
          <c:showLegendKey val="0"/>
          <c:showVal val="0"/>
          <c:showCatName val="0"/>
          <c:showSerName val="0"/>
          <c:showPercent val="0"/>
          <c:showBubbleSize val="0"/>
        </c:dLbls>
        <c:axId val="746588616"/>
        <c:axId val="746586976"/>
        <c:extLst/>
      </c:areaChart>
      <c:catAx>
        <c:axId val="746588616"/>
        <c:scaling>
          <c:orientation val="minMax"/>
        </c:scaling>
        <c:delete val="0"/>
        <c:axPos val="b"/>
        <c:numFmt formatCode="0" sourceLinked="1"/>
        <c:majorTickMark val="out"/>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en-US"/>
          </a:p>
        </c:txPr>
        <c:crossAx val="746586976"/>
        <c:crosses val="autoZero"/>
        <c:auto val="1"/>
        <c:lblAlgn val="ctr"/>
        <c:lblOffset val="100"/>
        <c:tickLblSkip val="2"/>
        <c:noMultiLvlLbl val="0"/>
      </c:catAx>
      <c:valAx>
        <c:axId val="7465869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NZ" sz="900" b="0" i="0" baseline="0">
                    <a:effectLst/>
                    <a:latin typeface="Arial" panose="020B0604020202020204" pitchFamily="34" charset="0"/>
                    <a:cs typeface="Arial" panose="020B0604020202020204" pitchFamily="34" charset="0"/>
                  </a:rPr>
                  <a:t>kt CO</a:t>
                </a:r>
                <a:r>
                  <a:rPr lang="en-NZ" sz="900" b="0" i="0" baseline="-25000">
                    <a:effectLst/>
                    <a:latin typeface="Arial" panose="020B0604020202020204" pitchFamily="34" charset="0"/>
                    <a:cs typeface="Arial" panose="020B0604020202020204" pitchFamily="34" charset="0"/>
                  </a:rPr>
                  <a:t>2</a:t>
                </a:r>
                <a:r>
                  <a:rPr lang="en-NZ" sz="900" b="0" i="0" baseline="0">
                    <a:effectLst/>
                    <a:latin typeface="Arial" panose="020B0604020202020204" pitchFamily="34" charset="0"/>
                    <a:cs typeface="Arial" panose="020B0604020202020204" pitchFamily="34" charset="0"/>
                  </a:rPr>
                  <a:t>-equivalent</a:t>
                </a:r>
                <a:endParaRPr lang="en-NZ" sz="900">
                  <a:effectLst/>
                  <a:latin typeface="Arial" panose="020B0604020202020204" pitchFamily="34" charset="0"/>
                  <a:cs typeface="Arial" panose="020B0604020202020204" pitchFamily="34" charset="0"/>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746588616"/>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areaChart>
        <c:grouping val="stacked"/>
        <c:varyColors val="0"/>
        <c:ser>
          <c:idx val="0"/>
          <c:order val="0"/>
          <c:tx>
            <c:strRef>
              <c:f>'Total Emissions'!$A$132</c:f>
              <c:strCache>
                <c:ptCount val="1"/>
                <c:pt idx="0">
                  <c:v>2.F.1.b Domestic refrigeration</c:v>
                </c:pt>
              </c:strCache>
            </c:strRef>
          </c:tx>
          <c:spPr>
            <a:solidFill>
              <a:srgbClr val="936231"/>
            </a:solidFill>
            <a:ln w="25400">
              <a:noFill/>
            </a:ln>
            <a:effectLst/>
          </c:spPr>
          <c:cat>
            <c:numRef>
              <c:f>'Total Emissions'!$F$82:$AI$82</c:f>
              <c:numCache>
                <c:formatCode>0</c:formatCode>
                <c:ptCount val="30"/>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numCache>
              <c:extLst/>
            </c:numRef>
          </c:cat>
          <c:val>
            <c:numRef>
              <c:f>'Total Emissions'!$F$133:$AI$133</c:f>
              <c:numCache>
                <c:formatCode>General</c:formatCode>
                <c:ptCount val="30"/>
                <c:pt idx="0">
                  <c:v>0</c:v>
                </c:pt>
                <c:pt idx="1">
                  <c:v>0</c:v>
                </c:pt>
                <c:pt idx="2">
                  <c:v>0</c:v>
                </c:pt>
                <c:pt idx="3">
                  <c:v>0</c:v>
                </c:pt>
                <c:pt idx="4">
                  <c:v>3.5113650000000002E-3</c:v>
                </c:pt>
                <c:pt idx="5">
                  <c:v>8.3125899999999999E-3</c:v>
                </c:pt>
                <c:pt idx="6">
                  <c:v>1.4403674999999999E-2</c:v>
                </c:pt>
                <c:pt idx="7">
                  <c:v>1.8798779999999994E-2</c:v>
                </c:pt>
                <c:pt idx="8">
                  <c:v>2.2990824999999996E-2</c:v>
                </c:pt>
                <c:pt idx="9">
                  <c:v>2.6979809999999993E-2</c:v>
                </c:pt>
                <c:pt idx="10">
                  <c:v>3.0765734999999992E-2</c:v>
                </c:pt>
                <c:pt idx="11">
                  <c:v>3.4348599999999993E-2</c:v>
                </c:pt>
                <c:pt idx="12">
                  <c:v>4.3211024999999993E-2</c:v>
                </c:pt>
                <c:pt idx="13">
                  <c:v>5.3088749999999983E-2</c:v>
                </c:pt>
                <c:pt idx="14">
                  <c:v>5.8165249999999981E-2</c:v>
                </c:pt>
                <c:pt idx="15">
                  <c:v>6.3241749999999999E-2</c:v>
                </c:pt>
                <c:pt idx="16">
                  <c:v>6.8318249999999983E-2</c:v>
                </c:pt>
                <c:pt idx="17">
                  <c:v>6.7781999999999981E-2</c:v>
                </c:pt>
                <c:pt idx="18">
                  <c:v>6.7245749999999979E-2</c:v>
                </c:pt>
                <c:pt idx="19">
                  <c:v>6.6709499999999977E-2</c:v>
                </c:pt>
                <c:pt idx="20">
                  <c:v>6.6173249999999989E-2</c:v>
                </c:pt>
                <c:pt idx="21">
                  <c:v>6.5636999999999987E-2</c:v>
                </c:pt>
                <c:pt idx="22">
                  <c:v>6.1432799999999982E-2</c:v>
                </c:pt>
                <c:pt idx="23">
                  <c:v>5.722859999999997E-2</c:v>
                </c:pt>
                <c:pt idx="24">
                  <c:v>5.3024399999999978E-2</c:v>
                </c:pt>
                <c:pt idx="25">
                  <c:v>4.882019999999998E-2</c:v>
                </c:pt>
                <c:pt idx="26">
                  <c:v>4.4615999999999989E-2</c:v>
                </c:pt>
                <c:pt idx="27">
                  <c:v>4.4615999999999989E-2</c:v>
                </c:pt>
                <c:pt idx="28">
                  <c:v>4.4615999999999989E-2</c:v>
                </c:pt>
                <c:pt idx="29">
                  <c:v>4.4615999999999989E-2</c:v>
                </c:pt>
              </c:numCache>
              <c:extLst/>
            </c:numRef>
          </c:val>
          <c:extLst>
            <c:ext xmlns:c16="http://schemas.microsoft.com/office/drawing/2014/chart" uri="{C3380CC4-5D6E-409C-BE32-E72D297353CC}">
              <c16:uniqueId val="{00000000-716E-42F2-9324-DD8A52850D2E}"/>
            </c:ext>
          </c:extLst>
        </c:ser>
        <c:ser>
          <c:idx val="2"/>
          <c:order val="1"/>
          <c:tx>
            <c:strRef>
              <c:f>'Total Emissions'!$A$136</c:f>
              <c:strCache>
                <c:ptCount val="1"/>
                <c:pt idx="0">
                  <c:v>2.F.1.f Stationary air-conditioning</c:v>
                </c:pt>
              </c:strCache>
            </c:strRef>
          </c:tx>
          <c:spPr>
            <a:solidFill>
              <a:srgbClr val="A0A2AA"/>
            </a:solidFill>
            <a:ln w="25400">
              <a:noFill/>
            </a:ln>
            <a:effectLst/>
          </c:spPr>
          <c:cat>
            <c:numRef>
              <c:f>'Total Emissions'!$F$82:$AI$82</c:f>
              <c:numCache>
                <c:formatCode>0</c:formatCode>
                <c:ptCount val="30"/>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numCache>
              <c:extLst/>
            </c:numRef>
          </c:cat>
          <c:val>
            <c:numRef>
              <c:f>'Total Emissions'!$F$137:$AI$137</c:f>
              <c:numCache>
                <c:formatCode>General</c:formatCode>
                <c:ptCount val="30"/>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1.7057925000000005E-2</c:v>
                </c:pt>
                <c:pt idx="18">
                  <c:v>3.411585000000001E-2</c:v>
                </c:pt>
                <c:pt idx="19">
                  <c:v>5.1173775000000005E-2</c:v>
                </c:pt>
                <c:pt idx="20">
                  <c:v>6.823170000000002E-2</c:v>
                </c:pt>
                <c:pt idx="21">
                  <c:v>8.5289625000000022E-2</c:v>
                </c:pt>
                <c:pt idx="22">
                  <c:v>0.10234755000000001</c:v>
                </c:pt>
                <c:pt idx="23">
                  <c:v>0.119405475</c:v>
                </c:pt>
                <c:pt idx="24">
                  <c:v>0.13646340000000004</c:v>
                </c:pt>
                <c:pt idx="25">
                  <c:v>0.15352132499999999</c:v>
                </c:pt>
                <c:pt idx="26">
                  <c:v>0.17057925000000004</c:v>
                </c:pt>
                <c:pt idx="27">
                  <c:v>0.17057925000000004</c:v>
                </c:pt>
                <c:pt idx="28">
                  <c:v>0.17057925000000004</c:v>
                </c:pt>
                <c:pt idx="29">
                  <c:v>0.17057925000000004</c:v>
                </c:pt>
              </c:numCache>
              <c:extLst/>
            </c:numRef>
          </c:val>
          <c:extLst>
            <c:ext xmlns:c16="http://schemas.microsoft.com/office/drawing/2014/chart" uri="{C3380CC4-5D6E-409C-BE32-E72D297353CC}">
              <c16:uniqueId val="{00000001-716E-42F2-9324-DD8A52850D2E}"/>
            </c:ext>
          </c:extLst>
        </c:ser>
        <c:ser>
          <c:idx val="3"/>
          <c:order val="2"/>
          <c:tx>
            <c:strRef>
              <c:f>'Total Emissions'!$A$140</c:f>
              <c:strCache>
                <c:ptCount val="1"/>
                <c:pt idx="0">
                  <c:v>2.F.4.a Metered dose inhalers</c:v>
                </c:pt>
              </c:strCache>
            </c:strRef>
          </c:tx>
          <c:spPr>
            <a:solidFill>
              <a:srgbClr val="649600"/>
            </a:solidFill>
            <a:ln w="25400">
              <a:noFill/>
            </a:ln>
            <a:effectLst/>
          </c:spPr>
          <c:cat>
            <c:numRef>
              <c:f>'Total Emissions'!$F$82:$AI$82</c:f>
              <c:numCache>
                <c:formatCode>0</c:formatCode>
                <c:ptCount val="30"/>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numCache>
              <c:extLst/>
            </c:numRef>
          </c:cat>
          <c:val>
            <c:numRef>
              <c:f>'Total Emissions'!$F$141:$AI$141</c:f>
              <c:numCache>
                <c:formatCode>General</c:formatCode>
                <c:ptCount val="30"/>
                <c:pt idx="0">
                  <c:v>0</c:v>
                </c:pt>
                <c:pt idx="1">
                  <c:v>0</c:v>
                </c:pt>
                <c:pt idx="2">
                  <c:v>0</c:v>
                </c:pt>
                <c:pt idx="3">
                  <c:v>0</c:v>
                </c:pt>
                <c:pt idx="4">
                  <c:v>0</c:v>
                </c:pt>
                <c:pt idx="5">
                  <c:v>1.1878235762268325E-4</c:v>
                </c:pt>
                <c:pt idx="6">
                  <c:v>6.9937729846104781E-4</c:v>
                </c:pt>
                <c:pt idx="7">
                  <c:v>1.1443681515765115E-3</c:v>
                </c:pt>
                <c:pt idx="8">
                  <c:v>1.6914494633343785E-3</c:v>
                </c:pt>
                <c:pt idx="9">
                  <c:v>2.4399342928788357E-3</c:v>
                </c:pt>
                <c:pt idx="10">
                  <c:v>2.8535389150454995E-3</c:v>
                </c:pt>
                <c:pt idx="11">
                  <c:v>6.0918896148267976E-3</c:v>
                </c:pt>
                <c:pt idx="12">
                  <c:v>1.1539050676184024E-2</c:v>
                </c:pt>
                <c:pt idx="13">
                  <c:v>1.3899399626493851E-2</c:v>
                </c:pt>
                <c:pt idx="14">
                  <c:v>1.3655304561323781E-2</c:v>
                </c:pt>
                <c:pt idx="15">
                  <c:v>1.3659530331331222E-2</c:v>
                </c:pt>
                <c:pt idx="16">
                  <c:v>1.335031828084441E-2</c:v>
                </c:pt>
                <c:pt idx="17">
                  <c:v>1.3618165360116275E-2</c:v>
                </c:pt>
                <c:pt idx="18">
                  <c:v>1.4175826356946128E-2</c:v>
                </c:pt>
                <c:pt idx="19">
                  <c:v>1.4762108510837564E-2</c:v>
                </c:pt>
                <c:pt idx="20">
                  <c:v>1.5457880609940668E-2</c:v>
                </c:pt>
                <c:pt idx="21">
                  <c:v>1.7215140007252352E-2</c:v>
                </c:pt>
                <c:pt idx="22">
                  <c:v>1.8928938132431027E-2</c:v>
                </c:pt>
                <c:pt idx="23">
                  <c:v>1.9101172500002681E-2</c:v>
                </c:pt>
                <c:pt idx="24">
                  <c:v>1.9141396220066529E-2</c:v>
                </c:pt>
                <c:pt idx="25">
                  <c:v>1.9467095375299528E-2</c:v>
                </c:pt>
                <c:pt idx="26">
                  <c:v>1.9501154281517205E-2</c:v>
                </c:pt>
                <c:pt idx="27">
                  <c:v>1.9147694115242343E-2</c:v>
                </c:pt>
                <c:pt idx="28">
                  <c:v>1.9008088956699282E-2</c:v>
                </c:pt>
                <c:pt idx="29">
                  <c:v>1.9008088956699282E-2</c:v>
                </c:pt>
              </c:numCache>
              <c:extLst/>
            </c:numRef>
          </c:val>
          <c:extLst>
            <c:ext xmlns:c16="http://schemas.microsoft.com/office/drawing/2014/chart" uri="{C3380CC4-5D6E-409C-BE32-E72D297353CC}">
              <c16:uniqueId val="{00000002-716E-42F2-9324-DD8A52850D2E}"/>
            </c:ext>
          </c:extLst>
        </c:ser>
        <c:ser>
          <c:idx val="4"/>
          <c:order val="3"/>
          <c:tx>
            <c:strRef>
              <c:f>'Total Emissions'!$A$144</c:f>
              <c:strCache>
                <c:ptCount val="1"/>
                <c:pt idx="0">
                  <c:v>2.G.3.a Medical applications</c:v>
                </c:pt>
              </c:strCache>
            </c:strRef>
          </c:tx>
          <c:spPr>
            <a:solidFill>
              <a:srgbClr val="365F91"/>
            </a:solidFill>
            <a:ln w="25400">
              <a:noFill/>
            </a:ln>
            <a:effectLst/>
          </c:spPr>
          <c:cat>
            <c:numRef>
              <c:f>'Total Emissions'!$F$82:$AI$82</c:f>
              <c:numCache>
                <c:formatCode>0</c:formatCode>
                <c:ptCount val="30"/>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numCache>
              <c:extLst/>
            </c:numRef>
          </c:cat>
          <c:val>
            <c:numRef>
              <c:f>'Total Emissions'!$F$145:$AI$145</c:f>
              <c:numCache>
                <c:formatCode>General</c:formatCode>
                <c:ptCount val="30"/>
                <c:pt idx="0">
                  <c:v>4.7089331065965627E-2</c:v>
                </c:pt>
                <c:pt idx="1">
                  <c:v>4.2544281373684406E-2</c:v>
                </c:pt>
                <c:pt idx="2">
                  <c:v>3.9849013750849871E-2</c:v>
                </c:pt>
                <c:pt idx="3">
                  <c:v>3.7230273615764975E-2</c:v>
                </c:pt>
                <c:pt idx="4">
                  <c:v>3.4741953742924693E-2</c:v>
                </c:pt>
                <c:pt idx="5">
                  <c:v>3.2356542052833191E-2</c:v>
                </c:pt>
                <c:pt idx="6">
                  <c:v>3.016435528290359E-2</c:v>
                </c:pt>
                <c:pt idx="7">
                  <c:v>2.8133459175032391E-2</c:v>
                </c:pt>
                <c:pt idx="8">
                  <c:v>2.6335935185369853E-2</c:v>
                </c:pt>
                <c:pt idx="9">
                  <c:v>2.4682380949608243E-2</c:v>
                </c:pt>
                <c:pt idx="10">
                  <c:v>2.3131363043660896E-2</c:v>
                </c:pt>
                <c:pt idx="11">
                  <c:v>2.1560348002565101E-2</c:v>
                </c:pt>
                <c:pt idx="12">
                  <c:v>1.9279007597575216E-2</c:v>
                </c:pt>
                <c:pt idx="13">
                  <c:v>1.7074322926925355E-2</c:v>
                </c:pt>
                <c:pt idx="14">
                  <c:v>1.4950157985562552E-2</c:v>
                </c:pt>
                <c:pt idx="15">
                  <c:v>1.2961653592886329E-2</c:v>
                </c:pt>
                <c:pt idx="16">
                  <c:v>1.1123334442042243E-2</c:v>
                </c:pt>
                <c:pt idx="17">
                  <c:v>1.2068687660456464E-2</c:v>
                </c:pt>
                <c:pt idx="18">
                  <c:v>1.4449912295867111E-2</c:v>
                </c:pt>
                <c:pt idx="19">
                  <c:v>1.4530734793748987E-2</c:v>
                </c:pt>
                <c:pt idx="20">
                  <c:v>1.4604575367520974E-2</c:v>
                </c:pt>
                <c:pt idx="21">
                  <c:v>1.4610426421784787E-2</c:v>
                </c:pt>
                <c:pt idx="22">
                  <c:v>1.5332365620551751E-2</c:v>
                </c:pt>
                <c:pt idx="23">
                  <c:v>1.6513140220742659E-2</c:v>
                </c:pt>
                <c:pt idx="24">
                  <c:v>1.6068419619725115E-2</c:v>
                </c:pt>
                <c:pt idx="25">
                  <c:v>1.6412815053902265E-2</c:v>
                </c:pt>
                <c:pt idx="26">
                  <c:v>1.5967516325412875E-2</c:v>
                </c:pt>
                <c:pt idx="27">
                  <c:v>1.6390169164396003E-2</c:v>
                </c:pt>
                <c:pt idx="28">
                  <c:v>2.1666483568656598E-2</c:v>
                </c:pt>
                <c:pt idx="29">
                  <c:v>2.1666483568656598E-2</c:v>
                </c:pt>
              </c:numCache>
              <c:extLst/>
            </c:numRef>
          </c:val>
          <c:extLst>
            <c:ext xmlns:c16="http://schemas.microsoft.com/office/drawing/2014/chart" uri="{C3380CC4-5D6E-409C-BE32-E72D297353CC}">
              <c16:uniqueId val="{00000003-716E-42F2-9324-DD8A52850D2E}"/>
            </c:ext>
          </c:extLst>
        </c:ser>
        <c:dLbls>
          <c:showLegendKey val="0"/>
          <c:showVal val="0"/>
          <c:showCatName val="0"/>
          <c:showSerName val="0"/>
          <c:showPercent val="0"/>
          <c:showBubbleSize val="0"/>
        </c:dLbls>
        <c:axId val="746588616"/>
        <c:axId val="746586976"/>
        <c:extLst/>
      </c:areaChart>
      <c:catAx>
        <c:axId val="746588616"/>
        <c:scaling>
          <c:orientation val="minMax"/>
        </c:scaling>
        <c:delete val="0"/>
        <c:axPos val="b"/>
        <c:numFmt formatCode="0" sourceLinked="1"/>
        <c:majorTickMark val="out"/>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7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746586976"/>
        <c:crosses val="autoZero"/>
        <c:auto val="1"/>
        <c:lblAlgn val="ctr"/>
        <c:lblOffset val="100"/>
        <c:tickLblSkip val="2"/>
        <c:noMultiLvlLbl val="0"/>
      </c:catAx>
      <c:valAx>
        <c:axId val="7465869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5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NZ" sz="900" b="0" i="0" baseline="0">
                    <a:effectLst/>
                    <a:latin typeface="Arial" panose="020B0604020202020204" pitchFamily="34" charset="0"/>
                    <a:cs typeface="Arial" panose="020B0604020202020204" pitchFamily="34" charset="0"/>
                  </a:rPr>
                  <a:t>kt CO</a:t>
                </a:r>
                <a:r>
                  <a:rPr lang="en-NZ" sz="900" b="0" i="0" baseline="-25000">
                    <a:effectLst/>
                    <a:latin typeface="Arial" panose="020B0604020202020204" pitchFamily="34" charset="0"/>
                    <a:cs typeface="Arial" panose="020B0604020202020204" pitchFamily="34" charset="0"/>
                  </a:rPr>
                  <a:t>2</a:t>
                </a:r>
                <a:r>
                  <a:rPr lang="en-NZ" sz="900" b="0" i="0" baseline="0">
                    <a:effectLst/>
                    <a:latin typeface="Arial" panose="020B0604020202020204" pitchFamily="34" charset="0"/>
                    <a:cs typeface="Arial" panose="020B0604020202020204" pitchFamily="34" charset="0"/>
                  </a:rPr>
                  <a:t>-equivalent</a:t>
                </a:r>
                <a:endParaRPr lang="en-NZ" sz="900">
                  <a:effectLst/>
                  <a:latin typeface="Arial" panose="020B0604020202020204" pitchFamily="34" charset="0"/>
                  <a:cs typeface="Arial" panose="020B0604020202020204" pitchFamily="34" charset="0"/>
                </a:endParaRPr>
              </a:p>
              <a:p>
                <a:pPr>
                  <a:defRPr>
                    <a:latin typeface="Arial" panose="020B0604020202020204" pitchFamily="34" charset="0"/>
                    <a:cs typeface="Arial" panose="020B0604020202020204" pitchFamily="34" charset="0"/>
                  </a:defRPr>
                </a:pPr>
                <a:endParaRPr lang="en-NZ">
                  <a:latin typeface="Arial" panose="020B0604020202020204" pitchFamily="34" charset="0"/>
                  <a:cs typeface="Arial" panose="020B0604020202020204" pitchFamily="34" charset="0"/>
                </a:endParaRPr>
              </a:p>
            </c:rich>
          </c:tx>
          <c:layout>
            <c:manualLayout>
              <c:xMode val="edge"/>
              <c:yMode val="edge"/>
              <c:x val="2.9629629629629631E-2"/>
              <c:y val="0.25960400262467193"/>
            </c:manualLayout>
          </c:layout>
          <c:overlay val="0"/>
          <c:spPr>
            <a:noFill/>
            <a:ln>
              <a:noFill/>
            </a:ln>
            <a:effectLst/>
          </c:spPr>
          <c:txPr>
            <a:bodyPr rot="-5400000" spcFirstLastPara="1" vertOverflow="ellipsis" vert="horz" wrap="square" anchor="ctr" anchorCtr="1"/>
            <a:lstStyle/>
            <a:p>
              <a:pPr>
                <a:defRPr sz="105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746588616"/>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zero"/>
    <c:showDLblsOverMax val="0"/>
  </c:chart>
  <c:spPr>
    <a:solidFill>
      <a:schemeClr val="bg1"/>
    </a:solidFill>
    <a:ln w="9525" cap="flat" cmpd="sng" algn="ctr">
      <a:noFill/>
      <a:round/>
    </a:ln>
    <a:effectLst/>
  </c:spPr>
  <c:txPr>
    <a:bodyPr/>
    <a:lstStyle/>
    <a:p>
      <a:pPr>
        <a:defRPr sz="1050"/>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areaChart>
        <c:grouping val="stacked"/>
        <c:varyColors val="0"/>
        <c:ser>
          <c:idx val="0"/>
          <c:order val="0"/>
          <c:tx>
            <c:strRef>
              <c:f>'Total Emissions'!$A$149</c:f>
              <c:strCache>
                <c:ptCount val="1"/>
                <c:pt idx="0">
                  <c:v>3.A.3 Enteric fermentation swine</c:v>
                </c:pt>
              </c:strCache>
            </c:strRef>
          </c:tx>
          <c:spPr>
            <a:solidFill>
              <a:srgbClr val="649600"/>
            </a:solidFill>
            <a:ln w="25400">
              <a:noFill/>
            </a:ln>
            <a:effectLst/>
          </c:spPr>
          <c:cat>
            <c:numRef>
              <c:f>'Total Emissions'!$F$82:$AO$82</c:f>
              <c:numCache>
                <c:formatCode>0</c:formatCode>
                <c:ptCount val="30"/>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numCache>
            </c:numRef>
          </c:cat>
          <c:val>
            <c:numRef>
              <c:f>'Total Emissions'!$F$150:$AO$150</c:f>
              <c:numCache>
                <c:formatCode>General</c:formatCode>
                <c:ptCount val="30"/>
                <c:pt idx="0">
                  <c:v>8.5987500000000008E-2</c:v>
                </c:pt>
                <c:pt idx="1">
                  <c:v>9.3750000000000014E-2</c:v>
                </c:pt>
                <c:pt idx="2">
                  <c:v>8.9819999999999997E-2</c:v>
                </c:pt>
                <c:pt idx="3">
                  <c:v>8.5889999999999994E-2</c:v>
                </c:pt>
                <c:pt idx="4">
                  <c:v>8.1959999999999991E-2</c:v>
                </c:pt>
                <c:pt idx="5">
                  <c:v>7.8029999999999974E-2</c:v>
                </c:pt>
                <c:pt idx="6">
                  <c:v>7.4099999999999999E-2</c:v>
                </c:pt>
                <c:pt idx="7">
                  <c:v>7.9177500000000012E-2</c:v>
                </c:pt>
                <c:pt idx="8">
                  <c:v>8.425500000000001E-2</c:v>
                </c:pt>
                <c:pt idx="9">
                  <c:v>8.9332500000000009E-2</c:v>
                </c:pt>
                <c:pt idx="10">
                  <c:v>9.4410000000000008E-2</c:v>
                </c:pt>
                <c:pt idx="11">
                  <c:v>9.9487500000000006E-2</c:v>
                </c:pt>
                <c:pt idx="12">
                  <c:v>9.8730000000000026E-2</c:v>
                </c:pt>
                <c:pt idx="13">
                  <c:v>9.7972500000000004E-2</c:v>
                </c:pt>
                <c:pt idx="14">
                  <c:v>9.7215000000000024E-2</c:v>
                </c:pt>
                <c:pt idx="15">
                  <c:v>9.6457500000000029E-2</c:v>
                </c:pt>
                <c:pt idx="16">
                  <c:v>9.5700000000000007E-2</c:v>
                </c:pt>
                <c:pt idx="17">
                  <c:v>9.4274999999999998E-2</c:v>
                </c:pt>
                <c:pt idx="18">
                  <c:v>9.2850000000000002E-2</c:v>
                </c:pt>
                <c:pt idx="19">
                  <c:v>9.1425000000000006E-2</c:v>
                </c:pt>
                <c:pt idx="20">
                  <c:v>0.09</c:v>
                </c:pt>
                <c:pt idx="21">
                  <c:v>8.8575000000000001E-2</c:v>
                </c:pt>
                <c:pt idx="22">
                  <c:v>8.3212500000000009E-2</c:v>
                </c:pt>
                <c:pt idx="23">
                  <c:v>7.7850000000000003E-2</c:v>
                </c:pt>
                <c:pt idx="24">
                  <c:v>7.248750000000001E-2</c:v>
                </c:pt>
                <c:pt idx="25">
                  <c:v>6.712499999999999E-2</c:v>
                </c:pt>
                <c:pt idx="26">
                  <c:v>6.1762499999999998E-2</c:v>
                </c:pt>
                <c:pt idx="27">
                  <c:v>6.1762499999999998E-2</c:v>
                </c:pt>
                <c:pt idx="28">
                  <c:v>6.1762499999999998E-2</c:v>
                </c:pt>
                <c:pt idx="29">
                  <c:v>6.1762499999999998E-2</c:v>
                </c:pt>
              </c:numCache>
            </c:numRef>
          </c:val>
          <c:extLst>
            <c:ext xmlns:c16="http://schemas.microsoft.com/office/drawing/2014/chart" uri="{C3380CC4-5D6E-409C-BE32-E72D297353CC}">
              <c16:uniqueId val="{00000000-CEC7-497D-9944-B227BB8647F5}"/>
            </c:ext>
          </c:extLst>
        </c:ser>
        <c:ser>
          <c:idx val="1"/>
          <c:order val="1"/>
          <c:tx>
            <c:strRef>
              <c:f>'Total Emissions'!$A$153</c:f>
              <c:strCache>
                <c:ptCount val="1"/>
                <c:pt idx="0">
                  <c:v>3.B.1.3 Manure management swine</c:v>
                </c:pt>
              </c:strCache>
            </c:strRef>
          </c:tx>
          <c:spPr>
            <a:solidFill>
              <a:srgbClr val="A0A2AA"/>
            </a:solidFill>
            <a:ln w="25400">
              <a:noFill/>
            </a:ln>
            <a:effectLst/>
          </c:spPr>
          <c:cat>
            <c:numRef>
              <c:f>'Total Emissions'!$F$82:$AO$82</c:f>
              <c:numCache>
                <c:formatCode>0</c:formatCode>
                <c:ptCount val="30"/>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numCache>
            </c:numRef>
          </c:cat>
          <c:val>
            <c:numRef>
              <c:f>'Total Emissions'!$F$154:$AO$154</c:f>
              <c:numCache>
                <c:formatCode>General</c:formatCode>
                <c:ptCount val="30"/>
                <c:pt idx="0">
                  <c:v>1.0605125</c:v>
                </c:pt>
                <c:pt idx="1">
                  <c:v>1.15625</c:v>
                </c:pt>
                <c:pt idx="2">
                  <c:v>1.10778</c:v>
                </c:pt>
                <c:pt idx="3">
                  <c:v>1.0593099999999998</c:v>
                </c:pt>
                <c:pt idx="4">
                  <c:v>1.0108399999999997</c:v>
                </c:pt>
                <c:pt idx="5">
                  <c:v>0.9623699999999995</c:v>
                </c:pt>
                <c:pt idx="6">
                  <c:v>0.91389999999999993</c:v>
                </c:pt>
                <c:pt idx="7">
                  <c:v>0.97652250000000007</c:v>
                </c:pt>
                <c:pt idx="8">
                  <c:v>1.039145</c:v>
                </c:pt>
                <c:pt idx="9">
                  <c:v>1.1017675</c:v>
                </c:pt>
                <c:pt idx="10">
                  <c:v>1.16439</c:v>
                </c:pt>
                <c:pt idx="11">
                  <c:v>1.2270125000000001</c:v>
                </c:pt>
                <c:pt idx="12">
                  <c:v>1.21767</c:v>
                </c:pt>
                <c:pt idx="13">
                  <c:v>1.2083275</c:v>
                </c:pt>
                <c:pt idx="14">
                  <c:v>1.1989850000000002</c:v>
                </c:pt>
                <c:pt idx="15">
                  <c:v>1.1896425000000002</c:v>
                </c:pt>
                <c:pt idx="16">
                  <c:v>1.1802999999999999</c:v>
                </c:pt>
                <c:pt idx="17">
                  <c:v>1.1627249999999998</c:v>
                </c:pt>
                <c:pt idx="18">
                  <c:v>1.1451499999999999</c:v>
                </c:pt>
                <c:pt idx="19">
                  <c:v>1.127575</c:v>
                </c:pt>
                <c:pt idx="20">
                  <c:v>1.1099999999999999</c:v>
                </c:pt>
                <c:pt idx="21">
                  <c:v>1.092425</c:v>
                </c:pt>
                <c:pt idx="22">
                  <c:v>1.0262875</c:v>
                </c:pt>
                <c:pt idx="23">
                  <c:v>0.96014999999999984</c:v>
                </c:pt>
                <c:pt idx="24">
                  <c:v>0.89401249999999999</c:v>
                </c:pt>
                <c:pt idx="25">
                  <c:v>0.82787499999999992</c:v>
                </c:pt>
                <c:pt idx="26">
                  <c:v>0.76173749999999996</c:v>
                </c:pt>
                <c:pt idx="27">
                  <c:v>0.76173749999999996</c:v>
                </c:pt>
                <c:pt idx="28">
                  <c:v>0.76173749999999996</c:v>
                </c:pt>
                <c:pt idx="29">
                  <c:v>0.76173749999999996</c:v>
                </c:pt>
              </c:numCache>
            </c:numRef>
          </c:val>
          <c:extLst>
            <c:ext xmlns:c16="http://schemas.microsoft.com/office/drawing/2014/chart" uri="{C3380CC4-5D6E-409C-BE32-E72D297353CC}">
              <c16:uniqueId val="{00000001-CEC7-497D-9944-B227BB8647F5}"/>
            </c:ext>
          </c:extLst>
        </c:ser>
        <c:ser>
          <c:idx val="3"/>
          <c:order val="2"/>
          <c:tx>
            <c:strRef>
              <c:f>'Total Emissions'!$A$157</c:f>
              <c:strCache>
                <c:ptCount val="1"/>
                <c:pt idx="0">
                  <c:v>3.B.1.4 Manure management poultry</c:v>
                </c:pt>
              </c:strCache>
            </c:strRef>
          </c:tx>
          <c:spPr>
            <a:solidFill>
              <a:srgbClr val="365F91"/>
            </a:solidFill>
            <a:ln w="25400">
              <a:noFill/>
            </a:ln>
            <a:effectLst/>
          </c:spPr>
          <c:cat>
            <c:numRef>
              <c:f>'Total Emissions'!$F$82:$AO$82</c:f>
              <c:numCache>
                <c:formatCode>0</c:formatCode>
                <c:ptCount val="30"/>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numCache>
            </c:numRef>
          </c:cat>
          <c:val>
            <c:numRef>
              <c:f>'Total Emissions'!$F$158:$AO$158</c:f>
              <c:numCache>
                <c:formatCode>General</c:formatCode>
                <c:ptCount val="30"/>
                <c:pt idx="0">
                  <c:v>2.5795499999999999E-3</c:v>
                </c:pt>
                <c:pt idx="1">
                  <c:v>2.6249999999999997E-3</c:v>
                </c:pt>
                <c:pt idx="2">
                  <c:v>2.5455E-3</c:v>
                </c:pt>
                <c:pt idx="3">
                  <c:v>2.4659999999999999E-3</c:v>
                </c:pt>
                <c:pt idx="4">
                  <c:v>2.3864999999999997E-3</c:v>
                </c:pt>
                <c:pt idx="5">
                  <c:v>2.3069999999999996E-3</c:v>
                </c:pt>
                <c:pt idx="6">
                  <c:v>2.2274999999999999E-3</c:v>
                </c:pt>
                <c:pt idx="7">
                  <c:v>2.1296999999999996E-3</c:v>
                </c:pt>
                <c:pt idx="8">
                  <c:v>2.0318999999999997E-3</c:v>
                </c:pt>
                <c:pt idx="9">
                  <c:v>1.9340999999999996E-3</c:v>
                </c:pt>
                <c:pt idx="10">
                  <c:v>1.8362999999999997E-3</c:v>
                </c:pt>
                <c:pt idx="11">
                  <c:v>1.7384999999999996E-3</c:v>
                </c:pt>
                <c:pt idx="12">
                  <c:v>1.6718999999999996E-3</c:v>
                </c:pt>
                <c:pt idx="13">
                  <c:v>1.6052999999999996E-3</c:v>
                </c:pt>
                <c:pt idx="14">
                  <c:v>1.5386999999999994E-3</c:v>
                </c:pt>
                <c:pt idx="15">
                  <c:v>1.4720999999999994E-3</c:v>
                </c:pt>
                <c:pt idx="16">
                  <c:v>1.4054999999999998E-3</c:v>
                </c:pt>
                <c:pt idx="17">
                  <c:v>1.284E-3</c:v>
                </c:pt>
                <c:pt idx="18">
                  <c:v>1.1624999999999999E-3</c:v>
                </c:pt>
                <c:pt idx="19">
                  <c:v>1.0409999999999998E-3</c:v>
                </c:pt>
                <c:pt idx="20">
                  <c:v>9.1949999999999996E-4</c:v>
                </c:pt>
                <c:pt idx="21">
                  <c:v>7.9799999999999999E-4</c:v>
                </c:pt>
                <c:pt idx="22">
                  <c:v>7.3214999999999988E-4</c:v>
                </c:pt>
                <c:pt idx="23">
                  <c:v>6.663000000000001E-4</c:v>
                </c:pt>
                <c:pt idx="24">
                  <c:v>6.0045000000000009E-4</c:v>
                </c:pt>
                <c:pt idx="25">
                  <c:v>5.3460000000000009E-4</c:v>
                </c:pt>
                <c:pt idx="26">
                  <c:v>4.6874999999999998E-4</c:v>
                </c:pt>
                <c:pt idx="27">
                  <c:v>4.6874999999999998E-4</c:v>
                </c:pt>
                <c:pt idx="28">
                  <c:v>4.6874999999999998E-4</c:v>
                </c:pt>
                <c:pt idx="29">
                  <c:v>4.6874999999999998E-4</c:v>
                </c:pt>
              </c:numCache>
            </c:numRef>
          </c:val>
          <c:extLst>
            <c:ext xmlns:c16="http://schemas.microsoft.com/office/drawing/2014/chart" uri="{C3380CC4-5D6E-409C-BE32-E72D297353CC}">
              <c16:uniqueId val="{00000002-CEC7-497D-9944-B227BB8647F5}"/>
            </c:ext>
          </c:extLst>
        </c:ser>
        <c:dLbls>
          <c:showLegendKey val="0"/>
          <c:showVal val="0"/>
          <c:showCatName val="0"/>
          <c:showSerName val="0"/>
          <c:showPercent val="0"/>
          <c:showBubbleSize val="0"/>
        </c:dLbls>
        <c:axId val="746588616"/>
        <c:axId val="746586976"/>
        <c:extLst/>
      </c:areaChart>
      <c:catAx>
        <c:axId val="746588616"/>
        <c:scaling>
          <c:orientation val="minMax"/>
        </c:scaling>
        <c:delete val="0"/>
        <c:axPos val="b"/>
        <c:numFmt formatCode="0" sourceLinked="1"/>
        <c:majorTickMark val="out"/>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46586976"/>
        <c:crosses val="autoZero"/>
        <c:auto val="1"/>
        <c:lblAlgn val="ctr"/>
        <c:lblOffset val="100"/>
        <c:tickLblSkip val="2"/>
        <c:tickMarkSkip val="1"/>
        <c:noMultiLvlLbl val="0"/>
      </c:catAx>
      <c:valAx>
        <c:axId val="746586976"/>
        <c:scaling>
          <c:orientation val="minMax"/>
          <c:max val="1.4"/>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NZ" sz="900" b="0" i="0" baseline="0">
                    <a:effectLst/>
                    <a:latin typeface="Arial" panose="020B0604020202020204" pitchFamily="34" charset="0"/>
                    <a:cs typeface="Arial" panose="020B0604020202020204" pitchFamily="34" charset="0"/>
                  </a:rPr>
                  <a:t>kt CO</a:t>
                </a:r>
                <a:r>
                  <a:rPr lang="en-NZ" sz="900" b="0" i="0" baseline="-25000">
                    <a:effectLst/>
                    <a:latin typeface="Arial" panose="020B0604020202020204" pitchFamily="34" charset="0"/>
                    <a:cs typeface="Arial" panose="020B0604020202020204" pitchFamily="34" charset="0"/>
                  </a:rPr>
                  <a:t>2</a:t>
                </a:r>
                <a:r>
                  <a:rPr lang="en-NZ" sz="900" b="0" i="0" baseline="0">
                    <a:effectLst/>
                    <a:latin typeface="Arial" panose="020B0604020202020204" pitchFamily="34" charset="0"/>
                    <a:cs typeface="Arial" panose="020B0604020202020204" pitchFamily="34" charset="0"/>
                  </a:rPr>
                  <a:t>-equivalent</a:t>
                </a:r>
                <a:endParaRPr lang="en-NZ" sz="300">
                  <a:effectLst/>
                  <a:latin typeface="Arial" panose="020B0604020202020204" pitchFamily="34" charset="0"/>
                  <a:cs typeface="Arial" panose="020B0604020202020204" pitchFamily="34" charset="0"/>
                </a:endParaRPr>
              </a:p>
            </c:rich>
          </c:tx>
          <c:layout>
            <c:manualLayout>
              <c:xMode val="edge"/>
              <c:yMode val="edge"/>
              <c:x val="1.2729124236252547E-2"/>
              <c:y val="0.21113220575934799"/>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46588616"/>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197871067135886"/>
          <c:y val="5.4523347625025122E-2"/>
          <c:w val="0.8142210245070941"/>
          <c:h val="0.71513604310152434"/>
        </c:manualLayout>
      </c:layout>
      <c:scatterChart>
        <c:scatterStyle val="lineMarker"/>
        <c:varyColors val="0"/>
        <c:ser>
          <c:idx val="0"/>
          <c:order val="0"/>
          <c:tx>
            <c:strRef>
              <c:f>'Tables less CEF'!$C$42</c:f>
              <c:strCache>
                <c:ptCount val="1"/>
                <c:pt idx="0">
                  <c:v>Pre-1990 natural forest</c:v>
                </c:pt>
              </c:strCache>
            </c:strRef>
          </c:tx>
          <c:spPr>
            <a:ln w="25400">
              <a:solidFill>
                <a:schemeClr val="tx2">
                  <a:lumMod val="40000"/>
                  <a:lumOff val="60000"/>
                </a:schemeClr>
              </a:solidFill>
            </a:ln>
          </c:spPr>
          <c:marker>
            <c:symbol val="none"/>
          </c:marker>
          <c:xVal>
            <c:numRef>
              <c:f>'Tables less CEF'!$B$43:$B$72</c:f>
              <c:numCache>
                <c:formatCode>General</c:formatCode>
                <c:ptCount val="30"/>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numCache>
            </c:numRef>
          </c:xVal>
          <c:yVal>
            <c:numRef>
              <c:f>'Tables less CEF'!$C$43:$C$72</c:f>
              <c:numCache>
                <c:formatCode>_(* #,##0.00_);_(* \(#,##0.00\);_(* "-"??_);_(@_)</c:formatCode>
                <c:ptCount val="30"/>
                <c:pt idx="0">
                  <c:v>1.844416247003213</c:v>
                </c:pt>
                <c:pt idx="1">
                  <c:v>1.844416247003213</c:v>
                </c:pt>
                <c:pt idx="2">
                  <c:v>1.844416247003213</c:v>
                </c:pt>
                <c:pt idx="3">
                  <c:v>1.844416247003213</c:v>
                </c:pt>
                <c:pt idx="4">
                  <c:v>1.844416247003213</c:v>
                </c:pt>
                <c:pt idx="5">
                  <c:v>1.844416247003213</c:v>
                </c:pt>
                <c:pt idx="6">
                  <c:v>1.844416247003213</c:v>
                </c:pt>
                <c:pt idx="7">
                  <c:v>1.844416247003213</c:v>
                </c:pt>
                <c:pt idx="8">
                  <c:v>1.844416247003213</c:v>
                </c:pt>
                <c:pt idx="9">
                  <c:v>1.844416247003213</c:v>
                </c:pt>
                <c:pt idx="10">
                  <c:v>1.844416247003213</c:v>
                </c:pt>
                <c:pt idx="11">
                  <c:v>1.844416247003213</c:v>
                </c:pt>
                <c:pt idx="12">
                  <c:v>1.844416247003213</c:v>
                </c:pt>
                <c:pt idx="13">
                  <c:v>1.844416247003213</c:v>
                </c:pt>
                <c:pt idx="14">
                  <c:v>1.844416247003213</c:v>
                </c:pt>
                <c:pt idx="15">
                  <c:v>1.844416247003213</c:v>
                </c:pt>
                <c:pt idx="16">
                  <c:v>1.844416247003213</c:v>
                </c:pt>
                <c:pt idx="17">
                  <c:v>1.8444162470032124</c:v>
                </c:pt>
                <c:pt idx="18">
                  <c:v>0.76206802699999998</c:v>
                </c:pt>
                <c:pt idx="19">
                  <c:v>2.4459406733512603</c:v>
                </c:pt>
                <c:pt idx="20">
                  <c:v>1.93876924435003</c:v>
                </c:pt>
                <c:pt idx="21">
                  <c:v>1.01766002130859</c:v>
                </c:pt>
                <c:pt idx="22">
                  <c:v>1.12117187984738</c:v>
                </c:pt>
                <c:pt idx="23">
                  <c:v>1.0963309990000001</c:v>
                </c:pt>
                <c:pt idx="24">
                  <c:v>0.47809626099999997</c:v>
                </c:pt>
                <c:pt idx="25">
                  <c:v>0.64621371900000013</c:v>
                </c:pt>
                <c:pt idx="26">
                  <c:v>0.40860759300394994</c:v>
                </c:pt>
                <c:pt idx="27">
                  <c:v>0.74962041599999996</c:v>
                </c:pt>
                <c:pt idx="28">
                  <c:v>0.74962041599999996</c:v>
                </c:pt>
                <c:pt idx="29">
                  <c:v>0.74962041599999996</c:v>
                </c:pt>
              </c:numCache>
            </c:numRef>
          </c:yVal>
          <c:smooth val="0"/>
          <c:extLst>
            <c:ext xmlns:c16="http://schemas.microsoft.com/office/drawing/2014/chart" uri="{C3380CC4-5D6E-409C-BE32-E72D297353CC}">
              <c16:uniqueId val="{00000000-F50A-4ADB-B87D-495EA582C2FD}"/>
            </c:ext>
          </c:extLst>
        </c:ser>
        <c:ser>
          <c:idx val="1"/>
          <c:order val="1"/>
          <c:tx>
            <c:strRef>
              <c:f>'Tables less CEF'!$D$42</c:f>
              <c:strCache>
                <c:ptCount val="1"/>
                <c:pt idx="0">
                  <c:v>Pre-1990 planted forest</c:v>
                </c:pt>
              </c:strCache>
            </c:strRef>
          </c:tx>
          <c:spPr>
            <a:ln w="25400">
              <a:solidFill>
                <a:srgbClr val="002EC0"/>
              </a:solidFill>
            </a:ln>
          </c:spPr>
          <c:marker>
            <c:symbol val="none"/>
          </c:marker>
          <c:xVal>
            <c:numRef>
              <c:f>'Tables less CEF'!$B$43:$B$72</c:f>
              <c:numCache>
                <c:formatCode>General</c:formatCode>
                <c:ptCount val="30"/>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numCache>
            </c:numRef>
          </c:xVal>
          <c:yVal>
            <c:numRef>
              <c:f>'Tables less CEF'!$D$43:$D$72</c:f>
              <c:numCache>
                <c:formatCode>_(* #,##0.00_);_(* \(#,##0.00\);_(* "-"??_);_(@_)</c:formatCode>
                <c:ptCount val="30"/>
                <c:pt idx="0">
                  <c:v>0</c:v>
                </c:pt>
                <c:pt idx="1">
                  <c:v>0</c:v>
                </c:pt>
                <c:pt idx="2">
                  <c:v>0</c:v>
                </c:pt>
                <c:pt idx="3">
                  <c:v>0</c:v>
                </c:pt>
                <c:pt idx="4">
                  <c:v>0</c:v>
                </c:pt>
                <c:pt idx="5">
                  <c:v>0</c:v>
                </c:pt>
                <c:pt idx="6">
                  <c:v>0</c:v>
                </c:pt>
                <c:pt idx="7">
                  <c:v>0</c:v>
                </c:pt>
                <c:pt idx="8">
                  <c:v>0</c:v>
                </c:pt>
                <c:pt idx="9">
                  <c:v>0</c:v>
                </c:pt>
                <c:pt idx="10">
                  <c:v>2.746098504912208</c:v>
                </c:pt>
                <c:pt idx="11">
                  <c:v>2.6679806940150077</c:v>
                </c:pt>
                <c:pt idx="12">
                  <c:v>2.0748179526352084</c:v>
                </c:pt>
                <c:pt idx="13">
                  <c:v>3.5573519710784072</c:v>
                </c:pt>
                <c:pt idx="14">
                  <c:v>7.1050013367774074</c:v>
                </c:pt>
                <c:pt idx="15">
                  <c:v>12.852013264979602</c:v>
                </c:pt>
                <c:pt idx="16">
                  <c:v>16.175357989116595</c:v>
                </c:pt>
                <c:pt idx="17">
                  <c:v>21.463017206071786</c:v>
                </c:pt>
                <c:pt idx="18">
                  <c:v>3.8588471729440061</c:v>
                </c:pt>
                <c:pt idx="19">
                  <c:v>5.5923579412986602</c:v>
                </c:pt>
                <c:pt idx="20">
                  <c:v>6.5309767914765366</c:v>
                </c:pt>
                <c:pt idx="21">
                  <c:v>5.425235368243575</c:v>
                </c:pt>
                <c:pt idx="22">
                  <c:v>7.5952855076972776</c:v>
                </c:pt>
                <c:pt idx="23">
                  <c:v>9.8751422079424636</c:v>
                </c:pt>
                <c:pt idx="24">
                  <c:v>6.5569355091311401</c:v>
                </c:pt>
                <c:pt idx="25">
                  <c:v>3.6499943172723297</c:v>
                </c:pt>
                <c:pt idx="26">
                  <c:v>1.7666767843068891</c:v>
                </c:pt>
                <c:pt idx="27">
                  <c:v>2.1161815379999998</c:v>
                </c:pt>
                <c:pt idx="28">
                  <c:v>2.3689552709999999</c:v>
                </c:pt>
                <c:pt idx="29">
                  <c:v>3.0515356039999992</c:v>
                </c:pt>
              </c:numCache>
            </c:numRef>
          </c:yVal>
          <c:smooth val="0"/>
          <c:extLst>
            <c:ext xmlns:c16="http://schemas.microsoft.com/office/drawing/2014/chart" uri="{C3380CC4-5D6E-409C-BE32-E72D297353CC}">
              <c16:uniqueId val="{00000001-F50A-4ADB-B87D-495EA582C2FD}"/>
            </c:ext>
          </c:extLst>
        </c:ser>
        <c:ser>
          <c:idx val="2"/>
          <c:order val="2"/>
          <c:tx>
            <c:strRef>
              <c:f>'Tables less CEF'!$E$42</c:f>
              <c:strCache>
                <c:ptCount val="1"/>
                <c:pt idx="0">
                  <c:v>Post-1989 planted forest</c:v>
                </c:pt>
              </c:strCache>
            </c:strRef>
          </c:tx>
          <c:spPr>
            <a:ln w="25400">
              <a:solidFill>
                <a:sysClr val="window" lastClr="FFFFFF">
                  <a:lumMod val="50000"/>
                </a:sysClr>
              </a:solidFill>
            </a:ln>
          </c:spPr>
          <c:marker>
            <c:symbol val="none"/>
          </c:marker>
          <c:xVal>
            <c:numRef>
              <c:f>'Tables less CEF'!$B$43:$B$72</c:f>
              <c:numCache>
                <c:formatCode>General</c:formatCode>
                <c:ptCount val="30"/>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numCache>
            </c:numRef>
          </c:xVal>
          <c:yVal>
            <c:numRef>
              <c:f>'Tables less CEF'!$E$43:$E$72</c:f>
              <c:numCache>
                <c:formatCode>_(* #,##0.00_);_(* \(#,##0.00\);_(* "-"??_);_(@_)</c:formatCode>
                <c:ptCount val="30"/>
                <c:pt idx="0">
                  <c:v>0</c:v>
                </c:pt>
                <c:pt idx="1">
                  <c:v>0</c:v>
                </c:pt>
                <c:pt idx="2">
                  <c:v>0</c:v>
                </c:pt>
                <c:pt idx="3">
                  <c:v>0</c:v>
                </c:pt>
                <c:pt idx="4">
                  <c:v>0</c:v>
                </c:pt>
                <c:pt idx="5">
                  <c:v>0</c:v>
                </c:pt>
                <c:pt idx="6">
                  <c:v>0</c:v>
                </c:pt>
                <c:pt idx="7">
                  <c:v>0</c:v>
                </c:pt>
                <c:pt idx="8">
                  <c:v>0</c:v>
                </c:pt>
                <c:pt idx="9">
                  <c:v>0</c:v>
                </c:pt>
                <c:pt idx="10">
                  <c:v>0</c:v>
                </c:pt>
                <c:pt idx="11">
                  <c:v>0</c:v>
                </c:pt>
                <c:pt idx="12">
                  <c:v>0.59838188287470007</c:v>
                </c:pt>
                <c:pt idx="13">
                  <c:v>1.8863809934285996</c:v>
                </c:pt>
                <c:pt idx="14">
                  <c:v>1.7330566565827004</c:v>
                </c:pt>
                <c:pt idx="15">
                  <c:v>1.9718700466208001</c:v>
                </c:pt>
                <c:pt idx="16">
                  <c:v>1.6898661181826</c:v>
                </c:pt>
                <c:pt idx="17">
                  <c:v>4.0565460892618992</c:v>
                </c:pt>
                <c:pt idx="18">
                  <c:v>1.079738053</c:v>
                </c:pt>
                <c:pt idx="19">
                  <c:v>1.9679431009999999</c:v>
                </c:pt>
                <c:pt idx="20">
                  <c:v>1.6551000259999993</c:v>
                </c:pt>
                <c:pt idx="21">
                  <c:v>2.0936633330000003</c:v>
                </c:pt>
                <c:pt idx="22">
                  <c:v>1.3296844836000006</c:v>
                </c:pt>
                <c:pt idx="23">
                  <c:v>2.7824363509999999</c:v>
                </c:pt>
                <c:pt idx="24">
                  <c:v>1.5464710905999999</c:v>
                </c:pt>
                <c:pt idx="25">
                  <c:v>1.6459731664999999</c:v>
                </c:pt>
                <c:pt idx="26">
                  <c:v>1.2740760119999996</c:v>
                </c:pt>
                <c:pt idx="27">
                  <c:v>0.61352824399999983</c:v>
                </c:pt>
                <c:pt idx="28">
                  <c:v>0.68681298899999998</c:v>
                </c:pt>
                <c:pt idx="29">
                  <c:v>0.884708257</c:v>
                </c:pt>
              </c:numCache>
            </c:numRef>
          </c:yVal>
          <c:smooth val="0"/>
          <c:extLst>
            <c:ext xmlns:c16="http://schemas.microsoft.com/office/drawing/2014/chart" uri="{C3380CC4-5D6E-409C-BE32-E72D297353CC}">
              <c16:uniqueId val="{00000002-F50A-4ADB-B87D-495EA582C2FD}"/>
            </c:ext>
          </c:extLst>
        </c:ser>
        <c:ser>
          <c:idx val="3"/>
          <c:order val="3"/>
          <c:tx>
            <c:strRef>
              <c:f>'Tables less CEF'!$F$42</c:f>
              <c:strCache>
                <c:ptCount val="1"/>
                <c:pt idx="0">
                  <c:v>Post-1989 natural forest</c:v>
                </c:pt>
              </c:strCache>
            </c:strRef>
          </c:tx>
          <c:marker>
            <c:symbol val="none"/>
          </c:marker>
          <c:xVal>
            <c:numRef>
              <c:f>'Tables less CEF'!$B$43:$B$72</c:f>
              <c:numCache>
                <c:formatCode>General</c:formatCode>
                <c:ptCount val="30"/>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numCache>
            </c:numRef>
          </c:xVal>
          <c:yVal>
            <c:numRef>
              <c:f>'Tables less CEF'!$F$43:$F$72</c:f>
              <c:numCache>
                <c:formatCode>_(* #,##0.00_);_(* \(#,##0.00\);_(* "-"??_);_(@_)</c:formatCode>
                <c:ptCount val="30"/>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1.3760379229569998E-2</c:v>
                </c:pt>
                <c:pt idx="19">
                  <c:v>5.517631085869E-2</c:v>
                </c:pt>
                <c:pt idx="20">
                  <c:v>2.8674720707130001E-2</c:v>
                </c:pt>
                <c:pt idx="21">
                  <c:v>8.9053265980040014E-2</c:v>
                </c:pt>
                <c:pt idx="22">
                  <c:v>6.0084509274359994E-2</c:v>
                </c:pt>
                <c:pt idx="23">
                  <c:v>0.11171871294345</c:v>
                </c:pt>
                <c:pt idx="24">
                  <c:v>0.11076734784400999</c:v>
                </c:pt>
                <c:pt idx="25">
                  <c:v>5.1106279830579998E-2</c:v>
                </c:pt>
                <c:pt idx="26">
                  <c:v>8.5416701814230014E-2</c:v>
                </c:pt>
                <c:pt idx="27">
                  <c:v>4.1106392369946905E-2</c:v>
                </c:pt>
                <c:pt idx="28">
                  <c:v>4.6016470285632591E-2</c:v>
                </c:pt>
                <c:pt idx="29">
                  <c:v>5.9275453249289498E-2</c:v>
                </c:pt>
              </c:numCache>
            </c:numRef>
          </c:yVal>
          <c:smooth val="0"/>
          <c:extLst>
            <c:ext xmlns:c16="http://schemas.microsoft.com/office/drawing/2014/chart" uri="{C3380CC4-5D6E-409C-BE32-E72D297353CC}">
              <c16:uniqueId val="{00000003-F50A-4ADB-B87D-495EA582C2FD}"/>
            </c:ext>
          </c:extLst>
        </c:ser>
        <c:dLbls>
          <c:showLegendKey val="0"/>
          <c:showVal val="0"/>
          <c:showCatName val="0"/>
          <c:showSerName val="0"/>
          <c:showPercent val="0"/>
          <c:showBubbleSize val="0"/>
        </c:dLbls>
        <c:axId val="39982592"/>
        <c:axId val="39984128"/>
      </c:scatterChart>
      <c:valAx>
        <c:axId val="39982592"/>
        <c:scaling>
          <c:orientation val="minMax"/>
          <c:max val="2019"/>
          <c:min val="1990"/>
        </c:scaling>
        <c:delete val="0"/>
        <c:axPos val="b"/>
        <c:majorGridlines>
          <c:spPr>
            <a:ln>
              <a:solidFill>
                <a:schemeClr val="bg1">
                  <a:lumMod val="85000"/>
                </a:schemeClr>
              </a:solidFill>
              <a:prstDash val="dash"/>
            </a:ln>
          </c:spPr>
        </c:majorGridlines>
        <c:numFmt formatCode="General" sourceLinked="1"/>
        <c:majorTickMark val="out"/>
        <c:minorTickMark val="out"/>
        <c:tickLblPos val="low"/>
        <c:spPr>
          <a:ln>
            <a:solidFill>
              <a:schemeClr val="tx1"/>
            </a:solidFill>
          </a:ln>
        </c:spPr>
        <c:txPr>
          <a:bodyPr rot="-5400000" vert="horz"/>
          <a:lstStyle/>
          <a:p>
            <a:pPr>
              <a:defRPr sz="800" b="0" i="0" u="none" strike="noStrike" baseline="0">
                <a:solidFill>
                  <a:srgbClr val="000000"/>
                </a:solidFill>
                <a:latin typeface="+mn-lt"/>
                <a:ea typeface="Arial"/>
                <a:cs typeface="Arial"/>
              </a:defRPr>
            </a:pPr>
            <a:endParaRPr lang="en-US"/>
          </a:p>
        </c:txPr>
        <c:crossAx val="39984128"/>
        <c:crosses val="autoZero"/>
        <c:crossBetween val="midCat"/>
        <c:majorUnit val="2"/>
        <c:minorUnit val="1"/>
      </c:valAx>
      <c:valAx>
        <c:axId val="39984128"/>
        <c:scaling>
          <c:orientation val="minMax"/>
        </c:scaling>
        <c:delete val="0"/>
        <c:axPos val="l"/>
        <c:majorGridlines>
          <c:spPr>
            <a:ln>
              <a:solidFill>
                <a:schemeClr val="bg1">
                  <a:lumMod val="85000"/>
                </a:schemeClr>
              </a:solidFill>
            </a:ln>
          </c:spPr>
        </c:majorGridlines>
        <c:title>
          <c:tx>
            <c:rich>
              <a:bodyPr/>
              <a:lstStyle/>
              <a:p>
                <a:pPr>
                  <a:defRPr sz="900" b="0" i="0" u="none" strike="noStrike" baseline="0">
                    <a:solidFill>
                      <a:srgbClr val="000000"/>
                    </a:solidFill>
                    <a:latin typeface="+mn-lt"/>
                    <a:ea typeface="Calibri"/>
                    <a:cs typeface="Calibri"/>
                  </a:defRPr>
                </a:pPr>
                <a:r>
                  <a:rPr lang="en-NZ"/>
                  <a:t> Area (000 hectares)</a:t>
                </a:r>
              </a:p>
            </c:rich>
          </c:tx>
          <c:layout>
            <c:manualLayout>
              <c:xMode val="edge"/>
              <c:yMode val="edge"/>
              <c:x val="3.107625452982004E-2"/>
              <c:y val="0.34333905814416565"/>
            </c:manualLayout>
          </c:layout>
          <c:overlay val="0"/>
          <c:spPr>
            <a:noFill/>
            <a:ln w="25400">
              <a:noFill/>
            </a:ln>
          </c:spPr>
        </c:title>
        <c:numFmt formatCode="#,##0" sourceLinked="0"/>
        <c:majorTickMark val="out"/>
        <c:minorTickMark val="none"/>
        <c:tickLblPos val="nextTo"/>
        <c:spPr>
          <a:ln>
            <a:solidFill>
              <a:schemeClr val="tx1"/>
            </a:solidFill>
          </a:ln>
        </c:spPr>
        <c:txPr>
          <a:bodyPr rot="0" vert="horz"/>
          <a:lstStyle/>
          <a:p>
            <a:pPr>
              <a:defRPr sz="800" b="0" i="0" u="none" strike="noStrike" baseline="0">
                <a:solidFill>
                  <a:srgbClr val="000000"/>
                </a:solidFill>
                <a:latin typeface="+mn-lt"/>
                <a:ea typeface="Arial"/>
                <a:cs typeface="Arial"/>
              </a:defRPr>
            </a:pPr>
            <a:endParaRPr lang="en-US"/>
          </a:p>
        </c:txPr>
        <c:crossAx val="39982592"/>
        <c:crosses val="autoZero"/>
        <c:crossBetween val="midCat"/>
      </c:valAx>
      <c:spPr>
        <a:solidFill>
          <a:schemeClr val="bg1"/>
        </a:solidFill>
      </c:spPr>
    </c:plotArea>
    <c:legend>
      <c:legendPos val="b"/>
      <c:layout>
        <c:manualLayout>
          <c:xMode val="edge"/>
          <c:yMode val="edge"/>
          <c:x val="2.9471469811436644E-2"/>
          <c:y val="0.8934292325076677"/>
          <c:w val="0.86287635894601078"/>
          <c:h val="0.10657076749233226"/>
        </c:manualLayout>
      </c:layout>
      <c:overlay val="0"/>
      <c:txPr>
        <a:bodyPr/>
        <a:lstStyle/>
        <a:p>
          <a:pPr>
            <a:defRPr sz="900" b="0" i="0" u="none" strike="noStrike" baseline="0">
              <a:solidFill>
                <a:srgbClr val="000000"/>
              </a:solidFill>
              <a:latin typeface="+mn-lt"/>
              <a:ea typeface="Arial"/>
              <a:cs typeface="Arial"/>
            </a:defRPr>
          </a:pPr>
          <a:endParaRPr lang="en-US"/>
        </a:p>
      </c:txPr>
    </c:legend>
    <c:plotVisOnly val="1"/>
    <c:dispBlanksAs val="gap"/>
    <c:showDLblsOverMax val="0"/>
  </c:chart>
  <c:spPr>
    <a:ln>
      <a:noFill/>
    </a:ln>
  </c:spPr>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4490500495556136"/>
          <c:y val="2.9993176927968712E-2"/>
          <c:w val="0.83705481464263465"/>
          <c:h val="0.76269127896316791"/>
        </c:manualLayout>
      </c:layout>
      <c:lineChart>
        <c:grouping val="standard"/>
        <c:varyColors val="0"/>
        <c:ser>
          <c:idx val="0"/>
          <c:order val="0"/>
          <c:tx>
            <c:strRef>
              <c:f>Analysis!$A$2</c:f>
              <c:strCache>
                <c:ptCount val="1"/>
                <c:pt idx="0">
                  <c:v>Total</c:v>
                </c:pt>
              </c:strCache>
            </c:strRef>
          </c:tx>
          <c:spPr>
            <a:ln>
              <a:solidFill>
                <a:srgbClr val="A40000"/>
              </a:solidFill>
            </a:ln>
          </c:spPr>
          <c:marker>
            <c:symbol val="none"/>
          </c:marker>
          <c:cat>
            <c:strRef>
              <c:f>Analysis!$B$1:$AE$1</c:f>
              <c:strCache>
                <c:ptCount val="30"/>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strCache>
            </c:strRef>
          </c:cat>
          <c:val>
            <c:numRef>
              <c:f>Analysis!$B$2:$AE$2</c:f>
              <c:numCache>
                <c:formatCode>#,##0.0</c:formatCode>
                <c:ptCount val="30"/>
                <c:pt idx="0">
                  <c:v>-24014.452740397832</c:v>
                </c:pt>
                <c:pt idx="1">
                  <c:v>-25828.588763796302</c:v>
                </c:pt>
                <c:pt idx="2">
                  <c:v>-25534.440409163184</c:v>
                </c:pt>
                <c:pt idx="3">
                  <c:v>-25790.450132956164</c:v>
                </c:pt>
                <c:pt idx="4">
                  <c:v>-25642.09765324806</c:v>
                </c:pt>
                <c:pt idx="5">
                  <c:v>-24341.518444386984</c:v>
                </c:pt>
                <c:pt idx="6">
                  <c:v>-23805.949169831449</c:v>
                </c:pt>
                <c:pt idx="7">
                  <c:v>-24171.661975404881</c:v>
                </c:pt>
                <c:pt idx="8">
                  <c:v>-25227.983660539809</c:v>
                </c:pt>
                <c:pt idx="9">
                  <c:v>-27192.255190435793</c:v>
                </c:pt>
                <c:pt idx="10">
                  <c:v>-26815.355795027313</c:v>
                </c:pt>
                <c:pt idx="11">
                  <c:v>-26762.605434005265</c:v>
                </c:pt>
                <c:pt idx="12">
                  <c:v>-24892.970683311527</c:v>
                </c:pt>
                <c:pt idx="13">
                  <c:v>-26038.255549764639</c:v>
                </c:pt>
                <c:pt idx="14">
                  <c:v>-25893.973923600104</c:v>
                </c:pt>
                <c:pt idx="15">
                  <c:v>-25313.72497397913</c:v>
                </c:pt>
                <c:pt idx="16">
                  <c:v>-23696.988617474024</c:v>
                </c:pt>
                <c:pt idx="17">
                  <c:v>-22958.627516932567</c:v>
                </c:pt>
                <c:pt idx="18">
                  <c:v>-29699.582243090386</c:v>
                </c:pt>
                <c:pt idx="19">
                  <c:v>-28803.863762892783</c:v>
                </c:pt>
                <c:pt idx="20">
                  <c:v>-29692.069860037533</c:v>
                </c:pt>
                <c:pt idx="21">
                  <c:v>-25764.839385932701</c:v>
                </c:pt>
                <c:pt idx="22">
                  <c:v>-25196.228749476446</c:v>
                </c:pt>
                <c:pt idx="23">
                  <c:v>-23744.793400223745</c:v>
                </c:pt>
                <c:pt idx="24">
                  <c:v>-25786.047576323264</c:v>
                </c:pt>
                <c:pt idx="25">
                  <c:v>-26893.88320604301</c:v>
                </c:pt>
                <c:pt idx="26">
                  <c:v>-25395.795137138386</c:v>
                </c:pt>
                <c:pt idx="27">
                  <c:v>-25928.802219288435</c:v>
                </c:pt>
                <c:pt idx="28">
                  <c:v>-26756.35602204423</c:v>
                </c:pt>
                <c:pt idx="29">
                  <c:v>-27425.090530682151</c:v>
                </c:pt>
              </c:numCache>
            </c:numRef>
          </c:val>
          <c:smooth val="0"/>
          <c:extLst>
            <c:ext xmlns:c16="http://schemas.microsoft.com/office/drawing/2014/chart" uri="{C3380CC4-5D6E-409C-BE32-E72D297353CC}">
              <c16:uniqueId val="{00000000-26AE-441E-A5E0-CCF1E49A7FB0}"/>
            </c:ext>
          </c:extLst>
        </c:ser>
        <c:ser>
          <c:idx val="1"/>
          <c:order val="1"/>
          <c:tx>
            <c:strRef>
              <c:f>Analysis!$A$3</c:f>
              <c:strCache>
                <c:ptCount val="1"/>
                <c:pt idx="0">
                  <c:v>Forest land</c:v>
                </c:pt>
              </c:strCache>
            </c:strRef>
          </c:tx>
          <c:spPr>
            <a:ln>
              <a:solidFill>
                <a:srgbClr val="267300"/>
              </a:solidFill>
            </a:ln>
          </c:spPr>
          <c:marker>
            <c:symbol val="none"/>
          </c:marker>
          <c:cat>
            <c:strRef>
              <c:f>Analysis!$B$1:$AE$1</c:f>
              <c:strCache>
                <c:ptCount val="30"/>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strCache>
            </c:strRef>
          </c:cat>
          <c:val>
            <c:numRef>
              <c:f>Analysis!$B$3:$AE$3</c:f>
              <c:numCache>
                <c:formatCode>#,##0.0</c:formatCode>
                <c:ptCount val="30"/>
                <c:pt idx="0">
                  <c:v>-23174.221411961993</c:v>
                </c:pt>
                <c:pt idx="1">
                  <c:v>-23785.351919090277</c:v>
                </c:pt>
                <c:pt idx="2">
                  <c:v>-23083.868670445605</c:v>
                </c:pt>
                <c:pt idx="3">
                  <c:v>-23299.852631491864</c:v>
                </c:pt>
                <c:pt idx="4">
                  <c:v>-23002.942204441417</c:v>
                </c:pt>
                <c:pt idx="5">
                  <c:v>-21535.492128101669</c:v>
                </c:pt>
                <c:pt idx="6">
                  <c:v>-21090.457460151989</c:v>
                </c:pt>
                <c:pt idx="7">
                  <c:v>-21300.412164376543</c:v>
                </c:pt>
                <c:pt idx="8">
                  <c:v>-23240.892160352327</c:v>
                </c:pt>
                <c:pt idx="9">
                  <c:v>-23971.660973685397</c:v>
                </c:pt>
                <c:pt idx="10">
                  <c:v>-25158.6077415486</c:v>
                </c:pt>
                <c:pt idx="11">
                  <c:v>-24481.998215510568</c:v>
                </c:pt>
                <c:pt idx="12">
                  <c:v>-21689.750391193833</c:v>
                </c:pt>
                <c:pt idx="13">
                  <c:v>-24869.887946371928</c:v>
                </c:pt>
                <c:pt idx="14">
                  <c:v>-28396.252083160991</c:v>
                </c:pt>
                <c:pt idx="15">
                  <c:v>-32462.127130851164</c:v>
                </c:pt>
                <c:pt idx="16">
                  <c:v>-33215.322472442873</c:v>
                </c:pt>
                <c:pt idx="17">
                  <c:v>-36806.326308555028</c:v>
                </c:pt>
                <c:pt idx="18">
                  <c:v>-30181.0914410777</c:v>
                </c:pt>
                <c:pt idx="19">
                  <c:v>-30720.119478321718</c:v>
                </c:pt>
                <c:pt idx="20">
                  <c:v>-30950.863358930437</c:v>
                </c:pt>
                <c:pt idx="21">
                  <c:v>-25462.979637720484</c:v>
                </c:pt>
                <c:pt idx="22">
                  <c:v>-25706.066132710519</c:v>
                </c:pt>
                <c:pt idx="23">
                  <c:v>-25481.061693763517</c:v>
                </c:pt>
                <c:pt idx="24">
                  <c:v>-25124.775098022332</c:v>
                </c:pt>
                <c:pt idx="25">
                  <c:v>-25043.379636602665</c:v>
                </c:pt>
                <c:pt idx="26">
                  <c:v>-23380.155697034599</c:v>
                </c:pt>
                <c:pt idx="27">
                  <c:v>-22546.922365358983</c:v>
                </c:pt>
                <c:pt idx="28">
                  <c:v>-21884.976784126502</c:v>
                </c:pt>
                <c:pt idx="29">
                  <c:v>-22176.815006688979</c:v>
                </c:pt>
              </c:numCache>
            </c:numRef>
          </c:val>
          <c:smooth val="0"/>
          <c:extLst>
            <c:ext xmlns:c16="http://schemas.microsoft.com/office/drawing/2014/chart" uri="{C3380CC4-5D6E-409C-BE32-E72D297353CC}">
              <c16:uniqueId val="{00000001-26AE-441E-A5E0-CCF1E49A7FB0}"/>
            </c:ext>
          </c:extLst>
        </c:ser>
        <c:ser>
          <c:idx val="2"/>
          <c:order val="2"/>
          <c:tx>
            <c:strRef>
              <c:f>Analysis!$A$4</c:f>
              <c:strCache>
                <c:ptCount val="1"/>
                <c:pt idx="0">
                  <c:v>Cropland</c:v>
                </c:pt>
              </c:strCache>
            </c:strRef>
          </c:tx>
          <c:spPr>
            <a:ln>
              <a:solidFill>
                <a:srgbClr val="F79646">
                  <a:lumMod val="75000"/>
                </a:srgbClr>
              </a:solidFill>
            </a:ln>
          </c:spPr>
          <c:marker>
            <c:symbol val="none"/>
          </c:marker>
          <c:cat>
            <c:strRef>
              <c:f>Analysis!$B$1:$AE$1</c:f>
              <c:strCache>
                <c:ptCount val="30"/>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strCache>
            </c:strRef>
          </c:cat>
          <c:val>
            <c:numRef>
              <c:f>Analysis!$B$4:$AE$4</c:f>
              <c:numCache>
                <c:formatCode>#,##0.0</c:formatCode>
                <c:ptCount val="30"/>
                <c:pt idx="0">
                  <c:v>475.99130018460022</c:v>
                </c:pt>
                <c:pt idx="1">
                  <c:v>478.67422511427861</c:v>
                </c:pt>
                <c:pt idx="2">
                  <c:v>481.35715004362987</c:v>
                </c:pt>
                <c:pt idx="3">
                  <c:v>484.04007497437772</c:v>
                </c:pt>
                <c:pt idx="4">
                  <c:v>486.72299990363632</c:v>
                </c:pt>
                <c:pt idx="5">
                  <c:v>489.4059248311741</c:v>
                </c:pt>
                <c:pt idx="6">
                  <c:v>492.08884976091508</c:v>
                </c:pt>
                <c:pt idx="7">
                  <c:v>496.69609231745596</c:v>
                </c:pt>
                <c:pt idx="8">
                  <c:v>499.56390290323105</c:v>
                </c:pt>
                <c:pt idx="9">
                  <c:v>502.43171349621173</c:v>
                </c:pt>
                <c:pt idx="10">
                  <c:v>518.86386001348421</c:v>
                </c:pt>
                <c:pt idx="11">
                  <c:v>521.18510654986778</c:v>
                </c:pt>
                <c:pt idx="12">
                  <c:v>519.51848195519904</c:v>
                </c:pt>
                <c:pt idx="13">
                  <c:v>535.64876994156555</c:v>
                </c:pt>
                <c:pt idx="14">
                  <c:v>562.48288854828218</c:v>
                </c:pt>
                <c:pt idx="15">
                  <c:v>610.88375744781547</c:v>
                </c:pt>
                <c:pt idx="16">
                  <c:v>635.81647106894127</c:v>
                </c:pt>
                <c:pt idx="17">
                  <c:v>680.88821481185937</c:v>
                </c:pt>
                <c:pt idx="18">
                  <c:v>508.42575484952238</c:v>
                </c:pt>
                <c:pt idx="19">
                  <c:v>489.0604649953209</c:v>
                </c:pt>
                <c:pt idx="20">
                  <c:v>490.07487826095178</c:v>
                </c:pt>
                <c:pt idx="21">
                  <c:v>480.39046904196255</c:v>
                </c:pt>
                <c:pt idx="22">
                  <c:v>465.51667197689363</c:v>
                </c:pt>
                <c:pt idx="23">
                  <c:v>517.52379998324693</c:v>
                </c:pt>
                <c:pt idx="24">
                  <c:v>457.24858575104702</c:v>
                </c:pt>
                <c:pt idx="25">
                  <c:v>417.86839861853412</c:v>
                </c:pt>
                <c:pt idx="26">
                  <c:v>414.06983901887037</c:v>
                </c:pt>
                <c:pt idx="27">
                  <c:v>395.67372349879901</c:v>
                </c:pt>
                <c:pt idx="28">
                  <c:v>391.25921643552221</c:v>
                </c:pt>
                <c:pt idx="29">
                  <c:v>386.84470937224808</c:v>
                </c:pt>
              </c:numCache>
            </c:numRef>
          </c:val>
          <c:smooth val="0"/>
          <c:extLst>
            <c:ext xmlns:c16="http://schemas.microsoft.com/office/drawing/2014/chart" uri="{C3380CC4-5D6E-409C-BE32-E72D297353CC}">
              <c16:uniqueId val="{00000002-26AE-441E-A5E0-CCF1E49A7FB0}"/>
            </c:ext>
          </c:extLst>
        </c:ser>
        <c:ser>
          <c:idx val="3"/>
          <c:order val="3"/>
          <c:tx>
            <c:strRef>
              <c:f>Analysis!$A$5</c:f>
              <c:strCache>
                <c:ptCount val="1"/>
                <c:pt idx="0">
                  <c:v>Grassland</c:v>
                </c:pt>
              </c:strCache>
            </c:strRef>
          </c:tx>
          <c:spPr>
            <a:ln>
              <a:solidFill>
                <a:srgbClr val="1F497D">
                  <a:lumMod val="60000"/>
                  <a:lumOff val="40000"/>
                </a:srgbClr>
              </a:solidFill>
            </a:ln>
          </c:spPr>
          <c:marker>
            <c:symbol val="none"/>
          </c:marker>
          <c:cat>
            <c:strRef>
              <c:f>Analysis!$B$1:$AE$1</c:f>
              <c:strCache>
                <c:ptCount val="30"/>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strCache>
            </c:strRef>
          </c:cat>
          <c:val>
            <c:numRef>
              <c:f>Analysis!$B$5:$AE$5</c:f>
              <c:numCache>
                <c:formatCode>#,##0.0</c:formatCode>
                <c:ptCount val="30"/>
                <c:pt idx="0">
                  <c:v>680.19280923122312</c:v>
                </c:pt>
                <c:pt idx="1">
                  <c:v>768.20569188546426</c:v>
                </c:pt>
                <c:pt idx="2">
                  <c:v>859.67231589036351</c:v>
                </c:pt>
                <c:pt idx="3">
                  <c:v>966.90754811167335</c:v>
                </c:pt>
                <c:pt idx="4">
                  <c:v>1048.8678889903936</c:v>
                </c:pt>
                <c:pt idx="5">
                  <c:v>1061.3373847414127</c:v>
                </c:pt>
                <c:pt idx="6">
                  <c:v>1100.8142226415227</c:v>
                </c:pt>
                <c:pt idx="7">
                  <c:v>1122.1484818946039</c:v>
                </c:pt>
                <c:pt idx="8">
                  <c:v>1189.4205154935989</c:v>
                </c:pt>
                <c:pt idx="9">
                  <c:v>1180.0073109162872</c:v>
                </c:pt>
                <c:pt idx="10">
                  <c:v>3158.8788790662102</c:v>
                </c:pt>
                <c:pt idx="11">
                  <c:v>3165.4818960198986</c:v>
                </c:pt>
                <c:pt idx="12">
                  <c:v>2917.5687656393147</c:v>
                </c:pt>
                <c:pt idx="13">
                  <c:v>4310.2373478931031</c:v>
                </c:pt>
                <c:pt idx="14">
                  <c:v>6789.1330731237376</c:v>
                </c:pt>
                <c:pt idx="15">
                  <c:v>10877.563709216787</c:v>
                </c:pt>
                <c:pt idx="16">
                  <c:v>13099.92056583187</c:v>
                </c:pt>
                <c:pt idx="17">
                  <c:v>17379.903366815215</c:v>
                </c:pt>
                <c:pt idx="18">
                  <c:v>3999.6814797967363</c:v>
                </c:pt>
                <c:pt idx="19">
                  <c:v>6154.8511550979974</c:v>
                </c:pt>
                <c:pt idx="20">
                  <c:v>6909.3371492561264</c:v>
                </c:pt>
                <c:pt idx="21">
                  <c:v>5908.2563935983117</c:v>
                </c:pt>
                <c:pt idx="22">
                  <c:v>7268.397267012765</c:v>
                </c:pt>
                <c:pt idx="23">
                  <c:v>9537.6713600079183</c:v>
                </c:pt>
                <c:pt idx="24">
                  <c:v>6422.1321639912449</c:v>
                </c:pt>
                <c:pt idx="25">
                  <c:v>4931.6933372871335</c:v>
                </c:pt>
                <c:pt idx="26">
                  <c:v>4088.8788360574085</c:v>
                </c:pt>
                <c:pt idx="27">
                  <c:v>4304.465703786801</c:v>
                </c:pt>
                <c:pt idx="28">
                  <c:v>3936.4670009673559</c:v>
                </c:pt>
                <c:pt idx="29">
                  <c:v>4253.6318795228663</c:v>
                </c:pt>
              </c:numCache>
            </c:numRef>
          </c:val>
          <c:smooth val="0"/>
          <c:extLst>
            <c:ext xmlns:c16="http://schemas.microsoft.com/office/drawing/2014/chart" uri="{C3380CC4-5D6E-409C-BE32-E72D297353CC}">
              <c16:uniqueId val="{00000003-26AE-441E-A5E0-CCF1E49A7FB0}"/>
            </c:ext>
          </c:extLst>
        </c:ser>
        <c:ser>
          <c:idx val="4"/>
          <c:order val="4"/>
          <c:tx>
            <c:strRef>
              <c:f>Analysis!$A$6</c:f>
              <c:strCache>
                <c:ptCount val="1"/>
                <c:pt idx="0">
                  <c:v>Wetlands</c:v>
                </c:pt>
              </c:strCache>
            </c:strRef>
          </c:tx>
          <c:spPr>
            <a:ln>
              <a:solidFill>
                <a:srgbClr val="9BBB59">
                  <a:lumMod val="60000"/>
                  <a:lumOff val="40000"/>
                </a:srgbClr>
              </a:solidFill>
            </a:ln>
          </c:spPr>
          <c:marker>
            <c:symbol val="none"/>
          </c:marker>
          <c:cat>
            <c:strRef>
              <c:f>Analysis!$B$1:$AE$1</c:f>
              <c:strCache>
                <c:ptCount val="30"/>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strCache>
            </c:strRef>
          </c:cat>
          <c:val>
            <c:numRef>
              <c:f>Analysis!$B$6:$AE$6</c:f>
              <c:numCache>
                <c:formatCode>#,##0.0</c:formatCode>
                <c:ptCount val="30"/>
                <c:pt idx="0">
                  <c:v>-10.69587765850064</c:v>
                </c:pt>
                <c:pt idx="1">
                  <c:v>-8.9744821982007892</c:v>
                </c:pt>
                <c:pt idx="2">
                  <c:v>-10.859253404904059</c:v>
                </c:pt>
                <c:pt idx="3">
                  <c:v>-9.1789246112721408</c:v>
                </c:pt>
                <c:pt idx="4">
                  <c:v>-6.5360958180176096</c:v>
                </c:pt>
                <c:pt idx="5">
                  <c:v>-4.6042336910155299</c:v>
                </c:pt>
                <c:pt idx="6">
                  <c:v>-6.6815048977882299</c:v>
                </c:pt>
                <c:pt idx="7">
                  <c:v>-2.5509604724199302</c:v>
                </c:pt>
                <c:pt idx="8">
                  <c:v>-2.2753419746031001</c:v>
                </c:pt>
                <c:pt idx="9">
                  <c:v>-3.1803901430979602</c:v>
                </c:pt>
                <c:pt idx="10">
                  <c:v>2.8824998274176998</c:v>
                </c:pt>
                <c:pt idx="11">
                  <c:v>3.1102391583986599</c:v>
                </c:pt>
                <c:pt idx="12">
                  <c:v>4.0731343559995503</c:v>
                </c:pt>
                <c:pt idx="13">
                  <c:v>-0.10843954806892001</c:v>
                </c:pt>
                <c:pt idx="14">
                  <c:v>4.5919192854141997</c:v>
                </c:pt>
                <c:pt idx="15">
                  <c:v>18.0940024184967</c:v>
                </c:pt>
                <c:pt idx="16">
                  <c:v>26.643454385894088</c:v>
                </c:pt>
                <c:pt idx="17">
                  <c:v>35.115184959281848</c:v>
                </c:pt>
                <c:pt idx="18">
                  <c:v>23.555716746027709</c:v>
                </c:pt>
                <c:pt idx="19">
                  <c:v>32.670997320435738</c:v>
                </c:pt>
                <c:pt idx="20">
                  <c:v>27.107518971876122</c:v>
                </c:pt>
                <c:pt idx="21">
                  <c:v>33.986126578176041</c:v>
                </c:pt>
                <c:pt idx="22">
                  <c:v>20.07527592579266</c:v>
                </c:pt>
                <c:pt idx="23">
                  <c:v>48.960970167274041</c:v>
                </c:pt>
                <c:pt idx="24">
                  <c:v>45.39780802674759</c:v>
                </c:pt>
                <c:pt idx="25">
                  <c:v>22.396377077866479</c:v>
                </c:pt>
                <c:pt idx="26">
                  <c:v>33.43286765366954</c:v>
                </c:pt>
                <c:pt idx="27">
                  <c:v>13.706846422236479</c:v>
                </c:pt>
                <c:pt idx="28">
                  <c:v>13.41828547947688</c:v>
                </c:pt>
                <c:pt idx="29">
                  <c:v>13.396363384905079</c:v>
                </c:pt>
              </c:numCache>
            </c:numRef>
          </c:val>
          <c:smooth val="0"/>
          <c:extLst>
            <c:ext xmlns:c16="http://schemas.microsoft.com/office/drawing/2014/chart" uri="{C3380CC4-5D6E-409C-BE32-E72D297353CC}">
              <c16:uniqueId val="{00000004-26AE-441E-A5E0-CCF1E49A7FB0}"/>
            </c:ext>
          </c:extLst>
        </c:ser>
        <c:ser>
          <c:idx val="5"/>
          <c:order val="5"/>
          <c:tx>
            <c:strRef>
              <c:f>Analysis!$A$7</c:f>
              <c:strCache>
                <c:ptCount val="1"/>
                <c:pt idx="0">
                  <c:v>Settlements </c:v>
                </c:pt>
              </c:strCache>
            </c:strRef>
          </c:tx>
          <c:spPr>
            <a:ln>
              <a:solidFill>
                <a:srgbClr val="713605"/>
              </a:solidFill>
            </a:ln>
          </c:spPr>
          <c:marker>
            <c:symbol val="none"/>
          </c:marker>
          <c:cat>
            <c:strRef>
              <c:f>Analysis!$B$1:$AE$1</c:f>
              <c:strCache>
                <c:ptCount val="30"/>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strCache>
            </c:strRef>
          </c:cat>
          <c:val>
            <c:numRef>
              <c:f>Analysis!$B$7:$AE$7</c:f>
              <c:numCache>
                <c:formatCode>#,##0.0</c:formatCode>
                <c:ptCount val="30"/>
                <c:pt idx="0">
                  <c:v>74.43929203909363</c:v>
                </c:pt>
                <c:pt idx="1">
                  <c:v>75.991887366573437</c:v>
                </c:pt>
                <c:pt idx="2">
                  <c:v>77.542190610042894</c:v>
                </c:pt>
                <c:pt idx="3">
                  <c:v>79.303365607535696</c:v>
                </c:pt>
                <c:pt idx="4">
                  <c:v>81.827828480209845</c:v>
                </c:pt>
                <c:pt idx="5">
                  <c:v>85.036789026461634</c:v>
                </c:pt>
                <c:pt idx="6">
                  <c:v>87.303064370188437</c:v>
                </c:pt>
                <c:pt idx="7">
                  <c:v>89.790709400878583</c:v>
                </c:pt>
                <c:pt idx="8">
                  <c:v>91.992281039440385</c:v>
                </c:pt>
                <c:pt idx="9">
                  <c:v>93.294172239715522</c:v>
                </c:pt>
                <c:pt idx="10">
                  <c:v>108.40512600652066</c:v>
                </c:pt>
                <c:pt idx="11">
                  <c:v>109.18403233687845</c:v>
                </c:pt>
                <c:pt idx="12">
                  <c:v>107.28061041552904</c:v>
                </c:pt>
                <c:pt idx="13">
                  <c:v>123.42314019746466</c:v>
                </c:pt>
                <c:pt idx="14">
                  <c:v>150.65739641361472</c:v>
                </c:pt>
                <c:pt idx="15">
                  <c:v>202.31614115838005</c:v>
                </c:pt>
                <c:pt idx="16">
                  <c:v>224.24296996303437</c:v>
                </c:pt>
                <c:pt idx="17">
                  <c:v>270.52126539027074</c:v>
                </c:pt>
                <c:pt idx="18">
                  <c:v>101.08591016572267</c:v>
                </c:pt>
                <c:pt idx="19">
                  <c:v>106.7256678254317</c:v>
                </c:pt>
                <c:pt idx="20">
                  <c:v>110.4739313402136</c:v>
                </c:pt>
                <c:pt idx="21">
                  <c:v>117.62893598974706</c:v>
                </c:pt>
                <c:pt idx="22">
                  <c:v>118.70309985247246</c:v>
                </c:pt>
                <c:pt idx="23">
                  <c:v>111.07762967544546</c:v>
                </c:pt>
                <c:pt idx="24">
                  <c:v>121.54899591791553</c:v>
                </c:pt>
                <c:pt idx="25">
                  <c:v>121.37246471304687</c:v>
                </c:pt>
                <c:pt idx="26">
                  <c:v>142.16046899676738</c:v>
                </c:pt>
                <c:pt idx="27">
                  <c:v>108.53973862542824</c:v>
                </c:pt>
                <c:pt idx="28">
                  <c:v>110.58311942024054</c:v>
                </c:pt>
                <c:pt idx="29">
                  <c:v>112.66558073282658</c:v>
                </c:pt>
              </c:numCache>
            </c:numRef>
          </c:val>
          <c:smooth val="0"/>
          <c:extLst>
            <c:ext xmlns:c16="http://schemas.microsoft.com/office/drawing/2014/chart" uri="{C3380CC4-5D6E-409C-BE32-E72D297353CC}">
              <c16:uniqueId val="{00000005-26AE-441E-A5E0-CCF1E49A7FB0}"/>
            </c:ext>
          </c:extLst>
        </c:ser>
        <c:ser>
          <c:idx val="6"/>
          <c:order val="6"/>
          <c:tx>
            <c:strRef>
              <c:f>Analysis!$A$8</c:f>
              <c:strCache>
                <c:ptCount val="1"/>
                <c:pt idx="0">
                  <c:v>Other land</c:v>
                </c:pt>
              </c:strCache>
            </c:strRef>
          </c:tx>
          <c:spPr>
            <a:ln>
              <a:solidFill>
                <a:srgbClr val="1F497D">
                  <a:lumMod val="20000"/>
                  <a:lumOff val="80000"/>
                </a:srgbClr>
              </a:solidFill>
            </a:ln>
          </c:spPr>
          <c:marker>
            <c:symbol val="none"/>
          </c:marker>
          <c:cat>
            <c:strRef>
              <c:f>Analysis!$B$1:$AE$1</c:f>
              <c:strCache>
                <c:ptCount val="30"/>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strCache>
            </c:strRef>
          </c:cat>
          <c:val>
            <c:numRef>
              <c:f>Analysis!$B$8:$AE$8</c:f>
              <c:numCache>
                <c:formatCode>#,##0.0</c:formatCode>
                <c:ptCount val="30"/>
                <c:pt idx="0">
                  <c:v>12.7513940480098</c:v>
                </c:pt>
                <c:pt idx="1">
                  <c:v>14.113155746223301</c:v>
                </c:pt>
                <c:pt idx="2">
                  <c:v>15.474917444040731</c:v>
                </c:pt>
                <c:pt idx="3">
                  <c:v>16.83667914184683</c:v>
                </c:pt>
                <c:pt idx="4">
                  <c:v>18.198440840005262</c:v>
                </c:pt>
                <c:pt idx="5">
                  <c:v>19.560202537956659</c:v>
                </c:pt>
                <c:pt idx="6">
                  <c:v>20.921964235833851</c:v>
                </c:pt>
                <c:pt idx="7">
                  <c:v>24.361550176277088</c:v>
                </c:pt>
                <c:pt idx="8">
                  <c:v>26.335412358342001</c:v>
                </c:pt>
                <c:pt idx="9">
                  <c:v>28.309274541149961</c:v>
                </c:pt>
                <c:pt idx="10">
                  <c:v>46.867751890955688</c:v>
                </c:pt>
                <c:pt idx="11">
                  <c:v>48.899670856194632</c:v>
                </c:pt>
                <c:pt idx="12">
                  <c:v>47.284225471048373</c:v>
                </c:pt>
                <c:pt idx="13">
                  <c:v>57.489543673131372</c:v>
                </c:pt>
                <c:pt idx="14">
                  <c:v>74.626290252110977</c:v>
                </c:pt>
                <c:pt idx="15">
                  <c:v>97.659056468290188</c:v>
                </c:pt>
                <c:pt idx="16">
                  <c:v>111.73028115574822</c:v>
                </c:pt>
                <c:pt idx="17">
                  <c:v>140.45296155952565</c:v>
                </c:pt>
                <c:pt idx="18">
                  <c:v>81.356817370627169</c:v>
                </c:pt>
                <c:pt idx="19">
                  <c:v>131.72747210732658</c:v>
                </c:pt>
                <c:pt idx="20">
                  <c:v>152.9338596656423</c:v>
                </c:pt>
                <c:pt idx="21">
                  <c:v>210.48881423495754</c:v>
                </c:pt>
                <c:pt idx="22">
                  <c:v>210.33932020051606</c:v>
                </c:pt>
                <c:pt idx="23">
                  <c:v>188.35261595438968</c:v>
                </c:pt>
                <c:pt idx="24">
                  <c:v>169.8995997095837</c:v>
                </c:pt>
                <c:pt idx="25">
                  <c:v>229.0495998741458</c:v>
                </c:pt>
                <c:pt idx="26">
                  <c:v>193.24560949894848</c:v>
                </c:pt>
                <c:pt idx="27">
                  <c:v>52.94606296624746</c:v>
                </c:pt>
                <c:pt idx="28">
                  <c:v>52.510691754858399</c:v>
                </c:pt>
                <c:pt idx="29">
                  <c:v>52.481574872859831</c:v>
                </c:pt>
              </c:numCache>
            </c:numRef>
          </c:val>
          <c:smooth val="0"/>
          <c:extLst>
            <c:ext xmlns:c16="http://schemas.microsoft.com/office/drawing/2014/chart" uri="{C3380CC4-5D6E-409C-BE32-E72D297353CC}">
              <c16:uniqueId val="{00000006-26AE-441E-A5E0-CCF1E49A7FB0}"/>
            </c:ext>
          </c:extLst>
        </c:ser>
        <c:ser>
          <c:idx val="7"/>
          <c:order val="7"/>
          <c:tx>
            <c:strRef>
              <c:f>Analysis!$A$10</c:f>
              <c:strCache>
                <c:ptCount val="1"/>
                <c:pt idx="0">
                  <c:v>Harvested wood products</c:v>
                </c:pt>
              </c:strCache>
            </c:strRef>
          </c:tx>
          <c:marker>
            <c:symbol val="none"/>
          </c:marker>
          <c:cat>
            <c:strRef>
              <c:f>Analysis!$B$1:$AE$1</c:f>
              <c:strCache>
                <c:ptCount val="30"/>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strCache>
            </c:strRef>
          </c:cat>
          <c:val>
            <c:numRef>
              <c:f>Analysis!$B$10:$AE$10</c:f>
              <c:numCache>
                <c:formatCode>#,##0.0</c:formatCode>
                <c:ptCount val="30"/>
                <c:pt idx="0">
                  <c:v>-2072.9102462802662</c:v>
                </c:pt>
                <c:pt idx="1">
                  <c:v>-3371.2473226203638</c:v>
                </c:pt>
                <c:pt idx="2">
                  <c:v>-3873.7590593007508</c:v>
                </c:pt>
                <c:pt idx="3">
                  <c:v>-4028.5062446884622</c:v>
                </c:pt>
                <c:pt idx="4">
                  <c:v>-4268.2365112028701</c:v>
                </c:pt>
                <c:pt idx="5">
                  <c:v>-4456.762383731304</c:v>
                </c:pt>
                <c:pt idx="6">
                  <c:v>-4409.938305790135</c:v>
                </c:pt>
                <c:pt idx="7">
                  <c:v>-4601.6956843451344</c:v>
                </c:pt>
                <c:pt idx="8">
                  <c:v>-3792.1282700074926</c:v>
                </c:pt>
                <c:pt idx="9">
                  <c:v>-5021.4562978006606</c:v>
                </c:pt>
                <c:pt idx="10">
                  <c:v>-5492.6461702833012</c:v>
                </c:pt>
                <c:pt idx="11">
                  <c:v>-6128.4681634159342</c:v>
                </c:pt>
                <c:pt idx="12">
                  <c:v>-6798.9455099547849</c:v>
                </c:pt>
                <c:pt idx="13">
                  <c:v>-6195.0579655499059</c:v>
                </c:pt>
                <c:pt idx="14">
                  <c:v>-5079.2134080622727</c:v>
                </c:pt>
                <c:pt idx="15">
                  <c:v>-4658.1145098377356</c:v>
                </c:pt>
                <c:pt idx="16">
                  <c:v>-4580.0198874366424</c:v>
                </c:pt>
                <c:pt idx="17">
                  <c:v>-4659.1822019136907</c:v>
                </c:pt>
                <c:pt idx="18">
                  <c:v>-4232.5964809413244</c:v>
                </c:pt>
                <c:pt idx="19">
                  <c:v>-4998.7800419175765</c:v>
                </c:pt>
                <c:pt idx="20">
                  <c:v>-6431.1338386019052</c:v>
                </c:pt>
                <c:pt idx="21">
                  <c:v>-7052.6104876553727</c:v>
                </c:pt>
                <c:pt idx="22">
                  <c:v>-7573.1942517343678</c:v>
                </c:pt>
                <c:pt idx="23">
                  <c:v>-8667.3180822485047</c:v>
                </c:pt>
                <c:pt idx="24">
                  <c:v>-7877.499631697473</c:v>
                </c:pt>
                <c:pt idx="25">
                  <c:v>-7572.8837470110693</c:v>
                </c:pt>
                <c:pt idx="26">
                  <c:v>-6887.4270613294548</c:v>
                </c:pt>
                <c:pt idx="27">
                  <c:v>-8257.2119292289626</c:v>
                </c:pt>
                <c:pt idx="28">
                  <c:v>-9375.6175519751851</c:v>
                </c:pt>
                <c:pt idx="29">
                  <c:v>-10067.295631878877</c:v>
                </c:pt>
              </c:numCache>
            </c:numRef>
          </c:val>
          <c:smooth val="0"/>
          <c:extLst>
            <c:ext xmlns:c16="http://schemas.microsoft.com/office/drawing/2014/chart" uri="{C3380CC4-5D6E-409C-BE32-E72D297353CC}">
              <c16:uniqueId val="{00000007-26AE-441E-A5E0-CCF1E49A7FB0}"/>
            </c:ext>
          </c:extLst>
        </c:ser>
        <c:dLbls>
          <c:showLegendKey val="0"/>
          <c:showVal val="0"/>
          <c:showCatName val="0"/>
          <c:showSerName val="0"/>
          <c:showPercent val="0"/>
          <c:showBubbleSize val="0"/>
        </c:dLbls>
        <c:smooth val="0"/>
        <c:axId val="128192896"/>
        <c:axId val="128194432"/>
      </c:lineChart>
      <c:catAx>
        <c:axId val="128192896"/>
        <c:scaling>
          <c:orientation val="minMax"/>
        </c:scaling>
        <c:delete val="0"/>
        <c:axPos val="b"/>
        <c:majorGridlines>
          <c:spPr>
            <a:ln w="6350">
              <a:solidFill>
                <a:sysClr val="window" lastClr="FFFFFF">
                  <a:lumMod val="85000"/>
                </a:sysClr>
              </a:solidFill>
              <a:prstDash val="dash"/>
            </a:ln>
          </c:spPr>
        </c:majorGridlines>
        <c:numFmt formatCode="General" sourceLinked="0"/>
        <c:majorTickMark val="cross"/>
        <c:minorTickMark val="none"/>
        <c:tickLblPos val="low"/>
        <c:spPr>
          <a:ln w="12700">
            <a:solidFill>
              <a:sysClr val="windowText" lastClr="000000"/>
            </a:solidFill>
          </a:ln>
        </c:spPr>
        <c:txPr>
          <a:bodyPr rot="-5400000" vert="horz"/>
          <a:lstStyle/>
          <a:p>
            <a:pPr>
              <a:defRPr sz="700">
                <a:latin typeface="Arial" panose="020B0604020202020204" pitchFamily="34" charset="0"/>
                <a:cs typeface="Arial" panose="020B0604020202020204" pitchFamily="34" charset="0"/>
              </a:defRPr>
            </a:pPr>
            <a:endParaRPr lang="en-US"/>
          </a:p>
        </c:txPr>
        <c:crossAx val="128194432"/>
        <c:crosses val="autoZero"/>
        <c:auto val="1"/>
        <c:lblAlgn val="ctr"/>
        <c:lblOffset val="100"/>
        <c:tickLblSkip val="2"/>
        <c:tickMarkSkip val="2"/>
        <c:noMultiLvlLbl val="0"/>
      </c:catAx>
      <c:valAx>
        <c:axId val="128194432"/>
        <c:scaling>
          <c:orientation val="minMax"/>
        </c:scaling>
        <c:delete val="0"/>
        <c:axPos val="l"/>
        <c:majorGridlines>
          <c:spPr>
            <a:ln w="6350">
              <a:solidFill>
                <a:sysClr val="window" lastClr="FFFFFF">
                  <a:lumMod val="85000"/>
                </a:sysClr>
              </a:solidFill>
            </a:ln>
          </c:spPr>
        </c:majorGridlines>
        <c:title>
          <c:tx>
            <c:rich>
              <a:bodyPr rot="-5400000" vert="horz"/>
              <a:lstStyle/>
              <a:p>
                <a:pPr>
                  <a:defRPr sz="800" b="0">
                    <a:latin typeface="Arial" panose="020B0604020202020204" pitchFamily="34" charset="0"/>
                    <a:cs typeface="Arial" panose="020B0604020202020204" pitchFamily="34" charset="0"/>
                  </a:defRPr>
                </a:pPr>
                <a:r>
                  <a:rPr lang="en-NZ" sz="800"/>
                  <a:t>Kt CO</a:t>
                </a:r>
                <a:r>
                  <a:rPr lang="en-NZ" sz="800" baseline="-25000"/>
                  <a:t>2</a:t>
                </a:r>
                <a:r>
                  <a:rPr lang="en-NZ" sz="800" baseline="0"/>
                  <a:t>-equivalent</a:t>
                </a:r>
                <a:endParaRPr lang="en-NZ" sz="800"/>
              </a:p>
            </c:rich>
          </c:tx>
          <c:layout>
            <c:manualLayout>
              <c:xMode val="edge"/>
              <c:yMode val="edge"/>
              <c:x val="1.0123963739556506E-2"/>
              <c:y val="0.29312098757973687"/>
            </c:manualLayout>
          </c:layout>
          <c:overlay val="0"/>
        </c:title>
        <c:numFmt formatCode="#,##0" sourceLinked="0"/>
        <c:majorTickMark val="out"/>
        <c:minorTickMark val="none"/>
        <c:tickLblPos val="nextTo"/>
        <c:spPr>
          <a:ln w="12700">
            <a:solidFill>
              <a:sysClr val="windowText" lastClr="000000"/>
            </a:solidFill>
          </a:ln>
        </c:spPr>
        <c:txPr>
          <a:bodyPr/>
          <a:lstStyle/>
          <a:p>
            <a:pPr>
              <a:defRPr sz="700">
                <a:solidFill>
                  <a:sysClr val="windowText" lastClr="000000"/>
                </a:solidFill>
                <a:latin typeface="Arial" panose="020B0604020202020204" pitchFamily="34" charset="0"/>
                <a:cs typeface="Arial" panose="020B0604020202020204" pitchFamily="34" charset="0"/>
              </a:defRPr>
            </a:pPr>
            <a:endParaRPr lang="en-US"/>
          </a:p>
        </c:txPr>
        <c:crossAx val="128192896"/>
        <c:crosses val="autoZero"/>
        <c:crossBetween val="midCat"/>
      </c:valAx>
    </c:plotArea>
    <c:legend>
      <c:legendPos val="b"/>
      <c:layout>
        <c:manualLayout>
          <c:xMode val="edge"/>
          <c:yMode val="edge"/>
          <c:x val="4.4992894406717672E-2"/>
          <c:y val="0.89866299299332586"/>
          <c:w val="0.92530407030807116"/>
          <c:h val="0.10113333135204158"/>
        </c:manualLayout>
      </c:layout>
      <c:overlay val="0"/>
      <c:txPr>
        <a:bodyPr/>
        <a:lstStyle/>
        <a:p>
          <a:pPr>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1717949127673354"/>
          <c:y val="5.8479776120700142E-2"/>
          <c:w val="0.87231617288719299"/>
          <c:h val="0.77463434717719104"/>
        </c:manualLayout>
      </c:layout>
      <c:barChart>
        <c:barDir val="col"/>
        <c:grouping val="clustered"/>
        <c:varyColors val="0"/>
        <c:ser>
          <c:idx val="1"/>
          <c:order val="0"/>
          <c:tx>
            <c:strRef>
              <c:f>Analysis!$B$14</c:f>
              <c:strCache>
                <c:ptCount val="1"/>
                <c:pt idx="0">
                  <c:v>1990</c:v>
                </c:pt>
              </c:strCache>
            </c:strRef>
          </c:tx>
          <c:spPr>
            <a:solidFill>
              <a:schemeClr val="accent1">
                <a:lumMod val="75000"/>
              </a:schemeClr>
            </a:solidFill>
          </c:spPr>
          <c:invertIfNegative val="0"/>
          <c:cat>
            <c:strLit>
              <c:ptCount val="7"/>
              <c:pt idx="0">
                <c:v>Forest land</c:v>
              </c:pt>
              <c:pt idx="1">
                <c:v>Cropland</c:v>
              </c:pt>
              <c:pt idx="2">
                <c:v>Grassland</c:v>
              </c:pt>
              <c:pt idx="3">
                <c:v>Wetlands</c:v>
              </c:pt>
              <c:pt idx="4">
                <c:v>Settlements </c:v>
              </c:pt>
              <c:pt idx="5">
                <c:v>Other land</c:v>
              </c:pt>
              <c:pt idx="6">
                <c:v>Harvested wood products</c:v>
              </c:pt>
            </c:strLit>
          </c:cat>
          <c:val>
            <c:numRef>
              <c:f>Analysis!$B$16:$B$22</c:f>
              <c:numCache>
                <c:formatCode>#,##0.0</c:formatCode>
                <c:ptCount val="7"/>
                <c:pt idx="0">
                  <c:v>-23174.221411961993</c:v>
                </c:pt>
                <c:pt idx="1">
                  <c:v>475.99130018460022</c:v>
                </c:pt>
                <c:pt idx="2">
                  <c:v>680.19280923122312</c:v>
                </c:pt>
                <c:pt idx="3">
                  <c:v>-10.69587765850064</c:v>
                </c:pt>
                <c:pt idx="4">
                  <c:v>74.43929203909363</c:v>
                </c:pt>
                <c:pt idx="5">
                  <c:v>12.7513940480098</c:v>
                </c:pt>
                <c:pt idx="6">
                  <c:v>-2072.9102462802662</c:v>
                </c:pt>
              </c:numCache>
            </c:numRef>
          </c:val>
          <c:extLst>
            <c:ext xmlns:c16="http://schemas.microsoft.com/office/drawing/2014/chart" uri="{C3380CC4-5D6E-409C-BE32-E72D297353CC}">
              <c16:uniqueId val="{00000000-0DA5-4D2D-A8C1-84D9D0803E4B}"/>
            </c:ext>
          </c:extLst>
        </c:ser>
        <c:ser>
          <c:idx val="0"/>
          <c:order val="1"/>
          <c:tx>
            <c:strRef>
              <c:f>Analysis!$C$14</c:f>
              <c:strCache>
                <c:ptCount val="1"/>
                <c:pt idx="0">
                  <c:v>2019</c:v>
                </c:pt>
              </c:strCache>
            </c:strRef>
          </c:tx>
          <c:spPr>
            <a:solidFill>
              <a:schemeClr val="tx2">
                <a:lumMod val="20000"/>
                <a:lumOff val="80000"/>
              </a:schemeClr>
            </a:solidFill>
          </c:spPr>
          <c:invertIfNegative val="0"/>
          <c:cat>
            <c:strLit>
              <c:ptCount val="7"/>
              <c:pt idx="0">
                <c:v>Forest land</c:v>
              </c:pt>
              <c:pt idx="1">
                <c:v>Cropland</c:v>
              </c:pt>
              <c:pt idx="2">
                <c:v>Grassland</c:v>
              </c:pt>
              <c:pt idx="3">
                <c:v>Wetlands</c:v>
              </c:pt>
              <c:pt idx="4">
                <c:v>Settlements </c:v>
              </c:pt>
              <c:pt idx="5">
                <c:v>Other land</c:v>
              </c:pt>
              <c:pt idx="6">
                <c:v>Harvested wood products</c:v>
              </c:pt>
            </c:strLit>
          </c:cat>
          <c:val>
            <c:numRef>
              <c:f>Analysis!$C$16:$C$22</c:f>
              <c:numCache>
                <c:formatCode>#,##0.0</c:formatCode>
                <c:ptCount val="7"/>
                <c:pt idx="0">
                  <c:v>-22176.815006688979</c:v>
                </c:pt>
                <c:pt idx="1">
                  <c:v>386.84470937224808</c:v>
                </c:pt>
                <c:pt idx="2">
                  <c:v>4253.6318795228663</c:v>
                </c:pt>
                <c:pt idx="3">
                  <c:v>13.396363384905079</c:v>
                </c:pt>
                <c:pt idx="4">
                  <c:v>112.66558073282658</c:v>
                </c:pt>
                <c:pt idx="5">
                  <c:v>52.481574872859831</c:v>
                </c:pt>
                <c:pt idx="6">
                  <c:v>-10067.295631878877</c:v>
                </c:pt>
              </c:numCache>
            </c:numRef>
          </c:val>
          <c:extLst>
            <c:ext xmlns:c16="http://schemas.microsoft.com/office/drawing/2014/chart" uri="{C3380CC4-5D6E-409C-BE32-E72D297353CC}">
              <c16:uniqueId val="{00000001-0DA5-4D2D-A8C1-84D9D0803E4B}"/>
            </c:ext>
          </c:extLst>
        </c:ser>
        <c:dLbls>
          <c:showLegendKey val="0"/>
          <c:showVal val="0"/>
          <c:showCatName val="0"/>
          <c:showSerName val="0"/>
          <c:showPercent val="0"/>
          <c:showBubbleSize val="0"/>
        </c:dLbls>
        <c:gapWidth val="150"/>
        <c:axId val="128243968"/>
        <c:axId val="129651840"/>
      </c:barChart>
      <c:catAx>
        <c:axId val="128243968"/>
        <c:scaling>
          <c:orientation val="minMax"/>
        </c:scaling>
        <c:delete val="0"/>
        <c:axPos val="b"/>
        <c:numFmt formatCode="General" sourceLinked="1"/>
        <c:majorTickMark val="out"/>
        <c:minorTickMark val="none"/>
        <c:tickLblPos val="low"/>
        <c:spPr>
          <a:ln w="12700">
            <a:solidFill>
              <a:schemeClr val="tx1"/>
            </a:solidFill>
          </a:ln>
        </c:spPr>
        <c:txPr>
          <a:bodyPr rot="0" vert="horz"/>
          <a:lstStyle/>
          <a:p>
            <a:pPr>
              <a:defRPr sz="800" b="0" i="0" u="none" strike="noStrike" baseline="0">
                <a:solidFill>
                  <a:srgbClr val="000000"/>
                </a:solidFill>
                <a:latin typeface="+mn-lt"/>
                <a:ea typeface="Arial"/>
                <a:cs typeface="Arial"/>
              </a:defRPr>
            </a:pPr>
            <a:endParaRPr lang="en-US"/>
          </a:p>
        </c:txPr>
        <c:crossAx val="129651840"/>
        <c:crosses val="autoZero"/>
        <c:auto val="1"/>
        <c:lblAlgn val="ctr"/>
        <c:lblOffset val="100"/>
        <c:noMultiLvlLbl val="0"/>
      </c:catAx>
      <c:valAx>
        <c:axId val="129651840"/>
        <c:scaling>
          <c:orientation val="minMax"/>
        </c:scaling>
        <c:delete val="0"/>
        <c:axPos val="l"/>
        <c:majorGridlines>
          <c:spPr>
            <a:ln>
              <a:solidFill>
                <a:schemeClr val="bg1">
                  <a:lumMod val="85000"/>
                </a:schemeClr>
              </a:solidFill>
            </a:ln>
          </c:spPr>
        </c:majorGridlines>
        <c:title>
          <c:tx>
            <c:rich>
              <a:bodyPr/>
              <a:lstStyle/>
              <a:p>
                <a:pPr>
                  <a:defRPr sz="900" b="0" i="0" u="none" strike="noStrike" baseline="0">
                    <a:solidFill>
                      <a:srgbClr val="000000"/>
                    </a:solidFill>
                    <a:latin typeface="+mn-lt"/>
                    <a:ea typeface="Calibri"/>
                    <a:cs typeface="Calibri"/>
                  </a:defRPr>
                </a:pPr>
                <a:r>
                  <a:rPr lang="en-NZ" sz="800" b="0">
                    <a:latin typeface="Arial" panose="020B0604020202020204" pitchFamily="34" charset="0"/>
                    <a:cs typeface="Arial" panose="020B0604020202020204" pitchFamily="34" charset="0"/>
                  </a:rPr>
                  <a:t>Kt CO</a:t>
                </a:r>
                <a:r>
                  <a:rPr lang="en-NZ" sz="800" b="0" baseline="-25000">
                    <a:latin typeface="Arial" panose="020B0604020202020204" pitchFamily="34" charset="0"/>
                    <a:cs typeface="Arial" panose="020B0604020202020204" pitchFamily="34" charset="0"/>
                  </a:rPr>
                  <a:t>2</a:t>
                </a:r>
                <a:r>
                  <a:rPr lang="en-NZ" sz="800" b="0">
                    <a:latin typeface="Arial" panose="020B0604020202020204" pitchFamily="34" charset="0"/>
                    <a:cs typeface="Arial" panose="020B0604020202020204" pitchFamily="34" charset="0"/>
                  </a:rPr>
                  <a:t>-equivalent</a:t>
                </a:r>
              </a:p>
            </c:rich>
          </c:tx>
          <c:layout>
            <c:manualLayout>
              <c:xMode val="edge"/>
              <c:yMode val="edge"/>
              <c:x val="1.7457719585379158E-2"/>
              <c:y val="0.30808490584562215"/>
            </c:manualLayout>
          </c:layout>
          <c:overlay val="0"/>
          <c:spPr>
            <a:noFill/>
            <a:ln w="25400">
              <a:noFill/>
            </a:ln>
          </c:spPr>
        </c:title>
        <c:numFmt formatCode="#,##0" sourceLinked="0"/>
        <c:majorTickMark val="out"/>
        <c:minorTickMark val="none"/>
        <c:tickLblPos val="nextTo"/>
        <c:spPr>
          <a:ln w="12700">
            <a:solidFill>
              <a:schemeClr val="tx1"/>
            </a:solidFill>
          </a:ln>
        </c:spPr>
        <c:txPr>
          <a:bodyPr rot="0" vert="horz"/>
          <a:lstStyle/>
          <a:p>
            <a:pPr>
              <a:defRPr sz="700" b="0" i="0" u="none" strike="noStrike" baseline="0">
                <a:solidFill>
                  <a:srgbClr val="000000"/>
                </a:solidFill>
                <a:latin typeface="Arial" panose="020B0604020202020204" pitchFamily="34" charset="0"/>
                <a:ea typeface="Arial"/>
                <a:cs typeface="Arial" panose="020B0604020202020204" pitchFamily="34" charset="0"/>
              </a:defRPr>
            </a:pPr>
            <a:endParaRPr lang="en-US"/>
          </a:p>
        </c:txPr>
        <c:crossAx val="128243968"/>
        <c:crosses val="autoZero"/>
        <c:crossBetween val="between"/>
      </c:valAx>
      <c:spPr>
        <a:solidFill>
          <a:schemeClr val="bg1"/>
        </a:solidFill>
      </c:spPr>
    </c:plotArea>
    <c:legend>
      <c:legendPos val="b"/>
      <c:layout>
        <c:manualLayout>
          <c:xMode val="edge"/>
          <c:yMode val="edge"/>
          <c:x val="0.44735182786427852"/>
          <c:y val="0.94485255519530642"/>
          <c:w val="0.13284846696678712"/>
          <c:h val="5.5147444804693531E-2"/>
        </c:manualLayout>
      </c:layout>
      <c:overlay val="0"/>
      <c:txPr>
        <a:bodyPr/>
        <a:lstStyle/>
        <a:p>
          <a:pPr>
            <a:defRPr sz="800" b="0" i="0" u="none" strike="noStrike" baseline="0">
              <a:solidFill>
                <a:srgbClr val="000000"/>
              </a:solidFill>
              <a:latin typeface="Arial" panose="020B0604020202020204" pitchFamily="34" charset="0"/>
              <a:ea typeface="Arial"/>
              <a:cs typeface="Arial" panose="020B0604020202020204" pitchFamily="34" charset="0"/>
            </a:defRPr>
          </a:pPr>
          <a:endParaRPr lang="en-US"/>
        </a:p>
      </c:txPr>
    </c:legend>
    <c:plotVisOnly val="1"/>
    <c:dispBlanksAs val="gap"/>
    <c:showDLblsOverMax val="0"/>
  </c:chart>
  <c:spPr>
    <a:ln w="12700">
      <a:noFill/>
    </a:ln>
  </c:spPr>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userShapes r:id="rId3"/>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797605447414362"/>
          <c:y val="3.9898160481545812E-2"/>
          <c:w val="0.85319088992872572"/>
          <c:h val="0.832541435532556"/>
        </c:manualLayout>
      </c:layout>
      <c:barChart>
        <c:barDir val="col"/>
        <c:grouping val="clustered"/>
        <c:varyColors val="0"/>
        <c:ser>
          <c:idx val="0"/>
          <c:order val="0"/>
          <c:tx>
            <c:strRef>
              <c:f>Tables!$C$15</c:f>
              <c:strCache>
                <c:ptCount val="1"/>
                <c:pt idx="0">
                  <c:v>New forest planting</c:v>
                </c:pt>
              </c:strCache>
            </c:strRef>
          </c:tx>
          <c:spPr>
            <a:solidFill>
              <a:schemeClr val="accent1">
                <a:lumMod val="75000"/>
              </a:schemeClr>
            </a:solidFill>
          </c:spPr>
          <c:invertIfNegative val="0"/>
          <c:cat>
            <c:numRef>
              <c:f>Tables!$B$16:$B$45</c:f>
              <c:numCache>
                <c:formatCode>General</c:formatCode>
                <c:ptCount val="30"/>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numCache>
            </c:numRef>
          </c:cat>
          <c:val>
            <c:numRef>
              <c:f>Tables!$C$16:$C$45</c:f>
              <c:numCache>
                <c:formatCode>#,##0</c:formatCode>
                <c:ptCount val="30"/>
                <c:pt idx="0">
                  <c:v>14511.792572870358</c:v>
                </c:pt>
                <c:pt idx="1">
                  <c:v>14332.879038872634</c:v>
                </c:pt>
                <c:pt idx="2">
                  <c:v>44296.912589786283</c:v>
                </c:pt>
                <c:pt idx="3">
                  <c:v>53895.497087822609</c:v>
                </c:pt>
                <c:pt idx="4">
                  <c:v>85073.69143072881</c:v>
                </c:pt>
                <c:pt idx="5">
                  <c:v>64101.161981851816</c:v>
                </c:pt>
                <c:pt idx="6">
                  <c:v>72407.599104681969</c:v>
                </c:pt>
                <c:pt idx="7">
                  <c:v>57166.377508655962</c:v>
                </c:pt>
                <c:pt idx="8">
                  <c:v>46789.445869822848</c:v>
                </c:pt>
                <c:pt idx="9">
                  <c:v>37525.748072194205</c:v>
                </c:pt>
                <c:pt idx="10">
                  <c:v>32863.31201659068</c:v>
                </c:pt>
                <c:pt idx="11">
                  <c:v>30684.243760596368</c:v>
                </c:pt>
                <c:pt idx="12">
                  <c:v>22851.85423495061</c:v>
                </c:pt>
                <c:pt idx="13">
                  <c:v>21458.779908953642</c:v>
                </c:pt>
                <c:pt idx="14">
                  <c:v>14967.455876153675</c:v>
                </c:pt>
                <c:pt idx="15">
                  <c:v>12010.040479359872</c:v>
                </c:pt>
                <c:pt idx="16">
                  <c:v>10080.225551369018</c:v>
                </c:pt>
                <c:pt idx="17">
                  <c:v>9418.0989397587218</c:v>
                </c:pt>
                <c:pt idx="18">
                  <c:v>5302.9133566381824</c:v>
                </c:pt>
                <c:pt idx="19">
                  <c:v>8352.5958975007434</c:v>
                </c:pt>
                <c:pt idx="20">
                  <c:v>10512.787697278995</c:v>
                </c:pt>
                <c:pt idx="21">
                  <c:v>18136.994049436118</c:v>
                </c:pt>
                <c:pt idx="22">
                  <c:v>17501.643520090322</c:v>
                </c:pt>
                <c:pt idx="23">
                  <c:v>7285.7114649115201</c:v>
                </c:pt>
                <c:pt idx="24">
                  <c:v>5937.0584478572382</c:v>
                </c:pt>
                <c:pt idx="25">
                  <c:v>5937.0584478569162</c:v>
                </c:pt>
                <c:pt idx="26">
                  <c:v>6396.7077411648706</c:v>
                </c:pt>
                <c:pt idx="27">
                  <c:v>9811.6718022713885</c:v>
                </c:pt>
                <c:pt idx="28">
                  <c:v>10117.829801099837</c:v>
                </c:pt>
                <c:pt idx="29">
                  <c:v>24647.100218322965</c:v>
                </c:pt>
              </c:numCache>
            </c:numRef>
          </c:val>
          <c:extLst>
            <c:ext xmlns:c16="http://schemas.microsoft.com/office/drawing/2014/chart" uri="{C3380CC4-5D6E-409C-BE32-E72D297353CC}">
              <c16:uniqueId val="{00000000-BC0C-4F18-80D8-D41DE3383B44}"/>
            </c:ext>
          </c:extLst>
        </c:ser>
        <c:dLbls>
          <c:showLegendKey val="0"/>
          <c:showVal val="0"/>
          <c:showCatName val="0"/>
          <c:showSerName val="0"/>
          <c:showPercent val="0"/>
          <c:showBubbleSize val="0"/>
        </c:dLbls>
        <c:gapWidth val="150"/>
        <c:axId val="455006080"/>
        <c:axId val="455323648"/>
      </c:barChart>
      <c:catAx>
        <c:axId val="455006080"/>
        <c:scaling>
          <c:orientation val="minMax"/>
        </c:scaling>
        <c:delete val="0"/>
        <c:axPos val="b"/>
        <c:numFmt formatCode="General" sourceLinked="1"/>
        <c:majorTickMark val="out"/>
        <c:minorTickMark val="none"/>
        <c:tickLblPos val="low"/>
        <c:spPr>
          <a:ln w="12700">
            <a:solidFill>
              <a:schemeClr val="tx1"/>
            </a:solidFill>
          </a:ln>
        </c:spPr>
        <c:txPr>
          <a:bodyPr rot="-5400000" vert="horz"/>
          <a:lstStyle/>
          <a:p>
            <a:pPr>
              <a:defRPr/>
            </a:pPr>
            <a:endParaRPr lang="en-US"/>
          </a:p>
        </c:txPr>
        <c:crossAx val="455323648"/>
        <c:crosses val="autoZero"/>
        <c:auto val="1"/>
        <c:lblAlgn val="ctr"/>
        <c:lblOffset val="200"/>
        <c:tickLblSkip val="2"/>
        <c:tickMarkSkip val="2"/>
        <c:noMultiLvlLbl val="0"/>
      </c:catAx>
      <c:valAx>
        <c:axId val="455323648"/>
        <c:scaling>
          <c:orientation val="minMax"/>
        </c:scaling>
        <c:delete val="0"/>
        <c:axPos val="l"/>
        <c:majorGridlines>
          <c:spPr>
            <a:ln w="6350">
              <a:solidFill>
                <a:sysClr val="window" lastClr="FFFFFF"/>
              </a:solidFill>
            </a:ln>
          </c:spPr>
        </c:majorGridlines>
        <c:title>
          <c:tx>
            <c:rich>
              <a:bodyPr rot="-5400000" vert="horz"/>
              <a:lstStyle/>
              <a:p>
                <a:pPr>
                  <a:defRPr sz="900" b="0"/>
                </a:pPr>
                <a:r>
                  <a:rPr lang="en-NZ"/>
                  <a:t>Area</a:t>
                </a:r>
                <a:r>
                  <a:rPr lang="en-NZ" baseline="0"/>
                  <a:t> (hectares)</a:t>
                </a:r>
                <a:endParaRPr lang="en-NZ"/>
              </a:p>
            </c:rich>
          </c:tx>
          <c:layout>
            <c:manualLayout>
              <c:xMode val="edge"/>
              <c:yMode val="edge"/>
              <c:x val="4.7458882454508005E-3"/>
              <c:y val="0.39998981945438639"/>
            </c:manualLayout>
          </c:layout>
          <c:overlay val="0"/>
        </c:title>
        <c:numFmt formatCode="#,##0" sourceLinked="0"/>
        <c:majorTickMark val="out"/>
        <c:minorTickMark val="none"/>
        <c:tickLblPos val="nextTo"/>
        <c:spPr>
          <a:ln w="12700">
            <a:solidFill>
              <a:schemeClr val="tx1"/>
            </a:solidFill>
          </a:ln>
        </c:spPr>
        <c:crossAx val="455006080"/>
        <c:crossesAt val="1"/>
        <c:crossBetween val="between"/>
      </c:valAx>
      <c:spPr>
        <a:solidFill>
          <a:schemeClr val="bg1"/>
        </a:solidFill>
        <a:ln>
          <a:solidFill>
            <a:sysClr val="window" lastClr="FFFFFF"/>
          </a:solidFill>
        </a:ln>
      </c:spPr>
    </c:plotArea>
    <c:plotVisOnly val="1"/>
    <c:dispBlanksAs val="gap"/>
    <c:showDLblsOverMax val="0"/>
  </c:chart>
  <c:spPr>
    <a:ln w="12700">
      <a:noFill/>
    </a:ln>
  </c:spPr>
  <c:txPr>
    <a:bodyPr/>
    <a:lstStyle/>
    <a:p>
      <a:pPr>
        <a:defRPr sz="800">
          <a:latin typeface="+mn-lt"/>
          <a:cs typeface="Arial" pitchFamily="34" charset="0"/>
        </a:defRPr>
      </a:pPr>
      <a:endParaRPr lang="en-US"/>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606905830135078"/>
          <c:y val="3.9898255662031527E-2"/>
          <c:w val="0.85319088992872572"/>
          <c:h val="0.832541435532556"/>
        </c:manualLayout>
      </c:layout>
      <c:barChart>
        <c:barDir val="col"/>
        <c:grouping val="clustered"/>
        <c:varyColors val="0"/>
        <c:ser>
          <c:idx val="0"/>
          <c:order val="0"/>
          <c:tx>
            <c:strRef>
              <c:f>Analysis!$N$2</c:f>
              <c:strCache>
                <c:ptCount val="1"/>
                <c:pt idx="0">
                  <c:v>Cumulative Net Removals (Gg CO2)</c:v>
                </c:pt>
              </c:strCache>
            </c:strRef>
          </c:tx>
          <c:spPr>
            <a:solidFill>
              <a:schemeClr val="accent1">
                <a:lumMod val="75000"/>
              </a:schemeClr>
            </a:solidFill>
          </c:spPr>
          <c:invertIfNegative val="0"/>
          <c:cat>
            <c:numRef>
              <c:f>Analysis!$A$4:$A$33</c:f>
              <c:numCache>
                <c:formatCode>General</c:formatCode>
                <c:ptCount val="30"/>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numCache>
            </c:numRef>
          </c:cat>
          <c:val>
            <c:numRef>
              <c:f>Analysis!$N$4:$N$33</c:f>
              <c:numCache>
                <c:formatCode>0.000</c:formatCode>
                <c:ptCount val="30"/>
                <c:pt idx="0">
                  <c:v>-78.111482105419782</c:v>
                </c:pt>
                <c:pt idx="1">
                  <c:v>-94.743808729994385</c:v>
                </c:pt>
                <c:pt idx="2">
                  <c:v>-260.51648547969506</c:v>
                </c:pt>
                <c:pt idx="3">
                  <c:v>-312.11121113946001</c:v>
                </c:pt>
                <c:pt idx="4">
                  <c:v>-353.07706740043312</c:v>
                </c:pt>
                <c:pt idx="5">
                  <c:v>119.98659780686189</c:v>
                </c:pt>
                <c:pt idx="6">
                  <c:v>945.16308015957259</c:v>
                </c:pt>
                <c:pt idx="7">
                  <c:v>2377.3308039397994</c:v>
                </c:pt>
                <c:pt idx="8">
                  <c:v>4436.4065653321668</c:v>
                </c:pt>
                <c:pt idx="9">
                  <c:v>6882.4990983998923</c:v>
                </c:pt>
                <c:pt idx="10">
                  <c:v>9316.3153558656595</c:v>
                </c:pt>
                <c:pt idx="11">
                  <c:v>11312.770553144346</c:v>
                </c:pt>
                <c:pt idx="12">
                  <c:v>12828.347375980627</c:v>
                </c:pt>
                <c:pt idx="13">
                  <c:v>13902.849636755642</c:v>
                </c:pt>
                <c:pt idx="14">
                  <c:v>14561.070845988967</c:v>
                </c:pt>
                <c:pt idx="15">
                  <c:v>15091.783760449262</c:v>
                </c:pt>
                <c:pt idx="16">
                  <c:v>15590.150857858569</c:v>
                </c:pt>
                <c:pt idx="17">
                  <c:v>16091.408525074448</c:v>
                </c:pt>
                <c:pt idx="18">
                  <c:v>16553.196941386155</c:v>
                </c:pt>
                <c:pt idx="19">
                  <c:v>16923.114143684994</c:v>
                </c:pt>
                <c:pt idx="20">
                  <c:v>17043.431115542811</c:v>
                </c:pt>
                <c:pt idx="21">
                  <c:v>17022.717459980086</c:v>
                </c:pt>
                <c:pt idx="22">
                  <c:v>17309.844140611447</c:v>
                </c:pt>
                <c:pt idx="23">
                  <c:v>16839.55579158882</c:v>
                </c:pt>
                <c:pt idx="24">
                  <c:v>16873.325628726838</c:v>
                </c:pt>
                <c:pt idx="25">
                  <c:v>16820.009120175822</c:v>
                </c:pt>
                <c:pt idx="26">
                  <c:v>15853.0015409921</c:v>
                </c:pt>
                <c:pt idx="27">
                  <c:v>15610.70083988393</c:v>
                </c:pt>
                <c:pt idx="28">
                  <c:v>13282.786937709827</c:v>
                </c:pt>
                <c:pt idx="29">
                  <c:v>10051.493550686144</c:v>
                </c:pt>
              </c:numCache>
            </c:numRef>
          </c:val>
          <c:extLst>
            <c:ext xmlns:c16="http://schemas.microsoft.com/office/drawing/2014/chart" uri="{C3380CC4-5D6E-409C-BE32-E72D297353CC}">
              <c16:uniqueId val="{00000000-112F-45CE-A918-CB4F4DEA835E}"/>
            </c:ext>
          </c:extLst>
        </c:ser>
        <c:dLbls>
          <c:showLegendKey val="0"/>
          <c:showVal val="0"/>
          <c:showCatName val="0"/>
          <c:showSerName val="0"/>
          <c:showPercent val="0"/>
          <c:showBubbleSize val="0"/>
        </c:dLbls>
        <c:gapWidth val="150"/>
        <c:axId val="344288640"/>
        <c:axId val="363836544"/>
      </c:barChart>
      <c:catAx>
        <c:axId val="344288640"/>
        <c:scaling>
          <c:orientation val="minMax"/>
        </c:scaling>
        <c:delete val="0"/>
        <c:axPos val="b"/>
        <c:numFmt formatCode="General" sourceLinked="1"/>
        <c:majorTickMark val="out"/>
        <c:minorTickMark val="none"/>
        <c:tickLblPos val="low"/>
        <c:spPr>
          <a:ln w="12700">
            <a:solidFill>
              <a:schemeClr val="tx1"/>
            </a:solidFill>
          </a:ln>
        </c:spPr>
        <c:txPr>
          <a:bodyPr rot="-5400000" vert="horz"/>
          <a:lstStyle/>
          <a:p>
            <a:pPr>
              <a:defRPr/>
            </a:pPr>
            <a:endParaRPr lang="en-US"/>
          </a:p>
        </c:txPr>
        <c:crossAx val="363836544"/>
        <c:crosses val="autoZero"/>
        <c:auto val="1"/>
        <c:lblAlgn val="ctr"/>
        <c:lblOffset val="200"/>
        <c:tickLblSkip val="2"/>
        <c:noMultiLvlLbl val="0"/>
      </c:catAx>
      <c:valAx>
        <c:axId val="363836544"/>
        <c:scaling>
          <c:orientation val="minMax"/>
          <c:min val="-4000"/>
        </c:scaling>
        <c:delete val="0"/>
        <c:axPos val="l"/>
        <c:majorGridlines>
          <c:spPr>
            <a:ln w="6350">
              <a:solidFill>
                <a:schemeClr val="bg1">
                  <a:lumMod val="85000"/>
                </a:schemeClr>
              </a:solidFill>
            </a:ln>
          </c:spPr>
        </c:majorGridlines>
        <c:title>
          <c:tx>
            <c:rich>
              <a:bodyPr rot="-5400000" vert="horz"/>
              <a:lstStyle/>
              <a:p>
                <a:pPr>
                  <a:defRPr sz="900" b="0"/>
                </a:pPr>
                <a:r>
                  <a:rPr lang="en-NZ"/>
                  <a:t>Net removals</a:t>
                </a:r>
                <a:r>
                  <a:rPr lang="en-NZ" sz="900" b="0" i="0" u="none" strike="noStrike" kern="1200" baseline="0">
                    <a:solidFill>
                      <a:sysClr val="windowText" lastClr="000000"/>
                    </a:solidFill>
                    <a:latin typeface="+mn-lt"/>
                    <a:ea typeface="+mn-ea"/>
                    <a:cs typeface="Arial" pitchFamily="34" charset="0"/>
                  </a:rPr>
                  <a:t> </a:t>
                </a:r>
                <a:r>
                  <a:rPr lang="en-NZ"/>
                  <a:t>(kt CO</a:t>
                </a:r>
                <a:r>
                  <a:rPr lang="en-NZ" baseline="-25000"/>
                  <a:t>2</a:t>
                </a:r>
                <a:r>
                  <a:rPr lang="en-NZ"/>
                  <a:t>)</a:t>
                </a:r>
              </a:p>
            </c:rich>
          </c:tx>
          <c:layout>
            <c:manualLayout>
              <c:xMode val="edge"/>
              <c:yMode val="edge"/>
              <c:x val="1.0659778638781264E-3"/>
              <c:y val="0.29697929425488478"/>
            </c:manualLayout>
          </c:layout>
          <c:overlay val="0"/>
        </c:title>
        <c:numFmt formatCode="#,##0" sourceLinked="0"/>
        <c:majorTickMark val="out"/>
        <c:minorTickMark val="out"/>
        <c:tickLblPos val="nextTo"/>
        <c:spPr>
          <a:ln w="12700">
            <a:solidFill>
              <a:schemeClr val="tx1"/>
            </a:solidFill>
          </a:ln>
        </c:spPr>
        <c:crossAx val="344288640"/>
        <c:crossesAt val="1"/>
        <c:crossBetween val="between"/>
        <c:majorUnit val="4000"/>
        <c:minorUnit val="2000"/>
      </c:valAx>
      <c:spPr>
        <a:solidFill>
          <a:schemeClr val="bg1"/>
        </a:solidFill>
      </c:spPr>
    </c:plotArea>
    <c:plotVisOnly val="1"/>
    <c:dispBlanksAs val="gap"/>
    <c:showDLblsOverMax val="0"/>
  </c:chart>
  <c:spPr>
    <a:ln w="12700">
      <a:noFill/>
    </a:ln>
  </c:spPr>
  <c:txPr>
    <a:bodyPr/>
    <a:lstStyle/>
    <a:p>
      <a:pPr>
        <a:defRPr sz="800">
          <a:latin typeface="+mn-lt"/>
          <a:cs typeface="Arial" pitchFamily="34" charset="0"/>
        </a:defRPr>
      </a:pPr>
      <a:endParaRPr lang="en-US"/>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1305790479893717"/>
          <c:y val="2.8754716754572664E-2"/>
          <c:w val="0.8142210245070941"/>
          <c:h val="0.71513604310152434"/>
        </c:manualLayout>
      </c:layout>
      <c:scatterChart>
        <c:scatterStyle val="lineMarker"/>
        <c:varyColors val="0"/>
        <c:ser>
          <c:idx val="0"/>
          <c:order val="0"/>
          <c:tx>
            <c:strRef>
              <c:f>Tables!$C$59</c:f>
              <c:strCache>
                <c:ptCount val="1"/>
                <c:pt idx="0">
                  <c:v>Pre-1990 natural forest</c:v>
                </c:pt>
              </c:strCache>
            </c:strRef>
          </c:tx>
          <c:spPr>
            <a:ln w="25400">
              <a:solidFill>
                <a:schemeClr val="tx2">
                  <a:lumMod val="40000"/>
                  <a:lumOff val="60000"/>
                </a:schemeClr>
              </a:solidFill>
            </a:ln>
          </c:spPr>
          <c:marker>
            <c:symbol val="none"/>
          </c:marker>
          <c:xVal>
            <c:numRef>
              <c:f>Tables!$B$60:$B$89</c:f>
              <c:numCache>
                <c:formatCode>General</c:formatCode>
                <c:ptCount val="30"/>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numCache>
            </c:numRef>
          </c:xVal>
          <c:yVal>
            <c:numRef>
              <c:f>Tables!$C$60:$C$89</c:f>
              <c:numCache>
                <c:formatCode>_(* #,##0.00_);_(* \(#,##0.00\);_(* "-"??_);_(@_)</c:formatCode>
                <c:ptCount val="30"/>
                <c:pt idx="0">
                  <c:v>1.844416247003213</c:v>
                </c:pt>
                <c:pt idx="1">
                  <c:v>1.844416247003213</c:v>
                </c:pt>
                <c:pt idx="2">
                  <c:v>1.844416247003213</c:v>
                </c:pt>
                <c:pt idx="3">
                  <c:v>1.844416247003213</c:v>
                </c:pt>
                <c:pt idx="4">
                  <c:v>1.844416247003213</c:v>
                </c:pt>
                <c:pt idx="5">
                  <c:v>1.844416247003213</c:v>
                </c:pt>
                <c:pt idx="6">
                  <c:v>1.844416247003213</c:v>
                </c:pt>
                <c:pt idx="7">
                  <c:v>1.844416247003213</c:v>
                </c:pt>
                <c:pt idx="8">
                  <c:v>1.844416247003213</c:v>
                </c:pt>
                <c:pt idx="9">
                  <c:v>1.844416247003213</c:v>
                </c:pt>
                <c:pt idx="10">
                  <c:v>1.844416247003213</c:v>
                </c:pt>
                <c:pt idx="11">
                  <c:v>1.844416247003213</c:v>
                </c:pt>
                <c:pt idx="12">
                  <c:v>1.844416247003213</c:v>
                </c:pt>
                <c:pt idx="13">
                  <c:v>1.844416247003213</c:v>
                </c:pt>
                <c:pt idx="14">
                  <c:v>1.844416247003213</c:v>
                </c:pt>
                <c:pt idx="15">
                  <c:v>1.844416247003213</c:v>
                </c:pt>
                <c:pt idx="16">
                  <c:v>1.844416247003213</c:v>
                </c:pt>
                <c:pt idx="17">
                  <c:v>1.8444162470032124</c:v>
                </c:pt>
                <c:pt idx="18">
                  <c:v>0.76206802699999998</c:v>
                </c:pt>
                <c:pt idx="19">
                  <c:v>2.4459406733512603</c:v>
                </c:pt>
                <c:pt idx="20">
                  <c:v>1.93876924435003</c:v>
                </c:pt>
                <c:pt idx="21">
                  <c:v>1.01766002130859</c:v>
                </c:pt>
                <c:pt idx="22">
                  <c:v>1.12117187984738</c:v>
                </c:pt>
                <c:pt idx="23">
                  <c:v>1.0963309990000001</c:v>
                </c:pt>
                <c:pt idx="24">
                  <c:v>0.47809626099999997</c:v>
                </c:pt>
                <c:pt idx="25">
                  <c:v>0.64621371900000013</c:v>
                </c:pt>
                <c:pt idx="26">
                  <c:v>0.40860759300394994</c:v>
                </c:pt>
                <c:pt idx="27">
                  <c:v>0.74962041599999996</c:v>
                </c:pt>
                <c:pt idx="28">
                  <c:v>0.74962041599999996</c:v>
                </c:pt>
                <c:pt idx="29">
                  <c:v>0.74962041599999996</c:v>
                </c:pt>
              </c:numCache>
            </c:numRef>
          </c:yVal>
          <c:smooth val="0"/>
          <c:extLst>
            <c:ext xmlns:c16="http://schemas.microsoft.com/office/drawing/2014/chart" uri="{C3380CC4-5D6E-409C-BE32-E72D297353CC}">
              <c16:uniqueId val="{00000000-B0D8-4F6E-A6C9-1725BA5153C4}"/>
            </c:ext>
          </c:extLst>
        </c:ser>
        <c:ser>
          <c:idx val="1"/>
          <c:order val="1"/>
          <c:tx>
            <c:strRef>
              <c:f>Tables!$D$59</c:f>
              <c:strCache>
                <c:ptCount val="1"/>
                <c:pt idx="0">
                  <c:v>Pre-1990 planted forest</c:v>
                </c:pt>
              </c:strCache>
            </c:strRef>
          </c:tx>
          <c:spPr>
            <a:ln w="25400">
              <a:solidFill>
                <a:srgbClr val="002EC0"/>
              </a:solidFill>
            </a:ln>
          </c:spPr>
          <c:marker>
            <c:symbol val="none"/>
          </c:marker>
          <c:xVal>
            <c:numRef>
              <c:f>Tables!$B$60:$B$89</c:f>
              <c:numCache>
                <c:formatCode>General</c:formatCode>
                <c:ptCount val="30"/>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numCache>
            </c:numRef>
          </c:xVal>
          <c:yVal>
            <c:numRef>
              <c:f>Tables!$D$60:$D$89</c:f>
              <c:numCache>
                <c:formatCode>_(* #,##0.00_);_(* \(#,##0.00\);_(* "-"??_);_(@_)</c:formatCode>
                <c:ptCount val="30"/>
                <c:pt idx="0">
                  <c:v>0</c:v>
                </c:pt>
                <c:pt idx="1">
                  <c:v>0</c:v>
                </c:pt>
                <c:pt idx="2">
                  <c:v>0</c:v>
                </c:pt>
                <c:pt idx="3">
                  <c:v>0</c:v>
                </c:pt>
                <c:pt idx="4">
                  <c:v>0</c:v>
                </c:pt>
                <c:pt idx="5">
                  <c:v>0</c:v>
                </c:pt>
                <c:pt idx="6">
                  <c:v>0</c:v>
                </c:pt>
                <c:pt idx="7">
                  <c:v>0</c:v>
                </c:pt>
                <c:pt idx="8">
                  <c:v>0</c:v>
                </c:pt>
                <c:pt idx="9">
                  <c:v>0</c:v>
                </c:pt>
                <c:pt idx="10">
                  <c:v>2.746098504912208</c:v>
                </c:pt>
                <c:pt idx="11">
                  <c:v>2.6679806940150077</c:v>
                </c:pt>
                <c:pt idx="12">
                  <c:v>2.0748179526352084</c:v>
                </c:pt>
                <c:pt idx="13">
                  <c:v>3.5573519710784072</c:v>
                </c:pt>
                <c:pt idx="14">
                  <c:v>7.1050013367774074</c:v>
                </c:pt>
                <c:pt idx="15">
                  <c:v>12.852013264979602</c:v>
                </c:pt>
                <c:pt idx="16">
                  <c:v>16.175357989116595</c:v>
                </c:pt>
                <c:pt idx="17">
                  <c:v>21.463017206071786</c:v>
                </c:pt>
                <c:pt idx="18">
                  <c:v>3.8588471729440061</c:v>
                </c:pt>
                <c:pt idx="19">
                  <c:v>5.5923579412986602</c:v>
                </c:pt>
                <c:pt idx="20">
                  <c:v>6.5309767914765366</c:v>
                </c:pt>
                <c:pt idx="21">
                  <c:v>5.425235368243575</c:v>
                </c:pt>
                <c:pt idx="22">
                  <c:v>7.5952855076972776</c:v>
                </c:pt>
                <c:pt idx="23">
                  <c:v>9.8751422079424636</c:v>
                </c:pt>
                <c:pt idx="24">
                  <c:v>6.6089593144841698</c:v>
                </c:pt>
                <c:pt idx="25">
                  <c:v>4.1933961130358259</c:v>
                </c:pt>
                <c:pt idx="26">
                  <c:v>3.237472435458836</c:v>
                </c:pt>
                <c:pt idx="27">
                  <c:v>3.2974558062099897</c:v>
                </c:pt>
                <c:pt idx="28">
                  <c:v>2.7733595148046146</c:v>
                </c:pt>
                <c:pt idx="29">
                  <c:v>3.1079265041926396</c:v>
                </c:pt>
              </c:numCache>
            </c:numRef>
          </c:yVal>
          <c:smooth val="0"/>
          <c:extLst>
            <c:ext xmlns:c16="http://schemas.microsoft.com/office/drawing/2014/chart" uri="{C3380CC4-5D6E-409C-BE32-E72D297353CC}">
              <c16:uniqueId val="{00000001-B0D8-4F6E-A6C9-1725BA5153C4}"/>
            </c:ext>
          </c:extLst>
        </c:ser>
        <c:ser>
          <c:idx val="2"/>
          <c:order val="2"/>
          <c:tx>
            <c:strRef>
              <c:f>Tables!$E$59</c:f>
              <c:strCache>
                <c:ptCount val="1"/>
                <c:pt idx="0">
                  <c:v>Post-1989 planted forest</c:v>
                </c:pt>
              </c:strCache>
            </c:strRef>
          </c:tx>
          <c:spPr>
            <a:ln w="25400">
              <a:solidFill>
                <a:sysClr val="window" lastClr="FFFFFF">
                  <a:lumMod val="50000"/>
                </a:sysClr>
              </a:solidFill>
            </a:ln>
          </c:spPr>
          <c:marker>
            <c:symbol val="none"/>
          </c:marker>
          <c:xVal>
            <c:numRef>
              <c:f>Tables!$B$60:$B$89</c:f>
              <c:numCache>
                <c:formatCode>General</c:formatCode>
                <c:ptCount val="30"/>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numCache>
            </c:numRef>
          </c:xVal>
          <c:yVal>
            <c:numRef>
              <c:f>Tables!$E$60:$E$89</c:f>
              <c:numCache>
                <c:formatCode>_(* #,##0.00_);_(* \(#,##0.00\);_(* "-"??_);_(@_)</c:formatCode>
                <c:ptCount val="30"/>
                <c:pt idx="0">
                  <c:v>0</c:v>
                </c:pt>
                <c:pt idx="1">
                  <c:v>0</c:v>
                </c:pt>
                <c:pt idx="2">
                  <c:v>0</c:v>
                </c:pt>
                <c:pt idx="3">
                  <c:v>0</c:v>
                </c:pt>
                <c:pt idx="4">
                  <c:v>0</c:v>
                </c:pt>
                <c:pt idx="5">
                  <c:v>0</c:v>
                </c:pt>
                <c:pt idx="6">
                  <c:v>0</c:v>
                </c:pt>
                <c:pt idx="7">
                  <c:v>0</c:v>
                </c:pt>
                <c:pt idx="8">
                  <c:v>0</c:v>
                </c:pt>
                <c:pt idx="9">
                  <c:v>0</c:v>
                </c:pt>
                <c:pt idx="10">
                  <c:v>0</c:v>
                </c:pt>
                <c:pt idx="11">
                  <c:v>0</c:v>
                </c:pt>
                <c:pt idx="12">
                  <c:v>0.59838188287470007</c:v>
                </c:pt>
                <c:pt idx="13">
                  <c:v>1.8863809934285996</c:v>
                </c:pt>
                <c:pt idx="14">
                  <c:v>1.7330566565827004</c:v>
                </c:pt>
                <c:pt idx="15">
                  <c:v>1.9718700466208001</c:v>
                </c:pt>
                <c:pt idx="16">
                  <c:v>1.6898661181826</c:v>
                </c:pt>
                <c:pt idx="17">
                  <c:v>4.0565460892618992</c:v>
                </c:pt>
                <c:pt idx="18">
                  <c:v>1.079738053</c:v>
                </c:pt>
                <c:pt idx="19">
                  <c:v>1.9679431009999999</c:v>
                </c:pt>
                <c:pt idx="20">
                  <c:v>1.6551000259999993</c:v>
                </c:pt>
                <c:pt idx="21">
                  <c:v>2.0936633330000003</c:v>
                </c:pt>
                <c:pt idx="22">
                  <c:v>1.3296844836000006</c:v>
                </c:pt>
                <c:pt idx="23">
                  <c:v>2.7824363509999999</c:v>
                </c:pt>
                <c:pt idx="24">
                  <c:v>1.5464710905999999</c:v>
                </c:pt>
                <c:pt idx="25">
                  <c:v>1.6459731664999999</c:v>
                </c:pt>
                <c:pt idx="26">
                  <c:v>1.2740760119999996</c:v>
                </c:pt>
                <c:pt idx="27">
                  <c:v>0.61352824399999983</c:v>
                </c:pt>
                <c:pt idx="28">
                  <c:v>0.68681298899999998</c:v>
                </c:pt>
                <c:pt idx="29">
                  <c:v>0.884708257</c:v>
                </c:pt>
              </c:numCache>
            </c:numRef>
          </c:yVal>
          <c:smooth val="0"/>
          <c:extLst>
            <c:ext xmlns:c16="http://schemas.microsoft.com/office/drawing/2014/chart" uri="{C3380CC4-5D6E-409C-BE32-E72D297353CC}">
              <c16:uniqueId val="{00000002-B0D8-4F6E-A6C9-1725BA5153C4}"/>
            </c:ext>
          </c:extLst>
        </c:ser>
        <c:ser>
          <c:idx val="3"/>
          <c:order val="3"/>
          <c:tx>
            <c:v>Post-1989 natural forest</c:v>
          </c:tx>
          <c:marker>
            <c:symbol val="none"/>
          </c:marker>
          <c:xVal>
            <c:numRef>
              <c:f>Tables!$B$60:$B$89</c:f>
              <c:numCache>
                <c:formatCode>General</c:formatCode>
                <c:ptCount val="30"/>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numCache>
            </c:numRef>
          </c:xVal>
          <c:yVal>
            <c:numRef>
              <c:f>Tables!$F$60:$F$89</c:f>
              <c:numCache>
                <c:formatCode>_(* #,##0.00_);_(* \(#,##0.00\);_(* "-"??_);_(@_)</c:formatCode>
                <c:ptCount val="30"/>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1.3760379229569998E-2</c:v>
                </c:pt>
                <c:pt idx="19">
                  <c:v>5.517631085869E-2</c:v>
                </c:pt>
                <c:pt idx="20">
                  <c:v>2.8674720707130001E-2</c:v>
                </c:pt>
                <c:pt idx="21">
                  <c:v>8.9053265980040014E-2</c:v>
                </c:pt>
                <c:pt idx="22">
                  <c:v>6.0084509274359994E-2</c:v>
                </c:pt>
                <c:pt idx="23">
                  <c:v>0.11171871294345</c:v>
                </c:pt>
                <c:pt idx="24">
                  <c:v>0.11076734784400999</c:v>
                </c:pt>
                <c:pt idx="25">
                  <c:v>5.1106279830579998E-2</c:v>
                </c:pt>
                <c:pt idx="26">
                  <c:v>8.5416701814230014E-2</c:v>
                </c:pt>
                <c:pt idx="27">
                  <c:v>4.1106392369946905E-2</c:v>
                </c:pt>
                <c:pt idx="28">
                  <c:v>4.6016470285632591E-2</c:v>
                </c:pt>
                <c:pt idx="29">
                  <c:v>5.9275453249289498E-2</c:v>
                </c:pt>
              </c:numCache>
            </c:numRef>
          </c:yVal>
          <c:smooth val="0"/>
          <c:extLst>
            <c:ext xmlns:c16="http://schemas.microsoft.com/office/drawing/2014/chart" uri="{C3380CC4-5D6E-409C-BE32-E72D297353CC}">
              <c16:uniqueId val="{00000003-B0D8-4F6E-A6C9-1725BA5153C4}"/>
            </c:ext>
          </c:extLst>
        </c:ser>
        <c:dLbls>
          <c:showLegendKey val="0"/>
          <c:showVal val="0"/>
          <c:showCatName val="0"/>
          <c:showSerName val="0"/>
          <c:showPercent val="0"/>
          <c:showBubbleSize val="0"/>
        </c:dLbls>
        <c:axId val="40006400"/>
        <c:axId val="40007936"/>
      </c:scatterChart>
      <c:valAx>
        <c:axId val="40006400"/>
        <c:scaling>
          <c:orientation val="minMax"/>
          <c:max val="2019"/>
          <c:min val="1990"/>
        </c:scaling>
        <c:delete val="0"/>
        <c:axPos val="b"/>
        <c:majorGridlines>
          <c:spPr>
            <a:ln>
              <a:solidFill>
                <a:schemeClr val="bg1">
                  <a:lumMod val="85000"/>
                </a:schemeClr>
              </a:solidFill>
              <a:prstDash val="dash"/>
            </a:ln>
          </c:spPr>
        </c:majorGridlines>
        <c:numFmt formatCode="General" sourceLinked="1"/>
        <c:majorTickMark val="out"/>
        <c:minorTickMark val="out"/>
        <c:tickLblPos val="low"/>
        <c:spPr>
          <a:ln>
            <a:solidFill>
              <a:schemeClr val="tx1"/>
            </a:solidFill>
          </a:ln>
        </c:spPr>
        <c:txPr>
          <a:bodyPr rot="-5400000" vert="horz"/>
          <a:lstStyle/>
          <a:p>
            <a:pPr>
              <a:defRPr sz="800" b="0" i="0" u="none" strike="noStrike" baseline="0">
                <a:solidFill>
                  <a:srgbClr val="000000"/>
                </a:solidFill>
                <a:latin typeface="+mn-lt"/>
                <a:ea typeface="Arial"/>
                <a:cs typeface="Arial"/>
              </a:defRPr>
            </a:pPr>
            <a:endParaRPr lang="en-US"/>
          </a:p>
        </c:txPr>
        <c:crossAx val="40007936"/>
        <c:crosses val="autoZero"/>
        <c:crossBetween val="midCat"/>
        <c:majorUnit val="2"/>
        <c:minorUnit val="1"/>
      </c:valAx>
      <c:valAx>
        <c:axId val="40007936"/>
        <c:scaling>
          <c:orientation val="minMax"/>
        </c:scaling>
        <c:delete val="0"/>
        <c:axPos val="l"/>
        <c:majorGridlines>
          <c:spPr>
            <a:ln>
              <a:solidFill>
                <a:schemeClr val="bg1">
                  <a:lumMod val="85000"/>
                </a:schemeClr>
              </a:solidFill>
            </a:ln>
          </c:spPr>
        </c:majorGridlines>
        <c:title>
          <c:tx>
            <c:rich>
              <a:bodyPr/>
              <a:lstStyle/>
              <a:p>
                <a:pPr>
                  <a:defRPr sz="900" b="0" i="0" u="none" strike="noStrike" baseline="0">
                    <a:solidFill>
                      <a:srgbClr val="000000"/>
                    </a:solidFill>
                    <a:latin typeface="+mn-lt"/>
                    <a:ea typeface="Calibri"/>
                    <a:cs typeface="Calibri"/>
                  </a:defRPr>
                </a:pPr>
                <a:r>
                  <a:rPr lang="en-NZ"/>
                  <a:t> Area (000 hectares)</a:t>
                </a:r>
              </a:p>
            </c:rich>
          </c:tx>
          <c:layout>
            <c:manualLayout>
              <c:xMode val="edge"/>
              <c:yMode val="edge"/>
              <c:x val="3.107625452982004E-2"/>
              <c:y val="0.34333905814416565"/>
            </c:manualLayout>
          </c:layout>
          <c:overlay val="0"/>
          <c:spPr>
            <a:noFill/>
            <a:ln w="25400">
              <a:noFill/>
            </a:ln>
          </c:spPr>
        </c:title>
        <c:numFmt formatCode="#,##0" sourceLinked="0"/>
        <c:majorTickMark val="out"/>
        <c:minorTickMark val="none"/>
        <c:tickLblPos val="nextTo"/>
        <c:spPr>
          <a:ln>
            <a:solidFill>
              <a:schemeClr val="tx1"/>
            </a:solidFill>
          </a:ln>
        </c:spPr>
        <c:txPr>
          <a:bodyPr rot="0" vert="horz"/>
          <a:lstStyle/>
          <a:p>
            <a:pPr>
              <a:defRPr sz="800" b="0" i="0" u="none" strike="noStrike" baseline="0">
                <a:solidFill>
                  <a:srgbClr val="000000"/>
                </a:solidFill>
                <a:latin typeface="+mn-lt"/>
                <a:ea typeface="Arial"/>
                <a:cs typeface="Arial"/>
              </a:defRPr>
            </a:pPr>
            <a:endParaRPr lang="en-US"/>
          </a:p>
        </c:txPr>
        <c:crossAx val="40006400"/>
        <c:crosses val="autoZero"/>
        <c:crossBetween val="midCat"/>
      </c:valAx>
      <c:spPr>
        <a:solidFill>
          <a:schemeClr val="bg1"/>
        </a:solidFill>
      </c:spPr>
    </c:plotArea>
    <c:legend>
      <c:legendPos val="b"/>
      <c:layout>
        <c:manualLayout>
          <c:xMode val="edge"/>
          <c:yMode val="edge"/>
          <c:x val="9.7883134978498043E-2"/>
          <c:y val="0.87991761250497813"/>
          <c:w val="0.68185421266786106"/>
          <c:h val="0.10958183990442055"/>
        </c:manualLayout>
      </c:layout>
      <c:overlay val="0"/>
      <c:txPr>
        <a:bodyPr/>
        <a:lstStyle/>
        <a:p>
          <a:pPr>
            <a:defRPr sz="1000" b="0" i="0" u="none" strike="noStrike" baseline="0">
              <a:solidFill>
                <a:srgbClr val="000000"/>
              </a:solidFill>
              <a:latin typeface="+mn-lt"/>
              <a:ea typeface="Arial"/>
              <a:cs typeface="Arial"/>
            </a:defRPr>
          </a:pPr>
          <a:endParaRPr lang="en-US"/>
        </a:p>
      </c:txPr>
    </c:legend>
    <c:plotVisOnly val="1"/>
    <c:dispBlanksAs val="gap"/>
    <c:showDLblsOverMax val="0"/>
  </c:chart>
  <c:spPr>
    <a:ln>
      <a:noFill/>
    </a:ln>
  </c:spPr>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018372703412073"/>
          <c:y val="9.1071284801056307E-2"/>
          <c:w val="0.82321781969767149"/>
          <c:h val="0.74267497812773409"/>
        </c:manualLayout>
      </c:layout>
      <c:scatterChart>
        <c:scatterStyle val="lineMarker"/>
        <c:varyColors val="0"/>
        <c:ser>
          <c:idx val="0"/>
          <c:order val="0"/>
          <c:spPr>
            <a:ln w="25400">
              <a:solidFill>
                <a:srgbClr val="4F81BD">
                  <a:lumMod val="75000"/>
                </a:srgbClr>
              </a:solidFill>
            </a:ln>
          </c:spPr>
          <c:marker>
            <c:symbol val="none"/>
          </c:marker>
          <c:xVal>
            <c:numRef>
              <c:f>'6.4.4'!$A$3:$A$32</c:f>
              <c:numCache>
                <c:formatCode>General</c:formatCode>
                <c:ptCount val="30"/>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numCache>
            </c:numRef>
          </c:xVal>
          <c:yVal>
            <c:numRef>
              <c:f>'6.4.4'!$F$3:$F$32</c:f>
              <c:numCache>
                <c:formatCode>_(* #,##0.00_);_(* \(#,##0.00\);_(* "-"??_);_(@_)</c:formatCode>
                <c:ptCount val="30"/>
                <c:pt idx="0">
                  <c:v>19.773654243804721</c:v>
                </c:pt>
                <c:pt idx="1">
                  <c:v>19.939140900192655</c:v>
                </c:pt>
                <c:pt idx="2">
                  <c:v>22.672092357378887</c:v>
                </c:pt>
                <c:pt idx="3">
                  <c:v>23.335287501132679</c:v>
                </c:pt>
                <c:pt idx="4">
                  <c:v>25.041304209738154</c:v>
                </c:pt>
                <c:pt idx="5">
                  <c:v>29.286900127169204</c:v>
                </c:pt>
                <c:pt idx="6">
                  <c:v>31.409214464229507</c:v>
                </c:pt>
                <c:pt idx="7">
                  <c:v>32.242502099865007</c:v>
                </c:pt>
                <c:pt idx="8">
                  <c:v>31.687055536089748</c:v>
                </c:pt>
                <c:pt idx="9">
                  <c:v>34.096797561824367</c:v>
                </c:pt>
                <c:pt idx="10">
                  <c:v>38.273928722670405</c:v>
                </c:pt>
                <c:pt idx="11">
                  <c:v>42.032860580167053</c:v>
                </c:pt>
                <c:pt idx="12">
                  <c:v>48.810672046556739</c:v>
                </c:pt>
                <c:pt idx="13">
                  <c:v>45.840227374906569</c:v>
                </c:pt>
                <c:pt idx="14">
                  <c:v>42.610602320497307</c:v>
                </c:pt>
                <c:pt idx="15">
                  <c:v>42.028435834183817</c:v>
                </c:pt>
                <c:pt idx="16">
                  <c:v>45.158432365264602</c:v>
                </c:pt>
                <c:pt idx="17">
                  <c:v>47.871525511146267</c:v>
                </c:pt>
                <c:pt idx="18">
                  <c:v>43.353535685064777</c:v>
                </c:pt>
                <c:pt idx="19">
                  <c:v>45.885942453331637</c:v>
                </c:pt>
                <c:pt idx="20">
                  <c:v>45.991840577362105</c:v>
                </c:pt>
                <c:pt idx="21">
                  <c:v>54.6085518557068</c:v>
                </c:pt>
                <c:pt idx="22">
                  <c:v>54.071169767469357</c:v>
                </c:pt>
                <c:pt idx="23">
                  <c:v>57.725934001043264</c:v>
                </c:pt>
                <c:pt idx="24">
                  <c:v>52.950934054085884</c:v>
                </c:pt>
                <c:pt idx="25">
                  <c:v>50.770392970532384</c:v>
                </c:pt>
                <c:pt idx="26">
                  <c:v>52.339030698249651</c:v>
                </c:pt>
                <c:pt idx="27">
                  <c:v>53.092404050210277</c:v>
                </c:pt>
                <c:pt idx="28">
                  <c:v>55.194992503804514</c:v>
                </c:pt>
                <c:pt idx="29">
                  <c:v>55.47666476119273</c:v>
                </c:pt>
              </c:numCache>
            </c:numRef>
          </c:yVal>
          <c:smooth val="0"/>
          <c:extLst>
            <c:ext xmlns:c16="http://schemas.microsoft.com/office/drawing/2014/chart" uri="{C3380CC4-5D6E-409C-BE32-E72D297353CC}">
              <c16:uniqueId val="{00000000-1DE5-42E5-9100-AD3B05423724}"/>
            </c:ext>
          </c:extLst>
        </c:ser>
        <c:dLbls>
          <c:showLegendKey val="0"/>
          <c:showVal val="0"/>
          <c:showCatName val="0"/>
          <c:showSerName val="0"/>
          <c:showPercent val="0"/>
          <c:showBubbleSize val="0"/>
        </c:dLbls>
        <c:axId val="87078016"/>
        <c:axId val="95286784"/>
      </c:scatterChart>
      <c:valAx>
        <c:axId val="87078016"/>
        <c:scaling>
          <c:orientation val="minMax"/>
          <c:max val="2019"/>
          <c:min val="1990"/>
        </c:scaling>
        <c:delete val="0"/>
        <c:axPos val="b"/>
        <c:majorGridlines>
          <c:spPr>
            <a:ln>
              <a:solidFill>
                <a:schemeClr val="bg1">
                  <a:lumMod val="85000"/>
                </a:schemeClr>
              </a:solidFill>
              <a:prstDash val="dash"/>
            </a:ln>
          </c:spPr>
        </c:majorGridlines>
        <c:numFmt formatCode="General" sourceLinked="1"/>
        <c:majorTickMark val="out"/>
        <c:minorTickMark val="out"/>
        <c:tickLblPos val="low"/>
        <c:spPr>
          <a:ln>
            <a:solidFill>
              <a:schemeClr val="tx1"/>
            </a:solidFill>
          </a:ln>
        </c:spPr>
        <c:txPr>
          <a:bodyPr rot="-5400000" vert="horz"/>
          <a:lstStyle/>
          <a:p>
            <a:pPr>
              <a:defRPr sz="800" b="0" i="0" u="none" strike="noStrike" baseline="0">
                <a:solidFill>
                  <a:srgbClr val="000000"/>
                </a:solidFill>
                <a:latin typeface="+mn-lt"/>
                <a:ea typeface="Arial"/>
                <a:cs typeface="Arial"/>
              </a:defRPr>
            </a:pPr>
            <a:endParaRPr lang="en-US"/>
          </a:p>
        </c:txPr>
        <c:crossAx val="95286784"/>
        <c:crosses val="autoZero"/>
        <c:crossBetween val="midCat"/>
        <c:majorUnit val="2"/>
        <c:minorUnit val="1"/>
      </c:valAx>
      <c:valAx>
        <c:axId val="95286784"/>
        <c:scaling>
          <c:orientation val="minMax"/>
        </c:scaling>
        <c:delete val="0"/>
        <c:axPos val="l"/>
        <c:majorGridlines>
          <c:spPr>
            <a:ln>
              <a:solidFill>
                <a:schemeClr val="bg1">
                  <a:lumMod val="85000"/>
                </a:schemeClr>
              </a:solidFill>
            </a:ln>
          </c:spPr>
        </c:majorGridlines>
        <c:title>
          <c:tx>
            <c:rich>
              <a:bodyPr/>
              <a:lstStyle/>
              <a:p>
                <a:pPr>
                  <a:defRPr sz="900" b="0" i="0" u="none" strike="noStrike" baseline="0">
                    <a:solidFill>
                      <a:srgbClr val="000000"/>
                    </a:solidFill>
                    <a:latin typeface="+mn-lt"/>
                    <a:ea typeface="Calibri"/>
                    <a:cs typeface="Calibri"/>
                  </a:defRPr>
                </a:pPr>
                <a:r>
                  <a:rPr lang="en-NZ"/>
                  <a:t>Area (000 hectares)</a:t>
                </a:r>
              </a:p>
            </c:rich>
          </c:tx>
          <c:layout>
            <c:manualLayout>
              <c:xMode val="edge"/>
              <c:yMode val="edge"/>
              <c:x val="2.5333499979169269E-2"/>
              <c:y val="0.33639774392395039"/>
            </c:manualLayout>
          </c:layout>
          <c:overlay val="0"/>
          <c:spPr>
            <a:noFill/>
            <a:ln w="25400">
              <a:noFill/>
            </a:ln>
          </c:spPr>
        </c:title>
        <c:numFmt formatCode="#,##0" sourceLinked="0"/>
        <c:majorTickMark val="out"/>
        <c:minorTickMark val="none"/>
        <c:tickLblPos val="nextTo"/>
        <c:spPr>
          <a:ln w="12700">
            <a:solidFill>
              <a:schemeClr val="tx1"/>
            </a:solidFill>
          </a:ln>
        </c:spPr>
        <c:txPr>
          <a:bodyPr rot="0" vert="horz"/>
          <a:lstStyle/>
          <a:p>
            <a:pPr>
              <a:defRPr sz="800" b="0" i="0" u="none" strike="noStrike" baseline="0">
                <a:solidFill>
                  <a:srgbClr val="000000"/>
                </a:solidFill>
                <a:latin typeface="+mn-lt"/>
                <a:ea typeface="Arial"/>
                <a:cs typeface="Arial"/>
              </a:defRPr>
            </a:pPr>
            <a:endParaRPr lang="en-US"/>
          </a:p>
        </c:txPr>
        <c:crossAx val="87078016"/>
        <c:crossesAt val="1990"/>
        <c:crossBetween val="midCat"/>
      </c:valAx>
      <c:spPr>
        <a:solidFill>
          <a:schemeClr val="bg1"/>
        </a:solidFill>
      </c:spPr>
    </c:plotArea>
    <c:plotVisOnly val="1"/>
    <c:dispBlanksAs val="gap"/>
    <c:showDLblsOverMax val="0"/>
  </c:chart>
  <c:spPr>
    <a:ln w="12700">
      <a:noFill/>
    </a:ln>
  </c:spPr>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515653306905104"/>
          <c:y val="7.1806146812293623E-2"/>
          <c:w val="0.81827684177792226"/>
          <c:h val="0.6566477221843332"/>
        </c:manualLayout>
      </c:layout>
      <c:lineChart>
        <c:grouping val="standard"/>
        <c:varyColors val="0"/>
        <c:ser>
          <c:idx val="0"/>
          <c:order val="0"/>
          <c:tx>
            <c:strRef>
              <c:f>'NZL1'!$FY$4</c:f>
              <c:strCache>
                <c:ptCount val="1"/>
                <c:pt idx="0">
                  <c:v>Roundwood production</c:v>
                </c:pt>
              </c:strCache>
            </c:strRef>
          </c:tx>
          <c:spPr>
            <a:ln w="25400">
              <a:solidFill>
                <a:srgbClr val="1F497D"/>
              </a:solidFill>
            </a:ln>
          </c:spPr>
          <c:marker>
            <c:symbol val="none"/>
          </c:marker>
          <c:cat>
            <c:numRef>
              <c:f>'NZL1'!$FX$34:$FX$63</c:f>
              <c:numCache>
                <c:formatCode>General</c:formatCode>
                <c:ptCount val="30"/>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numCache>
            </c:numRef>
          </c:cat>
          <c:val>
            <c:numRef>
              <c:f>'NZL1'!$FY$34:$FY$63</c:f>
              <c:numCache>
                <c:formatCode>0</c:formatCode>
                <c:ptCount val="30"/>
                <c:pt idx="0">
                  <c:v>11.946999999999999</c:v>
                </c:pt>
                <c:pt idx="1">
                  <c:v>14.268000000000001</c:v>
                </c:pt>
                <c:pt idx="2">
                  <c:v>15.015000000000001</c:v>
                </c:pt>
                <c:pt idx="3">
                  <c:v>15.978</c:v>
                </c:pt>
                <c:pt idx="4">
                  <c:v>16.212</c:v>
                </c:pt>
                <c:pt idx="5">
                  <c:v>16.861000000000001</c:v>
                </c:pt>
                <c:pt idx="6">
                  <c:v>16.343</c:v>
                </c:pt>
                <c:pt idx="7">
                  <c:v>17.109000000000002</c:v>
                </c:pt>
                <c:pt idx="8">
                  <c:v>15.302</c:v>
                </c:pt>
                <c:pt idx="9">
                  <c:v>17.686</c:v>
                </c:pt>
                <c:pt idx="10">
                  <c:v>19.279</c:v>
                </c:pt>
                <c:pt idx="11">
                  <c:v>20.672999999999998</c:v>
                </c:pt>
                <c:pt idx="12">
                  <c:v>22.084</c:v>
                </c:pt>
                <c:pt idx="13">
                  <c:v>21.23</c:v>
                </c:pt>
                <c:pt idx="14">
                  <c:v>19.760999999999999</c:v>
                </c:pt>
                <c:pt idx="15">
                  <c:v>19.004999999999999</c:v>
                </c:pt>
                <c:pt idx="16">
                  <c:v>19.3</c:v>
                </c:pt>
                <c:pt idx="17">
                  <c:v>19.914000000000001</c:v>
                </c:pt>
                <c:pt idx="18">
                  <c:v>20.309999999999999</c:v>
                </c:pt>
                <c:pt idx="19">
                  <c:v>20.21</c:v>
                </c:pt>
                <c:pt idx="20">
                  <c:v>21.956</c:v>
                </c:pt>
                <c:pt idx="21">
                  <c:v>25.123000000000001</c:v>
                </c:pt>
                <c:pt idx="22">
                  <c:v>25.97</c:v>
                </c:pt>
                <c:pt idx="23">
                  <c:v>28.045357440469566</c:v>
                </c:pt>
                <c:pt idx="24">
                  <c:v>30.427492306038413</c:v>
                </c:pt>
                <c:pt idx="25">
                  <c:v>29.558117457461499</c:v>
                </c:pt>
                <c:pt idx="26">
                  <c:v>28.512640000000001</c:v>
                </c:pt>
                <c:pt idx="27">
                  <c:v>30.652992000000001</c:v>
                </c:pt>
                <c:pt idx="28">
                  <c:v>33.583405999999997</c:v>
                </c:pt>
                <c:pt idx="29">
                  <c:v>36.404461410000003</c:v>
                </c:pt>
              </c:numCache>
            </c:numRef>
          </c:val>
          <c:smooth val="0"/>
          <c:extLst>
            <c:ext xmlns:c16="http://schemas.microsoft.com/office/drawing/2014/chart" uri="{C3380CC4-5D6E-409C-BE32-E72D297353CC}">
              <c16:uniqueId val="{00000000-616D-4B85-AB1B-10FA74A9AFC6}"/>
            </c:ext>
          </c:extLst>
        </c:ser>
        <c:ser>
          <c:idx val="1"/>
          <c:order val="1"/>
          <c:tx>
            <c:strRef>
              <c:f>'NZL1'!$FZ$4</c:f>
              <c:strCache>
                <c:ptCount val="1"/>
                <c:pt idx="0">
                  <c:v>Roundwood export</c:v>
                </c:pt>
              </c:strCache>
            </c:strRef>
          </c:tx>
          <c:spPr>
            <a:ln w="25400">
              <a:solidFill>
                <a:srgbClr val="4F81BD"/>
              </a:solidFill>
              <a:prstDash val="solid"/>
            </a:ln>
          </c:spPr>
          <c:marker>
            <c:symbol val="none"/>
          </c:marker>
          <c:cat>
            <c:numRef>
              <c:f>'NZL1'!$FX$34:$FX$63</c:f>
              <c:numCache>
                <c:formatCode>General</c:formatCode>
                <c:ptCount val="30"/>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numCache>
            </c:numRef>
          </c:cat>
          <c:val>
            <c:numRef>
              <c:f>'NZL1'!$FZ$34:$FZ$63</c:f>
              <c:numCache>
                <c:formatCode>0</c:formatCode>
                <c:ptCount val="30"/>
                <c:pt idx="0">
                  <c:v>1.682987</c:v>
                </c:pt>
                <c:pt idx="1">
                  <c:v>3.604873</c:v>
                </c:pt>
                <c:pt idx="2">
                  <c:v>4.2761709999999997</c:v>
                </c:pt>
                <c:pt idx="3">
                  <c:v>4.4590209999999999</c:v>
                </c:pt>
                <c:pt idx="4">
                  <c:v>4.9603000000000002</c:v>
                </c:pt>
                <c:pt idx="5">
                  <c:v>5.3879999999999999</c:v>
                </c:pt>
                <c:pt idx="6">
                  <c:v>5.64</c:v>
                </c:pt>
                <c:pt idx="7">
                  <c:v>5.952</c:v>
                </c:pt>
                <c:pt idx="8">
                  <c:v>4.3040000000000003</c:v>
                </c:pt>
                <c:pt idx="9">
                  <c:v>5.8040000000000003</c:v>
                </c:pt>
                <c:pt idx="10">
                  <c:v>5.9089999999999998</c:v>
                </c:pt>
                <c:pt idx="11">
                  <c:v>7.2836999999999996</c:v>
                </c:pt>
                <c:pt idx="12">
                  <c:v>7.8803000000000001</c:v>
                </c:pt>
                <c:pt idx="13">
                  <c:v>7.5179999999999998</c:v>
                </c:pt>
                <c:pt idx="14">
                  <c:v>5.24</c:v>
                </c:pt>
                <c:pt idx="15">
                  <c:v>5.1429999999999998</c:v>
                </c:pt>
                <c:pt idx="16">
                  <c:v>5.5707000000000004</c:v>
                </c:pt>
                <c:pt idx="17">
                  <c:v>5.9786999999999999</c:v>
                </c:pt>
                <c:pt idx="18">
                  <c:v>6.6430999999999996</c:v>
                </c:pt>
                <c:pt idx="19">
                  <c:v>8.7700030000000009</c:v>
                </c:pt>
                <c:pt idx="20">
                  <c:v>10.745418000000001</c:v>
                </c:pt>
                <c:pt idx="21">
                  <c:v>12.626428000000001</c:v>
                </c:pt>
                <c:pt idx="22">
                  <c:v>13.758473</c:v>
                </c:pt>
                <c:pt idx="23">
                  <c:v>16.602322000000001</c:v>
                </c:pt>
                <c:pt idx="24">
                  <c:v>16.568655</c:v>
                </c:pt>
                <c:pt idx="25">
                  <c:v>16.398202999999999</c:v>
                </c:pt>
                <c:pt idx="26">
                  <c:v>15.951313000000001</c:v>
                </c:pt>
                <c:pt idx="27">
                  <c:v>18.785202000000002</c:v>
                </c:pt>
                <c:pt idx="28">
                  <c:v>21.502669000000001</c:v>
                </c:pt>
                <c:pt idx="29">
                  <c:v>22.665804999999999</c:v>
                </c:pt>
              </c:numCache>
            </c:numRef>
          </c:val>
          <c:smooth val="0"/>
          <c:extLst>
            <c:ext xmlns:c16="http://schemas.microsoft.com/office/drawing/2014/chart" uri="{C3380CC4-5D6E-409C-BE32-E72D297353CC}">
              <c16:uniqueId val="{00000001-616D-4B85-AB1B-10FA74A9AFC6}"/>
            </c:ext>
          </c:extLst>
        </c:ser>
        <c:dLbls>
          <c:showLegendKey val="0"/>
          <c:showVal val="0"/>
          <c:showCatName val="0"/>
          <c:showSerName val="0"/>
          <c:showPercent val="0"/>
          <c:showBubbleSize val="0"/>
        </c:dLbls>
        <c:smooth val="0"/>
        <c:axId val="644263296"/>
        <c:axId val="661836928"/>
      </c:lineChart>
      <c:catAx>
        <c:axId val="644263296"/>
        <c:scaling>
          <c:orientation val="minMax"/>
        </c:scaling>
        <c:delete val="0"/>
        <c:axPos val="b"/>
        <c:majorGridlines>
          <c:spPr>
            <a:ln>
              <a:noFill/>
              <a:prstDash val="dash"/>
            </a:ln>
          </c:spPr>
        </c:majorGridlines>
        <c:numFmt formatCode="General" sourceLinked="1"/>
        <c:majorTickMark val="out"/>
        <c:minorTickMark val="none"/>
        <c:tickLblPos val="low"/>
        <c:spPr>
          <a:ln>
            <a:solidFill>
              <a:schemeClr val="tx1"/>
            </a:solidFill>
          </a:ln>
        </c:spPr>
        <c:txPr>
          <a:bodyPr rot="-5400000" vert="horz"/>
          <a:lstStyle/>
          <a:p>
            <a:pPr>
              <a:defRPr sz="700"/>
            </a:pPr>
            <a:endParaRPr lang="en-US"/>
          </a:p>
        </c:txPr>
        <c:crossAx val="661836928"/>
        <c:crossesAt val="0"/>
        <c:auto val="1"/>
        <c:lblAlgn val="ctr"/>
        <c:lblOffset val="100"/>
        <c:tickLblSkip val="2"/>
        <c:noMultiLvlLbl val="1"/>
      </c:catAx>
      <c:valAx>
        <c:axId val="661836928"/>
        <c:scaling>
          <c:orientation val="minMax"/>
        </c:scaling>
        <c:delete val="0"/>
        <c:axPos val="l"/>
        <c:majorGridlines>
          <c:spPr>
            <a:ln>
              <a:solidFill>
                <a:schemeClr val="bg1">
                  <a:lumMod val="85000"/>
                </a:schemeClr>
              </a:solidFill>
            </a:ln>
          </c:spPr>
        </c:majorGridlines>
        <c:title>
          <c:tx>
            <c:rich>
              <a:bodyPr/>
              <a:lstStyle/>
              <a:p>
                <a:pPr>
                  <a:defRPr sz="900"/>
                </a:pPr>
                <a:r>
                  <a:rPr lang="en-NZ" sz="900" b="0" i="0" baseline="0">
                    <a:effectLst/>
                  </a:rPr>
                  <a:t>Cubic metres (millions)</a:t>
                </a:r>
                <a:endParaRPr lang="en-NZ" sz="900">
                  <a:effectLst/>
                </a:endParaRPr>
              </a:p>
            </c:rich>
          </c:tx>
          <c:layout>
            <c:manualLayout>
              <c:xMode val="edge"/>
              <c:yMode val="edge"/>
              <c:x val="1.324758687452551E-2"/>
              <c:y val="0.27246271762407021"/>
            </c:manualLayout>
          </c:layout>
          <c:overlay val="0"/>
          <c:spPr>
            <a:noFill/>
            <a:ln w="25400">
              <a:noFill/>
            </a:ln>
          </c:spPr>
        </c:title>
        <c:numFmt formatCode="0" sourceLinked="1"/>
        <c:majorTickMark val="in"/>
        <c:minorTickMark val="none"/>
        <c:tickLblPos val="nextTo"/>
        <c:spPr>
          <a:noFill/>
          <a:ln>
            <a:solidFill>
              <a:schemeClr val="tx1"/>
            </a:solidFill>
          </a:ln>
        </c:spPr>
        <c:txPr>
          <a:bodyPr rot="0" vert="horz"/>
          <a:lstStyle/>
          <a:p>
            <a:pPr>
              <a:defRPr sz="700"/>
            </a:pPr>
            <a:endParaRPr lang="en-US"/>
          </a:p>
        </c:txPr>
        <c:crossAx val="644263296"/>
        <c:crosses val="autoZero"/>
        <c:crossBetween val="midCat"/>
      </c:valAx>
      <c:spPr>
        <a:solidFill>
          <a:schemeClr val="bg1"/>
        </a:solidFill>
      </c:spPr>
    </c:plotArea>
    <c:legend>
      <c:legendPos val="b"/>
      <c:layout>
        <c:manualLayout>
          <c:xMode val="edge"/>
          <c:yMode val="edge"/>
          <c:x val="0.14316728927402594"/>
          <c:y val="0.88665020193509003"/>
          <c:w val="0.73292433537832313"/>
          <c:h val="6.0484294301921926E-2"/>
        </c:manualLayout>
      </c:layout>
      <c:overlay val="0"/>
      <c:txPr>
        <a:bodyPr/>
        <a:lstStyle/>
        <a:p>
          <a:pPr>
            <a:defRPr sz="900"/>
          </a:pPr>
          <a:endParaRPr lang="en-US"/>
        </a:p>
      </c:txPr>
    </c:legend>
    <c:plotVisOnly val="1"/>
    <c:dispBlanksAs val="gap"/>
    <c:showDLblsOverMax val="0"/>
  </c:chart>
  <c:spPr>
    <a:ln>
      <a:noFill/>
    </a:ln>
  </c:spPr>
  <c:txPr>
    <a:bodyPr/>
    <a:lstStyle/>
    <a:p>
      <a:pPr>
        <a:defRPr sz="800" b="0" i="0" u="none" strike="noStrike" baseline="0">
          <a:solidFill>
            <a:srgbClr val="000000"/>
          </a:solidFill>
          <a:latin typeface="Arial" panose="020B0604020202020204" pitchFamily="34" charset="0"/>
          <a:ea typeface="Calibri"/>
          <a:cs typeface="Arial" panose="020B0604020202020204" pitchFamily="34" charset="0"/>
        </a:defRPr>
      </a:pPr>
      <a:endParaRPr lang="en-US"/>
    </a:p>
  </c:txPr>
  <c:externalData r:id="rId2">
    <c:autoUpdate val="0"/>
  </c:externalData>
  <c:userShapes r:id="rId3"/>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areaChart>
        <c:grouping val="stacked"/>
        <c:varyColors val="0"/>
        <c:ser>
          <c:idx val="3"/>
          <c:order val="0"/>
          <c:tx>
            <c:strRef>
              <c:f>'Summary results'!$D$166</c:f>
              <c:strCache>
                <c:ptCount val="1"/>
                <c:pt idx="0">
                  <c:v>Waste</c:v>
                </c:pt>
              </c:strCache>
            </c:strRef>
          </c:tx>
          <c:spPr>
            <a:solidFill>
              <a:srgbClr val="936231"/>
            </a:solidFill>
            <a:ln>
              <a:noFill/>
            </a:ln>
            <a:effectLst/>
          </c:spPr>
          <c:cat>
            <c:numRef>
              <c:f>'Summary results'!$F$160:$AI$160</c:f>
              <c:numCache>
                <c:formatCode>0</c:formatCode>
                <c:ptCount val="30"/>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numCache>
              <c:extLst/>
            </c:numRef>
          </c:cat>
          <c:val>
            <c:numRef>
              <c:f>'Summary results'!$F$166:$AI$166</c:f>
              <c:numCache>
                <c:formatCode>General</c:formatCode>
                <c:ptCount val="30"/>
                <c:pt idx="0">
                  <c:v>0.70769696027443252</c:v>
                </c:pt>
                <c:pt idx="1">
                  <c:v>0.70443167752720814</c:v>
                </c:pt>
                <c:pt idx="2">
                  <c:v>0.7062153657866802</c:v>
                </c:pt>
                <c:pt idx="3">
                  <c:v>0.70821488849032288</c:v>
                </c:pt>
                <c:pt idx="4">
                  <c:v>0.71038897470450824</c:v>
                </c:pt>
                <c:pt idx="5">
                  <c:v>0.71270280559458687</c:v>
                </c:pt>
                <c:pt idx="6">
                  <c:v>0.71512700573480992</c:v>
                </c:pt>
                <c:pt idx="7">
                  <c:v>0.72443577418719052</c:v>
                </c:pt>
                <c:pt idx="8">
                  <c:v>0.73342757197708208</c:v>
                </c:pt>
                <c:pt idx="9">
                  <c:v>0.74211781287977097</c:v>
                </c:pt>
                <c:pt idx="10">
                  <c:v>0.7505195009551574</c:v>
                </c:pt>
                <c:pt idx="11">
                  <c:v>0.75864360727105162</c:v>
                </c:pt>
                <c:pt idx="12">
                  <c:v>0.74218074960497693</c:v>
                </c:pt>
                <c:pt idx="13">
                  <c:v>0.72367358237599977</c:v>
                </c:pt>
                <c:pt idx="14">
                  <c:v>0.70341201013532895</c:v>
                </c:pt>
                <c:pt idx="15">
                  <c:v>0.68164061515299079</c:v>
                </c:pt>
                <c:pt idx="16">
                  <c:v>0.65856574288496872</c:v>
                </c:pt>
                <c:pt idx="17">
                  <c:v>0.65396783759232546</c:v>
                </c:pt>
                <c:pt idx="18">
                  <c:v>0.65126715931824486</c:v>
                </c:pt>
                <c:pt idx="19">
                  <c:v>0.6501720867689631</c:v>
                </c:pt>
                <c:pt idx="20">
                  <c:v>0.65043658931916093</c:v>
                </c:pt>
                <c:pt idx="21">
                  <c:v>0.6518530995864511</c:v>
                </c:pt>
                <c:pt idx="22">
                  <c:v>0.65729178327024806</c:v>
                </c:pt>
                <c:pt idx="23">
                  <c:v>0.66381188828287863</c:v>
                </c:pt>
                <c:pt idx="24">
                  <c:v>0.67125807871095222</c:v>
                </c:pt>
                <c:pt idx="25">
                  <c:v>0.67949930310958717</c:v>
                </c:pt>
                <c:pt idx="26">
                  <c:v>0.68842499798557255</c:v>
                </c:pt>
                <c:pt idx="27">
                  <c:v>0.68957250798387282</c:v>
                </c:pt>
                <c:pt idx="28">
                  <c:v>0.6905406217961314</c:v>
                </c:pt>
                <c:pt idx="29">
                  <c:v>0.69135738535799485</c:v>
                </c:pt>
              </c:numCache>
              <c:extLst/>
            </c:numRef>
          </c:val>
          <c:extLst>
            <c:ext xmlns:c16="http://schemas.microsoft.com/office/drawing/2014/chart" uri="{C3380CC4-5D6E-409C-BE32-E72D297353CC}">
              <c16:uniqueId val="{00000000-FB98-430C-8913-3816D135FC08}"/>
            </c:ext>
          </c:extLst>
        </c:ser>
        <c:ser>
          <c:idx val="2"/>
          <c:order val="1"/>
          <c:tx>
            <c:strRef>
              <c:f>'Summary results'!$D$165</c:f>
              <c:strCache>
                <c:ptCount val="1"/>
                <c:pt idx="0">
                  <c:v>Agriculture</c:v>
                </c:pt>
              </c:strCache>
            </c:strRef>
          </c:tx>
          <c:spPr>
            <a:solidFill>
              <a:srgbClr val="649600"/>
            </a:solidFill>
            <a:ln>
              <a:noFill/>
            </a:ln>
            <a:effectLst/>
          </c:spPr>
          <c:cat>
            <c:numRef>
              <c:f>'Summary results'!$F$160:$AI$160</c:f>
              <c:numCache>
                <c:formatCode>0</c:formatCode>
                <c:ptCount val="30"/>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numCache>
              <c:extLst/>
            </c:numRef>
          </c:cat>
          <c:val>
            <c:numRef>
              <c:f>'Summary results'!$F$165:$AI$165</c:f>
              <c:numCache>
                <c:formatCode>General</c:formatCode>
                <c:ptCount val="30"/>
                <c:pt idx="0">
                  <c:v>1.1490795499999999</c:v>
                </c:pt>
                <c:pt idx="1">
                  <c:v>1.2526250000000001</c:v>
                </c:pt>
                <c:pt idx="2">
                  <c:v>1.2001454999999999</c:v>
                </c:pt>
                <c:pt idx="3">
                  <c:v>1.1476659999999996</c:v>
                </c:pt>
                <c:pt idx="4">
                  <c:v>1.0951864999999996</c:v>
                </c:pt>
                <c:pt idx="5">
                  <c:v>1.0427069999999994</c:v>
                </c:pt>
                <c:pt idx="6">
                  <c:v>0.99022750000000004</c:v>
                </c:pt>
                <c:pt idx="7">
                  <c:v>1.0578297000000001</c:v>
                </c:pt>
                <c:pt idx="8">
                  <c:v>1.1254319000000002</c:v>
                </c:pt>
                <c:pt idx="9">
                  <c:v>1.1930341000000002</c:v>
                </c:pt>
                <c:pt idx="10">
                  <c:v>1.2606363</c:v>
                </c:pt>
                <c:pt idx="11">
                  <c:v>1.3282384999999999</c:v>
                </c:pt>
                <c:pt idx="12">
                  <c:v>1.3180719000000001</c:v>
                </c:pt>
                <c:pt idx="13">
                  <c:v>1.3079053000000003</c:v>
                </c:pt>
                <c:pt idx="14">
                  <c:v>1.2977387000000002</c:v>
                </c:pt>
                <c:pt idx="15">
                  <c:v>1.2875721000000002</c:v>
                </c:pt>
                <c:pt idx="16">
                  <c:v>1.2774055</c:v>
                </c:pt>
                <c:pt idx="17">
                  <c:v>1.2582839999999997</c:v>
                </c:pt>
                <c:pt idx="18">
                  <c:v>1.2391624999999999</c:v>
                </c:pt>
                <c:pt idx="19">
                  <c:v>1.2200409999999999</c:v>
                </c:pt>
                <c:pt idx="20">
                  <c:v>1.2009194999999999</c:v>
                </c:pt>
                <c:pt idx="21">
                  <c:v>1.1817979999999999</c:v>
                </c:pt>
                <c:pt idx="22">
                  <c:v>1.1102321500000001</c:v>
                </c:pt>
                <c:pt idx="23">
                  <c:v>1.0386662999999998</c:v>
                </c:pt>
                <c:pt idx="24">
                  <c:v>0.96710045</c:v>
                </c:pt>
                <c:pt idx="25">
                  <c:v>0.89553459999999996</c:v>
                </c:pt>
                <c:pt idx="26">
                  <c:v>0.82396874999999992</c:v>
                </c:pt>
                <c:pt idx="27">
                  <c:v>0.82396874999999992</c:v>
                </c:pt>
                <c:pt idx="28">
                  <c:v>0.82396874999999992</c:v>
                </c:pt>
                <c:pt idx="29">
                  <c:v>0.82396874999999992</c:v>
                </c:pt>
              </c:numCache>
              <c:extLst/>
            </c:numRef>
          </c:val>
          <c:extLst>
            <c:ext xmlns:c16="http://schemas.microsoft.com/office/drawing/2014/chart" uri="{C3380CC4-5D6E-409C-BE32-E72D297353CC}">
              <c16:uniqueId val="{00000001-FB98-430C-8913-3816D135FC08}"/>
            </c:ext>
          </c:extLst>
        </c:ser>
        <c:ser>
          <c:idx val="1"/>
          <c:order val="2"/>
          <c:tx>
            <c:strRef>
              <c:f>'Summary results'!$D$164</c:f>
              <c:strCache>
                <c:ptCount val="1"/>
                <c:pt idx="0">
                  <c:v>IPPU</c:v>
                </c:pt>
              </c:strCache>
            </c:strRef>
          </c:tx>
          <c:spPr>
            <a:solidFill>
              <a:srgbClr val="A0A2AA"/>
            </a:solidFill>
            <a:ln>
              <a:noFill/>
            </a:ln>
            <a:effectLst/>
          </c:spPr>
          <c:cat>
            <c:numRef>
              <c:f>'Summary results'!$F$160:$AI$160</c:f>
              <c:numCache>
                <c:formatCode>0</c:formatCode>
                <c:ptCount val="30"/>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numCache>
              <c:extLst/>
            </c:numRef>
          </c:cat>
          <c:val>
            <c:numRef>
              <c:f>'Summary results'!$F$164:$AI$164</c:f>
              <c:numCache>
                <c:formatCode>General</c:formatCode>
                <c:ptCount val="30"/>
                <c:pt idx="0">
                  <c:v>4.7089331065965627E-2</c:v>
                </c:pt>
                <c:pt idx="1">
                  <c:v>4.2544281373684406E-2</c:v>
                </c:pt>
                <c:pt idx="2">
                  <c:v>3.9849013750849871E-2</c:v>
                </c:pt>
                <c:pt idx="3">
                  <c:v>3.7230273615764975E-2</c:v>
                </c:pt>
                <c:pt idx="4">
                  <c:v>3.8253318742924695E-2</c:v>
                </c:pt>
                <c:pt idx="5">
                  <c:v>4.0787914410455872E-2</c:v>
                </c:pt>
                <c:pt idx="6">
                  <c:v>4.526740758136464E-2</c:v>
                </c:pt>
                <c:pt idx="7">
                  <c:v>4.80766073266089E-2</c:v>
                </c:pt>
                <c:pt idx="8">
                  <c:v>5.1018209648704224E-2</c:v>
                </c:pt>
                <c:pt idx="9">
                  <c:v>5.4102125242487073E-2</c:v>
                </c:pt>
                <c:pt idx="10">
                  <c:v>5.6750636958706385E-2</c:v>
                </c:pt>
                <c:pt idx="11">
                  <c:v>6.2000837617391891E-2</c:v>
                </c:pt>
                <c:pt idx="12">
                  <c:v>7.4029083273759233E-2</c:v>
                </c:pt>
                <c:pt idx="13">
                  <c:v>8.4062472553419185E-2</c:v>
                </c:pt>
                <c:pt idx="14">
                  <c:v>8.6770712546886314E-2</c:v>
                </c:pt>
                <c:pt idx="15">
                  <c:v>8.9862933924217542E-2</c:v>
                </c:pt>
                <c:pt idx="16">
                  <c:v>9.2791902722886649E-2</c:v>
                </c:pt>
                <c:pt idx="17">
                  <c:v>0.11052677802057273</c:v>
                </c:pt>
                <c:pt idx="18">
                  <c:v>0.1299873386528132</c:v>
                </c:pt>
                <c:pt idx="19">
                  <c:v>0.14717611830458652</c:v>
                </c:pt>
                <c:pt idx="20">
                  <c:v>0.16446740597746162</c:v>
                </c:pt>
                <c:pt idx="21">
                  <c:v>0.18275219142903709</c:v>
                </c:pt>
                <c:pt idx="22">
                  <c:v>0.19804165375298274</c:v>
                </c:pt>
                <c:pt idx="23">
                  <c:v>0.21224838772074528</c:v>
                </c:pt>
                <c:pt idx="24">
                  <c:v>0.22469761583979167</c:v>
                </c:pt>
                <c:pt idx="25">
                  <c:v>0.23822143542920179</c:v>
                </c:pt>
                <c:pt idx="26">
                  <c:v>0.25066392060693005</c:v>
                </c:pt>
                <c:pt idx="27">
                  <c:v>0.25073311327963832</c:v>
                </c:pt>
                <c:pt idx="28">
                  <c:v>0.25586982252535584</c:v>
                </c:pt>
                <c:pt idx="29">
                  <c:v>0.25586982252535584</c:v>
                </c:pt>
              </c:numCache>
              <c:extLst/>
            </c:numRef>
          </c:val>
          <c:extLst>
            <c:ext xmlns:c16="http://schemas.microsoft.com/office/drawing/2014/chart" uri="{C3380CC4-5D6E-409C-BE32-E72D297353CC}">
              <c16:uniqueId val="{00000002-FB98-430C-8913-3816D135FC08}"/>
            </c:ext>
          </c:extLst>
        </c:ser>
        <c:ser>
          <c:idx val="0"/>
          <c:order val="3"/>
          <c:tx>
            <c:strRef>
              <c:f>'Summary results'!$D$163</c:f>
              <c:strCache>
                <c:ptCount val="1"/>
                <c:pt idx="0">
                  <c:v>Energy</c:v>
                </c:pt>
              </c:strCache>
            </c:strRef>
          </c:tx>
          <c:spPr>
            <a:solidFill>
              <a:srgbClr val="365F91"/>
            </a:solidFill>
            <a:ln>
              <a:noFill/>
            </a:ln>
            <a:effectLst/>
          </c:spPr>
          <c:cat>
            <c:numRef>
              <c:f>'Summary results'!$F$160:$AI$160</c:f>
              <c:numCache>
                <c:formatCode>0</c:formatCode>
                <c:ptCount val="30"/>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numCache>
              <c:extLst/>
            </c:numRef>
          </c:cat>
          <c:val>
            <c:numRef>
              <c:f>'Summary results'!$F$163:$AI$163</c:f>
              <c:numCache>
                <c:formatCode>General</c:formatCode>
                <c:ptCount val="30"/>
                <c:pt idx="0">
                  <c:v>1.2638887217757775</c:v>
                </c:pt>
                <c:pt idx="1">
                  <c:v>1.2799394515696236</c:v>
                </c:pt>
                <c:pt idx="2">
                  <c:v>1.29599018136347</c:v>
                </c:pt>
                <c:pt idx="3">
                  <c:v>1.3120409111573157</c:v>
                </c:pt>
                <c:pt idx="4">
                  <c:v>1.3280916409511623</c:v>
                </c:pt>
                <c:pt idx="5">
                  <c:v>1.3441423707450082</c:v>
                </c:pt>
                <c:pt idx="6">
                  <c:v>1.3601931005388546</c:v>
                </c:pt>
                <c:pt idx="7">
                  <c:v>1.3762438303327007</c:v>
                </c:pt>
                <c:pt idx="8">
                  <c:v>1.3922945601265468</c:v>
                </c:pt>
                <c:pt idx="9">
                  <c:v>1.408345289920393</c:v>
                </c:pt>
                <c:pt idx="10">
                  <c:v>1.4243960197142391</c:v>
                </c:pt>
                <c:pt idx="11">
                  <c:v>1.4404467495080855</c:v>
                </c:pt>
                <c:pt idx="12">
                  <c:v>1.4564974793019316</c:v>
                </c:pt>
                <c:pt idx="13">
                  <c:v>1.4725482090957778</c:v>
                </c:pt>
                <c:pt idx="14">
                  <c:v>1.9503244733866476</c:v>
                </c:pt>
                <c:pt idx="15">
                  <c:v>2.4281007376775174</c:v>
                </c:pt>
                <c:pt idx="16">
                  <c:v>2.444151467471364</c:v>
                </c:pt>
                <c:pt idx="17">
                  <c:v>2.4602021972652102</c:v>
                </c:pt>
                <c:pt idx="18">
                  <c:v>2.4762529270590559</c:v>
                </c:pt>
                <c:pt idx="19">
                  <c:v>2.4923036568529024</c:v>
                </c:pt>
                <c:pt idx="20">
                  <c:v>2.5083543866467486</c:v>
                </c:pt>
                <c:pt idx="21">
                  <c:v>2.5244051164405943</c:v>
                </c:pt>
                <c:pt idx="22">
                  <c:v>2.3024276954786407</c:v>
                </c:pt>
                <c:pt idx="23">
                  <c:v>1.6043939730050871</c:v>
                </c:pt>
                <c:pt idx="24">
                  <c:v>1.620444702798933</c:v>
                </c:pt>
                <c:pt idx="25">
                  <c:v>1.6103073997712414</c:v>
                </c:pt>
                <c:pt idx="26">
                  <c:v>1.6842861586058837</c:v>
                </c:pt>
                <c:pt idx="27">
                  <c:v>1.7684022204682182</c:v>
                </c:pt>
                <c:pt idx="28">
                  <c:v>1.8665791968160415</c:v>
                </c:pt>
                <c:pt idx="29">
                  <c:v>2.5266201993630695</c:v>
                </c:pt>
              </c:numCache>
              <c:extLst/>
            </c:numRef>
          </c:val>
          <c:extLst>
            <c:ext xmlns:c16="http://schemas.microsoft.com/office/drawing/2014/chart" uri="{C3380CC4-5D6E-409C-BE32-E72D297353CC}">
              <c16:uniqueId val="{00000003-FB98-430C-8913-3816D135FC08}"/>
            </c:ext>
          </c:extLst>
        </c:ser>
        <c:dLbls>
          <c:showLegendKey val="0"/>
          <c:showVal val="0"/>
          <c:showCatName val="0"/>
          <c:showSerName val="0"/>
          <c:showPercent val="0"/>
          <c:showBubbleSize val="0"/>
        </c:dLbls>
        <c:axId val="746588616"/>
        <c:axId val="746586976"/>
      </c:areaChart>
      <c:catAx>
        <c:axId val="746588616"/>
        <c:scaling>
          <c:orientation val="minMax"/>
        </c:scaling>
        <c:delete val="0"/>
        <c:axPos val="b"/>
        <c:numFmt formatCode="0" sourceLinked="1"/>
        <c:majorTickMark val="out"/>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7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746586976"/>
        <c:crosses val="autoZero"/>
        <c:auto val="1"/>
        <c:lblAlgn val="ctr"/>
        <c:lblOffset val="100"/>
        <c:tickLblSkip val="2"/>
        <c:noMultiLvlLbl val="0"/>
      </c:catAx>
      <c:valAx>
        <c:axId val="7465869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NZ" sz="900" b="0" i="0" baseline="0">
                    <a:solidFill>
                      <a:sysClr val="windowText" lastClr="000000"/>
                    </a:solidFill>
                    <a:effectLst/>
                  </a:rPr>
                  <a:t>kt CO</a:t>
                </a:r>
                <a:r>
                  <a:rPr lang="en-NZ" sz="900" b="0" i="0" baseline="-25000">
                    <a:solidFill>
                      <a:sysClr val="windowText" lastClr="000000"/>
                    </a:solidFill>
                    <a:effectLst/>
                  </a:rPr>
                  <a:t>2</a:t>
                </a:r>
                <a:r>
                  <a:rPr lang="en-NZ" sz="900" b="0" i="0" baseline="0">
                    <a:solidFill>
                      <a:sysClr val="windowText" lastClr="000000"/>
                    </a:solidFill>
                    <a:effectLst/>
                  </a:rPr>
                  <a:t>-equivalent</a:t>
                </a:r>
                <a:endParaRPr lang="en-NZ" sz="900" b="0">
                  <a:solidFill>
                    <a:sysClr val="windowText" lastClr="000000"/>
                  </a:solidFill>
                  <a:effectLst/>
                </a:endParaRPr>
              </a:p>
            </c:rich>
          </c:tx>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746588616"/>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zero"/>
    <c:showDLblsOverMax val="0"/>
  </c:chart>
  <c:spPr>
    <a:solidFill>
      <a:schemeClr val="bg1"/>
    </a:solidFill>
    <a:ln w="9525" cap="flat" cmpd="sng" algn="ctr">
      <a:noFill/>
      <a:round/>
    </a:ln>
    <a:effectLst/>
  </c:spPr>
  <c:txPr>
    <a:bodyPr/>
    <a:lstStyle/>
    <a:p>
      <a:pPr>
        <a:defRPr sz="1200">
          <a:latin typeface="Arial" panose="020B0604020202020204" pitchFamily="34" charset="0"/>
          <a:cs typeface="Arial" panose="020B0604020202020204" pitchFamily="34" charset="0"/>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0.13337</cdr:x>
      <cdr:y>0.30556</cdr:y>
    </cdr:from>
    <cdr:to>
      <cdr:x>0.22552</cdr:x>
      <cdr:y>0.34812</cdr:y>
    </cdr:to>
    <cdr:sp macro="" textlink="">
      <cdr:nvSpPr>
        <cdr:cNvPr id="2" name="Text Box 1"/>
        <cdr:cNvSpPr txBox="1">
          <a:spLocks xmlns:a="http://schemas.openxmlformats.org/drawingml/2006/main" noChangeArrowheads="1"/>
        </cdr:cNvSpPr>
      </cdr:nvSpPr>
      <cdr:spPr bwMode="auto">
        <a:xfrm xmlns:a="http://schemas.openxmlformats.org/drawingml/2006/main">
          <a:off x="860630" y="1187485"/>
          <a:ext cx="594661" cy="165396"/>
        </a:xfrm>
        <a:prstGeom xmlns:a="http://schemas.openxmlformats.org/drawingml/2006/main" prst="rect">
          <a:avLst/>
        </a:prstGeom>
        <a:solidFill xmlns:a="http://schemas.openxmlformats.org/drawingml/2006/main">
          <a:schemeClr val="bg1">
            <a:lumMod val="95000"/>
            <a:alpha val="65000"/>
          </a:schemeClr>
        </a:solidFill>
        <a:ln xmlns:a="http://schemas.openxmlformats.org/drawingml/2006/main" w="9525">
          <a:noFill/>
          <a:miter lim="800000"/>
          <a:headEnd/>
          <a:tailEnd/>
        </a:ln>
      </cdr:spPr>
      <cdr:txBody>
        <a:bodyPr xmlns:a="http://schemas.openxmlformats.org/drawingml/2006/main" wrap="square" lIns="27432" tIns="22860" rIns="0" bIns="0" anchor="t" upright="1">
          <a:noAutofit/>
        </a:bodyPr>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pPr algn="ctr" rtl="0">
            <a:defRPr sz="1000"/>
          </a:pPr>
          <a:fld id="{AE6232BD-2F77-4D23-9A54-94A390EAB7C1}" type="TxLink">
            <a:rPr lang="en-US" sz="800" b="1" i="0" u="none" strike="noStrike">
              <a:solidFill>
                <a:srgbClr val="000000"/>
              </a:solidFill>
              <a:latin typeface="Arial" panose="020B0604020202020204" pitchFamily="34" charset="0"/>
              <a:ea typeface="+mn-ea"/>
              <a:cs typeface="Arial" panose="020B0604020202020204" pitchFamily="34" charset="0"/>
            </a:rPr>
            <a:pPr algn="ctr" rtl="0">
              <a:defRPr sz="1000"/>
            </a:pPr>
            <a:t> 997.4 </a:t>
          </a:fld>
          <a:endParaRPr lang="en-NZ" sz="800" b="1" i="0" strike="noStrike">
            <a:solidFill>
              <a:sysClr val="windowText" lastClr="000000"/>
            </a:solidFill>
            <a:latin typeface="Arial" panose="020B0604020202020204" pitchFamily="34" charset="0"/>
            <a:ea typeface="+mn-ea"/>
            <a:cs typeface="Arial" panose="020B0604020202020204" pitchFamily="34" charset="0"/>
          </a:endParaRPr>
        </a:p>
      </cdr:txBody>
    </cdr:sp>
  </cdr:relSizeAnchor>
  <cdr:relSizeAnchor xmlns:cdr="http://schemas.openxmlformats.org/drawingml/2006/chartDrawing">
    <cdr:from>
      <cdr:x>0.25809</cdr:x>
      <cdr:y>0.31113</cdr:y>
    </cdr:from>
    <cdr:to>
      <cdr:x>0.35036</cdr:x>
      <cdr:y>0.35374</cdr:y>
    </cdr:to>
    <cdr:sp macro="" textlink="">
      <cdr:nvSpPr>
        <cdr:cNvPr id="3" name="Text Box 2"/>
        <cdr:cNvSpPr txBox="1">
          <a:spLocks xmlns:a="http://schemas.openxmlformats.org/drawingml/2006/main" noChangeArrowheads="1"/>
        </cdr:cNvSpPr>
      </cdr:nvSpPr>
      <cdr:spPr bwMode="auto">
        <a:xfrm xmlns:a="http://schemas.openxmlformats.org/drawingml/2006/main">
          <a:off x="1665519" y="1209104"/>
          <a:ext cx="595436" cy="165591"/>
        </a:xfrm>
        <a:prstGeom xmlns:a="http://schemas.openxmlformats.org/drawingml/2006/main" prst="rect">
          <a:avLst/>
        </a:prstGeom>
        <a:solidFill xmlns:a="http://schemas.openxmlformats.org/drawingml/2006/main">
          <a:schemeClr val="bg1">
            <a:lumMod val="95000"/>
            <a:alpha val="65000"/>
          </a:schemeClr>
        </a:solidFill>
        <a:ln xmlns:a="http://schemas.openxmlformats.org/drawingml/2006/main" w="9525">
          <a:noFill/>
          <a:miter lim="800000"/>
          <a:headEnd/>
          <a:tailEnd/>
        </a:ln>
      </cdr:spPr>
      <cdr:txBody>
        <a:bodyPr xmlns:a="http://schemas.openxmlformats.org/drawingml/2006/main" wrap="square" lIns="0" tIns="0" rIns="0" bIns="0" anchor="t" upright="1"/>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pPr marL="0" indent="0" algn="ctr" rtl="0">
            <a:defRPr sz="1000"/>
          </a:pPr>
          <a:fld id="{A09B4D97-A633-4313-B1CB-70517C08FEE2}" type="TxLink">
            <a:rPr lang="en-US" sz="800" b="1" i="0" u="none" strike="noStrike">
              <a:solidFill>
                <a:srgbClr val="000000"/>
              </a:solidFill>
              <a:latin typeface="Arial" panose="020B0604020202020204" pitchFamily="34" charset="0"/>
              <a:ea typeface="+mn-ea"/>
              <a:cs typeface="Arial" panose="020B0604020202020204" pitchFamily="34" charset="0"/>
            </a:rPr>
            <a:pPr marL="0" indent="0" algn="ctr" rtl="0">
              <a:defRPr sz="1000"/>
            </a:pPr>
            <a:t>-89.1 </a:t>
          </a:fld>
          <a:endParaRPr lang="en-NZ" sz="800" b="1" i="0" strike="noStrike">
            <a:solidFill>
              <a:srgbClr val="000000"/>
            </a:solidFill>
            <a:latin typeface="Arial" panose="020B0604020202020204" pitchFamily="34" charset="0"/>
            <a:ea typeface="+mn-ea"/>
            <a:cs typeface="Arial" panose="020B0604020202020204" pitchFamily="34" charset="0"/>
          </a:endParaRPr>
        </a:p>
      </cdr:txBody>
    </cdr:sp>
  </cdr:relSizeAnchor>
  <cdr:relSizeAnchor xmlns:cdr="http://schemas.openxmlformats.org/drawingml/2006/chartDrawing">
    <cdr:from>
      <cdr:x>0.38364</cdr:x>
      <cdr:y>0.3066</cdr:y>
    </cdr:from>
    <cdr:to>
      <cdr:x>0.47591</cdr:x>
      <cdr:y>0.34921</cdr:y>
    </cdr:to>
    <cdr:sp macro="" textlink="">
      <cdr:nvSpPr>
        <cdr:cNvPr id="4" name="Text Box 3"/>
        <cdr:cNvSpPr txBox="1">
          <a:spLocks xmlns:a="http://schemas.openxmlformats.org/drawingml/2006/main" noChangeArrowheads="1"/>
        </cdr:cNvSpPr>
      </cdr:nvSpPr>
      <cdr:spPr bwMode="auto">
        <a:xfrm xmlns:a="http://schemas.openxmlformats.org/drawingml/2006/main">
          <a:off x="2475701" y="1191518"/>
          <a:ext cx="595435" cy="165591"/>
        </a:xfrm>
        <a:prstGeom xmlns:a="http://schemas.openxmlformats.org/drawingml/2006/main" prst="rect">
          <a:avLst/>
        </a:prstGeom>
        <a:solidFill xmlns:a="http://schemas.openxmlformats.org/drawingml/2006/main">
          <a:schemeClr val="bg1">
            <a:lumMod val="95000"/>
            <a:alpha val="65000"/>
          </a:schemeClr>
        </a:solidFill>
        <a:ln xmlns:a="http://schemas.openxmlformats.org/drawingml/2006/main" w="9525">
          <a:noFill/>
          <a:miter lim="800000"/>
          <a:headEnd/>
          <a:tailEnd/>
        </a:ln>
      </cdr:spPr>
      <cdr:txBody>
        <a:bodyPr xmlns:a="http://schemas.openxmlformats.org/drawingml/2006/main" wrap="square" lIns="27432" tIns="22860" rIns="0" bIns="0" anchor="t" upright="1"/>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pPr algn="ctr" rtl="0">
            <a:defRPr sz="1000"/>
          </a:pPr>
          <a:fld id="{4C72C5B1-E1AF-4898-AA93-2B0F24C17600}" type="TxLink">
            <a:rPr lang="en-US" sz="800" b="1" i="0" u="none" strike="noStrike">
              <a:solidFill>
                <a:srgbClr val="000000"/>
              </a:solidFill>
              <a:latin typeface="Arial" panose="020B0604020202020204" pitchFamily="34" charset="0"/>
              <a:cs typeface="Arial" panose="020B0604020202020204" pitchFamily="34" charset="0"/>
            </a:rPr>
            <a:pPr algn="ctr" rtl="0">
              <a:defRPr sz="1000"/>
            </a:pPr>
            <a:t> 3,573.4 </a:t>
          </a:fld>
          <a:endParaRPr lang="en-NZ" sz="800" b="1" i="0" strike="noStrike">
            <a:solidFill>
              <a:srgbClr val="000000"/>
            </a:solidFill>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0.50792</cdr:x>
      <cdr:y>0.31057</cdr:y>
    </cdr:from>
    <cdr:to>
      <cdr:x>0.60019</cdr:x>
      <cdr:y>0.35318</cdr:y>
    </cdr:to>
    <cdr:sp macro="" textlink="">
      <cdr:nvSpPr>
        <cdr:cNvPr id="5" name="Text Box 4"/>
        <cdr:cNvSpPr txBox="1">
          <a:spLocks xmlns:a="http://schemas.openxmlformats.org/drawingml/2006/main" noChangeArrowheads="1"/>
        </cdr:cNvSpPr>
      </cdr:nvSpPr>
      <cdr:spPr bwMode="auto">
        <a:xfrm xmlns:a="http://schemas.openxmlformats.org/drawingml/2006/main">
          <a:off x="3289798" y="1206949"/>
          <a:ext cx="597633" cy="165591"/>
        </a:xfrm>
        <a:prstGeom xmlns:a="http://schemas.openxmlformats.org/drawingml/2006/main" prst="rect">
          <a:avLst/>
        </a:prstGeom>
        <a:solidFill xmlns:a="http://schemas.openxmlformats.org/drawingml/2006/main">
          <a:schemeClr val="bg1">
            <a:lumMod val="95000"/>
            <a:alpha val="65000"/>
          </a:schemeClr>
        </a:solidFill>
        <a:ln xmlns:a="http://schemas.openxmlformats.org/drawingml/2006/main" w="9525">
          <a:noFill/>
          <a:miter lim="800000"/>
          <a:headEnd/>
          <a:tailEnd/>
        </a:ln>
      </cdr:spPr>
      <cdr:txBody>
        <a:bodyPr xmlns:a="http://schemas.openxmlformats.org/drawingml/2006/main" wrap="square" lIns="27432" tIns="22860" rIns="0" bIns="0" anchor="t" upright="1"/>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pPr algn="ctr" rtl="0">
            <a:defRPr sz="1000"/>
          </a:pPr>
          <a:fld id="{74A8C5BB-3293-413F-94E9-5B4023C81C37}" type="TxLink">
            <a:rPr lang="en-US" sz="800" b="1" i="0" u="none" strike="noStrike">
              <a:solidFill>
                <a:srgbClr val="000000"/>
              </a:solidFill>
              <a:latin typeface="Arial" panose="020B0604020202020204" pitchFamily="34" charset="0"/>
              <a:cs typeface="Arial" panose="020B0604020202020204" pitchFamily="34" charset="0"/>
            </a:rPr>
            <a:pPr algn="ctr" rtl="0">
              <a:defRPr sz="1000"/>
            </a:pPr>
            <a:t> 24.1 </a:t>
          </a:fld>
          <a:endParaRPr lang="en-NZ" sz="800" b="1" i="0" strike="noStrike">
            <a:solidFill>
              <a:srgbClr val="000000"/>
            </a:solidFill>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0.63605</cdr:x>
      <cdr:y>0.31143</cdr:y>
    </cdr:from>
    <cdr:to>
      <cdr:x>0.72832</cdr:x>
      <cdr:y>0.35405</cdr:y>
    </cdr:to>
    <cdr:sp macro="" textlink="">
      <cdr:nvSpPr>
        <cdr:cNvPr id="6" name="Text Box 4"/>
        <cdr:cNvSpPr txBox="1">
          <a:spLocks xmlns:a="http://schemas.openxmlformats.org/drawingml/2006/main" noChangeArrowheads="1"/>
        </cdr:cNvSpPr>
      </cdr:nvSpPr>
      <cdr:spPr bwMode="auto">
        <a:xfrm xmlns:a="http://schemas.openxmlformats.org/drawingml/2006/main">
          <a:off x="4119696" y="1210298"/>
          <a:ext cx="597633" cy="165630"/>
        </a:xfrm>
        <a:prstGeom xmlns:a="http://schemas.openxmlformats.org/drawingml/2006/main" prst="rect">
          <a:avLst/>
        </a:prstGeom>
        <a:solidFill xmlns:a="http://schemas.openxmlformats.org/drawingml/2006/main">
          <a:schemeClr val="bg1">
            <a:lumMod val="95000"/>
            <a:alpha val="65000"/>
          </a:schemeClr>
        </a:solidFill>
        <a:ln xmlns:a="http://schemas.openxmlformats.org/drawingml/2006/main" w="9525">
          <a:noFill/>
          <a:miter lim="800000"/>
          <a:headEnd/>
          <a:tailEnd/>
        </a:ln>
      </cdr:spPr>
      <cdr:txBody>
        <a:bodyPr xmlns:a="http://schemas.openxmlformats.org/drawingml/2006/main" wrap="square" lIns="27432" tIns="22860" rIns="0" bIns="0" anchor="t" upright="1"/>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pPr algn="ctr" rtl="0">
            <a:defRPr sz="1000"/>
          </a:pPr>
          <a:fld id="{7272CB69-AA39-4DA3-BA48-58C5AFC79B4B}" type="TxLink">
            <a:rPr lang="en-US" sz="800" b="1" i="0" u="none" strike="noStrike">
              <a:solidFill>
                <a:srgbClr val="000000"/>
              </a:solidFill>
              <a:latin typeface="Arial" panose="020B0604020202020204" pitchFamily="34" charset="0"/>
              <a:cs typeface="Arial" panose="020B0604020202020204" pitchFamily="34" charset="0"/>
            </a:rPr>
            <a:pPr algn="ctr" rtl="0">
              <a:defRPr sz="1000"/>
            </a:pPr>
            <a:t> 38.2 </a:t>
          </a:fld>
          <a:endParaRPr lang="en-NZ" sz="800" b="1" i="0" strike="noStrike">
            <a:solidFill>
              <a:srgbClr val="000000"/>
            </a:solidFill>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0.75806</cdr:x>
      <cdr:y>0.31154</cdr:y>
    </cdr:from>
    <cdr:to>
      <cdr:x>0.85033</cdr:x>
      <cdr:y>0.35415</cdr:y>
    </cdr:to>
    <cdr:sp macro="" textlink="">
      <cdr:nvSpPr>
        <cdr:cNvPr id="7" name="Text Box 4"/>
        <cdr:cNvSpPr txBox="1">
          <a:spLocks xmlns:a="http://schemas.openxmlformats.org/drawingml/2006/main" noChangeArrowheads="1"/>
        </cdr:cNvSpPr>
      </cdr:nvSpPr>
      <cdr:spPr bwMode="auto">
        <a:xfrm xmlns:a="http://schemas.openxmlformats.org/drawingml/2006/main">
          <a:off x="4909955" y="1210718"/>
          <a:ext cx="597632" cy="165591"/>
        </a:xfrm>
        <a:prstGeom xmlns:a="http://schemas.openxmlformats.org/drawingml/2006/main" prst="rect">
          <a:avLst/>
        </a:prstGeom>
        <a:solidFill xmlns:a="http://schemas.openxmlformats.org/drawingml/2006/main">
          <a:schemeClr val="bg1">
            <a:lumMod val="95000"/>
            <a:alpha val="65000"/>
          </a:schemeClr>
        </a:solidFill>
        <a:ln xmlns:a="http://schemas.openxmlformats.org/drawingml/2006/main" w="9525">
          <a:noFill/>
          <a:miter lim="800000"/>
          <a:headEnd/>
          <a:tailEnd/>
        </a:ln>
      </cdr:spPr>
      <cdr:txBody>
        <a:bodyPr xmlns:a="http://schemas.openxmlformats.org/drawingml/2006/main" wrap="square" lIns="27432" tIns="22860" rIns="0" bIns="0" anchor="t" upright="1"/>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pPr algn="ctr" rtl="0">
            <a:defRPr sz="1000"/>
          </a:pPr>
          <a:fld id="{6BF1D322-9E27-4CD4-A7E2-05C1D00BBF8D}" type="TxLink">
            <a:rPr lang="en-US" sz="800" b="1" i="0" u="none" strike="noStrike">
              <a:solidFill>
                <a:srgbClr val="000000"/>
              </a:solidFill>
              <a:latin typeface="Arial" panose="020B0604020202020204" pitchFamily="34" charset="0"/>
              <a:cs typeface="Arial" panose="020B0604020202020204" pitchFamily="34" charset="0"/>
            </a:rPr>
            <a:pPr algn="ctr" rtl="0">
              <a:defRPr sz="1000"/>
            </a:pPr>
            <a:t> 39.7 </a:t>
          </a:fld>
          <a:endParaRPr lang="en-NZ" sz="800" b="1" i="0" strike="noStrike">
            <a:solidFill>
              <a:srgbClr val="000000"/>
            </a:solidFill>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0.89657</cdr:x>
      <cdr:y>0.30514</cdr:y>
    </cdr:from>
    <cdr:to>
      <cdr:x>0.98884</cdr:x>
      <cdr:y>0.34775</cdr:y>
    </cdr:to>
    <cdr:sp macro="" textlink="">
      <cdr:nvSpPr>
        <cdr:cNvPr id="8" name="Text Box 4"/>
        <cdr:cNvSpPr txBox="1">
          <a:spLocks xmlns:a="http://schemas.openxmlformats.org/drawingml/2006/main" noChangeArrowheads="1"/>
        </cdr:cNvSpPr>
      </cdr:nvSpPr>
      <cdr:spPr bwMode="auto">
        <a:xfrm xmlns:a="http://schemas.openxmlformats.org/drawingml/2006/main">
          <a:off x="5785751" y="1185853"/>
          <a:ext cx="595436" cy="165591"/>
        </a:xfrm>
        <a:prstGeom xmlns:a="http://schemas.openxmlformats.org/drawingml/2006/main" prst="rect">
          <a:avLst/>
        </a:prstGeom>
        <a:solidFill xmlns:a="http://schemas.openxmlformats.org/drawingml/2006/main">
          <a:schemeClr val="bg1">
            <a:lumMod val="95000"/>
            <a:alpha val="65000"/>
          </a:schemeClr>
        </a:solidFill>
        <a:ln xmlns:a="http://schemas.openxmlformats.org/drawingml/2006/main" w="9525">
          <a:noFill/>
          <a:miter lim="800000"/>
          <a:headEnd/>
          <a:tailEnd/>
        </a:ln>
      </cdr:spPr>
      <cdr:txBody>
        <a:bodyPr xmlns:a="http://schemas.openxmlformats.org/drawingml/2006/main" wrap="square" lIns="27432" tIns="22860" rIns="0" bIns="0" anchor="t" upright="1"/>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rtl="0">
            <a:defRPr sz="1000"/>
          </a:pPr>
          <a:fld id="{4315CE8A-5333-44EE-9540-885FFFC67A70}" type="TxLink">
            <a:rPr lang="en-US" sz="800" b="1" i="0" u="none" strike="noStrike">
              <a:solidFill>
                <a:srgbClr val="000000"/>
              </a:solidFill>
              <a:latin typeface="Arial" panose="020B0604020202020204" pitchFamily="34" charset="0"/>
              <a:cs typeface="Arial" panose="020B0604020202020204" pitchFamily="34" charset="0"/>
            </a:rPr>
            <a:pPr algn="ctr" rtl="0">
              <a:defRPr sz="1000"/>
            </a:pPr>
            <a:t>-7,994.4 </a:t>
          </a:fld>
          <a:endParaRPr lang="en-NZ" sz="800" b="1" i="0" strike="noStrike">
            <a:solidFill>
              <a:srgbClr val="000000"/>
            </a:solidFill>
            <a:latin typeface="Arial" panose="020B0604020202020204" pitchFamily="34" charset="0"/>
            <a:cs typeface="Arial" panose="020B0604020202020204" pitchFamily="34" charset="0"/>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0.51084</cdr:x>
      <cdr:y>0.82692</cdr:y>
    </cdr:from>
    <cdr:to>
      <cdr:x>0.64286</cdr:x>
      <cdr:y>0.89517</cdr:y>
    </cdr:to>
    <cdr:sp macro="" textlink="">
      <cdr:nvSpPr>
        <cdr:cNvPr id="2" name="Text Box 1"/>
        <cdr:cNvSpPr txBox="1"/>
      </cdr:nvSpPr>
      <cdr:spPr>
        <a:xfrm xmlns:a="http://schemas.openxmlformats.org/drawingml/2006/main">
          <a:off x="2758881" y="3024017"/>
          <a:ext cx="712997" cy="24958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NZ" sz="900">
              <a:latin typeface="Arial" panose="020B0604020202020204" pitchFamily="34" charset="0"/>
              <a:cs typeface="Arial" panose="020B0604020202020204" pitchFamily="34" charset="0"/>
            </a:rPr>
            <a:t>Year</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45E1A56-A396-4ED5-AC4F-6F1A401BE3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109</TotalTime>
  <Pages>531</Pages>
  <Words>207992</Words>
  <Characters>1185555</Characters>
  <Application>Microsoft Office Word</Application>
  <DocSecurity>0</DocSecurity>
  <Lines>9879</Lines>
  <Paragraphs>2781</Paragraphs>
  <ScaleCrop>false</ScaleCrop>
  <HeadingPairs>
    <vt:vector size="2" baseType="variant">
      <vt:variant>
        <vt:lpstr>Title</vt:lpstr>
      </vt:variant>
      <vt:variant>
        <vt:i4>1</vt:i4>
      </vt:variant>
    </vt:vector>
  </HeadingPairs>
  <TitlesOfParts>
    <vt:vector size="1" baseType="lpstr">
      <vt:lpstr>Table</vt:lpstr>
    </vt:vector>
  </TitlesOfParts>
  <Company> </Company>
  <LinksUpToDate>false</LinksUpToDate>
  <CharactersWithSpaces>1390766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Source:</dc:subject>
  <dc:creator>Jenny</dc:creator>
  <cp:keywords/>
  <dc:description/>
  <cp:lastModifiedBy>Jenny</cp:lastModifiedBy>
  <cp:revision>68</cp:revision>
  <cp:lastPrinted>2021-04-08T03:57:00Z</cp:lastPrinted>
  <dcterms:created xsi:type="dcterms:W3CDTF">2021-04-08T01:46:00Z</dcterms:created>
  <dcterms:modified xsi:type="dcterms:W3CDTF">2021-04-08T03:59:00Z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8cd314b8-d49f-4f88-9385-4c72a13ca99b_Enabled">
    <vt:lpwstr>true</vt:lpwstr>
  </property>
  <property fmtid="{D5CDD505-2E9C-101B-9397-08002B2CF9AE}" pid="3" name="MSIP_Label_8cd314b8-d49f-4f88-9385-4c72a13ca99b_SetDate">
    <vt:lpwstr>2021-04-08T01:18:04Z</vt:lpwstr>
  </property>
  <property fmtid="{D5CDD505-2E9C-101B-9397-08002B2CF9AE}" pid="4" name="MSIP_Label_8cd314b8-d49f-4f88-9385-4c72a13ca99b_Method">
    <vt:lpwstr>Privileged</vt:lpwstr>
  </property>
  <property fmtid="{D5CDD505-2E9C-101B-9397-08002B2CF9AE}" pid="5" name="MSIP_Label_8cd314b8-d49f-4f88-9385-4c72a13ca99b_Name">
    <vt:lpwstr>[IN-CONFIDENCE]</vt:lpwstr>
  </property>
  <property fmtid="{D5CDD505-2E9C-101B-9397-08002B2CF9AE}" pid="6" name="MSIP_Label_8cd314b8-d49f-4f88-9385-4c72a13ca99b_SiteId">
    <vt:lpwstr>761dd003-d4ff-4049-8a72-8549b20fcbb1</vt:lpwstr>
  </property>
  <property fmtid="{D5CDD505-2E9C-101B-9397-08002B2CF9AE}" pid="7" name="MSIP_Label_8cd314b8-d49f-4f88-9385-4c72a13ca99b_ActionId">
    <vt:lpwstr>1adc050a-2338-4c60-bf66-0220e908c1f4</vt:lpwstr>
  </property>
  <property fmtid="{D5CDD505-2E9C-101B-9397-08002B2CF9AE}" pid="8" name="MSIP_Label_8cd314b8-d49f-4f88-9385-4c72a13ca99b_ContentBits">
    <vt:lpwstr>3</vt:lpwstr>
  </property>
</Properties>
</file>